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4489E" w14:textId="06BFBB54" w:rsidR="00310D6B" w:rsidRDefault="00E91357" w:rsidP="00080FC6">
      <w:r>
        <w:rPr>
          <w:noProof/>
        </w:rPr>
        <mc:AlternateContent>
          <mc:Choice Requires="wps">
            <w:drawing>
              <wp:anchor distT="0" distB="0" distL="114300" distR="114300" simplePos="0" relativeHeight="251658240" behindDoc="0" locked="0" layoutInCell="1" allowOverlap="1" wp14:anchorId="1AAE6808" wp14:editId="2FD9C4B6">
                <wp:simplePos x="0" y="0"/>
                <wp:positionH relativeFrom="column">
                  <wp:posOffset>4511040</wp:posOffset>
                </wp:positionH>
                <wp:positionV relativeFrom="paragraph">
                  <wp:posOffset>281940</wp:posOffset>
                </wp:positionV>
                <wp:extent cx="2143125" cy="1207770"/>
                <wp:effectExtent l="0" t="0" r="381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1207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F9BCAB" w14:textId="6D36392A" w:rsidR="000F483A" w:rsidRPr="008B0978" w:rsidRDefault="000F483A" w:rsidP="008C66A0">
                            <w:pPr>
                              <w:pStyle w:val="NoSpacing"/>
                              <w:rPr>
                                <w:b/>
                                <w:sz w:val="18"/>
                                <w:szCs w:val="1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AAE6808" id="_x0000_t202" coordsize="21600,21600" o:spt="202" path="m,l,21600r21600,l21600,xe">
                <v:stroke joinstyle="miter"/>
                <v:path gradientshapeok="t" o:connecttype="rect"/>
              </v:shapetype>
              <v:shape id="Text Box 2" o:spid="_x0000_s1026" type="#_x0000_t202" style="position:absolute;margin-left:355.2pt;margin-top:22.2pt;width:168.75pt;height:95.1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" stroked="f">
                <v:textbox style="mso-fit-shape-to-text:t">
                  <w:txbxContent>
                    <w:p w14:paraId="10F9BCAB" w14:textId="6D36392A" w:rsidR="000F483A" w:rsidRPr="008B0978" w:rsidRDefault="000F483A" w:rsidP="008C66A0">
                      <w:pPr>
                        <w:pStyle w:val="NoSpacing"/>
                        <w:rPr>
                          <w:b/>
                          <w:sz w:val="18"/>
                          <w:szCs w:val="18"/>
                        </w:rPr>
                      </w:pPr>
                    </w:p>
                  </w:txbxContent>
                </v:textbox>
              </v:shape>
            </w:pict>
          </mc:Fallback>
        </mc:AlternateContent>
      </w:r>
      <w:bookmarkStart w:id="0" w:name="_Hlk503776811"/>
    </w:p>
    <w:p w14:paraId="6D5C5379" w14:textId="45895B0B" w:rsidR="00E97D63" w:rsidRDefault="00BC3D08" w:rsidP="000318C6">
      <w:pPr>
        <w:jc w:val="center"/>
        <w:rPr>
          <w:rFonts w:ascii="Times New Roman" w:hAnsi="Times New Roman"/>
          <w:sz w:val="24"/>
          <w:szCs w:val="24"/>
        </w:rPr>
      </w:pPr>
      <w:r>
        <w:rPr>
          <w:rFonts w:ascii="Times New Roman" w:hAnsi="Times New Roman"/>
          <w:sz w:val="24"/>
          <w:szCs w:val="24"/>
        </w:rPr>
        <w:t>7/28</w:t>
      </w:r>
      <w:r w:rsidR="00BB145E">
        <w:rPr>
          <w:rFonts w:ascii="Times New Roman" w:hAnsi="Times New Roman"/>
          <w:sz w:val="24"/>
          <w:szCs w:val="24"/>
        </w:rPr>
        <w:t>/</w:t>
      </w:r>
      <w:r w:rsidR="00310992">
        <w:rPr>
          <w:rFonts w:ascii="Times New Roman" w:hAnsi="Times New Roman"/>
          <w:sz w:val="24"/>
          <w:szCs w:val="24"/>
        </w:rPr>
        <w:t xml:space="preserve">2026 </w:t>
      </w:r>
      <w:r w:rsidR="00C0703E">
        <w:rPr>
          <w:rFonts w:ascii="Times New Roman" w:hAnsi="Times New Roman"/>
          <w:sz w:val="24"/>
          <w:szCs w:val="24"/>
        </w:rPr>
        <w:t xml:space="preserve"> </w:t>
      </w:r>
      <w:r w:rsidR="00812C71">
        <w:rPr>
          <w:rFonts w:ascii="Times New Roman" w:hAnsi="Times New Roman"/>
          <w:sz w:val="24"/>
          <w:szCs w:val="24"/>
        </w:rPr>
        <w:t xml:space="preserve">  </w:t>
      </w:r>
    </w:p>
    <w:p w14:paraId="01728056" w14:textId="78168CA1" w:rsidR="000318C6" w:rsidRDefault="000318C6" w:rsidP="000318C6">
      <w:pPr>
        <w:jc w:val="center"/>
        <w:rPr>
          <w:rFonts w:ascii="Arial Black" w:hAnsi="Arial Black"/>
          <w:sz w:val="40"/>
          <w:szCs w:val="40"/>
        </w:rPr>
      </w:pPr>
      <w:r>
        <w:rPr>
          <w:rFonts w:ascii="Arial Black" w:hAnsi="Arial Black"/>
          <w:sz w:val="40"/>
          <w:szCs w:val="40"/>
        </w:rPr>
        <w:t>FIRE</w:t>
      </w:r>
      <w:r w:rsidR="00D507CB">
        <w:rPr>
          <w:rFonts w:ascii="Arial Black" w:hAnsi="Arial Black"/>
          <w:sz w:val="40"/>
          <w:szCs w:val="40"/>
        </w:rPr>
        <w:t xml:space="preserve"> &amp; E</w:t>
      </w:r>
      <w:r>
        <w:rPr>
          <w:rFonts w:ascii="Arial Black" w:hAnsi="Arial Black"/>
          <w:sz w:val="40"/>
          <w:szCs w:val="40"/>
        </w:rPr>
        <w:t>MS</w:t>
      </w:r>
      <w:r w:rsidR="00877589">
        <w:rPr>
          <w:rFonts w:ascii="Arial Black" w:hAnsi="Arial Black"/>
          <w:sz w:val="40"/>
          <w:szCs w:val="40"/>
        </w:rPr>
        <w:t xml:space="preserve"> </w:t>
      </w:r>
      <w:r>
        <w:rPr>
          <w:rFonts w:ascii="Arial Black" w:hAnsi="Arial Black"/>
          <w:sz w:val="40"/>
          <w:szCs w:val="40"/>
        </w:rPr>
        <w:t>LAW –</w:t>
      </w:r>
      <w:r w:rsidR="008C6EC1">
        <w:rPr>
          <w:rFonts w:ascii="Arial Black" w:hAnsi="Arial Black"/>
          <w:sz w:val="40"/>
          <w:szCs w:val="40"/>
        </w:rPr>
        <w:t xml:space="preserve"> LIBRARY </w:t>
      </w:r>
      <w:r>
        <w:rPr>
          <w:rFonts w:ascii="Arial Black" w:hAnsi="Arial Black"/>
          <w:sz w:val="40"/>
          <w:szCs w:val="40"/>
        </w:rPr>
        <w:t>RECENT CASE SUMMARIES</w:t>
      </w:r>
    </w:p>
    <w:p w14:paraId="32C2A09A" w14:textId="551E5EDF" w:rsidR="00B90800" w:rsidRPr="00B90800" w:rsidRDefault="00B90800" w:rsidP="000318C6">
      <w:pPr>
        <w:jc w:val="center"/>
        <w:rPr>
          <w:rFonts w:ascii="Arial Black" w:hAnsi="Arial Black"/>
          <w:color w:val="EE0000"/>
          <w:sz w:val="28"/>
          <w:szCs w:val="28"/>
        </w:rPr>
      </w:pPr>
      <w:r w:rsidRPr="00B90800">
        <w:rPr>
          <w:rFonts w:ascii="Arial Black" w:hAnsi="Arial Black"/>
          <w:color w:val="EE0000"/>
          <w:sz w:val="28"/>
          <w:szCs w:val="28"/>
        </w:rPr>
        <w:t>1,</w:t>
      </w:r>
      <w:r w:rsidR="006B0C80">
        <w:rPr>
          <w:rFonts w:ascii="Arial Black" w:hAnsi="Arial Black"/>
          <w:color w:val="EE0000"/>
          <w:sz w:val="28"/>
          <w:szCs w:val="28"/>
        </w:rPr>
        <w:t>726</w:t>
      </w:r>
      <w:r w:rsidRPr="00B90800">
        <w:rPr>
          <w:rFonts w:ascii="Arial Black" w:hAnsi="Arial Black"/>
          <w:color w:val="EE0000"/>
          <w:sz w:val="28"/>
          <w:szCs w:val="28"/>
        </w:rPr>
        <w:t xml:space="preserve"> CASES</w:t>
      </w:r>
      <w:r w:rsidR="00C134B7">
        <w:rPr>
          <w:rFonts w:ascii="Arial Black" w:hAnsi="Arial Black"/>
          <w:color w:val="EE0000"/>
          <w:sz w:val="28"/>
          <w:szCs w:val="28"/>
        </w:rPr>
        <w:t xml:space="preserve"> (2018 – Present)</w:t>
      </w:r>
    </w:p>
    <w:p w14:paraId="711A9CD4" w14:textId="77777777" w:rsidR="003209F9" w:rsidRDefault="001C1C3A" w:rsidP="001C1C3A">
      <w:pPr>
        <w:pStyle w:val="NoSpacing"/>
        <w:ind w:left="1440" w:firstLine="720"/>
      </w:pPr>
      <w:r w:rsidRPr="00D72CFF">
        <w:rPr>
          <w:rFonts w:ascii="Times New Roman" w:hAnsi="Times New Roman"/>
          <w:bCs/>
          <w:sz w:val="20"/>
          <w:szCs w:val="20"/>
        </w:rPr>
        <w:t xml:space="preserve">Posted online, UC Libraries, </w:t>
      </w:r>
      <w:proofErr w:type="spellStart"/>
      <w:r w:rsidRPr="00D72CFF">
        <w:rPr>
          <w:rFonts w:ascii="Times New Roman" w:hAnsi="Times New Roman"/>
          <w:bCs/>
          <w:sz w:val="20"/>
          <w:szCs w:val="20"/>
        </w:rPr>
        <w:t>Scholar@UC</w:t>
      </w:r>
      <w:proofErr w:type="spellEnd"/>
      <w:r w:rsidRPr="00D72CFF">
        <w:rPr>
          <w:rFonts w:ascii="Times New Roman" w:hAnsi="Times New Roman"/>
          <w:bCs/>
          <w:sz w:val="20"/>
          <w:szCs w:val="20"/>
        </w:rPr>
        <w:t>:</w:t>
      </w:r>
      <w:r>
        <w:rPr>
          <w:rFonts w:ascii="Times New Roman" w:hAnsi="Times New Roman"/>
          <w:bCs/>
          <w:sz w:val="20"/>
          <w:szCs w:val="20"/>
        </w:rPr>
        <w:t xml:space="preserve"> </w:t>
      </w:r>
      <w:hyperlink r:id="rId8" w:history="1">
        <w:r w:rsidRPr="00EE6CD3">
          <w:rPr>
            <w:rStyle w:val="Hyperlink"/>
            <w:sz w:val="20"/>
            <w:szCs w:val="20"/>
          </w:rPr>
          <w:t>https://doi.org/10.7945/j6c2-q930</w:t>
        </w:r>
      </w:hyperlink>
    </w:p>
    <w:p w14:paraId="7E79701B" w14:textId="77777777" w:rsidR="002B4AA6" w:rsidRDefault="002B4AA6" w:rsidP="001C1C3A">
      <w:pPr>
        <w:pStyle w:val="NoSpacing"/>
        <w:ind w:left="1440" w:firstLine="720"/>
      </w:pPr>
    </w:p>
    <w:p w14:paraId="4D103B13" w14:textId="77777777" w:rsidR="002B4AA6" w:rsidRPr="00AB532E" w:rsidRDefault="002B4AA6" w:rsidP="00AB532E">
      <w:pPr>
        <w:pStyle w:val="NoSpacing"/>
        <w:ind w:left="720"/>
        <w:jc w:val="center"/>
        <w:rPr>
          <w:rFonts w:ascii="Times New Roman" w:hAnsi="Times New Roman"/>
          <w:sz w:val="20"/>
          <w:szCs w:val="20"/>
        </w:rPr>
      </w:pPr>
      <w:r w:rsidRPr="00AB532E">
        <w:rPr>
          <w:rFonts w:ascii="Times New Roman" w:hAnsi="Times New Roman"/>
          <w:b/>
          <w:bCs/>
          <w:sz w:val="20"/>
          <w:szCs w:val="20"/>
        </w:rPr>
        <w:t>Also posted: National Fire Academy –</w:t>
      </w:r>
      <w:r w:rsidRPr="00AB532E">
        <w:rPr>
          <w:rStyle w:val="Strong"/>
          <w:rFonts w:ascii="Times New Roman" w:hAnsi="Times New Roman"/>
          <w:sz w:val="20"/>
          <w:szCs w:val="20"/>
        </w:rPr>
        <w:t xml:space="preserve"> National Emergency Training Center Library: </w:t>
      </w:r>
      <w:hyperlink r:id="rId9" w:history="1">
        <w:r w:rsidRPr="00AB532E">
          <w:rPr>
            <w:rStyle w:val="Hyperlink"/>
            <w:rFonts w:ascii="Times New Roman" w:hAnsi="Times New Roman"/>
            <w:sz w:val="20"/>
            <w:szCs w:val="20"/>
          </w:rPr>
          <w:t>https://usfa.bibliovation.com/app/work/255508</w:t>
        </w:r>
      </w:hyperlink>
    </w:p>
    <w:p w14:paraId="7F03BA55" w14:textId="77777777" w:rsidR="002B4AA6" w:rsidRPr="00AB532E" w:rsidRDefault="002B4AA6" w:rsidP="00AB532E">
      <w:pPr>
        <w:pStyle w:val="NoSpacing"/>
        <w:ind w:left="1440" w:firstLine="720"/>
        <w:jc w:val="center"/>
        <w:rPr>
          <w:rFonts w:ascii="Times New Roman" w:hAnsi="Times New Roman"/>
          <w:sz w:val="20"/>
          <w:szCs w:val="20"/>
        </w:rPr>
      </w:pPr>
    </w:p>
    <w:p w14:paraId="51B8C5CE" w14:textId="77777777" w:rsidR="00C134B7" w:rsidRDefault="00C134B7" w:rsidP="00336514">
      <w:pPr>
        <w:pStyle w:val="NoSpacing"/>
        <w:ind w:left="2880"/>
        <w:rPr>
          <w:rFonts w:ascii="Arial Black" w:hAnsi="Arial Black"/>
          <w:sz w:val="28"/>
          <w:szCs w:val="28"/>
        </w:rPr>
      </w:pPr>
    </w:p>
    <w:p w14:paraId="7DDE9128" w14:textId="3797B2F2" w:rsidR="00336514" w:rsidRDefault="00336514" w:rsidP="00336514">
      <w:pPr>
        <w:pStyle w:val="NoSpacing"/>
        <w:ind w:left="2880"/>
        <w:rPr>
          <w:rFonts w:ascii="Arial Black" w:hAnsi="Arial Black"/>
          <w:sz w:val="28"/>
          <w:szCs w:val="28"/>
        </w:rPr>
      </w:pPr>
      <w:r w:rsidRPr="006216EF">
        <w:rPr>
          <w:rFonts w:ascii="Arial Black" w:hAnsi="Arial Black"/>
          <w:sz w:val="28"/>
          <w:szCs w:val="28"/>
        </w:rPr>
        <w:t>NOT PROVIDING LEGAL ADVICE.</w:t>
      </w:r>
    </w:p>
    <w:p w14:paraId="59FC0D6D" w14:textId="77777777" w:rsidR="001C1C3A" w:rsidRDefault="001C1C3A" w:rsidP="00336514">
      <w:pPr>
        <w:pStyle w:val="NoSpacing"/>
        <w:ind w:left="2880"/>
        <w:rPr>
          <w:rFonts w:ascii="Arial Black" w:hAnsi="Arial Black"/>
          <w:sz w:val="28"/>
          <w:szCs w:val="28"/>
        </w:rPr>
      </w:pPr>
    </w:p>
    <w:p w14:paraId="7F7A5763" w14:textId="77777777" w:rsidR="00DA1200" w:rsidRDefault="00DA1200" w:rsidP="00DA1200">
      <w:pPr>
        <w:pStyle w:val="p0"/>
        <w:ind w:left="1440"/>
        <w:rPr>
          <w:b/>
          <w:bCs/>
          <w:sz w:val="16"/>
          <w:szCs w:val="16"/>
        </w:rPr>
      </w:pPr>
      <w:r w:rsidRPr="00492302">
        <w:rPr>
          <w:bCs/>
          <w:noProof/>
        </w:rPr>
        <w:drawing>
          <wp:inline distT="0" distB="0" distL="0" distR="0" wp14:anchorId="13777092" wp14:editId="68265166">
            <wp:extent cx="2171700" cy="1630680"/>
            <wp:effectExtent l="0" t="0" r="0" b="0"/>
            <wp:docPr id="1122263655" name="Picture 4" descr="A person holding a fire truck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erson holding a fire truck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71700" cy="1630680"/>
                    </a:xfrm>
                    <a:prstGeom prst="rect">
                      <a:avLst/>
                    </a:prstGeom>
                    <a:noFill/>
                    <a:ln>
                      <a:noFill/>
                    </a:ln>
                  </pic:spPr>
                </pic:pic>
              </a:graphicData>
            </a:graphic>
          </wp:inline>
        </w:drawing>
      </w:r>
      <w:r>
        <w:rPr>
          <w:b/>
          <w:bCs/>
        </w:rPr>
        <w:t xml:space="preserve">      </w:t>
      </w:r>
      <w:r w:rsidRPr="00492302">
        <w:rPr>
          <w:bCs/>
          <w:noProof/>
        </w:rPr>
        <w:drawing>
          <wp:inline distT="0" distB="0" distL="0" distR="0" wp14:anchorId="210DB762" wp14:editId="2640F1B6">
            <wp:extent cx="1554480" cy="1630680"/>
            <wp:effectExtent l="0" t="0" r="0" b="0"/>
            <wp:docPr id="618278438" name="Picture 1" descr="A person holding a do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erson holding a dog&#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54480" cy="1630680"/>
                    </a:xfrm>
                    <a:prstGeom prst="rect">
                      <a:avLst/>
                    </a:prstGeom>
                    <a:noFill/>
                    <a:ln>
                      <a:noFill/>
                    </a:ln>
                  </pic:spPr>
                </pic:pic>
              </a:graphicData>
            </a:graphic>
          </wp:inline>
        </w:drawing>
      </w:r>
      <w:r w:rsidRPr="004D7B96">
        <w:rPr>
          <w:b/>
          <w:bCs/>
          <w:sz w:val="16"/>
          <w:szCs w:val="16"/>
        </w:rPr>
        <w:t>Pet Therapy dog FRYE</w:t>
      </w:r>
    </w:p>
    <w:p w14:paraId="205294EC" w14:textId="77777777" w:rsidR="008E3395" w:rsidRPr="008E3395" w:rsidRDefault="008E3395" w:rsidP="008E3395"/>
    <w:p w14:paraId="5D3C60EC" w14:textId="50D8080A" w:rsidR="00327B64" w:rsidRDefault="006C14C0" w:rsidP="008E3395">
      <w:pPr>
        <w:ind w:left="2160" w:firstLine="720"/>
        <w:rPr>
          <w:rStyle w:val="Strong"/>
          <w:b w:val="0"/>
        </w:rPr>
      </w:pPr>
      <w:r>
        <w:rPr>
          <w:noProof/>
        </w:rPr>
        <w:drawing>
          <wp:inline distT="0" distB="0" distL="0" distR="0" wp14:anchorId="671DD1C9" wp14:editId="59B0B555">
            <wp:extent cx="1623060" cy="2163211"/>
            <wp:effectExtent l="0" t="0" r="0" b="8890"/>
            <wp:docPr id="1143274283" name="Picture 1" descr="Fire Service Law:  by Lawrence T. Benne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re Service Law:  by Lawrence T. Bennet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56340" cy="2207566"/>
                    </a:xfrm>
                    <a:prstGeom prst="rect">
                      <a:avLst/>
                    </a:prstGeom>
                    <a:noFill/>
                    <a:ln>
                      <a:noFill/>
                    </a:ln>
                  </pic:spPr>
                </pic:pic>
              </a:graphicData>
            </a:graphic>
          </wp:inline>
        </w:drawing>
      </w:r>
      <w:r w:rsidR="00327B64" w:rsidRPr="00E87FC9">
        <w:rPr>
          <w:noProof/>
        </w:rPr>
        <w:drawing>
          <wp:inline distT="0" distB="0" distL="0" distR="0" wp14:anchorId="0AB9545B" wp14:editId="02E5F00B">
            <wp:extent cx="2179320" cy="2144864"/>
            <wp:effectExtent l="0" t="0" r="0" b="0"/>
            <wp:docPr id="1757636339" name="Picture 12" descr="A firefighter wearing a mas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636339" name="Picture 12" descr="A firefighter wearing a mask&#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86935" cy="2152359"/>
                    </a:xfrm>
                    <a:prstGeom prst="rect">
                      <a:avLst/>
                    </a:prstGeom>
                    <a:noFill/>
                    <a:ln>
                      <a:noFill/>
                    </a:ln>
                  </pic:spPr>
                </pic:pic>
              </a:graphicData>
            </a:graphic>
          </wp:inline>
        </w:drawing>
      </w:r>
    </w:p>
    <w:p w14:paraId="685461D8" w14:textId="78880B6F" w:rsidR="001C1C3A" w:rsidRPr="001C1C3A" w:rsidRDefault="001C1C3A" w:rsidP="008D7007">
      <w:pPr>
        <w:pStyle w:val="NoSpacing"/>
      </w:pPr>
      <w:r w:rsidRPr="00E7637D">
        <w:t>Updating 18 chapters of my textbook</w:t>
      </w:r>
      <w:r w:rsidR="00C134B7">
        <w:t xml:space="preserve">: </w:t>
      </w:r>
      <w:r w:rsidRPr="00E7637D">
        <w:t>Fire Service Law (2017)</w:t>
      </w:r>
      <w:r w:rsidR="00D4353F">
        <w:t>:</w:t>
      </w:r>
      <w:hyperlink r:id="rId14" w:history="1">
        <w:r w:rsidRPr="00E7637D">
          <w:rPr>
            <w:rStyle w:val="Hyperlink"/>
            <w:rFonts w:ascii="Times New Roman" w:hAnsi="Times New Roman"/>
            <w:bCs/>
            <w:szCs w:val="20"/>
          </w:rPr>
          <w:t>http://www.waveland.com/browse.php?t=708</w:t>
        </w:r>
      </w:hyperlink>
    </w:p>
    <w:p w14:paraId="38451120" w14:textId="77777777" w:rsidR="001C1C3A" w:rsidRDefault="001C1C3A" w:rsidP="004E6CA7">
      <w:pPr>
        <w:pStyle w:val="NoSpacing"/>
        <w:jc w:val="center"/>
        <w:rPr>
          <w:rFonts w:ascii="Times New Roman" w:hAnsi="Times New Roman"/>
          <w:sz w:val="24"/>
          <w:szCs w:val="24"/>
        </w:rPr>
      </w:pPr>
    </w:p>
    <w:p w14:paraId="353FA1A8" w14:textId="3B153954" w:rsidR="004E6CA7" w:rsidRDefault="004E6CA7" w:rsidP="004E6CA7">
      <w:pPr>
        <w:pStyle w:val="NoSpacing"/>
        <w:jc w:val="center"/>
        <w:rPr>
          <w:rFonts w:ascii="Times New Roman" w:hAnsi="Times New Roman"/>
          <w:sz w:val="24"/>
          <w:szCs w:val="24"/>
        </w:rPr>
      </w:pPr>
      <w:r w:rsidRPr="00403244">
        <w:rPr>
          <w:rFonts w:ascii="Times New Roman" w:hAnsi="Times New Roman"/>
          <w:sz w:val="24"/>
          <w:szCs w:val="24"/>
        </w:rPr>
        <w:t>Lawrence T. Bennett, Esq.</w:t>
      </w:r>
    </w:p>
    <w:p w14:paraId="65297302" w14:textId="77777777" w:rsidR="004E6CA7" w:rsidRPr="00403244" w:rsidRDefault="004E6CA7" w:rsidP="004E6CA7">
      <w:pPr>
        <w:pStyle w:val="NoSpacing"/>
        <w:jc w:val="center"/>
        <w:rPr>
          <w:rFonts w:ascii="Times New Roman" w:hAnsi="Times New Roman"/>
          <w:sz w:val="24"/>
          <w:szCs w:val="24"/>
        </w:rPr>
      </w:pPr>
      <w:r>
        <w:rPr>
          <w:rFonts w:ascii="Times New Roman" w:hAnsi="Times New Roman"/>
          <w:sz w:val="24"/>
          <w:szCs w:val="24"/>
        </w:rPr>
        <w:t>Professor – Educator Emeritus</w:t>
      </w:r>
    </w:p>
    <w:p w14:paraId="022E10C9" w14:textId="27CE8FC9" w:rsidR="004E6CA7" w:rsidRPr="00403244" w:rsidRDefault="00684B8D" w:rsidP="004E6CA7">
      <w:pPr>
        <w:pStyle w:val="NoSpacing"/>
        <w:jc w:val="center"/>
        <w:rPr>
          <w:rFonts w:ascii="Times New Roman" w:hAnsi="Times New Roman"/>
          <w:sz w:val="24"/>
          <w:szCs w:val="24"/>
        </w:rPr>
      </w:pPr>
      <w:r>
        <w:rPr>
          <w:rFonts w:ascii="Times New Roman" w:hAnsi="Times New Roman"/>
          <w:sz w:val="24"/>
          <w:szCs w:val="24"/>
        </w:rPr>
        <w:t xml:space="preserve">Former </w:t>
      </w:r>
      <w:r w:rsidR="004E6CA7" w:rsidRPr="00403244">
        <w:rPr>
          <w:rFonts w:ascii="Times New Roman" w:hAnsi="Times New Roman"/>
          <w:sz w:val="24"/>
          <w:szCs w:val="24"/>
        </w:rPr>
        <w:t>Program Chair</w:t>
      </w:r>
    </w:p>
    <w:p w14:paraId="3C46A891" w14:textId="77777777" w:rsidR="004E6CA7" w:rsidRPr="00403244" w:rsidRDefault="004E6CA7" w:rsidP="004E6CA7">
      <w:pPr>
        <w:pStyle w:val="NoSpacing"/>
        <w:jc w:val="center"/>
        <w:rPr>
          <w:rFonts w:ascii="Times New Roman" w:hAnsi="Times New Roman"/>
          <w:sz w:val="24"/>
          <w:szCs w:val="24"/>
        </w:rPr>
      </w:pPr>
      <w:r w:rsidRPr="00403244">
        <w:rPr>
          <w:rFonts w:ascii="Times New Roman" w:hAnsi="Times New Roman"/>
          <w:sz w:val="24"/>
          <w:szCs w:val="24"/>
        </w:rPr>
        <w:t>Fire Science &amp; Emergency Management</w:t>
      </w:r>
    </w:p>
    <w:p w14:paraId="7DBD8955" w14:textId="77777777" w:rsidR="004E6CA7" w:rsidRPr="00403244" w:rsidRDefault="004E6CA7" w:rsidP="004E6CA7">
      <w:pPr>
        <w:pStyle w:val="NoSpacing"/>
        <w:jc w:val="center"/>
        <w:rPr>
          <w:rFonts w:ascii="Times New Roman" w:hAnsi="Times New Roman"/>
          <w:sz w:val="24"/>
          <w:szCs w:val="24"/>
        </w:rPr>
      </w:pPr>
      <w:r w:rsidRPr="00403244">
        <w:rPr>
          <w:rFonts w:ascii="Times New Roman" w:hAnsi="Times New Roman"/>
          <w:sz w:val="24"/>
          <w:szCs w:val="24"/>
        </w:rPr>
        <w:t>Cell 513-470-2744</w:t>
      </w:r>
    </w:p>
    <w:p w14:paraId="6B4A7DBC" w14:textId="77777777" w:rsidR="004E6CA7" w:rsidRDefault="004E6CA7" w:rsidP="004E6CA7">
      <w:pPr>
        <w:pStyle w:val="NoSpacing"/>
        <w:jc w:val="center"/>
      </w:pPr>
      <w:hyperlink r:id="rId15" w:history="1">
        <w:r w:rsidRPr="00403244">
          <w:rPr>
            <w:rStyle w:val="Hyperlink"/>
            <w:rFonts w:ascii="Times New Roman" w:hAnsi="Times New Roman"/>
            <w:sz w:val="24"/>
            <w:szCs w:val="24"/>
          </w:rPr>
          <w:t>Lawrence.bennett@uc.edu</w:t>
        </w:r>
      </w:hyperlink>
    </w:p>
    <w:p w14:paraId="5D83A70E" w14:textId="77777777" w:rsidR="00B921CF" w:rsidRDefault="00B921CF" w:rsidP="004E6CA7">
      <w:pPr>
        <w:pStyle w:val="NoSpacing"/>
        <w:jc w:val="center"/>
      </w:pPr>
    </w:p>
    <w:p w14:paraId="630A6671" w14:textId="25B9FB80" w:rsidR="00F326E5" w:rsidRPr="00105EF2" w:rsidRDefault="00F326E5" w:rsidP="00F326E5">
      <w:pPr>
        <w:pStyle w:val="NoSpacing"/>
        <w:rPr>
          <w:rFonts w:ascii="Times New Roman" w:hAnsi="Times New Roman"/>
          <w:b/>
          <w:color w:val="EE0000"/>
          <w:sz w:val="24"/>
          <w:szCs w:val="24"/>
        </w:rPr>
      </w:pPr>
      <w:r w:rsidRPr="00F22A0D">
        <w:rPr>
          <w:rFonts w:ascii="Times New Roman" w:hAnsi="Times New Roman"/>
          <w:b/>
          <w:sz w:val="24"/>
          <w:szCs w:val="24"/>
        </w:rPr>
        <w:t>Chap. 1</w:t>
      </w:r>
      <w:r w:rsidR="00F22A0D">
        <w:rPr>
          <w:rFonts w:ascii="Times New Roman" w:hAnsi="Times New Roman"/>
          <w:b/>
          <w:sz w:val="24"/>
          <w:szCs w:val="24"/>
        </w:rPr>
        <w:tab/>
      </w:r>
      <w:r w:rsidRPr="00F22A0D">
        <w:rPr>
          <w:rFonts w:ascii="Times New Roman" w:hAnsi="Times New Roman"/>
          <w:b/>
          <w:sz w:val="24"/>
          <w:szCs w:val="24"/>
        </w:rPr>
        <w:t>American Legal System</w:t>
      </w:r>
      <w:r w:rsidR="003F660F" w:rsidRPr="00F22A0D">
        <w:rPr>
          <w:rFonts w:ascii="Times New Roman" w:hAnsi="Times New Roman"/>
          <w:b/>
          <w:sz w:val="24"/>
          <w:szCs w:val="24"/>
        </w:rPr>
        <w:t xml:space="preserve">, incl. Fire Code, Fire Invest. </w:t>
      </w:r>
      <w:r w:rsidR="00636395" w:rsidRPr="00F22A0D">
        <w:rPr>
          <w:rFonts w:ascii="Times New Roman" w:hAnsi="Times New Roman"/>
          <w:b/>
          <w:sz w:val="24"/>
          <w:szCs w:val="24"/>
        </w:rPr>
        <w:t xml:space="preserve"> </w:t>
      </w:r>
      <w:r w:rsidRPr="00F22A0D">
        <w:rPr>
          <w:rFonts w:ascii="Times New Roman" w:hAnsi="Times New Roman"/>
          <w:b/>
          <w:sz w:val="24"/>
          <w:szCs w:val="24"/>
        </w:rPr>
        <w:t xml:space="preserve">   </w:t>
      </w:r>
      <w:r w:rsidR="00105EF2">
        <w:rPr>
          <w:rFonts w:ascii="Times New Roman" w:hAnsi="Times New Roman"/>
          <w:b/>
          <w:sz w:val="24"/>
          <w:szCs w:val="24"/>
        </w:rPr>
        <w:t xml:space="preserve"> </w:t>
      </w:r>
      <w:r w:rsidR="00105EF2">
        <w:rPr>
          <w:rFonts w:ascii="Times New Roman" w:hAnsi="Times New Roman"/>
          <w:b/>
          <w:sz w:val="24"/>
          <w:szCs w:val="24"/>
        </w:rPr>
        <w:tab/>
      </w:r>
      <w:r w:rsidR="00105EF2">
        <w:rPr>
          <w:rFonts w:ascii="Times New Roman" w:hAnsi="Times New Roman"/>
          <w:b/>
          <w:sz w:val="24"/>
          <w:szCs w:val="24"/>
        </w:rPr>
        <w:tab/>
      </w:r>
      <w:r w:rsidR="00105EF2">
        <w:rPr>
          <w:rFonts w:ascii="Times New Roman" w:hAnsi="Times New Roman"/>
          <w:b/>
          <w:sz w:val="24"/>
          <w:szCs w:val="24"/>
        </w:rPr>
        <w:tab/>
      </w:r>
      <w:r w:rsidR="00105EF2" w:rsidRPr="00105EF2">
        <w:rPr>
          <w:rFonts w:ascii="Times New Roman" w:hAnsi="Times New Roman"/>
          <w:b/>
          <w:color w:val="EE0000"/>
          <w:sz w:val="24"/>
          <w:szCs w:val="24"/>
        </w:rPr>
        <w:t>2</w:t>
      </w:r>
      <w:r w:rsidR="00E16BDA">
        <w:rPr>
          <w:rFonts w:ascii="Times New Roman" w:hAnsi="Times New Roman"/>
          <w:b/>
          <w:color w:val="EE0000"/>
          <w:sz w:val="24"/>
          <w:szCs w:val="24"/>
        </w:rPr>
        <w:t>20</w:t>
      </w:r>
      <w:r w:rsidR="00105EF2" w:rsidRPr="00105EF2">
        <w:rPr>
          <w:rFonts w:ascii="Times New Roman" w:hAnsi="Times New Roman"/>
          <w:b/>
          <w:color w:val="EE0000"/>
          <w:sz w:val="24"/>
          <w:szCs w:val="24"/>
        </w:rPr>
        <w:t xml:space="preserve"> cases</w:t>
      </w:r>
    </w:p>
    <w:p w14:paraId="2108EABF" w14:textId="7611F129" w:rsidR="00F326E5" w:rsidRPr="00F22A0D" w:rsidRDefault="00F326E5" w:rsidP="00F326E5">
      <w:pPr>
        <w:pStyle w:val="NoSpacing"/>
        <w:rPr>
          <w:rFonts w:ascii="Times New Roman" w:hAnsi="Times New Roman"/>
          <w:b/>
          <w:sz w:val="24"/>
          <w:szCs w:val="24"/>
        </w:rPr>
      </w:pPr>
      <w:r w:rsidRPr="00F22A0D">
        <w:rPr>
          <w:rFonts w:ascii="Times New Roman" w:hAnsi="Times New Roman"/>
          <w:b/>
          <w:sz w:val="24"/>
          <w:szCs w:val="24"/>
        </w:rPr>
        <w:t>Chap. 2</w:t>
      </w:r>
      <w:r w:rsidRPr="00F22A0D">
        <w:rPr>
          <w:rFonts w:ascii="Times New Roman" w:hAnsi="Times New Roman"/>
          <w:b/>
          <w:sz w:val="24"/>
          <w:szCs w:val="24"/>
        </w:rPr>
        <w:tab/>
        <w:t xml:space="preserve">Line </w:t>
      </w:r>
      <w:proofErr w:type="gramStart"/>
      <w:r w:rsidRPr="00F22A0D">
        <w:rPr>
          <w:rFonts w:ascii="Times New Roman" w:hAnsi="Times New Roman"/>
          <w:b/>
          <w:sz w:val="24"/>
          <w:szCs w:val="24"/>
        </w:rPr>
        <w:t>Of</w:t>
      </w:r>
      <w:proofErr w:type="gramEnd"/>
      <w:r w:rsidRPr="00F22A0D">
        <w:rPr>
          <w:rFonts w:ascii="Times New Roman" w:hAnsi="Times New Roman"/>
          <w:b/>
          <w:sz w:val="24"/>
          <w:szCs w:val="24"/>
        </w:rPr>
        <w:t xml:space="preserve"> Duty Death</w:t>
      </w:r>
      <w:r w:rsidR="00636395" w:rsidRPr="00F22A0D">
        <w:rPr>
          <w:rFonts w:ascii="Times New Roman" w:hAnsi="Times New Roman"/>
          <w:b/>
          <w:sz w:val="24"/>
          <w:szCs w:val="24"/>
        </w:rPr>
        <w:t xml:space="preserve"> / </w:t>
      </w:r>
      <w:r w:rsidRPr="00F22A0D">
        <w:rPr>
          <w:rFonts w:ascii="Times New Roman" w:hAnsi="Times New Roman"/>
          <w:b/>
          <w:sz w:val="24"/>
          <w:szCs w:val="24"/>
        </w:rPr>
        <w:t>Safety</w:t>
      </w:r>
      <w:r w:rsidR="00105EF2">
        <w:rPr>
          <w:rFonts w:ascii="Times New Roman" w:hAnsi="Times New Roman"/>
          <w:b/>
          <w:sz w:val="24"/>
          <w:szCs w:val="24"/>
        </w:rPr>
        <w:tab/>
      </w:r>
      <w:r w:rsidR="00105EF2">
        <w:rPr>
          <w:rFonts w:ascii="Times New Roman" w:hAnsi="Times New Roman"/>
          <w:b/>
          <w:sz w:val="24"/>
          <w:szCs w:val="24"/>
        </w:rPr>
        <w:tab/>
      </w:r>
      <w:r w:rsidR="00105EF2">
        <w:rPr>
          <w:rFonts w:ascii="Times New Roman" w:hAnsi="Times New Roman"/>
          <w:b/>
          <w:sz w:val="24"/>
          <w:szCs w:val="24"/>
        </w:rPr>
        <w:tab/>
      </w:r>
      <w:r w:rsidR="00105EF2">
        <w:rPr>
          <w:rFonts w:ascii="Times New Roman" w:hAnsi="Times New Roman"/>
          <w:b/>
          <w:sz w:val="24"/>
          <w:szCs w:val="24"/>
        </w:rPr>
        <w:tab/>
      </w:r>
      <w:r w:rsidR="00105EF2">
        <w:rPr>
          <w:rFonts w:ascii="Times New Roman" w:hAnsi="Times New Roman"/>
          <w:b/>
          <w:sz w:val="24"/>
          <w:szCs w:val="24"/>
        </w:rPr>
        <w:tab/>
      </w:r>
      <w:r w:rsidR="00105EF2">
        <w:rPr>
          <w:rFonts w:ascii="Times New Roman" w:hAnsi="Times New Roman"/>
          <w:b/>
          <w:sz w:val="24"/>
          <w:szCs w:val="24"/>
        </w:rPr>
        <w:tab/>
      </w:r>
      <w:r w:rsidR="00105EF2">
        <w:rPr>
          <w:rFonts w:ascii="Times New Roman" w:hAnsi="Times New Roman"/>
          <w:b/>
          <w:sz w:val="24"/>
          <w:szCs w:val="24"/>
        </w:rPr>
        <w:tab/>
      </w:r>
      <w:r w:rsidR="00597923" w:rsidRPr="00597923">
        <w:rPr>
          <w:rFonts w:ascii="Times New Roman" w:hAnsi="Times New Roman"/>
          <w:b/>
          <w:color w:val="EE0000"/>
          <w:sz w:val="24"/>
          <w:szCs w:val="24"/>
        </w:rPr>
        <w:t>1</w:t>
      </w:r>
      <w:r w:rsidR="00CA73AA">
        <w:rPr>
          <w:rFonts w:ascii="Times New Roman" w:hAnsi="Times New Roman"/>
          <w:b/>
          <w:color w:val="EE0000"/>
          <w:sz w:val="24"/>
          <w:szCs w:val="24"/>
        </w:rPr>
        <w:t>1</w:t>
      </w:r>
      <w:r w:rsidR="00812F8E">
        <w:rPr>
          <w:rFonts w:ascii="Times New Roman" w:hAnsi="Times New Roman"/>
          <w:b/>
          <w:color w:val="EE0000"/>
          <w:sz w:val="24"/>
          <w:szCs w:val="24"/>
        </w:rPr>
        <w:t>6</w:t>
      </w:r>
      <w:r w:rsidR="00597923" w:rsidRPr="00597923">
        <w:rPr>
          <w:rFonts w:ascii="Times New Roman" w:hAnsi="Times New Roman"/>
          <w:b/>
          <w:color w:val="EE0000"/>
          <w:sz w:val="24"/>
          <w:szCs w:val="24"/>
        </w:rPr>
        <w:t xml:space="preserve"> cases</w:t>
      </w:r>
      <w:r w:rsidR="00105EF2">
        <w:rPr>
          <w:rFonts w:ascii="Times New Roman" w:hAnsi="Times New Roman"/>
          <w:b/>
          <w:sz w:val="24"/>
          <w:szCs w:val="24"/>
        </w:rPr>
        <w:tab/>
      </w:r>
      <w:r w:rsidR="00105EF2">
        <w:rPr>
          <w:rFonts w:ascii="Times New Roman" w:hAnsi="Times New Roman"/>
          <w:b/>
          <w:sz w:val="24"/>
          <w:szCs w:val="24"/>
        </w:rPr>
        <w:tab/>
      </w:r>
    </w:p>
    <w:p w14:paraId="6E22783A" w14:textId="7DE34396" w:rsidR="00F326E5" w:rsidRPr="00597923" w:rsidRDefault="00F326E5" w:rsidP="00F326E5">
      <w:pPr>
        <w:pStyle w:val="NoSpacing"/>
        <w:rPr>
          <w:rFonts w:ascii="Times New Roman" w:hAnsi="Times New Roman"/>
          <w:b/>
          <w:color w:val="EE0000"/>
          <w:sz w:val="24"/>
          <w:szCs w:val="24"/>
        </w:rPr>
      </w:pPr>
      <w:r w:rsidRPr="00F22A0D">
        <w:rPr>
          <w:rFonts w:ascii="Times New Roman" w:hAnsi="Times New Roman"/>
          <w:b/>
          <w:sz w:val="24"/>
          <w:szCs w:val="24"/>
        </w:rPr>
        <w:t>Chap. 3</w:t>
      </w:r>
      <w:r w:rsidRPr="00F22A0D">
        <w:rPr>
          <w:rFonts w:ascii="Times New Roman" w:hAnsi="Times New Roman"/>
          <w:b/>
          <w:sz w:val="24"/>
          <w:szCs w:val="24"/>
        </w:rPr>
        <w:tab/>
        <w:t>Homeland Security</w:t>
      </w:r>
      <w:r w:rsidR="003F660F" w:rsidRPr="00F22A0D">
        <w:rPr>
          <w:rFonts w:ascii="Times New Roman" w:hAnsi="Times New Roman"/>
          <w:b/>
          <w:sz w:val="24"/>
          <w:szCs w:val="24"/>
        </w:rPr>
        <w:t>, incl.</w:t>
      </w:r>
      <w:r w:rsidR="00636395" w:rsidRPr="00F22A0D">
        <w:rPr>
          <w:rFonts w:ascii="Times New Roman" w:hAnsi="Times New Roman"/>
          <w:b/>
          <w:sz w:val="24"/>
          <w:szCs w:val="24"/>
        </w:rPr>
        <w:t xml:space="preserve"> </w:t>
      </w:r>
      <w:r w:rsidRPr="00F22A0D">
        <w:rPr>
          <w:rFonts w:ascii="Times New Roman" w:hAnsi="Times New Roman"/>
          <w:b/>
          <w:sz w:val="24"/>
          <w:szCs w:val="24"/>
        </w:rPr>
        <w:t>Active Shooter</w:t>
      </w:r>
      <w:r w:rsidR="003F660F" w:rsidRPr="00F22A0D">
        <w:rPr>
          <w:rFonts w:ascii="Times New Roman" w:hAnsi="Times New Roman"/>
          <w:b/>
          <w:sz w:val="24"/>
          <w:szCs w:val="24"/>
        </w:rPr>
        <w:t xml:space="preserve">, </w:t>
      </w:r>
      <w:r w:rsidR="00636395" w:rsidRPr="00F22A0D">
        <w:rPr>
          <w:rFonts w:ascii="Times New Roman" w:hAnsi="Times New Roman"/>
          <w:b/>
          <w:sz w:val="24"/>
          <w:szCs w:val="24"/>
        </w:rPr>
        <w:t>Cybersecurity</w:t>
      </w:r>
      <w:r w:rsidR="00B7693D">
        <w:rPr>
          <w:rFonts w:ascii="Times New Roman" w:hAnsi="Times New Roman"/>
          <w:b/>
          <w:sz w:val="24"/>
          <w:szCs w:val="24"/>
        </w:rPr>
        <w:tab/>
      </w:r>
      <w:r w:rsidR="00B7693D">
        <w:rPr>
          <w:rFonts w:ascii="Times New Roman" w:hAnsi="Times New Roman"/>
          <w:b/>
          <w:sz w:val="24"/>
          <w:szCs w:val="24"/>
        </w:rPr>
        <w:tab/>
      </w:r>
      <w:r w:rsidR="00597923">
        <w:rPr>
          <w:rFonts w:ascii="Times New Roman" w:hAnsi="Times New Roman"/>
          <w:b/>
          <w:sz w:val="24"/>
          <w:szCs w:val="24"/>
        </w:rPr>
        <w:tab/>
      </w:r>
      <w:r w:rsidR="00CA73AA">
        <w:rPr>
          <w:rFonts w:ascii="Times New Roman" w:hAnsi="Times New Roman"/>
          <w:b/>
          <w:color w:val="EE0000"/>
          <w:sz w:val="24"/>
          <w:szCs w:val="24"/>
        </w:rPr>
        <w:t>9</w:t>
      </w:r>
      <w:r w:rsidR="00B8435D">
        <w:rPr>
          <w:rFonts w:ascii="Times New Roman" w:hAnsi="Times New Roman"/>
          <w:b/>
          <w:color w:val="EE0000"/>
          <w:sz w:val="24"/>
          <w:szCs w:val="24"/>
        </w:rPr>
        <w:t>5</w:t>
      </w:r>
      <w:r w:rsidR="00597923" w:rsidRPr="00597923">
        <w:rPr>
          <w:rFonts w:ascii="Times New Roman" w:hAnsi="Times New Roman"/>
          <w:b/>
          <w:color w:val="EE0000"/>
          <w:sz w:val="24"/>
          <w:szCs w:val="24"/>
        </w:rPr>
        <w:t xml:space="preserve"> cases</w:t>
      </w:r>
    </w:p>
    <w:p w14:paraId="3B6B36EA" w14:textId="5721B604" w:rsidR="00F326E5" w:rsidRPr="0076241C" w:rsidRDefault="00F326E5" w:rsidP="00F326E5">
      <w:pPr>
        <w:pStyle w:val="NoSpacing"/>
        <w:rPr>
          <w:rFonts w:ascii="Times New Roman" w:hAnsi="Times New Roman"/>
          <w:b/>
          <w:color w:val="EE0000"/>
          <w:sz w:val="24"/>
          <w:szCs w:val="24"/>
        </w:rPr>
      </w:pPr>
      <w:r w:rsidRPr="00F22A0D">
        <w:rPr>
          <w:rFonts w:ascii="Times New Roman" w:hAnsi="Times New Roman"/>
          <w:b/>
          <w:sz w:val="24"/>
          <w:szCs w:val="24"/>
        </w:rPr>
        <w:t>Chap. 4</w:t>
      </w:r>
      <w:r w:rsidRPr="00F22A0D">
        <w:rPr>
          <w:rFonts w:ascii="Times New Roman" w:hAnsi="Times New Roman"/>
          <w:b/>
          <w:sz w:val="24"/>
          <w:szCs w:val="24"/>
        </w:rPr>
        <w:tab/>
        <w:t>Incident Command</w:t>
      </w:r>
      <w:r w:rsidR="003F660F" w:rsidRPr="00F22A0D">
        <w:rPr>
          <w:rFonts w:ascii="Times New Roman" w:hAnsi="Times New Roman"/>
          <w:b/>
          <w:sz w:val="24"/>
          <w:szCs w:val="24"/>
        </w:rPr>
        <w:t xml:space="preserve">, incl </w:t>
      </w:r>
      <w:r w:rsidRPr="00F22A0D">
        <w:rPr>
          <w:rFonts w:ascii="Times New Roman" w:hAnsi="Times New Roman"/>
          <w:b/>
          <w:sz w:val="24"/>
          <w:szCs w:val="24"/>
        </w:rPr>
        <w:t>Training</w:t>
      </w:r>
      <w:r w:rsidR="003F660F" w:rsidRPr="00F22A0D">
        <w:rPr>
          <w:rFonts w:ascii="Times New Roman" w:hAnsi="Times New Roman"/>
          <w:b/>
          <w:sz w:val="24"/>
          <w:szCs w:val="24"/>
        </w:rPr>
        <w:t xml:space="preserve">, </w:t>
      </w:r>
      <w:r w:rsidRPr="00F22A0D">
        <w:rPr>
          <w:rFonts w:ascii="Times New Roman" w:hAnsi="Times New Roman"/>
          <w:b/>
          <w:sz w:val="24"/>
          <w:szCs w:val="24"/>
        </w:rPr>
        <w:t>Drones</w:t>
      </w:r>
      <w:r w:rsidR="00597923">
        <w:rPr>
          <w:rFonts w:ascii="Times New Roman" w:hAnsi="Times New Roman"/>
          <w:b/>
          <w:sz w:val="24"/>
          <w:szCs w:val="24"/>
        </w:rPr>
        <w:tab/>
      </w:r>
      <w:r w:rsidR="00597923">
        <w:rPr>
          <w:rFonts w:ascii="Times New Roman" w:hAnsi="Times New Roman"/>
          <w:b/>
          <w:sz w:val="24"/>
          <w:szCs w:val="24"/>
        </w:rPr>
        <w:tab/>
      </w:r>
      <w:r w:rsidR="00597923">
        <w:rPr>
          <w:rFonts w:ascii="Times New Roman" w:hAnsi="Times New Roman"/>
          <w:b/>
          <w:sz w:val="24"/>
          <w:szCs w:val="24"/>
        </w:rPr>
        <w:tab/>
      </w:r>
      <w:r w:rsidR="00597923">
        <w:rPr>
          <w:rFonts w:ascii="Times New Roman" w:hAnsi="Times New Roman"/>
          <w:b/>
          <w:sz w:val="24"/>
          <w:szCs w:val="24"/>
        </w:rPr>
        <w:tab/>
      </w:r>
      <w:r w:rsidR="00597923">
        <w:rPr>
          <w:rFonts w:ascii="Times New Roman" w:hAnsi="Times New Roman"/>
          <w:b/>
          <w:sz w:val="24"/>
          <w:szCs w:val="24"/>
        </w:rPr>
        <w:tab/>
      </w:r>
      <w:r w:rsidR="0076241C" w:rsidRPr="0076241C">
        <w:rPr>
          <w:rFonts w:ascii="Times New Roman" w:hAnsi="Times New Roman"/>
          <w:b/>
          <w:color w:val="EE0000"/>
          <w:sz w:val="24"/>
          <w:szCs w:val="24"/>
        </w:rPr>
        <w:t>5</w:t>
      </w:r>
      <w:r w:rsidR="00B8435D">
        <w:rPr>
          <w:rFonts w:ascii="Times New Roman" w:hAnsi="Times New Roman"/>
          <w:b/>
          <w:color w:val="EE0000"/>
          <w:sz w:val="24"/>
          <w:szCs w:val="24"/>
        </w:rPr>
        <w:t>7</w:t>
      </w:r>
      <w:r w:rsidR="0076241C" w:rsidRPr="0076241C">
        <w:rPr>
          <w:rFonts w:ascii="Times New Roman" w:hAnsi="Times New Roman"/>
          <w:b/>
          <w:color w:val="EE0000"/>
          <w:sz w:val="24"/>
          <w:szCs w:val="24"/>
        </w:rPr>
        <w:t xml:space="preserve"> cases</w:t>
      </w:r>
    </w:p>
    <w:p w14:paraId="1B2693F0" w14:textId="177A06A7" w:rsidR="00F326E5" w:rsidRPr="00F22A0D" w:rsidRDefault="00F326E5" w:rsidP="00F326E5">
      <w:pPr>
        <w:pStyle w:val="NoSpacing"/>
        <w:rPr>
          <w:rFonts w:ascii="Times New Roman" w:hAnsi="Times New Roman"/>
          <w:b/>
          <w:sz w:val="24"/>
          <w:szCs w:val="24"/>
        </w:rPr>
      </w:pPr>
      <w:r w:rsidRPr="00F22A0D">
        <w:rPr>
          <w:rFonts w:ascii="Times New Roman" w:hAnsi="Times New Roman"/>
          <w:b/>
          <w:sz w:val="24"/>
          <w:szCs w:val="24"/>
        </w:rPr>
        <w:t>Chap. 5</w:t>
      </w:r>
      <w:r w:rsidRPr="00F22A0D">
        <w:rPr>
          <w:rFonts w:ascii="Times New Roman" w:hAnsi="Times New Roman"/>
          <w:b/>
          <w:sz w:val="24"/>
          <w:szCs w:val="24"/>
        </w:rPr>
        <w:tab/>
        <w:t>Emergency Vehicle Operations</w:t>
      </w:r>
      <w:r w:rsidR="0076241C">
        <w:rPr>
          <w:rFonts w:ascii="Times New Roman" w:hAnsi="Times New Roman"/>
          <w:b/>
          <w:sz w:val="24"/>
          <w:szCs w:val="24"/>
        </w:rPr>
        <w:tab/>
      </w:r>
      <w:r w:rsidR="0076241C">
        <w:rPr>
          <w:rFonts w:ascii="Times New Roman" w:hAnsi="Times New Roman"/>
          <w:b/>
          <w:sz w:val="24"/>
          <w:szCs w:val="24"/>
        </w:rPr>
        <w:tab/>
      </w:r>
      <w:r w:rsidR="0076241C">
        <w:rPr>
          <w:rFonts w:ascii="Times New Roman" w:hAnsi="Times New Roman"/>
          <w:b/>
          <w:sz w:val="24"/>
          <w:szCs w:val="24"/>
        </w:rPr>
        <w:tab/>
      </w:r>
      <w:r w:rsidR="0076241C">
        <w:rPr>
          <w:rFonts w:ascii="Times New Roman" w:hAnsi="Times New Roman"/>
          <w:b/>
          <w:sz w:val="24"/>
          <w:szCs w:val="24"/>
        </w:rPr>
        <w:tab/>
      </w:r>
      <w:r w:rsidR="0076241C">
        <w:rPr>
          <w:rFonts w:ascii="Times New Roman" w:hAnsi="Times New Roman"/>
          <w:b/>
          <w:sz w:val="24"/>
          <w:szCs w:val="24"/>
        </w:rPr>
        <w:tab/>
      </w:r>
      <w:r w:rsidR="0076241C">
        <w:rPr>
          <w:rFonts w:ascii="Times New Roman" w:hAnsi="Times New Roman"/>
          <w:b/>
          <w:sz w:val="24"/>
          <w:szCs w:val="24"/>
        </w:rPr>
        <w:tab/>
      </w:r>
      <w:r w:rsidR="0076241C" w:rsidRPr="0076241C">
        <w:rPr>
          <w:rFonts w:ascii="Times New Roman" w:hAnsi="Times New Roman"/>
          <w:b/>
          <w:color w:val="EE0000"/>
          <w:sz w:val="24"/>
          <w:szCs w:val="24"/>
        </w:rPr>
        <w:t>6</w:t>
      </w:r>
      <w:r w:rsidR="004102A6">
        <w:rPr>
          <w:rFonts w:ascii="Times New Roman" w:hAnsi="Times New Roman"/>
          <w:b/>
          <w:color w:val="EE0000"/>
          <w:sz w:val="24"/>
          <w:szCs w:val="24"/>
        </w:rPr>
        <w:t>7</w:t>
      </w:r>
      <w:r w:rsidR="0076241C" w:rsidRPr="0076241C">
        <w:rPr>
          <w:rFonts w:ascii="Times New Roman" w:hAnsi="Times New Roman"/>
          <w:b/>
          <w:color w:val="EE0000"/>
          <w:sz w:val="24"/>
          <w:szCs w:val="24"/>
        </w:rPr>
        <w:t xml:space="preserve"> cases</w:t>
      </w:r>
    </w:p>
    <w:p w14:paraId="32062B5D" w14:textId="0060AF60" w:rsidR="00F326E5" w:rsidRPr="00F22A0D" w:rsidRDefault="00F326E5" w:rsidP="00F326E5">
      <w:pPr>
        <w:pStyle w:val="NoSpacing"/>
        <w:rPr>
          <w:rFonts w:ascii="Times New Roman" w:hAnsi="Times New Roman"/>
          <w:b/>
          <w:sz w:val="24"/>
          <w:szCs w:val="24"/>
        </w:rPr>
      </w:pPr>
      <w:r w:rsidRPr="00F22A0D">
        <w:rPr>
          <w:rFonts w:ascii="Times New Roman" w:hAnsi="Times New Roman"/>
          <w:b/>
          <w:sz w:val="24"/>
          <w:szCs w:val="24"/>
        </w:rPr>
        <w:t>Chap. 6</w:t>
      </w:r>
      <w:r w:rsidRPr="00F22A0D">
        <w:rPr>
          <w:rFonts w:ascii="Times New Roman" w:hAnsi="Times New Roman"/>
          <w:b/>
          <w:sz w:val="24"/>
          <w:szCs w:val="24"/>
        </w:rPr>
        <w:tab/>
        <w:t>Employment Litigation</w:t>
      </w:r>
      <w:r w:rsidR="003F660F" w:rsidRPr="00F22A0D">
        <w:rPr>
          <w:rFonts w:ascii="Times New Roman" w:hAnsi="Times New Roman"/>
          <w:b/>
          <w:sz w:val="24"/>
          <w:szCs w:val="24"/>
        </w:rPr>
        <w:t xml:space="preserve">, incl. </w:t>
      </w:r>
      <w:r w:rsidR="00BB43DD" w:rsidRPr="00F22A0D">
        <w:rPr>
          <w:rFonts w:ascii="Times New Roman" w:hAnsi="Times New Roman"/>
          <w:b/>
          <w:sz w:val="24"/>
          <w:szCs w:val="24"/>
        </w:rPr>
        <w:t>Worker’s Comp</w:t>
      </w:r>
      <w:r w:rsidR="00DB0696">
        <w:rPr>
          <w:rFonts w:ascii="Times New Roman" w:hAnsi="Times New Roman"/>
          <w:b/>
          <w:sz w:val="24"/>
          <w:szCs w:val="24"/>
        </w:rPr>
        <w:tab/>
      </w:r>
      <w:r w:rsidR="0076241C">
        <w:rPr>
          <w:rFonts w:ascii="Times New Roman" w:hAnsi="Times New Roman"/>
          <w:b/>
          <w:sz w:val="24"/>
          <w:szCs w:val="24"/>
        </w:rPr>
        <w:tab/>
      </w:r>
      <w:r w:rsidR="0076241C">
        <w:rPr>
          <w:rFonts w:ascii="Times New Roman" w:hAnsi="Times New Roman"/>
          <w:b/>
          <w:sz w:val="24"/>
          <w:szCs w:val="24"/>
        </w:rPr>
        <w:tab/>
      </w:r>
      <w:r w:rsidR="00425E76">
        <w:rPr>
          <w:rFonts w:ascii="Times New Roman" w:hAnsi="Times New Roman"/>
          <w:b/>
          <w:sz w:val="24"/>
          <w:szCs w:val="24"/>
        </w:rPr>
        <w:tab/>
      </w:r>
      <w:r w:rsidR="0076241C" w:rsidRPr="0076241C">
        <w:rPr>
          <w:rFonts w:ascii="Times New Roman" w:hAnsi="Times New Roman"/>
          <w:b/>
          <w:color w:val="EE0000"/>
          <w:sz w:val="24"/>
          <w:szCs w:val="24"/>
        </w:rPr>
        <w:t>18</w:t>
      </w:r>
      <w:r w:rsidR="00C26E25">
        <w:rPr>
          <w:rFonts w:ascii="Times New Roman" w:hAnsi="Times New Roman"/>
          <w:b/>
          <w:color w:val="EE0000"/>
          <w:sz w:val="24"/>
          <w:szCs w:val="24"/>
        </w:rPr>
        <w:t>8</w:t>
      </w:r>
      <w:r w:rsidR="0076241C" w:rsidRPr="0076241C">
        <w:rPr>
          <w:rFonts w:ascii="Times New Roman" w:hAnsi="Times New Roman"/>
          <w:b/>
          <w:color w:val="EE0000"/>
          <w:sz w:val="24"/>
          <w:szCs w:val="24"/>
        </w:rPr>
        <w:t xml:space="preserve"> cases</w:t>
      </w:r>
    </w:p>
    <w:p w14:paraId="31BA6C12" w14:textId="089DA16D" w:rsidR="00F326E5" w:rsidRPr="0076241C" w:rsidRDefault="00F326E5" w:rsidP="00F326E5">
      <w:pPr>
        <w:pStyle w:val="NoSpacing"/>
        <w:rPr>
          <w:rFonts w:ascii="Times New Roman" w:hAnsi="Times New Roman"/>
          <w:b/>
          <w:color w:val="EE0000"/>
          <w:sz w:val="24"/>
          <w:szCs w:val="24"/>
        </w:rPr>
      </w:pPr>
      <w:r w:rsidRPr="00F22A0D">
        <w:rPr>
          <w:rFonts w:ascii="Times New Roman" w:hAnsi="Times New Roman"/>
          <w:b/>
          <w:sz w:val="24"/>
          <w:szCs w:val="24"/>
        </w:rPr>
        <w:t>Chap. 7</w:t>
      </w:r>
      <w:r w:rsidRPr="00F22A0D">
        <w:rPr>
          <w:rFonts w:ascii="Times New Roman" w:hAnsi="Times New Roman"/>
          <w:b/>
          <w:sz w:val="24"/>
          <w:szCs w:val="24"/>
        </w:rPr>
        <w:tab/>
        <w:t>Sexual Harassment</w:t>
      </w:r>
      <w:r w:rsidR="003F660F" w:rsidRPr="00F22A0D">
        <w:rPr>
          <w:rFonts w:ascii="Times New Roman" w:hAnsi="Times New Roman"/>
          <w:b/>
          <w:sz w:val="24"/>
          <w:szCs w:val="24"/>
        </w:rPr>
        <w:t xml:space="preserve">, incl. </w:t>
      </w:r>
      <w:r w:rsidR="00EF4D50">
        <w:rPr>
          <w:rFonts w:ascii="Times New Roman" w:hAnsi="Times New Roman"/>
          <w:b/>
          <w:sz w:val="24"/>
          <w:szCs w:val="24"/>
        </w:rPr>
        <w:t xml:space="preserve">Gender, </w:t>
      </w:r>
      <w:r w:rsidRPr="00F22A0D">
        <w:rPr>
          <w:rFonts w:ascii="Times New Roman" w:hAnsi="Times New Roman"/>
          <w:b/>
          <w:sz w:val="24"/>
          <w:szCs w:val="24"/>
        </w:rPr>
        <w:t>Pregnancy Discrimination</w:t>
      </w:r>
      <w:r w:rsidR="0076241C">
        <w:rPr>
          <w:rFonts w:ascii="Times New Roman" w:hAnsi="Times New Roman"/>
          <w:b/>
          <w:sz w:val="24"/>
          <w:szCs w:val="24"/>
        </w:rPr>
        <w:tab/>
      </w:r>
      <w:r w:rsidR="00EF4D50">
        <w:rPr>
          <w:rFonts w:ascii="Times New Roman" w:hAnsi="Times New Roman"/>
          <w:b/>
          <w:sz w:val="24"/>
          <w:szCs w:val="24"/>
        </w:rPr>
        <w:tab/>
      </w:r>
      <w:r w:rsidR="001F5D19">
        <w:rPr>
          <w:rFonts w:ascii="Times New Roman" w:hAnsi="Times New Roman"/>
          <w:b/>
          <w:color w:val="EE0000"/>
          <w:sz w:val="24"/>
          <w:szCs w:val="24"/>
        </w:rPr>
        <w:t>9</w:t>
      </w:r>
      <w:r w:rsidR="00BC3D44">
        <w:rPr>
          <w:rFonts w:ascii="Times New Roman" w:hAnsi="Times New Roman"/>
          <w:b/>
          <w:color w:val="EE0000"/>
          <w:sz w:val="24"/>
          <w:szCs w:val="24"/>
        </w:rPr>
        <w:t xml:space="preserve">4 </w:t>
      </w:r>
      <w:r w:rsidR="0076241C" w:rsidRPr="0076241C">
        <w:rPr>
          <w:rFonts w:ascii="Times New Roman" w:hAnsi="Times New Roman"/>
          <w:b/>
          <w:color w:val="EE0000"/>
          <w:sz w:val="24"/>
          <w:szCs w:val="24"/>
        </w:rPr>
        <w:t>cases</w:t>
      </w:r>
    </w:p>
    <w:p w14:paraId="57D0CDD9" w14:textId="5984894E" w:rsidR="00F326E5" w:rsidRPr="007209A9" w:rsidRDefault="00F326E5" w:rsidP="00F326E5">
      <w:pPr>
        <w:pStyle w:val="NoSpacing"/>
        <w:rPr>
          <w:rFonts w:ascii="Times New Roman" w:hAnsi="Times New Roman"/>
          <w:b/>
          <w:color w:val="EE0000"/>
          <w:sz w:val="24"/>
          <w:szCs w:val="24"/>
        </w:rPr>
      </w:pPr>
      <w:r w:rsidRPr="00F22A0D">
        <w:rPr>
          <w:rFonts w:ascii="Times New Roman" w:hAnsi="Times New Roman"/>
          <w:b/>
          <w:sz w:val="24"/>
          <w:szCs w:val="24"/>
        </w:rPr>
        <w:t>Chap. 8</w:t>
      </w:r>
      <w:r w:rsidRPr="00F22A0D">
        <w:rPr>
          <w:rFonts w:ascii="Times New Roman" w:hAnsi="Times New Roman"/>
          <w:b/>
          <w:sz w:val="24"/>
          <w:szCs w:val="24"/>
        </w:rPr>
        <w:tab/>
        <w:t>Race Discrimination</w:t>
      </w:r>
      <w:r w:rsidR="0076241C">
        <w:rPr>
          <w:rFonts w:ascii="Times New Roman" w:hAnsi="Times New Roman"/>
          <w:b/>
          <w:sz w:val="24"/>
          <w:szCs w:val="24"/>
        </w:rPr>
        <w:tab/>
      </w:r>
      <w:r w:rsidR="0076241C">
        <w:rPr>
          <w:rFonts w:ascii="Times New Roman" w:hAnsi="Times New Roman"/>
          <w:b/>
          <w:sz w:val="24"/>
          <w:szCs w:val="24"/>
        </w:rPr>
        <w:tab/>
      </w:r>
      <w:r w:rsidR="0076241C">
        <w:rPr>
          <w:rFonts w:ascii="Times New Roman" w:hAnsi="Times New Roman"/>
          <w:b/>
          <w:sz w:val="24"/>
          <w:szCs w:val="24"/>
        </w:rPr>
        <w:tab/>
      </w:r>
      <w:r w:rsidR="0076241C">
        <w:rPr>
          <w:rFonts w:ascii="Times New Roman" w:hAnsi="Times New Roman"/>
          <w:b/>
          <w:sz w:val="24"/>
          <w:szCs w:val="24"/>
        </w:rPr>
        <w:tab/>
      </w:r>
      <w:r w:rsidR="0076241C">
        <w:rPr>
          <w:rFonts w:ascii="Times New Roman" w:hAnsi="Times New Roman"/>
          <w:b/>
          <w:sz w:val="24"/>
          <w:szCs w:val="24"/>
        </w:rPr>
        <w:tab/>
      </w:r>
      <w:r w:rsidR="0076241C">
        <w:rPr>
          <w:rFonts w:ascii="Times New Roman" w:hAnsi="Times New Roman"/>
          <w:b/>
          <w:sz w:val="24"/>
          <w:szCs w:val="24"/>
        </w:rPr>
        <w:tab/>
      </w:r>
      <w:r w:rsidR="0076241C">
        <w:rPr>
          <w:rFonts w:ascii="Times New Roman" w:hAnsi="Times New Roman"/>
          <w:b/>
          <w:sz w:val="24"/>
          <w:szCs w:val="24"/>
        </w:rPr>
        <w:tab/>
      </w:r>
      <w:r w:rsidR="0076241C">
        <w:rPr>
          <w:rFonts w:ascii="Times New Roman" w:hAnsi="Times New Roman"/>
          <w:b/>
          <w:sz w:val="24"/>
          <w:szCs w:val="24"/>
        </w:rPr>
        <w:tab/>
      </w:r>
      <w:r w:rsidR="00E209BC">
        <w:rPr>
          <w:rFonts w:ascii="Times New Roman" w:hAnsi="Times New Roman"/>
          <w:b/>
          <w:color w:val="EE0000"/>
          <w:sz w:val="24"/>
          <w:szCs w:val="24"/>
        </w:rPr>
        <w:t>9</w:t>
      </w:r>
      <w:r w:rsidR="002F7C80">
        <w:rPr>
          <w:rFonts w:ascii="Times New Roman" w:hAnsi="Times New Roman"/>
          <w:b/>
          <w:color w:val="EE0000"/>
          <w:sz w:val="24"/>
          <w:szCs w:val="24"/>
        </w:rPr>
        <w:t>5</w:t>
      </w:r>
      <w:r w:rsidR="007209A9" w:rsidRPr="007209A9">
        <w:rPr>
          <w:rFonts w:ascii="Times New Roman" w:hAnsi="Times New Roman"/>
          <w:b/>
          <w:color w:val="EE0000"/>
          <w:sz w:val="24"/>
          <w:szCs w:val="24"/>
        </w:rPr>
        <w:t xml:space="preserve"> cases</w:t>
      </w:r>
    </w:p>
    <w:p w14:paraId="0075D979" w14:textId="571F878F" w:rsidR="00F326E5" w:rsidRPr="007209A9" w:rsidRDefault="00F326E5" w:rsidP="00F326E5">
      <w:pPr>
        <w:pStyle w:val="NoSpacing"/>
        <w:rPr>
          <w:rFonts w:ascii="Times New Roman" w:hAnsi="Times New Roman"/>
          <w:b/>
          <w:color w:val="EE0000"/>
          <w:sz w:val="24"/>
          <w:szCs w:val="24"/>
        </w:rPr>
      </w:pPr>
      <w:r w:rsidRPr="00F22A0D">
        <w:rPr>
          <w:rFonts w:ascii="Times New Roman" w:hAnsi="Times New Roman"/>
          <w:b/>
          <w:sz w:val="24"/>
          <w:szCs w:val="24"/>
        </w:rPr>
        <w:t>Chap. 9</w:t>
      </w:r>
      <w:r w:rsidRPr="00F22A0D">
        <w:rPr>
          <w:rFonts w:ascii="Times New Roman" w:hAnsi="Times New Roman"/>
          <w:b/>
          <w:sz w:val="24"/>
          <w:szCs w:val="24"/>
        </w:rPr>
        <w:tab/>
        <w:t xml:space="preserve">Americans </w:t>
      </w:r>
      <w:proofErr w:type="gramStart"/>
      <w:r w:rsidRPr="00F22A0D">
        <w:rPr>
          <w:rFonts w:ascii="Times New Roman" w:hAnsi="Times New Roman"/>
          <w:b/>
          <w:sz w:val="24"/>
          <w:szCs w:val="24"/>
        </w:rPr>
        <w:t>With</w:t>
      </w:r>
      <w:proofErr w:type="gramEnd"/>
      <w:r w:rsidRPr="00F22A0D">
        <w:rPr>
          <w:rFonts w:ascii="Times New Roman" w:hAnsi="Times New Roman"/>
          <w:b/>
          <w:sz w:val="24"/>
          <w:szCs w:val="24"/>
        </w:rPr>
        <w:t xml:space="preserve"> Disabilities Act</w:t>
      </w:r>
      <w:r w:rsidR="007209A9">
        <w:rPr>
          <w:rFonts w:ascii="Times New Roman" w:hAnsi="Times New Roman"/>
          <w:b/>
          <w:sz w:val="24"/>
          <w:szCs w:val="24"/>
        </w:rPr>
        <w:tab/>
      </w:r>
      <w:r w:rsidR="007209A9">
        <w:rPr>
          <w:rFonts w:ascii="Times New Roman" w:hAnsi="Times New Roman"/>
          <w:b/>
          <w:sz w:val="24"/>
          <w:szCs w:val="24"/>
        </w:rPr>
        <w:tab/>
      </w:r>
      <w:r w:rsidR="007209A9">
        <w:rPr>
          <w:rFonts w:ascii="Times New Roman" w:hAnsi="Times New Roman"/>
          <w:b/>
          <w:sz w:val="24"/>
          <w:szCs w:val="24"/>
        </w:rPr>
        <w:tab/>
      </w:r>
      <w:r w:rsidR="007209A9">
        <w:rPr>
          <w:rFonts w:ascii="Times New Roman" w:hAnsi="Times New Roman"/>
          <w:b/>
          <w:sz w:val="24"/>
          <w:szCs w:val="24"/>
        </w:rPr>
        <w:tab/>
      </w:r>
      <w:r w:rsidR="007209A9">
        <w:rPr>
          <w:rFonts w:ascii="Times New Roman" w:hAnsi="Times New Roman"/>
          <w:b/>
          <w:sz w:val="24"/>
          <w:szCs w:val="24"/>
        </w:rPr>
        <w:tab/>
      </w:r>
      <w:r w:rsidR="007209A9">
        <w:rPr>
          <w:rFonts w:ascii="Times New Roman" w:hAnsi="Times New Roman"/>
          <w:b/>
          <w:sz w:val="24"/>
          <w:szCs w:val="24"/>
        </w:rPr>
        <w:tab/>
      </w:r>
      <w:r w:rsidR="001F5D19">
        <w:rPr>
          <w:rFonts w:ascii="Times New Roman" w:hAnsi="Times New Roman"/>
          <w:b/>
          <w:color w:val="EE0000"/>
          <w:sz w:val="24"/>
          <w:szCs w:val="24"/>
        </w:rPr>
        <w:t>6</w:t>
      </w:r>
      <w:r w:rsidR="00DB199F">
        <w:rPr>
          <w:rFonts w:ascii="Times New Roman" w:hAnsi="Times New Roman"/>
          <w:b/>
          <w:color w:val="EE0000"/>
          <w:sz w:val="24"/>
          <w:szCs w:val="24"/>
        </w:rPr>
        <w:t>9</w:t>
      </w:r>
      <w:r w:rsidR="007209A9" w:rsidRPr="007209A9">
        <w:rPr>
          <w:rFonts w:ascii="Times New Roman" w:hAnsi="Times New Roman"/>
          <w:b/>
          <w:color w:val="EE0000"/>
          <w:sz w:val="24"/>
          <w:szCs w:val="24"/>
        </w:rPr>
        <w:t xml:space="preserve"> cases</w:t>
      </w:r>
    </w:p>
    <w:p w14:paraId="4424B00D" w14:textId="737DF983" w:rsidR="00F326E5" w:rsidRPr="00F22A0D" w:rsidRDefault="00F326E5" w:rsidP="00F326E5">
      <w:pPr>
        <w:pStyle w:val="NoSpacing"/>
        <w:rPr>
          <w:rFonts w:ascii="Times New Roman" w:hAnsi="Times New Roman"/>
          <w:b/>
          <w:sz w:val="24"/>
          <w:szCs w:val="24"/>
        </w:rPr>
      </w:pPr>
      <w:r w:rsidRPr="00F22A0D">
        <w:rPr>
          <w:rFonts w:ascii="Times New Roman" w:hAnsi="Times New Roman"/>
          <w:b/>
          <w:sz w:val="24"/>
          <w:szCs w:val="24"/>
        </w:rPr>
        <w:t>Chap. 10</w:t>
      </w:r>
      <w:r w:rsidRPr="00F22A0D">
        <w:rPr>
          <w:rFonts w:ascii="Times New Roman" w:hAnsi="Times New Roman"/>
          <w:b/>
          <w:sz w:val="24"/>
          <w:szCs w:val="24"/>
        </w:rPr>
        <w:tab/>
        <w:t>Family Medical Leave Act</w:t>
      </w:r>
      <w:r w:rsidRPr="00F22A0D">
        <w:rPr>
          <w:rFonts w:ascii="Times New Roman" w:hAnsi="Times New Roman"/>
          <w:b/>
          <w:sz w:val="24"/>
          <w:szCs w:val="24"/>
        </w:rPr>
        <w:tab/>
      </w:r>
      <w:r w:rsidR="007209A9">
        <w:rPr>
          <w:rFonts w:ascii="Times New Roman" w:hAnsi="Times New Roman"/>
          <w:b/>
          <w:sz w:val="24"/>
          <w:szCs w:val="24"/>
        </w:rPr>
        <w:tab/>
      </w:r>
      <w:r w:rsidR="007209A9">
        <w:rPr>
          <w:rFonts w:ascii="Times New Roman" w:hAnsi="Times New Roman"/>
          <w:b/>
          <w:sz w:val="24"/>
          <w:szCs w:val="24"/>
        </w:rPr>
        <w:tab/>
      </w:r>
      <w:r w:rsidR="007209A9">
        <w:rPr>
          <w:rFonts w:ascii="Times New Roman" w:hAnsi="Times New Roman"/>
          <w:b/>
          <w:sz w:val="24"/>
          <w:szCs w:val="24"/>
        </w:rPr>
        <w:tab/>
      </w:r>
      <w:r w:rsidR="007209A9">
        <w:rPr>
          <w:rFonts w:ascii="Times New Roman" w:hAnsi="Times New Roman"/>
          <w:b/>
          <w:sz w:val="24"/>
          <w:szCs w:val="24"/>
        </w:rPr>
        <w:tab/>
      </w:r>
      <w:r w:rsidR="007209A9">
        <w:rPr>
          <w:rFonts w:ascii="Times New Roman" w:hAnsi="Times New Roman"/>
          <w:b/>
          <w:sz w:val="24"/>
          <w:szCs w:val="24"/>
        </w:rPr>
        <w:tab/>
      </w:r>
      <w:r w:rsidR="007209A9">
        <w:rPr>
          <w:rFonts w:ascii="Times New Roman" w:hAnsi="Times New Roman"/>
          <w:b/>
          <w:sz w:val="24"/>
          <w:szCs w:val="24"/>
        </w:rPr>
        <w:tab/>
      </w:r>
      <w:r w:rsidR="004246F0" w:rsidRPr="004246F0">
        <w:rPr>
          <w:rFonts w:ascii="Times New Roman" w:hAnsi="Times New Roman"/>
          <w:b/>
          <w:color w:val="EE0000"/>
          <w:sz w:val="24"/>
          <w:szCs w:val="24"/>
        </w:rPr>
        <w:t>13 cases</w:t>
      </w:r>
    </w:p>
    <w:p w14:paraId="4E82CC4C" w14:textId="5599A26E" w:rsidR="00F326E5" w:rsidRPr="00F22A0D" w:rsidRDefault="00F326E5" w:rsidP="00F326E5">
      <w:pPr>
        <w:pStyle w:val="NoSpacing"/>
        <w:rPr>
          <w:rFonts w:ascii="Times New Roman" w:hAnsi="Times New Roman"/>
          <w:b/>
          <w:sz w:val="24"/>
          <w:szCs w:val="24"/>
        </w:rPr>
      </w:pPr>
      <w:r w:rsidRPr="00F22A0D">
        <w:rPr>
          <w:rFonts w:ascii="Times New Roman" w:hAnsi="Times New Roman"/>
          <w:b/>
          <w:sz w:val="24"/>
          <w:szCs w:val="24"/>
        </w:rPr>
        <w:t>Chap. 11</w:t>
      </w:r>
      <w:r w:rsidRPr="00F22A0D">
        <w:rPr>
          <w:rFonts w:ascii="Times New Roman" w:hAnsi="Times New Roman"/>
          <w:b/>
          <w:sz w:val="24"/>
          <w:szCs w:val="24"/>
        </w:rPr>
        <w:tab/>
        <w:t>Fair Labor Standards Act</w:t>
      </w:r>
      <w:r w:rsidR="00664013">
        <w:rPr>
          <w:rFonts w:ascii="Times New Roman" w:hAnsi="Times New Roman"/>
          <w:b/>
          <w:sz w:val="24"/>
          <w:szCs w:val="24"/>
        </w:rPr>
        <w:t xml:space="preserve">, and Military Leave </w:t>
      </w:r>
      <w:r w:rsidR="004246F0">
        <w:rPr>
          <w:rFonts w:ascii="Times New Roman" w:hAnsi="Times New Roman"/>
          <w:b/>
          <w:sz w:val="24"/>
          <w:szCs w:val="24"/>
        </w:rPr>
        <w:tab/>
      </w:r>
      <w:r w:rsidR="004246F0">
        <w:rPr>
          <w:rFonts w:ascii="Times New Roman" w:hAnsi="Times New Roman"/>
          <w:b/>
          <w:sz w:val="24"/>
          <w:szCs w:val="24"/>
        </w:rPr>
        <w:tab/>
      </w:r>
      <w:r w:rsidR="004246F0">
        <w:rPr>
          <w:rFonts w:ascii="Times New Roman" w:hAnsi="Times New Roman"/>
          <w:b/>
          <w:sz w:val="24"/>
          <w:szCs w:val="24"/>
        </w:rPr>
        <w:tab/>
      </w:r>
      <w:r w:rsidR="004246F0">
        <w:rPr>
          <w:rFonts w:ascii="Times New Roman" w:hAnsi="Times New Roman"/>
          <w:b/>
          <w:sz w:val="24"/>
          <w:szCs w:val="24"/>
        </w:rPr>
        <w:tab/>
      </w:r>
      <w:r w:rsidR="003814D7">
        <w:rPr>
          <w:rFonts w:ascii="Times New Roman" w:hAnsi="Times New Roman"/>
          <w:b/>
          <w:color w:val="EE0000"/>
          <w:sz w:val="24"/>
          <w:szCs w:val="24"/>
        </w:rPr>
        <w:t>7</w:t>
      </w:r>
      <w:r w:rsidR="0062797C">
        <w:rPr>
          <w:rFonts w:ascii="Times New Roman" w:hAnsi="Times New Roman"/>
          <w:b/>
          <w:color w:val="EE0000"/>
          <w:sz w:val="24"/>
          <w:szCs w:val="24"/>
        </w:rPr>
        <w:t>3</w:t>
      </w:r>
      <w:r w:rsidR="004246F0" w:rsidRPr="004246F0">
        <w:rPr>
          <w:rFonts w:ascii="Times New Roman" w:hAnsi="Times New Roman"/>
          <w:b/>
          <w:color w:val="EE0000"/>
          <w:sz w:val="24"/>
          <w:szCs w:val="24"/>
        </w:rPr>
        <w:t xml:space="preserve"> cases</w:t>
      </w:r>
      <w:r w:rsidRPr="00F22A0D">
        <w:rPr>
          <w:rFonts w:ascii="Times New Roman" w:hAnsi="Times New Roman"/>
          <w:b/>
          <w:sz w:val="24"/>
          <w:szCs w:val="24"/>
        </w:rPr>
        <w:tab/>
      </w:r>
    </w:p>
    <w:p w14:paraId="0AE4624B" w14:textId="7296A48C" w:rsidR="00F326E5" w:rsidRPr="009C594C" w:rsidRDefault="00F326E5" w:rsidP="00F326E5">
      <w:pPr>
        <w:pStyle w:val="NoSpacing"/>
        <w:rPr>
          <w:rFonts w:ascii="Times New Roman" w:hAnsi="Times New Roman"/>
          <w:b/>
          <w:color w:val="EE0000"/>
          <w:sz w:val="24"/>
          <w:szCs w:val="24"/>
        </w:rPr>
      </w:pPr>
      <w:r w:rsidRPr="00F22A0D">
        <w:rPr>
          <w:rFonts w:ascii="Times New Roman" w:hAnsi="Times New Roman"/>
          <w:b/>
          <w:sz w:val="24"/>
          <w:szCs w:val="24"/>
        </w:rPr>
        <w:t>Chap. 12</w:t>
      </w:r>
      <w:r w:rsidRPr="00F22A0D">
        <w:rPr>
          <w:rFonts w:ascii="Times New Roman" w:hAnsi="Times New Roman"/>
          <w:b/>
          <w:sz w:val="24"/>
          <w:szCs w:val="24"/>
        </w:rPr>
        <w:tab/>
        <w:t>Drug-Free Workplace</w:t>
      </w:r>
      <w:r w:rsidR="004246F0">
        <w:rPr>
          <w:rFonts w:ascii="Times New Roman" w:hAnsi="Times New Roman"/>
          <w:b/>
          <w:sz w:val="24"/>
          <w:szCs w:val="24"/>
        </w:rPr>
        <w:tab/>
      </w:r>
      <w:r w:rsidR="004246F0">
        <w:rPr>
          <w:rFonts w:ascii="Times New Roman" w:hAnsi="Times New Roman"/>
          <w:b/>
          <w:sz w:val="24"/>
          <w:szCs w:val="24"/>
        </w:rPr>
        <w:tab/>
      </w:r>
      <w:r w:rsidR="004246F0">
        <w:rPr>
          <w:rFonts w:ascii="Times New Roman" w:hAnsi="Times New Roman"/>
          <w:b/>
          <w:sz w:val="24"/>
          <w:szCs w:val="24"/>
        </w:rPr>
        <w:tab/>
      </w:r>
      <w:r w:rsidR="004246F0">
        <w:rPr>
          <w:rFonts w:ascii="Times New Roman" w:hAnsi="Times New Roman"/>
          <w:b/>
          <w:sz w:val="24"/>
          <w:szCs w:val="24"/>
        </w:rPr>
        <w:tab/>
      </w:r>
      <w:r w:rsidR="004246F0">
        <w:rPr>
          <w:rFonts w:ascii="Times New Roman" w:hAnsi="Times New Roman"/>
          <w:b/>
          <w:sz w:val="24"/>
          <w:szCs w:val="24"/>
        </w:rPr>
        <w:tab/>
      </w:r>
      <w:r w:rsidR="004246F0">
        <w:rPr>
          <w:rFonts w:ascii="Times New Roman" w:hAnsi="Times New Roman"/>
          <w:b/>
          <w:sz w:val="24"/>
          <w:szCs w:val="24"/>
        </w:rPr>
        <w:tab/>
      </w:r>
      <w:r w:rsidR="004246F0">
        <w:rPr>
          <w:rFonts w:ascii="Times New Roman" w:hAnsi="Times New Roman"/>
          <w:b/>
          <w:sz w:val="24"/>
          <w:szCs w:val="24"/>
        </w:rPr>
        <w:tab/>
      </w:r>
      <w:r w:rsidR="00C37020">
        <w:rPr>
          <w:rFonts w:ascii="Times New Roman" w:hAnsi="Times New Roman"/>
          <w:b/>
          <w:color w:val="EE0000"/>
          <w:sz w:val="24"/>
          <w:szCs w:val="24"/>
        </w:rPr>
        <w:t>40</w:t>
      </w:r>
      <w:r w:rsidR="009C594C" w:rsidRPr="009C594C">
        <w:rPr>
          <w:rFonts w:ascii="Times New Roman" w:hAnsi="Times New Roman"/>
          <w:b/>
          <w:color w:val="EE0000"/>
          <w:sz w:val="24"/>
          <w:szCs w:val="24"/>
        </w:rPr>
        <w:t xml:space="preserve"> cases</w:t>
      </w:r>
    </w:p>
    <w:p w14:paraId="769B9330" w14:textId="5EF22627" w:rsidR="00F326E5" w:rsidRPr="009C594C" w:rsidRDefault="00F326E5" w:rsidP="00F326E5">
      <w:pPr>
        <w:pStyle w:val="NoSpacing"/>
        <w:rPr>
          <w:rFonts w:ascii="Times New Roman" w:hAnsi="Times New Roman"/>
          <w:b/>
          <w:color w:val="EE0000"/>
          <w:sz w:val="24"/>
          <w:szCs w:val="24"/>
        </w:rPr>
      </w:pPr>
      <w:r w:rsidRPr="00F22A0D">
        <w:rPr>
          <w:rFonts w:ascii="Times New Roman" w:hAnsi="Times New Roman"/>
          <w:b/>
          <w:sz w:val="24"/>
          <w:szCs w:val="24"/>
        </w:rPr>
        <w:t>Chap. 13</w:t>
      </w:r>
      <w:r w:rsidRPr="00F22A0D">
        <w:rPr>
          <w:rFonts w:ascii="Times New Roman" w:hAnsi="Times New Roman"/>
          <w:b/>
          <w:sz w:val="24"/>
          <w:szCs w:val="24"/>
        </w:rPr>
        <w:tab/>
        <w:t>EMS</w:t>
      </w:r>
      <w:r w:rsidR="003F660F" w:rsidRPr="00F22A0D">
        <w:rPr>
          <w:rFonts w:ascii="Times New Roman" w:hAnsi="Times New Roman"/>
          <w:b/>
          <w:sz w:val="24"/>
          <w:szCs w:val="24"/>
        </w:rPr>
        <w:t xml:space="preserve">, incl. </w:t>
      </w:r>
      <w:r w:rsidR="00636395" w:rsidRPr="00F22A0D">
        <w:rPr>
          <w:rFonts w:ascii="Times New Roman" w:hAnsi="Times New Roman"/>
          <w:b/>
          <w:sz w:val="24"/>
          <w:szCs w:val="24"/>
        </w:rPr>
        <w:t>Community Paramedicine</w:t>
      </w:r>
      <w:r w:rsidR="003F660F" w:rsidRPr="00F22A0D">
        <w:rPr>
          <w:rFonts w:ascii="Times New Roman" w:hAnsi="Times New Roman"/>
          <w:b/>
          <w:sz w:val="24"/>
          <w:szCs w:val="24"/>
        </w:rPr>
        <w:t>, Corona Virus</w:t>
      </w:r>
      <w:r w:rsidRPr="00F22A0D">
        <w:rPr>
          <w:rFonts w:ascii="Times New Roman" w:hAnsi="Times New Roman"/>
          <w:b/>
          <w:sz w:val="24"/>
          <w:szCs w:val="24"/>
        </w:rPr>
        <w:tab/>
      </w:r>
      <w:r w:rsidR="009C594C">
        <w:rPr>
          <w:rFonts w:ascii="Times New Roman" w:hAnsi="Times New Roman"/>
          <w:b/>
          <w:sz w:val="24"/>
          <w:szCs w:val="24"/>
        </w:rPr>
        <w:tab/>
      </w:r>
      <w:r w:rsidR="009C594C">
        <w:rPr>
          <w:rFonts w:ascii="Times New Roman" w:hAnsi="Times New Roman"/>
          <w:b/>
          <w:sz w:val="24"/>
          <w:szCs w:val="24"/>
        </w:rPr>
        <w:tab/>
      </w:r>
      <w:r w:rsidR="009C594C" w:rsidRPr="009C594C">
        <w:rPr>
          <w:rFonts w:ascii="Times New Roman" w:hAnsi="Times New Roman"/>
          <w:b/>
          <w:color w:val="EE0000"/>
          <w:sz w:val="24"/>
          <w:szCs w:val="24"/>
        </w:rPr>
        <w:t>2</w:t>
      </w:r>
      <w:r w:rsidR="00A971EA">
        <w:rPr>
          <w:rFonts w:ascii="Times New Roman" w:hAnsi="Times New Roman"/>
          <w:b/>
          <w:color w:val="EE0000"/>
          <w:sz w:val="24"/>
          <w:szCs w:val="24"/>
        </w:rPr>
        <w:t>74</w:t>
      </w:r>
      <w:r w:rsidR="009C594C" w:rsidRPr="009C594C">
        <w:rPr>
          <w:rFonts w:ascii="Times New Roman" w:hAnsi="Times New Roman"/>
          <w:b/>
          <w:color w:val="EE0000"/>
          <w:sz w:val="24"/>
          <w:szCs w:val="24"/>
        </w:rPr>
        <w:t xml:space="preserve"> cases</w:t>
      </w:r>
    </w:p>
    <w:p w14:paraId="496A7E44" w14:textId="3C7C52B2" w:rsidR="00F326E5" w:rsidRPr="000A5D63" w:rsidRDefault="00F326E5" w:rsidP="00F326E5">
      <w:pPr>
        <w:pStyle w:val="NoSpacing"/>
        <w:rPr>
          <w:rFonts w:ascii="Times New Roman" w:hAnsi="Times New Roman"/>
          <w:b/>
          <w:color w:val="EE0000"/>
          <w:sz w:val="24"/>
          <w:szCs w:val="24"/>
        </w:rPr>
      </w:pPr>
      <w:r w:rsidRPr="00F22A0D">
        <w:rPr>
          <w:rFonts w:ascii="Times New Roman" w:hAnsi="Times New Roman"/>
          <w:b/>
          <w:sz w:val="24"/>
          <w:szCs w:val="24"/>
        </w:rPr>
        <w:t>Chap. 14</w:t>
      </w:r>
      <w:r w:rsidRPr="00F22A0D">
        <w:rPr>
          <w:rFonts w:ascii="Times New Roman" w:hAnsi="Times New Roman"/>
          <w:b/>
          <w:sz w:val="24"/>
          <w:szCs w:val="24"/>
        </w:rPr>
        <w:tab/>
        <w:t>Physical Fitness</w:t>
      </w:r>
      <w:r w:rsidR="00BE44CB">
        <w:rPr>
          <w:rFonts w:ascii="Times New Roman" w:hAnsi="Times New Roman"/>
          <w:b/>
          <w:sz w:val="24"/>
          <w:szCs w:val="24"/>
        </w:rPr>
        <w:t xml:space="preserve"> and</w:t>
      </w:r>
      <w:r w:rsidR="00D5755F">
        <w:rPr>
          <w:rFonts w:ascii="Times New Roman" w:hAnsi="Times New Roman"/>
          <w:b/>
          <w:sz w:val="24"/>
          <w:szCs w:val="24"/>
        </w:rPr>
        <w:t xml:space="preserve"> Light Duty</w:t>
      </w:r>
      <w:r w:rsidRPr="00F22A0D">
        <w:rPr>
          <w:rFonts w:ascii="Times New Roman" w:hAnsi="Times New Roman"/>
          <w:b/>
          <w:sz w:val="24"/>
          <w:szCs w:val="24"/>
        </w:rPr>
        <w:tab/>
      </w:r>
      <w:r w:rsidR="009C594C">
        <w:rPr>
          <w:rFonts w:ascii="Times New Roman" w:hAnsi="Times New Roman"/>
          <w:b/>
          <w:sz w:val="24"/>
          <w:szCs w:val="24"/>
        </w:rPr>
        <w:tab/>
      </w:r>
      <w:r w:rsidR="009C594C">
        <w:rPr>
          <w:rFonts w:ascii="Times New Roman" w:hAnsi="Times New Roman"/>
          <w:b/>
          <w:sz w:val="24"/>
          <w:szCs w:val="24"/>
        </w:rPr>
        <w:tab/>
      </w:r>
      <w:r w:rsidR="009C594C">
        <w:rPr>
          <w:rFonts w:ascii="Times New Roman" w:hAnsi="Times New Roman"/>
          <w:b/>
          <w:sz w:val="24"/>
          <w:szCs w:val="24"/>
        </w:rPr>
        <w:tab/>
      </w:r>
      <w:r w:rsidR="009C594C">
        <w:rPr>
          <w:rFonts w:ascii="Times New Roman" w:hAnsi="Times New Roman"/>
          <w:b/>
          <w:sz w:val="24"/>
          <w:szCs w:val="24"/>
        </w:rPr>
        <w:tab/>
      </w:r>
      <w:r w:rsidR="009C594C">
        <w:rPr>
          <w:rFonts w:ascii="Times New Roman" w:hAnsi="Times New Roman"/>
          <w:b/>
          <w:sz w:val="24"/>
          <w:szCs w:val="24"/>
        </w:rPr>
        <w:tab/>
      </w:r>
      <w:r w:rsidR="00751EBA">
        <w:rPr>
          <w:rFonts w:ascii="Times New Roman" w:hAnsi="Times New Roman"/>
          <w:b/>
          <w:color w:val="EE0000"/>
          <w:sz w:val="24"/>
          <w:szCs w:val="24"/>
        </w:rPr>
        <w:t>9</w:t>
      </w:r>
      <w:r w:rsidR="00F42EFD">
        <w:rPr>
          <w:rFonts w:ascii="Times New Roman" w:hAnsi="Times New Roman"/>
          <w:b/>
          <w:color w:val="EE0000"/>
          <w:sz w:val="24"/>
          <w:szCs w:val="24"/>
        </w:rPr>
        <w:t xml:space="preserve"> </w:t>
      </w:r>
      <w:r w:rsidR="000A5D63" w:rsidRPr="000A5D63">
        <w:rPr>
          <w:rFonts w:ascii="Times New Roman" w:hAnsi="Times New Roman"/>
          <w:b/>
          <w:color w:val="EE0000"/>
          <w:sz w:val="24"/>
          <w:szCs w:val="24"/>
        </w:rPr>
        <w:t>cases</w:t>
      </w:r>
    </w:p>
    <w:p w14:paraId="157ACADA" w14:textId="7923C22A" w:rsidR="00F326E5" w:rsidRPr="000A5D63" w:rsidRDefault="00F326E5" w:rsidP="00F326E5">
      <w:pPr>
        <w:pStyle w:val="NoSpacing"/>
        <w:rPr>
          <w:rFonts w:ascii="Times New Roman" w:hAnsi="Times New Roman"/>
          <w:b/>
          <w:color w:val="EE0000"/>
          <w:sz w:val="24"/>
          <w:szCs w:val="24"/>
        </w:rPr>
      </w:pPr>
      <w:r w:rsidRPr="00F22A0D">
        <w:rPr>
          <w:rFonts w:ascii="Times New Roman" w:hAnsi="Times New Roman"/>
          <w:b/>
          <w:sz w:val="24"/>
          <w:szCs w:val="24"/>
        </w:rPr>
        <w:t>Chap. 15</w:t>
      </w:r>
      <w:r w:rsidRPr="00F22A0D">
        <w:rPr>
          <w:rFonts w:ascii="Times New Roman" w:hAnsi="Times New Roman"/>
          <w:b/>
          <w:sz w:val="24"/>
          <w:szCs w:val="24"/>
        </w:rPr>
        <w:tab/>
      </w:r>
      <w:r w:rsidR="00C61FBA">
        <w:rPr>
          <w:rFonts w:ascii="Times New Roman" w:hAnsi="Times New Roman"/>
          <w:b/>
          <w:sz w:val="24"/>
          <w:szCs w:val="24"/>
        </w:rPr>
        <w:t xml:space="preserve">Mental Health, incl. </w:t>
      </w:r>
      <w:r w:rsidRPr="00F22A0D">
        <w:rPr>
          <w:rFonts w:ascii="Times New Roman" w:hAnsi="Times New Roman"/>
          <w:b/>
          <w:sz w:val="24"/>
          <w:szCs w:val="24"/>
        </w:rPr>
        <w:t>C</w:t>
      </w:r>
      <w:r w:rsidR="006D5E9F" w:rsidRPr="00F22A0D">
        <w:rPr>
          <w:rFonts w:ascii="Times New Roman" w:hAnsi="Times New Roman"/>
          <w:b/>
          <w:sz w:val="24"/>
          <w:szCs w:val="24"/>
        </w:rPr>
        <w:t>ISM</w:t>
      </w:r>
      <w:r w:rsidR="003F660F" w:rsidRPr="00F22A0D">
        <w:rPr>
          <w:rFonts w:ascii="Times New Roman" w:hAnsi="Times New Roman"/>
          <w:b/>
          <w:sz w:val="24"/>
          <w:szCs w:val="24"/>
        </w:rPr>
        <w:t>, Pee</w:t>
      </w:r>
      <w:r w:rsidR="00321766" w:rsidRPr="00F22A0D">
        <w:rPr>
          <w:rFonts w:ascii="Times New Roman" w:hAnsi="Times New Roman"/>
          <w:b/>
          <w:sz w:val="24"/>
          <w:szCs w:val="24"/>
        </w:rPr>
        <w:t>r Support</w:t>
      </w:r>
      <w:r w:rsidR="000A5D63">
        <w:rPr>
          <w:rFonts w:ascii="Times New Roman" w:hAnsi="Times New Roman"/>
          <w:b/>
          <w:sz w:val="24"/>
          <w:szCs w:val="24"/>
        </w:rPr>
        <w:tab/>
      </w:r>
      <w:r w:rsidR="000A5D63">
        <w:rPr>
          <w:rFonts w:ascii="Times New Roman" w:hAnsi="Times New Roman"/>
          <w:b/>
          <w:sz w:val="24"/>
          <w:szCs w:val="24"/>
        </w:rPr>
        <w:tab/>
      </w:r>
      <w:r w:rsidR="000A5D63">
        <w:rPr>
          <w:rFonts w:ascii="Times New Roman" w:hAnsi="Times New Roman"/>
          <w:b/>
          <w:sz w:val="24"/>
          <w:szCs w:val="24"/>
        </w:rPr>
        <w:tab/>
      </w:r>
      <w:r w:rsidR="000A5D63">
        <w:rPr>
          <w:rFonts w:ascii="Times New Roman" w:hAnsi="Times New Roman"/>
          <w:b/>
          <w:sz w:val="24"/>
          <w:szCs w:val="24"/>
        </w:rPr>
        <w:tab/>
      </w:r>
      <w:r w:rsidR="000A5D63">
        <w:rPr>
          <w:rFonts w:ascii="Times New Roman" w:hAnsi="Times New Roman"/>
          <w:b/>
          <w:sz w:val="24"/>
          <w:szCs w:val="24"/>
        </w:rPr>
        <w:tab/>
      </w:r>
      <w:r w:rsidR="000A5D63" w:rsidRPr="000A5D63">
        <w:rPr>
          <w:rFonts w:ascii="Times New Roman" w:hAnsi="Times New Roman"/>
          <w:b/>
          <w:color w:val="EE0000"/>
          <w:sz w:val="24"/>
          <w:szCs w:val="24"/>
        </w:rPr>
        <w:t>5</w:t>
      </w:r>
      <w:r w:rsidR="005611CE">
        <w:rPr>
          <w:rFonts w:ascii="Times New Roman" w:hAnsi="Times New Roman"/>
          <w:b/>
          <w:color w:val="EE0000"/>
          <w:sz w:val="24"/>
          <w:szCs w:val="24"/>
        </w:rPr>
        <w:t>5</w:t>
      </w:r>
      <w:r w:rsidR="000A5D63" w:rsidRPr="000A5D63">
        <w:rPr>
          <w:rFonts w:ascii="Times New Roman" w:hAnsi="Times New Roman"/>
          <w:b/>
          <w:color w:val="EE0000"/>
          <w:sz w:val="24"/>
          <w:szCs w:val="24"/>
        </w:rPr>
        <w:t xml:space="preserve"> cases</w:t>
      </w:r>
    </w:p>
    <w:p w14:paraId="22C4C000" w14:textId="11971D5C" w:rsidR="00F326E5" w:rsidRPr="00F22A0D" w:rsidRDefault="00F326E5" w:rsidP="00F326E5">
      <w:pPr>
        <w:pStyle w:val="NoSpacing"/>
        <w:rPr>
          <w:rFonts w:ascii="Times New Roman" w:hAnsi="Times New Roman"/>
          <w:b/>
          <w:sz w:val="24"/>
          <w:szCs w:val="24"/>
        </w:rPr>
      </w:pPr>
      <w:r w:rsidRPr="00F22A0D">
        <w:rPr>
          <w:rFonts w:ascii="Times New Roman" w:hAnsi="Times New Roman"/>
          <w:b/>
          <w:sz w:val="24"/>
          <w:szCs w:val="24"/>
        </w:rPr>
        <w:t>Chap. 16</w:t>
      </w:r>
      <w:r w:rsidRPr="00F22A0D">
        <w:rPr>
          <w:rFonts w:ascii="Times New Roman" w:hAnsi="Times New Roman"/>
          <w:b/>
          <w:sz w:val="24"/>
          <w:szCs w:val="24"/>
        </w:rPr>
        <w:tab/>
        <w:t>Discipline</w:t>
      </w:r>
      <w:r w:rsidR="00F27CD5" w:rsidRPr="00F22A0D">
        <w:rPr>
          <w:rFonts w:ascii="Times New Roman" w:hAnsi="Times New Roman"/>
          <w:b/>
          <w:sz w:val="24"/>
          <w:szCs w:val="24"/>
        </w:rPr>
        <w:t>, incl. Social Media</w:t>
      </w:r>
      <w:r w:rsidR="00991BC0">
        <w:rPr>
          <w:rFonts w:ascii="Times New Roman" w:hAnsi="Times New Roman"/>
          <w:b/>
          <w:sz w:val="24"/>
          <w:szCs w:val="24"/>
        </w:rPr>
        <w:t xml:space="preserve"> Posts</w:t>
      </w:r>
      <w:r w:rsidR="000A5D63">
        <w:rPr>
          <w:rFonts w:ascii="Times New Roman" w:hAnsi="Times New Roman"/>
          <w:b/>
          <w:sz w:val="24"/>
          <w:szCs w:val="24"/>
        </w:rPr>
        <w:tab/>
      </w:r>
      <w:r w:rsidR="000A5D63">
        <w:rPr>
          <w:rFonts w:ascii="Times New Roman" w:hAnsi="Times New Roman"/>
          <w:b/>
          <w:sz w:val="24"/>
          <w:szCs w:val="24"/>
        </w:rPr>
        <w:tab/>
      </w:r>
      <w:r w:rsidR="000A5D63">
        <w:rPr>
          <w:rFonts w:ascii="Times New Roman" w:hAnsi="Times New Roman"/>
          <w:b/>
          <w:sz w:val="24"/>
          <w:szCs w:val="24"/>
        </w:rPr>
        <w:tab/>
      </w:r>
      <w:r w:rsidR="000A5D63">
        <w:rPr>
          <w:rFonts w:ascii="Times New Roman" w:hAnsi="Times New Roman"/>
          <w:b/>
          <w:sz w:val="24"/>
          <w:szCs w:val="24"/>
        </w:rPr>
        <w:tab/>
      </w:r>
      <w:r w:rsidR="000A5D63">
        <w:rPr>
          <w:rFonts w:ascii="Times New Roman" w:hAnsi="Times New Roman"/>
          <w:b/>
          <w:sz w:val="24"/>
          <w:szCs w:val="24"/>
        </w:rPr>
        <w:tab/>
      </w:r>
      <w:r w:rsidR="000A5D63">
        <w:rPr>
          <w:rFonts w:ascii="Times New Roman" w:hAnsi="Times New Roman"/>
          <w:b/>
          <w:sz w:val="24"/>
          <w:szCs w:val="24"/>
        </w:rPr>
        <w:tab/>
      </w:r>
      <w:r w:rsidR="00644E1A" w:rsidRPr="00644E1A">
        <w:rPr>
          <w:rFonts w:ascii="Times New Roman" w:hAnsi="Times New Roman"/>
          <w:b/>
          <w:color w:val="EE0000"/>
          <w:sz w:val="24"/>
          <w:szCs w:val="24"/>
        </w:rPr>
        <w:t>1</w:t>
      </w:r>
      <w:r w:rsidR="002C229D">
        <w:rPr>
          <w:rFonts w:ascii="Times New Roman" w:hAnsi="Times New Roman"/>
          <w:b/>
          <w:color w:val="EE0000"/>
          <w:sz w:val="24"/>
          <w:szCs w:val="24"/>
        </w:rPr>
        <w:t>64</w:t>
      </w:r>
      <w:r w:rsidR="00644E1A" w:rsidRPr="00644E1A">
        <w:rPr>
          <w:rFonts w:ascii="Times New Roman" w:hAnsi="Times New Roman"/>
          <w:b/>
          <w:color w:val="EE0000"/>
          <w:sz w:val="24"/>
          <w:szCs w:val="24"/>
        </w:rPr>
        <w:t xml:space="preserve"> cases</w:t>
      </w:r>
      <w:r w:rsidRPr="00F22A0D">
        <w:rPr>
          <w:rFonts w:ascii="Times New Roman" w:hAnsi="Times New Roman"/>
          <w:b/>
          <w:sz w:val="24"/>
          <w:szCs w:val="24"/>
        </w:rPr>
        <w:tab/>
      </w:r>
    </w:p>
    <w:p w14:paraId="71067951" w14:textId="51F46607" w:rsidR="00F326E5" w:rsidRPr="00F22A0D" w:rsidRDefault="00F326E5" w:rsidP="00F326E5">
      <w:pPr>
        <w:pStyle w:val="NoSpacing"/>
        <w:rPr>
          <w:rFonts w:ascii="Times New Roman" w:hAnsi="Times New Roman"/>
          <w:b/>
          <w:sz w:val="24"/>
          <w:szCs w:val="24"/>
        </w:rPr>
      </w:pPr>
      <w:r w:rsidRPr="00F22A0D">
        <w:rPr>
          <w:rFonts w:ascii="Times New Roman" w:hAnsi="Times New Roman"/>
          <w:b/>
          <w:sz w:val="24"/>
          <w:szCs w:val="24"/>
        </w:rPr>
        <w:t>Chap. 17</w:t>
      </w:r>
      <w:r w:rsidRPr="00F22A0D">
        <w:rPr>
          <w:rFonts w:ascii="Times New Roman" w:hAnsi="Times New Roman"/>
          <w:b/>
          <w:sz w:val="24"/>
          <w:szCs w:val="24"/>
        </w:rPr>
        <w:tab/>
        <w:t>Arbitration</w:t>
      </w:r>
      <w:r w:rsidR="005E16F7" w:rsidRPr="00F22A0D">
        <w:rPr>
          <w:rFonts w:ascii="Times New Roman" w:hAnsi="Times New Roman"/>
          <w:b/>
          <w:sz w:val="24"/>
          <w:szCs w:val="24"/>
        </w:rPr>
        <w:t xml:space="preserve">, </w:t>
      </w:r>
      <w:r w:rsidR="00F27CD5" w:rsidRPr="00F22A0D">
        <w:rPr>
          <w:rFonts w:ascii="Times New Roman" w:hAnsi="Times New Roman"/>
          <w:b/>
          <w:sz w:val="24"/>
          <w:szCs w:val="24"/>
        </w:rPr>
        <w:t xml:space="preserve">incl. </w:t>
      </w:r>
      <w:r w:rsidRPr="00F22A0D">
        <w:rPr>
          <w:rFonts w:ascii="Times New Roman" w:hAnsi="Times New Roman"/>
          <w:b/>
          <w:sz w:val="24"/>
          <w:szCs w:val="24"/>
        </w:rPr>
        <w:t>Mediation</w:t>
      </w:r>
      <w:r w:rsidR="005E16F7" w:rsidRPr="00F22A0D">
        <w:rPr>
          <w:rFonts w:ascii="Times New Roman" w:hAnsi="Times New Roman"/>
          <w:b/>
          <w:sz w:val="24"/>
          <w:szCs w:val="24"/>
        </w:rPr>
        <w:t>, Labor Relations</w:t>
      </w:r>
      <w:r w:rsidR="00644E1A">
        <w:rPr>
          <w:rFonts w:ascii="Times New Roman" w:hAnsi="Times New Roman"/>
          <w:b/>
          <w:sz w:val="24"/>
          <w:szCs w:val="24"/>
        </w:rPr>
        <w:tab/>
      </w:r>
      <w:r w:rsidR="00644E1A">
        <w:rPr>
          <w:rFonts w:ascii="Times New Roman" w:hAnsi="Times New Roman"/>
          <w:b/>
          <w:sz w:val="24"/>
          <w:szCs w:val="24"/>
        </w:rPr>
        <w:tab/>
      </w:r>
      <w:r w:rsidR="00644E1A">
        <w:rPr>
          <w:rFonts w:ascii="Times New Roman" w:hAnsi="Times New Roman"/>
          <w:b/>
          <w:sz w:val="24"/>
          <w:szCs w:val="24"/>
        </w:rPr>
        <w:tab/>
      </w:r>
      <w:r w:rsidR="00644E1A">
        <w:rPr>
          <w:rFonts w:ascii="Times New Roman" w:hAnsi="Times New Roman"/>
          <w:b/>
          <w:sz w:val="24"/>
          <w:szCs w:val="24"/>
        </w:rPr>
        <w:tab/>
      </w:r>
      <w:r w:rsidR="00F42EFD">
        <w:rPr>
          <w:rFonts w:ascii="Times New Roman" w:hAnsi="Times New Roman"/>
          <w:b/>
          <w:color w:val="EE0000"/>
          <w:sz w:val="24"/>
          <w:szCs w:val="24"/>
        </w:rPr>
        <w:t>6</w:t>
      </w:r>
      <w:r w:rsidR="00A663AC">
        <w:rPr>
          <w:rFonts w:ascii="Times New Roman" w:hAnsi="Times New Roman"/>
          <w:b/>
          <w:color w:val="EE0000"/>
          <w:sz w:val="24"/>
          <w:szCs w:val="24"/>
        </w:rPr>
        <w:t>4</w:t>
      </w:r>
      <w:r w:rsidR="00644E1A" w:rsidRPr="00644E1A">
        <w:rPr>
          <w:rFonts w:ascii="Times New Roman" w:hAnsi="Times New Roman"/>
          <w:b/>
          <w:color w:val="EE0000"/>
          <w:sz w:val="24"/>
          <w:szCs w:val="24"/>
        </w:rPr>
        <w:t xml:space="preserve"> cases</w:t>
      </w:r>
    </w:p>
    <w:p w14:paraId="74F6F193" w14:textId="194F2825" w:rsidR="00447518" w:rsidRPr="00165526" w:rsidRDefault="00F326E5" w:rsidP="00F326E5">
      <w:pPr>
        <w:pStyle w:val="NoSpacing"/>
        <w:rPr>
          <w:rFonts w:ascii="Times New Roman" w:hAnsi="Times New Roman"/>
          <w:b/>
          <w:color w:val="EE0000"/>
          <w:sz w:val="24"/>
          <w:szCs w:val="24"/>
        </w:rPr>
      </w:pPr>
      <w:r w:rsidRPr="00F22A0D">
        <w:rPr>
          <w:rFonts w:ascii="Times New Roman" w:hAnsi="Times New Roman"/>
          <w:b/>
          <w:sz w:val="24"/>
          <w:szCs w:val="24"/>
        </w:rPr>
        <w:t xml:space="preserve">Chap. 18 </w:t>
      </w:r>
      <w:r w:rsidRPr="00F22A0D">
        <w:rPr>
          <w:rFonts w:ascii="Times New Roman" w:hAnsi="Times New Roman"/>
          <w:b/>
          <w:sz w:val="24"/>
          <w:szCs w:val="24"/>
        </w:rPr>
        <w:tab/>
        <w:t>Legislation</w:t>
      </w:r>
      <w:r w:rsidR="00801D3A">
        <w:rPr>
          <w:rFonts w:ascii="Times New Roman" w:hAnsi="Times New Roman"/>
          <w:b/>
          <w:sz w:val="24"/>
          <w:szCs w:val="24"/>
        </w:rPr>
        <w:t>, incl. Public Documents</w:t>
      </w:r>
      <w:r w:rsidR="00644E1A">
        <w:rPr>
          <w:rFonts w:ascii="Times New Roman" w:hAnsi="Times New Roman"/>
          <w:b/>
          <w:sz w:val="24"/>
          <w:szCs w:val="24"/>
        </w:rPr>
        <w:tab/>
      </w:r>
      <w:r w:rsidR="00644E1A">
        <w:rPr>
          <w:rFonts w:ascii="Times New Roman" w:hAnsi="Times New Roman"/>
          <w:b/>
          <w:sz w:val="24"/>
          <w:szCs w:val="24"/>
        </w:rPr>
        <w:tab/>
      </w:r>
      <w:r w:rsidR="00644E1A">
        <w:rPr>
          <w:rFonts w:ascii="Times New Roman" w:hAnsi="Times New Roman"/>
          <w:b/>
          <w:sz w:val="24"/>
          <w:szCs w:val="24"/>
        </w:rPr>
        <w:tab/>
      </w:r>
      <w:r w:rsidR="00644E1A">
        <w:rPr>
          <w:rFonts w:ascii="Times New Roman" w:hAnsi="Times New Roman"/>
          <w:b/>
          <w:sz w:val="24"/>
          <w:szCs w:val="24"/>
        </w:rPr>
        <w:tab/>
      </w:r>
      <w:r w:rsidR="00644E1A">
        <w:rPr>
          <w:rFonts w:ascii="Times New Roman" w:hAnsi="Times New Roman"/>
          <w:b/>
          <w:sz w:val="24"/>
          <w:szCs w:val="24"/>
        </w:rPr>
        <w:tab/>
      </w:r>
      <w:r w:rsidR="00165526" w:rsidRPr="00165526">
        <w:rPr>
          <w:rFonts w:ascii="Times New Roman" w:hAnsi="Times New Roman"/>
          <w:b/>
          <w:color w:val="EE0000"/>
          <w:sz w:val="24"/>
          <w:szCs w:val="24"/>
        </w:rPr>
        <w:t>3</w:t>
      </w:r>
      <w:r w:rsidR="00A663AC">
        <w:rPr>
          <w:rFonts w:ascii="Times New Roman" w:hAnsi="Times New Roman"/>
          <w:b/>
          <w:color w:val="EE0000"/>
          <w:sz w:val="24"/>
          <w:szCs w:val="24"/>
        </w:rPr>
        <w:t>3</w:t>
      </w:r>
      <w:r w:rsidR="00165526" w:rsidRPr="00165526">
        <w:rPr>
          <w:rFonts w:ascii="Times New Roman" w:hAnsi="Times New Roman"/>
          <w:b/>
          <w:color w:val="EE0000"/>
          <w:sz w:val="24"/>
          <w:szCs w:val="24"/>
        </w:rPr>
        <w:t xml:space="preserve"> cases</w:t>
      </w:r>
    </w:p>
    <w:p w14:paraId="786BD399" w14:textId="77777777" w:rsidR="00EE45D8" w:rsidRDefault="00EE45D8" w:rsidP="00F326E5">
      <w:pPr>
        <w:pStyle w:val="NoSpacing"/>
        <w:rPr>
          <w:rFonts w:ascii="Times New Roman" w:hAnsi="Times New Roman"/>
          <w:b/>
          <w:sz w:val="24"/>
          <w:szCs w:val="24"/>
        </w:rPr>
      </w:pPr>
    </w:p>
    <w:p w14:paraId="2CD1179B" w14:textId="77777777" w:rsidR="00080FC6" w:rsidRDefault="00080FC6" w:rsidP="00F326E5">
      <w:pPr>
        <w:pStyle w:val="NoSpacing"/>
        <w:rPr>
          <w:rFonts w:ascii="Times New Roman" w:hAnsi="Times New Roman"/>
          <w:b/>
          <w:sz w:val="20"/>
          <w:szCs w:val="20"/>
        </w:rPr>
      </w:pPr>
    </w:p>
    <w:p w14:paraId="5A3CA201" w14:textId="77777777" w:rsidR="009F6174" w:rsidRPr="009F6174" w:rsidRDefault="009F6174" w:rsidP="009F6174">
      <w:pPr>
        <w:pStyle w:val="NoSpacing"/>
        <w:rPr>
          <w:b/>
          <w:bCs/>
          <w:sz w:val="16"/>
          <w:szCs w:val="16"/>
          <w:u w:val="single"/>
        </w:rPr>
      </w:pPr>
      <w:r w:rsidRPr="009F6174">
        <w:rPr>
          <w:b/>
          <w:bCs/>
          <w:sz w:val="16"/>
          <w:szCs w:val="16"/>
          <w:u w:val="single"/>
        </w:rPr>
        <w:t>Textbooks / Other Publications</w:t>
      </w:r>
    </w:p>
    <w:p w14:paraId="631FF5ED" w14:textId="77777777" w:rsidR="009F6174" w:rsidRPr="009F6174" w:rsidRDefault="009F6174" w:rsidP="009F6174">
      <w:pPr>
        <w:pStyle w:val="NoSpacing"/>
        <w:numPr>
          <w:ilvl w:val="0"/>
          <w:numId w:val="42"/>
        </w:numPr>
        <w:rPr>
          <w:b/>
          <w:bCs/>
          <w:sz w:val="16"/>
          <w:szCs w:val="16"/>
        </w:rPr>
      </w:pPr>
      <w:r w:rsidRPr="009F6174">
        <w:rPr>
          <w:b/>
          <w:bCs/>
          <w:sz w:val="16"/>
          <w:szCs w:val="16"/>
        </w:rPr>
        <w:t xml:space="preserve">2026: FIRE &amp; EMS LAW – LIBRARY OF RECENT CASE SUMMARIES:  Over 1,600 case summaries since 2018 from monthly newsletters (supplement my 2017 Textbook, Fire Service Law):  </w:t>
      </w:r>
      <w:hyperlink r:id="rId16" w:history="1">
        <w:r w:rsidRPr="009F6174">
          <w:rPr>
            <w:rStyle w:val="Hyperlink"/>
            <w:b/>
            <w:bCs/>
            <w:sz w:val="16"/>
            <w:szCs w:val="16"/>
          </w:rPr>
          <w:t>https://doi.org/10.7945/j6c2-q930</w:t>
        </w:r>
      </w:hyperlink>
    </w:p>
    <w:p w14:paraId="5C2A5EB6" w14:textId="77777777" w:rsidR="009F6174" w:rsidRPr="009F6174" w:rsidRDefault="009F6174" w:rsidP="009F6174">
      <w:pPr>
        <w:pStyle w:val="NoSpacing"/>
        <w:numPr>
          <w:ilvl w:val="0"/>
          <w:numId w:val="42"/>
        </w:numPr>
        <w:rPr>
          <w:b/>
          <w:bCs/>
          <w:sz w:val="16"/>
          <w:szCs w:val="16"/>
        </w:rPr>
      </w:pPr>
      <w:r w:rsidRPr="009F6174">
        <w:rPr>
          <w:b/>
          <w:bCs/>
          <w:sz w:val="16"/>
          <w:szCs w:val="16"/>
        </w:rPr>
        <w:t xml:space="preserve">2026: FIRE &amp; EMS - CURRENT EVENTS:   </w:t>
      </w:r>
      <w:hyperlink r:id="rId17" w:history="1">
        <w:r w:rsidRPr="009F6174">
          <w:rPr>
            <w:rStyle w:val="Hyperlink"/>
            <w:b/>
            <w:bCs/>
            <w:sz w:val="16"/>
            <w:szCs w:val="16"/>
          </w:rPr>
          <w:t>https://doi.org/10.7945/0dwx-fc52</w:t>
        </w:r>
      </w:hyperlink>
    </w:p>
    <w:p w14:paraId="60804F3F" w14:textId="77777777" w:rsidR="009F6174" w:rsidRPr="009F6174" w:rsidRDefault="009F6174" w:rsidP="009F6174">
      <w:pPr>
        <w:pStyle w:val="NoSpacing"/>
        <w:numPr>
          <w:ilvl w:val="0"/>
          <w:numId w:val="42"/>
        </w:numPr>
        <w:rPr>
          <w:b/>
          <w:bCs/>
          <w:sz w:val="16"/>
          <w:szCs w:val="16"/>
        </w:rPr>
      </w:pPr>
      <w:r w:rsidRPr="009F6174">
        <w:rPr>
          <w:b/>
          <w:bCs/>
          <w:sz w:val="16"/>
          <w:szCs w:val="16"/>
        </w:rPr>
        <w:t>2026: EMS LAW – LEGAL LESSONS LEARNED (3</w:t>
      </w:r>
      <w:r w:rsidRPr="009F6174">
        <w:rPr>
          <w:b/>
          <w:bCs/>
          <w:sz w:val="16"/>
          <w:szCs w:val="16"/>
          <w:vertAlign w:val="superscript"/>
        </w:rPr>
        <w:t>rd</w:t>
      </w:r>
      <w:r w:rsidRPr="009F6174">
        <w:rPr>
          <w:b/>
          <w:bCs/>
          <w:sz w:val="16"/>
          <w:szCs w:val="16"/>
        </w:rPr>
        <w:t xml:space="preserve"> Edition) – case summaries 2018 - present: </w:t>
      </w:r>
      <w:hyperlink r:id="rId18" w:history="1">
        <w:r w:rsidRPr="009F6174">
          <w:rPr>
            <w:rStyle w:val="Hyperlink"/>
            <w:b/>
            <w:bCs/>
            <w:sz w:val="16"/>
            <w:szCs w:val="16"/>
          </w:rPr>
          <w:t>https://scholar.uc.edu/show/dn39x307g</w:t>
        </w:r>
      </w:hyperlink>
    </w:p>
    <w:p w14:paraId="356D09A4" w14:textId="77777777" w:rsidR="009F6174" w:rsidRPr="009F6174" w:rsidRDefault="009F6174" w:rsidP="009F6174">
      <w:pPr>
        <w:pStyle w:val="NoSpacing"/>
        <w:numPr>
          <w:ilvl w:val="0"/>
          <w:numId w:val="42"/>
        </w:numPr>
        <w:rPr>
          <w:b/>
          <w:bCs/>
          <w:sz w:val="16"/>
          <w:szCs w:val="16"/>
        </w:rPr>
      </w:pPr>
      <w:r w:rsidRPr="009F6174">
        <w:rPr>
          <w:b/>
          <w:bCs/>
          <w:sz w:val="16"/>
          <w:szCs w:val="16"/>
        </w:rPr>
        <w:t xml:space="preserve">2026: POLITICAL &amp; LEGAL APPLICATIONS FOR EMERGENCY SERVICES (3 Author text for National Fire Academy / FESHE online course): </w:t>
      </w:r>
      <w:hyperlink r:id="rId19" w:history="1">
        <w:r w:rsidRPr="009F6174">
          <w:rPr>
            <w:rStyle w:val="Hyperlink"/>
            <w:b/>
            <w:bCs/>
            <w:sz w:val="16"/>
            <w:szCs w:val="16"/>
          </w:rPr>
          <w:t>https://doi.org/10.7945/av8d-c920</w:t>
        </w:r>
      </w:hyperlink>
    </w:p>
    <w:p w14:paraId="3317A5AE" w14:textId="77777777" w:rsidR="009F6174" w:rsidRPr="009F6174" w:rsidRDefault="009F6174" w:rsidP="009F6174">
      <w:pPr>
        <w:pStyle w:val="NoSpacing"/>
        <w:numPr>
          <w:ilvl w:val="0"/>
          <w:numId w:val="42"/>
        </w:numPr>
        <w:rPr>
          <w:b/>
          <w:bCs/>
          <w:sz w:val="16"/>
          <w:szCs w:val="16"/>
        </w:rPr>
      </w:pPr>
      <w:r w:rsidRPr="009F6174">
        <w:rPr>
          <w:b/>
          <w:bCs/>
          <w:sz w:val="16"/>
          <w:szCs w:val="16"/>
        </w:rPr>
        <w:t xml:space="preserve">2026: EMS POLITICAL &amp; LEGAL APPLICATIONS FOR EMERGENCY MEDICAL SERVICES  (4 Author text for National Fire Academy / FESHE online course): </w:t>
      </w:r>
      <w:hyperlink r:id="rId20" w:history="1">
        <w:r w:rsidRPr="009F6174">
          <w:rPr>
            <w:rStyle w:val="Hyperlink"/>
            <w:b/>
            <w:bCs/>
            <w:sz w:val="16"/>
            <w:szCs w:val="16"/>
          </w:rPr>
          <w:t>https://scholar.uc.edu/concern/documents/ht24wm15r?locale=en</w:t>
        </w:r>
      </w:hyperlink>
    </w:p>
    <w:p w14:paraId="2D3BDA88" w14:textId="77777777" w:rsidR="009F6174" w:rsidRPr="009F6174" w:rsidRDefault="009F6174" w:rsidP="009F6174">
      <w:pPr>
        <w:pStyle w:val="NoSpacing"/>
        <w:numPr>
          <w:ilvl w:val="0"/>
          <w:numId w:val="42"/>
        </w:numPr>
        <w:rPr>
          <w:b/>
          <w:bCs/>
          <w:sz w:val="16"/>
          <w:szCs w:val="16"/>
        </w:rPr>
      </w:pPr>
      <w:r w:rsidRPr="009F6174">
        <w:rPr>
          <w:b/>
          <w:bCs/>
          <w:sz w:val="16"/>
          <w:szCs w:val="16"/>
        </w:rPr>
        <w:t xml:space="preserve">2026: AMERICAN HISTORY – FOR FIRE &amp; EMS (including U.S. Supreme Court decisions, and Major Fires)  </w:t>
      </w:r>
      <w:hyperlink r:id="rId21" w:history="1">
        <w:r w:rsidRPr="009F6174">
          <w:rPr>
            <w:rStyle w:val="Hyperlink"/>
            <w:b/>
            <w:bCs/>
            <w:sz w:val="16"/>
            <w:szCs w:val="16"/>
          </w:rPr>
          <w:t>https://scholar.uc.edu/show/ks65hd707</w:t>
        </w:r>
      </w:hyperlink>
    </w:p>
    <w:p w14:paraId="6C3B5078" w14:textId="77777777" w:rsidR="009F6174" w:rsidRPr="009F6174" w:rsidRDefault="009F6174" w:rsidP="009F6174">
      <w:pPr>
        <w:pStyle w:val="NoSpacing"/>
        <w:numPr>
          <w:ilvl w:val="0"/>
          <w:numId w:val="42"/>
        </w:numPr>
        <w:rPr>
          <w:b/>
          <w:bCs/>
          <w:sz w:val="16"/>
          <w:szCs w:val="16"/>
        </w:rPr>
      </w:pPr>
      <w:r w:rsidRPr="009F6174">
        <w:rPr>
          <w:b/>
          <w:bCs/>
          <w:sz w:val="16"/>
          <w:szCs w:val="16"/>
        </w:rPr>
        <w:t xml:space="preserve">2017: TEXTBOOK:  FIRE SERVICE LAW (Second Edition) (ISBN 978-1-4786-3397-6); Waveland Press: </w:t>
      </w:r>
      <w:hyperlink r:id="rId22" w:history="1">
        <w:r w:rsidRPr="009F6174">
          <w:rPr>
            <w:rStyle w:val="Hyperlink"/>
            <w:b/>
            <w:bCs/>
            <w:sz w:val="16"/>
            <w:szCs w:val="16"/>
          </w:rPr>
          <w:t>http://www.waveland.com/browse.php?t=708</w:t>
        </w:r>
      </w:hyperlink>
      <w:r w:rsidRPr="009F6174">
        <w:rPr>
          <w:b/>
          <w:bCs/>
          <w:sz w:val="16"/>
          <w:szCs w:val="16"/>
        </w:rPr>
        <w:t xml:space="preserve">  (First Edition – Prentice Hall, 2008).</w:t>
      </w:r>
    </w:p>
    <w:p w14:paraId="3A8B0D38" w14:textId="77777777" w:rsidR="009F6174" w:rsidRPr="009F6174" w:rsidRDefault="009F6174" w:rsidP="009F6174">
      <w:pPr>
        <w:pStyle w:val="NoSpacing"/>
        <w:numPr>
          <w:ilvl w:val="0"/>
          <w:numId w:val="42"/>
        </w:numPr>
        <w:rPr>
          <w:b/>
          <w:bCs/>
          <w:sz w:val="16"/>
          <w:szCs w:val="16"/>
        </w:rPr>
      </w:pPr>
      <w:r w:rsidRPr="009F6174">
        <w:rPr>
          <w:b/>
          <w:bCs/>
          <w:sz w:val="16"/>
          <w:szCs w:val="16"/>
        </w:rPr>
        <w:t>2006: CHIEF FIRE OFFICER’S DESK REFERENCE: Jones &amp; Bartlett, Chap. 4: U.S. Legal System.</w:t>
      </w:r>
    </w:p>
    <w:p w14:paraId="0387007A" w14:textId="77777777" w:rsidR="009F6174" w:rsidRPr="009F6174" w:rsidRDefault="009F6174" w:rsidP="009F6174">
      <w:pPr>
        <w:pStyle w:val="NoSpacing"/>
        <w:numPr>
          <w:ilvl w:val="0"/>
          <w:numId w:val="42"/>
        </w:numPr>
        <w:rPr>
          <w:b/>
          <w:bCs/>
          <w:sz w:val="16"/>
          <w:szCs w:val="16"/>
        </w:rPr>
      </w:pPr>
      <w:r w:rsidRPr="009F6174">
        <w:rPr>
          <w:b/>
          <w:bCs/>
          <w:sz w:val="16"/>
          <w:szCs w:val="16"/>
        </w:rPr>
        <w:t>2005: FIRE &amp; EMS LAW FOR OFFICERS: Fire Protection Publications, Okla. State: Employment Best Practices (2005); Safety (2004).</w:t>
      </w:r>
    </w:p>
    <w:p w14:paraId="6D2A07B5" w14:textId="77777777" w:rsidR="009F6174" w:rsidRPr="009F6174" w:rsidRDefault="009F6174" w:rsidP="009F6174">
      <w:pPr>
        <w:pStyle w:val="NoSpacing"/>
        <w:rPr>
          <w:b/>
          <w:bCs/>
          <w:sz w:val="16"/>
          <w:szCs w:val="16"/>
          <w:u w:val="single"/>
        </w:rPr>
      </w:pPr>
    </w:p>
    <w:p w14:paraId="75EF7650" w14:textId="77777777" w:rsidR="006D2D4A" w:rsidRDefault="006D2D4A" w:rsidP="006D2D4A">
      <w:pPr>
        <w:pStyle w:val="NoSpacing"/>
        <w:rPr>
          <w:b/>
          <w:bCs/>
          <w:sz w:val="16"/>
          <w:szCs w:val="16"/>
        </w:rPr>
      </w:pPr>
    </w:p>
    <w:p w14:paraId="12AD15FA" w14:textId="77777777" w:rsidR="006D2D4A" w:rsidRPr="00F5681B" w:rsidRDefault="006D2D4A" w:rsidP="006D2D4A">
      <w:pPr>
        <w:pStyle w:val="NoSpacing"/>
        <w:ind w:left="720"/>
        <w:rPr>
          <w:rFonts w:ascii="Times New Roman" w:hAnsi="Times New Roman"/>
          <w:b/>
          <w:bCs/>
          <w:sz w:val="20"/>
          <w:szCs w:val="20"/>
        </w:rPr>
      </w:pPr>
    </w:p>
    <w:p w14:paraId="544D5725" w14:textId="77777777" w:rsidR="006C4753" w:rsidRPr="00F5681B" w:rsidRDefault="006C4753" w:rsidP="00F326E5">
      <w:pPr>
        <w:pStyle w:val="NoSpacing"/>
        <w:rPr>
          <w:rFonts w:ascii="Times New Roman" w:hAnsi="Times New Roman"/>
          <w:sz w:val="20"/>
          <w:szCs w:val="20"/>
        </w:rPr>
      </w:pPr>
    </w:p>
    <w:p w14:paraId="3216C5A5" w14:textId="24866E97" w:rsidR="00F326E5" w:rsidRDefault="00F326E5" w:rsidP="00F326E5">
      <w:pPr>
        <w:pStyle w:val="NoSpacing"/>
        <w:rPr>
          <w:rFonts w:ascii="Arial Black" w:hAnsi="Arial Black"/>
          <w:sz w:val="40"/>
          <w:szCs w:val="40"/>
        </w:rPr>
      </w:pPr>
      <w:r w:rsidRPr="007732FA">
        <w:rPr>
          <w:rFonts w:ascii="Arial Black" w:hAnsi="Arial Black"/>
          <w:sz w:val="40"/>
          <w:szCs w:val="40"/>
        </w:rPr>
        <w:t>Chap. 1</w:t>
      </w:r>
      <w:r w:rsidRPr="007732FA">
        <w:rPr>
          <w:rFonts w:ascii="Arial Black" w:hAnsi="Arial Black"/>
          <w:sz w:val="40"/>
          <w:szCs w:val="40"/>
        </w:rPr>
        <w:tab/>
        <w:t>American Legal System</w:t>
      </w:r>
      <w:r w:rsidR="003F660F">
        <w:rPr>
          <w:rFonts w:ascii="Arial Black" w:hAnsi="Arial Black"/>
          <w:sz w:val="40"/>
          <w:szCs w:val="40"/>
        </w:rPr>
        <w:t>, incl</w:t>
      </w:r>
      <w:r w:rsidR="00022BE4">
        <w:rPr>
          <w:rFonts w:ascii="Arial Black" w:hAnsi="Arial Black"/>
          <w:sz w:val="40"/>
          <w:szCs w:val="40"/>
        </w:rPr>
        <w:t xml:space="preserve">. </w:t>
      </w:r>
      <w:r w:rsidR="00636395">
        <w:rPr>
          <w:rFonts w:ascii="Arial Black" w:hAnsi="Arial Black"/>
          <w:sz w:val="40"/>
          <w:szCs w:val="40"/>
        </w:rPr>
        <w:t xml:space="preserve">Fire </w:t>
      </w:r>
      <w:r w:rsidRPr="007732FA">
        <w:rPr>
          <w:rFonts w:ascii="Arial Black" w:hAnsi="Arial Black"/>
          <w:sz w:val="40"/>
          <w:szCs w:val="40"/>
        </w:rPr>
        <w:t>Code</w:t>
      </w:r>
      <w:r w:rsidR="00636395">
        <w:rPr>
          <w:rFonts w:ascii="Arial Black" w:hAnsi="Arial Black"/>
          <w:sz w:val="40"/>
          <w:szCs w:val="40"/>
        </w:rPr>
        <w:t>s</w:t>
      </w:r>
      <w:r w:rsidR="003F660F">
        <w:rPr>
          <w:rFonts w:ascii="Arial Black" w:hAnsi="Arial Black"/>
          <w:sz w:val="40"/>
          <w:szCs w:val="40"/>
        </w:rPr>
        <w:t xml:space="preserve">, </w:t>
      </w:r>
      <w:r w:rsidR="00636395">
        <w:rPr>
          <w:rFonts w:ascii="Arial Black" w:hAnsi="Arial Black"/>
          <w:sz w:val="40"/>
          <w:szCs w:val="40"/>
        </w:rPr>
        <w:t xml:space="preserve">Arson </w:t>
      </w:r>
      <w:r w:rsidRPr="007732FA">
        <w:rPr>
          <w:rFonts w:ascii="Arial Black" w:hAnsi="Arial Black"/>
          <w:sz w:val="40"/>
          <w:szCs w:val="40"/>
        </w:rPr>
        <w:t xml:space="preserve"> </w:t>
      </w:r>
    </w:p>
    <w:p w14:paraId="42575F13" w14:textId="77777777" w:rsidR="006E51B1" w:rsidRDefault="006E51B1" w:rsidP="00037CB8">
      <w:pPr>
        <w:pStyle w:val="NoSpacing"/>
        <w:rPr>
          <w:rFonts w:ascii="Arial Black" w:hAnsi="Arial Black"/>
          <w:sz w:val="24"/>
          <w:szCs w:val="24"/>
        </w:rPr>
      </w:pPr>
    </w:p>
    <w:p w14:paraId="37F18B59" w14:textId="2D1E909F" w:rsidR="00E16BDA" w:rsidRDefault="00E16BDA" w:rsidP="00E16BDA">
      <w:pPr>
        <w:pStyle w:val="NoSpacing"/>
        <w:rPr>
          <w:rFonts w:ascii="Arial Black" w:hAnsi="Arial Black"/>
          <w:sz w:val="28"/>
          <w:szCs w:val="28"/>
        </w:rPr>
      </w:pPr>
      <w:r>
        <w:rPr>
          <w:rFonts w:ascii="Arial Black" w:hAnsi="Arial Black"/>
          <w:sz w:val="28"/>
          <w:szCs w:val="28"/>
        </w:rPr>
        <w:t>1-220</w:t>
      </w:r>
    </w:p>
    <w:p w14:paraId="4A9A6C90" w14:textId="77777777" w:rsidR="00E16BDA" w:rsidRDefault="00E16BDA" w:rsidP="00E16BDA">
      <w:pPr>
        <w:pStyle w:val="NoSpacing"/>
        <w:rPr>
          <w:rFonts w:ascii="Arial Black" w:hAnsi="Arial Black"/>
          <w:sz w:val="28"/>
          <w:szCs w:val="28"/>
        </w:rPr>
      </w:pPr>
    </w:p>
    <w:p w14:paraId="64CE70A5" w14:textId="487BA5F4" w:rsidR="00E16BDA" w:rsidRDefault="00E16BDA" w:rsidP="00E16BDA">
      <w:pPr>
        <w:pStyle w:val="NoSpacing"/>
        <w:rPr>
          <w:rFonts w:ascii="Arial Black" w:hAnsi="Arial Black"/>
          <w:bCs/>
          <w:sz w:val="28"/>
          <w:szCs w:val="28"/>
        </w:rPr>
      </w:pPr>
      <w:r>
        <w:rPr>
          <w:rFonts w:ascii="Arial Black" w:hAnsi="Arial Black"/>
          <w:sz w:val="28"/>
          <w:szCs w:val="28"/>
        </w:rPr>
        <w:t>KY: ARSON - ANONYMOUS 911 CALLER – NOT HEARSAY</w:t>
      </w:r>
    </w:p>
    <w:p w14:paraId="5EC45D8E" w14:textId="77777777" w:rsidR="00E16BDA" w:rsidRDefault="00E16BDA" w:rsidP="00E16BDA">
      <w:pPr>
        <w:pStyle w:val="NoSpacing"/>
        <w:rPr>
          <w:rFonts w:ascii="Arial Black" w:hAnsi="Arial Black"/>
          <w:bCs/>
          <w:sz w:val="28"/>
          <w:szCs w:val="28"/>
        </w:rPr>
      </w:pPr>
    </w:p>
    <w:p w14:paraId="2E45F4D7" w14:textId="77777777" w:rsidR="00E16BDA" w:rsidRDefault="00E16BDA" w:rsidP="00E16BDA">
      <w:pPr>
        <w:pStyle w:val="NoSpacing"/>
        <w:rPr>
          <w:bCs/>
        </w:rPr>
      </w:pPr>
      <w:r>
        <w:t xml:space="preserve">On July 24, 2026, in </w:t>
      </w:r>
      <w:r w:rsidRPr="007C4E79">
        <w:t>Nathan McClure v. Commonwealth of Kentuck</w:t>
      </w:r>
      <w:r w:rsidRPr="00DA630E">
        <w:rPr>
          <w:u w:val="single"/>
        </w:rPr>
        <w:t>y</w:t>
      </w:r>
      <w:r>
        <w:t xml:space="preserve">, the </w:t>
      </w:r>
      <w:r w:rsidRPr="00DA630E">
        <w:t>Court of Appeals of Kentucky</w:t>
      </w:r>
      <w:r>
        <w:t xml:space="preserve"> held (3 to 0) that trial court properly allowed jury to hear an anonymous 911 caller describing the arsonist’s conduct setting fire to his houseboat. </w:t>
      </w:r>
      <w:r w:rsidRPr="000A5AAA">
        <w:t>The jury found McClure guilty of both third-degree arson and first-degree criminal mischief. It recommended the minimum sentence of one year on each charge to be served concurrently and the trial court sentenced McClure</w:t>
      </w:r>
      <w:r>
        <w:t xml:space="preserve"> as recommended. </w:t>
      </w:r>
    </w:p>
    <w:p w14:paraId="4CCEB74B" w14:textId="77777777" w:rsidR="00E16BDA" w:rsidRDefault="00E16BDA" w:rsidP="00E16BDA">
      <w:pPr>
        <w:pStyle w:val="NoSpacing"/>
        <w:rPr>
          <w:b/>
        </w:rPr>
      </w:pPr>
      <w:hyperlink r:id="rId23" w:history="1">
        <w:r w:rsidRPr="00465492">
          <w:rPr>
            <w:rStyle w:val="Hyperlink"/>
            <w:b/>
          </w:rPr>
          <w:t>https://cases.justia.com/kentucky/court-of-appeals/2026-2025-ca-0111-mr.pdf?ts=1784901906</w:t>
        </w:r>
      </w:hyperlink>
      <w:r>
        <w:rPr>
          <w:b/>
        </w:rPr>
        <w:t xml:space="preserve"> </w:t>
      </w:r>
    </w:p>
    <w:p w14:paraId="315A9442" w14:textId="77777777" w:rsidR="00E16BDA" w:rsidRDefault="00E16BDA" w:rsidP="00E16BDA">
      <w:pPr>
        <w:pStyle w:val="NoSpacing"/>
        <w:rPr>
          <w:b/>
        </w:rPr>
      </w:pPr>
    </w:p>
    <w:p w14:paraId="7AF683E9" w14:textId="77777777" w:rsidR="00E16BDA" w:rsidRDefault="00E16BDA" w:rsidP="00E16BDA">
      <w:pPr>
        <w:pStyle w:val="NoSpacing"/>
        <w:rPr>
          <w:bCs/>
        </w:rPr>
      </w:pPr>
      <w:r>
        <w:t>THE COURT WROTE:</w:t>
      </w:r>
    </w:p>
    <w:p w14:paraId="5E2F7CFA" w14:textId="77777777" w:rsidR="00E16BDA" w:rsidRDefault="00E16BDA" w:rsidP="00E16BDA">
      <w:pPr>
        <w:pStyle w:val="NoSpacing"/>
        <w:rPr>
          <w:bCs/>
        </w:rPr>
      </w:pPr>
      <w:r>
        <w:t>‘</w:t>
      </w:r>
      <w:r w:rsidRPr="0079320F">
        <w:t>In the instant case, there is no dispute that McClure intentionally set a</w:t>
      </w:r>
      <w:r>
        <w:t xml:space="preserve"> </w:t>
      </w:r>
      <w:r w:rsidRPr="0079320F">
        <w:t>fire on the night in question. However, a key issue at McClure’s jury trial was</w:t>
      </w:r>
      <w:r>
        <w:t xml:space="preserve"> </w:t>
      </w:r>
      <w:r w:rsidRPr="0079320F">
        <w:t xml:space="preserve">whether McClure had </w:t>
      </w:r>
      <w:r w:rsidRPr="0079320F">
        <w:rPr>
          <w:b/>
        </w:rPr>
        <w:t xml:space="preserve">wantonly </w:t>
      </w:r>
      <w:r w:rsidRPr="0079320F">
        <w:t>caused the destruction of the Cooks’ building</w:t>
      </w:r>
      <w:r>
        <w:t xml:space="preserve">…. </w:t>
      </w:r>
      <w:r w:rsidRPr="00513FBF">
        <w:t>One person who called three times about the fire chose to remain</w:t>
      </w:r>
      <w:r>
        <w:t xml:space="preserve"> </w:t>
      </w:r>
      <w:r w:rsidRPr="00513FBF">
        <w:t>anonymous and asked if he was speaking with a particular dispatcher in one call.</w:t>
      </w:r>
      <w:r>
        <w:t xml:space="preserve"> </w:t>
      </w:r>
      <w:r w:rsidRPr="00513FBF">
        <w:t>This anonymous caller first called to report that a man was burning a houseboat</w:t>
      </w:r>
      <w:r>
        <w:t xml:space="preserve"> </w:t>
      </w:r>
      <w:r w:rsidRPr="00513FBF">
        <w:t>and to request that firefighters come to a specific location. The second call from</w:t>
      </w:r>
      <w:r>
        <w:t xml:space="preserve"> </w:t>
      </w:r>
      <w:r w:rsidRPr="00642400">
        <w:t>this same caller reported the fire was escalating, provided a location, and expressed</w:t>
      </w:r>
      <w:r>
        <w:t xml:space="preserve"> </w:t>
      </w:r>
      <w:r w:rsidRPr="00642400">
        <w:t>a fear of the fire spreading to his home.</w:t>
      </w:r>
      <w:r>
        <w:t xml:space="preserve"> </w:t>
      </w:r>
      <w:r w:rsidRPr="00642400">
        <w:t>In his third and last call, the anonymous caller said he was the guy</w:t>
      </w:r>
      <w:r>
        <w:t xml:space="preserve"> </w:t>
      </w:r>
      <w:r w:rsidRPr="00642400">
        <w:t>who had called before about a fire, but he declined to give his name. He stated:</w:t>
      </w:r>
    </w:p>
    <w:p w14:paraId="5EDA5C0F" w14:textId="77777777" w:rsidR="00E16BDA" w:rsidRDefault="00E16BDA" w:rsidP="00E16BDA">
      <w:pPr>
        <w:pStyle w:val="NoSpacing"/>
        <w:rPr>
          <w:bCs/>
        </w:rPr>
      </w:pPr>
    </w:p>
    <w:p w14:paraId="7A0A9219" w14:textId="77777777" w:rsidR="00E16BDA" w:rsidRPr="00642400" w:rsidRDefault="00E16BDA" w:rsidP="00E16BDA">
      <w:pPr>
        <w:pStyle w:val="NoSpacing"/>
        <w:ind w:left="720" w:firstLine="720"/>
        <w:rPr>
          <w:bCs/>
        </w:rPr>
      </w:pPr>
      <w:r w:rsidRPr="00642400">
        <w:t>The guy that’s burned this place, that’s f****</w:t>
      </w:r>
      <w:proofErr w:type="spellStart"/>
      <w:r w:rsidRPr="00642400">
        <w:t>ing</w:t>
      </w:r>
      <w:proofErr w:type="spellEnd"/>
    </w:p>
    <w:p w14:paraId="0293C372" w14:textId="77777777" w:rsidR="00E16BDA" w:rsidRPr="00642400" w:rsidRDefault="00E16BDA" w:rsidP="00E16BDA">
      <w:pPr>
        <w:pStyle w:val="NoSpacing"/>
        <w:ind w:left="720" w:firstLine="720"/>
        <w:rPr>
          <w:bCs/>
        </w:rPr>
      </w:pPr>
      <w:r w:rsidRPr="00642400">
        <w:t>responsible one for it, is wild as a buck. He just took off</w:t>
      </w:r>
    </w:p>
    <w:p w14:paraId="79BD915A" w14:textId="77777777" w:rsidR="00E16BDA" w:rsidRPr="00642400" w:rsidRDefault="00E16BDA" w:rsidP="00E16BDA">
      <w:pPr>
        <w:pStyle w:val="NoSpacing"/>
        <w:ind w:left="720" w:firstLine="720"/>
        <w:rPr>
          <w:bCs/>
        </w:rPr>
      </w:pPr>
      <w:r w:rsidRPr="00642400">
        <w:t xml:space="preserve">in </w:t>
      </w:r>
      <w:proofErr w:type="gramStart"/>
      <w:r w:rsidRPr="00642400">
        <w:t>a ton</w:t>
      </w:r>
      <w:proofErr w:type="gramEnd"/>
      <w:r w:rsidRPr="00642400">
        <w:t xml:space="preserve"> truck with a </w:t>
      </w:r>
      <w:proofErr w:type="gramStart"/>
      <w:r w:rsidRPr="00642400">
        <w:t>track</w:t>
      </w:r>
      <w:proofErr w:type="gramEnd"/>
      <w:r w:rsidRPr="00642400">
        <w:t xml:space="preserve"> on the back of it and piled it,</w:t>
      </w:r>
    </w:p>
    <w:p w14:paraId="787E1897" w14:textId="77777777" w:rsidR="00E16BDA" w:rsidRPr="00642400" w:rsidRDefault="00E16BDA" w:rsidP="00E16BDA">
      <w:pPr>
        <w:pStyle w:val="NoSpacing"/>
        <w:ind w:left="720" w:firstLine="720"/>
        <w:rPr>
          <w:bCs/>
        </w:rPr>
      </w:pPr>
      <w:r w:rsidRPr="00642400">
        <w:t>son of a b****, right over here across from Stephens Pipe</w:t>
      </w:r>
    </w:p>
    <w:p w14:paraId="1882432E" w14:textId="77777777" w:rsidR="00E16BDA" w:rsidRPr="00C714A4" w:rsidRDefault="00E16BDA" w:rsidP="00E16BDA">
      <w:pPr>
        <w:pStyle w:val="NoSpacing"/>
        <w:ind w:left="720" w:firstLine="720"/>
        <w:rPr>
          <w:bCs/>
        </w:rPr>
      </w:pPr>
      <w:r w:rsidRPr="00642400">
        <w:t>and Steel in their</w:t>
      </w:r>
      <w:r>
        <w:t xml:space="preserve"> </w:t>
      </w:r>
      <w:r w:rsidRPr="00C714A4">
        <w:t>parking lot. Just ditched it. I think he’s</w:t>
      </w:r>
    </w:p>
    <w:p w14:paraId="58580BF5" w14:textId="77777777" w:rsidR="00E16BDA" w:rsidRDefault="00E16BDA" w:rsidP="00E16BDA">
      <w:pPr>
        <w:pStyle w:val="NoSpacing"/>
        <w:ind w:left="720" w:firstLine="720"/>
        <w:rPr>
          <w:bCs/>
        </w:rPr>
      </w:pPr>
      <w:r w:rsidRPr="00C714A4">
        <w:t>trying to run off.</w:t>
      </w:r>
    </w:p>
    <w:p w14:paraId="44CFA473" w14:textId="77777777" w:rsidR="00E16BDA" w:rsidRDefault="00E16BDA" w:rsidP="00E16BDA">
      <w:pPr>
        <w:pStyle w:val="NoSpacing"/>
        <w:ind w:left="720" w:firstLine="720"/>
        <w:rPr>
          <w:bCs/>
        </w:rPr>
      </w:pPr>
    </w:p>
    <w:p w14:paraId="6CE49F93" w14:textId="77777777" w:rsidR="00E16BDA" w:rsidRDefault="00E16BDA" w:rsidP="00E16BDA">
      <w:pPr>
        <w:pStyle w:val="NoSpacing"/>
        <w:rPr>
          <w:bCs/>
        </w:rPr>
      </w:pPr>
      <w:r>
        <w:t>***</w:t>
      </w:r>
    </w:p>
    <w:p w14:paraId="19CAB567" w14:textId="77777777" w:rsidR="00E16BDA" w:rsidRPr="00AB1F06" w:rsidRDefault="00E16BDA" w:rsidP="00E16BDA">
      <w:pPr>
        <w:pStyle w:val="NoSpacing"/>
        <w:rPr>
          <w:bCs/>
        </w:rPr>
      </w:pPr>
      <w:r w:rsidRPr="00AB1F06">
        <w:t>Like the trial court, we agree with the Commonwealth that even the</w:t>
      </w:r>
      <w:r>
        <w:t xml:space="preserve"> </w:t>
      </w:r>
      <w:r w:rsidRPr="00AB1F06">
        <w:t>third anonymous call was aimed at obtaining emergency assistance and is therefore</w:t>
      </w:r>
      <w:r>
        <w:t xml:space="preserve"> </w:t>
      </w:r>
      <w:r w:rsidRPr="00AB1F06">
        <w:t>non-testimonial. Specifically, this last anonymous call recounted observing the</w:t>
      </w:r>
      <w:r>
        <w:t xml:space="preserve"> </w:t>
      </w:r>
      <w:r w:rsidRPr="00AB1F06">
        <w:t>person who had started the fire—whom the caller identified as McClure—</w:t>
      </w:r>
      <w:r>
        <w:t xml:space="preserve"> </w:t>
      </w:r>
      <w:r w:rsidRPr="00AB1F06">
        <w:t>engaging in actions including getting in a truck and unloading it and apparently</w:t>
      </w:r>
      <w:r>
        <w:t xml:space="preserve"> </w:t>
      </w:r>
      <w:r w:rsidRPr="00AB1F06">
        <w:t xml:space="preserve">trying to get away. The </w:t>
      </w:r>
      <w:proofErr w:type="gramStart"/>
      <w:r w:rsidRPr="00AB1F06">
        <w:t>caller’s</w:t>
      </w:r>
      <w:proofErr w:type="gramEnd"/>
      <w:r w:rsidRPr="00AB1F06">
        <w:t xml:space="preserve"> reports that the person responsible for the fire</w:t>
      </w:r>
    </w:p>
    <w:p w14:paraId="109DF295" w14:textId="77777777" w:rsidR="00E16BDA" w:rsidRDefault="00E16BDA" w:rsidP="00E16BDA">
      <w:pPr>
        <w:pStyle w:val="NoSpacing"/>
        <w:rPr>
          <w:bCs/>
        </w:rPr>
      </w:pPr>
      <w:r w:rsidRPr="00AB1F06">
        <w:t>appeared to be trying to get away could be reasonably construed as an implicit</w:t>
      </w:r>
      <w:r>
        <w:t xml:space="preserve"> </w:t>
      </w:r>
      <w:r w:rsidRPr="00AB1F06">
        <w:t>request for law enforcement to be immediately sent to the scene on an emergency</w:t>
      </w:r>
      <w:r>
        <w:t xml:space="preserve"> </w:t>
      </w:r>
      <w:proofErr w:type="gramStart"/>
      <w:r w:rsidRPr="00AB1F06">
        <w:t>basis.</w:t>
      </w:r>
      <w:r>
        <w:t>”</w:t>
      </w:r>
      <w:proofErr w:type="gramEnd"/>
    </w:p>
    <w:p w14:paraId="16700085" w14:textId="77777777" w:rsidR="00E16BDA" w:rsidRDefault="00E16BDA" w:rsidP="00E16BDA">
      <w:pPr>
        <w:pStyle w:val="NoSpacing"/>
        <w:rPr>
          <w:bCs/>
        </w:rPr>
      </w:pPr>
    </w:p>
    <w:p w14:paraId="61D09F3E" w14:textId="77777777" w:rsidR="00E16BDA" w:rsidRPr="009146F7" w:rsidRDefault="00E16BDA" w:rsidP="00E16BDA">
      <w:pPr>
        <w:pStyle w:val="NoSpacing"/>
        <w:rPr>
          <w:b/>
        </w:rPr>
      </w:pPr>
      <w:r>
        <w:rPr>
          <w:b/>
        </w:rPr>
        <w:t xml:space="preserve">Legal lesson learned: Emergency call to 911 admissible in arson trial. </w:t>
      </w:r>
    </w:p>
    <w:p w14:paraId="1B79FED1" w14:textId="77777777" w:rsidR="00E16BDA" w:rsidRDefault="00E16BDA" w:rsidP="00E16BDA">
      <w:pPr>
        <w:pStyle w:val="NoSpacing"/>
        <w:rPr>
          <w:b/>
          <w:sz w:val="20"/>
          <w:szCs w:val="20"/>
        </w:rPr>
      </w:pPr>
    </w:p>
    <w:p w14:paraId="323163FB" w14:textId="77777777" w:rsidR="00E16BDA" w:rsidRDefault="00E16BDA" w:rsidP="00E16BDA">
      <w:pPr>
        <w:pStyle w:val="NoSpacing"/>
        <w:rPr>
          <w:b/>
          <w:sz w:val="20"/>
          <w:szCs w:val="20"/>
        </w:rPr>
      </w:pPr>
    </w:p>
    <w:p w14:paraId="2BD555AC" w14:textId="77777777" w:rsidR="00E16BDA" w:rsidRDefault="00E16BDA" w:rsidP="00E16BDA">
      <w:pPr>
        <w:pStyle w:val="NoSpacing"/>
        <w:rPr>
          <w:b/>
          <w:sz w:val="20"/>
          <w:szCs w:val="20"/>
        </w:rPr>
      </w:pPr>
    </w:p>
    <w:p w14:paraId="324477E2" w14:textId="77777777" w:rsidR="00E16BDA" w:rsidRDefault="00E16BDA" w:rsidP="00E16BDA">
      <w:pPr>
        <w:pStyle w:val="NoSpacing"/>
        <w:rPr>
          <w:b/>
          <w:sz w:val="20"/>
          <w:szCs w:val="20"/>
        </w:rPr>
      </w:pPr>
    </w:p>
    <w:p w14:paraId="07B7EF1F" w14:textId="1DE9F3D2" w:rsidR="00E16BDA" w:rsidRPr="00E16BDA" w:rsidRDefault="00E16BDA" w:rsidP="00E16BDA">
      <w:pPr>
        <w:pStyle w:val="NoSpacing"/>
        <w:rPr>
          <w:rFonts w:ascii="Arial Black" w:hAnsi="Arial Black"/>
          <w:b/>
          <w:sz w:val="24"/>
          <w:szCs w:val="24"/>
        </w:rPr>
      </w:pPr>
      <w:r w:rsidRPr="00E16BDA">
        <w:rPr>
          <w:rFonts w:ascii="Arial Black" w:hAnsi="Arial Black"/>
          <w:b/>
          <w:sz w:val="24"/>
          <w:szCs w:val="24"/>
        </w:rPr>
        <w:t>1-219</w:t>
      </w:r>
    </w:p>
    <w:p w14:paraId="365D3FD2" w14:textId="77777777" w:rsidR="00E16BDA" w:rsidRDefault="00E16BDA" w:rsidP="00E16BDA">
      <w:pPr>
        <w:pStyle w:val="NoSpacing"/>
        <w:rPr>
          <w:rFonts w:ascii="Arial Black" w:hAnsi="Arial Black"/>
          <w:b/>
          <w:sz w:val="28"/>
          <w:szCs w:val="28"/>
        </w:rPr>
      </w:pPr>
    </w:p>
    <w:p w14:paraId="326620AC" w14:textId="77777777" w:rsidR="00E16BDA" w:rsidRDefault="00E16BDA" w:rsidP="00E16BDA">
      <w:pPr>
        <w:pStyle w:val="NoSpacing"/>
        <w:rPr>
          <w:b/>
        </w:rPr>
      </w:pPr>
      <w:r>
        <w:rPr>
          <w:rFonts w:ascii="Arial Black" w:hAnsi="Arial Black"/>
          <w:b/>
          <w:sz w:val="28"/>
          <w:szCs w:val="28"/>
        </w:rPr>
        <w:t>NY: LAPTOP – “THERMAL RUNAWAY” – REPLACED BATTERY</w:t>
      </w:r>
    </w:p>
    <w:p w14:paraId="130047F8" w14:textId="77777777" w:rsidR="00E16BDA" w:rsidRDefault="00E16BDA" w:rsidP="00E16BDA">
      <w:pPr>
        <w:pStyle w:val="NoSpacing"/>
        <w:rPr>
          <w:bCs/>
        </w:rPr>
      </w:pPr>
    </w:p>
    <w:p w14:paraId="0CD5B4A3" w14:textId="77777777" w:rsidR="00E16BDA" w:rsidRDefault="00E16BDA" w:rsidP="00E16BDA">
      <w:pPr>
        <w:pStyle w:val="NoSpacing"/>
        <w:rPr>
          <w:bCs/>
        </w:rPr>
      </w:pPr>
      <w:r>
        <w:t xml:space="preserve">On July 23, 2026, in </w:t>
      </w:r>
      <w:r w:rsidRPr="00296057">
        <w:rPr>
          <w:u w:val="single"/>
        </w:rPr>
        <w:t>Carol S. Marcellin, individually and Co-Administrator of the Estate of Charles E. Hollowell, deceased, et al. v. HP Inc. and Staples, Inc.</w:t>
      </w:r>
      <w:r>
        <w:t xml:space="preserve">, U.S. District Court Judge Geoffrey W. Crawford, United States District Court for the Western District of New York, held that the plaintiffs’ motion to exclude the expert reports of HP and Staples are denied.  Those reports point to the computer owner having replaced the batteries that led to the thermal runaway fire that killed wheelchair bound resident. Case to proceed to trial. </w:t>
      </w:r>
      <w:hyperlink r:id="rId24" w:history="1">
        <w:r w:rsidRPr="00CB1E6C">
          <w:rPr>
            <w:rStyle w:val="Hyperlink"/>
          </w:rPr>
          <w:t>https://public.fastcase.com/Jhe1Qn%2BmJndQYQU6z%2FeNm41Z%2FOdo7wEiV%2BXZOn6Ck9WelihsBDHZxfns7L5Vlobe8KCYik0lEXZYSVwiLsKn0UW5%2B2VWsVkokbGOgZx52u8%3D?utm_medium=email&amp;_hsenc=p2ANqtz-9EI0U8e9McRrVX-UJhUyqBaKFqyfeNAikLllF44Be7atxg43fyP-ODCP6rir31MZENUpzNCQwvOHRXOJumMmb9zT3Dpw&amp;_hsmi=226712652&amp;utm_content=226712652&amp;utm_source=hs_email</w:t>
        </w:r>
      </w:hyperlink>
      <w:r>
        <w:t xml:space="preserve"> </w:t>
      </w:r>
    </w:p>
    <w:p w14:paraId="7D7F85E3" w14:textId="77777777" w:rsidR="00E16BDA" w:rsidRDefault="00E16BDA" w:rsidP="00E16BDA">
      <w:pPr>
        <w:pStyle w:val="NoSpacing"/>
        <w:rPr>
          <w:bCs/>
        </w:rPr>
      </w:pPr>
    </w:p>
    <w:p w14:paraId="204049E8" w14:textId="77777777" w:rsidR="00E16BDA" w:rsidRDefault="00E16BDA" w:rsidP="00E16BDA">
      <w:pPr>
        <w:pStyle w:val="NoSpacing"/>
        <w:rPr>
          <w:bCs/>
        </w:rPr>
      </w:pPr>
      <w:r>
        <w:t>THE COURT WROTE:</w:t>
      </w:r>
    </w:p>
    <w:p w14:paraId="5D60073F" w14:textId="77777777" w:rsidR="00E16BDA" w:rsidRDefault="00E16BDA" w:rsidP="00E16BDA">
      <w:pPr>
        <w:pStyle w:val="NoSpacing"/>
        <w:rPr>
          <w:bCs/>
        </w:rPr>
      </w:pPr>
    </w:p>
    <w:p w14:paraId="4802DE0B" w14:textId="77777777" w:rsidR="00E16BDA" w:rsidRDefault="00E16BDA" w:rsidP="00E16BDA">
      <w:pPr>
        <w:pStyle w:val="NoSpacing"/>
      </w:pPr>
      <w:r>
        <w:t>“</w:t>
      </w:r>
      <w:r w:rsidRPr="009A188F">
        <w:t>This is a personal injury case in which Plaintiffs Carol Marcellin and Jessica Hollowell-McKay have filed suit against Defendants HP, Inc., (HP) and Staples, Inc. (Staples), the manufacturer and retailer, respectively, of an HP Pavilion DV6 Laptop computer purchased by Marcellin in 2011. Their claims concern a fire that broke out at Marcellin's Ceres, New York residence on January 24, 2020, injuring Marcellin and killing her partner Charles Hollowell</w:t>
      </w:r>
      <w:r>
        <w:t xml:space="preserve">…. </w:t>
      </w:r>
      <w:r w:rsidRPr="00704F4B">
        <w:t xml:space="preserve">On the night of January 19, 2020, Marcellin left the HP laptop powered on and charging on an armoire in the office of her home while it </w:t>
      </w:r>
      <w:r w:rsidRPr="00704F4B">
        <w:lastRenderedPageBreak/>
        <w:t>downloaded an anti-virus software update</w:t>
      </w:r>
      <w:r>
        <w:t xml:space="preserve">…. </w:t>
      </w:r>
      <w:r w:rsidRPr="00704F4B">
        <w:t>She testified that this was the first instance in which she had left the laptop charging overnight</w:t>
      </w:r>
      <w:r>
        <w:t>….</w:t>
      </w:r>
      <w:r w:rsidRPr="00704F4B">
        <w:t xml:space="preserve"> Shortly after 4:00 a.m. on the morning of January 24, she was awoken by a smoke alarm located in the hallway outside her bedroom</w:t>
      </w:r>
      <w:r>
        <w:t xml:space="preserve">…. </w:t>
      </w:r>
      <w:r w:rsidRPr="00505FF8">
        <w:t>She then returned the bedroom, where she discovered that Hollowell had fallen while trying to get out of the bed</w:t>
      </w:r>
      <w:r>
        <w:t xml:space="preserve">…. </w:t>
      </w:r>
      <w:r w:rsidRPr="00505FF8">
        <w:t>Marcellin tried and failed to lift Hollowell into his wheelchair</w:t>
      </w:r>
      <w:r>
        <w:t xml:space="preserve">…. </w:t>
      </w:r>
      <w:r w:rsidRPr="00505FF8">
        <w:t xml:space="preserve">She was unable to find her cell phone to call for emergency assistance. </w:t>
      </w:r>
    </w:p>
    <w:p w14:paraId="310D23E3" w14:textId="77777777" w:rsidR="00E16BDA" w:rsidRDefault="00E16BDA" w:rsidP="00E16BDA">
      <w:pPr>
        <w:pStyle w:val="NoSpacing"/>
      </w:pPr>
    </w:p>
    <w:p w14:paraId="602697C6" w14:textId="77777777" w:rsidR="00E16BDA" w:rsidRDefault="00E16BDA" w:rsidP="00E16BDA">
      <w:pPr>
        <w:pStyle w:val="NoSpacing"/>
      </w:pPr>
      <w:r>
        <w:t>***</w:t>
      </w:r>
    </w:p>
    <w:p w14:paraId="43997EBD" w14:textId="77777777" w:rsidR="00E16BDA" w:rsidRDefault="00E16BDA" w:rsidP="00E16BDA">
      <w:pPr>
        <w:pStyle w:val="NoSpacing"/>
      </w:pPr>
      <w:r w:rsidRPr="00CA4232">
        <w:t>Karasinski and HP's battery expert Donald Galler examined evidence collected from the scene inspection at a subsequent investigation conducted at the Fire Research &amp; Technology (FRT) laboratory in Sodus Point, New York on October 30, 2020</w:t>
      </w:r>
      <w:r>
        <w:t xml:space="preserve">…. </w:t>
      </w:r>
      <w:r w:rsidRPr="00CA4232">
        <w:t>Both Galler and Dr. Steve Martin, a battery expert retained by Plaintiffs who later reviewed the evidence from the laboratory investigation, concluded that the battery installed in the HP laptop at the time of the fire was not the original battery, nor a replacement authorized by H</w:t>
      </w:r>
      <w:r>
        <w:t xml:space="preserve">P…. </w:t>
      </w:r>
      <w:r w:rsidRPr="00715D40">
        <w:t xml:space="preserve">HP's BMS systems required that batteries installed in its laptops be manufactured with certain microprocessors called </w:t>
      </w:r>
      <w:r>
        <w:t>‘</w:t>
      </w:r>
      <w:r w:rsidRPr="00715D40">
        <w:t>fuel gauges.</w:t>
      </w:r>
      <w:r>
        <w:t xml:space="preserve">’ </w:t>
      </w:r>
      <w:r w:rsidRPr="00715D40">
        <w:t xml:space="preserve">Eight different types of fuel gauges were approved by HP for use in authorized Pavilion batteries. Six of these fuel gauges were manufactured by Texas </w:t>
      </w:r>
      <w:proofErr w:type="gramStart"/>
      <w:r w:rsidRPr="00715D40">
        <w:t>Instruments, and</w:t>
      </w:r>
      <w:proofErr w:type="gramEnd"/>
      <w:r w:rsidRPr="00715D40">
        <w:t xml:space="preserve"> were compatible with various authentication systems</w:t>
      </w:r>
      <w:r>
        <w:t xml:space="preserve">…. </w:t>
      </w:r>
      <w:r w:rsidRPr="00715D40">
        <w:t>These systems would allow the device in which the battery was installed to verify that the installed battery was authorized for use in the device. One such system, which was implemented in some portable electronic devices at the time of the HP laptop's manufacture, employed a Secure Hash Algorithm 1 (SHA-1). Under SHA-1 authentication, the host device can automatically query the installed battery to determine whether it is authorized for use in the device. The host device can be programmed to cease operating if the installed battery is incapable of SHA-1 authentication. In this way, SHA-1 authentication reduces the risks of using unauthorized batteries in the host device</w:t>
      </w:r>
      <w:r>
        <w:t xml:space="preserve">…. </w:t>
      </w:r>
      <w:r w:rsidRPr="00C673C4">
        <w:t>For reasons stated above, Plaintiffs' motion to exclude those reports under Rule 702 has been denied. The cause of the fire remains an issue of genuine dispute. Plaintiffs' cross-motion for summary judgment on this issue is DENIED.</w:t>
      </w:r>
      <w:r>
        <w:t>”</w:t>
      </w:r>
    </w:p>
    <w:p w14:paraId="72A00381" w14:textId="77777777" w:rsidR="00E16BDA" w:rsidRDefault="00E16BDA" w:rsidP="00E16BDA">
      <w:pPr>
        <w:pStyle w:val="NoSpacing"/>
      </w:pPr>
    </w:p>
    <w:p w14:paraId="7FB36CD0" w14:textId="77777777" w:rsidR="00E16BDA" w:rsidRPr="001B4B1E" w:rsidRDefault="00E16BDA" w:rsidP="00E16BDA">
      <w:pPr>
        <w:pStyle w:val="NoSpacing"/>
        <w:rPr>
          <w:b/>
          <w:bCs/>
        </w:rPr>
      </w:pPr>
      <w:r>
        <w:rPr>
          <w:b/>
        </w:rPr>
        <w:t xml:space="preserve">Legal lesson learned: Case will proceed to trial; computer replacement batteries can lead to “thermal runaway” fires. </w:t>
      </w:r>
    </w:p>
    <w:p w14:paraId="216258A2" w14:textId="77777777" w:rsidR="00E16BDA" w:rsidRDefault="00E16BDA" w:rsidP="00E16BDA">
      <w:pPr>
        <w:pStyle w:val="NoSpacing"/>
        <w:rPr>
          <w:bCs/>
        </w:rPr>
      </w:pPr>
    </w:p>
    <w:p w14:paraId="54EEF613" w14:textId="77777777" w:rsidR="00E16BDA" w:rsidRDefault="00E16BDA" w:rsidP="00E16BDA">
      <w:pPr>
        <w:pStyle w:val="NoSpacing"/>
        <w:rPr>
          <w:rFonts w:ascii="Arial Black" w:hAnsi="Arial Black"/>
          <w:b/>
          <w:sz w:val="28"/>
          <w:szCs w:val="28"/>
        </w:rPr>
      </w:pPr>
    </w:p>
    <w:p w14:paraId="6E630BB8" w14:textId="77777777" w:rsidR="00E16BDA" w:rsidRDefault="00E16BDA" w:rsidP="00E16BDA">
      <w:pPr>
        <w:pStyle w:val="NoSpacing"/>
        <w:rPr>
          <w:b/>
          <w:sz w:val="20"/>
          <w:szCs w:val="20"/>
        </w:rPr>
      </w:pPr>
    </w:p>
    <w:p w14:paraId="68C5835C" w14:textId="77777777" w:rsidR="00E16BDA" w:rsidRDefault="00E16BDA" w:rsidP="00E16BDA">
      <w:pPr>
        <w:pStyle w:val="NoSpacing"/>
        <w:rPr>
          <w:b/>
          <w:sz w:val="20"/>
          <w:szCs w:val="20"/>
        </w:rPr>
      </w:pPr>
    </w:p>
    <w:p w14:paraId="7C4D4173" w14:textId="77777777" w:rsidR="00E16BDA" w:rsidRPr="00E16BDA" w:rsidRDefault="00E16BDA" w:rsidP="00E16BDA">
      <w:pPr>
        <w:pStyle w:val="NoSpacing"/>
        <w:rPr>
          <w:rFonts w:ascii="Arial Black" w:hAnsi="Arial Black"/>
          <w:b/>
          <w:sz w:val="24"/>
          <w:szCs w:val="24"/>
        </w:rPr>
      </w:pPr>
    </w:p>
    <w:p w14:paraId="7F108A1D" w14:textId="7617A105" w:rsidR="00E16BDA" w:rsidRPr="00E16BDA" w:rsidRDefault="00E16BDA" w:rsidP="00E16BDA">
      <w:pPr>
        <w:pStyle w:val="NoSpacing"/>
        <w:rPr>
          <w:rFonts w:ascii="Arial Black" w:hAnsi="Arial Black"/>
          <w:sz w:val="24"/>
          <w:szCs w:val="24"/>
        </w:rPr>
      </w:pPr>
      <w:r w:rsidRPr="00E16BDA">
        <w:rPr>
          <w:rFonts w:ascii="Arial Black" w:hAnsi="Arial Black"/>
          <w:sz w:val="24"/>
          <w:szCs w:val="24"/>
        </w:rPr>
        <w:t>1-218</w:t>
      </w:r>
    </w:p>
    <w:p w14:paraId="4391F394" w14:textId="77777777" w:rsidR="00E16BDA" w:rsidRDefault="00E16BDA" w:rsidP="00E16BDA">
      <w:pPr>
        <w:pStyle w:val="NoSpacing"/>
      </w:pPr>
    </w:p>
    <w:p w14:paraId="388F6B9A" w14:textId="77777777" w:rsidR="00E16BDA" w:rsidRDefault="00E16BDA" w:rsidP="00E16BDA">
      <w:pPr>
        <w:pStyle w:val="NoSpacing"/>
        <w:rPr>
          <w:rFonts w:ascii="Arial Black" w:hAnsi="Arial Black"/>
          <w:sz w:val="28"/>
          <w:szCs w:val="28"/>
        </w:rPr>
      </w:pPr>
      <w:r>
        <w:rPr>
          <w:rFonts w:ascii="Arial Black" w:hAnsi="Arial Black"/>
          <w:sz w:val="28"/>
          <w:szCs w:val="28"/>
        </w:rPr>
        <w:t xml:space="preserve">U.S. SUP CT – WARRANT CELL PHONE LOCATION HISTORY </w:t>
      </w:r>
    </w:p>
    <w:p w14:paraId="711FD087" w14:textId="77777777" w:rsidR="00E16BDA" w:rsidRDefault="00E16BDA" w:rsidP="00E16BDA">
      <w:pPr>
        <w:pStyle w:val="NoSpacing"/>
        <w:rPr>
          <w:rFonts w:ascii="Arial Black" w:hAnsi="Arial Black"/>
          <w:sz w:val="28"/>
          <w:szCs w:val="28"/>
        </w:rPr>
      </w:pPr>
    </w:p>
    <w:p w14:paraId="6C8FC639" w14:textId="77777777" w:rsidR="00E16BDA" w:rsidRDefault="00E16BDA" w:rsidP="00E16BDA">
      <w:pPr>
        <w:pStyle w:val="NoSpacing"/>
      </w:pPr>
      <w:r>
        <w:t xml:space="preserve">On June 29, 2026, in </w:t>
      </w:r>
      <w:r w:rsidRPr="00E46076">
        <w:rPr>
          <w:u w:val="single"/>
        </w:rPr>
        <w:t xml:space="preserve">Okello </w:t>
      </w:r>
      <w:proofErr w:type="spellStart"/>
      <w:r w:rsidRPr="00E46076">
        <w:rPr>
          <w:u w:val="single"/>
        </w:rPr>
        <w:t>Chatrie</w:t>
      </w:r>
      <w:proofErr w:type="spellEnd"/>
      <w:r w:rsidRPr="00E46076">
        <w:rPr>
          <w:u w:val="single"/>
        </w:rPr>
        <w:t xml:space="preserve"> v. United States</w:t>
      </w:r>
      <w:r>
        <w:t xml:space="preserve">, the United States Supreme Court held (6 to 3) that that Virginia police officers conducted an illegal “search” when they obtained a search warrant from a Virginia magistrate for “geofence” cell phone data from Google – identifying who was near credit union when it was robbed at gun point on May 20, 2019, at about 4:50 p.m.  MAJORITY – JUSTICE ELENA KAGAN: “We hold that police officers invade a cell-phone user’s reasonable expectation of privacy when they access his Location History. It does not matter if the </w:t>
      </w:r>
      <w:proofErr w:type="gramStart"/>
      <w:r>
        <w:t>time period</w:t>
      </w:r>
      <w:proofErr w:type="gramEnd"/>
      <w:r>
        <w:t xml:space="preserve"> scrutinized was only two hours. Nor does it matter that the materials obtained were handed over by a third-party tech company.”</w:t>
      </w:r>
    </w:p>
    <w:p w14:paraId="62B46A39" w14:textId="77777777" w:rsidR="00E16BDA" w:rsidRDefault="00E16BDA" w:rsidP="00E16BDA">
      <w:pPr>
        <w:pStyle w:val="NoSpacing"/>
      </w:pPr>
      <w:r>
        <w:t>DISSENT – JUSTICE SAMUEL ALITO: “The majority reaches the opposite outcome, and in doing so, it announces a new rule of Fourth Amendment law: The police must obtain a warrant every time they access any cell-phone location information from a third party, however brief the duration, however innocuous the request, and however voluntarily that information was disclosed by the user.”</w:t>
      </w:r>
    </w:p>
    <w:p w14:paraId="3E5BEDBD" w14:textId="77777777" w:rsidR="00E16BDA" w:rsidRDefault="00E16BDA" w:rsidP="00E16BDA">
      <w:pPr>
        <w:pStyle w:val="NoSpacing"/>
      </w:pPr>
    </w:p>
    <w:p w14:paraId="67BC4E1D" w14:textId="77777777" w:rsidR="00E16BDA" w:rsidRDefault="00E16BDA" w:rsidP="00E16BDA">
      <w:pPr>
        <w:pStyle w:val="NoSpacing"/>
      </w:pPr>
      <w:r>
        <w:t>Case remanded to 4</w:t>
      </w:r>
      <w:r w:rsidRPr="00556807">
        <w:rPr>
          <w:vertAlign w:val="superscript"/>
        </w:rPr>
        <w:t>th</w:t>
      </w:r>
      <w:r>
        <w:t xml:space="preserve"> Circuit to decide if the police conduct was “reasonable” as the law stood in 2018 when they got the search warrant (“good faith exception” to the exclusionary rule).  If so, then the defendant’s conviction remains; he </w:t>
      </w:r>
      <w:r w:rsidRPr="006F7106">
        <w:t xml:space="preserve">entered a conditional guilty plea </w:t>
      </w:r>
      <w:r>
        <w:t xml:space="preserve">pled guilty in federal court to </w:t>
      </w:r>
      <w:proofErr w:type="gramStart"/>
      <w:r>
        <w:t>robbing</w:t>
      </w:r>
      <w:proofErr w:type="gramEnd"/>
      <w:r>
        <w:t xml:space="preserve"> a credit union in Virginia, and was sentenced to 12 years in prison, and 3 years supervised release. </w:t>
      </w:r>
      <w:hyperlink r:id="rId25" w:history="1">
        <w:r w:rsidRPr="00305A77">
          <w:rPr>
            <w:rStyle w:val="Hyperlink"/>
          </w:rPr>
          <w:t>https://www.supremecourt.gov/opinions/25pdf/25-112_0am4.pdf</w:t>
        </w:r>
      </w:hyperlink>
      <w:r>
        <w:t xml:space="preserve"> </w:t>
      </w:r>
    </w:p>
    <w:p w14:paraId="3E0DA24D" w14:textId="77777777" w:rsidR="00E16BDA" w:rsidRDefault="00E16BDA" w:rsidP="00E16BDA">
      <w:pPr>
        <w:pStyle w:val="NoSpacing"/>
      </w:pPr>
    </w:p>
    <w:p w14:paraId="2C182FCD" w14:textId="77777777" w:rsidR="00E16BDA" w:rsidRDefault="00E16BDA" w:rsidP="00E16BDA">
      <w:pPr>
        <w:pStyle w:val="NoSpacing"/>
      </w:pPr>
      <w:r>
        <w:lastRenderedPageBreak/>
        <w:t>THE COURT WROTE (Majority opinion by Justice Elena Kagan):</w:t>
      </w:r>
    </w:p>
    <w:p w14:paraId="36EE9E6B" w14:textId="77777777" w:rsidR="00E16BDA" w:rsidRDefault="00E16BDA" w:rsidP="00E16BDA">
      <w:pPr>
        <w:pStyle w:val="NoSpacing"/>
      </w:pPr>
    </w:p>
    <w:p w14:paraId="7B404BA1" w14:textId="77777777" w:rsidR="00E16BDA" w:rsidRDefault="00E16BDA" w:rsidP="00E16BDA">
      <w:pPr>
        <w:pStyle w:val="NoSpacing"/>
      </w:pPr>
      <w:r>
        <w:t>“On May 20, 2019, at about 4:50 p.m., a man robbed a credit union in Midlothian, Virginia. The robber presented a teller with a handwritten note demanding $100,000, threatening to hurt her and her family if she did not comply, and warning her that he had “boys on the lookout out</w:t>
      </w:r>
    </w:p>
    <w:p w14:paraId="6CA25ABE" w14:textId="77777777" w:rsidR="00E16BDA" w:rsidRDefault="00E16BDA" w:rsidP="00E16BDA">
      <w:pPr>
        <w:pStyle w:val="NoSpacing"/>
      </w:pPr>
      <w:r>
        <w:t xml:space="preserve">side.” 590 F. Supp. 3d, at 905–906. When the teller replied that she did not have access to that amount of money, the robber brandished a firearm. He ordered everyone in the bank to the </w:t>
      </w:r>
      <w:proofErr w:type="gramStart"/>
      <w:r>
        <w:t>ground, and</w:t>
      </w:r>
      <w:proofErr w:type="gramEnd"/>
      <w:r>
        <w:t xml:space="preserve"> forced the bank’s manager to open a safe and put $195,000 into a bag. The robber then left on foot with the money…. On June 14, the police officers thus applied to a Virginia</w:t>
      </w:r>
    </w:p>
    <w:p w14:paraId="2B802396" w14:textId="77777777" w:rsidR="00E16BDA" w:rsidRDefault="00E16BDA" w:rsidP="00E16BDA">
      <w:pPr>
        <w:pStyle w:val="NoSpacing"/>
      </w:pPr>
      <w:r>
        <w:t xml:space="preserve">magistrate for a geofence warrant directed to Google…. The District Court mainly agreed with </w:t>
      </w:r>
      <w:proofErr w:type="spellStart"/>
      <w:r>
        <w:t>Chatrie’s</w:t>
      </w:r>
      <w:proofErr w:type="spellEnd"/>
      <w:r>
        <w:t xml:space="preserve"> Fourth Amendment </w:t>
      </w:r>
      <w:proofErr w:type="gramStart"/>
      <w:r>
        <w:t>analysis, but</w:t>
      </w:r>
      <w:proofErr w:type="gramEnd"/>
      <w:r>
        <w:t xml:space="preserve"> still denied the motion to exclude the Location History evidence. Even though ‘this particular geofence warrant plainly violates the rights enshrined in [the Fourth] Amendment,’ the court stated, the officers’ reliance on it was not ‘objectively unreasonable.’ 590 F. Supp. 3d, at 905, 938. And because that was so, the court concluded, the good-faith exception to the exclusionary rule permitted admission of the location data. See id., at 937–938; United States v. Leon, 468 U. S. 897, 922–923 (1984) (establishing good-faith exception).</w:t>
      </w:r>
    </w:p>
    <w:p w14:paraId="6DE1EF01" w14:textId="77777777" w:rsidR="00E16BDA" w:rsidRDefault="00E16BDA" w:rsidP="00E16BDA">
      <w:pPr>
        <w:pStyle w:val="NoSpacing"/>
      </w:pPr>
    </w:p>
    <w:p w14:paraId="0F9AFE70" w14:textId="77777777" w:rsidR="00E16BDA" w:rsidRDefault="00E16BDA" w:rsidP="00E16BDA">
      <w:pPr>
        <w:pStyle w:val="NoSpacing"/>
      </w:pPr>
      <w:r>
        <w:t xml:space="preserve">Footnote 2: Except that in July 2025, years after the geofence warrant </w:t>
      </w:r>
      <w:proofErr w:type="gramStart"/>
      <w:r>
        <w:t>used</w:t>
      </w:r>
      <w:proofErr w:type="gramEnd"/>
      <w:r>
        <w:t xml:space="preserve"> in this case, Google made a change: It now stores Location History data on individual users’ devices rather than on its own servers. See Brief for Google LLC as Amicus Curiae 2. Google represents that, as a result, it</w:t>
      </w:r>
    </w:p>
    <w:p w14:paraId="481FD8F1" w14:textId="77777777" w:rsidR="00E16BDA" w:rsidRDefault="00E16BDA" w:rsidP="00E16BDA">
      <w:pPr>
        <w:pStyle w:val="NoSpacing"/>
      </w:pPr>
      <w:r>
        <w:t xml:space="preserve">is no longer capable of responding to geofence warrants that seek Location History data. </w:t>
      </w:r>
    </w:p>
    <w:p w14:paraId="08D26F9E" w14:textId="77777777" w:rsidR="00E16BDA" w:rsidRDefault="00E16BDA" w:rsidP="00E16BDA">
      <w:pPr>
        <w:pStyle w:val="NoSpacing"/>
      </w:pPr>
    </w:p>
    <w:p w14:paraId="0C10C09E" w14:textId="77777777" w:rsidR="00E16BDA" w:rsidRDefault="00E16BDA" w:rsidP="00E16BDA">
      <w:pPr>
        <w:pStyle w:val="NoSpacing"/>
      </w:pPr>
      <w:r>
        <w:t>***</w:t>
      </w:r>
    </w:p>
    <w:p w14:paraId="79BA140F" w14:textId="77777777" w:rsidR="00E16BDA" w:rsidRDefault="00E16BDA" w:rsidP="00E16BDA">
      <w:pPr>
        <w:pStyle w:val="NoSpacing"/>
      </w:pPr>
      <w:r>
        <w:t xml:space="preserve">We granted certiorari solely on the question whether the police violated the Fourth Amendment in obtaining </w:t>
      </w:r>
      <w:proofErr w:type="spellStart"/>
      <w:r>
        <w:t>Chatrie’s</w:t>
      </w:r>
      <w:proofErr w:type="spellEnd"/>
      <w:r>
        <w:t xml:space="preserve"> location data, thus declining to consider the exclusionary rule issue…. The disputed Fourth Amendment question divides into two parts. First, did law enforcement officials conduct a search under the Fourth Amendment when they acquired </w:t>
      </w:r>
      <w:proofErr w:type="spellStart"/>
      <w:r>
        <w:t>Chatrie’s</w:t>
      </w:r>
      <w:proofErr w:type="spellEnd"/>
      <w:r>
        <w:t xml:space="preserve"> location data from Google? We </w:t>
      </w:r>
      <w:proofErr w:type="gramStart"/>
      <w:r>
        <w:t>hold</w:t>
      </w:r>
      <w:proofErr w:type="gramEnd"/>
      <w:r>
        <w:t xml:space="preserve"> that they did because an individual has a legitimate expectation of privacy in his cell-phone location data. Second, did the multi-step geofence warrant issued here make that search reasonable? We leave that question—which requires deciding whether the warrant satisfied the Fourth Amendment’s probable cause and particularity requirements at each stage of the search process—to the Court of Appeals to address in the first instance…. For all those reasons, we hold that police officers invade a cell-phone user’s reasonable expectation of privacy when they access his Location History. It does not matter if the </w:t>
      </w:r>
      <w:proofErr w:type="gramStart"/>
      <w:r>
        <w:t>time period</w:t>
      </w:r>
      <w:proofErr w:type="gramEnd"/>
      <w:r>
        <w:t xml:space="preserve"> scrutinized was only two hours. Nor does it matter that the materials obtained were handed over by a third-party tech company.</w:t>
      </w:r>
    </w:p>
    <w:p w14:paraId="72A07929" w14:textId="77777777" w:rsidR="00E16BDA" w:rsidRDefault="00E16BDA" w:rsidP="00E16BDA">
      <w:pPr>
        <w:pStyle w:val="NoSpacing"/>
      </w:pPr>
    </w:p>
    <w:p w14:paraId="11550186" w14:textId="77777777" w:rsidR="00E16BDA" w:rsidRDefault="00E16BDA" w:rsidP="00E16BDA">
      <w:pPr>
        <w:pStyle w:val="NoSpacing"/>
      </w:pPr>
      <w:r>
        <w:t>Footnote 4: In line with our grant of certiorari, we do not address whether the good-faith exception to the exclusionary rule still allows the admission of the Location History data in this case. That question remains for the Fourth Circuit to consider anew, gleaning anything it thinks relevant from our decision on the substantive Fourth Amendment issues.</w:t>
      </w:r>
    </w:p>
    <w:p w14:paraId="05282D40" w14:textId="77777777" w:rsidR="00E16BDA" w:rsidRDefault="00E16BDA" w:rsidP="00E16BDA">
      <w:pPr>
        <w:pStyle w:val="NoSpacing"/>
      </w:pPr>
    </w:p>
    <w:p w14:paraId="715CB33C" w14:textId="77777777" w:rsidR="00E16BDA" w:rsidRDefault="00E16BDA" w:rsidP="00E16BDA">
      <w:pPr>
        <w:pStyle w:val="NoSpacing"/>
        <w:rPr>
          <w:b/>
          <w:bCs/>
        </w:rPr>
      </w:pPr>
      <w:r>
        <w:rPr>
          <w:b/>
        </w:rPr>
        <w:t xml:space="preserve">Legal lesson learned: Search warrants will be required in criminal investigations for cell phone location history.  This does not prohibit Fire, EMS and Law Enforcement in emergency situations – such as search of missing hiker walk away from nursing home – to have 911 Dispatch Centers obtain location information. </w:t>
      </w:r>
    </w:p>
    <w:p w14:paraId="0C54ED7A" w14:textId="77777777" w:rsidR="00E16BDA" w:rsidRDefault="00E16BDA" w:rsidP="00E16BDA">
      <w:pPr>
        <w:pStyle w:val="NoSpacing"/>
        <w:rPr>
          <w:b/>
          <w:bCs/>
        </w:rPr>
      </w:pPr>
    </w:p>
    <w:p w14:paraId="31270B5B" w14:textId="77777777" w:rsidR="00E16BDA" w:rsidRPr="00036CCC" w:rsidRDefault="00E16BDA" w:rsidP="00E16BDA">
      <w:pPr>
        <w:pStyle w:val="NoSpacing"/>
        <w:ind w:left="720"/>
      </w:pPr>
      <w:r w:rsidRPr="00036CCC">
        <w:t xml:space="preserve">Note: </w:t>
      </w:r>
    </w:p>
    <w:p w14:paraId="41EB7814" w14:textId="77777777" w:rsidR="00E16BDA" w:rsidRDefault="00E16BDA" w:rsidP="00E16BDA">
      <w:pPr>
        <w:pStyle w:val="NoSpacing"/>
        <w:ind w:left="720"/>
        <w:rPr>
          <w:b/>
          <w:bCs/>
        </w:rPr>
      </w:pPr>
    </w:p>
    <w:p w14:paraId="016A5ED4" w14:textId="77777777" w:rsidR="00E16BDA" w:rsidRDefault="00E16BDA" w:rsidP="00E16BDA">
      <w:pPr>
        <w:pStyle w:val="NoSpacing"/>
        <w:ind w:left="1080"/>
      </w:pPr>
      <w:r w:rsidRPr="00095B33">
        <w:t>Perhaps other cell phone companies will follow Google change: Majority opinion - footnote 2: “It now stores Location History data on individual users’ devices rather than on its own servers…. Google represents that, as a result, it is no longer capable of responding to geofence warrants that seek Location History data.”</w:t>
      </w:r>
    </w:p>
    <w:p w14:paraId="68C48A09" w14:textId="77777777" w:rsidR="00E16BDA" w:rsidRDefault="00E16BDA" w:rsidP="00E16BDA">
      <w:pPr>
        <w:pStyle w:val="NoSpacing"/>
        <w:ind w:left="1080"/>
      </w:pPr>
    </w:p>
    <w:p w14:paraId="56F05CC0" w14:textId="77777777" w:rsidR="00E16BDA" w:rsidRPr="00095B33" w:rsidRDefault="00E16BDA" w:rsidP="00E16BDA">
      <w:pPr>
        <w:pStyle w:val="NoSpacing"/>
        <w:ind w:left="1080"/>
      </w:pPr>
      <w:r>
        <w:t>***</w:t>
      </w:r>
    </w:p>
    <w:p w14:paraId="5E23231D" w14:textId="77777777" w:rsidR="00E16BDA" w:rsidRDefault="00E16BDA" w:rsidP="00E16BDA">
      <w:pPr>
        <w:pStyle w:val="NoSpacing"/>
        <w:ind w:left="720"/>
      </w:pPr>
    </w:p>
    <w:p w14:paraId="050708EC" w14:textId="77777777" w:rsidR="00E16BDA" w:rsidRDefault="00E16BDA" w:rsidP="00E16BDA">
      <w:pPr>
        <w:pStyle w:val="NoSpacing"/>
        <w:ind w:left="1080"/>
      </w:pPr>
      <w:r>
        <w:t>The “good-faith exception” will likely be found by the 4</w:t>
      </w:r>
      <w:r w:rsidRPr="00FA08DF">
        <w:rPr>
          <w:vertAlign w:val="superscript"/>
        </w:rPr>
        <w:t>th</w:t>
      </w:r>
      <w:r>
        <w:t xml:space="preserve"> Circuit. The Fourt Circuit, on July 9, 2024, held (2 to 1) that the government did not conduct a search and therefore did not need a warrant. </w:t>
      </w:r>
      <w:proofErr w:type="spellStart"/>
      <w:r>
        <w:t>Chatrie</w:t>
      </w:r>
      <w:proofErr w:type="spellEnd"/>
      <w:r>
        <w:t xml:space="preserve"> “did not have a reasonable expectation of privacy in two hours’ worth of Location History data voluntarily exposed to Google.” 107 F. 4th 319, 325 (2024). </w:t>
      </w:r>
      <w:hyperlink r:id="rId26" w:history="1">
        <w:r w:rsidRPr="00305A77">
          <w:rPr>
            <w:rStyle w:val="Hyperlink"/>
          </w:rPr>
          <w:t>https://cases.justia.com/federal/appellate-courts/ca4/22-4489/22-</w:t>
        </w:r>
        <w:r w:rsidRPr="00305A77">
          <w:rPr>
            <w:rStyle w:val="Hyperlink"/>
          </w:rPr>
          <w:lastRenderedPageBreak/>
          <w:t>4489-2024-07-09.pdf?ts=1720549856</w:t>
        </w:r>
      </w:hyperlink>
      <w:r>
        <w:t xml:space="preserve"> .After granting rehearing </w:t>
      </w:r>
      <w:proofErr w:type="spellStart"/>
      <w:r>
        <w:t>en</w:t>
      </w:r>
      <w:proofErr w:type="spellEnd"/>
      <w:r>
        <w:t xml:space="preserve"> banc, the Fourth Circuit affirmed in a one-sentence per curiam. See 136 F. 4th 100, 101 (2025) The court divided evenly (7 to 7) on whether a Fourth Amendment search had occurred. [U.S. Supreme Court Justice Elena Kagan wrote: “Of the seven judges who thought it </w:t>
      </w:r>
      <w:proofErr w:type="gramStart"/>
      <w:r>
        <w:t>had,</w:t>
      </w:r>
      <w:proofErr w:type="gramEnd"/>
      <w:r>
        <w:t xml:space="preserve"> most believed the geofence warrant defective. But most also thought the exclusionary rule’s good-faith exception applied, so ruled against </w:t>
      </w:r>
      <w:proofErr w:type="spellStart"/>
      <w:r>
        <w:t>Chatrie</w:t>
      </w:r>
      <w:proofErr w:type="spellEnd"/>
      <w:r>
        <w:t xml:space="preserve"> anyway.”]</w:t>
      </w:r>
    </w:p>
    <w:p w14:paraId="79EE0319" w14:textId="77777777" w:rsidR="00E16BDA" w:rsidRDefault="00E16BDA" w:rsidP="00E16BDA">
      <w:pPr>
        <w:pStyle w:val="NoSpacing"/>
        <w:ind w:left="720"/>
      </w:pPr>
    </w:p>
    <w:p w14:paraId="3AF9CD38" w14:textId="77777777" w:rsidR="00E16BDA" w:rsidRDefault="00E16BDA" w:rsidP="00E16BDA">
      <w:pPr>
        <w:pStyle w:val="NoSpacing"/>
        <w:ind w:left="1080"/>
      </w:pPr>
      <w:r>
        <w:t>Dissenting Justice Samuel Alito: “So, unless he can show that this evidence should be suppressed, he cannot obtain any relief. And his chances of making the showing needed to justify suppression are virtually zero.”</w:t>
      </w:r>
    </w:p>
    <w:p w14:paraId="1C42AFFE" w14:textId="77777777" w:rsidR="00E16BDA" w:rsidRDefault="00E16BDA" w:rsidP="00E16BDA">
      <w:pPr>
        <w:pStyle w:val="NoSpacing"/>
        <w:ind w:left="720"/>
      </w:pPr>
    </w:p>
    <w:p w14:paraId="45666429" w14:textId="77777777" w:rsidR="00E16BDA" w:rsidRDefault="00E16BDA" w:rsidP="00E16BDA">
      <w:pPr>
        <w:pStyle w:val="NoSpacing"/>
        <w:ind w:left="720"/>
      </w:pPr>
    </w:p>
    <w:p w14:paraId="041D5E47" w14:textId="77777777" w:rsidR="00E16BDA" w:rsidRDefault="00E16BDA" w:rsidP="00E16BDA">
      <w:pPr>
        <w:pStyle w:val="NoSpacing"/>
        <w:rPr>
          <w:rFonts w:ascii="Arial Black" w:hAnsi="Arial Black"/>
          <w:sz w:val="28"/>
          <w:szCs w:val="28"/>
        </w:rPr>
      </w:pPr>
    </w:p>
    <w:p w14:paraId="75B6740D" w14:textId="77777777" w:rsidR="00E16BDA" w:rsidRDefault="00E16BDA" w:rsidP="00E16BDA">
      <w:pPr>
        <w:pStyle w:val="NoSpacing"/>
        <w:rPr>
          <w:rFonts w:ascii="Arial Black" w:hAnsi="Arial Black"/>
          <w:sz w:val="28"/>
          <w:szCs w:val="28"/>
        </w:rPr>
      </w:pPr>
    </w:p>
    <w:p w14:paraId="1AD2ECF5" w14:textId="080E1CF1" w:rsidR="00E16BDA" w:rsidRDefault="00E16BDA" w:rsidP="00E16BDA">
      <w:pPr>
        <w:pStyle w:val="NoSpacing"/>
        <w:rPr>
          <w:rFonts w:ascii="Arial Black" w:hAnsi="Arial Black"/>
          <w:sz w:val="28"/>
          <w:szCs w:val="28"/>
        </w:rPr>
      </w:pPr>
      <w:r>
        <w:rPr>
          <w:rFonts w:ascii="Arial Black" w:hAnsi="Arial Black"/>
          <w:sz w:val="28"/>
          <w:szCs w:val="28"/>
        </w:rPr>
        <w:t>1-217</w:t>
      </w:r>
    </w:p>
    <w:p w14:paraId="5B287761" w14:textId="77777777" w:rsidR="00E16BDA" w:rsidRDefault="00E16BDA" w:rsidP="00E16BDA">
      <w:pPr>
        <w:pStyle w:val="NoSpacing"/>
        <w:rPr>
          <w:rFonts w:ascii="Arial Black" w:hAnsi="Arial Black"/>
          <w:sz w:val="28"/>
          <w:szCs w:val="28"/>
        </w:rPr>
      </w:pPr>
    </w:p>
    <w:p w14:paraId="28D92668" w14:textId="77777777" w:rsidR="00E16BDA" w:rsidRDefault="00E16BDA" w:rsidP="00E16BDA">
      <w:pPr>
        <w:pStyle w:val="NoSpacing"/>
        <w:rPr>
          <w:rFonts w:ascii="Arial Black" w:hAnsi="Arial Black"/>
          <w:sz w:val="28"/>
          <w:szCs w:val="28"/>
        </w:rPr>
      </w:pPr>
      <w:r>
        <w:rPr>
          <w:rFonts w:ascii="Arial Black" w:hAnsi="Arial Black"/>
          <w:sz w:val="28"/>
          <w:szCs w:val="28"/>
        </w:rPr>
        <w:t>CA: HABEAS – MURDER – VICTIM SHOT TWICE OR ONCE?</w:t>
      </w:r>
    </w:p>
    <w:p w14:paraId="2DA32E7C" w14:textId="77777777" w:rsidR="00E16BDA" w:rsidRDefault="00E16BDA" w:rsidP="00E16BDA">
      <w:pPr>
        <w:pStyle w:val="NoSpacing"/>
        <w:rPr>
          <w:rFonts w:ascii="Arial Black" w:hAnsi="Arial Black"/>
          <w:sz w:val="28"/>
          <w:szCs w:val="28"/>
        </w:rPr>
      </w:pPr>
    </w:p>
    <w:p w14:paraId="683B288E" w14:textId="77777777" w:rsidR="00E16BDA" w:rsidRDefault="00E16BDA" w:rsidP="00E16BDA">
      <w:pPr>
        <w:pStyle w:val="NoSpacing"/>
        <w:rPr>
          <w:bCs/>
        </w:rPr>
      </w:pPr>
      <w:r>
        <w:t xml:space="preserve">On July 22, 2026, </w:t>
      </w:r>
      <w:r w:rsidRPr="001F50F2">
        <w:rPr>
          <w:u w:val="single"/>
        </w:rPr>
        <w:t>In re Marcil McCowen on Habeas Corpus</w:t>
      </w:r>
      <w:r>
        <w:t xml:space="preserve">, the </w:t>
      </w:r>
      <w:r w:rsidRPr="001F50F2">
        <w:t>California Court of Appeals, Fourth District, Second Division</w:t>
      </w:r>
      <w:r>
        <w:t xml:space="preserve"> published their June 25, 2026 unpublished decision, granting the prisoner’s petition for a writ of habeas corpus, where trial court judge in this first degree murder case (</w:t>
      </w:r>
      <w:r w:rsidRPr="00164EE0">
        <w:t>October 8, 1998</w:t>
      </w:r>
      <w:r>
        <w:t xml:space="preserve"> shooting; 2001 conviction; now serving 50 years to life) can hear testimony about discrepancy in evidence, and potentially could order new trial.    </w:t>
      </w:r>
      <w:hyperlink r:id="rId27" w:history="1">
        <w:r w:rsidRPr="004D58FA">
          <w:rPr>
            <w:rStyle w:val="Hyperlink"/>
          </w:rPr>
          <w:t>https://www4.courts.ca.gov/opinions/documents/E087834.PDF</w:t>
        </w:r>
      </w:hyperlink>
      <w:r>
        <w:t xml:space="preserve"> </w:t>
      </w:r>
    </w:p>
    <w:p w14:paraId="408FC3CD" w14:textId="77777777" w:rsidR="00E16BDA" w:rsidRDefault="00E16BDA" w:rsidP="00E16BDA">
      <w:pPr>
        <w:pStyle w:val="NoSpacing"/>
        <w:rPr>
          <w:bCs/>
        </w:rPr>
      </w:pPr>
    </w:p>
    <w:p w14:paraId="66575EBF" w14:textId="77777777" w:rsidR="00E16BDA" w:rsidRPr="001F50F2" w:rsidRDefault="00E16BDA" w:rsidP="00E16BDA">
      <w:pPr>
        <w:pStyle w:val="NoSpacing"/>
        <w:rPr>
          <w:bCs/>
        </w:rPr>
      </w:pPr>
      <w:r>
        <w:t xml:space="preserve">THE COURT WROTE: </w:t>
      </w:r>
    </w:p>
    <w:p w14:paraId="40DAA5F8" w14:textId="77777777" w:rsidR="00E16BDA" w:rsidRPr="001F50F2" w:rsidRDefault="00E16BDA" w:rsidP="00E16BDA">
      <w:pPr>
        <w:pStyle w:val="NoSpacing"/>
        <w:rPr>
          <w:bCs/>
        </w:rPr>
      </w:pPr>
    </w:p>
    <w:p w14:paraId="1F1DFA1B" w14:textId="77777777" w:rsidR="00E16BDA" w:rsidRPr="00A9501D" w:rsidRDefault="00E16BDA" w:rsidP="00E16BDA">
      <w:pPr>
        <w:pStyle w:val="NoSpacing"/>
      </w:pPr>
      <w:r>
        <w:t>“</w:t>
      </w:r>
      <w:r w:rsidRPr="00A9501D">
        <w:t xml:space="preserve">Petitioner Marcil McCowen was convicted of </w:t>
      </w:r>
      <w:proofErr w:type="gramStart"/>
      <w:r w:rsidRPr="00A9501D">
        <w:t>first degree</w:t>
      </w:r>
      <w:proofErr w:type="gramEnd"/>
      <w:r w:rsidRPr="00A9501D">
        <w:t xml:space="preserve"> murder (Pen. Code,1</w:t>
      </w:r>
    </w:p>
    <w:p w14:paraId="5C109D92" w14:textId="77777777" w:rsidR="00E16BDA" w:rsidRDefault="00E16BDA" w:rsidP="00E16BDA">
      <w:pPr>
        <w:pStyle w:val="NoSpacing"/>
      </w:pPr>
      <w:r w:rsidRPr="00A9501D">
        <w:t>§ 187, subd.(a)) in 2001 and was sentenced to a term of 50 years to life in prison</w:t>
      </w:r>
      <w:r>
        <w:t xml:space="preserve">…. </w:t>
      </w:r>
      <w:r w:rsidRPr="00A9501D">
        <w:t>The false evidence claim pertains to the testimony of a paramedic who testified at</w:t>
      </w:r>
      <w:r>
        <w:t xml:space="preserve"> </w:t>
      </w:r>
      <w:r w:rsidRPr="00A9501D">
        <w:t>trial that the victim of the murder had sustained two gunshot wounds, one to the chest and</w:t>
      </w:r>
      <w:r>
        <w:t xml:space="preserve"> </w:t>
      </w:r>
      <w:r w:rsidRPr="00A9501D">
        <w:t>one to the head, from which brain matter seeped. The People’s theory of premeditated</w:t>
      </w:r>
      <w:r>
        <w:t xml:space="preserve"> </w:t>
      </w:r>
      <w:r w:rsidRPr="00A9501D">
        <w:t xml:space="preserve">murder related to </w:t>
      </w:r>
      <w:proofErr w:type="gramStart"/>
      <w:r w:rsidRPr="00A9501D">
        <w:t>the multiple</w:t>
      </w:r>
      <w:proofErr w:type="gramEnd"/>
      <w:r w:rsidRPr="00A9501D">
        <w:t xml:space="preserve"> wounds, despite a pathologist’s report indicating there was</w:t>
      </w:r>
      <w:r>
        <w:t xml:space="preserve"> </w:t>
      </w:r>
      <w:r w:rsidRPr="00A9501D">
        <w:t>but one gunshot wound, which entered through the upper chest or neck, and exited from</w:t>
      </w:r>
      <w:r>
        <w:t xml:space="preserve"> </w:t>
      </w:r>
      <w:r w:rsidRPr="00A9501D">
        <w:t>the upper back. The pathologist did not testify at trial, and the pathologist’s report was</w:t>
      </w:r>
      <w:r>
        <w:t xml:space="preserve"> </w:t>
      </w:r>
      <w:r w:rsidRPr="00A9501D">
        <w:t>not introduced into evidence at trial.</w:t>
      </w:r>
    </w:p>
    <w:p w14:paraId="0479D9FC" w14:textId="77777777" w:rsidR="00E16BDA" w:rsidRDefault="00E16BDA" w:rsidP="00E16BDA">
      <w:pPr>
        <w:pStyle w:val="NoSpacing"/>
      </w:pPr>
    </w:p>
    <w:p w14:paraId="51AC5A42" w14:textId="77777777" w:rsidR="00E16BDA" w:rsidRDefault="00E16BDA" w:rsidP="00E16BDA">
      <w:pPr>
        <w:pStyle w:val="NoSpacing"/>
      </w:pPr>
      <w:r>
        <w:t>***</w:t>
      </w:r>
    </w:p>
    <w:p w14:paraId="5C0F7B47" w14:textId="77777777" w:rsidR="00E16BDA" w:rsidRDefault="00E16BDA" w:rsidP="00E16BDA">
      <w:pPr>
        <w:pStyle w:val="NoSpacing"/>
      </w:pPr>
      <w:r>
        <w:t>Petitioner alleges that the prosecution’s reliance on the paramedic’s testimony, which was contradicted by the actual coroner’s report of the autopsy, resulted in a conviction based on false evidence in violation of his due process rights…. In the return, the People do not dispute that the paramedic witness testified that the victim had suffered two gunshot wounds, one to the head, causing brain matter to seep from the victim’s head, which was contradicted by the coroner’s report (which was not admitted into evidence), demonstrating there was but one bullet wound to</w:t>
      </w:r>
    </w:p>
    <w:p w14:paraId="58F942CF" w14:textId="77777777" w:rsidR="00E16BDA" w:rsidRDefault="00E16BDA" w:rsidP="00E16BDA">
      <w:pPr>
        <w:pStyle w:val="NoSpacing"/>
      </w:pPr>
      <w:r>
        <w:t>the upper chest and no bullet wound to the head, which the coroner found to be intact.</w:t>
      </w:r>
    </w:p>
    <w:p w14:paraId="6D84EE3E" w14:textId="77777777" w:rsidR="00E16BDA" w:rsidRDefault="00E16BDA" w:rsidP="00E16BDA">
      <w:pPr>
        <w:pStyle w:val="NoSpacing"/>
      </w:pPr>
      <w:r>
        <w:t xml:space="preserve">However, the People assert there is no </w:t>
      </w:r>
      <w:proofErr w:type="gramStart"/>
      <w:r>
        <w:t>evidence</w:t>
      </w:r>
      <w:proofErr w:type="gramEnd"/>
      <w:r>
        <w:t xml:space="preserve"> the paramedic purposely lied or that the</w:t>
      </w:r>
    </w:p>
    <w:p w14:paraId="1FB4A1B5" w14:textId="77777777" w:rsidR="00E16BDA" w:rsidRDefault="00E16BDA" w:rsidP="00E16BDA">
      <w:pPr>
        <w:pStyle w:val="NoSpacing"/>
      </w:pPr>
      <w:r>
        <w:t>prosecutor knowingly presented false testimony, and that the discrepancy was not</w:t>
      </w:r>
    </w:p>
    <w:p w14:paraId="6FAC66DB" w14:textId="77777777" w:rsidR="00E16BDA" w:rsidRDefault="00E16BDA" w:rsidP="00E16BDA">
      <w:pPr>
        <w:pStyle w:val="NoSpacing"/>
      </w:pPr>
      <w:r>
        <w:t>material…. The bottom line here is that there is no factual dispute that there is a significant</w:t>
      </w:r>
    </w:p>
    <w:p w14:paraId="43F2D20D" w14:textId="77777777" w:rsidR="00E16BDA" w:rsidRDefault="00E16BDA" w:rsidP="00E16BDA">
      <w:pPr>
        <w:pStyle w:val="NoSpacing"/>
      </w:pPr>
      <w:r>
        <w:t>discrepancy between the paramedic’s testimony and the coroner’s report, and that the</w:t>
      </w:r>
    </w:p>
    <w:p w14:paraId="5571052D" w14:textId="77777777" w:rsidR="00E16BDA" w:rsidRDefault="00E16BDA" w:rsidP="00E16BDA">
      <w:pPr>
        <w:pStyle w:val="NoSpacing"/>
      </w:pPr>
      <w:r>
        <w:t>People relied on the paramedic’s false or erroneous, yet uncorrected, testimony to argue</w:t>
      </w:r>
    </w:p>
    <w:p w14:paraId="6BE081FC" w14:textId="77777777" w:rsidR="00E16BDA" w:rsidRDefault="00E16BDA" w:rsidP="00E16BDA">
      <w:pPr>
        <w:pStyle w:val="NoSpacing"/>
      </w:pPr>
      <w:r>
        <w:t>that having shot at the victim twice, the murder was willful, deliberate, and premeditated</w:t>
      </w:r>
    </w:p>
    <w:p w14:paraId="1EE79D4E" w14:textId="77777777" w:rsidR="00E16BDA" w:rsidRDefault="00E16BDA" w:rsidP="00E16BDA">
      <w:pPr>
        <w:pStyle w:val="NoSpacing"/>
      </w:pPr>
      <w:r>
        <w:t>first degree murder. Given the prosecutor’s arguments at trial that repeatedly emphasized the two</w:t>
      </w:r>
    </w:p>
    <w:p w14:paraId="368A7D72" w14:textId="77777777" w:rsidR="00E16BDA" w:rsidRDefault="00E16BDA" w:rsidP="00E16BDA">
      <w:pPr>
        <w:pStyle w:val="NoSpacing"/>
      </w:pPr>
      <w:r>
        <w:t>gunshot wounds to the victim as negating any claim of accident or self-defense, we must</w:t>
      </w:r>
    </w:p>
    <w:p w14:paraId="79FB5C85" w14:textId="77777777" w:rsidR="00E16BDA" w:rsidRDefault="00E16BDA" w:rsidP="00E16BDA">
      <w:pPr>
        <w:pStyle w:val="NoSpacing"/>
      </w:pPr>
      <w:r>
        <w:t>conclude that the paramedic’s testimony was material.”</w:t>
      </w:r>
    </w:p>
    <w:p w14:paraId="3B195FEA" w14:textId="77777777" w:rsidR="00E16BDA" w:rsidRDefault="00E16BDA" w:rsidP="00E16BDA">
      <w:pPr>
        <w:pStyle w:val="NoSpacing"/>
      </w:pPr>
    </w:p>
    <w:p w14:paraId="578168C0" w14:textId="77777777" w:rsidR="00E16BDA" w:rsidRDefault="00E16BDA" w:rsidP="00E16BDA">
      <w:pPr>
        <w:pStyle w:val="NoSpacing"/>
      </w:pPr>
      <w:r>
        <w:rPr>
          <w:b/>
        </w:rPr>
        <w:lastRenderedPageBreak/>
        <w:t xml:space="preserve">Legal lesson learned: To avoid a possible retrial many years after the shooting, the prosecutor and the paramedic at the original trial should have addressed the discrepancy by also calling the coroner to testify (perhaps his autopsy report was inaccurate). </w:t>
      </w:r>
    </w:p>
    <w:p w14:paraId="1A9C784D" w14:textId="77777777" w:rsidR="00E16BDA" w:rsidRDefault="00E16BDA" w:rsidP="00E16BDA">
      <w:pPr>
        <w:pStyle w:val="NoSpacing"/>
        <w:rPr>
          <w:b/>
        </w:rPr>
      </w:pPr>
    </w:p>
    <w:p w14:paraId="7FBFE0AF" w14:textId="77777777" w:rsidR="00E16BDA" w:rsidRDefault="00E16BDA" w:rsidP="00E16BDA">
      <w:pPr>
        <w:pStyle w:val="NoSpacing"/>
        <w:rPr>
          <w:b/>
          <w:sz w:val="20"/>
          <w:szCs w:val="20"/>
        </w:rPr>
      </w:pPr>
    </w:p>
    <w:p w14:paraId="7F1B9B0C" w14:textId="77777777" w:rsidR="00E16BDA" w:rsidRDefault="00E16BDA" w:rsidP="00E16BDA">
      <w:pPr>
        <w:pStyle w:val="NoSpacing"/>
        <w:rPr>
          <w:b/>
          <w:sz w:val="20"/>
          <w:szCs w:val="20"/>
        </w:rPr>
      </w:pPr>
    </w:p>
    <w:p w14:paraId="611816C4" w14:textId="77777777" w:rsidR="00E16BDA" w:rsidRDefault="00E16BDA" w:rsidP="00E16BDA">
      <w:pPr>
        <w:pStyle w:val="NoSpacing"/>
        <w:rPr>
          <w:b/>
          <w:sz w:val="20"/>
          <w:szCs w:val="20"/>
        </w:rPr>
      </w:pPr>
    </w:p>
    <w:p w14:paraId="742E3D55" w14:textId="77777777" w:rsidR="00E16BDA" w:rsidRDefault="00E16BDA" w:rsidP="00E16BDA">
      <w:pPr>
        <w:pStyle w:val="NoSpacing"/>
        <w:rPr>
          <w:b/>
          <w:sz w:val="20"/>
          <w:szCs w:val="20"/>
        </w:rPr>
      </w:pPr>
    </w:p>
    <w:p w14:paraId="2CF3E7CE" w14:textId="6A0CBC9B" w:rsidR="00E16BDA" w:rsidRDefault="00E16BDA" w:rsidP="00E16BDA">
      <w:pPr>
        <w:pStyle w:val="NoSpacing"/>
        <w:rPr>
          <w:rFonts w:ascii="Arial Black" w:hAnsi="Arial Black"/>
          <w:b/>
          <w:sz w:val="28"/>
          <w:szCs w:val="28"/>
        </w:rPr>
      </w:pPr>
      <w:r>
        <w:rPr>
          <w:rFonts w:ascii="Arial Black" w:hAnsi="Arial Black"/>
          <w:b/>
          <w:sz w:val="28"/>
          <w:szCs w:val="28"/>
        </w:rPr>
        <w:t>1-216</w:t>
      </w:r>
    </w:p>
    <w:p w14:paraId="2410A27A" w14:textId="77777777" w:rsidR="00E16BDA" w:rsidRDefault="00E16BDA" w:rsidP="00E16BDA">
      <w:pPr>
        <w:pStyle w:val="NoSpacing"/>
        <w:rPr>
          <w:rFonts w:ascii="Arial Black" w:hAnsi="Arial Black"/>
          <w:b/>
          <w:sz w:val="28"/>
          <w:szCs w:val="28"/>
        </w:rPr>
      </w:pPr>
    </w:p>
    <w:p w14:paraId="2D35F797" w14:textId="77777777" w:rsidR="00E16BDA" w:rsidRPr="00D37405" w:rsidRDefault="00E16BDA" w:rsidP="00E16BDA">
      <w:pPr>
        <w:pStyle w:val="NoSpacing"/>
        <w:rPr>
          <w:rFonts w:ascii="Arial Black" w:hAnsi="Arial Black"/>
          <w:b/>
          <w:sz w:val="28"/>
          <w:szCs w:val="28"/>
        </w:rPr>
      </w:pPr>
      <w:r>
        <w:rPr>
          <w:rFonts w:ascii="Arial Black" w:hAnsi="Arial Black"/>
          <w:b/>
          <w:sz w:val="28"/>
          <w:szCs w:val="28"/>
        </w:rPr>
        <w:t xml:space="preserve">MI: FIRE CODE - SELF EVAC - UPPER FL CARE FACILITY </w:t>
      </w:r>
    </w:p>
    <w:p w14:paraId="0A682A75" w14:textId="77777777" w:rsidR="00E16BDA" w:rsidRDefault="00E16BDA" w:rsidP="00E16BDA">
      <w:pPr>
        <w:pStyle w:val="NoSpacing"/>
        <w:rPr>
          <w:b/>
        </w:rPr>
      </w:pPr>
    </w:p>
    <w:p w14:paraId="593192BC" w14:textId="77777777" w:rsidR="00E16BDA" w:rsidRDefault="00E16BDA" w:rsidP="00E16BDA">
      <w:pPr>
        <w:pStyle w:val="NoSpacing"/>
        <w:rPr>
          <w:bCs/>
        </w:rPr>
      </w:pPr>
      <w:r>
        <w:t xml:space="preserve">On July 15, 2026, in </w:t>
      </w:r>
      <w:r w:rsidRPr="00471CCB">
        <w:rPr>
          <w:u w:val="single"/>
        </w:rPr>
        <w:t>RMH Solutions LLC v. Charter Township of Clinton, et al</w:t>
      </w:r>
      <w:r>
        <w:t xml:space="preserve">., the </w:t>
      </w:r>
      <w:r w:rsidRPr="00471CCB">
        <w:t>Court of Appeals of Michigan</w:t>
      </w:r>
      <w:r>
        <w:t xml:space="preserve"> held (3 to 0; unpublished decision) that t</w:t>
      </w:r>
      <w:r w:rsidRPr="00D356F5">
        <w:t xml:space="preserve">rial court erred by approving </w:t>
      </w:r>
      <w:r>
        <w:t>the care facility’s evacuation plan that was not approved by Fire Marshall; case remanded for further hearing.  I</w:t>
      </w:r>
      <w:r w:rsidRPr="00110643">
        <w:t>n November 2023,</w:t>
      </w:r>
      <w:r>
        <w:t xml:space="preserve"> </w:t>
      </w:r>
      <w:r w:rsidRPr="00A62C76">
        <w:t xml:space="preserve">Chuck Champagne, the Fire Marshal of the </w:t>
      </w:r>
      <w:r w:rsidRPr="00594415">
        <w:t>Clinton Township</w:t>
      </w:r>
      <w:r>
        <w:t xml:space="preserve"> </w:t>
      </w:r>
      <w:r w:rsidRPr="00594415">
        <w:t>Fire-Rescue-EMS</w:t>
      </w:r>
      <w:r>
        <w:t xml:space="preserve">, </w:t>
      </w:r>
      <w:r w:rsidRPr="00110643">
        <w:t>determined operating an assisted living facility on the upper three floors violated the</w:t>
      </w:r>
      <w:r>
        <w:t xml:space="preserve"> </w:t>
      </w:r>
      <w:r w:rsidRPr="00110643">
        <w:t>2015 IFC. The letter was written after an EMS run at the facility. Plaintiff’s staff called for</w:t>
      </w:r>
      <w:r>
        <w:t xml:space="preserve"> </w:t>
      </w:r>
      <w:r w:rsidRPr="00110643">
        <w:t>assistance because of the inability to lift an obese resident. Champagne also observed several</w:t>
      </w:r>
      <w:r>
        <w:t xml:space="preserve"> </w:t>
      </w:r>
      <w:r w:rsidRPr="00110643">
        <w:t>wheelchairs and scooters on the same upper floor.</w:t>
      </w:r>
      <w:r>
        <w:t xml:space="preserve">  </w:t>
      </w:r>
    </w:p>
    <w:p w14:paraId="5DD71408" w14:textId="77777777" w:rsidR="00E16BDA" w:rsidRDefault="00E16BDA" w:rsidP="00E16BDA">
      <w:pPr>
        <w:pStyle w:val="NoSpacing"/>
        <w:rPr>
          <w:bCs/>
        </w:rPr>
      </w:pPr>
      <w:hyperlink r:id="rId28" w:history="1">
        <w:r w:rsidRPr="00BD5255">
          <w:rPr>
            <w:rStyle w:val="Hyperlink"/>
          </w:rPr>
          <w:t>https://cases.justia.com/michigan/court-of-appeals-unpublished/2026-374887.pdf?ts=1784206805</w:t>
        </w:r>
      </w:hyperlink>
      <w:r>
        <w:t xml:space="preserve"> </w:t>
      </w:r>
    </w:p>
    <w:p w14:paraId="1F2859AA" w14:textId="77777777" w:rsidR="00E16BDA" w:rsidRDefault="00E16BDA" w:rsidP="00E16BDA">
      <w:pPr>
        <w:pStyle w:val="NoSpacing"/>
        <w:rPr>
          <w:bCs/>
        </w:rPr>
      </w:pPr>
    </w:p>
    <w:p w14:paraId="6A0491AB" w14:textId="77777777" w:rsidR="00E16BDA" w:rsidRDefault="00E16BDA" w:rsidP="00E16BDA">
      <w:pPr>
        <w:pStyle w:val="NoSpacing"/>
        <w:rPr>
          <w:bCs/>
        </w:rPr>
      </w:pPr>
      <w:r>
        <w:t xml:space="preserve">THE COURT WROTE: </w:t>
      </w:r>
    </w:p>
    <w:p w14:paraId="4C552ED4" w14:textId="77777777" w:rsidR="00E16BDA" w:rsidRDefault="00E16BDA" w:rsidP="00E16BDA">
      <w:pPr>
        <w:pStyle w:val="NoSpacing"/>
        <w:rPr>
          <w:bCs/>
        </w:rPr>
      </w:pPr>
    </w:p>
    <w:p w14:paraId="7AF24F75" w14:textId="77777777" w:rsidR="00E16BDA" w:rsidRPr="007C6E3C" w:rsidRDefault="00E16BDA" w:rsidP="00E16BDA">
      <w:pPr>
        <w:pStyle w:val="NoSpacing"/>
        <w:rPr>
          <w:bCs/>
        </w:rPr>
      </w:pPr>
      <w:r>
        <w:t>“</w:t>
      </w:r>
      <w:r w:rsidRPr="00C57739">
        <w:t>Notably, the Township oversaw a fire drill at the facility on May 7, 2024. Of 58 residents</w:t>
      </w:r>
      <w:r>
        <w:t xml:space="preserve"> </w:t>
      </w:r>
      <w:r w:rsidRPr="00C57739">
        <w:t xml:space="preserve">living on the third and fourth floors, 37 residents were </w:t>
      </w:r>
      <w:r>
        <w:t>‘</w:t>
      </w:r>
      <w:r w:rsidRPr="00C57739">
        <w:t>[n]</w:t>
      </w:r>
      <w:proofErr w:type="spellStart"/>
      <w:r w:rsidRPr="00C57739">
        <w:t>ot</w:t>
      </w:r>
      <w:proofErr w:type="spellEnd"/>
      <w:r w:rsidRPr="00C57739">
        <w:t xml:space="preserve"> capable” of self-evacuating during</w:t>
      </w:r>
      <w:r>
        <w:t xml:space="preserve"> </w:t>
      </w:r>
      <w:r w:rsidRPr="00C57739">
        <w:t xml:space="preserve">an emergency. </w:t>
      </w:r>
      <w:r>
        <w:t xml:space="preserve">…. </w:t>
      </w:r>
      <w:r w:rsidRPr="00466A96">
        <w:t>In attempting to achieve compliance with I-1 condition 2 occupancy, plaintiff installed</w:t>
      </w:r>
      <w:r>
        <w:t xml:space="preserve"> </w:t>
      </w:r>
      <w:r w:rsidRPr="00466A96">
        <w:t xml:space="preserve">evacuation chairs allowing </w:t>
      </w:r>
      <w:r>
        <w:t>‘</w:t>
      </w:r>
      <w:r w:rsidRPr="00466A96">
        <w:t>for easy evacuation over the staircase,</w:t>
      </w:r>
      <w:r>
        <w:t>’</w:t>
      </w:r>
      <w:r w:rsidRPr="00466A96">
        <w:t xml:space="preserve"> and an evacuation board</w:t>
      </w:r>
      <w:r>
        <w:t xml:space="preserve"> </w:t>
      </w:r>
      <w:r w:rsidRPr="00466A96">
        <w:t xml:space="preserve">allowing </w:t>
      </w:r>
      <w:r>
        <w:t>‘</w:t>
      </w:r>
      <w:r w:rsidRPr="00466A96">
        <w:t>for sliding over the staircase until the person is evacuated from the building[.]</w:t>
      </w:r>
      <w:r>
        <w:t>’</w:t>
      </w:r>
      <w:r w:rsidRPr="00466A96">
        <w:t xml:space="preserve"> Those</w:t>
      </w:r>
      <w:r>
        <w:t xml:space="preserve"> </w:t>
      </w:r>
      <w:r w:rsidRPr="00466A96">
        <w:t xml:space="preserve">measures were in addition to the installation of </w:t>
      </w:r>
      <w:r>
        <w:t>‘</w:t>
      </w:r>
      <w:r w:rsidRPr="00466A96">
        <w:t>an additional set of automatic doors,</w:t>
      </w:r>
      <w:r>
        <w:t>’</w:t>
      </w:r>
      <w:r w:rsidRPr="00466A96">
        <w:t xml:space="preserve"> which would</w:t>
      </w:r>
      <w:r>
        <w:t xml:space="preserve"> </w:t>
      </w:r>
      <w:r w:rsidRPr="00466A96">
        <w:t xml:space="preserve">split </w:t>
      </w:r>
      <w:r>
        <w:t>‘</w:t>
      </w:r>
      <w:r w:rsidRPr="00466A96">
        <w:t>a larger hallway into two.</w:t>
      </w:r>
      <w:r>
        <w:t xml:space="preserve">’ … </w:t>
      </w:r>
      <w:r w:rsidRPr="007C6E3C">
        <w:t>Defendants maintained there were</w:t>
      </w:r>
      <w:r>
        <w:t xml:space="preserve"> </w:t>
      </w:r>
      <w:r w:rsidRPr="007C6E3C">
        <w:t xml:space="preserve">37 residents </w:t>
      </w:r>
      <w:r>
        <w:t>‘</w:t>
      </w:r>
      <w:r w:rsidRPr="007C6E3C">
        <w:t>incapable of evacuating,</w:t>
      </w:r>
      <w:r>
        <w:t>’</w:t>
      </w:r>
      <w:r w:rsidRPr="007C6E3C">
        <w:t xml:space="preserve"> and not enough staff available to assist with the</w:t>
      </w:r>
    </w:p>
    <w:p w14:paraId="3CDF308B" w14:textId="77777777" w:rsidR="00E16BDA" w:rsidRPr="007C6E3C" w:rsidRDefault="00E16BDA" w:rsidP="00E16BDA">
      <w:pPr>
        <w:pStyle w:val="NoSpacing"/>
        <w:rPr>
          <w:bCs/>
        </w:rPr>
      </w:pPr>
      <w:r w:rsidRPr="007C6E3C">
        <w:t>evacuations. Moreover, the time frame involved for each resident’s removal was not addressed in</w:t>
      </w:r>
    </w:p>
    <w:p w14:paraId="595613D8" w14:textId="77777777" w:rsidR="00E16BDA" w:rsidRPr="007C6E3C" w:rsidRDefault="00E16BDA" w:rsidP="00E16BDA">
      <w:pPr>
        <w:pStyle w:val="NoSpacing"/>
        <w:rPr>
          <w:bCs/>
        </w:rPr>
      </w:pPr>
      <w:r w:rsidRPr="007C6E3C">
        <w:t>the record</w:t>
      </w:r>
      <w:r>
        <w:t xml:space="preserve">.  </w:t>
      </w:r>
      <w:r w:rsidRPr="007C6E3C">
        <w:t xml:space="preserve">Defendants argued </w:t>
      </w:r>
      <w:proofErr w:type="spellStart"/>
      <w:r w:rsidRPr="007C6E3C">
        <w:t>Donoian’s</w:t>
      </w:r>
      <w:proofErr w:type="spellEnd"/>
      <w:r w:rsidRPr="007C6E3C">
        <w:t xml:space="preserve"> plan constituted an admission that plaintiff was</w:t>
      </w:r>
    </w:p>
    <w:p w14:paraId="56442D05" w14:textId="77777777" w:rsidR="00E16BDA" w:rsidRDefault="00E16BDA" w:rsidP="00E16BDA">
      <w:pPr>
        <w:pStyle w:val="NoSpacing"/>
        <w:rPr>
          <w:bCs/>
        </w:rPr>
      </w:pPr>
      <w:r>
        <w:t>‘</w:t>
      </w:r>
      <w:proofErr w:type="gramStart"/>
      <w:r w:rsidRPr="007C6E3C">
        <w:t>housing</w:t>
      </w:r>
      <w:proofErr w:type="gramEnd"/>
      <w:r w:rsidRPr="007C6E3C">
        <w:t xml:space="preserve"> people inappropriate [sic] for this facility.</w:t>
      </w:r>
      <w:r>
        <w:t xml:space="preserve">’… </w:t>
      </w:r>
      <w:r w:rsidRPr="005B3B6C">
        <w:t>Frank Bayer, a certified building official in Sterling Heights, averred the facility was</w:t>
      </w:r>
      <w:r>
        <w:t xml:space="preserve"> </w:t>
      </w:r>
      <w:r w:rsidRPr="005B3B6C">
        <w:t>noncompliant with the I-1 condition 2 occupancy and the “proposed use of [six] chairs and [eight]</w:t>
      </w:r>
      <w:r>
        <w:t xml:space="preserve"> </w:t>
      </w:r>
      <w:r w:rsidRPr="005B3B6C">
        <w:t>employees for possible evacuation of 75 patients in less than [one] hour is not only impractical but</w:t>
      </w:r>
      <w:r>
        <w:t xml:space="preserve"> </w:t>
      </w:r>
      <w:r w:rsidRPr="005B3B6C">
        <w:t xml:space="preserve">extremely unsafe.” He also </w:t>
      </w:r>
      <w:proofErr w:type="gramStart"/>
      <w:r w:rsidRPr="005B3B6C">
        <w:t>averred</w:t>
      </w:r>
      <w:proofErr w:type="gramEnd"/>
      <w:r w:rsidRPr="005B3B6C">
        <w:t xml:space="preserve"> two employees would have to move each resident to an</w:t>
      </w:r>
      <w:r>
        <w:t xml:space="preserve"> </w:t>
      </w:r>
      <w:r w:rsidRPr="005B3B6C">
        <w:t>evacuation chai</w:t>
      </w:r>
      <w:r>
        <w:t>r.</w:t>
      </w:r>
    </w:p>
    <w:p w14:paraId="107FF3B5" w14:textId="77777777" w:rsidR="00E16BDA" w:rsidRDefault="00E16BDA" w:rsidP="00E16BDA">
      <w:pPr>
        <w:pStyle w:val="NoSpacing"/>
        <w:rPr>
          <w:bCs/>
        </w:rPr>
      </w:pPr>
    </w:p>
    <w:p w14:paraId="17B526E5" w14:textId="77777777" w:rsidR="00E16BDA" w:rsidRDefault="00E16BDA" w:rsidP="00E16BDA">
      <w:pPr>
        <w:pStyle w:val="NoSpacing"/>
        <w:rPr>
          <w:bCs/>
        </w:rPr>
      </w:pPr>
      <w:r>
        <w:t>***</w:t>
      </w:r>
    </w:p>
    <w:p w14:paraId="1BA1E540" w14:textId="77777777" w:rsidR="00E16BDA" w:rsidRDefault="00E16BDA" w:rsidP="00E16BDA">
      <w:pPr>
        <w:pStyle w:val="NoSpacing"/>
        <w:rPr>
          <w:bCs/>
        </w:rPr>
      </w:pPr>
    </w:p>
    <w:p w14:paraId="2CE49BB9" w14:textId="77777777" w:rsidR="00E16BDA" w:rsidRPr="003B3A25" w:rsidRDefault="00E16BDA" w:rsidP="00E16BDA">
      <w:pPr>
        <w:pStyle w:val="NoSpacing"/>
        <w:rPr>
          <w:bCs/>
        </w:rPr>
      </w:pPr>
      <w:r w:rsidRPr="003B3A25">
        <w:t>Because of the lack of information regarding the number of employees to attend to the</w:t>
      </w:r>
      <w:r>
        <w:t xml:space="preserve"> </w:t>
      </w:r>
      <w:r w:rsidRPr="003B3A25">
        <w:t>respective residents and the time frame involved, it was unclear whether residents would be taking</w:t>
      </w:r>
      <w:r>
        <w:t xml:space="preserve"> </w:t>
      </w:r>
      <w:r w:rsidRPr="003B3A25">
        <w:t>refuge in the stairwells. Moreover, the trial court did not address whether the applicable building</w:t>
      </w:r>
      <w:r>
        <w:t xml:space="preserve"> </w:t>
      </w:r>
      <w:r w:rsidRPr="003B3A25">
        <w:t>code required the facility employees to perform the complete evacuation or whether refuge in the</w:t>
      </w:r>
      <w:r>
        <w:t xml:space="preserve"> </w:t>
      </w:r>
      <w:r w:rsidRPr="003B3A25">
        <w:t>stairwell was permissible while waiting for first responders. Thus, further factual development is</w:t>
      </w:r>
      <w:r>
        <w:t xml:space="preserve"> </w:t>
      </w:r>
      <w:r w:rsidRPr="003B3A25">
        <w:t>required regarding the number of residents requiring assistance to evacuate during an emergency,</w:t>
      </w:r>
    </w:p>
    <w:p w14:paraId="5936C905" w14:textId="77777777" w:rsidR="00E16BDA" w:rsidRPr="003B3A25" w:rsidRDefault="00E16BDA" w:rsidP="00E16BDA">
      <w:pPr>
        <w:pStyle w:val="NoSpacing"/>
        <w:rPr>
          <w:bCs/>
        </w:rPr>
      </w:pPr>
      <w:r w:rsidRPr="003B3A25">
        <w:t>and the precise methods the eight staff members are to use to assist those residents in exiting the</w:t>
      </w:r>
    </w:p>
    <w:p w14:paraId="25CAA33A" w14:textId="77777777" w:rsidR="00E16BDA" w:rsidRPr="003B3A25" w:rsidRDefault="00E16BDA" w:rsidP="00E16BDA">
      <w:pPr>
        <w:pStyle w:val="NoSpacing"/>
        <w:rPr>
          <w:bCs/>
        </w:rPr>
      </w:pPr>
      <w:r w:rsidRPr="003B3A25">
        <w:t>facility. That will allow a proper resolution of whether plaintiff’s plan complies with the codes</w:t>
      </w:r>
    </w:p>
    <w:p w14:paraId="69E4BCD0" w14:textId="77777777" w:rsidR="00E16BDA" w:rsidRDefault="00E16BDA" w:rsidP="00E16BDA">
      <w:pPr>
        <w:pStyle w:val="NoSpacing"/>
        <w:rPr>
          <w:bCs/>
        </w:rPr>
      </w:pPr>
      <w:r w:rsidRPr="003B3A25">
        <w:t>for status as a I-1 condition 2 occupancy.</w:t>
      </w:r>
      <w:r>
        <w:t>”</w:t>
      </w:r>
    </w:p>
    <w:p w14:paraId="072C621D" w14:textId="77777777" w:rsidR="00E16BDA" w:rsidRDefault="00E16BDA" w:rsidP="00E16BDA">
      <w:pPr>
        <w:pStyle w:val="NoSpacing"/>
        <w:rPr>
          <w:b/>
        </w:rPr>
      </w:pPr>
    </w:p>
    <w:p w14:paraId="4CBCB140" w14:textId="77777777" w:rsidR="00E16BDA" w:rsidRDefault="00E16BDA" w:rsidP="00E16BDA">
      <w:pPr>
        <w:pStyle w:val="NoSpacing"/>
        <w:rPr>
          <w:b/>
        </w:rPr>
      </w:pPr>
      <w:r>
        <w:rPr>
          <w:b/>
        </w:rPr>
        <w:t xml:space="preserve">Legal lesson learned: Fire code decisions involve life safety issues; case is </w:t>
      </w:r>
      <w:proofErr w:type="gramStart"/>
      <w:r>
        <w:rPr>
          <w:b/>
        </w:rPr>
        <w:t>remanded for</w:t>
      </w:r>
      <w:proofErr w:type="gramEnd"/>
      <w:r>
        <w:rPr>
          <w:b/>
        </w:rPr>
        <w:t xml:space="preserve"> further evidence. </w:t>
      </w:r>
    </w:p>
    <w:p w14:paraId="572F4743" w14:textId="77777777" w:rsidR="002E1260" w:rsidRDefault="002E1260" w:rsidP="00822052">
      <w:pPr>
        <w:pStyle w:val="NoSpacing"/>
        <w:rPr>
          <w:rFonts w:ascii="Arial Black" w:hAnsi="Arial Black"/>
          <w:sz w:val="24"/>
          <w:szCs w:val="24"/>
        </w:rPr>
      </w:pPr>
    </w:p>
    <w:p w14:paraId="3E620698" w14:textId="77777777" w:rsidR="00E16BDA" w:rsidRDefault="00E16BDA" w:rsidP="002E1260">
      <w:pPr>
        <w:pStyle w:val="NoSpacing"/>
        <w:rPr>
          <w:rFonts w:ascii="Arial Black" w:hAnsi="Arial Black"/>
          <w:sz w:val="24"/>
          <w:szCs w:val="24"/>
        </w:rPr>
      </w:pPr>
    </w:p>
    <w:p w14:paraId="120F3DDC" w14:textId="77777777" w:rsidR="00E16BDA" w:rsidRDefault="00E16BDA" w:rsidP="002E1260">
      <w:pPr>
        <w:pStyle w:val="NoSpacing"/>
        <w:rPr>
          <w:rFonts w:ascii="Arial Black" w:hAnsi="Arial Black"/>
          <w:sz w:val="24"/>
          <w:szCs w:val="24"/>
        </w:rPr>
      </w:pPr>
    </w:p>
    <w:p w14:paraId="352EA68B" w14:textId="77777777" w:rsidR="00E16BDA" w:rsidRDefault="00E16BDA" w:rsidP="002E1260">
      <w:pPr>
        <w:pStyle w:val="NoSpacing"/>
        <w:rPr>
          <w:rFonts w:ascii="Arial Black" w:hAnsi="Arial Black"/>
          <w:sz w:val="24"/>
          <w:szCs w:val="24"/>
        </w:rPr>
      </w:pPr>
    </w:p>
    <w:p w14:paraId="01C88762" w14:textId="77777777" w:rsidR="00E16BDA" w:rsidRDefault="00E16BDA" w:rsidP="002E1260">
      <w:pPr>
        <w:pStyle w:val="NoSpacing"/>
        <w:rPr>
          <w:rFonts w:ascii="Arial Black" w:hAnsi="Arial Black"/>
          <w:sz w:val="24"/>
          <w:szCs w:val="24"/>
        </w:rPr>
      </w:pPr>
    </w:p>
    <w:p w14:paraId="0EBB3492" w14:textId="59B7F896" w:rsidR="002E1260" w:rsidRDefault="002E1260" w:rsidP="002E1260">
      <w:pPr>
        <w:pStyle w:val="NoSpacing"/>
        <w:rPr>
          <w:rFonts w:ascii="Arial Black" w:hAnsi="Arial Black"/>
          <w:sz w:val="24"/>
          <w:szCs w:val="24"/>
        </w:rPr>
      </w:pPr>
      <w:r>
        <w:rPr>
          <w:rFonts w:ascii="Arial Black" w:hAnsi="Arial Black"/>
          <w:sz w:val="24"/>
          <w:szCs w:val="24"/>
        </w:rPr>
        <w:t>1-215</w:t>
      </w:r>
    </w:p>
    <w:p w14:paraId="65A21BF6" w14:textId="77777777" w:rsidR="002E1260" w:rsidRDefault="002E1260" w:rsidP="002E1260">
      <w:pPr>
        <w:rPr>
          <w:rFonts w:ascii="Arial Black" w:hAnsi="Arial Black"/>
          <w:b/>
          <w:sz w:val="28"/>
          <w:szCs w:val="28"/>
        </w:rPr>
      </w:pPr>
    </w:p>
    <w:p w14:paraId="42DC3D0A" w14:textId="0C098E3B" w:rsidR="002E1260" w:rsidRPr="00605DA5" w:rsidRDefault="002E1260" w:rsidP="002E1260">
      <w:pPr>
        <w:rPr>
          <w:rFonts w:ascii="Arial Black" w:hAnsi="Arial Black"/>
          <w:b/>
          <w:sz w:val="28"/>
          <w:szCs w:val="28"/>
        </w:rPr>
      </w:pPr>
      <w:r>
        <w:rPr>
          <w:rFonts w:ascii="Arial Black" w:hAnsi="Arial Black"/>
          <w:b/>
          <w:sz w:val="28"/>
          <w:szCs w:val="28"/>
        </w:rPr>
        <w:t>VA: ARSON – SUSPECT NOT “IN CUSTODY” – NO MIRANDA</w:t>
      </w:r>
    </w:p>
    <w:p w14:paraId="161E8BC4" w14:textId="77777777" w:rsidR="002E1260" w:rsidRPr="00505873" w:rsidRDefault="002E1260" w:rsidP="002E1260">
      <w:pPr>
        <w:rPr>
          <w:bCs/>
        </w:rPr>
      </w:pPr>
      <w:r>
        <w:t xml:space="preserve">On June 23, 2026, in </w:t>
      </w:r>
      <w:r w:rsidRPr="00376966">
        <w:rPr>
          <w:u w:val="single"/>
        </w:rPr>
        <w:t>Darius Marquise Mills-Brown v. Commonwealth of Virginia</w:t>
      </w:r>
      <w:r>
        <w:t xml:space="preserve">, the </w:t>
      </w:r>
      <w:r w:rsidRPr="00376966">
        <w:t>Court of Appeals of Virginia</w:t>
      </w:r>
      <w:r>
        <w:t xml:space="preserve"> held (3 to 0; unpublished opinion) that trial court properly denied defendant’s motion to suppress since he was not in custody and was free to leave the Subway Restaurant when questioned by the arson investigator, and confessed, prior to being given </w:t>
      </w:r>
      <w:r w:rsidRPr="00505873">
        <w:rPr>
          <w:i/>
          <w:iCs/>
        </w:rPr>
        <w:t xml:space="preserve">Miranda </w:t>
      </w:r>
      <w:r>
        <w:t>warnings. I</w:t>
      </w:r>
      <w:r w:rsidRPr="00466B9C">
        <w:t xml:space="preserve">n 2024, a jury convicted Darius Marquise Mills-Brown of arson </w:t>
      </w:r>
      <w:proofErr w:type="gramStart"/>
      <w:r w:rsidRPr="00466B9C">
        <w:t>of</w:t>
      </w:r>
      <w:proofErr w:type="gramEnd"/>
      <w:r w:rsidRPr="00466B9C">
        <w:t xml:space="preserve"> an occupied building.</w:t>
      </w:r>
      <w:r>
        <w:t xml:space="preserve"> </w:t>
      </w:r>
      <w:r w:rsidRPr="00466B9C">
        <w:t>The trial court sentenced him to 20 years’ incarceration, with 10 years suspended.</w:t>
      </w:r>
      <w:r>
        <w:t xml:space="preserve"> The Court wrote: “At no point during the conversation did Persons exert force or restrain Mills-Brown. Indeed, Persons clarified that Mills-Brown was free to leave at any time.”</w:t>
      </w:r>
      <w:r w:rsidRPr="00466B9C">
        <w:t xml:space="preserve"> </w:t>
      </w:r>
      <w:hyperlink r:id="rId29" w:history="1">
        <w:r w:rsidRPr="00043B81">
          <w:rPr>
            <w:rStyle w:val="Hyperlink"/>
          </w:rPr>
          <w:t>https://cases.justia.com/virginia/court-of-appeals-unpublished/2026-2083-24-1.pdf?ts=1782229177</w:t>
        </w:r>
      </w:hyperlink>
      <w:r>
        <w:t xml:space="preserve"> </w:t>
      </w:r>
    </w:p>
    <w:p w14:paraId="2CE49D98" w14:textId="77777777" w:rsidR="002E1260" w:rsidRDefault="002E1260" w:rsidP="002E1260">
      <w:pPr>
        <w:rPr>
          <w:b/>
        </w:rPr>
      </w:pPr>
      <w:r>
        <w:rPr>
          <w:b/>
        </w:rPr>
        <w:t>FACTS:</w:t>
      </w:r>
    </w:p>
    <w:p w14:paraId="597E9D52" w14:textId="77777777" w:rsidR="002E1260" w:rsidRDefault="002E1260" w:rsidP="002E1260">
      <w:pPr>
        <w:pStyle w:val="NoSpacing"/>
      </w:pPr>
      <w:r>
        <w:t>“In December 2021, Darius Marquise Mills-Brown was housesitting for Nicole Thomas</w:t>
      </w:r>
    </w:p>
    <w:p w14:paraId="6966291B" w14:textId="77777777" w:rsidR="002E1260" w:rsidRDefault="002E1260" w:rsidP="002E1260">
      <w:pPr>
        <w:pStyle w:val="NoSpacing"/>
      </w:pPr>
      <w:r>
        <w:t>while she was deployed with the military. Tiffany Marchman and her son lived in a townhouse</w:t>
      </w:r>
    </w:p>
    <w:p w14:paraId="0F43D43E" w14:textId="77777777" w:rsidR="002E1260" w:rsidRDefault="002E1260" w:rsidP="002E1260">
      <w:pPr>
        <w:pStyle w:val="NoSpacing"/>
      </w:pPr>
      <w:r>
        <w:t>next door.</w:t>
      </w:r>
    </w:p>
    <w:p w14:paraId="3832036C" w14:textId="77777777" w:rsidR="002E1260" w:rsidRDefault="002E1260" w:rsidP="002E1260">
      <w:pPr>
        <w:pStyle w:val="NoSpacing"/>
      </w:pPr>
    </w:p>
    <w:p w14:paraId="71BA2936" w14:textId="77777777" w:rsidR="002E1260" w:rsidRDefault="002E1260" w:rsidP="002E1260">
      <w:pPr>
        <w:pStyle w:val="NoSpacing"/>
      </w:pPr>
      <w:r>
        <w:t>***</w:t>
      </w:r>
    </w:p>
    <w:p w14:paraId="0DCBFACD" w14:textId="77777777" w:rsidR="002E1260" w:rsidRDefault="002E1260" w:rsidP="002E1260">
      <w:pPr>
        <w:pStyle w:val="NoSpacing"/>
      </w:pPr>
    </w:p>
    <w:p w14:paraId="65613973" w14:textId="77777777" w:rsidR="002E1260" w:rsidRDefault="002E1260" w:rsidP="002E1260">
      <w:pPr>
        <w:pStyle w:val="NoSpacing"/>
      </w:pPr>
      <w:r>
        <w:t xml:space="preserve">Chris Persons, an investigator at the Fire Marshal’s Office, </w:t>
      </w:r>
      <w:proofErr w:type="gramStart"/>
      <w:r>
        <w:t>had not arrived</w:t>
      </w:r>
      <w:proofErr w:type="gramEnd"/>
      <w:r>
        <w:t xml:space="preserve"> </w:t>
      </w:r>
      <w:proofErr w:type="gramStart"/>
      <w:r>
        <w:t>on</w:t>
      </w:r>
      <w:proofErr w:type="gramEnd"/>
      <w:r>
        <w:t xml:space="preserve"> the scene</w:t>
      </w:r>
    </w:p>
    <w:p w14:paraId="5DE5ECB5" w14:textId="77777777" w:rsidR="002E1260" w:rsidRDefault="002E1260" w:rsidP="002E1260">
      <w:pPr>
        <w:pStyle w:val="NoSpacing"/>
      </w:pPr>
      <w:r>
        <w:t>when a dispatch officer informed him that they had received a call from a person with</w:t>
      </w:r>
    </w:p>
    <w:p w14:paraId="58B6C63A" w14:textId="77777777" w:rsidR="002E1260" w:rsidRDefault="002E1260" w:rsidP="002E1260">
      <w:pPr>
        <w:pStyle w:val="NoSpacing"/>
      </w:pPr>
      <w:r>
        <w:t xml:space="preserve">information about the fire. </w:t>
      </w:r>
      <w:proofErr w:type="gramStart"/>
      <w:r>
        <w:t>Persons</w:t>
      </w:r>
      <w:proofErr w:type="gramEnd"/>
      <w:r>
        <w:t xml:space="preserve"> called the number associated with the tip and learned that the</w:t>
      </w:r>
    </w:p>
    <w:p w14:paraId="76DF7D2D" w14:textId="77777777" w:rsidR="002E1260" w:rsidRDefault="002E1260" w:rsidP="002E1260">
      <w:pPr>
        <w:pStyle w:val="NoSpacing"/>
      </w:pPr>
      <w:r>
        <w:t>caller was Mills-Brown. Mills-Brown stated that he was at a nearby Subway restaurant. When</w:t>
      </w:r>
    </w:p>
    <w:p w14:paraId="76D22CF1" w14:textId="77777777" w:rsidR="002E1260" w:rsidRDefault="002E1260" w:rsidP="002E1260">
      <w:pPr>
        <w:pStyle w:val="NoSpacing"/>
      </w:pPr>
      <w:r>
        <w:t xml:space="preserve">Persons arrived at the Subway, he </w:t>
      </w:r>
      <w:proofErr w:type="gramStart"/>
      <w:r>
        <w:t>saw Mills</w:t>
      </w:r>
      <w:proofErr w:type="gramEnd"/>
      <w:r>
        <w:t xml:space="preserve">-Brown sitting at a corner table alone. Persons approached Mills-Brown, identified himself, and asked if he was ‘ok.’ </w:t>
      </w:r>
      <w:proofErr w:type="gramStart"/>
      <w:r>
        <w:t>Persons</w:t>
      </w:r>
      <w:proofErr w:type="gramEnd"/>
      <w:r>
        <w:t xml:space="preserve"> did not place</w:t>
      </w:r>
    </w:p>
    <w:p w14:paraId="781314A8" w14:textId="77777777" w:rsidR="002E1260" w:rsidRDefault="002E1260" w:rsidP="002E1260">
      <w:pPr>
        <w:pStyle w:val="NoSpacing"/>
      </w:pPr>
      <w:r>
        <w:t>Mills-Brown in handcuffs and clarified that he was free to leave at any time. When Persons</w:t>
      </w:r>
    </w:p>
    <w:p w14:paraId="0F0C5BA8" w14:textId="77777777" w:rsidR="002E1260" w:rsidRDefault="002E1260" w:rsidP="002E1260">
      <w:pPr>
        <w:pStyle w:val="NoSpacing"/>
      </w:pPr>
      <w:r>
        <w:t>asked what had happened, Mills-Brown ‘tear[ed] up, appeared emotional and distraught’ and</w:t>
      </w:r>
    </w:p>
    <w:p w14:paraId="682501CA" w14:textId="77777777" w:rsidR="002E1260" w:rsidRDefault="002E1260" w:rsidP="002E1260">
      <w:pPr>
        <w:pStyle w:val="NoSpacing"/>
      </w:pPr>
      <w:r>
        <w:t xml:space="preserve">told him that he set fire to the </w:t>
      </w:r>
      <w:proofErr w:type="gramStart"/>
      <w:r>
        <w:t>townhome</w:t>
      </w:r>
      <w:proofErr w:type="gramEnd"/>
      <w:r>
        <w:t xml:space="preserve"> after Thomas kicked him out. Mills-Brown told</w:t>
      </w:r>
    </w:p>
    <w:p w14:paraId="6EC28057" w14:textId="77777777" w:rsidR="002E1260" w:rsidRDefault="002E1260" w:rsidP="002E1260">
      <w:pPr>
        <w:pStyle w:val="NoSpacing"/>
      </w:pPr>
      <w:proofErr w:type="gramStart"/>
      <w:r>
        <w:t>Persons</w:t>
      </w:r>
      <w:proofErr w:type="gramEnd"/>
      <w:r>
        <w:t xml:space="preserve"> that he lit a blanket on fire on a wicker chair in the backyard. Mills-Brown then wrote a</w:t>
      </w:r>
    </w:p>
    <w:p w14:paraId="36C28144" w14:textId="77777777" w:rsidR="002E1260" w:rsidRDefault="002E1260" w:rsidP="002E1260">
      <w:pPr>
        <w:pStyle w:val="NoSpacing"/>
      </w:pPr>
      <w:r>
        <w:t>statement memorializing his oral account. Following the written and oral statements, Persons</w:t>
      </w:r>
    </w:p>
    <w:p w14:paraId="5EE5EAB0" w14:textId="77777777" w:rsidR="002E1260" w:rsidRDefault="002E1260" w:rsidP="002E1260">
      <w:pPr>
        <w:pStyle w:val="NoSpacing"/>
      </w:pPr>
      <w:proofErr w:type="gramStart"/>
      <w:r>
        <w:t>arrested Mills-Brown</w:t>
      </w:r>
      <w:proofErr w:type="gramEnd"/>
      <w:r>
        <w:t xml:space="preserve"> for arson of Thomas’s dwelling.</w:t>
      </w:r>
    </w:p>
    <w:p w14:paraId="35694BBD" w14:textId="77777777" w:rsidR="002E1260" w:rsidRDefault="002E1260" w:rsidP="002E1260">
      <w:pPr>
        <w:pStyle w:val="NoSpacing"/>
      </w:pPr>
    </w:p>
    <w:p w14:paraId="238B576C" w14:textId="77777777" w:rsidR="002E1260" w:rsidRDefault="002E1260" w:rsidP="002E1260">
      <w:pPr>
        <w:pStyle w:val="NoSpacing"/>
      </w:pPr>
      <w:r>
        <w:t>***</w:t>
      </w:r>
    </w:p>
    <w:p w14:paraId="33A581D5" w14:textId="77777777" w:rsidR="002E1260" w:rsidRDefault="002E1260" w:rsidP="002E1260">
      <w:pPr>
        <w:pStyle w:val="NoSpacing"/>
      </w:pPr>
      <w:r w:rsidRPr="002B59C1">
        <w:t>At the suppression hearing, he argued that</w:t>
      </w:r>
      <w:r>
        <w:t xml:space="preserve"> </w:t>
      </w:r>
      <w:r w:rsidRPr="002B59C1">
        <w:t xml:space="preserve">his inculpatory statements from Subway were inadmissible because Persons </w:t>
      </w:r>
      <w:r>
        <w:t>‘</w:t>
      </w:r>
      <w:r w:rsidRPr="002B59C1">
        <w:t>should have read</w:t>
      </w:r>
      <w:r>
        <w:t xml:space="preserve"> </w:t>
      </w:r>
      <w:r w:rsidRPr="002B59C1">
        <w:t>[him his] rights before that.</w:t>
      </w:r>
      <w:r>
        <w:t>’</w:t>
      </w:r>
      <w:r w:rsidRPr="002B59C1">
        <w:t xml:space="preserve"> Mills-Brown acknowledged that he admitted to starting the fire</w:t>
      </w:r>
      <w:r>
        <w:t xml:space="preserve"> </w:t>
      </w:r>
      <w:r w:rsidRPr="002B59C1">
        <w:t>because he was mad that Thomas had thrown him out of the townhouse. He also agreed that</w:t>
      </w:r>
      <w:r>
        <w:t xml:space="preserve"> </w:t>
      </w:r>
      <w:r w:rsidRPr="002B59C1">
        <w:t>Persons was sitting beside him at the Subway, did not handcuff him, and never told him that he</w:t>
      </w:r>
      <w:r>
        <w:t xml:space="preserve"> </w:t>
      </w:r>
      <w:r w:rsidRPr="002B59C1">
        <w:t>had to stay. Mills-Brown confirmed that Persons did not arrest him until after he made oral and</w:t>
      </w:r>
      <w:r>
        <w:t xml:space="preserve"> </w:t>
      </w:r>
      <w:r w:rsidRPr="002B59C1">
        <w:t>written statements. The trial court found that Mills-Brown was not in custody when he made his</w:t>
      </w:r>
      <w:r>
        <w:t xml:space="preserve"> </w:t>
      </w:r>
      <w:r w:rsidRPr="002B59C1">
        <w:t>voluntary statements and denied the motion to suppress.</w:t>
      </w:r>
      <w:r>
        <w:t>”</w:t>
      </w:r>
    </w:p>
    <w:p w14:paraId="6F7299AC" w14:textId="77777777" w:rsidR="002E1260" w:rsidRDefault="002E1260" w:rsidP="002E1260">
      <w:pPr>
        <w:pStyle w:val="NoSpacing"/>
      </w:pPr>
    </w:p>
    <w:p w14:paraId="1A7E5EC3" w14:textId="77777777" w:rsidR="002E1260" w:rsidRDefault="002E1260" w:rsidP="002E1260">
      <w:pPr>
        <w:rPr>
          <w:b/>
        </w:rPr>
      </w:pPr>
      <w:r>
        <w:rPr>
          <w:b/>
        </w:rPr>
        <w:t>COURT HELD:</w:t>
      </w:r>
    </w:p>
    <w:p w14:paraId="7D061B4E" w14:textId="77777777" w:rsidR="002E1260" w:rsidRPr="009E418E" w:rsidRDefault="002E1260" w:rsidP="002E1260">
      <w:pPr>
        <w:pStyle w:val="NoSpacing"/>
      </w:pPr>
      <w:r w:rsidRPr="009E418E">
        <w:t>Mills-Brown contends that his oral and written confessions should have been suppressed</w:t>
      </w:r>
    </w:p>
    <w:p w14:paraId="6E526F93" w14:textId="77777777" w:rsidR="002E1260" w:rsidRPr="009E418E" w:rsidRDefault="002E1260" w:rsidP="002E1260">
      <w:pPr>
        <w:pStyle w:val="NoSpacing"/>
      </w:pPr>
      <w:r w:rsidRPr="009E418E">
        <w:t>because Investigator Persons did not read him his Miranda8 rights during their conversation at</w:t>
      </w:r>
    </w:p>
    <w:p w14:paraId="6B8F5E80" w14:textId="77777777" w:rsidR="002E1260" w:rsidRDefault="002E1260" w:rsidP="002E1260">
      <w:pPr>
        <w:pStyle w:val="NoSpacing"/>
      </w:pPr>
      <w:r w:rsidRPr="009E418E">
        <w:t>Subway. As Mills-Brown was not in custody at the time of his confession, we disagree.</w:t>
      </w:r>
    </w:p>
    <w:p w14:paraId="76293754" w14:textId="77777777" w:rsidR="002E1260" w:rsidRDefault="002E1260" w:rsidP="002E1260">
      <w:pPr>
        <w:pStyle w:val="NoSpacing"/>
      </w:pPr>
    </w:p>
    <w:p w14:paraId="263C81D6" w14:textId="77777777" w:rsidR="002E1260" w:rsidRDefault="002E1260" w:rsidP="002E1260">
      <w:pPr>
        <w:pStyle w:val="NoSpacing"/>
      </w:pPr>
      <w:r>
        <w:t>The ‘protection afforded by Miranda applies only when a suspect is subjected to</w:t>
      </w:r>
    </w:p>
    <w:p w14:paraId="7A4DAD01" w14:textId="77777777" w:rsidR="002E1260" w:rsidRDefault="002E1260" w:rsidP="002E1260">
      <w:pPr>
        <w:pStyle w:val="NoSpacing"/>
      </w:pPr>
      <w:r>
        <w:lastRenderedPageBreak/>
        <w:t>custodial interrogation.’ Webber v. Commonwealth, 26 Va. App. 549, 557 (1998). See, e.g.,</w:t>
      </w:r>
    </w:p>
    <w:p w14:paraId="10F2FD65" w14:textId="77777777" w:rsidR="002E1260" w:rsidRDefault="002E1260" w:rsidP="002E1260">
      <w:pPr>
        <w:pStyle w:val="NoSpacing"/>
      </w:pPr>
      <w:r>
        <w:t>Pruett v. Commonwealth, 232 Va. 266, 272 (1986) (explaining that Miranda does not apply to a</w:t>
      </w:r>
    </w:p>
    <w:p w14:paraId="54EFD33F" w14:textId="77777777" w:rsidR="002E1260" w:rsidRDefault="002E1260" w:rsidP="002E1260">
      <w:pPr>
        <w:pStyle w:val="NoSpacing"/>
      </w:pPr>
      <w:r>
        <w:t>police officer’s ‘general questioning’ of citizens during a fact-finding mission). ‘Custodial</w:t>
      </w:r>
    </w:p>
    <w:p w14:paraId="0F8803A3" w14:textId="77777777" w:rsidR="002E1260" w:rsidRDefault="002E1260" w:rsidP="002E1260">
      <w:pPr>
        <w:pStyle w:val="NoSpacing"/>
      </w:pPr>
      <w:r>
        <w:t xml:space="preserve">interrogation </w:t>
      </w:r>
      <w:proofErr w:type="gramStart"/>
      <w:r>
        <w:t>is ‘questioning</w:t>
      </w:r>
      <w:proofErr w:type="gramEnd"/>
      <w:r>
        <w:t xml:space="preserve"> initiated by law enforcement officers after a person has been taken</w:t>
      </w:r>
    </w:p>
    <w:p w14:paraId="70003F55" w14:textId="77777777" w:rsidR="002E1260" w:rsidRDefault="002E1260" w:rsidP="002E1260">
      <w:pPr>
        <w:pStyle w:val="NoSpacing"/>
      </w:pPr>
      <w:r>
        <w:t>into custody or otherwise deprived of his freedom of action in any significant way.’ Keepers v.</w:t>
      </w:r>
    </w:p>
    <w:p w14:paraId="548A85C8" w14:textId="77777777" w:rsidR="002E1260" w:rsidRDefault="002E1260" w:rsidP="002E1260">
      <w:pPr>
        <w:pStyle w:val="NoSpacing"/>
      </w:pPr>
      <w:r>
        <w:t>Commonwealth, 72 Va. App. 17, 34 (2020) (quoting Miranda v. Arizona, 384 U.S. 436, 444</w:t>
      </w:r>
    </w:p>
    <w:p w14:paraId="613B24B1" w14:textId="77777777" w:rsidR="002E1260" w:rsidRDefault="002E1260" w:rsidP="002E1260">
      <w:pPr>
        <w:pStyle w:val="NoSpacing"/>
      </w:pPr>
      <w:r>
        <w:t>(</w:t>
      </w:r>
      <w:proofErr w:type="gramStart"/>
      <w:r>
        <w:t>1966))</w:t>
      </w:r>
      <w:proofErr w:type="gramEnd"/>
      <w:r>
        <w:t>. ‘The ultimate inquiry into whether an individual is subject to custodial interrogation is simply whether there is a formal arrest or restraint on freedom of movement of the degree</w:t>
      </w:r>
    </w:p>
    <w:p w14:paraId="34FB8EBE" w14:textId="77777777" w:rsidR="002E1260" w:rsidRDefault="002E1260" w:rsidP="002E1260">
      <w:pPr>
        <w:pStyle w:val="NoSpacing"/>
      </w:pPr>
      <w:r>
        <w:t>associated with formal arrest.’ Id. (quoting Spinner v. Commonwealth, 297 Va. 384, 392</w:t>
      </w:r>
    </w:p>
    <w:p w14:paraId="319FCCD7" w14:textId="77777777" w:rsidR="002E1260" w:rsidRDefault="002E1260" w:rsidP="002E1260">
      <w:pPr>
        <w:pStyle w:val="NoSpacing"/>
      </w:pPr>
      <w:r>
        <w:t>(2019)).</w:t>
      </w:r>
    </w:p>
    <w:p w14:paraId="5A822853" w14:textId="77777777" w:rsidR="002E1260" w:rsidRDefault="002E1260" w:rsidP="002E1260">
      <w:pPr>
        <w:pStyle w:val="NoSpacing"/>
      </w:pPr>
    </w:p>
    <w:p w14:paraId="4E51D849" w14:textId="77777777" w:rsidR="002E1260" w:rsidRDefault="002E1260" w:rsidP="002E1260">
      <w:pPr>
        <w:pStyle w:val="NoSpacing"/>
      </w:pPr>
      <w:r>
        <w:t>***</w:t>
      </w:r>
    </w:p>
    <w:p w14:paraId="34E34415" w14:textId="77777777" w:rsidR="002E1260" w:rsidRDefault="002E1260" w:rsidP="002E1260">
      <w:pPr>
        <w:pStyle w:val="NoSpacing"/>
      </w:pPr>
      <w:r>
        <w:t xml:space="preserve">When Persons arrived, he found Mills-Brown seated at a corner table ten feet from the exit. </w:t>
      </w:r>
      <w:proofErr w:type="gramStart"/>
      <w:r>
        <w:t>Persons</w:t>
      </w:r>
      <w:proofErr w:type="gramEnd"/>
      <w:r>
        <w:t xml:space="preserve"> identified </w:t>
      </w:r>
      <w:proofErr w:type="gramStart"/>
      <w:r>
        <w:t>himself</w:t>
      </w:r>
      <w:proofErr w:type="gramEnd"/>
      <w:r>
        <w:t xml:space="preserve"> and started the conversation checking on Mills- Brown’s well-being. At no point during the conversation did Persons exert force or restrain Mills-Brown. Indeed, Persons clarified that Mills-Brown was free to leave at any time. When Persons asked what happened, Mills-Brown teared up and appeared emotionally distraught before disclosing that he started the fire after Thomas kicked him out of the townhouse. He stated that he had gotten mad and just “snapped.” And Persons only placed Mills-Brown under arrest after he made his oral and written confession. Therefore, we find that the court did not err in determining that a reasonable person would have felt free to leave under the </w:t>
      </w:r>
      <w:proofErr w:type="gramStart"/>
      <w:r>
        <w:t>circumstances.”</w:t>
      </w:r>
      <w:proofErr w:type="gramEnd"/>
    </w:p>
    <w:p w14:paraId="0DB7B21F" w14:textId="77777777" w:rsidR="002E1260" w:rsidRDefault="002E1260" w:rsidP="002E1260">
      <w:pPr>
        <w:pStyle w:val="NoSpacing"/>
      </w:pPr>
    </w:p>
    <w:p w14:paraId="5B391698" w14:textId="77777777" w:rsidR="002E1260" w:rsidRPr="005B7A19" w:rsidRDefault="002E1260" w:rsidP="002E1260">
      <w:pPr>
        <w:pStyle w:val="NoSpacing"/>
        <w:rPr>
          <w:b/>
          <w:bCs/>
        </w:rPr>
      </w:pPr>
      <w:r>
        <w:rPr>
          <w:b/>
        </w:rPr>
        <w:t xml:space="preserve">Legal lesson learned: </w:t>
      </w:r>
      <w:r w:rsidRPr="005B7A19">
        <w:rPr>
          <w:b/>
          <w:i/>
          <w:iCs/>
        </w:rPr>
        <w:t>Miranda</w:t>
      </w:r>
      <w:r>
        <w:rPr>
          <w:b/>
        </w:rPr>
        <w:t xml:space="preserve"> warnings are only required when the suspect is “in custody.”</w:t>
      </w:r>
    </w:p>
    <w:p w14:paraId="38249C10" w14:textId="77777777" w:rsidR="002E1260" w:rsidRDefault="002E1260" w:rsidP="002E1260">
      <w:pPr>
        <w:rPr>
          <w:b/>
        </w:rPr>
      </w:pPr>
    </w:p>
    <w:p w14:paraId="0C274633" w14:textId="77777777" w:rsidR="002E1260" w:rsidRDefault="002E1260" w:rsidP="002E1260">
      <w:pPr>
        <w:rPr>
          <w:rFonts w:ascii="Arial Black" w:hAnsi="Arial Black"/>
          <w:b/>
          <w:sz w:val="28"/>
          <w:szCs w:val="28"/>
        </w:rPr>
      </w:pPr>
    </w:p>
    <w:p w14:paraId="59BCD61D" w14:textId="15783D38" w:rsidR="002E1260" w:rsidRDefault="002E1260" w:rsidP="002E1260">
      <w:pPr>
        <w:pStyle w:val="NoSpacing"/>
        <w:rPr>
          <w:rFonts w:ascii="Arial Black" w:hAnsi="Arial Black"/>
          <w:sz w:val="24"/>
          <w:szCs w:val="24"/>
        </w:rPr>
      </w:pPr>
      <w:r>
        <w:rPr>
          <w:rFonts w:ascii="Arial Black" w:hAnsi="Arial Black"/>
          <w:sz w:val="24"/>
          <w:szCs w:val="24"/>
        </w:rPr>
        <w:t>1-214</w:t>
      </w:r>
    </w:p>
    <w:p w14:paraId="361830D1" w14:textId="77777777" w:rsidR="002E1260" w:rsidRDefault="002E1260" w:rsidP="002E1260">
      <w:pPr>
        <w:pStyle w:val="NoSpacing"/>
        <w:rPr>
          <w:rFonts w:ascii="Arial Black" w:hAnsi="Arial Black"/>
          <w:sz w:val="24"/>
          <w:szCs w:val="24"/>
        </w:rPr>
      </w:pPr>
    </w:p>
    <w:p w14:paraId="7A7A6C0D" w14:textId="4BE4308C" w:rsidR="002E1260" w:rsidRPr="00756ABA" w:rsidRDefault="002E1260" w:rsidP="002E1260">
      <w:pPr>
        <w:rPr>
          <w:rFonts w:ascii="Arial Black" w:hAnsi="Arial Black"/>
          <w:b/>
          <w:sz w:val="28"/>
          <w:szCs w:val="28"/>
        </w:rPr>
      </w:pPr>
      <w:r>
        <w:rPr>
          <w:rFonts w:ascii="Arial Black" w:hAnsi="Arial Black"/>
          <w:b/>
          <w:sz w:val="28"/>
          <w:szCs w:val="28"/>
        </w:rPr>
        <w:t xml:space="preserve">CA: BRUSH FIRE - 30 BUILDINGS – MENTAL NO DEFENSE </w:t>
      </w:r>
    </w:p>
    <w:p w14:paraId="45902F86" w14:textId="77777777" w:rsidR="002E1260" w:rsidRDefault="002E1260" w:rsidP="002E1260">
      <w:pPr>
        <w:pStyle w:val="NoSpacing"/>
        <w:rPr>
          <w:bCs/>
        </w:rPr>
      </w:pPr>
      <w:r>
        <w:t xml:space="preserve">On June 13, 2026, in </w:t>
      </w:r>
      <w:r w:rsidRPr="002E0C32">
        <w:rPr>
          <w:u w:val="single"/>
        </w:rPr>
        <w:t>The People v. Devin Lamar Johnson</w:t>
      </w:r>
      <w:r>
        <w:t xml:space="preserve">, the </w:t>
      </w:r>
      <w:r w:rsidRPr="00862ADC">
        <w:t>California Court of Appeals, First District, Fourth Division</w:t>
      </w:r>
      <w:r>
        <w:t xml:space="preserve"> held (3 to 0; unpublished opinion) held that arson is a crime of general intent. </w:t>
      </w:r>
      <w:r w:rsidRPr="00F53B34">
        <w:t>Devin Lamar Johnson started a brush fire that ultimately burned</w:t>
      </w:r>
      <w:r>
        <w:t xml:space="preserve"> </w:t>
      </w:r>
      <w:r w:rsidRPr="00F53B34">
        <w:t>257 acres and 30 dwellings. About a month later, a psychologist diagnosed</w:t>
      </w:r>
      <w:r>
        <w:t xml:space="preserve"> </w:t>
      </w:r>
      <w:r w:rsidRPr="00F53B34">
        <w:t xml:space="preserve">him with </w:t>
      </w:r>
      <w:proofErr w:type="gramStart"/>
      <w:r w:rsidRPr="00F53B34">
        <w:t>early stage</w:t>
      </w:r>
      <w:proofErr w:type="gramEnd"/>
      <w:r w:rsidRPr="00F53B34">
        <w:t xml:space="preserve"> schizophrenia</w:t>
      </w:r>
      <w:r>
        <w:t>.</w:t>
      </w:r>
    </w:p>
    <w:p w14:paraId="477C0ACF" w14:textId="77777777" w:rsidR="002E1260" w:rsidRDefault="002E1260" w:rsidP="002E1260">
      <w:pPr>
        <w:pStyle w:val="NoSpacing"/>
      </w:pPr>
      <w:r>
        <w:t>The Court wrote: “</w:t>
      </w:r>
      <w:r w:rsidRPr="00E62C38">
        <w:t>He argues that the trial court erred by instructing the jury to</w:t>
      </w:r>
      <w:r>
        <w:t xml:space="preserve"> </w:t>
      </w:r>
      <w:r w:rsidRPr="00E62C38">
        <w:t>disregard evidence of his mental illness when deciding whether he acted with</w:t>
      </w:r>
      <w:r>
        <w:t xml:space="preserve"> </w:t>
      </w:r>
      <w:r w:rsidRPr="00E62C38">
        <w:t>the required intent. He also argues that insufficient evidence supports the</w:t>
      </w:r>
      <w:r>
        <w:t xml:space="preserve"> </w:t>
      </w:r>
      <w:r w:rsidRPr="00E62C38">
        <w:t>jury’s finding that he acted with the required intent. Underpinning these</w:t>
      </w:r>
      <w:r>
        <w:t xml:space="preserve"> </w:t>
      </w:r>
      <w:r w:rsidRPr="00E62C38">
        <w:t>arguments is Johnson’s contention that we should classify arson as a specific</w:t>
      </w:r>
      <w:r w:rsidRPr="00E62C38">
        <w:br/>
        <w:t>intent crime in the context of a mental illness defense, which he</w:t>
      </w:r>
      <w:r>
        <w:t xml:space="preserve"> </w:t>
      </w:r>
      <w:r w:rsidRPr="00E62C38">
        <w:t>acknowledges would require us to conclude that we are not bound on that</w:t>
      </w:r>
      <w:r>
        <w:t xml:space="preserve"> </w:t>
      </w:r>
      <w:r w:rsidRPr="00E62C38">
        <w:t>point by Supreme Court cases holding that arson is a general intent crime.</w:t>
      </w:r>
      <w:r>
        <w:t xml:space="preserve"> </w:t>
      </w:r>
      <w:r w:rsidRPr="00E62C38">
        <w:t xml:space="preserve">We cannot so </w:t>
      </w:r>
      <w:proofErr w:type="gramStart"/>
      <w:r w:rsidRPr="00E62C38">
        <w:t>conclude, and</w:t>
      </w:r>
      <w:proofErr w:type="gramEnd"/>
      <w:r w:rsidRPr="00E62C38">
        <w:t xml:space="preserve"> therefore affirm.</w:t>
      </w:r>
      <w:r>
        <w:t>”</w:t>
      </w:r>
    </w:p>
    <w:p w14:paraId="7CB78CF3" w14:textId="77777777" w:rsidR="002E1260" w:rsidRPr="005638FC" w:rsidRDefault="002E1260" w:rsidP="002E1260">
      <w:pPr>
        <w:pStyle w:val="NoSpacing"/>
        <w:rPr>
          <w:b/>
        </w:rPr>
      </w:pPr>
      <w:hyperlink r:id="rId30" w:history="1">
        <w:r w:rsidRPr="00014504">
          <w:rPr>
            <w:rStyle w:val="Hyperlink"/>
            <w:b/>
          </w:rPr>
          <w:t>https://www.casemine.com/judgement/us/6a2b9a31eaa021ae7251d64e</w:t>
        </w:r>
      </w:hyperlink>
      <w:r>
        <w:rPr>
          <w:b/>
        </w:rPr>
        <w:t xml:space="preserve"> </w:t>
      </w:r>
    </w:p>
    <w:p w14:paraId="28A739BE" w14:textId="77777777" w:rsidR="002E1260" w:rsidRDefault="002E1260" w:rsidP="002E1260">
      <w:pPr>
        <w:rPr>
          <w:b/>
        </w:rPr>
      </w:pPr>
    </w:p>
    <w:p w14:paraId="325F046B" w14:textId="77777777" w:rsidR="002E1260" w:rsidRDefault="002E1260" w:rsidP="002E1260">
      <w:pPr>
        <w:rPr>
          <w:b/>
        </w:rPr>
      </w:pPr>
      <w:r>
        <w:rPr>
          <w:b/>
        </w:rPr>
        <w:t>FACTS:</w:t>
      </w:r>
    </w:p>
    <w:p w14:paraId="023940E9" w14:textId="77777777" w:rsidR="002E1260" w:rsidRPr="00756ABA" w:rsidRDefault="002E1260" w:rsidP="002E1260">
      <w:pPr>
        <w:pStyle w:val="NoSpacing"/>
      </w:pPr>
      <w:r>
        <w:t>“</w:t>
      </w:r>
      <w:r w:rsidRPr="00756ABA">
        <w:t xml:space="preserve">Devin Lamar Johnson started a brush fire that ultimately burned 257 acres and 30 dwellings. About a month later, a psychologist diagnosed him with </w:t>
      </w:r>
      <w:proofErr w:type="gramStart"/>
      <w:r w:rsidRPr="00756ABA">
        <w:t>early</w:t>
      </w:r>
      <w:r>
        <w:t xml:space="preserve"> </w:t>
      </w:r>
      <w:r w:rsidRPr="00756ABA">
        <w:t>stage</w:t>
      </w:r>
      <w:proofErr w:type="gramEnd"/>
      <w:r w:rsidRPr="00756ABA">
        <w:t xml:space="preserve"> schizophrenia. </w:t>
      </w:r>
    </w:p>
    <w:p w14:paraId="697BDB6C" w14:textId="77777777" w:rsidR="002E1260" w:rsidRDefault="002E1260" w:rsidP="002E1260">
      <w:pPr>
        <w:pStyle w:val="NoSpacing"/>
      </w:pPr>
      <w:r w:rsidRPr="00756ABA">
        <w:t>   </w:t>
      </w:r>
    </w:p>
    <w:p w14:paraId="4F9DA197" w14:textId="77777777" w:rsidR="002E1260" w:rsidRPr="00756ABA" w:rsidRDefault="002E1260" w:rsidP="002E1260">
      <w:pPr>
        <w:pStyle w:val="NoSpacing"/>
      </w:pPr>
      <w:r w:rsidRPr="00756ABA">
        <w:t>A jury acquitted Johnson of aggravated arson (Penal Code, § 451.5, subd. (a)(3)</w:t>
      </w:r>
      <w:r>
        <w:t xml:space="preserve"> </w:t>
      </w:r>
      <w:r w:rsidRPr="00756ABA">
        <w:t>-a count for which the trial court allowed mental-illness evidence to negate the required state of mind. The jury convicted him of arson of a dwelling (Penal Code, § 451, subd. (</w:t>
      </w:r>
      <w:proofErr w:type="gramStart"/>
      <w:r w:rsidRPr="00756ABA">
        <w:t>b))</w:t>
      </w:r>
      <w:proofErr w:type="gramEnd"/>
      <w:r w:rsidRPr="00756ABA">
        <w:t xml:space="preserve">-a count for which the trial court did not allow such evidence. The jury found true that Johnson had </w:t>
      </w:r>
      <w:r w:rsidRPr="00756ABA">
        <w:lastRenderedPageBreak/>
        <w:t xml:space="preserve">caused multiple structures to burn within the meaning of section 451.1, subdivision (a)(4). The trial court found true prior strike and aggravation allegations. </w:t>
      </w:r>
    </w:p>
    <w:p w14:paraId="6D4D0926" w14:textId="77777777" w:rsidR="002E1260" w:rsidRDefault="002E1260" w:rsidP="002E1260">
      <w:pPr>
        <w:pStyle w:val="NoSpacing"/>
      </w:pPr>
    </w:p>
    <w:p w14:paraId="3F64FB34" w14:textId="77777777" w:rsidR="002E1260" w:rsidRDefault="002E1260" w:rsidP="002E1260">
      <w:pPr>
        <w:pStyle w:val="NoSpacing"/>
      </w:pPr>
      <w:r w:rsidRPr="00756ABA">
        <w:t xml:space="preserve">The trial court sentenced Johnson to the midterm of 5 years, doubled under the </w:t>
      </w:r>
      <w:r>
        <w:t>‘</w:t>
      </w:r>
      <w:r w:rsidRPr="00756ABA">
        <w:t>Three Strikes</w:t>
      </w:r>
      <w:r>
        <w:t>’</w:t>
      </w:r>
      <w:r w:rsidRPr="00756ABA">
        <w:t xml:space="preserve"> law (section 1170.12), plus a consecutive 5 years for the multiple-structures enhancement, for a total of 15 years. </w:t>
      </w:r>
    </w:p>
    <w:p w14:paraId="2005D23C" w14:textId="77777777" w:rsidR="002E1260" w:rsidRDefault="002E1260" w:rsidP="002E1260">
      <w:pPr>
        <w:pStyle w:val="NoSpacing"/>
      </w:pPr>
    </w:p>
    <w:p w14:paraId="1A5F0132" w14:textId="77777777" w:rsidR="002E1260" w:rsidRPr="00756ABA" w:rsidRDefault="002E1260" w:rsidP="002E1260">
      <w:pPr>
        <w:pStyle w:val="NoSpacing"/>
      </w:pPr>
      <w:r>
        <w:t>***</w:t>
      </w:r>
    </w:p>
    <w:p w14:paraId="49BD93E2" w14:textId="77777777" w:rsidR="002E1260" w:rsidRDefault="002E1260" w:rsidP="002E1260">
      <w:pPr>
        <w:pStyle w:val="NoSpacing"/>
      </w:pPr>
      <w:r>
        <w:t>A</w:t>
      </w:r>
      <w:r w:rsidRPr="00094247">
        <w:t xml:space="preserve">t trial, Johnson testified that he had started the fire accidentally by dropping a lit cigarette that he had been smoking into dry grass. He said that he went to look for it but that it was buried in the grass. He said it started </w:t>
      </w:r>
      <w:proofErr w:type="gramStart"/>
      <w:r w:rsidRPr="00094247">
        <w:t>singeing</w:t>
      </w:r>
      <w:proofErr w:type="gramEnd"/>
      <w:r w:rsidRPr="00094247">
        <w:t xml:space="preserve"> the dead grass, and that when he tried to stomp it out it began to flame. Video showed, and Johnson conceded, that he was at the origin site for five minutes. During part of that time, he </w:t>
      </w:r>
      <w:proofErr w:type="gramStart"/>
      <w:r w:rsidRPr="00094247">
        <w:t>testified,</w:t>
      </w:r>
      <w:proofErr w:type="gramEnd"/>
      <w:r w:rsidRPr="00094247">
        <w:t xml:space="preserve"> he was </w:t>
      </w:r>
      <w:proofErr w:type="gramStart"/>
      <w:r w:rsidRPr="00094247">
        <w:t>smoking the cigarette</w:t>
      </w:r>
      <w:proofErr w:type="gramEnd"/>
      <w:r w:rsidRPr="00094247">
        <w:t>.</w:t>
      </w:r>
    </w:p>
    <w:p w14:paraId="08DF3233" w14:textId="77777777" w:rsidR="002E1260" w:rsidRDefault="002E1260" w:rsidP="002E1260">
      <w:pPr>
        <w:pStyle w:val="NoSpacing"/>
      </w:pPr>
    </w:p>
    <w:p w14:paraId="759593FC" w14:textId="77777777" w:rsidR="002E1260" w:rsidRDefault="002E1260" w:rsidP="002E1260">
      <w:pPr>
        <w:pStyle w:val="NoSpacing"/>
      </w:pPr>
      <w:r w:rsidRPr="00B84407">
        <w:t xml:space="preserve">The jury heard testimony that contradicted Johnson's story. A fire chief and investigator who investigated the fire testified as follows. A cigarette needs a minimum of 8 minutes to smolder before it will go to flame. The average time is 12 minutes. To remain lit, a cigarette would need to land with the tip down, facing the </w:t>
      </w:r>
      <w:proofErr w:type="gramStart"/>
      <w:r w:rsidRPr="00B84407">
        <w:t xml:space="preserve">wind, </w:t>
      </w:r>
      <w:r>
        <w:t>‘</w:t>
      </w:r>
      <w:proofErr w:type="gramEnd"/>
      <w:r w:rsidRPr="00B84407">
        <w:t>so that the wind keeps it going because no one is puffing on it . . . .</w:t>
      </w:r>
      <w:r>
        <w:t>’</w:t>
      </w:r>
      <w:r w:rsidRPr="00B84407">
        <w:t xml:space="preserve"> The investigation team did not find any cigarette butts at the site. Based on this and other evidence, the investigation team concluded that </w:t>
      </w:r>
      <w:r>
        <w:t>‘</w:t>
      </w:r>
      <w:r w:rsidRPr="00B84407">
        <w:t>it just didn't add up that [accidental ignition by a dropped cigarette] could even be a possibility . . . .</w:t>
      </w:r>
      <w:r>
        <w:t>’</w:t>
      </w:r>
      <w:r w:rsidRPr="00B84407">
        <w:t xml:space="preserve"> </w:t>
      </w:r>
    </w:p>
    <w:p w14:paraId="065B1300" w14:textId="77777777" w:rsidR="002E1260" w:rsidRDefault="002E1260" w:rsidP="002E1260">
      <w:pPr>
        <w:pStyle w:val="NoSpacing"/>
      </w:pPr>
    </w:p>
    <w:p w14:paraId="6EF4A291" w14:textId="77777777" w:rsidR="002E1260" w:rsidRDefault="002E1260" w:rsidP="002E1260">
      <w:pPr>
        <w:pStyle w:val="NoSpacing"/>
      </w:pPr>
      <w:r w:rsidRPr="00555E7B">
        <w:t xml:space="preserve">Evidence supported a different theory-that Johnson had deliberately started the fire with a cigarette lighter that was later found in his apartment. The investigation team concluded that an open flame had started the fire. In a way relevant to intent, the investigator testified that it takes a concerted effort to make a lighter </w:t>
      </w:r>
      <w:proofErr w:type="gramStart"/>
      <w:r w:rsidRPr="00555E7B">
        <w:t xml:space="preserve">work: </w:t>
      </w:r>
      <w:r>
        <w:t>‘</w:t>
      </w:r>
      <w:proofErr w:type="gramEnd"/>
      <w:r w:rsidRPr="00555E7B">
        <w:t>[y]</w:t>
      </w:r>
      <w:proofErr w:type="spellStart"/>
      <w:r w:rsidRPr="00555E7B">
        <w:t>ou</w:t>
      </w:r>
      <w:proofErr w:type="spellEnd"/>
      <w:r w:rsidRPr="00555E7B">
        <w:t xml:space="preserve"> </w:t>
      </w:r>
      <w:proofErr w:type="gramStart"/>
      <w:r w:rsidRPr="00555E7B">
        <w:t>have</w:t>
      </w:r>
      <w:proofErr w:type="gramEnd"/>
      <w:r w:rsidRPr="00555E7B">
        <w:t xml:space="preserve"> to take it out of your pocket or whatever it is in. You </w:t>
      </w:r>
      <w:proofErr w:type="gramStart"/>
      <w:r w:rsidRPr="00555E7B">
        <w:t>have to</w:t>
      </w:r>
      <w:proofErr w:type="gramEnd"/>
      <w:r w:rsidRPr="00555E7B">
        <w:t xml:space="preserve"> manipulate your lighter with your thumb to get it to work. And you </w:t>
      </w:r>
      <w:proofErr w:type="gramStart"/>
      <w:r w:rsidRPr="00555E7B">
        <w:t>have to</w:t>
      </w:r>
      <w:proofErr w:type="gramEnd"/>
      <w:r w:rsidRPr="00555E7B">
        <w:t xml:space="preserve"> hold that against something that would be combustible.</w:t>
      </w:r>
      <w:r>
        <w:t>’</w:t>
      </w:r>
      <w:r w:rsidRPr="00555E7B">
        <w:t xml:space="preserve"> It takes some time, he further testified, for the enough heat to transfer from a lighter flame to other material before it will catch on fire.</w:t>
      </w:r>
      <w:r>
        <w:t>”</w:t>
      </w:r>
    </w:p>
    <w:p w14:paraId="3A0D7E07" w14:textId="77777777" w:rsidR="002E1260" w:rsidRDefault="002E1260" w:rsidP="002E1260">
      <w:pPr>
        <w:pStyle w:val="NoSpacing"/>
      </w:pPr>
    </w:p>
    <w:p w14:paraId="32A89501" w14:textId="77777777" w:rsidR="002E1260" w:rsidRDefault="002E1260" w:rsidP="002E1260">
      <w:pPr>
        <w:pStyle w:val="NoSpacing"/>
      </w:pPr>
      <w:r w:rsidRPr="00960EA4">
        <w:rPr>
          <w:b/>
        </w:rPr>
        <w:t>COURT HELD</w:t>
      </w:r>
      <w:r>
        <w:t>:</w:t>
      </w:r>
    </w:p>
    <w:p w14:paraId="086925A0" w14:textId="77777777" w:rsidR="002E1260" w:rsidRDefault="002E1260" w:rsidP="002E1260">
      <w:pPr>
        <w:pStyle w:val="NoSpacing"/>
      </w:pPr>
    </w:p>
    <w:p w14:paraId="44D531EF" w14:textId="77777777" w:rsidR="002E1260" w:rsidRPr="00352647" w:rsidRDefault="002E1260" w:rsidP="002E1260">
      <w:pPr>
        <w:pStyle w:val="NoSpacing"/>
      </w:pPr>
      <w:r>
        <w:t>“</w:t>
      </w:r>
      <w:r w:rsidRPr="00352647">
        <w:t xml:space="preserve">Courts categorize some crimes as requiring proof of general intent and others as requiring proof of specific intent. (See, e.g., </w:t>
      </w:r>
      <w:r w:rsidRPr="00352647">
        <w:rPr>
          <w:i/>
          <w:iCs/>
        </w:rPr>
        <w:t>People v. Atkins</w:t>
      </w:r>
      <w:r w:rsidRPr="00352647">
        <w:t xml:space="preserve"> (2001) 25 Cal.4th 76, 81-83.) These terms have been explained as follows. </w:t>
      </w:r>
      <w:r>
        <w:t>‘</w:t>
      </w:r>
      <w:r w:rsidRPr="00352647">
        <w:t>When the definition of a crime consists of only the description of a particular act, without reference to intent to do a further act or achieve a future consequence, we ask whether the defendant intended to do the proscribed act. This intention is deemed to be a general criminal intent.</w:t>
      </w:r>
      <w:r>
        <w:t>’</w:t>
      </w:r>
      <w:r w:rsidRPr="00352647">
        <w:t xml:space="preserve"> (</w:t>
      </w:r>
      <w:r w:rsidRPr="00352647">
        <w:rPr>
          <w:i/>
          <w:iCs/>
        </w:rPr>
        <w:t>People v. Hood</w:t>
      </w:r>
      <w:r w:rsidRPr="00352647">
        <w:t xml:space="preserve"> (1969) 1 Cal.3d 444, 456-457.) On the other </w:t>
      </w:r>
      <w:proofErr w:type="gramStart"/>
      <w:r w:rsidRPr="00352647">
        <w:t xml:space="preserve">hand, </w:t>
      </w:r>
      <w:r>
        <w:t>‘</w:t>
      </w:r>
      <w:proofErr w:type="gramEnd"/>
      <w:r w:rsidRPr="00352647">
        <w:t>[</w:t>
      </w:r>
      <w:proofErr w:type="gramStart"/>
      <w:r w:rsidRPr="00352647">
        <w:t>w]hen</w:t>
      </w:r>
      <w:proofErr w:type="gramEnd"/>
      <w:r w:rsidRPr="00352647">
        <w:t xml:space="preserve"> the definition refers to [a] defendant's intent to do some further act or achieve some </w:t>
      </w:r>
    </w:p>
    <w:p w14:paraId="41E96A40" w14:textId="77777777" w:rsidR="002E1260" w:rsidRPr="00352647" w:rsidRDefault="002E1260" w:rsidP="002E1260">
      <w:pPr>
        <w:pStyle w:val="NoSpacing"/>
      </w:pPr>
      <w:proofErr w:type="gramStart"/>
      <w:r w:rsidRPr="00352647">
        <w:t>additional consequence</w:t>
      </w:r>
      <w:proofErr w:type="gramEnd"/>
      <w:r w:rsidRPr="00352647">
        <w:t>, the crime is deemed to be one of specific intent.</w:t>
      </w:r>
      <w:r>
        <w:t xml:space="preserve">’ </w:t>
      </w:r>
      <w:r w:rsidRPr="00352647">
        <w:t xml:space="preserve"> </w:t>
      </w:r>
    </w:p>
    <w:p w14:paraId="329DFD95" w14:textId="77777777" w:rsidR="002E1260" w:rsidRDefault="002E1260" w:rsidP="002E1260">
      <w:pPr>
        <w:pStyle w:val="NoSpacing"/>
      </w:pPr>
    </w:p>
    <w:p w14:paraId="7215F8EB" w14:textId="77777777" w:rsidR="002E1260" w:rsidRDefault="002E1260" w:rsidP="002E1260">
      <w:pPr>
        <w:pStyle w:val="NoSpacing"/>
      </w:pPr>
      <w:r>
        <w:t>***</w:t>
      </w:r>
    </w:p>
    <w:p w14:paraId="4FFB4DA0" w14:textId="77777777" w:rsidR="002E1260" w:rsidRDefault="002E1260" w:rsidP="002E1260">
      <w:pPr>
        <w:pStyle w:val="NoSpacing"/>
      </w:pPr>
      <w:r w:rsidRPr="0086202A">
        <w:t xml:space="preserve">Sufficient evidence also supports a finding that Johnson was aware of facts that would lead a reasonable person to understand that the highly probable consequence of setting the fire was that it would spread to inhabited buildings. The origin site was about an eighth of a mile from Johnson's home in the town where the buildings burned. At the origin site, Johnson noticed that the nearby creek was dry. He testified that the grass was dry and that there was a layer of dead grass around the area. Another witness testified about typical September conditions in the area. He said that it was a hot, dry time of the year. </w:t>
      </w:r>
      <w:proofErr w:type="gramStart"/>
      <w:r w:rsidRPr="0086202A">
        <w:t>A wind</w:t>
      </w:r>
      <w:proofErr w:type="gramEnd"/>
      <w:r w:rsidRPr="0086202A">
        <w:t xml:space="preserve"> usually picked up at about 2 p.m., as it did on the day of the fire. In addition, the area had been in drought for </w:t>
      </w:r>
      <w:proofErr w:type="gramStart"/>
      <w:r w:rsidRPr="0086202A">
        <w:t>a number of</w:t>
      </w:r>
      <w:proofErr w:type="gramEnd"/>
      <w:r w:rsidRPr="0086202A">
        <w:t xml:space="preserve"> years. Johnson testified that he had lived in the area a while before the fire and that it was his hometown. The jury reasonably could infer that he was aware of these conditions and the proximity of the site to buildings in the town.</w:t>
      </w:r>
      <w:r>
        <w:t>”</w:t>
      </w:r>
    </w:p>
    <w:p w14:paraId="76DDCF82" w14:textId="77777777" w:rsidR="002E1260" w:rsidRDefault="002E1260" w:rsidP="002E1260">
      <w:pPr>
        <w:pStyle w:val="NoSpacing"/>
      </w:pPr>
    </w:p>
    <w:p w14:paraId="366EAD02" w14:textId="77777777" w:rsidR="002E1260" w:rsidRPr="00F961CC" w:rsidRDefault="002E1260" w:rsidP="002E1260">
      <w:pPr>
        <w:pStyle w:val="NoSpacing"/>
        <w:rPr>
          <w:b/>
          <w:bCs/>
        </w:rPr>
      </w:pPr>
      <w:r w:rsidRPr="00F961CC">
        <w:rPr>
          <w:b/>
        </w:rPr>
        <w:t xml:space="preserve">Legal lesson learned: </w:t>
      </w:r>
      <w:r>
        <w:rPr>
          <w:b/>
        </w:rPr>
        <w:t xml:space="preserve">Arson is a “general intent” crime and the defendant’s specific intent to burn buildings was not relevant. </w:t>
      </w:r>
    </w:p>
    <w:p w14:paraId="4EEFE617" w14:textId="77777777" w:rsidR="002E1260" w:rsidRPr="00F961CC" w:rsidRDefault="002E1260" w:rsidP="002E1260">
      <w:pPr>
        <w:pStyle w:val="NoSpacing"/>
        <w:rPr>
          <w:b/>
          <w:bCs/>
        </w:rPr>
      </w:pPr>
    </w:p>
    <w:p w14:paraId="645ADB51" w14:textId="77777777" w:rsidR="002E1260" w:rsidRDefault="002E1260" w:rsidP="002E1260">
      <w:pPr>
        <w:pStyle w:val="NoSpacing"/>
        <w:rPr>
          <w:sz w:val="20"/>
          <w:szCs w:val="20"/>
        </w:rPr>
      </w:pPr>
    </w:p>
    <w:p w14:paraId="2CC92941" w14:textId="77777777" w:rsidR="002E1260" w:rsidRDefault="002E1260" w:rsidP="00822052">
      <w:pPr>
        <w:pStyle w:val="NoSpacing"/>
        <w:rPr>
          <w:rFonts w:ascii="Arial Black" w:hAnsi="Arial Black"/>
          <w:sz w:val="24"/>
          <w:szCs w:val="24"/>
        </w:rPr>
      </w:pPr>
    </w:p>
    <w:p w14:paraId="1043E7B4" w14:textId="77777777" w:rsidR="002E1260" w:rsidRDefault="002E1260" w:rsidP="00822052">
      <w:pPr>
        <w:pStyle w:val="NoSpacing"/>
        <w:rPr>
          <w:rFonts w:ascii="Arial Black" w:hAnsi="Arial Black"/>
          <w:sz w:val="24"/>
          <w:szCs w:val="24"/>
        </w:rPr>
      </w:pPr>
    </w:p>
    <w:p w14:paraId="1F172D80" w14:textId="77777777" w:rsidR="002E1260" w:rsidRDefault="002E1260" w:rsidP="00822052">
      <w:pPr>
        <w:pStyle w:val="NoSpacing"/>
        <w:rPr>
          <w:rFonts w:ascii="Arial Black" w:hAnsi="Arial Black"/>
          <w:sz w:val="24"/>
          <w:szCs w:val="24"/>
        </w:rPr>
      </w:pPr>
    </w:p>
    <w:p w14:paraId="4AEE6B1A" w14:textId="77777777" w:rsidR="002E1260" w:rsidRDefault="002E1260" w:rsidP="00822052">
      <w:pPr>
        <w:pStyle w:val="NoSpacing"/>
        <w:rPr>
          <w:rFonts w:ascii="Arial Black" w:hAnsi="Arial Black"/>
          <w:sz w:val="24"/>
          <w:szCs w:val="24"/>
        </w:rPr>
      </w:pPr>
    </w:p>
    <w:p w14:paraId="1CE5FA9D" w14:textId="77777777" w:rsidR="002E1260" w:rsidRDefault="002E1260" w:rsidP="00822052">
      <w:pPr>
        <w:pStyle w:val="NoSpacing"/>
        <w:rPr>
          <w:rFonts w:ascii="Arial Black" w:hAnsi="Arial Black"/>
          <w:sz w:val="24"/>
          <w:szCs w:val="24"/>
        </w:rPr>
      </w:pPr>
    </w:p>
    <w:p w14:paraId="301EA977" w14:textId="378FA627" w:rsidR="001A609B" w:rsidRDefault="001A609B" w:rsidP="00822052">
      <w:pPr>
        <w:pStyle w:val="NoSpacing"/>
        <w:rPr>
          <w:rFonts w:ascii="Arial Black" w:hAnsi="Arial Black"/>
          <w:sz w:val="24"/>
          <w:szCs w:val="24"/>
        </w:rPr>
      </w:pPr>
      <w:r>
        <w:rPr>
          <w:rFonts w:ascii="Arial Black" w:hAnsi="Arial Black"/>
          <w:sz w:val="24"/>
          <w:szCs w:val="24"/>
        </w:rPr>
        <w:t>1-213</w:t>
      </w:r>
    </w:p>
    <w:p w14:paraId="5D6DE394" w14:textId="77777777" w:rsidR="001A609B" w:rsidRDefault="001A609B" w:rsidP="00822052">
      <w:pPr>
        <w:pStyle w:val="NoSpacing"/>
        <w:rPr>
          <w:rFonts w:ascii="Arial Black" w:hAnsi="Arial Black"/>
          <w:sz w:val="24"/>
          <w:szCs w:val="24"/>
        </w:rPr>
      </w:pPr>
    </w:p>
    <w:p w14:paraId="09B876B5" w14:textId="77777777" w:rsidR="001A609B" w:rsidRPr="00794D71" w:rsidRDefault="001A609B" w:rsidP="001A609B">
      <w:pPr>
        <w:pStyle w:val="NoSpacing"/>
        <w:rPr>
          <w:rFonts w:ascii="Arial Black" w:hAnsi="Arial Black"/>
          <w:sz w:val="28"/>
          <w:szCs w:val="28"/>
        </w:rPr>
      </w:pPr>
      <w:r>
        <w:rPr>
          <w:rFonts w:ascii="Arial Black" w:hAnsi="Arial Black"/>
          <w:sz w:val="28"/>
          <w:szCs w:val="28"/>
        </w:rPr>
        <w:t>OH: SOLAR PROJECT - 6,000 ACRES - NFPA  / FD EQUIP</w:t>
      </w:r>
    </w:p>
    <w:p w14:paraId="04AEBD4C" w14:textId="77777777" w:rsidR="001A609B" w:rsidRDefault="001A609B" w:rsidP="001A609B">
      <w:pPr>
        <w:pStyle w:val="NoSpacing"/>
      </w:pPr>
    </w:p>
    <w:p w14:paraId="3EA0C149" w14:textId="77777777" w:rsidR="001A609B" w:rsidRDefault="001A609B" w:rsidP="001A609B">
      <w:pPr>
        <w:pStyle w:val="NoSpacing"/>
      </w:pPr>
      <w:r>
        <w:t xml:space="preserve">On May 26, 2026, </w:t>
      </w:r>
      <w:proofErr w:type="gramStart"/>
      <w:r w:rsidRPr="002518AB">
        <w:rPr>
          <w:u w:val="single"/>
        </w:rPr>
        <w:t>In</w:t>
      </w:r>
      <w:proofErr w:type="gramEnd"/>
      <w:r w:rsidRPr="002518AB">
        <w:rPr>
          <w:u w:val="single"/>
        </w:rPr>
        <w:t xml:space="preserve"> re Application of Oak Run Solar Project, L.L.C.</w:t>
      </w:r>
      <w:r>
        <w:t xml:space="preserve">, the Ohio Supreme Court held (4 to 3) that the project may proceed, over the objections of 3 Townships and County, after the developers submit to the State Board photographic simulations or an artist’s pictorial sketches of the proposed facility substations. The Court, however, held that </w:t>
      </w:r>
      <w:r w:rsidRPr="00BB3C2C">
        <w:t xml:space="preserve">the safety-related details </w:t>
      </w:r>
      <w:r>
        <w:t xml:space="preserve">can be properly worked out </w:t>
      </w:r>
      <w:r w:rsidRPr="00BB3C2C">
        <w:t>in</w:t>
      </w:r>
      <w:r>
        <w:t xml:space="preserve"> the future prior to start of construction. THE COURT WROTE: “And there appears to be no dispute that there is no effective way to extinguish a lithium-ion-battery fire and that after a fire starts, the only recourse is to try to prevent the fire from spreading. In view of these risks, the local governments assert that the board should not have approved the project without requiring Oak Run to provide for measures to prevent the spread of fire and the release of fumes into the community and that the board should have been more thorough in evaluating the availability of water supplies to contain a fire once it starts…. </w:t>
      </w:r>
    </w:p>
    <w:p w14:paraId="3823DB98" w14:textId="77777777" w:rsidR="001A609B" w:rsidRPr="002518AB" w:rsidRDefault="001A609B" w:rsidP="001A609B">
      <w:pPr>
        <w:pStyle w:val="NoSpacing"/>
      </w:pPr>
      <w:r>
        <w:t xml:space="preserve">Oak Run will develop an emergency-services-and-response plan in consultation with local authorities, provide fire and emergency responders with training and proper firefighting equipment to enable them to respond to emergency situations…. We think the BESS’s [Battery Energy Storage System] ultimate compliance with the National Fire Protection Association’s Standard for the Installation of Stationary Energy Storage Systems is a better safeguard than this court’s collective armchair firefighting expertise.” </w:t>
      </w:r>
      <w:hyperlink r:id="rId31" w:history="1">
        <w:r w:rsidRPr="00910A6A">
          <w:rPr>
            <w:rStyle w:val="Hyperlink"/>
          </w:rPr>
          <w:t>https://www.supremecourt.ohio.gov/rod/docs/pdf/0/2026/2026-Ohio-1849.pdf</w:t>
        </w:r>
      </w:hyperlink>
      <w:r>
        <w:t xml:space="preserve"> </w:t>
      </w:r>
    </w:p>
    <w:p w14:paraId="52AC3A66" w14:textId="77777777" w:rsidR="001A609B" w:rsidRDefault="001A609B" w:rsidP="001A609B">
      <w:pPr>
        <w:pStyle w:val="NoSpacing"/>
      </w:pPr>
    </w:p>
    <w:p w14:paraId="34492F46" w14:textId="77777777" w:rsidR="001A609B" w:rsidRDefault="001A609B" w:rsidP="001A609B">
      <w:pPr>
        <w:pStyle w:val="NoSpacing"/>
      </w:pPr>
      <w:r>
        <w:t xml:space="preserve">THE COURT HELD:  </w:t>
      </w:r>
    </w:p>
    <w:p w14:paraId="76A7708F" w14:textId="77777777" w:rsidR="001A609B" w:rsidRDefault="001A609B" w:rsidP="001A609B">
      <w:pPr>
        <w:pStyle w:val="NoSpacing"/>
      </w:pPr>
    </w:p>
    <w:p w14:paraId="10961FE1" w14:textId="77777777" w:rsidR="001A609B" w:rsidRDefault="001A609B" w:rsidP="001A609B">
      <w:pPr>
        <w:pStyle w:val="NoSpacing"/>
        <w:ind w:left="720"/>
      </w:pPr>
      <w:r>
        <w:t xml:space="preserve">“The facility will sit on about 4,400 acres of privately owned land within an approximate 6,050-acre project area…. The facility will include an 800 megawatt (‘MW’) solar-powered electric-generating facility, a 300 MW alternating-current battery-energy storage system (‘BESS’) comprised of two 150 MW facilities, and two 3.45-mile-long transmission lines…. </w:t>
      </w:r>
      <w:r w:rsidRPr="00051AF3">
        <w:t>approximately 328 battery containers, along with 82 inverters and 82 transformers.</w:t>
      </w:r>
    </w:p>
    <w:p w14:paraId="6A51AD03" w14:textId="77777777" w:rsidR="001A609B" w:rsidRDefault="001A609B" w:rsidP="001A609B">
      <w:pPr>
        <w:pStyle w:val="NoSpacing"/>
        <w:ind w:left="720"/>
      </w:pPr>
    </w:p>
    <w:p w14:paraId="5A6747B8" w14:textId="77777777" w:rsidR="001A609B" w:rsidRDefault="001A609B" w:rsidP="001A609B">
      <w:pPr>
        <w:pStyle w:val="NoSpacing"/>
        <w:ind w:left="720"/>
      </w:pPr>
      <w:r>
        <w:t>***</w:t>
      </w:r>
    </w:p>
    <w:p w14:paraId="473752CF" w14:textId="77777777" w:rsidR="001A609B" w:rsidRDefault="001A609B" w:rsidP="001A609B">
      <w:pPr>
        <w:pStyle w:val="NoSpacing"/>
        <w:ind w:left="720"/>
      </w:pPr>
    </w:p>
    <w:p w14:paraId="3070976E" w14:textId="77777777" w:rsidR="001A609B" w:rsidRDefault="001A609B" w:rsidP="001A609B">
      <w:pPr>
        <w:pStyle w:val="NoSpacing"/>
        <w:ind w:left="720"/>
      </w:pPr>
      <w:r>
        <w:t>The BESS will conform to the National Fire Protection Association’s Standard for the Installation of Stationary Energy Storage Systems, and a fire-protection engineer will review the fire-protection design of the facility. Oak Run will develop an emergency-services-and-response plan in consultation with local authorities, provide fire and emergency responders with training and proper firefighting equipment to enable them to respond to emergency situations at the BESS, and collaborate with local authorities to ensure that sufficient water resources and a long-term water supply are available for any firefighting needs, in accordance with the applicable fire code.”</w:t>
      </w:r>
    </w:p>
    <w:p w14:paraId="6A6E34B2" w14:textId="77777777" w:rsidR="001A609B" w:rsidRDefault="001A609B" w:rsidP="001A609B">
      <w:pPr>
        <w:pStyle w:val="NoSpacing"/>
        <w:ind w:left="720"/>
      </w:pPr>
    </w:p>
    <w:p w14:paraId="20E8736C" w14:textId="77777777" w:rsidR="001A609B" w:rsidRPr="004256AB" w:rsidRDefault="001A609B" w:rsidP="001A609B">
      <w:pPr>
        <w:pStyle w:val="NoSpacing"/>
        <w:rPr>
          <w:b/>
          <w:bCs/>
        </w:rPr>
      </w:pPr>
      <w:r>
        <w:rPr>
          <w:b/>
        </w:rPr>
        <w:t xml:space="preserve">Legal lesson learned:  </w:t>
      </w:r>
      <w:r w:rsidRPr="004256AB">
        <w:rPr>
          <w:b/>
        </w:rPr>
        <w:t>No construction permit will be issued until “Oak Run develops an emergency-services-and-response plan in consultation with local authorities, provide fire and emergency responders with training and proper firefighting equipment to enable them to respond to emergency situations.”</w:t>
      </w:r>
    </w:p>
    <w:p w14:paraId="10A0B926" w14:textId="77777777" w:rsidR="001A609B" w:rsidRPr="004256AB" w:rsidRDefault="001A609B" w:rsidP="001A609B">
      <w:pPr>
        <w:pStyle w:val="NoSpacing"/>
        <w:rPr>
          <w:b/>
          <w:bCs/>
        </w:rPr>
      </w:pPr>
    </w:p>
    <w:p w14:paraId="00EBA227" w14:textId="77777777" w:rsidR="001A609B" w:rsidRDefault="001A609B" w:rsidP="001A609B">
      <w:pPr>
        <w:rPr>
          <w:b/>
        </w:rPr>
      </w:pPr>
    </w:p>
    <w:p w14:paraId="5497CD61" w14:textId="6DBC754D" w:rsidR="001A609B" w:rsidRDefault="001A609B" w:rsidP="001A609B">
      <w:pPr>
        <w:pStyle w:val="NoSpacing"/>
        <w:rPr>
          <w:rFonts w:ascii="Arial Black" w:hAnsi="Arial Black"/>
          <w:sz w:val="24"/>
          <w:szCs w:val="24"/>
        </w:rPr>
      </w:pPr>
      <w:r>
        <w:rPr>
          <w:rFonts w:ascii="Arial Black" w:hAnsi="Arial Black"/>
          <w:sz w:val="24"/>
          <w:szCs w:val="24"/>
        </w:rPr>
        <w:t>1-212</w:t>
      </w:r>
    </w:p>
    <w:p w14:paraId="2BF56490" w14:textId="77777777" w:rsidR="001A609B" w:rsidRDefault="001A609B" w:rsidP="001A609B">
      <w:pPr>
        <w:pStyle w:val="NoSpacing"/>
        <w:rPr>
          <w:rFonts w:ascii="Arial Black" w:hAnsi="Arial Black"/>
          <w:sz w:val="24"/>
          <w:szCs w:val="24"/>
        </w:rPr>
      </w:pPr>
    </w:p>
    <w:p w14:paraId="3E5145ED" w14:textId="77777777" w:rsidR="001A609B" w:rsidRPr="00B23131" w:rsidRDefault="001A609B" w:rsidP="001A609B">
      <w:pPr>
        <w:rPr>
          <w:rFonts w:ascii="Arial Black" w:hAnsi="Arial Black"/>
          <w:b/>
          <w:sz w:val="28"/>
          <w:szCs w:val="28"/>
        </w:rPr>
      </w:pPr>
      <w:r>
        <w:rPr>
          <w:rFonts w:ascii="Arial Black" w:hAnsi="Arial Black"/>
          <w:b/>
          <w:sz w:val="28"/>
          <w:szCs w:val="28"/>
        </w:rPr>
        <w:t>NC: OUTER BANKS - LODGING TAXES / PAID FIRE DEPT</w:t>
      </w:r>
    </w:p>
    <w:p w14:paraId="4EF46FC3" w14:textId="77777777" w:rsidR="001A609B" w:rsidRPr="001E0FF3" w:rsidRDefault="001A609B" w:rsidP="001A609B">
      <w:pPr>
        <w:rPr>
          <w:bCs/>
        </w:rPr>
      </w:pPr>
      <w:r>
        <w:lastRenderedPageBreak/>
        <w:t xml:space="preserve">On May 22, 2026, in </w:t>
      </w:r>
      <w:r w:rsidRPr="00D40D8E">
        <w:rPr>
          <w:u w:val="single"/>
        </w:rPr>
        <w:t>Gerald Constanzo, et al. v. Currituck County North Carolina, et al</w:t>
      </w:r>
      <w:r>
        <w:t xml:space="preserve">, the Supreme Court of North Carolina held (7 to 0) that hotel room occupancy tax revenues, which North Carolina legislature restricts spending only on </w:t>
      </w:r>
      <w:r w:rsidRPr="00E07697">
        <w:t>“</w:t>
      </w:r>
      <w:proofErr w:type="spellStart"/>
      <w:r w:rsidRPr="00E07697">
        <w:t>promot</w:t>
      </w:r>
      <w:proofErr w:type="spellEnd"/>
      <w:r w:rsidRPr="00E07697">
        <w:t>[</w:t>
      </w:r>
      <w:proofErr w:type="spellStart"/>
      <w:r w:rsidRPr="00E07697">
        <w:t>ing</w:t>
      </w:r>
      <w:proofErr w:type="spellEnd"/>
      <w:r w:rsidRPr="00E07697">
        <w:t>] travel and</w:t>
      </w:r>
      <w:r>
        <w:t xml:space="preserve"> </w:t>
      </w:r>
      <w:r w:rsidRPr="00E07697">
        <w:t>tourism” as well as “tourism-related expenditures</w:t>
      </w:r>
      <w:r>
        <w:t xml:space="preserve">,” can be spent on improving public safety services for heavily: “For several annual budget cycles, the County, through the Board of Commissioners, has expended occupancy tax revenues on various public safety services. These costs included law enforcement personnel and equipment, emergency medical services personnel, a paid fire district (instead of an all-volunteer fire response service), beach lifeguards, and repairing and maintaining coastal roads…. The County could––and here, did–– reasonably conclude that the challenged public safety spending is tourism-related because tourists are not likely to visit Currituck if they believe it is unsafe and because substantial tourism-related population changes greatly increase the demand for public safety services in the area and at a year-round cost.” </w:t>
      </w:r>
      <w:hyperlink r:id="rId32" w:history="1">
        <w:r w:rsidRPr="001E0FF3">
          <w:rPr>
            <w:rStyle w:val="Hyperlink"/>
          </w:rPr>
          <w:t>https://cases.justia.com/north-carolina/supreme-court/2026-101pa24.pdf?ts=1779464497</w:t>
        </w:r>
      </w:hyperlink>
      <w:r w:rsidRPr="001E0FF3">
        <w:t xml:space="preserve"> </w:t>
      </w:r>
    </w:p>
    <w:p w14:paraId="12705D71" w14:textId="77777777" w:rsidR="001A609B" w:rsidRDefault="001A609B" w:rsidP="001A609B">
      <w:pPr>
        <w:pStyle w:val="NoSpacing"/>
      </w:pPr>
    </w:p>
    <w:p w14:paraId="7BBD641B" w14:textId="77777777" w:rsidR="001A609B" w:rsidRDefault="001A609B" w:rsidP="001A609B">
      <w:pPr>
        <w:pStyle w:val="NoSpacing"/>
      </w:pPr>
      <w:r>
        <w:t>THE COURT HELD:</w:t>
      </w:r>
    </w:p>
    <w:p w14:paraId="2BB65885" w14:textId="77777777" w:rsidR="001A609B" w:rsidRDefault="001A609B" w:rsidP="001A609B">
      <w:pPr>
        <w:pStyle w:val="NoSpacing"/>
      </w:pPr>
    </w:p>
    <w:p w14:paraId="0D6EB1C6" w14:textId="77777777" w:rsidR="001A609B" w:rsidRDefault="001A609B" w:rsidP="001A609B">
      <w:pPr>
        <w:pStyle w:val="NoSpacing"/>
        <w:ind w:left="720"/>
      </w:pPr>
      <w:r>
        <w:t>“Defendant Currituck County, through its Board of Commissioners, decided to spend occupancy tax revenues on certain public safety services—including law enforcement, emergency medical services, and fire response, predominately tied to the heavily touristed beach destination of Corolla along the northern Outer Banks. In the Commission’s view, these expenditures are tourism-related because Currituck County’s population doubles during peak season and the County incurs substantial year-round costs to provide adequate public safety services during that period. The Commissioners believe that tourists and business travelers visit the County because it has a reputation for being safe and family-friendly and that tourists would be deterred from visiting the County if it were unable to provide sufficient police, fire, and emergency response services to protect them during their visit.</w:t>
      </w:r>
    </w:p>
    <w:p w14:paraId="6AA6A908" w14:textId="77777777" w:rsidR="001A609B" w:rsidRDefault="001A609B" w:rsidP="001A609B">
      <w:pPr>
        <w:pStyle w:val="NoSpacing"/>
      </w:pPr>
    </w:p>
    <w:p w14:paraId="16AF8947" w14:textId="77777777" w:rsidR="001A609B" w:rsidRDefault="001A609B" w:rsidP="001A609B">
      <w:pPr>
        <w:pStyle w:val="NoSpacing"/>
        <w:ind w:left="720"/>
      </w:pPr>
      <w:r>
        <w:t>***</w:t>
      </w:r>
    </w:p>
    <w:p w14:paraId="67321573" w14:textId="77777777" w:rsidR="001A609B" w:rsidRDefault="001A609B" w:rsidP="001A609B">
      <w:pPr>
        <w:pStyle w:val="NoSpacing"/>
        <w:ind w:left="720"/>
      </w:pPr>
    </w:p>
    <w:p w14:paraId="076DC083" w14:textId="77777777" w:rsidR="001A609B" w:rsidRDefault="001A609B" w:rsidP="001A609B">
      <w:pPr>
        <w:pStyle w:val="NoSpacing"/>
        <w:ind w:left="720"/>
      </w:pPr>
      <w:r>
        <w:t xml:space="preserve">Plaintiffs are [hotel and other ] property owners who collect and remit occupancy tax proceeds to Currituck County and a civic association whose members include other such property owners (collectively, the property owners)…. They sought a declaratory judgment to that effect and an injunction prohibiting the County from making such expenditures…. They argue that the definition of ‘tourism-related </w:t>
      </w:r>
      <w:proofErr w:type="gramStart"/>
      <w:r>
        <w:t>expenditures’</w:t>
      </w:r>
      <w:proofErr w:type="gramEnd"/>
      <w:r>
        <w:t xml:space="preserve"> encompasses only literal tourist attractions, such as Beaufort’s pirate invasion weekend, Morehead City’s Big Rock fishing tournament, Kitty Hawk’s aviation history museum, and Carolina Beach’s beach music festival.</w:t>
      </w:r>
    </w:p>
    <w:p w14:paraId="187F0C01" w14:textId="77777777" w:rsidR="001A609B" w:rsidRDefault="001A609B" w:rsidP="001A609B">
      <w:pPr>
        <w:pStyle w:val="NoSpacing"/>
        <w:ind w:left="720"/>
      </w:pPr>
    </w:p>
    <w:p w14:paraId="5CFC2E7F" w14:textId="77777777" w:rsidR="001A609B" w:rsidRDefault="001A609B" w:rsidP="001A609B">
      <w:pPr>
        <w:pStyle w:val="NoSpacing"/>
        <w:ind w:left="720"/>
      </w:pPr>
      <w:r>
        <w:t>***</w:t>
      </w:r>
    </w:p>
    <w:p w14:paraId="51909773" w14:textId="77777777" w:rsidR="001A609B" w:rsidRDefault="001A609B" w:rsidP="001A609B">
      <w:pPr>
        <w:pStyle w:val="NoSpacing"/>
        <w:ind w:left="720"/>
      </w:pPr>
      <w:r>
        <w:t>Protecting public safety is among the most important responsibilities North</w:t>
      </w:r>
    </w:p>
    <w:p w14:paraId="330F0466" w14:textId="77777777" w:rsidR="001A609B" w:rsidRDefault="001A609B" w:rsidP="001A609B">
      <w:pPr>
        <w:pStyle w:val="NoSpacing"/>
        <w:ind w:left="720"/>
      </w:pPr>
      <w:r>
        <w:t xml:space="preserve">Carolinians </w:t>
      </w:r>
      <w:proofErr w:type="gramStart"/>
      <w:r>
        <w:t>entrust</w:t>
      </w:r>
      <w:proofErr w:type="gramEnd"/>
      <w:r>
        <w:t xml:space="preserve"> to their democratically elected officials. Doing so while promoting</w:t>
      </w:r>
    </w:p>
    <w:p w14:paraId="62288CED" w14:textId="77777777" w:rsidR="001A609B" w:rsidRDefault="001A609B" w:rsidP="001A609B">
      <w:pPr>
        <w:pStyle w:val="NoSpacing"/>
        <w:ind w:left="720"/>
      </w:pPr>
      <w:r>
        <w:t>economic growth and fairly allocating the tax burden across the community is an</w:t>
      </w:r>
    </w:p>
    <w:p w14:paraId="48B35210" w14:textId="77777777" w:rsidR="001A609B" w:rsidRDefault="001A609B" w:rsidP="001A609B">
      <w:pPr>
        <w:pStyle w:val="NoSpacing"/>
        <w:ind w:left="720"/>
      </w:pPr>
      <w:r>
        <w:t>ongoing challenge for many elected officials.</w:t>
      </w:r>
    </w:p>
    <w:p w14:paraId="22601438" w14:textId="77777777" w:rsidR="001A609B" w:rsidRDefault="001A609B" w:rsidP="001A609B">
      <w:pPr>
        <w:pStyle w:val="NoSpacing"/>
        <w:ind w:left="720"/>
      </w:pPr>
    </w:p>
    <w:p w14:paraId="5AF46B1B" w14:textId="77777777" w:rsidR="001A609B" w:rsidRDefault="001A609B" w:rsidP="001A609B">
      <w:pPr>
        <w:pStyle w:val="NoSpacing"/>
        <w:ind w:left="720"/>
      </w:pPr>
      <w:r>
        <w:t>***</w:t>
      </w:r>
    </w:p>
    <w:p w14:paraId="6DBDBE93" w14:textId="77777777" w:rsidR="001A609B" w:rsidRDefault="001A609B" w:rsidP="001A609B">
      <w:pPr>
        <w:pStyle w:val="NoSpacing"/>
        <w:ind w:left="720"/>
      </w:pPr>
      <w:r>
        <w:t>Existing services were also, in the Commissioners’ view, insufficient to support</w:t>
      </w:r>
    </w:p>
    <w:p w14:paraId="23451074" w14:textId="77777777" w:rsidR="001A609B" w:rsidRDefault="001A609B" w:rsidP="001A609B">
      <w:pPr>
        <w:pStyle w:val="NoSpacing"/>
        <w:ind w:left="720"/>
      </w:pPr>
      <w:r>
        <w:t>the tourist population. Again, the County’s 28,000 year-round population doubles to</w:t>
      </w:r>
    </w:p>
    <w:p w14:paraId="2B950024" w14:textId="77777777" w:rsidR="001A609B" w:rsidRDefault="001A609B" w:rsidP="001A609B">
      <w:pPr>
        <w:pStyle w:val="NoSpacing"/>
        <w:ind w:left="720"/>
      </w:pPr>
      <w:r>
        <w:t xml:space="preserve">about 60,000 during tourist season when most tourists flock to Corolla. Commissioners testified that protecting the tourist population requires significantly more public safety personnel than the County would have otherwise. More people means a greater risk of accidents, drownings, </w:t>
      </w:r>
      <w:proofErr w:type="spellStart"/>
      <w:r>
        <w:t>heatstrokes</w:t>
      </w:r>
      <w:proofErr w:type="spellEnd"/>
      <w:r>
        <w:t xml:space="preserve">, physical altercations, and other safety risks. As one commissioner put it, ‘[W]e </w:t>
      </w:r>
      <w:proofErr w:type="gramStart"/>
      <w:r>
        <w:t>have</w:t>
      </w:r>
      <w:proofErr w:type="gramEnd"/>
      <w:r>
        <w:t xml:space="preserve"> to have more [s]</w:t>
      </w:r>
      <w:proofErr w:type="spellStart"/>
      <w:r>
        <w:t>heriffs</w:t>
      </w:r>
      <w:proofErr w:type="spellEnd"/>
      <w:r>
        <w:t xml:space="preserve"> or EMS because of the influx of the tourists on our county.’”</w:t>
      </w:r>
    </w:p>
    <w:p w14:paraId="0E33424B" w14:textId="77777777" w:rsidR="001A609B" w:rsidRDefault="001A609B" w:rsidP="001A609B">
      <w:pPr>
        <w:pStyle w:val="NoSpacing"/>
        <w:ind w:left="720"/>
      </w:pPr>
    </w:p>
    <w:p w14:paraId="5F82E939" w14:textId="77777777" w:rsidR="001A609B" w:rsidRPr="007F1EB4" w:rsidRDefault="001A609B" w:rsidP="001A609B">
      <w:pPr>
        <w:pStyle w:val="NoSpacing"/>
        <w:rPr>
          <w:b/>
          <w:bCs/>
        </w:rPr>
      </w:pPr>
      <w:r>
        <w:rPr>
          <w:b/>
        </w:rPr>
        <w:t>Legal lesson learned: Tax dollars to support paid FD; public safety is “among the most important responsibilities.”</w:t>
      </w:r>
    </w:p>
    <w:p w14:paraId="3C3A0F77" w14:textId="77777777" w:rsidR="001A609B" w:rsidRDefault="001A609B" w:rsidP="001A609B">
      <w:pPr>
        <w:pStyle w:val="NoSpacing"/>
        <w:ind w:left="720"/>
      </w:pPr>
    </w:p>
    <w:p w14:paraId="1A702751" w14:textId="77777777" w:rsidR="001A609B" w:rsidRDefault="001A609B" w:rsidP="001A609B">
      <w:pPr>
        <w:pStyle w:val="NoSpacing"/>
      </w:pPr>
    </w:p>
    <w:p w14:paraId="5BA11528" w14:textId="77777777" w:rsidR="001A609B" w:rsidRPr="0034646D" w:rsidRDefault="001A609B" w:rsidP="001A609B">
      <w:pPr>
        <w:pStyle w:val="NoSpacing"/>
        <w:rPr>
          <w:sz w:val="20"/>
          <w:szCs w:val="20"/>
        </w:rPr>
      </w:pPr>
    </w:p>
    <w:p w14:paraId="51BB3C12" w14:textId="00BFE299" w:rsidR="001A609B" w:rsidRDefault="001A609B" w:rsidP="001A609B">
      <w:pPr>
        <w:pStyle w:val="NoSpacing"/>
        <w:rPr>
          <w:rFonts w:ascii="Arial Black" w:hAnsi="Arial Black"/>
          <w:sz w:val="24"/>
          <w:szCs w:val="24"/>
        </w:rPr>
      </w:pPr>
      <w:r>
        <w:rPr>
          <w:rFonts w:ascii="Arial Black" w:hAnsi="Arial Black"/>
          <w:sz w:val="24"/>
          <w:szCs w:val="24"/>
        </w:rPr>
        <w:t>1-211</w:t>
      </w:r>
    </w:p>
    <w:p w14:paraId="1D77B67F" w14:textId="77777777" w:rsidR="001A609B" w:rsidRDefault="001A609B" w:rsidP="001A609B">
      <w:pPr>
        <w:pStyle w:val="NoSpacing"/>
        <w:rPr>
          <w:rFonts w:ascii="Arial Black" w:hAnsi="Arial Black"/>
          <w:sz w:val="24"/>
          <w:szCs w:val="24"/>
        </w:rPr>
      </w:pPr>
    </w:p>
    <w:p w14:paraId="48AFE425" w14:textId="77777777" w:rsidR="001A609B" w:rsidRPr="00C45381" w:rsidRDefault="001A609B" w:rsidP="001A609B">
      <w:pPr>
        <w:pStyle w:val="NoSpacing"/>
        <w:rPr>
          <w:rFonts w:ascii="Arial Black" w:hAnsi="Arial Black"/>
          <w:sz w:val="28"/>
          <w:szCs w:val="28"/>
        </w:rPr>
      </w:pPr>
      <w:r>
        <w:rPr>
          <w:rFonts w:ascii="Arial Black" w:hAnsi="Arial Black"/>
          <w:sz w:val="28"/>
          <w:szCs w:val="28"/>
        </w:rPr>
        <w:t xml:space="preserve">OH: FIRE / PUSHED FF, THEN CALLED 911 – PROB CAUSE </w:t>
      </w:r>
    </w:p>
    <w:p w14:paraId="1ED0413A" w14:textId="77777777" w:rsidR="001A609B" w:rsidRDefault="001A609B" w:rsidP="001A609B">
      <w:pPr>
        <w:pStyle w:val="NoSpacing"/>
      </w:pPr>
    </w:p>
    <w:p w14:paraId="3663031F" w14:textId="77777777" w:rsidR="001A609B" w:rsidRPr="00887917" w:rsidRDefault="001A609B" w:rsidP="001A609B">
      <w:pPr>
        <w:pStyle w:val="NoSpacing"/>
      </w:pPr>
      <w:r>
        <w:t xml:space="preserve">On May 20, 2026, in </w:t>
      </w:r>
      <w:r w:rsidRPr="00EE3149">
        <w:rPr>
          <w:u w:val="single"/>
        </w:rPr>
        <w:t>Paula Willey v. Springfield Township, et al</w:t>
      </w:r>
      <w:r>
        <w:t xml:space="preserve">., the </w:t>
      </w:r>
      <w:r w:rsidRPr="00EE3149">
        <w:t>Court of Appeals of Ohio, Ninth District, Summit</w:t>
      </w:r>
      <w:r>
        <w:t xml:space="preserve"> County, held (3 to 0) that trial court properly granted summary judgment to police and firefighters; there was probable cause to arrest </w:t>
      </w:r>
      <w:r w:rsidRPr="00FF3169">
        <w:t>Willey</w:t>
      </w:r>
      <w:r>
        <w:t xml:space="preserve"> w</w:t>
      </w:r>
      <w:r w:rsidRPr="00FF3169">
        <w:t>ith misconduct at an emergency in violation of R.C. 2917.13, making</w:t>
      </w:r>
      <w:r>
        <w:t xml:space="preserve"> </w:t>
      </w:r>
      <w:r w:rsidRPr="00FF3169">
        <w:t>false alarms in violation of R.C. 2917.32, and disorderly conduct in violation of R.C. 2917.11</w:t>
      </w:r>
      <w:r>
        <w:t>, even though the c</w:t>
      </w:r>
      <w:r w:rsidRPr="00FF3169">
        <w:t>harges were dismissed several months later.</w:t>
      </w:r>
      <w:r>
        <w:t xml:space="preserve">  THE COURT WROTE: “</w:t>
      </w:r>
      <w:r w:rsidRPr="00887917">
        <w:t xml:space="preserve">Willey failed to point to any evidence suggesting the police officers did not have probable cause to arrest her for misconduct at an emergency, making false alarms, and disorderly conduct. Willey did not dispute that several witnesses informed officers that Willey was yelling and screaming at firefighters, had </w:t>
      </w:r>
      <w:r>
        <w:t>‘</w:t>
      </w:r>
      <w:r w:rsidRPr="00887917">
        <w:t>put hands on the firefighter,</w:t>
      </w:r>
      <w:r>
        <w:t>’</w:t>
      </w:r>
      <w:r w:rsidRPr="00887917">
        <w:t xml:space="preserve"> and had pushed him twice while he was on duty at the scene of a fire. Sergeant London testified that Chief </w:t>
      </w:r>
      <w:proofErr w:type="spellStart"/>
      <w:r w:rsidRPr="00887917">
        <w:t>Wincik</w:t>
      </w:r>
      <w:proofErr w:type="spellEnd"/>
      <w:r w:rsidRPr="00887917">
        <w:t xml:space="preserve"> had informed him the fire department was leaving the scene due to an altercation which involved Willey. Both Sergeant London and Officer Chapman testified Willey consistently yelled at them despite being asked to lower her voice and remain calm. Willey did not point to any evidence to dispute this testimony. Finally, Willey did not testify that she called 9-1-1 to report an emergency. Rather, she testified she called 9-1-1 for the purpose of speaking to the officer's supervisor despite having been informed that a supervisor was not </w:t>
      </w:r>
      <w:proofErr w:type="gramStart"/>
      <w:r w:rsidRPr="00887917">
        <w:t>available.</w:t>
      </w:r>
      <w:r>
        <w:t>”</w:t>
      </w:r>
      <w:proofErr w:type="gramEnd"/>
      <w:r>
        <w:t xml:space="preserve">  </w:t>
      </w:r>
      <w:hyperlink r:id="rId33" w:history="1">
        <w:r w:rsidRPr="006E380B">
          <w:rPr>
            <w:rStyle w:val="Hyperlink"/>
          </w:rPr>
          <w:t>https://www.supremecourt.ohio.gov/rod/docs/pdf/9/2026/2026-Ohio-1842.pdf</w:t>
        </w:r>
      </w:hyperlink>
      <w:r>
        <w:t xml:space="preserve"> </w:t>
      </w:r>
    </w:p>
    <w:p w14:paraId="0F7B86D2" w14:textId="77777777" w:rsidR="001A609B" w:rsidRPr="00EE3149" w:rsidRDefault="001A609B" w:rsidP="001A609B">
      <w:pPr>
        <w:rPr>
          <w:bCs/>
        </w:rPr>
      </w:pPr>
    </w:p>
    <w:p w14:paraId="10EFCF81" w14:textId="77777777" w:rsidR="001A609B" w:rsidRDefault="001A609B" w:rsidP="001A609B">
      <w:pPr>
        <w:pStyle w:val="NoSpacing"/>
      </w:pPr>
      <w:r>
        <w:t>THE COURT HELD:</w:t>
      </w:r>
    </w:p>
    <w:p w14:paraId="5AF83797" w14:textId="77777777" w:rsidR="001A609B" w:rsidRDefault="001A609B" w:rsidP="001A609B">
      <w:pPr>
        <w:pStyle w:val="NoSpacing"/>
      </w:pPr>
    </w:p>
    <w:p w14:paraId="7F7990BD" w14:textId="77777777" w:rsidR="001A609B" w:rsidRDefault="001A609B" w:rsidP="001A609B">
      <w:pPr>
        <w:pStyle w:val="NoSpacing"/>
        <w:ind w:firstLine="720"/>
      </w:pPr>
      <w:r>
        <w:t>“In the early evening hours of June 22, 2022, a fire started at the primary residence.</w:t>
      </w:r>
    </w:p>
    <w:p w14:paraId="75B2B0A5" w14:textId="77777777" w:rsidR="001A609B" w:rsidRDefault="001A609B" w:rsidP="001A609B">
      <w:pPr>
        <w:pStyle w:val="NoSpacing"/>
        <w:ind w:left="720"/>
      </w:pPr>
      <w:r>
        <w:t>[</w:t>
      </w:r>
      <w:r w:rsidRPr="0074665F">
        <w:t>Leann</w:t>
      </w:r>
      <w:r>
        <w:t>] Burks was at home with her three children, five dogs, and three cats. The Springfield Township Fire Department responded. The home was a total loss…. Willey, Burks’ mother, resided in a separate structure on the property, identified by the parties as</w:t>
      </w:r>
    </w:p>
    <w:p w14:paraId="632FB23C" w14:textId="77777777" w:rsidR="001A609B" w:rsidRDefault="001A609B" w:rsidP="001A609B">
      <w:pPr>
        <w:pStyle w:val="NoSpacing"/>
        <w:ind w:left="720"/>
      </w:pPr>
      <w:r>
        <w:t xml:space="preserve">a mother-in-law suite…. </w:t>
      </w:r>
    </w:p>
    <w:p w14:paraId="37D59139" w14:textId="77777777" w:rsidR="001A609B" w:rsidRDefault="001A609B" w:rsidP="001A609B">
      <w:pPr>
        <w:pStyle w:val="NoSpacing"/>
        <w:ind w:left="720"/>
      </w:pPr>
    </w:p>
    <w:p w14:paraId="173100FD" w14:textId="77777777" w:rsidR="001A609B" w:rsidRDefault="001A609B" w:rsidP="001A609B">
      <w:pPr>
        <w:pStyle w:val="NoSpacing"/>
        <w:ind w:left="720"/>
      </w:pPr>
      <w:r>
        <w:t>***</w:t>
      </w:r>
    </w:p>
    <w:p w14:paraId="4DFFB61D" w14:textId="77777777" w:rsidR="001A609B" w:rsidRDefault="001A609B" w:rsidP="001A609B">
      <w:pPr>
        <w:pStyle w:val="NoSpacing"/>
        <w:ind w:left="720"/>
      </w:pPr>
    </w:p>
    <w:p w14:paraId="65FA45F5" w14:textId="77777777" w:rsidR="001A609B" w:rsidRDefault="001A609B" w:rsidP="001A609B">
      <w:pPr>
        <w:pStyle w:val="NoSpacing"/>
        <w:ind w:left="720"/>
      </w:pPr>
      <w:r>
        <w:t>Although Willey was advised of the fire, she did not arrive at the property until</w:t>
      </w:r>
    </w:p>
    <w:p w14:paraId="4D5AB686" w14:textId="77777777" w:rsidR="001A609B" w:rsidRDefault="001A609B" w:rsidP="001A609B">
      <w:pPr>
        <w:pStyle w:val="NoSpacing"/>
        <w:ind w:left="720"/>
      </w:pPr>
      <w:r>
        <w:t>around 12:30 a.m. Nonetheless, firefighters were still on scene addressing the fire. After Willey arrived, an altercation occurred between Willey and Burks, [</w:t>
      </w:r>
      <w:r w:rsidRPr="00B41493">
        <w:t>Chase</w:t>
      </w:r>
      <w:r>
        <w:t xml:space="preserve">]Whipp, </w:t>
      </w:r>
      <w:proofErr w:type="gramStart"/>
      <w:r>
        <w:t>a number of</w:t>
      </w:r>
      <w:proofErr w:type="gramEnd"/>
      <w:r>
        <w:t xml:space="preserve"> Burks’ friends (Burrell, Abigail Christian, and David Christian), and a firefighter.</w:t>
      </w:r>
    </w:p>
    <w:p w14:paraId="2C190973" w14:textId="77777777" w:rsidR="001A609B" w:rsidRDefault="001A609B" w:rsidP="001A609B">
      <w:pPr>
        <w:pStyle w:val="NoSpacing"/>
        <w:ind w:left="720"/>
      </w:pPr>
    </w:p>
    <w:p w14:paraId="578C414A" w14:textId="77777777" w:rsidR="001A609B" w:rsidRDefault="001A609B" w:rsidP="001A609B">
      <w:pPr>
        <w:pStyle w:val="NoSpacing"/>
        <w:ind w:left="720"/>
      </w:pPr>
      <w:r>
        <w:t>***</w:t>
      </w:r>
    </w:p>
    <w:p w14:paraId="3AB19CC8" w14:textId="77777777" w:rsidR="001A609B" w:rsidRDefault="001A609B" w:rsidP="001A609B">
      <w:pPr>
        <w:pStyle w:val="NoSpacing"/>
        <w:ind w:left="720"/>
      </w:pPr>
    </w:p>
    <w:p w14:paraId="4AD889E2" w14:textId="77777777" w:rsidR="001A609B" w:rsidRDefault="001A609B" w:rsidP="001A609B">
      <w:pPr>
        <w:pStyle w:val="NoSpacing"/>
        <w:ind w:left="720"/>
      </w:pPr>
      <w:r w:rsidRPr="009F4D15">
        <w:t xml:space="preserve">Sergeant London </w:t>
      </w:r>
      <w:proofErr w:type="gramStart"/>
      <w:r w:rsidRPr="009F4D15">
        <w:t>testified</w:t>
      </w:r>
      <w:proofErr w:type="gramEnd"/>
      <w:r w:rsidRPr="009F4D15">
        <w:t xml:space="preserve"> Willey appeared </w:t>
      </w:r>
      <w:r>
        <w:t>‘</w:t>
      </w:r>
      <w:r w:rsidRPr="009F4D15">
        <w:t>pretty intoxicated[.]</w:t>
      </w:r>
      <w:r>
        <w:t>’</w:t>
      </w:r>
      <w:r w:rsidRPr="009F4D15">
        <w:t xml:space="preserve"> He stated he smelled the odor of alcoholic beverage come from Willey's person and that she displayed irrational behavior, was argumentative, and had a hard time following directions. Officer Chapman also testified that he smelled an odor of alcohol. </w:t>
      </w:r>
    </w:p>
    <w:p w14:paraId="702E8C26" w14:textId="77777777" w:rsidR="001A609B" w:rsidRDefault="001A609B" w:rsidP="001A609B">
      <w:pPr>
        <w:pStyle w:val="NoSpacing"/>
        <w:ind w:left="720"/>
      </w:pPr>
    </w:p>
    <w:p w14:paraId="44C380F8" w14:textId="77777777" w:rsidR="001A609B" w:rsidRDefault="001A609B" w:rsidP="001A609B">
      <w:pPr>
        <w:pStyle w:val="NoSpacing"/>
        <w:ind w:left="720"/>
      </w:pPr>
      <w:r>
        <w:t>***</w:t>
      </w:r>
    </w:p>
    <w:p w14:paraId="1B378AFB" w14:textId="77777777" w:rsidR="001A609B" w:rsidRDefault="001A609B" w:rsidP="001A609B">
      <w:pPr>
        <w:pStyle w:val="NoSpacing"/>
        <w:ind w:left="720"/>
      </w:pPr>
      <w:r w:rsidRPr="00F5741C">
        <w:t xml:space="preserve">Both Sergeant London and Officer Chapman testified that Willey called 9-1-1 and requested other officers to come to the scene while they were talking to her. A review of the officers' body camera footage shows officers had been on the scene for more than forty-five minutes and had already taken Willey's witness statement before Willey made the call. Sergeant London testified he told Willey to hang up the phone and then placed her in handcuffs and arrested her for misuse of 9-1-1 for reporting an emergency. Officer Chapman also testified that Willey was charged with misuse of 9-1-1 due to calling the emergency line while the officers were already on scene. Sergeant London </w:t>
      </w:r>
      <w:proofErr w:type="gramStart"/>
      <w:r w:rsidRPr="00F5741C">
        <w:t>testified</w:t>
      </w:r>
      <w:proofErr w:type="gramEnd"/>
      <w:r w:rsidRPr="00F5741C">
        <w:t xml:space="preserve"> Willey was arrested for disorderly conduct for </w:t>
      </w:r>
      <w:r>
        <w:t>‘</w:t>
      </w:r>
      <w:r w:rsidRPr="00F5741C">
        <w:t>raising her voice causing an annoyance alarm at the emergency scene.</w:t>
      </w:r>
      <w:r>
        <w:t>’</w:t>
      </w:r>
      <w:r w:rsidRPr="00F5741C">
        <w:t xml:space="preserve"> He stated she was arrested for misconduct at emergency because </w:t>
      </w:r>
      <w:r>
        <w:t>‘</w:t>
      </w:r>
      <w:r w:rsidRPr="00F5741C">
        <w:t xml:space="preserve">Firefighters were doing their </w:t>
      </w:r>
      <w:proofErr w:type="gramStart"/>
      <w:r w:rsidRPr="00F5741C">
        <w:t>job</w:t>
      </w:r>
      <w:proofErr w:type="gramEnd"/>
      <w:r w:rsidRPr="00F5741C">
        <w:t xml:space="preserve"> and they were leaving because of her conduct.</w:t>
      </w:r>
      <w:r>
        <w:t>’</w:t>
      </w:r>
      <w:r w:rsidRPr="00F5741C">
        <w:t xml:space="preserve"> Sergeant London testified he </w:t>
      </w:r>
      <w:r w:rsidRPr="00F5741C">
        <w:lastRenderedPageBreak/>
        <w:t>did not know when or why the charges were dismissed. Officer Chapman testified he did not know why the charges were dismissed.</w:t>
      </w:r>
      <w:r>
        <w:t>”</w:t>
      </w:r>
    </w:p>
    <w:p w14:paraId="3CDB6D57" w14:textId="77777777" w:rsidR="001A609B" w:rsidRDefault="001A609B" w:rsidP="001A609B">
      <w:pPr>
        <w:pStyle w:val="NoSpacing"/>
        <w:ind w:left="720"/>
      </w:pPr>
    </w:p>
    <w:p w14:paraId="48FE7840" w14:textId="77777777" w:rsidR="001A609B" w:rsidRDefault="001A609B" w:rsidP="001A609B">
      <w:pPr>
        <w:pStyle w:val="NoSpacing"/>
        <w:rPr>
          <w:b/>
          <w:bCs/>
        </w:rPr>
      </w:pPr>
      <w:r>
        <w:rPr>
          <w:b/>
        </w:rPr>
        <w:t xml:space="preserve">Legal lesson learned: </w:t>
      </w:r>
      <w:r w:rsidRPr="00D51D58">
        <w:rPr>
          <w:b/>
        </w:rPr>
        <w:t>There was probable cause to arrest Willey with misconduct at an emergency, making false alarms, and disorderly conduct</w:t>
      </w:r>
      <w:r>
        <w:rPr>
          <w:b/>
        </w:rPr>
        <w:t xml:space="preserve">; </w:t>
      </w:r>
      <w:r w:rsidRPr="00D51D58">
        <w:rPr>
          <w:b/>
        </w:rPr>
        <w:t>even if charges later dropped by prosecutor.</w:t>
      </w:r>
      <w:r>
        <w:t xml:space="preserve"> </w:t>
      </w:r>
    </w:p>
    <w:p w14:paraId="6557FA54" w14:textId="77777777" w:rsidR="001A609B" w:rsidRDefault="001A609B" w:rsidP="001A609B"/>
    <w:p w14:paraId="6048E2E2" w14:textId="3DDA3293" w:rsidR="001A609B" w:rsidRDefault="001A609B" w:rsidP="001A609B">
      <w:pPr>
        <w:pStyle w:val="NoSpacing"/>
        <w:rPr>
          <w:rFonts w:ascii="Arial Black" w:hAnsi="Arial Black"/>
          <w:sz w:val="24"/>
          <w:szCs w:val="24"/>
        </w:rPr>
      </w:pPr>
      <w:r>
        <w:rPr>
          <w:rFonts w:ascii="Arial Black" w:hAnsi="Arial Black"/>
          <w:sz w:val="24"/>
          <w:szCs w:val="24"/>
        </w:rPr>
        <w:t>1-210</w:t>
      </w:r>
    </w:p>
    <w:p w14:paraId="26642001" w14:textId="77777777" w:rsidR="001A609B" w:rsidRDefault="001A609B" w:rsidP="001A609B">
      <w:pPr>
        <w:pStyle w:val="NoSpacing"/>
        <w:rPr>
          <w:rFonts w:ascii="Arial Black" w:hAnsi="Arial Black"/>
          <w:sz w:val="28"/>
          <w:szCs w:val="28"/>
        </w:rPr>
      </w:pPr>
    </w:p>
    <w:p w14:paraId="45A32E79" w14:textId="6057E11E" w:rsidR="001A609B" w:rsidRDefault="001A609B" w:rsidP="001A609B">
      <w:pPr>
        <w:pStyle w:val="NoSpacing"/>
        <w:rPr>
          <w:rFonts w:ascii="Arial Black" w:hAnsi="Arial Black"/>
          <w:sz w:val="28"/>
          <w:szCs w:val="28"/>
        </w:rPr>
      </w:pPr>
      <w:r>
        <w:rPr>
          <w:rFonts w:ascii="Arial Black" w:hAnsi="Arial Black"/>
          <w:sz w:val="28"/>
          <w:szCs w:val="28"/>
        </w:rPr>
        <w:t>MI: ARSON – DROP ATTY / “STANDBY” ATTY – 7 YRS PRISON</w:t>
      </w:r>
    </w:p>
    <w:p w14:paraId="203AA91B" w14:textId="77777777" w:rsidR="001A609B" w:rsidRDefault="001A609B" w:rsidP="001A609B">
      <w:pPr>
        <w:pStyle w:val="NoSpacing"/>
      </w:pPr>
    </w:p>
    <w:p w14:paraId="05763FC9" w14:textId="77777777" w:rsidR="001A609B" w:rsidRDefault="001A609B" w:rsidP="001A609B">
      <w:pPr>
        <w:rPr>
          <w:b/>
        </w:rPr>
      </w:pPr>
      <w:r>
        <w:t xml:space="preserve">On May 20, 2026, in </w:t>
      </w:r>
      <w:r w:rsidRPr="00F03998">
        <w:rPr>
          <w:u w:val="single"/>
        </w:rPr>
        <w:t>Steve Ellis Karacson v. David Shaver, Warden</w:t>
      </w:r>
      <w:r>
        <w:t xml:space="preserve">, the United States Court of Appeals for the Sixth Circuit (Cincinnati) held that the prisoner serving seven years in Michigan state prison was properly denied habeas corpus by federal district court judge.  His conviction by a jury was affirmed on appeal by the Michigan Court of Appeals, which held that the Michigan state court judge properly warned the defendant of danger of dropping his second appointed attorney on the morning of trial. The Michigan judge also wisely had the second attorney serve as “standby counsel” throughout the trial; the defendant questioned jurors and made his own closing argument.  THE COURT WROTE: “Indeed, the attorney had ably represented </w:t>
      </w:r>
      <w:proofErr w:type="spellStart"/>
      <w:r>
        <w:t>Karacson</w:t>
      </w:r>
      <w:proofErr w:type="spellEnd"/>
      <w:r>
        <w:t xml:space="preserve"> before trial by negotiating a bond reduction and rejecting the state’s plea offers…. The attorney was still </w:t>
      </w:r>
      <w:proofErr w:type="spellStart"/>
      <w:r>
        <w:t>Karacson’s</w:t>
      </w:r>
      <w:proofErr w:type="spellEnd"/>
      <w:r>
        <w:t xml:space="preserve"> standby counsel, and he continued to aid </w:t>
      </w:r>
      <w:proofErr w:type="spellStart"/>
      <w:r>
        <w:t>Karacson</w:t>
      </w:r>
      <w:proofErr w:type="spellEnd"/>
      <w:r>
        <w:t xml:space="preserve"> throughout trial even though </w:t>
      </w:r>
      <w:proofErr w:type="spellStart"/>
      <w:r>
        <w:t>Karacson</w:t>
      </w:r>
      <w:proofErr w:type="spellEnd"/>
      <w:r>
        <w:t xml:space="preserve"> was representing himself. He even introduced himself to the jury pool as someone who would be “assisting” </w:t>
      </w:r>
      <w:proofErr w:type="spellStart"/>
      <w:r>
        <w:t>Karacson</w:t>
      </w:r>
      <w:proofErr w:type="spellEnd"/>
      <w:r>
        <w:t xml:space="preserve">, and the trial court called the attorney a ‘kind of legal advisor.’ </w:t>
      </w:r>
      <w:hyperlink r:id="rId34" w:history="1">
        <w:r w:rsidRPr="007D75EB">
          <w:rPr>
            <w:rStyle w:val="Hyperlink"/>
            <w:b/>
          </w:rPr>
          <w:t>https://cases.justia.com/federal/appellate-courts/ca6/25-1089/25-1089-2026-05-20.pdf?ts=1779309039</w:t>
        </w:r>
      </w:hyperlink>
      <w:r>
        <w:rPr>
          <w:b/>
        </w:rPr>
        <w:t xml:space="preserve"> </w:t>
      </w:r>
    </w:p>
    <w:p w14:paraId="2479C6BB" w14:textId="77777777" w:rsidR="001A609B" w:rsidRDefault="001A609B" w:rsidP="001A609B">
      <w:pPr>
        <w:pStyle w:val="NoSpacing"/>
      </w:pPr>
      <w:r>
        <w:t xml:space="preserve"> THE COURT HELD:</w:t>
      </w:r>
    </w:p>
    <w:p w14:paraId="6EC9BD10" w14:textId="77777777" w:rsidR="001A609B" w:rsidRDefault="001A609B" w:rsidP="001A609B">
      <w:pPr>
        <w:pStyle w:val="NoSpacing"/>
      </w:pPr>
    </w:p>
    <w:p w14:paraId="4C66F371" w14:textId="77777777" w:rsidR="001A609B" w:rsidRPr="00895548" w:rsidRDefault="001A609B" w:rsidP="001A609B">
      <w:pPr>
        <w:pStyle w:val="NoSpacing"/>
        <w:ind w:firstLine="720"/>
      </w:pPr>
      <w:r>
        <w:t>“</w:t>
      </w:r>
      <w:r w:rsidRPr="00895548">
        <w:t>In 2017, a fire devastated Steve Karacson’s house. It took firefighters two or three hours</w:t>
      </w:r>
    </w:p>
    <w:p w14:paraId="24960DCB" w14:textId="77777777" w:rsidR="001A609B" w:rsidRPr="00895548" w:rsidRDefault="001A609B" w:rsidP="001A609B">
      <w:pPr>
        <w:pStyle w:val="NoSpacing"/>
        <w:ind w:firstLine="720"/>
      </w:pPr>
      <w:r w:rsidRPr="00895548">
        <w:t>to put out the flames. The next day, investigators entered the house with an arson dog and</w:t>
      </w:r>
    </w:p>
    <w:p w14:paraId="2B9BF31F" w14:textId="77777777" w:rsidR="001A609B" w:rsidRDefault="001A609B" w:rsidP="001A609B">
      <w:pPr>
        <w:pStyle w:val="NoSpacing"/>
        <w:ind w:left="720"/>
      </w:pPr>
      <w:r w:rsidRPr="00895548">
        <w:t>detected the smell of gasoline. They also determined that the fire had multiple origin points</w:t>
      </w:r>
      <w:r>
        <w:t xml:space="preserve"> </w:t>
      </w:r>
      <w:r w:rsidRPr="00895548">
        <w:t>inside the house. After reviewing this evidence and eliminating other possible causes, they</w:t>
      </w:r>
      <w:r>
        <w:t xml:space="preserve"> </w:t>
      </w:r>
      <w:r w:rsidRPr="00895548">
        <w:t xml:space="preserve">concluded the fire was an act of arson. </w:t>
      </w:r>
      <w:proofErr w:type="spellStart"/>
      <w:r w:rsidRPr="00895548">
        <w:t>Karacson</w:t>
      </w:r>
      <w:proofErr w:type="spellEnd"/>
      <w:r w:rsidRPr="00895548">
        <w:t xml:space="preserve"> had fire insurance, so the investigation focused</w:t>
      </w:r>
      <w:r>
        <w:t xml:space="preserve"> </w:t>
      </w:r>
      <w:r w:rsidRPr="00895548">
        <w:t>on him.</w:t>
      </w:r>
    </w:p>
    <w:p w14:paraId="18CAC5F4" w14:textId="77777777" w:rsidR="001A609B" w:rsidRDefault="001A609B" w:rsidP="001A609B">
      <w:pPr>
        <w:pStyle w:val="NoSpacing"/>
      </w:pPr>
    </w:p>
    <w:p w14:paraId="3618E560" w14:textId="77777777" w:rsidR="001A609B" w:rsidRPr="00742EA0" w:rsidRDefault="001A609B" w:rsidP="001A609B">
      <w:pPr>
        <w:pStyle w:val="NoSpacing"/>
        <w:ind w:firstLine="720"/>
      </w:pPr>
      <w:proofErr w:type="spellStart"/>
      <w:r w:rsidRPr="00742EA0">
        <w:t>Karacson</w:t>
      </w:r>
      <w:proofErr w:type="spellEnd"/>
      <w:r w:rsidRPr="00742EA0">
        <w:t xml:space="preserve"> told investigators he wasn’t home on the night of the fire. He claimed instead</w:t>
      </w:r>
    </w:p>
    <w:p w14:paraId="74247581" w14:textId="77777777" w:rsidR="001A609B" w:rsidRDefault="001A609B" w:rsidP="001A609B">
      <w:pPr>
        <w:pStyle w:val="NoSpacing"/>
        <w:ind w:left="720"/>
      </w:pPr>
      <w:r w:rsidRPr="00742EA0">
        <w:t>that he’d traveled to Kentucky two days before the fire and returned the morning after the fire.</w:t>
      </w:r>
      <w:r>
        <w:t xml:space="preserve"> </w:t>
      </w:r>
      <w:r w:rsidRPr="00742EA0">
        <w:t xml:space="preserve">But location data from his cell phone said otherwise. The morning before the fire, </w:t>
      </w:r>
      <w:proofErr w:type="spellStart"/>
      <w:r w:rsidRPr="00742EA0">
        <w:t>Karacson’s</w:t>
      </w:r>
      <w:proofErr w:type="spellEnd"/>
      <w:r>
        <w:t xml:space="preserve"> </w:t>
      </w:r>
      <w:r w:rsidRPr="00742EA0">
        <w:t>phone connected to towers along a route heading north from Kentucky back to Michigan. And</w:t>
      </w:r>
      <w:r>
        <w:t xml:space="preserve"> </w:t>
      </w:r>
      <w:r w:rsidRPr="00742EA0">
        <w:t>less than an hour before the fire, his phone pinged a tower near his house. Police officers also</w:t>
      </w:r>
      <w:r>
        <w:t xml:space="preserve"> </w:t>
      </w:r>
      <w:r w:rsidRPr="00742EA0">
        <w:t xml:space="preserve">found a receipt in </w:t>
      </w:r>
      <w:proofErr w:type="spellStart"/>
      <w:r w:rsidRPr="00742EA0">
        <w:t>Karacson’s</w:t>
      </w:r>
      <w:proofErr w:type="spellEnd"/>
      <w:r w:rsidRPr="00742EA0">
        <w:t xml:space="preserve"> wallet showing that, just hours before the fire, he had bought a</w:t>
      </w:r>
      <w:r>
        <w:t xml:space="preserve"> </w:t>
      </w:r>
      <w:r w:rsidRPr="00742EA0">
        <w:t xml:space="preserve">five-gallon gas can and a pair of utility gloves from a Michigan hardware store. </w:t>
      </w:r>
      <w:proofErr w:type="gramStart"/>
      <w:r w:rsidRPr="00742EA0">
        <w:t>So</w:t>
      </w:r>
      <w:proofErr w:type="gramEnd"/>
      <w:r w:rsidRPr="00742EA0">
        <w:t xml:space="preserve"> Michigan</w:t>
      </w:r>
      <w:r>
        <w:t xml:space="preserve"> </w:t>
      </w:r>
      <w:r w:rsidRPr="00742EA0">
        <w:t xml:space="preserve">charged </w:t>
      </w:r>
      <w:proofErr w:type="spellStart"/>
      <w:r w:rsidRPr="00742EA0">
        <w:t>Karacson</w:t>
      </w:r>
      <w:proofErr w:type="spellEnd"/>
      <w:r w:rsidRPr="00742EA0">
        <w:t xml:space="preserve"> with arson and insurance fraud.</w:t>
      </w:r>
    </w:p>
    <w:p w14:paraId="35BCC9B4" w14:textId="77777777" w:rsidR="001A609B" w:rsidRDefault="001A609B" w:rsidP="001A609B">
      <w:pPr>
        <w:pStyle w:val="NoSpacing"/>
        <w:ind w:left="720"/>
      </w:pPr>
    </w:p>
    <w:p w14:paraId="2692D157" w14:textId="77777777" w:rsidR="001A609B" w:rsidRDefault="001A609B" w:rsidP="001A609B">
      <w:pPr>
        <w:pStyle w:val="NoSpacing"/>
        <w:ind w:left="720"/>
      </w:pPr>
      <w:r>
        <w:t>***</w:t>
      </w:r>
    </w:p>
    <w:p w14:paraId="6975AD00" w14:textId="77777777" w:rsidR="001A609B" w:rsidRDefault="001A609B" w:rsidP="001A609B">
      <w:pPr>
        <w:pStyle w:val="NoSpacing"/>
        <w:ind w:left="720"/>
      </w:pPr>
      <w:proofErr w:type="spellStart"/>
      <w:r w:rsidRPr="00307040">
        <w:t>Karacson</w:t>
      </w:r>
      <w:proofErr w:type="spellEnd"/>
      <w:r w:rsidRPr="00307040">
        <w:t xml:space="preserve"> later changed his story to say that he was at a friend’s house in Michigan the night of</w:t>
      </w:r>
      <w:r>
        <w:t xml:space="preserve"> </w:t>
      </w:r>
      <w:r w:rsidRPr="00307040">
        <w:t>the fire. But he didn’t want the police to ask that friend any questions, so it’s unclear how</w:t>
      </w:r>
      <w:r>
        <w:t xml:space="preserve"> </w:t>
      </w:r>
      <w:r w:rsidRPr="001E2F51">
        <w:t>anyone could have confirmed his story.</w:t>
      </w:r>
    </w:p>
    <w:p w14:paraId="627AD441" w14:textId="77777777" w:rsidR="001A609B" w:rsidRDefault="001A609B" w:rsidP="001A609B">
      <w:pPr>
        <w:pStyle w:val="NoSpacing"/>
        <w:ind w:left="720"/>
      </w:pPr>
    </w:p>
    <w:p w14:paraId="1D2DBA1A" w14:textId="77777777" w:rsidR="001A609B" w:rsidRDefault="001A609B" w:rsidP="001A609B">
      <w:pPr>
        <w:pStyle w:val="NoSpacing"/>
        <w:ind w:left="720"/>
      </w:pPr>
      <w:r>
        <w:t>***</w:t>
      </w:r>
    </w:p>
    <w:p w14:paraId="7E492DEA" w14:textId="77777777" w:rsidR="001A609B" w:rsidRDefault="001A609B" w:rsidP="001A609B">
      <w:pPr>
        <w:pStyle w:val="NoSpacing"/>
        <w:ind w:left="720"/>
      </w:pPr>
      <w:r>
        <w:t xml:space="preserve">The jury convicted </w:t>
      </w:r>
      <w:proofErr w:type="spellStart"/>
      <w:r>
        <w:t>Karacson</w:t>
      </w:r>
      <w:proofErr w:type="spellEnd"/>
      <w:r>
        <w:t xml:space="preserve"> on all counts. Although his conviction carried a possible</w:t>
      </w:r>
    </w:p>
    <w:p w14:paraId="58736C3B" w14:textId="77777777" w:rsidR="001A609B" w:rsidRDefault="001A609B" w:rsidP="001A609B">
      <w:pPr>
        <w:pStyle w:val="NoSpacing"/>
        <w:ind w:left="720"/>
      </w:pPr>
      <w:r>
        <w:t xml:space="preserve">life sentence, the trial court opted for a more lenient punishment. It reasoned that </w:t>
      </w:r>
      <w:proofErr w:type="spellStart"/>
      <w:r>
        <w:t>Karacson</w:t>
      </w:r>
      <w:proofErr w:type="spellEnd"/>
      <w:r>
        <w:t xml:space="preserve"> hadn’t hurt anyone, harmed anyone else’s property, or received any insurance money. The court therefore sentenced him to only seven years in prison.”</w:t>
      </w:r>
    </w:p>
    <w:p w14:paraId="5F0C07F2" w14:textId="77777777" w:rsidR="001A609B" w:rsidRDefault="001A609B" w:rsidP="001A609B">
      <w:pPr>
        <w:pStyle w:val="NoSpacing"/>
        <w:ind w:left="720"/>
      </w:pPr>
    </w:p>
    <w:p w14:paraId="6B99BA0F" w14:textId="77777777" w:rsidR="001A609B" w:rsidRPr="00283AB4" w:rsidRDefault="001A609B" w:rsidP="001A609B">
      <w:pPr>
        <w:pStyle w:val="NoSpacing"/>
        <w:rPr>
          <w:b/>
          <w:bCs/>
        </w:rPr>
      </w:pPr>
      <w:r>
        <w:rPr>
          <w:b/>
        </w:rPr>
        <w:lastRenderedPageBreak/>
        <w:t xml:space="preserve">Legal lesson learned: </w:t>
      </w:r>
      <w:r w:rsidRPr="00283AB4">
        <w:rPr>
          <w:b/>
        </w:rPr>
        <w:t>State prison</w:t>
      </w:r>
      <w:r>
        <w:rPr>
          <w:b/>
        </w:rPr>
        <w:t>er</w:t>
      </w:r>
      <w:r w:rsidRPr="00283AB4">
        <w:rPr>
          <w:b/>
        </w:rPr>
        <w:t xml:space="preserve"> was properly denied habeas corpus by federal district court judge.  Trial judge wisely appointed “standby counsel” even if the defendant </w:t>
      </w:r>
      <w:r>
        <w:rPr>
          <w:b/>
        </w:rPr>
        <w:t>represented himself and did closing argument.</w:t>
      </w:r>
    </w:p>
    <w:p w14:paraId="0383C7EA" w14:textId="77777777" w:rsidR="001A609B" w:rsidRDefault="001A609B" w:rsidP="001A609B">
      <w:pPr>
        <w:pStyle w:val="NoSpacing"/>
        <w:rPr>
          <w:b/>
          <w:bCs/>
        </w:rPr>
      </w:pPr>
    </w:p>
    <w:p w14:paraId="71991639" w14:textId="77777777" w:rsidR="001A609B" w:rsidRPr="0089017A" w:rsidRDefault="001A609B" w:rsidP="001A609B">
      <w:pPr>
        <w:pStyle w:val="NoSpacing"/>
        <w:ind w:left="720"/>
      </w:pPr>
      <w:r w:rsidRPr="0089017A">
        <w:t xml:space="preserve">Note:  Congress enacted the Antiterrorism and Effective Death Penalty Act (AEDPA) </w:t>
      </w:r>
      <w:r>
        <w:t xml:space="preserve">on April 24, 1966, in response to the Oklahoma City bombing; it limits </w:t>
      </w:r>
      <w:r w:rsidRPr="0089017A">
        <w:t xml:space="preserve">federal judges </w:t>
      </w:r>
      <w:r>
        <w:t xml:space="preserve">granting </w:t>
      </w:r>
      <w:r w:rsidRPr="0089017A">
        <w:t>state prisoners</w:t>
      </w:r>
      <w:r>
        <w:t xml:space="preserve"> petitions for </w:t>
      </w:r>
      <w:r w:rsidRPr="0089017A">
        <w:t xml:space="preserve">federal habeas </w:t>
      </w:r>
      <w:r>
        <w:t xml:space="preserve">release. </w:t>
      </w:r>
      <w:r w:rsidRPr="0089017A">
        <w:t xml:space="preserve">“So to obtain relief under AEDPA, </w:t>
      </w:r>
      <w:proofErr w:type="spellStart"/>
      <w:r w:rsidRPr="0089017A">
        <w:t>Karacson</w:t>
      </w:r>
      <w:proofErr w:type="spellEnd"/>
      <w:r w:rsidRPr="0089017A">
        <w:t xml:space="preserve"> must show that the</w:t>
      </w:r>
      <w:r>
        <w:t xml:space="preserve"> </w:t>
      </w:r>
      <w:r w:rsidRPr="0089017A">
        <w:t>Michigan court’s decision was (1) “contrary to, or involved an unreasonable application of,</w:t>
      </w:r>
      <w:r>
        <w:t xml:space="preserve"> </w:t>
      </w:r>
      <w:r w:rsidRPr="0089017A">
        <w:t>clearly established Federal law, as determined by the Supreme Court of the United States” or (2) “based on an unreasonable determination of the facts in light of the evidence” before the state court. 28 U.S.C. § 2254(d)(1)–(2).</w:t>
      </w:r>
    </w:p>
    <w:p w14:paraId="18F68E15" w14:textId="77777777" w:rsidR="001A609B" w:rsidRPr="0089017A" w:rsidRDefault="001A609B" w:rsidP="001A609B"/>
    <w:p w14:paraId="6CCEA4D1" w14:textId="48B39326" w:rsidR="00822052" w:rsidRDefault="00822052" w:rsidP="00822052">
      <w:pPr>
        <w:pStyle w:val="NoSpacing"/>
        <w:rPr>
          <w:rFonts w:ascii="Arial Black" w:hAnsi="Arial Black"/>
          <w:sz w:val="24"/>
          <w:szCs w:val="24"/>
        </w:rPr>
      </w:pPr>
      <w:r>
        <w:rPr>
          <w:rFonts w:ascii="Arial Black" w:hAnsi="Arial Black"/>
          <w:sz w:val="24"/>
          <w:szCs w:val="24"/>
        </w:rPr>
        <w:t>1-209</w:t>
      </w:r>
    </w:p>
    <w:p w14:paraId="358353C4" w14:textId="77777777" w:rsidR="00822052" w:rsidRDefault="00822052" w:rsidP="00387E6C">
      <w:pPr>
        <w:pStyle w:val="NoSpacing"/>
        <w:rPr>
          <w:rFonts w:ascii="Arial Black" w:hAnsi="Arial Black"/>
          <w:sz w:val="28"/>
          <w:szCs w:val="28"/>
        </w:rPr>
      </w:pPr>
    </w:p>
    <w:p w14:paraId="14A052D7" w14:textId="0A315A5A" w:rsidR="00387E6C" w:rsidRDefault="00387E6C" w:rsidP="00387E6C">
      <w:pPr>
        <w:pStyle w:val="NoSpacing"/>
        <w:rPr>
          <w:rFonts w:ascii="Arial Black" w:hAnsi="Arial Black"/>
          <w:sz w:val="28"/>
          <w:szCs w:val="28"/>
        </w:rPr>
      </w:pPr>
      <w:r>
        <w:rPr>
          <w:rFonts w:ascii="Arial Black" w:hAnsi="Arial Black"/>
          <w:sz w:val="28"/>
          <w:szCs w:val="28"/>
        </w:rPr>
        <w:t>MN: CHINA PHONE BATTERY - $3.8M FIRE – AMAZON SUED</w:t>
      </w:r>
    </w:p>
    <w:p w14:paraId="6596CDB5" w14:textId="77777777" w:rsidR="00387E6C" w:rsidRDefault="00387E6C" w:rsidP="00387E6C">
      <w:pPr>
        <w:pStyle w:val="NoSpacing"/>
      </w:pPr>
    </w:p>
    <w:p w14:paraId="655E7D28" w14:textId="77777777" w:rsidR="00387E6C" w:rsidRDefault="00387E6C" w:rsidP="00387E6C">
      <w:pPr>
        <w:pStyle w:val="NoSpacing"/>
      </w:pPr>
      <w:r>
        <w:t xml:space="preserve">On April 27, 2028, in </w:t>
      </w:r>
      <w:r w:rsidRPr="0025753E">
        <w:rPr>
          <w:u w:val="single"/>
        </w:rPr>
        <w:t>Berkly Regional Insurance Company, et al. v. John Doe Battery Manufacturer</w:t>
      </w:r>
      <w:r>
        <w:rPr>
          <w:u w:val="single"/>
        </w:rPr>
        <w:t xml:space="preserve">; </w:t>
      </w:r>
      <w:proofErr w:type="spellStart"/>
      <w:r>
        <w:rPr>
          <w:u w:val="single"/>
        </w:rPr>
        <w:t>Yishda</w:t>
      </w:r>
      <w:proofErr w:type="spellEnd"/>
      <w:r>
        <w:rPr>
          <w:u w:val="single"/>
        </w:rPr>
        <w:t xml:space="preserve">; </w:t>
      </w:r>
      <w:r w:rsidRPr="0025753E">
        <w:rPr>
          <w:u w:val="single"/>
        </w:rPr>
        <w:t>et al</w:t>
      </w:r>
      <w:r>
        <w:t>., the United States Court of Appeals for the Eight Circuit (St. Louis) held (3 to 0) that the lawsuit against Amazon cannot proceed in federal court until state law is clarified.  When Rochelle Zappa’s cellphone would not hold a charge, she searched</w:t>
      </w:r>
    </w:p>
    <w:p w14:paraId="74F450A7" w14:textId="77777777" w:rsidR="00387E6C" w:rsidRDefault="00387E6C" w:rsidP="00387E6C">
      <w:pPr>
        <w:pStyle w:val="NoSpacing"/>
      </w:pPr>
      <w:r>
        <w:t xml:space="preserve">Amazon for a replacement battery. She picked one sold by a Chinese company named </w:t>
      </w:r>
      <w:proofErr w:type="spellStart"/>
      <w:r>
        <w:t>Yishda</w:t>
      </w:r>
      <w:proofErr w:type="spellEnd"/>
      <w:r>
        <w:t xml:space="preserve"> that the website advertised as “Amazon’s Choice.”  When she plugged her phone in at work to charge the battery, it fizzled, sparked, and then burst into flames. Smoke soon enveloped the office. By the time firefighters put out the fire, it had caused $3,881,280 in damage.  The employer’s insurance company sued Amazon in state court; Amazon removed it </w:t>
      </w:r>
      <w:proofErr w:type="gramStart"/>
      <w:r>
        <w:t>to federal</w:t>
      </w:r>
      <w:proofErr w:type="gramEnd"/>
      <w:r>
        <w:t xml:space="preserve"> court. The 8</w:t>
      </w:r>
      <w:r w:rsidRPr="00463C71">
        <w:rPr>
          <w:vertAlign w:val="superscript"/>
        </w:rPr>
        <w:t>th</w:t>
      </w:r>
      <w:r>
        <w:t xml:space="preserve"> Circuit is sending following </w:t>
      </w:r>
      <w:proofErr w:type="gramStart"/>
      <w:r>
        <w:t>question</w:t>
      </w:r>
      <w:proofErr w:type="gramEnd"/>
      <w:r>
        <w:t xml:space="preserve"> to the Minnesota Supreme Court to answer following </w:t>
      </w:r>
      <w:proofErr w:type="gramStart"/>
      <w:r>
        <w:t>question</w:t>
      </w:r>
      <w:proofErr w:type="gramEnd"/>
      <w:r>
        <w:t xml:space="preserve">:  </w:t>
      </w:r>
    </w:p>
    <w:p w14:paraId="5BC710CD" w14:textId="77777777" w:rsidR="00387E6C" w:rsidRDefault="00387E6C" w:rsidP="00387E6C">
      <w:pPr>
        <w:pStyle w:val="NoSpacing"/>
      </w:pPr>
    </w:p>
    <w:p w14:paraId="7EDC654E" w14:textId="77777777" w:rsidR="00387E6C" w:rsidRDefault="00387E6C" w:rsidP="00387E6C">
      <w:pPr>
        <w:pStyle w:val="NoSpacing"/>
        <w:ind w:firstLine="720"/>
      </w:pPr>
      <w:r>
        <w:t>“Under Minnesota law, if an e-commerce company allows an unrelated</w:t>
      </w:r>
    </w:p>
    <w:p w14:paraId="6827638F" w14:textId="77777777" w:rsidR="00387E6C" w:rsidRDefault="00387E6C" w:rsidP="00387E6C">
      <w:pPr>
        <w:pStyle w:val="NoSpacing"/>
        <w:ind w:firstLine="720"/>
      </w:pPr>
      <w:r>
        <w:t>party to sell a defective product through its website and provides order-</w:t>
      </w:r>
    </w:p>
    <w:p w14:paraId="4A235976" w14:textId="77777777" w:rsidR="00387E6C" w:rsidRDefault="00387E6C" w:rsidP="00387E6C">
      <w:pPr>
        <w:pStyle w:val="NoSpacing"/>
        <w:ind w:firstLine="720"/>
      </w:pPr>
      <w:r>
        <w:t>fulfillment services for the sale, is it strictly liable for any harm caused</w:t>
      </w:r>
    </w:p>
    <w:p w14:paraId="492BEF04" w14:textId="77777777" w:rsidR="00387E6C" w:rsidRDefault="00387E6C" w:rsidP="00387E6C">
      <w:pPr>
        <w:pStyle w:val="NoSpacing"/>
        <w:ind w:firstLine="720"/>
      </w:pPr>
      <w:r>
        <w:t xml:space="preserve">by the defect?” </w:t>
      </w:r>
    </w:p>
    <w:p w14:paraId="357D3C8D" w14:textId="77777777" w:rsidR="00387E6C" w:rsidRDefault="00387E6C" w:rsidP="00387E6C">
      <w:pPr>
        <w:pStyle w:val="NoSpacing"/>
        <w:ind w:firstLine="720"/>
      </w:pPr>
    </w:p>
    <w:p w14:paraId="2088CDBC" w14:textId="77777777" w:rsidR="00387E6C" w:rsidRDefault="00387E6C" w:rsidP="00387E6C">
      <w:pPr>
        <w:pStyle w:val="NoSpacing"/>
      </w:pPr>
      <w:hyperlink r:id="rId35" w:history="1">
        <w:r w:rsidRPr="00CF721F">
          <w:rPr>
            <w:rStyle w:val="Hyperlink"/>
          </w:rPr>
          <w:t>https://ecf.ca8.uscourts.gov/opndir/26/04/242159P.pdf</w:t>
        </w:r>
      </w:hyperlink>
      <w:r>
        <w:t xml:space="preserve"> </w:t>
      </w:r>
    </w:p>
    <w:p w14:paraId="3B4956FA" w14:textId="77777777" w:rsidR="00387E6C" w:rsidRDefault="00387E6C" w:rsidP="00387E6C">
      <w:pPr>
        <w:pStyle w:val="NoSpacing"/>
        <w:ind w:firstLine="720"/>
      </w:pPr>
    </w:p>
    <w:p w14:paraId="079A78B6" w14:textId="77777777" w:rsidR="00387E6C" w:rsidRDefault="00387E6C" w:rsidP="00387E6C">
      <w:r>
        <w:t>THE COURT HELD:</w:t>
      </w:r>
    </w:p>
    <w:p w14:paraId="4C1580F5" w14:textId="77777777" w:rsidR="00387E6C" w:rsidRDefault="00387E6C" w:rsidP="00387E6C">
      <w:pPr>
        <w:pStyle w:val="NoSpacing"/>
        <w:ind w:left="720"/>
      </w:pPr>
      <w:r>
        <w:t>“When Rochelle Zappa’s cellphone would not hold a charge, she searched</w:t>
      </w:r>
    </w:p>
    <w:p w14:paraId="70012299" w14:textId="77777777" w:rsidR="00387E6C" w:rsidRDefault="00387E6C" w:rsidP="00387E6C">
      <w:pPr>
        <w:pStyle w:val="NoSpacing"/>
        <w:ind w:firstLine="720"/>
      </w:pPr>
      <w:r>
        <w:t>Amazon for a replacement battery. She picked one sold by a Chinese company</w:t>
      </w:r>
    </w:p>
    <w:p w14:paraId="7699417D" w14:textId="77777777" w:rsidR="00387E6C" w:rsidRDefault="00387E6C" w:rsidP="00387E6C">
      <w:pPr>
        <w:pStyle w:val="NoSpacing"/>
        <w:ind w:firstLine="720"/>
      </w:pPr>
      <w:r>
        <w:t xml:space="preserve">named </w:t>
      </w:r>
      <w:proofErr w:type="spellStart"/>
      <w:r>
        <w:t>Yishda</w:t>
      </w:r>
      <w:proofErr w:type="spellEnd"/>
      <w:r>
        <w:t xml:space="preserve"> that the website advertised as ‘Amazon’s Choice.’</w:t>
      </w:r>
    </w:p>
    <w:p w14:paraId="707246A1" w14:textId="77777777" w:rsidR="00387E6C" w:rsidRDefault="00387E6C" w:rsidP="00387E6C">
      <w:pPr>
        <w:pStyle w:val="NoSpacing"/>
        <w:ind w:firstLine="720"/>
      </w:pPr>
    </w:p>
    <w:p w14:paraId="6B0C6FD1" w14:textId="77777777" w:rsidR="00387E6C" w:rsidRDefault="00387E6C" w:rsidP="00387E6C">
      <w:pPr>
        <w:pStyle w:val="NoSpacing"/>
        <w:ind w:firstLine="720"/>
      </w:pPr>
      <w:r>
        <w:t>The company took part in the “Fulfillment by Amazon” program, a service</w:t>
      </w:r>
    </w:p>
    <w:p w14:paraId="572AA354" w14:textId="77777777" w:rsidR="00387E6C" w:rsidRDefault="00387E6C" w:rsidP="00387E6C">
      <w:pPr>
        <w:pStyle w:val="NoSpacing"/>
        <w:ind w:firstLine="720"/>
      </w:pPr>
      <w:r>
        <w:t>that allows sellers to use Amazon’s infrastructure, including its website, its</w:t>
      </w:r>
    </w:p>
    <w:p w14:paraId="19C8B7D7" w14:textId="77777777" w:rsidR="00387E6C" w:rsidRDefault="00387E6C" w:rsidP="00387E6C">
      <w:pPr>
        <w:pStyle w:val="NoSpacing"/>
        <w:ind w:firstLine="720"/>
      </w:pPr>
      <w:r>
        <w:t>warehouses, and its delivery drivers. For a fee, Amazon handled storage, order</w:t>
      </w:r>
    </w:p>
    <w:p w14:paraId="44418347" w14:textId="77777777" w:rsidR="00387E6C" w:rsidRDefault="00387E6C" w:rsidP="00387E6C">
      <w:pPr>
        <w:pStyle w:val="NoSpacing"/>
        <w:ind w:firstLine="720"/>
      </w:pPr>
      <w:r>
        <w:t>fulfillment, returns, and customer service. See Pickard v. Amazon.com, Inc., 387</w:t>
      </w:r>
    </w:p>
    <w:p w14:paraId="20562245" w14:textId="77777777" w:rsidR="00387E6C" w:rsidRDefault="00387E6C" w:rsidP="00387E6C">
      <w:pPr>
        <w:pStyle w:val="NoSpacing"/>
        <w:ind w:firstLine="720"/>
      </w:pPr>
      <w:r>
        <w:t>So.3d 515, 518 (La. 2024) (describing Amazon’s order-fulfillment service). Here,</w:t>
      </w:r>
    </w:p>
    <w:p w14:paraId="236D84FD" w14:textId="77777777" w:rsidR="00387E6C" w:rsidRDefault="00387E6C" w:rsidP="00387E6C">
      <w:pPr>
        <w:pStyle w:val="NoSpacing"/>
        <w:ind w:firstLine="720"/>
      </w:pPr>
      <w:proofErr w:type="gramStart"/>
      <w:r>
        <w:t>it</w:t>
      </w:r>
      <w:proofErr w:type="gramEnd"/>
      <w:r>
        <w:t xml:space="preserve"> resulted in an Amazon driver delivering a </w:t>
      </w:r>
      <w:proofErr w:type="spellStart"/>
      <w:r>
        <w:t>Yishda</w:t>
      </w:r>
      <w:proofErr w:type="spellEnd"/>
      <w:r>
        <w:t xml:space="preserve"> battery inside an Amazon bag to</w:t>
      </w:r>
    </w:p>
    <w:p w14:paraId="3B93A22C" w14:textId="77777777" w:rsidR="00387E6C" w:rsidRDefault="00387E6C" w:rsidP="00387E6C">
      <w:pPr>
        <w:pStyle w:val="NoSpacing"/>
        <w:ind w:firstLine="720"/>
      </w:pPr>
      <w:r>
        <w:t>her doorstep.</w:t>
      </w:r>
    </w:p>
    <w:p w14:paraId="29C137AB" w14:textId="77777777" w:rsidR="00387E6C" w:rsidRDefault="00387E6C" w:rsidP="00387E6C">
      <w:pPr>
        <w:ind w:firstLine="720"/>
        <w:rPr>
          <w:b/>
          <w:bCs/>
        </w:rPr>
      </w:pPr>
    </w:p>
    <w:p w14:paraId="7481721C" w14:textId="77777777" w:rsidR="00387E6C" w:rsidRDefault="00387E6C" w:rsidP="00387E6C">
      <w:pPr>
        <w:pStyle w:val="NoSpacing"/>
        <w:ind w:firstLine="720"/>
      </w:pPr>
      <w:r>
        <w:t>***</w:t>
      </w:r>
    </w:p>
    <w:p w14:paraId="250397F5" w14:textId="77777777" w:rsidR="00387E6C" w:rsidRDefault="00387E6C" w:rsidP="00387E6C">
      <w:pPr>
        <w:ind w:left="720"/>
        <w:rPr>
          <w:b/>
          <w:bCs/>
        </w:rPr>
      </w:pPr>
      <w:r>
        <w:t xml:space="preserve">We need to know whether, under Minnesota law, Amazon is strictly liable for a defective product it offered, stored, and shipped, even though someone else was the seller. The Minnesota Supreme Court ought to be the one to decide this novel legal issue, so we give it the right of first refusal… Finally, the legal question we have is about </w:t>
      </w:r>
      <w:proofErr w:type="gramStart"/>
      <w:r>
        <w:t>as</w:t>
      </w:r>
      <w:proofErr w:type="gramEnd"/>
      <w:r>
        <w:t xml:space="preserve"> clean as it gets. Whether Amazon is strictly liable for </w:t>
      </w:r>
      <w:proofErr w:type="spellStart"/>
      <w:r>
        <w:t>Yishda’s</w:t>
      </w:r>
      <w:proofErr w:type="spellEnd"/>
      <w:r>
        <w:t xml:space="preserve"> batteries depends on undisputed facts. </w:t>
      </w:r>
      <w:r>
        <w:lastRenderedPageBreak/>
        <w:t xml:space="preserve">The record is clear that, as the seller, </w:t>
      </w:r>
      <w:proofErr w:type="spellStart"/>
      <w:r>
        <w:t>Yishda</w:t>
      </w:r>
      <w:proofErr w:type="spellEnd"/>
      <w:r>
        <w:t xml:space="preserve"> listed the batteries online, sent them to warehouses around the country, and left the rest to Amazon.”</w:t>
      </w:r>
    </w:p>
    <w:p w14:paraId="15E9482E" w14:textId="77777777" w:rsidR="00387E6C" w:rsidRPr="001C2DCD" w:rsidRDefault="00387E6C" w:rsidP="00387E6C">
      <w:pPr>
        <w:rPr>
          <w:b/>
          <w:bCs/>
        </w:rPr>
      </w:pPr>
      <w:r>
        <w:rPr>
          <w:b/>
        </w:rPr>
        <w:t xml:space="preserve">Legal lesson learned: Battery fires are becoming all too common; the question here is whether the insurance company for the $3.8 million loss can recover from Amazon and was  Amazon aware of prior fires with this product. </w:t>
      </w:r>
    </w:p>
    <w:p w14:paraId="3182CCB3" w14:textId="77777777" w:rsidR="00387E6C" w:rsidRDefault="00387E6C" w:rsidP="00387E6C">
      <w:pPr>
        <w:pStyle w:val="NoSpacing"/>
        <w:rPr>
          <w:bCs/>
        </w:rPr>
      </w:pPr>
    </w:p>
    <w:p w14:paraId="3DA51BA2" w14:textId="4ED6D940" w:rsidR="00822052" w:rsidRDefault="00822052" w:rsidP="00822052">
      <w:pPr>
        <w:pStyle w:val="NoSpacing"/>
        <w:rPr>
          <w:rFonts w:ascii="Arial Black" w:hAnsi="Arial Black"/>
          <w:sz w:val="24"/>
          <w:szCs w:val="24"/>
        </w:rPr>
      </w:pPr>
      <w:r>
        <w:rPr>
          <w:rFonts w:ascii="Arial Black" w:hAnsi="Arial Black"/>
          <w:sz w:val="24"/>
          <w:szCs w:val="24"/>
        </w:rPr>
        <w:t>1-208</w:t>
      </w:r>
    </w:p>
    <w:p w14:paraId="01F3CD84" w14:textId="77777777" w:rsidR="00387E6C" w:rsidRDefault="00387E6C" w:rsidP="00387E6C">
      <w:pPr>
        <w:pStyle w:val="NoSpacing"/>
        <w:rPr>
          <w:bCs/>
        </w:rPr>
      </w:pPr>
    </w:p>
    <w:p w14:paraId="011FF64E" w14:textId="77777777" w:rsidR="00387E6C" w:rsidRDefault="00387E6C" w:rsidP="00387E6C">
      <w:pPr>
        <w:pStyle w:val="NoSpacing"/>
        <w:rPr>
          <w:b/>
        </w:rPr>
      </w:pPr>
    </w:p>
    <w:p w14:paraId="2F5E6217" w14:textId="77777777" w:rsidR="008326CD" w:rsidRPr="00891643" w:rsidRDefault="008326CD" w:rsidP="008326CD">
      <w:pPr>
        <w:pStyle w:val="NoSpacing"/>
        <w:rPr>
          <w:rFonts w:ascii="Arial Black" w:hAnsi="Arial Black"/>
          <w:sz w:val="28"/>
          <w:szCs w:val="28"/>
        </w:rPr>
      </w:pPr>
      <w:r>
        <w:rPr>
          <w:rFonts w:ascii="Arial Black" w:hAnsi="Arial Black"/>
          <w:sz w:val="28"/>
          <w:szCs w:val="28"/>
        </w:rPr>
        <w:t xml:space="preserve">WV: ARSON - SIGNED CONFESSION / NO NEED PD TO VIDEO </w:t>
      </w:r>
    </w:p>
    <w:p w14:paraId="52E5C633" w14:textId="77777777" w:rsidR="008326CD" w:rsidRDefault="008326CD" w:rsidP="008326CD">
      <w:pPr>
        <w:pStyle w:val="NoSpacing"/>
      </w:pPr>
    </w:p>
    <w:p w14:paraId="53F1750F" w14:textId="77777777" w:rsidR="008326CD" w:rsidRDefault="008326CD" w:rsidP="008326CD">
      <w:pPr>
        <w:pStyle w:val="NoSpacing"/>
        <w:rPr>
          <w:bCs/>
        </w:rPr>
      </w:pPr>
      <w:r>
        <w:t xml:space="preserve">On April 21, 2026, in  </w:t>
      </w:r>
      <w:r w:rsidRPr="00E63016">
        <w:rPr>
          <w:u w:val="single"/>
        </w:rPr>
        <w:t>State of West Virginia v. Harry Lee Steele</w:t>
      </w:r>
      <w:r>
        <w:t xml:space="preserve">, the </w:t>
      </w:r>
      <w:r w:rsidRPr="00E63016">
        <w:t>Supreme Court of Appeals of West Virginia</w:t>
      </w:r>
      <w:r>
        <w:t xml:space="preserve">, held (5 to 0) that trial court properly denied motion to suppress written confession, which was given voluntarily; jury convicted him of first-degree arson for light couch on fire on front of house, and sentenced him to 20 years.  He confessed to lighting a couch on the front porch, which led to structure fire; he turned himself in the next day and admitted he started the fire out of personal animosity with the owner of the house. </w:t>
      </w:r>
      <w:r w:rsidRPr="004C6462">
        <w:t>Deputy Martin stated that he recorded only part of the interview because his bodycam</w:t>
      </w:r>
      <w:r>
        <w:t xml:space="preserve"> </w:t>
      </w:r>
      <w:r w:rsidRPr="004C6462">
        <w:t xml:space="preserve">needed to charge. </w:t>
      </w:r>
    </w:p>
    <w:p w14:paraId="712494D1" w14:textId="77777777" w:rsidR="008326CD" w:rsidRPr="00883C4E" w:rsidRDefault="008326CD" w:rsidP="008326CD">
      <w:pPr>
        <w:pStyle w:val="NoSpacing"/>
        <w:rPr>
          <w:bCs/>
        </w:rPr>
      </w:pPr>
      <w:hyperlink r:id="rId36" w:history="1">
        <w:r w:rsidRPr="00072B77">
          <w:rPr>
            <w:rStyle w:val="Hyperlink"/>
          </w:rPr>
          <w:t>https://www.courtswv.gov/sites/default/pubfilesmnt/2026-04/24-79%20Memorandum%20Decision.pdf</w:t>
        </w:r>
      </w:hyperlink>
      <w:r w:rsidRPr="00883C4E">
        <w:t xml:space="preserve"> </w:t>
      </w:r>
    </w:p>
    <w:p w14:paraId="236E03FF" w14:textId="77777777" w:rsidR="008326CD" w:rsidRPr="00883C4E" w:rsidRDefault="008326CD" w:rsidP="008326CD">
      <w:pPr>
        <w:pStyle w:val="NoSpacing"/>
        <w:rPr>
          <w:bCs/>
        </w:rPr>
      </w:pPr>
    </w:p>
    <w:p w14:paraId="4E9C2108" w14:textId="77777777" w:rsidR="008326CD" w:rsidRDefault="008326CD" w:rsidP="008326CD">
      <w:pPr>
        <w:pStyle w:val="NoSpacing"/>
        <w:rPr>
          <w:bCs/>
        </w:rPr>
      </w:pPr>
    </w:p>
    <w:p w14:paraId="56AC101D" w14:textId="77777777" w:rsidR="008326CD" w:rsidRPr="00E63016" w:rsidRDefault="008326CD" w:rsidP="008326CD">
      <w:pPr>
        <w:pStyle w:val="NoSpacing"/>
        <w:rPr>
          <w:bCs/>
        </w:rPr>
      </w:pPr>
      <w:r>
        <w:t>THE COURT HELD:</w:t>
      </w:r>
    </w:p>
    <w:p w14:paraId="21F30B11" w14:textId="77777777" w:rsidR="008326CD" w:rsidRDefault="008326CD" w:rsidP="008326CD">
      <w:pPr>
        <w:pStyle w:val="NoSpacing"/>
      </w:pPr>
    </w:p>
    <w:p w14:paraId="03FC5F8D" w14:textId="77777777" w:rsidR="008326CD" w:rsidRPr="00891643" w:rsidRDefault="008326CD" w:rsidP="008326CD">
      <w:pPr>
        <w:pStyle w:val="NoSpacing"/>
        <w:ind w:firstLine="720"/>
      </w:pPr>
      <w:r>
        <w:t>“</w:t>
      </w:r>
      <w:r w:rsidRPr="00891643">
        <w:t>Here, the circuit court considered the evidence presented at the suppression hearing and</w:t>
      </w:r>
    </w:p>
    <w:p w14:paraId="03EA4592" w14:textId="77777777" w:rsidR="008326CD" w:rsidRDefault="008326CD" w:rsidP="008326CD">
      <w:pPr>
        <w:pStyle w:val="NoSpacing"/>
        <w:ind w:left="720"/>
      </w:pPr>
      <w:r w:rsidRPr="00891643">
        <w:t xml:space="preserve">found that the petitioner did not appear intoxicated; that his signatures on both the </w:t>
      </w:r>
      <w:r w:rsidRPr="00883C4E">
        <w:rPr>
          <w:i/>
          <w:iCs/>
        </w:rPr>
        <w:t>Miranda</w:t>
      </w:r>
      <w:r w:rsidRPr="00891643">
        <w:t xml:space="preserve"> waiver</w:t>
      </w:r>
      <w:r>
        <w:t xml:space="preserve"> </w:t>
      </w:r>
      <w:r w:rsidRPr="00891643">
        <w:t>form and the written statement matched; and that the petitioner affirmed the accuracy of the</w:t>
      </w:r>
      <w:r>
        <w:t xml:space="preserve"> </w:t>
      </w:r>
      <w:r w:rsidRPr="00891643">
        <w:t>statement as observed in the recorded portion of the interview—all of which led the court to</w:t>
      </w:r>
      <w:r>
        <w:t xml:space="preserve"> </w:t>
      </w:r>
      <w:r w:rsidRPr="00891643">
        <w:t xml:space="preserve">conclude that the petitioner’s confession was voluntary and not made under duress. </w:t>
      </w:r>
    </w:p>
    <w:p w14:paraId="4D7B9EFF" w14:textId="77777777" w:rsidR="008326CD" w:rsidRDefault="008326CD" w:rsidP="008326CD">
      <w:pPr>
        <w:pStyle w:val="NoSpacing"/>
        <w:ind w:left="720"/>
      </w:pPr>
    </w:p>
    <w:p w14:paraId="1A8F75E1" w14:textId="77777777" w:rsidR="008326CD" w:rsidRDefault="008326CD" w:rsidP="008326CD">
      <w:pPr>
        <w:pStyle w:val="NoSpacing"/>
        <w:ind w:left="720"/>
      </w:pPr>
      <w:r w:rsidRPr="00891643">
        <w:t>While the</w:t>
      </w:r>
      <w:r>
        <w:t xml:space="preserve"> </w:t>
      </w:r>
      <w:r w:rsidRPr="00891643">
        <w:t>petitioner argues that the voluntariness of his confession cannot be proven because his initial</w:t>
      </w:r>
      <w:r>
        <w:t xml:space="preserve"> </w:t>
      </w:r>
      <w:r w:rsidRPr="00891643">
        <w:t xml:space="preserve">statement to Deputy Martin was not recorded, we have previously declined to </w:t>
      </w:r>
      <w:r>
        <w:t>‘</w:t>
      </w:r>
      <w:r w:rsidRPr="00891643">
        <w:t>establish an</w:t>
      </w:r>
      <w:r>
        <w:t xml:space="preserve"> </w:t>
      </w:r>
      <w:r w:rsidRPr="00891643">
        <w:t>absolute rule requiring such recording,</w:t>
      </w:r>
      <w:r>
        <w:t>’</w:t>
      </w:r>
      <w:r w:rsidRPr="00891643">
        <w:t xml:space="preserve"> noting that</w:t>
      </w:r>
      <w:r>
        <w:t xml:space="preserve"> ‘</w:t>
      </w:r>
      <w:r w:rsidRPr="00891643">
        <w:t xml:space="preserve">requiring police agencies to record </w:t>
      </w:r>
      <w:r>
        <w:t>i</w:t>
      </w:r>
      <w:r w:rsidRPr="00891643">
        <w:t>nterrogations is impractical and does not offer any greater safeguards for protecting the accused’s</w:t>
      </w:r>
      <w:r>
        <w:t xml:space="preserve"> </w:t>
      </w:r>
      <w:r w:rsidRPr="00891643">
        <w:t>rights than would be afforded by writing the statements affords.</w:t>
      </w:r>
      <w:r>
        <w:t>’</w:t>
      </w:r>
      <w:r w:rsidRPr="00891643">
        <w:t xml:space="preserve"> State v. Kilmer, 190 W. Va. 617,</w:t>
      </w:r>
      <w:r>
        <w:t xml:space="preserve"> </w:t>
      </w:r>
      <w:r w:rsidRPr="00891643">
        <w:t xml:space="preserve">628-29, 439 S.E.2d 881, 892-93 (1993). </w:t>
      </w:r>
    </w:p>
    <w:p w14:paraId="0CA9F908" w14:textId="77777777" w:rsidR="008326CD" w:rsidRDefault="008326CD" w:rsidP="008326CD">
      <w:pPr>
        <w:pStyle w:val="NoSpacing"/>
        <w:ind w:left="720"/>
      </w:pPr>
      <w:r w:rsidRPr="00891643">
        <w:t>Further, to the extent that petitioner claims the</w:t>
      </w:r>
      <w:r>
        <w:t xml:space="preserve"> </w:t>
      </w:r>
      <w:r w:rsidRPr="00891643">
        <w:t>voluntariness of his statement cannot be proven because Deputy Martin drafted it on his behalf,</w:t>
      </w:r>
      <w:r>
        <w:t xml:space="preserve"> </w:t>
      </w:r>
      <w:r w:rsidRPr="00891643">
        <w:t>we have previously held that</w:t>
      </w:r>
      <w:r>
        <w:t xml:space="preserve"> </w:t>
      </w:r>
      <w:r w:rsidRPr="00891643">
        <w:t>[a] confession or statement made by a suspect is admissible if it is freely</w:t>
      </w:r>
      <w:r>
        <w:t xml:space="preserve"> </w:t>
      </w:r>
      <w:r w:rsidRPr="00891643">
        <w:t>and voluntarily made despite the fact that it is written by an arresting officer if the</w:t>
      </w:r>
      <w:r>
        <w:t xml:space="preserve"> </w:t>
      </w:r>
      <w:r w:rsidRPr="00891643">
        <w:t>confession or statement is read, translated (if necessary), signed by the accused and</w:t>
      </w:r>
      <w:r>
        <w:t xml:space="preserve"> </w:t>
      </w:r>
      <w:r w:rsidRPr="00891643">
        <w:t>admitted by him to be correct.</w:t>
      </w:r>
      <w:r>
        <w:t xml:space="preserve">”  </w:t>
      </w:r>
    </w:p>
    <w:p w14:paraId="6FC35589" w14:textId="77777777" w:rsidR="008326CD" w:rsidRDefault="008326CD" w:rsidP="008326CD">
      <w:pPr>
        <w:pStyle w:val="NoSpacing"/>
        <w:ind w:left="720"/>
      </w:pPr>
    </w:p>
    <w:p w14:paraId="33B55A5D" w14:textId="77777777" w:rsidR="008326CD" w:rsidRPr="003D0F2A" w:rsidRDefault="008326CD" w:rsidP="008326CD">
      <w:pPr>
        <w:pStyle w:val="NoSpacing"/>
        <w:rPr>
          <w:b/>
          <w:bCs/>
        </w:rPr>
      </w:pPr>
      <w:r>
        <w:rPr>
          <w:b/>
        </w:rPr>
        <w:t xml:space="preserve">Legal lesson learned: If PD drafts the confession document, it would be helpful to video the draft being read to the defendant prior to his signature. </w:t>
      </w:r>
    </w:p>
    <w:p w14:paraId="54286982" w14:textId="77777777" w:rsidR="00387E6C" w:rsidRDefault="00387E6C" w:rsidP="00037CB8">
      <w:pPr>
        <w:pStyle w:val="NoSpacing"/>
        <w:rPr>
          <w:rFonts w:ascii="Arial Black" w:hAnsi="Arial Black"/>
          <w:sz w:val="24"/>
          <w:szCs w:val="24"/>
        </w:rPr>
      </w:pPr>
    </w:p>
    <w:p w14:paraId="1527E0F3" w14:textId="77777777" w:rsidR="00822052" w:rsidRDefault="00822052" w:rsidP="00037CB8">
      <w:pPr>
        <w:pStyle w:val="NoSpacing"/>
        <w:rPr>
          <w:rFonts w:ascii="Arial Black" w:hAnsi="Arial Black"/>
          <w:sz w:val="24"/>
          <w:szCs w:val="24"/>
        </w:rPr>
      </w:pPr>
    </w:p>
    <w:p w14:paraId="606A6F7B" w14:textId="59B2DBBF" w:rsidR="00822052" w:rsidRDefault="00822052" w:rsidP="00822052">
      <w:pPr>
        <w:pStyle w:val="NoSpacing"/>
        <w:rPr>
          <w:rFonts w:ascii="Arial Black" w:hAnsi="Arial Black"/>
          <w:sz w:val="24"/>
          <w:szCs w:val="24"/>
        </w:rPr>
      </w:pPr>
      <w:r>
        <w:rPr>
          <w:rFonts w:ascii="Arial Black" w:hAnsi="Arial Black"/>
          <w:sz w:val="24"/>
          <w:szCs w:val="24"/>
        </w:rPr>
        <w:t>1-207</w:t>
      </w:r>
    </w:p>
    <w:p w14:paraId="64F48355" w14:textId="77777777" w:rsidR="00822052" w:rsidRDefault="00822052" w:rsidP="00037CB8">
      <w:pPr>
        <w:pStyle w:val="NoSpacing"/>
        <w:rPr>
          <w:rFonts w:ascii="Arial Black" w:hAnsi="Arial Black"/>
          <w:sz w:val="24"/>
          <w:szCs w:val="24"/>
        </w:rPr>
      </w:pPr>
    </w:p>
    <w:p w14:paraId="49D08AD2" w14:textId="77777777" w:rsidR="00822052" w:rsidRDefault="00822052" w:rsidP="00037CB8">
      <w:pPr>
        <w:pStyle w:val="NoSpacing"/>
        <w:rPr>
          <w:rFonts w:ascii="Arial Black" w:hAnsi="Arial Black"/>
          <w:sz w:val="24"/>
          <w:szCs w:val="24"/>
        </w:rPr>
      </w:pPr>
    </w:p>
    <w:p w14:paraId="3E197E33" w14:textId="77777777" w:rsidR="00822052" w:rsidRDefault="00822052" w:rsidP="00822052">
      <w:pPr>
        <w:pStyle w:val="NoSpacing"/>
        <w:rPr>
          <w:rFonts w:ascii="Arial Black" w:hAnsi="Arial Black"/>
          <w:b/>
          <w:sz w:val="28"/>
          <w:szCs w:val="28"/>
        </w:rPr>
      </w:pPr>
      <w:r>
        <w:rPr>
          <w:rFonts w:ascii="Arial Black" w:hAnsi="Arial Black"/>
          <w:b/>
          <w:sz w:val="28"/>
          <w:szCs w:val="28"/>
        </w:rPr>
        <w:t>TX: BATTERY STORAGE PLANT– INJUNCTION – RISK PLAN</w:t>
      </w:r>
    </w:p>
    <w:p w14:paraId="730B4CC1" w14:textId="77777777" w:rsidR="00822052" w:rsidRDefault="00822052" w:rsidP="00822052">
      <w:pPr>
        <w:pStyle w:val="NoSpacing"/>
        <w:rPr>
          <w:rFonts w:ascii="Arial Black" w:hAnsi="Arial Black"/>
          <w:b/>
          <w:sz w:val="28"/>
          <w:szCs w:val="28"/>
        </w:rPr>
      </w:pPr>
    </w:p>
    <w:p w14:paraId="138C8D57" w14:textId="77777777" w:rsidR="00822052" w:rsidRDefault="00822052" w:rsidP="00822052">
      <w:pPr>
        <w:pStyle w:val="NoSpacing"/>
        <w:rPr>
          <w:b/>
        </w:rPr>
      </w:pPr>
      <w:r>
        <w:lastRenderedPageBreak/>
        <w:t xml:space="preserve">On April 9, 2026, in </w:t>
      </w:r>
      <w:r w:rsidRPr="00D9240F">
        <w:t xml:space="preserve">Jim Clements, et al. v. Jason McBroom, et al., </w:t>
      </w:r>
      <w:r>
        <w:t xml:space="preserve">the </w:t>
      </w:r>
      <w:r w:rsidRPr="00D9240F">
        <w:t>Court of Appeals of Texas, Third District, Austin</w:t>
      </w:r>
      <w:r>
        <w:t xml:space="preserve"> held (3 to 0) reversed trial court and held that landowners are entitled to an injunction to </w:t>
      </w:r>
      <w:r w:rsidRPr="00792680">
        <w:t xml:space="preserve">temporarily halt the construction of a planned 200-megawatt Battery Energy Storage System (BESS) on the </w:t>
      </w:r>
      <w:proofErr w:type="spellStart"/>
      <w:r w:rsidRPr="00792680">
        <w:t>McBrooms</w:t>
      </w:r>
      <w:proofErr w:type="spellEnd"/>
      <w:r w:rsidRPr="00792680">
        <w:t xml:space="preserve">' property until the </w:t>
      </w:r>
      <w:proofErr w:type="spellStart"/>
      <w:r w:rsidRPr="00792680">
        <w:t>McBrooms</w:t>
      </w:r>
      <w:proofErr w:type="spellEnd"/>
      <w:r w:rsidRPr="00792680">
        <w:t xml:space="preserve"> ensure the implementation of a “Court-approved hazard mitigation plan, including specific measures for fire containment, contamination prevention, and emergency response.”</w:t>
      </w:r>
      <w:r>
        <w:t xml:space="preserve">  </w:t>
      </w:r>
    </w:p>
    <w:p w14:paraId="1216F496" w14:textId="77777777" w:rsidR="00822052" w:rsidRPr="00656164" w:rsidRDefault="00822052" w:rsidP="00822052">
      <w:pPr>
        <w:pStyle w:val="NoSpacing"/>
        <w:rPr>
          <w:bCs/>
        </w:rPr>
      </w:pPr>
      <w:hyperlink r:id="rId37" w:history="1">
        <w:r w:rsidRPr="00656164">
          <w:rPr>
            <w:rStyle w:val="Hyperlink"/>
          </w:rPr>
          <w:t>https://caselaw.findlaw.com/court/tx-court-of-appeals/118277713.html</w:t>
        </w:r>
      </w:hyperlink>
    </w:p>
    <w:p w14:paraId="15B1D7E4" w14:textId="77777777" w:rsidR="00822052" w:rsidRPr="00656164" w:rsidRDefault="00822052" w:rsidP="00822052">
      <w:pPr>
        <w:pStyle w:val="NoSpacing"/>
        <w:rPr>
          <w:bCs/>
        </w:rPr>
      </w:pPr>
    </w:p>
    <w:p w14:paraId="62B3FE8C" w14:textId="77777777" w:rsidR="00822052" w:rsidRPr="00656164" w:rsidRDefault="00822052" w:rsidP="00822052">
      <w:pPr>
        <w:pStyle w:val="NoSpacing"/>
        <w:rPr>
          <w:bCs/>
        </w:rPr>
      </w:pPr>
      <w:r w:rsidRPr="00656164">
        <w:t xml:space="preserve">THE COURT HELD: </w:t>
      </w:r>
    </w:p>
    <w:p w14:paraId="2E392DF5" w14:textId="77777777" w:rsidR="00822052" w:rsidRDefault="00822052" w:rsidP="00822052">
      <w:pPr>
        <w:pStyle w:val="NoSpacing"/>
        <w:rPr>
          <w:bCs/>
        </w:rPr>
      </w:pPr>
    </w:p>
    <w:p w14:paraId="62A4D576" w14:textId="77777777" w:rsidR="00822052" w:rsidRPr="002E6437" w:rsidRDefault="00822052" w:rsidP="00822052">
      <w:pPr>
        <w:pStyle w:val="NoSpacing"/>
        <w:ind w:left="720"/>
        <w:rPr>
          <w:bCs/>
        </w:rPr>
      </w:pPr>
      <w:r>
        <w:t>“</w:t>
      </w:r>
      <w:r w:rsidRPr="002E6437">
        <w:t xml:space="preserve">In their live petition, filed November 26, 2024, Landowners asserted a claim against the </w:t>
      </w:r>
      <w:proofErr w:type="spellStart"/>
      <w:r w:rsidRPr="002E6437">
        <w:t>McBrooms</w:t>
      </w:r>
      <w:proofErr w:type="spellEnd"/>
      <w:r w:rsidRPr="002E6437">
        <w:t xml:space="preserve"> for private nuisance based on negligence to support their request for injunctive relief and damages. Landowners' factual allegations include the following:</w:t>
      </w:r>
    </w:p>
    <w:p w14:paraId="689DF851" w14:textId="77777777" w:rsidR="00822052" w:rsidRDefault="00822052" w:rsidP="00822052">
      <w:pPr>
        <w:pStyle w:val="NoSpacing"/>
        <w:rPr>
          <w:bCs/>
        </w:rPr>
      </w:pPr>
    </w:p>
    <w:p w14:paraId="0F4C1D36" w14:textId="77777777" w:rsidR="00822052" w:rsidRPr="002E6437" w:rsidRDefault="00822052" w:rsidP="00822052">
      <w:pPr>
        <w:pStyle w:val="NoSpacing"/>
        <w:ind w:left="1440"/>
        <w:rPr>
          <w:bCs/>
        </w:rPr>
      </w:pPr>
      <w:r w:rsidRPr="002E6437">
        <w:t>• Construction on the planned BESS facility could begin as early as “the fourth quarter of 2025,” with operations beginning in 2026;</w:t>
      </w:r>
    </w:p>
    <w:p w14:paraId="760955AA" w14:textId="77777777" w:rsidR="00822052" w:rsidRDefault="00822052" w:rsidP="00822052">
      <w:pPr>
        <w:pStyle w:val="NoSpacing"/>
        <w:ind w:left="1440"/>
        <w:rPr>
          <w:bCs/>
        </w:rPr>
      </w:pPr>
      <w:r w:rsidRPr="002E6437">
        <w:t xml:space="preserve">• The planned BESS relies on lithium-ion battery technology, which is prone to </w:t>
      </w:r>
      <w:r>
        <w:t>‘</w:t>
      </w:r>
      <w:r w:rsidRPr="002E6437">
        <w:t>thermal runaway,</w:t>
      </w:r>
      <w:r>
        <w:t>’</w:t>
      </w:r>
      <w:r w:rsidRPr="002E6437">
        <w:t xml:space="preserve"> a self-sustaining process triggered by overheating that can lead to the rapid release of flammable gases, high-temperature fires, and even explosions</w:t>
      </w:r>
      <w:r>
        <w:t>; …</w:t>
      </w:r>
    </w:p>
    <w:p w14:paraId="5F284BAC" w14:textId="77777777" w:rsidR="00822052" w:rsidRPr="005B0BC8" w:rsidRDefault="00822052" w:rsidP="00822052">
      <w:pPr>
        <w:pStyle w:val="NoSpacing"/>
        <w:ind w:left="1440"/>
        <w:rPr>
          <w:bCs/>
        </w:rPr>
      </w:pPr>
      <w:r w:rsidRPr="005B0BC8">
        <w:t>The phenomenon of thermal runaway is well-documented in federal research and has been observed in multiple large-scale BESS incidents, underscoring the immediate risks posed to nearby residents;</w:t>
      </w:r>
    </w:p>
    <w:p w14:paraId="27EBFB80" w14:textId="77777777" w:rsidR="00822052" w:rsidRPr="005B0BC8" w:rsidRDefault="00822052" w:rsidP="00822052">
      <w:pPr>
        <w:pStyle w:val="NoSpacing"/>
        <w:ind w:left="1440"/>
        <w:rPr>
          <w:bCs/>
        </w:rPr>
      </w:pPr>
      <w:r w:rsidRPr="005B0BC8">
        <w:t xml:space="preserve">• Despite these substantial hazards, Texas currently lacks adequate regulations for BESS facilities, leaving the burden of risk entirely on </w:t>
      </w:r>
      <w:proofErr w:type="gramStart"/>
      <w:r w:rsidRPr="005B0BC8">
        <w:t>local residents</w:t>
      </w:r>
      <w:proofErr w:type="gramEnd"/>
      <w:r w:rsidRPr="005B0BC8">
        <w:t>;</w:t>
      </w:r>
    </w:p>
    <w:p w14:paraId="231C1433" w14:textId="77777777" w:rsidR="00822052" w:rsidRPr="005B0BC8" w:rsidRDefault="00822052" w:rsidP="00822052">
      <w:pPr>
        <w:pStyle w:val="NoSpacing"/>
        <w:ind w:left="1440"/>
        <w:rPr>
          <w:bCs/>
        </w:rPr>
      </w:pPr>
      <w:r w:rsidRPr="005B0BC8">
        <w:t>• Fayette County is ill-equipped to address the unique and severe dangers associated with BESS fires. The County relies on a volunteer firefighting force that lacks the specialized training, personnel, and resources—such as water supplies and hazardous-material-response capabilities—necessary to manage such incidents;</w:t>
      </w:r>
    </w:p>
    <w:p w14:paraId="073FB2EF" w14:textId="77777777" w:rsidR="00822052" w:rsidRPr="005B0BC8" w:rsidRDefault="00822052" w:rsidP="00822052">
      <w:pPr>
        <w:pStyle w:val="NoSpacing"/>
        <w:ind w:left="1440"/>
        <w:rPr>
          <w:bCs/>
        </w:rPr>
      </w:pPr>
      <w:r w:rsidRPr="005B0BC8">
        <w:t>• Fire Chief Eddie Schneider confirmed at a local town hall that the County's emergency response infrastructure is insufficient for handling BESS fires, noting that the County lacks both the resources and an emergency plan tailored to the hazards posed by lithium-ion battery fires;</w:t>
      </w:r>
    </w:p>
    <w:p w14:paraId="31C03C76" w14:textId="77777777" w:rsidR="00822052" w:rsidRPr="005B0BC8" w:rsidRDefault="00822052" w:rsidP="00822052">
      <w:pPr>
        <w:pStyle w:val="NoSpacing"/>
        <w:ind w:left="1440"/>
        <w:rPr>
          <w:bCs/>
        </w:rPr>
      </w:pPr>
      <w:r w:rsidRPr="005B0BC8">
        <w:t>• The County's unpreparedness directly endangers Landowners, as the County cannot effectively contain a BESS fire or prevent its resulting contamination from spreading through the environment</w:t>
      </w:r>
      <w:r>
        <w:t xml:space="preserve">…. </w:t>
      </w:r>
    </w:p>
    <w:p w14:paraId="36DC5934" w14:textId="77777777" w:rsidR="00822052" w:rsidRPr="002E6437" w:rsidRDefault="00822052" w:rsidP="00822052">
      <w:pPr>
        <w:pStyle w:val="NoSpacing"/>
        <w:ind w:left="1440"/>
        <w:rPr>
          <w:bCs/>
        </w:rPr>
      </w:pPr>
    </w:p>
    <w:p w14:paraId="3E56EDAB" w14:textId="77777777" w:rsidR="00822052" w:rsidRPr="00656164" w:rsidRDefault="00822052" w:rsidP="00822052">
      <w:pPr>
        <w:pStyle w:val="NoSpacing"/>
        <w:rPr>
          <w:bCs/>
        </w:rPr>
      </w:pPr>
      <w:r>
        <w:tab/>
        <w:t>***</w:t>
      </w:r>
    </w:p>
    <w:p w14:paraId="27E8816E" w14:textId="77777777" w:rsidR="00822052" w:rsidRPr="00656164" w:rsidRDefault="00822052" w:rsidP="00822052">
      <w:pPr>
        <w:pStyle w:val="NoSpacing"/>
        <w:rPr>
          <w:bCs/>
        </w:rPr>
      </w:pPr>
    </w:p>
    <w:p w14:paraId="1DBA174E" w14:textId="77777777" w:rsidR="00822052" w:rsidRDefault="00822052" w:rsidP="00822052">
      <w:pPr>
        <w:pStyle w:val="NoSpacing"/>
        <w:ind w:left="720"/>
      </w:pPr>
      <w:proofErr w:type="gramStart"/>
      <w:r w:rsidRPr="00DE129C">
        <w:t>Similarly</w:t>
      </w:r>
      <w:proofErr w:type="gramEnd"/>
      <w:r w:rsidRPr="00DE129C">
        <w:t xml:space="preserve"> here, we conclude that Landowners have sufficiently alleged facts that, if proven, would support their request for injunctive relief to redress a prospective nuisance that plausibly will be caused by the </w:t>
      </w:r>
      <w:proofErr w:type="spellStart"/>
      <w:r w:rsidRPr="00DE129C">
        <w:t>McBrooms</w:t>
      </w:r>
      <w:proofErr w:type="spellEnd"/>
      <w:r w:rsidRPr="00DE129C">
        <w:t xml:space="preserve">' and Staccato's imminent actions that will likely cause irreparable harm for which they would have no adequate remedy at law. Viewing the allegations liberally and making all reasonable inferences in Landowners' favor, as we must, we conclude that they have sufficiently pleaded that the </w:t>
      </w:r>
      <w:proofErr w:type="spellStart"/>
      <w:r w:rsidRPr="00DE129C">
        <w:t>McBrooms</w:t>
      </w:r>
      <w:proofErr w:type="spellEnd"/>
      <w:r w:rsidRPr="00DE129C">
        <w:t xml:space="preserve"> will indeed engage in the activity sought to be enjoined—allowing Staccato to construct and operate a BESS on their property without sufficient hazard-mitigation plans and measures in place, highlighted by Staccato's alleged demonstrable intent to construct and operate the BESS in such manner—to entitle Landowners to the relief sought and pass the hurdle of a Rule 91a motion. See Tex. R. Civ. P. 91a. Landowners' allegations are sufficient to state a cognizable claim for the court to exercise its equitable power to enjoin a prospective nuisance, if proven, see Huynh, 694 S.W.3d at 679, and the trial court erred in determining otherwise.</w:t>
      </w:r>
      <w:r>
        <w:t>”</w:t>
      </w:r>
    </w:p>
    <w:p w14:paraId="071CC39C" w14:textId="77777777" w:rsidR="00822052" w:rsidRDefault="00822052" w:rsidP="00822052">
      <w:pPr>
        <w:pStyle w:val="NoSpacing"/>
        <w:ind w:left="720"/>
      </w:pPr>
    </w:p>
    <w:p w14:paraId="7588FAF4" w14:textId="77777777" w:rsidR="00822052" w:rsidRPr="00CA65F9" w:rsidRDefault="00822052" w:rsidP="00822052">
      <w:pPr>
        <w:pStyle w:val="NoSpacing"/>
        <w:rPr>
          <w:b/>
          <w:bCs/>
        </w:rPr>
      </w:pPr>
      <w:r w:rsidRPr="00CA65F9">
        <w:rPr>
          <w:b/>
        </w:rPr>
        <w:t xml:space="preserve">Legal lesson learned: Texas currently lacks adequate regulations for BESS facilities; hazard-mitigation plan needed to address thermal runaway and other safety hazards. </w:t>
      </w:r>
    </w:p>
    <w:p w14:paraId="23106731" w14:textId="77777777" w:rsidR="00822052" w:rsidRDefault="00822052" w:rsidP="00822052">
      <w:pPr>
        <w:pStyle w:val="NoSpacing"/>
        <w:rPr>
          <w:bCs/>
        </w:rPr>
      </w:pPr>
    </w:p>
    <w:p w14:paraId="475382B7" w14:textId="77777777" w:rsidR="00822052" w:rsidRDefault="00822052" w:rsidP="00822052">
      <w:pPr>
        <w:pStyle w:val="NoSpacing"/>
        <w:rPr>
          <w:bCs/>
        </w:rPr>
      </w:pPr>
    </w:p>
    <w:p w14:paraId="69CA7DFF" w14:textId="77777777" w:rsidR="00822052" w:rsidRDefault="00822052" w:rsidP="00822052">
      <w:pPr>
        <w:pStyle w:val="NoSpacing"/>
        <w:rPr>
          <w:bCs/>
        </w:rPr>
      </w:pPr>
    </w:p>
    <w:p w14:paraId="75E3C56B" w14:textId="77777777" w:rsidR="00822052" w:rsidRDefault="00822052" w:rsidP="00037CB8">
      <w:pPr>
        <w:pStyle w:val="NoSpacing"/>
        <w:rPr>
          <w:rFonts w:ascii="Arial Black" w:hAnsi="Arial Black"/>
          <w:sz w:val="24"/>
          <w:szCs w:val="24"/>
        </w:rPr>
      </w:pPr>
    </w:p>
    <w:p w14:paraId="0543B1FA" w14:textId="77777777" w:rsidR="00387E6C" w:rsidRDefault="00387E6C" w:rsidP="00037CB8">
      <w:pPr>
        <w:pStyle w:val="NoSpacing"/>
        <w:rPr>
          <w:rFonts w:ascii="Arial Black" w:hAnsi="Arial Black"/>
          <w:sz w:val="24"/>
          <w:szCs w:val="24"/>
        </w:rPr>
      </w:pPr>
    </w:p>
    <w:p w14:paraId="1A6044C6" w14:textId="77777777" w:rsidR="00387E6C" w:rsidRDefault="00387E6C" w:rsidP="00037CB8">
      <w:pPr>
        <w:pStyle w:val="NoSpacing"/>
        <w:rPr>
          <w:rFonts w:ascii="Arial Black" w:hAnsi="Arial Black"/>
          <w:sz w:val="24"/>
          <w:szCs w:val="24"/>
        </w:rPr>
      </w:pPr>
    </w:p>
    <w:p w14:paraId="76950E13" w14:textId="77777777" w:rsidR="00387E6C" w:rsidRDefault="00387E6C" w:rsidP="00037CB8">
      <w:pPr>
        <w:pStyle w:val="NoSpacing"/>
        <w:rPr>
          <w:rFonts w:ascii="Arial Black" w:hAnsi="Arial Black"/>
          <w:sz w:val="24"/>
          <w:szCs w:val="24"/>
        </w:rPr>
      </w:pPr>
    </w:p>
    <w:p w14:paraId="62529162" w14:textId="77777777" w:rsidR="00387E6C" w:rsidRDefault="00387E6C" w:rsidP="00037CB8">
      <w:pPr>
        <w:pStyle w:val="NoSpacing"/>
        <w:rPr>
          <w:rFonts w:ascii="Arial Black" w:hAnsi="Arial Black"/>
          <w:sz w:val="24"/>
          <w:szCs w:val="24"/>
        </w:rPr>
      </w:pPr>
    </w:p>
    <w:p w14:paraId="5DD865EA" w14:textId="4F49EE94" w:rsidR="006C4753" w:rsidRDefault="006C4753" w:rsidP="00037CB8">
      <w:pPr>
        <w:pStyle w:val="NoSpacing"/>
        <w:rPr>
          <w:rFonts w:ascii="Arial Black" w:hAnsi="Arial Black"/>
          <w:sz w:val="24"/>
          <w:szCs w:val="24"/>
        </w:rPr>
      </w:pPr>
      <w:r>
        <w:rPr>
          <w:rFonts w:ascii="Arial Black" w:hAnsi="Arial Black"/>
          <w:sz w:val="24"/>
          <w:szCs w:val="24"/>
        </w:rPr>
        <w:t>1-206</w:t>
      </w:r>
    </w:p>
    <w:p w14:paraId="2C398EFF" w14:textId="77777777" w:rsidR="006C4753" w:rsidRDefault="006C4753" w:rsidP="00037CB8">
      <w:pPr>
        <w:pStyle w:val="NoSpacing"/>
        <w:rPr>
          <w:rFonts w:ascii="Arial Black" w:hAnsi="Arial Black"/>
          <w:sz w:val="24"/>
          <w:szCs w:val="24"/>
        </w:rPr>
      </w:pPr>
    </w:p>
    <w:p w14:paraId="1F787486" w14:textId="77777777" w:rsidR="00961DF4" w:rsidRPr="007F62AA" w:rsidRDefault="00961DF4" w:rsidP="00961DF4">
      <w:pPr>
        <w:pStyle w:val="NoSpacing"/>
        <w:rPr>
          <w:rFonts w:ascii="Arial Black" w:hAnsi="Arial Black"/>
          <w:b/>
          <w:sz w:val="28"/>
          <w:szCs w:val="28"/>
        </w:rPr>
      </w:pPr>
      <w:r>
        <w:rPr>
          <w:rFonts w:ascii="Arial Black" w:hAnsi="Arial Black"/>
          <w:b/>
          <w:sz w:val="28"/>
          <w:szCs w:val="28"/>
        </w:rPr>
        <w:t>TX: PUBLIC RECORDS - 19 CHILDREN / 2 TEACHERS KILLED</w:t>
      </w:r>
    </w:p>
    <w:p w14:paraId="6B1AFA8A" w14:textId="77777777" w:rsidR="00961DF4" w:rsidRDefault="00961DF4" w:rsidP="00961DF4">
      <w:pPr>
        <w:pStyle w:val="NoSpacing"/>
        <w:rPr>
          <w:b/>
        </w:rPr>
      </w:pPr>
    </w:p>
    <w:p w14:paraId="050A7360" w14:textId="77777777" w:rsidR="00961DF4" w:rsidRDefault="00961DF4" w:rsidP="00961DF4">
      <w:pPr>
        <w:pStyle w:val="NoSpacing"/>
        <w:rPr>
          <w:bCs/>
        </w:rPr>
      </w:pPr>
      <w:r w:rsidRPr="00BC7AD6">
        <w:t xml:space="preserve">On March 6, 2026, in </w:t>
      </w:r>
      <w:r w:rsidRPr="00BC7AD6">
        <w:rPr>
          <w:u w:val="single"/>
        </w:rPr>
        <w:t>Texas Department of Public Safety, et al. v. Texas Tribune, CBS News; Cable News Network, Inc., et al</w:t>
      </w:r>
      <w:r w:rsidRPr="00BC7AD6">
        <w:t>.</w:t>
      </w:r>
      <w:r>
        <w:t xml:space="preserve">, the Texas </w:t>
      </w:r>
      <w:r w:rsidRPr="008C739B">
        <w:t>Fifteenth Court of Appeals</w:t>
      </w:r>
      <w:r>
        <w:t xml:space="preserve"> held (3 to 0) that the trial court improperly granted summary judgment to news media for access to law enforcement records while District Attorney was actively interviewing witnesses. The prosecutor had filed an affidavit confirming </w:t>
      </w:r>
      <w:r w:rsidRPr="00932725">
        <w:t>that her office will be questioning many witnesses and needs</w:t>
      </w:r>
      <w:r>
        <w:t xml:space="preserve"> </w:t>
      </w:r>
      <w:r w:rsidRPr="00932725">
        <w:t xml:space="preserve">such </w:t>
      </w:r>
      <w:r>
        <w:t>“</w:t>
      </w:r>
      <w:r w:rsidRPr="00932725">
        <w:t>testimony to be uninfluenced by media accounts.</w:t>
      </w:r>
      <w:r>
        <w:t xml:space="preserve">” </w:t>
      </w:r>
    </w:p>
    <w:p w14:paraId="7CF8EB6F" w14:textId="77777777" w:rsidR="00961DF4" w:rsidRDefault="00961DF4" w:rsidP="00961DF4">
      <w:pPr>
        <w:pStyle w:val="NoSpacing"/>
        <w:rPr>
          <w:bCs/>
        </w:rPr>
      </w:pPr>
      <w:hyperlink r:id="rId38" w:history="1">
        <w:r w:rsidRPr="004D13CD">
          <w:rPr>
            <w:rStyle w:val="Hyperlink"/>
          </w:rPr>
          <w:t>https://cases.justia.com/texas/fifteenth-court-of-appeals/2026-15-24-00010-cv.pdf?ts=1772815197</w:t>
        </w:r>
      </w:hyperlink>
      <w:r>
        <w:t xml:space="preserve"> </w:t>
      </w:r>
    </w:p>
    <w:p w14:paraId="746CFF0D" w14:textId="77777777" w:rsidR="00961DF4" w:rsidRDefault="00961DF4" w:rsidP="00961DF4">
      <w:pPr>
        <w:pStyle w:val="NoSpacing"/>
        <w:rPr>
          <w:bCs/>
        </w:rPr>
      </w:pPr>
    </w:p>
    <w:p w14:paraId="14818E23" w14:textId="77777777" w:rsidR="00961DF4" w:rsidRDefault="00961DF4" w:rsidP="00961DF4">
      <w:pPr>
        <w:pStyle w:val="NoSpacing"/>
        <w:rPr>
          <w:bCs/>
        </w:rPr>
      </w:pPr>
      <w:r>
        <w:t>THE COURT HELD:  “</w:t>
      </w:r>
      <w:r w:rsidRPr="009A68DF">
        <w:t>On May 24, 2022, an 18-year-old former student of Robb Elementary in</w:t>
      </w:r>
      <w:r>
        <w:t xml:space="preserve"> </w:t>
      </w:r>
      <w:r w:rsidRPr="009A68DF">
        <w:t>Uvalde shot his grandmother, crashed her truck in a ditch near the school, made his</w:t>
      </w:r>
      <w:r>
        <w:t xml:space="preserve"> </w:t>
      </w:r>
      <w:r w:rsidRPr="009A68DF">
        <w:t>way to the school, and killed twenty-one people and injured seventeen others. Three</w:t>
      </w:r>
      <w:r>
        <w:t xml:space="preserve"> </w:t>
      </w:r>
      <w:r w:rsidRPr="009A68DF">
        <w:t>hundred and seventy-six officers from almost two dozen state, federal, and local law</w:t>
      </w:r>
      <w:r>
        <w:t xml:space="preserve"> </w:t>
      </w:r>
      <w:r w:rsidRPr="009A68DF">
        <w:t>enforcement agencies responded to the shooting, including ninety-one from DPS.</w:t>
      </w:r>
      <w:r>
        <w:t xml:space="preserve"> </w:t>
      </w:r>
      <w:r w:rsidRPr="009A68DF">
        <w:t>Although some arrived within minutes of the gunman, approximately seventy-four</w:t>
      </w:r>
      <w:r>
        <w:t xml:space="preserve"> </w:t>
      </w:r>
      <w:r w:rsidRPr="009A68DF">
        <w:t>minutes elapsed between the time the gunman entered the school and when officers</w:t>
      </w:r>
      <w:r>
        <w:t xml:space="preserve"> </w:t>
      </w:r>
      <w:r w:rsidRPr="009A68DF">
        <w:t>breached the room where he was located and killed him. The loss of life and time it</w:t>
      </w:r>
      <w:r>
        <w:t xml:space="preserve"> </w:t>
      </w:r>
      <w:r w:rsidRPr="009A68DF">
        <w:t>took to neutralize the gunman immediately prompted questions about law</w:t>
      </w:r>
      <w:r>
        <w:t xml:space="preserve"> </w:t>
      </w:r>
      <w:r w:rsidRPr="009A68DF">
        <w:t>enforcement’s response.</w:t>
      </w:r>
    </w:p>
    <w:p w14:paraId="4936844B" w14:textId="77777777" w:rsidR="00961DF4" w:rsidRDefault="00961DF4" w:rsidP="00961DF4">
      <w:pPr>
        <w:pStyle w:val="NoSpacing"/>
        <w:rPr>
          <w:bCs/>
        </w:rPr>
      </w:pPr>
    </w:p>
    <w:p w14:paraId="4B7E1832" w14:textId="77777777" w:rsidR="00961DF4" w:rsidRDefault="00961DF4" w:rsidP="00961DF4">
      <w:pPr>
        <w:pStyle w:val="NoSpacing"/>
        <w:rPr>
          <w:bCs/>
        </w:rPr>
      </w:pPr>
      <w:r>
        <w:t>***</w:t>
      </w:r>
    </w:p>
    <w:p w14:paraId="3F732608" w14:textId="77777777" w:rsidR="00961DF4" w:rsidRDefault="00961DF4" w:rsidP="00961DF4">
      <w:pPr>
        <w:pStyle w:val="NoSpacing"/>
        <w:rPr>
          <w:bCs/>
        </w:rPr>
      </w:pPr>
    </w:p>
    <w:p w14:paraId="3F86E203" w14:textId="77777777" w:rsidR="00961DF4" w:rsidRDefault="00961DF4" w:rsidP="00961DF4">
      <w:pPr>
        <w:pStyle w:val="NoSpacing"/>
        <w:rPr>
          <w:bCs/>
        </w:rPr>
      </w:pPr>
      <w:r>
        <w:t xml:space="preserve">[District Attorney] </w:t>
      </w:r>
      <w:r w:rsidRPr="00932725">
        <w:t>Mitchell opined that her office will be questioning many witnesses and needs</w:t>
      </w:r>
      <w:r>
        <w:t xml:space="preserve"> </w:t>
      </w:r>
      <w:r w:rsidRPr="00932725">
        <w:t xml:space="preserve">such </w:t>
      </w:r>
      <w:r>
        <w:t>‘</w:t>
      </w:r>
      <w:r w:rsidRPr="00932725">
        <w:t>testimony to be uninfluenced by media accounts.</w:t>
      </w:r>
      <w:r>
        <w:t xml:space="preserve">’ </w:t>
      </w:r>
      <w:r w:rsidRPr="00932725">
        <w:t xml:space="preserve"> She alleged that this has</w:t>
      </w:r>
      <w:r>
        <w:t xml:space="preserve"> </w:t>
      </w:r>
      <w:r w:rsidRPr="00932725">
        <w:t xml:space="preserve">already become an issue as one interviewed witness </w:t>
      </w:r>
      <w:proofErr w:type="gramStart"/>
      <w:r w:rsidRPr="00932725">
        <w:t>said</w:t>
      </w:r>
      <w:proofErr w:type="gramEnd"/>
      <w:r w:rsidRPr="00932725">
        <w:t xml:space="preserve"> </w:t>
      </w:r>
      <w:r>
        <w:t>‘</w:t>
      </w:r>
      <w:r w:rsidRPr="00932725">
        <w:t>that they cannot remember</w:t>
      </w:r>
      <w:r>
        <w:t xml:space="preserve"> </w:t>
      </w:r>
      <w:r w:rsidRPr="00932725">
        <w:t xml:space="preserve">if what they are </w:t>
      </w:r>
      <w:proofErr w:type="spellStart"/>
      <w:r w:rsidRPr="00932725">
        <w:t>stating</w:t>
      </w:r>
      <w:proofErr w:type="spellEnd"/>
      <w:r w:rsidRPr="00932725">
        <w:t xml:space="preserve"> to investigators is their individual and personal recollection</w:t>
      </w:r>
      <w:r>
        <w:t xml:space="preserve"> </w:t>
      </w:r>
      <w:r w:rsidRPr="00932725">
        <w:t>from the event or from events reported by and in the media.</w:t>
      </w:r>
      <w:r>
        <w:t>’</w:t>
      </w:r>
      <w:r w:rsidRPr="00932725">
        <w:t xml:space="preserve"> At bottom, Mitchell</w:t>
      </w:r>
      <w:r>
        <w:t xml:space="preserve"> </w:t>
      </w:r>
      <w:r w:rsidRPr="00932725">
        <w:t xml:space="preserve">opined that disclosing the information </w:t>
      </w:r>
      <w:r>
        <w:t>‘</w:t>
      </w:r>
      <w:r w:rsidRPr="00932725">
        <w:t>would ultimately leave [her] office, the</w:t>
      </w:r>
      <w:r>
        <w:t xml:space="preserve"> </w:t>
      </w:r>
      <w:r w:rsidRPr="00932725">
        <w:t>families of the deceased and injured children, the other victims, and the overall</w:t>
      </w:r>
      <w:r>
        <w:t xml:space="preserve"> </w:t>
      </w:r>
      <w:r w:rsidRPr="00932725">
        <w:t>Uvalde community with an investigation for which a valid prosecution could not be</w:t>
      </w:r>
      <w:r>
        <w:t xml:space="preserve"> </w:t>
      </w:r>
      <w:proofErr w:type="gramStart"/>
      <w:r w:rsidRPr="00932725">
        <w:t>dependent.</w:t>
      </w:r>
      <w:r>
        <w:t>’</w:t>
      </w:r>
      <w:proofErr w:type="gramEnd"/>
    </w:p>
    <w:p w14:paraId="34997684" w14:textId="77777777" w:rsidR="00961DF4" w:rsidRDefault="00961DF4" w:rsidP="00961DF4">
      <w:pPr>
        <w:pStyle w:val="NoSpacing"/>
        <w:rPr>
          <w:bCs/>
        </w:rPr>
      </w:pPr>
    </w:p>
    <w:p w14:paraId="7E646F3B" w14:textId="77777777" w:rsidR="00961DF4" w:rsidRDefault="00961DF4" w:rsidP="00961DF4">
      <w:pPr>
        <w:pStyle w:val="NoSpacing"/>
        <w:rPr>
          <w:bCs/>
        </w:rPr>
      </w:pPr>
      <w:r>
        <w:t>***</w:t>
      </w:r>
    </w:p>
    <w:p w14:paraId="6E0C1CFF" w14:textId="77777777" w:rsidR="00961DF4" w:rsidRDefault="00961DF4" w:rsidP="00961DF4">
      <w:pPr>
        <w:pStyle w:val="NoSpacing"/>
        <w:rPr>
          <w:bCs/>
        </w:rPr>
      </w:pPr>
    </w:p>
    <w:p w14:paraId="61C1587F" w14:textId="77777777" w:rsidR="00961DF4" w:rsidRDefault="00961DF4" w:rsidP="00961DF4">
      <w:pPr>
        <w:pStyle w:val="NoSpacing"/>
        <w:rPr>
          <w:bCs/>
        </w:rPr>
      </w:pPr>
    </w:p>
    <w:p w14:paraId="516CF5B3" w14:textId="77777777" w:rsidR="00961DF4" w:rsidRDefault="00961DF4" w:rsidP="00961DF4">
      <w:pPr>
        <w:pStyle w:val="NoSpacing"/>
        <w:rPr>
          <w:bCs/>
        </w:rPr>
      </w:pPr>
      <w:r>
        <w:t>[W]</w:t>
      </w:r>
      <w:r w:rsidRPr="00D15E6B">
        <w:t>e</w:t>
      </w:r>
      <w:r>
        <w:t xml:space="preserve"> </w:t>
      </w:r>
      <w:proofErr w:type="gramStart"/>
      <w:r w:rsidRPr="00D15E6B">
        <w:t>hold</w:t>
      </w:r>
      <w:proofErr w:type="gramEnd"/>
      <w:r w:rsidRPr="00D15E6B">
        <w:t xml:space="preserve"> that DPS carried its burden of supplying more than a mere </w:t>
      </w:r>
      <w:proofErr w:type="gramStart"/>
      <w:r w:rsidRPr="00D15E6B">
        <w:t>scintilla</w:t>
      </w:r>
      <w:proofErr w:type="gramEnd"/>
      <w:r w:rsidRPr="00D15E6B">
        <w:t xml:space="preserve"> of evidence</w:t>
      </w:r>
      <w:r>
        <w:t xml:space="preserve"> </w:t>
      </w:r>
      <w:r w:rsidRPr="00D15E6B">
        <w:t>to support the law enforcement’s exception’s application. Significantly, we do not</w:t>
      </w:r>
      <w:r>
        <w:t xml:space="preserve"> </w:t>
      </w:r>
      <w:r w:rsidRPr="00D15E6B">
        <w:t>hold that each file and video clip contained in the massive volume of responsive</w:t>
      </w:r>
      <w:r>
        <w:t xml:space="preserve"> </w:t>
      </w:r>
      <w:r w:rsidRPr="00D15E6B">
        <w:t>information is forever shielded from public view. Rather, we conclude that DPS</w:t>
      </w:r>
      <w:r>
        <w:t xml:space="preserve"> </w:t>
      </w:r>
      <w:r w:rsidRPr="00D15E6B">
        <w:t>cleared the bar of defeating a summary judgment with respect to the responsive</w:t>
      </w:r>
      <w:r>
        <w:t xml:space="preserve"> </w:t>
      </w:r>
      <w:r w:rsidRPr="00D15E6B">
        <w:t>information and is entitled to proceed to a trial. At trial, DPS will bear the burden of</w:t>
      </w:r>
      <w:r>
        <w:t xml:space="preserve"> </w:t>
      </w:r>
      <w:r w:rsidRPr="00D15E6B">
        <w:t>proving that the information sought qualifies for the law enforcement exception to</w:t>
      </w:r>
      <w:r>
        <w:t xml:space="preserve"> </w:t>
      </w:r>
      <w:r w:rsidRPr="00D15E6B">
        <w:t>disclosure. But that was not DPS’s burden at this early juncture.</w:t>
      </w:r>
      <w:r>
        <w:t>:</w:t>
      </w:r>
    </w:p>
    <w:p w14:paraId="5C1AADA4" w14:textId="77777777" w:rsidR="00961DF4" w:rsidRDefault="00961DF4" w:rsidP="00961DF4">
      <w:pPr>
        <w:pStyle w:val="NoSpacing"/>
        <w:rPr>
          <w:bCs/>
        </w:rPr>
      </w:pPr>
    </w:p>
    <w:p w14:paraId="06844FB6" w14:textId="77777777" w:rsidR="00961DF4" w:rsidRPr="002C6D76" w:rsidRDefault="00961DF4" w:rsidP="00961DF4">
      <w:pPr>
        <w:pStyle w:val="NoSpacing"/>
        <w:rPr>
          <w:b/>
        </w:rPr>
      </w:pPr>
      <w:r>
        <w:rPr>
          <w:b/>
        </w:rPr>
        <w:t xml:space="preserve">Legal lesson learned: Public records requests must be balanced against the need for investigators to interview witnesses without being influenced by the media. </w:t>
      </w:r>
    </w:p>
    <w:p w14:paraId="54C18782" w14:textId="77777777" w:rsidR="00961DF4" w:rsidRDefault="00961DF4" w:rsidP="00037CB8">
      <w:pPr>
        <w:pStyle w:val="NoSpacing"/>
        <w:rPr>
          <w:rFonts w:ascii="Arial Black" w:hAnsi="Arial Black"/>
          <w:sz w:val="24"/>
          <w:szCs w:val="24"/>
        </w:rPr>
      </w:pPr>
    </w:p>
    <w:p w14:paraId="66E60D30" w14:textId="77777777" w:rsidR="006C4753" w:rsidRDefault="006C4753" w:rsidP="00037CB8">
      <w:pPr>
        <w:pStyle w:val="NoSpacing"/>
        <w:rPr>
          <w:rFonts w:ascii="Arial Black" w:hAnsi="Arial Black"/>
          <w:sz w:val="24"/>
          <w:szCs w:val="24"/>
        </w:rPr>
      </w:pPr>
    </w:p>
    <w:p w14:paraId="44C9B4F5" w14:textId="77777777" w:rsidR="006C4753" w:rsidRDefault="006C4753" w:rsidP="00037CB8">
      <w:pPr>
        <w:pStyle w:val="NoSpacing"/>
        <w:rPr>
          <w:rFonts w:ascii="Arial Black" w:hAnsi="Arial Black"/>
          <w:sz w:val="24"/>
          <w:szCs w:val="24"/>
        </w:rPr>
      </w:pPr>
    </w:p>
    <w:p w14:paraId="76BADCF2" w14:textId="2294E2B3" w:rsidR="007A0B60" w:rsidRDefault="007A0B60" w:rsidP="00037CB8">
      <w:pPr>
        <w:pStyle w:val="NoSpacing"/>
        <w:rPr>
          <w:rFonts w:ascii="Arial Black" w:hAnsi="Arial Black"/>
          <w:sz w:val="24"/>
          <w:szCs w:val="24"/>
        </w:rPr>
      </w:pPr>
      <w:r>
        <w:rPr>
          <w:rFonts w:ascii="Arial Black" w:hAnsi="Arial Black"/>
          <w:sz w:val="24"/>
          <w:szCs w:val="24"/>
        </w:rPr>
        <w:t>1-205</w:t>
      </w:r>
    </w:p>
    <w:p w14:paraId="34826ACD" w14:textId="77777777" w:rsidR="007A0B60" w:rsidRDefault="007A0B60" w:rsidP="00037CB8">
      <w:pPr>
        <w:pStyle w:val="NoSpacing"/>
        <w:rPr>
          <w:rFonts w:ascii="Arial Black" w:hAnsi="Arial Black"/>
          <w:sz w:val="24"/>
          <w:szCs w:val="24"/>
        </w:rPr>
      </w:pPr>
    </w:p>
    <w:p w14:paraId="11A11520" w14:textId="77777777" w:rsidR="007A0B60" w:rsidRPr="007076A7" w:rsidRDefault="007A0B60" w:rsidP="007A0B60">
      <w:pPr>
        <w:pStyle w:val="NoSpacing"/>
        <w:rPr>
          <w:rFonts w:ascii="Arial Black" w:hAnsi="Arial Black"/>
          <w:b/>
          <w:sz w:val="28"/>
          <w:szCs w:val="28"/>
        </w:rPr>
      </w:pPr>
      <w:r>
        <w:rPr>
          <w:rFonts w:ascii="Arial Black" w:hAnsi="Arial Black"/>
          <w:b/>
          <w:sz w:val="28"/>
          <w:szCs w:val="28"/>
        </w:rPr>
        <w:t>CA: ARSON / MJ GROW IN BLDG / CITY KNEW - IMMUNITY</w:t>
      </w:r>
    </w:p>
    <w:p w14:paraId="6BB4154F" w14:textId="77777777" w:rsidR="007A0B60" w:rsidRDefault="007A0B60" w:rsidP="007A0B60">
      <w:pPr>
        <w:pStyle w:val="NoSpacing"/>
        <w:rPr>
          <w:bCs/>
        </w:rPr>
      </w:pPr>
    </w:p>
    <w:p w14:paraId="76A269BD" w14:textId="77777777" w:rsidR="007A0B60" w:rsidRPr="00867718" w:rsidRDefault="007A0B60" w:rsidP="007A0B60">
      <w:pPr>
        <w:pStyle w:val="NoSpacing"/>
      </w:pPr>
      <w:r>
        <w:lastRenderedPageBreak/>
        <w:t xml:space="preserve">On February 24, 2026, in </w:t>
      </w:r>
      <w:r w:rsidRPr="004C7E3E">
        <w:rPr>
          <w:u w:val="single"/>
        </w:rPr>
        <w:t xml:space="preserve">Pink </w:t>
      </w:r>
      <w:proofErr w:type="spellStart"/>
      <w:r w:rsidRPr="004C7E3E">
        <w:rPr>
          <w:u w:val="single"/>
        </w:rPr>
        <w:t>Selkin</w:t>
      </w:r>
      <w:proofErr w:type="spellEnd"/>
      <w:r w:rsidRPr="004C7E3E">
        <w:rPr>
          <w:u w:val="single"/>
        </w:rPr>
        <w:t>, et al. v. City of Los Angeles</w:t>
      </w:r>
      <w:r>
        <w:t xml:space="preserve">, the </w:t>
      </w:r>
      <w:r w:rsidRPr="004C7E3E">
        <w:t>California Court of Appeals, Second District, Fifth Division</w:t>
      </w:r>
      <w:r>
        <w:t xml:space="preserve"> held (3 to 0) that trial court properly dismissed the lawsuit be individuals living in the commercial building who were injured in the arson fire.  While police on prior occasions observed safety issues in the building, and </w:t>
      </w:r>
      <w:r w:rsidRPr="00E864A2">
        <w:t xml:space="preserve">the fire department received two customer service requests regarding an alleged marijuana grow operation at the property, </w:t>
      </w:r>
      <w:r>
        <w:t>which were forwarded t</w:t>
      </w:r>
      <w:r w:rsidRPr="00E864A2">
        <w:t>o the Los Angeles Department of Building and Safety (DBS)</w:t>
      </w:r>
      <w:r>
        <w:t xml:space="preserve">, there is governmental immunity for the </w:t>
      </w:r>
      <w:r w:rsidRPr="00F126CC">
        <w:t>City of Los Angeles under the Government Claims Act under section 815.6, based on its failure to carry out a mandatory duty to abate obvious building and safety code violations.</w:t>
      </w:r>
      <w:r>
        <w:t xml:space="preserve">  </w:t>
      </w:r>
      <w:hyperlink r:id="rId39" w:history="1">
        <w:r w:rsidRPr="00867718">
          <w:rPr>
            <w:rStyle w:val="Hyperlink"/>
          </w:rPr>
          <w:t>https://public.fastcase.com/Jhe1Qn%2BmJndQYQU6z%2FeNm57E189vmSMp%2BOS67ay8wFWitKPcCGY4GMdxJS93bY4IOZ1rR%2BpqLAwnmO1MhhKsFw8mOzyCAgo2oZ0ZZPsNViU%3D?utm_medium=email&amp;_hsenc=p2ANqtz-_RDDEsF8WYWrAIUyd_V4g0U3Z9WIVpc4wUXBmJG03XH_ukvjIDW01jf2KlbNNNJy_jYwJIbAOIzBm1vMJk5QjVjhiSog&amp;_hsmi=226712652&amp;utm_content=226712652&amp;utm_source=hs_email</w:t>
        </w:r>
      </w:hyperlink>
      <w:r w:rsidRPr="00867718">
        <w:t xml:space="preserve"> </w:t>
      </w:r>
    </w:p>
    <w:p w14:paraId="4FBF632E" w14:textId="77777777" w:rsidR="007A0B60" w:rsidRDefault="007A0B60" w:rsidP="007A0B60">
      <w:pPr>
        <w:pStyle w:val="NoSpacing"/>
      </w:pPr>
    </w:p>
    <w:p w14:paraId="7C4CCEB9" w14:textId="77777777" w:rsidR="007A0B60" w:rsidRPr="00E864A2" w:rsidRDefault="007A0B60" w:rsidP="007A0B60">
      <w:pPr>
        <w:pStyle w:val="NoSpacing"/>
      </w:pPr>
      <w:r>
        <w:t>THE COURT HELD: “</w:t>
      </w:r>
      <w:r w:rsidRPr="009913E2">
        <w:t xml:space="preserve">This case arises from an arson fire at a commercial building in Los Angeles which killed two individuals. The survivors of the deceased filed several suits against the </w:t>
      </w:r>
      <w:proofErr w:type="gramStart"/>
      <w:r w:rsidRPr="009913E2">
        <w:t>City</w:t>
      </w:r>
      <w:proofErr w:type="gramEnd"/>
      <w:r w:rsidRPr="009913E2">
        <w:t xml:space="preserve">. Pink </w:t>
      </w:r>
      <w:proofErr w:type="spellStart"/>
      <w:r w:rsidRPr="009913E2">
        <w:t>Selkin</w:t>
      </w:r>
      <w:proofErr w:type="spellEnd"/>
      <w:r w:rsidRPr="009913E2">
        <w:t xml:space="preserve">, who was also trapped in the fire and survived, filed a separate suit, seeking damages for her permanent injuries, including severe burns over more than three-quarters of her body. </w:t>
      </w:r>
      <w:r>
        <w:t xml:space="preserve"> </w:t>
      </w:r>
      <w:r w:rsidRPr="009913E2">
        <w:t>Plaintiffs' theory of liability is that because City employees had actual knowledge of obvious fire safety hazards, the City had a mandatory duty to ensure that the substandard conditions were addressed, and because the City's knowledge was not in any way related to a building inspection, the inspection immunity statute does not protect the City from liability for its failure to fulfill its mandatory duties</w:t>
      </w:r>
      <w:r>
        <w:t xml:space="preserve">…. </w:t>
      </w:r>
      <w:r w:rsidRPr="00E864A2">
        <w:t>A</w:t>
      </w:r>
      <w:r>
        <w:t xml:space="preserve"> </w:t>
      </w:r>
      <w:r w:rsidRPr="00E864A2">
        <w:t xml:space="preserve"> DBS </w:t>
      </w:r>
      <w:r>
        <w:t>[</w:t>
      </w:r>
      <w:r w:rsidRPr="00E864A2">
        <w:t>Department of Building and Safety</w:t>
      </w:r>
      <w:r>
        <w:t>]</w:t>
      </w:r>
      <w:r w:rsidRPr="00E864A2">
        <w:t xml:space="preserve"> staff member testified that DBS is not trained in matters concerning unlawful growing of marijuana, however, and therefore DBS forwarded the requests to the police department.</w:t>
      </w:r>
      <w:r w:rsidRPr="00E864A2">
        <w:rPr>
          <w:vertAlign w:val="superscript"/>
        </w:rPr>
        <w:t>[</w:t>
      </w:r>
      <w:hyperlink r:id="rId40" w:anchor="ftn.FN3" w:history="1">
        <w:r w:rsidRPr="00E864A2">
          <w:rPr>
            <w:rStyle w:val="Hyperlink"/>
            <w:vertAlign w:val="superscript"/>
          </w:rPr>
          <w:t>3</w:t>
        </w:r>
      </w:hyperlink>
      <w:r w:rsidRPr="00E864A2">
        <w:rPr>
          <w:vertAlign w:val="superscript"/>
        </w:rPr>
        <w:t>]</w:t>
      </w:r>
    </w:p>
    <w:p w14:paraId="29A38871" w14:textId="77777777" w:rsidR="007A0B60" w:rsidRDefault="007A0B60" w:rsidP="007A0B60">
      <w:pPr>
        <w:pStyle w:val="NoSpacing"/>
      </w:pPr>
    </w:p>
    <w:p w14:paraId="01B62CFF" w14:textId="77777777" w:rsidR="007A0B60" w:rsidRDefault="007A0B60" w:rsidP="007A0B60">
      <w:pPr>
        <w:pStyle w:val="NoSpacing"/>
        <w:ind w:left="720"/>
        <w:rPr>
          <w:bCs/>
        </w:rPr>
      </w:pPr>
      <w:r>
        <w:t xml:space="preserve">Footnote 3: </w:t>
      </w:r>
      <w:r w:rsidRPr="00545AD8">
        <w:t>Based upon the appellate briefing and the trial court's minute order, we understand that no party presented evidence that any DBS personnel inspected the property or personally observed any substandard conditions of the property.</w:t>
      </w:r>
    </w:p>
    <w:p w14:paraId="44E8F33A" w14:textId="77777777" w:rsidR="007A0B60" w:rsidRDefault="007A0B60" w:rsidP="007A0B60">
      <w:pPr>
        <w:pStyle w:val="NoSpacing"/>
      </w:pPr>
    </w:p>
    <w:p w14:paraId="37C7C194" w14:textId="77777777" w:rsidR="007A0B60" w:rsidRDefault="007A0B60" w:rsidP="007A0B60">
      <w:pPr>
        <w:pStyle w:val="NoSpacing"/>
      </w:pPr>
      <w:r w:rsidRPr="00BB5BC7">
        <w:t xml:space="preserve">However, </w:t>
      </w:r>
      <w:r>
        <w:t xml:space="preserve">[Government Code] </w:t>
      </w:r>
      <w:r w:rsidRPr="00BB5BC7">
        <w:t xml:space="preserve">section 818.6 provides a specific statutory immunity for inspections: </w:t>
      </w:r>
      <w:r>
        <w:t>‘</w:t>
      </w:r>
      <w:r w:rsidRPr="00BB5BC7">
        <w:t>A public entity is not liable for injury caused by its failure to make an inspection, or by reason of making an inadequate or negligent inspection . . . for the purpose of determining whether the property complies with or violates any enactment or contains or constitutes a hazard to health or safety.</w:t>
      </w:r>
      <w:r>
        <w:t>’”</w:t>
      </w:r>
    </w:p>
    <w:p w14:paraId="055A1C84" w14:textId="77777777" w:rsidR="007A0B60" w:rsidRDefault="007A0B60" w:rsidP="007A0B60">
      <w:pPr>
        <w:pStyle w:val="NoSpacing"/>
      </w:pPr>
    </w:p>
    <w:p w14:paraId="6D04ADF2" w14:textId="77777777" w:rsidR="007A0B60" w:rsidRPr="00CC7E78" w:rsidRDefault="007A0B60" w:rsidP="007A0B60">
      <w:pPr>
        <w:pStyle w:val="NoSpacing"/>
        <w:rPr>
          <w:b/>
          <w:bCs/>
        </w:rPr>
      </w:pPr>
      <w:r>
        <w:rPr>
          <w:b/>
        </w:rPr>
        <w:t xml:space="preserve">Legal lesson learned: There is broad statutory immunity for failure to inspect, or apparently also for failure to follow up.  </w:t>
      </w:r>
      <w:r w:rsidRPr="00CC7E78">
        <w:rPr>
          <w:b/>
        </w:rPr>
        <w:t xml:space="preserve">LA’s </w:t>
      </w:r>
      <w:r w:rsidRPr="00E864A2">
        <w:rPr>
          <w:b/>
        </w:rPr>
        <w:t>Department of Building and Safety</w:t>
      </w:r>
      <w:r>
        <w:rPr>
          <w:b/>
        </w:rPr>
        <w:t xml:space="preserve"> needs a protocol on handling calls for marijuana growth operations in buildings. </w:t>
      </w:r>
    </w:p>
    <w:p w14:paraId="67920D61" w14:textId="77777777" w:rsidR="007A0B60" w:rsidRDefault="007A0B60" w:rsidP="007A0B60">
      <w:pPr>
        <w:pStyle w:val="NoSpacing"/>
      </w:pPr>
    </w:p>
    <w:p w14:paraId="07D8EE6A" w14:textId="77777777" w:rsidR="007A0B60" w:rsidRDefault="007A0B60" w:rsidP="00037CB8">
      <w:pPr>
        <w:pStyle w:val="NoSpacing"/>
        <w:rPr>
          <w:rFonts w:ascii="Arial Black" w:hAnsi="Arial Black"/>
          <w:sz w:val="24"/>
          <w:szCs w:val="24"/>
        </w:rPr>
      </w:pPr>
    </w:p>
    <w:p w14:paraId="3A992096" w14:textId="77777777" w:rsidR="00E5401A" w:rsidRDefault="00E5401A" w:rsidP="00037CB8">
      <w:pPr>
        <w:pStyle w:val="NoSpacing"/>
        <w:rPr>
          <w:rFonts w:ascii="Arial Black" w:hAnsi="Arial Black"/>
          <w:sz w:val="24"/>
          <w:szCs w:val="24"/>
        </w:rPr>
      </w:pPr>
    </w:p>
    <w:p w14:paraId="22D9E2B8" w14:textId="664D3078" w:rsidR="00E5401A" w:rsidRDefault="00E5401A" w:rsidP="00037CB8">
      <w:pPr>
        <w:pStyle w:val="NoSpacing"/>
        <w:rPr>
          <w:rFonts w:ascii="Arial Black" w:hAnsi="Arial Black"/>
          <w:sz w:val="24"/>
          <w:szCs w:val="24"/>
        </w:rPr>
      </w:pPr>
      <w:r>
        <w:rPr>
          <w:rFonts w:ascii="Arial Black" w:hAnsi="Arial Black"/>
          <w:sz w:val="24"/>
          <w:szCs w:val="24"/>
        </w:rPr>
        <w:t>1-20</w:t>
      </w:r>
      <w:r w:rsidR="00345B75">
        <w:rPr>
          <w:rFonts w:ascii="Arial Black" w:hAnsi="Arial Black"/>
          <w:sz w:val="24"/>
          <w:szCs w:val="24"/>
        </w:rPr>
        <w:t>4</w:t>
      </w:r>
    </w:p>
    <w:p w14:paraId="2CF5CB94" w14:textId="77777777" w:rsidR="00345B75" w:rsidRDefault="00345B75" w:rsidP="00037CB8">
      <w:pPr>
        <w:pStyle w:val="NoSpacing"/>
        <w:rPr>
          <w:rFonts w:ascii="Arial Black" w:hAnsi="Arial Black"/>
          <w:sz w:val="24"/>
          <w:szCs w:val="24"/>
        </w:rPr>
      </w:pPr>
    </w:p>
    <w:p w14:paraId="7D6B2F26" w14:textId="77777777" w:rsidR="00345B75" w:rsidRDefault="00345B75" w:rsidP="00345B75">
      <w:pPr>
        <w:pStyle w:val="NoSpacing"/>
        <w:rPr>
          <w:rFonts w:ascii="Arial Black" w:hAnsi="Arial Black"/>
          <w:bCs/>
          <w:sz w:val="28"/>
          <w:szCs w:val="28"/>
        </w:rPr>
      </w:pPr>
      <w:r>
        <w:rPr>
          <w:rFonts w:ascii="Arial Black" w:hAnsi="Arial Black"/>
          <w:sz w:val="28"/>
          <w:szCs w:val="28"/>
        </w:rPr>
        <w:t>CA: ARSON FOREST - DROUGHT / “BEETLE” – RE-SENTENCE</w:t>
      </w:r>
    </w:p>
    <w:p w14:paraId="13FCCB3B" w14:textId="77777777" w:rsidR="00345B75" w:rsidRDefault="00345B75" w:rsidP="00345B75">
      <w:pPr>
        <w:pStyle w:val="NoSpacing"/>
        <w:rPr>
          <w:rFonts w:ascii="Arial Black" w:hAnsi="Arial Black"/>
          <w:bCs/>
          <w:sz w:val="28"/>
          <w:szCs w:val="28"/>
        </w:rPr>
      </w:pPr>
    </w:p>
    <w:p w14:paraId="640D44D0" w14:textId="77777777" w:rsidR="00345B75" w:rsidRDefault="00345B75" w:rsidP="00345B75">
      <w:pPr>
        <w:pStyle w:val="NoSpacing"/>
      </w:pPr>
      <w:r>
        <w:t xml:space="preserve">On February 17, 2026, in </w:t>
      </w:r>
      <w:r w:rsidRPr="00731068">
        <w:rPr>
          <w:u w:val="single"/>
        </w:rPr>
        <w:t>The People v. Derek J. Gutierrez</w:t>
      </w:r>
      <w:r>
        <w:t xml:space="preserve">, the California </w:t>
      </w:r>
      <w:r w:rsidRPr="00731068">
        <w:t>Court of Appeal, Fourth District, Division 1</w:t>
      </w:r>
      <w:r>
        <w:t xml:space="preserve"> held (3 to 0) that the trial court must resentence him; he received an enhanced prison term for setting fire to a forest during a declared state of emergency (drought caused beetle infestation filling millions of trees). </w:t>
      </w:r>
      <w:r w:rsidRPr="00CE6B93">
        <w:t xml:space="preserve">A jury convicted him of felony arson of forest land and found </w:t>
      </w:r>
      <w:proofErr w:type="gramStart"/>
      <w:r w:rsidRPr="00CE6B93">
        <w:t>true a</w:t>
      </w:r>
      <w:proofErr w:type="gramEnd"/>
      <w:r w:rsidRPr="00CE6B93">
        <w:t xml:space="preserve"> sentencing enhancement allegation that he set the fire "during and within an area" proclaimed by the Governor to be in a state of emergency. (Pen. Code, § 454, subd. (a)(2).) The enhancement elevates the sentencing triad for this type of arson by five, seven, or nine years.</w:t>
      </w:r>
      <w:r>
        <w:t xml:space="preserve"> However, the prosecutor failed to prove to the jury that the 2015 </w:t>
      </w:r>
      <w:r w:rsidRPr="00290677">
        <w:t xml:space="preserve">state of emergency </w:t>
      </w:r>
      <w:r>
        <w:t xml:space="preserve">applied to Riverside County when in December 2023 </w:t>
      </w:r>
      <w:r w:rsidRPr="003E03D1">
        <w:t>Derek J. Gutierrez was arrested for setting a fire</w:t>
      </w:r>
      <w:r>
        <w:t xml:space="preserve">.  </w:t>
      </w:r>
      <w:hyperlink r:id="rId41" w:history="1">
        <w:r w:rsidRPr="00125CD1">
          <w:rPr>
            <w:rStyle w:val="Hyperlink"/>
          </w:rPr>
          <w:t>https://www.casemine.com/judgement/us/6995c147d22bd43f3d89db5b</w:t>
        </w:r>
      </w:hyperlink>
      <w:r>
        <w:t xml:space="preserve"> </w:t>
      </w:r>
    </w:p>
    <w:p w14:paraId="6C15CA1C" w14:textId="77777777" w:rsidR="00345B75" w:rsidRDefault="00345B75" w:rsidP="00345B75">
      <w:pPr>
        <w:pStyle w:val="NoSpacing"/>
      </w:pPr>
    </w:p>
    <w:p w14:paraId="1AF77941" w14:textId="77777777" w:rsidR="00345B75" w:rsidRDefault="00345B75" w:rsidP="00345B75">
      <w:pPr>
        <w:pStyle w:val="NoSpacing"/>
      </w:pPr>
      <w:r>
        <w:lastRenderedPageBreak/>
        <w:t>THE COURT HELD:  “</w:t>
      </w:r>
      <w:r w:rsidRPr="003F7FB0">
        <w:t xml:space="preserve">On December 9, 2023, around 6:30 a.m., </w:t>
      </w:r>
      <w:r>
        <w:t xml:space="preserve">[property owner] </w:t>
      </w:r>
      <w:r w:rsidRPr="003F7FB0">
        <w:t xml:space="preserve">Jorge heard </w:t>
      </w:r>
      <w:r>
        <w:t>‘</w:t>
      </w:r>
      <w:r w:rsidRPr="003F7FB0">
        <w:t>yelling and screaming</w:t>
      </w:r>
      <w:r>
        <w:t>’</w:t>
      </w:r>
      <w:r w:rsidRPr="003F7FB0">
        <w:t xml:space="preserve"> outside. He drove up the hill to investigate. He stopped the truck near some bushes about halfway between his house and the mountains.</w:t>
      </w:r>
      <w:r>
        <w:t xml:space="preserve"> </w:t>
      </w:r>
      <w:r w:rsidRPr="007E21E1">
        <w:t>Gutierrez came out of the bushes wearing a backpack. He was about 100 or 200 feet from Jorge. Jorge recognized him because, about a year earlier, he had seen the owner of the property tell Gutierrez to leave the property and never come back.</w:t>
      </w:r>
      <w:r>
        <w:t xml:space="preserve"> </w:t>
      </w:r>
      <w:r w:rsidRPr="007E21E1">
        <w:t xml:space="preserve">Jorge asked Gutierrez what he was doing, and Gutierrez asked him for a beer. Jorge took a photograph of Gutierrez and told him he had no beer. Gutierrez went back into the bushes, and Jorge could no longer see him. A few minutes later, Jorge saw smoke coming from the bushes. He called the property owner, then 911. While Jorge was on the phone reporting the smoke to the 911 dispatcher, Gutierrez began walking down the hill while </w:t>
      </w:r>
      <w:r>
        <w:t>‘</w:t>
      </w:r>
      <w:proofErr w:type="gramStart"/>
      <w:r w:rsidRPr="007E21E1">
        <w:t>yelling, and</w:t>
      </w:r>
      <w:proofErr w:type="gramEnd"/>
      <w:r w:rsidRPr="007E21E1">
        <w:t xml:space="preserve"> saying something.</w:t>
      </w:r>
      <w:r>
        <w:t xml:space="preserve">’ </w:t>
      </w:r>
      <w:r w:rsidRPr="00C17AFF">
        <w:t>Firefighters from the Riverside County Fire Department arrived within 15 to 20 minutes. A fire captain noticed smoke as he approached. He saw a person standing near the location of the smoke. The person started walking down the hill through the forest toward Lakeland Village. The captain later identified the person as Gutierrez</w:t>
      </w:r>
      <w:r>
        <w:t xml:space="preserve">…. </w:t>
      </w:r>
      <w:r w:rsidRPr="003463CD">
        <w:t>The fire investigator headed back to where he had seen Gutierrez and found him walking on Grand Avenue about a mile from the location of the fire. He arrested him and patted him down for weapons. According to the investigator, Gutierrez physically resisted when he tried to handcuff him. The investigator called for backup and eventually managed to place Gutierrez in the back of his CAL FIRE truck.</w:t>
      </w:r>
      <w:r>
        <w:t xml:space="preserve"> </w:t>
      </w:r>
      <w:r w:rsidRPr="0024559A">
        <w:t xml:space="preserve">The fire investigator found two lighters in Gutierrez's pocket and three lighters in his backpack and grocery bag. One of the lighters was a "small butane lighter" that was out of fuel. </w:t>
      </w:r>
      <w:r>
        <w:t xml:space="preserve">*** </w:t>
      </w:r>
      <w:r w:rsidRPr="000F17F2">
        <w:t>We agree with Gutierrez that this language in the proclamation does not declare a statewide state of emergency, but rather expressly limits the state of emergency to areas and zones of the state that were yet to be identified. Because the proclamation did not extend statewide, the People failed to prove Gutierrez committed arson during and within an area in a state of emergency.</w:t>
      </w:r>
      <w:r>
        <w:t>”</w:t>
      </w:r>
    </w:p>
    <w:p w14:paraId="22F36771" w14:textId="77777777" w:rsidR="00345B75" w:rsidRDefault="00345B75" w:rsidP="00345B75">
      <w:pPr>
        <w:pStyle w:val="NoSpacing"/>
      </w:pPr>
    </w:p>
    <w:p w14:paraId="5EB268CB" w14:textId="6ED40FB2" w:rsidR="00345B75" w:rsidRDefault="00345B75" w:rsidP="00345B75">
      <w:pPr>
        <w:pStyle w:val="NoSpacing"/>
        <w:rPr>
          <w:rFonts w:ascii="Arial Black" w:hAnsi="Arial Black"/>
          <w:sz w:val="24"/>
          <w:szCs w:val="24"/>
        </w:rPr>
      </w:pPr>
      <w:r w:rsidRPr="001C250F">
        <w:rPr>
          <w:b/>
        </w:rPr>
        <w:t xml:space="preserve">Legal lesson learned: </w:t>
      </w:r>
      <w:r>
        <w:rPr>
          <w:b/>
        </w:rPr>
        <w:t>The defendant remains convicted of arson but must be re-sentenced</w:t>
      </w:r>
    </w:p>
    <w:p w14:paraId="28F3464D" w14:textId="77777777" w:rsidR="007A0B60" w:rsidRDefault="007A0B60" w:rsidP="00037CB8">
      <w:pPr>
        <w:pStyle w:val="NoSpacing"/>
        <w:rPr>
          <w:rFonts w:ascii="Arial Black" w:hAnsi="Arial Black"/>
          <w:sz w:val="24"/>
          <w:szCs w:val="24"/>
        </w:rPr>
      </w:pPr>
    </w:p>
    <w:p w14:paraId="0D27CD36" w14:textId="77777777" w:rsidR="007A0B60" w:rsidRDefault="007A0B60" w:rsidP="00037CB8">
      <w:pPr>
        <w:pStyle w:val="NoSpacing"/>
        <w:rPr>
          <w:rFonts w:ascii="Arial Black" w:hAnsi="Arial Black"/>
          <w:sz w:val="24"/>
          <w:szCs w:val="24"/>
        </w:rPr>
      </w:pPr>
    </w:p>
    <w:p w14:paraId="33FCA000" w14:textId="77777777" w:rsidR="007A0B60" w:rsidRDefault="007A0B60" w:rsidP="00037CB8">
      <w:pPr>
        <w:pStyle w:val="NoSpacing"/>
        <w:rPr>
          <w:rFonts w:ascii="Arial Black" w:hAnsi="Arial Black"/>
          <w:sz w:val="24"/>
          <w:szCs w:val="24"/>
        </w:rPr>
      </w:pPr>
    </w:p>
    <w:p w14:paraId="090EEFB9" w14:textId="77777777" w:rsidR="007A0B60" w:rsidRDefault="007A0B60" w:rsidP="00037CB8">
      <w:pPr>
        <w:pStyle w:val="NoSpacing"/>
        <w:rPr>
          <w:rFonts w:ascii="Arial Black" w:hAnsi="Arial Black"/>
          <w:sz w:val="24"/>
          <w:szCs w:val="24"/>
        </w:rPr>
      </w:pPr>
    </w:p>
    <w:p w14:paraId="6D66EA1B" w14:textId="77777777" w:rsidR="007A0B60" w:rsidRDefault="007A0B60" w:rsidP="00037CB8">
      <w:pPr>
        <w:pStyle w:val="NoSpacing"/>
        <w:rPr>
          <w:rFonts w:ascii="Arial Black" w:hAnsi="Arial Black"/>
          <w:sz w:val="24"/>
          <w:szCs w:val="24"/>
        </w:rPr>
      </w:pPr>
    </w:p>
    <w:p w14:paraId="7122DA9F" w14:textId="1D0F4215" w:rsidR="00D035D9" w:rsidRDefault="00C137EF" w:rsidP="00037CB8">
      <w:pPr>
        <w:pStyle w:val="NoSpacing"/>
        <w:rPr>
          <w:rFonts w:ascii="Arial Black" w:hAnsi="Arial Black"/>
          <w:sz w:val="24"/>
          <w:szCs w:val="24"/>
        </w:rPr>
      </w:pPr>
      <w:r>
        <w:rPr>
          <w:rFonts w:ascii="Arial Black" w:hAnsi="Arial Black"/>
          <w:sz w:val="24"/>
          <w:szCs w:val="24"/>
        </w:rPr>
        <w:t>1-20</w:t>
      </w:r>
      <w:r w:rsidR="0015512D">
        <w:rPr>
          <w:rFonts w:ascii="Arial Black" w:hAnsi="Arial Black"/>
          <w:sz w:val="24"/>
          <w:szCs w:val="24"/>
        </w:rPr>
        <w:t>3</w:t>
      </w:r>
    </w:p>
    <w:p w14:paraId="65FBB331" w14:textId="77777777" w:rsidR="00C137EF" w:rsidRDefault="00C137EF" w:rsidP="00037CB8">
      <w:pPr>
        <w:pStyle w:val="NoSpacing"/>
        <w:rPr>
          <w:rFonts w:ascii="Arial Black" w:hAnsi="Arial Black"/>
          <w:sz w:val="24"/>
          <w:szCs w:val="24"/>
        </w:rPr>
      </w:pPr>
    </w:p>
    <w:p w14:paraId="12E90B59" w14:textId="77777777" w:rsidR="00C137EF" w:rsidRPr="005E65E1" w:rsidRDefault="00C137EF" w:rsidP="00C137EF">
      <w:pPr>
        <w:pStyle w:val="NoSpacing"/>
        <w:rPr>
          <w:rFonts w:ascii="Arial Black" w:hAnsi="Arial Black"/>
          <w:sz w:val="28"/>
          <w:szCs w:val="28"/>
        </w:rPr>
      </w:pPr>
      <w:r>
        <w:rPr>
          <w:rFonts w:ascii="Arial Black" w:hAnsi="Arial Black"/>
          <w:sz w:val="28"/>
          <w:szCs w:val="28"/>
        </w:rPr>
        <w:t>U.S. SUP CT: MED. EMERG - PD ENTER HOME W/O WARRANT</w:t>
      </w:r>
    </w:p>
    <w:p w14:paraId="116517CC" w14:textId="77777777" w:rsidR="00C137EF" w:rsidRDefault="00C137EF" w:rsidP="00C137EF">
      <w:pPr>
        <w:pStyle w:val="NoSpacing"/>
      </w:pPr>
    </w:p>
    <w:p w14:paraId="6E4EA501" w14:textId="77777777" w:rsidR="00C137EF" w:rsidRDefault="00C137EF" w:rsidP="00C137EF">
      <w:pPr>
        <w:pStyle w:val="NoSpacing"/>
      </w:pPr>
      <w:r>
        <w:t xml:space="preserve">On Jan. 14, 2026, in </w:t>
      </w:r>
      <w:r w:rsidRPr="00860758">
        <w:rPr>
          <w:u w:val="single"/>
        </w:rPr>
        <w:t>William Trevor Case v. Montana</w:t>
      </w:r>
      <w:r>
        <w:t xml:space="preserve">, the Supreme Court of the United States held (9 to 0) that “In Brigham City v. Stuart, 547 U. S. 398, 400 (2006), this Court held that police officers may enter a home without a warrant if they have an “objectively reasonable basis for believing” that someone inside needs emergency assistance.  In 2006, the Court in  </w:t>
      </w:r>
      <w:r w:rsidRPr="001249E8">
        <w:t>Brigham City v. Stuart, 547 U. S. 398, 403 (2006)</w:t>
      </w:r>
      <w:r>
        <w:t xml:space="preserve">, held that police ca enter home to break up </w:t>
      </w:r>
      <w:proofErr w:type="gramStart"/>
      <w:r>
        <w:t>an ongoing</w:t>
      </w:r>
      <w:proofErr w:type="gramEnd"/>
    </w:p>
    <w:p w14:paraId="5A1D0488" w14:textId="77777777" w:rsidR="00C137EF" w:rsidRDefault="00C137EF" w:rsidP="00C137EF">
      <w:pPr>
        <w:pStyle w:val="NoSpacing"/>
      </w:pPr>
      <w:r>
        <w:t xml:space="preserve">fight to protect a person.  </w:t>
      </w:r>
      <w:r w:rsidRPr="00D74B75">
        <w:t>In September 2021, law enforcement officers in Anaconda, Montana, entered the home of William Trevor Case after his ex-girlfriend reported he had threatened suicide, was acting erratically and may have fired a gun.</w:t>
      </w:r>
      <w:r>
        <w:t xml:space="preserve"> Police found him hiding behind a closet curtain holding dark object (he recovered) and found his gun; the trial court judge denied his motion to suppress the gun (police didn’t need “probable cause” to enter house), and he was convicted by jury of assaulting a police officer. U.S. Supreme Court Justice </w:t>
      </w:r>
      <w:r w:rsidRPr="00C4737C">
        <w:t>Elena Kagan</w:t>
      </w:r>
      <w:r>
        <w:t xml:space="preserve"> wrote the opinion: “The question in this presented is whether that standard means that officers must have ‘probable cause’ for the intrusion, as they typically would when investigating a crime. We </w:t>
      </w:r>
      <w:proofErr w:type="gramStart"/>
      <w:r>
        <w:t>hold it does not.”</w:t>
      </w:r>
      <w:proofErr w:type="gramEnd"/>
      <w:r>
        <w:t xml:space="preserve"> </w:t>
      </w:r>
      <w:hyperlink r:id="rId42" w:history="1">
        <w:r w:rsidRPr="00815351">
          <w:rPr>
            <w:rStyle w:val="Hyperlink"/>
          </w:rPr>
          <w:t>https://www.supremecourt.gov/opinions/25pdf/24-624_b07d.pdf</w:t>
        </w:r>
      </w:hyperlink>
      <w:r>
        <w:t xml:space="preserve"> </w:t>
      </w:r>
    </w:p>
    <w:p w14:paraId="2643C846" w14:textId="77777777" w:rsidR="00C137EF" w:rsidRDefault="00C137EF" w:rsidP="00C137EF">
      <w:pPr>
        <w:pStyle w:val="NoSpacing"/>
      </w:pPr>
    </w:p>
    <w:p w14:paraId="1166EA5E" w14:textId="77777777" w:rsidR="00C137EF" w:rsidRDefault="00C137EF" w:rsidP="00C137EF">
      <w:pPr>
        <w:pStyle w:val="NoSpacing"/>
      </w:pPr>
      <w:r>
        <w:t>THE COURT HELD:</w:t>
      </w:r>
    </w:p>
    <w:p w14:paraId="3439CFD2" w14:textId="77777777" w:rsidR="00C137EF" w:rsidRDefault="00C137EF" w:rsidP="00C137EF">
      <w:pPr>
        <w:pStyle w:val="NoSpacing"/>
      </w:pPr>
    </w:p>
    <w:p w14:paraId="28E6838E" w14:textId="77777777" w:rsidR="00C137EF" w:rsidRDefault="00C137EF" w:rsidP="00C137EF">
      <w:pPr>
        <w:pStyle w:val="NoSpacing"/>
        <w:ind w:left="720"/>
      </w:pPr>
      <w:r>
        <w:t>“This case began with an alarming phone call—from petitioner William Case to his ex-girlfriend J. H., both residents of a small town in Montana. Case told J. H. on the call that</w:t>
      </w:r>
    </w:p>
    <w:p w14:paraId="2E51B761" w14:textId="77777777" w:rsidR="00C137EF" w:rsidRDefault="00C137EF" w:rsidP="00C137EF">
      <w:pPr>
        <w:pStyle w:val="NoSpacing"/>
        <w:ind w:left="720"/>
      </w:pPr>
      <w:r>
        <w:t>‘</w:t>
      </w:r>
      <w:proofErr w:type="gramStart"/>
      <w:r>
        <w:t>he</w:t>
      </w:r>
      <w:proofErr w:type="gramEnd"/>
      <w:r>
        <w:t xml:space="preserve"> was going to kill himself.”’ … Because Case sounded ‘erratic,’ J. H. assumed he had been drinking…. She tried to talk Case out of committing suicide, but ‘couldn’t reel him back’: With each passing moment, Case ‘became more methodical about what he was</w:t>
      </w:r>
    </w:p>
    <w:p w14:paraId="0FF4C115" w14:textId="77777777" w:rsidR="00C137EF" w:rsidRDefault="00C137EF" w:rsidP="00C137EF">
      <w:pPr>
        <w:pStyle w:val="NoSpacing"/>
        <w:ind w:left="720"/>
      </w:pPr>
      <w:r>
        <w:lastRenderedPageBreak/>
        <w:t>going to do.’ … Case said that he was ‘going to get a note’—presumably meaning a suicide note, for J. H. or others to find…. And then J. H. heard a ‘clicking’ sound, like the ‘cock[</w:t>
      </w:r>
      <w:proofErr w:type="spellStart"/>
      <w:r>
        <w:t>ing</w:t>
      </w:r>
      <w:proofErr w:type="spellEnd"/>
      <w:r>
        <w:t xml:space="preserve"> of] a gun.’ … J. H. told Case she was going to call the police, but that seemed only to antagonize him: Case </w:t>
      </w:r>
      <w:proofErr w:type="gramStart"/>
      <w:r>
        <w:t>replied</w:t>
      </w:r>
      <w:proofErr w:type="gramEnd"/>
      <w:r>
        <w:t xml:space="preserve"> ‘he would shoot them all too.”… Finally, J. H. heard ‘a pop’ followed by ‘nothing’—'just dead air.’ … She ‘yelled [Case’s] name a few</w:t>
      </w:r>
    </w:p>
    <w:p w14:paraId="3BA008FD" w14:textId="77777777" w:rsidR="00C137EF" w:rsidRDefault="00C137EF" w:rsidP="00C137EF">
      <w:pPr>
        <w:pStyle w:val="NoSpacing"/>
        <w:ind w:left="720"/>
      </w:pPr>
      <w:r>
        <w:t xml:space="preserve">times,’ but got no response, leading her to think he had ‘pulled the trigger.’ … </w:t>
      </w:r>
      <w:proofErr w:type="gramStart"/>
      <w:r>
        <w:t>So</w:t>
      </w:r>
      <w:proofErr w:type="gramEnd"/>
      <w:r>
        <w:t xml:space="preserve"> she called 9–1–1 to report the incident and drove as fast as she could to Case’s home.</w:t>
      </w:r>
    </w:p>
    <w:p w14:paraId="05859AE5" w14:textId="77777777" w:rsidR="00C137EF" w:rsidRDefault="00C137EF" w:rsidP="00C137EF">
      <w:pPr>
        <w:pStyle w:val="NoSpacing"/>
        <w:ind w:left="720"/>
      </w:pPr>
    </w:p>
    <w:p w14:paraId="7193F384" w14:textId="77777777" w:rsidR="00C137EF" w:rsidRDefault="00C137EF" w:rsidP="00C137EF">
      <w:pPr>
        <w:pStyle w:val="NoSpacing"/>
        <w:ind w:left="720"/>
      </w:pPr>
      <w:r>
        <w:t>***</w:t>
      </w:r>
    </w:p>
    <w:p w14:paraId="53F21539" w14:textId="77777777" w:rsidR="00C137EF" w:rsidRDefault="00C137EF" w:rsidP="00C137EF">
      <w:pPr>
        <w:pStyle w:val="NoSpacing"/>
        <w:ind w:left="720"/>
      </w:pPr>
      <w:r>
        <w:t xml:space="preserve">Once the [Police] chief came, the officers conferred and decided to enter the house ‘to render emergency aid.’ … In the best-case scenario, they hoped to ‘talk [Case] down’ and prevent any injury…. But given J. H.’s account, the officers considered </w:t>
      </w:r>
      <w:proofErr w:type="gramStart"/>
      <w:r>
        <w:t>as well another possibility</w:t>
      </w:r>
      <w:proofErr w:type="gramEnd"/>
      <w:r>
        <w:t xml:space="preserve">—that Case had already shot himself and might be ‘in </w:t>
      </w:r>
      <w:proofErr w:type="gramStart"/>
      <w:r>
        <w:t>there</w:t>
      </w:r>
      <w:proofErr w:type="gramEnd"/>
      <w:r>
        <w:t xml:space="preserve"> bleeding.’ … At the same time, they worried that if Case remained unharmed, their entry could spark a confrontation…. </w:t>
      </w:r>
      <w:proofErr w:type="gramStart"/>
      <w:r>
        <w:t>So</w:t>
      </w:r>
      <w:proofErr w:type="gramEnd"/>
      <w:r>
        <w:t xml:space="preserve"> they equipped themselves with long-barrel guns and a ballistic shield before going in. The officers entered the house through the front door, about 40 minutes after they first arrived. They announced themselves </w:t>
      </w:r>
      <w:proofErr w:type="gramStart"/>
      <w:r>
        <w:t>loudly, and</w:t>
      </w:r>
      <w:proofErr w:type="gramEnd"/>
      <w:r>
        <w:t xml:space="preserve"> continued to call out as they walked through the home. Case did not answer; he was hiding in the closet of a bedroom upstairs. When one of the officers entered that room, Case threw open the closet curtain and appeared from behind it, holding ‘a black object’ which looked like a gun…. Fearing that he was about to be shot, the officer fired his own rifle. The bullet hit Case</w:t>
      </w:r>
    </w:p>
    <w:p w14:paraId="092518BB" w14:textId="77777777" w:rsidR="00C137EF" w:rsidRDefault="00C137EF" w:rsidP="00C137EF">
      <w:pPr>
        <w:pStyle w:val="NoSpacing"/>
        <w:ind w:left="720"/>
      </w:pPr>
      <w:r>
        <w:t>in the abdomen, and another officer rushed to administer first aid. An ambulance was called to take Case to the nearest hospital (where he recovered). Meanwhile, one of the</w:t>
      </w:r>
    </w:p>
    <w:p w14:paraId="6F327C6C" w14:textId="77777777" w:rsidR="00C137EF" w:rsidRDefault="00C137EF" w:rsidP="00C137EF">
      <w:pPr>
        <w:pStyle w:val="NoSpacing"/>
        <w:ind w:left="720"/>
      </w:pPr>
      <w:r>
        <w:t>officers found a handgun in a laundry basket next to the place where Case had stood.</w:t>
      </w:r>
    </w:p>
    <w:p w14:paraId="7EDC27CD" w14:textId="77777777" w:rsidR="00C137EF" w:rsidRDefault="00C137EF" w:rsidP="00C137EF">
      <w:pPr>
        <w:pStyle w:val="NoSpacing"/>
        <w:ind w:left="720"/>
      </w:pPr>
    </w:p>
    <w:p w14:paraId="5EEFEB51" w14:textId="77777777" w:rsidR="00C137EF" w:rsidRDefault="00C137EF" w:rsidP="00C137EF">
      <w:pPr>
        <w:pStyle w:val="NoSpacing"/>
        <w:ind w:left="720"/>
      </w:pPr>
      <w:r>
        <w:t>The county attorney charged Case with assaulting a police officer…. A Montana</w:t>
      </w:r>
    </w:p>
    <w:p w14:paraId="35236867" w14:textId="77777777" w:rsidR="00C137EF" w:rsidRDefault="00C137EF" w:rsidP="00C137EF">
      <w:pPr>
        <w:pStyle w:val="NoSpacing"/>
        <w:ind w:left="720"/>
      </w:pPr>
      <w:r>
        <w:t xml:space="preserve">jury then found Case guilty of the crime charged. Case moved to suppress all evidence obtained </w:t>
      </w:r>
      <w:proofErr w:type="gramStart"/>
      <w:r>
        <w:t>as a result of</w:t>
      </w:r>
      <w:proofErr w:type="gramEnd"/>
      <w:r>
        <w:t xml:space="preserve"> the home entry, arguing that the police had violated the Fourth Amendment by coming into his house without a warrant. The trial court denied the motion on the ground that the police officers were responding legitimately </w:t>
      </w:r>
    </w:p>
    <w:p w14:paraId="2A69196D" w14:textId="77777777" w:rsidR="00C137EF" w:rsidRDefault="00C137EF" w:rsidP="00C137EF">
      <w:pPr>
        <w:pStyle w:val="NoSpacing"/>
        <w:ind w:left="720"/>
      </w:pPr>
      <w:r>
        <w:t>to an “emergency.”</w:t>
      </w:r>
    </w:p>
    <w:p w14:paraId="1D01348E" w14:textId="77777777" w:rsidR="00C137EF" w:rsidRDefault="00C137EF" w:rsidP="00C137EF">
      <w:pPr>
        <w:pStyle w:val="NoSpacing"/>
        <w:ind w:left="720"/>
      </w:pPr>
    </w:p>
    <w:p w14:paraId="5249E9C7" w14:textId="77777777" w:rsidR="00C137EF" w:rsidRDefault="00C137EF" w:rsidP="00C137EF">
      <w:pPr>
        <w:pStyle w:val="NoSpacing"/>
        <w:ind w:left="720"/>
      </w:pPr>
      <w:r>
        <w:t>***</w:t>
      </w:r>
    </w:p>
    <w:p w14:paraId="789A47FD" w14:textId="77777777" w:rsidR="00C137EF" w:rsidRDefault="00C137EF" w:rsidP="00C137EF">
      <w:pPr>
        <w:pStyle w:val="NoSpacing"/>
        <w:ind w:left="720"/>
      </w:pPr>
      <w:r>
        <w:t xml:space="preserve">We…hold just what we have held before: that the officers may enter if, but only if, they have an “objectively reasonable basis for believing” that an occupant faces </w:t>
      </w:r>
      <w:proofErr w:type="gramStart"/>
      <w:r>
        <w:t>serious danger</w:t>
      </w:r>
      <w:proofErr w:type="gramEnd"/>
      <w:r>
        <w:t>. Brigham City, 547 U. S., at 400.”</w:t>
      </w:r>
    </w:p>
    <w:p w14:paraId="51C8A6CD" w14:textId="77777777" w:rsidR="00C137EF" w:rsidRDefault="00C137EF" w:rsidP="00C137EF">
      <w:pPr>
        <w:pStyle w:val="NoSpacing"/>
        <w:ind w:left="720"/>
      </w:pPr>
    </w:p>
    <w:p w14:paraId="19B3E3E9" w14:textId="77777777" w:rsidR="00C137EF" w:rsidRPr="000E4D83" w:rsidRDefault="00C137EF" w:rsidP="00C137EF">
      <w:pPr>
        <w:pStyle w:val="NoSpacing"/>
        <w:rPr>
          <w:b/>
          <w:bCs/>
        </w:rPr>
      </w:pPr>
      <w:r>
        <w:rPr>
          <w:b/>
        </w:rPr>
        <w:t xml:space="preserve">Legal lesson learned: Decision will also apply to fire and EMS forcing entry for a medical emergency. </w:t>
      </w:r>
    </w:p>
    <w:p w14:paraId="253B2887" w14:textId="77777777" w:rsidR="00C137EF" w:rsidRDefault="00C137EF" w:rsidP="00C137EF">
      <w:pPr>
        <w:pStyle w:val="NoSpacing"/>
      </w:pPr>
    </w:p>
    <w:p w14:paraId="6450F432" w14:textId="698E9670" w:rsidR="00C137EF" w:rsidRDefault="00C137EF" w:rsidP="00C137EF">
      <w:pPr>
        <w:pStyle w:val="NoSpacing"/>
        <w:rPr>
          <w:rFonts w:ascii="Arial Black" w:hAnsi="Arial Black"/>
          <w:sz w:val="24"/>
          <w:szCs w:val="24"/>
        </w:rPr>
      </w:pPr>
      <w:r>
        <w:t xml:space="preserve">Note: Can listen to Oral Argument in this case: </w:t>
      </w:r>
      <w:hyperlink r:id="rId43" w:history="1">
        <w:r w:rsidRPr="00815351">
          <w:rPr>
            <w:rStyle w:val="Hyperlink"/>
          </w:rPr>
          <w:t>https://www.youtube.com/watch?v=lqmk210Y9sk</w:t>
        </w:r>
      </w:hyperlink>
    </w:p>
    <w:p w14:paraId="7C4A6982" w14:textId="77777777" w:rsidR="00C137EF" w:rsidRDefault="00C137EF" w:rsidP="00037CB8">
      <w:pPr>
        <w:pStyle w:val="NoSpacing"/>
        <w:rPr>
          <w:rFonts w:ascii="Arial Black" w:hAnsi="Arial Black"/>
          <w:sz w:val="24"/>
          <w:szCs w:val="24"/>
        </w:rPr>
      </w:pPr>
    </w:p>
    <w:p w14:paraId="26879D6A" w14:textId="69E11388" w:rsidR="00C137EF" w:rsidRDefault="00C137EF" w:rsidP="00037CB8">
      <w:pPr>
        <w:pStyle w:val="NoSpacing"/>
        <w:rPr>
          <w:rFonts w:ascii="Arial Black" w:hAnsi="Arial Black"/>
          <w:sz w:val="24"/>
          <w:szCs w:val="24"/>
        </w:rPr>
      </w:pPr>
      <w:r>
        <w:rPr>
          <w:rFonts w:ascii="Arial Black" w:hAnsi="Arial Black"/>
          <w:sz w:val="24"/>
          <w:szCs w:val="24"/>
        </w:rPr>
        <w:t>1-20</w:t>
      </w:r>
      <w:r w:rsidR="0015512D">
        <w:rPr>
          <w:rFonts w:ascii="Arial Black" w:hAnsi="Arial Black"/>
          <w:sz w:val="24"/>
          <w:szCs w:val="24"/>
        </w:rPr>
        <w:t>2</w:t>
      </w:r>
    </w:p>
    <w:p w14:paraId="6207F5C2" w14:textId="77777777" w:rsidR="0015512D" w:rsidRDefault="0015512D" w:rsidP="00037CB8">
      <w:pPr>
        <w:pStyle w:val="NoSpacing"/>
        <w:rPr>
          <w:rFonts w:ascii="Arial Black" w:hAnsi="Arial Black"/>
          <w:sz w:val="24"/>
          <w:szCs w:val="24"/>
        </w:rPr>
      </w:pPr>
    </w:p>
    <w:p w14:paraId="6F07D39C" w14:textId="77777777" w:rsidR="0015512D" w:rsidRDefault="0015512D" w:rsidP="0015512D">
      <w:pPr>
        <w:pStyle w:val="NoSpacing"/>
      </w:pPr>
      <w:r>
        <w:rPr>
          <w:rFonts w:ascii="Arial Black" w:hAnsi="Arial Black"/>
          <w:sz w:val="28"/>
          <w:szCs w:val="28"/>
        </w:rPr>
        <w:t xml:space="preserve">TX: PAINTER AT FD – KNOCKED OFF LIFT - NO FD NEG </w:t>
      </w:r>
    </w:p>
    <w:p w14:paraId="1A4DF5AB" w14:textId="77777777" w:rsidR="0015512D" w:rsidRDefault="0015512D" w:rsidP="0015512D">
      <w:pPr>
        <w:pStyle w:val="NoSpacing"/>
      </w:pPr>
    </w:p>
    <w:p w14:paraId="3BD66D79" w14:textId="77777777" w:rsidR="0015512D" w:rsidRDefault="0015512D" w:rsidP="0015512D">
      <w:pPr>
        <w:rPr>
          <w:bCs/>
        </w:rPr>
      </w:pPr>
      <w:r>
        <w:t xml:space="preserve">On December 31, 2025, in </w:t>
      </w:r>
      <w:r w:rsidRPr="000F5A08">
        <w:rPr>
          <w:u w:val="single"/>
        </w:rPr>
        <w:t>City of Houston v. Jose Torres</w:t>
      </w:r>
      <w:r>
        <w:t xml:space="preserve">, </w:t>
      </w:r>
      <w:r w:rsidRPr="00DE41E5">
        <w:t>the Court of Appeals of Texas, First District, Houston</w:t>
      </w:r>
      <w:r>
        <w:t xml:space="preserve"> held (3 to 0) that trial court, after a bench trial, improperly found that the city was liable because the station District Chief didn’t deactivate the bay door.  The painter never asked that this be done, never told anyone he was going to be operating scissor lift inside the station, and never blocked the front of the bay door. </w:t>
      </w:r>
      <w:hyperlink r:id="rId44" w:history="1">
        <w:r w:rsidRPr="00091B3B">
          <w:rPr>
            <w:rStyle w:val="Hyperlink"/>
          </w:rPr>
          <w:t>https://cases.justia.com/texas/first-court-of-appeals/2025-01-23-00905-cv.pdf?ts=1767189326</w:t>
        </w:r>
      </w:hyperlink>
      <w:r>
        <w:t xml:space="preserve"> </w:t>
      </w:r>
    </w:p>
    <w:p w14:paraId="2C329852" w14:textId="77777777" w:rsidR="0015512D" w:rsidRDefault="0015512D" w:rsidP="0015512D">
      <w:pPr>
        <w:rPr>
          <w:bCs/>
        </w:rPr>
      </w:pPr>
      <w:r>
        <w:t>THE COURT HELD:</w:t>
      </w:r>
    </w:p>
    <w:p w14:paraId="2C0A41B4" w14:textId="77777777" w:rsidR="0015512D" w:rsidRPr="00830678" w:rsidRDefault="0015512D" w:rsidP="0015512D">
      <w:pPr>
        <w:pStyle w:val="NoSpacing"/>
        <w:ind w:left="720"/>
      </w:pPr>
      <w:r>
        <w:t>“</w:t>
      </w:r>
      <w:r w:rsidRPr="00830678">
        <w:t>Jose Torres, a painter employed by Arredondo’s Real Drywall, Inc., was</w:t>
      </w:r>
      <w:r>
        <w:t xml:space="preserve"> </w:t>
      </w:r>
      <w:r w:rsidRPr="00830678">
        <w:t>working at Houston Fire Department (HFD) Station #34. When he arrived on the</w:t>
      </w:r>
      <w:r>
        <w:t xml:space="preserve"> </w:t>
      </w:r>
      <w:r w:rsidRPr="00830678">
        <w:t>morning of this incident, around 8:30 a.m., there were no emergency vehicles inside</w:t>
      </w:r>
      <w:r>
        <w:t xml:space="preserve"> </w:t>
      </w:r>
      <w:r w:rsidRPr="00830678">
        <w:t>the fire station, although some were parked outside.</w:t>
      </w:r>
    </w:p>
    <w:p w14:paraId="20876DE9" w14:textId="77777777" w:rsidR="0015512D" w:rsidRDefault="0015512D" w:rsidP="0015512D">
      <w:pPr>
        <w:pStyle w:val="NoSpacing"/>
      </w:pPr>
    </w:p>
    <w:p w14:paraId="06903D1E" w14:textId="77777777" w:rsidR="0015512D" w:rsidRDefault="0015512D" w:rsidP="0015512D">
      <w:pPr>
        <w:pStyle w:val="NoSpacing"/>
        <w:ind w:left="720"/>
      </w:pPr>
      <w:r w:rsidRPr="00830678">
        <w:t>Torres began setting up his equipment, including a scissor lift, in one of the</w:t>
      </w:r>
      <w:r>
        <w:t xml:space="preserve"> </w:t>
      </w:r>
      <w:r w:rsidRPr="00830678">
        <w:t>bays of the fire station so he could paint the station’s ceiling. Because the station’s</w:t>
      </w:r>
      <w:r>
        <w:t xml:space="preserve"> </w:t>
      </w:r>
      <w:r w:rsidRPr="00830678">
        <w:t>large bay doors were open, and he needed them closed to paint the ceiling, Torres</w:t>
      </w:r>
      <w:r>
        <w:t xml:space="preserve"> </w:t>
      </w:r>
      <w:r w:rsidRPr="00830678">
        <w:t>asked one of the firefighters on duty how to close the doors. Torres closed the bay</w:t>
      </w:r>
      <w:r>
        <w:t xml:space="preserve"> </w:t>
      </w:r>
      <w:r w:rsidRPr="00830678">
        <w:t>doors by pushing a red button located inside the station. He then positioned the</w:t>
      </w:r>
      <w:r>
        <w:t xml:space="preserve"> </w:t>
      </w:r>
      <w:r w:rsidRPr="00830678">
        <w:t>scissor lift directly behind one of the closed bay doors, elevated himself on it, and</w:t>
      </w:r>
      <w:r>
        <w:t xml:space="preserve"> </w:t>
      </w:r>
      <w:r w:rsidRPr="00830678">
        <w:t>began painting the ceiling of the station.</w:t>
      </w:r>
    </w:p>
    <w:p w14:paraId="66856796" w14:textId="77777777" w:rsidR="0015512D" w:rsidRDefault="0015512D" w:rsidP="0015512D">
      <w:pPr>
        <w:pStyle w:val="NoSpacing"/>
      </w:pPr>
    </w:p>
    <w:p w14:paraId="26E3CE78" w14:textId="77777777" w:rsidR="0015512D" w:rsidRDefault="0015512D" w:rsidP="0015512D">
      <w:pPr>
        <w:pStyle w:val="NoSpacing"/>
        <w:ind w:left="720"/>
      </w:pPr>
      <w:r>
        <w:t>Adam Ricci, a firefighter employed by HFD at Fire Station #34, arrived at the fire station that morning at 6:30 a.m.—two hours before Torres—to begin his 24-hour shift. Around 8:00 a.</w:t>
      </w:r>
      <w:proofErr w:type="gramStart"/>
      <w:r>
        <w:t>m.—</w:t>
      </w:r>
      <w:proofErr w:type="gramEnd"/>
      <w:r>
        <w:t>about 30 minutes before Torres arrived—Ricci left the station in one of the emergency vehicles to respond to a call. Before he left, Ricci did not see anyone painting inside the fire station. And before returning to the station, Ricci had not seen or spoken to Torres and did not know that he (or anyone) was inside the station painting.</w:t>
      </w:r>
    </w:p>
    <w:p w14:paraId="0C74976E" w14:textId="77777777" w:rsidR="0015512D" w:rsidRDefault="0015512D" w:rsidP="0015512D">
      <w:pPr>
        <w:pStyle w:val="NoSpacing"/>
      </w:pPr>
    </w:p>
    <w:p w14:paraId="6FE21586" w14:textId="77777777" w:rsidR="0015512D" w:rsidRDefault="0015512D" w:rsidP="0015512D">
      <w:pPr>
        <w:pStyle w:val="NoSpacing"/>
        <w:ind w:left="720"/>
      </w:pPr>
      <w:r>
        <w:t>When Ricci returned to the fire station, he pushed a remote control inside his vehicle to open one of the bay doors. Unbeknownst to Ricci, Torres was standing on top of the scissor lift directly behind that door. When the door opened, it knocked over the scissor lift, injuring Torres.</w:t>
      </w:r>
    </w:p>
    <w:p w14:paraId="4F60A938" w14:textId="77777777" w:rsidR="0015512D" w:rsidRDefault="0015512D" w:rsidP="0015512D">
      <w:pPr>
        <w:pStyle w:val="NoSpacing"/>
      </w:pPr>
    </w:p>
    <w:p w14:paraId="4A48A6C7" w14:textId="77777777" w:rsidR="0015512D" w:rsidRDefault="0015512D" w:rsidP="0015512D">
      <w:pPr>
        <w:pStyle w:val="NoSpacing"/>
        <w:ind w:left="720"/>
      </w:pPr>
      <w:r>
        <w:t xml:space="preserve">The record shows that the bay door could have been deactivated. And, according to the City, District Chief Troy Koteras was the highest-ranking person on site that day—and he had the authority to do that. Following a bench trial, the trial court found that the </w:t>
      </w:r>
      <w:proofErr w:type="gramStart"/>
      <w:r>
        <w:t>City</w:t>
      </w:r>
      <w:proofErr w:type="gramEnd"/>
      <w:r>
        <w:t xml:space="preserve"> “did not act reasonably and its actions proximately causes [Torres’s] injuries.” It concluded that the </w:t>
      </w:r>
      <w:proofErr w:type="gramStart"/>
      <w:r>
        <w:t>City</w:t>
      </w:r>
      <w:proofErr w:type="gramEnd"/>
      <w:r>
        <w:t xml:space="preserve"> was negligent3 and awarded Torres damages.</w:t>
      </w:r>
    </w:p>
    <w:p w14:paraId="60330D89" w14:textId="77777777" w:rsidR="0015512D" w:rsidRDefault="0015512D" w:rsidP="0015512D">
      <w:pPr>
        <w:pStyle w:val="NoSpacing"/>
        <w:ind w:left="720"/>
      </w:pPr>
    </w:p>
    <w:p w14:paraId="219B3A88" w14:textId="77777777" w:rsidR="0015512D" w:rsidRDefault="0015512D" w:rsidP="0015512D">
      <w:pPr>
        <w:pStyle w:val="NoSpacing"/>
        <w:ind w:left="720"/>
      </w:pPr>
      <w:r>
        <w:t>***</w:t>
      </w:r>
    </w:p>
    <w:p w14:paraId="5B212D40" w14:textId="77777777" w:rsidR="0015512D" w:rsidRDefault="0015512D" w:rsidP="0015512D">
      <w:pPr>
        <w:pStyle w:val="NoSpacing"/>
        <w:ind w:firstLine="720"/>
      </w:pPr>
    </w:p>
    <w:p w14:paraId="22D1D2C8" w14:textId="77777777" w:rsidR="0015512D" w:rsidRDefault="0015512D" w:rsidP="0015512D">
      <w:pPr>
        <w:pStyle w:val="NoSpacing"/>
        <w:ind w:firstLine="720"/>
      </w:pPr>
      <w:r>
        <w:t xml:space="preserve">Accordingly, for </w:t>
      </w:r>
      <w:proofErr w:type="gramStart"/>
      <w:r>
        <w:t>all of</w:t>
      </w:r>
      <w:proofErr w:type="gramEnd"/>
      <w:r>
        <w:t xml:space="preserve"> the foregoing reasons, we hold that the evidence</w:t>
      </w:r>
    </w:p>
    <w:p w14:paraId="66901706" w14:textId="77777777" w:rsidR="0015512D" w:rsidRDefault="0015512D" w:rsidP="0015512D">
      <w:pPr>
        <w:pStyle w:val="NoSpacing"/>
        <w:ind w:firstLine="720"/>
      </w:pPr>
      <w:r>
        <w:t>establishes that the City owed no duty to Torres, a required element of negligence.</w:t>
      </w:r>
    </w:p>
    <w:p w14:paraId="40D02F40" w14:textId="77777777" w:rsidR="0015512D" w:rsidRDefault="0015512D" w:rsidP="0015512D">
      <w:pPr>
        <w:pStyle w:val="NoSpacing"/>
        <w:ind w:firstLine="720"/>
      </w:pPr>
      <w:r>
        <w:t xml:space="preserve">Absent proof of the common-law elements of negligence, the </w:t>
      </w:r>
      <w:proofErr w:type="gramStart"/>
      <w:r>
        <w:t>City</w:t>
      </w:r>
      <w:proofErr w:type="gramEnd"/>
      <w:r>
        <w:t xml:space="preserve"> was entitled to</w:t>
      </w:r>
    </w:p>
    <w:p w14:paraId="0DB17D93" w14:textId="77777777" w:rsidR="0015512D" w:rsidRDefault="0015512D" w:rsidP="0015512D">
      <w:pPr>
        <w:pStyle w:val="NoSpacing"/>
        <w:ind w:firstLine="720"/>
      </w:pPr>
      <w:r>
        <w:t>governmental immunity under the TTCA. We therefore reverse the trial court’s</w:t>
      </w:r>
    </w:p>
    <w:p w14:paraId="6D2B2347" w14:textId="77777777" w:rsidR="0015512D" w:rsidRDefault="0015512D" w:rsidP="0015512D">
      <w:pPr>
        <w:pStyle w:val="NoSpacing"/>
        <w:ind w:firstLine="720"/>
      </w:pPr>
      <w:r>
        <w:t xml:space="preserve">judgment and render judgment dismissing Torres’s claims against the </w:t>
      </w:r>
      <w:proofErr w:type="gramStart"/>
      <w:r>
        <w:t>City</w:t>
      </w:r>
      <w:proofErr w:type="gramEnd"/>
      <w:r>
        <w:t xml:space="preserve"> for lack</w:t>
      </w:r>
    </w:p>
    <w:p w14:paraId="2AF54172" w14:textId="77777777" w:rsidR="0015512D" w:rsidRDefault="0015512D" w:rsidP="0015512D">
      <w:pPr>
        <w:pStyle w:val="NoSpacing"/>
        <w:ind w:firstLine="720"/>
      </w:pPr>
      <w:r>
        <w:t>of subject-matter jurisdiction.”</w:t>
      </w:r>
    </w:p>
    <w:p w14:paraId="1DDC8690" w14:textId="77777777" w:rsidR="0015512D" w:rsidRDefault="0015512D" w:rsidP="0015512D">
      <w:pPr>
        <w:pStyle w:val="NoSpacing"/>
        <w:ind w:firstLine="720"/>
      </w:pPr>
    </w:p>
    <w:p w14:paraId="3022F51D" w14:textId="77777777" w:rsidR="0015512D" w:rsidRPr="0059074F" w:rsidRDefault="0015512D" w:rsidP="0015512D">
      <w:pPr>
        <w:pStyle w:val="NoSpacing"/>
        <w:rPr>
          <w:b/>
          <w:bCs/>
        </w:rPr>
      </w:pPr>
      <w:r>
        <w:rPr>
          <w:b/>
        </w:rPr>
        <w:t xml:space="preserve">Legal lesson learned: The injured painter was negligent and not requiring the bay door be deactivated; he is covered by worker’s comp. but can’t sue the city for damages. </w:t>
      </w:r>
    </w:p>
    <w:p w14:paraId="48223938" w14:textId="77777777" w:rsidR="0015512D" w:rsidRDefault="0015512D" w:rsidP="0015512D">
      <w:pPr>
        <w:pStyle w:val="NoSpacing"/>
        <w:ind w:firstLine="720"/>
      </w:pPr>
    </w:p>
    <w:p w14:paraId="59E2DB67" w14:textId="0CA4B440" w:rsidR="0015512D" w:rsidRDefault="0015512D" w:rsidP="00037CB8">
      <w:pPr>
        <w:pStyle w:val="NoSpacing"/>
        <w:rPr>
          <w:rFonts w:ascii="Arial Black" w:hAnsi="Arial Black"/>
          <w:sz w:val="24"/>
          <w:szCs w:val="24"/>
        </w:rPr>
      </w:pPr>
      <w:r>
        <w:rPr>
          <w:rFonts w:ascii="Arial Black" w:hAnsi="Arial Black"/>
          <w:sz w:val="24"/>
          <w:szCs w:val="24"/>
        </w:rPr>
        <w:t>1-201</w:t>
      </w:r>
    </w:p>
    <w:p w14:paraId="161948B9" w14:textId="77777777" w:rsidR="0015512D" w:rsidRDefault="0015512D" w:rsidP="00037CB8">
      <w:pPr>
        <w:pStyle w:val="NoSpacing"/>
        <w:rPr>
          <w:rFonts w:ascii="Arial Black" w:hAnsi="Arial Black"/>
          <w:sz w:val="24"/>
          <w:szCs w:val="24"/>
        </w:rPr>
      </w:pPr>
    </w:p>
    <w:p w14:paraId="3C2D52E9" w14:textId="77777777" w:rsidR="00ED1FF6" w:rsidRPr="00DD5FA8" w:rsidRDefault="00ED1FF6" w:rsidP="00ED1FF6">
      <w:pPr>
        <w:rPr>
          <w:rFonts w:ascii="Arial Black" w:hAnsi="Arial Black"/>
          <w:b/>
          <w:sz w:val="28"/>
          <w:szCs w:val="28"/>
        </w:rPr>
      </w:pPr>
      <w:r>
        <w:rPr>
          <w:rFonts w:ascii="Arial Black" w:hAnsi="Arial Black"/>
          <w:b/>
          <w:sz w:val="28"/>
          <w:szCs w:val="28"/>
        </w:rPr>
        <w:t>NJ: ARSON – PD SEIZED DVR CAMERA IN GARAGE - LAWFUL</w:t>
      </w:r>
    </w:p>
    <w:p w14:paraId="31D29707" w14:textId="77777777" w:rsidR="00ED1FF6" w:rsidRDefault="00ED1FF6" w:rsidP="00ED1FF6">
      <w:r>
        <w:t xml:space="preserve">On December 4, 2025, in </w:t>
      </w:r>
      <w:r w:rsidRPr="00EA75F6">
        <w:rPr>
          <w:u w:val="single"/>
        </w:rPr>
        <w:t xml:space="preserve">State of New Jersey v. Paul J. </w:t>
      </w:r>
      <w:proofErr w:type="spellStart"/>
      <w:r w:rsidRPr="00EA75F6">
        <w:rPr>
          <w:u w:val="single"/>
        </w:rPr>
        <w:t>Caneiro</w:t>
      </w:r>
      <w:proofErr w:type="spellEnd"/>
      <w:r>
        <w:t xml:space="preserve">, the </w:t>
      </w:r>
      <w:r w:rsidRPr="00EA75F6">
        <w:t>Supreme Court of New Jersey</w:t>
      </w:r>
      <w:r>
        <w:t xml:space="preserve"> held (7 to 0) that trial court improperly granted defense motion to suppress, and the Court of Appeals improperly confirmed the trial court decision.  Under the “exigent circumstances” police properly seized the security camera digital video recorder, which showed defendant disconnecting the camera before starting fire in his home. </w:t>
      </w:r>
      <w:hyperlink r:id="rId45" w:history="1">
        <w:r w:rsidRPr="00091B3B">
          <w:rPr>
            <w:rStyle w:val="Hyperlink"/>
          </w:rPr>
          <w:t>https://www.njcourts.gov/system/files/court-opinions/2025/a_1_25.pdf</w:t>
        </w:r>
      </w:hyperlink>
      <w:r>
        <w:t xml:space="preserve"> </w:t>
      </w:r>
    </w:p>
    <w:p w14:paraId="76F8ADF9" w14:textId="77777777" w:rsidR="00ED1FF6" w:rsidRPr="00EA75F6" w:rsidRDefault="00ED1FF6" w:rsidP="00ED1FF6">
      <w:pPr>
        <w:rPr>
          <w:bCs/>
        </w:rPr>
      </w:pPr>
      <w:r>
        <w:t>THE COURT HELD:</w:t>
      </w:r>
    </w:p>
    <w:p w14:paraId="3D371FC5" w14:textId="77777777" w:rsidR="00ED1FF6" w:rsidRDefault="00ED1FF6" w:rsidP="00ED1FF6">
      <w:pPr>
        <w:pStyle w:val="NoSpacing"/>
        <w:ind w:left="720"/>
      </w:pPr>
      <w:r>
        <w:t xml:space="preserve">“A fire was reported at defendant Paul J. </w:t>
      </w:r>
      <w:proofErr w:type="spellStart"/>
      <w:r>
        <w:t>Caneiro’s</w:t>
      </w:r>
      <w:proofErr w:type="spellEnd"/>
      <w:r>
        <w:t xml:space="preserve"> home at around 5:02 a.m. in November 2018. About forty minutes after arriving at defendant’s home, and while the house fire remained active, police seized, without a warrant, a security camera digital video recorder (DVR) located in the home’s attached garage…. Defendant later provided consent to </w:t>
      </w:r>
      <w:proofErr w:type="gramStart"/>
      <w:r>
        <w:t>search</w:t>
      </w:r>
      <w:proofErr w:type="gramEnd"/>
      <w:r>
        <w:t xml:space="preserve"> the DVR’s contents. </w:t>
      </w:r>
    </w:p>
    <w:p w14:paraId="06CA9B37" w14:textId="77777777" w:rsidR="00ED1FF6" w:rsidRDefault="00ED1FF6" w:rsidP="00ED1FF6">
      <w:pPr>
        <w:pStyle w:val="NoSpacing"/>
        <w:ind w:left="720"/>
      </w:pPr>
    </w:p>
    <w:p w14:paraId="25B14DDF" w14:textId="77777777" w:rsidR="00ED1FF6" w:rsidRDefault="00ED1FF6" w:rsidP="00ED1FF6">
      <w:pPr>
        <w:pStyle w:val="NoSpacing"/>
        <w:ind w:left="720"/>
      </w:pPr>
      <w:r>
        <w:t>***</w:t>
      </w:r>
    </w:p>
    <w:p w14:paraId="1E052307" w14:textId="77777777" w:rsidR="00ED1FF6" w:rsidRDefault="00ED1FF6" w:rsidP="00ED1FF6">
      <w:pPr>
        <w:pStyle w:val="NoSpacing"/>
        <w:ind w:left="720"/>
      </w:pPr>
      <w:r>
        <w:lastRenderedPageBreak/>
        <w:t>The State alleges that defendant murdered his brother, his brother’s wife, and</w:t>
      </w:r>
    </w:p>
    <w:p w14:paraId="461D942A" w14:textId="77777777" w:rsidR="00ED1FF6" w:rsidRDefault="00ED1FF6" w:rsidP="00ED1FF6">
      <w:pPr>
        <w:pStyle w:val="NoSpacing"/>
        <w:ind w:left="720"/>
      </w:pPr>
      <w:r>
        <w:t>their two children, and then set their house ablaze to cover up his involvement in</w:t>
      </w:r>
    </w:p>
    <w:p w14:paraId="77C9FA2D" w14:textId="77777777" w:rsidR="00ED1FF6" w:rsidRDefault="00ED1FF6" w:rsidP="00ED1FF6">
      <w:pPr>
        <w:pStyle w:val="NoSpacing"/>
        <w:ind w:left="720"/>
      </w:pPr>
      <w:r>
        <w:t>those crimes. The State further contends that defendant then set his own house on</w:t>
      </w:r>
    </w:p>
    <w:p w14:paraId="1A8F9845" w14:textId="77777777" w:rsidR="00ED1FF6" w:rsidRDefault="00ED1FF6" w:rsidP="00ED1FF6">
      <w:pPr>
        <w:pStyle w:val="NoSpacing"/>
        <w:ind w:left="720"/>
      </w:pPr>
      <w:r>
        <w:t>fire with his wife and children asleep inside as a ruse to suggest that criminals</w:t>
      </w:r>
    </w:p>
    <w:p w14:paraId="11D155BA" w14:textId="77777777" w:rsidR="00ED1FF6" w:rsidRDefault="00ED1FF6" w:rsidP="00ED1FF6">
      <w:pPr>
        <w:pStyle w:val="NoSpacing"/>
        <w:ind w:left="720"/>
      </w:pPr>
      <w:r>
        <w:t>targeted both families. The State asserts that the DVR showed defendant</w:t>
      </w:r>
    </w:p>
    <w:p w14:paraId="26D27F10" w14:textId="77777777" w:rsidR="00ED1FF6" w:rsidRDefault="00ED1FF6" w:rsidP="00ED1FF6">
      <w:pPr>
        <w:pStyle w:val="NoSpacing"/>
        <w:ind w:left="720"/>
      </w:pPr>
      <w:r>
        <w:t>disconnecting the security camera system prior to starting the fire in his house.</w:t>
      </w:r>
    </w:p>
    <w:p w14:paraId="74614F04" w14:textId="77777777" w:rsidR="00ED1FF6" w:rsidRDefault="00ED1FF6" w:rsidP="00ED1FF6">
      <w:pPr>
        <w:pStyle w:val="NoSpacing"/>
        <w:ind w:left="720"/>
      </w:pPr>
    </w:p>
    <w:p w14:paraId="54215439" w14:textId="77777777" w:rsidR="00ED1FF6" w:rsidRDefault="00ED1FF6" w:rsidP="00ED1FF6">
      <w:pPr>
        <w:pStyle w:val="NoSpacing"/>
        <w:ind w:left="720"/>
      </w:pPr>
      <w:r>
        <w:t>***</w:t>
      </w:r>
    </w:p>
    <w:p w14:paraId="1DA8EDA5" w14:textId="77777777" w:rsidR="00ED1FF6" w:rsidRDefault="00ED1FF6" w:rsidP="00ED1FF6">
      <w:pPr>
        <w:pStyle w:val="NoSpacing"/>
        <w:ind w:left="720"/>
      </w:pPr>
    </w:p>
    <w:p w14:paraId="74B18BBC" w14:textId="77777777" w:rsidR="00ED1FF6" w:rsidRDefault="00ED1FF6" w:rsidP="00ED1FF6">
      <w:pPr>
        <w:pStyle w:val="NoSpacing"/>
        <w:ind w:left="720"/>
      </w:pPr>
      <w:r>
        <w:t xml:space="preserve">The parties do not dispute that </w:t>
      </w:r>
      <w:proofErr w:type="gramStart"/>
      <w:r>
        <w:t>defendant’s</w:t>
      </w:r>
      <w:proofErr w:type="gramEnd"/>
      <w:r>
        <w:t xml:space="preserve"> consent to </w:t>
      </w:r>
      <w:proofErr w:type="gramStart"/>
      <w:r>
        <w:t>search</w:t>
      </w:r>
      <w:proofErr w:type="gramEnd"/>
      <w:r>
        <w:t xml:space="preserve"> the DVR was valid. They dispute only whether the warrantless seizure of the DVR was justified by the exigency exception to the warrant requirement. The trial judge, focusing on the fact that the garage itself was not on fire, granted defendant’s motion to suppress the DVR. The Appellate Division affirmed. We granted the State’s motion for leave to appeal and have proceeded on an accelerated basis.</w:t>
      </w:r>
    </w:p>
    <w:p w14:paraId="5A4A9F5C" w14:textId="77777777" w:rsidR="00ED1FF6" w:rsidRDefault="00ED1FF6" w:rsidP="00ED1FF6">
      <w:pPr>
        <w:pStyle w:val="NoSpacing"/>
        <w:ind w:left="720"/>
      </w:pPr>
    </w:p>
    <w:p w14:paraId="7BD07432" w14:textId="77777777" w:rsidR="00ED1FF6" w:rsidRDefault="00ED1FF6" w:rsidP="00ED1FF6">
      <w:pPr>
        <w:pStyle w:val="NoSpacing"/>
        <w:ind w:left="720"/>
      </w:pPr>
      <w:r>
        <w:t>***</w:t>
      </w:r>
    </w:p>
    <w:p w14:paraId="070691F6" w14:textId="77777777" w:rsidR="00ED1FF6" w:rsidRDefault="00ED1FF6" w:rsidP="00ED1FF6">
      <w:pPr>
        <w:pStyle w:val="NoSpacing"/>
        <w:ind w:left="720"/>
      </w:pPr>
      <w:r w:rsidRPr="00305E47">
        <w:t>Under the totality of the circumstances in this case, the police acted in an</w:t>
      </w:r>
      <w:r>
        <w:t xml:space="preserve"> </w:t>
      </w:r>
      <w:r w:rsidRPr="00305E47">
        <w:t>objectively reasonable manner to meet an exigency that did not permit time to secure</w:t>
      </w:r>
      <w:r>
        <w:t xml:space="preserve"> </w:t>
      </w:r>
      <w:r w:rsidRPr="00305E47">
        <w:t xml:space="preserve">a warrant. No bright-line rule governs the question of </w:t>
      </w:r>
      <w:proofErr w:type="gramStart"/>
      <w:r w:rsidRPr="00305E47">
        <w:t>exigency, and</w:t>
      </w:r>
      <w:proofErr w:type="gramEnd"/>
      <w:r w:rsidRPr="00305E47">
        <w:t xml:space="preserve"> determining</w:t>
      </w:r>
      <w:r>
        <w:t xml:space="preserve"> </w:t>
      </w:r>
      <w:r w:rsidRPr="00305E47">
        <w:t xml:space="preserve">whether the exigency exception to the </w:t>
      </w:r>
      <w:proofErr w:type="gramStart"/>
      <w:r w:rsidRPr="00305E47">
        <w:t>warrant requirement applies</w:t>
      </w:r>
      <w:proofErr w:type="gramEnd"/>
      <w:r w:rsidRPr="00305E47">
        <w:t xml:space="preserve"> requires courts to</w:t>
      </w:r>
      <w:r>
        <w:t xml:space="preserve"> </w:t>
      </w:r>
      <w:r w:rsidRPr="00F565F4">
        <w:t>conduct an objective, fact-sensitive analysis. Drawing de novo legal conclusions</w:t>
      </w:r>
      <w:r>
        <w:t xml:space="preserve"> </w:t>
      </w:r>
      <w:r w:rsidRPr="00F565F4">
        <w:t>from the facts found by the trial judge, the Court finds that here, time was of the</w:t>
      </w:r>
      <w:r>
        <w:t xml:space="preserve"> </w:t>
      </w:r>
      <w:r w:rsidRPr="00F565F4">
        <w:t>essence, delay was not reasonable, and seizure of the DVR by the police without a</w:t>
      </w:r>
      <w:r>
        <w:t xml:space="preserve"> </w:t>
      </w:r>
      <w:r w:rsidRPr="00F565F4">
        <w:t xml:space="preserve">warrant was justified by exigent </w:t>
      </w:r>
      <w:r>
        <w:t>c</w:t>
      </w:r>
      <w:r w:rsidRPr="00F565F4">
        <w:t>ircumstances.</w:t>
      </w:r>
      <w:r>
        <w:t>”</w:t>
      </w:r>
    </w:p>
    <w:p w14:paraId="221A3E25" w14:textId="77777777" w:rsidR="00ED1FF6" w:rsidRDefault="00ED1FF6" w:rsidP="00ED1FF6">
      <w:pPr>
        <w:pStyle w:val="NoSpacing"/>
        <w:ind w:left="720"/>
      </w:pPr>
    </w:p>
    <w:p w14:paraId="63CED89F" w14:textId="77777777" w:rsidR="00ED1FF6" w:rsidRDefault="00ED1FF6" w:rsidP="00ED1FF6">
      <w:pPr>
        <w:pStyle w:val="NoSpacing"/>
        <w:rPr>
          <w:b/>
          <w:bCs/>
        </w:rPr>
      </w:pPr>
      <w:r>
        <w:rPr>
          <w:b/>
        </w:rPr>
        <w:t>Legal lesson learned: Exigent circumstances justified seizing the security camera without a search warrant.</w:t>
      </w:r>
    </w:p>
    <w:p w14:paraId="11593B09" w14:textId="77777777" w:rsidR="00ED1FF6" w:rsidRDefault="00ED1FF6" w:rsidP="00ED1FF6">
      <w:pPr>
        <w:pStyle w:val="NoSpacing"/>
        <w:rPr>
          <w:b/>
          <w:bCs/>
        </w:rPr>
      </w:pPr>
    </w:p>
    <w:p w14:paraId="79C95776" w14:textId="77777777" w:rsidR="00ED1FF6" w:rsidRDefault="00ED1FF6" w:rsidP="00037CB8">
      <w:pPr>
        <w:pStyle w:val="NoSpacing"/>
        <w:rPr>
          <w:rFonts w:ascii="Arial Black" w:hAnsi="Arial Black"/>
          <w:sz w:val="24"/>
          <w:szCs w:val="24"/>
        </w:rPr>
      </w:pPr>
    </w:p>
    <w:p w14:paraId="7C5061BC" w14:textId="77777777" w:rsidR="00C137EF" w:rsidRDefault="00C137EF" w:rsidP="00037CB8">
      <w:pPr>
        <w:pStyle w:val="NoSpacing"/>
        <w:rPr>
          <w:rFonts w:ascii="Arial Black" w:hAnsi="Arial Black"/>
          <w:sz w:val="24"/>
          <w:szCs w:val="24"/>
        </w:rPr>
      </w:pPr>
    </w:p>
    <w:p w14:paraId="38BC3130" w14:textId="77777777" w:rsidR="00C137EF" w:rsidRDefault="00C137EF" w:rsidP="00037CB8">
      <w:pPr>
        <w:pStyle w:val="NoSpacing"/>
        <w:rPr>
          <w:rFonts w:ascii="Arial Black" w:hAnsi="Arial Black"/>
          <w:sz w:val="24"/>
          <w:szCs w:val="24"/>
        </w:rPr>
      </w:pPr>
    </w:p>
    <w:p w14:paraId="7661086B" w14:textId="77777777" w:rsidR="00C137EF" w:rsidRDefault="00C137EF" w:rsidP="00037CB8">
      <w:pPr>
        <w:pStyle w:val="NoSpacing"/>
        <w:rPr>
          <w:rFonts w:ascii="Arial Black" w:hAnsi="Arial Black"/>
          <w:sz w:val="24"/>
          <w:szCs w:val="24"/>
        </w:rPr>
      </w:pPr>
    </w:p>
    <w:p w14:paraId="243C462B" w14:textId="26B7DB33" w:rsidR="00D035D9" w:rsidRDefault="00D035D9" w:rsidP="00037CB8">
      <w:pPr>
        <w:pStyle w:val="NoSpacing"/>
        <w:rPr>
          <w:rFonts w:ascii="Arial Black" w:hAnsi="Arial Black"/>
          <w:sz w:val="24"/>
          <w:szCs w:val="24"/>
        </w:rPr>
      </w:pPr>
      <w:r>
        <w:rPr>
          <w:rFonts w:ascii="Arial Black" w:hAnsi="Arial Black"/>
          <w:sz w:val="24"/>
          <w:szCs w:val="24"/>
        </w:rPr>
        <w:t>1-</w:t>
      </w:r>
      <w:r w:rsidR="0028642A">
        <w:rPr>
          <w:rFonts w:ascii="Arial Black" w:hAnsi="Arial Black"/>
          <w:sz w:val="24"/>
          <w:szCs w:val="24"/>
        </w:rPr>
        <w:t>20</w:t>
      </w:r>
      <w:r w:rsidR="00A44AF2">
        <w:rPr>
          <w:rFonts w:ascii="Arial Black" w:hAnsi="Arial Black"/>
          <w:sz w:val="24"/>
          <w:szCs w:val="24"/>
        </w:rPr>
        <w:t>0</w:t>
      </w:r>
    </w:p>
    <w:p w14:paraId="4686B41B" w14:textId="77777777" w:rsidR="00D035D9" w:rsidRDefault="00D035D9" w:rsidP="00037CB8">
      <w:pPr>
        <w:pStyle w:val="NoSpacing"/>
        <w:rPr>
          <w:rFonts w:ascii="Arial Black" w:hAnsi="Arial Black"/>
          <w:sz w:val="24"/>
          <w:szCs w:val="24"/>
        </w:rPr>
      </w:pPr>
    </w:p>
    <w:p w14:paraId="66EA8208" w14:textId="2E3C5C85" w:rsidR="00D035D9" w:rsidRPr="00DD3D69" w:rsidRDefault="00D035D9" w:rsidP="00D035D9">
      <w:pPr>
        <w:rPr>
          <w:rFonts w:ascii="Arial Black" w:hAnsi="Arial Black"/>
          <w:b/>
          <w:sz w:val="28"/>
          <w:szCs w:val="28"/>
        </w:rPr>
      </w:pPr>
      <w:r>
        <w:rPr>
          <w:rFonts w:ascii="Arial Black" w:hAnsi="Arial Black"/>
          <w:b/>
          <w:sz w:val="28"/>
          <w:szCs w:val="28"/>
        </w:rPr>
        <w:t>UT: TOWN COUNCIL – DID</w:t>
      </w:r>
      <w:r w:rsidR="00932FB7">
        <w:rPr>
          <w:rFonts w:ascii="Arial Black" w:hAnsi="Arial Black"/>
          <w:b/>
          <w:sz w:val="28"/>
          <w:szCs w:val="28"/>
        </w:rPr>
        <w:t xml:space="preserve">N’T </w:t>
      </w:r>
      <w:r>
        <w:rPr>
          <w:rFonts w:ascii="Arial Black" w:hAnsi="Arial Black"/>
          <w:b/>
          <w:sz w:val="28"/>
          <w:szCs w:val="28"/>
        </w:rPr>
        <w:t xml:space="preserve"> APPROVE NEW CHIEF</w:t>
      </w:r>
      <w:r w:rsidR="00932FB7">
        <w:rPr>
          <w:rFonts w:ascii="Arial Black" w:hAnsi="Arial Black"/>
          <w:b/>
          <w:sz w:val="28"/>
          <w:szCs w:val="28"/>
        </w:rPr>
        <w:t xml:space="preserve"> – NO SEVERANCE</w:t>
      </w:r>
    </w:p>
    <w:p w14:paraId="4D8B4ACA" w14:textId="77777777" w:rsidR="00D035D9" w:rsidRPr="009C12DF" w:rsidRDefault="00D035D9" w:rsidP="00D035D9">
      <w:pPr>
        <w:pStyle w:val="NoSpacing"/>
        <w:rPr>
          <w:bCs/>
        </w:rPr>
      </w:pPr>
      <w:r w:rsidRPr="00DF4246">
        <w:t xml:space="preserve">On December 26, 2025, in </w:t>
      </w:r>
      <w:r w:rsidRPr="00DF4246">
        <w:rPr>
          <w:u w:val="single"/>
        </w:rPr>
        <w:t>Daniel N. Musser v. Town of Apple Valley, et al</w:t>
      </w:r>
      <w:r w:rsidRPr="00DF4246">
        <w:t>.</w:t>
      </w:r>
      <w:r>
        <w:rPr>
          <w:b/>
        </w:rPr>
        <w:t xml:space="preserve">, </w:t>
      </w:r>
      <w:r w:rsidRPr="00DF4246">
        <w:t>the Court of Appeals of Utah</w:t>
      </w:r>
      <w:r>
        <w:t xml:space="preserve"> held (3 to 0) that the trial court properly dismissed the lawsuit by the plaintiff seeking a severance payment of one year’s salary.  On November 4, </w:t>
      </w:r>
      <w:proofErr w:type="gramStart"/>
      <w:r>
        <w:t>2021</w:t>
      </w:r>
      <w:proofErr w:type="gramEnd"/>
      <w:r>
        <w:t xml:space="preserve"> he signed a contract to be Fire Chief and Police Chief, two days after the election of the new Mayor, </w:t>
      </w:r>
      <w:r w:rsidRPr="00FC03C2">
        <w:t>Dina Mason Walters</w:t>
      </w:r>
      <w:r>
        <w:t>, who took office one month later.  According to his lawsuit: “</w:t>
      </w:r>
      <w:r w:rsidRPr="008527CE">
        <w:t>In August 2021, Apple Valley’s mayor, Dale Beddo (</w:t>
      </w:r>
      <w:r>
        <w:t>‘</w:t>
      </w:r>
      <w:r w:rsidRPr="008527CE">
        <w:t>Mayor Beddo</w:t>
      </w:r>
      <w:r>
        <w:t>’</w:t>
      </w:r>
      <w:r w:rsidRPr="008527CE">
        <w:t xml:space="preserve">), contacted Plaintiff </w:t>
      </w:r>
      <w:r>
        <w:t xml:space="preserve"> </w:t>
      </w:r>
      <w:r w:rsidRPr="008527CE">
        <w:t>and inquired whether Plaintiff would be interested in a position with Apple Valley as the police chief and fire chief</w:t>
      </w:r>
      <w:r>
        <w:t xml:space="preserve">…. </w:t>
      </w:r>
      <w:r w:rsidRPr="008561FF">
        <w:t xml:space="preserve">Plaintiff informed Mayor Beddo that although Plaintiff had worked for the Colorado City Marshals Office for over six years, trained, and worked with the Colorado City Fire </w:t>
      </w:r>
      <w:r>
        <w:t xml:space="preserve"> </w:t>
      </w:r>
      <w:r w:rsidRPr="008561FF">
        <w:t>Department, Plaintiff did not have any Fire Certifications.</w:t>
      </w:r>
      <w:r>
        <w:t xml:space="preserve">”  He then obtained the required certifications to be a Utah firefighter and police officer.  He apparently did not know that </w:t>
      </w:r>
      <w:r w:rsidRPr="009C12DF">
        <w:t>under a council-mayor form of government, Utah law required the advice and consent of the Council</w:t>
      </w:r>
      <w:r>
        <w:t xml:space="preserve"> </w:t>
      </w:r>
      <w:r w:rsidRPr="009C12DF">
        <w:t>when appointing a department head. See Utah Code § 10-3b-202(1)(d)(ii).</w:t>
      </w:r>
      <w:r>
        <w:t xml:space="preserve">  The new Mayor, Ms. Walters, </w:t>
      </w:r>
      <w:r w:rsidRPr="00C21543">
        <w:t xml:space="preserve">took office on January 3, 2022. A week later, she and a majority of the </w:t>
      </w:r>
      <w:r>
        <w:t xml:space="preserve">[5-member] </w:t>
      </w:r>
      <w:r w:rsidRPr="00C21543">
        <w:t>Council sent Musser a letter terminating his</w:t>
      </w:r>
      <w:r>
        <w:t xml:space="preserve"> </w:t>
      </w:r>
      <w:r w:rsidRPr="00C21543">
        <w:t>employment</w:t>
      </w:r>
      <w:r>
        <w:t xml:space="preserve">. </w:t>
      </w:r>
      <w:hyperlink r:id="rId46" w:history="1">
        <w:r w:rsidRPr="007B3445">
          <w:rPr>
            <w:rStyle w:val="Hyperlink"/>
          </w:rPr>
          <w:t>https://cases.justia.com/utah/court-of-appeals-published/2025-20241334-ca.pdf?ts=1766864394</w:t>
        </w:r>
      </w:hyperlink>
      <w:r>
        <w:t xml:space="preserve"> </w:t>
      </w:r>
    </w:p>
    <w:p w14:paraId="73C11812" w14:textId="77777777" w:rsidR="00D035D9" w:rsidRDefault="00D035D9" w:rsidP="00D035D9">
      <w:pPr>
        <w:rPr>
          <w:bCs/>
        </w:rPr>
      </w:pPr>
    </w:p>
    <w:p w14:paraId="51C571EF" w14:textId="77777777" w:rsidR="00D035D9" w:rsidRDefault="00D035D9" w:rsidP="00D035D9">
      <w:pPr>
        <w:rPr>
          <w:bCs/>
        </w:rPr>
      </w:pPr>
      <w:r>
        <w:t xml:space="preserve">THE COURT HELD:  </w:t>
      </w:r>
    </w:p>
    <w:p w14:paraId="1EB0C05B" w14:textId="77777777" w:rsidR="00D035D9" w:rsidRDefault="00D035D9" w:rsidP="00D035D9">
      <w:pPr>
        <w:pStyle w:val="NoSpacing"/>
        <w:ind w:left="720"/>
        <w:rPr>
          <w:bCs/>
        </w:rPr>
      </w:pPr>
      <w:r>
        <w:lastRenderedPageBreak/>
        <w:t>“</w:t>
      </w:r>
      <w:r w:rsidRPr="00F2593C">
        <w:t xml:space="preserve">On November 2, 2021, </w:t>
      </w:r>
      <w:r>
        <w:t>[D</w:t>
      </w:r>
      <w:r w:rsidRPr="004B6AE3">
        <w:t xml:space="preserve">ina Mason </w:t>
      </w:r>
      <w:r>
        <w:t xml:space="preserve">] </w:t>
      </w:r>
      <w:r w:rsidRPr="00F2593C">
        <w:t>Walters was elected mayor of Apple Valley, with her term beginning in January 2022. Two days later,</w:t>
      </w:r>
      <w:r>
        <w:t xml:space="preserve"> </w:t>
      </w:r>
      <w:r w:rsidRPr="00F2593C">
        <w:t>on November 4, 2021, Musser entered into the Contract with Apple Valley to employ him as the chief of its fire and police</w:t>
      </w:r>
      <w:r>
        <w:t xml:space="preserve"> </w:t>
      </w:r>
      <w:r w:rsidRPr="00F2593C">
        <w:t>departments.</w:t>
      </w:r>
      <w:r>
        <w:t xml:space="preserve">  </w:t>
      </w:r>
      <w:r w:rsidRPr="00F2593C">
        <w:t xml:space="preserve">The mayor pro </w:t>
      </w:r>
      <w:proofErr w:type="spellStart"/>
      <w:proofErr w:type="gramStart"/>
      <w:r w:rsidRPr="00F2593C">
        <w:t>tem</w:t>
      </w:r>
      <w:proofErr w:type="spellEnd"/>
      <w:proofErr w:type="gramEnd"/>
      <w:r w:rsidRPr="00F2593C">
        <w:t xml:space="preserve"> </w:t>
      </w:r>
      <w:r>
        <w:t xml:space="preserve">[temporary acting Mayor] </w:t>
      </w:r>
      <w:r w:rsidRPr="00F2593C">
        <w:t>signed on behalf of Apple Valley. Musser began his employment on November 11, 2021.</w:t>
      </w:r>
    </w:p>
    <w:p w14:paraId="7DD0376D" w14:textId="77777777" w:rsidR="00D035D9" w:rsidRDefault="00D035D9" w:rsidP="00D035D9">
      <w:pPr>
        <w:pStyle w:val="NoSpacing"/>
        <w:ind w:left="720"/>
        <w:rPr>
          <w:bCs/>
        </w:rPr>
      </w:pPr>
    </w:p>
    <w:p w14:paraId="37EB3EAB" w14:textId="77777777" w:rsidR="00D035D9" w:rsidRDefault="00D035D9" w:rsidP="00D035D9">
      <w:pPr>
        <w:pStyle w:val="NoSpacing"/>
        <w:ind w:left="720"/>
        <w:rPr>
          <w:bCs/>
        </w:rPr>
      </w:pPr>
      <w:r w:rsidRPr="006D2942">
        <w:t xml:space="preserve">In response to concerns about the validity of the Contract and Musser's employment, the mayor pro </w:t>
      </w:r>
      <w:proofErr w:type="spellStart"/>
      <w:r w:rsidRPr="006D2942">
        <w:t>tem</w:t>
      </w:r>
      <w:proofErr w:type="spellEnd"/>
      <w:r w:rsidRPr="006D2942">
        <w:t xml:space="preserve"> presented the Council</w:t>
      </w:r>
      <w:r>
        <w:t xml:space="preserve"> </w:t>
      </w:r>
      <w:r w:rsidRPr="006D2942">
        <w:t>with a resolution (the Appointment Resolution) on December 2, 2021, to confirm Musser's appointment as the police and fire</w:t>
      </w:r>
      <w:r>
        <w:t xml:space="preserve"> </w:t>
      </w:r>
      <w:r w:rsidRPr="004E3A4E">
        <w:t>chief. Of the five Council members, only three voted on the Appointment Resolution, with two in favor and one against. The</w:t>
      </w:r>
      <w:r>
        <w:t xml:space="preserve"> </w:t>
      </w:r>
      <w:r w:rsidRPr="004E3A4E">
        <w:t>other two Council members were absent from the vote.</w:t>
      </w:r>
    </w:p>
    <w:p w14:paraId="56CFF984" w14:textId="77777777" w:rsidR="00D035D9" w:rsidRDefault="00D035D9" w:rsidP="00D035D9">
      <w:pPr>
        <w:pStyle w:val="NoSpacing"/>
        <w:ind w:left="720"/>
        <w:rPr>
          <w:bCs/>
        </w:rPr>
      </w:pPr>
    </w:p>
    <w:p w14:paraId="03A41D2A" w14:textId="77777777" w:rsidR="00D035D9" w:rsidRDefault="00D035D9" w:rsidP="00D035D9">
      <w:pPr>
        <w:pStyle w:val="NoSpacing"/>
        <w:ind w:left="720"/>
        <w:rPr>
          <w:bCs/>
        </w:rPr>
      </w:pPr>
      <w:r w:rsidRPr="00C21543">
        <w:t xml:space="preserve">Walters took office on January 3, 2022. A week later, she and </w:t>
      </w:r>
      <w:proofErr w:type="gramStart"/>
      <w:r w:rsidRPr="00C21543">
        <w:t>a majority of</w:t>
      </w:r>
      <w:proofErr w:type="gramEnd"/>
      <w:r w:rsidRPr="00C21543">
        <w:t xml:space="preserve"> the Council sent Musser a letter terminating his</w:t>
      </w:r>
      <w:r>
        <w:t xml:space="preserve"> </w:t>
      </w:r>
      <w:r w:rsidRPr="00C21543">
        <w:t>employment, which gave several reasons for Musser's termination. As relevant to this appeal, the letter explained that Musser's</w:t>
      </w:r>
      <w:r>
        <w:t xml:space="preserve"> </w:t>
      </w:r>
      <w:r w:rsidRPr="00C21543">
        <w:t xml:space="preserve">termination was necessary because the Council </w:t>
      </w:r>
      <w:r>
        <w:t>‘</w:t>
      </w:r>
      <w:r w:rsidRPr="00C21543">
        <w:t>never approved or ratified</w:t>
      </w:r>
      <w:r>
        <w:t>’</w:t>
      </w:r>
      <w:r w:rsidRPr="00C21543">
        <w:t xml:space="preserve"> the Contract.</w:t>
      </w:r>
    </w:p>
    <w:p w14:paraId="49FF906D" w14:textId="77777777" w:rsidR="00D035D9" w:rsidRDefault="00D035D9" w:rsidP="00D035D9">
      <w:pPr>
        <w:pStyle w:val="NoSpacing"/>
        <w:ind w:left="720"/>
        <w:rPr>
          <w:bCs/>
        </w:rPr>
      </w:pPr>
    </w:p>
    <w:p w14:paraId="6C5479F7" w14:textId="77777777" w:rsidR="00D035D9" w:rsidRDefault="00D035D9" w:rsidP="00D035D9">
      <w:pPr>
        <w:pStyle w:val="NoSpacing"/>
        <w:ind w:left="720"/>
        <w:rPr>
          <w:bCs/>
        </w:rPr>
      </w:pPr>
      <w:r>
        <w:t>***</w:t>
      </w:r>
    </w:p>
    <w:p w14:paraId="7FD7E6CC" w14:textId="77777777" w:rsidR="00D035D9" w:rsidRDefault="00D035D9" w:rsidP="00D035D9">
      <w:pPr>
        <w:pStyle w:val="NoSpacing"/>
        <w:ind w:left="720"/>
        <w:rPr>
          <w:bCs/>
        </w:rPr>
      </w:pPr>
      <w:r w:rsidRPr="00711A48">
        <w:t>In response to his termination, Musser filed a complaint against the Town alleging breach of the Contract because he</w:t>
      </w:r>
      <w:r>
        <w:t xml:space="preserve"> </w:t>
      </w:r>
      <w:r w:rsidRPr="00711A48">
        <w:t xml:space="preserve">was terminated </w:t>
      </w:r>
      <w:r>
        <w:t>‘</w:t>
      </w:r>
      <w:r w:rsidRPr="00711A48">
        <w:t>without notice</w:t>
      </w:r>
      <w:r>
        <w:t>’</w:t>
      </w:r>
      <w:r w:rsidRPr="00711A48">
        <w:t xml:space="preserve"> and was not given the severance he was entitled to under the Contract. The Contract described</w:t>
      </w:r>
      <w:r>
        <w:t xml:space="preserve"> </w:t>
      </w:r>
      <w:r w:rsidRPr="00711A48">
        <w:t xml:space="preserve">reasonable and sufficient notice as </w:t>
      </w:r>
      <w:r>
        <w:t>‘</w:t>
      </w:r>
      <w:r w:rsidRPr="00711A48">
        <w:t>the greater of four (4) weeks or any minimum notice required by law</w:t>
      </w:r>
      <w:r>
        <w:t xml:space="preserve">’ </w:t>
      </w:r>
      <w:r w:rsidRPr="00711A48">
        <w:t xml:space="preserve"> and provided, </w:t>
      </w:r>
      <w:r>
        <w:t>‘</w:t>
      </w:r>
      <w:r w:rsidRPr="00711A48">
        <w:t>Upon</w:t>
      </w:r>
      <w:r>
        <w:t xml:space="preserve"> </w:t>
      </w:r>
      <w:r w:rsidRPr="00711A48">
        <w:t>any termination, by [Apple Valley], the employee will be entitled to one full year of compensation paid within 14 days of</w:t>
      </w:r>
      <w:r>
        <w:t xml:space="preserve"> </w:t>
      </w:r>
      <w:r w:rsidRPr="00711A48">
        <w:t>termination.</w:t>
      </w:r>
      <w:r>
        <w:t>’</w:t>
      </w:r>
    </w:p>
    <w:p w14:paraId="18BE19DF" w14:textId="77777777" w:rsidR="00D035D9" w:rsidRDefault="00D035D9" w:rsidP="00D035D9">
      <w:pPr>
        <w:pStyle w:val="NoSpacing"/>
        <w:ind w:left="720"/>
        <w:rPr>
          <w:bCs/>
        </w:rPr>
      </w:pPr>
    </w:p>
    <w:p w14:paraId="4FF339EE" w14:textId="77777777" w:rsidR="00D035D9" w:rsidRDefault="00D035D9" w:rsidP="00D035D9">
      <w:pPr>
        <w:pStyle w:val="NoSpacing"/>
        <w:ind w:left="720"/>
        <w:rPr>
          <w:bCs/>
        </w:rPr>
      </w:pPr>
      <w:r>
        <w:t>***</w:t>
      </w:r>
    </w:p>
    <w:p w14:paraId="410248F6" w14:textId="77777777" w:rsidR="00D035D9" w:rsidRDefault="00D035D9" w:rsidP="00D035D9">
      <w:pPr>
        <w:pStyle w:val="NoSpacing"/>
        <w:ind w:left="720"/>
        <w:rPr>
          <w:bCs/>
        </w:rPr>
      </w:pPr>
    </w:p>
    <w:p w14:paraId="0FB5D59E" w14:textId="77777777" w:rsidR="00D035D9" w:rsidRDefault="00D035D9" w:rsidP="00D035D9">
      <w:pPr>
        <w:pStyle w:val="NoSpacing"/>
        <w:ind w:left="720"/>
        <w:rPr>
          <w:bCs/>
        </w:rPr>
      </w:pPr>
      <w:r w:rsidRPr="0049467E">
        <w:t>The district court concluded that the Contract was null and void as an ultra vires act because Musser was hired without</w:t>
      </w:r>
      <w:r>
        <w:t xml:space="preserve"> </w:t>
      </w:r>
      <w:r w:rsidRPr="0049467E">
        <w:t>the advice and consent of the Council. Specifically, the district court concluded that the council-mayor form of government</w:t>
      </w:r>
      <w:r>
        <w:t xml:space="preserve"> ‘</w:t>
      </w:r>
      <w:r w:rsidRPr="0049467E">
        <w:t>allowed [Musser] to be hired as the head of [Apple Valley's] police and fire departments only with the advice and consent</w:t>
      </w:r>
      <w:r>
        <w:t xml:space="preserve"> </w:t>
      </w:r>
      <w:r w:rsidRPr="0049467E">
        <w:t>of the ... Council</w:t>
      </w:r>
      <w:r>
        <w:t xml:space="preserve">’ </w:t>
      </w:r>
      <w:r w:rsidRPr="0049467E">
        <w:t xml:space="preserve">pursuant to Utah law. Because the Contract was </w:t>
      </w:r>
      <w:r>
        <w:t>‘</w:t>
      </w:r>
      <w:r w:rsidRPr="0049467E">
        <w:t>executed in violation of ... statute,</w:t>
      </w:r>
      <w:r>
        <w:t>’</w:t>
      </w:r>
      <w:r w:rsidRPr="0049467E">
        <w:t xml:space="preserve"> it was </w:t>
      </w:r>
      <w:r>
        <w:t>‘</w:t>
      </w:r>
      <w:r w:rsidRPr="0049467E">
        <w:t>null and void</w:t>
      </w:r>
      <w:r>
        <w:t xml:space="preserve"> </w:t>
      </w:r>
      <w:r w:rsidRPr="0049467E">
        <w:t>as an ultra vires act.</w:t>
      </w:r>
      <w:r>
        <w:t>’</w:t>
      </w:r>
    </w:p>
    <w:p w14:paraId="4DD0D67B" w14:textId="77777777" w:rsidR="00D035D9" w:rsidRDefault="00D035D9" w:rsidP="00D035D9">
      <w:pPr>
        <w:pStyle w:val="NoSpacing"/>
        <w:ind w:left="720"/>
        <w:rPr>
          <w:bCs/>
        </w:rPr>
      </w:pPr>
    </w:p>
    <w:p w14:paraId="5FC0FC7B" w14:textId="77777777" w:rsidR="00D035D9" w:rsidRDefault="00D035D9" w:rsidP="00D035D9">
      <w:pPr>
        <w:pStyle w:val="NoSpacing"/>
        <w:ind w:left="720"/>
        <w:rPr>
          <w:bCs/>
        </w:rPr>
      </w:pPr>
      <w:r w:rsidRPr="0099019A">
        <w:t xml:space="preserve">Musser does not challenge this conclusion by the district court. Rather, he asserts </w:t>
      </w:r>
      <w:proofErr w:type="gramStart"/>
      <w:r w:rsidRPr="0099019A">
        <w:t>a number of</w:t>
      </w:r>
      <w:proofErr w:type="gramEnd"/>
      <w:r w:rsidRPr="0099019A">
        <w:t xml:space="preserve"> arguments as to why the</w:t>
      </w:r>
      <w:r>
        <w:t xml:space="preserve"> </w:t>
      </w:r>
      <w:r w:rsidRPr="0099019A">
        <w:t>Contract is nonetheless enforceable, including that he had no knowledge of the relevant statutes and ordinances and that Apple</w:t>
      </w:r>
      <w:r>
        <w:t xml:space="preserve"> </w:t>
      </w:r>
      <w:r w:rsidRPr="0099019A">
        <w:t>Valley ratified the Contract by acquiescence. We find neither argument persuasive</w:t>
      </w:r>
      <w:r>
        <w:t xml:space="preserve">…. </w:t>
      </w:r>
      <w:r w:rsidRPr="00B50A0A">
        <w:t xml:space="preserve">Thus, the mayor pro </w:t>
      </w:r>
      <w:proofErr w:type="spellStart"/>
      <w:r w:rsidRPr="00B50A0A">
        <w:t>tem's</w:t>
      </w:r>
      <w:proofErr w:type="spellEnd"/>
      <w:r w:rsidRPr="00B50A0A">
        <w:t xml:space="preserve"> apparent authority and Musser's lack of knowledge are irrelevant and cannot overcome</w:t>
      </w:r>
      <w:r>
        <w:t xml:space="preserve"> </w:t>
      </w:r>
      <w:r w:rsidRPr="00B50A0A">
        <w:t>the fact that the Contract was never approved by Apple Valley</w:t>
      </w:r>
      <w:r>
        <w:t xml:space="preserve">…. </w:t>
      </w:r>
      <w:r w:rsidRPr="00100751">
        <w:t>The district court did not err in concluding that the Contract was invalid, because the Council never gave its advice and</w:t>
      </w:r>
      <w:r>
        <w:t xml:space="preserve"> </w:t>
      </w:r>
      <w:r w:rsidRPr="00100751">
        <w:t>consent as required by statute. Musser's arguments to the contrary are unavailing. Accordingly, we affirm the district court's</w:t>
      </w:r>
      <w:r>
        <w:t xml:space="preserve"> </w:t>
      </w:r>
      <w:r w:rsidRPr="00100751">
        <w:t>grant of summary judgment in favor of the Town</w:t>
      </w:r>
      <w:r>
        <w:t>.”</w:t>
      </w:r>
    </w:p>
    <w:p w14:paraId="09A2E5AF" w14:textId="77777777" w:rsidR="00D035D9" w:rsidRDefault="00D035D9" w:rsidP="00D035D9">
      <w:pPr>
        <w:pStyle w:val="NoSpacing"/>
        <w:ind w:left="720"/>
        <w:rPr>
          <w:bCs/>
        </w:rPr>
      </w:pPr>
    </w:p>
    <w:p w14:paraId="49522CBC" w14:textId="77777777" w:rsidR="00D035D9" w:rsidRDefault="00D035D9" w:rsidP="00D035D9">
      <w:pPr>
        <w:pStyle w:val="NoSpacing"/>
        <w:rPr>
          <w:b/>
        </w:rPr>
      </w:pPr>
      <w:r>
        <w:rPr>
          <w:b/>
        </w:rPr>
        <w:t>Legal lesson learned: Before accepting new position as Fire Chief, you need to first meet with the incoming Mayor and Council members before signing the contract.</w:t>
      </w:r>
    </w:p>
    <w:p w14:paraId="708B110B" w14:textId="77777777" w:rsidR="00D035D9" w:rsidRDefault="00D035D9" w:rsidP="00D035D9">
      <w:pPr>
        <w:pStyle w:val="NoSpacing"/>
        <w:rPr>
          <w:b/>
        </w:rPr>
      </w:pPr>
    </w:p>
    <w:p w14:paraId="2219D0A7" w14:textId="77777777" w:rsidR="00D035D9" w:rsidRDefault="00D035D9" w:rsidP="00D035D9">
      <w:pPr>
        <w:pStyle w:val="NoSpacing"/>
      </w:pPr>
      <w:r w:rsidRPr="0056174D">
        <w:t xml:space="preserve">Note:  </w:t>
      </w:r>
      <w:r>
        <w:t xml:space="preserve">Read the plaintiff’s lawsuit; he apparently had been in discussions with Mayor Dale Beddo since August 2021 and took the necessary courses to be certified as a firefighter and police officer.  </w:t>
      </w:r>
      <w:hyperlink r:id="rId47" w:history="1">
        <w:r w:rsidRPr="00811005">
          <w:rPr>
            <w:rStyle w:val="Hyperlink"/>
          </w:rPr>
          <w:t>https://www.facebook.com/groups/336997465025309/posts/424479052943816/</w:t>
        </w:r>
      </w:hyperlink>
    </w:p>
    <w:p w14:paraId="536661AC" w14:textId="77777777" w:rsidR="00D035D9" w:rsidRDefault="00D035D9" w:rsidP="00D035D9">
      <w:pPr>
        <w:pStyle w:val="NoSpacing"/>
      </w:pPr>
    </w:p>
    <w:p w14:paraId="131854FD" w14:textId="77777777" w:rsidR="00473C4B" w:rsidRDefault="00D035D9" w:rsidP="00037CB8">
      <w:pPr>
        <w:pStyle w:val="NoSpacing"/>
        <w:rPr>
          <w:rFonts w:ascii="Arial Black" w:hAnsi="Arial Black"/>
          <w:sz w:val="24"/>
          <w:szCs w:val="24"/>
        </w:rPr>
      </w:pPr>
      <w:r>
        <w:rPr>
          <w:rFonts w:ascii="Arial Black" w:hAnsi="Arial Black"/>
          <w:sz w:val="24"/>
          <w:szCs w:val="24"/>
        </w:rPr>
        <w:t xml:space="preserve"> </w:t>
      </w:r>
    </w:p>
    <w:p w14:paraId="22ADC4D3" w14:textId="4DC2845E" w:rsidR="00473C4B" w:rsidRDefault="00473C4B" w:rsidP="00037CB8">
      <w:pPr>
        <w:pStyle w:val="NoSpacing"/>
        <w:rPr>
          <w:rFonts w:ascii="Arial Black" w:hAnsi="Arial Black"/>
          <w:sz w:val="24"/>
          <w:szCs w:val="24"/>
        </w:rPr>
      </w:pPr>
      <w:r>
        <w:rPr>
          <w:rFonts w:ascii="Arial Black" w:hAnsi="Arial Black"/>
          <w:sz w:val="24"/>
          <w:szCs w:val="24"/>
        </w:rPr>
        <w:t>1-</w:t>
      </w:r>
      <w:r w:rsidR="00A44AF2">
        <w:rPr>
          <w:rFonts w:ascii="Arial Black" w:hAnsi="Arial Black"/>
          <w:sz w:val="24"/>
          <w:szCs w:val="24"/>
        </w:rPr>
        <w:t>199</w:t>
      </w:r>
    </w:p>
    <w:p w14:paraId="5A848819" w14:textId="77777777" w:rsidR="00473C4B" w:rsidRDefault="00473C4B" w:rsidP="00473C4B">
      <w:pPr>
        <w:pStyle w:val="NoSpacing"/>
        <w:rPr>
          <w:rFonts w:ascii="Arial Black" w:hAnsi="Arial Black"/>
          <w:sz w:val="28"/>
          <w:szCs w:val="28"/>
        </w:rPr>
      </w:pPr>
      <w:r>
        <w:rPr>
          <w:rFonts w:ascii="Arial Black" w:hAnsi="Arial Black"/>
          <w:sz w:val="28"/>
          <w:szCs w:val="28"/>
        </w:rPr>
        <w:t>KY: FF RESIDENCY – FDs CAN REQUIRE – NEED NEW LAW</w:t>
      </w:r>
    </w:p>
    <w:p w14:paraId="2965FF20" w14:textId="77777777" w:rsidR="00473C4B" w:rsidRDefault="00473C4B" w:rsidP="00473C4B">
      <w:pPr>
        <w:pStyle w:val="NoSpacing"/>
        <w:rPr>
          <w:bCs/>
        </w:rPr>
      </w:pPr>
    </w:p>
    <w:p w14:paraId="48F93283" w14:textId="34E20D58" w:rsidR="00473C4B" w:rsidRDefault="00473C4B" w:rsidP="00473C4B">
      <w:pPr>
        <w:pStyle w:val="NoSpacing"/>
        <w:rPr>
          <w:bCs/>
        </w:rPr>
      </w:pPr>
      <w:r>
        <w:lastRenderedPageBreak/>
        <w:t xml:space="preserve">On December 18, 2025, in </w:t>
      </w:r>
      <w:r w:rsidRPr="001A4912">
        <w:rPr>
          <w:u w:val="single"/>
        </w:rPr>
        <w:t>Nathan Torain, et al. v. City of Paducah</w:t>
      </w:r>
      <w:r>
        <w:t xml:space="preserve">, the Kentuck Supreme Court held (6 to 1) that the City of Paducah, which has no ambulances and relies on private ambulance service to transport patients, may impose a residency requirement that firefighters to live within McCracken County (their ordinance has exception – can reside outside County if live within 45 minute response time of Station 4).  The state legislature was concerned about recruitment, particularly in rural areas has enacted a statute with following prohibition on residency. </w:t>
      </w:r>
      <w:r w:rsidRPr="00FF28DE">
        <w:t>KRS 311A.027(1) states “No public agency, tax district, or other publicly</w:t>
      </w:r>
      <w:r>
        <w:t xml:space="preserve"> </w:t>
      </w:r>
      <w:r w:rsidRPr="00FF28DE">
        <w:t>funded emergency medical service first response provider or licensed</w:t>
      </w:r>
      <w:r>
        <w:t xml:space="preserve"> </w:t>
      </w:r>
      <w:r w:rsidRPr="00FF28DE">
        <w:t>ambulance service shall have a residence requirement for an employee of or</w:t>
      </w:r>
      <w:r>
        <w:t xml:space="preserve"> </w:t>
      </w:r>
      <w:r w:rsidRPr="00FF28DE">
        <w:t>volunteer for the organization.”</w:t>
      </w:r>
      <w:r>
        <w:t xml:space="preserve">  The Kentucky Supreme Court majority decision recognizes that many fire departments do have ambulances and suggests that Kentucky legislature clarify whether “fire &amp; EMS” departments can impose a residency requirement.  The one Dissenting Justice would extend the residency statute to Paducah, which has </w:t>
      </w:r>
      <w:r w:rsidRPr="00A3098D">
        <w:t>five (5) fire stations</w:t>
      </w:r>
      <w:r>
        <w:t xml:space="preserve">, and </w:t>
      </w:r>
      <w:r w:rsidRPr="00A3098D">
        <w:t>one (1) private ambulance</w:t>
      </w:r>
      <w:r>
        <w:t xml:space="preserve"> </w:t>
      </w:r>
      <w:r w:rsidRPr="00A3098D">
        <w:t>station</w:t>
      </w:r>
      <w:r>
        <w:t xml:space="preserve">, and all firefighters must be EMTs. </w:t>
      </w:r>
      <w:r w:rsidR="00F84DC5">
        <w:t xml:space="preserve"> </w:t>
      </w:r>
      <w:hyperlink r:id="rId48" w:history="1">
        <w:r w:rsidR="00F84DC5" w:rsidRPr="00D0038D">
          <w:rPr>
            <w:rStyle w:val="Hyperlink"/>
          </w:rPr>
          <w:t>https://law.justia.com/cases/kentucky/supreme-court/2025/2023-sc-0395-dg.html</w:t>
        </w:r>
      </w:hyperlink>
      <w:r w:rsidR="00F84DC5">
        <w:t xml:space="preserve"> </w:t>
      </w:r>
    </w:p>
    <w:p w14:paraId="1B1394CC" w14:textId="77777777" w:rsidR="00473C4B" w:rsidRDefault="00473C4B" w:rsidP="00473C4B">
      <w:pPr>
        <w:pStyle w:val="NoSpacing"/>
        <w:rPr>
          <w:bCs/>
        </w:rPr>
      </w:pPr>
    </w:p>
    <w:p w14:paraId="59401B58" w14:textId="77777777" w:rsidR="00473C4B" w:rsidRDefault="00473C4B" w:rsidP="00473C4B">
      <w:pPr>
        <w:pStyle w:val="NoSpacing"/>
      </w:pPr>
      <w:r>
        <w:t>THE COURT HELD:</w:t>
      </w:r>
    </w:p>
    <w:p w14:paraId="0B65D284" w14:textId="77777777" w:rsidR="00473C4B" w:rsidRDefault="00473C4B" w:rsidP="00473C4B">
      <w:pPr>
        <w:pStyle w:val="NoSpacing"/>
      </w:pPr>
    </w:p>
    <w:p w14:paraId="5C49D9BC" w14:textId="77777777" w:rsidR="00473C4B" w:rsidRDefault="00473C4B" w:rsidP="00473C4B">
      <w:pPr>
        <w:pStyle w:val="NoSpacing"/>
        <w:ind w:left="720"/>
      </w:pPr>
      <w:r>
        <w:t xml:space="preserve">“Paducah’s Ordinance § 2-304 states, ‘All members of the fire department hired after October 1, 1998, shall reside within McCracken County or within forty-five minutes of Station 4 as measured by a recognized mapping program . . . as a condition of their continued employment with the fire department of the city.’ </w:t>
      </w:r>
    </w:p>
    <w:p w14:paraId="1832DB97" w14:textId="77777777" w:rsidR="00473C4B" w:rsidRDefault="00473C4B" w:rsidP="00473C4B">
      <w:pPr>
        <w:pStyle w:val="NoSpacing"/>
      </w:pPr>
    </w:p>
    <w:p w14:paraId="721EDE9C" w14:textId="77777777" w:rsidR="00473C4B" w:rsidRDefault="00473C4B" w:rsidP="00473C4B">
      <w:pPr>
        <w:pStyle w:val="NoSpacing"/>
        <w:ind w:firstLine="720"/>
      </w:pPr>
      <w:r>
        <w:t>***</w:t>
      </w:r>
    </w:p>
    <w:p w14:paraId="254EEDB3" w14:textId="77777777" w:rsidR="00473C4B" w:rsidRDefault="00473C4B" w:rsidP="00473C4B">
      <w:pPr>
        <w:pStyle w:val="NoSpacing"/>
      </w:pPr>
    </w:p>
    <w:p w14:paraId="6001BC93" w14:textId="77777777" w:rsidR="00473C4B" w:rsidRDefault="00473C4B" w:rsidP="00473C4B">
      <w:pPr>
        <w:pStyle w:val="NoSpacing"/>
        <w:ind w:firstLine="720"/>
      </w:pPr>
      <w:r>
        <w:t>The trial court found,</w:t>
      </w:r>
    </w:p>
    <w:p w14:paraId="3DAC375B" w14:textId="77777777" w:rsidR="00473C4B" w:rsidRDefault="00473C4B" w:rsidP="00473C4B">
      <w:pPr>
        <w:pStyle w:val="NoSpacing"/>
      </w:pPr>
    </w:p>
    <w:p w14:paraId="12D483BD" w14:textId="77777777" w:rsidR="00473C4B" w:rsidRDefault="00473C4B" w:rsidP="00473C4B">
      <w:pPr>
        <w:pStyle w:val="NoSpacing"/>
        <w:ind w:left="1440"/>
      </w:pPr>
      <w:r>
        <w:t xml:space="preserve">‘If Paducah firefighters were emergency medical service first responders only, or even if their primary duty were medical service first response providers, Torian’s argument may have merit. However, firefighters are firefighters first and emergency medical responders second. KRS 311A.027 was not intended to apply to firefighters. Firefighters’ duties are governed by KRS Chapter 95 </w:t>
      </w:r>
      <w:proofErr w:type="gramStart"/>
      <w:r>
        <w:t>which was</w:t>
      </w:r>
      <w:proofErr w:type="gramEnd"/>
      <w:r>
        <w:t xml:space="preserve"> does not preclude ordinances establishing residence requirements for firefighters. If the legislature had intended for this section to apply to </w:t>
      </w:r>
      <w:proofErr w:type="gramStart"/>
      <w:r>
        <w:t>firefighters</w:t>
      </w:r>
      <w:proofErr w:type="gramEnd"/>
      <w:r>
        <w:t xml:space="preserve"> it would have used the term ‘firefighter’ in the body of the subsection and would not have</w:t>
      </w:r>
    </w:p>
    <w:p w14:paraId="7DCEAFCA" w14:textId="77777777" w:rsidR="00473C4B" w:rsidRDefault="00473C4B" w:rsidP="00473C4B">
      <w:pPr>
        <w:pStyle w:val="NoSpacing"/>
        <w:ind w:left="1440"/>
      </w:pPr>
      <w:r>
        <w:t>placed the statute in a chapter dealing exclusively with emergency medical services.’</w:t>
      </w:r>
    </w:p>
    <w:p w14:paraId="7D3AD92E" w14:textId="77777777" w:rsidR="00473C4B" w:rsidRDefault="00473C4B" w:rsidP="00473C4B">
      <w:pPr>
        <w:ind w:firstLine="720"/>
        <w:rPr>
          <w:bCs/>
        </w:rPr>
      </w:pPr>
      <w:r>
        <w:t>***</w:t>
      </w:r>
    </w:p>
    <w:p w14:paraId="55AAC334" w14:textId="77777777" w:rsidR="00473C4B" w:rsidRPr="00610A05" w:rsidRDefault="00473C4B" w:rsidP="00473C4B">
      <w:pPr>
        <w:pStyle w:val="NoSpacing"/>
        <w:ind w:left="720"/>
        <w:rPr>
          <w:bCs/>
        </w:rPr>
      </w:pPr>
      <w:r w:rsidRPr="00610A05">
        <w:t>At first blush, this term would seem to</w:t>
      </w:r>
      <w:r>
        <w:t xml:space="preserve"> </w:t>
      </w:r>
      <w:r w:rsidRPr="00610A05">
        <w:t>encompass fire departments since they respond to emergencies; are first</w:t>
      </w:r>
      <w:r>
        <w:t xml:space="preserve"> </w:t>
      </w:r>
      <w:r w:rsidRPr="00610A05">
        <w:t>responders; and firefighters do, or at least are trained to, provide medical</w:t>
      </w:r>
      <w:r>
        <w:t xml:space="preserve"> </w:t>
      </w:r>
      <w:r w:rsidRPr="00610A05">
        <w:t>service when called. Reference to the regulations, however, demonstrates that</w:t>
      </w:r>
    </w:p>
    <w:p w14:paraId="130F87B9" w14:textId="77777777" w:rsidR="00473C4B" w:rsidRDefault="00473C4B" w:rsidP="00473C4B">
      <w:pPr>
        <w:pStyle w:val="NoSpacing"/>
        <w:ind w:left="720"/>
        <w:rPr>
          <w:bCs/>
        </w:rPr>
      </w:pPr>
      <w:proofErr w:type="gramStart"/>
      <w:r w:rsidRPr="00610A05">
        <w:t>emergency</w:t>
      </w:r>
      <w:proofErr w:type="gramEnd"/>
      <w:r w:rsidRPr="00610A05">
        <w:t xml:space="preserve"> medical first response services are exclusively understood in the</w:t>
      </w:r>
      <w:r>
        <w:t xml:space="preserve"> </w:t>
      </w:r>
      <w:r w:rsidRPr="00610A05">
        <w:t>context of ambulance services. Since Paducah Fire Department does not</w:t>
      </w:r>
      <w:r>
        <w:t xml:space="preserve"> </w:t>
      </w:r>
      <w:r w:rsidRPr="00610A05">
        <w:t>provide ambulance services it is not covered by KRS 311A.027(1)</w:t>
      </w:r>
      <w:r>
        <w:t>.</w:t>
      </w:r>
    </w:p>
    <w:p w14:paraId="55D671EA" w14:textId="77777777" w:rsidR="00473C4B" w:rsidRDefault="00473C4B" w:rsidP="00473C4B">
      <w:pPr>
        <w:pStyle w:val="NoSpacing"/>
        <w:ind w:left="720"/>
        <w:rPr>
          <w:bCs/>
        </w:rPr>
      </w:pPr>
    </w:p>
    <w:p w14:paraId="1EDCF035" w14:textId="77777777" w:rsidR="00473C4B" w:rsidRDefault="00473C4B" w:rsidP="00473C4B">
      <w:pPr>
        <w:pStyle w:val="NoSpacing"/>
        <w:ind w:left="720"/>
        <w:rPr>
          <w:bCs/>
        </w:rPr>
      </w:pPr>
      <w:r>
        <w:t>***</w:t>
      </w:r>
    </w:p>
    <w:p w14:paraId="1CF7DEB3" w14:textId="77777777" w:rsidR="00473C4B" w:rsidRDefault="00473C4B" w:rsidP="00473C4B">
      <w:pPr>
        <w:pStyle w:val="NoSpacing"/>
        <w:ind w:left="720"/>
        <w:rPr>
          <w:bCs/>
        </w:rPr>
      </w:pPr>
      <w:r w:rsidRPr="003F0DC2">
        <w:t xml:space="preserve">The Paducah Fire Department does not maintain an </w:t>
      </w:r>
      <w:proofErr w:type="gramStart"/>
      <w:r w:rsidRPr="003F0DC2">
        <w:t>ambulance</w:t>
      </w:r>
      <w:proofErr w:type="gramEnd"/>
      <w:r w:rsidRPr="003F0DC2">
        <w:t xml:space="preserve"> and it does not</w:t>
      </w:r>
      <w:r>
        <w:t xml:space="preserve">  </w:t>
      </w:r>
      <w:r w:rsidRPr="007F3D51">
        <w:t>provide ambulance services</w:t>
      </w:r>
      <w:r>
        <w:t xml:space="preserve">. </w:t>
      </w:r>
      <w:r w:rsidRPr="007F3D51">
        <w:t xml:space="preserve"> </w:t>
      </w:r>
      <w:r>
        <w:t xml:space="preserve">[Footnote 8.] </w:t>
      </w:r>
      <w:r w:rsidRPr="007F3D51">
        <w:t xml:space="preserve">It is not a </w:t>
      </w:r>
      <w:r>
        <w:t>‘</w:t>
      </w:r>
      <w:r w:rsidRPr="007F3D51">
        <w:t>medical first response agency</w:t>
      </w:r>
      <w:r>
        <w:t xml:space="preserve">’ </w:t>
      </w:r>
      <w:r w:rsidRPr="007F3D51">
        <w:t>under</w:t>
      </w:r>
      <w:r>
        <w:t xml:space="preserve"> </w:t>
      </w:r>
      <w:r w:rsidRPr="007F3D51">
        <w:t xml:space="preserve">the regulations, therefore, we conclude it is not an </w:t>
      </w:r>
      <w:r>
        <w:t>‘</w:t>
      </w:r>
      <w:r w:rsidRPr="007F3D51">
        <w:t>emergency medical first</w:t>
      </w:r>
      <w:r>
        <w:t xml:space="preserve"> </w:t>
      </w:r>
      <w:r w:rsidRPr="007F3D51">
        <w:t>response provider</w:t>
      </w:r>
      <w:r>
        <w:t>’</w:t>
      </w:r>
      <w:r w:rsidRPr="007F3D51">
        <w:t xml:space="preserve"> under KRS 311A.027(1) since the two phrases are</w:t>
      </w:r>
      <w:r>
        <w:t xml:space="preserve"> </w:t>
      </w:r>
      <w:r w:rsidRPr="007F3D51">
        <w:t>functionally equivalent.</w:t>
      </w:r>
    </w:p>
    <w:p w14:paraId="6C272A67" w14:textId="77777777" w:rsidR="00473C4B" w:rsidRDefault="00473C4B" w:rsidP="00473C4B">
      <w:pPr>
        <w:pStyle w:val="NoSpacing"/>
        <w:ind w:left="720"/>
        <w:rPr>
          <w:bCs/>
        </w:rPr>
      </w:pPr>
    </w:p>
    <w:p w14:paraId="3592A628" w14:textId="77777777" w:rsidR="00473C4B" w:rsidRDefault="00473C4B" w:rsidP="00473C4B">
      <w:pPr>
        <w:pStyle w:val="NoSpacing"/>
        <w:ind w:left="1440"/>
        <w:rPr>
          <w:bCs/>
        </w:rPr>
      </w:pPr>
      <w:r>
        <w:t xml:space="preserve">Footnote 8: </w:t>
      </w:r>
      <w:r w:rsidRPr="001E1034">
        <w:t xml:space="preserve">Paducah represented both in briefing </w:t>
      </w:r>
      <w:proofErr w:type="gramStart"/>
      <w:r w:rsidRPr="001E1034">
        <w:t>and at</w:t>
      </w:r>
      <w:proofErr w:type="gramEnd"/>
      <w:r w:rsidRPr="001E1034">
        <w:t xml:space="preserve"> oral argument that Paducah Fire</w:t>
      </w:r>
      <w:r>
        <w:t xml:space="preserve"> </w:t>
      </w:r>
      <w:r w:rsidRPr="001E1034">
        <w:t>Department does not operate an ambulance service. The only ambulance service in</w:t>
      </w:r>
      <w:r>
        <w:t xml:space="preserve"> </w:t>
      </w:r>
      <w:r w:rsidRPr="001E1034">
        <w:t>Paducah is a private company operated by the local hospitals. Torian has not denied</w:t>
      </w:r>
      <w:r>
        <w:t xml:space="preserve"> </w:t>
      </w:r>
      <w:r w:rsidRPr="001E1034">
        <w:t>this assertion nor produced evidence to the contrary.</w:t>
      </w:r>
    </w:p>
    <w:p w14:paraId="55FD265F" w14:textId="77777777" w:rsidR="00473C4B" w:rsidRDefault="00473C4B" w:rsidP="00473C4B">
      <w:pPr>
        <w:pStyle w:val="NoSpacing"/>
        <w:ind w:left="1440"/>
        <w:rPr>
          <w:bCs/>
        </w:rPr>
      </w:pPr>
    </w:p>
    <w:p w14:paraId="6BB5DC2E" w14:textId="77777777" w:rsidR="00473C4B" w:rsidRDefault="00473C4B" w:rsidP="00473C4B">
      <w:pPr>
        <w:pStyle w:val="NoSpacing"/>
        <w:rPr>
          <w:bCs/>
        </w:rPr>
      </w:pPr>
      <w:r>
        <w:tab/>
        <w:t>***</w:t>
      </w:r>
    </w:p>
    <w:p w14:paraId="3ACCD077" w14:textId="77777777" w:rsidR="00473C4B" w:rsidRDefault="00473C4B" w:rsidP="00473C4B">
      <w:pPr>
        <w:pStyle w:val="NoSpacing"/>
        <w:rPr>
          <w:bCs/>
        </w:rPr>
      </w:pPr>
    </w:p>
    <w:p w14:paraId="5E663387" w14:textId="77777777" w:rsidR="00473C4B" w:rsidRDefault="00473C4B" w:rsidP="00473C4B">
      <w:pPr>
        <w:pStyle w:val="NoSpacing"/>
        <w:ind w:left="720"/>
        <w:rPr>
          <w:bCs/>
        </w:rPr>
      </w:pPr>
      <w:r w:rsidRPr="005C67B6">
        <w:lastRenderedPageBreak/>
        <w:t>The amicus brief filed by Kentucky</w:t>
      </w:r>
      <w:r>
        <w:t xml:space="preserve"> </w:t>
      </w:r>
      <w:r w:rsidRPr="005C67B6">
        <w:t>Professional Firefighters Association has also pointed out that several cities</w:t>
      </w:r>
      <w:r>
        <w:t xml:space="preserve"> </w:t>
      </w:r>
      <w:r w:rsidRPr="005C67B6">
        <w:t>and counties maintain departments which combine both fire response and</w:t>
      </w:r>
      <w:r>
        <w:t xml:space="preserve"> </w:t>
      </w:r>
      <w:r w:rsidRPr="005C67B6">
        <w:t>emergency medical services, such Winchester Fire and EMS, and Frankfort Fire</w:t>
      </w:r>
      <w:r>
        <w:t xml:space="preserve"> </w:t>
      </w:r>
      <w:r w:rsidRPr="005C67B6">
        <w:t>and EMS.</w:t>
      </w:r>
      <w:r>
        <w:t xml:space="preserve">  </w:t>
      </w:r>
      <w:r w:rsidRPr="005C67B6">
        <w:t>Presumably it is these kinds of combined service departments that</w:t>
      </w:r>
      <w:r>
        <w:t xml:space="preserve"> </w:t>
      </w:r>
      <w:r w:rsidRPr="005C67B6">
        <w:t xml:space="preserve">the parties were referring to by the term </w:t>
      </w:r>
      <w:r>
        <w:t>‘</w:t>
      </w:r>
      <w:r w:rsidRPr="005C67B6">
        <w:t>fire-based EMS.</w:t>
      </w:r>
      <w:r>
        <w:t>’</w:t>
      </w:r>
      <w:r w:rsidRPr="005C67B6">
        <w:t xml:space="preserve"> Because any</w:t>
      </w:r>
      <w:r>
        <w:t xml:space="preserve"> </w:t>
      </w:r>
      <w:r w:rsidRPr="005C67B6">
        <w:t>department which maintains an ambulance and provides ambulance services</w:t>
      </w:r>
      <w:r>
        <w:t xml:space="preserve"> </w:t>
      </w:r>
      <w:r w:rsidRPr="005C67B6">
        <w:t>is subject to the applicable regulations, they are distinct from those fire</w:t>
      </w:r>
      <w:r>
        <w:t xml:space="preserve"> </w:t>
      </w:r>
      <w:r w:rsidRPr="005C67B6">
        <w:t>departments which do not. We, therefore, do not think affirming the Court of</w:t>
      </w:r>
      <w:r>
        <w:t xml:space="preserve"> </w:t>
      </w:r>
      <w:r w:rsidRPr="00451943">
        <w:t xml:space="preserve">Appeals is quite as broad as </w:t>
      </w:r>
      <w:proofErr w:type="gramStart"/>
      <w:r w:rsidRPr="00451943">
        <w:t>amici</w:t>
      </w:r>
      <w:proofErr w:type="gramEnd"/>
      <w:r w:rsidRPr="00451943">
        <w:t xml:space="preserve"> believes. </w:t>
      </w:r>
    </w:p>
    <w:p w14:paraId="11D3BB21" w14:textId="77777777" w:rsidR="00473C4B" w:rsidRDefault="00473C4B" w:rsidP="00473C4B">
      <w:pPr>
        <w:pStyle w:val="NoSpacing"/>
        <w:ind w:left="720"/>
        <w:rPr>
          <w:bCs/>
        </w:rPr>
      </w:pPr>
    </w:p>
    <w:p w14:paraId="02BEA8D9" w14:textId="77777777" w:rsidR="00473C4B" w:rsidRPr="00451943" w:rsidRDefault="00473C4B" w:rsidP="00473C4B">
      <w:pPr>
        <w:pStyle w:val="NoSpacing"/>
        <w:ind w:left="720"/>
        <w:rPr>
          <w:bCs/>
        </w:rPr>
      </w:pPr>
      <w:r w:rsidRPr="00451943">
        <w:t>In plain terms, this decision does</w:t>
      </w:r>
      <w:r>
        <w:t xml:space="preserve"> </w:t>
      </w:r>
      <w:r w:rsidRPr="00451943">
        <w:t>not answer the question of whether combined service departments that</w:t>
      </w:r>
      <w:r>
        <w:t xml:space="preserve"> </w:t>
      </w:r>
      <w:r w:rsidRPr="00451943">
        <w:t>function as both fire departments and EMS providers are subject to KRS</w:t>
      </w:r>
    </w:p>
    <w:p w14:paraId="676047B9" w14:textId="77777777" w:rsidR="00473C4B" w:rsidRPr="00451943" w:rsidRDefault="00473C4B" w:rsidP="00473C4B">
      <w:pPr>
        <w:pStyle w:val="NoSpacing"/>
        <w:ind w:left="720"/>
        <w:rPr>
          <w:bCs/>
        </w:rPr>
      </w:pPr>
      <w:r w:rsidRPr="00451943">
        <w:t>311A.027(1).</w:t>
      </w:r>
      <w:r>
        <w:t xml:space="preserve"> </w:t>
      </w:r>
      <w:r w:rsidRPr="00451943">
        <w:t>We will not engage in dicta to provide a clue as to how that question</w:t>
      </w:r>
    </w:p>
    <w:p w14:paraId="73AC7B91" w14:textId="77777777" w:rsidR="00473C4B" w:rsidRDefault="00473C4B" w:rsidP="00473C4B">
      <w:pPr>
        <w:pStyle w:val="NoSpacing"/>
        <w:ind w:left="720"/>
        <w:rPr>
          <w:bCs/>
        </w:rPr>
      </w:pPr>
      <w:r w:rsidRPr="00451943">
        <w:t>should be resolved. It exceeds the authority of this Court to fill gaps in the</w:t>
      </w:r>
      <w:r>
        <w:t xml:space="preserve"> </w:t>
      </w:r>
      <w:r w:rsidRPr="00451943">
        <w:t>applicable legislation or regulations.</w:t>
      </w:r>
    </w:p>
    <w:p w14:paraId="3B0D6815" w14:textId="77777777" w:rsidR="00473C4B" w:rsidRDefault="00473C4B" w:rsidP="00473C4B">
      <w:pPr>
        <w:pStyle w:val="NoSpacing"/>
        <w:ind w:left="720"/>
        <w:rPr>
          <w:bCs/>
        </w:rPr>
      </w:pPr>
    </w:p>
    <w:p w14:paraId="0C5EB198" w14:textId="77777777" w:rsidR="00473C4B" w:rsidRDefault="00473C4B" w:rsidP="00473C4B">
      <w:pPr>
        <w:pStyle w:val="NoSpacing"/>
        <w:ind w:left="720"/>
        <w:rPr>
          <w:bCs/>
        </w:rPr>
      </w:pPr>
      <w:r>
        <w:t>***</w:t>
      </w:r>
    </w:p>
    <w:p w14:paraId="27CFBE08" w14:textId="77777777" w:rsidR="00473C4B" w:rsidRPr="00A24BAF" w:rsidRDefault="00473C4B" w:rsidP="00473C4B">
      <w:pPr>
        <w:pStyle w:val="NoSpacing"/>
        <w:ind w:left="720"/>
        <w:rPr>
          <w:bCs/>
        </w:rPr>
      </w:pPr>
      <w:r w:rsidRPr="00A24BAF">
        <w:t xml:space="preserve">Nonetheless, the fact that there exists in </w:t>
      </w:r>
      <w:proofErr w:type="gramStart"/>
      <w:r w:rsidRPr="00A24BAF">
        <w:t>this</w:t>
      </w:r>
      <w:proofErr w:type="gramEnd"/>
      <w:r w:rsidRPr="00A24BAF">
        <w:t xml:space="preserve"> Commonwealth</w:t>
      </w:r>
      <w:r>
        <w:t xml:space="preserve"> </w:t>
      </w:r>
      <w:r w:rsidRPr="00A24BAF">
        <w:t>departments that combine both firefighting and emergency medical services,</w:t>
      </w:r>
      <w:r>
        <w:t xml:space="preserve"> </w:t>
      </w:r>
      <w:r w:rsidRPr="00A24BAF">
        <w:t>yet such combined departments are undefined in statutory or regulatory law,</w:t>
      </w:r>
      <w:r>
        <w:t xml:space="preserve"> </w:t>
      </w:r>
      <w:r w:rsidRPr="00A24BAF">
        <w:t>leaves them in a precarious state. We call upon the General Assembly to bring</w:t>
      </w:r>
      <w:r>
        <w:t xml:space="preserve"> </w:t>
      </w:r>
      <w:r w:rsidRPr="00A24BAF">
        <w:t xml:space="preserve">clarity to this situation; if not for the sake of </w:t>
      </w:r>
      <w:proofErr w:type="gramStart"/>
      <w:r w:rsidRPr="00A24BAF">
        <w:t>the judiciary</w:t>
      </w:r>
      <w:proofErr w:type="gramEnd"/>
      <w:r w:rsidRPr="00A24BAF">
        <w:t>, then at least for the</w:t>
      </w:r>
      <w:r>
        <w:t xml:space="preserve"> </w:t>
      </w:r>
      <w:r w:rsidRPr="00A24BAF">
        <w:t>sake of the thousands of fire fighters in the Commonwealth who serve our</w:t>
      </w:r>
      <w:r>
        <w:t xml:space="preserve"> </w:t>
      </w:r>
      <w:r w:rsidRPr="00A24BAF">
        <w:t>communities. These men and women richly deserve, at the very least, to know</w:t>
      </w:r>
    </w:p>
    <w:p w14:paraId="67B9FA04" w14:textId="77777777" w:rsidR="00473C4B" w:rsidRDefault="00473C4B" w:rsidP="00473C4B">
      <w:pPr>
        <w:pStyle w:val="NoSpacing"/>
        <w:ind w:left="720"/>
        <w:rPr>
          <w:bCs/>
        </w:rPr>
      </w:pPr>
      <w:r w:rsidRPr="00A24BAF">
        <w:t>with certainty which statutes govern them. The General Assembly is quite</w:t>
      </w:r>
      <w:r>
        <w:t xml:space="preserve"> </w:t>
      </w:r>
      <w:r w:rsidRPr="00A24BAF">
        <w:t>capable of providing that certainty.</w:t>
      </w:r>
      <w:r>
        <w:t>”</w:t>
      </w:r>
    </w:p>
    <w:p w14:paraId="64B965BC" w14:textId="77777777" w:rsidR="00473C4B" w:rsidRDefault="00473C4B" w:rsidP="00473C4B">
      <w:pPr>
        <w:pStyle w:val="NoSpacing"/>
        <w:ind w:left="720"/>
        <w:rPr>
          <w:bCs/>
        </w:rPr>
      </w:pPr>
    </w:p>
    <w:p w14:paraId="3780C7EC" w14:textId="77777777" w:rsidR="00473C4B" w:rsidRDefault="00473C4B" w:rsidP="00473C4B">
      <w:pPr>
        <w:pStyle w:val="NoSpacing"/>
        <w:rPr>
          <w:bCs/>
        </w:rPr>
      </w:pPr>
      <w:r>
        <w:t xml:space="preserve">DISSENT – Justice </w:t>
      </w:r>
      <w:r w:rsidRPr="00DD15C7">
        <w:t>Michelle M. Keller</w:t>
      </w:r>
      <w:r>
        <w:t xml:space="preserve"> </w:t>
      </w:r>
    </w:p>
    <w:p w14:paraId="62826E6A" w14:textId="77777777" w:rsidR="00473C4B" w:rsidRDefault="00473C4B" w:rsidP="00473C4B">
      <w:pPr>
        <w:pStyle w:val="NoSpacing"/>
        <w:rPr>
          <w:bCs/>
        </w:rPr>
      </w:pPr>
    </w:p>
    <w:p w14:paraId="40D2D5DD" w14:textId="77777777" w:rsidR="00473C4B" w:rsidRDefault="00473C4B" w:rsidP="00473C4B">
      <w:pPr>
        <w:pStyle w:val="NoSpacing"/>
        <w:ind w:left="720"/>
        <w:rPr>
          <w:bCs/>
        </w:rPr>
      </w:pPr>
      <w:r>
        <w:t>“</w:t>
      </w:r>
      <w:r w:rsidRPr="00A3098D">
        <w:t>There are five (5) fire stations versus one (1) private ambulance</w:t>
      </w:r>
      <w:r>
        <w:t xml:space="preserve"> </w:t>
      </w:r>
      <w:r w:rsidRPr="00A3098D">
        <w:t>station in Paducah. When a citizen of Paducah calls 911 for a non-fire related</w:t>
      </w:r>
      <w:r>
        <w:t xml:space="preserve"> </w:t>
      </w:r>
      <w:r w:rsidRPr="00A3098D">
        <w:t>medical emergency, a firefighter responds and arrives, often before the private</w:t>
      </w:r>
      <w:r>
        <w:t xml:space="preserve"> </w:t>
      </w:r>
      <w:r w:rsidRPr="00A3098D">
        <w:t>ambulance service. The firefighters administer medical aid, as they are trained</w:t>
      </w:r>
      <w:r>
        <w:t xml:space="preserve"> </w:t>
      </w:r>
      <w:r w:rsidRPr="00A3098D">
        <w:t>to do. In essence, this makes them emergency medical service first response</w:t>
      </w:r>
      <w:r>
        <w:t xml:space="preserve"> </w:t>
      </w:r>
      <w:r w:rsidRPr="00A3098D">
        <w:t>providers</w:t>
      </w:r>
      <w:r>
        <w:t xml:space="preserve">…. </w:t>
      </w:r>
      <w:r w:rsidRPr="007A3DA1">
        <w:t>By both ordinance and</w:t>
      </w:r>
      <w:r>
        <w:t xml:space="preserve"> </w:t>
      </w:r>
      <w:r w:rsidRPr="007A3DA1">
        <w:t>function, Paducah’s fire department is a publicly funded emergency medical</w:t>
      </w:r>
      <w:r>
        <w:t xml:space="preserve"> </w:t>
      </w:r>
      <w:r w:rsidRPr="007A3DA1">
        <w:t>service first-response provider, its members trained, certified, and dispatched</w:t>
      </w:r>
      <w:r>
        <w:t xml:space="preserve"> </w:t>
      </w:r>
      <w:r w:rsidRPr="007A3DA1">
        <w:t>as initial medical responders.</w:t>
      </w:r>
    </w:p>
    <w:p w14:paraId="736354B3" w14:textId="77777777" w:rsidR="00473C4B" w:rsidRDefault="00473C4B" w:rsidP="00473C4B">
      <w:pPr>
        <w:pStyle w:val="NoSpacing"/>
        <w:ind w:left="720"/>
        <w:rPr>
          <w:bCs/>
        </w:rPr>
      </w:pPr>
    </w:p>
    <w:p w14:paraId="44B559ED" w14:textId="77777777" w:rsidR="00473C4B" w:rsidRDefault="00473C4B" w:rsidP="00473C4B">
      <w:pPr>
        <w:pStyle w:val="NoSpacing"/>
        <w:ind w:left="720"/>
        <w:rPr>
          <w:bCs/>
        </w:rPr>
      </w:pPr>
      <w:r>
        <w:t>***</w:t>
      </w:r>
    </w:p>
    <w:p w14:paraId="7C47BF85" w14:textId="77777777" w:rsidR="00473C4B" w:rsidRDefault="00473C4B" w:rsidP="00473C4B">
      <w:pPr>
        <w:pStyle w:val="NoSpacing"/>
        <w:ind w:left="720"/>
        <w:rPr>
          <w:bCs/>
        </w:rPr>
      </w:pPr>
      <w:r w:rsidRPr="00E04227">
        <w:t>Paducah cannot have it both ways. Paducah mandates that its</w:t>
      </w:r>
      <w:r>
        <w:t xml:space="preserve"> </w:t>
      </w:r>
      <w:r w:rsidRPr="00E04227">
        <w:t>firefighters maintain KBEMS medical responder certification precisely because</w:t>
      </w:r>
      <w:r>
        <w:t xml:space="preserve"> </w:t>
      </w:r>
      <w:r w:rsidRPr="00E04227">
        <w:t>they are the first to arrive at medical 911 scenes. This operational reality</w:t>
      </w:r>
      <w:r>
        <w:t xml:space="preserve"> </w:t>
      </w:r>
      <w:r w:rsidRPr="00E04227">
        <w:t>places the department squarely within the statute’s definition. It calls them</w:t>
      </w:r>
      <w:r>
        <w:t xml:space="preserve"> ‘</w:t>
      </w:r>
      <w:r w:rsidRPr="00E04227">
        <w:t>first responders</w:t>
      </w:r>
      <w:r>
        <w:t>’</w:t>
      </w:r>
      <w:r w:rsidRPr="00E04227">
        <w:t xml:space="preserve"> for training, insurance, and dispatch purposes, yet denies</w:t>
      </w:r>
      <w:r>
        <w:t xml:space="preserve"> </w:t>
      </w:r>
      <w:r w:rsidRPr="00E04227">
        <w:t>them that same status when the legislature extends statutory protection.</w:t>
      </w:r>
      <w:r>
        <w:t>”</w:t>
      </w:r>
    </w:p>
    <w:p w14:paraId="678B5D21" w14:textId="77777777" w:rsidR="00473C4B" w:rsidRDefault="00473C4B" w:rsidP="00473C4B">
      <w:pPr>
        <w:pStyle w:val="NoSpacing"/>
        <w:ind w:left="720"/>
        <w:rPr>
          <w:bCs/>
        </w:rPr>
      </w:pPr>
    </w:p>
    <w:p w14:paraId="6880B917" w14:textId="77777777" w:rsidR="00473C4B" w:rsidRPr="008E1096" w:rsidRDefault="00473C4B" w:rsidP="00473C4B">
      <w:pPr>
        <w:pStyle w:val="NoSpacing"/>
        <w:rPr>
          <w:b/>
        </w:rPr>
      </w:pPr>
      <w:r>
        <w:rPr>
          <w:b/>
        </w:rPr>
        <w:t xml:space="preserve">Legal lesson learned:  This decision will likely lead to further legislation to clarify residency requirements for “fire &amp; EMS” departments.  </w:t>
      </w:r>
    </w:p>
    <w:p w14:paraId="2D499C18" w14:textId="77777777" w:rsidR="00473C4B" w:rsidRDefault="00473C4B" w:rsidP="00473C4B">
      <w:pPr>
        <w:pStyle w:val="NoSpacing"/>
        <w:ind w:left="720"/>
        <w:rPr>
          <w:bCs/>
        </w:rPr>
      </w:pPr>
    </w:p>
    <w:p w14:paraId="7BF61E68" w14:textId="77777777" w:rsidR="00473C4B" w:rsidRPr="00AC06CD" w:rsidRDefault="00473C4B" w:rsidP="00473C4B">
      <w:pPr>
        <w:pStyle w:val="NoSpacing"/>
        <w:ind w:left="720"/>
        <w:rPr>
          <w:bCs/>
        </w:rPr>
      </w:pPr>
      <w:r>
        <w:t>Note: Ohio Revised Code:</w:t>
      </w:r>
      <w:r w:rsidRPr="00AC06CD">
        <w:rPr>
          <w:rFonts w:eastAsia="Times New Roman"/>
          <w:b/>
          <w:kern w:val="36"/>
          <w:sz w:val="48"/>
          <w:szCs w:val="48"/>
        </w:rPr>
        <w:t xml:space="preserve"> </w:t>
      </w:r>
      <w:r w:rsidRPr="00AC06CD">
        <w:t>Section 9.481 | Residency requirements prohibited for certain employees.</w:t>
      </w:r>
      <w:r w:rsidRPr="000E0CFF">
        <w:t xml:space="preserve"> </w:t>
      </w:r>
      <w:hyperlink r:id="rId49" w:history="1">
        <w:r w:rsidRPr="00C950F1">
          <w:rPr>
            <w:rStyle w:val="Hyperlink"/>
          </w:rPr>
          <w:t>https://codes.ohio.gov/ohio-revised-code/section-9.481</w:t>
        </w:r>
      </w:hyperlink>
      <w:r>
        <w:t xml:space="preserve"> </w:t>
      </w:r>
    </w:p>
    <w:p w14:paraId="2BF965E2" w14:textId="77777777" w:rsidR="00473C4B" w:rsidRDefault="00473C4B" w:rsidP="00473C4B">
      <w:pPr>
        <w:pStyle w:val="NoSpacing"/>
        <w:rPr>
          <w:bCs/>
        </w:rPr>
      </w:pPr>
    </w:p>
    <w:p w14:paraId="19C64A5F" w14:textId="77777777" w:rsidR="00473C4B" w:rsidRDefault="00473C4B" w:rsidP="00473C4B">
      <w:pPr>
        <w:pStyle w:val="NoSpacing"/>
        <w:rPr>
          <w:bCs/>
        </w:rPr>
      </w:pPr>
    </w:p>
    <w:p w14:paraId="671FEBFC" w14:textId="77777777" w:rsidR="00473C4B" w:rsidRDefault="00473C4B" w:rsidP="00473C4B">
      <w:pPr>
        <w:pStyle w:val="NoSpacing"/>
        <w:ind w:left="720"/>
      </w:pPr>
      <w:r>
        <w:t>“(2)(</w:t>
      </w:r>
      <w:r w:rsidRPr="009729F6">
        <w:t>b) To ensure adequate response times by certain employees of political subdivisions to emergencies or disasters while ensuring that those employees generally are free to reside throughout the state, the electors of any political subdivision may file an initiative petition to submit a local law to the electorate, or the legislative authority of the political subdivision may adopt an ordinance or resolution, that requires any individual employed by that political subdivision, as a condition of employment, to reside either in the county where the political subdivision is located or in any adjacent county in this state.</w:t>
      </w:r>
      <w:r>
        <w:t>”</w:t>
      </w:r>
    </w:p>
    <w:p w14:paraId="4EAD1BB5" w14:textId="77777777" w:rsidR="00473C4B" w:rsidRDefault="00473C4B" w:rsidP="00473C4B">
      <w:pPr>
        <w:pStyle w:val="NoSpacing"/>
        <w:ind w:left="720"/>
      </w:pPr>
    </w:p>
    <w:p w14:paraId="620CBD94" w14:textId="77777777" w:rsidR="00473C4B" w:rsidRDefault="00473C4B" w:rsidP="00473C4B">
      <w:pPr>
        <w:pStyle w:val="NoSpacing"/>
        <w:ind w:left="720"/>
      </w:pPr>
      <w:r>
        <w:t>***</w:t>
      </w:r>
    </w:p>
    <w:p w14:paraId="1DD1B3E7" w14:textId="77777777" w:rsidR="00473C4B" w:rsidRDefault="00473C4B" w:rsidP="00473C4B">
      <w:pPr>
        <w:pStyle w:val="NoSpacing"/>
        <w:ind w:left="720"/>
      </w:pPr>
    </w:p>
    <w:p w14:paraId="10EF764B" w14:textId="77777777" w:rsidR="00473C4B" w:rsidRDefault="00473C4B" w:rsidP="00473C4B">
      <w:pPr>
        <w:pStyle w:val="NoSpacing"/>
        <w:ind w:left="720"/>
        <w:rPr>
          <w:bCs/>
        </w:rPr>
      </w:pPr>
      <w:r>
        <w:lastRenderedPageBreak/>
        <w:t>Cincinnati Fire Department has following residency requirements. “</w:t>
      </w:r>
      <w:r w:rsidRPr="00D1365F">
        <w:t>All members shall reside within Hamilton County, Ohio, or within any county that is adjacent to Hamilton County, Ohio, or within a 35-mile radius of CFD Headquarters, located at 430 Central Ave., Cincinnati, OH 45202.</w:t>
      </w:r>
      <w:r>
        <w:t xml:space="preserve">”  </w:t>
      </w:r>
      <w:hyperlink r:id="rId50" w:history="1">
        <w:r w:rsidRPr="00C950F1">
          <w:rPr>
            <w:rStyle w:val="Hyperlink"/>
          </w:rPr>
          <w:t>https://www.cincinnati-oh.gov/fire/recruiting/requirements-to-apply/</w:t>
        </w:r>
      </w:hyperlink>
      <w:r>
        <w:t xml:space="preserve"> </w:t>
      </w:r>
    </w:p>
    <w:p w14:paraId="49E7BE83" w14:textId="77777777" w:rsidR="00473C4B" w:rsidRDefault="00473C4B" w:rsidP="00037CB8">
      <w:pPr>
        <w:pStyle w:val="NoSpacing"/>
        <w:rPr>
          <w:rFonts w:ascii="Arial Black" w:hAnsi="Arial Black"/>
          <w:sz w:val="24"/>
          <w:szCs w:val="24"/>
        </w:rPr>
      </w:pPr>
    </w:p>
    <w:p w14:paraId="51B64C6A" w14:textId="77777777" w:rsidR="00473C4B" w:rsidRDefault="00473C4B" w:rsidP="00037CB8">
      <w:pPr>
        <w:pStyle w:val="NoSpacing"/>
        <w:rPr>
          <w:rFonts w:ascii="Arial Black" w:hAnsi="Arial Black"/>
          <w:sz w:val="24"/>
          <w:szCs w:val="24"/>
        </w:rPr>
      </w:pPr>
    </w:p>
    <w:p w14:paraId="2B009C62" w14:textId="77777777" w:rsidR="00473C4B" w:rsidRDefault="00473C4B" w:rsidP="00037CB8">
      <w:pPr>
        <w:pStyle w:val="NoSpacing"/>
        <w:rPr>
          <w:rFonts w:ascii="Arial Black" w:hAnsi="Arial Black"/>
          <w:sz w:val="24"/>
          <w:szCs w:val="24"/>
        </w:rPr>
      </w:pPr>
    </w:p>
    <w:p w14:paraId="4043C759" w14:textId="77777777" w:rsidR="0028642A" w:rsidRDefault="0028642A" w:rsidP="0028642A">
      <w:pPr>
        <w:pStyle w:val="NoSpacing"/>
      </w:pPr>
    </w:p>
    <w:p w14:paraId="433F0386" w14:textId="35D5F065" w:rsidR="00374747" w:rsidRDefault="00374747" w:rsidP="00374747">
      <w:pPr>
        <w:pStyle w:val="NoSpacing"/>
        <w:rPr>
          <w:rFonts w:ascii="Arial Black" w:hAnsi="Arial Black"/>
          <w:sz w:val="24"/>
          <w:szCs w:val="24"/>
        </w:rPr>
      </w:pPr>
      <w:r>
        <w:rPr>
          <w:rFonts w:ascii="Arial Black" w:hAnsi="Arial Black"/>
          <w:sz w:val="24"/>
          <w:szCs w:val="24"/>
        </w:rPr>
        <w:t>1-198</w:t>
      </w:r>
    </w:p>
    <w:p w14:paraId="3F0523E6" w14:textId="77777777" w:rsidR="00374747" w:rsidRDefault="00374747" w:rsidP="0028642A">
      <w:pPr>
        <w:pStyle w:val="NoSpacing"/>
      </w:pPr>
    </w:p>
    <w:p w14:paraId="2C413E24" w14:textId="77777777" w:rsidR="00374747" w:rsidRPr="00C62797" w:rsidRDefault="00374747" w:rsidP="00374747">
      <w:pPr>
        <w:rPr>
          <w:rFonts w:ascii="Arial Black" w:hAnsi="Arial Black"/>
          <w:b/>
          <w:sz w:val="28"/>
          <w:szCs w:val="28"/>
        </w:rPr>
      </w:pPr>
      <w:r>
        <w:rPr>
          <w:rFonts w:ascii="Arial Black" w:hAnsi="Arial Black"/>
          <w:b/>
          <w:sz w:val="28"/>
          <w:szCs w:val="28"/>
        </w:rPr>
        <w:t xml:space="preserve">NJ: OLD TIRES – FIRE HAZARD - COMPANY SHUT DOWN </w:t>
      </w:r>
    </w:p>
    <w:p w14:paraId="5DF9AB24" w14:textId="77777777" w:rsidR="00374747" w:rsidRDefault="00374747" w:rsidP="00374747">
      <w:pPr>
        <w:pStyle w:val="NoSpacing"/>
      </w:pPr>
      <w:r>
        <w:t xml:space="preserve">On December 2, 2025, in </w:t>
      </w:r>
      <w:r w:rsidRPr="003D5FD0">
        <w:rPr>
          <w:u w:val="single"/>
        </w:rPr>
        <w:t>Township of Gloucester v. Harry’s Tires, et al</w:t>
      </w:r>
      <w:r>
        <w:t xml:space="preserve">., the </w:t>
      </w:r>
      <w:r w:rsidRPr="003D5FD0">
        <w:t>Superior Court of New Jersey, Appellate Division</w:t>
      </w:r>
      <w:r>
        <w:t xml:space="preserve"> held (2 to 0) that the trial court properly denied the motion by Harry Lamplugh, owner of Harry’s Tires, to vacate the final judgment rendered 16 months prior and re-start the business.  Since 2017 the Township zoning officer has ordered the tires stored outside his two locations be removed. The Township's acting fire marshal certified that Harry's Tires received numerous notices of violation through June 28, </w:t>
      </w:r>
      <w:proofErr w:type="gramStart"/>
      <w:r>
        <w:t>2021</w:t>
      </w:r>
      <w:proofErr w:type="gramEnd"/>
      <w:r>
        <w:t xml:space="preserve"> and failed to pay a total of $16,558 in unpaid fines. On August 18, </w:t>
      </w:r>
      <w:proofErr w:type="gramStart"/>
      <w:r>
        <w:t>2021</w:t>
      </w:r>
      <w:proofErr w:type="gramEnd"/>
      <w:r>
        <w:t xml:space="preserve"> the Township had the tires removed from his principal place of business - removal costs of $34,043, including waste disposal fees of $17,015 from Magnus Environmental and manpower costs for the Township's employees of $17,028. The township filed a lawsuit on January18, 2022 and the Court on February 28, </w:t>
      </w:r>
      <w:proofErr w:type="gramStart"/>
      <w:r>
        <w:t>2022</w:t>
      </w:r>
      <w:proofErr w:type="gramEnd"/>
      <w:r>
        <w:t xml:space="preserve"> granted the Township a permanent injunction, preventing defendants from operating their tire businesses "at the two locations" and requiring defendants to pay damages of $50,601.  The Township</w:t>
      </w:r>
    </w:p>
    <w:p w14:paraId="4E276988" w14:textId="77777777" w:rsidR="00374747" w:rsidRDefault="00374747" w:rsidP="00374747">
      <w:pPr>
        <w:pStyle w:val="NoSpacing"/>
      </w:pPr>
      <w:r>
        <w:t xml:space="preserve">thereafter remediated defendants' properties for a second time. </w:t>
      </w:r>
      <w:hyperlink r:id="rId51" w:history="1">
        <w:r w:rsidRPr="00E7352C">
          <w:rPr>
            <w:rStyle w:val="Hyperlink"/>
          </w:rPr>
          <w:t>https://cases.justia.com/new-jersey/appellate-division-unpublished/2025-a-1179-23.pdf?ts=1765469961</w:t>
        </w:r>
      </w:hyperlink>
      <w:r>
        <w:t xml:space="preserve"> </w:t>
      </w:r>
    </w:p>
    <w:p w14:paraId="59085DFF" w14:textId="77777777" w:rsidR="00374747" w:rsidRDefault="00374747" w:rsidP="00374747">
      <w:pPr>
        <w:pStyle w:val="NoSpacing"/>
      </w:pPr>
    </w:p>
    <w:p w14:paraId="310AE671" w14:textId="77777777" w:rsidR="00374747" w:rsidRDefault="00374747" w:rsidP="00374747">
      <w:pPr>
        <w:pStyle w:val="NoSpacing"/>
      </w:pPr>
      <w:r>
        <w:t>THE COURT HELD:</w:t>
      </w:r>
    </w:p>
    <w:p w14:paraId="0A37389F" w14:textId="77777777" w:rsidR="00374747" w:rsidRDefault="00374747" w:rsidP="00374747">
      <w:pPr>
        <w:pStyle w:val="NoSpacing"/>
      </w:pPr>
    </w:p>
    <w:p w14:paraId="0383EEC0" w14:textId="77777777" w:rsidR="00374747" w:rsidRDefault="00374747" w:rsidP="00374747">
      <w:pPr>
        <w:pStyle w:val="NoSpacing"/>
        <w:ind w:left="720"/>
      </w:pPr>
      <w:r>
        <w:t xml:space="preserve">“ [Township’s acting fire marshal] certified that in November 2021, ‘the Township Fire Department responded to a fire at defendants' North Black Horse Pike location because a single tire had caught fire and ‘spread to some scrap lumber and a tree branch before it was extinguished.’ The officer attached a police report stating that </w:t>
      </w:r>
      <w:proofErr w:type="gramStart"/>
      <w:r>
        <w:t>‘stacks of several</w:t>
      </w:r>
      <w:proofErr w:type="gramEnd"/>
      <w:r>
        <w:t xml:space="preserve"> hundred new and old </w:t>
      </w:r>
      <w:proofErr w:type="gramStart"/>
      <w:r>
        <w:t>tires’</w:t>
      </w:r>
      <w:proofErr w:type="gramEnd"/>
      <w:r>
        <w:t xml:space="preserve"> enclosed the fire </w:t>
      </w:r>
      <w:proofErr w:type="gramStart"/>
      <w:r>
        <w:t>area, ‘</w:t>
      </w:r>
      <w:proofErr w:type="gramEnd"/>
      <w:r>
        <w:t>making it a difficult area to access.’</w:t>
      </w:r>
    </w:p>
    <w:p w14:paraId="776AFE0F" w14:textId="77777777" w:rsidR="00374747" w:rsidRDefault="00374747" w:rsidP="00374747">
      <w:pPr>
        <w:pStyle w:val="NoSpacing"/>
        <w:ind w:left="720"/>
      </w:pPr>
    </w:p>
    <w:p w14:paraId="5EA17C22" w14:textId="77777777" w:rsidR="00374747" w:rsidRDefault="00374747" w:rsidP="00374747">
      <w:pPr>
        <w:pStyle w:val="NoSpacing"/>
        <w:ind w:left="720"/>
      </w:pPr>
      <w:r>
        <w:t>***</w:t>
      </w:r>
    </w:p>
    <w:p w14:paraId="742419C3" w14:textId="77777777" w:rsidR="00374747" w:rsidRDefault="00374747" w:rsidP="00374747">
      <w:pPr>
        <w:pStyle w:val="NoSpacing"/>
        <w:ind w:firstLine="720"/>
      </w:pPr>
    </w:p>
    <w:p w14:paraId="27FD3FE2" w14:textId="77777777" w:rsidR="00374747" w:rsidRDefault="00374747" w:rsidP="00374747">
      <w:pPr>
        <w:pStyle w:val="NoSpacing"/>
        <w:ind w:firstLine="720"/>
      </w:pPr>
      <w:r>
        <w:t xml:space="preserve">The Township's emergency management coordinator certified </w:t>
      </w:r>
      <w:proofErr w:type="gramStart"/>
      <w:r>
        <w:t>that ‘[</w:t>
      </w:r>
      <w:proofErr w:type="gramEnd"/>
      <w:r>
        <w:t>a]</w:t>
      </w:r>
    </w:p>
    <w:p w14:paraId="39888643" w14:textId="77777777" w:rsidR="00374747" w:rsidRDefault="00374747" w:rsidP="00374747">
      <w:pPr>
        <w:pStyle w:val="NoSpacing"/>
        <w:ind w:firstLine="720"/>
      </w:pPr>
      <w:r>
        <w:t>fire from any of the Harry's Tires sites would pose a major environmental and</w:t>
      </w:r>
    </w:p>
    <w:p w14:paraId="459384EB" w14:textId="77777777" w:rsidR="00374747" w:rsidRDefault="00374747" w:rsidP="00374747">
      <w:pPr>
        <w:pStyle w:val="NoSpacing"/>
        <w:ind w:firstLine="720"/>
      </w:pPr>
      <w:r>
        <w:t>logistical nightmare for emergency responders.’</w:t>
      </w:r>
    </w:p>
    <w:p w14:paraId="475EF746" w14:textId="77777777" w:rsidR="00374747" w:rsidRDefault="00374747" w:rsidP="00374747">
      <w:pPr>
        <w:pStyle w:val="NoSpacing"/>
        <w:ind w:firstLine="720"/>
      </w:pPr>
    </w:p>
    <w:p w14:paraId="21411259" w14:textId="77777777" w:rsidR="00374747" w:rsidRDefault="00374747" w:rsidP="00374747">
      <w:pPr>
        <w:pStyle w:val="NoSpacing"/>
        <w:ind w:firstLine="720"/>
      </w:pPr>
      <w:r>
        <w:t>***</w:t>
      </w:r>
    </w:p>
    <w:p w14:paraId="5869929C" w14:textId="77777777" w:rsidR="00374747" w:rsidRDefault="00374747" w:rsidP="00374747">
      <w:pPr>
        <w:pStyle w:val="NoSpacing"/>
        <w:ind w:left="720"/>
      </w:pPr>
      <w:r>
        <w:t>During argument, the … court noted the final judgment did not preclude defendants from leasing the properties or seeking approval for another use before the appropriate Township board. The second court also found that defendants offered no meritorious</w:t>
      </w:r>
    </w:p>
    <w:p w14:paraId="652A3FF0" w14:textId="77777777" w:rsidR="00374747" w:rsidRDefault="00374747" w:rsidP="00374747">
      <w:pPr>
        <w:pStyle w:val="NoSpacing"/>
        <w:ind w:firstLine="720"/>
      </w:pPr>
      <w:r>
        <w:t>defense to the Township's claims. Defendants never asserted they were ‘in</w:t>
      </w:r>
    </w:p>
    <w:p w14:paraId="20E3CF27" w14:textId="77777777" w:rsidR="00374747" w:rsidRDefault="00374747" w:rsidP="00374747">
      <w:pPr>
        <w:pStyle w:val="NoSpacing"/>
        <w:ind w:firstLine="720"/>
      </w:pPr>
      <w:r>
        <w:t>compliance’ with the Township's ordinances and had the required ‘licenses that</w:t>
      </w:r>
    </w:p>
    <w:p w14:paraId="5E8ED366" w14:textId="77777777" w:rsidR="00374747" w:rsidRDefault="00374747" w:rsidP="00374747">
      <w:pPr>
        <w:pStyle w:val="NoSpacing"/>
        <w:ind w:firstLine="720"/>
      </w:pPr>
      <w:r>
        <w:t>[they were] supposed to have.’"</w:t>
      </w:r>
    </w:p>
    <w:p w14:paraId="2850CDCB" w14:textId="77777777" w:rsidR="00374747" w:rsidRDefault="00374747" w:rsidP="00374747">
      <w:pPr>
        <w:pStyle w:val="NoSpacing"/>
        <w:ind w:firstLine="720"/>
      </w:pPr>
    </w:p>
    <w:p w14:paraId="3EF3A124" w14:textId="77777777" w:rsidR="00374747" w:rsidRPr="002B36A6" w:rsidRDefault="00374747" w:rsidP="00374747">
      <w:pPr>
        <w:pStyle w:val="NoSpacing"/>
        <w:rPr>
          <w:b/>
          <w:bCs/>
        </w:rPr>
      </w:pPr>
      <w:r>
        <w:rPr>
          <w:b/>
        </w:rPr>
        <w:t xml:space="preserve">Legal lesson learned: Storage of large </w:t>
      </w:r>
      <w:proofErr w:type="gramStart"/>
      <w:r>
        <w:rPr>
          <w:b/>
        </w:rPr>
        <w:t>amount</w:t>
      </w:r>
      <w:proofErr w:type="gramEnd"/>
      <w:r>
        <w:rPr>
          <w:b/>
        </w:rPr>
        <w:t xml:space="preserve"> of abandoned tires is a clear fire hazard. </w:t>
      </w:r>
    </w:p>
    <w:p w14:paraId="4E7D2842" w14:textId="77777777" w:rsidR="0028642A" w:rsidRDefault="0028642A" w:rsidP="0028642A">
      <w:pPr>
        <w:pStyle w:val="NoSpacing"/>
      </w:pPr>
    </w:p>
    <w:p w14:paraId="6B756B2F" w14:textId="77777777" w:rsidR="0028642A" w:rsidRDefault="0028642A" w:rsidP="00037CB8">
      <w:pPr>
        <w:pStyle w:val="NoSpacing"/>
        <w:rPr>
          <w:rFonts w:ascii="Arial Black" w:hAnsi="Arial Black"/>
          <w:sz w:val="24"/>
          <w:szCs w:val="24"/>
        </w:rPr>
      </w:pPr>
    </w:p>
    <w:p w14:paraId="75AF15D0" w14:textId="77777777" w:rsidR="00D035D9" w:rsidRDefault="00D035D9" w:rsidP="00037CB8">
      <w:pPr>
        <w:pStyle w:val="NoSpacing"/>
        <w:rPr>
          <w:rFonts w:ascii="Arial Black" w:hAnsi="Arial Black"/>
          <w:sz w:val="24"/>
          <w:szCs w:val="24"/>
        </w:rPr>
      </w:pPr>
    </w:p>
    <w:p w14:paraId="58FB5621" w14:textId="77777777" w:rsidR="00D035D9" w:rsidRDefault="00D035D9" w:rsidP="00037CB8">
      <w:pPr>
        <w:pStyle w:val="NoSpacing"/>
        <w:rPr>
          <w:rFonts w:ascii="Arial Black" w:hAnsi="Arial Black"/>
          <w:sz w:val="24"/>
          <w:szCs w:val="24"/>
        </w:rPr>
      </w:pPr>
    </w:p>
    <w:p w14:paraId="2C126ABF" w14:textId="77777777" w:rsidR="00D035D9" w:rsidRDefault="00D035D9" w:rsidP="00037CB8">
      <w:pPr>
        <w:pStyle w:val="NoSpacing"/>
        <w:rPr>
          <w:rFonts w:ascii="Arial Black" w:hAnsi="Arial Black"/>
          <w:sz w:val="24"/>
          <w:szCs w:val="24"/>
        </w:rPr>
      </w:pPr>
    </w:p>
    <w:p w14:paraId="3F8F39EF" w14:textId="3D2413A5" w:rsidR="006E51B1" w:rsidRDefault="009135A7" w:rsidP="00037CB8">
      <w:pPr>
        <w:pStyle w:val="NoSpacing"/>
        <w:rPr>
          <w:rFonts w:ascii="Arial Black" w:hAnsi="Arial Black"/>
          <w:sz w:val="24"/>
          <w:szCs w:val="24"/>
        </w:rPr>
      </w:pPr>
      <w:r>
        <w:rPr>
          <w:rFonts w:ascii="Arial Black" w:hAnsi="Arial Black"/>
          <w:sz w:val="24"/>
          <w:szCs w:val="24"/>
        </w:rPr>
        <w:t>1-197</w:t>
      </w:r>
    </w:p>
    <w:p w14:paraId="4F552192" w14:textId="77777777" w:rsidR="009135A7" w:rsidRDefault="009135A7" w:rsidP="00037CB8">
      <w:pPr>
        <w:pStyle w:val="NoSpacing"/>
        <w:rPr>
          <w:rFonts w:ascii="Arial Black" w:hAnsi="Arial Black"/>
          <w:sz w:val="24"/>
          <w:szCs w:val="24"/>
        </w:rPr>
      </w:pPr>
    </w:p>
    <w:p w14:paraId="5E376A1A" w14:textId="77777777" w:rsidR="007A5DCD" w:rsidRDefault="007A5DCD" w:rsidP="007A5DCD">
      <w:pPr>
        <w:pStyle w:val="NoSpacing"/>
        <w:rPr>
          <w:bCs/>
        </w:rPr>
      </w:pPr>
      <w:r>
        <w:rPr>
          <w:rFonts w:ascii="Arial Black" w:hAnsi="Arial Black"/>
          <w:sz w:val="28"/>
          <w:szCs w:val="28"/>
        </w:rPr>
        <w:t xml:space="preserve">PA: ARSON – LIQUID ON FLOOR - 4 PD FLED – ONE FELONY </w:t>
      </w:r>
    </w:p>
    <w:p w14:paraId="0EEE433C" w14:textId="77777777" w:rsidR="007A5DCD" w:rsidRDefault="007A5DCD" w:rsidP="007A5DCD">
      <w:pPr>
        <w:pStyle w:val="NoSpacing"/>
        <w:rPr>
          <w:bCs/>
        </w:rPr>
      </w:pPr>
    </w:p>
    <w:p w14:paraId="65961BD4" w14:textId="77777777" w:rsidR="007A5DCD" w:rsidRDefault="007A5DCD" w:rsidP="007A5DCD">
      <w:pPr>
        <w:pStyle w:val="NoSpacing"/>
      </w:pPr>
      <w:r>
        <w:t xml:space="preserve">On Nov. 19, 2025, in </w:t>
      </w:r>
      <w:r w:rsidRPr="00395990">
        <w:rPr>
          <w:u w:val="single"/>
        </w:rPr>
        <w:t>Commonwealth of Pennsylvania v. Vincent Smith</w:t>
      </w:r>
      <w:r>
        <w:t xml:space="preserve">, the </w:t>
      </w:r>
      <w:r w:rsidRPr="0048298D">
        <w:t>Supreme Court of Pennsylvania</w:t>
      </w:r>
      <w:r>
        <w:t xml:space="preserve"> held (4 to 2) that the defendant, who pled guilty, can be sentenced for one count of </w:t>
      </w:r>
      <w:r w:rsidRPr="003560CE">
        <w:t>Arson Endangering Persons (“AEP”)</w:t>
      </w:r>
      <w:r>
        <w:t>, not four counts even though he endangered four police officers.  The trial court rejected defense argument that he only committed one arson offense; the court sentenced to 4 to 8 years imprisonment for each AEP offense. He also pled guilty to involuntary manslaughter of two roommates, for aggregate sentence of 26 to 52 years imprisonment.  THE COURT WROTE: “Thus, the Crimes Code</w:t>
      </w:r>
      <w:proofErr w:type="gramStart"/>
      <w:r>
        <w:t>, as a whole, was</w:t>
      </w:r>
      <w:proofErr w:type="gramEnd"/>
      <w:r>
        <w:t xml:space="preserve"> enacted to classify all crimes into grades and degrees. Moreover, Section 3301</w:t>
      </w:r>
      <w:proofErr w:type="gramStart"/>
      <w:r>
        <w:t>, in particular, differentiates</w:t>
      </w:r>
      <w:proofErr w:type="gramEnd"/>
      <w:r>
        <w:t xml:space="preserve"> between arson endangering persons and property − Section 3301(a) − and arson endangering only property – Section 3301(c) – and allows for a harsher sentence for the former by designating the offense of AEP as a felony of the first degree. There is nothing, however, to suggest that the underlying intent of Section 3301(a) was to allow for separate convictions and sentences for each endangered </w:t>
      </w:r>
      <w:proofErr w:type="gramStart"/>
      <w:r>
        <w:t>individual.”</w:t>
      </w:r>
      <w:proofErr w:type="gramEnd"/>
      <w:r>
        <w:t xml:space="preserve"> </w:t>
      </w:r>
      <w:hyperlink r:id="rId52" w:history="1">
        <w:r w:rsidRPr="00422760">
          <w:rPr>
            <w:rStyle w:val="Hyperlink"/>
          </w:rPr>
          <w:t>https://cases.justia.com/pennsylvania/supreme-court/2025-15-wap-2024.pdf?ts=1763559881</w:t>
        </w:r>
      </w:hyperlink>
      <w:r>
        <w:t xml:space="preserve"> </w:t>
      </w:r>
    </w:p>
    <w:p w14:paraId="4AB67559" w14:textId="77777777" w:rsidR="007A5DCD" w:rsidRDefault="007A5DCD" w:rsidP="007A5DCD">
      <w:pPr>
        <w:pStyle w:val="NoSpacing"/>
      </w:pPr>
    </w:p>
    <w:p w14:paraId="54C0AF4C" w14:textId="77777777" w:rsidR="007A5DCD" w:rsidRDefault="007A5DCD" w:rsidP="007A5DCD">
      <w:pPr>
        <w:pStyle w:val="NoSpacing"/>
      </w:pPr>
      <w:r>
        <w:t>THE COURT HELD:</w:t>
      </w:r>
    </w:p>
    <w:p w14:paraId="7F11D9E3" w14:textId="77777777" w:rsidR="007A5DCD" w:rsidRDefault="007A5DCD" w:rsidP="007A5DCD">
      <w:pPr>
        <w:pStyle w:val="NoSpacing"/>
      </w:pPr>
    </w:p>
    <w:p w14:paraId="6AE0CD27" w14:textId="77777777" w:rsidR="007A5DCD" w:rsidRDefault="007A5DCD" w:rsidP="007A5DCD">
      <w:pPr>
        <w:pStyle w:val="NoSpacing"/>
        <w:ind w:left="720"/>
      </w:pPr>
      <w:r>
        <w:t>“</w:t>
      </w:r>
      <w:r w:rsidRPr="00932361">
        <w:t xml:space="preserve">In February 2018, four police officers arrived at a rowhouse in Pittsburgh </w:t>
      </w:r>
      <w:proofErr w:type="gramStart"/>
      <w:r w:rsidRPr="00932361">
        <w:t>in an</w:t>
      </w:r>
      <w:r>
        <w:t xml:space="preserve"> </w:t>
      </w:r>
      <w:r w:rsidRPr="00932361">
        <w:t>effort to</w:t>
      </w:r>
      <w:proofErr w:type="gramEnd"/>
      <w:r w:rsidRPr="00932361">
        <w:t xml:space="preserve"> locate a missing person, John Van Dyke. The officers forcibly entered the home</w:t>
      </w:r>
      <w:r>
        <w:t xml:space="preserve"> </w:t>
      </w:r>
      <w:r w:rsidRPr="00932361">
        <w:t>and repeatedly announced their presence. Once inside, the officers heard Appellant,</w:t>
      </w:r>
      <w:r>
        <w:t xml:space="preserve"> </w:t>
      </w:r>
      <w:r w:rsidRPr="00932361">
        <w:t xml:space="preserve">Vincent Smith, who was on the second floor of the residence, declare </w:t>
      </w:r>
      <w:r>
        <w:t>‘</w:t>
      </w:r>
      <w:r w:rsidRPr="00932361">
        <w:t>Steve’s not here.</w:t>
      </w:r>
      <w:r>
        <w:t xml:space="preserve">’ …  </w:t>
      </w:r>
      <w:r w:rsidRPr="00932361">
        <w:t>After re-announcing</w:t>
      </w:r>
      <w:r>
        <w:t xml:space="preserve"> </w:t>
      </w:r>
      <w:r w:rsidRPr="00932361">
        <w:t>their presence and stating their purpose, the officers observed Appellant striking matches</w:t>
      </w:r>
      <w:r>
        <w:t xml:space="preserve"> </w:t>
      </w:r>
      <w:r w:rsidRPr="00932361">
        <w:t>and throwing them on the floor, instantly setting a fire that traveled down the stairs toward</w:t>
      </w:r>
      <w:r>
        <w:t xml:space="preserve"> </w:t>
      </w:r>
      <w:r w:rsidRPr="00932361">
        <w:t>the officers. The officers immediately exited the residence, and Appellant was rescued</w:t>
      </w:r>
      <w:r>
        <w:t xml:space="preserve"> </w:t>
      </w:r>
      <w:r w:rsidRPr="00932361">
        <w:t>by firemen and treated for smoke inhalation.</w:t>
      </w:r>
    </w:p>
    <w:p w14:paraId="4D2B3C64" w14:textId="77777777" w:rsidR="007A5DCD" w:rsidRDefault="007A5DCD" w:rsidP="007A5DCD">
      <w:pPr>
        <w:pStyle w:val="NoSpacing"/>
      </w:pPr>
    </w:p>
    <w:p w14:paraId="0EB89F79" w14:textId="77777777" w:rsidR="007A5DCD" w:rsidRDefault="007A5DCD" w:rsidP="007A5DCD">
      <w:pPr>
        <w:pStyle w:val="NoSpacing"/>
        <w:ind w:left="720"/>
      </w:pPr>
      <w:r w:rsidRPr="007C4267">
        <w:t>Subsequently, the bodies of Van Dyke and another man, Steven Pariser, were</w:t>
      </w:r>
      <w:r>
        <w:t xml:space="preserve"> </w:t>
      </w:r>
      <w:r w:rsidRPr="007C4267">
        <w:t>recovered from the residence. Both men had trauma to the back of their heads, and it</w:t>
      </w:r>
      <w:r>
        <w:t xml:space="preserve"> </w:t>
      </w:r>
      <w:r w:rsidRPr="007C4267">
        <w:t>was determined that Appellant had killed the men approximately five days earlier; thus,</w:t>
      </w:r>
      <w:r>
        <w:t xml:space="preserve"> </w:t>
      </w:r>
      <w:r w:rsidRPr="007C4267">
        <w:t>their deaths were ruled as homicides. Appellant told detectives that the two victims had</w:t>
      </w:r>
      <w:r>
        <w:t xml:space="preserve"> </w:t>
      </w:r>
      <w:r w:rsidRPr="007C4267">
        <w:t>attacked him, and he fought back by throwing them down a flight of stairs, after which he</w:t>
      </w:r>
      <w:r>
        <w:t xml:space="preserve"> </w:t>
      </w:r>
      <w:r w:rsidRPr="007C4267">
        <w:t>covered them with blankets and bags. Appellant also stated that he wanted to kill himself,</w:t>
      </w:r>
      <w:r>
        <w:t xml:space="preserve"> </w:t>
      </w:r>
      <w:r w:rsidRPr="007C4267">
        <w:t>and that he had attempted to do so by taking some pills and spreading lighter fluid around</w:t>
      </w:r>
      <w:r>
        <w:t xml:space="preserve"> </w:t>
      </w:r>
      <w:r w:rsidRPr="007C4267">
        <w:t>the residence.</w:t>
      </w:r>
      <w:r>
        <w:t>”</w:t>
      </w:r>
    </w:p>
    <w:p w14:paraId="5BCAA1F3" w14:textId="77777777" w:rsidR="007A5DCD" w:rsidRDefault="007A5DCD" w:rsidP="007A5DCD">
      <w:pPr>
        <w:pStyle w:val="NoSpacing"/>
        <w:ind w:left="720"/>
      </w:pPr>
    </w:p>
    <w:p w14:paraId="07B3BB93" w14:textId="77777777" w:rsidR="007A5DCD" w:rsidRDefault="007A5DCD" w:rsidP="007A5DCD">
      <w:pPr>
        <w:pStyle w:val="NoSpacing"/>
      </w:pPr>
      <w:r>
        <w:t>DISSENT (Opinion by Justice Sallie Updyke Mundy; joined by Justice Kevin Brobson)</w:t>
      </w:r>
    </w:p>
    <w:p w14:paraId="152FB725" w14:textId="77777777" w:rsidR="007A5DCD" w:rsidRDefault="007A5DCD" w:rsidP="007A5DCD">
      <w:pPr>
        <w:pStyle w:val="NoSpacing"/>
      </w:pPr>
    </w:p>
    <w:p w14:paraId="6291B785" w14:textId="77777777" w:rsidR="007A5DCD" w:rsidRDefault="007A5DCD" w:rsidP="007A5DCD">
      <w:pPr>
        <w:pStyle w:val="NoSpacing"/>
        <w:ind w:left="720"/>
      </w:pPr>
      <w:r>
        <w:t xml:space="preserve">“As the majority itself concedes, the offense of AEP cannot be completed without </w:t>
      </w:r>
      <w:proofErr w:type="gramStart"/>
      <w:r>
        <w:t>both of these</w:t>
      </w:r>
      <w:proofErr w:type="gramEnd"/>
      <w:r>
        <w:t xml:space="preserve"> actions. Majority Op. at 15 (‘[P]lacing another person in danger of death or bodily injury is not merely a description of the result of the prohibited act of starting a fire or causing an explosion, but, rather, an essential component of the minimum conduct that must be proven to support a conviction – the actus reus − under Section 3301(a)(1)(</w:t>
      </w:r>
      <w:proofErr w:type="spellStart"/>
      <w:r>
        <w:t>i</w:t>
      </w:r>
      <w:proofErr w:type="spellEnd"/>
      <w:r>
        <w:t xml:space="preserve">).’). The General Assembly therefore intended a count of AEP to apply to each victim endangered by the intentional act of starting a fire.” </w:t>
      </w:r>
    </w:p>
    <w:p w14:paraId="0B3A422F" w14:textId="77777777" w:rsidR="007A5DCD" w:rsidRDefault="007A5DCD" w:rsidP="007A5DCD">
      <w:pPr>
        <w:pStyle w:val="NoSpacing"/>
        <w:ind w:left="720"/>
      </w:pPr>
      <w:hyperlink r:id="rId53" w:history="1">
        <w:r w:rsidRPr="00422760">
          <w:rPr>
            <w:rStyle w:val="Hyperlink"/>
          </w:rPr>
          <w:t>https://cases.justia.com/pennsylvania/supreme-court/2025-15-wap-2024-0.pdf?ts=1763559882</w:t>
        </w:r>
      </w:hyperlink>
      <w:r>
        <w:t xml:space="preserve"> </w:t>
      </w:r>
    </w:p>
    <w:p w14:paraId="5509C8E2" w14:textId="77777777" w:rsidR="007A5DCD" w:rsidRDefault="007A5DCD" w:rsidP="007A5DCD">
      <w:pPr>
        <w:pStyle w:val="NoSpacing"/>
        <w:ind w:left="720"/>
      </w:pPr>
    </w:p>
    <w:p w14:paraId="736C6EB3" w14:textId="754F208D" w:rsidR="007A5DCD" w:rsidRPr="00C63759" w:rsidRDefault="007A5DCD" w:rsidP="007A5DCD">
      <w:pPr>
        <w:pStyle w:val="NoSpacing"/>
        <w:rPr>
          <w:b/>
          <w:bCs/>
        </w:rPr>
      </w:pPr>
      <w:r>
        <w:rPr>
          <w:b/>
        </w:rPr>
        <w:t xml:space="preserve">Legal lesson learned:  </w:t>
      </w:r>
      <w:r w:rsidRPr="00C63759">
        <w:rPr>
          <w:b/>
        </w:rPr>
        <w:t>“Arson Endangering Persons”</w:t>
      </w:r>
      <w:r>
        <w:rPr>
          <w:b/>
        </w:rPr>
        <w:t xml:space="preserve"> – the two Dissenting Justices agreed with the trial court judge – the defe</w:t>
      </w:r>
      <w:r w:rsidR="00CD4F1A">
        <w:rPr>
          <w:b/>
        </w:rPr>
        <w:t xml:space="preserve">ndant </w:t>
      </w:r>
      <w:r>
        <w:rPr>
          <w:b/>
        </w:rPr>
        <w:t xml:space="preserve">endangered four police </w:t>
      </w:r>
      <w:proofErr w:type="gramStart"/>
      <w:r>
        <w:rPr>
          <w:b/>
        </w:rPr>
        <w:t>officers, and</w:t>
      </w:r>
      <w:proofErr w:type="gramEnd"/>
      <w:r>
        <w:rPr>
          <w:b/>
        </w:rPr>
        <w:t xml:space="preserve"> should be sentenced for four counts.  </w:t>
      </w:r>
    </w:p>
    <w:p w14:paraId="21DFB8BF" w14:textId="77777777" w:rsidR="007A5DCD" w:rsidRDefault="007A5DCD" w:rsidP="007A5DCD">
      <w:pPr>
        <w:rPr>
          <w:bCs/>
        </w:rPr>
      </w:pPr>
    </w:p>
    <w:p w14:paraId="60CFC215" w14:textId="77777777" w:rsidR="009135A7" w:rsidRDefault="009135A7" w:rsidP="00037CB8">
      <w:pPr>
        <w:pStyle w:val="NoSpacing"/>
        <w:rPr>
          <w:rFonts w:ascii="Arial Black" w:hAnsi="Arial Black"/>
          <w:sz w:val="24"/>
          <w:szCs w:val="24"/>
        </w:rPr>
      </w:pPr>
    </w:p>
    <w:p w14:paraId="73723EA4" w14:textId="77777777" w:rsidR="009135A7" w:rsidRDefault="009135A7" w:rsidP="00037CB8">
      <w:pPr>
        <w:pStyle w:val="NoSpacing"/>
        <w:rPr>
          <w:rFonts w:ascii="Arial Black" w:hAnsi="Arial Black"/>
          <w:sz w:val="24"/>
          <w:szCs w:val="24"/>
        </w:rPr>
      </w:pPr>
    </w:p>
    <w:p w14:paraId="49FF20B2" w14:textId="77777777" w:rsidR="009135A7" w:rsidRDefault="009135A7" w:rsidP="00037CB8">
      <w:pPr>
        <w:pStyle w:val="NoSpacing"/>
        <w:rPr>
          <w:rFonts w:ascii="Arial Black" w:hAnsi="Arial Black"/>
          <w:sz w:val="24"/>
          <w:szCs w:val="24"/>
        </w:rPr>
      </w:pPr>
    </w:p>
    <w:p w14:paraId="5DBBCF68" w14:textId="7AD7BA31" w:rsidR="006E51B1" w:rsidRDefault="006E51B1" w:rsidP="00037CB8">
      <w:pPr>
        <w:pStyle w:val="NoSpacing"/>
        <w:rPr>
          <w:rFonts w:ascii="Arial Black" w:hAnsi="Arial Black"/>
          <w:sz w:val="24"/>
          <w:szCs w:val="24"/>
        </w:rPr>
      </w:pPr>
      <w:r>
        <w:rPr>
          <w:rFonts w:ascii="Arial Black" w:hAnsi="Arial Black"/>
          <w:sz w:val="24"/>
          <w:szCs w:val="24"/>
        </w:rPr>
        <w:lastRenderedPageBreak/>
        <w:t>1-196</w:t>
      </w:r>
    </w:p>
    <w:p w14:paraId="71E9947D" w14:textId="77777777" w:rsidR="006E51B1" w:rsidRDefault="006E51B1" w:rsidP="00037CB8">
      <w:pPr>
        <w:pStyle w:val="NoSpacing"/>
        <w:rPr>
          <w:rFonts w:ascii="Arial Black" w:hAnsi="Arial Black"/>
          <w:sz w:val="24"/>
          <w:szCs w:val="24"/>
        </w:rPr>
      </w:pPr>
    </w:p>
    <w:p w14:paraId="516E312F" w14:textId="77777777" w:rsidR="006E51B1" w:rsidRPr="008E4E50" w:rsidRDefault="006E51B1" w:rsidP="006E51B1">
      <w:pPr>
        <w:pStyle w:val="NoSpacing"/>
        <w:rPr>
          <w:rFonts w:ascii="Arial Black" w:hAnsi="Arial Black"/>
          <w:bCs/>
          <w:sz w:val="28"/>
          <w:szCs w:val="28"/>
        </w:rPr>
      </w:pPr>
      <w:r>
        <w:rPr>
          <w:rFonts w:ascii="Arial Black" w:hAnsi="Arial Black"/>
          <w:sz w:val="28"/>
          <w:szCs w:val="28"/>
        </w:rPr>
        <w:t xml:space="preserve">WI: ARSON – NO </w:t>
      </w:r>
      <w:r w:rsidRPr="007F0262">
        <w:rPr>
          <w:rFonts w:ascii="Arial Black" w:hAnsi="Arial Black"/>
          <w:i/>
          <w:iCs/>
          <w:sz w:val="28"/>
          <w:szCs w:val="28"/>
        </w:rPr>
        <w:t>MIRANDA</w:t>
      </w:r>
      <w:r>
        <w:rPr>
          <w:rFonts w:ascii="Arial Black" w:hAnsi="Arial Black"/>
          <w:sz w:val="28"/>
          <w:szCs w:val="28"/>
        </w:rPr>
        <w:t xml:space="preserve"> – NOT IN CUSTODY BY ATF</w:t>
      </w:r>
    </w:p>
    <w:p w14:paraId="0B61AE52" w14:textId="77777777" w:rsidR="006E51B1" w:rsidRDefault="006E51B1" w:rsidP="006E51B1">
      <w:pPr>
        <w:pStyle w:val="NoSpacing"/>
        <w:rPr>
          <w:b/>
        </w:rPr>
      </w:pPr>
    </w:p>
    <w:p w14:paraId="3D6935E3" w14:textId="77777777" w:rsidR="006E51B1" w:rsidRDefault="006E51B1" w:rsidP="006E51B1">
      <w:pPr>
        <w:pStyle w:val="NoSpacing"/>
        <w:rPr>
          <w:bCs/>
        </w:rPr>
      </w:pPr>
      <w:r>
        <w:t xml:space="preserve">On October 28, 2025, in </w:t>
      </w:r>
      <w:r w:rsidRPr="001E3816">
        <w:rPr>
          <w:u w:val="single"/>
        </w:rPr>
        <w:t>United States of America v. Arletta Allen</w:t>
      </w:r>
      <w:r>
        <w:t xml:space="preserve">, U.S. District Court Chief Judge Pamela A. Pepper, United States District Court for the Eastern District of Wisconsin adopted the U.S. Magistrate Judge William E. Duffin’s recommendation to deny defense </w:t>
      </w:r>
      <w:r w:rsidRPr="006D53D8">
        <w:t xml:space="preserve">motion to suppress statements she made to </w:t>
      </w:r>
      <w:r>
        <w:t xml:space="preserve">ATF Special Agents </w:t>
      </w:r>
      <w:r w:rsidRPr="006D53D8">
        <w:t>on November 2, 2021</w:t>
      </w:r>
      <w:r>
        <w:t xml:space="preserve"> sitting in their vehicle as agents searched her home.  </w:t>
      </w:r>
      <w:r w:rsidRPr="001E3816">
        <w:t>According to the indictment, on or about October 10, 2021, Allen maliciously damaged by fire a restaurant known as “A Family Affair Soulfood Kitchen” located at 417 S. Main Street in Fond du Lac, Wisconsin.</w:t>
      </w:r>
      <w:r>
        <w:t xml:space="preserve">  </w:t>
      </w:r>
      <w:r w:rsidRPr="008231EE">
        <w:t xml:space="preserve">Judge Duffin determined that </w:t>
      </w:r>
      <w:proofErr w:type="gramStart"/>
      <w:r w:rsidRPr="008231EE">
        <w:t>in light of</w:t>
      </w:r>
      <w:proofErr w:type="gramEnd"/>
      <w:r w:rsidRPr="008231EE">
        <w:t xml:space="preserve"> all the facts, the defendant had failed to establish that her movement was restricted to the degree of an arrest</w:t>
      </w:r>
      <w:r>
        <w:t xml:space="preserve">.  </w:t>
      </w:r>
      <w:r w:rsidRPr="008231EE">
        <w:t>Judge Duffin recounted that SA Heimerl had told the defendant that she was not under arrest and had explained that the search team was present to execute the warran</w:t>
      </w:r>
      <w:r>
        <w:t xml:space="preserve">t. </w:t>
      </w:r>
      <w:hyperlink r:id="rId54" w:history="1">
        <w:r w:rsidRPr="00467EB3">
          <w:rPr>
            <w:rStyle w:val="Hyperlink"/>
          </w:rPr>
          <w:t>https://public.fastcase.com/jaEE2PXzRXmZ99jOLMt1Io7YtJZzhGRSpWTaEU5VEs33%2BTg9rUAoQurxZOT9gqkAJFaugLm9Mxx2CSeMl9vD0%2FrzAe6H5F%2F5zH2a3krjQxc%3D?utm_medium=email&amp;_hsenc=p2ANqtz--xi3xhqQTQTPjw8tThXPxla5fboNp_lyjnL-u37viXN8Zx1O-9U8osPNb7oBpn1RZ6w4oAGvXBZvBP5z9zhZ_Qvufy4w&amp;_hsmi=226712652&amp;utm_content=226712652&amp;utm_source=hs_email</w:t>
        </w:r>
      </w:hyperlink>
      <w:r>
        <w:t xml:space="preserve"> </w:t>
      </w:r>
    </w:p>
    <w:p w14:paraId="084524DA" w14:textId="77777777" w:rsidR="006E51B1" w:rsidRDefault="006E51B1" w:rsidP="006E51B1">
      <w:pPr>
        <w:pStyle w:val="NoSpacing"/>
        <w:rPr>
          <w:bCs/>
        </w:rPr>
      </w:pPr>
    </w:p>
    <w:p w14:paraId="5FA37B70" w14:textId="77777777" w:rsidR="006E51B1" w:rsidRDefault="006E51B1" w:rsidP="006E51B1">
      <w:pPr>
        <w:pStyle w:val="NoSpacing"/>
        <w:rPr>
          <w:bCs/>
        </w:rPr>
      </w:pPr>
    </w:p>
    <w:p w14:paraId="1DC35307" w14:textId="77777777" w:rsidR="006E51B1" w:rsidRDefault="006E51B1" w:rsidP="006E51B1">
      <w:pPr>
        <w:pStyle w:val="NoSpacing"/>
      </w:pPr>
      <w:r>
        <w:t>THE COURT HELD:</w:t>
      </w:r>
    </w:p>
    <w:p w14:paraId="6954F720" w14:textId="77777777" w:rsidR="006E51B1" w:rsidRDefault="006E51B1" w:rsidP="006E51B1">
      <w:pPr>
        <w:pStyle w:val="NoSpacing"/>
      </w:pPr>
    </w:p>
    <w:p w14:paraId="7B9980AE" w14:textId="77777777" w:rsidR="006E51B1" w:rsidRDefault="006E51B1" w:rsidP="006E51B1">
      <w:pPr>
        <w:pStyle w:val="NoSpacing"/>
        <w:ind w:left="720"/>
      </w:pPr>
      <w:r>
        <w:t>“</w:t>
      </w:r>
      <w:r w:rsidRPr="007C1D31">
        <w:t>On November 1, 2021, Magistrate Judge Stephen C. Dries issued search warrants for the restaurant, the defendant's house and the defendant's Dodge Durango</w:t>
      </w:r>
      <w:r>
        <w:t xml:space="preserve">…. </w:t>
      </w:r>
      <w:r w:rsidRPr="007C1D31">
        <w:t>Judge Dries also issued a search warrant for the defendant's Facebook account</w:t>
      </w:r>
      <w:r>
        <w:t xml:space="preserve">…. </w:t>
      </w:r>
    </w:p>
    <w:p w14:paraId="4AEA8F4B" w14:textId="77777777" w:rsidR="006E51B1" w:rsidRDefault="006E51B1" w:rsidP="006E51B1">
      <w:pPr>
        <w:pStyle w:val="NoSpacing"/>
        <w:ind w:left="720"/>
      </w:pPr>
    </w:p>
    <w:p w14:paraId="2388024B" w14:textId="77777777" w:rsidR="006E51B1" w:rsidRDefault="006E51B1" w:rsidP="006E51B1">
      <w:pPr>
        <w:pStyle w:val="NoSpacing"/>
        <w:ind w:left="720"/>
      </w:pPr>
      <w:r w:rsidRPr="00773286">
        <w:t xml:space="preserve">On the morning of November 2, 2021, Special Agent Kevin Heimerl called the defendant and asked to meet with her to </w:t>
      </w:r>
      <w:r>
        <w:t>‘</w:t>
      </w:r>
      <w:r w:rsidRPr="00773286">
        <w:t>share a little bit of information.</w:t>
      </w:r>
      <w:r>
        <w:t>’ ....</w:t>
      </w:r>
      <w:r w:rsidRPr="00773286">
        <w:t xml:space="preserve"> </w:t>
      </w:r>
      <w:r>
        <w:t xml:space="preserve"> </w:t>
      </w:r>
      <w:r w:rsidRPr="00773286">
        <w:t>SA Heimerl and SA Matthew Anderson were parked about one block away from the defendant's house at the time of the call</w:t>
      </w:r>
      <w:r>
        <w:t xml:space="preserve">…. </w:t>
      </w:r>
      <w:r w:rsidRPr="00773286">
        <w:t>Heimerl recorded a portion of this phone call and his later in-person conversation with the defendant that morning</w:t>
      </w:r>
      <w:r>
        <w:t xml:space="preserve">…. </w:t>
      </w:r>
      <w:r w:rsidRPr="00773286">
        <w:t>About two minutes after speaking with the defendant on the phone, the agents arrived at her home and parked in her driveway at the rear of the home</w:t>
      </w:r>
      <w:r>
        <w:t xml:space="preserve">…. </w:t>
      </w:r>
    </w:p>
    <w:p w14:paraId="33CCCD1D" w14:textId="77777777" w:rsidR="006E51B1" w:rsidRDefault="006E51B1" w:rsidP="006E51B1">
      <w:pPr>
        <w:pStyle w:val="NoSpacing"/>
        <w:ind w:left="720"/>
      </w:pPr>
    </w:p>
    <w:p w14:paraId="52E5B184" w14:textId="77777777" w:rsidR="006E51B1" w:rsidRDefault="006E51B1" w:rsidP="006E51B1">
      <w:pPr>
        <w:pStyle w:val="NoSpacing"/>
        <w:ind w:left="720"/>
      </w:pPr>
      <w:r>
        <w:t>***</w:t>
      </w:r>
    </w:p>
    <w:p w14:paraId="50D808F1" w14:textId="77777777" w:rsidR="006E51B1" w:rsidRPr="00773286" w:rsidRDefault="006E51B1" w:rsidP="006E51B1">
      <w:pPr>
        <w:pStyle w:val="NoSpacing"/>
        <w:ind w:left="720"/>
      </w:pPr>
      <w:r w:rsidRPr="00773286">
        <w:t xml:space="preserve"> </w:t>
      </w:r>
    </w:p>
    <w:p w14:paraId="0ADBE649" w14:textId="77777777" w:rsidR="006E51B1" w:rsidRDefault="006E51B1" w:rsidP="006E51B1">
      <w:pPr>
        <w:pStyle w:val="NoSpacing"/>
        <w:ind w:left="720"/>
      </w:pPr>
      <w:r w:rsidRPr="009D7443">
        <w:t xml:space="preserve">Heimerl told the defendant, </w:t>
      </w:r>
      <w:r>
        <w:t>‘</w:t>
      </w:r>
      <w:r w:rsidRPr="009D7443">
        <w:t xml:space="preserve">Just get what you need to get and we're </w:t>
      </w:r>
      <w:proofErr w:type="spellStart"/>
      <w:r w:rsidRPr="009D7443">
        <w:t>gonna</w:t>
      </w:r>
      <w:proofErr w:type="spellEnd"/>
      <w:r w:rsidRPr="009D7443">
        <w:t xml:space="preserve"> go outside and sit in my truck</w:t>
      </w:r>
      <w:proofErr w:type="gramStart"/>
      <w:r w:rsidRPr="009D7443">
        <w:t>.</w:t>
      </w:r>
      <w:proofErr w:type="gramEnd"/>
      <w:r w:rsidRPr="009D7443">
        <w:t xml:space="preserve"> Okay?</w:t>
      </w:r>
      <w:r>
        <w:t xml:space="preserve">’ … </w:t>
      </w:r>
      <w:r w:rsidRPr="009D7443">
        <w:t>The agents then escorted the defendant downstairs and toward the parked truck</w:t>
      </w:r>
      <w:r>
        <w:t xml:space="preserve">…. </w:t>
      </w:r>
      <w:r w:rsidRPr="009D7443">
        <w:t xml:space="preserve"> The agents did not pat the defendant down or place her in handcuffs</w:t>
      </w:r>
      <w:r>
        <w:t xml:space="preserve">…. </w:t>
      </w:r>
      <w:r w:rsidRPr="009D7443">
        <w:t xml:space="preserve"> The defendant asserts that Heimerl placed his hand on her arm and physically guided her out the door of her home, while Heimerl states that he did not have any physical contact with the defendant after taking her phone</w:t>
      </w:r>
      <w:r>
        <w:t xml:space="preserve">…. </w:t>
      </w:r>
      <w:r w:rsidRPr="009D7443">
        <w:t>Once at the truck, the defendant was escorted into the front passenger seat</w:t>
      </w:r>
      <w:r>
        <w:t xml:space="preserve">…. </w:t>
      </w:r>
      <w:r w:rsidRPr="009D7443">
        <w:t>Heimerl sat in the driver's seat and turned on the vehicle and its heating system, while Anderson sat in the rear passenger seat behind the defendant.</w:t>
      </w:r>
    </w:p>
    <w:p w14:paraId="311E451A" w14:textId="77777777" w:rsidR="006E51B1" w:rsidRDefault="006E51B1" w:rsidP="006E51B1">
      <w:pPr>
        <w:pStyle w:val="NoSpacing"/>
        <w:ind w:left="720"/>
      </w:pPr>
    </w:p>
    <w:p w14:paraId="714DD454" w14:textId="77777777" w:rsidR="006E51B1" w:rsidRDefault="006E51B1" w:rsidP="006E51B1">
      <w:pPr>
        <w:pStyle w:val="NoSpacing"/>
        <w:ind w:left="720"/>
      </w:pPr>
      <w:r w:rsidRPr="007B5FA6">
        <w:t>The defendant then saw approximately ten officers approaching her home with weapons drawn</w:t>
      </w:r>
      <w:r>
        <w:t xml:space="preserve">…. </w:t>
      </w:r>
      <w:r w:rsidRPr="007B5FA6">
        <w:t>The defendant believed that the officers looked like a SWAT team and was visibly shaken, anxious and upset</w:t>
      </w:r>
      <w:r>
        <w:t xml:space="preserve">….  </w:t>
      </w:r>
      <w:r w:rsidRPr="007B5FA6">
        <w:t>Heimerl questioned the defendant about the fire, including showing her images from the surveillance footage, while law enforcement executed the search warrant</w:t>
      </w:r>
      <w:r>
        <w:t xml:space="preserve">… </w:t>
      </w:r>
      <w:r w:rsidRPr="007B5FA6">
        <w:t>The defendant was in the truck for approximately two hours</w:t>
      </w:r>
      <w:r>
        <w:t xml:space="preserve">…. </w:t>
      </w:r>
      <w:r w:rsidRPr="007B5FA6">
        <w:t xml:space="preserve">Neither agent informed the defendant of her </w:t>
      </w:r>
      <w:r w:rsidRPr="007B5FA6">
        <w:rPr>
          <w:i/>
          <w:iCs/>
        </w:rPr>
        <w:t>Miranda</w:t>
      </w:r>
      <w:r w:rsidRPr="007B5FA6">
        <w:t xml:space="preserve"> rights</w:t>
      </w:r>
      <w:r>
        <w:t xml:space="preserve">…. </w:t>
      </w:r>
      <w:r w:rsidRPr="007B5FA6">
        <w:t>The defendant previously had met or spoken with Heimerl six times before this but never had been shown the surveillance images from the night of the fire</w:t>
      </w:r>
      <w:r>
        <w:t xml:space="preserve">…. </w:t>
      </w:r>
      <w:r w:rsidRPr="007B5FA6">
        <w:t xml:space="preserve">Both agents were in plainclothes and armed during the </w:t>
      </w:r>
      <w:proofErr w:type="gramStart"/>
      <w:r w:rsidRPr="007B5FA6">
        <w:t>interview, but</w:t>
      </w:r>
      <w:proofErr w:type="gramEnd"/>
      <w:r w:rsidRPr="007B5FA6">
        <w:t xml:space="preserve"> did not display their weapons to the defendant</w:t>
      </w:r>
      <w:r>
        <w:t xml:space="preserve">…. </w:t>
      </w:r>
      <w:r w:rsidRPr="007B5FA6">
        <w:t xml:space="preserve">During the interview, the defendant was </w:t>
      </w:r>
      <w:r>
        <w:t>‘</w:t>
      </w:r>
      <w:r w:rsidRPr="007B5FA6">
        <w:t>visibly shaken, upset, and scared</w:t>
      </w:r>
      <w:r>
        <w:t>’</w:t>
      </w:r>
      <w:r w:rsidRPr="007B5FA6">
        <w:t xml:space="preserve"> with </w:t>
      </w:r>
      <w:r>
        <w:t>‘</w:t>
      </w:r>
      <w:r w:rsidRPr="007B5FA6">
        <w:t>tears in her eyes at times.</w:t>
      </w:r>
      <w:r>
        <w:t xml:space="preserve">’ … </w:t>
      </w:r>
      <w:r w:rsidRPr="007B5FA6">
        <w:t xml:space="preserve">The parties agree that </w:t>
      </w:r>
      <w:r>
        <w:t>‘</w:t>
      </w:r>
      <w:r w:rsidRPr="007B5FA6">
        <w:t>portions</w:t>
      </w:r>
      <w:r>
        <w:t>’</w:t>
      </w:r>
      <w:r w:rsidRPr="007B5FA6">
        <w:t xml:space="preserve"> of Heimerl's questioning constituted an interrogation, but dispute whether the interrogation was conducted in a custodial setting. </w:t>
      </w:r>
    </w:p>
    <w:p w14:paraId="51D78B35" w14:textId="77777777" w:rsidR="006E51B1" w:rsidRDefault="006E51B1" w:rsidP="006E51B1">
      <w:pPr>
        <w:pStyle w:val="NoSpacing"/>
        <w:ind w:left="720"/>
      </w:pPr>
    </w:p>
    <w:p w14:paraId="55045149" w14:textId="77777777" w:rsidR="006E51B1" w:rsidRDefault="006E51B1" w:rsidP="006E51B1">
      <w:pPr>
        <w:pStyle w:val="NoSpacing"/>
        <w:ind w:left="720"/>
      </w:pPr>
      <w:r>
        <w:lastRenderedPageBreak/>
        <w:t>***</w:t>
      </w:r>
    </w:p>
    <w:p w14:paraId="21AF3FFA" w14:textId="77777777" w:rsidR="006E51B1" w:rsidRDefault="006E51B1" w:rsidP="006E51B1">
      <w:pPr>
        <w:pStyle w:val="NoSpacing"/>
        <w:ind w:left="720"/>
      </w:pPr>
      <w:r w:rsidRPr="00804126">
        <w:t xml:space="preserve">Based on the totality of the circumstances, the court agrees with Judge Duffin that the defendant was not in custody. The defendant's initial contact with the agents was at her house. Although the agents went with her, she was allowed to get warmer clothing. She left her house and went with the agents to their truck, which was on her property. She remained in the truck for about an hour for the </w:t>
      </w:r>
      <w:proofErr w:type="gramStart"/>
      <w:r w:rsidRPr="00804126">
        <w:t>purposes</w:t>
      </w:r>
      <w:proofErr w:type="gramEnd"/>
      <w:r w:rsidRPr="00804126">
        <w:t xml:space="preserve"> of questioning (the questioning did not continue into the second hour), she was not physically </w:t>
      </w:r>
      <w:proofErr w:type="gramStart"/>
      <w:r w:rsidRPr="00804126">
        <w:t>restrained</w:t>
      </w:r>
      <w:proofErr w:type="gramEnd"/>
      <w:r w:rsidRPr="00804126">
        <w:t xml:space="preserve"> and she was released at the end of the conversation. The agents did not point their weapons at the defendant or threaten her. She was not detained at a police station or government building. Heimerl told the defendant that she did not have to answer the agents' questions, and the defendant demonstrated that she understood by declining to answer when asked to explain why she may have been at her restaurant on the night of the fire. Although there were several officers present to execute the search warrant, the defendant directly interacted only with Heimerl and Anderson, both of whom were known to her from previous interactions. The defendant has not alleged that the agents yelled at her or that they physically or verbally abused her. Although the defendant may have felt scared or upset during the interview, her subjective perception of the circumstances is not the issue. The question is whether a reasonable person in her position would have felt free to leave. Judge Duffin did not err in concluding that a reasonable person in that position would have felt free to leave.</w:t>
      </w:r>
      <w:r>
        <w:t>”</w:t>
      </w:r>
    </w:p>
    <w:p w14:paraId="5B362738" w14:textId="77777777" w:rsidR="006E51B1" w:rsidRDefault="006E51B1" w:rsidP="006E51B1">
      <w:pPr>
        <w:pStyle w:val="NoSpacing"/>
        <w:ind w:left="720"/>
      </w:pPr>
    </w:p>
    <w:p w14:paraId="478B8189" w14:textId="41238CE4" w:rsidR="006E51B1" w:rsidRPr="00804126" w:rsidRDefault="006E51B1" w:rsidP="006E51B1">
      <w:pPr>
        <w:pStyle w:val="NoSpacing"/>
        <w:rPr>
          <w:b/>
          <w:bCs/>
        </w:rPr>
      </w:pPr>
      <w:r>
        <w:rPr>
          <w:b/>
        </w:rPr>
        <w:t xml:space="preserve">Lesson learned:  The case will now proceed to trial; arson investigators should consult with prosecutors about their plan to have </w:t>
      </w:r>
      <w:proofErr w:type="gramStart"/>
      <w:r>
        <w:rPr>
          <w:b/>
        </w:rPr>
        <w:t>defendant</w:t>
      </w:r>
      <w:proofErr w:type="gramEnd"/>
      <w:r>
        <w:rPr>
          <w:b/>
        </w:rPr>
        <w:t xml:space="preserve"> wait in their vehicle as her home is searched, and when </w:t>
      </w:r>
      <w:r w:rsidRPr="00A058B6">
        <w:rPr>
          <w:b/>
          <w:i/>
          <w:iCs/>
        </w:rPr>
        <w:t xml:space="preserve">Miranda </w:t>
      </w:r>
      <w:r>
        <w:rPr>
          <w:b/>
        </w:rPr>
        <w:t xml:space="preserve">warnings should be given.  </w:t>
      </w:r>
    </w:p>
    <w:p w14:paraId="4DF537B7" w14:textId="77777777" w:rsidR="006E51B1" w:rsidRPr="007B5FA6" w:rsidRDefault="006E51B1" w:rsidP="006E51B1">
      <w:pPr>
        <w:pStyle w:val="NoSpacing"/>
        <w:ind w:left="720"/>
      </w:pPr>
    </w:p>
    <w:p w14:paraId="5367443E" w14:textId="77777777" w:rsidR="006E51B1" w:rsidRPr="000A4CD4" w:rsidRDefault="006E51B1" w:rsidP="006E51B1">
      <w:pPr>
        <w:pStyle w:val="NoSpacing"/>
        <w:ind w:left="720"/>
        <w:rPr>
          <w:b/>
        </w:rPr>
      </w:pPr>
      <w:r>
        <w:t xml:space="preserve">Note: See the Dec. 17, </w:t>
      </w:r>
      <w:proofErr w:type="gramStart"/>
      <w:r>
        <w:t>2024</w:t>
      </w:r>
      <w:proofErr w:type="gramEnd"/>
      <w:r>
        <w:t xml:space="preserve"> Press Release by U.S. Attorney’s Office when she was indicted. “</w:t>
      </w:r>
      <w:r w:rsidRPr="007F0061">
        <w:t>Former Restaurant Owner Indicted for Arson and Related Charges</w:t>
      </w:r>
      <w:r>
        <w:t>”</w:t>
      </w:r>
    </w:p>
    <w:p w14:paraId="3BB1D36B" w14:textId="77777777" w:rsidR="006E51B1" w:rsidRDefault="006E51B1" w:rsidP="006E51B1">
      <w:pPr>
        <w:pStyle w:val="NoSpacing"/>
        <w:ind w:left="720"/>
      </w:pPr>
      <w:hyperlink r:id="rId55" w:history="1">
        <w:r w:rsidRPr="00465B64">
          <w:rPr>
            <w:rStyle w:val="Hyperlink"/>
          </w:rPr>
          <w:t>https://www.justice.gov/usao-edwi/pr/former-restaurant-owner-indicted-arson-and-related-charges</w:t>
        </w:r>
      </w:hyperlink>
      <w:r>
        <w:t xml:space="preserve"> </w:t>
      </w:r>
    </w:p>
    <w:p w14:paraId="7A92164B" w14:textId="77777777" w:rsidR="006E51B1" w:rsidRDefault="006E51B1" w:rsidP="00037CB8">
      <w:pPr>
        <w:pStyle w:val="NoSpacing"/>
        <w:rPr>
          <w:rFonts w:ascii="Arial Black" w:hAnsi="Arial Black"/>
          <w:sz w:val="24"/>
          <w:szCs w:val="24"/>
        </w:rPr>
      </w:pPr>
    </w:p>
    <w:p w14:paraId="15E46EAC" w14:textId="77777777" w:rsidR="003306E6" w:rsidRDefault="003306E6" w:rsidP="00037CB8">
      <w:pPr>
        <w:pStyle w:val="NoSpacing"/>
        <w:rPr>
          <w:rFonts w:ascii="Arial Black" w:hAnsi="Arial Black"/>
          <w:sz w:val="24"/>
          <w:szCs w:val="24"/>
        </w:rPr>
      </w:pPr>
    </w:p>
    <w:p w14:paraId="17B76AC3" w14:textId="388F7597" w:rsidR="003306E6" w:rsidRDefault="003306E6" w:rsidP="00037CB8">
      <w:pPr>
        <w:pStyle w:val="NoSpacing"/>
        <w:rPr>
          <w:rFonts w:ascii="Arial Black" w:hAnsi="Arial Black"/>
          <w:sz w:val="24"/>
          <w:szCs w:val="24"/>
        </w:rPr>
      </w:pPr>
      <w:r>
        <w:rPr>
          <w:rFonts w:ascii="Arial Black" w:hAnsi="Arial Black"/>
          <w:sz w:val="24"/>
          <w:szCs w:val="24"/>
        </w:rPr>
        <w:t>1-195</w:t>
      </w:r>
    </w:p>
    <w:p w14:paraId="466A705C" w14:textId="77777777" w:rsidR="003306E6" w:rsidRDefault="003306E6" w:rsidP="003306E6">
      <w:pPr>
        <w:spacing w:after="0"/>
        <w:rPr>
          <w:rFonts w:ascii="Arial Black" w:hAnsi="Arial Black"/>
          <w:sz w:val="28"/>
          <w:szCs w:val="28"/>
        </w:rPr>
      </w:pPr>
    </w:p>
    <w:p w14:paraId="2F3D1EEB" w14:textId="5862191E" w:rsidR="003306E6" w:rsidRPr="00FD1C42" w:rsidRDefault="003306E6" w:rsidP="003306E6">
      <w:pPr>
        <w:spacing w:after="0"/>
        <w:rPr>
          <w:rFonts w:ascii="Arial Black" w:hAnsi="Arial Black"/>
          <w:sz w:val="28"/>
          <w:szCs w:val="28"/>
        </w:rPr>
      </w:pPr>
      <w:r>
        <w:rPr>
          <w:rFonts w:ascii="Arial Black" w:hAnsi="Arial Black"/>
          <w:sz w:val="28"/>
          <w:szCs w:val="28"/>
        </w:rPr>
        <w:t>NY: HOSP FIRE – PT’s FRAYED CELL CHARGING CABLE</w:t>
      </w:r>
    </w:p>
    <w:p w14:paraId="56D7E9F2" w14:textId="77777777" w:rsidR="003306E6" w:rsidRDefault="003306E6" w:rsidP="003306E6">
      <w:pPr>
        <w:spacing w:after="0"/>
      </w:pPr>
    </w:p>
    <w:p w14:paraId="3436DB2E" w14:textId="77777777" w:rsidR="003306E6" w:rsidRPr="00D86092" w:rsidRDefault="003306E6" w:rsidP="003306E6">
      <w:pPr>
        <w:pStyle w:val="NoSpacing"/>
      </w:pPr>
      <w:r>
        <w:t xml:space="preserve">On Oct. 9, 2025, in </w:t>
      </w:r>
      <w:r w:rsidRPr="00690F8A">
        <w:rPr>
          <w:u w:val="single"/>
        </w:rPr>
        <w:t xml:space="preserve">Krystel-Marie </w:t>
      </w:r>
      <w:proofErr w:type="spellStart"/>
      <w:r w:rsidRPr="00690F8A">
        <w:rPr>
          <w:u w:val="single"/>
        </w:rPr>
        <w:t>Desmornes</w:t>
      </w:r>
      <w:proofErr w:type="spellEnd"/>
      <w:r w:rsidRPr="00690F8A">
        <w:rPr>
          <w:u w:val="single"/>
        </w:rPr>
        <w:t xml:space="preserve"> as Administrator of Jean-Daniel Desmornes v. The Brooklyn Hospital Center</w:t>
      </w:r>
      <w:r>
        <w:t xml:space="preserve">, Judge Ruper P. Barry, </w:t>
      </w:r>
      <w:r w:rsidRPr="00D86092">
        <w:t>Supreme Court, Kings County</w:t>
      </w:r>
      <w:r>
        <w:t xml:space="preserve">, granted defense motion for summary judgment.  The COVID patient started a fire caused by his </w:t>
      </w:r>
      <w:r w:rsidRPr="00CA17D7">
        <w:t>use of his frayed,</w:t>
      </w:r>
      <w:r>
        <w:t xml:space="preserve"> </w:t>
      </w:r>
      <w:r w:rsidRPr="00CA17D7">
        <w:t>after-market cellphone charging cable.</w:t>
      </w:r>
      <w:r>
        <w:t xml:space="preserve"> </w:t>
      </w:r>
      <w:hyperlink r:id="rId56" w:history="1">
        <w:r w:rsidRPr="00307531">
          <w:rPr>
            <w:rStyle w:val="Hyperlink"/>
          </w:rPr>
          <w:t>https://cases.justia.com/new-york/other-courts/2025-2025-ny-slip-op-33961-u.pdf?ts=1761686709</w:t>
        </w:r>
      </w:hyperlink>
      <w:r>
        <w:t xml:space="preserve"> </w:t>
      </w:r>
    </w:p>
    <w:p w14:paraId="37834DA0" w14:textId="77777777" w:rsidR="003306E6" w:rsidRDefault="003306E6" w:rsidP="003306E6">
      <w:pPr>
        <w:spacing w:after="0"/>
        <w:rPr>
          <w:rFonts w:ascii="Arial Black" w:hAnsi="Arial Black"/>
          <w:sz w:val="28"/>
          <w:szCs w:val="28"/>
        </w:rPr>
      </w:pPr>
    </w:p>
    <w:p w14:paraId="4345CBC4" w14:textId="77777777" w:rsidR="003306E6" w:rsidRDefault="003306E6" w:rsidP="003306E6">
      <w:pPr>
        <w:pStyle w:val="NoSpacing"/>
      </w:pPr>
      <w:r>
        <w:t xml:space="preserve"> THE COURT HELD:</w:t>
      </w:r>
    </w:p>
    <w:p w14:paraId="67A6F378" w14:textId="77777777" w:rsidR="003306E6" w:rsidRDefault="003306E6" w:rsidP="003306E6">
      <w:pPr>
        <w:pStyle w:val="NoSpacing"/>
      </w:pPr>
    </w:p>
    <w:p w14:paraId="0AD7378F" w14:textId="77777777" w:rsidR="003306E6" w:rsidRDefault="003306E6" w:rsidP="003306E6">
      <w:pPr>
        <w:pStyle w:val="NoSpacing"/>
        <w:ind w:left="720"/>
      </w:pPr>
      <w:r>
        <w:t>“This action concerns a fire in the Brooklyn Hospital Center (hereafter ‘BHC’) Emergency Department on March 26, 2020, involving Jean-Daniel Desmornes, who had been admitted to BHC with covid on March 25, 2020. Immediately after the fire, the FDNY examined the scene and FDNY Marshall John Urrico concluded that the fire was solely caused by Mr. Jean-Daniel Desmornes’ use of his frayed, after-market cellphone charging cable.</w:t>
      </w:r>
    </w:p>
    <w:p w14:paraId="7D7B312D" w14:textId="77777777" w:rsidR="003306E6" w:rsidRDefault="003306E6" w:rsidP="003306E6">
      <w:pPr>
        <w:pStyle w:val="NoSpacing"/>
        <w:ind w:left="720"/>
      </w:pPr>
    </w:p>
    <w:p w14:paraId="7A1A8F71" w14:textId="77777777" w:rsidR="003306E6" w:rsidRDefault="003306E6" w:rsidP="003306E6">
      <w:pPr>
        <w:pStyle w:val="NoSpacing"/>
        <w:ind w:left="720"/>
      </w:pPr>
      <w:r>
        <w:t>***</w:t>
      </w:r>
    </w:p>
    <w:p w14:paraId="67FDEB3E" w14:textId="77777777" w:rsidR="003306E6" w:rsidRDefault="003306E6" w:rsidP="003306E6">
      <w:pPr>
        <w:pStyle w:val="NoSpacing"/>
        <w:ind w:left="720"/>
      </w:pPr>
      <w:r>
        <w:t xml:space="preserve">In support of its motion, BHC submits the medical records, the FDNY records, the deposition of its then BHC Chief Operating Officer, Robert Aucilino, the expert affirmation of Eugene West (hereafter ‘Mr. West’), and the expert affirmation of Mark Silberman, M.D. </w:t>
      </w:r>
      <w:proofErr w:type="gramStart"/>
      <w:r>
        <w:t>hereafter (‘</w:t>
      </w:r>
      <w:proofErr w:type="gramEnd"/>
      <w:r>
        <w:t>Dr. Silberman’). Mr. West is an expert in fire origin and cause, fire/arson related human factors and behavioral profiling, the management of major case fire incidents, fire department operations, fire incident sequencing, fire scene</w:t>
      </w:r>
    </w:p>
    <w:p w14:paraId="133699D8" w14:textId="77777777" w:rsidR="003306E6" w:rsidRDefault="003306E6" w:rsidP="003306E6">
      <w:pPr>
        <w:pStyle w:val="NoSpacing"/>
        <w:ind w:left="720"/>
      </w:pPr>
      <w:r>
        <w:t>reconstruction, building codes and fire codes.”</w:t>
      </w:r>
    </w:p>
    <w:p w14:paraId="30B8B1A9" w14:textId="77777777" w:rsidR="003306E6" w:rsidRDefault="003306E6" w:rsidP="003306E6">
      <w:pPr>
        <w:pStyle w:val="NoSpacing"/>
        <w:ind w:left="720"/>
      </w:pPr>
    </w:p>
    <w:p w14:paraId="38847118" w14:textId="77777777" w:rsidR="003306E6" w:rsidRPr="00AD46FA" w:rsidRDefault="003306E6" w:rsidP="003306E6">
      <w:pPr>
        <w:pStyle w:val="NoSpacing"/>
        <w:rPr>
          <w:b/>
          <w:bCs/>
        </w:rPr>
      </w:pPr>
      <w:r>
        <w:rPr>
          <w:b/>
        </w:rPr>
        <w:t>Legal lesson learned:  Frayed  cell phone charging cable can cause a fire.</w:t>
      </w:r>
    </w:p>
    <w:p w14:paraId="4BF3713F" w14:textId="77777777" w:rsidR="003306E6" w:rsidRDefault="003306E6" w:rsidP="003306E6">
      <w:pPr>
        <w:pStyle w:val="NoSpacing"/>
      </w:pPr>
    </w:p>
    <w:p w14:paraId="554C5B52" w14:textId="77777777" w:rsidR="003306E6" w:rsidRDefault="003306E6" w:rsidP="003306E6">
      <w:pPr>
        <w:pStyle w:val="NoSpacing"/>
        <w:ind w:left="720"/>
      </w:pPr>
    </w:p>
    <w:p w14:paraId="6D584608" w14:textId="77777777" w:rsidR="003306E6" w:rsidRPr="00BB26AD" w:rsidRDefault="003306E6" w:rsidP="003306E6">
      <w:pPr>
        <w:pStyle w:val="NoSpacing"/>
        <w:ind w:left="720"/>
        <w:rPr>
          <w:bCs/>
        </w:rPr>
      </w:pPr>
      <w:r>
        <w:t xml:space="preserve">Read this Feb. 3, </w:t>
      </w:r>
      <w:proofErr w:type="gramStart"/>
      <w:r>
        <w:t>2025</w:t>
      </w:r>
      <w:proofErr w:type="gramEnd"/>
      <w:r>
        <w:t xml:space="preserve"> article: </w:t>
      </w:r>
      <w:r w:rsidRPr="00BB26AD">
        <w:t xml:space="preserve">What Causes Phone Chargers to Explode? (And How to Avoid It). </w:t>
      </w:r>
      <w:hyperlink r:id="rId57" w:history="1">
        <w:r w:rsidRPr="00BB26AD">
          <w:rPr>
            <w:rStyle w:val="Hyperlink"/>
          </w:rPr>
          <w:t>https://www.voltacharger.com/blogs/news/what-causes-phone-chargers-to-explode-and-how-to-avoid-it?srsltid=AfmBOor-D0Mt5iX7UDwb-r4sqdnXak-6s4LPkG62kZWVkLQCSPJSBjBB</w:t>
        </w:r>
      </w:hyperlink>
      <w:r w:rsidRPr="00BB26AD">
        <w:t xml:space="preserve"> </w:t>
      </w:r>
    </w:p>
    <w:p w14:paraId="6E839AAA" w14:textId="77777777" w:rsidR="003306E6" w:rsidRDefault="003306E6" w:rsidP="003306E6">
      <w:pPr>
        <w:pStyle w:val="NoSpacing"/>
      </w:pPr>
    </w:p>
    <w:p w14:paraId="49D14C0A" w14:textId="77777777" w:rsidR="003306E6" w:rsidRDefault="003306E6" w:rsidP="003306E6">
      <w:pPr>
        <w:pStyle w:val="NoSpacing"/>
      </w:pPr>
    </w:p>
    <w:p w14:paraId="594460A9" w14:textId="77777777" w:rsidR="003306E6" w:rsidRDefault="003306E6" w:rsidP="00037CB8">
      <w:pPr>
        <w:pStyle w:val="NoSpacing"/>
        <w:rPr>
          <w:rFonts w:ascii="Arial Black" w:hAnsi="Arial Black"/>
          <w:sz w:val="24"/>
          <w:szCs w:val="24"/>
        </w:rPr>
      </w:pPr>
    </w:p>
    <w:p w14:paraId="606EE616" w14:textId="77777777" w:rsidR="006E51B1" w:rsidRDefault="006E51B1" w:rsidP="00037CB8">
      <w:pPr>
        <w:pStyle w:val="NoSpacing"/>
        <w:rPr>
          <w:rFonts w:ascii="Arial Black" w:hAnsi="Arial Black"/>
          <w:sz w:val="24"/>
          <w:szCs w:val="24"/>
        </w:rPr>
      </w:pPr>
    </w:p>
    <w:p w14:paraId="06070874" w14:textId="77777777" w:rsidR="006E51B1" w:rsidRDefault="006E51B1" w:rsidP="00037CB8">
      <w:pPr>
        <w:pStyle w:val="NoSpacing"/>
        <w:rPr>
          <w:rFonts w:ascii="Arial Black" w:hAnsi="Arial Black"/>
          <w:sz w:val="24"/>
          <w:szCs w:val="24"/>
        </w:rPr>
      </w:pPr>
    </w:p>
    <w:p w14:paraId="4E8C7FDE" w14:textId="77777777" w:rsidR="006E51B1" w:rsidRDefault="006E51B1" w:rsidP="00037CB8">
      <w:pPr>
        <w:pStyle w:val="NoSpacing"/>
        <w:rPr>
          <w:rFonts w:ascii="Arial Black" w:hAnsi="Arial Black"/>
          <w:sz w:val="24"/>
          <w:szCs w:val="24"/>
        </w:rPr>
      </w:pPr>
    </w:p>
    <w:p w14:paraId="78FCFA60" w14:textId="77777777" w:rsidR="006E51B1" w:rsidRDefault="006E51B1" w:rsidP="00037CB8">
      <w:pPr>
        <w:pStyle w:val="NoSpacing"/>
        <w:rPr>
          <w:rFonts w:ascii="Arial Black" w:hAnsi="Arial Black"/>
          <w:sz w:val="24"/>
          <w:szCs w:val="24"/>
        </w:rPr>
      </w:pPr>
    </w:p>
    <w:p w14:paraId="26C59824" w14:textId="7F12380B" w:rsidR="00037CB8" w:rsidRPr="00E24913" w:rsidRDefault="00037CB8" w:rsidP="00037CB8">
      <w:pPr>
        <w:pStyle w:val="NoSpacing"/>
        <w:rPr>
          <w:rFonts w:ascii="Arial Black" w:hAnsi="Arial Black"/>
          <w:sz w:val="24"/>
          <w:szCs w:val="24"/>
        </w:rPr>
      </w:pPr>
      <w:r w:rsidRPr="00E24913">
        <w:rPr>
          <w:rFonts w:ascii="Arial Black" w:hAnsi="Arial Black"/>
          <w:sz w:val="24"/>
          <w:szCs w:val="24"/>
        </w:rPr>
        <w:t>1-1</w:t>
      </w:r>
      <w:r>
        <w:rPr>
          <w:rFonts w:ascii="Arial Black" w:hAnsi="Arial Black"/>
          <w:sz w:val="24"/>
          <w:szCs w:val="24"/>
        </w:rPr>
        <w:t>94</w:t>
      </w:r>
    </w:p>
    <w:p w14:paraId="7414BED1" w14:textId="77777777" w:rsidR="00B232CB" w:rsidRDefault="00B232CB" w:rsidP="00F326E5">
      <w:pPr>
        <w:pStyle w:val="NoSpacing"/>
        <w:rPr>
          <w:rFonts w:ascii="Arial Black" w:hAnsi="Arial Black"/>
          <w:sz w:val="24"/>
          <w:szCs w:val="24"/>
        </w:rPr>
      </w:pPr>
    </w:p>
    <w:p w14:paraId="5765F509" w14:textId="03366397" w:rsidR="00B232CB" w:rsidRDefault="00B232CB" w:rsidP="00B232CB">
      <w:pPr>
        <w:spacing w:after="0" w:line="240" w:lineRule="auto"/>
        <w:rPr>
          <w:bCs/>
        </w:rPr>
      </w:pPr>
      <w:r>
        <w:rPr>
          <w:rFonts w:ascii="Arial Black" w:hAnsi="Arial Black"/>
          <w:sz w:val="28"/>
          <w:szCs w:val="28"/>
        </w:rPr>
        <w:t xml:space="preserve">ARTICLE – </w:t>
      </w:r>
      <w:r w:rsidRPr="00891811">
        <w:rPr>
          <w:rFonts w:ascii="Arial Black" w:hAnsi="Arial Black"/>
          <w:b/>
          <w:sz w:val="28"/>
          <w:szCs w:val="28"/>
        </w:rPr>
        <w:t>“EYES IN THE SKY: Do Cities Need Warrants for Drones?</w:t>
      </w:r>
      <w:r w:rsidRPr="00891811">
        <w:rPr>
          <w:rFonts w:ascii="Arial Black" w:hAnsi="Arial Black"/>
          <w:sz w:val="28"/>
          <w:szCs w:val="28"/>
        </w:rPr>
        <w:t>”</w:t>
      </w:r>
      <w:r>
        <w:t xml:space="preserve"> September 24, 2013, Homeland Security Today</w:t>
      </w:r>
      <w:r w:rsidR="00891811">
        <w:t xml:space="preserve">, by </w:t>
      </w:r>
      <w:r w:rsidR="0080370D">
        <w:t>Lawrence T. Bennett.</w:t>
      </w:r>
    </w:p>
    <w:p w14:paraId="7D763049" w14:textId="77777777" w:rsidR="00B232CB" w:rsidRDefault="00B232CB" w:rsidP="00B232CB">
      <w:pPr>
        <w:spacing w:after="0" w:line="240" w:lineRule="auto"/>
      </w:pPr>
      <w:hyperlink r:id="rId58" w:history="1">
        <w:r w:rsidRPr="00483260">
          <w:rPr>
            <w:rStyle w:val="Hyperlink"/>
          </w:rPr>
          <w:t>https://www.hstoday.us/subject-matter-areas/unmanned-vehicles/eyes-in-the-sky-do-cities-need-warrants-for-drones/</w:t>
        </w:r>
      </w:hyperlink>
      <w:r>
        <w:t xml:space="preserve">  [Personal thank you to Megan Norris for her very thorough and helpful editing of my first article for Homeland Security Today: </w:t>
      </w:r>
      <w:hyperlink r:id="rId59" w:history="1">
        <w:r w:rsidRPr="00483260">
          <w:rPr>
            <w:rStyle w:val="Hyperlink"/>
          </w:rPr>
          <w:t>https://www.norriseditorial.com</w:t>
        </w:r>
      </w:hyperlink>
      <w:r>
        <w:t xml:space="preserve">.]  </w:t>
      </w:r>
    </w:p>
    <w:p w14:paraId="3A274E71" w14:textId="77777777" w:rsidR="00B232CB" w:rsidRPr="00E91251" w:rsidRDefault="00B232CB" w:rsidP="00B232CB">
      <w:pPr>
        <w:spacing w:after="0" w:line="240" w:lineRule="auto"/>
      </w:pPr>
    </w:p>
    <w:p w14:paraId="19A052CF" w14:textId="450F5758" w:rsidR="00037CB8" w:rsidRPr="00E24913" w:rsidRDefault="00037CB8" w:rsidP="00037CB8">
      <w:pPr>
        <w:pStyle w:val="NoSpacing"/>
        <w:rPr>
          <w:rFonts w:ascii="Arial Black" w:hAnsi="Arial Black"/>
          <w:sz w:val="24"/>
          <w:szCs w:val="24"/>
        </w:rPr>
      </w:pPr>
      <w:r w:rsidRPr="00E24913">
        <w:rPr>
          <w:rFonts w:ascii="Arial Black" w:hAnsi="Arial Black"/>
          <w:sz w:val="24"/>
          <w:szCs w:val="24"/>
        </w:rPr>
        <w:t>1-1</w:t>
      </w:r>
      <w:r>
        <w:rPr>
          <w:rFonts w:ascii="Arial Black" w:hAnsi="Arial Black"/>
          <w:sz w:val="24"/>
          <w:szCs w:val="24"/>
        </w:rPr>
        <w:t>93</w:t>
      </w:r>
    </w:p>
    <w:p w14:paraId="0CF1218A" w14:textId="77777777" w:rsidR="00037CB8" w:rsidRDefault="00037CB8" w:rsidP="00F326E5">
      <w:pPr>
        <w:pStyle w:val="NoSpacing"/>
        <w:rPr>
          <w:rFonts w:ascii="Arial Black" w:hAnsi="Arial Black"/>
          <w:sz w:val="24"/>
          <w:szCs w:val="24"/>
        </w:rPr>
      </w:pPr>
    </w:p>
    <w:p w14:paraId="442D5959" w14:textId="77777777" w:rsidR="008F5629" w:rsidRDefault="008F5629" w:rsidP="008F5629">
      <w:pPr>
        <w:pStyle w:val="NoSpacing"/>
        <w:rPr>
          <w:rFonts w:ascii="Arial Black" w:hAnsi="Arial Black"/>
          <w:sz w:val="28"/>
          <w:szCs w:val="28"/>
        </w:rPr>
      </w:pPr>
      <w:r>
        <w:rPr>
          <w:rFonts w:ascii="Arial Black" w:hAnsi="Arial Black"/>
          <w:sz w:val="28"/>
          <w:szCs w:val="28"/>
        </w:rPr>
        <w:t xml:space="preserve">MI: INTER. FIRE CODE - FIRE CHIEF NO LONGER “AT WILL” </w:t>
      </w:r>
    </w:p>
    <w:p w14:paraId="1AC98985" w14:textId="77777777" w:rsidR="008F5629" w:rsidRDefault="008F5629" w:rsidP="008F5629">
      <w:pPr>
        <w:pStyle w:val="NoSpacing"/>
      </w:pPr>
    </w:p>
    <w:p w14:paraId="40AD7328" w14:textId="77777777" w:rsidR="008F5629" w:rsidRDefault="008F5629" w:rsidP="008F5629">
      <w:pPr>
        <w:pStyle w:val="NoSpacing"/>
      </w:pPr>
      <w:r>
        <w:t xml:space="preserve">On September 19, 2025, in </w:t>
      </w:r>
      <w:r w:rsidRPr="00A5472D">
        <w:rPr>
          <w:u w:val="single"/>
        </w:rPr>
        <w:t>Ronald Lammers v. City of Riverview</w:t>
      </w:r>
      <w:r>
        <w:t xml:space="preserve">, U.S. Federal District Court Judge </w:t>
      </w:r>
      <w:r w:rsidRPr="00C3664A">
        <w:t>Shalina D. Kumar</w:t>
      </w:r>
      <w:r>
        <w:t xml:space="preserve">, United States District Court, Eastern District of Michigan (Southern Division) denied the City’s motion to dismiss the former Fire Chief’s lawsuit, based on a provision in International Fire Code which city had adopted in 2022.  </w:t>
      </w:r>
    </w:p>
    <w:p w14:paraId="59279614" w14:textId="77777777" w:rsidR="008F5629" w:rsidRDefault="008F5629" w:rsidP="008F5629">
      <w:pPr>
        <w:pStyle w:val="NoSpacing"/>
      </w:pPr>
    </w:p>
    <w:p w14:paraId="5EB56138" w14:textId="77777777" w:rsidR="008F5629" w:rsidRDefault="008F5629" w:rsidP="008F5629">
      <w:pPr>
        <w:pStyle w:val="NoSpacing"/>
      </w:pPr>
      <w:r w:rsidRPr="00913B5B">
        <w:rPr>
          <w:b/>
        </w:rPr>
        <w:t>THE COURT HELD</w:t>
      </w:r>
      <w:r>
        <w:t>:  “</w:t>
      </w:r>
      <w:r w:rsidRPr="00C715F2">
        <w:t xml:space="preserve">And since Lammers became the City's fire chief in 2018 and held that position when it adopted the IFC in 2022, it can be reasonably inferred that he was familiar with the IFC and its just-cause provision because his position required him to </w:t>
      </w:r>
      <w:r>
        <w:t>‘</w:t>
      </w:r>
      <w:r w:rsidRPr="00C715F2">
        <w:t>adhere to the provisions of the 2015 International Fire Code (IFC) as identified in the city ordinances.</w:t>
      </w:r>
      <w:r>
        <w:t xml:space="preserve">’ …  </w:t>
      </w:r>
      <w:r w:rsidRPr="00D54466">
        <w:t xml:space="preserve">The fact that this section of the IFC includes the mandatory provision </w:t>
      </w:r>
      <w:r>
        <w:t>‘</w:t>
      </w:r>
      <w:r w:rsidRPr="00D54466">
        <w:t>shall not</w:t>
      </w:r>
      <w:r>
        <w:t xml:space="preserve">’ </w:t>
      </w:r>
      <w:r w:rsidRPr="00D54466">
        <w:t>indicates that the City promised not to terminate Lammers absent just cause. As such, Lammers contends that it was reasonable for him to have a legitimate expectation of just-cause employment with the City, and to have an opportunity to be heard by the city council prior to his termination</w:t>
      </w:r>
      <w:r>
        <w:t xml:space="preserve">.” </w:t>
      </w:r>
      <w:hyperlink r:id="rId60" w:history="1">
        <w:r w:rsidRPr="00EE407B">
          <w:rPr>
            <w:rStyle w:val="Hyperlink"/>
          </w:rPr>
          <w:t>https://public.fastcase.com/jaEE2PXzRXmZ99jOLMt1Ips4C6WkUGp0KzACPcngYbWmPTLfIWMstLJyRryzc8Dq?utm_medium=email&amp;_hsenc=p2ANqtz-94X9-jvo7aphxCTddVbMuFo0h95bmcaFpGEwlnAd6pPwVsx4xOyg-iR7W5WKYYvAnlQWrH3LVFVTBhWCeJd3O3dSBjuA&amp;_hsmi=226712652&amp;utm_content=226712652&amp;utm_source=hs_email</w:t>
        </w:r>
      </w:hyperlink>
    </w:p>
    <w:p w14:paraId="6F5F8705" w14:textId="77777777" w:rsidR="008F5629" w:rsidRDefault="008F5629" w:rsidP="008F5629">
      <w:pPr>
        <w:pStyle w:val="NoSpacing"/>
      </w:pPr>
    </w:p>
    <w:p w14:paraId="3ECBB750" w14:textId="77777777" w:rsidR="008F5629" w:rsidRDefault="008F5629" w:rsidP="008F5629">
      <w:pPr>
        <w:pStyle w:val="NoSpacing"/>
      </w:pPr>
    </w:p>
    <w:p w14:paraId="28445281" w14:textId="77777777" w:rsidR="008F5629" w:rsidRPr="00913B5B" w:rsidRDefault="008F5629" w:rsidP="008F5629">
      <w:pPr>
        <w:pStyle w:val="NoSpacing"/>
        <w:rPr>
          <w:b/>
          <w:bCs/>
        </w:rPr>
      </w:pPr>
      <w:r w:rsidRPr="00913B5B">
        <w:rPr>
          <w:b/>
        </w:rPr>
        <w:t xml:space="preserve">KEY FACTS: </w:t>
      </w:r>
    </w:p>
    <w:p w14:paraId="601DDB8E" w14:textId="77777777" w:rsidR="008F5629" w:rsidRDefault="008F5629" w:rsidP="008F5629">
      <w:pPr>
        <w:pStyle w:val="NoSpacing"/>
      </w:pPr>
    </w:p>
    <w:p w14:paraId="747CB55E" w14:textId="77777777" w:rsidR="008F5629" w:rsidRDefault="008F5629" w:rsidP="008F5629">
      <w:pPr>
        <w:pStyle w:val="NoSpacing"/>
        <w:ind w:left="720"/>
      </w:pPr>
      <w:r>
        <w:t>“</w:t>
      </w:r>
      <w:r w:rsidRPr="00306699">
        <w:t xml:space="preserve">Lammers began working for the </w:t>
      </w:r>
      <w:proofErr w:type="gramStart"/>
      <w:r w:rsidRPr="00306699">
        <w:t>City</w:t>
      </w:r>
      <w:proofErr w:type="gramEnd"/>
      <w:r w:rsidRPr="00306699">
        <w:t xml:space="preserve"> in 2007</w:t>
      </w:r>
      <w:r>
        <w:t>….</w:t>
      </w:r>
      <w:r w:rsidRPr="00306699">
        <w:t>In 2018, he was appointed the City's fire chief by the mayor and city council</w:t>
      </w:r>
      <w:r>
        <w:t xml:space="preserve">…. </w:t>
      </w:r>
      <w:r w:rsidRPr="00306699">
        <w:t>Dobek was appointed the city manager in 2022</w:t>
      </w:r>
      <w:r>
        <w:t xml:space="preserve">…. </w:t>
      </w:r>
      <w:r w:rsidRPr="00306699">
        <w:t>In January 2024, the fire department's supervisor group organized a union of which the deputy fire chief was a member</w:t>
      </w:r>
      <w:r>
        <w:t xml:space="preserve">…. </w:t>
      </w:r>
      <w:r w:rsidRPr="00306699">
        <w:t>Two months later, Dobek informed Lammers that he intended to eliminate the deputy fire chief position due to budgetary constraints</w:t>
      </w:r>
      <w:r>
        <w:t xml:space="preserve">…. </w:t>
      </w:r>
      <w:r w:rsidRPr="00306699">
        <w:t>Lammers disagreed with this decision and told Dobek, human resources, and city council members that this decision was not cost-effective and contrary to public safety</w:t>
      </w:r>
      <w:r>
        <w:t xml:space="preserve">…. </w:t>
      </w:r>
      <w:r w:rsidRPr="00306699">
        <w:t xml:space="preserve"> Thereafter, Dobek advised Lammers in writing to bring any concerns directly to him and to cease voicing his disagreement regarding the decision to terminate the </w:t>
      </w:r>
      <w:r w:rsidRPr="00306699">
        <w:lastRenderedPageBreak/>
        <w:t>deputy fire chief position to others</w:t>
      </w:r>
      <w:r>
        <w:t xml:space="preserve">…. </w:t>
      </w:r>
      <w:r w:rsidRPr="00306699">
        <w:t>Dobek verbally eliminated Lammers' employment with the City in July 2024, without providing him notice or a hearing beforehand.</w:t>
      </w:r>
    </w:p>
    <w:p w14:paraId="6F46CEBB" w14:textId="77777777" w:rsidR="008F5629" w:rsidRDefault="008F5629" w:rsidP="008F5629">
      <w:pPr>
        <w:pStyle w:val="NoSpacing"/>
        <w:ind w:left="720"/>
      </w:pPr>
    </w:p>
    <w:p w14:paraId="0A75D83E" w14:textId="77777777" w:rsidR="008F5629" w:rsidRDefault="008F5629" w:rsidP="008F5629">
      <w:pPr>
        <w:pStyle w:val="NoSpacing"/>
        <w:ind w:left="720"/>
      </w:pPr>
      <w:r>
        <w:t>***</w:t>
      </w:r>
    </w:p>
    <w:p w14:paraId="65F5832F" w14:textId="77777777" w:rsidR="008F5629" w:rsidRPr="005826E0" w:rsidRDefault="008F5629" w:rsidP="008F5629">
      <w:pPr>
        <w:pStyle w:val="NoSpacing"/>
        <w:ind w:left="720"/>
      </w:pPr>
      <w:r w:rsidRPr="00DA1947">
        <w:t xml:space="preserve">Here, Lammers does not allege that he had a written employment contract with the City. Rather, he claims that the City's adoption of the IFC </w:t>
      </w:r>
      <w:r>
        <w:t xml:space="preserve">[International Fire Code, adopted by city in 2022] </w:t>
      </w:r>
      <w:r w:rsidRPr="00DA1947">
        <w:t>created a legitimate expectation of just-cause employment</w:t>
      </w:r>
      <w:r>
        <w:t xml:space="preserve">…. </w:t>
      </w:r>
      <w:r w:rsidRPr="005826E0">
        <w:t xml:space="preserve">Lammers claims that Section 103.2 of the IFC designated him as a just-cause employee. That Section reads: </w:t>
      </w:r>
    </w:p>
    <w:p w14:paraId="16B698EA" w14:textId="77777777" w:rsidR="008F5629" w:rsidRDefault="008F5629" w:rsidP="008F5629">
      <w:pPr>
        <w:pStyle w:val="NoSpacing"/>
        <w:ind w:left="1440"/>
      </w:pPr>
    </w:p>
    <w:p w14:paraId="7614FFA1" w14:textId="77777777" w:rsidR="008F5629" w:rsidRDefault="008F5629" w:rsidP="008F5629">
      <w:pPr>
        <w:pStyle w:val="NoSpacing"/>
        <w:ind w:left="1440"/>
      </w:pPr>
      <w:r w:rsidRPr="005826E0">
        <w:t xml:space="preserve">The </w:t>
      </w:r>
      <w:r w:rsidRPr="005826E0">
        <w:rPr>
          <w:i/>
          <w:iCs/>
        </w:rPr>
        <w:t>fire code official</w:t>
      </w:r>
      <w:r w:rsidRPr="005826E0">
        <w:t xml:space="preserve"> shall be appointed by the chief appointing authority of the jurisdiction; and the </w:t>
      </w:r>
      <w:r w:rsidRPr="005826E0">
        <w:rPr>
          <w:i/>
          <w:iCs/>
        </w:rPr>
        <w:t>fire code official</w:t>
      </w:r>
      <w:r w:rsidRPr="005826E0">
        <w:t xml:space="preserve"> shall not be removed from office except for cause and after full opportunity to be heard on specific and relevant charges by and before the appointing authority.</w:t>
      </w:r>
      <w:r>
        <w:t>”</w:t>
      </w:r>
    </w:p>
    <w:p w14:paraId="1E9FAD4A" w14:textId="77777777" w:rsidR="008F5629" w:rsidRDefault="008F5629" w:rsidP="008F5629">
      <w:pPr>
        <w:pStyle w:val="NoSpacing"/>
        <w:ind w:left="1440"/>
      </w:pPr>
    </w:p>
    <w:p w14:paraId="6EC7B5A3" w14:textId="5D0E4E3F" w:rsidR="008F5629" w:rsidRPr="00817EEB" w:rsidRDefault="008F5629" w:rsidP="008F5629">
      <w:pPr>
        <w:pStyle w:val="NoSpacing"/>
        <w:rPr>
          <w:b/>
          <w:bCs/>
        </w:rPr>
      </w:pPr>
      <w:r w:rsidRPr="00817EEB">
        <w:rPr>
          <w:b/>
        </w:rPr>
        <w:t xml:space="preserve">Lesson learned: </w:t>
      </w:r>
      <w:r>
        <w:rPr>
          <w:b/>
        </w:rPr>
        <w:t>City’s adoption of International Fire Code “</w:t>
      </w:r>
      <w:r w:rsidRPr="002104E5">
        <w:rPr>
          <w:b/>
        </w:rPr>
        <w:t>created a legitimate expectation of just-cause employment.</w:t>
      </w:r>
      <w:r>
        <w:rPr>
          <w:b/>
        </w:rPr>
        <w:t>”</w:t>
      </w:r>
    </w:p>
    <w:p w14:paraId="7E903289" w14:textId="77777777" w:rsidR="008F5629" w:rsidRDefault="008F5629" w:rsidP="008F5629">
      <w:pPr>
        <w:rPr>
          <w:rFonts w:ascii="Arial Black" w:hAnsi="Arial Black"/>
          <w:sz w:val="28"/>
          <w:szCs w:val="28"/>
        </w:rPr>
      </w:pPr>
    </w:p>
    <w:p w14:paraId="11CB6D50" w14:textId="77777777" w:rsidR="008F5629" w:rsidRDefault="008F5629" w:rsidP="00F326E5">
      <w:pPr>
        <w:pStyle w:val="NoSpacing"/>
        <w:rPr>
          <w:rFonts w:ascii="Arial Black" w:hAnsi="Arial Black"/>
          <w:sz w:val="24"/>
          <w:szCs w:val="24"/>
        </w:rPr>
      </w:pPr>
    </w:p>
    <w:p w14:paraId="1D561103" w14:textId="4FFC3FFB" w:rsidR="00037CB8" w:rsidRPr="00E24913" w:rsidRDefault="00037CB8" w:rsidP="00037CB8">
      <w:pPr>
        <w:pStyle w:val="NoSpacing"/>
        <w:rPr>
          <w:rFonts w:ascii="Arial Black" w:hAnsi="Arial Black"/>
          <w:sz w:val="24"/>
          <w:szCs w:val="24"/>
        </w:rPr>
      </w:pPr>
      <w:r w:rsidRPr="00E24913">
        <w:rPr>
          <w:rFonts w:ascii="Arial Black" w:hAnsi="Arial Black"/>
          <w:sz w:val="24"/>
          <w:szCs w:val="24"/>
        </w:rPr>
        <w:t>1-1</w:t>
      </w:r>
      <w:r>
        <w:rPr>
          <w:rFonts w:ascii="Arial Black" w:hAnsi="Arial Black"/>
          <w:sz w:val="24"/>
          <w:szCs w:val="24"/>
        </w:rPr>
        <w:t>92</w:t>
      </w:r>
    </w:p>
    <w:p w14:paraId="77AF718F" w14:textId="77777777" w:rsidR="00037CB8" w:rsidRDefault="00037CB8" w:rsidP="005142F0">
      <w:pPr>
        <w:pStyle w:val="NoSpacing"/>
        <w:rPr>
          <w:rFonts w:ascii="Arial Black" w:hAnsi="Arial Black"/>
          <w:sz w:val="28"/>
          <w:szCs w:val="28"/>
        </w:rPr>
      </w:pPr>
    </w:p>
    <w:p w14:paraId="0580C586" w14:textId="29D4118D" w:rsidR="005142F0" w:rsidRDefault="005142F0" w:rsidP="005142F0">
      <w:pPr>
        <w:pStyle w:val="NoSpacing"/>
        <w:rPr>
          <w:rFonts w:ascii="Arial Black" w:hAnsi="Arial Black"/>
          <w:sz w:val="28"/>
          <w:szCs w:val="28"/>
        </w:rPr>
      </w:pPr>
      <w:r>
        <w:rPr>
          <w:rFonts w:ascii="Arial Black" w:hAnsi="Arial Black"/>
          <w:sz w:val="28"/>
          <w:szCs w:val="28"/>
        </w:rPr>
        <w:t xml:space="preserve">GA: DRONE / CODE OFFICER </w:t>
      </w:r>
      <w:r w:rsidR="001D4188">
        <w:rPr>
          <w:rFonts w:ascii="Arial Black" w:hAnsi="Arial Black"/>
          <w:sz w:val="28"/>
          <w:szCs w:val="28"/>
        </w:rPr>
        <w:t>–</w:t>
      </w:r>
      <w:r w:rsidR="00EB07EC">
        <w:rPr>
          <w:rFonts w:ascii="Arial Black" w:hAnsi="Arial Black"/>
          <w:sz w:val="28"/>
          <w:szCs w:val="28"/>
        </w:rPr>
        <w:t xml:space="preserve"> </w:t>
      </w:r>
      <w:r>
        <w:rPr>
          <w:rFonts w:ascii="Arial Black" w:hAnsi="Arial Black"/>
          <w:sz w:val="28"/>
          <w:szCs w:val="28"/>
        </w:rPr>
        <w:t>WARRANT AFTER HIS VISIT</w:t>
      </w:r>
    </w:p>
    <w:p w14:paraId="382654F6" w14:textId="77777777" w:rsidR="005142F0" w:rsidRDefault="005142F0" w:rsidP="005142F0">
      <w:pPr>
        <w:pStyle w:val="NoSpacing"/>
      </w:pPr>
    </w:p>
    <w:p w14:paraId="31962C72" w14:textId="77777777" w:rsidR="005142F0" w:rsidRDefault="005142F0" w:rsidP="005142F0">
      <w:pPr>
        <w:pStyle w:val="NoSpacing"/>
        <w:rPr>
          <w:bCs/>
        </w:rPr>
      </w:pPr>
      <w:r>
        <w:t xml:space="preserve">On September 18, 2025, in </w:t>
      </w:r>
      <w:r w:rsidRPr="00735CF2">
        <w:rPr>
          <w:u w:val="single"/>
        </w:rPr>
        <w:t>Dunn Terrious Bradford v. State of Georgia</w:t>
      </w:r>
      <w:r>
        <w:t xml:space="preserve">, the </w:t>
      </w:r>
      <w:r w:rsidRPr="00F17116">
        <w:t>Court of Appeals of Georgia, Third Division</w:t>
      </w:r>
      <w:r>
        <w:t xml:space="preserve"> held (3 to 0) held that trial court properly denied the property owner’s </w:t>
      </w:r>
      <w:r w:rsidRPr="00BF3969">
        <w:t xml:space="preserve"> motion to suppress evidence obtained in a civil forfeiture proceeding </w:t>
      </w:r>
      <w:r>
        <w:t xml:space="preserve">for operating a dog fighting operation (forfeiture of both his </w:t>
      </w:r>
      <w:r w:rsidRPr="00531C02">
        <w:t>real</w:t>
      </w:r>
      <w:r>
        <w:t xml:space="preserve"> estate </w:t>
      </w:r>
      <w:r w:rsidRPr="00531C02">
        <w:t xml:space="preserve">property, </w:t>
      </w:r>
      <w:r>
        <w:t xml:space="preserve">and </w:t>
      </w:r>
      <w:r w:rsidRPr="00531C02">
        <w:t>two rifles, a shotgun, a handgun,</w:t>
      </w:r>
      <w:r>
        <w:t xml:space="preserve"> </w:t>
      </w:r>
      <w:r w:rsidRPr="00531C02">
        <w:t>ammunition, and cash</w:t>
      </w:r>
      <w:r>
        <w:t xml:space="preserve">).  </w:t>
      </w:r>
      <w:r w:rsidRPr="00BF3969">
        <w:t xml:space="preserve"> </w:t>
      </w:r>
    </w:p>
    <w:p w14:paraId="6933EB67" w14:textId="77777777" w:rsidR="005142F0" w:rsidRDefault="005142F0" w:rsidP="005142F0">
      <w:pPr>
        <w:pStyle w:val="NoSpacing"/>
        <w:rPr>
          <w:bCs/>
        </w:rPr>
      </w:pPr>
    </w:p>
    <w:p w14:paraId="07DAAE08" w14:textId="77777777" w:rsidR="005142F0" w:rsidRPr="00F17116" w:rsidRDefault="005142F0" w:rsidP="005142F0">
      <w:pPr>
        <w:pStyle w:val="NoSpacing"/>
        <w:rPr>
          <w:bCs/>
        </w:rPr>
      </w:pPr>
      <w:r w:rsidRPr="00913B5B">
        <w:rPr>
          <w:b/>
        </w:rPr>
        <w:t>THE COURT HELD</w:t>
      </w:r>
      <w:r>
        <w:t>:  “A</w:t>
      </w:r>
      <w:r w:rsidRPr="005076D5">
        <w:t>s a threshold matter, we assume without deciding that the drone flight that</w:t>
      </w:r>
      <w:r>
        <w:t xml:space="preserve"> </w:t>
      </w:r>
      <w:r w:rsidRPr="005076D5">
        <w:t>observed Bradford’s property was an unauthorized search without a warrant.</w:t>
      </w:r>
      <w:r>
        <w:t xml:space="preserve"> </w:t>
      </w:r>
      <w:proofErr w:type="gramStart"/>
      <w:r w:rsidRPr="005076D5">
        <w:t>So</w:t>
      </w:r>
      <w:proofErr w:type="gramEnd"/>
      <w:r w:rsidRPr="005076D5">
        <w:t xml:space="preserve"> the</w:t>
      </w:r>
      <w:r>
        <w:t xml:space="preserve"> </w:t>
      </w:r>
      <w:r w:rsidRPr="005076D5">
        <w:t xml:space="preserve">question before us is whether the warrant that authorized the search </w:t>
      </w:r>
      <w:proofErr w:type="gramStart"/>
      <w:r w:rsidRPr="005076D5">
        <w:t>of</w:t>
      </w:r>
      <w:proofErr w:type="gramEnd"/>
      <w:r w:rsidRPr="005076D5">
        <w:t xml:space="preserve"> Bradford’s</w:t>
      </w:r>
      <w:r>
        <w:t xml:space="preserve"> </w:t>
      </w:r>
      <w:r w:rsidRPr="005076D5">
        <w:t>home was based on an independent source of probable cause, such that the warrant</w:t>
      </w:r>
      <w:r>
        <w:t xml:space="preserve"> </w:t>
      </w:r>
      <w:r w:rsidRPr="005076D5">
        <w:t>was not derived from the drone flight.</w:t>
      </w:r>
      <w:r>
        <w:t xml:space="preserve"> *** T</w:t>
      </w:r>
      <w:r w:rsidRPr="00EC56C1">
        <w:t>hus, the warrant affidavit did not mention the drone flight or any information</w:t>
      </w:r>
      <w:r>
        <w:t xml:space="preserve"> </w:t>
      </w:r>
      <w:r w:rsidRPr="00EC56C1">
        <w:t>gleaned from the drone flight. The warrant affidavit merely described the scene</w:t>
      </w:r>
      <w:r>
        <w:t xml:space="preserve"> </w:t>
      </w:r>
      <w:r w:rsidRPr="00EC56C1">
        <w:t>encountered by the investigator and code enforcement officer during their in-person</w:t>
      </w:r>
      <w:r>
        <w:t xml:space="preserve"> </w:t>
      </w:r>
      <w:r w:rsidRPr="00EC56C1">
        <w:t>visit to Bradford’s residence a week later. That information, which was not</w:t>
      </w:r>
      <w:r>
        <w:t xml:space="preserve"> </w:t>
      </w:r>
      <w:r w:rsidRPr="00EC56C1">
        <w:t>discernable from the drone flight, presented evidence of animal cruelty</w:t>
      </w:r>
      <w:r>
        <w:t xml:space="preserve"> </w:t>
      </w:r>
      <w:r w:rsidRPr="00EC56C1">
        <w:t>and illegal</w:t>
      </w:r>
      <w:r>
        <w:t xml:space="preserve"> </w:t>
      </w:r>
      <w:r w:rsidRPr="00ED078F">
        <w:t>dogfighting, which provided probable cause to issue a warrant to investigate those</w:t>
      </w:r>
      <w:r>
        <w:t xml:space="preserve"> </w:t>
      </w:r>
      <w:r w:rsidRPr="00ED078F">
        <w:t>activities</w:t>
      </w:r>
      <w:r>
        <w:t xml:space="preserve">.” </w:t>
      </w:r>
      <w:hyperlink r:id="rId61" w:history="1">
        <w:r w:rsidRPr="006F63BB">
          <w:rPr>
            <w:rStyle w:val="Hyperlink"/>
          </w:rPr>
          <w:t>https://cases.justia.com/georgia/court-of-appeals/2025-a25a0954.pdf?ts=1758208974</w:t>
        </w:r>
      </w:hyperlink>
      <w:r>
        <w:t xml:space="preserve"> </w:t>
      </w:r>
    </w:p>
    <w:p w14:paraId="6B5313B0" w14:textId="77777777" w:rsidR="005142F0" w:rsidRDefault="005142F0" w:rsidP="005142F0">
      <w:pPr>
        <w:pStyle w:val="NoSpacing"/>
        <w:rPr>
          <w:bCs/>
        </w:rPr>
      </w:pPr>
    </w:p>
    <w:p w14:paraId="6D273C46" w14:textId="77777777" w:rsidR="005142F0" w:rsidRPr="00913B5B" w:rsidRDefault="005142F0" w:rsidP="005142F0">
      <w:pPr>
        <w:pStyle w:val="NoSpacing"/>
        <w:rPr>
          <w:b/>
        </w:rPr>
      </w:pPr>
      <w:r w:rsidRPr="00913B5B">
        <w:rPr>
          <w:b/>
        </w:rPr>
        <w:t xml:space="preserve">KEY FACTS: </w:t>
      </w:r>
    </w:p>
    <w:p w14:paraId="154034A8" w14:textId="77777777" w:rsidR="005142F0" w:rsidRDefault="005142F0" w:rsidP="005142F0">
      <w:pPr>
        <w:pStyle w:val="NoSpacing"/>
        <w:rPr>
          <w:bCs/>
        </w:rPr>
      </w:pPr>
    </w:p>
    <w:p w14:paraId="5B30C1CF" w14:textId="77777777" w:rsidR="005142F0" w:rsidRDefault="005142F0" w:rsidP="005142F0">
      <w:pPr>
        <w:pStyle w:val="NoSpacing"/>
        <w:ind w:left="720"/>
        <w:rPr>
          <w:bCs/>
        </w:rPr>
      </w:pPr>
      <w:r>
        <w:t>“[T]</w:t>
      </w:r>
      <w:r w:rsidRPr="00FA0DEF">
        <w:t>he record shows that on February 15, 2024, a Mitchell County</w:t>
      </w:r>
      <w:r>
        <w:t xml:space="preserve"> </w:t>
      </w:r>
      <w:r w:rsidRPr="00FA0DEF">
        <w:t>Sheriff’s Department investigator received a call from the sheriff, who had received</w:t>
      </w:r>
      <w:r>
        <w:t xml:space="preserve"> </w:t>
      </w:r>
      <w:r w:rsidRPr="00FA0DEF">
        <w:t xml:space="preserve">a call from a </w:t>
      </w:r>
      <w:r>
        <w:t>‘</w:t>
      </w:r>
      <w:r w:rsidRPr="00FA0DEF">
        <w:t>concerned citizen.</w:t>
      </w:r>
      <w:r>
        <w:t>’</w:t>
      </w:r>
      <w:r w:rsidRPr="00FA0DEF">
        <w:t xml:space="preserve"> The caller reported a noise complaint due to a large</w:t>
      </w:r>
      <w:r>
        <w:t xml:space="preserve"> </w:t>
      </w:r>
      <w:r w:rsidRPr="00FA0DEF">
        <w:t>group of dogs constantly barking at a property on Pinewood Lane. Approximately</w:t>
      </w:r>
      <w:r>
        <w:t xml:space="preserve"> </w:t>
      </w:r>
      <w:r w:rsidRPr="00FA0DEF">
        <w:t>seven residences are located along the road, and based on the call, the investigator</w:t>
      </w:r>
      <w:r>
        <w:t xml:space="preserve"> ‘</w:t>
      </w:r>
      <w:r w:rsidRPr="00FA0DEF">
        <w:t>went and met with a guy that lives right down the road and got permission to get on</w:t>
      </w:r>
      <w:r>
        <w:t xml:space="preserve"> </w:t>
      </w:r>
      <w:r w:rsidRPr="00FA0DEF">
        <w:t>his property. [The investigator] flew [a] drone over the tree line of the property and</w:t>
      </w:r>
      <w:r>
        <w:t xml:space="preserve"> </w:t>
      </w:r>
      <w:r w:rsidRPr="00FA0DEF">
        <w:t xml:space="preserve">observed a large </w:t>
      </w:r>
      <w:proofErr w:type="gramStart"/>
      <w:r w:rsidRPr="00FA0DEF">
        <w:t>amount</w:t>
      </w:r>
      <w:proofErr w:type="gramEnd"/>
      <w:r w:rsidRPr="00FA0DEF">
        <w:t xml:space="preserve"> of dogs in a wooded area in the back of the residence” at 600</w:t>
      </w:r>
      <w:r>
        <w:t xml:space="preserve"> </w:t>
      </w:r>
      <w:r w:rsidRPr="00FA0DEF">
        <w:t>Pinewood Lane, where Bradford lives. Using the drone’s camera, the investigator saw</w:t>
      </w:r>
      <w:r>
        <w:t xml:space="preserve"> ‘</w:t>
      </w:r>
      <w:r w:rsidRPr="00FA0DEF">
        <w:t>approximately 40 to 50</w:t>
      </w:r>
      <w:r>
        <w:t>’</w:t>
      </w:r>
      <w:r w:rsidRPr="00FA0DEF">
        <w:t xml:space="preserve"> dogs on the property. He </w:t>
      </w:r>
      <w:proofErr w:type="gramStart"/>
      <w:r w:rsidRPr="00FA0DEF">
        <w:t>was not able to</w:t>
      </w:r>
      <w:proofErr w:type="gramEnd"/>
      <w:r w:rsidRPr="00FA0DEF">
        <w:t xml:space="preserve"> discern their</w:t>
      </w:r>
      <w:r>
        <w:t xml:space="preserve"> </w:t>
      </w:r>
      <w:r w:rsidRPr="00FA0DEF">
        <w:t>condition, and he pursued no further investigation or criminal action at that time.</w:t>
      </w:r>
    </w:p>
    <w:p w14:paraId="7888058D" w14:textId="77777777" w:rsidR="005142F0" w:rsidRDefault="005142F0" w:rsidP="005142F0">
      <w:pPr>
        <w:pStyle w:val="NoSpacing"/>
        <w:ind w:left="720"/>
        <w:rPr>
          <w:bCs/>
        </w:rPr>
      </w:pPr>
    </w:p>
    <w:p w14:paraId="1549ECE2" w14:textId="77777777" w:rsidR="005142F0" w:rsidRDefault="005142F0" w:rsidP="005142F0">
      <w:pPr>
        <w:pStyle w:val="NoSpacing"/>
        <w:ind w:left="720"/>
        <w:rPr>
          <w:bCs/>
        </w:rPr>
      </w:pPr>
      <w:r w:rsidRPr="00DA2CA3">
        <w:t>A week later, on February 22, 2024, the sheriff received a second call from a</w:t>
      </w:r>
      <w:r>
        <w:t xml:space="preserve"> </w:t>
      </w:r>
      <w:r w:rsidRPr="00DA2CA3">
        <w:t xml:space="preserve">neighbor on the same street stating that </w:t>
      </w:r>
      <w:r>
        <w:t>‘</w:t>
      </w:r>
      <w:r w:rsidRPr="00DA2CA3">
        <w:t>one of the dogs had gotten loose and come</w:t>
      </w:r>
      <w:r>
        <w:t xml:space="preserve"> </w:t>
      </w:r>
      <w:r w:rsidRPr="00DA2CA3">
        <w:t>up to their property and he looked malnourished.</w:t>
      </w:r>
      <w:r>
        <w:t xml:space="preserve">’ </w:t>
      </w:r>
      <w:r w:rsidRPr="00DA2CA3">
        <w:t xml:space="preserve"> Based on </w:t>
      </w:r>
      <w:r w:rsidRPr="00DA2CA3">
        <w:lastRenderedPageBreak/>
        <w:t>this, the investigator</w:t>
      </w:r>
      <w:r>
        <w:t xml:space="preserve"> </w:t>
      </w:r>
      <w:r w:rsidRPr="00DA2CA3">
        <w:t>contacted the county code enforcement officer to conduct a welfare check regarding</w:t>
      </w:r>
      <w:r>
        <w:t xml:space="preserve"> </w:t>
      </w:r>
      <w:r w:rsidRPr="00DA2CA3">
        <w:t xml:space="preserve">the loose dog. The investigator testified </w:t>
      </w:r>
      <w:proofErr w:type="gramStart"/>
      <w:r w:rsidRPr="00DA2CA3">
        <w:t xml:space="preserve">that, </w:t>
      </w:r>
      <w:r>
        <w:t>‘</w:t>
      </w:r>
      <w:proofErr w:type="gramEnd"/>
      <w:r w:rsidRPr="00DA2CA3">
        <w:t>when we rode down [Pinewood Lane],</w:t>
      </w:r>
      <w:r>
        <w:t xml:space="preserve"> </w:t>
      </w:r>
      <w:r w:rsidRPr="00DA2CA3">
        <w:t>we didn’t observe any dogs at any of the other residences until we got to the end and</w:t>
      </w:r>
      <w:r>
        <w:t xml:space="preserve"> </w:t>
      </w:r>
      <w:r w:rsidRPr="00632369">
        <w:t>observed</w:t>
      </w:r>
      <w:r>
        <w:t>’</w:t>
      </w:r>
      <w:r w:rsidRPr="00632369">
        <w:t xml:space="preserve"> two dogs in the front yard of Bradford’s property. The two dogs were</w:t>
      </w:r>
      <w:r>
        <w:t xml:space="preserve"> </w:t>
      </w:r>
      <w:r w:rsidRPr="00632369">
        <w:t xml:space="preserve">visible from the road, and one dog was confined in a small cage </w:t>
      </w:r>
      <w:proofErr w:type="gramStart"/>
      <w:r w:rsidRPr="00632369">
        <w:t>similar to</w:t>
      </w:r>
      <w:proofErr w:type="gramEnd"/>
      <w:r w:rsidRPr="00632369">
        <w:t xml:space="preserve"> a rabbit cage,</w:t>
      </w:r>
      <w:r>
        <w:t xml:space="preserve"> </w:t>
      </w:r>
      <w:r w:rsidRPr="00632369">
        <w:t xml:space="preserve">and the other dog was attached to a heavy logging chain. The caged dog was </w:t>
      </w:r>
      <w:r>
        <w:t>‘</w:t>
      </w:r>
      <w:r w:rsidRPr="00632369">
        <w:t>almost</w:t>
      </w:r>
      <w:r>
        <w:t xml:space="preserve"> </w:t>
      </w:r>
      <w:r w:rsidRPr="00632369">
        <w:t>bigger than the cage it was in,</w:t>
      </w:r>
      <w:r>
        <w:t>’</w:t>
      </w:r>
      <w:r w:rsidRPr="00632369">
        <w:t xml:space="preserve"> such that its confinement appeared inhumane. Also</w:t>
      </w:r>
      <w:r>
        <w:t xml:space="preserve"> </w:t>
      </w:r>
      <w:r w:rsidRPr="00632369">
        <w:t xml:space="preserve">audible from the road was the sound of </w:t>
      </w:r>
      <w:proofErr w:type="gramStart"/>
      <w:r w:rsidRPr="00632369">
        <w:t>a large number of</w:t>
      </w:r>
      <w:proofErr w:type="gramEnd"/>
      <w:r w:rsidRPr="00632369">
        <w:t xml:space="preserve"> dogs barking from the back</w:t>
      </w:r>
      <w:r>
        <w:t xml:space="preserve"> </w:t>
      </w:r>
      <w:r w:rsidRPr="00632369">
        <w:t>of Bradford’s property.</w:t>
      </w:r>
    </w:p>
    <w:p w14:paraId="50115AEA" w14:textId="77777777" w:rsidR="005142F0" w:rsidRDefault="005142F0" w:rsidP="005142F0">
      <w:pPr>
        <w:pStyle w:val="NoSpacing"/>
        <w:ind w:left="720"/>
        <w:rPr>
          <w:bCs/>
        </w:rPr>
      </w:pPr>
    </w:p>
    <w:p w14:paraId="44D9A16B" w14:textId="77777777" w:rsidR="005142F0" w:rsidRDefault="005142F0" w:rsidP="005142F0">
      <w:pPr>
        <w:pStyle w:val="NoSpacing"/>
        <w:ind w:left="720"/>
        <w:rPr>
          <w:bCs/>
        </w:rPr>
      </w:pPr>
      <w:r>
        <w:t>***</w:t>
      </w:r>
    </w:p>
    <w:p w14:paraId="6C125A9D" w14:textId="77777777" w:rsidR="005142F0" w:rsidRDefault="005142F0" w:rsidP="005142F0">
      <w:pPr>
        <w:pStyle w:val="NoSpacing"/>
        <w:ind w:left="720"/>
        <w:rPr>
          <w:bCs/>
        </w:rPr>
      </w:pPr>
      <w:proofErr w:type="gramStart"/>
      <w:r w:rsidRPr="0079581D">
        <w:t>In light of</w:t>
      </w:r>
      <w:proofErr w:type="gramEnd"/>
      <w:r w:rsidRPr="0079581D">
        <w:t xml:space="preserve"> the grim scene, the investigator determined that he would seek a</w:t>
      </w:r>
      <w:r>
        <w:t xml:space="preserve"> </w:t>
      </w:r>
      <w:r w:rsidRPr="0079581D">
        <w:t>warrant to search for evidence of crimes pertaining to animal cruelty. After obtaining</w:t>
      </w:r>
      <w:r>
        <w:t xml:space="preserve"> </w:t>
      </w:r>
      <w:r w:rsidRPr="0079581D">
        <w:t>the search warrant, police discovered contraband leading to Bradford’s indictment for</w:t>
      </w:r>
      <w:r>
        <w:t xml:space="preserve"> </w:t>
      </w:r>
      <w:r w:rsidRPr="0079581D">
        <w:t>drug crimes, dog fighting, cruelty to animals, firearm violations, and commercial</w:t>
      </w:r>
      <w:r>
        <w:t xml:space="preserve"> </w:t>
      </w:r>
      <w:r w:rsidRPr="0079581D">
        <w:t>gambling, as well as the forfeiture of property involved in this appeal.</w:t>
      </w:r>
      <w:r>
        <w:t>”</w:t>
      </w:r>
    </w:p>
    <w:p w14:paraId="172B2396" w14:textId="77777777" w:rsidR="005142F0" w:rsidRPr="000506B0" w:rsidRDefault="005142F0" w:rsidP="005142F0">
      <w:pPr>
        <w:pStyle w:val="NoSpacing"/>
      </w:pPr>
    </w:p>
    <w:p w14:paraId="6D00F05B" w14:textId="77777777" w:rsidR="005142F0" w:rsidRDefault="005142F0" w:rsidP="005142F0">
      <w:pPr>
        <w:pStyle w:val="NoSpacing"/>
        <w:rPr>
          <w:b/>
          <w:bCs/>
        </w:rPr>
      </w:pPr>
      <w:r>
        <w:rPr>
          <w:b/>
        </w:rPr>
        <w:t>Legal lesson learned:  When using a drone for code enforcement, avoid flying over target property until search warrant is obtained.</w:t>
      </w:r>
    </w:p>
    <w:p w14:paraId="5811BC1B" w14:textId="77777777" w:rsidR="005142F0" w:rsidRDefault="005142F0" w:rsidP="005142F0">
      <w:pPr>
        <w:pStyle w:val="NoSpacing"/>
        <w:rPr>
          <w:b/>
          <w:bCs/>
        </w:rPr>
      </w:pPr>
      <w:r>
        <w:rPr>
          <w:b/>
        </w:rPr>
        <w:tab/>
      </w:r>
    </w:p>
    <w:p w14:paraId="3B6A4B20" w14:textId="77777777" w:rsidR="005142F0" w:rsidRDefault="005142F0" w:rsidP="005142F0">
      <w:pPr>
        <w:pStyle w:val="NoSpacing"/>
        <w:ind w:left="720"/>
      </w:pPr>
      <w:r w:rsidRPr="00826E91">
        <w:t xml:space="preserve">Note: </w:t>
      </w:r>
      <w:r w:rsidRPr="008D2B93">
        <w:t>See also see this</w:t>
      </w:r>
      <w:r>
        <w:t xml:space="preserve"> April 17, </w:t>
      </w:r>
      <w:proofErr w:type="gramStart"/>
      <w:r>
        <w:t>2025</w:t>
      </w:r>
      <w:proofErr w:type="gramEnd"/>
      <w:r>
        <w:t xml:space="preserve"> Illinois decision </w:t>
      </w:r>
      <w:r w:rsidRPr="008D2B93">
        <w:t xml:space="preserve">where Sheriff </w:t>
      </w:r>
      <w:r>
        <w:t xml:space="preserve">wisely </w:t>
      </w:r>
      <w:r w:rsidRPr="008D2B93">
        <w:t xml:space="preserve">obtained search warrant </w:t>
      </w:r>
      <w:r>
        <w:t xml:space="preserve">to use a </w:t>
      </w:r>
      <w:r w:rsidRPr="008D2B93">
        <w:t xml:space="preserve">drone to </w:t>
      </w:r>
      <w:r>
        <w:t xml:space="preserve">film run down </w:t>
      </w:r>
      <w:r w:rsidRPr="008D2B93">
        <w:t>hotel</w:t>
      </w:r>
      <w:r>
        <w:t xml:space="preserve"> to support condemnation. </w:t>
      </w:r>
    </w:p>
    <w:p w14:paraId="77D0D301" w14:textId="77777777" w:rsidR="005142F0" w:rsidRPr="008D2B93" w:rsidRDefault="005142F0" w:rsidP="005142F0">
      <w:pPr>
        <w:ind w:left="720"/>
      </w:pPr>
      <w:r>
        <w:t xml:space="preserve">“On July 24, 2023, with judicial approval, the Winnebago County Sheriff’s Office used a drone to make a video of the Hotel. At trial, as the video was played, Henthorn pointed out to the circuit court the vandalized entryway, water damage and mildew on the walls and ceiling, the nonfunctioning plumbing, the lack of electrical service, and the unsecured and vacant condition of the Hotel.”  </w:t>
      </w:r>
      <w:r w:rsidRPr="001116F2">
        <w:rPr>
          <w:u w:val="single"/>
        </w:rPr>
        <w:t>The City of South Beloit, Illinois v. The New Chapter Group, et al</w:t>
      </w:r>
      <w:r>
        <w:t xml:space="preserve">., Appellate Court of Illinois. April 17, 2025. </w:t>
      </w:r>
      <w:hyperlink r:id="rId62" w:history="1">
        <w:r w:rsidRPr="005A0008">
          <w:rPr>
            <w:rStyle w:val="Hyperlink"/>
          </w:rPr>
          <w:t>https://legal.iml.org/file.cfm?key=29946</w:t>
        </w:r>
      </w:hyperlink>
      <w:r>
        <w:t xml:space="preserve"> </w:t>
      </w:r>
    </w:p>
    <w:p w14:paraId="0EDC12B0" w14:textId="60821484" w:rsidR="00037CB8" w:rsidRPr="00E24913" w:rsidRDefault="00037CB8" w:rsidP="00037CB8">
      <w:pPr>
        <w:pStyle w:val="NoSpacing"/>
        <w:rPr>
          <w:rFonts w:ascii="Arial Black" w:hAnsi="Arial Black"/>
          <w:sz w:val="24"/>
          <w:szCs w:val="24"/>
        </w:rPr>
      </w:pPr>
      <w:r w:rsidRPr="00E24913">
        <w:rPr>
          <w:rFonts w:ascii="Arial Black" w:hAnsi="Arial Black"/>
          <w:sz w:val="24"/>
          <w:szCs w:val="24"/>
        </w:rPr>
        <w:t>1-1</w:t>
      </w:r>
      <w:r>
        <w:rPr>
          <w:rFonts w:ascii="Arial Black" w:hAnsi="Arial Black"/>
          <w:sz w:val="24"/>
          <w:szCs w:val="24"/>
        </w:rPr>
        <w:t>91</w:t>
      </w:r>
    </w:p>
    <w:p w14:paraId="213BB90A" w14:textId="77777777" w:rsidR="005142F0" w:rsidRPr="00306696" w:rsidRDefault="005142F0" w:rsidP="00037CB8">
      <w:pPr>
        <w:pStyle w:val="NoSpacing"/>
      </w:pPr>
    </w:p>
    <w:p w14:paraId="104D090D" w14:textId="77777777" w:rsidR="001F3C9E" w:rsidRDefault="001F3C9E" w:rsidP="001F3C9E">
      <w:pPr>
        <w:rPr>
          <w:rFonts w:ascii="Arial Black" w:hAnsi="Arial Black"/>
          <w:b/>
          <w:sz w:val="28"/>
          <w:szCs w:val="28"/>
        </w:rPr>
      </w:pPr>
      <w:r>
        <w:rPr>
          <w:rFonts w:ascii="Arial Black" w:hAnsi="Arial Black"/>
          <w:b/>
          <w:sz w:val="28"/>
          <w:szCs w:val="28"/>
        </w:rPr>
        <w:t>OH: LIQUOR LICENSE NOT RENEWED – FD / PD TESTIMONY</w:t>
      </w:r>
    </w:p>
    <w:p w14:paraId="7660F6F6" w14:textId="77777777" w:rsidR="001F3C9E" w:rsidRDefault="001F3C9E" w:rsidP="001F3C9E">
      <w:pPr>
        <w:pStyle w:val="NoSpacing"/>
        <w:rPr>
          <w:bCs/>
        </w:rPr>
      </w:pPr>
      <w:r w:rsidRPr="001C15AB">
        <w:t xml:space="preserve">On September 12, </w:t>
      </w:r>
      <w:proofErr w:type="gramStart"/>
      <w:r w:rsidRPr="001C15AB">
        <w:t>2025</w:t>
      </w:r>
      <w:proofErr w:type="gramEnd"/>
      <w:r w:rsidRPr="001C15AB">
        <w:t xml:space="preserve"> in </w:t>
      </w:r>
      <w:r w:rsidRPr="001C15AB">
        <w:rPr>
          <w:u w:val="single"/>
        </w:rPr>
        <w:t>City of Sharonville v. Ohio Liquor Control Commission, et al</w:t>
      </w:r>
      <w:r w:rsidRPr="001C15AB">
        <w:t xml:space="preserve">., </w:t>
      </w:r>
      <w:r>
        <w:t xml:space="preserve">the </w:t>
      </w:r>
      <w:r w:rsidRPr="00862D06">
        <w:t>Court of Appeals of Ohio, Tenth District</w:t>
      </w:r>
      <w:r>
        <w:t xml:space="preserve"> held (2 to 1) that trial court judge, after testimony from Acting Fire Chief and Police Chief, properly reversed the Commission and liquor license of the “Cove 51” bar was not renewed.  </w:t>
      </w:r>
    </w:p>
    <w:p w14:paraId="00EF20E6" w14:textId="77777777" w:rsidR="001F3C9E" w:rsidRDefault="001F3C9E" w:rsidP="001F3C9E">
      <w:pPr>
        <w:pStyle w:val="NoSpacing"/>
        <w:rPr>
          <w:bCs/>
        </w:rPr>
      </w:pPr>
    </w:p>
    <w:p w14:paraId="70CDCFD3" w14:textId="77777777" w:rsidR="001F3C9E" w:rsidRDefault="001F3C9E" w:rsidP="001F3C9E">
      <w:pPr>
        <w:pStyle w:val="NoSpacing"/>
        <w:rPr>
          <w:bCs/>
        </w:rPr>
      </w:pPr>
      <w:r w:rsidRPr="005A464F">
        <w:rPr>
          <w:b/>
        </w:rPr>
        <w:t>THE COURT HELD:</w:t>
      </w:r>
      <w:r>
        <w:t xml:space="preserve"> “</w:t>
      </w:r>
      <w:r w:rsidRPr="001D46D4">
        <w:t xml:space="preserve">The Sharonville Fire Department’s Acting Chief </w:t>
      </w:r>
      <w:r>
        <w:t xml:space="preserve">[John Mackey] </w:t>
      </w:r>
      <w:r w:rsidRPr="001D46D4">
        <w:t>testified that the operation of</w:t>
      </w:r>
      <w:r>
        <w:t xml:space="preserve"> </w:t>
      </w:r>
      <w:r w:rsidRPr="001D46D4">
        <w:t>Cove 51 had substantially affected the delivery of emergency services to the business. The</w:t>
      </w:r>
      <w:r>
        <w:t xml:space="preserve"> </w:t>
      </w:r>
      <w:r w:rsidRPr="001D46D4">
        <w:t xml:space="preserve">parking lot was frequently overcrowded and difficult to navigate, and patrons </w:t>
      </w:r>
      <w:proofErr w:type="gramStart"/>
      <w:r w:rsidRPr="001D46D4">
        <w:t>have</w:t>
      </w:r>
      <w:r>
        <w:t xml:space="preserve"> </w:t>
      </w:r>
      <w:r w:rsidRPr="001D46D4">
        <w:t>confronted</w:t>
      </w:r>
      <w:proofErr w:type="gramEnd"/>
      <w:r w:rsidRPr="001D46D4">
        <w:t xml:space="preserve"> EMS teams with weapons while they were treating patients. As a result, EMS</w:t>
      </w:r>
      <w:r>
        <w:t xml:space="preserve"> </w:t>
      </w:r>
      <w:r w:rsidRPr="001D46D4">
        <w:t>personnel have been required to wear ballistic vests when responding to the area, and have</w:t>
      </w:r>
      <w:r>
        <w:t xml:space="preserve"> </w:t>
      </w:r>
      <w:r w:rsidRPr="001D46D4">
        <w:t>been instructed to transport patients away from the area for any treatment</w:t>
      </w:r>
      <w:r>
        <w:t>….</w:t>
      </w:r>
      <w:r w:rsidRPr="001D46D4">
        <w:t>Further,</w:t>
      </w:r>
      <w:r>
        <w:t xml:space="preserve"> </w:t>
      </w:r>
      <w:r w:rsidRPr="001D46D4">
        <w:t>the operations commander of the Sharonville Police Department testified about numerous</w:t>
      </w:r>
      <w:r>
        <w:t xml:space="preserve"> </w:t>
      </w:r>
      <w:r w:rsidRPr="001D46D4">
        <w:t>incidents requiring police intervention traceable to Cove 51, including 118 documented calls</w:t>
      </w:r>
      <w:r>
        <w:t xml:space="preserve"> </w:t>
      </w:r>
      <w:r w:rsidRPr="001D46D4">
        <w:t>and 43 calls over the course of a single year, including assaults, shots fired incidents, thefts,</w:t>
      </w:r>
      <w:r>
        <w:t xml:space="preserve"> </w:t>
      </w:r>
      <w:r w:rsidRPr="001D46D4">
        <w:t>trouble runs, criminal damaging, and disruption of other area businesses.</w:t>
      </w:r>
      <w:r>
        <w:t xml:space="preserve"> *** Chief Mackey’s testimony as stated above also shows that Cove’s patrons’ conduct has also had a significant impact on the City’s fire department not only for runs to Cove, but to all calls on Chester Road. *** The [trial] court’s review of the facts is very thorough and completely reasonable, and its partial reversal of the OLCC’s decision is appropriate on these facts. And given our own limited standard of review, we cannot conclude that review of the facts and partial reversal constitutes an abuse of the common pleas court’s discretion.” </w:t>
      </w:r>
      <w:hyperlink r:id="rId63" w:history="1">
        <w:r w:rsidRPr="00854CEF">
          <w:rPr>
            <w:rStyle w:val="Hyperlink"/>
            <w:b/>
          </w:rPr>
          <w:t>https://cases.justia.com/ohio/tenth-district-court-of-appeals/2025-24ap-255.pdf?ts=1757620491</w:t>
        </w:r>
      </w:hyperlink>
    </w:p>
    <w:p w14:paraId="22AABB4E" w14:textId="77777777" w:rsidR="001F3C9E" w:rsidRDefault="001F3C9E" w:rsidP="001F3C9E">
      <w:pPr>
        <w:pStyle w:val="NoSpacing"/>
        <w:rPr>
          <w:bCs/>
        </w:rPr>
      </w:pPr>
    </w:p>
    <w:p w14:paraId="0AE062B3" w14:textId="77777777" w:rsidR="001F3C9E" w:rsidRPr="005A464F" w:rsidRDefault="001F3C9E" w:rsidP="001F3C9E">
      <w:pPr>
        <w:pStyle w:val="NoSpacing"/>
        <w:rPr>
          <w:b/>
        </w:rPr>
      </w:pPr>
      <w:r w:rsidRPr="005A464F">
        <w:rPr>
          <w:b/>
        </w:rPr>
        <w:t>KEY FACTS:</w:t>
      </w:r>
    </w:p>
    <w:p w14:paraId="5D372BD1" w14:textId="77777777" w:rsidR="001F3C9E" w:rsidRDefault="001F3C9E" w:rsidP="001F3C9E">
      <w:pPr>
        <w:pStyle w:val="NoSpacing"/>
        <w:rPr>
          <w:bCs/>
        </w:rPr>
      </w:pPr>
    </w:p>
    <w:p w14:paraId="2898D302" w14:textId="77777777" w:rsidR="001F3C9E" w:rsidRPr="00DC61C4" w:rsidRDefault="001F3C9E" w:rsidP="001F3C9E">
      <w:pPr>
        <w:pStyle w:val="NoSpacing"/>
        <w:ind w:left="720"/>
        <w:rPr>
          <w:bCs/>
        </w:rPr>
      </w:pPr>
      <w:r>
        <w:lastRenderedPageBreak/>
        <w:t>“</w:t>
      </w:r>
      <w:r w:rsidRPr="00DC61C4">
        <w:t>On May 25, 2021, Sharonville’s City Council adopted an emergency</w:t>
      </w:r>
      <w:r>
        <w:t xml:space="preserve"> </w:t>
      </w:r>
      <w:r w:rsidRPr="00DC61C4">
        <w:t xml:space="preserve">resolution stating its position that </w:t>
      </w:r>
      <w:r>
        <w:t>‘</w:t>
      </w:r>
      <w:r w:rsidRPr="00DC61C4">
        <w:t xml:space="preserve">the liquor permit issued to Elizabeth </w:t>
      </w:r>
      <w:proofErr w:type="spellStart"/>
      <w:r w:rsidRPr="00DC61C4">
        <w:t>Iloegbunam</w:t>
      </w:r>
      <w:proofErr w:type="spellEnd"/>
      <w:r w:rsidRPr="00DC61C4">
        <w:t xml:space="preserve"> for</w:t>
      </w:r>
      <w:r>
        <w:t xml:space="preserve"> </w:t>
      </w:r>
      <w:r w:rsidRPr="00DC61C4">
        <w:t>Klass Entertainment, dba Cove 51, should not be renewed,</w:t>
      </w:r>
      <w:r>
        <w:t xml:space="preserve">’ </w:t>
      </w:r>
      <w:r w:rsidRPr="00DC61C4">
        <w:t xml:space="preserve">and requested a hearing </w:t>
      </w:r>
      <w:r>
        <w:t>‘</w:t>
      </w:r>
      <w:r w:rsidRPr="00DC61C4">
        <w:t>before</w:t>
      </w:r>
    </w:p>
    <w:p w14:paraId="09E3C4A7" w14:textId="77777777" w:rsidR="001F3C9E" w:rsidRDefault="001F3C9E" w:rsidP="001F3C9E">
      <w:pPr>
        <w:pStyle w:val="NoSpacing"/>
        <w:ind w:left="720"/>
        <w:rPr>
          <w:bCs/>
        </w:rPr>
      </w:pPr>
      <w:r w:rsidRPr="00DC61C4">
        <w:t>the Ohio Department of Liquor Control [sic] to prove the authenticity of these findings and</w:t>
      </w:r>
      <w:r>
        <w:t xml:space="preserve"> </w:t>
      </w:r>
      <w:r w:rsidRPr="00DC61C4">
        <w:t>to document the fact that the liquor permit should be cancelled.</w:t>
      </w:r>
      <w:r>
        <w:t>’</w:t>
      </w:r>
    </w:p>
    <w:p w14:paraId="01FBF4BE" w14:textId="77777777" w:rsidR="001F3C9E" w:rsidRDefault="001F3C9E" w:rsidP="001F3C9E">
      <w:pPr>
        <w:pStyle w:val="NoSpacing"/>
        <w:ind w:left="720"/>
        <w:rPr>
          <w:bCs/>
        </w:rPr>
      </w:pPr>
    </w:p>
    <w:p w14:paraId="39E8C7BC" w14:textId="77777777" w:rsidR="001F3C9E" w:rsidRDefault="001F3C9E" w:rsidP="001F3C9E">
      <w:pPr>
        <w:pStyle w:val="NoSpacing"/>
        <w:ind w:left="720"/>
        <w:rPr>
          <w:bCs/>
        </w:rPr>
      </w:pPr>
      <w:r>
        <w:t>***</w:t>
      </w:r>
    </w:p>
    <w:p w14:paraId="32433F4E" w14:textId="77777777" w:rsidR="001F3C9E" w:rsidRPr="00C17172" w:rsidRDefault="001F3C9E" w:rsidP="001F3C9E">
      <w:pPr>
        <w:pStyle w:val="NoSpacing"/>
        <w:ind w:left="720"/>
        <w:rPr>
          <w:bCs/>
        </w:rPr>
      </w:pPr>
      <w:r w:rsidRPr="00C17172">
        <w:t>The denial was supported by extensive evidence, both regarding the nature</w:t>
      </w:r>
      <w:r>
        <w:t xml:space="preserve"> </w:t>
      </w:r>
      <w:r w:rsidRPr="00C17172">
        <w:t>of the neighborhood where Cove 51 is located and of the incidents with public safety and</w:t>
      </w:r>
    </w:p>
    <w:p w14:paraId="58E0732B" w14:textId="77777777" w:rsidR="001F3C9E" w:rsidRDefault="001F3C9E" w:rsidP="001F3C9E">
      <w:pPr>
        <w:pStyle w:val="NoSpacing"/>
        <w:ind w:left="720"/>
        <w:rPr>
          <w:bCs/>
        </w:rPr>
      </w:pPr>
      <w:r w:rsidRPr="00C17172">
        <w:t xml:space="preserve">law enforcement that prompted Sharonville’s objection to renewal of </w:t>
      </w:r>
      <w:proofErr w:type="spellStart"/>
      <w:r w:rsidRPr="00C17172">
        <w:t>Iloegbunam’s</w:t>
      </w:r>
      <w:proofErr w:type="spellEnd"/>
      <w:r w:rsidRPr="00C17172">
        <w:t xml:space="preserve"> permit.</w:t>
      </w:r>
      <w:r>
        <w:t xml:space="preserve"> </w:t>
      </w:r>
      <w:r w:rsidRPr="00C17172">
        <w:t>Representatives of three nearby hotels described regular disruptions by Cove 51’s patrons</w:t>
      </w:r>
      <w:r>
        <w:t xml:space="preserve"> </w:t>
      </w:r>
      <w:r w:rsidRPr="00C17172">
        <w:t>on their properties, which included excessive late-night noise, unauthorized use of private</w:t>
      </w:r>
      <w:r>
        <w:t xml:space="preserve"> </w:t>
      </w:r>
      <w:r w:rsidRPr="00C17172">
        <w:t>parking lots, fights, discarded and broken alcohol containers, abandoned litter, and used</w:t>
      </w:r>
      <w:r>
        <w:t xml:space="preserve"> </w:t>
      </w:r>
      <w:r w:rsidRPr="00C17172">
        <w:t>condoms. One of the managers testified that a Cove 51 patron had run through their hotel</w:t>
      </w:r>
      <w:r>
        <w:t xml:space="preserve"> </w:t>
      </w:r>
      <w:r w:rsidRPr="00C17172">
        <w:t>lobby brandishing a gun, and the director of guest services for another hotel testified that</w:t>
      </w:r>
      <w:r>
        <w:t xml:space="preserve"> </w:t>
      </w:r>
      <w:r w:rsidRPr="00C17172">
        <w:t xml:space="preserve">the hotel had lost the business of traveling sports teams because of </w:t>
      </w:r>
      <w:r>
        <w:t>‘</w:t>
      </w:r>
      <w:r w:rsidRPr="00C17172">
        <w:t>shots fired</w:t>
      </w:r>
      <w:r>
        <w:t>’</w:t>
      </w:r>
      <w:r w:rsidRPr="00C17172">
        <w:t xml:space="preserve"> incidents</w:t>
      </w:r>
      <w:r>
        <w:t xml:space="preserve"> </w:t>
      </w:r>
      <w:r w:rsidRPr="00C17172">
        <w:t>at Cove 51 and the required police response to those incidents. Id. Sharonville’s City</w:t>
      </w:r>
      <w:r>
        <w:t xml:space="preserve"> </w:t>
      </w:r>
      <w:r w:rsidRPr="00C17172">
        <w:t>Director testified that the area surrounding those hotels had been a subject of revitalization</w:t>
      </w:r>
      <w:r>
        <w:t xml:space="preserve"> </w:t>
      </w:r>
      <w:r w:rsidRPr="00C17172">
        <w:t>and investment efforts over the past few years, and also that Sharonville had planned to</w:t>
      </w:r>
      <w:r>
        <w:t xml:space="preserve"> </w:t>
      </w:r>
      <w:r w:rsidRPr="00C17172">
        <w:t>borrow nearly $20 million over the next quarter to expand the Sharonville Convention</w:t>
      </w:r>
      <w:r>
        <w:t xml:space="preserve"> </w:t>
      </w:r>
      <w:r w:rsidRPr="00616855">
        <w:t>Center, which is in that same area on the same side of the street and just south of Cove 51.</w:t>
      </w:r>
      <w:r>
        <w:t>”</w:t>
      </w:r>
    </w:p>
    <w:p w14:paraId="35AF1EAD" w14:textId="77777777" w:rsidR="001F3C9E" w:rsidRDefault="001F3C9E" w:rsidP="001F3C9E">
      <w:pPr>
        <w:pStyle w:val="NoSpacing"/>
        <w:rPr>
          <w:bCs/>
        </w:rPr>
      </w:pPr>
    </w:p>
    <w:p w14:paraId="1A389576" w14:textId="7485D4E8" w:rsidR="001F3C9E" w:rsidRPr="004E4F8A" w:rsidRDefault="001F3C9E" w:rsidP="001F3C9E">
      <w:pPr>
        <w:pStyle w:val="NoSpacing"/>
        <w:rPr>
          <w:b/>
          <w:bCs/>
        </w:rPr>
      </w:pPr>
      <w:r>
        <w:rPr>
          <w:b/>
        </w:rPr>
        <w:t xml:space="preserve">Lesson learned: Excellent example of fire and police testimony leading to revocation of liquor license. </w:t>
      </w:r>
    </w:p>
    <w:p w14:paraId="07CA95B4" w14:textId="77777777" w:rsidR="001F3C9E" w:rsidRDefault="001F3C9E" w:rsidP="001F3C9E">
      <w:pPr>
        <w:pStyle w:val="NoSpacing"/>
      </w:pPr>
    </w:p>
    <w:p w14:paraId="55574709" w14:textId="77777777" w:rsidR="001F3C9E" w:rsidRDefault="001F3C9E" w:rsidP="00F326E5">
      <w:pPr>
        <w:pStyle w:val="NoSpacing"/>
        <w:rPr>
          <w:rFonts w:ascii="Arial Black" w:hAnsi="Arial Black"/>
          <w:sz w:val="24"/>
          <w:szCs w:val="24"/>
        </w:rPr>
      </w:pPr>
    </w:p>
    <w:p w14:paraId="5BBF69C0" w14:textId="730CED6F" w:rsidR="00037CB8" w:rsidRPr="00E24913" w:rsidRDefault="00037CB8" w:rsidP="00037CB8">
      <w:pPr>
        <w:pStyle w:val="NoSpacing"/>
        <w:rPr>
          <w:rFonts w:ascii="Arial Black" w:hAnsi="Arial Black"/>
          <w:sz w:val="24"/>
          <w:szCs w:val="24"/>
        </w:rPr>
      </w:pPr>
      <w:r w:rsidRPr="00E24913">
        <w:rPr>
          <w:rFonts w:ascii="Arial Black" w:hAnsi="Arial Black"/>
          <w:sz w:val="24"/>
          <w:szCs w:val="24"/>
        </w:rPr>
        <w:t>1-1</w:t>
      </w:r>
      <w:r>
        <w:rPr>
          <w:rFonts w:ascii="Arial Black" w:hAnsi="Arial Black"/>
          <w:sz w:val="24"/>
          <w:szCs w:val="24"/>
        </w:rPr>
        <w:t>90</w:t>
      </w:r>
    </w:p>
    <w:p w14:paraId="336B7366" w14:textId="77777777" w:rsidR="00141CEC" w:rsidRDefault="00141CEC" w:rsidP="0044195B">
      <w:pPr>
        <w:rPr>
          <w:rFonts w:ascii="Arial Black" w:hAnsi="Arial Black"/>
          <w:b/>
          <w:sz w:val="28"/>
          <w:szCs w:val="28"/>
        </w:rPr>
      </w:pPr>
    </w:p>
    <w:p w14:paraId="353322A6" w14:textId="11B04C4A" w:rsidR="0044195B" w:rsidRPr="00B80244" w:rsidRDefault="0044195B" w:rsidP="0044195B">
      <w:pPr>
        <w:rPr>
          <w:rFonts w:ascii="Arial Black" w:hAnsi="Arial Black"/>
          <w:b/>
          <w:sz w:val="28"/>
          <w:szCs w:val="28"/>
        </w:rPr>
      </w:pPr>
      <w:r>
        <w:rPr>
          <w:rFonts w:ascii="Arial Black" w:hAnsi="Arial Black"/>
          <w:b/>
          <w:sz w:val="28"/>
          <w:szCs w:val="28"/>
        </w:rPr>
        <w:t>WY: ARSON TRAILER – CIR. EVID. / BLEACH ON SHIRT</w:t>
      </w:r>
    </w:p>
    <w:p w14:paraId="05C50ADB" w14:textId="77777777" w:rsidR="0044195B" w:rsidRDefault="0044195B" w:rsidP="0044195B">
      <w:pPr>
        <w:rPr>
          <w:bCs/>
        </w:rPr>
      </w:pPr>
      <w:r w:rsidRPr="00A2196C">
        <w:t xml:space="preserve">On September 12, 2025, in </w:t>
      </w:r>
      <w:r w:rsidRPr="00240688">
        <w:rPr>
          <w:u w:val="single"/>
        </w:rPr>
        <w:t>Andrew Lee Boyer v. The State of Wyoming</w:t>
      </w:r>
      <w:r>
        <w:t xml:space="preserve">, the Supreme Court of Wyoming held (5 to 0) there was sufficient circumstantial evidence when jury found him guilty of first-degree arson (sentenced to 8-14 years).  </w:t>
      </w:r>
    </w:p>
    <w:p w14:paraId="733E3126" w14:textId="77777777" w:rsidR="0044195B" w:rsidRDefault="0044195B" w:rsidP="0044195B">
      <w:r w:rsidRPr="00B511E1">
        <w:rPr>
          <w:b/>
        </w:rPr>
        <w:t>THE COURT HELD</w:t>
      </w:r>
      <w:r>
        <w:t>: “</w:t>
      </w:r>
      <w:r w:rsidRPr="00B80244">
        <w:t>We find there was substantial evidence to support Mr. Boyer’s conviction. While</w:t>
      </w:r>
      <w:r>
        <w:t xml:space="preserve"> </w:t>
      </w:r>
      <w:r w:rsidRPr="00B80244">
        <w:t>there was no direct evidence linking Mr. Boyer to the fire, there was plenty of</w:t>
      </w:r>
      <w:r>
        <w:t xml:space="preserve"> </w:t>
      </w:r>
      <w:r w:rsidRPr="00B80244">
        <w:t>circumstantial evidence to support the jury’s verdict. Mr. Boyer was the last person to be</w:t>
      </w:r>
      <w:r>
        <w:t xml:space="preserve"> </w:t>
      </w:r>
      <w:r w:rsidRPr="00B80244">
        <w:t>seen in the trailer. The doors to the trailer were locked, the windows were shut, and there</w:t>
      </w:r>
      <w:r>
        <w:t xml:space="preserve"> </w:t>
      </w:r>
      <w:r w:rsidRPr="00B80244">
        <w:t xml:space="preserve">was no sign of a break-in. Ms. Haglund </w:t>
      </w:r>
      <w:r>
        <w:t xml:space="preserve">[neighbor] </w:t>
      </w:r>
      <w:r w:rsidRPr="00B80244">
        <w:t>smelled and observed smoke just thirty minutes</w:t>
      </w:r>
      <w:r>
        <w:t xml:space="preserve"> </w:t>
      </w:r>
      <w:r w:rsidRPr="00B80244">
        <w:t>after Mr. Boyer left her home. Ms. Haglund saw him walk toward the main road after</w:t>
      </w:r>
      <w:r>
        <w:t xml:space="preserve"> </w:t>
      </w:r>
      <w:r w:rsidRPr="00B80244">
        <w:t>borrowing her lighter. The fire started in two or three spots and was lit on purpose.</w:t>
      </w:r>
      <w:r>
        <w:t xml:space="preserve"> </w:t>
      </w:r>
      <w:r w:rsidRPr="00B80244">
        <w:t>Mr. Boyer was covered with bleach, which can be used to manipulate evidence.</w:t>
      </w:r>
      <w:r>
        <w:t xml:space="preserve"> </w:t>
      </w:r>
      <w:r w:rsidRPr="00B80244">
        <w:t>Mr. Boyer discarded his bleach covered shirt before returning to his trailer. Contrary to</w:t>
      </w:r>
      <w:r>
        <w:t xml:space="preserve"> </w:t>
      </w:r>
      <w:r w:rsidRPr="00B80244">
        <w:t>Mr. Boyer’s story that his dogs ran away, officers found Mr. Boyer’s dogs nearby, and</w:t>
      </w:r>
      <w:r>
        <w:t xml:space="preserve"> </w:t>
      </w:r>
      <w:r w:rsidRPr="00B80244">
        <w:t>Mr. Boyer said they often got out and would come back. A jury could reasonably</w:t>
      </w:r>
      <w:r>
        <w:t xml:space="preserve"> </w:t>
      </w:r>
      <w:r w:rsidRPr="00B80244">
        <w:t>conclude that Mr. Boyer started the fire, let his dogs out, and used the fact they got out as</w:t>
      </w:r>
      <w:r>
        <w:t xml:space="preserve"> </w:t>
      </w:r>
      <w:r w:rsidRPr="00B80244">
        <w:t xml:space="preserve">a pretense to give the fire time to burn and give him time to leave the </w:t>
      </w:r>
      <w:proofErr w:type="gramStart"/>
      <w:r w:rsidRPr="00B80244">
        <w:t>scene</w:t>
      </w:r>
      <w:r>
        <w:t>.”</w:t>
      </w:r>
      <w:proofErr w:type="gramEnd"/>
      <w:r>
        <w:t xml:space="preserve">  </w:t>
      </w:r>
      <w:hyperlink r:id="rId64" w:history="1">
        <w:r w:rsidRPr="00E220D9">
          <w:rPr>
            <w:rStyle w:val="Hyperlink"/>
          </w:rPr>
          <w:t>https://cases.justia.com/wyoming/supreme-court/2025-s-24-0295.pdf?ts=1757689246</w:t>
        </w:r>
      </w:hyperlink>
      <w:r>
        <w:t xml:space="preserve"> </w:t>
      </w:r>
    </w:p>
    <w:p w14:paraId="33F0647C" w14:textId="77777777" w:rsidR="0044195B" w:rsidRDefault="0044195B" w:rsidP="0044195B">
      <w:r w:rsidRPr="00B511E1">
        <w:rPr>
          <w:b/>
        </w:rPr>
        <w:t>KEY FACTS</w:t>
      </w:r>
      <w:r>
        <w:t>:</w:t>
      </w:r>
    </w:p>
    <w:p w14:paraId="284BAF42" w14:textId="77777777" w:rsidR="0044195B" w:rsidRDefault="0044195B" w:rsidP="0044195B">
      <w:pPr>
        <w:pStyle w:val="NoSpacing"/>
        <w:ind w:firstLine="720"/>
      </w:pPr>
      <w:r>
        <w:t xml:space="preserve">“Mr. Boyer owned a trailer home located at 1605 </w:t>
      </w:r>
      <w:proofErr w:type="spellStart"/>
      <w:r>
        <w:t>Echeta</w:t>
      </w:r>
      <w:proofErr w:type="spellEnd"/>
      <w:r>
        <w:t xml:space="preserve"> Road, Lot 21 in Gillette.</w:t>
      </w:r>
    </w:p>
    <w:p w14:paraId="7A8F3204" w14:textId="77777777" w:rsidR="0044195B" w:rsidRDefault="0044195B" w:rsidP="0044195B">
      <w:pPr>
        <w:pStyle w:val="NoSpacing"/>
        <w:ind w:firstLine="720"/>
      </w:pPr>
      <w:r>
        <w:t>On the morning of August 2, 2022, Charlene Haglund was smoking a cigarette outside of</w:t>
      </w:r>
    </w:p>
    <w:p w14:paraId="627EC8C0" w14:textId="77777777" w:rsidR="0044195B" w:rsidRDefault="0044195B" w:rsidP="0044195B">
      <w:pPr>
        <w:pStyle w:val="NoSpacing"/>
        <w:ind w:firstLine="720"/>
      </w:pPr>
      <w:r>
        <w:t>her trailer home, directly across from Mr. Boyer’s trailer home. Mr. Boyer approached</w:t>
      </w:r>
    </w:p>
    <w:p w14:paraId="34E84CFC" w14:textId="77777777" w:rsidR="0044195B" w:rsidRDefault="0044195B" w:rsidP="0044195B">
      <w:pPr>
        <w:pStyle w:val="NoSpacing"/>
        <w:ind w:firstLine="720"/>
      </w:pPr>
      <w:r>
        <w:t xml:space="preserve">Ms. </w:t>
      </w:r>
      <w:proofErr w:type="gramStart"/>
      <w:r>
        <w:t>Haglund and</w:t>
      </w:r>
      <w:proofErr w:type="gramEnd"/>
      <w:r>
        <w:t xml:space="preserve"> asked if he could borrow her lighter. He lit his cigarette, made some</w:t>
      </w:r>
    </w:p>
    <w:p w14:paraId="4EDE3437" w14:textId="77777777" w:rsidR="0044195B" w:rsidRDefault="0044195B" w:rsidP="0044195B">
      <w:pPr>
        <w:pStyle w:val="NoSpacing"/>
        <w:ind w:firstLine="720"/>
      </w:pPr>
      <w:r>
        <w:t xml:space="preserve">small </w:t>
      </w:r>
      <w:proofErr w:type="gramStart"/>
      <w:r>
        <w:t>talk, and</w:t>
      </w:r>
      <w:proofErr w:type="gramEnd"/>
      <w:r>
        <w:t xml:space="preserve"> walked toward the main road. Ms. Haglund said Mr. Boyer was wearing a</w:t>
      </w:r>
    </w:p>
    <w:p w14:paraId="3D860590" w14:textId="77777777" w:rsidR="0044195B" w:rsidRDefault="0044195B" w:rsidP="0044195B">
      <w:pPr>
        <w:pStyle w:val="NoSpacing"/>
        <w:ind w:firstLine="720"/>
      </w:pPr>
      <w:r>
        <w:lastRenderedPageBreak/>
        <w:t>dark-colored polo shirt. About thirty minutes later, Ms. Haglund smelled and saw smoke</w:t>
      </w:r>
    </w:p>
    <w:p w14:paraId="59902826" w14:textId="77777777" w:rsidR="0044195B" w:rsidRDefault="0044195B" w:rsidP="0044195B">
      <w:pPr>
        <w:pStyle w:val="NoSpacing"/>
        <w:ind w:firstLine="720"/>
      </w:pPr>
      <w:r>
        <w:t>coming from Mr. Boyer’s trailer home. She had her boyfriend call 911 to report the</w:t>
      </w:r>
    </w:p>
    <w:p w14:paraId="0A61148C" w14:textId="77777777" w:rsidR="0044195B" w:rsidRDefault="0044195B" w:rsidP="0044195B">
      <w:pPr>
        <w:pStyle w:val="NoSpacing"/>
        <w:ind w:firstLine="720"/>
      </w:pPr>
      <w:r>
        <w:t>possible fire. Ms. Haglund did not see anyone else exit Mr. Boyer’s trailer that morning.</w:t>
      </w:r>
    </w:p>
    <w:p w14:paraId="495DF110" w14:textId="77777777" w:rsidR="0044195B" w:rsidRDefault="0044195B" w:rsidP="0044195B">
      <w:pPr>
        <w:pStyle w:val="NoSpacing"/>
        <w:ind w:firstLine="720"/>
      </w:pPr>
    </w:p>
    <w:p w14:paraId="33F5C11D" w14:textId="77777777" w:rsidR="0044195B" w:rsidRDefault="0044195B" w:rsidP="0044195B">
      <w:pPr>
        <w:pStyle w:val="NoSpacing"/>
        <w:ind w:left="720"/>
      </w:pPr>
      <w:r>
        <w:t xml:space="preserve">After leaving Ms. Haglund’s home, Mr. Boyer stopped at JB Auto Glass. Mr. Boyer was wearing shorts, flip-flops, and a black T-shirt. He had a dog with him. He asked Joseph Billington, owner of JB Auto Glass, if he could use the restroom. Mr. Billington gave him permission. Mr. Billington noticed a strong bleach odor coming from the restroom after Mr. Boyer finished using it. Mr. Boyer was covered in bleach when he came out of the restroom, and his shirt had bleach spot stains all over it. There was also bleach on his flip-flops. Mr. Billington asked Mr. Boyer what happened and if he was alright. Mr. Boyer told him not to worry about it. Mr. Boyer grabbed his dog and left on </w:t>
      </w:r>
      <w:proofErr w:type="gramStart"/>
      <w:r>
        <w:t>foot,</w:t>
      </w:r>
      <w:proofErr w:type="gramEnd"/>
      <w:r>
        <w:t xml:space="preserve"> in the opposite direction he came from. The bleach had been in a spray bottle. There was bleach on the floor when Mr. Billington went into the restroom afterwards.</w:t>
      </w:r>
    </w:p>
    <w:p w14:paraId="75FE4841" w14:textId="77777777" w:rsidR="0044195B" w:rsidRDefault="0044195B" w:rsidP="0044195B">
      <w:pPr>
        <w:pStyle w:val="NoSpacing"/>
        <w:ind w:left="720"/>
      </w:pPr>
    </w:p>
    <w:p w14:paraId="3726D3D5" w14:textId="77777777" w:rsidR="0044195B" w:rsidRDefault="0044195B" w:rsidP="0044195B">
      <w:pPr>
        <w:pStyle w:val="NoSpacing"/>
        <w:ind w:left="720"/>
      </w:pPr>
      <w:r>
        <w:t>***</w:t>
      </w:r>
    </w:p>
    <w:p w14:paraId="679973B5" w14:textId="77777777" w:rsidR="0044195B" w:rsidRDefault="0044195B" w:rsidP="0044195B">
      <w:pPr>
        <w:pStyle w:val="NoSpacing"/>
        <w:ind w:left="720"/>
      </w:pPr>
      <w:r>
        <w:t>Regarding the bleach, Mr. Boyer said the restroom at JB Auto Glass did not have</w:t>
      </w:r>
    </w:p>
    <w:p w14:paraId="04F8E516" w14:textId="77777777" w:rsidR="0044195B" w:rsidRDefault="0044195B" w:rsidP="0044195B">
      <w:pPr>
        <w:pStyle w:val="NoSpacing"/>
        <w:ind w:left="720"/>
      </w:pPr>
      <w:r>
        <w:t>soap or paper towels, but there was a bottle of 409 cleaning spray on the shelf. He</w:t>
      </w:r>
    </w:p>
    <w:p w14:paraId="5B7939E8" w14:textId="77777777" w:rsidR="0044195B" w:rsidRDefault="0044195B" w:rsidP="0044195B">
      <w:pPr>
        <w:pStyle w:val="NoSpacing"/>
        <w:ind w:left="720"/>
      </w:pPr>
      <w:r>
        <w:t>figured it was safe to use on hands and proceeded to wash his hands with it. He then</w:t>
      </w:r>
    </w:p>
    <w:p w14:paraId="54AF6CF8" w14:textId="77777777" w:rsidR="0044195B" w:rsidRDefault="0044195B" w:rsidP="0044195B">
      <w:pPr>
        <w:pStyle w:val="NoSpacing"/>
        <w:ind w:left="720"/>
      </w:pPr>
      <w:r>
        <w:t>dried his hands on his shirt. After he left the restroom, Mr. Boyer noticed he had bleach</w:t>
      </w:r>
    </w:p>
    <w:p w14:paraId="68F45150" w14:textId="77777777" w:rsidR="0044195B" w:rsidRDefault="0044195B" w:rsidP="0044195B">
      <w:pPr>
        <w:pStyle w:val="NoSpacing"/>
        <w:ind w:left="720"/>
      </w:pPr>
      <w:r>
        <w:t>stains all over his shirt and told Mr. Billington it “wasn’t a big deal.” While continuing</w:t>
      </w:r>
    </w:p>
    <w:p w14:paraId="7FE0677D" w14:textId="77777777" w:rsidR="0044195B" w:rsidRDefault="0044195B" w:rsidP="0044195B">
      <w:pPr>
        <w:pStyle w:val="NoSpacing"/>
        <w:ind w:left="720"/>
      </w:pPr>
      <w:r>
        <w:t>walking to Ms. Exley’s house, Mr. Boyer decided to throw away his shirt because it was</w:t>
      </w:r>
    </w:p>
    <w:p w14:paraId="5EEF2929" w14:textId="77777777" w:rsidR="0044195B" w:rsidRDefault="0044195B" w:rsidP="0044195B">
      <w:pPr>
        <w:pStyle w:val="NoSpacing"/>
        <w:ind w:left="720"/>
      </w:pPr>
      <w:r>
        <w:t>hot outside and it was a throwaway shirt he wore for work. According to Mr. Boyer, his</w:t>
      </w:r>
    </w:p>
    <w:p w14:paraId="180AE263" w14:textId="77777777" w:rsidR="0044195B" w:rsidRDefault="0044195B" w:rsidP="0044195B">
      <w:pPr>
        <w:pStyle w:val="NoSpacing"/>
        <w:ind w:left="720"/>
      </w:pPr>
      <w:r>
        <w:t>son gave him a gray tank top to wear.”</w:t>
      </w:r>
    </w:p>
    <w:p w14:paraId="749BB74B" w14:textId="77777777" w:rsidR="0044195B" w:rsidRDefault="0044195B" w:rsidP="0044195B">
      <w:pPr>
        <w:pStyle w:val="NoSpacing"/>
        <w:ind w:firstLine="720"/>
      </w:pPr>
    </w:p>
    <w:p w14:paraId="14D3B574" w14:textId="39E75D7D" w:rsidR="0044195B" w:rsidRPr="00815797" w:rsidRDefault="0044195B" w:rsidP="0044195B">
      <w:pPr>
        <w:pStyle w:val="NoSpacing"/>
        <w:rPr>
          <w:b/>
          <w:bCs/>
        </w:rPr>
      </w:pPr>
      <w:r>
        <w:rPr>
          <w:b/>
        </w:rPr>
        <w:t xml:space="preserve">Lesson learned:  Circumstantial evidence can lead to arson conviction. </w:t>
      </w:r>
    </w:p>
    <w:p w14:paraId="3D7CE79D" w14:textId="77777777" w:rsidR="0044195B" w:rsidRDefault="0044195B" w:rsidP="00F326E5">
      <w:pPr>
        <w:pStyle w:val="NoSpacing"/>
        <w:rPr>
          <w:rFonts w:ascii="Arial Black" w:hAnsi="Arial Black"/>
          <w:sz w:val="24"/>
          <w:szCs w:val="24"/>
        </w:rPr>
      </w:pPr>
    </w:p>
    <w:p w14:paraId="14BCFF23" w14:textId="556DE7C6" w:rsidR="00037CB8" w:rsidRPr="00E24913" w:rsidRDefault="00037CB8" w:rsidP="00037CB8">
      <w:pPr>
        <w:pStyle w:val="NoSpacing"/>
        <w:rPr>
          <w:rFonts w:ascii="Arial Black" w:hAnsi="Arial Black"/>
          <w:sz w:val="24"/>
          <w:szCs w:val="24"/>
        </w:rPr>
      </w:pPr>
      <w:r w:rsidRPr="00E24913">
        <w:rPr>
          <w:rFonts w:ascii="Arial Black" w:hAnsi="Arial Black"/>
          <w:sz w:val="24"/>
          <w:szCs w:val="24"/>
        </w:rPr>
        <w:t>1-18</w:t>
      </w:r>
      <w:r>
        <w:rPr>
          <w:rFonts w:ascii="Arial Black" w:hAnsi="Arial Black"/>
          <w:sz w:val="24"/>
          <w:szCs w:val="24"/>
        </w:rPr>
        <w:t>9</w:t>
      </w:r>
    </w:p>
    <w:p w14:paraId="7406034E" w14:textId="77777777" w:rsidR="00037CB8" w:rsidRDefault="00037CB8" w:rsidP="00F326E5">
      <w:pPr>
        <w:pStyle w:val="NoSpacing"/>
        <w:rPr>
          <w:rFonts w:ascii="Arial Black" w:hAnsi="Arial Black"/>
          <w:sz w:val="24"/>
          <w:szCs w:val="24"/>
        </w:rPr>
      </w:pPr>
    </w:p>
    <w:p w14:paraId="1DDDF586" w14:textId="77777777" w:rsidR="00037CB8" w:rsidRDefault="00037CB8" w:rsidP="00037CB8">
      <w:pPr>
        <w:rPr>
          <w:rFonts w:ascii="Arial Black" w:hAnsi="Arial Black"/>
          <w:sz w:val="28"/>
          <w:szCs w:val="28"/>
        </w:rPr>
      </w:pPr>
      <w:r>
        <w:rPr>
          <w:rFonts w:ascii="Arial Black" w:hAnsi="Arial Black"/>
          <w:sz w:val="28"/>
          <w:szCs w:val="28"/>
        </w:rPr>
        <w:t xml:space="preserve">SC: RESTAURANT $3.9M – GREASE FIRE – BATTLE EXPERTS </w:t>
      </w:r>
    </w:p>
    <w:p w14:paraId="6720D97D" w14:textId="77777777" w:rsidR="00037CB8" w:rsidRDefault="00037CB8" w:rsidP="00037CB8">
      <w:pPr>
        <w:pStyle w:val="NoSpacing"/>
      </w:pPr>
      <w:r>
        <w:t xml:space="preserve">On September 2, 2025, in </w:t>
      </w:r>
      <w:r w:rsidRPr="00AF68AC">
        <w:rPr>
          <w:u w:val="single"/>
        </w:rPr>
        <w:t>Axis Surplus Insurance Company v. Pye-Barker Fire and Safety, LLC</w:t>
      </w:r>
      <w:r>
        <w:t xml:space="preserve">, U.S. District Court Judge </w:t>
      </w:r>
      <w:r w:rsidRPr="00814051">
        <w:t>Richard Mark Gergel</w:t>
      </w:r>
      <w:r>
        <w:t xml:space="preserve">, United States District Court for the District of South Carolina (Charleston Division) held that most of the experts for both sides in this litigation may testify as experts under </w:t>
      </w:r>
      <w:r w:rsidRPr="009828B6">
        <w:rPr>
          <w:i/>
          <w:iCs/>
        </w:rPr>
        <w:t>Daubert v. Merrell Dow Pharm. Inc.</w:t>
      </w:r>
      <w:r w:rsidRPr="009828B6">
        <w:t>, 509 U.S. 579, 589 (1993)</w:t>
      </w:r>
      <w:r>
        <w:t xml:space="preserve">.  Case will </w:t>
      </w:r>
      <w:proofErr w:type="gramStart"/>
      <w:r>
        <w:t>no</w:t>
      </w:r>
      <w:proofErr w:type="gramEnd"/>
      <w:r>
        <w:t xml:space="preserve"> proceed to jury trial.  The plaintiff, Axis Surplus Insurance Company, provided</w:t>
      </w:r>
    </w:p>
    <w:p w14:paraId="72447902" w14:textId="77777777" w:rsidR="00037CB8" w:rsidRDefault="00037CB8" w:rsidP="00037CB8">
      <w:pPr>
        <w:pStyle w:val="NoSpacing"/>
      </w:pPr>
      <w:r>
        <w:t xml:space="preserve">insurance coverage for its insured, Hospitality Management Group, Inc., for </w:t>
      </w:r>
      <w:proofErr w:type="gramStart"/>
      <w:r>
        <w:t>damages</w:t>
      </w:r>
      <w:proofErr w:type="gramEnd"/>
      <w:r>
        <w:t xml:space="preserve"> suffered from a fire at one of Hospitality’s properties, Magnolias Restaurant, located in Charleston, South Carolina. Plaintiff reimbursed its insured </w:t>
      </w:r>
      <w:proofErr w:type="gramStart"/>
      <w:r>
        <w:t>in excess of</w:t>
      </w:r>
      <w:proofErr w:type="gramEnd"/>
      <w:r>
        <w:t xml:space="preserve"> $3.9 million for damages from the fire and was subrogated to its insured’s right of recovery against any at fault third party.</w:t>
      </w:r>
    </w:p>
    <w:p w14:paraId="47E33172" w14:textId="77777777" w:rsidR="00037CB8" w:rsidRDefault="00037CB8" w:rsidP="00037CB8">
      <w:pPr>
        <w:pStyle w:val="NoSpacing"/>
      </w:pPr>
    </w:p>
    <w:p w14:paraId="71ECB5A8" w14:textId="77777777" w:rsidR="00037CB8" w:rsidRDefault="00037CB8" w:rsidP="00037CB8">
      <w:pPr>
        <w:pStyle w:val="NoSpacing"/>
      </w:pPr>
      <w:r w:rsidRPr="00B71171">
        <w:rPr>
          <w:b/>
        </w:rPr>
        <w:t>THE COURT HELD:</w:t>
      </w:r>
      <w:r>
        <w:t xml:space="preserve"> “</w:t>
      </w:r>
      <w:r w:rsidRPr="00217646">
        <w:t xml:space="preserve">The bottom line is that both Plaintiff's and Defendant's experts have offered plausible explanations for the causes of the fire damage. The course of the Magnolias Restaurant fire and its impact on the fire suppression system are hotly contested by the parties, and there is circumstantial evidence sufficient to support both the Plaintiff's and Defendant's scenarios. Like many unwitnessed fire cases, the experts, often able and experienced, offer distinctly different opinions on critical issues </w:t>
      </w:r>
      <w:proofErr w:type="gramStart"/>
      <w:r w:rsidRPr="00217646">
        <w:t>of in</w:t>
      </w:r>
      <w:proofErr w:type="gramEnd"/>
      <w:r w:rsidRPr="00217646">
        <w:t xml:space="preserve"> the case. Under the present circumstances, a jury needs to hear the full case and determine which scenario more likely than not caused the extensive fire damage on August 7, 2021.</w:t>
      </w:r>
      <w:r>
        <w:t>”</w:t>
      </w:r>
    </w:p>
    <w:p w14:paraId="2101E6AB" w14:textId="77777777" w:rsidR="00037CB8" w:rsidRDefault="00037CB8" w:rsidP="00037CB8">
      <w:pPr>
        <w:pStyle w:val="NoSpacing"/>
      </w:pPr>
      <w:hyperlink r:id="rId65" w:history="1">
        <w:r w:rsidRPr="00494FBC">
          <w:rPr>
            <w:rStyle w:val="Hyperlink"/>
          </w:rPr>
          <w:t>https://cases.justia.com/federal/district-courts/south-carolina/scdce/2:2024cv02173/290787/65/0.pdf?ts=1756990440</w:t>
        </w:r>
      </w:hyperlink>
    </w:p>
    <w:p w14:paraId="60FAF2AE" w14:textId="77777777" w:rsidR="00037CB8" w:rsidRDefault="00037CB8" w:rsidP="00037CB8">
      <w:pPr>
        <w:pStyle w:val="NoSpacing"/>
      </w:pPr>
    </w:p>
    <w:p w14:paraId="163CDEC5" w14:textId="77777777" w:rsidR="00037CB8" w:rsidRPr="00B71171" w:rsidRDefault="00037CB8" w:rsidP="00037CB8">
      <w:pPr>
        <w:pStyle w:val="NoSpacing"/>
        <w:rPr>
          <w:b/>
          <w:bCs/>
        </w:rPr>
      </w:pPr>
      <w:r w:rsidRPr="00B71171">
        <w:rPr>
          <w:b/>
        </w:rPr>
        <w:t xml:space="preserve">KEY FACTS: </w:t>
      </w:r>
    </w:p>
    <w:p w14:paraId="383AF213" w14:textId="77777777" w:rsidR="00037CB8" w:rsidRDefault="00037CB8" w:rsidP="00037CB8">
      <w:pPr>
        <w:pStyle w:val="NoSpacing"/>
      </w:pPr>
    </w:p>
    <w:p w14:paraId="486599D2" w14:textId="77777777" w:rsidR="00037CB8" w:rsidRDefault="00037CB8" w:rsidP="00037CB8">
      <w:pPr>
        <w:pStyle w:val="NoSpacing"/>
        <w:ind w:firstLine="720"/>
      </w:pPr>
      <w:r>
        <w:t>“This action was brought by Plaintiff Axis Surplus Insurance Company, which provided</w:t>
      </w:r>
    </w:p>
    <w:p w14:paraId="7CCADBBC" w14:textId="77777777" w:rsidR="00037CB8" w:rsidRDefault="00037CB8" w:rsidP="00037CB8">
      <w:pPr>
        <w:pStyle w:val="NoSpacing"/>
        <w:ind w:left="720"/>
      </w:pPr>
      <w:r>
        <w:t xml:space="preserve">insurance coverage for its insured, Hospitality Management Group, Inc., for </w:t>
      </w:r>
      <w:proofErr w:type="gramStart"/>
      <w:r>
        <w:t>damages</w:t>
      </w:r>
      <w:proofErr w:type="gramEnd"/>
      <w:r>
        <w:t xml:space="preserve"> suffered from a fire at one of Hospitality’s properties, Magnolias Restaurant, located in Charleston, South Carolina. Plaintiff reimbursed its insured </w:t>
      </w:r>
      <w:proofErr w:type="gramStart"/>
      <w:r>
        <w:t>in excess of</w:t>
      </w:r>
      <w:proofErr w:type="gramEnd"/>
      <w:r>
        <w:t xml:space="preserve"> $3.9 million for damages from the fire and was subrogated to its insured’s right of recovery </w:t>
      </w:r>
      <w:r>
        <w:lastRenderedPageBreak/>
        <w:t>against any at fault third party. Plaintiff sued Defendant for negligence and breach of contract related to the performance of its duties to inspect, test, and maintain a fire suppression system, which Plaintiff alleges failed to properly operate to suppress the fire.</w:t>
      </w:r>
    </w:p>
    <w:p w14:paraId="0D5CC252" w14:textId="77777777" w:rsidR="00037CB8" w:rsidRDefault="00037CB8" w:rsidP="00037CB8">
      <w:pPr>
        <w:pStyle w:val="NoSpacing"/>
      </w:pPr>
    </w:p>
    <w:p w14:paraId="3A97838E" w14:textId="77777777" w:rsidR="00037CB8" w:rsidRDefault="00037CB8" w:rsidP="00037CB8">
      <w:pPr>
        <w:pStyle w:val="NoSpacing"/>
        <w:ind w:firstLine="720"/>
      </w:pPr>
      <w:r>
        <w:t>The Magnolia’s Restaurant fire occurred in the early morning hours on August 7, 2021.</w:t>
      </w:r>
    </w:p>
    <w:p w14:paraId="619EA82A" w14:textId="77777777" w:rsidR="00037CB8" w:rsidRDefault="00037CB8" w:rsidP="00037CB8">
      <w:pPr>
        <w:pStyle w:val="NoSpacing"/>
        <w:ind w:left="720"/>
      </w:pPr>
      <w:r>
        <w:t xml:space="preserve">There were no eyewitnesses to the outbreak of the fire. The parties agree that the fire began when a restaurant employee left a plastic dish rack on a </w:t>
      </w:r>
      <w:proofErr w:type="gramStart"/>
      <w:r>
        <w:t>two burner</w:t>
      </w:r>
      <w:proofErr w:type="gramEnd"/>
      <w:r>
        <w:t xml:space="preserve"> range in the prep kitchen, which subsequently melted from the heat of the burner range’s pilot light. Beyond that fact, the parties and their experts disagree about whether the fire suppression system failed due to improper maintenance by the Defendant (Plaintiff’s view) or whether excess grease near the burner range ignited and produced a massive fire outside the area of the fire suppression system (Defendant’s view).</w:t>
      </w:r>
    </w:p>
    <w:p w14:paraId="1EA63B56" w14:textId="77777777" w:rsidR="00037CB8" w:rsidRDefault="00037CB8" w:rsidP="00037CB8">
      <w:pPr>
        <w:pStyle w:val="NoSpacing"/>
        <w:ind w:left="720"/>
      </w:pPr>
    </w:p>
    <w:p w14:paraId="6A3F112E" w14:textId="77777777" w:rsidR="00037CB8" w:rsidRDefault="00037CB8" w:rsidP="00037CB8">
      <w:pPr>
        <w:pStyle w:val="NoSpacing"/>
        <w:ind w:left="720"/>
      </w:pPr>
      <w:r>
        <w:t>***</w:t>
      </w:r>
    </w:p>
    <w:p w14:paraId="108301BB" w14:textId="77777777" w:rsidR="00037CB8" w:rsidRDefault="00037CB8" w:rsidP="00037CB8">
      <w:pPr>
        <w:pStyle w:val="NoSpacing"/>
        <w:ind w:left="720"/>
      </w:pPr>
      <w:r>
        <w:t>Plaintiff’s expert, Daniel Arnold, is a professional engineer who has four decades of</w:t>
      </w:r>
    </w:p>
    <w:p w14:paraId="0CE62B9E" w14:textId="77777777" w:rsidR="00037CB8" w:rsidRDefault="00037CB8" w:rsidP="00037CB8">
      <w:pPr>
        <w:pStyle w:val="NoSpacing"/>
        <w:ind w:left="720"/>
      </w:pPr>
      <w:r>
        <w:t>experience in fire protection engineering and design of fire suppression systems. (</w:t>
      </w:r>
      <w:proofErr w:type="spellStart"/>
      <w:r>
        <w:t>Dkt</w:t>
      </w:r>
      <w:proofErr w:type="spellEnd"/>
      <w:r>
        <w:t xml:space="preserve">. No. 43-1 at 19-20). Arnold opines that the restaurant’s fire suppression system, which was designed to disperse a chemical retardant to suppress a fire, failed because Defendant improperly placed a critical piece of the system known as the fusible link. Arnold further opines that had the suppression system performed properly, the August 21, </w:t>
      </w:r>
      <w:proofErr w:type="gramStart"/>
      <w:r>
        <w:t>2025</w:t>
      </w:r>
      <w:proofErr w:type="gramEnd"/>
      <w:r>
        <w:t xml:space="preserve"> fire would </w:t>
      </w:r>
      <w:proofErr w:type="gramStart"/>
      <w:r>
        <w:t>have been</w:t>
      </w:r>
      <w:proofErr w:type="gramEnd"/>
      <w:r>
        <w:t xml:space="preserve"> caused only limited damage in the immediate area of the </w:t>
      </w:r>
      <w:proofErr w:type="gramStart"/>
      <w:r>
        <w:t>two burner</w:t>
      </w:r>
      <w:proofErr w:type="gramEnd"/>
      <w:r>
        <w:t xml:space="preserve"> range. (Id. at 15).</w:t>
      </w:r>
    </w:p>
    <w:p w14:paraId="75240737" w14:textId="77777777" w:rsidR="00037CB8" w:rsidRDefault="00037CB8" w:rsidP="00037CB8">
      <w:pPr>
        <w:pStyle w:val="NoSpacing"/>
        <w:ind w:left="720"/>
      </w:pPr>
      <w:r>
        <w:t>***</w:t>
      </w:r>
    </w:p>
    <w:p w14:paraId="0235B961" w14:textId="77777777" w:rsidR="00037CB8" w:rsidRDefault="00037CB8" w:rsidP="00037CB8">
      <w:pPr>
        <w:pStyle w:val="NoSpacing"/>
        <w:ind w:left="720"/>
      </w:pPr>
      <w:r w:rsidRPr="009F5ECF">
        <w:t>Defendant’s expert Jeffrey Berino is a fire origin and cause investigator with forty years of</w:t>
      </w:r>
      <w:r>
        <w:t xml:space="preserve"> </w:t>
      </w:r>
      <w:r w:rsidRPr="009F5ECF">
        <w:t>experience as a firefighter and significant experience investigating fires. (</w:t>
      </w:r>
      <w:proofErr w:type="spellStart"/>
      <w:r w:rsidRPr="009F5ECF">
        <w:t>Dkt</w:t>
      </w:r>
      <w:proofErr w:type="spellEnd"/>
      <w:r w:rsidRPr="009F5ECF">
        <w:t>. No. 46-2 at 2-6).</w:t>
      </w:r>
      <w:r>
        <w:t xml:space="preserve"> </w:t>
      </w:r>
      <w:r w:rsidRPr="009F5ECF">
        <w:t>Berino opines that the fire was initially caused by a restaurant employee leaving a plastic object</w:t>
      </w:r>
      <w:r>
        <w:t xml:space="preserve"> </w:t>
      </w:r>
      <w:r w:rsidRPr="009F5ECF">
        <w:t xml:space="preserve">on a </w:t>
      </w:r>
      <w:proofErr w:type="gramStart"/>
      <w:r w:rsidRPr="009F5ECF">
        <w:t>two burner</w:t>
      </w:r>
      <w:proofErr w:type="gramEnd"/>
      <w:r w:rsidRPr="009F5ECF">
        <w:t xml:space="preserve"> range and the melted plastic ignited extensive grease residue and deposits on the</w:t>
      </w:r>
      <w:r>
        <w:t xml:space="preserve"> </w:t>
      </w:r>
      <w:r w:rsidRPr="009F5ECF">
        <w:t>floor and in the nearby area. Berino further opines that the fire from the ignited grease migrated</w:t>
      </w:r>
      <w:r>
        <w:t xml:space="preserve"> </w:t>
      </w:r>
      <w:r w:rsidRPr="009F5ECF">
        <w:t>to the area of fire suppression system’s control box, which caused the system to fail. (Id. at 18-19).</w:t>
      </w:r>
    </w:p>
    <w:p w14:paraId="62155D08" w14:textId="77777777" w:rsidR="00037CB8" w:rsidRDefault="00037CB8" w:rsidP="00037CB8">
      <w:pPr>
        <w:pStyle w:val="NoSpacing"/>
        <w:ind w:left="720"/>
      </w:pPr>
    </w:p>
    <w:p w14:paraId="689EEED9" w14:textId="77777777" w:rsidR="00037CB8" w:rsidRDefault="00037CB8" w:rsidP="00037CB8">
      <w:pPr>
        <w:pStyle w:val="NoSpacing"/>
        <w:ind w:left="720"/>
      </w:pPr>
      <w:r>
        <w:t>***</w:t>
      </w:r>
    </w:p>
    <w:p w14:paraId="343DDDBD" w14:textId="77777777" w:rsidR="00037CB8" w:rsidRDefault="00037CB8" w:rsidP="00037CB8">
      <w:pPr>
        <w:pStyle w:val="NoSpacing"/>
        <w:ind w:left="720"/>
      </w:pPr>
      <w:r>
        <w:t xml:space="preserve">The Court finds that the testimony of the parties’ respective expert witnesses </w:t>
      </w:r>
      <w:proofErr w:type="gramStart"/>
      <w:r>
        <w:t>meet</w:t>
      </w:r>
      <w:proofErr w:type="gramEnd"/>
      <w:r>
        <w:t xml:space="preserve"> Rule</w:t>
      </w:r>
    </w:p>
    <w:p w14:paraId="44706C82" w14:textId="77777777" w:rsidR="00037CB8" w:rsidRPr="009F5ECF" w:rsidRDefault="00037CB8" w:rsidP="00037CB8">
      <w:pPr>
        <w:pStyle w:val="NoSpacing"/>
        <w:ind w:left="720"/>
      </w:pPr>
      <w:r>
        <w:t>702 standards and should not be excluded under Rule 403.”</w:t>
      </w:r>
    </w:p>
    <w:p w14:paraId="27FF90B1" w14:textId="77777777" w:rsidR="00037CB8" w:rsidRDefault="00037CB8" w:rsidP="00037CB8">
      <w:pPr>
        <w:pStyle w:val="NoSpacing"/>
        <w:ind w:left="720"/>
      </w:pPr>
    </w:p>
    <w:p w14:paraId="125EAB7F" w14:textId="5B00D54C" w:rsidR="00037CB8" w:rsidRDefault="00037CB8" w:rsidP="00037CB8">
      <w:pPr>
        <w:pStyle w:val="NoSpacing"/>
        <w:rPr>
          <w:b/>
          <w:bCs/>
        </w:rPr>
      </w:pPr>
      <w:r>
        <w:rPr>
          <w:b/>
        </w:rPr>
        <w:t xml:space="preserve">Lesson learned:  The case may now go to a jury, where the experts can testify.  </w:t>
      </w:r>
    </w:p>
    <w:p w14:paraId="54E5EEC4" w14:textId="77777777" w:rsidR="00037CB8" w:rsidRDefault="00037CB8" w:rsidP="00037CB8">
      <w:pPr>
        <w:pStyle w:val="NoSpacing"/>
        <w:rPr>
          <w:b/>
          <w:bCs/>
        </w:rPr>
      </w:pPr>
    </w:p>
    <w:p w14:paraId="1405C7EC" w14:textId="77777777" w:rsidR="00037CB8" w:rsidRPr="00AE45BD" w:rsidRDefault="00037CB8" w:rsidP="00037CB8">
      <w:pPr>
        <w:pStyle w:val="NoSpacing"/>
        <w:ind w:left="720"/>
      </w:pPr>
      <w:r w:rsidRPr="00AE45BD">
        <w:t xml:space="preserve">Note: Under Federal Rule of Evidence 702, the Court acts as a gatekeeper “to verify that expert testimony is based on sufficient facts or data” The expert testimony must be shown to be “not only relevant, but reliable.’ </w:t>
      </w:r>
      <w:r w:rsidRPr="00AE45BD">
        <w:rPr>
          <w:i/>
          <w:iCs/>
        </w:rPr>
        <w:t>Daubert v. Merrell Dow Pharm. Inc.</w:t>
      </w:r>
      <w:r w:rsidRPr="00AE45BD">
        <w:t xml:space="preserve">, 509 U.S. 579, 589 (1993). </w:t>
      </w:r>
    </w:p>
    <w:p w14:paraId="4518E214" w14:textId="77777777" w:rsidR="00B232CB" w:rsidRDefault="00B232CB" w:rsidP="00F326E5">
      <w:pPr>
        <w:pStyle w:val="NoSpacing"/>
        <w:rPr>
          <w:rFonts w:ascii="Arial Black" w:hAnsi="Arial Black"/>
          <w:sz w:val="24"/>
          <w:szCs w:val="24"/>
        </w:rPr>
      </w:pPr>
    </w:p>
    <w:p w14:paraId="0A2C64CD" w14:textId="77777777" w:rsidR="00B232CB" w:rsidRDefault="00B232CB" w:rsidP="00F326E5">
      <w:pPr>
        <w:pStyle w:val="NoSpacing"/>
        <w:rPr>
          <w:rFonts w:ascii="Arial Black" w:hAnsi="Arial Black"/>
          <w:sz w:val="24"/>
          <w:szCs w:val="24"/>
        </w:rPr>
      </w:pPr>
    </w:p>
    <w:p w14:paraId="3212F1C8" w14:textId="77777777" w:rsidR="00B232CB" w:rsidRDefault="00B232CB" w:rsidP="00F326E5">
      <w:pPr>
        <w:pStyle w:val="NoSpacing"/>
        <w:rPr>
          <w:rFonts w:ascii="Arial Black" w:hAnsi="Arial Black"/>
          <w:sz w:val="24"/>
          <w:szCs w:val="24"/>
        </w:rPr>
      </w:pPr>
    </w:p>
    <w:p w14:paraId="6B856FB4" w14:textId="23709BBA" w:rsidR="00E24913" w:rsidRPr="00E24913" w:rsidRDefault="00E24913" w:rsidP="00F326E5">
      <w:pPr>
        <w:pStyle w:val="NoSpacing"/>
        <w:rPr>
          <w:rFonts w:ascii="Arial Black" w:hAnsi="Arial Black"/>
          <w:sz w:val="24"/>
          <w:szCs w:val="24"/>
        </w:rPr>
      </w:pPr>
      <w:r w:rsidRPr="00E24913">
        <w:rPr>
          <w:rFonts w:ascii="Arial Black" w:hAnsi="Arial Black"/>
          <w:sz w:val="24"/>
          <w:szCs w:val="24"/>
        </w:rPr>
        <w:t>1-188</w:t>
      </w:r>
    </w:p>
    <w:p w14:paraId="0CABC036" w14:textId="77777777" w:rsidR="00AC44B8" w:rsidRDefault="00AC44B8" w:rsidP="00B86628">
      <w:pPr>
        <w:pStyle w:val="NoSpacing"/>
        <w:rPr>
          <w:rFonts w:ascii="Arial Black" w:hAnsi="Arial Black"/>
          <w:sz w:val="24"/>
          <w:szCs w:val="24"/>
        </w:rPr>
      </w:pPr>
    </w:p>
    <w:p w14:paraId="0ADF7975" w14:textId="77777777" w:rsidR="00421D18" w:rsidRDefault="00421D18" w:rsidP="00421D18">
      <w:pPr>
        <w:rPr>
          <w:rFonts w:ascii="Arial Black" w:hAnsi="Arial Black"/>
          <w:b/>
          <w:sz w:val="28"/>
          <w:szCs w:val="28"/>
        </w:rPr>
      </w:pPr>
      <w:r>
        <w:rPr>
          <w:rFonts w:ascii="Arial Black" w:hAnsi="Arial Black"/>
          <w:b/>
          <w:sz w:val="28"/>
          <w:szCs w:val="28"/>
        </w:rPr>
        <w:t xml:space="preserve">FL: EXPERT QUAL - BUTANE “MOSQUITOE SHIELD” FIRE </w:t>
      </w:r>
    </w:p>
    <w:p w14:paraId="3A4341D7" w14:textId="36A3B283" w:rsidR="00421D18" w:rsidRPr="0092209D" w:rsidRDefault="00421D18" w:rsidP="00421D18">
      <w:pPr>
        <w:rPr>
          <w:rFonts w:ascii="Times New Roman" w:hAnsi="Times New Roman"/>
          <w:sz w:val="24"/>
          <w:szCs w:val="24"/>
        </w:rPr>
      </w:pPr>
      <w:r w:rsidRPr="0092209D">
        <w:rPr>
          <w:rFonts w:ascii="Times New Roman" w:hAnsi="Times New Roman"/>
          <w:sz w:val="24"/>
          <w:szCs w:val="24"/>
        </w:rPr>
        <w:t xml:space="preserve">On July 28, 2025, in </w:t>
      </w:r>
      <w:r w:rsidRPr="0092209D">
        <w:rPr>
          <w:rFonts w:ascii="Times New Roman" w:hAnsi="Times New Roman"/>
          <w:sz w:val="24"/>
          <w:szCs w:val="24"/>
          <w:u w:val="single"/>
        </w:rPr>
        <w:t>Jacqueline Flynn v. Thermal Repellents, Inc. and Lowe’s Home Centers, LLC</w:t>
      </w:r>
      <w:r w:rsidRPr="0092209D">
        <w:rPr>
          <w:rFonts w:ascii="Times New Roman" w:hAnsi="Times New Roman"/>
          <w:sz w:val="24"/>
          <w:szCs w:val="24"/>
        </w:rPr>
        <w:t>, U.S. District Court Judge Paul G. Byron, United States District Court for Middle District of Florida (Orlando Division) denied the defense motion to exclude the testimony of Plaintiff’s cause and origin expert, Mr. Patrick B. Dugan, CFI concerning porch fire in 2021.  The expert followed 921, Guide for Fire and Explosion Investigations.  The lawsuit  involves a “</w:t>
      </w:r>
      <w:proofErr w:type="spellStart"/>
      <w:r w:rsidRPr="0092209D">
        <w:rPr>
          <w:rFonts w:ascii="Times New Roman" w:hAnsi="Times New Roman"/>
          <w:sz w:val="24"/>
          <w:szCs w:val="24"/>
        </w:rPr>
        <w:t>Thermacell</w:t>
      </w:r>
      <w:proofErr w:type="spellEnd"/>
      <w:r w:rsidRPr="0092209D">
        <w:rPr>
          <w:rFonts w:ascii="Times New Roman" w:hAnsi="Times New Roman"/>
          <w:sz w:val="24"/>
          <w:szCs w:val="24"/>
        </w:rPr>
        <w:t xml:space="preserve"> Patio Shield” – per Lowe’s advertisement, it “provides a 15 - foot zone of protection against mosquitoes” and is “powered by a butane cartridge, so you never need to plug in to charge or use batteries to repel mosquitoes.”</w:t>
      </w:r>
      <w:r w:rsidRPr="0092209D">
        <w:rPr>
          <w:rFonts w:ascii="Times New Roman" w:hAnsi="Times New Roman"/>
          <w:b/>
          <w:sz w:val="24"/>
          <w:szCs w:val="24"/>
        </w:rPr>
        <w:t xml:space="preserve"> </w:t>
      </w:r>
      <w:r w:rsidRPr="0092209D">
        <w:rPr>
          <w:rFonts w:ascii="Times New Roman" w:hAnsi="Times New Roman"/>
          <w:sz w:val="24"/>
          <w:szCs w:val="24"/>
        </w:rPr>
        <w:t xml:space="preserve">Plaintiff purchased the </w:t>
      </w:r>
      <w:proofErr w:type="spellStart"/>
      <w:r w:rsidRPr="0092209D">
        <w:rPr>
          <w:rFonts w:ascii="Times New Roman" w:hAnsi="Times New Roman"/>
          <w:sz w:val="24"/>
          <w:szCs w:val="24"/>
        </w:rPr>
        <w:t>Thermacell</w:t>
      </w:r>
      <w:proofErr w:type="spellEnd"/>
      <w:r w:rsidRPr="0092209D">
        <w:rPr>
          <w:rFonts w:ascii="Times New Roman" w:hAnsi="Times New Roman"/>
          <w:sz w:val="24"/>
          <w:szCs w:val="24"/>
        </w:rPr>
        <w:t xml:space="preserve"> Patio Shield from Lowe’s, </w:t>
      </w:r>
      <w:r w:rsidRPr="0092209D">
        <w:rPr>
          <w:rFonts w:ascii="Times New Roman" w:hAnsi="Times New Roman"/>
          <w:sz w:val="24"/>
          <w:szCs w:val="24"/>
        </w:rPr>
        <w:lastRenderedPageBreak/>
        <w:t xml:space="preserve">arriving home around 5:30 </w:t>
      </w:r>
      <w:proofErr w:type="spellStart"/>
      <w:r w:rsidRPr="0092209D">
        <w:rPr>
          <w:rFonts w:ascii="Times New Roman" w:hAnsi="Times New Roman"/>
          <w:sz w:val="24"/>
          <w:szCs w:val="24"/>
        </w:rPr>
        <w:t>p.m</w:t>
      </w:r>
      <w:proofErr w:type="spellEnd"/>
      <w:r w:rsidRPr="0092209D">
        <w:rPr>
          <w:rFonts w:ascii="Times New Roman" w:hAnsi="Times New Roman"/>
          <w:sz w:val="24"/>
          <w:szCs w:val="24"/>
        </w:rPr>
        <w:t xml:space="preserve">, and around 7:15 p.m., after her son set up the device, Ms. Flynn placed it on a glass-topped wicker table on the second-floor balcony and turned it on.  She went downstairs to prepare dinner for her family, and </w:t>
      </w:r>
      <w:proofErr w:type="spellStart"/>
      <w:r w:rsidRPr="0092209D">
        <w:rPr>
          <w:rFonts w:ascii="Times New Roman" w:hAnsi="Times New Roman"/>
          <w:sz w:val="24"/>
          <w:szCs w:val="24"/>
        </w:rPr>
        <w:t>aound</w:t>
      </w:r>
      <w:proofErr w:type="spellEnd"/>
      <w:r w:rsidRPr="0092209D">
        <w:rPr>
          <w:rFonts w:ascii="Times New Roman" w:hAnsi="Times New Roman"/>
          <w:sz w:val="24"/>
          <w:szCs w:val="24"/>
        </w:rPr>
        <w:t xml:space="preserve"> 8:00 p.m., someone saw flames or an orange glow outside. When she went to investigate, Ms. Flynn saw flames coming from the second-floor balcony. THE COURT HELD: “Mr. Dugan’s investigation and analysis easily satisfy </w:t>
      </w:r>
      <w:r w:rsidRPr="0092209D">
        <w:rPr>
          <w:rFonts w:ascii="Times New Roman" w:hAnsi="Times New Roman"/>
          <w:i/>
          <w:iCs/>
          <w:sz w:val="24"/>
          <w:szCs w:val="24"/>
        </w:rPr>
        <w:t>Daubert’s</w:t>
      </w:r>
      <w:r w:rsidRPr="0092209D">
        <w:rPr>
          <w:rFonts w:ascii="Times New Roman" w:hAnsi="Times New Roman"/>
          <w:sz w:val="24"/>
          <w:szCs w:val="24"/>
        </w:rPr>
        <w:t xml:space="preserve"> mandate that an expert employ a ‘sufficiently reliable’ methodology. His opinions are based on sufficient facts and data; he does not unjustifiably extrapolate his research to reach an unfounded conclusion; he considered—and ruled out—contradictory data (other known ignition sources); his analysis is based on objective data including burn patterns, weather, timing, and available ignition sources, and Mr. Dugan is as careful as an expert would be in conducting professional work outside the context of paid litigation.”</w:t>
      </w:r>
      <w:r w:rsidR="00802D6B" w:rsidRPr="0092209D">
        <w:rPr>
          <w:rFonts w:ascii="Times New Roman" w:hAnsi="Times New Roman"/>
          <w:sz w:val="24"/>
          <w:szCs w:val="24"/>
        </w:rPr>
        <w:t xml:space="preserve"> </w:t>
      </w:r>
      <w:hyperlink r:id="rId66" w:history="1">
        <w:r w:rsidR="0092209D" w:rsidRPr="0092209D">
          <w:rPr>
            <w:rStyle w:val="Hyperlink"/>
            <w:rFonts w:ascii="Times New Roman" w:hAnsi="Times New Roman"/>
            <w:sz w:val="24"/>
            <w:szCs w:val="24"/>
          </w:rPr>
          <w:t>https://ecf.flmd.uscourts.gov/cgi-bin/show_public_doc?2023-01890-113-6-cv</w:t>
        </w:r>
      </w:hyperlink>
    </w:p>
    <w:p w14:paraId="223F1C1E" w14:textId="655FA1E5" w:rsidR="0092209D" w:rsidRPr="0092209D" w:rsidRDefault="0092209D" w:rsidP="0092209D">
      <w:pPr>
        <w:pStyle w:val="NoSpacing"/>
        <w:rPr>
          <w:rFonts w:ascii="Times New Roman" w:hAnsi="Times New Roman"/>
          <w:b/>
          <w:sz w:val="24"/>
          <w:szCs w:val="24"/>
        </w:rPr>
      </w:pPr>
      <w:r w:rsidRPr="0092209D">
        <w:rPr>
          <w:rFonts w:ascii="Times New Roman" w:hAnsi="Times New Roman"/>
          <w:b/>
          <w:sz w:val="24"/>
          <w:szCs w:val="24"/>
        </w:rPr>
        <w:t xml:space="preserve">Lesson learned:  The expert followed NFPA 921, Guide for Fire and Explosions Investigations. </w:t>
      </w:r>
    </w:p>
    <w:p w14:paraId="6A267A05" w14:textId="77777777" w:rsidR="0092209D" w:rsidRPr="0092209D" w:rsidRDefault="0092209D" w:rsidP="0092209D">
      <w:pPr>
        <w:pStyle w:val="NoSpacing"/>
        <w:rPr>
          <w:rFonts w:ascii="Times New Roman" w:hAnsi="Times New Roman"/>
          <w:b/>
          <w:sz w:val="24"/>
          <w:szCs w:val="24"/>
        </w:rPr>
      </w:pPr>
    </w:p>
    <w:p w14:paraId="61240AD3" w14:textId="77777777" w:rsidR="0092209D" w:rsidRPr="0092209D" w:rsidRDefault="0092209D" w:rsidP="0092209D">
      <w:pPr>
        <w:pStyle w:val="NoSpacing"/>
        <w:ind w:left="720"/>
        <w:rPr>
          <w:rFonts w:ascii="Times New Roman" w:hAnsi="Times New Roman"/>
          <w:bCs/>
          <w:sz w:val="24"/>
          <w:szCs w:val="24"/>
        </w:rPr>
      </w:pPr>
      <w:r w:rsidRPr="0092209D">
        <w:rPr>
          <w:rFonts w:ascii="Times New Roman" w:hAnsi="Times New Roman"/>
          <w:sz w:val="24"/>
          <w:szCs w:val="24"/>
        </w:rPr>
        <w:t xml:space="preserve">Note: See the U.S. Supreme Court decision in </w:t>
      </w:r>
      <w:r w:rsidRPr="0092209D">
        <w:rPr>
          <w:rFonts w:ascii="Times New Roman" w:hAnsi="Times New Roman"/>
          <w:sz w:val="24"/>
          <w:szCs w:val="24"/>
          <w:u w:val="single"/>
        </w:rPr>
        <w:t>Daubert v. Merrell Dow Pharmaceuticals, Inc.,</w:t>
      </w:r>
      <w:r w:rsidRPr="0092209D">
        <w:rPr>
          <w:rFonts w:ascii="Times New Roman" w:hAnsi="Times New Roman"/>
          <w:sz w:val="24"/>
          <w:szCs w:val="24"/>
        </w:rPr>
        <w:t xml:space="preserve"> 509 U.S. 579 (1993); </w:t>
      </w:r>
      <w:hyperlink r:id="rId67" w:history="1">
        <w:r w:rsidRPr="0092209D">
          <w:rPr>
            <w:rStyle w:val="Hyperlink"/>
            <w:rFonts w:ascii="Times New Roman" w:hAnsi="Times New Roman"/>
            <w:sz w:val="24"/>
            <w:szCs w:val="24"/>
          </w:rPr>
          <w:t>https://supreme.justia.com/cases/federal/us/509/579/</w:t>
        </w:r>
      </w:hyperlink>
      <w:r w:rsidRPr="0092209D">
        <w:rPr>
          <w:rFonts w:ascii="Times New Roman" w:hAnsi="Times New Roman"/>
          <w:sz w:val="24"/>
          <w:szCs w:val="24"/>
        </w:rPr>
        <w:t xml:space="preserve"> </w:t>
      </w:r>
    </w:p>
    <w:p w14:paraId="3EC027E7" w14:textId="77777777" w:rsidR="0092209D" w:rsidRPr="0092209D" w:rsidRDefault="0092209D" w:rsidP="0092209D">
      <w:pPr>
        <w:pStyle w:val="NoSpacing"/>
        <w:ind w:left="720"/>
        <w:rPr>
          <w:rFonts w:ascii="Times New Roman" w:hAnsi="Times New Roman"/>
          <w:sz w:val="24"/>
          <w:szCs w:val="24"/>
        </w:rPr>
      </w:pPr>
      <w:r w:rsidRPr="0092209D">
        <w:rPr>
          <w:rFonts w:ascii="Times New Roman" w:hAnsi="Times New Roman"/>
          <w:sz w:val="24"/>
          <w:szCs w:val="24"/>
        </w:rPr>
        <w:t>“An expert may testify about scientific knowledge that assists the jury in understanding the evidence or determining a fact in issue in the case. Factors that a judge should consider include whether the theory or technique in question can be and has been tested, whether it has been subjected to peer review and publication, its known or potential error rate, the existence and maintenance of standards controlling its operation, and whether it is widely accepted in the relevant scientific community.</w:t>
      </w:r>
    </w:p>
    <w:p w14:paraId="6CC7AE4B" w14:textId="77777777" w:rsidR="0092209D" w:rsidRDefault="0092209D" w:rsidP="0092209D">
      <w:pPr>
        <w:rPr>
          <w:b/>
        </w:rPr>
      </w:pPr>
    </w:p>
    <w:p w14:paraId="478F877B" w14:textId="7D91A566" w:rsidR="0092209D" w:rsidRPr="00E24913" w:rsidRDefault="00E24913" w:rsidP="00421D18">
      <w:pPr>
        <w:rPr>
          <w:rFonts w:ascii="Arial Black" w:hAnsi="Arial Black"/>
          <w:bCs/>
          <w:sz w:val="24"/>
          <w:szCs w:val="24"/>
        </w:rPr>
      </w:pPr>
      <w:r w:rsidRPr="00E24913">
        <w:rPr>
          <w:rFonts w:ascii="Arial Black" w:hAnsi="Arial Black"/>
          <w:bCs/>
          <w:sz w:val="24"/>
          <w:szCs w:val="24"/>
        </w:rPr>
        <w:t>1-187</w:t>
      </w:r>
    </w:p>
    <w:p w14:paraId="1D12AF6F" w14:textId="77777777" w:rsidR="009A7014" w:rsidRDefault="009A7014" w:rsidP="009A7014">
      <w:pPr>
        <w:pStyle w:val="NoSpacing"/>
        <w:rPr>
          <w:rFonts w:ascii="Arial Black" w:hAnsi="Arial Black"/>
          <w:sz w:val="28"/>
          <w:szCs w:val="28"/>
        </w:rPr>
      </w:pPr>
      <w:r>
        <w:rPr>
          <w:rFonts w:ascii="Arial Black" w:hAnsi="Arial Black"/>
          <w:sz w:val="28"/>
          <w:szCs w:val="28"/>
        </w:rPr>
        <w:t>IL: COMMERCIAL / MULTI-FAMILY ALARMS - DIRECT TO 911</w:t>
      </w:r>
    </w:p>
    <w:p w14:paraId="70E0EA98" w14:textId="77777777" w:rsidR="009A7014" w:rsidRDefault="009A7014" w:rsidP="009A7014">
      <w:pPr>
        <w:pStyle w:val="NoSpacing"/>
        <w:rPr>
          <w:rFonts w:ascii="Arial Black" w:hAnsi="Arial Black"/>
          <w:sz w:val="28"/>
          <w:szCs w:val="28"/>
        </w:rPr>
      </w:pPr>
    </w:p>
    <w:p w14:paraId="7F94CF0A" w14:textId="77777777" w:rsidR="009A7014" w:rsidRPr="008712E6" w:rsidRDefault="009A7014" w:rsidP="009A7014">
      <w:pPr>
        <w:pStyle w:val="NoSpacing"/>
        <w:rPr>
          <w:rFonts w:ascii="Times New Roman" w:hAnsi="Times New Roman"/>
          <w:sz w:val="24"/>
          <w:szCs w:val="24"/>
        </w:rPr>
      </w:pPr>
      <w:r w:rsidRPr="008712E6">
        <w:rPr>
          <w:rFonts w:ascii="Times New Roman" w:hAnsi="Times New Roman"/>
          <w:sz w:val="24"/>
          <w:szCs w:val="24"/>
        </w:rPr>
        <w:t xml:space="preserve">On July 22, 2025, in </w:t>
      </w:r>
      <w:r w:rsidRPr="008712E6">
        <w:rPr>
          <w:rFonts w:ascii="Times New Roman" w:hAnsi="Times New Roman"/>
          <w:sz w:val="24"/>
          <w:szCs w:val="24"/>
          <w:u w:val="single"/>
        </w:rPr>
        <w:t>Alarm Detection Systems, Inc, et al. v. Village of Schaumburg</w:t>
      </w:r>
      <w:r w:rsidRPr="008712E6">
        <w:rPr>
          <w:rFonts w:ascii="Times New Roman" w:hAnsi="Times New Roman"/>
          <w:sz w:val="24"/>
          <w:szCs w:val="24"/>
        </w:rPr>
        <w:t>, the United States Court of Appeals for 7</w:t>
      </w:r>
      <w:r w:rsidRPr="008712E6">
        <w:rPr>
          <w:rFonts w:ascii="Times New Roman" w:hAnsi="Times New Roman"/>
          <w:sz w:val="24"/>
          <w:szCs w:val="24"/>
          <w:vertAlign w:val="superscript"/>
        </w:rPr>
        <w:t>th</w:t>
      </w:r>
      <w:r w:rsidRPr="008712E6">
        <w:rPr>
          <w:rFonts w:ascii="Times New Roman" w:hAnsi="Times New Roman"/>
          <w:sz w:val="24"/>
          <w:szCs w:val="24"/>
        </w:rPr>
        <w:t xml:space="preserve"> Circuit (Chicago) held (3 to 0) that the Village had right to change alarm code ordinance in 2016, requiring by August 31, 2019 that all multi-family dwellings and commercial establishments to install system reporting directly to 911 dispatch, instead of to an alarm company center. Four alarm companies sued, claiming loss of 250 customers, since the only direct reporting system was owned by Tyco/Johnson Controls which had a contract with the Northwest Central Dispatch System.   Trial court dismissed the lawsuit since no proof customers breached their </w:t>
      </w:r>
      <w:proofErr w:type="gramStart"/>
      <w:r w:rsidRPr="008712E6">
        <w:rPr>
          <w:rFonts w:ascii="Times New Roman" w:hAnsi="Times New Roman"/>
          <w:sz w:val="24"/>
          <w:szCs w:val="24"/>
        </w:rPr>
        <w:t>contracts,</w:t>
      </w:r>
      <w:proofErr w:type="gramEnd"/>
      <w:r w:rsidRPr="008712E6">
        <w:rPr>
          <w:rFonts w:ascii="Times New Roman" w:hAnsi="Times New Roman"/>
          <w:sz w:val="24"/>
          <w:szCs w:val="24"/>
        </w:rPr>
        <w:t xml:space="preserve"> they merely didn’t renew with the four companies. THE COURT HELD:  “The Alarm Companies appealed, and we reversed in part, holding that they had stated a Contracts Clause claim. Alarm Detection Sys., Inc. v. Vill. of Schaumburg (“Alarm </w:t>
      </w:r>
      <w:proofErr w:type="spellStart"/>
      <w:r w:rsidRPr="008712E6">
        <w:rPr>
          <w:rFonts w:ascii="Times New Roman" w:hAnsi="Times New Roman"/>
          <w:sz w:val="24"/>
          <w:szCs w:val="24"/>
        </w:rPr>
        <w:t>Detec</w:t>
      </w:r>
      <w:proofErr w:type="spellEnd"/>
      <w:r w:rsidRPr="008712E6">
        <w:rPr>
          <w:rFonts w:ascii="Times New Roman" w:hAnsi="Times New Roman"/>
          <w:sz w:val="24"/>
          <w:szCs w:val="24"/>
        </w:rPr>
        <w:t>-</w:t>
      </w:r>
    </w:p>
    <w:p w14:paraId="0AD79C5C" w14:textId="77777777" w:rsidR="009A7014" w:rsidRPr="008712E6" w:rsidRDefault="009A7014" w:rsidP="009A7014">
      <w:pPr>
        <w:pStyle w:val="NoSpacing"/>
        <w:rPr>
          <w:rFonts w:ascii="Times New Roman" w:hAnsi="Times New Roman"/>
          <w:sz w:val="24"/>
          <w:szCs w:val="24"/>
        </w:rPr>
      </w:pPr>
      <w:proofErr w:type="spellStart"/>
      <w:r w:rsidRPr="008712E6">
        <w:rPr>
          <w:rFonts w:ascii="Times New Roman" w:hAnsi="Times New Roman"/>
          <w:sz w:val="24"/>
          <w:szCs w:val="24"/>
        </w:rPr>
        <w:t>tion</w:t>
      </w:r>
      <w:proofErr w:type="spellEnd"/>
      <w:r w:rsidRPr="008712E6">
        <w:rPr>
          <w:rFonts w:ascii="Times New Roman" w:hAnsi="Times New Roman"/>
          <w:sz w:val="24"/>
          <w:szCs w:val="24"/>
        </w:rPr>
        <w:t xml:space="preserve"> I”), 930 F.3d 812, 823–24 (7th Cir. 2019). We cautioned, however, that to ultimately prevail, the Alarm Companies would need to show the Ordinance caused their customers to prematurely cancel existing contracts, not just decline to renew them. See id. The district court granted the Village’s motion in a thorough written opinion. It </w:t>
      </w:r>
      <w:proofErr w:type="gramStart"/>
      <w:r w:rsidRPr="008712E6">
        <w:rPr>
          <w:rFonts w:ascii="Times New Roman" w:hAnsi="Times New Roman"/>
          <w:sz w:val="24"/>
          <w:szCs w:val="24"/>
        </w:rPr>
        <w:t>reasoned</w:t>
      </w:r>
      <w:proofErr w:type="gramEnd"/>
      <w:r w:rsidRPr="008712E6">
        <w:rPr>
          <w:rFonts w:ascii="Times New Roman" w:hAnsi="Times New Roman"/>
          <w:sz w:val="24"/>
          <w:szCs w:val="24"/>
        </w:rPr>
        <w:t xml:space="preserve"> that the Alarm Companies had offered no admissible evidence substantiating their claim that the Ordinance caused customers to breach contracts with them. *** They do not reveal which customers breached, when they breached, how the companies were notified of the breaches, or the reasons given for the breaches—all information a reasonable jury would need to understand how the Alarm Companies reached their conclusion that breaches occurred. Without any of this basic information, the Alarm Companies’ bare allegations are too conclusory to carry their burden at summary judgment.”  </w:t>
      </w:r>
      <w:hyperlink r:id="rId68" w:history="1">
        <w:r w:rsidRPr="008712E6">
          <w:rPr>
            <w:rStyle w:val="Hyperlink"/>
            <w:rFonts w:ascii="Times New Roman" w:hAnsi="Times New Roman"/>
            <w:sz w:val="24"/>
            <w:szCs w:val="24"/>
          </w:rPr>
          <w:t>https://cases.justia.com/federal/appellate-courts/ca7/24-3163/24-3163-2025-07-22.pdf?ts=1753214416</w:t>
        </w:r>
      </w:hyperlink>
      <w:r w:rsidRPr="008712E6">
        <w:rPr>
          <w:rFonts w:ascii="Times New Roman" w:hAnsi="Times New Roman"/>
          <w:sz w:val="24"/>
          <w:szCs w:val="24"/>
        </w:rPr>
        <w:t xml:space="preserve"> </w:t>
      </w:r>
    </w:p>
    <w:p w14:paraId="7DC559A3" w14:textId="77777777" w:rsidR="008712E6" w:rsidRPr="008712E6" w:rsidRDefault="008712E6" w:rsidP="008712E6">
      <w:pPr>
        <w:pStyle w:val="NoSpacing"/>
        <w:rPr>
          <w:rFonts w:ascii="Times New Roman" w:hAnsi="Times New Roman"/>
          <w:b/>
          <w:sz w:val="24"/>
          <w:szCs w:val="24"/>
        </w:rPr>
      </w:pPr>
    </w:p>
    <w:p w14:paraId="27CE7D9F" w14:textId="389F37D3" w:rsidR="008712E6" w:rsidRPr="008712E6" w:rsidRDefault="008712E6" w:rsidP="008712E6">
      <w:pPr>
        <w:pStyle w:val="NoSpacing"/>
        <w:rPr>
          <w:rFonts w:ascii="Times New Roman" w:hAnsi="Times New Roman"/>
          <w:b/>
          <w:bCs/>
          <w:sz w:val="24"/>
          <w:szCs w:val="24"/>
        </w:rPr>
      </w:pPr>
      <w:r w:rsidRPr="008712E6">
        <w:rPr>
          <w:rFonts w:ascii="Times New Roman" w:hAnsi="Times New Roman"/>
          <w:b/>
          <w:sz w:val="24"/>
          <w:szCs w:val="24"/>
        </w:rPr>
        <w:t xml:space="preserve">Lesson learned: Public safety prevails over alarm company’s loss of profits. </w:t>
      </w:r>
    </w:p>
    <w:p w14:paraId="37B5F662" w14:textId="77777777" w:rsidR="008712E6" w:rsidRDefault="008712E6" w:rsidP="008712E6">
      <w:pPr>
        <w:pStyle w:val="NoSpacing"/>
        <w:rPr>
          <w:bCs/>
        </w:rPr>
      </w:pPr>
    </w:p>
    <w:p w14:paraId="6C79F0AB" w14:textId="77777777" w:rsidR="009A7014" w:rsidRPr="00421D18" w:rsidRDefault="009A7014" w:rsidP="00421D18">
      <w:pPr>
        <w:rPr>
          <w:bCs/>
          <w:sz w:val="24"/>
          <w:szCs w:val="24"/>
        </w:rPr>
      </w:pPr>
    </w:p>
    <w:p w14:paraId="05797B85" w14:textId="69B543CB" w:rsidR="00421D18" w:rsidRDefault="00E24913" w:rsidP="007B08FB">
      <w:pPr>
        <w:pStyle w:val="NoSpacing"/>
        <w:rPr>
          <w:rFonts w:ascii="Arial Black" w:hAnsi="Arial Black"/>
          <w:sz w:val="24"/>
          <w:szCs w:val="24"/>
        </w:rPr>
      </w:pPr>
      <w:r>
        <w:rPr>
          <w:rFonts w:ascii="Arial Black" w:hAnsi="Arial Black"/>
          <w:sz w:val="24"/>
          <w:szCs w:val="24"/>
        </w:rPr>
        <w:lastRenderedPageBreak/>
        <w:t>1-186</w:t>
      </w:r>
    </w:p>
    <w:p w14:paraId="388DEDE0" w14:textId="77777777" w:rsidR="00E24913" w:rsidRDefault="00E24913" w:rsidP="007B08FB">
      <w:pPr>
        <w:pStyle w:val="NoSpacing"/>
        <w:rPr>
          <w:rFonts w:ascii="Arial Black" w:hAnsi="Arial Black"/>
          <w:sz w:val="24"/>
          <w:szCs w:val="24"/>
        </w:rPr>
      </w:pPr>
    </w:p>
    <w:p w14:paraId="514C6E56" w14:textId="77777777" w:rsidR="000A7B66" w:rsidRPr="0013391C" w:rsidRDefault="000A7B66" w:rsidP="000A7B66">
      <w:pPr>
        <w:pStyle w:val="NoSpacing"/>
        <w:rPr>
          <w:rFonts w:ascii="Arial Black" w:hAnsi="Arial Black"/>
          <w:sz w:val="28"/>
          <w:szCs w:val="28"/>
        </w:rPr>
      </w:pPr>
      <w:r>
        <w:rPr>
          <w:rFonts w:ascii="Arial Black" w:hAnsi="Arial Black"/>
          <w:sz w:val="28"/>
          <w:szCs w:val="28"/>
        </w:rPr>
        <w:t>TX: CITY DEMOLISHED HOUSE W/O NOTICE – 1-YR FIRE</w:t>
      </w:r>
    </w:p>
    <w:p w14:paraId="7C31CC41" w14:textId="77777777" w:rsidR="000A7B66" w:rsidRDefault="000A7B66" w:rsidP="000A7B66">
      <w:pPr>
        <w:pStyle w:val="NoSpacing"/>
      </w:pPr>
    </w:p>
    <w:p w14:paraId="0FC8C5A9" w14:textId="1D75D2DA" w:rsidR="00421D18" w:rsidRPr="00CC7E4B" w:rsidRDefault="000A7B66" w:rsidP="000A7B66">
      <w:pPr>
        <w:pStyle w:val="NoSpacing"/>
        <w:rPr>
          <w:rFonts w:ascii="Times New Roman" w:hAnsi="Times New Roman"/>
          <w:sz w:val="24"/>
          <w:szCs w:val="24"/>
        </w:rPr>
      </w:pPr>
      <w:r w:rsidRPr="00CC7E4B">
        <w:rPr>
          <w:rFonts w:ascii="Times New Roman" w:hAnsi="Times New Roman"/>
          <w:sz w:val="24"/>
          <w:szCs w:val="24"/>
        </w:rPr>
        <w:t xml:space="preserve">On July 18, 2025, in Michael Ramirez v. City of Texas City, U.S. District Court Judge Jeffrey Vincent Brown, United States District Court for Southern District of Texas (Galveston), after a one-day bench trial, held that while City violated property owner’s due process rights on failing to notify him that the house will be demolished, the owner is only entitled to $1 in nominal damages, and nothing for rehab materials in the house, and no attorney fees, since the house was not rehabbed for over a year.  The electrical fire was on April 10, 2022, with substantial damage; on April 13th, 2022, the city sent him  a Notice of Substandard Structure and of Abatement; Ramirez retained Michael Gaertner, a licensed architect, to help him obtain a permit to begin property </w:t>
      </w:r>
      <w:proofErr w:type="gramStart"/>
      <w:r w:rsidRPr="00CC7E4B">
        <w:rPr>
          <w:rFonts w:ascii="Times New Roman" w:hAnsi="Times New Roman"/>
          <w:sz w:val="24"/>
          <w:szCs w:val="24"/>
        </w:rPr>
        <w:t>renovations, but</w:t>
      </w:r>
      <w:proofErr w:type="gramEnd"/>
      <w:r w:rsidRPr="00CC7E4B">
        <w:rPr>
          <w:rFonts w:ascii="Times New Roman" w:hAnsi="Times New Roman"/>
          <w:sz w:val="24"/>
          <w:szCs w:val="24"/>
        </w:rPr>
        <w:t xml:space="preserve"> failed to provide a report from a structural engineer. Couple of break-ins; The damaged property languished without repair for about a year until its demolition on or around May 9th, 2023. THE COURT HELD: “Based on the fact findings and legal conclusions set forth above, the court concludes that although Ramirez’s fire-damaged home was ‘substandard’ and a public nuisance, it was not a clear and imminent danger that justified Texas City’s emergency demolition actions. Because Ramirez was not afforded an opportunity to be heard, the city deprived him of due process. Ramirez is therefore awarded $1 in nominal damages. Each party shall bear his or its own attorney’s fees and costs.”  </w:t>
      </w:r>
      <w:hyperlink r:id="rId69" w:history="1">
        <w:r w:rsidRPr="00CC7E4B">
          <w:rPr>
            <w:rStyle w:val="Hyperlink"/>
            <w:rFonts w:ascii="Times New Roman" w:hAnsi="Times New Roman"/>
            <w:sz w:val="24"/>
            <w:szCs w:val="24"/>
          </w:rPr>
          <w:t>https://cases.justia.com/federal/district-courts/texas/txsdce/3:2023cv00356/1939756/67/0.pdf?ts=1752929790</w:t>
        </w:r>
      </w:hyperlink>
    </w:p>
    <w:p w14:paraId="391533BB" w14:textId="77777777" w:rsidR="00421D18" w:rsidRPr="00CC7E4B" w:rsidRDefault="00421D18" w:rsidP="007B08FB">
      <w:pPr>
        <w:pStyle w:val="NoSpacing"/>
        <w:rPr>
          <w:rFonts w:ascii="Times New Roman" w:hAnsi="Times New Roman"/>
          <w:sz w:val="24"/>
          <w:szCs w:val="24"/>
        </w:rPr>
      </w:pPr>
    </w:p>
    <w:p w14:paraId="253B9104" w14:textId="77777777" w:rsidR="00CC7E4B" w:rsidRPr="00CC7E4B" w:rsidRDefault="00CC7E4B" w:rsidP="00CC7E4B">
      <w:pPr>
        <w:pStyle w:val="NoSpacing"/>
        <w:rPr>
          <w:rFonts w:ascii="Times New Roman" w:hAnsi="Times New Roman"/>
          <w:b/>
          <w:bCs/>
          <w:sz w:val="24"/>
          <w:szCs w:val="24"/>
        </w:rPr>
      </w:pPr>
      <w:r w:rsidRPr="00CC7E4B">
        <w:rPr>
          <w:rFonts w:ascii="Times New Roman" w:hAnsi="Times New Roman"/>
          <w:b/>
          <w:sz w:val="24"/>
          <w:szCs w:val="24"/>
        </w:rPr>
        <w:t xml:space="preserve">Legal lesson learned:  Give property owner written notice of plan to demolish.  While the City only </w:t>
      </w:r>
      <w:proofErr w:type="gramStart"/>
      <w:r w:rsidRPr="00CC7E4B">
        <w:rPr>
          <w:rFonts w:ascii="Times New Roman" w:hAnsi="Times New Roman"/>
          <w:b/>
          <w:sz w:val="24"/>
          <w:szCs w:val="24"/>
        </w:rPr>
        <w:t>has to</w:t>
      </w:r>
      <w:proofErr w:type="gramEnd"/>
      <w:r w:rsidRPr="00CC7E4B">
        <w:rPr>
          <w:rFonts w:ascii="Times New Roman" w:hAnsi="Times New Roman"/>
          <w:b/>
          <w:sz w:val="24"/>
          <w:szCs w:val="24"/>
        </w:rPr>
        <w:t xml:space="preserve"> pay property owner $1, the City has had to incur legal expenses simply because it failed to give notice of planned demolition. </w:t>
      </w:r>
    </w:p>
    <w:p w14:paraId="793718DF" w14:textId="77777777" w:rsidR="00CC7E4B" w:rsidRDefault="00CC7E4B" w:rsidP="00CC7E4B">
      <w:pPr>
        <w:pStyle w:val="NoSpacing"/>
      </w:pPr>
    </w:p>
    <w:p w14:paraId="52B6299A" w14:textId="77777777" w:rsidR="00E24913" w:rsidRDefault="00E24913" w:rsidP="007B08FB">
      <w:pPr>
        <w:pStyle w:val="NoSpacing"/>
        <w:rPr>
          <w:rFonts w:ascii="Arial Black" w:hAnsi="Arial Black"/>
          <w:sz w:val="24"/>
          <w:szCs w:val="24"/>
        </w:rPr>
      </w:pPr>
    </w:p>
    <w:p w14:paraId="10218354" w14:textId="74CF6081" w:rsidR="00421D18" w:rsidRDefault="00E24913" w:rsidP="007B08FB">
      <w:pPr>
        <w:pStyle w:val="NoSpacing"/>
        <w:rPr>
          <w:rFonts w:ascii="Arial Black" w:hAnsi="Arial Black"/>
          <w:sz w:val="24"/>
          <w:szCs w:val="24"/>
        </w:rPr>
      </w:pPr>
      <w:r>
        <w:rPr>
          <w:rFonts w:ascii="Arial Black" w:hAnsi="Arial Black"/>
          <w:sz w:val="24"/>
          <w:szCs w:val="24"/>
        </w:rPr>
        <w:t>1-185</w:t>
      </w:r>
    </w:p>
    <w:p w14:paraId="2FB81A72" w14:textId="77777777" w:rsidR="00DC77F7" w:rsidRDefault="00DC77F7" w:rsidP="007B08FB">
      <w:pPr>
        <w:pStyle w:val="NoSpacing"/>
        <w:rPr>
          <w:rFonts w:ascii="Arial Black" w:hAnsi="Arial Black"/>
          <w:sz w:val="24"/>
          <w:szCs w:val="24"/>
        </w:rPr>
      </w:pPr>
    </w:p>
    <w:p w14:paraId="1F95A636" w14:textId="77777777" w:rsidR="0094602E" w:rsidRDefault="0094602E" w:rsidP="0094602E">
      <w:pPr>
        <w:rPr>
          <w:rFonts w:ascii="Arial Black" w:hAnsi="Arial Black"/>
          <w:bCs/>
          <w:sz w:val="28"/>
          <w:szCs w:val="28"/>
        </w:rPr>
      </w:pPr>
      <w:r>
        <w:rPr>
          <w:rFonts w:ascii="Arial Black" w:hAnsi="Arial Black"/>
          <w:sz w:val="28"/>
          <w:szCs w:val="28"/>
        </w:rPr>
        <w:t xml:space="preserve">LA: WIRE FRAUD – LIED TO INSUR. CO. – FIRE “ELECTRICAL” </w:t>
      </w:r>
    </w:p>
    <w:p w14:paraId="4B162E4C" w14:textId="77777777" w:rsidR="0094602E" w:rsidRPr="00C27853" w:rsidRDefault="0094602E" w:rsidP="0094602E">
      <w:pPr>
        <w:pStyle w:val="NoSpacing"/>
        <w:rPr>
          <w:rFonts w:ascii="Times New Roman" w:hAnsi="Times New Roman"/>
          <w:bCs/>
          <w:sz w:val="24"/>
          <w:szCs w:val="24"/>
        </w:rPr>
      </w:pPr>
      <w:r w:rsidRPr="00C27853">
        <w:rPr>
          <w:rFonts w:ascii="Times New Roman" w:hAnsi="Times New Roman"/>
          <w:sz w:val="24"/>
          <w:szCs w:val="24"/>
        </w:rPr>
        <w:t xml:space="preserve">On July 15, 2025, in </w:t>
      </w:r>
      <w:r w:rsidRPr="00C27853">
        <w:rPr>
          <w:rFonts w:ascii="Times New Roman" w:hAnsi="Times New Roman"/>
          <w:sz w:val="24"/>
          <w:szCs w:val="24"/>
          <w:u w:val="single"/>
        </w:rPr>
        <w:t>United States of America v. Saleem Yousef Dabit</w:t>
      </w:r>
      <w:r w:rsidRPr="00C27853">
        <w:rPr>
          <w:rFonts w:ascii="Times New Roman" w:hAnsi="Times New Roman"/>
          <w:sz w:val="24"/>
          <w:szCs w:val="24"/>
        </w:rPr>
        <w:t>, the 5</w:t>
      </w:r>
      <w:r w:rsidRPr="00C27853">
        <w:rPr>
          <w:rFonts w:ascii="Times New Roman" w:hAnsi="Times New Roman"/>
          <w:sz w:val="24"/>
          <w:szCs w:val="24"/>
          <w:vertAlign w:val="superscript"/>
        </w:rPr>
        <w:t>th</w:t>
      </w:r>
      <w:r w:rsidRPr="00C27853">
        <w:rPr>
          <w:rFonts w:ascii="Times New Roman" w:hAnsi="Times New Roman"/>
          <w:sz w:val="24"/>
          <w:szCs w:val="24"/>
        </w:rPr>
        <w:t xml:space="preserve"> Circuit United States Court of Appeals (New Orleans) held (3 to 0) that a jury properly convicted the owner of wire fraud involving insurance claim for Jan. 1, </w:t>
      </w:r>
      <w:proofErr w:type="gramStart"/>
      <w:r w:rsidRPr="00C27853">
        <w:rPr>
          <w:rFonts w:ascii="Times New Roman" w:hAnsi="Times New Roman"/>
          <w:sz w:val="24"/>
          <w:szCs w:val="24"/>
        </w:rPr>
        <w:t>2019</w:t>
      </w:r>
      <w:proofErr w:type="gramEnd"/>
      <w:r w:rsidRPr="00C27853">
        <w:rPr>
          <w:rFonts w:ascii="Times New Roman" w:hAnsi="Times New Roman"/>
          <w:sz w:val="24"/>
          <w:szCs w:val="24"/>
        </w:rPr>
        <w:t xml:space="preserve"> fire at a warehouse - Sam's Men's Fashions.  Dabit was indicted on (1) one count of use of fire to commit a felony (gasoline from at least 15 containers, which resulted in a massive fuel-air explosion), (2) one count of use of fire to maliciously damage property, and (3) one count of wire fraud on Hanover Insurance Company (falsely told insurance company that fire investigators said it was electrical).   The jury found him not guilty of first two </w:t>
      </w:r>
      <w:proofErr w:type="gramStart"/>
      <w:r w:rsidRPr="00C27853">
        <w:rPr>
          <w:rFonts w:ascii="Times New Roman" w:hAnsi="Times New Roman"/>
          <w:sz w:val="24"/>
          <w:szCs w:val="24"/>
        </w:rPr>
        <w:t>counts</w:t>
      </w:r>
      <w:proofErr w:type="gramEnd"/>
      <w:r w:rsidRPr="00C27853">
        <w:rPr>
          <w:rFonts w:ascii="Times New Roman" w:hAnsi="Times New Roman"/>
          <w:sz w:val="24"/>
          <w:szCs w:val="24"/>
        </w:rPr>
        <w:t xml:space="preserve">.  On July 25, </w:t>
      </w:r>
      <w:proofErr w:type="gramStart"/>
      <w:r w:rsidRPr="00C27853">
        <w:rPr>
          <w:rFonts w:ascii="Times New Roman" w:hAnsi="Times New Roman"/>
          <w:sz w:val="24"/>
          <w:szCs w:val="24"/>
        </w:rPr>
        <w:t>2024</w:t>
      </w:r>
      <w:proofErr w:type="gramEnd"/>
      <w:r w:rsidRPr="00C27853">
        <w:rPr>
          <w:rFonts w:ascii="Times New Roman" w:hAnsi="Times New Roman"/>
          <w:sz w:val="24"/>
          <w:szCs w:val="24"/>
        </w:rPr>
        <w:t xml:space="preserve"> he was sentenced to 12 months and one day in jail; and on Aug. 26, </w:t>
      </w:r>
      <w:proofErr w:type="gramStart"/>
      <w:r w:rsidRPr="00C27853">
        <w:rPr>
          <w:rFonts w:ascii="Times New Roman" w:hAnsi="Times New Roman"/>
          <w:sz w:val="24"/>
          <w:szCs w:val="24"/>
        </w:rPr>
        <w:t>2024</w:t>
      </w:r>
      <w:proofErr w:type="gramEnd"/>
      <w:r w:rsidRPr="00C27853">
        <w:rPr>
          <w:rFonts w:ascii="Times New Roman" w:hAnsi="Times New Roman"/>
          <w:sz w:val="24"/>
          <w:szCs w:val="24"/>
        </w:rPr>
        <w:t xml:space="preserve"> the trial court judge denied his motion for release pending appeal. </w:t>
      </w:r>
      <w:hyperlink r:id="rId70" w:history="1">
        <w:r w:rsidRPr="00C27853">
          <w:rPr>
            <w:rStyle w:val="Hyperlink"/>
            <w:rFonts w:ascii="Times New Roman" w:hAnsi="Times New Roman"/>
            <w:sz w:val="24"/>
            <w:szCs w:val="24"/>
          </w:rPr>
          <w:t>https://www.casemine.com/judgement/us/66cea7f23f1f7c7a89e60871</w:t>
        </w:r>
      </w:hyperlink>
      <w:r w:rsidRPr="00C27853">
        <w:rPr>
          <w:rFonts w:ascii="Times New Roman" w:hAnsi="Times New Roman"/>
          <w:sz w:val="24"/>
          <w:szCs w:val="24"/>
        </w:rPr>
        <w:t xml:space="preserve"> . THE 5</w:t>
      </w:r>
      <w:r w:rsidRPr="00C27853">
        <w:rPr>
          <w:rFonts w:ascii="Times New Roman" w:hAnsi="Times New Roman"/>
          <w:sz w:val="24"/>
          <w:szCs w:val="24"/>
          <w:vertAlign w:val="superscript"/>
        </w:rPr>
        <w:t>th</w:t>
      </w:r>
      <w:r w:rsidRPr="00C27853">
        <w:rPr>
          <w:rFonts w:ascii="Times New Roman" w:hAnsi="Times New Roman"/>
          <w:sz w:val="24"/>
          <w:szCs w:val="24"/>
        </w:rPr>
        <w:t xml:space="preserve"> CIRCUIT HELD:  “Here, a rational jury could have found beyond a reasonable doubt that Dabit, with specific intent to defraud, engaged in a scheme to defraud the Hanover Insurance Company using wire communications…. Even if there was insufficient evidence that Dabit set fire to the warehouse, there was sufficient evidence that Dabit lied to Hanover when he said that firefighters told him the fire was probably electrical. Multiple firefighters and certified fire investigators testified that no firefighter or investigator told Dabit that. And we are not entitled to second-guess any credibility determinations the jury might have made in this </w:t>
      </w:r>
      <w:proofErr w:type="gramStart"/>
      <w:r w:rsidRPr="00C27853">
        <w:rPr>
          <w:rFonts w:ascii="Times New Roman" w:hAnsi="Times New Roman"/>
          <w:sz w:val="24"/>
          <w:szCs w:val="24"/>
        </w:rPr>
        <w:t>respect.”</w:t>
      </w:r>
      <w:proofErr w:type="gramEnd"/>
      <w:r w:rsidRPr="00C27853">
        <w:rPr>
          <w:rFonts w:ascii="Times New Roman" w:hAnsi="Times New Roman"/>
          <w:sz w:val="24"/>
          <w:szCs w:val="24"/>
        </w:rPr>
        <w:t xml:space="preserve"> </w:t>
      </w:r>
      <w:hyperlink r:id="rId71" w:history="1">
        <w:r w:rsidRPr="00C27853">
          <w:rPr>
            <w:rStyle w:val="Hyperlink"/>
            <w:rFonts w:ascii="Times New Roman" w:hAnsi="Times New Roman"/>
            <w:sz w:val="24"/>
            <w:szCs w:val="24"/>
          </w:rPr>
          <w:t>https://www.ca5.uscourts.gov/opinions/unpub/24/24-30496.0.pdf</w:t>
        </w:r>
      </w:hyperlink>
      <w:r w:rsidRPr="00C27853">
        <w:rPr>
          <w:rFonts w:ascii="Times New Roman" w:hAnsi="Times New Roman"/>
          <w:sz w:val="24"/>
          <w:szCs w:val="24"/>
        </w:rPr>
        <w:t xml:space="preserve"> </w:t>
      </w:r>
    </w:p>
    <w:p w14:paraId="2CFAFACB" w14:textId="77777777" w:rsidR="0094602E" w:rsidRPr="00C27853" w:rsidRDefault="0094602E" w:rsidP="0094602E">
      <w:pPr>
        <w:pStyle w:val="NoSpacing"/>
        <w:rPr>
          <w:rFonts w:ascii="Times New Roman" w:hAnsi="Times New Roman"/>
          <w:bCs/>
          <w:sz w:val="24"/>
          <w:szCs w:val="24"/>
        </w:rPr>
      </w:pPr>
    </w:p>
    <w:p w14:paraId="4C0026CA" w14:textId="77777777" w:rsidR="00C27853" w:rsidRPr="00C27853" w:rsidRDefault="00C27853" w:rsidP="00C27853">
      <w:pPr>
        <w:pStyle w:val="NoSpacing"/>
        <w:rPr>
          <w:rFonts w:ascii="Times New Roman" w:hAnsi="Times New Roman"/>
          <w:b/>
          <w:bCs/>
          <w:sz w:val="24"/>
          <w:szCs w:val="24"/>
        </w:rPr>
      </w:pPr>
      <w:r w:rsidRPr="00C27853">
        <w:rPr>
          <w:rFonts w:ascii="Times New Roman" w:hAnsi="Times New Roman"/>
          <w:b/>
          <w:sz w:val="24"/>
          <w:szCs w:val="24"/>
        </w:rPr>
        <w:t xml:space="preserve">Legal lesson learned:  Jury found him guilty of scheme to defraud insurance company, even if it did not find him guilty of arson. </w:t>
      </w:r>
    </w:p>
    <w:p w14:paraId="3CDCEE6C" w14:textId="77777777" w:rsidR="00C27853" w:rsidRPr="00C27853" w:rsidRDefault="00C27853" w:rsidP="00C27853">
      <w:pPr>
        <w:pStyle w:val="NoSpacing"/>
        <w:rPr>
          <w:rFonts w:ascii="Times New Roman" w:hAnsi="Times New Roman"/>
          <w:b/>
          <w:bCs/>
          <w:sz w:val="24"/>
          <w:szCs w:val="24"/>
        </w:rPr>
      </w:pPr>
    </w:p>
    <w:p w14:paraId="2CF885C4" w14:textId="02B37350" w:rsidR="00DC77F7" w:rsidRPr="00C27853" w:rsidRDefault="00C27853" w:rsidP="00C27853">
      <w:pPr>
        <w:pStyle w:val="NoSpacing"/>
        <w:ind w:left="720"/>
        <w:rPr>
          <w:rFonts w:ascii="Times New Roman" w:hAnsi="Times New Roman"/>
          <w:sz w:val="24"/>
          <w:szCs w:val="24"/>
        </w:rPr>
      </w:pPr>
      <w:r w:rsidRPr="00C27853">
        <w:rPr>
          <w:rFonts w:ascii="Times New Roman" w:hAnsi="Times New Roman"/>
          <w:sz w:val="24"/>
          <w:szCs w:val="24"/>
        </w:rPr>
        <w:lastRenderedPageBreak/>
        <w:t xml:space="preserve">Note: See Nov. 14, </w:t>
      </w:r>
      <w:proofErr w:type="gramStart"/>
      <w:r w:rsidRPr="00C27853">
        <w:rPr>
          <w:rFonts w:ascii="Times New Roman" w:hAnsi="Times New Roman"/>
          <w:sz w:val="24"/>
          <w:szCs w:val="24"/>
        </w:rPr>
        <w:t>2009</w:t>
      </w:r>
      <w:proofErr w:type="gramEnd"/>
      <w:r w:rsidRPr="00C27853">
        <w:rPr>
          <w:rFonts w:ascii="Times New Roman" w:hAnsi="Times New Roman"/>
          <w:sz w:val="24"/>
          <w:szCs w:val="24"/>
        </w:rPr>
        <w:t xml:space="preserve"> U.S Department of Justice Press Release, “Baton Rouge Man Indicted for Use of Fire to Commit a Felony, Use of Fire to Maliciously Damage Property, and Wire Fraud.” </w:t>
      </w:r>
      <w:hyperlink r:id="rId72" w:history="1">
        <w:r w:rsidRPr="00C27853">
          <w:rPr>
            <w:rStyle w:val="Hyperlink"/>
            <w:rFonts w:ascii="Times New Roman" w:hAnsi="Times New Roman"/>
            <w:sz w:val="24"/>
            <w:szCs w:val="24"/>
          </w:rPr>
          <w:t>https://www.justice.gov/usao-mdla/pr/baton-rouge-man-indicted-use-fire-commit-felony-use-fire-maliciously-damage-property</w:t>
        </w:r>
      </w:hyperlink>
    </w:p>
    <w:p w14:paraId="3D4A31ED" w14:textId="77777777" w:rsidR="00DC77F7" w:rsidRDefault="00DC77F7" w:rsidP="007B08FB">
      <w:pPr>
        <w:pStyle w:val="NoSpacing"/>
        <w:rPr>
          <w:rFonts w:ascii="Arial Black" w:hAnsi="Arial Black"/>
          <w:sz w:val="24"/>
          <w:szCs w:val="24"/>
        </w:rPr>
      </w:pPr>
    </w:p>
    <w:p w14:paraId="1C5D3D9D" w14:textId="77777777" w:rsidR="00DC77F7" w:rsidRDefault="00DC77F7" w:rsidP="007B08FB">
      <w:pPr>
        <w:pStyle w:val="NoSpacing"/>
        <w:rPr>
          <w:rFonts w:ascii="Arial Black" w:hAnsi="Arial Black"/>
          <w:sz w:val="24"/>
          <w:szCs w:val="24"/>
        </w:rPr>
      </w:pPr>
    </w:p>
    <w:p w14:paraId="0A696785" w14:textId="626A2012" w:rsidR="007B08FB" w:rsidRDefault="007B08FB" w:rsidP="007B08FB">
      <w:pPr>
        <w:pStyle w:val="NoSpacing"/>
        <w:rPr>
          <w:rFonts w:ascii="Arial Black" w:hAnsi="Arial Black"/>
          <w:sz w:val="24"/>
          <w:szCs w:val="24"/>
        </w:rPr>
      </w:pPr>
      <w:r>
        <w:rPr>
          <w:rFonts w:ascii="Arial Black" w:hAnsi="Arial Black"/>
          <w:sz w:val="24"/>
          <w:szCs w:val="24"/>
        </w:rPr>
        <w:t>1-184</w:t>
      </w:r>
    </w:p>
    <w:p w14:paraId="7F89048C" w14:textId="77777777" w:rsidR="00324C50" w:rsidRDefault="00324C50" w:rsidP="00B86628">
      <w:pPr>
        <w:pStyle w:val="NoSpacing"/>
        <w:rPr>
          <w:rFonts w:ascii="Arial Black" w:hAnsi="Arial Black"/>
          <w:sz w:val="24"/>
          <w:szCs w:val="24"/>
        </w:rPr>
      </w:pPr>
    </w:p>
    <w:p w14:paraId="6F3F1666" w14:textId="77777777" w:rsidR="00324C50" w:rsidRPr="00B50751" w:rsidRDefault="00324C50" w:rsidP="00324C50">
      <w:pPr>
        <w:rPr>
          <w:rFonts w:ascii="Arial Black" w:hAnsi="Arial Black"/>
          <w:b/>
          <w:sz w:val="28"/>
          <w:szCs w:val="28"/>
        </w:rPr>
      </w:pPr>
      <w:r>
        <w:rPr>
          <w:rFonts w:ascii="Arial Black" w:hAnsi="Arial Black"/>
          <w:b/>
          <w:sz w:val="28"/>
          <w:szCs w:val="28"/>
        </w:rPr>
        <w:t>GA:  FIRE MARSHAL – ARRESTED 2 / FIRE EXTIGUISHER CO.</w:t>
      </w:r>
    </w:p>
    <w:p w14:paraId="49709C47" w14:textId="624B27C9" w:rsidR="00324C50" w:rsidRDefault="00324C50" w:rsidP="00324C50">
      <w:pPr>
        <w:pStyle w:val="NoSpacing"/>
        <w:rPr>
          <w:rFonts w:ascii="Times New Roman" w:hAnsi="Times New Roman"/>
          <w:sz w:val="24"/>
          <w:szCs w:val="24"/>
        </w:rPr>
      </w:pPr>
      <w:r w:rsidRPr="00324C50">
        <w:rPr>
          <w:rFonts w:ascii="Times New Roman" w:hAnsi="Times New Roman"/>
          <w:sz w:val="24"/>
          <w:szCs w:val="24"/>
        </w:rPr>
        <w:t xml:space="preserve">On June 26, 2025, in </w:t>
      </w:r>
      <w:r w:rsidRPr="00324C50">
        <w:rPr>
          <w:rFonts w:ascii="Times New Roman" w:hAnsi="Times New Roman"/>
          <w:sz w:val="24"/>
          <w:szCs w:val="24"/>
          <w:u w:val="single"/>
        </w:rPr>
        <w:t>Karen Diane Wynn Lyle and Lyle Mobile Fire Protection, LLC v. Jerry D. Heath, Jr., individually and in his capacity as Fire Marshal of the City of Hinesville, and the City of Hinesville</w:t>
      </w:r>
      <w:r w:rsidRPr="00324C50">
        <w:rPr>
          <w:rFonts w:ascii="Times New Roman" w:hAnsi="Times New Roman"/>
          <w:sz w:val="24"/>
          <w:szCs w:val="24"/>
        </w:rPr>
        <w:t xml:space="preserve">, the Court of Appeals of Georgia, Third Division, reversed the dismissal of this lawsuit on the basis of governmental immunity, and ordered that pre-trial discovery proceed in this civil lawsuit for malicious prosecution, false arrest, defamation, slander per se, and tortious interference with a business relationship.  Karen Lyle is an elementary school </w:t>
      </w:r>
      <w:proofErr w:type="gramStart"/>
      <w:r w:rsidRPr="00324C50">
        <w:rPr>
          <w:rFonts w:ascii="Times New Roman" w:hAnsi="Times New Roman"/>
          <w:sz w:val="24"/>
          <w:szCs w:val="24"/>
        </w:rPr>
        <w:t>teacher, and</w:t>
      </w:r>
      <w:proofErr w:type="gramEnd"/>
      <w:r w:rsidRPr="00324C50">
        <w:rPr>
          <w:rFonts w:ascii="Times New Roman" w:hAnsi="Times New Roman"/>
          <w:sz w:val="24"/>
          <w:szCs w:val="24"/>
        </w:rPr>
        <w:t xml:space="preserve"> also worked as a bookkeeper for her late husband (died in 2019), who founded the fire extinguisher company.  Starting in </w:t>
      </w:r>
      <w:proofErr w:type="gramStart"/>
      <w:r w:rsidRPr="00324C50">
        <w:rPr>
          <w:rFonts w:ascii="Times New Roman" w:hAnsi="Times New Roman"/>
          <w:sz w:val="24"/>
          <w:szCs w:val="24"/>
        </w:rPr>
        <w:t>September,</w:t>
      </w:r>
      <w:proofErr w:type="gramEnd"/>
      <w:r w:rsidRPr="00324C50">
        <w:rPr>
          <w:rFonts w:ascii="Times New Roman" w:hAnsi="Times New Roman"/>
          <w:sz w:val="24"/>
          <w:szCs w:val="24"/>
        </w:rPr>
        <w:t xml:space="preserve"> 2020, Fire Marshal Heath contacted Shane Taylor with the Enforcement Division of the Insurance and Fire Safety Commissioner's Office regarding LMFP and certain improperly tagged fire extinguishers; Mr. Taylor then spoke with both Karen Lyle and employee John Mann about state regulations.  [TWO ARRESTS.]  On May 4, 2012, the Fire Marshall arrested Ms. Lyle while teaching at her elementary school; and on May 7, 202 he arrested John Mann for “impersonating a fireman” and “failing to abide by fire extinguisher and suppression systems regulations.” On Jan. 26, 2023, all charges were dropped.  THE COURT HELD:  “We therefore vacate the order and remand to more fully develop the factual record, not only as to Heath's status as a municipal or state actor, but also as to the full investigation, which will bear on the remaining questions as to whether the City or Heath are protected by sovereign or official immunity (or whether the Georgia Tort Claims Act applied), and whether Heath acted with malice and its effect on the application of immunity in this case. Thus, we decline the City's request to apply the sovereign immunity analysis </w:t>
      </w:r>
      <w:proofErr w:type="gramStart"/>
      <w:r w:rsidRPr="00324C50">
        <w:rPr>
          <w:rFonts w:ascii="Times New Roman" w:hAnsi="Times New Roman"/>
          <w:sz w:val="24"/>
          <w:szCs w:val="24"/>
        </w:rPr>
        <w:t>at this time</w:t>
      </w:r>
      <w:proofErr w:type="gramEnd"/>
      <w:r w:rsidRPr="00324C50">
        <w:rPr>
          <w:rFonts w:ascii="Times New Roman" w:hAnsi="Times New Roman"/>
          <w:sz w:val="24"/>
          <w:szCs w:val="24"/>
        </w:rPr>
        <w:t xml:space="preserve">.” </w:t>
      </w:r>
      <w:hyperlink r:id="rId73" w:history="1">
        <w:r w:rsidRPr="00324C50">
          <w:rPr>
            <w:rStyle w:val="Hyperlink"/>
            <w:rFonts w:ascii="Times New Roman" w:hAnsi="Times New Roman"/>
            <w:sz w:val="24"/>
            <w:szCs w:val="24"/>
          </w:rPr>
          <w:t>https://caselaw.findlaw.com/court/ga-court-of-appeals/117421566.html</w:t>
        </w:r>
      </w:hyperlink>
    </w:p>
    <w:p w14:paraId="0B17BA8D" w14:textId="77777777" w:rsidR="00E02F60" w:rsidRDefault="00E02F60" w:rsidP="00324C50">
      <w:pPr>
        <w:pStyle w:val="NoSpacing"/>
        <w:rPr>
          <w:rFonts w:ascii="Times New Roman" w:hAnsi="Times New Roman"/>
          <w:sz w:val="24"/>
          <w:szCs w:val="24"/>
        </w:rPr>
      </w:pPr>
    </w:p>
    <w:p w14:paraId="31B199F2" w14:textId="77777777" w:rsidR="00E02F60" w:rsidRPr="00E02F60" w:rsidRDefault="00E02F60" w:rsidP="00E02F60">
      <w:pPr>
        <w:rPr>
          <w:rFonts w:ascii="Times New Roman" w:hAnsi="Times New Roman"/>
          <w:b/>
          <w:bCs/>
          <w:sz w:val="24"/>
          <w:szCs w:val="24"/>
        </w:rPr>
      </w:pPr>
      <w:r w:rsidRPr="00E02F60">
        <w:rPr>
          <w:rFonts w:ascii="Times New Roman" w:hAnsi="Times New Roman"/>
          <w:b/>
          <w:sz w:val="24"/>
          <w:szCs w:val="24"/>
        </w:rPr>
        <w:t xml:space="preserve">Legal lesson learned: Very strange set of facts; there must be “more to this story.”  Pre-trial discovery will now proceed. </w:t>
      </w:r>
    </w:p>
    <w:p w14:paraId="1AAE8545" w14:textId="77777777" w:rsidR="00465650" w:rsidRDefault="00465650" w:rsidP="006F7F26">
      <w:pPr>
        <w:rPr>
          <w:rFonts w:ascii="Arial Black" w:hAnsi="Arial Black"/>
          <w:b/>
          <w:sz w:val="28"/>
          <w:szCs w:val="28"/>
        </w:rPr>
      </w:pPr>
    </w:p>
    <w:p w14:paraId="2ADC53AD" w14:textId="5EBA81C3" w:rsidR="00465650" w:rsidRDefault="00465650" w:rsidP="00465650">
      <w:pPr>
        <w:pStyle w:val="NoSpacing"/>
        <w:rPr>
          <w:rFonts w:ascii="Arial Black" w:hAnsi="Arial Black"/>
          <w:sz w:val="24"/>
          <w:szCs w:val="24"/>
        </w:rPr>
      </w:pPr>
      <w:r>
        <w:rPr>
          <w:rFonts w:ascii="Arial Black" w:hAnsi="Arial Black"/>
          <w:sz w:val="24"/>
          <w:szCs w:val="24"/>
        </w:rPr>
        <w:t>1-183</w:t>
      </w:r>
    </w:p>
    <w:p w14:paraId="09472BD6" w14:textId="77777777" w:rsidR="007B08FB" w:rsidRDefault="007B08FB" w:rsidP="00465650">
      <w:pPr>
        <w:pStyle w:val="NoSpacing"/>
        <w:rPr>
          <w:rFonts w:ascii="Arial Black" w:hAnsi="Arial Black"/>
          <w:b/>
          <w:sz w:val="28"/>
          <w:szCs w:val="28"/>
        </w:rPr>
      </w:pPr>
    </w:p>
    <w:p w14:paraId="1A9635FD" w14:textId="282B9413" w:rsidR="006F7F26" w:rsidRPr="004310F3" w:rsidRDefault="006F7F26" w:rsidP="006F7F26">
      <w:pPr>
        <w:rPr>
          <w:rFonts w:ascii="Arial Black" w:hAnsi="Arial Black"/>
          <w:b/>
          <w:sz w:val="28"/>
          <w:szCs w:val="28"/>
        </w:rPr>
      </w:pPr>
      <w:r>
        <w:rPr>
          <w:rFonts w:ascii="Arial Black" w:hAnsi="Arial Black"/>
          <w:b/>
          <w:sz w:val="28"/>
          <w:szCs w:val="28"/>
        </w:rPr>
        <w:t>FL: APT FIRE / DEATH – PUNITIVE DAMAGES FOR CODE VIOL</w:t>
      </w:r>
    </w:p>
    <w:p w14:paraId="0FA1F611" w14:textId="77777777" w:rsidR="006F7F26" w:rsidRPr="00C30ADD" w:rsidRDefault="006F7F26" w:rsidP="006F7F26">
      <w:pPr>
        <w:pStyle w:val="NoSpacing"/>
        <w:rPr>
          <w:rFonts w:ascii="Times New Roman" w:hAnsi="Times New Roman"/>
          <w:sz w:val="24"/>
          <w:szCs w:val="24"/>
        </w:rPr>
      </w:pPr>
      <w:r w:rsidRPr="00C30ADD">
        <w:rPr>
          <w:rFonts w:ascii="Times New Roman" w:hAnsi="Times New Roman"/>
          <w:sz w:val="24"/>
          <w:szCs w:val="24"/>
        </w:rPr>
        <w:t xml:space="preserve">On June 18, 2025, in  </w:t>
      </w:r>
      <w:proofErr w:type="spellStart"/>
      <w:r w:rsidRPr="00C30ADD">
        <w:rPr>
          <w:rFonts w:ascii="Times New Roman" w:hAnsi="Times New Roman"/>
          <w:sz w:val="24"/>
          <w:szCs w:val="24"/>
          <w:u w:val="single"/>
        </w:rPr>
        <w:t>Menada</w:t>
      </w:r>
      <w:proofErr w:type="spellEnd"/>
      <w:r w:rsidRPr="00C30ADD">
        <w:rPr>
          <w:rFonts w:ascii="Times New Roman" w:hAnsi="Times New Roman"/>
          <w:sz w:val="24"/>
          <w:szCs w:val="24"/>
          <w:u w:val="single"/>
        </w:rPr>
        <w:t>, Inc., et al. v. Gabriela Arevalo</w:t>
      </w:r>
      <w:r w:rsidRPr="00C30ADD">
        <w:rPr>
          <w:rFonts w:ascii="Times New Roman" w:hAnsi="Times New Roman"/>
          <w:sz w:val="24"/>
          <w:szCs w:val="24"/>
        </w:rPr>
        <w:t>. The Florida Court of Appeals, Third District, held (3 to 0) that family of the adult, blind son who did on the 15</w:t>
      </w:r>
      <w:r w:rsidRPr="00C30ADD">
        <w:rPr>
          <w:rFonts w:ascii="Times New Roman" w:hAnsi="Times New Roman"/>
          <w:sz w:val="24"/>
          <w:szCs w:val="24"/>
          <w:vertAlign w:val="superscript"/>
        </w:rPr>
        <w:t>th</w:t>
      </w:r>
      <w:r w:rsidRPr="00C30ADD">
        <w:rPr>
          <w:rFonts w:ascii="Times New Roman" w:hAnsi="Times New Roman"/>
          <w:sz w:val="24"/>
          <w:szCs w:val="24"/>
        </w:rPr>
        <w:t xml:space="preserve"> floor of the building with numerous prior code violations by City of Miami Beach, may file a lawsuit seeking punitive damages.  City of Miami Beach “Special Master” had previously determined the 15</w:t>
      </w:r>
      <w:r w:rsidRPr="00C30ADD">
        <w:rPr>
          <w:rFonts w:ascii="Times New Roman" w:hAnsi="Times New Roman"/>
          <w:sz w:val="24"/>
          <w:szCs w:val="24"/>
          <w:vertAlign w:val="superscript"/>
        </w:rPr>
        <w:t>th</w:t>
      </w:r>
      <w:r w:rsidRPr="00C30ADD">
        <w:rPr>
          <w:rFonts w:ascii="Times New Roman" w:hAnsi="Times New Roman"/>
          <w:sz w:val="24"/>
          <w:szCs w:val="24"/>
        </w:rPr>
        <w:t xml:space="preserve"> floor to be unsafe and prohibited any tenants on that floor. The hotel / apartment building had been fined $6.5 million for fire related violations, including the imposition of a daily fine of $1,000.00 for each day of noncompliance starting from April 1, 2018.  THE COURT HELD: “The trial court concluded that Arevalo satisfied the punitive damages pleading standard set forth in section 768.72(1), Florida Statutes (2024), which requires ‘a reasonable showing by evidence in the record or proffered by the claimant which would provide a reasonable basis for recovery of such damages.’ We agree and therefore affirm.” </w:t>
      </w:r>
      <w:hyperlink r:id="rId74" w:history="1">
        <w:r w:rsidRPr="00C30ADD">
          <w:rPr>
            <w:rStyle w:val="Hyperlink"/>
            <w:rFonts w:ascii="Times New Roman" w:hAnsi="Times New Roman"/>
            <w:sz w:val="24"/>
            <w:szCs w:val="24"/>
          </w:rPr>
          <w:t>https://cases.justia.com/florida/third-district-court-of-appeal/2025-3d23-1625.pdf?ts=1750259354</w:t>
        </w:r>
      </w:hyperlink>
      <w:r w:rsidRPr="00C30ADD">
        <w:rPr>
          <w:rFonts w:ascii="Times New Roman" w:hAnsi="Times New Roman"/>
          <w:sz w:val="24"/>
          <w:szCs w:val="24"/>
        </w:rPr>
        <w:t xml:space="preserve"> </w:t>
      </w:r>
    </w:p>
    <w:p w14:paraId="5369A4C5" w14:textId="77777777" w:rsidR="006F7F26" w:rsidRPr="00C30ADD" w:rsidRDefault="006F7F26" w:rsidP="006F7F26">
      <w:pPr>
        <w:pStyle w:val="NoSpacing"/>
        <w:ind w:left="720"/>
        <w:rPr>
          <w:rFonts w:ascii="Times New Roman" w:hAnsi="Times New Roman"/>
          <w:sz w:val="24"/>
          <w:szCs w:val="24"/>
        </w:rPr>
      </w:pPr>
    </w:p>
    <w:p w14:paraId="614F065A" w14:textId="77777777" w:rsidR="00C30ADD" w:rsidRPr="00C30ADD" w:rsidRDefault="00C30ADD" w:rsidP="00C30ADD">
      <w:pPr>
        <w:pStyle w:val="NoSpacing"/>
        <w:rPr>
          <w:rFonts w:ascii="Times New Roman" w:hAnsi="Times New Roman"/>
          <w:b/>
          <w:bCs/>
          <w:sz w:val="24"/>
          <w:szCs w:val="24"/>
        </w:rPr>
      </w:pPr>
      <w:r w:rsidRPr="00C30ADD">
        <w:rPr>
          <w:rFonts w:ascii="Times New Roman" w:hAnsi="Times New Roman"/>
          <w:b/>
          <w:sz w:val="24"/>
          <w:szCs w:val="24"/>
        </w:rPr>
        <w:lastRenderedPageBreak/>
        <w:t xml:space="preserve">Legal lesson learned: Tenant’s death, with fire code violations, will now proceed to a jury trial that could impose punitive damages.  Insurance does not cover punitive </w:t>
      </w:r>
      <w:proofErr w:type="gramStart"/>
      <w:r w:rsidRPr="00C30ADD">
        <w:rPr>
          <w:rFonts w:ascii="Times New Roman" w:hAnsi="Times New Roman"/>
          <w:b/>
          <w:sz w:val="24"/>
          <w:szCs w:val="24"/>
        </w:rPr>
        <w:t>damages</w:t>
      </w:r>
      <w:proofErr w:type="gramEnd"/>
      <w:r w:rsidRPr="00C30ADD">
        <w:rPr>
          <w:rFonts w:ascii="Times New Roman" w:hAnsi="Times New Roman"/>
          <w:b/>
          <w:sz w:val="24"/>
          <w:szCs w:val="24"/>
        </w:rPr>
        <w:t xml:space="preserve"> in Florida, which is </w:t>
      </w:r>
      <w:proofErr w:type="gramStart"/>
      <w:r w:rsidRPr="00C30ADD">
        <w:rPr>
          <w:rFonts w:ascii="Times New Roman" w:hAnsi="Times New Roman"/>
          <w:b/>
          <w:sz w:val="24"/>
          <w:szCs w:val="24"/>
        </w:rPr>
        <w:t>similar to</w:t>
      </w:r>
      <w:proofErr w:type="gramEnd"/>
      <w:r w:rsidRPr="00C30ADD">
        <w:rPr>
          <w:rFonts w:ascii="Times New Roman" w:hAnsi="Times New Roman"/>
          <w:b/>
          <w:sz w:val="24"/>
          <w:szCs w:val="24"/>
        </w:rPr>
        <w:t xml:space="preserve"> many states.  </w:t>
      </w:r>
    </w:p>
    <w:p w14:paraId="2FB385F6" w14:textId="77777777" w:rsidR="00C30ADD" w:rsidRPr="00C30ADD" w:rsidRDefault="00C30ADD" w:rsidP="00C30ADD">
      <w:pPr>
        <w:pStyle w:val="NoSpacing"/>
        <w:rPr>
          <w:rFonts w:ascii="Times New Roman" w:hAnsi="Times New Roman"/>
          <w:sz w:val="24"/>
          <w:szCs w:val="24"/>
        </w:rPr>
      </w:pPr>
    </w:p>
    <w:p w14:paraId="1526EAFD" w14:textId="34F33A36" w:rsidR="00C30ADD" w:rsidRPr="00C30ADD" w:rsidRDefault="00C30ADD" w:rsidP="00C30ADD">
      <w:pPr>
        <w:pStyle w:val="NoSpacing"/>
        <w:ind w:left="720"/>
        <w:rPr>
          <w:rFonts w:ascii="Times New Roman" w:hAnsi="Times New Roman"/>
          <w:sz w:val="24"/>
          <w:szCs w:val="24"/>
        </w:rPr>
      </w:pPr>
      <w:r w:rsidRPr="00C30ADD">
        <w:rPr>
          <w:rFonts w:ascii="Times New Roman" w:hAnsi="Times New Roman"/>
          <w:sz w:val="24"/>
          <w:szCs w:val="24"/>
        </w:rPr>
        <w:t xml:space="preserve">Note: See the Concurring Opinion by Judge Monic Gordo – </w:t>
      </w:r>
      <w:r>
        <w:rPr>
          <w:rFonts w:ascii="Times New Roman" w:hAnsi="Times New Roman"/>
          <w:sz w:val="24"/>
          <w:szCs w:val="24"/>
        </w:rPr>
        <w:t xml:space="preserve">Code violations </w:t>
      </w:r>
      <w:r w:rsidRPr="00C30ADD">
        <w:rPr>
          <w:rFonts w:ascii="Times New Roman" w:hAnsi="Times New Roman"/>
          <w:sz w:val="24"/>
          <w:szCs w:val="24"/>
        </w:rPr>
        <w:t xml:space="preserve">“SHOCK THE CONCIOUS.”  </w:t>
      </w:r>
    </w:p>
    <w:p w14:paraId="11119D5E" w14:textId="77777777" w:rsidR="00C30ADD" w:rsidRPr="00C30ADD" w:rsidRDefault="00C30ADD" w:rsidP="00C30ADD">
      <w:pPr>
        <w:pStyle w:val="NoSpacing"/>
        <w:ind w:firstLine="720"/>
        <w:rPr>
          <w:rFonts w:ascii="Times New Roman" w:hAnsi="Times New Roman"/>
          <w:sz w:val="24"/>
          <w:szCs w:val="24"/>
        </w:rPr>
      </w:pPr>
    </w:p>
    <w:p w14:paraId="6BCECE20" w14:textId="77777777" w:rsidR="00C30ADD" w:rsidRPr="00C30ADD" w:rsidRDefault="00C30ADD" w:rsidP="00C30ADD">
      <w:pPr>
        <w:pStyle w:val="NoSpacing"/>
        <w:ind w:left="720"/>
        <w:rPr>
          <w:rFonts w:ascii="Times New Roman" w:hAnsi="Times New Roman"/>
          <w:sz w:val="24"/>
          <w:szCs w:val="24"/>
        </w:rPr>
      </w:pPr>
      <w:r w:rsidRPr="00C30ADD">
        <w:rPr>
          <w:rFonts w:ascii="Times New Roman" w:hAnsi="Times New Roman"/>
          <w:sz w:val="24"/>
          <w:szCs w:val="24"/>
        </w:rPr>
        <w:t>“In my view, this case presents a perfect example of the kind of allegations that, if proven to be true, not only shock the conscience but are likely to merit punitive damages.</w:t>
      </w:r>
    </w:p>
    <w:p w14:paraId="77C69D8E" w14:textId="77777777" w:rsidR="00C30ADD" w:rsidRPr="00C30ADD" w:rsidRDefault="00C30ADD" w:rsidP="00C30ADD">
      <w:pPr>
        <w:pStyle w:val="NoSpacing"/>
        <w:ind w:firstLine="720"/>
        <w:rPr>
          <w:rFonts w:ascii="Times New Roman" w:hAnsi="Times New Roman"/>
          <w:sz w:val="24"/>
          <w:szCs w:val="24"/>
        </w:rPr>
      </w:pPr>
      <w:r w:rsidRPr="00C30ADD">
        <w:rPr>
          <w:rFonts w:ascii="Times New Roman" w:hAnsi="Times New Roman"/>
          <w:sz w:val="24"/>
          <w:szCs w:val="24"/>
        </w:rPr>
        <w:t>The proffer by the plaintiff in this case included evidence that the appellants:</w:t>
      </w:r>
    </w:p>
    <w:p w14:paraId="19973B36" w14:textId="77777777" w:rsidR="00C30ADD" w:rsidRPr="00C30ADD" w:rsidRDefault="00C30ADD" w:rsidP="00C30ADD">
      <w:pPr>
        <w:pStyle w:val="NoSpacing"/>
        <w:ind w:firstLine="720"/>
        <w:rPr>
          <w:rFonts w:ascii="Times New Roman" w:hAnsi="Times New Roman"/>
          <w:sz w:val="24"/>
          <w:szCs w:val="24"/>
        </w:rPr>
      </w:pPr>
    </w:p>
    <w:p w14:paraId="59C74C60" w14:textId="77777777" w:rsidR="00C30ADD" w:rsidRPr="00C30ADD" w:rsidRDefault="00C30ADD" w:rsidP="00C30ADD">
      <w:pPr>
        <w:pStyle w:val="NoSpacing"/>
        <w:ind w:left="720"/>
        <w:rPr>
          <w:rFonts w:ascii="Times New Roman" w:hAnsi="Times New Roman"/>
          <w:sz w:val="24"/>
          <w:szCs w:val="24"/>
        </w:rPr>
      </w:pPr>
      <w:r w:rsidRPr="00C30ADD">
        <w:rPr>
          <w:rFonts w:ascii="Times New Roman" w:hAnsi="Times New Roman"/>
          <w:sz w:val="24"/>
          <w:szCs w:val="24"/>
        </w:rPr>
        <w:t>• Engaged in fire safety violations that date back decades and which continued through the date of the subject fire resulting in repeated fines and reprimands from authorities;</w:t>
      </w:r>
    </w:p>
    <w:p w14:paraId="4DC9DCD6" w14:textId="77777777" w:rsidR="00C30ADD" w:rsidRPr="00C30ADD" w:rsidRDefault="00C30ADD" w:rsidP="00C30ADD">
      <w:pPr>
        <w:pStyle w:val="NoSpacing"/>
        <w:ind w:left="720"/>
        <w:rPr>
          <w:rFonts w:ascii="Times New Roman" w:hAnsi="Times New Roman"/>
          <w:sz w:val="24"/>
          <w:szCs w:val="24"/>
        </w:rPr>
      </w:pPr>
      <w:r w:rsidRPr="00C30ADD">
        <w:rPr>
          <w:rFonts w:ascii="Times New Roman" w:hAnsi="Times New Roman"/>
          <w:sz w:val="24"/>
          <w:szCs w:val="24"/>
        </w:rPr>
        <w:br/>
        <w:t xml:space="preserve">• Have been fined at least $6.5 million for fire related violations, including the imposition of a daily fine of $1,000.00 for each day of noncompliance starting from April 1, </w:t>
      </w:r>
      <w:proofErr w:type="gramStart"/>
      <w:r w:rsidRPr="00C30ADD">
        <w:rPr>
          <w:rFonts w:ascii="Times New Roman" w:hAnsi="Times New Roman"/>
          <w:sz w:val="24"/>
          <w:szCs w:val="24"/>
        </w:rPr>
        <w:t>2018</w:t>
      </w:r>
      <w:proofErr w:type="gramEnd"/>
      <w:r w:rsidRPr="00C30ADD">
        <w:rPr>
          <w:rFonts w:ascii="Times New Roman" w:hAnsi="Times New Roman"/>
          <w:sz w:val="24"/>
          <w:szCs w:val="24"/>
        </w:rPr>
        <w:t xml:space="preserve"> through the date of the subject fire;</w:t>
      </w:r>
    </w:p>
    <w:p w14:paraId="5429CF0A" w14:textId="77777777" w:rsidR="00C30ADD" w:rsidRPr="00C30ADD" w:rsidRDefault="00C30ADD" w:rsidP="00C30ADD">
      <w:pPr>
        <w:pStyle w:val="NoSpacing"/>
        <w:ind w:left="720"/>
        <w:rPr>
          <w:rFonts w:ascii="Times New Roman" w:hAnsi="Times New Roman"/>
          <w:sz w:val="24"/>
          <w:szCs w:val="24"/>
        </w:rPr>
      </w:pPr>
      <w:r w:rsidRPr="00C30ADD">
        <w:rPr>
          <w:rFonts w:ascii="Times New Roman" w:hAnsi="Times New Roman"/>
          <w:sz w:val="24"/>
          <w:szCs w:val="24"/>
        </w:rPr>
        <w:br/>
        <w:t>• Failed to meet their own submitted compliance deadlines and the City of Miami Beach’s compliance deadlines to install legally required sprinklers in all units on multiple floors, including the unit where the appellants moved the plaintiff and the decedent;</w:t>
      </w:r>
    </w:p>
    <w:p w14:paraId="62F88F8B" w14:textId="77777777" w:rsidR="00C30ADD" w:rsidRPr="00C30ADD" w:rsidRDefault="00C30ADD" w:rsidP="00C30ADD">
      <w:pPr>
        <w:pStyle w:val="NoSpacing"/>
        <w:ind w:left="720"/>
        <w:rPr>
          <w:rFonts w:ascii="Times New Roman" w:hAnsi="Times New Roman"/>
          <w:sz w:val="24"/>
          <w:szCs w:val="24"/>
        </w:rPr>
      </w:pPr>
      <w:r w:rsidRPr="00C30ADD">
        <w:rPr>
          <w:rFonts w:ascii="Times New Roman" w:hAnsi="Times New Roman"/>
          <w:sz w:val="24"/>
          <w:szCs w:val="24"/>
        </w:rPr>
        <w:br/>
        <w:t>• Implemented a life-threatening policy whereby security guards and employees were instructed and required to acknowledge and then silence fire alarms immediately upon them sounding;</w:t>
      </w:r>
    </w:p>
    <w:p w14:paraId="74A7AA53" w14:textId="77777777" w:rsidR="00C30ADD" w:rsidRPr="00C30ADD" w:rsidRDefault="00C30ADD" w:rsidP="00C30ADD">
      <w:pPr>
        <w:pStyle w:val="NoSpacing"/>
        <w:ind w:left="720"/>
        <w:rPr>
          <w:rFonts w:ascii="Times New Roman" w:hAnsi="Times New Roman"/>
          <w:sz w:val="24"/>
          <w:szCs w:val="24"/>
        </w:rPr>
      </w:pPr>
      <w:r w:rsidRPr="00C30ADD">
        <w:rPr>
          <w:rFonts w:ascii="Times New Roman" w:hAnsi="Times New Roman"/>
          <w:sz w:val="24"/>
          <w:szCs w:val="24"/>
        </w:rPr>
        <w:br/>
        <w:t xml:space="preserve">• </w:t>
      </w:r>
      <w:proofErr w:type="gramStart"/>
      <w:r w:rsidRPr="00C30ADD">
        <w:rPr>
          <w:rFonts w:ascii="Times New Roman" w:hAnsi="Times New Roman"/>
          <w:sz w:val="24"/>
          <w:szCs w:val="24"/>
        </w:rPr>
        <w:t>Specifically</w:t>
      </w:r>
      <w:proofErr w:type="gramEnd"/>
      <w:r w:rsidRPr="00C30ADD">
        <w:rPr>
          <w:rFonts w:ascii="Times New Roman" w:hAnsi="Times New Roman"/>
          <w:sz w:val="24"/>
          <w:szCs w:val="24"/>
        </w:rPr>
        <w:t xml:space="preserve"> and consciously placed the decedent, who was legally blind, in a unit on the fifteenth floor—a floor the City of Miami Beach Special Master had previously determined to be unsafe and on which the appellants were prohibited from placing tenants;</w:t>
      </w:r>
    </w:p>
    <w:p w14:paraId="5F3E2265" w14:textId="77777777" w:rsidR="00C30ADD" w:rsidRPr="00C30ADD" w:rsidRDefault="00C30ADD" w:rsidP="00C30ADD">
      <w:pPr>
        <w:pStyle w:val="NoSpacing"/>
        <w:ind w:left="720"/>
        <w:rPr>
          <w:rFonts w:ascii="Times New Roman" w:hAnsi="Times New Roman"/>
          <w:sz w:val="24"/>
          <w:szCs w:val="24"/>
        </w:rPr>
      </w:pPr>
      <w:r w:rsidRPr="00C30ADD">
        <w:rPr>
          <w:rFonts w:ascii="Times New Roman" w:hAnsi="Times New Roman"/>
          <w:sz w:val="24"/>
          <w:szCs w:val="24"/>
        </w:rPr>
        <w:br/>
        <w:t xml:space="preserve">• Specifically and consciously placed the decedent in a unit on the fifteenth floor which lacked, among other things: (1) fire sprinklers, (2) the minimum number of code-compliant smoke alarms and/or detectors, (3) code-compliant smoke alarms and/or detectors (the subject smoke detection device expired in 2005) and (4) adequately maintained standpipes which provide a water supply; and </w:t>
      </w:r>
    </w:p>
    <w:p w14:paraId="6DBA5A6D" w14:textId="77777777" w:rsidR="00C30ADD" w:rsidRPr="00C30ADD" w:rsidRDefault="00C30ADD" w:rsidP="00C30ADD">
      <w:pPr>
        <w:pStyle w:val="NoSpacing"/>
        <w:rPr>
          <w:rFonts w:ascii="Times New Roman" w:hAnsi="Times New Roman"/>
          <w:sz w:val="24"/>
          <w:szCs w:val="24"/>
        </w:rPr>
      </w:pPr>
    </w:p>
    <w:p w14:paraId="212BEA5B" w14:textId="77777777" w:rsidR="00C30ADD" w:rsidRPr="00C30ADD" w:rsidRDefault="00C30ADD" w:rsidP="00C30ADD">
      <w:pPr>
        <w:pStyle w:val="NoSpacing"/>
        <w:ind w:left="720"/>
        <w:rPr>
          <w:rFonts w:ascii="Times New Roman" w:hAnsi="Times New Roman"/>
          <w:sz w:val="24"/>
          <w:szCs w:val="24"/>
        </w:rPr>
      </w:pPr>
      <w:r w:rsidRPr="00C30ADD">
        <w:rPr>
          <w:rFonts w:ascii="Times New Roman" w:hAnsi="Times New Roman"/>
          <w:sz w:val="24"/>
          <w:szCs w:val="24"/>
        </w:rPr>
        <w:t xml:space="preserve">• Continued to conduct hotel operations in violation of applicable codes, laws and administrative orders.” </w:t>
      </w:r>
    </w:p>
    <w:p w14:paraId="2CCA681F" w14:textId="77777777" w:rsidR="00C30ADD" w:rsidRDefault="00C30ADD" w:rsidP="00C30ADD">
      <w:pPr>
        <w:pStyle w:val="NoSpacing"/>
      </w:pPr>
    </w:p>
    <w:p w14:paraId="6C09368A" w14:textId="77777777" w:rsidR="00C30ADD" w:rsidRDefault="00C30ADD" w:rsidP="00C30ADD">
      <w:pPr>
        <w:pStyle w:val="NoSpacing"/>
      </w:pPr>
    </w:p>
    <w:p w14:paraId="7A44850F" w14:textId="77777777" w:rsidR="00E02F60" w:rsidRPr="00324C50" w:rsidRDefault="00E02F60" w:rsidP="00324C50">
      <w:pPr>
        <w:pStyle w:val="NoSpacing"/>
        <w:rPr>
          <w:rFonts w:ascii="Times New Roman" w:hAnsi="Times New Roman"/>
          <w:sz w:val="24"/>
          <w:szCs w:val="24"/>
        </w:rPr>
      </w:pPr>
    </w:p>
    <w:p w14:paraId="22478134" w14:textId="77777777" w:rsidR="00324C50" w:rsidRDefault="00324C50" w:rsidP="00B86628">
      <w:pPr>
        <w:pStyle w:val="NoSpacing"/>
        <w:rPr>
          <w:rFonts w:ascii="Arial Black" w:hAnsi="Arial Black"/>
          <w:sz w:val="24"/>
          <w:szCs w:val="24"/>
        </w:rPr>
      </w:pPr>
    </w:p>
    <w:p w14:paraId="724B468E" w14:textId="77777777" w:rsidR="00324C50" w:rsidRDefault="00324C50" w:rsidP="00B86628">
      <w:pPr>
        <w:pStyle w:val="NoSpacing"/>
        <w:rPr>
          <w:rFonts w:ascii="Arial Black" w:hAnsi="Arial Black"/>
          <w:sz w:val="24"/>
          <w:szCs w:val="24"/>
        </w:rPr>
      </w:pPr>
    </w:p>
    <w:p w14:paraId="13841FA7" w14:textId="77777777" w:rsidR="00324C50" w:rsidRDefault="00324C50" w:rsidP="00B86628">
      <w:pPr>
        <w:pStyle w:val="NoSpacing"/>
        <w:rPr>
          <w:rFonts w:ascii="Arial Black" w:hAnsi="Arial Black"/>
          <w:sz w:val="24"/>
          <w:szCs w:val="24"/>
        </w:rPr>
      </w:pPr>
    </w:p>
    <w:p w14:paraId="10ABDE7C" w14:textId="77777777" w:rsidR="00324C50" w:rsidRDefault="00324C50" w:rsidP="00B86628">
      <w:pPr>
        <w:pStyle w:val="NoSpacing"/>
        <w:rPr>
          <w:rFonts w:ascii="Arial Black" w:hAnsi="Arial Black"/>
          <w:sz w:val="24"/>
          <w:szCs w:val="24"/>
        </w:rPr>
      </w:pPr>
    </w:p>
    <w:p w14:paraId="079366CF" w14:textId="4EBF0190" w:rsidR="00AC44B8" w:rsidRDefault="007A4EAE" w:rsidP="00B86628">
      <w:pPr>
        <w:pStyle w:val="NoSpacing"/>
        <w:rPr>
          <w:rFonts w:ascii="Arial Black" w:hAnsi="Arial Black"/>
          <w:sz w:val="24"/>
          <w:szCs w:val="24"/>
        </w:rPr>
      </w:pPr>
      <w:r>
        <w:rPr>
          <w:rFonts w:ascii="Arial Black" w:hAnsi="Arial Black"/>
          <w:sz w:val="24"/>
          <w:szCs w:val="24"/>
        </w:rPr>
        <w:t>1-182</w:t>
      </w:r>
    </w:p>
    <w:p w14:paraId="08D66F7C" w14:textId="77777777" w:rsidR="00261BA4" w:rsidRDefault="00261BA4" w:rsidP="00B86628">
      <w:pPr>
        <w:pStyle w:val="NoSpacing"/>
        <w:rPr>
          <w:rFonts w:ascii="Arial Black" w:hAnsi="Arial Black"/>
          <w:sz w:val="24"/>
          <w:szCs w:val="24"/>
        </w:rPr>
      </w:pPr>
    </w:p>
    <w:p w14:paraId="4B605433" w14:textId="77777777" w:rsidR="00261BA4" w:rsidRDefault="00261BA4" w:rsidP="00261BA4">
      <w:pPr>
        <w:pStyle w:val="NoSpacing"/>
        <w:rPr>
          <w:rFonts w:ascii="Arial Black" w:hAnsi="Arial Black"/>
          <w:bCs/>
          <w:sz w:val="28"/>
          <w:szCs w:val="28"/>
        </w:rPr>
      </w:pPr>
      <w:r>
        <w:rPr>
          <w:rFonts w:ascii="Arial Black" w:hAnsi="Arial Black"/>
          <w:sz w:val="28"/>
          <w:szCs w:val="28"/>
        </w:rPr>
        <w:t>OH: HOUSE DEMOL – NOTIFY OWNER UNLESS FD “EMERG”</w:t>
      </w:r>
    </w:p>
    <w:p w14:paraId="498AFA76" w14:textId="77777777" w:rsidR="00261BA4" w:rsidRDefault="00261BA4" w:rsidP="00261BA4">
      <w:pPr>
        <w:pStyle w:val="NoSpacing"/>
      </w:pPr>
    </w:p>
    <w:p w14:paraId="73B75F6D" w14:textId="77777777" w:rsidR="00261BA4" w:rsidRPr="00261BA4" w:rsidRDefault="00261BA4" w:rsidP="00261BA4">
      <w:pPr>
        <w:pStyle w:val="NoSpacing"/>
        <w:rPr>
          <w:rFonts w:ascii="Times New Roman" w:hAnsi="Times New Roman"/>
          <w:sz w:val="24"/>
          <w:szCs w:val="24"/>
        </w:rPr>
      </w:pPr>
      <w:r w:rsidRPr="00261BA4">
        <w:rPr>
          <w:rFonts w:ascii="Times New Roman" w:hAnsi="Times New Roman"/>
          <w:sz w:val="24"/>
          <w:szCs w:val="24"/>
        </w:rPr>
        <w:t xml:space="preserve">On May 23, 2025, in </w:t>
      </w:r>
      <w:r w:rsidRPr="00261BA4">
        <w:rPr>
          <w:rFonts w:ascii="Times New Roman" w:hAnsi="Times New Roman"/>
          <w:sz w:val="24"/>
          <w:szCs w:val="24"/>
          <w:u w:val="single"/>
        </w:rPr>
        <w:t>Matthew J. Nicholson v. City of Youngstown, Ohio et al</w:t>
      </w:r>
      <w:r w:rsidRPr="00261BA4">
        <w:rPr>
          <w:rFonts w:ascii="Times New Roman" w:hAnsi="Times New Roman"/>
          <w:sz w:val="24"/>
          <w:szCs w:val="24"/>
        </w:rPr>
        <w:t xml:space="preserve">, the Ohio Court of Appeals for Seventh District (Mahoning) held (3 to 0) that trial court improperly granted summary judgment to the City, </w:t>
      </w:r>
      <w:r w:rsidRPr="00261BA4">
        <w:rPr>
          <w:rFonts w:ascii="Times New Roman" w:hAnsi="Times New Roman"/>
          <w:sz w:val="24"/>
          <w:szCs w:val="24"/>
        </w:rPr>
        <w:lastRenderedPageBreak/>
        <w:t xml:space="preserve">since owner was never notified prior to the demolition.  Case returned to trial court; the </w:t>
      </w:r>
      <w:proofErr w:type="gramStart"/>
      <w:r w:rsidRPr="00261BA4">
        <w:rPr>
          <w:rFonts w:ascii="Times New Roman" w:hAnsi="Times New Roman"/>
          <w:sz w:val="24"/>
          <w:szCs w:val="24"/>
        </w:rPr>
        <w:t>City</w:t>
      </w:r>
      <w:proofErr w:type="gramEnd"/>
      <w:r w:rsidRPr="00261BA4">
        <w:rPr>
          <w:rFonts w:ascii="Times New Roman" w:hAnsi="Times New Roman"/>
          <w:sz w:val="24"/>
          <w:szCs w:val="24"/>
        </w:rPr>
        <w:t xml:space="preserve"> must file affidavit or other proof than “emergency” existed </w:t>
      </w:r>
      <w:proofErr w:type="gramStart"/>
      <w:r w:rsidRPr="00261BA4">
        <w:rPr>
          <w:rFonts w:ascii="Times New Roman" w:hAnsi="Times New Roman"/>
          <w:sz w:val="24"/>
          <w:szCs w:val="24"/>
        </w:rPr>
        <w:t>in order to</w:t>
      </w:r>
      <w:proofErr w:type="gramEnd"/>
      <w:r w:rsidRPr="00261BA4">
        <w:rPr>
          <w:rFonts w:ascii="Times New Roman" w:hAnsi="Times New Roman"/>
          <w:sz w:val="24"/>
          <w:szCs w:val="24"/>
        </w:rPr>
        <w:t xml:space="preserve"> collect $7,038.05 demolition charge.</w:t>
      </w:r>
    </w:p>
    <w:p w14:paraId="5CD4BB47" w14:textId="77777777" w:rsidR="00261BA4" w:rsidRPr="00261BA4" w:rsidRDefault="00261BA4" w:rsidP="00261BA4">
      <w:pPr>
        <w:pStyle w:val="NoSpacing"/>
        <w:rPr>
          <w:rFonts w:ascii="Times New Roman" w:hAnsi="Times New Roman"/>
          <w:sz w:val="24"/>
          <w:szCs w:val="24"/>
        </w:rPr>
      </w:pPr>
    </w:p>
    <w:p w14:paraId="6821752C" w14:textId="77777777" w:rsidR="00261BA4" w:rsidRPr="00261BA4" w:rsidRDefault="00261BA4" w:rsidP="00261BA4">
      <w:pPr>
        <w:pStyle w:val="NoSpacing"/>
        <w:rPr>
          <w:rFonts w:ascii="Times New Roman" w:hAnsi="Times New Roman"/>
          <w:sz w:val="24"/>
          <w:szCs w:val="24"/>
        </w:rPr>
      </w:pPr>
      <w:r w:rsidRPr="00261BA4">
        <w:rPr>
          <w:rFonts w:ascii="Times New Roman" w:hAnsi="Times New Roman"/>
          <w:sz w:val="24"/>
          <w:szCs w:val="24"/>
        </w:rPr>
        <w:t>The Court wrote:</w:t>
      </w:r>
    </w:p>
    <w:p w14:paraId="669905C7" w14:textId="77777777" w:rsidR="00261BA4" w:rsidRPr="00261BA4" w:rsidRDefault="00261BA4" w:rsidP="00261BA4">
      <w:pPr>
        <w:pStyle w:val="NoSpacing"/>
        <w:ind w:left="720"/>
        <w:rPr>
          <w:rFonts w:ascii="Times New Roman" w:hAnsi="Times New Roman"/>
          <w:sz w:val="24"/>
          <w:szCs w:val="24"/>
        </w:rPr>
      </w:pPr>
    </w:p>
    <w:p w14:paraId="2A745151" w14:textId="177F999C" w:rsidR="00261BA4" w:rsidRPr="00261BA4" w:rsidRDefault="00261BA4" w:rsidP="00261BA4">
      <w:pPr>
        <w:pStyle w:val="NoSpacing"/>
        <w:rPr>
          <w:rFonts w:ascii="Times New Roman" w:hAnsi="Times New Roman"/>
          <w:sz w:val="24"/>
          <w:szCs w:val="24"/>
        </w:rPr>
      </w:pPr>
      <w:r w:rsidRPr="00261BA4">
        <w:rPr>
          <w:rFonts w:ascii="Times New Roman" w:hAnsi="Times New Roman"/>
          <w:sz w:val="24"/>
          <w:szCs w:val="24"/>
        </w:rPr>
        <w:t xml:space="preserve">Appellees [City] admitted they knew or should have known that Appellant was the owner of the property. In their trial court documents they argued that prior notice was unnecessary because the Fire Chief declared that the house was a public health hazard, that it created an immediate threat to public health and safety, and as such, its condition constituted an emergency. They cited Youngstown Codified Ordinance 1525.01(c) that allows the Fire Chief to order the demolition of any unsafe structure in case of an emergency. They also cited Youngstown Codified Ordinance 1309.04, stating that emergency demolitions require no prior notice to the property owner. They submitted no evidence in support of the alleged emergency.” </w:t>
      </w:r>
      <w:hyperlink r:id="rId75" w:history="1">
        <w:r w:rsidRPr="00261BA4">
          <w:rPr>
            <w:rStyle w:val="Hyperlink"/>
            <w:rFonts w:ascii="Times New Roman" w:hAnsi="Times New Roman"/>
            <w:sz w:val="24"/>
            <w:szCs w:val="24"/>
          </w:rPr>
          <w:t>https://www.supremecourt.ohio.gov/rod/docs/pdf/7/2025/2025-Ohio-1915.pdf</w:t>
        </w:r>
      </w:hyperlink>
    </w:p>
    <w:p w14:paraId="5575F720" w14:textId="77777777" w:rsidR="00AC44B8" w:rsidRDefault="00AC44B8" w:rsidP="00B86628">
      <w:pPr>
        <w:pStyle w:val="NoSpacing"/>
        <w:rPr>
          <w:rFonts w:ascii="Times New Roman" w:hAnsi="Times New Roman"/>
          <w:sz w:val="24"/>
          <w:szCs w:val="24"/>
        </w:rPr>
      </w:pPr>
    </w:p>
    <w:p w14:paraId="0CD4C78B" w14:textId="121426E2" w:rsidR="007959FD" w:rsidRDefault="007959FD" w:rsidP="007959FD">
      <w:pPr>
        <w:pStyle w:val="NoSpacing"/>
        <w:rPr>
          <w:rFonts w:ascii="Times New Roman" w:hAnsi="Times New Roman"/>
          <w:b/>
          <w:sz w:val="24"/>
          <w:szCs w:val="24"/>
        </w:rPr>
      </w:pPr>
      <w:r w:rsidRPr="007959FD">
        <w:rPr>
          <w:rFonts w:ascii="Times New Roman" w:hAnsi="Times New Roman"/>
          <w:b/>
          <w:sz w:val="24"/>
          <w:szCs w:val="24"/>
        </w:rPr>
        <w:t xml:space="preserve">Legal Lesson Learned: Unless a true emergency exists, </w:t>
      </w:r>
      <w:r w:rsidRPr="007959FD">
        <w:rPr>
          <w:rFonts w:ascii="Times New Roman" w:hAnsi="Times New Roman"/>
          <w:b/>
          <w:bCs/>
          <w:sz w:val="24"/>
          <w:szCs w:val="24"/>
        </w:rPr>
        <w:t>City cannot</w:t>
      </w:r>
      <w:r w:rsidRPr="007959FD">
        <w:rPr>
          <w:rFonts w:ascii="Times New Roman" w:hAnsi="Times New Roman"/>
          <w:b/>
          <w:sz w:val="24"/>
          <w:szCs w:val="24"/>
        </w:rPr>
        <w:t xml:space="preserve"> demolish a home without notice to owner and opportunity to challenge the demolition order.</w:t>
      </w:r>
    </w:p>
    <w:p w14:paraId="1B7D361E" w14:textId="77777777" w:rsidR="000C756B" w:rsidRDefault="000C756B" w:rsidP="007959FD">
      <w:pPr>
        <w:pStyle w:val="NoSpacing"/>
        <w:rPr>
          <w:rFonts w:ascii="Times New Roman" w:hAnsi="Times New Roman"/>
          <w:b/>
          <w:sz w:val="24"/>
          <w:szCs w:val="24"/>
        </w:rPr>
      </w:pPr>
    </w:p>
    <w:p w14:paraId="503E2A2A" w14:textId="77777777" w:rsidR="000C756B" w:rsidRDefault="000C756B" w:rsidP="007959FD">
      <w:pPr>
        <w:pStyle w:val="NoSpacing"/>
        <w:rPr>
          <w:rFonts w:ascii="Times New Roman" w:hAnsi="Times New Roman"/>
          <w:b/>
          <w:sz w:val="24"/>
          <w:szCs w:val="24"/>
        </w:rPr>
      </w:pPr>
    </w:p>
    <w:p w14:paraId="04C136D8" w14:textId="77777777" w:rsidR="000C756B" w:rsidRDefault="000C756B" w:rsidP="007959FD">
      <w:pPr>
        <w:pStyle w:val="NoSpacing"/>
        <w:rPr>
          <w:rFonts w:ascii="Times New Roman" w:hAnsi="Times New Roman"/>
          <w:b/>
          <w:sz w:val="24"/>
          <w:szCs w:val="24"/>
        </w:rPr>
      </w:pPr>
    </w:p>
    <w:p w14:paraId="3AE2205B" w14:textId="265FE5DD" w:rsidR="002249FF" w:rsidRDefault="007A4EAE" w:rsidP="000C756B">
      <w:pPr>
        <w:pStyle w:val="NoSpacing"/>
        <w:rPr>
          <w:rFonts w:ascii="Arial Black" w:hAnsi="Arial Black"/>
          <w:sz w:val="28"/>
          <w:szCs w:val="28"/>
        </w:rPr>
      </w:pPr>
      <w:r>
        <w:rPr>
          <w:rFonts w:ascii="Arial Black" w:hAnsi="Arial Black"/>
          <w:sz w:val="28"/>
          <w:szCs w:val="28"/>
        </w:rPr>
        <w:t>1-181</w:t>
      </w:r>
    </w:p>
    <w:p w14:paraId="6C45390C" w14:textId="77777777" w:rsidR="002249FF" w:rsidRDefault="002249FF" w:rsidP="000C756B">
      <w:pPr>
        <w:pStyle w:val="NoSpacing"/>
        <w:rPr>
          <w:rFonts w:ascii="Arial Black" w:hAnsi="Arial Black"/>
          <w:sz w:val="28"/>
          <w:szCs w:val="28"/>
        </w:rPr>
      </w:pPr>
    </w:p>
    <w:p w14:paraId="6EC78121" w14:textId="10000825" w:rsidR="000C756B" w:rsidRPr="006F2B87" w:rsidRDefault="000C756B" w:rsidP="000C756B">
      <w:pPr>
        <w:pStyle w:val="NoSpacing"/>
        <w:rPr>
          <w:rFonts w:ascii="Arial Black" w:hAnsi="Arial Black"/>
          <w:sz w:val="28"/>
          <w:szCs w:val="28"/>
        </w:rPr>
      </w:pPr>
      <w:r w:rsidRPr="006F2B87">
        <w:rPr>
          <w:rFonts w:ascii="Arial Black" w:hAnsi="Arial Black"/>
          <w:sz w:val="28"/>
          <w:szCs w:val="28"/>
        </w:rPr>
        <w:t>MA: CLASS ACTION - IONIZATION SMOKE ALARMS – EXPERT</w:t>
      </w:r>
    </w:p>
    <w:p w14:paraId="76B1B197" w14:textId="77777777" w:rsidR="000C756B" w:rsidRPr="006F2B87" w:rsidRDefault="000C756B" w:rsidP="000C756B">
      <w:pPr>
        <w:pStyle w:val="NoSpacing"/>
      </w:pPr>
    </w:p>
    <w:p w14:paraId="19F6EF8F" w14:textId="77777777" w:rsidR="000C756B" w:rsidRPr="000C756B" w:rsidRDefault="000C756B" w:rsidP="000C756B">
      <w:pPr>
        <w:pStyle w:val="NoSpacing"/>
        <w:rPr>
          <w:rFonts w:ascii="Times New Roman" w:hAnsi="Times New Roman"/>
          <w:sz w:val="24"/>
          <w:szCs w:val="24"/>
        </w:rPr>
      </w:pPr>
      <w:r w:rsidRPr="000C756B">
        <w:rPr>
          <w:rFonts w:ascii="Times New Roman" w:hAnsi="Times New Roman"/>
          <w:sz w:val="24"/>
          <w:szCs w:val="24"/>
        </w:rPr>
        <w:t xml:space="preserve">On May 16, 2025, in </w:t>
      </w:r>
      <w:r w:rsidRPr="000C756B">
        <w:rPr>
          <w:rFonts w:ascii="Times New Roman" w:hAnsi="Times New Roman"/>
          <w:sz w:val="24"/>
          <w:szCs w:val="24"/>
          <w:u w:val="single"/>
        </w:rPr>
        <w:t>Stephen Pons, Caroline Coleman, Charles Bellavia, and Terri Letzman, on behalf of themselves and all others similarly situated v. Walter Kidde Portable Equipment, d/b/a Kidde Safety Equipment and BRK Brands, Inc</w:t>
      </w:r>
      <w:r w:rsidRPr="000C756B">
        <w:rPr>
          <w:rFonts w:ascii="Times New Roman" w:hAnsi="Times New Roman"/>
          <w:sz w:val="24"/>
          <w:szCs w:val="24"/>
        </w:rPr>
        <w:t xml:space="preserve">., U.S. District Court Judge Julia E. </w:t>
      </w:r>
      <w:proofErr w:type="spellStart"/>
      <w:r w:rsidRPr="000C756B">
        <w:rPr>
          <w:rFonts w:ascii="Times New Roman" w:hAnsi="Times New Roman"/>
          <w:sz w:val="24"/>
          <w:szCs w:val="24"/>
        </w:rPr>
        <w:t>Kobick</w:t>
      </w:r>
      <w:proofErr w:type="spellEnd"/>
      <w:r w:rsidRPr="000C756B">
        <w:rPr>
          <w:rFonts w:ascii="Times New Roman" w:hAnsi="Times New Roman"/>
          <w:sz w:val="24"/>
          <w:szCs w:val="24"/>
        </w:rPr>
        <w:t xml:space="preserve">, United States District Court for the District of Massachusetts, held that the defense is entitled to e-mails and other documents exchanged between Joseph Flemming, former Deputy Fire Chief of the Boston Fire Department, and plaintiffs’ legal counsel, even if he was not retained as expert witness for plaintiffs in this class action filed in California.  Chief Flemming’s deposition was taken in Boston on Feb. 27, </w:t>
      </w:r>
      <w:proofErr w:type="gramStart"/>
      <w:r w:rsidRPr="000C756B">
        <w:rPr>
          <w:rFonts w:ascii="Times New Roman" w:hAnsi="Times New Roman"/>
          <w:sz w:val="24"/>
          <w:szCs w:val="24"/>
        </w:rPr>
        <w:t>2025</w:t>
      </w:r>
      <w:proofErr w:type="gramEnd"/>
      <w:r w:rsidRPr="000C756B">
        <w:rPr>
          <w:rFonts w:ascii="Times New Roman" w:hAnsi="Times New Roman"/>
          <w:sz w:val="24"/>
          <w:szCs w:val="24"/>
        </w:rPr>
        <w:t xml:space="preserve"> by both sides.  </w:t>
      </w:r>
    </w:p>
    <w:p w14:paraId="3151049C" w14:textId="77777777" w:rsidR="000C756B" w:rsidRPr="000C756B" w:rsidRDefault="000C756B" w:rsidP="000C756B">
      <w:pPr>
        <w:pStyle w:val="NoSpacing"/>
        <w:rPr>
          <w:rFonts w:ascii="Times New Roman" w:hAnsi="Times New Roman"/>
          <w:sz w:val="24"/>
          <w:szCs w:val="24"/>
        </w:rPr>
      </w:pPr>
    </w:p>
    <w:p w14:paraId="0C2AAF57" w14:textId="77777777" w:rsidR="000C756B" w:rsidRPr="000C756B" w:rsidRDefault="000C756B" w:rsidP="000C756B">
      <w:pPr>
        <w:pStyle w:val="NoSpacing"/>
        <w:rPr>
          <w:rFonts w:ascii="Times New Roman" w:hAnsi="Times New Roman"/>
          <w:sz w:val="24"/>
          <w:szCs w:val="24"/>
        </w:rPr>
      </w:pPr>
      <w:r w:rsidRPr="000C756B">
        <w:rPr>
          <w:rFonts w:ascii="Times New Roman" w:hAnsi="Times New Roman"/>
          <w:sz w:val="24"/>
          <w:szCs w:val="24"/>
        </w:rPr>
        <w:t xml:space="preserve">The Court wrote: “Joseph Fleming is a former Deputy Fire Chief of the Boston Fire Department…. He is a ‘longtime, vocal advocate of restricting the use of ionization-only devices’ and ‘has testified as an expert in numerous cases over the past couple of decades involving deaths or grave injuries in which an ionization device did not timely sound during a home fire.’… Between April and July 2024, he exchanged about twenty emails with plaintiffs’ counsel regarding his potential engagement as an expert witness…. Ultimately, Fleming was not retained, but the plaintiffs subpoenaed Fleming as a fact witness for a February 27, </w:t>
      </w:r>
      <w:proofErr w:type="gramStart"/>
      <w:r w:rsidRPr="000C756B">
        <w:rPr>
          <w:rFonts w:ascii="Times New Roman" w:hAnsi="Times New Roman"/>
          <w:sz w:val="24"/>
          <w:szCs w:val="24"/>
        </w:rPr>
        <w:t>2025</w:t>
      </w:r>
      <w:proofErr w:type="gramEnd"/>
      <w:r w:rsidRPr="000C756B">
        <w:rPr>
          <w:rFonts w:ascii="Times New Roman" w:hAnsi="Times New Roman"/>
          <w:sz w:val="24"/>
          <w:szCs w:val="24"/>
        </w:rPr>
        <w:t xml:space="preserve"> deposition to testify about his participation on a committee of Underwriters Laboratories, Inc., which ‘sets the standards and protocols for laboratory testing of home smoke alarm products.’ …  As part of his work on that committee, Fleming supported the development of new fire testing requirements, which resulted in design changes to smoke detectors made by Kidde and co-defendant BRK Brands Inc. *** [Plaintiffs] on behalf of themselves and all others similarly situated, have moved for a protective order against a subpoena for documents issued by defendant Walter Kidde Portable Equipment, Inc. to third-party fact witness Joseph Fleming. </w:t>
      </w:r>
      <w:proofErr w:type="gramStart"/>
      <w:r w:rsidRPr="000C756B">
        <w:rPr>
          <w:rFonts w:ascii="Times New Roman" w:hAnsi="Times New Roman"/>
          <w:sz w:val="24"/>
          <w:szCs w:val="24"/>
        </w:rPr>
        <w:t>For the reasons that</w:t>
      </w:r>
      <w:proofErr w:type="gramEnd"/>
      <w:r w:rsidRPr="000C756B">
        <w:rPr>
          <w:rFonts w:ascii="Times New Roman" w:hAnsi="Times New Roman"/>
          <w:sz w:val="24"/>
          <w:szCs w:val="24"/>
        </w:rPr>
        <w:t xml:space="preserve"> follow, that motion, which will be construed as a motion to quash, will be denied…. In short, the plaintiffs have waived their privilege against disclosure of work product contained in their counsels’ emails with Fleming, and they are not entitled to an order quashing Kidde’s document subpoena.” </w:t>
      </w:r>
      <w:hyperlink r:id="rId76" w:history="1">
        <w:r w:rsidRPr="000C756B">
          <w:rPr>
            <w:rStyle w:val="Hyperlink"/>
            <w:rFonts w:ascii="Times New Roman" w:hAnsi="Times New Roman"/>
            <w:sz w:val="24"/>
            <w:szCs w:val="24"/>
          </w:rPr>
          <w:t>https://cases.justia.com/federal/district-courts/massachusetts/madce/1:2025mc91106/281992/17/0.pdf?ts=1747471889</w:t>
        </w:r>
      </w:hyperlink>
      <w:r w:rsidRPr="000C756B">
        <w:rPr>
          <w:rFonts w:ascii="Times New Roman" w:hAnsi="Times New Roman"/>
          <w:sz w:val="24"/>
          <w:szCs w:val="24"/>
        </w:rPr>
        <w:t xml:space="preserve"> </w:t>
      </w:r>
    </w:p>
    <w:p w14:paraId="551DAECB" w14:textId="77777777" w:rsidR="000C756B" w:rsidRDefault="000C756B" w:rsidP="007959FD">
      <w:pPr>
        <w:pStyle w:val="NoSpacing"/>
        <w:rPr>
          <w:rFonts w:ascii="Times New Roman" w:hAnsi="Times New Roman"/>
          <w:b/>
          <w:bCs/>
          <w:sz w:val="24"/>
          <w:szCs w:val="24"/>
        </w:rPr>
      </w:pPr>
    </w:p>
    <w:p w14:paraId="406391F8" w14:textId="49AA1092" w:rsidR="002B2465" w:rsidRPr="002B2465" w:rsidRDefault="002B2465" w:rsidP="002B2465">
      <w:pPr>
        <w:pStyle w:val="NoSpacing"/>
        <w:rPr>
          <w:rFonts w:ascii="Times New Roman" w:hAnsi="Times New Roman"/>
          <w:b/>
          <w:bCs/>
          <w:sz w:val="24"/>
          <w:szCs w:val="24"/>
        </w:rPr>
      </w:pPr>
      <w:r w:rsidRPr="002B2465">
        <w:rPr>
          <w:rFonts w:ascii="Times New Roman" w:hAnsi="Times New Roman"/>
          <w:b/>
          <w:sz w:val="24"/>
          <w:szCs w:val="24"/>
        </w:rPr>
        <w:lastRenderedPageBreak/>
        <w:t>Legal Lesson Learned: Expert witnesses can be deposed, and their communications with plaintiff’s counsel can be subject</w:t>
      </w:r>
      <w:r w:rsidRPr="002B2465">
        <w:rPr>
          <w:rFonts w:ascii="Times New Roman" w:hAnsi="Times New Roman"/>
          <w:b/>
          <w:bCs/>
          <w:sz w:val="24"/>
          <w:szCs w:val="24"/>
        </w:rPr>
        <w:t xml:space="preserve"> of pre-trial discovery</w:t>
      </w:r>
      <w:r w:rsidR="00691181">
        <w:rPr>
          <w:rFonts w:ascii="Times New Roman" w:hAnsi="Times New Roman"/>
          <w:b/>
          <w:sz w:val="24"/>
          <w:szCs w:val="24"/>
        </w:rPr>
        <w:t xml:space="preserve"> issues.</w:t>
      </w:r>
    </w:p>
    <w:p w14:paraId="46E3B14F" w14:textId="77777777" w:rsidR="002B2465" w:rsidRPr="002B2465" w:rsidRDefault="002B2465" w:rsidP="002B2465">
      <w:pPr>
        <w:pStyle w:val="NoSpacing"/>
        <w:rPr>
          <w:rFonts w:ascii="Times New Roman" w:hAnsi="Times New Roman"/>
          <w:b/>
          <w:bCs/>
          <w:sz w:val="24"/>
          <w:szCs w:val="24"/>
        </w:rPr>
      </w:pPr>
    </w:p>
    <w:p w14:paraId="2815F1DA" w14:textId="77777777" w:rsidR="002B2465" w:rsidRPr="002B2465" w:rsidRDefault="002B2465" w:rsidP="002B2465">
      <w:pPr>
        <w:pStyle w:val="NoSpacing"/>
        <w:ind w:left="720"/>
        <w:rPr>
          <w:rFonts w:ascii="Times New Roman" w:hAnsi="Times New Roman"/>
          <w:sz w:val="24"/>
          <w:szCs w:val="24"/>
        </w:rPr>
      </w:pPr>
      <w:r w:rsidRPr="002B2465">
        <w:rPr>
          <w:rFonts w:ascii="Times New Roman" w:hAnsi="Times New Roman"/>
          <w:sz w:val="24"/>
          <w:szCs w:val="24"/>
        </w:rPr>
        <w:t xml:space="preserve">Note: See April 2, </w:t>
      </w:r>
      <w:proofErr w:type="gramStart"/>
      <w:r w:rsidRPr="002B2465">
        <w:rPr>
          <w:rFonts w:ascii="Times New Roman" w:hAnsi="Times New Roman"/>
          <w:sz w:val="24"/>
          <w:szCs w:val="24"/>
        </w:rPr>
        <w:t>2025</w:t>
      </w:r>
      <w:proofErr w:type="gramEnd"/>
      <w:r w:rsidRPr="002B2465">
        <w:rPr>
          <w:rFonts w:ascii="Times New Roman" w:hAnsi="Times New Roman"/>
          <w:sz w:val="24"/>
          <w:szCs w:val="24"/>
        </w:rPr>
        <w:t xml:space="preserve"> video on Ionization v. Photoelectric alarms: </w:t>
      </w:r>
      <w:hyperlink r:id="rId77" w:history="1">
        <w:r w:rsidRPr="002B2465">
          <w:rPr>
            <w:rStyle w:val="Hyperlink"/>
            <w:rFonts w:ascii="Times New Roman" w:hAnsi="Times New Roman"/>
            <w:sz w:val="24"/>
            <w:szCs w:val="24"/>
          </w:rPr>
          <w:t>https://www.youtube.com/watch?v=pYAlJLy1R8U</w:t>
        </w:r>
      </w:hyperlink>
      <w:r w:rsidRPr="002B2465">
        <w:rPr>
          <w:rFonts w:ascii="Times New Roman" w:hAnsi="Times New Roman"/>
          <w:sz w:val="24"/>
          <w:szCs w:val="24"/>
        </w:rPr>
        <w:t xml:space="preserve"> </w:t>
      </w:r>
    </w:p>
    <w:p w14:paraId="6CEBFCFA" w14:textId="77777777" w:rsidR="002B2465" w:rsidRPr="002B2465" w:rsidRDefault="002B2465" w:rsidP="002B2465">
      <w:pPr>
        <w:pStyle w:val="NoSpacing"/>
        <w:ind w:left="720"/>
        <w:rPr>
          <w:rFonts w:ascii="Times New Roman" w:hAnsi="Times New Roman"/>
          <w:sz w:val="24"/>
          <w:szCs w:val="24"/>
        </w:rPr>
      </w:pPr>
    </w:p>
    <w:p w14:paraId="3454F948" w14:textId="77777777" w:rsidR="002B2465" w:rsidRPr="002B2465" w:rsidRDefault="002B2465" w:rsidP="002B2465">
      <w:pPr>
        <w:pStyle w:val="NoSpacing"/>
        <w:ind w:left="720"/>
        <w:rPr>
          <w:rFonts w:ascii="Times New Roman" w:hAnsi="Times New Roman"/>
          <w:sz w:val="24"/>
          <w:szCs w:val="24"/>
        </w:rPr>
      </w:pPr>
      <w:r w:rsidRPr="002B2465">
        <w:rPr>
          <w:rFonts w:ascii="Times New Roman" w:hAnsi="Times New Roman"/>
          <w:sz w:val="24"/>
          <w:szCs w:val="24"/>
        </w:rPr>
        <w:t xml:space="preserve">See also: U.S. Fire Administration publication. </w:t>
      </w:r>
      <w:hyperlink r:id="rId78" w:history="1">
        <w:r w:rsidRPr="002B2465">
          <w:rPr>
            <w:rStyle w:val="Hyperlink"/>
            <w:rFonts w:ascii="Times New Roman" w:hAnsi="Times New Roman"/>
            <w:sz w:val="24"/>
            <w:szCs w:val="24"/>
          </w:rPr>
          <w:t>https://www.usfa.fema.gov/prevention/home-fires/prepare-for-fire/smoke-alarms/</w:t>
        </w:r>
      </w:hyperlink>
      <w:r w:rsidRPr="002B2465">
        <w:rPr>
          <w:rFonts w:ascii="Times New Roman" w:hAnsi="Times New Roman"/>
          <w:sz w:val="24"/>
          <w:szCs w:val="24"/>
        </w:rPr>
        <w:t xml:space="preserve"> </w:t>
      </w:r>
    </w:p>
    <w:p w14:paraId="3AEC1FBD" w14:textId="77777777" w:rsidR="002B2465" w:rsidRPr="002B2465" w:rsidRDefault="002B2465" w:rsidP="002B2465">
      <w:pPr>
        <w:pStyle w:val="NoSpacing"/>
        <w:ind w:left="720"/>
        <w:rPr>
          <w:rFonts w:ascii="Times New Roman" w:hAnsi="Times New Roman"/>
          <w:sz w:val="24"/>
          <w:szCs w:val="24"/>
        </w:rPr>
      </w:pPr>
      <w:r w:rsidRPr="002B2465">
        <w:rPr>
          <w:rFonts w:ascii="Times New Roman" w:hAnsi="Times New Roman"/>
          <w:sz w:val="24"/>
          <w:szCs w:val="24"/>
        </w:rPr>
        <w:t>“There are many brands of smoke alarms on the market, but they fall under 2 basic types: ionization and photoelectric. Ionization and photoelectric smoke alarms detect different types of fires. Since no one can predict what type of fire might start in their home, the U.S. Fire Administration recommends that every home and place where people sleep have:</w:t>
      </w:r>
    </w:p>
    <w:p w14:paraId="0F8A74AC" w14:textId="77777777" w:rsidR="002B2465" w:rsidRPr="002B2465" w:rsidRDefault="002B2465" w:rsidP="002B2465">
      <w:pPr>
        <w:pStyle w:val="NoSpacing"/>
        <w:numPr>
          <w:ilvl w:val="0"/>
          <w:numId w:val="27"/>
        </w:numPr>
        <w:rPr>
          <w:rFonts w:ascii="Times New Roman" w:hAnsi="Times New Roman"/>
          <w:sz w:val="24"/>
          <w:szCs w:val="24"/>
        </w:rPr>
      </w:pPr>
      <w:r w:rsidRPr="002B2465">
        <w:rPr>
          <w:rFonts w:ascii="Times New Roman" w:hAnsi="Times New Roman"/>
          <w:sz w:val="24"/>
          <w:szCs w:val="24"/>
        </w:rPr>
        <w:t>Both ionization AND photoelectric smoke alarms, OR</w:t>
      </w:r>
    </w:p>
    <w:p w14:paraId="4DAAAA3F" w14:textId="77777777" w:rsidR="002B2465" w:rsidRPr="002B2465" w:rsidRDefault="002B2465" w:rsidP="002B2465">
      <w:pPr>
        <w:pStyle w:val="NoSpacing"/>
        <w:numPr>
          <w:ilvl w:val="0"/>
          <w:numId w:val="27"/>
        </w:numPr>
        <w:rPr>
          <w:rFonts w:ascii="Times New Roman" w:hAnsi="Times New Roman"/>
          <w:sz w:val="24"/>
          <w:szCs w:val="24"/>
        </w:rPr>
      </w:pPr>
      <w:r w:rsidRPr="002B2465">
        <w:rPr>
          <w:rFonts w:ascii="Times New Roman" w:hAnsi="Times New Roman"/>
          <w:sz w:val="24"/>
          <w:szCs w:val="24"/>
        </w:rPr>
        <w:t>Dual-sensor smoke alarms, which contain both ionization and photoelectric smoke sensors.</w:t>
      </w:r>
    </w:p>
    <w:p w14:paraId="275222D5" w14:textId="77777777" w:rsidR="002B2465" w:rsidRPr="002B2465" w:rsidRDefault="002B2465" w:rsidP="002B2465">
      <w:pPr>
        <w:pStyle w:val="NoSpacing"/>
        <w:ind w:firstLine="720"/>
        <w:rPr>
          <w:rFonts w:ascii="Times New Roman" w:hAnsi="Times New Roman"/>
          <w:sz w:val="24"/>
          <w:szCs w:val="24"/>
        </w:rPr>
      </w:pPr>
      <w:r w:rsidRPr="002B2465">
        <w:rPr>
          <w:rFonts w:ascii="Times New Roman" w:hAnsi="Times New Roman"/>
          <w:sz w:val="24"/>
          <w:szCs w:val="24"/>
        </w:rPr>
        <w:t>Choose interconnected smoke alarms so that when one sounds, they all sound.</w:t>
      </w:r>
    </w:p>
    <w:p w14:paraId="150F0718" w14:textId="77777777" w:rsidR="002B2465" w:rsidRDefault="002B2465" w:rsidP="002B2465">
      <w:pPr>
        <w:pStyle w:val="NoSpacing"/>
        <w:ind w:left="720"/>
        <w:rPr>
          <w:rFonts w:ascii="Times New Roman" w:hAnsi="Times New Roman"/>
          <w:sz w:val="24"/>
          <w:szCs w:val="24"/>
        </w:rPr>
      </w:pPr>
      <w:r w:rsidRPr="002B2465">
        <w:rPr>
          <w:rFonts w:ascii="Times New Roman" w:hAnsi="Times New Roman"/>
          <w:sz w:val="24"/>
          <w:szCs w:val="24"/>
        </w:rPr>
        <w:t>There are also alarms for people with hearing loss. These alarms may have strobe lights that flash and/or vibrate to alert those who are unable to hear standard smoke alarms when they sound.”</w:t>
      </w:r>
    </w:p>
    <w:p w14:paraId="5788AC45" w14:textId="77777777" w:rsidR="00A35301" w:rsidRDefault="00A35301" w:rsidP="002B2465">
      <w:pPr>
        <w:pStyle w:val="NoSpacing"/>
        <w:ind w:left="720"/>
        <w:rPr>
          <w:rFonts w:ascii="Times New Roman" w:hAnsi="Times New Roman"/>
          <w:sz w:val="24"/>
          <w:szCs w:val="24"/>
        </w:rPr>
      </w:pPr>
    </w:p>
    <w:p w14:paraId="5B2C1940" w14:textId="77777777" w:rsidR="00A35301" w:rsidRDefault="00A35301" w:rsidP="002B2465">
      <w:pPr>
        <w:pStyle w:val="NoSpacing"/>
        <w:ind w:left="720"/>
        <w:rPr>
          <w:rFonts w:ascii="Times New Roman" w:hAnsi="Times New Roman"/>
          <w:sz w:val="24"/>
          <w:szCs w:val="24"/>
        </w:rPr>
      </w:pPr>
    </w:p>
    <w:p w14:paraId="14C6B2DD" w14:textId="61868A1E" w:rsidR="00A35301" w:rsidRPr="002249FF" w:rsidRDefault="007A4EAE" w:rsidP="002249FF">
      <w:pPr>
        <w:pStyle w:val="NoSpacing"/>
        <w:rPr>
          <w:rFonts w:ascii="Arial Black" w:hAnsi="Arial Black"/>
          <w:sz w:val="24"/>
          <w:szCs w:val="24"/>
        </w:rPr>
      </w:pPr>
      <w:r>
        <w:rPr>
          <w:rFonts w:ascii="Arial Black" w:hAnsi="Arial Black"/>
          <w:sz w:val="24"/>
          <w:szCs w:val="24"/>
        </w:rPr>
        <w:t>1-180</w:t>
      </w:r>
    </w:p>
    <w:p w14:paraId="17D352EB" w14:textId="77777777" w:rsidR="00A35301" w:rsidRDefault="00A35301" w:rsidP="002B2465">
      <w:pPr>
        <w:pStyle w:val="NoSpacing"/>
        <w:ind w:left="720"/>
        <w:rPr>
          <w:rFonts w:ascii="Times New Roman" w:hAnsi="Times New Roman"/>
          <w:sz w:val="24"/>
          <w:szCs w:val="24"/>
        </w:rPr>
      </w:pPr>
    </w:p>
    <w:p w14:paraId="16B7B5B8" w14:textId="790187C4" w:rsidR="00A35301" w:rsidRPr="006F2B87" w:rsidRDefault="00A35301" w:rsidP="00A35301">
      <w:pPr>
        <w:pStyle w:val="NoSpacing"/>
        <w:rPr>
          <w:rFonts w:ascii="Arial Black" w:hAnsi="Arial Black"/>
          <w:sz w:val="28"/>
          <w:szCs w:val="28"/>
        </w:rPr>
      </w:pPr>
      <w:r w:rsidRPr="006F2B87">
        <w:rPr>
          <w:rFonts w:ascii="Arial Black" w:hAnsi="Arial Black"/>
          <w:sz w:val="28"/>
          <w:szCs w:val="28"/>
        </w:rPr>
        <w:t>A</w:t>
      </w:r>
      <w:r w:rsidR="00376E23">
        <w:rPr>
          <w:rFonts w:ascii="Arial Black" w:hAnsi="Arial Black"/>
          <w:sz w:val="28"/>
          <w:szCs w:val="28"/>
        </w:rPr>
        <w:t>Z</w:t>
      </w:r>
      <w:r w:rsidRPr="006F2B87">
        <w:rPr>
          <w:rFonts w:ascii="Arial Black" w:hAnsi="Arial Black"/>
          <w:sz w:val="28"/>
          <w:szCs w:val="28"/>
        </w:rPr>
        <w:t xml:space="preserve">: ARSON – VEHICLE FIRE </w:t>
      </w:r>
      <w:r>
        <w:rPr>
          <w:rFonts w:ascii="Arial Black" w:hAnsi="Arial Black"/>
          <w:sz w:val="28"/>
          <w:szCs w:val="28"/>
        </w:rPr>
        <w:t xml:space="preserve">- </w:t>
      </w:r>
      <w:r w:rsidRPr="006F2B87">
        <w:rPr>
          <w:rFonts w:ascii="Arial Black" w:hAnsi="Arial Black"/>
          <w:sz w:val="28"/>
          <w:szCs w:val="28"/>
        </w:rPr>
        <w:t xml:space="preserve">“OCCUPIED STRUCTURE” </w:t>
      </w:r>
    </w:p>
    <w:p w14:paraId="20C310C4" w14:textId="77777777" w:rsidR="00A35301" w:rsidRPr="006F2B87" w:rsidRDefault="00A35301" w:rsidP="00A35301">
      <w:pPr>
        <w:pStyle w:val="NoSpacing"/>
      </w:pPr>
    </w:p>
    <w:p w14:paraId="7666ED2A" w14:textId="77777777" w:rsidR="00A35301" w:rsidRPr="00A35301" w:rsidRDefault="00A35301" w:rsidP="00A35301">
      <w:pPr>
        <w:pStyle w:val="NoSpacing"/>
        <w:rPr>
          <w:rFonts w:ascii="Times New Roman" w:hAnsi="Times New Roman"/>
          <w:sz w:val="24"/>
          <w:szCs w:val="24"/>
        </w:rPr>
      </w:pPr>
      <w:r w:rsidRPr="00A35301">
        <w:rPr>
          <w:rFonts w:ascii="Times New Roman" w:hAnsi="Times New Roman"/>
          <w:sz w:val="24"/>
          <w:szCs w:val="24"/>
        </w:rPr>
        <w:t xml:space="preserve">On May 4, 2025, in </w:t>
      </w:r>
      <w:r w:rsidRPr="00A35301">
        <w:rPr>
          <w:rFonts w:ascii="Times New Roman" w:hAnsi="Times New Roman"/>
          <w:sz w:val="24"/>
          <w:szCs w:val="24"/>
          <w:u w:val="single"/>
        </w:rPr>
        <w:t>State of Arizona v. Edward Serrato, III</w:t>
      </w:r>
      <w:r w:rsidRPr="00A35301">
        <w:rPr>
          <w:rFonts w:ascii="Times New Roman" w:hAnsi="Times New Roman"/>
          <w:sz w:val="24"/>
          <w:szCs w:val="24"/>
        </w:rPr>
        <w:t xml:space="preserve">, the Supreme Court of State of Arizona, held (7 to 0) that the State’s most severe arson (Class 2 felony) of arson of “an occupied structure” does not apply where the only person present is the arsonist.  </w:t>
      </w:r>
    </w:p>
    <w:p w14:paraId="65A56CC6" w14:textId="77777777" w:rsidR="00A35301" w:rsidRPr="00A35301" w:rsidRDefault="00A35301" w:rsidP="00A35301">
      <w:pPr>
        <w:pStyle w:val="NoSpacing"/>
        <w:rPr>
          <w:rFonts w:ascii="Times New Roman" w:hAnsi="Times New Roman"/>
          <w:sz w:val="24"/>
          <w:szCs w:val="24"/>
        </w:rPr>
      </w:pPr>
    </w:p>
    <w:p w14:paraId="164AE656" w14:textId="77777777" w:rsidR="00A35301" w:rsidRPr="00A35301" w:rsidRDefault="00A35301" w:rsidP="00A35301">
      <w:pPr>
        <w:pStyle w:val="NoSpacing"/>
        <w:rPr>
          <w:rFonts w:ascii="Times New Roman" w:hAnsi="Times New Roman"/>
          <w:sz w:val="24"/>
          <w:szCs w:val="24"/>
        </w:rPr>
      </w:pPr>
      <w:r w:rsidRPr="00A35301">
        <w:rPr>
          <w:rFonts w:ascii="Times New Roman" w:hAnsi="Times New Roman"/>
          <w:sz w:val="24"/>
          <w:szCs w:val="24"/>
        </w:rPr>
        <w:t xml:space="preserve">The Court wrote: “On Christmas night in 2007, firefighters in Kingman, Arizona extinguished a fire engulfing a pickup truck. Investigators smelled gasoline fumes and discovered a residue of unusual flammable liquids and remnants of a gas can on the driver’s seat. Based on the evidence, investigators confirmed that someone had intentionally set the fire inside the truck. Officers traced the truck’s registration to Anna Hammond, who lived about a mile from the fire. When police entered her home, they found her and her dog lying on the floor in a pool of blood. The dog was dead, and Hammond later died from her injuries. The kitchen stove was on, gas fumes filled the home, and someone had tried to start a fire on the kitchen table. Hammond’s jewelry, </w:t>
      </w:r>
      <w:proofErr w:type="gramStart"/>
      <w:r w:rsidRPr="00A35301">
        <w:rPr>
          <w:rFonts w:ascii="Times New Roman" w:hAnsi="Times New Roman"/>
          <w:sz w:val="24"/>
          <w:szCs w:val="24"/>
        </w:rPr>
        <w:t>gun</w:t>
      </w:r>
      <w:proofErr w:type="gramEnd"/>
      <w:r w:rsidRPr="00A35301">
        <w:rPr>
          <w:rFonts w:ascii="Times New Roman" w:hAnsi="Times New Roman"/>
          <w:sz w:val="24"/>
          <w:szCs w:val="24"/>
        </w:rPr>
        <w:t xml:space="preserve">, coins, and cash were also missing. *** After a seven-day trial in 2023, a jury convicted him of </w:t>
      </w:r>
      <w:proofErr w:type="gramStart"/>
      <w:r w:rsidRPr="00A35301">
        <w:rPr>
          <w:rFonts w:ascii="Times New Roman" w:hAnsi="Times New Roman"/>
          <w:sz w:val="24"/>
          <w:szCs w:val="24"/>
        </w:rPr>
        <w:t>second degree</w:t>
      </w:r>
      <w:proofErr w:type="gramEnd"/>
      <w:r w:rsidRPr="00A35301">
        <w:rPr>
          <w:rFonts w:ascii="Times New Roman" w:hAnsi="Times New Roman"/>
          <w:sz w:val="24"/>
          <w:szCs w:val="24"/>
        </w:rPr>
        <w:t xml:space="preserve"> murder, first degree burglary, arson of an occupied structure (the vehicle), theft of means of transportation, and attempted arson of an occupied structure (the house). The court imposed consecutive sentences for each of these charges, totaling 135 years—35 of which stemmed from the vehicle arson conviction. *** We interpret “occupied structure” in §§ 13-1701(2) and -1704 to mean a structure in which one or more human beings—other than the arsonist—are present, likely to be present, or so near as to be in equivalent danger at the time of the fire or explosion.”  </w:t>
      </w:r>
      <w:hyperlink r:id="rId79" w:history="1">
        <w:r w:rsidRPr="00A35301">
          <w:rPr>
            <w:rStyle w:val="Hyperlink"/>
            <w:rFonts w:ascii="Times New Roman" w:hAnsi="Times New Roman"/>
            <w:sz w:val="24"/>
            <w:szCs w:val="24"/>
          </w:rPr>
          <w:t>https://cases.justia.com/arizona/supreme-court/2025-cr-24-0264-pr.pdf?ts=1747242027</w:t>
        </w:r>
      </w:hyperlink>
      <w:r w:rsidRPr="00A35301">
        <w:rPr>
          <w:rFonts w:ascii="Times New Roman" w:hAnsi="Times New Roman"/>
          <w:sz w:val="24"/>
          <w:szCs w:val="24"/>
        </w:rPr>
        <w:t xml:space="preserve"> </w:t>
      </w:r>
    </w:p>
    <w:p w14:paraId="52733520" w14:textId="77777777" w:rsidR="00A35301" w:rsidRPr="006F2B87" w:rsidRDefault="00A35301" w:rsidP="00A35301">
      <w:pPr>
        <w:pStyle w:val="NoSpacing"/>
      </w:pPr>
    </w:p>
    <w:p w14:paraId="1C492F3B" w14:textId="77777777" w:rsidR="001A2F0B" w:rsidRDefault="001A2F0B" w:rsidP="001A2F0B">
      <w:pPr>
        <w:pStyle w:val="NoSpacing"/>
        <w:rPr>
          <w:rFonts w:ascii="Times New Roman" w:hAnsi="Times New Roman"/>
          <w:b/>
          <w:sz w:val="24"/>
          <w:szCs w:val="24"/>
        </w:rPr>
      </w:pPr>
      <w:r w:rsidRPr="001A2F0B">
        <w:rPr>
          <w:rFonts w:ascii="Times New Roman" w:hAnsi="Times New Roman"/>
          <w:b/>
          <w:sz w:val="24"/>
          <w:szCs w:val="24"/>
        </w:rPr>
        <w:t>Legal Lesson Learned: The Court reviewed the legislature’s “tiered arson punishment scheme” to reach its conclusion; defendant will be resentenced to 100 years, instead of 135 years in prison.</w:t>
      </w:r>
    </w:p>
    <w:p w14:paraId="45B6F43E" w14:textId="77777777" w:rsidR="007A4EAE" w:rsidRDefault="007A4EAE" w:rsidP="001A2F0B">
      <w:pPr>
        <w:pStyle w:val="NoSpacing"/>
        <w:rPr>
          <w:rFonts w:ascii="Times New Roman" w:hAnsi="Times New Roman"/>
          <w:b/>
          <w:sz w:val="24"/>
          <w:szCs w:val="24"/>
        </w:rPr>
      </w:pPr>
    </w:p>
    <w:p w14:paraId="137E8988" w14:textId="77777777" w:rsidR="007A4EAE" w:rsidRPr="001A2F0B" w:rsidRDefault="007A4EAE" w:rsidP="001A2F0B">
      <w:pPr>
        <w:pStyle w:val="NoSpacing"/>
        <w:rPr>
          <w:rFonts w:ascii="Times New Roman" w:hAnsi="Times New Roman"/>
          <w:b/>
          <w:bCs/>
          <w:sz w:val="24"/>
          <w:szCs w:val="24"/>
        </w:rPr>
      </w:pPr>
    </w:p>
    <w:p w14:paraId="01B4F8C1" w14:textId="405FBD86" w:rsidR="00A35301" w:rsidRPr="007A4EAE" w:rsidRDefault="007A4EAE" w:rsidP="007A4EAE">
      <w:pPr>
        <w:pStyle w:val="NoSpacing"/>
        <w:rPr>
          <w:rFonts w:ascii="Arial Black" w:hAnsi="Arial Black"/>
          <w:sz w:val="24"/>
          <w:szCs w:val="24"/>
        </w:rPr>
      </w:pPr>
      <w:r w:rsidRPr="007A4EAE">
        <w:rPr>
          <w:rFonts w:ascii="Arial Black" w:hAnsi="Arial Black"/>
          <w:sz w:val="24"/>
          <w:szCs w:val="24"/>
        </w:rPr>
        <w:t>1-179</w:t>
      </w:r>
    </w:p>
    <w:p w14:paraId="7C8FE2A8" w14:textId="77777777" w:rsidR="002B2465" w:rsidRPr="006F2B87" w:rsidRDefault="002B2465" w:rsidP="002B2465">
      <w:pPr>
        <w:pStyle w:val="NoSpacing"/>
      </w:pPr>
    </w:p>
    <w:p w14:paraId="039184C9" w14:textId="77777777" w:rsidR="007448D6" w:rsidRPr="006F2B87" w:rsidRDefault="007448D6" w:rsidP="007448D6">
      <w:pPr>
        <w:pStyle w:val="NoSpacing"/>
        <w:rPr>
          <w:rFonts w:ascii="Arial Black" w:hAnsi="Arial Black"/>
          <w:sz w:val="28"/>
          <w:szCs w:val="28"/>
        </w:rPr>
      </w:pPr>
      <w:r w:rsidRPr="006F2B87">
        <w:rPr>
          <w:rFonts w:ascii="Arial Black" w:hAnsi="Arial Black"/>
          <w:sz w:val="28"/>
          <w:szCs w:val="28"/>
        </w:rPr>
        <w:t>CA: WILDLAND ARSONIST – 5 FF KILLED – DEATH PENALTY</w:t>
      </w:r>
    </w:p>
    <w:p w14:paraId="009FBDCF" w14:textId="77777777" w:rsidR="007448D6" w:rsidRDefault="007448D6" w:rsidP="007448D6">
      <w:pPr>
        <w:pStyle w:val="NoSpacing"/>
      </w:pPr>
    </w:p>
    <w:p w14:paraId="0B4156D0" w14:textId="77777777" w:rsidR="007448D6" w:rsidRPr="007448D6" w:rsidRDefault="007448D6" w:rsidP="007448D6">
      <w:pPr>
        <w:pStyle w:val="NoSpacing"/>
        <w:rPr>
          <w:rFonts w:ascii="Times New Roman" w:hAnsi="Times New Roman"/>
          <w:sz w:val="24"/>
          <w:szCs w:val="24"/>
        </w:rPr>
      </w:pPr>
      <w:r w:rsidRPr="007448D6">
        <w:rPr>
          <w:rFonts w:ascii="Times New Roman" w:hAnsi="Times New Roman"/>
          <w:sz w:val="24"/>
          <w:szCs w:val="24"/>
        </w:rPr>
        <w:lastRenderedPageBreak/>
        <w:t xml:space="preserve">On May 5, 2025, in </w:t>
      </w:r>
      <w:r w:rsidRPr="007448D6">
        <w:rPr>
          <w:rFonts w:ascii="Times New Roman" w:hAnsi="Times New Roman"/>
          <w:sz w:val="24"/>
          <w:szCs w:val="24"/>
          <w:u w:val="single"/>
        </w:rPr>
        <w:t>The People v. Raymond Lee Oliver</w:t>
      </w:r>
      <w:r w:rsidRPr="007448D6">
        <w:rPr>
          <w:rFonts w:ascii="Times New Roman" w:hAnsi="Times New Roman"/>
          <w:sz w:val="24"/>
          <w:szCs w:val="24"/>
        </w:rPr>
        <w:t xml:space="preserve">, the Supreme Court of California held (5 to 0) that jury properly convicted the defendant five counts of </w:t>
      </w:r>
      <w:proofErr w:type="gramStart"/>
      <w:r w:rsidRPr="007448D6">
        <w:rPr>
          <w:rFonts w:ascii="Times New Roman" w:hAnsi="Times New Roman"/>
          <w:sz w:val="24"/>
          <w:szCs w:val="24"/>
        </w:rPr>
        <w:t>first degree</w:t>
      </w:r>
      <w:proofErr w:type="gramEnd"/>
      <w:r w:rsidRPr="007448D6">
        <w:rPr>
          <w:rFonts w:ascii="Times New Roman" w:hAnsi="Times New Roman"/>
          <w:sz w:val="24"/>
          <w:szCs w:val="24"/>
        </w:rPr>
        <w:t xml:space="preserve"> murder, 20 counts of arson, 17 counts of possession of an incendiary device, and in the </w:t>
      </w:r>
      <w:proofErr w:type="gramStart"/>
      <w:r w:rsidRPr="007448D6">
        <w:rPr>
          <w:rFonts w:ascii="Times New Roman" w:hAnsi="Times New Roman"/>
          <w:sz w:val="24"/>
          <w:szCs w:val="24"/>
        </w:rPr>
        <w:t>penalty</w:t>
      </w:r>
      <w:proofErr w:type="gramEnd"/>
      <w:r w:rsidRPr="007448D6">
        <w:rPr>
          <w:rFonts w:ascii="Times New Roman" w:hAnsi="Times New Roman"/>
          <w:sz w:val="24"/>
          <w:szCs w:val="24"/>
        </w:rPr>
        <w:t xml:space="preserve"> phase returned a verdict of death. </w:t>
      </w:r>
    </w:p>
    <w:p w14:paraId="64AC2E45" w14:textId="77777777" w:rsidR="007448D6" w:rsidRPr="007448D6" w:rsidRDefault="007448D6" w:rsidP="007448D6">
      <w:pPr>
        <w:pStyle w:val="NoSpacing"/>
        <w:rPr>
          <w:rFonts w:ascii="Times New Roman" w:hAnsi="Times New Roman"/>
          <w:sz w:val="24"/>
          <w:szCs w:val="24"/>
        </w:rPr>
      </w:pPr>
    </w:p>
    <w:p w14:paraId="3C780810" w14:textId="77777777" w:rsidR="007448D6" w:rsidRPr="007448D6" w:rsidRDefault="007448D6" w:rsidP="007448D6">
      <w:pPr>
        <w:pStyle w:val="NoSpacing"/>
        <w:rPr>
          <w:rFonts w:ascii="Times New Roman" w:hAnsi="Times New Roman"/>
          <w:b/>
          <w:bCs/>
          <w:sz w:val="24"/>
          <w:szCs w:val="24"/>
        </w:rPr>
      </w:pPr>
      <w:r w:rsidRPr="007448D6">
        <w:rPr>
          <w:rFonts w:ascii="Times New Roman" w:hAnsi="Times New Roman"/>
          <w:sz w:val="24"/>
          <w:szCs w:val="24"/>
        </w:rPr>
        <w:t xml:space="preserve">The Court wrote: “Between May 16 and October 26, 2006, 3 more than two dozen wildland fires were reported in the Banning Pass area of Southern California. The series culminated with a fire known as the Esperanza Fire, which killed five firefighters assigned to Engine 57 of the United States Department of Agriculture Forest Service (Forest Service). *** </w:t>
      </w:r>
    </w:p>
    <w:p w14:paraId="63DA1AB0" w14:textId="77777777" w:rsidR="007448D6" w:rsidRDefault="007448D6" w:rsidP="007448D6">
      <w:pPr>
        <w:pStyle w:val="NoSpacing"/>
        <w:rPr>
          <w:rFonts w:ascii="Times New Roman" w:hAnsi="Times New Roman"/>
          <w:sz w:val="24"/>
          <w:szCs w:val="24"/>
        </w:rPr>
      </w:pPr>
      <w:r w:rsidRPr="007448D6">
        <w:rPr>
          <w:rFonts w:ascii="Times New Roman" w:hAnsi="Times New Roman"/>
          <w:sz w:val="24"/>
          <w:szCs w:val="24"/>
        </w:rPr>
        <w:t xml:space="preserve">An arson investigator who investigated all three fires determined they were caused by arson. At the point of origin of each fire, the investigator found a time-delayed incendiary device consisting of a Marlboro Light cigarette with wooden matchsticks attached lengthwise by a rubber band. The devices at the Sunset/Wilson and Sunset/Mesa fires had 31 matches attached and the device at the Gilman/Pump House fire had 30 matches attached. The matches pointed in both directions, such that some heads were at opposite ends of the cigarette. *** Around 1:10 a.m. on October 26, firefighters were dispatched to a wildland fire at Esperanza Road and Almond Street in Cabazon (about one mile from the origin of the June 14 </w:t>
      </w:r>
      <w:proofErr w:type="gramStart"/>
      <w:r w:rsidRPr="007448D6">
        <w:rPr>
          <w:rFonts w:ascii="Times New Roman" w:hAnsi="Times New Roman"/>
          <w:sz w:val="24"/>
          <w:szCs w:val="24"/>
        </w:rPr>
        <w:t>layover device</w:t>
      </w:r>
      <w:proofErr w:type="gramEnd"/>
      <w:r w:rsidRPr="007448D6">
        <w:rPr>
          <w:rFonts w:ascii="Times New Roman" w:hAnsi="Times New Roman"/>
          <w:sz w:val="24"/>
          <w:szCs w:val="24"/>
        </w:rPr>
        <w:t xml:space="preserve"> fire at Esperanza Road and Broadway). This fire would become known as the Esperanza Fire…. Around 7:00 a.m., the fire rapidly advanced on Engine 57, burned through the crew’s location, and </w:t>
      </w:r>
      <w:proofErr w:type="gramStart"/>
      <w:r w:rsidRPr="007448D6">
        <w:rPr>
          <w:rFonts w:ascii="Times New Roman" w:hAnsi="Times New Roman"/>
          <w:sz w:val="24"/>
          <w:szCs w:val="24"/>
        </w:rPr>
        <w:t>continued on</w:t>
      </w:r>
      <w:proofErr w:type="gramEnd"/>
      <w:r w:rsidRPr="007448D6">
        <w:rPr>
          <w:rFonts w:ascii="Times New Roman" w:hAnsi="Times New Roman"/>
          <w:sz w:val="24"/>
          <w:szCs w:val="24"/>
        </w:rPr>
        <w:t xml:space="preserve">. The crew members did not have time to deploy their emergency protective gear. Three of the firefighters — Daniel Hoover-Najera, Jess McLean, and Jason McKay — died at the scene. The other two crew members — Captain Mark Loutzenhiser and Pablo Cerda — were badly burned and were evacuated by helicopter. Loutzenhiser died at the hospital about three hours later; Cerda died at the hospital five days later.” </w:t>
      </w:r>
      <w:hyperlink r:id="rId80" w:history="1">
        <w:r w:rsidRPr="007448D6">
          <w:rPr>
            <w:rStyle w:val="Hyperlink"/>
            <w:rFonts w:ascii="Times New Roman" w:hAnsi="Times New Roman"/>
            <w:sz w:val="24"/>
            <w:szCs w:val="24"/>
          </w:rPr>
          <w:t>https://cases.justia.com/california/supreme-court/2025-s173784.pdf?ts=1746464481</w:t>
        </w:r>
      </w:hyperlink>
      <w:r w:rsidRPr="007448D6">
        <w:rPr>
          <w:rFonts w:ascii="Times New Roman" w:hAnsi="Times New Roman"/>
          <w:sz w:val="24"/>
          <w:szCs w:val="24"/>
        </w:rPr>
        <w:t xml:space="preserve"> </w:t>
      </w:r>
    </w:p>
    <w:p w14:paraId="428C38C1" w14:textId="77777777" w:rsidR="002249FF" w:rsidRDefault="002249FF" w:rsidP="007448D6">
      <w:pPr>
        <w:pStyle w:val="NoSpacing"/>
        <w:rPr>
          <w:rFonts w:ascii="Times New Roman" w:hAnsi="Times New Roman"/>
          <w:sz w:val="24"/>
          <w:szCs w:val="24"/>
        </w:rPr>
      </w:pPr>
    </w:p>
    <w:p w14:paraId="56C8EE78" w14:textId="77777777" w:rsidR="002249FF" w:rsidRPr="002249FF" w:rsidRDefault="002249FF" w:rsidP="002249FF">
      <w:pPr>
        <w:pStyle w:val="NoSpacing"/>
        <w:rPr>
          <w:rFonts w:ascii="Times New Roman" w:hAnsi="Times New Roman"/>
          <w:b/>
          <w:bCs/>
          <w:sz w:val="24"/>
          <w:szCs w:val="24"/>
        </w:rPr>
      </w:pPr>
      <w:r w:rsidRPr="002249FF">
        <w:rPr>
          <w:rFonts w:ascii="Times New Roman" w:hAnsi="Times New Roman"/>
          <w:b/>
          <w:sz w:val="24"/>
          <w:szCs w:val="24"/>
        </w:rPr>
        <w:t xml:space="preserve">Legal Lesson Learned: Death penalty </w:t>
      </w:r>
      <w:r w:rsidRPr="002249FF">
        <w:rPr>
          <w:rFonts w:ascii="Times New Roman" w:hAnsi="Times New Roman"/>
          <w:b/>
          <w:bCs/>
          <w:sz w:val="24"/>
          <w:szCs w:val="24"/>
        </w:rPr>
        <w:t xml:space="preserve">is the </w:t>
      </w:r>
      <w:r w:rsidRPr="002249FF">
        <w:rPr>
          <w:rFonts w:ascii="Times New Roman" w:hAnsi="Times New Roman"/>
          <w:b/>
          <w:sz w:val="24"/>
          <w:szCs w:val="24"/>
        </w:rPr>
        <w:t xml:space="preserve">appropriate penalty.  </w:t>
      </w:r>
    </w:p>
    <w:p w14:paraId="75714330" w14:textId="77777777" w:rsidR="002249FF" w:rsidRPr="002249FF" w:rsidRDefault="002249FF" w:rsidP="002249FF">
      <w:pPr>
        <w:pStyle w:val="NoSpacing"/>
        <w:rPr>
          <w:rFonts w:ascii="Times New Roman" w:hAnsi="Times New Roman"/>
          <w:b/>
          <w:bCs/>
          <w:sz w:val="24"/>
          <w:szCs w:val="24"/>
        </w:rPr>
      </w:pPr>
    </w:p>
    <w:p w14:paraId="152B813A" w14:textId="77777777" w:rsidR="002249FF" w:rsidRPr="002249FF" w:rsidRDefault="002249FF" w:rsidP="002249FF">
      <w:pPr>
        <w:pStyle w:val="NoSpacing"/>
        <w:ind w:left="720"/>
        <w:rPr>
          <w:rFonts w:ascii="Times New Roman" w:hAnsi="Times New Roman"/>
          <w:sz w:val="24"/>
          <w:szCs w:val="24"/>
        </w:rPr>
      </w:pPr>
      <w:r w:rsidRPr="002249FF">
        <w:rPr>
          <w:rFonts w:ascii="Times New Roman" w:hAnsi="Times New Roman"/>
          <w:sz w:val="24"/>
          <w:szCs w:val="24"/>
        </w:rPr>
        <w:t xml:space="preserve">Note: California Governor Gavin Newsome in 2019 issued a moratorium on imposing death penalty. </w:t>
      </w:r>
      <w:hyperlink r:id="rId81" w:history="1">
        <w:r w:rsidRPr="002249FF">
          <w:rPr>
            <w:rStyle w:val="Hyperlink"/>
            <w:rFonts w:ascii="Times New Roman" w:hAnsi="Times New Roman"/>
            <w:sz w:val="24"/>
            <w:szCs w:val="24"/>
          </w:rPr>
          <w:t>https://www.cdcr.ca.gov/capital-punishment/</w:t>
        </w:r>
      </w:hyperlink>
      <w:r w:rsidRPr="002249FF">
        <w:rPr>
          <w:rFonts w:ascii="Times New Roman" w:hAnsi="Times New Roman"/>
          <w:sz w:val="24"/>
          <w:szCs w:val="24"/>
        </w:rPr>
        <w:t xml:space="preserve"> </w:t>
      </w:r>
    </w:p>
    <w:p w14:paraId="41093A0E" w14:textId="77777777" w:rsidR="002249FF" w:rsidRPr="002249FF" w:rsidRDefault="002249FF" w:rsidP="002249FF">
      <w:pPr>
        <w:pStyle w:val="NoSpacing"/>
        <w:rPr>
          <w:rFonts w:ascii="Times New Roman" w:hAnsi="Times New Roman"/>
          <w:bCs/>
          <w:sz w:val="24"/>
          <w:szCs w:val="24"/>
        </w:rPr>
      </w:pPr>
    </w:p>
    <w:p w14:paraId="07D4945B" w14:textId="77777777" w:rsidR="00AC44B8" w:rsidRDefault="00AC44B8" w:rsidP="00B86628">
      <w:pPr>
        <w:pStyle w:val="NoSpacing"/>
        <w:rPr>
          <w:rFonts w:ascii="Arial Black" w:hAnsi="Arial Black"/>
          <w:sz w:val="24"/>
          <w:szCs w:val="24"/>
        </w:rPr>
      </w:pPr>
    </w:p>
    <w:p w14:paraId="71FA52D2" w14:textId="446670E7" w:rsidR="008D499E" w:rsidRDefault="00453E02" w:rsidP="00B86628">
      <w:pPr>
        <w:pStyle w:val="NoSpacing"/>
        <w:rPr>
          <w:rFonts w:ascii="Arial Black" w:hAnsi="Arial Black"/>
          <w:sz w:val="24"/>
          <w:szCs w:val="24"/>
        </w:rPr>
      </w:pPr>
      <w:r>
        <w:rPr>
          <w:rFonts w:ascii="Arial Black" w:hAnsi="Arial Black"/>
          <w:sz w:val="24"/>
          <w:szCs w:val="24"/>
        </w:rPr>
        <w:t>1-</w:t>
      </w:r>
      <w:r w:rsidR="002202B5">
        <w:rPr>
          <w:rFonts w:ascii="Arial Black" w:hAnsi="Arial Black"/>
          <w:sz w:val="24"/>
          <w:szCs w:val="24"/>
        </w:rPr>
        <w:t>178</w:t>
      </w:r>
    </w:p>
    <w:p w14:paraId="366F6FED" w14:textId="77777777" w:rsidR="003122E5" w:rsidRDefault="003122E5" w:rsidP="00B86628">
      <w:pPr>
        <w:pStyle w:val="NoSpacing"/>
        <w:rPr>
          <w:rFonts w:ascii="Arial Black" w:hAnsi="Arial Black"/>
          <w:sz w:val="24"/>
          <w:szCs w:val="24"/>
        </w:rPr>
      </w:pPr>
    </w:p>
    <w:p w14:paraId="5A1B7AF4" w14:textId="77777777" w:rsidR="003122E5" w:rsidRPr="00E510AC" w:rsidRDefault="003122E5" w:rsidP="003122E5">
      <w:pPr>
        <w:rPr>
          <w:rFonts w:ascii="Arial Black" w:hAnsi="Arial Black"/>
          <w:b/>
          <w:sz w:val="28"/>
          <w:szCs w:val="28"/>
        </w:rPr>
      </w:pPr>
      <w:r>
        <w:rPr>
          <w:rFonts w:ascii="Arial Black" w:hAnsi="Arial Black"/>
          <w:b/>
          <w:sz w:val="28"/>
          <w:szCs w:val="28"/>
        </w:rPr>
        <w:t>OR: HOMELESS - REMOVE NATIONAL FOREST - FIRES</w:t>
      </w:r>
    </w:p>
    <w:p w14:paraId="6B48CFA9" w14:textId="77777777" w:rsidR="003122E5" w:rsidRPr="003122E5" w:rsidRDefault="003122E5" w:rsidP="003122E5">
      <w:pPr>
        <w:rPr>
          <w:rFonts w:ascii="Times New Roman" w:hAnsi="Times New Roman"/>
          <w:bCs/>
          <w:sz w:val="24"/>
          <w:szCs w:val="24"/>
        </w:rPr>
      </w:pPr>
      <w:r w:rsidRPr="003122E5">
        <w:rPr>
          <w:rFonts w:ascii="Times New Roman" w:hAnsi="Times New Roman"/>
          <w:sz w:val="24"/>
          <w:szCs w:val="24"/>
        </w:rPr>
        <w:t xml:space="preserve">On May 1, 2025, in </w:t>
      </w:r>
      <w:r w:rsidRPr="003122E5">
        <w:rPr>
          <w:rFonts w:ascii="Times New Roman" w:hAnsi="Times New Roman"/>
          <w:sz w:val="24"/>
          <w:szCs w:val="24"/>
          <w:u w:val="single"/>
        </w:rPr>
        <w:t>Theresa Bradshaw, et al. v. Holly Jewkes, Bend-Fort Rock Ranger District, Deschutes National Forest, et al</w:t>
      </w:r>
      <w:r w:rsidRPr="003122E5">
        <w:rPr>
          <w:rFonts w:ascii="Times New Roman" w:hAnsi="Times New Roman"/>
          <w:sz w:val="24"/>
          <w:szCs w:val="24"/>
        </w:rPr>
        <w:t xml:space="preserve">.,  U.S. District Court Judge Michael J. McShane, United States District Court for the District of Oregon, Eugene Division, rejected the request of an organization on behalf of 150 homeless to stop U.S. Forest Service from closing a portion of the National Forest called China Hat.  There has been a significant increase in forest fires because of the homeless.  </w:t>
      </w:r>
      <w:hyperlink r:id="rId82" w:history="1">
        <w:r w:rsidRPr="003122E5">
          <w:rPr>
            <w:rStyle w:val="Hyperlink"/>
            <w:rFonts w:ascii="Times New Roman" w:hAnsi="Times New Roman"/>
            <w:sz w:val="24"/>
            <w:szCs w:val="24"/>
          </w:rPr>
          <w:t>https://ktvz.b-cdn.net/2025/05/TRO-ruling.pdf</w:t>
        </w:r>
      </w:hyperlink>
      <w:r w:rsidRPr="003122E5">
        <w:rPr>
          <w:rFonts w:ascii="Times New Roman" w:hAnsi="Times New Roman"/>
          <w:sz w:val="24"/>
          <w:szCs w:val="24"/>
        </w:rPr>
        <w:t xml:space="preserve"> </w:t>
      </w:r>
    </w:p>
    <w:p w14:paraId="7502E76C" w14:textId="77777777" w:rsidR="002714EB" w:rsidRPr="002714EB" w:rsidRDefault="002714EB" w:rsidP="002714EB">
      <w:pPr>
        <w:rPr>
          <w:rFonts w:ascii="Times New Roman" w:hAnsi="Times New Roman"/>
          <w:b/>
          <w:sz w:val="24"/>
          <w:szCs w:val="24"/>
        </w:rPr>
      </w:pPr>
      <w:r w:rsidRPr="002714EB">
        <w:rPr>
          <w:rFonts w:ascii="Times New Roman" w:hAnsi="Times New Roman"/>
          <w:b/>
          <w:sz w:val="24"/>
          <w:szCs w:val="24"/>
        </w:rPr>
        <w:t xml:space="preserve">Legal Lesson Learned: Public interest in prevention of forest fires outweighs the interest of homeless. </w:t>
      </w:r>
    </w:p>
    <w:p w14:paraId="7B35CD8C" w14:textId="0B751BB7" w:rsidR="003122E5" w:rsidRPr="002714EB" w:rsidRDefault="002714EB" w:rsidP="002714EB">
      <w:pPr>
        <w:pStyle w:val="NoSpacing"/>
        <w:ind w:left="720"/>
        <w:rPr>
          <w:rFonts w:ascii="Times New Roman" w:hAnsi="Times New Roman"/>
          <w:sz w:val="24"/>
          <w:szCs w:val="24"/>
        </w:rPr>
      </w:pPr>
      <w:r w:rsidRPr="002714EB">
        <w:rPr>
          <w:rFonts w:ascii="Times New Roman" w:hAnsi="Times New Roman"/>
          <w:sz w:val="24"/>
          <w:szCs w:val="24"/>
        </w:rPr>
        <w:t xml:space="preserve">Note: See this May 2, </w:t>
      </w:r>
      <w:proofErr w:type="gramStart"/>
      <w:r w:rsidRPr="002714EB">
        <w:rPr>
          <w:rFonts w:ascii="Times New Roman" w:hAnsi="Times New Roman"/>
          <w:sz w:val="24"/>
          <w:szCs w:val="24"/>
        </w:rPr>
        <w:t>2025</w:t>
      </w:r>
      <w:proofErr w:type="gramEnd"/>
      <w:r w:rsidRPr="002714EB">
        <w:rPr>
          <w:rFonts w:ascii="Times New Roman" w:hAnsi="Times New Roman"/>
          <w:sz w:val="24"/>
          <w:szCs w:val="24"/>
        </w:rPr>
        <w:t xml:space="preserve"> article, “US Forest Service starts clearing homeless camp in Oregon national forest, where some have lived for years.” </w:t>
      </w:r>
      <w:hyperlink r:id="rId83" w:history="1">
        <w:r w:rsidRPr="002714EB">
          <w:rPr>
            <w:rStyle w:val="Hyperlink"/>
            <w:rFonts w:ascii="Times New Roman" w:hAnsi="Times New Roman"/>
            <w:sz w:val="24"/>
            <w:szCs w:val="24"/>
          </w:rPr>
          <w:t>https://www.cnn.com/2025/05/02/us/oregon-deschutes-national-forest-eviction-hnk</w:t>
        </w:r>
      </w:hyperlink>
    </w:p>
    <w:p w14:paraId="5A781FC7" w14:textId="77777777" w:rsidR="002202B5" w:rsidRDefault="002202B5" w:rsidP="00B86628">
      <w:pPr>
        <w:pStyle w:val="NoSpacing"/>
        <w:rPr>
          <w:rFonts w:ascii="Arial Black" w:hAnsi="Arial Black"/>
          <w:sz w:val="24"/>
          <w:szCs w:val="24"/>
        </w:rPr>
      </w:pPr>
    </w:p>
    <w:p w14:paraId="29F13EA2" w14:textId="77777777" w:rsidR="002202B5" w:rsidRDefault="002202B5" w:rsidP="00B86628">
      <w:pPr>
        <w:pStyle w:val="NoSpacing"/>
        <w:rPr>
          <w:rFonts w:ascii="Arial Black" w:hAnsi="Arial Black"/>
          <w:sz w:val="24"/>
          <w:szCs w:val="24"/>
        </w:rPr>
      </w:pPr>
    </w:p>
    <w:p w14:paraId="767E7C37" w14:textId="1D533C35" w:rsidR="003C62F5" w:rsidRPr="002202B5" w:rsidRDefault="00453E02" w:rsidP="00B86628">
      <w:pPr>
        <w:pStyle w:val="NoSpacing"/>
        <w:rPr>
          <w:rFonts w:ascii="Arial Black" w:hAnsi="Arial Black"/>
          <w:sz w:val="24"/>
          <w:szCs w:val="24"/>
        </w:rPr>
      </w:pPr>
      <w:r>
        <w:rPr>
          <w:rFonts w:ascii="Arial Black" w:hAnsi="Arial Black"/>
          <w:sz w:val="24"/>
          <w:szCs w:val="24"/>
        </w:rPr>
        <w:t>1-</w:t>
      </w:r>
      <w:r w:rsidR="003C62F5" w:rsidRPr="002202B5">
        <w:rPr>
          <w:rFonts w:ascii="Arial Black" w:hAnsi="Arial Black"/>
          <w:sz w:val="24"/>
          <w:szCs w:val="24"/>
        </w:rPr>
        <w:t>177</w:t>
      </w:r>
    </w:p>
    <w:p w14:paraId="7DB2F45F" w14:textId="77777777" w:rsidR="002202B5" w:rsidRDefault="002202B5" w:rsidP="003C62F5">
      <w:pPr>
        <w:rPr>
          <w:rFonts w:ascii="Arial Black" w:hAnsi="Arial Black"/>
          <w:sz w:val="28"/>
          <w:szCs w:val="28"/>
        </w:rPr>
      </w:pPr>
    </w:p>
    <w:p w14:paraId="49A20867" w14:textId="3ECA9B41" w:rsidR="003C62F5" w:rsidRPr="00AE4361" w:rsidRDefault="003C62F5" w:rsidP="003C62F5">
      <w:pPr>
        <w:rPr>
          <w:rFonts w:ascii="Arial Black" w:hAnsi="Arial Black"/>
          <w:bCs/>
          <w:sz w:val="28"/>
          <w:szCs w:val="28"/>
        </w:rPr>
      </w:pPr>
      <w:r>
        <w:rPr>
          <w:rFonts w:ascii="Arial Black" w:hAnsi="Arial Black"/>
          <w:sz w:val="28"/>
          <w:szCs w:val="28"/>
        </w:rPr>
        <w:lastRenderedPageBreak/>
        <w:t>IN: WIFE HAD FF MURDERED – CONV. UPHELD / 90 YRS</w:t>
      </w:r>
    </w:p>
    <w:p w14:paraId="68293081" w14:textId="77777777" w:rsidR="003C62F5" w:rsidRPr="003C62F5" w:rsidRDefault="003C62F5" w:rsidP="003C62F5">
      <w:pPr>
        <w:pStyle w:val="NoSpacing"/>
        <w:rPr>
          <w:rFonts w:ascii="Times New Roman" w:hAnsi="Times New Roman"/>
          <w:bCs/>
          <w:sz w:val="24"/>
          <w:szCs w:val="24"/>
        </w:rPr>
      </w:pPr>
      <w:r w:rsidRPr="003C62F5">
        <w:rPr>
          <w:rFonts w:ascii="Times New Roman" w:hAnsi="Times New Roman"/>
          <w:sz w:val="24"/>
          <w:szCs w:val="24"/>
        </w:rPr>
        <w:t xml:space="preserve">On May 1, 2025, in </w:t>
      </w:r>
      <w:r w:rsidRPr="003C62F5">
        <w:rPr>
          <w:rFonts w:ascii="Times New Roman" w:hAnsi="Times New Roman"/>
          <w:sz w:val="24"/>
          <w:szCs w:val="24"/>
          <w:u w:val="single"/>
        </w:rPr>
        <w:t>Elizabeth Joanne Fox-Doerr v. State of Indiana</w:t>
      </w:r>
      <w:r w:rsidRPr="003C62F5">
        <w:rPr>
          <w:rFonts w:ascii="Times New Roman" w:hAnsi="Times New Roman"/>
          <w:sz w:val="24"/>
          <w:szCs w:val="24"/>
        </w:rPr>
        <w:t>,</w:t>
      </w:r>
      <w:r w:rsidRPr="003C62F5">
        <w:rPr>
          <w:rFonts w:ascii="Times New Roman" w:hAnsi="Times New Roman"/>
          <w:b/>
          <w:sz w:val="24"/>
          <w:szCs w:val="24"/>
        </w:rPr>
        <w:t xml:space="preserve"> </w:t>
      </w:r>
      <w:r w:rsidRPr="003C62F5">
        <w:rPr>
          <w:rFonts w:ascii="Times New Roman" w:hAnsi="Times New Roman"/>
          <w:sz w:val="24"/>
          <w:szCs w:val="24"/>
        </w:rPr>
        <w:t xml:space="preserve">the Court of Appeals of Indiana held (3 to 0; unpublished opinion) that there was sufficient evidence for jury to find that she arranged for the murder of Evanston firefighter Robert Doer on February 26, 2019, and the trial court properly sentenced her to 90 years in prison.  Larry Ali Richmond, Sr. was indicted for shooting Robert Doer.  </w:t>
      </w:r>
      <w:hyperlink r:id="rId84" w:history="1">
        <w:r w:rsidRPr="003C62F5">
          <w:rPr>
            <w:rStyle w:val="Hyperlink"/>
            <w:rFonts w:ascii="Times New Roman" w:hAnsi="Times New Roman"/>
            <w:sz w:val="24"/>
            <w:szCs w:val="24"/>
          </w:rPr>
          <w:t>https://www.aol.com/trial-delayed-man-accused-fatally-135028116.html</w:t>
        </w:r>
      </w:hyperlink>
      <w:r w:rsidRPr="003C62F5">
        <w:rPr>
          <w:rFonts w:ascii="Times New Roman" w:hAnsi="Times New Roman"/>
          <w:sz w:val="24"/>
          <w:szCs w:val="24"/>
        </w:rPr>
        <w:t xml:space="preserve"> . Elizabeth Fox-Doerr was tried first and convicted by a jury of aiding, inducing, or causing murder of her husband; they were only married for about six months (this was her third or fourth marriage).  At some point prior to February of 2019, Larry Ali Richmond’s son had observed Richmond and Fox-Doerr kissing.  On Feb. 26, 2019, firefighter Robert Doer worked a partial shift, returned home at 7:04 pm and was shot three times.  </w:t>
      </w:r>
      <w:hyperlink r:id="rId85" w:history="1">
        <w:r w:rsidRPr="003C62F5">
          <w:rPr>
            <w:rStyle w:val="Hyperlink"/>
            <w:rFonts w:ascii="Times New Roman" w:hAnsi="Times New Roman"/>
            <w:sz w:val="24"/>
            <w:szCs w:val="24"/>
          </w:rPr>
          <w:t>https://cases.justia.com/indiana/court-of-appeals/2025-24a-cr-01673.pdf?ts=1746121391</w:t>
        </w:r>
      </w:hyperlink>
    </w:p>
    <w:p w14:paraId="0F36C3F2" w14:textId="77777777" w:rsidR="003C62F5" w:rsidRPr="003C62F5" w:rsidRDefault="003C62F5" w:rsidP="003C62F5">
      <w:pPr>
        <w:pStyle w:val="NoSpacing"/>
        <w:rPr>
          <w:rFonts w:ascii="Times New Roman" w:hAnsi="Times New Roman"/>
          <w:bCs/>
          <w:sz w:val="24"/>
          <w:szCs w:val="24"/>
        </w:rPr>
      </w:pPr>
    </w:p>
    <w:p w14:paraId="2C9238CE" w14:textId="77777777" w:rsidR="00267F30" w:rsidRPr="00267F30" w:rsidRDefault="00267F30" w:rsidP="00267F30">
      <w:pPr>
        <w:rPr>
          <w:b/>
          <w:sz w:val="24"/>
          <w:szCs w:val="24"/>
        </w:rPr>
      </w:pPr>
      <w:r w:rsidRPr="00267F30">
        <w:rPr>
          <w:b/>
          <w:sz w:val="24"/>
          <w:szCs w:val="24"/>
        </w:rPr>
        <w:t xml:space="preserve">Legal Lesson Learned: The Court will not “reweigh the evidence” of conspiracy presented at trial. </w:t>
      </w:r>
    </w:p>
    <w:p w14:paraId="0099F781" w14:textId="77777777" w:rsidR="00267F30" w:rsidRPr="00267F30" w:rsidRDefault="00267F30" w:rsidP="00267F30">
      <w:pPr>
        <w:ind w:left="720"/>
        <w:rPr>
          <w:bCs/>
          <w:sz w:val="24"/>
          <w:szCs w:val="24"/>
        </w:rPr>
      </w:pPr>
      <w:r w:rsidRPr="00267F30">
        <w:rPr>
          <w:sz w:val="24"/>
          <w:szCs w:val="24"/>
        </w:rPr>
        <w:t xml:space="preserve">Note: Watch her sentencing on June 17, 2024.  “Convicted killer and wife of Evansville firefighter sentenced [TV VIDEO]. </w:t>
      </w:r>
      <w:hyperlink r:id="rId86" w:history="1">
        <w:r w:rsidRPr="00267F30">
          <w:rPr>
            <w:rStyle w:val="Hyperlink"/>
            <w:sz w:val="24"/>
            <w:szCs w:val="24"/>
          </w:rPr>
          <w:t>https://www.14news.com/2024/06/17/convicted-killer-evansville-firefighter-set-be-sentenced-this-afternoon/</w:t>
        </w:r>
      </w:hyperlink>
      <w:r w:rsidRPr="00267F30">
        <w:rPr>
          <w:sz w:val="24"/>
          <w:szCs w:val="24"/>
        </w:rPr>
        <w:t xml:space="preserve"> </w:t>
      </w:r>
    </w:p>
    <w:p w14:paraId="2DB8B9F9" w14:textId="77777777" w:rsidR="00267F30" w:rsidRPr="00F562BC" w:rsidRDefault="00267F30" w:rsidP="00267F30">
      <w:pPr>
        <w:ind w:left="720"/>
        <w:rPr>
          <w:b/>
        </w:rPr>
      </w:pPr>
      <w:r w:rsidRPr="00267F30">
        <w:rPr>
          <w:sz w:val="24"/>
          <w:szCs w:val="24"/>
        </w:rPr>
        <w:t xml:space="preserve">Aug. 18, 2022: “Wife and convicted murderer both charged in death of Evansville firefighter.” </w:t>
      </w:r>
      <w:hyperlink r:id="rId87" w:history="1">
        <w:r w:rsidRPr="00267F30">
          <w:rPr>
            <w:rStyle w:val="Hyperlink"/>
            <w:sz w:val="24"/>
            <w:szCs w:val="24"/>
          </w:rPr>
          <w:t>https://www.14news.com/2022/08/18/wife-convicted-murderer-both-charged-death-evansville-firefighter/</w:t>
        </w:r>
      </w:hyperlink>
      <w:r>
        <w:rPr>
          <w:b/>
        </w:rPr>
        <w:t xml:space="preserve"> </w:t>
      </w:r>
    </w:p>
    <w:p w14:paraId="693BE75B" w14:textId="77777777" w:rsidR="003C62F5" w:rsidRDefault="003C62F5" w:rsidP="00B86628">
      <w:pPr>
        <w:pStyle w:val="NoSpacing"/>
        <w:rPr>
          <w:rFonts w:ascii="Arial Black" w:hAnsi="Arial Black"/>
          <w:sz w:val="24"/>
          <w:szCs w:val="24"/>
        </w:rPr>
      </w:pPr>
    </w:p>
    <w:p w14:paraId="181C8DF3" w14:textId="77777777" w:rsidR="003C62F5" w:rsidRDefault="003C62F5" w:rsidP="00B86628">
      <w:pPr>
        <w:pStyle w:val="NoSpacing"/>
        <w:rPr>
          <w:rFonts w:ascii="Arial Black" w:hAnsi="Arial Black"/>
          <w:sz w:val="24"/>
          <w:szCs w:val="24"/>
        </w:rPr>
      </w:pPr>
    </w:p>
    <w:p w14:paraId="7A5FF2DE" w14:textId="3FCFB3A8" w:rsidR="00B9138D" w:rsidRDefault="00453E02" w:rsidP="00B86628">
      <w:pPr>
        <w:pStyle w:val="NoSpacing"/>
        <w:rPr>
          <w:rFonts w:ascii="Arial Black" w:hAnsi="Arial Black"/>
          <w:sz w:val="24"/>
          <w:szCs w:val="24"/>
        </w:rPr>
      </w:pPr>
      <w:r>
        <w:rPr>
          <w:rFonts w:ascii="Arial Black" w:hAnsi="Arial Black"/>
          <w:sz w:val="24"/>
          <w:szCs w:val="24"/>
        </w:rPr>
        <w:t>1-</w:t>
      </w:r>
      <w:r w:rsidR="00B9138D">
        <w:rPr>
          <w:rFonts w:ascii="Arial Black" w:hAnsi="Arial Black"/>
          <w:sz w:val="24"/>
          <w:szCs w:val="24"/>
        </w:rPr>
        <w:t>176</w:t>
      </w:r>
    </w:p>
    <w:p w14:paraId="2F89B39F" w14:textId="77777777" w:rsidR="00B9138D" w:rsidRDefault="00B9138D" w:rsidP="00B86628">
      <w:pPr>
        <w:pStyle w:val="NoSpacing"/>
        <w:rPr>
          <w:rFonts w:ascii="Arial Black" w:hAnsi="Arial Black"/>
          <w:sz w:val="24"/>
          <w:szCs w:val="24"/>
        </w:rPr>
      </w:pPr>
    </w:p>
    <w:p w14:paraId="48AA7DE0" w14:textId="77777777" w:rsidR="00B9138D" w:rsidRPr="00B71F72" w:rsidRDefault="00B9138D" w:rsidP="00B9138D">
      <w:pPr>
        <w:rPr>
          <w:rFonts w:ascii="Arial Black" w:hAnsi="Arial Black"/>
          <w:bCs/>
          <w:sz w:val="28"/>
          <w:szCs w:val="28"/>
        </w:rPr>
      </w:pPr>
      <w:r>
        <w:rPr>
          <w:rFonts w:ascii="Arial Black" w:hAnsi="Arial Black"/>
          <w:sz w:val="28"/>
          <w:szCs w:val="28"/>
        </w:rPr>
        <w:t>PA: FF EX-WIFE CONV. – GARAGE FIRE – HER FACEBOOK</w:t>
      </w:r>
    </w:p>
    <w:p w14:paraId="7024A3BD" w14:textId="4FABC9B9" w:rsidR="00B9138D" w:rsidRPr="00B9138D" w:rsidRDefault="00B9138D" w:rsidP="00B9138D">
      <w:pPr>
        <w:pStyle w:val="NoSpacing"/>
        <w:rPr>
          <w:rFonts w:ascii="Times New Roman" w:hAnsi="Times New Roman"/>
          <w:sz w:val="24"/>
          <w:szCs w:val="24"/>
        </w:rPr>
      </w:pPr>
      <w:r w:rsidRPr="00B9138D">
        <w:rPr>
          <w:rFonts w:ascii="Times New Roman" w:hAnsi="Times New Roman"/>
          <w:sz w:val="24"/>
          <w:szCs w:val="24"/>
        </w:rPr>
        <w:t xml:space="preserve">On April 29, </w:t>
      </w:r>
      <w:proofErr w:type="gramStart"/>
      <w:r w:rsidRPr="00B9138D">
        <w:rPr>
          <w:rFonts w:ascii="Times New Roman" w:hAnsi="Times New Roman"/>
          <w:sz w:val="24"/>
          <w:szCs w:val="24"/>
        </w:rPr>
        <w:t>2025</w:t>
      </w:r>
      <w:proofErr w:type="gramEnd"/>
      <w:r w:rsidRPr="00B9138D">
        <w:rPr>
          <w:rFonts w:ascii="Times New Roman" w:hAnsi="Times New Roman"/>
          <w:sz w:val="24"/>
          <w:szCs w:val="24"/>
        </w:rPr>
        <w:t xml:space="preserve"> in </w:t>
      </w:r>
      <w:r w:rsidRPr="00B9138D">
        <w:rPr>
          <w:rFonts w:ascii="Times New Roman" w:hAnsi="Times New Roman"/>
          <w:sz w:val="24"/>
          <w:szCs w:val="24"/>
          <w:u w:val="single"/>
        </w:rPr>
        <w:t>Commonwealth of Pennsylvania v. Nia C. Stallworth</w:t>
      </w:r>
      <w:r w:rsidRPr="00B9138D">
        <w:rPr>
          <w:rFonts w:ascii="Times New Roman" w:hAnsi="Times New Roman"/>
          <w:sz w:val="24"/>
          <w:szCs w:val="24"/>
        </w:rPr>
        <w:t xml:space="preserve">, the Superior Court of Pennsylvania held (3 to 0; non-precedential decision) that trial court judge in bench trial properly allowed into evidence a Facebook posting by the ex-wife of a Philadelphia firefighter, Timothy Rawls.  It was a screenshot of a Facebook post … with two photographs of Rawls’ damaged garage and captioned “These mutha </w:t>
      </w:r>
      <w:proofErr w:type="spellStart"/>
      <w:r w:rsidRPr="00B9138D">
        <w:rPr>
          <w:rFonts w:ascii="Times New Roman" w:hAnsi="Times New Roman"/>
          <w:sz w:val="24"/>
          <w:szCs w:val="24"/>
        </w:rPr>
        <w:t>Fuckas</w:t>
      </w:r>
      <w:proofErr w:type="spellEnd"/>
      <w:r w:rsidRPr="00B9138D">
        <w:rPr>
          <w:rFonts w:ascii="Times New Roman" w:hAnsi="Times New Roman"/>
          <w:sz w:val="24"/>
          <w:szCs w:val="24"/>
        </w:rPr>
        <w:t xml:space="preserve"> know I’m fucking crazy!! </w:t>
      </w:r>
      <w:proofErr w:type="gramStart"/>
      <w:r w:rsidRPr="00B9138D">
        <w:rPr>
          <w:rFonts w:ascii="Times New Roman" w:hAnsi="Times New Roman"/>
          <w:sz w:val="24"/>
          <w:szCs w:val="24"/>
        </w:rPr>
        <w:t>Yeah</w:t>
      </w:r>
      <w:proofErr w:type="gramEnd"/>
      <w:r w:rsidRPr="00B9138D">
        <w:rPr>
          <w:rFonts w:ascii="Times New Roman" w:hAnsi="Times New Roman"/>
          <w:sz w:val="24"/>
          <w:szCs w:val="24"/>
        </w:rPr>
        <w:t xml:space="preserve"> I set your shit on [fire emoji] bitch.”  The trial court judge found her guilty of criminal mischief, graded as a felony of the third degree, based upon her causing a pecuniary loss </w:t>
      </w:r>
      <w:proofErr w:type="gramStart"/>
      <w:r w:rsidRPr="00B9138D">
        <w:rPr>
          <w:rFonts w:ascii="Times New Roman" w:hAnsi="Times New Roman"/>
          <w:sz w:val="24"/>
          <w:szCs w:val="24"/>
        </w:rPr>
        <w:t>in excess of</w:t>
      </w:r>
      <w:proofErr w:type="gramEnd"/>
      <w:r w:rsidRPr="00B9138D">
        <w:rPr>
          <w:rFonts w:ascii="Times New Roman" w:hAnsi="Times New Roman"/>
          <w:sz w:val="24"/>
          <w:szCs w:val="24"/>
        </w:rPr>
        <w:t xml:space="preserve"> $5,000; but not guilty of arson, and sentenced her to two years’ probation. </w:t>
      </w:r>
      <w:hyperlink r:id="rId88" w:history="1">
        <w:r w:rsidRPr="00B9138D">
          <w:rPr>
            <w:rStyle w:val="Hyperlink"/>
            <w:rFonts w:ascii="Times New Roman" w:hAnsi="Times New Roman"/>
            <w:sz w:val="24"/>
            <w:szCs w:val="24"/>
          </w:rPr>
          <w:t>https://cases.justia.com/pennsylvania/superior-court/2025-76-eda-2024.pdf?ts=1745952844</w:t>
        </w:r>
      </w:hyperlink>
    </w:p>
    <w:p w14:paraId="507DE540" w14:textId="77777777" w:rsidR="00B9138D" w:rsidRDefault="00B9138D" w:rsidP="00B86628">
      <w:pPr>
        <w:pStyle w:val="NoSpacing"/>
        <w:rPr>
          <w:rFonts w:ascii="Arial Black" w:hAnsi="Arial Black"/>
          <w:sz w:val="24"/>
          <w:szCs w:val="24"/>
        </w:rPr>
      </w:pPr>
    </w:p>
    <w:p w14:paraId="45CA57EF" w14:textId="4A164792" w:rsidR="00D72EC2" w:rsidRPr="00D72EC2" w:rsidRDefault="00D72EC2" w:rsidP="00D72EC2">
      <w:pPr>
        <w:rPr>
          <w:b/>
          <w:sz w:val="24"/>
          <w:szCs w:val="24"/>
        </w:rPr>
      </w:pPr>
      <w:r w:rsidRPr="00D72EC2">
        <w:rPr>
          <w:rFonts w:ascii="Times New Roman" w:hAnsi="Times New Roman"/>
          <w:b/>
          <w:sz w:val="24"/>
          <w:szCs w:val="24"/>
        </w:rPr>
        <w:t xml:space="preserve">Legal Lesson Learned:  The Facebook post by </w:t>
      </w:r>
      <w:r>
        <w:rPr>
          <w:rFonts w:ascii="Times New Roman" w:hAnsi="Times New Roman"/>
          <w:b/>
          <w:sz w:val="24"/>
          <w:szCs w:val="24"/>
        </w:rPr>
        <w:t>ex-</w:t>
      </w:r>
      <w:r w:rsidRPr="00D72EC2">
        <w:rPr>
          <w:rFonts w:ascii="Times New Roman" w:hAnsi="Times New Roman"/>
          <w:b/>
          <w:sz w:val="24"/>
          <w:szCs w:val="24"/>
        </w:rPr>
        <w:t>wife was authenticated</w:t>
      </w:r>
      <w:r w:rsidRPr="00D72EC2">
        <w:rPr>
          <w:b/>
          <w:sz w:val="24"/>
          <w:szCs w:val="24"/>
        </w:rPr>
        <w:t xml:space="preserve">. </w:t>
      </w:r>
    </w:p>
    <w:p w14:paraId="536ADDC3" w14:textId="77777777" w:rsidR="00D72EC2" w:rsidRDefault="00D72EC2" w:rsidP="00B86628">
      <w:pPr>
        <w:pStyle w:val="NoSpacing"/>
        <w:rPr>
          <w:rFonts w:ascii="Arial Black" w:hAnsi="Arial Black"/>
          <w:sz w:val="24"/>
          <w:szCs w:val="24"/>
        </w:rPr>
      </w:pPr>
    </w:p>
    <w:p w14:paraId="49C41D0D" w14:textId="77777777" w:rsidR="00B9138D" w:rsidRDefault="00B9138D" w:rsidP="00B86628">
      <w:pPr>
        <w:pStyle w:val="NoSpacing"/>
        <w:rPr>
          <w:rFonts w:ascii="Arial Black" w:hAnsi="Arial Black"/>
          <w:sz w:val="24"/>
          <w:szCs w:val="24"/>
        </w:rPr>
      </w:pPr>
    </w:p>
    <w:p w14:paraId="0EBE4701" w14:textId="10A8371C" w:rsidR="008D499E" w:rsidRDefault="00453E02" w:rsidP="00B86628">
      <w:pPr>
        <w:pStyle w:val="NoSpacing"/>
        <w:rPr>
          <w:rFonts w:ascii="Arial Black" w:hAnsi="Arial Black"/>
          <w:sz w:val="24"/>
          <w:szCs w:val="24"/>
        </w:rPr>
      </w:pPr>
      <w:r>
        <w:rPr>
          <w:rFonts w:ascii="Arial Black" w:hAnsi="Arial Black"/>
          <w:sz w:val="24"/>
          <w:szCs w:val="24"/>
        </w:rPr>
        <w:t>1-</w:t>
      </w:r>
      <w:r w:rsidR="008D499E">
        <w:rPr>
          <w:rFonts w:ascii="Arial Black" w:hAnsi="Arial Black"/>
          <w:sz w:val="24"/>
          <w:szCs w:val="24"/>
        </w:rPr>
        <w:t>175</w:t>
      </w:r>
    </w:p>
    <w:p w14:paraId="6F060733" w14:textId="77777777" w:rsidR="008D499E" w:rsidRDefault="008D499E" w:rsidP="00B86628">
      <w:pPr>
        <w:pStyle w:val="NoSpacing"/>
        <w:rPr>
          <w:rFonts w:ascii="Arial Black" w:hAnsi="Arial Black"/>
          <w:sz w:val="24"/>
          <w:szCs w:val="24"/>
        </w:rPr>
      </w:pPr>
    </w:p>
    <w:p w14:paraId="57DD6EA0" w14:textId="77777777" w:rsidR="008D499E" w:rsidRDefault="008D499E" w:rsidP="008D499E">
      <w:pPr>
        <w:spacing w:after="0"/>
        <w:rPr>
          <w:rFonts w:ascii="Arial Black" w:hAnsi="Arial Black"/>
          <w:b/>
          <w:bCs/>
          <w:sz w:val="28"/>
          <w:szCs w:val="28"/>
        </w:rPr>
      </w:pPr>
      <w:r>
        <w:rPr>
          <w:rFonts w:ascii="Arial Black" w:hAnsi="Arial Black"/>
          <w:b/>
          <w:sz w:val="28"/>
          <w:szCs w:val="28"/>
        </w:rPr>
        <w:t>MO: ARSON - HOUSE FIRE - INSURED $350K / WORTH $60K</w:t>
      </w:r>
    </w:p>
    <w:p w14:paraId="64E9CC82" w14:textId="77777777" w:rsidR="008D499E" w:rsidRPr="00E57AE8" w:rsidRDefault="008D499E" w:rsidP="008D499E">
      <w:pPr>
        <w:spacing w:after="0"/>
        <w:rPr>
          <w:rFonts w:ascii="Times New Roman" w:hAnsi="Times New Roman"/>
          <w:sz w:val="24"/>
          <w:szCs w:val="24"/>
        </w:rPr>
      </w:pPr>
    </w:p>
    <w:p w14:paraId="78579601" w14:textId="77777777" w:rsidR="008D499E" w:rsidRPr="00C60EC1" w:rsidRDefault="008D499E" w:rsidP="008D499E">
      <w:pPr>
        <w:spacing w:after="0"/>
        <w:rPr>
          <w:rFonts w:ascii="Times New Roman" w:hAnsi="Times New Roman"/>
          <w:sz w:val="24"/>
          <w:szCs w:val="24"/>
        </w:rPr>
      </w:pPr>
      <w:r w:rsidRPr="00C60EC1">
        <w:rPr>
          <w:rFonts w:ascii="Times New Roman" w:hAnsi="Times New Roman"/>
          <w:sz w:val="24"/>
          <w:szCs w:val="24"/>
        </w:rPr>
        <w:lastRenderedPageBreak/>
        <w:t xml:space="preserve">On March 24, 2025, in </w:t>
      </w:r>
      <w:proofErr w:type="spellStart"/>
      <w:r w:rsidRPr="00C60EC1">
        <w:rPr>
          <w:rFonts w:ascii="Times New Roman" w:hAnsi="Times New Roman"/>
          <w:sz w:val="24"/>
          <w:szCs w:val="24"/>
          <w:u w:val="single"/>
        </w:rPr>
        <w:t>Amguard</w:t>
      </w:r>
      <w:proofErr w:type="spellEnd"/>
      <w:r w:rsidRPr="00C60EC1">
        <w:rPr>
          <w:rFonts w:ascii="Times New Roman" w:hAnsi="Times New Roman"/>
          <w:sz w:val="24"/>
          <w:szCs w:val="24"/>
          <w:u w:val="single"/>
        </w:rPr>
        <w:t xml:space="preserve"> Insurance Company v. James Cantrell, III</w:t>
      </w:r>
      <w:r w:rsidRPr="00C60EC1">
        <w:rPr>
          <w:rFonts w:ascii="Times New Roman" w:hAnsi="Times New Roman"/>
          <w:sz w:val="24"/>
          <w:szCs w:val="24"/>
        </w:rPr>
        <w:t xml:space="preserve">, U.S. District Court Judge Douglas Harpool, U.S. District Court for the Western District of Missouri, Southern Division, denied the homeowner’s motion for partial summary judgment in a lawsuit by the insurance company.  The insurance company refused to pay claim for March 8, </w:t>
      </w:r>
      <w:proofErr w:type="gramStart"/>
      <w:r w:rsidRPr="00C60EC1">
        <w:rPr>
          <w:rFonts w:ascii="Times New Roman" w:hAnsi="Times New Roman"/>
          <w:sz w:val="24"/>
          <w:szCs w:val="24"/>
        </w:rPr>
        <w:t>2023</w:t>
      </w:r>
      <w:proofErr w:type="gramEnd"/>
      <w:r w:rsidRPr="00C60EC1">
        <w:rPr>
          <w:rFonts w:ascii="Times New Roman" w:hAnsi="Times New Roman"/>
          <w:sz w:val="24"/>
          <w:szCs w:val="24"/>
        </w:rPr>
        <w:t xml:space="preserve"> house fire of $525,000 ($350,000 for house; $175,000 personal property).  There was little property in the home at the time of the fire; he was observed at </w:t>
      </w:r>
      <w:proofErr w:type="gramStart"/>
      <w:r w:rsidRPr="00C60EC1">
        <w:rPr>
          <w:rFonts w:ascii="Times New Roman" w:hAnsi="Times New Roman"/>
          <w:sz w:val="24"/>
          <w:szCs w:val="24"/>
        </w:rPr>
        <w:t>the home</w:t>
      </w:r>
      <w:proofErr w:type="gramEnd"/>
      <w:r w:rsidRPr="00C60EC1">
        <w:rPr>
          <w:rFonts w:ascii="Times New Roman" w:hAnsi="Times New Roman"/>
          <w:sz w:val="24"/>
          <w:szCs w:val="24"/>
        </w:rPr>
        <w:t xml:space="preserve"> at 8:08 pm, and fire </w:t>
      </w:r>
      <w:proofErr w:type="gramStart"/>
      <w:r w:rsidRPr="00C60EC1">
        <w:rPr>
          <w:rFonts w:ascii="Times New Roman" w:hAnsi="Times New Roman"/>
          <w:sz w:val="24"/>
          <w:szCs w:val="24"/>
        </w:rPr>
        <w:t>run came</w:t>
      </w:r>
      <w:proofErr w:type="gramEnd"/>
      <w:r w:rsidRPr="00C60EC1">
        <w:rPr>
          <w:rFonts w:ascii="Times New Roman" w:hAnsi="Times New Roman"/>
          <w:sz w:val="24"/>
          <w:szCs w:val="24"/>
        </w:rPr>
        <w:t xml:space="preserve"> in at 8:32 pm; and the hydrant had been manually turned off. The homeowner’s wife, Kara Cantrell, testified in her deposition that his husband “had filed previous fire insurance claims in January 2020 when her vehicle and their log cabin in Fair Play, Missouri burned within twenty-four hours of each other…. Ms. Cantrell also testified that on February 27, 2023, Defendant had looked up on her phone how to total a house.” </w:t>
      </w:r>
      <w:hyperlink r:id="rId89" w:history="1">
        <w:r w:rsidRPr="00C60EC1">
          <w:rPr>
            <w:rStyle w:val="Hyperlink"/>
            <w:rFonts w:ascii="Times New Roman" w:hAnsi="Times New Roman"/>
            <w:sz w:val="24"/>
            <w:szCs w:val="24"/>
          </w:rPr>
          <w:t>https://public.fastcase.com/jaEE2PXzRXmZ99jOLMt1IvQQ%2FwWODLAEJBukBPNCALgft0sHziy1G1EiNPA2la2I%2Bz7mV9PFJnpwehw24IHtnmGvfRX%2FCWFczT3vlKR%2B0P0%3D?utm_medium=email&amp;_hsenc=p2ANqtz--SWSAGzwwNdnG_VMPYwGihlDivIcGecVdTRk_nr30XIo07pFHIeVloVzlVGarTG9brlCuLB39_kFjuWt_H_cWvO7FD4A&amp;_hsmi=226712652&amp;utm_content=226712652&amp;utm_source=hs_email</w:t>
        </w:r>
      </w:hyperlink>
      <w:r w:rsidRPr="00C60EC1">
        <w:rPr>
          <w:rFonts w:ascii="Times New Roman" w:hAnsi="Times New Roman"/>
          <w:sz w:val="24"/>
          <w:szCs w:val="24"/>
        </w:rPr>
        <w:t xml:space="preserve"> </w:t>
      </w:r>
    </w:p>
    <w:p w14:paraId="58267EDB" w14:textId="77777777" w:rsidR="008D499E" w:rsidRPr="00C60EC1" w:rsidRDefault="008D499E" w:rsidP="00B86628">
      <w:pPr>
        <w:pStyle w:val="NoSpacing"/>
        <w:rPr>
          <w:rFonts w:ascii="Times New Roman" w:hAnsi="Times New Roman"/>
          <w:sz w:val="24"/>
          <w:szCs w:val="24"/>
        </w:rPr>
      </w:pPr>
    </w:p>
    <w:p w14:paraId="4D0A0C91" w14:textId="77777777" w:rsidR="00C60EC1" w:rsidRPr="00C60EC1" w:rsidRDefault="00C60EC1" w:rsidP="00C60EC1">
      <w:pPr>
        <w:spacing w:after="0"/>
        <w:rPr>
          <w:b/>
          <w:bCs/>
          <w:sz w:val="24"/>
          <w:szCs w:val="24"/>
        </w:rPr>
      </w:pPr>
      <w:r w:rsidRPr="00C60EC1">
        <w:rPr>
          <w:b/>
          <w:sz w:val="24"/>
          <w:szCs w:val="24"/>
        </w:rPr>
        <w:t xml:space="preserve">Legal Lesson Learned:  Insurance companies, when suspecting arson, can file lawsuits seeking court approval to not pay a suspicious claim. </w:t>
      </w:r>
    </w:p>
    <w:p w14:paraId="06CC6608" w14:textId="77777777" w:rsidR="00E57AE8" w:rsidRDefault="00E57AE8" w:rsidP="00B86628">
      <w:pPr>
        <w:pStyle w:val="NoSpacing"/>
        <w:rPr>
          <w:rFonts w:ascii="Arial Black" w:hAnsi="Arial Black"/>
          <w:sz w:val="24"/>
          <w:szCs w:val="24"/>
        </w:rPr>
      </w:pPr>
    </w:p>
    <w:p w14:paraId="5D23C62F" w14:textId="77777777" w:rsidR="008D499E" w:rsidRDefault="008D499E" w:rsidP="00B86628">
      <w:pPr>
        <w:pStyle w:val="NoSpacing"/>
        <w:rPr>
          <w:rFonts w:ascii="Arial Black" w:hAnsi="Arial Black"/>
          <w:sz w:val="24"/>
          <w:szCs w:val="24"/>
        </w:rPr>
      </w:pPr>
    </w:p>
    <w:p w14:paraId="5E5B7F81" w14:textId="1D305179" w:rsidR="00DA55B0" w:rsidRDefault="00453E02" w:rsidP="00B86628">
      <w:pPr>
        <w:pStyle w:val="NoSpacing"/>
        <w:rPr>
          <w:rFonts w:ascii="Arial Black" w:hAnsi="Arial Black"/>
          <w:sz w:val="24"/>
          <w:szCs w:val="24"/>
        </w:rPr>
      </w:pPr>
      <w:r>
        <w:rPr>
          <w:rFonts w:ascii="Arial Black" w:hAnsi="Arial Black"/>
          <w:sz w:val="24"/>
          <w:szCs w:val="24"/>
        </w:rPr>
        <w:t>1-</w:t>
      </w:r>
      <w:r w:rsidR="00DA55B0">
        <w:rPr>
          <w:rFonts w:ascii="Arial Black" w:hAnsi="Arial Black"/>
          <w:sz w:val="24"/>
          <w:szCs w:val="24"/>
        </w:rPr>
        <w:t>174</w:t>
      </w:r>
    </w:p>
    <w:p w14:paraId="7740C0D6" w14:textId="77777777" w:rsidR="00DA55B0" w:rsidRDefault="00DA55B0" w:rsidP="00B86628">
      <w:pPr>
        <w:pStyle w:val="NoSpacing"/>
        <w:rPr>
          <w:rFonts w:ascii="Arial Black" w:hAnsi="Arial Black"/>
          <w:sz w:val="24"/>
          <w:szCs w:val="24"/>
        </w:rPr>
      </w:pPr>
    </w:p>
    <w:p w14:paraId="7F37DB99" w14:textId="320890B7" w:rsidR="005C5C79" w:rsidRDefault="005C5C79" w:rsidP="005C5C79">
      <w:pPr>
        <w:rPr>
          <w:rFonts w:ascii="Arial Black" w:hAnsi="Arial Black"/>
          <w:sz w:val="28"/>
          <w:szCs w:val="28"/>
        </w:rPr>
      </w:pPr>
      <w:r w:rsidRPr="000B7F2C">
        <w:rPr>
          <w:rFonts w:ascii="Arial Black" w:hAnsi="Arial Black"/>
          <w:sz w:val="28"/>
          <w:szCs w:val="28"/>
        </w:rPr>
        <w:t xml:space="preserve">U.S. SUP. CT. – PROS. MUST CORRECT FALSE TESTIMONY </w:t>
      </w:r>
      <w:r w:rsidR="00D97A78">
        <w:rPr>
          <w:rFonts w:ascii="Arial Black" w:hAnsi="Arial Black"/>
          <w:sz w:val="28"/>
          <w:szCs w:val="28"/>
        </w:rPr>
        <w:t>– DEATH ROW INMATE NEW TRIAL</w:t>
      </w:r>
    </w:p>
    <w:p w14:paraId="1CF07A64" w14:textId="77777777" w:rsidR="005C5C79" w:rsidRPr="005C5C79" w:rsidRDefault="005C5C79" w:rsidP="005C5C79">
      <w:pPr>
        <w:pStyle w:val="NoSpacing"/>
        <w:rPr>
          <w:rFonts w:ascii="Times New Roman" w:hAnsi="Times New Roman"/>
          <w:bCs/>
          <w:sz w:val="24"/>
          <w:szCs w:val="24"/>
        </w:rPr>
      </w:pPr>
      <w:r w:rsidRPr="005C5C79">
        <w:rPr>
          <w:rFonts w:ascii="Times New Roman" w:hAnsi="Times New Roman"/>
          <w:sz w:val="24"/>
          <w:szCs w:val="24"/>
        </w:rPr>
        <w:t xml:space="preserve">On Feb. 25, 2025, in </w:t>
      </w:r>
      <w:r w:rsidRPr="005C5C79">
        <w:rPr>
          <w:rFonts w:ascii="Times New Roman" w:hAnsi="Times New Roman"/>
          <w:sz w:val="24"/>
          <w:szCs w:val="24"/>
          <w:u w:val="single"/>
        </w:rPr>
        <w:t>Richard Glossip v. Oklahoma</w:t>
      </w:r>
      <w:r w:rsidRPr="005C5C79">
        <w:rPr>
          <w:rFonts w:ascii="Times New Roman" w:hAnsi="Times New Roman"/>
          <w:sz w:val="24"/>
          <w:szCs w:val="24"/>
        </w:rPr>
        <w:t xml:space="preserve">, the U.S. Supreme Court held (5 to 3) that death row inmate Richard Glossip is entitled to a new trial, since the Oklahoma Attorney General admitted that prosecutors failed to disclose their key witness (Justin Sneed, who committed the murder with a baseball bat) falsely testified he did not suffer from bipolar disorder and was not administered lithium by jail psychiatrist to treat that condition   Richard Glossip was manager of the Best Budget Inn in Tulsa.  Sneed, a part-time employee, said he was paid by Glossip to kill the owner of the hotel (Barry Van Treese) to cover up Glossip’s embezzlement of hotel money.  Sneed testified against Glossip in exchange for avoiding the death penalty, and when first conviction was reversed for ineffective counsel, he testified in a second trial.  Sneed was the “only direct evidence connecting Glossip to the murder.” </w:t>
      </w:r>
      <w:hyperlink r:id="rId90" w:history="1">
        <w:r w:rsidRPr="005C5C79">
          <w:rPr>
            <w:rStyle w:val="Hyperlink"/>
            <w:rFonts w:ascii="Times New Roman" w:hAnsi="Times New Roman"/>
            <w:sz w:val="24"/>
            <w:szCs w:val="24"/>
          </w:rPr>
          <w:t>https://www.supremecourt.gov/opinions/24pdf/22-7466new_6479.pdf</w:t>
        </w:r>
      </w:hyperlink>
      <w:r w:rsidRPr="005C5C79">
        <w:rPr>
          <w:rFonts w:ascii="Times New Roman" w:hAnsi="Times New Roman"/>
          <w:sz w:val="24"/>
          <w:szCs w:val="24"/>
        </w:rPr>
        <w:t xml:space="preserve"> </w:t>
      </w:r>
    </w:p>
    <w:p w14:paraId="1E4C834B" w14:textId="77777777" w:rsidR="005C5C79" w:rsidRDefault="005C5C79" w:rsidP="005C5C79">
      <w:pPr>
        <w:pStyle w:val="NoSpacing"/>
        <w:rPr>
          <w:rFonts w:ascii="Times New Roman" w:hAnsi="Times New Roman"/>
          <w:sz w:val="24"/>
          <w:szCs w:val="24"/>
        </w:rPr>
      </w:pPr>
    </w:p>
    <w:p w14:paraId="509400E7" w14:textId="1B2CBC9D" w:rsidR="005C5C79" w:rsidRPr="005C5C79" w:rsidRDefault="005C5C79" w:rsidP="005C5C79">
      <w:pPr>
        <w:pStyle w:val="NoSpacing"/>
        <w:rPr>
          <w:rFonts w:ascii="Times New Roman" w:hAnsi="Times New Roman"/>
          <w:bCs/>
          <w:sz w:val="24"/>
          <w:szCs w:val="24"/>
        </w:rPr>
      </w:pPr>
      <w:r w:rsidRPr="005C5C79">
        <w:rPr>
          <w:rFonts w:ascii="Times New Roman" w:hAnsi="Times New Roman"/>
          <w:sz w:val="24"/>
          <w:szCs w:val="24"/>
        </w:rPr>
        <w:t>The Majority decision (by Justice Sonia Maria Sotomayor):</w:t>
      </w:r>
    </w:p>
    <w:p w14:paraId="58F38F0F" w14:textId="77777777" w:rsidR="005C5C79" w:rsidRPr="005C5C79" w:rsidRDefault="005C5C79" w:rsidP="005C5C79">
      <w:pPr>
        <w:pStyle w:val="NoSpacing"/>
        <w:rPr>
          <w:rFonts w:ascii="Times New Roman" w:hAnsi="Times New Roman"/>
          <w:bCs/>
          <w:sz w:val="24"/>
          <w:szCs w:val="24"/>
        </w:rPr>
      </w:pPr>
    </w:p>
    <w:p w14:paraId="17199174" w14:textId="6EC1F4CD" w:rsidR="005C5C79" w:rsidRPr="005C5C79" w:rsidRDefault="005C5C79" w:rsidP="005C5C79">
      <w:pPr>
        <w:pStyle w:val="NoSpacing"/>
        <w:ind w:left="720"/>
        <w:rPr>
          <w:rFonts w:ascii="Times New Roman" w:hAnsi="Times New Roman"/>
          <w:bCs/>
          <w:sz w:val="24"/>
          <w:szCs w:val="24"/>
        </w:rPr>
      </w:pPr>
      <w:r w:rsidRPr="005C5C79">
        <w:rPr>
          <w:rFonts w:ascii="Times New Roman" w:hAnsi="Times New Roman"/>
          <w:sz w:val="24"/>
          <w:szCs w:val="24"/>
        </w:rPr>
        <w:t>“Nearly two decades later, the State disclosed eight boxes of previously withheld documents from Glossip’s trial. These documents show that Sneed suffered from bipolar</w:t>
      </w:r>
      <w:r>
        <w:rPr>
          <w:rFonts w:ascii="Times New Roman" w:hAnsi="Times New Roman"/>
          <w:sz w:val="24"/>
          <w:szCs w:val="24"/>
        </w:rPr>
        <w:t xml:space="preserve"> </w:t>
      </w:r>
      <w:r w:rsidRPr="005C5C79">
        <w:rPr>
          <w:rFonts w:ascii="Times New Roman" w:hAnsi="Times New Roman"/>
          <w:sz w:val="24"/>
          <w:szCs w:val="24"/>
        </w:rPr>
        <w:t>disorder, which, combined with his known drug use, could have caused impulsive outbursts of violence. They also established, the State agrees, that a jail psychiatrist prescribed Sneed lithium to treat that condition, and that the prosecution allowed Sneed falsely to testify at trial that he had never seen a psychiatrist. Faced with that evidence,</w:t>
      </w:r>
    </w:p>
    <w:p w14:paraId="4AEDC5D7" w14:textId="77777777" w:rsidR="005C5C79" w:rsidRPr="005C5C79" w:rsidRDefault="005C5C79" w:rsidP="005C5C79">
      <w:pPr>
        <w:pStyle w:val="NoSpacing"/>
        <w:ind w:firstLine="720"/>
        <w:rPr>
          <w:rFonts w:ascii="Times New Roman" w:hAnsi="Times New Roman"/>
          <w:bCs/>
          <w:sz w:val="24"/>
          <w:szCs w:val="24"/>
        </w:rPr>
      </w:pPr>
      <w:r w:rsidRPr="005C5C79">
        <w:rPr>
          <w:rFonts w:ascii="Times New Roman" w:hAnsi="Times New Roman"/>
          <w:sz w:val="24"/>
          <w:szCs w:val="24"/>
        </w:rPr>
        <w:t>Oklahoma’s attorney general confessed error.</w:t>
      </w:r>
    </w:p>
    <w:p w14:paraId="1ECB9383" w14:textId="77777777" w:rsidR="005C5C79" w:rsidRPr="005C5C79" w:rsidRDefault="005C5C79" w:rsidP="005C5C79">
      <w:pPr>
        <w:pStyle w:val="NoSpacing"/>
        <w:rPr>
          <w:rFonts w:ascii="Times New Roman" w:hAnsi="Times New Roman"/>
          <w:bCs/>
          <w:sz w:val="24"/>
          <w:szCs w:val="24"/>
        </w:rPr>
      </w:pPr>
    </w:p>
    <w:p w14:paraId="02E6CA3B" w14:textId="77777777" w:rsidR="005C5C79" w:rsidRPr="005C5C79" w:rsidRDefault="005C5C79" w:rsidP="005C5C79">
      <w:pPr>
        <w:pStyle w:val="NoSpacing"/>
        <w:ind w:firstLine="720"/>
        <w:rPr>
          <w:rFonts w:ascii="Times New Roman" w:hAnsi="Times New Roman"/>
          <w:bCs/>
          <w:sz w:val="24"/>
          <w:szCs w:val="24"/>
        </w:rPr>
      </w:pPr>
      <w:r w:rsidRPr="005C5C79">
        <w:rPr>
          <w:rFonts w:ascii="Times New Roman" w:hAnsi="Times New Roman"/>
          <w:sz w:val="24"/>
          <w:szCs w:val="24"/>
        </w:rPr>
        <w:t>***</w:t>
      </w:r>
    </w:p>
    <w:p w14:paraId="6AE8F167" w14:textId="77777777" w:rsidR="005C5C79" w:rsidRPr="005C5C79" w:rsidRDefault="005C5C79" w:rsidP="005C5C79">
      <w:pPr>
        <w:pStyle w:val="NoSpacing"/>
        <w:ind w:left="720"/>
        <w:rPr>
          <w:rFonts w:ascii="Times New Roman" w:hAnsi="Times New Roman"/>
          <w:bCs/>
          <w:sz w:val="24"/>
          <w:szCs w:val="24"/>
        </w:rPr>
      </w:pPr>
      <w:r w:rsidRPr="005C5C79">
        <w:rPr>
          <w:rFonts w:ascii="Times New Roman" w:hAnsi="Times New Roman"/>
          <w:sz w:val="24"/>
          <w:szCs w:val="24"/>
        </w:rPr>
        <w:t xml:space="preserve">Turning to the merits, we conclude that the prosecution violated its constitutional obligation to correct false testimony. In </w:t>
      </w:r>
      <w:r w:rsidRPr="005C5C79">
        <w:rPr>
          <w:rFonts w:ascii="Times New Roman" w:hAnsi="Times New Roman"/>
          <w:sz w:val="24"/>
          <w:szCs w:val="24"/>
          <w:u w:val="single"/>
        </w:rPr>
        <w:t>Napue v. Illinois</w:t>
      </w:r>
      <w:r w:rsidRPr="005C5C79">
        <w:rPr>
          <w:rFonts w:ascii="Times New Roman" w:hAnsi="Times New Roman"/>
          <w:sz w:val="24"/>
          <w:szCs w:val="24"/>
        </w:rPr>
        <w:t xml:space="preserve">, [June 15, 1959; </w:t>
      </w:r>
      <w:hyperlink r:id="rId91" w:history="1">
        <w:r w:rsidRPr="005C5C79">
          <w:rPr>
            <w:rStyle w:val="Hyperlink"/>
            <w:rFonts w:ascii="Times New Roman" w:hAnsi="Times New Roman"/>
            <w:sz w:val="24"/>
            <w:szCs w:val="24"/>
          </w:rPr>
          <w:t>https://supreme.justia.com/cases/federal/us/360/264/</w:t>
        </w:r>
      </w:hyperlink>
      <w:r w:rsidRPr="005C5C79">
        <w:rPr>
          <w:rFonts w:ascii="Times New Roman" w:hAnsi="Times New Roman"/>
          <w:sz w:val="24"/>
          <w:szCs w:val="24"/>
        </w:rPr>
        <w:t xml:space="preserve"> ] this Court held that a conviction</w:t>
      </w:r>
    </w:p>
    <w:p w14:paraId="0581F090" w14:textId="77777777" w:rsidR="005C5C79" w:rsidRPr="005C5C79" w:rsidRDefault="005C5C79" w:rsidP="005C5C79">
      <w:pPr>
        <w:pStyle w:val="NoSpacing"/>
        <w:ind w:left="720"/>
        <w:rPr>
          <w:rFonts w:ascii="Times New Roman" w:hAnsi="Times New Roman"/>
          <w:bCs/>
          <w:sz w:val="24"/>
          <w:szCs w:val="24"/>
        </w:rPr>
      </w:pPr>
      <w:r w:rsidRPr="005C5C79">
        <w:rPr>
          <w:rFonts w:ascii="Times New Roman" w:hAnsi="Times New Roman"/>
          <w:sz w:val="24"/>
          <w:szCs w:val="24"/>
        </w:rPr>
        <w:lastRenderedPageBreak/>
        <w:t xml:space="preserve">knowingly ‘obtained through use of false evidence’ violates the Fourteenth Amendment’s Due Process Clause. 360 U. S., at 269. To establish a Napue violation, a defendant must show that the prosecution knowingly solicited false testimony or knowingly allowed it ‘to go uncorrected when it </w:t>
      </w:r>
      <w:proofErr w:type="gramStart"/>
      <w:r w:rsidRPr="005C5C79">
        <w:rPr>
          <w:rFonts w:ascii="Times New Roman" w:hAnsi="Times New Roman"/>
          <w:sz w:val="24"/>
          <w:szCs w:val="24"/>
        </w:rPr>
        <w:t>appear</w:t>
      </w:r>
      <w:proofErr w:type="gramEnd"/>
      <w:r w:rsidRPr="005C5C79">
        <w:rPr>
          <w:rFonts w:ascii="Times New Roman" w:hAnsi="Times New Roman"/>
          <w:sz w:val="24"/>
          <w:szCs w:val="24"/>
        </w:rPr>
        <w:t>[ed].’ Ibid. If the defendant makes that showing, a new trial is warranted so long as the false testimony ‘may have had an effect on the outcome of the trial,” id., at 272—that is, if it ‘in any reasonable likelihood [could] have affected the judgment of the jury.’</w:t>
      </w:r>
    </w:p>
    <w:p w14:paraId="64F67D55" w14:textId="77777777" w:rsidR="005C5C79" w:rsidRPr="005C5C79" w:rsidRDefault="005C5C79" w:rsidP="005C5C79">
      <w:pPr>
        <w:pStyle w:val="NoSpacing"/>
        <w:rPr>
          <w:rFonts w:ascii="Times New Roman" w:hAnsi="Times New Roman"/>
          <w:bCs/>
          <w:sz w:val="24"/>
          <w:szCs w:val="24"/>
        </w:rPr>
      </w:pPr>
    </w:p>
    <w:p w14:paraId="5F33087C" w14:textId="77777777" w:rsidR="005C5C79" w:rsidRPr="005C5C79" w:rsidRDefault="005C5C79" w:rsidP="005C5C79">
      <w:pPr>
        <w:pStyle w:val="NoSpacing"/>
        <w:ind w:firstLine="720"/>
        <w:rPr>
          <w:rFonts w:ascii="Times New Roman" w:hAnsi="Times New Roman"/>
          <w:bCs/>
          <w:sz w:val="24"/>
          <w:szCs w:val="24"/>
        </w:rPr>
      </w:pPr>
      <w:r w:rsidRPr="005C5C79">
        <w:rPr>
          <w:rFonts w:ascii="Times New Roman" w:hAnsi="Times New Roman"/>
          <w:sz w:val="24"/>
          <w:szCs w:val="24"/>
        </w:rPr>
        <w:t>***</w:t>
      </w:r>
    </w:p>
    <w:p w14:paraId="43D95862" w14:textId="77777777" w:rsidR="005C5C79" w:rsidRPr="005C5C79" w:rsidRDefault="005C5C79" w:rsidP="005C5C79">
      <w:pPr>
        <w:pStyle w:val="NoSpacing"/>
        <w:rPr>
          <w:rFonts w:ascii="Times New Roman" w:hAnsi="Times New Roman"/>
          <w:bCs/>
          <w:sz w:val="24"/>
          <w:szCs w:val="24"/>
        </w:rPr>
      </w:pPr>
    </w:p>
    <w:p w14:paraId="0420918E" w14:textId="77777777" w:rsidR="005C5C79" w:rsidRPr="005C5C79" w:rsidRDefault="005C5C79" w:rsidP="005C5C79">
      <w:pPr>
        <w:pStyle w:val="NoSpacing"/>
        <w:ind w:left="720"/>
        <w:rPr>
          <w:rFonts w:ascii="Times New Roman" w:hAnsi="Times New Roman"/>
          <w:bCs/>
          <w:sz w:val="24"/>
          <w:szCs w:val="24"/>
        </w:rPr>
      </w:pPr>
      <w:r w:rsidRPr="005C5C79">
        <w:rPr>
          <w:rFonts w:ascii="Times New Roman" w:hAnsi="Times New Roman"/>
          <w:sz w:val="24"/>
          <w:szCs w:val="24"/>
        </w:rPr>
        <w:t>The evidence likewise establishes that the prosecution knew Sneed’s statements were false as he testified to them.  The prosecution almost certainly had access to Sneed’s medical file, which would have listed both the lithium prescription and the bipolar diagnosis. Among other things, those records would have been provided to the State as part of Sneed’s competency evaluation …and the State opposed Glossip’s discovery request of Sneed’s medical files on its merits….</w:t>
      </w:r>
    </w:p>
    <w:p w14:paraId="707CA1EA" w14:textId="77777777" w:rsidR="005C5C79" w:rsidRPr="005C5C79" w:rsidRDefault="005C5C79" w:rsidP="005C5C79">
      <w:pPr>
        <w:pStyle w:val="NoSpacing"/>
        <w:rPr>
          <w:rFonts w:ascii="Times New Roman" w:hAnsi="Times New Roman"/>
          <w:bCs/>
          <w:sz w:val="24"/>
          <w:szCs w:val="24"/>
        </w:rPr>
      </w:pPr>
    </w:p>
    <w:p w14:paraId="785C8A16" w14:textId="77777777" w:rsidR="005C5C79" w:rsidRPr="005C5C79" w:rsidRDefault="005C5C79" w:rsidP="005C5C79">
      <w:pPr>
        <w:pStyle w:val="NoSpacing"/>
        <w:ind w:firstLine="720"/>
        <w:rPr>
          <w:rFonts w:ascii="Times New Roman" w:hAnsi="Times New Roman"/>
          <w:bCs/>
          <w:sz w:val="24"/>
          <w:szCs w:val="24"/>
        </w:rPr>
      </w:pPr>
      <w:r w:rsidRPr="005C5C79">
        <w:rPr>
          <w:rFonts w:ascii="Times New Roman" w:hAnsi="Times New Roman"/>
          <w:sz w:val="24"/>
          <w:szCs w:val="24"/>
        </w:rPr>
        <w:t>***</w:t>
      </w:r>
    </w:p>
    <w:p w14:paraId="112A6668" w14:textId="77777777" w:rsidR="005C5C79" w:rsidRPr="005C5C79" w:rsidRDefault="005C5C79" w:rsidP="005C5C79">
      <w:pPr>
        <w:pStyle w:val="NoSpacing"/>
        <w:ind w:left="720"/>
        <w:rPr>
          <w:rFonts w:ascii="Times New Roman" w:hAnsi="Times New Roman"/>
          <w:bCs/>
          <w:sz w:val="24"/>
          <w:szCs w:val="24"/>
        </w:rPr>
      </w:pPr>
      <w:r w:rsidRPr="005C5C79">
        <w:rPr>
          <w:rFonts w:ascii="Times New Roman" w:hAnsi="Times New Roman"/>
          <w:sz w:val="24"/>
          <w:szCs w:val="24"/>
        </w:rPr>
        <w:t>For these reasons, we conclude that the prosecution’s failure to correct Sneed’s trial testimony violated the Due Process Clause. Glossip is entitled to a new trial.”</w:t>
      </w:r>
    </w:p>
    <w:p w14:paraId="22A7535D" w14:textId="77777777" w:rsidR="005C5C79" w:rsidRPr="005C5C79" w:rsidRDefault="005C5C79" w:rsidP="005C5C79">
      <w:pPr>
        <w:pStyle w:val="NoSpacing"/>
        <w:rPr>
          <w:rFonts w:ascii="Times New Roman" w:hAnsi="Times New Roman"/>
          <w:bCs/>
          <w:sz w:val="24"/>
          <w:szCs w:val="24"/>
        </w:rPr>
      </w:pPr>
    </w:p>
    <w:p w14:paraId="0835D761" w14:textId="77777777" w:rsidR="005C5C79" w:rsidRPr="005C5C79" w:rsidRDefault="005C5C79" w:rsidP="00687306">
      <w:pPr>
        <w:pStyle w:val="NoSpacing"/>
        <w:ind w:left="720"/>
        <w:rPr>
          <w:rFonts w:ascii="Times New Roman" w:hAnsi="Times New Roman"/>
          <w:b/>
          <w:sz w:val="24"/>
          <w:szCs w:val="24"/>
        </w:rPr>
      </w:pPr>
      <w:r w:rsidRPr="005C5C79">
        <w:rPr>
          <w:rFonts w:ascii="Times New Roman" w:hAnsi="Times New Roman"/>
          <w:b/>
          <w:sz w:val="24"/>
          <w:szCs w:val="24"/>
        </w:rPr>
        <w:t xml:space="preserve">Legal Lesson Learned: Prosecutors must correct false testimony.  In arson and other criminal cases, if fire or EMS learn of incorrect testimony by prosecution  witness, immediately inform the prosecutor so it can be disclosed to the defense and the Court.  </w:t>
      </w:r>
    </w:p>
    <w:p w14:paraId="14944762" w14:textId="77777777" w:rsidR="005C5C79" w:rsidRPr="005C5C79" w:rsidRDefault="005C5C79" w:rsidP="005C5C79">
      <w:pPr>
        <w:pStyle w:val="NoSpacing"/>
        <w:rPr>
          <w:rFonts w:ascii="Times New Roman" w:hAnsi="Times New Roman"/>
          <w:bCs/>
          <w:sz w:val="24"/>
          <w:szCs w:val="24"/>
        </w:rPr>
      </w:pPr>
    </w:p>
    <w:p w14:paraId="56E16E5F" w14:textId="77777777" w:rsidR="00DA55B0" w:rsidRDefault="00DA55B0" w:rsidP="00B86628">
      <w:pPr>
        <w:pStyle w:val="NoSpacing"/>
        <w:rPr>
          <w:rFonts w:ascii="Arial Black" w:hAnsi="Arial Black"/>
          <w:sz w:val="24"/>
          <w:szCs w:val="24"/>
        </w:rPr>
      </w:pPr>
    </w:p>
    <w:p w14:paraId="633EF65D" w14:textId="77777777" w:rsidR="00DA55B0" w:rsidRDefault="00DA55B0" w:rsidP="00B86628">
      <w:pPr>
        <w:pStyle w:val="NoSpacing"/>
        <w:rPr>
          <w:rFonts w:ascii="Arial Black" w:hAnsi="Arial Black"/>
          <w:sz w:val="24"/>
          <w:szCs w:val="24"/>
        </w:rPr>
      </w:pPr>
    </w:p>
    <w:p w14:paraId="1553FDAE" w14:textId="1427812F" w:rsidR="00C11ACF" w:rsidRDefault="00453E02" w:rsidP="00B86628">
      <w:pPr>
        <w:pStyle w:val="NoSpacing"/>
        <w:rPr>
          <w:rFonts w:ascii="Arial Black" w:hAnsi="Arial Black"/>
          <w:sz w:val="24"/>
          <w:szCs w:val="24"/>
        </w:rPr>
      </w:pPr>
      <w:r>
        <w:rPr>
          <w:rFonts w:ascii="Arial Black" w:hAnsi="Arial Black"/>
          <w:sz w:val="24"/>
          <w:szCs w:val="24"/>
        </w:rPr>
        <w:t>1-</w:t>
      </w:r>
      <w:r w:rsidR="00C11ACF">
        <w:rPr>
          <w:rFonts w:ascii="Arial Black" w:hAnsi="Arial Black"/>
          <w:sz w:val="24"/>
          <w:szCs w:val="24"/>
        </w:rPr>
        <w:t>173</w:t>
      </w:r>
    </w:p>
    <w:p w14:paraId="21E9F0B3" w14:textId="77777777" w:rsidR="00C11ACF" w:rsidRDefault="00C11ACF" w:rsidP="00B86628">
      <w:pPr>
        <w:pStyle w:val="NoSpacing"/>
        <w:rPr>
          <w:rFonts w:ascii="Arial Black" w:hAnsi="Arial Black"/>
          <w:sz w:val="24"/>
          <w:szCs w:val="24"/>
        </w:rPr>
      </w:pPr>
    </w:p>
    <w:p w14:paraId="2E8AC6FB" w14:textId="1602A3F4" w:rsidR="008E1AE0" w:rsidRPr="00DA55B0" w:rsidRDefault="008E1AE0" w:rsidP="008E1AE0">
      <w:pPr>
        <w:rPr>
          <w:rFonts w:ascii="Arial Black" w:hAnsi="Arial Black"/>
          <w:sz w:val="28"/>
          <w:szCs w:val="28"/>
        </w:rPr>
      </w:pPr>
      <w:r w:rsidRPr="000B7F2C">
        <w:rPr>
          <w:rFonts w:ascii="Arial Black" w:hAnsi="Arial Black"/>
          <w:sz w:val="28"/>
          <w:szCs w:val="28"/>
        </w:rPr>
        <w:t>AR: LOST FOREST – 3 SIGNAL FIRES – NO “NECESSITY DEF.”</w:t>
      </w:r>
    </w:p>
    <w:p w14:paraId="1B743FBD" w14:textId="3AD8E9B6" w:rsidR="008E1AE0" w:rsidRPr="00DA55B0" w:rsidRDefault="008E1AE0" w:rsidP="008E1AE0">
      <w:pPr>
        <w:rPr>
          <w:rFonts w:ascii="Times New Roman" w:hAnsi="Times New Roman"/>
          <w:sz w:val="24"/>
          <w:szCs w:val="24"/>
        </w:rPr>
      </w:pPr>
      <w:r w:rsidRPr="00DA55B0">
        <w:rPr>
          <w:rFonts w:ascii="Times New Roman" w:hAnsi="Times New Roman"/>
          <w:sz w:val="24"/>
          <w:szCs w:val="24"/>
        </w:rPr>
        <w:t xml:space="preserve">On Feb. 24, 2025, in </w:t>
      </w:r>
      <w:r w:rsidRPr="00DA55B0">
        <w:rPr>
          <w:rFonts w:ascii="Times New Roman" w:hAnsi="Times New Roman"/>
          <w:sz w:val="24"/>
          <w:szCs w:val="24"/>
          <w:u w:val="single"/>
        </w:rPr>
        <w:t>United States of America v. Philip Alejandro Powers, III</w:t>
      </w:r>
      <w:r w:rsidRPr="00DA55B0">
        <w:rPr>
          <w:rFonts w:ascii="Times New Roman" w:hAnsi="Times New Roman"/>
          <w:sz w:val="24"/>
          <w:szCs w:val="24"/>
        </w:rPr>
        <w:t>, the U.S. Court of Appeals for the 9</w:t>
      </w:r>
      <w:r w:rsidRPr="00DA55B0">
        <w:rPr>
          <w:rFonts w:ascii="Times New Roman" w:hAnsi="Times New Roman"/>
          <w:sz w:val="24"/>
          <w:szCs w:val="24"/>
          <w:vertAlign w:val="superscript"/>
        </w:rPr>
        <w:t>th</w:t>
      </w:r>
      <w:r w:rsidRPr="00DA55B0">
        <w:rPr>
          <w:rFonts w:ascii="Times New Roman" w:hAnsi="Times New Roman"/>
          <w:sz w:val="24"/>
          <w:szCs w:val="24"/>
        </w:rPr>
        <w:t xml:space="preserve"> Circuit (San Francisco) held (3 to 0) that the U.S. Magistrate Judge who presided at two-day bench trial [no jury] properly rejected the “necessity defense” and found the defendant guilty of seven misdemeanor counts of leaving fires unattended, sentenced him to supervised probation, and ordered him to pay restitution to the U.S. Forest Service of $293,413.71 in recoverable fire suppression costs. </w:t>
      </w:r>
      <w:hyperlink r:id="rId92" w:history="1">
        <w:r w:rsidRPr="00DA55B0">
          <w:rPr>
            <w:rStyle w:val="Hyperlink"/>
            <w:rFonts w:ascii="Times New Roman" w:hAnsi="Times New Roman"/>
            <w:sz w:val="24"/>
            <w:szCs w:val="24"/>
          </w:rPr>
          <w:t>https://cdn.ca9.uscourts.gov/datastore/opinions/2025/02/24/23-2218.pdf</w:t>
        </w:r>
      </w:hyperlink>
      <w:r w:rsidRPr="00DA55B0">
        <w:rPr>
          <w:rFonts w:ascii="Times New Roman" w:hAnsi="Times New Roman"/>
          <w:sz w:val="24"/>
          <w:szCs w:val="24"/>
        </w:rPr>
        <w:t xml:space="preserve"> </w:t>
      </w:r>
    </w:p>
    <w:p w14:paraId="55BDF0A1" w14:textId="77777777" w:rsidR="008E1AE0" w:rsidRPr="00DA55B0" w:rsidRDefault="008E1AE0" w:rsidP="008E1AE0">
      <w:pPr>
        <w:rPr>
          <w:rFonts w:ascii="Times New Roman" w:hAnsi="Times New Roman"/>
          <w:sz w:val="24"/>
          <w:szCs w:val="24"/>
        </w:rPr>
      </w:pPr>
      <w:r w:rsidRPr="00DA55B0">
        <w:rPr>
          <w:rFonts w:ascii="Times New Roman" w:hAnsi="Times New Roman"/>
          <w:sz w:val="24"/>
          <w:szCs w:val="24"/>
        </w:rPr>
        <w:t>The Court wrote:</w:t>
      </w:r>
    </w:p>
    <w:p w14:paraId="72C52874" w14:textId="77777777" w:rsidR="008E1AE0" w:rsidRPr="00DA55B0" w:rsidRDefault="008E1AE0" w:rsidP="008E1AE0">
      <w:pPr>
        <w:ind w:left="720"/>
        <w:rPr>
          <w:rFonts w:ascii="Times New Roman" w:hAnsi="Times New Roman"/>
          <w:sz w:val="24"/>
          <w:szCs w:val="24"/>
        </w:rPr>
      </w:pPr>
      <w:r w:rsidRPr="00DA55B0">
        <w:rPr>
          <w:rFonts w:ascii="Times New Roman" w:hAnsi="Times New Roman"/>
          <w:sz w:val="24"/>
          <w:szCs w:val="24"/>
        </w:rPr>
        <w:t>“Because Powers’s actions in setting the fires were objectively unreasonable, and because he was not facing imminent harm when he set the Taylor Fire, he failed to meet the requirements of the necessity defense. Accordingly, we affirm.</w:t>
      </w:r>
    </w:p>
    <w:p w14:paraId="10ADCD6D" w14:textId="77777777" w:rsidR="008E1AE0" w:rsidRPr="00DA55B0" w:rsidRDefault="008E1AE0" w:rsidP="008E1AE0">
      <w:pPr>
        <w:rPr>
          <w:rFonts w:ascii="Times New Roman" w:hAnsi="Times New Roman"/>
          <w:sz w:val="24"/>
          <w:szCs w:val="24"/>
        </w:rPr>
      </w:pPr>
    </w:p>
    <w:p w14:paraId="76AE75A2" w14:textId="77777777" w:rsidR="008E1AE0" w:rsidRPr="00DA55B0" w:rsidRDefault="008E1AE0" w:rsidP="008E1AE0">
      <w:pPr>
        <w:ind w:firstLine="720"/>
        <w:rPr>
          <w:rFonts w:ascii="Times New Roman" w:hAnsi="Times New Roman"/>
          <w:sz w:val="24"/>
          <w:szCs w:val="24"/>
        </w:rPr>
      </w:pPr>
      <w:r w:rsidRPr="00DA55B0">
        <w:rPr>
          <w:rFonts w:ascii="Times New Roman" w:hAnsi="Times New Roman"/>
          <w:sz w:val="24"/>
          <w:szCs w:val="24"/>
        </w:rPr>
        <w:t>***</w:t>
      </w:r>
    </w:p>
    <w:p w14:paraId="1DE3BA0B" w14:textId="77777777" w:rsidR="008E1AE0" w:rsidRPr="00DA55B0" w:rsidRDefault="008E1AE0" w:rsidP="008E1AE0">
      <w:pPr>
        <w:ind w:left="720"/>
        <w:rPr>
          <w:rFonts w:ascii="Times New Roman" w:hAnsi="Times New Roman"/>
          <w:sz w:val="24"/>
          <w:szCs w:val="24"/>
        </w:rPr>
      </w:pPr>
      <w:r w:rsidRPr="00DA55B0">
        <w:rPr>
          <w:rFonts w:ascii="Times New Roman" w:hAnsi="Times New Roman"/>
          <w:sz w:val="24"/>
          <w:szCs w:val="24"/>
        </w:rPr>
        <w:t xml:space="preserve">In May 2018, Powers began an approximately nineteen-mile hike on the Taylor Cabin Loop trail near Sedona, Arizona…. After losing the trail while hiking in northern Arizona, [the defendant] deliberately set three fires in the Prescott and Coconino National Forests…. He tried to use his phone to call for  help, but he had no signal. He decided to stay at the [Taylor] cabin overnight. </w:t>
      </w:r>
    </w:p>
    <w:p w14:paraId="44650AF1" w14:textId="77777777" w:rsidR="008E1AE0" w:rsidRPr="00DA55B0" w:rsidRDefault="008E1AE0" w:rsidP="008E1AE0">
      <w:pPr>
        <w:ind w:firstLine="720"/>
        <w:rPr>
          <w:rFonts w:ascii="Times New Roman" w:hAnsi="Times New Roman"/>
          <w:sz w:val="24"/>
          <w:szCs w:val="24"/>
        </w:rPr>
      </w:pPr>
      <w:r w:rsidRPr="00DA55B0">
        <w:rPr>
          <w:rFonts w:ascii="Times New Roman" w:hAnsi="Times New Roman"/>
          <w:sz w:val="24"/>
          <w:szCs w:val="24"/>
        </w:rPr>
        <w:lastRenderedPageBreak/>
        <w:t>***</w:t>
      </w:r>
    </w:p>
    <w:p w14:paraId="73619C4F" w14:textId="77777777" w:rsidR="008E1AE0" w:rsidRPr="00DA55B0" w:rsidRDefault="008E1AE0" w:rsidP="008E1AE0">
      <w:pPr>
        <w:ind w:left="720"/>
        <w:rPr>
          <w:rFonts w:ascii="Times New Roman" w:hAnsi="Times New Roman"/>
          <w:sz w:val="24"/>
          <w:szCs w:val="24"/>
        </w:rPr>
      </w:pPr>
      <w:r w:rsidRPr="00DA55B0">
        <w:rPr>
          <w:rFonts w:ascii="Times New Roman" w:hAnsi="Times New Roman"/>
          <w:sz w:val="24"/>
          <w:szCs w:val="24"/>
        </w:rPr>
        <w:t>[TAYLOR FIRE] Around 9:00 p.m., Powers decided to set a signal fire. There was a fire pit next to Taylor Cabin, but Powers believed that a fire in the pit would not create enough smoke to be noticed by passing planes. Thus, he ignited a nearby patch of ‘dead grass mixed in with vegetation’ that was ‘right next to [the] fire pit.’ This first fire, the Taylor Fire, spread over about a tenth of an acre, burning grass, brush, and small trees, but did not attract any rescuers.</w:t>
      </w:r>
    </w:p>
    <w:p w14:paraId="02B67DF6" w14:textId="77777777" w:rsidR="008E1AE0" w:rsidRPr="00DA55B0" w:rsidRDefault="008E1AE0" w:rsidP="008E1AE0">
      <w:pPr>
        <w:ind w:firstLine="720"/>
        <w:rPr>
          <w:rFonts w:ascii="Times New Roman" w:hAnsi="Times New Roman"/>
          <w:sz w:val="24"/>
          <w:szCs w:val="24"/>
        </w:rPr>
      </w:pPr>
      <w:r w:rsidRPr="00DA55B0">
        <w:rPr>
          <w:rFonts w:ascii="Times New Roman" w:hAnsi="Times New Roman"/>
          <w:sz w:val="24"/>
          <w:szCs w:val="24"/>
        </w:rPr>
        <w:t>***</w:t>
      </w:r>
    </w:p>
    <w:p w14:paraId="2E0AF234" w14:textId="77777777" w:rsidR="008E1AE0" w:rsidRPr="00DA55B0" w:rsidRDefault="008E1AE0" w:rsidP="008E1AE0">
      <w:pPr>
        <w:ind w:left="720"/>
        <w:rPr>
          <w:rFonts w:ascii="Times New Roman" w:hAnsi="Times New Roman"/>
          <w:sz w:val="24"/>
          <w:szCs w:val="24"/>
        </w:rPr>
      </w:pPr>
      <w:r w:rsidRPr="00DA55B0">
        <w:rPr>
          <w:rFonts w:ascii="Times New Roman" w:hAnsi="Times New Roman"/>
          <w:sz w:val="24"/>
          <w:szCs w:val="24"/>
        </w:rPr>
        <w:t xml:space="preserve">[SYCAMORE FIRE] After hiking about three miles away from Taylor Cabin [100 degrees], Powers decided to set another fire. He ‘tried to get to a spot where [he] would be easily visible,’ thinking that a higher ‘vantage point’ would allow the smoke to be ‘easily seen from the canyon.’ After searching for ‘dead brush that would easily ignite,’ ‘stay lit’ and </w:t>
      </w:r>
      <w:proofErr w:type="spellStart"/>
      <w:r w:rsidRPr="00DA55B0">
        <w:rPr>
          <w:rFonts w:ascii="Times New Roman" w:hAnsi="Times New Roman"/>
          <w:sz w:val="24"/>
          <w:szCs w:val="24"/>
        </w:rPr>
        <w:t>‘cause</w:t>
      </w:r>
      <w:proofErr w:type="spellEnd"/>
      <w:r w:rsidRPr="00DA55B0">
        <w:rPr>
          <w:rFonts w:ascii="Times New Roman" w:hAnsi="Times New Roman"/>
          <w:sz w:val="24"/>
          <w:szCs w:val="24"/>
        </w:rPr>
        <w:t xml:space="preserve"> smoke,’ Powers ignited a dead tree. He did not build a fire ring, dig a fire pit or remove any flammable materials from the area before starting the fire.</w:t>
      </w:r>
    </w:p>
    <w:p w14:paraId="74FA7255" w14:textId="77777777" w:rsidR="008E1AE0" w:rsidRPr="00DA55B0" w:rsidRDefault="008E1AE0" w:rsidP="008E1AE0">
      <w:pPr>
        <w:ind w:left="720"/>
        <w:rPr>
          <w:rFonts w:ascii="Times New Roman" w:hAnsi="Times New Roman"/>
          <w:sz w:val="24"/>
          <w:szCs w:val="24"/>
        </w:rPr>
      </w:pPr>
      <w:r w:rsidRPr="00DA55B0">
        <w:rPr>
          <w:rFonts w:ascii="Times New Roman" w:hAnsi="Times New Roman"/>
          <w:sz w:val="24"/>
          <w:szCs w:val="24"/>
        </w:rPr>
        <w:t xml:space="preserve">The Sycamore Fire spread uncontrolled over 230 acres of forest, burning timber, shrubs, and </w:t>
      </w:r>
      <w:proofErr w:type="gramStart"/>
      <w:r w:rsidRPr="00DA55B0">
        <w:rPr>
          <w:rFonts w:ascii="Times New Roman" w:hAnsi="Times New Roman"/>
          <w:sz w:val="24"/>
          <w:szCs w:val="24"/>
        </w:rPr>
        <w:t>grasses</w:t>
      </w:r>
      <w:proofErr w:type="gramEnd"/>
      <w:r w:rsidRPr="00DA55B0">
        <w:rPr>
          <w:rFonts w:ascii="Times New Roman" w:hAnsi="Times New Roman"/>
          <w:sz w:val="24"/>
          <w:szCs w:val="24"/>
        </w:rPr>
        <w:t xml:space="preserve">, and threatening Flagstaff, Arizona and the nearby watershed. Firefighters contained the fire after approximately nine </w:t>
      </w:r>
      <w:proofErr w:type="gramStart"/>
      <w:r w:rsidRPr="00DA55B0">
        <w:rPr>
          <w:rFonts w:ascii="Times New Roman" w:hAnsi="Times New Roman"/>
          <w:sz w:val="24"/>
          <w:szCs w:val="24"/>
        </w:rPr>
        <w:t>day</w:t>
      </w:r>
      <w:proofErr w:type="gramEnd"/>
      <w:r w:rsidRPr="00DA55B0">
        <w:rPr>
          <w:rFonts w:ascii="Times New Roman" w:hAnsi="Times New Roman"/>
          <w:sz w:val="24"/>
          <w:szCs w:val="24"/>
        </w:rPr>
        <w:t xml:space="preserve"> and the USFS incurred $293,413.71 in recoverable fire suppression costs.</w:t>
      </w:r>
    </w:p>
    <w:p w14:paraId="4701159F" w14:textId="77777777" w:rsidR="008E1AE0" w:rsidRPr="00DA55B0" w:rsidRDefault="008E1AE0" w:rsidP="008E1AE0">
      <w:pPr>
        <w:ind w:left="720"/>
        <w:rPr>
          <w:rFonts w:ascii="Times New Roman" w:hAnsi="Times New Roman"/>
          <w:b/>
          <w:bCs/>
          <w:sz w:val="24"/>
          <w:szCs w:val="24"/>
        </w:rPr>
      </w:pPr>
      <w:r w:rsidRPr="00DA55B0">
        <w:rPr>
          <w:rFonts w:ascii="Times New Roman" w:hAnsi="Times New Roman"/>
          <w:sz w:val="24"/>
          <w:szCs w:val="24"/>
        </w:rPr>
        <w:t xml:space="preserve">By choosing not to take any precautions and to set the Sycamore Fire in an unnecessarily careless manner (and then abandon it, unextinguished), Powers acted unreasonably…. Because Powers has not shown that he was facing imminent harm when he set the Taylor Fire, and because the </w:t>
      </w:r>
      <w:proofErr w:type="gramStart"/>
      <w:r w:rsidRPr="00DA55B0">
        <w:rPr>
          <w:rFonts w:ascii="Times New Roman" w:hAnsi="Times New Roman"/>
          <w:sz w:val="24"/>
          <w:szCs w:val="24"/>
        </w:rPr>
        <w:t>manner in which</w:t>
      </w:r>
      <w:proofErr w:type="gramEnd"/>
      <w:r w:rsidRPr="00DA55B0">
        <w:rPr>
          <w:rFonts w:ascii="Times New Roman" w:hAnsi="Times New Roman"/>
          <w:sz w:val="24"/>
          <w:szCs w:val="24"/>
        </w:rPr>
        <w:t xml:space="preserve"> he set the fire was objectively unreasonable, his necessity defense as to Counts 2 and 5 fails.</w:t>
      </w:r>
    </w:p>
    <w:p w14:paraId="0FA76096" w14:textId="77777777" w:rsidR="008E1AE0" w:rsidRPr="00DA55B0" w:rsidRDefault="008E1AE0" w:rsidP="008E1AE0">
      <w:pPr>
        <w:rPr>
          <w:rFonts w:ascii="Times New Roman" w:hAnsi="Times New Roman"/>
          <w:sz w:val="24"/>
          <w:szCs w:val="24"/>
        </w:rPr>
      </w:pPr>
    </w:p>
    <w:p w14:paraId="23311C95" w14:textId="77777777" w:rsidR="008E1AE0" w:rsidRPr="00DA55B0" w:rsidRDefault="008E1AE0" w:rsidP="008E1AE0">
      <w:pPr>
        <w:ind w:firstLine="720"/>
        <w:rPr>
          <w:rFonts w:ascii="Times New Roman" w:hAnsi="Times New Roman"/>
          <w:sz w:val="24"/>
          <w:szCs w:val="24"/>
        </w:rPr>
      </w:pPr>
      <w:r w:rsidRPr="00DA55B0">
        <w:rPr>
          <w:rFonts w:ascii="Times New Roman" w:hAnsi="Times New Roman"/>
          <w:sz w:val="24"/>
          <w:szCs w:val="24"/>
        </w:rPr>
        <w:t>***</w:t>
      </w:r>
    </w:p>
    <w:p w14:paraId="2E223B8C" w14:textId="77777777" w:rsidR="008E1AE0" w:rsidRPr="00DA55B0" w:rsidRDefault="008E1AE0" w:rsidP="008E1AE0">
      <w:pPr>
        <w:ind w:left="720"/>
        <w:rPr>
          <w:rFonts w:ascii="Times New Roman" w:hAnsi="Times New Roman"/>
          <w:sz w:val="24"/>
          <w:szCs w:val="24"/>
        </w:rPr>
      </w:pPr>
      <w:r w:rsidRPr="00DA55B0">
        <w:rPr>
          <w:rFonts w:ascii="Times New Roman" w:hAnsi="Times New Roman"/>
          <w:sz w:val="24"/>
          <w:szCs w:val="24"/>
        </w:rPr>
        <w:t xml:space="preserve">[SYCAMORE 2 FIRE] About thirty minutes after leaving the Sycamore Fire, Powers saw ‘a low-flying helicopter,’ which ‘looped around’ and left. The helicopter returned approximately thirty minutes later, and Powers began doing ‘everything [he] </w:t>
      </w:r>
      <w:proofErr w:type="gramStart"/>
      <w:r w:rsidRPr="00DA55B0">
        <w:rPr>
          <w:rFonts w:ascii="Times New Roman" w:hAnsi="Times New Roman"/>
          <w:sz w:val="24"/>
          <w:szCs w:val="24"/>
        </w:rPr>
        <w:t>could to</w:t>
      </w:r>
      <w:proofErr w:type="gramEnd"/>
      <w:r w:rsidRPr="00DA55B0">
        <w:rPr>
          <w:rFonts w:ascii="Times New Roman" w:hAnsi="Times New Roman"/>
          <w:sz w:val="24"/>
          <w:szCs w:val="24"/>
        </w:rPr>
        <w:t xml:space="preserve"> get its attention.’… He also ignited a third signal fire, the Sycamore 2 Fire, which spread to a three-foot circle before dying out. As with the other two fires, Powers did not start the Sycamore 2 Fire in a fire ring or pit, nor did he clear flammable materials from the area…. In sum, the undisputed facts do not show that Powers acted reasonably to preserve his life when he started the Sycamore 2 Fire.  </w:t>
      </w:r>
    </w:p>
    <w:p w14:paraId="72534545" w14:textId="77777777" w:rsidR="008E1AE0" w:rsidRPr="00DA55B0" w:rsidRDefault="008E1AE0" w:rsidP="008E1AE0">
      <w:pPr>
        <w:ind w:firstLine="720"/>
        <w:rPr>
          <w:rFonts w:ascii="Times New Roman" w:hAnsi="Times New Roman"/>
          <w:sz w:val="24"/>
          <w:szCs w:val="24"/>
        </w:rPr>
      </w:pPr>
      <w:r w:rsidRPr="00DA55B0">
        <w:rPr>
          <w:rFonts w:ascii="Times New Roman" w:hAnsi="Times New Roman"/>
          <w:sz w:val="24"/>
          <w:szCs w:val="24"/>
        </w:rPr>
        <w:t>***</w:t>
      </w:r>
    </w:p>
    <w:p w14:paraId="7F9558FB" w14:textId="77777777" w:rsidR="008E1AE0" w:rsidRPr="00DA55B0" w:rsidRDefault="008E1AE0" w:rsidP="008E1AE0">
      <w:pPr>
        <w:ind w:left="720"/>
        <w:rPr>
          <w:rFonts w:ascii="Times New Roman" w:hAnsi="Times New Roman"/>
          <w:sz w:val="24"/>
          <w:szCs w:val="24"/>
        </w:rPr>
      </w:pPr>
      <w:r w:rsidRPr="00DA55B0">
        <w:rPr>
          <w:rFonts w:ascii="Times New Roman" w:hAnsi="Times New Roman"/>
          <w:sz w:val="24"/>
          <w:szCs w:val="24"/>
        </w:rPr>
        <w:t xml:space="preserve">The helicopter belonged to USFS, which had received reports of </w:t>
      </w:r>
      <w:proofErr w:type="gramStart"/>
      <w:r w:rsidRPr="00DA55B0">
        <w:rPr>
          <w:rFonts w:ascii="Times New Roman" w:hAnsi="Times New Roman"/>
          <w:sz w:val="24"/>
          <w:szCs w:val="24"/>
        </w:rPr>
        <w:t>a wildfire</w:t>
      </w:r>
      <w:proofErr w:type="gramEnd"/>
      <w:r w:rsidRPr="00DA55B0">
        <w:rPr>
          <w:rFonts w:ascii="Times New Roman" w:hAnsi="Times New Roman"/>
          <w:sz w:val="24"/>
          <w:szCs w:val="24"/>
        </w:rPr>
        <w:t>. Unbeknownst to Powers, the Sycamore Fire had not died out—flying in, firefighters saw a smoke column and twenty to thirty acres of burning landscape. After landing, firefighters spotted Powers lying under a tree. He was able to walk to the helicopter with the assistance of two firefighters. The helicopter crew gave him water and flew him to Sedona where he was put in an ambulance and given intravenous (IV) fluids. While in the ambulance, Powers admitted to setting the fires.”</w:t>
      </w:r>
    </w:p>
    <w:p w14:paraId="1F838B33" w14:textId="77777777" w:rsidR="008E1AE0" w:rsidRPr="00DA55B0" w:rsidRDefault="008E1AE0" w:rsidP="008E1AE0">
      <w:pPr>
        <w:rPr>
          <w:rFonts w:ascii="Times New Roman" w:hAnsi="Times New Roman"/>
          <w:b/>
          <w:bCs/>
          <w:sz w:val="24"/>
          <w:szCs w:val="24"/>
        </w:rPr>
      </w:pPr>
      <w:r w:rsidRPr="00DA55B0">
        <w:rPr>
          <w:rFonts w:ascii="Times New Roman" w:hAnsi="Times New Roman"/>
          <w:b/>
          <w:sz w:val="24"/>
          <w:szCs w:val="24"/>
        </w:rPr>
        <w:t xml:space="preserve">Legal Lesson Learned: If you start a “signal fire” need to build fire ring or other method to contain it and stay with it.  </w:t>
      </w:r>
    </w:p>
    <w:p w14:paraId="147FDA4E" w14:textId="77777777" w:rsidR="008E1AE0" w:rsidRPr="00DA55B0" w:rsidRDefault="008E1AE0" w:rsidP="008E1AE0">
      <w:pPr>
        <w:ind w:firstLine="720"/>
        <w:rPr>
          <w:rFonts w:ascii="Times New Roman" w:hAnsi="Times New Roman"/>
          <w:b/>
          <w:bCs/>
          <w:sz w:val="24"/>
          <w:szCs w:val="24"/>
        </w:rPr>
      </w:pPr>
      <w:r w:rsidRPr="00DA55B0">
        <w:rPr>
          <w:rFonts w:ascii="Times New Roman" w:hAnsi="Times New Roman"/>
          <w:sz w:val="24"/>
          <w:szCs w:val="24"/>
        </w:rPr>
        <w:lastRenderedPageBreak/>
        <w:t>Note: The defendant is lucky to be alive; next time purchase a GPS handheld phone</w:t>
      </w:r>
      <w:r w:rsidRPr="00DA55B0">
        <w:rPr>
          <w:rFonts w:ascii="Times New Roman" w:hAnsi="Times New Roman"/>
          <w:b/>
          <w:sz w:val="24"/>
          <w:szCs w:val="24"/>
        </w:rPr>
        <w:t xml:space="preserve">.  </w:t>
      </w:r>
    </w:p>
    <w:p w14:paraId="42422ABA" w14:textId="07E68D59" w:rsidR="00C11ACF" w:rsidRPr="00DA55B0" w:rsidRDefault="008E1AE0" w:rsidP="00DA55B0">
      <w:pPr>
        <w:pStyle w:val="NoSpacing"/>
        <w:ind w:left="720"/>
        <w:rPr>
          <w:rFonts w:ascii="Times New Roman" w:hAnsi="Times New Roman"/>
          <w:sz w:val="24"/>
          <w:szCs w:val="24"/>
        </w:rPr>
      </w:pPr>
      <w:r w:rsidRPr="00DA55B0">
        <w:rPr>
          <w:rFonts w:ascii="Times New Roman" w:hAnsi="Times New Roman"/>
          <w:sz w:val="24"/>
          <w:szCs w:val="24"/>
        </w:rPr>
        <w:t>“Durable devices that go wherever you go and track your precise location along the way. Go farther than ever before when hiking and finding adventure.”</w:t>
      </w:r>
      <w:r w:rsidRPr="00DA55B0">
        <w:rPr>
          <w:rFonts w:ascii="Times New Roman" w:hAnsi="Times New Roman"/>
          <w:b/>
          <w:sz w:val="24"/>
          <w:szCs w:val="24"/>
        </w:rPr>
        <w:t xml:space="preserve"> </w:t>
      </w:r>
      <w:hyperlink r:id="rId93" w:history="1">
        <w:r w:rsidRPr="00DA55B0">
          <w:rPr>
            <w:rStyle w:val="Hyperlink"/>
            <w:rFonts w:ascii="Times New Roman" w:hAnsi="Times New Roman"/>
            <w:b/>
            <w:sz w:val="24"/>
            <w:szCs w:val="24"/>
          </w:rPr>
          <w:t>https://www.garmin.com/en-US/c/outdoor-recreation/handheld-hiking-gps/?gad_source=1&amp;gclid=Cj0KCQiA_Yq-BhC9ARIsAA6fbAg8Hzg7tt3LxTDrvBKQ6Iq20PiW7TlBW7J0osrwHwlbOwcCFzY0rTcaAu65EALw_wcB</w:t>
        </w:r>
      </w:hyperlink>
    </w:p>
    <w:p w14:paraId="3CAF4C5F" w14:textId="77777777" w:rsidR="00C11ACF" w:rsidRPr="00DA55B0" w:rsidRDefault="00C11ACF" w:rsidP="00B86628">
      <w:pPr>
        <w:pStyle w:val="NoSpacing"/>
        <w:rPr>
          <w:rFonts w:ascii="Times New Roman" w:hAnsi="Times New Roman"/>
          <w:sz w:val="24"/>
          <w:szCs w:val="24"/>
        </w:rPr>
      </w:pPr>
    </w:p>
    <w:p w14:paraId="01972C8F" w14:textId="77777777" w:rsidR="00C11ACF" w:rsidRDefault="00C11ACF" w:rsidP="00B86628">
      <w:pPr>
        <w:pStyle w:val="NoSpacing"/>
        <w:rPr>
          <w:rFonts w:ascii="Arial Black" w:hAnsi="Arial Black"/>
          <w:sz w:val="24"/>
          <w:szCs w:val="24"/>
        </w:rPr>
      </w:pPr>
    </w:p>
    <w:p w14:paraId="513F561E" w14:textId="67C8133E" w:rsidR="00AE3DBB" w:rsidRDefault="00C11ACF" w:rsidP="00B86628">
      <w:pPr>
        <w:pStyle w:val="NoSpacing"/>
        <w:rPr>
          <w:rFonts w:ascii="Arial Black" w:hAnsi="Arial Black"/>
          <w:sz w:val="24"/>
          <w:szCs w:val="24"/>
        </w:rPr>
      </w:pPr>
      <w:r>
        <w:rPr>
          <w:rFonts w:ascii="Arial Black" w:hAnsi="Arial Black"/>
          <w:sz w:val="24"/>
          <w:szCs w:val="24"/>
        </w:rPr>
        <w:t>1-172</w:t>
      </w:r>
    </w:p>
    <w:p w14:paraId="1424637B" w14:textId="77777777" w:rsidR="005C5C79" w:rsidRDefault="005C5C79" w:rsidP="00C11ACF">
      <w:pPr>
        <w:rPr>
          <w:rFonts w:ascii="Arial Black" w:hAnsi="Arial Black"/>
          <w:sz w:val="28"/>
          <w:szCs w:val="28"/>
        </w:rPr>
      </w:pPr>
    </w:p>
    <w:p w14:paraId="5F6FACA1" w14:textId="7001E7BE" w:rsidR="00C11ACF" w:rsidRPr="000B7F2C" w:rsidRDefault="00C11ACF" w:rsidP="00C11ACF">
      <w:pPr>
        <w:rPr>
          <w:rFonts w:ascii="Arial Black" w:hAnsi="Arial Black"/>
          <w:sz w:val="28"/>
          <w:szCs w:val="28"/>
        </w:rPr>
      </w:pPr>
      <w:r w:rsidRPr="000B7F2C">
        <w:rPr>
          <w:rFonts w:ascii="Arial Black" w:hAnsi="Arial Black"/>
          <w:sz w:val="28"/>
          <w:szCs w:val="28"/>
        </w:rPr>
        <w:t xml:space="preserve">OR: </w:t>
      </w:r>
      <w:r>
        <w:rPr>
          <w:rFonts w:ascii="Arial Black" w:hAnsi="Arial Black"/>
          <w:sz w:val="28"/>
          <w:szCs w:val="28"/>
        </w:rPr>
        <w:t xml:space="preserve">FF SUED BY COUNCILMEN - </w:t>
      </w:r>
      <w:r w:rsidRPr="000B7F2C">
        <w:rPr>
          <w:rFonts w:ascii="Arial Black" w:hAnsi="Arial Black"/>
          <w:sz w:val="28"/>
          <w:szCs w:val="28"/>
        </w:rPr>
        <w:t xml:space="preserve">RECALL – </w:t>
      </w:r>
      <w:r w:rsidRPr="004F16B9">
        <w:rPr>
          <w:rFonts w:ascii="Arial Black" w:hAnsi="Arial Black"/>
          <w:sz w:val="28"/>
          <w:szCs w:val="28"/>
        </w:rPr>
        <w:t>ANTI-SLAPP</w:t>
      </w:r>
      <w:r>
        <w:rPr>
          <w:rFonts w:ascii="Arial Black" w:hAnsi="Arial Black"/>
          <w:sz w:val="28"/>
          <w:szCs w:val="28"/>
        </w:rPr>
        <w:t xml:space="preserve"> LAW</w:t>
      </w:r>
    </w:p>
    <w:p w14:paraId="5A3E78A6" w14:textId="77777777" w:rsidR="00C11ACF" w:rsidRPr="00C11ACF" w:rsidRDefault="00C11ACF" w:rsidP="00C11ACF">
      <w:pPr>
        <w:rPr>
          <w:rFonts w:ascii="Times New Roman" w:hAnsi="Times New Roman"/>
          <w:sz w:val="24"/>
          <w:szCs w:val="24"/>
        </w:rPr>
      </w:pPr>
      <w:r w:rsidRPr="00C11ACF">
        <w:rPr>
          <w:rFonts w:ascii="Times New Roman" w:hAnsi="Times New Roman"/>
          <w:sz w:val="24"/>
          <w:szCs w:val="24"/>
        </w:rPr>
        <w:t xml:space="preserve">On Jan. 29, 2025, in </w:t>
      </w:r>
      <w:r w:rsidRPr="00C11ACF">
        <w:rPr>
          <w:rFonts w:ascii="Times New Roman" w:hAnsi="Times New Roman"/>
          <w:sz w:val="24"/>
          <w:szCs w:val="24"/>
          <w:u w:val="single"/>
        </w:rPr>
        <w:t>Johnny Waggoner, Sr., Joanne Dixon; Kerry McQuisten v. Casey L. Husk, et al</w:t>
      </w:r>
      <w:r w:rsidRPr="00C11ACF">
        <w:rPr>
          <w:rFonts w:ascii="Times New Roman" w:hAnsi="Times New Roman"/>
          <w:sz w:val="24"/>
          <w:szCs w:val="24"/>
        </w:rPr>
        <w:t xml:space="preserve">., the Court of Appeals of Oregon held (3 to 0) that the three former members of City Council may proceed with their lawsuit under the Oregon Corrupt Practices Act against Casey Husk, a former Lieutenant with the fire department.  He filed recall petitions against 6 of the 7 </w:t>
      </w:r>
      <w:proofErr w:type="gramStart"/>
      <w:r w:rsidRPr="00C11ACF">
        <w:rPr>
          <w:rFonts w:ascii="Times New Roman" w:hAnsi="Times New Roman"/>
          <w:sz w:val="24"/>
          <w:szCs w:val="24"/>
        </w:rPr>
        <w:t>member</w:t>
      </w:r>
      <w:proofErr w:type="gramEnd"/>
      <w:r w:rsidRPr="00C11ACF">
        <w:rPr>
          <w:rFonts w:ascii="Times New Roman" w:hAnsi="Times New Roman"/>
          <w:sz w:val="24"/>
          <w:szCs w:val="24"/>
        </w:rPr>
        <w:t xml:space="preserve"> of City Council, including the 3 plaintiffs, claiming they voted to “dissolve” the fire department. The city council in April 2022 voted to have County EMS take over all EMS runs in the city; the department was not dissolved (staffing went from 15 career firefighters to 9).  Oregon, like many states, has an “Anti-SLAPP law” [strategic lawsuits against public participation] that protects press and citizens from lawsuits by public officials for alleged misconduct, but that protection does not protect against a knowingly false statement.  The lawsuit by the former Council members may now proceed </w:t>
      </w:r>
      <w:proofErr w:type="gramStart"/>
      <w:r w:rsidRPr="00C11ACF">
        <w:rPr>
          <w:rFonts w:ascii="Times New Roman" w:hAnsi="Times New Roman"/>
          <w:sz w:val="24"/>
          <w:szCs w:val="24"/>
        </w:rPr>
        <w:t>to</w:t>
      </w:r>
      <w:proofErr w:type="gramEnd"/>
      <w:r w:rsidRPr="00C11ACF">
        <w:rPr>
          <w:rFonts w:ascii="Times New Roman" w:hAnsi="Times New Roman"/>
          <w:sz w:val="24"/>
          <w:szCs w:val="24"/>
        </w:rPr>
        <w:t xml:space="preserve"> pre-trial discovery. </w:t>
      </w:r>
      <w:hyperlink r:id="rId94" w:history="1">
        <w:r w:rsidRPr="00C11ACF">
          <w:rPr>
            <w:rStyle w:val="Hyperlink"/>
            <w:rFonts w:ascii="Times New Roman" w:hAnsi="Times New Roman"/>
            <w:sz w:val="24"/>
            <w:szCs w:val="24"/>
          </w:rPr>
          <w:t>https://cases.justia.com/oregon/court-of-appeals/2025-a181038.pdf?ts=1738179139</w:t>
        </w:r>
      </w:hyperlink>
      <w:r w:rsidRPr="00C11ACF">
        <w:rPr>
          <w:rFonts w:ascii="Times New Roman" w:hAnsi="Times New Roman"/>
          <w:sz w:val="24"/>
          <w:szCs w:val="24"/>
        </w:rPr>
        <w:t xml:space="preserve"> </w:t>
      </w:r>
    </w:p>
    <w:p w14:paraId="29A7622E" w14:textId="77777777" w:rsidR="00C11ACF" w:rsidRPr="00C11ACF" w:rsidRDefault="00C11ACF" w:rsidP="00C11ACF">
      <w:pPr>
        <w:pStyle w:val="NoSpacing"/>
        <w:rPr>
          <w:rFonts w:ascii="Times New Roman" w:hAnsi="Times New Roman"/>
          <w:sz w:val="24"/>
          <w:szCs w:val="24"/>
        </w:rPr>
      </w:pPr>
      <w:r w:rsidRPr="00C11ACF">
        <w:rPr>
          <w:rFonts w:ascii="Times New Roman" w:hAnsi="Times New Roman"/>
          <w:sz w:val="24"/>
          <w:szCs w:val="24"/>
        </w:rPr>
        <w:t>The Court wrote:</w:t>
      </w:r>
    </w:p>
    <w:p w14:paraId="156E4B71" w14:textId="77777777" w:rsidR="00C11ACF" w:rsidRPr="00C11ACF" w:rsidRDefault="00C11ACF" w:rsidP="00C11ACF">
      <w:pPr>
        <w:pStyle w:val="NoSpacing"/>
        <w:rPr>
          <w:rFonts w:ascii="Times New Roman" w:hAnsi="Times New Roman"/>
          <w:sz w:val="24"/>
          <w:szCs w:val="24"/>
        </w:rPr>
      </w:pPr>
    </w:p>
    <w:p w14:paraId="4350E187" w14:textId="77777777" w:rsidR="00C11ACF" w:rsidRPr="00C11ACF" w:rsidRDefault="00C11ACF" w:rsidP="00C11ACF">
      <w:pPr>
        <w:pStyle w:val="NoSpacing"/>
        <w:ind w:left="720"/>
        <w:rPr>
          <w:rFonts w:ascii="Times New Roman" w:hAnsi="Times New Roman"/>
          <w:sz w:val="24"/>
          <w:szCs w:val="24"/>
        </w:rPr>
      </w:pPr>
      <w:r w:rsidRPr="00C11ACF">
        <w:rPr>
          <w:rFonts w:ascii="Times New Roman" w:hAnsi="Times New Roman"/>
          <w:sz w:val="24"/>
          <w:szCs w:val="24"/>
        </w:rPr>
        <w:t xml:space="preserve">“There is evidence that defendant worked as a firefighter for the Baker City Fire Department from 2020 to July 2022, was involved in union negotiations with the city regarding the fire </w:t>
      </w:r>
      <w:proofErr w:type="gramStart"/>
      <w:r w:rsidRPr="00C11ACF">
        <w:rPr>
          <w:rFonts w:ascii="Times New Roman" w:hAnsi="Times New Roman"/>
          <w:sz w:val="24"/>
          <w:szCs w:val="24"/>
        </w:rPr>
        <w:t>department, and</w:t>
      </w:r>
      <w:proofErr w:type="gramEnd"/>
      <w:r w:rsidRPr="00C11ACF">
        <w:rPr>
          <w:rFonts w:ascii="Times New Roman" w:hAnsi="Times New Roman"/>
          <w:sz w:val="24"/>
          <w:szCs w:val="24"/>
        </w:rPr>
        <w:t xml:space="preserve"> attended multiple city council meetings relating to the April 2022 vote. The record supports a reasonable inference that he knew that the city council did not vote to dissolve the fire department. See id. at 360 (concluding, with respect to an allegedly false statement regarding the fire department, that the plaintiff made out a prima facie case on the mental state element where, among other things, the defendant knew or should have known the true facts as a former fire department lieutenant and former city mayor). Accordingly, we conclude that the trial court did not err in denying defendant’s special motion to strike plaintiff’s complaint for a violation of ORS 260.532.”</w:t>
      </w:r>
    </w:p>
    <w:p w14:paraId="10E8C9B8" w14:textId="77777777" w:rsidR="00C11ACF" w:rsidRPr="00C11ACF" w:rsidRDefault="00C11ACF" w:rsidP="00C11ACF">
      <w:pPr>
        <w:pStyle w:val="NoSpacing"/>
        <w:rPr>
          <w:rFonts w:ascii="Times New Roman" w:hAnsi="Times New Roman"/>
          <w:b/>
          <w:bCs/>
          <w:sz w:val="24"/>
          <w:szCs w:val="24"/>
        </w:rPr>
      </w:pPr>
    </w:p>
    <w:p w14:paraId="4D8F4ADF" w14:textId="77777777" w:rsidR="00C11ACF" w:rsidRPr="00C11ACF" w:rsidRDefault="00C11ACF" w:rsidP="00C11ACF">
      <w:pPr>
        <w:pStyle w:val="NoSpacing"/>
        <w:rPr>
          <w:rFonts w:ascii="Times New Roman" w:hAnsi="Times New Roman"/>
          <w:b/>
          <w:bCs/>
          <w:sz w:val="24"/>
          <w:szCs w:val="24"/>
        </w:rPr>
      </w:pPr>
      <w:r w:rsidRPr="00C11ACF">
        <w:rPr>
          <w:rFonts w:ascii="Times New Roman" w:hAnsi="Times New Roman"/>
          <w:b/>
          <w:sz w:val="24"/>
          <w:szCs w:val="24"/>
        </w:rPr>
        <w:t xml:space="preserve">Legal Lesson Learned: When filing recall petition or other complaints against public official, carefully review allegations – opinions are protected under First Amendment and anti-SLAPP statutes, but not intentional false statements. </w:t>
      </w:r>
    </w:p>
    <w:p w14:paraId="0D381B3E" w14:textId="77777777" w:rsidR="00C11ACF" w:rsidRPr="00C11ACF" w:rsidRDefault="00C11ACF" w:rsidP="00C11ACF">
      <w:pPr>
        <w:pStyle w:val="NoSpacing"/>
        <w:rPr>
          <w:rFonts w:ascii="Times New Roman" w:hAnsi="Times New Roman"/>
          <w:b/>
          <w:bCs/>
          <w:sz w:val="24"/>
          <w:szCs w:val="24"/>
        </w:rPr>
      </w:pPr>
    </w:p>
    <w:p w14:paraId="3C79BEEA" w14:textId="77777777" w:rsidR="00C11ACF" w:rsidRPr="00C11ACF" w:rsidRDefault="00C11ACF" w:rsidP="00C11ACF">
      <w:pPr>
        <w:pStyle w:val="NoSpacing"/>
        <w:ind w:left="720"/>
        <w:rPr>
          <w:rFonts w:ascii="Times New Roman" w:hAnsi="Times New Roman"/>
          <w:sz w:val="24"/>
          <w:szCs w:val="24"/>
        </w:rPr>
      </w:pPr>
      <w:r w:rsidRPr="00C11ACF">
        <w:rPr>
          <w:rFonts w:ascii="Times New Roman" w:hAnsi="Times New Roman"/>
          <w:sz w:val="24"/>
          <w:szCs w:val="24"/>
        </w:rPr>
        <w:t xml:space="preserve">Note:  “Anti-SLAPP laws are intended to prevent people from using courts, and potential threats of a lawsuit, to intimidate people who are exercising their First Amendment rights. In terms of reporting, news organizations and individual journalists can use anti-SLAPP statutes to protect themselves from the financial threat of a groundless defamation case brought by a subject of an enterprise or investigative story. Under most anti-SLAPP statutes, the person sued makes a motion to strike the case because it involves speech on a matter of public concern. The plaintiff then has the burden of showing a probability that they will prevail in the suit — meaning they must show that they have evidence that could result in </w:t>
      </w:r>
      <w:r w:rsidRPr="00C11ACF">
        <w:rPr>
          <w:rFonts w:ascii="Times New Roman" w:hAnsi="Times New Roman"/>
          <w:sz w:val="24"/>
          <w:szCs w:val="24"/>
        </w:rPr>
        <w:lastRenderedPageBreak/>
        <w:t xml:space="preserve">a favorable verdict. If the plaintiff cannot meet this burden and the suit is dismissed through anti-SLAPP proceedings, many statutes allow defendants to collect attorney’s fees from the plaintiff.”  </w:t>
      </w:r>
      <w:hyperlink r:id="rId95" w:history="1">
        <w:r w:rsidRPr="00C11ACF">
          <w:rPr>
            <w:rStyle w:val="Hyperlink"/>
            <w:rFonts w:ascii="Times New Roman" w:hAnsi="Times New Roman"/>
            <w:sz w:val="24"/>
            <w:szCs w:val="24"/>
          </w:rPr>
          <w:t>https://www.rcfp.org/resources/anti-slapp-laws/</w:t>
        </w:r>
      </w:hyperlink>
      <w:r w:rsidRPr="00C11ACF">
        <w:rPr>
          <w:rFonts w:ascii="Times New Roman" w:hAnsi="Times New Roman"/>
          <w:sz w:val="24"/>
          <w:szCs w:val="24"/>
        </w:rPr>
        <w:t xml:space="preserve"> </w:t>
      </w:r>
    </w:p>
    <w:p w14:paraId="259DE2FD" w14:textId="77777777" w:rsidR="00C11ACF" w:rsidRPr="00C11ACF" w:rsidRDefault="00C11ACF" w:rsidP="00C11ACF">
      <w:pPr>
        <w:rPr>
          <w:rFonts w:ascii="Times New Roman" w:hAnsi="Times New Roman"/>
          <w:sz w:val="24"/>
          <w:szCs w:val="24"/>
        </w:rPr>
      </w:pPr>
    </w:p>
    <w:p w14:paraId="3F05E003" w14:textId="77777777" w:rsidR="00C11ACF" w:rsidRDefault="00C11ACF" w:rsidP="00B86628">
      <w:pPr>
        <w:pStyle w:val="NoSpacing"/>
        <w:rPr>
          <w:rFonts w:ascii="Arial Black" w:hAnsi="Arial Black"/>
          <w:sz w:val="24"/>
          <w:szCs w:val="24"/>
        </w:rPr>
      </w:pPr>
    </w:p>
    <w:p w14:paraId="7C087412" w14:textId="77777777" w:rsidR="00C11ACF" w:rsidRDefault="00C11ACF" w:rsidP="00B86628">
      <w:pPr>
        <w:pStyle w:val="NoSpacing"/>
        <w:rPr>
          <w:rFonts w:ascii="Arial Black" w:hAnsi="Arial Black"/>
          <w:sz w:val="24"/>
          <w:szCs w:val="24"/>
        </w:rPr>
      </w:pPr>
    </w:p>
    <w:p w14:paraId="70A707BC" w14:textId="77777777" w:rsidR="00C11ACF" w:rsidRDefault="00C11ACF" w:rsidP="00B86628">
      <w:pPr>
        <w:pStyle w:val="NoSpacing"/>
        <w:rPr>
          <w:rFonts w:ascii="Arial Black" w:hAnsi="Arial Black"/>
          <w:sz w:val="24"/>
          <w:szCs w:val="24"/>
        </w:rPr>
      </w:pPr>
    </w:p>
    <w:p w14:paraId="0DF8A8C6" w14:textId="77777777" w:rsidR="00C11ACF" w:rsidRDefault="00C11ACF" w:rsidP="00B86628">
      <w:pPr>
        <w:pStyle w:val="NoSpacing"/>
        <w:rPr>
          <w:rFonts w:ascii="Arial Black" w:hAnsi="Arial Black"/>
          <w:sz w:val="24"/>
          <w:szCs w:val="24"/>
        </w:rPr>
      </w:pPr>
    </w:p>
    <w:p w14:paraId="370D70B6" w14:textId="52E09D20" w:rsidR="00EF4D70" w:rsidRDefault="00763EF6" w:rsidP="00B86628">
      <w:pPr>
        <w:pStyle w:val="NoSpacing"/>
        <w:rPr>
          <w:rFonts w:ascii="Arial Black" w:hAnsi="Arial Black"/>
          <w:sz w:val="24"/>
          <w:szCs w:val="24"/>
        </w:rPr>
      </w:pPr>
      <w:r>
        <w:rPr>
          <w:rFonts w:ascii="Arial Black" w:hAnsi="Arial Black"/>
          <w:sz w:val="24"/>
          <w:szCs w:val="24"/>
        </w:rPr>
        <w:t>1-171</w:t>
      </w:r>
    </w:p>
    <w:p w14:paraId="7C4CE94B" w14:textId="77777777" w:rsidR="00763EF6" w:rsidRDefault="00763EF6" w:rsidP="00B86628">
      <w:pPr>
        <w:pStyle w:val="NoSpacing"/>
        <w:rPr>
          <w:rFonts w:ascii="Arial Black" w:hAnsi="Arial Black"/>
          <w:sz w:val="24"/>
          <w:szCs w:val="24"/>
        </w:rPr>
      </w:pPr>
    </w:p>
    <w:p w14:paraId="159E2F97" w14:textId="77777777" w:rsidR="00763EF6" w:rsidRDefault="00763EF6" w:rsidP="00763EF6">
      <w:pPr>
        <w:pStyle w:val="NoSpacing"/>
        <w:rPr>
          <w:rFonts w:ascii="Arial Black" w:hAnsi="Arial Black"/>
          <w:sz w:val="28"/>
          <w:szCs w:val="28"/>
        </w:rPr>
      </w:pPr>
      <w:r>
        <w:rPr>
          <w:rFonts w:ascii="Arial Black" w:hAnsi="Arial Black"/>
          <w:sz w:val="28"/>
          <w:szCs w:val="28"/>
        </w:rPr>
        <w:t>U.S. SUP. CT. - CONGRESS CAN BAN TIKTOK – TRUMP DELAY</w:t>
      </w:r>
    </w:p>
    <w:p w14:paraId="70945E30" w14:textId="77777777" w:rsidR="00763EF6" w:rsidRDefault="00763EF6" w:rsidP="00763EF6">
      <w:pPr>
        <w:pStyle w:val="NoSpacing"/>
      </w:pPr>
    </w:p>
    <w:p w14:paraId="06EE4955" w14:textId="77777777" w:rsidR="00763EF6" w:rsidRPr="00763EF6" w:rsidRDefault="00763EF6" w:rsidP="00763EF6">
      <w:pPr>
        <w:pStyle w:val="NoSpacing"/>
        <w:rPr>
          <w:rFonts w:ascii="Times New Roman" w:hAnsi="Times New Roman"/>
          <w:sz w:val="24"/>
          <w:szCs w:val="24"/>
        </w:rPr>
      </w:pPr>
      <w:r w:rsidRPr="00763EF6">
        <w:rPr>
          <w:rFonts w:ascii="Times New Roman" w:hAnsi="Times New Roman"/>
          <w:sz w:val="24"/>
          <w:szCs w:val="24"/>
        </w:rPr>
        <w:t xml:space="preserve">On January 17, 2025, in </w:t>
      </w:r>
      <w:r w:rsidRPr="00763EF6">
        <w:rPr>
          <w:rFonts w:ascii="Times New Roman" w:hAnsi="Times New Roman"/>
          <w:sz w:val="24"/>
          <w:szCs w:val="24"/>
          <w:u w:val="single"/>
        </w:rPr>
        <w:t>TikTok Inc, et al. v, Merrick B. Garland, Attorney General</w:t>
      </w:r>
      <w:r w:rsidRPr="00763EF6">
        <w:rPr>
          <w:rFonts w:ascii="Times New Roman" w:hAnsi="Times New Roman"/>
          <w:sz w:val="24"/>
          <w:szCs w:val="24"/>
        </w:rPr>
        <w:t xml:space="preserve">, the United States Supreme Court held (9 to 0; per curiam decision – not authored by any individual Justice), that Congress did not violate the First Amendment when it passed the Protecting Americans from Foreign Adversary Controlled Applications Act will make it unlawful  (effective Jan. 19, 2025) for companies in the United States to provide services to distribute, maintain, or update the social media platform TikTok, unless U. S. operation of the platform is severed from Chinese control.  [The ban now delayed by President Trump.] </w:t>
      </w:r>
      <w:hyperlink r:id="rId96" w:history="1">
        <w:r w:rsidRPr="00763EF6">
          <w:rPr>
            <w:rStyle w:val="Hyperlink"/>
            <w:rFonts w:ascii="Times New Roman" w:hAnsi="Times New Roman"/>
            <w:sz w:val="24"/>
            <w:szCs w:val="24"/>
          </w:rPr>
          <w:t>https://www.supremecourt.gov/opinions/24pdf/24-656_ca7d.pdf</w:t>
        </w:r>
      </w:hyperlink>
      <w:r w:rsidRPr="00763EF6">
        <w:rPr>
          <w:rFonts w:ascii="Times New Roman" w:hAnsi="Times New Roman"/>
          <w:sz w:val="24"/>
          <w:szCs w:val="24"/>
        </w:rPr>
        <w:t xml:space="preserve">   </w:t>
      </w:r>
    </w:p>
    <w:p w14:paraId="7E7FF8F3" w14:textId="77777777" w:rsidR="00763EF6" w:rsidRPr="00763EF6" w:rsidRDefault="00763EF6" w:rsidP="00763EF6">
      <w:pPr>
        <w:pStyle w:val="NoSpacing"/>
        <w:rPr>
          <w:rFonts w:ascii="Times New Roman" w:hAnsi="Times New Roman"/>
          <w:sz w:val="24"/>
          <w:szCs w:val="24"/>
        </w:rPr>
      </w:pPr>
    </w:p>
    <w:p w14:paraId="0E7E6F87" w14:textId="77777777" w:rsidR="00763EF6" w:rsidRPr="00763EF6" w:rsidRDefault="00763EF6" w:rsidP="00763EF6">
      <w:pPr>
        <w:pStyle w:val="NoSpacing"/>
        <w:rPr>
          <w:rFonts w:ascii="Times New Roman" w:hAnsi="Times New Roman"/>
          <w:sz w:val="24"/>
          <w:szCs w:val="24"/>
        </w:rPr>
      </w:pPr>
      <w:r w:rsidRPr="00763EF6">
        <w:rPr>
          <w:rFonts w:ascii="Times New Roman" w:hAnsi="Times New Roman"/>
          <w:sz w:val="24"/>
          <w:szCs w:val="24"/>
        </w:rPr>
        <w:t>The Court wrote:</w:t>
      </w:r>
    </w:p>
    <w:p w14:paraId="23893B3A" w14:textId="77777777" w:rsidR="00763EF6" w:rsidRPr="00763EF6" w:rsidRDefault="00763EF6" w:rsidP="00763EF6">
      <w:pPr>
        <w:pStyle w:val="NoSpacing"/>
        <w:rPr>
          <w:rFonts w:ascii="Times New Roman" w:hAnsi="Times New Roman"/>
          <w:sz w:val="24"/>
          <w:szCs w:val="24"/>
        </w:rPr>
      </w:pPr>
    </w:p>
    <w:p w14:paraId="62B1E7DA" w14:textId="77777777" w:rsidR="00763EF6" w:rsidRPr="00763EF6" w:rsidRDefault="00763EF6" w:rsidP="00763EF6">
      <w:pPr>
        <w:pStyle w:val="NoSpacing"/>
        <w:ind w:left="720"/>
        <w:rPr>
          <w:rFonts w:ascii="Times New Roman" w:hAnsi="Times New Roman"/>
          <w:sz w:val="24"/>
          <w:szCs w:val="24"/>
        </w:rPr>
      </w:pPr>
      <w:r w:rsidRPr="00763EF6">
        <w:rPr>
          <w:rFonts w:ascii="Times New Roman" w:hAnsi="Times New Roman"/>
          <w:sz w:val="24"/>
          <w:szCs w:val="24"/>
        </w:rPr>
        <w:t>“TikTok is a social media platform that allows users to create, publish, view, share, and interact with short videos overlaid with audio and text. Since its launch in 2017, the</w:t>
      </w:r>
    </w:p>
    <w:p w14:paraId="5E18707B" w14:textId="77777777" w:rsidR="00763EF6" w:rsidRPr="00763EF6" w:rsidRDefault="00763EF6" w:rsidP="00763EF6">
      <w:pPr>
        <w:pStyle w:val="NoSpacing"/>
        <w:ind w:left="720"/>
        <w:rPr>
          <w:rFonts w:ascii="Times New Roman" w:hAnsi="Times New Roman"/>
          <w:sz w:val="24"/>
          <w:szCs w:val="24"/>
        </w:rPr>
      </w:pPr>
      <w:r w:rsidRPr="00763EF6">
        <w:rPr>
          <w:rFonts w:ascii="Times New Roman" w:hAnsi="Times New Roman"/>
          <w:sz w:val="24"/>
          <w:szCs w:val="24"/>
        </w:rPr>
        <w:t>platform has accumulated over 170 million users in the United States and more than one billion worldwide. Those users are prolific content creators and viewers. In 2023,</w:t>
      </w:r>
    </w:p>
    <w:p w14:paraId="6AA01A2A" w14:textId="77777777" w:rsidR="00763EF6" w:rsidRPr="00763EF6" w:rsidRDefault="00763EF6" w:rsidP="00763EF6">
      <w:pPr>
        <w:pStyle w:val="NoSpacing"/>
        <w:ind w:left="720"/>
        <w:rPr>
          <w:rFonts w:ascii="Times New Roman" w:hAnsi="Times New Roman"/>
          <w:sz w:val="24"/>
          <w:szCs w:val="24"/>
        </w:rPr>
      </w:pPr>
      <w:r w:rsidRPr="00763EF6">
        <w:rPr>
          <w:rFonts w:ascii="Times New Roman" w:hAnsi="Times New Roman"/>
          <w:sz w:val="24"/>
          <w:szCs w:val="24"/>
        </w:rPr>
        <w:t xml:space="preserve">U. S. TikTok users uploaded more than 5.5 billion videos, which were in turn viewed more than 13 trillion times around the world. </w:t>
      </w:r>
    </w:p>
    <w:p w14:paraId="1B18A449" w14:textId="77777777" w:rsidR="00763EF6" w:rsidRPr="00763EF6" w:rsidRDefault="00763EF6" w:rsidP="00763EF6">
      <w:pPr>
        <w:pStyle w:val="NoSpacing"/>
        <w:rPr>
          <w:rFonts w:ascii="Times New Roman" w:hAnsi="Times New Roman"/>
          <w:sz w:val="24"/>
          <w:szCs w:val="24"/>
        </w:rPr>
      </w:pPr>
    </w:p>
    <w:p w14:paraId="1B6354FF" w14:textId="77777777" w:rsidR="00763EF6" w:rsidRPr="00763EF6" w:rsidRDefault="00763EF6" w:rsidP="00763EF6">
      <w:pPr>
        <w:pStyle w:val="NoSpacing"/>
        <w:ind w:left="720"/>
        <w:rPr>
          <w:rFonts w:ascii="Times New Roman" w:hAnsi="Times New Roman"/>
          <w:sz w:val="24"/>
          <w:szCs w:val="24"/>
        </w:rPr>
      </w:pPr>
      <w:r w:rsidRPr="00763EF6">
        <w:rPr>
          <w:rFonts w:ascii="Times New Roman" w:hAnsi="Times New Roman"/>
          <w:sz w:val="24"/>
          <w:szCs w:val="24"/>
        </w:rPr>
        <w:t>Opening the TikTok application brings a user to the ‘For You’ page —a personalized content feed tailored to the user’s interests. TikTok generates the feed using a proprietary algorithm that recommends videos to a user based on the user’s interactions with the platform. Each interaction a user has on TikTok—watching a video, following an ac-</w:t>
      </w:r>
    </w:p>
    <w:p w14:paraId="4CC07142" w14:textId="77777777" w:rsidR="00763EF6" w:rsidRPr="00763EF6" w:rsidRDefault="00763EF6" w:rsidP="00763EF6">
      <w:pPr>
        <w:pStyle w:val="NoSpacing"/>
        <w:ind w:left="720"/>
        <w:rPr>
          <w:rFonts w:ascii="Times New Roman" w:hAnsi="Times New Roman"/>
          <w:sz w:val="24"/>
          <w:szCs w:val="24"/>
        </w:rPr>
      </w:pPr>
      <w:r w:rsidRPr="00763EF6">
        <w:rPr>
          <w:rFonts w:ascii="Times New Roman" w:hAnsi="Times New Roman"/>
          <w:sz w:val="24"/>
          <w:szCs w:val="24"/>
        </w:rPr>
        <w:t>count, leaving a comment—enables the recommendation system to further tailor a personalized content feed.</w:t>
      </w:r>
    </w:p>
    <w:p w14:paraId="0DC5DAC7" w14:textId="77777777" w:rsidR="00763EF6" w:rsidRPr="00763EF6" w:rsidRDefault="00763EF6" w:rsidP="00763EF6">
      <w:pPr>
        <w:pStyle w:val="NoSpacing"/>
        <w:ind w:left="720"/>
        <w:rPr>
          <w:rFonts w:ascii="Times New Roman" w:hAnsi="Times New Roman"/>
          <w:sz w:val="24"/>
          <w:szCs w:val="24"/>
        </w:rPr>
      </w:pPr>
    </w:p>
    <w:p w14:paraId="7A66CA0C" w14:textId="77777777" w:rsidR="00763EF6" w:rsidRPr="00763EF6" w:rsidRDefault="00763EF6" w:rsidP="00763EF6">
      <w:pPr>
        <w:pStyle w:val="NoSpacing"/>
        <w:ind w:left="720"/>
        <w:rPr>
          <w:rFonts w:ascii="Times New Roman" w:hAnsi="Times New Roman"/>
          <w:sz w:val="24"/>
          <w:szCs w:val="24"/>
        </w:rPr>
      </w:pPr>
      <w:r w:rsidRPr="00763EF6">
        <w:rPr>
          <w:rFonts w:ascii="Times New Roman" w:hAnsi="Times New Roman"/>
          <w:sz w:val="24"/>
          <w:szCs w:val="24"/>
        </w:rPr>
        <w:t>***</w:t>
      </w:r>
    </w:p>
    <w:p w14:paraId="546232AF" w14:textId="77777777" w:rsidR="00763EF6" w:rsidRPr="00763EF6" w:rsidRDefault="00763EF6" w:rsidP="00763EF6">
      <w:pPr>
        <w:pStyle w:val="NoSpacing"/>
        <w:ind w:left="720"/>
        <w:rPr>
          <w:rFonts w:ascii="Times New Roman" w:hAnsi="Times New Roman"/>
          <w:sz w:val="24"/>
          <w:szCs w:val="24"/>
        </w:rPr>
      </w:pPr>
      <w:r w:rsidRPr="00763EF6">
        <w:rPr>
          <w:rFonts w:ascii="Times New Roman" w:hAnsi="Times New Roman"/>
          <w:sz w:val="24"/>
          <w:szCs w:val="24"/>
        </w:rPr>
        <w:t>TikTok Inc.’s ultimate parent company is ByteDance Ltd., a privately held company that has operations in China. ByteDance Ltd. owns TikTok’s proprietary algorithm, which is developed and maintained in China. The company is also responsible for developing portions of the source code that runs the TikTok platform. ByteDance Ltd. is subject to Chinese laws that require it to ‘assist or cooperate’ with the Chinese Government’s ‘intelligence work’ and to ensure that the Chinese Government has ‘the power to access and control private data’ the company holds. H. R. Rep. No. 118–417, p. 4 (2024) (H. R. Rep.); see 2 App. 673–676.</w:t>
      </w:r>
    </w:p>
    <w:p w14:paraId="563F3505" w14:textId="77777777" w:rsidR="00763EF6" w:rsidRPr="00763EF6" w:rsidRDefault="00763EF6" w:rsidP="00763EF6">
      <w:pPr>
        <w:pStyle w:val="NoSpacing"/>
        <w:ind w:left="720"/>
        <w:rPr>
          <w:rFonts w:ascii="Times New Roman" w:hAnsi="Times New Roman"/>
          <w:sz w:val="24"/>
          <w:szCs w:val="24"/>
        </w:rPr>
      </w:pPr>
    </w:p>
    <w:p w14:paraId="51E1EBAA" w14:textId="77777777" w:rsidR="00763EF6" w:rsidRPr="00763EF6" w:rsidRDefault="00763EF6" w:rsidP="00763EF6">
      <w:pPr>
        <w:pStyle w:val="NoSpacing"/>
        <w:ind w:left="720"/>
        <w:rPr>
          <w:rFonts w:ascii="Times New Roman" w:hAnsi="Times New Roman"/>
          <w:sz w:val="24"/>
          <w:szCs w:val="24"/>
        </w:rPr>
      </w:pPr>
      <w:r w:rsidRPr="00763EF6">
        <w:rPr>
          <w:rFonts w:ascii="Times New Roman" w:hAnsi="Times New Roman"/>
          <w:sz w:val="24"/>
          <w:szCs w:val="24"/>
        </w:rPr>
        <w:t>***</w:t>
      </w:r>
    </w:p>
    <w:p w14:paraId="631AB358" w14:textId="77777777" w:rsidR="00763EF6" w:rsidRPr="00763EF6" w:rsidRDefault="00763EF6" w:rsidP="00763EF6">
      <w:pPr>
        <w:pStyle w:val="NoSpacing"/>
        <w:ind w:left="720"/>
        <w:rPr>
          <w:rFonts w:ascii="Times New Roman" w:hAnsi="Times New Roman"/>
          <w:sz w:val="24"/>
          <w:szCs w:val="24"/>
        </w:rPr>
      </w:pPr>
      <w:r w:rsidRPr="00763EF6">
        <w:rPr>
          <w:rFonts w:ascii="Times New Roman" w:hAnsi="Times New Roman"/>
          <w:sz w:val="24"/>
          <w:szCs w:val="24"/>
        </w:rPr>
        <w:t xml:space="preserve">There is no doubt that, for more than 170 million Americans, TikTok offers a distinctive and expansive outlet for expression, means of engagement, and source of community. But Congress has determined that divestiture is necessary to address its well-supported national security concerns regarding TikTok’s </w:t>
      </w:r>
      <w:r w:rsidRPr="00763EF6">
        <w:rPr>
          <w:rFonts w:ascii="Times New Roman" w:hAnsi="Times New Roman"/>
          <w:sz w:val="24"/>
          <w:szCs w:val="24"/>
        </w:rPr>
        <w:lastRenderedPageBreak/>
        <w:t>data collection practices and relationship with a foreign adversary. For the foregoing reasons, we conclude that the challenged provisions do not violate petitioners’ First Amendment rights.”</w:t>
      </w:r>
    </w:p>
    <w:p w14:paraId="125F27F7" w14:textId="77777777" w:rsidR="00763EF6" w:rsidRPr="00763EF6" w:rsidRDefault="00763EF6" w:rsidP="00763EF6">
      <w:pPr>
        <w:pStyle w:val="NoSpacing"/>
        <w:ind w:left="720"/>
        <w:rPr>
          <w:rFonts w:ascii="Times New Roman" w:hAnsi="Times New Roman"/>
          <w:sz w:val="24"/>
          <w:szCs w:val="24"/>
        </w:rPr>
      </w:pPr>
    </w:p>
    <w:p w14:paraId="678CDEE8" w14:textId="77777777" w:rsidR="00763EF6" w:rsidRPr="00763EF6" w:rsidRDefault="00763EF6" w:rsidP="00763EF6">
      <w:pPr>
        <w:pStyle w:val="NoSpacing"/>
        <w:rPr>
          <w:rFonts w:ascii="Times New Roman" w:hAnsi="Times New Roman"/>
          <w:b/>
          <w:bCs/>
          <w:sz w:val="24"/>
          <w:szCs w:val="24"/>
        </w:rPr>
      </w:pPr>
      <w:r w:rsidRPr="00763EF6">
        <w:rPr>
          <w:rFonts w:ascii="Times New Roman" w:hAnsi="Times New Roman"/>
          <w:b/>
          <w:sz w:val="24"/>
          <w:szCs w:val="24"/>
        </w:rPr>
        <w:t>Legal Lesson Learned: Fire &amp; EMS departments should review their computer systems that contain protected information, including patient health information, to help prevent “hacking” and unauthorized copying.</w:t>
      </w:r>
    </w:p>
    <w:p w14:paraId="2250629E" w14:textId="77777777" w:rsidR="00763EF6" w:rsidRPr="00763EF6" w:rsidRDefault="00763EF6" w:rsidP="00763EF6">
      <w:pPr>
        <w:rPr>
          <w:rFonts w:ascii="Times New Roman" w:hAnsi="Times New Roman"/>
          <w:b/>
          <w:sz w:val="24"/>
          <w:szCs w:val="24"/>
        </w:rPr>
      </w:pPr>
    </w:p>
    <w:p w14:paraId="00E4164D" w14:textId="77777777" w:rsidR="00763EF6" w:rsidRPr="00763EF6" w:rsidRDefault="00763EF6" w:rsidP="00763EF6">
      <w:pPr>
        <w:pStyle w:val="NoSpacing"/>
        <w:ind w:left="720"/>
        <w:rPr>
          <w:rFonts w:ascii="Times New Roman" w:hAnsi="Times New Roman"/>
          <w:bCs/>
          <w:sz w:val="24"/>
          <w:szCs w:val="24"/>
        </w:rPr>
      </w:pPr>
      <w:r w:rsidRPr="00763EF6">
        <w:rPr>
          <w:rFonts w:ascii="Times New Roman" w:hAnsi="Times New Roman"/>
          <w:sz w:val="24"/>
          <w:szCs w:val="24"/>
        </w:rPr>
        <w:t>Note:</w:t>
      </w:r>
      <w:r w:rsidRPr="00763EF6">
        <w:rPr>
          <w:rFonts w:ascii="Times New Roman" w:hAnsi="Times New Roman"/>
          <w:b/>
          <w:sz w:val="24"/>
          <w:szCs w:val="24"/>
        </w:rPr>
        <w:t xml:space="preserve"> </w:t>
      </w:r>
      <w:r w:rsidRPr="00763EF6">
        <w:rPr>
          <w:rFonts w:ascii="Times New Roman" w:hAnsi="Times New Roman"/>
          <w:sz w:val="24"/>
          <w:szCs w:val="24"/>
        </w:rPr>
        <w:t>See  Jan. 17, 2025: “Justice Department Statements on Supreme Court’s Decision in TikTok, et al. v. Garland.”</w:t>
      </w:r>
    </w:p>
    <w:p w14:paraId="493845B7" w14:textId="77777777" w:rsidR="00763EF6" w:rsidRPr="00763EF6" w:rsidRDefault="00763EF6" w:rsidP="00763EF6">
      <w:pPr>
        <w:pStyle w:val="NoSpacing"/>
        <w:ind w:left="720"/>
        <w:rPr>
          <w:rFonts w:ascii="Times New Roman" w:hAnsi="Times New Roman"/>
          <w:bCs/>
          <w:sz w:val="24"/>
          <w:szCs w:val="24"/>
        </w:rPr>
      </w:pPr>
      <w:hyperlink r:id="rId97" w:history="1">
        <w:r w:rsidRPr="00763EF6">
          <w:rPr>
            <w:rStyle w:val="Hyperlink"/>
            <w:rFonts w:ascii="Times New Roman" w:hAnsi="Times New Roman"/>
            <w:sz w:val="24"/>
            <w:szCs w:val="24"/>
          </w:rPr>
          <w:t>https://www.justice.gov/opa/pr/justice-department-statements-supreme-courts-decision-tiktok-et-al-v-garland</w:t>
        </w:r>
      </w:hyperlink>
      <w:r w:rsidRPr="00763EF6">
        <w:rPr>
          <w:rFonts w:ascii="Times New Roman" w:hAnsi="Times New Roman"/>
          <w:sz w:val="24"/>
          <w:szCs w:val="24"/>
        </w:rPr>
        <w:t xml:space="preserve"> </w:t>
      </w:r>
    </w:p>
    <w:p w14:paraId="0ED74ABC" w14:textId="77777777" w:rsidR="00763EF6" w:rsidRPr="00763EF6" w:rsidRDefault="00763EF6" w:rsidP="00763EF6">
      <w:pPr>
        <w:pStyle w:val="NoSpacing"/>
        <w:ind w:left="720"/>
        <w:rPr>
          <w:rFonts w:ascii="Times New Roman" w:hAnsi="Times New Roman"/>
          <w:bCs/>
          <w:sz w:val="24"/>
          <w:szCs w:val="24"/>
        </w:rPr>
      </w:pPr>
    </w:p>
    <w:p w14:paraId="44DAB6A8" w14:textId="33A88B17" w:rsidR="00763EF6" w:rsidRPr="00763EF6" w:rsidRDefault="00763EF6" w:rsidP="00763EF6">
      <w:pPr>
        <w:pStyle w:val="NoSpacing"/>
        <w:ind w:left="720"/>
        <w:rPr>
          <w:rFonts w:ascii="Times New Roman" w:hAnsi="Times New Roman"/>
          <w:sz w:val="24"/>
          <w:szCs w:val="24"/>
        </w:rPr>
      </w:pPr>
      <w:r w:rsidRPr="00763EF6">
        <w:rPr>
          <w:rFonts w:ascii="Times New Roman" w:hAnsi="Times New Roman"/>
          <w:sz w:val="24"/>
          <w:szCs w:val="24"/>
        </w:rPr>
        <w:t xml:space="preserve">Jan. 22, 2025: “TikTok still not available on app stores after Trump's executive order: What we know.” </w:t>
      </w:r>
      <w:hyperlink r:id="rId98" w:history="1">
        <w:r w:rsidR="00CD461F" w:rsidRPr="009B5658">
          <w:rPr>
            <w:rStyle w:val="Hyperlink"/>
            <w:rFonts w:ascii="Times New Roman" w:hAnsi="Times New Roman"/>
            <w:sz w:val="24"/>
            <w:szCs w:val="24"/>
          </w:rPr>
          <w:t>https://www.usatoday.com/story/tech/2025/01/22/tiktok-ban-download-app-stores-update/77872210007/</w:t>
        </w:r>
      </w:hyperlink>
    </w:p>
    <w:p w14:paraId="2182085A" w14:textId="77777777" w:rsidR="00EF4D70" w:rsidRDefault="00EF4D70" w:rsidP="00B86628">
      <w:pPr>
        <w:pStyle w:val="NoSpacing"/>
        <w:rPr>
          <w:rFonts w:ascii="Arial Black" w:hAnsi="Arial Black"/>
          <w:sz w:val="24"/>
          <w:szCs w:val="24"/>
        </w:rPr>
      </w:pPr>
    </w:p>
    <w:p w14:paraId="20ADFF84" w14:textId="77777777" w:rsidR="00EF4D70" w:rsidRDefault="00EF4D70" w:rsidP="00B86628">
      <w:pPr>
        <w:pStyle w:val="NoSpacing"/>
        <w:rPr>
          <w:rFonts w:ascii="Arial Black" w:hAnsi="Arial Black"/>
          <w:sz w:val="24"/>
          <w:szCs w:val="24"/>
        </w:rPr>
      </w:pPr>
    </w:p>
    <w:p w14:paraId="0D1FBE9A" w14:textId="14872BF5" w:rsidR="002F5070" w:rsidRDefault="002F5070" w:rsidP="00B86628">
      <w:pPr>
        <w:pStyle w:val="NoSpacing"/>
        <w:rPr>
          <w:rFonts w:ascii="Arial Black" w:hAnsi="Arial Black"/>
          <w:sz w:val="24"/>
          <w:szCs w:val="24"/>
        </w:rPr>
      </w:pPr>
      <w:r>
        <w:rPr>
          <w:rFonts w:ascii="Arial Black" w:hAnsi="Arial Black"/>
          <w:sz w:val="24"/>
          <w:szCs w:val="24"/>
        </w:rPr>
        <w:t>1-1</w:t>
      </w:r>
      <w:r w:rsidR="00F755DB">
        <w:rPr>
          <w:rFonts w:ascii="Arial Black" w:hAnsi="Arial Black"/>
          <w:sz w:val="24"/>
          <w:szCs w:val="24"/>
        </w:rPr>
        <w:t>70</w:t>
      </w:r>
    </w:p>
    <w:p w14:paraId="13C4FBE0" w14:textId="77777777" w:rsidR="009312DC" w:rsidRDefault="009312DC" w:rsidP="00B86628">
      <w:pPr>
        <w:pStyle w:val="NoSpacing"/>
        <w:rPr>
          <w:rFonts w:ascii="Arial Black" w:hAnsi="Arial Black"/>
          <w:sz w:val="24"/>
          <w:szCs w:val="24"/>
        </w:rPr>
      </w:pPr>
    </w:p>
    <w:p w14:paraId="2A1CEA88" w14:textId="77777777" w:rsidR="009312DC" w:rsidRPr="00D57EC3" w:rsidRDefault="009312DC" w:rsidP="009312DC">
      <w:pPr>
        <w:pStyle w:val="NoSpacing"/>
        <w:rPr>
          <w:rFonts w:ascii="Arial Black" w:hAnsi="Arial Black"/>
          <w:bCs/>
          <w:sz w:val="28"/>
          <w:szCs w:val="28"/>
        </w:rPr>
      </w:pPr>
      <w:r w:rsidRPr="00D57EC3">
        <w:rPr>
          <w:rFonts w:ascii="Arial Black" w:hAnsi="Arial Black"/>
          <w:b/>
          <w:sz w:val="28"/>
          <w:szCs w:val="28"/>
        </w:rPr>
        <w:t>PA: ADMIN</w:t>
      </w:r>
      <w:r>
        <w:rPr>
          <w:rFonts w:ascii="Arial Black" w:hAnsi="Arial Black"/>
          <w:b/>
          <w:sz w:val="28"/>
          <w:szCs w:val="28"/>
        </w:rPr>
        <w:t xml:space="preserve">. </w:t>
      </w:r>
      <w:r w:rsidRPr="00D57EC3">
        <w:rPr>
          <w:rFonts w:ascii="Arial Black" w:hAnsi="Arial Black"/>
          <w:b/>
          <w:sz w:val="28"/>
          <w:szCs w:val="28"/>
        </w:rPr>
        <w:t xml:space="preserve">SEARCH WARRANT – SEWER </w:t>
      </w:r>
      <w:r>
        <w:rPr>
          <w:rFonts w:ascii="Arial Black" w:hAnsi="Arial Black"/>
          <w:b/>
          <w:sz w:val="28"/>
          <w:szCs w:val="28"/>
        </w:rPr>
        <w:t xml:space="preserve">GAS </w:t>
      </w:r>
      <w:r w:rsidRPr="00D57EC3">
        <w:rPr>
          <w:rFonts w:ascii="Arial Black" w:hAnsi="Arial Black"/>
          <w:b/>
          <w:sz w:val="28"/>
          <w:szCs w:val="28"/>
        </w:rPr>
        <w:t>HOME</w:t>
      </w:r>
    </w:p>
    <w:p w14:paraId="325E1D7A" w14:textId="77777777" w:rsidR="009312DC" w:rsidRDefault="009312DC" w:rsidP="009312DC">
      <w:pPr>
        <w:pStyle w:val="NoSpacing"/>
        <w:rPr>
          <w:b/>
        </w:rPr>
      </w:pPr>
    </w:p>
    <w:p w14:paraId="7B918FE1" w14:textId="1E86E811" w:rsidR="003C08FD" w:rsidRPr="003C08FD" w:rsidRDefault="003C08FD" w:rsidP="009312DC">
      <w:pPr>
        <w:pStyle w:val="NoSpacing"/>
        <w:rPr>
          <w:rFonts w:ascii="Times New Roman" w:hAnsi="Times New Roman"/>
          <w:sz w:val="24"/>
          <w:szCs w:val="24"/>
        </w:rPr>
      </w:pPr>
      <w:r w:rsidRPr="003C08FD">
        <w:rPr>
          <w:rFonts w:ascii="Times New Roman" w:hAnsi="Times New Roman"/>
          <w:sz w:val="24"/>
          <w:szCs w:val="24"/>
        </w:rPr>
        <w:t xml:space="preserve">On Dec. 17. 2024, in </w:t>
      </w:r>
      <w:r w:rsidRPr="003C08FD">
        <w:rPr>
          <w:rFonts w:ascii="Times New Roman" w:hAnsi="Times New Roman"/>
          <w:sz w:val="24"/>
          <w:szCs w:val="24"/>
          <w:u w:val="single"/>
        </w:rPr>
        <w:t>Karimu Hamilton v. Christopher B. Flannigan; Bryan Mawr Fire Company, et al</w:t>
      </w:r>
      <w:r w:rsidRPr="003C08FD">
        <w:rPr>
          <w:rFonts w:ascii="Times New Roman" w:hAnsi="Times New Roman"/>
          <w:sz w:val="24"/>
          <w:szCs w:val="24"/>
        </w:rPr>
        <w:t>., the United States Court of Appeals for the 3</w:t>
      </w:r>
      <w:r w:rsidRPr="003C08FD">
        <w:rPr>
          <w:rFonts w:ascii="Times New Roman" w:hAnsi="Times New Roman"/>
          <w:sz w:val="24"/>
          <w:szCs w:val="24"/>
          <w:vertAlign w:val="superscript"/>
        </w:rPr>
        <w:t>rd</w:t>
      </w:r>
      <w:r w:rsidRPr="003C08FD">
        <w:rPr>
          <w:rFonts w:ascii="Times New Roman" w:hAnsi="Times New Roman"/>
          <w:sz w:val="24"/>
          <w:szCs w:val="24"/>
        </w:rPr>
        <w:t xml:space="preserve"> Circuit (Philadelphia) held 3 to 0 (not precedential decision) that U.S. District Court judge for Eastern District of Pennsylvania properly dismissed the lawsuit against the firefighters and police officers who entered her home with her consent. </w:t>
      </w:r>
      <w:hyperlink r:id="rId99" w:history="1">
        <w:r w:rsidRPr="003C08FD">
          <w:rPr>
            <w:rStyle w:val="Hyperlink"/>
            <w:rFonts w:ascii="Times New Roman" w:hAnsi="Times New Roman"/>
            <w:sz w:val="24"/>
            <w:szCs w:val="24"/>
          </w:rPr>
          <w:t>https://cases.justia.com/federal/appellate-courts/ca3/24-1567/24-1567-2024-12-17.pdf?ts=1734458412</w:t>
        </w:r>
      </w:hyperlink>
    </w:p>
    <w:p w14:paraId="141C14BC" w14:textId="77777777" w:rsidR="003C08FD" w:rsidRDefault="003C08FD" w:rsidP="009312DC">
      <w:pPr>
        <w:pStyle w:val="NoSpacing"/>
        <w:rPr>
          <w:rFonts w:ascii="Times New Roman" w:hAnsi="Times New Roman"/>
          <w:sz w:val="24"/>
          <w:szCs w:val="24"/>
        </w:rPr>
      </w:pPr>
    </w:p>
    <w:p w14:paraId="5F9DA264" w14:textId="1A49966A" w:rsidR="009312DC" w:rsidRPr="009312DC" w:rsidRDefault="009312DC" w:rsidP="009312DC">
      <w:pPr>
        <w:pStyle w:val="NoSpacing"/>
        <w:rPr>
          <w:rFonts w:ascii="Times New Roman" w:hAnsi="Times New Roman"/>
          <w:bCs/>
          <w:sz w:val="24"/>
          <w:szCs w:val="24"/>
        </w:rPr>
      </w:pPr>
      <w:r w:rsidRPr="009312DC">
        <w:rPr>
          <w:rFonts w:ascii="Times New Roman" w:hAnsi="Times New Roman"/>
          <w:sz w:val="24"/>
          <w:szCs w:val="24"/>
        </w:rPr>
        <w:t>The 3</w:t>
      </w:r>
      <w:r w:rsidRPr="009312DC">
        <w:rPr>
          <w:rFonts w:ascii="Times New Roman" w:hAnsi="Times New Roman"/>
          <w:sz w:val="24"/>
          <w:szCs w:val="24"/>
          <w:vertAlign w:val="superscript"/>
        </w:rPr>
        <w:t>rd</w:t>
      </w:r>
      <w:r w:rsidRPr="009312DC">
        <w:rPr>
          <w:rFonts w:ascii="Times New Roman" w:hAnsi="Times New Roman"/>
          <w:sz w:val="24"/>
          <w:szCs w:val="24"/>
        </w:rPr>
        <w:t xml:space="preserve"> Circuit wrote:</w:t>
      </w:r>
    </w:p>
    <w:p w14:paraId="3D6BC4B3" w14:textId="77777777" w:rsidR="009312DC" w:rsidRPr="009312DC" w:rsidRDefault="009312DC" w:rsidP="009312DC">
      <w:pPr>
        <w:pStyle w:val="NoSpacing"/>
        <w:rPr>
          <w:rFonts w:ascii="Times New Roman" w:hAnsi="Times New Roman"/>
          <w:bCs/>
          <w:sz w:val="24"/>
          <w:szCs w:val="24"/>
        </w:rPr>
      </w:pPr>
    </w:p>
    <w:p w14:paraId="6A65CFDB" w14:textId="77777777" w:rsidR="009312DC" w:rsidRPr="009312DC" w:rsidRDefault="009312DC" w:rsidP="009312DC">
      <w:pPr>
        <w:pStyle w:val="NoSpacing"/>
        <w:ind w:firstLine="720"/>
        <w:rPr>
          <w:rFonts w:ascii="Times New Roman" w:hAnsi="Times New Roman"/>
          <w:bCs/>
          <w:sz w:val="24"/>
          <w:szCs w:val="24"/>
        </w:rPr>
      </w:pPr>
      <w:r w:rsidRPr="009312DC">
        <w:rPr>
          <w:rFonts w:ascii="Times New Roman" w:hAnsi="Times New Roman"/>
          <w:sz w:val="24"/>
          <w:szCs w:val="24"/>
        </w:rPr>
        <w:t>“She also has no Fourth Amendment claim against the firefighters or police officers. The</w:t>
      </w:r>
    </w:p>
    <w:p w14:paraId="5EE3F3AD" w14:textId="77777777" w:rsidR="009312DC" w:rsidRPr="009312DC" w:rsidRDefault="009312DC" w:rsidP="009312DC">
      <w:pPr>
        <w:pStyle w:val="NoSpacing"/>
        <w:ind w:firstLine="720"/>
        <w:rPr>
          <w:rFonts w:ascii="Times New Roman" w:hAnsi="Times New Roman"/>
          <w:bCs/>
          <w:sz w:val="24"/>
          <w:szCs w:val="24"/>
        </w:rPr>
      </w:pPr>
      <w:proofErr w:type="gramStart"/>
      <w:r w:rsidRPr="009312DC">
        <w:rPr>
          <w:rFonts w:ascii="Times New Roman" w:hAnsi="Times New Roman"/>
          <w:sz w:val="24"/>
          <w:szCs w:val="24"/>
        </w:rPr>
        <w:t>firefighters</w:t>
      </w:r>
      <w:proofErr w:type="gramEnd"/>
      <w:r w:rsidRPr="009312DC">
        <w:rPr>
          <w:rFonts w:ascii="Times New Roman" w:hAnsi="Times New Roman"/>
          <w:sz w:val="24"/>
          <w:szCs w:val="24"/>
        </w:rPr>
        <w:t xml:space="preserve"> entered Hamilton’s home only once, when she consented to their search. See</w:t>
      </w:r>
    </w:p>
    <w:p w14:paraId="6A081BFF" w14:textId="77777777" w:rsidR="009312DC" w:rsidRPr="009312DC" w:rsidRDefault="009312DC" w:rsidP="009312DC">
      <w:pPr>
        <w:pStyle w:val="NoSpacing"/>
        <w:ind w:firstLine="720"/>
        <w:rPr>
          <w:rFonts w:ascii="Times New Roman" w:hAnsi="Times New Roman"/>
          <w:bCs/>
          <w:sz w:val="24"/>
          <w:szCs w:val="24"/>
        </w:rPr>
      </w:pPr>
      <w:r w:rsidRPr="009312DC">
        <w:rPr>
          <w:rFonts w:ascii="Times New Roman" w:hAnsi="Times New Roman"/>
          <w:sz w:val="24"/>
          <w:szCs w:val="24"/>
        </w:rPr>
        <w:t>Schneckloth v. Bustamonte, 412 U.S. 218, 219 (1973). When they asked to enter again</w:t>
      </w:r>
    </w:p>
    <w:p w14:paraId="2E2E2465" w14:textId="268AFFB7" w:rsidR="004B0DC2" w:rsidRDefault="009312DC" w:rsidP="009312DC">
      <w:pPr>
        <w:pStyle w:val="NoSpacing"/>
        <w:ind w:left="720"/>
        <w:rPr>
          <w:rFonts w:ascii="Times New Roman" w:hAnsi="Times New Roman"/>
          <w:sz w:val="24"/>
          <w:szCs w:val="24"/>
        </w:rPr>
      </w:pPr>
      <w:proofErr w:type="gramStart"/>
      <w:r w:rsidRPr="009312DC">
        <w:rPr>
          <w:rFonts w:ascii="Times New Roman" w:hAnsi="Times New Roman"/>
          <w:sz w:val="24"/>
          <w:szCs w:val="24"/>
        </w:rPr>
        <w:t>another</w:t>
      </w:r>
      <w:proofErr w:type="gramEnd"/>
      <w:r w:rsidRPr="009312DC">
        <w:rPr>
          <w:rFonts w:ascii="Times New Roman" w:hAnsi="Times New Roman"/>
          <w:sz w:val="24"/>
          <w:szCs w:val="24"/>
        </w:rPr>
        <w:t xml:space="preserve"> time, she refused entry, so they never searched her house. Officer Patterson entered Hamilton’s house in response to the reported smell of gas. The District Court correctly held that qualified immunity shields Patterson because existing precedent does not “squarely govern[ ].” </w:t>
      </w:r>
    </w:p>
    <w:p w14:paraId="63A8977D" w14:textId="77777777" w:rsidR="00AC2AA9" w:rsidRDefault="00AC2AA9" w:rsidP="009312DC">
      <w:pPr>
        <w:pStyle w:val="NoSpacing"/>
        <w:ind w:left="720"/>
        <w:rPr>
          <w:rStyle w:val="Hyperlink"/>
          <w:rFonts w:ascii="Times New Roman" w:hAnsi="Times New Roman"/>
          <w:sz w:val="24"/>
          <w:szCs w:val="24"/>
        </w:rPr>
      </w:pPr>
    </w:p>
    <w:p w14:paraId="5F86E665" w14:textId="77777777" w:rsidR="004B0DC2" w:rsidRPr="004B0DC2" w:rsidRDefault="004B0DC2" w:rsidP="004B0DC2">
      <w:pPr>
        <w:pStyle w:val="NoSpacing"/>
        <w:rPr>
          <w:rFonts w:ascii="Times New Roman" w:hAnsi="Times New Roman"/>
          <w:bCs/>
          <w:sz w:val="24"/>
          <w:szCs w:val="24"/>
        </w:rPr>
      </w:pPr>
      <w:r w:rsidRPr="004B0DC2">
        <w:rPr>
          <w:rFonts w:ascii="Times New Roman" w:hAnsi="Times New Roman"/>
          <w:sz w:val="24"/>
          <w:szCs w:val="24"/>
        </w:rPr>
        <w:t>HOLDING:</w:t>
      </w:r>
    </w:p>
    <w:p w14:paraId="5541A414" w14:textId="77777777" w:rsidR="004B0DC2" w:rsidRPr="004B0DC2" w:rsidRDefault="004B0DC2" w:rsidP="004B0DC2">
      <w:pPr>
        <w:pStyle w:val="NoSpacing"/>
        <w:rPr>
          <w:rFonts w:ascii="Times New Roman" w:hAnsi="Times New Roman"/>
          <w:bCs/>
          <w:sz w:val="24"/>
          <w:szCs w:val="24"/>
        </w:rPr>
      </w:pPr>
    </w:p>
    <w:p w14:paraId="524088FA" w14:textId="77777777" w:rsidR="004B0DC2" w:rsidRPr="004B0DC2" w:rsidRDefault="004B0DC2" w:rsidP="004B0DC2">
      <w:pPr>
        <w:pStyle w:val="NoSpacing"/>
        <w:ind w:firstLine="720"/>
        <w:rPr>
          <w:rFonts w:ascii="Times New Roman" w:hAnsi="Times New Roman"/>
          <w:bCs/>
          <w:sz w:val="24"/>
          <w:szCs w:val="24"/>
        </w:rPr>
      </w:pPr>
      <w:r w:rsidRPr="004B0DC2">
        <w:rPr>
          <w:rFonts w:ascii="Times New Roman" w:hAnsi="Times New Roman"/>
          <w:sz w:val="24"/>
          <w:szCs w:val="24"/>
        </w:rPr>
        <w:t xml:space="preserve">“Hamilton also got due process. The town warned her of the plumbing problems </w:t>
      </w:r>
      <w:proofErr w:type="gramStart"/>
      <w:r w:rsidRPr="004B0DC2">
        <w:rPr>
          <w:rFonts w:ascii="Times New Roman" w:hAnsi="Times New Roman"/>
          <w:sz w:val="24"/>
          <w:szCs w:val="24"/>
        </w:rPr>
        <w:t>three</w:t>
      </w:r>
      <w:proofErr w:type="gramEnd"/>
    </w:p>
    <w:p w14:paraId="10D3C660" w14:textId="77777777" w:rsidR="004B0DC2" w:rsidRPr="004B0DC2" w:rsidRDefault="004B0DC2" w:rsidP="004B0DC2">
      <w:pPr>
        <w:pStyle w:val="NoSpacing"/>
        <w:ind w:firstLine="720"/>
        <w:rPr>
          <w:rFonts w:ascii="Times New Roman" w:hAnsi="Times New Roman"/>
          <w:bCs/>
          <w:sz w:val="24"/>
          <w:szCs w:val="24"/>
        </w:rPr>
      </w:pPr>
      <w:r w:rsidRPr="004B0DC2">
        <w:rPr>
          <w:rFonts w:ascii="Times New Roman" w:hAnsi="Times New Roman"/>
          <w:sz w:val="24"/>
          <w:szCs w:val="24"/>
        </w:rPr>
        <w:t>times starting in December 2018, almost seven months before she was evicted. She</w:t>
      </w:r>
    </w:p>
    <w:p w14:paraId="276E0567" w14:textId="77777777" w:rsidR="004B0DC2" w:rsidRPr="004B0DC2" w:rsidRDefault="004B0DC2" w:rsidP="004B0DC2">
      <w:pPr>
        <w:pStyle w:val="NoSpacing"/>
        <w:ind w:firstLine="720"/>
        <w:rPr>
          <w:rFonts w:ascii="Times New Roman" w:hAnsi="Times New Roman"/>
          <w:bCs/>
          <w:sz w:val="24"/>
          <w:szCs w:val="24"/>
        </w:rPr>
      </w:pPr>
      <w:r w:rsidRPr="004B0DC2">
        <w:rPr>
          <w:rFonts w:ascii="Times New Roman" w:hAnsi="Times New Roman"/>
          <w:sz w:val="24"/>
          <w:szCs w:val="24"/>
        </w:rPr>
        <w:t>challenges the June administrative search warrant, arguing that there was no cyanide gas</w:t>
      </w:r>
    </w:p>
    <w:p w14:paraId="42D2008F" w14:textId="77777777" w:rsidR="004B0DC2" w:rsidRPr="004B0DC2" w:rsidRDefault="004B0DC2" w:rsidP="004B0DC2">
      <w:pPr>
        <w:pStyle w:val="NoSpacing"/>
        <w:ind w:firstLine="720"/>
        <w:rPr>
          <w:rFonts w:ascii="Times New Roman" w:hAnsi="Times New Roman"/>
          <w:bCs/>
          <w:sz w:val="24"/>
          <w:szCs w:val="24"/>
        </w:rPr>
      </w:pPr>
      <w:r w:rsidRPr="004B0DC2">
        <w:rPr>
          <w:rFonts w:ascii="Times New Roman" w:hAnsi="Times New Roman"/>
          <w:sz w:val="24"/>
          <w:szCs w:val="24"/>
        </w:rPr>
        <w:t>or sewage and that her house was habitable. But she offers no evidence that the affidavit</w:t>
      </w:r>
    </w:p>
    <w:p w14:paraId="0D6C3403" w14:textId="77777777" w:rsidR="004B0DC2" w:rsidRPr="004B0DC2" w:rsidRDefault="004B0DC2" w:rsidP="004B0DC2">
      <w:pPr>
        <w:pStyle w:val="NoSpacing"/>
        <w:ind w:firstLine="720"/>
        <w:rPr>
          <w:rFonts w:ascii="Times New Roman" w:hAnsi="Times New Roman"/>
          <w:bCs/>
          <w:sz w:val="24"/>
          <w:szCs w:val="24"/>
        </w:rPr>
      </w:pPr>
      <w:proofErr w:type="gramStart"/>
      <w:r w:rsidRPr="004B0DC2">
        <w:rPr>
          <w:rFonts w:ascii="Times New Roman" w:hAnsi="Times New Roman"/>
          <w:sz w:val="24"/>
          <w:szCs w:val="24"/>
        </w:rPr>
        <w:t>supporting</w:t>
      </w:r>
      <w:proofErr w:type="gramEnd"/>
      <w:r w:rsidRPr="004B0DC2">
        <w:rPr>
          <w:rFonts w:ascii="Times New Roman" w:hAnsi="Times New Roman"/>
          <w:sz w:val="24"/>
          <w:szCs w:val="24"/>
        </w:rPr>
        <w:t xml:space="preserve"> the warrant was untruthful or that officers had reason to doubt it. And she cites</w:t>
      </w:r>
    </w:p>
    <w:p w14:paraId="0B140433" w14:textId="77777777" w:rsidR="004B0DC2" w:rsidRPr="004B0DC2" w:rsidRDefault="004B0DC2" w:rsidP="004B0DC2">
      <w:pPr>
        <w:pStyle w:val="NoSpacing"/>
        <w:ind w:left="720"/>
        <w:rPr>
          <w:rFonts w:ascii="Times New Roman" w:hAnsi="Times New Roman"/>
          <w:bCs/>
          <w:sz w:val="24"/>
          <w:szCs w:val="24"/>
        </w:rPr>
      </w:pPr>
      <w:r w:rsidRPr="004B0DC2">
        <w:rPr>
          <w:rFonts w:ascii="Times New Roman" w:hAnsi="Times New Roman"/>
          <w:sz w:val="24"/>
          <w:szCs w:val="24"/>
        </w:rPr>
        <w:t>no authority requiring police to have personal knowledge of or verify the underlying facts.”</w:t>
      </w:r>
    </w:p>
    <w:p w14:paraId="19F1D958" w14:textId="77777777" w:rsidR="004B0DC2" w:rsidRPr="004B0DC2" w:rsidRDefault="004B0DC2" w:rsidP="004B0DC2">
      <w:pPr>
        <w:pStyle w:val="NoSpacing"/>
        <w:rPr>
          <w:rFonts w:ascii="Times New Roman" w:hAnsi="Times New Roman"/>
          <w:bCs/>
          <w:sz w:val="24"/>
          <w:szCs w:val="24"/>
        </w:rPr>
      </w:pPr>
    </w:p>
    <w:p w14:paraId="6E2BBD03" w14:textId="77777777" w:rsidR="004B0DC2" w:rsidRPr="004B0DC2" w:rsidRDefault="004B0DC2" w:rsidP="004B0DC2">
      <w:pPr>
        <w:pStyle w:val="NoSpacing"/>
        <w:rPr>
          <w:rFonts w:ascii="Times New Roman" w:hAnsi="Times New Roman"/>
          <w:b/>
          <w:sz w:val="24"/>
          <w:szCs w:val="24"/>
        </w:rPr>
      </w:pPr>
      <w:r w:rsidRPr="004B0DC2">
        <w:rPr>
          <w:rFonts w:ascii="Times New Roman" w:hAnsi="Times New Roman"/>
          <w:b/>
          <w:sz w:val="24"/>
          <w:szCs w:val="24"/>
        </w:rPr>
        <w:t>Legal Lesson Learned:  The 3</w:t>
      </w:r>
      <w:r w:rsidRPr="004B0DC2">
        <w:rPr>
          <w:rFonts w:ascii="Times New Roman" w:hAnsi="Times New Roman"/>
          <w:b/>
          <w:sz w:val="24"/>
          <w:szCs w:val="24"/>
          <w:vertAlign w:val="superscript"/>
        </w:rPr>
        <w:t>rd</w:t>
      </w:r>
      <w:r w:rsidRPr="004B0DC2">
        <w:rPr>
          <w:rFonts w:ascii="Times New Roman" w:hAnsi="Times New Roman"/>
          <w:b/>
          <w:sz w:val="24"/>
          <w:szCs w:val="24"/>
        </w:rPr>
        <w:t xml:space="preserve"> Circuit decision started with following: “Like good fences, good sewage systems make good neighbors.”  </w:t>
      </w:r>
    </w:p>
    <w:p w14:paraId="1EFF1733" w14:textId="77777777" w:rsidR="004B0DC2" w:rsidRDefault="004B0DC2" w:rsidP="004B0DC2">
      <w:pPr>
        <w:pStyle w:val="NoSpacing"/>
        <w:rPr>
          <w:b/>
        </w:rPr>
      </w:pPr>
    </w:p>
    <w:p w14:paraId="482C1DFA" w14:textId="77777777" w:rsidR="004B0DC2" w:rsidRPr="009312DC" w:rsidRDefault="004B0DC2" w:rsidP="009312DC">
      <w:pPr>
        <w:pStyle w:val="NoSpacing"/>
        <w:ind w:left="720"/>
        <w:rPr>
          <w:rFonts w:ascii="Times New Roman" w:hAnsi="Times New Roman"/>
          <w:sz w:val="24"/>
          <w:szCs w:val="24"/>
        </w:rPr>
      </w:pPr>
    </w:p>
    <w:p w14:paraId="4765280F" w14:textId="77777777" w:rsidR="002F5070" w:rsidRPr="009312DC" w:rsidRDefault="002F5070" w:rsidP="00B86628">
      <w:pPr>
        <w:pStyle w:val="NoSpacing"/>
        <w:rPr>
          <w:rFonts w:ascii="Times New Roman" w:hAnsi="Times New Roman"/>
          <w:sz w:val="24"/>
          <w:szCs w:val="24"/>
        </w:rPr>
      </w:pPr>
    </w:p>
    <w:p w14:paraId="432FDAB1" w14:textId="044986F3" w:rsidR="002F5070" w:rsidRPr="00956699" w:rsidRDefault="004B0DC2" w:rsidP="00B86628">
      <w:pPr>
        <w:pStyle w:val="NoSpacing"/>
        <w:rPr>
          <w:rFonts w:ascii="Arial Black" w:hAnsi="Arial Black"/>
          <w:sz w:val="28"/>
          <w:szCs w:val="28"/>
        </w:rPr>
      </w:pPr>
      <w:r w:rsidRPr="00956699">
        <w:rPr>
          <w:rFonts w:ascii="Arial Black" w:hAnsi="Arial Black"/>
          <w:sz w:val="28"/>
          <w:szCs w:val="28"/>
        </w:rPr>
        <w:lastRenderedPageBreak/>
        <w:t>1-16</w:t>
      </w:r>
      <w:r w:rsidR="00F755DB" w:rsidRPr="00956699">
        <w:rPr>
          <w:rFonts w:ascii="Arial Black" w:hAnsi="Arial Black"/>
          <w:sz w:val="28"/>
          <w:szCs w:val="28"/>
        </w:rPr>
        <w:t>9</w:t>
      </w:r>
    </w:p>
    <w:p w14:paraId="34CB414A" w14:textId="77777777" w:rsidR="004B0DC2" w:rsidRDefault="004B0DC2" w:rsidP="00B86628">
      <w:pPr>
        <w:pStyle w:val="NoSpacing"/>
        <w:rPr>
          <w:rFonts w:ascii="Arial Black" w:hAnsi="Arial Black"/>
          <w:sz w:val="24"/>
          <w:szCs w:val="24"/>
        </w:rPr>
      </w:pPr>
    </w:p>
    <w:p w14:paraId="54DA3E1E" w14:textId="77777777" w:rsidR="0060296F" w:rsidRPr="007C467A" w:rsidRDefault="0060296F" w:rsidP="0060296F">
      <w:pPr>
        <w:pStyle w:val="NoSpacing"/>
        <w:rPr>
          <w:rFonts w:ascii="Arial Black" w:hAnsi="Arial Black"/>
          <w:b/>
          <w:sz w:val="28"/>
          <w:szCs w:val="28"/>
        </w:rPr>
      </w:pPr>
      <w:r>
        <w:rPr>
          <w:rFonts w:ascii="Arial Black" w:hAnsi="Arial Black"/>
          <w:b/>
          <w:sz w:val="28"/>
          <w:szCs w:val="28"/>
        </w:rPr>
        <w:t>WA: REMOVAL HOMELESS – PERSONAL PROPERTY</w:t>
      </w:r>
    </w:p>
    <w:p w14:paraId="538DE1F5" w14:textId="77777777" w:rsidR="0060296F" w:rsidRDefault="0060296F" w:rsidP="0060296F">
      <w:pPr>
        <w:pStyle w:val="NoSpacing"/>
        <w:rPr>
          <w:bCs/>
        </w:rPr>
      </w:pPr>
    </w:p>
    <w:p w14:paraId="4D9A54CA" w14:textId="360124E3" w:rsidR="00FE3665" w:rsidRPr="00FE3665" w:rsidRDefault="00FE3665" w:rsidP="0060296F">
      <w:pPr>
        <w:pStyle w:val="NoSpacing"/>
        <w:rPr>
          <w:rFonts w:ascii="Times New Roman" w:hAnsi="Times New Roman"/>
          <w:sz w:val="24"/>
          <w:szCs w:val="24"/>
        </w:rPr>
      </w:pPr>
      <w:r w:rsidRPr="00FE3665">
        <w:rPr>
          <w:sz w:val="24"/>
          <w:szCs w:val="24"/>
        </w:rPr>
        <w:t xml:space="preserve">On Dec. 9, 2024, in </w:t>
      </w:r>
      <w:r w:rsidRPr="00FE3665">
        <w:rPr>
          <w:sz w:val="24"/>
          <w:szCs w:val="24"/>
          <w:u w:val="single"/>
        </w:rPr>
        <w:t>Bobby Kitcheon, Candance Ream, et al.  v. City of Seattle</w:t>
      </w:r>
      <w:r w:rsidRPr="00FE3665">
        <w:rPr>
          <w:sz w:val="24"/>
          <w:szCs w:val="24"/>
        </w:rPr>
        <w:t>, the</w:t>
      </w:r>
      <w:r w:rsidRPr="00FE3665">
        <w:rPr>
          <w:sz w:val="24"/>
          <w:szCs w:val="24"/>
          <w:u w:val="single"/>
        </w:rPr>
        <w:t xml:space="preserve"> </w:t>
      </w:r>
      <w:r w:rsidRPr="00FE3665">
        <w:rPr>
          <w:sz w:val="24"/>
          <w:szCs w:val="24"/>
        </w:rPr>
        <w:t xml:space="preserve">Court of Appeals, Division 1, State of Washington, held (3 to 0) that the city ordinance allowing destruction of property of homeless on city property, without prior notice, must be revised. </w:t>
      </w:r>
      <w:hyperlink r:id="rId100" w:history="1">
        <w:r w:rsidRPr="00FE3665">
          <w:rPr>
            <w:rStyle w:val="Hyperlink"/>
            <w:sz w:val="24"/>
            <w:szCs w:val="24"/>
          </w:rPr>
          <w:t>https://www.courts.wa.gov/opinions/pdf/855832.pdf</w:t>
        </w:r>
      </w:hyperlink>
    </w:p>
    <w:p w14:paraId="3EC3E066" w14:textId="77777777" w:rsidR="00FE3665" w:rsidRDefault="00FE3665" w:rsidP="0060296F">
      <w:pPr>
        <w:pStyle w:val="NoSpacing"/>
        <w:rPr>
          <w:rFonts w:ascii="Times New Roman" w:hAnsi="Times New Roman"/>
          <w:sz w:val="24"/>
          <w:szCs w:val="24"/>
        </w:rPr>
      </w:pPr>
    </w:p>
    <w:p w14:paraId="1380C192" w14:textId="7F6AC992" w:rsidR="0060296F" w:rsidRPr="0060296F" w:rsidRDefault="0060296F" w:rsidP="0060296F">
      <w:pPr>
        <w:pStyle w:val="NoSpacing"/>
        <w:rPr>
          <w:rFonts w:ascii="Times New Roman" w:hAnsi="Times New Roman"/>
          <w:bCs/>
          <w:sz w:val="24"/>
          <w:szCs w:val="24"/>
        </w:rPr>
      </w:pPr>
      <w:r w:rsidRPr="0060296F">
        <w:rPr>
          <w:rFonts w:ascii="Times New Roman" w:hAnsi="Times New Roman"/>
          <w:sz w:val="24"/>
          <w:szCs w:val="24"/>
        </w:rPr>
        <w:t>The Court wrote:</w:t>
      </w:r>
    </w:p>
    <w:p w14:paraId="4D8EB603" w14:textId="77777777" w:rsidR="0060296F" w:rsidRPr="0060296F" w:rsidRDefault="0060296F" w:rsidP="0060296F">
      <w:pPr>
        <w:pStyle w:val="NoSpacing"/>
        <w:rPr>
          <w:rFonts w:ascii="Times New Roman" w:hAnsi="Times New Roman"/>
          <w:bCs/>
          <w:sz w:val="24"/>
          <w:szCs w:val="24"/>
        </w:rPr>
      </w:pPr>
    </w:p>
    <w:p w14:paraId="76E95EDD" w14:textId="77777777" w:rsidR="0060296F" w:rsidRPr="0060296F" w:rsidRDefault="0060296F" w:rsidP="0060296F">
      <w:pPr>
        <w:pStyle w:val="NoSpacing"/>
        <w:ind w:left="720"/>
        <w:rPr>
          <w:rFonts w:ascii="Times New Roman" w:hAnsi="Times New Roman"/>
          <w:bCs/>
          <w:sz w:val="24"/>
          <w:szCs w:val="24"/>
        </w:rPr>
      </w:pPr>
      <w:r w:rsidRPr="0060296F">
        <w:rPr>
          <w:rFonts w:ascii="Times New Roman" w:hAnsi="Times New Roman"/>
          <w:sz w:val="24"/>
          <w:szCs w:val="24"/>
        </w:rPr>
        <w:t>“Applying a rational basis review, we hold that the City’s in-a-park category within FAS 17-01, section 3.4 allows the indiscriminate and standardless removal of such obstructions and is not carefully tailored to meet a legitimate governmental goal. Accordingly, section 3.4 is facially unconstitutional under article I, section 7 of the Washington State Constitution.</w:t>
      </w:r>
    </w:p>
    <w:p w14:paraId="71E932F4" w14:textId="77777777" w:rsidR="0060296F" w:rsidRPr="0060296F" w:rsidRDefault="0060296F" w:rsidP="0060296F">
      <w:pPr>
        <w:pStyle w:val="NoSpacing"/>
        <w:ind w:left="720"/>
        <w:rPr>
          <w:rFonts w:ascii="Times New Roman" w:hAnsi="Times New Roman"/>
          <w:bCs/>
          <w:sz w:val="24"/>
          <w:szCs w:val="24"/>
        </w:rPr>
      </w:pPr>
    </w:p>
    <w:p w14:paraId="1A549F6C" w14:textId="77777777" w:rsidR="0060296F" w:rsidRPr="0060296F" w:rsidRDefault="0060296F" w:rsidP="0060296F">
      <w:pPr>
        <w:pStyle w:val="NoSpacing"/>
        <w:ind w:left="720"/>
        <w:rPr>
          <w:rFonts w:ascii="Times New Roman" w:hAnsi="Times New Roman"/>
          <w:bCs/>
          <w:sz w:val="24"/>
          <w:szCs w:val="24"/>
        </w:rPr>
      </w:pPr>
      <w:r w:rsidRPr="0060296F">
        <w:rPr>
          <w:rFonts w:ascii="Times New Roman" w:hAnsi="Times New Roman"/>
          <w:sz w:val="24"/>
          <w:szCs w:val="24"/>
        </w:rPr>
        <w:t>***</w:t>
      </w:r>
    </w:p>
    <w:p w14:paraId="3B74B18D" w14:textId="77777777" w:rsidR="0060296F" w:rsidRPr="0060296F" w:rsidRDefault="0060296F" w:rsidP="0060296F">
      <w:pPr>
        <w:pStyle w:val="NoSpacing"/>
        <w:rPr>
          <w:rFonts w:ascii="Times New Roman" w:hAnsi="Times New Roman"/>
          <w:bCs/>
          <w:sz w:val="24"/>
          <w:szCs w:val="24"/>
        </w:rPr>
      </w:pPr>
    </w:p>
    <w:p w14:paraId="06CC345C" w14:textId="7BB4EABC" w:rsidR="0060296F" w:rsidRPr="0060296F" w:rsidRDefault="0060296F" w:rsidP="0060296F">
      <w:pPr>
        <w:pStyle w:val="NoSpacing"/>
        <w:ind w:left="720"/>
        <w:rPr>
          <w:rFonts w:ascii="Times New Roman" w:hAnsi="Times New Roman"/>
          <w:bCs/>
          <w:sz w:val="24"/>
          <w:szCs w:val="24"/>
        </w:rPr>
      </w:pPr>
      <w:r w:rsidRPr="0060296F">
        <w:rPr>
          <w:rFonts w:ascii="Times New Roman" w:hAnsi="Times New Roman"/>
          <w:sz w:val="24"/>
          <w:szCs w:val="24"/>
        </w:rPr>
        <w:t xml:space="preserve">On its face, the rules do not bind the in-a-park category with minimum requirements or standards that connect those obstructions to health and safety concerns. To restate the challenged provision, the in-a-park category allows the City to immediately remove ‘people, tents, personal property, garbage, debris or other objects related to an encampment’ merely because the encampment exists ‘in a </w:t>
      </w:r>
      <w:proofErr w:type="gramStart"/>
      <w:r w:rsidRPr="0060296F">
        <w:rPr>
          <w:rFonts w:ascii="Times New Roman" w:hAnsi="Times New Roman"/>
          <w:sz w:val="24"/>
          <w:szCs w:val="24"/>
        </w:rPr>
        <w:t>City</w:t>
      </w:r>
      <w:proofErr w:type="gramEnd"/>
      <w:r w:rsidRPr="0060296F">
        <w:rPr>
          <w:rFonts w:ascii="Times New Roman" w:hAnsi="Times New Roman"/>
          <w:sz w:val="24"/>
          <w:szCs w:val="24"/>
        </w:rPr>
        <w:t xml:space="preserve"> park or on a public sidewalk.” </w:t>
      </w:r>
    </w:p>
    <w:p w14:paraId="55A1E76F" w14:textId="77777777" w:rsidR="00AC2AA9" w:rsidRDefault="00AC2AA9" w:rsidP="0039158C">
      <w:pPr>
        <w:pStyle w:val="NoSpacing"/>
        <w:rPr>
          <w:rFonts w:ascii="Times New Roman" w:hAnsi="Times New Roman"/>
          <w:sz w:val="24"/>
          <w:szCs w:val="24"/>
        </w:rPr>
      </w:pPr>
    </w:p>
    <w:p w14:paraId="53C7D542" w14:textId="65890C18" w:rsidR="0039158C" w:rsidRPr="0039158C" w:rsidRDefault="0039158C" w:rsidP="0039158C">
      <w:pPr>
        <w:pStyle w:val="NoSpacing"/>
        <w:rPr>
          <w:rFonts w:ascii="Times New Roman" w:hAnsi="Times New Roman"/>
          <w:bCs/>
          <w:sz w:val="24"/>
          <w:szCs w:val="24"/>
        </w:rPr>
      </w:pPr>
      <w:r w:rsidRPr="0039158C">
        <w:rPr>
          <w:rFonts w:ascii="Times New Roman" w:hAnsi="Times New Roman"/>
          <w:sz w:val="24"/>
          <w:szCs w:val="24"/>
        </w:rPr>
        <w:t>HOLDING:</w:t>
      </w:r>
    </w:p>
    <w:p w14:paraId="344D367E" w14:textId="77777777" w:rsidR="0039158C" w:rsidRPr="0039158C" w:rsidRDefault="0039158C" w:rsidP="0039158C">
      <w:pPr>
        <w:pStyle w:val="NoSpacing"/>
        <w:rPr>
          <w:rFonts w:ascii="Times New Roman" w:hAnsi="Times New Roman"/>
          <w:b/>
          <w:sz w:val="24"/>
          <w:szCs w:val="24"/>
        </w:rPr>
      </w:pPr>
    </w:p>
    <w:p w14:paraId="113060BC" w14:textId="77777777" w:rsidR="0039158C" w:rsidRPr="0039158C" w:rsidRDefault="0039158C" w:rsidP="0039158C">
      <w:pPr>
        <w:pStyle w:val="NoSpacing"/>
        <w:ind w:left="720"/>
        <w:rPr>
          <w:rFonts w:ascii="Times New Roman" w:hAnsi="Times New Roman"/>
          <w:bCs/>
          <w:sz w:val="24"/>
          <w:szCs w:val="24"/>
        </w:rPr>
      </w:pPr>
      <w:r w:rsidRPr="0039158C">
        <w:rPr>
          <w:rFonts w:ascii="Times New Roman" w:hAnsi="Times New Roman"/>
          <w:sz w:val="24"/>
          <w:szCs w:val="24"/>
        </w:rPr>
        <w:t xml:space="preserve">“We recognize that having one’s belongings and temporary home removed without notice may feel punishing, but that does not equate to criminal punishment as contemplated under article I, section 14. Accordingly, we reverse the trial court’s order concluding that the </w:t>
      </w:r>
      <w:proofErr w:type="gramStart"/>
      <w:r w:rsidRPr="0039158C">
        <w:rPr>
          <w:rFonts w:ascii="Times New Roman" w:hAnsi="Times New Roman"/>
          <w:sz w:val="24"/>
          <w:szCs w:val="24"/>
        </w:rPr>
        <w:t>in-a-park</w:t>
      </w:r>
      <w:proofErr w:type="gramEnd"/>
      <w:r w:rsidRPr="0039158C">
        <w:rPr>
          <w:rFonts w:ascii="Times New Roman" w:hAnsi="Times New Roman"/>
          <w:sz w:val="24"/>
          <w:szCs w:val="24"/>
        </w:rPr>
        <w:t xml:space="preserve"> category is facially unconstitutional under article I, section 14.</w:t>
      </w:r>
    </w:p>
    <w:p w14:paraId="07FBC16D" w14:textId="77777777" w:rsidR="0039158C" w:rsidRPr="0039158C" w:rsidRDefault="0039158C" w:rsidP="0039158C">
      <w:pPr>
        <w:pStyle w:val="NoSpacing"/>
        <w:ind w:left="720"/>
        <w:rPr>
          <w:rFonts w:ascii="Times New Roman" w:hAnsi="Times New Roman"/>
          <w:bCs/>
          <w:sz w:val="24"/>
          <w:szCs w:val="24"/>
        </w:rPr>
      </w:pPr>
    </w:p>
    <w:p w14:paraId="60381DC1" w14:textId="77777777" w:rsidR="0039158C" w:rsidRPr="0039158C" w:rsidRDefault="0039158C" w:rsidP="0039158C">
      <w:pPr>
        <w:pStyle w:val="NoSpacing"/>
        <w:ind w:left="720"/>
        <w:rPr>
          <w:rFonts w:ascii="Times New Roman" w:hAnsi="Times New Roman"/>
          <w:bCs/>
          <w:sz w:val="24"/>
          <w:szCs w:val="24"/>
        </w:rPr>
      </w:pPr>
      <w:r w:rsidRPr="0039158C">
        <w:rPr>
          <w:rFonts w:ascii="Times New Roman" w:hAnsi="Times New Roman"/>
          <w:sz w:val="24"/>
          <w:szCs w:val="24"/>
        </w:rPr>
        <w:t>***</w:t>
      </w:r>
    </w:p>
    <w:p w14:paraId="63DA66ED" w14:textId="77777777" w:rsidR="0039158C" w:rsidRPr="0039158C" w:rsidRDefault="0039158C" w:rsidP="0039158C">
      <w:pPr>
        <w:pStyle w:val="NoSpacing"/>
        <w:ind w:firstLine="720"/>
        <w:rPr>
          <w:rFonts w:ascii="Times New Roman" w:hAnsi="Times New Roman"/>
          <w:bCs/>
          <w:sz w:val="24"/>
          <w:szCs w:val="24"/>
        </w:rPr>
      </w:pPr>
    </w:p>
    <w:p w14:paraId="4CAB8EEE" w14:textId="77777777" w:rsidR="0039158C" w:rsidRPr="0039158C" w:rsidRDefault="0039158C" w:rsidP="0039158C">
      <w:pPr>
        <w:pStyle w:val="NoSpacing"/>
        <w:ind w:firstLine="720"/>
        <w:rPr>
          <w:rFonts w:ascii="Times New Roman" w:hAnsi="Times New Roman"/>
          <w:bCs/>
          <w:sz w:val="24"/>
          <w:szCs w:val="24"/>
        </w:rPr>
      </w:pPr>
      <w:r w:rsidRPr="0039158C">
        <w:rPr>
          <w:rFonts w:ascii="Times New Roman" w:hAnsi="Times New Roman"/>
          <w:sz w:val="24"/>
          <w:szCs w:val="24"/>
        </w:rPr>
        <w:t xml:space="preserve">We affirm in part, reverse in part, and remand for further proceedings.” </w:t>
      </w:r>
    </w:p>
    <w:p w14:paraId="6C970B76" w14:textId="77777777" w:rsidR="0039158C" w:rsidRPr="0039158C" w:rsidRDefault="0039158C" w:rsidP="0039158C">
      <w:pPr>
        <w:pStyle w:val="NoSpacing"/>
        <w:ind w:firstLine="720"/>
        <w:rPr>
          <w:rFonts w:ascii="Times New Roman" w:hAnsi="Times New Roman"/>
          <w:bCs/>
          <w:sz w:val="24"/>
          <w:szCs w:val="24"/>
        </w:rPr>
      </w:pPr>
    </w:p>
    <w:p w14:paraId="799FA73F" w14:textId="77777777" w:rsidR="0039158C" w:rsidRPr="0039158C" w:rsidRDefault="0039158C" w:rsidP="0039158C">
      <w:pPr>
        <w:pStyle w:val="NoSpacing"/>
        <w:rPr>
          <w:rFonts w:ascii="Times New Roman" w:hAnsi="Times New Roman"/>
          <w:b/>
          <w:sz w:val="24"/>
          <w:szCs w:val="24"/>
        </w:rPr>
      </w:pPr>
      <w:r w:rsidRPr="0039158C">
        <w:rPr>
          <w:rFonts w:ascii="Times New Roman" w:hAnsi="Times New Roman"/>
          <w:b/>
          <w:sz w:val="24"/>
          <w:szCs w:val="24"/>
        </w:rPr>
        <w:t>Legal Lesson Learned: When drafting homeless removal ordinance, consider including a pro vision requiring notice be provided at least one day prior to removal of personal property.</w:t>
      </w:r>
    </w:p>
    <w:p w14:paraId="7CE025FA" w14:textId="77777777" w:rsidR="0039158C" w:rsidRPr="0039158C" w:rsidRDefault="0039158C" w:rsidP="0039158C">
      <w:pPr>
        <w:pStyle w:val="NoSpacing"/>
        <w:ind w:firstLine="720"/>
        <w:rPr>
          <w:rFonts w:ascii="Times New Roman" w:hAnsi="Times New Roman"/>
          <w:bCs/>
          <w:sz w:val="24"/>
          <w:szCs w:val="24"/>
        </w:rPr>
      </w:pPr>
    </w:p>
    <w:p w14:paraId="02BFFBDD" w14:textId="77777777" w:rsidR="004B0DC2" w:rsidRDefault="004B0DC2" w:rsidP="00B86628">
      <w:pPr>
        <w:pStyle w:val="NoSpacing"/>
        <w:rPr>
          <w:rFonts w:ascii="Arial Black" w:hAnsi="Arial Black"/>
          <w:sz w:val="24"/>
          <w:szCs w:val="24"/>
        </w:rPr>
      </w:pPr>
    </w:p>
    <w:p w14:paraId="3BA7CACC" w14:textId="695E060F" w:rsidR="004B0DC2" w:rsidRDefault="0039158C" w:rsidP="00B86628">
      <w:pPr>
        <w:pStyle w:val="NoSpacing"/>
        <w:rPr>
          <w:rFonts w:ascii="Arial Black" w:hAnsi="Arial Black"/>
          <w:sz w:val="24"/>
          <w:szCs w:val="24"/>
        </w:rPr>
      </w:pPr>
      <w:r>
        <w:rPr>
          <w:rFonts w:ascii="Arial Black" w:hAnsi="Arial Black"/>
          <w:sz w:val="24"/>
          <w:szCs w:val="24"/>
        </w:rPr>
        <w:t>1-168</w:t>
      </w:r>
    </w:p>
    <w:p w14:paraId="4EA15B80" w14:textId="77777777" w:rsidR="0039158C" w:rsidRDefault="0039158C" w:rsidP="00B86628">
      <w:pPr>
        <w:pStyle w:val="NoSpacing"/>
        <w:rPr>
          <w:rFonts w:ascii="Arial Black" w:hAnsi="Arial Black"/>
          <w:sz w:val="24"/>
          <w:szCs w:val="24"/>
        </w:rPr>
      </w:pPr>
    </w:p>
    <w:p w14:paraId="4C3BDD20" w14:textId="77777777" w:rsidR="006E7CA0" w:rsidRDefault="006E7CA0" w:rsidP="006E7CA0">
      <w:pPr>
        <w:pStyle w:val="NoSpacing"/>
        <w:rPr>
          <w:rFonts w:ascii="Arial Black" w:hAnsi="Arial Black"/>
          <w:b/>
          <w:sz w:val="28"/>
          <w:szCs w:val="28"/>
        </w:rPr>
      </w:pPr>
      <w:r>
        <w:rPr>
          <w:rFonts w:ascii="Arial Black" w:hAnsi="Arial Black"/>
          <w:b/>
          <w:sz w:val="28"/>
          <w:szCs w:val="28"/>
        </w:rPr>
        <w:t>KY: VOL. FFs ARSON – CHURCH – NOT FEDERAL CASE</w:t>
      </w:r>
    </w:p>
    <w:p w14:paraId="487505EE" w14:textId="77777777" w:rsidR="001A3D7F" w:rsidRDefault="001A3D7F" w:rsidP="00905074">
      <w:pPr>
        <w:rPr>
          <w:rFonts w:ascii="Times New Roman" w:hAnsi="Times New Roman"/>
          <w:sz w:val="24"/>
          <w:szCs w:val="24"/>
        </w:rPr>
      </w:pPr>
    </w:p>
    <w:p w14:paraId="434835AC" w14:textId="47CAC1AE" w:rsidR="00905074" w:rsidRPr="00905074" w:rsidRDefault="00905074" w:rsidP="00905074">
      <w:pPr>
        <w:rPr>
          <w:rStyle w:val="Hyperlink"/>
          <w:rFonts w:ascii="Times New Roman" w:hAnsi="Times New Roman"/>
          <w:bCs/>
          <w:sz w:val="24"/>
          <w:szCs w:val="24"/>
        </w:rPr>
      </w:pPr>
      <w:r w:rsidRPr="00905074">
        <w:rPr>
          <w:rFonts w:ascii="Times New Roman" w:hAnsi="Times New Roman"/>
          <w:sz w:val="24"/>
          <w:szCs w:val="24"/>
        </w:rPr>
        <w:t xml:space="preserve">On Dec. 3, 2024, in </w:t>
      </w:r>
      <w:r w:rsidRPr="00905074">
        <w:rPr>
          <w:rFonts w:ascii="Times New Roman" w:hAnsi="Times New Roman"/>
          <w:sz w:val="24"/>
          <w:szCs w:val="24"/>
          <w:u w:val="single"/>
        </w:rPr>
        <w:t>United States of America v. Brendan J. Gibson and Robert J. Hughes</w:t>
      </w:r>
      <w:r w:rsidRPr="00905074">
        <w:rPr>
          <w:rFonts w:ascii="Times New Roman" w:hAnsi="Times New Roman"/>
          <w:sz w:val="24"/>
          <w:szCs w:val="24"/>
        </w:rPr>
        <w:t xml:space="preserve">, United States District Court Judge David L. Bunning, U.S. District Court for the Eastern District of Kentucky, granted the defendant’s motion to dismiss the federal indictment because the church building located at 10950 Dixie Highway, Corinth, KY is not used in interstate commerce,  nor used in any activity affecting interstate commerce. </w:t>
      </w:r>
      <w:hyperlink r:id="rId101" w:history="1">
        <w:r w:rsidRPr="00905074">
          <w:rPr>
            <w:rStyle w:val="Hyperlink"/>
            <w:rFonts w:ascii="Times New Roman" w:hAnsi="Times New Roman"/>
            <w:sz w:val="24"/>
            <w:szCs w:val="24"/>
          </w:rPr>
          <w:t>https://casetext.com/case/united-states-v-gibson-453</w:t>
        </w:r>
      </w:hyperlink>
      <w:r w:rsidRPr="00905074">
        <w:rPr>
          <w:rStyle w:val="Hyperlink"/>
          <w:rFonts w:ascii="Times New Roman" w:hAnsi="Times New Roman"/>
          <w:sz w:val="24"/>
          <w:szCs w:val="24"/>
        </w:rPr>
        <w:t xml:space="preserve"> </w:t>
      </w:r>
    </w:p>
    <w:p w14:paraId="004E8FF9" w14:textId="2C45CA47" w:rsidR="006E7CA0" w:rsidRPr="006E7CA0" w:rsidRDefault="006E7CA0" w:rsidP="006E7CA0">
      <w:pPr>
        <w:pStyle w:val="NoSpacing"/>
        <w:rPr>
          <w:rFonts w:ascii="Times New Roman" w:hAnsi="Times New Roman"/>
          <w:bCs/>
          <w:sz w:val="24"/>
          <w:szCs w:val="24"/>
        </w:rPr>
      </w:pPr>
      <w:r w:rsidRPr="006E7CA0">
        <w:rPr>
          <w:rFonts w:ascii="Times New Roman" w:hAnsi="Times New Roman"/>
          <w:sz w:val="24"/>
          <w:szCs w:val="24"/>
        </w:rPr>
        <w:lastRenderedPageBreak/>
        <w:t>The Court wrote:</w:t>
      </w:r>
    </w:p>
    <w:p w14:paraId="60F6005F" w14:textId="77777777" w:rsidR="006E7CA0" w:rsidRPr="006E7CA0" w:rsidRDefault="006E7CA0" w:rsidP="006E7CA0">
      <w:pPr>
        <w:pStyle w:val="NoSpacing"/>
        <w:rPr>
          <w:rFonts w:ascii="Times New Roman" w:hAnsi="Times New Roman"/>
          <w:bCs/>
          <w:sz w:val="24"/>
          <w:szCs w:val="24"/>
        </w:rPr>
      </w:pPr>
    </w:p>
    <w:p w14:paraId="58793034" w14:textId="519F40E2" w:rsidR="006E7CA0" w:rsidRPr="006E7CA0" w:rsidRDefault="006E7CA0" w:rsidP="006E7CA0">
      <w:pPr>
        <w:pStyle w:val="NoSpacing"/>
        <w:ind w:left="720"/>
        <w:rPr>
          <w:rFonts w:ascii="Times New Roman" w:hAnsi="Times New Roman"/>
          <w:bCs/>
          <w:sz w:val="24"/>
          <w:szCs w:val="24"/>
        </w:rPr>
      </w:pPr>
      <w:r w:rsidRPr="006E7CA0">
        <w:rPr>
          <w:rFonts w:ascii="Times New Roman" w:hAnsi="Times New Roman"/>
          <w:sz w:val="24"/>
          <w:szCs w:val="24"/>
        </w:rPr>
        <w:t xml:space="preserve">“Based on the Government's proffer of the evidence, the arguments presented, and the authorities cited, the Court concludes that the United States cannot, as a matter of law, prove the required interstate commerce element of the offense charged.” </w:t>
      </w:r>
    </w:p>
    <w:p w14:paraId="78D7B5C2" w14:textId="77777777" w:rsidR="0039158C" w:rsidRDefault="0039158C" w:rsidP="00B86628">
      <w:pPr>
        <w:pStyle w:val="NoSpacing"/>
        <w:rPr>
          <w:rFonts w:ascii="Arial Black" w:hAnsi="Arial Black"/>
          <w:sz w:val="24"/>
          <w:szCs w:val="24"/>
        </w:rPr>
      </w:pPr>
    </w:p>
    <w:p w14:paraId="495BF7F9" w14:textId="77777777" w:rsidR="00F755DB" w:rsidRPr="00F755DB" w:rsidRDefault="00F755DB" w:rsidP="00F755DB">
      <w:pPr>
        <w:pStyle w:val="NoSpacing"/>
        <w:rPr>
          <w:rFonts w:ascii="Times New Roman" w:hAnsi="Times New Roman"/>
          <w:sz w:val="24"/>
          <w:szCs w:val="24"/>
        </w:rPr>
      </w:pPr>
      <w:r w:rsidRPr="00F755DB">
        <w:rPr>
          <w:rFonts w:ascii="Times New Roman" w:hAnsi="Times New Roman"/>
          <w:sz w:val="24"/>
          <w:szCs w:val="24"/>
        </w:rPr>
        <w:t>HOLDING:</w:t>
      </w:r>
    </w:p>
    <w:p w14:paraId="6844D4CF" w14:textId="77777777" w:rsidR="00F755DB" w:rsidRPr="00F755DB" w:rsidRDefault="00F755DB" w:rsidP="00F755DB">
      <w:pPr>
        <w:pStyle w:val="NoSpacing"/>
        <w:rPr>
          <w:rFonts w:ascii="Times New Roman" w:hAnsi="Times New Roman"/>
          <w:sz w:val="24"/>
          <w:szCs w:val="24"/>
        </w:rPr>
      </w:pPr>
    </w:p>
    <w:p w14:paraId="33A502BC" w14:textId="77777777" w:rsidR="00F755DB" w:rsidRPr="00F755DB" w:rsidRDefault="00F755DB" w:rsidP="00F755DB">
      <w:pPr>
        <w:pStyle w:val="NoSpacing"/>
        <w:ind w:left="720"/>
        <w:rPr>
          <w:rFonts w:ascii="Times New Roman" w:hAnsi="Times New Roman"/>
          <w:sz w:val="24"/>
          <w:szCs w:val="24"/>
        </w:rPr>
      </w:pPr>
      <w:r w:rsidRPr="00F755DB">
        <w:rPr>
          <w:rFonts w:ascii="Times New Roman" w:hAnsi="Times New Roman"/>
          <w:sz w:val="24"/>
          <w:szCs w:val="24"/>
        </w:rPr>
        <w:t>“At that hearing, the United States confirmed that the building in question was a church. Additionally, when prompted by the Court, the United States proffered the following evidence relating to the Church's interstate activity: (1) the week before the arson occurred, the Church participated in the U.S. 25 yard sale as a fundraiser for an international mission trip, which raised $700; (2) the Church participated in multiple fundraising events for international mission trips; (3) the Church was used as a youth event location; (4) the Church engaged in cookouts; (5) the Church held movie nights; (6) the Church provided food to the community; (7) the Church was a youth facility for a local recovery team; (8) communion was purchased out of state; (9) four or five out of state pastors had visited the Church; and (10) the building was an annex. Defendants did not contest any of the above proffered facts.</w:t>
      </w:r>
    </w:p>
    <w:p w14:paraId="5C66B199" w14:textId="77777777" w:rsidR="00F755DB" w:rsidRPr="00F755DB" w:rsidRDefault="00F755DB" w:rsidP="00F755DB">
      <w:pPr>
        <w:pStyle w:val="NoSpacing"/>
        <w:ind w:left="720"/>
        <w:rPr>
          <w:rFonts w:ascii="Times New Roman" w:hAnsi="Times New Roman"/>
          <w:sz w:val="24"/>
          <w:szCs w:val="24"/>
        </w:rPr>
      </w:pPr>
    </w:p>
    <w:p w14:paraId="6AB82979" w14:textId="77777777" w:rsidR="00F755DB" w:rsidRPr="00F755DB" w:rsidRDefault="00F755DB" w:rsidP="00F755DB">
      <w:pPr>
        <w:pStyle w:val="NoSpacing"/>
        <w:ind w:left="720"/>
        <w:rPr>
          <w:rFonts w:ascii="Times New Roman" w:hAnsi="Times New Roman"/>
          <w:sz w:val="24"/>
          <w:szCs w:val="24"/>
        </w:rPr>
      </w:pPr>
      <w:r w:rsidRPr="00F755DB">
        <w:rPr>
          <w:rFonts w:ascii="Times New Roman" w:hAnsi="Times New Roman"/>
          <w:sz w:val="24"/>
          <w:szCs w:val="24"/>
        </w:rPr>
        <w:t>***</w:t>
      </w:r>
    </w:p>
    <w:p w14:paraId="361C0091" w14:textId="77777777" w:rsidR="00F755DB" w:rsidRPr="00F755DB" w:rsidRDefault="00F755DB" w:rsidP="00F755DB">
      <w:pPr>
        <w:pStyle w:val="NoSpacing"/>
        <w:ind w:left="720"/>
        <w:rPr>
          <w:rFonts w:ascii="Times New Roman" w:hAnsi="Times New Roman"/>
          <w:sz w:val="24"/>
          <w:szCs w:val="24"/>
        </w:rPr>
      </w:pPr>
      <w:r w:rsidRPr="00F755DB">
        <w:rPr>
          <w:rFonts w:ascii="Times New Roman" w:hAnsi="Times New Roman"/>
          <w:sz w:val="24"/>
          <w:szCs w:val="24"/>
        </w:rPr>
        <w:t xml:space="preserve">At the November 21, </w:t>
      </w:r>
      <w:proofErr w:type="gramStart"/>
      <w:r w:rsidRPr="00F755DB">
        <w:rPr>
          <w:rFonts w:ascii="Times New Roman" w:hAnsi="Times New Roman"/>
          <w:sz w:val="24"/>
          <w:szCs w:val="24"/>
        </w:rPr>
        <w:t>2024</w:t>
      </w:r>
      <w:proofErr w:type="gramEnd"/>
      <w:r w:rsidRPr="00F755DB">
        <w:rPr>
          <w:rFonts w:ascii="Times New Roman" w:hAnsi="Times New Roman"/>
          <w:sz w:val="24"/>
          <w:szCs w:val="24"/>
        </w:rPr>
        <w:t xml:space="preserve"> pretrial hearing addressing Defendants' Motions, the United States affirmatively indicated that there is no dispute that the building in question is classified as a church or place of worship. Moreover, the detailed facts proffered by the United States, which this Court would describe as a full proffer of the evidence, were undisputed at the hearing. Thus, collectively, the full proffer of facts presented by the United States (both the classification of the building and the potential interstate activities) are entirely undisputed. What remains then, is solely a question of law-whether the undisputed evidence proffered by the United States is sufficient to satisfy the interstate commerce element of </w:t>
      </w:r>
      <w:hyperlink r:id="rId102" w:history="1">
        <w:r w:rsidRPr="00F755DB">
          <w:rPr>
            <w:rStyle w:val="Hyperlink"/>
            <w:rFonts w:ascii="Times New Roman" w:hAnsi="Times New Roman"/>
            <w:sz w:val="24"/>
            <w:szCs w:val="24"/>
          </w:rPr>
          <w:t>18 U.S.C. § 844(</w:t>
        </w:r>
        <w:proofErr w:type="spellStart"/>
        <w:r w:rsidRPr="00F755DB">
          <w:rPr>
            <w:rStyle w:val="Hyperlink"/>
            <w:rFonts w:ascii="Times New Roman" w:hAnsi="Times New Roman"/>
            <w:sz w:val="24"/>
            <w:szCs w:val="24"/>
          </w:rPr>
          <w:t>i</w:t>
        </w:r>
        <w:proofErr w:type="spellEnd"/>
        <w:r w:rsidRPr="00F755DB">
          <w:rPr>
            <w:rStyle w:val="Hyperlink"/>
            <w:rFonts w:ascii="Times New Roman" w:hAnsi="Times New Roman"/>
            <w:sz w:val="24"/>
            <w:szCs w:val="24"/>
          </w:rPr>
          <w:t>)</w:t>
        </w:r>
      </w:hyperlink>
      <w:r w:rsidRPr="00F755DB">
        <w:rPr>
          <w:rFonts w:ascii="Times New Roman" w:hAnsi="Times New Roman"/>
          <w:sz w:val="24"/>
          <w:szCs w:val="24"/>
        </w:rPr>
        <w:t>.</w:t>
      </w:r>
    </w:p>
    <w:p w14:paraId="6B4E8CF2" w14:textId="77777777" w:rsidR="00F755DB" w:rsidRPr="00F755DB" w:rsidRDefault="00F755DB" w:rsidP="00F755DB">
      <w:pPr>
        <w:pStyle w:val="NoSpacing"/>
        <w:ind w:left="720"/>
        <w:rPr>
          <w:rFonts w:ascii="Times New Roman" w:hAnsi="Times New Roman"/>
          <w:sz w:val="24"/>
          <w:szCs w:val="24"/>
        </w:rPr>
      </w:pPr>
    </w:p>
    <w:p w14:paraId="3F820AB0" w14:textId="77777777" w:rsidR="00F755DB" w:rsidRPr="00F755DB" w:rsidRDefault="00F755DB" w:rsidP="00F755DB">
      <w:pPr>
        <w:pStyle w:val="NoSpacing"/>
        <w:ind w:left="720"/>
        <w:rPr>
          <w:rFonts w:ascii="Times New Roman" w:hAnsi="Times New Roman"/>
          <w:sz w:val="24"/>
          <w:szCs w:val="24"/>
        </w:rPr>
      </w:pPr>
      <w:r w:rsidRPr="00F755DB">
        <w:rPr>
          <w:rFonts w:ascii="Times New Roman" w:hAnsi="Times New Roman"/>
          <w:sz w:val="24"/>
          <w:szCs w:val="24"/>
        </w:rPr>
        <w:t>***</w:t>
      </w:r>
    </w:p>
    <w:p w14:paraId="7AE0D5A1" w14:textId="77777777" w:rsidR="00F755DB" w:rsidRPr="00F755DB" w:rsidRDefault="00F755DB" w:rsidP="00F755DB">
      <w:pPr>
        <w:pStyle w:val="NoSpacing"/>
        <w:ind w:left="720"/>
        <w:rPr>
          <w:rFonts w:ascii="Times New Roman" w:hAnsi="Times New Roman"/>
          <w:bCs/>
          <w:sz w:val="24"/>
          <w:szCs w:val="24"/>
        </w:rPr>
      </w:pPr>
    </w:p>
    <w:p w14:paraId="1E707D92" w14:textId="77777777" w:rsidR="00F755DB" w:rsidRPr="00F755DB" w:rsidRDefault="00F755DB" w:rsidP="00F755DB">
      <w:pPr>
        <w:pStyle w:val="NoSpacing"/>
        <w:ind w:left="720"/>
        <w:rPr>
          <w:rFonts w:ascii="Times New Roman" w:hAnsi="Times New Roman"/>
          <w:sz w:val="24"/>
          <w:szCs w:val="24"/>
        </w:rPr>
      </w:pPr>
      <w:r w:rsidRPr="00F755DB">
        <w:rPr>
          <w:rFonts w:ascii="Times New Roman" w:hAnsi="Times New Roman"/>
          <w:sz w:val="24"/>
          <w:szCs w:val="24"/>
        </w:rPr>
        <w:t>However, as part of its commerce clause power, Congress federalized certain arson crimes in 1982. In relevant part, the underlying arson statute provides that: ‘[w]</w:t>
      </w:r>
      <w:proofErr w:type="spellStart"/>
      <w:r w:rsidRPr="00F755DB">
        <w:rPr>
          <w:rFonts w:ascii="Times New Roman" w:hAnsi="Times New Roman"/>
          <w:sz w:val="24"/>
          <w:szCs w:val="24"/>
        </w:rPr>
        <w:t>hoever</w:t>
      </w:r>
      <w:proofErr w:type="spellEnd"/>
      <w:r w:rsidRPr="00F755DB">
        <w:rPr>
          <w:rFonts w:ascii="Times New Roman" w:hAnsi="Times New Roman"/>
          <w:sz w:val="24"/>
          <w:szCs w:val="24"/>
        </w:rPr>
        <w:t xml:space="preserve"> maliciously damages or destroys, or attempts to damage or destroy, by means of fire or an explosive, any building, vehicle, or other real or personal property </w:t>
      </w:r>
      <w:r w:rsidRPr="00F755DB">
        <w:rPr>
          <w:rFonts w:ascii="Times New Roman" w:hAnsi="Times New Roman"/>
          <w:i/>
          <w:iCs/>
          <w:sz w:val="24"/>
          <w:szCs w:val="24"/>
        </w:rPr>
        <w:t>used in interstate or foreign commerce or in any activity affecting interstate or foreign commerce shall be imprisoned</w:t>
      </w:r>
      <w:r w:rsidRPr="00F755DB">
        <w:rPr>
          <w:rFonts w:ascii="Times New Roman" w:hAnsi="Times New Roman"/>
          <w:sz w:val="24"/>
          <w:szCs w:val="24"/>
        </w:rPr>
        <w:t xml:space="preserve">.’ </w:t>
      </w:r>
      <w:hyperlink r:id="rId103" w:history="1">
        <w:r w:rsidRPr="00F755DB">
          <w:rPr>
            <w:rStyle w:val="Hyperlink"/>
            <w:rFonts w:ascii="Times New Roman" w:hAnsi="Times New Roman"/>
            <w:sz w:val="24"/>
            <w:szCs w:val="24"/>
          </w:rPr>
          <w:t>18 U.S.C. § 844(</w:t>
        </w:r>
        <w:proofErr w:type="spellStart"/>
        <w:r w:rsidRPr="00F755DB">
          <w:rPr>
            <w:rStyle w:val="Hyperlink"/>
            <w:rFonts w:ascii="Times New Roman" w:hAnsi="Times New Roman"/>
            <w:sz w:val="24"/>
            <w:szCs w:val="24"/>
          </w:rPr>
          <w:t>i</w:t>
        </w:r>
        <w:proofErr w:type="spellEnd"/>
        <w:r w:rsidRPr="00F755DB">
          <w:rPr>
            <w:rStyle w:val="Hyperlink"/>
            <w:rFonts w:ascii="Times New Roman" w:hAnsi="Times New Roman"/>
            <w:sz w:val="24"/>
            <w:szCs w:val="24"/>
          </w:rPr>
          <w:t>)</w:t>
        </w:r>
      </w:hyperlink>
      <w:r w:rsidRPr="00F755DB">
        <w:rPr>
          <w:rFonts w:ascii="Times New Roman" w:hAnsi="Times New Roman"/>
          <w:sz w:val="24"/>
          <w:szCs w:val="24"/>
        </w:rPr>
        <w:t xml:space="preserve"> (emphasis added). While broad in one aspect (prosecuting the arson of ‘any’ building), it is simultaneously limited by permitting prosecution only when such building is used in or affects interstate or foreign commerce. The effect of such limiting language ensures that there remain buildings which do not fall within the federal statute's domain. </w:t>
      </w:r>
      <w:r w:rsidRPr="00F755DB">
        <w:rPr>
          <w:rFonts w:ascii="Times New Roman" w:hAnsi="Times New Roman"/>
          <w:i/>
          <w:iCs/>
          <w:sz w:val="24"/>
          <w:szCs w:val="24"/>
        </w:rPr>
        <w:t>See</w:t>
      </w:r>
      <w:r w:rsidRPr="00F755DB">
        <w:rPr>
          <w:rFonts w:ascii="Times New Roman" w:hAnsi="Times New Roman"/>
          <w:sz w:val="24"/>
          <w:szCs w:val="24"/>
        </w:rPr>
        <w:t xml:space="preserve"> </w:t>
      </w:r>
      <w:r w:rsidRPr="00F755DB">
        <w:rPr>
          <w:rFonts w:ascii="Times New Roman" w:hAnsi="Times New Roman"/>
          <w:i/>
          <w:iCs/>
          <w:sz w:val="24"/>
          <w:szCs w:val="24"/>
        </w:rPr>
        <w:t>Jones</w:t>
      </w:r>
      <w:r w:rsidRPr="00F755DB">
        <w:rPr>
          <w:rFonts w:ascii="Times New Roman" w:hAnsi="Times New Roman"/>
          <w:sz w:val="24"/>
          <w:szCs w:val="24"/>
        </w:rPr>
        <w:t xml:space="preserve">, </w:t>
      </w:r>
      <w:hyperlink r:id="rId104" w:anchor="p859" w:history="1">
        <w:r w:rsidRPr="00F755DB">
          <w:rPr>
            <w:rStyle w:val="Hyperlink"/>
            <w:rFonts w:ascii="Times New Roman" w:hAnsi="Times New Roman"/>
            <w:sz w:val="24"/>
            <w:szCs w:val="24"/>
          </w:rPr>
          <w:t>529 U.S. at 859</w:t>
        </w:r>
      </w:hyperlink>
      <w:r w:rsidRPr="00F755DB">
        <w:rPr>
          <w:rFonts w:ascii="Times New Roman" w:hAnsi="Times New Roman"/>
          <w:sz w:val="24"/>
          <w:szCs w:val="24"/>
        </w:rPr>
        <w:t xml:space="preserve"> (but for the interstate commerce element, </w:t>
      </w:r>
      <w:hyperlink r:id="rId105" w:history="1">
        <w:r w:rsidRPr="00F755DB">
          <w:rPr>
            <w:rStyle w:val="Hyperlink"/>
            <w:rFonts w:ascii="Times New Roman" w:hAnsi="Times New Roman"/>
            <w:sz w:val="24"/>
            <w:szCs w:val="24"/>
          </w:rPr>
          <w:t>§ 844(</w:t>
        </w:r>
        <w:proofErr w:type="spellStart"/>
        <w:r w:rsidRPr="00F755DB">
          <w:rPr>
            <w:rStyle w:val="Hyperlink"/>
            <w:rFonts w:ascii="Times New Roman" w:hAnsi="Times New Roman"/>
            <w:sz w:val="24"/>
            <w:szCs w:val="24"/>
          </w:rPr>
          <w:t>i</w:t>
        </w:r>
        <w:proofErr w:type="spellEnd"/>
        <w:r w:rsidRPr="00F755DB">
          <w:rPr>
            <w:rStyle w:val="Hyperlink"/>
            <w:rFonts w:ascii="Times New Roman" w:hAnsi="Times New Roman"/>
            <w:sz w:val="24"/>
            <w:szCs w:val="24"/>
          </w:rPr>
          <w:t>)</w:t>
        </w:r>
      </w:hyperlink>
      <w:r w:rsidRPr="00F755DB">
        <w:rPr>
          <w:rFonts w:ascii="Times New Roman" w:hAnsi="Times New Roman"/>
          <w:sz w:val="24"/>
          <w:szCs w:val="24"/>
        </w:rPr>
        <w:t xml:space="preserve"> would transform ‘virtually every arson in the country [into] a federal offense.’).”</w:t>
      </w:r>
    </w:p>
    <w:p w14:paraId="5C8E1C16" w14:textId="77777777" w:rsidR="00F755DB" w:rsidRPr="00F755DB" w:rsidRDefault="00F755DB" w:rsidP="00F755DB">
      <w:pPr>
        <w:pStyle w:val="NoSpacing"/>
        <w:ind w:left="720"/>
        <w:rPr>
          <w:rFonts w:ascii="Times New Roman" w:hAnsi="Times New Roman"/>
          <w:sz w:val="24"/>
          <w:szCs w:val="24"/>
        </w:rPr>
      </w:pPr>
    </w:p>
    <w:p w14:paraId="52D84DDC" w14:textId="77777777" w:rsidR="00F755DB" w:rsidRPr="00F755DB" w:rsidRDefault="00F755DB" w:rsidP="00F755DB">
      <w:pPr>
        <w:pStyle w:val="NoSpacing"/>
        <w:rPr>
          <w:rFonts w:ascii="Times New Roman" w:hAnsi="Times New Roman"/>
          <w:b/>
          <w:bCs/>
          <w:sz w:val="24"/>
          <w:szCs w:val="24"/>
        </w:rPr>
      </w:pPr>
      <w:r w:rsidRPr="00F755DB">
        <w:rPr>
          <w:rFonts w:ascii="Times New Roman" w:hAnsi="Times New Roman"/>
          <w:b/>
          <w:sz w:val="24"/>
          <w:szCs w:val="24"/>
        </w:rPr>
        <w:t>Legal Lesson Learned: The firefighters can now be tried in state court.</w:t>
      </w:r>
    </w:p>
    <w:p w14:paraId="4F2FD0E8" w14:textId="77777777" w:rsidR="00F755DB" w:rsidRPr="004447C7" w:rsidRDefault="00F755DB" w:rsidP="00F755DB">
      <w:pPr>
        <w:pStyle w:val="NoSpacing"/>
        <w:rPr>
          <w:b/>
          <w:bCs/>
        </w:rPr>
      </w:pPr>
    </w:p>
    <w:p w14:paraId="58541979" w14:textId="77777777" w:rsidR="004B0DC2" w:rsidRDefault="004B0DC2" w:rsidP="00B86628">
      <w:pPr>
        <w:pStyle w:val="NoSpacing"/>
        <w:rPr>
          <w:rFonts w:ascii="Arial Black" w:hAnsi="Arial Black"/>
          <w:sz w:val="24"/>
          <w:szCs w:val="24"/>
        </w:rPr>
      </w:pPr>
    </w:p>
    <w:p w14:paraId="2A782240" w14:textId="77777777" w:rsidR="004B0DC2" w:rsidRDefault="004B0DC2" w:rsidP="00B86628">
      <w:pPr>
        <w:pStyle w:val="NoSpacing"/>
        <w:rPr>
          <w:rFonts w:ascii="Arial Black" w:hAnsi="Arial Black"/>
          <w:sz w:val="24"/>
          <w:szCs w:val="24"/>
        </w:rPr>
      </w:pPr>
    </w:p>
    <w:p w14:paraId="3BC156B1" w14:textId="2D622D7F" w:rsidR="00AE3DBB" w:rsidRDefault="00AE3DBB" w:rsidP="00B86628">
      <w:pPr>
        <w:pStyle w:val="NoSpacing"/>
        <w:rPr>
          <w:rFonts w:ascii="Arial Black" w:hAnsi="Arial Black"/>
          <w:sz w:val="24"/>
          <w:szCs w:val="24"/>
        </w:rPr>
      </w:pPr>
      <w:r>
        <w:rPr>
          <w:rFonts w:ascii="Arial Black" w:hAnsi="Arial Black"/>
          <w:sz w:val="24"/>
          <w:szCs w:val="24"/>
        </w:rPr>
        <w:t>1-167</w:t>
      </w:r>
    </w:p>
    <w:p w14:paraId="22A5AC98" w14:textId="77777777" w:rsidR="00AE3DBB" w:rsidRDefault="00AE3DBB" w:rsidP="00B86628">
      <w:pPr>
        <w:pStyle w:val="NoSpacing"/>
        <w:rPr>
          <w:rFonts w:ascii="Arial Black" w:hAnsi="Arial Black"/>
          <w:sz w:val="24"/>
          <w:szCs w:val="24"/>
        </w:rPr>
      </w:pPr>
    </w:p>
    <w:p w14:paraId="1AFFE091" w14:textId="77777777" w:rsidR="00FA5992" w:rsidRPr="0053642C" w:rsidRDefault="00FA5992" w:rsidP="00FA5992">
      <w:pPr>
        <w:pStyle w:val="NoSpacing"/>
        <w:rPr>
          <w:rFonts w:ascii="Arial Black" w:hAnsi="Arial Black"/>
          <w:bCs/>
          <w:sz w:val="28"/>
          <w:szCs w:val="28"/>
        </w:rPr>
      </w:pPr>
      <w:r>
        <w:rPr>
          <w:rFonts w:ascii="Arial Black" w:hAnsi="Arial Black"/>
          <w:sz w:val="28"/>
          <w:szCs w:val="28"/>
        </w:rPr>
        <w:t xml:space="preserve">OH: ARSON - </w:t>
      </w:r>
      <w:r w:rsidRPr="00F01098">
        <w:rPr>
          <w:rFonts w:ascii="Arial Black" w:hAnsi="Arial Black"/>
          <w:sz w:val="28"/>
          <w:szCs w:val="28"/>
        </w:rPr>
        <w:t>2018 H</w:t>
      </w:r>
      <w:r>
        <w:rPr>
          <w:rFonts w:ascii="Arial Black" w:hAnsi="Arial Black"/>
          <w:sz w:val="28"/>
          <w:szCs w:val="28"/>
        </w:rPr>
        <w:t>ONDA ACCORD – “REAL TIME CRIME” STREET CAMERA / ARSONIST</w:t>
      </w:r>
      <w:r>
        <w:rPr>
          <w:rFonts w:ascii="Arial Black" w:hAnsi="Arial Black"/>
          <w:bCs/>
          <w:sz w:val="28"/>
          <w:szCs w:val="28"/>
        </w:rPr>
        <w:t xml:space="preserve"> AT</w:t>
      </w:r>
      <w:r>
        <w:rPr>
          <w:rFonts w:ascii="Arial Black" w:hAnsi="Arial Black"/>
          <w:sz w:val="28"/>
          <w:szCs w:val="28"/>
        </w:rPr>
        <w:t xml:space="preserve"> GAS STATION – 4</w:t>
      </w:r>
      <w:r>
        <w:rPr>
          <w:rFonts w:ascii="Arial Black" w:hAnsi="Arial Black"/>
          <w:bCs/>
          <w:sz w:val="28"/>
          <w:szCs w:val="28"/>
        </w:rPr>
        <w:t xml:space="preserve"> TO </w:t>
      </w:r>
      <w:r>
        <w:rPr>
          <w:rFonts w:ascii="Arial Black" w:hAnsi="Arial Black"/>
          <w:sz w:val="28"/>
          <w:szCs w:val="28"/>
        </w:rPr>
        <w:t>6 Y</w:t>
      </w:r>
      <w:r>
        <w:rPr>
          <w:rFonts w:ascii="Arial Black" w:hAnsi="Arial Black"/>
          <w:bCs/>
          <w:sz w:val="28"/>
          <w:szCs w:val="28"/>
        </w:rPr>
        <w:t xml:space="preserve">RS </w:t>
      </w:r>
    </w:p>
    <w:p w14:paraId="6556CFCC" w14:textId="77777777" w:rsidR="00FA5992" w:rsidRDefault="00FA5992" w:rsidP="00FA5992">
      <w:pPr>
        <w:pStyle w:val="NoSpacing"/>
        <w:rPr>
          <w:bCs/>
        </w:rPr>
      </w:pPr>
    </w:p>
    <w:p w14:paraId="4E6EBCFE" w14:textId="77777777" w:rsidR="00FA5992" w:rsidRPr="009800D6" w:rsidRDefault="00FA5992" w:rsidP="00FA5992">
      <w:pPr>
        <w:pStyle w:val="NoSpacing"/>
        <w:rPr>
          <w:rFonts w:ascii="Times New Roman" w:hAnsi="Times New Roman"/>
          <w:bCs/>
          <w:sz w:val="24"/>
          <w:szCs w:val="24"/>
        </w:rPr>
      </w:pPr>
      <w:r w:rsidRPr="009800D6">
        <w:rPr>
          <w:rFonts w:ascii="Times New Roman" w:hAnsi="Times New Roman"/>
          <w:sz w:val="24"/>
          <w:szCs w:val="24"/>
        </w:rPr>
        <w:lastRenderedPageBreak/>
        <w:t xml:space="preserve">On Nov. 27, 2024, in </w:t>
      </w:r>
      <w:r w:rsidRPr="009800D6">
        <w:rPr>
          <w:rFonts w:ascii="Times New Roman" w:hAnsi="Times New Roman"/>
          <w:sz w:val="24"/>
          <w:szCs w:val="24"/>
          <w:u w:val="single"/>
        </w:rPr>
        <w:t>State of Ohio v. Devontae Sullivan</w:t>
      </w:r>
      <w:r w:rsidRPr="009800D6">
        <w:rPr>
          <w:rFonts w:ascii="Times New Roman" w:hAnsi="Times New Roman"/>
          <w:sz w:val="24"/>
          <w:szCs w:val="24"/>
        </w:rPr>
        <w:t xml:space="preserve">, the Ohio Court of Appeals, Eight Appellate District, Cuyahoga County, held (3 to 0) that there was sufficient evidence presented to the jury that the defendant poured gasoline on the car. The Court wrote: “In his first assignment of error, Sullivan contends that the State failed to present sufficient evidence of identity. We disagree…. Detective David Baker [Cleveland Division of Fire] identified Sullivan as the perpetrator. He viewed surveillance video from a business two doors from the subject house. The video showed a maroon Buick with tinted windows in the area. Using the City of Cleveland’s ‘Real Time Crime’ street cameras, Detective Baker traced the Buick to a gas station located five minutes from the crime scene. The detective was able to obtain a license plate number for the Buick that was registered to a red 1999 Chevrolet Cavalier. *** Detective Baker positively identified Sullivan in court as the person in the driver license photo, as well as the person on the surveillance footage. The license photo and surveillance videos were shown to the jury and admitted into evidence; thus, the State presented sufficient evidence for the jury to determine whether Sullivan was the perpetrator.” </w:t>
      </w:r>
      <w:hyperlink r:id="rId106" w:history="1">
        <w:r w:rsidRPr="009800D6">
          <w:rPr>
            <w:rStyle w:val="Hyperlink"/>
            <w:rFonts w:ascii="Times New Roman" w:hAnsi="Times New Roman"/>
            <w:sz w:val="24"/>
            <w:szCs w:val="24"/>
          </w:rPr>
          <w:t>https://www.supremecourt.ohio.gov/rod/docs/pdf/8/2024/2024-Ohio-5601.pdf</w:t>
        </w:r>
      </w:hyperlink>
      <w:r w:rsidRPr="009800D6">
        <w:rPr>
          <w:rFonts w:ascii="Times New Roman" w:hAnsi="Times New Roman"/>
          <w:sz w:val="24"/>
          <w:szCs w:val="24"/>
        </w:rPr>
        <w:t xml:space="preserve"> </w:t>
      </w:r>
    </w:p>
    <w:p w14:paraId="75A98099" w14:textId="77777777" w:rsidR="009800D6" w:rsidRPr="009800D6" w:rsidRDefault="009800D6" w:rsidP="009800D6">
      <w:pPr>
        <w:pStyle w:val="NoSpacing"/>
        <w:rPr>
          <w:rFonts w:ascii="Times New Roman" w:hAnsi="Times New Roman"/>
          <w:sz w:val="24"/>
          <w:szCs w:val="24"/>
        </w:rPr>
      </w:pPr>
    </w:p>
    <w:p w14:paraId="33CACECE" w14:textId="4129A4F1" w:rsidR="009800D6" w:rsidRPr="009800D6" w:rsidRDefault="009800D6" w:rsidP="009800D6">
      <w:pPr>
        <w:pStyle w:val="NoSpacing"/>
        <w:rPr>
          <w:rFonts w:ascii="Times New Roman" w:hAnsi="Times New Roman"/>
          <w:b/>
          <w:sz w:val="24"/>
          <w:szCs w:val="24"/>
        </w:rPr>
      </w:pPr>
      <w:r w:rsidRPr="009800D6">
        <w:rPr>
          <w:rFonts w:ascii="Times New Roman" w:hAnsi="Times New Roman"/>
          <w:b/>
          <w:sz w:val="24"/>
          <w:szCs w:val="24"/>
        </w:rPr>
        <w:t xml:space="preserve">Legal Lesson Learned: Surveillance videos are powerful evidence. </w:t>
      </w:r>
    </w:p>
    <w:p w14:paraId="15DD3DD1" w14:textId="066C8F5A" w:rsidR="00AE3DBB" w:rsidRDefault="00AE3DBB" w:rsidP="00B86628">
      <w:pPr>
        <w:pStyle w:val="NoSpacing"/>
        <w:rPr>
          <w:rFonts w:ascii="Arial Black" w:hAnsi="Arial Black"/>
          <w:sz w:val="24"/>
          <w:szCs w:val="24"/>
        </w:rPr>
      </w:pPr>
    </w:p>
    <w:p w14:paraId="23C2078B" w14:textId="77777777" w:rsidR="00AE3DBB" w:rsidRDefault="00AE3DBB" w:rsidP="00B86628">
      <w:pPr>
        <w:pStyle w:val="NoSpacing"/>
        <w:rPr>
          <w:rFonts w:ascii="Arial Black" w:hAnsi="Arial Black"/>
          <w:sz w:val="24"/>
          <w:szCs w:val="24"/>
        </w:rPr>
      </w:pPr>
    </w:p>
    <w:p w14:paraId="572FD83E" w14:textId="0327AA6F" w:rsidR="00C437E2" w:rsidRDefault="000F060C" w:rsidP="00B86628">
      <w:pPr>
        <w:pStyle w:val="NoSpacing"/>
        <w:rPr>
          <w:rFonts w:ascii="Arial Black" w:hAnsi="Arial Black"/>
          <w:sz w:val="24"/>
          <w:szCs w:val="24"/>
        </w:rPr>
      </w:pPr>
      <w:r>
        <w:rPr>
          <w:rFonts w:ascii="Arial Black" w:hAnsi="Arial Black"/>
          <w:sz w:val="24"/>
          <w:szCs w:val="24"/>
        </w:rPr>
        <w:t>1-166</w:t>
      </w:r>
    </w:p>
    <w:p w14:paraId="1DC6A6B6" w14:textId="77777777" w:rsidR="000F060C" w:rsidRDefault="000F060C" w:rsidP="00B86628">
      <w:pPr>
        <w:pStyle w:val="NoSpacing"/>
        <w:rPr>
          <w:rFonts w:ascii="Arial Black" w:hAnsi="Arial Black"/>
          <w:sz w:val="24"/>
          <w:szCs w:val="24"/>
        </w:rPr>
      </w:pPr>
    </w:p>
    <w:p w14:paraId="308FE1A5" w14:textId="77777777" w:rsidR="00D60A72" w:rsidRDefault="00D60A72" w:rsidP="00D60A72">
      <w:pPr>
        <w:pStyle w:val="NoSpacing"/>
        <w:rPr>
          <w:rFonts w:ascii="Arial Black" w:hAnsi="Arial Black"/>
          <w:b/>
          <w:sz w:val="28"/>
          <w:szCs w:val="28"/>
        </w:rPr>
      </w:pPr>
      <w:r>
        <w:rPr>
          <w:rFonts w:ascii="Arial Black" w:hAnsi="Arial Black"/>
          <w:b/>
          <w:sz w:val="28"/>
          <w:szCs w:val="28"/>
        </w:rPr>
        <w:t>TN: ARSON – HUSBAND DIED HOUSE FIRE – WIFE “ALFORD PLEA” AFTER 3 DAYS JURY TRIAL – MAX SENTENCE 4-YRS</w:t>
      </w:r>
    </w:p>
    <w:p w14:paraId="1AD04279" w14:textId="77777777" w:rsidR="00D60A72" w:rsidRDefault="00D60A72" w:rsidP="00D60A72">
      <w:pPr>
        <w:pStyle w:val="NoSpacing"/>
        <w:rPr>
          <w:rFonts w:ascii="Arial Black" w:hAnsi="Arial Black"/>
          <w:b/>
          <w:sz w:val="28"/>
          <w:szCs w:val="28"/>
        </w:rPr>
      </w:pPr>
      <w:r>
        <w:rPr>
          <w:rFonts w:ascii="Arial Black" w:hAnsi="Arial Black"/>
          <w:b/>
          <w:sz w:val="28"/>
          <w:szCs w:val="28"/>
        </w:rPr>
        <w:t xml:space="preserve"> </w:t>
      </w:r>
    </w:p>
    <w:p w14:paraId="6990A00A" w14:textId="4292D308" w:rsidR="000F060C" w:rsidRPr="00AE3DBB" w:rsidRDefault="00D60A72" w:rsidP="00D60A72">
      <w:pPr>
        <w:pStyle w:val="NoSpacing"/>
        <w:rPr>
          <w:rStyle w:val="Hyperlink"/>
          <w:rFonts w:ascii="Times New Roman" w:hAnsi="Times New Roman"/>
          <w:sz w:val="24"/>
          <w:szCs w:val="24"/>
        </w:rPr>
      </w:pPr>
      <w:r w:rsidRPr="00AE3DBB">
        <w:rPr>
          <w:rFonts w:ascii="Times New Roman" w:hAnsi="Times New Roman"/>
          <w:sz w:val="24"/>
          <w:szCs w:val="24"/>
        </w:rPr>
        <w:t xml:space="preserve">On Nov. 26, 2024, in </w:t>
      </w:r>
      <w:r w:rsidRPr="00AE3DBB">
        <w:rPr>
          <w:rFonts w:ascii="Times New Roman" w:hAnsi="Times New Roman"/>
          <w:sz w:val="24"/>
          <w:szCs w:val="24"/>
          <w:u w:val="single"/>
        </w:rPr>
        <w:t>State of Tennessee v. Mendy Powell Neal</w:t>
      </w:r>
      <w:r w:rsidRPr="00AE3DBB">
        <w:rPr>
          <w:rFonts w:ascii="Times New Roman" w:hAnsi="Times New Roman"/>
          <w:sz w:val="24"/>
          <w:szCs w:val="24"/>
        </w:rPr>
        <w:t xml:space="preserve">, the Court of Criminal Appeals of Tennessee, at Nashville held (3 to 0) that the trial court judge properly sentenced her to maximum allowed for voluntary manslaughter; she had been charged with felony murder and aggravated arson (“Alford Plea” – defendant does not admit to the criminal act but pleads guilty).  The Court wrote: “In declining to reduce or modify the sentence, the trial court entered a thorough and extensive order in which it reviewed the evidence, including the horrific manner of the victim’s death, before affirming its original sentencing determinations. The Defendant has not shown any circumstances, warranting the alteration of her sentence in the interest of justice.” </w:t>
      </w:r>
      <w:hyperlink r:id="rId107" w:history="1">
        <w:r w:rsidRPr="00AE3DBB">
          <w:rPr>
            <w:rStyle w:val="Hyperlink"/>
            <w:rFonts w:ascii="Times New Roman" w:hAnsi="Times New Roman"/>
            <w:sz w:val="24"/>
            <w:szCs w:val="24"/>
          </w:rPr>
          <w:t>https://www.tncourts.gov/sites/default/files/OpinionsPDFVersion/Majority%20Opinion%20-%20M2023-01176-CCA-R3-CD.pdf</w:t>
        </w:r>
      </w:hyperlink>
    </w:p>
    <w:p w14:paraId="5F8AD572" w14:textId="77777777" w:rsidR="00AE3DBB" w:rsidRPr="00AE3DBB" w:rsidRDefault="00AE3DBB" w:rsidP="00D60A72">
      <w:pPr>
        <w:pStyle w:val="NoSpacing"/>
        <w:rPr>
          <w:rStyle w:val="Hyperlink"/>
          <w:rFonts w:ascii="Times New Roman" w:hAnsi="Times New Roman"/>
          <w:sz w:val="24"/>
          <w:szCs w:val="24"/>
        </w:rPr>
      </w:pPr>
    </w:p>
    <w:p w14:paraId="440F4600" w14:textId="77777777" w:rsidR="00AE3DBB" w:rsidRPr="00AE3DBB" w:rsidRDefault="00AE3DBB" w:rsidP="00AE3DBB">
      <w:pPr>
        <w:pStyle w:val="NoSpacing"/>
        <w:rPr>
          <w:rFonts w:ascii="Times New Roman" w:hAnsi="Times New Roman"/>
          <w:b/>
          <w:bCs/>
          <w:sz w:val="24"/>
          <w:szCs w:val="24"/>
        </w:rPr>
      </w:pPr>
      <w:r w:rsidRPr="00AE3DBB">
        <w:rPr>
          <w:rFonts w:ascii="Times New Roman" w:hAnsi="Times New Roman"/>
          <w:b/>
          <w:sz w:val="24"/>
          <w:szCs w:val="24"/>
        </w:rPr>
        <w:t xml:space="preserve">Legal Lesson Learned: Not </w:t>
      </w:r>
      <w:r w:rsidRPr="00AE3DBB">
        <w:rPr>
          <w:rFonts w:ascii="Times New Roman" w:hAnsi="Times New Roman"/>
          <w:b/>
          <w:bCs/>
          <w:sz w:val="24"/>
          <w:szCs w:val="24"/>
        </w:rPr>
        <w:t>clear</w:t>
      </w:r>
      <w:r w:rsidRPr="00AE3DBB">
        <w:rPr>
          <w:rFonts w:ascii="Times New Roman" w:hAnsi="Times New Roman"/>
          <w:b/>
          <w:sz w:val="24"/>
          <w:szCs w:val="24"/>
        </w:rPr>
        <w:t xml:space="preserve"> why the Prosecution took a plea deal after three days of jury trial, but the maximum sentence for voluntary manslaughter was certainly appropriate</w:t>
      </w:r>
      <w:r w:rsidRPr="00AE3DBB">
        <w:rPr>
          <w:rFonts w:ascii="Times New Roman" w:hAnsi="Times New Roman"/>
          <w:b/>
          <w:bCs/>
          <w:sz w:val="24"/>
          <w:szCs w:val="24"/>
        </w:rPr>
        <w:t xml:space="preserve">. </w:t>
      </w:r>
    </w:p>
    <w:p w14:paraId="54CC7E1F" w14:textId="77777777" w:rsidR="00AE3DBB" w:rsidRDefault="00AE3DBB" w:rsidP="00D60A72">
      <w:pPr>
        <w:pStyle w:val="NoSpacing"/>
        <w:rPr>
          <w:rFonts w:ascii="Arial Black" w:hAnsi="Arial Black"/>
          <w:sz w:val="24"/>
          <w:szCs w:val="24"/>
        </w:rPr>
      </w:pPr>
    </w:p>
    <w:p w14:paraId="2F8AD47B" w14:textId="77777777" w:rsidR="00D757ED" w:rsidRDefault="00D757ED" w:rsidP="006F4352">
      <w:pPr>
        <w:pStyle w:val="NoSpacing"/>
        <w:rPr>
          <w:rFonts w:ascii="Arial Black" w:hAnsi="Arial Black"/>
          <w:sz w:val="24"/>
          <w:szCs w:val="24"/>
        </w:rPr>
      </w:pPr>
    </w:p>
    <w:p w14:paraId="18BAC5FE" w14:textId="701F5F0E" w:rsidR="00D757ED" w:rsidRDefault="00D757ED" w:rsidP="006F4352">
      <w:pPr>
        <w:pStyle w:val="NoSpacing"/>
        <w:rPr>
          <w:rFonts w:ascii="Arial Black" w:hAnsi="Arial Black"/>
          <w:sz w:val="24"/>
          <w:szCs w:val="24"/>
        </w:rPr>
      </w:pPr>
      <w:r>
        <w:rPr>
          <w:rFonts w:ascii="Arial Black" w:hAnsi="Arial Black"/>
          <w:sz w:val="24"/>
          <w:szCs w:val="24"/>
        </w:rPr>
        <w:t>1-165</w:t>
      </w:r>
    </w:p>
    <w:p w14:paraId="40C96C26" w14:textId="77777777" w:rsidR="00D757ED" w:rsidRDefault="00D757ED" w:rsidP="006F4352">
      <w:pPr>
        <w:pStyle w:val="NoSpacing"/>
        <w:rPr>
          <w:rFonts w:ascii="Arial Black" w:hAnsi="Arial Black"/>
          <w:sz w:val="24"/>
          <w:szCs w:val="24"/>
        </w:rPr>
      </w:pPr>
    </w:p>
    <w:p w14:paraId="0F00C5FE" w14:textId="77777777" w:rsidR="00D757ED" w:rsidRDefault="00D757ED" w:rsidP="00D757ED">
      <w:pPr>
        <w:pStyle w:val="NoSpacing"/>
        <w:rPr>
          <w:rFonts w:ascii="Arial Black" w:hAnsi="Arial Black"/>
          <w:b/>
          <w:sz w:val="28"/>
          <w:szCs w:val="28"/>
        </w:rPr>
      </w:pPr>
      <w:r>
        <w:rPr>
          <w:rFonts w:ascii="Arial Black" w:hAnsi="Arial Black"/>
          <w:b/>
          <w:sz w:val="28"/>
          <w:szCs w:val="28"/>
        </w:rPr>
        <w:t xml:space="preserve">CA: HOMELESS - RVs CAN NOT BE PARKED ON CITY STREET – CITY ORDINANCE / $60 FINE UPHELD </w:t>
      </w:r>
    </w:p>
    <w:p w14:paraId="2BB84AA3" w14:textId="77777777" w:rsidR="00D757ED" w:rsidRDefault="00D757ED" w:rsidP="00D757ED">
      <w:pPr>
        <w:pStyle w:val="NoSpacing"/>
        <w:rPr>
          <w:rFonts w:ascii="Arial Black" w:hAnsi="Arial Black"/>
          <w:b/>
          <w:sz w:val="28"/>
          <w:szCs w:val="28"/>
        </w:rPr>
      </w:pPr>
    </w:p>
    <w:p w14:paraId="58140CE1" w14:textId="77777777" w:rsidR="00D757ED" w:rsidRPr="00D757ED" w:rsidRDefault="00D757ED" w:rsidP="00D757ED">
      <w:pPr>
        <w:pStyle w:val="NoSpacing"/>
        <w:rPr>
          <w:rFonts w:ascii="Times New Roman" w:hAnsi="Times New Roman"/>
          <w:bCs/>
          <w:sz w:val="24"/>
          <w:szCs w:val="24"/>
        </w:rPr>
      </w:pPr>
      <w:r w:rsidRPr="00D757ED">
        <w:rPr>
          <w:rFonts w:ascii="Times New Roman" w:hAnsi="Times New Roman"/>
          <w:sz w:val="24"/>
          <w:szCs w:val="24"/>
        </w:rPr>
        <w:t xml:space="preserve">On November 22, 2024, in </w:t>
      </w:r>
      <w:r w:rsidRPr="00D757ED">
        <w:rPr>
          <w:rFonts w:ascii="Times New Roman" w:hAnsi="Times New Roman"/>
          <w:sz w:val="24"/>
          <w:szCs w:val="24"/>
          <w:u w:val="single"/>
        </w:rPr>
        <w:t xml:space="preserve">David Allen </w:t>
      </w:r>
      <w:proofErr w:type="spellStart"/>
      <w:r w:rsidRPr="00D757ED">
        <w:rPr>
          <w:rFonts w:ascii="Times New Roman" w:hAnsi="Times New Roman"/>
          <w:sz w:val="24"/>
          <w:szCs w:val="24"/>
          <w:u w:val="single"/>
        </w:rPr>
        <w:t>Yesue</w:t>
      </w:r>
      <w:proofErr w:type="spellEnd"/>
      <w:r w:rsidRPr="00D757ED">
        <w:rPr>
          <w:rFonts w:ascii="Times New Roman" w:hAnsi="Times New Roman"/>
          <w:sz w:val="24"/>
          <w:szCs w:val="24"/>
          <w:u w:val="single"/>
        </w:rPr>
        <w:t xml:space="preserve"> v. City of Sebastopol</w:t>
      </w:r>
      <w:r w:rsidRPr="00D757ED">
        <w:rPr>
          <w:rFonts w:ascii="Times New Roman" w:hAnsi="Times New Roman"/>
          <w:sz w:val="24"/>
          <w:szCs w:val="24"/>
        </w:rPr>
        <w:t xml:space="preserve">, United States Magistrate Judge Kandis A. Westmore, U.S. District Court for the Northern District of California, upheld the </w:t>
      </w:r>
      <w:proofErr w:type="gramStart"/>
      <w:r w:rsidRPr="00D757ED">
        <w:rPr>
          <w:rFonts w:ascii="Times New Roman" w:hAnsi="Times New Roman"/>
          <w:sz w:val="24"/>
          <w:szCs w:val="24"/>
        </w:rPr>
        <w:t>City</w:t>
      </w:r>
      <w:proofErr w:type="gramEnd"/>
      <w:r w:rsidRPr="00D757ED">
        <w:rPr>
          <w:rFonts w:ascii="Times New Roman" w:hAnsi="Times New Roman"/>
          <w:sz w:val="24"/>
          <w:szCs w:val="24"/>
        </w:rPr>
        <w:t xml:space="preserve"> ordinance in a lawsuit filed by the ACLU.  The Court wrote: “Plaintiffs are effectively requesting that they be allowed to park their RVs in the city because they need to be able to live in their RVs, not because they are unable to access parking otherwise. The Court knows of no authority that would support such a demand…. Footnote 4: Plaintiffs also assert there is no direct evidence of, for example, an RV catching on fire. The Court notes, however, that </w:t>
      </w:r>
      <w:r w:rsidRPr="00D757ED">
        <w:rPr>
          <w:rFonts w:ascii="Times New Roman" w:hAnsi="Times New Roman"/>
          <w:sz w:val="24"/>
          <w:szCs w:val="24"/>
        </w:rPr>
        <w:lastRenderedPageBreak/>
        <w:t xml:space="preserve">Plaintiff Wetch herself stated in her declaration that her trailer burned down while she was on Morris Street.”  </w:t>
      </w:r>
      <w:hyperlink r:id="rId108" w:history="1">
        <w:r w:rsidRPr="00D757ED">
          <w:rPr>
            <w:rStyle w:val="Hyperlink"/>
            <w:rFonts w:ascii="Times New Roman" w:hAnsi="Times New Roman"/>
            <w:sz w:val="24"/>
            <w:szCs w:val="24"/>
          </w:rPr>
          <w:t>https://public.fastcase.com/H1P9uiW3J20SFp%2BGCG%2BxLdyLNTd%2BNZHrq5Wsvr6dKQeFEDZwgsQrm3TmKDWH2%2B1z?utm_medium=email&amp;_hsenc=p2ANqtz--qDncIsqCSeahqkjvoaWhQNyG1yg2f5tRQPi1w8DS9NFdMbI3pDOffIzG2fuU_g9WmDOo8NJeLM9bCUVMHJsMZyGOdjg&amp;_hsmi=226712652&amp;utm_content=226712652&amp;utm_source=hs_email</w:t>
        </w:r>
      </w:hyperlink>
      <w:r w:rsidRPr="00D757ED">
        <w:rPr>
          <w:rFonts w:ascii="Times New Roman" w:hAnsi="Times New Roman"/>
          <w:sz w:val="24"/>
          <w:szCs w:val="24"/>
        </w:rPr>
        <w:t xml:space="preserve"> </w:t>
      </w:r>
    </w:p>
    <w:p w14:paraId="58715618" w14:textId="77777777" w:rsidR="00D757ED" w:rsidRDefault="00D757ED" w:rsidP="006F4352">
      <w:pPr>
        <w:pStyle w:val="NoSpacing"/>
        <w:rPr>
          <w:rFonts w:ascii="Arial Black" w:hAnsi="Arial Black"/>
          <w:sz w:val="24"/>
          <w:szCs w:val="24"/>
        </w:rPr>
      </w:pPr>
    </w:p>
    <w:p w14:paraId="5DDF5007" w14:textId="77777777" w:rsidR="000F060C" w:rsidRPr="000F060C" w:rsidRDefault="000F060C" w:rsidP="000F060C">
      <w:pPr>
        <w:pStyle w:val="NoSpacing"/>
        <w:ind w:left="720"/>
        <w:rPr>
          <w:rFonts w:ascii="Times New Roman" w:hAnsi="Times New Roman"/>
          <w:sz w:val="24"/>
          <w:szCs w:val="24"/>
        </w:rPr>
      </w:pPr>
      <w:r w:rsidRPr="000F060C">
        <w:rPr>
          <w:rFonts w:ascii="Times New Roman" w:hAnsi="Times New Roman"/>
          <w:sz w:val="24"/>
          <w:szCs w:val="24"/>
        </w:rPr>
        <w:t>Note: See the City’s press release  about this case. “City of Sebastopol Prevails in Challenge to RV Ordinance,” November 23, 2024, City News</w:t>
      </w:r>
    </w:p>
    <w:p w14:paraId="5B0E067E" w14:textId="77777777" w:rsidR="000F060C" w:rsidRPr="000F060C" w:rsidRDefault="000F060C" w:rsidP="000F060C">
      <w:pPr>
        <w:pStyle w:val="NoSpacing"/>
        <w:ind w:left="720"/>
        <w:rPr>
          <w:rFonts w:ascii="Times New Roman" w:hAnsi="Times New Roman"/>
          <w:b/>
          <w:sz w:val="24"/>
          <w:szCs w:val="24"/>
        </w:rPr>
      </w:pPr>
      <w:hyperlink r:id="rId109" w:history="1">
        <w:r w:rsidRPr="000F060C">
          <w:rPr>
            <w:rStyle w:val="Hyperlink"/>
            <w:rFonts w:ascii="Times New Roman" w:hAnsi="Times New Roman"/>
            <w:b/>
            <w:sz w:val="24"/>
            <w:szCs w:val="24"/>
          </w:rPr>
          <w:t>https://www.cityofsebastopol.gov/city-of-sebastopol-prevails-in-challenge-to-rv-ordinance/</w:t>
        </w:r>
      </w:hyperlink>
      <w:r w:rsidRPr="000F060C">
        <w:rPr>
          <w:rFonts w:ascii="Times New Roman" w:hAnsi="Times New Roman"/>
          <w:b/>
          <w:sz w:val="24"/>
          <w:szCs w:val="24"/>
        </w:rPr>
        <w:t xml:space="preserve"> </w:t>
      </w:r>
    </w:p>
    <w:p w14:paraId="441BE378" w14:textId="77777777" w:rsidR="000F060C" w:rsidRPr="000F060C" w:rsidRDefault="000F060C" w:rsidP="000F060C">
      <w:pPr>
        <w:pStyle w:val="NoSpacing"/>
        <w:ind w:left="720"/>
        <w:rPr>
          <w:rFonts w:ascii="Times New Roman" w:hAnsi="Times New Roman"/>
          <w:bCs/>
          <w:sz w:val="24"/>
          <w:szCs w:val="24"/>
        </w:rPr>
      </w:pPr>
      <w:r w:rsidRPr="000F060C">
        <w:rPr>
          <w:rFonts w:ascii="Times New Roman" w:hAnsi="Times New Roman"/>
          <w:sz w:val="24"/>
          <w:szCs w:val="24"/>
        </w:rPr>
        <w:t xml:space="preserve">“Friday afternoon, November 22, a decision was issued in the case of </w:t>
      </w:r>
      <w:proofErr w:type="spellStart"/>
      <w:r w:rsidRPr="000F060C">
        <w:rPr>
          <w:rFonts w:ascii="Times New Roman" w:hAnsi="Times New Roman"/>
          <w:sz w:val="24"/>
          <w:szCs w:val="24"/>
        </w:rPr>
        <w:t>Yesue</w:t>
      </w:r>
      <w:proofErr w:type="spellEnd"/>
      <w:r w:rsidRPr="000F060C">
        <w:rPr>
          <w:rFonts w:ascii="Times New Roman" w:hAnsi="Times New Roman"/>
          <w:sz w:val="24"/>
          <w:szCs w:val="24"/>
        </w:rPr>
        <w:t xml:space="preserve"> et al. v. City of Sebastopol, commonly known as the ACLU litigation. In 2022, the Sebastopol City Council adopted an ordinance regulating where and when RVs could park on public streets. Soon after the ordinance was adopted, the ACLU filed a lawsuit challenging the ordinance on behalf of several plaintiffs. The lawsuit raised 14 different causes of action. The US District </w:t>
      </w:r>
      <w:proofErr w:type="gramStart"/>
      <w:r w:rsidRPr="000F060C">
        <w:rPr>
          <w:rFonts w:ascii="Times New Roman" w:hAnsi="Times New Roman"/>
          <w:sz w:val="24"/>
          <w:szCs w:val="24"/>
        </w:rPr>
        <w:t>Court,</w:t>
      </w:r>
      <w:proofErr w:type="gramEnd"/>
      <w:r w:rsidRPr="000F060C">
        <w:rPr>
          <w:rFonts w:ascii="Times New Roman" w:hAnsi="Times New Roman"/>
          <w:sz w:val="24"/>
          <w:szCs w:val="24"/>
        </w:rPr>
        <w:t xml:space="preserve"> Northern District of California rejected all claims raised by the Plaintiffs and granted the City’s motion for summary judgment in its entirety. In short, the City of Sebastopol prevailed. The purpose of the RV Ordinance was to address the serious public health and safety issues that arise from RV encampments, and to ensure adequate street parking for the </w:t>
      </w:r>
      <w:proofErr w:type="gramStart"/>
      <w:r w:rsidRPr="000F060C">
        <w:rPr>
          <w:rFonts w:ascii="Times New Roman" w:hAnsi="Times New Roman"/>
          <w:sz w:val="24"/>
          <w:szCs w:val="24"/>
        </w:rPr>
        <w:t>general public</w:t>
      </w:r>
      <w:proofErr w:type="gramEnd"/>
      <w:r w:rsidRPr="000F060C">
        <w:rPr>
          <w:rFonts w:ascii="Times New Roman" w:hAnsi="Times New Roman"/>
          <w:sz w:val="24"/>
          <w:szCs w:val="24"/>
        </w:rPr>
        <w:t xml:space="preserve">. Homelessness is a complex regional and statewide issue, that no one city can solve alone. Sebastopol has consistently done its part, and more, to tackle the crisis in a compassionate manner. ‘The parking ordinance was our small town’s effort to balance the many interests we serve, to find a solution and not turn away from what was a very challenging situation,” said Sebastopol Mayor Diana Rich. ‘It’s a good-faith heartfelt solution that gives consideration and respect to all in our community, including the unhoused. I’m pleased to see that the Court’s decision validates Sebastopol’s efforts to do what is right, fair, and equitable.’ The </w:t>
      </w:r>
      <w:proofErr w:type="gramStart"/>
      <w:r w:rsidRPr="000F060C">
        <w:rPr>
          <w:rFonts w:ascii="Times New Roman" w:hAnsi="Times New Roman"/>
          <w:sz w:val="24"/>
          <w:szCs w:val="24"/>
        </w:rPr>
        <w:t>City</w:t>
      </w:r>
      <w:proofErr w:type="gramEnd"/>
      <w:r w:rsidRPr="000F060C">
        <w:rPr>
          <w:rFonts w:ascii="Times New Roman" w:hAnsi="Times New Roman"/>
          <w:sz w:val="24"/>
          <w:szCs w:val="24"/>
        </w:rPr>
        <w:t xml:space="preserve"> is continuing to review the Court’s decision, and the City Council will discuss how to implement the Court’s decision and the RV Ordinance in the coming weeks.”</w:t>
      </w:r>
    </w:p>
    <w:p w14:paraId="7CF2484F" w14:textId="77777777" w:rsidR="000F060C" w:rsidRDefault="000F060C" w:rsidP="000F060C">
      <w:pPr>
        <w:rPr>
          <w:bCs/>
          <w:sz w:val="20"/>
          <w:szCs w:val="20"/>
        </w:rPr>
      </w:pPr>
    </w:p>
    <w:p w14:paraId="4FCD0DF9" w14:textId="77777777" w:rsidR="00D757ED" w:rsidRDefault="00D757ED" w:rsidP="006F4352">
      <w:pPr>
        <w:pStyle w:val="NoSpacing"/>
        <w:rPr>
          <w:rFonts w:ascii="Arial Black" w:hAnsi="Arial Black"/>
          <w:sz w:val="24"/>
          <w:szCs w:val="24"/>
        </w:rPr>
      </w:pPr>
    </w:p>
    <w:p w14:paraId="5394BF7E" w14:textId="504A5C8B" w:rsidR="006F4352" w:rsidRDefault="006F4352" w:rsidP="006F4352">
      <w:pPr>
        <w:pStyle w:val="NoSpacing"/>
        <w:rPr>
          <w:rFonts w:ascii="Arial Black" w:hAnsi="Arial Black"/>
          <w:sz w:val="24"/>
          <w:szCs w:val="24"/>
        </w:rPr>
      </w:pPr>
      <w:r>
        <w:rPr>
          <w:rFonts w:ascii="Arial Black" w:hAnsi="Arial Black"/>
          <w:sz w:val="24"/>
          <w:szCs w:val="24"/>
        </w:rPr>
        <w:t>1-164</w:t>
      </w:r>
    </w:p>
    <w:p w14:paraId="7EE03FC4" w14:textId="77777777" w:rsidR="009E27B4" w:rsidRDefault="009E27B4" w:rsidP="00B86628">
      <w:pPr>
        <w:pStyle w:val="NoSpacing"/>
        <w:rPr>
          <w:rFonts w:ascii="Arial Black" w:hAnsi="Arial Black"/>
          <w:sz w:val="24"/>
          <w:szCs w:val="24"/>
        </w:rPr>
      </w:pPr>
    </w:p>
    <w:p w14:paraId="02CD07BF" w14:textId="77777777" w:rsidR="009E27B4" w:rsidRPr="00CE10E8" w:rsidRDefault="009E27B4" w:rsidP="009E27B4">
      <w:pPr>
        <w:pStyle w:val="NoSpacing"/>
        <w:rPr>
          <w:rFonts w:ascii="Arial Black" w:hAnsi="Arial Black"/>
          <w:b/>
          <w:bCs/>
          <w:sz w:val="28"/>
          <w:szCs w:val="28"/>
        </w:rPr>
      </w:pPr>
      <w:r w:rsidRPr="00CE10E8">
        <w:rPr>
          <w:rFonts w:ascii="Arial Black" w:hAnsi="Arial Black"/>
          <w:b/>
          <w:bCs/>
          <w:sz w:val="28"/>
          <w:szCs w:val="28"/>
        </w:rPr>
        <w:t>IA: ARSON – FORMER GIRLFRIEND DATING ANOTHER – 5 HOME – CONV. 5 COUNTS ATT. MURDER – 50 YRS PRISON</w:t>
      </w:r>
    </w:p>
    <w:p w14:paraId="0EAEEE0D" w14:textId="77777777" w:rsidR="009E27B4" w:rsidRPr="00CE10E8" w:rsidRDefault="009E27B4" w:rsidP="009E27B4">
      <w:pPr>
        <w:pStyle w:val="NoSpacing"/>
        <w:rPr>
          <w:rFonts w:ascii="Arial Black" w:hAnsi="Arial Black"/>
          <w:sz w:val="28"/>
          <w:szCs w:val="28"/>
        </w:rPr>
      </w:pPr>
    </w:p>
    <w:p w14:paraId="41E95D03" w14:textId="7A778DD4" w:rsidR="009E27B4" w:rsidRPr="009E27B4" w:rsidRDefault="009E27B4" w:rsidP="009E27B4">
      <w:pPr>
        <w:pStyle w:val="NoSpacing"/>
        <w:rPr>
          <w:rFonts w:ascii="Times New Roman" w:hAnsi="Times New Roman"/>
          <w:bCs/>
          <w:sz w:val="24"/>
          <w:szCs w:val="24"/>
        </w:rPr>
      </w:pPr>
      <w:r w:rsidRPr="009E27B4">
        <w:rPr>
          <w:rFonts w:ascii="Times New Roman" w:hAnsi="Times New Roman"/>
          <w:sz w:val="24"/>
          <w:szCs w:val="24"/>
        </w:rPr>
        <w:t xml:space="preserve">On Oct. 30, 2024, in </w:t>
      </w:r>
      <w:r w:rsidRPr="009E27B4">
        <w:rPr>
          <w:rFonts w:ascii="Times New Roman" w:hAnsi="Times New Roman"/>
          <w:sz w:val="24"/>
          <w:szCs w:val="24"/>
          <w:u w:val="single"/>
        </w:rPr>
        <w:t>State of Iowa v. Ishmael Shabazz Carter</w:t>
      </w:r>
      <w:r w:rsidRPr="009E27B4">
        <w:rPr>
          <w:rFonts w:ascii="Times New Roman" w:hAnsi="Times New Roman"/>
          <w:sz w:val="24"/>
          <w:szCs w:val="24"/>
        </w:rPr>
        <w:t>, the Court of Appeals of Iowa held (3 to 0):  “A defendant challenges the sufficiency of the evidence supporting his</w:t>
      </w:r>
      <w:r>
        <w:rPr>
          <w:rFonts w:ascii="Times New Roman" w:hAnsi="Times New Roman"/>
          <w:sz w:val="24"/>
          <w:szCs w:val="24"/>
        </w:rPr>
        <w:t xml:space="preserve"> </w:t>
      </w:r>
      <w:r w:rsidRPr="009E27B4">
        <w:rPr>
          <w:rFonts w:ascii="Times New Roman" w:hAnsi="Times New Roman"/>
          <w:sz w:val="24"/>
          <w:szCs w:val="24"/>
        </w:rPr>
        <w:t>convictions for arson in the first degree and five counts of attempted murder.</w:t>
      </w:r>
      <w:r>
        <w:rPr>
          <w:rFonts w:ascii="Times New Roman" w:hAnsi="Times New Roman"/>
          <w:sz w:val="24"/>
          <w:szCs w:val="24"/>
        </w:rPr>
        <w:t xml:space="preserve"> </w:t>
      </w:r>
      <w:r w:rsidRPr="009E27B4">
        <w:rPr>
          <w:rFonts w:ascii="Times New Roman" w:hAnsi="Times New Roman"/>
          <w:sz w:val="24"/>
          <w:szCs w:val="24"/>
        </w:rPr>
        <w:t xml:space="preserve">AFFIRMED.” </w:t>
      </w:r>
      <w:hyperlink r:id="rId110" w:history="1">
        <w:r w:rsidRPr="009E27B4">
          <w:rPr>
            <w:rStyle w:val="Hyperlink"/>
            <w:rFonts w:ascii="Times New Roman" w:hAnsi="Times New Roman"/>
            <w:sz w:val="24"/>
            <w:szCs w:val="24"/>
          </w:rPr>
          <w:t>https://cases.justia.com/iowa/court-of-appeals/2024-23-0625.pdf?ts=1730301434</w:t>
        </w:r>
      </w:hyperlink>
      <w:r w:rsidRPr="009E27B4">
        <w:rPr>
          <w:rFonts w:ascii="Times New Roman" w:hAnsi="Times New Roman"/>
          <w:sz w:val="24"/>
          <w:szCs w:val="24"/>
        </w:rPr>
        <w:t xml:space="preserve"> </w:t>
      </w:r>
    </w:p>
    <w:p w14:paraId="30A20F43" w14:textId="77777777" w:rsidR="009E27B4" w:rsidRDefault="009E27B4" w:rsidP="009E27B4">
      <w:pPr>
        <w:pStyle w:val="NoSpacing"/>
      </w:pPr>
    </w:p>
    <w:p w14:paraId="42C7DC4B" w14:textId="77777777" w:rsidR="00113436" w:rsidRPr="00113436" w:rsidRDefault="00113436" w:rsidP="00113436">
      <w:pPr>
        <w:pStyle w:val="NoSpacing"/>
        <w:rPr>
          <w:rFonts w:ascii="Times New Roman" w:hAnsi="Times New Roman"/>
          <w:b/>
          <w:bCs/>
          <w:sz w:val="24"/>
          <w:szCs w:val="24"/>
        </w:rPr>
      </w:pPr>
      <w:r w:rsidRPr="00113436">
        <w:rPr>
          <w:rFonts w:ascii="Times New Roman" w:hAnsi="Times New Roman"/>
          <w:b/>
          <w:sz w:val="24"/>
          <w:szCs w:val="24"/>
        </w:rPr>
        <w:t xml:space="preserve">Legal Lesson Learned: Circumstantial evidence can support </w:t>
      </w:r>
      <w:proofErr w:type="gramStart"/>
      <w:r w:rsidRPr="00113436">
        <w:rPr>
          <w:rFonts w:ascii="Times New Roman" w:hAnsi="Times New Roman"/>
          <w:b/>
          <w:sz w:val="24"/>
          <w:szCs w:val="24"/>
        </w:rPr>
        <w:t>an arson</w:t>
      </w:r>
      <w:proofErr w:type="gramEnd"/>
      <w:r w:rsidRPr="00113436">
        <w:rPr>
          <w:rFonts w:ascii="Times New Roman" w:hAnsi="Times New Roman"/>
          <w:b/>
          <w:sz w:val="24"/>
          <w:szCs w:val="24"/>
        </w:rPr>
        <w:t xml:space="preserve"> conviction.</w:t>
      </w:r>
    </w:p>
    <w:p w14:paraId="70A84787" w14:textId="77777777" w:rsidR="009E27B4" w:rsidRDefault="009E27B4" w:rsidP="00B86628">
      <w:pPr>
        <w:pStyle w:val="NoSpacing"/>
        <w:rPr>
          <w:rFonts w:ascii="Arial Black" w:hAnsi="Arial Black"/>
          <w:sz w:val="24"/>
          <w:szCs w:val="24"/>
        </w:rPr>
      </w:pPr>
    </w:p>
    <w:p w14:paraId="6917EB72" w14:textId="77777777" w:rsidR="00C437E2" w:rsidRDefault="00C437E2" w:rsidP="00B86628">
      <w:pPr>
        <w:pStyle w:val="NoSpacing"/>
        <w:rPr>
          <w:rFonts w:ascii="Arial Black" w:hAnsi="Arial Black"/>
          <w:sz w:val="24"/>
          <w:szCs w:val="24"/>
        </w:rPr>
      </w:pPr>
    </w:p>
    <w:p w14:paraId="78094416" w14:textId="77777777" w:rsidR="00CE10E8" w:rsidRDefault="00CE10E8" w:rsidP="00B86628">
      <w:pPr>
        <w:pStyle w:val="NoSpacing"/>
        <w:rPr>
          <w:rFonts w:ascii="Arial Black" w:hAnsi="Arial Black"/>
          <w:sz w:val="24"/>
          <w:szCs w:val="24"/>
        </w:rPr>
      </w:pPr>
    </w:p>
    <w:p w14:paraId="2E354ABD" w14:textId="77777777" w:rsidR="00CE10E8" w:rsidRDefault="00CE10E8" w:rsidP="00B86628">
      <w:pPr>
        <w:pStyle w:val="NoSpacing"/>
        <w:rPr>
          <w:rFonts w:ascii="Arial Black" w:hAnsi="Arial Black"/>
          <w:sz w:val="24"/>
          <w:szCs w:val="24"/>
        </w:rPr>
      </w:pPr>
    </w:p>
    <w:p w14:paraId="400A1E27" w14:textId="16860332" w:rsidR="005C09B0" w:rsidRDefault="00C437E2" w:rsidP="00B86628">
      <w:pPr>
        <w:pStyle w:val="NoSpacing"/>
        <w:rPr>
          <w:rFonts w:ascii="Arial Black" w:hAnsi="Arial Black"/>
          <w:sz w:val="24"/>
          <w:szCs w:val="24"/>
        </w:rPr>
      </w:pPr>
      <w:r>
        <w:rPr>
          <w:rFonts w:ascii="Arial Black" w:hAnsi="Arial Black"/>
          <w:sz w:val="24"/>
          <w:szCs w:val="24"/>
        </w:rPr>
        <w:t>1-16</w:t>
      </w:r>
      <w:r w:rsidR="006F4352">
        <w:rPr>
          <w:rFonts w:ascii="Arial Black" w:hAnsi="Arial Black"/>
          <w:sz w:val="24"/>
          <w:szCs w:val="24"/>
        </w:rPr>
        <w:t>3</w:t>
      </w:r>
    </w:p>
    <w:p w14:paraId="3FE99A9C" w14:textId="77777777" w:rsidR="00C437E2" w:rsidRDefault="00C437E2" w:rsidP="00B86628">
      <w:pPr>
        <w:pStyle w:val="NoSpacing"/>
        <w:rPr>
          <w:rFonts w:ascii="Arial Black" w:hAnsi="Arial Black"/>
          <w:sz w:val="24"/>
          <w:szCs w:val="24"/>
        </w:rPr>
      </w:pPr>
    </w:p>
    <w:p w14:paraId="747B8A41" w14:textId="77777777" w:rsidR="005D2B81" w:rsidRPr="00CE10E8" w:rsidRDefault="005D2B81" w:rsidP="005D2B81">
      <w:pPr>
        <w:rPr>
          <w:rFonts w:ascii="Arial Black" w:hAnsi="Arial Black"/>
          <w:b/>
          <w:sz w:val="28"/>
          <w:szCs w:val="28"/>
        </w:rPr>
      </w:pPr>
      <w:r w:rsidRPr="00CE10E8">
        <w:rPr>
          <w:rFonts w:ascii="Arial Black" w:hAnsi="Arial Black"/>
          <w:b/>
          <w:sz w:val="28"/>
          <w:szCs w:val="28"/>
        </w:rPr>
        <w:t>OH:  OBSTRUCTION OF OFFICIAL BUSINESS - FIRE OUT OF CONTROL IN FRONT HER HOME – THREATENED FIRE CHIEF</w:t>
      </w:r>
    </w:p>
    <w:p w14:paraId="4273DEB1" w14:textId="77777777" w:rsidR="005D2B81" w:rsidRPr="005D2B81" w:rsidRDefault="005D2B81" w:rsidP="005D2B81">
      <w:pPr>
        <w:rPr>
          <w:rFonts w:ascii="Times New Roman" w:hAnsi="Times New Roman"/>
        </w:rPr>
      </w:pPr>
      <w:r w:rsidRPr="005D2B81">
        <w:rPr>
          <w:rFonts w:ascii="Times New Roman" w:hAnsi="Times New Roman"/>
          <w:sz w:val="24"/>
          <w:szCs w:val="24"/>
        </w:rPr>
        <w:lastRenderedPageBreak/>
        <w:t xml:space="preserve">On Oct. 25, </w:t>
      </w:r>
      <w:proofErr w:type="gramStart"/>
      <w:r w:rsidRPr="005D2B81">
        <w:rPr>
          <w:rFonts w:ascii="Times New Roman" w:hAnsi="Times New Roman"/>
          <w:sz w:val="24"/>
          <w:szCs w:val="24"/>
        </w:rPr>
        <w:t>2024</w:t>
      </w:r>
      <w:proofErr w:type="gramEnd"/>
      <w:r w:rsidRPr="005D2B81">
        <w:rPr>
          <w:rFonts w:ascii="Times New Roman" w:hAnsi="Times New Roman"/>
          <w:sz w:val="24"/>
          <w:szCs w:val="24"/>
        </w:rPr>
        <w:t xml:space="preserve"> in </w:t>
      </w:r>
      <w:r w:rsidRPr="005D2B81">
        <w:rPr>
          <w:rFonts w:ascii="Times New Roman" w:hAnsi="Times New Roman"/>
          <w:sz w:val="24"/>
          <w:szCs w:val="24"/>
          <w:u w:val="single"/>
        </w:rPr>
        <w:t>State of Ohio v. Jasmine A. Anderson</w:t>
      </w:r>
      <w:r w:rsidRPr="005D2B81">
        <w:rPr>
          <w:rFonts w:ascii="Times New Roman" w:hAnsi="Times New Roman"/>
          <w:sz w:val="24"/>
          <w:szCs w:val="24"/>
        </w:rPr>
        <w:t xml:space="preserve">, the Ohio Court of Appeals, Seventh Appellate District, Belmont County, held (3 to 0) “Appellant Jasmine A. Anderson argues that her conviction for obstruction of official business was against the sufficiency and manifest weight of the evidence. *** Appellant’s assignment of error is without merit, and her conviction and sentence are affirmed. *** The court sentenced Appellant to 90 days in jail and court costs, with credit for 10 days.” </w:t>
      </w:r>
      <w:hyperlink r:id="rId111" w:history="1">
        <w:r w:rsidRPr="005D2B81">
          <w:rPr>
            <w:rStyle w:val="Hyperlink"/>
            <w:rFonts w:ascii="Times New Roman" w:hAnsi="Times New Roman"/>
            <w:sz w:val="24"/>
            <w:szCs w:val="24"/>
          </w:rPr>
          <w:t>https://cases.justia.com/ohio/seventh-district-court-of-appeals/2024-24-be-0004.pdf?ts=1730297340</w:t>
        </w:r>
      </w:hyperlink>
      <w:r w:rsidRPr="005D2B81">
        <w:rPr>
          <w:rFonts w:ascii="Times New Roman" w:hAnsi="Times New Roman"/>
        </w:rPr>
        <w:t xml:space="preserve"> </w:t>
      </w:r>
    </w:p>
    <w:p w14:paraId="38E9E2B1" w14:textId="77777777" w:rsidR="00E81DD1" w:rsidRPr="00BD3A19" w:rsidRDefault="00E81DD1" w:rsidP="00E81DD1">
      <w:pPr>
        <w:rPr>
          <w:b/>
          <w:bCs/>
        </w:rPr>
      </w:pPr>
      <w:r w:rsidRPr="00E81DD1">
        <w:rPr>
          <w:b/>
          <w:sz w:val="24"/>
          <w:szCs w:val="24"/>
        </w:rPr>
        <w:t>Legal Lesson Learned: Threatening words may constitute obstruction of official business</w:t>
      </w:r>
      <w:r w:rsidRPr="00517201">
        <w:rPr>
          <w:b/>
        </w:rPr>
        <w:t>.</w:t>
      </w:r>
    </w:p>
    <w:p w14:paraId="4DACAD27" w14:textId="77777777" w:rsidR="005D2B81" w:rsidRPr="005D2B81" w:rsidRDefault="005D2B81" w:rsidP="00B86628">
      <w:pPr>
        <w:pStyle w:val="NoSpacing"/>
        <w:rPr>
          <w:rFonts w:ascii="Times New Roman" w:hAnsi="Times New Roman"/>
          <w:sz w:val="24"/>
          <w:szCs w:val="24"/>
        </w:rPr>
      </w:pPr>
    </w:p>
    <w:p w14:paraId="6357AB61" w14:textId="77777777" w:rsidR="00C437E2" w:rsidRDefault="00C437E2" w:rsidP="00B86628">
      <w:pPr>
        <w:pStyle w:val="NoSpacing"/>
        <w:rPr>
          <w:rFonts w:ascii="Arial Black" w:hAnsi="Arial Black"/>
          <w:sz w:val="24"/>
          <w:szCs w:val="24"/>
        </w:rPr>
      </w:pPr>
    </w:p>
    <w:p w14:paraId="590ADA05" w14:textId="1FF9BD86" w:rsidR="005C09B0" w:rsidRDefault="00C437E2" w:rsidP="00B86628">
      <w:pPr>
        <w:pStyle w:val="NoSpacing"/>
        <w:rPr>
          <w:rFonts w:ascii="Arial Black" w:hAnsi="Arial Black"/>
          <w:sz w:val="24"/>
          <w:szCs w:val="24"/>
        </w:rPr>
      </w:pPr>
      <w:r>
        <w:rPr>
          <w:rFonts w:ascii="Arial Black" w:hAnsi="Arial Black"/>
          <w:sz w:val="24"/>
          <w:szCs w:val="24"/>
        </w:rPr>
        <w:t>1-1</w:t>
      </w:r>
      <w:r w:rsidR="006F4352">
        <w:rPr>
          <w:rFonts w:ascii="Arial Black" w:hAnsi="Arial Black"/>
          <w:sz w:val="24"/>
          <w:szCs w:val="24"/>
        </w:rPr>
        <w:t>62</w:t>
      </w:r>
    </w:p>
    <w:p w14:paraId="4096FC4A" w14:textId="77777777" w:rsidR="00E81DD1" w:rsidRDefault="00E81DD1" w:rsidP="00B86628">
      <w:pPr>
        <w:pStyle w:val="NoSpacing"/>
        <w:rPr>
          <w:rFonts w:ascii="Arial Black" w:hAnsi="Arial Black"/>
          <w:sz w:val="24"/>
          <w:szCs w:val="24"/>
        </w:rPr>
      </w:pPr>
    </w:p>
    <w:p w14:paraId="4DAAFBE9" w14:textId="77777777" w:rsidR="004A436F" w:rsidRPr="00CE10E8" w:rsidRDefault="004A436F" w:rsidP="004A436F">
      <w:pPr>
        <w:rPr>
          <w:rFonts w:ascii="Arial Black" w:hAnsi="Arial Black"/>
          <w:b/>
          <w:bCs/>
          <w:sz w:val="28"/>
          <w:szCs w:val="28"/>
        </w:rPr>
      </w:pPr>
      <w:r w:rsidRPr="00CE10E8">
        <w:rPr>
          <w:rFonts w:ascii="Arial Black" w:hAnsi="Arial Black"/>
          <w:b/>
          <w:bCs/>
          <w:sz w:val="28"/>
          <w:szCs w:val="28"/>
        </w:rPr>
        <w:t>PA: ARSON – HIS CELL PHONE RECORDS SHOW AT HOME TIME FIRE – GETTING DIVORCE – 7.5-15 MONTHS / $369K</w:t>
      </w:r>
    </w:p>
    <w:p w14:paraId="338EF79B" w14:textId="77777777" w:rsidR="004A436F" w:rsidRPr="004A436F" w:rsidRDefault="004A436F" w:rsidP="004A436F">
      <w:pPr>
        <w:pStyle w:val="NoSpacing"/>
        <w:rPr>
          <w:rFonts w:ascii="Times New Roman" w:hAnsi="Times New Roman"/>
          <w:sz w:val="24"/>
          <w:szCs w:val="24"/>
        </w:rPr>
      </w:pPr>
      <w:r w:rsidRPr="004A436F">
        <w:rPr>
          <w:rFonts w:ascii="Times New Roman" w:hAnsi="Times New Roman"/>
          <w:sz w:val="24"/>
          <w:szCs w:val="24"/>
        </w:rPr>
        <w:t xml:space="preserve">Oct. 21, </w:t>
      </w:r>
      <w:proofErr w:type="gramStart"/>
      <w:r w:rsidRPr="004A436F">
        <w:rPr>
          <w:rFonts w:ascii="Times New Roman" w:hAnsi="Times New Roman"/>
          <w:sz w:val="24"/>
          <w:szCs w:val="24"/>
        </w:rPr>
        <w:t>2024</w:t>
      </w:r>
      <w:proofErr w:type="gramEnd"/>
      <w:r w:rsidRPr="004A436F">
        <w:rPr>
          <w:rFonts w:ascii="Times New Roman" w:hAnsi="Times New Roman"/>
          <w:sz w:val="24"/>
          <w:szCs w:val="24"/>
        </w:rPr>
        <w:t xml:space="preserve"> in </w:t>
      </w:r>
      <w:r w:rsidRPr="004A436F">
        <w:rPr>
          <w:rFonts w:ascii="Times New Roman" w:hAnsi="Times New Roman"/>
          <w:sz w:val="24"/>
          <w:szCs w:val="24"/>
          <w:u w:val="single"/>
        </w:rPr>
        <w:t>Commonwealth of Pennsylvania v. Sherman E. Lowry</w:t>
      </w:r>
      <w:r w:rsidRPr="004A436F">
        <w:rPr>
          <w:rFonts w:ascii="Times New Roman" w:hAnsi="Times New Roman"/>
          <w:sz w:val="24"/>
          <w:szCs w:val="24"/>
        </w:rPr>
        <w:t xml:space="preserve">, the Superior Court of Pennsylvania held (3 to 0; non-precedential decision): “The evidence was sufficient for the jury to conclude that the fire was set by Appellant and that he did it intentionally, causing the damage that resulted.” </w:t>
      </w:r>
      <w:hyperlink r:id="rId112" w:history="1">
        <w:r w:rsidRPr="004A436F">
          <w:rPr>
            <w:rStyle w:val="Hyperlink"/>
            <w:rFonts w:ascii="Times New Roman" w:hAnsi="Times New Roman"/>
            <w:sz w:val="24"/>
            <w:szCs w:val="24"/>
          </w:rPr>
          <w:t>https://cases.justia.com/pennsylvania/superior-court/2024-1034-mda-2023.pdf?ts=1729535164</w:t>
        </w:r>
      </w:hyperlink>
      <w:r w:rsidRPr="004A436F">
        <w:rPr>
          <w:rFonts w:ascii="Times New Roman" w:hAnsi="Times New Roman"/>
          <w:sz w:val="24"/>
          <w:szCs w:val="24"/>
        </w:rPr>
        <w:t xml:space="preserve"> </w:t>
      </w:r>
    </w:p>
    <w:p w14:paraId="32BC5AC3" w14:textId="77777777" w:rsidR="00E81DD1" w:rsidRDefault="00E81DD1" w:rsidP="00B86628">
      <w:pPr>
        <w:pStyle w:val="NoSpacing"/>
        <w:rPr>
          <w:rFonts w:ascii="Arial Black" w:hAnsi="Arial Black"/>
          <w:sz w:val="24"/>
          <w:szCs w:val="24"/>
        </w:rPr>
      </w:pPr>
    </w:p>
    <w:p w14:paraId="5615005E" w14:textId="77777777" w:rsidR="001D6E51" w:rsidRPr="001D6E51" w:rsidRDefault="001D6E51" w:rsidP="001D6E51">
      <w:pPr>
        <w:pStyle w:val="NoSpacing"/>
        <w:rPr>
          <w:rFonts w:ascii="Times New Roman" w:hAnsi="Times New Roman"/>
          <w:b/>
          <w:bCs/>
          <w:sz w:val="24"/>
          <w:szCs w:val="24"/>
        </w:rPr>
      </w:pPr>
      <w:r w:rsidRPr="001D6E51">
        <w:rPr>
          <w:rFonts w:ascii="Times New Roman" w:hAnsi="Times New Roman"/>
          <w:b/>
          <w:sz w:val="24"/>
          <w:szCs w:val="24"/>
        </w:rPr>
        <w:t xml:space="preserve">Legal Lesson Learned: Cell phone data placed defendant at the scene of the fire.  A search warrant for cell phone records is a powerful investigative tool. </w:t>
      </w:r>
    </w:p>
    <w:p w14:paraId="3DE6CD22" w14:textId="77777777" w:rsidR="00E81DD1" w:rsidRDefault="00E81DD1" w:rsidP="00B86628">
      <w:pPr>
        <w:pStyle w:val="NoSpacing"/>
        <w:rPr>
          <w:rFonts w:ascii="Arial Black" w:hAnsi="Arial Black"/>
          <w:sz w:val="24"/>
          <w:szCs w:val="24"/>
        </w:rPr>
      </w:pPr>
    </w:p>
    <w:p w14:paraId="202309DE" w14:textId="77777777" w:rsidR="00CE10E8" w:rsidRDefault="00CE10E8" w:rsidP="00B86628">
      <w:pPr>
        <w:pStyle w:val="NoSpacing"/>
        <w:rPr>
          <w:rFonts w:ascii="Arial Black" w:hAnsi="Arial Black"/>
          <w:sz w:val="24"/>
          <w:szCs w:val="24"/>
        </w:rPr>
      </w:pPr>
    </w:p>
    <w:p w14:paraId="063DFDF7" w14:textId="0CB1E822" w:rsidR="005C09B0" w:rsidRDefault="005C09B0" w:rsidP="00B86628">
      <w:pPr>
        <w:pStyle w:val="NoSpacing"/>
        <w:rPr>
          <w:rFonts w:ascii="Arial Black" w:hAnsi="Arial Black"/>
          <w:sz w:val="24"/>
          <w:szCs w:val="24"/>
        </w:rPr>
      </w:pPr>
      <w:r>
        <w:rPr>
          <w:rFonts w:ascii="Arial Black" w:hAnsi="Arial Black"/>
          <w:sz w:val="24"/>
          <w:szCs w:val="24"/>
        </w:rPr>
        <w:t>1-16</w:t>
      </w:r>
      <w:r w:rsidR="006F4352">
        <w:rPr>
          <w:rFonts w:ascii="Arial Black" w:hAnsi="Arial Black"/>
          <w:sz w:val="24"/>
          <w:szCs w:val="24"/>
        </w:rPr>
        <w:t>1</w:t>
      </w:r>
    </w:p>
    <w:p w14:paraId="4BEDD57A" w14:textId="77777777" w:rsidR="005C09B0" w:rsidRDefault="005C09B0" w:rsidP="00B86628">
      <w:pPr>
        <w:pStyle w:val="NoSpacing"/>
        <w:rPr>
          <w:rFonts w:ascii="Arial Black" w:hAnsi="Arial Black"/>
          <w:sz w:val="24"/>
          <w:szCs w:val="24"/>
        </w:rPr>
      </w:pPr>
    </w:p>
    <w:p w14:paraId="4E8BB654" w14:textId="77777777" w:rsidR="009F234F" w:rsidRPr="00CE10E8" w:rsidRDefault="009F234F" w:rsidP="009F234F">
      <w:pPr>
        <w:pStyle w:val="NoSpacing"/>
        <w:rPr>
          <w:rFonts w:ascii="Arial Black" w:hAnsi="Arial Black"/>
          <w:b/>
          <w:bCs/>
          <w:sz w:val="28"/>
          <w:szCs w:val="28"/>
        </w:rPr>
      </w:pPr>
      <w:r w:rsidRPr="00CE10E8">
        <w:rPr>
          <w:rFonts w:ascii="Arial Black" w:hAnsi="Arial Black"/>
          <w:b/>
          <w:bCs/>
          <w:sz w:val="28"/>
          <w:szCs w:val="28"/>
        </w:rPr>
        <w:t>AR: ARSON – TRUCK FIRE – DEF. CONV. ARSON OF “OCCUPIED STRUCTURE” – INCLUDES A VEHICLE – 35 YRS</w:t>
      </w:r>
    </w:p>
    <w:p w14:paraId="60DE8104" w14:textId="77777777" w:rsidR="009F234F" w:rsidRPr="006F4352" w:rsidRDefault="009F234F" w:rsidP="009F234F">
      <w:pPr>
        <w:pStyle w:val="NoSpacing"/>
        <w:rPr>
          <w:rFonts w:ascii="Times New Roman" w:hAnsi="Times New Roman"/>
          <w:sz w:val="24"/>
          <w:szCs w:val="24"/>
        </w:rPr>
      </w:pPr>
    </w:p>
    <w:p w14:paraId="530861C0" w14:textId="77777777" w:rsidR="009F234F" w:rsidRPr="006F4352" w:rsidRDefault="009F234F" w:rsidP="009F234F">
      <w:pPr>
        <w:pStyle w:val="NoSpacing"/>
        <w:rPr>
          <w:rFonts w:ascii="Times New Roman" w:hAnsi="Times New Roman"/>
          <w:sz w:val="24"/>
          <w:szCs w:val="24"/>
        </w:rPr>
      </w:pPr>
      <w:r w:rsidRPr="006F4352">
        <w:rPr>
          <w:rFonts w:ascii="Times New Roman" w:hAnsi="Times New Roman"/>
          <w:sz w:val="24"/>
          <w:szCs w:val="24"/>
        </w:rPr>
        <w:t xml:space="preserve">On Sept. 17, 2024 in </w:t>
      </w:r>
      <w:r w:rsidRPr="006F4352">
        <w:rPr>
          <w:rFonts w:ascii="Times New Roman" w:hAnsi="Times New Roman"/>
          <w:sz w:val="24"/>
          <w:szCs w:val="24"/>
          <w:u w:val="single"/>
        </w:rPr>
        <w:t>State of Arizona v. Edwardo Serrato, III</w:t>
      </w:r>
      <w:r w:rsidRPr="006F4352">
        <w:rPr>
          <w:rFonts w:ascii="Times New Roman" w:hAnsi="Times New Roman"/>
          <w:sz w:val="24"/>
          <w:szCs w:val="24"/>
        </w:rPr>
        <w:t>, the Court of Appeals of Arizona, Division 1, held (3 to 0): “Edwardo Serrato, III appeals his conviction and sentence for arson of an occupied structure.</w:t>
      </w:r>
      <w:hyperlink r:id="rId113" w:anchor="footnote_1" w:history="1">
        <w:r w:rsidRPr="006F4352">
          <w:rPr>
            <w:rStyle w:val="Hyperlink"/>
            <w:rFonts w:ascii="Times New Roman" w:hAnsi="Times New Roman"/>
            <w:sz w:val="24"/>
            <w:szCs w:val="24"/>
            <w:vertAlign w:val="superscript"/>
          </w:rPr>
          <w:t>1</w:t>
        </w:r>
      </w:hyperlink>
      <w:r w:rsidRPr="006F4352">
        <w:rPr>
          <w:rFonts w:ascii="Times New Roman" w:hAnsi="Times New Roman"/>
          <w:sz w:val="24"/>
          <w:szCs w:val="24"/>
        </w:rPr>
        <w:t xml:space="preserve"> He argues that the vehicle subject to the arson was not occupied because there was no proof that anyone else was inside or in the vicinity of the vehicle that burned. We address whether a defendant's presence alone is sufficient to find a structure is occupied. We hold that it is. Accordingly, we affirm.”  </w:t>
      </w:r>
      <w:hyperlink r:id="rId114" w:history="1">
        <w:r w:rsidRPr="006F4352">
          <w:rPr>
            <w:rStyle w:val="Hyperlink"/>
            <w:rFonts w:ascii="Times New Roman" w:hAnsi="Times New Roman"/>
            <w:sz w:val="24"/>
            <w:szCs w:val="24"/>
          </w:rPr>
          <w:t>https://caselaw.findlaw.com/court/az-court-of-appeals/116575227.html</w:t>
        </w:r>
      </w:hyperlink>
      <w:r w:rsidRPr="006F4352">
        <w:rPr>
          <w:rFonts w:ascii="Times New Roman" w:hAnsi="Times New Roman"/>
          <w:sz w:val="24"/>
          <w:szCs w:val="24"/>
        </w:rPr>
        <w:t xml:space="preserve"> </w:t>
      </w:r>
    </w:p>
    <w:p w14:paraId="6146A567" w14:textId="77777777" w:rsidR="006F4352" w:rsidRPr="006F4352" w:rsidRDefault="006F4352" w:rsidP="006F4352">
      <w:pPr>
        <w:pStyle w:val="NoSpacing"/>
        <w:rPr>
          <w:rFonts w:ascii="Times New Roman" w:hAnsi="Times New Roman"/>
          <w:b/>
          <w:sz w:val="24"/>
          <w:szCs w:val="24"/>
        </w:rPr>
      </w:pPr>
    </w:p>
    <w:p w14:paraId="746D8E24" w14:textId="4186891B" w:rsidR="006F4352" w:rsidRPr="006F4352" w:rsidRDefault="006F4352" w:rsidP="006F4352">
      <w:pPr>
        <w:pStyle w:val="NoSpacing"/>
        <w:rPr>
          <w:rStyle w:val="Hyperlink"/>
          <w:rFonts w:ascii="Times New Roman" w:hAnsi="Times New Roman"/>
          <w:sz w:val="24"/>
          <w:szCs w:val="24"/>
        </w:rPr>
      </w:pPr>
      <w:r w:rsidRPr="006F4352">
        <w:rPr>
          <w:rFonts w:ascii="Times New Roman" w:hAnsi="Times New Roman"/>
          <w:b/>
          <w:sz w:val="24"/>
          <w:szCs w:val="24"/>
        </w:rPr>
        <w:t xml:space="preserve">Legal Lesson Learned: </w:t>
      </w:r>
      <w:r w:rsidRPr="006F4352">
        <w:rPr>
          <w:rFonts w:ascii="Times New Roman" w:hAnsi="Times New Roman"/>
          <w:b/>
          <w:bCs/>
          <w:sz w:val="24"/>
          <w:szCs w:val="24"/>
        </w:rPr>
        <w:t xml:space="preserve">Arizona has broadly defined </w:t>
      </w:r>
      <w:r w:rsidRPr="006F4352">
        <w:rPr>
          <w:rFonts w:ascii="Times New Roman" w:hAnsi="Times New Roman"/>
          <w:b/>
          <w:sz w:val="24"/>
          <w:szCs w:val="24"/>
        </w:rPr>
        <w:t xml:space="preserve">“occupied structure” </w:t>
      </w:r>
      <w:r w:rsidRPr="006F4352">
        <w:rPr>
          <w:rFonts w:ascii="Times New Roman" w:hAnsi="Times New Roman"/>
          <w:b/>
          <w:bCs/>
          <w:sz w:val="24"/>
          <w:szCs w:val="24"/>
        </w:rPr>
        <w:t xml:space="preserve">in its arson statute. </w:t>
      </w:r>
    </w:p>
    <w:p w14:paraId="20799732" w14:textId="77777777" w:rsidR="001D6E51" w:rsidRPr="006F4352" w:rsidRDefault="001D6E51" w:rsidP="00B86628">
      <w:pPr>
        <w:pStyle w:val="NoSpacing"/>
        <w:rPr>
          <w:rFonts w:ascii="Times New Roman" w:hAnsi="Times New Roman"/>
          <w:sz w:val="24"/>
          <w:szCs w:val="24"/>
        </w:rPr>
      </w:pPr>
    </w:p>
    <w:p w14:paraId="5DC7E058" w14:textId="77777777" w:rsidR="001D6E51" w:rsidRDefault="001D6E51" w:rsidP="00B86628">
      <w:pPr>
        <w:pStyle w:val="NoSpacing"/>
        <w:rPr>
          <w:rFonts w:ascii="Arial Black" w:hAnsi="Arial Black"/>
          <w:sz w:val="24"/>
          <w:szCs w:val="24"/>
        </w:rPr>
      </w:pPr>
    </w:p>
    <w:p w14:paraId="7C264D84" w14:textId="77777777" w:rsidR="00CE10E8" w:rsidRDefault="00CE10E8" w:rsidP="00B86628">
      <w:pPr>
        <w:pStyle w:val="NoSpacing"/>
        <w:rPr>
          <w:rFonts w:ascii="Arial Black" w:hAnsi="Arial Black"/>
          <w:sz w:val="24"/>
          <w:szCs w:val="24"/>
        </w:rPr>
      </w:pPr>
    </w:p>
    <w:p w14:paraId="24A4AC18" w14:textId="69B5BD26" w:rsidR="001D6E51" w:rsidRDefault="00F567E0" w:rsidP="00B86628">
      <w:pPr>
        <w:pStyle w:val="NoSpacing"/>
        <w:rPr>
          <w:rFonts w:ascii="Arial Black" w:hAnsi="Arial Black"/>
          <w:sz w:val="24"/>
          <w:szCs w:val="24"/>
        </w:rPr>
      </w:pPr>
      <w:r>
        <w:rPr>
          <w:rFonts w:ascii="Arial Black" w:hAnsi="Arial Black"/>
          <w:sz w:val="24"/>
          <w:szCs w:val="24"/>
        </w:rPr>
        <w:t>1-160</w:t>
      </w:r>
    </w:p>
    <w:p w14:paraId="0BEB36D5" w14:textId="77777777" w:rsidR="00F567E0" w:rsidRDefault="00F567E0" w:rsidP="00B86628">
      <w:pPr>
        <w:pStyle w:val="NoSpacing"/>
        <w:rPr>
          <w:rFonts w:ascii="Arial Black" w:hAnsi="Arial Black"/>
          <w:sz w:val="24"/>
          <w:szCs w:val="24"/>
        </w:rPr>
      </w:pPr>
    </w:p>
    <w:p w14:paraId="25FF336D" w14:textId="77777777" w:rsidR="004A1004" w:rsidRPr="00CE10E8" w:rsidRDefault="004A1004" w:rsidP="004A1004">
      <w:pPr>
        <w:pStyle w:val="NoSpacing"/>
        <w:rPr>
          <w:rFonts w:ascii="Arial Black" w:hAnsi="Arial Black"/>
          <w:b/>
          <w:bCs/>
          <w:sz w:val="28"/>
          <w:szCs w:val="28"/>
        </w:rPr>
      </w:pPr>
      <w:r w:rsidRPr="00CE10E8">
        <w:rPr>
          <w:rFonts w:ascii="Arial Black" w:hAnsi="Arial Black"/>
          <w:b/>
          <w:bCs/>
          <w:sz w:val="28"/>
          <w:szCs w:val="28"/>
        </w:rPr>
        <w:t>MN: ARSON – SET FIRE IN HIS KITCHEN &amp; LIVING ROOM – TO “SECURE TRIP TO JAIL” – NO PROBATION - 48 MONTHS</w:t>
      </w:r>
    </w:p>
    <w:p w14:paraId="4A64B516" w14:textId="77777777" w:rsidR="004A1004" w:rsidRPr="00290B7D" w:rsidRDefault="004A1004" w:rsidP="004A1004">
      <w:pPr>
        <w:pStyle w:val="NoSpacing"/>
        <w:rPr>
          <w:rFonts w:ascii="Times New Roman" w:hAnsi="Times New Roman"/>
          <w:sz w:val="24"/>
          <w:szCs w:val="24"/>
        </w:rPr>
      </w:pPr>
    </w:p>
    <w:p w14:paraId="1483FAB1" w14:textId="77777777" w:rsidR="004A1004" w:rsidRPr="00290B7D" w:rsidRDefault="004A1004" w:rsidP="004A1004">
      <w:pPr>
        <w:pStyle w:val="NoSpacing"/>
        <w:rPr>
          <w:rFonts w:ascii="Times New Roman" w:hAnsi="Times New Roman"/>
          <w:sz w:val="24"/>
          <w:szCs w:val="24"/>
        </w:rPr>
      </w:pPr>
      <w:r w:rsidRPr="00290B7D">
        <w:rPr>
          <w:rFonts w:ascii="Times New Roman" w:hAnsi="Times New Roman"/>
          <w:sz w:val="24"/>
          <w:szCs w:val="24"/>
        </w:rPr>
        <w:lastRenderedPageBreak/>
        <w:t xml:space="preserve">On Sept. 16, 2024, in </w:t>
      </w:r>
      <w:r w:rsidRPr="00290B7D">
        <w:rPr>
          <w:rFonts w:ascii="Times New Roman" w:hAnsi="Times New Roman"/>
          <w:sz w:val="24"/>
          <w:szCs w:val="24"/>
          <w:u w:val="single"/>
        </w:rPr>
        <w:t>State of Minnesota v. Hunter Steven Hipp</w:t>
      </w:r>
      <w:r w:rsidRPr="00290B7D">
        <w:rPr>
          <w:rFonts w:ascii="Times New Roman" w:hAnsi="Times New Roman"/>
          <w:sz w:val="24"/>
          <w:szCs w:val="24"/>
        </w:rPr>
        <w:t>, the Minnesota Court of Appeals held (3 to 0) “Hunter Hipp pleaded guilty to first-degree arson after intentionally setting fires in</w:t>
      </w:r>
    </w:p>
    <w:p w14:paraId="263508C8" w14:textId="77777777" w:rsidR="004A1004" w:rsidRPr="00290B7D" w:rsidRDefault="004A1004" w:rsidP="004A1004">
      <w:pPr>
        <w:pStyle w:val="NoSpacing"/>
        <w:rPr>
          <w:rFonts w:ascii="Times New Roman" w:hAnsi="Times New Roman"/>
          <w:sz w:val="24"/>
          <w:szCs w:val="24"/>
        </w:rPr>
      </w:pPr>
      <w:r w:rsidRPr="00290B7D">
        <w:rPr>
          <w:rFonts w:ascii="Times New Roman" w:hAnsi="Times New Roman"/>
          <w:sz w:val="24"/>
          <w:szCs w:val="24"/>
        </w:rPr>
        <w:t>the kitchen and living room of his apartment. He notified the district court in writing of his</w:t>
      </w:r>
    </w:p>
    <w:p w14:paraId="5B9EA823" w14:textId="77777777" w:rsidR="004A1004" w:rsidRPr="00290B7D" w:rsidRDefault="004A1004" w:rsidP="004A1004">
      <w:pPr>
        <w:pStyle w:val="NoSpacing"/>
        <w:rPr>
          <w:rFonts w:ascii="Times New Roman" w:hAnsi="Times New Roman"/>
          <w:sz w:val="24"/>
          <w:szCs w:val="24"/>
        </w:rPr>
      </w:pPr>
      <w:r w:rsidRPr="00290B7D">
        <w:rPr>
          <w:rFonts w:ascii="Times New Roman" w:hAnsi="Times New Roman"/>
          <w:sz w:val="24"/>
          <w:szCs w:val="24"/>
        </w:rPr>
        <w:t>intent to move ‘for a dispositional and/or durational departure from the presumptive</w:t>
      </w:r>
    </w:p>
    <w:p w14:paraId="70A52B7E" w14:textId="77777777" w:rsidR="004A1004" w:rsidRPr="00290B7D" w:rsidRDefault="004A1004" w:rsidP="004A1004">
      <w:pPr>
        <w:pStyle w:val="NoSpacing"/>
        <w:rPr>
          <w:rFonts w:ascii="Times New Roman" w:hAnsi="Times New Roman"/>
          <w:sz w:val="24"/>
          <w:szCs w:val="24"/>
        </w:rPr>
      </w:pPr>
      <w:r w:rsidRPr="00290B7D">
        <w:rPr>
          <w:rFonts w:ascii="Times New Roman" w:hAnsi="Times New Roman"/>
          <w:sz w:val="24"/>
          <w:szCs w:val="24"/>
        </w:rPr>
        <w:t xml:space="preserve">sentence,’ and at sentencing he argued exclusively that he was particularly amenable to </w:t>
      </w:r>
    </w:p>
    <w:p w14:paraId="0B826661" w14:textId="77777777" w:rsidR="004A1004" w:rsidRPr="00290B7D" w:rsidRDefault="004A1004" w:rsidP="004A1004">
      <w:pPr>
        <w:pStyle w:val="NoSpacing"/>
        <w:rPr>
          <w:rFonts w:ascii="Times New Roman" w:hAnsi="Times New Roman"/>
          <w:sz w:val="24"/>
          <w:szCs w:val="24"/>
        </w:rPr>
      </w:pPr>
      <w:r w:rsidRPr="00290B7D">
        <w:rPr>
          <w:rFonts w:ascii="Times New Roman" w:hAnsi="Times New Roman"/>
          <w:sz w:val="24"/>
          <w:szCs w:val="24"/>
        </w:rPr>
        <w:t xml:space="preserve">probation. The district court denied his departure motion. *** We affirm.”  </w:t>
      </w:r>
    </w:p>
    <w:p w14:paraId="249E5668" w14:textId="77777777" w:rsidR="004A1004" w:rsidRPr="00290B7D" w:rsidRDefault="004A1004" w:rsidP="004A1004">
      <w:pPr>
        <w:pStyle w:val="NoSpacing"/>
        <w:rPr>
          <w:rFonts w:ascii="Times New Roman" w:hAnsi="Times New Roman"/>
          <w:sz w:val="24"/>
          <w:szCs w:val="24"/>
        </w:rPr>
      </w:pPr>
      <w:hyperlink r:id="rId115" w:history="1">
        <w:r w:rsidRPr="00290B7D">
          <w:rPr>
            <w:rStyle w:val="Hyperlink"/>
            <w:rFonts w:ascii="Times New Roman" w:hAnsi="Times New Roman"/>
            <w:sz w:val="24"/>
            <w:szCs w:val="24"/>
          </w:rPr>
          <w:t>https://cases.justia.com/minnesota/court-of-appeals/2024-a23-1836.pdf?ts=1726855674</w:t>
        </w:r>
      </w:hyperlink>
      <w:r w:rsidRPr="00290B7D">
        <w:rPr>
          <w:rFonts w:ascii="Times New Roman" w:hAnsi="Times New Roman"/>
          <w:sz w:val="24"/>
          <w:szCs w:val="24"/>
        </w:rPr>
        <w:t xml:space="preserve"> </w:t>
      </w:r>
    </w:p>
    <w:p w14:paraId="692B4F28" w14:textId="77777777" w:rsidR="00F567E0" w:rsidRPr="00290B7D" w:rsidRDefault="00F567E0" w:rsidP="00B86628">
      <w:pPr>
        <w:pStyle w:val="NoSpacing"/>
        <w:rPr>
          <w:rFonts w:ascii="Times New Roman" w:hAnsi="Times New Roman"/>
          <w:sz w:val="24"/>
          <w:szCs w:val="24"/>
        </w:rPr>
      </w:pPr>
    </w:p>
    <w:p w14:paraId="5E9F9035" w14:textId="77777777" w:rsidR="00290B7D" w:rsidRPr="00290B7D" w:rsidRDefault="00290B7D" w:rsidP="00290B7D">
      <w:pPr>
        <w:pStyle w:val="NoSpacing"/>
        <w:rPr>
          <w:rFonts w:ascii="Times New Roman" w:hAnsi="Times New Roman"/>
          <w:b/>
          <w:bCs/>
          <w:sz w:val="24"/>
          <w:szCs w:val="24"/>
        </w:rPr>
      </w:pPr>
      <w:r w:rsidRPr="00290B7D">
        <w:rPr>
          <w:rFonts w:ascii="Times New Roman" w:hAnsi="Times New Roman"/>
          <w:b/>
          <w:sz w:val="24"/>
          <w:szCs w:val="24"/>
        </w:rPr>
        <w:t xml:space="preserve">Legal Lesson Learned: Trial court has discretion in </w:t>
      </w:r>
      <w:r w:rsidRPr="00290B7D">
        <w:rPr>
          <w:rFonts w:ascii="Times New Roman" w:hAnsi="Times New Roman"/>
          <w:b/>
          <w:bCs/>
          <w:sz w:val="24"/>
          <w:szCs w:val="24"/>
        </w:rPr>
        <w:t>sentencing - j</w:t>
      </w:r>
      <w:r w:rsidRPr="00290B7D">
        <w:rPr>
          <w:rFonts w:ascii="Times New Roman" w:hAnsi="Times New Roman"/>
          <w:b/>
          <w:sz w:val="24"/>
          <w:szCs w:val="24"/>
        </w:rPr>
        <w:t xml:space="preserve">ail time or probation. </w:t>
      </w:r>
    </w:p>
    <w:p w14:paraId="317B34A6" w14:textId="77777777" w:rsidR="00290B7D" w:rsidRDefault="00290B7D" w:rsidP="00B86628">
      <w:pPr>
        <w:pStyle w:val="NoSpacing"/>
        <w:rPr>
          <w:rFonts w:ascii="Arial Black" w:hAnsi="Arial Black"/>
          <w:sz w:val="24"/>
          <w:szCs w:val="24"/>
        </w:rPr>
      </w:pPr>
    </w:p>
    <w:p w14:paraId="0CA23D62" w14:textId="77777777" w:rsidR="001D6E51" w:rsidRDefault="001D6E51" w:rsidP="00B86628">
      <w:pPr>
        <w:pStyle w:val="NoSpacing"/>
        <w:rPr>
          <w:rFonts w:ascii="Arial Black" w:hAnsi="Arial Black"/>
          <w:sz w:val="24"/>
          <w:szCs w:val="24"/>
        </w:rPr>
      </w:pPr>
    </w:p>
    <w:p w14:paraId="312FE519" w14:textId="5C6AEA10" w:rsidR="00455B5B" w:rsidRDefault="00455B5B" w:rsidP="00B86628">
      <w:pPr>
        <w:pStyle w:val="NoSpacing"/>
        <w:rPr>
          <w:rFonts w:ascii="Arial Black" w:hAnsi="Arial Black"/>
          <w:sz w:val="24"/>
          <w:szCs w:val="24"/>
        </w:rPr>
      </w:pPr>
      <w:r>
        <w:rPr>
          <w:rFonts w:ascii="Arial Black" w:hAnsi="Arial Black"/>
          <w:sz w:val="24"/>
          <w:szCs w:val="24"/>
        </w:rPr>
        <w:t>1-159</w:t>
      </w:r>
    </w:p>
    <w:p w14:paraId="3845B24E" w14:textId="77777777" w:rsidR="00455B5B" w:rsidRDefault="00455B5B" w:rsidP="00B86628">
      <w:pPr>
        <w:pStyle w:val="NoSpacing"/>
        <w:rPr>
          <w:rFonts w:ascii="Arial Black" w:hAnsi="Arial Black"/>
          <w:sz w:val="24"/>
          <w:szCs w:val="24"/>
        </w:rPr>
      </w:pPr>
    </w:p>
    <w:p w14:paraId="18AE0689" w14:textId="20E4B7B0" w:rsidR="00455B5B" w:rsidRPr="00641056" w:rsidRDefault="00455B5B" w:rsidP="00455B5B">
      <w:pPr>
        <w:rPr>
          <w:rFonts w:ascii="Arial Black" w:hAnsi="Arial Black"/>
          <w:b/>
          <w:bCs/>
          <w:sz w:val="28"/>
        </w:rPr>
      </w:pPr>
      <w:r>
        <w:rPr>
          <w:rFonts w:ascii="Arial Black" w:hAnsi="Arial Black"/>
          <w:b/>
          <w:bCs/>
          <w:sz w:val="28"/>
        </w:rPr>
        <w:t>IL: ARSON CONVICTION REVERSED – FD INVESTIG</w:t>
      </w:r>
      <w:r w:rsidR="00142FA2">
        <w:rPr>
          <w:rFonts w:ascii="Arial Black" w:hAnsi="Arial Black"/>
          <w:b/>
          <w:bCs/>
          <w:sz w:val="28"/>
        </w:rPr>
        <w:t>A</w:t>
      </w:r>
      <w:r>
        <w:rPr>
          <w:rFonts w:ascii="Arial Black" w:hAnsi="Arial Black"/>
          <w:b/>
          <w:bCs/>
          <w:sz w:val="28"/>
        </w:rPr>
        <w:t>TOR / PD NO “MIRANDA” WARNING – CUSTODIAL INTERROGATION</w:t>
      </w:r>
    </w:p>
    <w:p w14:paraId="673D6AE4" w14:textId="77777777" w:rsidR="00455B5B" w:rsidRPr="00455B5B" w:rsidRDefault="00455B5B" w:rsidP="00455B5B">
      <w:pPr>
        <w:rPr>
          <w:rFonts w:ascii="Times New Roman" w:hAnsi="Times New Roman"/>
          <w:sz w:val="24"/>
          <w:szCs w:val="24"/>
        </w:rPr>
      </w:pPr>
      <w:r w:rsidRPr="00455B5B">
        <w:rPr>
          <w:rFonts w:ascii="Times New Roman" w:hAnsi="Times New Roman"/>
          <w:sz w:val="24"/>
          <w:szCs w:val="24"/>
        </w:rPr>
        <w:t xml:space="preserve">On Oct. 1, 2024, in </w:t>
      </w:r>
      <w:r w:rsidRPr="00455B5B">
        <w:rPr>
          <w:rFonts w:ascii="Times New Roman" w:hAnsi="Times New Roman"/>
          <w:sz w:val="24"/>
          <w:szCs w:val="24"/>
          <w:u w:val="single"/>
        </w:rPr>
        <w:t>The People of the State of Illinois v. Adriane L. Parke</w:t>
      </w:r>
      <w:r w:rsidRPr="00455B5B">
        <w:rPr>
          <w:rFonts w:ascii="Times New Roman" w:hAnsi="Times New Roman"/>
          <w:sz w:val="24"/>
          <w:szCs w:val="24"/>
        </w:rPr>
        <w:t xml:space="preserve">, the Court of Appeals of Illinois, Fifth District, held (3 to 0) that the confession by the housekeeper (also volunteer firefighter) started the fire in a room at the Drury Inn must be suppressed; jury conviction set aside but State can re-try her.   The Court wrote: “Defendant argues no reasonable, innocent person in her shoes would have felt free to stop answering [Fire Investigator Shane] Emrich’s and [Mount Vernon Police Officer Nathan] Franklin’s questions during the interrogation. The question before this court is whether a custodial interrogation, requiring </w:t>
      </w:r>
      <w:r w:rsidRPr="00455B5B">
        <w:rPr>
          <w:rFonts w:ascii="Times New Roman" w:hAnsi="Times New Roman"/>
          <w:i/>
          <w:iCs/>
          <w:sz w:val="24"/>
          <w:szCs w:val="24"/>
        </w:rPr>
        <w:t>Miranda</w:t>
      </w:r>
      <w:r w:rsidRPr="00455B5B">
        <w:rPr>
          <w:rFonts w:ascii="Times New Roman" w:hAnsi="Times New Roman"/>
          <w:sz w:val="24"/>
          <w:szCs w:val="24"/>
        </w:rPr>
        <w:t xml:space="preserve">, took place. We believe one did. *** After considering the relevant factors and the circumstances of this case, we find that defendant was subjected to a custodial interrogation, requiring Miranda, when defendant confessed to starting the fire at the Drury Inn on December 2, 2015.” </w:t>
      </w:r>
      <w:hyperlink r:id="rId116" w:history="1">
        <w:r w:rsidRPr="00455B5B">
          <w:rPr>
            <w:rStyle w:val="Hyperlink"/>
            <w:rFonts w:ascii="Times New Roman" w:hAnsi="Times New Roman"/>
            <w:sz w:val="24"/>
            <w:szCs w:val="24"/>
          </w:rPr>
          <w:t>https://ilcourtsaudio.blob.core.windows.net/antilles-resources/resources/b35fd65d-f662-4e1a-abeb-4f9e1aa279eb/People%20v.%20Parke,%202024%20IL%20App%20(5th)%20220703-U.pdf</w:t>
        </w:r>
      </w:hyperlink>
      <w:r w:rsidRPr="00455B5B">
        <w:rPr>
          <w:rFonts w:ascii="Times New Roman" w:hAnsi="Times New Roman"/>
          <w:sz w:val="24"/>
          <w:szCs w:val="24"/>
        </w:rPr>
        <w:t xml:space="preserve"> </w:t>
      </w:r>
    </w:p>
    <w:p w14:paraId="3A3AA4B7" w14:textId="77777777" w:rsidR="00455B5B" w:rsidRPr="00455B5B" w:rsidRDefault="00455B5B" w:rsidP="00455B5B">
      <w:pPr>
        <w:rPr>
          <w:rFonts w:ascii="Times New Roman" w:hAnsi="Times New Roman"/>
          <w:sz w:val="24"/>
          <w:szCs w:val="24"/>
        </w:rPr>
      </w:pPr>
      <w:r w:rsidRPr="00455B5B">
        <w:rPr>
          <w:rFonts w:ascii="Times New Roman" w:hAnsi="Times New Roman"/>
          <w:sz w:val="24"/>
          <w:szCs w:val="24"/>
        </w:rPr>
        <w:t>THE COURT HELD:</w:t>
      </w:r>
    </w:p>
    <w:p w14:paraId="76CDCBEE" w14:textId="77777777" w:rsidR="00455B5B" w:rsidRPr="00455B5B" w:rsidRDefault="00455B5B" w:rsidP="00455B5B">
      <w:pPr>
        <w:pStyle w:val="NoSpacing"/>
        <w:ind w:left="720"/>
        <w:rPr>
          <w:rFonts w:ascii="Times New Roman" w:hAnsi="Times New Roman"/>
          <w:sz w:val="24"/>
          <w:szCs w:val="24"/>
        </w:rPr>
      </w:pPr>
      <w:r w:rsidRPr="00455B5B">
        <w:rPr>
          <w:rFonts w:ascii="Times New Roman" w:hAnsi="Times New Roman"/>
          <w:sz w:val="24"/>
          <w:szCs w:val="24"/>
        </w:rPr>
        <w:t>“The [interrogation room] video shows that Emrich stated at least 10 times that he did not believe defendant’s version of events and accused her of lying and withholding the truth. Similarly, Franklin interjected halfway through the interview, informing defendant that he was trained to listen to people talk. Franklin then proceeded to state to defendant at least two times that she was not telling the truth. Franklin also claimed that he and Emrich knew that defendant “intentionally” started the fire in room 603. The trial court made no mention of these facts when it denied defendant’s motion to suppress.</w:t>
      </w:r>
    </w:p>
    <w:p w14:paraId="5015664A" w14:textId="77777777" w:rsidR="00455B5B" w:rsidRPr="00455B5B" w:rsidRDefault="00455B5B" w:rsidP="00455B5B">
      <w:pPr>
        <w:pStyle w:val="NoSpacing"/>
        <w:ind w:left="720"/>
        <w:rPr>
          <w:rFonts w:ascii="Times New Roman" w:hAnsi="Times New Roman"/>
          <w:sz w:val="24"/>
          <w:szCs w:val="24"/>
        </w:rPr>
      </w:pPr>
    </w:p>
    <w:p w14:paraId="60021666" w14:textId="77777777" w:rsidR="00455B5B" w:rsidRPr="00455B5B" w:rsidRDefault="00455B5B" w:rsidP="00455B5B">
      <w:pPr>
        <w:pStyle w:val="NoSpacing"/>
        <w:ind w:left="720"/>
        <w:rPr>
          <w:rFonts w:ascii="Times New Roman" w:hAnsi="Times New Roman"/>
          <w:sz w:val="24"/>
          <w:szCs w:val="24"/>
        </w:rPr>
      </w:pPr>
      <w:r w:rsidRPr="00455B5B">
        <w:rPr>
          <w:rFonts w:ascii="Times New Roman" w:hAnsi="Times New Roman"/>
          <w:sz w:val="24"/>
          <w:szCs w:val="24"/>
        </w:rPr>
        <w:t>***</w:t>
      </w:r>
    </w:p>
    <w:p w14:paraId="4B222803" w14:textId="77777777" w:rsidR="00455B5B" w:rsidRPr="00455B5B" w:rsidRDefault="00455B5B" w:rsidP="00455B5B">
      <w:pPr>
        <w:pStyle w:val="NoSpacing"/>
        <w:ind w:left="720"/>
        <w:rPr>
          <w:rFonts w:ascii="Times New Roman" w:hAnsi="Times New Roman"/>
          <w:sz w:val="24"/>
          <w:szCs w:val="24"/>
        </w:rPr>
      </w:pPr>
      <w:r w:rsidRPr="00455B5B">
        <w:rPr>
          <w:rFonts w:ascii="Times New Roman" w:hAnsi="Times New Roman"/>
          <w:sz w:val="24"/>
          <w:szCs w:val="24"/>
        </w:rPr>
        <w:t xml:space="preserve">Defendant, however, testified that she encountered Franklin, a police officer wearing a badge with his gun holstered, when she first walked into the room. According to defendant, she saw Franklin for the first time ‘sitting out behind his desk with his legs propped up on the desk.’ Regardless, neither Emrich nor defendant testified that defendant knew Franklin would be present when she agreed to speak with Emrich at the fire department. </w:t>
      </w:r>
    </w:p>
    <w:p w14:paraId="7865D693" w14:textId="77777777" w:rsidR="00455B5B" w:rsidRPr="00455B5B" w:rsidRDefault="00455B5B" w:rsidP="00455B5B">
      <w:pPr>
        <w:pStyle w:val="NoSpacing"/>
        <w:ind w:left="720"/>
        <w:rPr>
          <w:rFonts w:ascii="Times New Roman" w:hAnsi="Times New Roman"/>
          <w:sz w:val="24"/>
          <w:szCs w:val="24"/>
        </w:rPr>
      </w:pPr>
    </w:p>
    <w:p w14:paraId="75E5BD49" w14:textId="77777777" w:rsidR="00455B5B" w:rsidRPr="00455B5B" w:rsidRDefault="00455B5B" w:rsidP="00455B5B">
      <w:pPr>
        <w:pStyle w:val="NoSpacing"/>
        <w:ind w:left="720"/>
        <w:rPr>
          <w:rFonts w:ascii="Times New Roman" w:hAnsi="Times New Roman"/>
          <w:sz w:val="24"/>
          <w:szCs w:val="24"/>
        </w:rPr>
      </w:pPr>
      <w:r w:rsidRPr="00455B5B">
        <w:rPr>
          <w:rFonts w:ascii="Times New Roman" w:hAnsi="Times New Roman"/>
          <w:sz w:val="24"/>
          <w:szCs w:val="24"/>
        </w:rPr>
        <w:t xml:space="preserve">Defendant, instead, agreed to speak with Emrich in the presence of her husband. Importantly, defendant testified at the suppression hearing that she specifically asked Emrich on the phone—at the time she agreed to meet with Emrich—to have her husband present during the interview, stating: ‘I can’t talk—I don’t understand a lot of things and he helps me.’ Despite this, Emrich offered Jeremy a seat downstairs, indicating that Jeremy was not welcome in the interview. As such, the absence of defendant’s husband </w:t>
      </w:r>
      <w:r w:rsidRPr="00455B5B">
        <w:rPr>
          <w:rFonts w:ascii="Times New Roman" w:hAnsi="Times New Roman"/>
          <w:sz w:val="24"/>
          <w:szCs w:val="24"/>
        </w:rPr>
        <w:lastRenderedPageBreak/>
        <w:t>and the presence of Franklin during the interview weigh in favor of a determination that a custodial interrogation took place.</w:t>
      </w:r>
    </w:p>
    <w:p w14:paraId="099B8B57" w14:textId="77777777" w:rsidR="00455B5B" w:rsidRPr="00455B5B" w:rsidRDefault="00455B5B" w:rsidP="00455B5B">
      <w:pPr>
        <w:pStyle w:val="NoSpacing"/>
        <w:ind w:left="720"/>
        <w:rPr>
          <w:rFonts w:ascii="Times New Roman" w:hAnsi="Times New Roman"/>
          <w:sz w:val="24"/>
          <w:szCs w:val="24"/>
        </w:rPr>
      </w:pPr>
    </w:p>
    <w:p w14:paraId="2F3D38C9" w14:textId="77777777" w:rsidR="00455B5B" w:rsidRPr="00455B5B" w:rsidRDefault="00455B5B" w:rsidP="00455B5B">
      <w:pPr>
        <w:pStyle w:val="NoSpacing"/>
        <w:ind w:left="720"/>
        <w:rPr>
          <w:rFonts w:ascii="Times New Roman" w:hAnsi="Times New Roman"/>
          <w:sz w:val="24"/>
          <w:szCs w:val="24"/>
        </w:rPr>
      </w:pPr>
      <w:r w:rsidRPr="00455B5B">
        <w:rPr>
          <w:rFonts w:ascii="Times New Roman" w:hAnsi="Times New Roman"/>
          <w:sz w:val="24"/>
          <w:szCs w:val="24"/>
        </w:rPr>
        <w:t>***</w:t>
      </w:r>
    </w:p>
    <w:p w14:paraId="5AB848FD" w14:textId="77777777" w:rsidR="00455B5B" w:rsidRPr="00455B5B" w:rsidRDefault="00455B5B" w:rsidP="00455B5B">
      <w:pPr>
        <w:pStyle w:val="NoSpacing"/>
        <w:rPr>
          <w:rFonts w:ascii="Times New Roman" w:hAnsi="Times New Roman"/>
          <w:sz w:val="24"/>
          <w:szCs w:val="24"/>
        </w:rPr>
      </w:pPr>
    </w:p>
    <w:p w14:paraId="6AD5072C" w14:textId="77777777" w:rsidR="00455B5B" w:rsidRPr="00455B5B" w:rsidRDefault="00455B5B" w:rsidP="00455B5B">
      <w:pPr>
        <w:pStyle w:val="NoSpacing"/>
        <w:ind w:left="720"/>
        <w:rPr>
          <w:rFonts w:ascii="Times New Roman" w:hAnsi="Times New Roman"/>
          <w:sz w:val="24"/>
          <w:szCs w:val="24"/>
        </w:rPr>
      </w:pPr>
      <w:r w:rsidRPr="00455B5B">
        <w:rPr>
          <w:rFonts w:ascii="Times New Roman" w:hAnsi="Times New Roman"/>
          <w:sz w:val="24"/>
          <w:szCs w:val="24"/>
        </w:rPr>
        <w:t>Defendant underwent a fitness evaluation prior to trial, and Dr. Stanislaus concluded that defendant had borderline intellectual functioning. In her report, Dr. Stanislaus’s indicated that defendant’s ‘younger sister helps her with things if she cannot understand something.’ *** Based on the above reasoning, in our view, defendant’s intelligence and mental makeup weigh in favor of a finding of custodial interrogation.”</w:t>
      </w:r>
    </w:p>
    <w:p w14:paraId="0F287CD6" w14:textId="77777777" w:rsidR="00455B5B" w:rsidRPr="00455B5B" w:rsidRDefault="00455B5B" w:rsidP="00455B5B">
      <w:pPr>
        <w:pStyle w:val="NoSpacing"/>
        <w:rPr>
          <w:rFonts w:ascii="Times New Roman" w:hAnsi="Times New Roman"/>
          <w:b/>
          <w:bCs/>
          <w:sz w:val="24"/>
          <w:szCs w:val="24"/>
        </w:rPr>
      </w:pPr>
    </w:p>
    <w:p w14:paraId="1F49E839" w14:textId="7DA6E08B" w:rsidR="00455B5B" w:rsidRPr="00FE372C" w:rsidRDefault="00455B5B" w:rsidP="00455B5B">
      <w:pPr>
        <w:pStyle w:val="NoSpacing"/>
        <w:rPr>
          <w:rFonts w:ascii="Times New Roman" w:hAnsi="Times New Roman"/>
          <w:b/>
          <w:bCs/>
          <w:sz w:val="24"/>
          <w:szCs w:val="24"/>
        </w:rPr>
      </w:pPr>
      <w:r w:rsidRPr="00FE372C">
        <w:rPr>
          <w:rFonts w:ascii="Times New Roman" w:hAnsi="Times New Roman"/>
          <w:b/>
          <w:bCs/>
          <w:sz w:val="24"/>
          <w:szCs w:val="24"/>
        </w:rPr>
        <w:t xml:space="preserve">Legal Lesson Learned:  Fire Investigators and police, when conducting interview of a prime suspect, should carefully consider </w:t>
      </w:r>
      <w:r w:rsidR="00D3078F">
        <w:rPr>
          <w:rFonts w:ascii="Times New Roman" w:hAnsi="Times New Roman"/>
          <w:b/>
          <w:bCs/>
          <w:sz w:val="24"/>
          <w:szCs w:val="24"/>
        </w:rPr>
        <w:t xml:space="preserve">when to give </w:t>
      </w:r>
      <w:r w:rsidRPr="00FE372C">
        <w:rPr>
          <w:rFonts w:ascii="Times New Roman" w:hAnsi="Times New Roman"/>
          <w:b/>
          <w:bCs/>
          <w:sz w:val="24"/>
          <w:szCs w:val="24"/>
        </w:rPr>
        <w:t xml:space="preserve">a </w:t>
      </w:r>
      <w:r w:rsidRPr="00FE372C">
        <w:rPr>
          <w:rFonts w:ascii="Times New Roman" w:hAnsi="Times New Roman"/>
          <w:b/>
          <w:bCs/>
          <w:i/>
          <w:iCs/>
          <w:sz w:val="24"/>
          <w:szCs w:val="24"/>
        </w:rPr>
        <w:t xml:space="preserve">Miranda </w:t>
      </w:r>
      <w:r w:rsidRPr="00FE372C">
        <w:rPr>
          <w:rFonts w:ascii="Times New Roman" w:hAnsi="Times New Roman"/>
          <w:b/>
          <w:bCs/>
          <w:sz w:val="24"/>
          <w:szCs w:val="24"/>
        </w:rPr>
        <w:t xml:space="preserve">warning.  </w:t>
      </w:r>
    </w:p>
    <w:p w14:paraId="715E9B4F" w14:textId="77777777" w:rsidR="00455B5B" w:rsidRDefault="00455B5B" w:rsidP="00455B5B">
      <w:pPr>
        <w:pStyle w:val="NoSpacing"/>
        <w:rPr>
          <w:b/>
          <w:bCs/>
        </w:rPr>
      </w:pPr>
    </w:p>
    <w:p w14:paraId="55792646" w14:textId="77777777" w:rsidR="00455B5B" w:rsidRDefault="00455B5B" w:rsidP="00455B5B">
      <w:pPr>
        <w:pStyle w:val="NoSpacing"/>
        <w:rPr>
          <w:b/>
          <w:bCs/>
        </w:rPr>
      </w:pPr>
    </w:p>
    <w:p w14:paraId="0ED9D518" w14:textId="77777777" w:rsidR="001B6C81" w:rsidRDefault="00400F67" w:rsidP="00400F67">
      <w:pPr>
        <w:ind w:left="720"/>
        <w:rPr>
          <w:sz w:val="24"/>
          <w:szCs w:val="24"/>
        </w:rPr>
      </w:pPr>
      <w:r w:rsidRPr="00400F67">
        <w:rPr>
          <w:sz w:val="24"/>
          <w:szCs w:val="24"/>
        </w:rPr>
        <w:t>Note: See article</w:t>
      </w:r>
      <w:r w:rsidR="001B6C81">
        <w:rPr>
          <w:sz w:val="24"/>
          <w:szCs w:val="24"/>
        </w:rPr>
        <w:t>s on this case.</w:t>
      </w:r>
    </w:p>
    <w:p w14:paraId="47B62726" w14:textId="448806B2" w:rsidR="00400F67" w:rsidRPr="00400F67" w:rsidRDefault="00400F67" w:rsidP="00400F67">
      <w:pPr>
        <w:ind w:left="720"/>
        <w:rPr>
          <w:sz w:val="24"/>
          <w:szCs w:val="24"/>
        </w:rPr>
      </w:pPr>
      <w:r w:rsidRPr="00400F67">
        <w:rPr>
          <w:sz w:val="24"/>
          <w:szCs w:val="24"/>
        </w:rPr>
        <w:t xml:space="preserve">Oct. 11, 2018: </w:t>
      </w:r>
      <w:r w:rsidRPr="00400F67">
        <w:rPr>
          <w:rFonts w:ascii="Times New Roman" w:eastAsiaTheme="minorHAnsi" w:hAnsi="Times New Roman"/>
          <w:sz w:val="24"/>
          <w:szCs w:val="24"/>
        </w:rPr>
        <w:t xml:space="preserve">Christopher Woman Found Guilty of Setting Fire at Mt. Vernon Hotel </w:t>
      </w:r>
      <w:hyperlink r:id="rId117" w:history="1">
        <w:r w:rsidRPr="00400F67">
          <w:rPr>
            <w:rStyle w:val="Hyperlink"/>
            <w:sz w:val="24"/>
            <w:szCs w:val="24"/>
          </w:rPr>
          <w:t>https://www.wmix94.com/2018/10/11/christopher-woman-found-guilty-of-setting-fire-at-mt-vernon-hotel/</w:t>
        </w:r>
      </w:hyperlink>
      <w:r w:rsidRPr="00400F67">
        <w:rPr>
          <w:sz w:val="24"/>
          <w:szCs w:val="24"/>
        </w:rPr>
        <w:t xml:space="preserve"> </w:t>
      </w:r>
    </w:p>
    <w:p w14:paraId="3208B898" w14:textId="77777777" w:rsidR="00400F67" w:rsidRPr="008D4EE9" w:rsidRDefault="00400F67" w:rsidP="00400F67">
      <w:pPr>
        <w:spacing w:after="160"/>
        <w:ind w:left="720"/>
        <w:rPr>
          <w:rFonts w:ascii="Times New Roman" w:eastAsiaTheme="minorHAnsi" w:hAnsi="Times New Roman"/>
          <w:sz w:val="24"/>
          <w:szCs w:val="24"/>
        </w:rPr>
      </w:pPr>
      <w:r w:rsidRPr="00400F67">
        <w:rPr>
          <w:sz w:val="24"/>
          <w:szCs w:val="24"/>
        </w:rPr>
        <w:t xml:space="preserve">Jan. 12, 2016. </w:t>
      </w:r>
      <w:r w:rsidRPr="00400F67">
        <w:rPr>
          <w:rFonts w:ascii="Times New Roman" w:eastAsiaTheme="minorHAnsi" w:hAnsi="Times New Roman"/>
          <w:sz w:val="24"/>
          <w:szCs w:val="24"/>
        </w:rPr>
        <w:t>Christopher, IL woman arrested on arson charges</w:t>
      </w:r>
      <w:r w:rsidRPr="00400F67">
        <w:rPr>
          <w:sz w:val="24"/>
          <w:szCs w:val="24"/>
        </w:rPr>
        <w:t xml:space="preserve">. </w:t>
      </w:r>
      <w:hyperlink r:id="rId118" w:history="1">
        <w:r w:rsidRPr="00400F67">
          <w:rPr>
            <w:rStyle w:val="Hyperlink"/>
            <w:sz w:val="24"/>
            <w:szCs w:val="24"/>
          </w:rPr>
          <w:t>https://www.kfvs12.com/story/30947819/christopher-il-woman-arrested-on-arson-charges/</w:t>
        </w:r>
      </w:hyperlink>
      <w:r w:rsidRPr="008D4EE9">
        <w:rPr>
          <w:szCs w:val="24"/>
        </w:rPr>
        <w:t xml:space="preserve"> </w:t>
      </w:r>
    </w:p>
    <w:p w14:paraId="3C3F76BC" w14:textId="77777777" w:rsidR="00455B5B" w:rsidRDefault="00455B5B" w:rsidP="00B86628">
      <w:pPr>
        <w:pStyle w:val="NoSpacing"/>
        <w:rPr>
          <w:rFonts w:ascii="Arial Black" w:hAnsi="Arial Black"/>
          <w:sz w:val="24"/>
          <w:szCs w:val="24"/>
        </w:rPr>
      </w:pPr>
    </w:p>
    <w:p w14:paraId="415BE98F" w14:textId="77777777" w:rsidR="00455B5B" w:rsidRDefault="00455B5B" w:rsidP="00B86628">
      <w:pPr>
        <w:pStyle w:val="NoSpacing"/>
        <w:rPr>
          <w:rFonts w:ascii="Arial Black" w:hAnsi="Arial Black"/>
          <w:sz w:val="24"/>
          <w:szCs w:val="24"/>
        </w:rPr>
      </w:pPr>
    </w:p>
    <w:p w14:paraId="01F48A2F" w14:textId="69BAE123" w:rsidR="0011091B" w:rsidRDefault="00B33F53" w:rsidP="00B86628">
      <w:pPr>
        <w:pStyle w:val="NoSpacing"/>
        <w:rPr>
          <w:rFonts w:ascii="Arial Black" w:hAnsi="Arial Black"/>
          <w:sz w:val="24"/>
          <w:szCs w:val="24"/>
        </w:rPr>
      </w:pPr>
      <w:r>
        <w:rPr>
          <w:rFonts w:ascii="Arial Black" w:hAnsi="Arial Black"/>
          <w:sz w:val="24"/>
          <w:szCs w:val="24"/>
        </w:rPr>
        <w:t>1-158</w:t>
      </w:r>
    </w:p>
    <w:p w14:paraId="20D59B9F" w14:textId="77777777" w:rsidR="00B33F53" w:rsidRDefault="00B33F53" w:rsidP="00B86628">
      <w:pPr>
        <w:pStyle w:val="NoSpacing"/>
        <w:rPr>
          <w:rFonts w:ascii="Arial Black" w:hAnsi="Arial Black"/>
          <w:sz w:val="24"/>
          <w:szCs w:val="24"/>
        </w:rPr>
      </w:pPr>
    </w:p>
    <w:p w14:paraId="4DE34087" w14:textId="77777777" w:rsidR="00CE14C4" w:rsidRPr="00A71365" w:rsidRDefault="00CE14C4" w:rsidP="00CE14C4">
      <w:pPr>
        <w:pStyle w:val="NoSpacing"/>
        <w:rPr>
          <w:rFonts w:ascii="Arial Black" w:hAnsi="Arial Black"/>
          <w:sz w:val="28"/>
        </w:rPr>
      </w:pPr>
      <w:r w:rsidRPr="00A71365">
        <w:rPr>
          <w:rFonts w:ascii="Arial Black" w:hAnsi="Arial Black"/>
          <w:sz w:val="28"/>
        </w:rPr>
        <w:t>CA: FED</w:t>
      </w:r>
      <w:r>
        <w:rPr>
          <w:rFonts w:ascii="Arial Black" w:hAnsi="Arial Black"/>
          <w:sz w:val="28"/>
        </w:rPr>
        <w:t xml:space="preserve">ERAL GOV’T SUES </w:t>
      </w:r>
      <w:r w:rsidRPr="00A71365">
        <w:rPr>
          <w:rFonts w:ascii="Arial Black" w:hAnsi="Arial Black"/>
          <w:sz w:val="28"/>
        </w:rPr>
        <w:t>MANUF</w:t>
      </w:r>
      <w:r>
        <w:rPr>
          <w:rFonts w:ascii="Arial Black" w:hAnsi="Arial Black"/>
          <w:sz w:val="28"/>
        </w:rPr>
        <w:t xml:space="preserve">. OF </w:t>
      </w:r>
      <w:r w:rsidRPr="00A71365">
        <w:rPr>
          <w:rFonts w:ascii="Arial Black" w:hAnsi="Arial Black"/>
          <w:sz w:val="28"/>
        </w:rPr>
        <w:t>SMOKE BOMBS</w:t>
      </w:r>
      <w:r>
        <w:rPr>
          <w:rFonts w:ascii="Arial Black" w:hAnsi="Arial Black"/>
          <w:sz w:val="28"/>
        </w:rPr>
        <w:t xml:space="preserve"> – EXCESSIVE SPARKS</w:t>
      </w:r>
      <w:r w:rsidRPr="00A71365">
        <w:rPr>
          <w:rFonts w:ascii="Arial Black" w:hAnsi="Arial Black"/>
          <w:sz w:val="28"/>
        </w:rPr>
        <w:t xml:space="preserve"> –</w:t>
      </w:r>
      <w:r>
        <w:rPr>
          <w:rFonts w:ascii="Arial Black" w:hAnsi="Arial Black"/>
          <w:sz w:val="28"/>
        </w:rPr>
        <w:t xml:space="preserve"> </w:t>
      </w:r>
      <w:r w:rsidRPr="00A71365">
        <w:rPr>
          <w:rFonts w:ascii="Arial Black" w:hAnsi="Arial Black"/>
          <w:sz w:val="28"/>
        </w:rPr>
        <w:t>FOREST FIRE</w:t>
      </w:r>
      <w:r>
        <w:rPr>
          <w:rFonts w:ascii="Arial Black" w:hAnsi="Arial Black"/>
          <w:sz w:val="28"/>
        </w:rPr>
        <w:t xml:space="preserve"> / L</w:t>
      </w:r>
      <w:r w:rsidRPr="00A71365">
        <w:rPr>
          <w:rFonts w:ascii="Arial Black" w:hAnsi="Arial Black"/>
          <w:sz w:val="28"/>
        </w:rPr>
        <w:t>ODD</w:t>
      </w:r>
      <w:r>
        <w:rPr>
          <w:rFonts w:ascii="Arial Black" w:hAnsi="Arial Black"/>
          <w:sz w:val="28"/>
        </w:rPr>
        <w:t xml:space="preserve"> / </w:t>
      </w:r>
      <w:r w:rsidRPr="00A71365">
        <w:rPr>
          <w:rFonts w:ascii="Arial Black" w:hAnsi="Arial Black"/>
          <w:sz w:val="28"/>
        </w:rPr>
        <w:t xml:space="preserve">$41M </w:t>
      </w:r>
    </w:p>
    <w:p w14:paraId="222F6A9D" w14:textId="77777777" w:rsidR="00CE14C4" w:rsidRPr="00CE14C4" w:rsidRDefault="00CE14C4" w:rsidP="00CE14C4">
      <w:pPr>
        <w:pStyle w:val="NoSpacing"/>
        <w:rPr>
          <w:rFonts w:ascii="Times New Roman" w:hAnsi="Times New Roman"/>
          <w:sz w:val="24"/>
          <w:szCs w:val="24"/>
        </w:rPr>
      </w:pPr>
    </w:p>
    <w:p w14:paraId="1019CE46" w14:textId="77777777" w:rsidR="00CE14C4" w:rsidRPr="00CE14C4" w:rsidRDefault="00CE14C4" w:rsidP="00CE14C4">
      <w:pPr>
        <w:pStyle w:val="NoSpacing"/>
        <w:rPr>
          <w:rFonts w:ascii="Times New Roman" w:hAnsi="Times New Roman"/>
          <w:sz w:val="24"/>
          <w:szCs w:val="24"/>
        </w:rPr>
      </w:pPr>
      <w:r w:rsidRPr="00CE14C4">
        <w:rPr>
          <w:rFonts w:ascii="Times New Roman" w:hAnsi="Times New Roman"/>
          <w:sz w:val="24"/>
          <w:szCs w:val="24"/>
        </w:rPr>
        <w:t xml:space="preserve">On September 27, 2024, in </w:t>
      </w:r>
      <w:r w:rsidRPr="00CE14C4">
        <w:rPr>
          <w:rFonts w:ascii="Times New Roman" w:hAnsi="Times New Roman"/>
          <w:sz w:val="24"/>
          <w:szCs w:val="24"/>
          <w:u w:val="single"/>
        </w:rPr>
        <w:t>United States of America v. Wholesale Fireworks Corporation, et al</w:t>
      </w:r>
      <w:r w:rsidRPr="00CE14C4">
        <w:rPr>
          <w:rFonts w:ascii="Times New Roman" w:hAnsi="Times New Roman"/>
          <w:sz w:val="24"/>
          <w:szCs w:val="24"/>
        </w:rPr>
        <w:t xml:space="preserve">.,  United States District Court Judge Maame Ewusi-Mensah Frimpong,  U.S. District Court for Central District of California, denied Wholesale Firework Corporation’s (Hubard, Ohio) motion to dismiss; lawsuit to proceed against that corporation, as well as their distributor (American Fireworks Warehouse) and family that set off the two smoke bombs.  On Sept. 5, 2020, defendants Refugio and Angelina Jimenz set off two smoke bombs at a “gender reveal” party near the National Forest in San Bernadino; the fire destroyed 22,744 acres, damaged or destroyed 24 buildings, resulted in line-of-duty death of Charles Morton, and cost $41 million in fire suppression cost.  The Court wrote:  “[t] the United States alleges Wholesale Fireworks’ failure to properly design and manufacture the gender reveal smoke bombs resulted in the emission of excessive sparks, flames, and molten materials…. The FAC [First Amended Complaint] also alleges that Wholesale Fireworks failed to adequately provide labeling to warn of dangers or instruct on the safe use of the gender reveal smoke bombs….  Additionally, the gender reveal smoke bombs failed to bear the California State Fire Marshall Registration Seal, rendering them illegal in California….  Accordingly, the Court finds that the United States has plausibly alleged that Wholesale Fireworks breached the duty of care imposed by California and federal law.” </w:t>
      </w:r>
      <w:hyperlink r:id="rId119" w:history="1">
        <w:r w:rsidRPr="00CE14C4">
          <w:rPr>
            <w:rStyle w:val="Hyperlink"/>
            <w:rFonts w:ascii="Times New Roman" w:hAnsi="Times New Roman"/>
            <w:sz w:val="24"/>
            <w:szCs w:val="24"/>
          </w:rPr>
          <w:t>https://www.courthousenews.com/wp-content/uploads/2024/09/wholesale-fireworks-ruling.pdf</w:t>
        </w:r>
      </w:hyperlink>
      <w:r w:rsidRPr="00CE14C4">
        <w:rPr>
          <w:rFonts w:ascii="Times New Roman" w:hAnsi="Times New Roman"/>
          <w:sz w:val="24"/>
          <w:szCs w:val="24"/>
        </w:rPr>
        <w:t xml:space="preserve"> </w:t>
      </w:r>
    </w:p>
    <w:p w14:paraId="490B009C" w14:textId="77777777" w:rsidR="00CE14C4" w:rsidRPr="00CE14C4" w:rsidRDefault="00CE14C4" w:rsidP="00CE14C4">
      <w:pPr>
        <w:pStyle w:val="NoSpacing"/>
        <w:rPr>
          <w:rFonts w:ascii="Times New Roman" w:hAnsi="Times New Roman"/>
          <w:sz w:val="24"/>
          <w:szCs w:val="24"/>
        </w:rPr>
      </w:pPr>
    </w:p>
    <w:p w14:paraId="46234ED1" w14:textId="77777777" w:rsidR="00CE14C4" w:rsidRPr="00CE14C4" w:rsidRDefault="00CE14C4" w:rsidP="00CE14C4">
      <w:pPr>
        <w:pStyle w:val="NoSpacing"/>
        <w:rPr>
          <w:rFonts w:ascii="Times New Roman" w:hAnsi="Times New Roman"/>
          <w:sz w:val="24"/>
          <w:szCs w:val="24"/>
        </w:rPr>
      </w:pPr>
      <w:r w:rsidRPr="00CE14C4">
        <w:rPr>
          <w:rFonts w:ascii="Times New Roman" w:hAnsi="Times New Roman"/>
          <w:sz w:val="24"/>
          <w:szCs w:val="24"/>
        </w:rPr>
        <w:t>THE COURT HELD:</w:t>
      </w:r>
    </w:p>
    <w:p w14:paraId="53938237" w14:textId="77777777" w:rsidR="00CE14C4" w:rsidRPr="00CE14C4" w:rsidRDefault="00CE14C4" w:rsidP="00CE14C4">
      <w:pPr>
        <w:pStyle w:val="NoSpacing"/>
        <w:rPr>
          <w:rFonts w:ascii="Times New Roman" w:hAnsi="Times New Roman"/>
          <w:sz w:val="24"/>
          <w:szCs w:val="24"/>
        </w:rPr>
      </w:pPr>
    </w:p>
    <w:p w14:paraId="5CF74D19" w14:textId="77777777" w:rsidR="00CE14C4" w:rsidRDefault="00CE14C4" w:rsidP="00CE14C4">
      <w:pPr>
        <w:pStyle w:val="NoSpacing"/>
        <w:ind w:left="720"/>
        <w:rPr>
          <w:rFonts w:ascii="Times New Roman" w:hAnsi="Times New Roman"/>
          <w:sz w:val="24"/>
          <w:szCs w:val="24"/>
        </w:rPr>
      </w:pPr>
      <w:r w:rsidRPr="00CE14C4">
        <w:rPr>
          <w:rFonts w:ascii="Times New Roman" w:hAnsi="Times New Roman"/>
          <w:sz w:val="24"/>
          <w:szCs w:val="24"/>
        </w:rPr>
        <w:lastRenderedPageBreak/>
        <w:t xml:space="preserve">“T]he Court finds that it is plausible that Wholesale Fireworks allowed the fire to occur. If an entity knows or has reason to know of the risks that may result from the defective labeling or design of its product, yet fails to adequately provide such labeling, it follows that the entity consequently allowed for that danger to ensue. Wholesale Fireworks knew or had reason to know of the risks of fire that may result from the defective labeling or design of the gender </w:t>
      </w:r>
      <w:proofErr w:type="gramStart"/>
      <w:r w:rsidRPr="00CE14C4">
        <w:rPr>
          <w:rFonts w:ascii="Times New Roman" w:hAnsi="Times New Roman"/>
          <w:sz w:val="24"/>
          <w:szCs w:val="24"/>
        </w:rPr>
        <w:t>reveal</w:t>
      </w:r>
      <w:proofErr w:type="gramEnd"/>
      <w:r w:rsidRPr="00CE14C4">
        <w:rPr>
          <w:rFonts w:ascii="Times New Roman" w:hAnsi="Times New Roman"/>
          <w:sz w:val="24"/>
          <w:szCs w:val="24"/>
        </w:rPr>
        <w:t xml:space="preserve"> smoke bombs given </w:t>
      </w:r>
      <w:proofErr w:type="gramStart"/>
      <w:r w:rsidRPr="00CE14C4">
        <w:rPr>
          <w:rFonts w:ascii="Times New Roman" w:hAnsi="Times New Roman"/>
          <w:sz w:val="24"/>
          <w:szCs w:val="24"/>
        </w:rPr>
        <w:t>its</w:t>
      </w:r>
      <w:proofErr w:type="gramEnd"/>
      <w:r w:rsidRPr="00CE14C4">
        <w:rPr>
          <w:rFonts w:ascii="Times New Roman" w:hAnsi="Times New Roman"/>
          <w:sz w:val="24"/>
          <w:szCs w:val="24"/>
        </w:rPr>
        <w:t xml:space="preserve"> training in the industry. Wholesale Fireworks failed to adequately provide warnings </w:t>
      </w:r>
      <w:proofErr w:type="gramStart"/>
      <w:r w:rsidRPr="00CE14C4">
        <w:rPr>
          <w:rFonts w:ascii="Times New Roman" w:hAnsi="Times New Roman"/>
          <w:sz w:val="24"/>
          <w:szCs w:val="24"/>
        </w:rPr>
        <w:t>of</w:t>
      </w:r>
      <w:proofErr w:type="gramEnd"/>
      <w:r w:rsidRPr="00CE14C4">
        <w:rPr>
          <w:rFonts w:ascii="Times New Roman" w:hAnsi="Times New Roman"/>
          <w:sz w:val="24"/>
          <w:szCs w:val="24"/>
        </w:rPr>
        <w:t xml:space="preserve"> the risk of fire that may </w:t>
      </w:r>
      <w:proofErr w:type="gramStart"/>
      <w:r w:rsidRPr="00CE14C4">
        <w:rPr>
          <w:rFonts w:ascii="Times New Roman" w:hAnsi="Times New Roman"/>
          <w:sz w:val="24"/>
          <w:szCs w:val="24"/>
        </w:rPr>
        <w:t>ensue</w:t>
      </w:r>
      <w:proofErr w:type="gramEnd"/>
      <w:r w:rsidRPr="00CE14C4">
        <w:rPr>
          <w:rFonts w:ascii="Times New Roman" w:hAnsi="Times New Roman"/>
          <w:sz w:val="24"/>
          <w:szCs w:val="24"/>
        </w:rPr>
        <w:t xml:space="preserve"> from the misuse of its product, despite knowing or having reason to know of the risks of such danger. Further, this failure was in violation of the law. Therefore, Wholesale Fireworks, in essence, allowed the fire to occur.”</w:t>
      </w:r>
    </w:p>
    <w:p w14:paraId="41CAC3EA" w14:textId="77777777" w:rsidR="00BE0BB3" w:rsidRPr="00BE0BB3" w:rsidRDefault="00BE0BB3" w:rsidP="00BE0BB3">
      <w:pPr>
        <w:pStyle w:val="NoSpacing"/>
        <w:rPr>
          <w:rFonts w:ascii="Times New Roman" w:hAnsi="Times New Roman"/>
          <w:b/>
          <w:bCs/>
          <w:sz w:val="24"/>
          <w:szCs w:val="24"/>
        </w:rPr>
      </w:pPr>
      <w:r w:rsidRPr="00BE0BB3">
        <w:rPr>
          <w:rFonts w:ascii="Times New Roman" w:hAnsi="Times New Roman"/>
          <w:b/>
          <w:bCs/>
          <w:sz w:val="24"/>
          <w:szCs w:val="24"/>
        </w:rPr>
        <w:t>Legal Lesson Learned: The manufacturer of smoke bombs has a duty to warn users about the risks of excessive sparks, flames, and molten materials.</w:t>
      </w:r>
    </w:p>
    <w:p w14:paraId="6FF70DF1" w14:textId="77777777" w:rsidR="00BE0BB3" w:rsidRPr="00BE0BB3" w:rsidRDefault="00BE0BB3" w:rsidP="00BE0BB3">
      <w:pPr>
        <w:ind w:left="720"/>
        <w:rPr>
          <w:rFonts w:ascii="Times New Roman" w:hAnsi="Times New Roman"/>
          <w:sz w:val="24"/>
          <w:szCs w:val="24"/>
        </w:rPr>
      </w:pPr>
      <w:r w:rsidRPr="00BE0BB3">
        <w:rPr>
          <w:rFonts w:ascii="Times New Roman" w:hAnsi="Times New Roman"/>
          <w:sz w:val="24"/>
          <w:szCs w:val="24"/>
        </w:rPr>
        <w:t xml:space="preserve">Note: National Fallen Firefighter Foundation: “Charles Morton, squad boss on the Big Bear Interagency Hotshot Crew, died during interagency fire suppression activities on the El Dorado Fire in the San Bernardino National Forest in California on September 17, 2020. He had been a firefighter for 18 years, 14 of those with the U.S. Forest Service.” </w:t>
      </w:r>
      <w:hyperlink r:id="rId120" w:history="1">
        <w:r w:rsidRPr="00BE0BB3">
          <w:rPr>
            <w:rStyle w:val="Hyperlink"/>
            <w:rFonts w:ascii="Times New Roman" w:hAnsi="Times New Roman"/>
            <w:sz w:val="24"/>
            <w:szCs w:val="24"/>
          </w:rPr>
          <w:t>https://www.firehero.org/fallen-firefighter/charles-e-morton/</w:t>
        </w:r>
      </w:hyperlink>
      <w:r w:rsidRPr="00BE0BB3">
        <w:rPr>
          <w:rFonts w:ascii="Times New Roman" w:hAnsi="Times New Roman"/>
          <w:sz w:val="24"/>
          <w:szCs w:val="24"/>
        </w:rPr>
        <w:t xml:space="preserve"> </w:t>
      </w:r>
    </w:p>
    <w:p w14:paraId="4B6D7914" w14:textId="77777777" w:rsidR="00BE0BB3" w:rsidRPr="00CE14C4" w:rsidRDefault="00BE0BB3" w:rsidP="00CE14C4">
      <w:pPr>
        <w:pStyle w:val="NoSpacing"/>
        <w:ind w:left="720"/>
        <w:rPr>
          <w:rFonts w:ascii="Times New Roman" w:hAnsi="Times New Roman"/>
          <w:sz w:val="24"/>
          <w:szCs w:val="24"/>
        </w:rPr>
      </w:pPr>
    </w:p>
    <w:p w14:paraId="16559F1C" w14:textId="77777777" w:rsidR="00CE14C4" w:rsidRDefault="00CE14C4" w:rsidP="00CE14C4">
      <w:pPr>
        <w:pStyle w:val="NoSpacing"/>
        <w:ind w:left="720"/>
      </w:pPr>
    </w:p>
    <w:p w14:paraId="78626872" w14:textId="77777777" w:rsidR="00B33F53" w:rsidRDefault="00B33F53" w:rsidP="00B86628">
      <w:pPr>
        <w:pStyle w:val="NoSpacing"/>
        <w:rPr>
          <w:rFonts w:ascii="Arial Black" w:hAnsi="Arial Black"/>
          <w:sz w:val="24"/>
          <w:szCs w:val="24"/>
        </w:rPr>
      </w:pPr>
    </w:p>
    <w:p w14:paraId="67E8B875" w14:textId="0DCFCFC5" w:rsidR="0011091B" w:rsidRDefault="0011091B" w:rsidP="00B86628">
      <w:pPr>
        <w:pStyle w:val="NoSpacing"/>
        <w:rPr>
          <w:rFonts w:ascii="Arial Black" w:hAnsi="Arial Black"/>
          <w:sz w:val="24"/>
          <w:szCs w:val="24"/>
        </w:rPr>
      </w:pPr>
      <w:r>
        <w:rPr>
          <w:rFonts w:ascii="Arial Black" w:hAnsi="Arial Black"/>
          <w:sz w:val="24"/>
          <w:szCs w:val="24"/>
        </w:rPr>
        <w:t>1-157</w:t>
      </w:r>
    </w:p>
    <w:p w14:paraId="09C37B75" w14:textId="77777777" w:rsidR="0011091B" w:rsidRDefault="0011091B" w:rsidP="00B86628">
      <w:pPr>
        <w:pStyle w:val="NoSpacing"/>
        <w:rPr>
          <w:rFonts w:ascii="Arial Black" w:hAnsi="Arial Black"/>
          <w:sz w:val="24"/>
          <w:szCs w:val="24"/>
        </w:rPr>
      </w:pPr>
    </w:p>
    <w:p w14:paraId="6A397B91" w14:textId="77777777" w:rsidR="0011091B" w:rsidRPr="00287362" w:rsidRDefault="0011091B" w:rsidP="0011091B">
      <w:pPr>
        <w:pStyle w:val="NoSpacing"/>
        <w:rPr>
          <w:rFonts w:ascii="Arial Black" w:hAnsi="Arial Black"/>
          <w:sz w:val="28"/>
        </w:rPr>
      </w:pPr>
      <w:r>
        <w:rPr>
          <w:rFonts w:ascii="Arial Black" w:hAnsi="Arial Black"/>
          <w:sz w:val="28"/>
        </w:rPr>
        <w:t>NY: YONKRS FIRE INSPECTION FEES - LAWFUL - MULTI-FAMILY OWNERS MUST PAY UP TO $1,250 PER YEAR</w:t>
      </w:r>
    </w:p>
    <w:p w14:paraId="3A464BAF" w14:textId="77777777" w:rsidR="0011091B" w:rsidRDefault="0011091B" w:rsidP="0011091B">
      <w:pPr>
        <w:pStyle w:val="NoSpacing"/>
      </w:pPr>
    </w:p>
    <w:p w14:paraId="35D24288" w14:textId="77777777" w:rsidR="0011091B" w:rsidRPr="0011091B" w:rsidRDefault="0011091B" w:rsidP="0011091B">
      <w:pPr>
        <w:pStyle w:val="NoSpacing"/>
        <w:rPr>
          <w:rFonts w:ascii="Times New Roman" w:hAnsi="Times New Roman"/>
          <w:sz w:val="24"/>
          <w:szCs w:val="24"/>
        </w:rPr>
      </w:pPr>
      <w:r w:rsidRPr="0011091B">
        <w:rPr>
          <w:rFonts w:ascii="Times New Roman" w:hAnsi="Times New Roman"/>
          <w:sz w:val="24"/>
          <w:szCs w:val="24"/>
        </w:rPr>
        <w:t xml:space="preserve">On Sept. 18, 2024, in </w:t>
      </w:r>
      <w:r w:rsidRPr="0011091B">
        <w:rPr>
          <w:rFonts w:ascii="Times New Roman" w:hAnsi="Times New Roman"/>
          <w:sz w:val="24"/>
          <w:szCs w:val="24"/>
          <w:u w:val="single"/>
        </w:rPr>
        <w:t>WMC Realty Cop. and T.A.C. Realty Corp. v. City of Yonkers</w:t>
      </w:r>
      <w:r w:rsidRPr="0011091B">
        <w:rPr>
          <w:rFonts w:ascii="Times New Roman" w:hAnsi="Times New Roman"/>
          <w:sz w:val="24"/>
          <w:szCs w:val="24"/>
        </w:rPr>
        <w:t>, Judge William J. Giacomo, Justice of the West Chester County Supreme Court, granted the City’s motion for summary judgment. The Court wrote: “The record indicates that the total budget for the Yonkers Fire Department for Fiscal Year 2021 was $74,369,758</w:t>
      </w:r>
      <w:proofErr w:type="gramStart"/>
      <w:r w:rsidRPr="0011091B">
        <w:rPr>
          <w:rFonts w:ascii="Times New Roman" w:hAnsi="Times New Roman"/>
          <w:sz w:val="24"/>
          <w:szCs w:val="24"/>
        </w:rPr>
        <w:t>…..</w:t>
      </w:r>
      <w:proofErr w:type="gramEnd"/>
      <w:r w:rsidRPr="0011091B">
        <w:rPr>
          <w:rFonts w:ascii="Times New Roman" w:hAnsi="Times New Roman"/>
          <w:sz w:val="24"/>
          <w:szCs w:val="24"/>
        </w:rPr>
        <w:t xml:space="preserve"> the [Fire Inspection] Program cost approximately $5.8 million </w:t>
      </w:r>
      <w:proofErr w:type="gramStart"/>
      <w:r w:rsidRPr="0011091B">
        <w:rPr>
          <w:rFonts w:ascii="Times New Roman" w:hAnsi="Times New Roman"/>
          <w:sz w:val="24"/>
          <w:szCs w:val="24"/>
        </w:rPr>
        <w:t>and that</w:t>
      </w:r>
      <w:proofErr w:type="gramEnd"/>
      <w:r w:rsidRPr="0011091B">
        <w:rPr>
          <w:rFonts w:ascii="Times New Roman" w:hAnsi="Times New Roman"/>
          <w:sz w:val="24"/>
          <w:szCs w:val="24"/>
        </w:rPr>
        <w:t xml:space="preserve"> only $3.2 million in fees were collected. These mathematical figures were verified by an independent accountants' report. Thus, defendants have demonstrated that the Program fees collected far exceeded the cost of administering the Program. *** Accordingly, defendants established prima facie that the Program Fees imposed pursuant to Section 55-7 of the Yonkers Fire Code are a permissible fee rather than an unconstitutional tax and their motion for summary judgment is granted. In opposition, plaintiffs failed to raise a triable issue of fact </w:t>
      </w:r>
      <w:proofErr w:type="gramStart"/>
      <w:r w:rsidRPr="0011091B">
        <w:rPr>
          <w:rFonts w:ascii="Times New Roman" w:hAnsi="Times New Roman"/>
          <w:sz w:val="24"/>
          <w:szCs w:val="24"/>
        </w:rPr>
        <w:t>and also</w:t>
      </w:r>
      <w:proofErr w:type="gramEnd"/>
      <w:r w:rsidRPr="0011091B">
        <w:rPr>
          <w:rFonts w:ascii="Times New Roman" w:hAnsi="Times New Roman"/>
          <w:sz w:val="24"/>
          <w:szCs w:val="24"/>
        </w:rPr>
        <w:t xml:space="preserve"> fail to support their own motion for summary judgment.” </w:t>
      </w:r>
      <w:hyperlink r:id="rId121" w:history="1">
        <w:r w:rsidRPr="0011091B">
          <w:rPr>
            <w:rStyle w:val="Hyperlink"/>
            <w:rFonts w:ascii="Times New Roman" w:hAnsi="Times New Roman"/>
            <w:sz w:val="24"/>
            <w:szCs w:val="24"/>
          </w:rPr>
          <w:t>https://law.justia.com/cases/new-york/other-courts/2024/2024-ny-slip-op-51294-u.html</w:t>
        </w:r>
      </w:hyperlink>
      <w:r w:rsidRPr="0011091B">
        <w:rPr>
          <w:rFonts w:ascii="Times New Roman" w:hAnsi="Times New Roman"/>
          <w:sz w:val="24"/>
          <w:szCs w:val="24"/>
        </w:rPr>
        <w:t xml:space="preserve"> </w:t>
      </w:r>
    </w:p>
    <w:p w14:paraId="5E4F1998" w14:textId="77777777" w:rsidR="0011091B" w:rsidRPr="0011091B" w:rsidRDefault="0011091B" w:rsidP="0011091B">
      <w:pPr>
        <w:pStyle w:val="NoSpacing"/>
        <w:rPr>
          <w:rFonts w:ascii="Times New Roman" w:hAnsi="Times New Roman"/>
          <w:sz w:val="24"/>
          <w:szCs w:val="24"/>
        </w:rPr>
      </w:pPr>
    </w:p>
    <w:p w14:paraId="1B95D348" w14:textId="77777777" w:rsidR="0011091B" w:rsidRPr="0011091B" w:rsidRDefault="0011091B" w:rsidP="0011091B">
      <w:pPr>
        <w:pStyle w:val="NoSpacing"/>
        <w:rPr>
          <w:rFonts w:ascii="Times New Roman" w:hAnsi="Times New Roman"/>
          <w:sz w:val="24"/>
          <w:szCs w:val="24"/>
        </w:rPr>
      </w:pPr>
      <w:r w:rsidRPr="0011091B">
        <w:rPr>
          <w:rFonts w:ascii="Times New Roman" w:hAnsi="Times New Roman"/>
          <w:sz w:val="24"/>
          <w:szCs w:val="24"/>
        </w:rPr>
        <w:t>THE COURT HELD:</w:t>
      </w:r>
    </w:p>
    <w:p w14:paraId="5DD73CAF" w14:textId="77777777" w:rsidR="0011091B" w:rsidRPr="0011091B" w:rsidRDefault="0011091B" w:rsidP="0011091B">
      <w:pPr>
        <w:pStyle w:val="NoSpacing"/>
        <w:rPr>
          <w:rFonts w:ascii="Times New Roman" w:hAnsi="Times New Roman"/>
          <w:sz w:val="24"/>
          <w:szCs w:val="24"/>
        </w:rPr>
      </w:pPr>
    </w:p>
    <w:p w14:paraId="253FE303" w14:textId="77777777" w:rsidR="0011091B" w:rsidRPr="0011091B" w:rsidRDefault="0011091B" w:rsidP="0011091B">
      <w:pPr>
        <w:pStyle w:val="NoSpacing"/>
        <w:ind w:left="720"/>
        <w:rPr>
          <w:rFonts w:ascii="Times New Roman" w:hAnsi="Times New Roman"/>
          <w:sz w:val="24"/>
          <w:szCs w:val="24"/>
        </w:rPr>
      </w:pPr>
      <w:r w:rsidRPr="0011091B">
        <w:rPr>
          <w:rFonts w:ascii="Times New Roman" w:hAnsi="Times New Roman"/>
          <w:sz w:val="24"/>
          <w:szCs w:val="24"/>
        </w:rPr>
        <w:t xml:space="preserve">“On or about October 3, 2017, plaintiffs filed a class action complaint on their own behalf and on behalf of similarly situated plaintiffs, and a demand for declaratory judgment against defendants. The complaint alleges that the City of Yonkers created a ‘Yonkers Fire and Building Safety Inspection Program,’ </w:t>
      </w:r>
      <w:proofErr w:type="gramStart"/>
      <w:r w:rsidRPr="0011091B">
        <w:rPr>
          <w:rFonts w:ascii="Times New Roman" w:hAnsi="Times New Roman"/>
          <w:sz w:val="24"/>
          <w:szCs w:val="24"/>
        </w:rPr>
        <w:t>in order to</w:t>
      </w:r>
      <w:proofErr w:type="gramEnd"/>
      <w:r w:rsidRPr="0011091B">
        <w:rPr>
          <w:rFonts w:ascii="Times New Roman" w:hAnsi="Times New Roman"/>
          <w:sz w:val="24"/>
          <w:szCs w:val="24"/>
        </w:rPr>
        <w:t xml:space="preserve"> provide fire and safety inspections for all multi-family dwelling units within the </w:t>
      </w:r>
      <w:proofErr w:type="gramStart"/>
      <w:r w:rsidRPr="0011091B">
        <w:rPr>
          <w:rFonts w:ascii="Times New Roman" w:hAnsi="Times New Roman"/>
          <w:sz w:val="24"/>
          <w:szCs w:val="24"/>
        </w:rPr>
        <w:t>City</w:t>
      </w:r>
      <w:proofErr w:type="gramEnd"/>
      <w:r w:rsidRPr="0011091B">
        <w:rPr>
          <w:rFonts w:ascii="Times New Roman" w:hAnsi="Times New Roman"/>
          <w:sz w:val="24"/>
          <w:szCs w:val="24"/>
        </w:rPr>
        <w:t>. The Inspection Program was established pursuant to Article 18 of the Executive Law, entitled the New York State Uniform Fire Prevention and Building Code Act [*3](Uniform Act), as codified in Executive Law § 370 et seq. and the Yonkers Fire and Building Code (</w:t>
      </w:r>
      <w:r w:rsidRPr="0011091B">
        <w:rPr>
          <w:rFonts w:ascii="Times New Roman" w:hAnsi="Times New Roman"/>
          <w:i/>
          <w:iCs/>
          <w:sz w:val="24"/>
          <w:szCs w:val="24"/>
        </w:rPr>
        <w:t xml:space="preserve">see </w:t>
      </w:r>
      <w:r w:rsidRPr="0011091B">
        <w:rPr>
          <w:rFonts w:ascii="Times New Roman" w:hAnsi="Times New Roman"/>
          <w:sz w:val="24"/>
          <w:szCs w:val="24"/>
        </w:rPr>
        <w:t>Yonkers Fire and Building Code § 55-1 et seq.). Section 55-7 of the Yonkers Fire and Building Code, entitled Fees for Fire and Building Safety Inspection Program, sets forth the following:</w:t>
      </w:r>
    </w:p>
    <w:p w14:paraId="1EF4B0F9" w14:textId="77777777" w:rsidR="0011091B" w:rsidRPr="0011091B" w:rsidRDefault="0011091B" w:rsidP="0011091B">
      <w:pPr>
        <w:pStyle w:val="NoSpacing"/>
        <w:ind w:firstLine="720"/>
        <w:rPr>
          <w:rFonts w:ascii="Times New Roman" w:hAnsi="Times New Roman"/>
          <w:sz w:val="24"/>
          <w:szCs w:val="24"/>
        </w:rPr>
      </w:pPr>
    </w:p>
    <w:p w14:paraId="2C3613DB" w14:textId="77777777" w:rsidR="0011091B" w:rsidRPr="0011091B" w:rsidRDefault="0011091B" w:rsidP="0011091B">
      <w:pPr>
        <w:pStyle w:val="NoSpacing"/>
        <w:ind w:left="1440"/>
        <w:rPr>
          <w:rFonts w:ascii="Times New Roman" w:hAnsi="Times New Roman"/>
          <w:sz w:val="24"/>
          <w:szCs w:val="24"/>
        </w:rPr>
      </w:pPr>
      <w:r w:rsidRPr="0011091B">
        <w:rPr>
          <w:rFonts w:ascii="Times New Roman" w:hAnsi="Times New Roman"/>
          <w:sz w:val="24"/>
          <w:szCs w:val="24"/>
        </w:rPr>
        <w:t xml:space="preserve">‘A. In order to pay for the City of Yonkers Fire and Building Safety Inspection Program, pursuant to which authorized officers and employees of the City of Yonkers inspect residential </w:t>
      </w:r>
      <w:r w:rsidRPr="0011091B">
        <w:rPr>
          <w:rFonts w:ascii="Times New Roman" w:hAnsi="Times New Roman"/>
          <w:sz w:val="24"/>
          <w:szCs w:val="24"/>
        </w:rPr>
        <w:lastRenderedPageBreak/>
        <w:t>and business and commercial properties to ensure compliance with applicable codes, including but not limited to the New York State Uniform Fire Prevention and Building Code, the Yonkers Fire and Building Code, the Yonkers Fire Prevention Code, the Multiple Residence Law and other applicable provisions of law, a schedule of fees for classes of occupancies inspected by such program is hereby established.’</w:t>
      </w:r>
    </w:p>
    <w:p w14:paraId="31A47268" w14:textId="77777777" w:rsidR="0011091B" w:rsidRPr="0011091B" w:rsidRDefault="0011091B" w:rsidP="0011091B">
      <w:pPr>
        <w:pStyle w:val="NoSpacing"/>
        <w:rPr>
          <w:rFonts w:ascii="Times New Roman" w:hAnsi="Times New Roman"/>
          <w:sz w:val="24"/>
          <w:szCs w:val="24"/>
        </w:rPr>
      </w:pPr>
      <w:r w:rsidRPr="0011091B">
        <w:rPr>
          <w:rFonts w:ascii="Times New Roman" w:hAnsi="Times New Roman"/>
          <w:sz w:val="24"/>
          <w:szCs w:val="24"/>
        </w:rPr>
        <w:tab/>
      </w:r>
    </w:p>
    <w:p w14:paraId="0CC5BBF4" w14:textId="77777777" w:rsidR="0011091B" w:rsidRPr="0011091B" w:rsidRDefault="0011091B" w:rsidP="0011091B">
      <w:pPr>
        <w:pStyle w:val="NoSpacing"/>
        <w:ind w:left="720" w:firstLine="720"/>
        <w:rPr>
          <w:rFonts w:ascii="Times New Roman" w:hAnsi="Times New Roman"/>
          <w:sz w:val="24"/>
          <w:szCs w:val="24"/>
        </w:rPr>
      </w:pPr>
      <w:r w:rsidRPr="0011091B">
        <w:rPr>
          <w:rFonts w:ascii="Times New Roman" w:hAnsi="Times New Roman"/>
          <w:sz w:val="24"/>
          <w:szCs w:val="24"/>
        </w:rPr>
        <w:t>***</w:t>
      </w:r>
    </w:p>
    <w:p w14:paraId="18C82DA6" w14:textId="77777777" w:rsidR="0011091B" w:rsidRPr="0011091B" w:rsidRDefault="0011091B" w:rsidP="0011091B">
      <w:pPr>
        <w:pStyle w:val="NoSpacing"/>
        <w:ind w:left="1440"/>
        <w:rPr>
          <w:rFonts w:ascii="Times New Roman" w:hAnsi="Times New Roman"/>
          <w:sz w:val="24"/>
          <w:szCs w:val="24"/>
        </w:rPr>
      </w:pPr>
      <w:r w:rsidRPr="0011091B">
        <w:rPr>
          <w:rFonts w:ascii="Times New Roman" w:hAnsi="Times New Roman"/>
          <w:sz w:val="24"/>
          <w:szCs w:val="24"/>
        </w:rPr>
        <w:t xml:space="preserve">Properties are required to be inspected at least once every 36 months and owners are expected to pay annual fees ranging from $250 to $1,250. The Program fees are paid by owners of real property other than </w:t>
      </w:r>
      <w:proofErr w:type="gramStart"/>
      <w:r w:rsidRPr="0011091B">
        <w:rPr>
          <w:rFonts w:ascii="Times New Roman" w:hAnsi="Times New Roman"/>
          <w:sz w:val="24"/>
          <w:szCs w:val="24"/>
        </w:rPr>
        <w:t>one and two family</w:t>
      </w:r>
      <w:proofErr w:type="gramEnd"/>
      <w:r w:rsidRPr="0011091B">
        <w:rPr>
          <w:rFonts w:ascii="Times New Roman" w:hAnsi="Times New Roman"/>
          <w:sz w:val="24"/>
          <w:szCs w:val="24"/>
        </w:rPr>
        <w:t xml:space="preserve"> dwellings and not-for-profit buildings. </w:t>
      </w:r>
    </w:p>
    <w:p w14:paraId="528C0103" w14:textId="77777777" w:rsidR="0011091B" w:rsidRPr="0011091B" w:rsidRDefault="0011091B" w:rsidP="0011091B">
      <w:pPr>
        <w:pStyle w:val="NoSpacing"/>
        <w:ind w:left="720"/>
        <w:rPr>
          <w:rFonts w:ascii="Times New Roman" w:hAnsi="Times New Roman"/>
          <w:sz w:val="24"/>
          <w:szCs w:val="24"/>
        </w:rPr>
      </w:pPr>
    </w:p>
    <w:p w14:paraId="600FA369" w14:textId="77777777" w:rsidR="0011091B" w:rsidRPr="0011091B" w:rsidRDefault="0011091B" w:rsidP="0011091B">
      <w:pPr>
        <w:pStyle w:val="NoSpacing"/>
        <w:ind w:left="720" w:firstLine="720"/>
        <w:rPr>
          <w:rFonts w:ascii="Times New Roman" w:hAnsi="Times New Roman"/>
          <w:sz w:val="24"/>
          <w:szCs w:val="24"/>
        </w:rPr>
      </w:pPr>
      <w:r w:rsidRPr="0011091B">
        <w:rPr>
          <w:rFonts w:ascii="Times New Roman" w:hAnsi="Times New Roman"/>
          <w:sz w:val="24"/>
          <w:szCs w:val="24"/>
        </w:rPr>
        <w:t>***</w:t>
      </w:r>
    </w:p>
    <w:p w14:paraId="52FCCC62" w14:textId="77777777" w:rsidR="0011091B" w:rsidRPr="0011091B" w:rsidRDefault="0011091B" w:rsidP="0011091B">
      <w:pPr>
        <w:pStyle w:val="NoSpacing"/>
        <w:ind w:left="1440"/>
        <w:rPr>
          <w:rFonts w:ascii="Times New Roman" w:hAnsi="Times New Roman"/>
          <w:sz w:val="24"/>
          <w:szCs w:val="24"/>
        </w:rPr>
      </w:pPr>
      <w:r w:rsidRPr="0011091B">
        <w:rPr>
          <w:rFonts w:ascii="Times New Roman" w:hAnsi="Times New Roman"/>
          <w:sz w:val="24"/>
          <w:szCs w:val="24"/>
        </w:rPr>
        <w:t>Finally, it is well established that "[l]</w:t>
      </w:r>
      <w:proofErr w:type="spellStart"/>
      <w:r w:rsidRPr="0011091B">
        <w:rPr>
          <w:rFonts w:ascii="Times New Roman" w:hAnsi="Times New Roman"/>
          <w:sz w:val="24"/>
          <w:szCs w:val="24"/>
        </w:rPr>
        <w:t>egislative</w:t>
      </w:r>
      <w:proofErr w:type="spellEnd"/>
      <w:r w:rsidRPr="0011091B">
        <w:rPr>
          <w:rFonts w:ascii="Times New Roman" w:hAnsi="Times New Roman"/>
          <w:sz w:val="24"/>
          <w:szCs w:val="24"/>
        </w:rPr>
        <w:t xml:space="preserve"> enactments enjoy a strong presumption of constitutionality. While the presumption is not irrefutable, parties challenging a duly </w:t>
      </w:r>
      <w:proofErr w:type="gramStart"/>
      <w:r w:rsidRPr="0011091B">
        <w:rPr>
          <w:rFonts w:ascii="Times New Roman" w:hAnsi="Times New Roman"/>
          <w:sz w:val="24"/>
          <w:szCs w:val="24"/>
        </w:rPr>
        <w:t>enacted [*8]</w:t>
      </w:r>
      <w:proofErr w:type="gramEnd"/>
      <w:r w:rsidRPr="0011091B">
        <w:rPr>
          <w:rFonts w:ascii="Times New Roman" w:hAnsi="Times New Roman"/>
          <w:sz w:val="24"/>
          <w:szCs w:val="24"/>
        </w:rPr>
        <w:t xml:space="preserve">statute face the initial burden of demonstrating the statute's invalidity "beyond a reasonable doubt'. </w:t>
      </w:r>
      <w:r w:rsidRPr="0011091B">
        <w:rPr>
          <w:rFonts w:ascii="Times New Roman" w:hAnsi="Times New Roman"/>
          <w:i/>
          <w:iCs/>
          <w:sz w:val="24"/>
          <w:szCs w:val="24"/>
        </w:rPr>
        <w:t>Lavalle v Hayden</w:t>
      </w:r>
      <w:r w:rsidRPr="0011091B">
        <w:rPr>
          <w:rFonts w:ascii="Times New Roman" w:hAnsi="Times New Roman"/>
          <w:sz w:val="24"/>
          <w:szCs w:val="24"/>
        </w:rPr>
        <w:t xml:space="preserve">, 98 NY2d 155, 161 (2002) (internal quotation marks and citations omitted).Plaintiffs also claim the statute is "invalid" because they allegedly never received an inspection. To the extent that plaintiffs could even maintain this argument separate from claiming a private cause of action, plaintiffs have not met their burden to demonstrate the statute's invalidity beyond a reasonable doubt. First, thousands of properties are subject to </w:t>
      </w:r>
      <w:proofErr w:type="gramStart"/>
      <w:r w:rsidRPr="0011091B">
        <w:rPr>
          <w:rFonts w:ascii="Times New Roman" w:hAnsi="Times New Roman"/>
          <w:sz w:val="24"/>
          <w:szCs w:val="24"/>
        </w:rPr>
        <w:t>inspection</w:t>
      </w:r>
      <w:proofErr w:type="gramEnd"/>
      <w:r w:rsidRPr="0011091B">
        <w:rPr>
          <w:rFonts w:ascii="Times New Roman" w:hAnsi="Times New Roman"/>
          <w:sz w:val="24"/>
          <w:szCs w:val="24"/>
        </w:rPr>
        <w:t xml:space="preserve"> and it is undisputed that there are some written records for inspections. As a result, the alleged failure to inspect one property would not render a statute unconstitutional. Next, the record indicates that plaintiffs' properties were visited and inspected. The owner of the properties, an absentee landlord, testified that he was unaware of any visits by the Fire Department and testified that his tenants do not usually tell him if the Fire Department has visited. Therefore, plaintiffs have failed to prove beyond a reasonable doubt that there were missed inspections. Although there does not appear to be a uniform way the different City Fire Departments document violations and inspections, a motion for summary judgment is not the proper way to challenge a lack of systemic protocols.”</w:t>
      </w:r>
    </w:p>
    <w:p w14:paraId="4739B241" w14:textId="77777777" w:rsidR="0011091B" w:rsidRDefault="0011091B" w:rsidP="0011091B">
      <w:pPr>
        <w:pStyle w:val="NoSpacing"/>
        <w:ind w:left="720"/>
      </w:pPr>
    </w:p>
    <w:p w14:paraId="389A94B7" w14:textId="77777777" w:rsidR="00B33F53" w:rsidRPr="00B33F53" w:rsidRDefault="00B33F53" w:rsidP="00B33F53">
      <w:pPr>
        <w:pStyle w:val="NoSpacing"/>
        <w:rPr>
          <w:rFonts w:ascii="Times New Roman" w:hAnsi="Times New Roman"/>
          <w:b/>
          <w:bCs/>
          <w:sz w:val="24"/>
          <w:szCs w:val="24"/>
        </w:rPr>
      </w:pPr>
      <w:r w:rsidRPr="00B33F53">
        <w:rPr>
          <w:rFonts w:ascii="Times New Roman" w:hAnsi="Times New Roman"/>
          <w:b/>
          <w:bCs/>
          <w:sz w:val="24"/>
          <w:szCs w:val="24"/>
        </w:rPr>
        <w:t xml:space="preserve">Legal Lesson Learned:  State law requiring payment of annual fire inspection fee is lawful. </w:t>
      </w:r>
    </w:p>
    <w:p w14:paraId="31858484" w14:textId="77777777" w:rsidR="0011091B" w:rsidRDefault="0011091B" w:rsidP="00B86628">
      <w:pPr>
        <w:pStyle w:val="NoSpacing"/>
        <w:rPr>
          <w:rFonts w:ascii="Arial Black" w:hAnsi="Arial Black"/>
          <w:sz w:val="24"/>
          <w:szCs w:val="24"/>
        </w:rPr>
      </w:pPr>
    </w:p>
    <w:p w14:paraId="2670C5EF" w14:textId="77777777" w:rsidR="0011091B" w:rsidRDefault="0011091B" w:rsidP="00B86628">
      <w:pPr>
        <w:pStyle w:val="NoSpacing"/>
        <w:rPr>
          <w:rFonts w:ascii="Arial Black" w:hAnsi="Arial Black"/>
          <w:sz w:val="24"/>
          <w:szCs w:val="24"/>
        </w:rPr>
      </w:pPr>
    </w:p>
    <w:p w14:paraId="1DC154D1" w14:textId="77777777" w:rsidR="0011091B" w:rsidRDefault="0011091B" w:rsidP="00B86628">
      <w:pPr>
        <w:pStyle w:val="NoSpacing"/>
        <w:rPr>
          <w:rFonts w:ascii="Arial Black" w:hAnsi="Arial Black"/>
          <w:sz w:val="24"/>
          <w:szCs w:val="24"/>
        </w:rPr>
      </w:pPr>
    </w:p>
    <w:p w14:paraId="76180A73" w14:textId="4F662C61" w:rsidR="00C443C1" w:rsidRDefault="00C443C1" w:rsidP="00B86628">
      <w:pPr>
        <w:pStyle w:val="NoSpacing"/>
        <w:rPr>
          <w:rFonts w:ascii="Arial Black" w:hAnsi="Arial Black"/>
          <w:sz w:val="24"/>
          <w:szCs w:val="24"/>
        </w:rPr>
      </w:pPr>
      <w:r>
        <w:rPr>
          <w:rFonts w:ascii="Arial Black" w:hAnsi="Arial Black"/>
          <w:sz w:val="24"/>
          <w:szCs w:val="24"/>
        </w:rPr>
        <w:t>1-156</w:t>
      </w:r>
    </w:p>
    <w:p w14:paraId="2995E35A" w14:textId="77777777" w:rsidR="00C443C1" w:rsidRDefault="00C443C1" w:rsidP="00B86628">
      <w:pPr>
        <w:pStyle w:val="NoSpacing"/>
        <w:rPr>
          <w:rFonts w:ascii="Arial Black" w:hAnsi="Arial Black"/>
          <w:sz w:val="24"/>
          <w:szCs w:val="24"/>
        </w:rPr>
      </w:pPr>
    </w:p>
    <w:p w14:paraId="2F229D67" w14:textId="0006342D" w:rsidR="005C3A2A" w:rsidRPr="00752E25" w:rsidRDefault="005C3A2A" w:rsidP="005C3A2A">
      <w:pPr>
        <w:pStyle w:val="NoSpacing"/>
        <w:rPr>
          <w:rFonts w:ascii="Arial Black" w:hAnsi="Arial Black"/>
          <w:sz w:val="28"/>
        </w:rPr>
      </w:pPr>
      <w:r w:rsidRPr="00752E25">
        <w:rPr>
          <w:rFonts w:ascii="Arial Black" w:hAnsi="Arial Black"/>
          <w:sz w:val="28"/>
        </w:rPr>
        <w:t xml:space="preserve">OH: MATTRESS FIRE – WOMAN SERVED 6 YRS OHIO PRISON - FD INVESTIGATOR: TWO FIRES – DEFENSE EXPERT: FALSE, </w:t>
      </w:r>
      <w:r w:rsidR="007D62C3" w:rsidRPr="00752E25">
        <w:rPr>
          <w:rFonts w:ascii="Arial Black" w:hAnsi="Arial Black"/>
          <w:sz w:val="28"/>
        </w:rPr>
        <w:t xml:space="preserve">ONLY </w:t>
      </w:r>
      <w:r w:rsidRPr="00752E25">
        <w:rPr>
          <w:rFonts w:ascii="Arial Black" w:hAnsi="Arial Black"/>
          <w:sz w:val="28"/>
        </w:rPr>
        <w:t>ONE FIRE</w:t>
      </w:r>
    </w:p>
    <w:p w14:paraId="5DFD41EC" w14:textId="77777777" w:rsidR="005C3A2A" w:rsidRDefault="005C3A2A" w:rsidP="005C3A2A">
      <w:pPr>
        <w:pStyle w:val="NoSpacing"/>
        <w:rPr>
          <w:szCs w:val="24"/>
        </w:rPr>
      </w:pPr>
    </w:p>
    <w:p w14:paraId="57D6DBD7" w14:textId="77777777" w:rsidR="005C3A2A" w:rsidRPr="005C3A2A" w:rsidRDefault="005C3A2A" w:rsidP="005C3A2A">
      <w:pPr>
        <w:pStyle w:val="NoSpacing"/>
        <w:rPr>
          <w:rFonts w:ascii="Times New Roman" w:hAnsi="Times New Roman"/>
          <w:sz w:val="24"/>
          <w:szCs w:val="24"/>
        </w:rPr>
      </w:pPr>
      <w:r w:rsidRPr="005C3A2A">
        <w:rPr>
          <w:rFonts w:ascii="Times New Roman" w:hAnsi="Times New Roman"/>
          <w:sz w:val="24"/>
          <w:szCs w:val="24"/>
        </w:rPr>
        <w:t xml:space="preserve">On August 26, 2024, in </w:t>
      </w:r>
      <w:r w:rsidRPr="005C3A2A">
        <w:rPr>
          <w:rFonts w:ascii="Times New Roman" w:hAnsi="Times New Roman"/>
          <w:sz w:val="24"/>
          <w:szCs w:val="24"/>
          <w:u w:val="single"/>
        </w:rPr>
        <w:t xml:space="preserve">Kayla Jean Ayers v. Ohio Department of Rehabilitation </w:t>
      </w:r>
      <w:proofErr w:type="gramStart"/>
      <w:r w:rsidRPr="005C3A2A">
        <w:rPr>
          <w:rFonts w:ascii="Times New Roman" w:hAnsi="Times New Roman"/>
          <w:sz w:val="24"/>
          <w:szCs w:val="24"/>
          <w:u w:val="single"/>
        </w:rPr>
        <w:t>And</w:t>
      </w:r>
      <w:proofErr w:type="gramEnd"/>
      <w:r w:rsidRPr="005C3A2A">
        <w:rPr>
          <w:rFonts w:ascii="Times New Roman" w:hAnsi="Times New Roman"/>
          <w:sz w:val="24"/>
          <w:szCs w:val="24"/>
          <w:u w:val="single"/>
        </w:rPr>
        <w:t xml:space="preserve"> Corrections</w:t>
      </w:r>
      <w:r w:rsidRPr="005C3A2A">
        <w:rPr>
          <w:rFonts w:ascii="Times New Roman" w:hAnsi="Times New Roman"/>
          <w:sz w:val="24"/>
          <w:szCs w:val="24"/>
        </w:rPr>
        <w:t xml:space="preserve">, the U.S. Court of Appeals for the Sixth Circuit (Cincinnati), held (3 to 0) that the former prisoner is entitled habeas corpus relief, so she no longer has to register annually as an arson offender; can possess a firearm.  Her court-appointed trial attorney was ineffective in not retaining an expert witness concerning the mattress fire in basement on Oct. 3, </w:t>
      </w:r>
      <w:proofErr w:type="gramStart"/>
      <w:r w:rsidRPr="005C3A2A">
        <w:rPr>
          <w:rFonts w:ascii="Times New Roman" w:hAnsi="Times New Roman"/>
          <w:sz w:val="24"/>
          <w:szCs w:val="24"/>
        </w:rPr>
        <w:t>2012</w:t>
      </w:r>
      <w:proofErr w:type="gramEnd"/>
      <w:r w:rsidRPr="005C3A2A">
        <w:rPr>
          <w:rFonts w:ascii="Times New Roman" w:hAnsi="Times New Roman"/>
          <w:sz w:val="24"/>
          <w:szCs w:val="24"/>
        </w:rPr>
        <w:t xml:space="preserve"> which Massillon FD extinguished.  While Ayers was still in prison, the Ohio Innocence Project reviewed the case and consulted with “renowned fire-inspection expert John Lentini (Lentini is one of the principal authors of NFPA 921).” He concluded in his July 29, </w:t>
      </w:r>
      <w:proofErr w:type="gramStart"/>
      <w:r w:rsidRPr="005C3A2A">
        <w:rPr>
          <w:rFonts w:ascii="Times New Roman" w:hAnsi="Times New Roman"/>
          <w:sz w:val="24"/>
          <w:szCs w:val="24"/>
        </w:rPr>
        <w:t>2019</w:t>
      </w:r>
      <w:proofErr w:type="gramEnd"/>
      <w:r w:rsidRPr="005C3A2A">
        <w:rPr>
          <w:rFonts w:ascii="Times New Roman" w:hAnsi="Times New Roman"/>
          <w:sz w:val="24"/>
          <w:szCs w:val="24"/>
        </w:rPr>
        <w:t xml:space="preserve"> report that there were not two separate fires on the mattress.  The Court wrote: “Lentini is one of the principal authors of NFPA 921, the manual that [Fire Inspector Reginald] Winters relied on in formulating his opinions. In his report, Lentini </w:t>
      </w:r>
      <w:r w:rsidRPr="005C3A2A">
        <w:rPr>
          <w:rFonts w:ascii="Times New Roman" w:hAnsi="Times New Roman"/>
          <w:sz w:val="24"/>
          <w:szCs w:val="24"/>
        </w:rPr>
        <w:lastRenderedPageBreak/>
        <w:t xml:space="preserve">opined that ‘[t]here [was] no evidence that [two fires] were ‘simultaneously burning’ and that ‘[t]he damage [was] indistinguishable from damage caused by normal fire spread from a single point of origin,’ undermining the State’s theory that the fire had been started intentionally Lentini also questioned Winters’s qualifications to testify about the fire’s cause, stating that Winters’s methods were ‘unreliable, unscientific, and at odds with generally accepted fire investigation methodology.’ *** The district court clearly erred in finding that Lentini’s report did not establish the factual predicate for Ayers’s ineffective-assistance claim.” </w:t>
      </w:r>
      <w:hyperlink r:id="rId122" w:history="1">
        <w:r w:rsidRPr="005C3A2A">
          <w:rPr>
            <w:rStyle w:val="Hyperlink"/>
            <w:rFonts w:ascii="Times New Roman" w:hAnsi="Times New Roman"/>
            <w:sz w:val="24"/>
            <w:szCs w:val="24"/>
          </w:rPr>
          <w:t>https://www.opn.ca6.uscourts.gov/opinions.pdf/24a0196p-06.pdf</w:t>
        </w:r>
      </w:hyperlink>
      <w:r w:rsidRPr="005C3A2A">
        <w:rPr>
          <w:rFonts w:ascii="Times New Roman" w:hAnsi="Times New Roman"/>
          <w:sz w:val="24"/>
          <w:szCs w:val="24"/>
        </w:rPr>
        <w:t xml:space="preserve"> </w:t>
      </w:r>
    </w:p>
    <w:p w14:paraId="68BCB087" w14:textId="77777777" w:rsidR="005C3A2A" w:rsidRPr="005C3A2A" w:rsidRDefault="005C3A2A" w:rsidP="005C3A2A">
      <w:pPr>
        <w:pStyle w:val="NoSpacing"/>
        <w:rPr>
          <w:rFonts w:ascii="Times New Roman" w:hAnsi="Times New Roman"/>
          <w:sz w:val="24"/>
          <w:szCs w:val="24"/>
        </w:rPr>
      </w:pPr>
    </w:p>
    <w:p w14:paraId="29CD1AB0" w14:textId="77777777" w:rsidR="005C3A2A" w:rsidRPr="005C3A2A" w:rsidRDefault="005C3A2A" w:rsidP="005C3A2A">
      <w:pPr>
        <w:pStyle w:val="NoSpacing"/>
        <w:rPr>
          <w:rFonts w:ascii="Times New Roman" w:hAnsi="Times New Roman"/>
          <w:sz w:val="24"/>
          <w:szCs w:val="24"/>
        </w:rPr>
      </w:pPr>
      <w:r w:rsidRPr="005C3A2A">
        <w:rPr>
          <w:rFonts w:ascii="Times New Roman" w:hAnsi="Times New Roman"/>
          <w:sz w:val="24"/>
          <w:szCs w:val="24"/>
        </w:rPr>
        <w:t>THE COURT HELD:</w:t>
      </w:r>
    </w:p>
    <w:p w14:paraId="3C859E24" w14:textId="77777777" w:rsidR="005C3A2A" w:rsidRPr="005C3A2A" w:rsidRDefault="005C3A2A" w:rsidP="005C3A2A">
      <w:pPr>
        <w:pStyle w:val="NoSpacing"/>
        <w:rPr>
          <w:rFonts w:ascii="Times New Roman" w:hAnsi="Times New Roman"/>
          <w:sz w:val="24"/>
          <w:szCs w:val="24"/>
        </w:rPr>
      </w:pPr>
    </w:p>
    <w:p w14:paraId="6D109A80" w14:textId="77777777" w:rsidR="005C3A2A" w:rsidRPr="005C3A2A" w:rsidRDefault="005C3A2A" w:rsidP="005C3A2A">
      <w:pPr>
        <w:pStyle w:val="NoSpacing"/>
        <w:ind w:left="720"/>
        <w:rPr>
          <w:rFonts w:ascii="Times New Roman" w:hAnsi="Times New Roman"/>
          <w:sz w:val="24"/>
          <w:szCs w:val="24"/>
        </w:rPr>
      </w:pPr>
      <w:r w:rsidRPr="005C3A2A">
        <w:rPr>
          <w:rFonts w:ascii="Times New Roman" w:hAnsi="Times New Roman"/>
          <w:sz w:val="24"/>
          <w:szCs w:val="24"/>
        </w:rPr>
        <w:t>“Although Ayers was released from prison in 2019 and completed post-release control in 2022, she continues to suffer collateral consequences for her felony arson conviction. See, e.g., Ohio Rev. Code Ann. § 2909.15(D)(2) (requiring arson offenders to register annually with the state ‘until the offender’s death’); 18 U.S.C. § 922(g)(1) (prohibiting convicted felons from possessing firearms).</w:t>
      </w:r>
    </w:p>
    <w:p w14:paraId="31040F05" w14:textId="77777777" w:rsidR="005C3A2A" w:rsidRPr="005C3A2A" w:rsidRDefault="005C3A2A" w:rsidP="005C3A2A">
      <w:pPr>
        <w:pStyle w:val="NoSpacing"/>
        <w:ind w:left="720"/>
        <w:rPr>
          <w:rFonts w:ascii="Times New Roman" w:hAnsi="Times New Roman"/>
          <w:sz w:val="24"/>
          <w:szCs w:val="24"/>
        </w:rPr>
      </w:pPr>
    </w:p>
    <w:p w14:paraId="03C109AA" w14:textId="77777777" w:rsidR="005C3A2A" w:rsidRPr="005C3A2A" w:rsidRDefault="005C3A2A" w:rsidP="005C3A2A">
      <w:pPr>
        <w:pStyle w:val="NoSpacing"/>
        <w:ind w:left="720"/>
        <w:rPr>
          <w:rFonts w:ascii="Times New Roman" w:hAnsi="Times New Roman"/>
          <w:sz w:val="24"/>
          <w:szCs w:val="24"/>
        </w:rPr>
      </w:pPr>
      <w:r w:rsidRPr="005C3A2A">
        <w:rPr>
          <w:rFonts w:ascii="Times New Roman" w:hAnsi="Times New Roman"/>
          <w:sz w:val="24"/>
          <w:szCs w:val="24"/>
        </w:rPr>
        <w:t>***</w:t>
      </w:r>
    </w:p>
    <w:p w14:paraId="1F9C5FE1" w14:textId="77777777" w:rsidR="005C3A2A" w:rsidRPr="005C3A2A" w:rsidRDefault="005C3A2A" w:rsidP="005C3A2A">
      <w:pPr>
        <w:pStyle w:val="NoSpacing"/>
        <w:rPr>
          <w:rFonts w:ascii="Times New Roman" w:hAnsi="Times New Roman"/>
          <w:sz w:val="24"/>
          <w:szCs w:val="24"/>
        </w:rPr>
      </w:pPr>
    </w:p>
    <w:p w14:paraId="4D16F927" w14:textId="77777777" w:rsidR="005C3A2A" w:rsidRPr="005C3A2A" w:rsidRDefault="005C3A2A" w:rsidP="005C3A2A">
      <w:pPr>
        <w:pStyle w:val="NoSpacing"/>
        <w:ind w:left="720"/>
        <w:rPr>
          <w:rFonts w:ascii="Times New Roman" w:hAnsi="Times New Roman"/>
          <w:sz w:val="24"/>
          <w:szCs w:val="24"/>
        </w:rPr>
      </w:pPr>
      <w:r w:rsidRPr="005C3A2A">
        <w:rPr>
          <w:rFonts w:ascii="Times New Roman" w:hAnsi="Times New Roman"/>
          <w:sz w:val="24"/>
          <w:szCs w:val="24"/>
        </w:rPr>
        <w:t>And Lentini’s report posits that Winters was not qualified to testify about the fire’s cause and that his conclusion that the fire had two ignition points was not based on sound scientific methodology. Indeed, such evidence could have resulted in Ayers’s acquittal.”</w:t>
      </w:r>
    </w:p>
    <w:p w14:paraId="0F8C34C3" w14:textId="77777777" w:rsidR="005C3A2A" w:rsidRPr="005C3A2A" w:rsidRDefault="005C3A2A" w:rsidP="005C3A2A">
      <w:pPr>
        <w:pStyle w:val="NoSpacing"/>
        <w:ind w:left="720"/>
        <w:rPr>
          <w:rFonts w:ascii="Times New Roman" w:hAnsi="Times New Roman"/>
          <w:sz w:val="24"/>
          <w:szCs w:val="24"/>
        </w:rPr>
      </w:pPr>
    </w:p>
    <w:p w14:paraId="10D0CFDF" w14:textId="77777777" w:rsidR="005C3A2A" w:rsidRPr="005C3A2A" w:rsidRDefault="005C3A2A" w:rsidP="005C3A2A">
      <w:pPr>
        <w:pStyle w:val="NoSpacing"/>
        <w:rPr>
          <w:rFonts w:ascii="Times New Roman" w:hAnsi="Times New Roman"/>
          <w:b/>
          <w:bCs/>
          <w:sz w:val="24"/>
          <w:szCs w:val="24"/>
        </w:rPr>
      </w:pPr>
      <w:r w:rsidRPr="005C3A2A">
        <w:rPr>
          <w:rFonts w:ascii="Times New Roman" w:hAnsi="Times New Roman"/>
          <w:b/>
          <w:bCs/>
          <w:sz w:val="24"/>
          <w:szCs w:val="24"/>
        </w:rPr>
        <w:t xml:space="preserve">Legal Lesson Learned: Arson investigators must be qualified and base their testimony on scientific evidence. </w:t>
      </w:r>
    </w:p>
    <w:p w14:paraId="35C345E0" w14:textId="77777777" w:rsidR="005C3A2A" w:rsidRPr="005C3A2A" w:rsidRDefault="005C3A2A" w:rsidP="005C3A2A">
      <w:pPr>
        <w:pStyle w:val="NoSpacing"/>
        <w:rPr>
          <w:rFonts w:ascii="Times New Roman" w:hAnsi="Times New Roman"/>
          <w:sz w:val="24"/>
          <w:szCs w:val="24"/>
        </w:rPr>
      </w:pPr>
    </w:p>
    <w:p w14:paraId="36B88CEB" w14:textId="77777777" w:rsidR="000338D1" w:rsidRPr="00557963" w:rsidRDefault="000338D1" w:rsidP="000338D1">
      <w:pPr>
        <w:pStyle w:val="NoSpacing"/>
        <w:ind w:left="720"/>
        <w:rPr>
          <w:rFonts w:ascii="Times New Roman" w:hAnsi="Times New Roman"/>
          <w:sz w:val="24"/>
          <w:szCs w:val="24"/>
        </w:rPr>
      </w:pPr>
      <w:r w:rsidRPr="00557963">
        <w:rPr>
          <w:rFonts w:ascii="Times New Roman" w:hAnsi="Times New Roman"/>
          <w:sz w:val="24"/>
          <w:szCs w:val="24"/>
        </w:rPr>
        <w:t>Note: See articles on this case.</w:t>
      </w:r>
    </w:p>
    <w:p w14:paraId="6102DBC0" w14:textId="77777777" w:rsidR="000338D1" w:rsidRPr="00557963" w:rsidRDefault="000338D1" w:rsidP="000338D1">
      <w:pPr>
        <w:pStyle w:val="NoSpacing"/>
        <w:ind w:left="720"/>
        <w:rPr>
          <w:rFonts w:ascii="Times New Roman" w:hAnsi="Times New Roman"/>
          <w:sz w:val="24"/>
          <w:szCs w:val="24"/>
        </w:rPr>
      </w:pPr>
    </w:p>
    <w:p w14:paraId="45B5406C" w14:textId="77777777" w:rsidR="000338D1" w:rsidRDefault="000338D1" w:rsidP="000338D1">
      <w:pPr>
        <w:pStyle w:val="NoSpacing"/>
        <w:ind w:left="720"/>
        <w:rPr>
          <w:rFonts w:ascii="Times New Roman" w:hAnsi="Times New Roman"/>
          <w:sz w:val="24"/>
          <w:szCs w:val="24"/>
        </w:rPr>
      </w:pPr>
      <w:r w:rsidRPr="00557963">
        <w:rPr>
          <w:rFonts w:ascii="Times New Roman" w:hAnsi="Times New Roman"/>
          <w:sz w:val="24"/>
          <w:szCs w:val="24"/>
        </w:rPr>
        <w:t xml:space="preserve">Sept. 4, 2024: Biden Judge Writes Unanimous Opinion Letting Indigent Woman Challenge Her Conviction </w:t>
      </w:r>
      <w:proofErr w:type="gramStart"/>
      <w:r w:rsidRPr="00557963">
        <w:rPr>
          <w:rFonts w:ascii="Times New Roman" w:hAnsi="Times New Roman"/>
          <w:sz w:val="24"/>
          <w:szCs w:val="24"/>
        </w:rPr>
        <w:t>As</w:t>
      </w:r>
      <w:proofErr w:type="gramEnd"/>
      <w:r w:rsidRPr="00557963">
        <w:rPr>
          <w:rFonts w:ascii="Times New Roman" w:hAnsi="Times New Roman"/>
          <w:sz w:val="24"/>
          <w:szCs w:val="24"/>
        </w:rPr>
        <w:t xml:space="preserve"> Unfairly Based on Testimony from an Unqualified Expert. </w:t>
      </w:r>
    </w:p>
    <w:p w14:paraId="557549BF" w14:textId="77777777" w:rsidR="000338D1" w:rsidRDefault="000338D1" w:rsidP="000338D1">
      <w:pPr>
        <w:pStyle w:val="NoSpacing"/>
        <w:ind w:left="720"/>
        <w:rPr>
          <w:rFonts w:ascii="Times New Roman" w:hAnsi="Times New Roman"/>
          <w:sz w:val="24"/>
          <w:szCs w:val="24"/>
        </w:rPr>
      </w:pPr>
      <w:r>
        <w:rPr>
          <w:rFonts w:ascii="Times New Roman" w:hAnsi="Times New Roman"/>
          <w:sz w:val="24"/>
          <w:szCs w:val="24"/>
        </w:rPr>
        <w:t>“</w:t>
      </w:r>
      <w:r w:rsidRPr="00AE5532">
        <w:rPr>
          <w:rFonts w:ascii="Times New Roman" w:hAnsi="Times New Roman"/>
          <w:sz w:val="24"/>
          <w:szCs w:val="24"/>
        </w:rPr>
        <w:t>Judge Andre Mathis, who was nominated by President Biden to the Sixth Circuit court of appeals, wrote a unanimous opinion that reversed a lower court and allowed an indigent woman to proceed with her post-conviction claim that her trial counsel was constitutionally ineffective because he failed to claim that the fire inspector who provided critical testimony that led to her arson conviction was unqualified.</w:t>
      </w:r>
      <w:r>
        <w:rPr>
          <w:rFonts w:ascii="Times New Roman" w:hAnsi="Times New Roman"/>
          <w:sz w:val="24"/>
          <w:szCs w:val="24"/>
        </w:rPr>
        <w:t xml:space="preserve">” </w:t>
      </w:r>
    </w:p>
    <w:p w14:paraId="0F9B0E6A" w14:textId="77777777" w:rsidR="000338D1" w:rsidRPr="00557963" w:rsidRDefault="000338D1" w:rsidP="000338D1">
      <w:pPr>
        <w:pStyle w:val="NoSpacing"/>
        <w:ind w:left="720"/>
        <w:rPr>
          <w:rFonts w:ascii="Times New Roman" w:hAnsi="Times New Roman"/>
          <w:sz w:val="24"/>
          <w:szCs w:val="24"/>
        </w:rPr>
      </w:pPr>
      <w:hyperlink r:id="rId123" w:history="1">
        <w:r w:rsidRPr="00C56BB9">
          <w:rPr>
            <w:rStyle w:val="Hyperlink"/>
            <w:rFonts w:ascii="Times New Roman" w:hAnsi="Times New Roman"/>
            <w:sz w:val="24"/>
            <w:szCs w:val="24"/>
          </w:rPr>
          <w:t>https://www.peoplefor.org/biden-judge-writes-unanimous-opinion-letting-indigent-woman-challenge-her-conviction-unfairly-based</w:t>
        </w:r>
      </w:hyperlink>
      <w:r w:rsidRPr="00557963">
        <w:rPr>
          <w:rFonts w:ascii="Times New Roman" w:hAnsi="Times New Roman"/>
          <w:sz w:val="24"/>
          <w:szCs w:val="24"/>
        </w:rPr>
        <w:t xml:space="preserve"> </w:t>
      </w:r>
    </w:p>
    <w:p w14:paraId="4A84ACCF" w14:textId="77777777" w:rsidR="000338D1" w:rsidRPr="00557963" w:rsidRDefault="000338D1" w:rsidP="000338D1">
      <w:pPr>
        <w:pStyle w:val="NoSpacing"/>
        <w:ind w:left="720"/>
        <w:rPr>
          <w:rFonts w:ascii="Times New Roman" w:hAnsi="Times New Roman"/>
          <w:sz w:val="24"/>
          <w:szCs w:val="24"/>
        </w:rPr>
      </w:pPr>
    </w:p>
    <w:p w14:paraId="5EE652CB" w14:textId="77777777" w:rsidR="000338D1" w:rsidRPr="00557963" w:rsidRDefault="000338D1" w:rsidP="000338D1">
      <w:pPr>
        <w:pStyle w:val="NoSpacing"/>
        <w:ind w:left="720"/>
        <w:rPr>
          <w:rFonts w:ascii="Times New Roman" w:hAnsi="Times New Roman"/>
          <w:sz w:val="24"/>
          <w:szCs w:val="24"/>
        </w:rPr>
      </w:pPr>
    </w:p>
    <w:p w14:paraId="45032E88" w14:textId="77777777" w:rsidR="000338D1" w:rsidRPr="00557963" w:rsidRDefault="000338D1" w:rsidP="000338D1">
      <w:pPr>
        <w:pStyle w:val="NoSpacing"/>
        <w:ind w:left="720"/>
        <w:rPr>
          <w:rFonts w:ascii="Times New Roman" w:hAnsi="Times New Roman"/>
          <w:sz w:val="24"/>
          <w:szCs w:val="24"/>
        </w:rPr>
      </w:pPr>
      <w:r w:rsidRPr="00557963">
        <w:rPr>
          <w:rFonts w:ascii="Times New Roman" w:hAnsi="Times New Roman"/>
          <w:sz w:val="24"/>
          <w:szCs w:val="24"/>
        </w:rPr>
        <w:t xml:space="preserve">Jan. 29, 2013: Massillon woman gets 7 years for setting fire to her house. </w:t>
      </w:r>
      <w:hyperlink r:id="rId124" w:history="1">
        <w:r w:rsidRPr="00557963">
          <w:rPr>
            <w:rStyle w:val="Hyperlink"/>
            <w:rFonts w:ascii="Times New Roman" w:hAnsi="Times New Roman"/>
            <w:sz w:val="24"/>
            <w:szCs w:val="24"/>
          </w:rPr>
          <w:t>https://www.indeonline.com/story/news/2013/01/30/massillon-woman-gets-7-years/65001393007/</w:t>
        </w:r>
      </w:hyperlink>
      <w:r w:rsidRPr="00557963">
        <w:rPr>
          <w:rFonts w:ascii="Times New Roman" w:hAnsi="Times New Roman"/>
          <w:sz w:val="24"/>
          <w:szCs w:val="24"/>
        </w:rPr>
        <w:t xml:space="preserve"> </w:t>
      </w:r>
    </w:p>
    <w:p w14:paraId="261CE9C1" w14:textId="77777777" w:rsidR="000338D1" w:rsidRDefault="000338D1" w:rsidP="000338D1">
      <w:pPr>
        <w:pStyle w:val="NoSpacing"/>
        <w:rPr>
          <w:rFonts w:ascii="Arial Black" w:hAnsi="Arial Black"/>
          <w:sz w:val="28"/>
        </w:rPr>
      </w:pPr>
    </w:p>
    <w:p w14:paraId="1B5BE310" w14:textId="77777777" w:rsidR="005C3A2A" w:rsidRPr="005C3A2A" w:rsidRDefault="005C3A2A" w:rsidP="00B86628">
      <w:pPr>
        <w:pStyle w:val="NoSpacing"/>
        <w:rPr>
          <w:rFonts w:ascii="Times New Roman" w:hAnsi="Times New Roman"/>
          <w:sz w:val="24"/>
          <w:szCs w:val="24"/>
        </w:rPr>
      </w:pPr>
    </w:p>
    <w:p w14:paraId="5EDE8730" w14:textId="77777777" w:rsidR="00C443C1" w:rsidRPr="005C3A2A" w:rsidRDefault="00C443C1" w:rsidP="00B86628">
      <w:pPr>
        <w:pStyle w:val="NoSpacing"/>
        <w:rPr>
          <w:rFonts w:ascii="Times New Roman" w:hAnsi="Times New Roman"/>
          <w:sz w:val="24"/>
          <w:szCs w:val="24"/>
        </w:rPr>
      </w:pPr>
    </w:p>
    <w:p w14:paraId="6F411B77" w14:textId="77777777" w:rsidR="00C443C1" w:rsidRPr="005C3A2A" w:rsidRDefault="00C443C1" w:rsidP="00B86628">
      <w:pPr>
        <w:pStyle w:val="NoSpacing"/>
        <w:rPr>
          <w:rFonts w:ascii="Times New Roman" w:hAnsi="Times New Roman"/>
          <w:sz w:val="24"/>
          <w:szCs w:val="24"/>
        </w:rPr>
      </w:pPr>
    </w:p>
    <w:p w14:paraId="4F5C7340" w14:textId="19F536B9" w:rsidR="00765ABF" w:rsidRDefault="00765ABF" w:rsidP="00B86628">
      <w:pPr>
        <w:pStyle w:val="NoSpacing"/>
        <w:rPr>
          <w:rFonts w:ascii="Arial Black" w:hAnsi="Arial Black"/>
          <w:sz w:val="24"/>
          <w:szCs w:val="24"/>
        </w:rPr>
      </w:pPr>
      <w:r>
        <w:rPr>
          <w:rFonts w:ascii="Arial Black" w:hAnsi="Arial Black"/>
          <w:sz w:val="24"/>
          <w:szCs w:val="24"/>
        </w:rPr>
        <w:t>1-155</w:t>
      </w:r>
    </w:p>
    <w:p w14:paraId="052843EE" w14:textId="77777777" w:rsidR="00765ABF" w:rsidRDefault="00765ABF" w:rsidP="00B86628">
      <w:pPr>
        <w:pStyle w:val="NoSpacing"/>
        <w:rPr>
          <w:rFonts w:ascii="Arial Black" w:hAnsi="Arial Black"/>
          <w:sz w:val="24"/>
          <w:szCs w:val="24"/>
        </w:rPr>
      </w:pPr>
    </w:p>
    <w:p w14:paraId="0E1589D1" w14:textId="77777777" w:rsidR="00C443C1" w:rsidRPr="00C42244" w:rsidRDefault="00C443C1" w:rsidP="00C443C1">
      <w:pPr>
        <w:pStyle w:val="NoSpacing"/>
        <w:rPr>
          <w:rFonts w:ascii="Arial Black" w:hAnsi="Arial Black"/>
          <w:sz w:val="28"/>
        </w:rPr>
      </w:pPr>
      <w:r>
        <w:rPr>
          <w:rFonts w:ascii="Arial Black" w:hAnsi="Arial Black"/>
          <w:sz w:val="28"/>
        </w:rPr>
        <w:t>KY: TRAILER FIRE – 4-YR OLD KILLED – COLD CASE REVIEW – 3 CONVICTED 20 YRS LATER, COMPLICITY</w:t>
      </w:r>
    </w:p>
    <w:p w14:paraId="6B54C634" w14:textId="77777777" w:rsidR="00C443C1" w:rsidRDefault="00C443C1" w:rsidP="00C443C1">
      <w:pPr>
        <w:pStyle w:val="NoSpacing"/>
        <w:rPr>
          <w:szCs w:val="24"/>
        </w:rPr>
      </w:pPr>
    </w:p>
    <w:p w14:paraId="2E44AA55" w14:textId="77777777" w:rsidR="00C443C1" w:rsidRPr="00C443C1" w:rsidRDefault="00C443C1" w:rsidP="00C443C1">
      <w:pPr>
        <w:pStyle w:val="NoSpacing"/>
        <w:rPr>
          <w:rFonts w:ascii="Times New Roman" w:hAnsi="Times New Roman"/>
          <w:sz w:val="24"/>
          <w:szCs w:val="24"/>
        </w:rPr>
      </w:pPr>
      <w:r w:rsidRPr="00C443C1">
        <w:rPr>
          <w:rFonts w:ascii="Times New Roman" w:hAnsi="Times New Roman"/>
          <w:sz w:val="24"/>
          <w:szCs w:val="24"/>
        </w:rPr>
        <w:t xml:space="preserve">On Aug. 22, 2024, in </w:t>
      </w:r>
      <w:r w:rsidRPr="00C443C1">
        <w:rPr>
          <w:rFonts w:ascii="Times New Roman" w:hAnsi="Times New Roman"/>
          <w:sz w:val="24"/>
          <w:szCs w:val="24"/>
          <w:u w:val="single"/>
        </w:rPr>
        <w:t>Tony Lear v. Commonwealth of Kentucky, and Virginia Whitfield v. Commonwealth of Kentucky</w:t>
      </w:r>
      <w:r w:rsidRPr="00C443C1">
        <w:rPr>
          <w:rFonts w:ascii="Times New Roman" w:hAnsi="Times New Roman"/>
          <w:sz w:val="24"/>
          <w:szCs w:val="24"/>
        </w:rPr>
        <w:t xml:space="preserve">, the Supreme Court of Kentucky held (7 to 0; unpublished opinion) that jury properly convicted two </w:t>
      </w:r>
      <w:r w:rsidRPr="00C443C1">
        <w:rPr>
          <w:rFonts w:ascii="Times New Roman" w:hAnsi="Times New Roman"/>
          <w:sz w:val="24"/>
          <w:szCs w:val="24"/>
        </w:rPr>
        <w:lastRenderedPageBreak/>
        <w:t xml:space="preserve">defendants in </w:t>
      </w:r>
      <w:proofErr w:type="gramStart"/>
      <w:r w:rsidRPr="00C443C1">
        <w:rPr>
          <w:rFonts w:ascii="Times New Roman" w:hAnsi="Times New Roman"/>
          <w:sz w:val="24"/>
          <w:szCs w:val="24"/>
        </w:rPr>
        <w:t>January,</w:t>
      </w:r>
      <w:proofErr w:type="gramEnd"/>
      <w:r w:rsidRPr="00C443C1">
        <w:rPr>
          <w:rFonts w:ascii="Times New Roman" w:hAnsi="Times New Roman"/>
          <w:sz w:val="24"/>
          <w:szCs w:val="24"/>
        </w:rPr>
        <w:t xml:space="preserve"> 2023 for the September 2, </w:t>
      </w:r>
      <w:proofErr w:type="gramStart"/>
      <w:r w:rsidRPr="00C443C1">
        <w:rPr>
          <w:rFonts w:ascii="Times New Roman" w:hAnsi="Times New Roman"/>
          <w:sz w:val="24"/>
          <w:szCs w:val="24"/>
        </w:rPr>
        <w:t>1999</w:t>
      </w:r>
      <w:proofErr w:type="gramEnd"/>
      <w:r w:rsidRPr="00C443C1">
        <w:rPr>
          <w:rFonts w:ascii="Times New Roman" w:hAnsi="Times New Roman"/>
          <w:sz w:val="24"/>
          <w:szCs w:val="24"/>
        </w:rPr>
        <w:t xml:space="preserve"> trailer fire that killed </w:t>
      </w:r>
      <w:proofErr w:type="gramStart"/>
      <w:r w:rsidRPr="00C443C1">
        <w:rPr>
          <w:rFonts w:ascii="Times New Roman" w:hAnsi="Times New Roman"/>
          <w:sz w:val="24"/>
          <w:szCs w:val="24"/>
        </w:rPr>
        <w:t>4-year old</w:t>
      </w:r>
      <w:proofErr w:type="gramEnd"/>
      <w:r w:rsidRPr="00C443C1">
        <w:rPr>
          <w:rFonts w:ascii="Times New Roman" w:hAnsi="Times New Roman"/>
          <w:sz w:val="24"/>
          <w:szCs w:val="24"/>
        </w:rPr>
        <w:t xml:space="preserve"> Autumn Raymond. Lear, Whitfield and Bobby F. Napier [who owed back rent on the trailer], were all initially charged with murder, arson and first-degree assault, after a 2012 review of open cases by the Kentucky State Police resulting in new information. Napier pleaded guilty in 2019 to amended charges of second-degree arson, in exchange for a 10-year sentence and testified at the trial, He was already serving time on a variety of convictions, including burglary, theft and being a persistent felony offender.  The State was not required to prove who </w:t>
      </w:r>
      <w:proofErr w:type="gramStart"/>
      <w:r w:rsidRPr="00C443C1">
        <w:rPr>
          <w:rFonts w:ascii="Times New Roman" w:hAnsi="Times New Roman"/>
          <w:sz w:val="24"/>
          <w:szCs w:val="24"/>
        </w:rPr>
        <w:t>actually ignited</w:t>
      </w:r>
      <w:proofErr w:type="gramEnd"/>
      <w:r w:rsidRPr="00C443C1">
        <w:rPr>
          <w:rFonts w:ascii="Times New Roman" w:hAnsi="Times New Roman"/>
          <w:sz w:val="24"/>
          <w:szCs w:val="24"/>
        </w:rPr>
        <w:t xml:space="preserve"> the sheets with petroleum fluid around the dryer, since all three were “accomplices” to the crime.  The Court wrote: “After six days of trial, the jury returned a guilty verdict on complicity to murder, complicity to arson, and two counts of complicity to first-degree assault against the Appellants. Following the jury's recommendation, the trial court sentenced Whitfield and Lear respectively to 20 years. *** Although no evidence can directly point to an individual who started the fire, enough evidence was presented by the Commonwealth to show the Appellants aided, solicited, counseled, commanded, or engaged in a conspiracy with each other to burn down that trailer. The accomplice instructions mirror such evidence. The instructions provide the jury the ability to decide whether the defendant engaged with the other individuals to burn down the trailer.” </w:t>
      </w:r>
      <w:hyperlink r:id="rId125" w:history="1">
        <w:r w:rsidRPr="00C443C1">
          <w:rPr>
            <w:rStyle w:val="Hyperlink"/>
            <w:rFonts w:ascii="Times New Roman" w:hAnsi="Times New Roman"/>
            <w:sz w:val="24"/>
            <w:szCs w:val="24"/>
          </w:rPr>
          <w:t>https://casetext.com/case/lear-v-commonwealth-95</w:t>
        </w:r>
      </w:hyperlink>
      <w:r w:rsidRPr="00C443C1">
        <w:rPr>
          <w:rFonts w:ascii="Times New Roman" w:hAnsi="Times New Roman"/>
          <w:sz w:val="24"/>
          <w:szCs w:val="24"/>
        </w:rPr>
        <w:t xml:space="preserve"> </w:t>
      </w:r>
    </w:p>
    <w:p w14:paraId="1B475905" w14:textId="77777777" w:rsidR="00C443C1" w:rsidRPr="00C443C1" w:rsidRDefault="00C443C1" w:rsidP="00C443C1">
      <w:pPr>
        <w:pStyle w:val="NoSpacing"/>
        <w:rPr>
          <w:rFonts w:ascii="Times New Roman" w:hAnsi="Times New Roman"/>
          <w:sz w:val="24"/>
          <w:szCs w:val="24"/>
        </w:rPr>
      </w:pPr>
    </w:p>
    <w:p w14:paraId="1B2EDC00" w14:textId="77777777" w:rsidR="00C443C1" w:rsidRPr="00C443C1" w:rsidRDefault="00C443C1" w:rsidP="00C443C1">
      <w:pPr>
        <w:pStyle w:val="NoSpacing"/>
        <w:rPr>
          <w:rFonts w:ascii="Times New Roman" w:hAnsi="Times New Roman"/>
          <w:sz w:val="24"/>
          <w:szCs w:val="24"/>
        </w:rPr>
      </w:pPr>
      <w:r w:rsidRPr="00C443C1">
        <w:rPr>
          <w:rFonts w:ascii="Times New Roman" w:hAnsi="Times New Roman"/>
          <w:sz w:val="24"/>
          <w:szCs w:val="24"/>
        </w:rPr>
        <w:t>THE COURT HELD:</w:t>
      </w:r>
    </w:p>
    <w:p w14:paraId="6FBAB4E7" w14:textId="77777777" w:rsidR="00C443C1" w:rsidRPr="00C443C1" w:rsidRDefault="00C443C1" w:rsidP="00C443C1">
      <w:pPr>
        <w:pStyle w:val="NoSpacing"/>
        <w:rPr>
          <w:rFonts w:ascii="Times New Roman" w:hAnsi="Times New Roman"/>
          <w:sz w:val="24"/>
          <w:szCs w:val="24"/>
        </w:rPr>
      </w:pPr>
    </w:p>
    <w:p w14:paraId="68BAF801" w14:textId="77777777" w:rsidR="00C443C1" w:rsidRPr="00C443C1" w:rsidRDefault="00C443C1" w:rsidP="00C443C1">
      <w:pPr>
        <w:pStyle w:val="NoSpacing"/>
        <w:ind w:left="720"/>
        <w:rPr>
          <w:rFonts w:ascii="Times New Roman" w:hAnsi="Times New Roman"/>
          <w:sz w:val="24"/>
          <w:szCs w:val="24"/>
        </w:rPr>
      </w:pPr>
      <w:r w:rsidRPr="00C443C1">
        <w:rPr>
          <w:rFonts w:ascii="Times New Roman" w:hAnsi="Times New Roman"/>
          <w:sz w:val="24"/>
          <w:szCs w:val="24"/>
        </w:rPr>
        <w:t>“Here, the Commonwealth’s theory throughout trial was that Walton, Lear, and Whitfield all played a part in burning down the trailer. Testimony from several witnesses placed Whitfield and Lear in the room when Walton discussed burning down the trailer for insurance money. Whitfield moved boxes of clothing out of the trailer a few days before the fire with the help of Lear. Neighbors placed Lear at the trailer on the day of the fire, inspecting the dryer vent with Walton. Expert testimony supported the theory of an intentionally caused fire from items stuffed in and around the dryer.”</w:t>
      </w:r>
    </w:p>
    <w:p w14:paraId="67C92264" w14:textId="77777777" w:rsidR="00C443C1" w:rsidRPr="00C443C1" w:rsidRDefault="00C443C1" w:rsidP="00C443C1">
      <w:pPr>
        <w:pStyle w:val="NoSpacing"/>
        <w:ind w:left="720"/>
        <w:rPr>
          <w:rFonts w:ascii="Times New Roman" w:hAnsi="Times New Roman"/>
          <w:sz w:val="24"/>
          <w:szCs w:val="24"/>
        </w:rPr>
      </w:pPr>
    </w:p>
    <w:p w14:paraId="3A3B1337" w14:textId="77777777" w:rsidR="00C443C1" w:rsidRPr="00C443C1" w:rsidRDefault="00C443C1" w:rsidP="00C443C1">
      <w:pPr>
        <w:pStyle w:val="NoSpacing"/>
        <w:rPr>
          <w:rFonts w:ascii="Times New Roman" w:hAnsi="Times New Roman"/>
          <w:b/>
          <w:bCs/>
          <w:sz w:val="24"/>
          <w:szCs w:val="24"/>
        </w:rPr>
      </w:pPr>
      <w:r w:rsidRPr="00C443C1">
        <w:rPr>
          <w:rFonts w:ascii="Times New Roman" w:hAnsi="Times New Roman"/>
          <w:b/>
          <w:bCs/>
          <w:sz w:val="24"/>
          <w:szCs w:val="24"/>
        </w:rPr>
        <w:t xml:space="preserve">Legal Lesson Learned: When three conspire to commit arson, all three can be charged with murder from the fire. </w:t>
      </w:r>
    </w:p>
    <w:p w14:paraId="075CF1A3" w14:textId="77777777" w:rsidR="00C443C1" w:rsidRPr="00C443C1" w:rsidRDefault="00C443C1" w:rsidP="00C443C1">
      <w:pPr>
        <w:pStyle w:val="NoSpacing"/>
        <w:rPr>
          <w:rFonts w:ascii="Times New Roman" w:hAnsi="Times New Roman"/>
          <w:sz w:val="24"/>
          <w:szCs w:val="24"/>
        </w:rPr>
      </w:pPr>
    </w:p>
    <w:p w14:paraId="13AEA6BA" w14:textId="77777777" w:rsidR="00C443C1" w:rsidRPr="00C443C1" w:rsidRDefault="00C443C1" w:rsidP="00C443C1">
      <w:pPr>
        <w:pStyle w:val="NoSpacing"/>
        <w:ind w:left="720"/>
        <w:rPr>
          <w:rFonts w:ascii="Times New Roman" w:hAnsi="Times New Roman"/>
          <w:sz w:val="24"/>
          <w:szCs w:val="24"/>
        </w:rPr>
      </w:pPr>
      <w:r w:rsidRPr="00C443C1">
        <w:rPr>
          <w:rFonts w:ascii="Times New Roman" w:hAnsi="Times New Roman"/>
          <w:sz w:val="24"/>
          <w:szCs w:val="24"/>
        </w:rPr>
        <w:t xml:space="preserve">Note:  See Jan. 4, </w:t>
      </w:r>
      <w:proofErr w:type="gramStart"/>
      <w:r w:rsidRPr="00C443C1">
        <w:rPr>
          <w:rFonts w:ascii="Times New Roman" w:hAnsi="Times New Roman"/>
          <w:sz w:val="24"/>
          <w:szCs w:val="24"/>
        </w:rPr>
        <w:t>2023</w:t>
      </w:r>
      <w:proofErr w:type="gramEnd"/>
      <w:r w:rsidRPr="00C443C1">
        <w:rPr>
          <w:rFonts w:ascii="Times New Roman" w:hAnsi="Times New Roman"/>
          <w:sz w:val="24"/>
          <w:szCs w:val="24"/>
        </w:rPr>
        <w:t xml:space="preserve"> article, “Ohio County cold case ends with convictions.” </w:t>
      </w:r>
      <w:hyperlink r:id="rId126" w:history="1">
        <w:r w:rsidRPr="00C443C1">
          <w:rPr>
            <w:rStyle w:val="Hyperlink"/>
            <w:rFonts w:ascii="Times New Roman" w:hAnsi="Times New Roman"/>
            <w:sz w:val="24"/>
            <w:szCs w:val="24"/>
          </w:rPr>
          <w:t>https://www.yahoo.com/news/ohio-county-cold-case-ends-102300006.html</w:t>
        </w:r>
      </w:hyperlink>
      <w:r w:rsidRPr="00C443C1">
        <w:rPr>
          <w:rFonts w:ascii="Times New Roman" w:hAnsi="Times New Roman"/>
          <w:sz w:val="24"/>
          <w:szCs w:val="24"/>
        </w:rPr>
        <w:t xml:space="preserve"> </w:t>
      </w:r>
    </w:p>
    <w:p w14:paraId="2E3EDD00" w14:textId="77777777" w:rsidR="00C443C1" w:rsidRPr="00C443C1" w:rsidRDefault="00C443C1" w:rsidP="00C443C1">
      <w:pPr>
        <w:pStyle w:val="NoSpacing"/>
        <w:ind w:left="720"/>
        <w:rPr>
          <w:rFonts w:ascii="Times New Roman" w:hAnsi="Times New Roman"/>
          <w:sz w:val="24"/>
          <w:szCs w:val="24"/>
        </w:rPr>
      </w:pPr>
    </w:p>
    <w:p w14:paraId="3CB12204" w14:textId="77777777" w:rsidR="00C443C1" w:rsidRPr="00C443C1" w:rsidRDefault="00C443C1" w:rsidP="00C443C1">
      <w:pPr>
        <w:pStyle w:val="NoSpacing"/>
        <w:ind w:left="720"/>
        <w:rPr>
          <w:rFonts w:ascii="Times New Roman" w:hAnsi="Times New Roman"/>
          <w:sz w:val="24"/>
          <w:szCs w:val="24"/>
        </w:rPr>
      </w:pPr>
      <w:r w:rsidRPr="00C443C1">
        <w:rPr>
          <w:rFonts w:ascii="Times New Roman" w:hAnsi="Times New Roman"/>
          <w:sz w:val="24"/>
          <w:szCs w:val="24"/>
        </w:rPr>
        <w:t xml:space="preserve">Here is the “active inmate” photo of Tony Lear. </w:t>
      </w:r>
      <w:hyperlink r:id="rId127" w:history="1">
        <w:r w:rsidRPr="00C443C1">
          <w:rPr>
            <w:rStyle w:val="Hyperlink"/>
            <w:rFonts w:ascii="Times New Roman" w:hAnsi="Times New Roman"/>
            <w:sz w:val="24"/>
            <w:szCs w:val="24"/>
          </w:rPr>
          <w:t>http://kool.corrections.ky.gov/KOOL/Details/54918</w:t>
        </w:r>
      </w:hyperlink>
    </w:p>
    <w:p w14:paraId="7272C532" w14:textId="77777777" w:rsidR="00C443C1" w:rsidRPr="00C443C1" w:rsidRDefault="00C443C1" w:rsidP="00C443C1">
      <w:pPr>
        <w:pStyle w:val="NoSpacing"/>
        <w:ind w:left="720"/>
        <w:rPr>
          <w:rFonts w:ascii="Times New Roman" w:hAnsi="Times New Roman"/>
          <w:sz w:val="24"/>
          <w:szCs w:val="24"/>
        </w:rPr>
      </w:pPr>
      <w:r w:rsidRPr="00C443C1">
        <w:rPr>
          <w:rFonts w:ascii="Times New Roman" w:hAnsi="Times New Roman"/>
          <w:sz w:val="24"/>
          <w:szCs w:val="24"/>
        </w:rPr>
        <w:t>Photo of Virginia Whitfield:</w:t>
      </w:r>
    </w:p>
    <w:p w14:paraId="380415E3" w14:textId="77777777" w:rsidR="00C443C1" w:rsidRPr="00C443C1" w:rsidRDefault="00C443C1" w:rsidP="00C443C1">
      <w:pPr>
        <w:pStyle w:val="NoSpacing"/>
        <w:ind w:left="720"/>
        <w:rPr>
          <w:rFonts w:ascii="Times New Roman" w:hAnsi="Times New Roman"/>
          <w:sz w:val="24"/>
          <w:szCs w:val="24"/>
        </w:rPr>
      </w:pPr>
      <w:hyperlink r:id="rId128" w:history="1">
        <w:r w:rsidRPr="00C443C1">
          <w:rPr>
            <w:rStyle w:val="Hyperlink"/>
            <w:rFonts w:ascii="Times New Roman" w:hAnsi="Times New Roman"/>
            <w:sz w:val="24"/>
            <w:szCs w:val="24"/>
          </w:rPr>
          <w:t>http://kool.corrections.ky.gov/KOOL/Details/61717</w:t>
        </w:r>
      </w:hyperlink>
      <w:r w:rsidRPr="00C443C1">
        <w:rPr>
          <w:rFonts w:ascii="Times New Roman" w:hAnsi="Times New Roman"/>
          <w:sz w:val="24"/>
          <w:szCs w:val="24"/>
        </w:rPr>
        <w:t xml:space="preserve"> </w:t>
      </w:r>
    </w:p>
    <w:p w14:paraId="6E283B66" w14:textId="77777777" w:rsidR="00765ABF" w:rsidRPr="00C443C1" w:rsidRDefault="00765ABF" w:rsidP="00B86628">
      <w:pPr>
        <w:pStyle w:val="NoSpacing"/>
        <w:rPr>
          <w:rFonts w:ascii="Times New Roman" w:hAnsi="Times New Roman"/>
          <w:sz w:val="24"/>
          <w:szCs w:val="24"/>
        </w:rPr>
      </w:pPr>
    </w:p>
    <w:p w14:paraId="27DEB4F9" w14:textId="77777777" w:rsidR="00765ABF" w:rsidRDefault="00765ABF" w:rsidP="00B86628">
      <w:pPr>
        <w:pStyle w:val="NoSpacing"/>
        <w:rPr>
          <w:rFonts w:ascii="Arial Black" w:hAnsi="Arial Black"/>
          <w:sz w:val="24"/>
          <w:szCs w:val="24"/>
        </w:rPr>
      </w:pPr>
    </w:p>
    <w:p w14:paraId="5A25836B" w14:textId="28BE4EB8" w:rsidR="004B4DF6" w:rsidRDefault="004B4DF6" w:rsidP="00B86628">
      <w:pPr>
        <w:pStyle w:val="NoSpacing"/>
        <w:rPr>
          <w:rFonts w:ascii="Arial Black" w:hAnsi="Arial Black"/>
          <w:sz w:val="24"/>
          <w:szCs w:val="24"/>
        </w:rPr>
      </w:pPr>
      <w:r>
        <w:rPr>
          <w:rFonts w:ascii="Arial Black" w:hAnsi="Arial Black"/>
          <w:sz w:val="24"/>
          <w:szCs w:val="24"/>
        </w:rPr>
        <w:t>1-154</w:t>
      </w:r>
    </w:p>
    <w:p w14:paraId="522E4032" w14:textId="77777777" w:rsidR="004B4DF6" w:rsidRDefault="004B4DF6" w:rsidP="00B86628">
      <w:pPr>
        <w:pStyle w:val="NoSpacing"/>
        <w:rPr>
          <w:rFonts w:ascii="Arial Black" w:hAnsi="Arial Black"/>
          <w:sz w:val="24"/>
          <w:szCs w:val="24"/>
        </w:rPr>
      </w:pPr>
    </w:p>
    <w:p w14:paraId="42D8535E" w14:textId="77777777" w:rsidR="00765ABF" w:rsidRPr="00B544ED" w:rsidRDefault="00765ABF" w:rsidP="00765ABF">
      <w:pPr>
        <w:rPr>
          <w:rFonts w:ascii="Arial Black" w:hAnsi="Arial Black"/>
          <w:b/>
          <w:bCs/>
          <w:sz w:val="28"/>
        </w:rPr>
      </w:pPr>
      <w:r>
        <w:rPr>
          <w:rFonts w:ascii="Arial Black" w:hAnsi="Arial Black"/>
          <w:b/>
          <w:bCs/>
          <w:sz w:val="28"/>
        </w:rPr>
        <w:t xml:space="preserve">TX: MAN EVICTED – STARTED FIRE – SAW OWNER, TOLD INVESTIGATOR WILL “TRY AGAIN” – ADMISSIBLE </w:t>
      </w:r>
    </w:p>
    <w:p w14:paraId="000307B5" w14:textId="77777777" w:rsidR="00765ABF" w:rsidRPr="00765ABF" w:rsidRDefault="00765ABF" w:rsidP="00765ABF">
      <w:pPr>
        <w:pStyle w:val="NoSpacing"/>
        <w:rPr>
          <w:rFonts w:ascii="Times New Roman" w:hAnsi="Times New Roman"/>
          <w:sz w:val="24"/>
          <w:szCs w:val="24"/>
        </w:rPr>
      </w:pPr>
      <w:r w:rsidRPr="00765ABF">
        <w:rPr>
          <w:rFonts w:ascii="Times New Roman" w:hAnsi="Times New Roman"/>
          <w:sz w:val="24"/>
          <w:szCs w:val="24"/>
        </w:rPr>
        <w:t xml:space="preserve">On Aug. 22. 2024, in </w:t>
      </w:r>
      <w:proofErr w:type="spellStart"/>
      <w:r w:rsidRPr="00765ABF">
        <w:rPr>
          <w:rFonts w:ascii="Times New Roman" w:hAnsi="Times New Roman"/>
          <w:sz w:val="24"/>
          <w:szCs w:val="24"/>
          <w:u w:val="single"/>
        </w:rPr>
        <w:t>Hueathen</w:t>
      </w:r>
      <w:proofErr w:type="spellEnd"/>
      <w:r w:rsidRPr="00765ABF">
        <w:rPr>
          <w:rFonts w:ascii="Times New Roman" w:hAnsi="Times New Roman"/>
          <w:sz w:val="24"/>
          <w:szCs w:val="24"/>
          <w:u w:val="single"/>
        </w:rPr>
        <w:t xml:space="preserve"> Kirk Gardner v. The State of Texas</w:t>
      </w:r>
      <w:r w:rsidRPr="00765ABF">
        <w:rPr>
          <w:rFonts w:ascii="Times New Roman" w:hAnsi="Times New Roman"/>
          <w:sz w:val="24"/>
          <w:szCs w:val="24"/>
        </w:rPr>
        <w:t xml:space="preserve">, the Court of Appeals of Texas, Fourteenth District, held (3 to 0; unpublished decision) that the trial court properly denied the defendant’s motion to suppress his comments; the jury convicted him of the first-degree felony offense of arson of a habitation.  He was interviewed at the scene for about 15 minutes by Houston Fire Department Senior Arson Investigator Robert Haynes without a </w:t>
      </w:r>
      <w:r w:rsidRPr="00765ABF">
        <w:rPr>
          <w:rFonts w:ascii="Times New Roman" w:hAnsi="Times New Roman"/>
          <w:i/>
          <w:iCs/>
          <w:sz w:val="24"/>
          <w:szCs w:val="24"/>
        </w:rPr>
        <w:t xml:space="preserve">Miranda </w:t>
      </w:r>
      <w:r w:rsidRPr="00765ABF">
        <w:rPr>
          <w:rFonts w:ascii="Times New Roman" w:hAnsi="Times New Roman"/>
          <w:sz w:val="24"/>
          <w:szCs w:val="24"/>
        </w:rPr>
        <w:t xml:space="preserve">warning.  When he was told he was going to be arrested, and he saw the homeowner, he made the comments.  The Court wrote: “Haynes testified that ‘shortly’ after informing appellant that he was going to be charged with arson, appellant saw [homeowner] Hoang and made the statement about "trying again" when he gets out of jail. As the trial court noted, appellant's statement ‘was in response to the complainant coming to the scene, not questions asked at the scene. </w:t>
      </w:r>
      <w:r w:rsidRPr="00765ABF">
        <w:rPr>
          <w:rFonts w:ascii="Times New Roman" w:hAnsi="Times New Roman"/>
          <w:i/>
          <w:iCs/>
          <w:sz w:val="24"/>
          <w:szCs w:val="24"/>
        </w:rPr>
        <w:t>It was happening at the-near the time.</w:t>
      </w:r>
      <w:r w:rsidRPr="00765ABF">
        <w:rPr>
          <w:rFonts w:ascii="Times New Roman" w:hAnsi="Times New Roman"/>
          <w:sz w:val="24"/>
          <w:szCs w:val="24"/>
        </w:rPr>
        <w:t xml:space="preserve"> . . . </w:t>
      </w:r>
      <w:r w:rsidRPr="00765ABF">
        <w:rPr>
          <w:rFonts w:ascii="Times New Roman" w:hAnsi="Times New Roman"/>
          <w:sz w:val="24"/>
          <w:szCs w:val="24"/>
        </w:rPr>
        <w:lastRenderedPageBreak/>
        <w:t xml:space="preserve">[H]e just blurted it out when he saw the complainant coming.’ *** This response was not the result of a custodial investigation or in response to any questioning by Haynes. We therefore conclude that </w:t>
      </w:r>
      <w:r w:rsidRPr="00765ABF">
        <w:rPr>
          <w:rFonts w:ascii="Times New Roman" w:hAnsi="Times New Roman"/>
          <w:i/>
          <w:iCs/>
          <w:sz w:val="24"/>
          <w:szCs w:val="24"/>
        </w:rPr>
        <w:t>Miranda</w:t>
      </w:r>
      <w:r w:rsidRPr="00765ABF">
        <w:rPr>
          <w:rFonts w:ascii="Times New Roman" w:hAnsi="Times New Roman"/>
          <w:sz w:val="24"/>
          <w:szCs w:val="24"/>
        </w:rPr>
        <w:t xml:space="preserve"> does not require its exclusion. *** [T]here must be an "exciting" or "stimulating" event. The express statutory terms consider the stimulating event to include the offense itself or the arrest. </w:t>
      </w:r>
      <w:r w:rsidRPr="00765ABF">
        <w:rPr>
          <w:rFonts w:ascii="Times New Roman" w:hAnsi="Times New Roman"/>
          <w:i/>
          <w:iCs/>
          <w:sz w:val="24"/>
          <w:szCs w:val="24"/>
        </w:rPr>
        <w:t>See</w:t>
      </w:r>
      <w:r w:rsidRPr="00765ABF">
        <w:rPr>
          <w:rFonts w:ascii="Times New Roman" w:hAnsi="Times New Roman"/>
          <w:sz w:val="24"/>
          <w:szCs w:val="24"/>
        </w:rPr>
        <w:t xml:space="preserve"> Tex. Code Crim. Proc. Ann. art. 38.22, § 5. Here, the stimulating events consisted of appellant committing arson and then being informed that he was being arrested and charged with arson. We conclude that the first element is met.” </w:t>
      </w:r>
      <w:hyperlink r:id="rId129" w:history="1">
        <w:r w:rsidRPr="00765ABF">
          <w:rPr>
            <w:rStyle w:val="Hyperlink"/>
            <w:rFonts w:ascii="Times New Roman" w:hAnsi="Times New Roman"/>
            <w:sz w:val="24"/>
            <w:szCs w:val="24"/>
          </w:rPr>
          <w:t>https://cases.justia.com/texas/fourteenth-court-of-appeals/2024-14-23-00355-cr.pdf?ts=1724329963</w:t>
        </w:r>
      </w:hyperlink>
      <w:r w:rsidRPr="00765ABF">
        <w:rPr>
          <w:rFonts w:ascii="Times New Roman" w:hAnsi="Times New Roman"/>
          <w:sz w:val="24"/>
          <w:szCs w:val="24"/>
        </w:rPr>
        <w:t xml:space="preserve"> </w:t>
      </w:r>
    </w:p>
    <w:p w14:paraId="0F4B53F8" w14:textId="77777777" w:rsidR="00765ABF" w:rsidRPr="00765ABF" w:rsidRDefault="00765ABF" w:rsidP="00765ABF">
      <w:pPr>
        <w:pStyle w:val="NoSpacing"/>
        <w:rPr>
          <w:rFonts w:ascii="Times New Roman" w:hAnsi="Times New Roman"/>
          <w:sz w:val="24"/>
          <w:szCs w:val="24"/>
        </w:rPr>
      </w:pPr>
    </w:p>
    <w:p w14:paraId="57E100D3" w14:textId="77777777" w:rsidR="00765ABF" w:rsidRPr="00765ABF" w:rsidRDefault="00765ABF" w:rsidP="00765ABF">
      <w:pPr>
        <w:pStyle w:val="NoSpacing"/>
        <w:rPr>
          <w:rFonts w:ascii="Times New Roman" w:hAnsi="Times New Roman"/>
          <w:sz w:val="24"/>
          <w:szCs w:val="24"/>
        </w:rPr>
      </w:pPr>
      <w:r w:rsidRPr="00765ABF">
        <w:rPr>
          <w:rFonts w:ascii="Times New Roman" w:hAnsi="Times New Roman"/>
          <w:sz w:val="24"/>
          <w:szCs w:val="24"/>
        </w:rPr>
        <w:t xml:space="preserve">THE COURT HELD: </w:t>
      </w:r>
    </w:p>
    <w:p w14:paraId="6DE97B00" w14:textId="77777777" w:rsidR="00765ABF" w:rsidRPr="00765ABF" w:rsidRDefault="00765ABF" w:rsidP="00765ABF">
      <w:pPr>
        <w:pStyle w:val="NoSpacing"/>
        <w:rPr>
          <w:rFonts w:ascii="Times New Roman" w:hAnsi="Times New Roman"/>
          <w:i/>
          <w:iCs/>
          <w:sz w:val="24"/>
          <w:szCs w:val="24"/>
        </w:rPr>
      </w:pPr>
    </w:p>
    <w:p w14:paraId="31209727" w14:textId="77777777" w:rsidR="00765ABF" w:rsidRPr="00765ABF" w:rsidRDefault="00765ABF" w:rsidP="00765ABF">
      <w:pPr>
        <w:pStyle w:val="NoSpacing"/>
        <w:ind w:left="720"/>
        <w:rPr>
          <w:rFonts w:ascii="Times New Roman" w:hAnsi="Times New Roman"/>
          <w:sz w:val="24"/>
          <w:szCs w:val="24"/>
        </w:rPr>
      </w:pPr>
      <w:r w:rsidRPr="00765ABF">
        <w:rPr>
          <w:rFonts w:ascii="Times New Roman" w:hAnsi="Times New Roman"/>
          <w:sz w:val="24"/>
          <w:szCs w:val="24"/>
        </w:rPr>
        <w:t xml:space="preserve">“For the second element, the statement must be made sufficiently close in time to the stimulating event. Haynes testified that ‘shortly’ after informing appellant that he was going to be charged with arson, appellant saw Hoang and made the statement about ‘trying again’ when he </w:t>
      </w:r>
      <w:proofErr w:type="gramStart"/>
      <w:r w:rsidRPr="00765ABF">
        <w:rPr>
          <w:rFonts w:ascii="Times New Roman" w:hAnsi="Times New Roman"/>
          <w:sz w:val="24"/>
          <w:szCs w:val="24"/>
        </w:rPr>
        <w:t>gets</w:t>
      </w:r>
      <w:proofErr w:type="gramEnd"/>
      <w:r w:rsidRPr="00765ABF">
        <w:rPr>
          <w:rFonts w:ascii="Times New Roman" w:hAnsi="Times New Roman"/>
          <w:sz w:val="24"/>
          <w:szCs w:val="24"/>
        </w:rPr>
        <w:t xml:space="preserve"> out of jail. As the trial court noted, appellant's statement ‘was in response to the complainant coming to the scene, not questions asked at the scene. </w:t>
      </w:r>
      <w:r w:rsidRPr="00765ABF">
        <w:rPr>
          <w:rFonts w:ascii="Times New Roman" w:hAnsi="Times New Roman"/>
          <w:i/>
          <w:iCs/>
          <w:sz w:val="24"/>
          <w:szCs w:val="24"/>
        </w:rPr>
        <w:t>It was happening at the-near the time.</w:t>
      </w:r>
      <w:r w:rsidRPr="00765ABF">
        <w:rPr>
          <w:rFonts w:ascii="Times New Roman" w:hAnsi="Times New Roman"/>
          <w:sz w:val="24"/>
          <w:szCs w:val="24"/>
        </w:rPr>
        <w:t xml:space="preserve"> . . . [H]e just blurted it out when he saw the complainant coming.’ (emphasis added). With the statement occurring so shortly after being informed he was going to be arrested for arson, we hold that the second element is satisfied. </w:t>
      </w:r>
    </w:p>
    <w:p w14:paraId="4A53793A" w14:textId="77777777" w:rsidR="00765ABF" w:rsidRPr="00765ABF" w:rsidRDefault="00765ABF" w:rsidP="00765ABF">
      <w:pPr>
        <w:pStyle w:val="NoSpacing"/>
        <w:rPr>
          <w:rFonts w:ascii="Times New Roman" w:hAnsi="Times New Roman"/>
          <w:sz w:val="24"/>
          <w:szCs w:val="24"/>
        </w:rPr>
      </w:pPr>
    </w:p>
    <w:p w14:paraId="7F5E7989" w14:textId="77777777" w:rsidR="00765ABF" w:rsidRPr="00765ABF" w:rsidRDefault="00765ABF" w:rsidP="00765ABF">
      <w:pPr>
        <w:pStyle w:val="NoSpacing"/>
        <w:ind w:left="720"/>
        <w:rPr>
          <w:rFonts w:ascii="Times New Roman" w:hAnsi="Times New Roman"/>
          <w:sz w:val="24"/>
          <w:szCs w:val="24"/>
        </w:rPr>
      </w:pPr>
      <w:r w:rsidRPr="00765ABF">
        <w:rPr>
          <w:rFonts w:ascii="Times New Roman" w:hAnsi="Times New Roman"/>
          <w:sz w:val="24"/>
          <w:szCs w:val="24"/>
        </w:rPr>
        <w:t xml:space="preserve">Concerning the third element, appellant's unsolicited comment clearly related to both </w:t>
      </w:r>
      <w:proofErr w:type="gramStart"/>
      <w:r w:rsidRPr="00765ABF">
        <w:rPr>
          <w:rFonts w:ascii="Times New Roman" w:hAnsi="Times New Roman"/>
          <w:sz w:val="24"/>
          <w:szCs w:val="24"/>
        </w:rPr>
        <w:t>the arson</w:t>
      </w:r>
      <w:proofErr w:type="gramEnd"/>
      <w:r w:rsidRPr="00765ABF">
        <w:rPr>
          <w:rFonts w:ascii="Times New Roman" w:hAnsi="Times New Roman"/>
          <w:sz w:val="24"/>
          <w:szCs w:val="24"/>
        </w:rPr>
        <w:t xml:space="preserve"> and </w:t>
      </w:r>
      <w:proofErr w:type="gramStart"/>
      <w:r w:rsidRPr="00765ABF">
        <w:rPr>
          <w:rFonts w:ascii="Times New Roman" w:hAnsi="Times New Roman"/>
          <w:sz w:val="24"/>
          <w:szCs w:val="24"/>
        </w:rPr>
        <w:t>the arrest</w:t>
      </w:r>
      <w:proofErr w:type="gramEnd"/>
      <w:r w:rsidRPr="00765ABF">
        <w:rPr>
          <w:rFonts w:ascii="Times New Roman" w:hAnsi="Times New Roman"/>
          <w:sz w:val="24"/>
          <w:szCs w:val="24"/>
        </w:rPr>
        <w:t>. Appellant conveyed his intent to burn the house again if Hoang still owned the home after appellant was released from jail. We hold that the third element is satisfied.”</w:t>
      </w:r>
    </w:p>
    <w:p w14:paraId="66698A4F" w14:textId="77777777" w:rsidR="00765ABF" w:rsidRPr="00765ABF" w:rsidRDefault="00765ABF" w:rsidP="00765ABF">
      <w:pPr>
        <w:pStyle w:val="NoSpacing"/>
        <w:ind w:left="720"/>
        <w:rPr>
          <w:rFonts w:ascii="Times New Roman" w:hAnsi="Times New Roman"/>
          <w:sz w:val="24"/>
          <w:szCs w:val="24"/>
        </w:rPr>
      </w:pPr>
    </w:p>
    <w:p w14:paraId="5D9531D1" w14:textId="77777777" w:rsidR="00765ABF" w:rsidRPr="00765ABF" w:rsidRDefault="00765ABF" w:rsidP="00765ABF">
      <w:pPr>
        <w:pStyle w:val="NoSpacing"/>
        <w:rPr>
          <w:rFonts w:ascii="Times New Roman" w:hAnsi="Times New Roman"/>
          <w:b/>
          <w:bCs/>
          <w:sz w:val="24"/>
          <w:szCs w:val="24"/>
        </w:rPr>
      </w:pPr>
      <w:r w:rsidRPr="00765ABF">
        <w:rPr>
          <w:rFonts w:ascii="Times New Roman" w:hAnsi="Times New Roman"/>
          <w:b/>
          <w:bCs/>
          <w:sz w:val="24"/>
          <w:szCs w:val="24"/>
        </w:rPr>
        <w:t>Legal Lesson Learned:  Exciting or spontaneous comments by defendant admissible in evidence; sometimes called “res gestae.”</w:t>
      </w:r>
    </w:p>
    <w:p w14:paraId="3FA510F8" w14:textId="77777777" w:rsidR="00765ABF" w:rsidRPr="00765ABF" w:rsidRDefault="00765ABF" w:rsidP="00765ABF">
      <w:pPr>
        <w:pStyle w:val="NoSpacing"/>
        <w:rPr>
          <w:rFonts w:ascii="Times New Roman" w:hAnsi="Times New Roman"/>
          <w:b/>
          <w:bCs/>
          <w:sz w:val="24"/>
          <w:szCs w:val="24"/>
        </w:rPr>
      </w:pPr>
    </w:p>
    <w:p w14:paraId="3A88BF1A" w14:textId="77777777" w:rsidR="00765ABF" w:rsidRPr="00765ABF" w:rsidRDefault="00765ABF" w:rsidP="00765ABF">
      <w:pPr>
        <w:pStyle w:val="NoSpacing"/>
        <w:rPr>
          <w:rFonts w:ascii="Times New Roman" w:hAnsi="Times New Roman"/>
          <w:sz w:val="24"/>
          <w:szCs w:val="24"/>
        </w:rPr>
      </w:pPr>
      <w:r w:rsidRPr="00765ABF">
        <w:rPr>
          <w:rFonts w:ascii="Times New Roman" w:hAnsi="Times New Roman"/>
          <w:b/>
          <w:bCs/>
          <w:sz w:val="24"/>
          <w:szCs w:val="24"/>
        </w:rPr>
        <w:tab/>
      </w:r>
      <w:r w:rsidRPr="00765ABF">
        <w:rPr>
          <w:rFonts w:ascii="Times New Roman" w:hAnsi="Times New Roman"/>
          <w:sz w:val="24"/>
          <w:szCs w:val="24"/>
        </w:rPr>
        <w:t xml:space="preserve">Note: See definition of “res gestae.” </w:t>
      </w:r>
      <w:hyperlink r:id="rId130" w:history="1">
        <w:r w:rsidRPr="00765ABF">
          <w:rPr>
            <w:rStyle w:val="Hyperlink"/>
            <w:rFonts w:ascii="Times New Roman" w:hAnsi="Times New Roman"/>
            <w:sz w:val="24"/>
            <w:szCs w:val="24"/>
          </w:rPr>
          <w:t>https://www.law.cornell.edu/wex/res_gestae</w:t>
        </w:r>
      </w:hyperlink>
      <w:r w:rsidRPr="00765ABF">
        <w:rPr>
          <w:rFonts w:ascii="Times New Roman" w:hAnsi="Times New Roman"/>
          <w:sz w:val="24"/>
          <w:szCs w:val="24"/>
        </w:rPr>
        <w:t xml:space="preserve"> </w:t>
      </w:r>
    </w:p>
    <w:p w14:paraId="2B182D73" w14:textId="77777777" w:rsidR="00765ABF" w:rsidRPr="00765ABF" w:rsidRDefault="00765ABF" w:rsidP="00765ABF">
      <w:pPr>
        <w:pStyle w:val="NoSpacing"/>
        <w:rPr>
          <w:rFonts w:ascii="Times New Roman" w:hAnsi="Times New Roman"/>
          <w:sz w:val="24"/>
          <w:szCs w:val="24"/>
        </w:rPr>
      </w:pPr>
    </w:p>
    <w:p w14:paraId="599468EC" w14:textId="77777777" w:rsidR="00765ABF" w:rsidRPr="00765ABF" w:rsidRDefault="00765ABF" w:rsidP="00765ABF">
      <w:pPr>
        <w:pStyle w:val="NoSpacing"/>
        <w:ind w:left="720"/>
        <w:rPr>
          <w:rFonts w:ascii="Times New Roman" w:hAnsi="Times New Roman"/>
          <w:sz w:val="24"/>
          <w:szCs w:val="24"/>
        </w:rPr>
      </w:pPr>
      <w:r w:rsidRPr="00765ABF">
        <w:rPr>
          <w:rFonts w:ascii="Times New Roman" w:hAnsi="Times New Roman"/>
          <w:sz w:val="24"/>
          <w:szCs w:val="24"/>
        </w:rPr>
        <w:t xml:space="preserve">“Res gestae is a Latin term meaning “things done” or “things transacted.” It refers to the events or circumstances at issue, as well as other events that are contemporaneous with or related to them. Courts previously employed this term </w:t>
      </w:r>
      <w:proofErr w:type="gramStart"/>
      <w:r w:rsidRPr="00765ABF">
        <w:rPr>
          <w:rFonts w:ascii="Times New Roman" w:hAnsi="Times New Roman"/>
          <w:sz w:val="24"/>
          <w:szCs w:val="24"/>
        </w:rPr>
        <w:t>in order to</w:t>
      </w:r>
      <w:proofErr w:type="gramEnd"/>
      <w:r w:rsidRPr="00765ABF">
        <w:rPr>
          <w:rFonts w:ascii="Times New Roman" w:hAnsi="Times New Roman"/>
          <w:sz w:val="24"/>
          <w:szCs w:val="24"/>
        </w:rPr>
        <w:t xml:space="preserve"> </w:t>
      </w:r>
      <w:hyperlink r:id="rId131" w:history="1">
        <w:r w:rsidRPr="00765ABF">
          <w:rPr>
            <w:rStyle w:val="Hyperlink"/>
            <w:rFonts w:ascii="Times New Roman" w:hAnsi="Times New Roman"/>
            <w:sz w:val="24"/>
            <w:szCs w:val="24"/>
          </w:rPr>
          <w:t>admit</w:t>
        </w:r>
      </w:hyperlink>
      <w:r w:rsidRPr="00765ABF">
        <w:rPr>
          <w:rFonts w:ascii="Times New Roman" w:hAnsi="Times New Roman"/>
          <w:sz w:val="24"/>
          <w:szCs w:val="24"/>
        </w:rPr>
        <w:t xml:space="preserve"> otherwise </w:t>
      </w:r>
      <w:hyperlink r:id="rId132" w:history="1">
        <w:r w:rsidRPr="00765ABF">
          <w:rPr>
            <w:rStyle w:val="Hyperlink"/>
            <w:rFonts w:ascii="Times New Roman" w:hAnsi="Times New Roman"/>
            <w:sz w:val="24"/>
            <w:szCs w:val="24"/>
          </w:rPr>
          <w:t>inadmissible</w:t>
        </w:r>
      </w:hyperlink>
      <w:r w:rsidRPr="00765ABF">
        <w:rPr>
          <w:rFonts w:ascii="Times New Roman" w:hAnsi="Times New Roman"/>
          <w:sz w:val="24"/>
          <w:szCs w:val="24"/>
        </w:rPr>
        <w:t xml:space="preserve"> </w:t>
      </w:r>
      <w:hyperlink r:id="rId133" w:history="1">
        <w:r w:rsidRPr="00765ABF">
          <w:rPr>
            <w:rStyle w:val="Hyperlink"/>
            <w:rFonts w:ascii="Times New Roman" w:hAnsi="Times New Roman"/>
            <w:sz w:val="24"/>
            <w:szCs w:val="24"/>
          </w:rPr>
          <w:t>hearsay</w:t>
        </w:r>
      </w:hyperlink>
      <w:r w:rsidRPr="00765ABF">
        <w:rPr>
          <w:rFonts w:ascii="Times New Roman" w:hAnsi="Times New Roman"/>
          <w:sz w:val="24"/>
          <w:szCs w:val="24"/>
        </w:rPr>
        <w:t xml:space="preserve">. The term is not used much now. In </w:t>
      </w:r>
      <w:hyperlink r:id="rId134" w:history="1">
        <w:r w:rsidRPr="00765ABF">
          <w:rPr>
            <w:rStyle w:val="Hyperlink"/>
            <w:rFonts w:ascii="Times New Roman" w:hAnsi="Times New Roman"/>
            <w:sz w:val="24"/>
            <w:szCs w:val="24"/>
          </w:rPr>
          <w:t>evidence</w:t>
        </w:r>
      </w:hyperlink>
      <w:r w:rsidRPr="00765ABF">
        <w:rPr>
          <w:rFonts w:ascii="Times New Roman" w:hAnsi="Times New Roman"/>
          <w:sz w:val="24"/>
          <w:szCs w:val="24"/>
        </w:rPr>
        <w:t xml:space="preserve"> law, for example, the </w:t>
      </w:r>
      <w:hyperlink r:id="rId135" w:history="1">
        <w:r w:rsidRPr="00765ABF">
          <w:rPr>
            <w:rStyle w:val="Hyperlink"/>
            <w:rFonts w:ascii="Times New Roman" w:hAnsi="Times New Roman"/>
            <w:sz w:val="24"/>
            <w:szCs w:val="24"/>
          </w:rPr>
          <w:t>Federal Rules of Evidence</w:t>
        </w:r>
      </w:hyperlink>
      <w:r w:rsidRPr="00765ABF">
        <w:rPr>
          <w:rFonts w:ascii="Times New Roman" w:hAnsi="Times New Roman"/>
          <w:sz w:val="24"/>
          <w:szCs w:val="24"/>
        </w:rPr>
        <w:t xml:space="preserve">, </w:t>
      </w:r>
      <w:hyperlink r:id="rId136" w:history="1">
        <w:r w:rsidRPr="00765ABF">
          <w:rPr>
            <w:rStyle w:val="Hyperlink"/>
            <w:rFonts w:ascii="Times New Roman" w:hAnsi="Times New Roman"/>
            <w:sz w:val="24"/>
            <w:szCs w:val="24"/>
          </w:rPr>
          <w:t>Rules 803(1)[“present sense impression”], 803(2)[“excited utterance”], 803(3)[“declaration of existing physical condition”], and 803(4)[“declaration of past physical condition"]</w:t>
        </w:r>
      </w:hyperlink>
      <w:r w:rsidRPr="00765ABF">
        <w:rPr>
          <w:rFonts w:ascii="Times New Roman" w:hAnsi="Times New Roman"/>
          <w:sz w:val="24"/>
          <w:szCs w:val="24"/>
        </w:rPr>
        <w:t>, now specifically encompass and limit what was previously used as res gestae.”</w:t>
      </w:r>
    </w:p>
    <w:p w14:paraId="7F678EA5" w14:textId="77777777" w:rsidR="00765ABF" w:rsidRPr="00765ABF" w:rsidRDefault="00765ABF" w:rsidP="00B86628">
      <w:pPr>
        <w:pStyle w:val="NoSpacing"/>
        <w:rPr>
          <w:rFonts w:ascii="Times New Roman" w:hAnsi="Times New Roman"/>
          <w:sz w:val="24"/>
          <w:szCs w:val="24"/>
        </w:rPr>
      </w:pPr>
    </w:p>
    <w:p w14:paraId="77B8861E" w14:textId="77777777" w:rsidR="004B4DF6" w:rsidRPr="00765ABF" w:rsidRDefault="004B4DF6" w:rsidP="00B86628">
      <w:pPr>
        <w:pStyle w:val="NoSpacing"/>
        <w:rPr>
          <w:rFonts w:ascii="Times New Roman" w:hAnsi="Times New Roman"/>
          <w:sz w:val="24"/>
          <w:szCs w:val="24"/>
        </w:rPr>
      </w:pPr>
    </w:p>
    <w:p w14:paraId="3D5758BA" w14:textId="77777777" w:rsidR="004B4DF6" w:rsidRDefault="004B4DF6" w:rsidP="00B86628">
      <w:pPr>
        <w:pStyle w:val="NoSpacing"/>
        <w:rPr>
          <w:rFonts w:ascii="Arial Black" w:hAnsi="Arial Black"/>
          <w:sz w:val="24"/>
          <w:szCs w:val="24"/>
        </w:rPr>
      </w:pPr>
    </w:p>
    <w:p w14:paraId="3B63CAA8" w14:textId="3609B6EE" w:rsidR="004E46C8" w:rsidRPr="004B4DF6" w:rsidRDefault="00127024" w:rsidP="00B86628">
      <w:pPr>
        <w:pStyle w:val="NoSpacing"/>
        <w:rPr>
          <w:rFonts w:ascii="Arial Black" w:hAnsi="Arial Black"/>
          <w:sz w:val="24"/>
          <w:szCs w:val="24"/>
        </w:rPr>
      </w:pPr>
      <w:r w:rsidRPr="004B4DF6">
        <w:rPr>
          <w:rFonts w:ascii="Arial Black" w:hAnsi="Arial Black"/>
          <w:sz w:val="24"/>
          <w:szCs w:val="24"/>
        </w:rPr>
        <w:t>1-15</w:t>
      </w:r>
      <w:r w:rsidR="00A91BAB">
        <w:rPr>
          <w:rFonts w:ascii="Arial Black" w:hAnsi="Arial Black"/>
          <w:sz w:val="24"/>
          <w:szCs w:val="24"/>
        </w:rPr>
        <w:t>4</w:t>
      </w:r>
    </w:p>
    <w:p w14:paraId="1CB6E0FD" w14:textId="77777777" w:rsidR="004B4DF6" w:rsidRDefault="004B4DF6" w:rsidP="00B86628">
      <w:pPr>
        <w:pStyle w:val="NoSpacing"/>
        <w:rPr>
          <w:rFonts w:ascii="Arial Black" w:hAnsi="Arial Black"/>
          <w:sz w:val="24"/>
          <w:szCs w:val="24"/>
        </w:rPr>
      </w:pPr>
    </w:p>
    <w:p w14:paraId="1C2A4E66" w14:textId="77777777" w:rsidR="004B4DF6" w:rsidRPr="000533DB" w:rsidRDefault="004B4DF6" w:rsidP="004B4DF6">
      <w:pPr>
        <w:rPr>
          <w:rFonts w:ascii="Arial Black" w:hAnsi="Arial Black"/>
          <w:b/>
          <w:bCs/>
          <w:sz w:val="28"/>
        </w:rPr>
      </w:pPr>
      <w:r>
        <w:rPr>
          <w:rFonts w:ascii="Arial Black" w:hAnsi="Arial Black"/>
          <w:b/>
          <w:bCs/>
          <w:sz w:val="28"/>
        </w:rPr>
        <w:t>NY: E-BIKE FIRE – TENANT CHARGED BIKE ON 5</w:t>
      </w:r>
      <w:r w:rsidRPr="00AF70EC">
        <w:rPr>
          <w:rFonts w:ascii="Arial Black" w:hAnsi="Arial Black"/>
          <w:b/>
          <w:bCs/>
          <w:sz w:val="28"/>
          <w:vertAlign w:val="superscript"/>
        </w:rPr>
        <w:t>th</w:t>
      </w:r>
      <w:r>
        <w:rPr>
          <w:rFonts w:ascii="Arial Black" w:hAnsi="Arial Black"/>
          <w:b/>
          <w:bCs/>
          <w:sz w:val="28"/>
        </w:rPr>
        <w:t xml:space="preserve"> FLOOR APT - NOT BASEMENT STORAGE – $5,000 </w:t>
      </w:r>
    </w:p>
    <w:p w14:paraId="1E0E5ADA" w14:textId="77777777" w:rsidR="004B4DF6" w:rsidRPr="004B4DF6" w:rsidRDefault="004B4DF6" w:rsidP="004B4DF6">
      <w:pPr>
        <w:rPr>
          <w:rFonts w:ascii="Times New Roman" w:hAnsi="Times New Roman"/>
          <w:sz w:val="24"/>
          <w:szCs w:val="24"/>
        </w:rPr>
      </w:pPr>
      <w:r w:rsidRPr="004B4DF6">
        <w:rPr>
          <w:rFonts w:ascii="Times New Roman" w:hAnsi="Times New Roman"/>
          <w:sz w:val="24"/>
          <w:szCs w:val="24"/>
        </w:rPr>
        <w:t xml:space="preserve">On Aug. 19. 2024, in </w:t>
      </w:r>
      <w:r w:rsidRPr="004B4DF6">
        <w:rPr>
          <w:rFonts w:ascii="Times New Roman" w:hAnsi="Times New Roman"/>
          <w:sz w:val="24"/>
          <w:szCs w:val="24"/>
          <w:u w:val="single"/>
        </w:rPr>
        <w:t>Forest House, LLC v. Jamaris Santos</w:t>
      </w:r>
      <w:r w:rsidRPr="004B4DF6">
        <w:rPr>
          <w:rFonts w:ascii="Times New Roman" w:hAnsi="Times New Roman"/>
          <w:sz w:val="24"/>
          <w:szCs w:val="24"/>
        </w:rPr>
        <w:t>, City of New York, Civil Court, Bronx County, Judge Verena C. Powell held, after a bench trial, that the tenant was negligent in charging e-bike in her 5</w:t>
      </w:r>
      <w:r w:rsidRPr="004B4DF6">
        <w:rPr>
          <w:rFonts w:ascii="Times New Roman" w:hAnsi="Times New Roman"/>
          <w:sz w:val="24"/>
          <w:szCs w:val="24"/>
          <w:vertAlign w:val="superscript"/>
        </w:rPr>
        <w:t>th</w:t>
      </w:r>
      <w:r w:rsidRPr="004B4DF6">
        <w:rPr>
          <w:rFonts w:ascii="Times New Roman" w:hAnsi="Times New Roman"/>
          <w:sz w:val="24"/>
          <w:szCs w:val="24"/>
        </w:rPr>
        <w:t xml:space="preserve"> floor apartment, instead of the basement storage area, and must reimburse the building owner for the $5,000 deductible on their building insurance policy, plus attorney fees.  February 7, 2021, at approximately 1:20 a.m., the New York City Fire Department (FDNY) responded to a 911 fire call on the fifth floor of 770 East 166th Street, Bronx, New York 10456. The Court wrote: “Ms. Santos' testimony established that she was aware of and had access to the building's bike room but decided not to use it, instead storing and charging the device inside </w:t>
      </w:r>
      <w:r w:rsidRPr="004B4DF6">
        <w:rPr>
          <w:rFonts w:ascii="Times New Roman" w:hAnsi="Times New Roman"/>
          <w:sz w:val="24"/>
          <w:szCs w:val="24"/>
        </w:rPr>
        <w:lastRenderedPageBreak/>
        <w:t xml:space="preserve">her apartment. As the Plaintiff's tenant, the defendant assumed the duty of exercising ordinary care to store the e-bike in an area designated for such items. The defendant's negligence is established by her storing the e-bike in a location other than one designated for its storage, and that, once engulfed in flames, was placed in the public hallway, impeding egress from the building.” </w:t>
      </w:r>
      <w:hyperlink r:id="rId137" w:history="1">
        <w:r w:rsidRPr="004B4DF6">
          <w:rPr>
            <w:rStyle w:val="Hyperlink"/>
            <w:rFonts w:ascii="Times New Roman" w:hAnsi="Times New Roman"/>
            <w:sz w:val="24"/>
            <w:szCs w:val="24"/>
          </w:rPr>
          <w:t>https://law.justia.com/cases/new-york/other-courts/2024/2024-ny-slip-op-51092-u.html</w:t>
        </w:r>
      </w:hyperlink>
      <w:r w:rsidRPr="004B4DF6">
        <w:rPr>
          <w:rFonts w:ascii="Times New Roman" w:hAnsi="Times New Roman"/>
          <w:sz w:val="24"/>
          <w:szCs w:val="24"/>
        </w:rPr>
        <w:t xml:space="preserve"> </w:t>
      </w:r>
    </w:p>
    <w:p w14:paraId="27C00EBA" w14:textId="77777777" w:rsidR="004B4DF6" w:rsidRPr="004B4DF6" w:rsidRDefault="004B4DF6" w:rsidP="004B4DF6">
      <w:pPr>
        <w:rPr>
          <w:rFonts w:ascii="Times New Roman" w:hAnsi="Times New Roman"/>
          <w:sz w:val="24"/>
          <w:szCs w:val="24"/>
        </w:rPr>
      </w:pPr>
      <w:r w:rsidRPr="004B4DF6">
        <w:rPr>
          <w:rFonts w:ascii="Times New Roman" w:hAnsi="Times New Roman"/>
          <w:sz w:val="24"/>
          <w:szCs w:val="24"/>
        </w:rPr>
        <w:t xml:space="preserve">THE COURT HELD:  </w:t>
      </w:r>
    </w:p>
    <w:p w14:paraId="0E01AB86" w14:textId="77777777" w:rsidR="004B4DF6" w:rsidRPr="004B4DF6" w:rsidRDefault="004B4DF6" w:rsidP="004B4DF6">
      <w:pPr>
        <w:ind w:left="720"/>
        <w:rPr>
          <w:rFonts w:ascii="Times New Roman" w:hAnsi="Times New Roman"/>
          <w:sz w:val="24"/>
          <w:szCs w:val="24"/>
        </w:rPr>
      </w:pPr>
      <w:r w:rsidRPr="004B4DF6">
        <w:rPr>
          <w:rFonts w:ascii="Times New Roman" w:hAnsi="Times New Roman"/>
          <w:sz w:val="24"/>
          <w:szCs w:val="24"/>
        </w:rPr>
        <w:t xml:space="preserve">“Fire Marshal Coyle testified that the cause of the fire was the disintegration of the electric wiring coating within the battery compartment of the e-bike. He reached this conclusion by speaking with Battalion Chief </w:t>
      </w:r>
      <w:proofErr w:type="spellStart"/>
      <w:r w:rsidRPr="004B4DF6">
        <w:rPr>
          <w:rFonts w:ascii="Times New Roman" w:hAnsi="Times New Roman"/>
          <w:sz w:val="24"/>
          <w:szCs w:val="24"/>
        </w:rPr>
        <w:t>McGenn</w:t>
      </w:r>
      <w:proofErr w:type="spellEnd"/>
      <w:r w:rsidRPr="004B4DF6">
        <w:rPr>
          <w:rFonts w:ascii="Times New Roman" w:hAnsi="Times New Roman"/>
          <w:sz w:val="24"/>
          <w:szCs w:val="24"/>
        </w:rPr>
        <w:t xml:space="preserve"> and Lieutenant Owens about the e-bike's condition when they reached the fire, interviewing Ms. Santos regarding her observations of the fire, examining a photograph of the charred e-bike, and noting smoke stains on the apartment wall about 3 feet above the floor. The picture of the e-bike shows that the area under the rider's seat sustained the most significant amount of damage, thus indicating where the fire ignited.  This Court credits Fire Marshall Coyle's expert testimony and finds that deterioration of the wiring insulation caused the battery to short circuit, igniting the e-bike battery case covering and the e-bike's seat, thereby causing the February 7, 2021, fire in Ms. Santos' apartment.”</w:t>
      </w:r>
    </w:p>
    <w:p w14:paraId="2F84B898" w14:textId="318B1D1E" w:rsidR="004B4DF6" w:rsidRPr="004B4DF6" w:rsidRDefault="004B4DF6" w:rsidP="005441DE">
      <w:pPr>
        <w:rPr>
          <w:rFonts w:ascii="Times New Roman" w:hAnsi="Times New Roman"/>
          <w:b/>
          <w:bCs/>
          <w:sz w:val="24"/>
          <w:szCs w:val="24"/>
        </w:rPr>
      </w:pPr>
      <w:r w:rsidRPr="004B4DF6">
        <w:rPr>
          <w:rFonts w:ascii="Times New Roman" w:hAnsi="Times New Roman"/>
          <w:b/>
          <w:bCs/>
          <w:sz w:val="24"/>
          <w:szCs w:val="24"/>
        </w:rPr>
        <w:t>Legal Lesson Learned: Do not charge e-</w:t>
      </w:r>
      <w:proofErr w:type="gramStart"/>
      <w:r w:rsidRPr="004B4DF6">
        <w:rPr>
          <w:rFonts w:ascii="Times New Roman" w:hAnsi="Times New Roman"/>
          <w:b/>
          <w:bCs/>
          <w:sz w:val="24"/>
          <w:szCs w:val="24"/>
        </w:rPr>
        <w:t>bike</w:t>
      </w:r>
      <w:proofErr w:type="gramEnd"/>
      <w:r w:rsidRPr="004B4DF6">
        <w:rPr>
          <w:rFonts w:ascii="Times New Roman" w:hAnsi="Times New Roman"/>
          <w:b/>
          <w:bCs/>
          <w:sz w:val="24"/>
          <w:szCs w:val="24"/>
        </w:rPr>
        <w:t xml:space="preserve"> in your apartment or home; tenants will be liable for damages. </w:t>
      </w:r>
    </w:p>
    <w:p w14:paraId="11AA5A1E" w14:textId="77777777" w:rsidR="004B4DF6" w:rsidRPr="004B4DF6" w:rsidRDefault="004B4DF6" w:rsidP="004B4DF6">
      <w:pPr>
        <w:rPr>
          <w:rFonts w:ascii="Times New Roman" w:hAnsi="Times New Roman"/>
          <w:szCs w:val="24"/>
        </w:rPr>
      </w:pPr>
    </w:p>
    <w:p w14:paraId="191FB5EA" w14:textId="77777777" w:rsidR="007C22F6" w:rsidRDefault="007C22F6" w:rsidP="007C22F6">
      <w:pPr>
        <w:pStyle w:val="NoSpacing"/>
        <w:rPr>
          <w:rFonts w:ascii="Arial Black" w:hAnsi="Arial Black"/>
          <w:sz w:val="24"/>
          <w:szCs w:val="24"/>
        </w:rPr>
      </w:pPr>
    </w:p>
    <w:p w14:paraId="2E8417F2" w14:textId="3F304553" w:rsidR="007C22F6" w:rsidRDefault="007C22F6" w:rsidP="007C22F6">
      <w:pPr>
        <w:pStyle w:val="NoSpacing"/>
        <w:rPr>
          <w:rFonts w:ascii="Arial Black" w:hAnsi="Arial Black"/>
          <w:sz w:val="24"/>
          <w:szCs w:val="24"/>
        </w:rPr>
      </w:pPr>
      <w:r>
        <w:rPr>
          <w:rFonts w:ascii="Arial Black" w:hAnsi="Arial Black"/>
          <w:sz w:val="24"/>
          <w:szCs w:val="24"/>
        </w:rPr>
        <w:t>1-15</w:t>
      </w:r>
      <w:r w:rsidR="00A91BAB">
        <w:rPr>
          <w:rFonts w:ascii="Arial Black" w:hAnsi="Arial Black"/>
          <w:sz w:val="24"/>
          <w:szCs w:val="24"/>
        </w:rPr>
        <w:t>3</w:t>
      </w:r>
    </w:p>
    <w:p w14:paraId="74332D37" w14:textId="77777777" w:rsidR="007C22F6" w:rsidRDefault="007C22F6" w:rsidP="007C22F6">
      <w:pPr>
        <w:pStyle w:val="NoSpacing"/>
        <w:rPr>
          <w:rFonts w:ascii="Arial Black" w:hAnsi="Arial Black"/>
          <w:sz w:val="28"/>
        </w:rPr>
      </w:pPr>
    </w:p>
    <w:p w14:paraId="7BA1D00E" w14:textId="78C9E3C0" w:rsidR="007C22F6" w:rsidRPr="00270EFD" w:rsidRDefault="007C22F6" w:rsidP="007C22F6">
      <w:pPr>
        <w:pStyle w:val="NoSpacing"/>
        <w:rPr>
          <w:rFonts w:ascii="Arial Black" w:hAnsi="Arial Black"/>
          <w:sz w:val="28"/>
        </w:rPr>
      </w:pPr>
      <w:r>
        <w:rPr>
          <w:rFonts w:ascii="Arial Black" w:hAnsi="Arial Black"/>
          <w:sz w:val="28"/>
        </w:rPr>
        <w:t xml:space="preserve">IL: ALARM SYSTEM ORDINANCE – COMMERCIAL ALARMS MUST GO DIRECT TO 911 CENTER – LAWFUL </w:t>
      </w:r>
    </w:p>
    <w:p w14:paraId="09B79B21" w14:textId="77777777" w:rsidR="007C22F6" w:rsidRDefault="007C22F6" w:rsidP="007C22F6">
      <w:pPr>
        <w:pStyle w:val="NoSpacing"/>
        <w:rPr>
          <w:szCs w:val="24"/>
        </w:rPr>
      </w:pPr>
    </w:p>
    <w:p w14:paraId="63C70625" w14:textId="77777777" w:rsidR="007C22F6" w:rsidRPr="007C22F6" w:rsidRDefault="007C22F6" w:rsidP="007C22F6">
      <w:pPr>
        <w:pStyle w:val="NoSpacing"/>
        <w:rPr>
          <w:rFonts w:ascii="Times New Roman" w:hAnsi="Times New Roman"/>
          <w:sz w:val="24"/>
          <w:szCs w:val="24"/>
        </w:rPr>
      </w:pPr>
      <w:r w:rsidRPr="007C22F6">
        <w:rPr>
          <w:rFonts w:ascii="Times New Roman" w:hAnsi="Times New Roman"/>
          <w:sz w:val="24"/>
          <w:szCs w:val="24"/>
        </w:rPr>
        <w:t xml:space="preserve">On Aug. 14, 2024, in </w:t>
      </w:r>
      <w:r w:rsidRPr="007C22F6">
        <w:rPr>
          <w:rFonts w:ascii="Times New Roman" w:hAnsi="Times New Roman"/>
          <w:sz w:val="24"/>
          <w:szCs w:val="24"/>
          <w:u w:val="single"/>
        </w:rPr>
        <w:t>Alarm Detection Services, Inc, et al. v. Village of Schaumburg</w:t>
      </w:r>
      <w:r w:rsidRPr="007C22F6">
        <w:rPr>
          <w:rFonts w:ascii="Times New Roman" w:hAnsi="Times New Roman"/>
          <w:sz w:val="24"/>
          <w:szCs w:val="24"/>
        </w:rPr>
        <w:t xml:space="preserve">, United States District Court Judge Joan H. </w:t>
      </w:r>
      <w:proofErr w:type="spellStart"/>
      <w:r w:rsidRPr="007C22F6">
        <w:rPr>
          <w:rFonts w:ascii="Times New Roman" w:hAnsi="Times New Roman"/>
          <w:sz w:val="24"/>
          <w:szCs w:val="24"/>
        </w:rPr>
        <w:t>Lefkow</w:t>
      </w:r>
      <w:proofErr w:type="spellEnd"/>
      <w:r w:rsidRPr="007C22F6">
        <w:rPr>
          <w:rFonts w:ascii="Times New Roman" w:hAnsi="Times New Roman"/>
          <w:sz w:val="24"/>
          <w:szCs w:val="24"/>
        </w:rPr>
        <w:t xml:space="preserve">, U.S. District Court for the Northern District of Illinois, Eastern Division, granted summary judgment to the Village, in lawsuit by four alarm companies that claimed they have lost 250 commercial clients because of the 2016 Ordinance that requires alarms to go direct to 911 Center (system managed by Tyco Company), instead of first to the alarm companies centers.  The Court wrote: “The Village has proffered abundant evidence, as set out above, to demonstrate that it was not motivated to injure Alarm Companies; rather, its motivation was to improve fire safety in the Village…. Unfortunately, Alarm Companies do not counter with data the Village’s evidence </w:t>
      </w:r>
      <w:proofErr w:type="gramStart"/>
      <w:r w:rsidRPr="007C22F6">
        <w:rPr>
          <w:rFonts w:ascii="Times New Roman" w:hAnsi="Times New Roman"/>
          <w:sz w:val="24"/>
          <w:szCs w:val="24"/>
        </w:rPr>
        <w:t>that,</w:t>
      </w:r>
      <w:proofErr w:type="gramEnd"/>
      <w:r w:rsidRPr="007C22F6">
        <w:rPr>
          <w:rFonts w:ascii="Times New Roman" w:hAnsi="Times New Roman"/>
          <w:sz w:val="24"/>
          <w:szCs w:val="24"/>
        </w:rPr>
        <w:t xml:space="preserve"> post passage, response times improved and out-of-service systems decreased. But even if they had, it would not undermine the evidence of the Village’s motivation at the time the Ordinance was passed….In light of the evidence that the Village pursued legitimate public safety goals in enacting the Ordinance and the paucity of evidence that it intended to induce Commercial Properties to discontinue contracting with Alarm Companies, the court concludes that no reasonable jury would find that the Village’s purpose was to induce property owners to cease doing business with Alarm Companies.” </w:t>
      </w:r>
      <w:hyperlink r:id="rId138" w:history="1">
        <w:r w:rsidRPr="007C22F6">
          <w:rPr>
            <w:rStyle w:val="Hyperlink"/>
            <w:rFonts w:ascii="Times New Roman" w:hAnsi="Times New Roman"/>
            <w:sz w:val="24"/>
            <w:szCs w:val="24"/>
          </w:rPr>
          <w:t>https://cases.justia.com/federal/district-courts/illinois/ilndce/1:2017cv02153/337913/236/0.pdf?ts=1723715563</w:t>
        </w:r>
      </w:hyperlink>
      <w:r w:rsidRPr="007C22F6">
        <w:rPr>
          <w:rFonts w:ascii="Times New Roman" w:hAnsi="Times New Roman"/>
          <w:sz w:val="24"/>
          <w:szCs w:val="24"/>
        </w:rPr>
        <w:t xml:space="preserve"> </w:t>
      </w:r>
    </w:p>
    <w:p w14:paraId="6543AC61" w14:textId="77777777" w:rsidR="007C22F6" w:rsidRPr="007C22F6" w:rsidRDefault="007C22F6" w:rsidP="007C22F6">
      <w:pPr>
        <w:pStyle w:val="NoSpacing"/>
        <w:rPr>
          <w:rFonts w:ascii="Times New Roman" w:hAnsi="Times New Roman"/>
          <w:sz w:val="24"/>
          <w:szCs w:val="24"/>
        </w:rPr>
      </w:pPr>
    </w:p>
    <w:p w14:paraId="7038F780" w14:textId="77777777" w:rsidR="007C22F6" w:rsidRPr="007C22F6" w:rsidRDefault="007C22F6" w:rsidP="007C22F6">
      <w:pPr>
        <w:pStyle w:val="NoSpacing"/>
        <w:rPr>
          <w:rFonts w:ascii="Times New Roman" w:hAnsi="Times New Roman"/>
          <w:sz w:val="24"/>
          <w:szCs w:val="24"/>
        </w:rPr>
      </w:pPr>
      <w:r w:rsidRPr="007C22F6">
        <w:rPr>
          <w:rFonts w:ascii="Times New Roman" w:hAnsi="Times New Roman"/>
          <w:sz w:val="24"/>
          <w:szCs w:val="24"/>
        </w:rPr>
        <w:t>THE COURT HELD:</w:t>
      </w:r>
    </w:p>
    <w:p w14:paraId="547BE9C7" w14:textId="77777777" w:rsidR="007C22F6" w:rsidRPr="007C22F6" w:rsidRDefault="007C22F6" w:rsidP="007C22F6">
      <w:pPr>
        <w:pStyle w:val="NoSpacing"/>
        <w:rPr>
          <w:rFonts w:ascii="Times New Roman" w:hAnsi="Times New Roman"/>
          <w:sz w:val="24"/>
          <w:szCs w:val="24"/>
        </w:rPr>
      </w:pPr>
    </w:p>
    <w:p w14:paraId="30C44FEF" w14:textId="77777777" w:rsidR="007C22F6" w:rsidRPr="007C22F6" w:rsidRDefault="007C22F6" w:rsidP="007C22F6">
      <w:pPr>
        <w:pStyle w:val="NoSpacing"/>
        <w:ind w:left="720"/>
        <w:rPr>
          <w:rFonts w:ascii="Times New Roman" w:hAnsi="Times New Roman"/>
          <w:sz w:val="24"/>
          <w:szCs w:val="24"/>
        </w:rPr>
      </w:pPr>
      <w:r w:rsidRPr="007C22F6">
        <w:rPr>
          <w:rFonts w:ascii="Times New Roman" w:hAnsi="Times New Roman"/>
          <w:sz w:val="24"/>
          <w:szCs w:val="24"/>
        </w:rPr>
        <w:t xml:space="preserve">“Local fire codes, including those of the Village, require certain commercial and multi-family buildings to be protected by fire-alarm systems and typically require that those systems comply with national safety standards set forth in the National Fire Protection Association’s National Fire Alarm and </w:t>
      </w:r>
      <w:r w:rsidRPr="007C22F6">
        <w:rPr>
          <w:rFonts w:ascii="Times New Roman" w:hAnsi="Times New Roman"/>
          <w:sz w:val="24"/>
          <w:szCs w:val="24"/>
        </w:rPr>
        <w:lastRenderedPageBreak/>
        <w:t>Signaling Code (NFPA 72). Under NFPA 72, the installation and maintenance of fire-alarm systems are the responsibility of individual building owners. Owners of commercial and multi-family properties typically contract with private companies, such as Alarm Companies, to provide and maintain the required fire-alarm systems. Such systems generally have three components: (1) smoke and heat detectors that generate signals; (2) an alarm panel that receives signals from those detectors; and (3) a transmission device that sends signals to a monitoring facility. The signals transmitted by the detectors include alarm signals signifying smoke or fire, as well as ‘trouble’ or ‘supervisory’ signals which indicate whether the system is performing properly or is out of service.</w:t>
      </w:r>
    </w:p>
    <w:p w14:paraId="763B5917" w14:textId="77777777" w:rsidR="007C22F6" w:rsidRPr="007C22F6" w:rsidRDefault="007C22F6" w:rsidP="007C22F6">
      <w:pPr>
        <w:pStyle w:val="NoSpacing"/>
        <w:ind w:left="720"/>
        <w:rPr>
          <w:rFonts w:ascii="Times New Roman" w:hAnsi="Times New Roman"/>
          <w:sz w:val="24"/>
          <w:szCs w:val="24"/>
        </w:rPr>
      </w:pPr>
    </w:p>
    <w:p w14:paraId="5DD5BC51" w14:textId="77777777" w:rsidR="007C22F6" w:rsidRPr="007C22F6" w:rsidRDefault="007C22F6" w:rsidP="007C22F6">
      <w:pPr>
        <w:pStyle w:val="NoSpacing"/>
        <w:ind w:left="720"/>
        <w:rPr>
          <w:rFonts w:ascii="Times New Roman" w:hAnsi="Times New Roman"/>
          <w:sz w:val="24"/>
          <w:szCs w:val="24"/>
        </w:rPr>
      </w:pPr>
      <w:r w:rsidRPr="007C22F6">
        <w:rPr>
          <w:rFonts w:ascii="Times New Roman" w:hAnsi="Times New Roman"/>
          <w:sz w:val="24"/>
          <w:szCs w:val="24"/>
        </w:rPr>
        <w:t>***</w:t>
      </w:r>
    </w:p>
    <w:p w14:paraId="6BA65E18" w14:textId="77777777" w:rsidR="007C22F6" w:rsidRPr="007C22F6" w:rsidRDefault="007C22F6" w:rsidP="007C22F6">
      <w:pPr>
        <w:pStyle w:val="NoSpacing"/>
        <w:rPr>
          <w:rFonts w:ascii="Times New Roman" w:hAnsi="Times New Roman"/>
          <w:sz w:val="24"/>
          <w:szCs w:val="24"/>
        </w:rPr>
      </w:pPr>
    </w:p>
    <w:p w14:paraId="6874A36C" w14:textId="77777777" w:rsidR="007C22F6" w:rsidRPr="007C22F6" w:rsidRDefault="007C22F6" w:rsidP="007C22F6">
      <w:pPr>
        <w:pStyle w:val="NoSpacing"/>
        <w:ind w:left="720"/>
        <w:rPr>
          <w:rFonts w:ascii="Times New Roman" w:hAnsi="Times New Roman"/>
          <w:sz w:val="24"/>
          <w:szCs w:val="24"/>
        </w:rPr>
      </w:pPr>
      <w:r w:rsidRPr="007C22F6">
        <w:rPr>
          <w:rFonts w:ascii="Times New Roman" w:hAnsi="Times New Roman"/>
          <w:sz w:val="24"/>
          <w:szCs w:val="24"/>
        </w:rPr>
        <w:t xml:space="preserve">The court acknowledges that there is record evidence to support Alarm Companies’ contentions that the Ordinance had the effect of requiring Commercial Accounts to purchase or lease from Tyco at least some equipment necessary to connect to NWCDS. The Village itself seems to have suggested to businesses that Tyco transmitters may be required; after passage of the Ordinance, the Village sent a notice to property owners indicating that Tyco was ‘the authorized installer of </w:t>
      </w:r>
      <w:proofErr w:type="gramStart"/>
      <w:r w:rsidRPr="007C22F6">
        <w:rPr>
          <w:rFonts w:ascii="Times New Roman" w:hAnsi="Times New Roman"/>
          <w:sz w:val="24"/>
          <w:szCs w:val="24"/>
        </w:rPr>
        <w:t>the radio</w:t>
      </w:r>
      <w:proofErr w:type="gramEnd"/>
      <w:r w:rsidRPr="007C22F6">
        <w:rPr>
          <w:rFonts w:ascii="Times New Roman" w:hAnsi="Times New Roman"/>
          <w:sz w:val="24"/>
          <w:szCs w:val="24"/>
        </w:rPr>
        <w:t xml:space="preserve"> equipment</w:t>
      </w:r>
    </w:p>
    <w:p w14:paraId="5DAE44DE" w14:textId="77777777" w:rsidR="007C22F6" w:rsidRPr="007C22F6" w:rsidRDefault="007C22F6" w:rsidP="007C22F6">
      <w:pPr>
        <w:pStyle w:val="NoSpacing"/>
        <w:ind w:left="720"/>
        <w:rPr>
          <w:rFonts w:ascii="Times New Roman" w:hAnsi="Times New Roman"/>
          <w:sz w:val="24"/>
          <w:szCs w:val="24"/>
        </w:rPr>
      </w:pPr>
      <w:r w:rsidRPr="007C22F6">
        <w:rPr>
          <w:rFonts w:ascii="Times New Roman" w:hAnsi="Times New Roman"/>
          <w:sz w:val="24"/>
          <w:szCs w:val="24"/>
        </w:rPr>
        <w:t xml:space="preserve">required for fire alarm systems monitored by NWCDS.’ </w:t>
      </w:r>
    </w:p>
    <w:p w14:paraId="0194E24D" w14:textId="77777777" w:rsidR="007C22F6" w:rsidRPr="007C22F6" w:rsidRDefault="007C22F6" w:rsidP="007C22F6">
      <w:pPr>
        <w:pStyle w:val="NoSpacing"/>
        <w:ind w:left="720"/>
        <w:rPr>
          <w:rFonts w:ascii="Times New Roman" w:hAnsi="Times New Roman"/>
          <w:sz w:val="24"/>
          <w:szCs w:val="24"/>
        </w:rPr>
      </w:pPr>
      <w:r w:rsidRPr="007C22F6">
        <w:rPr>
          <w:rFonts w:ascii="Times New Roman" w:hAnsi="Times New Roman"/>
          <w:sz w:val="24"/>
          <w:szCs w:val="24"/>
        </w:rPr>
        <w:t>***</w:t>
      </w:r>
    </w:p>
    <w:p w14:paraId="47BA5BCB" w14:textId="77777777" w:rsidR="007C22F6" w:rsidRPr="007C22F6" w:rsidRDefault="007C22F6" w:rsidP="007C22F6">
      <w:pPr>
        <w:pStyle w:val="NoSpacing"/>
        <w:ind w:left="720"/>
        <w:rPr>
          <w:rFonts w:ascii="Times New Roman" w:hAnsi="Times New Roman"/>
          <w:sz w:val="24"/>
          <w:szCs w:val="24"/>
        </w:rPr>
      </w:pPr>
    </w:p>
    <w:p w14:paraId="536060F3" w14:textId="77777777" w:rsidR="007C22F6" w:rsidRPr="007C22F6" w:rsidRDefault="007C22F6" w:rsidP="007C22F6">
      <w:pPr>
        <w:pStyle w:val="NoSpacing"/>
        <w:ind w:left="720"/>
        <w:rPr>
          <w:rFonts w:ascii="Times New Roman" w:hAnsi="Times New Roman"/>
          <w:sz w:val="24"/>
          <w:szCs w:val="24"/>
        </w:rPr>
      </w:pPr>
      <w:r w:rsidRPr="007C22F6">
        <w:rPr>
          <w:rFonts w:ascii="Times New Roman" w:hAnsi="Times New Roman"/>
          <w:sz w:val="24"/>
          <w:szCs w:val="24"/>
        </w:rPr>
        <w:t xml:space="preserve">Alarm Companies argue that there is no genuine dispute of fact that the Ordinance caused many Commercial Accounts either to terminate or to refuse to renew their contracts, costing Alarm Companies hundreds of accounts in the Village. Alarm Companies’ argument, however, has no support in the evidentiary record. They fail to point to any evidence that any Commercial Account </w:t>
      </w:r>
      <w:proofErr w:type="gramStart"/>
      <w:r w:rsidRPr="007C22F6">
        <w:rPr>
          <w:rFonts w:ascii="Times New Roman" w:hAnsi="Times New Roman"/>
          <w:sz w:val="24"/>
          <w:szCs w:val="24"/>
        </w:rPr>
        <w:t>actually terminated</w:t>
      </w:r>
      <w:proofErr w:type="gramEnd"/>
      <w:r w:rsidRPr="007C22F6">
        <w:rPr>
          <w:rFonts w:ascii="Times New Roman" w:hAnsi="Times New Roman"/>
          <w:sz w:val="24"/>
          <w:szCs w:val="24"/>
        </w:rPr>
        <w:t xml:space="preserve"> early or otherwise breached a contract in response to the Ordinance.”</w:t>
      </w:r>
    </w:p>
    <w:p w14:paraId="3374264A" w14:textId="77777777" w:rsidR="007C22F6" w:rsidRPr="007C22F6" w:rsidRDefault="007C22F6" w:rsidP="007C22F6">
      <w:pPr>
        <w:pStyle w:val="NoSpacing"/>
        <w:rPr>
          <w:rFonts w:ascii="Times New Roman" w:hAnsi="Times New Roman"/>
          <w:sz w:val="24"/>
          <w:szCs w:val="24"/>
        </w:rPr>
      </w:pPr>
    </w:p>
    <w:p w14:paraId="63598C8E" w14:textId="77777777" w:rsidR="007C22F6" w:rsidRPr="007C22F6" w:rsidRDefault="007C22F6" w:rsidP="007C22F6">
      <w:pPr>
        <w:pStyle w:val="NoSpacing"/>
        <w:rPr>
          <w:rFonts w:ascii="Times New Roman" w:hAnsi="Times New Roman"/>
          <w:b/>
          <w:bCs/>
          <w:sz w:val="24"/>
          <w:szCs w:val="24"/>
        </w:rPr>
      </w:pPr>
      <w:r w:rsidRPr="007C22F6">
        <w:rPr>
          <w:rFonts w:ascii="Times New Roman" w:hAnsi="Times New Roman"/>
          <w:b/>
          <w:bCs/>
          <w:sz w:val="24"/>
          <w:szCs w:val="24"/>
        </w:rPr>
        <w:t>Legal Lesson Learned:  Village ordinance has proven effective in prompt notification to 911 Center of alarms, and notification to FD of problems with commercial property systems.</w:t>
      </w:r>
    </w:p>
    <w:p w14:paraId="5CAD26A1" w14:textId="77777777" w:rsidR="007C22F6" w:rsidRPr="007C22F6" w:rsidRDefault="007C22F6" w:rsidP="000B35FC">
      <w:pPr>
        <w:rPr>
          <w:rFonts w:ascii="Times New Roman" w:hAnsi="Times New Roman"/>
          <w:sz w:val="24"/>
          <w:szCs w:val="24"/>
        </w:rPr>
      </w:pPr>
    </w:p>
    <w:p w14:paraId="0A8E5FED" w14:textId="77777777" w:rsidR="00127024" w:rsidRDefault="00127024" w:rsidP="00B86628">
      <w:pPr>
        <w:pStyle w:val="NoSpacing"/>
        <w:rPr>
          <w:rFonts w:ascii="Arial Black" w:hAnsi="Arial Black"/>
          <w:sz w:val="24"/>
          <w:szCs w:val="24"/>
        </w:rPr>
      </w:pPr>
    </w:p>
    <w:p w14:paraId="0BBFC3B4" w14:textId="2012094C" w:rsidR="00316842" w:rsidRDefault="00316842" w:rsidP="00B86628">
      <w:pPr>
        <w:pStyle w:val="NoSpacing"/>
        <w:rPr>
          <w:rFonts w:ascii="Arial Black" w:hAnsi="Arial Black"/>
          <w:sz w:val="24"/>
          <w:szCs w:val="24"/>
        </w:rPr>
      </w:pPr>
      <w:r>
        <w:rPr>
          <w:rFonts w:ascii="Arial Black" w:hAnsi="Arial Black"/>
          <w:sz w:val="24"/>
          <w:szCs w:val="24"/>
        </w:rPr>
        <w:t>1-15</w:t>
      </w:r>
      <w:r w:rsidR="00A91BAB">
        <w:rPr>
          <w:rFonts w:ascii="Arial Black" w:hAnsi="Arial Black"/>
          <w:sz w:val="24"/>
          <w:szCs w:val="24"/>
        </w:rPr>
        <w:t>2</w:t>
      </w:r>
    </w:p>
    <w:p w14:paraId="730D1D82" w14:textId="77777777" w:rsidR="00FB79CF" w:rsidRDefault="00FB79CF" w:rsidP="00B86628">
      <w:pPr>
        <w:pStyle w:val="NoSpacing"/>
        <w:rPr>
          <w:rFonts w:ascii="Arial Black" w:hAnsi="Arial Black"/>
          <w:sz w:val="24"/>
          <w:szCs w:val="24"/>
        </w:rPr>
      </w:pPr>
    </w:p>
    <w:p w14:paraId="0E507D42" w14:textId="77777777" w:rsidR="00FB79CF" w:rsidRPr="00AB4CDC" w:rsidRDefault="00FB79CF" w:rsidP="00FB79CF">
      <w:pPr>
        <w:rPr>
          <w:rFonts w:ascii="Arial Black" w:hAnsi="Arial Black"/>
          <w:b/>
          <w:bCs/>
          <w:sz w:val="28"/>
          <w:szCs w:val="28"/>
        </w:rPr>
      </w:pPr>
      <w:r>
        <w:rPr>
          <w:rFonts w:ascii="Arial Black" w:hAnsi="Arial Black"/>
          <w:b/>
          <w:bCs/>
          <w:sz w:val="28"/>
          <w:szCs w:val="28"/>
        </w:rPr>
        <w:t>IN: ARSON INVEST. – MOTEL ROOM FIRE STARTED SHORTLY AFTER GIRLFRIEND LEFT - MJ ROACH DIDN’T START FIRE</w:t>
      </w:r>
    </w:p>
    <w:p w14:paraId="40E206BF" w14:textId="1A90DFE7" w:rsidR="00FB79CF" w:rsidRDefault="00FB79CF" w:rsidP="00FB79CF">
      <w:pPr>
        <w:rPr>
          <w:rFonts w:ascii="Times New Roman" w:hAnsi="Times New Roman"/>
          <w:sz w:val="24"/>
          <w:szCs w:val="24"/>
        </w:rPr>
      </w:pPr>
      <w:r w:rsidRPr="00CC749D">
        <w:rPr>
          <w:rFonts w:ascii="Times New Roman" w:hAnsi="Times New Roman"/>
          <w:sz w:val="24"/>
          <w:szCs w:val="24"/>
        </w:rPr>
        <w:t xml:space="preserve">On </w:t>
      </w:r>
      <w:r>
        <w:rPr>
          <w:rFonts w:ascii="Times New Roman" w:hAnsi="Times New Roman"/>
          <w:sz w:val="24"/>
          <w:szCs w:val="24"/>
        </w:rPr>
        <w:t xml:space="preserve">July 30, 2024, in </w:t>
      </w:r>
      <w:r w:rsidRPr="00152966">
        <w:rPr>
          <w:rFonts w:ascii="Times New Roman" w:hAnsi="Times New Roman"/>
          <w:sz w:val="24"/>
          <w:szCs w:val="24"/>
          <w:u w:val="single"/>
        </w:rPr>
        <w:t>Thomas F. Dunigan, II v. State of Indiana</w:t>
      </w:r>
      <w:r>
        <w:rPr>
          <w:rFonts w:ascii="Times New Roman" w:hAnsi="Times New Roman"/>
          <w:sz w:val="24"/>
          <w:szCs w:val="24"/>
        </w:rPr>
        <w:t>, the Indiana Court of Appeals held (5 to 0) that expert witness testimony was properly admitted, based on peer reviewed articles he read about taking at least 20 minutes for a lit cigarette left on bed to cause ignition.   Defendant was sentenced to 12 years after jury convicted him of arson; trial court did not abuse its discretion “</w:t>
      </w:r>
      <w:r w:rsidRPr="00371817">
        <w:rPr>
          <w:rFonts w:ascii="Times New Roman" w:hAnsi="Times New Roman"/>
          <w:sz w:val="24"/>
          <w:szCs w:val="24"/>
        </w:rPr>
        <w:t>when it permitted an expert witness to testify that the fire in his motel room was intentionally caused by a direct flame source and not accidentally caused by a smoldering marijuana cigarette.</w:t>
      </w:r>
      <w:r>
        <w:rPr>
          <w:rFonts w:ascii="Times New Roman" w:hAnsi="Times New Roman"/>
          <w:sz w:val="24"/>
          <w:szCs w:val="24"/>
        </w:rPr>
        <w:t xml:space="preserve">” </w:t>
      </w:r>
      <w:hyperlink r:id="rId139" w:history="1">
        <w:r w:rsidRPr="00D65D84">
          <w:rPr>
            <w:rStyle w:val="Hyperlink"/>
            <w:rFonts w:ascii="Times New Roman" w:hAnsi="Times New Roman"/>
            <w:sz w:val="24"/>
            <w:szCs w:val="24"/>
          </w:rPr>
          <w:t>https://caselaw.findlaw.com/court/in-court-of-appeals/116435959.html</w:t>
        </w:r>
      </w:hyperlink>
      <w:r>
        <w:rPr>
          <w:rFonts w:ascii="Times New Roman" w:hAnsi="Times New Roman"/>
          <w:sz w:val="24"/>
          <w:szCs w:val="24"/>
        </w:rPr>
        <w:t xml:space="preserve"> </w:t>
      </w:r>
    </w:p>
    <w:p w14:paraId="3A29A8F3" w14:textId="77777777" w:rsidR="00FB79CF" w:rsidRDefault="00FB79CF" w:rsidP="00FB79CF">
      <w:pPr>
        <w:rPr>
          <w:rFonts w:ascii="Times New Roman" w:hAnsi="Times New Roman"/>
          <w:sz w:val="24"/>
          <w:szCs w:val="24"/>
        </w:rPr>
      </w:pPr>
      <w:r>
        <w:rPr>
          <w:rFonts w:ascii="Times New Roman" w:hAnsi="Times New Roman"/>
          <w:sz w:val="24"/>
          <w:szCs w:val="24"/>
        </w:rPr>
        <w:t>THE COURT HELD:</w:t>
      </w:r>
    </w:p>
    <w:p w14:paraId="6B434AC4" w14:textId="77777777" w:rsidR="00FB79CF" w:rsidRDefault="00FB79CF" w:rsidP="00FB79CF">
      <w:pPr>
        <w:ind w:left="720"/>
        <w:rPr>
          <w:rFonts w:ascii="Times New Roman" w:hAnsi="Times New Roman"/>
          <w:sz w:val="24"/>
          <w:szCs w:val="24"/>
        </w:rPr>
      </w:pPr>
      <w:r w:rsidRPr="00744265">
        <w:rPr>
          <w:rFonts w:ascii="Times New Roman" w:hAnsi="Times New Roman"/>
          <w:sz w:val="24"/>
          <w:szCs w:val="24"/>
        </w:rPr>
        <w:t>“Under Evidence Rule 702(b), the trial court had discretion to conclude that Malon's reliance on those articles and studies was sufficient to show that his opinion was supported by reliable scientific principles.</w:t>
      </w:r>
    </w:p>
    <w:p w14:paraId="0F982EE7" w14:textId="77777777" w:rsidR="00FB79CF" w:rsidRDefault="00FB79CF" w:rsidP="00FB79CF">
      <w:pPr>
        <w:ind w:left="720"/>
        <w:rPr>
          <w:rFonts w:ascii="Times New Roman" w:hAnsi="Times New Roman"/>
          <w:sz w:val="24"/>
          <w:szCs w:val="24"/>
        </w:rPr>
      </w:pPr>
      <w:r>
        <w:rPr>
          <w:rFonts w:ascii="Times New Roman" w:hAnsi="Times New Roman"/>
          <w:sz w:val="24"/>
          <w:szCs w:val="24"/>
        </w:rPr>
        <w:t>***</w:t>
      </w:r>
    </w:p>
    <w:p w14:paraId="5C4C0465" w14:textId="77777777" w:rsidR="00FB79CF" w:rsidRDefault="00FB79CF" w:rsidP="00FB79CF">
      <w:pPr>
        <w:ind w:left="720"/>
        <w:rPr>
          <w:rFonts w:ascii="Times New Roman" w:hAnsi="Times New Roman"/>
          <w:sz w:val="24"/>
          <w:szCs w:val="24"/>
        </w:rPr>
      </w:pPr>
      <w:r w:rsidRPr="00FB7826">
        <w:rPr>
          <w:rFonts w:ascii="Times New Roman" w:hAnsi="Times New Roman"/>
          <w:sz w:val="24"/>
          <w:szCs w:val="24"/>
        </w:rPr>
        <w:lastRenderedPageBreak/>
        <w:t xml:space="preserve">Malon testified that, in concluding that the fire was intentionally set and not caused by a smoldering marijuana cigarette, he had relied on </w:t>
      </w:r>
      <w:r>
        <w:rPr>
          <w:rFonts w:ascii="Times New Roman" w:hAnsi="Times New Roman"/>
          <w:sz w:val="24"/>
          <w:szCs w:val="24"/>
        </w:rPr>
        <w:t>‘</w:t>
      </w:r>
      <w:r w:rsidRPr="00FB7826">
        <w:rPr>
          <w:rFonts w:ascii="Times New Roman" w:hAnsi="Times New Roman"/>
          <w:sz w:val="24"/>
          <w:szCs w:val="24"/>
        </w:rPr>
        <w:t>several peer[ ]reviewed articles and studies done through NIST[,] National ․ Association of Fire Investigators[, and] Underwriters Laboratory,</w:t>
      </w:r>
      <w:r>
        <w:rPr>
          <w:rFonts w:ascii="Times New Roman" w:hAnsi="Times New Roman"/>
          <w:sz w:val="24"/>
          <w:szCs w:val="24"/>
        </w:rPr>
        <w:t>’</w:t>
      </w:r>
      <w:r w:rsidRPr="00FB7826">
        <w:rPr>
          <w:rFonts w:ascii="Times New Roman" w:hAnsi="Times New Roman"/>
          <w:sz w:val="24"/>
          <w:szCs w:val="24"/>
        </w:rPr>
        <w:t xml:space="preserve"> including </w:t>
      </w:r>
      <w:r>
        <w:rPr>
          <w:rFonts w:ascii="Times New Roman" w:hAnsi="Times New Roman"/>
          <w:sz w:val="24"/>
          <w:szCs w:val="24"/>
        </w:rPr>
        <w:t>‘</w:t>
      </w:r>
      <w:r w:rsidRPr="00FB7826">
        <w:rPr>
          <w:rFonts w:ascii="Times New Roman" w:hAnsi="Times New Roman"/>
          <w:sz w:val="24"/>
          <w:szCs w:val="24"/>
        </w:rPr>
        <w:t>one study from 2014 done by the National Association of Fire Investigators</w:t>
      </w:r>
      <w:r>
        <w:rPr>
          <w:rFonts w:ascii="Times New Roman" w:hAnsi="Times New Roman"/>
          <w:sz w:val="24"/>
          <w:szCs w:val="24"/>
        </w:rPr>
        <w:t>’</w:t>
      </w:r>
      <w:r w:rsidRPr="00FB7826">
        <w:rPr>
          <w:rFonts w:ascii="Times New Roman" w:hAnsi="Times New Roman"/>
          <w:sz w:val="24"/>
          <w:szCs w:val="24"/>
        </w:rPr>
        <w:t xml:space="preserve"> specifically addressing </w:t>
      </w:r>
      <w:r>
        <w:rPr>
          <w:rFonts w:ascii="Times New Roman" w:hAnsi="Times New Roman"/>
          <w:sz w:val="24"/>
          <w:szCs w:val="24"/>
        </w:rPr>
        <w:t>‘</w:t>
      </w:r>
      <w:r w:rsidRPr="00FB7826">
        <w:rPr>
          <w:rFonts w:ascii="Times New Roman" w:hAnsi="Times New Roman"/>
          <w:sz w:val="24"/>
          <w:szCs w:val="24"/>
        </w:rPr>
        <w:t>the propensity for hand rolled marijuana cigarettes and tube rolled marijuana cigarettes to be self-extinguished.</w:t>
      </w:r>
      <w:r>
        <w:rPr>
          <w:rFonts w:ascii="Times New Roman" w:hAnsi="Times New Roman"/>
          <w:sz w:val="24"/>
          <w:szCs w:val="24"/>
        </w:rPr>
        <w:t xml:space="preserve">’… </w:t>
      </w:r>
      <w:r w:rsidRPr="00FB7826">
        <w:rPr>
          <w:rFonts w:ascii="Times New Roman" w:hAnsi="Times New Roman"/>
          <w:sz w:val="24"/>
          <w:szCs w:val="24"/>
        </w:rPr>
        <w:t xml:space="preserve"> Tr. Under Evidence Rule 702(b), the trial court had discretion to conclude that Malon's reliance on those articles and studies was sufficient to show that his opinion was supported by reliable scientific principles. </w:t>
      </w:r>
    </w:p>
    <w:p w14:paraId="6B518489" w14:textId="77777777" w:rsidR="00FB79CF" w:rsidRDefault="00FB79CF" w:rsidP="00FB79CF">
      <w:pPr>
        <w:ind w:left="720"/>
        <w:rPr>
          <w:rFonts w:ascii="Times New Roman" w:hAnsi="Times New Roman"/>
          <w:sz w:val="24"/>
          <w:szCs w:val="24"/>
        </w:rPr>
      </w:pPr>
      <w:r>
        <w:rPr>
          <w:rFonts w:ascii="Times New Roman" w:hAnsi="Times New Roman"/>
          <w:sz w:val="24"/>
          <w:szCs w:val="24"/>
        </w:rPr>
        <w:t>[He testified.]</w:t>
      </w:r>
    </w:p>
    <w:p w14:paraId="3156608D" w14:textId="77777777" w:rsidR="00FB79CF" w:rsidRPr="005260B5" w:rsidRDefault="00FB79CF" w:rsidP="00FB79CF">
      <w:pPr>
        <w:ind w:left="1440"/>
        <w:rPr>
          <w:rFonts w:ascii="Times New Roman" w:hAnsi="Times New Roman"/>
          <w:sz w:val="24"/>
          <w:szCs w:val="24"/>
        </w:rPr>
      </w:pPr>
      <w:r>
        <w:rPr>
          <w:rFonts w:ascii="Times New Roman" w:hAnsi="Times New Roman"/>
          <w:sz w:val="24"/>
          <w:szCs w:val="24"/>
        </w:rPr>
        <w:t>[S]</w:t>
      </w:r>
      <w:proofErr w:type="spellStart"/>
      <w:r w:rsidRPr="00265615">
        <w:rPr>
          <w:rFonts w:ascii="Times New Roman" w:hAnsi="Times New Roman"/>
          <w:sz w:val="24"/>
          <w:szCs w:val="24"/>
        </w:rPr>
        <w:t>tudies</w:t>
      </w:r>
      <w:proofErr w:type="spellEnd"/>
      <w:r w:rsidRPr="00265615">
        <w:rPr>
          <w:rFonts w:ascii="Times New Roman" w:hAnsi="Times New Roman"/>
          <w:sz w:val="24"/>
          <w:szCs w:val="24"/>
        </w:rPr>
        <w:t xml:space="preserve"> on smoldering fires indicate that the transition from a smoldering fire to an exothermic chemical reaction, which is where we see flaming fire, is twenty (20) minutes to several hours. Um, there was one </w:t>
      </w:r>
      <w:proofErr w:type="gramStart"/>
      <w:r w:rsidRPr="00265615">
        <w:rPr>
          <w:rFonts w:ascii="Times New Roman" w:hAnsi="Times New Roman"/>
          <w:sz w:val="24"/>
          <w:szCs w:val="24"/>
        </w:rPr>
        <w:t>particular peer</w:t>
      </w:r>
      <w:proofErr w:type="gramEnd"/>
      <w:r w:rsidRPr="00265615">
        <w:rPr>
          <w:rFonts w:ascii="Times New Roman" w:hAnsi="Times New Roman"/>
          <w:sz w:val="24"/>
          <w:szCs w:val="24"/>
        </w:rPr>
        <w:t xml:space="preserve"> reviewed article that stated twenty-two (22) minutes on average. But, um, according to other research, smoldering fire, making that transition is twenty (20) minutes to several hours.</w:t>
      </w:r>
      <w:r>
        <w:rPr>
          <w:rFonts w:ascii="Times New Roman" w:hAnsi="Times New Roman"/>
          <w:sz w:val="24"/>
          <w:szCs w:val="24"/>
        </w:rPr>
        <w:t>”</w:t>
      </w:r>
    </w:p>
    <w:p w14:paraId="72AC7CCC" w14:textId="27B58085" w:rsidR="00C32834" w:rsidRDefault="00C32834" w:rsidP="00C32834">
      <w:pPr>
        <w:rPr>
          <w:rFonts w:ascii="Times New Roman" w:hAnsi="Times New Roman"/>
          <w:b/>
          <w:bCs/>
          <w:sz w:val="24"/>
          <w:szCs w:val="24"/>
        </w:rPr>
      </w:pPr>
      <w:r w:rsidRPr="00FB7826">
        <w:rPr>
          <w:rFonts w:ascii="Times New Roman" w:hAnsi="Times New Roman"/>
          <w:b/>
          <w:bCs/>
          <w:sz w:val="24"/>
          <w:szCs w:val="24"/>
        </w:rPr>
        <w:t xml:space="preserve">Legal Lesson Learned: </w:t>
      </w:r>
      <w:r w:rsidR="00DA5BB7">
        <w:rPr>
          <w:rFonts w:ascii="Times New Roman" w:hAnsi="Times New Roman"/>
          <w:b/>
          <w:bCs/>
          <w:sz w:val="24"/>
          <w:szCs w:val="24"/>
        </w:rPr>
        <w:t>Expert</w:t>
      </w:r>
      <w:r w:rsidR="00C93B37">
        <w:rPr>
          <w:rFonts w:ascii="Times New Roman" w:hAnsi="Times New Roman"/>
          <w:b/>
          <w:bCs/>
          <w:sz w:val="24"/>
          <w:szCs w:val="24"/>
        </w:rPr>
        <w:t xml:space="preserve"> may offer opinion on cause of fire</w:t>
      </w:r>
      <w:r w:rsidR="003A0275">
        <w:rPr>
          <w:rFonts w:ascii="Times New Roman" w:hAnsi="Times New Roman"/>
          <w:b/>
          <w:bCs/>
          <w:sz w:val="24"/>
          <w:szCs w:val="24"/>
        </w:rPr>
        <w:t>.</w:t>
      </w:r>
      <w:r>
        <w:rPr>
          <w:rFonts w:ascii="Times New Roman" w:hAnsi="Times New Roman"/>
          <w:b/>
          <w:bCs/>
          <w:sz w:val="24"/>
          <w:szCs w:val="24"/>
        </w:rPr>
        <w:t xml:space="preserve"> </w:t>
      </w:r>
    </w:p>
    <w:p w14:paraId="5E3CA175" w14:textId="77777777" w:rsidR="00C32834" w:rsidRPr="002D4090" w:rsidRDefault="00C32834" w:rsidP="00C32834">
      <w:pPr>
        <w:rPr>
          <w:rFonts w:ascii="Times New Roman" w:hAnsi="Times New Roman"/>
          <w:sz w:val="24"/>
          <w:szCs w:val="24"/>
        </w:rPr>
      </w:pPr>
      <w:r w:rsidRPr="002D4090">
        <w:rPr>
          <w:rFonts w:ascii="Times New Roman" w:hAnsi="Times New Roman"/>
          <w:b/>
          <w:bCs/>
          <w:sz w:val="24"/>
          <w:szCs w:val="24"/>
        </w:rPr>
        <w:tab/>
      </w:r>
      <w:r w:rsidRPr="002D4090">
        <w:rPr>
          <w:rFonts w:ascii="Times New Roman" w:hAnsi="Times New Roman"/>
          <w:sz w:val="24"/>
          <w:szCs w:val="24"/>
        </w:rPr>
        <w:t>Note: Rule 702 provides:</w:t>
      </w:r>
    </w:p>
    <w:p w14:paraId="570AEF60" w14:textId="77777777" w:rsidR="00C32834" w:rsidRPr="002D4090" w:rsidRDefault="00C32834" w:rsidP="00C32834">
      <w:pPr>
        <w:ind w:left="720"/>
        <w:rPr>
          <w:rFonts w:ascii="Times New Roman" w:hAnsi="Times New Roman"/>
          <w:sz w:val="24"/>
          <w:szCs w:val="24"/>
        </w:rPr>
      </w:pPr>
      <w:r w:rsidRPr="002D4090">
        <w:rPr>
          <w:rFonts w:ascii="Times New Roman" w:hAnsi="Times New Roman"/>
          <w:sz w:val="24"/>
          <w:szCs w:val="24"/>
        </w:rPr>
        <w:t>A witness who is qualified as an expert by knowledge, skill, experience, training, or education may testify in the form of an opinion or otherwise if the proponent demonstrates to the court that it is more likely than not that:</w:t>
      </w:r>
    </w:p>
    <w:p w14:paraId="598E28F7" w14:textId="77777777" w:rsidR="00C32834" w:rsidRPr="002D4090" w:rsidRDefault="00C32834" w:rsidP="00C32834">
      <w:pPr>
        <w:ind w:left="720"/>
        <w:rPr>
          <w:rFonts w:ascii="Times New Roman" w:hAnsi="Times New Roman"/>
          <w:sz w:val="24"/>
          <w:szCs w:val="24"/>
        </w:rPr>
      </w:pPr>
      <w:r w:rsidRPr="002D4090">
        <w:rPr>
          <w:rFonts w:ascii="Times New Roman" w:hAnsi="Times New Roman"/>
          <w:b/>
          <w:bCs/>
          <w:sz w:val="24"/>
          <w:szCs w:val="24"/>
        </w:rPr>
        <w:t>(a)</w:t>
      </w:r>
      <w:r w:rsidRPr="002D4090">
        <w:rPr>
          <w:rFonts w:ascii="Times New Roman" w:hAnsi="Times New Roman"/>
          <w:sz w:val="24"/>
          <w:szCs w:val="24"/>
        </w:rPr>
        <w:t xml:space="preserve"> the expert’s scientific, technical, or other specialized knowledge will help the trier of fact to understand the evidence or to determine a fact in issue;</w:t>
      </w:r>
    </w:p>
    <w:p w14:paraId="3DC66592" w14:textId="77777777" w:rsidR="00C32834" w:rsidRPr="002D4090" w:rsidRDefault="00C32834" w:rsidP="00C32834">
      <w:pPr>
        <w:ind w:left="720"/>
        <w:rPr>
          <w:rFonts w:ascii="Times New Roman" w:hAnsi="Times New Roman"/>
          <w:sz w:val="24"/>
          <w:szCs w:val="24"/>
        </w:rPr>
      </w:pPr>
      <w:r w:rsidRPr="002D4090">
        <w:rPr>
          <w:rFonts w:ascii="Times New Roman" w:hAnsi="Times New Roman"/>
          <w:b/>
          <w:bCs/>
          <w:sz w:val="24"/>
          <w:szCs w:val="24"/>
        </w:rPr>
        <w:t>(b)</w:t>
      </w:r>
      <w:r w:rsidRPr="002D4090">
        <w:rPr>
          <w:rFonts w:ascii="Times New Roman" w:hAnsi="Times New Roman"/>
          <w:sz w:val="24"/>
          <w:szCs w:val="24"/>
        </w:rPr>
        <w:t xml:space="preserve"> the testimony is based on sufficient facts or data;</w:t>
      </w:r>
    </w:p>
    <w:p w14:paraId="7F3363B5" w14:textId="77777777" w:rsidR="00C32834" w:rsidRPr="002D4090" w:rsidRDefault="00C32834" w:rsidP="00C32834">
      <w:pPr>
        <w:ind w:firstLine="720"/>
        <w:rPr>
          <w:rFonts w:ascii="Times New Roman" w:hAnsi="Times New Roman"/>
          <w:sz w:val="24"/>
          <w:szCs w:val="24"/>
        </w:rPr>
      </w:pPr>
      <w:r w:rsidRPr="002D4090">
        <w:rPr>
          <w:rFonts w:ascii="Times New Roman" w:hAnsi="Times New Roman"/>
          <w:b/>
          <w:bCs/>
          <w:sz w:val="24"/>
          <w:szCs w:val="24"/>
        </w:rPr>
        <w:t>(c)</w:t>
      </w:r>
      <w:r w:rsidRPr="002D4090">
        <w:rPr>
          <w:rFonts w:ascii="Times New Roman" w:hAnsi="Times New Roman"/>
          <w:sz w:val="24"/>
          <w:szCs w:val="24"/>
        </w:rPr>
        <w:t xml:space="preserve"> the testimony is the product of reliable principles and methods; and</w:t>
      </w:r>
    </w:p>
    <w:p w14:paraId="71851681" w14:textId="77777777" w:rsidR="00C32834" w:rsidRPr="002D4090" w:rsidRDefault="00C32834" w:rsidP="00C32834">
      <w:pPr>
        <w:ind w:left="720"/>
        <w:rPr>
          <w:rFonts w:ascii="Times New Roman" w:hAnsi="Times New Roman"/>
          <w:sz w:val="24"/>
          <w:szCs w:val="24"/>
        </w:rPr>
      </w:pPr>
      <w:r w:rsidRPr="002D4090">
        <w:rPr>
          <w:rFonts w:ascii="Times New Roman" w:hAnsi="Times New Roman"/>
          <w:b/>
          <w:bCs/>
          <w:sz w:val="24"/>
          <w:szCs w:val="24"/>
        </w:rPr>
        <w:t>(d)</w:t>
      </w:r>
      <w:r w:rsidRPr="002D4090">
        <w:rPr>
          <w:rFonts w:ascii="Times New Roman" w:hAnsi="Times New Roman"/>
          <w:sz w:val="24"/>
          <w:szCs w:val="24"/>
        </w:rPr>
        <w:t xml:space="preserve"> the expert's opinion reflects a reliable application of the principles and methods to the facts of the case. </w:t>
      </w:r>
      <w:hyperlink r:id="rId140" w:history="1">
        <w:r w:rsidRPr="002D4090">
          <w:rPr>
            <w:rStyle w:val="Hyperlink"/>
            <w:rFonts w:ascii="Times New Roman" w:hAnsi="Times New Roman"/>
            <w:sz w:val="24"/>
            <w:szCs w:val="24"/>
          </w:rPr>
          <w:t>https://www.law.cornell.edu/rules/fre/rule_702</w:t>
        </w:r>
      </w:hyperlink>
      <w:r w:rsidRPr="002D4090">
        <w:rPr>
          <w:rFonts w:ascii="Times New Roman" w:hAnsi="Times New Roman"/>
          <w:sz w:val="24"/>
          <w:szCs w:val="24"/>
        </w:rPr>
        <w:t xml:space="preserve"> </w:t>
      </w:r>
    </w:p>
    <w:p w14:paraId="6E42A8BE" w14:textId="77777777" w:rsidR="00FB79CF" w:rsidRDefault="00FB79CF" w:rsidP="00B86628">
      <w:pPr>
        <w:pStyle w:val="NoSpacing"/>
        <w:rPr>
          <w:rFonts w:ascii="Arial Black" w:hAnsi="Arial Black"/>
          <w:sz w:val="24"/>
          <w:szCs w:val="24"/>
        </w:rPr>
      </w:pPr>
    </w:p>
    <w:p w14:paraId="28782CDC" w14:textId="62DF6EE9" w:rsidR="00316842" w:rsidRDefault="005178A4" w:rsidP="00B86628">
      <w:pPr>
        <w:pStyle w:val="NoSpacing"/>
        <w:rPr>
          <w:rFonts w:ascii="Arial Black" w:hAnsi="Arial Black"/>
          <w:sz w:val="24"/>
          <w:szCs w:val="24"/>
        </w:rPr>
      </w:pPr>
      <w:r>
        <w:rPr>
          <w:rFonts w:ascii="Arial Black" w:hAnsi="Arial Black"/>
          <w:sz w:val="24"/>
          <w:szCs w:val="24"/>
        </w:rPr>
        <w:t>1-151</w:t>
      </w:r>
    </w:p>
    <w:p w14:paraId="7D33C8D1" w14:textId="77777777" w:rsidR="005178A4" w:rsidRPr="00600BA8" w:rsidRDefault="005178A4" w:rsidP="005178A4">
      <w:pPr>
        <w:rPr>
          <w:rFonts w:ascii="Arial Black" w:hAnsi="Arial Black"/>
          <w:sz w:val="28"/>
        </w:rPr>
      </w:pPr>
      <w:r>
        <w:rPr>
          <w:rFonts w:ascii="Arial Black" w:hAnsi="Arial Black"/>
          <w:sz w:val="28"/>
        </w:rPr>
        <w:t xml:space="preserve">TN: FIREWORKS – CITY MGR / FIRE CHIEF - CANCELLED DUE TO P’s LAWSUIT – FRIVOLOUS CASES - Ps ATTY PAY $19,739 </w:t>
      </w:r>
    </w:p>
    <w:p w14:paraId="46AC0691" w14:textId="77777777" w:rsidR="005178A4" w:rsidRPr="005178A4" w:rsidRDefault="005178A4" w:rsidP="005178A4">
      <w:pPr>
        <w:pStyle w:val="NoSpacing"/>
        <w:rPr>
          <w:rFonts w:ascii="Times New Roman" w:hAnsi="Times New Roman"/>
          <w:sz w:val="24"/>
          <w:szCs w:val="24"/>
        </w:rPr>
      </w:pPr>
      <w:r w:rsidRPr="005178A4">
        <w:rPr>
          <w:rFonts w:ascii="Times New Roman" w:hAnsi="Times New Roman"/>
          <w:sz w:val="24"/>
          <w:szCs w:val="24"/>
        </w:rPr>
        <w:t xml:space="preserve">On July 25, 2024, in </w:t>
      </w:r>
      <w:r w:rsidRPr="005178A4">
        <w:rPr>
          <w:rFonts w:ascii="Times New Roman" w:hAnsi="Times New Roman"/>
          <w:sz w:val="24"/>
          <w:szCs w:val="24"/>
          <w:u w:val="single"/>
        </w:rPr>
        <w:t>Glenn Whiting v. City of Athens, Tennessee, et al.</w:t>
      </w:r>
      <w:r w:rsidRPr="005178A4">
        <w:rPr>
          <w:rFonts w:ascii="Times New Roman" w:hAnsi="Times New Roman"/>
          <w:sz w:val="24"/>
          <w:szCs w:val="24"/>
        </w:rPr>
        <w:t>, the U.S. Court of Appeals for the 6</w:t>
      </w:r>
      <w:r w:rsidRPr="005178A4">
        <w:rPr>
          <w:rFonts w:ascii="Times New Roman" w:hAnsi="Times New Roman"/>
          <w:sz w:val="24"/>
          <w:szCs w:val="24"/>
          <w:vertAlign w:val="superscript"/>
        </w:rPr>
        <w:t>th</w:t>
      </w:r>
      <w:r w:rsidRPr="005178A4">
        <w:rPr>
          <w:rFonts w:ascii="Times New Roman" w:hAnsi="Times New Roman"/>
          <w:sz w:val="24"/>
          <w:szCs w:val="24"/>
        </w:rPr>
        <w:t xml:space="preserve"> Circuit (Cincinnati) held (3 to 0; unpublished decision) that U.S. District Court properly granted the defense motion to dismiss the three lawsuits filed by resident.  The 6</w:t>
      </w:r>
      <w:r w:rsidRPr="005178A4">
        <w:rPr>
          <w:rFonts w:ascii="Times New Roman" w:hAnsi="Times New Roman"/>
          <w:sz w:val="24"/>
          <w:szCs w:val="24"/>
          <w:vertAlign w:val="superscript"/>
        </w:rPr>
        <w:t>th</w:t>
      </w:r>
      <w:r w:rsidRPr="005178A4">
        <w:rPr>
          <w:rFonts w:ascii="Times New Roman" w:hAnsi="Times New Roman"/>
          <w:sz w:val="24"/>
          <w:szCs w:val="24"/>
        </w:rPr>
        <w:t xml:space="preserve"> Circuit wrote: “The district court correctly determined that Keith’s conduct was not sufficiently severe to support Whiting’s retaliation claim. Whiting alleged that Keith informed local news organizations that Whiting’s lawsuit related to the fireworks show was the reason that the 2023 display was canceled. We have repeatedly held that statements made regarding publicly available information do not constitute adverse actions.”  </w:t>
      </w:r>
      <w:hyperlink r:id="rId141" w:history="1">
        <w:r w:rsidRPr="005178A4">
          <w:rPr>
            <w:rStyle w:val="Hyperlink"/>
            <w:rFonts w:ascii="Times New Roman" w:hAnsi="Times New Roman"/>
            <w:sz w:val="24"/>
            <w:szCs w:val="24"/>
          </w:rPr>
          <w:t>https://www.opn.ca6.uscourts.gov/opinions.pdf/24a0323n-06.pdf</w:t>
        </w:r>
      </w:hyperlink>
      <w:r w:rsidRPr="005178A4">
        <w:rPr>
          <w:rFonts w:ascii="Times New Roman" w:hAnsi="Times New Roman"/>
          <w:sz w:val="24"/>
          <w:szCs w:val="24"/>
        </w:rPr>
        <w:t xml:space="preserve"> </w:t>
      </w:r>
    </w:p>
    <w:p w14:paraId="5084C044" w14:textId="77777777" w:rsidR="005178A4" w:rsidRPr="005178A4" w:rsidRDefault="005178A4" w:rsidP="005178A4">
      <w:pPr>
        <w:pStyle w:val="NoSpacing"/>
        <w:rPr>
          <w:rFonts w:ascii="Times New Roman" w:hAnsi="Times New Roman"/>
          <w:sz w:val="24"/>
          <w:szCs w:val="24"/>
        </w:rPr>
      </w:pPr>
    </w:p>
    <w:p w14:paraId="0FD0D782" w14:textId="77777777" w:rsidR="005178A4" w:rsidRPr="005178A4" w:rsidRDefault="005178A4" w:rsidP="005178A4">
      <w:pPr>
        <w:pStyle w:val="NoSpacing"/>
        <w:ind w:left="720"/>
        <w:rPr>
          <w:rFonts w:ascii="Times New Roman" w:hAnsi="Times New Roman"/>
          <w:sz w:val="24"/>
          <w:szCs w:val="24"/>
        </w:rPr>
      </w:pPr>
      <w:r w:rsidRPr="005178A4">
        <w:rPr>
          <w:rFonts w:ascii="Times New Roman" w:hAnsi="Times New Roman"/>
          <w:sz w:val="24"/>
          <w:szCs w:val="24"/>
        </w:rPr>
        <w:lastRenderedPageBreak/>
        <w:t>On  September 24, 2024, the U.S. District Court judge in Knoxville then granted City’s motion for attorney fees and ordered resident’s attorney to personally pay $19,739.80 for filing frivolous lawsuits.  The Court wrote: “According to Plaintiff, ABC obtained this information on May 18, 2023, from Defendant Mike Keith, who served as interim City Manager at the time. (Id. at 1, 3–4.) Before speaking with ABC, Keith had met with Defendant Brandon Ainsworth, then the City Fire Chief, who allegedly ‘informed Keith that he did not want to . . . order [City] firefighters to provided [sic</w:t>
      </w:r>
      <w:proofErr w:type="gramStart"/>
      <w:r w:rsidRPr="005178A4">
        <w:rPr>
          <w:rFonts w:ascii="Times New Roman" w:hAnsi="Times New Roman"/>
          <w:sz w:val="24"/>
          <w:szCs w:val="24"/>
        </w:rPr>
        <w:t>] emergency</w:t>
      </w:r>
      <w:proofErr w:type="gramEnd"/>
      <w:r w:rsidRPr="005178A4">
        <w:rPr>
          <w:rFonts w:ascii="Times New Roman" w:hAnsi="Times New Roman"/>
          <w:sz w:val="24"/>
          <w:szCs w:val="24"/>
        </w:rPr>
        <w:t xml:space="preserve"> protection at the 2023 Independence Day event. (Id. at 2, 4.) Plaintiff’s suit over the Event included City firefighters as defendants.” </w:t>
      </w:r>
      <w:hyperlink r:id="rId142" w:history="1">
        <w:r w:rsidRPr="005178A4">
          <w:rPr>
            <w:rStyle w:val="Hyperlink"/>
            <w:rFonts w:ascii="Times New Roman" w:hAnsi="Times New Roman"/>
            <w:sz w:val="24"/>
            <w:szCs w:val="24"/>
          </w:rPr>
          <w:t>https://cases.justia.com/federal/district-courts/tennessee/tnedce/3:2023cv00220/110152/57/0.pdf?ts=1727268755</w:t>
        </w:r>
      </w:hyperlink>
    </w:p>
    <w:p w14:paraId="59E851CB" w14:textId="77777777" w:rsidR="005178A4" w:rsidRPr="005178A4" w:rsidRDefault="005178A4" w:rsidP="005178A4">
      <w:pPr>
        <w:pStyle w:val="NoSpacing"/>
        <w:rPr>
          <w:rFonts w:ascii="Times New Roman" w:hAnsi="Times New Roman"/>
          <w:sz w:val="24"/>
          <w:szCs w:val="24"/>
        </w:rPr>
      </w:pPr>
    </w:p>
    <w:p w14:paraId="4096C218" w14:textId="77777777" w:rsidR="005178A4" w:rsidRPr="005178A4" w:rsidRDefault="005178A4" w:rsidP="005178A4">
      <w:pPr>
        <w:pStyle w:val="NoSpacing"/>
        <w:rPr>
          <w:rFonts w:ascii="Times New Roman" w:hAnsi="Times New Roman"/>
          <w:sz w:val="24"/>
          <w:szCs w:val="24"/>
        </w:rPr>
      </w:pPr>
    </w:p>
    <w:p w14:paraId="72A0FB64" w14:textId="77777777" w:rsidR="005178A4" w:rsidRPr="005178A4" w:rsidRDefault="005178A4" w:rsidP="005178A4">
      <w:pPr>
        <w:pStyle w:val="NoSpacing"/>
        <w:rPr>
          <w:rFonts w:ascii="Times New Roman" w:hAnsi="Times New Roman"/>
          <w:sz w:val="24"/>
          <w:szCs w:val="24"/>
        </w:rPr>
      </w:pPr>
      <w:r w:rsidRPr="005178A4">
        <w:rPr>
          <w:rFonts w:ascii="Times New Roman" w:hAnsi="Times New Roman"/>
          <w:sz w:val="24"/>
          <w:szCs w:val="24"/>
        </w:rPr>
        <w:t>THE 6</w:t>
      </w:r>
      <w:r w:rsidRPr="005178A4">
        <w:rPr>
          <w:rFonts w:ascii="Times New Roman" w:hAnsi="Times New Roman"/>
          <w:sz w:val="24"/>
          <w:szCs w:val="24"/>
          <w:vertAlign w:val="superscript"/>
        </w:rPr>
        <w:t>th</w:t>
      </w:r>
      <w:r w:rsidRPr="005178A4">
        <w:rPr>
          <w:rFonts w:ascii="Times New Roman" w:hAnsi="Times New Roman"/>
          <w:sz w:val="24"/>
          <w:szCs w:val="24"/>
        </w:rPr>
        <w:t xml:space="preserve"> CIRCUIT HELD:</w:t>
      </w:r>
    </w:p>
    <w:p w14:paraId="24D92204" w14:textId="77777777" w:rsidR="005178A4" w:rsidRPr="005178A4" w:rsidRDefault="005178A4" w:rsidP="005178A4">
      <w:pPr>
        <w:pStyle w:val="NoSpacing"/>
        <w:rPr>
          <w:rFonts w:ascii="Times New Roman" w:hAnsi="Times New Roman"/>
          <w:sz w:val="24"/>
          <w:szCs w:val="24"/>
        </w:rPr>
      </w:pPr>
    </w:p>
    <w:p w14:paraId="38FAC281" w14:textId="77777777" w:rsidR="005178A4" w:rsidRPr="005178A4" w:rsidRDefault="005178A4" w:rsidP="005178A4">
      <w:pPr>
        <w:pStyle w:val="NoSpacing"/>
        <w:ind w:firstLine="720"/>
        <w:rPr>
          <w:rFonts w:ascii="Times New Roman" w:hAnsi="Times New Roman"/>
          <w:sz w:val="24"/>
          <w:szCs w:val="24"/>
        </w:rPr>
      </w:pPr>
      <w:r w:rsidRPr="005178A4">
        <w:rPr>
          <w:rFonts w:ascii="Times New Roman" w:hAnsi="Times New Roman"/>
          <w:sz w:val="24"/>
          <w:szCs w:val="24"/>
        </w:rPr>
        <w:t>“The allegations in this case are based on events occurring several months after Whiting</w:t>
      </w:r>
    </w:p>
    <w:p w14:paraId="07049A8B" w14:textId="77777777" w:rsidR="005178A4" w:rsidRPr="005178A4" w:rsidRDefault="005178A4" w:rsidP="005178A4">
      <w:pPr>
        <w:pStyle w:val="NoSpacing"/>
        <w:ind w:left="720"/>
        <w:rPr>
          <w:rFonts w:ascii="Times New Roman" w:hAnsi="Times New Roman"/>
          <w:sz w:val="24"/>
          <w:szCs w:val="24"/>
        </w:rPr>
      </w:pPr>
      <w:r w:rsidRPr="005178A4">
        <w:rPr>
          <w:rFonts w:ascii="Times New Roman" w:hAnsi="Times New Roman"/>
          <w:sz w:val="24"/>
          <w:szCs w:val="24"/>
        </w:rPr>
        <w:t xml:space="preserve">filed his initial lawsuit. In May 2023, local news organizations reported that the </w:t>
      </w:r>
      <w:proofErr w:type="gramStart"/>
      <w:r w:rsidRPr="005178A4">
        <w:rPr>
          <w:rFonts w:ascii="Times New Roman" w:hAnsi="Times New Roman"/>
          <w:sz w:val="24"/>
          <w:szCs w:val="24"/>
        </w:rPr>
        <w:t>City</w:t>
      </w:r>
      <w:proofErr w:type="gramEnd"/>
      <w:r w:rsidRPr="005178A4">
        <w:rPr>
          <w:rFonts w:ascii="Times New Roman" w:hAnsi="Times New Roman"/>
          <w:sz w:val="24"/>
          <w:szCs w:val="24"/>
        </w:rPr>
        <w:t xml:space="preserve"> planned to cancel its fireworks show because of ‘[a] man’s pending lawsuit against several city officials over what happened at last year’s event.’ Id., </w:t>
      </w:r>
      <w:proofErr w:type="spellStart"/>
      <w:r w:rsidRPr="005178A4">
        <w:rPr>
          <w:rFonts w:ascii="Times New Roman" w:hAnsi="Times New Roman"/>
          <w:sz w:val="24"/>
          <w:szCs w:val="24"/>
        </w:rPr>
        <w:t>PageID</w:t>
      </w:r>
      <w:proofErr w:type="spellEnd"/>
      <w:r w:rsidRPr="005178A4">
        <w:rPr>
          <w:rFonts w:ascii="Times New Roman" w:hAnsi="Times New Roman"/>
          <w:sz w:val="24"/>
          <w:szCs w:val="24"/>
        </w:rPr>
        <w:t xml:space="preserve"> 4. One news organization, ABC Channel 9, included a link to Whiting’s Complaint in the original action in its report. Keith was cited as the source of the information. After news of the litigation was publicized, Whiting claimed that members of the Athens community began pressuring him to drop the lawsuit. He claimed that he was contacted directly by </w:t>
      </w:r>
      <w:proofErr w:type="gramStart"/>
      <w:r w:rsidRPr="005178A4">
        <w:rPr>
          <w:rFonts w:ascii="Times New Roman" w:hAnsi="Times New Roman"/>
          <w:sz w:val="24"/>
          <w:szCs w:val="24"/>
        </w:rPr>
        <w:t>Athens</w:t>
      </w:r>
      <w:proofErr w:type="gramEnd"/>
      <w:r w:rsidRPr="005178A4">
        <w:rPr>
          <w:rFonts w:ascii="Times New Roman" w:hAnsi="Times New Roman"/>
          <w:sz w:val="24"/>
          <w:szCs w:val="24"/>
        </w:rPr>
        <w:t xml:space="preserve"> citizens and business owners, and that other community members posted on social media ‘blaming [him] for the cancellation and urging him to dismiss his cases.’ Id., </w:t>
      </w:r>
      <w:proofErr w:type="spellStart"/>
      <w:r w:rsidRPr="005178A4">
        <w:rPr>
          <w:rFonts w:ascii="Times New Roman" w:hAnsi="Times New Roman"/>
          <w:sz w:val="24"/>
          <w:szCs w:val="24"/>
        </w:rPr>
        <w:t>PageID</w:t>
      </w:r>
      <w:proofErr w:type="spellEnd"/>
      <w:r w:rsidRPr="005178A4">
        <w:rPr>
          <w:rFonts w:ascii="Times New Roman" w:hAnsi="Times New Roman"/>
          <w:sz w:val="24"/>
          <w:szCs w:val="24"/>
        </w:rPr>
        <w:t xml:space="preserve"> 4–5. He alleged that the public’s response to news of his lawsuits ‘impaired [his] reputation and standing in the community’ and caused him ‘personal humiliation.’ Id., </w:t>
      </w:r>
      <w:proofErr w:type="spellStart"/>
      <w:r w:rsidRPr="005178A4">
        <w:rPr>
          <w:rFonts w:ascii="Times New Roman" w:hAnsi="Times New Roman"/>
          <w:sz w:val="24"/>
          <w:szCs w:val="24"/>
        </w:rPr>
        <w:t>PageID</w:t>
      </w:r>
      <w:proofErr w:type="spellEnd"/>
      <w:r w:rsidRPr="005178A4">
        <w:rPr>
          <w:rFonts w:ascii="Times New Roman" w:hAnsi="Times New Roman"/>
          <w:sz w:val="24"/>
          <w:szCs w:val="24"/>
        </w:rPr>
        <w:t xml:space="preserve"> 19.</w:t>
      </w:r>
    </w:p>
    <w:p w14:paraId="56A98B81" w14:textId="77777777" w:rsidR="005178A4" w:rsidRPr="005178A4" w:rsidRDefault="005178A4" w:rsidP="005178A4">
      <w:pPr>
        <w:pStyle w:val="NoSpacing"/>
        <w:ind w:left="720"/>
        <w:rPr>
          <w:rFonts w:ascii="Times New Roman" w:hAnsi="Times New Roman"/>
          <w:sz w:val="24"/>
          <w:szCs w:val="24"/>
        </w:rPr>
      </w:pPr>
    </w:p>
    <w:p w14:paraId="4159B8DE" w14:textId="77777777" w:rsidR="005178A4" w:rsidRPr="005178A4" w:rsidRDefault="005178A4" w:rsidP="005178A4">
      <w:pPr>
        <w:pStyle w:val="NoSpacing"/>
        <w:ind w:left="720"/>
        <w:rPr>
          <w:rFonts w:ascii="Times New Roman" w:hAnsi="Times New Roman"/>
          <w:sz w:val="24"/>
          <w:szCs w:val="24"/>
        </w:rPr>
      </w:pPr>
      <w:r w:rsidRPr="005178A4">
        <w:rPr>
          <w:rFonts w:ascii="Times New Roman" w:hAnsi="Times New Roman"/>
          <w:sz w:val="24"/>
          <w:szCs w:val="24"/>
        </w:rPr>
        <w:t>***</w:t>
      </w:r>
    </w:p>
    <w:p w14:paraId="2A15F0CB" w14:textId="77777777" w:rsidR="005178A4" w:rsidRPr="005178A4" w:rsidRDefault="005178A4" w:rsidP="005178A4">
      <w:pPr>
        <w:pStyle w:val="NoSpacing"/>
        <w:ind w:left="720"/>
        <w:rPr>
          <w:rFonts w:ascii="Times New Roman" w:hAnsi="Times New Roman"/>
          <w:sz w:val="24"/>
          <w:szCs w:val="24"/>
        </w:rPr>
      </w:pPr>
    </w:p>
    <w:p w14:paraId="26C374EA" w14:textId="77777777" w:rsidR="005178A4" w:rsidRPr="005178A4" w:rsidRDefault="005178A4" w:rsidP="005178A4">
      <w:pPr>
        <w:pStyle w:val="NoSpacing"/>
        <w:ind w:left="720"/>
        <w:rPr>
          <w:rFonts w:ascii="Times New Roman" w:hAnsi="Times New Roman"/>
          <w:sz w:val="24"/>
          <w:szCs w:val="24"/>
        </w:rPr>
      </w:pPr>
      <w:r w:rsidRPr="005178A4">
        <w:rPr>
          <w:rFonts w:ascii="Times New Roman" w:hAnsi="Times New Roman"/>
          <w:sz w:val="24"/>
          <w:szCs w:val="24"/>
        </w:rPr>
        <w:t>Whiting filed a third lawsuit several weeks later (No. 3:23-CV-221), claiming that the City Mayor lied about settlement negotiations between Whiting and the City. The district court granted the defendants’ motion to dismiss all claims in Case No. 3:23-CV-221 in November 2023.</w:t>
      </w:r>
    </w:p>
    <w:p w14:paraId="3368EE54" w14:textId="77777777" w:rsidR="005178A4" w:rsidRPr="005178A4" w:rsidRDefault="005178A4" w:rsidP="005178A4">
      <w:pPr>
        <w:pStyle w:val="NoSpacing"/>
        <w:ind w:left="720"/>
        <w:rPr>
          <w:rFonts w:ascii="Times New Roman" w:hAnsi="Times New Roman"/>
          <w:sz w:val="24"/>
          <w:szCs w:val="24"/>
        </w:rPr>
      </w:pPr>
    </w:p>
    <w:p w14:paraId="5B8BE4A1" w14:textId="77777777" w:rsidR="005178A4" w:rsidRPr="005178A4" w:rsidRDefault="005178A4" w:rsidP="005178A4">
      <w:pPr>
        <w:pStyle w:val="NoSpacing"/>
        <w:ind w:left="720"/>
        <w:rPr>
          <w:rFonts w:ascii="Times New Roman" w:hAnsi="Times New Roman"/>
          <w:sz w:val="24"/>
          <w:szCs w:val="24"/>
        </w:rPr>
      </w:pPr>
      <w:r w:rsidRPr="005178A4">
        <w:rPr>
          <w:rFonts w:ascii="Times New Roman" w:hAnsi="Times New Roman"/>
          <w:sz w:val="24"/>
          <w:szCs w:val="24"/>
        </w:rPr>
        <w:t>***</w:t>
      </w:r>
    </w:p>
    <w:p w14:paraId="20CEE5B5" w14:textId="77777777" w:rsidR="005178A4" w:rsidRPr="005178A4" w:rsidRDefault="005178A4" w:rsidP="005178A4">
      <w:pPr>
        <w:pStyle w:val="NoSpacing"/>
        <w:rPr>
          <w:rFonts w:ascii="Times New Roman" w:hAnsi="Times New Roman"/>
          <w:sz w:val="24"/>
          <w:szCs w:val="24"/>
        </w:rPr>
      </w:pPr>
    </w:p>
    <w:p w14:paraId="3C4F15D7" w14:textId="77777777" w:rsidR="005178A4" w:rsidRPr="005178A4" w:rsidRDefault="005178A4" w:rsidP="005178A4">
      <w:pPr>
        <w:pStyle w:val="NoSpacing"/>
        <w:ind w:left="720"/>
        <w:rPr>
          <w:rFonts w:ascii="Times New Roman" w:hAnsi="Times New Roman"/>
          <w:sz w:val="24"/>
          <w:szCs w:val="24"/>
        </w:rPr>
      </w:pPr>
      <w:r w:rsidRPr="005178A4">
        <w:rPr>
          <w:rFonts w:ascii="Times New Roman" w:hAnsi="Times New Roman"/>
          <w:sz w:val="24"/>
          <w:szCs w:val="24"/>
        </w:rPr>
        <w:t>The court dismissed Whiting’s retaliation claim because he did not show that Keith’s statements to the media constituted an adverse action that would deter an average person from continuing to exercise his First Amendment rights.</w:t>
      </w:r>
    </w:p>
    <w:p w14:paraId="41059EB7" w14:textId="77777777" w:rsidR="005178A4" w:rsidRPr="005178A4" w:rsidRDefault="005178A4" w:rsidP="005178A4">
      <w:pPr>
        <w:pStyle w:val="NoSpacing"/>
        <w:ind w:left="720"/>
        <w:rPr>
          <w:rFonts w:ascii="Times New Roman" w:hAnsi="Times New Roman"/>
          <w:sz w:val="24"/>
          <w:szCs w:val="24"/>
        </w:rPr>
      </w:pPr>
    </w:p>
    <w:p w14:paraId="0FA6A282" w14:textId="77777777" w:rsidR="005178A4" w:rsidRPr="005178A4" w:rsidRDefault="005178A4" w:rsidP="005178A4">
      <w:pPr>
        <w:pStyle w:val="NoSpacing"/>
        <w:ind w:left="720"/>
        <w:rPr>
          <w:rFonts w:ascii="Times New Roman" w:hAnsi="Times New Roman"/>
          <w:sz w:val="24"/>
          <w:szCs w:val="24"/>
        </w:rPr>
      </w:pPr>
      <w:r w:rsidRPr="005178A4">
        <w:rPr>
          <w:rFonts w:ascii="Times New Roman" w:hAnsi="Times New Roman"/>
          <w:sz w:val="24"/>
          <w:szCs w:val="24"/>
        </w:rPr>
        <w:t>***</w:t>
      </w:r>
    </w:p>
    <w:p w14:paraId="06B50868" w14:textId="77777777" w:rsidR="005178A4" w:rsidRPr="005178A4" w:rsidRDefault="005178A4" w:rsidP="005178A4">
      <w:pPr>
        <w:pStyle w:val="NoSpacing"/>
        <w:rPr>
          <w:rFonts w:ascii="Times New Roman" w:hAnsi="Times New Roman"/>
          <w:sz w:val="24"/>
          <w:szCs w:val="24"/>
        </w:rPr>
      </w:pPr>
    </w:p>
    <w:p w14:paraId="6A103394" w14:textId="77777777" w:rsidR="005178A4" w:rsidRPr="005178A4" w:rsidRDefault="005178A4" w:rsidP="005178A4">
      <w:pPr>
        <w:pStyle w:val="NoSpacing"/>
        <w:ind w:firstLine="720"/>
        <w:rPr>
          <w:rFonts w:ascii="Times New Roman" w:hAnsi="Times New Roman"/>
          <w:sz w:val="24"/>
          <w:szCs w:val="24"/>
        </w:rPr>
      </w:pPr>
      <w:r w:rsidRPr="005178A4">
        <w:rPr>
          <w:rFonts w:ascii="Times New Roman" w:hAnsi="Times New Roman"/>
          <w:sz w:val="24"/>
          <w:szCs w:val="24"/>
        </w:rPr>
        <w:t>The district court correctly determined that Keith’s conduct was not sufficiently severe to</w:t>
      </w:r>
    </w:p>
    <w:p w14:paraId="0A979EA5" w14:textId="77777777" w:rsidR="005178A4" w:rsidRPr="005178A4" w:rsidRDefault="005178A4" w:rsidP="005178A4">
      <w:pPr>
        <w:pStyle w:val="NoSpacing"/>
        <w:ind w:left="720"/>
        <w:rPr>
          <w:rFonts w:ascii="Times New Roman" w:hAnsi="Times New Roman"/>
          <w:sz w:val="24"/>
          <w:szCs w:val="24"/>
        </w:rPr>
      </w:pPr>
      <w:r w:rsidRPr="005178A4">
        <w:rPr>
          <w:rFonts w:ascii="Times New Roman" w:hAnsi="Times New Roman"/>
          <w:sz w:val="24"/>
          <w:szCs w:val="24"/>
        </w:rPr>
        <w:t xml:space="preserve">support Whiting’s retaliation claim. Whiting alleged that Keith informed local news organizations that Whiting’s lawsuit related to the fireworks show was the reason that the 2023 display was canceled. We have repeatedly held that statements made regarding publicly available information do not constitute adverse actions. See, e.g., McComas v. Bd. of Educ., Rock Hill Loc. Sch. Dist., 422 F. </w:t>
      </w:r>
      <w:proofErr w:type="spellStart"/>
      <w:r w:rsidRPr="005178A4">
        <w:rPr>
          <w:rFonts w:ascii="Times New Roman" w:hAnsi="Times New Roman"/>
          <w:sz w:val="24"/>
          <w:szCs w:val="24"/>
        </w:rPr>
        <w:t>App’x</w:t>
      </w:r>
      <w:proofErr w:type="spellEnd"/>
      <w:r w:rsidRPr="005178A4">
        <w:rPr>
          <w:rFonts w:ascii="Times New Roman" w:hAnsi="Times New Roman"/>
          <w:sz w:val="24"/>
          <w:szCs w:val="24"/>
        </w:rPr>
        <w:t xml:space="preserve"> 462, 469 (6th Cir. 2011) (superintendent’s statement at School Board meeting regarding the plaintiff’s role in a fight at school was not an adverse action); </w:t>
      </w:r>
      <w:proofErr w:type="spellStart"/>
      <w:r w:rsidRPr="005178A4">
        <w:rPr>
          <w:rFonts w:ascii="Times New Roman" w:hAnsi="Times New Roman"/>
          <w:sz w:val="24"/>
          <w:szCs w:val="24"/>
        </w:rPr>
        <w:t>Mezibov</w:t>
      </w:r>
      <w:proofErr w:type="spellEnd"/>
      <w:r w:rsidRPr="005178A4">
        <w:rPr>
          <w:rFonts w:ascii="Times New Roman" w:hAnsi="Times New Roman"/>
          <w:sz w:val="24"/>
          <w:szCs w:val="24"/>
        </w:rPr>
        <w:t xml:space="preserve"> v. Allen, 411 F.3d 712, 722–23 (6th Cir. 2005) (prosecutor’s statements to local news media that the plaintiff “is a bad attorney, that he is inexperienced, and that he was putting his own interests before those of his client” are insufficiently adverse); Mattox v. City of Forest Park, 183 F.3d 515, 522–23 (6</w:t>
      </w:r>
      <w:r w:rsidRPr="005178A4">
        <w:rPr>
          <w:rFonts w:ascii="Times New Roman" w:hAnsi="Times New Roman"/>
          <w:sz w:val="24"/>
          <w:szCs w:val="24"/>
          <w:vertAlign w:val="superscript"/>
        </w:rPr>
        <w:t>th</w:t>
      </w:r>
      <w:r w:rsidRPr="005178A4">
        <w:rPr>
          <w:rFonts w:ascii="Times New Roman" w:hAnsi="Times New Roman"/>
          <w:sz w:val="24"/>
          <w:szCs w:val="24"/>
        </w:rPr>
        <w:t xml:space="preserve"> Cir. 1999) (publishing a report detailing plaintiffs’ efforts at investigating the City’s Fire Department, which included “revealing personal statements,” was not an adverse action).”</w:t>
      </w:r>
    </w:p>
    <w:p w14:paraId="3D3A35EE" w14:textId="77777777" w:rsidR="005178A4" w:rsidRDefault="005178A4" w:rsidP="00B86628">
      <w:pPr>
        <w:pStyle w:val="NoSpacing"/>
        <w:rPr>
          <w:rFonts w:ascii="Arial Black" w:hAnsi="Arial Black"/>
          <w:sz w:val="24"/>
          <w:szCs w:val="24"/>
        </w:rPr>
      </w:pPr>
    </w:p>
    <w:p w14:paraId="7C7947EF" w14:textId="77777777" w:rsidR="00A91BAB" w:rsidRPr="00502261" w:rsidRDefault="00A91BAB" w:rsidP="00A91BAB">
      <w:pPr>
        <w:pStyle w:val="NoSpacing"/>
        <w:rPr>
          <w:rFonts w:ascii="Times New Roman" w:hAnsi="Times New Roman"/>
          <w:b/>
          <w:bCs/>
          <w:sz w:val="24"/>
          <w:szCs w:val="24"/>
        </w:rPr>
      </w:pPr>
      <w:r w:rsidRPr="00502261">
        <w:rPr>
          <w:rFonts w:ascii="Times New Roman" w:hAnsi="Times New Roman"/>
          <w:b/>
          <w:bCs/>
          <w:sz w:val="24"/>
          <w:szCs w:val="24"/>
        </w:rPr>
        <w:t xml:space="preserve">Legal Lesson Learned: The City Manager can lawfully inform the Press why the fireworks were cancelled.  </w:t>
      </w:r>
    </w:p>
    <w:p w14:paraId="64FA96D5" w14:textId="77777777" w:rsidR="00A91BAB" w:rsidRPr="00502261" w:rsidRDefault="00A91BAB" w:rsidP="00B86628">
      <w:pPr>
        <w:pStyle w:val="NoSpacing"/>
        <w:rPr>
          <w:rFonts w:ascii="Times New Roman" w:hAnsi="Times New Roman"/>
          <w:sz w:val="24"/>
          <w:szCs w:val="24"/>
        </w:rPr>
      </w:pPr>
    </w:p>
    <w:p w14:paraId="1AD0E1D5" w14:textId="77777777" w:rsidR="00316842" w:rsidRDefault="00316842" w:rsidP="00B86628">
      <w:pPr>
        <w:pStyle w:val="NoSpacing"/>
        <w:rPr>
          <w:rFonts w:ascii="Arial Black" w:hAnsi="Arial Black"/>
          <w:sz w:val="24"/>
          <w:szCs w:val="24"/>
        </w:rPr>
      </w:pPr>
    </w:p>
    <w:p w14:paraId="2B2D8B97" w14:textId="77777777" w:rsidR="005178A4" w:rsidRDefault="005178A4" w:rsidP="00B86628">
      <w:pPr>
        <w:pStyle w:val="NoSpacing"/>
        <w:rPr>
          <w:rFonts w:ascii="Arial Black" w:hAnsi="Arial Black"/>
          <w:sz w:val="24"/>
          <w:szCs w:val="24"/>
        </w:rPr>
      </w:pPr>
    </w:p>
    <w:p w14:paraId="71664E6F" w14:textId="77777777" w:rsidR="005178A4" w:rsidRDefault="005178A4" w:rsidP="00B86628">
      <w:pPr>
        <w:pStyle w:val="NoSpacing"/>
        <w:rPr>
          <w:rFonts w:ascii="Arial Black" w:hAnsi="Arial Black"/>
          <w:sz w:val="24"/>
          <w:szCs w:val="24"/>
        </w:rPr>
      </w:pPr>
    </w:p>
    <w:p w14:paraId="1E4FFF6A" w14:textId="77777777" w:rsidR="005178A4" w:rsidRDefault="005178A4" w:rsidP="00B86628">
      <w:pPr>
        <w:pStyle w:val="NoSpacing"/>
        <w:rPr>
          <w:rFonts w:ascii="Arial Black" w:hAnsi="Arial Black"/>
          <w:sz w:val="24"/>
          <w:szCs w:val="24"/>
        </w:rPr>
      </w:pPr>
    </w:p>
    <w:p w14:paraId="22384F59" w14:textId="7CDBFB98" w:rsidR="004E46C8" w:rsidRDefault="004E46C8" w:rsidP="00B86628">
      <w:pPr>
        <w:pStyle w:val="NoSpacing"/>
        <w:rPr>
          <w:rFonts w:ascii="Arial Black" w:hAnsi="Arial Black"/>
          <w:sz w:val="24"/>
          <w:szCs w:val="24"/>
        </w:rPr>
      </w:pPr>
      <w:r>
        <w:rPr>
          <w:rFonts w:ascii="Arial Black" w:hAnsi="Arial Black"/>
          <w:sz w:val="24"/>
          <w:szCs w:val="24"/>
        </w:rPr>
        <w:t>1-150</w:t>
      </w:r>
    </w:p>
    <w:p w14:paraId="14D7BD6C" w14:textId="714010B3" w:rsidR="004E46C8" w:rsidRPr="00704A1E" w:rsidRDefault="004E46C8" w:rsidP="004E46C8">
      <w:pPr>
        <w:pStyle w:val="NormalWeb"/>
        <w:rPr>
          <w:rFonts w:ascii="Arial Black" w:hAnsi="Arial Black"/>
          <w:b/>
          <w:bCs/>
          <w:color w:val="454545"/>
          <w:sz w:val="28"/>
          <w:szCs w:val="28"/>
          <w:shd w:val="clear" w:color="auto" w:fill="FFFFFF"/>
        </w:rPr>
      </w:pPr>
      <w:r>
        <w:rPr>
          <w:rFonts w:ascii="Arial Black" w:hAnsi="Arial Black"/>
          <w:b/>
          <w:bCs/>
          <w:color w:val="454545"/>
          <w:sz w:val="28"/>
          <w:szCs w:val="28"/>
          <w:shd w:val="clear" w:color="auto" w:fill="FFFFFF"/>
        </w:rPr>
        <w:t>VT: PROPERTY OWNER - 3 RVs – HOMELESS LIV</w:t>
      </w:r>
      <w:r w:rsidR="003016F0">
        <w:rPr>
          <w:rFonts w:ascii="Arial Black" w:hAnsi="Arial Black"/>
          <w:b/>
          <w:bCs/>
          <w:color w:val="454545"/>
          <w:sz w:val="28"/>
          <w:szCs w:val="28"/>
          <w:shd w:val="clear" w:color="auto" w:fill="FFFFFF"/>
        </w:rPr>
        <w:t>ING</w:t>
      </w:r>
      <w:r>
        <w:rPr>
          <w:rFonts w:ascii="Arial Black" w:hAnsi="Arial Black"/>
          <w:b/>
          <w:bCs/>
          <w:color w:val="454545"/>
          <w:sz w:val="28"/>
          <w:szCs w:val="28"/>
          <w:shd w:val="clear" w:color="auto" w:fill="FFFFFF"/>
        </w:rPr>
        <w:t xml:space="preserve"> THERE – VIOLATION OF HEALTH AND SAFETY CODE</w:t>
      </w:r>
    </w:p>
    <w:p w14:paraId="338A839E" w14:textId="51B19CF7" w:rsidR="004E46C8" w:rsidRPr="008F6524" w:rsidRDefault="004E46C8" w:rsidP="004E46C8">
      <w:pPr>
        <w:pStyle w:val="NormalWeb"/>
        <w:rPr>
          <w:color w:val="454545"/>
          <w:shd w:val="clear" w:color="auto" w:fill="FFFFFF"/>
        </w:rPr>
      </w:pPr>
      <w:r w:rsidRPr="008F6524">
        <w:rPr>
          <w:shd w:val="clear" w:color="auto" w:fill="FFFFFF"/>
        </w:rPr>
        <w:t xml:space="preserve">On July 12, 2024, </w:t>
      </w:r>
      <w:proofErr w:type="gramStart"/>
      <w:r w:rsidRPr="008F6524">
        <w:rPr>
          <w:color w:val="454545"/>
          <w:u w:val="single"/>
          <w:shd w:val="clear" w:color="auto" w:fill="FFFFFF"/>
        </w:rPr>
        <w:t>In</w:t>
      </w:r>
      <w:proofErr w:type="gramEnd"/>
      <w:r w:rsidRPr="008F6524">
        <w:rPr>
          <w:color w:val="454545"/>
          <w:u w:val="single"/>
          <w:shd w:val="clear" w:color="auto" w:fill="FFFFFF"/>
        </w:rPr>
        <w:t xml:space="preserve"> re Kurt </w:t>
      </w:r>
      <w:proofErr w:type="spellStart"/>
      <w:r w:rsidRPr="008F6524">
        <w:rPr>
          <w:color w:val="454545"/>
          <w:u w:val="single"/>
          <w:shd w:val="clear" w:color="auto" w:fill="FFFFFF"/>
        </w:rPr>
        <w:t>Daims</w:t>
      </w:r>
      <w:proofErr w:type="spellEnd"/>
      <w:r w:rsidRPr="008F6524">
        <w:rPr>
          <w:color w:val="454545"/>
          <w:u w:val="single"/>
          <w:shd w:val="clear" w:color="auto" w:fill="FFFFFF"/>
        </w:rPr>
        <w:t>/Brattleboro Common Sense</w:t>
      </w:r>
      <w:r w:rsidRPr="008F6524">
        <w:rPr>
          <w:b/>
          <w:bCs/>
          <w:color w:val="454545"/>
          <w:shd w:val="clear" w:color="auto" w:fill="FFFFFF"/>
        </w:rPr>
        <w:t xml:space="preserve">, </w:t>
      </w:r>
      <w:r w:rsidRPr="008F6524">
        <w:rPr>
          <w:color w:val="454545"/>
          <w:shd w:val="clear" w:color="auto" w:fill="FFFFFF"/>
        </w:rPr>
        <w:t xml:space="preserve">they Vermont Supreme Court held (3 to 0) that ordinance was lawful and applied to RVs, rejecting the property owner’s argument that RVs are not “regular residents.” The property owner was given </w:t>
      </w:r>
      <w:r w:rsidR="00CE10E8" w:rsidRPr="008F6524">
        <w:rPr>
          <w:color w:val="454545"/>
          <w:shd w:val="clear" w:color="auto" w:fill="FFFFFF"/>
        </w:rPr>
        <w:t>two-day</w:t>
      </w:r>
      <w:r w:rsidRPr="008F6524">
        <w:rPr>
          <w:color w:val="454545"/>
          <w:shd w:val="clear" w:color="auto" w:fill="FFFFFF"/>
        </w:rPr>
        <w:t xml:space="preserve"> hearing before the Vermont Board of Health, which upheld the eight code citations.  The Vermont Supreme Court agreed that code applied to RVs. “</w:t>
      </w:r>
      <w:r w:rsidRPr="008F6524">
        <w:rPr>
          <w:shd w:val="clear" w:color="auto" w:fill="FFFFFF"/>
        </w:rPr>
        <w:t xml:space="preserve">We agree with the Board that the RVs should be considered regular residences and that appellants must comply with the code here. The RVs were offered to community members as living units.” </w:t>
      </w:r>
      <w:hyperlink r:id="rId143" w:history="1">
        <w:r w:rsidRPr="008F6524">
          <w:rPr>
            <w:rStyle w:val="Hyperlink"/>
            <w:shd w:val="clear" w:color="auto" w:fill="FFFFFF"/>
          </w:rPr>
          <w:t>https://casetext.com/case/in-re-daims</w:t>
        </w:r>
      </w:hyperlink>
      <w:r w:rsidRPr="008F6524">
        <w:rPr>
          <w:shd w:val="clear" w:color="auto" w:fill="FFFFFF"/>
        </w:rPr>
        <w:t xml:space="preserve"> </w:t>
      </w:r>
    </w:p>
    <w:p w14:paraId="63E824C1" w14:textId="77777777" w:rsidR="004E46C8" w:rsidRDefault="004E46C8" w:rsidP="004E46C8">
      <w:pPr>
        <w:pStyle w:val="NoSpacing"/>
        <w:rPr>
          <w:rFonts w:ascii="Times New Roman" w:hAnsi="Times New Roman"/>
          <w:sz w:val="24"/>
          <w:szCs w:val="24"/>
          <w:shd w:val="clear" w:color="auto" w:fill="FFFFFF"/>
        </w:rPr>
      </w:pPr>
      <w:r>
        <w:rPr>
          <w:rFonts w:ascii="Times New Roman" w:hAnsi="Times New Roman"/>
          <w:sz w:val="24"/>
          <w:szCs w:val="24"/>
          <w:shd w:val="clear" w:color="auto" w:fill="FFFFFF"/>
        </w:rPr>
        <w:t>THE COURT HELD:</w:t>
      </w:r>
    </w:p>
    <w:p w14:paraId="5BD6F094" w14:textId="77777777" w:rsidR="004E46C8" w:rsidRDefault="004E46C8" w:rsidP="004E46C8">
      <w:pPr>
        <w:pStyle w:val="NoSpacing"/>
        <w:rPr>
          <w:rFonts w:ascii="Times New Roman" w:hAnsi="Times New Roman"/>
          <w:sz w:val="24"/>
          <w:szCs w:val="24"/>
          <w:shd w:val="clear" w:color="auto" w:fill="FFFFFF"/>
        </w:rPr>
      </w:pPr>
    </w:p>
    <w:p w14:paraId="5FD85041" w14:textId="77777777" w:rsidR="004E46C8" w:rsidRPr="00CB28D7" w:rsidRDefault="004E46C8" w:rsidP="004E46C8">
      <w:pPr>
        <w:pStyle w:val="NoSpacing"/>
        <w:ind w:left="720"/>
        <w:rPr>
          <w:rFonts w:ascii="Times New Roman" w:hAnsi="Times New Roman"/>
          <w:sz w:val="24"/>
          <w:szCs w:val="24"/>
          <w:shd w:val="clear" w:color="auto" w:fill="FFFFFF"/>
        </w:rPr>
      </w:pPr>
      <w:r>
        <w:rPr>
          <w:rFonts w:ascii="Times New Roman" w:hAnsi="Times New Roman"/>
          <w:sz w:val="24"/>
          <w:szCs w:val="24"/>
          <w:shd w:val="clear" w:color="auto" w:fill="FFFFFF"/>
        </w:rPr>
        <w:t>“</w:t>
      </w:r>
      <w:r w:rsidRPr="006F5AC1">
        <w:rPr>
          <w:rFonts w:ascii="Times New Roman" w:hAnsi="Times New Roman"/>
          <w:sz w:val="24"/>
          <w:szCs w:val="24"/>
          <w:shd w:val="clear" w:color="auto" w:fill="FFFFFF"/>
        </w:rPr>
        <w:t xml:space="preserve">Appellants argue that the RVs should not be subject to the code because they are not a </w:t>
      </w:r>
      <w:r>
        <w:rPr>
          <w:rFonts w:ascii="Times New Roman" w:hAnsi="Times New Roman"/>
          <w:sz w:val="24"/>
          <w:szCs w:val="24"/>
          <w:shd w:val="clear" w:color="auto" w:fill="FFFFFF"/>
        </w:rPr>
        <w:t>‘</w:t>
      </w:r>
      <w:r w:rsidRPr="006F5AC1">
        <w:rPr>
          <w:rFonts w:ascii="Times New Roman" w:hAnsi="Times New Roman"/>
          <w:sz w:val="24"/>
          <w:szCs w:val="24"/>
          <w:shd w:val="clear" w:color="auto" w:fill="FFFFFF"/>
        </w:rPr>
        <w:t>regular residence.</w:t>
      </w:r>
      <w:r>
        <w:rPr>
          <w:rFonts w:ascii="Times New Roman" w:hAnsi="Times New Roman"/>
          <w:sz w:val="24"/>
          <w:szCs w:val="24"/>
          <w:shd w:val="clear" w:color="auto" w:fill="FFFFFF"/>
        </w:rPr>
        <w:t xml:space="preserve">’ </w:t>
      </w:r>
      <w:r w:rsidRPr="006F5AC1">
        <w:rPr>
          <w:rFonts w:ascii="Times New Roman" w:hAnsi="Times New Roman"/>
          <w:sz w:val="24"/>
          <w:szCs w:val="24"/>
          <w:shd w:val="clear" w:color="auto" w:fill="FFFFFF"/>
        </w:rPr>
        <w:t xml:space="preserve"> See RRHHS Code § 3.1 (</w:t>
      </w:r>
      <w:r>
        <w:rPr>
          <w:rFonts w:ascii="Times New Roman" w:hAnsi="Times New Roman"/>
          <w:sz w:val="24"/>
          <w:szCs w:val="24"/>
          <w:shd w:val="clear" w:color="auto" w:fill="FFFFFF"/>
        </w:rPr>
        <w:t>‘</w:t>
      </w:r>
      <w:r w:rsidRPr="006F5AC1">
        <w:rPr>
          <w:rFonts w:ascii="Times New Roman" w:hAnsi="Times New Roman"/>
          <w:sz w:val="24"/>
          <w:szCs w:val="24"/>
          <w:shd w:val="clear" w:color="auto" w:fill="FFFFFF"/>
        </w:rPr>
        <w:t>This Rental Housing Health and Safety Code shall apply to all rented dwellings, dwelling units, rooming houses, rooming units, and mobile home lots used as a regular residence.</w:t>
      </w:r>
      <w:r>
        <w:rPr>
          <w:rFonts w:ascii="Times New Roman" w:hAnsi="Times New Roman"/>
          <w:sz w:val="24"/>
          <w:szCs w:val="24"/>
          <w:shd w:val="clear" w:color="auto" w:fill="FFFFFF"/>
        </w:rPr>
        <w:t>’</w:t>
      </w:r>
      <w:r w:rsidRPr="006F5AC1">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w:t>
      </w:r>
      <w:r w:rsidRPr="006F5AC1">
        <w:rPr>
          <w:rFonts w:ascii="Times New Roman" w:hAnsi="Times New Roman"/>
          <w:sz w:val="24"/>
          <w:szCs w:val="24"/>
          <w:shd w:val="clear" w:color="auto" w:fill="FFFFFF"/>
        </w:rPr>
        <w:t xml:space="preserve">We agree with the Board that the RVs should be considered regular residences and that appellants must comply with the code here. The RVs were offered to community members as living units. They fit within the definition of </w:t>
      </w:r>
      <w:r>
        <w:rPr>
          <w:rFonts w:ascii="Times New Roman" w:hAnsi="Times New Roman"/>
          <w:sz w:val="24"/>
          <w:szCs w:val="24"/>
          <w:shd w:val="clear" w:color="auto" w:fill="FFFFFF"/>
        </w:rPr>
        <w:t>‘</w:t>
      </w:r>
      <w:r w:rsidRPr="006F5AC1">
        <w:rPr>
          <w:rFonts w:ascii="Times New Roman" w:hAnsi="Times New Roman"/>
          <w:sz w:val="24"/>
          <w:szCs w:val="24"/>
          <w:shd w:val="clear" w:color="auto" w:fill="FFFFFF"/>
        </w:rPr>
        <w:t>rooming units.</w:t>
      </w:r>
      <w:r>
        <w:rPr>
          <w:rFonts w:ascii="Times New Roman" w:hAnsi="Times New Roman"/>
          <w:sz w:val="24"/>
          <w:szCs w:val="24"/>
          <w:shd w:val="clear" w:color="auto" w:fill="FFFFFF"/>
        </w:rPr>
        <w:t>’</w:t>
      </w:r>
      <w:r w:rsidRPr="006F5AC1">
        <w:rPr>
          <w:rFonts w:ascii="Times New Roman" w:hAnsi="Times New Roman"/>
          <w:sz w:val="24"/>
          <w:szCs w:val="24"/>
          <w:shd w:val="clear" w:color="auto" w:fill="FFFFFF"/>
        </w:rPr>
        <w:t xml:space="preserve"> See </w:t>
      </w:r>
      <w:r w:rsidRPr="006F5AC1">
        <w:rPr>
          <w:rFonts w:ascii="Times New Roman" w:hAnsi="Times New Roman"/>
          <w:i/>
          <w:iCs/>
          <w:sz w:val="24"/>
          <w:szCs w:val="24"/>
          <w:shd w:val="clear" w:color="auto" w:fill="FFFFFF"/>
        </w:rPr>
        <w:t>id</w:t>
      </w:r>
      <w:r w:rsidRPr="006F5AC1">
        <w:rPr>
          <w:rFonts w:ascii="Times New Roman" w:hAnsi="Times New Roman"/>
          <w:sz w:val="24"/>
          <w:szCs w:val="24"/>
          <w:shd w:val="clear" w:color="auto" w:fill="FFFFFF"/>
        </w:rPr>
        <w:t xml:space="preserve">. § 4.20 (defining </w:t>
      </w:r>
      <w:r>
        <w:rPr>
          <w:rFonts w:ascii="Times New Roman" w:hAnsi="Times New Roman"/>
          <w:sz w:val="24"/>
          <w:szCs w:val="24"/>
          <w:shd w:val="clear" w:color="auto" w:fill="FFFFFF"/>
        </w:rPr>
        <w:t>‘</w:t>
      </w:r>
      <w:r w:rsidRPr="006F5AC1">
        <w:rPr>
          <w:rFonts w:ascii="Times New Roman" w:hAnsi="Times New Roman"/>
          <w:sz w:val="24"/>
          <w:szCs w:val="24"/>
          <w:shd w:val="clear" w:color="auto" w:fill="FFFFFF"/>
        </w:rPr>
        <w:t>rooming unit</w:t>
      </w:r>
      <w:r>
        <w:rPr>
          <w:rFonts w:ascii="Times New Roman" w:hAnsi="Times New Roman"/>
          <w:sz w:val="24"/>
          <w:szCs w:val="24"/>
          <w:shd w:val="clear" w:color="auto" w:fill="FFFFFF"/>
        </w:rPr>
        <w:t>’</w:t>
      </w:r>
      <w:r w:rsidRPr="006F5AC1">
        <w:rPr>
          <w:rFonts w:ascii="Times New Roman" w:hAnsi="Times New Roman"/>
          <w:sz w:val="24"/>
          <w:szCs w:val="24"/>
          <w:shd w:val="clear" w:color="auto" w:fill="FFFFFF"/>
        </w:rPr>
        <w:t xml:space="preserve"> as </w:t>
      </w:r>
      <w:r>
        <w:rPr>
          <w:rFonts w:ascii="Times New Roman" w:hAnsi="Times New Roman"/>
          <w:sz w:val="24"/>
          <w:szCs w:val="24"/>
          <w:shd w:val="clear" w:color="auto" w:fill="FFFFFF"/>
        </w:rPr>
        <w:t>‘</w:t>
      </w:r>
      <w:r w:rsidRPr="006F5AC1">
        <w:rPr>
          <w:rFonts w:ascii="Times New Roman" w:hAnsi="Times New Roman"/>
          <w:sz w:val="24"/>
          <w:szCs w:val="24"/>
          <w:shd w:val="clear" w:color="auto" w:fill="FFFFFF"/>
        </w:rPr>
        <w:t>room or group of rooms let to an individual or household for use as living and sleeping, but not for cooking or eating purposes, whether or not, common cooking facilities are made available</w:t>
      </w:r>
      <w:r>
        <w:rPr>
          <w:rFonts w:ascii="Times New Roman" w:hAnsi="Times New Roman"/>
          <w:sz w:val="24"/>
          <w:szCs w:val="24"/>
          <w:shd w:val="clear" w:color="auto" w:fill="FFFFFF"/>
        </w:rPr>
        <w:t>’</w:t>
      </w:r>
      <w:r w:rsidRPr="006F5AC1">
        <w:rPr>
          <w:rFonts w:ascii="Times New Roman" w:hAnsi="Times New Roman"/>
          <w:sz w:val="24"/>
          <w:szCs w:val="24"/>
          <w:shd w:val="clear" w:color="auto" w:fill="FFFFFF"/>
        </w:rPr>
        <w:t xml:space="preserve">); </w:t>
      </w:r>
      <w:r w:rsidRPr="006F5AC1">
        <w:rPr>
          <w:rFonts w:ascii="Times New Roman" w:hAnsi="Times New Roman"/>
          <w:i/>
          <w:iCs/>
          <w:sz w:val="24"/>
          <w:szCs w:val="24"/>
          <w:shd w:val="clear" w:color="auto" w:fill="FFFFFF"/>
        </w:rPr>
        <w:t>id</w:t>
      </w:r>
      <w:r w:rsidRPr="006F5AC1">
        <w:rPr>
          <w:rFonts w:ascii="Times New Roman" w:hAnsi="Times New Roman"/>
          <w:sz w:val="24"/>
          <w:szCs w:val="24"/>
          <w:shd w:val="clear" w:color="auto" w:fill="FFFFFF"/>
        </w:rPr>
        <w:t xml:space="preserve">. § 4.19 (defining </w:t>
      </w:r>
      <w:r>
        <w:rPr>
          <w:rFonts w:ascii="Times New Roman" w:hAnsi="Times New Roman"/>
          <w:sz w:val="24"/>
          <w:szCs w:val="24"/>
          <w:shd w:val="clear" w:color="auto" w:fill="FFFFFF"/>
        </w:rPr>
        <w:t>‘</w:t>
      </w:r>
      <w:r w:rsidRPr="006F5AC1">
        <w:rPr>
          <w:rFonts w:ascii="Times New Roman" w:hAnsi="Times New Roman"/>
          <w:sz w:val="24"/>
          <w:szCs w:val="24"/>
          <w:shd w:val="clear" w:color="auto" w:fill="FFFFFF"/>
        </w:rPr>
        <w:t>rooming house</w:t>
      </w:r>
      <w:r>
        <w:rPr>
          <w:rFonts w:ascii="Times New Roman" w:hAnsi="Times New Roman"/>
          <w:sz w:val="24"/>
          <w:szCs w:val="24"/>
          <w:shd w:val="clear" w:color="auto" w:fill="FFFFFF"/>
        </w:rPr>
        <w:t>’</w:t>
      </w:r>
      <w:r w:rsidRPr="006F5AC1">
        <w:rPr>
          <w:rFonts w:ascii="Times New Roman" w:hAnsi="Times New Roman"/>
          <w:sz w:val="24"/>
          <w:szCs w:val="24"/>
          <w:shd w:val="clear" w:color="auto" w:fill="FFFFFF"/>
        </w:rPr>
        <w:t xml:space="preserve"> as </w:t>
      </w:r>
      <w:r>
        <w:rPr>
          <w:rFonts w:ascii="Times New Roman" w:hAnsi="Times New Roman"/>
          <w:sz w:val="24"/>
          <w:szCs w:val="24"/>
          <w:shd w:val="clear" w:color="auto" w:fill="FFFFFF"/>
        </w:rPr>
        <w:t>‘</w:t>
      </w:r>
      <w:r w:rsidRPr="006F5AC1">
        <w:rPr>
          <w:rFonts w:ascii="Times New Roman" w:hAnsi="Times New Roman"/>
          <w:sz w:val="24"/>
          <w:szCs w:val="24"/>
          <w:shd w:val="clear" w:color="auto" w:fill="FFFFFF"/>
        </w:rPr>
        <w:t>any dwelling or part thereof containing one or more rooming units and/or one or more dormitory rooms in which space is let by the owner or operator to one or more persons who are not immediate family members of the owner).</w:t>
      </w:r>
      <w:r>
        <w:rPr>
          <w:rFonts w:ascii="Times New Roman" w:hAnsi="Times New Roman"/>
          <w:sz w:val="24"/>
          <w:szCs w:val="24"/>
          <w:shd w:val="clear" w:color="auto" w:fill="FFFFFF"/>
        </w:rPr>
        <w:t>”</w:t>
      </w:r>
    </w:p>
    <w:p w14:paraId="3B851741" w14:textId="77777777" w:rsidR="00316842" w:rsidRDefault="00316842" w:rsidP="00316842">
      <w:pPr>
        <w:pStyle w:val="NoSpacing"/>
        <w:rPr>
          <w:rFonts w:ascii="Times New Roman" w:hAnsi="Times New Roman"/>
          <w:b/>
          <w:bCs/>
          <w:sz w:val="24"/>
          <w:szCs w:val="24"/>
          <w:shd w:val="clear" w:color="auto" w:fill="FFFFFF"/>
        </w:rPr>
      </w:pPr>
    </w:p>
    <w:p w14:paraId="2E89FB93" w14:textId="0B8BC083" w:rsidR="00316842" w:rsidRDefault="00316842" w:rsidP="00316842">
      <w:pPr>
        <w:pStyle w:val="NoSpacing"/>
        <w:rPr>
          <w:rFonts w:ascii="Times New Roman" w:hAnsi="Times New Roman"/>
          <w:b/>
          <w:bCs/>
          <w:sz w:val="24"/>
          <w:szCs w:val="24"/>
          <w:shd w:val="clear" w:color="auto" w:fill="FFFFFF"/>
        </w:rPr>
      </w:pPr>
      <w:r>
        <w:rPr>
          <w:rFonts w:ascii="Times New Roman" w:hAnsi="Times New Roman"/>
          <w:b/>
          <w:bCs/>
          <w:sz w:val="24"/>
          <w:szCs w:val="24"/>
          <w:shd w:val="clear" w:color="auto" w:fill="FFFFFF"/>
        </w:rPr>
        <w:t xml:space="preserve">Legal Lesson Learned: The property owner must comply with Health &amp; Safety Code. </w:t>
      </w:r>
    </w:p>
    <w:p w14:paraId="4BBF2CA0" w14:textId="77777777" w:rsidR="008F287B" w:rsidRDefault="008F287B" w:rsidP="00316842">
      <w:pPr>
        <w:pStyle w:val="NoSpacing"/>
        <w:rPr>
          <w:rFonts w:ascii="Times New Roman" w:hAnsi="Times New Roman"/>
          <w:b/>
          <w:bCs/>
          <w:sz w:val="24"/>
          <w:szCs w:val="24"/>
          <w:shd w:val="clear" w:color="auto" w:fill="FFFFFF"/>
        </w:rPr>
      </w:pPr>
    </w:p>
    <w:p w14:paraId="308C7055" w14:textId="77777777" w:rsidR="008F287B" w:rsidRDefault="008F287B" w:rsidP="008F287B">
      <w:pPr>
        <w:pStyle w:val="NormalWeb"/>
        <w:shd w:val="clear" w:color="auto" w:fill="FFFFFF"/>
        <w:spacing w:before="0" w:beforeAutospacing="0"/>
        <w:ind w:firstLine="720"/>
      </w:pPr>
      <w:r>
        <w:t xml:space="preserve">Note: See this article on the case. </w:t>
      </w:r>
    </w:p>
    <w:p w14:paraId="16BE2D18" w14:textId="77777777" w:rsidR="008F287B" w:rsidRPr="00F32EC7" w:rsidRDefault="008F287B" w:rsidP="008F287B">
      <w:pPr>
        <w:pStyle w:val="NormalWeb"/>
        <w:shd w:val="clear" w:color="auto" w:fill="FFFFFF"/>
        <w:spacing w:before="0"/>
        <w:ind w:left="720"/>
      </w:pPr>
      <w:r w:rsidRPr="00F32EC7">
        <w:t xml:space="preserve">July 23, 20243: Vermont Supreme Court rejects RV housing appeal in Brattleboro </w:t>
      </w:r>
      <w:hyperlink r:id="rId144" w:history="1">
        <w:r w:rsidRPr="00F32EC7">
          <w:rPr>
            <w:rStyle w:val="Hyperlink"/>
          </w:rPr>
          <w:t>https://www.reformer.com/local-news/vermont-supreme-court-rejects-rv-housing-appeal-in-brattleboro/article_1aa8b844-48f7-11ef-b1d5-5784c0449d3d.html</w:t>
        </w:r>
      </w:hyperlink>
      <w:r w:rsidRPr="00F32EC7">
        <w:t xml:space="preserve"> </w:t>
      </w:r>
    </w:p>
    <w:p w14:paraId="5FBC256D" w14:textId="77777777" w:rsidR="008F287B" w:rsidRPr="009C51DC" w:rsidRDefault="008F287B" w:rsidP="00316842">
      <w:pPr>
        <w:pStyle w:val="NoSpacing"/>
        <w:rPr>
          <w:rFonts w:ascii="Times New Roman" w:hAnsi="Times New Roman"/>
          <w:b/>
          <w:bCs/>
          <w:sz w:val="24"/>
          <w:szCs w:val="24"/>
          <w:shd w:val="clear" w:color="auto" w:fill="FFFFFF"/>
        </w:rPr>
      </w:pPr>
    </w:p>
    <w:p w14:paraId="59E08193" w14:textId="77777777" w:rsidR="004E46C8" w:rsidRDefault="004E46C8" w:rsidP="00B86628">
      <w:pPr>
        <w:pStyle w:val="NoSpacing"/>
        <w:rPr>
          <w:rFonts w:ascii="Arial Black" w:hAnsi="Arial Black"/>
          <w:sz w:val="24"/>
          <w:szCs w:val="24"/>
        </w:rPr>
      </w:pPr>
    </w:p>
    <w:p w14:paraId="34071149" w14:textId="77777777" w:rsidR="004E46C8" w:rsidRDefault="004E46C8" w:rsidP="00B86628">
      <w:pPr>
        <w:pStyle w:val="NoSpacing"/>
        <w:rPr>
          <w:rFonts w:ascii="Arial Black" w:hAnsi="Arial Black"/>
          <w:sz w:val="24"/>
          <w:szCs w:val="24"/>
        </w:rPr>
      </w:pPr>
    </w:p>
    <w:p w14:paraId="73C7002F" w14:textId="6548C6FF" w:rsidR="006A0C24" w:rsidRDefault="006A0C24" w:rsidP="00B86628">
      <w:pPr>
        <w:pStyle w:val="NoSpacing"/>
        <w:rPr>
          <w:rFonts w:ascii="Arial Black" w:hAnsi="Arial Black"/>
          <w:sz w:val="24"/>
          <w:szCs w:val="24"/>
        </w:rPr>
      </w:pPr>
      <w:r>
        <w:rPr>
          <w:rFonts w:ascii="Arial Black" w:hAnsi="Arial Black"/>
          <w:sz w:val="24"/>
          <w:szCs w:val="24"/>
        </w:rPr>
        <w:t>1-149</w:t>
      </w:r>
    </w:p>
    <w:p w14:paraId="2B17F572" w14:textId="77777777" w:rsidR="006A0C24" w:rsidRDefault="006A0C24" w:rsidP="00B86628">
      <w:pPr>
        <w:pStyle w:val="NoSpacing"/>
        <w:rPr>
          <w:rFonts w:ascii="Arial Black" w:hAnsi="Arial Black"/>
          <w:sz w:val="24"/>
          <w:szCs w:val="24"/>
        </w:rPr>
      </w:pPr>
    </w:p>
    <w:p w14:paraId="30431926" w14:textId="77777777" w:rsidR="002C7131" w:rsidRPr="00134702" w:rsidRDefault="002C7131" w:rsidP="002C7131">
      <w:pPr>
        <w:rPr>
          <w:rFonts w:ascii="Arial Black" w:hAnsi="Arial Black"/>
          <w:sz w:val="28"/>
          <w:szCs w:val="28"/>
        </w:rPr>
      </w:pPr>
      <w:r>
        <w:rPr>
          <w:rFonts w:ascii="Arial Black" w:hAnsi="Arial Black"/>
          <w:sz w:val="28"/>
          <w:szCs w:val="28"/>
        </w:rPr>
        <w:lastRenderedPageBreak/>
        <w:t>U.S. SUP. CT:  ARIZONA PRISONER DEATH SENTENCE REINSTATED – FED. HABEAS CORPUS DENIED</w:t>
      </w:r>
    </w:p>
    <w:p w14:paraId="19288EF7" w14:textId="77777777" w:rsidR="002C7131" w:rsidRDefault="002C7131" w:rsidP="002C7131">
      <w:pPr>
        <w:pStyle w:val="NoSpacing"/>
        <w:rPr>
          <w:rFonts w:ascii="Times New Roman" w:hAnsi="Times New Roman"/>
          <w:sz w:val="24"/>
          <w:szCs w:val="24"/>
        </w:rPr>
      </w:pPr>
      <w:r>
        <w:rPr>
          <w:rFonts w:ascii="Times New Roman" w:hAnsi="Times New Roman"/>
          <w:sz w:val="24"/>
          <w:szCs w:val="24"/>
        </w:rPr>
        <w:t xml:space="preserve">On May 30, 2024, in </w:t>
      </w:r>
      <w:r w:rsidRPr="00CB67D4">
        <w:rPr>
          <w:rFonts w:ascii="Times New Roman" w:hAnsi="Times New Roman"/>
          <w:sz w:val="24"/>
          <w:szCs w:val="24"/>
          <w:u w:val="single"/>
        </w:rPr>
        <w:t>Ryan Thornell, Director, Arizona Department of Corrections v. Danny Lee</w:t>
      </w:r>
      <w:r>
        <w:rPr>
          <w:rFonts w:ascii="Times New Roman" w:hAnsi="Times New Roman"/>
          <w:sz w:val="24"/>
          <w:szCs w:val="24"/>
        </w:rPr>
        <w:t>, the United States Supreme Court held (6 to 3) that the 3-judge panel of the U.S. Court of Appeals for 9</w:t>
      </w:r>
      <w:r w:rsidRPr="00A00284">
        <w:rPr>
          <w:rFonts w:ascii="Times New Roman" w:hAnsi="Times New Roman"/>
          <w:sz w:val="24"/>
          <w:szCs w:val="24"/>
          <w:vertAlign w:val="superscript"/>
        </w:rPr>
        <w:t>th</w:t>
      </w:r>
      <w:r>
        <w:rPr>
          <w:rFonts w:ascii="Times New Roman" w:hAnsi="Times New Roman"/>
          <w:sz w:val="24"/>
          <w:szCs w:val="24"/>
        </w:rPr>
        <w:t xml:space="preserve"> Circuit (San Francisco) incorrectly granted habeas corpus relief. The defendant stole guns from a home of a person with whom he was drinking to fund a trip to </w:t>
      </w:r>
      <w:proofErr w:type="gramStart"/>
      <w:r>
        <w:rPr>
          <w:rFonts w:ascii="Times New Roman" w:hAnsi="Times New Roman"/>
          <w:sz w:val="24"/>
          <w:szCs w:val="24"/>
        </w:rPr>
        <w:t>Las Vegas, and</w:t>
      </w:r>
      <w:proofErr w:type="gramEnd"/>
      <w:r>
        <w:rPr>
          <w:rFonts w:ascii="Times New Roman" w:hAnsi="Times New Roman"/>
          <w:sz w:val="24"/>
          <w:szCs w:val="24"/>
        </w:rPr>
        <w:t xml:space="preserve"> killed was a baseball bat three in the home, including 7-year-old girl. He was convicted by a jury in Arizona state court, and at sentencing hearing his defense counsel called as an expert witness a C</w:t>
      </w:r>
      <w:r w:rsidRPr="000C25FE">
        <w:rPr>
          <w:rFonts w:ascii="Times New Roman" w:hAnsi="Times New Roman"/>
          <w:sz w:val="24"/>
          <w:szCs w:val="24"/>
        </w:rPr>
        <w:t>ourt-appointed forensic</w:t>
      </w:r>
      <w:r>
        <w:rPr>
          <w:rFonts w:ascii="Times New Roman" w:hAnsi="Times New Roman"/>
          <w:sz w:val="24"/>
          <w:szCs w:val="24"/>
        </w:rPr>
        <w:t xml:space="preserve"> </w:t>
      </w:r>
      <w:r w:rsidRPr="000C25FE">
        <w:rPr>
          <w:rFonts w:ascii="Times New Roman" w:hAnsi="Times New Roman"/>
          <w:sz w:val="24"/>
          <w:szCs w:val="24"/>
        </w:rPr>
        <w:t>psychiatrist</w:t>
      </w:r>
      <w:r>
        <w:rPr>
          <w:rFonts w:ascii="Times New Roman" w:hAnsi="Times New Roman"/>
          <w:sz w:val="24"/>
          <w:szCs w:val="24"/>
        </w:rPr>
        <w:t xml:space="preserve"> who testified about the defendant’s troubled childhood.  The State judge sentenced him to death, affirmed on appeal by Arizona Supreme Court.  He then sought habeas corpus relied in Federal Court, and a U.S. District Court judge had held a hearing about the defendant’s terrible </w:t>
      </w:r>
      <w:proofErr w:type="gramStart"/>
      <w:r>
        <w:rPr>
          <w:rFonts w:ascii="Times New Roman" w:hAnsi="Times New Roman"/>
          <w:sz w:val="24"/>
          <w:szCs w:val="24"/>
        </w:rPr>
        <w:t>childhood, and</w:t>
      </w:r>
      <w:proofErr w:type="gramEnd"/>
      <w:r>
        <w:rPr>
          <w:rFonts w:ascii="Times New Roman" w:hAnsi="Times New Roman"/>
          <w:sz w:val="24"/>
          <w:szCs w:val="24"/>
        </w:rPr>
        <w:t xml:space="preserve"> then refused habeas corpus. The U.S. Supreme Court majority (Justice Samuel Alito wrote opinion): </w:t>
      </w:r>
    </w:p>
    <w:p w14:paraId="44014A22" w14:textId="77777777" w:rsidR="002C7131" w:rsidRDefault="002C7131" w:rsidP="002C7131">
      <w:pPr>
        <w:pStyle w:val="NoSpacing"/>
        <w:rPr>
          <w:rFonts w:ascii="Times New Roman" w:hAnsi="Times New Roman"/>
          <w:sz w:val="24"/>
          <w:szCs w:val="24"/>
        </w:rPr>
      </w:pPr>
    </w:p>
    <w:p w14:paraId="0085E13B" w14:textId="77777777" w:rsidR="002C7131" w:rsidRPr="00CB6CEF" w:rsidRDefault="002C7131" w:rsidP="002C7131">
      <w:pPr>
        <w:pStyle w:val="NoSpacing"/>
        <w:ind w:left="720"/>
        <w:rPr>
          <w:rFonts w:ascii="Times New Roman" w:hAnsi="Times New Roman"/>
          <w:sz w:val="24"/>
          <w:szCs w:val="24"/>
        </w:rPr>
      </w:pPr>
      <w:r>
        <w:rPr>
          <w:rFonts w:ascii="Times New Roman" w:hAnsi="Times New Roman"/>
          <w:sz w:val="24"/>
          <w:szCs w:val="24"/>
        </w:rPr>
        <w:t>“</w:t>
      </w:r>
      <w:r w:rsidRPr="00CB6CEF">
        <w:rPr>
          <w:rFonts w:ascii="Times New Roman" w:hAnsi="Times New Roman"/>
          <w:sz w:val="24"/>
          <w:szCs w:val="24"/>
        </w:rPr>
        <w:t>Jones also alleges significant childhood abuse. Brief for</w:t>
      </w:r>
      <w:r>
        <w:rPr>
          <w:rFonts w:ascii="Times New Roman" w:hAnsi="Times New Roman"/>
          <w:sz w:val="24"/>
          <w:szCs w:val="24"/>
        </w:rPr>
        <w:t xml:space="preserve"> </w:t>
      </w:r>
      <w:r w:rsidRPr="00CB6CEF">
        <w:rPr>
          <w:rFonts w:ascii="Times New Roman" w:hAnsi="Times New Roman"/>
          <w:sz w:val="24"/>
          <w:szCs w:val="24"/>
        </w:rPr>
        <w:t>Respondent 44. Again, however, Arizona courts had heard</w:t>
      </w:r>
      <w:r>
        <w:rPr>
          <w:rFonts w:ascii="Times New Roman" w:hAnsi="Times New Roman"/>
          <w:sz w:val="24"/>
          <w:szCs w:val="24"/>
        </w:rPr>
        <w:t xml:space="preserve"> </w:t>
      </w:r>
      <w:r w:rsidRPr="00CB6CEF">
        <w:rPr>
          <w:rFonts w:ascii="Times New Roman" w:hAnsi="Times New Roman"/>
          <w:sz w:val="24"/>
          <w:szCs w:val="24"/>
        </w:rPr>
        <w:t>much on this topic. They knew that Jones’s father abused</w:t>
      </w:r>
      <w:r>
        <w:rPr>
          <w:rFonts w:ascii="Times New Roman" w:hAnsi="Times New Roman"/>
          <w:sz w:val="24"/>
          <w:szCs w:val="24"/>
        </w:rPr>
        <w:t xml:space="preserve"> </w:t>
      </w:r>
      <w:r w:rsidRPr="00CB6CEF">
        <w:rPr>
          <w:rFonts w:ascii="Times New Roman" w:hAnsi="Times New Roman"/>
          <w:sz w:val="24"/>
          <w:szCs w:val="24"/>
        </w:rPr>
        <w:t xml:space="preserve">his pregnant mother, that his first stepfather beat </w:t>
      </w:r>
      <w:proofErr w:type="gramStart"/>
      <w:r w:rsidRPr="00CB6CEF">
        <w:rPr>
          <w:rFonts w:ascii="Times New Roman" w:hAnsi="Times New Roman"/>
          <w:sz w:val="24"/>
          <w:szCs w:val="24"/>
        </w:rPr>
        <w:t>both of</w:t>
      </w:r>
      <w:r>
        <w:rPr>
          <w:rFonts w:ascii="Times New Roman" w:hAnsi="Times New Roman"/>
          <w:sz w:val="24"/>
          <w:szCs w:val="24"/>
        </w:rPr>
        <w:t xml:space="preserve"> </w:t>
      </w:r>
      <w:r w:rsidRPr="00CB6CEF">
        <w:rPr>
          <w:rFonts w:ascii="Times New Roman" w:hAnsi="Times New Roman"/>
          <w:sz w:val="24"/>
          <w:szCs w:val="24"/>
        </w:rPr>
        <w:t>them</w:t>
      </w:r>
      <w:proofErr w:type="gramEnd"/>
      <w:r w:rsidRPr="00CB6CEF">
        <w:rPr>
          <w:rFonts w:ascii="Times New Roman" w:hAnsi="Times New Roman"/>
          <w:sz w:val="24"/>
          <w:szCs w:val="24"/>
        </w:rPr>
        <w:t>, and that his grandfather introduced him to drugs at</w:t>
      </w:r>
      <w:r>
        <w:rPr>
          <w:rFonts w:ascii="Times New Roman" w:hAnsi="Times New Roman"/>
          <w:sz w:val="24"/>
          <w:szCs w:val="24"/>
        </w:rPr>
        <w:t xml:space="preserve"> </w:t>
      </w:r>
      <w:r w:rsidRPr="00CB6CEF">
        <w:rPr>
          <w:rFonts w:ascii="Times New Roman" w:hAnsi="Times New Roman"/>
          <w:sz w:val="24"/>
          <w:szCs w:val="24"/>
        </w:rPr>
        <w:t>young age. And they received testimony that any period</w:t>
      </w:r>
      <w:r>
        <w:rPr>
          <w:rFonts w:ascii="Times New Roman" w:hAnsi="Times New Roman"/>
          <w:sz w:val="24"/>
          <w:szCs w:val="24"/>
        </w:rPr>
        <w:t xml:space="preserve"> </w:t>
      </w:r>
      <w:r w:rsidRPr="00CB6CEF">
        <w:rPr>
          <w:rFonts w:ascii="Times New Roman" w:hAnsi="Times New Roman"/>
          <w:sz w:val="24"/>
          <w:szCs w:val="24"/>
        </w:rPr>
        <w:t xml:space="preserve">of normalcy during Jones’s childhood was </w:t>
      </w:r>
      <w:r>
        <w:rPr>
          <w:rFonts w:ascii="Times New Roman" w:hAnsi="Times New Roman"/>
          <w:sz w:val="24"/>
          <w:szCs w:val="24"/>
        </w:rPr>
        <w:t>‘</w:t>
      </w:r>
      <w:r w:rsidRPr="00CB6CEF">
        <w:rPr>
          <w:rFonts w:ascii="Times New Roman" w:hAnsi="Times New Roman"/>
          <w:sz w:val="24"/>
          <w:szCs w:val="24"/>
        </w:rPr>
        <w:t>too late</w:t>
      </w:r>
      <w:r>
        <w:rPr>
          <w:rFonts w:ascii="Times New Roman" w:hAnsi="Times New Roman"/>
          <w:sz w:val="24"/>
          <w:szCs w:val="24"/>
        </w:rPr>
        <w:t>’</w:t>
      </w:r>
      <w:r w:rsidRPr="00CB6CEF">
        <w:rPr>
          <w:rFonts w:ascii="Times New Roman" w:hAnsi="Times New Roman"/>
          <w:sz w:val="24"/>
          <w:szCs w:val="24"/>
        </w:rPr>
        <w:t xml:space="preserve"> and </w:t>
      </w:r>
      <w:r>
        <w:rPr>
          <w:rFonts w:ascii="Times New Roman" w:hAnsi="Times New Roman"/>
          <w:sz w:val="24"/>
          <w:szCs w:val="24"/>
        </w:rPr>
        <w:t>‘</w:t>
      </w:r>
      <w:r w:rsidRPr="00CB6CEF">
        <w:rPr>
          <w:rFonts w:ascii="Times New Roman" w:hAnsi="Times New Roman"/>
          <w:sz w:val="24"/>
          <w:szCs w:val="24"/>
        </w:rPr>
        <w:t>not</w:t>
      </w:r>
      <w:r>
        <w:rPr>
          <w:rFonts w:ascii="Times New Roman" w:hAnsi="Times New Roman"/>
          <w:sz w:val="24"/>
          <w:szCs w:val="24"/>
        </w:rPr>
        <w:t xml:space="preserve"> </w:t>
      </w:r>
      <w:r w:rsidRPr="00CB6CEF">
        <w:rPr>
          <w:rFonts w:ascii="Times New Roman" w:hAnsi="Times New Roman"/>
          <w:sz w:val="24"/>
          <w:szCs w:val="24"/>
        </w:rPr>
        <w:t>strong enough to counter the earlier abuse.</w:t>
      </w:r>
      <w:r>
        <w:rPr>
          <w:rFonts w:ascii="Times New Roman" w:hAnsi="Times New Roman"/>
          <w:sz w:val="24"/>
          <w:szCs w:val="24"/>
        </w:rPr>
        <w:t xml:space="preserve">’ </w:t>
      </w:r>
      <w:r w:rsidRPr="00CB6CEF">
        <w:rPr>
          <w:rFonts w:ascii="Times New Roman" w:hAnsi="Times New Roman"/>
          <w:sz w:val="24"/>
          <w:szCs w:val="24"/>
        </w:rPr>
        <w:t xml:space="preserve"> 4 Record</w:t>
      </w:r>
      <w:r>
        <w:rPr>
          <w:rFonts w:ascii="Times New Roman" w:hAnsi="Times New Roman"/>
          <w:sz w:val="24"/>
          <w:szCs w:val="24"/>
        </w:rPr>
        <w:t xml:space="preserve"> </w:t>
      </w:r>
      <w:r w:rsidRPr="00CB6CEF">
        <w:rPr>
          <w:rFonts w:ascii="Times New Roman" w:hAnsi="Times New Roman"/>
          <w:sz w:val="24"/>
          <w:szCs w:val="24"/>
        </w:rPr>
        <w:t>1069–1070. They nevertheless concluded that this abuse</w:t>
      </w:r>
      <w:r>
        <w:rPr>
          <w:rFonts w:ascii="Times New Roman" w:hAnsi="Times New Roman"/>
          <w:sz w:val="24"/>
          <w:szCs w:val="24"/>
        </w:rPr>
        <w:t xml:space="preserve"> </w:t>
      </w:r>
      <w:r w:rsidRPr="00CB6CEF">
        <w:rPr>
          <w:rFonts w:ascii="Times New Roman" w:hAnsi="Times New Roman"/>
          <w:sz w:val="24"/>
          <w:szCs w:val="24"/>
        </w:rPr>
        <w:t>did not warrant leniency, primarily because it appeared unconnected to the murders. Jones, 185 Ariz., at 490–491, 917</w:t>
      </w:r>
      <w:r>
        <w:rPr>
          <w:rFonts w:ascii="Times New Roman" w:hAnsi="Times New Roman"/>
          <w:sz w:val="24"/>
          <w:szCs w:val="24"/>
        </w:rPr>
        <w:t xml:space="preserve"> </w:t>
      </w:r>
      <w:r w:rsidRPr="00CB6CEF">
        <w:rPr>
          <w:rFonts w:ascii="Times New Roman" w:hAnsi="Times New Roman"/>
          <w:sz w:val="24"/>
          <w:szCs w:val="24"/>
        </w:rPr>
        <w:t>P. 2d, at 219–220; 9 Record 2465.</w:t>
      </w:r>
      <w:r>
        <w:rPr>
          <w:rFonts w:ascii="Times New Roman" w:hAnsi="Times New Roman"/>
          <w:sz w:val="24"/>
          <w:szCs w:val="24"/>
        </w:rPr>
        <w:t xml:space="preserve"> </w:t>
      </w:r>
      <w:r w:rsidRPr="00CB6CEF">
        <w:rPr>
          <w:rFonts w:ascii="Times New Roman" w:hAnsi="Times New Roman"/>
          <w:sz w:val="24"/>
          <w:szCs w:val="24"/>
        </w:rPr>
        <w:t>In federal court, Jones added two new allegations. First,</w:t>
      </w:r>
      <w:r>
        <w:rPr>
          <w:rFonts w:ascii="Times New Roman" w:hAnsi="Times New Roman"/>
          <w:sz w:val="24"/>
          <w:szCs w:val="24"/>
        </w:rPr>
        <w:t xml:space="preserve"> </w:t>
      </w:r>
      <w:r w:rsidRPr="00CB6CEF">
        <w:rPr>
          <w:rFonts w:ascii="Times New Roman" w:hAnsi="Times New Roman"/>
          <w:sz w:val="24"/>
          <w:szCs w:val="24"/>
        </w:rPr>
        <w:t>he asserted that the grandfather who introduced him to alcohol also sexually abused him. Second, he claimed that his</w:t>
      </w:r>
    </w:p>
    <w:p w14:paraId="2B1E56F9" w14:textId="77777777" w:rsidR="002C7131" w:rsidRDefault="002C7131" w:rsidP="002C7131">
      <w:pPr>
        <w:pStyle w:val="NoSpacing"/>
        <w:ind w:left="720"/>
        <w:rPr>
          <w:rFonts w:ascii="Times New Roman" w:hAnsi="Times New Roman"/>
          <w:sz w:val="24"/>
          <w:szCs w:val="24"/>
        </w:rPr>
      </w:pPr>
      <w:r w:rsidRPr="00CB6CEF">
        <w:rPr>
          <w:rFonts w:ascii="Times New Roman" w:hAnsi="Times New Roman"/>
          <w:sz w:val="24"/>
          <w:szCs w:val="24"/>
        </w:rPr>
        <w:t>second stepfather, Randy, physically abused him. It is not</w:t>
      </w:r>
      <w:r>
        <w:rPr>
          <w:rFonts w:ascii="Times New Roman" w:hAnsi="Times New Roman"/>
          <w:sz w:val="24"/>
          <w:szCs w:val="24"/>
        </w:rPr>
        <w:t xml:space="preserve"> </w:t>
      </w:r>
      <w:r w:rsidRPr="00CB6CEF">
        <w:rPr>
          <w:rFonts w:ascii="Times New Roman" w:hAnsi="Times New Roman"/>
          <w:sz w:val="24"/>
          <w:szCs w:val="24"/>
        </w:rPr>
        <w:t>likely that these allegations would have moved the state</w:t>
      </w:r>
      <w:r>
        <w:rPr>
          <w:rFonts w:ascii="Times New Roman" w:hAnsi="Times New Roman"/>
          <w:sz w:val="24"/>
          <w:szCs w:val="24"/>
        </w:rPr>
        <w:t xml:space="preserve"> </w:t>
      </w:r>
      <w:r w:rsidRPr="00CB6CEF">
        <w:rPr>
          <w:rFonts w:ascii="Times New Roman" w:hAnsi="Times New Roman"/>
          <w:sz w:val="24"/>
          <w:szCs w:val="24"/>
        </w:rPr>
        <w:t>court either.</w:t>
      </w:r>
    </w:p>
    <w:p w14:paraId="45FB4D53" w14:textId="77777777" w:rsidR="002C7131" w:rsidRDefault="002C7131" w:rsidP="002C7131">
      <w:pPr>
        <w:pStyle w:val="NoSpacing"/>
        <w:rPr>
          <w:rFonts w:ascii="Times New Roman" w:hAnsi="Times New Roman"/>
          <w:sz w:val="24"/>
          <w:szCs w:val="24"/>
        </w:rPr>
      </w:pPr>
    </w:p>
    <w:p w14:paraId="54D23757" w14:textId="77777777" w:rsidR="002C7131" w:rsidRDefault="002C7131" w:rsidP="002C7131">
      <w:pPr>
        <w:pStyle w:val="NoSpacing"/>
        <w:rPr>
          <w:rFonts w:ascii="Times New Roman" w:hAnsi="Times New Roman"/>
          <w:sz w:val="24"/>
          <w:szCs w:val="24"/>
        </w:rPr>
      </w:pPr>
      <w:r>
        <w:rPr>
          <w:rFonts w:ascii="Times New Roman" w:hAnsi="Times New Roman"/>
          <w:sz w:val="24"/>
          <w:szCs w:val="24"/>
        </w:rPr>
        <w:tab/>
        <w:t>***</w:t>
      </w:r>
    </w:p>
    <w:p w14:paraId="1FA1E005" w14:textId="77777777" w:rsidR="002C7131" w:rsidRDefault="002C7131" w:rsidP="002C7131">
      <w:pPr>
        <w:pStyle w:val="NoSpacing"/>
        <w:ind w:left="720"/>
        <w:rPr>
          <w:rFonts w:ascii="Times New Roman" w:hAnsi="Times New Roman"/>
          <w:sz w:val="24"/>
          <w:szCs w:val="24"/>
        </w:rPr>
      </w:pPr>
    </w:p>
    <w:p w14:paraId="201BEA5F" w14:textId="77777777" w:rsidR="002C7131" w:rsidRPr="00476CC5" w:rsidRDefault="002C7131" w:rsidP="002C7131">
      <w:pPr>
        <w:pStyle w:val="NoSpacing"/>
        <w:ind w:left="720"/>
      </w:pPr>
      <w:r w:rsidRPr="0081449F">
        <w:rPr>
          <w:rFonts w:ascii="Times New Roman" w:hAnsi="Times New Roman"/>
          <w:sz w:val="24"/>
          <w:szCs w:val="24"/>
        </w:rPr>
        <w:t>When a capital defendant claims that he was prejudiced</w:t>
      </w:r>
      <w:r>
        <w:rPr>
          <w:rFonts w:ascii="Times New Roman" w:hAnsi="Times New Roman"/>
          <w:sz w:val="24"/>
          <w:szCs w:val="24"/>
        </w:rPr>
        <w:t xml:space="preserve"> </w:t>
      </w:r>
      <w:r w:rsidRPr="0081449F">
        <w:rPr>
          <w:rFonts w:ascii="Times New Roman" w:hAnsi="Times New Roman"/>
          <w:sz w:val="24"/>
          <w:szCs w:val="24"/>
        </w:rPr>
        <w:t>at sentencing because counsel failed to present available</w:t>
      </w:r>
      <w:r>
        <w:rPr>
          <w:rFonts w:ascii="Times New Roman" w:hAnsi="Times New Roman"/>
          <w:sz w:val="24"/>
          <w:szCs w:val="24"/>
        </w:rPr>
        <w:t xml:space="preserve"> </w:t>
      </w:r>
      <w:r w:rsidRPr="0081449F">
        <w:rPr>
          <w:rFonts w:ascii="Times New Roman" w:hAnsi="Times New Roman"/>
          <w:sz w:val="24"/>
          <w:szCs w:val="24"/>
        </w:rPr>
        <w:t>mitigating evidence, a court must decide whether it is reasonably likely that the additional evidence would have</w:t>
      </w:r>
      <w:r>
        <w:rPr>
          <w:rFonts w:ascii="Times New Roman" w:hAnsi="Times New Roman"/>
          <w:sz w:val="24"/>
          <w:szCs w:val="24"/>
        </w:rPr>
        <w:t xml:space="preserve"> </w:t>
      </w:r>
      <w:r w:rsidRPr="0081449F">
        <w:rPr>
          <w:rFonts w:ascii="Times New Roman" w:hAnsi="Times New Roman"/>
          <w:sz w:val="24"/>
          <w:szCs w:val="24"/>
        </w:rPr>
        <w:t>avoided a death sentence. This analysis requires an evaluation of the strength of all the evidence and a comparison</w:t>
      </w:r>
      <w:r>
        <w:rPr>
          <w:rFonts w:ascii="Times New Roman" w:hAnsi="Times New Roman"/>
          <w:sz w:val="24"/>
          <w:szCs w:val="24"/>
        </w:rPr>
        <w:t xml:space="preserve"> </w:t>
      </w:r>
      <w:r w:rsidRPr="0081449F">
        <w:rPr>
          <w:rFonts w:ascii="Times New Roman" w:hAnsi="Times New Roman"/>
          <w:sz w:val="24"/>
          <w:szCs w:val="24"/>
        </w:rPr>
        <w:t>of the weight of aggravating and mitigating factors. The</w:t>
      </w:r>
      <w:r>
        <w:rPr>
          <w:rFonts w:ascii="Times New Roman" w:hAnsi="Times New Roman"/>
          <w:sz w:val="24"/>
          <w:szCs w:val="24"/>
        </w:rPr>
        <w:t xml:space="preserve"> </w:t>
      </w:r>
      <w:r w:rsidRPr="0081449F">
        <w:rPr>
          <w:rFonts w:ascii="Times New Roman" w:hAnsi="Times New Roman"/>
          <w:sz w:val="24"/>
          <w:szCs w:val="24"/>
        </w:rPr>
        <w:t>Ninth Circuit did not heed that instruction; rather, it downplayed the serious aggravating factors present here and</w:t>
      </w:r>
      <w:r>
        <w:rPr>
          <w:rFonts w:ascii="Times New Roman" w:hAnsi="Times New Roman"/>
          <w:sz w:val="24"/>
          <w:szCs w:val="24"/>
        </w:rPr>
        <w:t xml:space="preserve"> </w:t>
      </w:r>
      <w:r w:rsidRPr="0081449F">
        <w:rPr>
          <w:rFonts w:ascii="Times New Roman" w:hAnsi="Times New Roman"/>
          <w:sz w:val="24"/>
          <w:szCs w:val="24"/>
        </w:rPr>
        <w:t>overstated the strength of mitigating evidence that differed</w:t>
      </w:r>
      <w:r>
        <w:rPr>
          <w:rFonts w:ascii="Times New Roman" w:hAnsi="Times New Roman"/>
          <w:sz w:val="24"/>
          <w:szCs w:val="24"/>
        </w:rPr>
        <w:t xml:space="preserve"> </w:t>
      </w:r>
      <w:r w:rsidRPr="0081449F">
        <w:rPr>
          <w:rFonts w:ascii="Times New Roman" w:hAnsi="Times New Roman"/>
          <w:sz w:val="24"/>
          <w:szCs w:val="24"/>
        </w:rPr>
        <w:t>very little from the evidence presented at sentencing</w:t>
      </w:r>
      <w:r>
        <w:rPr>
          <w:rFonts w:ascii="Times New Roman" w:hAnsi="Times New Roman"/>
          <w:sz w:val="24"/>
          <w:szCs w:val="24"/>
        </w:rPr>
        <w:t xml:space="preserve">. </w:t>
      </w:r>
      <w:r w:rsidRPr="00273EA8">
        <w:rPr>
          <w:rFonts w:ascii="Times New Roman" w:hAnsi="Times New Roman"/>
          <w:sz w:val="24"/>
          <w:szCs w:val="24"/>
        </w:rPr>
        <w:t>Had</w:t>
      </w:r>
      <w:r>
        <w:rPr>
          <w:rFonts w:ascii="Times New Roman" w:hAnsi="Times New Roman"/>
          <w:sz w:val="24"/>
          <w:szCs w:val="24"/>
        </w:rPr>
        <w:t xml:space="preserve"> </w:t>
      </w:r>
      <w:r w:rsidRPr="00273EA8">
        <w:rPr>
          <w:rFonts w:ascii="Times New Roman" w:hAnsi="Times New Roman"/>
          <w:sz w:val="24"/>
          <w:szCs w:val="24"/>
        </w:rPr>
        <w:t>the Ninth Circuit engaged in the analysis required by</w:t>
      </w:r>
      <w:r>
        <w:rPr>
          <w:rFonts w:ascii="Times New Roman" w:hAnsi="Times New Roman"/>
          <w:sz w:val="24"/>
          <w:szCs w:val="24"/>
        </w:rPr>
        <w:t xml:space="preserve"> </w:t>
      </w:r>
      <w:proofErr w:type="gramStart"/>
      <w:r w:rsidRPr="00164960">
        <w:rPr>
          <w:rFonts w:ascii="Times New Roman" w:hAnsi="Times New Roman"/>
          <w:sz w:val="24"/>
          <w:szCs w:val="24"/>
        </w:rPr>
        <w:t>Strickland,</w:t>
      </w:r>
      <w:proofErr w:type="gramEnd"/>
      <w:r w:rsidRPr="00164960">
        <w:rPr>
          <w:rFonts w:ascii="Times New Roman" w:hAnsi="Times New Roman"/>
          <w:sz w:val="24"/>
          <w:szCs w:val="24"/>
        </w:rPr>
        <w:t xml:space="preserve"> it would have had no choice but to affirm the</w:t>
      </w:r>
      <w:r>
        <w:rPr>
          <w:rFonts w:ascii="Times New Roman" w:hAnsi="Times New Roman"/>
          <w:sz w:val="24"/>
          <w:szCs w:val="24"/>
        </w:rPr>
        <w:t xml:space="preserve"> </w:t>
      </w:r>
      <w:r w:rsidRPr="00164960">
        <w:rPr>
          <w:rFonts w:ascii="Times New Roman" w:hAnsi="Times New Roman"/>
          <w:sz w:val="24"/>
          <w:szCs w:val="24"/>
        </w:rPr>
        <w:t>decision of the District Court denying habeas relief. We</w:t>
      </w:r>
      <w:r>
        <w:rPr>
          <w:rFonts w:ascii="Times New Roman" w:hAnsi="Times New Roman"/>
          <w:sz w:val="24"/>
          <w:szCs w:val="24"/>
        </w:rPr>
        <w:t xml:space="preserve"> </w:t>
      </w:r>
      <w:r w:rsidRPr="00164960">
        <w:rPr>
          <w:rFonts w:ascii="Times New Roman" w:hAnsi="Times New Roman"/>
          <w:sz w:val="24"/>
          <w:szCs w:val="24"/>
        </w:rPr>
        <w:t>therefore reverse the judgment of the Court of Appeals and</w:t>
      </w:r>
      <w:r>
        <w:rPr>
          <w:rFonts w:ascii="Times New Roman" w:hAnsi="Times New Roman"/>
          <w:sz w:val="24"/>
          <w:szCs w:val="24"/>
        </w:rPr>
        <w:t xml:space="preserve"> </w:t>
      </w:r>
      <w:r w:rsidRPr="00164960">
        <w:rPr>
          <w:rFonts w:ascii="Times New Roman" w:hAnsi="Times New Roman"/>
          <w:sz w:val="24"/>
          <w:szCs w:val="24"/>
        </w:rPr>
        <w:t>remand the case for further proceedings consistent with</w:t>
      </w:r>
      <w:r>
        <w:rPr>
          <w:rFonts w:ascii="Times New Roman" w:hAnsi="Times New Roman"/>
          <w:sz w:val="24"/>
          <w:szCs w:val="24"/>
        </w:rPr>
        <w:t xml:space="preserve"> </w:t>
      </w:r>
      <w:r w:rsidRPr="00164960">
        <w:rPr>
          <w:rFonts w:ascii="Times New Roman" w:hAnsi="Times New Roman"/>
          <w:sz w:val="24"/>
          <w:szCs w:val="24"/>
        </w:rPr>
        <w:t>this opinion.</w:t>
      </w:r>
      <w:r>
        <w:rPr>
          <w:rFonts w:ascii="Times New Roman" w:hAnsi="Times New Roman"/>
          <w:sz w:val="24"/>
          <w:szCs w:val="24"/>
        </w:rPr>
        <w:t xml:space="preserve">” </w:t>
      </w:r>
      <w:hyperlink r:id="rId145" w:history="1">
        <w:r w:rsidRPr="00DF21B2">
          <w:rPr>
            <w:rStyle w:val="Hyperlink"/>
            <w:rFonts w:ascii="Times New Roman" w:hAnsi="Times New Roman"/>
            <w:sz w:val="24"/>
            <w:szCs w:val="24"/>
          </w:rPr>
          <w:t>https://www.supremecourt.gov/opinions/23pdf/22-982_bq7d.pdf</w:t>
        </w:r>
      </w:hyperlink>
      <w:r>
        <w:t xml:space="preserve"> </w:t>
      </w:r>
    </w:p>
    <w:p w14:paraId="69FB0E15" w14:textId="77777777" w:rsidR="002C7131" w:rsidRDefault="002C7131" w:rsidP="002C7131">
      <w:pPr>
        <w:pStyle w:val="NoSpacing"/>
        <w:rPr>
          <w:rFonts w:ascii="Times New Roman" w:hAnsi="Times New Roman"/>
          <w:sz w:val="24"/>
          <w:szCs w:val="24"/>
        </w:rPr>
      </w:pPr>
    </w:p>
    <w:p w14:paraId="4065FD90" w14:textId="77777777" w:rsidR="007276B8" w:rsidRPr="00666E81" w:rsidRDefault="007276B8" w:rsidP="007276B8">
      <w:pPr>
        <w:spacing w:after="0" w:line="240" w:lineRule="auto"/>
        <w:rPr>
          <w:rFonts w:ascii="Times New Roman" w:eastAsia="Times New Roman" w:hAnsi="Times New Roman"/>
          <w:sz w:val="24"/>
          <w:szCs w:val="24"/>
        </w:rPr>
      </w:pPr>
      <w:r w:rsidRPr="003C56CA">
        <w:rPr>
          <w:rFonts w:ascii="Times New Roman" w:eastAsia="Times New Roman" w:hAnsi="Times New Roman"/>
          <w:sz w:val="24"/>
          <w:szCs w:val="24"/>
        </w:rPr>
        <w:t>DISSENT</w:t>
      </w:r>
      <w:r w:rsidRPr="00666E81">
        <w:rPr>
          <w:rFonts w:ascii="Times New Roman" w:eastAsia="Times New Roman" w:hAnsi="Times New Roman"/>
          <w:sz w:val="24"/>
          <w:szCs w:val="24"/>
        </w:rPr>
        <w:t xml:space="preserve"> [Opinion by Justice </w:t>
      </w:r>
      <w:r w:rsidRPr="00666E81">
        <w:rPr>
          <w:rFonts w:ascii="Times New Roman" w:hAnsi="Times New Roman"/>
          <w:sz w:val="24"/>
          <w:szCs w:val="24"/>
        </w:rPr>
        <w:t>Ketanji Onyika Brown Jackson]</w:t>
      </w:r>
      <w:r>
        <w:rPr>
          <w:rFonts w:ascii="Times New Roman" w:hAnsi="Times New Roman"/>
          <w:sz w:val="24"/>
          <w:szCs w:val="24"/>
        </w:rPr>
        <w:t>:</w:t>
      </w:r>
    </w:p>
    <w:p w14:paraId="23BD46D2" w14:textId="77777777" w:rsidR="007276B8" w:rsidRDefault="007276B8" w:rsidP="007276B8">
      <w:pPr>
        <w:spacing w:after="0" w:line="240" w:lineRule="auto"/>
        <w:rPr>
          <w:rFonts w:ascii="Times New Roman" w:eastAsia="Times New Roman" w:hAnsi="Times New Roman"/>
          <w:sz w:val="24"/>
          <w:szCs w:val="24"/>
        </w:rPr>
      </w:pPr>
    </w:p>
    <w:p w14:paraId="2F52A109" w14:textId="77777777" w:rsidR="007276B8" w:rsidRPr="00153EC8" w:rsidRDefault="007276B8" w:rsidP="007276B8">
      <w:pPr>
        <w:spacing w:after="0" w:line="240" w:lineRule="auto"/>
        <w:ind w:left="720"/>
        <w:rPr>
          <w:rFonts w:ascii="Times New Roman" w:eastAsia="Times New Roman" w:hAnsi="Times New Roman"/>
          <w:sz w:val="24"/>
          <w:szCs w:val="24"/>
        </w:rPr>
      </w:pPr>
      <w:r>
        <w:rPr>
          <w:rFonts w:ascii="Times New Roman" w:eastAsia="Times New Roman" w:hAnsi="Times New Roman"/>
          <w:sz w:val="24"/>
          <w:szCs w:val="24"/>
        </w:rPr>
        <w:t>“</w:t>
      </w:r>
      <w:r w:rsidRPr="00311219">
        <w:rPr>
          <w:rFonts w:ascii="Times New Roman" w:eastAsia="Times New Roman" w:hAnsi="Times New Roman"/>
          <w:sz w:val="24"/>
          <w:szCs w:val="24"/>
        </w:rPr>
        <w:t>I agree with JUSTICE SOTOMAYOR that</w:t>
      </w:r>
      <w:r>
        <w:rPr>
          <w:rFonts w:ascii="Times New Roman" w:eastAsia="Times New Roman" w:hAnsi="Times New Roman"/>
          <w:sz w:val="24"/>
          <w:szCs w:val="24"/>
        </w:rPr>
        <w:t xml:space="preserve"> </w:t>
      </w:r>
      <w:r w:rsidRPr="00311219">
        <w:rPr>
          <w:rFonts w:ascii="Times New Roman" w:eastAsia="Times New Roman" w:hAnsi="Times New Roman"/>
          <w:sz w:val="24"/>
          <w:szCs w:val="24"/>
        </w:rPr>
        <w:t>we are not the right tribunal to parse the extensive factual</w:t>
      </w:r>
      <w:r>
        <w:rPr>
          <w:rFonts w:ascii="Times New Roman" w:eastAsia="Times New Roman" w:hAnsi="Times New Roman"/>
          <w:sz w:val="24"/>
          <w:szCs w:val="24"/>
        </w:rPr>
        <w:t xml:space="preserve"> </w:t>
      </w:r>
      <w:r w:rsidRPr="00311219">
        <w:rPr>
          <w:rFonts w:ascii="Times New Roman" w:eastAsia="Times New Roman" w:hAnsi="Times New Roman"/>
          <w:sz w:val="24"/>
          <w:szCs w:val="24"/>
        </w:rPr>
        <w:t>record in this case in the first instance. That is doubly true</w:t>
      </w:r>
      <w:r>
        <w:rPr>
          <w:rFonts w:ascii="Times New Roman" w:eastAsia="Times New Roman" w:hAnsi="Times New Roman"/>
          <w:sz w:val="24"/>
          <w:szCs w:val="24"/>
        </w:rPr>
        <w:t xml:space="preserve"> </w:t>
      </w:r>
      <w:r w:rsidRPr="00311219">
        <w:rPr>
          <w:rFonts w:ascii="Times New Roman" w:eastAsia="Times New Roman" w:hAnsi="Times New Roman"/>
          <w:sz w:val="24"/>
          <w:szCs w:val="24"/>
        </w:rPr>
        <w:t>where the Ninth Circuit committed no legal error in reviewing that record to begin with. I respectfully dissent</w:t>
      </w:r>
      <w:r>
        <w:rPr>
          <w:rFonts w:ascii="Times New Roman" w:eastAsia="Times New Roman" w:hAnsi="Times New Roman"/>
          <w:sz w:val="24"/>
          <w:szCs w:val="24"/>
        </w:rPr>
        <w:t>.”</w:t>
      </w:r>
    </w:p>
    <w:p w14:paraId="0FF89955" w14:textId="77777777" w:rsidR="007276B8" w:rsidRDefault="007276B8" w:rsidP="007276B8">
      <w:pPr>
        <w:pStyle w:val="NoSpacing"/>
        <w:rPr>
          <w:rFonts w:ascii="Times New Roman" w:hAnsi="Times New Roman"/>
          <w:sz w:val="24"/>
          <w:szCs w:val="24"/>
          <w:shd w:val="clear" w:color="auto" w:fill="FFFFFF"/>
        </w:rPr>
      </w:pPr>
    </w:p>
    <w:p w14:paraId="4F1F1B28" w14:textId="77777777" w:rsidR="007276B8" w:rsidRPr="005446DE" w:rsidRDefault="007276B8" w:rsidP="007276B8">
      <w:pPr>
        <w:pStyle w:val="NormalWeb"/>
        <w:spacing w:before="0" w:beforeAutospacing="0"/>
        <w:rPr>
          <w:b/>
          <w:bCs/>
          <w:color w:val="454545"/>
          <w:shd w:val="clear" w:color="auto" w:fill="FFFFFF"/>
        </w:rPr>
      </w:pPr>
      <w:r w:rsidRPr="005446DE">
        <w:rPr>
          <w:b/>
          <w:bCs/>
          <w:color w:val="454545"/>
          <w:shd w:val="clear" w:color="auto" w:fill="FFFFFF"/>
        </w:rPr>
        <w:t xml:space="preserve">Legal Lesson Learned: </w:t>
      </w:r>
      <w:r>
        <w:rPr>
          <w:b/>
          <w:bCs/>
          <w:color w:val="454545"/>
          <w:shd w:val="clear" w:color="auto" w:fill="FFFFFF"/>
        </w:rPr>
        <w:t xml:space="preserve">Hopefully this decision will lead to far fewer habeas corpus decisions by Federal courts of prisoners convicted in state court. </w:t>
      </w:r>
    </w:p>
    <w:p w14:paraId="3765BC2F" w14:textId="77777777" w:rsidR="006A0C24" w:rsidRDefault="006A0C24" w:rsidP="00B86628">
      <w:pPr>
        <w:pStyle w:val="NoSpacing"/>
        <w:rPr>
          <w:rFonts w:ascii="Arial Black" w:hAnsi="Arial Black"/>
          <w:sz w:val="24"/>
          <w:szCs w:val="24"/>
        </w:rPr>
      </w:pPr>
    </w:p>
    <w:p w14:paraId="3AF77ED2" w14:textId="77777777" w:rsidR="006A0C24" w:rsidRDefault="006A0C24" w:rsidP="00B86628">
      <w:pPr>
        <w:pStyle w:val="NoSpacing"/>
        <w:rPr>
          <w:rFonts w:ascii="Arial Black" w:hAnsi="Arial Black"/>
          <w:sz w:val="24"/>
          <w:szCs w:val="24"/>
        </w:rPr>
      </w:pPr>
    </w:p>
    <w:p w14:paraId="14565FAC" w14:textId="77777777" w:rsidR="006A0C24" w:rsidRDefault="006A0C24" w:rsidP="00B86628">
      <w:pPr>
        <w:pStyle w:val="NoSpacing"/>
        <w:rPr>
          <w:rFonts w:ascii="Arial Black" w:hAnsi="Arial Black"/>
          <w:sz w:val="24"/>
          <w:szCs w:val="24"/>
        </w:rPr>
      </w:pPr>
    </w:p>
    <w:p w14:paraId="3B6AB2D8" w14:textId="43C915CE" w:rsidR="00D91CD7" w:rsidRDefault="00D91CD7" w:rsidP="00B86628">
      <w:pPr>
        <w:pStyle w:val="NoSpacing"/>
        <w:rPr>
          <w:rFonts w:ascii="Arial Black" w:hAnsi="Arial Black"/>
          <w:sz w:val="24"/>
          <w:szCs w:val="24"/>
        </w:rPr>
      </w:pPr>
      <w:r>
        <w:rPr>
          <w:rFonts w:ascii="Arial Black" w:hAnsi="Arial Black"/>
          <w:sz w:val="24"/>
          <w:szCs w:val="24"/>
        </w:rPr>
        <w:t>1-148</w:t>
      </w:r>
    </w:p>
    <w:p w14:paraId="726F1FC2" w14:textId="77777777" w:rsidR="00D91CD7" w:rsidRDefault="00D91CD7" w:rsidP="00B86628">
      <w:pPr>
        <w:pStyle w:val="NoSpacing"/>
        <w:rPr>
          <w:rFonts w:ascii="Arial Black" w:hAnsi="Arial Black"/>
          <w:sz w:val="24"/>
          <w:szCs w:val="24"/>
        </w:rPr>
      </w:pPr>
    </w:p>
    <w:p w14:paraId="0DA13E11" w14:textId="79300BDB" w:rsidR="00D91CD7" w:rsidRPr="002D2487" w:rsidRDefault="00D91CD7" w:rsidP="00D91CD7">
      <w:pPr>
        <w:pStyle w:val="NormalWeb"/>
        <w:shd w:val="clear" w:color="auto" w:fill="FFFFFF"/>
        <w:spacing w:before="0" w:beforeAutospacing="0"/>
        <w:rPr>
          <w:rFonts w:ascii="Arial Black" w:hAnsi="Arial Black"/>
          <w:sz w:val="28"/>
          <w:szCs w:val="28"/>
        </w:rPr>
      </w:pPr>
      <w:r>
        <w:rPr>
          <w:rFonts w:ascii="Arial Black" w:hAnsi="Arial Black"/>
          <w:sz w:val="28"/>
          <w:szCs w:val="28"/>
        </w:rPr>
        <w:t>MI: CODE ENFORCEMENT – DRONE VIDEOTAPED SAVAGE YARD WITHOUT WARRANT – EXCLUS</w:t>
      </w:r>
      <w:r w:rsidR="00162E4F">
        <w:rPr>
          <w:rFonts w:ascii="Arial Black" w:hAnsi="Arial Black"/>
          <w:sz w:val="28"/>
          <w:szCs w:val="28"/>
        </w:rPr>
        <w:t xml:space="preserve">IONARY </w:t>
      </w:r>
      <w:r>
        <w:rPr>
          <w:rFonts w:ascii="Arial Black" w:hAnsi="Arial Black"/>
          <w:sz w:val="28"/>
          <w:szCs w:val="28"/>
        </w:rPr>
        <w:t>RULE NOT APPLY</w:t>
      </w:r>
    </w:p>
    <w:p w14:paraId="7DD6C3B3" w14:textId="77777777" w:rsidR="00D91CD7" w:rsidRDefault="00D91CD7" w:rsidP="00D91CD7">
      <w:pPr>
        <w:pStyle w:val="NormalWeb"/>
        <w:shd w:val="clear" w:color="auto" w:fill="FFFFFF"/>
        <w:spacing w:before="0" w:beforeAutospacing="0"/>
      </w:pPr>
      <w:r>
        <w:t xml:space="preserve">On May 3, 2024, in </w:t>
      </w:r>
      <w:r w:rsidRPr="001C2E85">
        <w:rPr>
          <w:u w:val="single"/>
        </w:rPr>
        <w:t>Long Lake Township v. Todd Maxon and Heather Maxon</w:t>
      </w:r>
      <w:r>
        <w:t xml:space="preserve">, the Supreme Court of Michigan held (7 to 0) that the video is admissible in zoning action.  The Court held: </w:t>
      </w:r>
    </w:p>
    <w:p w14:paraId="3AD446D7" w14:textId="74CE8E10" w:rsidR="00D91CD7" w:rsidRPr="00A97B04" w:rsidRDefault="00D91CD7" w:rsidP="00CD1833">
      <w:pPr>
        <w:pStyle w:val="NoSpacing"/>
        <w:ind w:left="720"/>
        <w:rPr>
          <w:rFonts w:ascii="Times New Roman" w:hAnsi="Times New Roman"/>
          <w:sz w:val="24"/>
          <w:szCs w:val="24"/>
        </w:rPr>
      </w:pPr>
      <w:r>
        <w:rPr>
          <w:rFonts w:ascii="Times New Roman" w:hAnsi="Times New Roman"/>
          <w:sz w:val="24"/>
          <w:szCs w:val="24"/>
        </w:rPr>
        <w:t>“</w:t>
      </w:r>
      <w:r w:rsidRPr="00A97B04">
        <w:rPr>
          <w:rFonts w:ascii="Times New Roman" w:hAnsi="Times New Roman"/>
          <w:sz w:val="24"/>
          <w:szCs w:val="24"/>
        </w:rPr>
        <w:t>We hold that the costs of applying the exclusionary rule in this case would outweigh</w:t>
      </w:r>
      <w:r w:rsidR="00CD1833">
        <w:rPr>
          <w:rFonts w:ascii="Times New Roman" w:hAnsi="Times New Roman"/>
          <w:sz w:val="24"/>
          <w:szCs w:val="24"/>
        </w:rPr>
        <w:t xml:space="preserve"> </w:t>
      </w:r>
      <w:r w:rsidRPr="00A97B04">
        <w:rPr>
          <w:rFonts w:ascii="Times New Roman" w:hAnsi="Times New Roman"/>
          <w:sz w:val="24"/>
          <w:szCs w:val="24"/>
        </w:rPr>
        <w:t>the benefits. Applying the exclusionary rule would prevent the Township from effectuating</w:t>
      </w:r>
      <w:r>
        <w:rPr>
          <w:rFonts w:ascii="Times New Roman" w:hAnsi="Times New Roman"/>
          <w:sz w:val="24"/>
          <w:szCs w:val="24"/>
        </w:rPr>
        <w:t xml:space="preserve"> </w:t>
      </w:r>
      <w:r w:rsidRPr="00A97B04">
        <w:rPr>
          <w:rFonts w:ascii="Times New Roman" w:hAnsi="Times New Roman"/>
          <w:sz w:val="24"/>
          <w:szCs w:val="24"/>
        </w:rPr>
        <w:t>its nuisance and zoning ordinances—a serious cost. It would do so for little benefit given</w:t>
      </w:r>
      <w:r>
        <w:rPr>
          <w:rFonts w:ascii="Times New Roman" w:hAnsi="Times New Roman"/>
          <w:sz w:val="24"/>
          <w:szCs w:val="24"/>
        </w:rPr>
        <w:t xml:space="preserve"> </w:t>
      </w:r>
      <w:r w:rsidRPr="00A97B04">
        <w:rPr>
          <w:rFonts w:ascii="Times New Roman" w:hAnsi="Times New Roman"/>
          <w:sz w:val="24"/>
          <w:szCs w:val="24"/>
        </w:rPr>
        <w:t>that exclusion of the photographs and video here would not deter future misconduct by law</w:t>
      </w:r>
      <w:r>
        <w:rPr>
          <w:rFonts w:ascii="Times New Roman" w:hAnsi="Times New Roman"/>
          <w:sz w:val="24"/>
          <w:szCs w:val="24"/>
        </w:rPr>
        <w:t xml:space="preserve"> </w:t>
      </w:r>
      <w:r w:rsidRPr="00A97B04">
        <w:rPr>
          <w:rFonts w:ascii="Times New Roman" w:hAnsi="Times New Roman"/>
          <w:sz w:val="24"/>
          <w:szCs w:val="24"/>
        </w:rPr>
        <w:t xml:space="preserve">enforcement officers or their adjuncts, proxies, or agents. We agree with the Court of Appeals’ conclusion </w:t>
      </w:r>
      <w:proofErr w:type="gramStart"/>
      <w:r w:rsidRPr="00A97B04">
        <w:rPr>
          <w:rFonts w:ascii="Times New Roman" w:hAnsi="Times New Roman"/>
          <w:sz w:val="24"/>
          <w:szCs w:val="24"/>
        </w:rPr>
        <w:t xml:space="preserve">that </w:t>
      </w:r>
      <w:r>
        <w:rPr>
          <w:rFonts w:ascii="Times New Roman" w:hAnsi="Times New Roman"/>
          <w:sz w:val="24"/>
          <w:szCs w:val="24"/>
        </w:rPr>
        <w:t>‘</w:t>
      </w:r>
      <w:r w:rsidRPr="00A97B04">
        <w:rPr>
          <w:rFonts w:ascii="Times New Roman" w:hAnsi="Times New Roman"/>
          <w:sz w:val="24"/>
          <w:szCs w:val="24"/>
        </w:rPr>
        <w:t>[t]he</w:t>
      </w:r>
      <w:proofErr w:type="gramEnd"/>
      <w:r w:rsidRPr="00A97B04">
        <w:rPr>
          <w:rFonts w:ascii="Times New Roman" w:hAnsi="Times New Roman"/>
          <w:sz w:val="24"/>
          <w:szCs w:val="24"/>
        </w:rPr>
        <w:t xml:space="preserve"> exclusionary rule was not intended to operate in this arena,</w:t>
      </w:r>
      <w:r>
        <w:rPr>
          <w:rFonts w:ascii="Times New Roman" w:hAnsi="Times New Roman"/>
          <w:sz w:val="24"/>
          <w:szCs w:val="24"/>
        </w:rPr>
        <w:t xml:space="preserve">’ </w:t>
      </w:r>
      <w:r w:rsidRPr="00A97B04">
        <w:rPr>
          <w:rFonts w:ascii="Times New Roman" w:hAnsi="Times New Roman"/>
          <w:sz w:val="24"/>
          <w:szCs w:val="24"/>
        </w:rPr>
        <w:t>and application of the rule in this case would serve no valuable function.</w:t>
      </w:r>
      <w:r>
        <w:rPr>
          <w:rFonts w:ascii="Times New Roman" w:hAnsi="Times New Roman"/>
          <w:sz w:val="24"/>
          <w:szCs w:val="24"/>
        </w:rPr>
        <w:t xml:space="preserve"> </w:t>
      </w:r>
      <w:r w:rsidRPr="00A97B04">
        <w:rPr>
          <w:rFonts w:ascii="Times New Roman" w:hAnsi="Times New Roman"/>
          <w:sz w:val="24"/>
          <w:szCs w:val="24"/>
        </w:rPr>
        <w:t>We therefore</w:t>
      </w:r>
      <w:r>
        <w:rPr>
          <w:rFonts w:ascii="Times New Roman" w:hAnsi="Times New Roman"/>
          <w:sz w:val="24"/>
          <w:szCs w:val="24"/>
        </w:rPr>
        <w:t xml:space="preserve"> </w:t>
      </w:r>
      <w:r w:rsidRPr="00A97B04">
        <w:rPr>
          <w:rFonts w:ascii="Times New Roman" w:hAnsi="Times New Roman"/>
          <w:sz w:val="24"/>
          <w:szCs w:val="24"/>
        </w:rPr>
        <w:t>affirm the judgment of the Court of Appeals and remand to the circuit court for further</w:t>
      </w:r>
      <w:r>
        <w:rPr>
          <w:rFonts w:ascii="Times New Roman" w:hAnsi="Times New Roman"/>
          <w:sz w:val="24"/>
          <w:szCs w:val="24"/>
        </w:rPr>
        <w:t xml:space="preserve"> </w:t>
      </w:r>
      <w:r w:rsidRPr="00A97B04">
        <w:rPr>
          <w:rFonts w:ascii="Times New Roman" w:hAnsi="Times New Roman"/>
          <w:sz w:val="24"/>
          <w:szCs w:val="24"/>
        </w:rPr>
        <w:t>proceedings.</w:t>
      </w:r>
      <w:r>
        <w:rPr>
          <w:rFonts w:ascii="Times New Roman" w:hAnsi="Times New Roman"/>
          <w:sz w:val="24"/>
          <w:szCs w:val="24"/>
        </w:rPr>
        <w:t xml:space="preserve">” </w:t>
      </w:r>
      <w:hyperlink r:id="rId146" w:history="1">
        <w:r w:rsidRPr="00A32FB7">
          <w:rPr>
            <w:rStyle w:val="Hyperlink"/>
            <w:rFonts w:ascii="Times New Roman" w:hAnsi="Times New Roman"/>
            <w:sz w:val="24"/>
            <w:szCs w:val="24"/>
          </w:rPr>
          <w:t>https://www.courts.michigan.gov/49940f/siteassets/case-documents/uploads/opinions/final/sct/164948_142_01.pdf</w:t>
        </w:r>
      </w:hyperlink>
      <w:r>
        <w:rPr>
          <w:rFonts w:ascii="Times New Roman" w:hAnsi="Times New Roman"/>
          <w:sz w:val="24"/>
          <w:szCs w:val="24"/>
        </w:rPr>
        <w:t xml:space="preserve"> </w:t>
      </w:r>
    </w:p>
    <w:p w14:paraId="5FBB60A6" w14:textId="77777777" w:rsidR="00BD2431" w:rsidRDefault="00BD2431" w:rsidP="006A0C24">
      <w:pPr>
        <w:pStyle w:val="NoSpacing"/>
        <w:rPr>
          <w:rFonts w:ascii="Times New Roman" w:hAnsi="Times New Roman"/>
          <w:b/>
          <w:bCs/>
          <w:sz w:val="24"/>
          <w:szCs w:val="24"/>
        </w:rPr>
      </w:pPr>
    </w:p>
    <w:p w14:paraId="7211ABA8" w14:textId="18A3D1FC" w:rsidR="006A0C24" w:rsidRPr="0026088F" w:rsidRDefault="006A0C24" w:rsidP="006A0C24">
      <w:pPr>
        <w:pStyle w:val="NoSpacing"/>
        <w:rPr>
          <w:rFonts w:ascii="Times New Roman" w:hAnsi="Times New Roman"/>
          <w:b/>
          <w:bCs/>
          <w:sz w:val="24"/>
          <w:szCs w:val="24"/>
        </w:rPr>
      </w:pPr>
      <w:r w:rsidRPr="0026088F">
        <w:rPr>
          <w:rFonts w:ascii="Times New Roman" w:hAnsi="Times New Roman"/>
          <w:b/>
          <w:bCs/>
          <w:sz w:val="24"/>
          <w:szCs w:val="24"/>
        </w:rPr>
        <w:t>Legal Lesson Learned:</w:t>
      </w:r>
      <w:r>
        <w:rPr>
          <w:rFonts w:ascii="Times New Roman" w:hAnsi="Times New Roman"/>
          <w:b/>
          <w:bCs/>
          <w:sz w:val="24"/>
          <w:szCs w:val="24"/>
        </w:rPr>
        <w:t xml:space="preserve"> To avoid motions to suppress, consider getting an administrative search warrant prior to using drone to videotape zoning violation. </w:t>
      </w:r>
      <w:r w:rsidR="002A2715">
        <w:rPr>
          <w:rFonts w:ascii="Times New Roman" w:hAnsi="Times New Roman"/>
          <w:b/>
          <w:bCs/>
          <w:sz w:val="24"/>
          <w:szCs w:val="24"/>
        </w:rPr>
        <w:t xml:space="preserve"> </w:t>
      </w:r>
    </w:p>
    <w:p w14:paraId="6D6C62A8" w14:textId="77777777" w:rsidR="006A0C24" w:rsidRDefault="006A0C24" w:rsidP="00B86628">
      <w:pPr>
        <w:pStyle w:val="NoSpacing"/>
        <w:rPr>
          <w:rFonts w:ascii="Arial Black" w:hAnsi="Arial Black"/>
          <w:sz w:val="24"/>
          <w:szCs w:val="24"/>
        </w:rPr>
      </w:pPr>
    </w:p>
    <w:p w14:paraId="1D579FC3" w14:textId="73C16C1B" w:rsidR="002422E0" w:rsidRDefault="002422E0" w:rsidP="002422E0">
      <w:pPr>
        <w:pStyle w:val="NoSpacing"/>
        <w:ind w:left="720"/>
        <w:rPr>
          <w:rFonts w:ascii="Times New Roman" w:hAnsi="Times New Roman"/>
          <w:sz w:val="24"/>
          <w:szCs w:val="24"/>
        </w:rPr>
      </w:pPr>
      <w:r>
        <w:rPr>
          <w:rFonts w:ascii="Times New Roman" w:hAnsi="Times New Roman"/>
          <w:sz w:val="24"/>
          <w:szCs w:val="24"/>
        </w:rPr>
        <w:t xml:space="preserve">Note:  See these articles on the case.  </w:t>
      </w:r>
    </w:p>
    <w:p w14:paraId="4598C6B1" w14:textId="77777777" w:rsidR="002422E0" w:rsidRDefault="002422E0" w:rsidP="002422E0">
      <w:pPr>
        <w:pStyle w:val="NoSpacing"/>
        <w:ind w:left="720"/>
        <w:rPr>
          <w:rFonts w:ascii="Times New Roman" w:hAnsi="Times New Roman"/>
          <w:sz w:val="24"/>
          <w:szCs w:val="24"/>
        </w:rPr>
      </w:pPr>
      <w:r w:rsidRPr="00F65379">
        <w:rPr>
          <w:rFonts w:ascii="Times New Roman" w:hAnsi="Times New Roman"/>
          <w:sz w:val="24"/>
          <w:szCs w:val="24"/>
        </w:rPr>
        <w:t xml:space="preserve">July 22, 2024: This Michigan Supreme Court Case Has the Potential to Guide Drone and Air Rights Law for the Nation. </w:t>
      </w:r>
      <w:hyperlink r:id="rId147" w:history="1">
        <w:r w:rsidRPr="00F65379">
          <w:rPr>
            <w:rStyle w:val="Hyperlink"/>
            <w:rFonts w:ascii="Times New Roman" w:hAnsi="Times New Roman"/>
            <w:sz w:val="24"/>
            <w:szCs w:val="24"/>
          </w:rPr>
          <w:t>https://natlawreview.com/article/michigan-supreme-court-case-has-potential-guide-drone-and-air-rights-law-nation</w:t>
        </w:r>
      </w:hyperlink>
      <w:r w:rsidRPr="00F65379">
        <w:rPr>
          <w:rFonts w:ascii="Times New Roman" w:hAnsi="Times New Roman"/>
          <w:sz w:val="24"/>
          <w:szCs w:val="24"/>
        </w:rPr>
        <w:t xml:space="preserve"> </w:t>
      </w:r>
    </w:p>
    <w:p w14:paraId="52B7E938" w14:textId="77777777" w:rsidR="00F841C3" w:rsidRDefault="00F841C3" w:rsidP="002422E0">
      <w:pPr>
        <w:pStyle w:val="NoSpacing"/>
        <w:ind w:left="720"/>
        <w:rPr>
          <w:rFonts w:ascii="Times New Roman" w:hAnsi="Times New Roman"/>
          <w:sz w:val="24"/>
          <w:szCs w:val="24"/>
        </w:rPr>
      </w:pPr>
    </w:p>
    <w:p w14:paraId="2099B73C" w14:textId="77777777" w:rsidR="00F841C3" w:rsidRPr="00DF31EA" w:rsidRDefault="00F841C3" w:rsidP="00F841C3">
      <w:pPr>
        <w:pStyle w:val="NoSpacing"/>
        <w:ind w:left="720"/>
        <w:rPr>
          <w:rFonts w:ascii="Times New Roman" w:hAnsi="Times New Roman"/>
          <w:sz w:val="24"/>
          <w:szCs w:val="24"/>
        </w:rPr>
      </w:pPr>
      <w:r w:rsidRPr="00DF31EA">
        <w:rPr>
          <w:rFonts w:ascii="Times New Roman" w:hAnsi="Times New Roman"/>
          <w:sz w:val="24"/>
          <w:szCs w:val="24"/>
        </w:rPr>
        <w:t xml:space="preserve">May 8. 2024: Michigan Supreme Court Allows Drone Surveillance Evidence in Civil Case </w:t>
      </w:r>
      <w:hyperlink r:id="rId148" w:history="1">
        <w:r w:rsidRPr="00DF31EA">
          <w:rPr>
            <w:rStyle w:val="Hyperlink"/>
            <w:rFonts w:ascii="Times New Roman" w:hAnsi="Times New Roman"/>
            <w:sz w:val="24"/>
            <w:szCs w:val="24"/>
          </w:rPr>
          <w:t>https://dronelife.com/2024/05/08/michigan-supreme-court-allows-drone-surveillance-evidence-in-civil-case/</w:t>
        </w:r>
      </w:hyperlink>
      <w:r w:rsidRPr="00DF31EA">
        <w:rPr>
          <w:rFonts w:ascii="Times New Roman" w:hAnsi="Times New Roman"/>
          <w:sz w:val="24"/>
          <w:szCs w:val="24"/>
        </w:rPr>
        <w:t xml:space="preserve"> </w:t>
      </w:r>
    </w:p>
    <w:p w14:paraId="27D7E5DA" w14:textId="77777777" w:rsidR="00F841C3" w:rsidRPr="00F65379" w:rsidRDefault="00F841C3" w:rsidP="002422E0">
      <w:pPr>
        <w:pStyle w:val="NoSpacing"/>
        <w:ind w:left="720"/>
        <w:rPr>
          <w:rFonts w:ascii="Times New Roman" w:hAnsi="Times New Roman"/>
          <w:sz w:val="24"/>
          <w:szCs w:val="24"/>
        </w:rPr>
      </w:pPr>
    </w:p>
    <w:p w14:paraId="110B5FC0" w14:textId="77777777" w:rsidR="002422E0" w:rsidRPr="00F65379" w:rsidRDefault="002422E0" w:rsidP="002422E0">
      <w:pPr>
        <w:pStyle w:val="NoSpacing"/>
        <w:ind w:left="720"/>
        <w:rPr>
          <w:rFonts w:ascii="Times New Roman" w:hAnsi="Times New Roman"/>
          <w:sz w:val="24"/>
          <w:szCs w:val="24"/>
        </w:rPr>
      </w:pPr>
    </w:p>
    <w:p w14:paraId="7C650E5B" w14:textId="77777777" w:rsidR="002422E0" w:rsidRPr="00F65379" w:rsidRDefault="002422E0" w:rsidP="002422E0">
      <w:pPr>
        <w:pStyle w:val="NoSpacing"/>
        <w:ind w:left="720"/>
        <w:rPr>
          <w:rFonts w:ascii="Times New Roman" w:hAnsi="Times New Roman"/>
          <w:sz w:val="24"/>
          <w:szCs w:val="24"/>
        </w:rPr>
      </w:pPr>
      <w:r w:rsidRPr="00F65379">
        <w:rPr>
          <w:rFonts w:ascii="Times New Roman" w:hAnsi="Times New Roman"/>
          <w:sz w:val="24"/>
          <w:szCs w:val="24"/>
        </w:rPr>
        <w:t xml:space="preserve">May 3, 2024: Michigan Supreme Court rules against </w:t>
      </w:r>
      <w:proofErr w:type="gramStart"/>
      <w:r w:rsidRPr="00F65379">
        <w:rPr>
          <w:rFonts w:ascii="Times New Roman" w:hAnsi="Times New Roman"/>
          <w:sz w:val="24"/>
          <w:szCs w:val="24"/>
        </w:rPr>
        <w:t>couple</w:t>
      </w:r>
      <w:proofErr w:type="gramEnd"/>
      <w:r w:rsidRPr="00F65379">
        <w:rPr>
          <w:rFonts w:ascii="Times New Roman" w:hAnsi="Times New Roman"/>
          <w:sz w:val="24"/>
          <w:szCs w:val="24"/>
        </w:rPr>
        <w:t xml:space="preserve"> in </w:t>
      </w:r>
      <w:proofErr w:type="gramStart"/>
      <w:r w:rsidRPr="00F65379">
        <w:rPr>
          <w:rFonts w:ascii="Times New Roman" w:hAnsi="Times New Roman"/>
          <w:sz w:val="24"/>
          <w:szCs w:val="24"/>
        </w:rPr>
        <w:t>dispute</w:t>
      </w:r>
      <w:proofErr w:type="gramEnd"/>
      <w:r w:rsidRPr="00F65379">
        <w:rPr>
          <w:rFonts w:ascii="Times New Roman" w:hAnsi="Times New Roman"/>
          <w:sz w:val="24"/>
          <w:szCs w:val="24"/>
        </w:rPr>
        <w:t xml:space="preserve"> over privacy and drone photos of land. </w:t>
      </w:r>
      <w:hyperlink r:id="rId149" w:history="1">
        <w:r w:rsidRPr="00F65379">
          <w:rPr>
            <w:rStyle w:val="Hyperlink"/>
            <w:rFonts w:ascii="Times New Roman" w:hAnsi="Times New Roman"/>
            <w:sz w:val="24"/>
            <w:szCs w:val="24"/>
          </w:rPr>
          <w:t>https://apnews.com/article/michigan-drone-photos-constitution-3c30154b6f1af1b234c1cc8f64945237</w:t>
        </w:r>
      </w:hyperlink>
      <w:r w:rsidRPr="00F65379">
        <w:rPr>
          <w:rFonts w:ascii="Times New Roman" w:hAnsi="Times New Roman"/>
          <w:sz w:val="24"/>
          <w:szCs w:val="24"/>
        </w:rPr>
        <w:t xml:space="preserve"> </w:t>
      </w:r>
    </w:p>
    <w:p w14:paraId="1F2B81F5" w14:textId="77777777" w:rsidR="002422E0" w:rsidRPr="00F65379" w:rsidRDefault="002422E0" w:rsidP="002422E0">
      <w:pPr>
        <w:pStyle w:val="NoSpacing"/>
        <w:ind w:left="720"/>
        <w:rPr>
          <w:rFonts w:ascii="Times New Roman" w:hAnsi="Times New Roman"/>
          <w:sz w:val="24"/>
          <w:szCs w:val="24"/>
        </w:rPr>
      </w:pPr>
    </w:p>
    <w:p w14:paraId="632549CD" w14:textId="77777777" w:rsidR="002422E0" w:rsidRPr="00F65379" w:rsidRDefault="002422E0" w:rsidP="002422E0">
      <w:pPr>
        <w:pStyle w:val="NoSpacing"/>
        <w:ind w:left="720"/>
        <w:rPr>
          <w:rFonts w:ascii="Times New Roman" w:hAnsi="Times New Roman"/>
          <w:sz w:val="24"/>
          <w:szCs w:val="24"/>
        </w:rPr>
      </w:pPr>
      <w:r w:rsidRPr="00F65379">
        <w:rPr>
          <w:rFonts w:ascii="Times New Roman" w:hAnsi="Times New Roman"/>
          <w:sz w:val="24"/>
          <w:szCs w:val="24"/>
        </w:rPr>
        <w:t xml:space="preserve">Nov. 15, 2023: Little-known Michigan court case could have massive constitutional effects across the nation. </w:t>
      </w:r>
      <w:hyperlink r:id="rId150" w:history="1">
        <w:r w:rsidRPr="00F65379">
          <w:rPr>
            <w:rStyle w:val="Hyperlink"/>
            <w:rFonts w:ascii="Times New Roman" w:hAnsi="Times New Roman"/>
            <w:sz w:val="24"/>
            <w:szCs w:val="24"/>
          </w:rPr>
          <w:t>https://www.washingtonexaminer.com/opinion/beltway-confidential/2771350/little-known-michigan-court-case-could-have-massive-constitutional-effects-across-the-nation/</w:t>
        </w:r>
      </w:hyperlink>
      <w:r w:rsidRPr="00F65379">
        <w:rPr>
          <w:rFonts w:ascii="Times New Roman" w:hAnsi="Times New Roman"/>
          <w:sz w:val="24"/>
          <w:szCs w:val="24"/>
        </w:rPr>
        <w:t xml:space="preserve"> </w:t>
      </w:r>
    </w:p>
    <w:p w14:paraId="288D2759" w14:textId="77777777" w:rsidR="002422E0" w:rsidRPr="00F65379" w:rsidRDefault="002422E0" w:rsidP="002422E0">
      <w:pPr>
        <w:pStyle w:val="NoSpacing"/>
        <w:ind w:left="720"/>
        <w:rPr>
          <w:rFonts w:ascii="Times New Roman" w:hAnsi="Times New Roman"/>
          <w:sz w:val="24"/>
          <w:szCs w:val="24"/>
        </w:rPr>
      </w:pPr>
    </w:p>
    <w:p w14:paraId="36EF81E9" w14:textId="77777777" w:rsidR="002422E0" w:rsidRDefault="002422E0" w:rsidP="00B86628">
      <w:pPr>
        <w:pStyle w:val="NoSpacing"/>
        <w:rPr>
          <w:rFonts w:ascii="Arial Black" w:hAnsi="Arial Black"/>
          <w:sz w:val="24"/>
          <w:szCs w:val="24"/>
        </w:rPr>
      </w:pPr>
    </w:p>
    <w:p w14:paraId="6814A441" w14:textId="77777777" w:rsidR="00D91CD7" w:rsidRDefault="00D91CD7" w:rsidP="00B86628">
      <w:pPr>
        <w:pStyle w:val="NoSpacing"/>
        <w:rPr>
          <w:rFonts w:ascii="Arial Black" w:hAnsi="Arial Black"/>
          <w:sz w:val="24"/>
          <w:szCs w:val="24"/>
        </w:rPr>
      </w:pPr>
    </w:p>
    <w:p w14:paraId="7B9B160C" w14:textId="075BCEAE" w:rsidR="00B86628" w:rsidRDefault="00B86628" w:rsidP="00B86628">
      <w:pPr>
        <w:pStyle w:val="NoSpacing"/>
        <w:rPr>
          <w:rFonts w:ascii="Arial Black" w:hAnsi="Arial Black"/>
          <w:sz w:val="24"/>
          <w:szCs w:val="24"/>
        </w:rPr>
      </w:pPr>
      <w:r>
        <w:rPr>
          <w:rFonts w:ascii="Arial Black" w:hAnsi="Arial Black"/>
          <w:sz w:val="24"/>
          <w:szCs w:val="24"/>
        </w:rPr>
        <w:t>1-147</w:t>
      </w:r>
    </w:p>
    <w:p w14:paraId="690FAA92" w14:textId="77777777" w:rsidR="00B86628" w:rsidRDefault="00B86628" w:rsidP="00F326E5">
      <w:pPr>
        <w:pStyle w:val="NoSpacing"/>
        <w:rPr>
          <w:rFonts w:ascii="Arial Black" w:hAnsi="Arial Black"/>
          <w:sz w:val="24"/>
          <w:szCs w:val="24"/>
        </w:rPr>
      </w:pPr>
    </w:p>
    <w:p w14:paraId="59174DED" w14:textId="77777777" w:rsidR="00B86628" w:rsidRPr="00227C43" w:rsidRDefault="00B86628" w:rsidP="00B86628">
      <w:pPr>
        <w:pStyle w:val="NormalWeb"/>
        <w:spacing w:before="0" w:beforeAutospacing="0"/>
        <w:rPr>
          <w:rFonts w:ascii="Arial Black" w:hAnsi="Arial Black"/>
          <w:sz w:val="28"/>
          <w:szCs w:val="28"/>
        </w:rPr>
      </w:pPr>
      <w:r>
        <w:rPr>
          <w:rFonts w:ascii="Arial Black" w:hAnsi="Arial Black"/>
          <w:sz w:val="28"/>
          <w:szCs w:val="28"/>
        </w:rPr>
        <w:t>OK: RV &amp; STRUCTURE FIRE – DUALING EXPERTS – ORIGIN IN RV’S REFRIGERATOR OR IN LOG PILE – BOTH QUALIFIED</w:t>
      </w:r>
    </w:p>
    <w:p w14:paraId="6E156625" w14:textId="77777777" w:rsidR="00B86628" w:rsidRDefault="00B86628" w:rsidP="00B86628">
      <w:pPr>
        <w:pStyle w:val="NormalWeb"/>
        <w:spacing w:before="0" w:beforeAutospacing="0"/>
      </w:pPr>
      <w:r>
        <w:lastRenderedPageBreak/>
        <w:t xml:space="preserve">On March 22, 2024, in </w:t>
      </w:r>
      <w:r w:rsidRPr="008B7C83">
        <w:rPr>
          <w:u w:val="single"/>
        </w:rPr>
        <w:t>Kevin W. Hoog and Rebecca Hoog v. Domestic Corporation</w:t>
      </w:r>
      <w:r>
        <w:t xml:space="preserve">, United States District Court Judge Jodi W. Dishan, U.S. District Court for Western District of Oklahoma, denied the plaintiffs’ motion to exclude the expert testimony of Walter Oliveaux, a certified fire and explosion expert, who will testify that the fire started in wood pile behind the structure, and not from the RV’s “gas absorption “ refrigerator. </w:t>
      </w:r>
    </w:p>
    <w:p w14:paraId="7D489C0E" w14:textId="77777777" w:rsidR="009A27F2" w:rsidRPr="004C0299" w:rsidRDefault="009A27F2" w:rsidP="009A27F2">
      <w:pPr>
        <w:pStyle w:val="NoSpacing"/>
        <w:rPr>
          <w:rFonts w:ascii="Times New Roman" w:hAnsi="Times New Roman"/>
          <w:sz w:val="24"/>
          <w:szCs w:val="24"/>
        </w:rPr>
      </w:pPr>
      <w:r>
        <w:rPr>
          <w:rFonts w:ascii="Times New Roman" w:hAnsi="Times New Roman"/>
          <w:sz w:val="24"/>
          <w:szCs w:val="24"/>
          <w:shd w:val="clear" w:color="auto" w:fill="FFFFFF"/>
        </w:rPr>
        <w:t>THE COURT HELD:</w:t>
      </w:r>
    </w:p>
    <w:p w14:paraId="45FC8C9B" w14:textId="77777777" w:rsidR="00B86628" w:rsidRDefault="00B86628" w:rsidP="00B86628">
      <w:pPr>
        <w:pStyle w:val="NormalWeb"/>
        <w:ind w:left="720"/>
      </w:pPr>
      <w:r>
        <w:t xml:space="preserve">“The admissibility of expert testimony is governed by Federal Rule of Evidence 702 and the Supreme Court's opinions in </w:t>
      </w:r>
      <w:r>
        <w:rPr>
          <w:rStyle w:val="Emphasis"/>
          <w:rFonts w:eastAsiaTheme="majorEastAsia"/>
        </w:rPr>
        <w:t>Daubert v. Merrell Dow Pharmaceuticals, Inc.</w:t>
      </w:r>
      <w:r>
        <w:t xml:space="preserve">, 509 U.S. 579 (1993) and </w:t>
      </w:r>
      <w:r>
        <w:rPr>
          <w:rStyle w:val="Emphasis"/>
          <w:rFonts w:eastAsiaTheme="majorEastAsia"/>
        </w:rPr>
        <w:t>Kumho Tire. S</w:t>
      </w:r>
      <w:r>
        <w:t xml:space="preserve">ee </w:t>
      </w:r>
      <w:r>
        <w:rPr>
          <w:rStyle w:val="Emphasis"/>
          <w:rFonts w:eastAsiaTheme="majorEastAsia"/>
        </w:rPr>
        <w:t>James River Ins. Co. v. Rapid Funding, LLC</w:t>
      </w:r>
      <w:r>
        <w:t>, 658 F.3d 1207, 1215 n.1 (10th Cir. 2011</w:t>
      </w:r>
      <w:proofErr w:type="gramStart"/>
      <w:r>
        <w:t>) (‘</w:t>
      </w:r>
      <w:proofErr w:type="gramEnd"/>
      <w:r>
        <w:t xml:space="preserve">If expert testimony is not reliable under </w:t>
      </w:r>
      <w:r>
        <w:rPr>
          <w:rStyle w:val="Emphasis"/>
          <w:rFonts w:eastAsiaTheme="majorEastAsia"/>
        </w:rPr>
        <w:t>Daubert/Kumho</w:t>
      </w:r>
      <w:r>
        <w:t xml:space="preserve">, it is not admissible under Rule 702.’). </w:t>
      </w:r>
    </w:p>
    <w:p w14:paraId="04AAF732" w14:textId="77777777" w:rsidR="00B86628" w:rsidRDefault="00B86628" w:rsidP="00B86628">
      <w:pPr>
        <w:pStyle w:val="NormalWeb"/>
        <w:ind w:left="720"/>
      </w:pPr>
      <w:r>
        <w:t>***</w:t>
      </w:r>
    </w:p>
    <w:p w14:paraId="2DD9E752" w14:textId="77777777" w:rsidR="00B86628" w:rsidRDefault="00B86628" w:rsidP="00B86628">
      <w:pPr>
        <w:pStyle w:val="NormalWeb"/>
        <w:ind w:left="720"/>
      </w:pPr>
      <w:r>
        <w:t xml:space="preserve">Mr. Oliveaux has been the Chief Investigator for SOS Investigations, Inc. for 30 years. In that role, he has investigated more than 1,000 fires, including RV fires where gas absorption refrigerators were present. He has provided expert consulting services in fire cause and origin investigations and accident reconstruction for three decades. Additionally, Mr. Oliveaux has served in several different capacities </w:t>
      </w:r>
      <w:proofErr w:type="gramStart"/>
      <w:r>
        <w:t>on</w:t>
      </w:r>
      <w:proofErr w:type="gramEnd"/>
      <w:r>
        <w:t xml:space="preserve"> the West Feliciana Fire Protection District from 1988 to the present, including as a firefighter, instructor, investigator, chief, assistant chief, and interim fire chief. As lead investigator for the department's fire investigations division, he led numerous arson and fire related death investigations. As such, the Court finds that his testimony will be helpful to the trier of fact, and he is qualified to proffer the opinions at issue.” </w:t>
      </w:r>
      <w:hyperlink r:id="rId151" w:history="1">
        <w:r w:rsidRPr="00525B4E">
          <w:rPr>
            <w:rStyle w:val="Hyperlink"/>
          </w:rPr>
          <w:t>https://public.fastcase.com/H1P9uiW3J20SFp%2BGCG%2BxLV1UD86YIpCG84PV7X%2BpnT1bSBvGb5%2F4r%2Bji24INAH28OEKlXyJ%2BAop5b2VZ9ytUlZZgkAmHpAE%2FiqsvJv8QoS0%3D?utm_medium=email&amp;_hsmi=226712652&amp;_hsenc=p2ANqtz--ZkRdN2zXdoxrl3owB4KoaH3odsucPmvtI49_VzIkvckm0OogBea4uvwy0e_nUnYms3ZfEOMqgWPnXMJBVQxzHG3rvjg&amp;utm_content=226712652&amp;utm_source=hs_email</w:t>
        </w:r>
      </w:hyperlink>
      <w:r>
        <w:t xml:space="preserve">  </w:t>
      </w:r>
    </w:p>
    <w:p w14:paraId="2E1E8B00" w14:textId="77777777" w:rsidR="00B86628" w:rsidRPr="003F297A" w:rsidRDefault="00B86628" w:rsidP="00B86628">
      <w:pPr>
        <w:pStyle w:val="NormalWeb"/>
        <w:rPr>
          <w:b/>
          <w:bCs/>
        </w:rPr>
      </w:pPr>
      <w:r>
        <w:rPr>
          <w:b/>
          <w:bCs/>
        </w:rPr>
        <w:t xml:space="preserve">Legal Lesson Learned:  Expert testimony on origin and cause by both plaintiff and defense is not unusual.  </w:t>
      </w:r>
    </w:p>
    <w:p w14:paraId="64C756AB" w14:textId="77777777" w:rsidR="00B86628" w:rsidRPr="00B86628" w:rsidRDefault="00B86628" w:rsidP="00B86628">
      <w:pPr>
        <w:pStyle w:val="Heading1"/>
        <w:ind w:left="720"/>
        <w:rPr>
          <w:b w:val="0"/>
          <w:bCs w:val="0"/>
          <w:sz w:val="24"/>
          <w:szCs w:val="24"/>
        </w:rPr>
      </w:pPr>
      <w:r w:rsidRPr="00B86628">
        <w:rPr>
          <w:b w:val="0"/>
          <w:bCs w:val="0"/>
          <w:sz w:val="24"/>
          <w:szCs w:val="24"/>
        </w:rPr>
        <w:t xml:space="preserve">Note: See Footnote 3: “Additionally, the Court notes that Edmond Fire Department Assistant Chief Mike Fitzgerald completed his investigation after his department extinguished the fire in the early morning hours of March 31, 2018. Due to the extreme fire damage sustained by the structure, Mr. Fitzgerald advised he was unable to determine </w:t>
      </w:r>
      <w:proofErr w:type="gramStart"/>
      <w:r w:rsidRPr="00B86628">
        <w:rPr>
          <w:b w:val="0"/>
          <w:bCs w:val="0"/>
          <w:sz w:val="24"/>
          <w:szCs w:val="24"/>
        </w:rPr>
        <w:t>an</w:t>
      </w:r>
      <w:proofErr w:type="gramEnd"/>
      <w:r w:rsidRPr="00B86628">
        <w:rPr>
          <w:b w:val="0"/>
          <w:bCs w:val="0"/>
          <w:sz w:val="24"/>
          <w:szCs w:val="24"/>
        </w:rPr>
        <w:t xml:space="preserve"> origin or cause of the fire, and the official cause of the fire was listed as ‘undetermined.’ However, he did indicate based on physical evidence and witness statements that in his opinion the area of origin was near or in the motor home or along the north wall by the electrical panel.”</w:t>
      </w:r>
    </w:p>
    <w:p w14:paraId="4E54BC88" w14:textId="77777777" w:rsidR="00B86628" w:rsidRPr="006E7129" w:rsidRDefault="00B86628" w:rsidP="00B86628">
      <w:pPr>
        <w:pStyle w:val="Heading1"/>
        <w:ind w:left="720"/>
        <w:rPr>
          <w:sz w:val="24"/>
          <w:szCs w:val="24"/>
        </w:rPr>
      </w:pPr>
      <w:r w:rsidRPr="006E7129">
        <w:rPr>
          <w:sz w:val="24"/>
          <w:szCs w:val="24"/>
        </w:rPr>
        <w:t xml:space="preserve">See article, “RV HVAC | How Absorption Refrigeration Works.” </w:t>
      </w:r>
      <w:hyperlink r:id="rId152" w:history="1">
        <w:r w:rsidRPr="00525B4E">
          <w:rPr>
            <w:rStyle w:val="Hyperlink"/>
            <w:sz w:val="24"/>
            <w:szCs w:val="24"/>
          </w:rPr>
          <w:t>https://haderhvac.com/blog/rv-hvac-absorption-refrigeration/</w:t>
        </w:r>
      </w:hyperlink>
      <w:r>
        <w:rPr>
          <w:sz w:val="24"/>
          <w:szCs w:val="24"/>
        </w:rPr>
        <w:t xml:space="preserve"> </w:t>
      </w:r>
    </w:p>
    <w:p w14:paraId="23D18227" w14:textId="77777777" w:rsidR="00B86628" w:rsidRDefault="00B86628" w:rsidP="00B86628">
      <w:pPr>
        <w:pStyle w:val="NormalWeb"/>
        <w:ind w:left="720"/>
      </w:pPr>
      <w:r>
        <w:t>“Absorption refrigeration units use heat to make cold through a process that is somewhat difficult to understand. However, understanding how the unit works can give owners a greater appreciation for and more knowledge about maintaining the device.</w:t>
      </w:r>
    </w:p>
    <w:p w14:paraId="377AD65B" w14:textId="77777777" w:rsidR="00B86628" w:rsidRDefault="00B86628" w:rsidP="00B86628">
      <w:pPr>
        <w:pStyle w:val="NormalWeb"/>
        <w:ind w:left="720"/>
      </w:pPr>
      <w:r>
        <w:t xml:space="preserve">Absorption refrigeration units have four main parts – the boiler, condenser, evaporators, and absorber. Inside the boiler, water and liquid ammonia are boiled by heat from an electrical coil or gas flame; the water separates from the ammonia and returns to the boiler while the ammonia travels up through the pipes to the condenser, where it becomes liquid again. After condensing into a liquid, hydrogen vapor is </w:t>
      </w:r>
      <w:r>
        <w:lastRenderedPageBreak/>
        <w:t xml:space="preserve">added to the ammonia in the low temperature evaporator, which </w:t>
      </w:r>
      <w:proofErr w:type="gramStart"/>
      <w:r>
        <w:t>is located in</w:t>
      </w:r>
      <w:proofErr w:type="gramEnd"/>
      <w:r>
        <w:t xml:space="preserve"> the freezer section of the refrigerator. At this point, heat from the freezer is absorbed by the liquid ammonia and hydrogen gas mixture in the pipes, then passed on to the exterior of the fridge. From the low temperature evaporator in the freezer, the ammonia and hydrogen travel through more pipes to the high-temperature evaporator, which cools the fridge section of the refrigerator, but not as much as the freezer. Once the ammonia has passed through both evaporators, it enters the absorber. In the absorber coils, it is separated from the gaseous hydrogen – which rises back into the evaporators – and mixed with water before returning to the boiler.”</w:t>
      </w:r>
    </w:p>
    <w:p w14:paraId="66238B7D" w14:textId="77777777" w:rsidR="00A4617E" w:rsidRDefault="00A4617E" w:rsidP="00B86628">
      <w:pPr>
        <w:pStyle w:val="NoSpacing"/>
        <w:rPr>
          <w:rFonts w:ascii="Arial Black" w:hAnsi="Arial Black"/>
          <w:sz w:val="24"/>
          <w:szCs w:val="24"/>
        </w:rPr>
      </w:pPr>
    </w:p>
    <w:p w14:paraId="2F92AA12" w14:textId="6B3B89D4" w:rsidR="00B86628" w:rsidRDefault="00B86628" w:rsidP="00B86628">
      <w:pPr>
        <w:pStyle w:val="NoSpacing"/>
        <w:rPr>
          <w:rFonts w:ascii="Arial Black" w:hAnsi="Arial Black"/>
          <w:sz w:val="24"/>
          <w:szCs w:val="24"/>
        </w:rPr>
      </w:pPr>
      <w:r>
        <w:rPr>
          <w:rFonts w:ascii="Arial Black" w:hAnsi="Arial Black"/>
          <w:sz w:val="24"/>
          <w:szCs w:val="24"/>
        </w:rPr>
        <w:t>1-146</w:t>
      </w:r>
    </w:p>
    <w:p w14:paraId="7E7E1FC5" w14:textId="77777777" w:rsidR="00B86628" w:rsidRDefault="00B86628" w:rsidP="00B86628">
      <w:pPr>
        <w:pStyle w:val="NormalWeb"/>
        <w:spacing w:before="0" w:beforeAutospacing="0"/>
      </w:pPr>
    </w:p>
    <w:p w14:paraId="2F6462E5" w14:textId="114841CA" w:rsidR="00B86628" w:rsidRPr="00073A85" w:rsidRDefault="00B86628" w:rsidP="00B86628">
      <w:pPr>
        <w:pStyle w:val="NoSpacing"/>
        <w:rPr>
          <w:rFonts w:ascii="Arial Black" w:hAnsi="Arial Black"/>
          <w:sz w:val="28"/>
          <w:szCs w:val="28"/>
        </w:rPr>
      </w:pPr>
      <w:r>
        <w:rPr>
          <w:rFonts w:ascii="Arial Black" w:hAnsi="Arial Black"/>
          <w:sz w:val="28"/>
          <w:szCs w:val="28"/>
        </w:rPr>
        <w:t xml:space="preserve">U.S. SUPREME CT: CITY MGR. PERSONAL FACEBOOK PAGE – OK </w:t>
      </w:r>
      <w:r w:rsidR="00DC68EE">
        <w:rPr>
          <w:rFonts w:ascii="Arial Black" w:hAnsi="Arial Black"/>
          <w:sz w:val="28"/>
          <w:szCs w:val="28"/>
        </w:rPr>
        <w:t xml:space="preserve">FOR MGR. </w:t>
      </w:r>
      <w:r>
        <w:rPr>
          <w:rFonts w:ascii="Arial Black" w:hAnsi="Arial Black"/>
          <w:sz w:val="28"/>
          <w:szCs w:val="28"/>
        </w:rPr>
        <w:t xml:space="preserve">TO BLOCK CITIZEN’S NEG. POSTS </w:t>
      </w:r>
      <w:r w:rsidR="008653A5">
        <w:rPr>
          <w:rFonts w:ascii="Arial Black" w:hAnsi="Arial Black"/>
          <w:sz w:val="28"/>
          <w:szCs w:val="28"/>
        </w:rPr>
        <w:t>SINCE PERSONAL PAGE</w:t>
      </w:r>
    </w:p>
    <w:p w14:paraId="3932C7CE" w14:textId="77777777" w:rsidR="00B86628" w:rsidRDefault="00B86628" w:rsidP="00B86628">
      <w:pPr>
        <w:pStyle w:val="NoSpacing"/>
        <w:rPr>
          <w:rFonts w:ascii="Times New Roman" w:hAnsi="Times New Roman"/>
          <w:sz w:val="24"/>
          <w:szCs w:val="24"/>
          <w:shd w:val="clear" w:color="auto" w:fill="FFFFFF"/>
        </w:rPr>
      </w:pPr>
    </w:p>
    <w:p w14:paraId="6C27F0CA" w14:textId="32067B65" w:rsidR="00B86628" w:rsidRDefault="00B86628" w:rsidP="00B86628">
      <w:pPr>
        <w:pStyle w:val="NoSpacing"/>
        <w:rPr>
          <w:rFonts w:ascii="Times New Roman" w:hAnsi="Times New Roman"/>
          <w:sz w:val="24"/>
          <w:szCs w:val="24"/>
          <w:shd w:val="clear" w:color="auto" w:fill="FFFFFF"/>
        </w:rPr>
      </w:pPr>
      <w:r w:rsidRPr="004C0299">
        <w:rPr>
          <w:rFonts w:ascii="Times New Roman" w:hAnsi="Times New Roman"/>
          <w:sz w:val="24"/>
          <w:szCs w:val="24"/>
          <w:shd w:val="clear" w:color="auto" w:fill="FFFFFF"/>
        </w:rPr>
        <w:t xml:space="preserve">On March 15, 2024, in </w:t>
      </w:r>
      <w:r w:rsidRPr="004C0299">
        <w:rPr>
          <w:rFonts w:ascii="Times New Roman" w:hAnsi="Times New Roman"/>
          <w:sz w:val="24"/>
          <w:szCs w:val="24"/>
          <w:u w:val="single"/>
          <w:shd w:val="clear" w:color="auto" w:fill="FFFFFF"/>
        </w:rPr>
        <w:t>Kevin Lindke v. James Freed</w:t>
      </w:r>
      <w:r w:rsidRPr="004C0299">
        <w:rPr>
          <w:rFonts w:ascii="Times New Roman" w:hAnsi="Times New Roman"/>
          <w:sz w:val="24"/>
          <w:szCs w:val="24"/>
          <w:shd w:val="clear" w:color="auto" w:fill="FFFFFF"/>
        </w:rPr>
        <w:t>, the United States Supreme Court held (9 to 0</w:t>
      </w:r>
      <w:r>
        <w:rPr>
          <w:rFonts w:ascii="Times New Roman" w:hAnsi="Times New Roman"/>
          <w:sz w:val="24"/>
          <w:szCs w:val="24"/>
          <w:shd w:val="clear" w:color="auto" w:fill="FFFFFF"/>
        </w:rPr>
        <w:t xml:space="preserve">; opinion </w:t>
      </w:r>
      <w:r w:rsidRPr="006B544B">
        <w:rPr>
          <w:rFonts w:ascii="Times New Roman" w:hAnsi="Times New Roman"/>
          <w:sz w:val="24"/>
          <w:szCs w:val="24"/>
          <w:shd w:val="clear" w:color="auto" w:fill="FFFFFF"/>
        </w:rPr>
        <w:t xml:space="preserve">by Justice </w:t>
      </w:r>
      <w:r w:rsidRPr="006B544B">
        <w:rPr>
          <w:rFonts w:ascii="Times New Roman" w:hAnsi="Times New Roman"/>
          <w:sz w:val="24"/>
          <w:szCs w:val="24"/>
        </w:rPr>
        <w:t>Amy Barrett</w:t>
      </w:r>
      <w:r w:rsidRPr="006B544B">
        <w:rPr>
          <w:rFonts w:ascii="Times New Roman" w:hAnsi="Times New Roman"/>
          <w:sz w:val="24"/>
          <w:szCs w:val="24"/>
          <w:shd w:val="clear" w:color="auto" w:fill="FFFFFF"/>
        </w:rPr>
        <w:t>)</w:t>
      </w:r>
      <w:r w:rsidRPr="004C0299">
        <w:rPr>
          <w:rFonts w:ascii="Times New Roman" w:hAnsi="Times New Roman"/>
          <w:sz w:val="24"/>
          <w:szCs w:val="24"/>
          <w:shd w:val="clear" w:color="auto" w:fill="FFFFFF"/>
        </w:rPr>
        <w:t xml:space="preserve"> that James Freed, </w:t>
      </w:r>
      <w:r>
        <w:rPr>
          <w:rFonts w:ascii="Times New Roman" w:hAnsi="Times New Roman"/>
          <w:sz w:val="24"/>
          <w:szCs w:val="24"/>
          <w:shd w:val="clear" w:color="auto" w:fill="FFFFFF"/>
        </w:rPr>
        <w:t xml:space="preserve">who has a personal FACEBOOK page with family photos, and in 2014 became </w:t>
      </w:r>
      <w:r w:rsidRPr="004C0299">
        <w:rPr>
          <w:rFonts w:ascii="Times New Roman" w:hAnsi="Times New Roman"/>
          <w:sz w:val="24"/>
          <w:szCs w:val="24"/>
          <w:shd w:val="clear" w:color="auto" w:fill="FFFFFF"/>
        </w:rPr>
        <w:t>City Manager of Port Huron, Michigan</w:t>
      </w:r>
      <w:r>
        <w:rPr>
          <w:rFonts w:ascii="Times New Roman" w:hAnsi="Times New Roman"/>
          <w:sz w:val="24"/>
          <w:szCs w:val="24"/>
          <w:shd w:val="clear" w:color="auto" w:fill="FFFFFF"/>
        </w:rPr>
        <w:t>, cannot be sued for blocking negative comments by a resident. The First Amendment lawsuit was dismissed by a U.S. District Court judge in Michigan, and the dismissal upheld by the U.S. Court of Appeals for 6</w:t>
      </w:r>
      <w:r w:rsidRPr="00364CE0">
        <w:rPr>
          <w:rFonts w:ascii="Times New Roman" w:hAnsi="Times New Roman"/>
          <w:sz w:val="24"/>
          <w:szCs w:val="24"/>
          <w:shd w:val="clear" w:color="auto" w:fill="FFFFFF"/>
          <w:vertAlign w:val="superscript"/>
        </w:rPr>
        <w:t>th</w:t>
      </w:r>
      <w:r>
        <w:rPr>
          <w:rFonts w:ascii="Times New Roman" w:hAnsi="Times New Roman"/>
          <w:sz w:val="24"/>
          <w:szCs w:val="24"/>
          <w:shd w:val="clear" w:color="auto" w:fill="FFFFFF"/>
        </w:rPr>
        <w:t xml:space="preserve"> Circuit (Cincinnati). </w:t>
      </w:r>
      <w:hyperlink r:id="rId153" w:history="1">
        <w:r w:rsidR="00CA3B7B" w:rsidRPr="007616D4">
          <w:rPr>
            <w:rStyle w:val="Hyperlink"/>
          </w:rPr>
          <w:t>https://www.supremecourt.gov/opinions/23pdf/22-324_09m1.pdf</w:t>
        </w:r>
      </w:hyperlink>
      <w:r w:rsidR="00CA3B7B">
        <w:rPr>
          <w:rStyle w:val="Hyperlink"/>
        </w:rPr>
        <w:t xml:space="preserve"> </w:t>
      </w:r>
    </w:p>
    <w:p w14:paraId="128AEECE" w14:textId="77777777" w:rsidR="009A27F2" w:rsidRDefault="009A27F2" w:rsidP="009A27F2">
      <w:pPr>
        <w:pStyle w:val="NoSpacing"/>
        <w:rPr>
          <w:rFonts w:ascii="Times New Roman" w:hAnsi="Times New Roman"/>
          <w:sz w:val="24"/>
          <w:szCs w:val="24"/>
          <w:shd w:val="clear" w:color="auto" w:fill="FFFFFF"/>
        </w:rPr>
      </w:pPr>
    </w:p>
    <w:p w14:paraId="3FFD1178" w14:textId="64971198" w:rsidR="009A27F2" w:rsidRPr="004C0299" w:rsidRDefault="009A27F2" w:rsidP="009A27F2">
      <w:pPr>
        <w:pStyle w:val="NoSpacing"/>
        <w:rPr>
          <w:rFonts w:ascii="Times New Roman" w:hAnsi="Times New Roman"/>
          <w:sz w:val="24"/>
          <w:szCs w:val="24"/>
        </w:rPr>
      </w:pPr>
      <w:r>
        <w:rPr>
          <w:rFonts w:ascii="Times New Roman" w:hAnsi="Times New Roman"/>
          <w:sz w:val="24"/>
          <w:szCs w:val="24"/>
          <w:shd w:val="clear" w:color="auto" w:fill="FFFFFF"/>
        </w:rPr>
        <w:t>THE COURT HELD:</w:t>
      </w:r>
    </w:p>
    <w:p w14:paraId="4A3074C9" w14:textId="77777777" w:rsidR="009A27F2" w:rsidRPr="004C0299" w:rsidRDefault="009A27F2" w:rsidP="00B86628">
      <w:pPr>
        <w:pStyle w:val="NoSpacing"/>
        <w:rPr>
          <w:rFonts w:ascii="Times New Roman" w:hAnsi="Times New Roman"/>
          <w:sz w:val="24"/>
          <w:szCs w:val="24"/>
        </w:rPr>
      </w:pPr>
    </w:p>
    <w:p w14:paraId="5DB8EC68" w14:textId="77777777" w:rsidR="00B86628" w:rsidRPr="00E55007" w:rsidRDefault="00B86628" w:rsidP="00B86628">
      <w:pPr>
        <w:pStyle w:val="NoSpacing"/>
        <w:ind w:left="720"/>
        <w:rPr>
          <w:rFonts w:ascii="Times New Roman" w:hAnsi="Times New Roman"/>
          <w:sz w:val="24"/>
          <w:szCs w:val="24"/>
        </w:rPr>
      </w:pPr>
      <w:r>
        <w:t>“</w:t>
      </w:r>
      <w:r w:rsidRPr="00E55007">
        <w:rPr>
          <w:rFonts w:ascii="Times New Roman" w:hAnsi="Times New Roman"/>
          <w:sz w:val="24"/>
          <w:szCs w:val="24"/>
        </w:rPr>
        <w:t>Freed did not relinquish his First Amendment</w:t>
      </w:r>
      <w:r>
        <w:rPr>
          <w:rFonts w:ascii="Times New Roman" w:hAnsi="Times New Roman"/>
          <w:sz w:val="24"/>
          <w:szCs w:val="24"/>
        </w:rPr>
        <w:t xml:space="preserve"> </w:t>
      </w:r>
      <w:r w:rsidRPr="00E55007">
        <w:rPr>
          <w:rFonts w:ascii="Times New Roman" w:hAnsi="Times New Roman"/>
          <w:sz w:val="24"/>
          <w:szCs w:val="24"/>
        </w:rPr>
        <w:t xml:space="preserve">rights when he became city manager. On the contrary, </w:t>
      </w:r>
      <w:r>
        <w:rPr>
          <w:rFonts w:ascii="Times New Roman" w:hAnsi="Times New Roman"/>
          <w:sz w:val="24"/>
          <w:szCs w:val="24"/>
        </w:rPr>
        <w:t>‘</w:t>
      </w:r>
      <w:r w:rsidRPr="00E55007">
        <w:rPr>
          <w:rFonts w:ascii="Times New Roman" w:hAnsi="Times New Roman"/>
          <w:sz w:val="24"/>
          <w:szCs w:val="24"/>
        </w:rPr>
        <w:t>the</w:t>
      </w:r>
      <w:r>
        <w:rPr>
          <w:rFonts w:ascii="Times New Roman" w:hAnsi="Times New Roman"/>
          <w:sz w:val="24"/>
          <w:szCs w:val="24"/>
        </w:rPr>
        <w:t xml:space="preserve"> </w:t>
      </w:r>
      <w:r w:rsidRPr="00E55007">
        <w:rPr>
          <w:rFonts w:ascii="Times New Roman" w:hAnsi="Times New Roman"/>
          <w:sz w:val="24"/>
          <w:szCs w:val="24"/>
        </w:rPr>
        <w:t>First Amendment protects a public employee’s right, in certain circumstances, to speak as a citizen addressing matters of public concern.</w:t>
      </w:r>
      <w:r>
        <w:rPr>
          <w:rFonts w:ascii="Times New Roman" w:hAnsi="Times New Roman"/>
          <w:sz w:val="24"/>
          <w:szCs w:val="24"/>
        </w:rPr>
        <w:t>’</w:t>
      </w:r>
      <w:r w:rsidRPr="00E55007">
        <w:rPr>
          <w:rFonts w:ascii="Times New Roman" w:hAnsi="Times New Roman"/>
          <w:sz w:val="24"/>
          <w:szCs w:val="24"/>
        </w:rPr>
        <w:t xml:space="preserve"> Garcetti v. Ceballos, 547 U. S. 410,</w:t>
      </w:r>
      <w:r>
        <w:rPr>
          <w:rFonts w:ascii="Times New Roman" w:hAnsi="Times New Roman"/>
          <w:sz w:val="24"/>
          <w:szCs w:val="24"/>
        </w:rPr>
        <w:t xml:space="preserve"> </w:t>
      </w:r>
      <w:r w:rsidRPr="00E55007">
        <w:rPr>
          <w:rFonts w:ascii="Times New Roman" w:hAnsi="Times New Roman"/>
          <w:sz w:val="24"/>
          <w:szCs w:val="24"/>
        </w:rPr>
        <w:t>417 (2006). This right includes the ability to speak about</w:t>
      </w:r>
    </w:p>
    <w:p w14:paraId="1A5242A0" w14:textId="77777777" w:rsidR="00B86628" w:rsidRPr="00E55007" w:rsidRDefault="00B86628" w:rsidP="00B86628">
      <w:pPr>
        <w:pStyle w:val="NoSpacing"/>
        <w:ind w:left="720"/>
        <w:rPr>
          <w:rFonts w:ascii="Times New Roman" w:hAnsi="Times New Roman"/>
          <w:sz w:val="24"/>
          <w:szCs w:val="24"/>
        </w:rPr>
      </w:pPr>
      <w:r>
        <w:rPr>
          <w:rFonts w:ascii="Times New Roman" w:hAnsi="Times New Roman"/>
          <w:sz w:val="24"/>
          <w:szCs w:val="24"/>
        </w:rPr>
        <w:t>‘</w:t>
      </w:r>
      <w:proofErr w:type="gramStart"/>
      <w:r w:rsidRPr="00E55007">
        <w:rPr>
          <w:rFonts w:ascii="Times New Roman" w:hAnsi="Times New Roman"/>
          <w:sz w:val="24"/>
          <w:szCs w:val="24"/>
        </w:rPr>
        <w:t>information</w:t>
      </w:r>
      <w:proofErr w:type="gramEnd"/>
      <w:r w:rsidRPr="00E55007">
        <w:rPr>
          <w:rFonts w:ascii="Times New Roman" w:hAnsi="Times New Roman"/>
          <w:sz w:val="24"/>
          <w:szCs w:val="24"/>
        </w:rPr>
        <w:t xml:space="preserve"> related to or learned through public employment,</w:t>
      </w:r>
      <w:r>
        <w:rPr>
          <w:rFonts w:ascii="Times New Roman" w:hAnsi="Times New Roman"/>
          <w:sz w:val="24"/>
          <w:szCs w:val="24"/>
        </w:rPr>
        <w:t>’</w:t>
      </w:r>
      <w:r w:rsidRPr="00E55007">
        <w:rPr>
          <w:rFonts w:ascii="Times New Roman" w:hAnsi="Times New Roman"/>
          <w:sz w:val="24"/>
          <w:szCs w:val="24"/>
        </w:rPr>
        <w:t xml:space="preserve"> so long as the speech is not </w:t>
      </w:r>
      <w:r>
        <w:rPr>
          <w:rFonts w:ascii="Times New Roman" w:hAnsi="Times New Roman"/>
          <w:sz w:val="24"/>
          <w:szCs w:val="24"/>
        </w:rPr>
        <w:t>‘</w:t>
      </w:r>
      <w:r w:rsidRPr="00E55007">
        <w:rPr>
          <w:rFonts w:ascii="Times New Roman" w:hAnsi="Times New Roman"/>
          <w:sz w:val="24"/>
          <w:szCs w:val="24"/>
        </w:rPr>
        <w:t>itself ordinarily within</w:t>
      </w:r>
      <w:r>
        <w:rPr>
          <w:rFonts w:ascii="Times New Roman" w:hAnsi="Times New Roman"/>
          <w:sz w:val="24"/>
          <w:szCs w:val="24"/>
        </w:rPr>
        <w:t xml:space="preserve"> </w:t>
      </w:r>
      <w:r w:rsidRPr="00E55007">
        <w:rPr>
          <w:rFonts w:ascii="Times New Roman" w:hAnsi="Times New Roman"/>
          <w:sz w:val="24"/>
          <w:szCs w:val="24"/>
        </w:rPr>
        <w:t>the scope of [the] employee’s duties.</w:t>
      </w:r>
      <w:r>
        <w:rPr>
          <w:rFonts w:ascii="Times New Roman" w:hAnsi="Times New Roman"/>
          <w:sz w:val="24"/>
          <w:szCs w:val="24"/>
        </w:rPr>
        <w:t>’</w:t>
      </w:r>
      <w:r w:rsidRPr="00E55007">
        <w:rPr>
          <w:rFonts w:ascii="Times New Roman" w:hAnsi="Times New Roman"/>
          <w:sz w:val="24"/>
          <w:szCs w:val="24"/>
        </w:rPr>
        <w:t xml:space="preserve"> Lane v. Franks, 573</w:t>
      </w:r>
    </w:p>
    <w:p w14:paraId="60D2BCBB" w14:textId="77777777" w:rsidR="00B86628" w:rsidRDefault="00B86628" w:rsidP="00B86628">
      <w:pPr>
        <w:pStyle w:val="NoSpacing"/>
        <w:ind w:firstLine="720"/>
        <w:rPr>
          <w:rFonts w:ascii="Times New Roman" w:hAnsi="Times New Roman"/>
          <w:sz w:val="24"/>
          <w:szCs w:val="24"/>
        </w:rPr>
      </w:pPr>
      <w:r w:rsidRPr="00E55007">
        <w:rPr>
          <w:rFonts w:ascii="Times New Roman" w:hAnsi="Times New Roman"/>
          <w:sz w:val="24"/>
          <w:szCs w:val="24"/>
        </w:rPr>
        <w:t>U. S. 228, 236, 240 (2014)</w:t>
      </w:r>
      <w:r>
        <w:rPr>
          <w:rFonts w:ascii="Times New Roman" w:hAnsi="Times New Roman"/>
          <w:sz w:val="24"/>
          <w:szCs w:val="24"/>
        </w:rPr>
        <w:t>.”</w:t>
      </w:r>
    </w:p>
    <w:p w14:paraId="0F9F2C27" w14:textId="77777777" w:rsidR="00B86628" w:rsidRDefault="00B86628" w:rsidP="00B86628">
      <w:pPr>
        <w:pStyle w:val="NoSpacing"/>
        <w:ind w:firstLine="720"/>
        <w:rPr>
          <w:rFonts w:ascii="Times New Roman" w:hAnsi="Times New Roman"/>
          <w:sz w:val="24"/>
          <w:szCs w:val="24"/>
        </w:rPr>
      </w:pPr>
    </w:p>
    <w:p w14:paraId="36EBE845" w14:textId="77777777" w:rsidR="00B86628" w:rsidRPr="007F37FA" w:rsidRDefault="00B86628" w:rsidP="00B86628">
      <w:pPr>
        <w:pStyle w:val="NoSpacing"/>
        <w:rPr>
          <w:rFonts w:ascii="Times New Roman" w:hAnsi="Times New Roman"/>
          <w:b/>
          <w:bCs/>
          <w:sz w:val="24"/>
          <w:szCs w:val="24"/>
        </w:rPr>
      </w:pPr>
      <w:r w:rsidRPr="007F37FA">
        <w:rPr>
          <w:rFonts w:ascii="Times New Roman" w:hAnsi="Times New Roman"/>
          <w:b/>
          <w:bCs/>
          <w:sz w:val="24"/>
          <w:szCs w:val="24"/>
        </w:rPr>
        <w:t xml:space="preserve">Legal Lesson Learned: When fire or EMS are posting on </w:t>
      </w:r>
      <w:proofErr w:type="gramStart"/>
      <w:r w:rsidRPr="007F37FA">
        <w:rPr>
          <w:rFonts w:ascii="Times New Roman" w:hAnsi="Times New Roman"/>
          <w:b/>
          <w:bCs/>
          <w:sz w:val="24"/>
          <w:szCs w:val="24"/>
        </w:rPr>
        <w:t>Social Media</w:t>
      </w:r>
      <w:proofErr w:type="gramEnd"/>
      <w:r w:rsidRPr="007F37FA">
        <w:rPr>
          <w:rFonts w:ascii="Times New Roman" w:hAnsi="Times New Roman"/>
          <w:b/>
          <w:bCs/>
          <w:sz w:val="24"/>
          <w:szCs w:val="24"/>
        </w:rPr>
        <w:t>, they must exercise extreme care to not discuss internal department issues.</w:t>
      </w:r>
    </w:p>
    <w:p w14:paraId="133A602F" w14:textId="77777777" w:rsidR="00B86628" w:rsidRDefault="00B86628" w:rsidP="00B86628">
      <w:pPr>
        <w:pStyle w:val="NoSpacing"/>
        <w:rPr>
          <w:rFonts w:ascii="Times New Roman" w:hAnsi="Times New Roman"/>
          <w:sz w:val="24"/>
          <w:szCs w:val="24"/>
        </w:rPr>
      </w:pPr>
    </w:p>
    <w:p w14:paraId="418898A1" w14:textId="77777777" w:rsidR="00B86628" w:rsidRDefault="00B86628" w:rsidP="00B86628">
      <w:pPr>
        <w:pStyle w:val="NoSpacing"/>
        <w:ind w:firstLine="720"/>
        <w:rPr>
          <w:rFonts w:ascii="Times New Roman" w:hAnsi="Times New Roman"/>
          <w:sz w:val="24"/>
          <w:szCs w:val="24"/>
        </w:rPr>
      </w:pPr>
      <w:r>
        <w:rPr>
          <w:rFonts w:ascii="Times New Roman" w:hAnsi="Times New Roman"/>
          <w:sz w:val="24"/>
          <w:szCs w:val="24"/>
        </w:rPr>
        <w:t xml:space="preserve">Note: </w:t>
      </w:r>
      <w:r w:rsidRPr="00AC5C49">
        <w:rPr>
          <w:rFonts w:ascii="Times New Roman" w:hAnsi="Times New Roman"/>
          <w:sz w:val="24"/>
          <w:szCs w:val="24"/>
        </w:rPr>
        <w:t xml:space="preserve">Justice </w:t>
      </w:r>
      <w:r>
        <w:rPr>
          <w:rFonts w:ascii="Times New Roman" w:hAnsi="Times New Roman"/>
          <w:sz w:val="24"/>
          <w:szCs w:val="24"/>
        </w:rPr>
        <w:t xml:space="preserve">Barrett offered this helpful suggestion in her opinion. </w:t>
      </w:r>
    </w:p>
    <w:p w14:paraId="3054431D" w14:textId="77777777" w:rsidR="00B86628" w:rsidRPr="00AC5C49" w:rsidRDefault="00B86628" w:rsidP="00B86628">
      <w:pPr>
        <w:pStyle w:val="NoSpacing"/>
        <w:ind w:left="1440"/>
        <w:rPr>
          <w:rFonts w:ascii="Times New Roman" w:hAnsi="Times New Roman"/>
          <w:sz w:val="24"/>
          <w:szCs w:val="24"/>
        </w:rPr>
      </w:pPr>
      <w:r>
        <w:rPr>
          <w:rFonts w:ascii="Times New Roman" w:hAnsi="Times New Roman"/>
          <w:sz w:val="24"/>
          <w:szCs w:val="24"/>
        </w:rPr>
        <w:t>“</w:t>
      </w:r>
      <w:r w:rsidRPr="00AC5C49">
        <w:rPr>
          <w:rFonts w:ascii="Times New Roman" w:hAnsi="Times New Roman"/>
          <w:sz w:val="24"/>
          <w:szCs w:val="24"/>
        </w:rPr>
        <w:t>Had Freed’s account</w:t>
      </w:r>
      <w:r>
        <w:rPr>
          <w:rFonts w:ascii="Times New Roman" w:hAnsi="Times New Roman"/>
          <w:sz w:val="24"/>
          <w:szCs w:val="24"/>
        </w:rPr>
        <w:t xml:space="preserve"> </w:t>
      </w:r>
      <w:r w:rsidRPr="00AC5C49">
        <w:rPr>
          <w:rFonts w:ascii="Times New Roman" w:hAnsi="Times New Roman"/>
          <w:sz w:val="24"/>
          <w:szCs w:val="24"/>
        </w:rPr>
        <w:t xml:space="preserve">carried a label (e.g., </w:t>
      </w:r>
      <w:r>
        <w:rPr>
          <w:rFonts w:ascii="Times New Roman" w:hAnsi="Times New Roman"/>
          <w:sz w:val="24"/>
          <w:szCs w:val="24"/>
        </w:rPr>
        <w:t>‘</w:t>
      </w:r>
      <w:r w:rsidRPr="00AC5C49">
        <w:rPr>
          <w:rFonts w:ascii="Times New Roman" w:hAnsi="Times New Roman"/>
          <w:sz w:val="24"/>
          <w:szCs w:val="24"/>
        </w:rPr>
        <w:t>this is the personal page of James R.</w:t>
      </w:r>
      <w:r>
        <w:rPr>
          <w:rFonts w:ascii="Times New Roman" w:hAnsi="Times New Roman"/>
          <w:sz w:val="24"/>
          <w:szCs w:val="24"/>
        </w:rPr>
        <w:t xml:space="preserve"> </w:t>
      </w:r>
      <w:r w:rsidRPr="00AC5C49">
        <w:rPr>
          <w:rFonts w:ascii="Times New Roman" w:hAnsi="Times New Roman"/>
          <w:sz w:val="24"/>
          <w:szCs w:val="24"/>
        </w:rPr>
        <w:t>Freed</w:t>
      </w:r>
      <w:r>
        <w:rPr>
          <w:rFonts w:ascii="Times New Roman" w:hAnsi="Times New Roman"/>
          <w:sz w:val="24"/>
          <w:szCs w:val="24"/>
        </w:rPr>
        <w:t>’</w:t>
      </w:r>
      <w:r w:rsidRPr="00AC5C49">
        <w:rPr>
          <w:rFonts w:ascii="Times New Roman" w:hAnsi="Times New Roman"/>
          <w:sz w:val="24"/>
          <w:szCs w:val="24"/>
        </w:rPr>
        <w:t xml:space="preserve">) or a disclaimer (e.g., </w:t>
      </w:r>
      <w:r>
        <w:rPr>
          <w:rFonts w:ascii="Times New Roman" w:hAnsi="Times New Roman"/>
          <w:sz w:val="24"/>
          <w:szCs w:val="24"/>
        </w:rPr>
        <w:t>‘</w:t>
      </w:r>
      <w:r w:rsidRPr="00AC5C49">
        <w:rPr>
          <w:rFonts w:ascii="Times New Roman" w:hAnsi="Times New Roman"/>
          <w:sz w:val="24"/>
          <w:szCs w:val="24"/>
        </w:rPr>
        <w:t>the views expressed are</w:t>
      </w:r>
      <w:r>
        <w:rPr>
          <w:rFonts w:ascii="Times New Roman" w:hAnsi="Times New Roman"/>
          <w:sz w:val="24"/>
          <w:szCs w:val="24"/>
        </w:rPr>
        <w:t xml:space="preserve"> </w:t>
      </w:r>
      <w:r w:rsidRPr="00AC5C49">
        <w:rPr>
          <w:rFonts w:ascii="Times New Roman" w:hAnsi="Times New Roman"/>
          <w:sz w:val="24"/>
          <w:szCs w:val="24"/>
        </w:rPr>
        <w:t>strictly my own</w:t>
      </w:r>
      <w:r>
        <w:rPr>
          <w:rFonts w:ascii="Times New Roman" w:hAnsi="Times New Roman"/>
          <w:sz w:val="24"/>
          <w:szCs w:val="24"/>
        </w:rPr>
        <w:t>’</w:t>
      </w:r>
      <w:r w:rsidRPr="00AC5C49">
        <w:rPr>
          <w:rFonts w:ascii="Times New Roman" w:hAnsi="Times New Roman"/>
          <w:sz w:val="24"/>
          <w:szCs w:val="24"/>
        </w:rPr>
        <w:t>), he would be entitled to a heavy (though</w:t>
      </w:r>
      <w:r>
        <w:rPr>
          <w:rFonts w:ascii="Times New Roman" w:hAnsi="Times New Roman"/>
          <w:sz w:val="24"/>
          <w:szCs w:val="24"/>
        </w:rPr>
        <w:t xml:space="preserve"> </w:t>
      </w:r>
      <w:r w:rsidRPr="00AC5C49">
        <w:rPr>
          <w:rFonts w:ascii="Times New Roman" w:hAnsi="Times New Roman"/>
          <w:sz w:val="24"/>
          <w:szCs w:val="24"/>
        </w:rPr>
        <w:t>not irrebuttable) presumption that all of the posts on his</w:t>
      </w:r>
      <w:r>
        <w:rPr>
          <w:rFonts w:ascii="Times New Roman" w:hAnsi="Times New Roman"/>
          <w:sz w:val="24"/>
          <w:szCs w:val="24"/>
        </w:rPr>
        <w:t xml:space="preserve"> </w:t>
      </w:r>
      <w:r w:rsidRPr="00AC5C49">
        <w:rPr>
          <w:rFonts w:ascii="Times New Roman" w:hAnsi="Times New Roman"/>
          <w:sz w:val="24"/>
          <w:szCs w:val="24"/>
        </w:rPr>
        <w:t>page were personal.</w:t>
      </w:r>
      <w:r>
        <w:rPr>
          <w:rFonts w:ascii="Times New Roman" w:hAnsi="Times New Roman"/>
          <w:sz w:val="24"/>
          <w:szCs w:val="24"/>
        </w:rPr>
        <w:t>”</w:t>
      </w:r>
    </w:p>
    <w:p w14:paraId="2B9F7538" w14:textId="77777777" w:rsidR="00B86628" w:rsidRDefault="00B86628" w:rsidP="00B86628">
      <w:pPr>
        <w:pStyle w:val="NormalWeb"/>
        <w:ind w:left="720"/>
      </w:pPr>
      <w:r>
        <w:t>The U.S. Supreme Court also decided a second case involving two school board members who used their FACEBOOK and TWITTER pages for official purposes. They were sued by parents who were blocked.  That case sent back to U.S. District Court in California.</w:t>
      </w:r>
      <w:r w:rsidRPr="00247024">
        <w:t xml:space="preserve"> </w:t>
      </w:r>
      <w:r w:rsidRPr="006472DD">
        <w:rPr>
          <w:u w:val="single"/>
        </w:rPr>
        <w:t xml:space="preserve">Michelle O’Connor-Ratcliff, et al. v. Christopher Garner, et </w:t>
      </w:r>
      <w:proofErr w:type="gramStart"/>
      <w:r w:rsidRPr="006472DD">
        <w:rPr>
          <w:u w:val="single"/>
        </w:rPr>
        <w:t>al</w:t>
      </w:r>
      <w:r>
        <w:t>,,</w:t>
      </w:r>
      <w:proofErr w:type="gramEnd"/>
      <w:r>
        <w:t xml:space="preserve"> </w:t>
      </w:r>
      <w:hyperlink r:id="rId154" w:history="1">
        <w:r w:rsidRPr="007616D4">
          <w:rPr>
            <w:rStyle w:val="Hyperlink"/>
          </w:rPr>
          <w:t>https://www.supremecourt.gov/opinions/23pdf/22-324_09m1.pdf</w:t>
        </w:r>
      </w:hyperlink>
      <w:r>
        <w:t xml:space="preserve">  </w:t>
      </w:r>
    </w:p>
    <w:p w14:paraId="1F60BC56" w14:textId="77777777" w:rsidR="00B86628" w:rsidRDefault="00B86628" w:rsidP="00B86628">
      <w:pPr>
        <w:pStyle w:val="NormalWeb"/>
        <w:ind w:left="720"/>
      </w:pPr>
    </w:p>
    <w:p w14:paraId="0583AF64" w14:textId="77777777" w:rsidR="00B86628" w:rsidRDefault="00B86628" w:rsidP="00F326E5">
      <w:pPr>
        <w:pStyle w:val="NoSpacing"/>
        <w:rPr>
          <w:rFonts w:ascii="Arial Black" w:hAnsi="Arial Black"/>
          <w:sz w:val="24"/>
          <w:szCs w:val="24"/>
        </w:rPr>
      </w:pPr>
    </w:p>
    <w:p w14:paraId="6AABBA4F" w14:textId="77777777" w:rsidR="00B86628" w:rsidRDefault="00B86628" w:rsidP="00F326E5">
      <w:pPr>
        <w:pStyle w:val="NoSpacing"/>
        <w:rPr>
          <w:rFonts w:ascii="Arial Black" w:hAnsi="Arial Black"/>
          <w:sz w:val="24"/>
          <w:szCs w:val="24"/>
        </w:rPr>
      </w:pPr>
    </w:p>
    <w:p w14:paraId="71523ECF" w14:textId="660F0E7D" w:rsidR="00991260" w:rsidRDefault="00991260" w:rsidP="00F326E5">
      <w:pPr>
        <w:pStyle w:val="NoSpacing"/>
        <w:rPr>
          <w:rFonts w:ascii="Arial Black" w:hAnsi="Arial Black"/>
          <w:sz w:val="24"/>
          <w:szCs w:val="24"/>
        </w:rPr>
      </w:pPr>
      <w:r>
        <w:rPr>
          <w:rFonts w:ascii="Arial Black" w:hAnsi="Arial Black"/>
          <w:sz w:val="24"/>
          <w:szCs w:val="24"/>
        </w:rPr>
        <w:lastRenderedPageBreak/>
        <w:t>1-145</w:t>
      </w:r>
    </w:p>
    <w:p w14:paraId="1DAF82AC" w14:textId="77777777" w:rsidR="00493015" w:rsidRDefault="00493015" w:rsidP="00F326E5">
      <w:pPr>
        <w:pStyle w:val="NoSpacing"/>
        <w:rPr>
          <w:rFonts w:ascii="Arial Black" w:hAnsi="Arial Black"/>
          <w:sz w:val="24"/>
          <w:szCs w:val="24"/>
        </w:rPr>
      </w:pPr>
    </w:p>
    <w:p w14:paraId="31391EAF" w14:textId="77777777" w:rsidR="00493015" w:rsidRDefault="00493015" w:rsidP="00493015">
      <w:pPr>
        <w:pStyle w:val="NoSpacing"/>
        <w:rPr>
          <w:rFonts w:ascii="Arial Black" w:hAnsi="Arial Black"/>
          <w:sz w:val="28"/>
          <w:szCs w:val="28"/>
        </w:rPr>
      </w:pPr>
      <w:r>
        <w:rPr>
          <w:rFonts w:ascii="Arial Black" w:hAnsi="Arial Black"/>
          <w:sz w:val="28"/>
          <w:szCs w:val="28"/>
        </w:rPr>
        <w:t>MI: FIREWORKS – CITATION / $150 FINE SET ASIDE – CITY CAN’T REQ. STORE GIVE OUT FLYER ON STATE / FED. LAWS</w:t>
      </w:r>
    </w:p>
    <w:p w14:paraId="775ADC90" w14:textId="77777777" w:rsidR="00493015" w:rsidRDefault="00493015" w:rsidP="00493015">
      <w:pPr>
        <w:pStyle w:val="NoSpacing"/>
        <w:rPr>
          <w:rFonts w:ascii="Arial Black" w:hAnsi="Arial Black"/>
          <w:sz w:val="28"/>
          <w:szCs w:val="28"/>
        </w:rPr>
      </w:pPr>
    </w:p>
    <w:p w14:paraId="73CC7AF8" w14:textId="77777777" w:rsidR="00493015" w:rsidRDefault="00493015" w:rsidP="00493015">
      <w:pPr>
        <w:pStyle w:val="NoSpacing"/>
        <w:rPr>
          <w:rFonts w:ascii="Times New Roman" w:hAnsi="Times New Roman"/>
          <w:sz w:val="24"/>
          <w:szCs w:val="24"/>
        </w:rPr>
      </w:pPr>
      <w:r>
        <w:rPr>
          <w:rFonts w:ascii="Times New Roman" w:hAnsi="Times New Roman"/>
          <w:sz w:val="24"/>
          <w:szCs w:val="24"/>
        </w:rPr>
        <w:t xml:space="preserve">On Feb. 15, 2024, </w:t>
      </w:r>
      <w:r w:rsidRPr="0001598C">
        <w:rPr>
          <w:rFonts w:ascii="Times New Roman" w:hAnsi="Times New Roman"/>
          <w:sz w:val="24"/>
          <w:szCs w:val="24"/>
          <w:u w:val="single"/>
        </w:rPr>
        <w:t>in People of the City of Sterling Heights v. Robert Bahke</w:t>
      </w:r>
      <w:r>
        <w:rPr>
          <w:rFonts w:ascii="Times New Roman" w:hAnsi="Times New Roman"/>
          <w:sz w:val="24"/>
          <w:szCs w:val="24"/>
        </w:rPr>
        <w:t xml:space="preserve">, the Court of Appeals of Michigan held (3 to 0) that the fireworks Safety Act preempts city ordinance because the ordinance directly with the state law; the Manager of Pro Fireworks store won this appeal after </w:t>
      </w:r>
      <w:proofErr w:type="spellStart"/>
      <w:r>
        <w:rPr>
          <w:rFonts w:ascii="Times New Roman" w:hAnsi="Times New Roman"/>
          <w:sz w:val="24"/>
          <w:szCs w:val="24"/>
        </w:rPr>
        <w:t>loosing</w:t>
      </w:r>
      <w:proofErr w:type="spellEnd"/>
      <w:r>
        <w:rPr>
          <w:rFonts w:ascii="Times New Roman" w:hAnsi="Times New Roman"/>
          <w:sz w:val="24"/>
          <w:szCs w:val="24"/>
        </w:rPr>
        <w:t xml:space="preserve"> before a City Magistrate, a District Court judge and a Circuit Court. </w:t>
      </w:r>
    </w:p>
    <w:p w14:paraId="7EE9D711" w14:textId="77777777" w:rsidR="009A27F2" w:rsidRDefault="009A27F2" w:rsidP="009A27F2">
      <w:pPr>
        <w:pStyle w:val="NoSpacing"/>
        <w:rPr>
          <w:rFonts w:ascii="Times New Roman" w:hAnsi="Times New Roman"/>
          <w:sz w:val="24"/>
          <w:szCs w:val="24"/>
          <w:shd w:val="clear" w:color="auto" w:fill="FFFFFF"/>
        </w:rPr>
      </w:pPr>
    </w:p>
    <w:p w14:paraId="477EC6CA" w14:textId="4D097567" w:rsidR="009A27F2" w:rsidRPr="004C0299" w:rsidRDefault="009A27F2" w:rsidP="009A27F2">
      <w:pPr>
        <w:pStyle w:val="NoSpacing"/>
        <w:rPr>
          <w:rFonts w:ascii="Times New Roman" w:hAnsi="Times New Roman"/>
          <w:sz w:val="24"/>
          <w:szCs w:val="24"/>
        </w:rPr>
      </w:pPr>
      <w:r>
        <w:rPr>
          <w:rFonts w:ascii="Times New Roman" w:hAnsi="Times New Roman"/>
          <w:sz w:val="24"/>
          <w:szCs w:val="24"/>
          <w:shd w:val="clear" w:color="auto" w:fill="FFFFFF"/>
        </w:rPr>
        <w:t>THE COURT HELD:</w:t>
      </w:r>
    </w:p>
    <w:p w14:paraId="7498F8EF" w14:textId="77777777" w:rsidR="00493015" w:rsidRDefault="00493015" w:rsidP="00493015">
      <w:pPr>
        <w:pStyle w:val="NoSpacing"/>
        <w:rPr>
          <w:rFonts w:ascii="Times New Roman" w:hAnsi="Times New Roman"/>
          <w:sz w:val="24"/>
          <w:szCs w:val="24"/>
        </w:rPr>
      </w:pPr>
    </w:p>
    <w:p w14:paraId="2B92CF41" w14:textId="77777777" w:rsidR="00493015" w:rsidRPr="00B71C19" w:rsidRDefault="00493015" w:rsidP="00493015">
      <w:pPr>
        <w:pStyle w:val="NoSpacing"/>
        <w:ind w:left="720"/>
        <w:rPr>
          <w:rFonts w:ascii="Times New Roman" w:hAnsi="Times New Roman"/>
          <w:sz w:val="24"/>
          <w:szCs w:val="24"/>
        </w:rPr>
      </w:pPr>
      <w:r>
        <w:rPr>
          <w:rFonts w:ascii="Times New Roman" w:hAnsi="Times New Roman"/>
          <w:sz w:val="24"/>
          <w:szCs w:val="24"/>
        </w:rPr>
        <w:t>“</w:t>
      </w:r>
      <w:r w:rsidRPr="00B71C19">
        <w:rPr>
          <w:rFonts w:ascii="Times New Roman" w:hAnsi="Times New Roman"/>
          <w:sz w:val="24"/>
          <w:szCs w:val="24"/>
        </w:rPr>
        <w:t xml:space="preserve">Defendant argues that the Michigan Fireworks Safety Act (MFSA), MCL 28.457, preempts </w:t>
      </w:r>
      <w:proofErr w:type="gramStart"/>
      <w:r w:rsidRPr="00B71C19">
        <w:rPr>
          <w:rFonts w:ascii="Times New Roman" w:hAnsi="Times New Roman"/>
          <w:sz w:val="24"/>
          <w:szCs w:val="24"/>
        </w:rPr>
        <w:t>plaintiffs</w:t>
      </w:r>
      <w:proofErr w:type="gramEnd"/>
      <w:r w:rsidRPr="00B71C19">
        <w:rPr>
          <w:rFonts w:ascii="Times New Roman" w:hAnsi="Times New Roman"/>
          <w:sz w:val="24"/>
          <w:szCs w:val="24"/>
        </w:rPr>
        <w:t xml:space="preserve"> ordinance because the ordinance directly conflicts with the statute and because the field of fireworks sales was exclusively occupied by the state. We agree that the ordinance directly conflicts with the statute and is therefore preempted by state </w:t>
      </w:r>
      <w:proofErr w:type="gramStart"/>
      <w:r w:rsidRPr="00B71C19">
        <w:rPr>
          <w:rFonts w:ascii="Times New Roman" w:hAnsi="Times New Roman"/>
          <w:sz w:val="24"/>
          <w:szCs w:val="24"/>
        </w:rPr>
        <w:t>law.</w:t>
      </w:r>
      <w:r>
        <w:rPr>
          <w:rFonts w:ascii="Times New Roman" w:hAnsi="Times New Roman"/>
          <w:sz w:val="24"/>
          <w:szCs w:val="24"/>
        </w:rPr>
        <w:t>”</w:t>
      </w:r>
      <w:proofErr w:type="gramEnd"/>
      <w:r>
        <w:rPr>
          <w:rFonts w:ascii="Times New Roman" w:hAnsi="Times New Roman"/>
          <w:sz w:val="24"/>
          <w:szCs w:val="24"/>
        </w:rPr>
        <w:t xml:space="preserve"> </w:t>
      </w:r>
      <w:hyperlink r:id="rId155" w:history="1">
        <w:r w:rsidRPr="00644350">
          <w:rPr>
            <w:rStyle w:val="Hyperlink"/>
            <w:rFonts w:ascii="Times New Roman" w:hAnsi="Times New Roman"/>
            <w:sz w:val="24"/>
            <w:szCs w:val="24"/>
          </w:rPr>
          <w:t>https://cases.justia.com/michigan/court-of-appeals-published/2024-364264.pdf?ts=1708092018</w:t>
        </w:r>
      </w:hyperlink>
      <w:r>
        <w:rPr>
          <w:rFonts w:ascii="Times New Roman" w:hAnsi="Times New Roman"/>
          <w:sz w:val="24"/>
          <w:szCs w:val="24"/>
        </w:rPr>
        <w:t xml:space="preserve"> </w:t>
      </w:r>
    </w:p>
    <w:p w14:paraId="22FB8BC0" w14:textId="77777777" w:rsidR="00493015" w:rsidRPr="003A172A" w:rsidRDefault="00493015" w:rsidP="00493015">
      <w:pPr>
        <w:spacing w:after="100" w:line="240" w:lineRule="auto"/>
        <w:ind w:left="4320"/>
        <w:rPr>
          <w:rFonts w:ascii="Times New Roman" w:eastAsia="Times New Roman" w:hAnsi="Times New Roman"/>
          <w:sz w:val="24"/>
          <w:szCs w:val="24"/>
        </w:rPr>
      </w:pPr>
    </w:p>
    <w:p w14:paraId="272CFFF2" w14:textId="77777777" w:rsidR="00493015" w:rsidRPr="00941B8F" w:rsidRDefault="00493015" w:rsidP="00493015">
      <w:pPr>
        <w:pStyle w:val="NoSpacing"/>
        <w:ind w:left="720"/>
        <w:rPr>
          <w:rFonts w:ascii="Times New Roman" w:hAnsi="Times New Roman"/>
          <w:b/>
          <w:bCs/>
          <w:sz w:val="24"/>
          <w:szCs w:val="24"/>
        </w:rPr>
      </w:pPr>
      <w:r>
        <w:rPr>
          <w:rFonts w:ascii="Times New Roman" w:hAnsi="Times New Roman"/>
          <w:b/>
          <w:bCs/>
          <w:sz w:val="24"/>
          <w:szCs w:val="24"/>
        </w:rPr>
        <w:t xml:space="preserve">Legal Lesson Learned:  Cities and other municipalities may still have ordinances on hours when fireworks may be set off in that community. </w:t>
      </w:r>
    </w:p>
    <w:p w14:paraId="0463AD6D" w14:textId="77777777" w:rsidR="00493015" w:rsidRDefault="00493015" w:rsidP="00493015">
      <w:pPr>
        <w:pStyle w:val="NormalWeb"/>
      </w:pPr>
    </w:p>
    <w:p w14:paraId="106C9913" w14:textId="77777777" w:rsidR="00493015" w:rsidRDefault="00493015" w:rsidP="00F326E5">
      <w:pPr>
        <w:pStyle w:val="NoSpacing"/>
        <w:rPr>
          <w:rFonts w:ascii="Arial Black" w:hAnsi="Arial Black"/>
          <w:sz w:val="24"/>
          <w:szCs w:val="24"/>
        </w:rPr>
      </w:pPr>
    </w:p>
    <w:p w14:paraId="75C38513" w14:textId="77777777" w:rsidR="00991260" w:rsidRDefault="00991260" w:rsidP="00F326E5">
      <w:pPr>
        <w:pStyle w:val="NoSpacing"/>
        <w:rPr>
          <w:rFonts w:ascii="Arial Black" w:hAnsi="Arial Black"/>
          <w:sz w:val="24"/>
          <w:szCs w:val="24"/>
        </w:rPr>
      </w:pPr>
    </w:p>
    <w:p w14:paraId="2078751E" w14:textId="7B40888D" w:rsidR="007F1354" w:rsidRDefault="007F1354" w:rsidP="00F326E5">
      <w:pPr>
        <w:pStyle w:val="NoSpacing"/>
        <w:rPr>
          <w:rFonts w:ascii="Arial Black" w:hAnsi="Arial Black"/>
          <w:sz w:val="24"/>
          <w:szCs w:val="24"/>
        </w:rPr>
      </w:pPr>
      <w:r>
        <w:rPr>
          <w:rFonts w:ascii="Arial Black" w:hAnsi="Arial Black"/>
          <w:sz w:val="24"/>
          <w:szCs w:val="24"/>
        </w:rPr>
        <w:t>1-144</w:t>
      </w:r>
    </w:p>
    <w:p w14:paraId="6017C4A2" w14:textId="77777777" w:rsidR="003A1658" w:rsidRDefault="003A1658" w:rsidP="00F326E5">
      <w:pPr>
        <w:pStyle w:val="NoSpacing"/>
        <w:rPr>
          <w:rFonts w:ascii="Arial Black" w:hAnsi="Arial Black"/>
          <w:sz w:val="24"/>
          <w:szCs w:val="24"/>
        </w:rPr>
      </w:pPr>
    </w:p>
    <w:p w14:paraId="16E478D6" w14:textId="77777777" w:rsidR="003A1658" w:rsidRDefault="003A1658" w:rsidP="003A1658">
      <w:pPr>
        <w:pStyle w:val="NormalWeb"/>
        <w:rPr>
          <w:rFonts w:ascii="Arial Black" w:hAnsi="Arial Black"/>
          <w:sz w:val="28"/>
          <w:szCs w:val="28"/>
        </w:rPr>
      </w:pPr>
      <w:r>
        <w:rPr>
          <w:rFonts w:ascii="Arial Black" w:hAnsi="Arial Black"/>
          <w:sz w:val="28"/>
          <w:szCs w:val="28"/>
        </w:rPr>
        <w:t>IL:  HOUSE FIRE – CITY “EMERGENCY DEMOLISH ORDER” - FAILURE NOTIFY HOMEOWNER – LAWSUIT TO PROCEED</w:t>
      </w:r>
    </w:p>
    <w:p w14:paraId="55FC6635" w14:textId="77777777" w:rsidR="003A1658" w:rsidRDefault="003A1658" w:rsidP="003A1658">
      <w:pPr>
        <w:pStyle w:val="NormalWeb"/>
      </w:pPr>
      <w:r>
        <w:t xml:space="preserve">On Jan. 25, 2024, in </w:t>
      </w:r>
      <w:r w:rsidRPr="00F208D4">
        <w:rPr>
          <w:u w:val="single"/>
        </w:rPr>
        <w:t xml:space="preserve">Rosie Houston, et al. v. City of Houston, et </w:t>
      </w:r>
      <w:r>
        <w:rPr>
          <w:u w:val="single"/>
        </w:rPr>
        <w:t>a</w:t>
      </w:r>
      <w:r w:rsidRPr="00F208D4">
        <w:rPr>
          <w:u w:val="single"/>
        </w:rPr>
        <w:t>l</w:t>
      </w:r>
      <w:r>
        <w:t>., U.S. District Court Judge Jeremy C. Daniel, U.S. District Court for Northern District of Illinois (Eastern Division) denied the City’s motion to dismiss the lawsuit.</w:t>
      </w:r>
    </w:p>
    <w:p w14:paraId="77243181" w14:textId="77777777" w:rsidR="009A27F2" w:rsidRPr="004C0299" w:rsidRDefault="009A27F2" w:rsidP="009A27F2">
      <w:pPr>
        <w:pStyle w:val="NoSpacing"/>
        <w:rPr>
          <w:rFonts w:ascii="Times New Roman" w:hAnsi="Times New Roman"/>
          <w:sz w:val="24"/>
          <w:szCs w:val="24"/>
        </w:rPr>
      </w:pPr>
      <w:r>
        <w:rPr>
          <w:rFonts w:ascii="Times New Roman" w:hAnsi="Times New Roman"/>
          <w:sz w:val="24"/>
          <w:szCs w:val="24"/>
          <w:shd w:val="clear" w:color="auto" w:fill="FFFFFF"/>
        </w:rPr>
        <w:t>THE COURT HELD:</w:t>
      </w:r>
    </w:p>
    <w:p w14:paraId="4EE9EF7F" w14:textId="77777777" w:rsidR="003A1658" w:rsidRDefault="003A1658" w:rsidP="003A1658">
      <w:pPr>
        <w:pStyle w:val="NormalWeb"/>
        <w:ind w:left="720"/>
      </w:pPr>
      <w:r>
        <w:t>“[P]</w:t>
      </w:r>
      <w:proofErr w:type="spellStart"/>
      <w:r>
        <w:t>laintiffs</w:t>
      </w:r>
      <w:proofErr w:type="spellEnd"/>
      <w:r>
        <w:t>' Fourth Amendment claim may therefore proceed against Defendants City of Chicago, Frydland, Herrera, and Ficco.</w:t>
      </w:r>
    </w:p>
    <w:p w14:paraId="7F95B8B8" w14:textId="77777777" w:rsidR="003A1658" w:rsidRDefault="003A1658" w:rsidP="003A1658">
      <w:pPr>
        <w:pStyle w:val="NoSpacing"/>
        <w:ind w:firstLine="720"/>
        <w:rPr>
          <w:rFonts w:ascii="Times New Roman" w:hAnsi="Times New Roman"/>
          <w:sz w:val="24"/>
          <w:szCs w:val="24"/>
        </w:rPr>
      </w:pPr>
      <w:r>
        <w:rPr>
          <w:rFonts w:ascii="Times New Roman" w:hAnsi="Times New Roman"/>
          <w:sz w:val="24"/>
          <w:szCs w:val="24"/>
        </w:rPr>
        <w:t>***</w:t>
      </w:r>
    </w:p>
    <w:p w14:paraId="2DDC6607" w14:textId="77777777" w:rsidR="003A1658" w:rsidRDefault="003A1658" w:rsidP="003A1658">
      <w:pPr>
        <w:pStyle w:val="NoSpacing"/>
        <w:ind w:firstLine="720"/>
        <w:rPr>
          <w:rFonts w:ascii="Times New Roman" w:hAnsi="Times New Roman"/>
          <w:sz w:val="24"/>
          <w:szCs w:val="24"/>
        </w:rPr>
      </w:pPr>
    </w:p>
    <w:p w14:paraId="7B42E5B1" w14:textId="77777777" w:rsidR="003A1658" w:rsidRPr="005B427D" w:rsidRDefault="003A1658" w:rsidP="003A1658">
      <w:pPr>
        <w:pStyle w:val="NoSpacing"/>
        <w:ind w:firstLine="720"/>
        <w:rPr>
          <w:rFonts w:ascii="Times New Roman" w:hAnsi="Times New Roman"/>
          <w:sz w:val="24"/>
          <w:szCs w:val="24"/>
        </w:rPr>
      </w:pPr>
      <w:r w:rsidRPr="005B427D">
        <w:rPr>
          <w:rFonts w:ascii="Times New Roman" w:hAnsi="Times New Roman"/>
          <w:sz w:val="24"/>
          <w:szCs w:val="24"/>
        </w:rPr>
        <w:t>The defendants’ argument is unavailing because it ignores allegations that the</w:t>
      </w:r>
    </w:p>
    <w:p w14:paraId="5072BE9F" w14:textId="77777777" w:rsidR="003A1658" w:rsidRPr="005B427D" w:rsidRDefault="003A1658" w:rsidP="003A1658">
      <w:pPr>
        <w:pStyle w:val="NoSpacing"/>
        <w:ind w:firstLine="720"/>
        <w:rPr>
          <w:rFonts w:ascii="Times New Roman" w:hAnsi="Times New Roman"/>
          <w:sz w:val="24"/>
          <w:szCs w:val="24"/>
        </w:rPr>
      </w:pPr>
      <w:r w:rsidRPr="005B427D">
        <w:rPr>
          <w:rFonts w:ascii="Times New Roman" w:hAnsi="Times New Roman"/>
          <w:sz w:val="24"/>
          <w:szCs w:val="24"/>
        </w:rPr>
        <w:t>demolition was not random or unpredictable at all, but an entirely predictable</w:t>
      </w:r>
    </w:p>
    <w:p w14:paraId="5D07B566" w14:textId="77777777" w:rsidR="003A1658" w:rsidRPr="005B427D" w:rsidRDefault="003A1658" w:rsidP="003A1658">
      <w:pPr>
        <w:pStyle w:val="NoSpacing"/>
        <w:ind w:firstLine="720"/>
        <w:rPr>
          <w:rFonts w:ascii="Times New Roman" w:hAnsi="Times New Roman"/>
          <w:sz w:val="24"/>
          <w:szCs w:val="24"/>
        </w:rPr>
      </w:pPr>
      <w:r w:rsidRPr="005B427D">
        <w:rPr>
          <w:rFonts w:ascii="Times New Roman" w:hAnsi="Times New Roman"/>
          <w:sz w:val="24"/>
          <w:szCs w:val="24"/>
        </w:rPr>
        <w:t>deprivation that occurred pursuant to state procedures. Specifically, the complaint</w:t>
      </w:r>
    </w:p>
    <w:p w14:paraId="0BC6E984" w14:textId="77777777" w:rsidR="003A1658" w:rsidRPr="005B427D" w:rsidRDefault="003A1658" w:rsidP="003A1658">
      <w:pPr>
        <w:pStyle w:val="NoSpacing"/>
        <w:ind w:left="720"/>
        <w:rPr>
          <w:rFonts w:ascii="Times New Roman" w:hAnsi="Times New Roman"/>
          <w:sz w:val="24"/>
          <w:szCs w:val="24"/>
        </w:rPr>
      </w:pPr>
      <w:r w:rsidRPr="005B427D">
        <w:rPr>
          <w:rFonts w:ascii="Times New Roman" w:hAnsi="Times New Roman"/>
          <w:sz w:val="24"/>
          <w:szCs w:val="24"/>
        </w:rPr>
        <w:t>states that Herrera, while acting under the color of law and within the scope of his</w:t>
      </w:r>
    </w:p>
    <w:p w14:paraId="68F93029" w14:textId="77777777" w:rsidR="003A1658" w:rsidRPr="005B427D" w:rsidRDefault="003A1658" w:rsidP="003A1658">
      <w:pPr>
        <w:pStyle w:val="NoSpacing"/>
        <w:ind w:firstLine="720"/>
        <w:rPr>
          <w:rFonts w:ascii="Times New Roman" w:hAnsi="Times New Roman"/>
          <w:sz w:val="24"/>
          <w:szCs w:val="24"/>
        </w:rPr>
      </w:pPr>
      <w:proofErr w:type="gramStart"/>
      <w:r w:rsidRPr="005B427D">
        <w:rPr>
          <w:rFonts w:ascii="Times New Roman" w:hAnsi="Times New Roman"/>
          <w:sz w:val="24"/>
          <w:szCs w:val="24"/>
        </w:rPr>
        <w:t xml:space="preserve">employment, </w:t>
      </w:r>
      <w:r>
        <w:rPr>
          <w:rFonts w:ascii="Times New Roman" w:hAnsi="Times New Roman"/>
          <w:sz w:val="24"/>
          <w:szCs w:val="24"/>
        </w:rPr>
        <w:t>‘</w:t>
      </w:r>
      <w:proofErr w:type="gramEnd"/>
      <w:r w:rsidRPr="005B427D">
        <w:rPr>
          <w:rFonts w:ascii="Times New Roman" w:hAnsi="Times New Roman"/>
          <w:sz w:val="24"/>
          <w:szCs w:val="24"/>
        </w:rPr>
        <w:t>caused a Permit for a Demolition Application to [be] issued to Delta</w:t>
      </w:r>
    </w:p>
    <w:p w14:paraId="3AB9927A" w14:textId="77777777" w:rsidR="003A1658" w:rsidRDefault="003A1658" w:rsidP="003A1658">
      <w:pPr>
        <w:pStyle w:val="NoSpacing"/>
        <w:ind w:left="720"/>
      </w:pPr>
      <w:r w:rsidRPr="005B427D">
        <w:rPr>
          <w:rFonts w:ascii="Times New Roman" w:hAnsi="Times New Roman"/>
          <w:sz w:val="24"/>
          <w:szCs w:val="24"/>
        </w:rPr>
        <w:lastRenderedPageBreak/>
        <w:t>Demolition.</w:t>
      </w:r>
      <w:r>
        <w:rPr>
          <w:rFonts w:ascii="Times New Roman" w:hAnsi="Times New Roman"/>
          <w:sz w:val="24"/>
          <w:szCs w:val="24"/>
        </w:rPr>
        <w:t xml:space="preserve">’ </w:t>
      </w:r>
      <w:r w:rsidRPr="005B427D">
        <w:rPr>
          <w:rFonts w:ascii="Times New Roman" w:hAnsi="Times New Roman"/>
          <w:sz w:val="24"/>
          <w:szCs w:val="24"/>
        </w:rPr>
        <w:t>The demolition permit was thereafter issued, and the</w:t>
      </w:r>
      <w:r>
        <w:rPr>
          <w:rFonts w:ascii="Times New Roman" w:hAnsi="Times New Roman"/>
          <w:sz w:val="24"/>
          <w:szCs w:val="24"/>
        </w:rPr>
        <w:t xml:space="preserve"> </w:t>
      </w:r>
      <w:r w:rsidRPr="005B427D">
        <w:rPr>
          <w:rFonts w:ascii="Times New Roman" w:hAnsi="Times New Roman"/>
          <w:sz w:val="24"/>
          <w:szCs w:val="24"/>
        </w:rPr>
        <w:t>defendants demolished the plaintiffs’ home. Further, the complaint</w:t>
      </w:r>
      <w:r>
        <w:rPr>
          <w:rFonts w:ascii="Times New Roman" w:hAnsi="Times New Roman"/>
          <w:sz w:val="24"/>
          <w:szCs w:val="24"/>
        </w:rPr>
        <w:t xml:space="preserve"> </w:t>
      </w:r>
      <w:r w:rsidRPr="005B427D">
        <w:rPr>
          <w:rFonts w:ascii="Times New Roman" w:hAnsi="Times New Roman"/>
          <w:sz w:val="24"/>
          <w:szCs w:val="24"/>
        </w:rPr>
        <w:t>explains that an emergency demolition permit may only properly occur after (1)</w:t>
      </w:r>
      <w:r>
        <w:rPr>
          <w:rFonts w:ascii="Times New Roman" w:hAnsi="Times New Roman"/>
          <w:sz w:val="24"/>
          <w:szCs w:val="24"/>
        </w:rPr>
        <w:t xml:space="preserve"> </w:t>
      </w:r>
      <w:r w:rsidRPr="005B427D">
        <w:rPr>
          <w:rFonts w:ascii="Times New Roman" w:hAnsi="Times New Roman"/>
          <w:sz w:val="24"/>
          <w:szCs w:val="24"/>
        </w:rPr>
        <w:t>seeking an affidavit from the owner authorizing the demolition; (2) alternatively,</w:t>
      </w:r>
      <w:r>
        <w:rPr>
          <w:rFonts w:ascii="Times New Roman" w:hAnsi="Times New Roman"/>
          <w:sz w:val="24"/>
          <w:szCs w:val="24"/>
        </w:rPr>
        <w:t xml:space="preserve"> </w:t>
      </w:r>
      <w:r w:rsidRPr="005B427D">
        <w:rPr>
          <w:rFonts w:ascii="Times New Roman" w:hAnsi="Times New Roman"/>
          <w:sz w:val="24"/>
          <w:szCs w:val="24"/>
        </w:rPr>
        <w:t>serving the owner with notice of the demolition via certified mail, and (3) posting a</w:t>
      </w:r>
      <w:r>
        <w:rPr>
          <w:rFonts w:ascii="Times New Roman" w:hAnsi="Times New Roman"/>
          <w:sz w:val="24"/>
          <w:szCs w:val="24"/>
        </w:rPr>
        <w:t xml:space="preserve"> </w:t>
      </w:r>
      <w:r w:rsidRPr="005B427D">
        <w:rPr>
          <w:rFonts w:ascii="Times New Roman" w:hAnsi="Times New Roman"/>
          <w:sz w:val="24"/>
          <w:szCs w:val="24"/>
        </w:rPr>
        <w:t>sign no smaller than two feet by three feet stating that the property will be</w:t>
      </w:r>
      <w:r>
        <w:rPr>
          <w:rFonts w:ascii="Times New Roman" w:hAnsi="Times New Roman"/>
          <w:sz w:val="24"/>
          <w:szCs w:val="24"/>
        </w:rPr>
        <w:t xml:space="preserve"> </w:t>
      </w:r>
      <w:r w:rsidRPr="005B427D">
        <w:rPr>
          <w:rFonts w:ascii="Times New Roman" w:hAnsi="Times New Roman"/>
          <w:sz w:val="24"/>
          <w:szCs w:val="24"/>
        </w:rPr>
        <w:t>demolished within three days, but alleges that it was the City’s routine practice not</w:t>
      </w:r>
      <w:r>
        <w:rPr>
          <w:rFonts w:ascii="Times New Roman" w:hAnsi="Times New Roman"/>
          <w:sz w:val="24"/>
          <w:szCs w:val="24"/>
        </w:rPr>
        <w:t xml:space="preserve"> </w:t>
      </w:r>
      <w:r w:rsidRPr="005B427D">
        <w:rPr>
          <w:rFonts w:ascii="Times New Roman" w:hAnsi="Times New Roman"/>
          <w:sz w:val="24"/>
          <w:szCs w:val="24"/>
        </w:rPr>
        <w:t>to follow these procedures.</w:t>
      </w:r>
      <w:r>
        <w:rPr>
          <w:rFonts w:ascii="Times New Roman" w:hAnsi="Times New Roman"/>
          <w:sz w:val="24"/>
          <w:szCs w:val="24"/>
        </w:rPr>
        <w:t xml:space="preserve">” </w:t>
      </w:r>
      <w:hyperlink r:id="rId156" w:history="1">
        <w:r w:rsidRPr="00D46FE0">
          <w:rPr>
            <w:rStyle w:val="Hyperlink"/>
          </w:rPr>
          <w:t>https://cases.justia.com/federal/district-courts/illinois/ilndce/1:2020cv06720/393181/97/0.pdf?ts=1706261425</w:t>
        </w:r>
      </w:hyperlink>
      <w:r>
        <w:t xml:space="preserve"> </w:t>
      </w:r>
    </w:p>
    <w:p w14:paraId="355EF4DC" w14:textId="77777777" w:rsidR="003A1658" w:rsidRDefault="003A1658" w:rsidP="00F326E5">
      <w:pPr>
        <w:pStyle w:val="NoSpacing"/>
        <w:rPr>
          <w:rFonts w:ascii="Arial Black" w:hAnsi="Arial Black"/>
          <w:sz w:val="24"/>
          <w:szCs w:val="24"/>
        </w:rPr>
      </w:pPr>
    </w:p>
    <w:p w14:paraId="4CFE3D62" w14:textId="77777777" w:rsidR="00A21A2D" w:rsidRPr="00AF656D" w:rsidRDefault="00A21A2D" w:rsidP="00A21A2D">
      <w:pPr>
        <w:pStyle w:val="NormalWeb"/>
        <w:rPr>
          <w:b/>
          <w:bCs/>
        </w:rPr>
      </w:pPr>
      <w:r w:rsidRPr="00AF656D">
        <w:rPr>
          <w:b/>
          <w:bCs/>
        </w:rPr>
        <w:t xml:space="preserve">Legal Lesson Learned: </w:t>
      </w:r>
      <w:r>
        <w:rPr>
          <w:b/>
          <w:bCs/>
        </w:rPr>
        <w:t xml:space="preserve"> In an emergency demolition, personally serve homeowner with demolition order whenever possible. </w:t>
      </w:r>
    </w:p>
    <w:p w14:paraId="078323BA" w14:textId="77777777" w:rsidR="00A21A2D" w:rsidRDefault="00A21A2D" w:rsidP="00F326E5">
      <w:pPr>
        <w:pStyle w:val="NoSpacing"/>
        <w:rPr>
          <w:rFonts w:ascii="Arial Black" w:hAnsi="Arial Black"/>
          <w:sz w:val="24"/>
          <w:szCs w:val="24"/>
        </w:rPr>
      </w:pPr>
    </w:p>
    <w:p w14:paraId="3631163F" w14:textId="77777777" w:rsidR="007F1354" w:rsidRDefault="007F1354" w:rsidP="00F326E5">
      <w:pPr>
        <w:pStyle w:val="NoSpacing"/>
        <w:rPr>
          <w:rFonts w:ascii="Arial Black" w:hAnsi="Arial Black"/>
          <w:sz w:val="24"/>
          <w:szCs w:val="24"/>
        </w:rPr>
      </w:pPr>
    </w:p>
    <w:p w14:paraId="72A194C9" w14:textId="77777777" w:rsidR="007F1354" w:rsidRDefault="007F1354" w:rsidP="00F326E5">
      <w:pPr>
        <w:pStyle w:val="NoSpacing"/>
        <w:rPr>
          <w:rFonts w:ascii="Arial Black" w:hAnsi="Arial Black"/>
          <w:sz w:val="24"/>
          <w:szCs w:val="24"/>
        </w:rPr>
      </w:pPr>
    </w:p>
    <w:p w14:paraId="6A05FDE0" w14:textId="142F38C5" w:rsidR="009B2B83" w:rsidRDefault="009B2B83" w:rsidP="00F326E5">
      <w:pPr>
        <w:pStyle w:val="NoSpacing"/>
        <w:rPr>
          <w:rFonts w:ascii="Arial Black" w:hAnsi="Arial Black"/>
          <w:sz w:val="24"/>
          <w:szCs w:val="24"/>
        </w:rPr>
      </w:pPr>
      <w:r>
        <w:rPr>
          <w:rFonts w:ascii="Arial Black" w:hAnsi="Arial Black"/>
          <w:sz w:val="24"/>
          <w:szCs w:val="24"/>
        </w:rPr>
        <w:t>1-143</w:t>
      </w:r>
    </w:p>
    <w:p w14:paraId="06372553" w14:textId="77777777" w:rsidR="00BF3437" w:rsidRPr="00666238" w:rsidRDefault="00BF3437" w:rsidP="00BF3437">
      <w:pPr>
        <w:pStyle w:val="Heading1"/>
        <w:rPr>
          <w:rFonts w:ascii="Arial Black" w:hAnsi="Arial Black"/>
          <w:sz w:val="28"/>
          <w:szCs w:val="28"/>
        </w:rPr>
      </w:pPr>
      <w:r>
        <w:rPr>
          <w:rFonts w:ascii="Arial Black" w:hAnsi="Arial Black"/>
          <w:sz w:val="28"/>
          <w:szCs w:val="28"/>
        </w:rPr>
        <w:t>WI: ARSON CONV. UPHELD – COMMENTS AT SCENE TO INCIDENT COMMANDER – FIRES IN TWO LOCATIONS</w:t>
      </w:r>
    </w:p>
    <w:p w14:paraId="0C9FA424" w14:textId="77777777" w:rsidR="00BF3437" w:rsidRDefault="00BF3437" w:rsidP="00BF3437">
      <w:pPr>
        <w:pStyle w:val="Heading1"/>
        <w:rPr>
          <w:b w:val="0"/>
          <w:bCs w:val="0"/>
          <w:sz w:val="24"/>
          <w:szCs w:val="24"/>
        </w:rPr>
      </w:pPr>
      <w:r>
        <w:rPr>
          <w:b w:val="0"/>
          <w:bCs w:val="0"/>
          <w:sz w:val="24"/>
          <w:szCs w:val="24"/>
        </w:rPr>
        <w:t xml:space="preserve">On Jan. 23, 2024, in </w:t>
      </w:r>
      <w:r w:rsidRPr="00510D50">
        <w:rPr>
          <w:b w:val="0"/>
          <w:bCs w:val="0"/>
          <w:sz w:val="24"/>
          <w:szCs w:val="24"/>
          <w:u w:val="single"/>
        </w:rPr>
        <w:t>State of Wisconsin v. James Farrar</w:t>
      </w:r>
      <w:r>
        <w:rPr>
          <w:b w:val="0"/>
          <w:bCs w:val="0"/>
          <w:sz w:val="24"/>
          <w:szCs w:val="24"/>
        </w:rPr>
        <w:t xml:space="preserve">, the Court of Appeals of Wisconsin held (3 to 0; unpublished opinion) there was sufficient evidence to support jury’s conviction of arson of a building of another.  The defendant was living in his father’s house (rental), father was in the hospital and would not allow the son to take over the lease.  There were two fires set – one in bedroom and another in the basement. </w:t>
      </w:r>
    </w:p>
    <w:p w14:paraId="4BCCB9AD" w14:textId="77777777" w:rsidR="009A27F2" w:rsidRPr="004C0299" w:rsidRDefault="009A27F2" w:rsidP="009A27F2">
      <w:pPr>
        <w:pStyle w:val="NoSpacing"/>
        <w:rPr>
          <w:rFonts w:ascii="Times New Roman" w:hAnsi="Times New Roman"/>
          <w:sz w:val="24"/>
          <w:szCs w:val="24"/>
        </w:rPr>
      </w:pPr>
      <w:r>
        <w:rPr>
          <w:rFonts w:ascii="Times New Roman" w:hAnsi="Times New Roman"/>
          <w:sz w:val="24"/>
          <w:szCs w:val="24"/>
          <w:shd w:val="clear" w:color="auto" w:fill="FFFFFF"/>
        </w:rPr>
        <w:t>THE COURT HELD:</w:t>
      </w:r>
    </w:p>
    <w:p w14:paraId="6368BB63" w14:textId="77777777" w:rsidR="00BF3437" w:rsidRDefault="00BF3437" w:rsidP="00BF3437">
      <w:pPr>
        <w:pStyle w:val="Heading1"/>
        <w:ind w:left="720"/>
        <w:rPr>
          <w:b w:val="0"/>
          <w:bCs w:val="0"/>
          <w:sz w:val="24"/>
          <w:szCs w:val="24"/>
        </w:rPr>
      </w:pPr>
      <w:r>
        <w:rPr>
          <w:b w:val="0"/>
          <w:bCs w:val="0"/>
          <w:sz w:val="24"/>
          <w:szCs w:val="24"/>
        </w:rPr>
        <w:t>“</w:t>
      </w:r>
      <w:r w:rsidRPr="00252AFA">
        <w:rPr>
          <w:b w:val="0"/>
          <w:bCs w:val="0"/>
          <w:sz w:val="24"/>
          <w:szCs w:val="24"/>
        </w:rPr>
        <w:t>The jury rejected the defense's theory that Farrar set the fire accidentally and found Farrar guilty of the arson charge. Farrar now appeals, challenging the sufficiency of the evidence to support his conviction.</w:t>
      </w:r>
    </w:p>
    <w:p w14:paraId="43E9BBA7" w14:textId="77777777" w:rsidR="00BF3437" w:rsidRDefault="00BF3437" w:rsidP="00BF3437">
      <w:pPr>
        <w:pStyle w:val="Heading1"/>
        <w:ind w:left="720"/>
        <w:rPr>
          <w:b w:val="0"/>
          <w:bCs w:val="0"/>
          <w:sz w:val="24"/>
          <w:szCs w:val="24"/>
        </w:rPr>
      </w:pPr>
      <w:r>
        <w:rPr>
          <w:b w:val="0"/>
          <w:bCs w:val="0"/>
          <w:sz w:val="24"/>
          <w:szCs w:val="24"/>
        </w:rPr>
        <w:t>***</w:t>
      </w:r>
    </w:p>
    <w:p w14:paraId="78D0C4B7" w14:textId="77777777" w:rsidR="00BF3437" w:rsidRDefault="00BF3437" w:rsidP="00BF3437">
      <w:pPr>
        <w:pStyle w:val="Heading1"/>
        <w:ind w:left="720"/>
        <w:rPr>
          <w:b w:val="0"/>
          <w:bCs w:val="0"/>
          <w:sz w:val="24"/>
          <w:szCs w:val="24"/>
        </w:rPr>
      </w:pPr>
      <w:r w:rsidRPr="007F290B">
        <w:rPr>
          <w:b w:val="0"/>
          <w:bCs w:val="0"/>
          <w:sz w:val="24"/>
          <w:szCs w:val="24"/>
        </w:rPr>
        <w:t>We disagree with Farrar's suggestion that an expression of intent was required for the jury to find that he intentionally set the fires at the residence. As explained above, the evidence introduced at trial, while circumstantial, was sufficient to support a reasonable inference that Farrar started the fires with the intent to damage the residence.</w:t>
      </w:r>
      <w:r>
        <w:rPr>
          <w:b w:val="0"/>
          <w:bCs w:val="0"/>
          <w:sz w:val="24"/>
          <w:szCs w:val="24"/>
        </w:rPr>
        <w:t xml:space="preserve">” </w:t>
      </w:r>
      <w:hyperlink r:id="rId157" w:history="1">
        <w:r w:rsidRPr="00624A20">
          <w:rPr>
            <w:rStyle w:val="Hyperlink"/>
            <w:b w:val="0"/>
            <w:bCs w:val="0"/>
            <w:sz w:val="24"/>
            <w:szCs w:val="24"/>
          </w:rPr>
          <w:t>https://caselaw.findlaw.com/court/wi-court-of-appeals/115735506.html</w:t>
        </w:r>
      </w:hyperlink>
      <w:r>
        <w:rPr>
          <w:b w:val="0"/>
          <w:bCs w:val="0"/>
          <w:sz w:val="24"/>
          <w:szCs w:val="24"/>
        </w:rPr>
        <w:t xml:space="preserve"> </w:t>
      </w:r>
    </w:p>
    <w:p w14:paraId="52BA343D" w14:textId="77777777" w:rsidR="007F1354" w:rsidRPr="004A3354" w:rsidRDefault="007F1354" w:rsidP="007F1354">
      <w:pPr>
        <w:pStyle w:val="NormalWeb"/>
        <w:rPr>
          <w:b/>
          <w:bCs/>
        </w:rPr>
      </w:pPr>
      <w:r w:rsidRPr="004A3354">
        <w:rPr>
          <w:b/>
          <w:bCs/>
        </w:rPr>
        <w:t>Legal Lesson Learned:</w:t>
      </w:r>
      <w:r>
        <w:rPr>
          <w:b/>
          <w:bCs/>
        </w:rPr>
        <w:t xml:space="preserve"> Document in your fire report the suspicious comments of the resident. </w:t>
      </w:r>
    </w:p>
    <w:p w14:paraId="79E5EFBF" w14:textId="78BE2E54" w:rsidR="009B2B83" w:rsidRPr="00021A20" w:rsidRDefault="00021A20" w:rsidP="00F326E5">
      <w:pPr>
        <w:pStyle w:val="NoSpacing"/>
        <w:rPr>
          <w:rFonts w:ascii="Times New Roman" w:hAnsi="Times New Roman"/>
          <w:sz w:val="24"/>
          <w:szCs w:val="24"/>
        </w:rPr>
      </w:pPr>
      <w:r>
        <w:rPr>
          <w:rFonts w:ascii="Arial Black" w:hAnsi="Arial Black"/>
          <w:sz w:val="24"/>
          <w:szCs w:val="24"/>
        </w:rPr>
        <w:tab/>
      </w:r>
      <w:r w:rsidRPr="00021A20">
        <w:rPr>
          <w:rFonts w:ascii="Times New Roman" w:hAnsi="Times New Roman"/>
          <w:sz w:val="24"/>
          <w:szCs w:val="24"/>
        </w:rPr>
        <w:t xml:space="preserve">Note: See article on this case. </w:t>
      </w:r>
    </w:p>
    <w:p w14:paraId="042CBE7C" w14:textId="77777777" w:rsidR="00021A20" w:rsidRPr="00585D67" w:rsidRDefault="00021A20" w:rsidP="00021A20">
      <w:pPr>
        <w:pStyle w:val="NormalWeb"/>
        <w:ind w:left="720"/>
      </w:pPr>
      <w:r w:rsidRPr="00585D67">
        <w:t xml:space="preserve">March 2, 2022: Wausau Man Sentenced </w:t>
      </w:r>
      <w:proofErr w:type="gramStart"/>
      <w:r w:rsidRPr="00585D67">
        <w:t>In</w:t>
      </w:r>
      <w:proofErr w:type="gramEnd"/>
      <w:r w:rsidRPr="00585D67">
        <w:t xml:space="preserve"> Arson Case </w:t>
      </w:r>
      <w:hyperlink r:id="rId158" w:history="1">
        <w:r w:rsidRPr="00585D67">
          <w:rPr>
            <w:rStyle w:val="Hyperlink"/>
          </w:rPr>
          <w:t>https://wsau.com/2022/03/02/wausau-man-sentenced-in-arson-case/</w:t>
        </w:r>
      </w:hyperlink>
      <w:r w:rsidRPr="00585D67">
        <w:t xml:space="preserve"> </w:t>
      </w:r>
    </w:p>
    <w:p w14:paraId="501C27F1" w14:textId="77777777" w:rsidR="009B2B83" w:rsidRDefault="009B2B83" w:rsidP="00F326E5">
      <w:pPr>
        <w:pStyle w:val="NoSpacing"/>
        <w:rPr>
          <w:rFonts w:ascii="Arial Black" w:hAnsi="Arial Black"/>
          <w:sz w:val="24"/>
          <w:szCs w:val="24"/>
        </w:rPr>
      </w:pPr>
    </w:p>
    <w:p w14:paraId="069DD437" w14:textId="77777777" w:rsidR="009B2B83" w:rsidRDefault="009B2B83" w:rsidP="00F326E5">
      <w:pPr>
        <w:pStyle w:val="NoSpacing"/>
        <w:rPr>
          <w:rFonts w:ascii="Arial Black" w:hAnsi="Arial Black"/>
          <w:sz w:val="24"/>
          <w:szCs w:val="24"/>
        </w:rPr>
      </w:pPr>
    </w:p>
    <w:p w14:paraId="4964BD00" w14:textId="6335161A" w:rsidR="00EC5DAB" w:rsidRDefault="00EC5DAB" w:rsidP="00F326E5">
      <w:pPr>
        <w:pStyle w:val="NoSpacing"/>
        <w:rPr>
          <w:rFonts w:ascii="Arial Black" w:hAnsi="Arial Black"/>
          <w:sz w:val="24"/>
          <w:szCs w:val="24"/>
        </w:rPr>
      </w:pPr>
      <w:r>
        <w:rPr>
          <w:rFonts w:ascii="Arial Black" w:hAnsi="Arial Black"/>
          <w:sz w:val="24"/>
          <w:szCs w:val="24"/>
        </w:rPr>
        <w:t>1-142</w:t>
      </w:r>
    </w:p>
    <w:p w14:paraId="17B11D01" w14:textId="77777777" w:rsidR="00307899" w:rsidRPr="007C1A20" w:rsidRDefault="00307899" w:rsidP="00307899">
      <w:pPr>
        <w:pStyle w:val="NormalWeb"/>
        <w:rPr>
          <w:rFonts w:ascii="Arial Black" w:hAnsi="Arial Black"/>
          <w:b/>
          <w:bCs/>
          <w:sz w:val="28"/>
          <w:szCs w:val="28"/>
        </w:rPr>
      </w:pPr>
      <w:r>
        <w:rPr>
          <w:rFonts w:ascii="Arial Black" w:hAnsi="Arial Black"/>
          <w:b/>
          <w:bCs/>
          <w:sz w:val="28"/>
          <w:szCs w:val="28"/>
        </w:rPr>
        <w:lastRenderedPageBreak/>
        <w:t>LA: ARSON – NEIGHBOR’S APT / GASOLINE – MOM HEARD 2</w:t>
      </w:r>
      <w:r w:rsidRPr="00583036">
        <w:rPr>
          <w:rFonts w:ascii="Arial Black" w:hAnsi="Arial Black"/>
          <w:b/>
          <w:bCs/>
          <w:sz w:val="28"/>
          <w:szCs w:val="28"/>
          <w:vertAlign w:val="superscript"/>
        </w:rPr>
        <w:t>ND</w:t>
      </w:r>
      <w:r>
        <w:rPr>
          <w:rFonts w:ascii="Arial Black" w:hAnsi="Arial Black"/>
          <w:b/>
          <w:bCs/>
          <w:sz w:val="28"/>
          <w:szCs w:val="28"/>
        </w:rPr>
        <w:t xml:space="preserve"> MAN TELL SON “YOU PUT TOO MUCH” - CONV. UPHELD</w:t>
      </w:r>
    </w:p>
    <w:p w14:paraId="00B26DB5" w14:textId="77777777" w:rsidR="00307899" w:rsidRDefault="00307899" w:rsidP="00307899">
      <w:pPr>
        <w:pStyle w:val="NormalWeb"/>
      </w:pPr>
      <w:r w:rsidRPr="001B26D3">
        <w:t xml:space="preserve">On Dec. 27, 2023, in </w:t>
      </w:r>
      <w:r w:rsidRPr="001B26D3">
        <w:rPr>
          <w:u w:val="single"/>
        </w:rPr>
        <w:t>State of Louisiana v. Terone R. Thomas</w:t>
      </w:r>
      <w:r w:rsidRPr="001B26D3">
        <w:t xml:space="preserve">, </w:t>
      </w:r>
      <w:r>
        <w:t xml:space="preserve">the Louisiana Fifth Circuit Court of Appeals held (3 to 0) that jury properly found defendant guilty, </w:t>
      </w:r>
      <w:proofErr w:type="gramStart"/>
      <w:r>
        <w:t>sentenced</w:t>
      </w:r>
      <w:proofErr w:type="gramEnd"/>
      <w:r>
        <w:t xml:space="preserve"> 5 years in prison, but judge’s restitution order $4,500 to neighbor requires evidence of the amount of the victim’s loss.  The Court wrote: “[Defendant’s  mother] testified that she heard the other man telling </w:t>
      </w:r>
      <w:proofErr w:type="gramStart"/>
      <w:r>
        <w:t>Defendant</w:t>
      </w:r>
      <w:proofErr w:type="gramEnd"/>
      <w:r>
        <w:t xml:space="preserve"> ‘You put too much’ or ‘You did too much.’ She did not hear Defendant say anything. She saw Defendant and the man get in ‘a little gray Mitsubishi, or whatever it was’ and leave the scene.” </w:t>
      </w:r>
      <w:hyperlink r:id="rId159" w:history="1">
        <w:r w:rsidRPr="00911235">
          <w:rPr>
            <w:rStyle w:val="Hyperlink"/>
          </w:rPr>
          <w:t>https://cases.justia.com/louisiana/fifth-circuit-court-of-appeal/2023-23-ka-234.pdf?ts=1703704652</w:t>
        </w:r>
      </w:hyperlink>
      <w:r>
        <w:t xml:space="preserve"> </w:t>
      </w:r>
    </w:p>
    <w:p w14:paraId="300DDEF2" w14:textId="77777777" w:rsidR="001257CC" w:rsidRDefault="001257CC" w:rsidP="001257CC">
      <w:pPr>
        <w:pStyle w:val="NormalWeb"/>
        <w:rPr>
          <w:b/>
          <w:bCs/>
        </w:rPr>
      </w:pPr>
      <w:r>
        <w:rPr>
          <w:b/>
          <w:bCs/>
        </w:rPr>
        <w:t xml:space="preserve">Legal Lesson Learned: Thorough investigation, clothing seized by consent, crime scene evidence collected with search warrant, expert testimony. </w:t>
      </w:r>
    </w:p>
    <w:p w14:paraId="4CD4B859" w14:textId="77777777" w:rsidR="00307899" w:rsidRDefault="00307899" w:rsidP="00F326E5">
      <w:pPr>
        <w:pStyle w:val="NoSpacing"/>
        <w:rPr>
          <w:rFonts w:ascii="Arial Black" w:hAnsi="Arial Black"/>
          <w:sz w:val="24"/>
          <w:szCs w:val="24"/>
        </w:rPr>
      </w:pPr>
    </w:p>
    <w:p w14:paraId="5BB1CCA0" w14:textId="77777777" w:rsidR="00EC5DAB" w:rsidRDefault="00EC5DAB" w:rsidP="00F326E5">
      <w:pPr>
        <w:pStyle w:val="NoSpacing"/>
        <w:rPr>
          <w:rFonts w:ascii="Arial Black" w:hAnsi="Arial Black"/>
          <w:sz w:val="24"/>
          <w:szCs w:val="24"/>
        </w:rPr>
      </w:pPr>
    </w:p>
    <w:p w14:paraId="6977D618" w14:textId="77777777" w:rsidR="00EC5DAB" w:rsidRDefault="00EC5DAB" w:rsidP="00F326E5">
      <w:pPr>
        <w:pStyle w:val="NoSpacing"/>
        <w:rPr>
          <w:rFonts w:ascii="Arial Black" w:hAnsi="Arial Black"/>
          <w:sz w:val="24"/>
          <w:szCs w:val="24"/>
        </w:rPr>
      </w:pPr>
    </w:p>
    <w:p w14:paraId="1FC7F42A" w14:textId="4F040D1C" w:rsidR="00C22EBB" w:rsidRDefault="00530943" w:rsidP="00F326E5">
      <w:pPr>
        <w:pStyle w:val="NoSpacing"/>
        <w:rPr>
          <w:rFonts w:ascii="Arial Black" w:hAnsi="Arial Black"/>
          <w:sz w:val="24"/>
          <w:szCs w:val="24"/>
        </w:rPr>
      </w:pPr>
      <w:r>
        <w:rPr>
          <w:rFonts w:ascii="Arial Black" w:hAnsi="Arial Black"/>
          <w:sz w:val="24"/>
          <w:szCs w:val="24"/>
        </w:rPr>
        <w:t>1-141</w:t>
      </w:r>
    </w:p>
    <w:p w14:paraId="6233123E" w14:textId="77777777" w:rsidR="00BC0D37" w:rsidRPr="00462C8F" w:rsidRDefault="00BC0D37" w:rsidP="00BC0D37">
      <w:pPr>
        <w:pStyle w:val="NormalWeb"/>
        <w:rPr>
          <w:rFonts w:ascii="Arial Black" w:hAnsi="Arial Black"/>
          <w:sz w:val="28"/>
          <w:szCs w:val="28"/>
        </w:rPr>
      </w:pPr>
      <w:r>
        <w:rPr>
          <w:rFonts w:ascii="Arial Black" w:hAnsi="Arial Black"/>
          <w:sz w:val="28"/>
          <w:szCs w:val="28"/>
        </w:rPr>
        <w:t>MA: ARSON CHURCH – PROBABLE CAUSE SEARCH WARRANT CAR OF CHURCH MEMBER – PORTIONS DELETED</w:t>
      </w:r>
    </w:p>
    <w:p w14:paraId="5C4FB747" w14:textId="77777777" w:rsidR="00BC0D37" w:rsidRDefault="00BC0D37" w:rsidP="00BC0D37">
      <w:pPr>
        <w:pStyle w:val="NormalWeb"/>
      </w:pPr>
      <w:r w:rsidRPr="002F76D0">
        <w:t xml:space="preserve">On Dec. 8, 2023, in </w:t>
      </w:r>
      <w:r w:rsidRPr="002F76D0">
        <w:rPr>
          <w:u w:val="single"/>
        </w:rPr>
        <w:t>Commonwealth v. Lys W. Vincent</w:t>
      </w:r>
      <w:r w:rsidRPr="002F76D0">
        <w:t xml:space="preserve">, the Appeals Court of Massachusetts held (3 to 0) that trial court </w:t>
      </w:r>
      <w:r>
        <w:t xml:space="preserve">motions judge </w:t>
      </w:r>
      <w:r w:rsidRPr="002F76D0">
        <w:t xml:space="preserve">properly found the affidavit to search the car was supported by probable cause.  The Court held: </w:t>
      </w:r>
      <w:r>
        <w:t xml:space="preserve">“The defendant argued in his motion that the warrant affidavit contained unlawfully obtained information. The motion judge agreed that portions of the affidavit were based on </w:t>
      </w:r>
      <w:proofErr w:type="gramStart"/>
      <w:r>
        <w:t>an unconstitutional</w:t>
      </w:r>
      <w:proofErr w:type="gramEnd"/>
      <w:r>
        <w:t xml:space="preserve"> search and interrogation but concluded that, even after the unlawful portions of the affidavit were excised, it still established probable cause for the search. Without the unlawfully obtained information, the affidavit established the following. *** </w:t>
      </w:r>
      <w:r w:rsidRPr="002F76D0">
        <w:t xml:space="preserve">The timing of the car's arrival and departure in relation to the time of the fire, the fact that the car was registered to a church member, and the footage of the driver apparently carrying into the building a bag that could have contained the accelerant, went well beyond mere presence and established a sufficient nexus between the car and the crime. Accordingly, there was probable cause to issue the search warrant, and the evidence found in the car -- including gasoline residue on the passenger-side carpet -- was properly admitted at </w:t>
      </w:r>
      <w:proofErr w:type="gramStart"/>
      <w:r w:rsidRPr="002F76D0">
        <w:t>trial.</w:t>
      </w:r>
      <w:r>
        <w:t>”</w:t>
      </w:r>
      <w:proofErr w:type="gramEnd"/>
      <w:r>
        <w:t xml:space="preserve"> </w:t>
      </w:r>
      <w:hyperlink r:id="rId160" w:history="1">
        <w:r w:rsidRPr="0014393E">
          <w:rPr>
            <w:rStyle w:val="Hyperlink"/>
          </w:rPr>
          <w:t>https://caselaw.findlaw.com/court/ma-court-of-appeals/115598993.html</w:t>
        </w:r>
      </w:hyperlink>
      <w:r>
        <w:t xml:space="preserve"> </w:t>
      </w:r>
    </w:p>
    <w:p w14:paraId="346A6D29" w14:textId="77777777" w:rsidR="00EC5DAB" w:rsidRPr="00B75293" w:rsidRDefault="00EC5DAB" w:rsidP="00EC5DAB">
      <w:pPr>
        <w:pStyle w:val="NormalWeb"/>
        <w:rPr>
          <w:b/>
          <w:bCs/>
        </w:rPr>
      </w:pPr>
      <w:r w:rsidRPr="00B75293">
        <w:rPr>
          <w:b/>
          <w:bCs/>
        </w:rPr>
        <w:t xml:space="preserve">Legal Lesson Learned: </w:t>
      </w:r>
      <w:r>
        <w:rPr>
          <w:b/>
          <w:bCs/>
        </w:rPr>
        <w:t xml:space="preserve">Search warrant of car will be upheld where church video showed suspicious activity. </w:t>
      </w:r>
    </w:p>
    <w:p w14:paraId="757F6C4B" w14:textId="77777777" w:rsidR="00EC5DAB" w:rsidRPr="002F76D0" w:rsidRDefault="00EC5DAB" w:rsidP="00BC0D37">
      <w:pPr>
        <w:pStyle w:val="NormalWeb"/>
      </w:pPr>
    </w:p>
    <w:p w14:paraId="12E58710" w14:textId="77777777" w:rsidR="00530943" w:rsidRDefault="00530943" w:rsidP="00F326E5">
      <w:pPr>
        <w:pStyle w:val="NoSpacing"/>
        <w:rPr>
          <w:rFonts w:ascii="Arial Black" w:hAnsi="Arial Black"/>
          <w:sz w:val="24"/>
          <w:szCs w:val="24"/>
        </w:rPr>
      </w:pPr>
    </w:p>
    <w:p w14:paraId="0DEEC889" w14:textId="77777777" w:rsidR="00530943" w:rsidRDefault="00530943" w:rsidP="00F326E5">
      <w:pPr>
        <w:pStyle w:val="NoSpacing"/>
        <w:rPr>
          <w:rFonts w:ascii="Arial Black" w:hAnsi="Arial Black"/>
          <w:sz w:val="24"/>
          <w:szCs w:val="24"/>
        </w:rPr>
      </w:pPr>
    </w:p>
    <w:p w14:paraId="59947C76" w14:textId="77777777" w:rsidR="00530943" w:rsidRDefault="00530943" w:rsidP="00F326E5">
      <w:pPr>
        <w:pStyle w:val="NoSpacing"/>
        <w:rPr>
          <w:rFonts w:ascii="Arial Black" w:hAnsi="Arial Black"/>
          <w:sz w:val="24"/>
          <w:szCs w:val="24"/>
        </w:rPr>
      </w:pPr>
    </w:p>
    <w:p w14:paraId="18F088E1" w14:textId="1C8FF41B" w:rsidR="00801D3A" w:rsidRDefault="00801D3A" w:rsidP="00F326E5">
      <w:pPr>
        <w:pStyle w:val="NoSpacing"/>
        <w:rPr>
          <w:rFonts w:ascii="Arial Black" w:hAnsi="Arial Black"/>
          <w:sz w:val="24"/>
          <w:szCs w:val="24"/>
        </w:rPr>
      </w:pPr>
      <w:r>
        <w:rPr>
          <w:rFonts w:ascii="Arial Black" w:hAnsi="Arial Black"/>
          <w:sz w:val="24"/>
          <w:szCs w:val="24"/>
        </w:rPr>
        <w:t>1-140</w:t>
      </w:r>
    </w:p>
    <w:p w14:paraId="260C252C" w14:textId="77777777" w:rsidR="00801D3A" w:rsidRPr="00025DFB" w:rsidRDefault="00801D3A" w:rsidP="00801D3A">
      <w:pPr>
        <w:pStyle w:val="NormalWeb"/>
        <w:rPr>
          <w:rFonts w:ascii="Arial Black" w:hAnsi="Arial Black"/>
          <w:sz w:val="28"/>
          <w:szCs w:val="28"/>
        </w:rPr>
      </w:pPr>
      <w:r>
        <w:rPr>
          <w:rFonts w:ascii="Arial Black" w:hAnsi="Arial Black"/>
          <w:sz w:val="28"/>
          <w:szCs w:val="28"/>
        </w:rPr>
        <w:t>OH: ARSON – PLEAD TO MISDEMEANOR - MAX VICTIM RESTITUTION IS $999.99 – MARSY’S LAW NOT APPLICABLE</w:t>
      </w:r>
    </w:p>
    <w:p w14:paraId="3AFAC9B9" w14:textId="77777777" w:rsidR="00801D3A" w:rsidRDefault="00801D3A" w:rsidP="00801D3A">
      <w:pPr>
        <w:pStyle w:val="NormalWeb"/>
      </w:pPr>
      <w:r>
        <w:lastRenderedPageBreak/>
        <w:t xml:space="preserve">On Dec. 4, 2023, in </w:t>
      </w:r>
      <w:r w:rsidRPr="003E3F3A">
        <w:rPr>
          <w:u w:val="single"/>
        </w:rPr>
        <w:t>State of Ohio v. Timothy A. Messer</w:t>
      </w:r>
      <w:r>
        <w:t>, the defendant entered plea deal with prosecutor; he was indicted for aggravated arson in violation of R.C. 2909.02(A)(2), a second-degree felony, but pled guilty to misdemeanor of arson in violation of Ohio Rev. Code 20909.03(A)(1); he was sentenced probation, and victim restitution in the amount of $15,315 (actual loss).  Court  of Appeals reduced restitution to $999.99 since misdemean statute is for property damage up to $1,000.  “The state agrees that a straightforward application of our prior precedent would mean that the trial court erred in awarding restitution in an amount more than $999.99. However, the state argues that Marsy's Law, a victim's rights amendment to the Ohio Constitution effective February 5, 2018, and its effect on restitution was not addressed by the court</w:t>
      </w:r>
      <w:r>
        <w:rPr>
          <w:rStyle w:val="Emphasis"/>
        </w:rPr>
        <w:t>.</w:t>
      </w:r>
      <w:r>
        <w:t xml:space="preserve"> The relevant provision of Marsy's Law gives a victim of a crime the right ‘to full and timely restitution from the person who committed the criminal offense or delinquent act against the victim.’ Article I, Section 10a(A)(7), Ohio Constitution. The state asks us to consider the impact of Marsy's Law on our previous precedent, which limited restitution by the offense. *** Nothing in Marsy's Law changes our analysis. Marsy's Law gives the victim the right ‘to full and timely restitution from the person who committed </w:t>
      </w:r>
      <w:r>
        <w:rPr>
          <w:rStyle w:val="Emphasis"/>
        </w:rPr>
        <w:t>the criminal offense</w:t>
      </w:r>
      <w:r>
        <w:t xml:space="preserve"> or delinquent act against the victim.’ (Emphasis added.) Article I, Section 10a(A)(7), Ohio Constitution. The criminal offense committed against the victim here was a first-degree misdemeanor arson offense. Thus, the victim is entitled to full and timely restitution for economic loss of any amount equal to or less than $999.99.”</w:t>
      </w:r>
      <w:r w:rsidRPr="00091FC5">
        <w:t xml:space="preserve"> </w:t>
      </w:r>
      <w:hyperlink r:id="rId161" w:history="1">
        <w:r w:rsidRPr="002D5A3E">
          <w:rPr>
            <w:rStyle w:val="Hyperlink"/>
          </w:rPr>
          <w:t>https://www.anylaw.com/case/state-v-messer/ohio-court-of-appeals/12-04-2023/hMqWTIwBqcoRgE-I70tV</w:t>
        </w:r>
      </w:hyperlink>
      <w:r>
        <w:t xml:space="preserve"> </w:t>
      </w:r>
    </w:p>
    <w:p w14:paraId="0B99FE29" w14:textId="77777777" w:rsidR="00530943" w:rsidRDefault="00530943" w:rsidP="00530943">
      <w:pPr>
        <w:pStyle w:val="NormalWeb"/>
        <w:rPr>
          <w:b/>
          <w:bCs/>
        </w:rPr>
      </w:pPr>
      <w:r w:rsidRPr="007C3E7E">
        <w:rPr>
          <w:b/>
          <w:bCs/>
        </w:rPr>
        <w:t xml:space="preserve">Legal Lesson Learned: </w:t>
      </w:r>
      <w:r>
        <w:rPr>
          <w:b/>
          <w:bCs/>
        </w:rPr>
        <w:t xml:space="preserve">When citizens of Ohio voted to amend state Constitution to add Marsy Law giving victims a right to restitution (effective 2018), it did not change other Revised Code provision limiting restitution amount. </w:t>
      </w:r>
    </w:p>
    <w:p w14:paraId="2DB82005" w14:textId="77777777" w:rsidR="00530943" w:rsidRPr="005349CB" w:rsidRDefault="00530943" w:rsidP="00530943">
      <w:pPr>
        <w:pStyle w:val="NormalWeb"/>
        <w:ind w:left="720"/>
      </w:pPr>
      <w:r w:rsidRPr="005349CB">
        <w:t xml:space="preserve">Note: See </w:t>
      </w:r>
      <w:r>
        <w:t xml:space="preserve">Ohio </w:t>
      </w:r>
      <w:r w:rsidRPr="005349CB">
        <w:t xml:space="preserve">Marcy’s Law restitution request form. </w:t>
      </w:r>
      <w:hyperlink r:id="rId162" w:history="1">
        <w:r w:rsidRPr="002D5A3E">
          <w:rPr>
            <w:rStyle w:val="Hyperlink"/>
          </w:rPr>
          <w:t>https://www.supremecourt.ohio.gov/forms/all-forms/crime-victims-marsys-law-rights/112</w:t>
        </w:r>
      </w:hyperlink>
      <w:r>
        <w:t xml:space="preserve"> </w:t>
      </w:r>
    </w:p>
    <w:p w14:paraId="2409C660" w14:textId="77777777" w:rsidR="00801D3A" w:rsidRDefault="00801D3A" w:rsidP="00F326E5">
      <w:pPr>
        <w:pStyle w:val="NoSpacing"/>
        <w:rPr>
          <w:rFonts w:ascii="Arial Black" w:hAnsi="Arial Black"/>
          <w:sz w:val="24"/>
          <w:szCs w:val="24"/>
        </w:rPr>
      </w:pPr>
    </w:p>
    <w:p w14:paraId="024A1D4F" w14:textId="77777777" w:rsidR="00801D3A" w:rsidRDefault="00801D3A" w:rsidP="00F326E5">
      <w:pPr>
        <w:pStyle w:val="NoSpacing"/>
        <w:rPr>
          <w:rFonts w:ascii="Arial Black" w:hAnsi="Arial Black"/>
          <w:sz w:val="24"/>
          <w:szCs w:val="24"/>
        </w:rPr>
      </w:pPr>
    </w:p>
    <w:p w14:paraId="3DB1BB6B" w14:textId="77777777" w:rsidR="00801D3A" w:rsidRDefault="00801D3A" w:rsidP="00F326E5">
      <w:pPr>
        <w:pStyle w:val="NoSpacing"/>
        <w:rPr>
          <w:rFonts w:ascii="Arial Black" w:hAnsi="Arial Black"/>
          <w:sz w:val="24"/>
          <w:szCs w:val="24"/>
        </w:rPr>
      </w:pPr>
    </w:p>
    <w:p w14:paraId="64B75782" w14:textId="705310A0" w:rsidR="00C22EBB" w:rsidRDefault="00C22EBB" w:rsidP="00F326E5">
      <w:pPr>
        <w:pStyle w:val="NoSpacing"/>
        <w:rPr>
          <w:rFonts w:ascii="Arial Black" w:hAnsi="Arial Black"/>
          <w:sz w:val="24"/>
          <w:szCs w:val="24"/>
        </w:rPr>
      </w:pPr>
      <w:r>
        <w:rPr>
          <w:rFonts w:ascii="Arial Black" w:hAnsi="Arial Black"/>
          <w:sz w:val="24"/>
          <w:szCs w:val="24"/>
        </w:rPr>
        <w:t>1-139</w:t>
      </w:r>
    </w:p>
    <w:p w14:paraId="2DD8E707" w14:textId="77777777" w:rsidR="00C22EBB" w:rsidRPr="00054283" w:rsidRDefault="00C22EBB" w:rsidP="00C22EBB">
      <w:pPr>
        <w:rPr>
          <w:rFonts w:ascii="Arial Black" w:hAnsi="Arial Black"/>
          <w:b/>
          <w:bCs/>
          <w:sz w:val="28"/>
          <w:szCs w:val="28"/>
        </w:rPr>
      </w:pPr>
      <w:r w:rsidRPr="00054283">
        <w:rPr>
          <w:rFonts w:ascii="Arial Black" w:hAnsi="Arial Black"/>
          <w:b/>
          <w:bCs/>
          <w:sz w:val="28"/>
          <w:szCs w:val="28"/>
        </w:rPr>
        <w:t>CO: ARSON – 5 KILLED IN HOME – SEARCH WARRANT</w:t>
      </w:r>
      <w:r>
        <w:rPr>
          <w:rFonts w:ascii="Arial Black" w:hAnsi="Arial Black"/>
          <w:b/>
          <w:bCs/>
          <w:sz w:val="28"/>
          <w:szCs w:val="28"/>
        </w:rPr>
        <w:t>S ON GOOGLE FOR</w:t>
      </w:r>
      <w:r w:rsidRPr="00054283">
        <w:rPr>
          <w:rFonts w:ascii="Arial Black" w:hAnsi="Arial Black"/>
          <w:b/>
          <w:bCs/>
          <w:sz w:val="28"/>
          <w:szCs w:val="28"/>
        </w:rPr>
        <w:t xml:space="preserve"> </w:t>
      </w:r>
      <w:r>
        <w:rPr>
          <w:rFonts w:ascii="Arial Black" w:hAnsi="Arial Black"/>
          <w:b/>
          <w:bCs/>
          <w:sz w:val="28"/>
          <w:szCs w:val="28"/>
        </w:rPr>
        <w:t>“REVERSE KEYWORD” - LOCATED ARSONIST</w:t>
      </w:r>
    </w:p>
    <w:p w14:paraId="7523D3C7" w14:textId="77777777" w:rsidR="00C22EBB" w:rsidRDefault="00C22EBB" w:rsidP="00C22EBB">
      <w:pPr>
        <w:pStyle w:val="p0"/>
        <w:ind w:firstLine="0"/>
        <w:rPr>
          <w:rFonts w:ascii="Times New Roman" w:hAnsi="Times New Roman" w:cs="Times New Roman"/>
          <w:sz w:val="24"/>
          <w:szCs w:val="24"/>
        </w:rPr>
      </w:pPr>
      <w:r w:rsidRPr="007127BF">
        <w:rPr>
          <w:rFonts w:ascii="Times New Roman" w:hAnsi="Times New Roman" w:cs="Times New Roman"/>
          <w:sz w:val="24"/>
          <w:szCs w:val="24"/>
        </w:rPr>
        <w:t>On Oct. 16, 2023</w:t>
      </w:r>
      <w:r>
        <w:rPr>
          <w:rFonts w:ascii="Times New Roman" w:hAnsi="Times New Roman" w:cs="Times New Roman"/>
          <w:sz w:val="24"/>
          <w:szCs w:val="24"/>
        </w:rPr>
        <w:t xml:space="preserve">, in </w:t>
      </w:r>
      <w:r w:rsidRPr="00AA30F9">
        <w:rPr>
          <w:rFonts w:ascii="Times New Roman" w:hAnsi="Times New Roman" w:cs="Times New Roman"/>
          <w:sz w:val="24"/>
          <w:szCs w:val="24"/>
          <w:u w:val="single"/>
        </w:rPr>
        <w:t>The People of the State of Colorado v. Gavin Seymour</w:t>
      </w:r>
      <w:r>
        <w:rPr>
          <w:rFonts w:ascii="Times New Roman" w:hAnsi="Times New Roman" w:cs="Times New Roman"/>
          <w:sz w:val="24"/>
          <w:szCs w:val="24"/>
        </w:rPr>
        <w:t xml:space="preserve">, the Supreme Court of Colorado, upheld (5 to 2) the use of evidence obtained in the “reverse keyword” search warrant that located information on the defendant’s Google account that shows he focused on the house. The majority decision agreed with the trial judge that the search </w:t>
      </w:r>
      <w:proofErr w:type="gramStart"/>
      <w:r>
        <w:rPr>
          <w:rFonts w:ascii="Times New Roman" w:hAnsi="Times New Roman" w:cs="Times New Roman"/>
          <w:sz w:val="24"/>
          <w:szCs w:val="24"/>
        </w:rPr>
        <w:t>of</w:t>
      </w:r>
      <w:proofErr w:type="gramEnd"/>
      <w:r>
        <w:rPr>
          <w:rFonts w:ascii="Times New Roman" w:hAnsi="Times New Roman" w:cs="Times New Roman"/>
          <w:sz w:val="24"/>
          <w:szCs w:val="24"/>
        </w:rPr>
        <w:t xml:space="preserve"> a massive Google data bank was executed in good faith under several court-ordered search warrants, and therefore evidence was admissible at trial.  </w:t>
      </w:r>
    </w:p>
    <w:p w14:paraId="29F4C290" w14:textId="7A806A22" w:rsidR="00C22EBB" w:rsidRDefault="00C22EBB" w:rsidP="00C22EBB">
      <w:pPr>
        <w:pStyle w:val="NoSpacing"/>
        <w:rPr>
          <w:rStyle w:val="Hyperlink"/>
          <w:rFonts w:ascii="Times New Roman" w:hAnsi="Times New Roman"/>
          <w:sz w:val="24"/>
          <w:szCs w:val="24"/>
        </w:rPr>
      </w:pPr>
      <w:hyperlink r:id="rId163" w:history="1">
        <w:r w:rsidRPr="00182321">
          <w:rPr>
            <w:rStyle w:val="Hyperlink"/>
            <w:rFonts w:ascii="Times New Roman" w:hAnsi="Times New Roman"/>
            <w:sz w:val="24"/>
            <w:szCs w:val="24"/>
          </w:rPr>
          <w:t>https://www.courts.state.co.us/userfiles/file/Court_Probation/Supreme_Court/Opinions/2023/23SA12.pdf?utm_source=substack&amp;utm_medium=email</w:t>
        </w:r>
      </w:hyperlink>
    </w:p>
    <w:p w14:paraId="061DE543" w14:textId="77777777" w:rsidR="00103226" w:rsidRDefault="00103226" w:rsidP="00C22EBB">
      <w:pPr>
        <w:pStyle w:val="NoSpacing"/>
        <w:rPr>
          <w:rStyle w:val="Hyperlink"/>
          <w:rFonts w:ascii="Times New Roman" w:hAnsi="Times New Roman"/>
          <w:sz w:val="24"/>
          <w:szCs w:val="24"/>
        </w:rPr>
      </w:pPr>
    </w:p>
    <w:p w14:paraId="70A685D9" w14:textId="77777777" w:rsidR="00103226" w:rsidRDefault="00103226" w:rsidP="00103226">
      <w:pPr>
        <w:rPr>
          <w:rFonts w:ascii="Times New Roman" w:hAnsi="Times New Roman"/>
          <w:b/>
          <w:bCs/>
          <w:sz w:val="24"/>
          <w:szCs w:val="24"/>
        </w:rPr>
      </w:pPr>
      <w:r w:rsidRPr="005F01DF">
        <w:rPr>
          <w:rFonts w:ascii="Times New Roman" w:hAnsi="Times New Roman"/>
          <w:b/>
          <w:bCs/>
          <w:sz w:val="24"/>
          <w:szCs w:val="24"/>
        </w:rPr>
        <w:t xml:space="preserve">Legal Lesson Learned: </w:t>
      </w:r>
      <w:r>
        <w:rPr>
          <w:rFonts w:ascii="Times New Roman" w:hAnsi="Times New Roman"/>
          <w:b/>
          <w:bCs/>
          <w:sz w:val="24"/>
          <w:szCs w:val="24"/>
        </w:rPr>
        <w:t xml:space="preserve"> New technology leads to arrest of arsonist; evidence collected in “good faith” by law enforcement using a search warrant is admissible in evidence. </w:t>
      </w:r>
    </w:p>
    <w:p w14:paraId="13B65E1E" w14:textId="77777777" w:rsidR="004A5E38" w:rsidRPr="00B52D6C" w:rsidRDefault="004A5E38" w:rsidP="004A5E38">
      <w:pPr>
        <w:pStyle w:val="NormalWeb"/>
        <w:ind w:firstLine="720"/>
      </w:pPr>
      <w:r w:rsidRPr="00B52D6C">
        <w:t xml:space="preserve">Note: See these </w:t>
      </w:r>
      <w:r>
        <w:t xml:space="preserve">articles / TV video </w:t>
      </w:r>
      <w:r w:rsidRPr="00B52D6C">
        <w:t>about the case.</w:t>
      </w:r>
    </w:p>
    <w:p w14:paraId="56456988" w14:textId="77777777" w:rsidR="004A5E38" w:rsidRPr="00B52D6C" w:rsidRDefault="004A5E38" w:rsidP="004A5E38">
      <w:pPr>
        <w:pStyle w:val="NormalWeb"/>
        <w:ind w:left="720"/>
      </w:pPr>
      <w:r w:rsidRPr="00B52D6C">
        <w:t xml:space="preserve">Oct. 16, 2023: Google data ruled admissible in Green Valley </w:t>
      </w:r>
      <w:proofErr w:type="gramStart"/>
      <w:r w:rsidRPr="00B52D6C">
        <w:t>Ranch arson</w:t>
      </w:r>
      <w:proofErr w:type="gramEnd"/>
      <w:r w:rsidRPr="00B52D6C">
        <w:t xml:space="preserve"> case [see TV video]. </w:t>
      </w:r>
      <w:hyperlink r:id="rId164" w:history="1">
        <w:r w:rsidRPr="00B52D6C">
          <w:rPr>
            <w:rStyle w:val="Hyperlink"/>
          </w:rPr>
          <w:t>https://www.9news.com/article/news/local/denver-arson-google-data-fatal-house-fire-colorado-supreme-court-ruling/73-aca77fb3-30d9-4bac-b46c-6d4b4402af16</w:t>
        </w:r>
      </w:hyperlink>
      <w:r w:rsidRPr="00B52D6C">
        <w:t xml:space="preserve"> </w:t>
      </w:r>
    </w:p>
    <w:p w14:paraId="3FEE6EEE" w14:textId="77777777" w:rsidR="004A5E38" w:rsidRPr="00B52D6C" w:rsidRDefault="004A5E38" w:rsidP="004A5E38">
      <w:pPr>
        <w:pStyle w:val="NormalWeb"/>
        <w:ind w:left="720"/>
      </w:pPr>
      <w:r w:rsidRPr="00B52D6C">
        <w:lastRenderedPageBreak/>
        <w:t xml:space="preserve"> Oct. 16, 2023: Colorado Supreme Court ruled in favor of reverse-keyword search Denver Police used to track arson suspects </w:t>
      </w:r>
      <w:hyperlink r:id="rId165" w:history="1">
        <w:r w:rsidRPr="00B52D6C">
          <w:rPr>
            <w:rStyle w:val="Hyperlink"/>
          </w:rPr>
          <w:t>https://www.denver7.com/news/local-news/colorado-supreme-court-ruled-in-favor-of-reverse-keyword-search-denver-police-used-to-track-arson-suspects</w:t>
        </w:r>
      </w:hyperlink>
      <w:r w:rsidRPr="00B52D6C">
        <w:t xml:space="preserve"> </w:t>
      </w:r>
    </w:p>
    <w:p w14:paraId="0DA7925C" w14:textId="77777777" w:rsidR="00103226" w:rsidRDefault="00103226" w:rsidP="00C22EBB">
      <w:pPr>
        <w:pStyle w:val="NoSpacing"/>
        <w:rPr>
          <w:rFonts w:ascii="Arial Black" w:hAnsi="Arial Black"/>
          <w:sz w:val="24"/>
          <w:szCs w:val="24"/>
        </w:rPr>
      </w:pPr>
    </w:p>
    <w:p w14:paraId="1ABFEC2B" w14:textId="77777777" w:rsidR="00C22EBB" w:rsidRDefault="00C22EBB" w:rsidP="00F326E5">
      <w:pPr>
        <w:pStyle w:val="NoSpacing"/>
        <w:rPr>
          <w:rFonts w:ascii="Arial Black" w:hAnsi="Arial Black"/>
          <w:sz w:val="24"/>
          <w:szCs w:val="24"/>
        </w:rPr>
      </w:pPr>
    </w:p>
    <w:p w14:paraId="6A255E31" w14:textId="68A4F10A" w:rsidR="00BB49C5" w:rsidRDefault="00BB49C5" w:rsidP="00F326E5">
      <w:pPr>
        <w:pStyle w:val="NoSpacing"/>
        <w:rPr>
          <w:rFonts w:ascii="Arial Black" w:hAnsi="Arial Black"/>
          <w:sz w:val="24"/>
          <w:szCs w:val="24"/>
        </w:rPr>
      </w:pPr>
      <w:r>
        <w:rPr>
          <w:rFonts w:ascii="Arial Black" w:hAnsi="Arial Black"/>
          <w:sz w:val="24"/>
          <w:szCs w:val="24"/>
        </w:rPr>
        <w:t>1-138</w:t>
      </w:r>
    </w:p>
    <w:p w14:paraId="767D7706" w14:textId="77777777" w:rsidR="00BB49C5" w:rsidRDefault="00BB49C5" w:rsidP="00BB49C5">
      <w:pPr>
        <w:pStyle w:val="NormalWeb"/>
        <w:rPr>
          <w:rFonts w:ascii="Arial Black" w:hAnsi="Arial Black"/>
          <w:b/>
          <w:bCs/>
          <w:sz w:val="28"/>
          <w:szCs w:val="28"/>
        </w:rPr>
      </w:pPr>
      <w:r>
        <w:rPr>
          <w:rFonts w:ascii="Arial Black" w:hAnsi="Arial Black"/>
          <w:b/>
          <w:bCs/>
          <w:sz w:val="28"/>
          <w:szCs w:val="28"/>
        </w:rPr>
        <w:t>CA: ARSON – DELUSIONAL DEFENDANT – FIRE INVESTIGATOR: FORCED ENTRY “CARDINAL SIGN” ARSON</w:t>
      </w:r>
    </w:p>
    <w:p w14:paraId="464C0D60" w14:textId="77777777" w:rsidR="00BB49C5" w:rsidRDefault="00BB49C5" w:rsidP="00BB49C5">
      <w:pPr>
        <w:pStyle w:val="paragraph"/>
      </w:pPr>
      <w:r>
        <w:t xml:space="preserve">On Oct. 24, 2023, in </w:t>
      </w:r>
      <w:r w:rsidRPr="00A924E6">
        <w:rPr>
          <w:u w:val="single"/>
        </w:rPr>
        <w:t>The People v. Donald James Hailey</w:t>
      </w:r>
      <w:r>
        <w:t xml:space="preserve">, the California Court of Appeals, Third District, Sacramento held (3 to 0; unpublished opinion) upheld the defendant’s conviction by a jury of arson (23 years in prison).   The defendant was “delusional” – but not insane.  The Court wrote: “It was ‘either fight or flight’ in defendant's mind. Fearing there was no time to flee into the house where he was staying because he would not be able to open both the </w:t>
      </w:r>
      <w:proofErr w:type="gramStart"/>
      <w:r>
        <w:t>locked metal</w:t>
      </w:r>
      <w:proofErr w:type="gramEnd"/>
      <w:r>
        <w:t xml:space="preserve"> "crash gate" that covered the front door and the front door itself, defendant ran across the street to Sheila F.'s house. He decided to run through Sheila F.'s house because he thought the people chasing him would not follow him inside. *** Here, the record </w:t>
      </w:r>
      <w:proofErr w:type="gramStart"/>
      <w:r>
        <w:t>indicates</w:t>
      </w:r>
      <w:proofErr w:type="gramEnd"/>
      <w:r>
        <w:t xml:space="preserve"> defendant may have been delusional on New Year's Day 2020 when he committed his crimes. But the record does not suggest defendant was unable at his May 2021 trial to consult with his lawyer with a reasonable degree of rational understanding. The suggestion of a discrete delusional episode 17 months prior to trial that led to a temporary not guilty by reason of insanity plea, without more, does not amount to substantial evidence of incompetence to stand trial.” </w:t>
      </w:r>
      <w:hyperlink r:id="rId166" w:history="1">
        <w:r w:rsidRPr="0097451D">
          <w:rPr>
            <w:rStyle w:val="Hyperlink"/>
          </w:rPr>
          <w:t>https://casetext.com/case/people-v-hailey-43</w:t>
        </w:r>
      </w:hyperlink>
      <w:r>
        <w:t xml:space="preserve"> </w:t>
      </w:r>
    </w:p>
    <w:p w14:paraId="6AFE1EE9" w14:textId="77777777" w:rsidR="00BB49C5" w:rsidRPr="004E6FE0" w:rsidRDefault="00BB49C5" w:rsidP="00BB49C5">
      <w:pPr>
        <w:pStyle w:val="paragraph"/>
        <w:rPr>
          <w:b/>
          <w:bCs/>
        </w:rPr>
      </w:pPr>
      <w:r w:rsidRPr="004E6FE0">
        <w:rPr>
          <w:b/>
          <w:bCs/>
        </w:rPr>
        <w:t>Legal Lesson Learned: The fire investigator was qualified as an expert</w:t>
      </w:r>
      <w:r>
        <w:rPr>
          <w:b/>
          <w:bCs/>
        </w:rPr>
        <w:t xml:space="preserve">. </w:t>
      </w:r>
    </w:p>
    <w:p w14:paraId="31F4AFF4" w14:textId="77777777" w:rsidR="00BB49C5" w:rsidRDefault="00BB49C5" w:rsidP="00BB49C5">
      <w:pPr>
        <w:pStyle w:val="paragraph"/>
        <w:ind w:left="720"/>
      </w:pPr>
      <w:r>
        <w:t xml:space="preserve">Note: “Defendant's expert witness was a fire investigator with the Sacramento Fire Department from 1991 to 1993. He testified the cause of the fire should have </w:t>
      </w:r>
      <w:proofErr w:type="gramStart"/>
      <w:r>
        <w:t>been ‘undetermined</w:t>
      </w:r>
      <w:proofErr w:type="gramEnd"/>
      <w:r>
        <w:t>,’ because the investigation was insufficient to rule out multiple causes of the fire, and he did not believe Sheila F.'s assertion she only smoked outside her home. The defense expert explained that a smoldering item (like a cigarette) could have ignited into an open flame by drafts of air that occurred when defendant broke down Sheila F.'s front door and/or when Sheila F. opened the sliding glass door in her bedroom.”</w:t>
      </w:r>
    </w:p>
    <w:p w14:paraId="3DC62B72" w14:textId="77777777" w:rsidR="00BB49C5" w:rsidRDefault="00BB49C5" w:rsidP="00F326E5">
      <w:pPr>
        <w:pStyle w:val="NoSpacing"/>
        <w:rPr>
          <w:rFonts w:ascii="Arial Black" w:hAnsi="Arial Black"/>
          <w:sz w:val="24"/>
          <w:szCs w:val="24"/>
        </w:rPr>
      </w:pPr>
    </w:p>
    <w:p w14:paraId="0260EA87" w14:textId="77777777" w:rsidR="00BB49C5" w:rsidRDefault="00BB49C5" w:rsidP="00F326E5">
      <w:pPr>
        <w:pStyle w:val="NoSpacing"/>
        <w:rPr>
          <w:rFonts w:ascii="Arial Black" w:hAnsi="Arial Black"/>
          <w:sz w:val="24"/>
          <w:szCs w:val="24"/>
        </w:rPr>
      </w:pPr>
    </w:p>
    <w:p w14:paraId="59EEB3DE" w14:textId="77777777" w:rsidR="00BB49C5" w:rsidRDefault="00BB49C5" w:rsidP="00F326E5">
      <w:pPr>
        <w:pStyle w:val="NoSpacing"/>
        <w:rPr>
          <w:rFonts w:ascii="Arial Black" w:hAnsi="Arial Black"/>
          <w:sz w:val="24"/>
          <w:szCs w:val="24"/>
        </w:rPr>
      </w:pPr>
    </w:p>
    <w:p w14:paraId="13C066FD" w14:textId="5B11EE45" w:rsidR="0056123D" w:rsidRDefault="0056123D" w:rsidP="00F326E5">
      <w:pPr>
        <w:pStyle w:val="NoSpacing"/>
        <w:rPr>
          <w:rFonts w:ascii="Arial Black" w:hAnsi="Arial Black"/>
          <w:sz w:val="24"/>
          <w:szCs w:val="24"/>
        </w:rPr>
      </w:pPr>
      <w:r>
        <w:rPr>
          <w:rFonts w:ascii="Arial Black" w:hAnsi="Arial Black"/>
          <w:sz w:val="24"/>
          <w:szCs w:val="24"/>
        </w:rPr>
        <w:t>1-137</w:t>
      </w:r>
    </w:p>
    <w:p w14:paraId="4DED4E29" w14:textId="77777777" w:rsidR="0056123D" w:rsidRDefault="0056123D" w:rsidP="00F326E5">
      <w:pPr>
        <w:pStyle w:val="NoSpacing"/>
        <w:rPr>
          <w:rFonts w:ascii="Arial Black" w:hAnsi="Arial Black"/>
          <w:sz w:val="24"/>
          <w:szCs w:val="24"/>
        </w:rPr>
      </w:pPr>
    </w:p>
    <w:p w14:paraId="4B74343D" w14:textId="77777777" w:rsidR="0056123D" w:rsidRPr="007A2CFD" w:rsidRDefault="0056123D" w:rsidP="0056123D">
      <w:pPr>
        <w:pStyle w:val="NoSpacing"/>
        <w:rPr>
          <w:rFonts w:ascii="Arial Black" w:hAnsi="Arial Black"/>
          <w:sz w:val="28"/>
          <w:szCs w:val="28"/>
        </w:rPr>
      </w:pPr>
      <w:r>
        <w:rPr>
          <w:rFonts w:ascii="Arial Black" w:hAnsi="Arial Black"/>
          <w:sz w:val="28"/>
          <w:szCs w:val="28"/>
        </w:rPr>
        <w:t xml:space="preserve">AR: BLDG FIRE – OWNER REFUSED TALK TO ARSON INVESTIGATORS – SEARCH WARRANTS – QUAL. IMMUNITY </w:t>
      </w:r>
    </w:p>
    <w:p w14:paraId="4404D9FB" w14:textId="77777777" w:rsidR="0056123D" w:rsidRDefault="0056123D" w:rsidP="0056123D">
      <w:pPr>
        <w:pStyle w:val="NoSpacing"/>
        <w:rPr>
          <w:rFonts w:ascii="Times New Roman" w:hAnsi="Times New Roman"/>
          <w:sz w:val="24"/>
          <w:szCs w:val="24"/>
        </w:rPr>
      </w:pPr>
    </w:p>
    <w:p w14:paraId="092B5983" w14:textId="77777777" w:rsidR="0056123D" w:rsidRDefault="0056123D" w:rsidP="0056123D">
      <w:pPr>
        <w:pStyle w:val="NoSpacing"/>
        <w:rPr>
          <w:rFonts w:ascii="Times New Roman" w:hAnsi="Times New Roman"/>
          <w:sz w:val="24"/>
          <w:szCs w:val="24"/>
        </w:rPr>
      </w:pPr>
      <w:r>
        <w:rPr>
          <w:rFonts w:ascii="Times New Roman" w:hAnsi="Times New Roman"/>
          <w:sz w:val="24"/>
          <w:szCs w:val="24"/>
        </w:rPr>
        <w:t xml:space="preserve">On Sept. 29, 2023 in </w:t>
      </w:r>
      <w:r w:rsidRPr="007A2CFD">
        <w:rPr>
          <w:rFonts w:ascii="Times New Roman" w:hAnsi="Times New Roman"/>
          <w:sz w:val="24"/>
          <w:szCs w:val="24"/>
          <w:u w:val="single"/>
        </w:rPr>
        <w:t>Greg Moore and Patricia More, et al. v. Sean Garnand, Detective, Dain Salisbury, Sergeant, et al</w:t>
      </w:r>
      <w:r>
        <w:rPr>
          <w:rFonts w:ascii="Times New Roman" w:hAnsi="Times New Roman"/>
          <w:sz w:val="24"/>
          <w:szCs w:val="24"/>
        </w:rPr>
        <w:t xml:space="preserve">., the U.S. Court of Appeals for Ninth Circuit (San Francisco) held (3 to 0) that trial court judge improperly denied the City of Tucson arson investigator’s motion to dismiss until completion of pre-trial discovery.  They enjoy qualified immunity since there is no clearly established law prohibiting arson investigators from launching full investigation when person refuses to talk after June 8, </w:t>
      </w:r>
      <w:proofErr w:type="gramStart"/>
      <w:r>
        <w:rPr>
          <w:rFonts w:ascii="Times New Roman" w:hAnsi="Times New Roman"/>
          <w:sz w:val="24"/>
          <w:szCs w:val="24"/>
        </w:rPr>
        <w:t>2017</w:t>
      </w:r>
      <w:proofErr w:type="gramEnd"/>
      <w:r>
        <w:rPr>
          <w:rFonts w:ascii="Times New Roman" w:hAnsi="Times New Roman"/>
          <w:sz w:val="24"/>
          <w:szCs w:val="24"/>
        </w:rPr>
        <w:t xml:space="preserve"> arson fire in a building he owned.  Investigators met at his office, and pursuant to search warrant seized his cell phone; they </w:t>
      </w:r>
      <w:r>
        <w:rPr>
          <w:rFonts w:ascii="Times New Roman" w:hAnsi="Times New Roman"/>
          <w:sz w:val="24"/>
          <w:szCs w:val="24"/>
        </w:rPr>
        <w:lastRenderedPageBreak/>
        <w:t xml:space="preserve">took him to jail where DNA was obtained. Five days later they executed a search </w:t>
      </w:r>
      <w:proofErr w:type="gramStart"/>
      <w:r>
        <w:rPr>
          <w:rFonts w:ascii="Times New Roman" w:hAnsi="Times New Roman"/>
          <w:sz w:val="24"/>
          <w:szCs w:val="24"/>
        </w:rPr>
        <w:t>warrant</w:t>
      </w:r>
      <w:proofErr w:type="gramEnd"/>
      <w:r>
        <w:rPr>
          <w:rFonts w:ascii="Times New Roman" w:hAnsi="Times New Roman"/>
          <w:sz w:val="24"/>
          <w:szCs w:val="24"/>
        </w:rPr>
        <w:t xml:space="preserve"> his office and home, and </w:t>
      </w:r>
      <w:proofErr w:type="gramStart"/>
      <w:r>
        <w:rPr>
          <w:rFonts w:ascii="Times New Roman" w:hAnsi="Times New Roman"/>
          <w:sz w:val="24"/>
          <w:szCs w:val="24"/>
        </w:rPr>
        <w:t>opening</w:t>
      </w:r>
      <w:proofErr w:type="gramEnd"/>
      <w:r>
        <w:rPr>
          <w:rFonts w:ascii="Times New Roman" w:hAnsi="Times New Roman"/>
          <w:sz w:val="24"/>
          <w:szCs w:val="24"/>
        </w:rPr>
        <w:t xml:space="preserve"> financial fraud investigation.  He was never charged with arson or other offenses.  </w:t>
      </w:r>
    </w:p>
    <w:p w14:paraId="5F15BC92" w14:textId="77777777" w:rsidR="0056123D" w:rsidRDefault="0056123D" w:rsidP="0056123D">
      <w:pPr>
        <w:pStyle w:val="NoSpacing"/>
        <w:rPr>
          <w:rFonts w:ascii="Times New Roman" w:hAnsi="Times New Roman"/>
          <w:sz w:val="24"/>
          <w:szCs w:val="24"/>
        </w:rPr>
      </w:pPr>
    </w:p>
    <w:p w14:paraId="5FF01FE7" w14:textId="77777777" w:rsidR="0056123D" w:rsidRDefault="0056123D" w:rsidP="0056123D">
      <w:pPr>
        <w:pStyle w:val="NoSpacing"/>
        <w:ind w:left="720"/>
        <w:rPr>
          <w:rFonts w:ascii="Times New Roman" w:hAnsi="Times New Roman"/>
          <w:sz w:val="24"/>
          <w:szCs w:val="24"/>
        </w:rPr>
      </w:pPr>
      <w:r>
        <w:rPr>
          <w:rFonts w:ascii="Times New Roman" w:hAnsi="Times New Roman"/>
          <w:sz w:val="24"/>
          <w:szCs w:val="24"/>
        </w:rPr>
        <w:t>“</w:t>
      </w:r>
      <w:r w:rsidRPr="007A2CFD">
        <w:rPr>
          <w:rFonts w:ascii="Times New Roman" w:hAnsi="Times New Roman"/>
          <w:sz w:val="24"/>
          <w:szCs w:val="24"/>
        </w:rPr>
        <w:t>We have jurisdiction over the district court’s denial of</w:t>
      </w:r>
      <w:r>
        <w:rPr>
          <w:rFonts w:ascii="Times New Roman" w:hAnsi="Times New Roman"/>
          <w:sz w:val="24"/>
          <w:szCs w:val="24"/>
        </w:rPr>
        <w:t xml:space="preserve"> </w:t>
      </w:r>
      <w:r w:rsidRPr="007A2CFD">
        <w:rPr>
          <w:rFonts w:ascii="Times New Roman" w:hAnsi="Times New Roman"/>
          <w:sz w:val="24"/>
          <w:szCs w:val="24"/>
        </w:rPr>
        <w:t>qualified immunity as to Plaintiffs’ First Amendment claims</w:t>
      </w:r>
      <w:r>
        <w:rPr>
          <w:rFonts w:ascii="Times New Roman" w:hAnsi="Times New Roman"/>
          <w:sz w:val="24"/>
          <w:szCs w:val="24"/>
        </w:rPr>
        <w:t xml:space="preserve"> </w:t>
      </w:r>
      <w:r w:rsidRPr="007A2CFD">
        <w:rPr>
          <w:rFonts w:ascii="Times New Roman" w:hAnsi="Times New Roman"/>
          <w:sz w:val="24"/>
          <w:szCs w:val="24"/>
        </w:rPr>
        <w:t>because Defendants present a purely legal issue: whether,</w:t>
      </w:r>
      <w:r>
        <w:rPr>
          <w:rFonts w:ascii="Times New Roman" w:hAnsi="Times New Roman"/>
          <w:sz w:val="24"/>
          <w:szCs w:val="24"/>
        </w:rPr>
        <w:t xml:space="preserve"> </w:t>
      </w:r>
      <w:r w:rsidRPr="007A2CFD">
        <w:rPr>
          <w:rFonts w:ascii="Times New Roman" w:hAnsi="Times New Roman"/>
          <w:sz w:val="24"/>
          <w:szCs w:val="24"/>
        </w:rPr>
        <w:t>taking as true Plaintiffs’ version of the facts, it was clearly</w:t>
      </w:r>
      <w:r>
        <w:rPr>
          <w:rFonts w:ascii="Times New Roman" w:hAnsi="Times New Roman"/>
          <w:sz w:val="24"/>
          <w:szCs w:val="24"/>
        </w:rPr>
        <w:t xml:space="preserve"> </w:t>
      </w:r>
      <w:r w:rsidRPr="007A2CFD">
        <w:rPr>
          <w:rFonts w:ascii="Times New Roman" w:hAnsi="Times New Roman"/>
          <w:sz w:val="24"/>
          <w:szCs w:val="24"/>
        </w:rPr>
        <w:t>established that Defendants’ conduct violated Plaintiffs’</w:t>
      </w:r>
      <w:r>
        <w:rPr>
          <w:rFonts w:ascii="Times New Roman" w:hAnsi="Times New Roman"/>
          <w:sz w:val="24"/>
          <w:szCs w:val="24"/>
        </w:rPr>
        <w:t xml:space="preserve"> </w:t>
      </w:r>
      <w:r w:rsidRPr="007A2CFD">
        <w:rPr>
          <w:rFonts w:ascii="Times New Roman" w:hAnsi="Times New Roman"/>
          <w:sz w:val="24"/>
          <w:szCs w:val="24"/>
        </w:rPr>
        <w:t>First Amendment rights. Plaintiffs fail to show that</w:t>
      </w:r>
      <w:r>
        <w:rPr>
          <w:rFonts w:ascii="Times New Roman" w:hAnsi="Times New Roman"/>
          <w:sz w:val="24"/>
          <w:szCs w:val="24"/>
        </w:rPr>
        <w:t xml:space="preserve"> </w:t>
      </w:r>
      <w:r w:rsidRPr="007A2CFD">
        <w:rPr>
          <w:rFonts w:ascii="Times New Roman" w:hAnsi="Times New Roman"/>
          <w:sz w:val="24"/>
          <w:szCs w:val="24"/>
        </w:rPr>
        <w:t>Defendants’ conduct violated clearly established law. Thus,</w:t>
      </w:r>
      <w:r>
        <w:rPr>
          <w:rFonts w:ascii="Times New Roman" w:hAnsi="Times New Roman"/>
          <w:sz w:val="24"/>
          <w:szCs w:val="24"/>
        </w:rPr>
        <w:t xml:space="preserve"> </w:t>
      </w:r>
      <w:r w:rsidRPr="007A2CFD">
        <w:rPr>
          <w:rFonts w:ascii="Times New Roman" w:hAnsi="Times New Roman"/>
          <w:sz w:val="24"/>
          <w:szCs w:val="24"/>
        </w:rPr>
        <w:t>Defendants are entitled to qualified immunity on the First</w:t>
      </w:r>
      <w:r>
        <w:rPr>
          <w:rFonts w:ascii="Times New Roman" w:hAnsi="Times New Roman"/>
          <w:sz w:val="24"/>
          <w:szCs w:val="24"/>
        </w:rPr>
        <w:t xml:space="preserve"> </w:t>
      </w:r>
      <w:r w:rsidRPr="007A2CFD">
        <w:rPr>
          <w:rFonts w:ascii="Times New Roman" w:hAnsi="Times New Roman"/>
          <w:sz w:val="24"/>
          <w:szCs w:val="24"/>
        </w:rPr>
        <w:t>Amendment claims, and we reverse the district court’s denial of summary judgment as to the First Amendment</w:t>
      </w:r>
      <w:r>
        <w:rPr>
          <w:rFonts w:ascii="Times New Roman" w:hAnsi="Times New Roman"/>
          <w:sz w:val="24"/>
          <w:szCs w:val="24"/>
        </w:rPr>
        <w:t xml:space="preserve"> </w:t>
      </w:r>
      <w:r w:rsidRPr="007A2CFD">
        <w:rPr>
          <w:rFonts w:ascii="Times New Roman" w:hAnsi="Times New Roman"/>
          <w:sz w:val="24"/>
          <w:szCs w:val="24"/>
        </w:rPr>
        <w:t>claims</w:t>
      </w:r>
      <w:r>
        <w:rPr>
          <w:rFonts w:ascii="Times New Roman" w:hAnsi="Times New Roman"/>
          <w:sz w:val="24"/>
          <w:szCs w:val="24"/>
        </w:rPr>
        <w:t>.</w:t>
      </w:r>
    </w:p>
    <w:p w14:paraId="1A04CC38" w14:textId="77777777" w:rsidR="0056123D" w:rsidRDefault="0056123D" w:rsidP="0056123D">
      <w:pPr>
        <w:pStyle w:val="NoSpacing"/>
        <w:ind w:left="720"/>
        <w:rPr>
          <w:rFonts w:ascii="Times New Roman" w:hAnsi="Times New Roman"/>
          <w:sz w:val="24"/>
          <w:szCs w:val="24"/>
        </w:rPr>
      </w:pPr>
    </w:p>
    <w:p w14:paraId="451B3804" w14:textId="77777777" w:rsidR="0056123D" w:rsidRDefault="0056123D" w:rsidP="0056123D">
      <w:pPr>
        <w:pStyle w:val="NoSpacing"/>
        <w:ind w:left="720"/>
        <w:rPr>
          <w:rFonts w:ascii="Times New Roman" w:hAnsi="Times New Roman"/>
          <w:sz w:val="24"/>
          <w:szCs w:val="24"/>
        </w:rPr>
      </w:pPr>
      <w:r>
        <w:rPr>
          <w:rFonts w:ascii="Times New Roman" w:hAnsi="Times New Roman"/>
          <w:sz w:val="24"/>
          <w:szCs w:val="24"/>
        </w:rPr>
        <w:t>***</w:t>
      </w:r>
    </w:p>
    <w:p w14:paraId="4040C9B8" w14:textId="77777777" w:rsidR="0056123D" w:rsidRPr="005E396A" w:rsidRDefault="0056123D" w:rsidP="0056123D">
      <w:pPr>
        <w:pStyle w:val="NoSpacing"/>
        <w:ind w:left="720"/>
        <w:rPr>
          <w:rFonts w:ascii="Times New Roman" w:hAnsi="Times New Roman"/>
          <w:sz w:val="24"/>
          <w:szCs w:val="24"/>
        </w:rPr>
      </w:pPr>
      <w:r w:rsidRPr="005E396A">
        <w:rPr>
          <w:rFonts w:ascii="Times New Roman" w:hAnsi="Times New Roman"/>
          <w:sz w:val="24"/>
          <w:szCs w:val="24"/>
        </w:rPr>
        <w:t>We</w:t>
      </w:r>
      <w:r>
        <w:rPr>
          <w:rFonts w:ascii="Times New Roman" w:hAnsi="Times New Roman"/>
          <w:sz w:val="24"/>
          <w:szCs w:val="24"/>
        </w:rPr>
        <w:t xml:space="preserve"> </w:t>
      </w:r>
      <w:r w:rsidRPr="005E396A">
        <w:rPr>
          <w:rFonts w:ascii="Times New Roman" w:hAnsi="Times New Roman"/>
          <w:sz w:val="24"/>
          <w:szCs w:val="24"/>
        </w:rPr>
        <w:t xml:space="preserve">reasoned that jurisdiction was proper </w:t>
      </w:r>
      <w:proofErr w:type="gramStart"/>
      <w:r w:rsidRPr="005E396A">
        <w:rPr>
          <w:rFonts w:ascii="Times New Roman" w:hAnsi="Times New Roman"/>
          <w:sz w:val="24"/>
          <w:szCs w:val="24"/>
        </w:rPr>
        <w:t xml:space="preserve">because </w:t>
      </w:r>
      <w:r>
        <w:rPr>
          <w:rFonts w:ascii="Times New Roman" w:hAnsi="Times New Roman"/>
          <w:sz w:val="24"/>
          <w:szCs w:val="24"/>
        </w:rPr>
        <w:t>‘</w:t>
      </w:r>
      <w:r w:rsidRPr="005E396A">
        <w:rPr>
          <w:rFonts w:ascii="Times New Roman" w:hAnsi="Times New Roman"/>
          <w:sz w:val="24"/>
          <w:szCs w:val="24"/>
        </w:rPr>
        <w:t>[</w:t>
      </w:r>
      <w:proofErr w:type="gramEnd"/>
      <w:r w:rsidRPr="005E396A">
        <w:rPr>
          <w:rFonts w:ascii="Times New Roman" w:hAnsi="Times New Roman"/>
          <w:sz w:val="24"/>
          <w:szCs w:val="24"/>
        </w:rPr>
        <w:t>f]</w:t>
      </w:r>
      <w:proofErr w:type="spellStart"/>
      <w:r w:rsidRPr="005E396A">
        <w:rPr>
          <w:rFonts w:ascii="Times New Roman" w:hAnsi="Times New Roman"/>
          <w:sz w:val="24"/>
          <w:szCs w:val="24"/>
        </w:rPr>
        <w:t>orcing</w:t>
      </w:r>
      <w:proofErr w:type="spellEnd"/>
      <w:r w:rsidRPr="005E396A">
        <w:rPr>
          <w:rFonts w:ascii="Times New Roman" w:hAnsi="Times New Roman"/>
          <w:sz w:val="24"/>
          <w:szCs w:val="24"/>
        </w:rPr>
        <w:t xml:space="preserve"> the</w:t>
      </w:r>
      <w:r>
        <w:rPr>
          <w:rFonts w:ascii="Times New Roman" w:hAnsi="Times New Roman"/>
          <w:sz w:val="24"/>
          <w:szCs w:val="24"/>
        </w:rPr>
        <w:t xml:space="preserve"> </w:t>
      </w:r>
      <w:r w:rsidRPr="005E396A">
        <w:rPr>
          <w:rFonts w:ascii="Times New Roman" w:hAnsi="Times New Roman"/>
          <w:sz w:val="24"/>
          <w:szCs w:val="24"/>
        </w:rPr>
        <w:t>defendant officers to undergo discovery, without the</w:t>
      </w:r>
      <w:r>
        <w:rPr>
          <w:rFonts w:ascii="Times New Roman" w:hAnsi="Times New Roman"/>
          <w:sz w:val="24"/>
          <w:szCs w:val="24"/>
        </w:rPr>
        <w:t xml:space="preserve"> </w:t>
      </w:r>
      <w:r w:rsidRPr="005E396A">
        <w:rPr>
          <w:rFonts w:ascii="Times New Roman" w:hAnsi="Times New Roman"/>
          <w:sz w:val="24"/>
          <w:szCs w:val="24"/>
        </w:rPr>
        <w:t>immunity to the burdens of discovery the officers might</w:t>
      </w:r>
    </w:p>
    <w:p w14:paraId="57ED737C" w14:textId="4F322874" w:rsidR="0056123D" w:rsidRDefault="0056123D" w:rsidP="0056123D">
      <w:pPr>
        <w:pStyle w:val="NoSpacing"/>
        <w:ind w:left="720"/>
        <w:rPr>
          <w:rFonts w:ascii="Arial Black" w:hAnsi="Arial Black"/>
          <w:sz w:val="24"/>
          <w:szCs w:val="24"/>
        </w:rPr>
      </w:pPr>
      <w:r w:rsidRPr="005E396A">
        <w:rPr>
          <w:rFonts w:ascii="Times New Roman" w:hAnsi="Times New Roman"/>
          <w:sz w:val="24"/>
          <w:szCs w:val="24"/>
        </w:rPr>
        <w:t>possess.</w:t>
      </w:r>
      <w:r>
        <w:rPr>
          <w:rFonts w:ascii="Times New Roman" w:hAnsi="Times New Roman"/>
          <w:sz w:val="24"/>
          <w:szCs w:val="24"/>
        </w:rPr>
        <w:t>’</w:t>
      </w:r>
      <w:r w:rsidRPr="005E396A">
        <w:rPr>
          <w:rFonts w:ascii="Times New Roman" w:hAnsi="Times New Roman"/>
          <w:sz w:val="24"/>
          <w:szCs w:val="24"/>
        </w:rPr>
        <w:t xml:space="preserve"> Id.; see also Behrens v. Pelletier, 516 U.S. 299,</w:t>
      </w:r>
      <w:r>
        <w:rPr>
          <w:rFonts w:ascii="Times New Roman" w:hAnsi="Times New Roman"/>
          <w:sz w:val="24"/>
          <w:szCs w:val="24"/>
        </w:rPr>
        <w:t xml:space="preserve"> </w:t>
      </w:r>
      <w:r w:rsidRPr="005E396A">
        <w:rPr>
          <w:rFonts w:ascii="Times New Roman" w:hAnsi="Times New Roman"/>
          <w:sz w:val="24"/>
          <w:szCs w:val="24"/>
        </w:rPr>
        <w:t>308 (1996) (holding that qualified immunity gives</w:t>
      </w:r>
      <w:r>
        <w:rPr>
          <w:rFonts w:ascii="Times New Roman" w:hAnsi="Times New Roman"/>
          <w:sz w:val="24"/>
          <w:szCs w:val="24"/>
        </w:rPr>
        <w:t xml:space="preserve"> </w:t>
      </w:r>
      <w:r w:rsidRPr="005E396A">
        <w:rPr>
          <w:rFonts w:ascii="Times New Roman" w:hAnsi="Times New Roman"/>
          <w:sz w:val="24"/>
          <w:szCs w:val="24"/>
        </w:rPr>
        <w:t>government officials a right “not merely to avoid standing</w:t>
      </w:r>
      <w:r>
        <w:rPr>
          <w:rFonts w:ascii="Times New Roman" w:hAnsi="Times New Roman"/>
          <w:sz w:val="24"/>
          <w:szCs w:val="24"/>
        </w:rPr>
        <w:t xml:space="preserve"> </w:t>
      </w:r>
      <w:r w:rsidRPr="005E396A">
        <w:rPr>
          <w:rFonts w:ascii="Times New Roman" w:hAnsi="Times New Roman"/>
          <w:sz w:val="24"/>
          <w:szCs w:val="24"/>
        </w:rPr>
        <w:t>trial, but also to avoid the burdens of such pretrial matters as</w:t>
      </w:r>
      <w:r>
        <w:rPr>
          <w:rFonts w:ascii="Times New Roman" w:hAnsi="Times New Roman"/>
          <w:sz w:val="24"/>
          <w:szCs w:val="24"/>
        </w:rPr>
        <w:t xml:space="preserve"> </w:t>
      </w:r>
      <w:r w:rsidRPr="005E396A">
        <w:rPr>
          <w:rFonts w:ascii="Times New Roman" w:hAnsi="Times New Roman"/>
          <w:sz w:val="24"/>
          <w:szCs w:val="24"/>
        </w:rPr>
        <w:t>discovery” (internal quotation marks and emphasis omitted)</w:t>
      </w:r>
      <w:r>
        <w:rPr>
          <w:rFonts w:ascii="Times New Roman" w:hAnsi="Times New Roman"/>
          <w:sz w:val="24"/>
          <w:szCs w:val="24"/>
        </w:rPr>
        <w:t xml:space="preserve"> </w:t>
      </w:r>
      <w:r w:rsidRPr="005E396A">
        <w:rPr>
          <w:rFonts w:ascii="Times New Roman" w:hAnsi="Times New Roman"/>
          <w:sz w:val="24"/>
          <w:szCs w:val="24"/>
        </w:rPr>
        <w:t>(quoting Mitchell v. Forsyth, 472 U.S. 511, 526 (1985)));</w:t>
      </w:r>
      <w:r>
        <w:rPr>
          <w:rFonts w:ascii="Times New Roman" w:hAnsi="Times New Roman"/>
          <w:sz w:val="24"/>
          <w:szCs w:val="24"/>
        </w:rPr>
        <w:t xml:space="preserve"> </w:t>
      </w:r>
      <w:r w:rsidRPr="005E396A">
        <w:rPr>
          <w:rFonts w:ascii="Times New Roman" w:hAnsi="Times New Roman"/>
          <w:sz w:val="24"/>
          <w:szCs w:val="24"/>
        </w:rPr>
        <w:t>Moss v. U.S. Secret Serv., 572 F.3d 962, 973 (9th Cir. 2009)</w:t>
      </w:r>
      <w:r>
        <w:rPr>
          <w:rFonts w:ascii="Times New Roman" w:hAnsi="Times New Roman"/>
          <w:sz w:val="24"/>
          <w:szCs w:val="24"/>
        </w:rPr>
        <w:t xml:space="preserve">. </w:t>
      </w:r>
      <w:proofErr w:type="gramStart"/>
      <w:r w:rsidRPr="005E396A">
        <w:rPr>
          <w:rFonts w:ascii="Times New Roman" w:hAnsi="Times New Roman"/>
          <w:sz w:val="24"/>
          <w:szCs w:val="24"/>
        </w:rPr>
        <w:t>(</w:t>
      </w:r>
      <w:r>
        <w:rPr>
          <w:rFonts w:ascii="Times New Roman" w:hAnsi="Times New Roman"/>
          <w:sz w:val="24"/>
          <w:szCs w:val="24"/>
        </w:rPr>
        <w:t>‘</w:t>
      </w:r>
      <w:r w:rsidRPr="005E396A">
        <w:rPr>
          <w:rFonts w:ascii="Times New Roman" w:hAnsi="Times New Roman"/>
          <w:sz w:val="24"/>
          <w:szCs w:val="24"/>
        </w:rPr>
        <w:t>[</w:t>
      </w:r>
      <w:proofErr w:type="gramEnd"/>
      <w:r w:rsidRPr="005E396A">
        <w:rPr>
          <w:rFonts w:ascii="Times New Roman" w:hAnsi="Times New Roman"/>
          <w:sz w:val="24"/>
          <w:szCs w:val="24"/>
        </w:rPr>
        <w:t>A]</w:t>
      </w:r>
      <w:proofErr w:type="gramStart"/>
      <w:r w:rsidRPr="005E396A">
        <w:rPr>
          <w:rFonts w:ascii="Times New Roman" w:hAnsi="Times New Roman"/>
          <w:sz w:val="24"/>
          <w:szCs w:val="24"/>
        </w:rPr>
        <w:t>n order</w:t>
      </w:r>
      <w:proofErr w:type="gramEnd"/>
      <w:r w:rsidRPr="005E396A">
        <w:rPr>
          <w:rFonts w:ascii="Times New Roman" w:hAnsi="Times New Roman"/>
          <w:sz w:val="24"/>
          <w:szCs w:val="24"/>
        </w:rPr>
        <w:t xml:space="preserve"> clearing the way for burdensome pre-trial</w:t>
      </w:r>
      <w:r>
        <w:rPr>
          <w:rFonts w:ascii="Times New Roman" w:hAnsi="Times New Roman"/>
          <w:sz w:val="24"/>
          <w:szCs w:val="24"/>
        </w:rPr>
        <w:t xml:space="preserve"> </w:t>
      </w:r>
      <w:r w:rsidRPr="005E396A">
        <w:rPr>
          <w:rFonts w:ascii="Times New Roman" w:hAnsi="Times New Roman"/>
          <w:sz w:val="24"/>
          <w:szCs w:val="24"/>
        </w:rPr>
        <w:t>discovery obligations renders the denial of immunity</w:t>
      </w:r>
      <w:r>
        <w:rPr>
          <w:rFonts w:ascii="Times New Roman" w:hAnsi="Times New Roman"/>
          <w:sz w:val="24"/>
          <w:szCs w:val="24"/>
        </w:rPr>
        <w:t xml:space="preserve"> </w:t>
      </w:r>
      <w:r w:rsidRPr="005E396A">
        <w:rPr>
          <w:rFonts w:ascii="Times New Roman" w:hAnsi="Times New Roman"/>
          <w:sz w:val="24"/>
          <w:szCs w:val="24"/>
        </w:rPr>
        <w:t>effectively unreviewable on appeal from final judgment—</w:t>
      </w:r>
      <w:r>
        <w:rPr>
          <w:rFonts w:ascii="Times New Roman" w:hAnsi="Times New Roman"/>
          <w:sz w:val="24"/>
          <w:szCs w:val="24"/>
        </w:rPr>
        <w:t xml:space="preserve"> </w:t>
      </w:r>
      <w:r w:rsidRPr="005E396A">
        <w:rPr>
          <w:rFonts w:ascii="Times New Roman" w:hAnsi="Times New Roman"/>
          <w:sz w:val="24"/>
          <w:szCs w:val="24"/>
        </w:rPr>
        <w:t>immunity from suit is of no use at that late stage.</w:t>
      </w:r>
      <w:r>
        <w:rPr>
          <w:rFonts w:ascii="Times New Roman" w:hAnsi="Times New Roman"/>
          <w:sz w:val="24"/>
          <w:szCs w:val="24"/>
        </w:rPr>
        <w:t>’</w:t>
      </w:r>
      <w:proofErr w:type="gramStart"/>
      <w:r w:rsidRPr="005E396A">
        <w:rPr>
          <w:rFonts w:ascii="Times New Roman" w:hAnsi="Times New Roman"/>
          <w:sz w:val="24"/>
          <w:szCs w:val="24"/>
        </w:rPr>
        <w:t>).</w:t>
      </w:r>
      <w:r>
        <w:rPr>
          <w:rFonts w:ascii="Times New Roman" w:hAnsi="Times New Roman"/>
          <w:sz w:val="24"/>
          <w:szCs w:val="24"/>
        </w:rPr>
        <w:t>”</w:t>
      </w:r>
      <w:proofErr w:type="gramEnd"/>
      <w:r>
        <w:rPr>
          <w:rFonts w:ascii="Times New Roman" w:hAnsi="Times New Roman"/>
          <w:sz w:val="24"/>
          <w:szCs w:val="24"/>
        </w:rPr>
        <w:t xml:space="preserve"> </w:t>
      </w:r>
      <w:hyperlink r:id="rId167" w:history="1">
        <w:r w:rsidRPr="00537EB6">
          <w:rPr>
            <w:rStyle w:val="Hyperlink"/>
            <w:rFonts w:ascii="Times New Roman" w:hAnsi="Times New Roman"/>
            <w:sz w:val="24"/>
            <w:szCs w:val="24"/>
          </w:rPr>
          <w:t>https://cases.justia.com/federal/appellate-courts/ca9/22-16236/22-16236-2023-09-29.pdf?ts=1696005037</w:t>
        </w:r>
      </w:hyperlink>
    </w:p>
    <w:p w14:paraId="27FC9D33" w14:textId="77777777" w:rsidR="0056123D" w:rsidRDefault="0056123D" w:rsidP="00F326E5">
      <w:pPr>
        <w:pStyle w:val="NoSpacing"/>
        <w:rPr>
          <w:rFonts w:ascii="Arial Black" w:hAnsi="Arial Black"/>
          <w:sz w:val="24"/>
          <w:szCs w:val="24"/>
        </w:rPr>
      </w:pPr>
    </w:p>
    <w:p w14:paraId="09AD3F0C" w14:textId="77777777" w:rsidR="0056123D" w:rsidRDefault="0056123D" w:rsidP="0056123D">
      <w:pPr>
        <w:pStyle w:val="NoSpacing"/>
        <w:rPr>
          <w:rFonts w:ascii="Times New Roman" w:hAnsi="Times New Roman"/>
          <w:sz w:val="24"/>
          <w:szCs w:val="24"/>
        </w:rPr>
      </w:pPr>
      <w:r w:rsidRPr="005E396A">
        <w:rPr>
          <w:rFonts w:ascii="Times New Roman" w:hAnsi="Times New Roman"/>
          <w:b/>
          <w:bCs/>
          <w:sz w:val="24"/>
          <w:szCs w:val="24"/>
        </w:rPr>
        <w:t xml:space="preserve">Legal Lesson Learned: </w:t>
      </w:r>
      <w:r>
        <w:rPr>
          <w:rFonts w:ascii="Times New Roman" w:hAnsi="Times New Roman"/>
          <w:b/>
          <w:bCs/>
          <w:sz w:val="24"/>
          <w:szCs w:val="24"/>
        </w:rPr>
        <w:t xml:space="preserve">The law provides qualified immunity for investigators who aggressively investigate; trial court should delay granting investigators’ motion to dismiss while pre-trial discovery proceeds. </w:t>
      </w:r>
    </w:p>
    <w:p w14:paraId="56586F92" w14:textId="77777777" w:rsidR="0056123D" w:rsidRPr="00B931CF" w:rsidRDefault="0056123D" w:rsidP="0056123D">
      <w:pPr>
        <w:pStyle w:val="NoSpacing"/>
        <w:rPr>
          <w:rFonts w:ascii="Times New Roman" w:hAnsi="Times New Roman"/>
          <w:sz w:val="24"/>
          <w:szCs w:val="24"/>
        </w:rPr>
      </w:pPr>
    </w:p>
    <w:p w14:paraId="14233318" w14:textId="77777777" w:rsidR="0056123D" w:rsidRDefault="0056123D" w:rsidP="00F326E5">
      <w:pPr>
        <w:pStyle w:val="NoSpacing"/>
        <w:rPr>
          <w:rFonts w:ascii="Arial Black" w:hAnsi="Arial Black"/>
          <w:sz w:val="24"/>
          <w:szCs w:val="24"/>
        </w:rPr>
      </w:pPr>
    </w:p>
    <w:p w14:paraId="362464BB" w14:textId="77777777" w:rsidR="0056123D" w:rsidRDefault="0056123D" w:rsidP="00F326E5">
      <w:pPr>
        <w:pStyle w:val="NoSpacing"/>
        <w:rPr>
          <w:rFonts w:ascii="Arial Black" w:hAnsi="Arial Black"/>
          <w:sz w:val="24"/>
          <w:szCs w:val="24"/>
        </w:rPr>
      </w:pPr>
    </w:p>
    <w:p w14:paraId="7F98CB55" w14:textId="256BDDB0" w:rsidR="0056123D" w:rsidRDefault="0056123D" w:rsidP="00F326E5">
      <w:pPr>
        <w:pStyle w:val="NoSpacing"/>
        <w:rPr>
          <w:rFonts w:ascii="Arial Black" w:hAnsi="Arial Black"/>
          <w:sz w:val="24"/>
          <w:szCs w:val="24"/>
        </w:rPr>
      </w:pPr>
      <w:r>
        <w:rPr>
          <w:rFonts w:ascii="Arial Black" w:hAnsi="Arial Black"/>
          <w:sz w:val="24"/>
          <w:szCs w:val="24"/>
        </w:rPr>
        <w:t>1-336</w:t>
      </w:r>
    </w:p>
    <w:p w14:paraId="16068A4A" w14:textId="77777777" w:rsidR="0056123D" w:rsidRPr="00903B6A" w:rsidRDefault="0056123D" w:rsidP="0056123D">
      <w:pPr>
        <w:pStyle w:val="NormalWeb"/>
        <w:rPr>
          <w:rFonts w:ascii="Arial Black" w:hAnsi="Arial Black"/>
          <w:b/>
          <w:bCs/>
          <w:sz w:val="28"/>
          <w:szCs w:val="28"/>
        </w:rPr>
      </w:pPr>
      <w:r>
        <w:rPr>
          <w:rFonts w:ascii="Arial Black" w:hAnsi="Arial Black"/>
          <w:b/>
          <w:bCs/>
          <w:sz w:val="28"/>
          <w:szCs w:val="28"/>
        </w:rPr>
        <w:t xml:space="preserve">CA: ARSON - NO DEFENSE HE STARTED FIRE TO CLEAR TICKS IN PARK – WILLFULL / MALICE PRESUMED </w:t>
      </w:r>
    </w:p>
    <w:p w14:paraId="13F3F3C8" w14:textId="77777777" w:rsidR="0056123D" w:rsidRDefault="0056123D" w:rsidP="0056123D">
      <w:pPr>
        <w:pStyle w:val="NormalWeb"/>
      </w:pPr>
      <w:r>
        <w:t xml:space="preserve">On Sept. 25, 2023, in </w:t>
      </w:r>
      <w:r w:rsidRPr="00040F47">
        <w:rPr>
          <w:u w:val="single"/>
        </w:rPr>
        <w:t>The People v. Souriya Danny Vongchanh</w:t>
      </w:r>
      <w:r>
        <w:t xml:space="preserve">, the California Court of Appeals, Third District, held (3 to 0; unpublished decision) that jury properly found him guilty of arson, and trial court judge properly imposed the added five years, for a total of 13 years in prison since second arson conviction in three years. </w:t>
      </w:r>
    </w:p>
    <w:p w14:paraId="10DBEA4B" w14:textId="77777777" w:rsidR="0056123D" w:rsidRDefault="0056123D" w:rsidP="0056123D">
      <w:pPr>
        <w:pStyle w:val="NormalWeb"/>
        <w:ind w:left="720"/>
      </w:pPr>
      <w:r>
        <w:t>“Defendant's arson conviction is based on the first fire he set on the levee between the park and the tennis courts. Defendant contends there is insufficient evidence that he acted intentionally and maliciously in setting the fire.</w:t>
      </w:r>
    </w:p>
    <w:p w14:paraId="5FB80048" w14:textId="77777777" w:rsidR="0056123D" w:rsidRPr="00A56E59" w:rsidRDefault="0056123D" w:rsidP="0056123D">
      <w:pPr>
        <w:pStyle w:val="NormalWeb"/>
        <w:ind w:left="720"/>
      </w:pPr>
      <w:r w:rsidRPr="00A56E59">
        <w:t>Section 451's requirement that the act be done willfully and maliciously ensures that the fire was deliberate and intentional rather than accidental or unintentional</w:t>
      </w:r>
      <w:r>
        <w:t xml:space="preserve">…. </w:t>
      </w:r>
      <w:r w:rsidRPr="00A56E59">
        <w:t>Due to the dangerous nature of such conduct, a general criminal intent to commit the act suffices to establish the requisite mental state</w:t>
      </w:r>
      <w:r>
        <w:t xml:space="preserve">…. </w:t>
      </w:r>
      <w:r w:rsidRPr="00A56E59">
        <w:t xml:space="preserve"> </w:t>
      </w:r>
    </w:p>
    <w:p w14:paraId="30EFBD79" w14:textId="77777777" w:rsidR="0056123D" w:rsidRDefault="0056123D" w:rsidP="0056123D">
      <w:pPr>
        <w:spacing w:before="100" w:beforeAutospacing="1" w:after="100" w:afterAutospacing="1" w:line="240" w:lineRule="auto"/>
        <w:ind w:left="720"/>
        <w:rPr>
          <w:rFonts w:ascii="Times New Roman" w:eastAsia="Times New Roman" w:hAnsi="Times New Roman"/>
          <w:sz w:val="24"/>
          <w:szCs w:val="24"/>
        </w:rPr>
      </w:pPr>
      <w:proofErr w:type="gramStart"/>
      <w:r w:rsidRPr="00A56E59">
        <w:rPr>
          <w:rFonts w:ascii="Times New Roman" w:eastAsia="Times New Roman" w:hAnsi="Times New Roman"/>
          <w:sz w:val="24"/>
          <w:szCs w:val="24"/>
        </w:rPr>
        <w:t>Defendant's</w:t>
      </w:r>
      <w:proofErr w:type="gramEnd"/>
      <w:r w:rsidRPr="00A56E59">
        <w:rPr>
          <w:rFonts w:ascii="Times New Roman" w:eastAsia="Times New Roman" w:hAnsi="Times New Roman"/>
          <w:sz w:val="24"/>
          <w:szCs w:val="24"/>
        </w:rPr>
        <w:t xml:space="preserve"> conduct satisfies this standard. He admitted lighting the fire to clear the white grass and rid the area of ticks or leeches. His act was intentional and was done without legal justification, therefore maliciousness is presumed or implied.</w:t>
      </w:r>
    </w:p>
    <w:p w14:paraId="78449356" w14:textId="77777777" w:rsidR="0056123D" w:rsidRDefault="0056123D" w:rsidP="0056123D">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 xml:space="preserve">*** </w:t>
      </w:r>
    </w:p>
    <w:p w14:paraId="79D535E9" w14:textId="77777777" w:rsidR="0056123D" w:rsidRDefault="0056123D" w:rsidP="0056123D">
      <w:pPr>
        <w:pStyle w:val="NormalWeb"/>
        <w:ind w:left="720"/>
      </w:pPr>
      <w:r>
        <w:lastRenderedPageBreak/>
        <w:t>The trial court declined to strike the enhancement, finding that dismissal of the enhancement would endanger public safety. (§ 1385, subd. (c)(2).) The trial court stated: ‘I've considered the prior offense and current offense both involve setting fires unlawfully</w:t>
      </w:r>
      <w:proofErr w:type="gramStart"/>
      <w:r>
        <w:t>.</w:t>
      </w:r>
      <w:proofErr w:type="gramEnd"/>
      <w:r>
        <w:t xml:space="preserve"> Here the fire was set near the downtown Oroville area, near residences, and in a park area where the potential for danger, of which all of us in Butte County are acutely aware, is extremely high. And </w:t>
      </w:r>
      <w:proofErr w:type="gramStart"/>
      <w:r>
        <w:t>so</w:t>
      </w:r>
      <w:proofErr w:type="gramEnd"/>
      <w:r>
        <w:t xml:space="preserve"> I am finding that it would be a danger to public safety to strike that [section] 667 [subdivision] (a)(1) enhancement, and I'll decline to strike the enhancement under that section.’ </w:t>
      </w:r>
    </w:p>
    <w:p w14:paraId="1BDA1745" w14:textId="03822C9A" w:rsidR="0056123D" w:rsidRDefault="0056123D" w:rsidP="0056123D">
      <w:pPr>
        <w:pStyle w:val="NoSpacing"/>
        <w:ind w:left="720"/>
        <w:rPr>
          <w:rStyle w:val="Hyperlink"/>
          <w:rFonts w:ascii="Times New Roman" w:hAnsi="Times New Roman"/>
          <w:sz w:val="24"/>
          <w:szCs w:val="24"/>
        </w:rPr>
      </w:pPr>
      <w:r w:rsidRPr="00A56E59">
        <w:rPr>
          <w:rFonts w:ascii="Times New Roman" w:hAnsi="Times New Roman"/>
          <w:sz w:val="24"/>
          <w:szCs w:val="24"/>
        </w:rPr>
        <w:t xml:space="preserve">Contrary to defendant's argument, this was not an abuse of discretion, given that defendant was twice convicted of arson within a span of three years and the current arson offense was committed near a residential neighborhood.” </w:t>
      </w:r>
      <w:hyperlink r:id="rId168" w:history="1">
        <w:r w:rsidRPr="00A56E59">
          <w:rPr>
            <w:rStyle w:val="Hyperlink"/>
            <w:rFonts w:ascii="Times New Roman" w:hAnsi="Times New Roman"/>
            <w:sz w:val="24"/>
            <w:szCs w:val="24"/>
          </w:rPr>
          <w:t>https://public.fastcase.com/ppbqSQpNDaJE%2F8PlIk0b8ECWv6%2F0KW8eOOGtTNlYs%2F2eCExN%2BikZLxSyxw9X8iC%2F</w:t>
        </w:r>
      </w:hyperlink>
    </w:p>
    <w:p w14:paraId="2F9B5452" w14:textId="77777777" w:rsidR="0056123D" w:rsidRDefault="0056123D" w:rsidP="0056123D">
      <w:pPr>
        <w:pStyle w:val="NoSpacing"/>
        <w:ind w:left="720"/>
        <w:rPr>
          <w:rStyle w:val="Hyperlink"/>
          <w:rFonts w:ascii="Times New Roman" w:hAnsi="Times New Roman"/>
          <w:sz w:val="24"/>
          <w:szCs w:val="24"/>
        </w:rPr>
      </w:pPr>
    </w:p>
    <w:p w14:paraId="2FD97576" w14:textId="77777777" w:rsidR="0056123D" w:rsidRPr="00877A2C" w:rsidRDefault="0056123D" w:rsidP="0056123D">
      <w:pPr>
        <w:pStyle w:val="NormalWeb"/>
        <w:rPr>
          <w:b/>
          <w:bCs/>
        </w:rPr>
      </w:pPr>
      <w:r w:rsidRPr="00BD4B28">
        <w:rPr>
          <w:b/>
          <w:bCs/>
        </w:rPr>
        <w:t>Legal Lesson Learned</w:t>
      </w:r>
      <w:r w:rsidRPr="00877A2C">
        <w:rPr>
          <w:b/>
          <w:bCs/>
        </w:rPr>
        <w:t xml:space="preserve">: </w:t>
      </w:r>
      <w:r>
        <w:rPr>
          <w:b/>
          <w:bCs/>
        </w:rPr>
        <w:t xml:space="preserve">Intentionally setting a fire in a park is intentionally doing an act without justification, and “malice” is presumed. </w:t>
      </w:r>
    </w:p>
    <w:p w14:paraId="65891EA7" w14:textId="77777777" w:rsidR="0056123D" w:rsidRDefault="0056123D" w:rsidP="0056123D">
      <w:pPr>
        <w:pStyle w:val="NoSpacing"/>
        <w:ind w:left="720"/>
        <w:rPr>
          <w:rFonts w:ascii="Arial Black" w:hAnsi="Arial Black"/>
          <w:sz w:val="24"/>
          <w:szCs w:val="24"/>
        </w:rPr>
      </w:pPr>
    </w:p>
    <w:p w14:paraId="31C26C1B" w14:textId="77777777" w:rsidR="0056123D" w:rsidRDefault="0056123D" w:rsidP="0056123D">
      <w:pPr>
        <w:pStyle w:val="NoSpacing"/>
        <w:ind w:left="720"/>
        <w:rPr>
          <w:rFonts w:ascii="Arial Black" w:hAnsi="Arial Black"/>
          <w:sz w:val="24"/>
          <w:szCs w:val="24"/>
        </w:rPr>
      </w:pPr>
    </w:p>
    <w:p w14:paraId="1F9BA6A5" w14:textId="25D20242" w:rsidR="0056123D" w:rsidRDefault="0056123D" w:rsidP="0056123D">
      <w:pPr>
        <w:pStyle w:val="NoSpacing"/>
        <w:rPr>
          <w:rFonts w:ascii="Arial Black" w:hAnsi="Arial Black"/>
          <w:sz w:val="24"/>
          <w:szCs w:val="24"/>
        </w:rPr>
      </w:pPr>
      <w:r>
        <w:rPr>
          <w:rFonts w:ascii="Arial Black" w:hAnsi="Arial Black"/>
          <w:sz w:val="24"/>
          <w:szCs w:val="24"/>
        </w:rPr>
        <w:t>1-135</w:t>
      </w:r>
    </w:p>
    <w:p w14:paraId="1D0055A5" w14:textId="77777777" w:rsidR="0056123D" w:rsidRPr="00877A2C" w:rsidRDefault="0056123D" w:rsidP="0056123D">
      <w:pPr>
        <w:pStyle w:val="NormalWeb"/>
        <w:rPr>
          <w:rFonts w:ascii="Arial Black" w:hAnsi="Arial Black"/>
          <w:b/>
          <w:bCs/>
          <w:sz w:val="28"/>
          <w:szCs w:val="28"/>
        </w:rPr>
      </w:pPr>
      <w:r>
        <w:rPr>
          <w:rFonts w:ascii="Arial Black" w:hAnsi="Arial Black"/>
          <w:b/>
          <w:bCs/>
          <w:sz w:val="28"/>
          <w:szCs w:val="28"/>
        </w:rPr>
        <w:t xml:space="preserve">TN: OFF-DUTY FD CAPTAIN – OBSERVED DRUNK DRIVER CRASH - ALLOWED TO TESTIFY ON ZOOM / SICK COVID </w:t>
      </w:r>
    </w:p>
    <w:p w14:paraId="30E2669F" w14:textId="77777777" w:rsidR="0056123D" w:rsidRDefault="0056123D" w:rsidP="0056123D">
      <w:pPr>
        <w:pStyle w:val="NoSpacing"/>
        <w:rPr>
          <w:rFonts w:ascii="Times New Roman" w:hAnsi="Times New Roman"/>
          <w:sz w:val="24"/>
          <w:szCs w:val="24"/>
        </w:rPr>
      </w:pPr>
      <w:r>
        <w:rPr>
          <w:rFonts w:ascii="Times New Roman" w:hAnsi="Times New Roman"/>
          <w:sz w:val="24"/>
          <w:szCs w:val="24"/>
        </w:rPr>
        <w:t xml:space="preserve">On Sept. 25, 2023, in </w:t>
      </w:r>
      <w:r w:rsidRPr="00877A2C">
        <w:rPr>
          <w:rFonts w:ascii="Times New Roman" w:hAnsi="Times New Roman"/>
          <w:sz w:val="24"/>
          <w:szCs w:val="24"/>
          <w:u w:val="single"/>
        </w:rPr>
        <w:t>State of Tennessee v. William Michael Bowers</w:t>
      </w:r>
      <w:r>
        <w:rPr>
          <w:rFonts w:ascii="Times New Roman" w:hAnsi="Times New Roman"/>
          <w:sz w:val="24"/>
          <w:szCs w:val="24"/>
        </w:rPr>
        <w:t xml:space="preserve">, the Court of Criminal Appeals of Tennessee at Nashville, held (3 to 1) that the evidence was sufficient for the jury to convict the defendant of vehicular homicide by intoxication and driving under the influence; the trial court judge was authorized to allow fire department captain to testify via ZOOM.  </w:t>
      </w:r>
    </w:p>
    <w:p w14:paraId="7887A6C4" w14:textId="77777777" w:rsidR="0056123D" w:rsidRDefault="0056123D" w:rsidP="0056123D">
      <w:pPr>
        <w:pStyle w:val="NoSpacing"/>
        <w:rPr>
          <w:rFonts w:ascii="Times New Roman" w:hAnsi="Times New Roman"/>
          <w:sz w:val="24"/>
          <w:szCs w:val="24"/>
        </w:rPr>
      </w:pPr>
      <w:r w:rsidRPr="001B4670">
        <w:rPr>
          <w:rFonts w:ascii="Times New Roman" w:hAnsi="Times New Roman"/>
          <w:sz w:val="24"/>
          <w:szCs w:val="24"/>
        </w:rPr>
        <w:t xml:space="preserve">On August 21, 2020, </w:t>
      </w:r>
      <w:r>
        <w:rPr>
          <w:rFonts w:ascii="Times New Roman" w:hAnsi="Times New Roman"/>
          <w:sz w:val="24"/>
          <w:szCs w:val="24"/>
        </w:rPr>
        <w:t xml:space="preserve">Captain Phillip Marsh of Columbia Fire Department was off duty when he observed the defendant’s F-150 truck cross over </w:t>
      </w:r>
      <w:r w:rsidRPr="00E460C5">
        <w:rPr>
          <w:rFonts w:ascii="Times New Roman" w:hAnsi="Times New Roman"/>
          <w:sz w:val="24"/>
          <w:szCs w:val="24"/>
        </w:rPr>
        <w:t>from the oncoming lanes and strike the victim’s vehicle at her driver’s side door</w:t>
      </w:r>
      <w:r>
        <w:rPr>
          <w:rFonts w:ascii="Times New Roman" w:hAnsi="Times New Roman"/>
          <w:sz w:val="24"/>
          <w:szCs w:val="24"/>
        </w:rPr>
        <w:t xml:space="preserve">; the defendant’s air bags had deployed and he </w:t>
      </w:r>
      <w:r w:rsidRPr="00E460C5">
        <w:rPr>
          <w:rFonts w:ascii="Times New Roman" w:hAnsi="Times New Roman"/>
          <w:sz w:val="24"/>
          <w:szCs w:val="24"/>
        </w:rPr>
        <w:t>spoke rapidly</w:t>
      </w:r>
      <w:r>
        <w:rPr>
          <w:rFonts w:ascii="Times New Roman" w:hAnsi="Times New Roman"/>
          <w:sz w:val="24"/>
          <w:szCs w:val="24"/>
        </w:rPr>
        <w:t xml:space="preserve"> “</w:t>
      </w:r>
      <w:r w:rsidRPr="00E460C5">
        <w:rPr>
          <w:rFonts w:ascii="Times New Roman" w:hAnsi="Times New Roman"/>
          <w:sz w:val="24"/>
          <w:szCs w:val="24"/>
        </w:rPr>
        <w:t>but nothing [was] making any sense.</w:t>
      </w:r>
      <w:r>
        <w:rPr>
          <w:rFonts w:ascii="Times New Roman" w:hAnsi="Times New Roman"/>
          <w:sz w:val="24"/>
          <w:szCs w:val="24"/>
        </w:rPr>
        <w:t xml:space="preserve">” The Court refenced U.S. Supreme Court decision allowing testimony via closed-circuit TV. </w:t>
      </w:r>
    </w:p>
    <w:p w14:paraId="0715B893" w14:textId="77777777" w:rsidR="0056123D" w:rsidRDefault="0056123D" w:rsidP="0056123D">
      <w:pPr>
        <w:pStyle w:val="NoSpacing"/>
        <w:rPr>
          <w:rFonts w:ascii="Times New Roman" w:hAnsi="Times New Roman"/>
          <w:sz w:val="24"/>
          <w:szCs w:val="24"/>
        </w:rPr>
      </w:pPr>
    </w:p>
    <w:p w14:paraId="67568D2E" w14:textId="77777777" w:rsidR="0056123D" w:rsidRPr="00412D7B" w:rsidRDefault="0056123D" w:rsidP="0056123D">
      <w:pPr>
        <w:pStyle w:val="NoSpacing"/>
        <w:ind w:left="720"/>
        <w:rPr>
          <w:rFonts w:ascii="Times New Roman" w:hAnsi="Times New Roman"/>
          <w:sz w:val="24"/>
          <w:szCs w:val="24"/>
        </w:rPr>
      </w:pPr>
      <w:r>
        <w:rPr>
          <w:rFonts w:ascii="Times New Roman" w:hAnsi="Times New Roman"/>
          <w:sz w:val="24"/>
          <w:szCs w:val="24"/>
        </w:rPr>
        <w:t>“I</w:t>
      </w:r>
      <w:r w:rsidRPr="00412D7B">
        <w:rPr>
          <w:rFonts w:ascii="Times New Roman" w:hAnsi="Times New Roman"/>
          <w:sz w:val="24"/>
          <w:szCs w:val="24"/>
        </w:rPr>
        <w:t xml:space="preserve">n </w:t>
      </w:r>
      <w:r w:rsidRPr="00D41A7C">
        <w:rPr>
          <w:rFonts w:ascii="Times New Roman" w:hAnsi="Times New Roman"/>
          <w:i/>
          <w:iCs/>
          <w:sz w:val="24"/>
          <w:szCs w:val="24"/>
        </w:rPr>
        <w:t>Maryland v. Craig</w:t>
      </w:r>
      <w:r w:rsidRPr="00412D7B">
        <w:rPr>
          <w:rFonts w:ascii="Times New Roman" w:hAnsi="Times New Roman"/>
          <w:sz w:val="24"/>
          <w:szCs w:val="24"/>
        </w:rPr>
        <w:t>, however, the United States Supreme Court noted that it had</w:t>
      </w:r>
    </w:p>
    <w:p w14:paraId="7E731D3C" w14:textId="77777777" w:rsidR="0056123D" w:rsidRPr="00412D7B" w:rsidRDefault="0056123D" w:rsidP="0056123D">
      <w:pPr>
        <w:pStyle w:val="NoSpacing"/>
        <w:ind w:firstLine="720"/>
        <w:rPr>
          <w:rFonts w:ascii="Times New Roman" w:hAnsi="Times New Roman"/>
          <w:sz w:val="24"/>
          <w:szCs w:val="24"/>
        </w:rPr>
      </w:pPr>
      <w:r>
        <w:rPr>
          <w:rFonts w:ascii="Times New Roman" w:hAnsi="Times New Roman"/>
          <w:sz w:val="24"/>
          <w:szCs w:val="24"/>
        </w:rPr>
        <w:t>‘</w:t>
      </w:r>
      <w:proofErr w:type="gramStart"/>
      <w:r w:rsidRPr="00412D7B">
        <w:rPr>
          <w:rFonts w:ascii="Times New Roman" w:hAnsi="Times New Roman"/>
          <w:sz w:val="24"/>
          <w:szCs w:val="24"/>
        </w:rPr>
        <w:t>never</w:t>
      </w:r>
      <w:proofErr w:type="gramEnd"/>
      <w:r w:rsidRPr="00412D7B">
        <w:rPr>
          <w:rFonts w:ascii="Times New Roman" w:hAnsi="Times New Roman"/>
          <w:sz w:val="24"/>
          <w:szCs w:val="24"/>
        </w:rPr>
        <w:t xml:space="preserve"> held . . . that the Confrontation Clause guarantees criminal defendants the absolute</w:t>
      </w:r>
    </w:p>
    <w:p w14:paraId="21358CD9" w14:textId="77777777" w:rsidR="0056123D" w:rsidRPr="00412D7B" w:rsidRDefault="0056123D" w:rsidP="0056123D">
      <w:pPr>
        <w:pStyle w:val="NoSpacing"/>
        <w:ind w:left="720"/>
        <w:rPr>
          <w:rFonts w:ascii="Times New Roman" w:hAnsi="Times New Roman"/>
          <w:sz w:val="24"/>
          <w:szCs w:val="24"/>
        </w:rPr>
      </w:pPr>
      <w:r w:rsidRPr="00412D7B">
        <w:rPr>
          <w:rFonts w:ascii="Times New Roman" w:hAnsi="Times New Roman"/>
          <w:sz w:val="24"/>
          <w:szCs w:val="24"/>
        </w:rPr>
        <w:t>right to a face-to-face meeting with witnesses against them at trial.</w:t>
      </w:r>
      <w:r>
        <w:rPr>
          <w:rFonts w:ascii="Times New Roman" w:hAnsi="Times New Roman"/>
          <w:sz w:val="24"/>
          <w:szCs w:val="24"/>
        </w:rPr>
        <w:t xml:space="preserve">’ </w:t>
      </w:r>
      <w:r w:rsidRPr="00412D7B">
        <w:rPr>
          <w:rFonts w:ascii="Times New Roman" w:hAnsi="Times New Roman"/>
          <w:sz w:val="24"/>
          <w:szCs w:val="24"/>
        </w:rPr>
        <w:t>497 U.S. at 844</w:t>
      </w:r>
      <w:r>
        <w:rPr>
          <w:rFonts w:ascii="Times New Roman" w:hAnsi="Times New Roman"/>
          <w:sz w:val="24"/>
          <w:szCs w:val="24"/>
        </w:rPr>
        <w:t xml:space="preserve"> [1990] </w:t>
      </w:r>
      <w:r w:rsidRPr="00412D7B">
        <w:rPr>
          <w:rFonts w:ascii="Times New Roman" w:hAnsi="Times New Roman"/>
          <w:sz w:val="24"/>
          <w:szCs w:val="24"/>
        </w:rPr>
        <w:t xml:space="preserve">(emphasis in original). </w:t>
      </w:r>
      <w:r w:rsidRPr="00D41A7C">
        <w:rPr>
          <w:rFonts w:ascii="Times New Roman" w:hAnsi="Times New Roman"/>
          <w:i/>
          <w:iCs/>
          <w:sz w:val="24"/>
          <w:szCs w:val="24"/>
        </w:rPr>
        <w:t>Craig</w:t>
      </w:r>
      <w:r w:rsidRPr="00412D7B">
        <w:rPr>
          <w:rFonts w:ascii="Times New Roman" w:hAnsi="Times New Roman"/>
          <w:sz w:val="24"/>
          <w:szCs w:val="24"/>
        </w:rPr>
        <w:t xml:space="preserve"> involved a Confrontation Clause challenge to a Maryland</w:t>
      </w:r>
      <w:r>
        <w:rPr>
          <w:rFonts w:ascii="Times New Roman" w:hAnsi="Times New Roman"/>
          <w:sz w:val="24"/>
          <w:szCs w:val="24"/>
        </w:rPr>
        <w:t xml:space="preserve"> </w:t>
      </w:r>
      <w:r w:rsidRPr="00412D7B">
        <w:rPr>
          <w:rFonts w:ascii="Times New Roman" w:hAnsi="Times New Roman"/>
          <w:sz w:val="24"/>
          <w:szCs w:val="24"/>
        </w:rPr>
        <w:t xml:space="preserve">law that allowed a child sexual assault victim to testify via one-way, </w:t>
      </w:r>
      <w:proofErr w:type="gramStart"/>
      <w:r w:rsidRPr="00412D7B">
        <w:rPr>
          <w:rFonts w:ascii="Times New Roman" w:hAnsi="Times New Roman"/>
          <w:sz w:val="24"/>
          <w:szCs w:val="24"/>
        </w:rPr>
        <w:t>closed circuit</w:t>
      </w:r>
      <w:proofErr w:type="gramEnd"/>
      <w:r>
        <w:rPr>
          <w:rFonts w:ascii="Times New Roman" w:hAnsi="Times New Roman"/>
          <w:sz w:val="24"/>
          <w:szCs w:val="24"/>
        </w:rPr>
        <w:t xml:space="preserve"> </w:t>
      </w:r>
      <w:r w:rsidRPr="00412D7B">
        <w:rPr>
          <w:rFonts w:ascii="Times New Roman" w:hAnsi="Times New Roman"/>
          <w:sz w:val="24"/>
          <w:szCs w:val="24"/>
        </w:rPr>
        <w:t xml:space="preserve">television if the trial judge determined </w:t>
      </w:r>
      <w:r>
        <w:rPr>
          <w:rFonts w:ascii="Times New Roman" w:hAnsi="Times New Roman"/>
          <w:sz w:val="24"/>
          <w:szCs w:val="24"/>
        </w:rPr>
        <w:t>‘</w:t>
      </w:r>
      <w:r w:rsidRPr="00412D7B">
        <w:rPr>
          <w:rFonts w:ascii="Times New Roman" w:hAnsi="Times New Roman"/>
          <w:sz w:val="24"/>
          <w:szCs w:val="24"/>
        </w:rPr>
        <w:t>that testimony by the child victim in the courtroom</w:t>
      </w:r>
      <w:r>
        <w:rPr>
          <w:rFonts w:ascii="Times New Roman" w:hAnsi="Times New Roman"/>
          <w:sz w:val="24"/>
          <w:szCs w:val="24"/>
        </w:rPr>
        <w:t xml:space="preserve"> </w:t>
      </w:r>
      <w:r w:rsidRPr="00412D7B">
        <w:rPr>
          <w:rFonts w:ascii="Times New Roman" w:hAnsi="Times New Roman"/>
          <w:sz w:val="24"/>
          <w:szCs w:val="24"/>
        </w:rPr>
        <w:t>will result in the child suffering serious emotional distress such that the child cannot</w:t>
      </w:r>
      <w:r>
        <w:rPr>
          <w:rFonts w:ascii="Times New Roman" w:hAnsi="Times New Roman"/>
          <w:sz w:val="24"/>
          <w:szCs w:val="24"/>
        </w:rPr>
        <w:t xml:space="preserve"> </w:t>
      </w:r>
      <w:r w:rsidRPr="00412D7B">
        <w:rPr>
          <w:rFonts w:ascii="Times New Roman" w:hAnsi="Times New Roman"/>
          <w:sz w:val="24"/>
          <w:szCs w:val="24"/>
        </w:rPr>
        <w:t>reasonably communicate.</w:t>
      </w:r>
      <w:r>
        <w:rPr>
          <w:rFonts w:ascii="Times New Roman" w:hAnsi="Times New Roman"/>
          <w:sz w:val="24"/>
          <w:szCs w:val="24"/>
        </w:rPr>
        <w:t>’</w:t>
      </w:r>
      <w:r w:rsidRPr="00412D7B">
        <w:rPr>
          <w:rFonts w:ascii="Times New Roman" w:hAnsi="Times New Roman"/>
          <w:sz w:val="24"/>
          <w:szCs w:val="24"/>
        </w:rPr>
        <w:t xml:space="preserve"> Id. at 840-41 (quoting Md. </w:t>
      </w:r>
      <w:proofErr w:type="spellStart"/>
      <w:r w:rsidRPr="00412D7B">
        <w:rPr>
          <w:rFonts w:ascii="Times New Roman" w:hAnsi="Times New Roman"/>
          <w:sz w:val="24"/>
          <w:szCs w:val="24"/>
        </w:rPr>
        <w:t>Cts</w:t>
      </w:r>
      <w:proofErr w:type="spellEnd"/>
      <w:r w:rsidRPr="00412D7B">
        <w:rPr>
          <w:rFonts w:ascii="Times New Roman" w:hAnsi="Times New Roman"/>
          <w:sz w:val="24"/>
          <w:szCs w:val="24"/>
        </w:rPr>
        <w:t xml:space="preserve">. &amp; Jud. Proc. Code Ann. § 9-102(a)(1)(ii) (1989)). If this determination is made, </w:t>
      </w:r>
      <w:proofErr w:type="gramStart"/>
      <w:r w:rsidRPr="00412D7B">
        <w:rPr>
          <w:rFonts w:ascii="Times New Roman" w:hAnsi="Times New Roman"/>
          <w:sz w:val="24"/>
          <w:szCs w:val="24"/>
        </w:rPr>
        <w:t>the Maryland</w:t>
      </w:r>
      <w:proofErr w:type="gramEnd"/>
      <w:r w:rsidRPr="00412D7B">
        <w:rPr>
          <w:rFonts w:ascii="Times New Roman" w:hAnsi="Times New Roman"/>
          <w:sz w:val="24"/>
          <w:szCs w:val="24"/>
        </w:rPr>
        <w:t xml:space="preserve"> law </w:t>
      </w:r>
      <w:proofErr w:type="gramStart"/>
      <w:r w:rsidRPr="00412D7B">
        <w:rPr>
          <w:rFonts w:ascii="Times New Roman" w:hAnsi="Times New Roman"/>
          <w:sz w:val="24"/>
          <w:szCs w:val="24"/>
        </w:rPr>
        <w:t>allowed for</w:t>
      </w:r>
      <w:proofErr w:type="gramEnd"/>
      <w:r w:rsidRPr="00412D7B">
        <w:rPr>
          <w:rFonts w:ascii="Times New Roman" w:hAnsi="Times New Roman"/>
          <w:sz w:val="24"/>
          <w:szCs w:val="24"/>
        </w:rPr>
        <w:t xml:space="preserve"> the child</w:t>
      </w:r>
      <w:r>
        <w:rPr>
          <w:rFonts w:ascii="Times New Roman" w:hAnsi="Times New Roman"/>
          <w:sz w:val="24"/>
          <w:szCs w:val="24"/>
        </w:rPr>
        <w:t xml:space="preserve"> </w:t>
      </w:r>
      <w:r w:rsidRPr="00412D7B">
        <w:rPr>
          <w:rFonts w:ascii="Times New Roman" w:hAnsi="Times New Roman"/>
          <w:sz w:val="24"/>
          <w:szCs w:val="24"/>
        </w:rPr>
        <w:t xml:space="preserve">witness, prosecutor, and defense counsel to withdraw to a separate room </w:t>
      </w:r>
      <w:proofErr w:type="gramStart"/>
      <w:r w:rsidRPr="00412D7B">
        <w:rPr>
          <w:rFonts w:ascii="Times New Roman" w:hAnsi="Times New Roman"/>
          <w:sz w:val="24"/>
          <w:szCs w:val="24"/>
        </w:rPr>
        <w:t>where</w:t>
      </w:r>
      <w:proofErr w:type="gramEnd"/>
      <w:r w:rsidRPr="00412D7B">
        <w:rPr>
          <w:rFonts w:ascii="Times New Roman" w:hAnsi="Times New Roman"/>
          <w:sz w:val="24"/>
          <w:szCs w:val="24"/>
        </w:rPr>
        <w:t xml:space="preserve"> the</w:t>
      </w:r>
    </w:p>
    <w:p w14:paraId="1E6912A9" w14:textId="77777777" w:rsidR="0056123D" w:rsidRPr="00412D7B" w:rsidRDefault="0056123D" w:rsidP="0056123D">
      <w:pPr>
        <w:pStyle w:val="NoSpacing"/>
        <w:ind w:left="720"/>
        <w:rPr>
          <w:rFonts w:ascii="Times New Roman" w:hAnsi="Times New Roman"/>
          <w:sz w:val="24"/>
          <w:szCs w:val="24"/>
        </w:rPr>
      </w:pPr>
      <w:r w:rsidRPr="00412D7B">
        <w:rPr>
          <w:rFonts w:ascii="Times New Roman" w:hAnsi="Times New Roman"/>
          <w:sz w:val="24"/>
          <w:szCs w:val="24"/>
        </w:rPr>
        <w:t>examination of the child would be transmitted to the courtroom for display to the judge,</w:t>
      </w:r>
    </w:p>
    <w:p w14:paraId="3FFDAF37" w14:textId="77777777" w:rsidR="0056123D" w:rsidRPr="00412D7B" w:rsidRDefault="0056123D" w:rsidP="0056123D">
      <w:pPr>
        <w:pStyle w:val="NoSpacing"/>
        <w:ind w:left="720"/>
        <w:rPr>
          <w:rFonts w:ascii="Times New Roman" w:hAnsi="Times New Roman"/>
          <w:sz w:val="24"/>
          <w:szCs w:val="24"/>
        </w:rPr>
      </w:pPr>
      <w:r w:rsidRPr="00412D7B">
        <w:rPr>
          <w:rFonts w:ascii="Times New Roman" w:hAnsi="Times New Roman"/>
          <w:sz w:val="24"/>
          <w:szCs w:val="24"/>
        </w:rPr>
        <w:t>jury, and defendant. Id. at 841. During this time, the witness cannot see the Defendant.</w:t>
      </w:r>
    </w:p>
    <w:p w14:paraId="0237B850" w14:textId="77777777" w:rsidR="0056123D" w:rsidRDefault="0056123D" w:rsidP="0056123D">
      <w:pPr>
        <w:pStyle w:val="NoSpacing"/>
        <w:ind w:left="720"/>
        <w:rPr>
          <w:rFonts w:ascii="Times New Roman" w:hAnsi="Times New Roman"/>
          <w:sz w:val="24"/>
          <w:szCs w:val="24"/>
        </w:rPr>
      </w:pPr>
      <w:r w:rsidRPr="00412D7B">
        <w:rPr>
          <w:rFonts w:ascii="Times New Roman" w:hAnsi="Times New Roman"/>
          <w:sz w:val="24"/>
          <w:szCs w:val="24"/>
        </w:rPr>
        <w:t>Id.</w:t>
      </w:r>
    </w:p>
    <w:p w14:paraId="2EA674AF" w14:textId="77777777" w:rsidR="0056123D" w:rsidRDefault="0056123D" w:rsidP="0056123D">
      <w:pPr>
        <w:pStyle w:val="NoSpacing"/>
        <w:ind w:left="720"/>
        <w:rPr>
          <w:rFonts w:ascii="Times New Roman" w:hAnsi="Times New Roman"/>
          <w:sz w:val="24"/>
          <w:szCs w:val="24"/>
        </w:rPr>
      </w:pPr>
    </w:p>
    <w:p w14:paraId="42D72A14" w14:textId="77777777" w:rsidR="0056123D" w:rsidRDefault="0056123D" w:rsidP="0056123D">
      <w:pPr>
        <w:pStyle w:val="NoSpacing"/>
        <w:ind w:left="720"/>
        <w:rPr>
          <w:rFonts w:ascii="Times New Roman" w:hAnsi="Times New Roman"/>
          <w:sz w:val="24"/>
          <w:szCs w:val="24"/>
        </w:rPr>
      </w:pPr>
      <w:r>
        <w:rPr>
          <w:rFonts w:ascii="Times New Roman" w:hAnsi="Times New Roman"/>
          <w:sz w:val="24"/>
          <w:szCs w:val="24"/>
        </w:rPr>
        <w:t>***</w:t>
      </w:r>
    </w:p>
    <w:p w14:paraId="53761D34" w14:textId="77777777" w:rsidR="0056123D" w:rsidRDefault="0056123D" w:rsidP="0056123D">
      <w:pPr>
        <w:pStyle w:val="NoSpacing"/>
        <w:ind w:left="720"/>
        <w:rPr>
          <w:rFonts w:ascii="Times New Roman" w:hAnsi="Times New Roman"/>
          <w:sz w:val="24"/>
          <w:szCs w:val="24"/>
        </w:rPr>
      </w:pPr>
    </w:p>
    <w:p w14:paraId="754B28DB" w14:textId="77777777" w:rsidR="0056123D" w:rsidRDefault="0056123D" w:rsidP="0056123D">
      <w:pPr>
        <w:pStyle w:val="NoSpacing"/>
        <w:ind w:left="720"/>
        <w:rPr>
          <w:rFonts w:ascii="Times New Roman" w:hAnsi="Times New Roman"/>
          <w:sz w:val="24"/>
          <w:szCs w:val="24"/>
        </w:rPr>
      </w:pPr>
      <w:r>
        <w:rPr>
          <w:rFonts w:ascii="Times New Roman" w:hAnsi="Times New Roman"/>
          <w:sz w:val="24"/>
          <w:szCs w:val="24"/>
        </w:rPr>
        <w:lastRenderedPageBreak/>
        <w:t xml:space="preserve">[Captain] </w:t>
      </w:r>
      <w:r w:rsidRPr="001B4670">
        <w:rPr>
          <w:rFonts w:ascii="Times New Roman" w:hAnsi="Times New Roman"/>
          <w:sz w:val="24"/>
          <w:szCs w:val="24"/>
        </w:rPr>
        <w:t>Mash</w:t>
      </w:r>
      <w:r>
        <w:rPr>
          <w:rFonts w:ascii="Times New Roman" w:hAnsi="Times New Roman"/>
          <w:sz w:val="24"/>
          <w:szCs w:val="24"/>
        </w:rPr>
        <w:t xml:space="preserve"> </w:t>
      </w:r>
      <w:r w:rsidRPr="001B4670">
        <w:rPr>
          <w:rFonts w:ascii="Times New Roman" w:hAnsi="Times New Roman"/>
          <w:sz w:val="24"/>
          <w:szCs w:val="24"/>
        </w:rPr>
        <w:t>was placed under oath and cross-examined by the Defendant, and the trial court ensured</w:t>
      </w:r>
      <w:r>
        <w:rPr>
          <w:rFonts w:ascii="Times New Roman" w:hAnsi="Times New Roman"/>
          <w:sz w:val="24"/>
          <w:szCs w:val="24"/>
        </w:rPr>
        <w:t xml:space="preserve"> </w:t>
      </w:r>
      <w:r w:rsidRPr="001B4670">
        <w:rPr>
          <w:rFonts w:ascii="Times New Roman" w:hAnsi="Times New Roman"/>
          <w:sz w:val="24"/>
          <w:szCs w:val="24"/>
        </w:rPr>
        <w:t>that, prior to his testimony, all jurors could see the screen displaying his image, thus</w:t>
      </w:r>
      <w:r>
        <w:rPr>
          <w:rFonts w:ascii="Times New Roman" w:hAnsi="Times New Roman"/>
          <w:sz w:val="24"/>
          <w:szCs w:val="24"/>
        </w:rPr>
        <w:t xml:space="preserve"> </w:t>
      </w:r>
      <w:r w:rsidRPr="001B4670">
        <w:rPr>
          <w:rFonts w:ascii="Times New Roman" w:hAnsi="Times New Roman"/>
          <w:sz w:val="24"/>
          <w:szCs w:val="24"/>
        </w:rPr>
        <w:t>allowing them to observe his demeanor while testifying. At the time of cross-examination,</w:t>
      </w:r>
      <w:r>
        <w:rPr>
          <w:rFonts w:ascii="Times New Roman" w:hAnsi="Times New Roman"/>
          <w:sz w:val="24"/>
          <w:szCs w:val="24"/>
        </w:rPr>
        <w:t xml:space="preserve"> </w:t>
      </w:r>
      <w:r w:rsidRPr="001B4670">
        <w:rPr>
          <w:rFonts w:ascii="Times New Roman" w:hAnsi="Times New Roman"/>
          <w:sz w:val="24"/>
          <w:szCs w:val="24"/>
        </w:rPr>
        <w:t>the Defendant possessed a prior written statement from Mr. Mash as well as a recording of</w:t>
      </w:r>
      <w:r>
        <w:rPr>
          <w:rFonts w:ascii="Times New Roman" w:hAnsi="Times New Roman"/>
          <w:sz w:val="24"/>
          <w:szCs w:val="24"/>
        </w:rPr>
        <w:t xml:space="preserve"> </w:t>
      </w:r>
      <w:r w:rsidRPr="001B4670">
        <w:rPr>
          <w:rFonts w:ascii="Times New Roman" w:hAnsi="Times New Roman"/>
          <w:sz w:val="24"/>
          <w:szCs w:val="24"/>
        </w:rPr>
        <w:t>his prior testimony at the preliminary hearing. The prosecutor had previously speculated</w:t>
      </w:r>
      <w:r>
        <w:rPr>
          <w:rFonts w:ascii="Times New Roman" w:hAnsi="Times New Roman"/>
          <w:sz w:val="24"/>
          <w:szCs w:val="24"/>
        </w:rPr>
        <w:t xml:space="preserve"> </w:t>
      </w:r>
      <w:r w:rsidRPr="001B4670">
        <w:rPr>
          <w:rFonts w:ascii="Times New Roman" w:hAnsi="Times New Roman"/>
          <w:sz w:val="24"/>
          <w:szCs w:val="24"/>
        </w:rPr>
        <w:t>that Mr. Mash would testify consistently with his prior statements in the case, and Mr.</w:t>
      </w:r>
      <w:r>
        <w:rPr>
          <w:rFonts w:ascii="Times New Roman" w:hAnsi="Times New Roman"/>
          <w:sz w:val="24"/>
          <w:szCs w:val="24"/>
        </w:rPr>
        <w:t xml:space="preserve"> </w:t>
      </w:r>
      <w:r w:rsidRPr="001B4670">
        <w:rPr>
          <w:rFonts w:ascii="Times New Roman" w:hAnsi="Times New Roman"/>
          <w:sz w:val="24"/>
          <w:szCs w:val="24"/>
        </w:rPr>
        <w:t>Mash explicitly stated during his cross-examination that he had so testified. While the</w:t>
      </w:r>
      <w:r>
        <w:rPr>
          <w:rFonts w:ascii="Times New Roman" w:hAnsi="Times New Roman"/>
          <w:sz w:val="24"/>
          <w:szCs w:val="24"/>
        </w:rPr>
        <w:t xml:space="preserve"> </w:t>
      </w:r>
      <w:r w:rsidRPr="001B4670">
        <w:rPr>
          <w:rFonts w:ascii="Times New Roman" w:hAnsi="Times New Roman"/>
          <w:sz w:val="24"/>
          <w:szCs w:val="24"/>
        </w:rPr>
        <w:t xml:space="preserve">attorneys in </w:t>
      </w:r>
      <w:r w:rsidRPr="00D41A7C">
        <w:rPr>
          <w:rFonts w:ascii="Times New Roman" w:hAnsi="Times New Roman"/>
          <w:i/>
          <w:iCs/>
          <w:sz w:val="24"/>
          <w:szCs w:val="24"/>
        </w:rPr>
        <w:t>Craig</w:t>
      </w:r>
      <w:r w:rsidRPr="001B4670">
        <w:rPr>
          <w:rFonts w:ascii="Times New Roman" w:hAnsi="Times New Roman"/>
          <w:sz w:val="24"/>
          <w:szCs w:val="24"/>
        </w:rPr>
        <w:t xml:space="preserve"> were in the same room as the testifying witness, id. at 841, the record</w:t>
      </w:r>
      <w:r>
        <w:rPr>
          <w:rFonts w:ascii="Times New Roman" w:hAnsi="Times New Roman"/>
          <w:sz w:val="24"/>
          <w:szCs w:val="24"/>
        </w:rPr>
        <w:t xml:space="preserve"> </w:t>
      </w:r>
      <w:r w:rsidRPr="001B4670">
        <w:rPr>
          <w:rFonts w:ascii="Times New Roman" w:hAnsi="Times New Roman"/>
          <w:sz w:val="24"/>
          <w:szCs w:val="24"/>
        </w:rPr>
        <w:t>here reflects that Mr. Mash was able to see the attorneys during questioning through use of</w:t>
      </w:r>
      <w:r>
        <w:rPr>
          <w:rFonts w:ascii="Times New Roman" w:hAnsi="Times New Roman"/>
          <w:sz w:val="24"/>
          <w:szCs w:val="24"/>
        </w:rPr>
        <w:t xml:space="preserve"> </w:t>
      </w:r>
      <w:r w:rsidRPr="001B4670">
        <w:rPr>
          <w:rFonts w:ascii="Times New Roman" w:hAnsi="Times New Roman"/>
          <w:sz w:val="24"/>
          <w:szCs w:val="24"/>
        </w:rPr>
        <w:t xml:space="preserve">the </w:t>
      </w:r>
      <w:r>
        <w:rPr>
          <w:rFonts w:ascii="Times New Roman" w:hAnsi="Times New Roman"/>
          <w:sz w:val="24"/>
          <w:szCs w:val="24"/>
        </w:rPr>
        <w:t>‘</w:t>
      </w:r>
      <w:r w:rsidRPr="001B4670">
        <w:rPr>
          <w:rFonts w:ascii="Times New Roman" w:hAnsi="Times New Roman"/>
          <w:sz w:val="24"/>
          <w:szCs w:val="24"/>
        </w:rPr>
        <w:t>Owl</w:t>
      </w:r>
      <w:r>
        <w:rPr>
          <w:rFonts w:ascii="Times New Roman" w:hAnsi="Times New Roman"/>
          <w:sz w:val="24"/>
          <w:szCs w:val="24"/>
        </w:rPr>
        <w:t>’</w:t>
      </w:r>
      <w:r w:rsidRPr="001B4670">
        <w:rPr>
          <w:rFonts w:ascii="Times New Roman" w:hAnsi="Times New Roman"/>
          <w:sz w:val="24"/>
          <w:szCs w:val="24"/>
        </w:rPr>
        <w:t xml:space="preserve"> device. Other than a </w:t>
      </w:r>
      <w:r>
        <w:rPr>
          <w:rFonts w:ascii="Times New Roman" w:hAnsi="Times New Roman"/>
          <w:sz w:val="24"/>
          <w:szCs w:val="24"/>
        </w:rPr>
        <w:t>‘</w:t>
      </w:r>
      <w:r w:rsidRPr="001B4670">
        <w:rPr>
          <w:rFonts w:ascii="Times New Roman" w:hAnsi="Times New Roman"/>
          <w:sz w:val="24"/>
          <w:szCs w:val="24"/>
        </w:rPr>
        <w:t>little delay</w:t>
      </w:r>
      <w:r>
        <w:rPr>
          <w:rFonts w:ascii="Times New Roman" w:hAnsi="Times New Roman"/>
          <w:sz w:val="24"/>
          <w:szCs w:val="24"/>
        </w:rPr>
        <w:t>’</w:t>
      </w:r>
      <w:r w:rsidRPr="001B4670">
        <w:rPr>
          <w:rFonts w:ascii="Times New Roman" w:hAnsi="Times New Roman"/>
          <w:sz w:val="24"/>
          <w:szCs w:val="24"/>
        </w:rPr>
        <w:t xml:space="preserve"> in the video transmission, it does not appear</w:t>
      </w:r>
      <w:r>
        <w:rPr>
          <w:rFonts w:ascii="Times New Roman" w:hAnsi="Times New Roman"/>
          <w:sz w:val="24"/>
          <w:szCs w:val="24"/>
        </w:rPr>
        <w:t xml:space="preserve"> </w:t>
      </w:r>
      <w:r w:rsidRPr="001B4670">
        <w:rPr>
          <w:rFonts w:ascii="Times New Roman" w:hAnsi="Times New Roman"/>
          <w:sz w:val="24"/>
          <w:szCs w:val="24"/>
        </w:rPr>
        <w:t>that defense counsel’s lack of physical presence during his questioning of Mr. Mash in any</w:t>
      </w:r>
      <w:r>
        <w:rPr>
          <w:rFonts w:ascii="Times New Roman" w:hAnsi="Times New Roman"/>
          <w:sz w:val="24"/>
          <w:szCs w:val="24"/>
        </w:rPr>
        <w:t xml:space="preserve"> </w:t>
      </w:r>
      <w:r w:rsidRPr="001B4670">
        <w:rPr>
          <w:rFonts w:ascii="Times New Roman" w:hAnsi="Times New Roman"/>
          <w:sz w:val="24"/>
          <w:szCs w:val="24"/>
        </w:rPr>
        <w:t>way hindered the effective cross-examination of the witness.</w:t>
      </w:r>
    </w:p>
    <w:p w14:paraId="5F6B5903" w14:textId="77777777" w:rsidR="0056123D" w:rsidRDefault="0056123D" w:rsidP="0056123D">
      <w:pPr>
        <w:pStyle w:val="NoSpacing"/>
        <w:ind w:left="720"/>
        <w:rPr>
          <w:rFonts w:ascii="Times New Roman" w:hAnsi="Times New Roman"/>
          <w:sz w:val="24"/>
          <w:szCs w:val="24"/>
        </w:rPr>
      </w:pPr>
    </w:p>
    <w:p w14:paraId="3442A0E2" w14:textId="77777777" w:rsidR="0056123D" w:rsidRDefault="0056123D" w:rsidP="0056123D">
      <w:pPr>
        <w:pStyle w:val="NoSpacing"/>
        <w:ind w:left="720"/>
        <w:rPr>
          <w:rFonts w:ascii="Times New Roman" w:hAnsi="Times New Roman"/>
          <w:sz w:val="24"/>
          <w:szCs w:val="24"/>
        </w:rPr>
      </w:pPr>
      <w:r>
        <w:rPr>
          <w:rFonts w:ascii="Times New Roman" w:hAnsi="Times New Roman"/>
          <w:sz w:val="24"/>
          <w:szCs w:val="24"/>
        </w:rPr>
        <w:t>***</w:t>
      </w:r>
    </w:p>
    <w:p w14:paraId="7B22BAF1" w14:textId="77777777" w:rsidR="0056123D" w:rsidRPr="001B4670" w:rsidRDefault="0056123D" w:rsidP="0056123D">
      <w:pPr>
        <w:pStyle w:val="NoSpacing"/>
        <w:ind w:left="720"/>
        <w:rPr>
          <w:rFonts w:ascii="Times New Roman" w:hAnsi="Times New Roman"/>
          <w:sz w:val="24"/>
          <w:szCs w:val="24"/>
        </w:rPr>
      </w:pPr>
      <w:r w:rsidRPr="001B4670">
        <w:rPr>
          <w:rFonts w:ascii="Times New Roman" w:hAnsi="Times New Roman"/>
          <w:sz w:val="24"/>
          <w:szCs w:val="24"/>
        </w:rPr>
        <w:t xml:space="preserve">As in </w:t>
      </w:r>
      <w:r w:rsidRPr="00D41A7C">
        <w:rPr>
          <w:rFonts w:ascii="Times New Roman" w:hAnsi="Times New Roman"/>
          <w:i/>
          <w:iCs/>
          <w:sz w:val="24"/>
          <w:szCs w:val="24"/>
        </w:rPr>
        <w:t>Craig,</w:t>
      </w:r>
      <w:r w:rsidRPr="001B4670">
        <w:rPr>
          <w:rFonts w:ascii="Times New Roman" w:hAnsi="Times New Roman"/>
          <w:sz w:val="24"/>
          <w:szCs w:val="24"/>
        </w:rPr>
        <w:t xml:space="preserve"> we conclude that the practice employed here </w:t>
      </w:r>
      <w:r>
        <w:rPr>
          <w:rFonts w:ascii="Times New Roman" w:hAnsi="Times New Roman"/>
          <w:sz w:val="24"/>
          <w:szCs w:val="24"/>
        </w:rPr>
        <w:t>‘</w:t>
      </w:r>
      <w:r w:rsidRPr="001B4670">
        <w:rPr>
          <w:rFonts w:ascii="Times New Roman" w:hAnsi="Times New Roman"/>
          <w:sz w:val="24"/>
          <w:szCs w:val="24"/>
        </w:rPr>
        <w:t>preserve[d] the essence</w:t>
      </w:r>
    </w:p>
    <w:p w14:paraId="7E6A9C45" w14:textId="77777777" w:rsidR="0056123D" w:rsidRPr="001B4670" w:rsidRDefault="0056123D" w:rsidP="0056123D">
      <w:pPr>
        <w:pStyle w:val="NoSpacing"/>
        <w:ind w:left="720"/>
        <w:rPr>
          <w:rFonts w:ascii="Times New Roman" w:hAnsi="Times New Roman"/>
          <w:sz w:val="24"/>
          <w:szCs w:val="24"/>
        </w:rPr>
      </w:pPr>
      <w:r w:rsidRPr="001B4670">
        <w:rPr>
          <w:rFonts w:ascii="Times New Roman" w:hAnsi="Times New Roman"/>
          <w:sz w:val="24"/>
          <w:szCs w:val="24"/>
        </w:rPr>
        <w:t>of effective confrontation[,]</w:t>
      </w:r>
      <w:r>
        <w:rPr>
          <w:rFonts w:ascii="Times New Roman" w:hAnsi="Times New Roman"/>
          <w:sz w:val="24"/>
          <w:szCs w:val="24"/>
        </w:rPr>
        <w:t xml:space="preserve">’ </w:t>
      </w:r>
      <w:r w:rsidRPr="001B4670">
        <w:rPr>
          <w:rFonts w:ascii="Times New Roman" w:hAnsi="Times New Roman"/>
          <w:sz w:val="24"/>
          <w:szCs w:val="24"/>
        </w:rPr>
        <w:t>id. at 857, and thus ensured the reliability of Mr. Mash’s</w:t>
      </w:r>
    </w:p>
    <w:p w14:paraId="5AF9F27C" w14:textId="77777777" w:rsidR="0056123D" w:rsidRPr="001B4670" w:rsidRDefault="0056123D" w:rsidP="0056123D">
      <w:pPr>
        <w:pStyle w:val="NoSpacing"/>
        <w:ind w:left="720"/>
        <w:rPr>
          <w:rFonts w:ascii="Times New Roman" w:hAnsi="Times New Roman"/>
          <w:sz w:val="24"/>
          <w:szCs w:val="24"/>
        </w:rPr>
      </w:pPr>
      <w:r w:rsidRPr="001B4670">
        <w:rPr>
          <w:rFonts w:ascii="Times New Roman" w:hAnsi="Times New Roman"/>
          <w:sz w:val="24"/>
          <w:szCs w:val="24"/>
        </w:rPr>
        <w:t xml:space="preserve">testimony. Both prongs of Craig </w:t>
      </w:r>
      <w:proofErr w:type="gramStart"/>
      <w:r w:rsidRPr="001B4670">
        <w:rPr>
          <w:rFonts w:ascii="Times New Roman" w:hAnsi="Times New Roman"/>
          <w:sz w:val="24"/>
          <w:szCs w:val="24"/>
        </w:rPr>
        <w:t>having</w:t>
      </w:r>
      <w:proofErr w:type="gramEnd"/>
      <w:r w:rsidRPr="001B4670">
        <w:rPr>
          <w:rFonts w:ascii="Times New Roman" w:hAnsi="Times New Roman"/>
          <w:sz w:val="24"/>
          <w:szCs w:val="24"/>
        </w:rPr>
        <w:t xml:space="preserve"> been satisfied, the Defendant is not entitled to</w:t>
      </w:r>
    </w:p>
    <w:p w14:paraId="61CFC16E" w14:textId="718D28F6" w:rsidR="0056123D" w:rsidRDefault="0056123D" w:rsidP="0056123D">
      <w:pPr>
        <w:pStyle w:val="NoSpacing"/>
        <w:ind w:left="720"/>
        <w:rPr>
          <w:rFonts w:ascii="Arial Black" w:hAnsi="Arial Black"/>
          <w:sz w:val="24"/>
          <w:szCs w:val="24"/>
        </w:rPr>
      </w:pPr>
      <w:r w:rsidRPr="001B4670">
        <w:rPr>
          <w:rFonts w:ascii="Times New Roman" w:hAnsi="Times New Roman"/>
          <w:sz w:val="24"/>
          <w:szCs w:val="24"/>
        </w:rPr>
        <w:t>relief pursuant to the Sixth Amendment.</w:t>
      </w:r>
      <w:r>
        <w:rPr>
          <w:rFonts w:ascii="Times New Roman" w:hAnsi="Times New Roman"/>
          <w:sz w:val="24"/>
          <w:szCs w:val="24"/>
        </w:rPr>
        <w:t xml:space="preserve">” </w:t>
      </w:r>
      <w:hyperlink r:id="rId169" w:history="1">
        <w:r w:rsidRPr="00FF56A3">
          <w:rPr>
            <w:rStyle w:val="Hyperlink"/>
            <w:rFonts w:ascii="Times New Roman" w:hAnsi="Times New Roman"/>
            <w:sz w:val="24"/>
            <w:szCs w:val="24"/>
          </w:rPr>
          <w:t>https://cases.justia.com/tennessee/court-of-criminal-appeals/2023-m2022-00949-cca-r3-cd.pdf?ts=1695676978</w:t>
        </w:r>
      </w:hyperlink>
    </w:p>
    <w:p w14:paraId="36E967D4" w14:textId="77777777" w:rsidR="0056123D" w:rsidRDefault="0056123D" w:rsidP="00F326E5">
      <w:pPr>
        <w:pStyle w:val="NoSpacing"/>
        <w:rPr>
          <w:rFonts w:ascii="Arial Black" w:hAnsi="Arial Black"/>
          <w:sz w:val="24"/>
          <w:szCs w:val="24"/>
        </w:rPr>
      </w:pPr>
    </w:p>
    <w:p w14:paraId="734B5399" w14:textId="77777777" w:rsidR="0056123D" w:rsidRPr="00E460C5" w:rsidRDefault="0056123D" w:rsidP="0056123D">
      <w:pPr>
        <w:pStyle w:val="NoSpacing"/>
        <w:rPr>
          <w:rFonts w:ascii="Times New Roman" w:hAnsi="Times New Roman"/>
          <w:b/>
          <w:bCs/>
          <w:sz w:val="24"/>
          <w:szCs w:val="24"/>
        </w:rPr>
      </w:pPr>
      <w:r w:rsidRPr="00E460C5">
        <w:rPr>
          <w:rFonts w:ascii="Times New Roman" w:hAnsi="Times New Roman"/>
          <w:b/>
          <w:bCs/>
          <w:sz w:val="24"/>
          <w:szCs w:val="24"/>
        </w:rPr>
        <w:t xml:space="preserve">Legal Lesson Learned: The Confrontation Clause of the Sixth Amendment provides that </w:t>
      </w:r>
    </w:p>
    <w:p w14:paraId="2BD312B0" w14:textId="77777777" w:rsidR="0056123D" w:rsidRDefault="0056123D" w:rsidP="0056123D">
      <w:pPr>
        <w:pStyle w:val="NoSpacing"/>
        <w:rPr>
          <w:rFonts w:ascii="Times New Roman" w:hAnsi="Times New Roman"/>
          <w:b/>
          <w:bCs/>
          <w:sz w:val="24"/>
          <w:szCs w:val="24"/>
        </w:rPr>
      </w:pPr>
      <w:r w:rsidRPr="00E460C5">
        <w:rPr>
          <w:rFonts w:ascii="Times New Roman" w:hAnsi="Times New Roman"/>
          <w:b/>
          <w:bCs/>
          <w:sz w:val="24"/>
          <w:szCs w:val="24"/>
        </w:rPr>
        <w:t xml:space="preserve"> “[</w:t>
      </w:r>
      <w:proofErr w:type="spellStart"/>
      <w:r w:rsidRPr="00E460C5">
        <w:rPr>
          <w:rFonts w:ascii="Times New Roman" w:hAnsi="Times New Roman"/>
          <w:b/>
          <w:bCs/>
          <w:sz w:val="24"/>
          <w:szCs w:val="24"/>
        </w:rPr>
        <w:t>i</w:t>
      </w:r>
      <w:proofErr w:type="spellEnd"/>
      <w:r w:rsidRPr="00E460C5">
        <w:rPr>
          <w:rFonts w:ascii="Times New Roman" w:hAnsi="Times New Roman"/>
          <w:b/>
          <w:bCs/>
          <w:sz w:val="24"/>
          <w:szCs w:val="24"/>
        </w:rPr>
        <w:t>]n all criminal prosecutions, the accused shall enjoy the right . . . to be confronted with the witnesses against him.”</w:t>
      </w:r>
      <w:r>
        <w:rPr>
          <w:rFonts w:ascii="Times New Roman" w:hAnsi="Times New Roman"/>
          <w:b/>
          <w:bCs/>
          <w:sz w:val="24"/>
          <w:szCs w:val="24"/>
        </w:rPr>
        <w:t xml:space="preserve"> That confrontation can be by ZOOM if witness is ill and contagious. </w:t>
      </w:r>
    </w:p>
    <w:p w14:paraId="5B80B863" w14:textId="77777777" w:rsidR="0056123D" w:rsidRDefault="0056123D" w:rsidP="0056123D">
      <w:pPr>
        <w:pStyle w:val="NoSpacing"/>
        <w:rPr>
          <w:rFonts w:ascii="Times New Roman" w:hAnsi="Times New Roman"/>
          <w:b/>
          <w:bCs/>
          <w:sz w:val="24"/>
          <w:szCs w:val="24"/>
        </w:rPr>
      </w:pPr>
    </w:p>
    <w:p w14:paraId="0C9FEE6A" w14:textId="77777777" w:rsidR="0056123D" w:rsidRDefault="0056123D" w:rsidP="00F326E5">
      <w:pPr>
        <w:pStyle w:val="NoSpacing"/>
        <w:rPr>
          <w:rFonts w:ascii="Arial Black" w:hAnsi="Arial Black"/>
          <w:sz w:val="24"/>
          <w:szCs w:val="24"/>
        </w:rPr>
      </w:pPr>
    </w:p>
    <w:p w14:paraId="3F54073B" w14:textId="77777777" w:rsidR="0056123D" w:rsidRDefault="0056123D" w:rsidP="00F326E5">
      <w:pPr>
        <w:pStyle w:val="NoSpacing"/>
        <w:rPr>
          <w:rFonts w:ascii="Arial Black" w:hAnsi="Arial Black"/>
          <w:sz w:val="24"/>
          <w:szCs w:val="24"/>
        </w:rPr>
      </w:pPr>
    </w:p>
    <w:p w14:paraId="7A3C385D" w14:textId="6E8A00F7" w:rsidR="0056123D" w:rsidRDefault="0056123D" w:rsidP="00F326E5">
      <w:pPr>
        <w:pStyle w:val="NoSpacing"/>
        <w:rPr>
          <w:rFonts w:ascii="Arial Black" w:hAnsi="Arial Black"/>
          <w:sz w:val="24"/>
          <w:szCs w:val="24"/>
        </w:rPr>
      </w:pPr>
      <w:r>
        <w:rPr>
          <w:rFonts w:ascii="Arial Black" w:hAnsi="Arial Black"/>
          <w:sz w:val="24"/>
          <w:szCs w:val="24"/>
        </w:rPr>
        <w:t>1-134</w:t>
      </w:r>
    </w:p>
    <w:p w14:paraId="0976A72C" w14:textId="77777777" w:rsidR="0056123D" w:rsidRDefault="0056123D" w:rsidP="00F326E5">
      <w:pPr>
        <w:pStyle w:val="NoSpacing"/>
        <w:rPr>
          <w:rFonts w:ascii="Arial Black" w:hAnsi="Arial Black"/>
          <w:sz w:val="24"/>
          <w:szCs w:val="24"/>
        </w:rPr>
      </w:pPr>
    </w:p>
    <w:p w14:paraId="33DBBF3D" w14:textId="77777777" w:rsidR="0056123D" w:rsidRDefault="0056123D" w:rsidP="0056123D">
      <w:pPr>
        <w:rPr>
          <w:rFonts w:ascii="Arial Black" w:hAnsi="Arial Black"/>
          <w:sz w:val="28"/>
          <w:szCs w:val="28"/>
        </w:rPr>
      </w:pPr>
      <w:r>
        <w:rPr>
          <w:rFonts w:ascii="Arial Black" w:hAnsi="Arial Black"/>
          <w:sz w:val="28"/>
          <w:szCs w:val="28"/>
        </w:rPr>
        <w:t xml:space="preserve">CA: HIKER - YOSEMITE PARK – GOV’T SHUTDOWN, PARK OPEN - DIED ICY RIVER – RECREATIONAL &amp; FED. IMMUNITY </w:t>
      </w:r>
    </w:p>
    <w:p w14:paraId="10444A4D" w14:textId="77777777" w:rsidR="0056123D" w:rsidRDefault="0056123D" w:rsidP="0056123D">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On Sept. 22, 2023, in </w:t>
      </w:r>
      <w:r w:rsidRPr="0097540D">
        <w:rPr>
          <w:rFonts w:ascii="Times New Roman" w:hAnsi="Times New Roman"/>
          <w:sz w:val="24"/>
          <w:szCs w:val="24"/>
          <w:u w:val="single"/>
        </w:rPr>
        <w:t>Deborah Nickles v. United States of America</w:t>
      </w:r>
      <w:r>
        <w:rPr>
          <w:rFonts w:ascii="Times New Roman" w:hAnsi="Times New Roman"/>
          <w:sz w:val="24"/>
          <w:szCs w:val="24"/>
        </w:rPr>
        <w:t>, U.S. Magistrate Judge, U.S. District Court for Eastern District of California, issued a Report and Recommendation, recommending a U.S. District Court judge dismiss this lawsuit based on the California recreational immunity statute (statute written to encourage landowners to allow others to hike and other recreation on their property) and federal immunity for discretionary executive decisions (such as keeping Park open during funding shutdown).  During a government-wide shut down over Congressional funding dispute, on Christmas Day, Dec. 25, 2018, Joshua Conner and girlfriend walking dogs in Yosemite even though no dogs allowed; about 2:30 pm, he attempted to retrieve a dog, hit his head he fell into Merced River.  Search and rescue team was immediately dispatched, arrived on foot at 3:25 pm but could not revive him.  The plaintiff alleges that federal government is liable for Conner’s death because they failed to close the National Park.</w:t>
      </w:r>
    </w:p>
    <w:p w14:paraId="26E315DC" w14:textId="77777777" w:rsidR="0056123D" w:rsidRPr="0097540D" w:rsidRDefault="0056123D" w:rsidP="0056123D">
      <w:pPr>
        <w:spacing w:before="100" w:beforeAutospacing="1" w:after="100" w:afterAutospacing="1" w:line="240" w:lineRule="auto"/>
        <w:ind w:left="720" w:firstLine="60"/>
        <w:rPr>
          <w:rFonts w:ascii="Times New Roman" w:eastAsia="Times New Roman" w:hAnsi="Times New Roman"/>
          <w:sz w:val="24"/>
          <w:szCs w:val="24"/>
        </w:rPr>
      </w:pPr>
      <w:r>
        <w:rPr>
          <w:rFonts w:ascii="Times New Roman" w:hAnsi="Times New Roman"/>
          <w:sz w:val="24"/>
          <w:szCs w:val="24"/>
        </w:rPr>
        <w:t>“</w:t>
      </w:r>
      <w:r w:rsidRPr="00B361B9">
        <w:rPr>
          <w:rFonts w:ascii="Times New Roman" w:eastAsia="Times New Roman" w:hAnsi="Times New Roman"/>
          <w:sz w:val="24"/>
          <w:szCs w:val="24"/>
        </w:rPr>
        <w:t xml:space="preserve">The Court finds Defendant has sufficiently demonstrated that NPS </w:t>
      </w:r>
      <w:r>
        <w:rPr>
          <w:rFonts w:ascii="Times New Roman" w:eastAsia="Times New Roman" w:hAnsi="Times New Roman"/>
          <w:sz w:val="24"/>
          <w:szCs w:val="24"/>
        </w:rPr>
        <w:t xml:space="preserve">[National Park Service] </w:t>
      </w:r>
      <w:r w:rsidRPr="00B361B9">
        <w:rPr>
          <w:rFonts w:ascii="Times New Roman" w:eastAsia="Times New Roman" w:hAnsi="Times New Roman"/>
          <w:sz w:val="24"/>
          <w:szCs w:val="24"/>
        </w:rPr>
        <w:t>responded quickly and appropriately to Conner's emergency, sending medically trained law enforcement rangers to help him, and that the first responder team dispatched within minutes of receiving the 9-1-1 call</w:t>
      </w:r>
      <w:r>
        <w:rPr>
          <w:rFonts w:ascii="Times New Roman" w:eastAsia="Times New Roman" w:hAnsi="Times New Roman"/>
          <w:sz w:val="24"/>
          <w:szCs w:val="24"/>
        </w:rPr>
        <w:t xml:space="preserve">…. </w:t>
      </w:r>
      <w:r w:rsidRPr="00B361B9">
        <w:rPr>
          <w:rFonts w:ascii="Times New Roman" w:eastAsia="Times New Roman" w:hAnsi="Times New Roman"/>
          <w:sz w:val="24"/>
          <w:szCs w:val="24"/>
        </w:rPr>
        <w:t xml:space="preserve">Rangers hiked to Conner's location to render aid, working to resuscitate him. While Plaintiff alleges that Conner was deprived of the opportunity to be evacuated by the NPS </w:t>
      </w:r>
      <w:r>
        <w:rPr>
          <w:rFonts w:ascii="Times New Roman" w:eastAsia="Times New Roman" w:hAnsi="Times New Roman"/>
          <w:sz w:val="24"/>
          <w:szCs w:val="24"/>
        </w:rPr>
        <w:t>‘</w:t>
      </w:r>
      <w:r w:rsidRPr="00B361B9">
        <w:rPr>
          <w:rFonts w:ascii="Times New Roman" w:eastAsia="Times New Roman" w:hAnsi="Times New Roman"/>
          <w:sz w:val="24"/>
          <w:szCs w:val="24"/>
        </w:rPr>
        <w:t>exclusive use helicopter,</w:t>
      </w:r>
      <w:r>
        <w:rPr>
          <w:rFonts w:ascii="Times New Roman" w:eastAsia="Times New Roman" w:hAnsi="Times New Roman"/>
          <w:sz w:val="24"/>
          <w:szCs w:val="24"/>
        </w:rPr>
        <w:t>’</w:t>
      </w:r>
      <w:r w:rsidRPr="00B361B9">
        <w:rPr>
          <w:rFonts w:ascii="Times New Roman" w:eastAsia="Times New Roman" w:hAnsi="Times New Roman"/>
          <w:sz w:val="24"/>
          <w:szCs w:val="24"/>
        </w:rPr>
        <w:t xml:space="preserve"> Defendant has established such service does not operate in December, regardless of whether a federal shutdown occurs</w:t>
      </w:r>
      <w:r>
        <w:rPr>
          <w:rFonts w:ascii="Times New Roman" w:eastAsia="Times New Roman" w:hAnsi="Times New Roman"/>
          <w:sz w:val="24"/>
          <w:szCs w:val="24"/>
        </w:rPr>
        <w:t xml:space="preserve">. *** </w:t>
      </w:r>
      <w:r w:rsidRPr="0097540D">
        <w:rPr>
          <w:rFonts w:ascii="Times New Roman" w:hAnsi="Times New Roman"/>
          <w:sz w:val="24"/>
          <w:szCs w:val="24"/>
        </w:rPr>
        <w:t xml:space="preserve">Based on the above discussion pertaining to the FTCA and California's recreational immunity statute as applied to the facts here, the Court recommends the Defendant's Rule </w:t>
      </w:r>
      <w:r w:rsidRPr="0097540D">
        <w:rPr>
          <w:rFonts w:ascii="Times New Roman" w:hAnsi="Times New Roman"/>
          <w:sz w:val="24"/>
          <w:szCs w:val="24"/>
        </w:rPr>
        <w:lastRenderedPageBreak/>
        <w:t>12(b)(1) motion to dismiss for lack of jurisdiction be granted.</w:t>
      </w:r>
      <w:r>
        <w:rPr>
          <w:rFonts w:ascii="Times New Roman" w:hAnsi="Times New Roman"/>
          <w:sz w:val="24"/>
          <w:szCs w:val="24"/>
        </w:rPr>
        <w:t xml:space="preserve">” </w:t>
      </w:r>
      <w:hyperlink r:id="rId170" w:history="1">
        <w:r w:rsidRPr="00916560">
          <w:rPr>
            <w:rStyle w:val="Hyperlink"/>
            <w:rFonts w:ascii="Times New Roman" w:hAnsi="Times New Roman"/>
            <w:sz w:val="24"/>
            <w:szCs w:val="24"/>
          </w:rPr>
          <w:t>https://public.fastcase.com/ZZhmr5v9wN%2FXOe5IsQ%2FqDx2aoAq%2F1J3XMBw8WA8L1d7o8S2WtY%2BTDnBn3n2%2F0y8X6CyWkgilV2OmVPwbi%2FNntkvFVphnueZifNbADUBhdiU%3D?utm_medium=email&amp;_hsmi=226712652&amp;_hsenc=p2ANqtz--A7cSCsQiKnmkWIbrJV3BH1NDDsIsoOUsxX371tCp7kUULX-TDL4poIpgmi8VFxIZ6Go7w0Api1t7_UP6pxMUzbV5FWQ&amp;utm_content=226712652&amp;utm_source=hs_email</w:t>
        </w:r>
      </w:hyperlink>
      <w:r>
        <w:rPr>
          <w:rFonts w:ascii="Times New Roman" w:hAnsi="Times New Roman"/>
          <w:sz w:val="24"/>
          <w:szCs w:val="24"/>
        </w:rPr>
        <w:t xml:space="preserve"> </w:t>
      </w:r>
    </w:p>
    <w:p w14:paraId="0F949FB1" w14:textId="77777777" w:rsidR="0056123D" w:rsidRPr="000A2984" w:rsidRDefault="0056123D" w:rsidP="0056123D">
      <w:pPr>
        <w:pStyle w:val="NormalWeb"/>
        <w:rPr>
          <w:b/>
          <w:bCs/>
        </w:rPr>
      </w:pPr>
      <w:r w:rsidRPr="000A2984">
        <w:rPr>
          <w:rFonts w:eastAsiaTheme="minorHAnsi"/>
          <w:b/>
          <w:bCs/>
          <w:kern w:val="2"/>
          <w14:ligatures w14:val="standardContextual"/>
        </w:rPr>
        <w:t xml:space="preserve">Legal Lasson Learned: </w:t>
      </w:r>
      <w:r>
        <w:rPr>
          <w:rFonts w:eastAsiaTheme="minorHAnsi"/>
          <w:b/>
          <w:bCs/>
          <w:kern w:val="2"/>
          <w14:ligatures w14:val="standardContextual"/>
        </w:rPr>
        <w:t xml:space="preserve"> The California recreational immunity statute was enacted to encourage property owners to engage in hiking and other recreational activities. </w:t>
      </w:r>
    </w:p>
    <w:p w14:paraId="53BEF6C8" w14:textId="77777777" w:rsidR="0056123D" w:rsidRDefault="0056123D" w:rsidP="0056123D">
      <w:pPr>
        <w:pStyle w:val="NormalWeb"/>
        <w:ind w:left="720"/>
      </w:pPr>
      <w:r>
        <w:t xml:space="preserve">Note: The California statute provides that: “An owner of any estate or any other interest in real property, whether possessory or nonpossessory, owes no duty of care to keep the premises safe for entry or use by others for any recreational purpose or to give any warning of hazardous conditions, uses of, structures, or activities on those premises to persons entering for a recreational purpose, except as provided in this section.” Cal. Civ. Code § 846(a). California's recreational immunity statute “was enacted to encourage property owners to allow the general public to engage in recreational activities free of charge on privately owned property.” Hubbard v. Brown, 50 Cal.3d 189, 193 (1990) (citations omitted). </w:t>
      </w:r>
    </w:p>
    <w:p w14:paraId="79988309" w14:textId="77777777" w:rsidR="0056123D" w:rsidRDefault="0056123D" w:rsidP="00F326E5">
      <w:pPr>
        <w:pStyle w:val="NoSpacing"/>
        <w:rPr>
          <w:rFonts w:ascii="Arial Black" w:hAnsi="Arial Black"/>
          <w:sz w:val="24"/>
          <w:szCs w:val="24"/>
        </w:rPr>
      </w:pPr>
    </w:p>
    <w:p w14:paraId="6FEA70B3" w14:textId="028313BA" w:rsidR="0056123D" w:rsidRDefault="0056123D" w:rsidP="00F326E5">
      <w:pPr>
        <w:pStyle w:val="NoSpacing"/>
        <w:rPr>
          <w:rFonts w:ascii="Arial Black" w:hAnsi="Arial Black"/>
          <w:sz w:val="24"/>
          <w:szCs w:val="24"/>
        </w:rPr>
      </w:pPr>
      <w:r>
        <w:rPr>
          <w:rFonts w:ascii="Arial Black" w:hAnsi="Arial Black"/>
          <w:sz w:val="24"/>
          <w:szCs w:val="24"/>
        </w:rPr>
        <w:t>1-133</w:t>
      </w:r>
    </w:p>
    <w:p w14:paraId="2EE37A52" w14:textId="77777777" w:rsidR="0056123D" w:rsidRDefault="0056123D" w:rsidP="0056123D">
      <w:pPr>
        <w:pStyle w:val="NormalWeb"/>
        <w:rPr>
          <w:b/>
          <w:bCs/>
        </w:rPr>
      </w:pPr>
      <w:r>
        <w:rPr>
          <w:rFonts w:ascii="Arial Black" w:hAnsi="Arial Black"/>
          <w:b/>
          <w:bCs/>
          <w:sz w:val="28"/>
          <w:szCs w:val="28"/>
        </w:rPr>
        <w:t>CA: ARSON – BURNED DRY GRASS IN FIELD IN 2021 – JURY PROPERLY INFORMED 2014 INCIDENT PRIOR GRASS FIRE</w:t>
      </w:r>
    </w:p>
    <w:p w14:paraId="67D8630B" w14:textId="77777777" w:rsidR="0056123D" w:rsidRPr="006F2A68" w:rsidRDefault="0056123D" w:rsidP="0056123D">
      <w:pPr>
        <w:pStyle w:val="NormalWeb"/>
      </w:pPr>
      <w:r w:rsidRPr="006F2A68">
        <w:t xml:space="preserve">On Sept. 20, 2023, </w:t>
      </w:r>
      <w:r>
        <w:t xml:space="preserve">in </w:t>
      </w:r>
      <w:r w:rsidRPr="006F2A68">
        <w:rPr>
          <w:u w:val="single"/>
        </w:rPr>
        <w:t>The People v. Alejandro Marin</w:t>
      </w:r>
      <w:r>
        <w:t xml:space="preserve">, </w:t>
      </w:r>
      <w:r w:rsidRPr="006F2A68">
        <w:rPr>
          <w:b/>
          <w:bCs/>
        </w:rPr>
        <w:t xml:space="preserve"> </w:t>
      </w:r>
      <w:r w:rsidRPr="006F2A68">
        <w:t xml:space="preserve">the California Court of Appeals, First District, Fifth Division, </w:t>
      </w:r>
      <w:r>
        <w:t>held (3 to 0; unpublished decision) that defendant’s conviction of arson for lighting dry grass near a river trail in Napa was affirmed;  trial court properly allowed jury to learn of the prior incident [not charged] in 2014 where he lit a fire near base of tree and planned to sleep there.</w:t>
      </w:r>
    </w:p>
    <w:p w14:paraId="735C933B" w14:textId="77777777" w:rsidR="0056123D" w:rsidRDefault="0056123D" w:rsidP="0056123D">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“A</w:t>
      </w:r>
      <w:r w:rsidRPr="006F2A68">
        <w:rPr>
          <w:rFonts w:ascii="Times New Roman" w:eastAsia="Times New Roman" w:hAnsi="Times New Roman"/>
          <w:sz w:val="24"/>
          <w:szCs w:val="24"/>
        </w:rPr>
        <w:t xml:space="preserve">ppellant argues the 2014 incident had minimal probative value and was highly prejudicial. We find no abuse of discretion. First, the 2014 incident was probative of appellant's awareness of the substantial risk of causing a fire in a dry, grassy area, as relevant to the lesser included offense. The incident was also probative of whether appellant would be likely to be careless with a lit object such as a cigarette in a dry, grassy area, or whether any fire started by him was likely to be intentional. Appellant argues the 2014 incident was too dissimilar from the charged offense to be probative because he set the fire in 2014 to stay warm while he slept, while the charged event took place on a mild morning. </w:t>
      </w:r>
      <w:r>
        <w:rPr>
          <w:rFonts w:ascii="Times New Roman" w:eastAsia="Times New Roman" w:hAnsi="Times New Roman"/>
          <w:sz w:val="24"/>
          <w:szCs w:val="24"/>
        </w:rPr>
        <w:t>‘</w:t>
      </w:r>
      <w:r w:rsidRPr="006F2A68">
        <w:rPr>
          <w:rFonts w:ascii="Times New Roman" w:eastAsia="Times New Roman" w:hAnsi="Times New Roman"/>
          <w:sz w:val="24"/>
          <w:szCs w:val="24"/>
        </w:rPr>
        <w:t>In order to be relevant, the 'least degree of similarity (between the uncharged act and the charged offense) is required in order to prove intent.</w:t>
      </w:r>
      <w:r>
        <w:rPr>
          <w:rFonts w:ascii="Times New Roman" w:eastAsia="Times New Roman" w:hAnsi="Times New Roman"/>
          <w:sz w:val="24"/>
          <w:szCs w:val="24"/>
        </w:rPr>
        <w:t>’</w:t>
      </w:r>
      <w:r w:rsidRPr="006F2A68">
        <w:rPr>
          <w:rFonts w:ascii="Times New Roman" w:eastAsia="Times New Roman" w:hAnsi="Times New Roman"/>
          <w:sz w:val="24"/>
          <w:szCs w:val="24"/>
        </w:rPr>
        <w:t xml:space="preserve"> (</w:t>
      </w:r>
      <w:r w:rsidRPr="006F2A68">
        <w:rPr>
          <w:rFonts w:ascii="Times New Roman" w:eastAsia="Times New Roman" w:hAnsi="Times New Roman"/>
          <w:i/>
          <w:iCs/>
          <w:sz w:val="24"/>
          <w:szCs w:val="24"/>
        </w:rPr>
        <w:t>People v. Molano</w:t>
      </w:r>
      <w:r w:rsidRPr="006F2A68">
        <w:rPr>
          <w:rFonts w:ascii="Times New Roman" w:eastAsia="Times New Roman" w:hAnsi="Times New Roman"/>
          <w:sz w:val="24"/>
          <w:szCs w:val="24"/>
        </w:rPr>
        <w:t xml:space="preserve"> (2019) 7 Cal.5th 620, 665.) In both incidents, appellant started a fire in a dry, grassy area; this similarity is sufficient for purposes of intent. Appellant also contends the evidence was cumulative because it is common knowledge that lighting things on fire leads to fire. Given that appellant claimed he threw a lit cigarette in dry grass, evidence that appellant was aware of the dangers of lit objects near dry grass was relevant.</w:t>
      </w:r>
      <w:r>
        <w:rPr>
          <w:rFonts w:ascii="Times New Roman" w:eastAsia="Times New Roman" w:hAnsi="Times New Roman"/>
          <w:sz w:val="24"/>
          <w:szCs w:val="24"/>
        </w:rPr>
        <w:t xml:space="preserve">” </w:t>
      </w:r>
      <w:hyperlink r:id="rId171" w:history="1">
        <w:r w:rsidRPr="00633022">
          <w:rPr>
            <w:rStyle w:val="Hyperlink"/>
            <w:rFonts w:ascii="Times New Roman" w:eastAsia="Times New Roman" w:hAnsi="Times New Roman"/>
            <w:sz w:val="24"/>
            <w:szCs w:val="24"/>
          </w:rPr>
          <w:t>https://public.fastcase.com/ZZhmr5v9wN%2FXOe5IsQ%2FqD2fzv3LeHoflue5q9psYL7ORT%2BZZIoU2RVo8o6kc8WH7t7R2fWOBL%2B6EWJeWP%2BK6nygdTJbos59lEHeljv9w%2F%2Bc%3D?utm_medium=email&amp;_hsmi=226712652&amp;_hsenc=p2ANqtz-9_BwSf3Cp56T9vKm_WV06wXpWhxnLFIP0rTKtRtiI7Ej-XlIsGIA-Piz3XwrAq08q95_o9LD6MRwwtLQfaW73VBnYSKQ&amp;utm_content=226712652&amp;utm_source=hs_email</w:t>
        </w:r>
      </w:hyperlink>
      <w:r>
        <w:rPr>
          <w:rFonts w:ascii="Times New Roman" w:eastAsia="Times New Roman" w:hAnsi="Times New Roman"/>
          <w:sz w:val="24"/>
          <w:szCs w:val="24"/>
        </w:rPr>
        <w:t xml:space="preserve"> </w:t>
      </w:r>
    </w:p>
    <w:p w14:paraId="3FAA3B60" w14:textId="77777777" w:rsidR="0056123D" w:rsidRPr="00844AE1" w:rsidRDefault="0056123D" w:rsidP="0056123D">
      <w:pPr>
        <w:pStyle w:val="NormalWeb"/>
        <w:rPr>
          <w:b/>
          <w:bCs/>
        </w:rPr>
      </w:pPr>
      <w:r w:rsidRPr="00844AE1">
        <w:rPr>
          <w:b/>
          <w:bCs/>
        </w:rPr>
        <w:lastRenderedPageBreak/>
        <w:t xml:space="preserve">Legal Lesson Learned: </w:t>
      </w:r>
      <w:r>
        <w:rPr>
          <w:b/>
          <w:bCs/>
        </w:rPr>
        <w:t xml:space="preserve">Prior incident of starting fire in forest area showed he again acted willfully and recklessly. </w:t>
      </w:r>
    </w:p>
    <w:p w14:paraId="1A031D67" w14:textId="77777777" w:rsidR="0056123D" w:rsidRDefault="0056123D" w:rsidP="00F326E5">
      <w:pPr>
        <w:pStyle w:val="NoSpacing"/>
        <w:rPr>
          <w:rFonts w:ascii="Arial Black" w:hAnsi="Arial Black"/>
          <w:sz w:val="24"/>
          <w:szCs w:val="24"/>
        </w:rPr>
      </w:pPr>
    </w:p>
    <w:p w14:paraId="1277DD22" w14:textId="77777777" w:rsidR="0056123D" w:rsidRDefault="0056123D" w:rsidP="00F326E5">
      <w:pPr>
        <w:pStyle w:val="NoSpacing"/>
        <w:rPr>
          <w:rFonts w:ascii="Arial Black" w:hAnsi="Arial Black"/>
          <w:sz w:val="24"/>
          <w:szCs w:val="24"/>
        </w:rPr>
      </w:pPr>
    </w:p>
    <w:p w14:paraId="5FB118E9" w14:textId="77777777" w:rsidR="0056123D" w:rsidRDefault="0056123D" w:rsidP="00F326E5">
      <w:pPr>
        <w:pStyle w:val="NoSpacing"/>
        <w:rPr>
          <w:rFonts w:ascii="Arial Black" w:hAnsi="Arial Black"/>
          <w:sz w:val="24"/>
          <w:szCs w:val="24"/>
        </w:rPr>
      </w:pPr>
    </w:p>
    <w:p w14:paraId="5110CEAF" w14:textId="33410031" w:rsidR="009B0593" w:rsidRDefault="009B0593" w:rsidP="00F326E5">
      <w:pPr>
        <w:pStyle w:val="NoSpacing"/>
        <w:rPr>
          <w:rFonts w:ascii="Arial Black" w:hAnsi="Arial Black"/>
          <w:sz w:val="24"/>
          <w:szCs w:val="24"/>
        </w:rPr>
      </w:pPr>
      <w:r>
        <w:rPr>
          <w:rFonts w:ascii="Arial Black" w:hAnsi="Arial Black"/>
          <w:sz w:val="24"/>
          <w:szCs w:val="24"/>
        </w:rPr>
        <w:t>1-132</w:t>
      </w:r>
    </w:p>
    <w:p w14:paraId="67044F15" w14:textId="77777777" w:rsidR="009B0593" w:rsidRPr="002D0A5E" w:rsidRDefault="009B0593" w:rsidP="009B0593">
      <w:pPr>
        <w:pStyle w:val="NormalWeb"/>
        <w:rPr>
          <w:rFonts w:ascii="Arial Black" w:hAnsi="Arial Black"/>
          <w:b/>
          <w:bCs/>
          <w:sz w:val="28"/>
          <w:szCs w:val="28"/>
        </w:rPr>
      </w:pPr>
      <w:r>
        <w:rPr>
          <w:rFonts w:ascii="Arial Black" w:hAnsi="Arial Black"/>
          <w:b/>
          <w:bCs/>
          <w:sz w:val="28"/>
          <w:szCs w:val="28"/>
        </w:rPr>
        <w:t>AR: HOMELESS MAN CONV. – CAMPFIRE BURNED HALF ACRE - RANGER TESTIFY ORIGIN &amp; CAUSE - LAY WITNESS</w:t>
      </w:r>
    </w:p>
    <w:p w14:paraId="2B5ACA72" w14:textId="77777777" w:rsidR="009B0593" w:rsidRPr="00FB2002" w:rsidRDefault="009B0593" w:rsidP="009B0593">
      <w:pPr>
        <w:pStyle w:val="NormalWeb"/>
      </w:pPr>
      <w:r w:rsidRPr="00FB2002">
        <w:t xml:space="preserve">On Aug. 21, 2023, in </w:t>
      </w:r>
      <w:r w:rsidRPr="00FB2002">
        <w:rPr>
          <w:u w:val="single"/>
        </w:rPr>
        <w:t>United States of America v. Joseph Ronnie Weathington</w:t>
      </w:r>
      <w:r w:rsidRPr="00FB2002">
        <w:t>, Unites States District Court for District of Arizona, U.S. Magistrate Judge Camille D. Bibles, after a two-day bench trial [no jury] found the defendant guilty of not extinguishing his campfire, that led to the “Schoolhouse” wildland fire on July 4, 2022 in Coconino National Forest.  Prior to trial, defense counsel objected to the testimony of Fire Protection Specialist Andrew Hostad because the government didn’t identify or qualify him as an expert witness. The Magistrate held the Fire Protection Specialist, with 13 years’ experience, may testify about cause and origin as a lay witness under Rule 701, Opinion Testimony by Lay Witnesses, based on his observations at wildland fire.</w:t>
      </w:r>
    </w:p>
    <w:p w14:paraId="55154DE1" w14:textId="77777777" w:rsidR="009B0593" w:rsidRPr="00677985" w:rsidRDefault="009B0593" w:rsidP="009B0593">
      <w:pPr>
        <w:pStyle w:val="NormalWeb"/>
        <w:ind w:left="720"/>
      </w:pPr>
      <w:r>
        <w:t xml:space="preserve">“T]he </w:t>
      </w:r>
      <w:r w:rsidRPr="00677985">
        <w:t xml:space="preserve">Court concluded </w:t>
      </w:r>
      <w:proofErr w:type="spellStart"/>
      <w:r w:rsidRPr="00677985">
        <w:t>Hostad's</w:t>
      </w:r>
      <w:proofErr w:type="spellEnd"/>
      <w:r w:rsidRPr="00677985">
        <w:t xml:space="preserve"> testimony was admissible under Rule 701, provided a proper foundation for the testimony was established. The Court qualified this ruling with the provision that </w:t>
      </w:r>
      <w:proofErr w:type="spellStart"/>
      <w:r w:rsidRPr="00677985">
        <w:t>Hostad</w:t>
      </w:r>
      <w:proofErr w:type="spellEnd"/>
      <w:r w:rsidRPr="00677985">
        <w:t xml:space="preserve"> could not </w:t>
      </w:r>
      <w:proofErr w:type="gramStart"/>
      <w:r w:rsidRPr="00677985">
        <w:t>opine regarding</w:t>
      </w:r>
      <w:proofErr w:type="gramEnd"/>
      <w:r w:rsidRPr="00677985">
        <w:t xml:space="preserve"> the fire's origin or source based on speculation, hearsay, or redefining the obvious. The Court also concluded </w:t>
      </w:r>
      <w:proofErr w:type="spellStart"/>
      <w:r w:rsidRPr="00677985">
        <w:t>Hostad's</w:t>
      </w:r>
      <w:proofErr w:type="spellEnd"/>
      <w:r w:rsidRPr="00677985">
        <w:t xml:space="preserve"> testimony related to </w:t>
      </w:r>
      <w:proofErr w:type="gramStart"/>
      <w:r w:rsidRPr="00677985">
        <w:t>personally-observed</w:t>
      </w:r>
      <w:proofErr w:type="gramEnd"/>
      <w:r w:rsidRPr="00677985">
        <w:t xml:space="preserve"> facts and was not intended solely to implicate Defendant. Additionally, the Court determined </w:t>
      </w:r>
      <w:proofErr w:type="spellStart"/>
      <w:r w:rsidRPr="00677985">
        <w:t>Hostad's</w:t>
      </w:r>
      <w:proofErr w:type="spellEnd"/>
      <w:r w:rsidRPr="00677985">
        <w:t xml:space="preserve"> testimony was credible and reliable.</w:t>
      </w:r>
      <w:r>
        <w:t xml:space="preserve">” </w:t>
      </w:r>
      <w:hyperlink r:id="rId172" w:history="1">
        <w:r w:rsidRPr="00155841">
          <w:rPr>
            <w:rStyle w:val="Hyperlink"/>
            <w:rFonts w:eastAsiaTheme="majorEastAsia"/>
          </w:rPr>
          <w:t>https://casetext.com/case/united-states-v-weathington-3</w:t>
        </w:r>
      </w:hyperlink>
      <w:r>
        <w:t xml:space="preserve"> </w:t>
      </w:r>
    </w:p>
    <w:p w14:paraId="51F370F8" w14:textId="77777777" w:rsidR="009B0593" w:rsidRDefault="009B0593" w:rsidP="009B0593">
      <w:pPr>
        <w:pStyle w:val="NormalWeb"/>
        <w:rPr>
          <w:b/>
          <w:bCs/>
        </w:rPr>
      </w:pPr>
      <w:r>
        <w:rPr>
          <w:b/>
          <w:bCs/>
        </w:rPr>
        <w:t xml:space="preserve">Legal Lesson Learned: Fire investigators may offer their opinion on origin and cause based on their observations at the scene, as lay witness under Rule 70. </w:t>
      </w:r>
    </w:p>
    <w:p w14:paraId="0341B7C2" w14:textId="77777777" w:rsidR="009B0593" w:rsidRDefault="009B0593" w:rsidP="009B0593">
      <w:pPr>
        <w:pStyle w:val="Heading1"/>
        <w:ind w:firstLine="720"/>
        <w:rPr>
          <w:b w:val="0"/>
          <w:bCs w:val="0"/>
          <w:sz w:val="24"/>
          <w:szCs w:val="24"/>
        </w:rPr>
      </w:pPr>
      <w:r>
        <w:rPr>
          <w:b w:val="0"/>
          <w:bCs w:val="0"/>
          <w:sz w:val="24"/>
          <w:szCs w:val="24"/>
        </w:rPr>
        <w:t xml:space="preserve">Note:  </w:t>
      </w:r>
    </w:p>
    <w:p w14:paraId="0B3342E7" w14:textId="77777777" w:rsidR="009B0593" w:rsidRPr="00944FCC" w:rsidRDefault="009B0593" w:rsidP="009B0593">
      <w:pPr>
        <w:pStyle w:val="Heading1"/>
        <w:ind w:left="720"/>
        <w:rPr>
          <w:b w:val="0"/>
          <w:bCs w:val="0"/>
          <w:sz w:val="24"/>
          <w:szCs w:val="24"/>
        </w:rPr>
      </w:pPr>
      <w:r w:rsidRPr="0064709E">
        <w:rPr>
          <w:sz w:val="24"/>
          <w:szCs w:val="24"/>
        </w:rPr>
        <w:t>Rule 701. Opinion Testimony by Lay Witnesses</w:t>
      </w:r>
      <w:r>
        <w:rPr>
          <w:sz w:val="24"/>
          <w:szCs w:val="24"/>
        </w:rPr>
        <w:t xml:space="preserve">; </w:t>
      </w:r>
      <w:hyperlink r:id="rId173" w:history="1">
        <w:r w:rsidRPr="00BB1A19">
          <w:rPr>
            <w:rStyle w:val="Hyperlink"/>
            <w:rFonts w:eastAsiaTheme="majorEastAsia"/>
            <w:b w:val="0"/>
            <w:bCs w:val="0"/>
            <w:sz w:val="24"/>
            <w:szCs w:val="24"/>
          </w:rPr>
          <w:t>https://www.law.cornell.edu/rules/fre/rule_701</w:t>
        </w:r>
      </w:hyperlink>
      <w:r>
        <w:rPr>
          <w:b w:val="0"/>
          <w:bCs w:val="0"/>
          <w:sz w:val="24"/>
          <w:szCs w:val="24"/>
        </w:rPr>
        <w:t xml:space="preserve"> </w:t>
      </w:r>
    </w:p>
    <w:p w14:paraId="489A5EF4" w14:textId="77777777" w:rsidR="009B0593" w:rsidRDefault="009B0593" w:rsidP="009B0593">
      <w:pPr>
        <w:pStyle w:val="statutory-body"/>
        <w:ind w:left="720"/>
      </w:pPr>
      <w:r w:rsidRPr="00944FCC">
        <w:t>If a witness is not testifying as an expert, testimony in the form of an opinion is limited to one that is:</w:t>
      </w:r>
      <w:r>
        <w:t xml:space="preserve"> </w:t>
      </w:r>
      <w:r w:rsidRPr="00944FCC">
        <w:rPr>
          <w:rStyle w:val="Strong"/>
          <w:rFonts w:eastAsiaTheme="majorEastAsia"/>
        </w:rPr>
        <w:t>(a)</w:t>
      </w:r>
      <w:r w:rsidRPr="00944FCC">
        <w:t xml:space="preserve"> rationally based on the witness’s perception;</w:t>
      </w:r>
      <w:r>
        <w:t xml:space="preserve"> </w:t>
      </w:r>
      <w:r w:rsidRPr="00944FCC">
        <w:rPr>
          <w:rStyle w:val="Strong"/>
          <w:rFonts w:eastAsiaTheme="majorEastAsia"/>
        </w:rPr>
        <w:t>(b)</w:t>
      </w:r>
      <w:r w:rsidRPr="00944FCC">
        <w:t xml:space="preserve"> helpful to clearly understanding the witness’s testimony or to determining a fact in issue; and</w:t>
      </w:r>
      <w:r>
        <w:t xml:space="preserve"> </w:t>
      </w:r>
      <w:r w:rsidRPr="00944FCC">
        <w:rPr>
          <w:rStyle w:val="Strong"/>
          <w:rFonts w:eastAsiaTheme="majorEastAsia"/>
        </w:rPr>
        <w:t>(c)</w:t>
      </w:r>
      <w:r w:rsidRPr="00944FCC">
        <w:t xml:space="preserve"> not based on scientific, technical, or other specialized knowledge within the scope of </w:t>
      </w:r>
      <w:hyperlink r:id="rId174" w:history="1">
        <w:r w:rsidRPr="00944FCC">
          <w:rPr>
            <w:rStyle w:val="Hyperlink"/>
            <w:rFonts w:eastAsiaTheme="majorEastAsia"/>
          </w:rPr>
          <w:t>Rule 702</w:t>
        </w:r>
      </w:hyperlink>
      <w:r>
        <w:t>.</w:t>
      </w:r>
    </w:p>
    <w:p w14:paraId="6539889A" w14:textId="77777777" w:rsidR="009B0593" w:rsidRPr="0064709E" w:rsidRDefault="009B0593" w:rsidP="009B0593">
      <w:pPr>
        <w:pStyle w:val="Heading1"/>
        <w:ind w:left="720"/>
        <w:rPr>
          <w:sz w:val="24"/>
          <w:szCs w:val="24"/>
        </w:rPr>
      </w:pPr>
      <w:r w:rsidRPr="0064709E">
        <w:rPr>
          <w:sz w:val="24"/>
          <w:szCs w:val="24"/>
        </w:rPr>
        <w:t>Rule 702. Testimony by Expert Witnesses</w:t>
      </w:r>
      <w:r>
        <w:rPr>
          <w:sz w:val="24"/>
          <w:szCs w:val="24"/>
        </w:rPr>
        <w:t>;</w:t>
      </w:r>
      <w:r w:rsidRPr="0064709E">
        <w:t xml:space="preserve"> </w:t>
      </w:r>
      <w:hyperlink r:id="rId175" w:history="1">
        <w:r w:rsidRPr="0064709E">
          <w:rPr>
            <w:rStyle w:val="Hyperlink"/>
            <w:rFonts w:eastAsiaTheme="majorEastAsia"/>
            <w:b w:val="0"/>
            <w:bCs w:val="0"/>
            <w:sz w:val="24"/>
            <w:szCs w:val="24"/>
          </w:rPr>
          <w:t>https://www.law.cornell.edu/rules/fre/rule_702</w:t>
        </w:r>
      </w:hyperlink>
      <w:r w:rsidRPr="0064709E">
        <w:rPr>
          <w:b w:val="0"/>
          <w:bCs w:val="0"/>
          <w:sz w:val="24"/>
          <w:szCs w:val="24"/>
        </w:rPr>
        <w:t xml:space="preserve"> </w:t>
      </w:r>
    </w:p>
    <w:p w14:paraId="6B3A61EC" w14:textId="77777777" w:rsidR="009B0593" w:rsidRPr="0064709E" w:rsidRDefault="009B0593" w:rsidP="009B0593">
      <w:pPr>
        <w:pStyle w:val="statutory-body"/>
        <w:ind w:left="720"/>
      </w:pPr>
      <w:r w:rsidRPr="0064709E">
        <w:t xml:space="preserve">A witness who is qualified as an expert by knowledge, skill, experience, training, or education may testify in the form of an opinion or otherwise if: </w:t>
      </w:r>
      <w:r w:rsidRPr="0064709E">
        <w:rPr>
          <w:rStyle w:val="Strong"/>
          <w:rFonts w:eastAsiaTheme="majorEastAsia"/>
        </w:rPr>
        <w:t>(a)</w:t>
      </w:r>
      <w:r w:rsidRPr="0064709E">
        <w:t xml:space="preserve"> the expert’s scientific, technical, or other specialized knowledge will help the trier of fact to understand the evidence or to determine a fact in issue; </w:t>
      </w:r>
      <w:r w:rsidRPr="0064709E">
        <w:rPr>
          <w:rStyle w:val="Strong"/>
          <w:rFonts w:eastAsiaTheme="majorEastAsia"/>
        </w:rPr>
        <w:t>(b)</w:t>
      </w:r>
      <w:r w:rsidRPr="0064709E">
        <w:t xml:space="preserve"> the testimony is based on sufficient facts or data; </w:t>
      </w:r>
      <w:r w:rsidRPr="0064709E">
        <w:rPr>
          <w:rStyle w:val="Strong"/>
          <w:rFonts w:eastAsiaTheme="majorEastAsia"/>
        </w:rPr>
        <w:t>(c)</w:t>
      </w:r>
      <w:r w:rsidRPr="0064709E">
        <w:t xml:space="preserve"> the testimony is the product of reliable principles and methods; and </w:t>
      </w:r>
      <w:r w:rsidRPr="0064709E">
        <w:rPr>
          <w:rStyle w:val="Strong"/>
          <w:rFonts w:eastAsiaTheme="majorEastAsia"/>
        </w:rPr>
        <w:t>(d)</w:t>
      </w:r>
      <w:r w:rsidRPr="0064709E">
        <w:t xml:space="preserve"> the expert has reliably applied the principles and methods to the facts of the case.</w:t>
      </w:r>
    </w:p>
    <w:p w14:paraId="66D07ACF" w14:textId="77777777" w:rsidR="009B0593" w:rsidRDefault="009B0593" w:rsidP="00F326E5">
      <w:pPr>
        <w:pStyle w:val="NoSpacing"/>
        <w:rPr>
          <w:rFonts w:ascii="Arial Black" w:hAnsi="Arial Black"/>
          <w:sz w:val="24"/>
          <w:szCs w:val="24"/>
        </w:rPr>
      </w:pPr>
    </w:p>
    <w:p w14:paraId="0825B9A1" w14:textId="77777777" w:rsidR="009B0593" w:rsidRDefault="009B0593" w:rsidP="00F326E5">
      <w:pPr>
        <w:pStyle w:val="NoSpacing"/>
        <w:rPr>
          <w:rFonts w:ascii="Arial Black" w:hAnsi="Arial Black"/>
          <w:sz w:val="24"/>
          <w:szCs w:val="24"/>
        </w:rPr>
      </w:pPr>
    </w:p>
    <w:p w14:paraId="33D00C26" w14:textId="77777777" w:rsidR="009B0593" w:rsidRDefault="009B0593" w:rsidP="00F326E5">
      <w:pPr>
        <w:pStyle w:val="NoSpacing"/>
        <w:rPr>
          <w:rFonts w:ascii="Arial Black" w:hAnsi="Arial Black"/>
          <w:sz w:val="24"/>
          <w:szCs w:val="24"/>
        </w:rPr>
      </w:pPr>
    </w:p>
    <w:p w14:paraId="758C51B0" w14:textId="2A4F006D" w:rsidR="00411936" w:rsidRDefault="00411936" w:rsidP="00F326E5">
      <w:pPr>
        <w:pStyle w:val="NoSpacing"/>
        <w:rPr>
          <w:rFonts w:ascii="Arial Black" w:hAnsi="Arial Black"/>
          <w:sz w:val="24"/>
          <w:szCs w:val="24"/>
        </w:rPr>
      </w:pPr>
      <w:r>
        <w:rPr>
          <w:rFonts w:ascii="Arial Black" w:hAnsi="Arial Black"/>
          <w:sz w:val="24"/>
          <w:szCs w:val="24"/>
        </w:rPr>
        <w:lastRenderedPageBreak/>
        <w:t>1-131</w:t>
      </w:r>
    </w:p>
    <w:p w14:paraId="5DE6D9A7" w14:textId="77777777" w:rsidR="00411936" w:rsidRPr="00C13763" w:rsidRDefault="00411936" w:rsidP="00411936">
      <w:pPr>
        <w:pStyle w:val="NormalWeb"/>
        <w:rPr>
          <w:rFonts w:ascii="Arial Black" w:hAnsi="Arial Black"/>
          <w:sz w:val="28"/>
          <w:szCs w:val="28"/>
        </w:rPr>
      </w:pPr>
      <w:r>
        <w:rPr>
          <w:rFonts w:ascii="Arial Black" w:hAnsi="Arial Black"/>
          <w:sz w:val="28"/>
          <w:szCs w:val="28"/>
        </w:rPr>
        <w:t>CA: BURN BARRELL WAS WASHING MACHINE CYLINDER – REFUSED PUT OUT - $500 FINE UPHELD – PHOTOS HELPFUL</w:t>
      </w:r>
    </w:p>
    <w:p w14:paraId="7C38B8CD" w14:textId="77777777" w:rsidR="00411936" w:rsidRDefault="00411936" w:rsidP="00411936">
      <w:pPr>
        <w:pStyle w:val="NormalWeb"/>
      </w:pPr>
      <w:r>
        <w:t xml:space="preserve">On July 21, 2023, in </w:t>
      </w:r>
      <w:r w:rsidRPr="00C13763">
        <w:rPr>
          <w:u w:val="single"/>
        </w:rPr>
        <w:t>Chuck Dunn v. Kern County, et al.</w:t>
      </w:r>
      <w:r>
        <w:t xml:space="preserve">, the California Court of Appeals, Fifth District, held (3 to 0, unpublished opinion) held that the citation was proper.  Mr. Dunn refused on June 5, </w:t>
      </w:r>
      <w:proofErr w:type="gramStart"/>
      <w:r>
        <w:t>2017</w:t>
      </w:r>
      <w:proofErr w:type="gramEnd"/>
      <w:r>
        <w:t xml:space="preserve"> to put out the fire, in a washing machine cylinder, flames two to four feet above the cylinder, and it was in an area of California where there had recently been a devastating </w:t>
      </w:r>
      <w:proofErr w:type="gramStart"/>
      <w:r>
        <w:t>wildland fire</w:t>
      </w:r>
      <w:proofErr w:type="gramEnd"/>
      <w:r>
        <w:t xml:space="preserve">. He was not using the fire to cook food. Photos taken at the scene were reviewed in hearing before a Fire Captain, and then on appeal to Kern County Board of Supervisors on Dec. 5, 2017, and on appeal before Kern County Superior Court judge on February 15, 2022. </w:t>
      </w:r>
    </w:p>
    <w:p w14:paraId="27168836" w14:textId="77777777" w:rsidR="00411936" w:rsidRDefault="00411936" w:rsidP="00411936">
      <w:pPr>
        <w:pStyle w:val="NormalWeb"/>
      </w:pPr>
      <w:r>
        <w:t>The Court held:</w:t>
      </w:r>
    </w:p>
    <w:p w14:paraId="765960E3" w14:textId="26743D49" w:rsidR="00411936" w:rsidRPr="007035CA" w:rsidRDefault="00411936" w:rsidP="00411936">
      <w:pPr>
        <w:pStyle w:val="NoSpacing"/>
        <w:rPr>
          <w:rFonts w:ascii="Times New Roman" w:hAnsi="Times New Roman"/>
          <w:sz w:val="24"/>
          <w:szCs w:val="24"/>
        </w:rPr>
      </w:pPr>
      <w:r w:rsidRPr="007035CA">
        <w:rPr>
          <w:rFonts w:ascii="Times New Roman" w:hAnsi="Times New Roman"/>
          <w:sz w:val="24"/>
          <w:szCs w:val="24"/>
        </w:rPr>
        <w:t xml:space="preserve">“Clearly, the fire prevention officials were especially concerned because an apparently devastating fire had damaged the region in the recent past. Notwithstanding the factual disputes present in this case and recognizing firepits and outdoor barbecues are in common use, the concerns of the authorities regarding what they regarded as unsafe burning based on </w:t>
      </w:r>
      <w:proofErr w:type="gramStart"/>
      <w:r w:rsidRPr="007035CA">
        <w:rPr>
          <w:rFonts w:ascii="Times New Roman" w:hAnsi="Times New Roman"/>
          <w:sz w:val="24"/>
          <w:szCs w:val="24"/>
        </w:rPr>
        <w:t>particular conditions</w:t>
      </w:r>
      <w:proofErr w:type="gramEnd"/>
      <w:r w:rsidRPr="007035CA">
        <w:rPr>
          <w:rFonts w:ascii="Times New Roman" w:hAnsi="Times New Roman"/>
          <w:sz w:val="24"/>
          <w:szCs w:val="24"/>
        </w:rPr>
        <w:t xml:space="preserve"> are significant. The fact that </w:t>
      </w:r>
      <w:proofErr w:type="gramStart"/>
      <w:r w:rsidRPr="007035CA">
        <w:rPr>
          <w:rFonts w:ascii="Times New Roman" w:hAnsi="Times New Roman"/>
          <w:sz w:val="24"/>
          <w:szCs w:val="24"/>
        </w:rPr>
        <w:t>petitioner</w:t>
      </w:r>
      <w:proofErr w:type="gramEnd"/>
      <w:r w:rsidRPr="007035CA">
        <w:rPr>
          <w:rFonts w:ascii="Times New Roman" w:hAnsi="Times New Roman"/>
          <w:sz w:val="24"/>
          <w:szCs w:val="24"/>
        </w:rPr>
        <w:t xml:space="preserve"> refused requests to extinguish what officials regarded as an unsafe fire cannot be ignored. Taking all of this into consideration and following the dictates of the law that require courts review administrative decisions with deference, we conclude there was sufficient evidence to justify the citation. </w:t>
      </w:r>
      <w:proofErr w:type="gramStart"/>
      <w:r w:rsidRPr="007035CA">
        <w:rPr>
          <w:rFonts w:ascii="Times New Roman" w:hAnsi="Times New Roman"/>
          <w:sz w:val="24"/>
          <w:szCs w:val="24"/>
        </w:rPr>
        <w:t>For the reasons that</w:t>
      </w:r>
      <w:proofErr w:type="gramEnd"/>
      <w:r w:rsidRPr="007035CA">
        <w:rPr>
          <w:rFonts w:ascii="Times New Roman" w:hAnsi="Times New Roman"/>
          <w:sz w:val="24"/>
          <w:szCs w:val="24"/>
        </w:rPr>
        <w:t xml:space="preserve"> follow, we affirm the trial court's judgment.” </w:t>
      </w:r>
      <w:hyperlink r:id="rId176" w:history="1">
        <w:r w:rsidRPr="007035CA">
          <w:rPr>
            <w:rStyle w:val="Hyperlink"/>
            <w:rFonts w:ascii="Times New Roman" w:eastAsiaTheme="majorEastAsia" w:hAnsi="Times New Roman"/>
            <w:sz w:val="24"/>
            <w:szCs w:val="24"/>
          </w:rPr>
          <w:t>https://public.fastcase.com/ZZhmr5v9wN%2FXOe5IsQ%2FqD3QWuMgnFl%2B3o%2F4uUFiu6RUK1p7KFM%2BXOmaedKhzNCbabAKegQ7cA7QRQh6Aya7idRlRF78qeqCUoqW17wj1IUw%3D?utm_medium=email&amp;_hsmi=226712652&amp;_hsenc=p2ANqtz-87CRXhJMi7biUmbeSml1AgtAY_NVYdYjA00lD_OXsZo9fEN5Imr0EyPY0zfsM2_JyagzI4vAzpnYyJYIEoZ9qDDKxGPw&amp;utm_content=226712652&amp;utm_source=hs_email</w:t>
        </w:r>
      </w:hyperlink>
    </w:p>
    <w:p w14:paraId="236A8650" w14:textId="77777777" w:rsidR="00411936" w:rsidRDefault="00411936" w:rsidP="00F326E5">
      <w:pPr>
        <w:pStyle w:val="NoSpacing"/>
        <w:rPr>
          <w:rFonts w:ascii="Arial Black" w:hAnsi="Arial Black"/>
          <w:sz w:val="24"/>
          <w:szCs w:val="24"/>
        </w:rPr>
      </w:pPr>
    </w:p>
    <w:p w14:paraId="057AD691" w14:textId="77777777" w:rsidR="00411936" w:rsidRPr="00DD4297" w:rsidRDefault="00411936" w:rsidP="00411936">
      <w:pPr>
        <w:pStyle w:val="NormalWeb"/>
        <w:rPr>
          <w:b/>
          <w:bCs/>
        </w:rPr>
      </w:pPr>
      <w:r w:rsidRPr="00DD4297">
        <w:rPr>
          <w:b/>
          <w:bCs/>
        </w:rPr>
        <w:t xml:space="preserve">Legal Lesson Learned: </w:t>
      </w:r>
      <w:r>
        <w:rPr>
          <w:b/>
          <w:bCs/>
        </w:rPr>
        <w:t xml:space="preserve"> The photographs taken by firefighters supported the citation; Courts review administrative decisions with deference.  </w:t>
      </w:r>
    </w:p>
    <w:p w14:paraId="0BA23C1C" w14:textId="77777777" w:rsidR="00411936" w:rsidRDefault="00411936" w:rsidP="00F326E5">
      <w:pPr>
        <w:pStyle w:val="NoSpacing"/>
        <w:rPr>
          <w:rFonts w:ascii="Arial Black" w:hAnsi="Arial Black"/>
          <w:sz w:val="24"/>
          <w:szCs w:val="24"/>
        </w:rPr>
      </w:pPr>
    </w:p>
    <w:p w14:paraId="4E4B78A6" w14:textId="48AF6428" w:rsidR="00411936" w:rsidRDefault="00411936" w:rsidP="00F326E5">
      <w:pPr>
        <w:pStyle w:val="NoSpacing"/>
        <w:rPr>
          <w:rFonts w:ascii="Arial Black" w:hAnsi="Arial Black"/>
          <w:sz w:val="24"/>
          <w:szCs w:val="24"/>
        </w:rPr>
      </w:pPr>
      <w:r>
        <w:rPr>
          <w:rFonts w:ascii="Arial Black" w:hAnsi="Arial Black"/>
          <w:sz w:val="24"/>
          <w:szCs w:val="24"/>
        </w:rPr>
        <w:t>1-130</w:t>
      </w:r>
    </w:p>
    <w:p w14:paraId="7787A714" w14:textId="77777777" w:rsidR="00411936" w:rsidRPr="00487508" w:rsidRDefault="00411936" w:rsidP="00411936">
      <w:pPr>
        <w:pStyle w:val="NormalWeb"/>
        <w:rPr>
          <w:rFonts w:ascii="Arial Black" w:hAnsi="Arial Black"/>
          <w:sz w:val="28"/>
          <w:szCs w:val="28"/>
        </w:rPr>
      </w:pPr>
      <w:r>
        <w:rPr>
          <w:rFonts w:ascii="Arial Black" w:hAnsi="Arial Black"/>
          <w:sz w:val="28"/>
          <w:szCs w:val="28"/>
        </w:rPr>
        <w:t>NC: BURNING BRUSH – NAT. FOREST 70 ACRE FIRE – NEW TRIAL - MAY TELL JURY THOUGHT WAS ON FAMILY LAND</w:t>
      </w:r>
    </w:p>
    <w:p w14:paraId="2A219869" w14:textId="4D41D0FF" w:rsidR="00411936" w:rsidRDefault="00411936" w:rsidP="00411936">
      <w:pPr>
        <w:pStyle w:val="NormalWeb"/>
      </w:pPr>
      <w:r>
        <w:t xml:space="preserve">On July 15, 2023, in </w:t>
      </w:r>
      <w:r w:rsidRPr="004E7A09">
        <w:rPr>
          <w:u w:val="single"/>
        </w:rPr>
        <w:t>United States of America v. Casey Lee Evans, a/k/a James Casey Lee Evans</w:t>
      </w:r>
      <w:r>
        <w:t>, the 4</w:t>
      </w:r>
      <w:r w:rsidRPr="004E7A09">
        <w:rPr>
          <w:vertAlign w:val="superscript"/>
        </w:rPr>
        <w:t>th</w:t>
      </w:r>
      <w:r>
        <w:t xml:space="preserve"> Circuit Court of Appeals (Richmond, VA) held (3 to 0) that trial judge improperly excluded the defendant’s </w:t>
      </w:r>
      <w:r w:rsidR="00352DD8">
        <w:t xml:space="preserve">proffered </w:t>
      </w:r>
      <w:r>
        <w:t xml:space="preserve">testimony that he thought he was burning brush on April 3, 2020 on his family property.  The jury might have therefore found him not guilty since under federal statute the Government must prove he acted “willfully.” He was sentenced in 2022 to “time served” in federal custody, plus </w:t>
      </w:r>
      <w:r w:rsidRPr="00147114">
        <w:t>two years of supervised release</w:t>
      </w:r>
      <w:r>
        <w:t xml:space="preserve">. The conviction is reversed, and he is now entitled to a new trial. </w:t>
      </w:r>
    </w:p>
    <w:p w14:paraId="65E0CE95" w14:textId="77777777" w:rsidR="00411936" w:rsidRDefault="00411936" w:rsidP="00411936">
      <w:pPr>
        <w:pStyle w:val="NormalWeb"/>
      </w:pPr>
      <w:r>
        <w:t xml:space="preserve">The Court held: </w:t>
      </w:r>
    </w:p>
    <w:p w14:paraId="7C620D2E" w14:textId="77777777" w:rsidR="00411936" w:rsidRDefault="00411936" w:rsidP="00411936">
      <w:pPr>
        <w:pStyle w:val="NormalWeb"/>
        <w:tabs>
          <w:tab w:val="left" w:pos="1980"/>
        </w:tabs>
      </w:pPr>
      <w:r>
        <w:lastRenderedPageBreak/>
        <w:t>“To summarize, the Government does not have to prove that the defendant knew he was on federal land or intended to burn federal land to obtain a conviction under 18 U.S.C. § 1855. But the Government does have to prove that the defendant acted willfully, and a defendant may attempt to demonstrate an honest mistake of fact to negate the Government's proof on that score. *** Accordingly, we conclude that the district court made an error of law when it excluded Evans's proffered testimony on the ground that his ‘subjective belief’ about whether he was on his family's property when he set the fire was inadmissible for any purpose ‘because it's not relevant to the issues in this case.’ *** On this record, we cannot say the error was harmless. The excluded testimony was Evans's primary defense. If credited by the jury, the testimony would have squarely raised the issue of whether he made a factual mistake sufficient to cast a reasonable doubt on the willfulness of his actions in setting the fire. The jury, not this Court, must assess the credibility of the proffered testimony and weigh it against the Government's evidence to make that judgment…</w:t>
      </w:r>
      <w:r>
        <w:rPr>
          <w:vertAlign w:val="superscript"/>
        </w:rPr>
        <w:t xml:space="preserve">. </w:t>
      </w:r>
      <w:r>
        <w:t xml:space="preserve">For these reasons, we vacate Evans's conviction under 18 U.S.C. § 1855. We remand the case to the district court for further proceedings consistent with this opinion.” </w:t>
      </w:r>
      <w:hyperlink r:id="rId177" w:history="1">
        <w:r w:rsidRPr="00024274">
          <w:rPr>
            <w:rStyle w:val="Hyperlink"/>
            <w:rFonts w:eastAsiaTheme="majorEastAsia"/>
          </w:rPr>
          <w:t>https://www.ca4.uscourts.gov/opinions/224307.P.pdf</w:t>
        </w:r>
      </w:hyperlink>
      <w:r>
        <w:t xml:space="preserve"> </w:t>
      </w:r>
    </w:p>
    <w:p w14:paraId="282BA835" w14:textId="77777777" w:rsidR="00411936" w:rsidRPr="002506DD" w:rsidRDefault="00411936" w:rsidP="00411936">
      <w:pPr>
        <w:pStyle w:val="NormalWeb"/>
        <w:rPr>
          <w:b/>
          <w:bCs/>
        </w:rPr>
      </w:pPr>
      <w:r w:rsidRPr="002506DD">
        <w:rPr>
          <w:b/>
          <w:bCs/>
        </w:rPr>
        <w:t xml:space="preserve">Legal Lesson Learned: </w:t>
      </w:r>
      <w:r>
        <w:rPr>
          <w:b/>
          <w:bCs/>
        </w:rPr>
        <w:t xml:space="preserve">Defendant was entitled to tell jury he believed he was burning brush pile on family land.  Anticipating such a defense, it is very helpful to prosecutors if fire investigators have tape record their interviews, with subject’s permission. </w:t>
      </w:r>
    </w:p>
    <w:p w14:paraId="2DE0C96E" w14:textId="77777777" w:rsidR="00411936" w:rsidRPr="00887D21" w:rsidRDefault="00411936" w:rsidP="00411936">
      <w:pPr>
        <w:pStyle w:val="Heading1"/>
        <w:ind w:left="720"/>
        <w:rPr>
          <w:b w:val="0"/>
          <w:bCs w:val="0"/>
          <w:sz w:val="24"/>
          <w:szCs w:val="24"/>
        </w:rPr>
      </w:pPr>
      <w:r w:rsidRPr="00887D21">
        <w:rPr>
          <w:b w:val="0"/>
          <w:bCs w:val="0"/>
          <w:sz w:val="24"/>
          <w:szCs w:val="24"/>
        </w:rPr>
        <w:t xml:space="preserve">Note: See July 25, </w:t>
      </w:r>
      <w:proofErr w:type="gramStart"/>
      <w:r w:rsidRPr="00887D21">
        <w:rPr>
          <w:b w:val="0"/>
          <w:bCs w:val="0"/>
          <w:sz w:val="24"/>
          <w:szCs w:val="24"/>
        </w:rPr>
        <w:t>2023</w:t>
      </w:r>
      <w:proofErr w:type="gramEnd"/>
      <w:r w:rsidRPr="00887D21">
        <w:rPr>
          <w:b w:val="0"/>
          <w:bCs w:val="0"/>
          <w:sz w:val="24"/>
          <w:szCs w:val="24"/>
        </w:rPr>
        <w:t xml:space="preserve"> article, “Federal Appeals Court throws out conviction for burning of federal </w:t>
      </w:r>
      <w:proofErr w:type="gramStart"/>
      <w:r w:rsidRPr="00887D21">
        <w:rPr>
          <w:b w:val="0"/>
          <w:bCs w:val="0"/>
          <w:sz w:val="24"/>
          <w:szCs w:val="24"/>
        </w:rPr>
        <w:t>Nantahala forest</w:t>
      </w:r>
      <w:proofErr w:type="gramEnd"/>
      <w:r w:rsidRPr="00887D21">
        <w:rPr>
          <w:b w:val="0"/>
          <w:bCs w:val="0"/>
          <w:sz w:val="24"/>
          <w:szCs w:val="24"/>
        </w:rPr>
        <w:t xml:space="preserve">.” </w:t>
      </w:r>
      <w:hyperlink r:id="rId178" w:history="1">
        <w:r w:rsidRPr="00887D21">
          <w:rPr>
            <w:rStyle w:val="Hyperlink"/>
            <w:rFonts w:eastAsiaTheme="majorEastAsia"/>
            <w:b w:val="0"/>
            <w:bCs w:val="0"/>
            <w:sz w:val="24"/>
            <w:szCs w:val="24"/>
          </w:rPr>
          <w:t>https://www.carolinajournal.com/federal-appeals-court-throws-out-conviction-for-burning-of-federal-nantahala-forest/</w:t>
        </w:r>
      </w:hyperlink>
      <w:r w:rsidRPr="00887D21">
        <w:rPr>
          <w:b w:val="0"/>
          <w:bCs w:val="0"/>
          <w:sz w:val="24"/>
          <w:szCs w:val="24"/>
        </w:rPr>
        <w:t xml:space="preserve">  </w:t>
      </w:r>
    </w:p>
    <w:p w14:paraId="239C4213" w14:textId="77777777" w:rsidR="00411936" w:rsidRPr="00140F65" w:rsidRDefault="00411936" w:rsidP="00411936">
      <w:pPr>
        <w:pStyle w:val="Heading1"/>
        <w:ind w:left="720"/>
        <w:rPr>
          <w:b w:val="0"/>
          <w:bCs w:val="0"/>
          <w:sz w:val="24"/>
          <w:szCs w:val="24"/>
        </w:rPr>
      </w:pPr>
      <w:r w:rsidRPr="00140F65">
        <w:rPr>
          <w:b w:val="0"/>
          <w:bCs w:val="0"/>
          <w:sz w:val="24"/>
          <w:szCs w:val="24"/>
        </w:rPr>
        <w:t xml:space="preserve">See Jan. 6, </w:t>
      </w:r>
      <w:proofErr w:type="gramStart"/>
      <w:r w:rsidRPr="00140F65">
        <w:rPr>
          <w:b w:val="0"/>
          <w:bCs w:val="0"/>
          <w:sz w:val="24"/>
          <w:szCs w:val="24"/>
        </w:rPr>
        <w:t>2022</w:t>
      </w:r>
      <w:proofErr w:type="gramEnd"/>
      <w:r w:rsidRPr="00140F65">
        <w:rPr>
          <w:b w:val="0"/>
          <w:bCs w:val="0"/>
          <w:sz w:val="24"/>
          <w:szCs w:val="24"/>
        </w:rPr>
        <w:t xml:space="preserve"> </w:t>
      </w:r>
      <w:proofErr w:type="spellStart"/>
      <w:r w:rsidRPr="00140F65">
        <w:rPr>
          <w:b w:val="0"/>
          <w:bCs w:val="0"/>
          <w:sz w:val="24"/>
          <w:szCs w:val="24"/>
        </w:rPr>
        <w:t>DoJ</w:t>
      </w:r>
      <w:proofErr w:type="spellEnd"/>
      <w:r w:rsidRPr="00140F65">
        <w:rPr>
          <w:b w:val="0"/>
          <w:bCs w:val="0"/>
          <w:sz w:val="24"/>
          <w:szCs w:val="24"/>
        </w:rPr>
        <w:t xml:space="preserve"> Press Release</w:t>
      </w:r>
      <w:r>
        <w:rPr>
          <w:b w:val="0"/>
          <w:bCs w:val="0"/>
          <w:sz w:val="24"/>
          <w:szCs w:val="24"/>
        </w:rPr>
        <w:t>: “</w:t>
      </w:r>
      <w:r w:rsidRPr="00140F65">
        <w:rPr>
          <w:rStyle w:val="field-formatter--string"/>
          <w:b w:val="0"/>
          <w:bCs w:val="0"/>
          <w:sz w:val="24"/>
          <w:szCs w:val="24"/>
        </w:rPr>
        <w:t xml:space="preserve">Asheville Jury Convicts Franklin, N.C. Man </w:t>
      </w:r>
      <w:proofErr w:type="gramStart"/>
      <w:r w:rsidRPr="00140F65">
        <w:rPr>
          <w:rStyle w:val="field-formatter--string"/>
          <w:b w:val="0"/>
          <w:bCs w:val="0"/>
          <w:sz w:val="24"/>
          <w:szCs w:val="24"/>
        </w:rPr>
        <w:t>Of</w:t>
      </w:r>
      <w:proofErr w:type="gramEnd"/>
      <w:r w:rsidRPr="00140F65">
        <w:rPr>
          <w:rStyle w:val="field-formatter--string"/>
          <w:b w:val="0"/>
          <w:bCs w:val="0"/>
          <w:sz w:val="24"/>
          <w:szCs w:val="24"/>
        </w:rPr>
        <w:t xml:space="preserve"> Starting </w:t>
      </w:r>
      <w:proofErr w:type="gramStart"/>
      <w:r w:rsidRPr="00140F65">
        <w:rPr>
          <w:rStyle w:val="field-formatter--string"/>
          <w:b w:val="0"/>
          <w:bCs w:val="0"/>
          <w:sz w:val="24"/>
          <w:szCs w:val="24"/>
        </w:rPr>
        <w:t>A</w:t>
      </w:r>
      <w:proofErr w:type="gramEnd"/>
      <w:r w:rsidRPr="00140F65">
        <w:rPr>
          <w:rStyle w:val="field-formatter--string"/>
          <w:b w:val="0"/>
          <w:bCs w:val="0"/>
          <w:sz w:val="24"/>
          <w:szCs w:val="24"/>
        </w:rPr>
        <w:t xml:space="preserve"> Fire That Burned More Than 70 Acres </w:t>
      </w:r>
      <w:proofErr w:type="gramStart"/>
      <w:r w:rsidRPr="00140F65">
        <w:rPr>
          <w:rStyle w:val="field-formatter--string"/>
          <w:b w:val="0"/>
          <w:bCs w:val="0"/>
          <w:sz w:val="24"/>
          <w:szCs w:val="24"/>
        </w:rPr>
        <w:t>Of</w:t>
      </w:r>
      <w:proofErr w:type="gramEnd"/>
      <w:r w:rsidRPr="00140F65">
        <w:rPr>
          <w:rStyle w:val="field-formatter--string"/>
          <w:b w:val="0"/>
          <w:bCs w:val="0"/>
          <w:sz w:val="24"/>
          <w:szCs w:val="24"/>
        </w:rPr>
        <w:t xml:space="preserve"> Federal Land. </w:t>
      </w:r>
      <w:r w:rsidRPr="00140F65">
        <w:rPr>
          <w:b w:val="0"/>
          <w:bCs w:val="0"/>
          <w:sz w:val="24"/>
          <w:szCs w:val="24"/>
        </w:rPr>
        <w:t>Evans was convicted of willfully setting a fire on federal land, which carries a statutory maximum penalty of five years in prison and a $250,000 fine. Following the guilty verdict, Evans was remanded into federal custody. A sentencing date has not been set.</w:t>
      </w:r>
      <w:r>
        <w:rPr>
          <w:b w:val="0"/>
          <w:bCs w:val="0"/>
          <w:sz w:val="24"/>
          <w:szCs w:val="24"/>
        </w:rPr>
        <w:t xml:space="preserve">” </w:t>
      </w:r>
      <w:hyperlink r:id="rId179" w:history="1">
        <w:r w:rsidRPr="00140F65">
          <w:rPr>
            <w:rStyle w:val="Hyperlink"/>
            <w:rFonts w:eastAsiaTheme="majorEastAsia"/>
            <w:b w:val="0"/>
            <w:bCs w:val="0"/>
            <w:sz w:val="24"/>
            <w:szCs w:val="24"/>
          </w:rPr>
          <w:t>https://www.justice.gov/usao-wdnc/pr/asheville-jury-convicts-franklin-nc-man-starting-fire-burned-more-70-acres-federal-land</w:t>
        </w:r>
      </w:hyperlink>
      <w:r w:rsidRPr="00140F65">
        <w:rPr>
          <w:rStyle w:val="field-formatter--string"/>
          <w:b w:val="0"/>
          <w:bCs w:val="0"/>
          <w:sz w:val="24"/>
          <w:szCs w:val="24"/>
        </w:rPr>
        <w:t xml:space="preserve"> </w:t>
      </w:r>
    </w:p>
    <w:p w14:paraId="3C9FA6D3" w14:textId="77777777" w:rsidR="00411936" w:rsidRDefault="00411936" w:rsidP="00411936">
      <w:pPr>
        <w:pStyle w:val="NormalWeb"/>
      </w:pPr>
    </w:p>
    <w:p w14:paraId="23EBAA7D" w14:textId="77777777" w:rsidR="00411936" w:rsidRDefault="00411936" w:rsidP="00F326E5">
      <w:pPr>
        <w:pStyle w:val="NoSpacing"/>
        <w:rPr>
          <w:rFonts w:ascii="Arial Black" w:hAnsi="Arial Black"/>
          <w:sz w:val="24"/>
          <w:szCs w:val="24"/>
        </w:rPr>
      </w:pPr>
    </w:p>
    <w:p w14:paraId="7DF348E3" w14:textId="77777777" w:rsidR="00411936" w:rsidRDefault="00411936" w:rsidP="00F326E5">
      <w:pPr>
        <w:pStyle w:val="NoSpacing"/>
        <w:rPr>
          <w:rFonts w:ascii="Arial Black" w:hAnsi="Arial Black"/>
          <w:sz w:val="24"/>
          <w:szCs w:val="24"/>
        </w:rPr>
      </w:pPr>
    </w:p>
    <w:p w14:paraId="2FDB9867" w14:textId="77777777" w:rsidR="00411936" w:rsidRDefault="00411936" w:rsidP="00F326E5">
      <w:pPr>
        <w:pStyle w:val="NoSpacing"/>
        <w:rPr>
          <w:rFonts w:ascii="Arial Black" w:hAnsi="Arial Black"/>
          <w:sz w:val="24"/>
          <w:szCs w:val="24"/>
        </w:rPr>
      </w:pPr>
    </w:p>
    <w:p w14:paraId="4FE3B7F7" w14:textId="7940391A" w:rsidR="00411936" w:rsidRDefault="00411936" w:rsidP="00F326E5">
      <w:pPr>
        <w:pStyle w:val="NoSpacing"/>
        <w:rPr>
          <w:rFonts w:ascii="Arial Black" w:hAnsi="Arial Black"/>
          <w:sz w:val="24"/>
          <w:szCs w:val="24"/>
        </w:rPr>
      </w:pPr>
      <w:r>
        <w:rPr>
          <w:rFonts w:ascii="Arial Black" w:hAnsi="Arial Black"/>
          <w:sz w:val="24"/>
          <w:szCs w:val="24"/>
        </w:rPr>
        <w:t>1-129</w:t>
      </w:r>
    </w:p>
    <w:p w14:paraId="0A835ECB" w14:textId="77777777" w:rsidR="00411936" w:rsidRDefault="00411936" w:rsidP="00F326E5">
      <w:pPr>
        <w:pStyle w:val="NoSpacing"/>
        <w:rPr>
          <w:rFonts w:ascii="Arial Black" w:hAnsi="Arial Black"/>
          <w:sz w:val="24"/>
          <w:szCs w:val="24"/>
        </w:rPr>
      </w:pPr>
    </w:p>
    <w:p w14:paraId="66F54AF4" w14:textId="414D1F52" w:rsidR="00411936" w:rsidRPr="006C4D29" w:rsidRDefault="00411936" w:rsidP="00411936">
      <w:pPr>
        <w:pStyle w:val="NormalWeb"/>
        <w:rPr>
          <w:rFonts w:ascii="Arial Black" w:hAnsi="Arial Black"/>
          <w:b/>
          <w:bCs/>
          <w:sz w:val="28"/>
          <w:szCs w:val="28"/>
        </w:rPr>
      </w:pPr>
      <w:r>
        <w:rPr>
          <w:rFonts w:ascii="Arial Black" w:hAnsi="Arial Black"/>
          <w:b/>
          <w:bCs/>
          <w:sz w:val="28"/>
          <w:szCs w:val="28"/>
        </w:rPr>
        <w:t>OH: ARSON – CIRCUMSTANTIAL EVIDENCE SUFFIC</w:t>
      </w:r>
      <w:r w:rsidR="0045392E">
        <w:rPr>
          <w:rFonts w:ascii="Arial Black" w:hAnsi="Arial Black"/>
          <w:b/>
          <w:bCs/>
          <w:sz w:val="28"/>
          <w:szCs w:val="28"/>
        </w:rPr>
        <w:t>I</w:t>
      </w:r>
      <w:r>
        <w:rPr>
          <w:rFonts w:ascii="Arial Black" w:hAnsi="Arial Black"/>
          <w:b/>
          <w:bCs/>
          <w:sz w:val="28"/>
          <w:szCs w:val="28"/>
        </w:rPr>
        <w:t>ENT –</w:t>
      </w:r>
      <w:r w:rsidR="00B3611E">
        <w:rPr>
          <w:rFonts w:ascii="Arial Black" w:hAnsi="Arial Black"/>
          <w:b/>
          <w:bCs/>
          <w:sz w:val="28"/>
          <w:szCs w:val="28"/>
        </w:rPr>
        <w:t xml:space="preserve"> </w:t>
      </w:r>
      <w:r>
        <w:rPr>
          <w:rFonts w:ascii="Arial Black" w:hAnsi="Arial Black"/>
          <w:b/>
          <w:bCs/>
          <w:sz w:val="28"/>
          <w:szCs w:val="28"/>
        </w:rPr>
        <w:t>ARSON REGISTRY STATUTE – JUDGE CAN SET LENGTH</w:t>
      </w:r>
    </w:p>
    <w:p w14:paraId="6B497277" w14:textId="77777777" w:rsidR="00411936" w:rsidRPr="00551DA8" w:rsidRDefault="00411936" w:rsidP="00411936">
      <w:pPr>
        <w:pStyle w:val="NormalWeb"/>
      </w:pPr>
      <w:r w:rsidRPr="00551DA8">
        <w:t xml:space="preserve">On July 13, 2023, in </w:t>
      </w:r>
      <w:r w:rsidRPr="00551DA8">
        <w:rPr>
          <w:u w:val="single"/>
        </w:rPr>
        <w:t>State of Ohio v. Anthony D. Lochart</w:t>
      </w:r>
      <w:r w:rsidRPr="00551DA8">
        <w:t xml:space="preserve">, the Court of Appeals of Ohio, Fifth District, Richland, upheld the jury conviction </w:t>
      </w:r>
      <w:r>
        <w:t xml:space="preserve">on circumstantial evidence </w:t>
      </w:r>
      <w:r w:rsidRPr="00551DA8">
        <w:t xml:space="preserve">and </w:t>
      </w:r>
      <w:r>
        <w:t xml:space="preserve">the </w:t>
      </w:r>
      <w:r w:rsidRPr="00551DA8">
        <w:t xml:space="preserve">sentence of 8-12 years, </w:t>
      </w:r>
      <w:r>
        <w:t xml:space="preserve">but order that he been on </w:t>
      </w:r>
      <w:r w:rsidRPr="00551DA8">
        <w:t>lifetime arson registry</w:t>
      </w:r>
      <w:r>
        <w:t xml:space="preserve"> must be re-sentenced.  Judges must have discretion when imposing registration period; the </w:t>
      </w:r>
      <w:r w:rsidRPr="00551DA8">
        <w:t xml:space="preserve">Ohio statute </w:t>
      </w:r>
      <w:r>
        <w:t xml:space="preserve">to be unconstitutional breach of “separation of powers” because judges can only reduce the period of registration rom lifetime to </w:t>
      </w:r>
      <w:r w:rsidRPr="00551DA8">
        <w:t>not less than 10 year</w:t>
      </w:r>
      <w:r>
        <w:t xml:space="preserve">s only </w:t>
      </w:r>
      <w:r w:rsidRPr="00551DA8">
        <w:t xml:space="preserve">if the judge </w:t>
      </w:r>
      <w:r>
        <w:t>“r</w:t>
      </w:r>
      <w:r w:rsidRPr="00551DA8">
        <w:t>eceives a request from the prosecutor and the investigating law enforcement agency to consider limiting the arson offender's registration period.</w:t>
      </w:r>
      <w:r>
        <w:t>”</w:t>
      </w:r>
      <w:r w:rsidRPr="00551DA8">
        <w:t xml:space="preserve"> </w:t>
      </w:r>
    </w:p>
    <w:p w14:paraId="7BB93AC9" w14:textId="77777777" w:rsidR="00411936" w:rsidRDefault="00411936" w:rsidP="00411936">
      <w:pPr>
        <w:pStyle w:val="NormalWeb"/>
      </w:pPr>
      <w:r>
        <w:t xml:space="preserve">The Court held: </w:t>
      </w:r>
    </w:p>
    <w:p w14:paraId="0C111F18" w14:textId="77777777" w:rsidR="00411936" w:rsidRDefault="00411936" w:rsidP="00411936">
      <w:pPr>
        <w:pStyle w:val="NormalWeb"/>
      </w:pPr>
      <w:r>
        <w:lastRenderedPageBreak/>
        <w:t xml:space="preserve">“Although the evidence was circumstantial, it is well settled that the state may rely on circumstantial evidence to prove an essential element of an offense because ‘circumstantial evidence and direct evidence inherently possess the same probative value[.]’ </w:t>
      </w:r>
      <w:r>
        <w:rPr>
          <w:rStyle w:val="Emphasis"/>
        </w:rPr>
        <w:t>Jenks</w:t>
      </w:r>
      <w:r>
        <w:t xml:space="preserve">, 61 Ohio St.3d 259, 574 N.E.2d 492 at paragraph one of the </w:t>
      </w:r>
      <w:proofErr w:type="gramStart"/>
      <w:r>
        <w:t>syllabus</w:t>
      </w:r>
      <w:proofErr w:type="gramEnd"/>
      <w:r>
        <w:t xml:space="preserve">. Lockhart had both the opportunity and the means to set the </w:t>
      </w:r>
      <w:proofErr w:type="gramStart"/>
      <w:r>
        <w:t>fire</w:t>
      </w:r>
      <w:proofErr w:type="gramEnd"/>
      <w:r>
        <w:t xml:space="preserve"> and we find the jury did not lose its way in finding he did so.</w:t>
      </w:r>
    </w:p>
    <w:p w14:paraId="07E288C1" w14:textId="77777777" w:rsidR="00411936" w:rsidRDefault="00411936" w:rsidP="00411936">
      <w:pPr>
        <w:pStyle w:val="NormalWeb"/>
      </w:pPr>
      <w:r>
        <w:t>***</w:t>
      </w:r>
    </w:p>
    <w:p w14:paraId="18A50DF6" w14:textId="77777777" w:rsidR="00411936" w:rsidRDefault="00411936" w:rsidP="00411936">
      <w:pPr>
        <w:pStyle w:val="NormalWeb"/>
      </w:pPr>
      <w:r>
        <w:t xml:space="preserve">Lockhart on appeal argues the fire could have been started by three D batteries discovered in the closet after the fire. “However, fire Captain Bob Dean, a firefighter and investigator with 28 </w:t>
      </w:r>
      <w:proofErr w:type="spellStart"/>
      <w:r>
        <w:t>years experience</w:t>
      </w:r>
      <w:proofErr w:type="spellEnd"/>
      <w:r>
        <w:t xml:space="preserve"> and hundreds of fire investigations testified he discovered no circumstance which would lead him to conclude the fire started on its own. He observed melted clothing on the floor of the closet which fueled the fire.  Dean further testified that it was highly unlikely that three D batteries would start a fire and that he has never investigated a fire which was started by batteries.”  </w:t>
      </w:r>
    </w:p>
    <w:p w14:paraId="0F15528A" w14:textId="77777777" w:rsidR="00411936" w:rsidRDefault="00411936" w:rsidP="00411936">
      <w:pPr>
        <w:pStyle w:val="NormalWeb"/>
      </w:pPr>
      <w:r>
        <w:t>***</w:t>
      </w:r>
    </w:p>
    <w:p w14:paraId="400C2624" w14:textId="77777777" w:rsidR="00411936" w:rsidRDefault="00411936" w:rsidP="00411936">
      <w:pPr>
        <w:pStyle w:val="NormalWeb"/>
      </w:pPr>
      <w:r>
        <w:t>Returning to the issue at hand [</w:t>
      </w:r>
      <w:proofErr w:type="gramStart"/>
      <w:r>
        <w:t>period of time</w:t>
      </w:r>
      <w:proofErr w:type="gramEnd"/>
      <w:r>
        <w:t xml:space="preserve"> on arson registry], the Fourth District concluded that R.C. 2909.15(D)(2) violates the separation of powers. </w:t>
      </w:r>
      <w:r>
        <w:rPr>
          <w:rStyle w:val="Emphasis"/>
        </w:rPr>
        <w:t>State v. Dingus</w:t>
      </w:r>
      <w:r>
        <w:t xml:space="preserve">, 2017-Ohio-2619, 81 N.E.3d 513, ¶ 31 (4th Dist.). The court expressed its conclusion as </w:t>
      </w:r>
      <w:proofErr w:type="gramStart"/>
      <w:r>
        <w:t>this: ‘</w:t>
      </w:r>
      <w:proofErr w:type="gramEnd"/>
      <w:r>
        <w:t>By depriving the trial court of the ability to act without the request of the prosecutor and the investigating law enforcement agency, the trial court's independence is compromised. The prosecutor and the investigating law enforcement agency effectively decide which registration periods can be reviewed by the trial court; thus, the prosecutor and the investigating law enforcement agency have an "overruling influence" over the trial court….’ We agree with the Fourth District that this statute violates the separation of powers doctrine.”</w:t>
      </w:r>
    </w:p>
    <w:p w14:paraId="3D8308CC" w14:textId="2D1FFAC9" w:rsidR="00411936" w:rsidRDefault="00411936" w:rsidP="00411936">
      <w:pPr>
        <w:pStyle w:val="NoSpacing"/>
        <w:rPr>
          <w:rFonts w:ascii="Arial Black" w:hAnsi="Arial Black"/>
          <w:sz w:val="24"/>
          <w:szCs w:val="24"/>
        </w:rPr>
      </w:pPr>
      <w:hyperlink r:id="rId180" w:history="1">
        <w:r w:rsidRPr="0052585B">
          <w:rPr>
            <w:rStyle w:val="Hyperlink"/>
            <w:rFonts w:eastAsiaTheme="majorEastAsia"/>
          </w:rPr>
          <w:t>https://public.fastcase.com/ZZhmr5v9wN%2FXOe5IsQ%2FqD6Xx7tREqB5H6wemtf0NyhN8u4NUZnGSAantyLeysRAmLMoHIDaVROEStimemn37zFtbEUi2roRyzYg1DUQ2CNY%3D?utm_medium=email&amp;_hsmi=226712652&amp;_hsenc=p2ANqtz--Q_3moeDoiaeECqEOwyhE0ZXPhDkG4WMrF3I2hrcVk-DQ0PMStF7btAcv6bivJ44RNtnNn6LFTST6ermzb3easneInYg&amp;utm_content=226712652&amp;utm_source=hs_email</w:t>
        </w:r>
      </w:hyperlink>
    </w:p>
    <w:p w14:paraId="2A015DA9" w14:textId="77777777" w:rsidR="00411936" w:rsidRPr="00755D6D" w:rsidRDefault="00411936" w:rsidP="00411936">
      <w:pPr>
        <w:pStyle w:val="NormalWeb"/>
        <w:rPr>
          <w:b/>
          <w:bCs/>
        </w:rPr>
      </w:pPr>
      <w:r w:rsidRPr="00755D6D">
        <w:rPr>
          <w:b/>
          <w:bCs/>
        </w:rPr>
        <w:t xml:space="preserve">Legal Lesson Learned: </w:t>
      </w:r>
      <w:r>
        <w:rPr>
          <w:b/>
          <w:bCs/>
        </w:rPr>
        <w:t>The defendant was properly convicted on circumstantial evidence, including testimony of FD arson investigator with 28 years of experience.</w:t>
      </w:r>
    </w:p>
    <w:p w14:paraId="456F19A4" w14:textId="77777777" w:rsidR="00411936" w:rsidRDefault="00411936" w:rsidP="00F326E5">
      <w:pPr>
        <w:pStyle w:val="NoSpacing"/>
        <w:rPr>
          <w:rFonts w:ascii="Arial Black" w:hAnsi="Arial Black"/>
          <w:sz w:val="24"/>
          <w:szCs w:val="24"/>
        </w:rPr>
      </w:pPr>
    </w:p>
    <w:p w14:paraId="357F20F6" w14:textId="77777777" w:rsidR="00411936" w:rsidRDefault="00411936" w:rsidP="00F326E5">
      <w:pPr>
        <w:pStyle w:val="NoSpacing"/>
        <w:rPr>
          <w:rFonts w:ascii="Arial Black" w:hAnsi="Arial Black"/>
          <w:sz w:val="24"/>
          <w:szCs w:val="24"/>
        </w:rPr>
      </w:pPr>
    </w:p>
    <w:p w14:paraId="4C69CE06" w14:textId="52377B39" w:rsidR="00411936" w:rsidRDefault="00411936" w:rsidP="00F326E5">
      <w:pPr>
        <w:pStyle w:val="NoSpacing"/>
        <w:rPr>
          <w:rFonts w:ascii="Arial Black" w:hAnsi="Arial Black"/>
          <w:sz w:val="24"/>
          <w:szCs w:val="24"/>
        </w:rPr>
      </w:pPr>
      <w:r>
        <w:rPr>
          <w:rFonts w:ascii="Arial Black" w:hAnsi="Arial Black"/>
          <w:sz w:val="24"/>
          <w:szCs w:val="24"/>
        </w:rPr>
        <w:t>1-128</w:t>
      </w:r>
    </w:p>
    <w:p w14:paraId="12131675" w14:textId="77777777" w:rsidR="00411936" w:rsidRDefault="00411936" w:rsidP="00F326E5">
      <w:pPr>
        <w:pStyle w:val="NoSpacing"/>
        <w:rPr>
          <w:rFonts w:ascii="Arial Black" w:hAnsi="Arial Black"/>
          <w:sz w:val="24"/>
          <w:szCs w:val="24"/>
        </w:rPr>
      </w:pPr>
    </w:p>
    <w:p w14:paraId="4A24484D" w14:textId="77777777" w:rsidR="00411936" w:rsidRDefault="00411936" w:rsidP="00411936">
      <w:pPr>
        <w:rPr>
          <w:rFonts w:ascii="Arial Black" w:hAnsi="Arial Black"/>
          <w:sz w:val="28"/>
          <w:szCs w:val="28"/>
        </w:rPr>
      </w:pPr>
      <w:r>
        <w:rPr>
          <w:rFonts w:ascii="Arial Black" w:hAnsi="Arial Black"/>
          <w:sz w:val="28"/>
          <w:szCs w:val="28"/>
        </w:rPr>
        <w:t xml:space="preserve">MD:  PLAINTIFF’S EXPERT WITNESSES CAN TESTIFY - BATTERIES IN </w:t>
      </w:r>
      <w:proofErr w:type="spellStart"/>
      <w:r>
        <w:rPr>
          <w:rFonts w:ascii="Arial Black" w:hAnsi="Arial Black"/>
          <w:sz w:val="28"/>
          <w:szCs w:val="28"/>
        </w:rPr>
        <w:t>MacPro</w:t>
      </w:r>
      <w:proofErr w:type="spellEnd"/>
      <w:r>
        <w:rPr>
          <w:rFonts w:ascii="Arial Black" w:hAnsi="Arial Black"/>
          <w:sz w:val="28"/>
          <w:szCs w:val="28"/>
        </w:rPr>
        <w:t xml:space="preserve"> LAPTOP LED TO LARGE CONDO FIRE </w:t>
      </w:r>
    </w:p>
    <w:p w14:paraId="6CF68926" w14:textId="77777777" w:rsidR="00411936" w:rsidRDefault="00411936" w:rsidP="00411936">
      <w:pPr>
        <w:rPr>
          <w:rFonts w:ascii="Times New Roman" w:hAnsi="Times New Roman"/>
          <w:sz w:val="24"/>
          <w:szCs w:val="24"/>
        </w:rPr>
      </w:pPr>
      <w:r w:rsidRPr="001A2CEB">
        <w:rPr>
          <w:rFonts w:ascii="Times New Roman" w:hAnsi="Times New Roman"/>
          <w:sz w:val="24"/>
          <w:szCs w:val="24"/>
        </w:rPr>
        <w:t>On July</w:t>
      </w:r>
      <w:r>
        <w:rPr>
          <w:rFonts w:ascii="Times New Roman" w:hAnsi="Times New Roman"/>
          <w:sz w:val="24"/>
          <w:szCs w:val="24"/>
        </w:rPr>
        <w:t xml:space="preserve"> </w:t>
      </w:r>
      <w:r w:rsidRPr="001A2CEB">
        <w:rPr>
          <w:rFonts w:ascii="Times New Roman" w:hAnsi="Times New Roman"/>
          <w:sz w:val="24"/>
          <w:szCs w:val="24"/>
        </w:rPr>
        <w:t xml:space="preserve">7, 2023, in </w:t>
      </w:r>
      <w:r w:rsidRPr="001A2CEB">
        <w:rPr>
          <w:rFonts w:ascii="Times New Roman" w:hAnsi="Times New Roman"/>
          <w:sz w:val="24"/>
          <w:szCs w:val="24"/>
          <w:u w:val="single"/>
        </w:rPr>
        <w:t>Philadelphia Indemnity Insurance Company, et al. v, Apple, Inc.</w:t>
      </w:r>
      <w:r w:rsidRPr="001A2CEB">
        <w:rPr>
          <w:rFonts w:ascii="Times New Roman" w:hAnsi="Times New Roman"/>
          <w:sz w:val="24"/>
          <w:szCs w:val="24"/>
        </w:rPr>
        <w:t xml:space="preserve">, </w:t>
      </w:r>
      <w:r>
        <w:rPr>
          <w:rFonts w:ascii="Times New Roman" w:hAnsi="Times New Roman"/>
          <w:sz w:val="24"/>
          <w:szCs w:val="24"/>
        </w:rPr>
        <w:t xml:space="preserve">U.S. District Court Judge Stephanie A. Gallaher, U.S. District Court for the District of Maryland, held that plaintiff may use three expert witnesses at trial – a memory export, and two battery fire experts. On Nov. 24, 2017, shortly after midnight a fire broke out in the bedroom of Ms. Ross in Severn House Condominiums in Annapolis, Maryland, that </w:t>
      </w:r>
      <w:proofErr w:type="gramStart"/>
      <w:r>
        <w:rPr>
          <w:rFonts w:ascii="Times New Roman" w:hAnsi="Times New Roman"/>
          <w:sz w:val="24"/>
          <w:szCs w:val="24"/>
        </w:rPr>
        <w:t>damage to</w:t>
      </w:r>
      <w:proofErr w:type="gramEnd"/>
      <w:r>
        <w:rPr>
          <w:rFonts w:ascii="Times New Roman" w:hAnsi="Times New Roman"/>
          <w:sz w:val="24"/>
          <w:szCs w:val="24"/>
        </w:rPr>
        <w:t xml:space="preserve"> her unit and surrounding units.  She initially told FD that it might have been caused by her electric heating pad (12-18 inches under her back), </w:t>
      </w:r>
      <w:r w:rsidRPr="001342A3">
        <w:rPr>
          <w:rFonts w:ascii="Times New Roman" w:hAnsi="Times New Roman"/>
          <w:sz w:val="24"/>
          <w:szCs w:val="24"/>
        </w:rPr>
        <w:t xml:space="preserve">but six weeks after the incident, Ms. Ross reviewed the fire department's report and learned that some remnants of the MacBook had been found on the remains of her mattress…. At her deposition in 2021, she testified that after reviewing the fire department's report, she had </w:t>
      </w:r>
      <w:r w:rsidRPr="001342A3">
        <w:rPr>
          <w:rFonts w:ascii="Times New Roman" w:hAnsi="Times New Roman"/>
          <w:sz w:val="24"/>
          <w:szCs w:val="24"/>
        </w:rPr>
        <w:lastRenderedPageBreak/>
        <w:t>many ‘flashbacks’ and ‘bad dreams’ that left her ‘increasingly convinced’ that the small flames she saw upon awakening were on the laptop at the foot of her bed.</w:t>
      </w:r>
      <w:r>
        <w:rPr>
          <w:rFonts w:ascii="Times New Roman" w:hAnsi="Times New Roman"/>
          <w:sz w:val="24"/>
          <w:szCs w:val="24"/>
        </w:rPr>
        <w:t xml:space="preserve"> A memory expert will be allowed to testify.  The laptop was recovered and examined – two battery experts will testify that batteries in the laptop likely caused the fire.  </w:t>
      </w:r>
    </w:p>
    <w:p w14:paraId="48F870CA" w14:textId="77777777" w:rsidR="00411936" w:rsidRDefault="00411936" w:rsidP="00411936">
      <w:pPr>
        <w:rPr>
          <w:rFonts w:ascii="Times New Roman" w:hAnsi="Times New Roman"/>
          <w:sz w:val="24"/>
          <w:szCs w:val="24"/>
        </w:rPr>
      </w:pPr>
      <w:r>
        <w:rPr>
          <w:rFonts w:ascii="Times New Roman" w:hAnsi="Times New Roman"/>
          <w:sz w:val="24"/>
          <w:szCs w:val="24"/>
        </w:rPr>
        <w:t>The Court held:</w:t>
      </w:r>
    </w:p>
    <w:p w14:paraId="7E0BC421" w14:textId="77777777" w:rsidR="00411936" w:rsidRDefault="00411936" w:rsidP="00411936">
      <w:pPr>
        <w:pStyle w:val="NormalWeb"/>
      </w:pPr>
      <w:r>
        <w:t>MEMORY EXPERT. “In this case, then, this Court will allow Dr. Weaver's proposed testimony to some extent. Specifically, he will be permitted to testify as to the process of encoding, particularly in a traumatic situation, memory reconstruction, suggestibility, and post-event information. An explanation of those general principles is relevant to the jury's consideration and weighing of Ms. Ross's testimony. Obviously, Dr. Weaver will not be permitted to opine on the ultimate issue of whether Ms. Ross's testimony is credible or incredible. But his inability to reach that issue does not mean his testimony about memory formation, retention, and alteration is irrelevant or useless to the jury… The evidence is helpful and will be permitted.”</w:t>
      </w:r>
    </w:p>
    <w:p w14:paraId="24702285" w14:textId="77777777" w:rsidR="00411936" w:rsidRPr="00A20D55" w:rsidRDefault="00411936" w:rsidP="00411936">
      <w:pPr>
        <w:rPr>
          <w:rFonts w:ascii="Times New Roman" w:hAnsi="Times New Roman"/>
          <w:sz w:val="24"/>
          <w:szCs w:val="24"/>
        </w:rPr>
      </w:pPr>
      <w:r w:rsidRPr="00A20D55">
        <w:rPr>
          <w:rFonts w:ascii="Times New Roman" w:hAnsi="Times New Roman"/>
          <w:sz w:val="24"/>
          <w:szCs w:val="24"/>
        </w:rPr>
        <w:t xml:space="preserve">BATTERY EXPERTS.  “Accordingly, Mr. Hoffmann will be permitted to testify that Ms. Ross's laptop was at a low state of charge, defined as less than fully charged, and that batteries at a low state of charge are less likely to produce enough energy to be a competent ignition source. He will not be permitted to testify more definitively that Ms. Ross's battery cell was at too low of a SoC to ignite the bedding material or cause the fire. </w:t>
      </w:r>
    </w:p>
    <w:p w14:paraId="7CE91DF5" w14:textId="77777777" w:rsidR="00411936" w:rsidRPr="00A20D55" w:rsidRDefault="00411936" w:rsidP="00411936">
      <w:pPr>
        <w:rPr>
          <w:rFonts w:ascii="Times New Roman" w:hAnsi="Times New Roman"/>
          <w:sz w:val="24"/>
          <w:szCs w:val="24"/>
        </w:rPr>
      </w:pPr>
      <w:r w:rsidRPr="00A20D55">
        <w:rPr>
          <w:rFonts w:ascii="Times New Roman" w:hAnsi="Times New Roman"/>
          <w:sz w:val="24"/>
          <w:szCs w:val="24"/>
        </w:rPr>
        <w:t xml:space="preserve">*** </w:t>
      </w:r>
    </w:p>
    <w:p w14:paraId="26634A40" w14:textId="162F3173" w:rsidR="00411936" w:rsidRDefault="00411936" w:rsidP="00411936">
      <w:pPr>
        <w:pStyle w:val="NoSpacing"/>
        <w:rPr>
          <w:rFonts w:ascii="Arial Black" w:hAnsi="Arial Black"/>
          <w:sz w:val="24"/>
          <w:szCs w:val="24"/>
        </w:rPr>
      </w:pPr>
      <w:r w:rsidRPr="00A20D55">
        <w:rPr>
          <w:rFonts w:ascii="Times New Roman" w:hAnsi="Times New Roman"/>
          <w:sz w:val="24"/>
          <w:szCs w:val="24"/>
        </w:rPr>
        <w:t xml:space="preserve">Michael Eskra is a battery expert retained by Plaintiffs. Apple does not challenge </w:t>
      </w:r>
      <w:proofErr w:type="gramStart"/>
      <w:r w:rsidRPr="00A20D55">
        <w:rPr>
          <w:rFonts w:ascii="Times New Roman" w:hAnsi="Times New Roman"/>
          <w:sz w:val="24"/>
          <w:szCs w:val="24"/>
        </w:rPr>
        <w:t>his</w:t>
      </w:r>
      <w:proofErr w:type="gramEnd"/>
      <w:r w:rsidRPr="00A20D55">
        <w:rPr>
          <w:rFonts w:ascii="Times New Roman" w:hAnsi="Times New Roman"/>
          <w:sz w:val="24"/>
          <w:szCs w:val="24"/>
        </w:rPr>
        <w:t xml:space="preserve"> expert qualifications. Instead, it contends that his methodology is unreliable because, in Apple's view, he simply looked at the CT scans of the battery cells to reach his conclusion. Because the fifth cell shows internal, localized damage to the electrode windings while the other four only have exterior damage, Mr. Eskra opines that the fifth cell shorted and caused the ignition… But because Plaintiffs are not relying on Mr. Eskra to establish conclusively the defect in the battery cell, his testimony is relevant and permissible.</w:t>
      </w:r>
      <w:r>
        <w:rPr>
          <w:rFonts w:ascii="Times New Roman" w:hAnsi="Times New Roman"/>
          <w:sz w:val="24"/>
          <w:szCs w:val="24"/>
        </w:rPr>
        <w:t xml:space="preserve">” </w:t>
      </w:r>
      <w:hyperlink r:id="rId181" w:history="1">
        <w:r w:rsidRPr="0052585B">
          <w:rPr>
            <w:rStyle w:val="Hyperlink"/>
            <w:rFonts w:ascii="Times New Roman" w:hAnsi="Times New Roman"/>
            <w:sz w:val="24"/>
            <w:szCs w:val="24"/>
          </w:rPr>
          <w:t>https://public.fastcase.com/ZZhmr5v9wN%2FXOe5IsQ%2FqD2w3LkpuglI3nASy1X40hEavWq5Hg6BXuOMAb4Q%2F0qYvRQrnGJSyHTBcFYNZH%2FPWinF4W28EQi7cn4B0%2Besltk8%3D?utm_medium=email&amp;_hsmi=226712652&amp;_hsenc=p2ANqtz--58Ne7SxJ1hr6i-F8FakyHT8npVqzhLBvm91HO15BtcmmyFpQh4X3iW-xWGAEBSVd3N4PHQcOA9a0ODtOxMPf5jkgwuw&amp;utm_content=226712652&amp;utm_source=hs_email</w:t>
        </w:r>
      </w:hyperlink>
    </w:p>
    <w:p w14:paraId="488F85A9" w14:textId="77777777" w:rsidR="00411936" w:rsidRDefault="00411936" w:rsidP="00F326E5">
      <w:pPr>
        <w:pStyle w:val="NoSpacing"/>
        <w:rPr>
          <w:rFonts w:ascii="Arial Black" w:hAnsi="Arial Black"/>
          <w:sz w:val="24"/>
          <w:szCs w:val="24"/>
        </w:rPr>
      </w:pPr>
    </w:p>
    <w:p w14:paraId="5AFE1841" w14:textId="77777777" w:rsidR="00411936" w:rsidRPr="001342A3" w:rsidRDefault="00411936" w:rsidP="00411936">
      <w:pPr>
        <w:pStyle w:val="NormalWeb"/>
        <w:rPr>
          <w:b/>
          <w:bCs/>
        </w:rPr>
      </w:pPr>
      <w:r w:rsidRPr="001342A3">
        <w:rPr>
          <w:b/>
          <w:bCs/>
        </w:rPr>
        <w:t xml:space="preserve">Legal Lesson Learned: The U.S. Supreme Court has held that trial court judges must ensure prior to trial that proposed expert testimony “both rests on a reliable foundation and is relevant to the task at hand.” </w:t>
      </w:r>
      <w:r w:rsidRPr="001342A3">
        <w:rPr>
          <w:rStyle w:val="Emphasis"/>
          <w:b/>
          <w:bCs/>
        </w:rPr>
        <w:t>Daubert v. Merrell Dow Pharm., Inc.</w:t>
      </w:r>
      <w:r w:rsidRPr="001342A3">
        <w:rPr>
          <w:b/>
          <w:bCs/>
        </w:rPr>
        <w:t>, 509 U.S. 579, 597 (1993).</w:t>
      </w:r>
      <w:r>
        <w:rPr>
          <w:b/>
          <w:bCs/>
        </w:rPr>
        <w:t xml:space="preserve"> </w:t>
      </w:r>
      <w:hyperlink r:id="rId182" w:history="1">
        <w:r w:rsidRPr="0052585B">
          <w:rPr>
            <w:rStyle w:val="Hyperlink"/>
            <w:rFonts w:eastAsiaTheme="majorEastAsia"/>
            <w:b/>
            <w:bCs/>
          </w:rPr>
          <w:t>https://www.loc.gov/item/usrep509579/</w:t>
        </w:r>
      </w:hyperlink>
      <w:r>
        <w:rPr>
          <w:b/>
          <w:bCs/>
        </w:rPr>
        <w:t xml:space="preserve"> </w:t>
      </w:r>
    </w:p>
    <w:p w14:paraId="4A7FE11C" w14:textId="77777777" w:rsidR="00411936" w:rsidRDefault="00411936" w:rsidP="00F326E5">
      <w:pPr>
        <w:pStyle w:val="NoSpacing"/>
        <w:rPr>
          <w:rFonts w:ascii="Arial Black" w:hAnsi="Arial Black"/>
          <w:sz w:val="24"/>
          <w:szCs w:val="24"/>
        </w:rPr>
      </w:pPr>
    </w:p>
    <w:p w14:paraId="3C916086" w14:textId="77777777" w:rsidR="00411936" w:rsidRDefault="00411936" w:rsidP="00F326E5">
      <w:pPr>
        <w:pStyle w:val="NoSpacing"/>
        <w:rPr>
          <w:rFonts w:ascii="Arial Black" w:hAnsi="Arial Black"/>
          <w:sz w:val="24"/>
          <w:szCs w:val="24"/>
        </w:rPr>
      </w:pPr>
    </w:p>
    <w:p w14:paraId="5AD45CF8" w14:textId="77777777" w:rsidR="00411936" w:rsidRDefault="00411936" w:rsidP="00F326E5">
      <w:pPr>
        <w:pStyle w:val="NoSpacing"/>
        <w:rPr>
          <w:rFonts w:ascii="Arial Black" w:hAnsi="Arial Black"/>
          <w:sz w:val="24"/>
          <w:szCs w:val="24"/>
        </w:rPr>
      </w:pPr>
    </w:p>
    <w:p w14:paraId="29FF4140" w14:textId="77777777" w:rsidR="00411936" w:rsidRDefault="00411936" w:rsidP="00F326E5">
      <w:pPr>
        <w:pStyle w:val="NoSpacing"/>
        <w:rPr>
          <w:rFonts w:ascii="Arial Black" w:hAnsi="Arial Black"/>
          <w:sz w:val="24"/>
          <w:szCs w:val="24"/>
        </w:rPr>
      </w:pPr>
    </w:p>
    <w:p w14:paraId="60332905" w14:textId="1FFF8E35" w:rsidR="00AB637D" w:rsidRDefault="00FE60DA" w:rsidP="00F326E5">
      <w:pPr>
        <w:pStyle w:val="NoSpacing"/>
        <w:rPr>
          <w:rFonts w:ascii="Arial Black" w:hAnsi="Arial Black"/>
          <w:sz w:val="24"/>
          <w:szCs w:val="24"/>
        </w:rPr>
      </w:pPr>
      <w:r>
        <w:rPr>
          <w:rFonts w:ascii="Arial Black" w:hAnsi="Arial Black"/>
          <w:sz w:val="24"/>
          <w:szCs w:val="24"/>
        </w:rPr>
        <w:t>1-127</w:t>
      </w:r>
    </w:p>
    <w:p w14:paraId="20CFB8DB" w14:textId="77777777" w:rsidR="00FE60DA" w:rsidRPr="00A37F68" w:rsidRDefault="00FE60DA" w:rsidP="00FE60DA">
      <w:pPr>
        <w:pStyle w:val="NormalWeb"/>
        <w:rPr>
          <w:rFonts w:ascii="Arial Black" w:hAnsi="Arial Black"/>
          <w:sz w:val="28"/>
          <w:szCs w:val="28"/>
        </w:rPr>
      </w:pPr>
      <w:r>
        <w:rPr>
          <w:rFonts w:ascii="Arial Black" w:hAnsi="Arial Black"/>
          <w:sz w:val="28"/>
          <w:szCs w:val="28"/>
        </w:rPr>
        <w:t>PA: ARSON – SET FIRE IN HOUSE WITH FOUR POLICE OFFICERS PRESENT – FOUR CONSECUTIVE JAIL TERMS</w:t>
      </w:r>
    </w:p>
    <w:p w14:paraId="5BF37B01" w14:textId="77777777" w:rsidR="00FE60DA" w:rsidRDefault="00FE60DA" w:rsidP="00FE60DA">
      <w:pPr>
        <w:pStyle w:val="NormalWeb"/>
      </w:pPr>
      <w:r w:rsidRPr="00A37F68">
        <w:lastRenderedPageBreak/>
        <w:t xml:space="preserve">On June 30, 2023, </w:t>
      </w:r>
      <w:r>
        <w:t xml:space="preserve">in </w:t>
      </w:r>
      <w:r w:rsidRPr="00A37F68">
        <w:rPr>
          <w:u w:val="single"/>
        </w:rPr>
        <w:t>Commonwealth of Pennsylvania v. Vincent Smith</w:t>
      </w:r>
      <w:r>
        <w:t xml:space="preserve">, the Superior Court of Pennsylvania held (9 to 0) that trial court properly imposed four terms of imprisonment (four to eight years each), after he pled </w:t>
      </w:r>
      <w:r w:rsidRPr="00A4543F">
        <w:t>guilty to two counts of voluntary manslaughter and four counts of arson endangering persons</w:t>
      </w:r>
      <w:r>
        <w:t xml:space="preserve">.  He endangered four police officers when lighting gasoline he previously poured in house, trying to commit suicide after killing two men.  </w:t>
      </w:r>
    </w:p>
    <w:p w14:paraId="26C2C036" w14:textId="77777777" w:rsidR="00FE60DA" w:rsidRPr="00D73B76" w:rsidRDefault="00FE60DA" w:rsidP="00FE60DA">
      <w:pPr>
        <w:pStyle w:val="NormalWeb"/>
      </w:pPr>
      <w:r>
        <w:t>The Court held: “</w:t>
      </w:r>
      <w:r w:rsidRPr="00D73B76">
        <w:t>In sum, we conclude that under the plain language and meaning of Subsection 3301(a)(1)(</w:t>
      </w:r>
      <w:proofErr w:type="spellStart"/>
      <w:r w:rsidRPr="00D73B76">
        <w:t>i</w:t>
      </w:r>
      <w:proofErr w:type="spellEnd"/>
      <w:r w:rsidRPr="00D73B76">
        <w:t xml:space="preserve">), within the arson endangering persons statute, the unit of prosecution is the intentional starting of a fire which recklessly places another person in danger of death or bodily injury. </w:t>
      </w:r>
      <w:r w:rsidRPr="00D73B76">
        <w:rPr>
          <w:i/>
          <w:iCs/>
        </w:rPr>
        <w:t>See</w:t>
      </w:r>
      <w:r w:rsidRPr="00D73B76">
        <w:t xml:space="preserve"> 18 </w:t>
      </w:r>
      <w:proofErr w:type="spellStart"/>
      <w:r w:rsidRPr="00D73B76">
        <w:t>Pa.C.S</w:t>
      </w:r>
      <w:proofErr w:type="spellEnd"/>
      <w:r w:rsidRPr="00D73B76">
        <w:t>. § 3301(a)(1)(</w:t>
      </w:r>
      <w:proofErr w:type="spellStart"/>
      <w:r w:rsidRPr="00D73B76">
        <w:t>i</w:t>
      </w:r>
      <w:proofErr w:type="spellEnd"/>
      <w:r w:rsidRPr="00D73B76">
        <w:t xml:space="preserve">). Accordingly, a defendant may be convicted of and sentenced separately on multiple counts if one act of arson causes more than one person to be in danger of death or bodily injury. Applying this holding to the case </w:t>
      </w:r>
      <w:r w:rsidRPr="00D73B76">
        <w:rPr>
          <w:i/>
          <w:iCs/>
        </w:rPr>
        <w:t>sub judice,</w:t>
      </w:r>
      <w:r w:rsidRPr="00D73B76">
        <w:t xml:space="preserve"> we affirm the separate sentences imposed on each of Appellant's four arson endangering persons convictions, and hold they are not illegal.</w:t>
      </w:r>
      <w:r>
        <w:t xml:space="preserve">”  </w:t>
      </w:r>
      <w:hyperlink r:id="rId183" w:history="1">
        <w:r w:rsidRPr="00812663">
          <w:rPr>
            <w:rStyle w:val="Hyperlink"/>
          </w:rPr>
          <w:t>https://casetext.com/case/commonwealth-v-smith-1490</w:t>
        </w:r>
      </w:hyperlink>
      <w:r>
        <w:t xml:space="preserve"> </w:t>
      </w:r>
    </w:p>
    <w:p w14:paraId="34AA63B7" w14:textId="77777777" w:rsidR="00FE60DA" w:rsidRPr="00D73B76" w:rsidRDefault="00FE60DA" w:rsidP="00FE60DA">
      <w:pPr>
        <w:pStyle w:val="NormalWeb"/>
        <w:rPr>
          <w:b/>
          <w:bCs/>
        </w:rPr>
      </w:pPr>
      <w:r>
        <w:rPr>
          <w:b/>
          <w:bCs/>
        </w:rPr>
        <w:t xml:space="preserve">Legal Lessons Learned:  The defendant endangered the lives of four policers; the Court properly imposed four separate prison terms. </w:t>
      </w:r>
    </w:p>
    <w:p w14:paraId="7FE21F17" w14:textId="0D6F4E98" w:rsidR="00FE60DA" w:rsidRDefault="00FE60DA" w:rsidP="00F326E5">
      <w:pPr>
        <w:pStyle w:val="NoSpacing"/>
        <w:rPr>
          <w:rFonts w:ascii="Arial Black" w:hAnsi="Arial Black"/>
          <w:sz w:val="24"/>
          <w:szCs w:val="24"/>
        </w:rPr>
      </w:pPr>
      <w:r>
        <w:rPr>
          <w:rFonts w:ascii="Arial Black" w:hAnsi="Arial Black"/>
          <w:sz w:val="24"/>
          <w:szCs w:val="24"/>
        </w:rPr>
        <w:t>1-126</w:t>
      </w:r>
    </w:p>
    <w:p w14:paraId="1ADF81C3" w14:textId="77777777" w:rsidR="00FE60DA" w:rsidRDefault="00FE60DA" w:rsidP="00F326E5">
      <w:pPr>
        <w:pStyle w:val="NoSpacing"/>
        <w:rPr>
          <w:rFonts w:ascii="Arial Black" w:hAnsi="Arial Black"/>
          <w:sz w:val="24"/>
          <w:szCs w:val="24"/>
        </w:rPr>
      </w:pPr>
    </w:p>
    <w:p w14:paraId="199D03FD" w14:textId="77777777" w:rsidR="00FE60DA" w:rsidRPr="00954CB5" w:rsidRDefault="00FE60DA" w:rsidP="00FE60DA">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 xml:space="preserve">NY: EMT POTENTIAL JUROR BURGLARY CASE – CAN’T SERVE IF ADMITS VIEWS PD “VERY FAVORABLE LIGHT” </w:t>
      </w:r>
    </w:p>
    <w:p w14:paraId="37AEB98F" w14:textId="77777777" w:rsidR="00FE60DA" w:rsidRDefault="00FE60DA" w:rsidP="00FE60DA">
      <w:pPr>
        <w:tabs>
          <w:tab w:val="left" w:pos="3582"/>
        </w:tabs>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On June 30, 2023, in </w:t>
      </w:r>
      <w:r w:rsidRPr="00954CB5">
        <w:rPr>
          <w:rFonts w:ascii="Times New Roman" w:hAnsi="Times New Roman"/>
          <w:sz w:val="24"/>
          <w:szCs w:val="24"/>
          <w:u w:val="single"/>
        </w:rPr>
        <w:t>The People Of The State Of New York v. Herbert Smith</w:t>
      </w:r>
      <w:r>
        <w:rPr>
          <w:rFonts w:ascii="Times New Roman" w:hAnsi="Times New Roman"/>
          <w:sz w:val="24"/>
          <w:szCs w:val="24"/>
        </w:rPr>
        <w:t xml:space="preserve">, the Supreme Court of New York, Fourth Division, held (5 to 0) that the burglary defendant is entitled to a new jury trial because two prospective jurors, including an EMT who during voir dire told defense counsel he saw police in “very positive light” were not automatically removed by the judge.  The defense attorney had to use two preparatory challenges to keep them off the jury.  </w:t>
      </w:r>
    </w:p>
    <w:p w14:paraId="451162B7" w14:textId="77777777" w:rsidR="00FE60DA" w:rsidRDefault="00FE60DA" w:rsidP="00FE60DA">
      <w:pPr>
        <w:tabs>
          <w:tab w:val="left" w:pos="3582"/>
        </w:tabs>
        <w:spacing w:before="100" w:beforeAutospacing="1" w:after="100" w:afterAutospacing="1" w:line="240" w:lineRule="auto"/>
        <w:rPr>
          <w:rFonts w:ascii="Times New Roman" w:hAnsi="Times New Roman"/>
          <w:sz w:val="24"/>
          <w:szCs w:val="24"/>
        </w:rPr>
      </w:pPr>
      <w:r>
        <w:rPr>
          <w:rFonts w:ascii="Times New Roman" w:hAnsi="Times New Roman"/>
          <w:sz w:val="24"/>
          <w:szCs w:val="24"/>
        </w:rPr>
        <w:t>The Court held: “</w:t>
      </w:r>
      <w:r w:rsidRPr="001449DC">
        <w:rPr>
          <w:rFonts w:ascii="Times New Roman" w:hAnsi="Times New Roman"/>
          <w:sz w:val="24"/>
          <w:szCs w:val="24"/>
        </w:rPr>
        <w:t xml:space="preserve">It is well established that, when a prospective juror makes a statement or statements that </w:t>
      </w:r>
      <w:r>
        <w:rPr>
          <w:rFonts w:ascii="Times New Roman" w:hAnsi="Times New Roman"/>
          <w:sz w:val="24"/>
          <w:szCs w:val="24"/>
        </w:rPr>
        <w:t>‘</w:t>
      </w:r>
      <w:r w:rsidRPr="001449DC">
        <w:rPr>
          <w:rFonts w:ascii="Times New Roman" w:hAnsi="Times New Roman"/>
          <w:sz w:val="24"/>
          <w:szCs w:val="24"/>
        </w:rPr>
        <w:t>cast serious doubt on their ability to render an impartial verdict</w:t>
      </w:r>
      <w:r>
        <w:rPr>
          <w:rFonts w:ascii="Times New Roman" w:hAnsi="Times New Roman"/>
          <w:sz w:val="24"/>
          <w:szCs w:val="24"/>
        </w:rPr>
        <w:t>’</w:t>
      </w:r>
      <w:r w:rsidRPr="001449DC">
        <w:rPr>
          <w:rFonts w:ascii="Times New Roman" w:hAnsi="Times New Roman"/>
          <w:sz w:val="24"/>
          <w:szCs w:val="24"/>
        </w:rPr>
        <w:t xml:space="preserve"> (</w:t>
      </w:r>
      <w:r w:rsidRPr="001449DC">
        <w:rPr>
          <w:rStyle w:val="Emphasis"/>
          <w:rFonts w:ascii="Times New Roman" w:hAnsi="Times New Roman"/>
          <w:sz w:val="24"/>
          <w:szCs w:val="24"/>
        </w:rPr>
        <w:t>People v Arnold</w:t>
      </w:r>
      <w:r w:rsidRPr="001449DC">
        <w:rPr>
          <w:rFonts w:ascii="Times New Roman" w:hAnsi="Times New Roman"/>
          <w:sz w:val="24"/>
          <w:szCs w:val="24"/>
        </w:rPr>
        <w:t xml:space="preserve">, 96 N.Y.2d 358, 363 [2001]), that prospective juror must be excused for cause unless they provide an </w:t>
      </w:r>
      <w:r>
        <w:rPr>
          <w:rFonts w:ascii="Times New Roman" w:hAnsi="Times New Roman"/>
          <w:sz w:val="24"/>
          <w:szCs w:val="24"/>
        </w:rPr>
        <w:t>‘</w:t>
      </w:r>
      <w:r w:rsidRPr="001449DC">
        <w:rPr>
          <w:rFonts w:ascii="Times New Roman" w:hAnsi="Times New Roman"/>
          <w:sz w:val="24"/>
          <w:szCs w:val="24"/>
        </w:rPr>
        <w:t>unequivocal assurance that they can set aside any bias and render an impartial verdict based on the evidence</w:t>
      </w:r>
      <w:r>
        <w:rPr>
          <w:rFonts w:ascii="Times New Roman" w:hAnsi="Times New Roman"/>
          <w:sz w:val="24"/>
          <w:szCs w:val="24"/>
        </w:rPr>
        <w:t>’</w:t>
      </w:r>
      <w:r w:rsidRPr="001449DC">
        <w:rPr>
          <w:rFonts w:ascii="Times New Roman" w:hAnsi="Times New Roman"/>
          <w:sz w:val="24"/>
          <w:szCs w:val="24"/>
        </w:rPr>
        <w:t xml:space="preserve"> (</w:t>
      </w:r>
      <w:r w:rsidRPr="001449DC">
        <w:rPr>
          <w:rStyle w:val="Emphasis"/>
          <w:rFonts w:ascii="Times New Roman" w:hAnsi="Times New Roman"/>
          <w:sz w:val="24"/>
          <w:szCs w:val="24"/>
        </w:rPr>
        <w:t>People v Johnson</w:t>
      </w:r>
      <w:r w:rsidRPr="001449DC">
        <w:rPr>
          <w:rFonts w:ascii="Times New Roman" w:hAnsi="Times New Roman"/>
          <w:sz w:val="24"/>
          <w:szCs w:val="24"/>
        </w:rPr>
        <w:t xml:space="preserve">, 94 N.Y.2d 600, 614 [2000]; </w:t>
      </w:r>
      <w:r w:rsidRPr="001449DC">
        <w:rPr>
          <w:rStyle w:val="Emphasis"/>
          <w:rFonts w:ascii="Times New Roman" w:hAnsi="Times New Roman"/>
          <w:sz w:val="24"/>
          <w:szCs w:val="24"/>
        </w:rPr>
        <w:t>see People v Nicholas</w:t>
      </w:r>
      <w:r w:rsidRPr="001449DC">
        <w:rPr>
          <w:rFonts w:ascii="Times New Roman" w:hAnsi="Times New Roman"/>
          <w:sz w:val="24"/>
          <w:szCs w:val="24"/>
        </w:rPr>
        <w:t xml:space="preserve">, 98 N.Y.2d 749, 750 [2002]; </w:t>
      </w:r>
      <w:r w:rsidRPr="001449DC">
        <w:rPr>
          <w:rStyle w:val="Emphasis"/>
          <w:rFonts w:ascii="Times New Roman" w:hAnsi="Times New Roman"/>
          <w:sz w:val="24"/>
          <w:szCs w:val="24"/>
        </w:rPr>
        <w:t>People v Chambers</w:t>
      </w:r>
      <w:r w:rsidRPr="001449DC">
        <w:rPr>
          <w:rFonts w:ascii="Times New Roman" w:hAnsi="Times New Roman"/>
          <w:sz w:val="24"/>
          <w:szCs w:val="24"/>
        </w:rPr>
        <w:t>, 97 N.Y.2d 417, 419 [2002]).</w:t>
      </w:r>
      <w:r>
        <w:rPr>
          <w:rFonts w:ascii="Times New Roman" w:hAnsi="Times New Roman"/>
          <w:sz w:val="24"/>
          <w:szCs w:val="24"/>
        </w:rPr>
        <w:t xml:space="preserve">” </w:t>
      </w:r>
      <w:hyperlink r:id="rId184" w:history="1">
        <w:r w:rsidRPr="00812663">
          <w:rPr>
            <w:rStyle w:val="Hyperlink"/>
            <w:sz w:val="24"/>
            <w:szCs w:val="24"/>
          </w:rPr>
          <w:t>https://casetext.com/case/people-v-smith-9160</w:t>
        </w:r>
      </w:hyperlink>
      <w:r>
        <w:rPr>
          <w:rFonts w:ascii="Times New Roman" w:hAnsi="Times New Roman"/>
          <w:sz w:val="24"/>
          <w:szCs w:val="24"/>
        </w:rPr>
        <w:t xml:space="preserve"> </w:t>
      </w:r>
    </w:p>
    <w:p w14:paraId="08DB923B" w14:textId="77777777" w:rsidR="00FE60DA" w:rsidRPr="001449DC" w:rsidRDefault="00FE60DA" w:rsidP="00FE60DA">
      <w:pPr>
        <w:spacing w:before="100" w:beforeAutospacing="1" w:after="100" w:afterAutospacing="1" w:line="240" w:lineRule="auto"/>
        <w:rPr>
          <w:rFonts w:ascii="Times New Roman" w:eastAsia="Times New Roman" w:hAnsi="Times New Roman"/>
          <w:b/>
          <w:bCs/>
          <w:sz w:val="24"/>
          <w:szCs w:val="24"/>
        </w:rPr>
      </w:pPr>
      <w:r w:rsidRPr="001449DC">
        <w:rPr>
          <w:rFonts w:ascii="Times New Roman" w:hAnsi="Times New Roman"/>
          <w:b/>
          <w:bCs/>
          <w:sz w:val="24"/>
          <w:szCs w:val="24"/>
        </w:rPr>
        <w:t xml:space="preserve">Legal Lesson Learned: </w:t>
      </w:r>
      <w:r>
        <w:rPr>
          <w:rFonts w:ascii="Times New Roman" w:hAnsi="Times New Roman"/>
          <w:b/>
          <w:bCs/>
          <w:sz w:val="24"/>
          <w:szCs w:val="24"/>
        </w:rPr>
        <w:t>EMS and firefighters can be jurors in criminal cases, but not if they tell Court they view police in a “very positive light.”</w:t>
      </w:r>
    </w:p>
    <w:p w14:paraId="1108CC94" w14:textId="77777777" w:rsidR="00FE60DA" w:rsidRDefault="00FE60DA" w:rsidP="00F326E5">
      <w:pPr>
        <w:pStyle w:val="NoSpacing"/>
        <w:rPr>
          <w:rFonts w:ascii="Arial Black" w:hAnsi="Arial Black"/>
          <w:sz w:val="24"/>
          <w:szCs w:val="24"/>
        </w:rPr>
      </w:pPr>
    </w:p>
    <w:p w14:paraId="78EC9D04" w14:textId="0E74EAEB" w:rsidR="00FE60DA" w:rsidRDefault="00FE60DA" w:rsidP="00F326E5">
      <w:pPr>
        <w:pStyle w:val="NoSpacing"/>
        <w:rPr>
          <w:rFonts w:ascii="Arial Black" w:hAnsi="Arial Black"/>
          <w:sz w:val="24"/>
          <w:szCs w:val="24"/>
        </w:rPr>
      </w:pPr>
      <w:r>
        <w:rPr>
          <w:rFonts w:ascii="Arial Black" w:hAnsi="Arial Black"/>
          <w:sz w:val="24"/>
          <w:szCs w:val="24"/>
        </w:rPr>
        <w:t>1-125</w:t>
      </w:r>
    </w:p>
    <w:p w14:paraId="5A928EE9" w14:textId="77777777" w:rsidR="00FE60DA" w:rsidRDefault="00FE60DA" w:rsidP="00F326E5">
      <w:pPr>
        <w:pStyle w:val="NoSpacing"/>
        <w:rPr>
          <w:rFonts w:ascii="Arial Black" w:hAnsi="Arial Black"/>
          <w:sz w:val="24"/>
          <w:szCs w:val="24"/>
        </w:rPr>
      </w:pPr>
    </w:p>
    <w:p w14:paraId="2A62469C" w14:textId="77777777" w:rsidR="00FE60DA" w:rsidRDefault="00FE60DA" w:rsidP="00FE60DA">
      <w:pPr>
        <w:pStyle w:val="NormalWeb"/>
        <w:jc w:val="both"/>
        <w:rPr>
          <w:rFonts w:ascii="Arial Black" w:hAnsi="Arial Black"/>
          <w:sz w:val="28"/>
          <w:szCs w:val="28"/>
        </w:rPr>
      </w:pPr>
      <w:r>
        <w:rPr>
          <w:rFonts w:ascii="Arial Black" w:hAnsi="Arial Black"/>
          <w:sz w:val="28"/>
          <w:szCs w:val="28"/>
        </w:rPr>
        <w:t xml:space="preserve">OH: CITY ORDERED VACANT BLDG DEMOLISHED – MAIL NOTICE OWNER RETURNED – DUE PROCESS CASE PROCEED </w:t>
      </w:r>
    </w:p>
    <w:p w14:paraId="173B8632" w14:textId="77777777" w:rsidR="00FE60DA" w:rsidRDefault="00FE60DA" w:rsidP="00FE60DA">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On June 15, 2023, in </w:t>
      </w:r>
      <w:r w:rsidRPr="00856DBC">
        <w:rPr>
          <w:rFonts w:ascii="Times New Roman" w:hAnsi="Times New Roman"/>
          <w:sz w:val="24"/>
          <w:szCs w:val="24"/>
          <w:u w:val="single"/>
        </w:rPr>
        <w:t>Two Bridges, LLC v. City of Youngstown, Ohio</w:t>
      </w:r>
      <w:r>
        <w:rPr>
          <w:rFonts w:ascii="Times New Roman" w:hAnsi="Times New Roman"/>
          <w:sz w:val="24"/>
          <w:szCs w:val="24"/>
        </w:rPr>
        <w:t>, the U.S. Court of Appeals for 6</w:t>
      </w:r>
      <w:r w:rsidRPr="00856DBC">
        <w:rPr>
          <w:rFonts w:ascii="Times New Roman" w:hAnsi="Times New Roman"/>
          <w:sz w:val="24"/>
          <w:szCs w:val="24"/>
          <w:vertAlign w:val="superscript"/>
        </w:rPr>
        <w:t>th</w:t>
      </w:r>
      <w:r>
        <w:rPr>
          <w:rFonts w:ascii="Times New Roman" w:hAnsi="Times New Roman"/>
          <w:sz w:val="24"/>
          <w:szCs w:val="24"/>
        </w:rPr>
        <w:t xml:space="preserve"> Circuit (Cincinnati), held (3 to 0; unpublished decision) that U.S. District Court Judge properly held the city’s immunity under Ohio law does not apply in a lawsuit under 42 U.S.C. 1983 for violation of due process rights </w:t>
      </w:r>
      <w:r>
        <w:rPr>
          <w:rFonts w:ascii="Times New Roman" w:hAnsi="Times New Roman"/>
          <w:sz w:val="24"/>
          <w:szCs w:val="24"/>
        </w:rPr>
        <w:lastRenderedPageBreak/>
        <w:t>of 14</w:t>
      </w:r>
      <w:r w:rsidRPr="004A01B0">
        <w:rPr>
          <w:rFonts w:ascii="Times New Roman" w:hAnsi="Times New Roman"/>
          <w:sz w:val="24"/>
          <w:szCs w:val="24"/>
          <w:vertAlign w:val="superscript"/>
        </w:rPr>
        <w:t>th</w:t>
      </w:r>
      <w:r>
        <w:rPr>
          <w:rFonts w:ascii="Times New Roman" w:hAnsi="Times New Roman"/>
          <w:sz w:val="24"/>
          <w:szCs w:val="24"/>
        </w:rPr>
        <w:t xml:space="preserve"> Amendment to U.S. Constitution. The city mailed several notices of planned demolition that were addressed to the property that had been vacant for four years (none delivered).  The city also mailed notices to two other businesses owned by Two Bridges; all returned undelivered. </w:t>
      </w:r>
    </w:p>
    <w:p w14:paraId="6197F67E" w14:textId="77777777" w:rsidR="00FE60DA" w:rsidRPr="004A01B0" w:rsidRDefault="00FE60DA" w:rsidP="00FE60DA">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The Court held: </w:t>
      </w:r>
      <w:r w:rsidRPr="00A3158D">
        <w:rPr>
          <w:rFonts w:ascii="Times New Roman" w:hAnsi="Times New Roman"/>
          <w:sz w:val="24"/>
          <w:szCs w:val="24"/>
        </w:rPr>
        <w:t xml:space="preserve">“The district court denied the city's motion, finding that a state-law provision exempting federal claims from statutory immunity applies. Youngstown now brings this appeal. </w:t>
      </w:r>
      <w:proofErr w:type="gramStart"/>
      <w:r w:rsidRPr="00A3158D">
        <w:rPr>
          <w:rFonts w:ascii="Times New Roman" w:hAnsi="Times New Roman"/>
          <w:sz w:val="24"/>
          <w:szCs w:val="24"/>
        </w:rPr>
        <w:t>For the reasons that</w:t>
      </w:r>
      <w:proofErr w:type="gramEnd"/>
      <w:r w:rsidRPr="00A3158D">
        <w:rPr>
          <w:rFonts w:ascii="Times New Roman" w:hAnsi="Times New Roman"/>
          <w:sz w:val="24"/>
          <w:szCs w:val="24"/>
        </w:rPr>
        <w:t xml:space="preserve"> follow, we AFFIRM the judgment of the district court. *** </w:t>
      </w:r>
      <w:r w:rsidRPr="004A01B0">
        <w:rPr>
          <w:rFonts w:ascii="Times New Roman" w:hAnsi="Times New Roman"/>
          <w:sz w:val="24"/>
          <w:szCs w:val="24"/>
        </w:rPr>
        <w:t xml:space="preserve">In sum, whether a plaintiff can invoke the federal exception to statutory immunity depends on the substance of his claim. Properly pleaded due process claims under the federal Constitution are not transformed into tort actions simply because they are raised in the wake of a </w:t>
      </w:r>
      <w:proofErr w:type="gramStart"/>
      <w:r w:rsidRPr="004A01B0">
        <w:rPr>
          <w:rFonts w:ascii="Times New Roman" w:hAnsi="Times New Roman"/>
          <w:sz w:val="24"/>
          <w:szCs w:val="24"/>
        </w:rPr>
        <w:t>demolition.</w:t>
      </w:r>
      <w:r>
        <w:rPr>
          <w:rFonts w:ascii="Times New Roman" w:hAnsi="Times New Roman"/>
          <w:sz w:val="24"/>
          <w:szCs w:val="24"/>
        </w:rPr>
        <w:t>”</w:t>
      </w:r>
      <w:proofErr w:type="gramEnd"/>
      <w:r w:rsidRPr="004A01B0">
        <w:t xml:space="preserve"> </w:t>
      </w:r>
      <w:hyperlink r:id="rId185" w:history="1">
        <w:r w:rsidRPr="00812663">
          <w:rPr>
            <w:rStyle w:val="Hyperlink"/>
          </w:rPr>
          <w:t>https://casetext.com/case/two-bridges-llc-v-city-of-youngstown</w:t>
        </w:r>
      </w:hyperlink>
      <w:r>
        <w:t xml:space="preserve"> </w:t>
      </w:r>
    </w:p>
    <w:p w14:paraId="0DF0F6BE" w14:textId="77777777" w:rsidR="00FE60DA" w:rsidRPr="00A3158D" w:rsidRDefault="00FE60DA" w:rsidP="00FE60DA">
      <w:pPr>
        <w:spacing w:before="100" w:beforeAutospacing="1" w:after="100" w:afterAutospacing="1" w:line="240" w:lineRule="auto"/>
        <w:rPr>
          <w:rFonts w:ascii="Times New Roman" w:hAnsi="Times New Roman"/>
          <w:b/>
          <w:bCs/>
          <w:sz w:val="24"/>
          <w:szCs w:val="24"/>
        </w:rPr>
      </w:pPr>
      <w:r w:rsidRPr="00A3158D">
        <w:rPr>
          <w:rFonts w:ascii="Times New Roman" w:hAnsi="Times New Roman"/>
          <w:b/>
          <w:bCs/>
          <w:sz w:val="24"/>
          <w:szCs w:val="24"/>
        </w:rPr>
        <w:t>Legal Lesson Learned:</w:t>
      </w:r>
      <w:r>
        <w:rPr>
          <w:rFonts w:ascii="Times New Roman" w:hAnsi="Times New Roman"/>
          <w:b/>
          <w:bCs/>
          <w:sz w:val="24"/>
          <w:szCs w:val="24"/>
        </w:rPr>
        <w:t xml:space="preserve"> If notices of demolition are returned undelivered, pick up the phone and speak with the building owner. </w:t>
      </w:r>
    </w:p>
    <w:p w14:paraId="4852C527" w14:textId="77777777" w:rsidR="00FE60DA" w:rsidRDefault="00FE60DA" w:rsidP="00F326E5">
      <w:pPr>
        <w:pStyle w:val="NoSpacing"/>
        <w:rPr>
          <w:rFonts w:ascii="Arial Black" w:hAnsi="Arial Black"/>
          <w:sz w:val="24"/>
          <w:szCs w:val="24"/>
        </w:rPr>
      </w:pPr>
    </w:p>
    <w:p w14:paraId="38FE32E2" w14:textId="77777777" w:rsidR="00FE60DA" w:rsidRDefault="00FE60DA" w:rsidP="00F326E5">
      <w:pPr>
        <w:pStyle w:val="NoSpacing"/>
        <w:rPr>
          <w:rFonts w:ascii="Arial Black" w:hAnsi="Arial Black"/>
          <w:sz w:val="24"/>
          <w:szCs w:val="24"/>
        </w:rPr>
      </w:pPr>
    </w:p>
    <w:p w14:paraId="23B5C202" w14:textId="77777777" w:rsidR="00FE60DA" w:rsidRDefault="00FE60DA" w:rsidP="00F326E5">
      <w:pPr>
        <w:pStyle w:val="NoSpacing"/>
        <w:rPr>
          <w:rFonts w:ascii="Arial Black" w:hAnsi="Arial Black"/>
          <w:sz w:val="24"/>
          <w:szCs w:val="24"/>
        </w:rPr>
      </w:pPr>
    </w:p>
    <w:p w14:paraId="4097D758" w14:textId="0AF2E7DD" w:rsidR="00DC17BF" w:rsidRDefault="00DC17BF" w:rsidP="00F326E5">
      <w:pPr>
        <w:pStyle w:val="NoSpacing"/>
        <w:rPr>
          <w:rFonts w:ascii="Arial Black" w:hAnsi="Arial Black"/>
          <w:sz w:val="24"/>
          <w:szCs w:val="24"/>
        </w:rPr>
      </w:pPr>
      <w:r>
        <w:rPr>
          <w:rFonts w:ascii="Arial Black" w:hAnsi="Arial Black"/>
          <w:sz w:val="24"/>
          <w:szCs w:val="24"/>
        </w:rPr>
        <w:t>1-124</w:t>
      </w:r>
    </w:p>
    <w:p w14:paraId="52AD7C5D" w14:textId="77777777" w:rsidR="00DC17BF" w:rsidRDefault="00DC17BF" w:rsidP="00F326E5">
      <w:pPr>
        <w:pStyle w:val="NoSpacing"/>
        <w:rPr>
          <w:rFonts w:ascii="Arial Black" w:hAnsi="Arial Black"/>
          <w:sz w:val="24"/>
          <w:szCs w:val="24"/>
        </w:rPr>
      </w:pPr>
    </w:p>
    <w:p w14:paraId="7BF9B1E2" w14:textId="77777777" w:rsidR="00DC17BF" w:rsidRDefault="00DC17BF" w:rsidP="00DC17BF">
      <w:pPr>
        <w:pStyle w:val="NormalWeb"/>
        <w:rPr>
          <w:rFonts w:ascii="Arial Black" w:hAnsi="Arial Black"/>
          <w:sz w:val="28"/>
          <w:szCs w:val="28"/>
        </w:rPr>
      </w:pPr>
      <w:bookmarkStart w:id="1" w:name="_Hlk136857339"/>
      <w:r>
        <w:rPr>
          <w:rFonts w:ascii="Arial Black" w:hAnsi="Arial Black"/>
          <w:sz w:val="28"/>
          <w:szCs w:val="28"/>
        </w:rPr>
        <w:t>GA: FIRE CODE – ETHIOPIAN BAR SHUT DOWN – ALLEGES “RACIAL” ENFORCEMENT – CASE PROCEED COUNTY</w:t>
      </w:r>
    </w:p>
    <w:bookmarkEnd w:id="1"/>
    <w:p w14:paraId="352A2D8D" w14:textId="77777777" w:rsidR="00DC17BF" w:rsidRPr="00DC17BF" w:rsidRDefault="00DC17BF" w:rsidP="00DC17BF">
      <w:pPr>
        <w:pStyle w:val="NormalWeb"/>
      </w:pPr>
      <w:r w:rsidRPr="00DC17BF">
        <w:t xml:space="preserve">On June 1, 2023, </w:t>
      </w:r>
      <w:r w:rsidRPr="00DC17BF">
        <w:rPr>
          <w:u w:val="single"/>
        </w:rPr>
        <w:t>in Sheba Ethiopian Restaurant, Inc., d.ba. Queen of Sheba Ethiopian Restaurant v. Dekalb County, Georgia, et al</w:t>
      </w:r>
      <w:r w:rsidRPr="00DC17BF">
        <w:t xml:space="preserve">., the U.S. Court of Appeals for the Eleventh Circuit (Atlanta) held (3 to 0) that County officials cannot be sued, but case remanded for possible trial for race discrimination claim against the County. The Court described </w:t>
      </w:r>
      <w:proofErr w:type="gramStart"/>
      <w:r w:rsidRPr="00DC17BF">
        <w:t>citizen’s</w:t>
      </w:r>
      <w:proofErr w:type="gramEnd"/>
      <w:r w:rsidRPr="00DC17BF">
        <w:t xml:space="preserve"> complaints. </w:t>
      </w:r>
    </w:p>
    <w:p w14:paraId="7455004E" w14:textId="2E225D34" w:rsidR="00DC17BF" w:rsidRPr="00DC17BF" w:rsidRDefault="00DC17BF" w:rsidP="00DC17BF">
      <w:pPr>
        <w:pStyle w:val="NoSpacing"/>
        <w:rPr>
          <w:rStyle w:val="Hyperlink"/>
          <w:rFonts w:ascii="Times New Roman" w:eastAsiaTheme="majorEastAsia" w:hAnsi="Times New Roman"/>
          <w:sz w:val="24"/>
          <w:szCs w:val="24"/>
        </w:rPr>
      </w:pPr>
      <w:r w:rsidRPr="00DC17BF">
        <w:rPr>
          <w:rFonts w:ascii="Times New Roman" w:hAnsi="Times New Roman"/>
          <w:sz w:val="24"/>
          <w:szCs w:val="24"/>
        </w:rPr>
        <w:t xml:space="preserve">“By all accounts, Sheba's relationship with the county proceeded rather smoothly for seven or so years following these amendments. The relationship started to sour, however, in 2015, when Martha Gross-a private citizen who lived near Sheba and several other Ethiopian restaurants-‘spearheaded’ a campaign to ‘cripple’ the Ethiopian restaurant community. Gross spoke at the county's public meetings and posted on social media about "her desire to prohibit" certain Ethiopian restaurants and hookah bars ‘from operating during late hours . . . either by removing grandfather[ed] status’ or by ‘preventing the establishments from obtaining [special land use permits].’ *** In sum, we do not address whether corporations can-or cannot-state a race discrimination claim under section 1981. We hold only that there was no clearly established law in our circuit determining that officials </w:t>
      </w:r>
      <w:r w:rsidRPr="00DC17BF">
        <w:rPr>
          <w:rStyle w:val="Emphasis"/>
          <w:rFonts w:ascii="Times New Roman" w:hAnsi="Times New Roman"/>
          <w:sz w:val="24"/>
          <w:szCs w:val="24"/>
        </w:rPr>
        <w:t>are</w:t>
      </w:r>
      <w:r w:rsidRPr="00DC17BF">
        <w:rPr>
          <w:rFonts w:ascii="Times New Roman" w:hAnsi="Times New Roman"/>
          <w:sz w:val="24"/>
          <w:szCs w:val="24"/>
        </w:rPr>
        <w:t xml:space="preserve"> liable under section 1981 for discriminating against a corporation. In this absence, the officials in our case were entitled to qualified immunity.” </w:t>
      </w:r>
      <w:hyperlink r:id="rId186" w:history="1">
        <w:r w:rsidRPr="00DC17BF">
          <w:rPr>
            <w:rStyle w:val="Hyperlink"/>
            <w:rFonts w:ascii="Times New Roman" w:eastAsiaTheme="majorEastAsia" w:hAnsi="Times New Roman"/>
            <w:sz w:val="24"/>
            <w:szCs w:val="24"/>
          </w:rPr>
          <w:t>https://public.fastcase.com/ZZhmr5v9wN%2FXOe5IsQ%2FqDyh9W7agvNTeMPH8d1RJsPvP%2Fg5ZmquK03Jneavd35tblyNJzoowc3pRVBJlbMB8OXwMF7nsK7TpaO1eghvi3n8%3D?utm_medium=email&amp;_hsmi=226712652&amp;_hsenc=p2ANqtz-8CWkqPTOXpr4VKRSXFO6n4aimmH3FbbAM7Ve_pkSBcowoTJe6gCXxXh8Df-qrWOoYs_EV26aJQZp9WCJOKGH6IdbP0yQ&amp;utm_content=226712652&amp;utm_source=hs_email</w:t>
        </w:r>
      </w:hyperlink>
    </w:p>
    <w:p w14:paraId="3A34C603" w14:textId="77777777" w:rsidR="00DC17BF" w:rsidRPr="00DC17BF" w:rsidRDefault="00DC17BF" w:rsidP="00DC17BF">
      <w:pPr>
        <w:pStyle w:val="NoSpacing"/>
        <w:rPr>
          <w:rStyle w:val="Hyperlink"/>
          <w:rFonts w:ascii="Times New Roman" w:eastAsiaTheme="majorEastAsia" w:hAnsi="Times New Roman"/>
          <w:sz w:val="24"/>
          <w:szCs w:val="24"/>
        </w:rPr>
      </w:pPr>
    </w:p>
    <w:p w14:paraId="04C4E168" w14:textId="77777777" w:rsidR="00DC17BF" w:rsidRPr="00EA1F9B" w:rsidRDefault="00DC17BF" w:rsidP="00DC17BF">
      <w:pPr>
        <w:pStyle w:val="NormalWeb"/>
        <w:rPr>
          <w:b/>
          <w:bCs/>
        </w:rPr>
      </w:pPr>
      <w:r w:rsidRPr="00EA1F9B">
        <w:rPr>
          <w:b/>
          <w:bCs/>
        </w:rPr>
        <w:t>Legal Lesson Learned:</w:t>
      </w:r>
      <w:r>
        <w:rPr>
          <w:b/>
          <w:bCs/>
        </w:rPr>
        <w:t xml:space="preserve"> The lawsuit for race discrimination has been remanded to U.S. District Court for trial against the County. </w:t>
      </w:r>
    </w:p>
    <w:p w14:paraId="49134EDA" w14:textId="77777777" w:rsidR="00DC17BF" w:rsidRDefault="00DC17BF" w:rsidP="00DC17BF">
      <w:pPr>
        <w:pStyle w:val="NoSpacing"/>
        <w:rPr>
          <w:rFonts w:ascii="Arial Black" w:hAnsi="Arial Black"/>
          <w:sz w:val="24"/>
          <w:szCs w:val="24"/>
        </w:rPr>
      </w:pPr>
    </w:p>
    <w:p w14:paraId="74BBA089" w14:textId="03DF0F9C" w:rsidR="00DC17BF" w:rsidRDefault="00DC17BF" w:rsidP="00DC17BF">
      <w:pPr>
        <w:pStyle w:val="NoSpacing"/>
        <w:rPr>
          <w:rFonts w:ascii="Arial Black" w:hAnsi="Arial Black"/>
          <w:sz w:val="24"/>
          <w:szCs w:val="24"/>
        </w:rPr>
      </w:pPr>
      <w:r>
        <w:rPr>
          <w:rFonts w:ascii="Arial Black" w:hAnsi="Arial Black"/>
          <w:sz w:val="24"/>
          <w:szCs w:val="24"/>
        </w:rPr>
        <w:t>1-123</w:t>
      </w:r>
    </w:p>
    <w:p w14:paraId="73DC8D4C" w14:textId="77777777" w:rsidR="00DC17BF" w:rsidRDefault="00DC17BF" w:rsidP="00DC17BF">
      <w:pPr>
        <w:pStyle w:val="NoSpacing"/>
        <w:rPr>
          <w:rFonts w:ascii="Arial Black" w:hAnsi="Arial Black"/>
          <w:sz w:val="24"/>
          <w:szCs w:val="24"/>
        </w:rPr>
      </w:pPr>
    </w:p>
    <w:p w14:paraId="3F5C5A4B" w14:textId="77777777" w:rsidR="00DC17BF" w:rsidRDefault="00DC17BF" w:rsidP="00DC17BF">
      <w:pPr>
        <w:pStyle w:val="NormalWeb"/>
        <w:rPr>
          <w:rFonts w:ascii="Arial Black" w:hAnsi="Arial Black"/>
          <w:sz w:val="28"/>
          <w:szCs w:val="28"/>
        </w:rPr>
      </w:pPr>
      <w:bookmarkStart w:id="2" w:name="_Hlk136857512"/>
      <w:r>
        <w:rPr>
          <w:rFonts w:ascii="Arial Black" w:hAnsi="Arial Black"/>
          <w:sz w:val="28"/>
          <w:szCs w:val="28"/>
        </w:rPr>
        <w:t>DC: U.S. SUP. CT. – FALSE CLAIMS ACT – WHISTLEBLOWER CASES MADE EASIER - “SUBSTANTIAL RISK” FALSE PRICES</w:t>
      </w:r>
    </w:p>
    <w:bookmarkEnd w:id="2"/>
    <w:p w14:paraId="5500D11A" w14:textId="77777777" w:rsidR="00DC17BF" w:rsidRDefault="00DC17BF" w:rsidP="00DC17BF">
      <w:pPr>
        <w:pStyle w:val="NormalWeb"/>
        <w:rPr>
          <w:rStyle w:val="markedcontent"/>
        </w:rPr>
      </w:pPr>
      <w:r>
        <w:rPr>
          <w:rStyle w:val="markedcontent"/>
        </w:rPr>
        <w:t xml:space="preserve">On June 1, 2023, in </w:t>
      </w:r>
      <w:r w:rsidRPr="00A41C8A">
        <w:rPr>
          <w:rStyle w:val="markedcontent"/>
          <w:u w:val="single"/>
        </w:rPr>
        <w:t xml:space="preserve">United States ex. Rel. Schutte, et al. v. </w:t>
      </w:r>
      <w:proofErr w:type="spellStart"/>
      <w:r w:rsidRPr="00A41C8A">
        <w:rPr>
          <w:rStyle w:val="markedcontent"/>
          <w:u w:val="single"/>
        </w:rPr>
        <w:t>SuperValu</w:t>
      </w:r>
      <w:proofErr w:type="spellEnd"/>
      <w:r w:rsidRPr="00A41C8A">
        <w:rPr>
          <w:rStyle w:val="markedcontent"/>
          <w:u w:val="single"/>
        </w:rPr>
        <w:t>, Inc</w:t>
      </w:r>
      <w:r>
        <w:rPr>
          <w:rStyle w:val="markedcontent"/>
        </w:rPr>
        <w:t xml:space="preserve">. [and companion case of </w:t>
      </w:r>
      <w:r w:rsidRPr="00A41C8A">
        <w:rPr>
          <w:rStyle w:val="markedcontent"/>
          <w:u w:val="single"/>
        </w:rPr>
        <w:t>United State ex rel. Proctor v. Safeway, Inc.</w:t>
      </w:r>
      <w:r>
        <w:rPr>
          <w:rStyle w:val="markedcontent"/>
        </w:rPr>
        <w:t xml:space="preserve">], the U.S. Supreme Court held (9 to 0) in an opinion by Justice Clarence Thomas, that lawsuits by private individuals suing on behalf of U.S. Government against two retail drug store companies may proceed. The plaintiffs claim that companies false certified to Medicaid and Medicare that drug prices were the “usual and customary” price, but many of drugs were </w:t>
      </w:r>
      <w:proofErr w:type="gramStart"/>
      <w:r>
        <w:rPr>
          <w:rStyle w:val="markedcontent"/>
        </w:rPr>
        <w:t>actually sold</w:t>
      </w:r>
      <w:proofErr w:type="gramEnd"/>
      <w:r>
        <w:rPr>
          <w:rStyle w:val="markedcontent"/>
        </w:rPr>
        <w:t xml:space="preserve"> to cash customers at greatly discounted prices.   Whistleblower lawsuits may proceed if evidence pharmacies to “substantial risk” that drug prices to Federal government did not reflect customer discounts. Justice Thomas described this example. </w:t>
      </w:r>
    </w:p>
    <w:p w14:paraId="1B62B4D4" w14:textId="77777777" w:rsidR="00DC17BF" w:rsidRDefault="00DC17BF" w:rsidP="00DC17BF">
      <w:pPr>
        <w:pStyle w:val="NormalWeb"/>
        <w:ind w:left="720"/>
        <w:rPr>
          <w:b/>
          <w:bCs/>
        </w:rPr>
      </w:pPr>
      <w:r>
        <w:rPr>
          <w:rStyle w:val="markedcontent"/>
        </w:rPr>
        <w:t xml:space="preserve">“For example, petitioners have presented evidence that Safeway charged just $10 for 94% of its cash sales for a 90-day supply of a cholesterol drug between 2008 and 2012. Yet Safeway apparently reported prices as high as $108 as “usual and customary” during that time. And petitioners presented evidence that, at least at some times and for some drugs, </w:t>
      </w:r>
      <w:proofErr w:type="spellStart"/>
      <w:r>
        <w:rPr>
          <w:rStyle w:val="markedcontent"/>
        </w:rPr>
        <w:t>SuperValu</w:t>
      </w:r>
      <w:proofErr w:type="spellEnd"/>
      <w:r>
        <w:rPr>
          <w:rStyle w:val="markedcontent"/>
        </w:rPr>
        <w:t xml:space="preserve"> made more than 80% of its cash sales for prices less than what it disclosed as its “usual and customary” price…. For scienter, it is enough if respondents believed that their claims were not accurate.”</w:t>
      </w:r>
      <w:r w:rsidRPr="00AB1613">
        <w:t xml:space="preserve"> </w:t>
      </w:r>
      <w:hyperlink r:id="rId187" w:history="1">
        <w:r w:rsidRPr="009A7773">
          <w:rPr>
            <w:rStyle w:val="Hyperlink"/>
            <w:rFonts w:eastAsiaTheme="majorEastAsia"/>
          </w:rPr>
          <w:t>https://www.supremecourt.gov/opinions/22pdf/21-1326_6jfl.pdf</w:t>
        </w:r>
      </w:hyperlink>
      <w:r>
        <w:rPr>
          <w:rStyle w:val="markedcontent"/>
        </w:rPr>
        <w:t xml:space="preserve"> </w:t>
      </w:r>
    </w:p>
    <w:p w14:paraId="726EEC56" w14:textId="77777777" w:rsidR="00DC17BF" w:rsidRDefault="00DC17BF" w:rsidP="00DC17BF">
      <w:pPr>
        <w:pStyle w:val="NormalWeb"/>
        <w:rPr>
          <w:rStyle w:val="markedcontent"/>
          <w:b/>
          <w:bCs/>
        </w:rPr>
      </w:pPr>
      <w:r w:rsidRPr="00604354">
        <w:rPr>
          <w:rStyle w:val="markedcontent"/>
          <w:b/>
          <w:bCs/>
        </w:rPr>
        <w:t xml:space="preserve">Legal Lesson Learned: </w:t>
      </w:r>
      <w:r>
        <w:rPr>
          <w:rStyle w:val="markedcontent"/>
          <w:b/>
          <w:bCs/>
        </w:rPr>
        <w:t xml:space="preserve">This is a significant decision given the large number of Whistleblower lawsuits filed in the health care industry, including EMS billing cases. </w:t>
      </w:r>
    </w:p>
    <w:p w14:paraId="246D9C60" w14:textId="77777777" w:rsidR="00DC17BF" w:rsidRPr="00604354" w:rsidRDefault="00DC17BF" w:rsidP="00DC17BF">
      <w:pPr>
        <w:pStyle w:val="Heading1"/>
        <w:ind w:left="720"/>
        <w:rPr>
          <w:b w:val="0"/>
          <w:bCs w:val="0"/>
          <w:sz w:val="24"/>
          <w:szCs w:val="24"/>
        </w:rPr>
      </w:pPr>
      <w:r w:rsidRPr="00604354">
        <w:rPr>
          <w:rStyle w:val="markedcontent"/>
          <w:b w:val="0"/>
          <w:bCs w:val="0"/>
          <w:sz w:val="24"/>
          <w:szCs w:val="24"/>
        </w:rPr>
        <w:t xml:space="preserve">Note: </w:t>
      </w:r>
      <w:r>
        <w:rPr>
          <w:rStyle w:val="markedcontent"/>
          <w:b w:val="0"/>
          <w:bCs w:val="0"/>
          <w:sz w:val="24"/>
          <w:szCs w:val="24"/>
        </w:rPr>
        <w:t xml:space="preserve">See </w:t>
      </w:r>
      <w:r w:rsidRPr="00604354">
        <w:rPr>
          <w:rStyle w:val="markedcontent"/>
          <w:b w:val="0"/>
          <w:bCs w:val="0"/>
          <w:sz w:val="24"/>
          <w:szCs w:val="24"/>
        </w:rPr>
        <w:t>Feb. 7, 2023, the U.S. Department of Justice press release</w:t>
      </w:r>
      <w:r>
        <w:rPr>
          <w:rStyle w:val="markedcontent"/>
          <w:b w:val="0"/>
          <w:bCs w:val="0"/>
          <w:sz w:val="24"/>
          <w:szCs w:val="24"/>
        </w:rPr>
        <w:t>: “</w:t>
      </w:r>
      <w:r w:rsidRPr="00604354">
        <w:rPr>
          <w:b w:val="0"/>
          <w:bCs w:val="0"/>
          <w:sz w:val="24"/>
          <w:szCs w:val="24"/>
        </w:rPr>
        <w:t>False Claims Act Settlements and Judgments Exceed $2 Billion in Fiscal Year 2022</w:t>
      </w:r>
      <w:r>
        <w:rPr>
          <w:b w:val="0"/>
          <w:bCs w:val="0"/>
          <w:sz w:val="24"/>
          <w:szCs w:val="24"/>
        </w:rPr>
        <w:t xml:space="preserve">.  Second Highest Number of Settlements in History. </w:t>
      </w:r>
      <w:hyperlink r:id="rId188" w:history="1">
        <w:r w:rsidRPr="009A7773">
          <w:rPr>
            <w:rStyle w:val="Hyperlink"/>
            <w:rFonts w:eastAsiaTheme="majorEastAsia"/>
            <w:b w:val="0"/>
            <w:bCs w:val="0"/>
            <w:sz w:val="24"/>
            <w:szCs w:val="24"/>
          </w:rPr>
          <w:t>https://www.justice.gov/opa/pr/false-claims-act-settlements-and-judgments-exceed-2-billion-fiscal-year-2022</w:t>
        </w:r>
      </w:hyperlink>
      <w:r>
        <w:rPr>
          <w:b w:val="0"/>
          <w:bCs w:val="0"/>
          <w:sz w:val="24"/>
          <w:szCs w:val="24"/>
        </w:rPr>
        <w:t xml:space="preserve"> </w:t>
      </w:r>
    </w:p>
    <w:p w14:paraId="1C14CF8A" w14:textId="77777777" w:rsidR="00DC17BF" w:rsidRDefault="00DC17BF" w:rsidP="00DC17BF">
      <w:pPr>
        <w:pStyle w:val="NormalWeb"/>
        <w:ind w:left="1440"/>
      </w:pPr>
      <w:r>
        <w:t>“Of the more than $2.2 billion in False Claims Act settlements and judgments reported by the Department of Justice this past fiscal year, over $1.7 billion related to matters that involved the health care industry, including drug and medical device manufacturers, durable medical equipment, home health and managed care providers, hospitals, pharmacies, hospice organizations, and physicians. The amounts included in the $1.7 billion reflect recoveries arising only from federal losses, and, in many of these cases, the department was instrumental in recovering additional amounts for state Medicaid programs. The recoveries in fiscal year 2022 also reflected the department’s focus on new enforcement priorities, including fraud in pandemic relief programs and alleged violations of cybersecurity requirements in government contracts and grants.</w:t>
      </w:r>
    </w:p>
    <w:p w14:paraId="656AB19B" w14:textId="77777777" w:rsidR="00DC17BF" w:rsidRDefault="00DC17BF" w:rsidP="00DC17BF">
      <w:pPr>
        <w:pStyle w:val="NormalWeb"/>
        <w:ind w:left="1440"/>
      </w:pPr>
      <w:r>
        <w:t xml:space="preserve">In 1986, Congress strengthened the False Claims Act by increasing incentives for whistleblowers to file lawsuits alleging false claims on behalf of the government. </w:t>
      </w:r>
      <w:proofErr w:type="gramStart"/>
      <w:r>
        <w:t>These whistleblower</w:t>
      </w:r>
      <w:proofErr w:type="gramEnd"/>
      <w:r>
        <w:t>, or qui tam, actions comprise a significant percentage of the False Claims Act cases that are filed. Qui tam cases may be pursued by the government or the whistleblower, and this past year significant recoveries were obtained by both. When a qui tam action is successful, the whistleblower, also known as the relator, typically receives a portion of the recovery ranging between 15% and 30%. Whistleblowers filed 652 qui tam suits in fiscal year 2022, and this past year the department reported settlements and judgments exceeding $1.9 billion in these and earlier-filed suits.”</w:t>
      </w:r>
    </w:p>
    <w:p w14:paraId="492C644B" w14:textId="77777777" w:rsidR="00DC17BF" w:rsidRDefault="00DC17BF" w:rsidP="00DC17BF">
      <w:pPr>
        <w:pStyle w:val="NormalWeb"/>
      </w:pPr>
    </w:p>
    <w:p w14:paraId="0C3D1B9D" w14:textId="7A51DC60" w:rsidR="00DC17BF" w:rsidRDefault="00DC17BF" w:rsidP="00F326E5">
      <w:pPr>
        <w:pStyle w:val="NoSpacing"/>
        <w:rPr>
          <w:rFonts w:ascii="Arial Black" w:hAnsi="Arial Black"/>
          <w:sz w:val="24"/>
          <w:szCs w:val="24"/>
        </w:rPr>
      </w:pPr>
      <w:r>
        <w:rPr>
          <w:rFonts w:ascii="Arial Black" w:hAnsi="Arial Black"/>
          <w:sz w:val="24"/>
          <w:szCs w:val="24"/>
        </w:rPr>
        <w:lastRenderedPageBreak/>
        <w:t>1-122</w:t>
      </w:r>
    </w:p>
    <w:p w14:paraId="241B705B" w14:textId="77777777" w:rsidR="00DC17BF" w:rsidRDefault="00DC17BF" w:rsidP="00F326E5">
      <w:pPr>
        <w:pStyle w:val="NoSpacing"/>
        <w:rPr>
          <w:rFonts w:ascii="Arial Black" w:hAnsi="Arial Black"/>
          <w:sz w:val="24"/>
          <w:szCs w:val="24"/>
        </w:rPr>
      </w:pPr>
    </w:p>
    <w:p w14:paraId="4C414283" w14:textId="77777777" w:rsidR="00DC17BF" w:rsidRDefault="00DC17BF" w:rsidP="00DC17BF">
      <w:pPr>
        <w:pStyle w:val="NormalWeb"/>
        <w:rPr>
          <w:rFonts w:ascii="Arial Black" w:hAnsi="Arial Black"/>
          <w:sz w:val="28"/>
          <w:szCs w:val="28"/>
        </w:rPr>
      </w:pPr>
      <w:r>
        <w:rPr>
          <w:rFonts w:ascii="Arial Black" w:hAnsi="Arial Black"/>
          <w:sz w:val="28"/>
          <w:szCs w:val="28"/>
        </w:rPr>
        <w:t>DC:  U.S. SUP. CT. – HONEST SERVICES FRAUD CONV. REV – AID NY GOV. COMO PAID $35,000 – BUT LEFT STATE GOV’T</w:t>
      </w:r>
    </w:p>
    <w:p w14:paraId="7EA17E31" w14:textId="77777777" w:rsidR="00DC17BF" w:rsidRDefault="00DC17BF" w:rsidP="00DC17BF">
      <w:pPr>
        <w:pStyle w:val="NormalWeb"/>
      </w:pPr>
      <w:r>
        <w:t xml:space="preserve">On May 11, 2023, in </w:t>
      </w:r>
      <w:r w:rsidRPr="00192D79">
        <w:rPr>
          <w:u w:val="single"/>
        </w:rPr>
        <w:t>Joseph Percoco v. United States</w:t>
      </w:r>
      <w:r>
        <w:t xml:space="preserve">, the U.S. Supreme Court held (9 to 0) in opinion by Justice Samuel Alito that jury instructions were improper regarding </w:t>
      </w:r>
      <w:r>
        <w:rPr>
          <w:rStyle w:val="markedcontent"/>
        </w:rPr>
        <w:t xml:space="preserve">honest-services-fraud </w:t>
      </w:r>
      <w:r>
        <w:t xml:space="preserve">and reversed conviction since conduct occurred when not a </w:t>
      </w:r>
      <w:proofErr w:type="gramStart"/>
      <w:r>
        <w:t>State</w:t>
      </w:r>
      <w:proofErr w:type="gramEnd"/>
      <w:r>
        <w:t xml:space="preserve"> employee. During </w:t>
      </w:r>
      <w:proofErr w:type="gramStart"/>
      <w:r>
        <w:t>8-months</w:t>
      </w:r>
      <w:proofErr w:type="gramEnd"/>
      <w:r>
        <w:t xml:space="preserve"> when he left position of </w:t>
      </w:r>
      <w:r>
        <w:rPr>
          <w:rStyle w:val="markedcontent"/>
        </w:rPr>
        <w:t xml:space="preserve">Executive Deputy Secretary for Governor Como to run his campaign, he accepted $35,000 in two payments from a developer seeking to do  business with the State of New York. </w:t>
      </w:r>
    </w:p>
    <w:p w14:paraId="14731F81" w14:textId="77777777" w:rsidR="00DC17BF" w:rsidRDefault="00DC17BF" w:rsidP="00DC17BF">
      <w:pPr>
        <w:pStyle w:val="NormalWeb"/>
        <w:ind w:left="720"/>
      </w:pPr>
      <w:r>
        <w:t>“</w:t>
      </w:r>
      <w:r>
        <w:rPr>
          <w:rStyle w:val="markedcontent"/>
        </w:rPr>
        <w:t>Petitioner Joseph Percoco was charged with conspiring to commit honest-services wire</w:t>
      </w:r>
      <w:r>
        <w:br/>
      </w:r>
      <w:r>
        <w:rPr>
          <w:rStyle w:val="markedcontent"/>
        </w:rPr>
        <w:t xml:space="preserve">fraud during </w:t>
      </w:r>
      <w:proofErr w:type="gramStart"/>
      <w:r>
        <w:rPr>
          <w:rStyle w:val="markedcontent"/>
        </w:rPr>
        <w:t>a period of time</w:t>
      </w:r>
      <w:proofErr w:type="gramEnd"/>
      <w:r>
        <w:rPr>
          <w:rStyle w:val="markedcontent"/>
        </w:rPr>
        <w:t xml:space="preserve"> that included an eight-month interval between two stints as a top aide to the Governor of New York. Percoco was convicted of this offense based on</w:t>
      </w:r>
      <w:r>
        <w:br/>
      </w:r>
      <w:r>
        <w:rPr>
          <w:rStyle w:val="markedcontent"/>
        </w:rPr>
        <w:t xml:space="preserve">instructions that required the jury to determine whether he had a ‘special relationship’ with the government and had ‘dominated and controlled’ government business…. We conclude that this is not the proper test for determining whether a private person may be convicted of </w:t>
      </w:r>
      <w:proofErr w:type="gramStart"/>
      <w:r>
        <w:rPr>
          <w:rStyle w:val="markedcontent"/>
        </w:rPr>
        <w:t>honest-services</w:t>
      </w:r>
      <w:proofErr w:type="gramEnd"/>
      <w:r>
        <w:rPr>
          <w:rStyle w:val="markedcontent"/>
        </w:rPr>
        <w:t xml:space="preserve"> fraud, and we therefore reverse and remand for further </w:t>
      </w:r>
      <w:proofErr w:type="gramStart"/>
      <w:r>
        <w:rPr>
          <w:rStyle w:val="markedcontent"/>
        </w:rPr>
        <w:t>proceedings.”</w:t>
      </w:r>
      <w:proofErr w:type="gramEnd"/>
      <w:r w:rsidRPr="00192D79">
        <w:t xml:space="preserve"> </w:t>
      </w:r>
      <w:hyperlink r:id="rId189" w:history="1">
        <w:r w:rsidRPr="003B7F1C">
          <w:rPr>
            <w:rStyle w:val="Hyperlink"/>
            <w:rFonts w:eastAsiaTheme="majorEastAsia"/>
          </w:rPr>
          <w:t>https://www.supremecourt.gov/opinions/22pdf/21-1158_p8k0.pdf</w:t>
        </w:r>
      </w:hyperlink>
      <w:r>
        <w:rPr>
          <w:rStyle w:val="markedcontent"/>
        </w:rPr>
        <w:t xml:space="preserve"> </w:t>
      </w:r>
    </w:p>
    <w:p w14:paraId="4AF30ACC" w14:textId="77777777" w:rsidR="00DC17BF" w:rsidRDefault="00DC17BF" w:rsidP="00DC17BF">
      <w:pPr>
        <w:pStyle w:val="NormalWeb"/>
        <w:rPr>
          <w:rStyle w:val="markedcontent"/>
          <w:b/>
          <w:bCs/>
        </w:rPr>
      </w:pPr>
      <w:r w:rsidRPr="00604354">
        <w:rPr>
          <w:rStyle w:val="markedcontent"/>
          <w:b/>
          <w:bCs/>
        </w:rPr>
        <w:t xml:space="preserve">Legal Lesson Learned: </w:t>
      </w:r>
      <w:r>
        <w:rPr>
          <w:rStyle w:val="markedcontent"/>
          <w:b/>
          <w:bCs/>
        </w:rPr>
        <w:t xml:space="preserve">This is a significant decision given the large number of Whistleblower lawsuits filed in the health care industry, including EMS billing cases. </w:t>
      </w:r>
    </w:p>
    <w:p w14:paraId="68F21D88" w14:textId="77777777" w:rsidR="00DC17BF" w:rsidRPr="00604354" w:rsidRDefault="00DC17BF" w:rsidP="00DC17BF">
      <w:pPr>
        <w:pStyle w:val="Heading1"/>
        <w:ind w:left="720"/>
        <w:rPr>
          <w:b w:val="0"/>
          <w:bCs w:val="0"/>
          <w:sz w:val="24"/>
          <w:szCs w:val="24"/>
        </w:rPr>
      </w:pPr>
      <w:r w:rsidRPr="00604354">
        <w:rPr>
          <w:rStyle w:val="markedcontent"/>
          <w:b w:val="0"/>
          <w:bCs w:val="0"/>
          <w:sz w:val="24"/>
          <w:szCs w:val="24"/>
        </w:rPr>
        <w:t xml:space="preserve">Note: </w:t>
      </w:r>
      <w:r>
        <w:rPr>
          <w:rStyle w:val="markedcontent"/>
          <w:b w:val="0"/>
          <w:bCs w:val="0"/>
          <w:sz w:val="24"/>
          <w:szCs w:val="24"/>
        </w:rPr>
        <w:t xml:space="preserve">See </w:t>
      </w:r>
      <w:r w:rsidRPr="00604354">
        <w:rPr>
          <w:rStyle w:val="markedcontent"/>
          <w:b w:val="0"/>
          <w:bCs w:val="0"/>
          <w:sz w:val="24"/>
          <w:szCs w:val="24"/>
        </w:rPr>
        <w:t>Feb. 7, 2023, the U.S. Department of Justice press release</w:t>
      </w:r>
      <w:r>
        <w:rPr>
          <w:rStyle w:val="markedcontent"/>
          <w:b w:val="0"/>
          <w:bCs w:val="0"/>
          <w:sz w:val="24"/>
          <w:szCs w:val="24"/>
        </w:rPr>
        <w:t>: “</w:t>
      </w:r>
      <w:r w:rsidRPr="00604354">
        <w:rPr>
          <w:b w:val="0"/>
          <w:bCs w:val="0"/>
          <w:sz w:val="24"/>
          <w:szCs w:val="24"/>
        </w:rPr>
        <w:t>False Claims Act Settlements and Judgments Exceed $2 Billion in Fiscal Year 2022</w:t>
      </w:r>
      <w:r>
        <w:rPr>
          <w:b w:val="0"/>
          <w:bCs w:val="0"/>
          <w:sz w:val="24"/>
          <w:szCs w:val="24"/>
        </w:rPr>
        <w:t xml:space="preserve">.  Second Highest Number of Settlements in History. </w:t>
      </w:r>
      <w:hyperlink r:id="rId190" w:history="1">
        <w:r w:rsidRPr="009A7773">
          <w:rPr>
            <w:rStyle w:val="Hyperlink"/>
            <w:rFonts w:eastAsiaTheme="majorEastAsia"/>
            <w:b w:val="0"/>
            <w:bCs w:val="0"/>
            <w:sz w:val="24"/>
            <w:szCs w:val="24"/>
          </w:rPr>
          <w:t>https://www.justice.gov/opa/pr/false-claims-act-settlements-and-judgments-exceed-2-billion-fiscal-year-2022</w:t>
        </w:r>
      </w:hyperlink>
      <w:r>
        <w:rPr>
          <w:b w:val="0"/>
          <w:bCs w:val="0"/>
          <w:sz w:val="24"/>
          <w:szCs w:val="24"/>
        </w:rPr>
        <w:t xml:space="preserve"> </w:t>
      </w:r>
    </w:p>
    <w:p w14:paraId="2B63DA0D" w14:textId="77777777" w:rsidR="00DC17BF" w:rsidRDefault="00DC17BF" w:rsidP="00DC17BF">
      <w:pPr>
        <w:pStyle w:val="NormalWeb"/>
        <w:ind w:left="1440"/>
      </w:pPr>
      <w:r>
        <w:t>“Of the more than $2.2 billion in False Claims Act settlements and judgments reported by the Department of Justice this past fiscal year, over $1.7 billion related to matters that involved the health care industry, including drug and medical device manufacturers, durable medical equipment, home health and managed care providers, hospitals, pharmacies, hospice organizations, and physicians. The amounts included in the $1.7 billion reflect recoveries arising only from federal losses, and, in many of these cases, the department was instrumental in recovering additional amounts for state Medicaid programs. The recoveries in fiscal year 2022 also reflected the department’s focus on new enforcement priorities, including fraud in pandemic relief programs and alleged violations of cybersecurity requirements in government contracts and grants.</w:t>
      </w:r>
    </w:p>
    <w:p w14:paraId="30B0F0ED" w14:textId="77777777" w:rsidR="00DC17BF" w:rsidRDefault="00DC17BF" w:rsidP="00DC17BF">
      <w:pPr>
        <w:pStyle w:val="NormalWeb"/>
        <w:ind w:left="1440"/>
      </w:pPr>
      <w:r>
        <w:t xml:space="preserve">In 1986, Congress strengthened the False Claims Act by increasing incentives for whistleblowers to file lawsuits alleging false claims on behalf of the government. </w:t>
      </w:r>
      <w:proofErr w:type="gramStart"/>
      <w:r>
        <w:t>These whistleblower</w:t>
      </w:r>
      <w:proofErr w:type="gramEnd"/>
      <w:r>
        <w:t>, or qui tam, actions comprise a significant percentage of the False Claims Act cases that are filed. Qui tam cases may be pursued by the government or the whistleblower, and this past year significant recoveries were obtained by both. When a qui tam action is successful, the whistleblower, also known as the relator, typically receives a portion of the recovery ranging between 15% and 30%. Whistleblowers filed 652 qui tam suits in fiscal year 2022, and this past year the department reported settlements and judgments exceeding $1.9 billion in these and earlier-filed suits.”</w:t>
      </w:r>
    </w:p>
    <w:p w14:paraId="0F178386" w14:textId="77777777" w:rsidR="00DC17BF" w:rsidRDefault="00DC17BF" w:rsidP="00DC17BF">
      <w:pPr>
        <w:pStyle w:val="NormalWeb"/>
      </w:pPr>
    </w:p>
    <w:p w14:paraId="236C3784" w14:textId="5977A549" w:rsidR="00DC17BF" w:rsidRDefault="00DC17BF" w:rsidP="00F326E5">
      <w:pPr>
        <w:pStyle w:val="NoSpacing"/>
        <w:rPr>
          <w:rFonts w:ascii="Arial Black" w:hAnsi="Arial Black"/>
          <w:sz w:val="24"/>
          <w:szCs w:val="24"/>
        </w:rPr>
      </w:pPr>
      <w:r>
        <w:rPr>
          <w:rFonts w:ascii="Arial Black" w:hAnsi="Arial Black"/>
          <w:sz w:val="24"/>
          <w:szCs w:val="24"/>
        </w:rPr>
        <w:lastRenderedPageBreak/>
        <w:t>1-121</w:t>
      </w:r>
    </w:p>
    <w:p w14:paraId="2DD4F80C" w14:textId="77777777" w:rsidR="00DC17BF" w:rsidRDefault="00DC17BF" w:rsidP="00F326E5">
      <w:pPr>
        <w:pStyle w:val="NoSpacing"/>
        <w:rPr>
          <w:rFonts w:ascii="Arial Black" w:hAnsi="Arial Black"/>
          <w:sz w:val="24"/>
          <w:szCs w:val="24"/>
        </w:rPr>
      </w:pPr>
    </w:p>
    <w:p w14:paraId="617F5931" w14:textId="77777777" w:rsidR="00DC17BF" w:rsidRDefault="00DC17BF" w:rsidP="00DC17BF">
      <w:pPr>
        <w:pStyle w:val="NormalWeb"/>
        <w:rPr>
          <w:b/>
          <w:bCs/>
        </w:rPr>
      </w:pPr>
      <w:bookmarkStart w:id="3" w:name="_Hlk136857835"/>
      <w:r>
        <w:rPr>
          <w:rFonts w:ascii="Arial Black" w:hAnsi="Arial Black"/>
          <w:b/>
          <w:bCs/>
          <w:sz w:val="28"/>
          <w:szCs w:val="28"/>
        </w:rPr>
        <w:t xml:space="preserve">CA (5/1/2023): ARSON – CONV. UPHELD – CIRCUMSTANTIAL EVIDENCE - DEFENDANT SEEN AT 4 OF 5 FIRES ONE YEAR </w:t>
      </w:r>
    </w:p>
    <w:bookmarkEnd w:id="3"/>
    <w:p w14:paraId="6D8D9D0A" w14:textId="77777777" w:rsidR="00DC17BF" w:rsidRPr="00DC17BF" w:rsidRDefault="00DC17BF" w:rsidP="00DC17BF">
      <w:pPr>
        <w:pStyle w:val="NormalWeb"/>
      </w:pPr>
      <w:r w:rsidRPr="00FD7241">
        <w:t xml:space="preserve">On May 1, 2023, in </w:t>
      </w:r>
      <w:r w:rsidRPr="00FD7241">
        <w:rPr>
          <w:u w:val="single"/>
        </w:rPr>
        <w:t>The People v. Franklin Alan Goubert</w:t>
      </w:r>
      <w:r>
        <w:t xml:space="preserve">, the California Court of Appeals, Third District, Tehama </w:t>
      </w:r>
      <w:r w:rsidRPr="00DC17BF">
        <w:t xml:space="preserve">held (3 to 0; unpublished decision) that the trial court judge, in a bench trial (no jury) properly found defendant guilty of two counts of arson to property, and one count of arson of forest land. </w:t>
      </w:r>
    </w:p>
    <w:p w14:paraId="57FE02DE" w14:textId="6CCE8C94" w:rsidR="00DC17BF" w:rsidRPr="00DC17BF" w:rsidRDefault="00DC17BF" w:rsidP="00DC17BF">
      <w:pPr>
        <w:pStyle w:val="NoSpacing"/>
        <w:rPr>
          <w:rFonts w:ascii="Times New Roman" w:hAnsi="Times New Roman"/>
          <w:sz w:val="24"/>
          <w:szCs w:val="24"/>
        </w:rPr>
      </w:pPr>
      <w:r w:rsidRPr="00DC17BF">
        <w:rPr>
          <w:rFonts w:ascii="Times New Roman" w:hAnsi="Times New Roman"/>
          <w:sz w:val="24"/>
          <w:szCs w:val="24"/>
        </w:rPr>
        <w:t xml:space="preserve">“The trial court heard testimony that the fire department saw defendant at four out of the five suspicious fires, and that seeing someone at multiple fires is unusual. The fifth suspicious </w:t>
      </w:r>
      <w:proofErr w:type="gramStart"/>
      <w:r w:rsidRPr="00DC17BF">
        <w:rPr>
          <w:rFonts w:ascii="Times New Roman" w:hAnsi="Times New Roman"/>
          <w:sz w:val="24"/>
          <w:szCs w:val="24"/>
        </w:rPr>
        <w:t>fire further</w:t>
      </w:r>
      <w:proofErr w:type="gramEnd"/>
      <w:r w:rsidRPr="00DC17BF">
        <w:rPr>
          <w:rFonts w:ascii="Times New Roman" w:hAnsi="Times New Roman"/>
          <w:sz w:val="24"/>
          <w:szCs w:val="24"/>
        </w:rPr>
        <w:t xml:space="preserve"> occurred near the camp where defendant was living. The five fires occurred over a one-year span; the fires were relatively small; two occurred near a railroad; at least three occurred in the middle of the night; four were near homeless encampments; and all five fires involved the burning of vegetation. There was further testimony that three of the fires were deliberately set and were not accidental or unintentional. Based on defendant's unusual presence at the restaurant fire (and the other fires), and the similarities between the restaurant fire and the other fires, it is reasonable to infer someone started the restaurant fire, and it was defendant who did so. (See </w:t>
      </w:r>
      <w:r w:rsidRPr="00DC17BF">
        <w:rPr>
          <w:rStyle w:val="Emphasis"/>
          <w:rFonts w:ascii="Times New Roman" w:hAnsi="Times New Roman"/>
          <w:sz w:val="24"/>
          <w:szCs w:val="24"/>
        </w:rPr>
        <w:t>Andrews I</w:t>
      </w:r>
      <w:r w:rsidRPr="00DC17BF">
        <w:rPr>
          <w:rFonts w:ascii="Times New Roman" w:hAnsi="Times New Roman"/>
          <w:sz w:val="24"/>
          <w:szCs w:val="24"/>
        </w:rPr>
        <w:t xml:space="preserve">, </w:t>
      </w:r>
      <w:r w:rsidRPr="00DC17BF">
        <w:rPr>
          <w:rStyle w:val="Emphasis"/>
          <w:rFonts w:ascii="Times New Roman" w:hAnsi="Times New Roman"/>
          <w:sz w:val="24"/>
          <w:szCs w:val="24"/>
        </w:rPr>
        <w:t>supra</w:t>
      </w:r>
      <w:r w:rsidRPr="00DC17BF">
        <w:rPr>
          <w:rFonts w:ascii="Times New Roman" w:hAnsi="Times New Roman"/>
          <w:sz w:val="24"/>
          <w:szCs w:val="24"/>
        </w:rPr>
        <w:t>, 222 Cal.App.2d at pp. 245-246 [finding sufficient evidence to establish the corpus delicti of arson when "[f]our fires within the same neighborhood, close in point of date . . ., closer in point of time of day . . ., all started by an apparently similar method, cumulate[d] to give to [the] circumstantial proof much more than prima facie veracity"].) The circumstantial evidence in this case "</w:t>
      </w:r>
      <w:proofErr w:type="spellStart"/>
      <w:r w:rsidRPr="00DC17BF">
        <w:rPr>
          <w:rFonts w:ascii="Times New Roman" w:hAnsi="Times New Roman"/>
          <w:sz w:val="24"/>
          <w:szCs w:val="24"/>
        </w:rPr>
        <w:t>snapp</w:t>
      </w:r>
      <w:proofErr w:type="spellEnd"/>
      <w:r w:rsidRPr="00DC17BF">
        <w:rPr>
          <w:rFonts w:ascii="Times New Roman" w:hAnsi="Times New Roman"/>
          <w:sz w:val="24"/>
          <w:szCs w:val="24"/>
        </w:rPr>
        <w:t>[ed] the long arm of coincidence" and established the corpus delicti for the restaurant fire. (</w:t>
      </w:r>
      <w:r w:rsidRPr="00DC17BF">
        <w:rPr>
          <w:rStyle w:val="Emphasis"/>
          <w:rFonts w:ascii="Times New Roman" w:hAnsi="Times New Roman"/>
          <w:sz w:val="24"/>
          <w:szCs w:val="24"/>
        </w:rPr>
        <w:t>Andrews I</w:t>
      </w:r>
      <w:r w:rsidRPr="00DC17BF">
        <w:rPr>
          <w:rFonts w:ascii="Times New Roman" w:hAnsi="Times New Roman"/>
          <w:sz w:val="24"/>
          <w:szCs w:val="24"/>
        </w:rPr>
        <w:t xml:space="preserve">, </w:t>
      </w:r>
      <w:r w:rsidRPr="00DC17BF">
        <w:rPr>
          <w:rStyle w:val="Emphasis"/>
          <w:rFonts w:ascii="Times New Roman" w:hAnsi="Times New Roman"/>
          <w:sz w:val="24"/>
          <w:szCs w:val="24"/>
        </w:rPr>
        <w:t>supra</w:t>
      </w:r>
      <w:r w:rsidRPr="00DC17BF">
        <w:rPr>
          <w:rFonts w:ascii="Times New Roman" w:hAnsi="Times New Roman"/>
          <w:sz w:val="24"/>
          <w:szCs w:val="24"/>
        </w:rPr>
        <w:t xml:space="preserve">, 222 Cal.App.2d at p. 245.)” </w:t>
      </w:r>
      <w:hyperlink r:id="rId191" w:history="1">
        <w:r w:rsidRPr="00DC17BF">
          <w:rPr>
            <w:rStyle w:val="Hyperlink"/>
            <w:rFonts w:ascii="Times New Roman" w:eastAsiaTheme="majorEastAsia" w:hAnsi="Times New Roman"/>
            <w:sz w:val="24"/>
            <w:szCs w:val="24"/>
          </w:rPr>
          <w:t>https://public.fastcase.com/ZZhmr5v9wN%2FXOe5IsQ%2FqDwpaI7JNx0yucAfBBTCYhVf6eRN0F6j2PHZ4Bf4v9PLOEuaobgTYEa8%2BzQGGWxAHAgvFhF3yj4k41BJEkNmdniM%3D?utm_medium=email&amp;_hsmi=226712652&amp;_hsenc=p2ANqtz-_dwT49KfhNPpDq3N3VwSjkZTEUiwZEDoqDlulVdR_yzkAg6581Fi_9SACtWrDkZJ_u8Xp6dukkkP4Lu33go_UmHv0HyQ&amp;utm_content=226712652&amp;utm_source=hs_email</w:t>
        </w:r>
      </w:hyperlink>
    </w:p>
    <w:p w14:paraId="059BAD30" w14:textId="77777777" w:rsidR="00DC17BF" w:rsidRDefault="00DC17BF" w:rsidP="00F326E5">
      <w:pPr>
        <w:pStyle w:val="NoSpacing"/>
        <w:rPr>
          <w:rFonts w:ascii="Arial Black" w:hAnsi="Arial Black"/>
          <w:sz w:val="24"/>
          <w:szCs w:val="24"/>
        </w:rPr>
      </w:pPr>
    </w:p>
    <w:p w14:paraId="15B5368A" w14:textId="77777777" w:rsidR="00DC17BF" w:rsidRPr="00DF03D1" w:rsidRDefault="00DC17BF" w:rsidP="00DC17BF">
      <w:pPr>
        <w:pStyle w:val="NormalWeb"/>
        <w:rPr>
          <w:b/>
          <w:bCs/>
        </w:rPr>
      </w:pPr>
      <w:r w:rsidRPr="00DF03D1">
        <w:rPr>
          <w:b/>
          <w:bCs/>
        </w:rPr>
        <w:t>Legal Lesson Learned:</w:t>
      </w:r>
      <w:r>
        <w:rPr>
          <w:b/>
          <w:bCs/>
        </w:rPr>
        <w:t xml:space="preserve"> Observing </w:t>
      </w:r>
      <w:proofErr w:type="gramStart"/>
      <w:r>
        <w:rPr>
          <w:b/>
          <w:bCs/>
        </w:rPr>
        <w:t>defendant</w:t>
      </w:r>
      <w:proofErr w:type="gramEnd"/>
      <w:r>
        <w:rPr>
          <w:b/>
          <w:bCs/>
        </w:rPr>
        <w:t xml:space="preserve"> at multiple fires led to his convictions. </w:t>
      </w:r>
    </w:p>
    <w:p w14:paraId="6529F552" w14:textId="5E513569" w:rsidR="00DC17BF" w:rsidRDefault="00DC17BF" w:rsidP="00F326E5">
      <w:pPr>
        <w:pStyle w:val="NoSpacing"/>
        <w:rPr>
          <w:rFonts w:ascii="Arial Black" w:hAnsi="Arial Black"/>
          <w:sz w:val="24"/>
          <w:szCs w:val="24"/>
        </w:rPr>
      </w:pPr>
      <w:r>
        <w:rPr>
          <w:rFonts w:ascii="Arial Black" w:hAnsi="Arial Black"/>
          <w:sz w:val="24"/>
          <w:szCs w:val="24"/>
        </w:rPr>
        <w:t xml:space="preserve"> </w:t>
      </w:r>
    </w:p>
    <w:p w14:paraId="4FCDB951" w14:textId="77777777" w:rsidR="00DC17BF" w:rsidRDefault="00DC17BF" w:rsidP="00F326E5">
      <w:pPr>
        <w:pStyle w:val="NoSpacing"/>
        <w:rPr>
          <w:rFonts w:ascii="Arial Black" w:hAnsi="Arial Black"/>
          <w:sz w:val="24"/>
          <w:szCs w:val="24"/>
        </w:rPr>
      </w:pPr>
    </w:p>
    <w:p w14:paraId="384D3DF7" w14:textId="77777777" w:rsidR="00DC17BF" w:rsidRDefault="00DC17BF" w:rsidP="00F326E5">
      <w:pPr>
        <w:pStyle w:val="NoSpacing"/>
        <w:rPr>
          <w:rFonts w:ascii="Arial Black" w:hAnsi="Arial Black"/>
          <w:sz w:val="24"/>
          <w:szCs w:val="24"/>
        </w:rPr>
      </w:pPr>
    </w:p>
    <w:p w14:paraId="31CAF639" w14:textId="1F591580" w:rsidR="007A0E71" w:rsidRDefault="007A0E71" w:rsidP="00F326E5">
      <w:pPr>
        <w:pStyle w:val="NoSpacing"/>
        <w:rPr>
          <w:rFonts w:ascii="Arial Black" w:hAnsi="Arial Black"/>
          <w:sz w:val="24"/>
          <w:szCs w:val="24"/>
        </w:rPr>
      </w:pPr>
      <w:r>
        <w:rPr>
          <w:rFonts w:ascii="Arial Black" w:hAnsi="Arial Black"/>
          <w:sz w:val="24"/>
          <w:szCs w:val="24"/>
        </w:rPr>
        <w:t>1-120</w:t>
      </w:r>
    </w:p>
    <w:p w14:paraId="5F584F5E" w14:textId="77777777" w:rsidR="007A0E71" w:rsidRDefault="007A0E71" w:rsidP="00F326E5">
      <w:pPr>
        <w:pStyle w:val="NoSpacing"/>
        <w:rPr>
          <w:rFonts w:ascii="Arial Black" w:hAnsi="Arial Black"/>
          <w:sz w:val="24"/>
          <w:szCs w:val="24"/>
        </w:rPr>
      </w:pPr>
    </w:p>
    <w:p w14:paraId="5779B036" w14:textId="77777777" w:rsidR="007A0E71" w:rsidRPr="001F782C" w:rsidRDefault="007A0E71" w:rsidP="007A0E71">
      <w:pPr>
        <w:pStyle w:val="NormalWeb"/>
        <w:rPr>
          <w:rFonts w:ascii="Arial Black" w:hAnsi="Arial Black"/>
          <w:sz w:val="28"/>
          <w:szCs w:val="28"/>
        </w:rPr>
      </w:pPr>
      <w:r w:rsidRPr="001F782C">
        <w:rPr>
          <w:rFonts w:ascii="Arial Black" w:hAnsi="Arial Black"/>
          <w:sz w:val="28"/>
          <w:szCs w:val="28"/>
        </w:rPr>
        <w:t>CA (4/12/2023)</w:t>
      </w:r>
      <w:r>
        <w:rPr>
          <w:rFonts w:ascii="Arial Black" w:hAnsi="Arial Black"/>
          <w:sz w:val="28"/>
          <w:szCs w:val="28"/>
        </w:rPr>
        <w:t xml:space="preserve"> – SAFER GRANT – FRAUD – RECRUITING VOL. FF - 12 MONTHS PRISON, $1.2 MILLION RESTITUTION</w:t>
      </w:r>
    </w:p>
    <w:p w14:paraId="7269FBFA" w14:textId="77777777" w:rsidR="007A0E71" w:rsidRDefault="007A0E71" w:rsidP="007A0E71">
      <w:pPr>
        <w:pStyle w:val="NormalWeb"/>
      </w:pPr>
      <w:r w:rsidRPr="001F782C">
        <w:rPr>
          <w:u w:val="single"/>
        </w:rPr>
        <w:t>United States v. Samuel Thomas Lanier</w:t>
      </w:r>
      <w:r>
        <w:t xml:space="preserve">, U.S. District Court Chief Judge Kimberly J. Mueller. </w:t>
      </w:r>
      <w:hyperlink r:id="rId192" w:history="1">
        <w:r w:rsidRPr="00173A17">
          <w:rPr>
            <w:rStyle w:val="Hyperlink"/>
            <w:rFonts w:eastAsiaTheme="majorEastAsia"/>
          </w:rPr>
          <w:t>https://www.leagle.com/decision/infdco20230413c44</w:t>
        </w:r>
      </w:hyperlink>
    </w:p>
    <w:p w14:paraId="20F88F65" w14:textId="77777777" w:rsidR="007A0E71" w:rsidRPr="004D4F51" w:rsidRDefault="007A0E71" w:rsidP="007A0E71">
      <w:pPr>
        <w:pStyle w:val="NormalWeb"/>
        <w:rPr>
          <w:b/>
          <w:bCs/>
        </w:rPr>
      </w:pPr>
      <w:r w:rsidRPr="004D4F51">
        <w:rPr>
          <w:b/>
          <w:bCs/>
        </w:rPr>
        <w:t xml:space="preserve">Legal Lesson Learned: </w:t>
      </w:r>
      <w:r>
        <w:rPr>
          <w:b/>
          <w:bCs/>
        </w:rPr>
        <w:t>Fraudulent charges to Fed. Government can lead to prison time and restitution.</w:t>
      </w:r>
    </w:p>
    <w:p w14:paraId="7568FB32" w14:textId="7AA1DB4C" w:rsidR="007A0E71" w:rsidRDefault="007A0E71" w:rsidP="007A0E71">
      <w:pPr>
        <w:pStyle w:val="NoSpacing"/>
        <w:rPr>
          <w:rFonts w:ascii="Arial Black" w:hAnsi="Arial Black"/>
          <w:sz w:val="24"/>
          <w:szCs w:val="24"/>
        </w:rPr>
      </w:pPr>
      <w:r w:rsidRPr="004D4F51">
        <w:rPr>
          <w:sz w:val="24"/>
          <w:szCs w:val="24"/>
        </w:rPr>
        <w:lastRenderedPageBreak/>
        <w:t xml:space="preserve">Note: See </w:t>
      </w:r>
      <w:r>
        <w:rPr>
          <w:sz w:val="24"/>
          <w:szCs w:val="24"/>
        </w:rPr>
        <w:t xml:space="preserve">Oct. 17, </w:t>
      </w:r>
      <w:proofErr w:type="gramStart"/>
      <w:r>
        <w:rPr>
          <w:sz w:val="24"/>
          <w:szCs w:val="24"/>
        </w:rPr>
        <w:t>2022</w:t>
      </w:r>
      <w:proofErr w:type="gramEnd"/>
      <w:r>
        <w:rPr>
          <w:sz w:val="24"/>
          <w:szCs w:val="24"/>
        </w:rPr>
        <w:t xml:space="preserve"> Press Release – “</w:t>
      </w:r>
      <w:r w:rsidRPr="004D4F51">
        <w:rPr>
          <w:rStyle w:val="field-formatter--string"/>
          <w:sz w:val="24"/>
          <w:szCs w:val="24"/>
        </w:rPr>
        <w:t>Siskiyou County Man Sentenced to 1 Year in Prison for Major Fraud Against the United States for Taking FEMA Grant Funds</w:t>
      </w:r>
      <w:r>
        <w:rPr>
          <w:rStyle w:val="field-formatter--string"/>
          <w:sz w:val="24"/>
          <w:szCs w:val="24"/>
        </w:rPr>
        <w:t xml:space="preserve">.” </w:t>
      </w:r>
      <w:hyperlink r:id="rId193" w:history="1">
        <w:r w:rsidRPr="00173A17">
          <w:rPr>
            <w:rStyle w:val="Hyperlink"/>
            <w:rFonts w:eastAsiaTheme="majorEastAsia"/>
            <w:sz w:val="24"/>
            <w:szCs w:val="24"/>
          </w:rPr>
          <w:t>https://www.justice.gov/usao-edca/pr/siskiyou-county-man-sentenced-1-year-prison-major-fraud-against-united-states-taking</w:t>
        </w:r>
      </w:hyperlink>
    </w:p>
    <w:p w14:paraId="15206FEB" w14:textId="77777777" w:rsidR="007A0E71" w:rsidRDefault="007A0E71" w:rsidP="00F326E5">
      <w:pPr>
        <w:pStyle w:val="NoSpacing"/>
        <w:rPr>
          <w:rFonts w:ascii="Arial Black" w:hAnsi="Arial Black"/>
          <w:sz w:val="24"/>
          <w:szCs w:val="24"/>
        </w:rPr>
      </w:pPr>
    </w:p>
    <w:p w14:paraId="7B7C6D24" w14:textId="5254AA91" w:rsidR="003F788B" w:rsidRDefault="003F788B" w:rsidP="00F326E5">
      <w:pPr>
        <w:pStyle w:val="NoSpacing"/>
        <w:rPr>
          <w:rFonts w:ascii="Arial Black" w:hAnsi="Arial Black"/>
          <w:sz w:val="24"/>
          <w:szCs w:val="24"/>
        </w:rPr>
      </w:pPr>
      <w:r>
        <w:rPr>
          <w:rFonts w:ascii="Arial Black" w:hAnsi="Arial Black"/>
          <w:sz w:val="24"/>
          <w:szCs w:val="24"/>
        </w:rPr>
        <w:t>1-119</w:t>
      </w:r>
    </w:p>
    <w:p w14:paraId="7FFB5D97" w14:textId="77777777" w:rsidR="003F788B" w:rsidRDefault="003F788B" w:rsidP="003F788B">
      <w:pPr>
        <w:pStyle w:val="NormalWeb"/>
        <w:rPr>
          <w:rFonts w:ascii="Arial Black" w:hAnsi="Arial Black"/>
          <w:sz w:val="28"/>
          <w:szCs w:val="28"/>
        </w:rPr>
      </w:pPr>
      <w:r>
        <w:rPr>
          <w:rFonts w:ascii="Arial Black" w:hAnsi="Arial Black"/>
          <w:sz w:val="28"/>
          <w:szCs w:val="28"/>
        </w:rPr>
        <w:t>MI: FIRE MARSHAL DENIED QUALIFIED IMMUNITY, CHANGED RPT “INCENDIARY” – LODD - BLDG OWNER SUES</w:t>
      </w:r>
    </w:p>
    <w:p w14:paraId="6942614A" w14:textId="77777777" w:rsidR="003F788B" w:rsidRDefault="003F788B" w:rsidP="003F788B">
      <w:pPr>
        <w:pStyle w:val="NormalWeb"/>
      </w:pPr>
      <w:r>
        <w:t xml:space="preserve">On March 24, 2023, in </w:t>
      </w:r>
      <w:r>
        <w:rPr>
          <w:u w:val="single"/>
        </w:rPr>
        <w:t xml:space="preserve">George Marvaso, et al. v. Richard Sanchez, et </w:t>
      </w:r>
      <w:r>
        <w:t>al., U.S. District Court Judge Linda V. Parker, Eastern District of Michigan (Southern Division) held that the lawsuit by the owners of the restaurant and adjacent pool hall may proceed in lawsuit against the Fire Marshal and others for alleged violation of their federal constitutional rights under 4</w:t>
      </w:r>
      <w:r>
        <w:rPr>
          <w:vertAlign w:val="superscript"/>
        </w:rPr>
        <w:t>th</w:t>
      </w:r>
      <w:r>
        <w:t xml:space="preserve"> &amp; 14</w:t>
      </w:r>
      <w:r>
        <w:rPr>
          <w:vertAlign w:val="superscript"/>
        </w:rPr>
        <w:t>th</w:t>
      </w:r>
      <w:r>
        <w:t xml:space="preserve"> Amendment, when Fire Marshall changed his origin and cause report from “undetermined: (May 2013) to “incendiary” (Nov. 2013).   During the fire, there was a building collapse and firefighter Brian Woelke was trapped and died. See NIOSH FF Fatality Report: </w:t>
      </w:r>
      <w:hyperlink r:id="rId194" w:history="1">
        <w:r>
          <w:rPr>
            <w:rStyle w:val="Hyperlink"/>
          </w:rPr>
          <w:t>https://www.cdc.gov/niosh/fire/pdfs/face201314.pdf</w:t>
        </w:r>
      </w:hyperlink>
      <w:r>
        <w:t xml:space="preserve">.  In Aug. 2013, state OSHA issued citations for LODD and FD paid $3,500 in fines. </w:t>
      </w:r>
    </w:p>
    <w:p w14:paraId="329B4267" w14:textId="77777777" w:rsidR="003F788B" w:rsidRDefault="003F788B" w:rsidP="003F788B">
      <w:pPr>
        <w:pStyle w:val="NormalWeb"/>
        <w:ind w:left="720"/>
      </w:pPr>
      <w:r>
        <w:t xml:space="preserve">The Court denied the Fire Marshall’s motion to dismiss the case and referenced the plaintiffs’ allegations. “On or about mid-September 2013, Fire Marshal Adams met with Westland City Councilman Bill Johnson. While Adams previously told Councilman Johnson that the cause of the fire was electrical in nature, he now indicated that he was changing his conclusion to an incendiary cause even though he had no new evidence. When Councilman Johnson asked Fire Marshal Adams why he was changing his mind, Fire Marshal Adams answered: ‘Because a firefighter died, Bill.’”  Plaintiffs further alleged:  “In mid-November 2013, Fire Marshal Adams submitted an alleged false fire origin and cause report to the Michigan State Police (‘MSP’) and Wayne County Prosecutor's Office, which triggered an MSP homicide investigation resulting in the allegedly unlawful search warrants … being executed for Plaintiffs' homes, where records and personal property were seized. Fire Marshal Adams' announcement that the fire had an incendiary cause, and that the MSP would be opening a homicide investigation into Woelke's death was widely reported in the statewide news media.” </w:t>
      </w:r>
      <w:hyperlink r:id="rId195" w:history="1">
        <w:r>
          <w:rPr>
            <w:rStyle w:val="Hyperlink"/>
          </w:rPr>
          <w:t>https://public.fastcase.com/J%2FJP6pdidelsXxEE4k%2BLMh%2BxgKCWLadJ0%2BOScffwypyz9KPkH6WwjXpW3uRa%2FlRTPk79L8Q2wc49Eb83uFrfiOwpLA5%2BzEeF6Sl%2BnZohK7o%3D?utm_medium=email&amp;_hsmi=226712652&amp;_hsenc=p2ANqtz--JRFw_odmHYH-3piiElV-hEg_p30YKZr85DqTYsa6cCP0cQTh9qrySQOzbjYsHMVm2otLm7TlEchGQvTofiaLZzRru3Q&amp;utm_content=226712652&amp;utm_source=hs_email</w:t>
        </w:r>
      </w:hyperlink>
      <w:r>
        <w:t xml:space="preserve"> </w:t>
      </w:r>
    </w:p>
    <w:p w14:paraId="094F4030" w14:textId="77777777" w:rsidR="003F788B" w:rsidRDefault="003F788B" w:rsidP="003F788B">
      <w:pPr>
        <w:pStyle w:val="NormalWeb"/>
        <w:ind w:left="720" w:firstLine="60"/>
      </w:pPr>
      <w:r>
        <w:t>“</w:t>
      </w:r>
      <w:r>
        <w:rPr>
          <w:rStyle w:val="Emphasis"/>
        </w:rPr>
        <w:t>Qualified Immunity as to Alleged Constitutional Violations…</w:t>
      </w:r>
      <w:r>
        <w:t xml:space="preserve"> Plaintiffs have presented sufficient evidence that Fire Marshal Adams was aware that his action was unlawful, which occurred when he allegedly responded to Councilman Johnson with his reasoning for changing the report. A reasonable fireman, officer, or anyone with the requisite training, is aware that engaging in such conduct would be unlawful and at the very least, would likely amount to a termination of employment. As such, absent any evidence on the record to rebut that statement, Fire Marshal Adams is not entitled to the protections of qualified immunity.” </w:t>
      </w:r>
    </w:p>
    <w:p w14:paraId="405E31F3" w14:textId="77777777" w:rsidR="003F788B" w:rsidRDefault="003F788B" w:rsidP="003F788B">
      <w:pPr>
        <w:pStyle w:val="NormalWeb"/>
        <w:rPr>
          <w:b/>
          <w:bCs/>
        </w:rPr>
      </w:pPr>
      <w:r>
        <w:rPr>
          <w:b/>
          <w:bCs/>
        </w:rPr>
        <w:t xml:space="preserve">Legal Lesson Learned: The plaintiffs’ allegations are </w:t>
      </w:r>
      <w:proofErr w:type="gramStart"/>
      <w:r>
        <w:rPr>
          <w:b/>
          <w:bCs/>
        </w:rPr>
        <w:t>shocking, but</w:t>
      </w:r>
      <w:proofErr w:type="gramEnd"/>
      <w:r>
        <w:rPr>
          <w:b/>
          <w:bCs/>
        </w:rPr>
        <w:t xml:space="preserve"> have not been proven at trial.  The Fire Marshall may decide to </w:t>
      </w:r>
      <w:proofErr w:type="gramStart"/>
      <w:r>
        <w:rPr>
          <w:b/>
          <w:bCs/>
        </w:rPr>
        <w:t>take</w:t>
      </w:r>
      <w:proofErr w:type="gramEnd"/>
      <w:r>
        <w:rPr>
          <w:b/>
          <w:bCs/>
        </w:rPr>
        <w:t xml:space="preserve"> an immediate appeal to 6</w:t>
      </w:r>
      <w:r>
        <w:rPr>
          <w:b/>
          <w:bCs/>
          <w:vertAlign w:val="superscript"/>
        </w:rPr>
        <w:t>th</w:t>
      </w:r>
      <w:r>
        <w:rPr>
          <w:b/>
          <w:bCs/>
        </w:rPr>
        <w:t xml:space="preserve"> Circuit on denial of qualified immunity. </w:t>
      </w:r>
    </w:p>
    <w:p w14:paraId="78AF202C" w14:textId="77777777" w:rsidR="003F788B" w:rsidRDefault="003F788B" w:rsidP="003F788B">
      <w:pPr>
        <w:pStyle w:val="NormalWeb"/>
        <w:ind w:left="720"/>
      </w:pPr>
      <w:r>
        <w:t xml:space="preserve">Note: The Court dismissed from this lawsuit the Michigan State Police lieutenant who submitted a search warrant affidavit, that included following: </w:t>
      </w:r>
    </w:p>
    <w:p w14:paraId="71724393" w14:textId="77777777" w:rsidR="003F788B" w:rsidRDefault="003F788B" w:rsidP="003F788B">
      <w:pPr>
        <w:spacing w:after="100" w:line="240" w:lineRule="auto"/>
        <w:ind w:firstLine="720"/>
        <w:rPr>
          <w:rFonts w:ascii="Times New Roman" w:eastAsia="Times New Roman" w:hAnsi="Times New Roman"/>
          <w:sz w:val="24"/>
          <w:szCs w:val="24"/>
        </w:rPr>
      </w:pPr>
      <w:r>
        <w:rPr>
          <w:rFonts w:ascii="Times New Roman" w:eastAsia="Times New Roman" w:hAnsi="Times New Roman"/>
          <w:sz w:val="24"/>
          <w:szCs w:val="24"/>
        </w:rPr>
        <w:lastRenderedPageBreak/>
        <w:t xml:space="preserve">(1) multiple tips that the fire was intentionally set, </w:t>
      </w:r>
    </w:p>
    <w:p w14:paraId="47974787" w14:textId="77777777" w:rsidR="003F788B" w:rsidRDefault="003F788B" w:rsidP="003F788B">
      <w:pPr>
        <w:spacing w:after="100" w:line="240" w:lineRule="auto"/>
        <w:ind w:left="720"/>
        <w:rPr>
          <w:rFonts w:ascii="Times New Roman" w:eastAsia="Times New Roman" w:hAnsi="Times New Roman"/>
          <w:sz w:val="24"/>
          <w:szCs w:val="24"/>
        </w:rPr>
      </w:pPr>
      <w:r>
        <w:rPr>
          <w:rFonts w:ascii="Times New Roman" w:eastAsia="Times New Roman" w:hAnsi="Times New Roman"/>
          <w:sz w:val="24"/>
          <w:szCs w:val="24"/>
        </w:rPr>
        <w:t xml:space="preserve">(2) a vehicle in the parking lot of the business after hours on the night of the fire that matched a description of Marvaso, Jr.'s car,  </w:t>
      </w:r>
    </w:p>
    <w:p w14:paraId="119FD9E4" w14:textId="77777777" w:rsidR="003F788B" w:rsidRDefault="003F788B" w:rsidP="003F788B">
      <w:pPr>
        <w:spacing w:after="100" w:line="240" w:lineRule="auto"/>
        <w:ind w:left="720"/>
        <w:rPr>
          <w:rFonts w:ascii="Times New Roman" w:eastAsia="Times New Roman" w:hAnsi="Times New Roman"/>
          <w:sz w:val="24"/>
          <w:szCs w:val="24"/>
        </w:rPr>
      </w:pPr>
      <w:r>
        <w:rPr>
          <w:rFonts w:ascii="Times New Roman" w:eastAsia="Times New Roman" w:hAnsi="Times New Roman"/>
          <w:sz w:val="24"/>
          <w:szCs w:val="24"/>
        </w:rPr>
        <w:t xml:space="preserve">(3) information from a Marvaso relative that Marvaso, Sr. was distraught because the fire was an insurance job and no one was supposed to get hurt, </w:t>
      </w:r>
    </w:p>
    <w:p w14:paraId="3C76BD1F" w14:textId="77777777" w:rsidR="003F788B" w:rsidRDefault="003F788B" w:rsidP="003F788B">
      <w:pPr>
        <w:spacing w:after="100" w:line="240" w:lineRule="auto"/>
        <w:ind w:left="720"/>
        <w:rPr>
          <w:rFonts w:ascii="Times New Roman" w:eastAsia="Times New Roman" w:hAnsi="Times New Roman"/>
          <w:sz w:val="24"/>
          <w:szCs w:val="24"/>
        </w:rPr>
      </w:pPr>
      <w:r>
        <w:rPr>
          <w:rFonts w:ascii="Times New Roman" w:eastAsia="Times New Roman" w:hAnsi="Times New Roman"/>
          <w:sz w:val="24"/>
          <w:szCs w:val="24"/>
        </w:rPr>
        <w:t xml:space="preserve">(4) a recent fire cause and origin report from Westland determining that the fire was intentionally set, </w:t>
      </w:r>
    </w:p>
    <w:p w14:paraId="32421811" w14:textId="77777777" w:rsidR="003F788B" w:rsidRDefault="003F788B" w:rsidP="003F788B">
      <w:pPr>
        <w:spacing w:after="100" w:line="240" w:lineRule="auto"/>
        <w:ind w:firstLine="720"/>
        <w:rPr>
          <w:rFonts w:ascii="Times New Roman" w:eastAsia="Times New Roman" w:hAnsi="Times New Roman"/>
          <w:sz w:val="24"/>
          <w:szCs w:val="24"/>
        </w:rPr>
      </w:pPr>
      <w:r>
        <w:rPr>
          <w:rFonts w:ascii="Times New Roman" w:eastAsia="Times New Roman" w:hAnsi="Times New Roman"/>
          <w:sz w:val="24"/>
          <w:szCs w:val="24"/>
        </w:rPr>
        <w:t xml:space="preserve">(5) information that the entry doors were locked and not disturbed, </w:t>
      </w:r>
    </w:p>
    <w:p w14:paraId="2CA21ACB" w14:textId="77777777" w:rsidR="003F788B" w:rsidRDefault="003F788B" w:rsidP="003F788B">
      <w:pPr>
        <w:spacing w:after="100" w:line="240" w:lineRule="auto"/>
        <w:ind w:firstLine="720"/>
        <w:rPr>
          <w:rFonts w:ascii="Times New Roman" w:eastAsia="Times New Roman" w:hAnsi="Times New Roman"/>
          <w:sz w:val="24"/>
          <w:szCs w:val="24"/>
        </w:rPr>
      </w:pPr>
      <w:r>
        <w:rPr>
          <w:rFonts w:ascii="Times New Roman" w:eastAsia="Times New Roman" w:hAnsi="Times New Roman"/>
          <w:sz w:val="24"/>
          <w:szCs w:val="24"/>
        </w:rPr>
        <w:t xml:space="preserve">(6) the inference that no forced entry suggested an inside job, </w:t>
      </w:r>
    </w:p>
    <w:p w14:paraId="61EAB6AF" w14:textId="77777777" w:rsidR="003F788B" w:rsidRDefault="003F788B" w:rsidP="003F788B">
      <w:pPr>
        <w:spacing w:after="100" w:line="240" w:lineRule="auto"/>
        <w:ind w:firstLine="720"/>
        <w:rPr>
          <w:rFonts w:ascii="Times New Roman" w:eastAsia="Times New Roman" w:hAnsi="Times New Roman"/>
          <w:sz w:val="24"/>
          <w:szCs w:val="24"/>
        </w:rPr>
      </w:pPr>
      <w:r>
        <w:rPr>
          <w:rFonts w:ascii="Times New Roman" w:eastAsia="Times New Roman" w:hAnsi="Times New Roman"/>
          <w:sz w:val="24"/>
          <w:szCs w:val="24"/>
        </w:rPr>
        <w:t xml:space="preserve">(7) information about financial difficulties associated with the business, </w:t>
      </w:r>
    </w:p>
    <w:p w14:paraId="046F48B8" w14:textId="77777777" w:rsidR="003F788B" w:rsidRDefault="003F788B" w:rsidP="003F788B">
      <w:pPr>
        <w:spacing w:after="100" w:line="240" w:lineRule="auto"/>
        <w:ind w:firstLine="720"/>
        <w:rPr>
          <w:rFonts w:ascii="Times New Roman" w:eastAsia="Times New Roman" w:hAnsi="Times New Roman"/>
          <w:sz w:val="24"/>
          <w:szCs w:val="24"/>
        </w:rPr>
      </w:pPr>
      <w:r>
        <w:rPr>
          <w:rFonts w:ascii="Times New Roman" w:eastAsia="Times New Roman" w:hAnsi="Times New Roman"/>
          <w:sz w:val="24"/>
          <w:szCs w:val="24"/>
        </w:rPr>
        <w:t xml:space="preserve">(8) information that Plaintiffs removed items from the scene of the fire, </w:t>
      </w:r>
    </w:p>
    <w:p w14:paraId="3C4578F6" w14:textId="77777777" w:rsidR="003F788B" w:rsidRDefault="003F788B" w:rsidP="003F788B">
      <w:pPr>
        <w:spacing w:after="100" w:line="240" w:lineRule="auto"/>
        <w:ind w:left="720"/>
        <w:rPr>
          <w:rFonts w:ascii="Times New Roman" w:eastAsia="Times New Roman" w:hAnsi="Times New Roman"/>
          <w:sz w:val="24"/>
          <w:szCs w:val="24"/>
        </w:rPr>
      </w:pPr>
      <w:r>
        <w:rPr>
          <w:rFonts w:ascii="Times New Roman" w:eastAsia="Times New Roman" w:hAnsi="Times New Roman"/>
          <w:sz w:val="24"/>
          <w:szCs w:val="24"/>
        </w:rPr>
        <w:t xml:space="preserve">(9) information regarding business related items that may be located at Plaintiffs' residences and storage lockers, </w:t>
      </w:r>
    </w:p>
    <w:p w14:paraId="503E3F19" w14:textId="77777777" w:rsidR="003F788B" w:rsidRDefault="003F788B" w:rsidP="003F788B">
      <w:pPr>
        <w:spacing w:after="100" w:line="240" w:lineRule="auto"/>
        <w:ind w:firstLine="720"/>
        <w:rPr>
          <w:rFonts w:ascii="Times New Roman" w:eastAsia="Times New Roman" w:hAnsi="Times New Roman"/>
          <w:sz w:val="24"/>
          <w:szCs w:val="24"/>
        </w:rPr>
      </w:pPr>
      <w:r>
        <w:rPr>
          <w:rFonts w:ascii="Times New Roman" w:eastAsia="Times New Roman" w:hAnsi="Times New Roman"/>
          <w:sz w:val="24"/>
          <w:szCs w:val="24"/>
        </w:rPr>
        <w:t xml:space="preserve">(10) information about telephone numbers associated with the business, </w:t>
      </w:r>
    </w:p>
    <w:p w14:paraId="7F0771BA" w14:textId="77777777" w:rsidR="003F788B" w:rsidRDefault="003F788B" w:rsidP="003F788B">
      <w:pPr>
        <w:spacing w:after="100" w:line="240" w:lineRule="auto"/>
        <w:ind w:firstLine="720"/>
        <w:rPr>
          <w:rFonts w:ascii="Times New Roman" w:eastAsia="Times New Roman" w:hAnsi="Times New Roman"/>
          <w:sz w:val="24"/>
          <w:szCs w:val="24"/>
        </w:rPr>
      </w:pPr>
      <w:r>
        <w:rPr>
          <w:rFonts w:ascii="Times New Roman" w:eastAsia="Times New Roman" w:hAnsi="Times New Roman"/>
          <w:sz w:val="24"/>
          <w:szCs w:val="24"/>
        </w:rPr>
        <w:t xml:space="preserve">(11) information about the role of each Plaintiff in the business, and </w:t>
      </w:r>
    </w:p>
    <w:p w14:paraId="5BA2EFFE" w14:textId="77777777" w:rsidR="003F788B" w:rsidRDefault="003F788B" w:rsidP="003F788B">
      <w:pPr>
        <w:spacing w:after="100" w:line="240" w:lineRule="auto"/>
        <w:ind w:firstLine="720"/>
        <w:rPr>
          <w:rFonts w:ascii="Times New Roman" w:eastAsia="Times New Roman" w:hAnsi="Times New Roman"/>
          <w:sz w:val="24"/>
          <w:szCs w:val="24"/>
        </w:rPr>
      </w:pPr>
      <w:r>
        <w:rPr>
          <w:rFonts w:ascii="Times New Roman" w:eastAsia="Times New Roman" w:hAnsi="Times New Roman"/>
          <w:sz w:val="24"/>
          <w:szCs w:val="24"/>
        </w:rPr>
        <w:t xml:space="preserve">(12) information that the insurance coverage was recently raised. </w:t>
      </w:r>
    </w:p>
    <w:p w14:paraId="46532D3D" w14:textId="23062BC0" w:rsidR="003F788B" w:rsidRDefault="003F788B" w:rsidP="00F326E5">
      <w:pPr>
        <w:pStyle w:val="NoSpacing"/>
        <w:rPr>
          <w:rFonts w:ascii="Arial Black" w:hAnsi="Arial Black"/>
          <w:sz w:val="24"/>
          <w:szCs w:val="24"/>
        </w:rPr>
      </w:pPr>
    </w:p>
    <w:p w14:paraId="1EDBFEF6" w14:textId="77777777" w:rsidR="003F788B" w:rsidRDefault="003F788B" w:rsidP="00F326E5">
      <w:pPr>
        <w:pStyle w:val="NoSpacing"/>
        <w:rPr>
          <w:rFonts w:ascii="Arial Black" w:hAnsi="Arial Black"/>
          <w:sz w:val="24"/>
          <w:szCs w:val="24"/>
        </w:rPr>
      </w:pPr>
    </w:p>
    <w:p w14:paraId="008C7A19" w14:textId="77777777" w:rsidR="003F788B" w:rsidRDefault="003F788B" w:rsidP="00F326E5">
      <w:pPr>
        <w:pStyle w:val="NoSpacing"/>
        <w:rPr>
          <w:rFonts w:ascii="Arial Black" w:hAnsi="Arial Black"/>
          <w:sz w:val="24"/>
          <w:szCs w:val="24"/>
        </w:rPr>
      </w:pPr>
    </w:p>
    <w:p w14:paraId="0D599D1F" w14:textId="77777777" w:rsidR="003F788B" w:rsidRDefault="003F788B" w:rsidP="00F326E5">
      <w:pPr>
        <w:pStyle w:val="NoSpacing"/>
        <w:rPr>
          <w:rFonts w:ascii="Arial Black" w:hAnsi="Arial Black"/>
          <w:sz w:val="24"/>
          <w:szCs w:val="24"/>
        </w:rPr>
      </w:pPr>
    </w:p>
    <w:p w14:paraId="4E3989D3" w14:textId="77777777" w:rsidR="003F788B" w:rsidRDefault="003F788B" w:rsidP="00F326E5">
      <w:pPr>
        <w:pStyle w:val="NoSpacing"/>
        <w:rPr>
          <w:rFonts w:ascii="Arial Black" w:hAnsi="Arial Black"/>
          <w:sz w:val="24"/>
          <w:szCs w:val="24"/>
        </w:rPr>
      </w:pPr>
    </w:p>
    <w:p w14:paraId="3EC93410" w14:textId="106930D5" w:rsidR="003F788B" w:rsidRDefault="003F788B" w:rsidP="00F326E5">
      <w:pPr>
        <w:pStyle w:val="NoSpacing"/>
        <w:rPr>
          <w:rFonts w:ascii="Arial Black" w:hAnsi="Arial Black"/>
          <w:sz w:val="24"/>
          <w:szCs w:val="24"/>
        </w:rPr>
      </w:pPr>
      <w:r>
        <w:rPr>
          <w:rFonts w:ascii="Arial Black" w:hAnsi="Arial Black"/>
          <w:sz w:val="24"/>
          <w:szCs w:val="24"/>
        </w:rPr>
        <w:t>1-118</w:t>
      </w:r>
    </w:p>
    <w:p w14:paraId="2E83124E" w14:textId="7561F347" w:rsidR="003F788B" w:rsidRDefault="003F788B" w:rsidP="00F326E5">
      <w:pPr>
        <w:pStyle w:val="NoSpacing"/>
        <w:rPr>
          <w:rFonts w:ascii="Arial Black" w:hAnsi="Arial Black"/>
          <w:sz w:val="24"/>
          <w:szCs w:val="24"/>
        </w:rPr>
      </w:pPr>
    </w:p>
    <w:p w14:paraId="3C8F0748" w14:textId="77777777" w:rsidR="003F788B" w:rsidRDefault="003F788B" w:rsidP="003F788B">
      <w:pPr>
        <w:pStyle w:val="NormalWeb"/>
        <w:rPr>
          <w:rFonts w:ascii="Arial Black" w:hAnsi="Arial Black"/>
          <w:b/>
          <w:bCs/>
          <w:sz w:val="28"/>
          <w:szCs w:val="28"/>
        </w:rPr>
      </w:pPr>
      <w:r>
        <w:rPr>
          <w:rFonts w:ascii="Arial Black" w:hAnsi="Arial Black"/>
          <w:b/>
          <w:bCs/>
          <w:sz w:val="28"/>
          <w:szCs w:val="28"/>
        </w:rPr>
        <w:t>KY: DRUG OVERDOSE – “GOOD SAMARITAN LAW” – DOES NOT PROTECT OVERDOSE VICTIM FOR TRAFFICKING</w:t>
      </w:r>
    </w:p>
    <w:p w14:paraId="56171F56" w14:textId="77777777" w:rsidR="003F788B" w:rsidRDefault="003F788B" w:rsidP="003F788B">
      <w:pPr>
        <w:pStyle w:val="NormalWeb"/>
      </w:pPr>
      <w:r>
        <w:t xml:space="preserve">On March 10, 2023, in </w:t>
      </w:r>
      <w:r>
        <w:rPr>
          <w:u w:val="single"/>
        </w:rPr>
        <w:t>Jordan Brown v. Commonwealth of Kentucky</w:t>
      </w:r>
      <w:r>
        <w:t xml:space="preserve">, the Court of Appeals of Kentucky held (3 to 0; unpublished decision) that trial court properly denied the defendant’s motion to dismiss. “On August 28, 2021, Brown overdosed at the home of Chandra Walker (‘Walker’). Walker called 911. Both law enforcement and emergency medical </w:t>
      </w:r>
      <w:proofErr w:type="gramStart"/>
      <w:r>
        <w:t>services (‘EMS’)</w:t>
      </w:r>
      <w:proofErr w:type="gramEnd"/>
      <w:r>
        <w:t xml:space="preserve"> responded to the call. EMS found Brown unresponsive, administered Narcan, and transported Brown to the hospital. Police searched Brown and his surroundings and discovered a loaded syringe, a scale, heroin, and an ounce of methamphetamine. As a result of this incident, Brown was indicted on one count of trafficking in controlled substances in the first degree. Thereafter, Brown filed a motion to dismiss, arguing KRS 218A.133 bars prosecution for trafficking. The trial court denied the motion. Brown then entered a conditional guilty </w:t>
      </w:r>
      <w:proofErr w:type="gramStart"/>
      <w:r>
        <w:t>plea</w:t>
      </w:r>
      <w:proofErr w:type="gramEnd"/>
      <w:r>
        <w:t xml:space="preserve"> and, upon entry of the final judgment, he was sentenced to seven years' imprisonment. This appeal followed.”</w:t>
      </w:r>
    </w:p>
    <w:p w14:paraId="5019F956" w14:textId="77777777" w:rsidR="003F788B" w:rsidRDefault="003F788B" w:rsidP="003F788B">
      <w:pPr>
        <w:pStyle w:val="NormalWeb"/>
        <w:ind w:left="720"/>
      </w:pPr>
      <w:r>
        <w:t xml:space="preserve">The Court held: “Prosecution for trafficking offenses is not prohibited by KRS 218A.133. It is fundamental to statutory construction that we first look "to the language of the statute, giving the words their plain and ordinary meaning." </w:t>
      </w:r>
      <w:r>
        <w:rPr>
          <w:rStyle w:val="Emphasis"/>
        </w:rPr>
        <w:t>Overstreet v. Kindred Nursing Centers Limited Partnership</w:t>
      </w:r>
      <w:r>
        <w:t xml:space="preserve">, 479 S.W.3d 69, 73 (Ky. 2015) (citation omitted). Where the language of the statute is unambiguous, we will not consider extrinsic evidence, including evidence of legislative intent. </w:t>
      </w:r>
      <w:r>
        <w:rPr>
          <w:rStyle w:val="Emphasis"/>
        </w:rPr>
        <w:t>Id</w:t>
      </w:r>
      <w:r>
        <w:t xml:space="preserve">. (citation omitted). KRS 218A.133 specifically prohibits charging or prosecuting an individual for criminal offenses related to </w:t>
      </w:r>
      <w:r>
        <w:rPr>
          <w:rStyle w:val="Strong"/>
        </w:rPr>
        <w:t>possession</w:t>
      </w:r>
      <w:r>
        <w:t xml:space="preserve"> of controlled substances and/or paraphernalia. The statute does not mention trafficking offenses. Trafficking offenses are distinct from possession charges. Trafficking is separately defined as </w:t>
      </w:r>
      <w:r>
        <w:lastRenderedPageBreak/>
        <w:t xml:space="preserve">‘to manufacture, distribute, dispense, sell, transfer, or possess with intent to manufacture, distribute, dispense, or sell a controlled substance[.]’ KRS 218A.010(56). The General Assembly unambiguously chose only to prohibit charging or prosecuting for possession offenses but not for trafficking offenses.” </w:t>
      </w:r>
      <w:hyperlink r:id="rId196" w:history="1">
        <w:r>
          <w:rPr>
            <w:rStyle w:val="Hyperlink"/>
          </w:rPr>
          <w:t>https://law.justia.com/cases/kentucky/court-of-appeals/2023/2022-ca-0276-mr.html</w:t>
        </w:r>
      </w:hyperlink>
      <w:r>
        <w:t xml:space="preserve"> </w:t>
      </w:r>
    </w:p>
    <w:p w14:paraId="0F7F42F2" w14:textId="77777777" w:rsidR="003F788B" w:rsidRDefault="003F788B" w:rsidP="003F788B">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KRS 218A.133(2), “</w:t>
      </w:r>
      <w:r>
        <w:rPr>
          <w:rStyle w:val="markedcontent"/>
          <w:rFonts w:ascii="Times New Roman" w:hAnsi="Times New Roman"/>
          <w:sz w:val="24"/>
          <w:szCs w:val="24"/>
        </w:rPr>
        <w:t>Exemption from prosecution for possession of controlled substance or drug paraphernalia if seeking assistance with drug overdose.”</w:t>
      </w:r>
    </w:p>
    <w:p w14:paraId="2037E434" w14:textId="77777777" w:rsidR="003F788B" w:rsidRDefault="003F788B" w:rsidP="003F788B">
      <w:pPr>
        <w:spacing w:after="100" w:line="240" w:lineRule="auto"/>
        <w:ind w:left="1440"/>
        <w:rPr>
          <w:rFonts w:ascii="Times New Roman" w:eastAsia="Times New Roman" w:hAnsi="Times New Roman"/>
          <w:sz w:val="24"/>
          <w:szCs w:val="24"/>
        </w:rPr>
      </w:pPr>
      <w:r>
        <w:rPr>
          <w:rFonts w:ascii="Times New Roman" w:eastAsia="Times New Roman" w:hAnsi="Times New Roman"/>
          <w:sz w:val="24"/>
          <w:szCs w:val="24"/>
        </w:rPr>
        <w:t xml:space="preserve">A person shall not be charged with or prosecuted for a criminal offense prohibiting the possession of a controlled substance or the possession of drug paraphernalia if: </w:t>
      </w:r>
    </w:p>
    <w:p w14:paraId="1B3A71C4" w14:textId="77777777" w:rsidR="003F788B" w:rsidRDefault="003F788B" w:rsidP="003F788B">
      <w:pPr>
        <w:spacing w:after="100" w:line="240" w:lineRule="auto"/>
        <w:ind w:left="1440"/>
        <w:rPr>
          <w:rFonts w:ascii="Times New Roman" w:eastAsia="Times New Roman" w:hAnsi="Times New Roman"/>
          <w:sz w:val="24"/>
          <w:szCs w:val="24"/>
        </w:rPr>
      </w:pPr>
      <w:r>
        <w:rPr>
          <w:rFonts w:ascii="Times New Roman" w:eastAsia="Times New Roman" w:hAnsi="Times New Roman"/>
          <w:sz w:val="24"/>
          <w:szCs w:val="24"/>
        </w:rPr>
        <w:t xml:space="preserve">(a) In good faith, medical assistance with a drug overdose is sought from a public safety answering point, emergency medical services, a law enforcement officer, or a health practitioner because the person: </w:t>
      </w:r>
    </w:p>
    <w:p w14:paraId="2C2B1BA2" w14:textId="77777777" w:rsidR="003F788B" w:rsidRDefault="003F788B" w:rsidP="003F788B">
      <w:pPr>
        <w:spacing w:after="100" w:line="240" w:lineRule="auto"/>
        <w:ind w:left="2160"/>
        <w:rPr>
          <w:rFonts w:ascii="Times New Roman" w:eastAsia="Times New Roman" w:hAnsi="Times New Roman"/>
          <w:sz w:val="24"/>
          <w:szCs w:val="24"/>
        </w:rPr>
      </w:pPr>
      <w:r>
        <w:rPr>
          <w:rFonts w:ascii="Times New Roman" w:eastAsia="Times New Roman" w:hAnsi="Times New Roman"/>
          <w:sz w:val="24"/>
          <w:szCs w:val="24"/>
        </w:rPr>
        <w:t xml:space="preserve">1. Requests emergency medical assistance for himself or herself or another person; </w:t>
      </w:r>
    </w:p>
    <w:p w14:paraId="0CCFEEDF" w14:textId="77777777" w:rsidR="003F788B" w:rsidRDefault="003F788B" w:rsidP="003F788B">
      <w:pPr>
        <w:spacing w:after="100" w:line="240" w:lineRule="auto"/>
        <w:ind w:left="2160"/>
        <w:rPr>
          <w:rFonts w:ascii="Times New Roman" w:eastAsia="Times New Roman" w:hAnsi="Times New Roman"/>
          <w:sz w:val="24"/>
          <w:szCs w:val="24"/>
        </w:rPr>
      </w:pPr>
      <w:r>
        <w:rPr>
          <w:rFonts w:ascii="Times New Roman" w:eastAsia="Times New Roman" w:hAnsi="Times New Roman"/>
          <w:sz w:val="24"/>
          <w:szCs w:val="24"/>
        </w:rPr>
        <w:t xml:space="preserve">2. Acts in concert with another person who requests emergency medical assistance; or </w:t>
      </w:r>
    </w:p>
    <w:p w14:paraId="200B8C66" w14:textId="77777777" w:rsidR="003F788B" w:rsidRDefault="003F788B" w:rsidP="003F788B">
      <w:pPr>
        <w:spacing w:after="100" w:line="240" w:lineRule="auto"/>
        <w:ind w:left="2160"/>
        <w:rPr>
          <w:rFonts w:ascii="Times New Roman" w:eastAsia="Times New Roman" w:hAnsi="Times New Roman"/>
          <w:sz w:val="24"/>
          <w:szCs w:val="24"/>
        </w:rPr>
      </w:pPr>
      <w:r>
        <w:rPr>
          <w:rFonts w:ascii="Times New Roman" w:eastAsia="Times New Roman" w:hAnsi="Times New Roman"/>
          <w:sz w:val="24"/>
          <w:szCs w:val="24"/>
        </w:rPr>
        <w:t xml:space="preserve">3. Appears to </w:t>
      </w:r>
      <w:proofErr w:type="gramStart"/>
      <w:r>
        <w:rPr>
          <w:rFonts w:ascii="Times New Roman" w:eastAsia="Times New Roman" w:hAnsi="Times New Roman"/>
          <w:sz w:val="24"/>
          <w:szCs w:val="24"/>
        </w:rPr>
        <w:t>be in need of</w:t>
      </w:r>
      <w:proofErr w:type="gramEnd"/>
      <w:r>
        <w:rPr>
          <w:rFonts w:ascii="Times New Roman" w:eastAsia="Times New Roman" w:hAnsi="Times New Roman"/>
          <w:sz w:val="24"/>
          <w:szCs w:val="24"/>
        </w:rPr>
        <w:t xml:space="preserve"> emergency medical assistance and is the individual for whom the request was made; </w:t>
      </w:r>
    </w:p>
    <w:p w14:paraId="7615DF0C" w14:textId="77777777" w:rsidR="003F788B" w:rsidRDefault="003F788B" w:rsidP="003F788B">
      <w:pPr>
        <w:spacing w:after="100" w:line="240" w:lineRule="auto"/>
        <w:ind w:left="1440"/>
        <w:rPr>
          <w:rFonts w:ascii="Times New Roman" w:eastAsia="Times New Roman" w:hAnsi="Times New Roman"/>
          <w:sz w:val="24"/>
          <w:szCs w:val="24"/>
        </w:rPr>
      </w:pPr>
      <w:r>
        <w:rPr>
          <w:rFonts w:ascii="Times New Roman" w:eastAsia="Times New Roman" w:hAnsi="Times New Roman"/>
          <w:sz w:val="24"/>
          <w:szCs w:val="24"/>
        </w:rPr>
        <w:t xml:space="preserve">(b) The person remains with, or is, the individual who appears to be experiencing a drug overdose until the requested assistance is provided; and </w:t>
      </w:r>
    </w:p>
    <w:p w14:paraId="401ABFD4" w14:textId="77777777" w:rsidR="003F788B" w:rsidRDefault="003F788B" w:rsidP="003F788B">
      <w:pPr>
        <w:spacing w:after="100" w:line="240" w:lineRule="auto"/>
        <w:ind w:left="1440"/>
        <w:rPr>
          <w:rFonts w:ascii="Times New Roman" w:eastAsia="Times New Roman" w:hAnsi="Times New Roman"/>
          <w:sz w:val="24"/>
          <w:szCs w:val="24"/>
        </w:rPr>
      </w:pPr>
      <w:r>
        <w:rPr>
          <w:rFonts w:ascii="Times New Roman" w:eastAsia="Times New Roman" w:hAnsi="Times New Roman"/>
          <w:sz w:val="24"/>
          <w:szCs w:val="24"/>
        </w:rPr>
        <w:t xml:space="preserve">(c) The evidence for the charge or prosecution is obtained </w:t>
      </w:r>
      <w:proofErr w:type="gramStart"/>
      <w:r>
        <w:rPr>
          <w:rFonts w:ascii="Times New Roman" w:eastAsia="Times New Roman" w:hAnsi="Times New Roman"/>
          <w:sz w:val="24"/>
          <w:szCs w:val="24"/>
        </w:rPr>
        <w:t>as a result of</w:t>
      </w:r>
      <w:proofErr w:type="gramEnd"/>
      <w:r>
        <w:rPr>
          <w:rFonts w:ascii="Times New Roman" w:eastAsia="Times New Roman" w:hAnsi="Times New Roman"/>
          <w:sz w:val="24"/>
          <w:szCs w:val="24"/>
        </w:rPr>
        <w:t xml:space="preserve"> the drug overdose and the need for medical assistance. </w:t>
      </w:r>
      <w:hyperlink r:id="rId197" w:history="1">
        <w:r>
          <w:rPr>
            <w:rStyle w:val="Hyperlink"/>
            <w:sz w:val="24"/>
            <w:szCs w:val="24"/>
          </w:rPr>
          <w:t>https://apps.legislature.ky.gov/law/statutes/statute.aspx?id=44007</w:t>
        </w:r>
      </w:hyperlink>
      <w:r>
        <w:rPr>
          <w:rFonts w:ascii="Times New Roman" w:eastAsia="Times New Roman" w:hAnsi="Times New Roman"/>
          <w:sz w:val="24"/>
          <w:szCs w:val="24"/>
        </w:rPr>
        <w:t xml:space="preserve"> </w:t>
      </w:r>
    </w:p>
    <w:p w14:paraId="5D3DF437" w14:textId="77777777" w:rsidR="003F788B" w:rsidRDefault="003F788B" w:rsidP="003F788B">
      <w:pPr>
        <w:pStyle w:val="NormalWeb"/>
        <w:rPr>
          <w:b/>
          <w:bCs/>
        </w:rPr>
      </w:pPr>
      <w:r>
        <w:rPr>
          <w:b/>
          <w:bCs/>
        </w:rPr>
        <w:t xml:space="preserve">Legal Lesson Learned: Numerous states have enacted similar laws, to encourage drug users and their friends to call 911. </w:t>
      </w:r>
    </w:p>
    <w:p w14:paraId="2CCED7C5" w14:textId="77777777" w:rsidR="003F788B" w:rsidRDefault="003F788B" w:rsidP="003F788B">
      <w:pPr>
        <w:pStyle w:val="NormalWeb"/>
        <w:ind w:left="720"/>
      </w:pPr>
      <w:r>
        <w:t xml:space="preserve">Note: See Ohio Good Samaritan law, Ohio Rev. Code 2925.11, </w:t>
      </w:r>
      <w:hyperlink r:id="rId198" w:history="1">
        <w:r>
          <w:rPr>
            <w:rStyle w:val="Hyperlink"/>
          </w:rPr>
          <w:t>https://codes.ohio.gov/ohio-revised-code/section-2925.11</w:t>
        </w:r>
      </w:hyperlink>
    </w:p>
    <w:p w14:paraId="163868BA" w14:textId="77777777" w:rsidR="003F788B" w:rsidRDefault="003F788B" w:rsidP="003F788B">
      <w:pPr>
        <w:pStyle w:val="NormalWeb"/>
        <w:ind w:left="720"/>
      </w:pPr>
      <w:r>
        <w:t>“(viii): ‘Qualified individual’ means a person who is not on community control or post-release control and is a person acting in good faith who seeks or obtains medical assistance for another person who is experiencing a drug overdose, a person who experiences a drug overdose and who seeks medical assistance for that overdose, or a person who is the subject of another person seeking or obtaining medical assistance for that overdose as described in division (B)(2)(b) of this section.</w:t>
      </w:r>
    </w:p>
    <w:p w14:paraId="0D1657FA" w14:textId="77777777" w:rsidR="003F788B" w:rsidRDefault="003F788B" w:rsidP="003F788B">
      <w:pPr>
        <w:pStyle w:val="NormalWeb"/>
        <w:ind w:left="720"/>
      </w:pPr>
      <w:r>
        <w:t>***</w:t>
      </w:r>
    </w:p>
    <w:p w14:paraId="2D39D256" w14:textId="77777777" w:rsidR="003F788B" w:rsidRDefault="003F788B" w:rsidP="003F788B">
      <w:pPr>
        <w:pStyle w:val="NormalWeb"/>
        <w:ind w:left="720"/>
      </w:pPr>
      <w:r>
        <w:t xml:space="preserve">Subject to division (B)(2)(f) of this section, a qualified individual shall not be arrested, charged, prosecuted, convicted, or penalized pursuant to this chapter for a minor drug possession offense if </w:t>
      </w:r>
      <w:proofErr w:type="gramStart"/>
      <w:r>
        <w:t>all of</w:t>
      </w:r>
      <w:proofErr w:type="gramEnd"/>
      <w:r>
        <w:t xml:space="preserve"> the following apply:</w:t>
      </w:r>
    </w:p>
    <w:p w14:paraId="1E46EFC8" w14:textId="77777777" w:rsidR="003F788B" w:rsidRDefault="003F788B" w:rsidP="003F788B">
      <w:pPr>
        <w:pStyle w:val="NormalWeb"/>
        <w:ind w:left="720"/>
      </w:pPr>
      <w:r>
        <w:t>(</w:t>
      </w:r>
      <w:proofErr w:type="spellStart"/>
      <w:r>
        <w:t>i</w:t>
      </w:r>
      <w:proofErr w:type="spellEnd"/>
      <w:r>
        <w:t xml:space="preserve">) The evidence of the obtaining, possession, or use of the controlled substance or controlled substance analog that would be the basis of the offense was obtained </w:t>
      </w:r>
      <w:proofErr w:type="gramStart"/>
      <w:r>
        <w:t>as a result of</w:t>
      </w:r>
      <w:proofErr w:type="gramEnd"/>
      <w:r>
        <w:t xml:space="preserve"> the qualified individual seeking </w:t>
      </w:r>
      <w:proofErr w:type="gramStart"/>
      <w:r>
        <w:t>the medical</w:t>
      </w:r>
      <w:proofErr w:type="gramEnd"/>
      <w:r>
        <w:t xml:space="preserve"> assistance or experiencing an overdose and needing medical assistance.</w:t>
      </w:r>
    </w:p>
    <w:p w14:paraId="22698A86" w14:textId="77777777" w:rsidR="003F788B" w:rsidRDefault="003F788B" w:rsidP="003F788B">
      <w:pPr>
        <w:pStyle w:val="NormalWeb"/>
        <w:ind w:left="720"/>
      </w:pPr>
      <w:r>
        <w:t xml:space="preserve">(ii) Subject to division (B)(2)(g) of this section, within thirty days after seeking or obtaining </w:t>
      </w:r>
      <w:proofErr w:type="gramStart"/>
      <w:r>
        <w:t>the medical</w:t>
      </w:r>
      <w:proofErr w:type="gramEnd"/>
      <w:r>
        <w:t xml:space="preserve"> assistance, the qualified individual seeks and obtains a screening and receives a referral for treatment from a community addiction services provider or a properly credentialed addiction treatment professional.</w:t>
      </w:r>
    </w:p>
    <w:p w14:paraId="45F3F95E" w14:textId="77777777" w:rsidR="003F788B" w:rsidRDefault="003F788B" w:rsidP="003F788B">
      <w:pPr>
        <w:pStyle w:val="NormalWeb"/>
        <w:ind w:left="720"/>
      </w:pPr>
      <w:r>
        <w:lastRenderedPageBreak/>
        <w:t>(iii) Subject to division (B)(2)(g) of this section, the qualified individual who obtains a screening and receives a referral for treatment under division (B)(2)(b)(ii) of this section, upon the request of any prosecuting attorney, submits documentation to the prosecuting attorney that verifies that the qualified individual satisfied the requirements of that division. The documentation shall be limited to the date and time of the screening obtained and referral received.”</w:t>
      </w:r>
    </w:p>
    <w:p w14:paraId="49BEECCB" w14:textId="77777777" w:rsidR="003F788B" w:rsidRDefault="003F788B" w:rsidP="00F326E5">
      <w:pPr>
        <w:pStyle w:val="NoSpacing"/>
        <w:rPr>
          <w:rFonts w:ascii="Arial Black" w:hAnsi="Arial Black"/>
          <w:sz w:val="24"/>
          <w:szCs w:val="24"/>
        </w:rPr>
      </w:pPr>
    </w:p>
    <w:p w14:paraId="504DBD8F" w14:textId="77777777" w:rsidR="003F788B" w:rsidRDefault="003F788B" w:rsidP="00F326E5">
      <w:pPr>
        <w:pStyle w:val="NoSpacing"/>
        <w:rPr>
          <w:rFonts w:ascii="Arial Black" w:hAnsi="Arial Black"/>
          <w:sz w:val="24"/>
          <w:szCs w:val="24"/>
        </w:rPr>
      </w:pPr>
    </w:p>
    <w:p w14:paraId="044AA993" w14:textId="77777777" w:rsidR="003F788B" w:rsidRDefault="003F788B" w:rsidP="00F326E5">
      <w:pPr>
        <w:pStyle w:val="NoSpacing"/>
        <w:rPr>
          <w:rFonts w:ascii="Arial Black" w:hAnsi="Arial Black"/>
          <w:sz w:val="24"/>
          <w:szCs w:val="24"/>
        </w:rPr>
      </w:pPr>
    </w:p>
    <w:p w14:paraId="5707DBC6" w14:textId="516E01DF" w:rsidR="00AB637D" w:rsidRDefault="00AB637D" w:rsidP="00F326E5">
      <w:pPr>
        <w:pStyle w:val="NoSpacing"/>
        <w:rPr>
          <w:rFonts w:ascii="Arial Black" w:hAnsi="Arial Black"/>
          <w:sz w:val="24"/>
          <w:szCs w:val="24"/>
        </w:rPr>
      </w:pPr>
      <w:r>
        <w:rPr>
          <w:rFonts w:ascii="Arial Black" w:hAnsi="Arial Black"/>
          <w:sz w:val="24"/>
          <w:szCs w:val="24"/>
        </w:rPr>
        <w:t>1-117</w:t>
      </w:r>
    </w:p>
    <w:p w14:paraId="6F0883FE" w14:textId="34BC8D8D" w:rsidR="00AB637D" w:rsidRDefault="00AB637D" w:rsidP="00F326E5">
      <w:pPr>
        <w:pStyle w:val="NoSpacing"/>
        <w:rPr>
          <w:rFonts w:ascii="Arial Black" w:hAnsi="Arial Black"/>
          <w:sz w:val="24"/>
          <w:szCs w:val="24"/>
        </w:rPr>
      </w:pPr>
    </w:p>
    <w:p w14:paraId="5076DF5D" w14:textId="77777777" w:rsidR="00AB637D" w:rsidRPr="00D33471" w:rsidRDefault="00AB637D" w:rsidP="00AB637D">
      <w:pPr>
        <w:pStyle w:val="Heading2"/>
        <w:rPr>
          <w:rStyle w:val="markedcontent"/>
          <w:rFonts w:ascii="Times New Roman" w:hAnsi="Times New Roman"/>
          <w:b w:val="0"/>
          <w:bCs w:val="0"/>
          <w:i w:val="0"/>
          <w:iCs w:val="0"/>
          <w:sz w:val="24"/>
          <w:szCs w:val="24"/>
        </w:rPr>
      </w:pPr>
      <w:r w:rsidRPr="00D33471">
        <w:rPr>
          <w:rStyle w:val="markedcontent"/>
          <w:rFonts w:ascii="Arial Black" w:hAnsi="Arial Black"/>
          <w:i w:val="0"/>
          <w:iCs w:val="0"/>
        </w:rPr>
        <w:t xml:space="preserve">OH: TEACHERS CAN HAVE FIREARMS – WITH SCHOOL PERMISSION - 24 HRS TRAINING – REQUEST LIST </w:t>
      </w:r>
    </w:p>
    <w:p w14:paraId="3FE459D4" w14:textId="77777777" w:rsidR="00AB637D" w:rsidRDefault="00AB637D" w:rsidP="00AB637D">
      <w:pPr>
        <w:rPr>
          <w:rStyle w:val="markedcontent"/>
          <w:rFonts w:ascii="Times New Roman" w:hAnsi="Times New Roman"/>
          <w:sz w:val="24"/>
          <w:szCs w:val="24"/>
        </w:rPr>
      </w:pPr>
      <w:r w:rsidRPr="00FD23CA">
        <w:rPr>
          <w:rStyle w:val="markedcontent"/>
          <w:rFonts w:ascii="Times New Roman" w:hAnsi="Times New Roman"/>
          <w:sz w:val="24"/>
          <w:szCs w:val="24"/>
        </w:rPr>
        <w:t xml:space="preserve">Now that this new statute </w:t>
      </w:r>
      <w:r>
        <w:rPr>
          <w:rStyle w:val="markedcontent"/>
          <w:rFonts w:ascii="Times New Roman" w:hAnsi="Times New Roman"/>
          <w:sz w:val="24"/>
          <w:szCs w:val="24"/>
        </w:rPr>
        <w:t xml:space="preserve">became effective September 12. 2022, </w:t>
      </w:r>
      <w:r w:rsidRPr="00FD23CA">
        <w:rPr>
          <w:rStyle w:val="markedcontent"/>
          <w:rFonts w:ascii="Times New Roman" w:hAnsi="Times New Roman"/>
          <w:sz w:val="24"/>
          <w:szCs w:val="24"/>
        </w:rPr>
        <w:t xml:space="preserve">Ohio Fire &amp; EMS Departments, as well as police departments, should have a current </w:t>
      </w:r>
      <w:proofErr w:type="gramStart"/>
      <w:r w:rsidRPr="00FD23CA">
        <w:rPr>
          <w:rStyle w:val="markedcontent"/>
          <w:rFonts w:ascii="Times New Roman" w:hAnsi="Times New Roman"/>
          <w:sz w:val="24"/>
          <w:szCs w:val="24"/>
        </w:rPr>
        <w:t>list</w:t>
      </w:r>
      <w:proofErr w:type="gramEnd"/>
      <w:r w:rsidRPr="00FD23CA">
        <w:rPr>
          <w:rStyle w:val="markedcontent"/>
          <w:rFonts w:ascii="Times New Roman" w:hAnsi="Times New Roman"/>
          <w:sz w:val="24"/>
          <w:szCs w:val="24"/>
        </w:rPr>
        <w:t xml:space="preserve"> school employees who are authorized to carry firearms. </w:t>
      </w:r>
      <w:hyperlink r:id="rId199" w:history="1">
        <w:r w:rsidRPr="00FE41C2">
          <w:rPr>
            <w:rStyle w:val="Hyperlink"/>
            <w:rFonts w:ascii="Times New Roman" w:hAnsi="Times New Roman"/>
            <w:sz w:val="24"/>
            <w:szCs w:val="24"/>
          </w:rPr>
          <w:t>https://www.legislature.ohio.gov/legislation/134/hb99</w:t>
        </w:r>
      </w:hyperlink>
      <w:r>
        <w:rPr>
          <w:rStyle w:val="markedcontent"/>
          <w:rFonts w:ascii="Times New Roman" w:hAnsi="Times New Roman"/>
          <w:sz w:val="24"/>
          <w:szCs w:val="24"/>
        </w:rPr>
        <w:t xml:space="preserve"> </w:t>
      </w:r>
      <w:r w:rsidRPr="00FD23CA">
        <w:rPr>
          <w:rStyle w:val="markedcontent"/>
          <w:rFonts w:ascii="Times New Roman" w:hAnsi="Times New Roman"/>
          <w:sz w:val="24"/>
          <w:szCs w:val="24"/>
        </w:rPr>
        <w:t xml:space="preserve">  It would also be helpful to have their photographs and invite them to participate in Active Shooter drills.</w:t>
      </w:r>
      <w:r>
        <w:rPr>
          <w:rStyle w:val="markedcontent"/>
          <w:rFonts w:ascii="Times New Roman" w:hAnsi="Times New Roman"/>
          <w:sz w:val="24"/>
          <w:szCs w:val="24"/>
        </w:rPr>
        <w:t xml:space="preserve"> </w:t>
      </w:r>
      <w:r w:rsidRPr="007818B5">
        <w:rPr>
          <w:rFonts w:ascii="Times New Roman" w:hAnsi="Times New Roman"/>
          <w:sz w:val="24"/>
          <w:szCs w:val="24"/>
        </w:rPr>
        <w:t>On June 13, 2022, Governor Mike DeWine signed House Bill 99</w:t>
      </w:r>
      <w:r>
        <w:rPr>
          <w:rFonts w:ascii="Times New Roman" w:hAnsi="Times New Roman"/>
          <w:sz w:val="24"/>
          <w:szCs w:val="24"/>
        </w:rPr>
        <w:t xml:space="preserve">.  The statute requires 24 hours of training, overturning a decision of Ohio Supreme Court, which held that teachers must take same training as police officers – about 60 hours.  </w:t>
      </w:r>
      <w:r w:rsidRPr="007818B5">
        <w:rPr>
          <w:rStyle w:val="markedcontent"/>
          <w:rFonts w:ascii="Times New Roman" w:hAnsi="Times New Roman"/>
          <w:sz w:val="24"/>
          <w:szCs w:val="24"/>
        </w:rPr>
        <w:t>Gabbard et al. v. Madison Local School District Board of Education</w:t>
      </w:r>
      <w:r>
        <w:rPr>
          <w:rStyle w:val="markedcontent"/>
          <w:rFonts w:ascii="Times New Roman" w:hAnsi="Times New Roman"/>
          <w:sz w:val="24"/>
          <w:szCs w:val="24"/>
        </w:rPr>
        <w:t xml:space="preserve">. June 23, 2021; </w:t>
      </w:r>
      <w:hyperlink r:id="rId200" w:history="1">
        <w:r w:rsidRPr="006169C4">
          <w:rPr>
            <w:rStyle w:val="Hyperlink"/>
            <w:rFonts w:ascii="Times New Roman" w:hAnsi="Times New Roman"/>
            <w:sz w:val="24"/>
            <w:szCs w:val="24"/>
          </w:rPr>
          <w:t>https://www.supremecourt.ohio.gov/rod/docs/pdf/0/2021/2021-ohio-2067.pdf</w:t>
        </w:r>
      </w:hyperlink>
      <w:r>
        <w:rPr>
          <w:rStyle w:val="markedcontent"/>
          <w:rFonts w:ascii="Times New Roman" w:hAnsi="Times New Roman"/>
          <w:sz w:val="24"/>
          <w:szCs w:val="24"/>
        </w:rPr>
        <w:t xml:space="preserve"> </w:t>
      </w:r>
    </w:p>
    <w:p w14:paraId="365702D7" w14:textId="77777777" w:rsidR="00AB637D" w:rsidRPr="0095101F" w:rsidRDefault="00AB637D" w:rsidP="00AB637D">
      <w:pPr>
        <w:ind w:left="720"/>
        <w:rPr>
          <w:rStyle w:val="markedcontent"/>
          <w:rFonts w:ascii="Times New Roman" w:hAnsi="Times New Roman"/>
          <w:sz w:val="24"/>
          <w:szCs w:val="24"/>
        </w:rPr>
      </w:pPr>
      <w:r>
        <w:rPr>
          <w:rFonts w:ascii="Times New Roman" w:hAnsi="Times New Roman"/>
          <w:sz w:val="24"/>
          <w:szCs w:val="24"/>
        </w:rPr>
        <w:t>“</w:t>
      </w:r>
      <w:r w:rsidRPr="0095101F">
        <w:rPr>
          <w:rFonts w:ascii="Times New Roman" w:hAnsi="Times New Roman"/>
          <w:sz w:val="24"/>
          <w:szCs w:val="24"/>
        </w:rPr>
        <w:t>In April 2018, just over two years after a school shooting at Madison</w:t>
      </w:r>
      <w:r w:rsidRPr="0095101F">
        <w:rPr>
          <w:rFonts w:ascii="Times New Roman" w:hAnsi="Times New Roman"/>
          <w:sz w:val="24"/>
          <w:szCs w:val="24"/>
        </w:rPr>
        <w:br/>
        <w:t>Junior/Senior High School that resulted in injuries to four students, appellant</w:t>
      </w:r>
      <w:r w:rsidRPr="0095101F">
        <w:rPr>
          <w:rFonts w:ascii="Times New Roman" w:hAnsi="Times New Roman"/>
          <w:sz w:val="24"/>
          <w:szCs w:val="24"/>
        </w:rPr>
        <w:br/>
        <w:t>Madison Local School District Board of Education (</w:t>
      </w:r>
      <w:r>
        <w:rPr>
          <w:rFonts w:ascii="Times New Roman" w:hAnsi="Times New Roman"/>
          <w:sz w:val="24"/>
          <w:szCs w:val="24"/>
        </w:rPr>
        <w:t>‘</w:t>
      </w:r>
      <w:r w:rsidRPr="0095101F">
        <w:rPr>
          <w:rFonts w:ascii="Times New Roman" w:hAnsi="Times New Roman"/>
          <w:sz w:val="24"/>
          <w:szCs w:val="24"/>
        </w:rPr>
        <w:t>the board</w:t>
      </w:r>
      <w:r>
        <w:rPr>
          <w:rFonts w:ascii="Times New Roman" w:hAnsi="Times New Roman"/>
          <w:sz w:val="24"/>
          <w:szCs w:val="24"/>
        </w:rPr>
        <w:t>’</w:t>
      </w:r>
      <w:r w:rsidRPr="0095101F">
        <w:rPr>
          <w:rFonts w:ascii="Times New Roman" w:hAnsi="Times New Roman"/>
          <w:sz w:val="24"/>
          <w:szCs w:val="24"/>
        </w:rPr>
        <w:t>) passed a</w:t>
      </w:r>
      <w:r w:rsidRPr="0095101F">
        <w:rPr>
          <w:rFonts w:ascii="Times New Roman" w:hAnsi="Times New Roman"/>
          <w:sz w:val="24"/>
          <w:szCs w:val="24"/>
        </w:rPr>
        <w:br/>
        <w:t>resolution to authorize certain school-district employees to carry a deadly weapon</w:t>
      </w:r>
      <w:r w:rsidRPr="0095101F">
        <w:rPr>
          <w:rFonts w:ascii="Times New Roman" w:hAnsi="Times New Roman"/>
          <w:sz w:val="24"/>
          <w:szCs w:val="24"/>
        </w:rPr>
        <w:br/>
        <w:t xml:space="preserve">or dangerous ordnance on school property </w:t>
      </w:r>
      <w:r>
        <w:rPr>
          <w:rFonts w:ascii="Times New Roman" w:hAnsi="Times New Roman"/>
          <w:sz w:val="24"/>
          <w:szCs w:val="24"/>
        </w:rPr>
        <w:t>‘</w:t>
      </w:r>
      <w:r w:rsidRPr="0095101F">
        <w:rPr>
          <w:rFonts w:ascii="Times New Roman" w:hAnsi="Times New Roman"/>
          <w:sz w:val="24"/>
          <w:szCs w:val="24"/>
        </w:rPr>
        <w:t>for the welfare and safety of [its]</w:t>
      </w:r>
      <w:r w:rsidRPr="0095101F">
        <w:rPr>
          <w:rFonts w:ascii="Times New Roman" w:hAnsi="Times New Roman"/>
          <w:sz w:val="24"/>
          <w:szCs w:val="24"/>
        </w:rPr>
        <w:br/>
        <w:t>students.</w:t>
      </w:r>
      <w:r>
        <w:rPr>
          <w:rFonts w:ascii="Times New Roman" w:hAnsi="Times New Roman"/>
          <w:sz w:val="24"/>
          <w:szCs w:val="24"/>
        </w:rPr>
        <w:t>’</w:t>
      </w:r>
      <w:r w:rsidRPr="0095101F">
        <w:rPr>
          <w:rFonts w:ascii="Times New Roman" w:hAnsi="Times New Roman"/>
          <w:sz w:val="24"/>
          <w:szCs w:val="24"/>
        </w:rPr>
        <w:t xml:space="preserve"> This appeal asks us to determine whether that resolution complies with</w:t>
      </w:r>
      <w:r w:rsidRPr="0095101F">
        <w:rPr>
          <w:rFonts w:ascii="Times New Roman" w:hAnsi="Times New Roman"/>
          <w:sz w:val="24"/>
          <w:szCs w:val="24"/>
        </w:rPr>
        <w:br/>
        <w:t>Ohio law. We conclude that it does not.</w:t>
      </w:r>
    </w:p>
    <w:p w14:paraId="4314D05E" w14:textId="77777777" w:rsidR="00AB637D" w:rsidRDefault="00AB637D" w:rsidP="00AB637D">
      <w:pPr>
        <w:rPr>
          <w:rStyle w:val="markedcontent"/>
          <w:rFonts w:ascii="Times New Roman" w:hAnsi="Times New Roman"/>
          <w:sz w:val="24"/>
          <w:szCs w:val="24"/>
        </w:rPr>
      </w:pPr>
      <w:r w:rsidRPr="00720D0B">
        <w:rPr>
          <w:rFonts w:ascii="Times New Roman" w:hAnsi="Times New Roman"/>
          <w:sz w:val="24"/>
          <w:szCs w:val="24"/>
        </w:rPr>
        <w:t xml:space="preserve">House Bill 99 requires each school district or governing body to maintain a list of personnel who are trained and qualified to carry a firearm. However, the bill explicitly exempts this list from the definition of a public record. </w:t>
      </w:r>
      <w:hyperlink r:id="rId201" w:history="1">
        <w:r w:rsidRPr="00B71FA0">
          <w:rPr>
            <w:rStyle w:val="Hyperlink"/>
            <w:rFonts w:ascii="Times New Roman" w:hAnsi="Times New Roman"/>
            <w:sz w:val="24"/>
            <w:szCs w:val="24"/>
          </w:rPr>
          <w:t>https://www.legislature.ohio.gov/download?key=19460&amp;format=pdf</w:t>
        </w:r>
      </w:hyperlink>
      <w:r>
        <w:rPr>
          <w:rStyle w:val="markedcontent"/>
          <w:rFonts w:ascii="Times New Roman" w:hAnsi="Times New Roman"/>
          <w:sz w:val="24"/>
          <w:szCs w:val="24"/>
        </w:rPr>
        <w:t xml:space="preserve"> </w:t>
      </w:r>
    </w:p>
    <w:p w14:paraId="108A6CF5" w14:textId="77777777" w:rsidR="00AB637D" w:rsidRDefault="00AB637D" w:rsidP="00AB637D">
      <w:pPr>
        <w:rPr>
          <w:rFonts w:ascii="Times New Roman" w:hAnsi="Times New Roman"/>
          <w:b/>
          <w:bCs/>
          <w:sz w:val="24"/>
          <w:szCs w:val="24"/>
        </w:rPr>
      </w:pPr>
      <w:r w:rsidRPr="001362CF">
        <w:rPr>
          <w:rFonts w:ascii="Times New Roman" w:hAnsi="Times New Roman"/>
          <w:b/>
          <w:bCs/>
          <w:sz w:val="24"/>
          <w:szCs w:val="24"/>
        </w:rPr>
        <w:t xml:space="preserve">Legal Lesson Learned: </w:t>
      </w:r>
      <w:r>
        <w:rPr>
          <w:rFonts w:ascii="Times New Roman" w:hAnsi="Times New Roman"/>
          <w:b/>
          <w:bCs/>
          <w:sz w:val="24"/>
          <w:szCs w:val="24"/>
        </w:rPr>
        <w:t xml:space="preserve"> Fire and Police Departments should have current list of </w:t>
      </w:r>
      <w:proofErr w:type="gramStart"/>
      <w:r>
        <w:rPr>
          <w:rFonts w:ascii="Times New Roman" w:hAnsi="Times New Roman"/>
          <w:b/>
          <w:bCs/>
          <w:sz w:val="24"/>
          <w:szCs w:val="24"/>
        </w:rPr>
        <w:t>these armed</w:t>
      </w:r>
      <w:proofErr w:type="gramEnd"/>
      <w:r>
        <w:rPr>
          <w:rFonts w:ascii="Times New Roman" w:hAnsi="Times New Roman"/>
          <w:b/>
          <w:bCs/>
          <w:sz w:val="24"/>
          <w:szCs w:val="24"/>
        </w:rPr>
        <w:t xml:space="preserve"> personnel. </w:t>
      </w:r>
    </w:p>
    <w:p w14:paraId="2982BF6F" w14:textId="77777777" w:rsidR="00AB637D" w:rsidRPr="001362CF" w:rsidRDefault="00AB637D" w:rsidP="00AB637D">
      <w:pPr>
        <w:rPr>
          <w:rFonts w:ascii="Times New Roman" w:hAnsi="Times New Roman"/>
          <w:sz w:val="24"/>
          <w:szCs w:val="24"/>
        </w:rPr>
      </w:pPr>
      <w:r>
        <w:rPr>
          <w:rFonts w:ascii="Times New Roman" w:hAnsi="Times New Roman"/>
          <w:b/>
          <w:bCs/>
          <w:sz w:val="24"/>
          <w:szCs w:val="24"/>
        </w:rPr>
        <w:tab/>
      </w:r>
      <w:r w:rsidRPr="001362CF">
        <w:rPr>
          <w:rFonts w:ascii="Times New Roman" w:hAnsi="Times New Roman"/>
          <w:sz w:val="24"/>
          <w:szCs w:val="24"/>
        </w:rPr>
        <w:t xml:space="preserve">Note: </w:t>
      </w:r>
      <w:r>
        <w:rPr>
          <w:rFonts w:ascii="Times New Roman" w:hAnsi="Times New Roman"/>
          <w:sz w:val="24"/>
          <w:szCs w:val="24"/>
        </w:rPr>
        <w:t xml:space="preserve">See newspaper comments on the law.  </w:t>
      </w:r>
    </w:p>
    <w:p w14:paraId="17F6C34B" w14:textId="77777777" w:rsidR="00AB637D" w:rsidRPr="001362CF" w:rsidRDefault="00AB637D" w:rsidP="00AB637D">
      <w:pPr>
        <w:ind w:left="720"/>
        <w:rPr>
          <w:rFonts w:ascii="Times New Roman" w:hAnsi="Times New Roman"/>
          <w:sz w:val="24"/>
          <w:szCs w:val="24"/>
        </w:rPr>
      </w:pPr>
      <w:r>
        <w:rPr>
          <w:rFonts w:ascii="Times New Roman" w:hAnsi="Times New Roman"/>
          <w:sz w:val="24"/>
          <w:szCs w:val="24"/>
        </w:rPr>
        <w:t xml:space="preserve"> </w:t>
      </w:r>
      <w:r w:rsidRPr="001362CF">
        <w:rPr>
          <w:rFonts w:ascii="Times New Roman" w:hAnsi="Times New Roman"/>
          <w:sz w:val="24"/>
          <w:szCs w:val="24"/>
        </w:rPr>
        <w:t xml:space="preserve">“Ohio Gov. Mike DeWine </w:t>
      </w:r>
      <w:hyperlink r:id="rId202" w:history="1">
        <w:r w:rsidRPr="001362CF">
          <w:rPr>
            <w:rStyle w:val="Hyperlink"/>
            <w:rFonts w:ascii="Times New Roman" w:hAnsi="Times New Roman"/>
            <w:sz w:val="24"/>
            <w:szCs w:val="24"/>
          </w:rPr>
          <w:t>signed a bill</w:t>
        </w:r>
      </w:hyperlink>
      <w:r w:rsidRPr="001362CF">
        <w:rPr>
          <w:rFonts w:ascii="Times New Roman" w:hAnsi="Times New Roman"/>
          <w:sz w:val="24"/>
          <w:szCs w:val="24"/>
        </w:rPr>
        <w:t xml:space="preserve"> on Monday allowing teachers to carry guns in class after 24 hours of training, over opposition from teachers and a police group. Backers say the policy will make schools safer, but critics say that's not the case, citing experts' analysis. The new law dramatically reduces the amount of training a teacher must undergo before they can carry a gun in a school safety zone. Instead of more than 700 hours of training that's currently required, school staff who want to be armed would get training that "shall not exceed" 24 hours, </w:t>
      </w:r>
      <w:hyperlink r:id="rId203" w:history="1">
        <w:r w:rsidRPr="001362CF">
          <w:rPr>
            <w:rStyle w:val="Hyperlink"/>
            <w:rFonts w:ascii="Times New Roman" w:hAnsi="Times New Roman"/>
            <w:sz w:val="24"/>
            <w:szCs w:val="24"/>
          </w:rPr>
          <w:t>House Bill 99</w:t>
        </w:r>
      </w:hyperlink>
      <w:r w:rsidRPr="001362CF">
        <w:rPr>
          <w:rFonts w:ascii="Times New Roman" w:hAnsi="Times New Roman"/>
          <w:sz w:val="24"/>
          <w:szCs w:val="24"/>
        </w:rPr>
        <w:t xml:space="preserve"> states.”*** "No school has to do this. </w:t>
      </w:r>
      <w:proofErr w:type="gramStart"/>
      <w:r w:rsidRPr="001362CF">
        <w:rPr>
          <w:rFonts w:ascii="Times New Roman" w:hAnsi="Times New Roman"/>
          <w:sz w:val="24"/>
          <w:szCs w:val="24"/>
        </w:rPr>
        <w:t>This</w:t>
      </w:r>
      <w:proofErr w:type="gramEnd"/>
      <w:r w:rsidRPr="001362CF">
        <w:rPr>
          <w:rFonts w:ascii="Times New Roman" w:hAnsi="Times New Roman"/>
          <w:sz w:val="24"/>
          <w:szCs w:val="24"/>
        </w:rPr>
        <w:t xml:space="preserve"> is up to a local school board," DeWine said, adding that some schools might have security </w:t>
      </w:r>
      <w:r w:rsidRPr="001362CF">
        <w:rPr>
          <w:rFonts w:ascii="Times New Roman" w:hAnsi="Times New Roman"/>
          <w:sz w:val="24"/>
          <w:szCs w:val="24"/>
        </w:rPr>
        <w:lastRenderedPageBreak/>
        <w:t xml:space="preserve">officers or other plans to deter or counter an active shooter scenario. "The best thing is to have a police officer in the schools," he said. "They can be plain clothes, but some schools may not be able to do that."  </w:t>
      </w:r>
      <w:hyperlink r:id="rId204" w:history="1">
        <w:r w:rsidRPr="001362CF">
          <w:rPr>
            <w:rStyle w:val="Hyperlink"/>
            <w:rFonts w:ascii="Times New Roman" w:hAnsi="Times New Roman"/>
            <w:sz w:val="24"/>
            <w:szCs w:val="24"/>
          </w:rPr>
          <w:t>https://www.npr.org/2022/06/13/1104570419/ohio-dewine-guns-teachers</w:t>
        </w:r>
      </w:hyperlink>
      <w:r w:rsidRPr="001362CF">
        <w:rPr>
          <w:rFonts w:ascii="Times New Roman" w:hAnsi="Times New Roman"/>
          <w:sz w:val="24"/>
          <w:szCs w:val="24"/>
        </w:rPr>
        <w:t xml:space="preserve"> </w:t>
      </w:r>
    </w:p>
    <w:p w14:paraId="408F31D0" w14:textId="77777777" w:rsidR="00AB637D" w:rsidRDefault="00AB637D" w:rsidP="00F326E5">
      <w:pPr>
        <w:pStyle w:val="NoSpacing"/>
        <w:rPr>
          <w:rFonts w:ascii="Arial Black" w:hAnsi="Arial Black"/>
          <w:sz w:val="24"/>
          <w:szCs w:val="24"/>
        </w:rPr>
      </w:pPr>
    </w:p>
    <w:p w14:paraId="4FD5BF81" w14:textId="77777777" w:rsidR="00AB637D" w:rsidRDefault="00AB637D" w:rsidP="00F326E5">
      <w:pPr>
        <w:pStyle w:val="NoSpacing"/>
        <w:rPr>
          <w:rFonts w:ascii="Arial Black" w:hAnsi="Arial Black"/>
          <w:sz w:val="24"/>
          <w:szCs w:val="24"/>
        </w:rPr>
      </w:pPr>
    </w:p>
    <w:p w14:paraId="3DC5554E" w14:textId="6387124B" w:rsidR="007959C9" w:rsidRDefault="007959C9" w:rsidP="00F326E5">
      <w:pPr>
        <w:pStyle w:val="NoSpacing"/>
        <w:rPr>
          <w:rFonts w:ascii="Arial Black" w:hAnsi="Arial Black"/>
          <w:sz w:val="24"/>
          <w:szCs w:val="24"/>
        </w:rPr>
      </w:pPr>
      <w:r>
        <w:rPr>
          <w:rFonts w:ascii="Arial Black" w:hAnsi="Arial Black"/>
          <w:sz w:val="24"/>
          <w:szCs w:val="24"/>
        </w:rPr>
        <w:t>1-116</w:t>
      </w:r>
    </w:p>
    <w:p w14:paraId="2E9EF346" w14:textId="22E78BB0" w:rsidR="007959C9" w:rsidRDefault="007959C9" w:rsidP="00F326E5">
      <w:pPr>
        <w:pStyle w:val="NoSpacing"/>
        <w:rPr>
          <w:rFonts w:ascii="Arial Black" w:hAnsi="Arial Black"/>
          <w:sz w:val="24"/>
          <w:szCs w:val="24"/>
        </w:rPr>
      </w:pPr>
    </w:p>
    <w:p w14:paraId="3ECB468D" w14:textId="77777777" w:rsidR="007959C9" w:rsidRPr="004F0DF1" w:rsidRDefault="007959C9" w:rsidP="007959C9">
      <w:pPr>
        <w:pStyle w:val="NormalWeb"/>
        <w:rPr>
          <w:rFonts w:ascii="Arial Black" w:hAnsi="Arial Black"/>
          <w:b/>
          <w:bCs/>
          <w:sz w:val="28"/>
          <w:szCs w:val="28"/>
        </w:rPr>
      </w:pPr>
      <w:r>
        <w:rPr>
          <w:rFonts w:ascii="Arial Black" w:hAnsi="Arial Black"/>
          <w:b/>
          <w:bCs/>
          <w:sz w:val="28"/>
          <w:szCs w:val="28"/>
        </w:rPr>
        <w:t>SC: PUBLIC HOUSING – 2 DEAD - BAD FURNACE, NO CO DETECTORS – CITY CAN BE SUED - “SHOCK CONSCIOUS”</w:t>
      </w:r>
    </w:p>
    <w:p w14:paraId="175E5908" w14:textId="77777777" w:rsidR="007959C9" w:rsidRDefault="007959C9" w:rsidP="007959C9">
      <w:pPr>
        <w:pStyle w:val="NormalWeb"/>
      </w:pPr>
      <w:r w:rsidRPr="00493053">
        <w:t xml:space="preserve">On </w:t>
      </w:r>
      <w:r>
        <w:t xml:space="preserve">Jan. 19, 2023, in </w:t>
      </w:r>
      <w:r w:rsidRPr="00493053">
        <w:rPr>
          <w:u w:val="single"/>
        </w:rPr>
        <w:t>Daniel Washington, Personal Representative of the Estate of Calvin Witherspoon v. Housing Authority of the City of Columbia</w:t>
      </w:r>
      <w:r>
        <w:t>, the U.S. Court of Appeals for the Fourth Circuit (Richmond, VA) held (3 to 0) that that the U.S. District Court judge should not have dismissed this lawsuit.  “In sum, at this early stage, Plaintiff has alleged sufficient facts to establish that the Housing Authority's policies and customs were the moving force behind the constitutional injury.”   The gas furnace was installed in 1990, had never regularly inspected, tested, or maintained, and build-up of debris caused the furnace's carbon monoxide venting to stop functioning leading to two deaths and hospitalizations in 2019. Carbon dioxide detectors were required by law to be in each unit, but none were in any of the 244 units. The Court held: “</w:t>
      </w:r>
      <w:r>
        <w:rPr>
          <w:rStyle w:val="markedcontent"/>
          <w:rFonts w:eastAsiaTheme="majorEastAsia"/>
        </w:rPr>
        <w:t>Plaintiff has alleged enough facts at this early stage to establish that the Housing Authority recognized the risk of carbon monoxide poisoning and acted inappropriately in light of that risk.”</w:t>
      </w:r>
      <w:r>
        <w:t xml:space="preserve"> </w:t>
      </w:r>
      <w:hyperlink r:id="rId205" w:history="1">
        <w:r w:rsidRPr="006E56EF">
          <w:rPr>
            <w:rStyle w:val="Hyperlink"/>
          </w:rPr>
          <w:t>https://law.justia.com/cases/federal/appellate-courts/ca4/21-2059/21-2059-2023-01-19.html</w:t>
        </w:r>
      </w:hyperlink>
      <w:r>
        <w:t xml:space="preserve"> </w:t>
      </w:r>
    </w:p>
    <w:p w14:paraId="198A382A" w14:textId="77777777" w:rsidR="007959C9" w:rsidRDefault="007959C9" w:rsidP="007959C9">
      <w:pPr>
        <w:pStyle w:val="NormalWeb"/>
        <w:ind w:left="720"/>
      </w:pPr>
      <w:r>
        <w:t xml:space="preserve">“The police and fire chiefs determined that Witherspoon's death was entirely preventable had the Housing Authority performed regular maintenance. Yet they found that the Housing Authority had performed no preventative maintenance on appliances at the complex, maintenance reports were inadequate or incomplete, and tenants who lived at the apartments believed that "if they complained, things would not be fixed…. The Housing Authority only had a single inspector for all 2,600 of its housing units. And ultimately, an inspection of the apartments revealed 869 code violations, ranging from missing carbon monoxide detectors and faulty smoke detectors to exposed wires and expired fire extinguishers. The fire chief found that several stoves were leaking natural gas, presenting a ‘severe risk for the community and its occupants.’ </w:t>
      </w:r>
    </w:p>
    <w:p w14:paraId="669955D5" w14:textId="77777777" w:rsidR="007959C9" w:rsidRDefault="007959C9" w:rsidP="007959C9">
      <w:pPr>
        <w:pStyle w:val="NormalWeb"/>
        <w:ind w:left="720"/>
      </w:pPr>
      <w:r>
        <w:t>***</w:t>
      </w:r>
    </w:p>
    <w:p w14:paraId="237EBD86" w14:textId="77777777" w:rsidR="007959C9" w:rsidRDefault="007959C9" w:rsidP="007959C9">
      <w:pPr>
        <w:pStyle w:val="NormalWeb"/>
        <w:ind w:left="720"/>
      </w:pPr>
      <w:r>
        <w:t xml:space="preserve">Additionally, the Housing Authority adopted a specific policy in 2017 to ensure that missing carbon monoxide detectors, which it considered to be "life-threatening conditions," were installed in </w:t>
      </w:r>
      <w:r>
        <w:rPr>
          <w:rStyle w:val="Emphasis"/>
        </w:rPr>
        <w:t>some</w:t>
      </w:r>
      <w:r>
        <w:t xml:space="preserve"> (privately owned) properties…. But two years later</w:t>
      </w:r>
      <w:proofErr w:type="gramStart"/>
      <w:r>
        <w:t>-and</w:t>
      </w:r>
      <w:proofErr w:type="gramEnd"/>
      <w:r>
        <w:t xml:space="preserve"> with time to reflect that such "life-threatening conditions" from carbon monoxide threatened </w:t>
      </w:r>
      <w:proofErr w:type="gramStart"/>
      <w:r>
        <w:rPr>
          <w:rStyle w:val="Emphasis"/>
        </w:rPr>
        <w:t>all</w:t>
      </w:r>
      <w:r>
        <w:t xml:space="preserve"> of</w:t>
      </w:r>
      <w:proofErr w:type="gramEnd"/>
      <w:r>
        <w:t xml:space="preserve"> its properties</w:t>
      </w:r>
      <w:proofErr w:type="gramStart"/>
      <w:r>
        <w:t>-the</w:t>
      </w:r>
      <w:proofErr w:type="gramEnd"/>
      <w:r>
        <w:t xml:space="preserve"> Housing Authority had chosen not to apply the same policy to its </w:t>
      </w:r>
      <w:r>
        <w:rPr>
          <w:rStyle w:val="Emphasis"/>
        </w:rPr>
        <w:t>own</w:t>
      </w:r>
      <w:r>
        <w:t xml:space="preserve"> housing. Thus, the facts alleged show there was ample time to deliberate and reflect on those choices. Accordingly, deliberate indifference is the correct standard to apply here.</w:t>
      </w:r>
    </w:p>
    <w:p w14:paraId="50397BCB" w14:textId="77777777" w:rsidR="007959C9" w:rsidRDefault="007959C9" w:rsidP="007959C9">
      <w:pPr>
        <w:pStyle w:val="NormalWeb"/>
        <w:ind w:left="720"/>
      </w:pPr>
      <w:r>
        <w:t>***</w:t>
      </w:r>
    </w:p>
    <w:p w14:paraId="484F0AD7" w14:textId="77777777" w:rsidR="007959C9" w:rsidRDefault="007959C9" w:rsidP="007959C9">
      <w:pPr>
        <w:pStyle w:val="NormalWeb"/>
        <w:ind w:left="720"/>
      </w:pPr>
      <w:r>
        <w:t>To prove a violation of substantive-due-process rights under the Fourteenth Amendment, a plaintiff must show that a defendant's behavior was ‘so egregious, so outrageous, that it may fairly be said to shock the contemporary conscience.’</w:t>
      </w:r>
    </w:p>
    <w:p w14:paraId="1B5FA9C2" w14:textId="77777777" w:rsidR="007959C9" w:rsidRPr="005F7E68" w:rsidRDefault="007959C9" w:rsidP="007959C9">
      <w:pPr>
        <w:pStyle w:val="NormalWeb"/>
        <w:rPr>
          <w:b/>
          <w:bCs/>
        </w:rPr>
      </w:pPr>
      <w:r w:rsidRPr="005F7E68">
        <w:rPr>
          <w:b/>
          <w:bCs/>
        </w:rPr>
        <w:lastRenderedPageBreak/>
        <w:t xml:space="preserve">Legal Lesson Learned: </w:t>
      </w:r>
      <w:r>
        <w:rPr>
          <w:b/>
          <w:bCs/>
        </w:rPr>
        <w:t xml:space="preserve">The facts alleged do “shock the conscious” and </w:t>
      </w:r>
      <w:r w:rsidRPr="005F7E68">
        <w:rPr>
          <w:b/>
          <w:bCs/>
        </w:rPr>
        <w:t xml:space="preserve">the case will now proceed to pre-trial discovery.   </w:t>
      </w:r>
    </w:p>
    <w:p w14:paraId="40002E2D" w14:textId="77777777" w:rsidR="007959C9" w:rsidRDefault="007959C9" w:rsidP="007959C9">
      <w:pPr>
        <w:pStyle w:val="NormalWeb"/>
        <w:jc w:val="center"/>
        <w:rPr>
          <w:b/>
          <w:bCs/>
        </w:rPr>
      </w:pPr>
      <w:r>
        <w:rPr>
          <w:b/>
          <w:bCs/>
        </w:rPr>
        <w:t xml:space="preserve"> </w:t>
      </w:r>
    </w:p>
    <w:p w14:paraId="64893EC7" w14:textId="65A72606" w:rsidR="007959C9" w:rsidRDefault="007959C9" w:rsidP="00F326E5">
      <w:pPr>
        <w:pStyle w:val="NoSpacing"/>
        <w:rPr>
          <w:rFonts w:ascii="Arial Black" w:hAnsi="Arial Black"/>
          <w:sz w:val="24"/>
          <w:szCs w:val="24"/>
        </w:rPr>
      </w:pPr>
      <w:r>
        <w:rPr>
          <w:rFonts w:ascii="Arial Black" w:hAnsi="Arial Black"/>
          <w:sz w:val="24"/>
          <w:szCs w:val="24"/>
        </w:rPr>
        <w:t>1-115</w:t>
      </w:r>
    </w:p>
    <w:p w14:paraId="586AB0DC" w14:textId="100FCB5B" w:rsidR="007959C9" w:rsidRDefault="007959C9" w:rsidP="00F326E5">
      <w:pPr>
        <w:pStyle w:val="NoSpacing"/>
        <w:rPr>
          <w:rFonts w:ascii="Arial Black" w:hAnsi="Arial Black"/>
          <w:sz w:val="24"/>
          <w:szCs w:val="24"/>
        </w:rPr>
      </w:pPr>
    </w:p>
    <w:p w14:paraId="16F297FD" w14:textId="77777777" w:rsidR="007959C9" w:rsidRDefault="007959C9" w:rsidP="007959C9">
      <w:pPr>
        <w:pStyle w:val="NormalWeb"/>
        <w:rPr>
          <w:rFonts w:ascii="Arial Black" w:hAnsi="Arial Black"/>
          <w:sz w:val="28"/>
          <w:szCs w:val="28"/>
        </w:rPr>
      </w:pPr>
      <w:r>
        <w:rPr>
          <w:rFonts w:ascii="Arial Black" w:hAnsi="Arial Black"/>
          <w:sz w:val="28"/>
          <w:szCs w:val="28"/>
        </w:rPr>
        <w:t>SC: SPRINKLERS NOT REQUIRED IN ATTICS OF CONDOS – FIRE CHIEF &amp; BLDG OFFICIAL APPROVED – NO CASE</w:t>
      </w:r>
    </w:p>
    <w:p w14:paraId="73BD765C" w14:textId="77777777" w:rsidR="007959C9" w:rsidRPr="00382792" w:rsidRDefault="007959C9" w:rsidP="007959C9">
      <w:pPr>
        <w:pStyle w:val="NormalWeb"/>
      </w:pPr>
      <w:r>
        <w:t xml:space="preserve">On Jan. 11, 2023, in </w:t>
      </w:r>
      <w:r w:rsidRPr="001D61ED">
        <w:rPr>
          <w:u w:val="single"/>
        </w:rPr>
        <w:t>Palmetto Pointe at Peas Island Condominium Property Owners Association, Inc., et al. v. Island Pointe, LLC, et al</w:t>
      </w:r>
      <w:r>
        <w:t xml:space="preserve">., the Court of Appeals of South Carolina held (3 to 0; unpublished opinion) that jury’s verdict for in favor of WC Services, Inc. (WCS) is upheld.  The  subcontractor that was responsible for supplying and installing fire sprinkler systems in </w:t>
      </w:r>
      <w:proofErr w:type="gramStart"/>
      <w:r>
        <w:t>all of</w:t>
      </w:r>
      <w:proofErr w:type="gramEnd"/>
      <w:r>
        <w:t xml:space="preserve"> the units, per Fire Chief’s advice, was not required to install sprinklers in the attic.  The Court held: “</w:t>
      </w:r>
      <w:r>
        <w:rPr>
          <w:rStyle w:val="markedcontent"/>
          <w:rFonts w:eastAsiaTheme="majorEastAsia"/>
        </w:rPr>
        <w:t xml:space="preserve">Claims against several defendants went to the jury. This appeal concerns the POA's [Property Owners Association] claims against WC Services, Inc. (WCS). WCS is the subcontractor that was responsible for supplying and installing fire sprinkler systems in </w:t>
      </w:r>
      <w:proofErr w:type="gramStart"/>
      <w:r>
        <w:rPr>
          <w:rStyle w:val="markedcontent"/>
          <w:rFonts w:eastAsiaTheme="majorEastAsia"/>
        </w:rPr>
        <w:t>all of</w:t>
      </w:r>
      <w:proofErr w:type="gramEnd"/>
      <w:r>
        <w:rPr>
          <w:rStyle w:val="markedcontent"/>
          <w:rFonts w:eastAsiaTheme="majorEastAsia"/>
        </w:rPr>
        <w:t xml:space="preserve"> the units. The</w:t>
      </w:r>
      <w:r>
        <w:br/>
      </w:r>
      <w:r>
        <w:rPr>
          <w:rStyle w:val="markedcontent"/>
          <w:rFonts w:eastAsiaTheme="majorEastAsia"/>
        </w:rPr>
        <w:t xml:space="preserve">POA's claims against WCS are the only ones that resulted in a defense verdict. We </w:t>
      </w:r>
      <w:r>
        <w:br/>
      </w:r>
      <w:r>
        <w:rPr>
          <w:rStyle w:val="markedcontent"/>
          <w:rFonts w:eastAsiaTheme="majorEastAsia"/>
        </w:rPr>
        <w:t xml:space="preserve">affirm. ***   There is a reasonable </w:t>
      </w:r>
      <w:proofErr w:type="gramStart"/>
      <w:r>
        <w:rPr>
          <w:rStyle w:val="markedcontent"/>
          <w:rFonts w:eastAsiaTheme="majorEastAsia"/>
        </w:rPr>
        <w:t>inference</w:t>
      </w:r>
      <w:proofErr w:type="gramEnd"/>
      <w:r>
        <w:rPr>
          <w:rStyle w:val="markedcontent"/>
          <w:rFonts w:eastAsiaTheme="majorEastAsia"/>
        </w:rPr>
        <w:t xml:space="preserve"> the developer was instructed that it did not need to</w:t>
      </w:r>
      <w:r>
        <w:br/>
      </w:r>
      <w:r>
        <w:rPr>
          <w:rStyle w:val="markedcontent"/>
          <w:rFonts w:eastAsiaTheme="majorEastAsia"/>
        </w:rPr>
        <w:t>include sprinklers in the attics. A key piece of evidence is a memo—the "Hall</w:t>
      </w:r>
      <w:r>
        <w:br/>
      </w:r>
      <w:r>
        <w:rPr>
          <w:rStyle w:val="markedcontent"/>
          <w:rFonts w:eastAsiaTheme="majorEastAsia"/>
        </w:rPr>
        <w:t>Letter"—memorializing a meeting between the developer, the fire chief, and a local</w:t>
      </w:r>
      <w:r>
        <w:br/>
      </w:r>
      <w:r>
        <w:rPr>
          <w:rStyle w:val="markedcontent"/>
          <w:rFonts w:eastAsiaTheme="majorEastAsia"/>
        </w:rPr>
        <w:t>building official. The letter begins by referencing Folly Beach's local sprinkler</w:t>
      </w:r>
      <w:r>
        <w:br/>
      </w:r>
      <w:r>
        <w:rPr>
          <w:rStyle w:val="markedcontent"/>
          <w:rFonts w:eastAsiaTheme="majorEastAsia"/>
        </w:rPr>
        <w:t>system requirements, but after that, the letter explains the development's sprinkler</w:t>
      </w:r>
      <w:r>
        <w:br/>
      </w:r>
      <w:r>
        <w:rPr>
          <w:rStyle w:val="markedcontent"/>
          <w:rFonts w:eastAsiaTheme="majorEastAsia"/>
        </w:rPr>
        <w:t>systems must comply with a national standard. That standard does not require attic</w:t>
      </w:r>
      <w:r>
        <w:br/>
      </w:r>
      <w:r>
        <w:rPr>
          <w:rStyle w:val="markedcontent"/>
          <w:rFonts w:eastAsiaTheme="majorEastAsia"/>
        </w:rPr>
        <w:t xml:space="preserve">sprinklers in this situation.” </w:t>
      </w:r>
      <w:hyperlink r:id="rId206" w:history="1">
        <w:r w:rsidRPr="006E56EF">
          <w:rPr>
            <w:rStyle w:val="Hyperlink"/>
          </w:rPr>
          <w:t>https://www.sccourts.org/opinions//unpublishedopinions/HTMLFiles/COA/2023-UP-014.pdf</w:t>
        </w:r>
      </w:hyperlink>
      <w:r>
        <w:t xml:space="preserve"> </w:t>
      </w:r>
    </w:p>
    <w:p w14:paraId="4672A321" w14:textId="77777777" w:rsidR="007959C9" w:rsidRDefault="007959C9" w:rsidP="007959C9">
      <w:pPr>
        <w:pStyle w:val="NormalWeb"/>
        <w:ind w:left="720"/>
      </w:pPr>
      <w:r>
        <w:t xml:space="preserve">“Then, the letter references two </w:t>
      </w:r>
      <w:proofErr w:type="gramStart"/>
      <w:r>
        <w:t>particular provisions</w:t>
      </w:r>
      <w:proofErr w:type="gramEnd"/>
      <w:r>
        <w:t xml:space="preserve"> (and only those two provisions) of the local sprinkler ordinance. We agree with WCS that it is possible to read the </w:t>
      </w:r>
      <w:proofErr w:type="gramStart"/>
      <w:r>
        <w:t>letter as</w:t>
      </w:r>
      <w:proofErr w:type="gramEnd"/>
      <w:r>
        <w:t xml:space="preserve"> informing the developer that the national standard applies and (by implication) that attic sprinklers are not required.</w:t>
      </w:r>
    </w:p>
    <w:p w14:paraId="36E8FEA2" w14:textId="77777777" w:rsidR="007959C9" w:rsidRDefault="007959C9" w:rsidP="007959C9">
      <w:pPr>
        <w:pStyle w:val="NormalWeb"/>
        <w:ind w:left="720"/>
      </w:pPr>
      <w:r>
        <w:t>***</w:t>
      </w:r>
    </w:p>
    <w:p w14:paraId="237D57EF" w14:textId="77777777" w:rsidR="007959C9" w:rsidRDefault="007959C9" w:rsidP="007959C9">
      <w:pPr>
        <w:pStyle w:val="NormalWeb"/>
        <w:ind w:left="720"/>
      </w:pPr>
      <w:r>
        <w:t>WCS's expert testified that changes to design plans regularly occur in the field and that a building official always ensures that the installed system conforms to the plans before approving the system. This expert said building officials must have permitted changes to the original design because the project successfully received the national standard certificate of material and testing, which is completed by the sprinkler subcontractor and either a representative of the owner or the building official after physically inspecting and pressure testing the installed system. We hold that a jury could reasonably infer that the final plans for the project differed from the plans that were placed into evidence at trial.”</w:t>
      </w:r>
    </w:p>
    <w:p w14:paraId="1AA31F74" w14:textId="77777777" w:rsidR="007959C9" w:rsidRPr="00CB1526" w:rsidRDefault="007959C9" w:rsidP="007959C9">
      <w:pPr>
        <w:pStyle w:val="NormalWeb"/>
        <w:rPr>
          <w:b/>
          <w:bCs/>
        </w:rPr>
      </w:pPr>
      <w:r w:rsidRPr="00CB1526">
        <w:rPr>
          <w:b/>
          <w:bCs/>
        </w:rPr>
        <w:t xml:space="preserve">Legal Lesson Learned: </w:t>
      </w:r>
      <w:r>
        <w:rPr>
          <w:b/>
          <w:bCs/>
        </w:rPr>
        <w:t xml:space="preserve">Code does not require sprinklers in attics. </w:t>
      </w:r>
    </w:p>
    <w:p w14:paraId="48F916F5" w14:textId="77777777" w:rsidR="007959C9" w:rsidRDefault="007959C9" w:rsidP="00F326E5">
      <w:pPr>
        <w:pStyle w:val="NoSpacing"/>
        <w:rPr>
          <w:rFonts w:ascii="Arial Black" w:hAnsi="Arial Black"/>
          <w:sz w:val="24"/>
          <w:szCs w:val="24"/>
        </w:rPr>
      </w:pPr>
    </w:p>
    <w:p w14:paraId="0B60A5C5" w14:textId="15C425C6" w:rsidR="007959C9" w:rsidRDefault="007959C9" w:rsidP="00F326E5">
      <w:pPr>
        <w:pStyle w:val="NoSpacing"/>
        <w:rPr>
          <w:rFonts w:ascii="Arial Black" w:hAnsi="Arial Black"/>
          <w:sz w:val="24"/>
          <w:szCs w:val="24"/>
        </w:rPr>
      </w:pPr>
    </w:p>
    <w:p w14:paraId="20E9E10B" w14:textId="62420A41" w:rsidR="007959C9" w:rsidRDefault="007959C9" w:rsidP="00F326E5">
      <w:pPr>
        <w:pStyle w:val="NoSpacing"/>
        <w:rPr>
          <w:rFonts w:ascii="Arial Black" w:hAnsi="Arial Black"/>
          <w:sz w:val="24"/>
          <w:szCs w:val="24"/>
        </w:rPr>
      </w:pPr>
      <w:r>
        <w:rPr>
          <w:rFonts w:ascii="Arial Black" w:hAnsi="Arial Black"/>
          <w:sz w:val="24"/>
          <w:szCs w:val="24"/>
        </w:rPr>
        <w:t>1-114</w:t>
      </w:r>
    </w:p>
    <w:p w14:paraId="33CE1C24" w14:textId="4A03A9AE" w:rsidR="007959C9" w:rsidRDefault="007959C9" w:rsidP="00F326E5">
      <w:pPr>
        <w:pStyle w:val="NoSpacing"/>
        <w:rPr>
          <w:rFonts w:ascii="Arial Black" w:hAnsi="Arial Black"/>
          <w:sz w:val="24"/>
          <w:szCs w:val="24"/>
        </w:rPr>
      </w:pPr>
    </w:p>
    <w:p w14:paraId="26A99289" w14:textId="77777777" w:rsidR="007959C9" w:rsidRPr="0091639C" w:rsidRDefault="007959C9" w:rsidP="007959C9">
      <w:pPr>
        <w:pStyle w:val="NormalWeb"/>
        <w:rPr>
          <w:rFonts w:ascii="Arial Black" w:hAnsi="Arial Black"/>
          <w:sz w:val="28"/>
          <w:szCs w:val="28"/>
        </w:rPr>
      </w:pPr>
      <w:r>
        <w:rPr>
          <w:rFonts w:ascii="Arial Black" w:hAnsi="Arial Black"/>
          <w:sz w:val="28"/>
          <w:szCs w:val="28"/>
        </w:rPr>
        <w:lastRenderedPageBreak/>
        <w:t xml:space="preserve">NY: ARSONIST – DENIED “COMPASSIONATE RELEASE” - 1994 LODD FDNY LT. – MUST REMAIN PRISON ALL 43 YRS </w:t>
      </w:r>
    </w:p>
    <w:p w14:paraId="52675594" w14:textId="77777777" w:rsidR="007959C9" w:rsidRDefault="007959C9" w:rsidP="007959C9">
      <w:pPr>
        <w:pStyle w:val="NormalWeb"/>
      </w:pPr>
      <w:r>
        <w:t xml:space="preserve">On Jan. 5, 2023, in </w:t>
      </w:r>
      <w:r w:rsidRPr="0073742E">
        <w:rPr>
          <w:u w:val="single"/>
        </w:rPr>
        <w:t>United States of America v. Alberto Raposo</w:t>
      </w:r>
      <w:r>
        <w:t xml:space="preserve">, U.S. District Court Judge John P. Cronan, U.S. District Court for Southern District of New York, denied the prisoner’s motion for compassionate release.  The defendant started eight (8) fires on June 5, </w:t>
      </w:r>
      <w:proofErr w:type="gramStart"/>
      <w:r>
        <w:t>1994</w:t>
      </w:r>
      <w:proofErr w:type="gramEnd"/>
      <w:r>
        <w:t xml:space="preserve"> in a building in Manhattan, after a dispute with the two men he lived with on the fifth floor.  FDNY responded and unfortunately Lt. Gorge Lener died in subcellar.  The Federal judge reviewed his terrible misconduct and denied him early release from prison.  The judge held: “In sum, granting early release in this case would fail to reflect the seriousness of Raposo's crime of setting a fire that caused the death of Lieutenant Lener, would not justly punish that offense, would fail to promote respect for the law, and would not achieve adequate deterrence for such conduct. Thus, the applicable section 3553(a) factors compel the conclusion that no reduction of the imposed sentence is warranted.”  </w:t>
      </w:r>
      <w:hyperlink r:id="rId207" w:history="1">
        <w:r w:rsidRPr="003E040E">
          <w:rPr>
            <w:rStyle w:val="Hyperlink"/>
          </w:rPr>
          <w:t>https://casetext.com/case/united-states-v-raposo-6</w:t>
        </w:r>
      </w:hyperlink>
      <w:r>
        <w:t xml:space="preserve"> </w:t>
      </w:r>
    </w:p>
    <w:p w14:paraId="614AF75D" w14:textId="77777777" w:rsidR="007959C9" w:rsidRDefault="007959C9" w:rsidP="007959C9">
      <w:pPr>
        <w:pStyle w:val="NormalWeb"/>
        <w:ind w:left="720"/>
      </w:pPr>
      <w:r>
        <w:t xml:space="preserve">“On the evening of June 5, after a dispute with Ruiz, Raposo set eight fires throughout various floors and the subcellar of 79-81 Worth Street….  Raposo waited until Ruiz and Delvalle were inside the building on the fifth floor before setting the fires…. Raposo set the first fire in the subcellar, proceeded to the fourth floor where he gathered his belongings and set more fires, and then set additional fires on the second floor, in the lobby, and outside the building…. Raposo also strategically poured oil on </w:t>
      </w:r>
      <w:proofErr w:type="gramStart"/>
      <w:r>
        <w:t>egresses</w:t>
      </w:r>
      <w:proofErr w:type="gramEnd"/>
      <w:r>
        <w:t xml:space="preserve"> including a stairwell leading to </w:t>
      </w:r>
      <w:proofErr w:type="gramStart"/>
      <w:r>
        <w:t>a fire escape and the</w:t>
      </w:r>
      <w:proofErr w:type="gramEnd"/>
      <w:r>
        <w:t xml:space="preserve"> fire escapes themselves, locked the doors with a mortise lock to which he held the only key, and removed wires to disable the building's fire alarm. </w:t>
      </w:r>
    </w:p>
    <w:p w14:paraId="14009A82" w14:textId="77777777" w:rsidR="007959C9" w:rsidRDefault="007959C9" w:rsidP="007959C9">
      <w:pPr>
        <w:pStyle w:val="NormalWeb"/>
        <w:ind w:left="720"/>
        <w:rPr>
          <w:rStyle w:val="Emphasis"/>
        </w:rPr>
      </w:pPr>
      <w:r>
        <w:t>***</w:t>
      </w:r>
    </w:p>
    <w:p w14:paraId="76341A08" w14:textId="77777777" w:rsidR="007959C9" w:rsidRDefault="007959C9" w:rsidP="007959C9">
      <w:pPr>
        <w:pStyle w:val="NormalWeb"/>
        <w:ind w:left="720"/>
      </w:pPr>
      <w:r>
        <w:t>[F]</w:t>
      </w:r>
      <w:proofErr w:type="spellStart"/>
      <w:r>
        <w:t>irefighters</w:t>
      </w:r>
      <w:proofErr w:type="spellEnd"/>
      <w:r>
        <w:t xml:space="preserve"> with FDNY Ladder Company #6, led by Lieutenant George Lener, fought the blaze in the subcellar of the building, navigating their way through water that had accumulated from the sprinkler system…. Lieutenant Lener remained alone in the subcellar after the tanks of the firefighters under his command ran dry…. Subsequently, other firefighters heard a distress call, and one eventually found Lieutenant Lener facedown and unconscious in a foot of water in the subcellar…. Lieutenant Lener was carried out by five firefighters and rushed to a hospital in an ambulance…. Tragically, Lieutenant Lener never regained consciousness, and, approximately forty-five days later, died of carbon monoxide poisoning endured in the subcellar.”</w:t>
      </w:r>
    </w:p>
    <w:p w14:paraId="47D79693" w14:textId="77777777" w:rsidR="007959C9" w:rsidRPr="00651625" w:rsidRDefault="007959C9" w:rsidP="007959C9">
      <w:pPr>
        <w:pStyle w:val="NormalWeb"/>
        <w:rPr>
          <w:rStyle w:val="Emphasis"/>
          <w:b/>
          <w:bCs/>
          <w:i w:val="0"/>
          <w:iCs w:val="0"/>
        </w:rPr>
      </w:pPr>
      <w:r w:rsidRPr="00651625">
        <w:rPr>
          <w:rStyle w:val="Emphasis"/>
          <w:b/>
          <w:bCs/>
          <w:i w:val="0"/>
          <w:iCs w:val="0"/>
        </w:rPr>
        <w:t xml:space="preserve">Legal Lesson Learned: An arsonist is legally responsible for injuries and deaths to others, including firefighters. </w:t>
      </w:r>
    </w:p>
    <w:p w14:paraId="34B84E02" w14:textId="77777777" w:rsidR="007959C9" w:rsidRPr="007959C9" w:rsidRDefault="007959C9" w:rsidP="007959C9">
      <w:pPr>
        <w:pStyle w:val="NormalWeb"/>
        <w:ind w:left="720"/>
        <w:rPr>
          <w:rStyle w:val="Emphasis"/>
          <w:i w:val="0"/>
          <w:iCs w:val="0"/>
        </w:rPr>
      </w:pPr>
      <w:r w:rsidRPr="007959C9">
        <w:rPr>
          <w:rStyle w:val="Emphasis"/>
          <w:i w:val="0"/>
          <w:iCs w:val="0"/>
        </w:rPr>
        <w:t xml:space="preserve">Note: He was first tried in state court – surprisingly a jury found him not guilty.  Fortunately, he was then charged with federal offense of committing arson of property used in interstate commerce and convicted. </w:t>
      </w:r>
    </w:p>
    <w:p w14:paraId="1D957CF1" w14:textId="77777777" w:rsidR="007959C9" w:rsidRDefault="007959C9" w:rsidP="007959C9">
      <w:pPr>
        <w:pStyle w:val="NormalWeb"/>
        <w:ind w:left="1440" w:firstLine="60"/>
      </w:pPr>
      <w:r>
        <w:t>“Raposo originally was charged in New York Supreme Court, New York County, with arson in the first degree, arson in the third degree, and murder in the second degree…. On July 1, 1996, a jury found Raposo not guilty of those state charges….  A federal investigation followed Raposo's state court acquittal, leading to his arrest on federal arson charges on March 5, 1998…. The Indictment, which was filed on March 4, 1998, charged Raposo with one count of committing arson of property used in interstate commerce, with death resulting, in violation of 18 U.S.C. § 844(</w:t>
      </w:r>
      <w:proofErr w:type="spellStart"/>
      <w:r>
        <w:t>i</w:t>
      </w:r>
      <w:proofErr w:type="spellEnd"/>
      <w:r>
        <w:t>)…. On February 9, 1999, Raposo was found guilty of that count by a jury…. The conviction carried a maximum term of imprisonment of life.”</w:t>
      </w:r>
    </w:p>
    <w:p w14:paraId="09914FA8" w14:textId="77777777" w:rsidR="007959C9" w:rsidRDefault="007959C9" w:rsidP="00F326E5">
      <w:pPr>
        <w:pStyle w:val="NoSpacing"/>
        <w:rPr>
          <w:rFonts w:ascii="Arial Black" w:hAnsi="Arial Black"/>
          <w:sz w:val="24"/>
          <w:szCs w:val="24"/>
        </w:rPr>
      </w:pPr>
    </w:p>
    <w:p w14:paraId="5D853915" w14:textId="77777777" w:rsidR="007959C9" w:rsidRDefault="007959C9" w:rsidP="00F326E5">
      <w:pPr>
        <w:pStyle w:val="NoSpacing"/>
        <w:rPr>
          <w:rFonts w:ascii="Arial Black" w:hAnsi="Arial Black"/>
          <w:sz w:val="24"/>
          <w:szCs w:val="24"/>
        </w:rPr>
      </w:pPr>
    </w:p>
    <w:p w14:paraId="20CA6202" w14:textId="77777777" w:rsidR="007959C9" w:rsidRDefault="007959C9" w:rsidP="00F326E5">
      <w:pPr>
        <w:pStyle w:val="NoSpacing"/>
        <w:rPr>
          <w:rFonts w:ascii="Arial Black" w:hAnsi="Arial Black"/>
          <w:sz w:val="24"/>
          <w:szCs w:val="24"/>
        </w:rPr>
      </w:pPr>
    </w:p>
    <w:p w14:paraId="4DD5B44A" w14:textId="5AEBBD4F" w:rsidR="006C79BE" w:rsidRDefault="006C79BE" w:rsidP="00F326E5">
      <w:pPr>
        <w:pStyle w:val="NoSpacing"/>
        <w:rPr>
          <w:rFonts w:ascii="Arial Black" w:hAnsi="Arial Black"/>
          <w:sz w:val="24"/>
          <w:szCs w:val="24"/>
        </w:rPr>
      </w:pPr>
      <w:r>
        <w:rPr>
          <w:rFonts w:ascii="Arial Black" w:hAnsi="Arial Black"/>
          <w:sz w:val="24"/>
          <w:szCs w:val="24"/>
        </w:rPr>
        <w:t>1-113</w:t>
      </w:r>
    </w:p>
    <w:p w14:paraId="0F4C4BAB" w14:textId="1DBEFAFF" w:rsidR="006C79BE" w:rsidRDefault="006C79BE" w:rsidP="00F326E5">
      <w:pPr>
        <w:pStyle w:val="NoSpacing"/>
        <w:rPr>
          <w:rFonts w:ascii="Arial Black" w:hAnsi="Arial Black"/>
          <w:sz w:val="24"/>
          <w:szCs w:val="24"/>
        </w:rPr>
      </w:pPr>
    </w:p>
    <w:p w14:paraId="6DC19452" w14:textId="77777777" w:rsidR="006C79BE" w:rsidRPr="00F91DD5" w:rsidRDefault="006C79BE" w:rsidP="006C79BE">
      <w:pPr>
        <w:pStyle w:val="NormalWeb"/>
        <w:rPr>
          <w:rFonts w:ascii="Arial Black" w:hAnsi="Arial Black"/>
          <w:sz w:val="28"/>
          <w:szCs w:val="28"/>
        </w:rPr>
      </w:pPr>
      <w:r>
        <w:rPr>
          <w:rFonts w:ascii="Arial Black" w:hAnsi="Arial Black"/>
          <w:sz w:val="28"/>
          <w:szCs w:val="28"/>
        </w:rPr>
        <w:t>NJ:  ARSON – PROSECUTOR FILES CONFIDENTIAL – CIVIL SUIT $4M LOSS BLDG - SECURITY FENCE ONLY 3 SIDES</w:t>
      </w:r>
    </w:p>
    <w:p w14:paraId="366407FF" w14:textId="77777777" w:rsidR="006C79BE" w:rsidRDefault="006C79BE" w:rsidP="006C79BE">
      <w:pPr>
        <w:rPr>
          <w:rFonts w:ascii="Times New Roman" w:hAnsi="Times New Roman"/>
          <w:sz w:val="24"/>
          <w:szCs w:val="24"/>
        </w:rPr>
      </w:pPr>
      <w:r w:rsidRPr="00EE4FE2">
        <w:rPr>
          <w:rFonts w:ascii="Times New Roman" w:hAnsi="Times New Roman"/>
          <w:sz w:val="24"/>
          <w:szCs w:val="24"/>
        </w:rPr>
        <w:t xml:space="preserve">On Dec. 7, 2022, in </w:t>
      </w:r>
      <w:r w:rsidRPr="00EE4FE2">
        <w:rPr>
          <w:rFonts w:ascii="Times New Roman" w:hAnsi="Times New Roman"/>
          <w:sz w:val="24"/>
          <w:szCs w:val="24"/>
          <w:u w:val="single"/>
        </w:rPr>
        <w:t>American Insurance Company, et al. v. Meridia Downtown Urban Renewal, et al. and Somerset County Prosecutor’s Office</w:t>
      </w:r>
      <w:r w:rsidRPr="00EE4FE2">
        <w:rPr>
          <w:rFonts w:ascii="Times New Roman" w:hAnsi="Times New Roman"/>
          <w:sz w:val="24"/>
          <w:szCs w:val="24"/>
        </w:rPr>
        <w:t xml:space="preserve">, the Superior Court of New Jersey, Appellate Division, held (3 to 0) that trial judge improperly ordered the Prosecutor’s Office to disclose documents prior to the trial of the indicted arsonist concerning the January 12, 2020 fire, including videos and witness statements.  The pending civil litigation by the insurance company concerning construction company’s failure to fence in the entire property does not outweigh the </w:t>
      </w:r>
      <w:proofErr w:type="gramStart"/>
      <w:r w:rsidRPr="00EE4FE2">
        <w:rPr>
          <w:rFonts w:ascii="Times New Roman" w:hAnsi="Times New Roman"/>
          <w:sz w:val="24"/>
          <w:szCs w:val="24"/>
        </w:rPr>
        <w:t>public interest</w:t>
      </w:r>
      <w:proofErr w:type="gramEnd"/>
      <w:r w:rsidRPr="00EE4FE2">
        <w:rPr>
          <w:rFonts w:ascii="Times New Roman" w:hAnsi="Times New Roman"/>
          <w:sz w:val="24"/>
          <w:szCs w:val="24"/>
        </w:rPr>
        <w:t xml:space="preserve"> protected by the strict confidentiality that attaches to the criminal investigative file of an ongoing criminal prosecution.</w:t>
      </w:r>
    </w:p>
    <w:p w14:paraId="3693A55E" w14:textId="45323073" w:rsidR="006C79BE" w:rsidRDefault="006C79BE" w:rsidP="006C79BE">
      <w:pPr>
        <w:ind w:left="720"/>
        <w:rPr>
          <w:rFonts w:ascii="Times New Roman" w:hAnsi="Times New Roman"/>
          <w:sz w:val="24"/>
          <w:szCs w:val="24"/>
        </w:rPr>
      </w:pPr>
      <w:r>
        <w:rPr>
          <w:rFonts w:ascii="Times New Roman" w:hAnsi="Times New Roman"/>
          <w:sz w:val="24"/>
          <w:szCs w:val="24"/>
        </w:rPr>
        <w:t xml:space="preserve"> “[W]</w:t>
      </w:r>
      <w:r w:rsidRPr="00EE4FE2">
        <w:rPr>
          <w:rFonts w:ascii="Times New Roman" w:hAnsi="Times New Roman"/>
          <w:sz w:val="24"/>
          <w:szCs w:val="24"/>
        </w:rPr>
        <w:t>e believe the judge mistakenly exercised his discretion by failing to judiciously and painstakingly balance the competing interests at stake. Compelling the production of the materials sought here risks compromising the vital public interest protected by the strict confidentiality that attaches to the criminal investigative file of an ongoing criminal prosecution.</w:t>
      </w:r>
      <w:r>
        <w:rPr>
          <w:rFonts w:ascii="Times New Roman" w:hAnsi="Times New Roman"/>
          <w:sz w:val="24"/>
          <w:szCs w:val="24"/>
        </w:rPr>
        <w:t xml:space="preserve">” </w:t>
      </w:r>
      <w:hyperlink r:id="rId208" w:history="1">
        <w:r w:rsidRPr="00622894">
          <w:rPr>
            <w:rStyle w:val="Hyperlink"/>
            <w:rFonts w:ascii="Times New Roman" w:hAnsi="Times New Roman"/>
            <w:sz w:val="24"/>
            <w:szCs w:val="24"/>
          </w:rPr>
          <w:t>https://law.justia.com/cases/new-jersey/appellate-division-published/2022/a-1868-21.html</w:t>
        </w:r>
      </w:hyperlink>
      <w:r>
        <w:rPr>
          <w:rFonts w:ascii="Times New Roman" w:hAnsi="Times New Roman"/>
          <w:sz w:val="24"/>
          <w:szCs w:val="24"/>
        </w:rPr>
        <w:t xml:space="preserve"> </w:t>
      </w:r>
    </w:p>
    <w:p w14:paraId="593BD7EC" w14:textId="77777777" w:rsidR="006C79BE" w:rsidRPr="00EE4FE2" w:rsidRDefault="006C79BE" w:rsidP="006C79BE">
      <w:pPr>
        <w:rPr>
          <w:rFonts w:ascii="Times New Roman" w:hAnsi="Times New Roman"/>
          <w:b/>
          <w:bCs/>
          <w:sz w:val="24"/>
          <w:szCs w:val="24"/>
        </w:rPr>
      </w:pPr>
      <w:r w:rsidRPr="00EE4FE2">
        <w:rPr>
          <w:rFonts w:ascii="Times New Roman" w:hAnsi="Times New Roman"/>
          <w:b/>
          <w:bCs/>
          <w:sz w:val="24"/>
          <w:szCs w:val="24"/>
        </w:rPr>
        <w:t>Legal Lesson Learned:</w:t>
      </w:r>
      <w:r>
        <w:rPr>
          <w:rFonts w:ascii="Times New Roman" w:hAnsi="Times New Roman"/>
          <w:b/>
          <w:bCs/>
          <w:sz w:val="24"/>
          <w:szCs w:val="24"/>
        </w:rPr>
        <w:t xml:space="preserve"> There is very strong public interest in protecting the confidentiality of Prosecutor’s evidence pending trial of the arsonist. </w:t>
      </w:r>
    </w:p>
    <w:p w14:paraId="67D74B3A" w14:textId="77777777" w:rsidR="006C79BE" w:rsidRDefault="006C79BE" w:rsidP="006C79BE">
      <w:pPr>
        <w:pStyle w:val="NormalWeb"/>
      </w:pPr>
    </w:p>
    <w:p w14:paraId="42AFCFBE" w14:textId="77777777" w:rsidR="006C79BE" w:rsidRDefault="006C79BE" w:rsidP="00F326E5">
      <w:pPr>
        <w:pStyle w:val="NoSpacing"/>
        <w:rPr>
          <w:rFonts w:ascii="Arial Black" w:hAnsi="Arial Black"/>
          <w:sz w:val="24"/>
          <w:szCs w:val="24"/>
        </w:rPr>
      </w:pPr>
    </w:p>
    <w:p w14:paraId="31C6D0BF" w14:textId="77777777" w:rsidR="006C79BE" w:rsidRDefault="006C79BE" w:rsidP="00F326E5">
      <w:pPr>
        <w:pStyle w:val="NoSpacing"/>
        <w:rPr>
          <w:rFonts w:ascii="Arial Black" w:hAnsi="Arial Black"/>
          <w:sz w:val="24"/>
          <w:szCs w:val="24"/>
        </w:rPr>
      </w:pPr>
    </w:p>
    <w:p w14:paraId="230981A3" w14:textId="1A72662F" w:rsidR="00E8117B" w:rsidRDefault="006C79BE" w:rsidP="00F326E5">
      <w:pPr>
        <w:pStyle w:val="NoSpacing"/>
        <w:rPr>
          <w:rFonts w:ascii="Arial Black" w:hAnsi="Arial Black"/>
          <w:sz w:val="24"/>
          <w:szCs w:val="24"/>
        </w:rPr>
      </w:pPr>
      <w:r>
        <w:rPr>
          <w:rFonts w:ascii="Arial Black" w:hAnsi="Arial Black"/>
          <w:sz w:val="24"/>
          <w:szCs w:val="24"/>
        </w:rPr>
        <w:t>1-112</w:t>
      </w:r>
    </w:p>
    <w:p w14:paraId="4B7E437B" w14:textId="77777777" w:rsidR="006C79BE" w:rsidRPr="008B3217" w:rsidRDefault="006C79BE" w:rsidP="006C79BE">
      <w:pPr>
        <w:pStyle w:val="NormalWeb"/>
        <w:rPr>
          <w:rFonts w:ascii="Arial Black" w:hAnsi="Arial Black"/>
          <w:sz w:val="28"/>
          <w:szCs w:val="28"/>
        </w:rPr>
      </w:pPr>
      <w:r>
        <w:rPr>
          <w:rFonts w:ascii="Arial Black" w:hAnsi="Arial Black"/>
          <w:sz w:val="28"/>
          <w:szCs w:val="28"/>
        </w:rPr>
        <w:t>NY: COVID VACCINATIONS – RELIGIOUS EXEMPTION - FDNY FF ORDERED REHIRED – “REASONABLE ACCOMMODATION”</w:t>
      </w:r>
    </w:p>
    <w:p w14:paraId="45EFB268" w14:textId="77777777" w:rsidR="006C79BE" w:rsidRDefault="006C79BE" w:rsidP="006C79BE">
      <w:pPr>
        <w:pStyle w:val="NormalWeb"/>
      </w:pPr>
      <w:r>
        <w:t xml:space="preserve">On Oct. 7, 2022, in </w:t>
      </w:r>
      <w:r w:rsidRPr="004304FB">
        <w:rPr>
          <w:u w:val="single"/>
        </w:rPr>
        <w:t>Timothy Rivicci v. New Yok City Fire Department and The City of New York</w:t>
      </w:r>
      <w:r>
        <w:t xml:space="preserve">, Judge Ralp J. Porzio, Supreme Court, Richmond County (unpublished decision), granted the firefighters petition for reinstatement to full duties at Engine 158, back pay, and attorney fees.  The judge noted in his very direct opinion, that FDNY has granted 20 requests for religious or medical </w:t>
      </w:r>
      <w:proofErr w:type="gramStart"/>
      <w:r>
        <w:t>accommodations</w:t>
      </w:r>
      <w:proofErr w:type="gramEnd"/>
      <w:r>
        <w:t xml:space="preserve">, and referenced the affidavits of Robert Banome and Stephen Fitzgerald, members of the FDNY who were granted reasonable accommodations of weekly testing and mask wearing. The FF has been on FDNY since 2016.  During COVIC-19 pandemic, Mayor Bill DeBtasio declared a state of emergency and required all NYC employees be vaccinated by Oct. 28, 2021.  The FF was placed on leave without pay on Nov. 1, </w:t>
      </w:r>
      <w:proofErr w:type="gramStart"/>
      <w:r>
        <w:t>2021</w:t>
      </w:r>
      <w:proofErr w:type="gramEnd"/>
      <w:r>
        <w:t xml:space="preserve"> for not showing proof of vaccination. On Nov. 5, </w:t>
      </w:r>
      <w:proofErr w:type="gramStart"/>
      <w:r>
        <w:t>2021</w:t>
      </w:r>
      <w:proofErr w:type="gramEnd"/>
      <w:r>
        <w:t xml:space="preserve"> he submitted a </w:t>
      </w:r>
      <w:proofErr w:type="gramStart"/>
      <w:r>
        <w:t>religious reasonable</w:t>
      </w:r>
      <w:proofErr w:type="gramEnd"/>
      <w:r>
        <w:t xml:space="preserve"> accommodation request to the FDNY Equal Employment Opportunity Office (EEO).  Without any dialog with the FF, the EEO denied the request; he appealed to the NY Reasonable Accommodations Appeals Panel, and without any dialog with FF denied his appeal, and he was fired March 14, 2022.</w:t>
      </w:r>
    </w:p>
    <w:p w14:paraId="179C08C4" w14:textId="77777777" w:rsidR="006C79BE" w:rsidRDefault="006C79BE" w:rsidP="006C79BE">
      <w:pPr>
        <w:pStyle w:val="NormalWeb"/>
        <w:ind w:left="720"/>
      </w:pPr>
      <w:r>
        <w:lastRenderedPageBreak/>
        <w:t xml:space="preserve">“The Court cannot help but question, why were those accommodations of testing and masking granted, while this Petitioner's request for an accommodation would cause an ‘undue burden’ to the Department. It makes no difference to this Court whether the accommodation was granted for a religious or medical reason. The record is bereft of any reasoning, rational or otherwise.” </w:t>
      </w:r>
      <w:hyperlink r:id="rId209" w:history="1">
        <w:r w:rsidRPr="00617AE0">
          <w:rPr>
            <w:rStyle w:val="Hyperlink"/>
            <w:rFonts w:eastAsiaTheme="majorEastAsia"/>
          </w:rPr>
          <w:t>https://public.fastcase.com/J%2FJP6pdidelsXxEE4k%2BLMrfSCCaRdL8TI%2B5ioBWNQnh0kDz1GreH4%2B0yNBfnZOTE%2BnPBmU0h571R%2FJckMZe26svndIwXzFkT32fWB37fhjw%3D?utm_medium=email&amp;_hsmi=226712652&amp;_hsenc=p2ANqtz--GP8ZQooCAhfBpKdL9gU4tnEMPEYSQuJhpHC1xgU_R2XIHvEgQGIZy-l9drIqZUjYHZhAeqsmTG1Ww2RK_6TGoVdhMHQ&amp;utm_content=226712652&amp;utm_source=hs_email</w:t>
        </w:r>
      </w:hyperlink>
      <w:r>
        <w:t xml:space="preserve"> </w:t>
      </w:r>
    </w:p>
    <w:p w14:paraId="5808F788" w14:textId="77777777" w:rsidR="006C79BE" w:rsidRPr="0086106F" w:rsidRDefault="006C79BE" w:rsidP="006C79BE">
      <w:pPr>
        <w:pStyle w:val="NormalWeb"/>
        <w:rPr>
          <w:b/>
          <w:bCs/>
        </w:rPr>
      </w:pPr>
      <w:r w:rsidRPr="0086106F">
        <w:rPr>
          <w:b/>
          <w:bCs/>
        </w:rPr>
        <w:t>Legal Lesson Learned:</w:t>
      </w:r>
      <w:r>
        <w:rPr>
          <w:b/>
          <w:bCs/>
        </w:rPr>
        <w:t xml:space="preserve"> </w:t>
      </w:r>
      <w:proofErr w:type="gramStart"/>
      <w:r>
        <w:rPr>
          <w:b/>
          <w:bCs/>
        </w:rPr>
        <w:t>Similar to</w:t>
      </w:r>
      <w:proofErr w:type="gramEnd"/>
      <w:r>
        <w:rPr>
          <w:b/>
          <w:bCs/>
        </w:rPr>
        <w:t xml:space="preserve"> ADA claims, employers need to dialog with requests for accommodation before declaring request is an “undue hardship.” </w:t>
      </w:r>
    </w:p>
    <w:p w14:paraId="60056EF3" w14:textId="77777777" w:rsidR="006C79BE" w:rsidRDefault="006C79BE" w:rsidP="00F326E5">
      <w:pPr>
        <w:pStyle w:val="NoSpacing"/>
        <w:rPr>
          <w:rFonts w:ascii="Arial Black" w:hAnsi="Arial Black"/>
          <w:sz w:val="24"/>
          <w:szCs w:val="24"/>
        </w:rPr>
      </w:pPr>
    </w:p>
    <w:p w14:paraId="4650C6AC" w14:textId="77777777" w:rsidR="006C79BE" w:rsidRDefault="006C79BE" w:rsidP="00F326E5">
      <w:pPr>
        <w:pStyle w:val="NoSpacing"/>
        <w:rPr>
          <w:rFonts w:ascii="Arial Black" w:hAnsi="Arial Black"/>
          <w:sz w:val="24"/>
          <w:szCs w:val="24"/>
        </w:rPr>
      </w:pPr>
    </w:p>
    <w:p w14:paraId="46A2EA81" w14:textId="77777777" w:rsidR="006C79BE" w:rsidRDefault="006C79BE" w:rsidP="00F326E5">
      <w:pPr>
        <w:pStyle w:val="NoSpacing"/>
        <w:rPr>
          <w:rFonts w:ascii="Arial Black" w:hAnsi="Arial Black"/>
          <w:sz w:val="24"/>
          <w:szCs w:val="24"/>
        </w:rPr>
      </w:pPr>
    </w:p>
    <w:p w14:paraId="36E3F9E3" w14:textId="23E2960B" w:rsidR="00AE32D3" w:rsidRDefault="00AE32D3" w:rsidP="00F326E5">
      <w:pPr>
        <w:pStyle w:val="NoSpacing"/>
        <w:rPr>
          <w:rFonts w:ascii="Arial Black" w:hAnsi="Arial Black"/>
          <w:sz w:val="24"/>
          <w:szCs w:val="24"/>
        </w:rPr>
      </w:pPr>
      <w:r>
        <w:rPr>
          <w:rFonts w:ascii="Arial Black" w:hAnsi="Arial Black"/>
          <w:sz w:val="24"/>
          <w:szCs w:val="24"/>
        </w:rPr>
        <w:t>1-111</w:t>
      </w:r>
    </w:p>
    <w:p w14:paraId="0F3F64BC" w14:textId="77777777" w:rsidR="00AE32D3" w:rsidRDefault="00AE32D3" w:rsidP="00AE32D3">
      <w:pPr>
        <w:pStyle w:val="NormalWeb"/>
        <w:rPr>
          <w:rFonts w:ascii="Arial Black" w:hAnsi="Arial Black"/>
          <w:b/>
          <w:bCs/>
          <w:sz w:val="28"/>
          <w:szCs w:val="28"/>
        </w:rPr>
      </w:pPr>
      <w:r>
        <w:rPr>
          <w:rFonts w:ascii="Arial Black" w:hAnsi="Arial Black"/>
          <w:b/>
          <w:bCs/>
          <w:sz w:val="28"/>
          <w:szCs w:val="28"/>
        </w:rPr>
        <w:t>PA: TWO FIRE CALLS APARTMENT BLDG – “SPARKING OVEN” – NO SEARCH WARRANT REQ. ENTER BASEMENT</w:t>
      </w:r>
    </w:p>
    <w:p w14:paraId="0E083BCB" w14:textId="77777777" w:rsidR="00AE32D3" w:rsidRDefault="00AE32D3" w:rsidP="00AE32D3">
      <w:pPr>
        <w:pStyle w:val="NormalWeb"/>
      </w:pPr>
      <w:r w:rsidRPr="00376BC8">
        <w:t>On N</w:t>
      </w:r>
      <w:r>
        <w:t xml:space="preserve">ov. 29, 2022, in </w:t>
      </w:r>
      <w:r w:rsidRPr="00376BC8">
        <w:rPr>
          <w:u w:val="single"/>
        </w:rPr>
        <w:t>George Cannarozzo v. Borough of West Hazelton, et al</w:t>
      </w:r>
      <w:r>
        <w:t xml:space="preserve">., the U.S. Court of Appeals, Third Circuit (Philadelphia) held (3 to 0) that the basement search did not require a search warrant since with a “sparking oven” there was reasonable belief of imminent emergency and need to enter the basement to shut off electricity. </w:t>
      </w:r>
    </w:p>
    <w:p w14:paraId="6CEAA46B" w14:textId="77777777" w:rsidR="00AE32D3" w:rsidRDefault="00AE32D3" w:rsidP="00AE32D3">
      <w:pPr>
        <w:pStyle w:val="NormalWeb"/>
        <w:ind w:left="720"/>
      </w:pPr>
      <w:r>
        <w:t xml:space="preserve">“Cannarozzo [owner </w:t>
      </w:r>
      <w:proofErr w:type="gramStart"/>
      <w:r>
        <w:t>5 unit</w:t>
      </w:r>
      <w:proofErr w:type="gramEnd"/>
      <w:r>
        <w:t xml:space="preserve"> apartment building} contends the record contains factual discrepancies about the actual dangers precipitating the search. But based on the undisputed facts, Panzarella [Code Enforcement Officer and Building Code Official for Borough] had an ‘objectively reasonable </w:t>
      </w:r>
      <w:proofErr w:type="spellStart"/>
      <w:r>
        <w:t>basis’</w:t>
      </w:r>
      <w:proofErr w:type="spellEnd"/>
      <w:r>
        <w:t xml:space="preserve"> for believing an imminent emergency existed which created a ‘compelling urgency to inspect’ the basement.”  </w:t>
      </w:r>
      <w:hyperlink r:id="rId210" w:history="1">
        <w:r w:rsidRPr="00E8516D">
          <w:rPr>
            <w:rStyle w:val="Hyperlink"/>
            <w:rFonts w:eastAsiaTheme="majorEastAsia"/>
          </w:rPr>
          <w:t>https://law.justia.com/cases/federal/appellate-courts/ca3/22-1079/22-1079-2022-11-29.html</w:t>
        </w:r>
      </w:hyperlink>
      <w:r>
        <w:t xml:space="preserve"> </w:t>
      </w:r>
    </w:p>
    <w:p w14:paraId="51E08B2D" w14:textId="77777777" w:rsidR="00AE32D3" w:rsidRPr="00FA6891" w:rsidRDefault="00AE32D3" w:rsidP="00AE32D3">
      <w:pPr>
        <w:pStyle w:val="NormalWeb"/>
        <w:rPr>
          <w:b/>
          <w:bCs/>
        </w:rPr>
      </w:pPr>
      <w:r w:rsidRPr="00FA6891">
        <w:rPr>
          <w:b/>
          <w:bCs/>
        </w:rPr>
        <w:t xml:space="preserve">Legal Lesson Learned: Fire and Fire Code officials may enter property without a search warrant when there </w:t>
      </w:r>
      <w:r>
        <w:rPr>
          <w:b/>
          <w:bCs/>
        </w:rPr>
        <w:t xml:space="preserve">is a reasonable belief of </w:t>
      </w:r>
      <w:r w:rsidRPr="00FA6891">
        <w:rPr>
          <w:b/>
          <w:bCs/>
        </w:rPr>
        <w:t xml:space="preserve">an imminent emergency. </w:t>
      </w:r>
    </w:p>
    <w:p w14:paraId="000D09D8" w14:textId="77777777" w:rsidR="00AE32D3" w:rsidRDefault="00AE32D3" w:rsidP="00F326E5">
      <w:pPr>
        <w:pStyle w:val="NoSpacing"/>
        <w:rPr>
          <w:rFonts w:ascii="Arial Black" w:hAnsi="Arial Black"/>
          <w:sz w:val="24"/>
          <w:szCs w:val="24"/>
        </w:rPr>
      </w:pPr>
    </w:p>
    <w:p w14:paraId="1E56EF7A" w14:textId="77777777" w:rsidR="00AE32D3" w:rsidRDefault="00AE32D3" w:rsidP="00F326E5">
      <w:pPr>
        <w:pStyle w:val="NoSpacing"/>
        <w:rPr>
          <w:rFonts w:ascii="Arial Black" w:hAnsi="Arial Black"/>
          <w:sz w:val="24"/>
          <w:szCs w:val="24"/>
        </w:rPr>
      </w:pPr>
    </w:p>
    <w:p w14:paraId="4C685C89" w14:textId="62F64F8E" w:rsidR="00AE32D3" w:rsidRDefault="00AE32D3" w:rsidP="00F326E5">
      <w:pPr>
        <w:pStyle w:val="NoSpacing"/>
        <w:rPr>
          <w:rFonts w:ascii="Arial Black" w:hAnsi="Arial Black"/>
          <w:sz w:val="24"/>
          <w:szCs w:val="24"/>
        </w:rPr>
      </w:pPr>
      <w:r>
        <w:rPr>
          <w:rFonts w:ascii="Arial Black" w:hAnsi="Arial Black"/>
          <w:sz w:val="24"/>
          <w:szCs w:val="24"/>
        </w:rPr>
        <w:t>1-110</w:t>
      </w:r>
    </w:p>
    <w:p w14:paraId="1B7D8934" w14:textId="77777777" w:rsidR="00AE32D3" w:rsidRDefault="00AE32D3" w:rsidP="00F326E5">
      <w:pPr>
        <w:pStyle w:val="NoSpacing"/>
        <w:rPr>
          <w:rFonts w:ascii="Arial Black" w:hAnsi="Arial Black"/>
          <w:sz w:val="24"/>
          <w:szCs w:val="24"/>
        </w:rPr>
      </w:pPr>
    </w:p>
    <w:p w14:paraId="1FA5538D" w14:textId="77777777" w:rsidR="00AE32D3" w:rsidRDefault="00AE32D3" w:rsidP="00F326E5">
      <w:pPr>
        <w:pStyle w:val="NoSpacing"/>
        <w:rPr>
          <w:rFonts w:ascii="Arial Black" w:hAnsi="Arial Black"/>
          <w:sz w:val="24"/>
          <w:szCs w:val="24"/>
        </w:rPr>
      </w:pPr>
    </w:p>
    <w:p w14:paraId="56B43EEA" w14:textId="77777777" w:rsidR="00AE32D3" w:rsidRPr="00A443BC" w:rsidRDefault="00AE32D3" w:rsidP="00AE32D3">
      <w:pPr>
        <w:pStyle w:val="NormalWeb"/>
        <w:rPr>
          <w:rFonts w:ascii="Arial Black" w:hAnsi="Arial Black"/>
          <w:sz w:val="28"/>
          <w:szCs w:val="28"/>
        </w:rPr>
      </w:pPr>
      <w:r>
        <w:rPr>
          <w:rFonts w:ascii="Arial Black" w:hAnsi="Arial Black"/>
          <w:sz w:val="28"/>
          <w:szCs w:val="28"/>
        </w:rPr>
        <w:t xml:space="preserve">KY: OVEN FIRE – EXPERT OPINIONS THAT INSTALLERS SHOULD ENCLOSED BASE – MAY TESTIFY, NFPA GUIDELINE </w:t>
      </w:r>
    </w:p>
    <w:p w14:paraId="5BDE757E" w14:textId="77777777" w:rsidR="00AE32D3" w:rsidRDefault="00AE32D3" w:rsidP="00AE32D3">
      <w:pPr>
        <w:pStyle w:val="NormalWeb"/>
      </w:pPr>
      <w:r>
        <w:t xml:space="preserve">On Nov. 18, 2022, in </w:t>
      </w:r>
      <w:r w:rsidRPr="00A443BC">
        <w:rPr>
          <w:u w:val="single"/>
        </w:rPr>
        <w:t>American National Property &amp; Casualty Company, et al. v. R&amp;N Enterprises, Inc, D/B/A B&amp;W TV and Appliance Company</w:t>
      </w:r>
      <w:r>
        <w:t xml:space="preserve">, the Court of Appeals of Kentucky held (3 to 0) that the trial court improperly excluded the testimony of the insurance company’s expert.  Installers replace old oven, which never </w:t>
      </w:r>
      <w:r>
        <w:lastRenderedPageBreak/>
        <w:t xml:space="preserve">had enclosed bottom, directly over </w:t>
      </w:r>
      <w:proofErr w:type="gramStart"/>
      <w:r>
        <w:t>pull</w:t>
      </w:r>
      <w:proofErr w:type="gramEnd"/>
      <w:r>
        <w:t xml:space="preserve"> out drawer with lots of cloths.  Trial judge excluded insurance company’s two experts because they didn’t use another oven to measure the heat under the bottom, per NFPA 921, as did Appliance company’s expert.  Court of Appeals disagreed – NFPA guidelines, not mandatory under Kentucky law.  </w:t>
      </w:r>
    </w:p>
    <w:p w14:paraId="004E3E7D" w14:textId="77777777" w:rsidR="00AE32D3" w:rsidRDefault="00AE32D3" w:rsidP="00AE32D3">
      <w:pPr>
        <w:pStyle w:val="NormalWeb"/>
        <w:ind w:left="720"/>
      </w:pPr>
      <w:r>
        <w:t xml:space="preserve">“Appellant argues that the circuit court erred in excluding the testimony of Appellant's experts and in denying its request for a </w:t>
      </w:r>
      <w:r>
        <w:rPr>
          <w:rStyle w:val="Emphasis"/>
        </w:rPr>
        <w:t>Daubert</w:t>
      </w:r>
      <w:r>
        <w:rPr>
          <w:vertAlign w:val="superscript"/>
        </w:rPr>
        <w:t xml:space="preserve"> </w:t>
      </w:r>
      <w:r>
        <w:t xml:space="preserve">hearing. After careful review, we conclude that the testimony was improperly excluded. Accordingly, we reverse and </w:t>
      </w:r>
      <w:proofErr w:type="gramStart"/>
      <w:r>
        <w:t>remand</w:t>
      </w:r>
      <w:proofErr w:type="gramEnd"/>
      <w:r>
        <w:t xml:space="preserve"> the judgment on appeal. </w:t>
      </w:r>
    </w:p>
    <w:p w14:paraId="54C00179" w14:textId="77777777" w:rsidR="00AE32D3" w:rsidRDefault="00AE32D3" w:rsidP="00AE32D3">
      <w:pPr>
        <w:pStyle w:val="NormalWeb"/>
        <w:ind w:left="720"/>
      </w:pPr>
      <w:r>
        <w:t>***</w:t>
      </w:r>
    </w:p>
    <w:p w14:paraId="65056469" w14:textId="77777777" w:rsidR="00AE32D3" w:rsidRDefault="00AE32D3" w:rsidP="00AE32D3">
      <w:pPr>
        <w:pStyle w:val="NormalWeb"/>
        <w:ind w:left="720"/>
      </w:pPr>
      <w:r>
        <w:t xml:space="preserve">Appellee asserts, and the circuit court so found, that the framework for evaluating the reliability of the scientific principles of fire investigation found  in NFPA 921 is controlling in the matter before us. Appellee, however, has not cited any case law or statutory law from this jurisdiction so holding. Rather, Appellee has relied on unpublished federal case law and other extra-jurisdictional case law, wherein courts looked to NFPA 921 for guidance in fire investigations. While the guidelines of the National Fire Protection Association provide insight into fire investigation, and though extra-jurisdictional case law can be informative, our research has not revealed any Kentucky case which applied NFPA standards to fire investigation or holds that NFPA standards are controlling. </w:t>
      </w:r>
    </w:p>
    <w:p w14:paraId="1AE9F620" w14:textId="77777777" w:rsidR="00AE32D3" w:rsidRDefault="00AE32D3" w:rsidP="00AE32D3">
      <w:pPr>
        <w:pStyle w:val="NormalWeb"/>
        <w:ind w:left="720"/>
      </w:pPr>
      <w:r>
        <w:t>***</w:t>
      </w:r>
    </w:p>
    <w:p w14:paraId="1C93E545" w14:textId="77777777" w:rsidR="00AE32D3" w:rsidRDefault="00AE32D3" w:rsidP="00AE32D3">
      <w:pPr>
        <w:pStyle w:val="NormalWeb"/>
        <w:ind w:left="720"/>
      </w:pPr>
      <w:r>
        <w:t xml:space="preserve">Burns and Hollis found, and Appellee so acknowledges, that the fire started on the east wall of the kitchen. They excluded the possibility of other ignition sources based on physical examination and interviews with the </w:t>
      </w:r>
      <w:proofErr w:type="spellStart"/>
      <w:r>
        <w:t>Colletts</w:t>
      </w:r>
      <w:proofErr w:type="spellEnd"/>
      <w:r>
        <w:t xml:space="preserve">. Additionally, they found charred cloth material on the bottom of the </w:t>
      </w:r>
      <w:proofErr w:type="gramStart"/>
      <w:r>
        <w:t>oven, and</w:t>
      </w:r>
      <w:proofErr w:type="gramEnd"/>
      <w:r>
        <w:t xml:space="preserve"> noted that combustible kitchen towels and other items were stored in the drawer directly under the oven. And finally, they found no evidence of </w:t>
      </w:r>
      <w:proofErr w:type="gramStart"/>
      <w:r>
        <w:t>a full</w:t>
      </w:r>
      <w:proofErr w:type="gramEnd"/>
      <w:r>
        <w:t xml:space="preserve"> enclosure under the oven, though they acknowledged that it could have been destroyed by the fire. In sum, we conclude that their opinions rise to the level of deductive reasoning or thought </w:t>
      </w:r>
      <w:proofErr w:type="gramStart"/>
      <w:r>
        <w:t>experiments, and</w:t>
      </w:r>
      <w:proofErr w:type="gramEnd"/>
      <w:r>
        <w:t xml:space="preserve"> are more than mere baseless </w:t>
      </w:r>
      <w:proofErr w:type="gramStart"/>
      <w:r>
        <w:t>speculation.”</w:t>
      </w:r>
      <w:proofErr w:type="gramEnd"/>
      <w:r>
        <w:t xml:space="preserve"> </w:t>
      </w:r>
      <w:hyperlink r:id="rId211" w:history="1">
        <w:r w:rsidRPr="00185BEB">
          <w:rPr>
            <w:rStyle w:val="Hyperlink"/>
            <w:rFonts w:eastAsiaTheme="majorEastAsia"/>
          </w:rPr>
          <w:t>https://law.justia.com/cases/kentucky/court-of-appeals/2022/2022-ca-0258-mr.html</w:t>
        </w:r>
      </w:hyperlink>
      <w:r>
        <w:t xml:space="preserve"> </w:t>
      </w:r>
    </w:p>
    <w:p w14:paraId="7278C4F3" w14:textId="77777777" w:rsidR="00AE32D3" w:rsidRPr="002B389C" w:rsidRDefault="00AE32D3" w:rsidP="00AE32D3">
      <w:pPr>
        <w:pStyle w:val="NormalWeb"/>
        <w:rPr>
          <w:b/>
          <w:bCs/>
        </w:rPr>
      </w:pPr>
      <w:r w:rsidRPr="002B389C">
        <w:rPr>
          <w:b/>
          <w:bCs/>
        </w:rPr>
        <w:t xml:space="preserve">Legal Lesson Learned: Expert witnesses </w:t>
      </w:r>
      <w:r>
        <w:rPr>
          <w:b/>
          <w:bCs/>
        </w:rPr>
        <w:t xml:space="preserve">met </w:t>
      </w:r>
      <w:r w:rsidRPr="002B389C">
        <w:rPr>
          <w:b/>
          <w:bCs/>
        </w:rPr>
        <w:t xml:space="preserve">the standards in </w:t>
      </w:r>
      <w:r w:rsidRPr="002B389C">
        <w:rPr>
          <w:rStyle w:val="Emphasis"/>
          <w:b/>
          <w:bCs/>
        </w:rPr>
        <w:t>Daubert v. Merrell Dow Pharmaceuticals Inc</w:t>
      </w:r>
      <w:r w:rsidRPr="002B389C">
        <w:rPr>
          <w:b/>
          <w:bCs/>
        </w:rPr>
        <w:t>, 509 U.S. 579 (1993)</w:t>
      </w:r>
      <w:r>
        <w:rPr>
          <w:b/>
          <w:bCs/>
        </w:rPr>
        <w:t xml:space="preserve"> – their testimony was both relevant and reliable.</w:t>
      </w:r>
    </w:p>
    <w:p w14:paraId="518B81DA" w14:textId="77777777" w:rsidR="00AE32D3" w:rsidRDefault="00AE32D3" w:rsidP="00F326E5">
      <w:pPr>
        <w:pStyle w:val="NoSpacing"/>
        <w:rPr>
          <w:rFonts w:ascii="Arial Black" w:hAnsi="Arial Black"/>
          <w:sz w:val="24"/>
          <w:szCs w:val="24"/>
        </w:rPr>
      </w:pPr>
    </w:p>
    <w:p w14:paraId="010C3A15" w14:textId="77777777" w:rsidR="00AE32D3" w:rsidRDefault="00AE32D3" w:rsidP="00F326E5">
      <w:pPr>
        <w:pStyle w:val="NoSpacing"/>
        <w:rPr>
          <w:rFonts w:ascii="Arial Black" w:hAnsi="Arial Black"/>
          <w:sz w:val="24"/>
          <w:szCs w:val="24"/>
        </w:rPr>
      </w:pPr>
    </w:p>
    <w:p w14:paraId="69463E8C" w14:textId="77777777" w:rsidR="00AE32D3" w:rsidRDefault="00AE32D3" w:rsidP="00F326E5">
      <w:pPr>
        <w:pStyle w:val="NoSpacing"/>
        <w:rPr>
          <w:rFonts w:ascii="Arial Black" w:hAnsi="Arial Black"/>
          <w:sz w:val="24"/>
          <w:szCs w:val="24"/>
        </w:rPr>
      </w:pPr>
    </w:p>
    <w:p w14:paraId="479EB419" w14:textId="77777777" w:rsidR="00AE32D3" w:rsidRDefault="00AE32D3" w:rsidP="00F326E5">
      <w:pPr>
        <w:pStyle w:val="NoSpacing"/>
        <w:rPr>
          <w:rFonts w:ascii="Arial Black" w:hAnsi="Arial Black"/>
          <w:sz w:val="24"/>
          <w:szCs w:val="24"/>
        </w:rPr>
      </w:pPr>
    </w:p>
    <w:p w14:paraId="7A93D52D" w14:textId="3DF03813" w:rsidR="00AE32D3" w:rsidRDefault="00AE32D3" w:rsidP="00F326E5">
      <w:pPr>
        <w:pStyle w:val="NoSpacing"/>
        <w:rPr>
          <w:rFonts w:ascii="Arial Black" w:hAnsi="Arial Black"/>
          <w:sz w:val="24"/>
          <w:szCs w:val="24"/>
        </w:rPr>
      </w:pPr>
      <w:r>
        <w:rPr>
          <w:rFonts w:ascii="Arial Black" w:hAnsi="Arial Black"/>
          <w:sz w:val="24"/>
          <w:szCs w:val="24"/>
        </w:rPr>
        <w:t>1-109</w:t>
      </w:r>
    </w:p>
    <w:p w14:paraId="43A4081E" w14:textId="06D8513A" w:rsidR="00AE32D3" w:rsidRDefault="00AE32D3" w:rsidP="00F326E5">
      <w:pPr>
        <w:pStyle w:val="NoSpacing"/>
        <w:rPr>
          <w:rFonts w:ascii="Arial Black" w:hAnsi="Arial Black"/>
          <w:sz w:val="24"/>
          <w:szCs w:val="24"/>
        </w:rPr>
      </w:pPr>
    </w:p>
    <w:p w14:paraId="33B0C7E2" w14:textId="1FF0EA37" w:rsidR="00AE32D3" w:rsidRDefault="00AE32D3" w:rsidP="00F326E5">
      <w:pPr>
        <w:pStyle w:val="NoSpacing"/>
        <w:rPr>
          <w:rFonts w:ascii="Arial Black" w:hAnsi="Arial Black"/>
          <w:sz w:val="24"/>
          <w:szCs w:val="24"/>
        </w:rPr>
      </w:pPr>
    </w:p>
    <w:p w14:paraId="1946492E" w14:textId="77777777" w:rsidR="00AE32D3" w:rsidRDefault="00AE32D3" w:rsidP="00AE32D3">
      <w:pPr>
        <w:pStyle w:val="NormalWeb"/>
        <w:rPr>
          <w:rFonts w:ascii="Arial Black" w:hAnsi="Arial Black"/>
          <w:b/>
          <w:bCs/>
          <w:sz w:val="28"/>
          <w:szCs w:val="28"/>
        </w:rPr>
      </w:pPr>
      <w:r>
        <w:rPr>
          <w:rFonts w:ascii="Arial Black" w:hAnsi="Arial Black"/>
          <w:b/>
          <w:bCs/>
          <w:sz w:val="28"/>
          <w:szCs w:val="28"/>
        </w:rPr>
        <w:t>PA: SPONTANEOUS COMPUSTION – DECK STAIN, OILY RAGS ICONTAINER – SHERWIN-WILLIAMS LABEL WARNINGS</w:t>
      </w:r>
    </w:p>
    <w:p w14:paraId="38722F78" w14:textId="77777777" w:rsidR="00AE32D3" w:rsidRDefault="00AE32D3" w:rsidP="00AE32D3">
      <w:pPr>
        <w:pStyle w:val="NormalWeb"/>
      </w:pPr>
      <w:r w:rsidRPr="00DB1450">
        <w:t xml:space="preserve">On </w:t>
      </w:r>
      <w:r>
        <w:t xml:space="preserve">Nov. 10, 2022, in </w:t>
      </w:r>
      <w:r w:rsidRPr="00DB1450">
        <w:rPr>
          <w:u w:val="single"/>
        </w:rPr>
        <w:t>Scott Mains v. The Sherwin-Williams Company, d/b/a The Thompson’s Company</w:t>
      </w:r>
      <w:r>
        <w:t xml:space="preserve">, U.S. District Court Judge John M. Gallagher, U.S. District Court for Eastern District of Pennsylvania, granted the defendant’s motion for summary judgment; the label warned of the risk of spontaneous combustion.  Rags were left in metal painting cans, contrary to warnings on the label; the homeowner had never read the warnings. </w:t>
      </w:r>
    </w:p>
    <w:p w14:paraId="0F93EC8F" w14:textId="77777777" w:rsidR="00AE32D3" w:rsidRDefault="00AE32D3" w:rsidP="00AE32D3">
      <w:pPr>
        <w:pStyle w:val="NormalWeb"/>
        <w:ind w:left="600"/>
      </w:pPr>
      <w:r>
        <w:lastRenderedPageBreak/>
        <w:t>“Defendant asserts Plaintiffs insufficiently prove causation concerning the fire cause and origin, as well as the inadequate warnings claim because Mr. Main failed to consult any warnings on the can. The Court again finds Defendant's causation argument persuasive.</w:t>
      </w:r>
    </w:p>
    <w:p w14:paraId="38E6D4E2" w14:textId="77777777" w:rsidR="00AE32D3" w:rsidRDefault="00AE32D3" w:rsidP="00AE32D3">
      <w:pPr>
        <w:pStyle w:val="NormalWeb"/>
        <w:ind w:left="600"/>
      </w:pPr>
      <w:r>
        <w:t>***</w:t>
      </w:r>
    </w:p>
    <w:p w14:paraId="0A81BF04" w14:textId="77777777" w:rsidR="00AE32D3" w:rsidRDefault="00AE32D3" w:rsidP="00AE32D3">
      <w:pPr>
        <w:pStyle w:val="NormalWeb"/>
        <w:ind w:left="600"/>
      </w:pPr>
      <w:r>
        <w:t xml:space="preserve">The front panel also provides the following instruction: ‘Before using, carefully read CAUTIONS on back panel.’  The label's back panel provide instructions for the product's application and disposal…. Specifically addressing the possibility of spontaneous combustion, the label's back panel provides: </w:t>
      </w:r>
    </w:p>
    <w:p w14:paraId="2E89B8EC" w14:textId="77777777" w:rsidR="00AE32D3" w:rsidRPr="00A3199D" w:rsidRDefault="00AE32D3" w:rsidP="00AE32D3">
      <w:pPr>
        <w:ind w:left="1320"/>
        <w:rPr>
          <w:rFonts w:ascii="Times New Roman" w:hAnsi="Times New Roman"/>
          <w:sz w:val="24"/>
          <w:szCs w:val="24"/>
        </w:rPr>
      </w:pPr>
      <w:r w:rsidRPr="00A3199D">
        <w:rPr>
          <w:rStyle w:val="Strong"/>
          <w:rFonts w:ascii="Times New Roman" w:hAnsi="Times New Roman"/>
          <w:sz w:val="24"/>
          <w:szCs w:val="24"/>
        </w:rPr>
        <w:t>DANGER: Rags, steel wool, other waste soaked with this product, and I sanding residue may spontaneously catch fire if improperly discarded. Immediately place rags, steel wool, other waste soaked with this product and sanding residue in a sealed, watered, metal container. Dispose of in accordance with local fire regulations.</w:t>
      </w:r>
      <w:r w:rsidRPr="00A3199D">
        <w:rPr>
          <w:rFonts w:ascii="Times New Roman" w:hAnsi="Times New Roman"/>
          <w:sz w:val="24"/>
          <w:szCs w:val="24"/>
        </w:rPr>
        <w:t xml:space="preserve"> </w:t>
      </w:r>
    </w:p>
    <w:p w14:paraId="7487FF9C" w14:textId="77777777" w:rsidR="00AE32D3" w:rsidRDefault="00AE32D3" w:rsidP="00AE32D3">
      <w:pPr>
        <w:pStyle w:val="NormalWeb"/>
        <w:ind w:left="600"/>
      </w:pPr>
      <w:r>
        <w:t>***</w:t>
      </w:r>
    </w:p>
    <w:p w14:paraId="2066079F" w14:textId="77777777" w:rsidR="00AE32D3" w:rsidRDefault="00AE32D3" w:rsidP="00AE32D3">
      <w:pPr>
        <w:pStyle w:val="NormalWeb"/>
        <w:ind w:left="600"/>
      </w:pPr>
      <w:r>
        <w:t xml:space="preserve">Plaintiffs ask the Court to find a product is defective because it spontaneously combusted after use. But … Plaintiffs in the instant matter must provide evidence showing a defect in the wood stain's design or manufacture caused the fire at issue. And Plaintiffs have not put forward sufficient expert or circumstantial evidence to prove the product at issue caused the fire, let alone that a </w:t>
      </w:r>
      <w:r>
        <w:rPr>
          <w:rStyle w:val="Emphasis"/>
        </w:rPr>
        <w:t>defect</w:t>
      </w:r>
      <w:r>
        <w:t xml:space="preserve"> of the product at issue caused the fire. Plaintiffs minimal evidence concerning defect and causation is fatal where the alleged defect relies on the product lighting on fire.”  </w:t>
      </w:r>
      <w:hyperlink r:id="rId212" w:history="1">
        <w:r w:rsidRPr="00E92B9F">
          <w:rPr>
            <w:rStyle w:val="Hyperlink"/>
            <w:rFonts w:eastAsiaTheme="majorEastAsia"/>
          </w:rPr>
          <w:t>https://public.fastcase.com/J%2FJP6pdidelsXxEE4k%2BLMrejai%2Bw5%2BeDXQox0zGA5TAAjpgBNhW%2BTu8BKpGDyiMDLNszr4O4A0HJdAcQDg8WWefj18tLbckuVQCC3%2F5jGpg%3D?utm_medium=email&amp;_hsmi=226712652&amp;_hsenc=p2ANqtz-8ZmJA9o4nlUCIURyhETyHKM8lkOE8xo-FU4HGJipx6Boh4nCnx77GsOdK5dPH9YVtR5YzBPx6JahAT-_oeRPGcO0F8pg&amp;utm_content=226712652&amp;utm_source=hs_email</w:t>
        </w:r>
      </w:hyperlink>
      <w:r>
        <w:t xml:space="preserve"> </w:t>
      </w:r>
    </w:p>
    <w:p w14:paraId="02A2E056" w14:textId="77777777" w:rsidR="00AE32D3" w:rsidRPr="00A3199D" w:rsidRDefault="00AE32D3" w:rsidP="00AE32D3">
      <w:pPr>
        <w:pStyle w:val="NormalWeb"/>
        <w:rPr>
          <w:b/>
          <w:bCs/>
        </w:rPr>
      </w:pPr>
      <w:r w:rsidRPr="00A3199D">
        <w:rPr>
          <w:b/>
          <w:bCs/>
        </w:rPr>
        <w:t>Legal Lesson Learned:</w:t>
      </w:r>
      <w:r>
        <w:rPr>
          <w:b/>
          <w:bCs/>
        </w:rPr>
        <w:t xml:space="preserve"> Read and follow the warning label on products you purchase. </w:t>
      </w:r>
    </w:p>
    <w:p w14:paraId="785613E6" w14:textId="77777777" w:rsidR="00AE32D3" w:rsidRDefault="00AE32D3" w:rsidP="00F326E5">
      <w:pPr>
        <w:pStyle w:val="NoSpacing"/>
        <w:rPr>
          <w:rFonts w:ascii="Arial Black" w:hAnsi="Arial Black"/>
          <w:sz w:val="24"/>
          <w:szCs w:val="24"/>
        </w:rPr>
      </w:pPr>
    </w:p>
    <w:p w14:paraId="295FDDCE" w14:textId="77777777" w:rsidR="00AE32D3" w:rsidRDefault="00AE32D3" w:rsidP="00F326E5">
      <w:pPr>
        <w:pStyle w:val="NoSpacing"/>
        <w:rPr>
          <w:rFonts w:ascii="Arial Black" w:hAnsi="Arial Black"/>
          <w:sz w:val="24"/>
          <w:szCs w:val="24"/>
        </w:rPr>
      </w:pPr>
    </w:p>
    <w:p w14:paraId="187EECCC" w14:textId="77777777" w:rsidR="00AE32D3" w:rsidRDefault="00AE32D3" w:rsidP="00F326E5">
      <w:pPr>
        <w:pStyle w:val="NoSpacing"/>
        <w:rPr>
          <w:rFonts w:ascii="Arial Black" w:hAnsi="Arial Black"/>
          <w:sz w:val="24"/>
          <w:szCs w:val="24"/>
        </w:rPr>
      </w:pPr>
    </w:p>
    <w:p w14:paraId="359F16D8" w14:textId="5DCCE520" w:rsidR="00804F3A" w:rsidRDefault="00804F3A" w:rsidP="00F326E5">
      <w:pPr>
        <w:pStyle w:val="NoSpacing"/>
        <w:rPr>
          <w:rFonts w:ascii="Arial Black" w:hAnsi="Arial Black"/>
          <w:sz w:val="24"/>
          <w:szCs w:val="24"/>
        </w:rPr>
      </w:pPr>
      <w:r>
        <w:rPr>
          <w:rFonts w:ascii="Arial Black" w:hAnsi="Arial Black"/>
          <w:sz w:val="24"/>
          <w:szCs w:val="24"/>
        </w:rPr>
        <w:t>1-108</w:t>
      </w:r>
    </w:p>
    <w:p w14:paraId="02F741F9" w14:textId="62AA9FE2" w:rsidR="00804F3A" w:rsidRDefault="00804F3A" w:rsidP="00F326E5">
      <w:pPr>
        <w:pStyle w:val="NoSpacing"/>
        <w:rPr>
          <w:rFonts w:ascii="Arial Black" w:hAnsi="Arial Black"/>
          <w:sz w:val="24"/>
          <w:szCs w:val="24"/>
        </w:rPr>
      </w:pPr>
    </w:p>
    <w:p w14:paraId="7C14A80E" w14:textId="77777777" w:rsidR="00804F3A" w:rsidRPr="007B73F7" w:rsidRDefault="00804F3A" w:rsidP="00804F3A">
      <w:pPr>
        <w:pStyle w:val="NormalWeb"/>
        <w:rPr>
          <w:rFonts w:ascii="Arial Black" w:hAnsi="Arial Black"/>
          <w:sz w:val="28"/>
          <w:szCs w:val="28"/>
        </w:rPr>
      </w:pPr>
      <w:r>
        <w:rPr>
          <w:rFonts w:ascii="Arial Black" w:hAnsi="Arial Black"/>
          <w:sz w:val="28"/>
          <w:szCs w:val="28"/>
        </w:rPr>
        <w:t>MA: FIRE CHIEF SELECTION PROCESS CHANGED TO ASSESSMENT CENTER – NO NEED BARGAIN WITH UNION</w:t>
      </w:r>
    </w:p>
    <w:p w14:paraId="3F802DBA" w14:textId="77777777" w:rsidR="00804F3A" w:rsidRDefault="00804F3A" w:rsidP="00804F3A">
      <w:pPr>
        <w:pStyle w:val="NormalWeb"/>
      </w:pPr>
      <w:r w:rsidRPr="00D32866">
        <w:t xml:space="preserve">On Oct. 27, </w:t>
      </w:r>
      <w:proofErr w:type="gramStart"/>
      <w:r w:rsidRPr="00D32866">
        <w:t>2022</w:t>
      </w:r>
      <w:proofErr w:type="gramEnd"/>
      <w:r w:rsidRPr="00D32866">
        <w:t xml:space="preserve"> in </w:t>
      </w:r>
      <w:r w:rsidRPr="00D32866">
        <w:rPr>
          <w:u w:val="single"/>
        </w:rPr>
        <w:t>City of Everett v. Commonwealth Employment Relations Board</w:t>
      </w:r>
      <w:r w:rsidRPr="00D32866">
        <w:t xml:space="preserve">, </w:t>
      </w:r>
      <w:r>
        <w:t xml:space="preserve">the Appeals Court of Massachusetts held (3 to 0), unpublished opinion, that the State Board incorrectly ordered the city to collectively bargain the changes in hiring Fire Chief. In Jan. 2019, after one year of informal dialog with the union, the City proceeded with Assessment Center process; only the seven Deputy Fire Chiefs were eligible to apply. </w:t>
      </w:r>
    </w:p>
    <w:p w14:paraId="3367102A" w14:textId="77777777" w:rsidR="00804F3A" w:rsidRPr="007B73F7" w:rsidRDefault="00804F3A" w:rsidP="00804F3A">
      <w:pPr>
        <w:spacing w:before="100" w:beforeAutospacing="1" w:after="100" w:afterAutospacing="1" w:line="240" w:lineRule="auto"/>
        <w:ind w:left="720"/>
      </w:pPr>
      <w:r>
        <w:rPr>
          <w:rFonts w:ascii="Times New Roman" w:eastAsia="Times New Roman" w:hAnsi="Times New Roman"/>
          <w:sz w:val="24"/>
          <w:szCs w:val="24"/>
        </w:rPr>
        <w:t>“</w:t>
      </w:r>
      <w:r w:rsidRPr="007B73F7">
        <w:rPr>
          <w:rFonts w:ascii="Times New Roman" w:eastAsia="Times New Roman" w:hAnsi="Times New Roman"/>
          <w:sz w:val="24"/>
          <w:szCs w:val="24"/>
        </w:rPr>
        <w:t xml:space="preserve">Under those circumstances, it is incorrect to say that the processes for selecting the fire chief impact the </w:t>
      </w:r>
      <w:r>
        <w:rPr>
          <w:rFonts w:ascii="Times New Roman" w:eastAsia="Times New Roman" w:hAnsi="Times New Roman"/>
          <w:sz w:val="24"/>
          <w:szCs w:val="24"/>
        </w:rPr>
        <w:t>‘</w:t>
      </w:r>
      <w:r w:rsidRPr="007B73F7">
        <w:rPr>
          <w:rFonts w:ascii="Times New Roman" w:eastAsia="Times New Roman" w:hAnsi="Times New Roman"/>
          <w:sz w:val="24"/>
          <w:szCs w:val="24"/>
        </w:rPr>
        <w:t>terms and conditions of employment</w:t>
      </w:r>
      <w:r>
        <w:rPr>
          <w:rFonts w:ascii="Times New Roman" w:eastAsia="Times New Roman" w:hAnsi="Times New Roman"/>
          <w:sz w:val="24"/>
          <w:szCs w:val="24"/>
        </w:rPr>
        <w:t>’</w:t>
      </w:r>
      <w:r w:rsidRPr="007B73F7">
        <w:rPr>
          <w:rFonts w:ascii="Times New Roman" w:eastAsia="Times New Roman" w:hAnsi="Times New Roman"/>
          <w:sz w:val="24"/>
          <w:szCs w:val="24"/>
        </w:rPr>
        <w:t xml:space="preserve"> of the deputy fire chiefs. The selection processes for </w:t>
      </w:r>
      <w:proofErr w:type="gramStart"/>
      <w:r w:rsidRPr="007B73F7">
        <w:rPr>
          <w:rFonts w:ascii="Times New Roman" w:eastAsia="Times New Roman" w:hAnsi="Times New Roman"/>
          <w:sz w:val="24"/>
          <w:szCs w:val="24"/>
        </w:rPr>
        <w:t>chief</w:t>
      </w:r>
      <w:proofErr w:type="gramEnd"/>
      <w:r w:rsidRPr="007B73F7">
        <w:rPr>
          <w:rFonts w:ascii="Times New Roman" w:eastAsia="Times New Roman" w:hAnsi="Times New Roman"/>
          <w:sz w:val="24"/>
          <w:szCs w:val="24"/>
        </w:rPr>
        <w:t xml:space="preserve"> do not change, alter, or impose upon the current jobs of the deputy chiefs or other bargaining unit employees. </w:t>
      </w:r>
      <w:r w:rsidRPr="007B73F7">
        <w:rPr>
          <w:rFonts w:ascii="Times New Roman" w:eastAsia="Times New Roman" w:hAnsi="Times New Roman"/>
          <w:sz w:val="24"/>
          <w:szCs w:val="24"/>
        </w:rPr>
        <w:lastRenderedPageBreak/>
        <w:t xml:space="preserve">Rather, the selection process has to do with the deputies' efforts to </w:t>
      </w:r>
      <w:r w:rsidRPr="007B73F7">
        <w:rPr>
          <w:rFonts w:ascii="Times New Roman" w:eastAsia="Times New Roman" w:hAnsi="Times New Roman"/>
          <w:i/>
          <w:iCs/>
          <w:sz w:val="24"/>
          <w:szCs w:val="24"/>
        </w:rPr>
        <w:t>leave</w:t>
      </w:r>
      <w:r w:rsidRPr="007B73F7">
        <w:rPr>
          <w:rFonts w:ascii="Times New Roman" w:eastAsia="Times New Roman" w:hAnsi="Times New Roman"/>
          <w:sz w:val="24"/>
          <w:szCs w:val="24"/>
        </w:rPr>
        <w:t xml:space="preserve"> the bargaining unit and to become part of management, where they would occupy a supervisory </w:t>
      </w:r>
      <w:proofErr w:type="gramStart"/>
      <w:r w:rsidRPr="007B73F7">
        <w:rPr>
          <w:rFonts w:ascii="Times New Roman" w:eastAsia="Times New Roman" w:hAnsi="Times New Roman"/>
          <w:sz w:val="24"/>
          <w:szCs w:val="24"/>
        </w:rPr>
        <w:t>and in some ways</w:t>
      </w:r>
      <w:proofErr w:type="gramEnd"/>
      <w:r w:rsidRPr="007B73F7">
        <w:rPr>
          <w:rFonts w:ascii="Times New Roman" w:eastAsia="Times New Roman" w:hAnsi="Times New Roman"/>
          <w:sz w:val="24"/>
          <w:szCs w:val="24"/>
        </w:rPr>
        <w:t xml:space="preserve"> adverse position to the bargaining unit. As the chief officer, the city's fire chief, among his or her other duties, leads the department, acts under the direction of the mayor, works with employee organizations, responds to employee grievances, assists city officials in the collective bargaining process, and is a member of the city's management team. Cf. </w:t>
      </w:r>
      <w:r w:rsidRPr="007B73F7">
        <w:rPr>
          <w:rFonts w:ascii="Times New Roman" w:eastAsia="Times New Roman" w:hAnsi="Times New Roman"/>
          <w:i/>
          <w:iCs/>
          <w:sz w:val="24"/>
          <w:szCs w:val="24"/>
        </w:rPr>
        <w:t>Harrison v. Labor Relations Comm'n</w:t>
      </w:r>
      <w:r w:rsidRPr="007B73F7">
        <w:rPr>
          <w:rFonts w:ascii="Times New Roman" w:eastAsia="Times New Roman" w:hAnsi="Times New Roman"/>
          <w:sz w:val="24"/>
          <w:szCs w:val="24"/>
        </w:rPr>
        <w:t xml:space="preserve">, 363 Mass. 548, 553 (1973) (fire chiefs participate in development of department policy and implement it on behalf of management). The board's suggestion that bargaining is required because the fire chief position is part of the </w:t>
      </w:r>
      <w:r>
        <w:rPr>
          <w:rFonts w:ascii="Times New Roman" w:eastAsia="Times New Roman" w:hAnsi="Times New Roman"/>
          <w:sz w:val="24"/>
          <w:szCs w:val="24"/>
        </w:rPr>
        <w:t>‘</w:t>
      </w:r>
      <w:r w:rsidRPr="007B73F7">
        <w:rPr>
          <w:rFonts w:ascii="Times New Roman" w:eastAsia="Times New Roman" w:hAnsi="Times New Roman"/>
          <w:sz w:val="24"/>
          <w:szCs w:val="24"/>
        </w:rPr>
        <w:t>promotional ladder</w:t>
      </w:r>
      <w:r>
        <w:rPr>
          <w:rFonts w:ascii="Times New Roman" w:eastAsia="Times New Roman" w:hAnsi="Times New Roman"/>
          <w:sz w:val="24"/>
          <w:szCs w:val="24"/>
        </w:rPr>
        <w:t>’</w:t>
      </w:r>
      <w:r w:rsidRPr="007B73F7">
        <w:rPr>
          <w:rFonts w:ascii="Times New Roman" w:eastAsia="Times New Roman" w:hAnsi="Times New Roman"/>
          <w:sz w:val="24"/>
          <w:szCs w:val="24"/>
        </w:rPr>
        <w:t xml:space="preserve"> for deputy chiefs is accordingly inapt. The promotion the deputies seek here would have them cross over to a fundamentally different job.</w:t>
      </w:r>
      <w:r>
        <w:rPr>
          <w:rFonts w:ascii="Times New Roman" w:eastAsia="Times New Roman" w:hAnsi="Times New Roman"/>
          <w:sz w:val="24"/>
          <w:szCs w:val="24"/>
        </w:rPr>
        <w:t xml:space="preserve">” </w:t>
      </w:r>
      <w:hyperlink r:id="rId213" w:history="1">
        <w:r w:rsidRPr="00671E3F">
          <w:rPr>
            <w:rStyle w:val="Hyperlink"/>
          </w:rPr>
          <w:t>https://public.fastcase.com/J%2FJP6pdidelsXxEE4k%2BLMkioZ6zkCvVA2f7m8MUdZzFChRnZ9pflbw23TgjkZYaZMPShomsfddWFkLQb1Ctqwom4ggqunMxdJpiD327M8Vc%3D?utm_medium=email&amp;_hsmi=226712652&amp;_hsenc=p2ANqtz-90P1mb2f8SYEeO6UfPTx4asdEjFOhLhRS07BbmdC1-wrC8kVAiG6jT85m4y6VmZBAFGCFSBZmuZ2NfaZLtEQDLtFBeQ&amp;utm_content=226712652&amp;utm_source=hs_email</w:t>
        </w:r>
      </w:hyperlink>
      <w:r>
        <w:t xml:space="preserve"> </w:t>
      </w:r>
    </w:p>
    <w:p w14:paraId="1F0CB0C6" w14:textId="77777777" w:rsidR="00804F3A" w:rsidRPr="00D32866" w:rsidRDefault="00804F3A" w:rsidP="00804F3A">
      <w:pPr>
        <w:pStyle w:val="NormalWeb"/>
        <w:rPr>
          <w:b/>
          <w:bCs/>
        </w:rPr>
      </w:pPr>
      <w:r w:rsidRPr="00D32866">
        <w:rPr>
          <w:b/>
          <w:bCs/>
        </w:rPr>
        <w:t xml:space="preserve">Legal Lesson Learned: </w:t>
      </w:r>
      <w:r>
        <w:rPr>
          <w:b/>
          <w:bCs/>
        </w:rPr>
        <w:t xml:space="preserve">A change in the hiring process for Fire Chief did not impact terms and conditions of employment of union members. </w:t>
      </w:r>
    </w:p>
    <w:p w14:paraId="46C4844F" w14:textId="77777777" w:rsidR="00804F3A" w:rsidRDefault="00804F3A" w:rsidP="00F326E5">
      <w:pPr>
        <w:pStyle w:val="NoSpacing"/>
        <w:rPr>
          <w:rFonts w:ascii="Arial Black" w:hAnsi="Arial Black"/>
          <w:sz w:val="24"/>
          <w:szCs w:val="24"/>
        </w:rPr>
      </w:pPr>
    </w:p>
    <w:p w14:paraId="277DCC10" w14:textId="77777777" w:rsidR="00804F3A" w:rsidRDefault="00804F3A" w:rsidP="00F326E5">
      <w:pPr>
        <w:pStyle w:val="NoSpacing"/>
        <w:rPr>
          <w:rFonts w:ascii="Arial Black" w:hAnsi="Arial Black"/>
          <w:sz w:val="24"/>
          <w:szCs w:val="24"/>
        </w:rPr>
      </w:pPr>
    </w:p>
    <w:p w14:paraId="46C73A39" w14:textId="77777777" w:rsidR="00804F3A" w:rsidRDefault="00804F3A" w:rsidP="00F326E5">
      <w:pPr>
        <w:pStyle w:val="NoSpacing"/>
        <w:rPr>
          <w:rFonts w:ascii="Arial Black" w:hAnsi="Arial Black"/>
          <w:sz w:val="24"/>
          <w:szCs w:val="24"/>
        </w:rPr>
      </w:pPr>
    </w:p>
    <w:p w14:paraId="453EA59D" w14:textId="200A50B7" w:rsidR="00E8117B" w:rsidRDefault="00E8117B" w:rsidP="00F326E5">
      <w:pPr>
        <w:pStyle w:val="NoSpacing"/>
        <w:rPr>
          <w:rFonts w:ascii="Arial Black" w:hAnsi="Arial Black"/>
          <w:sz w:val="24"/>
          <w:szCs w:val="24"/>
        </w:rPr>
      </w:pPr>
      <w:r>
        <w:rPr>
          <w:rFonts w:ascii="Arial Black" w:hAnsi="Arial Black"/>
          <w:sz w:val="24"/>
          <w:szCs w:val="24"/>
        </w:rPr>
        <w:t>1-107</w:t>
      </w:r>
    </w:p>
    <w:p w14:paraId="5863698D" w14:textId="78D519FD" w:rsidR="00E8117B" w:rsidRDefault="00E8117B" w:rsidP="00F326E5">
      <w:pPr>
        <w:pStyle w:val="NoSpacing"/>
        <w:rPr>
          <w:rFonts w:ascii="Arial Black" w:hAnsi="Arial Black"/>
          <w:sz w:val="24"/>
          <w:szCs w:val="24"/>
        </w:rPr>
      </w:pPr>
    </w:p>
    <w:p w14:paraId="657F085E" w14:textId="77777777" w:rsidR="00E8117B" w:rsidRDefault="00E8117B" w:rsidP="00E8117B">
      <w:pPr>
        <w:pStyle w:val="NormalWeb"/>
        <w:rPr>
          <w:rFonts w:ascii="Arial Black" w:hAnsi="Arial Black"/>
          <w:b/>
          <w:bCs/>
          <w:sz w:val="28"/>
          <w:szCs w:val="28"/>
        </w:rPr>
      </w:pPr>
      <w:r>
        <w:rPr>
          <w:rFonts w:ascii="Arial Black" w:hAnsi="Arial Black"/>
          <w:b/>
          <w:bCs/>
          <w:sz w:val="28"/>
          <w:szCs w:val="28"/>
        </w:rPr>
        <w:t xml:space="preserve">MI: DRONE VIDEO OF JUNK YARD – NO ADMINISTRATIVE SEARCH WARRANT – MOTION TO SUPPRESS DENIED </w:t>
      </w:r>
    </w:p>
    <w:p w14:paraId="5570DB5C" w14:textId="77777777" w:rsidR="00E8117B" w:rsidRDefault="00E8117B" w:rsidP="00E8117B">
      <w:pPr>
        <w:pStyle w:val="NormalWeb"/>
      </w:pPr>
      <w:r>
        <w:t xml:space="preserve">On Sept. 15, 2022, in </w:t>
      </w:r>
      <w:r>
        <w:rPr>
          <w:u w:val="single"/>
        </w:rPr>
        <w:t>Long Lake Township v. Todd Maxon and Heather Maxon</w:t>
      </w:r>
      <w:r>
        <w:t xml:space="preserve">, the Court of Appeals of Michigan held (2 to1) that trial court judge properly denied the property owner’s motion to suppress aerial photographs taken by Long Lake Township using a drone without the </w:t>
      </w:r>
      <w:proofErr w:type="spellStart"/>
      <w:r>
        <w:t>Maxons</w:t>
      </w:r>
      <w:proofErr w:type="spellEnd"/>
      <w:r>
        <w:t xml:space="preserve">' permission, a warrant, or any other legal authorization.  </w:t>
      </w:r>
    </w:p>
    <w:p w14:paraId="659C30C3" w14:textId="77777777" w:rsidR="00E8117B" w:rsidRDefault="00E8117B" w:rsidP="00E8117B">
      <w:pPr>
        <w:pStyle w:val="NormalWeb"/>
        <w:ind w:left="720"/>
      </w:pPr>
      <w:r>
        <w:t xml:space="preserve">“The township relied on these photos to support a civil action against the </w:t>
      </w:r>
      <w:proofErr w:type="spellStart"/>
      <w:r>
        <w:t>Maxons</w:t>
      </w:r>
      <w:proofErr w:type="spellEnd"/>
      <w:r>
        <w:t xml:space="preserve"> for violating a zoning ordinance, creating a nuisance, and breaching a previous settlement agreement…. The exclusionary rule does not apply in this civil matter. Accordingly, even if the township violated the </w:t>
      </w:r>
      <w:proofErr w:type="spellStart"/>
      <w:r>
        <w:t>Maxons</w:t>
      </w:r>
      <w:proofErr w:type="spellEnd"/>
      <w:r>
        <w:t xml:space="preserve">' constitutional rights, suppression was not supported. We affirm the lower court's order.” </w:t>
      </w:r>
      <w:hyperlink r:id="rId214" w:history="1">
        <w:r>
          <w:rPr>
            <w:rStyle w:val="Hyperlink"/>
          </w:rPr>
          <w:t>https://caselaw.findlaw.com/mi-court-of-appeals/1912425.html</w:t>
        </w:r>
      </w:hyperlink>
      <w:r>
        <w:t xml:space="preserve"> </w:t>
      </w:r>
    </w:p>
    <w:p w14:paraId="406921BF" w14:textId="77777777" w:rsidR="00E8117B" w:rsidRDefault="00E8117B" w:rsidP="00E8117B">
      <w:pPr>
        <w:spacing w:before="100" w:beforeAutospacing="1" w:after="100" w:afterAutospacing="1" w:line="240" w:lineRule="auto"/>
        <w:rPr>
          <w:rFonts w:ascii="Times New Roman" w:eastAsia="Times New Roman" w:hAnsi="Times New Roman"/>
          <w:b/>
          <w:bCs/>
          <w:sz w:val="24"/>
          <w:szCs w:val="24"/>
        </w:rPr>
      </w:pPr>
      <w:r>
        <w:rPr>
          <w:rFonts w:ascii="Times New Roman" w:eastAsia="Times New Roman" w:hAnsi="Times New Roman"/>
          <w:b/>
          <w:bCs/>
          <w:sz w:val="24"/>
          <w:szCs w:val="24"/>
        </w:rPr>
        <w:t xml:space="preserve">Legal Lesson Learned: The use of drones to enforce nuisance ordinance is a hot topic. Avoid unnecessary litigation, get an administrative search warrant prior to flying drone over the nuisance property. </w:t>
      </w:r>
    </w:p>
    <w:p w14:paraId="225301F6" w14:textId="77777777" w:rsidR="00E8117B" w:rsidRDefault="00E8117B" w:rsidP="00F326E5">
      <w:pPr>
        <w:pStyle w:val="NoSpacing"/>
        <w:rPr>
          <w:rFonts w:ascii="Arial Black" w:hAnsi="Arial Black"/>
          <w:sz w:val="24"/>
          <w:szCs w:val="24"/>
        </w:rPr>
      </w:pPr>
    </w:p>
    <w:p w14:paraId="14D14521" w14:textId="77777777" w:rsidR="00E8117B" w:rsidRDefault="00E8117B" w:rsidP="00F326E5">
      <w:pPr>
        <w:pStyle w:val="NoSpacing"/>
        <w:rPr>
          <w:rFonts w:ascii="Arial Black" w:hAnsi="Arial Black"/>
          <w:sz w:val="24"/>
          <w:szCs w:val="24"/>
        </w:rPr>
      </w:pPr>
    </w:p>
    <w:p w14:paraId="3303EF4E" w14:textId="0F6445AA" w:rsidR="00D5141D" w:rsidRDefault="00D5141D" w:rsidP="00F326E5">
      <w:pPr>
        <w:pStyle w:val="NoSpacing"/>
        <w:rPr>
          <w:rFonts w:ascii="Arial Black" w:hAnsi="Arial Black"/>
          <w:sz w:val="24"/>
          <w:szCs w:val="24"/>
        </w:rPr>
      </w:pPr>
      <w:r>
        <w:rPr>
          <w:rFonts w:ascii="Arial Black" w:hAnsi="Arial Black"/>
          <w:sz w:val="24"/>
          <w:szCs w:val="24"/>
        </w:rPr>
        <w:t>1-106</w:t>
      </w:r>
    </w:p>
    <w:p w14:paraId="0CC5C889" w14:textId="1AAAF53B" w:rsidR="00D5141D" w:rsidRDefault="00D5141D" w:rsidP="00F326E5">
      <w:pPr>
        <w:pStyle w:val="NoSpacing"/>
        <w:rPr>
          <w:rFonts w:ascii="Arial Black" w:hAnsi="Arial Black"/>
          <w:sz w:val="24"/>
          <w:szCs w:val="24"/>
        </w:rPr>
      </w:pPr>
    </w:p>
    <w:p w14:paraId="18CAC21A" w14:textId="77777777" w:rsidR="00D5141D" w:rsidRPr="002441FA" w:rsidRDefault="00D5141D" w:rsidP="00D5141D">
      <w:pPr>
        <w:pStyle w:val="NormalWeb"/>
        <w:rPr>
          <w:rStyle w:val="markedcontent"/>
          <w:rFonts w:ascii="Arial Black" w:hAnsi="Arial Black"/>
          <w:sz w:val="28"/>
          <w:szCs w:val="28"/>
        </w:rPr>
      </w:pPr>
      <w:r>
        <w:rPr>
          <w:rStyle w:val="markedcontent"/>
          <w:rFonts w:ascii="Arial Black" w:hAnsi="Arial Black"/>
          <w:sz w:val="28"/>
          <w:szCs w:val="28"/>
        </w:rPr>
        <w:lastRenderedPageBreak/>
        <w:t xml:space="preserve">OH: STOPPED TRAINS BLOCKING AMBULANCES – HONDA PLANT MARYSVILLE – CAN’T ENFORCE, FED. STATUTE  </w:t>
      </w:r>
    </w:p>
    <w:p w14:paraId="3585147F" w14:textId="7BF32E82" w:rsidR="00D5141D" w:rsidRDefault="00D5141D" w:rsidP="00D5141D">
      <w:pPr>
        <w:pStyle w:val="NormalWeb"/>
        <w:rPr>
          <w:rStyle w:val="markedcontent"/>
        </w:rPr>
      </w:pPr>
      <w:r>
        <w:rPr>
          <w:rStyle w:val="markedcontent"/>
        </w:rPr>
        <w:t xml:space="preserve">On Aug. 17, 2022, in </w:t>
      </w:r>
      <w:r w:rsidRPr="003748FC">
        <w:rPr>
          <w:rStyle w:val="markedcontent"/>
          <w:u w:val="single"/>
        </w:rPr>
        <w:t>The State of Ohio v. CSX Transportation, Inc</w:t>
      </w:r>
      <w:r>
        <w:rPr>
          <w:rStyle w:val="markedcontent"/>
        </w:rPr>
        <w:t xml:space="preserve">., </w:t>
      </w:r>
      <w:r w:rsidRPr="005A3C5F">
        <w:rPr>
          <w:rStyle w:val="markedcontent"/>
        </w:rPr>
        <w:t>Slip Opinion No. 2022-Ohio-2832</w:t>
      </w:r>
      <w:r>
        <w:rPr>
          <w:rStyle w:val="markedcontent"/>
        </w:rPr>
        <w:t xml:space="preserve">, the Ohio Supreme Court held (5 to 2) that federal law prohibits enforcement of state statute imposing $1,000 fine.  </w:t>
      </w:r>
      <w:r w:rsidRPr="007242C6">
        <w:rPr>
          <w:rStyle w:val="markedcontent"/>
        </w:rPr>
        <w:t xml:space="preserve">In 2018, the state charged CSX </w:t>
      </w:r>
      <w:r>
        <w:rPr>
          <w:rStyle w:val="markedcontent"/>
        </w:rPr>
        <w:t xml:space="preserve">on five occasions </w:t>
      </w:r>
      <w:r w:rsidRPr="007242C6">
        <w:rPr>
          <w:rStyle w:val="markedcontent"/>
        </w:rPr>
        <w:t xml:space="preserve">with violating </w:t>
      </w:r>
      <w:r>
        <w:rPr>
          <w:rStyle w:val="markedcontent"/>
        </w:rPr>
        <w:t xml:space="preserve">Ohio </w:t>
      </w:r>
      <w:r w:rsidRPr="007242C6">
        <w:rPr>
          <w:rStyle w:val="markedcontent"/>
        </w:rPr>
        <w:t>R.C. 5589.21</w:t>
      </w:r>
      <w:r>
        <w:rPr>
          <w:rStyle w:val="markedcontent"/>
        </w:rPr>
        <w:t xml:space="preserve"> [maximum of five minutes blocking] for blocking roadways for 45 minutes to one hour near the Honda plant, but the trial court judge in Marysville Municipal Court dismissed the charges. The Court of Appeals reversed, and CSX appealed to Ohio Supreme Court which agreed with trial court. “</w:t>
      </w:r>
      <w:r w:rsidRPr="007242C6">
        <w:rPr>
          <w:rStyle w:val="markedcontent"/>
        </w:rPr>
        <w:t>We acknowledge the significant danger to the public that is created</w:t>
      </w:r>
      <w:r>
        <w:rPr>
          <w:rStyle w:val="markedcontent"/>
        </w:rPr>
        <w:t xml:space="preserve"> </w:t>
      </w:r>
      <w:r w:rsidRPr="007242C6">
        <w:rPr>
          <w:rStyle w:val="markedcontent"/>
        </w:rPr>
        <w:t>when stopped trains obstruct the movement of first responders across railroad</w:t>
      </w:r>
      <w:r>
        <w:rPr>
          <w:rStyle w:val="markedcontent"/>
        </w:rPr>
        <w:t xml:space="preserve"> </w:t>
      </w:r>
      <w:r w:rsidRPr="007242C6">
        <w:rPr>
          <w:rStyle w:val="markedcontent"/>
        </w:rPr>
        <w:t>tracks. However, the regulation of railroad transportation is a matter of federal law,</w:t>
      </w:r>
      <w:r>
        <w:rPr>
          <w:rStyle w:val="markedcontent"/>
        </w:rPr>
        <w:t xml:space="preserve"> </w:t>
      </w:r>
      <w:r w:rsidRPr="007242C6">
        <w:rPr>
          <w:rStyle w:val="markedcontent"/>
        </w:rPr>
        <w:t>and the federal government alone has the power to address the threat to public</w:t>
      </w:r>
      <w:r>
        <w:rPr>
          <w:rStyle w:val="markedcontent"/>
        </w:rPr>
        <w:t xml:space="preserve"> </w:t>
      </w:r>
      <w:r w:rsidRPr="007242C6">
        <w:rPr>
          <w:rStyle w:val="markedcontent"/>
        </w:rPr>
        <w:t>safety caused by blocked crossings. Because R.C. 5589.21 is preempted, it cannot</w:t>
      </w:r>
      <w:r>
        <w:rPr>
          <w:rStyle w:val="markedcontent"/>
        </w:rPr>
        <w:t xml:space="preserve"> </w:t>
      </w:r>
      <w:r w:rsidRPr="007242C6">
        <w:rPr>
          <w:rStyle w:val="markedcontent"/>
        </w:rPr>
        <w:t>be enforced against CSX. The trial court correctly dismissed the charges in this</w:t>
      </w:r>
      <w:r>
        <w:rPr>
          <w:rStyle w:val="markedcontent"/>
        </w:rPr>
        <w:t xml:space="preserve"> </w:t>
      </w:r>
      <w:r w:rsidRPr="007242C6">
        <w:rPr>
          <w:rStyle w:val="markedcontent"/>
        </w:rPr>
        <w:t>case.</w:t>
      </w:r>
      <w:r>
        <w:rPr>
          <w:rStyle w:val="markedcontent"/>
        </w:rPr>
        <w:t xml:space="preserve">” </w:t>
      </w:r>
      <w:hyperlink r:id="rId215" w:history="1">
        <w:r w:rsidRPr="00D270FB">
          <w:rPr>
            <w:rStyle w:val="Hyperlink"/>
            <w:rFonts w:eastAsiaTheme="majorEastAsia"/>
          </w:rPr>
          <w:t>https://www.supremecourt.ohio.gov/rod/docs/pdf/0/2022/2022-Ohio-2832.pdf</w:t>
        </w:r>
      </w:hyperlink>
      <w:r>
        <w:rPr>
          <w:rStyle w:val="markedcontent"/>
        </w:rPr>
        <w:t xml:space="preserve"> </w:t>
      </w:r>
    </w:p>
    <w:p w14:paraId="2DB8423F" w14:textId="77777777" w:rsidR="00D5141D" w:rsidRPr="00A516F8" w:rsidRDefault="00D5141D" w:rsidP="00D5141D">
      <w:pPr>
        <w:pStyle w:val="NormalWeb"/>
        <w:rPr>
          <w:b/>
          <w:bCs/>
        </w:rPr>
      </w:pPr>
      <w:r w:rsidRPr="00A516F8">
        <w:rPr>
          <w:b/>
          <w:bCs/>
        </w:rPr>
        <w:t xml:space="preserve">Legal Lesson Learned: </w:t>
      </w:r>
      <w:r>
        <w:rPr>
          <w:b/>
          <w:bCs/>
        </w:rPr>
        <w:t xml:space="preserve">This case illustrates the power of railroad lobbyists to influence Congress in passing a statute that preempts state laws. </w:t>
      </w:r>
    </w:p>
    <w:p w14:paraId="10D23C43" w14:textId="77777777" w:rsidR="00D5141D" w:rsidRPr="006A5641" w:rsidRDefault="00D5141D" w:rsidP="00D5141D">
      <w:pPr>
        <w:pStyle w:val="NormalWeb"/>
        <w:ind w:left="720"/>
      </w:pPr>
      <w:r>
        <w:t xml:space="preserve">Note:  See article - </w:t>
      </w:r>
      <w:r w:rsidRPr="006A5641">
        <w:t xml:space="preserve">Aug. 17, 2022: OH - No More Punishment </w:t>
      </w:r>
      <w:proofErr w:type="gramStart"/>
      <w:r w:rsidRPr="006A5641">
        <w:t>For</w:t>
      </w:r>
      <w:proofErr w:type="gramEnd"/>
      <w:r w:rsidRPr="006A5641">
        <w:t xml:space="preserve"> Trains Blocking Crossings </w:t>
      </w:r>
      <w:proofErr w:type="gramStart"/>
      <w:r w:rsidRPr="006A5641">
        <w:t>In</w:t>
      </w:r>
      <w:proofErr w:type="gramEnd"/>
      <w:r w:rsidRPr="006A5641">
        <w:t xml:space="preserve"> Ohio.</w:t>
      </w:r>
      <w:r>
        <w:t xml:space="preserve">” </w:t>
      </w:r>
      <w:hyperlink r:id="rId216" w:history="1">
        <w:r w:rsidRPr="006A5641">
          <w:rPr>
            <w:rStyle w:val="Hyperlink"/>
            <w:rFonts w:eastAsiaTheme="majorEastAsia"/>
          </w:rPr>
          <w:t>https://local12.com/news/local/blocked-railroad-crossings-ohio-supreme-court-ruling-no-more-fines-trains-safety-butler-county-lockland-emergencies-csx-transportation-anti-blocking-law-federal-railroad-administration-cincinnati-local-12-wkrc-tristate-ohio-kentucky-indiana-news</w:t>
        </w:r>
      </w:hyperlink>
      <w:r w:rsidRPr="006A5641">
        <w:t xml:space="preserve"> </w:t>
      </w:r>
    </w:p>
    <w:p w14:paraId="6C5E93DB" w14:textId="77777777" w:rsidR="00D5141D" w:rsidRPr="00214856" w:rsidRDefault="00D5141D" w:rsidP="00D5141D">
      <w:pPr>
        <w:pStyle w:val="Heading1"/>
        <w:ind w:left="720"/>
        <w:rPr>
          <w:b w:val="0"/>
          <w:bCs w:val="0"/>
          <w:sz w:val="24"/>
          <w:szCs w:val="24"/>
        </w:rPr>
      </w:pPr>
      <w:r w:rsidRPr="00214856">
        <w:rPr>
          <w:b w:val="0"/>
          <w:bCs w:val="0"/>
          <w:sz w:val="24"/>
          <w:szCs w:val="24"/>
        </w:rPr>
        <w:t xml:space="preserve">See also Ohio Revised Code: Section 5589.21 </w:t>
      </w:r>
      <w:r w:rsidRPr="00214856">
        <w:rPr>
          <w:rStyle w:val="codes-separator"/>
          <w:b w:val="0"/>
          <w:bCs w:val="0"/>
          <w:sz w:val="24"/>
          <w:szCs w:val="24"/>
        </w:rPr>
        <w:t>|</w:t>
      </w:r>
      <w:r w:rsidRPr="00214856">
        <w:rPr>
          <w:b w:val="0"/>
          <w:bCs w:val="0"/>
          <w:sz w:val="24"/>
          <w:szCs w:val="24"/>
        </w:rPr>
        <w:t xml:space="preserve"> Obstruction of roads by railroads. </w:t>
      </w:r>
      <w:hyperlink r:id="rId217" w:anchor=":~:text=(A)%20No%20railroad%20company%20shall,passing%20along%20or%20upon%20such" w:history="1">
        <w:r w:rsidRPr="00214856">
          <w:rPr>
            <w:rStyle w:val="Hyperlink"/>
            <w:rFonts w:eastAsiaTheme="majorEastAsia"/>
            <w:b w:val="0"/>
            <w:bCs w:val="0"/>
            <w:sz w:val="24"/>
            <w:szCs w:val="24"/>
          </w:rPr>
          <w:t>https://codes.ohio.gov/ohio-revised-code/section-5589.21#:~:text=(A)%20No%20railroad%20company%20shall,passing%20along%20or%20upon%20such</w:t>
        </w:r>
      </w:hyperlink>
      <w:r w:rsidRPr="00214856">
        <w:rPr>
          <w:b w:val="0"/>
          <w:bCs w:val="0"/>
          <w:sz w:val="24"/>
          <w:szCs w:val="24"/>
        </w:rPr>
        <w:t xml:space="preserve"> </w:t>
      </w:r>
    </w:p>
    <w:p w14:paraId="2B8E9A86" w14:textId="77777777" w:rsidR="00D5141D" w:rsidRDefault="00D5141D" w:rsidP="00F326E5">
      <w:pPr>
        <w:pStyle w:val="NoSpacing"/>
        <w:rPr>
          <w:rFonts w:ascii="Arial Black" w:hAnsi="Arial Black"/>
          <w:sz w:val="24"/>
          <w:szCs w:val="24"/>
        </w:rPr>
      </w:pPr>
    </w:p>
    <w:p w14:paraId="5E7373F9" w14:textId="77777777" w:rsidR="00D5141D" w:rsidRDefault="00D5141D" w:rsidP="00F326E5">
      <w:pPr>
        <w:pStyle w:val="NoSpacing"/>
        <w:rPr>
          <w:rFonts w:ascii="Arial Black" w:hAnsi="Arial Black"/>
          <w:sz w:val="24"/>
          <w:szCs w:val="24"/>
        </w:rPr>
      </w:pPr>
    </w:p>
    <w:p w14:paraId="24B16D64" w14:textId="77777777" w:rsidR="00D5141D" w:rsidRDefault="00D5141D" w:rsidP="00F326E5">
      <w:pPr>
        <w:pStyle w:val="NoSpacing"/>
        <w:rPr>
          <w:rFonts w:ascii="Arial Black" w:hAnsi="Arial Black"/>
          <w:sz w:val="24"/>
          <w:szCs w:val="24"/>
        </w:rPr>
      </w:pPr>
    </w:p>
    <w:p w14:paraId="08B8A70A" w14:textId="0E350FF2" w:rsidR="006D2C51" w:rsidRDefault="006D2C51" w:rsidP="00F326E5">
      <w:pPr>
        <w:pStyle w:val="NoSpacing"/>
        <w:rPr>
          <w:rFonts w:ascii="Arial Black" w:hAnsi="Arial Black"/>
          <w:sz w:val="24"/>
          <w:szCs w:val="24"/>
        </w:rPr>
      </w:pPr>
      <w:r>
        <w:rPr>
          <w:rFonts w:ascii="Arial Black" w:hAnsi="Arial Black"/>
          <w:sz w:val="24"/>
          <w:szCs w:val="24"/>
        </w:rPr>
        <w:t>1-105</w:t>
      </w:r>
    </w:p>
    <w:p w14:paraId="3347D185" w14:textId="3FF365A1" w:rsidR="006D2C51" w:rsidRDefault="006D2C51" w:rsidP="00F326E5">
      <w:pPr>
        <w:pStyle w:val="NoSpacing"/>
        <w:rPr>
          <w:rFonts w:ascii="Arial Black" w:hAnsi="Arial Black"/>
          <w:sz w:val="24"/>
          <w:szCs w:val="24"/>
        </w:rPr>
      </w:pPr>
    </w:p>
    <w:p w14:paraId="3746E794" w14:textId="1049C11B" w:rsidR="006D2C51" w:rsidRPr="00825136" w:rsidRDefault="006D2C51" w:rsidP="006D2C51">
      <w:pPr>
        <w:spacing w:before="100" w:beforeAutospacing="1" w:after="100" w:afterAutospacing="1" w:line="240" w:lineRule="auto"/>
        <w:rPr>
          <w:rFonts w:ascii="Arial Black" w:eastAsia="Times New Roman" w:hAnsi="Arial Black"/>
          <w:sz w:val="28"/>
          <w:szCs w:val="28"/>
        </w:rPr>
      </w:pPr>
      <w:r>
        <w:rPr>
          <w:rFonts w:ascii="Arial Black" w:eastAsia="Times New Roman" w:hAnsi="Arial Black"/>
          <w:sz w:val="28"/>
          <w:szCs w:val="28"/>
        </w:rPr>
        <w:t>PA: ARSON – TENANT 3 MONTHS BEHIND ON HIS RENT -</w:t>
      </w:r>
      <w:r w:rsidR="004432C8">
        <w:rPr>
          <w:rFonts w:ascii="Arial Black" w:eastAsia="Times New Roman" w:hAnsi="Arial Black"/>
          <w:sz w:val="28"/>
          <w:szCs w:val="28"/>
        </w:rPr>
        <w:t xml:space="preserve"> </w:t>
      </w:r>
      <w:r>
        <w:rPr>
          <w:rFonts w:ascii="Arial Black" w:eastAsia="Times New Roman" w:hAnsi="Arial Black"/>
          <w:sz w:val="28"/>
          <w:szCs w:val="28"/>
        </w:rPr>
        <w:t>EVICTED DAY OF FIRE IN HIS ROOM – CONV. UPHELD</w:t>
      </w:r>
    </w:p>
    <w:p w14:paraId="4D530659" w14:textId="77777777" w:rsidR="00A40065" w:rsidRDefault="006D2C51" w:rsidP="006D2C51">
      <w:pPr>
        <w:spacing w:before="100" w:beforeAutospacing="1" w:after="100" w:afterAutospacing="1" w:line="240" w:lineRule="auto"/>
        <w:rPr>
          <w:rFonts w:ascii="Times New Roman" w:hAnsi="Times New Roman"/>
          <w:sz w:val="24"/>
          <w:szCs w:val="24"/>
        </w:rPr>
      </w:pPr>
      <w:r>
        <w:rPr>
          <w:rFonts w:ascii="Times New Roman" w:eastAsia="Times New Roman" w:hAnsi="Times New Roman"/>
          <w:sz w:val="24"/>
          <w:szCs w:val="24"/>
        </w:rPr>
        <w:t xml:space="preserve">On July 5, 2022, in </w:t>
      </w:r>
      <w:r w:rsidRPr="00825136">
        <w:rPr>
          <w:rFonts w:ascii="Times New Roman" w:eastAsia="Times New Roman" w:hAnsi="Times New Roman"/>
          <w:sz w:val="24"/>
          <w:szCs w:val="24"/>
          <w:u w:val="single"/>
        </w:rPr>
        <w:t>Commonwealth of Pennsylvania v. Wesley Wise</w:t>
      </w:r>
      <w:r>
        <w:rPr>
          <w:rFonts w:ascii="Times New Roman" w:eastAsia="Times New Roman" w:hAnsi="Times New Roman"/>
          <w:sz w:val="24"/>
          <w:szCs w:val="24"/>
        </w:rPr>
        <w:t xml:space="preserve">, the Superior Court of Pennsylvania held (3 to 0) in non-precedential decision, that conviction by trial judge after a bench trial [no jury] is affirmed.  Circumstantial evidence is sufficient to </w:t>
      </w:r>
      <w:proofErr w:type="gramStart"/>
      <w:r>
        <w:rPr>
          <w:rFonts w:ascii="Times New Roman" w:eastAsia="Times New Roman" w:hAnsi="Times New Roman"/>
          <w:sz w:val="24"/>
          <w:szCs w:val="24"/>
        </w:rPr>
        <w:t>convict for</w:t>
      </w:r>
      <w:proofErr w:type="gramEnd"/>
      <w:r>
        <w:rPr>
          <w:rFonts w:ascii="Times New Roman" w:eastAsia="Times New Roman" w:hAnsi="Times New Roman"/>
          <w:sz w:val="24"/>
          <w:szCs w:val="24"/>
        </w:rPr>
        <w:t xml:space="preserve"> arson. “</w:t>
      </w:r>
      <w:r w:rsidRPr="00073F76">
        <w:rPr>
          <w:rFonts w:ascii="Times New Roman" w:hAnsi="Times New Roman"/>
          <w:sz w:val="24"/>
          <w:szCs w:val="24"/>
        </w:rPr>
        <w:t xml:space="preserve">Direct evidence is not required. </w:t>
      </w:r>
      <w:r>
        <w:rPr>
          <w:rFonts w:ascii="Times New Roman" w:hAnsi="Times New Roman"/>
          <w:sz w:val="24"/>
          <w:szCs w:val="24"/>
        </w:rPr>
        <w:t>‘</w:t>
      </w:r>
      <w:r w:rsidRPr="00073F76">
        <w:rPr>
          <w:rFonts w:ascii="Times New Roman" w:hAnsi="Times New Roman"/>
          <w:sz w:val="24"/>
          <w:szCs w:val="24"/>
        </w:rPr>
        <w:t>[P]roof of guilt especially in arson cases, may be established [through] circumstantial evidence.</w:t>
      </w:r>
      <w:r>
        <w:rPr>
          <w:rFonts w:ascii="Times New Roman" w:hAnsi="Times New Roman"/>
          <w:sz w:val="24"/>
          <w:szCs w:val="24"/>
        </w:rPr>
        <w:t>’</w:t>
      </w:r>
      <w:r w:rsidRPr="00073F76">
        <w:rPr>
          <w:rFonts w:ascii="Times New Roman" w:hAnsi="Times New Roman"/>
          <w:sz w:val="24"/>
          <w:szCs w:val="24"/>
        </w:rPr>
        <w:t xml:space="preserve"> </w:t>
      </w:r>
      <w:r w:rsidRPr="00073F76">
        <w:rPr>
          <w:rStyle w:val="Emphasis"/>
          <w:rFonts w:ascii="Times New Roman" w:hAnsi="Times New Roman"/>
          <w:sz w:val="24"/>
          <w:szCs w:val="24"/>
        </w:rPr>
        <w:t>Commonwealth v. Counterman</w:t>
      </w:r>
      <w:r w:rsidRPr="00073F76">
        <w:rPr>
          <w:rFonts w:ascii="Times New Roman" w:hAnsi="Times New Roman"/>
          <w:sz w:val="24"/>
          <w:szCs w:val="24"/>
        </w:rPr>
        <w:t>, 719 A.2d 284 (Pa. 1998) (</w:t>
      </w:r>
      <w:r w:rsidRPr="00073F76">
        <w:rPr>
          <w:rStyle w:val="Emphasis"/>
          <w:rFonts w:ascii="Times New Roman" w:hAnsi="Times New Roman"/>
          <w:sz w:val="24"/>
          <w:szCs w:val="24"/>
        </w:rPr>
        <w:t>quoting Commonwealth v. DiNicola</w:t>
      </w:r>
      <w:r w:rsidRPr="00073F76">
        <w:rPr>
          <w:rFonts w:ascii="Times New Roman" w:hAnsi="Times New Roman"/>
          <w:sz w:val="24"/>
          <w:szCs w:val="24"/>
        </w:rPr>
        <w:t xml:space="preserve">, 468 A.2d 1078, 1081 (Pa. 1983). </w:t>
      </w:r>
      <w:r>
        <w:rPr>
          <w:rFonts w:ascii="Times New Roman" w:hAnsi="Times New Roman"/>
          <w:sz w:val="24"/>
          <w:szCs w:val="24"/>
        </w:rPr>
        <w:t>‘</w:t>
      </w:r>
      <w:r w:rsidRPr="00073F76">
        <w:rPr>
          <w:rFonts w:ascii="Times New Roman" w:hAnsi="Times New Roman"/>
          <w:sz w:val="24"/>
          <w:szCs w:val="24"/>
        </w:rPr>
        <w:t>[A]</w:t>
      </w:r>
      <w:proofErr w:type="spellStart"/>
      <w:proofErr w:type="gramStart"/>
      <w:r w:rsidRPr="00073F76">
        <w:rPr>
          <w:rFonts w:ascii="Times New Roman" w:hAnsi="Times New Roman"/>
          <w:sz w:val="24"/>
          <w:szCs w:val="24"/>
        </w:rPr>
        <w:t>rson</w:t>
      </w:r>
      <w:proofErr w:type="spellEnd"/>
      <w:proofErr w:type="gramEnd"/>
      <w:r w:rsidRPr="00073F76">
        <w:rPr>
          <w:rFonts w:ascii="Times New Roman" w:hAnsi="Times New Roman"/>
          <w:sz w:val="24"/>
          <w:szCs w:val="24"/>
        </w:rPr>
        <w:t>, by its very nature, is rarely committed in the presence of others, and a refusal to convict on circumstantial evidence alone would be tantamount to an invitation to commit the crime.</w:t>
      </w:r>
      <w:r>
        <w:rPr>
          <w:rFonts w:ascii="Times New Roman" w:hAnsi="Times New Roman"/>
          <w:sz w:val="24"/>
          <w:szCs w:val="24"/>
        </w:rPr>
        <w:t>’</w:t>
      </w:r>
      <w:r w:rsidRPr="00073F76">
        <w:rPr>
          <w:rFonts w:ascii="Times New Roman" w:hAnsi="Times New Roman"/>
          <w:sz w:val="24"/>
          <w:szCs w:val="24"/>
        </w:rPr>
        <w:t xml:space="preserve"> </w:t>
      </w:r>
      <w:r w:rsidRPr="00073F76">
        <w:rPr>
          <w:rStyle w:val="Emphasis"/>
          <w:rFonts w:ascii="Times New Roman" w:hAnsi="Times New Roman"/>
          <w:sz w:val="24"/>
          <w:szCs w:val="24"/>
        </w:rPr>
        <w:t>Commonwealth v. Colon</w:t>
      </w:r>
      <w:r w:rsidRPr="00073F76">
        <w:rPr>
          <w:rFonts w:ascii="Times New Roman" w:hAnsi="Times New Roman"/>
          <w:sz w:val="24"/>
          <w:szCs w:val="24"/>
        </w:rPr>
        <w:t>, 399 A.2d 1068, 1073 (Pa. Super. 1979).</w:t>
      </w:r>
      <w:r>
        <w:rPr>
          <w:rFonts w:ascii="Times New Roman" w:hAnsi="Times New Roman"/>
          <w:sz w:val="24"/>
          <w:szCs w:val="24"/>
        </w:rPr>
        <w:t xml:space="preserve"> *** </w:t>
      </w:r>
      <w:r w:rsidRPr="0034236E">
        <w:rPr>
          <w:rFonts w:ascii="Times New Roman" w:hAnsi="Times New Roman"/>
          <w:sz w:val="24"/>
          <w:szCs w:val="24"/>
        </w:rPr>
        <w:t xml:space="preserve">Indisputably, an individual started the fire with an open flame in Wise's bedroom closet; no one except Wise had been in there. Wise, who was evicted as of the day of the fire, left the house carrying a bag; he was the only one who had a reason to start the fire. Not long after he left, the smoke alarm went off; this is evident despite the varying times reflected in the record. Ms. Owens and Mr. Bowe risked their lives and tried to extinguish the fire but had to evacuate, along with Ms. Owens' two </w:t>
      </w:r>
      <w:r w:rsidRPr="0034236E">
        <w:rPr>
          <w:rFonts w:ascii="Times New Roman" w:hAnsi="Times New Roman"/>
          <w:sz w:val="24"/>
          <w:szCs w:val="24"/>
        </w:rPr>
        <w:lastRenderedPageBreak/>
        <w:t>young grandchildren. The trial court evidently did not believe Ms. Minnis' testimony that Wise was at her house since early on the day of the fire.</w:t>
      </w:r>
      <w:r>
        <w:rPr>
          <w:rFonts w:ascii="Times New Roman" w:hAnsi="Times New Roman"/>
          <w:sz w:val="24"/>
          <w:szCs w:val="24"/>
        </w:rPr>
        <w:t xml:space="preserve">” </w:t>
      </w:r>
      <w:hyperlink r:id="rId218" w:history="1">
        <w:r w:rsidRPr="00661DF4">
          <w:rPr>
            <w:rStyle w:val="Hyperlink"/>
            <w:rFonts w:ascii="Times New Roman" w:hAnsi="Times New Roman"/>
            <w:sz w:val="24"/>
            <w:szCs w:val="24"/>
          </w:rPr>
          <w:t>https://casetext.com/case/commonwealth-v-wise-36</w:t>
        </w:r>
      </w:hyperlink>
      <w:r>
        <w:rPr>
          <w:rFonts w:ascii="Times New Roman" w:hAnsi="Times New Roman"/>
          <w:sz w:val="24"/>
          <w:szCs w:val="24"/>
        </w:rPr>
        <w:t xml:space="preserve"> </w:t>
      </w:r>
    </w:p>
    <w:p w14:paraId="399D9ACA" w14:textId="75BF775C" w:rsidR="006D2C51" w:rsidRPr="000B73D4" w:rsidRDefault="006D2C51" w:rsidP="006D2C51">
      <w:pPr>
        <w:spacing w:before="100" w:beforeAutospacing="1" w:after="100" w:afterAutospacing="1" w:line="240" w:lineRule="auto"/>
        <w:rPr>
          <w:rFonts w:ascii="Times New Roman" w:eastAsia="Times New Roman" w:hAnsi="Times New Roman"/>
          <w:sz w:val="24"/>
          <w:szCs w:val="24"/>
        </w:rPr>
      </w:pPr>
      <w:r w:rsidRPr="00E97CB8">
        <w:rPr>
          <w:rFonts w:ascii="Times New Roman" w:eastAsia="Times New Roman" w:hAnsi="Times New Roman"/>
          <w:b/>
          <w:bCs/>
          <w:sz w:val="24"/>
          <w:szCs w:val="24"/>
        </w:rPr>
        <w:t xml:space="preserve">Legal Lesson Learned: </w:t>
      </w:r>
      <w:r>
        <w:rPr>
          <w:rFonts w:ascii="Times New Roman" w:eastAsia="Times New Roman" w:hAnsi="Times New Roman"/>
          <w:b/>
          <w:bCs/>
          <w:sz w:val="24"/>
          <w:szCs w:val="24"/>
        </w:rPr>
        <w:t>Circumstantial evidence may lead to arson conviction.</w:t>
      </w:r>
      <w:r w:rsidRPr="00AD3CF7">
        <w:rPr>
          <w:rFonts w:ascii="Times New Roman" w:eastAsia="Times New Roman" w:hAnsi="Times New Roman"/>
          <w:sz w:val="24"/>
          <w:szCs w:val="24"/>
        </w:rPr>
        <w:t xml:space="preserve"> </w:t>
      </w:r>
      <w:r w:rsidRPr="000B73D4">
        <w:rPr>
          <w:rFonts w:ascii="Times New Roman" w:eastAsia="Times New Roman" w:hAnsi="Times New Roman"/>
          <w:sz w:val="24"/>
          <w:szCs w:val="24"/>
        </w:rPr>
        <w:t xml:space="preserve">    </w:t>
      </w:r>
    </w:p>
    <w:p w14:paraId="778EAB19" w14:textId="77777777" w:rsidR="006D2C51" w:rsidRDefault="006D2C51" w:rsidP="00F326E5">
      <w:pPr>
        <w:pStyle w:val="NoSpacing"/>
        <w:rPr>
          <w:rFonts w:ascii="Arial Black" w:hAnsi="Arial Black"/>
          <w:sz w:val="24"/>
          <w:szCs w:val="24"/>
        </w:rPr>
      </w:pPr>
    </w:p>
    <w:p w14:paraId="4F87B00D" w14:textId="77777777" w:rsidR="006D2C51" w:rsidRDefault="006D2C51" w:rsidP="00F326E5">
      <w:pPr>
        <w:pStyle w:val="NoSpacing"/>
        <w:rPr>
          <w:rFonts w:ascii="Arial Black" w:hAnsi="Arial Black"/>
          <w:sz w:val="24"/>
          <w:szCs w:val="24"/>
        </w:rPr>
      </w:pPr>
    </w:p>
    <w:p w14:paraId="42FE7CC0" w14:textId="2EECDA83" w:rsidR="0073564D" w:rsidRDefault="0073564D" w:rsidP="00F326E5">
      <w:pPr>
        <w:pStyle w:val="NoSpacing"/>
        <w:rPr>
          <w:rFonts w:ascii="Arial Black" w:hAnsi="Arial Black"/>
          <w:sz w:val="24"/>
          <w:szCs w:val="24"/>
        </w:rPr>
      </w:pPr>
      <w:r>
        <w:rPr>
          <w:rFonts w:ascii="Arial Black" w:hAnsi="Arial Black"/>
          <w:sz w:val="24"/>
          <w:szCs w:val="24"/>
        </w:rPr>
        <w:t>1-104</w:t>
      </w:r>
    </w:p>
    <w:p w14:paraId="624F6D16" w14:textId="1C18D2D7" w:rsidR="0073564D" w:rsidRDefault="0073564D" w:rsidP="00F326E5">
      <w:pPr>
        <w:pStyle w:val="NoSpacing"/>
        <w:rPr>
          <w:rFonts w:ascii="Arial Black" w:hAnsi="Arial Black"/>
          <w:sz w:val="24"/>
          <w:szCs w:val="24"/>
        </w:rPr>
      </w:pPr>
    </w:p>
    <w:p w14:paraId="0D27CCCF" w14:textId="77777777" w:rsidR="0073564D" w:rsidRDefault="0073564D" w:rsidP="0073564D">
      <w:pPr>
        <w:pStyle w:val="Heading1"/>
        <w:rPr>
          <w:rFonts w:ascii="Arial Black" w:hAnsi="Arial Black"/>
          <w:sz w:val="28"/>
          <w:szCs w:val="28"/>
        </w:rPr>
      </w:pPr>
      <w:r>
        <w:rPr>
          <w:rFonts w:ascii="Arial Black" w:hAnsi="Arial Black"/>
          <w:sz w:val="28"/>
          <w:szCs w:val="28"/>
        </w:rPr>
        <w:t>IL: ANNUAL TESTING FIRE ALARMS REQ. EACH 48 UNITS – CONDO ASSOC. MUST GET OWNERS TO ALLOW TESTER</w:t>
      </w:r>
    </w:p>
    <w:p w14:paraId="4AE8EC5A" w14:textId="77777777" w:rsidR="0073564D" w:rsidRDefault="0073564D" w:rsidP="0073564D">
      <w:pPr>
        <w:pStyle w:val="Heading1"/>
        <w:rPr>
          <w:b w:val="0"/>
          <w:bCs w:val="0"/>
          <w:sz w:val="24"/>
          <w:szCs w:val="24"/>
        </w:rPr>
      </w:pPr>
      <w:r>
        <w:rPr>
          <w:b w:val="0"/>
          <w:bCs w:val="0"/>
          <w:sz w:val="24"/>
          <w:szCs w:val="24"/>
        </w:rPr>
        <w:t xml:space="preserve">On June 21, 2022, in </w:t>
      </w:r>
      <w:r>
        <w:rPr>
          <w:b w:val="0"/>
          <w:bCs w:val="0"/>
          <w:sz w:val="24"/>
          <w:szCs w:val="24"/>
          <w:u w:val="single"/>
        </w:rPr>
        <w:t>The Village of Downers Grove v. Village Square III Condominium Association</w:t>
      </w:r>
      <w:r>
        <w:rPr>
          <w:b w:val="0"/>
          <w:bCs w:val="0"/>
          <w:sz w:val="24"/>
          <w:szCs w:val="24"/>
        </w:rPr>
        <w:t xml:space="preserve">, the Court of Appeals of Illinois, Second District, held (3 to 0), 2022 IL App (2d) 210098, that the trial court, after a bench trial [no jury] properly upheld the citations. The complex consists of three separate two-story buildings, two that contain 18 units and one that contains 12 units, for a total of 48 units. None of the units </w:t>
      </w:r>
      <w:proofErr w:type="gramStart"/>
      <w:r>
        <w:rPr>
          <w:b w:val="0"/>
          <w:bCs w:val="0"/>
          <w:sz w:val="24"/>
          <w:szCs w:val="24"/>
        </w:rPr>
        <w:t>shares</w:t>
      </w:r>
      <w:proofErr w:type="gramEnd"/>
      <w:r>
        <w:rPr>
          <w:b w:val="0"/>
          <w:bCs w:val="0"/>
          <w:sz w:val="24"/>
          <w:szCs w:val="24"/>
        </w:rPr>
        <w:t xml:space="preserve"> any common entrances/exits or hallways. Rather, each unit has its own separate entrance/exit at grade level.  The fire alarms can only be accessed by unit owner allowing in outside testing company. The trial judge “ultimately found it was required to assess a daily fine and imposed an aggregate fine of $23, 475, which consisted of $75 per day for each of the 313 days between December 21, 2017, and October 29, 2018.”  </w:t>
      </w:r>
      <w:hyperlink r:id="rId219" w:history="1">
        <w:r>
          <w:rPr>
            <w:rStyle w:val="Hyperlink"/>
            <w:sz w:val="24"/>
            <w:szCs w:val="24"/>
          </w:rPr>
          <w:t>https://casetext.com/case/the-vill-of-downers-grove-v-vill-square-iii-condo-assn</w:t>
        </w:r>
      </w:hyperlink>
      <w:r>
        <w:rPr>
          <w:b w:val="0"/>
          <w:bCs w:val="0"/>
          <w:sz w:val="24"/>
          <w:szCs w:val="24"/>
        </w:rPr>
        <w:t xml:space="preserve"> </w:t>
      </w:r>
    </w:p>
    <w:p w14:paraId="0FE86FFD" w14:textId="77777777" w:rsidR="009A0402" w:rsidRDefault="009A0402" w:rsidP="009A0402">
      <w:pPr>
        <w:spacing w:before="100" w:beforeAutospacing="1" w:after="100" w:afterAutospacing="1" w:line="240" w:lineRule="auto"/>
        <w:rPr>
          <w:rFonts w:ascii="Times New Roman" w:eastAsia="Times New Roman" w:hAnsi="Times New Roman"/>
          <w:b/>
          <w:bCs/>
          <w:sz w:val="24"/>
          <w:szCs w:val="24"/>
        </w:rPr>
      </w:pPr>
      <w:r>
        <w:rPr>
          <w:rFonts w:ascii="Times New Roman" w:hAnsi="Times New Roman"/>
          <w:b/>
          <w:bCs/>
          <w:sz w:val="24"/>
          <w:szCs w:val="24"/>
        </w:rPr>
        <w:t xml:space="preserve">Legal Lesson Learned: The Condo Association needs to educate unit </w:t>
      </w:r>
      <w:proofErr w:type="gramStart"/>
      <w:r>
        <w:rPr>
          <w:rFonts w:ascii="Times New Roman" w:hAnsi="Times New Roman"/>
          <w:b/>
          <w:bCs/>
          <w:sz w:val="24"/>
          <w:szCs w:val="24"/>
        </w:rPr>
        <w:t>owners, and</w:t>
      </w:r>
      <w:proofErr w:type="gramEnd"/>
      <w:r>
        <w:rPr>
          <w:rFonts w:ascii="Times New Roman" w:hAnsi="Times New Roman"/>
          <w:b/>
          <w:bCs/>
          <w:sz w:val="24"/>
          <w:szCs w:val="24"/>
        </w:rPr>
        <w:t xml:space="preserve"> adopt by laws that they must allow in the alarm testing company.   </w:t>
      </w:r>
    </w:p>
    <w:p w14:paraId="303DCFB1" w14:textId="77777777" w:rsidR="009A0402" w:rsidRDefault="009A0402" w:rsidP="00F326E5">
      <w:pPr>
        <w:pStyle w:val="NoSpacing"/>
        <w:rPr>
          <w:rFonts w:ascii="Arial Black" w:hAnsi="Arial Black"/>
          <w:sz w:val="24"/>
          <w:szCs w:val="24"/>
        </w:rPr>
      </w:pPr>
    </w:p>
    <w:p w14:paraId="2B083BEF" w14:textId="5D10BE65" w:rsidR="009579EB" w:rsidRPr="009579EB" w:rsidRDefault="009579EB" w:rsidP="00F326E5">
      <w:pPr>
        <w:pStyle w:val="NoSpacing"/>
        <w:rPr>
          <w:rFonts w:ascii="Arial Black" w:hAnsi="Arial Black"/>
          <w:sz w:val="24"/>
          <w:szCs w:val="24"/>
        </w:rPr>
      </w:pPr>
      <w:r w:rsidRPr="009579EB">
        <w:rPr>
          <w:rFonts w:ascii="Arial Black" w:hAnsi="Arial Black"/>
          <w:sz w:val="24"/>
          <w:szCs w:val="24"/>
        </w:rPr>
        <w:t>1-103</w:t>
      </w:r>
    </w:p>
    <w:p w14:paraId="0F000359" w14:textId="77777777" w:rsidR="009579EB" w:rsidRPr="00E93614" w:rsidRDefault="009579EB" w:rsidP="009579EB">
      <w:pPr>
        <w:spacing w:before="100" w:beforeAutospacing="1" w:after="100" w:afterAutospacing="1" w:line="240" w:lineRule="auto"/>
        <w:rPr>
          <w:rFonts w:ascii="Arial Black" w:eastAsia="Times New Roman" w:hAnsi="Arial Black"/>
          <w:sz w:val="28"/>
          <w:szCs w:val="28"/>
        </w:rPr>
      </w:pPr>
      <w:r>
        <w:rPr>
          <w:rFonts w:ascii="Arial Black" w:hAnsi="Arial Black"/>
          <w:b/>
          <w:sz w:val="28"/>
          <w:szCs w:val="28"/>
        </w:rPr>
        <w:t>AL: DEP. FIRE MARSHAL NO IMMUNITY – FALSELY TOLD PROS. DEF. ADMITTED BURN BARREL DESTROY EVIDENCE</w:t>
      </w:r>
    </w:p>
    <w:p w14:paraId="0E8D380A" w14:textId="29CC9FF9" w:rsidR="009579EB" w:rsidRDefault="009579EB" w:rsidP="009579EB">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On May 27, 2022, in </w:t>
      </w:r>
      <w:r w:rsidRPr="00CD21F9">
        <w:rPr>
          <w:rFonts w:ascii="Times New Roman" w:eastAsia="Times New Roman" w:hAnsi="Times New Roman"/>
          <w:sz w:val="24"/>
          <w:szCs w:val="24"/>
          <w:u w:val="single"/>
        </w:rPr>
        <w:t xml:space="preserve">Ex </w:t>
      </w:r>
      <w:proofErr w:type="spellStart"/>
      <w:r w:rsidRPr="00CD21F9">
        <w:rPr>
          <w:rFonts w:ascii="Times New Roman" w:eastAsia="Times New Roman" w:hAnsi="Times New Roman"/>
          <w:sz w:val="24"/>
          <w:szCs w:val="24"/>
          <w:u w:val="single"/>
        </w:rPr>
        <w:t>parte</w:t>
      </w:r>
      <w:proofErr w:type="spellEnd"/>
      <w:r w:rsidRPr="00CD21F9">
        <w:rPr>
          <w:rFonts w:ascii="Times New Roman" w:eastAsia="Times New Roman" w:hAnsi="Times New Roman"/>
          <w:sz w:val="24"/>
          <w:szCs w:val="24"/>
          <w:u w:val="single"/>
        </w:rPr>
        <w:t xml:space="preserve"> Greg Pinkard</w:t>
      </w:r>
      <w:r>
        <w:rPr>
          <w:rFonts w:ascii="Times New Roman" w:eastAsia="Times New Roman" w:hAnsi="Times New Roman"/>
          <w:sz w:val="24"/>
          <w:szCs w:val="24"/>
          <w:u w:val="single"/>
        </w:rPr>
        <w:t xml:space="preserve"> (</w:t>
      </w:r>
      <w:r w:rsidRPr="00CD21F9">
        <w:rPr>
          <w:rFonts w:ascii="Times New Roman" w:eastAsia="Times New Roman" w:hAnsi="Times New Roman"/>
          <w:sz w:val="24"/>
          <w:szCs w:val="24"/>
          <w:u w:val="single"/>
        </w:rPr>
        <w:t>In re; Ronnie Taylor v. Allstate Property &amp; Casualty Insurance Company, et al.</w:t>
      </w:r>
      <w:r>
        <w:rPr>
          <w:rFonts w:ascii="Times New Roman" w:eastAsia="Times New Roman" w:hAnsi="Times New Roman"/>
          <w:sz w:val="24"/>
          <w:szCs w:val="24"/>
          <w:u w:val="single"/>
        </w:rPr>
        <w:t>)</w:t>
      </w:r>
      <w:r>
        <w:rPr>
          <w:rFonts w:ascii="Times New Roman" w:eastAsia="Times New Roman" w:hAnsi="Times New Roman"/>
          <w:sz w:val="24"/>
          <w:szCs w:val="24"/>
        </w:rPr>
        <w:t xml:space="preserve">, the Supreme Court of Alabama held (8 to 0) that State Deputy Fire Marshal Greg Pinkard’s is not entitled to governmental immunity, holding that the trial court judge properly held he can be personally sued for malicious prosecution and defamation for allegedly falsely reporting to District Attorney’s Office that the owner of a cabin [a volunteer FF] had admitted to placing </w:t>
      </w:r>
      <w:r w:rsidRPr="002A073B">
        <w:rPr>
          <w:rFonts w:ascii="Times New Roman" w:eastAsia="Times New Roman" w:hAnsi="Times New Roman"/>
          <w:sz w:val="24"/>
          <w:szCs w:val="24"/>
        </w:rPr>
        <w:t xml:space="preserve">a </w:t>
      </w:r>
      <w:r>
        <w:rPr>
          <w:rFonts w:ascii="Times New Roman" w:eastAsia="Times New Roman" w:hAnsi="Times New Roman"/>
          <w:sz w:val="24"/>
          <w:szCs w:val="24"/>
        </w:rPr>
        <w:t>55-gallon steel barrel “</w:t>
      </w:r>
      <w:r w:rsidRPr="002A073B">
        <w:rPr>
          <w:rFonts w:ascii="Times New Roman" w:hAnsi="Times New Roman"/>
          <w:sz w:val="24"/>
          <w:szCs w:val="24"/>
        </w:rPr>
        <w:t>onto the structure with extra fuel items to burn maintaining the fire and destroying evidence."</w:t>
      </w:r>
      <w:r>
        <w:rPr>
          <w:rFonts w:ascii="Times New Roman" w:hAnsi="Times New Roman"/>
          <w:sz w:val="24"/>
          <w:szCs w:val="24"/>
        </w:rPr>
        <w:t xml:space="preserve">  He was charged with arson and tampering with evidence; all charges later dropped.  Ronnie Taylor </w:t>
      </w:r>
      <w:proofErr w:type="gramStart"/>
      <w:r>
        <w:rPr>
          <w:rFonts w:ascii="Times New Roman" w:hAnsi="Times New Roman"/>
          <w:sz w:val="24"/>
          <w:szCs w:val="24"/>
        </w:rPr>
        <w:t>actually told</w:t>
      </w:r>
      <w:proofErr w:type="gramEnd"/>
      <w:r>
        <w:rPr>
          <w:rFonts w:ascii="Times New Roman" w:hAnsi="Times New Roman"/>
          <w:sz w:val="24"/>
          <w:szCs w:val="24"/>
        </w:rPr>
        <w:t xml:space="preserve"> the Deputy Fire Marshal that he only used the burn barrel after the fire to clean up remaining </w:t>
      </w:r>
      <w:proofErr w:type="gramStart"/>
      <w:r>
        <w:rPr>
          <w:rFonts w:ascii="Times New Roman" w:hAnsi="Times New Roman"/>
          <w:sz w:val="24"/>
          <w:szCs w:val="24"/>
        </w:rPr>
        <w:t>debris, and</w:t>
      </w:r>
      <w:proofErr w:type="gramEnd"/>
      <w:r>
        <w:rPr>
          <w:rFonts w:ascii="Times New Roman" w:hAnsi="Times New Roman"/>
          <w:sz w:val="24"/>
          <w:szCs w:val="24"/>
        </w:rPr>
        <w:t xml:space="preserve"> lawfully submitted an insurance claim of $40,000 for loss of his cabin, his tools and a 1996 Lincoln Town Car.  </w:t>
      </w:r>
      <w:r>
        <w:rPr>
          <w:rFonts w:ascii="Times New Roman" w:eastAsia="Times New Roman" w:hAnsi="Times New Roman"/>
          <w:sz w:val="24"/>
          <w:szCs w:val="24"/>
        </w:rPr>
        <w:t xml:space="preserve">The lawsuit for damages may now be decided by a civil jury. </w:t>
      </w:r>
      <w:hyperlink r:id="rId220" w:history="1">
        <w:r w:rsidRPr="00A10B90">
          <w:rPr>
            <w:rStyle w:val="Hyperlink"/>
            <w:rFonts w:ascii="Times New Roman" w:eastAsia="Times New Roman" w:hAnsi="Times New Roman"/>
            <w:sz w:val="24"/>
            <w:szCs w:val="24"/>
          </w:rPr>
          <w:t>https://acis.alabama.gov/displaydocs.cfm?no=1126944&amp;event=6CD0OUEMB</w:t>
        </w:r>
      </w:hyperlink>
      <w:r>
        <w:rPr>
          <w:rFonts w:ascii="Times New Roman" w:eastAsia="Times New Roman" w:hAnsi="Times New Roman"/>
          <w:sz w:val="24"/>
          <w:szCs w:val="24"/>
        </w:rPr>
        <w:t xml:space="preserve"> </w:t>
      </w:r>
    </w:p>
    <w:p w14:paraId="6E3560D8" w14:textId="77777777" w:rsidR="009579EB" w:rsidRDefault="009579EB" w:rsidP="009579EB">
      <w:pPr>
        <w:spacing w:before="100" w:beforeAutospacing="1" w:after="100" w:afterAutospacing="1" w:line="240" w:lineRule="auto"/>
        <w:rPr>
          <w:rFonts w:ascii="Times New Roman" w:eastAsia="Times New Roman" w:hAnsi="Times New Roman"/>
          <w:b/>
          <w:bCs/>
          <w:sz w:val="24"/>
          <w:szCs w:val="24"/>
        </w:rPr>
      </w:pPr>
      <w:r w:rsidRPr="007C62E3">
        <w:rPr>
          <w:rFonts w:ascii="Times New Roman" w:eastAsia="Times New Roman" w:hAnsi="Times New Roman"/>
          <w:b/>
          <w:bCs/>
          <w:sz w:val="24"/>
          <w:szCs w:val="24"/>
        </w:rPr>
        <w:t xml:space="preserve">Legal Lesson Learned: </w:t>
      </w:r>
      <w:r>
        <w:rPr>
          <w:rFonts w:ascii="Times New Roman" w:eastAsia="Times New Roman" w:hAnsi="Times New Roman"/>
          <w:b/>
          <w:bCs/>
          <w:sz w:val="24"/>
          <w:szCs w:val="24"/>
        </w:rPr>
        <w:t xml:space="preserve">Arson investigators, in their reports to prosecutors, must use extreme care in describing the defendant’s admissions.  </w:t>
      </w:r>
    </w:p>
    <w:p w14:paraId="738B3CFD" w14:textId="77777777" w:rsidR="00CA1367" w:rsidRPr="00CA1367" w:rsidRDefault="00CA1367" w:rsidP="00CA1367">
      <w:pPr>
        <w:spacing w:before="100" w:beforeAutospacing="1" w:after="100" w:afterAutospacing="1" w:line="240" w:lineRule="auto"/>
        <w:ind w:left="720"/>
        <w:rPr>
          <w:rFonts w:eastAsia="Times New Roman"/>
          <w:sz w:val="24"/>
          <w:szCs w:val="24"/>
        </w:rPr>
      </w:pPr>
      <w:r w:rsidRPr="00CA1367">
        <w:rPr>
          <w:rFonts w:eastAsia="Times New Roman"/>
          <w:sz w:val="24"/>
          <w:szCs w:val="24"/>
        </w:rPr>
        <w:t xml:space="preserve">Note: See article on this case.  </w:t>
      </w:r>
    </w:p>
    <w:p w14:paraId="3FAFA9D3" w14:textId="77777777" w:rsidR="00CA1367" w:rsidRPr="00834159" w:rsidRDefault="00CA1367" w:rsidP="00CA1367">
      <w:pPr>
        <w:spacing w:before="100" w:beforeAutospacing="1" w:after="100" w:afterAutospacing="1" w:line="240" w:lineRule="auto"/>
        <w:ind w:left="720"/>
        <w:rPr>
          <w:rFonts w:ascii="Times New Roman" w:eastAsia="Times New Roman" w:hAnsi="Times New Roman"/>
          <w:sz w:val="24"/>
          <w:szCs w:val="24"/>
        </w:rPr>
      </w:pPr>
      <w:r w:rsidRPr="00CA1367">
        <w:rPr>
          <w:rFonts w:eastAsia="Times New Roman"/>
          <w:sz w:val="24"/>
          <w:szCs w:val="24"/>
        </w:rPr>
        <w:lastRenderedPageBreak/>
        <w:t xml:space="preserve">June 6, 2022. </w:t>
      </w:r>
      <w:r w:rsidRPr="00CA1367">
        <w:rPr>
          <w:rFonts w:ascii="Times New Roman" w:eastAsia="Times New Roman" w:hAnsi="Times New Roman"/>
          <w:sz w:val="24"/>
          <w:szCs w:val="24"/>
        </w:rPr>
        <w:t>State Immunity – State-Agent Immunity – Deputy Fire Marshal</w:t>
      </w:r>
      <w:r w:rsidRPr="00CA1367">
        <w:rPr>
          <w:rFonts w:eastAsia="Times New Roman"/>
          <w:sz w:val="24"/>
          <w:szCs w:val="24"/>
        </w:rPr>
        <w:t xml:space="preserve"> </w:t>
      </w:r>
      <w:hyperlink r:id="rId221" w:history="1">
        <w:r w:rsidRPr="00CA1367">
          <w:rPr>
            <w:rStyle w:val="Hyperlink"/>
            <w:rFonts w:eastAsia="Times New Roman"/>
            <w:sz w:val="24"/>
            <w:szCs w:val="24"/>
          </w:rPr>
          <w:t>https://www.cunninghambounds.com/blogs/2022/june/state-immunity-state-agent-immunity-deputy-fire-/</w:t>
        </w:r>
      </w:hyperlink>
      <w:r w:rsidRPr="00834159">
        <w:rPr>
          <w:rFonts w:eastAsia="Times New Roman"/>
          <w:szCs w:val="24"/>
        </w:rPr>
        <w:t xml:space="preserve"> </w:t>
      </w:r>
    </w:p>
    <w:p w14:paraId="2A21D000" w14:textId="77777777" w:rsidR="009579EB" w:rsidRDefault="009579EB" w:rsidP="009579EB">
      <w:pPr>
        <w:spacing w:before="100" w:beforeAutospacing="1" w:after="100" w:afterAutospacing="1" w:line="240" w:lineRule="auto"/>
        <w:rPr>
          <w:rFonts w:ascii="Times New Roman" w:eastAsia="Times New Roman" w:hAnsi="Times New Roman"/>
          <w:sz w:val="24"/>
          <w:szCs w:val="24"/>
        </w:rPr>
      </w:pPr>
    </w:p>
    <w:p w14:paraId="13AB87BF" w14:textId="368376BD" w:rsidR="009579EB" w:rsidRDefault="009579EB" w:rsidP="00F326E5">
      <w:pPr>
        <w:pStyle w:val="NoSpacing"/>
        <w:rPr>
          <w:rFonts w:ascii="Arial Black" w:hAnsi="Arial Black"/>
          <w:sz w:val="40"/>
          <w:szCs w:val="40"/>
        </w:rPr>
      </w:pPr>
    </w:p>
    <w:p w14:paraId="6C6F0E05" w14:textId="77777777" w:rsidR="009579EB" w:rsidRPr="007732FA" w:rsidRDefault="009579EB" w:rsidP="00F326E5">
      <w:pPr>
        <w:pStyle w:val="NoSpacing"/>
        <w:rPr>
          <w:rFonts w:ascii="Arial Black" w:hAnsi="Arial Black"/>
          <w:sz w:val="40"/>
          <w:szCs w:val="40"/>
        </w:rPr>
      </w:pPr>
    </w:p>
    <w:p w14:paraId="77877CDB" w14:textId="29643C46" w:rsidR="009579EB" w:rsidRDefault="009579EB" w:rsidP="002B1283">
      <w:pPr>
        <w:rPr>
          <w:rFonts w:ascii="Arial Black" w:hAnsi="Arial Black"/>
          <w:b/>
          <w:sz w:val="24"/>
          <w:szCs w:val="24"/>
        </w:rPr>
      </w:pPr>
      <w:r>
        <w:rPr>
          <w:rFonts w:ascii="Arial Black" w:hAnsi="Arial Black"/>
          <w:b/>
          <w:sz w:val="24"/>
          <w:szCs w:val="24"/>
        </w:rPr>
        <w:t>1-101</w:t>
      </w:r>
    </w:p>
    <w:p w14:paraId="7E5D28A0" w14:textId="77777777" w:rsidR="009579EB" w:rsidRPr="00222D33" w:rsidRDefault="009579EB" w:rsidP="009579EB">
      <w:pPr>
        <w:spacing w:before="100" w:beforeAutospacing="1" w:after="100" w:afterAutospacing="1" w:line="240" w:lineRule="auto"/>
        <w:rPr>
          <w:rFonts w:ascii="Arial Black" w:hAnsi="Arial Black"/>
          <w:sz w:val="28"/>
          <w:szCs w:val="28"/>
        </w:rPr>
      </w:pPr>
      <w:r>
        <w:rPr>
          <w:rFonts w:ascii="Arial Black" w:hAnsi="Arial Black"/>
          <w:sz w:val="28"/>
          <w:szCs w:val="28"/>
        </w:rPr>
        <w:t>AK: DEF. ENDANGERED FF – 60 MONTHS PRISON - TIMBER THEFT – FAILED REPORT FIRE HE STARTED NAT. FOREST</w:t>
      </w:r>
    </w:p>
    <w:p w14:paraId="56EC7FB4" w14:textId="77777777" w:rsidR="009579EB" w:rsidRDefault="009579EB" w:rsidP="009579EB">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On May 27, 2022, in </w:t>
      </w:r>
      <w:r w:rsidRPr="00F138B9">
        <w:rPr>
          <w:rFonts w:ascii="Times New Roman" w:hAnsi="Times New Roman"/>
          <w:sz w:val="24"/>
          <w:szCs w:val="24"/>
          <w:u w:val="single"/>
        </w:rPr>
        <w:t>United States of America v. Jacob Edward Walls</w:t>
      </w:r>
      <w:r>
        <w:rPr>
          <w:rFonts w:ascii="Times New Roman" w:hAnsi="Times New Roman"/>
          <w:sz w:val="24"/>
          <w:szCs w:val="24"/>
        </w:rPr>
        <w:t xml:space="preserve">, the U.S. Court of Appeals for the Eight Circuit (St. Louis, Missouri) held (3 to 0) that trial court properly sentenced the defendant pursuant to the federal Sentencing Guidelines to the maximum of 60 months since he didn’t report the fire to cover up his illegal timber harvesting. </w:t>
      </w:r>
      <w:r w:rsidRPr="00D20A19">
        <w:rPr>
          <w:rFonts w:ascii="Times New Roman" w:hAnsi="Times New Roman"/>
          <w:sz w:val="24"/>
          <w:szCs w:val="24"/>
        </w:rPr>
        <w:t xml:space="preserve">Jacob Walls pleaded guilty to willfully setting fire to public lands, in violation of 18 U.S.C. § 1855. </w:t>
      </w:r>
      <w:r>
        <w:rPr>
          <w:rFonts w:ascii="Times New Roman" w:hAnsi="Times New Roman"/>
          <w:sz w:val="24"/>
          <w:szCs w:val="24"/>
        </w:rPr>
        <w:t>The fire started    when he “</w:t>
      </w:r>
      <w:r w:rsidRPr="00824081">
        <w:rPr>
          <w:rFonts w:ascii="Times New Roman" w:hAnsi="Times New Roman"/>
          <w:sz w:val="24"/>
          <w:szCs w:val="24"/>
        </w:rPr>
        <w:t xml:space="preserve">burn the debris using two different fires with accelerant from a </w:t>
      </w:r>
      <w:r>
        <w:rPr>
          <w:rFonts w:ascii="Times New Roman" w:hAnsi="Times New Roman"/>
          <w:sz w:val="24"/>
          <w:szCs w:val="24"/>
        </w:rPr>
        <w:t>‘</w:t>
      </w:r>
      <w:r w:rsidRPr="00824081">
        <w:rPr>
          <w:rFonts w:ascii="Times New Roman" w:hAnsi="Times New Roman"/>
          <w:sz w:val="24"/>
          <w:szCs w:val="24"/>
        </w:rPr>
        <w:t>Jerry Can.</w:t>
      </w:r>
      <w:r>
        <w:rPr>
          <w:rFonts w:ascii="Times New Roman" w:hAnsi="Times New Roman"/>
          <w:sz w:val="24"/>
          <w:szCs w:val="24"/>
        </w:rPr>
        <w:t xml:space="preserve">’” When the fire spread, he left the scene and did not report the spreading fire.  A resident notified Park Service, and firefighters working in difficult terrain after dark saved the neighbor’s home. </w:t>
      </w:r>
      <w:hyperlink r:id="rId222" w:history="1">
        <w:r w:rsidRPr="00A10B90">
          <w:rPr>
            <w:rStyle w:val="Hyperlink"/>
            <w:rFonts w:ascii="Times New Roman" w:hAnsi="Times New Roman"/>
            <w:sz w:val="24"/>
            <w:szCs w:val="24"/>
          </w:rPr>
          <w:t>https://ecf.ca8.uscourts.gov/opndir/22/05/212146P.pdf</w:t>
        </w:r>
      </w:hyperlink>
      <w:r>
        <w:rPr>
          <w:rFonts w:ascii="Times New Roman" w:hAnsi="Times New Roman"/>
          <w:sz w:val="24"/>
          <w:szCs w:val="24"/>
        </w:rPr>
        <w:t xml:space="preserve"> </w:t>
      </w:r>
    </w:p>
    <w:p w14:paraId="205F7B42" w14:textId="77777777" w:rsidR="009579EB" w:rsidRPr="00E93614" w:rsidRDefault="009579EB" w:rsidP="009579EB">
      <w:pPr>
        <w:spacing w:before="100" w:beforeAutospacing="1" w:after="100" w:afterAutospacing="1" w:line="240" w:lineRule="auto"/>
        <w:rPr>
          <w:rFonts w:ascii="Times New Roman" w:eastAsia="Times New Roman" w:hAnsi="Times New Roman"/>
          <w:b/>
          <w:bCs/>
          <w:sz w:val="24"/>
          <w:szCs w:val="24"/>
        </w:rPr>
      </w:pPr>
      <w:r>
        <w:rPr>
          <w:rFonts w:ascii="Times New Roman" w:eastAsia="Times New Roman" w:hAnsi="Times New Roman"/>
          <w:b/>
          <w:bCs/>
          <w:sz w:val="24"/>
          <w:szCs w:val="24"/>
        </w:rPr>
        <w:t xml:space="preserve">Legal Lesson Learned: The sentencing judge properly included the risk of firefighters when imposing the sentence. </w:t>
      </w:r>
    </w:p>
    <w:p w14:paraId="0A08482E" w14:textId="77777777" w:rsidR="009579EB" w:rsidRPr="00B82003" w:rsidRDefault="009579EB" w:rsidP="009579EB">
      <w:pPr>
        <w:spacing w:before="100" w:beforeAutospacing="1" w:after="100" w:afterAutospacing="1" w:line="240" w:lineRule="auto"/>
        <w:ind w:left="720"/>
        <w:rPr>
          <w:rFonts w:ascii="Times New Roman" w:hAnsi="Times New Roman"/>
          <w:bCs/>
          <w:sz w:val="24"/>
          <w:szCs w:val="24"/>
        </w:rPr>
      </w:pPr>
      <w:r w:rsidRPr="00B82003">
        <w:rPr>
          <w:rFonts w:ascii="Times New Roman" w:hAnsi="Times New Roman"/>
          <w:bCs/>
          <w:sz w:val="24"/>
          <w:szCs w:val="24"/>
        </w:rPr>
        <w:t>Note:</w:t>
      </w:r>
      <w:r w:rsidRPr="00B82003">
        <w:rPr>
          <w:rFonts w:ascii="Times New Roman" w:hAnsi="Times New Roman"/>
          <w:bCs/>
          <w:sz w:val="24"/>
          <w:szCs w:val="24"/>
        </w:rPr>
        <w:tab/>
        <w:t xml:space="preserve">Federal Sentencing Guidelines: </w:t>
      </w:r>
      <w:hyperlink r:id="rId223" w:history="1">
        <w:r w:rsidRPr="00B82003">
          <w:rPr>
            <w:rStyle w:val="Hyperlink"/>
            <w:rFonts w:ascii="Times New Roman" w:hAnsi="Times New Roman"/>
            <w:bCs/>
            <w:sz w:val="24"/>
            <w:szCs w:val="24"/>
          </w:rPr>
          <w:t>https://www.law.cornell.edu/wex/federal_sentencing_guidelines</w:t>
        </w:r>
      </w:hyperlink>
      <w:r w:rsidRPr="00B82003">
        <w:rPr>
          <w:rFonts w:ascii="Times New Roman" w:hAnsi="Times New Roman"/>
          <w:bCs/>
          <w:sz w:val="24"/>
          <w:szCs w:val="24"/>
        </w:rPr>
        <w:t xml:space="preserve"> </w:t>
      </w:r>
    </w:p>
    <w:p w14:paraId="7AC5BED6" w14:textId="77777777" w:rsidR="009579EB" w:rsidRPr="003A568B" w:rsidRDefault="009579EB" w:rsidP="009579EB">
      <w:pPr>
        <w:ind w:left="720"/>
        <w:rPr>
          <w:rFonts w:ascii="Times New Roman" w:hAnsi="Times New Roman"/>
          <w:sz w:val="24"/>
          <w:szCs w:val="24"/>
        </w:rPr>
      </w:pPr>
      <w:r>
        <w:rPr>
          <w:rFonts w:ascii="Times New Roman" w:hAnsi="Times New Roman"/>
          <w:sz w:val="24"/>
          <w:szCs w:val="24"/>
        </w:rPr>
        <w:t>“</w:t>
      </w:r>
      <w:r w:rsidRPr="003A568B">
        <w:rPr>
          <w:rFonts w:ascii="Times New Roman" w:hAnsi="Times New Roman"/>
          <w:sz w:val="24"/>
          <w:szCs w:val="24"/>
        </w:rPr>
        <w:t xml:space="preserve">The Federal Sentencing Guidelines are non-binding rules that set out a uniform sentencing policy for defendants convicted in the United States federal court system that became effective in 1987. The Guidelines provide for </w:t>
      </w:r>
      <w:r>
        <w:rPr>
          <w:rFonts w:ascii="Times New Roman" w:hAnsi="Times New Roman"/>
          <w:sz w:val="24"/>
          <w:szCs w:val="24"/>
        </w:rPr>
        <w:t>‘</w:t>
      </w:r>
      <w:r w:rsidRPr="003A568B">
        <w:rPr>
          <w:rFonts w:ascii="Times New Roman" w:hAnsi="Times New Roman"/>
          <w:sz w:val="24"/>
          <w:szCs w:val="24"/>
        </w:rPr>
        <w:t xml:space="preserve">very precise calibration of sentences, depending upon </w:t>
      </w:r>
      <w:proofErr w:type="gramStart"/>
      <w:r w:rsidRPr="003A568B">
        <w:rPr>
          <w:rFonts w:ascii="Times New Roman" w:hAnsi="Times New Roman"/>
          <w:sz w:val="24"/>
          <w:szCs w:val="24"/>
        </w:rPr>
        <w:t>a number of</w:t>
      </w:r>
      <w:proofErr w:type="gramEnd"/>
      <w:r w:rsidRPr="003A568B">
        <w:rPr>
          <w:rFonts w:ascii="Times New Roman" w:hAnsi="Times New Roman"/>
          <w:sz w:val="24"/>
          <w:szCs w:val="24"/>
        </w:rPr>
        <w:t xml:space="preserve"> factors. These factors relate both to the subjective guilt of the defendant and to the harm caused by his facts.</w:t>
      </w:r>
      <w:r>
        <w:rPr>
          <w:rFonts w:ascii="Times New Roman" w:hAnsi="Times New Roman"/>
          <w:sz w:val="24"/>
          <w:szCs w:val="24"/>
        </w:rPr>
        <w:t>’</w:t>
      </w:r>
      <w:r w:rsidRPr="003A568B">
        <w:rPr>
          <w:rFonts w:ascii="Times New Roman" w:hAnsi="Times New Roman"/>
          <w:sz w:val="24"/>
          <w:szCs w:val="24"/>
        </w:rPr>
        <w:t xml:space="preserve"> </w:t>
      </w:r>
      <w:hyperlink r:id="rId224" w:history="1">
        <w:r w:rsidRPr="003A568B">
          <w:rPr>
            <w:rStyle w:val="Hyperlink"/>
            <w:rFonts w:ascii="Times New Roman" w:hAnsi="Times New Roman"/>
            <w:i/>
            <w:iCs/>
            <w:sz w:val="24"/>
            <w:szCs w:val="24"/>
          </w:rPr>
          <w:t>Payne v. Tennessee</w:t>
        </w:r>
      </w:hyperlink>
      <w:r w:rsidRPr="003A568B">
        <w:rPr>
          <w:rFonts w:ascii="Times New Roman" w:hAnsi="Times New Roman"/>
          <w:sz w:val="24"/>
          <w:szCs w:val="24"/>
        </w:rPr>
        <w:t>, 501 U.S. 808, 820 (1991).</w:t>
      </w:r>
    </w:p>
    <w:p w14:paraId="0F370571" w14:textId="77777777" w:rsidR="009579EB" w:rsidRPr="003A568B" w:rsidRDefault="009579EB" w:rsidP="009579EB">
      <w:pPr>
        <w:ind w:left="720"/>
        <w:rPr>
          <w:rFonts w:ascii="Times New Roman" w:hAnsi="Times New Roman"/>
          <w:sz w:val="24"/>
          <w:szCs w:val="24"/>
        </w:rPr>
      </w:pPr>
      <w:r w:rsidRPr="003A568B">
        <w:rPr>
          <w:rFonts w:ascii="Times New Roman" w:hAnsi="Times New Roman"/>
          <w:sz w:val="24"/>
          <w:szCs w:val="24"/>
        </w:rPr>
        <w:t xml:space="preserve">The Guidelines are not mandatory, because they may result in a sentence based on facts not proven beyond a reasonable doubt to a jury, in violation of the Sixth Amendment. </w:t>
      </w:r>
      <w:hyperlink r:id="rId225" w:history="1">
        <w:r w:rsidRPr="003A568B">
          <w:rPr>
            <w:rStyle w:val="Emphasis"/>
            <w:rFonts w:ascii="Times New Roman" w:hAnsi="Times New Roman"/>
            <w:color w:val="0000FF"/>
            <w:sz w:val="24"/>
            <w:szCs w:val="24"/>
            <w:u w:val="single"/>
          </w:rPr>
          <w:t>United States v. Booker</w:t>
        </w:r>
        <w:r w:rsidRPr="003A568B">
          <w:rPr>
            <w:rStyle w:val="Hyperlink"/>
            <w:rFonts w:ascii="Times New Roman" w:hAnsi="Times New Roman"/>
            <w:sz w:val="24"/>
            <w:szCs w:val="24"/>
          </w:rPr>
          <w:t>, 543 U.S. 20 (2005)</w:t>
        </w:r>
      </w:hyperlink>
      <w:r w:rsidRPr="003A568B">
        <w:rPr>
          <w:rFonts w:ascii="Times New Roman" w:hAnsi="Times New Roman"/>
          <w:sz w:val="24"/>
          <w:szCs w:val="24"/>
        </w:rPr>
        <w:t>. However, judges must consider them when determining a criminal defendant's sentence. When a judge determines within his or her discretion to depart from the Guidelines, the judge must explain what factors warranted the increased or decreased sentence.</w:t>
      </w:r>
      <w:r>
        <w:rPr>
          <w:rFonts w:ascii="Times New Roman" w:hAnsi="Times New Roman"/>
          <w:sz w:val="24"/>
          <w:szCs w:val="24"/>
        </w:rPr>
        <w:t xml:space="preserve"> </w:t>
      </w:r>
      <w:r w:rsidRPr="003A568B">
        <w:rPr>
          <w:rFonts w:ascii="Times New Roman" w:hAnsi="Times New Roman"/>
          <w:sz w:val="24"/>
          <w:szCs w:val="24"/>
        </w:rPr>
        <w:t xml:space="preserve">When a Court of Appeals reviews a sentence imposed through a proper application the Guidelines, it may presume the sentence is reasonable. </w:t>
      </w:r>
      <w:hyperlink r:id="rId226" w:history="1">
        <w:r w:rsidRPr="003A568B">
          <w:rPr>
            <w:rStyle w:val="Hyperlink"/>
            <w:rFonts w:ascii="Times New Roman" w:hAnsi="Times New Roman"/>
            <w:i/>
            <w:iCs/>
            <w:sz w:val="24"/>
            <w:szCs w:val="24"/>
          </w:rPr>
          <w:t>Rita v. United States</w:t>
        </w:r>
      </w:hyperlink>
      <w:r w:rsidRPr="003A568B">
        <w:rPr>
          <w:rFonts w:ascii="Times New Roman" w:hAnsi="Times New Roman"/>
          <w:sz w:val="24"/>
          <w:szCs w:val="24"/>
        </w:rPr>
        <w:t xml:space="preserve">, 127 </w:t>
      </w:r>
      <w:proofErr w:type="spellStart"/>
      <w:r w:rsidRPr="003A568B">
        <w:rPr>
          <w:rFonts w:ascii="Times New Roman" w:hAnsi="Times New Roman"/>
          <w:sz w:val="24"/>
          <w:szCs w:val="24"/>
        </w:rPr>
        <w:t>S.Ct</w:t>
      </w:r>
      <w:proofErr w:type="spellEnd"/>
      <w:r w:rsidRPr="003A568B">
        <w:rPr>
          <w:rFonts w:ascii="Times New Roman" w:hAnsi="Times New Roman"/>
          <w:sz w:val="24"/>
          <w:szCs w:val="24"/>
        </w:rPr>
        <w:t>. 2456 (2007).</w:t>
      </w:r>
      <w:r>
        <w:rPr>
          <w:rFonts w:ascii="Times New Roman" w:hAnsi="Times New Roman"/>
          <w:sz w:val="24"/>
          <w:szCs w:val="24"/>
        </w:rPr>
        <w:t>”</w:t>
      </w:r>
    </w:p>
    <w:p w14:paraId="28ECF42E" w14:textId="77777777" w:rsidR="009579EB" w:rsidRDefault="009579EB" w:rsidP="002B1283">
      <w:pPr>
        <w:rPr>
          <w:rFonts w:ascii="Arial Black" w:hAnsi="Arial Black"/>
          <w:b/>
          <w:sz w:val="24"/>
          <w:szCs w:val="24"/>
        </w:rPr>
      </w:pPr>
    </w:p>
    <w:p w14:paraId="059A9A97" w14:textId="23CDCAE2" w:rsidR="00E97D63" w:rsidRDefault="00E97D63" w:rsidP="002B1283">
      <w:pPr>
        <w:rPr>
          <w:rFonts w:ascii="Arial Black" w:hAnsi="Arial Black"/>
          <w:b/>
          <w:sz w:val="24"/>
          <w:szCs w:val="24"/>
        </w:rPr>
      </w:pPr>
      <w:r>
        <w:rPr>
          <w:rFonts w:ascii="Arial Black" w:hAnsi="Arial Black"/>
          <w:b/>
          <w:sz w:val="24"/>
          <w:szCs w:val="24"/>
        </w:rPr>
        <w:t>1-100</w:t>
      </w:r>
    </w:p>
    <w:p w14:paraId="042BD835" w14:textId="77777777" w:rsidR="00E97D63" w:rsidRDefault="00E97D63" w:rsidP="00E97D63">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lastRenderedPageBreak/>
        <w:t>IL: AGGRAVATED ARSON - OCCUPIED APARTMENTS - PLED GUILTY - 24 YEARS IN PRISON – SENTENCE UPHELD</w:t>
      </w:r>
    </w:p>
    <w:p w14:paraId="5AC37595" w14:textId="2CE8F02C" w:rsidR="00E97D63" w:rsidRDefault="00E97D63" w:rsidP="00E97D63">
      <w:pPr>
        <w:rPr>
          <w:rStyle w:val="Hyperlink"/>
          <w:rFonts w:ascii="Times New Roman" w:eastAsia="Times New Roman" w:hAnsi="Times New Roman"/>
          <w:sz w:val="24"/>
          <w:szCs w:val="24"/>
        </w:rPr>
      </w:pPr>
      <w:r w:rsidRPr="00C21EEF">
        <w:rPr>
          <w:rFonts w:ascii="Times New Roman" w:eastAsia="Times New Roman" w:hAnsi="Times New Roman"/>
          <w:sz w:val="24"/>
          <w:szCs w:val="24"/>
        </w:rPr>
        <w:t>On May 5, 2022</w:t>
      </w:r>
      <w:r>
        <w:rPr>
          <w:rFonts w:ascii="Times New Roman" w:eastAsia="Times New Roman" w:hAnsi="Times New Roman"/>
          <w:sz w:val="24"/>
          <w:szCs w:val="24"/>
        </w:rPr>
        <w:t>,</w:t>
      </w:r>
      <w:r w:rsidRPr="00C21EEF">
        <w:rPr>
          <w:rFonts w:ascii="Times New Roman" w:eastAsia="Times New Roman" w:hAnsi="Times New Roman"/>
          <w:sz w:val="24"/>
          <w:szCs w:val="24"/>
        </w:rPr>
        <w:t xml:space="preserve"> in </w:t>
      </w:r>
      <w:r w:rsidRPr="00C21EEF">
        <w:rPr>
          <w:rFonts w:ascii="Times New Roman" w:eastAsia="Times New Roman" w:hAnsi="Times New Roman"/>
          <w:sz w:val="24"/>
          <w:szCs w:val="24"/>
          <w:u w:val="single"/>
        </w:rPr>
        <w:t>The People of the State of Illinois v. Bryan T. Griffin</w:t>
      </w:r>
      <w:r>
        <w:rPr>
          <w:rFonts w:ascii="Times New Roman" w:eastAsia="Times New Roman" w:hAnsi="Times New Roman"/>
          <w:sz w:val="24"/>
          <w:szCs w:val="24"/>
        </w:rPr>
        <w:t xml:space="preserve">, the Court of Appeals of Illinois, Fourth Division, held (3 to 0) that the trial court judge properly rejected the defense suggested 12-year sentence and imposed 24 years which was within the sentencing range of 6 to 30 years (prosecutors recommended 30 years). The defendant set fire to a building where once was a tenant in apartments above Mother’s Bar. There were nine people in the building when the fire </w:t>
      </w:r>
      <w:proofErr w:type="gramStart"/>
      <w:r>
        <w:rPr>
          <w:rFonts w:ascii="Times New Roman" w:eastAsia="Times New Roman" w:hAnsi="Times New Roman"/>
          <w:sz w:val="24"/>
          <w:szCs w:val="24"/>
        </w:rPr>
        <w:t>was started</w:t>
      </w:r>
      <w:proofErr w:type="gramEnd"/>
      <w:r>
        <w:rPr>
          <w:rFonts w:ascii="Times New Roman" w:eastAsia="Times New Roman" w:hAnsi="Times New Roman"/>
          <w:sz w:val="24"/>
          <w:szCs w:val="24"/>
        </w:rPr>
        <w:t xml:space="preserve"> with gasoline, and the fire department had to rescue two from the roof. The trial court judge held a hearing prior to imposing the sentence, where numerous witnesses testified about the potential loss of life from the fire that destroyed the bar and the apartments above it.  </w:t>
      </w:r>
      <w:hyperlink r:id="rId227" w:history="1">
        <w:r w:rsidRPr="00B7678D">
          <w:rPr>
            <w:rStyle w:val="Hyperlink"/>
            <w:rFonts w:ascii="Times New Roman" w:eastAsia="Times New Roman" w:hAnsi="Times New Roman"/>
            <w:sz w:val="24"/>
            <w:szCs w:val="24"/>
          </w:rPr>
          <w:t>https://ilcourtsaudio.blob.core.windows.net/antilles-resources/resources/d420bdc6-9c63-45de-9274-2f897cb58b7d/People%20v.%20Griffin,%202022%20IL%20App%20(4th)%20210360-U.pdf</w:t>
        </w:r>
      </w:hyperlink>
    </w:p>
    <w:p w14:paraId="208CC806" w14:textId="77777777" w:rsidR="00E97D63" w:rsidRPr="00505C92" w:rsidRDefault="00E97D63" w:rsidP="00E97D63">
      <w:pPr>
        <w:spacing w:before="100" w:beforeAutospacing="1" w:after="100" w:afterAutospacing="1" w:line="240" w:lineRule="auto"/>
        <w:rPr>
          <w:rFonts w:ascii="Times New Roman" w:hAnsi="Times New Roman"/>
          <w:b/>
          <w:bCs/>
          <w:sz w:val="24"/>
          <w:szCs w:val="24"/>
        </w:rPr>
      </w:pPr>
      <w:r w:rsidRPr="00505C92">
        <w:rPr>
          <w:rFonts w:ascii="Times New Roman" w:hAnsi="Times New Roman"/>
          <w:b/>
          <w:bCs/>
          <w:sz w:val="24"/>
          <w:szCs w:val="24"/>
        </w:rPr>
        <w:t>Legal Lesson Learned:</w:t>
      </w:r>
      <w:r>
        <w:rPr>
          <w:rFonts w:ascii="Times New Roman" w:hAnsi="Times New Roman"/>
          <w:b/>
          <w:bCs/>
          <w:sz w:val="24"/>
          <w:szCs w:val="24"/>
        </w:rPr>
        <w:t xml:space="preserve">  The trial court properly considered the seriousness of the arsonist’s conduct in imposing the sentence. </w:t>
      </w:r>
    </w:p>
    <w:p w14:paraId="7F52A4E4" w14:textId="77777777" w:rsidR="00E97D63" w:rsidRDefault="00E97D63" w:rsidP="00E97D63">
      <w:pPr>
        <w:rPr>
          <w:rFonts w:ascii="Arial Black" w:hAnsi="Arial Black"/>
          <w:b/>
          <w:sz w:val="24"/>
          <w:szCs w:val="24"/>
        </w:rPr>
      </w:pPr>
    </w:p>
    <w:p w14:paraId="250BE199" w14:textId="77777777" w:rsidR="00E97D63" w:rsidRDefault="00E97D63" w:rsidP="002B1283">
      <w:pPr>
        <w:rPr>
          <w:rFonts w:ascii="Arial Black" w:hAnsi="Arial Black"/>
          <w:b/>
          <w:sz w:val="24"/>
          <w:szCs w:val="24"/>
        </w:rPr>
      </w:pPr>
    </w:p>
    <w:p w14:paraId="45EBE321" w14:textId="17294369" w:rsidR="00E97D63" w:rsidRDefault="00E97D63" w:rsidP="002B1283">
      <w:pPr>
        <w:rPr>
          <w:rFonts w:ascii="Arial Black" w:hAnsi="Arial Black"/>
          <w:b/>
          <w:sz w:val="24"/>
          <w:szCs w:val="24"/>
        </w:rPr>
      </w:pPr>
      <w:r>
        <w:rPr>
          <w:rFonts w:ascii="Arial Black" w:hAnsi="Arial Black"/>
          <w:b/>
          <w:sz w:val="24"/>
          <w:szCs w:val="24"/>
        </w:rPr>
        <w:t>1-99</w:t>
      </w:r>
    </w:p>
    <w:p w14:paraId="7FCA915D" w14:textId="77777777" w:rsidR="00E97D63" w:rsidRDefault="00E97D63" w:rsidP="00E97D63">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 xml:space="preserve">U.S. SUP. CT: BOSTON CITY HALL - FLAGPOLE - EMS WORKERS &amp; OTHERS – MUST ALLOW “CHRISTIAN” FLAG </w:t>
      </w:r>
    </w:p>
    <w:p w14:paraId="1937931A" w14:textId="77777777" w:rsidR="00E97D63" w:rsidRDefault="00E97D63" w:rsidP="00E97D63">
      <w:pPr>
        <w:spacing w:before="100" w:beforeAutospacing="1" w:after="100" w:afterAutospacing="1" w:line="240" w:lineRule="auto"/>
        <w:rPr>
          <w:rFonts w:ascii="Times New Roman" w:eastAsia="Times New Roman" w:hAnsi="Times New Roman"/>
          <w:sz w:val="24"/>
          <w:szCs w:val="24"/>
        </w:rPr>
      </w:pPr>
      <w:r w:rsidRPr="00175BB2">
        <w:rPr>
          <w:rFonts w:ascii="Times New Roman" w:eastAsia="Times New Roman" w:hAnsi="Times New Roman"/>
          <w:sz w:val="24"/>
          <w:szCs w:val="24"/>
        </w:rPr>
        <w:t xml:space="preserve">On </w:t>
      </w:r>
      <w:r>
        <w:rPr>
          <w:rFonts w:ascii="Times New Roman" w:eastAsia="Times New Roman" w:hAnsi="Times New Roman"/>
          <w:sz w:val="24"/>
          <w:szCs w:val="24"/>
        </w:rPr>
        <w:t xml:space="preserve">May 2, 2022, in </w:t>
      </w:r>
      <w:r w:rsidRPr="00175BB2">
        <w:rPr>
          <w:rFonts w:ascii="Times New Roman" w:eastAsia="Times New Roman" w:hAnsi="Times New Roman"/>
          <w:sz w:val="24"/>
          <w:szCs w:val="24"/>
          <w:u w:val="single"/>
        </w:rPr>
        <w:t>Shurtleff, et al. v. City of Boston</w:t>
      </w:r>
      <w:r>
        <w:rPr>
          <w:rFonts w:ascii="Times New Roman" w:eastAsia="Times New Roman" w:hAnsi="Times New Roman"/>
          <w:sz w:val="24"/>
          <w:szCs w:val="24"/>
        </w:rPr>
        <w:t xml:space="preserve">, the U.S. Supreme Court unanimously held (9 to 0) that the City of Boston has three flag poles at City Hall and has allowed the third pole to be used by wide variety of groups; refusal of a group to raise a “Christian flag” violated First Amendment’s Free Speech clause. </w:t>
      </w:r>
      <w:hyperlink r:id="rId228" w:history="1">
        <w:r w:rsidRPr="00C8589E">
          <w:rPr>
            <w:rStyle w:val="Hyperlink"/>
            <w:rFonts w:ascii="Times New Roman" w:eastAsia="Times New Roman" w:hAnsi="Times New Roman"/>
            <w:sz w:val="24"/>
            <w:szCs w:val="24"/>
          </w:rPr>
          <w:t>https://www.supremecourt.gov/opinions/21pdf/20-1800_7lho.pdf</w:t>
        </w:r>
      </w:hyperlink>
      <w:r>
        <w:rPr>
          <w:rFonts w:ascii="Times New Roman" w:eastAsia="Times New Roman" w:hAnsi="Times New Roman"/>
          <w:sz w:val="24"/>
          <w:szCs w:val="24"/>
        </w:rPr>
        <w:t xml:space="preserve"> </w:t>
      </w:r>
    </w:p>
    <w:p w14:paraId="26400BE2" w14:textId="77777777" w:rsidR="00E97D63" w:rsidRDefault="00E97D63" w:rsidP="00E97D63">
      <w:pPr>
        <w:spacing w:before="100" w:beforeAutospacing="1" w:after="100" w:afterAutospacing="1" w:line="240" w:lineRule="auto"/>
        <w:rPr>
          <w:rFonts w:ascii="Times New Roman" w:eastAsia="Times New Roman" w:hAnsi="Times New Roman"/>
          <w:b/>
          <w:bCs/>
          <w:sz w:val="24"/>
          <w:szCs w:val="24"/>
        </w:rPr>
      </w:pPr>
      <w:r w:rsidRPr="008B63AA">
        <w:rPr>
          <w:rStyle w:val="markedcontent"/>
          <w:rFonts w:ascii="Times New Roman" w:hAnsi="Times New Roman"/>
          <w:b/>
          <w:bCs/>
          <w:sz w:val="24"/>
          <w:szCs w:val="24"/>
        </w:rPr>
        <w:t>Legal Lesson Learned:</w:t>
      </w:r>
      <w:r>
        <w:rPr>
          <w:rStyle w:val="markedcontent"/>
          <w:rFonts w:ascii="Times New Roman" w:hAnsi="Times New Roman"/>
          <w:b/>
          <w:bCs/>
          <w:sz w:val="24"/>
          <w:szCs w:val="24"/>
        </w:rPr>
        <w:t xml:space="preserve"> Fire &amp; EMS Departments that have flag poles should adopt policy restricting use to official activities only.</w:t>
      </w:r>
    </w:p>
    <w:p w14:paraId="70025F4E" w14:textId="77777777" w:rsidR="00E97D63" w:rsidRDefault="00E97D63" w:rsidP="002B1283">
      <w:pPr>
        <w:rPr>
          <w:rFonts w:ascii="Arial Black" w:hAnsi="Arial Black"/>
          <w:b/>
          <w:sz w:val="24"/>
          <w:szCs w:val="24"/>
        </w:rPr>
      </w:pPr>
    </w:p>
    <w:p w14:paraId="0904F329" w14:textId="5A9061BC" w:rsidR="00E97D63" w:rsidRDefault="00E97D63" w:rsidP="002B1283">
      <w:pPr>
        <w:rPr>
          <w:rFonts w:ascii="Arial Black" w:hAnsi="Arial Black"/>
          <w:b/>
          <w:sz w:val="24"/>
          <w:szCs w:val="24"/>
        </w:rPr>
      </w:pPr>
      <w:r>
        <w:rPr>
          <w:rFonts w:ascii="Arial Black" w:hAnsi="Arial Black"/>
          <w:b/>
          <w:sz w:val="24"/>
          <w:szCs w:val="24"/>
        </w:rPr>
        <w:t>1-98</w:t>
      </w:r>
    </w:p>
    <w:p w14:paraId="19C5610F" w14:textId="77777777" w:rsidR="00E97D63" w:rsidRDefault="00E97D63" w:rsidP="00E97D63">
      <w:pPr>
        <w:spacing w:before="100" w:beforeAutospacing="1" w:after="100" w:afterAutospacing="1" w:line="240" w:lineRule="auto"/>
        <w:rPr>
          <w:rFonts w:ascii="Arial Black" w:hAnsi="Arial Black"/>
          <w:sz w:val="28"/>
          <w:szCs w:val="28"/>
        </w:rPr>
      </w:pPr>
      <w:r>
        <w:rPr>
          <w:rFonts w:ascii="Arial Black" w:hAnsi="Arial Black"/>
          <w:sz w:val="28"/>
          <w:szCs w:val="28"/>
        </w:rPr>
        <w:t>VA: HOMEOWNER CONV. ARSON UPHELD - FOUR SEPARATE FIRES – DEF. EXPERT NEVER TALKED FF WHO WERE THERE</w:t>
      </w:r>
    </w:p>
    <w:p w14:paraId="4BECB7C3" w14:textId="44293DC9" w:rsidR="00E97D63" w:rsidRDefault="00E97D63" w:rsidP="00E97D63">
      <w:pPr>
        <w:rPr>
          <w:rFonts w:ascii="Arial Black" w:hAnsi="Arial Black"/>
          <w:b/>
          <w:sz w:val="24"/>
          <w:szCs w:val="24"/>
        </w:rPr>
      </w:pPr>
      <w:r>
        <w:rPr>
          <w:rFonts w:ascii="Times New Roman" w:hAnsi="Times New Roman"/>
          <w:sz w:val="24"/>
          <w:szCs w:val="24"/>
        </w:rPr>
        <w:t xml:space="preserve">On April 26, 2022, in </w:t>
      </w:r>
      <w:r w:rsidRPr="00390AD2">
        <w:rPr>
          <w:rFonts w:ascii="Times New Roman" w:hAnsi="Times New Roman"/>
          <w:sz w:val="24"/>
          <w:szCs w:val="24"/>
          <w:u w:val="single"/>
        </w:rPr>
        <w:t>Maria Goodman v. Commonwealth of Virginia</w:t>
      </w:r>
      <w:r>
        <w:rPr>
          <w:rFonts w:ascii="Times New Roman" w:hAnsi="Times New Roman"/>
          <w:sz w:val="24"/>
          <w:szCs w:val="24"/>
        </w:rPr>
        <w:t xml:space="preserve">, the Court of Appeals of Virginia held (3 to 0) that the jury properly found the homeowner guilty of arson.  The defense expert </w:t>
      </w:r>
      <w:proofErr w:type="gramStart"/>
      <w:r>
        <w:rPr>
          <w:rFonts w:ascii="Times New Roman" w:hAnsi="Times New Roman"/>
          <w:sz w:val="24"/>
          <w:szCs w:val="24"/>
        </w:rPr>
        <w:t>speculated</w:t>
      </w:r>
      <w:proofErr w:type="gramEnd"/>
      <w:r>
        <w:rPr>
          <w:rFonts w:ascii="Times New Roman" w:hAnsi="Times New Roman"/>
          <w:sz w:val="24"/>
          <w:szCs w:val="24"/>
        </w:rPr>
        <w:t xml:space="preserve"> fire might have started in attic and then ignited for locations in </w:t>
      </w:r>
      <w:proofErr w:type="gramStart"/>
      <w:r>
        <w:rPr>
          <w:rFonts w:ascii="Times New Roman" w:hAnsi="Times New Roman"/>
          <w:sz w:val="24"/>
          <w:szCs w:val="24"/>
        </w:rPr>
        <w:t>house</w:t>
      </w:r>
      <w:proofErr w:type="gramEnd"/>
      <w:r>
        <w:rPr>
          <w:rFonts w:ascii="Times New Roman" w:hAnsi="Times New Roman"/>
          <w:sz w:val="24"/>
          <w:szCs w:val="24"/>
        </w:rPr>
        <w:t xml:space="preserve"> but the bedroom doors were shut and he never interviewed any of the firefighters. The jury recommended five </w:t>
      </w:r>
      <w:proofErr w:type="spellStart"/>
      <w:r>
        <w:rPr>
          <w:rFonts w:ascii="Times New Roman" w:hAnsi="Times New Roman"/>
          <w:sz w:val="24"/>
          <w:szCs w:val="24"/>
        </w:rPr>
        <w:t>years</w:t>
      </w:r>
      <w:proofErr w:type="spellEnd"/>
      <w:r>
        <w:rPr>
          <w:rFonts w:ascii="Times New Roman" w:hAnsi="Times New Roman"/>
          <w:sz w:val="24"/>
          <w:szCs w:val="24"/>
        </w:rPr>
        <w:t xml:space="preserve"> incarceration, but trial judge suspended four years. </w:t>
      </w:r>
      <w:hyperlink r:id="rId229" w:history="1">
        <w:r w:rsidRPr="00C8589E">
          <w:rPr>
            <w:rStyle w:val="Hyperlink"/>
            <w:rFonts w:ascii="Times New Roman" w:hAnsi="Times New Roman"/>
            <w:sz w:val="24"/>
            <w:szCs w:val="24"/>
          </w:rPr>
          <w:t>https://law.justia.com/cases/virginia/court-of-appeals-unpublished/2022/0509-21-2.html</w:t>
        </w:r>
      </w:hyperlink>
    </w:p>
    <w:p w14:paraId="09445627" w14:textId="77777777" w:rsidR="00E97D63" w:rsidRDefault="00E97D63" w:rsidP="00E97D63">
      <w:pPr>
        <w:spacing w:before="100" w:beforeAutospacing="1" w:after="100" w:afterAutospacing="1" w:line="240" w:lineRule="auto"/>
        <w:rPr>
          <w:rFonts w:ascii="Times New Roman" w:eastAsia="Times New Roman" w:hAnsi="Times New Roman"/>
          <w:b/>
          <w:bCs/>
          <w:sz w:val="24"/>
          <w:szCs w:val="24"/>
        </w:rPr>
      </w:pPr>
      <w:r>
        <w:rPr>
          <w:rFonts w:ascii="Times New Roman" w:eastAsia="Times New Roman" w:hAnsi="Times New Roman"/>
          <w:b/>
          <w:bCs/>
          <w:sz w:val="24"/>
          <w:szCs w:val="24"/>
        </w:rPr>
        <w:lastRenderedPageBreak/>
        <w:t xml:space="preserve">Legal Lesson Learned: Defense expert testimony shown to be unreliable on cross examination. </w:t>
      </w:r>
    </w:p>
    <w:p w14:paraId="4807FD44" w14:textId="77777777" w:rsidR="00E97D63" w:rsidRDefault="00E97D63" w:rsidP="002B1283">
      <w:pPr>
        <w:rPr>
          <w:rFonts w:ascii="Arial Black" w:hAnsi="Arial Black"/>
          <w:b/>
          <w:sz w:val="24"/>
          <w:szCs w:val="24"/>
        </w:rPr>
      </w:pPr>
    </w:p>
    <w:p w14:paraId="08DFF939" w14:textId="1DF12AE9" w:rsidR="00E97D63" w:rsidRDefault="00E97D63" w:rsidP="002B1283">
      <w:pPr>
        <w:rPr>
          <w:rFonts w:ascii="Arial Black" w:hAnsi="Arial Black"/>
          <w:b/>
          <w:sz w:val="24"/>
          <w:szCs w:val="24"/>
        </w:rPr>
      </w:pPr>
      <w:r>
        <w:rPr>
          <w:rFonts w:ascii="Arial Black" w:hAnsi="Arial Black"/>
          <w:b/>
          <w:sz w:val="24"/>
          <w:szCs w:val="24"/>
        </w:rPr>
        <w:t>1-97</w:t>
      </w:r>
    </w:p>
    <w:p w14:paraId="0CA63E7F" w14:textId="77777777" w:rsidR="00E97D63" w:rsidRPr="00914550" w:rsidRDefault="00E97D63" w:rsidP="00E97D63">
      <w:pPr>
        <w:spacing w:before="100" w:beforeAutospacing="1" w:after="100" w:afterAutospacing="1" w:line="240" w:lineRule="auto"/>
        <w:rPr>
          <w:rFonts w:ascii="Arial Black" w:eastAsia="Times New Roman" w:hAnsi="Arial Black"/>
          <w:sz w:val="28"/>
          <w:szCs w:val="28"/>
        </w:rPr>
      </w:pPr>
      <w:r w:rsidRPr="00914550">
        <w:rPr>
          <w:rFonts w:ascii="Arial Black" w:eastAsia="Times New Roman" w:hAnsi="Arial Black"/>
          <w:sz w:val="28"/>
          <w:szCs w:val="28"/>
        </w:rPr>
        <w:t xml:space="preserve">TX: </w:t>
      </w:r>
      <w:r>
        <w:rPr>
          <w:rFonts w:ascii="Arial Black" w:eastAsia="Times New Roman" w:hAnsi="Arial Black"/>
          <w:sz w:val="28"/>
          <w:szCs w:val="28"/>
        </w:rPr>
        <w:t>NO INJURY MVA – INSURANCE CO. PHOTOS HELPFUL – HUSBAND KILLED TAKING PICTURES – CAN’T SUE CO.</w:t>
      </w:r>
    </w:p>
    <w:p w14:paraId="60B83386" w14:textId="77777777" w:rsidR="00E97D63" w:rsidRDefault="00E97D63" w:rsidP="00E97D63">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On April 22, 2022, in </w:t>
      </w:r>
      <w:r w:rsidRPr="00902188">
        <w:rPr>
          <w:rFonts w:ascii="Times New Roman" w:eastAsia="Times New Roman" w:hAnsi="Times New Roman"/>
          <w:sz w:val="24"/>
          <w:szCs w:val="24"/>
          <w:u w:val="single"/>
        </w:rPr>
        <w:t>Elephant Insurance Company, LLC v. Lorraine Kenyon, Individually and Executrix of Estate of Theodore Kenyon</w:t>
      </w:r>
      <w:r>
        <w:rPr>
          <w:rFonts w:ascii="Times New Roman" w:eastAsia="Times New Roman" w:hAnsi="Times New Roman"/>
          <w:sz w:val="24"/>
          <w:szCs w:val="24"/>
        </w:rPr>
        <w:t>, the Supreme Court of Texas held (3 to 0) that the Insurance Company did not breach a duty of care, and the trial court properly granted summary judgment to the company. Mrs. Kenyon lost control of her car on a rain-slick road, striking a guardrail. She called the Insurance Company’s call center in Virginia and was advised:</w:t>
      </w:r>
    </w:p>
    <w:p w14:paraId="159D8E06" w14:textId="77777777" w:rsidR="00E97D63" w:rsidRPr="00914550" w:rsidRDefault="00E97D63" w:rsidP="00E97D63">
      <w:pPr>
        <w:spacing w:before="100" w:beforeAutospacing="1" w:after="100" w:afterAutospacing="1" w:line="240" w:lineRule="auto"/>
        <w:rPr>
          <w:rFonts w:ascii="Times New Roman" w:eastAsia="Times New Roman" w:hAnsi="Times New Roman"/>
          <w:sz w:val="24"/>
          <w:szCs w:val="24"/>
        </w:rPr>
      </w:pPr>
      <w:r w:rsidRPr="00914550">
        <w:rPr>
          <w:rFonts w:ascii="Times New Roman" w:eastAsia="Times New Roman" w:hAnsi="Times New Roman"/>
          <w:sz w:val="24"/>
          <w:szCs w:val="24"/>
        </w:rPr>
        <w:t>         </w:t>
      </w:r>
      <w:r w:rsidRPr="00914550">
        <w:rPr>
          <w:rFonts w:ascii="Times New Roman" w:eastAsia="Times New Roman" w:hAnsi="Times New Roman"/>
          <w:i/>
          <w:iCs/>
          <w:sz w:val="24"/>
          <w:szCs w:val="24"/>
        </w:rPr>
        <w:t>Kenyon</w:t>
      </w:r>
      <w:r w:rsidRPr="00914550">
        <w:rPr>
          <w:rFonts w:ascii="Times New Roman" w:eastAsia="Times New Roman" w:hAnsi="Times New Roman"/>
          <w:sz w:val="24"/>
          <w:szCs w:val="24"/>
        </w:rPr>
        <w:t xml:space="preserve">: Do you want us to take pictures? </w:t>
      </w:r>
    </w:p>
    <w:p w14:paraId="585E36B3" w14:textId="77777777" w:rsidR="00E97D63" w:rsidRDefault="00E97D63" w:rsidP="00E97D63">
      <w:pPr>
        <w:spacing w:before="100" w:beforeAutospacing="1" w:after="100" w:afterAutospacing="1" w:line="240" w:lineRule="auto"/>
        <w:ind w:left="630"/>
        <w:rPr>
          <w:rFonts w:ascii="Times New Roman" w:eastAsia="Times New Roman" w:hAnsi="Times New Roman"/>
          <w:sz w:val="24"/>
          <w:szCs w:val="24"/>
        </w:rPr>
      </w:pPr>
      <w:r w:rsidRPr="00914550">
        <w:rPr>
          <w:rFonts w:ascii="Times New Roman" w:eastAsia="Times New Roman" w:hAnsi="Times New Roman"/>
          <w:i/>
          <w:iCs/>
          <w:sz w:val="24"/>
          <w:szCs w:val="24"/>
        </w:rPr>
        <w:t>Elephant</w:t>
      </w:r>
      <w:r w:rsidRPr="00914550">
        <w:rPr>
          <w:rFonts w:ascii="Times New Roman" w:eastAsia="Times New Roman" w:hAnsi="Times New Roman"/>
          <w:sz w:val="24"/>
          <w:szCs w:val="24"/>
        </w:rPr>
        <w:t xml:space="preserve">: Yes, ma'am. Go ahead and take pictures. And - And we always recommend that you get the police involved but it's up to you whether you call them or not. Is your vehicle </w:t>
      </w:r>
      <w:proofErr w:type="gramStart"/>
      <w:r w:rsidRPr="00914550">
        <w:rPr>
          <w:rFonts w:ascii="Times New Roman" w:eastAsia="Times New Roman" w:hAnsi="Times New Roman"/>
          <w:sz w:val="24"/>
          <w:szCs w:val="24"/>
        </w:rPr>
        <w:t>drivable</w:t>
      </w:r>
      <w:proofErr w:type="gramEnd"/>
      <w:r w:rsidRPr="00914550">
        <w:rPr>
          <w:rFonts w:ascii="Times New Roman" w:eastAsia="Times New Roman" w:hAnsi="Times New Roman"/>
          <w:sz w:val="24"/>
          <w:szCs w:val="24"/>
        </w:rPr>
        <w:t xml:space="preserve">? </w:t>
      </w:r>
    </w:p>
    <w:p w14:paraId="3165458C" w14:textId="77777777" w:rsidR="00E97D63" w:rsidRPr="00914550" w:rsidRDefault="00E97D63" w:rsidP="00E97D63">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Her husband arrived at the scene and was taking photos when another motorist struck slid on the highway, struck and killed him. </w:t>
      </w:r>
      <w:hyperlink r:id="rId230" w:history="1">
        <w:r w:rsidRPr="00D45A3B">
          <w:rPr>
            <w:rStyle w:val="Hyperlink"/>
            <w:rFonts w:ascii="Times New Roman" w:eastAsia="Times New Roman" w:hAnsi="Times New Roman"/>
            <w:sz w:val="24"/>
            <w:szCs w:val="24"/>
          </w:rPr>
          <w:t>https://law.justia.com/cases/texas/supreme-court/2022/20-0366-0.html</w:t>
        </w:r>
      </w:hyperlink>
      <w:r>
        <w:rPr>
          <w:rFonts w:ascii="Times New Roman" w:eastAsia="Times New Roman" w:hAnsi="Times New Roman"/>
          <w:sz w:val="24"/>
          <w:szCs w:val="24"/>
        </w:rPr>
        <w:t xml:space="preserve"> </w:t>
      </w:r>
    </w:p>
    <w:p w14:paraId="7D60B29F" w14:textId="77777777" w:rsidR="00E97D63" w:rsidRPr="0050649F" w:rsidRDefault="00E97D63" w:rsidP="00E97D63">
      <w:pPr>
        <w:pStyle w:val="NormalWeb"/>
        <w:rPr>
          <w:b/>
          <w:bCs/>
        </w:rPr>
      </w:pPr>
      <w:r w:rsidRPr="0050649F">
        <w:rPr>
          <w:b/>
          <w:bCs/>
        </w:rPr>
        <w:t>Legal Lesson Learned:</w:t>
      </w:r>
      <w:r>
        <w:rPr>
          <w:b/>
          <w:bCs/>
        </w:rPr>
        <w:t xml:space="preserve">  Taking photos at MVA scene can be high risk not only for civilians but also for emergency responders; it’s a shame the driver didn’t call for a police officer to arrive and further protect the scene.  </w:t>
      </w:r>
    </w:p>
    <w:p w14:paraId="65872513" w14:textId="77777777" w:rsidR="00E97D63" w:rsidRDefault="00E97D63" w:rsidP="002B1283">
      <w:pPr>
        <w:rPr>
          <w:rFonts w:ascii="Arial Black" w:hAnsi="Arial Black"/>
          <w:b/>
          <w:sz w:val="24"/>
          <w:szCs w:val="24"/>
        </w:rPr>
      </w:pPr>
    </w:p>
    <w:p w14:paraId="3549C5BE" w14:textId="77777777" w:rsidR="00E97D63" w:rsidRDefault="00E97D63" w:rsidP="002B1283">
      <w:pPr>
        <w:rPr>
          <w:rFonts w:ascii="Arial Black" w:hAnsi="Arial Black"/>
          <w:b/>
          <w:sz w:val="24"/>
          <w:szCs w:val="24"/>
        </w:rPr>
      </w:pPr>
    </w:p>
    <w:p w14:paraId="5820F722" w14:textId="5AF92E07" w:rsidR="00E63B44" w:rsidRDefault="00E63B44" w:rsidP="002B1283">
      <w:pPr>
        <w:rPr>
          <w:rFonts w:ascii="Arial Black" w:hAnsi="Arial Black"/>
          <w:b/>
          <w:sz w:val="24"/>
          <w:szCs w:val="24"/>
        </w:rPr>
      </w:pPr>
      <w:r>
        <w:rPr>
          <w:rFonts w:ascii="Arial Black" w:hAnsi="Arial Black"/>
          <w:b/>
          <w:sz w:val="24"/>
          <w:szCs w:val="24"/>
        </w:rPr>
        <w:t>1-96</w:t>
      </w:r>
    </w:p>
    <w:p w14:paraId="2467B08A" w14:textId="107E004C" w:rsidR="00257457" w:rsidRDefault="00257457" w:rsidP="002B1283">
      <w:pPr>
        <w:rPr>
          <w:rFonts w:ascii="Arial Black" w:hAnsi="Arial Black"/>
          <w:b/>
          <w:sz w:val="24"/>
          <w:szCs w:val="24"/>
        </w:rPr>
      </w:pPr>
      <w:r>
        <w:rPr>
          <w:rFonts w:ascii="Arial Black" w:hAnsi="Arial Black"/>
          <w:b/>
          <w:sz w:val="24"/>
          <w:szCs w:val="24"/>
        </w:rPr>
        <w:t>IL – RESIDENTIAL PROPERTY – SPRINKLER ORDINANCE</w:t>
      </w:r>
      <w:r w:rsidR="00EE4546">
        <w:rPr>
          <w:rFonts w:ascii="Arial Black" w:hAnsi="Arial Black"/>
          <w:b/>
          <w:sz w:val="24"/>
          <w:szCs w:val="24"/>
        </w:rPr>
        <w:t xml:space="preserve"> UPHELD</w:t>
      </w:r>
    </w:p>
    <w:p w14:paraId="7CCE4B86" w14:textId="77777777" w:rsidR="00E63B44" w:rsidRDefault="00E63B44" w:rsidP="00E63B44">
      <w:pPr>
        <w:spacing w:before="100" w:beforeAutospacing="1" w:after="100" w:afterAutospacing="1" w:line="240" w:lineRule="auto"/>
        <w:rPr>
          <w:rFonts w:ascii="Times New Roman" w:eastAsia="Times New Roman" w:hAnsi="Times New Roman"/>
          <w:sz w:val="24"/>
          <w:szCs w:val="24"/>
        </w:rPr>
      </w:pPr>
      <w:r>
        <w:rPr>
          <w:rFonts w:ascii="Times New Roman" w:hAnsi="Times New Roman"/>
          <w:sz w:val="24"/>
          <w:szCs w:val="24"/>
        </w:rPr>
        <w:t xml:space="preserve">On March 17, 2022, in </w:t>
      </w:r>
      <w:r w:rsidRPr="00114240">
        <w:rPr>
          <w:rFonts w:ascii="Times New Roman" w:hAnsi="Times New Roman"/>
          <w:sz w:val="24"/>
          <w:szCs w:val="24"/>
          <w:u w:val="single"/>
        </w:rPr>
        <w:t>2095 Stonington, LLC v. Village of Hoffman Estates</w:t>
      </w:r>
      <w:r>
        <w:rPr>
          <w:rFonts w:ascii="Times New Roman" w:hAnsi="Times New Roman"/>
          <w:sz w:val="24"/>
          <w:szCs w:val="24"/>
        </w:rPr>
        <w:t xml:space="preserve">, the Court of Appeals of Illinois, First District (Fourth Division) held (3 to 0) that the trial court properly found that the ordinance is neither arbitrary or discriminatory, and the Plaintiff when acquiring the commercial property in 2016 (13 rental units, including manufacturing operations) had an obligation to comply with the 2002 Village ordinance, at cost of about $573,000 in a building worth $1.5 million.  </w:t>
      </w:r>
      <w:r w:rsidRPr="00BB5D93">
        <w:rPr>
          <w:rFonts w:ascii="Times New Roman" w:hAnsi="Times New Roman"/>
          <w:sz w:val="24"/>
          <w:szCs w:val="24"/>
        </w:rPr>
        <w:t>The trial court concluded that plaintiff failed to prove that residential properties and commercial properties are similarly situated for purposes of fire protection of the occupants and, therefore, plaintiff's equal protection claim failed.</w:t>
      </w:r>
      <w:r>
        <w:rPr>
          <w:rFonts w:ascii="Times New Roman" w:hAnsi="Times New Roman"/>
          <w:sz w:val="24"/>
          <w:szCs w:val="24"/>
        </w:rPr>
        <w:t xml:space="preserve"> </w:t>
      </w:r>
      <w:hyperlink r:id="rId231" w:history="1">
        <w:r w:rsidRPr="0083693C">
          <w:rPr>
            <w:rStyle w:val="Hyperlink"/>
            <w:rFonts w:ascii="Times New Roman" w:eastAsia="Times New Roman" w:hAnsi="Times New Roman"/>
            <w:sz w:val="24"/>
            <w:szCs w:val="24"/>
          </w:rPr>
          <w:t>https://casetext.com/case/2095-stonington-llc-v-vill-of-hoffman-estates</w:t>
        </w:r>
      </w:hyperlink>
      <w:r>
        <w:rPr>
          <w:rFonts w:ascii="Times New Roman" w:eastAsia="Times New Roman" w:hAnsi="Times New Roman"/>
          <w:sz w:val="24"/>
          <w:szCs w:val="24"/>
        </w:rPr>
        <w:t xml:space="preserve"> </w:t>
      </w:r>
    </w:p>
    <w:p w14:paraId="11345250" w14:textId="77777777" w:rsidR="00E63B44" w:rsidRPr="0064523F" w:rsidRDefault="00E63B44" w:rsidP="00E63B44">
      <w:pPr>
        <w:spacing w:before="100" w:beforeAutospacing="1" w:after="100" w:afterAutospacing="1" w:line="240" w:lineRule="auto"/>
        <w:ind w:left="720"/>
        <w:rPr>
          <w:rFonts w:ascii="Times New Roman" w:hAnsi="Times New Roman"/>
          <w:sz w:val="24"/>
          <w:szCs w:val="24"/>
        </w:rPr>
      </w:pPr>
      <w:r>
        <w:t>“</w:t>
      </w:r>
      <w:r w:rsidRPr="0064523F">
        <w:rPr>
          <w:rFonts w:ascii="Times New Roman" w:hAnsi="Times New Roman"/>
          <w:sz w:val="24"/>
          <w:szCs w:val="24"/>
        </w:rPr>
        <w:t xml:space="preserve">Plaintiff contends that it is both arbitrary and discriminatory as the ordinance makes irrational distinctions between commercial properties and multi-family dwellings. Specifically, plaintiff observes that while defendant amended the ordinance in 2002 to exclude multi-family dwellings based on cost, such an amendment was not considered for older commercial buildings. Furthermore, plaintiff argues that its particular property did not warrant the installation of an automatic sprinkler system because it is </w:t>
      </w:r>
      <w:r w:rsidRPr="0064523F">
        <w:rPr>
          <w:rFonts w:ascii="Times New Roman" w:hAnsi="Times New Roman"/>
          <w:sz w:val="24"/>
          <w:szCs w:val="24"/>
        </w:rPr>
        <w:lastRenderedPageBreak/>
        <w:t>equipped with alternative fire prevention measures and his fire expert, Glenn, testified the construction and layout of the property made the property safer than most.</w:t>
      </w:r>
    </w:p>
    <w:p w14:paraId="1F4679A4" w14:textId="77777777" w:rsidR="00E63B44" w:rsidRPr="0064523F" w:rsidRDefault="00E63B44" w:rsidP="00E63B44">
      <w:pPr>
        <w:spacing w:before="100" w:beforeAutospacing="1" w:after="100" w:afterAutospacing="1" w:line="240" w:lineRule="auto"/>
        <w:ind w:left="720"/>
        <w:rPr>
          <w:rFonts w:ascii="Times New Roman" w:hAnsi="Times New Roman"/>
          <w:sz w:val="24"/>
          <w:szCs w:val="24"/>
        </w:rPr>
      </w:pPr>
      <w:r w:rsidRPr="0064523F">
        <w:rPr>
          <w:rFonts w:ascii="Times New Roman" w:hAnsi="Times New Roman"/>
          <w:sz w:val="24"/>
          <w:szCs w:val="24"/>
        </w:rPr>
        <w:t>***</w:t>
      </w:r>
    </w:p>
    <w:p w14:paraId="6DB5535B" w14:textId="77777777" w:rsidR="00E63B44" w:rsidRDefault="00E63B44" w:rsidP="00E63B44">
      <w:pPr>
        <w:spacing w:before="100" w:beforeAutospacing="1" w:after="100" w:afterAutospacing="1" w:line="240" w:lineRule="auto"/>
        <w:ind w:left="720"/>
        <w:rPr>
          <w:rFonts w:ascii="Times New Roman" w:eastAsia="Times New Roman" w:hAnsi="Times New Roman"/>
          <w:sz w:val="24"/>
          <w:szCs w:val="24"/>
        </w:rPr>
      </w:pPr>
      <w:r w:rsidRPr="00CD7D0E">
        <w:rPr>
          <w:rFonts w:ascii="Times New Roman" w:eastAsia="Times New Roman" w:hAnsi="Times New Roman"/>
          <w:sz w:val="24"/>
          <w:szCs w:val="24"/>
        </w:rPr>
        <w:t>While the property at issue is fitted with smoke detectors, a fire alarm system, manual pull stations, and a direct connection to the Hoffman Estates Fire Department, the evidence presented established that more can be done to protect the life and property of the occupants at the property; namely, retrofitting the property with an automatic sprinkler system. There was no dispute that were such a system installed it would benefit the public and offer more protection to the occupants than what is currently installed. The ordinance, as applied to plaintiff's property, is neither arbitrary nor discriminatory. Accordingly, we find that while the trial court did err in not applying the rational basis test, its ultimate finding was correct-the ordinance is not unconstitutional as applied to plaintiff.</w:t>
      </w:r>
      <w:r>
        <w:rPr>
          <w:rFonts w:ascii="Times New Roman" w:eastAsia="Times New Roman" w:hAnsi="Times New Roman"/>
          <w:sz w:val="24"/>
          <w:szCs w:val="24"/>
        </w:rPr>
        <w:t xml:space="preserve">” </w:t>
      </w:r>
      <w:hyperlink r:id="rId232" w:history="1">
        <w:r w:rsidRPr="0083693C">
          <w:rPr>
            <w:rStyle w:val="Hyperlink"/>
            <w:rFonts w:ascii="Times New Roman" w:eastAsia="Times New Roman" w:hAnsi="Times New Roman"/>
            <w:sz w:val="24"/>
            <w:szCs w:val="24"/>
          </w:rPr>
          <w:t>https://casetext.com/case/2095-stonington-llc-v-vill-of-hoffman-estates</w:t>
        </w:r>
      </w:hyperlink>
      <w:r>
        <w:rPr>
          <w:rFonts w:ascii="Times New Roman" w:eastAsia="Times New Roman" w:hAnsi="Times New Roman"/>
          <w:sz w:val="24"/>
          <w:szCs w:val="24"/>
        </w:rPr>
        <w:t xml:space="preserve"> </w:t>
      </w:r>
    </w:p>
    <w:p w14:paraId="59121ED6" w14:textId="77777777" w:rsidR="00E63B44" w:rsidRPr="002C3FE0" w:rsidRDefault="00E63B44" w:rsidP="00E63B44">
      <w:pPr>
        <w:spacing w:before="100" w:beforeAutospacing="1" w:after="100" w:afterAutospacing="1" w:line="240" w:lineRule="auto"/>
        <w:rPr>
          <w:rFonts w:ascii="Times New Roman" w:eastAsia="Times New Roman" w:hAnsi="Times New Roman"/>
          <w:b/>
          <w:bCs/>
          <w:sz w:val="24"/>
          <w:szCs w:val="24"/>
        </w:rPr>
      </w:pPr>
      <w:r w:rsidRPr="00091755">
        <w:rPr>
          <w:rFonts w:ascii="Times New Roman" w:eastAsia="Times New Roman" w:hAnsi="Times New Roman"/>
          <w:b/>
          <w:bCs/>
          <w:sz w:val="24"/>
          <w:szCs w:val="24"/>
        </w:rPr>
        <w:t>Legal Lesson Learned:</w:t>
      </w:r>
      <w:r>
        <w:rPr>
          <w:rFonts w:ascii="Times New Roman" w:eastAsia="Times New Roman" w:hAnsi="Times New Roman"/>
          <w:b/>
          <w:bCs/>
          <w:sz w:val="24"/>
          <w:szCs w:val="24"/>
        </w:rPr>
        <w:t xml:space="preserve"> Excellent decision, balancing the benefits of sprinklers versus costs. </w:t>
      </w:r>
    </w:p>
    <w:p w14:paraId="6ECCFF6C" w14:textId="77777777" w:rsidR="00E63B44" w:rsidRDefault="00E63B44" w:rsidP="002B1283">
      <w:pPr>
        <w:rPr>
          <w:rFonts w:ascii="Arial Black" w:hAnsi="Arial Black"/>
          <w:b/>
          <w:sz w:val="24"/>
          <w:szCs w:val="24"/>
        </w:rPr>
      </w:pPr>
    </w:p>
    <w:p w14:paraId="339A306A" w14:textId="03B5C180" w:rsidR="00A20CA7" w:rsidRDefault="00A20CA7" w:rsidP="002B1283">
      <w:pPr>
        <w:rPr>
          <w:rFonts w:ascii="Arial Black" w:hAnsi="Arial Black"/>
          <w:b/>
          <w:sz w:val="24"/>
          <w:szCs w:val="24"/>
        </w:rPr>
      </w:pPr>
      <w:r>
        <w:rPr>
          <w:rFonts w:ascii="Arial Black" w:hAnsi="Arial Black"/>
          <w:b/>
          <w:sz w:val="24"/>
          <w:szCs w:val="24"/>
        </w:rPr>
        <w:t>1-95</w:t>
      </w:r>
    </w:p>
    <w:p w14:paraId="5DF07700" w14:textId="77777777" w:rsidR="00A20CA7" w:rsidRDefault="00A20CA7" w:rsidP="00A20CA7">
      <w:pPr>
        <w:rPr>
          <w:rStyle w:val="markedcontent"/>
          <w:rFonts w:ascii="Arial Black" w:hAnsi="Arial Black"/>
          <w:sz w:val="28"/>
          <w:szCs w:val="28"/>
        </w:rPr>
      </w:pPr>
      <w:r>
        <w:rPr>
          <w:rStyle w:val="markedcontent"/>
          <w:rFonts w:ascii="Arial Black" w:hAnsi="Arial Black"/>
          <w:sz w:val="28"/>
          <w:szCs w:val="28"/>
        </w:rPr>
        <w:t>U.S. SUP. CT: COVID-19 - OSHA MANDATE SET ASIDE – CMS MANDATE FOR HEALTH WORKERS UPHELD</w:t>
      </w:r>
    </w:p>
    <w:p w14:paraId="6D123222" w14:textId="03B28E12" w:rsidR="00A20CA7" w:rsidRDefault="00A20CA7" w:rsidP="00A20CA7">
      <w:pPr>
        <w:rPr>
          <w:rFonts w:ascii="Times New Roman" w:hAnsi="Times New Roman"/>
          <w:sz w:val="24"/>
          <w:szCs w:val="24"/>
        </w:rPr>
      </w:pPr>
      <w:r>
        <w:rPr>
          <w:rFonts w:ascii="Times New Roman" w:hAnsi="Times New Roman"/>
          <w:sz w:val="24"/>
          <w:szCs w:val="24"/>
        </w:rPr>
        <w:t xml:space="preserve">On Jan. 13, 2022, in </w:t>
      </w:r>
      <w:r w:rsidRPr="00132CF6">
        <w:rPr>
          <w:rFonts w:ascii="Times New Roman" w:hAnsi="Times New Roman"/>
          <w:sz w:val="24"/>
          <w:szCs w:val="24"/>
          <w:u w:val="single"/>
        </w:rPr>
        <w:t>Biden v. Missouri</w:t>
      </w:r>
      <w:r>
        <w:rPr>
          <w:rFonts w:ascii="Times New Roman" w:hAnsi="Times New Roman"/>
          <w:sz w:val="24"/>
          <w:szCs w:val="24"/>
        </w:rPr>
        <w:t>, the U.S. Supreme Court (5 to 4) upheld the health worker</w:t>
      </w:r>
      <w:r w:rsidR="002E00D9">
        <w:rPr>
          <w:rFonts w:ascii="Times New Roman" w:hAnsi="Times New Roman"/>
          <w:sz w:val="24"/>
          <w:szCs w:val="24"/>
        </w:rPr>
        <w:t>’</w:t>
      </w:r>
      <w:r>
        <w:rPr>
          <w:rFonts w:ascii="Times New Roman" w:hAnsi="Times New Roman"/>
          <w:sz w:val="24"/>
          <w:szCs w:val="24"/>
        </w:rPr>
        <w:t xml:space="preserve">s mandate. </w:t>
      </w:r>
    </w:p>
    <w:p w14:paraId="6E1A3B35" w14:textId="00F62972" w:rsidR="00A20CA7" w:rsidRDefault="00A20CA7" w:rsidP="00A20CA7">
      <w:pPr>
        <w:ind w:left="720"/>
        <w:rPr>
          <w:rFonts w:ascii="Times New Roman" w:hAnsi="Times New Roman"/>
          <w:sz w:val="24"/>
          <w:szCs w:val="24"/>
        </w:rPr>
      </w:pPr>
      <w:r>
        <w:rPr>
          <w:rStyle w:val="markedcontent"/>
          <w:rFonts w:ascii="Times New Roman" w:hAnsi="Times New Roman"/>
          <w:sz w:val="24"/>
          <w:szCs w:val="24"/>
        </w:rPr>
        <w:t>“</w:t>
      </w:r>
      <w:r w:rsidRPr="00132CF6">
        <w:rPr>
          <w:rStyle w:val="markedcontent"/>
          <w:rFonts w:ascii="Times New Roman" w:hAnsi="Times New Roman"/>
          <w:sz w:val="24"/>
          <w:szCs w:val="24"/>
        </w:rPr>
        <w:t>The Secretary of Health and Human Services administers the Medicare and Medicaid programs, which provide</w:t>
      </w:r>
      <w:r>
        <w:rPr>
          <w:rStyle w:val="markedcontent"/>
          <w:rFonts w:ascii="Times New Roman" w:hAnsi="Times New Roman"/>
          <w:sz w:val="24"/>
          <w:szCs w:val="24"/>
        </w:rPr>
        <w:t xml:space="preserve"> </w:t>
      </w:r>
      <w:r w:rsidRPr="00132CF6">
        <w:rPr>
          <w:rStyle w:val="markedcontent"/>
          <w:rFonts w:ascii="Times New Roman" w:hAnsi="Times New Roman"/>
          <w:sz w:val="24"/>
          <w:szCs w:val="24"/>
        </w:rPr>
        <w:t xml:space="preserve">health insurance for millions of elderly, disabled, and low-income Americans. In November 2021, the Secretary announced that, </w:t>
      </w:r>
      <w:proofErr w:type="gramStart"/>
      <w:r w:rsidRPr="00132CF6">
        <w:rPr>
          <w:rStyle w:val="markedcontent"/>
          <w:rFonts w:ascii="Times New Roman" w:hAnsi="Times New Roman"/>
          <w:sz w:val="24"/>
          <w:szCs w:val="24"/>
        </w:rPr>
        <w:t>in order to</w:t>
      </w:r>
      <w:proofErr w:type="gramEnd"/>
      <w:r w:rsidRPr="00132CF6">
        <w:rPr>
          <w:rStyle w:val="markedcontent"/>
          <w:rFonts w:ascii="Times New Roman" w:hAnsi="Times New Roman"/>
          <w:sz w:val="24"/>
          <w:szCs w:val="24"/>
        </w:rPr>
        <w:t xml:space="preserve"> receive Medicare and Medicaid</w:t>
      </w:r>
      <w:r>
        <w:rPr>
          <w:rStyle w:val="markedcontent"/>
          <w:rFonts w:ascii="Times New Roman" w:hAnsi="Times New Roman"/>
          <w:sz w:val="24"/>
          <w:szCs w:val="24"/>
        </w:rPr>
        <w:t xml:space="preserve"> </w:t>
      </w:r>
      <w:r w:rsidRPr="00132CF6">
        <w:rPr>
          <w:rStyle w:val="markedcontent"/>
          <w:rFonts w:ascii="Times New Roman" w:hAnsi="Times New Roman"/>
          <w:sz w:val="24"/>
          <w:szCs w:val="24"/>
        </w:rPr>
        <w:t>funding, participating facilities must ensure that their</w:t>
      </w:r>
      <w:r w:rsidR="002E00D9">
        <w:rPr>
          <w:rStyle w:val="markedcontent"/>
          <w:rFonts w:ascii="Times New Roman" w:hAnsi="Times New Roman"/>
          <w:sz w:val="24"/>
          <w:szCs w:val="24"/>
        </w:rPr>
        <w:t xml:space="preserve"> </w:t>
      </w:r>
      <w:r w:rsidRPr="00132CF6">
        <w:rPr>
          <w:rStyle w:val="markedcontent"/>
          <w:rFonts w:ascii="Times New Roman" w:hAnsi="Times New Roman"/>
          <w:sz w:val="24"/>
          <w:szCs w:val="24"/>
        </w:rPr>
        <w:t>staff—unless exempt for medical or religious reasons—are</w:t>
      </w:r>
      <w:r>
        <w:rPr>
          <w:rStyle w:val="markedcontent"/>
          <w:rFonts w:ascii="Times New Roman" w:hAnsi="Times New Roman"/>
          <w:sz w:val="24"/>
          <w:szCs w:val="24"/>
        </w:rPr>
        <w:t xml:space="preserve"> </w:t>
      </w:r>
      <w:r w:rsidRPr="00132CF6">
        <w:rPr>
          <w:rStyle w:val="markedcontent"/>
          <w:rFonts w:ascii="Times New Roman" w:hAnsi="Times New Roman"/>
          <w:sz w:val="24"/>
          <w:szCs w:val="24"/>
        </w:rPr>
        <w:t>vaccinated against COVID–19</w:t>
      </w:r>
      <w:r>
        <w:rPr>
          <w:rStyle w:val="markedcontent"/>
          <w:rFonts w:ascii="Times New Roman" w:hAnsi="Times New Roman"/>
          <w:sz w:val="24"/>
          <w:szCs w:val="24"/>
        </w:rPr>
        <w:t xml:space="preserve">….  </w:t>
      </w:r>
      <w:r w:rsidRPr="00132CF6">
        <w:rPr>
          <w:rStyle w:val="markedcontent"/>
          <w:rFonts w:ascii="Times New Roman" w:hAnsi="Times New Roman"/>
          <w:sz w:val="24"/>
          <w:szCs w:val="24"/>
        </w:rPr>
        <w:t>Two District Courts enjoined enforcement of the rule, and</w:t>
      </w:r>
      <w:r>
        <w:rPr>
          <w:rStyle w:val="markedcontent"/>
          <w:rFonts w:ascii="Times New Roman" w:hAnsi="Times New Roman"/>
          <w:sz w:val="24"/>
          <w:szCs w:val="24"/>
        </w:rPr>
        <w:t xml:space="preserve"> </w:t>
      </w:r>
      <w:r w:rsidRPr="00132CF6">
        <w:rPr>
          <w:rStyle w:val="markedcontent"/>
          <w:rFonts w:ascii="Times New Roman" w:hAnsi="Times New Roman"/>
          <w:sz w:val="24"/>
          <w:szCs w:val="24"/>
        </w:rPr>
        <w:t>the Government now asks us to stay those injunctions.</w:t>
      </w:r>
      <w:r>
        <w:rPr>
          <w:rStyle w:val="markedcontent"/>
          <w:rFonts w:ascii="Times New Roman" w:hAnsi="Times New Roman"/>
          <w:sz w:val="24"/>
          <w:szCs w:val="24"/>
        </w:rPr>
        <w:t xml:space="preserve"> </w:t>
      </w:r>
      <w:r w:rsidRPr="00132CF6">
        <w:rPr>
          <w:rStyle w:val="markedcontent"/>
          <w:rFonts w:ascii="Times New Roman" w:hAnsi="Times New Roman"/>
          <w:sz w:val="24"/>
          <w:szCs w:val="24"/>
        </w:rPr>
        <w:t>Agreeing that it is entitled to such relief, we grant the applications.</w:t>
      </w:r>
      <w:r>
        <w:rPr>
          <w:rStyle w:val="markedcontent"/>
          <w:rFonts w:ascii="Times New Roman" w:hAnsi="Times New Roman"/>
          <w:sz w:val="24"/>
          <w:szCs w:val="24"/>
        </w:rPr>
        <w:t>”</w:t>
      </w:r>
      <w:r w:rsidRPr="00132CF6">
        <w:rPr>
          <w:rFonts w:ascii="Times New Roman" w:hAnsi="Times New Roman"/>
          <w:sz w:val="24"/>
          <w:szCs w:val="24"/>
        </w:rPr>
        <w:t xml:space="preserve">  </w:t>
      </w:r>
      <w:hyperlink r:id="rId233" w:history="1">
        <w:r w:rsidRPr="00A83547">
          <w:rPr>
            <w:rStyle w:val="Hyperlink"/>
            <w:rFonts w:ascii="Times New Roman" w:hAnsi="Times New Roman"/>
            <w:sz w:val="24"/>
            <w:szCs w:val="24"/>
          </w:rPr>
          <w:t>https://www.supremecourt.gov/opinions/21pdf/21a240_d18e.pdf</w:t>
        </w:r>
      </w:hyperlink>
      <w:r>
        <w:rPr>
          <w:rFonts w:ascii="Times New Roman" w:hAnsi="Times New Roman"/>
          <w:sz w:val="24"/>
          <w:szCs w:val="24"/>
        </w:rPr>
        <w:t xml:space="preserve"> </w:t>
      </w:r>
    </w:p>
    <w:p w14:paraId="7F5E6001" w14:textId="77777777" w:rsidR="00A20CA7" w:rsidRDefault="00A20CA7" w:rsidP="00A20CA7">
      <w:pPr>
        <w:ind w:left="720"/>
        <w:rPr>
          <w:rFonts w:ascii="Times New Roman" w:hAnsi="Times New Roman"/>
          <w:sz w:val="24"/>
          <w:szCs w:val="24"/>
        </w:rPr>
      </w:pPr>
    </w:p>
    <w:p w14:paraId="6295FB06" w14:textId="77777777" w:rsidR="00A20CA7" w:rsidRDefault="00A20CA7" w:rsidP="00A20CA7">
      <w:pPr>
        <w:rPr>
          <w:rFonts w:ascii="Times New Roman" w:hAnsi="Times New Roman"/>
          <w:sz w:val="24"/>
          <w:szCs w:val="24"/>
        </w:rPr>
      </w:pPr>
      <w:r>
        <w:rPr>
          <w:rFonts w:ascii="Times New Roman" w:hAnsi="Times New Roman"/>
          <w:sz w:val="24"/>
          <w:szCs w:val="24"/>
        </w:rPr>
        <w:t xml:space="preserve">On Jan. 13, 2022, in </w:t>
      </w:r>
      <w:r w:rsidRPr="007918CC">
        <w:rPr>
          <w:rFonts w:ascii="Times New Roman" w:hAnsi="Times New Roman"/>
          <w:sz w:val="24"/>
          <w:szCs w:val="24"/>
          <w:u w:val="single"/>
        </w:rPr>
        <w:t>National Federal of Independent Business, et al. v. U.S. Department of Labor (OSHA)</w:t>
      </w:r>
      <w:r>
        <w:rPr>
          <w:rFonts w:ascii="Times New Roman" w:hAnsi="Times New Roman"/>
          <w:sz w:val="24"/>
          <w:szCs w:val="24"/>
        </w:rPr>
        <w:t>, the U.S. Supreme Court (6 to 3) struck down the OSHA rule.</w:t>
      </w:r>
    </w:p>
    <w:p w14:paraId="2ECC0E57" w14:textId="77777777" w:rsidR="00A20CA7" w:rsidRPr="007918CC" w:rsidRDefault="00A20CA7" w:rsidP="00A20CA7">
      <w:pPr>
        <w:ind w:left="720"/>
        <w:rPr>
          <w:rFonts w:ascii="Times New Roman" w:hAnsi="Times New Roman"/>
          <w:sz w:val="24"/>
          <w:szCs w:val="24"/>
        </w:rPr>
      </w:pPr>
      <w:r>
        <w:rPr>
          <w:rFonts w:ascii="Times New Roman" w:hAnsi="Times New Roman"/>
          <w:sz w:val="24"/>
          <w:szCs w:val="24"/>
        </w:rPr>
        <w:t>“</w:t>
      </w:r>
      <w:r w:rsidRPr="007918CC">
        <w:rPr>
          <w:rStyle w:val="markedcontent"/>
          <w:rFonts w:ascii="Times New Roman" w:hAnsi="Times New Roman"/>
          <w:sz w:val="24"/>
          <w:szCs w:val="24"/>
        </w:rPr>
        <w:t>The Secretary of Labor, acting through the Occupational</w:t>
      </w:r>
      <w:r>
        <w:rPr>
          <w:rStyle w:val="markedcontent"/>
          <w:rFonts w:ascii="Times New Roman" w:hAnsi="Times New Roman"/>
          <w:sz w:val="24"/>
          <w:szCs w:val="24"/>
        </w:rPr>
        <w:t xml:space="preserve"> </w:t>
      </w:r>
      <w:r w:rsidRPr="007918CC">
        <w:rPr>
          <w:rStyle w:val="markedcontent"/>
          <w:rFonts w:ascii="Times New Roman" w:hAnsi="Times New Roman"/>
          <w:sz w:val="24"/>
          <w:szCs w:val="24"/>
        </w:rPr>
        <w:t>Safety and Health Administration, recently enacted a vaccine mandate for much of the Nation’s work force. The</w:t>
      </w:r>
      <w:r>
        <w:rPr>
          <w:rStyle w:val="markedcontent"/>
          <w:rFonts w:ascii="Times New Roman" w:hAnsi="Times New Roman"/>
          <w:sz w:val="24"/>
          <w:szCs w:val="24"/>
        </w:rPr>
        <w:t xml:space="preserve"> </w:t>
      </w:r>
      <w:r w:rsidRPr="007918CC">
        <w:rPr>
          <w:rStyle w:val="markedcontent"/>
          <w:rFonts w:ascii="Times New Roman" w:hAnsi="Times New Roman"/>
          <w:sz w:val="24"/>
          <w:szCs w:val="24"/>
        </w:rPr>
        <w:t>mandate, which employers must enforce, applies to roughly</w:t>
      </w:r>
      <w:r>
        <w:rPr>
          <w:rStyle w:val="markedcontent"/>
          <w:rFonts w:ascii="Times New Roman" w:hAnsi="Times New Roman"/>
          <w:sz w:val="24"/>
          <w:szCs w:val="24"/>
        </w:rPr>
        <w:t xml:space="preserve"> </w:t>
      </w:r>
      <w:r w:rsidRPr="007918CC">
        <w:rPr>
          <w:rStyle w:val="markedcontent"/>
          <w:rFonts w:ascii="Times New Roman" w:hAnsi="Times New Roman"/>
          <w:sz w:val="24"/>
          <w:szCs w:val="24"/>
        </w:rPr>
        <w:t>84 million workers, covering virtually all employers with at</w:t>
      </w:r>
      <w:r>
        <w:rPr>
          <w:rStyle w:val="markedcontent"/>
          <w:rFonts w:ascii="Times New Roman" w:hAnsi="Times New Roman"/>
          <w:sz w:val="24"/>
          <w:szCs w:val="24"/>
        </w:rPr>
        <w:t xml:space="preserve"> </w:t>
      </w:r>
      <w:r w:rsidRPr="007918CC">
        <w:rPr>
          <w:rStyle w:val="markedcontent"/>
          <w:rFonts w:ascii="Times New Roman" w:hAnsi="Times New Roman"/>
          <w:sz w:val="24"/>
          <w:szCs w:val="24"/>
        </w:rPr>
        <w:t>least 100 employees. It requires that covered workers receive a COVID–19 vaccine, and it pre-empts contrary state</w:t>
      </w:r>
      <w:r>
        <w:rPr>
          <w:rStyle w:val="markedcontent"/>
          <w:rFonts w:ascii="Times New Roman" w:hAnsi="Times New Roman"/>
          <w:sz w:val="24"/>
          <w:szCs w:val="24"/>
        </w:rPr>
        <w:t xml:space="preserve"> </w:t>
      </w:r>
      <w:r w:rsidRPr="007918CC">
        <w:rPr>
          <w:rStyle w:val="markedcontent"/>
          <w:rFonts w:ascii="Times New Roman" w:hAnsi="Times New Roman"/>
          <w:sz w:val="24"/>
          <w:szCs w:val="24"/>
        </w:rPr>
        <w:t>laws. The only exception is for workers who obtain a medical test each week at their own expense and on their own</w:t>
      </w:r>
      <w:r>
        <w:rPr>
          <w:rStyle w:val="markedcontent"/>
          <w:rFonts w:ascii="Times New Roman" w:hAnsi="Times New Roman"/>
          <w:sz w:val="24"/>
          <w:szCs w:val="24"/>
        </w:rPr>
        <w:t xml:space="preserve"> </w:t>
      </w:r>
      <w:proofErr w:type="gramStart"/>
      <w:r w:rsidRPr="007918CC">
        <w:rPr>
          <w:rStyle w:val="markedcontent"/>
          <w:rFonts w:ascii="Times New Roman" w:hAnsi="Times New Roman"/>
          <w:sz w:val="24"/>
          <w:szCs w:val="24"/>
        </w:rPr>
        <w:t>time, and</w:t>
      </w:r>
      <w:proofErr w:type="gramEnd"/>
      <w:r w:rsidRPr="007918CC">
        <w:rPr>
          <w:rStyle w:val="markedcontent"/>
          <w:rFonts w:ascii="Times New Roman" w:hAnsi="Times New Roman"/>
          <w:sz w:val="24"/>
          <w:szCs w:val="24"/>
        </w:rPr>
        <w:t xml:space="preserve"> also wear a mask each workday. OSHA has </w:t>
      </w:r>
      <w:proofErr w:type="gramStart"/>
      <w:r w:rsidRPr="007918CC">
        <w:rPr>
          <w:rStyle w:val="markedcontent"/>
          <w:rFonts w:ascii="Times New Roman" w:hAnsi="Times New Roman"/>
          <w:sz w:val="24"/>
          <w:szCs w:val="24"/>
        </w:rPr>
        <w:t>never</w:t>
      </w:r>
      <w:r>
        <w:rPr>
          <w:rStyle w:val="markedcontent"/>
          <w:rFonts w:ascii="Times New Roman" w:hAnsi="Times New Roman"/>
          <w:sz w:val="24"/>
          <w:szCs w:val="24"/>
        </w:rPr>
        <w:t xml:space="preserve"> </w:t>
      </w:r>
      <w:r w:rsidRPr="007918CC">
        <w:rPr>
          <w:rStyle w:val="markedcontent"/>
          <w:rFonts w:ascii="Times New Roman" w:hAnsi="Times New Roman"/>
          <w:sz w:val="24"/>
          <w:szCs w:val="24"/>
        </w:rPr>
        <w:t>before</w:t>
      </w:r>
      <w:proofErr w:type="gramEnd"/>
      <w:r w:rsidRPr="007918CC">
        <w:rPr>
          <w:rStyle w:val="markedcontent"/>
          <w:rFonts w:ascii="Times New Roman" w:hAnsi="Times New Roman"/>
          <w:sz w:val="24"/>
          <w:szCs w:val="24"/>
        </w:rPr>
        <w:t xml:space="preserve"> imposed such a mandate. Nor has Congress. Indeed,</w:t>
      </w:r>
      <w:r>
        <w:rPr>
          <w:rStyle w:val="markedcontent"/>
          <w:rFonts w:ascii="Times New Roman" w:hAnsi="Times New Roman"/>
          <w:sz w:val="24"/>
          <w:szCs w:val="24"/>
        </w:rPr>
        <w:t xml:space="preserve"> </w:t>
      </w:r>
      <w:r w:rsidRPr="007918CC">
        <w:rPr>
          <w:rStyle w:val="markedcontent"/>
          <w:rFonts w:ascii="Times New Roman" w:hAnsi="Times New Roman"/>
          <w:sz w:val="24"/>
          <w:szCs w:val="24"/>
        </w:rPr>
        <w:t xml:space="preserve">although Congress has enacted significant legislation addressing the COVID–19 pandemic, it has declined to enact any measure </w:t>
      </w:r>
      <w:proofErr w:type="gramStart"/>
      <w:r w:rsidRPr="007918CC">
        <w:rPr>
          <w:rStyle w:val="markedcontent"/>
          <w:rFonts w:ascii="Times New Roman" w:hAnsi="Times New Roman"/>
          <w:sz w:val="24"/>
          <w:szCs w:val="24"/>
        </w:rPr>
        <w:t>similar to</w:t>
      </w:r>
      <w:proofErr w:type="gramEnd"/>
      <w:r w:rsidRPr="007918CC">
        <w:rPr>
          <w:rStyle w:val="markedcontent"/>
          <w:rFonts w:ascii="Times New Roman" w:hAnsi="Times New Roman"/>
          <w:sz w:val="24"/>
          <w:szCs w:val="24"/>
        </w:rPr>
        <w:t xml:space="preserve"> what OSHA has promulgated here.</w:t>
      </w:r>
      <w:r>
        <w:rPr>
          <w:rStyle w:val="markedcontent"/>
          <w:rFonts w:ascii="Times New Roman" w:hAnsi="Times New Roman"/>
          <w:sz w:val="24"/>
          <w:szCs w:val="24"/>
        </w:rPr>
        <w:t xml:space="preserve"> </w:t>
      </w:r>
      <w:r w:rsidRPr="007918CC">
        <w:rPr>
          <w:rStyle w:val="markedcontent"/>
          <w:rFonts w:ascii="Times New Roman" w:hAnsi="Times New Roman"/>
          <w:sz w:val="24"/>
          <w:szCs w:val="24"/>
        </w:rPr>
        <w:t>Many States, businesses, and nonprofit organizations</w:t>
      </w:r>
      <w:r>
        <w:rPr>
          <w:rStyle w:val="markedcontent"/>
          <w:rFonts w:ascii="Times New Roman" w:hAnsi="Times New Roman"/>
          <w:sz w:val="24"/>
          <w:szCs w:val="24"/>
        </w:rPr>
        <w:t xml:space="preserve"> </w:t>
      </w:r>
      <w:r w:rsidRPr="007918CC">
        <w:rPr>
          <w:rStyle w:val="markedcontent"/>
          <w:rFonts w:ascii="Times New Roman" w:hAnsi="Times New Roman"/>
          <w:sz w:val="24"/>
          <w:szCs w:val="24"/>
        </w:rPr>
        <w:t xml:space="preserve">challenged OSHA’s rule in Courts of </w:t>
      </w:r>
      <w:r w:rsidRPr="007918CC">
        <w:rPr>
          <w:rStyle w:val="markedcontent"/>
          <w:rFonts w:ascii="Times New Roman" w:hAnsi="Times New Roman"/>
          <w:sz w:val="24"/>
          <w:szCs w:val="24"/>
        </w:rPr>
        <w:lastRenderedPageBreak/>
        <w:t>Appeals across the</w:t>
      </w:r>
      <w:r>
        <w:rPr>
          <w:rStyle w:val="markedcontent"/>
          <w:rFonts w:ascii="Times New Roman" w:hAnsi="Times New Roman"/>
          <w:sz w:val="24"/>
          <w:szCs w:val="24"/>
        </w:rPr>
        <w:t xml:space="preserve"> </w:t>
      </w:r>
      <w:r w:rsidRPr="007918CC">
        <w:rPr>
          <w:rStyle w:val="markedcontent"/>
          <w:rFonts w:ascii="Times New Roman" w:hAnsi="Times New Roman"/>
          <w:sz w:val="24"/>
          <w:szCs w:val="24"/>
        </w:rPr>
        <w:t>country. The Fifth Circuit initially entered a stay. But</w:t>
      </w:r>
      <w:r>
        <w:rPr>
          <w:rStyle w:val="markedcontent"/>
          <w:rFonts w:ascii="Times New Roman" w:hAnsi="Times New Roman"/>
          <w:sz w:val="24"/>
          <w:szCs w:val="24"/>
        </w:rPr>
        <w:t xml:space="preserve"> </w:t>
      </w:r>
      <w:r w:rsidRPr="007918CC">
        <w:rPr>
          <w:rStyle w:val="markedcontent"/>
          <w:rFonts w:ascii="Times New Roman" w:hAnsi="Times New Roman"/>
          <w:sz w:val="24"/>
          <w:szCs w:val="24"/>
        </w:rPr>
        <w:t>when the cases were consolidated before the Sixth Circuit,</w:t>
      </w:r>
      <w:r>
        <w:rPr>
          <w:rStyle w:val="markedcontent"/>
          <w:rFonts w:ascii="Times New Roman" w:hAnsi="Times New Roman"/>
          <w:sz w:val="24"/>
          <w:szCs w:val="24"/>
        </w:rPr>
        <w:t xml:space="preserve"> </w:t>
      </w:r>
      <w:r w:rsidRPr="007918CC">
        <w:rPr>
          <w:rStyle w:val="markedcontent"/>
          <w:rFonts w:ascii="Times New Roman" w:hAnsi="Times New Roman"/>
          <w:sz w:val="24"/>
          <w:szCs w:val="24"/>
        </w:rPr>
        <w:t>that court lifted the stay and allowed OSHA’s rule to take</w:t>
      </w:r>
      <w:r>
        <w:rPr>
          <w:rStyle w:val="markedcontent"/>
          <w:rFonts w:ascii="Times New Roman" w:hAnsi="Times New Roman"/>
          <w:sz w:val="24"/>
          <w:szCs w:val="24"/>
        </w:rPr>
        <w:t xml:space="preserve"> </w:t>
      </w:r>
      <w:r w:rsidRPr="007918CC">
        <w:rPr>
          <w:rStyle w:val="markedcontent"/>
          <w:rFonts w:ascii="Times New Roman" w:hAnsi="Times New Roman"/>
          <w:sz w:val="24"/>
          <w:szCs w:val="24"/>
        </w:rPr>
        <w:t>effect. Applicants now seek emergency relief from this</w:t>
      </w:r>
      <w:r>
        <w:rPr>
          <w:rStyle w:val="markedcontent"/>
          <w:rFonts w:ascii="Times New Roman" w:hAnsi="Times New Roman"/>
          <w:sz w:val="24"/>
          <w:szCs w:val="24"/>
        </w:rPr>
        <w:t xml:space="preserve"> </w:t>
      </w:r>
      <w:r w:rsidRPr="007918CC">
        <w:rPr>
          <w:rStyle w:val="markedcontent"/>
          <w:rFonts w:ascii="Times New Roman" w:hAnsi="Times New Roman"/>
          <w:sz w:val="24"/>
          <w:szCs w:val="24"/>
        </w:rPr>
        <w:t>Court, arguing that OSHA’s mandate exceeds its statutory</w:t>
      </w:r>
      <w:r>
        <w:rPr>
          <w:rStyle w:val="markedcontent"/>
          <w:rFonts w:ascii="Times New Roman" w:hAnsi="Times New Roman"/>
          <w:sz w:val="24"/>
          <w:szCs w:val="24"/>
        </w:rPr>
        <w:t xml:space="preserve"> </w:t>
      </w:r>
      <w:r w:rsidRPr="007918CC">
        <w:rPr>
          <w:rStyle w:val="markedcontent"/>
          <w:rFonts w:ascii="Times New Roman" w:hAnsi="Times New Roman"/>
          <w:sz w:val="24"/>
          <w:szCs w:val="24"/>
        </w:rPr>
        <w:t>authority and is otherwise unlawful. Agreeing that applicants are likely to prevail, we grant their applications and</w:t>
      </w:r>
      <w:r>
        <w:rPr>
          <w:rStyle w:val="markedcontent"/>
          <w:rFonts w:ascii="Times New Roman" w:hAnsi="Times New Roman"/>
          <w:sz w:val="24"/>
          <w:szCs w:val="24"/>
        </w:rPr>
        <w:t xml:space="preserve"> </w:t>
      </w:r>
      <w:r w:rsidRPr="007918CC">
        <w:rPr>
          <w:rStyle w:val="markedcontent"/>
          <w:rFonts w:ascii="Times New Roman" w:hAnsi="Times New Roman"/>
          <w:sz w:val="24"/>
          <w:szCs w:val="24"/>
        </w:rPr>
        <w:t>stay the rule.</w:t>
      </w:r>
      <w:r>
        <w:rPr>
          <w:rStyle w:val="markedcontent"/>
          <w:rFonts w:ascii="Times New Roman" w:hAnsi="Times New Roman"/>
          <w:sz w:val="24"/>
          <w:szCs w:val="24"/>
        </w:rPr>
        <w:t xml:space="preserve">” </w:t>
      </w:r>
      <w:hyperlink r:id="rId234" w:history="1">
        <w:r w:rsidRPr="00A83547">
          <w:rPr>
            <w:rStyle w:val="Hyperlink"/>
            <w:rFonts w:ascii="Times New Roman" w:hAnsi="Times New Roman"/>
            <w:sz w:val="24"/>
            <w:szCs w:val="24"/>
          </w:rPr>
          <w:t>https://www.supremecourt.gov/opinions/21pdf/21a244_hgci.pdf</w:t>
        </w:r>
      </w:hyperlink>
      <w:r>
        <w:rPr>
          <w:rStyle w:val="markedcontent"/>
          <w:rFonts w:ascii="Times New Roman" w:hAnsi="Times New Roman"/>
          <w:sz w:val="24"/>
          <w:szCs w:val="24"/>
        </w:rPr>
        <w:t xml:space="preserve"> </w:t>
      </w:r>
    </w:p>
    <w:p w14:paraId="654EEE6E" w14:textId="77777777" w:rsidR="00A20CA7" w:rsidRPr="00893B6D" w:rsidRDefault="00A20CA7" w:rsidP="00A20CA7">
      <w:pPr>
        <w:rPr>
          <w:b/>
          <w:bCs/>
        </w:rPr>
      </w:pPr>
      <w:r w:rsidRPr="00893B6D">
        <w:rPr>
          <w:rFonts w:ascii="Times New Roman" w:hAnsi="Times New Roman"/>
          <w:b/>
          <w:bCs/>
          <w:sz w:val="24"/>
          <w:szCs w:val="24"/>
        </w:rPr>
        <w:t xml:space="preserve">Legal Lesson Learned: In Biden v. Missouri, the health mandate was upheld when two conservative Justices, </w:t>
      </w:r>
      <w:r w:rsidRPr="00E644C2">
        <w:rPr>
          <w:rFonts w:ascii="Times New Roman" w:eastAsia="Times New Roman" w:hAnsi="Times New Roman"/>
          <w:b/>
          <w:bCs/>
          <w:sz w:val="24"/>
          <w:szCs w:val="24"/>
        </w:rPr>
        <w:t>Chief Justice John G. Roberts Jr. and Brett M. Kavanaugh—joined with the court’s three liberal justices to form the majority</w:t>
      </w:r>
      <w:r w:rsidRPr="00893B6D">
        <w:rPr>
          <w:rFonts w:ascii="Times New Roman" w:eastAsia="Times New Roman" w:hAnsi="Times New Roman"/>
          <w:b/>
          <w:bCs/>
          <w:sz w:val="24"/>
          <w:szCs w:val="24"/>
        </w:rPr>
        <w:t xml:space="preserve">. </w:t>
      </w:r>
    </w:p>
    <w:p w14:paraId="201DCF19" w14:textId="77777777" w:rsidR="00A20CA7" w:rsidRPr="00910F74" w:rsidRDefault="00A20CA7" w:rsidP="00A20CA7">
      <w:pPr>
        <w:ind w:left="720" w:firstLine="50"/>
        <w:rPr>
          <w:rFonts w:ascii="Times New Roman" w:hAnsi="Times New Roman"/>
          <w:sz w:val="24"/>
          <w:szCs w:val="24"/>
        </w:rPr>
      </w:pPr>
      <w:r w:rsidRPr="00910F74">
        <w:rPr>
          <w:rFonts w:ascii="Times New Roman" w:hAnsi="Times New Roman"/>
          <w:sz w:val="24"/>
          <w:szCs w:val="24"/>
        </w:rPr>
        <w:t>Note:</w:t>
      </w:r>
      <w:r w:rsidRPr="00910F74">
        <w:rPr>
          <w:rFonts w:ascii="Times New Roman" w:hAnsi="Times New Roman"/>
          <w:color w:val="333333"/>
          <w:sz w:val="24"/>
          <w:szCs w:val="24"/>
        </w:rPr>
        <w:t xml:space="preserve"> On Jan. 13, 2022, the IAFC published this analysis.  “Fire and EMS departments are not covered by the CMS rule. However, if a fire or EMS department is engaged in interfacility transport, it should discuss the CMS rule with the facilities for which it provides interfacility transport to see if the fire or EMS department must come into compliance.” </w:t>
      </w:r>
      <w:hyperlink r:id="rId235" w:history="1">
        <w:r w:rsidRPr="00910F74">
          <w:rPr>
            <w:rStyle w:val="Hyperlink"/>
            <w:rFonts w:ascii="Times New Roman" w:hAnsi="Times New Roman"/>
            <w:sz w:val="24"/>
            <w:szCs w:val="24"/>
          </w:rPr>
          <w:t>https://www.iafc.org/blogs/blog/iafc/2022/01/13/supreme-court-decision-on-vaccine-mandates-what-it-means-for-fire-departments</w:t>
        </w:r>
      </w:hyperlink>
      <w:r w:rsidRPr="00910F74">
        <w:rPr>
          <w:rFonts w:ascii="Times New Roman" w:hAnsi="Times New Roman"/>
          <w:color w:val="333333"/>
          <w:sz w:val="24"/>
          <w:szCs w:val="24"/>
        </w:rPr>
        <w:t xml:space="preserve"> </w:t>
      </w:r>
    </w:p>
    <w:p w14:paraId="1609BAC7" w14:textId="77777777" w:rsidR="00A20CA7" w:rsidRDefault="00A20CA7" w:rsidP="002B1283">
      <w:pPr>
        <w:rPr>
          <w:rFonts w:ascii="Arial Black" w:hAnsi="Arial Black"/>
          <w:b/>
          <w:sz w:val="24"/>
          <w:szCs w:val="24"/>
        </w:rPr>
      </w:pPr>
    </w:p>
    <w:p w14:paraId="5DD8F335" w14:textId="77777777" w:rsidR="00A20CA7" w:rsidRDefault="00A20CA7" w:rsidP="002B1283">
      <w:pPr>
        <w:rPr>
          <w:rFonts w:ascii="Arial Black" w:hAnsi="Arial Black"/>
          <w:b/>
          <w:sz w:val="24"/>
          <w:szCs w:val="24"/>
        </w:rPr>
      </w:pPr>
    </w:p>
    <w:p w14:paraId="7427FFDE" w14:textId="3D401100" w:rsidR="00A20CA7" w:rsidRDefault="00A20CA7" w:rsidP="002B1283">
      <w:pPr>
        <w:rPr>
          <w:rFonts w:ascii="Arial Black" w:hAnsi="Arial Black"/>
          <w:b/>
          <w:sz w:val="24"/>
          <w:szCs w:val="24"/>
        </w:rPr>
      </w:pPr>
      <w:r>
        <w:rPr>
          <w:rFonts w:ascii="Arial Black" w:hAnsi="Arial Black"/>
          <w:b/>
          <w:sz w:val="24"/>
          <w:szCs w:val="24"/>
        </w:rPr>
        <w:t>1-94</w:t>
      </w:r>
    </w:p>
    <w:p w14:paraId="346A8ADF" w14:textId="77777777" w:rsidR="00A20CA7" w:rsidRPr="00182702" w:rsidRDefault="00A20CA7" w:rsidP="00A20CA7">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OK: RAILROAD FINED FOR BLOCKING ROADWAYS MORE 10 MIN. - STATE LAW SET ASIDE – FEDERAL LAW CONTROLS</w:t>
      </w:r>
    </w:p>
    <w:p w14:paraId="765E6DBE" w14:textId="77777777" w:rsidR="00A20CA7" w:rsidRPr="0028115D" w:rsidRDefault="00A20CA7" w:rsidP="00A20CA7">
      <w:pPr>
        <w:spacing w:before="100" w:beforeAutospacing="1" w:after="100" w:afterAutospacing="1" w:line="240" w:lineRule="auto"/>
        <w:rPr>
          <w:rFonts w:ascii="Times New Roman" w:eastAsia="Times New Roman" w:hAnsi="Times New Roman"/>
          <w:sz w:val="24"/>
          <w:szCs w:val="24"/>
        </w:rPr>
      </w:pPr>
      <w:r w:rsidRPr="0028115D">
        <w:rPr>
          <w:rFonts w:ascii="Times New Roman" w:eastAsia="Times New Roman" w:hAnsi="Times New Roman"/>
          <w:sz w:val="24"/>
          <w:szCs w:val="24"/>
        </w:rPr>
        <w:t xml:space="preserve">On Jan. 10, 2022, in </w:t>
      </w:r>
      <w:r w:rsidRPr="0028115D">
        <w:rPr>
          <w:rFonts w:ascii="Times New Roman" w:eastAsia="Times New Roman" w:hAnsi="Times New Roman"/>
          <w:sz w:val="24"/>
          <w:szCs w:val="24"/>
          <w:u w:val="single"/>
        </w:rPr>
        <w:t>BNSF Railway Company v. Todd Hiett, Chairman of Oklahoma Corporation Commission, et al</w:t>
      </w:r>
      <w:r>
        <w:rPr>
          <w:rFonts w:ascii="Times New Roman" w:eastAsia="Times New Roman" w:hAnsi="Times New Roman"/>
          <w:sz w:val="24"/>
          <w:szCs w:val="24"/>
        </w:rPr>
        <w:t>., the U.S. Court of Appeals for 10</w:t>
      </w:r>
      <w:r w:rsidRPr="0028115D">
        <w:rPr>
          <w:rFonts w:ascii="Times New Roman" w:eastAsia="Times New Roman" w:hAnsi="Times New Roman"/>
          <w:sz w:val="24"/>
          <w:szCs w:val="24"/>
          <w:vertAlign w:val="superscript"/>
        </w:rPr>
        <w:t>th</w:t>
      </w:r>
      <w:r>
        <w:rPr>
          <w:rFonts w:ascii="Times New Roman" w:eastAsia="Times New Roman" w:hAnsi="Times New Roman"/>
          <w:sz w:val="24"/>
          <w:szCs w:val="24"/>
        </w:rPr>
        <w:t xml:space="preserve"> Circuit (Denver) held (3 to 0) that the trial court properly held that Federal law preempts the state from issuing citations to railroads for blocking highway.  The Court recognized why the state has safety concerns, but Federal law prevails. “</w:t>
      </w:r>
      <w:r w:rsidRPr="0000659D">
        <w:rPr>
          <w:rFonts w:ascii="Times New Roman" w:hAnsi="Times New Roman"/>
          <w:sz w:val="24"/>
          <w:szCs w:val="24"/>
        </w:rPr>
        <w:t xml:space="preserve">Defendants explain that blocked crossings in Oklahoma have </w:t>
      </w:r>
      <w:r>
        <w:rPr>
          <w:rFonts w:ascii="Times New Roman" w:hAnsi="Times New Roman"/>
          <w:sz w:val="24"/>
          <w:szCs w:val="24"/>
        </w:rPr>
        <w:t>‘</w:t>
      </w:r>
      <w:r w:rsidRPr="0000659D">
        <w:rPr>
          <w:rFonts w:ascii="Times New Roman" w:hAnsi="Times New Roman"/>
          <w:sz w:val="24"/>
          <w:szCs w:val="24"/>
        </w:rPr>
        <w:t>forced a paramedic . . . to jump between rail cars of a stopped train to reach a patient in time,</w:t>
      </w:r>
      <w:r>
        <w:rPr>
          <w:rFonts w:ascii="Times New Roman" w:hAnsi="Times New Roman"/>
          <w:sz w:val="24"/>
          <w:szCs w:val="24"/>
        </w:rPr>
        <w:t>’</w:t>
      </w:r>
      <w:r w:rsidRPr="0000659D">
        <w:rPr>
          <w:rFonts w:ascii="Times New Roman" w:hAnsi="Times New Roman"/>
          <w:sz w:val="24"/>
          <w:szCs w:val="24"/>
        </w:rPr>
        <w:t xml:space="preserve"> delayed firefighters and paramedics' response times generally, and caused Oklahomans to engage in risky behavior to avoid blocked crossings.</w:t>
      </w:r>
      <w:r>
        <w:rPr>
          <w:rFonts w:ascii="Times New Roman" w:hAnsi="Times New Roman"/>
          <w:sz w:val="24"/>
          <w:szCs w:val="24"/>
        </w:rPr>
        <w:t xml:space="preserve">”   </w:t>
      </w:r>
      <w:hyperlink r:id="rId236" w:history="1">
        <w:r w:rsidRPr="00A83547">
          <w:rPr>
            <w:rStyle w:val="Hyperlink"/>
            <w:rFonts w:ascii="Times New Roman" w:hAnsi="Times New Roman"/>
            <w:sz w:val="24"/>
            <w:szCs w:val="24"/>
          </w:rPr>
          <w:t>https://www.ca10.uscourts.gov/sites/ca10/files/opinions/010110630282.pdf</w:t>
        </w:r>
      </w:hyperlink>
      <w:r>
        <w:rPr>
          <w:rFonts w:ascii="Times New Roman" w:hAnsi="Times New Roman"/>
          <w:sz w:val="24"/>
          <w:szCs w:val="24"/>
        </w:rPr>
        <w:t xml:space="preserve"> </w:t>
      </w:r>
    </w:p>
    <w:p w14:paraId="13CDF0A0" w14:textId="77777777" w:rsidR="00A20CA7" w:rsidRPr="006B6814" w:rsidRDefault="00A20CA7" w:rsidP="00A20CA7">
      <w:pPr>
        <w:spacing w:before="100" w:beforeAutospacing="1" w:after="100" w:afterAutospacing="1" w:line="240" w:lineRule="auto"/>
        <w:rPr>
          <w:rFonts w:ascii="Times New Roman" w:hAnsi="Times New Roman"/>
          <w:b/>
          <w:bCs/>
          <w:sz w:val="24"/>
          <w:szCs w:val="24"/>
        </w:rPr>
      </w:pPr>
      <w:r w:rsidRPr="006B6814">
        <w:rPr>
          <w:rFonts w:ascii="Times New Roman" w:hAnsi="Times New Roman"/>
          <w:b/>
          <w:bCs/>
          <w:sz w:val="24"/>
          <w:szCs w:val="24"/>
        </w:rPr>
        <w:t>Legal Lesson Learned:</w:t>
      </w:r>
      <w:r>
        <w:rPr>
          <w:rFonts w:ascii="Times New Roman" w:hAnsi="Times New Roman"/>
          <w:b/>
          <w:bCs/>
          <w:sz w:val="24"/>
          <w:szCs w:val="24"/>
        </w:rPr>
        <w:t xml:space="preserve"> Congress has preempted railroad safety issues; unfortunately grade crossing issues continue to grow with </w:t>
      </w:r>
      <w:proofErr w:type="gramStart"/>
      <w:r>
        <w:rPr>
          <w:rFonts w:ascii="Times New Roman" w:hAnsi="Times New Roman"/>
          <w:b/>
          <w:bCs/>
          <w:sz w:val="24"/>
          <w:szCs w:val="24"/>
        </w:rPr>
        <w:t>longer and longer</w:t>
      </w:r>
      <w:proofErr w:type="gramEnd"/>
      <w:r>
        <w:rPr>
          <w:rFonts w:ascii="Times New Roman" w:hAnsi="Times New Roman"/>
          <w:b/>
          <w:bCs/>
          <w:sz w:val="24"/>
          <w:szCs w:val="24"/>
        </w:rPr>
        <w:t xml:space="preserve"> trains. </w:t>
      </w:r>
    </w:p>
    <w:p w14:paraId="5E94F07B" w14:textId="77777777" w:rsidR="00A20CA7" w:rsidRPr="006B6814" w:rsidRDefault="00A20CA7" w:rsidP="00A20CA7">
      <w:pPr>
        <w:spacing w:before="100" w:beforeAutospacing="1" w:after="100" w:afterAutospacing="1" w:line="240" w:lineRule="auto"/>
        <w:ind w:left="720"/>
        <w:rPr>
          <w:rFonts w:ascii="Times New Roman" w:hAnsi="Times New Roman"/>
          <w:sz w:val="24"/>
          <w:szCs w:val="24"/>
        </w:rPr>
      </w:pPr>
      <w:r w:rsidRPr="006B6814">
        <w:rPr>
          <w:rFonts w:ascii="Times New Roman" w:hAnsi="Times New Roman"/>
          <w:sz w:val="24"/>
          <w:szCs w:val="24"/>
        </w:rPr>
        <w:t xml:space="preserve">Note: </w:t>
      </w:r>
      <w:r>
        <w:rPr>
          <w:rFonts w:ascii="Times New Roman" w:hAnsi="Times New Roman"/>
          <w:sz w:val="24"/>
          <w:szCs w:val="24"/>
        </w:rPr>
        <w:t>See Association of American Railroads article, Sept. 2021, “</w:t>
      </w:r>
      <w:r w:rsidRPr="006B6814">
        <w:rPr>
          <w:rStyle w:val="markedcontent"/>
          <w:rFonts w:ascii="Times New Roman" w:hAnsi="Times New Roman"/>
          <w:sz w:val="24"/>
          <w:szCs w:val="24"/>
        </w:rPr>
        <w:t>How Railroads Collaborate</w:t>
      </w:r>
      <w:r>
        <w:rPr>
          <w:rFonts w:ascii="Times New Roman" w:hAnsi="Times New Roman"/>
          <w:sz w:val="24"/>
          <w:szCs w:val="24"/>
        </w:rPr>
        <w:t xml:space="preserve"> </w:t>
      </w:r>
      <w:proofErr w:type="spellStart"/>
      <w:proofErr w:type="gramStart"/>
      <w:r w:rsidRPr="006B6814">
        <w:rPr>
          <w:rStyle w:val="markedcontent"/>
          <w:rFonts w:ascii="Times New Roman" w:hAnsi="Times New Roman"/>
          <w:sz w:val="24"/>
          <w:szCs w:val="24"/>
        </w:rPr>
        <w:t>ith</w:t>
      </w:r>
      <w:proofErr w:type="spellEnd"/>
      <w:proofErr w:type="gramEnd"/>
      <w:r w:rsidRPr="006B6814">
        <w:rPr>
          <w:rStyle w:val="markedcontent"/>
          <w:rFonts w:ascii="Times New Roman" w:hAnsi="Times New Roman"/>
          <w:sz w:val="24"/>
          <w:szCs w:val="24"/>
        </w:rPr>
        <w:t xml:space="preserve"> Stakeholders to Reduce Grade Crossing Impacts</w:t>
      </w:r>
      <w:r>
        <w:rPr>
          <w:rStyle w:val="markedcontent"/>
          <w:rFonts w:ascii="Times New Roman" w:hAnsi="Times New Roman"/>
          <w:sz w:val="24"/>
          <w:szCs w:val="24"/>
        </w:rPr>
        <w:t>.” “</w:t>
      </w:r>
      <w:r w:rsidRPr="006B6814">
        <w:rPr>
          <w:rStyle w:val="markedcontent"/>
          <w:rFonts w:ascii="Times New Roman" w:hAnsi="Times New Roman"/>
          <w:sz w:val="24"/>
          <w:szCs w:val="24"/>
        </w:rPr>
        <w:t>With more than 200,000 grade crossings nationwide, railroads</w:t>
      </w:r>
      <w:r>
        <w:rPr>
          <w:rStyle w:val="markedcontent"/>
          <w:rFonts w:ascii="Times New Roman" w:hAnsi="Times New Roman"/>
          <w:sz w:val="24"/>
          <w:szCs w:val="24"/>
        </w:rPr>
        <w:t xml:space="preserve"> </w:t>
      </w:r>
      <w:r w:rsidRPr="006B6814">
        <w:rPr>
          <w:rStyle w:val="markedcontent"/>
          <w:rFonts w:ascii="Times New Roman" w:hAnsi="Times New Roman"/>
          <w:sz w:val="24"/>
          <w:szCs w:val="24"/>
        </w:rPr>
        <w:t>work closely with community leaders, government partners,</w:t>
      </w:r>
      <w:r>
        <w:rPr>
          <w:rStyle w:val="markedcontent"/>
          <w:rFonts w:ascii="Times New Roman" w:hAnsi="Times New Roman"/>
          <w:sz w:val="24"/>
          <w:szCs w:val="24"/>
        </w:rPr>
        <w:t xml:space="preserve"> </w:t>
      </w:r>
      <w:r w:rsidRPr="006B6814">
        <w:rPr>
          <w:rStyle w:val="markedcontent"/>
          <w:rFonts w:ascii="Times New Roman" w:hAnsi="Times New Roman"/>
          <w:sz w:val="24"/>
          <w:szCs w:val="24"/>
        </w:rPr>
        <w:t>first responders and the public to manage and mitigate the</w:t>
      </w:r>
      <w:r>
        <w:rPr>
          <w:rStyle w:val="markedcontent"/>
          <w:rFonts w:ascii="Times New Roman" w:hAnsi="Times New Roman"/>
          <w:sz w:val="24"/>
          <w:szCs w:val="24"/>
        </w:rPr>
        <w:t xml:space="preserve"> </w:t>
      </w:r>
      <w:r w:rsidRPr="006B6814">
        <w:rPr>
          <w:rStyle w:val="markedcontent"/>
          <w:rFonts w:ascii="Times New Roman" w:hAnsi="Times New Roman"/>
          <w:sz w:val="24"/>
          <w:szCs w:val="24"/>
        </w:rPr>
        <w:t>impact of rail crossings on communities. Each grade crossing</w:t>
      </w:r>
      <w:r>
        <w:rPr>
          <w:rStyle w:val="markedcontent"/>
          <w:rFonts w:ascii="Times New Roman" w:hAnsi="Times New Roman"/>
          <w:sz w:val="24"/>
          <w:szCs w:val="24"/>
        </w:rPr>
        <w:t xml:space="preserve"> </w:t>
      </w:r>
      <w:r w:rsidRPr="006B6814">
        <w:rPr>
          <w:rStyle w:val="markedcontent"/>
          <w:rFonts w:ascii="Times New Roman" w:hAnsi="Times New Roman"/>
          <w:sz w:val="24"/>
          <w:szCs w:val="24"/>
        </w:rPr>
        <w:t>is unique, and railroad operational teams deploy a range of</w:t>
      </w:r>
      <w:r>
        <w:rPr>
          <w:rStyle w:val="markedcontent"/>
          <w:rFonts w:ascii="Times New Roman" w:hAnsi="Times New Roman"/>
          <w:sz w:val="24"/>
          <w:szCs w:val="24"/>
        </w:rPr>
        <w:t xml:space="preserve"> </w:t>
      </w:r>
      <w:r w:rsidRPr="006B6814">
        <w:rPr>
          <w:rStyle w:val="markedcontent"/>
          <w:rFonts w:ascii="Times New Roman" w:hAnsi="Times New Roman"/>
          <w:sz w:val="24"/>
          <w:szCs w:val="24"/>
        </w:rPr>
        <w:t>strategies, depending on the circumstances, to keep rail and</w:t>
      </w:r>
      <w:r>
        <w:rPr>
          <w:rStyle w:val="markedcontent"/>
          <w:rFonts w:ascii="Times New Roman" w:hAnsi="Times New Roman"/>
          <w:sz w:val="24"/>
          <w:szCs w:val="24"/>
        </w:rPr>
        <w:t xml:space="preserve"> </w:t>
      </w:r>
      <w:r w:rsidRPr="006B6814">
        <w:rPr>
          <w:rStyle w:val="markedcontent"/>
          <w:rFonts w:ascii="Times New Roman" w:hAnsi="Times New Roman"/>
          <w:sz w:val="24"/>
          <w:szCs w:val="24"/>
        </w:rPr>
        <w:t xml:space="preserve">vehicle traffic safely moving through these </w:t>
      </w:r>
      <w:proofErr w:type="gramStart"/>
      <w:r w:rsidRPr="006B6814">
        <w:rPr>
          <w:rStyle w:val="markedcontent"/>
          <w:rFonts w:ascii="Times New Roman" w:hAnsi="Times New Roman"/>
          <w:sz w:val="24"/>
          <w:szCs w:val="24"/>
        </w:rPr>
        <w:t>intersections.</w:t>
      </w:r>
      <w:r>
        <w:rPr>
          <w:rStyle w:val="markedcontent"/>
          <w:rFonts w:ascii="Times New Roman" w:hAnsi="Times New Roman"/>
          <w:sz w:val="24"/>
          <w:szCs w:val="24"/>
        </w:rPr>
        <w:t>”</w:t>
      </w:r>
      <w:proofErr w:type="gramEnd"/>
      <w:r>
        <w:rPr>
          <w:rStyle w:val="markedcontent"/>
          <w:rFonts w:ascii="Times New Roman" w:hAnsi="Times New Roman"/>
          <w:sz w:val="24"/>
          <w:szCs w:val="24"/>
        </w:rPr>
        <w:t xml:space="preserve"> </w:t>
      </w:r>
      <w:hyperlink r:id="rId237" w:history="1">
        <w:r w:rsidRPr="00A83547">
          <w:rPr>
            <w:rStyle w:val="Hyperlink"/>
            <w:rFonts w:ascii="Times New Roman" w:hAnsi="Times New Roman"/>
            <w:sz w:val="24"/>
            <w:szCs w:val="24"/>
          </w:rPr>
          <w:t>https://www.aar.org/wp-content/uploads/2020/02/AAR-Occupied-Crossings-Fact-Sheet.pdf</w:t>
        </w:r>
      </w:hyperlink>
      <w:r>
        <w:rPr>
          <w:rStyle w:val="markedcontent"/>
          <w:rFonts w:ascii="Times New Roman" w:hAnsi="Times New Roman"/>
          <w:sz w:val="24"/>
          <w:szCs w:val="24"/>
        </w:rPr>
        <w:t xml:space="preserve"> </w:t>
      </w:r>
    </w:p>
    <w:p w14:paraId="7474804A" w14:textId="77777777" w:rsidR="00A20CA7" w:rsidRDefault="00A20CA7" w:rsidP="002B1283">
      <w:pPr>
        <w:rPr>
          <w:rFonts w:ascii="Arial Black" w:hAnsi="Arial Black"/>
          <w:b/>
          <w:sz w:val="24"/>
          <w:szCs w:val="24"/>
        </w:rPr>
      </w:pPr>
    </w:p>
    <w:p w14:paraId="560EB8BC" w14:textId="77777777" w:rsidR="00A20CA7" w:rsidRDefault="00A20CA7" w:rsidP="002B1283">
      <w:pPr>
        <w:rPr>
          <w:rFonts w:ascii="Arial Black" w:hAnsi="Arial Black"/>
          <w:b/>
          <w:sz w:val="24"/>
          <w:szCs w:val="24"/>
        </w:rPr>
      </w:pPr>
    </w:p>
    <w:p w14:paraId="0E7F78EF" w14:textId="3D8FF09E" w:rsidR="00E51408" w:rsidRDefault="00E51408" w:rsidP="002B1283">
      <w:pPr>
        <w:rPr>
          <w:rFonts w:ascii="Arial Black" w:hAnsi="Arial Black"/>
          <w:b/>
          <w:sz w:val="24"/>
          <w:szCs w:val="24"/>
        </w:rPr>
      </w:pPr>
      <w:r>
        <w:rPr>
          <w:rFonts w:ascii="Arial Black" w:hAnsi="Arial Black"/>
          <w:b/>
          <w:sz w:val="24"/>
          <w:szCs w:val="24"/>
        </w:rPr>
        <w:t>1-93</w:t>
      </w:r>
    </w:p>
    <w:p w14:paraId="0EB691BF" w14:textId="77777777" w:rsidR="00E51408" w:rsidRDefault="00E51408" w:rsidP="00E51408">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 xml:space="preserve">OH: WARRANTLESS ENTRY - CAUSE &amp; ORIGIN OF HOUSE FIRE - DRUGS PLAIN VIEW – ADMISSIBLE IN EVIDENCE </w:t>
      </w:r>
    </w:p>
    <w:p w14:paraId="0D020A0E" w14:textId="77777777" w:rsidR="00E51408" w:rsidRPr="003A0F54" w:rsidRDefault="00E51408" w:rsidP="00E51408">
      <w:pPr>
        <w:rPr>
          <w:rFonts w:ascii="Times New Roman" w:hAnsi="Times New Roman"/>
          <w:bCs/>
          <w:sz w:val="24"/>
          <w:szCs w:val="24"/>
        </w:rPr>
      </w:pPr>
      <w:bookmarkStart w:id="4" w:name="_Hlk91595193"/>
      <w:r w:rsidRPr="003A0F54">
        <w:rPr>
          <w:rFonts w:ascii="Times New Roman" w:hAnsi="Times New Roman"/>
          <w:bCs/>
          <w:sz w:val="24"/>
          <w:szCs w:val="24"/>
        </w:rPr>
        <w:t xml:space="preserve">On Dec. 27, 2021, in </w:t>
      </w:r>
      <w:r w:rsidRPr="003A0F54">
        <w:rPr>
          <w:rFonts w:ascii="Times New Roman" w:hAnsi="Times New Roman"/>
          <w:bCs/>
          <w:sz w:val="24"/>
          <w:szCs w:val="24"/>
          <w:u w:val="single"/>
        </w:rPr>
        <w:t>State of Ohio v. Nicole L. Holmes</w:t>
      </w:r>
      <w:r w:rsidRPr="003A0F54">
        <w:rPr>
          <w:rFonts w:ascii="Times New Roman" w:hAnsi="Times New Roman"/>
          <w:bCs/>
          <w:sz w:val="24"/>
          <w:szCs w:val="24"/>
        </w:rPr>
        <w:t xml:space="preserve">, the Court of Appeals for the Eleventh District (Ashtabula) held (3 to 0) that trial judge improperly granted the defendant’s motion to suppress evidence.  Fire Captain lawfully entered house during overhaul and observed drugs in plain view; warrantless entry during “exigent circumstances” as authorized by U.S. Supreme Court in </w:t>
      </w:r>
      <w:r w:rsidRPr="003A0F54">
        <w:rPr>
          <w:rFonts w:ascii="Times New Roman" w:hAnsi="Times New Roman"/>
          <w:sz w:val="24"/>
          <w:szCs w:val="24"/>
        </w:rPr>
        <w:t xml:space="preserve">Michigan v. Tyler, 436 U.S. 499, 506, 98 </w:t>
      </w:r>
      <w:proofErr w:type="spellStart"/>
      <w:r w:rsidRPr="003A0F54">
        <w:rPr>
          <w:rFonts w:ascii="Times New Roman" w:hAnsi="Times New Roman"/>
          <w:sz w:val="24"/>
          <w:szCs w:val="24"/>
        </w:rPr>
        <w:t>S.Ct</w:t>
      </w:r>
      <w:proofErr w:type="spellEnd"/>
      <w:r w:rsidRPr="003A0F54">
        <w:rPr>
          <w:rFonts w:ascii="Times New Roman" w:hAnsi="Times New Roman"/>
          <w:sz w:val="24"/>
          <w:szCs w:val="24"/>
        </w:rPr>
        <w:t xml:space="preserve">. 1942, 56 L.Ed.2d 486 (1978). </w:t>
      </w:r>
      <w:r w:rsidRPr="003A0F54">
        <w:rPr>
          <w:rFonts w:ascii="Times New Roman" w:hAnsi="Times New Roman"/>
          <w:bCs/>
          <w:sz w:val="24"/>
          <w:szCs w:val="24"/>
        </w:rPr>
        <w:t xml:space="preserve">Case remanded for defendant’s criminal trial - </w:t>
      </w:r>
      <w:r w:rsidRPr="003A0F54">
        <w:rPr>
          <w:rFonts w:ascii="Times New Roman" w:hAnsi="Times New Roman"/>
          <w:sz w:val="24"/>
          <w:szCs w:val="24"/>
        </w:rPr>
        <w:t xml:space="preserve">aggravated trafficking in drugs, aggravated possession of drugs, possessing criminal tools, illegal use or possession of drug paraphernalia, and endangering children. </w:t>
      </w:r>
      <w:r w:rsidRPr="003A0F54">
        <w:rPr>
          <w:rFonts w:ascii="Times New Roman" w:hAnsi="Times New Roman"/>
          <w:bCs/>
          <w:sz w:val="24"/>
          <w:szCs w:val="24"/>
        </w:rPr>
        <w:t xml:space="preserve"> </w:t>
      </w:r>
    </w:p>
    <w:p w14:paraId="2248815F" w14:textId="77777777" w:rsidR="00E51408" w:rsidRPr="003A0F54" w:rsidRDefault="00E51408" w:rsidP="00E51408">
      <w:pPr>
        <w:ind w:left="720"/>
        <w:rPr>
          <w:rFonts w:ascii="Times New Roman" w:hAnsi="Times New Roman"/>
          <w:bCs/>
          <w:sz w:val="24"/>
          <w:szCs w:val="24"/>
        </w:rPr>
      </w:pPr>
      <w:r w:rsidRPr="003A0F54">
        <w:rPr>
          <w:rFonts w:ascii="Times New Roman" w:hAnsi="Times New Roman"/>
          <w:bCs/>
          <w:sz w:val="24"/>
          <w:szCs w:val="24"/>
        </w:rPr>
        <w:t xml:space="preserve">“Here, applying these Fourth Amendment standards and exceptions, we conclude that Captain Chase was permitted to enter the residence without a warrant under the doctrine of exigent circumstances. During the initial entry, while investigating and before he had determined the cause and origin of the fire, Captain Chase discovered contraband in plain view. Due to limitations on his training with evidence collection, he acted appropriately in requesting assistance from the police department. Patrolman Perry was permitted to enter the residence and seize the contraband without a warrant </w:t>
      </w:r>
      <w:r w:rsidRPr="003A0F54">
        <w:rPr>
          <w:rFonts w:ascii="Times New Roman" w:hAnsi="Times New Roman"/>
          <w:bCs/>
          <w:i/>
          <w:iCs/>
          <w:sz w:val="24"/>
          <w:szCs w:val="24"/>
        </w:rPr>
        <w:t>only</w:t>
      </w:r>
      <w:r w:rsidRPr="003A0F54">
        <w:rPr>
          <w:rFonts w:ascii="Times New Roman" w:hAnsi="Times New Roman"/>
          <w:bCs/>
          <w:sz w:val="24"/>
          <w:szCs w:val="24"/>
        </w:rPr>
        <w:t xml:space="preserve"> because he "stepped into the shoes" of Captain Chase, who was still on the scene conducting his initial investigation. Patrolman Perry entered solely for the purpose of assisting Captain Chase; he collected only the items to which he was directed by Captain Chase; he did not search any other area of the residence; and he did not further intrude  on Hommes' privacy interests. Accordingly, the warrantless seizure did not violate Hommes' Fourth Amendment rights. *** The trial court erred in granting Hommes' motion to suppress, and the state's sole assignment of error has merit. The judgment of the Ashtabula County Court of Common Pleas is reversed, and this matter is </w:t>
      </w:r>
      <w:proofErr w:type="gramStart"/>
      <w:r w:rsidRPr="003A0F54">
        <w:rPr>
          <w:rFonts w:ascii="Times New Roman" w:hAnsi="Times New Roman"/>
          <w:bCs/>
          <w:sz w:val="24"/>
          <w:szCs w:val="24"/>
        </w:rPr>
        <w:t>remanded</w:t>
      </w:r>
      <w:proofErr w:type="gramEnd"/>
      <w:r w:rsidRPr="003A0F54">
        <w:rPr>
          <w:rFonts w:ascii="Times New Roman" w:hAnsi="Times New Roman"/>
          <w:bCs/>
          <w:sz w:val="24"/>
          <w:szCs w:val="24"/>
        </w:rPr>
        <w:t xml:space="preserve"> for further proceedings consistent with this </w:t>
      </w:r>
      <w:proofErr w:type="gramStart"/>
      <w:r w:rsidRPr="003A0F54">
        <w:rPr>
          <w:rFonts w:ascii="Times New Roman" w:hAnsi="Times New Roman"/>
          <w:bCs/>
          <w:sz w:val="24"/>
          <w:szCs w:val="24"/>
        </w:rPr>
        <w:t>opinion.”</w:t>
      </w:r>
      <w:proofErr w:type="gramEnd"/>
      <w:r w:rsidRPr="003A0F54">
        <w:rPr>
          <w:rFonts w:ascii="Times New Roman" w:hAnsi="Times New Roman"/>
          <w:bCs/>
          <w:sz w:val="24"/>
          <w:szCs w:val="24"/>
        </w:rPr>
        <w:t xml:space="preserve">  </w:t>
      </w:r>
      <w:hyperlink r:id="rId238" w:history="1">
        <w:r w:rsidRPr="004065C6">
          <w:rPr>
            <w:rStyle w:val="Hyperlink"/>
            <w:rFonts w:ascii="Times New Roman" w:hAnsi="Times New Roman"/>
            <w:bCs/>
            <w:sz w:val="24"/>
            <w:szCs w:val="24"/>
          </w:rPr>
          <w:t>https://www.supremecourt.ohio.gov/rod/docs/pdf/11/2021/2021-Ohio-4568.pdf</w:t>
        </w:r>
      </w:hyperlink>
      <w:r>
        <w:rPr>
          <w:rFonts w:ascii="Times New Roman" w:hAnsi="Times New Roman"/>
          <w:bCs/>
          <w:sz w:val="24"/>
          <w:szCs w:val="24"/>
        </w:rPr>
        <w:t xml:space="preserve"> </w:t>
      </w:r>
    </w:p>
    <w:bookmarkEnd w:id="4"/>
    <w:p w14:paraId="5472100B" w14:textId="77777777" w:rsidR="00E51408" w:rsidRPr="003A0F54" w:rsidRDefault="00E51408" w:rsidP="00E51408">
      <w:pPr>
        <w:spacing w:after="100" w:line="240" w:lineRule="auto"/>
        <w:rPr>
          <w:rFonts w:ascii="Times New Roman" w:eastAsia="Times New Roman" w:hAnsi="Times New Roman"/>
          <w:b/>
          <w:bCs/>
          <w:sz w:val="24"/>
          <w:szCs w:val="24"/>
        </w:rPr>
      </w:pPr>
      <w:r w:rsidRPr="003A0F54">
        <w:rPr>
          <w:rFonts w:ascii="Times New Roman" w:eastAsia="Times New Roman" w:hAnsi="Times New Roman"/>
          <w:b/>
          <w:bCs/>
          <w:sz w:val="24"/>
          <w:szCs w:val="24"/>
        </w:rPr>
        <w:t>Legal Lesson Learned: Wonderful decision; exce</w:t>
      </w:r>
      <w:r>
        <w:rPr>
          <w:rFonts w:ascii="Times New Roman" w:eastAsia="Times New Roman" w:hAnsi="Times New Roman"/>
          <w:b/>
          <w:bCs/>
          <w:sz w:val="24"/>
          <w:szCs w:val="24"/>
        </w:rPr>
        <w:t xml:space="preserve">llent </w:t>
      </w:r>
      <w:r w:rsidRPr="003A0F54">
        <w:rPr>
          <w:rFonts w:ascii="Times New Roman" w:eastAsia="Times New Roman" w:hAnsi="Times New Roman"/>
          <w:b/>
          <w:bCs/>
          <w:sz w:val="24"/>
          <w:szCs w:val="24"/>
        </w:rPr>
        <w:t xml:space="preserve">appeal by the Ohio Attorney General’s office. </w:t>
      </w:r>
    </w:p>
    <w:p w14:paraId="36DE492B" w14:textId="77777777" w:rsidR="00E51408" w:rsidRPr="003A0F54" w:rsidRDefault="00E51408" w:rsidP="00E51408">
      <w:pPr>
        <w:spacing w:before="100" w:beforeAutospacing="1" w:after="100" w:afterAutospacing="1" w:line="240" w:lineRule="auto"/>
        <w:ind w:left="720"/>
        <w:rPr>
          <w:rFonts w:ascii="Times New Roman" w:eastAsia="Times New Roman" w:hAnsi="Times New Roman"/>
          <w:sz w:val="24"/>
          <w:szCs w:val="24"/>
        </w:rPr>
      </w:pPr>
    </w:p>
    <w:p w14:paraId="2CC3A87B" w14:textId="4B4F2E95" w:rsidR="00E51408" w:rsidRDefault="00E51408" w:rsidP="002B1283">
      <w:pPr>
        <w:rPr>
          <w:rFonts w:ascii="Arial Black" w:hAnsi="Arial Black"/>
          <w:b/>
          <w:sz w:val="24"/>
          <w:szCs w:val="24"/>
        </w:rPr>
      </w:pPr>
      <w:r>
        <w:rPr>
          <w:rFonts w:ascii="Arial Black" w:hAnsi="Arial Black"/>
          <w:b/>
          <w:sz w:val="24"/>
          <w:szCs w:val="24"/>
        </w:rPr>
        <w:t>1-92</w:t>
      </w:r>
    </w:p>
    <w:p w14:paraId="1171601C" w14:textId="77777777" w:rsidR="00E51408" w:rsidRDefault="00E51408" w:rsidP="00E51408">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PA: FD ENTRY BASEMENT WITHOUT WARRANT - ELECTRIC STOVE, CIRCUIT BRAKERS BASEMENT – BLDG CONDEMNED</w:t>
      </w:r>
    </w:p>
    <w:p w14:paraId="4580C6B2" w14:textId="77777777" w:rsidR="00E51408" w:rsidRPr="003A0F54" w:rsidRDefault="00E51408" w:rsidP="00E51408">
      <w:pPr>
        <w:spacing w:before="100" w:beforeAutospacing="1" w:after="100" w:afterAutospacing="1" w:line="240" w:lineRule="auto"/>
        <w:rPr>
          <w:rFonts w:ascii="Times New Roman" w:eastAsia="Times New Roman" w:hAnsi="Times New Roman"/>
          <w:sz w:val="24"/>
          <w:szCs w:val="24"/>
        </w:rPr>
      </w:pPr>
      <w:r w:rsidRPr="003A0F54">
        <w:rPr>
          <w:rFonts w:ascii="Times New Roman" w:eastAsia="Times New Roman" w:hAnsi="Times New Roman"/>
          <w:sz w:val="24"/>
          <w:szCs w:val="24"/>
        </w:rPr>
        <w:t xml:space="preserve">On Dec. 13, 2021, in </w:t>
      </w:r>
      <w:r w:rsidRPr="003A0F54">
        <w:rPr>
          <w:rFonts w:ascii="Times New Roman" w:eastAsia="Times New Roman" w:hAnsi="Times New Roman"/>
          <w:sz w:val="24"/>
          <w:szCs w:val="24"/>
          <w:u w:val="single"/>
        </w:rPr>
        <w:t>George Cannarozzo v. Borough of West Hazleton and Diane Panzarella</w:t>
      </w:r>
      <w:r w:rsidRPr="003A0F54">
        <w:rPr>
          <w:rFonts w:ascii="Times New Roman" w:eastAsia="Times New Roman" w:hAnsi="Times New Roman"/>
          <w:sz w:val="24"/>
          <w:szCs w:val="24"/>
        </w:rPr>
        <w:t xml:space="preserve">, U.S. District Court Judge Robert D. Mariani granted summary judgment to the Borough and their code enforcement officer, Diane Panzarella. The fire department had been dispatched twice to the building; first for light smoke on first floor (cleared scene in 10 minutes) and twelve minutes later called back for electrical stove sparking.  They removed the stove, but circuit brakers were in locked basement; when in basement they observed “dangling” and “hanging” wires, some without coatings and corroded.   </w:t>
      </w:r>
      <w:r>
        <w:rPr>
          <w:rFonts w:ascii="Times New Roman" w:eastAsia="Times New Roman" w:hAnsi="Times New Roman"/>
          <w:sz w:val="24"/>
          <w:szCs w:val="24"/>
        </w:rPr>
        <w:t xml:space="preserve"> </w:t>
      </w:r>
    </w:p>
    <w:p w14:paraId="0907F5E7" w14:textId="7853812A" w:rsidR="00E51408" w:rsidRDefault="00E51408" w:rsidP="00E51408">
      <w:pPr>
        <w:rPr>
          <w:rFonts w:ascii="Arial Black" w:hAnsi="Arial Black"/>
          <w:b/>
          <w:sz w:val="24"/>
          <w:szCs w:val="24"/>
        </w:rPr>
      </w:pPr>
      <w:r w:rsidRPr="003A0F54">
        <w:rPr>
          <w:rFonts w:ascii="Times New Roman" w:eastAsia="Times New Roman" w:hAnsi="Times New Roman"/>
          <w:sz w:val="24"/>
          <w:szCs w:val="24"/>
        </w:rPr>
        <w:lastRenderedPageBreak/>
        <w:t xml:space="preserve">“This evidence shows that the fire crew's entry into the basement was related to the second incident in which the stove was removed from the apartment unit, whether it was to check for extension of the fire or to turn off the circuit breaker "to secure the electrical oven" as </w:t>
      </w:r>
      <w:proofErr w:type="spellStart"/>
      <w:r w:rsidRPr="003A0F54">
        <w:rPr>
          <w:rFonts w:ascii="Times New Roman" w:eastAsia="Times New Roman" w:hAnsi="Times New Roman"/>
          <w:sz w:val="24"/>
          <w:szCs w:val="24"/>
        </w:rPr>
        <w:t>Segaria</w:t>
      </w:r>
      <w:proofErr w:type="spellEnd"/>
      <w:r w:rsidRPr="003A0F54">
        <w:rPr>
          <w:rFonts w:ascii="Times New Roman" w:eastAsia="Times New Roman" w:hAnsi="Times New Roman"/>
          <w:sz w:val="24"/>
          <w:szCs w:val="24"/>
        </w:rPr>
        <w:t xml:space="preserve"> said would be a concern ([Deputy Fire Chief Robert] </w:t>
      </w:r>
      <w:proofErr w:type="spellStart"/>
      <w:r w:rsidRPr="003A0F54">
        <w:rPr>
          <w:rFonts w:ascii="Times New Roman" w:eastAsia="Times New Roman" w:hAnsi="Times New Roman"/>
          <w:sz w:val="24"/>
          <w:szCs w:val="24"/>
        </w:rPr>
        <w:t>Segaria</w:t>
      </w:r>
      <w:proofErr w:type="spellEnd"/>
      <w:r w:rsidRPr="003A0F54">
        <w:rPr>
          <w:rFonts w:ascii="Times New Roman" w:eastAsia="Times New Roman" w:hAnsi="Times New Roman"/>
          <w:sz w:val="24"/>
          <w:szCs w:val="24"/>
        </w:rPr>
        <w:t xml:space="preserve"> Dep. 36:24-37:1 (Doc. 73-2 at 18)). As such, the fire crew's entry into the basement can be considered an extension of their firefighting duties, i.e., remediation of a potential hazard related to the incident or checking for an extension of the fire into the basement. Activities to prevent a fire's recurrence are properly characterized as reasons for firefighters to remain in a building with no warrant and present no Fourth Amendment violation. </w:t>
      </w:r>
      <w:r w:rsidRPr="003A0F54">
        <w:rPr>
          <w:rFonts w:ascii="Times New Roman" w:eastAsia="Times New Roman" w:hAnsi="Times New Roman"/>
          <w:i/>
          <w:iCs/>
          <w:sz w:val="24"/>
          <w:szCs w:val="24"/>
        </w:rPr>
        <w:t>See [U.S. Supreme Court decision in Michigan v.] Tyler,</w:t>
      </w:r>
      <w:r w:rsidRPr="003A0F54">
        <w:rPr>
          <w:rFonts w:ascii="Times New Roman" w:eastAsia="Times New Roman" w:hAnsi="Times New Roman"/>
          <w:sz w:val="24"/>
          <w:szCs w:val="24"/>
        </w:rPr>
        <w:t xml:space="preserve"> 436 U.S. at 510.” </w:t>
      </w:r>
      <w:hyperlink r:id="rId239" w:history="1">
        <w:r w:rsidRPr="00EC5853">
          <w:rPr>
            <w:rStyle w:val="Hyperlink"/>
            <w:rFonts w:ascii="Times New Roman" w:hAnsi="Times New Roman"/>
            <w:sz w:val="24"/>
            <w:szCs w:val="24"/>
          </w:rPr>
          <w:t>https://public.fastcase.com/9SKwsfNqTc6OieYDhNMyM7D5VS5NTHGa%2BVbO5LbgTVCol88giq6gEwqG77t7xxlVdoZinV7rGr3Vonxjs0f%2FBj%2FzJq07gNCdlFI%2FOtwWHGw%3D</w:t>
        </w:r>
      </w:hyperlink>
    </w:p>
    <w:p w14:paraId="4BAA07D2" w14:textId="77777777" w:rsidR="00E51408" w:rsidRPr="003A0F54" w:rsidRDefault="00E51408" w:rsidP="00E51408">
      <w:pPr>
        <w:spacing w:before="100" w:beforeAutospacing="1" w:after="100" w:afterAutospacing="1" w:line="240" w:lineRule="auto"/>
        <w:rPr>
          <w:rFonts w:ascii="Times New Roman" w:eastAsia="Times New Roman" w:hAnsi="Times New Roman"/>
          <w:b/>
          <w:bCs/>
          <w:sz w:val="24"/>
          <w:szCs w:val="24"/>
        </w:rPr>
      </w:pPr>
      <w:r w:rsidRPr="003A0F54">
        <w:rPr>
          <w:rFonts w:ascii="Times New Roman" w:eastAsia="Times New Roman" w:hAnsi="Times New Roman"/>
          <w:b/>
          <w:bCs/>
          <w:sz w:val="24"/>
          <w:szCs w:val="24"/>
        </w:rPr>
        <w:t xml:space="preserve">Legal Lesson Learned: The warrantless entry was lawful, and the Code Enforcement Officer enjoys qualified immunity.  The facts in this case are so clear, it makes you </w:t>
      </w:r>
      <w:proofErr w:type="gramStart"/>
      <w:r w:rsidRPr="003A0F54">
        <w:rPr>
          <w:rFonts w:ascii="Times New Roman" w:eastAsia="Times New Roman" w:hAnsi="Times New Roman"/>
          <w:b/>
          <w:bCs/>
          <w:sz w:val="24"/>
          <w:szCs w:val="24"/>
        </w:rPr>
        <w:t>wonderful</w:t>
      </w:r>
      <w:proofErr w:type="gramEnd"/>
      <w:r w:rsidRPr="003A0F54">
        <w:rPr>
          <w:rFonts w:ascii="Times New Roman" w:eastAsia="Times New Roman" w:hAnsi="Times New Roman"/>
          <w:b/>
          <w:bCs/>
          <w:sz w:val="24"/>
          <w:szCs w:val="24"/>
        </w:rPr>
        <w:t xml:space="preserve"> why the lawsuit was ever filed. </w:t>
      </w:r>
    </w:p>
    <w:p w14:paraId="07F51776" w14:textId="77777777" w:rsidR="00E51408" w:rsidRDefault="00E51408" w:rsidP="002B1283">
      <w:pPr>
        <w:rPr>
          <w:rFonts w:ascii="Arial Black" w:hAnsi="Arial Black"/>
          <w:b/>
          <w:sz w:val="24"/>
          <w:szCs w:val="24"/>
        </w:rPr>
      </w:pPr>
    </w:p>
    <w:p w14:paraId="353F8143" w14:textId="69233D57" w:rsidR="00365F63" w:rsidRDefault="00365F63" w:rsidP="002B1283">
      <w:pPr>
        <w:rPr>
          <w:rFonts w:ascii="Arial Black" w:hAnsi="Arial Black"/>
          <w:b/>
          <w:sz w:val="24"/>
          <w:szCs w:val="24"/>
        </w:rPr>
      </w:pPr>
      <w:r>
        <w:rPr>
          <w:rFonts w:ascii="Arial Black" w:hAnsi="Arial Black"/>
          <w:b/>
          <w:sz w:val="24"/>
          <w:szCs w:val="24"/>
        </w:rPr>
        <w:t>1-91</w:t>
      </w:r>
    </w:p>
    <w:p w14:paraId="71183945" w14:textId="77777777" w:rsidR="00365F63" w:rsidRPr="004620EA" w:rsidRDefault="00365F63" w:rsidP="00365F63">
      <w:pPr>
        <w:spacing w:before="100" w:beforeAutospacing="1" w:after="100" w:afterAutospacing="1" w:line="240" w:lineRule="auto"/>
        <w:rPr>
          <w:rFonts w:ascii="Arial Black" w:hAnsi="Arial Black"/>
          <w:sz w:val="28"/>
          <w:szCs w:val="28"/>
        </w:rPr>
      </w:pPr>
      <w:r>
        <w:rPr>
          <w:rFonts w:ascii="Arial Black" w:hAnsi="Arial Black"/>
          <w:sz w:val="28"/>
          <w:szCs w:val="28"/>
        </w:rPr>
        <w:t>ME: HOUSE UNFIT OCCUPANCY – BOILER, OIL FLOOR, BARE WIRES – NO VIOL. FED. DUE PROCESS, HAD APPEAL RIGHTS</w:t>
      </w:r>
    </w:p>
    <w:p w14:paraId="495A03F4" w14:textId="77777777" w:rsidR="00365F63" w:rsidRDefault="00365F63" w:rsidP="00365F63">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On Nov. 18, 2021, in </w:t>
      </w:r>
      <w:r w:rsidRPr="00652AF8">
        <w:rPr>
          <w:rFonts w:ascii="Times New Roman" w:hAnsi="Times New Roman"/>
          <w:sz w:val="24"/>
          <w:szCs w:val="24"/>
          <w:u w:val="single"/>
        </w:rPr>
        <w:t>Joseph Jurkenas, et al. v. City of Brewer, et al</w:t>
      </w:r>
      <w:r>
        <w:rPr>
          <w:rFonts w:ascii="Times New Roman" w:hAnsi="Times New Roman"/>
          <w:sz w:val="24"/>
          <w:szCs w:val="24"/>
        </w:rPr>
        <w:t xml:space="preserve">., U.S. Magistrate Judge John C. Nivison, U.S. District Court, District of Maine, denied the homeowner’s motion for summary judgement, holding that their federal due process rights were not violated when there when the Fire Department ordered them out of the house because of the dangerous conditions, and the City later issued them a </w:t>
      </w:r>
      <w:r w:rsidRPr="00F22712">
        <w:rPr>
          <w:rFonts w:ascii="Times New Roman" w:hAnsi="Times New Roman"/>
          <w:sz w:val="24"/>
          <w:szCs w:val="24"/>
        </w:rPr>
        <w:t>Notice of Violation and Order of Corrective Action</w:t>
      </w:r>
      <w:r>
        <w:rPr>
          <w:rFonts w:ascii="Times New Roman" w:hAnsi="Times New Roman"/>
          <w:sz w:val="24"/>
          <w:szCs w:val="24"/>
        </w:rPr>
        <w:t xml:space="preserve"> on June 11, 2014. The Notice included their right to appeal to the Zoning Board of Appeals within 30 days; the City reject their late appeal (received July 22, 2014); and homeowners never challenged this in State court.  The City Council considered having building destroyed under State “dangerous building” law but tabled a hearing on Oct. 14, 2014, under their longstanding policy to use ongoing inspections to seek homeowner compliance. </w:t>
      </w:r>
    </w:p>
    <w:p w14:paraId="1D567319" w14:textId="77777777" w:rsidR="00365F63" w:rsidRDefault="00365F63" w:rsidP="00365F63">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r w:rsidRPr="000B4DD9">
        <w:rPr>
          <w:rFonts w:ascii="Times New Roman" w:hAnsi="Times New Roman"/>
          <w:sz w:val="24"/>
          <w:szCs w:val="24"/>
        </w:rPr>
        <w:t xml:space="preserve">Even if Plaintiffs could ultimately convince a fact finder that there was no emergency that could justify the eviction, Plaintiffs have not shown there was inadequate post-deprivation process available for them to challenge the unfit for habitation determination because there was an administrative appeal and a cause of action in the state courts under Maine Rule of Civil Procedure 80B. </w:t>
      </w:r>
      <w:r>
        <w:rPr>
          <w:rFonts w:ascii="Times New Roman" w:hAnsi="Times New Roman"/>
          <w:sz w:val="24"/>
          <w:szCs w:val="24"/>
        </w:rPr>
        <w:t xml:space="preserve"> </w:t>
      </w:r>
    </w:p>
    <w:p w14:paraId="188A3630" w14:textId="77777777" w:rsidR="00365F63" w:rsidRDefault="00365F63" w:rsidP="00365F63">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p>
    <w:p w14:paraId="094D9A72" w14:textId="77777777" w:rsidR="00365F63" w:rsidRDefault="00365F63" w:rsidP="00365F63">
      <w:pPr>
        <w:spacing w:before="100" w:beforeAutospacing="1" w:after="100" w:afterAutospacing="1" w:line="240" w:lineRule="auto"/>
        <w:ind w:left="720"/>
      </w:pPr>
      <w:r w:rsidRPr="004620EA">
        <w:rPr>
          <w:rFonts w:ascii="Times New Roman" w:eastAsia="Times New Roman" w:hAnsi="Times New Roman"/>
          <w:sz w:val="24"/>
          <w:szCs w:val="24"/>
        </w:rPr>
        <w:t xml:space="preserve">Although Plaintiffs argue that they were not told of their right to appeal from the original unfit for habitation decision and dispute the grounds upon which the City denied their appeal, the failure to provide notice of the right to appeal </w:t>
      </w:r>
      <w:r>
        <w:rPr>
          <w:rFonts w:ascii="Times New Roman" w:eastAsia="Times New Roman" w:hAnsi="Times New Roman"/>
          <w:sz w:val="24"/>
          <w:szCs w:val="24"/>
        </w:rPr>
        <w:t>‘</w:t>
      </w:r>
      <w:r w:rsidRPr="004620EA">
        <w:rPr>
          <w:rFonts w:ascii="Times New Roman" w:eastAsia="Times New Roman" w:hAnsi="Times New Roman"/>
          <w:sz w:val="24"/>
          <w:szCs w:val="24"/>
        </w:rPr>
        <w:t>does not render the review remedy constitutionally inadequate</w:t>
      </w:r>
      <w:r>
        <w:rPr>
          <w:rFonts w:ascii="Times New Roman" w:eastAsia="Times New Roman" w:hAnsi="Times New Roman"/>
          <w:sz w:val="24"/>
          <w:szCs w:val="24"/>
        </w:rPr>
        <w:t>’</w:t>
      </w:r>
      <w:r w:rsidRPr="004620EA">
        <w:rPr>
          <w:rFonts w:ascii="Times New Roman" w:eastAsia="Times New Roman" w:hAnsi="Times New Roman"/>
          <w:sz w:val="24"/>
          <w:szCs w:val="24"/>
        </w:rPr>
        <w:t xml:space="preserve"> because </w:t>
      </w:r>
      <w:r>
        <w:rPr>
          <w:rFonts w:ascii="Times New Roman" w:eastAsia="Times New Roman" w:hAnsi="Times New Roman"/>
          <w:sz w:val="24"/>
          <w:szCs w:val="24"/>
        </w:rPr>
        <w:t>‘</w:t>
      </w:r>
      <w:r w:rsidRPr="004620EA">
        <w:rPr>
          <w:rFonts w:ascii="Times New Roman" w:eastAsia="Times New Roman" w:hAnsi="Times New Roman"/>
          <w:sz w:val="24"/>
          <w:szCs w:val="24"/>
        </w:rPr>
        <w:t>in most civil matters, citizens are expected to ask about the method to protest or appeal an initial administrative action (or to hire a lawyer)</w:t>
      </w:r>
      <w:r>
        <w:rPr>
          <w:rFonts w:ascii="Times New Roman" w:eastAsia="Times New Roman" w:hAnsi="Times New Roman"/>
          <w:sz w:val="24"/>
          <w:szCs w:val="24"/>
        </w:rPr>
        <w:t xml:space="preserve">’ </w:t>
      </w:r>
      <w:r w:rsidRPr="004620EA">
        <w:rPr>
          <w:rFonts w:ascii="Times New Roman" w:eastAsia="Times New Roman" w:hAnsi="Times New Roman"/>
          <w:sz w:val="24"/>
          <w:szCs w:val="24"/>
        </w:rPr>
        <w:t>and because Plaintiffs could have challenged the local decision on those grounds in state court</w:t>
      </w:r>
      <w:r>
        <w:rPr>
          <w:rFonts w:ascii="Times New Roman" w:eastAsia="Times New Roman" w:hAnsi="Times New Roman"/>
          <w:sz w:val="24"/>
          <w:szCs w:val="24"/>
        </w:rPr>
        <w:t>…</w:t>
      </w:r>
      <w:r w:rsidRPr="004620EA">
        <w:rPr>
          <w:rFonts w:ascii="Times New Roman" w:eastAsia="Times New Roman" w:hAnsi="Times New Roman"/>
          <w:sz w:val="24"/>
          <w:szCs w:val="24"/>
        </w:rPr>
        <w:t>. Plaintiffs have simply not demonstrated that as a matter of law there was no actual emergency nor have Plaintiffs demonstrated as a matter of law that they were due more process under the applicable legal authority.</w:t>
      </w:r>
    </w:p>
    <w:p w14:paraId="012AB413" w14:textId="77777777" w:rsidR="00365F63" w:rsidRDefault="00365F63" w:rsidP="00365F63">
      <w:pPr>
        <w:spacing w:before="100" w:beforeAutospacing="1" w:after="100" w:afterAutospacing="1" w:line="240" w:lineRule="auto"/>
        <w:ind w:left="720"/>
      </w:pPr>
      <w:r>
        <w:t>***</w:t>
      </w:r>
    </w:p>
    <w:p w14:paraId="4180465D" w14:textId="7638A9A2" w:rsidR="00365F63" w:rsidRDefault="00365F63" w:rsidP="00365F63">
      <w:pPr>
        <w:rPr>
          <w:rStyle w:val="Hyperlink"/>
          <w:rFonts w:ascii="Times New Roman" w:eastAsia="Times New Roman" w:hAnsi="Times New Roman"/>
          <w:sz w:val="24"/>
          <w:szCs w:val="24"/>
        </w:rPr>
      </w:pPr>
      <w:r w:rsidRPr="004620EA">
        <w:rPr>
          <w:rFonts w:ascii="Times New Roman" w:hAnsi="Times New Roman"/>
          <w:sz w:val="24"/>
          <w:szCs w:val="24"/>
        </w:rPr>
        <w:lastRenderedPageBreak/>
        <w:t>Accordingly, the Court informs Plaintiff that it will consider Defendants' request for summary judgment and that if Plaintiffs wish to respond to Defendants' request, Plaintiffs shall file their response on or before December 9, 2021.</w:t>
      </w:r>
      <w:r>
        <w:rPr>
          <w:rFonts w:ascii="Times New Roman" w:hAnsi="Times New Roman"/>
          <w:sz w:val="24"/>
          <w:szCs w:val="24"/>
        </w:rPr>
        <w:t xml:space="preserve">” </w:t>
      </w:r>
      <w:hyperlink r:id="rId240" w:history="1">
        <w:r w:rsidRPr="00A37CB0">
          <w:rPr>
            <w:rStyle w:val="Hyperlink"/>
            <w:rFonts w:ascii="Times New Roman" w:eastAsia="Times New Roman" w:hAnsi="Times New Roman"/>
            <w:sz w:val="24"/>
            <w:szCs w:val="24"/>
          </w:rPr>
          <w:t>https://public.fastcase.com/9SKwsfNqTc6OieYDhNMyM84JhiUntSQtUCBlgd6lzoL5y1g0gwdSndjfCHFHqJkk4vcRDuTZ3RRxLgM1%2Fyx%2BQdiK9wqe8J4wfwe4xg454y8%3D</w:t>
        </w:r>
      </w:hyperlink>
    </w:p>
    <w:p w14:paraId="3D37947D" w14:textId="77777777" w:rsidR="00365F63" w:rsidRPr="00917D62" w:rsidRDefault="00365F63" w:rsidP="00365F63">
      <w:pPr>
        <w:pStyle w:val="NormalWeb"/>
        <w:rPr>
          <w:b/>
          <w:bCs/>
        </w:rPr>
      </w:pPr>
      <w:r w:rsidRPr="00917D62">
        <w:rPr>
          <w:b/>
          <w:bCs/>
        </w:rPr>
        <w:t xml:space="preserve">Legal Lesson Learned: </w:t>
      </w:r>
      <w:r>
        <w:rPr>
          <w:b/>
          <w:bCs/>
        </w:rPr>
        <w:t xml:space="preserve"> The City properly gave homeowner opportunity to appeal to the Zoning Board of Appeals; there was no requirement that City hold a hearing since they decided not to destroy the home under State “dangerous buildings” statute. </w:t>
      </w:r>
    </w:p>
    <w:p w14:paraId="18484B2A" w14:textId="77777777" w:rsidR="00365F63" w:rsidRPr="00567B6A" w:rsidRDefault="00365F63" w:rsidP="00365F63">
      <w:pPr>
        <w:spacing w:before="100" w:beforeAutospacing="1" w:after="100" w:afterAutospacing="1" w:line="240" w:lineRule="auto"/>
        <w:ind w:left="720"/>
        <w:rPr>
          <w:rFonts w:ascii="Times New Roman" w:eastAsia="Times New Roman" w:hAnsi="Times New Roman"/>
          <w:sz w:val="24"/>
          <w:szCs w:val="24"/>
        </w:rPr>
      </w:pPr>
      <w:r w:rsidRPr="00567B6A">
        <w:rPr>
          <w:rFonts w:ascii="Times New Roman" w:eastAsia="Times New Roman" w:hAnsi="Times New Roman"/>
          <w:sz w:val="24"/>
          <w:szCs w:val="24"/>
        </w:rPr>
        <w:t>Note: See Maine “</w:t>
      </w:r>
      <w:r>
        <w:rPr>
          <w:rFonts w:ascii="Times New Roman" w:eastAsia="Times New Roman" w:hAnsi="Times New Roman"/>
          <w:sz w:val="24"/>
          <w:szCs w:val="24"/>
        </w:rPr>
        <w:t>d</w:t>
      </w:r>
      <w:r w:rsidRPr="00567B6A">
        <w:rPr>
          <w:rFonts w:ascii="Times New Roman" w:eastAsia="Times New Roman" w:hAnsi="Times New Roman"/>
          <w:sz w:val="24"/>
          <w:szCs w:val="24"/>
        </w:rPr>
        <w:t xml:space="preserve">angerous </w:t>
      </w:r>
      <w:r>
        <w:rPr>
          <w:rFonts w:ascii="Times New Roman" w:eastAsia="Times New Roman" w:hAnsi="Times New Roman"/>
          <w:sz w:val="24"/>
          <w:szCs w:val="24"/>
        </w:rPr>
        <w:t>b</w:t>
      </w:r>
      <w:r w:rsidRPr="00567B6A">
        <w:rPr>
          <w:rFonts w:ascii="Times New Roman" w:eastAsia="Times New Roman" w:hAnsi="Times New Roman"/>
          <w:sz w:val="24"/>
          <w:szCs w:val="24"/>
        </w:rPr>
        <w:t>uilding</w:t>
      </w:r>
      <w:r>
        <w:rPr>
          <w:rFonts w:ascii="Times New Roman" w:eastAsia="Times New Roman" w:hAnsi="Times New Roman"/>
          <w:sz w:val="24"/>
          <w:szCs w:val="24"/>
        </w:rPr>
        <w:t>s</w:t>
      </w:r>
      <w:r w:rsidRPr="00567B6A">
        <w:rPr>
          <w:rFonts w:ascii="Times New Roman" w:eastAsia="Times New Roman" w:hAnsi="Times New Roman"/>
          <w:sz w:val="24"/>
          <w:szCs w:val="24"/>
        </w:rPr>
        <w:t xml:space="preserve">” statute: </w:t>
      </w:r>
      <w:hyperlink r:id="rId241" w:history="1">
        <w:r w:rsidRPr="00567B6A">
          <w:rPr>
            <w:rStyle w:val="Hyperlink"/>
            <w:rFonts w:ascii="Times New Roman" w:eastAsia="Times New Roman" w:hAnsi="Times New Roman"/>
            <w:sz w:val="24"/>
            <w:szCs w:val="24"/>
          </w:rPr>
          <w:t>https://www.mainelegislature.org/legis/statutes/17/title17sec2851.html</w:t>
        </w:r>
      </w:hyperlink>
      <w:r w:rsidRPr="00567B6A">
        <w:rPr>
          <w:rFonts w:ascii="Times New Roman" w:eastAsia="Times New Roman" w:hAnsi="Times New Roman"/>
          <w:sz w:val="24"/>
          <w:szCs w:val="24"/>
        </w:rPr>
        <w:t xml:space="preserve"> </w:t>
      </w:r>
    </w:p>
    <w:p w14:paraId="2878563D" w14:textId="77777777" w:rsidR="00365F63" w:rsidRPr="00567B6A" w:rsidRDefault="00365F63" w:rsidP="00365F63">
      <w:pPr>
        <w:spacing w:before="100" w:beforeAutospacing="1" w:after="100" w:afterAutospacing="1" w:line="240" w:lineRule="auto"/>
        <w:ind w:left="720"/>
        <w:rPr>
          <w:rFonts w:ascii="Times New Roman" w:eastAsia="Times New Roman" w:hAnsi="Times New Roman"/>
          <w:b/>
          <w:bCs/>
          <w:sz w:val="24"/>
          <w:szCs w:val="24"/>
        </w:rPr>
      </w:pPr>
      <w:r>
        <w:rPr>
          <w:rFonts w:ascii="Times New Roman" w:hAnsi="Times New Roman"/>
          <w:sz w:val="24"/>
          <w:szCs w:val="24"/>
        </w:rPr>
        <w:t>“</w:t>
      </w:r>
      <w:r w:rsidRPr="00567B6A">
        <w:rPr>
          <w:rFonts w:ascii="Times New Roman" w:hAnsi="Times New Roman"/>
          <w:sz w:val="24"/>
          <w:szCs w:val="24"/>
        </w:rPr>
        <w:t xml:space="preserve">The municipal officers in the case of a municipality or the county commissioners in the case of the unorganized or </w:t>
      </w:r>
      <w:proofErr w:type="spellStart"/>
      <w:r w:rsidRPr="00567B6A">
        <w:rPr>
          <w:rFonts w:ascii="Times New Roman" w:hAnsi="Times New Roman"/>
          <w:sz w:val="24"/>
          <w:szCs w:val="24"/>
        </w:rPr>
        <w:t>deorganized</w:t>
      </w:r>
      <w:proofErr w:type="spellEnd"/>
      <w:r w:rsidRPr="00567B6A">
        <w:rPr>
          <w:rFonts w:ascii="Times New Roman" w:hAnsi="Times New Roman"/>
          <w:sz w:val="24"/>
          <w:szCs w:val="24"/>
        </w:rPr>
        <w:t xml:space="preserve"> areas in their county may after notice pursuant to </w:t>
      </w:r>
      <w:hyperlink r:id="rId242" w:history="1">
        <w:r w:rsidRPr="00567B6A">
          <w:rPr>
            <w:rStyle w:val="Hyperlink"/>
            <w:rFonts w:ascii="Times New Roman" w:hAnsi="Times New Roman"/>
            <w:sz w:val="24"/>
            <w:szCs w:val="24"/>
          </w:rPr>
          <w:t>section 2857</w:t>
        </w:r>
      </w:hyperlink>
      <w:r w:rsidRPr="00567B6A">
        <w:rPr>
          <w:rFonts w:ascii="Times New Roman" w:hAnsi="Times New Roman"/>
          <w:sz w:val="24"/>
          <w:szCs w:val="24"/>
        </w:rPr>
        <w:t xml:space="preserve"> and hearing adjudge a building to be a nuisance or dangerous, in accordance with </w:t>
      </w:r>
      <w:hyperlink r:id="rId243" w:history="1">
        <w:r w:rsidRPr="00567B6A">
          <w:rPr>
            <w:rStyle w:val="Hyperlink"/>
            <w:rFonts w:ascii="Times New Roman" w:hAnsi="Times New Roman"/>
            <w:sz w:val="24"/>
            <w:szCs w:val="24"/>
          </w:rPr>
          <w:t>subsection 2-A</w:t>
        </w:r>
      </w:hyperlink>
      <w:r w:rsidRPr="00567B6A">
        <w:rPr>
          <w:rFonts w:ascii="Times New Roman" w:hAnsi="Times New Roman"/>
          <w:sz w:val="24"/>
          <w:szCs w:val="24"/>
        </w:rPr>
        <w:t xml:space="preserve">, and may make and record an order, in accordance with </w:t>
      </w:r>
      <w:hyperlink r:id="rId244" w:history="1">
        <w:r w:rsidRPr="00567B6A">
          <w:rPr>
            <w:rStyle w:val="Hyperlink"/>
            <w:rFonts w:ascii="Times New Roman" w:hAnsi="Times New Roman"/>
            <w:sz w:val="24"/>
            <w:szCs w:val="24"/>
          </w:rPr>
          <w:t>subsection 3</w:t>
        </w:r>
      </w:hyperlink>
      <w:r w:rsidRPr="00567B6A">
        <w:rPr>
          <w:rFonts w:ascii="Times New Roman" w:hAnsi="Times New Roman"/>
          <w:sz w:val="24"/>
          <w:szCs w:val="24"/>
        </w:rPr>
        <w:t>, prescribing what disposal must be made of that building. The order may allow for delay of disposal if the owner or party in interest has demonstrated the ability and willingness to satisfactorily rehabilitate the building</w:t>
      </w:r>
      <w:r>
        <w:rPr>
          <w:rFonts w:ascii="Times New Roman" w:hAnsi="Times New Roman"/>
          <w:sz w:val="24"/>
          <w:szCs w:val="24"/>
        </w:rPr>
        <w:t>.”</w:t>
      </w:r>
    </w:p>
    <w:p w14:paraId="76D0A42F" w14:textId="77777777" w:rsidR="00365F63" w:rsidRDefault="00365F63" w:rsidP="00365F63">
      <w:pPr>
        <w:rPr>
          <w:rFonts w:ascii="Arial Black" w:hAnsi="Arial Black"/>
          <w:b/>
          <w:sz w:val="24"/>
          <w:szCs w:val="24"/>
        </w:rPr>
      </w:pPr>
    </w:p>
    <w:p w14:paraId="4453A18D" w14:textId="77777777" w:rsidR="00365F63" w:rsidRDefault="00365F63" w:rsidP="002B1283">
      <w:pPr>
        <w:rPr>
          <w:rFonts w:ascii="Arial Black" w:hAnsi="Arial Black"/>
          <w:b/>
          <w:sz w:val="24"/>
          <w:szCs w:val="24"/>
        </w:rPr>
      </w:pPr>
    </w:p>
    <w:p w14:paraId="7BDE9A22" w14:textId="604EA66E" w:rsidR="00D84F3A" w:rsidRDefault="00D84F3A" w:rsidP="002B1283">
      <w:pPr>
        <w:rPr>
          <w:rFonts w:ascii="Arial Black" w:hAnsi="Arial Black"/>
          <w:b/>
          <w:sz w:val="24"/>
          <w:szCs w:val="24"/>
        </w:rPr>
      </w:pPr>
      <w:r>
        <w:rPr>
          <w:rFonts w:ascii="Arial Black" w:hAnsi="Arial Black"/>
          <w:b/>
          <w:sz w:val="24"/>
          <w:szCs w:val="24"/>
        </w:rPr>
        <w:t>1-90</w:t>
      </w:r>
    </w:p>
    <w:p w14:paraId="16E692C6" w14:textId="6503E5BB" w:rsidR="00D84F3A" w:rsidRPr="00AA3338" w:rsidRDefault="00D84F3A" w:rsidP="00D84F3A">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OH – FALSE ALARM ORDINANCE – ILLEGAL “DOUBLE TAX” -</w:t>
      </w:r>
      <w:r w:rsidR="00E869E6">
        <w:rPr>
          <w:rFonts w:ascii="Arial Black" w:eastAsia="Times New Roman" w:hAnsi="Arial Black"/>
          <w:b/>
          <w:bCs/>
          <w:sz w:val="28"/>
          <w:szCs w:val="28"/>
        </w:rPr>
        <w:t xml:space="preserve"> </w:t>
      </w:r>
      <w:r>
        <w:rPr>
          <w:rFonts w:ascii="Arial Black" w:eastAsia="Times New Roman" w:hAnsi="Arial Black"/>
          <w:b/>
          <w:bCs/>
          <w:sz w:val="28"/>
          <w:szCs w:val="28"/>
        </w:rPr>
        <w:t xml:space="preserve">ALARM CO. $250 / YR – RESID. $50, BUS. $100 TWO YRS.  </w:t>
      </w:r>
    </w:p>
    <w:p w14:paraId="269980DC" w14:textId="77777777" w:rsidR="00D84F3A" w:rsidRDefault="00D84F3A" w:rsidP="00D84F3A">
      <w:pPr>
        <w:rPr>
          <w:rFonts w:ascii="Times New Roman" w:hAnsi="Times New Roman"/>
          <w:sz w:val="24"/>
          <w:szCs w:val="24"/>
        </w:rPr>
      </w:pPr>
      <w:r>
        <w:rPr>
          <w:rFonts w:ascii="Times New Roman" w:hAnsi="Times New Roman"/>
          <w:sz w:val="24"/>
          <w:szCs w:val="24"/>
        </w:rPr>
        <w:t xml:space="preserve">On Nov. 10, 2021, in </w:t>
      </w:r>
      <w:r w:rsidRPr="006F3656">
        <w:rPr>
          <w:rFonts w:ascii="Times New Roman" w:hAnsi="Times New Roman"/>
          <w:sz w:val="24"/>
          <w:szCs w:val="24"/>
          <w:u w:val="single"/>
        </w:rPr>
        <w:t>Andrew White, et al. v. City of Cincinnati</w:t>
      </w:r>
      <w:r>
        <w:rPr>
          <w:rFonts w:ascii="Times New Roman" w:hAnsi="Times New Roman"/>
          <w:sz w:val="24"/>
          <w:szCs w:val="24"/>
        </w:rPr>
        <w:t xml:space="preserve">, the Ohio Court of Appeals, First Appellate District (Hamilton County), held (3 to 0) in lawsuit brought by companies that install and maintain alarm systems, and users of alarm systems, that the current city ordinance is unconstitutional.  </w:t>
      </w:r>
      <w:r w:rsidRPr="005555E8">
        <w:rPr>
          <w:rFonts w:ascii="Times New Roman" w:hAnsi="Times New Roman"/>
          <w:sz w:val="24"/>
          <w:szCs w:val="24"/>
        </w:rPr>
        <w:t>Alarm businesses must pay a registration fee of $250 annually. If an alarm business fails to register, the city imposes a $1000 civil penalty for each request for a police response related to an alarm system by an unregistered alarm business or for each request by an alarm user for registration of an alarm system installed by an unregistered alarm business.</w:t>
      </w:r>
      <w:r>
        <w:rPr>
          <w:rFonts w:ascii="Times New Roman" w:hAnsi="Times New Roman"/>
          <w:sz w:val="24"/>
          <w:szCs w:val="24"/>
        </w:rPr>
        <w:t xml:space="preserve"> </w:t>
      </w:r>
      <w:r w:rsidRPr="005555E8">
        <w:rPr>
          <w:rFonts w:ascii="Times New Roman" w:hAnsi="Times New Roman"/>
          <w:sz w:val="24"/>
          <w:szCs w:val="24"/>
        </w:rPr>
        <w:t xml:space="preserve">Alarm users must also register with </w:t>
      </w:r>
      <w:r>
        <w:rPr>
          <w:rFonts w:ascii="Times New Roman" w:hAnsi="Times New Roman"/>
          <w:sz w:val="24"/>
          <w:szCs w:val="24"/>
        </w:rPr>
        <w:t xml:space="preserve">Police Department </w:t>
      </w:r>
      <w:r w:rsidRPr="005555E8">
        <w:rPr>
          <w:rFonts w:ascii="Times New Roman" w:hAnsi="Times New Roman"/>
          <w:sz w:val="24"/>
          <w:szCs w:val="24"/>
        </w:rPr>
        <w:t xml:space="preserve">before an alarm system is activated. Residential alarm users must pay $50 every two </w:t>
      </w:r>
      <w:proofErr w:type="gramStart"/>
      <w:r w:rsidRPr="005555E8">
        <w:rPr>
          <w:rFonts w:ascii="Times New Roman" w:hAnsi="Times New Roman"/>
          <w:sz w:val="24"/>
          <w:szCs w:val="24"/>
        </w:rPr>
        <w:t>years</w:t>
      </w:r>
      <w:proofErr w:type="gramEnd"/>
      <w:r w:rsidRPr="005555E8">
        <w:rPr>
          <w:rFonts w:ascii="Times New Roman" w:hAnsi="Times New Roman"/>
          <w:sz w:val="24"/>
          <w:szCs w:val="24"/>
        </w:rPr>
        <w:t xml:space="preserve"> and nonresidential alarm users must pay $100 every two years. The city imposes a $100 civil penalty on an alarm user for using an unregistered alarm system, but the penalties may be waived if the alarm user completes registration within 21 days of the first notice of a violation. All fees imposed on both alarm businesses and alarm users are non-refundable, nontransferable, and </w:t>
      </w:r>
      <w:proofErr w:type="gramStart"/>
      <w:r w:rsidRPr="005555E8">
        <w:rPr>
          <w:rFonts w:ascii="Times New Roman" w:hAnsi="Times New Roman"/>
          <w:sz w:val="24"/>
          <w:szCs w:val="24"/>
        </w:rPr>
        <w:t>location-specific</w:t>
      </w:r>
      <w:proofErr w:type="gramEnd"/>
      <w:r w:rsidRPr="005555E8">
        <w:rPr>
          <w:rFonts w:ascii="Times New Roman" w:hAnsi="Times New Roman"/>
          <w:sz w:val="24"/>
          <w:szCs w:val="24"/>
        </w:rPr>
        <w:t>.</w:t>
      </w:r>
    </w:p>
    <w:p w14:paraId="69F143F9" w14:textId="77777777" w:rsidR="00D84F3A" w:rsidRDefault="00D84F3A" w:rsidP="00D84F3A">
      <w:pPr>
        <w:pStyle w:val="NormalWeb"/>
        <w:ind w:left="720"/>
      </w:pPr>
      <w:r>
        <w:t>“[T]</w:t>
      </w:r>
      <w:r w:rsidRPr="00AA3338">
        <w:t xml:space="preserve">he city does not provide the alarm businesses or the alarm users with any services over and above what it already provides for taxpayers in general. Chapter 807 does not entitle alarm business and alarm users to any particular response from the city or give them the right to any particular response. The city has not given anything to them for which it can ask for the assessments in return. The assessments, </w:t>
      </w:r>
      <w:r w:rsidRPr="00AA3338">
        <w:lastRenderedPageBreak/>
        <w:t xml:space="preserve">particularly the registration fees, do not bear a reasonable relationship </w:t>
      </w:r>
      <w:proofErr w:type="gramStart"/>
      <w:r w:rsidRPr="00AA3338">
        <w:t>to</w:t>
      </w:r>
      <w:proofErr w:type="gramEnd"/>
      <w:r w:rsidRPr="00AA3338">
        <w:t xml:space="preserve"> protections, benefits or opportunities provided by the city to those paying the assessments.</w:t>
      </w:r>
    </w:p>
    <w:p w14:paraId="67C98F4E" w14:textId="77777777" w:rsidR="00D84F3A" w:rsidRPr="00AA3338" w:rsidRDefault="00D84F3A" w:rsidP="00D84F3A">
      <w:pPr>
        <w:pStyle w:val="NormalWeb"/>
        <w:ind w:left="720"/>
      </w:pPr>
      <w:r w:rsidRPr="00AA3338">
        <w:t>Based on this analysis, we hold that the assessments imposed by Cincinnati Municipal Code 807-1-A4 violate the Due Process Clauses of the Ohio and United States Constitutions. We do not hold that the city is prohibited from amending the current ordinance or passing another ordinance regulating alarm systems and false alarms. If it is so inclined, the city must do so in a manner that assures that the assessments constitute a fee rather than a tax.</w:t>
      </w:r>
      <w:r>
        <w:t xml:space="preserve">” </w:t>
      </w:r>
      <w:hyperlink r:id="rId245" w:history="1">
        <w:r w:rsidRPr="0064789D">
          <w:rPr>
            <w:rStyle w:val="Hyperlink"/>
          </w:rPr>
          <w:t>https://www.supremecourt.ohio.gov/rod/docs/pdf/1/2021/2021-Ohio-4003.pdf</w:t>
        </w:r>
      </w:hyperlink>
      <w:r>
        <w:t xml:space="preserve"> </w:t>
      </w:r>
    </w:p>
    <w:p w14:paraId="37E55BF3" w14:textId="77777777" w:rsidR="00365F63" w:rsidRPr="00A77CD4" w:rsidRDefault="00365F63" w:rsidP="00365F63">
      <w:pPr>
        <w:pStyle w:val="NormalWeb"/>
        <w:rPr>
          <w:b/>
          <w:bCs/>
        </w:rPr>
      </w:pPr>
      <w:r w:rsidRPr="00A77CD4">
        <w:rPr>
          <w:b/>
          <w:bCs/>
        </w:rPr>
        <w:t>Legal Lesson Learned:</w:t>
      </w:r>
      <w:r>
        <w:rPr>
          <w:b/>
          <w:bCs/>
        </w:rPr>
        <w:t xml:space="preserve">  The City may now adopt a new ordinance only setting fines for false alarms. </w:t>
      </w:r>
    </w:p>
    <w:p w14:paraId="750545A0" w14:textId="77777777" w:rsidR="00365F63" w:rsidRDefault="00365F63" w:rsidP="00365F63">
      <w:pPr>
        <w:pStyle w:val="NormalWeb"/>
        <w:ind w:left="720"/>
        <w:rPr>
          <w:rStyle w:val="post-title"/>
          <w:rFonts w:eastAsiaTheme="majorEastAsia"/>
        </w:rPr>
      </w:pPr>
      <w:r>
        <w:t>Note: See article on this case; Nov. 15, 2021: “</w:t>
      </w:r>
      <w:r>
        <w:rPr>
          <w:rStyle w:val="post-title"/>
          <w:rFonts w:eastAsiaTheme="majorEastAsia"/>
        </w:rPr>
        <w:t xml:space="preserve">Cincinnati burglar arm fee struck down. ‘A giant scam’ says lawyer.” </w:t>
      </w:r>
      <w:hyperlink r:id="rId246" w:history="1">
        <w:r w:rsidRPr="00AA5D51">
          <w:rPr>
            <w:rStyle w:val="Hyperlink"/>
            <w:rFonts w:eastAsiaTheme="majorEastAsia"/>
          </w:rPr>
          <w:t>https://ohiotimes.news/cincinnati-burglar-arm-fee-struck-down-a-giant-scam-says-lawyer/?doing_wp_cron=1637522583.8115420341491699218750</w:t>
        </w:r>
      </w:hyperlink>
      <w:r>
        <w:rPr>
          <w:rStyle w:val="post-title"/>
          <w:rFonts w:eastAsiaTheme="majorEastAsia"/>
        </w:rPr>
        <w:t xml:space="preserve"> </w:t>
      </w:r>
    </w:p>
    <w:p w14:paraId="26549BB7" w14:textId="77777777" w:rsidR="00D84F3A" w:rsidRDefault="00D84F3A" w:rsidP="002B1283">
      <w:pPr>
        <w:rPr>
          <w:rFonts w:ascii="Arial Black" w:hAnsi="Arial Black"/>
          <w:b/>
          <w:sz w:val="24"/>
          <w:szCs w:val="24"/>
        </w:rPr>
      </w:pPr>
    </w:p>
    <w:p w14:paraId="1D8774E3" w14:textId="77777777" w:rsidR="00D84F3A" w:rsidRDefault="00D84F3A" w:rsidP="002B1283">
      <w:pPr>
        <w:rPr>
          <w:rFonts w:ascii="Arial Black" w:hAnsi="Arial Black"/>
          <w:b/>
          <w:sz w:val="24"/>
          <w:szCs w:val="24"/>
        </w:rPr>
      </w:pPr>
    </w:p>
    <w:p w14:paraId="36815AAF" w14:textId="25CBFBCC" w:rsidR="00D84F3A" w:rsidRDefault="00D84F3A" w:rsidP="002B1283">
      <w:pPr>
        <w:rPr>
          <w:rFonts w:ascii="Arial Black" w:hAnsi="Arial Black"/>
          <w:b/>
          <w:sz w:val="24"/>
          <w:szCs w:val="24"/>
        </w:rPr>
      </w:pPr>
      <w:r>
        <w:rPr>
          <w:rFonts w:ascii="Arial Black" w:hAnsi="Arial Black"/>
          <w:b/>
          <w:sz w:val="24"/>
          <w:szCs w:val="24"/>
        </w:rPr>
        <w:t>1-89</w:t>
      </w:r>
    </w:p>
    <w:p w14:paraId="54AFBDC8" w14:textId="77777777" w:rsidR="00D84F3A" w:rsidRPr="00E22703" w:rsidRDefault="00D84F3A" w:rsidP="00D84F3A">
      <w:pPr>
        <w:spacing w:before="100" w:beforeAutospacing="1" w:after="100" w:afterAutospacing="1" w:line="240" w:lineRule="auto"/>
        <w:rPr>
          <w:rFonts w:ascii="Arial Black" w:eastAsia="Times New Roman" w:hAnsi="Arial Black"/>
          <w:sz w:val="28"/>
          <w:szCs w:val="28"/>
        </w:rPr>
      </w:pPr>
      <w:r>
        <w:rPr>
          <w:rFonts w:ascii="Arial Black" w:eastAsia="Times New Roman" w:hAnsi="Arial Black"/>
          <w:sz w:val="28"/>
          <w:szCs w:val="28"/>
        </w:rPr>
        <w:t>KY: EVIDENCE SUPPRESSED - WELLNESS CHECK - VOL. FF HEADFIRST INTO CAR - NOT “COMMUNITY CARETAKING”</w:t>
      </w:r>
    </w:p>
    <w:p w14:paraId="751089A7" w14:textId="77777777" w:rsidR="00D84F3A" w:rsidRPr="00B20BEC" w:rsidRDefault="00D84F3A" w:rsidP="00D84F3A">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On Nov. 2, 2021, in </w:t>
      </w:r>
      <w:r w:rsidRPr="00B20BEC">
        <w:rPr>
          <w:rFonts w:ascii="Times New Roman" w:hAnsi="Times New Roman"/>
          <w:sz w:val="24"/>
          <w:szCs w:val="24"/>
          <w:u w:val="single"/>
        </w:rPr>
        <w:t>United States of America v. Michael M. Fairrow, Jr</w:t>
      </w:r>
      <w:r>
        <w:rPr>
          <w:rFonts w:ascii="Times New Roman" w:hAnsi="Times New Roman"/>
          <w:sz w:val="24"/>
          <w:szCs w:val="24"/>
        </w:rPr>
        <w:t xml:space="preserve">,, U.S. District Court Senior Judge Joseph R. McKinley Jr., U.S. District Court for Western District of Kentucky (Owensboro Division) upheld defendant’s motion to suppress evidence seized in his car: </w:t>
      </w:r>
      <w:r w:rsidRPr="00B20BEC">
        <w:rPr>
          <w:rFonts w:ascii="Times New Roman" w:hAnsi="Times New Roman"/>
          <w:sz w:val="24"/>
          <w:szCs w:val="24"/>
        </w:rPr>
        <w:t xml:space="preserve">five bags of methamphetamine and a loaded nine-millimeter handgun in a backpack in the back seat. </w:t>
      </w:r>
      <w:r>
        <w:rPr>
          <w:rFonts w:ascii="Times New Roman" w:hAnsi="Times New Roman"/>
          <w:sz w:val="24"/>
          <w:szCs w:val="24"/>
        </w:rPr>
        <w:t xml:space="preserve">The Court rejected the government’s argument that volunteer firefighter Michael Wahl was lawfully trying to stop the car from leaving under the “Community Caretaking Doctrine.” </w:t>
      </w:r>
    </w:p>
    <w:p w14:paraId="167DD05E" w14:textId="77777777" w:rsidR="00D84F3A" w:rsidRDefault="00D84F3A" w:rsidP="00D84F3A">
      <w:pPr>
        <w:spacing w:before="100" w:beforeAutospacing="1" w:after="100" w:afterAutospacing="1" w:line="240" w:lineRule="auto"/>
        <w:ind w:left="720"/>
        <w:rPr>
          <w:rStyle w:val="Emphasis"/>
          <w:rFonts w:ascii="Times New Roman" w:hAnsi="Times New Roman"/>
          <w:sz w:val="24"/>
          <w:szCs w:val="24"/>
        </w:rPr>
      </w:pPr>
      <w:r>
        <w:rPr>
          <w:rFonts w:ascii="Times New Roman" w:hAnsi="Times New Roman"/>
          <w:sz w:val="24"/>
          <w:szCs w:val="24"/>
        </w:rPr>
        <w:t>“</w:t>
      </w:r>
      <w:r w:rsidRPr="005F7F88">
        <w:rPr>
          <w:rFonts w:ascii="Times New Roman" w:hAnsi="Times New Roman"/>
          <w:sz w:val="24"/>
          <w:szCs w:val="24"/>
        </w:rPr>
        <w:t>Basically, Wahl lacked facts about Fairrow's medical condition. He jumped through the window so he could figure out more. The Fourth Amendment flatly proscribes this shoot-</w:t>
      </w:r>
      <w:proofErr w:type="gramStart"/>
      <w:r w:rsidRPr="005F7F88">
        <w:rPr>
          <w:rFonts w:ascii="Times New Roman" w:hAnsi="Times New Roman"/>
          <w:sz w:val="24"/>
          <w:szCs w:val="24"/>
        </w:rPr>
        <w:t>first-ask</w:t>
      </w:r>
      <w:proofErr w:type="gramEnd"/>
      <w:r w:rsidRPr="005F7F88">
        <w:rPr>
          <w:rFonts w:ascii="Times New Roman" w:hAnsi="Times New Roman"/>
          <w:sz w:val="24"/>
          <w:szCs w:val="24"/>
        </w:rPr>
        <w:t xml:space="preserve">-questions-later approach. </w:t>
      </w:r>
    </w:p>
    <w:p w14:paraId="73AF73FF" w14:textId="77777777" w:rsidR="00D84F3A" w:rsidRPr="00BA25D8" w:rsidRDefault="00D84F3A" w:rsidP="00D84F3A">
      <w:pPr>
        <w:spacing w:before="100" w:beforeAutospacing="1" w:after="100" w:afterAutospacing="1" w:line="240" w:lineRule="auto"/>
        <w:ind w:left="720"/>
        <w:rPr>
          <w:rFonts w:ascii="Times New Roman" w:hAnsi="Times New Roman"/>
          <w:sz w:val="24"/>
          <w:szCs w:val="24"/>
        </w:rPr>
      </w:pPr>
      <w:r>
        <w:rPr>
          <w:rStyle w:val="Emphasis"/>
          <w:rFonts w:ascii="Times New Roman" w:hAnsi="Times New Roman"/>
          <w:sz w:val="24"/>
          <w:szCs w:val="24"/>
        </w:rPr>
        <w:t>***</w:t>
      </w:r>
    </w:p>
    <w:p w14:paraId="2D01F347" w14:textId="77777777" w:rsidR="00D84F3A" w:rsidRPr="00D81A8F" w:rsidRDefault="00D84F3A" w:rsidP="00D84F3A">
      <w:pPr>
        <w:spacing w:before="100" w:beforeAutospacing="1" w:after="100" w:afterAutospacing="1" w:line="240" w:lineRule="auto"/>
        <w:ind w:left="720"/>
        <w:rPr>
          <w:rFonts w:ascii="Times New Roman" w:hAnsi="Times New Roman"/>
          <w:sz w:val="24"/>
          <w:szCs w:val="24"/>
        </w:rPr>
      </w:pPr>
      <w:r w:rsidRPr="00D81A8F">
        <w:rPr>
          <w:rFonts w:ascii="Times New Roman" w:hAnsi="Times New Roman"/>
          <w:sz w:val="24"/>
          <w:szCs w:val="24"/>
        </w:rPr>
        <w:t xml:space="preserve">These facts render this case a far cry from </w:t>
      </w:r>
      <w:r w:rsidRPr="00D81A8F">
        <w:rPr>
          <w:rStyle w:val="Emphasis"/>
          <w:rFonts w:ascii="Times New Roman" w:hAnsi="Times New Roman"/>
          <w:sz w:val="24"/>
          <w:szCs w:val="24"/>
        </w:rPr>
        <w:t>United States v. Overton,</w:t>
      </w:r>
      <w:r w:rsidRPr="00D81A8F">
        <w:rPr>
          <w:rFonts w:ascii="Times New Roman" w:hAnsi="Times New Roman"/>
          <w:sz w:val="24"/>
          <w:szCs w:val="24"/>
        </w:rPr>
        <w:t xml:space="preserve"> the most relevant Sixth Circuit precedent. 600 </w:t>
      </w:r>
      <w:proofErr w:type="spellStart"/>
      <w:r w:rsidRPr="00D81A8F">
        <w:rPr>
          <w:rFonts w:ascii="Times New Roman" w:hAnsi="Times New Roman"/>
          <w:sz w:val="24"/>
          <w:szCs w:val="24"/>
        </w:rPr>
        <w:t>Fed.Appx</w:t>
      </w:r>
      <w:proofErr w:type="spellEnd"/>
      <w:r w:rsidRPr="00D81A8F">
        <w:rPr>
          <w:rFonts w:ascii="Times New Roman" w:hAnsi="Times New Roman"/>
          <w:sz w:val="24"/>
          <w:szCs w:val="24"/>
        </w:rPr>
        <w:t>. 303, 310 (6th Cir. 2014) ]</w:t>
      </w:r>
      <w:hyperlink r:id="rId247" w:history="1">
        <w:r w:rsidRPr="00D81A8F">
          <w:rPr>
            <w:rStyle w:val="Hyperlink"/>
            <w:rFonts w:ascii="Times New Roman" w:hAnsi="Times New Roman"/>
            <w:sz w:val="24"/>
            <w:szCs w:val="24"/>
          </w:rPr>
          <w:t>https://law.justia.com/cases/federal/appellate-courts/ca6/13-3274/13-3274-2014-03-13.html</w:t>
        </w:r>
      </w:hyperlink>
      <w:r w:rsidRPr="00D81A8F">
        <w:rPr>
          <w:rFonts w:ascii="Times New Roman" w:hAnsi="Times New Roman"/>
          <w:sz w:val="24"/>
          <w:szCs w:val="24"/>
        </w:rPr>
        <w:t xml:space="preserve">]. In Overton, the court held there was no unreasonable seizure when EMS personnel detained a man, who had been unconscious when they arrived on scene, for thirty seconds out of concern for his medical wellbeing. </w:t>
      </w:r>
      <w:r w:rsidRPr="00D81A8F">
        <w:rPr>
          <w:rStyle w:val="Emphasis"/>
          <w:rFonts w:ascii="Times New Roman" w:hAnsi="Times New Roman"/>
          <w:sz w:val="24"/>
          <w:szCs w:val="24"/>
        </w:rPr>
        <w:t>Id.</w:t>
      </w:r>
      <w:r w:rsidRPr="00D81A8F">
        <w:rPr>
          <w:rFonts w:ascii="Times New Roman" w:hAnsi="Times New Roman"/>
          <w:sz w:val="24"/>
          <w:szCs w:val="24"/>
        </w:rPr>
        <w:t xml:space="preserve"> at 310-311. The brief seizure to substantiate the man's claims that he was fine was reasonable in furtherance of their medical duties. </w:t>
      </w:r>
      <w:r w:rsidRPr="00D81A8F">
        <w:rPr>
          <w:rStyle w:val="Emphasis"/>
          <w:rFonts w:ascii="Times New Roman" w:hAnsi="Times New Roman"/>
          <w:sz w:val="24"/>
          <w:szCs w:val="24"/>
        </w:rPr>
        <w:t>Id.</w:t>
      </w:r>
      <w:r w:rsidRPr="00D81A8F">
        <w:rPr>
          <w:rFonts w:ascii="Times New Roman" w:hAnsi="Times New Roman"/>
          <w:sz w:val="24"/>
          <w:szCs w:val="24"/>
        </w:rPr>
        <w:t xml:space="preserve"> To analogize, a brief seizure here may have been reasonable if the firefighters found Fairrow unconscious, if Fairrow was slurring words, or if they had other specific concerns about Fairrow's medical capacity. But unlike the EMTs in Overton, the firefighters had no reason to question Fairrow's medical capacity. Fairrow was never unconscious, passed the medical screening, and repeatedly said he was fine, yet Wahl aggressively prevented his departure.” </w:t>
      </w:r>
      <w:hyperlink r:id="rId248" w:history="1">
        <w:r w:rsidRPr="00D81A8F">
          <w:rPr>
            <w:rStyle w:val="Hyperlink"/>
            <w:rFonts w:ascii="Times New Roman" w:hAnsi="Times New Roman"/>
            <w:sz w:val="24"/>
            <w:szCs w:val="24"/>
          </w:rPr>
          <w:t>https://www.leagle.com/decision/infdco20211108549</w:t>
        </w:r>
      </w:hyperlink>
      <w:r w:rsidRPr="00D81A8F">
        <w:rPr>
          <w:rFonts w:ascii="Times New Roman" w:hAnsi="Times New Roman"/>
          <w:sz w:val="24"/>
          <w:szCs w:val="24"/>
        </w:rPr>
        <w:t xml:space="preserve"> </w:t>
      </w:r>
    </w:p>
    <w:p w14:paraId="4A93D042" w14:textId="04F6CBF7" w:rsidR="00D84F3A" w:rsidRPr="005F7F88" w:rsidRDefault="00D84F3A" w:rsidP="00D84F3A">
      <w:pPr>
        <w:spacing w:before="100" w:beforeAutospacing="1" w:after="100" w:afterAutospacing="1" w:line="240" w:lineRule="auto"/>
        <w:rPr>
          <w:rFonts w:ascii="Times New Roman" w:eastAsia="Times New Roman" w:hAnsi="Times New Roman"/>
          <w:b/>
          <w:bCs/>
          <w:sz w:val="24"/>
          <w:szCs w:val="24"/>
        </w:rPr>
      </w:pPr>
      <w:bookmarkStart w:id="5" w:name="_Hlk89146577"/>
      <w:r w:rsidRPr="00FE5C3D">
        <w:rPr>
          <w:rFonts w:ascii="Times New Roman" w:hAnsi="Times New Roman"/>
          <w:b/>
          <w:bCs/>
          <w:sz w:val="24"/>
          <w:szCs w:val="24"/>
        </w:rPr>
        <w:lastRenderedPageBreak/>
        <w:t>Legal Lesson Learned: The “Community Caretaking Doctrine” has been widely applied when there is real danger</w:t>
      </w:r>
      <w:r>
        <w:rPr>
          <w:rFonts w:ascii="Times New Roman" w:hAnsi="Times New Roman"/>
          <w:b/>
          <w:bCs/>
          <w:sz w:val="24"/>
          <w:szCs w:val="24"/>
        </w:rPr>
        <w:t xml:space="preserve"> to</w:t>
      </w:r>
      <w:r w:rsidRPr="00FE5C3D">
        <w:rPr>
          <w:rFonts w:ascii="Times New Roman" w:hAnsi="Times New Roman"/>
          <w:b/>
          <w:bCs/>
          <w:sz w:val="24"/>
          <w:szCs w:val="24"/>
        </w:rPr>
        <w:t xml:space="preserve"> emergency responders</w:t>
      </w:r>
      <w:r>
        <w:rPr>
          <w:rFonts w:ascii="Times New Roman" w:hAnsi="Times New Roman"/>
          <w:b/>
          <w:bCs/>
          <w:sz w:val="24"/>
          <w:szCs w:val="24"/>
        </w:rPr>
        <w:t xml:space="preserve"> or to the public. If the volunteer firefighter had smelled strong odor of marijuana, Court may have not suppressed the evidence.  </w:t>
      </w:r>
      <w:r w:rsidRPr="00FE5C3D">
        <w:rPr>
          <w:rFonts w:ascii="Times New Roman" w:hAnsi="Times New Roman"/>
          <w:b/>
          <w:bCs/>
          <w:sz w:val="24"/>
          <w:szCs w:val="24"/>
        </w:rPr>
        <w:t xml:space="preserve"> </w:t>
      </w:r>
    </w:p>
    <w:bookmarkEnd w:id="5"/>
    <w:p w14:paraId="304EA8D5" w14:textId="77777777" w:rsidR="00D84F3A" w:rsidRDefault="00D84F3A" w:rsidP="002B1283">
      <w:pPr>
        <w:rPr>
          <w:rFonts w:ascii="Arial Black" w:hAnsi="Arial Black"/>
          <w:b/>
          <w:sz w:val="24"/>
          <w:szCs w:val="24"/>
        </w:rPr>
      </w:pPr>
    </w:p>
    <w:p w14:paraId="32F1E9E9" w14:textId="77777777" w:rsidR="00D84F3A" w:rsidRDefault="00D84F3A" w:rsidP="002B1283">
      <w:pPr>
        <w:rPr>
          <w:rFonts w:ascii="Arial Black" w:hAnsi="Arial Black"/>
          <w:b/>
          <w:sz w:val="24"/>
          <w:szCs w:val="24"/>
        </w:rPr>
      </w:pPr>
    </w:p>
    <w:p w14:paraId="525D6CE7" w14:textId="1B80B023" w:rsidR="00243A7F" w:rsidRDefault="00243A7F" w:rsidP="002B1283">
      <w:pPr>
        <w:rPr>
          <w:rFonts w:ascii="Arial Black" w:hAnsi="Arial Black"/>
          <w:b/>
          <w:sz w:val="24"/>
          <w:szCs w:val="24"/>
        </w:rPr>
      </w:pPr>
      <w:r>
        <w:rPr>
          <w:rFonts w:ascii="Arial Black" w:hAnsi="Arial Black"/>
          <w:b/>
          <w:sz w:val="24"/>
          <w:szCs w:val="24"/>
        </w:rPr>
        <w:t>1-88</w:t>
      </w:r>
    </w:p>
    <w:p w14:paraId="0BD96F53" w14:textId="77777777" w:rsidR="00243A7F" w:rsidRPr="004E6D58" w:rsidRDefault="00243A7F" w:rsidP="00243A7F">
      <w:pPr>
        <w:pStyle w:val="NormalWeb"/>
        <w:rPr>
          <w:rFonts w:ascii="Arial Black" w:hAnsi="Arial Black"/>
          <w:sz w:val="28"/>
          <w:szCs w:val="28"/>
        </w:rPr>
      </w:pPr>
      <w:r>
        <w:rPr>
          <w:rFonts w:ascii="Arial Black" w:hAnsi="Arial Black"/>
          <w:sz w:val="28"/>
          <w:szCs w:val="28"/>
        </w:rPr>
        <w:t>OH: WOMAN DIED IN HOUSE FIRE – IGNORED 13 WARNING LOW BATTERY FROM CABLE COMPANY – CASE DISMISSED</w:t>
      </w:r>
    </w:p>
    <w:p w14:paraId="2F9077AE" w14:textId="77777777" w:rsidR="00243A7F" w:rsidRDefault="00243A7F" w:rsidP="00243A7F">
      <w:pPr>
        <w:pStyle w:val="NormalWeb"/>
      </w:pPr>
      <w:r>
        <w:t xml:space="preserve">On Oct. 26, 2021, in </w:t>
      </w:r>
      <w:r w:rsidRPr="004E6D58">
        <w:rPr>
          <w:u w:val="single"/>
        </w:rPr>
        <w:t xml:space="preserve">Jeffrey Kahl v. </w:t>
      </w:r>
      <w:proofErr w:type="spellStart"/>
      <w:r w:rsidRPr="004E6D58">
        <w:rPr>
          <w:u w:val="single"/>
        </w:rPr>
        <w:t>Sectrum</w:t>
      </w:r>
      <w:proofErr w:type="spellEnd"/>
      <w:r w:rsidRPr="004E6D58">
        <w:rPr>
          <w:u w:val="single"/>
        </w:rPr>
        <w:t xml:space="preserve"> Security, LLC, doing business as Spectrum, et al</w:t>
      </w:r>
      <w:r>
        <w:t>., the U.S. Court of Appeals for the 6</w:t>
      </w:r>
      <w:r w:rsidRPr="004E6D58">
        <w:rPr>
          <w:vertAlign w:val="superscript"/>
        </w:rPr>
        <w:t>th</w:t>
      </w:r>
      <w:r>
        <w:t xml:space="preserve"> Circuit (Cincinnati) held (3 to 0) in unpublished decision that Federal District Court judge had properly dismissed the husband’s lawsuit. </w:t>
      </w:r>
    </w:p>
    <w:p w14:paraId="544C0E59" w14:textId="77777777" w:rsidR="00243A7F" w:rsidRPr="004E6D58" w:rsidRDefault="00243A7F" w:rsidP="00243A7F">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w:t>
      </w:r>
      <w:r w:rsidRPr="004E6D58">
        <w:rPr>
          <w:rFonts w:ascii="Times New Roman" w:eastAsia="Times New Roman" w:hAnsi="Times New Roman"/>
          <w:sz w:val="24"/>
          <w:szCs w:val="24"/>
        </w:rPr>
        <w:t>Under the unique facts of this case, a reasonable person must conclude that Heather's negligence in failing to heed the warnings provided by Spectrum about the low-battery signal outweighed any negligence by the defendants. At the outset, we emphasize that this is not a case where a fire-alarm company provided little or no warning about faulty equipment. Starting in June 2017, Spectrum repeatedly notified Heather of the smoke detector's dying battery, using different mediums to send duplicative alerts</w:t>
      </w:r>
      <w:r>
        <w:rPr>
          <w:rFonts w:ascii="Times New Roman" w:eastAsia="Times New Roman" w:hAnsi="Times New Roman"/>
          <w:sz w:val="24"/>
          <w:szCs w:val="24"/>
        </w:rPr>
        <w:t>….</w:t>
      </w:r>
      <w:r w:rsidRPr="004E6D58">
        <w:rPr>
          <w:rFonts w:ascii="Times New Roman" w:eastAsia="Times New Roman" w:hAnsi="Times New Roman"/>
          <w:sz w:val="24"/>
          <w:szCs w:val="24"/>
        </w:rPr>
        <w:t xml:space="preserve"> The company also provided a complimentary replacement battery to fix the problem</w:t>
      </w:r>
      <w:r>
        <w:rPr>
          <w:rFonts w:ascii="Times New Roman" w:eastAsia="Times New Roman" w:hAnsi="Times New Roman"/>
          <w:sz w:val="24"/>
          <w:szCs w:val="24"/>
        </w:rPr>
        <w:t>….</w:t>
      </w:r>
      <w:r w:rsidRPr="004E6D58">
        <w:rPr>
          <w:rFonts w:ascii="Times New Roman" w:eastAsia="Times New Roman" w:hAnsi="Times New Roman"/>
          <w:sz w:val="24"/>
          <w:szCs w:val="24"/>
        </w:rPr>
        <w:t xml:space="preserve"> When the issue persisted after Spectrum shipped the new battery to Heather, the company scheduled a maintenance appointment to have a technician examine the smoke detector</w:t>
      </w:r>
      <w:r>
        <w:rPr>
          <w:rFonts w:ascii="Times New Roman" w:eastAsia="Times New Roman" w:hAnsi="Times New Roman"/>
          <w:sz w:val="24"/>
          <w:szCs w:val="24"/>
        </w:rPr>
        <w:t xml:space="preserve">…. </w:t>
      </w:r>
      <w:r w:rsidRPr="004E6D58">
        <w:rPr>
          <w:rFonts w:ascii="Times New Roman" w:eastAsia="Times New Roman" w:hAnsi="Times New Roman"/>
          <w:sz w:val="24"/>
          <w:szCs w:val="24"/>
        </w:rPr>
        <w:t xml:space="preserve">Heather was certainly aware of the problem with the smoke detector as she cancelled that appointment the day it was scheduled to take place. </w:t>
      </w:r>
      <w:r>
        <w:rPr>
          <w:rFonts w:ascii="Times New Roman" w:eastAsia="Times New Roman" w:hAnsi="Times New Roman"/>
          <w:sz w:val="24"/>
          <w:szCs w:val="24"/>
        </w:rPr>
        <w:t xml:space="preserve">*** </w:t>
      </w:r>
      <w:r w:rsidRPr="004E6D58">
        <w:rPr>
          <w:rFonts w:ascii="Times New Roman" w:eastAsia="Times New Roman" w:hAnsi="Times New Roman"/>
          <w:sz w:val="24"/>
          <w:szCs w:val="24"/>
        </w:rPr>
        <w:t>It is true that the iControl panel in the Kahl residence registered a low-battery signal on September 14 and that the defendants did not alert Heather of that problem that day</w:t>
      </w:r>
      <w:r>
        <w:rPr>
          <w:rFonts w:ascii="Times New Roman" w:eastAsia="Times New Roman" w:hAnsi="Times New Roman"/>
          <w:sz w:val="24"/>
          <w:szCs w:val="24"/>
        </w:rPr>
        <w:t>…</w:t>
      </w:r>
      <w:r w:rsidRPr="004E6D58">
        <w:rPr>
          <w:rFonts w:ascii="Times New Roman" w:eastAsia="Times New Roman" w:hAnsi="Times New Roman"/>
          <w:sz w:val="24"/>
          <w:szCs w:val="24"/>
        </w:rPr>
        <w:t xml:space="preserve">. Crucially, however, Spectrum made five attempts </w:t>
      </w:r>
      <w:r w:rsidRPr="004E6D58">
        <w:rPr>
          <w:rFonts w:ascii="Times New Roman" w:eastAsia="Times New Roman" w:hAnsi="Times New Roman"/>
          <w:i/>
          <w:iCs/>
          <w:sz w:val="24"/>
          <w:szCs w:val="24"/>
        </w:rPr>
        <w:t>after</w:t>
      </w:r>
      <w:r w:rsidRPr="004E6D58">
        <w:rPr>
          <w:rFonts w:ascii="Times New Roman" w:eastAsia="Times New Roman" w:hAnsi="Times New Roman"/>
          <w:sz w:val="24"/>
          <w:szCs w:val="24"/>
        </w:rPr>
        <w:t xml:space="preserve"> September 14 to alert Heather to the issue, the last attempt coming approximately two weeks before the fire.</w:t>
      </w:r>
      <w:r>
        <w:rPr>
          <w:rFonts w:ascii="Times New Roman" w:eastAsia="Times New Roman" w:hAnsi="Times New Roman"/>
          <w:sz w:val="24"/>
          <w:szCs w:val="24"/>
        </w:rPr>
        <w:t xml:space="preserve"> *** </w:t>
      </w:r>
      <w:r w:rsidRPr="008F13A3">
        <w:rPr>
          <w:rFonts w:ascii="Times New Roman" w:eastAsia="Times New Roman" w:hAnsi="Times New Roman"/>
          <w:sz w:val="24"/>
          <w:szCs w:val="24"/>
        </w:rPr>
        <w:t xml:space="preserve">By the last notification on October 16, 2017, Spectrum had contacted Heather on thirteen different days about the smoke detector's low </w:t>
      </w:r>
      <w:proofErr w:type="gramStart"/>
      <w:r w:rsidRPr="008F13A3">
        <w:rPr>
          <w:rFonts w:ascii="Times New Roman" w:eastAsia="Times New Roman" w:hAnsi="Times New Roman"/>
          <w:sz w:val="24"/>
          <w:szCs w:val="24"/>
        </w:rPr>
        <w:t>battery.</w:t>
      </w:r>
      <w:r>
        <w:rPr>
          <w:rFonts w:ascii="Times New Roman" w:eastAsia="Times New Roman" w:hAnsi="Times New Roman"/>
          <w:sz w:val="24"/>
          <w:szCs w:val="24"/>
        </w:rPr>
        <w:t>”</w:t>
      </w:r>
      <w:proofErr w:type="gramEnd"/>
      <w:r w:rsidRPr="008F13A3">
        <w:rPr>
          <w:rFonts w:ascii="Times New Roman" w:eastAsia="Times New Roman" w:hAnsi="Times New Roman"/>
          <w:sz w:val="24"/>
          <w:szCs w:val="24"/>
        </w:rPr>
        <w:t xml:space="preserve"> </w:t>
      </w:r>
      <w:hyperlink r:id="rId249" w:history="1">
        <w:r w:rsidRPr="00AB11A6">
          <w:rPr>
            <w:rStyle w:val="Hyperlink"/>
            <w:sz w:val="24"/>
            <w:szCs w:val="24"/>
          </w:rPr>
          <w:t>https://www.opn.ca6.uscourts.gov/opinions.pdf/21a0484n-06.pdf</w:t>
        </w:r>
      </w:hyperlink>
      <w:r>
        <w:rPr>
          <w:rFonts w:ascii="Times New Roman" w:eastAsia="Times New Roman" w:hAnsi="Times New Roman"/>
          <w:sz w:val="24"/>
          <w:szCs w:val="24"/>
        </w:rPr>
        <w:t xml:space="preserve"> </w:t>
      </w:r>
    </w:p>
    <w:p w14:paraId="753DACBE" w14:textId="77777777" w:rsidR="00243A7F" w:rsidRPr="008F13A3" w:rsidRDefault="00243A7F" w:rsidP="00243A7F">
      <w:pPr>
        <w:spacing w:before="100" w:beforeAutospacing="1" w:after="100" w:afterAutospacing="1" w:line="240" w:lineRule="auto"/>
        <w:rPr>
          <w:rFonts w:ascii="Times New Roman" w:eastAsia="Times New Roman" w:hAnsi="Times New Roman"/>
          <w:b/>
          <w:bCs/>
          <w:sz w:val="24"/>
          <w:szCs w:val="24"/>
        </w:rPr>
      </w:pPr>
      <w:r w:rsidRPr="008F13A3">
        <w:rPr>
          <w:rFonts w:ascii="Times New Roman" w:eastAsia="Times New Roman" w:hAnsi="Times New Roman"/>
          <w:b/>
          <w:bCs/>
          <w:sz w:val="24"/>
          <w:szCs w:val="24"/>
        </w:rPr>
        <w:t>Legal Lesson Learned:</w:t>
      </w:r>
      <w:r>
        <w:rPr>
          <w:rFonts w:ascii="Times New Roman" w:eastAsia="Times New Roman" w:hAnsi="Times New Roman"/>
          <w:b/>
          <w:bCs/>
          <w:sz w:val="24"/>
          <w:szCs w:val="24"/>
        </w:rPr>
        <w:t xml:space="preserve"> Working smoke detectors save lives; cable </w:t>
      </w:r>
      <w:proofErr w:type="gramStart"/>
      <w:r>
        <w:rPr>
          <w:rFonts w:ascii="Times New Roman" w:eastAsia="Times New Roman" w:hAnsi="Times New Roman"/>
          <w:b/>
          <w:bCs/>
          <w:sz w:val="24"/>
          <w:szCs w:val="24"/>
        </w:rPr>
        <w:t>company</w:t>
      </w:r>
      <w:proofErr w:type="gramEnd"/>
      <w:r>
        <w:rPr>
          <w:rFonts w:ascii="Times New Roman" w:eastAsia="Times New Roman" w:hAnsi="Times New Roman"/>
          <w:b/>
          <w:bCs/>
          <w:sz w:val="24"/>
          <w:szCs w:val="24"/>
        </w:rPr>
        <w:t xml:space="preserve"> not liable when </w:t>
      </w:r>
      <w:proofErr w:type="gramStart"/>
      <w:r>
        <w:rPr>
          <w:rFonts w:ascii="Times New Roman" w:eastAsia="Times New Roman" w:hAnsi="Times New Roman"/>
          <w:b/>
          <w:bCs/>
          <w:sz w:val="24"/>
          <w:szCs w:val="24"/>
        </w:rPr>
        <w:t>customer ignores</w:t>
      </w:r>
      <w:proofErr w:type="gramEnd"/>
      <w:r>
        <w:rPr>
          <w:rFonts w:ascii="Times New Roman" w:eastAsia="Times New Roman" w:hAnsi="Times New Roman"/>
          <w:b/>
          <w:bCs/>
          <w:sz w:val="24"/>
          <w:szCs w:val="24"/>
        </w:rPr>
        <w:t xml:space="preserve"> 13 notifications of low </w:t>
      </w:r>
      <w:proofErr w:type="gramStart"/>
      <w:r>
        <w:rPr>
          <w:rFonts w:ascii="Times New Roman" w:eastAsia="Times New Roman" w:hAnsi="Times New Roman"/>
          <w:b/>
          <w:bCs/>
          <w:sz w:val="24"/>
          <w:szCs w:val="24"/>
        </w:rPr>
        <w:t>battery</w:t>
      </w:r>
      <w:proofErr w:type="gramEnd"/>
      <w:r>
        <w:rPr>
          <w:rFonts w:ascii="Times New Roman" w:eastAsia="Times New Roman" w:hAnsi="Times New Roman"/>
          <w:b/>
          <w:bCs/>
          <w:sz w:val="24"/>
          <w:szCs w:val="24"/>
        </w:rPr>
        <w:t xml:space="preserve">. </w:t>
      </w:r>
    </w:p>
    <w:p w14:paraId="0C8F577E" w14:textId="77777777" w:rsidR="00243A7F" w:rsidRDefault="00243A7F" w:rsidP="002B1283">
      <w:pPr>
        <w:rPr>
          <w:rFonts w:ascii="Arial Black" w:hAnsi="Arial Black"/>
          <w:b/>
          <w:sz w:val="24"/>
          <w:szCs w:val="24"/>
        </w:rPr>
      </w:pPr>
    </w:p>
    <w:p w14:paraId="574FA4E9" w14:textId="74328D23" w:rsidR="00243A7F" w:rsidRDefault="00243A7F" w:rsidP="002B1283">
      <w:pPr>
        <w:rPr>
          <w:rFonts w:ascii="Arial Black" w:hAnsi="Arial Black"/>
          <w:b/>
          <w:sz w:val="24"/>
          <w:szCs w:val="24"/>
        </w:rPr>
      </w:pPr>
      <w:r>
        <w:rPr>
          <w:rFonts w:ascii="Arial Black" w:hAnsi="Arial Black"/>
          <w:b/>
          <w:sz w:val="24"/>
          <w:szCs w:val="24"/>
        </w:rPr>
        <w:t>1-87</w:t>
      </w:r>
    </w:p>
    <w:p w14:paraId="696D3634" w14:textId="77777777" w:rsidR="00243A7F" w:rsidRPr="0029293F" w:rsidRDefault="00243A7F" w:rsidP="00243A7F">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IL: GAS LEAK - DRUNK HOMEOWNER DROVE OVER HIS GAS METER – OFFICER PROB. CAUSE – NOT “SELF DRIVING” CAR</w:t>
      </w:r>
    </w:p>
    <w:p w14:paraId="1DC56174" w14:textId="77777777" w:rsidR="00243A7F" w:rsidRPr="0029293F" w:rsidRDefault="00243A7F" w:rsidP="00243A7F">
      <w:pPr>
        <w:spacing w:before="100" w:beforeAutospacing="1" w:after="100" w:afterAutospacing="1" w:line="240" w:lineRule="auto"/>
        <w:rPr>
          <w:rFonts w:ascii="Times New Roman" w:eastAsia="Times New Roman" w:hAnsi="Times New Roman"/>
          <w:sz w:val="24"/>
          <w:szCs w:val="24"/>
        </w:rPr>
      </w:pPr>
      <w:r w:rsidRPr="0029293F">
        <w:rPr>
          <w:rFonts w:ascii="Times New Roman" w:eastAsia="Times New Roman" w:hAnsi="Times New Roman"/>
          <w:sz w:val="24"/>
          <w:szCs w:val="24"/>
        </w:rPr>
        <w:t> </w:t>
      </w:r>
      <w:r>
        <w:rPr>
          <w:rFonts w:ascii="Times New Roman" w:eastAsia="Times New Roman" w:hAnsi="Times New Roman"/>
          <w:sz w:val="24"/>
          <w:szCs w:val="24"/>
        </w:rPr>
        <w:t xml:space="preserve">On Oct. 26, 2021, in </w:t>
      </w:r>
      <w:r w:rsidRPr="0029293F">
        <w:rPr>
          <w:rFonts w:ascii="Times New Roman" w:eastAsia="Times New Roman" w:hAnsi="Times New Roman"/>
          <w:sz w:val="24"/>
          <w:szCs w:val="24"/>
          <w:u w:val="single"/>
        </w:rPr>
        <w:t>Gregory A. Switzer v. The Village of Glassford, Illinois and Andrew Burgess</w:t>
      </w:r>
      <w:r>
        <w:rPr>
          <w:rFonts w:ascii="Times New Roman" w:eastAsia="Times New Roman" w:hAnsi="Times New Roman"/>
          <w:sz w:val="24"/>
          <w:szCs w:val="24"/>
        </w:rPr>
        <w:t>, U.S. District Court Judge James E. Shadid, Central District of Illinois, granted Officer Burgess’ motion for summary judgment since he had probable cause to arrest, even if charges later dropped. The judge comically commented on the homeowner’s claim that someone else must have been driving his vehicle.</w:t>
      </w:r>
    </w:p>
    <w:p w14:paraId="38385C95" w14:textId="77777777" w:rsidR="00243A7F" w:rsidRPr="007F2596" w:rsidRDefault="00243A7F" w:rsidP="00243A7F">
      <w:pPr>
        <w:spacing w:before="100" w:beforeAutospacing="1" w:after="100" w:afterAutospacing="1" w:line="240" w:lineRule="auto"/>
        <w:ind w:left="720"/>
        <w:rPr>
          <w:rFonts w:ascii="Times New Roman" w:eastAsia="Times New Roman" w:hAnsi="Times New Roman"/>
          <w:b/>
          <w:bCs/>
          <w:sz w:val="24"/>
          <w:szCs w:val="24"/>
        </w:rPr>
      </w:pPr>
      <w:r>
        <w:rPr>
          <w:rFonts w:ascii="Times New Roman" w:hAnsi="Times New Roman"/>
          <w:sz w:val="24"/>
          <w:szCs w:val="24"/>
        </w:rPr>
        <w:lastRenderedPageBreak/>
        <w:t>“</w:t>
      </w:r>
      <w:r w:rsidRPr="007F2596">
        <w:rPr>
          <w:rFonts w:ascii="Times New Roman" w:hAnsi="Times New Roman"/>
          <w:sz w:val="24"/>
          <w:szCs w:val="24"/>
        </w:rPr>
        <w:t xml:space="preserve">While that possibility becomes ever-so-slightly more possible with advances in self-driving technology, it does not yet exist. Notwithstanding the state courts' contrary conclusion, Justice Schmidt was </w:t>
      </w:r>
      <w:proofErr w:type="gramStart"/>
      <w:r w:rsidRPr="007F2596">
        <w:rPr>
          <w:rFonts w:ascii="Times New Roman" w:hAnsi="Times New Roman"/>
          <w:sz w:val="24"/>
          <w:szCs w:val="24"/>
        </w:rPr>
        <w:t>absolutely correct</w:t>
      </w:r>
      <w:proofErr w:type="gramEnd"/>
      <w:r w:rsidRPr="007F2596">
        <w:rPr>
          <w:rFonts w:ascii="Times New Roman" w:hAnsi="Times New Roman"/>
          <w:sz w:val="24"/>
          <w:szCs w:val="24"/>
        </w:rPr>
        <w:t>: Officer Burgess clearly had probable cause to arrest Switzer for the offense of driving under the influence. Accordingly, Defendants are entitled to summary judgment on each of Plaintiff's claims.</w:t>
      </w:r>
      <w:r>
        <w:rPr>
          <w:rFonts w:ascii="Times New Roman" w:hAnsi="Times New Roman"/>
          <w:sz w:val="24"/>
          <w:szCs w:val="24"/>
        </w:rPr>
        <w:t xml:space="preserve">” </w:t>
      </w:r>
      <w:hyperlink r:id="rId250" w:history="1">
        <w:r w:rsidRPr="007148A2">
          <w:rPr>
            <w:rStyle w:val="Hyperlink"/>
            <w:sz w:val="24"/>
            <w:szCs w:val="24"/>
          </w:rPr>
          <w:t>https://public.fastcase.com/9SKwsfNqTc6OieYDhNMyMxCncQbdnZBHHYClkb%2F5rq5vAcucBX21mkOLoZWomgOrkfyB0T1fu8X9VBZqJtLwyHdQaAVKSMi9mGC9zU6KrUc%3D</w:t>
        </w:r>
      </w:hyperlink>
      <w:r>
        <w:rPr>
          <w:rFonts w:ascii="Times New Roman" w:hAnsi="Times New Roman"/>
          <w:sz w:val="24"/>
          <w:szCs w:val="24"/>
        </w:rPr>
        <w:t xml:space="preserve"> </w:t>
      </w:r>
    </w:p>
    <w:p w14:paraId="13DD37C5" w14:textId="77777777" w:rsidR="00243A7F" w:rsidRPr="0029293F" w:rsidRDefault="00243A7F" w:rsidP="00243A7F">
      <w:pPr>
        <w:spacing w:before="100" w:beforeAutospacing="1" w:after="100" w:afterAutospacing="1" w:line="240" w:lineRule="auto"/>
        <w:rPr>
          <w:rFonts w:ascii="Times New Roman" w:eastAsia="Times New Roman" w:hAnsi="Times New Roman"/>
          <w:b/>
          <w:bCs/>
          <w:sz w:val="24"/>
          <w:szCs w:val="24"/>
        </w:rPr>
      </w:pPr>
      <w:r w:rsidRPr="007F2596">
        <w:rPr>
          <w:rFonts w:ascii="Times New Roman" w:eastAsia="Times New Roman" w:hAnsi="Times New Roman"/>
          <w:b/>
          <w:bCs/>
          <w:sz w:val="24"/>
          <w:szCs w:val="24"/>
        </w:rPr>
        <w:t>Legal Lesson Learned:</w:t>
      </w:r>
      <w:r>
        <w:rPr>
          <w:rFonts w:ascii="Times New Roman" w:eastAsia="Times New Roman" w:hAnsi="Times New Roman"/>
          <w:b/>
          <w:bCs/>
          <w:sz w:val="24"/>
          <w:szCs w:val="24"/>
        </w:rPr>
        <w:t xml:space="preserve"> Judges sometimes offer comical comments in their decision; reflects on the frivolous nature of the lawsuit. </w:t>
      </w:r>
    </w:p>
    <w:p w14:paraId="45347B8B" w14:textId="77777777" w:rsidR="00243A7F" w:rsidRDefault="00243A7F" w:rsidP="002B1283">
      <w:pPr>
        <w:rPr>
          <w:rFonts w:ascii="Arial Black" w:hAnsi="Arial Black"/>
          <w:b/>
          <w:sz w:val="24"/>
          <w:szCs w:val="24"/>
        </w:rPr>
      </w:pPr>
    </w:p>
    <w:p w14:paraId="4CFDBE78" w14:textId="205AD2A4" w:rsidR="00243A7F" w:rsidRDefault="00243A7F" w:rsidP="002B1283">
      <w:pPr>
        <w:rPr>
          <w:rFonts w:ascii="Arial Black" w:hAnsi="Arial Black"/>
          <w:b/>
          <w:sz w:val="24"/>
          <w:szCs w:val="24"/>
        </w:rPr>
      </w:pPr>
      <w:r>
        <w:rPr>
          <w:rFonts w:ascii="Arial Black" w:hAnsi="Arial Black"/>
          <w:b/>
          <w:sz w:val="24"/>
          <w:szCs w:val="24"/>
        </w:rPr>
        <w:t>1-86</w:t>
      </w:r>
    </w:p>
    <w:p w14:paraId="0EADFA80" w14:textId="77777777" w:rsidR="00243A7F" w:rsidRPr="009B4011" w:rsidRDefault="00243A7F" w:rsidP="00243A7F">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CA: HOMEOWNDER REFUSED SIGN CITATION - BURNING 3 CANS POOL – ARRESTED – LAWSUIT DISMISSED</w:t>
      </w:r>
    </w:p>
    <w:p w14:paraId="436FB3D3" w14:textId="77777777" w:rsidR="00243A7F" w:rsidRDefault="00243A7F" w:rsidP="00243A7F">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On Oct. 25, 2021, in </w:t>
      </w:r>
      <w:r w:rsidRPr="009B4011">
        <w:rPr>
          <w:rFonts w:ascii="Times New Roman" w:hAnsi="Times New Roman"/>
          <w:sz w:val="24"/>
          <w:szCs w:val="24"/>
          <w:u w:val="single"/>
        </w:rPr>
        <w:t>James I. McMillan v. County of Shasta</w:t>
      </w:r>
      <w:r>
        <w:rPr>
          <w:rFonts w:ascii="Times New Roman" w:hAnsi="Times New Roman"/>
          <w:sz w:val="24"/>
          <w:szCs w:val="24"/>
        </w:rPr>
        <w:t xml:space="preserve">, U.S. District Court judge John A. Mendez, U.S. District Court for Eastern District of California, dismissed the lawsuit filed by the plaintiff (an attorney, representing himself) against the County, the Fire Chief and police officers. </w:t>
      </w:r>
    </w:p>
    <w:p w14:paraId="2F528FC1" w14:textId="1110A5B7" w:rsidR="00243A7F" w:rsidRDefault="00243A7F" w:rsidP="00243A7F">
      <w:pPr>
        <w:spacing w:before="100" w:beforeAutospacing="1" w:after="100" w:afterAutospacing="1" w:line="240" w:lineRule="auto"/>
        <w:ind w:left="720"/>
        <w:rPr>
          <w:rFonts w:ascii="Times New Roman" w:hAnsi="Times New Roman"/>
          <w:sz w:val="24"/>
          <w:szCs w:val="24"/>
        </w:rPr>
      </w:pPr>
      <w:r w:rsidRPr="009A1AFE">
        <w:rPr>
          <w:rFonts w:ascii="Times New Roman" w:hAnsi="Times New Roman"/>
          <w:sz w:val="24"/>
          <w:szCs w:val="24"/>
        </w:rPr>
        <w:t>“Fire Defendants move to dismiss all claims against Chief Lowe and the Anderson Fire Protection District, contending that none of the factual allegations involving Lowe or the Anderson firefighters provide a basis for liability</w:t>
      </w:r>
      <w:r>
        <w:rPr>
          <w:rFonts w:ascii="Times New Roman" w:hAnsi="Times New Roman"/>
          <w:sz w:val="24"/>
          <w:szCs w:val="24"/>
        </w:rPr>
        <w:t xml:space="preserve">…. </w:t>
      </w:r>
      <w:r w:rsidRPr="009A1AFE">
        <w:rPr>
          <w:rFonts w:ascii="Times New Roman" w:hAnsi="Times New Roman"/>
          <w:sz w:val="24"/>
          <w:szCs w:val="24"/>
        </w:rPr>
        <w:t>The Court agrees.</w:t>
      </w:r>
      <w:r>
        <w:rPr>
          <w:rFonts w:ascii="Times New Roman" w:hAnsi="Times New Roman"/>
          <w:sz w:val="24"/>
          <w:szCs w:val="24"/>
        </w:rPr>
        <w:t xml:space="preserve"> *** </w:t>
      </w:r>
      <w:r w:rsidRPr="009A1AFE">
        <w:rPr>
          <w:rFonts w:ascii="Times New Roman" w:hAnsi="Times New Roman"/>
          <w:sz w:val="24"/>
          <w:szCs w:val="24"/>
        </w:rPr>
        <w:t xml:space="preserve">Simply put, Plaintiff still has not </w:t>
      </w:r>
      <w:proofErr w:type="gramStart"/>
      <w:r w:rsidRPr="009A1AFE">
        <w:rPr>
          <w:rFonts w:ascii="Times New Roman" w:hAnsi="Times New Roman"/>
          <w:sz w:val="24"/>
          <w:szCs w:val="24"/>
        </w:rPr>
        <w:t>pled</w:t>
      </w:r>
      <w:proofErr w:type="gramEnd"/>
      <w:r w:rsidRPr="009A1AFE">
        <w:rPr>
          <w:rFonts w:ascii="Times New Roman" w:hAnsi="Times New Roman"/>
          <w:sz w:val="24"/>
          <w:szCs w:val="24"/>
        </w:rPr>
        <w:t xml:space="preserve"> any legally actionable conduct by the Fire Defendants.</w:t>
      </w:r>
      <w:r>
        <w:rPr>
          <w:rFonts w:ascii="Times New Roman" w:hAnsi="Times New Roman"/>
          <w:sz w:val="24"/>
          <w:szCs w:val="24"/>
        </w:rPr>
        <w:t xml:space="preserve"> *** </w:t>
      </w:r>
      <w:r w:rsidRPr="009A1AFE">
        <w:rPr>
          <w:rFonts w:ascii="Times New Roman" w:hAnsi="Times New Roman"/>
          <w:sz w:val="24"/>
          <w:szCs w:val="24"/>
        </w:rPr>
        <w:t xml:space="preserve">This analysis is not altered by Plaintiff's presentment of new evidence - evidence not alleged in the </w:t>
      </w:r>
      <w:proofErr w:type="gramStart"/>
      <w:r w:rsidRPr="009A1AFE">
        <w:rPr>
          <w:rFonts w:ascii="Times New Roman" w:hAnsi="Times New Roman"/>
          <w:sz w:val="24"/>
          <w:szCs w:val="24"/>
        </w:rPr>
        <w:t>TAC, but</w:t>
      </w:r>
      <w:proofErr w:type="gramEnd"/>
      <w:r w:rsidRPr="009A1AFE">
        <w:rPr>
          <w:rFonts w:ascii="Times New Roman" w:hAnsi="Times New Roman"/>
          <w:sz w:val="24"/>
          <w:szCs w:val="24"/>
        </w:rPr>
        <w:t xml:space="preserve"> rather presented in Plaintiff's request for judicial notice filed with his opposition brief - that his criminal conviction has been vacated</w:t>
      </w:r>
      <w:r>
        <w:rPr>
          <w:rFonts w:ascii="Times New Roman" w:hAnsi="Times New Roman"/>
          <w:sz w:val="24"/>
          <w:szCs w:val="24"/>
        </w:rPr>
        <w:t xml:space="preserve">…. </w:t>
      </w:r>
      <w:r w:rsidRPr="009A1AFE">
        <w:rPr>
          <w:rFonts w:ascii="Times New Roman" w:hAnsi="Times New Roman"/>
          <w:sz w:val="24"/>
          <w:szCs w:val="24"/>
        </w:rPr>
        <w:t xml:space="preserve">Even if Plaintiff were correct that this update in his state criminal case means the Heck bar no longer applies, </w:t>
      </w:r>
      <w:r w:rsidRPr="009A1AFE">
        <w:rPr>
          <w:rStyle w:val="Emphasis"/>
          <w:rFonts w:ascii="Times New Roman" w:hAnsi="Times New Roman"/>
          <w:sz w:val="24"/>
          <w:szCs w:val="24"/>
        </w:rPr>
        <w:t>see</w:t>
      </w:r>
      <w:r w:rsidRPr="009A1AFE">
        <w:rPr>
          <w:rFonts w:ascii="Times New Roman" w:hAnsi="Times New Roman"/>
          <w:sz w:val="24"/>
          <w:szCs w:val="24"/>
        </w:rPr>
        <w:t xml:space="preserve"> Prior Order at 8-12, the factual deficiencies with the TAC remain and warrant dismissal.</w:t>
      </w:r>
      <w:r>
        <w:rPr>
          <w:rFonts w:ascii="Times New Roman" w:hAnsi="Times New Roman"/>
          <w:sz w:val="24"/>
          <w:szCs w:val="24"/>
        </w:rPr>
        <w:t xml:space="preserve">” </w:t>
      </w:r>
      <w:hyperlink r:id="rId251" w:history="1">
        <w:r w:rsidRPr="009545D0">
          <w:rPr>
            <w:rStyle w:val="Hyperlink"/>
            <w:sz w:val="24"/>
            <w:szCs w:val="24"/>
          </w:rPr>
          <w:t>https://public.fastcase.com/9SKwsfNqTc6OieYDhNMyM6jgODeMvtNo11ZvDvT9dExI019FDNN4wp%2BIWQLSUMw%2BxfaNzZaXSMuB0brgu1SRuIg3s6kJiaNRSylEv%2FkVP98%3D</w:t>
        </w:r>
      </w:hyperlink>
      <w:r>
        <w:rPr>
          <w:rFonts w:ascii="Times New Roman" w:hAnsi="Times New Roman"/>
          <w:sz w:val="24"/>
          <w:szCs w:val="24"/>
        </w:rPr>
        <w:t xml:space="preserve"> </w:t>
      </w:r>
    </w:p>
    <w:p w14:paraId="39CE06D4" w14:textId="77777777" w:rsidR="00243A7F" w:rsidRDefault="00243A7F" w:rsidP="00243A7F">
      <w:pPr>
        <w:spacing w:before="100" w:beforeAutospacing="1" w:after="100" w:afterAutospacing="1" w:line="240" w:lineRule="auto"/>
        <w:rPr>
          <w:rFonts w:ascii="Times New Roman" w:eastAsia="Times New Roman" w:hAnsi="Times New Roman"/>
          <w:b/>
          <w:bCs/>
          <w:sz w:val="24"/>
          <w:szCs w:val="24"/>
        </w:rPr>
      </w:pPr>
      <w:r>
        <w:rPr>
          <w:rFonts w:ascii="Times New Roman" w:eastAsia="Times New Roman" w:hAnsi="Times New Roman"/>
          <w:b/>
          <w:bCs/>
          <w:sz w:val="24"/>
          <w:szCs w:val="24"/>
        </w:rPr>
        <w:t xml:space="preserve">Legal Lesson Learned: Refusal to sign the citation was very unwise and led to the arrest. </w:t>
      </w:r>
    </w:p>
    <w:p w14:paraId="46B21B4C" w14:textId="77777777" w:rsidR="00243A7F" w:rsidRPr="009A1AFE" w:rsidRDefault="00243A7F" w:rsidP="00243A7F">
      <w:pPr>
        <w:spacing w:before="100" w:beforeAutospacing="1" w:after="100" w:afterAutospacing="1" w:line="240" w:lineRule="auto"/>
        <w:ind w:left="720"/>
        <w:rPr>
          <w:rFonts w:ascii="Times New Roman" w:hAnsi="Times New Roman"/>
          <w:sz w:val="24"/>
          <w:szCs w:val="24"/>
        </w:rPr>
      </w:pPr>
    </w:p>
    <w:p w14:paraId="2094FCAB" w14:textId="77777777" w:rsidR="00243A7F" w:rsidRDefault="00243A7F" w:rsidP="002B1283">
      <w:pPr>
        <w:rPr>
          <w:rFonts w:ascii="Arial Black" w:hAnsi="Arial Black"/>
          <w:b/>
          <w:sz w:val="24"/>
          <w:szCs w:val="24"/>
        </w:rPr>
      </w:pPr>
    </w:p>
    <w:p w14:paraId="14241ADA" w14:textId="77777777" w:rsidR="00243A7F" w:rsidRDefault="00243A7F" w:rsidP="002B1283">
      <w:pPr>
        <w:rPr>
          <w:rFonts w:ascii="Arial Black" w:hAnsi="Arial Black"/>
          <w:b/>
          <w:sz w:val="24"/>
          <w:szCs w:val="24"/>
        </w:rPr>
      </w:pPr>
    </w:p>
    <w:p w14:paraId="170BCF9B" w14:textId="3D80E027" w:rsidR="00BD1702" w:rsidRDefault="00BD1702" w:rsidP="002B1283">
      <w:pPr>
        <w:rPr>
          <w:rFonts w:ascii="Arial Black" w:hAnsi="Arial Black"/>
          <w:b/>
          <w:sz w:val="24"/>
          <w:szCs w:val="24"/>
        </w:rPr>
      </w:pPr>
      <w:r>
        <w:rPr>
          <w:rFonts w:ascii="Arial Black" w:hAnsi="Arial Black"/>
          <w:b/>
          <w:sz w:val="24"/>
          <w:szCs w:val="24"/>
        </w:rPr>
        <w:t>1-85</w:t>
      </w:r>
    </w:p>
    <w:p w14:paraId="1759DDFB" w14:textId="77777777" w:rsidR="00BD1702" w:rsidRPr="00E43AE5" w:rsidRDefault="00BD1702" w:rsidP="00BD1702">
      <w:pPr>
        <w:rPr>
          <w:rFonts w:ascii="Arial Black" w:eastAsia="Times New Roman" w:hAnsi="Arial Black"/>
          <w:b/>
          <w:bCs/>
          <w:sz w:val="28"/>
          <w:szCs w:val="28"/>
        </w:rPr>
      </w:pPr>
      <w:r w:rsidRPr="00E43AE5">
        <w:rPr>
          <w:rFonts w:ascii="Arial Black" w:eastAsia="Times New Roman" w:hAnsi="Arial Black"/>
          <w:b/>
          <w:bCs/>
          <w:sz w:val="28"/>
          <w:szCs w:val="28"/>
        </w:rPr>
        <w:t>NY: FDNY FIRE INSPECTOR – RIGHT TO “GO PUBLIC” ABOUT WHAT HE BEL</w:t>
      </w:r>
      <w:r>
        <w:rPr>
          <w:rFonts w:ascii="Arial Black" w:eastAsia="Times New Roman" w:hAnsi="Arial Black"/>
          <w:b/>
          <w:bCs/>
          <w:sz w:val="28"/>
          <w:szCs w:val="28"/>
        </w:rPr>
        <w:t>IEVES</w:t>
      </w:r>
      <w:r w:rsidRPr="00E43AE5">
        <w:rPr>
          <w:rFonts w:ascii="Arial Black" w:eastAsia="Times New Roman" w:hAnsi="Arial Black"/>
          <w:b/>
          <w:bCs/>
          <w:sz w:val="28"/>
          <w:szCs w:val="28"/>
        </w:rPr>
        <w:t xml:space="preserve"> IS FALSE REPORT - FF LODD / MOVIE FILMED – LAWSUIT REINSTATED</w:t>
      </w:r>
    </w:p>
    <w:p w14:paraId="6DA59BAE" w14:textId="77777777" w:rsidR="00BD1702" w:rsidRDefault="00BD1702" w:rsidP="00BD1702">
      <w:pPr>
        <w:rPr>
          <w:rFonts w:ascii="Times New Roman" w:eastAsia="Times New Roman" w:hAnsi="Times New Roman"/>
          <w:sz w:val="24"/>
          <w:szCs w:val="24"/>
        </w:rPr>
      </w:pPr>
      <w:r>
        <w:rPr>
          <w:rFonts w:ascii="Times New Roman" w:eastAsia="Times New Roman" w:hAnsi="Times New Roman"/>
          <w:sz w:val="24"/>
          <w:szCs w:val="24"/>
        </w:rPr>
        <w:lastRenderedPageBreak/>
        <w:t xml:space="preserve">On Oct. 6, 2021, in </w:t>
      </w:r>
      <w:r>
        <w:rPr>
          <w:rFonts w:ascii="Times New Roman" w:eastAsia="Times New Roman" w:hAnsi="Times New Roman"/>
          <w:sz w:val="24"/>
          <w:szCs w:val="24"/>
          <w:u w:val="single"/>
        </w:rPr>
        <w:t>Scott P. Specht v. The City of New York, Thomas Kane, and John David Lynn</w:t>
      </w:r>
      <w:r>
        <w:rPr>
          <w:rFonts w:ascii="Times New Roman" w:eastAsia="Times New Roman" w:hAnsi="Times New Roman"/>
          <w:sz w:val="24"/>
          <w:szCs w:val="24"/>
        </w:rPr>
        <w:t xml:space="preserve">, the U.S. Court of Appeals for Second Circuit (New Yok City), held (3 to 0) that the retired fire marshal’s lawsuit for First Amendment retaliation is reinstated. </w:t>
      </w:r>
    </w:p>
    <w:p w14:paraId="1C522B75" w14:textId="0B7E6F2E" w:rsidR="00BD1702" w:rsidRDefault="00BD1702" w:rsidP="00BD1702">
      <w:pPr>
        <w:rPr>
          <w:rStyle w:val="Hyperlink"/>
          <w:sz w:val="24"/>
          <w:szCs w:val="24"/>
        </w:rPr>
      </w:pPr>
      <w:r>
        <w:rPr>
          <w:rFonts w:ascii="Times New Roman" w:eastAsia="Times New Roman" w:hAnsi="Times New Roman"/>
          <w:sz w:val="24"/>
          <w:szCs w:val="24"/>
        </w:rPr>
        <w:t>“</w:t>
      </w:r>
      <w:r>
        <w:rPr>
          <w:rFonts w:ascii="Times New Roman" w:hAnsi="Times New Roman"/>
          <w:sz w:val="24"/>
          <w:szCs w:val="24"/>
        </w:rPr>
        <w:t xml:space="preserve">Appellant Scott P. Specht, employed as a New York City fire marshal, alleges that after he refused to file a false report concerning the circumstances of a fire he was investigating and publicly discussed misconduct on the part of his supervisors, he was the subject of retaliation. *** </w:t>
      </w:r>
      <w:r>
        <w:rPr>
          <w:rFonts w:ascii="Times New Roman" w:eastAsia="Times New Roman" w:hAnsi="Times New Roman"/>
          <w:sz w:val="24"/>
          <w:szCs w:val="24"/>
        </w:rPr>
        <w:t>“</w:t>
      </w:r>
      <w:r>
        <w:rPr>
          <w:rStyle w:val="markedcontent"/>
          <w:rFonts w:ascii="Times New Roman" w:hAnsi="Times New Roman"/>
          <w:sz w:val="24"/>
          <w:szCs w:val="24"/>
        </w:rPr>
        <w:t>He concluded that the movie crew had improperly installed high-intensity lighting and had drilled holes in the wall, floors, and ceilings of the basement of the brownstone and that this work had caused the fire. Specht alleges that about three weeks into his investigation, [Chief Fire Marshal Thomas] Kane and [Assistant Chief Fire Marshal John David]</w:t>
      </w:r>
      <w:r>
        <w:rPr>
          <w:rStyle w:val="markedcontent"/>
          <w:sz w:val="33"/>
          <w:szCs w:val="33"/>
        </w:rPr>
        <w:t xml:space="preserve"> </w:t>
      </w:r>
      <w:r>
        <w:rPr>
          <w:rStyle w:val="markedcontent"/>
          <w:rFonts w:ascii="Times New Roman" w:hAnsi="Times New Roman"/>
          <w:sz w:val="24"/>
          <w:szCs w:val="24"/>
        </w:rPr>
        <w:t xml:space="preserve">Lynn convened a meeting at FDNY headquarters where they demanded that he prematurely terminate his work and ordered him to file a final report concluding that a flue connected to the boiler caused the fire.”  </w:t>
      </w:r>
      <w:hyperlink r:id="rId252" w:anchor="xml=https://www.ca2.uscourts.gov/decisions/isysquery/024ad429-f3ca-4195-b401-1dbc5e6424a8/1/hilite/" w:history="1">
        <w:r>
          <w:rPr>
            <w:rStyle w:val="Hyperlink"/>
            <w:sz w:val="24"/>
            <w:szCs w:val="24"/>
          </w:rPr>
          <w:t>https://www.ca2.uscourts.gov/decisions/isysquery/024ad429-f3ca-4195-b401-1dbc5e6424a8/1/doc/20-4211_opn.pdf#xml=https://www.ca2.uscourts.gov/decisions/isysquery/024ad429-f3ca-4195-b401-1dbc5e6424a8/1/hilite/</w:t>
        </w:r>
      </w:hyperlink>
    </w:p>
    <w:p w14:paraId="06C13BB8" w14:textId="77777777" w:rsidR="00BD1702" w:rsidRDefault="00BD1702" w:rsidP="00BD1702">
      <w:pPr>
        <w:rPr>
          <w:rStyle w:val="markedcontent"/>
          <w:b/>
          <w:bCs/>
        </w:rPr>
      </w:pPr>
      <w:r>
        <w:rPr>
          <w:rStyle w:val="markedcontent"/>
          <w:rFonts w:ascii="Times New Roman" w:hAnsi="Times New Roman"/>
          <w:b/>
          <w:bCs/>
          <w:sz w:val="24"/>
          <w:szCs w:val="24"/>
        </w:rPr>
        <w:t xml:space="preserve">Legal Lesson Learned: Fire Inspectors are protected from retaliation under the First Amendment when their speech deals with a matter of “public concern.” </w:t>
      </w:r>
    </w:p>
    <w:p w14:paraId="3E1CBF36" w14:textId="77777777" w:rsidR="00BD1702" w:rsidRDefault="00BD1702" w:rsidP="00BD1702">
      <w:pPr>
        <w:ind w:left="720"/>
        <w:rPr>
          <w:rFonts w:eastAsia="Times New Roman"/>
        </w:rPr>
      </w:pPr>
      <w:r>
        <w:rPr>
          <w:rFonts w:ascii="Times New Roman" w:eastAsia="Times New Roman" w:hAnsi="Times New Roman"/>
          <w:sz w:val="24"/>
          <w:szCs w:val="24"/>
        </w:rPr>
        <w:t xml:space="preserve">Note: See this March 24, </w:t>
      </w:r>
      <w:proofErr w:type="gramStart"/>
      <w:r>
        <w:rPr>
          <w:rFonts w:ascii="Times New Roman" w:eastAsia="Times New Roman" w:hAnsi="Times New Roman"/>
          <w:sz w:val="24"/>
          <w:szCs w:val="24"/>
        </w:rPr>
        <w:t>2018</w:t>
      </w:r>
      <w:proofErr w:type="gramEnd"/>
      <w:r>
        <w:rPr>
          <w:rFonts w:ascii="Times New Roman" w:eastAsia="Times New Roman" w:hAnsi="Times New Roman"/>
          <w:sz w:val="24"/>
          <w:szCs w:val="24"/>
        </w:rPr>
        <w:t xml:space="preserve"> TV video on death of FDNY FF Michael Davidson: </w:t>
      </w:r>
      <w:hyperlink r:id="rId253" w:history="1">
        <w:r>
          <w:rPr>
            <w:rStyle w:val="Hyperlink"/>
            <w:sz w:val="24"/>
            <w:szCs w:val="24"/>
          </w:rPr>
          <w:t>https://abc7ny.com/new-york-city-harlem-fire-edward-norton/3249411/</w:t>
        </w:r>
      </w:hyperlink>
      <w:r>
        <w:rPr>
          <w:rFonts w:ascii="Times New Roman" w:eastAsia="Times New Roman" w:hAnsi="Times New Roman"/>
          <w:sz w:val="24"/>
          <w:szCs w:val="24"/>
        </w:rPr>
        <w:t xml:space="preserve">  </w:t>
      </w:r>
    </w:p>
    <w:p w14:paraId="0C7BDC5B" w14:textId="77777777" w:rsidR="00BD1702" w:rsidRDefault="00BD1702" w:rsidP="00BD1702">
      <w:pPr>
        <w:rPr>
          <w:rFonts w:ascii="Arial Black" w:hAnsi="Arial Black"/>
          <w:b/>
          <w:sz w:val="24"/>
          <w:szCs w:val="24"/>
        </w:rPr>
      </w:pPr>
    </w:p>
    <w:p w14:paraId="0D78D0F4" w14:textId="77777777" w:rsidR="00BD1702" w:rsidRDefault="00BD1702" w:rsidP="002B1283">
      <w:pPr>
        <w:rPr>
          <w:rFonts w:ascii="Arial Black" w:hAnsi="Arial Black"/>
          <w:b/>
          <w:sz w:val="24"/>
          <w:szCs w:val="24"/>
        </w:rPr>
      </w:pPr>
    </w:p>
    <w:p w14:paraId="48D6F6EB" w14:textId="3B2820A3" w:rsidR="00382F02" w:rsidRDefault="00382F02" w:rsidP="002B1283">
      <w:pPr>
        <w:rPr>
          <w:rFonts w:ascii="Arial Black" w:hAnsi="Arial Black"/>
          <w:b/>
          <w:sz w:val="24"/>
          <w:szCs w:val="24"/>
        </w:rPr>
      </w:pPr>
      <w:r>
        <w:rPr>
          <w:rFonts w:ascii="Arial Black" w:hAnsi="Arial Black"/>
          <w:b/>
          <w:sz w:val="24"/>
          <w:szCs w:val="24"/>
        </w:rPr>
        <w:t>1-84</w:t>
      </w:r>
    </w:p>
    <w:p w14:paraId="1E258EFB" w14:textId="77777777" w:rsidR="00382F02" w:rsidRDefault="00382F02" w:rsidP="00382F02">
      <w:pPr>
        <w:pStyle w:val="NoSpacing"/>
        <w:rPr>
          <w:rStyle w:val="markedcontent"/>
          <w:rFonts w:ascii="Arial Black" w:hAnsi="Arial Black"/>
          <w:sz w:val="28"/>
          <w:szCs w:val="28"/>
        </w:rPr>
      </w:pPr>
      <w:bookmarkStart w:id="6" w:name="_Hlk81842473"/>
      <w:r w:rsidRPr="006B6F95">
        <w:rPr>
          <w:rStyle w:val="markedcontent"/>
          <w:rFonts w:ascii="Arial Black" w:hAnsi="Arial Black"/>
          <w:sz w:val="28"/>
          <w:szCs w:val="28"/>
        </w:rPr>
        <w:t xml:space="preserve">U.S. </w:t>
      </w:r>
      <w:r>
        <w:rPr>
          <w:rStyle w:val="markedcontent"/>
          <w:rFonts w:ascii="Arial Black" w:hAnsi="Arial Black"/>
          <w:sz w:val="28"/>
          <w:szCs w:val="28"/>
        </w:rPr>
        <w:t>SUPREME COURT: COVID-19 – CDC NOT AUTHORIZED BY CONGRESS TO STOP TENANTS FROM BEING EVICTED</w:t>
      </w:r>
    </w:p>
    <w:bookmarkEnd w:id="6"/>
    <w:p w14:paraId="21EAED55" w14:textId="77777777" w:rsidR="00382F02" w:rsidRDefault="00382F02" w:rsidP="00382F02">
      <w:pPr>
        <w:pStyle w:val="NoSpacing"/>
        <w:rPr>
          <w:rStyle w:val="markedcontent"/>
          <w:rFonts w:ascii="Arial Black" w:hAnsi="Arial Black"/>
          <w:sz w:val="28"/>
          <w:szCs w:val="28"/>
        </w:rPr>
      </w:pPr>
    </w:p>
    <w:p w14:paraId="4C9F878E" w14:textId="1B963511" w:rsidR="00382F02" w:rsidRDefault="00382F02" w:rsidP="00382F02">
      <w:pPr>
        <w:pStyle w:val="NoSpacing"/>
        <w:rPr>
          <w:rStyle w:val="markedcontent"/>
          <w:rFonts w:ascii="Times New Roman" w:hAnsi="Times New Roman"/>
          <w:sz w:val="24"/>
          <w:szCs w:val="24"/>
        </w:rPr>
      </w:pPr>
      <w:r w:rsidRPr="00B61B0E">
        <w:rPr>
          <w:rStyle w:val="markedcontent"/>
          <w:rFonts w:ascii="Times New Roman" w:hAnsi="Times New Roman"/>
          <w:sz w:val="24"/>
          <w:szCs w:val="24"/>
        </w:rPr>
        <w:t xml:space="preserve">On Aug. 26, 2021, in </w:t>
      </w:r>
      <w:r w:rsidRPr="00B61B0E">
        <w:rPr>
          <w:rStyle w:val="markedcontent"/>
          <w:rFonts w:ascii="Times New Roman" w:hAnsi="Times New Roman"/>
          <w:sz w:val="24"/>
          <w:szCs w:val="24"/>
          <w:u w:val="single"/>
        </w:rPr>
        <w:t>Alabama Association of Realtors, et al. v. Department of Health and Human Services, et al</w:t>
      </w:r>
      <w:r w:rsidRPr="00B61B0E">
        <w:rPr>
          <w:rStyle w:val="markedcontent"/>
          <w:rFonts w:ascii="Times New Roman" w:hAnsi="Times New Roman"/>
          <w:sz w:val="24"/>
          <w:szCs w:val="24"/>
        </w:rPr>
        <w:t xml:space="preserve">., the U.S. Supreme Court held (6 to 3) in a Per </w:t>
      </w:r>
      <w:r w:rsidR="009344F3" w:rsidRPr="00B61B0E">
        <w:rPr>
          <w:rStyle w:val="markedcontent"/>
          <w:rFonts w:ascii="Times New Roman" w:hAnsi="Times New Roman"/>
          <w:sz w:val="24"/>
          <w:szCs w:val="24"/>
        </w:rPr>
        <w:t>Curium</w:t>
      </w:r>
      <w:r w:rsidRPr="00B61B0E">
        <w:rPr>
          <w:rStyle w:val="markedcontent"/>
          <w:rFonts w:ascii="Times New Roman" w:hAnsi="Times New Roman"/>
          <w:sz w:val="24"/>
          <w:szCs w:val="24"/>
        </w:rPr>
        <w:t xml:space="preserve"> opinion (not signed by a single Justice) that the Centers For Disease </w:t>
      </w:r>
      <w:r>
        <w:rPr>
          <w:rStyle w:val="markedcontent"/>
          <w:rFonts w:ascii="Times New Roman" w:hAnsi="Times New Roman"/>
          <w:sz w:val="24"/>
          <w:szCs w:val="24"/>
        </w:rPr>
        <w:t>C</w:t>
      </w:r>
      <w:r w:rsidRPr="00B61B0E">
        <w:rPr>
          <w:rStyle w:val="markedcontent"/>
          <w:rFonts w:ascii="Times New Roman" w:hAnsi="Times New Roman"/>
          <w:sz w:val="24"/>
          <w:szCs w:val="24"/>
        </w:rPr>
        <w:t xml:space="preserve">ontrol </w:t>
      </w:r>
      <w:r>
        <w:rPr>
          <w:rStyle w:val="markedcontent"/>
          <w:rFonts w:ascii="Times New Roman" w:hAnsi="Times New Roman"/>
          <w:sz w:val="24"/>
          <w:szCs w:val="24"/>
        </w:rPr>
        <w:t>under President Biden had no authority when it issued a memorandum to prohibit evictions from Aug. 3, 2021 to Oct. 3, 2021</w:t>
      </w:r>
      <w:r w:rsidR="00F8544A">
        <w:rPr>
          <w:rStyle w:val="markedcontent"/>
          <w:rFonts w:ascii="Times New Roman" w:hAnsi="Times New Roman"/>
          <w:sz w:val="24"/>
          <w:szCs w:val="24"/>
        </w:rPr>
        <w:t xml:space="preserve"> </w:t>
      </w:r>
      <w:r>
        <w:rPr>
          <w:rStyle w:val="markedcontent"/>
          <w:rFonts w:ascii="Times New Roman" w:hAnsi="Times New Roman"/>
          <w:sz w:val="24"/>
          <w:szCs w:val="24"/>
        </w:rPr>
        <w:t xml:space="preserve">in states with counties that had very high COVID-19 rates.  The CDC sought to </w:t>
      </w:r>
      <w:r w:rsidRPr="00B61B0E">
        <w:rPr>
          <w:rStyle w:val="markedcontent"/>
          <w:rFonts w:ascii="Times New Roman" w:hAnsi="Times New Roman"/>
          <w:sz w:val="24"/>
          <w:szCs w:val="24"/>
        </w:rPr>
        <w:t xml:space="preserve">extend the </w:t>
      </w:r>
      <w:r>
        <w:rPr>
          <w:rStyle w:val="markedcontent"/>
          <w:rFonts w:ascii="Times New Roman" w:hAnsi="Times New Roman"/>
          <w:sz w:val="24"/>
          <w:szCs w:val="24"/>
        </w:rPr>
        <w:t xml:space="preserve">2020 </w:t>
      </w:r>
      <w:r w:rsidRPr="00B61B0E">
        <w:rPr>
          <w:rStyle w:val="markedcontent"/>
          <w:rFonts w:ascii="Times New Roman" w:hAnsi="Times New Roman"/>
          <w:sz w:val="24"/>
          <w:szCs w:val="24"/>
        </w:rPr>
        <w:t>Congressional moratorium</w:t>
      </w:r>
      <w:r>
        <w:rPr>
          <w:rStyle w:val="markedcontent"/>
          <w:rFonts w:ascii="Times New Roman" w:hAnsi="Times New Roman"/>
          <w:sz w:val="24"/>
          <w:szCs w:val="24"/>
        </w:rPr>
        <w:t xml:space="preserve"> [issued during Trump Administration] which had expired in </w:t>
      </w:r>
      <w:proofErr w:type="gramStart"/>
      <w:r>
        <w:rPr>
          <w:rStyle w:val="markedcontent"/>
          <w:rFonts w:ascii="Times New Roman" w:hAnsi="Times New Roman"/>
          <w:sz w:val="24"/>
          <w:szCs w:val="24"/>
        </w:rPr>
        <w:t>July,</w:t>
      </w:r>
      <w:proofErr w:type="gramEnd"/>
      <w:r>
        <w:rPr>
          <w:rStyle w:val="markedcontent"/>
          <w:rFonts w:ascii="Times New Roman" w:hAnsi="Times New Roman"/>
          <w:sz w:val="24"/>
          <w:szCs w:val="24"/>
        </w:rPr>
        <w:t xml:space="preserve"> 2021, claiming the CDC had this power under the long-standing federal statute which gives CDC powers concerning fumigation, disinfection, sanitation, pest extermination, contaminated animals.  The plaintiff Associations represent landlords in Alabama and Georgia, and they sued in U.S. District Court in D.C. and federal judge issued an injunction to stop CDC moratorium; the U.S. sought a stay in the U.S. Supreme Court, which denied the stay. </w:t>
      </w:r>
    </w:p>
    <w:p w14:paraId="1F203CD6" w14:textId="77777777" w:rsidR="00382F02" w:rsidRDefault="00382F02" w:rsidP="00382F02">
      <w:pPr>
        <w:pStyle w:val="NoSpacing"/>
        <w:rPr>
          <w:rStyle w:val="markedcontent"/>
          <w:rFonts w:ascii="Times New Roman" w:hAnsi="Times New Roman"/>
          <w:sz w:val="24"/>
          <w:szCs w:val="24"/>
        </w:rPr>
      </w:pPr>
    </w:p>
    <w:p w14:paraId="32CAA6F3" w14:textId="77777777" w:rsidR="00382F02" w:rsidRDefault="00382F02" w:rsidP="00382F02">
      <w:pPr>
        <w:pStyle w:val="NoSpacing"/>
        <w:ind w:left="720"/>
        <w:rPr>
          <w:rStyle w:val="markedcontent"/>
          <w:rFonts w:ascii="Times New Roman" w:hAnsi="Times New Roman"/>
          <w:sz w:val="24"/>
          <w:szCs w:val="24"/>
        </w:rPr>
      </w:pPr>
      <w:r>
        <w:rPr>
          <w:rStyle w:val="markedcontent"/>
          <w:rFonts w:ascii="Times New Roman" w:hAnsi="Times New Roman"/>
          <w:sz w:val="24"/>
          <w:szCs w:val="24"/>
        </w:rPr>
        <w:t>“</w:t>
      </w:r>
      <w:r w:rsidRPr="008E03C4">
        <w:rPr>
          <w:rStyle w:val="markedcontent"/>
          <w:rFonts w:ascii="Times New Roman" w:hAnsi="Times New Roman"/>
          <w:sz w:val="24"/>
          <w:szCs w:val="24"/>
        </w:rPr>
        <w:t>In March 2020, Congress passed the Coronavirus Aid, Relief, and Economic Security Act to alleviate burdens caused</w:t>
      </w:r>
      <w:r>
        <w:rPr>
          <w:rStyle w:val="markedcontent"/>
          <w:rFonts w:ascii="Times New Roman" w:hAnsi="Times New Roman"/>
          <w:sz w:val="24"/>
          <w:szCs w:val="24"/>
        </w:rPr>
        <w:t xml:space="preserve"> </w:t>
      </w:r>
      <w:r w:rsidRPr="008E03C4">
        <w:rPr>
          <w:rStyle w:val="markedcontent"/>
          <w:rFonts w:ascii="Times New Roman" w:hAnsi="Times New Roman"/>
          <w:sz w:val="24"/>
          <w:szCs w:val="24"/>
        </w:rPr>
        <w:t>by the burgeoning COVID–19 pandemic. Pub. L. 116–136, 134 Stat. 281. Among other relief programs, the Act imposed a 120-day eviction moratorium for properties that</w:t>
      </w:r>
      <w:r>
        <w:rPr>
          <w:rStyle w:val="markedcontent"/>
          <w:rFonts w:ascii="Times New Roman" w:hAnsi="Times New Roman"/>
          <w:sz w:val="24"/>
          <w:szCs w:val="24"/>
        </w:rPr>
        <w:t xml:space="preserve"> </w:t>
      </w:r>
      <w:r w:rsidRPr="008E03C4">
        <w:rPr>
          <w:rStyle w:val="markedcontent"/>
          <w:rFonts w:ascii="Times New Roman" w:hAnsi="Times New Roman"/>
          <w:sz w:val="24"/>
          <w:szCs w:val="24"/>
        </w:rPr>
        <w:t>participated in federal assistance programs or were subject</w:t>
      </w:r>
      <w:r w:rsidRPr="008E03C4">
        <w:rPr>
          <w:rFonts w:ascii="Times New Roman" w:hAnsi="Times New Roman"/>
          <w:sz w:val="24"/>
          <w:szCs w:val="24"/>
        </w:rPr>
        <w:br/>
      </w:r>
      <w:r w:rsidRPr="008E03C4">
        <w:rPr>
          <w:rStyle w:val="markedcontent"/>
          <w:rFonts w:ascii="Times New Roman" w:hAnsi="Times New Roman"/>
          <w:sz w:val="24"/>
          <w:szCs w:val="24"/>
        </w:rPr>
        <w:t>to federally backed loans. §4024, id., at 492–494. When the eviction moratorium expired in July, Congress</w:t>
      </w:r>
      <w:r>
        <w:rPr>
          <w:rStyle w:val="markedcontent"/>
          <w:rFonts w:ascii="Times New Roman" w:hAnsi="Times New Roman"/>
          <w:sz w:val="24"/>
          <w:szCs w:val="24"/>
        </w:rPr>
        <w:t xml:space="preserve"> </w:t>
      </w:r>
      <w:r w:rsidRPr="008E03C4">
        <w:rPr>
          <w:rStyle w:val="markedcontent"/>
          <w:rFonts w:ascii="Times New Roman" w:hAnsi="Times New Roman"/>
          <w:sz w:val="24"/>
          <w:szCs w:val="24"/>
        </w:rPr>
        <w:t xml:space="preserve">did not renew it. </w:t>
      </w:r>
    </w:p>
    <w:p w14:paraId="23737D83" w14:textId="77777777" w:rsidR="00382F02" w:rsidRDefault="00382F02" w:rsidP="00382F02">
      <w:pPr>
        <w:pStyle w:val="NoSpacing"/>
        <w:ind w:left="720"/>
        <w:rPr>
          <w:rStyle w:val="markedcontent"/>
          <w:rFonts w:ascii="Times New Roman" w:hAnsi="Times New Roman"/>
          <w:sz w:val="24"/>
          <w:szCs w:val="24"/>
        </w:rPr>
      </w:pPr>
    </w:p>
    <w:p w14:paraId="20A2DE23" w14:textId="77777777" w:rsidR="00382F02" w:rsidRDefault="00382F02" w:rsidP="00382F02">
      <w:pPr>
        <w:pStyle w:val="NoSpacing"/>
        <w:ind w:left="720"/>
        <w:rPr>
          <w:rStyle w:val="markedcontent"/>
          <w:rFonts w:ascii="Times New Roman" w:hAnsi="Times New Roman"/>
          <w:sz w:val="24"/>
          <w:szCs w:val="24"/>
        </w:rPr>
      </w:pPr>
      <w:r w:rsidRPr="008E03C4">
        <w:rPr>
          <w:rStyle w:val="markedcontent"/>
          <w:rFonts w:ascii="Times New Roman" w:hAnsi="Times New Roman"/>
          <w:sz w:val="24"/>
          <w:szCs w:val="24"/>
        </w:rPr>
        <w:t xml:space="preserve">Concluding that further action was needed, the CDC decided to do what Congress had not. See 85 Fed. Reg. 55292 (2020). The new, administratively imposed moratorium went further than its statutory predecessor, covering all residential </w:t>
      </w:r>
      <w:proofErr w:type="gramStart"/>
      <w:r w:rsidRPr="008E03C4">
        <w:rPr>
          <w:rStyle w:val="markedcontent"/>
          <w:rFonts w:ascii="Times New Roman" w:hAnsi="Times New Roman"/>
          <w:sz w:val="24"/>
          <w:szCs w:val="24"/>
        </w:rPr>
        <w:t>properties</w:t>
      </w:r>
      <w:proofErr w:type="gramEnd"/>
      <w:r w:rsidRPr="008E03C4">
        <w:rPr>
          <w:rStyle w:val="markedcontent"/>
          <w:rFonts w:ascii="Times New Roman" w:hAnsi="Times New Roman"/>
          <w:sz w:val="24"/>
          <w:szCs w:val="24"/>
        </w:rPr>
        <w:t xml:space="preserve"> nationwide and imposing criminal penalties on violators. </w:t>
      </w:r>
    </w:p>
    <w:p w14:paraId="2330AC80" w14:textId="77777777" w:rsidR="00382F02" w:rsidRDefault="00382F02" w:rsidP="00382F02">
      <w:pPr>
        <w:pStyle w:val="NoSpacing"/>
        <w:ind w:left="720"/>
        <w:rPr>
          <w:rStyle w:val="markedcontent"/>
          <w:rFonts w:ascii="Times New Roman" w:hAnsi="Times New Roman"/>
          <w:sz w:val="24"/>
          <w:szCs w:val="24"/>
        </w:rPr>
      </w:pPr>
    </w:p>
    <w:p w14:paraId="1D565E6E" w14:textId="77777777" w:rsidR="00382F02" w:rsidRDefault="00382F02" w:rsidP="00382F02">
      <w:pPr>
        <w:pStyle w:val="NoSpacing"/>
        <w:ind w:left="720"/>
        <w:rPr>
          <w:rStyle w:val="markedcontent"/>
          <w:rFonts w:ascii="Times New Roman" w:hAnsi="Times New Roman"/>
          <w:sz w:val="24"/>
          <w:szCs w:val="24"/>
        </w:rPr>
      </w:pPr>
      <w:r>
        <w:rPr>
          <w:rStyle w:val="markedcontent"/>
          <w:rFonts w:ascii="Times New Roman" w:hAnsi="Times New Roman"/>
          <w:sz w:val="24"/>
          <w:szCs w:val="24"/>
        </w:rPr>
        <w:t>***</w:t>
      </w:r>
    </w:p>
    <w:p w14:paraId="157150B8" w14:textId="77777777" w:rsidR="00382F02" w:rsidRDefault="00382F02" w:rsidP="00382F02">
      <w:pPr>
        <w:pStyle w:val="NoSpacing"/>
        <w:rPr>
          <w:rStyle w:val="markedcontent"/>
          <w:rFonts w:ascii="Times New Roman" w:hAnsi="Times New Roman"/>
          <w:sz w:val="24"/>
          <w:szCs w:val="24"/>
        </w:rPr>
      </w:pPr>
    </w:p>
    <w:p w14:paraId="37326382" w14:textId="77777777" w:rsidR="00382F02" w:rsidRPr="00B14006" w:rsidRDefault="00382F02" w:rsidP="00382F02">
      <w:pPr>
        <w:pStyle w:val="NoSpacing"/>
        <w:ind w:left="720"/>
        <w:rPr>
          <w:rStyle w:val="markedcontent"/>
          <w:rFonts w:ascii="Times New Roman" w:hAnsi="Times New Roman"/>
          <w:sz w:val="24"/>
          <w:szCs w:val="24"/>
        </w:rPr>
      </w:pPr>
      <w:r w:rsidRPr="00B14006">
        <w:rPr>
          <w:rStyle w:val="markedcontent"/>
          <w:rFonts w:ascii="Times New Roman" w:hAnsi="Times New Roman"/>
          <w:sz w:val="24"/>
          <w:szCs w:val="24"/>
        </w:rPr>
        <w:t>If a federally imposed eviction moratorium is to continue,</w:t>
      </w:r>
      <w:r>
        <w:rPr>
          <w:rStyle w:val="markedcontent"/>
          <w:rFonts w:ascii="Times New Roman" w:hAnsi="Times New Roman"/>
          <w:sz w:val="24"/>
          <w:szCs w:val="24"/>
        </w:rPr>
        <w:t xml:space="preserve"> </w:t>
      </w:r>
      <w:r w:rsidRPr="00B14006">
        <w:rPr>
          <w:rStyle w:val="markedcontent"/>
          <w:rFonts w:ascii="Times New Roman" w:hAnsi="Times New Roman"/>
          <w:sz w:val="24"/>
          <w:szCs w:val="24"/>
        </w:rPr>
        <w:t>Congress must specifically authorize it.</w:t>
      </w:r>
      <w:r>
        <w:rPr>
          <w:rStyle w:val="markedcontent"/>
          <w:rFonts w:ascii="Times New Roman" w:hAnsi="Times New Roman"/>
          <w:sz w:val="24"/>
          <w:szCs w:val="24"/>
        </w:rPr>
        <w:t xml:space="preserve">”  </w:t>
      </w:r>
      <w:hyperlink r:id="rId254" w:history="1">
        <w:r w:rsidRPr="007D2E44">
          <w:rPr>
            <w:rStyle w:val="Hyperlink"/>
            <w:sz w:val="24"/>
            <w:szCs w:val="24"/>
          </w:rPr>
          <w:t>https://www.supremecourt.gov/opinions/20pdf/21a23_ap6c.pdf</w:t>
        </w:r>
      </w:hyperlink>
      <w:r>
        <w:rPr>
          <w:rStyle w:val="markedcontent"/>
          <w:rFonts w:ascii="Times New Roman" w:hAnsi="Times New Roman"/>
          <w:sz w:val="24"/>
          <w:szCs w:val="24"/>
        </w:rPr>
        <w:t xml:space="preserve"> </w:t>
      </w:r>
    </w:p>
    <w:p w14:paraId="7ECD0B4D" w14:textId="77777777" w:rsidR="00382F02" w:rsidRDefault="00382F02" w:rsidP="00382F02">
      <w:pPr>
        <w:pStyle w:val="NoSpacing"/>
        <w:rPr>
          <w:rStyle w:val="markedcontent"/>
          <w:rFonts w:ascii="Times New Roman" w:hAnsi="Times New Roman"/>
          <w:b/>
          <w:bCs/>
          <w:sz w:val="24"/>
          <w:szCs w:val="24"/>
        </w:rPr>
      </w:pPr>
    </w:p>
    <w:p w14:paraId="42FBFAE0" w14:textId="6BE301E8" w:rsidR="00382F02" w:rsidRDefault="00382F02" w:rsidP="00382F02">
      <w:pPr>
        <w:pStyle w:val="NoSpacing"/>
        <w:rPr>
          <w:rStyle w:val="markedcontent"/>
          <w:rFonts w:ascii="Times New Roman" w:hAnsi="Times New Roman"/>
          <w:b/>
          <w:bCs/>
          <w:sz w:val="24"/>
          <w:szCs w:val="24"/>
        </w:rPr>
      </w:pPr>
      <w:r w:rsidRPr="00C708A4">
        <w:rPr>
          <w:rStyle w:val="markedcontent"/>
          <w:rFonts w:ascii="Times New Roman" w:hAnsi="Times New Roman"/>
          <w:b/>
          <w:bCs/>
          <w:sz w:val="24"/>
          <w:szCs w:val="24"/>
        </w:rPr>
        <w:t xml:space="preserve">Legal Lesson Learned: </w:t>
      </w:r>
      <w:r>
        <w:rPr>
          <w:rStyle w:val="markedcontent"/>
          <w:rFonts w:ascii="Times New Roman" w:hAnsi="Times New Roman"/>
          <w:b/>
          <w:bCs/>
          <w:sz w:val="24"/>
          <w:szCs w:val="24"/>
        </w:rPr>
        <w:t xml:space="preserve"> The Court’s majority are obviously conservative; Congress can now act to implement a moratorium if it so chooses. </w:t>
      </w:r>
    </w:p>
    <w:p w14:paraId="57D444A1" w14:textId="77777777" w:rsidR="00382F02" w:rsidRDefault="00382F02" w:rsidP="00382F02">
      <w:pPr>
        <w:pStyle w:val="NoSpacing"/>
        <w:rPr>
          <w:rStyle w:val="markedcontent"/>
          <w:rFonts w:ascii="Times New Roman" w:hAnsi="Times New Roman"/>
          <w:b/>
          <w:bCs/>
          <w:sz w:val="24"/>
          <w:szCs w:val="24"/>
        </w:rPr>
      </w:pPr>
    </w:p>
    <w:p w14:paraId="0559CBDA" w14:textId="77777777" w:rsidR="00382F02" w:rsidRDefault="00382F02" w:rsidP="00382F02">
      <w:pPr>
        <w:pStyle w:val="NoSpacing"/>
        <w:ind w:left="720"/>
        <w:rPr>
          <w:rStyle w:val="markedcontent"/>
          <w:rFonts w:ascii="Times New Roman" w:hAnsi="Times New Roman"/>
          <w:sz w:val="24"/>
          <w:szCs w:val="24"/>
        </w:rPr>
      </w:pPr>
      <w:r>
        <w:rPr>
          <w:rStyle w:val="markedcontent"/>
          <w:rFonts w:ascii="Times New Roman" w:hAnsi="Times New Roman"/>
          <w:sz w:val="24"/>
          <w:szCs w:val="24"/>
        </w:rPr>
        <w:t xml:space="preserve">Note:  Amicus Brief [twenty-two states and District of Columbia filed Amicus brief supporting the CDC memorandum.]  </w:t>
      </w:r>
    </w:p>
    <w:p w14:paraId="60EE2B3B" w14:textId="77777777" w:rsidR="00382F02" w:rsidRDefault="00382F02" w:rsidP="00382F02">
      <w:pPr>
        <w:pStyle w:val="NoSpacing"/>
        <w:rPr>
          <w:rStyle w:val="markedcontent"/>
          <w:rFonts w:ascii="Times New Roman" w:hAnsi="Times New Roman"/>
          <w:sz w:val="24"/>
          <w:szCs w:val="24"/>
        </w:rPr>
      </w:pPr>
    </w:p>
    <w:p w14:paraId="2BFD69C0" w14:textId="77777777" w:rsidR="00382F02" w:rsidRDefault="00382F02" w:rsidP="00382F02">
      <w:pPr>
        <w:pStyle w:val="NoSpacing"/>
        <w:ind w:left="720"/>
        <w:rPr>
          <w:rStyle w:val="markedcontent"/>
          <w:rFonts w:ascii="Times New Roman" w:hAnsi="Times New Roman"/>
          <w:sz w:val="24"/>
          <w:szCs w:val="24"/>
        </w:rPr>
      </w:pPr>
      <w:r>
        <w:rPr>
          <w:rStyle w:val="markedcontent"/>
          <w:rFonts w:ascii="Times New Roman" w:hAnsi="Times New Roman"/>
          <w:sz w:val="24"/>
          <w:szCs w:val="24"/>
        </w:rPr>
        <w:t>“</w:t>
      </w:r>
      <w:r w:rsidRPr="00B14006">
        <w:rPr>
          <w:rStyle w:val="markedcontent"/>
          <w:rFonts w:ascii="Times New Roman" w:hAnsi="Times New Roman"/>
          <w:sz w:val="24"/>
          <w:szCs w:val="24"/>
        </w:rPr>
        <w:t>Eviction protections have been key public health tools to slow the spread of the virus. They ensure individuals have a space to isolate, and they prevent vulnerable individuals from being forced out onto the street, into shelters, or into the homes of family or friends, potentially exposing themselves and others to the virus. Forty-four states—from Alabama to California and Hawaii to Montana—have implemented eviction protections of some sort during the pandemic.</w:t>
      </w:r>
      <w:r>
        <w:rPr>
          <w:rStyle w:val="markedcontent"/>
          <w:rFonts w:ascii="Times New Roman" w:hAnsi="Times New Roman"/>
          <w:sz w:val="24"/>
          <w:szCs w:val="24"/>
        </w:rPr>
        <w:t xml:space="preserve">” </w:t>
      </w:r>
      <w:hyperlink r:id="rId255" w:history="1">
        <w:r w:rsidRPr="007D2E44">
          <w:rPr>
            <w:rStyle w:val="Hyperlink"/>
            <w:sz w:val="24"/>
            <w:szCs w:val="24"/>
          </w:rPr>
          <w:t>https://www.supremecourt.gov/DocketPDF/20/20A169/181359/20210610165940894_20A169%20Amicus%20Mot.pdf</w:t>
        </w:r>
      </w:hyperlink>
      <w:r>
        <w:rPr>
          <w:rStyle w:val="markedcontent"/>
          <w:rFonts w:ascii="Times New Roman" w:hAnsi="Times New Roman"/>
          <w:sz w:val="24"/>
          <w:szCs w:val="24"/>
        </w:rPr>
        <w:t xml:space="preserve"> </w:t>
      </w:r>
    </w:p>
    <w:p w14:paraId="33CEB322" w14:textId="77777777" w:rsidR="00382F02" w:rsidRDefault="00382F02" w:rsidP="00382F02">
      <w:pPr>
        <w:pStyle w:val="NoSpacing"/>
        <w:ind w:left="720"/>
        <w:rPr>
          <w:rStyle w:val="markedcontent"/>
          <w:rFonts w:ascii="Times New Roman" w:hAnsi="Times New Roman"/>
          <w:sz w:val="24"/>
          <w:szCs w:val="24"/>
        </w:rPr>
      </w:pPr>
    </w:p>
    <w:p w14:paraId="1BBAE4AA" w14:textId="77777777" w:rsidR="00382F02" w:rsidRDefault="00382F02" w:rsidP="00382F02">
      <w:pPr>
        <w:pStyle w:val="articleparagraph"/>
        <w:ind w:left="720"/>
      </w:pPr>
      <w:r w:rsidRPr="00515C58">
        <w:rPr>
          <w:rStyle w:val="markedcontent"/>
        </w:rPr>
        <w:t>See article (Aug. 26, 2021): “</w:t>
      </w:r>
      <w:r w:rsidRPr="00515C58">
        <w:t xml:space="preserve">Supreme Court blocks Biden's COVID-19 eviction moratorium in a blow to renters.” </w:t>
      </w:r>
      <w:hyperlink r:id="rId256" w:history="1">
        <w:r w:rsidRPr="00515C58">
          <w:rPr>
            <w:rStyle w:val="Hyperlink"/>
          </w:rPr>
          <w:t>https://www.usatoday.com/story/news/politics/2021/08/27/supreme-court-blocks-president-bidens-covid-19-eviction-moratorium/8243599002/</w:t>
        </w:r>
      </w:hyperlink>
    </w:p>
    <w:p w14:paraId="0A37EA56" w14:textId="77777777" w:rsidR="00382F02" w:rsidRDefault="00382F02" w:rsidP="002B1283">
      <w:pPr>
        <w:rPr>
          <w:rFonts w:ascii="Arial Black" w:hAnsi="Arial Black"/>
          <w:b/>
          <w:sz w:val="24"/>
          <w:szCs w:val="24"/>
        </w:rPr>
      </w:pPr>
    </w:p>
    <w:p w14:paraId="0BE3A2E3" w14:textId="77777777" w:rsidR="00382F02" w:rsidRDefault="00382F02" w:rsidP="002B1283">
      <w:pPr>
        <w:rPr>
          <w:rFonts w:ascii="Arial Black" w:hAnsi="Arial Black"/>
          <w:b/>
          <w:sz w:val="24"/>
          <w:szCs w:val="24"/>
        </w:rPr>
      </w:pPr>
    </w:p>
    <w:p w14:paraId="159EF509" w14:textId="79CB6B63" w:rsidR="00382F02" w:rsidRDefault="00382F02" w:rsidP="002B1283">
      <w:pPr>
        <w:rPr>
          <w:rFonts w:ascii="Arial Black" w:hAnsi="Arial Black"/>
          <w:b/>
          <w:sz w:val="24"/>
          <w:szCs w:val="24"/>
        </w:rPr>
      </w:pPr>
      <w:r>
        <w:rPr>
          <w:rFonts w:ascii="Arial Black" w:hAnsi="Arial Black"/>
          <w:b/>
          <w:sz w:val="24"/>
          <w:szCs w:val="24"/>
        </w:rPr>
        <w:t>1-83</w:t>
      </w:r>
    </w:p>
    <w:p w14:paraId="1B388008" w14:textId="77777777" w:rsidR="00382F02" w:rsidRPr="00E900D2" w:rsidRDefault="00382F02" w:rsidP="00382F02">
      <w:pPr>
        <w:pStyle w:val="NoSpacing"/>
        <w:rPr>
          <w:rStyle w:val="markedcontent"/>
          <w:rFonts w:ascii="Arial Black" w:hAnsi="Arial Black"/>
          <w:sz w:val="28"/>
          <w:szCs w:val="28"/>
        </w:rPr>
      </w:pPr>
      <w:bookmarkStart w:id="7" w:name="_Hlk81840928"/>
      <w:r w:rsidRPr="00E900D2">
        <w:rPr>
          <w:rStyle w:val="markedcontent"/>
          <w:rFonts w:ascii="Arial Black" w:hAnsi="Arial Black"/>
          <w:sz w:val="28"/>
          <w:szCs w:val="28"/>
        </w:rPr>
        <w:t>U.S. SUPREME COURT</w:t>
      </w:r>
      <w:r>
        <w:rPr>
          <w:rStyle w:val="markedcontent"/>
          <w:rFonts w:ascii="Arial Black" w:hAnsi="Arial Black"/>
          <w:sz w:val="28"/>
          <w:szCs w:val="28"/>
        </w:rPr>
        <w:t>: DEPORTATIONS BACK TO MEXICO - TX, MO. WIN INJUNCTION, TRUMP POLICY RESTARTED</w:t>
      </w:r>
    </w:p>
    <w:bookmarkEnd w:id="7"/>
    <w:p w14:paraId="619460C3" w14:textId="77777777" w:rsidR="00382F02" w:rsidRDefault="00382F02" w:rsidP="00382F02">
      <w:pPr>
        <w:pStyle w:val="NoSpacing"/>
        <w:rPr>
          <w:rStyle w:val="markedcontent"/>
          <w:rFonts w:ascii="Courier New" w:hAnsi="Courier New" w:cs="Courier New"/>
          <w:sz w:val="25"/>
          <w:szCs w:val="25"/>
        </w:rPr>
      </w:pPr>
    </w:p>
    <w:p w14:paraId="1450F8FA" w14:textId="77777777" w:rsidR="00382F02" w:rsidRDefault="00382F02" w:rsidP="00382F02">
      <w:pPr>
        <w:pStyle w:val="NoSpacing"/>
        <w:rPr>
          <w:rStyle w:val="markedcontent"/>
          <w:rFonts w:ascii="Times New Roman" w:hAnsi="Times New Roman"/>
          <w:sz w:val="24"/>
          <w:szCs w:val="24"/>
        </w:rPr>
      </w:pPr>
      <w:r w:rsidRPr="00E900D2">
        <w:rPr>
          <w:rStyle w:val="markedcontent"/>
          <w:rFonts w:ascii="Times New Roman" w:hAnsi="Times New Roman"/>
          <w:sz w:val="24"/>
          <w:szCs w:val="24"/>
        </w:rPr>
        <w:t xml:space="preserve">On </w:t>
      </w:r>
      <w:r>
        <w:rPr>
          <w:rStyle w:val="markedcontent"/>
          <w:rFonts w:ascii="Times New Roman" w:hAnsi="Times New Roman"/>
          <w:sz w:val="24"/>
          <w:szCs w:val="24"/>
        </w:rPr>
        <w:t xml:space="preserve">Aug. 24, 2021, in </w:t>
      </w:r>
      <w:r w:rsidRPr="007029FC">
        <w:rPr>
          <w:rStyle w:val="markedcontent"/>
          <w:rFonts w:ascii="Times New Roman" w:hAnsi="Times New Roman"/>
          <w:sz w:val="24"/>
          <w:szCs w:val="24"/>
          <w:u w:val="single"/>
        </w:rPr>
        <w:t>Biden, President of U.S. v. Texas &amp; Missouri</w:t>
      </w:r>
      <w:r>
        <w:rPr>
          <w:rStyle w:val="markedcontent"/>
          <w:rFonts w:ascii="Times New Roman" w:hAnsi="Times New Roman"/>
          <w:sz w:val="24"/>
          <w:szCs w:val="24"/>
        </w:rPr>
        <w:t xml:space="preserve">, the U.S. Supreme Court denied the U.S. Government’s application to stay a nationwide injunction issued on Aug. 13, </w:t>
      </w:r>
      <w:proofErr w:type="gramStart"/>
      <w:r>
        <w:rPr>
          <w:rStyle w:val="markedcontent"/>
          <w:rFonts w:ascii="Times New Roman" w:hAnsi="Times New Roman"/>
          <w:sz w:val="24"/>
          <w:szCs w:val="24"/>
        </w:rPr>
        <w:t>2021</w:t>
      </w:r>
      <w:proofErr w:type="gramEnd"/>
      <w:r>
        <w:rPr>
          <w:rStyle w:val="markedcontent"/>
          <w:rFonts w:ascii="Times New Roman" w:hAnsi="Times New Roman"/>
          <w:sz w:val="24"/>
          <w:szCs w:val="24"/>
        </w:rPr>
        <w:t xml:space="preserve"> by Federal District Court Judge in Texas in a lawsuit filed by states of Texas and Missouri.  U.S. District Court Judge  Matthew J. Kacsmaryk, Northern District of Texas, held a one-day evidentiary hearing and found that President Biden’s </w:t>
      </w:r>
      <w:r w:rsidRPr="00054653">
        <w:rPr>
          <w:rStyle w:val="markedcontent"/>
          <w:rFonts w:ascii="Times New Roman" w:hAnsi="Times New Roman"/>
          <w:sz w:val="24"/>
          <w:szCs w:val="24"/>
        </w:rPr>
        <w:t>Secretary</w:t>
      </w:r>
      <w:r>
        <w:rPr>
          <w:rStyle w:val="markedcontent"/>
          <w:rFonts w:ascii="Times New Roman" w:hAnsi="Times New Roman"/>
          <w:sz w:val="24"/>
          <w:szCs w:val="24"/>
        </w:rPr>
        <w:t xml:space="preserve"> of Department of Homeland Security, in cancelling President Trump’s 2018 Migrant Protection Protocols [which had deported 68,000 aliens by Dec. 31, 2020] “</w:t>
      </w:r>
      <w:r w:rsidRPr="00054653">
        <w:rPr>
          <w:rStyle w:val="markedcontent"/>
          <w:rFonts w:ascii="Times New Roman" w:hAnsi="Times New Roman"/>
          <w:sz w:val="24"/>
          <w:szCs w:val="24"/>
        </w:rPr>
        <w:t xml:space="preserve">failed to consider the warnings by career DHS personnel that </w:t>
      </w:r>
      <w:r>
        <w:rPr>
          <w:rStyle w:val="markedcontent"/>
          <w:rFonts w:ascii="Times New Roman" w:hAnsi="Times New Roman"/>
          <w:sz w:val="24"/>
          <w:szCs w:val="24"/>
        </w:rPr>
        <w:t>‘</w:t>
      </w:r>
      <w:r w:rsidRPr="00054653">
        <w:rPr>
          <w:rStyle w:val="markedcontent"/>
          <w:rFonts w:ascii="Times New Roman" w:hAnsi="Times New Roman"/>
          <w:sz w:val="24"/>
          <w:szCs w:val="24"/>
        </w:rPr>
        <w:t>the suspension of the MPP</w:t>
      </w:r>
      <w:r>
        <w:rPr>
          <w:rStyle w:val="markedcontent"/>
          <w:rFonts w:ascii="Times New Roman" w:hAnsi="Times New Roman"/>
          <w:sz w:val="24"/>
          <w:szCs w:val="24"/>
        </w:rPr>
        <w:t xml:space="preserve"> </w:t>
      </w:r>
      <w:r w:rsidRPr="00054653">
        <w:rPr>
          <w:rStyle w:val="markedcontent"/>
          <w:rFonts w:ascii="Times New Roman" w:hAnsi="Times New Roman"/>
          <w:sz w:val="24"/>
          <w:szCs w:val="24"/>
        </w:rPr>
        <w:t xml:space="preserve"> along with other policies, would lead to a resurgence of illegal aliens attempting to illegally</w:t>
      </w:r>
      <w:r>
        <w:rPr>
          <w:rStyle w:val="markedcontent"/>
          <w:rFonts w:ascii="Times New Roman" w:hAnsi="Times New Roman"/>
          <w:sz w:val="24"/>
          <w:szCs w:val="24"/>
        </w:rPr>
        <w:t>’</w:t>
      </w:r>
      <w:r w:rsidRPr="00054653">
        <w:rPr>
          <w:rStyle w:val="markedcontent"/>
          <w:rFonts w:ascii="Times New Roman" w:hAnsi="Times New Roman"/>
          <w:sz w:val="24"/>
          <w:szCs w:val="24"/>
        </w:rPr>
        <w:t xml:space="preserve"> cross the border.</w:t>
      </w:r>
      <w:r>
        <w:rPr>
          <w:rStyle w:val="markedcontent"/>
          <w:rFonts w:ascii="Times New Roman" w:hAnsi="Times New Roman"/>
          <w:sz w:val="24"/>
          <w:szCs w:val="24"/>
        </w:rPr>
        <w:t xml:space="preserve">”  </w:t>
      </w:r>
      <w:hyperlink r:id="rId257" w:history="1">
        <w:r w:rsidRPr="007D2E44">
          <w:rPr>
            <w:rStyle w:val="Hyperlink"/>
            <w:sz w:val="24"/>
            <w:szCs w:val="24"/>
          </w:rPr>
          <w:t>https://storage.courtlistener.com/recap/gov.uscourts.txnd.346680/gov.uscourts.txnd.346680.94.0.pdf</w:t>
        </w:r>
      </w:hyperlink>
      <w:r>
        <w:rPr>
          <w:rStyle w:val="markedcontent"/>
          <w:rFonts w:ascii="Times New Roman" w:hAnsi="Times New Roman"/>
          <w:sz w:val="24"/>
          <w:szCs w:val="24"/>
        </w:rPr>
        <w:t xml:space="preserve"> </w:t>
      </w:r>
    </w:p>
    <w:p w14:paraId="032BF5D9" w14:textId="1282F4A8" w:rsidR="00382F02" w:rsidRDefault="00382F02" w:rsidP="002B1283">
      <w:pPr>
        <w:rPr>
          <w:rFonts w:ascii="Arial Black" w:hAnsi="Arial Black"/>
          <w:b/>
          <w:sz w:val="24"/>
          <w:szCs w:val="24"/>
        </w:rPr>
      </w:pPr>
    </w:p>
    <w:p w14:paraId="5A2C5FFE" w14:textId="77777777" w:rsidR="00382F02" w:rsidRDefault="00382F02" w:rsidP="00382F02">
      <w:pPr>
        <w:pStyle w:val="NoSpacing"/>
        <w:rPr>
          <w:rStyle w:val="markedcontent"/>
          <w:rFonts w:ascii="Times New Roman" w:hAnsi="Times New Roman"/>
          <w:b/>
          <w:bCs/>
          <w:sz w:val="24"/>
          <w:szCs w:val="24"/>
        </w:rPr>
      </w:pPr>
      <w:r w:rsidRPr="00DD6BC5">
        <w:rPr>
          <w:rStyle w:val="markedcontent"/>
          <w:rFonts w:ascii="Times New Roman" w:hAnsi="Times New Roman"/>
          <w:b/>
          <w:bCs/>
          <w:sz w:val="24"/>
          <w:szCs w:val="24"/>
        </w:rPr>
        <w:lastRenderedPageBreak/>
        <w:t xml:space="preserve">Legal Lesson Learned:  </w:t>
      </w:r>
      <w:r>
        <w:rPr>
          <w:rStyle w:val="markedcontent"/>
          <w:rFonts w:ascii="Times New Roman" w:hAnsi="Times New Roman"/>
          <w:b/>
          <w:bCs/>
          <w:sz w:val="24"/>
          <w:szCs w:val="24"/>
        </w:rPr>
        <w:t xml:space="preserve">A powerful win for the states of Texas and Missouri, and other states that are incurring costs from illegal aliens.  </w:t>
      </w:r>
    </w:p>
    <w:p w14:paraId="736B762D" w14:textId="77777777" w:rsidR="00382F02" w:rsidRDefault="00382F02" w:rsidP="00382F02">
      <w:pPr>
        <w:pStyle w:val="NoSpacing"/>
        <w:rPr>
          <w:rStyle w:val="markedcontent"/>
          <w:rFonts w:ascii="Times New Roman" w:hAnsi="Times New Roman"/>
          <w:b/>
          <w:bCs/>
          <w:sz w:val="24"/>
          <w:szCs w:val="24"/>
        </w:rPr>
      </w:pPr>
    </w:p>
    <w:p w14:paraId="7CA1938E" w14:textId="77777777" w:rsidR="00382F02" w:rsidRDefault="00382F02" w:rsidP="00382F02">
      <w:pPr>
        <w:pStyle w:val="NoSpacing"/>
        <w:ind w:left="720"/>
        <w:rPr>
          <w:rStyle w:val="markedcontent"/>
          <w:rFonts w:ascii="Times New Roman" w:hAnsi="Times New Roman"/>
          <w:sz w:val="24"/>
          <w:szCs w:val="24"/>
        </w:rPr>
      </w:pPr>
      <w:r w:rsidRPr="00DD6BC5">
        <w:rPr>
          <w:rStyle w:val="markedcontent"/>
          <w:rFonts w:ascii="Times New Roman" w:hAnsi="Times New Roman"/>
          <w:sz w:val="24"/>
          <w:szCs w:val="24"/>
        </w:rPr>
        <w:t xml:space="preserve">Note: The Administrative Procedures Act provides that “[t]he reviewing court shall . . . hold unlawful and set aside agency action, findings, and conclusions found to be . . . arbitrary, capricious, an abuse of discretion, or otherwise not in accordance with law.” 5 U.S.C. § 706(2)(A).  </w:t>
      </w:r>
    </w:p>
    <w:p w14:paraId="5DA6AE7D" w14:textId="77777777" w:rsidR="00382F02" w:rsidRDefault="00382F02" w:rsidP="00382F02">
      <w:pPr>
        <w:pStyle w:val="NoSpacing"/>
        <w:ind w:left="720"/>
        <w:rPr>
          <w:rStyle w:val="markedcontent"/>
          <w:sz w:val="24"/>
          <w:szCs w:val="24"/>
        </w:rPr>
      </w:pPr>
    </w:p>
    <w:p w14:paraId="5E80CDA5" w14:textId="77777777" w:rsidR="00382F02" w:rsidRDefault="00382F02" w:rsidP="00382F02">
      <w:pPr>
        <w:pStyle w:val="NoSpacing"/>
        <w:ind w:left="720"/>
        <w:rPr>
          <w:rStyle w:val="markedcontent"/>
          <w:rFonts w:ascii="Times New Roman" w:hAnsi="Times New Roman"/>
          <w:sz w:val="24"/>
          <w:szCs w:val="24"/>
        </w:rPr>
      </w:pPr>
      <w:r w:rsidRPr="00B17D11">
        <w:rPr>
          <w:rStyle w:val="markedcontent"/>
          <w:rFonts w:ascii="Times New Roman" w:hAnsi="Times New Roman"/>
          <w:sz w:val="24"/>
          <w:szCs w:val="24"/>
        </w:rPr>
        <w:t>See article: Aug. 25, 2021: “</w:t>
      </w:r>
      <w:r w:rsidRPr="00B17D11">
        <w:rPr>
          <w:rFonts w:ascii="Times New Roman" w:hAnsi="Times New Roman"/>
          <w:sz w:val="24"/>
          <w:szCs w:val="24"/>
        </w:rPr>
        <w:t>Supreme Court allows revival of Trump-era ‘Remain in Mexico’ asylum policy.”</w:t>
      </w:r>
      <w:r w:rsidRPr="00803923">
        <w:rPr>
          <w:sz w:val="24"/>
          <w:szCs w:val="24"/>
        </w:rPr>
        <w:t xml:space="preserve">  </w:t>
      </w:r>
      <w:hyperlink r:id="rId258" w:history="1">
        <w:r w:rsidRPr="00803923">
          <w:rPr>
            <w:rStyle w:val="Hyperlink"/>
            <w:sz w:val="24"/>
            <w:szCs w:val="24"/>
          </w:rPr>
          <w:t>https://indianexpress.com/article/world/supreme-court-allows-revival-of-trump-era-remain-in-mexico-asylum-policy-7469812/</w:t>
        </w:r>
      </w:hyperlink>
    </w:p>
    <w:p w14:paraId="44F08508" w14:textId="77777777" w:rsidR="00382F02" w:rsidRDefault="00382F02" w:rsidP="002B1283">
      <w:pPr>
        <w:rPr>
          <w:rFonts w:ascii="Arial Black" w:hAnsi="Arial Black"/>
          <w:b/>
          <w:sz w:val="24"/>
          <w:szCs w:val="24"/>
        </w:rPr>
      </w:pPr>
    </w:p>
    <w:p w14:paraId="25A3FF96" w14:textId="77777777" w:rsidR="00382F02" w:rsidRDefault="00382F02" w:rsidP="002B1283">
      <w:pPr>
        <w:rPr>
          <w:rFonts w:ascii="Arial Black" w:hAnsi="Arial Black"/>
          <w:b/>
          <w:sz w:val="24"/>
          <w:szCs w:val="24"/>
        </w:rPr>
      </w:pPr>
    </w:p>
    <w:p w14:paraId="379562E7" w14:textId="0E2B13D1" w:rsidR="00382F02" w:rsidRDefault="00382F02" w:rsidP="002B1283">
      <w:pPr>
        <w:rPr>
          <w:rFonts w:ascii="Arial Black" w:hAnsi="Arial Black"/>
          <w:b/>
          <w:sz w:val="24"/>
          <w:szCs w:val="24"/>
        </w:rPr>
      </w:pPr>
      <w:r>
        <w:rPr>
          <w:rFonts w:ascii="Arial Black" w:hAnsi="Arial Black"/>
          <w:b/>
          <w:sz w:val="24"/>
          <w:szCs w:val="24"/>
        </w:rPr>
        <w:t>1-82</w:t>
      </w:r>
    </w:p>
    <w:p w14:paraId="17C258E0" w14:textId="77777777" w:rsidR="00382F02" w:rsidRPr="00967053" w:rsidRDefault="00382F02" w:rsidP="00382F02">
      <w:pPr>
        <w:pStyle w:val="NormalWeb"/>
        <w:rPr>
          <w:rFonts w:ascii="Arial Black" w:hAnsi="Arial Black"/>
          <w:sz w:val="28"/>
          <w:szCs w:val="28"/>
        </w:rPr>
      </w:pPr>
      <w:bookmarkStart w:id="8" w:name="_Hlk81841064"/>
      <w:r>
        <w:rPr>
          <w:rFonts w:ascii="Arial Black" w:hAnsi="Arial Black"/>
          <w:sz w:val="28"/>
          <w:szCs w:val="28"/>
        </w:rPr>
        <w:t xml:space="preserve">OK: ARSON INVESTIGATORS OBTAINED ARREST WARRANT – NO LIABILITY WHEN FEDERAL ARSON CASE DROPPED </w:t>
      </w:r>
    </w:p>
    <w:bookmarkEnd w:id="8"/>
    <w:p w14:paraId="15D83E6D" w14:textId="77777777" w:rsidR="00382F02" w:rsidRDefault="00382F02" w:rsidP="00382F02">
      <w:pPr>
        <w:pStyle w:val="NormalWeb"/>
        <w:tabs>
          <w:tab w:val="left" w:pos="8070"/>
        </w:tabs>
      </w:pPr>
      <w:r>
        <w:t xml:space="preserve">On Aug. 10, 2021, in </w:t>
      </w:r>
      <w:r w:rsidRPr="00967053">
        <w:rPr>
          <w:u w:val="single"/>
        </w:rPr>
        <w:t>David Anthony Ciempa v. City of Del City, Oklahoma</w:t>
      </w:r>
      <w:r>
        <w:t>, the U.S. Court of Appeals for the 10</w:t>
      </w:r>
      <w:r w:rsidRPr="00967053">
        <w:rPr>
          <w:vertAlign w:val="superscript"/>
        </w:rPr>
        <w:t>th</w:t>
      </w:r>
      <w:r>
        <w:t xml:space="preserve"> Circuit (Denver, Colorado) held (3 to 0) that U.S. District Court properly dismissed the pro se [not represented by an attorney] lawsuit for “malicious prosecution” against Deputy Fire Chief Jeff Keester and police officer [Major] Zion Williams; an arrest warrant for arson had been obtained from a state judge based on probable cause, there were no false statements in warrant affidavit; the federal arson charges were dropped because of an uncooperative witness, not because arson defendant was innocent.  </w:t>
      </w:r>
    </w:p>
    <w:p w14:paraId="23DFA627" w14:textId="77777777" w:rsidR="00382F02" w:rsidRDefault="00382F02" w:rsidP="00382F02">
      <w:pPr>
        <w:pStyle w:val="NormalWeb"/>
        <w:ind w:left="720"/>
      </w:pPr>
      <w:r>
        <w:t xml:space="preserve">“In particular, the court said the criminal case was dismissed due to an uncooperative victim, not because Mr. Ciempa was </w:t>
      </w:r>
      <w:proofErr w:type="gramStart"/>
      <w:r>
        <w:t>actually innocent</w:t>
      </w:r>
      <w:proofErr w:type="gramEnd"/>
      <w:r>
        <w:t xml:space="preserve">. </w:t>
      </w:r>
      <w:r>
        <w:rPr>
          <w:rStyle w:val="Emphasis"/>
        </w:rPr>
        <w:t>See id.</w:t>
      </w:r>
      <w:r>
        <w:t xml:space="preserve"> at 802-03 (explaining that to qualify as a favorable termination, a dismissal must indicate the accused's innocence or at least be inconsistent with guilt). It also noted that the state judge had determined there was probable cause for the arrest and prosecution, and that Mr. Ciempa could not show the investigators procured the warrant by knowingly or recklessly relying on false information. </w:t>
      </w:r>
      <w:r>
        <w:rPr>
          <w:rStyle w:val="Emphasis"/>
        </w:rPr>
        <w:t>See Sanchez v. Hartley</w:t>
      </w:r>
      <w:r>
        <w:t xml:space="preserve">, 810 F.3d 750, 754 (10th Cir. 2016) (recognizing a plaintiff can establish a malicious prosecution constitutional violation by showing "officers . . . knowingly or recklessly </w:t>
      </w:r>
      <w:proofErr w:type="spellStart"/>
      <w:r>
        <w:t>rel</w:t>
      </w:r>
      <w:proofErr w:type="spellEnd"/>
      <w:r>
        <w:t>[</w:t>
      </w:r>
      <w:proofErr w:type="spellStart"/>
      <w:r>
        <w:t>ied</w:t>
      </w:r>
      <w:proofErr w:type="spellEnd"/>
      <w:r>
        <w:t>] on false information to institute legal process . . . result[</w:t>
      </w:r>
      <w:proofErr w:type="spellStart"/>
      <w:r>
        <w:t>ing</w:t>
      </w:r>
      <w:proofErr w:type="spellEnd"/>
      <w:r>
        <w:t xml:space="preserve">] in an unreasonable seizure"). It further concluded Mr. Ciempa could not establish malice, which requires "a substantial showing of deliberate falsehood or reckless disregard for truth," </w:t>
      </w:r>
      <w:r>
        <w:rPr>
          <w:rStyle w:val="Emphasis"/>
        </w:rPr>
        <w:t>Snell v. Tunnell</w:t>
      </w:r>
      <w:r>
        <w:t xml:space="preserve">, 920 F.2d 673, 698 (10th Cir. 1990). The court therefore granted summary judgment based on qualified immunity. Mr. Ciempa appealed the malicious prosecution ruling.” </w:t>
      </w:r>
      <w:hyperlink r:id="rId259" w:history="1">
        <w:r w:rsidRPr="00472D9E">
          <w:rPr>
            <w:rStyle w:val="Hyperlink"/>
          </w:rPr>
          <w:t>https://casetext.com/case/ciempa-v-city-of-del-city</w:t>
        </w:r>
      </w:hyperlink>
      <w:r>
        <w:t xml:space="preserve"> </w:t>
      </w:r>
    </w:p>
    <w:p w14:paraId="17707474" w14:textId="77777777" w:rsidR="00382F02" w:rsidRPr="005E5430" w:rsidRDefault="00382F02" w:rsidP="00382F02">
      <w:pPr>
        <w:rPr>
          <w:rFonts w:ascii="Times New Roman" w:hAnsi="Times New Roman"/>
          <w:b/>
          <w:bCs/>
          <w:sz w:val="24"/>
          <w:szCs w:val="24"/>
        </w:rPr>
      </w:pPr>
      <w:r w:rsidRPr="005E5430">
        <w:rPr>
          <w:rFonts w:ascii="Times New Roman" w:hAnsi="Times New Roman"/>
          <w:b/>
          <w:bCs/>
          <w:sz w:val="24"/>
          <w:szCs w:val="24"/>
        </w:rPr>
        <w:t>Legal Lesson Learned:</w:t>
      </w:r>
      <w:r>
        <w:rPr>
          <w:rFonts w:ascii="Times New Roman" w:hAnsi="Times New Roman"/>
          <w:b/>
          <w:bCs/>
          <w:sz w:val="24"/>
          <w:szCs w:val="24"/>
        </w:rPr>
        <w:t xml:space="preserve"> Arson investigators wisely obtained an arrest warrant based on probable cause.  </w:t>
      </w:r>
    </w:p>
    <w:p w14:paraId="21B0D404" w14:textId="77777777" w:rsidR="00382F02" w:rsidRDefault="00382F02" w:rsidP="002B1283">
      <w:pPr>
        <w:rPr>
          <w:rFonts w:ascii="Arial Black" w:hAnsi="Arial Black"/>
          <w:b/>
          <w:sz w:val="24"/>
          <w:szCs w:val="24"/>
        </w:rPr>
      </w:pPr>
    </w:p>
    <w:p w14:paraId="0F9F94B7" w14:textId="77777777" w:rsidR="00382F02" w:rsidRDefault="00382F02" w:rsidP="002B1283">
      <w:pPr>
        <w:rPr>
          <w:rFonts w:ascii="Arial Black" w:hAnsi="Arial Black"/>
          <w:b/>
          <w:sz w:val="24"/>
          <w:szCs w:val="24"/>
        </w:rPr>
      </w:pPr>
    </w:p>
    <w:p w14:paraId="01AE6D52" w14:textId="78FFFD26" w:rsidR="00382F02" w:rsidRDefault="00382F02" w:rsidP="002B1283">
      <w:pPr>
        <w:rPr>
          <w:rFonts w:ascii="Arial Black" w:hAnsi="Arial Black"/>
          <w:b/>
          <w:sz w:val="24"/>
          <w:szCs w:val="24"/>
        </w:rPr>
      </w:pPr>
      <w:r>
        <w:rPr>
          <w:rFonts w:ascii="Arial Black" w:hAnsi="Arial Black"/>
          <w:b/>
          <w:sz w:val="24"/>
          <w:szCs w:val="24"/>
        </w:rPr>
        <w:t>1-81</w:t>
      </w:r>
    </w:p>
    <w:p w14:paraId="0F1D3515" w14:textId="77777777" w:rsidR="00382F02" w:rsidRDefault="00382F02" w:rsidP="00382F02">
      <w:pPr>
        <w:pStyle w:val="NoSpacing"/>
        <w:rPr>
          <w:rStyle w:val="markedcontent"/>
          <w:rFonts w:ascii="Arial Black" w:hAnsi="Arial Black"/>
          <w:sz w:val="28"/>
          <w:szCs w:val="28"/>
        </w:rPr>
      </w:pPr>
      <w:bookmarkStart w:id="9" w:name="_Hlk81841159"/>
      <w:r>
        <w:rPr>
          <w:rStyle w:val="markedcontent"/>
          <w:rFonts w:ascii="Arial Black" w:hAnsi="Arial Black"/>
          <w:sz w:val="28"/>
          <w:szCs w:val="28"/>
        </w:rPr>
        <w:lastRenderedPageBreak/>
        <w:t xml:space="preserve">CA: FIRE MARSHAL FIRED – RETALIATION - JURY AWARDED HIM $4M – COURT: $1 MILLION &amp; $100,000 OR NEW TRIAL </w:t>
      </w:r>
    </w:p>
    <w:bookmarkEnd w:id="9"/>
    <w:p w14:paraId="6E8A1E86" w14:textId="77777777" w:rsidR="00382F02" w:rsidRDefault="00382F02" w:rsidP="00382F02">
      <w:pPr>
        <w:pStyle w:val="NoSpacing"/>
        <w:rPr>
          <w:rStyle w:val="markedcontent"/>
          <w:rFonts w:ascii="Arial Black" w:hAnsi="Arial Black"/>
          <w:sz w:val="28"/>
          <w:szCs w:val="28"/>
        </w:rPr>
      </w:pPr>
    </w:p>
    <w:p w14:paraId="43C1E7DA" w14:textId="77777777" w:rsidR="00382F02" w:rsidRDefault="00382F02" w:rsidP="00382F02">
      <w:pPr>
        <w:pStyle w:val="NoSpacing"/>
        <w:rPr>
          <w:rStyle w:val="markedcontent"/>
          <w:rFonts w:ascii="Times New Roman" w:hAnsi="Times New Roman"/>
          <w:sz w:val="24"/>
          <w:szCs w:val="24"/>
        </w:rPr>
      </w:pPr>
      <w:r w:rsidRPr="00D01726">
        <w:rPr>
          <w:rStyle w:val="markedcontent"/>
          <w:rFonts w:ascii="Times New Roman" w:hAnsi="Times New Roman"/>
          <w:sz w:val="24"/>
          <w:szCs w:val="24"/>
        </w:rPr>
        <w:t xml:space="preserve">On </w:t>
      </w:r>
      <w:r>
        <w:rPr>
          <w:rStyle w:val="markedcontent"/>
          <w:rFonts w:ascii="Times New Roman" w:hAnsi="Times New Roman"/>
          <w:sz w:val="24"/>
          <w:szCs w:val="24"/>
        </w:rPr>
        <w:t xml:space="preserve">July 1, 2021, in </w:t>
      </w:r>
      <w:r w:rsidRPr="00D01726">
        <w:rPr>
          <w:rStyle w:val="markedcontent"/>
          <w:rFonts w:ascii="Times New Roman" w:hAnsi="Times New Roman"/>
          <w:sz w:val="24"/>
          <w:szCs w:val="24"/>
          <w:u w:val="single"/>
        </w:rPr>
        <w:t>Jason Briley v. City of West Covina</w:t>
      </w:r>
      <w:r>
        <w:rPr>
          <w:rStyle w:val="markedcontent"/>
          <w:rFonts w:ascii="Times New Roman" w:hAnsi="Times New Roman"/>
          <w:sz w:val="24"/>
          <w:szCs w:val="24"/>
        </w:rPr>
        <w:t xml:space="preserve">, the Court of Appeal of the State of California, Second Appellate District (Division Four), held (3 to 0) that the jury verdict in favor of the former Fire Marshal for retaliation was affirmed; in June 2014 he complained that City Mgr. had approved building permit for a development before building plans passed fire inspection.  He was fired Sept. 2015 after city investigated him for using profanity in speaking to an employee at Victoria Secret after a fire </w:t>
      </w:r>
      <w:proofErr w:type="gramStart"/>
      <w:r>
        <w:rPr>
          <w:rStyle w:val="markedcontent"/>
          <w:rFonts w:ascii="Times New Roman" w:hAnsi="Times New Roman"/>
          <w:sz w:val="24"/>
          <w:szCs w:val="24"/>
        </w:rPr>
        <w:t>alarm, and</w:t>
      </w:r>
      <w:proofErr w:type="gramEnd"/>
      <w:r>
        <w:rPr>
          <w:rStyle w:val="markedcontent"/>
          <w:rFonts w:ascii="Times New Roman" w:hAnsi="Times New Roman"/>
          <w:sz w:val="24"/>
          <w:szCs w:val="24"/>
        </w:rPr>
        <w:t xml:space="preserve"> again using profanity talking to employees at a CrossFit gym.  On appeal, the city claimed he failed to exhaust his administrative remedy before filing lawsuit by not first appealing his firing to the City’s Human Relations Commission; but trial court judge, and the Court of Appeals held that this would have been a waste of time since the HR Commission merely makes a recommendation to the same City Manager that fired him.  However, Court of Appeals found $4 million jury verdict was excessive; several months after he was </w:t>
      </w:r>
      <w:proofErr w:type="gramStart"/>
      <w:r>
        <w:rPr>
          <w:rStyle w:val="markedcontent"/>
          <w:rFonts w:ascii="Times New Roman" w:hAnsi="Times New Roman"/>
          <w:sz w:val="24"/>
          <w:szCs w:val="24"/>
        </w:rPr>
        <w:t>fired</w:t>
      </w:r>
      <w:proofErr w:type="gramEnd"/>
      <w:r>
        <w:rPr>
          <w:rStyle w:val="markedcontent"/>
          <w:rFonts w:ascii="Times New Roman" w:hAnsi="Times New Roman"/>
          <w:sz w:val="24"/>
          <w:szCs w:val="24"/>
        </w:rPr>
        <w:t xml:space="preserve"> he was hired as Fire Marshall at City of Murrieta [resigned 10 months later] and testified he suffered little emotional damage.    </w:t>
      </w:r>
    </w:p>
    <w:p w14:paraId="00E862B4" w14:textId="77777777" w:rsidR="00382F02" w:rsidRDefault="00382F02" w:rsidP="00382F02">
      <w:pPr>
        <w:pStyle w:val="NoSpacing"/>
        <w:rPr>
          <w:rStyle w:val="markedcontent"/>
          <w:rFonts w:ascii="Times New Roman" w:hAnsi="Times New Roman"/>
          <w:sz w:val="24"/>
          <w:szCs w:val="24"/>
        </w:rPr>
      </w:pPr>
    </w:p>
    <w:p w14:paraId="6E1F31F5" w14:textId="77777777" w:rsidR="00382F02" w:rsidRDefault="00382F02" w:rsidP="00382F02">
      <w:pPr>
        <w:pStyle w:val="NoSpacing"/>
        <w:ind w:left="720"/>
        <w:rPr>
          <w:rFonts w:ascii="Times New Roman" w:hAnsi="Times New Roman"/>
          <w:sz w:val="24"/>
          <w:szCs w:val="24"/>
        </w:rPr>
      </w:pPr>
      <w:r>
        <w:rPr>
          <w:rStyle w:val="markedcontent"/>
          <w:rFonts w:ascii="Times New Roman" w:hAnsi="Times New Roman"/>
          <w:sz w:val="24"/>
          <w:szCs w:val="24"/>
        </w:rPr>
        <w:t>“</w:t>
      </w:r>
      <w:r w:rsidRPr="00A170C7">
        <w:rPr>
          <w:rFonts w:ascii="Times New Roman" w:hAnsi="Times New Roman"/>
          <w:sz w:val="24"/>
          <w:szCs w:val="24"/>
        </w:rPr>
        <w:t xml:space="preserve">On cross-examination, Briley confirmed he had experienced </w:t>
      </w:r>
      <w:r>
        <w:rPr>
          <w:rFonts w:ascii="Times New Roman" w:hAnsi="Times New Roman"/>
          <w:sz w:val="24"/>
          <w:szCs w:val="24"/>
        </w:rPr>
        <w:t>‘</w:t>
      </w:r>
      <w:r w:rsidRPr="00A170C7">
        <w:rPr>
          <w:rFonts w:ascii="Times New Roman" w:hAnsi="Times New Roman"/>
          <w:sz w:val="24"/>
          <w:szCs w:val="24"/>
        </w:rPr>
        <w:t>the gamut of emotions</w:t>
      </w:r>
      <w:r>
        <w:rPr>
          <w:rFonts w:ascii="Times New Roman" w:hAnsi="Times New Roman"/>
          <w:sz w:val="24"/>
          <w:szCs w:val="24"/>
        </w:rPr>
        <w:t>’</w:t>
      </w:r>
      <w:r w:rsidRPr="00A170C7">
        <w:rPr>
          <w:rFonts w:ascii="Times New Roman" w:hAnsi="Times New Roman"/>
          <w:sz w:val="24"/>
          <w:szCs w:val="24"/>
        </w:rPr>
        <w:t xml:space="preserve"> anyone would experience upon being terminated. He further revealed that he had seen a counselor once or </w:t>
      </w:r>
      <w:proofErr w:type="gramStart"/>
      <w:r w:rsidRPr="00A170C7">
        <w:rPr>
          <w:rFonts w:ascii="Times New Roman" w:hAnsi="Times New Roman"/>
          <w:sz w:val="24"/>
          <w:szCs w:val="24"/>
        </w:rPr>
        <w:t>twice, but</w:t>
      </w:r>
      <w:proofErr w:type="gramEnd"/>
      <w:r w:rsidRPr="00A170C7">
        <w:rPr>
          <w:rFonts w:ascii="Times New Roman" w:hAnsi="Times New Roman"/>
          <w:sz w:val="24"/>
          <w:szCs w:val="24"/>
        </w:rPr>
        <w:t xml:space="preserve"> reported no mental health issues. The City’s counsel noted that Briley had obtained a position as a fire marshal with the City of Murrieta </w:t>
      </w:r>
      <w:proofErr w:type="gramStart"/>
      <w:r w:rsidRPr="00A170C7">
        <w:rPr>
          <w:rFonts w:ascii="Times New Roman" w:hAnsi="Times New Roman"/>
          <w:sz w:val="24"/>
          <w:szCs w:val="24"/>
        </w:rPr>
        <w:t>subsequent to</w:t>
      </w:r>
      <w:proofErr w:type="gramEnd"/>
      <w:r w:rsidRPr="00A170C7">
        <w:rPr>
          <w:rFonts w:ascii="Times New Roman" w:hAnsi="Times New Roman"/>
          <w:sz w:val="24"/>
          <w:szCs w:val="24"/>
        </w:rPr>
        <w:t xml:space="preserve"> his termination and asked Briley if his decision to leave this position after about 10 months is what truly bothered him. In response, Briley admitted he had </w:t>
      </w:r>
      <w:r>
        <w:rPr>
          <w:rFonts w:ascii="Times New Roman" w:hAnsi="Times New Roman"/>
          <w:sz w:val="24"/>
          <w:szCs w:val="24"/>
        </w:rPr>
        <w:t>‘</w:t>
      </w:r>
      <w:r w:rsidRPr="00A170C7">
        <w:rPr>
          <w:rFonts w:ascii="Times New Roman" w:hAnsi="Times New Roman"/>
          <w:sz w:val="24"/>
          <w:szCs w:val="24"/>
        </w:rPr>
        <w:t>walked away</w:t>
      </w:r>
      <w:r>
        <w:rPr>
          <w:rFonts w:ascii="Times New Roman" w:hAnsi="Times New Roman"/>
          <w:sz w:val="24"/>
          <w:szCs w:val="24"/>
        </w:rPr>
        <w:t>’</w:t>
      </w:r>
      <w:r w:rsidRPr="00A170C7">
        <w:rPr>
          <w:rFonts w:ascii="Times New Roman" w:hAnsi="Times New Roman"/>
          <w:sz w:val="24"/>
          <w:szCs w:val="24"/>
        </w:rPr>
        <w:t xml:space="preserve"> from this fire-service </w:t>
      </w:r>
      <w:proofErr w:type="gramStart"/>
      <w:r w:rsidRPr="00A170C7">
        <w:rPr>
          <w:rFonts w:ascii="Times New Roman" w:hAnsi="Times New Roman"/>
          <w:sz w:val="24"/>
          <w:szCs w:val="24"/>
        </w:rPr>
        <w:t>position, but</w:t>
      </w:r>
      <w:proofErr w:type="gramEnd"/>
      <w:r w:rsidRPr="00A170C7">
        <w:rPr>
          <w:rFonts w:ascii="Times New Roman" w:hAnsi="Times New Roman"/>
          <w:sz w:val="24"/>
          <w:szCs w:val="24"/>
        </w:rPr>
        <w:t xml:space="preserve"> claimed that what bothered him were West Covina’s false allegations against him.</w:t>
      </w:r>
    </w:p>
    <w:p w14:paraId="3DCC8867" w14:textId="77777777" w:rsidR="00382F02" w:rsidRDefault="00382F02" w:rsidP="00382F02">
      <w:pPr>
        <w:pStyle w:val="NoSpacing"/>
        <w:ind w:left="720"/>
        <w:rPr>
          <w:rFonts w:ascii="Times New Roman" w:hAnsi="Times New Roman"/>
          <w:sz w:val="24"/>
          <w:szCs w:val="24"/>
        </w:rPr>
      </w:pPr>
    </w:p>
    <w:p w14:paraId="6A99BB4C" w14:textId="77777777" w:rsidR="00382F02" w:rsidRDefault="00382F02" w:rsidP="00382F02">
      <w:pPr>
        <w:pStyle w:val="NoSpacing"/>
        <w:ind w:left="720"/>
        <w:rPr>
          <w:rStyle w:val="markedcontent"/>
          <w:rFonts w:ascii="Times New Roman" w:hAnsi="Times New Roman"/>
          <w:sz w:val="24"/>
          <w:szCs w:val="24"/>
        </w:rPr>
      </w:pPr>
      <w:r>
        <w:rPr>
          <w:rFonts w:ascii="Times New Roman" w:hAnsi="Times New Roman"/>
          <w:sz w:val="24"/>
          <w:szCs w:val="24"/>
        </w:rPr>
        <w:t>***</w:t>
      </w:r>
    </w:p>
    <w:p w14:paraId="26B33152" w14:textId="77777777" w:rsidR="00382F02" w:rsidRDefault="00382F02" w:rsidP="00382F02">
      <w:pPr>
        <w:pStyle w:val="NoSpacing"/>
        <w:ind w:left="720"/>
        <w:rPr>
          <w:rStyle w:val="markedcontent"/>
          <w:rFonts w:ascii="Times New Roman" w:hAnsi="Times New Roman"/>
          <w:sz w:val="24"/>
          <w:szCs w:val="24"/>
        </w:rPr>
      </w:pPr>
    </w:p>
    <w:p w14:paraId="4377E10B" w14:textId="77777777" w:rsidR="00382F02" w:rsidRDefault="00382F02" w:rsidP="00382F02">
      <w:pPr>
        <w:pStyle w:val="NoSpacing"/>
        <w:ind w:left="720"/>
        <w:rPr>
          <w:rStyle w:val="markedcontent"/>
          <w:rFonts w:ascii="Times New Roman" w:hAnsi="Times New Roman"/>
          <w:sz w:val="24"/>
          <w:szCs w:val="24"/>
        </w:rPr>
      </w:pPr>
      <w:r w:rsidRPr="00C254BC">
        <w:rPr>
          <w:rStyle w:val="markedcontent"/>
          <w:rFonts w:ascii="Times New Roman" w:hAnsi="Times New Roman"/>
          <w:sz w:val="24"/>
          <w:szCs w:val="24"/>
        </w:rPr>
        <w:t xml:space="preserve">Based on our review of the record, and in our collective experience, the jury </w:t>
      </w:r>
      <w:r>
        <w:rPr>
          <w:rStyle w:val="markedcontent"/>
          <w:rFonts w:ascii="Times New Roman" w:hAnsi="Times New Roman"/>
          <w:sz w:val="24"/>
          <w:szCs w:val="24"/>
        </w:rPr>
        <w:t>[which awarded him $500,000 economic damages; $2 million past non-economic damages and $1.5 million in future non-economic damages]</w:t>
      </w:r>
      <w:r w:rsidRPr="00C254BC">
        <w:rPr>
          <w:rStyle w:val="markedcontent"/>
          <w:rFonts w:ascii="Times New Roman" w:hAnsi="Times New Roman"/>
          <w:sz w:val="24"/>
          <w:szCs w:val="24"/>
        </w:rPr>
        <w:t>,</w:t>
      </w:r>
      <w:r>
        <w:rPr>
          <w:rStyle w:val="markedcontent"/>
          <w:rFonts w:ascii="Times New Roman" w:hAnsi="Times New Roman"/>
          <w:sz w:val="24"/>
          <w:szCs w:val="24"/>
        </w:rPr>
        <w:t xml:space="preserve"> </w:t>
      </w:r>
      <w:r w:rsidRPr="00C254BC">
        <w:rPr>
          <w:rStyle w:val="markedcontent"/>
          <w:rFonts w:ascii="Times New Roman" w:hAnsi="Times New Roman"/>
          <w:sz w:val="24"/>
          <w:szCs w:val="24"/>
        </w:rPr>
        <w:t xml:space="preserve">could have awarded Briley no more than $1 million for past noneconomic damages reflecting the distress, financial uncertainty, and sleep-related issues he experienced in the aftermath of his termination. </w:t>
      </w:r>
      <w:proofErr w:type="gramStart"/>
      <w:r w:rsidRPr="00C254BC">
        <w:rPr>
          <w:rStyle w:val="markedcontent"/>
          <w:rFonts w:ascii="Times New Roman" w:hAnsi="Times New Roman"/>
          <w:sz w:val="24"/>
          <w:szCs w:val="24"/>
        </w:rPr>
        <w:t>We further</w:t>
      </w:r>
      <w:proofErr w:type="gramEnd"/>
      <w:r w:rsidRPr="00C254BC">
        <w:rPr>
          <w:rStyle w:val="markedcontent"/>
          <w:rFonts w:ascii="Times New Roman" w:hAnsi="Times New Roman"/>
          <w:sz w:val="24"/>
          <w:szCs w:val="24"/>
        </w:rPr>
        <w:t xml:space="preserve"> conclude the jury could have </w:t>
      </w:r>
      <w:proofErr w:type="gramStart"/>
      <w:r w:rsidRPr="00C254BC">
        <w:rPr>
          <w:rStyle w:val="markedcontent"/>
          <w:rFonts w:ascii="Times New Roman" w:hAnsi="Times New Roman"/>
          <w:sz w:val="24"/>
          <w:szCs w:val="24"/>
        </w:rPr>
        <w:t>awarded</w:t>
      </w:r>
      <w:proofErr w:type="gramEnd"/>
      <w:r w:rsidRPr="00C254BC">
        <w:rPr>
          <w:rStyle w:val="markedcontent"/>
          <w:rFonts w:ascii="Times New Roman" w:hAnsi="Times New Roman"/>
          <w:sz w:val="24"/>
          <w:szCs w:val="24"/>
        </w:rPr>
        <w:t xml:space="preserve"> no more than $100,000 for Briley’s future noneconomic damages, reflecting the largely diminished effects of his termination in the wake of the jury’s verdict. While these amounts remain high in relation to the evidence of Briley’s harm, we may not insert our own assessment for that of the jury; instead, we ask only what amount the jury could reasonably have awarded. (See Bigler-Engler, supra, 7 Cal.App.5th at 299.) Accordingly, we vacate the past and future noneconomic damages awards and </w:t>
      </w:r>
      <w:proofErr w:type="gramStart"/>
      <w:r w:rsidRPr="00C254BC">
        <w:rPr>
          <w:rStyle w:val="markedcontent"/>
          <w:rFonts w:ascii="Times New Roman" w:hAnsi="Times New Roman"/>
          <w:sz w:val="24"/>
          <w:szCs w:val="24"/>
        </w:rPr>
        <w:t>remand</w:t>
      </w:r>
      <w:proofErr w:type="gramEnd"/>
      <w:r w:rsidRPr="00C254BC">
        <w:rPr>
          <w:rStyle w:val="markedcontent"/>
          <w:rFonts w:ascii="Times New Roman" w:hAnsi="Times New Roman"/>
          <w:sz w:val="24"/>
          <w:szCs w:val="24"/>
        </w:rPr>
        <w:t xml:space="preserve"> for a new trial on those issues, unless Briley accepts a reduction of the awards to $1 million and $100,000, respectively. (See id., at 306.)</w:t>
      </w:r>
      <w:r>
        <w:rPr>
          <w:rStyle w:val="markedcontent"/>
          <w:rFonts w:ascii="Times New Roman" w:hAnsi="Times New Roman"/>
          <w:sz w:val="24"/>
          <w:szCs w:val="24"/>
        </w:rPr>
        <w:t xml:space="preserve">” </w:t>
      </w:r>
      <w:hyperlink r:id="rId260" w:history="1">
        <w:r w:rsidRPr="00C10414">
          <w:rPr>
            <w:rStyle w:val="Hyperlink"/>
            <w:sz w:val="24"/>
            <w:szCs w:val="24"/>
          </w:rPr>
          <w:t>https://cases.justia.com/california/court-of-appeal/2021-b295666.pdf?ts=1625180487</w:t>
        </w:r>
      </w:hyperlink>
      <w:r>
        <w:rPr>
          <w:rStyle w:val="markedcontent"/>
          <w:rFonts w:ascii="Times New Roman" w:hAnsi="Times New Roman"/>
          <w:sz w:val="24"/>
          <w:szCs w:val="24"/>
        </w:rPr>
        <w:t xml:space="preserve"> </w:t>
      </w:r>
    </w:p>
    <w:p w14:paraId="3D8E1736" w14:textId="4E8830E9" w:rsidR="00382F02" w:rsidRDefault="00382F02" w:rsidP="002B1283">
      <w:pPr>
        <w:rPr>
          <w:rFonts w:ascii="Arial Black" w:hAnsi="Arial Black"/>
          <w:b/>
          <w:sz w:val="24"/>
          <w:szCs w:val="24"/>
        </w:rPr>
      </w:pPr>
    </w:p>
    <w:p w14:paraId="1A6782C2" w14:textId="77777777" w:rsidR="00382F02" w:rsidRPr="002C56EC" w:rsidRDefault="00382F02" w:rsidP="00382F02">
      <w:pPr>
        <w:pStyle w:val="NoSpacing"/>
        <w:rPr>
          <w:rStyle w:val="markedcontent"/>
          <w:rFonts w:ascii="Times New Roman" w:hAnsi="Times New Roman"/>
          <w:b/>
          <w:bCs/>
          <w:sz w:val="24"/>
          <w:szCs w:val="24"/>
        </w:rPr>
      </w:pPr>
      <w:r w:rsidRPr="002C56EC">
        <w:rPr>
          <w:rStyle w:val="markedcontent"/>
          <w:rFonts w:ascii="Times New Roman" w:hAnsi="Times New Roman"/>
          <w:b/>
          <w:bCs/>
          <w:sz w:val="24"/>
          <w:szCs w:val="24"/>
        </w:rPr>
        <w:t>Legal Lesson Learned:</w:t>
      </w:r>
      <w:r>
        <w:rPr>
          <w:rStyle w:val="markedcontent"/>
          <w:rFonts w:ascii="Times New Roman" w:hAnsi="Times New Roman"/>
          <w:b/>
          <w:bCs/>
          <w:sz w:val="24"/>
          <w:szCs w:val="24"/>
        </w:rPr>
        <w:t xml:space="preserve"> Retaliation claims can result in very large jury verdicts. </w:t>
      </w:r>
    </w:p>
    <w:p w14:paraId="59C94BA3" w14:textId="77777777" w:rsidR="00382F02" w:rsidRDefault="00382F02" w:rsidP="002B1283">
      <w:pPr>
        <w:rPr>
          <w:rFonts w:ascii="Arial Black" w:hAnsi="Arial Black"/>
          <w:b/>
          <w:sz w:val="24"/>
          <w:szCs w:val="24"/>
        </w:rPr>
      </w:pPr>
    </w:p>
    <w:p w14:paraId="14002210" w14:textId="77777777" w:rsidR="00382F02" w:rsidRDefault="00382F02" w:rsidP="002B1283">
      <w:pPr>
        <w:rPr>
          <w:rFonts w:ascii="Arial Black" w:hAnsi="Arial Black"/>
          <w:b/>
          <w:sz w:val="24"/>
          <w:szCs w:val="24"/>
        </w:rPr>
      </w:pPr>
    </w:p>
    <w:p w14:paraId="4FFA695F" w14:textId="1BA4954B" w:rsidR="00A82898" w:rsidRDefault="00A82898" w:rsidP="002B1283">
      <w:pPr>
        <w:rPr>
          <w:rFonts w:ascii="Arial Black" w:hAnsi="Arial Black"/>
          <w:b/>
          <w:sz w:val="24"/>
          <w:szCs w:val="24"/>
        </w:rPr>
      </w:pPr>
      <w:r>
        <w:rPr>
          <w:rFonts w:ascii="Arial Black" w:hAnsi="Arial Black"/>
          <w:b/>
          <w:sz w:val="24"/>
          <w:szCs w:val="24"/>
        </w:rPr>
        <w:t>1-</w:t>
      </w:r>
      <w:r w:rsidR="00382F02">
        <w:rPr>
          <w:rFonts w:ascii="Arial Black" w:hAnsi="Arial Black"/>
          <w:b/>
          <w:sz w:val="24"/>
          <w:szCs w:val="24"/>
        </w:rPr>
        <w:t>80</w:t>
      </w:r>
    </w:p>
    <w:p w14:paraId="47C95009" w14:textId="77777777" w:rsidR="00A82898" w:rsidRPr="00C11FBB" w:rsidRDefault="00A82898" w:rsidP="00A82898">
      <w:pPr>
        <w:pStyle w:val="NormalWeb"/>
        <w:spacing w:before="0" w:beforeAutospacing="0" w:after="0" w:afterAutospacing="0" w:line="255" w:lineRule="atLeast"/>
        <w:rPr>
          <w:rFonts w:ascii="Arial Black" w:hAnsi="Arial Black"/>
          <w:sz w:val="28"/>
          <w:szCs w:val="28"/>
        </w:rPr>
      </w:pPr>
      <w:r>
        <w:rPr>
          <w:rFonts w:ascii="Arial Black" w:hAnsi="Arial Black"/>
          <w:sz w:val="28"/>
          <w:szCs w:val="28"/>
        </w:rPr>
        <w:t>PA: IMMUNITY / 5</w:t>
      </w:r>
      <w:r w:rsidRPr="000732DE">
        <w:rPr>
          <w:rFonts w:ascii="Arial Black" w:hAnsi="Arial Black"/>
          <w:sz w:val="28"/>
          <w:szCs w:val="28"/>
          <w:vertAlign w:val="superscript"/>
        </w:rPr>
        <w:t>th</w:t>
      </w:r>
      <w:r>
        <w:rPr>
          <w:rFonts w:ascii="Arial Black" w:hAnsi="Arial Black"/>
          <w:sz w:val="28"/>
          <w:szCs w:val="28"/>
        </w:rPr>
        <w:t xml:space="preserve"> AMENDMENT - BILL COSBY CONV. VACATED – DA’s UNCONDITIONAL PROMISE </w:t>
      </w:r>
    </w:p>
    <w:p w14:paraId="111054DF" w14:textId="77777777" w:rsidR="00A82898" w:rsidRDefault="00A82898" w:rsidP="00A82898">
      <w:pPr>
        <w:pStyle w:val="NormalWeb"/>
        <w:spacing w:before="0" w:beforeAutospacing="0" w:after="0" w:afterAutospacing="0" w:line="255" w:lineRule="atLeast"/>
      </w:pPr>
    </w:p>
    <w:p w14:paraId="3A949C32" w14:textId="77777777" w:rsidR="00A82898" w:rsidRDefault="00A82898" w:rsidP="00A82898">
      <w:pPr>
        <w:pStyle w:val="NormalWeb"/>
        <w:spacing w:before="0" w:beforeAutospacing="0" w:after="0" w:afterAutospacing="0" w:line="255" w:lineRule="atLeast"/>
      </w:pPr>
      <w:r>
        <w:lastRenderedPageBreak/>
        <w:t xml:space="preserve">On June 30, 2021, in </w:t>
      </w:r>
      <w:r w:rsidRPr="00C11FBB">
        <w:rPr>
          <w:u w:val="single"/>
        </w:rPr>
        <w:t>Commonwealth of Pennsylvania v. William Henry Cosby Jr.,</w:t>
      </w:r>
      <w:r>
        <w:t xml:space="preserve"> the Supreme Court of Pennsylvania, Middle District, held (4 to 3) that Cosby’s 5</w:t>
      </w:r>
      <w:r w:rsidRPr="002052D5">
        <w:rPr>
          <w:vertAlign w:val="superscript"/>
        </w:rPr>
        <w:t>th</w:t>
      </w:r>
      <w:r>
        <w:t xml:space="preserve"> Amendment rights were violated when the Montgomery County District Attorney made “an unconditional promise of non-prosecution.” Crosby was later indicted just prior to expiration of 12-year statute of limitations by new DA, who read Crosby’s 4 depositions in a civil lawsuit brought by female victim, where he testified about giving pills to other women, and the DA located 19 prior victims (going back 15 to 22 years).   </w:t>
      </w:r>
    </w:p>
    <w:p w14:paraId="7238F1F1" w14:textId="77777777" w:rsidR="00A82898" w:rsidRDefault="00A82898" w:rsidP="00A82898">
      <w:pPr>
        <w:pStyle w:val="NormalWeb"/>
        <w:spacing w:before="0" w:beforeAutospacing="0" w:after="0" w:afterAutospacing="0" w:line="255" w:lineRule="atLeast"/>
      </w:pPr>
    </w:p>
    <w:p w14:paraId="0DA6AB35" w14:textId="77777777" w:rsidR="00A82898" w:rsidRDefault="00A82898" w:rsidP="00A82898">
      <w:pPr>
        <w:pStyle w:val="NormalWeb"/>
        <w:spacing w:before="0" w:beforeAutospacing="0" w:after="0" w:afterAutospacing="0" w:line="255" w:lineRule="atLeast"/>
        <w:ind w:left="720"/>
      </w:pPr>
      <w:r>
        <w:t>“</w:t>
      </w:r>
      <w:r w:rsidRPr="009A1E55">
        <w:t>For the reasons detailed below, we hold that,</w:t>
      </w:r>
      <w:r>
        <w:t xml:space="preserve"> </w:t>
      </w:r>
      <w:r w:rsidRPr="009A1E55">
        <w:t>when a prosecutor makes</w:t>
      </w:r>
      <w:r>
        <w:t xml:space="preserve"> </w:t>
      </w:r>
      <w:r w:rsidRPr="009A1E55">
        <w:t>an unconditional promise</w:t>
      </w:r>
      <w:r>
        <w:t xml:space="preserve"> </w:t>
      </w:r>
      <w:r w:rsidRPr="009A1E55">
        <w:t>of non-prosecution, and when the defendant relies upon that guarantee</w:t>
      </w:r>
      <w:r>
        <w:t xml:space="preserve"> </w:t>
      </w:r>
      <w:r w:rsidRPr="009A1E55">
        <w:t>to the detriment of his constitutional right not to testify, the principle of fundamental fairness that undergirds</w:t>
      </w:r>
      <w:r>
        <w:t xml:space="preserve"> </w:t>
      </w:r>
      <w:r w:rsidRPr="009A1E55">
        <w:t>due process of law in</w:t>
      </w:r>
      <w:r>
        <w:t xml:space="preserve"> </w:t>
      </w:r>
      <w:r w:rsidRPr="009A1E55">
        <w:t xml:space="preserve">our criminal justice system demands that the promise be enforced. </w:t>
      </w:r>
    </w:p>
    <w:p w14:paraId="4E02BF15" w14:textId="77777777" w:rsidR="00A82898" w:rsidRDefault="00A82898" w:rsidP="00A82898">
      <w:pPr>
        <w:pStyle w:val="NormalWeb"/>
        <w:spacing w:before="0" w:beforeAutospacing="0" w:after="0" w:afterAutospacing="0" w:line="255" w:lineRule="atLeast"/>
      </w:pPr>
    </w:p>
    <w:p w14:paraId="5A69769F" w14:textId="77777777" w:rsidR="00A82898" w:rsidRDefault="00A82898" w:rsidP="00A82898">
      <w:pPr>
        <w:pStyle w:val="NormalWeb"/>
        <w:spacing w:before="0" w:beforeAutospacing="0" w:after="0" w:afterAutospacing="0" w:line="255" w:lineRule="atLeast"/>
        <w:ind w:firstLine="720"/>
      </w:pPr>
      <w:r>
        <w:t>***</w:t>
      </w:r>
    </w:p>
    <w:p w14:paraId="1AF8A47B" w14:textId="77777777" w:rsidR="00A82898" w:rsidRDefault="00A82898" w:rsidP="00A82898">
      <w:pPr>
        <w:pStyle w:val="NormalWeb"/>
        <w:spacing w:before="0" w:beforeAutospacing="0" w:after="0" w:afterAutospacing="0" w:line="255" w:lineRule="atLeast"/>
      </w:pPr>
    </w:p>
    <w:p w14:paraId="4FCAB9AE" w14:textId="77777777" w:rsidR="00A82898" w:rsidRDefault="00A82898" w:rsidP="00A82898">
      <w:pPr>
        <w:pStyle w:val="NormalWeb"/>
        <w:spacing w:before="0" w:beforeAutospacing="0" w:after="0" w:afterAutospacing="0" w:line="255" w:lineRule="atLeast"/>
        <w:ind w:left="720"/>
      </w:pPr>
      <w:r w:rsidRPr="00C11FBB">
        <w:rPr>
          <w:rStyle w:val="highlight"/>
        </w:rPr>
        <w:t>Cosby</w:t>
      </w:r>
      <w:r w:rsidRPr="00C11FBB">
        <w:t xml:space="preserve"> was forced to sit for four depositions. That he did not—and could not—choose to remain silent is apparent from the record. When </w:t>
      </w:r>
      <w:r w:rsidRPr="00C11FBB">
        <w:rPr>
          <w:rStyle w:val="highlight"/>
        </w:rPr>
        <w:t xml:space="preserve">Cosby </w:t>
      </w:r>
      <w:r w:rsidRPr="00C11FBB">
        <w:t xml:space="preserve">attempted to decline to answer certain questions about Constand, Constand’s attorneys obtained a ruling from the civil trial judge forcing </w:t>
      </w:r>
      <w:r w:rsidRPr="00C11FBB">
        <w:rPr>
          <w:rStyle w:val="highlight"/>
        </w:rPr>
        <w:t>Cosby</w:t>
      </w:r>
      <w:r w:rsidRPr="00C11FBB">
        <w:t xml:space="preserve"> to answer. Most significantly, </w:t>
      </w:r>
      <w:r w:rsidRPr="00C11FBB">
        <w:rPr>
          <w:rStyle w:val="highlight"/>
        </w:rPr>
        <w:t>Cosby</w:t>
      </w:r>
      <w:r w:rsidRPr="00C11FBB">
        <w:t>, having maintained his innocence in all matters and having been advised by a number of attorneys, provided critical evidence of his recurring history</w:t>
      </w:r>
      <w:r>
        <w:t xml:space="preserve"> </w:t>
      </w:r>
      <w:r w:rsidRPr="00C11FBB">
        <w:t>of supplying women with central nervous system depressants before engaging in (allegedly unwanted) sexual activity with them—the very assertion that undergirded Constand’s criminal complaint</w:t>
      </w:r>
      <w:r>
        <w:t>….</w:t>
      </w:r>
    </w:p>
    <w:p w14:paraId="2F422E7D" w14:textId="77777777" w:rsidR="00A82898" w:rsidRDefault="00A82898" w:rsidP="00A82898">
      <w:pPr>
        <w:pStyle w:val="NormalWeb"/>
        <w:spacing w:before="0" w:beforeAutospacing="0" w:after="0" w:afterAutospacing="0" w:line="255" w:lineRule="atLeast"/>
        <w:ind w:left="720"/>
      </w:pPr>
    </w:p>
    <w:p w14:paraId="18FE48EE" w14:textId="77777777" w:rsidR="00A82898" w:rsidRDefault="00A82898" w:rsidP="00A82898">
      <w:pPr>
        <w:pStyle w:val="NormalWeb"/>
        <w:spacing w:before="0" w:beforeAutospacing="0" w:after="0" w:afterAutospacing="0" w:line="255" w:lineRule="atLeast"/>
        <w:ind w:left="720"/>
      </w:pPr>
      <w:r>
        <w:t>***</w:t>
      </w:r>
    </w:p>
    <w:p w14:paraId="6E408BEE" w14:textId="77777777" w:rsidR="00A82898" w:rsidRDefault="00A82898" w:rsidP="00A82898">
      <w:pPr>
        <w:pStyle w:val="NormalWeb"/>
        <w:spacing w:before="0" w:beforeAutospacing="0" w:after="0" w:afterAutospacing="0" w:line="255" w:lineRule="atLeast"/>
        <w:ind w:left="720"/>
      </w:pPr>
    </w:p>
    <w:p w14:paraId="2107EAD9" w14:textId="3D450F84" w:rsidR="00A82898" w:rsidRDefault="00A82898" w:rsidP="00A82898">
      <w:pPr>
        <w:rPr>
          <w:rFonts w:ascii="Arial Black" w:hAnsi="Arial Black"/>
          <w:b/>
          <w:sz w:val="24"/>
          <w:szCs w:val="24"/>
        </w:rPr>
      </w:pPr>
      <w:r w:rsidRPr="00C11FBB">
        <w:t xml:space="preserve">For these reasons, </w:t>
      </w:r>
      <w:r w:rsidRPr="00C11FBB">
        <w:rPr>
          <w:rStyle w:val="highlight"/>
        </w:rPr>
        <w:t>Cosby</w:t>
      </w:r>
      <w:r w:rsidRPr="00C11FBB">
        <w:t>’s convictions and judgment of sentence are</w:t>
      </w:r>
      <w:r>
        <w:t xml:space="preserve"> </w:t>
      </w:r>
      <w:r w:rsidRPr="00C11FBB">
        <w:t>vacated, and he is discharged.</w:t>
      </w:r>
      <w:r>
        <w:t xml:space="preserve">” </w:t>
      </w:r>
      <w:hyperlink r:id="rId261" w:anchor="search=%22Cosby%20%27Supreme%2bCourt%27%22" w:history="1">
        <w:r w:rsidRPr="007B464E">
          <w:rPr>
            <w:rStyle w:val="Hyperlink"/>
          </w:rPr>
          <w:t>http://www.pacourts.us/assets/opinions/Supreme/out/j-100-2020mo%20-%20104821740139246918.pdf#search=%22Cosby%20%27Supreme%2bCourt%27%22</w:t>
        </w:r>
      </w:hyperlink>
    </w:p>
    <w:p w14:paraId="2A016F03" w14:textId="77777777" w:rsidR="00A82898" w:rsidRDefault="00A82898" w:rsidP="00A82898">
      <w:pPr>
        <w:pStyle w:val="NormalWeb"/>
        <w:spacing w:before="0" w:beforeAutospacing="0" w:after="0" w:afterAutospacing="0" w:line="255" w:lineRule="atLeast"/>
        <w:rPr>
          <w:rStyle w:val="markedcontent"/>
          <w:b/>
          <w:bCs/>
        </w:rPr>
      </w:pPr>
      <w:r w:rsidRPr="00DE31ED">
        <w:rPr>
          <w:rStyle w:val="markedcontent"/>
          <w:b/>
          <w:bCs/>
        </w:rPr>
        <w:t>Legal Lesson Learned:</w:t>
      </w:r>
      <w:r>
        <w:rPr>
          <w:rStyle w:val="markedcontent"/>
          <w:b/>
          <w:bCs/>
        </w:rPr>
        <w:t xml:space="preserve">  This is a very usual decision, finding that a DA’s Press Release and comments to defense counsel amounted to a “transactional immunity” agreement, binding other DAs during the 12-year statute of limitations.   In fire service, arson investigators seeking to obtain immunity for a key witness should consider asking Prosecutors to grant “use and derivative use” immunity, not “transactional immunity.”</w:t>
      </w:r>
    </w:p>
    <w:p w14:paraId="140C943E" w14:textId="77777777" w:rsidR="00A82898" w:rsidRDefault="00A82898" w:rsidP="00A82898">
      <w:pPr>
        <w:pStyle w:val="NormalWeb"/>
        <w:spacing w:before="0" w:beforeAutospacing="0" w:after="0" w:afterAutospacing="0" w:line="255" w:lineRule="atLeast"/>
        <w:rPr>
          <w:rStyle w:val="markedcontent"/>
          <w:b/>
          <w:bCs/>
        </w:rPr>
      </w:pPr>
    </w:p>
    <w:p w14:paraId="419FD34F" w14:textId="77777777" w:rsidR="00A82898" w:rsidRDefault="00A82898" w:rsidP="00A82898">
      <w:pPr>
        <w:pStyle w:val="NormalWeb"/>
        <w:spacing w:before="0" w:beforeAutospacing="0" w:after="0" w:afterAutospacing="0" w:line="255" w:lineRule="atLeast"/>
        <w:ind w:left="720"/>
      </w:pPr>
      <w:r>
        <w:t xml:space="preserve">“Use and derivative use immunity is more common (used by both state and federal prosecutors) and narrower than transactional immunity. It prevents the prosecution from using the witness's </w:t>
      </w:r>
      <w:proofErr w:type="gramStart"/>
      <w:r>
        <w:t>statements (‘</w:t>
      </w:r>
      <w:proofErr w:type="gramEnd"/>
      <w:r>
        <w:t xml:space="preserve">use’) or any evidence derived from those </w:t>
      </w:r>
      <w:proofErr w:type="gramStart"/>
      <w:r>
        <w:t>statements (‘</w:t>
      </w:r>
      <w:proofErr w:type="gramEnd"/>
      <w:r>
        <w:t>derivative use’) against the witness in a criminal prosecution. In theory, use and derivative use immunity provides as much protection as the witness not testifying.”</w:t>
      </w:r>
    </w:p>
    <w:p w14:paraId="2B7A4DCD" w14:textId="77777777" w:rsidR="00A82898" w:rsidRDefault="00A82898" w:rsidP="00A82898">
      <w:pPr>
        <w:pStyle w:val="NormalWeb"/>
        <w:spacing w:before="0" w:beforeAutospacing="0" w:after="0" w:afterAutospacing="0" w:line="255" w:lineRule="atLeast"/>
        <w:ind w:left="720"/>
      </w:pPr>
      <w:hyperlink r:id="rId262" w:history="1">
        <w:r w:rsidRPr="007B464E">
          <w:rPr>
            <w:rStyle w:val="Hyperlink"/>
          </w:rPr>
          <w:t>https://www.nolo.com/legal-encyclopedia/immunity-exchange-testimony.html</w:t>
        </w:r>
      </w:hyperlink>
      <w:r>
        <w:t xml:space="preserve"> </w:t>
      </w:r>
    </w:p>
    <w:p w14:paraId="0E076B9F" w14:textId="77777777" w:rsidR="00A82898" w:rsidRPr="00DE31ED" w:rsidRDefault="00A82898" w:rsidP="00A82898">
      <w:pPr>
        <w:pStyle w:val="NormalWeb"/>
        <w:spacing w:before="0" w:beforeAutospacing="0" w:after="0" w:afterAutospacing="0" w:line="255" w:lineRule="atLeast"/>
        <w:ind w:left="720"/>
        <w:rPr>
          <w:rStyle w:val="markedcontent"/>
          <w:b/>
          <w:bCs/>
        </w:rPr>
      </w:pPr>
    </w:p>
    <w:p w14:paraId="4DB86470" w14:textId="77777777" w:rsidR="00A82898" w:rsidRPr="007614C6" w:rsidRDefault="00A82898" w:rsidP="00A82898">
      <w:pPr>
        <w:ind w:left="720"/>
        <w:rPr>
          <w:rFonts w:ascii="Times New Roman" w:hAnsi="Times New Roman"/>
          <w:sz w:val="24"/>
          <w:szCs w:val="24"/>
        </w:rPr>
      </w:pPr>
      <w:r w:rsidRPr="002052D5">
        <w:rPr>
          <w:rStyle w:val="markedcontent"/>
          <w:rFonts w:ascii="Times New Roman" w:hAnsi="Times New Roman"/>
          <w:sz w:val="24"/>
          <w:szCs w:val="24"/>
        </w:rPr>
        <w:t xml:space="preserve">See June 30, </w:t>
      </w:r>
      <w:proofErr w:type="gramStart"/>
      <w:r w:rsidRPr="002052D5">
        <w:rPr>
          <w:rStyle w:val="markedcontent"/>
          <w:rFonts w:ascii="Times New Roman" w:hAnsi="Times New Roman"/>
          <w:sz w:val="24"/>
          <w:szCs w:val="24"/>
        </w:rPr>
        <w:t>2021</w:t>
      </w:r>
      <w:proofErr w:type="gramEnd"/>
      <w:r w:rsidRPr="002052D5">
        <w:rPr>
          <w:rStyle w:val="markedcontent"/>
          <w:rFonts w:ascii="Times New Roman" w:hAnsi="Times New Roman"/>
          <w:sz w:val="24"/>
          <w:szCs w:val="24"/>
        </w:rPr>
        <w:t xml:space="preserve"> article on the case: </w:t>
      </w:r>
      <w:r>
        <w:rPr>
          <w:rStyle w:val="markedcontent"/>
          <w:rFonts w:ascii="Times New Roman" w:hAnsi="Times New Roman"/>
          <w:sz w:val="24"/>
          <w:szCs w:val="24"/>
        </w:rPr>
        <w:t>“</w:t>
      </w:r>
      <w:r w:rsidRPr="002052D5">
        <w:rPr>
          <w:rFonts w:ascii="Times New Roman" w:hAnsi="Times New Roman"/>
          <w:sz w:val="24"/>
          <w:szCs w:val="24"/>
        </w:rPr>
        <w:t>All Your Questions About Bill Cosby’s Overturned Verdict, Answered</w:t>
      </w:r>
      <w:r>
        <w:rPr>
          <w:rFonts w:ascii="Times New Roman" w:hAnsi="Times New Roman"/>
          <w:sz w:val="24"/>
          <w:szCs w:val="24"/>
        </w:rPr>
        <w:t xml:space="preserve">.” </w:t>
      </w:r>
      <w:hyperlink r:id="rId263" w:history="1">
        <w:r w:rsidRPr="007614C6">
          <w:rPr>
            <w:rStyle w:val="Hyperlink"/>
            <w:sz w:val="24"/>
            <w:szCs w:val="24"/>
          </w:rPr>
          <w:t>https://www.vulture.com/article/bill-cosby-overturned-sexual-assault-conviction-explained.html</w:t>
        </w:r>
      </w:hyperlink>
      <w:r w:rsidRPr="007614C6">
        <w:rPr>
          <w:rFonts w:ascii="Times New Roman" w:hAnsi="Times New Roman"/>
          <w:sz w:val="24"/>
          <w:szCs w:val="24"/>
        </w:rPr>
        <w:t xml:space="preserve"> </w:t>
      </w:r>
    </w:p>
    <w:p w14:paraId="7BB878F7" w14:textId="706826DC" w:rsidR="00A82898" w:rsidRDefault="00382F02" w:rsidP="002B1283">
      <w:pPr>
        <w:rPr>
          <w:rFonts w:ascii="Arial Black" w:hAnsi="Arial Black"/>
          <w:b/>
          <w:sz w:val="24"/>
          <w:szCs w:val="24"/>
        </w:rPr>
      </w:pPr>
      <w:r>
        <w:rPr>
          <w:rFonts w:ascii="Arial Black" w:hAnsi="Arial Black"/>
          <w:b/>
          <w:sz w:val="24"/>
          <w:szCs w:val="24"/>
        </w:rPr>
        <w:t>1-79</w:t>
      </w:r>
    </w:p>
    <w:p w14:paraId="4C9F5FF7" w14:textId="77777777" w:rsidR="00382F02" w:rsidRDefault="00382F02" w:rsidP="00382F02">
      <w:pPr>
        <w:pStyle w:val="articleparagraph"/>
        <w:rPr>
          <w:rFonts w:ascii="Arial Black" w:hAnsi="Arial Black"/>
          <w:sz w:val="28"/>
          <w:szCs w:val="28"/>
        </w:rPr>
      </w:pPr>
      <w:bookmarkStart w:id="10" w:name="_Hlk81841241"/>
      <w:r>
        <w:rPr>
          <w:rFonts w:ascii="Arial Black" w:hAnsi="Arial Black"/>
          <w:sz w:val="28"/>
          <w:szCs w:val="28"/>
        </w:rPr>
        <w:t xml:space="preserve">U.S. SUPREME COURT: UNANIMOUS DECISION - SEARCH &amp; SEIZURE DRUNK DRIVER UPHELD – COMMUNITY SAFETY </w:t>
      </w:r>
    </w:p>
    <w:bookmarkEnd w:id="10"/>
    <w:p w14:paraId="1931539C" w14:textId="77777777" w:rsidR="00382F02" w:rsidRDefault="00382F02" w:rsidP="00382F02">
      <w:pPr>
        <w:pStyle w:val="articleparagraph"/>
      </w:pPr>
      <w:r>
        <w:lastRenderedPageBreak/>
        <w:t xml:space="preserve">On June 1, 2021, in </w:t>
      </w:r>
      <w:r w:rsidRPr="005E6136">
        <w:rPr>
          <w:u w:val="single"/>
        </w:rPr>
        <w:t>United States v. Cooley</w:t>
      </w:r>
      <w:r>
        <w:t xml:space="preserve">, the U.S. Supreme Court held (9 to 0) that the trial court judge improperly granted defense motion to suppress the meth found in the driver’s </w:t>
      </w:r>
      <w:proofErr w:type="gramStart"/>
      <w:r>
        <w:t>truck, and</w:t>
      </w:r>
      <w:proofErr w:type="gramEnd"/>
      <w:r>
        <w:t xml:space="preserve"> reversed the 3-judges on the 9</w:t>
      </w:r>
      <w:r w:rsidRPr="005E6136">
        <w:rPr>
          <w:vertAlign w:val="superscript"/>
        </w:rPr>
        <w:t>th</w:t>
      </w:r>
      <w:r>
        <w:t xml:space="preserve"> Circuit (San Francisco) that found the search illegal.  Justice Steven Breyer wrote the unanimous opinion of the court, which focused on the health and welfare of the Tribal police officer and the Indian reservation where the driver was pulled over. </w:t>
      </w:r>
    </w:p>
    <w:p w14:paraId="14614916" w14:textId="77777777" w:rsidR="00382F02" w:rsidRDefault="00382F02" w:rsidP="00382F02">
      <w:pPr>
        <w:ind w:left="720"/>
        <w:rPr>
          <w:rStyle w:val="markedcontent"/>
          <w:rFonts w:ascii="Times New Roman" w:hAnsi="Times New Roman"/>
          <w:sz w:val="24"/>
          <w:szCs w:val="24"/>
        </w:rPr>
      </w:pPr>
      <w:r>
        <w:rPr>
          <w:rStyle w:val="markedcontent"/>
          <w:rFonts w:ascii="Times New Roman" w:hAnsi="Times New Roman"/>
          <w:sz w:val="24"/>
          <w:szCs w:val="24"/>
        </w:rPr>
        <w:t>“</w:t>
      </w:r>
      <w:r w:rsidRPr="00512F9B">
        <w:rPr>
          <w:rStyle w:val="markedcontent"/>
          <w:rFonts w:ascii="Times New Roman" w:hAnsi="Times New Roman"/>
          <w:sz w:val="24"/>
          <w:szCs w:val="24"/>
        </w:rPr>
        <w:t xml:space="preserve">The second exception we have just quoted fits the present case, almost like a glove. The phrase speaks of the protection of the </w:t>
      </w:r>
      <w:r>
        <w:rPr>
          <w:rStyle w:val="markedcontent"/>
          <w:rFonts w:ascii="Times New Roman" w:hAnsi="Times New Roman"/>
          <w:sz w:val="24"/>
          <w:szCs w:val="24"/>
        </w:rPr>
        <w:t>‘</w:t>
      </w:r>
      <w:r w:rsidRPr="00512F9B">
        <w:rPr>
          <w:rStyle w:val="markedcontent"/>
          <w:rFonts w:ascii="Times New Roman" w:hAnsi="Times New Roman"/>
          <w:sz w:val="24"/>
          <w:szCs w:val="24"/>
        </w:rPr>
        <w:t>health or welfare of the tribe.</w:t>
      </w:r>
      <w:r>
        <w:rPr>
          <w:rStyle w:val="markedcontent"/>
          <w:rFonts w:ascii="Times New Roman" w:hAnsi="Times New Roman"/>
          <w:sz w:val="24"/>
          <w:szCs w:val="24"/>
        </w:rPr>
        <w:t xml:space="preserve">’ </w:t>
      </w:r>
      <w:r w:rsidRPr="00512F9B">
        <w:rPr>
          <w:rStyle w:val="markedcontent"/>
          <w:rFonts w:ascii="Times New Roman" w:hAnsi="Times New Roman"/>
          <w:sz w:val="24"/>
          <w:szCs w:val="24"/>
        </w:rPr>
        <w:t>To deny a tribal</w:t>
      </w:r>
      <w:r>
        <w:rPr>
          <w:rStyle w:val="markedcontent"/>
          <w:rFonts w:ascii="Times New Roman" w:hAnsi="Times New Roman"/>
          <w:sz w:val="24"/>
          <w:szCs w:val="24"/>
        </w:rPr>
        <w:t xml:space="preserve"> </w:t>
      </w:r>
      <w:r w:rsidRPr="00512F9B">
        <w:rPr>
          <w:rStyle w:val="markedcontent"/>
          <w:rFonts w:ascii="Times New Roman" w:hAnsi="Times New Roman"/>
          <w:sz w:val="24"/>
          <w:szCs w:val="24"/>
        </w:rPr>
        <w:t>police officer authority to search and detain for a reasonable</w:t>
      </w:r>
      <w:r>
        <w:rPr>
          <w:rStyle w:val="markedcontent"/>
          <w:rFonts w:ascii="Times New Roman" w:hAnsi="Times New Roman"/>
          <w:sz w:val="24"/>
          <w:szCs w:val="24"/>
        </w:rPr>
        <w:t xml:space="preserve"> </w:t>
      </w:r>
      <w:r w:rsidRPr="00512F9B">
        <w:rPr>
          <w:rStyle w:val="markedcontent"/>
          <w:rFonts w:ascii="Times New Roman" w:hAnsi="Times New Roman"/>
          <w:sz w:val="24"/>
          <w:szCs w:val="24"/>
        </w:rPr>
        <w:t>time any person he or she believes may commit or has committed a crime would make it difficult for tribes to protect</w:t>
      </w:r>
      <w:r>
        <w:rPr>
          <w:rStyle w:val="markedcontent"/>
          <w:rFonts w:ascii="Times New Roman" w:hAnsi="Times New Roman"/>
          <w:sz w:val="24"/>
          <w:szCs w:val="24"/>
        </w:rPr>
        <w:t xml:space="preserve"> </w:t>
      </w:r>
      <w:r w:rsidRPr="00512F9B">
        <w:rPr>
          <w:rStyle w:val="markedcontent"/>
          <w:rFonts w:ascii="Times New Roman" w:hAnsi="Times New Roman"/>
          <w:sz w:val="24"/>
          <w:szCs w:val="24"/>
        </w:rPr>
        <w:t>themselves against ongoing threats. Such threats may be posed by, for instance, non-Indian drunk drivers, transporters of contraband, or other criminal offenders operating on</w:t>
      </w:r>
      <w:r>
        <w:rPr>
          <w:rStyle w:val="markedcontent"/>
          <w:rFonts w:ascii="Times New Roman" w:hAnsi="Times New Roman"/>
          <w:sz w:val="24"/>
          <w:szCs w:val="24"/>
        </w:rPr>
        <w:t xml:space="preserve"> </w:t>
      </w:r>
      <w:r w:rsidRPr="00512F9B">
        <w:rPr>
          <w:rStyle w:val="markedcontent"/>
          <w:rFonts w:ascii="Times New Roman" w:hAnsi="Times New Roman"/>
          <w:sz w:val="24"/>
          <w:szCs w:val="24"/>
        </w:rPr>
        <w:t xml:space="preserve">roads within the boundaries of a tribal reservation. As the Washington Supreme Court has noted, </w:t>
      </w:r>
      <w:r>
        <w:rPr>
          <w:rStyle w:val="markedcontent"/>
          <w:rFonts w:ascii="Times New Roman" w:hAnsi="Times New Roman"/>
          <w:sz w:val="24"/>
          <w:szCs w:val="24"/>
        </w:rPr>
        <w:t>‘</w:t>
      </w:r>
      <w:r w:rsidRPr="00512F9B">
        <w:rPr>
          <w:rStyle w:val="markedcontent"/>
          <w:rFonts w:ascii="Times New Roman" w:hAnsi="Times New Roman"/>
          <w:sz w:val="24"/>
          <w:szCs w:val="24"/>
        </w:rPr>
        <w:t>[a]</w:t>
      </w:r>
      <w:proofErr w:type="spellStart"/>
      <w:r w:rsidRPr="00512F9B">
        <w:rPr>
          <w:rStyle w:val="markedcontent"/>
          <w:rFonts w:ascii="Times New Roman" w:hAnsi="Times New Roman"/>
          <w:sz w:val="24"/>
          <w:szCs w:val="24"/>
        </w:rPr>
        <w:t>llowing</w:t>
      </w:r>
      <w:proofErr w:type="spellEnd"/>
      <w:r w:rsidRPr="00512F9B">
        <w:rPr>
          <w:rStyle w:val="markedcontent"/>
          <w:rFonts w:ascii="Times New Roman" w:hAnsi="Times New Roman"/>
          <w:sz w:val="24"/>
          <w:szCs w:val="24"/>
        </w:rPr>
        <w:t xml:space="preserve"> a known</w:t>
      </w:r>
      <w:r>
        <w:rPr>
          <w:rStyle w:val="markedcontent"/>
          <w:rFonts w:ascii="Times New Roman" w:hAnsi="Times New Roman"/>
          <w:sz w:val="24"/>
          <w:szCs w:val="24"/>
        </w:rPr>
        <w:t xml:space="preserve"> </w:t>
      </w:r>
      <w:r w:rsidRPr="00512F9B">
        <w:rPr>
          <w:rStyle w:val="markedcontent"/>
          <w:rFonts w:ascii="Times New Roman" w:hAnsi="Times New Roman"/>
          <w:sz w:val="24"/>
          <w:szCs w:val="24"/>
        </w:rPr>
        <w:t>drunk driver to get back in his or her car, careen off down</w:t>
      </w:r>
      <w:r>
        <w:rPr>
          <w:rStyle w:val="markedcontent"/>
          <w:rFonts w:ascii="Times New Roman" w:hAnsi="Times New Roman"/>
          <w:sz w:val="24"/>
          <w:szCs w:val="24"/>
        </w:rPr>
        <w:t xml:space="preserve"> </w:t>
      </w:r>
      <w:r w:rsidRPr="00512F9B">
        <w:rPr>
          <w:rStyle w:val="markedcontent"/>
          <w:rFonts w:ascii="Times New Roman" w:hAnsi="Times New Roman"/>
          <w:sz w:val="24"/>
          <w:szCs w:val="24"/>
        </w:rPr>
        <w:t>the road, and possibly kill or injure Indians or non-Indians</w:t>
      </w:r>
      <w:r>
        <w:rPr>
          <w:rStyle w:val="markedcontent"/>
          <w:rFonts w:ascii="Times New Roman" w:hAnsi="Times New Roman"/>
          <w:sz w:val="24"/>
          <w:szCs w:val="24"/>
        </w:rPr>
        <w:t xml:space="preserve"> </w:t>
      </w:r>
      <w:r w:rsidRPr="00512F9B">
        <w:rPr>
          <w:rStyle w:val="markedcontent"/>
          <w:rFonts w:ascii="Times New Roman" w:hAnsi="Times New Roman"/>
          <w:sz w:val="24"/>
          <w:szCs w:val="24"/>
        </w:rPr>
        <w:t xml:space="preserve">would certainly be detrimental to the health or welfare of </w:t>
      </w:r>
      <w:r>
        <w:rPr>
          <w:rStyle w:val="markedcontent"/>
          <w:rFonts w:ascii="Times New Roman" w:hAnsi="Times New Roman"/>
          <w:sz w:val="24"/>
          <w:szCs w:val="24"/>
        </w:rPr>
        <w:t xml:space="preserve"> </w:t>
      </w:r>
      <w:r w:rsidRPr="00512F9B">
        <w:rPr>
          <w:rStyle w:val="markedcontent"/>
          <w:rFonts w:ascii="Times New Roman" w:hAnsi="Times New Roman"/>
          <w:sz w:val="24"/>
          <w:szCs w:val="24"/>
        </w:rPr>
        <w:t xml:space="preserve">the </w:t>
      </w:r>
      <w:proofErr w:type="spellStart"/>
      <w:r w:rsidRPr="00512F9B">
        <w:rPr>
          <w:rStyle w:val="markedcontent"/>
          <w:rFonts w:ascii="Times New Roman" w:hAnsi="Times New Roman"/>
          <w:sz w:val="24"/>
          <w:szCs w:val="24"/>
        </w:rPr>
        <w:t>Tribe.”</w:t>
      </w:r>
      <w:r>
        <w:rPr>
          <w:rStyle w:val="markedcontent"/>
          <w:rFonts w:ascii="Times New Roman" w:hAnsi="Times New Roman"/>
          <w:sz w:val="24"/>
          <w:szCs w:val="24"/>
        </w:rPr>
        <w:t>’</w:t>
      </w:r>
      <w:r w:rsidRPr="00512F9B">
        <w:rPr>
          <w:rStyle w:val="markedcontent"/>
          <w:rFonts w:ascii="Times New Roman" w:hAnsi="Times New Roman"/>
          <w:sz w:val="24"/>
          <w:szCs w:val="24"/>
        </w:rPr>
        <w:t>State</w:t>
      </w:r>
      <w:proofErr w:type="spellEnd"/>
      <w:r w:rsidRPr="00512F9B">
        <w:rPr>
          <w:rStyle w:val="markedcontent"/>
          <w:rFonts w:ascii="Times New Roman" w:hAnsi="Times New Roman"/>
          <w:sz w:val="24"/>
          <w:szCs w:val="24"/>
        </w:rPr>
        <w:t xml:space="preserve"> v. Schmuck, 121 Wash. 2d 373, 391, 850 P. 2d 1332, 1341, cert. denied, 510 U. S. 931 (1993).</w:t>
      </w:r>
    </w:p>
    <w:p w14:paraId="733D9A6B" w14:textId="77777777" w:rsidR="00382F02" w:rsidRDefault="00382F02" w:rsidP="00382F02">
      <w:pPr>
        <w:ind w:left="720"/>
        <w:rPr>
          <w:rStyle w:val="markedcontent"/>
          <w:rFonts w:ascii="Times New Roman" w:hAnsi="Times New Roman"/>
          <w:sz w:val="24"/>
          <w:szCs w:val="24"/>
        </w:rPr>
      </w:pPr>
      <w:r>
        <w:rPr>
          <w:rStyle w:val="markedcontent"/>
          <w:rFonts w:ascii="Times New Roman" w:hAnsi="Times New Roman"/>
          <w:sz w:val="24"/>
          <w:szCs w:val="24"/>
        </w:rPr>
        <w:t>***</w:t>
      </w:r>
    </w:p>
    <w:p w14:paraId="1D59FB60" w14:textId="77777777" w:rsidR="00382F02" w:rsidRDefault="00382F02" w:rsidP="00382F02">
      <w:pPr>
        <w:ind w:left="720"/>
        <w:rPr>
          <w:rStyle w:val="markedcontent"/>
          <w:rFonts w:ascii="Times New Roman" w:hAnsi="Times New Roman"/>
          <w:sz w:val="24"/>
          <w:szCs w:val="24"/>
        </w:rPr>
      </w:pPr>
      <w:r w:rsidRPr="00512F9B">
        <w:rPr>
          <w:rStyle w:val="markedcontent"/>
          <w:rFonts w:ascii="Times New Roman" w:hAnsi="Times New Roman"/>
          <w:sz w:val="24"/>
          <w:szCs w:val="24"/>
        </w:rPr>
        <w:t>Finally, we have doubts about the workability of the</w:t>
      </w:r>
      <w:r>
        <w:rPr>
          <w:rStyle w:val="markedcontent"/>
          <w:rFonts w:ascii="Times New Roman" w:hAnsi="Times New Roman"/>
          <w:sz w:val="24"/>
          <w:szCs w:val="24"/>
        </w:rPr>
        <w:t xml:space="preserve"> </w:t>
      </w:r>
      <w:r w:rsidRPr="00512F9B">
        <w:rPr>
          <w:rStyle w:val="markedcontent"/>
          <w:rFonts w:ascii="Times New Roman" w:hAnsi="Times New Roman"/>
          <w:sz w:val="24"/>
          <w:szCs w:val="24"/>
        </w:rPr>
        <w:t>standards that the Ninth Circuit set out. Those standards require tribal officers first to determine whether a suspect</w:t>
      </w:r>
      <w:r>
        <w:rPr>
          <w:rStyle w:val="markedcontent"/>
          <w:rFonts w:ascii="Times New Roman" w:hAnsi="Times New Roman"/>
          <w:sz w:val="24"/>
          <w:szCs w:val="24"/>
        </w:rPr>
        <w:t xml:space="preserve"> </w:t>
      </w:r>
      <w:r w:rsidRPr="00512F9B">
        <w:rPr>
          <w:rStyle w:val="markedcontent"/>
          <w:rFonts w:ascii="Times New Roman" w:hAnsi="Times New Roman"/>
          <w:sz w:val="24"/>
          <w:szCs w:val="24"/>
        </w:rPr>
        <w:t xml:space="preserve">is non-Indian and, if so, allow temporary detention only if the violation of law is </w:t>
      </w:r>
      <w:r>
        <w:rPr>
          <w:rStyle w:val="markedcontent"/>
          <w:rFonts w:ascii="Times New Roman" w:hAnsi="Times New Roman"/>
          <w:sz w:val="24"/>
          <w:szCs w:val="24"/>
        </w:rPr>
        <w:t>‘</w:t>
      </w:r>
      <w:r w:rsidRPr="00512F9B">
        <w:rPr>
          <w:rStyle w:val="markedcontent"/>
          <w:rFonts w:ascii="Times New Roman" w:hAnsi="Times New Roman"/>
          <w:sz w:val="24"/>
          <w:szCs w:val="24"/>
        </w:rPr>
        <w:t>apparent.</w:t>
      </w:r>
      <w:r>
        <w:rPr>
          <w:rStyle w:val="markedcontent"/>
          <w:rFonts w:ascii="Times New Roman" w:hAnsi="Times New Roman"/>
          <w:sz w:val="24"/>
          <w:szCs w:val="24"/>
        </w:rPr>
        <w:t>’</w:t>
      </w:r>
      <w:r w:rsidRPr="00512F9B">
        <w:rPr>
          <w:rStyle w:val="markedcontent"/>
          <w:rFonts w:ascii="Times New Roman" w:hAnsi="Times New Roman"/>
          <w:sz w:val="24"/>
          <w:szCs w:val="24"/>
        </w:rPr>
        <w:t xml:space="preserve"> 919 F. 3d, at 1142. The first requirement, even if limited to asking a single question, would produce an incentive to lie. The second requirement—that the violation of law be </w:t>
      </w:r>
      <w:r>
        <w:rPr>
          <w:rStyle w:val="markedcontent"/>
          <w:rFonts w:ascii="Times New Roman" w:hAnsi="Times New Roman"/>
          <w:sz w:val="24"/>
          <w:szCs w:val="24"/>
        </w:rPr>
        <w:t>‘</w:t>
      </w:r>
      <w:r w:rsidRPr="00512F9B">
        <w:rPr>
          <w:rStyle w:val="markedcontent"/>
          <w:rFonts w:ascii="Times New Roman" w:hAnsi="Times New Roman"/>
          <w:sz w:val="24"/>
          <w:szCs w:val="24"/>
        </w:rPr>
        <w:t>apparent</w:t>
      </w:r>
      <w:r>
        <w:rPr>
          <w:rStyle w:val="markedcontent"/>
          <w:rFonts w:ascii="Times New Roman" w:hAnsi="Times New Roman"/>
          <w:sz w:val="24"/>
          <w:szCs w:val="24"/>
        </w:rPr>
        <w:t>’</w:t>
      </w:r>
      <w:r w:rsidRPr="00512F9B">
        <w:rPr>
          <w:rStyle w:val="markedcontent"/>
          <w:rFonts w:ascii="Times New Roman" w:hAnsi="Times New Roman"/>
          <w:sz w:val="24"/>
          <w:szCs w:val="24"/>
        </w:rPr>
        <w:t>—introduces</w:t>
      </w:r>
      <w:r>
        <w:rPr>
          <w:rStyle w:val="markedcontent"/>
          <w:rFonts w:ascii="Times New Roman" w:hAnsi="Times New Roman"/>
          <w:sz w:val="24"/>
          <w:szCs w:val="24"/>
        </w:rPr>
        <w:t xml:space="preserve"> </w:t>
      </w:r>
      <w:r w:rsidRPr="00512F9B">
        <w:rPr>
          <w:rStyle w:val="markedcontent"/>
          <w:rFonts w:ascii="Times New Roman" w:hAnsi="Times New Roman"/>
          <w:sz w:val="24"/>
          <w:szCs w:val="24"/>
        </w:rPr>
        <w:t>a new standard into search and seizure law.</w:t>
      </w:r>
      <w:r>
        <w:rPr>
          <w:rStyle w:val="markedcontent"/>
          <w:rFonts w:ascii="Times New Roman" w:hAnsi="Times New Roman"/>
          <w:sz w:val="24"/>
          <w:szCs w:val="24"/>
        </w:rPr>
        <w:t xml:space="preserve"> </w:t>
      </w:r>
      <w:r w:rsidRPr="005E6136">
        <w:rPr>
          <w:rStyle w:val="markedcontent"/>
          <w:rFonts w:ascii="Times New Roman" w:hAnsi="Times New Roman"/>
          <w:sz w:val="24"/>
          <w:szCs w:val="24"/>
        </w:rPr>
        <w:t>Whether, or how, that standard would be met is not obvious.</w:t>
      </w:r>
      <w:r>
        <w:rPr>
          <w:rStyle w:val="markedcontent"/>
          <w:rFonts w:ascii="Times New Roman" w:hAnsi="Times New Roman"/>
          <w:sz w:val="24"/>
          <w:szCs w:val="24"/>
        </w:rPr>
        <w:t xml:space="preserve">” </w:t>
      </w:r>
      <w:hyperlink r:id="rId264" w:history="1">
        <w:r w:rsidRPr="00843DBD">
          <w:rPr>
            <w:rStyle w:val="Hyperlink"/>
            <w:sz w:val="24"/>
            <w:szCs w:val="24"/>
          </w:rPr>
          <w:t>https://www.supremecourt.gov/opinions/20pdf/19-1414_8m58.pdf</w:t>
        </w:r>
      </w:hyperlink>
      <w:r>
        <w:rPr>
          <w:rStyle w:val="markedcontent"/>
          <w:rFonts w:ascii="Times New Roman" w:hAnsi="Times New Roman"/>
          <w:sz w:val="24"/>
          <w:szCs w:val="24"/>
        </w:rPr>
        <w:t xml:space="preserve"> </w:t>
      </w:r>
    </w:p>
    <w:p w14:paraId="49633F0D" w14:textId="77777777" w:rsidR="00382F02" w:rsidRPr="001B07D0" w:rsidRDefault="00382F02" w:rsidP="00382F02">
      <w:pPr>
        <w:pStyle w:val="NoSpacing"/>
        <w:rPr>
          <w:rStyle w:val="markedcontent"/>
          <w:rFonts w:ascii="Times New Roman" w:hAnsi="Times New Roman"/>
          <w:b/>
          <w:bCs/>
          <w:sz w:val="24"/>
          <w:szCs w:val="24"/>
        </w:rPr>
      </w:pPr>
      <w:r w:rsidRPr="001B07D0">
        <w:rPr>
          <w:rStyle w:val="markedcontent"/>
          <w:rFonts w:ascii="Times New Roman" w:hAnsi="Times New Roman"/>
          <w:b/>
          <w:bCs/>
          <w:sz w:val="24"/>
          <w:szCs w:val="24"/>
        </w:rPr>
        <w:t>Legal Lesson Learned:</w:t>
      </w:r>
      <w:r>
        <w:rPr>
          <w:rStyle w:val="markedcontent"/>
          <w:rFonts w:ascii="Times New Roman" w:hAnsi="Times New Roman"/>
          <w:b/>
          <w:bCs/>
          <w:sz w:val="24"/>
          <w:szCs w:val="24"/>
        </w:rPr>
        <w:t xml:space="preserve"> Very helpful to have a unanimous opinion upholding a search and focused on the safety of the officer and the community he protects. </w:t>
      </w:r>
    </w:p>
    <w:p w14:paraId="66A7C0E1" w14:textId="77777777" w:rsidR="00382F02" w:rsidRDefault="00382F02" w:rsidP="002B1283">
      <w:pPr>
        <w:rPr>
          <w:rFonts w:ascii="Arial Black" w:hAnsi="Arial Black"/>
          <w:b/>
          <w:sz w:val="24"/>
          <w:szCs w:val="24"/>
        </w:rPr>
      </w:pPr>
    </w:p>
    <w:p w14:paraId="472A5B54" w14:textId="77777777" w:rsidR="00A82898" w:rsidRDefault="00A82898" w:rsidP="002B1283">
      <w:pPr>
        <w:rPr>
          <w:rFonts w:ascii="Arial Black" w:hAnsi="Arial Black"/>
          <w:b/>
          <w:sz w:val="24"/>
          <w:szCs w:val="24"/>
        </w:rPr>
      </w:pPr>
    </w:p>
    <w:p w14:paraId="4DD4B24A" w14:textId="6F05A8D1" w:rsidR="0077274E" w:rsidRDefault="0077274E" w:rsidP="002B1283">
      <w:pPr>
        <w:rPr>
          <w:rFonts w:ascii="Arial Black" w:hAnsi="Arial Black"/>
          <w:b/>
          <w:sz w:val="24"/>
          <w:szCs w:val="24"/>
        </w:rPr>
      </w:pPr>
      <w:r>
        <w:rPr>
          <w:rFonts w:ascii="Arial Black" w:hAnsi="Arial Black"/>
          <w:b/>
          <w:sz w:val="24"/>
          <w:szCs w:val="24"/>
        </w:rPr>
        <w:t>1-78</w:t>
      </w:r>
    </w:p>
    <w:p w14:paraId="22CE8643" w14:textId="77777777" w:rsidR="0077274E" w:rsidRPr="0069099B" w:rsidRDefault="0077274E" w:rsidP="0077274E">
      <w:pPr>
        <w:pStyle w:val="Heading1"/>
        <w:rPr>
          <w:rFonts w:ascii="Arial Black" w:hAnsi="Arial Black"/>
          <w:sz w:val="28"/>
          <w:szCs w:val="28"/>
        </w:rPr>
      </w:pPr>
      <w:r>
        <w:rPr>
          <w:rFonts w:ascii="Arial Black" w:hAnsi="Arial Black"/>
          <w:sz w:val="28"/>
          <w:szCs w:val="28"/>
        </w:rPr>
        <w:t>FL: FATAL MVA I-95 – PD SEIZED PHONE PERSON TAKING PHOTOS - $1,000 JURY VERDICT – IMMUNE FALSE ARREST</w:t>
      </w:r>
    </w:p>
    <w:p w14:paraId="68018703" w14:textId="77777777" w:rsidR="0077274E" w:rsidRPr="008C6D29" w:rsidRDefault="0077274E" w:rsidP="0077274E">
      <w:pPr>
        <w:pStyle w:val="NoSpacing"/>
        <w:rPr>
          <w:rFonts w:ascii="Times New Roman" w:hAnsi="Times New Roman"/>
          <w:sz w:val="24"/>
          <w:szCs w:val="24"/>
        </w:rPr>
      </w:pPr>
      <w:r>
        <w:rPr>
          <w:rFonts w:ascii="Times New Roman" w:hAnsi="Times New Roman"/>
          <w:sz w:val="24"/>
          <w:szCs w:val="24"/>
        </w:rPr>
        <w:t xml:space="preserve">On April 20, 2021 </w:t>
      </w:r>
      <w:r w:rsidRPr="0069099B">
        <w:rPr>
          <w:rFonts w:ascii="Times New Roman" w:hAnsi="Times New Roman"/>
          <w:sz w:val="24"/>
          <w:szCs w:val="24"/>
          <w:u w:val="single"/>
        </w:rPr>
        <w:t>in James P. Crocker v. Deputy Sheriff Steve E. Beatty, Martin County Sheriff’s Office, in his individual capacity</w:t>
      </w:r>
      <w:r>
        <w:rPr>
          <w:rFonts w:ascii="Times New Roman" w:hAnsi="Times New Roman"/>
          <w:sz w:val="24"/>
          <w:szCs w:val="24"/>
        </w:rPr>
        <w:t>, the U.S. Court of Appeals for the 11</w:t>
      </w:r>
      <w:r w:rsidRPr="0069099B">
        <w:rPr>
          <w:rFonts w:ascii="Times New Roman" w:hAnsi="Times New Roman"/>
          <w:sz w:val="24"/>
          <w:szCs w:val="24"/>
          <w:vertAlign w:val="superscript"/>
        </w:rPr>
        <w:t>th</w:t>
      </w:r>
      <w:r>
        <w:rPr>
          <w:rFonts w:ascii="Times New Roman" w:hAnsi="Times New Roman"/>
          <w:sz w:val="24"/>
          <w:szCs w:val="24"/>
        </w:rPr>
        <w:t xml:space="preserve"> Circuit (Atlanta, GA) held (2 to 1) that the police officer enjoys immunity from false arrest since he had parked his car on shoulder of I-95 (a “limited access” highway) and refused to leave the scene until his cell phone was returned.  The Court noted: “</w:t>
      </w:r>
      <w:r w:rsidRPr="008C6D29">
        <w:rPr>
          <w:rFonts w:ascii="Times New Roman" w:hAnsi="Times New Roman"/>
          <w:sz w:val="24"/>
          <w:szCs w:val="24"/>
        </w:rPr>
        <w:t>In his affidavit, Crocker</w:t>
      </w:r>
      <w:r>
        <w:rPr>
          <w:rFonts w:ascii="Times New Roman" w:hAnsi="Times New Roman"/>
          <w:sz w:val="24"/>
          <w:szCs w:val="24"/>
        </w:rPr>
        <w:t xml:space="preserve"> s</w:t>
      </w:r>
      <w:r w:rsidRPr="008C6D29">
        <w:rPr>
          <w:rFonts w:ascii="Times New Roman" w:hAnsi="Times New Roman"/>
          <w:sz w:val="24"/>
          <w:szCs w:val="24"/>
        </w:rPr>
        <w:t xml:space="preserve">aid that he stood in the median </w:t>
      </w:r>
      <w:r>
        <w:rPr>
          <w:rFonts w:ascii="Times New Roman" w:hAnsi="Times New Roman"/>
          <w:sz w:val="24"/>
          <w:szCs w:val="24"/>
        </w:rPr>
        <w:t>‘</w:t>
      </w:r>
      <w:r w:rsidRPr="008C6D29">
        <w:rPr>
          <w:rFonts w:ascii="Times New Roman" w:hAnsi="Times New Roman"/>
          <w:sz w:val="24"/>
          <w:szCs w:val="24"/>
        </w:rPr>
        <w:t>taking photographs and recording video . . . of the crashed vehicle, the first responders and the jaws of life.</w:t>
      </w:r>
      <w:r>
        <w:rPr>
          <w:rFonts w:ascii="Times New Roman" w:hAnsi="Times New Roman"/>
          <w:sz w:val="24"/>
          <w:szCs w:val="24"/>
        </w:rPr>
        <w:t>’</w:t>
      </w:r>
      <w:r w:rsidRPr="008C6D29">
        <w:rPr>
          <w:rFonts w:ascii="Times New Roman" w:hAnsi="Times New Roman"/>
          <w:sz w:val="24"/>
          <w:szCs w:val="24"/>
        </w:rPr>
        <w:t xml:space="preserve"> Asked in his deposition, </w:t>
      </w:r>
      <w:r>
        <w:rPr>
          <w:rFonts w:ascii="Times New Roman" w:hAnsi="Times New Roman"/>
          <w:sz w:val="24"/>
          <w:szCs w:val="24"/>
        </w:rPr>
        <w:t>‘</w:t>
      </w:r>
      <w:r w:rsidRPr="008C6D29">
        <w:rPr>
          <w:rFonts w:ascii="Times New Roman" w:hAnsi="Times New Roman"/>
          <w:sz w:val="24"/>
          <w:szCs w:val="24"/>
        </w:rPr>
        <w:t>What were you taking pictures of?</w:t>
      </w:r>
      <w:r>
        <w:rPr>
          <w:rFonts w:ascii="Times New Roman" w:hAnsi="Times New Roman"/>
          <w:sz w:val="24"/>
          <w:szCs w:val="24"/>
        </w:rPr>
        <w:t>’</w:t>
      </w:r>
      <w:r w:rsidRPr="008C6D29">
        <w:rPr>
          <w:rFonts w:ascii="Times New Roman" w:hAnsi="Times New Roman"/>
          <w:sz w:val="24"/>
          <w:szCs w:val="24"/>
        </w:rPr>
        <w:t xml:space="preserve"> Crocker replied, </w:t>
      </w:r>
      <w:r>
        <w:rPr>
          <w:rFonts w:ascii="Times New Roman" w:hAnsi="Times New Roman"/>
          <w:sz w:val="24"/>
          <w:szCs w:val="24"/>
        </w:rPr>
        <w:t>‘</w:t>
      </w:r>
      <w:r w:rsidRPr="008C6D29">
        <w:rPr>
          <w:rFonts w:ascii="Times New Roman" w:hAnsi="Times New Roman"/>
          <w:sz w:val="24"/>
          <w:szCs w:val="24"/>
        </w:rPr>
        <w:t>The overall scene, overturned vehicle, firemen.</w:t>
      </w:r>
      <w:r>
        <w:rPr>
          <w:rFonts w:ascii="Times New Roman" w:hAnsi="Times New Roman"/>
          <w:sz w:val="24"/>
          <w:szCs w:val="24"/>
        </w:rPr>
        <w:t xml:space="preserve">’ </w:t>
      </w:r>
      <w:r w:rsidRPr="008C6D29">
        <w:rPr>
          <w:rFonts w:ascii="Times New Roman" w:hAnsi="Times New Roman"/>
          <w:sz w:val="24"/>
          <w:szCs w:val="24"/>
        </w:rPr>
        <w:t xml:space="preserve">And when asked if he had </w:t>
      </w:r>
      <w:r>
        <w:rPr>
          <w:rFonts w:ascii="Times New Roman" w:hAnsi="Times New Roman"/>
          <w:sz w:val="24"/>
          <w:szCs w:val="24"/>
        </w:rPr>
        <w:t>‘</w:t>
      </w:r>
      <w:r w:rsidRPr="008C6D29">
        <w:rPr>
          <w:rFonts w:ascii="Times New Roman" w:hAnsi="Times New Roman"/>
          <w:sz w:val="24"/>
          <w:szCs w:val="24"/>
        </w:rPr>
        <w:t>a specific reason</w:t>
      </w:r>
      <w:r>
        <w:rPr>
          <w:rFonts w:ascii="Times New Roman" w:hAnsi="Times New Roman"/>
          <w:sz w:val="24"/>
          <w:szCs w:val="24"/>
        </w:rPr>
        <w:t>’</w:t>
      </w:r>
      <w:r w:rsidRPr="008C6D29">
        <w:rPr>
          <w:rFonts w:ascii="Times New Roman" w:hAnsi="Times New Roman"/>
          <w:sz w:val="24"/>
          <w:szCs w:val="24"/>
        </w:rPr>
        <w:t xml:space="preserve"> for taking pictures of the accident scene, Crocker said: </w:t>
      </w:r>
      <w:r>
        <w:rPr>
          <w:rFonts w:ascii="Times New Roman" w:hAnsi="Times New Roman"/>
          <w:sz w:val="24"/>
          <w:szCs w:val="24"/>
        </w:rPr>
        <w:t>‘</w:t>
      </w:r>
      <w:r w:rsidRPr="008C6D29">
        <w:rPr>
          <w:rFonts w:ascii="Times New Roman" w:hAnsi="Times New Roman"/>
          <w:sz w:val="24"/>
          <w:szCs w:val="24"/>
        </w:rPr>
        <w:t>I really didn’t have a clear and present agenda. I do remember seeing beer bottles laying there and I do remember photographing the beer bottles.</w:t>
      </w:r>
      <w:r>
        <w:rPr>
          <w:rFonts w:ascii="Times New Roman" w:hAnsi="Times New Roman"/>
          <w:sz w:val="24"/>
          <w:szCs w:val="24"/>
        </w:rPr>
        <w:t>’”</w:t>
      </w:r>
    </w:p>
    <w:p w14:paraId="1DA573A8" w14:textId="77777777" w:rsidR="0077274E" w:rsidRPr="008C6D29" w:rsidRDefault="0077274E" w:rsidP="0077274E">
      <w:pPr>
        <w:pStyle w:val="NoSpacing"/>
        <w:rPr>
          <w:rFonts w:ascii="Times New Roman" w:hAnsi="Times New Roman"/>
          <w:sz w:val="24"/>
          <w:szCs w:val="24"/>
        </w:rPr>
      </w:pPr>
    </w:p>
    <w:p w14:paraId="6F52A748" w14:textId="77777777" w:rsidR="0077274E" w:rsidRDefault="0077274E" w:rsidP="0077274E">
      <w:pPr>
        <w:pStyle w:val="NoSpacing"/>
        <w:ind w:left="720"/>
        <w:rPr>
          <w:rFonts w:ascii="Times New Roman" w:hAnsi="Times New Roman"/>
          <w:sz w:val="24"/>
          <w:szCs w:val="24"/>
        </w:rPr>
      </w:pPr>
      <w:r>
        <w:rPr>
          <w:rFonts w:ascii="Times New Roman" w:hAnsi="Times New Roman"/>
          <w:sz w:val="24"/>
          <w:szCs w:val="24"/>
        </w:rPr>
        <w:lastRenderedPageBreak/>
        <w:t xml:space="preserve">“[W]e </w:t>
      </w:r>
      <w:r w:rsidRPr="005C18FF">
        <w:rPr>
          <w:rFonts w:ascii="Times New Roman" w:hAnsi="Times New Roman"/>
          <w:sz w:val="24"/>
          <w:szCs w:val="24"/>
        </w:rPr>
        <w:t>hold (1) that Crocker’s First Amendment claim is barred by qualified immunity, (2) that his false-arrest claims fail because Beatty had probable cause to arrest him, and (3) that his excessive-force claim fails on the merits and, in any event, is barred by qualified immunity.</w:t>
      </w:r>
    </w:p>
    <w:p w14:paraId="50E85849" w14:textId="77777777" w:rsidR="0077274E" w:rsidRDefault="0077274E" w:rsidP="0077274E">
      <w:pPr>
        <w:pStyle w:val="NoSpacing"/>
        <w:ind w:left="720"/>
        <w:rPr>
          <w:rFonts w:ascii="Times New Roman" w:hAnsi="Times New Roman"/>
          <w:sz w:val="24"/>
          <w:szCs w:val="24"/>
        </w:rPr>
      </w:pPr>
    </w:p>
    <w:p w14:paraId="7C8FCE58" w14:textId="77777777" w:rsidR="0077274E" w:rsidRDefault="0077274E" w:rsidP="0077274E">
      <w:pPr>
        <w:pStyle w:val="NoSpacing"/>
        <w:ind w:left="720"/>
        <w:rPr>
          <w:rFonts w:ascii="Times New Roman" w:hAnsi="Times New Roman"/>
          <w:sz w:val="24"/>
          <w:szCs w:val="24"/>
        </w:rPr>
      </w:pPr>
      <w:r>
        <w:rPr>
          <w:rFonts w:ascii="Times New Roman" w:hAnsi="Times New Roman"/>
          <w:sz w:val="24"/>
          <w:szCs w:val="24"/>
        </w:rPr>
        <w:t>***</w:t>
      </w:r>
    </w:p>
    <w:p w14:paraId="33EC0067" w14:textId="77777777" w:rsidR="0077274E" w:rsidRDefault="0077274E" w:rsidP="0077274E">
      <w:pPr>
        <w:pStyle w:val="NoSpacing"/>
        <w:ind w:left="720"/>
        <w:rPr>
          <w:rFonts w:ascii="Times New Roman" w:hAnsi="Times New Roman"/>
          <w:sz w:val="24"/>
          <w:szCs w:val="24"/>
        </w:rPr>
      </w:pPr>
      <w:r w:rsidRPr="009771AF">
        <w:rPr>
          <w:rFonts w:ascii="Times New Roman" w:hAnsi="Times New Roman"/>
          <w:sz w:val="24"/>
          <w:szCs w:val="24"/>
        </w:rPr>
        <w:t>Because Crocker’s car was parked on the shoulder of I-95, a “limited access facility,” the district court held that Beatty had probable cause to arrest him. And although Crocker might initially have been covered by the Good Samaritan exception, the court held that he no longer qualified by the time he encountered Beatty, at which point he was standing 40–50 feet away from the crash scene and merely observing it. We agree with the district court that Officer Beatty had probable cause to arrest Crocker.</w:t>
      </w:r>
      <w:r>
        <w:rPr>
          <w:rFonts w:ascii="Times New Roman" w:hAnsi="Times New Roman"/>
          <w:sz w:val="24"/>
          <w:szCs w:val="24"/>
        </w:rPr>
        <w:t>”</w:t>
      </w:r>
    </w:p>
    <w:p w14:paraId="7FD841C3" w14:textId="77777777" w:rsidR="0077274E" w:rsidRDefault="0077274E" w:rsidP="0077274E">
      <w:pPr>
        <w:pStyle w:val="NoSpacing"/>
        <w:ind w:firstLine="720"/>
        <w:rPr>
          <w:rFonts w:ascii="Times New Roman" w:hAnsi="Times New Roman"/>
          <w:sz w:val="24"/>
          <w:szCs w:val="24"/>
        </w:rPr>
      </w:pPr>
      <w:hyperlink r:id="rId265" w:history="1">
        <w:r w:rsidRPr="00E10E69">
          <w:rPr>
            <w:rStyle w:val="Hyperlink"/>
            <w:sz w:val="24"/>
            <w:szCs w:val="24"/>
          </w:rPr>
          <w:t>https://media.ca11.uscourts.gov/opinions/pub/files/201814682.pdf</w:t>
        </w:r>
      </w:hyperlink>
      <w:r>
        <w:rPr>
          <w:rFonts w:ascii="Times New Roman" w:hAnsi="Times New Roman"/>
          <w:sz w:val="24"/>
          <w:szCs w:val="24"/>
        </w:rPr>
        <w:t xml:space="preserve"> </w:t>
      </w:r>
    </w:p>
    <w:p w14:paraId="2E919A05" w14:textId="6DF869D9" w:rsidR="0077274E" w:rsidRDefault="0077274E" w:rsidP="002B1283">
      <w:pPr>
        <w:rPr>
          <w:rFonts w:ascii="Arial Black" w:hAnsi="Arial Black"/>
          <w:b/>
          <w:sz w:val="24"/>
          <w:szCs w:val="24"/>
        </w:rPr>
      </w:pPr>
    </w:p>
    <w:p w14:paraId="4EEB03C7" w14:textId="77777777" w:rsidR="0077274E" w:rsidRDefault="0077274E" w:rsidP="0077274E">
      <w:pPr>
        <w:pStyle w:val="NoSpacing"/>
        <w:rPr>
          <w:rFonts w:ascii="Times New Roman" w:hAnsi="Times New Roman"/>
          <w:sz w:val="24"/>
          <w:szCs w:val="24"/>
        </w:rPr>
      </w:pPr>
      <w:r>
        <w:rPr>
          <w:rFonts w:ascii="Times New Roman" w:hAnsi="Times New Roman"/>
          <w:sz w:val="24"/>
          <w:szCs w:val="24"/>
        </w:rPr>
        <w:t>Note:  The officer is still liable, however, for jury verdict (Oct. 3, 2018) of $1000 compensatory damages for seizing the cell phone, which the 11</w:t>
      </w:r>
      <w:r w:rsidRPr="005C18FF">
        <w:rPr>
          <w:rFonts w:ascii="Times New Roman" w:hAnsi="Times New Roman"/>
          <w:sz w:val="24"/>
          <w:szCs w:val="24"/>
          <w:vertAlign w:val="superscript"/>
        </w:rPr>
        <w:t>th</w:t>
      </w:r>
      <w:r>
        <w:rPr>
          <w:rFonts w:ascii="Times New Roman" w:hAnsi="Times New Roman"/>
          <w:sz w:val="24"/>
          <w:szCs w:val="24"/>
        </w:rPr>
        <w:t xml:space="preserve"> Circuit in decision (April 2, 2018) held was a violation of 4</w:t>
      </w:r>
      <w:r w:rsidRPr="005C18FF">
        <w:rPr>
          <w:rFonts w:ascii="Times New Roman" w:hAnsi="Times New Roman"/>
          <w:sz w:val="24"/>
          <w:szCs w:val="24"/>
          <w:vertAlign w:val="superscript"/>
        </w:rPr>
        <w:t>th</w:t>
      </w:r>
      <w:r>
        <w:rPr>
          <w:rFonts w:ascii="Times New Roman" w:hAnsi="Times New Roman"/>
          <w:sz w:val="24"/>
          <w:szCs w:val="24"/>
        </w:rPr>
        <w:t xml:space="preserve"> Amendment.  </w:t>
      </w:r>
    </w:p>
    <w:p w14:paraId="28FCC621" w14:textId="77777777" w:rsidR="0077274E" w:rsidRDefault="0077274E" w:rsidP="0077274E">
      <w:pPr>
        <w:pStyle w:val="NoSpacing"/>
        <w:ind w:firstLine="720"/>
        <w:rPr>
          <w:rFonts w:ascii="Times New Roman" w:hAnsi="Times New Roman"/>
          <w:sz w:val="24"/>
          <w:szCs w:val="24"/>
        </w:rPr>
      </w:pPr>
    </w:p>
    <w:p w14:paraId="0449BBDB" w14:textId="77777777" w:rsidR="0077274E" w:rsidRPr="00A30885" w:rsidRDefault="0077274E" w:rsidP="0077274E">
      <w:pPr>
        <w:pStyle w:val="NoSpacing"/>
        <w:ind w:left="720" w:firstLine="60"/>
        <w:rPr>
          <w:rFonts w:ascii="Times New Roman" w:hAnsi="Times New Roman"/>
          <w:sz w:val="24"/>
          <w:szCs w:val="24"/>
        </w:rPr>
      </w:pPr>
      <w:r>
        <w:rPr>
          <w:rFonts w:ascii="Times New Roman" w:hAnsi="Times New Roman"/>
          <w:sz w:val="24"/>
          <w:szCs w:val="24"/>
        </w:rPr>
        <w:t>“</w:t>
      </w:r>
      <w:r w:rsidRPr="000C4BE8">
        <w:rPr>
          <w:rFonts w:ascii="Times New Roman" w:hAnsi="Times New Roman"/>
          <w:sz w:val="24"/>
          <w:szCs w:val="24"/>
        </w:rPr>
        <w:t xml:space="preserve">Crocker, however, </w:t>
      </w:r>
      <w:proofErr w:type="gramStart"/>
      <w:r w:rsidRPr="000C4BE8">
        <w:rPr>
          <w:rFonts w:ascii="Times New Roman" w:hAnsi="Times New Roman"/>
          <w:sz w:val="24"/>
          <w:szCs w:val="24"/>
        </w:rPr>
        <w:t>had no involvement</w:t>
      </w:r>
      <w:proofErr w:type="gramEnd"/>
      <w:r w:rsidRPr="000C4BE8">
        <w:rPr>
          <w:rFonts w:ascii="Times New Roman" w:hAnsi="Times New Roman"/>
          <w:sz w:val="24"/>
          <w:szCs w:val="24"/>
        </w:rPr>
        <w:t xml:space="preserve"> with the car accident that he had photographed. He was merely a curious passerby.</w:t>
      </w:r>
      <w:r>
        <w:rPr>
          <w:rFonts w:ascii="Times New Roman" w:hAnsi="Times New Roman"/>
          <w:sz w:val="24"/>
          <w:szCs w:val="24"/>
        </w:rPr>
        <w:t xml:space="preserve"> </w:t>
      </w:r>
      <w:r w:rsidRPr="00606988">
        <w:rPr>
          <w:rFonts w:ascii="Times New Roman" w:hAnsi="Times New Roman"/>
          <w:sz w:val="24"/>
          <w:szCs w:val="24"/>
        </w:rPr>
        <w:t xml:space="preserve">When Beatty approached Crocker and took his iPhone before speaking, there was no indication whatsoever that Crocker </w:t>
      </w:r>
      <w:proofErr w:type="gramStart"/>
      <w:r w:rsidRPr="00606988">
        <w:rPr>
          <w:rFonts w:ascii="Times New Roman" w:hAnsi="Times New Roman"/>
          <w:sz w:val="24"/>
          <w:szCs w:val="24"/>
        </w:rPr>
        <w:t>would have soon deleted</w:t>
      </w:r>
      <w:proofErr w:type="gramEnd"/>
      <w:r w:rsidRPr="00606988">
        <w:rPr>
          <w:rFonts w:ascii="Times New Roman" w:hAnsi="Times New Roman"/>
          <w:sz w:val="24"/>
          <w:szCs w:val="24"/>
        </w:rPr>
        <w:t xml:space="preserve"> the photographs and videos he had just taken the time to capture himself. We conclude that no reasonable law enforcement officer would have believed that the evidence on Crocker’s iPhone was at risk of imminent destruction at the time of the seizure</w:t>
      </w:r>
      <w:r>
        <w:rPr>
          <w:rFonts w:ascii="Times New Roman" w:hAnsi="Times New Roman"/>
          <w:sz w:val="24"/>
          <w:szCs w:val="24"/>
        </w:rPr>
        <w:t xml:space="preserve">…  </w:t>
      </w:r>
      <w:r w:rsidRPr="00606988">
        <w:rPr>
          <w:rFonts w:ascii="Times New Roman" w:hAnsi="Times New Roman"/>
          <w:sz w:val="24"/>
          <w:szCs w:val="24"/>
        </w:rPr>
        <w:t>Under these facts (viewed in the light most favorable to Crocker), we determine that Beatty violated Crocker’s Fourth Amendment rights when he seized the iPhone. We further determine that these rights were clearly established at the time of the seizure such that Beatty is not entitled to qualified immunity.</w:t>
      </w:r>
      <w:r>
        <w:rPr>
          <w:rFonts w:ascii="Times New Roman" w:hAnsi="Times New Roman"/>
          <w:sz w:val="24"/>
          <w:szCs w:val="24"/>
        </w:rPr>
        <w:t xml:space="preserve">” </w:t>
      </w:r>
      <w:hyperlink r:id="rId266" w:history="1">
        <w:r w:rsidRPr="00A30885">
          <w:rPr>
            <w:rStyle w:val="Hyperlink"/>
            <w:sz w:val="24"/>
            <w:szCs w:val="24"/>
          </w:rPr>
          <w:t>https://media.ca11.uscourts.gov/opinions/pub/files/201713526.pdf</w:t>
        </w:r>
      </w:hyperlink>
    </w:p>
    <w:p w14:paraId="6E019CD8" w14:textId="0C0D147D" w:rsidR="0077274E" w:rsidRDefault="0077274E" w:rsidP="002B1283">
      <w:pPr>
        <w:rPr>
          <w:rFonts w:ascii="Arial Black" w:hAnsi="Arial Black"/>
          <w:b/>
          <w:sz w:val="24"/>
          <w:szCs w:val="24"/>
        </w:rPr>
      </w:pPr>
    </w:p>
    <w:p w14:paraId="2BDF2A27" w14:textId="77777777" w:rsidR="0077274E" w:rsidRPr="00AE31BB" w:rsidRDefault="0077274E" w:rsidP="0077274E">
      <w:pPr>
        <w:pStyle w:val="NoSpacing"/>
        <w:rPr>
          <w:rFonts w:ascii="Times New Roman" w:hAnsi="Times New Roman"/>
          <w:b/>
          <w:bCs/>
          <w:sz w:val="24"/>
          <w:szCs w:val="24"/>
        </w:rPr>
      </w:pPr>
      <w:r w:rsidRPr="00AE31BB">
        <w:rPr>
          <w:rFonts w:ascii="Times New Roman" w:hAnsi="Times New Roman"/>
          <w:b/>
          <w:bCs/>
          <w:sz w:val="24"/>
          <w:szCs w:val="24"/>
        </w:rPr>
        <w:t>Legal Lesson Learned:</w:t>
      </w:r>
      <w:r>
        <w:rPr>
          <w:rFonts w:ascii="Times New Roman" w:hAnsi="Times New Roman"/>
          <w:b/>
          <w:bCs/>
          <w:sz w:val="24"/>
          <w:szCs w:val="24"/>
        </w:rPr>
        <w:t xml:space="preserve"> Seizing a by-standers cell phone is violation of 4</w:t>
      </w:r>
      <w:r w:rsidRPr="00AE31BB">
        <w:rPr>
          <w:rFonts w:ascii="Times New Roman" w:hAnsi="Times New Roman"/>
          <w:b/>
          <w:bCs/>
          <w:sz w:val="24"/>
          <w:szCs w:val="24"/>
          <w:vertAlign w:val="superscript"/>
        </w:rPr>
        <w:t>th</w:t>
      </w:r>
      <w:r>
        <w:rPr>
          <w:rFonts w:ascii="Times New Roman" w:hAnsi="Times New Roman"/>
          <w:b/>
          <w:bCs/>
          <w:sz w:val="24"/>
          <w:szCs w:val="24"/>
        </w:rPr>
        <w:t xml:space="preserve"> Amendment unless there is reasonable </w:t>
      </w:r>
      <w:proofErr w:type="gramStart"/>
      <w:r>
        <w:rPr>
          <w:rFonts w:ascii="Times New Roman" w:hAnsi="Times New Roman"/>
          <w:b/>
          <w:bCs/>
          <w:sz w:val="24"/>
          <w:szCs w:val="24"/>
        </w:rPr>
        <w:t>believe</w:t>
      </w:r>
      <w:proofErr w:type="gramEnd"/>
      <w:r>
        <w:rPr>
          <w:rFonts w:ascii="Times New Roman" w:hAnsi="Times New Roman"/>
          <w:b/>
          <w:bCs/>
          <w:sz w:val="24"/>
          <w:szCs w:val="24"/>
        </w:rPr>
        <w:t xml:space="preserve"> the cell phone photos or videos contain evidence of crime. </w:t>
      </w:r>
    </w:p>
    <w:p w14:paraId="2B60E985" w14:textId="77777777" w:rsidR="0077274E" w:rsidRPr="00A30885" w:rsidRDefault="0077274E" w:rsidP="0077274E">
      <w:pPr>
        <w:pStyle w:val="Heading1"/>
        <w:ind w:left="720"/>
        <w:rPr>
          <w:b w:val="0"/>
          <w:bCs w:val="0"/>
          <w:sz w:val="24"/>
          <w:szCs w:val="24"/>
        </w:rPr>
      </w:pPr>
      <w:r w:rsidRPr="00A30885">
        <w:rPr>
          <w:b w:val="0"/>
          <w:bCs w:val="0"/>
          <w:sz w:val="24"/>
          <w:szCs w:val="24"/>
        </w:rPr>
        <w:t>Note:  See 11th Circuit decision in Smith v. City of Cumming (May 30, 2020):</w:t>
      </w:r>
      <w:hyperlink r:id="rId267" w:history="1">
        <w:r w:rsidRPr="00A30885">
          <w:rPr>
            <w:rStyle w:val="Hyperlink"/>
            <w:sz w:val="24"/>
            <w:szCs w:val="24"/>
          </w:rPr>
          <w:t>https://casetext.com/case/smith-v-city-of-</w:t>
        </w:r>
        <w:proofErr w:type="spellStart"/>
        <w:r w:rsidRPr="00A30885">
          <w:rPr>
            <w:rStyle w:val="Hyperlink"/>
            <w:sz w:val="24"/>
            <w:szCs w:val="24"/>
          </w:rPr>
          <w:t>cumming</w:t>
        </w:r>
        <w:proofErr w:type="spellEnd"/>
      </w:hyperlink>
      <w:r w:rsidRPr="00A30885">
        <w:rPr>
          <w:b w:val="0"/>
          <w:bCs w:val="0"/>
          <w:sz w:val="24"/>
          <w:szCs w:val="24"/>
        </w:rPr>
        <w:t xml:space="preserve"> </w:t>
      </w:r>
    </w:p>
    <w:p w14:paraId="3FEB5481" w14:textId="77777777" w:rsidR="0077274E" w:rsidRPr="00D91F21" w:rsidRDefault="0077274E" w:rsidP="0077274E">
      <w:pPr>
        <w:pStyle w:val="NoSpacing"/>
        <w:ind w:left="720"/>
        <w:rPr>
          <w:rFonts w:ascii="Times New Roman" w:hAnsi="Times New Roman"/>
          <w:sz w:val="24"/>
          <w:szCs w:val="24"/>
        </w:rPr>
      </w:pPr>
      <w:r>
        <w:rPr>
          <w:rFonts w:ascii="Times New Roman" w:hAnsi="Times New Roman"/>
          <w:sz w:val="24"/>
          <w:szCs w:val="24"/>
        </w:rPr>
        <w:t>“</w:t>
      </w:r>
      <w:r w:rsidRPr="00D91F21">
        <w:rPr>
          <w:rFonts w:ascii="Times New Roman" w:hAnsi="Times New Roman"/>
          <w:sz w:val="24"/>
          <w:szCs w:val="24"/>
        </w:rPr>
        <w:t>As to the First Amendment claim under Section 1983, we agree with the Smiths that they had a First Amendment right, subject to reasonable time, manner and place restrictions, to photograph or videotape police conduct</w:t>
      </w:r>
      <w:r>
        <w:rPr>
          <w:rFonts w:ascii="Times New Roman" w:hAnsi="Times New Roman"/>
          <w:sz w:val="24"/>
          <w:szCs w:val="24"/>
        </w:rPr>
        <w:t xml:space="preserve">. </w:t>
      </w:r>
      <w:r w:rsidRPr="00D91F21">
        <w:rPr>
          <w:rFonts w:ascii="Times New Roman" w:hAnsi="Times New Roman"/>
          <w:sz w:val="24"/>
          <w:szCs w:val="24"/>
        </w:rPr>
        <w:t xml:space="preserve">The First Amendment protects the right to gather information about what public officials do on public property, and specifically, a right to record matters of public </w:t>
      </w:r>
      <w:proofErr w:type="gramStart"/>
      <w:r w:rsidRPr="00D91F21">
        <w:rPr>
          <w:rFonts w:ascii="Times New Roman" w:hAnsi="Times New Roman"/>
          <w:sz w:val="24"/>
          <w:szCs w:val="24"/>
        </w:rPr>
        <w:t>interest.</w:t>
      </w:r>
      <w:r>
        <w:rPr>
          <w:rFonts w:ascii="Times New Roman" w:hAnsi="Times New Roman"/>
          <w:sz w:val="24"/>
          <w:szCs w:val="24"/>
        </w:rPr>
        <w:t>”</w:t>
      </w:r>
      <w:proofErr w:type="gramEnd"/>
    </w:p>
    <w:p w14:paraId="4215B3C0" w14:textId="77777777" w:rsidR="0077274E" w:rsidRPr="00A30885" w:rsidRDefault="0077274E" w:rsidP="0077274E">
      <w:pPr>
        <w:pStyle w:val="Heading1"/>
        <w:ind w:left="720"/>
        <w:rPr>
          <w:b w:val="0"/>
          <w:bCs w:val="0"/>
          <w:sz w:val="24"/>
          <w:szCs w:val="24"/>
        </w:rPr>
      </w:pPr>
      <w:r w:rsidRPr="00A30885">
        <w:rPr>
          <w:b w:val="0"/>
          <w:bCs w:val="0"/>
          <w:sz w:val="24"/>
          <w:szCs w:val="24"/>
        </w:rPr>
        <w:t xml:space="preserve">See the Oct. 5, </w:t>
      </w:r>
      <w:proofErr w:type="gramStart"/>
      <w:r w:rsidRPr="00A30885">
        <w:rPr>
          <w:b w:val="0"/>
          <w:bCs w:val="0"/>
          <w:sz w:val="24"/>
          <w:szCs w:val="24"/>
        </w:rPr>
        <w:t>2018</w:t>
      </w:r>
      <w:proofErr w:type="gramEnd"/>
      <w:r w:rsidRPr="00A30885">
        <w:rPr>
          <w:b w:val="0"/>
          <w:bCs w:val="0"/>
          <w:sz w:val="24"/>
          <w:szCs w:val="24"/>
        </w:rPr>
        <w:t xml:space="preserve"> article, “Federal jury finds Martin sheriff's deputy made illegal seizure when taking crash bystander's phone.”</w:t>
      </w:r>
    </w:p>
    <w:p w14:paraId="559DB340" w14:textId="77777777" w:rsidR="0077274E" w:rsidRPr="0041276B" w:rsidRDefault="0077274E" w:rsidP="0077274E">
      <w:pPr>
        <w:ind w:left="720"/>
        <w:rPr>
          <w:rFonts w:ascii="Times New Roman" w:hAnsi="Times New Roman"/>
          <w:b/>
          <w:bCs/>
          <w:sz w:val="24"/>
          <w:szCs w:val="24"/>
        </w:rPr>
      </w:pPr>
      <w:r w:rsidRPr="00606988">
        <w:rPr>
          <w:rFonts w:ascii="Times New Roman" w:hAnsi="Times New Roman"/>
          <w:sz w:val="24"/>
          <w:szCs w:val="24"/>
        </w:rPr>
        <w:t xml:space="preserve">“The jury of six women and one man in U.S. District Court deliberated for only an hour Wednesday before deciding Deputy Steven Beatty, a 29-year veteran of the Martin County Sheriff’s Office, violated county resident James Crocker's civil rights when the deputy grabbed the traffic accident bystander's cellphone saying any photos taken are state’s evidence.”  </w:t>
      </w:r>
      <w:hyperlink r:id="rId268" w:history="1">
        <w:r w:rsidRPr="0041276B">
          <w:rPr>
            <w:rStyle w:val="Hyperlink"/>
            <w:rFonts w:ascii="Times New Roman" w:hAnsi="Times New Roman"/>
            <w:sz w:val="24"/>
            <w:szCs w:val="24"/>
          </w:rPr>
          <w:t>https://www.tcpalm.com/story/news/crime/st-lucie-county/2018/10/05/verdict-deputy-violated-martin-mans-civil-rights/1526605002/</w:t>
        </w:r>
      </w:hyperlink>
    </w:p>
    <w:p w14:paraId="6CD7BF9F" w14:textId="77777777" w:rsidR="0077274E" w:rsidRDefault="0077274E" w:rsidP="002B1283">
      <w:pPr>
        <w:rPr>
          <w:rFonts w:ascii="Arial Black" w:hAnsi="Arial Black"/>
          <w:b/>
          <w:sz w:val="24"/>
          <w:szCs w:val="24"/>
        </w:rPr>
      </w:pPr>
    </w:p>
    <w:p w14:paraId="71FB7BD7" w14:textId="77777777" w:rsidR="0077274E" w:rsidRDefault="0077274E" w:rsidP="002B1283">
      <w:pPr>
        <w:rPr>
          <w:rFonts w:ascii="Arial Black" w:hAnsi="Arial Black"/>
          <w:b/>
          <w:sz w:val="24"/>
          <w:szCs w:val="24"/>
        </w:rPr>
      </w:pPr>
    </w:p>
    <w:p w14:paraId="6B2D18B6" w14:textId="73C89B52" w:rsidR="000915C1" w:rsidRDefault="000915C1" w:rsidP="002B1283">
      <w:pPr>
        <w:rPr>
          <w:rFonts w:ascii="Arial Black" w:hAnsi="Arial Black"/>
          <w:b/>
          <w:sz w:val="24"/>
          <w:szCs w:val="24"/>
        </w:rPr>
      </w:pPr>
      <w:r>
        <w:rPr>
          <w:rFonts w:ascii="Arial Black" w:hAnsi="Arial Black"/>
          <w:b/>
          <w:sz w:val="24"/>
          <w:szCs w:val="24"/>
        </w:rPr>
        <w:t>1-7</w:t>
      </w:r>
      <w:r w:rsidR="000F483A">
        <w:rPr>
          <w:rFonts w:ascii="Arial Black" w:hAnsi="Arial Black"/>
          <w:b/>
          <w:sz w:val="24"/>
          <w:szCs w:val="24"/>
        </w:rPr>
        <w:t>7</w:t>
      </w:r>
    </w:p>
    <w:p w14:paraId="526953FD" w14:textId="77777777" w:rsidR="000915C1" w:rsidRPr="00B4563E" w:rsidRDefault="000915C1" w:rsidP="000915C1">
      <w:pPr>
        <w:pStyle w:val="NoSpacing"/>
        <w:rPr>
          <w:rFonts w:ascii="Arial Black" w:hAnsi="Arial Black"/>
          <w:sz w:val="28"/>
          <w:szCs w:val="28"/>
        </w:rPr>
      </w:pPr>
      <w:r>
        <w:rPr>
          <w:rFonts w:ascii="Arial Black" w:hAnsi="Arial Black"/>
          <w:sz w:val="28"/>
          <w:szCs w:val="28"/>
        </w:rPr>
        <w:t>U.S. SUP. CT: WOMAN FLEEING POLICE IN CAR – 13 SHOTS BY PD – PLED “NO CONTEST” ASSAULT – CAN ALSO SUE PD</w:t>
      </w:r>
    </w:p>
    <w:p w14:paraId="2DC7F58A" w14:textId="77777777" w:rsidR="000915C1" w:rsidRDefault="000915C1" w:rsidP="000915C1">
      <w:pPr>
        <w:pStyle w:val="NoSpacing"/>
      </w:pPr>
    </w:p>
    <w:p w14:paraId="6B2386CC" w14:textId="77777777" w:rsidR="000915C1" w:rsidRDefault="000915C1" w:rsidP="000915C1">
      <w:pPr>
        <w:pStyle w:val="NoSpacing"/>
        <w:rPr>
          <w:rFonts w:ascii="Times New Roman" w:hAnsi="Times New Roman"/>
          <w:sz w:val="24"/>
          <w:szCs w:val="24"/>
        </w:rPr>
      </w:pPr>
      <w:r w:rsidRPr="00B4563E">
        <w:rPr>
          <w:rFonts w:ascii="Times New Roman" w:hAnsi="Times New Roman"/>
          <w:sz w:val="24"/>
          <w:szCs w:val="24"/>
        </w:rPr>
        <w:t xml:space="preserve">On March 25, 2021, </w:t>
      </w:r>
      <w:r w:rsidRPr="00B4563E">
        <w:rPr>
          <w:rFonts w:ascii="Times New Roman" w:hAnsi="Times New Roman"/>
          <w:sz w:val="24"/>
          <w:szCs w:val="24"/>
          <w:u w:val="single"/>
        </w:rPr>
        <w:t>Roxanne Torres v. Janice Madrid, et al</w:t>
      </w:r>
      <w:r>
        <w:rPr>
          <w:rFonts w:ascii="Times New Roman" w:hAnsi="Times New Roman"/>
          <w:sz w:val="24"/>
          <w:szCs w:val="24"/>
        </w:rPr>
        <w:t>., the U.S. Supreme Court (5 to 3) held that a female who fled from police in vehicle, after being shot in her left arm, who later pled no contest in state court to “assault on a police officer,” “aggravated fleeing from an officer,” and unlawful taking of a motor vehicle,” may still proceed with her lawsuit against federal court against the police officers for violation of 4</w:t>
      </w:r>
      <w:r w:rsidRPr="00CD32CB">
        <w:rPr>
          <w:rFonts w:ascii="Times New Roman" w:hAnsi="Times New Roman"/>
          <w:sz w:val="24"/>
          <w:szCs w:val="24"/>
          <w:vertAlign w:val="superscript"/>
        </w:rPr>
        <w:t>th</w:t>
      </w:r>
      <w:r>
        <w:rPr>
          <w:rFonts w:ascii="Times New Roman" w:hAnsi="Times New Roman"/>
          <w:sz w:val="24"/>
          <w:szCs w:val="24"/>
        </w:rPr>
        <w:t xml:space="preserve"> Amendment protection against unreasonable seizures.   </w:t>
      </w:r>
    </w:p>
    <w:p w14:paraId="4CF72DE1" w14:textId="77777777" w:rsidR="000915C1" w:rsidRDefault="000915C1" w:rsidP="000915C1">
      <w:pPr>
        <w:pStyle w:val="NoSpacing"/>
        <w:rPr>
          <w:rFonts w:ascii="Times New Roman" w:hAnsi="Times New Roman"/>
          <w:sz w:val="24"/>
          <w:szCs w:val="24"/>
        </w:rPr>
      </w:pPr>
    </w:p>
    <w:p w14:paraId="20A3B86D" w14:textId="1DB4DBD3" w:rsidR="000915C1" w:rsidRPr="000915C1" w:rsidRDefault="000915C1" w:rsidP="000915C1">
      <w:pPr>
        <w:pStyle w:val="NoSpacing"/>
        <w:ind w:left="720"/>
        <w:rPr>
          <w:rFonts w:ascii="Times New Roman" w:hAnsi="Times New Roman"/>
          <w:sz w:val="24"/>
          <w:szCs w:val="24"/>
        </w:rPr>
      </w:pPr>
      <w:bookmarkStart w:id="11" w:name="_Hlk68349465"/>
      <w:r>
        <w:rPr>
          <w:rFonts w:ascii="Times New Roman" w:hAnsi="Times New Roman"/>
          <w:sz w:val="24"/>
          <w:szCs w:val="24"/>
        </w:rPr>
        <w:t>MAJORITY: “</w:t>
      </w:r>
      <w:r w:rsidRPr="00B4563E">
        <w:rPr>
          <w:rFonts w:ascii="Times New Roman" w:hAnsi="Times New Roman"/>
          <w:sz w:val="24"/>
          <w:szCs w:val="24"/>
        </w:rPr>
        <w:t>The question in this case is whether a seizure occurs when an officer shoots someone who temporarily eludes capture after the shooting. The answer is yes: The application of physical force to the body of a person with intent to restrain is a seizure, even if</w:t>
      </w:r>
      <w:r>
        <w:rPr>
          <w:rFonts w:ascii="Times New Roman" w:hAnsi="Times New Roman"/>
          <w:sz w:val="24"/>
          <w:szCs w:val="24"/>
        </w:rPr>
        <w:t xml:space="preserve"> </w:t>
      </w:r>
      <w:r w:rsidRPr="00B4563E">
        <w:rPr>
          <w:rFonts w:ascii="Times New Roman" w:hAnsi="Times New Roman"/>
          <w:sz w:val="24"/>
          <w:szCs w:val="24"/>
        </w:rPr>
        <w:t xml:space="preserve">the force </w:t>
      </w:r>
      <w:proofErr w:type="gramStart"/>
      <w:r w:rsidRPr="00B4563E">
        <w:rPr>
          <w:rFonts w:ascii="Times New Roman" w:hAnsi="Times New Roman"/>
          <w:sz w:val="24"/>
          <w:szCs w:val="24"/>
        </w:rPr>
        <w:t>does not succeed</w:t>
      </w:r>
      <w:proofErr w:type="gramEnd"/>
      <w:r w:rsidRPr="00B4563E">
        <w:rPr>
          <w:rFonts w:ascii="Times New Roman" w:hAnsi="Times New Roman"/>
          <w:sz w:val="24"/>
          <w:szCs w:val="24"/>
        </w:rPr>
        <w:t xml:space="preserve"> in subduing the </w:t>
      </w:r>
      <w:proofErr w:type="gramStart"/>
      <w:r w:rsidRPr="00B4563E">
        <w:rPr>
          <w:rFonts w:ascii="Times New Roman" w:hAnsi="Times New Roman"/>
          <w:sz w:val="24"/>
          <w:szCs w:val="24"/>
        </w:rPr>
        <w:t>person.</w:t>
      </w:r>
      <w:r>
        <w:rPr>
          <w:rFonts w:ascii="Times New Roman" w:hAnsi="Times New Roman"/>
          <w:sz w:val="24"/>
          <w:szCs w:val="24"/>
        </w:rPr>
        <w:t>”</w:t>
      </w:r>
      <w:proofErr w:type="gramEnd"/>
      <w:r>
        <w:rPr>
          <w:rFonts w:ascii="Times New Roman" w:hAnsi="Times New Roman"/>
          <w:sz w:val="24"/>
          <w:szCs w:val="24"/>
        </w:rPr>
        <w:t xml:space="preserve"> </w:t>
      </w:r>
      <w:hyperlink r:id="rId269" w:history="1">
        <w:r w:rsidRPr="000915C1">
          <w:rPr>
            <w:rStyle w:val="Hyperlink"/>
            <w:rFonts w:ascii="Times New Roman" w:hAnsi="Times New Roman"/>
            <w:sz w:val="24"/>
            <w:szCs w:val="24"/>
          </w:rPr>
          <w:t>https://www.supremecourt.gov/opinions/20pdf/19-292_21p3.pdf</w:t>
        </w:r>
      </w:hyperlink>
      <w:r w:rsidRPr="000915C1">
        <w:rPr>
          <w:rFonts w:ascii="Times New Roman" w:hAnsi="Times New Roman"/>
          <w:sz w:val="24"/>
          <w:szCs w:val="24"/>
        </w:rPr>
        <w:t xml:space="preserve"> </w:t>
      </w:r>
    </w:p>
    <w:p w14:paraId="627A3A74" w14:textId="77777777" w:rsidR="000915C1" w:rsidRDefault="000915C1" w:rsidP="000915C1">
      <w:pPr>
        <w:pStyle w:val="NoSpacing"/>
        <w:ind w:left="720"/>
        <w:rPr>
          <w:rFonts w:ascii="Times New Roman" w:hAnsi="Times New Roman"/>
          <w:sz w:val="24"/>
          <w:szCs w:val="24"/>
        </w:rPr>
      </w:pPr>
    </w:p>
    <w:p w14:paraId="0621552D" w14:textId="7BFD1A21" w:rsidR="000915C1" w:rsidRDefault="000915C1" w:rsidP="000915C1">
      <w:pPr>
        <w:pStyle w:val="NoSpacing"/>
        <w:ind w:left="720"/>
        <w:rPr>
          <w:rFonts w:ascii="Times New Roman" w:eastAsia="Times New Roman" w:hAnsi="Times New Roman"/>
          <w:b/>
          <w:bCs/>
          <w:sz w:val="24"/>
          <w:szCs w:val="24"/>
        </w:rPr>
      </w:pPr>
      <w:r w:rsidRPr="00D225BD">
        <w:rPr>
          <w:rFonts w:ascii="Times New Roman" w:hAnsi="Times New Roman"/>
          <w:sz w:val="24"/>
          <w:szCs w:val="24"/>
        </w:rPr>
        <w:t xml:space="preserve">DISSENT: “A fleeing suspect briefly touched by pursuing officers may have a claim. But a suspect who evades a hail of bullets unscathed, or one who endures a series of flash-bang grenades untouched, is out of luck. That distinction is no less </w:t>
      </w:r>
      <w:r>
        <w:rPr>
          <w:rFonts w:ascii="Times New Roman" w:hAnsi="Times New Roman"/>
          <w:sz w:val="24"/>
          <w:szCs w:val="24"/>
        </w:rPr>
        <w:t>‘</w:t>
      </w:r>
      <w:r w:rsidRPr="00D225BD">
        <w:rPr>
          <w:rFonts w:ascii="Times New Roman" w:hAnsi="Times New Roman"/>
          <w:sz w:val="24"/>
          <w:szCs w:val="24"/>
        </w:rPr>
        <w:t>artificial</w:t>
      </w:r>
      <w:r>
        <w:rPr>
          <w:rFonts w:ascii="Times New Roman" w:hAnsi="Times New Roman"/>
          <w:sz w:val="24"/>
          <w:szCs w:val="24"/>
        </w:rPr>
        <w:t>’</w:t>
      </w:r>
      <w:r w:rsidRPr="00D225BD">
        <w:rPr>
          <w:rFonts w:ascii="Times New Roman" w:hAnsi="Times New Roman"/>
          <w:sz w:val="24"/>
          <w:szCs w:val="24"/>
        </w:rPr>
        <w:t xml:space="preserve"> than the one the law has recognized for centuries. And the majority’s new rule promises such scarce relief that it can hardly claim more sensitivity to </w:t>
      </w:r>
      <w:r>
        <w:rPr>
          <w:rFonts w:ascii="Times New Roman" w:hAnsi="Times New Roman"/>
          <w:sz w:val="24"/>
          <w:szCs w:val="24"/>
        </w:rPr>
        <w:t>‘</w:t>
      </w:r>
      <w:r w:rsidRPr="00D225BD">
        <w:rPr>
          <w:rFonts w:ascii="Times New Roman" w:hAnsi="Times New Roman"/>
          <w:sz w:val="24"/>
          <w:szCs w:val="24"/>
        </w:rPr>
        <w:t>personal security</w:t>
      </w:r>
      <w:r>
        <w:rPr>
          <w:rFonts w:ascii="Times New Roman" w:hAnsi="Times New Roman"/>
          <w:sz w:val="24"/>
          <w:szCs w:val="24"/>
        </w:rPr>
        <w:t xml:space="preserve">’ </w:t>
      </w:r>
      <w:r w:rsidRPr="00D225BD">
        <w:rPr>
          <w:rFonts w:ascii="Times New Roman" w:hAnsi="Times New Roman"/>
          <w:sz w:val="24"/>
          <w:szCs w:val="24"/>
        </w:rPr>
        <w:t xml:space="preserve">than the rule the Constitution has long </w:t>
      </w:r>
      <w:proofErr w:type="gramStart"/>
      <w:r w:rsidRPr="00D225BD">
        <w:rPr>
          <w:rFonts w:ascii="Times New Roman" w:hAnsi="Times New Roman"/>
          <w:sz w:val="24"/>
          <w:szCs w:val="24"/>
        </w:rPr>
        <w:t>enshrined.</w:t>
      </w:r>
      <w:r>
        <w:rPr>
          <w:rFonts w:ascii="Times New Roman" w:eastAsia="Times New Roman" w:hAnsi="Times New Roman"/>
          <w:b/>
          <w:bCs/>
          <w:sz w:val="24"/>
          <w:szCs w:val="24"/>
        </w:rPr>
        <w:t>”</w:t>
      </w:r>
      <w:proofErr w:type="gramEnd"/>
      <w:r>
        <w:rPr>
          <w:rFonts w:ascii="Times New Roman" w:eastAsia="Times New Roman" w:hAnsi="Times New Roman"/>
          <w:b/>
          <w:bCs/>
          <w:sz w:val="24"/>
          <w:szCs w:val="24"/>
        </w:rPr>
        <w:t xml:space="preserve"> </w:t>
      </w:r>
    </w:p>
    <w:p w14:paraId="37E06D08" w14:textId="4EE56772" w:rsidR="000915C1" w:rsidRDefault="000915C1" w:rsidP="000915C1">
      <w:pPr>
        <w:pStyle w:val="NoSpacing"/>
        <w:ind w:left="1440"/>
        <w:rPr>
          <w:rFonts w:ascii="Times New Roman" w:hAnsi="Times New Roman"/>
          <w:sz w:val="24"/>
          <w:szCs w:val="24"/>
        </w:rPr>
      </w:pPr>
    </w:p>
    <w:p w14:paraId="309DB84F" w14:textId="77777777" w:rsidR="000915C1" w:rsidRPr="00CA7A75" w:rsidRDefault="000915C1" w:rsidP="000915C1">
      <w:pPr>
        <w:spacing w:before="100" w:beforeAutospacing="1" w:after="100" w:afterAutospacing="1" w:line="240" w:lineRule="auto"/>
        <w:rPr>
          <w:rFonts w:ascii="Times New Roman" w:hAnsi="Times New Roman"/>
          <w:b/>
          <w:bCs/>
          <w:sz w:val="24"/>
          <w:szCs w:val="24"/>
        </w:rPr>
      </w:pPr>
      <w:r w:rsidRPr="00CA7A75">
        <w:rPr>
          <w:rFonts w:ascii="Times New Roman" w:hAnsi="Times New Roman"/>
          <w:b/>
          <w:bCs/>
          <w:sz w:val="24"/>
          <w:szCs w:val="24"/>
        </w:rPr>
        <w:t>Legal Lesson Learned:</w:t>
      </w:r>
      <w:r>
        <w:rPr>
          <w:rFonts w:ascii="Times New Roman" w:hAnsi="Times New Roman"/>
          <w:b/>
          <w:bCs/>
          <w:sz w:val="24"/>
          <w:szCs w:val="24"/>
        </w:rPr>
        <w:t xml:space="preserve"> The Majority decision certainly </w:t>
      </w:r>
      <w:proofErr w:type="gramStart"/>
      <w:r>
        <w:rPr>
          <w:rFonts w:ascii="Times New Roman" w:hAnsi="Times New Roman"/>
          <w:b/>
          <w:bCs/>
          <w:sz w:val="24"/>
          <w:szCs w:val="24"/>
        </w:rPr>
        <w:t>opens up</w:t>
      </w:r>
      <w:proofErr w:type="gramEnd"/>
      <w:r>
        <w:rPr>
          <w:rFonts w:ascii="Times New Roman" w:hAnsi="Times New Roman"/>
          <w:b/>
          <w:bCs/>
          <w:sz w:val="24"/>
          <w:szCs w:val="24"/>
        </w:rPr>
        <w:t xml:space="preserve"> Federal courts to more lawsuits for alleged violation of Constitutional rights, including plaintiffs who have pled guilty or no contest to assaulting the police officers they are now suing. </w:t>
      </w:r>
    </w:p>
    <w:p w14:paraId="2DB47E80" w14:textId="77777777" w:rsidR="000915C1" w:rsidRDefault="000915C1" w:rsidP="000915C1">
      <w:pPr>
        <w:pStyle w:val="Heading1"/>
        <w:ind w:left="720"/>
        <w:rPr>
          <w:b w:val="0"/>
          <w:bCs w:val="0"/>
          <w:sz w:val="24"/>
          <w:szCs w:val="24"/>
        </w:rPr>
      </w:pPr>
      <w:r w:rsidRPr="00D406C0">
        <w:rPr>
          <w:b w:val="0"/>
          <w:bCs w:val="0"/>
          <w:sz w:val="24"/>
          <w:szCs w:val="24"/>
        </w:rPr>
        <w:t xml:space="preserve">Note: Case </w:t>
      </w:r>
      <w:proofErr w:type="gramStart"/>
      <w:r w:rsidRPr="00D406C0">
        <w:rPr>
          <w:b w:val="0"/>
          <w:bCs w:val="0"/>
          <w:sz w:val="24"/>
          <w:szCs w:val="24"/>
        </w:rPr>
        <w:t>made</w:t>
      </w:r>
      <w:proofErr w:type="gramEnd"/>
      <w:r w:rsidRPr="00D406C0">
        <w:rPr>
          <w:b w:val="0"/>
          <w:bCs w:val="0"/>
          <w:sz w:val="24"/>
          <w:szCs w:val="24"/>
        </w:rPr>
        <w:t xml:space="preserve"> national news</w:t>
      </w:r>
      <w:r>
        <w:rPr>
          <w:b w:val="0"/>
          <w:bCs w:val="0"/>
          <w:sz w:val="24"/>
          <w:szCs w:val="24"/>
        </w:rPr>
        <w:t>.</w:t>
      </w:r>
    </w:p>
    <w:p w14:paraId="0065B923" w14:textId="77777777" w:rsidR="000915C1" w:rsidRPr="00840EF8" w:rsidRDefault="000915C1" w:rsidP="000915C1">
      <w:pPr>
        <w:pStyle w:val="NoSpacing"/>
        <w:ind w:left="720"/>
        <w:rPr>
          <w:rFonts w:ascii="Times New Roman" w:hAnsi="Times New Roman"/>
          <w:sz w:val="24"/>
          <w:szCs w:val="24"/>
        </w:rPr>
      </w:pPr>
      <w:r w:rsidRPr="00840EF8">
        <w:rPr>
          <w:rFonts w:ascii="Times New Roman" w:hAnsi="Times New Roman"/>
          <w:sz w:val="24"/>
          <w:szCs w:val="24"/>
        </w:rPr>
        <w:t xml:space="preserve">“Supreme Court Dips Gingerly </w:t>
      </w:r>
      <w:proofErr w:type="gramStart"/>
      <w:r w:rsidRPr="00840EF8">
        <w:rPr>
          <w:rFonts w:ascii="Times New Roman" w:hAnsi="Times New Roman"/>
          <w:sz w:val="24"/>
          <w:szCs w:val="24"/>
        </w:rPr>
        <w:t>Into</w:t>
      </w:r>
      <w:proofErr w:type="gramEnd"/>
      <w:r w:rsidRPr="00840EF8">
        <w:rPr>
          <w:rFonts w:ascii="Times New Roman" w:hAnsi="Times New Roman"/>
          <w:sz w:val="24"/>
          <w:szCs w:val="24"/>
        </w:rPr>
        <w:t xml:space="preserve"> Roiling Police Misconduct Waters.” (March 25, 2021) </w:t>
      </w:r>
      <w:hyperlink r:id="rId270" w:history="1">
        <w:r w:rsidRPr="00840EF8">
          <w:rPr>
            <w:rStyle w:val="Hyperlink"/>
            <w:sz w:val="24"/>
            <w:szCs w:val="24"/>
          </w:rPr>
          <w:t>https://www.npr.org/2021/03/25/981297231/supreme-court-dips-gingerly-into-roiling-police-misconduct-waters</w:t>
        </w:r>
      </w:hyperlink>
      <w:r w:rsidRPr="00840EF8">
        <w:rPr>
          <w:rFonts w:ascii="Times New Roman" w:hAnsi="Times New Roman"/>
          <w:sz w:val="24"/>
          <w:szCs w:val="24"/>
        </w:rPr>
        <w:t xml:space="preserve"> </w:t>
      </w:r>
    </w:p>
    <w:p w14:paraId="597C35E0" w14:textId="77777777" w:rsidR="000915C1" w:rsidRDefault="000915C1" w:rsidP="000915C1">
      <w:pPr>
        <w:pStyle w:val="NoSpacing"/>
        <w:ind w:left="720"/>
      </w:pPr>
    </w:p>
    <w:p w14:paraId="0D2BBB21" w14:textId="77777777" w:rsidR="000915C1" w:rsidRPr="00D406C0" w:rsidRDefault="000915C1" w:rsidP="000915C1">
      <w:pPr>
        <w:pStyle w:val="NoSpacing"/>
        <w:ind w:left="720"/>
        <w:rPr>
          <w:rFonts w:ascii="Times New Roman" w:hAnsi="Times New Roman"/>
          <w:sz w:val="24"/>
          <w:szCs w:val="24"/>
        </w:rPr>
      </w:pPr>
      <w:r w:rsidRPr="00D406C0">
        <w:rPr>
          <w:rFonts w:ascii="Times New Roman" w:hAnsi="Times New Roman"/>
          <w:sz w:val="24"/>
          <w:szCs w:val="24"/>
        </w:rPr>
        <w:t xml:space="preserve">“'Nothing subtle about a bullet': Supreme Court says police 'seizure' includes shots fired at fleeing suspect.” </w:t>
      </w:r>
      <w:r>
        <w:rPr>
          <w:rFonts w:ascii="Times New Roman" w:hAnsi="Times New Roman"/>
          <w:sz w:val="24"/>
          <w:szCs w:val="24"/>
        </w:rPr>
        <w:t xml:space="preserve">(March 25, 2021) </w:t>
      </w:r>
      <w:hyperlink r:id="rId271" w:history="1">
        <w:r w:rsidRPr="00D60E44">
          <w:rPr>
            <w:rStyle w:val="Hyperlink"/>
            <w:sz w:val="24"/>
            <w:szCs w:val="24"/>
          </w:rPr>
          <w:t>https://www.usatoday.com/story/news/politics/2021/03/25/supreme-court-police-seizure-includes-shots-fired-fleeing-suspect/6995659002/</w:t>
        </w:r>
      </w:hyperlink>
      <w:r w:rsidRPr="00D406C0">
        <w:rPr>
          <w:rFonts w:ascii="Times New Roman" w:hAnsi="Times New Roman"/>
          <w:sz w:val="24"/>
          <w:szCs w:val="24"/>
        </w:rPr>
        <w:t xml:space="preserve"> </w:t>
      </w:r>
    </w:p>
    <w:p w14:paraId="61B6A04D" w14:textId="77777777" w:rsidR="000915C1" w:rsidRPr="00D406C0" w:rsidRDefault="000915C1" w:rsidP="000915C1">
      <w:pPr>
        <w:pStyle w:val="Heading1"/>
        <w:ind w:left="720"/>
        <w:rPr>
          <w:b w:val="0"/>
          <w:bCs w:val="0"/>
          <w:sz w:val="24"/>
          <w:szCs w:val="24"/>
        </w:rPr>
      </w:pPr>
      <w:r w:rsidRPr="00D406C0">
        <w:rPr>
          <w:b w:val="0"/>
          <w:bCs w:val="0"/>
          <w:sz w:val="24"/>
          <w:szCs w:val="24"/>
        </w:rPr>
        <w:t xml:space="preserve"> “Supreme Court sides with New Mexico woman shot by police while fleeing.” </w:t>
      </w:r>
      <w:r>
        <w:rPr>
          <w:b w:val="0"/>
          <w:bCs w:val="0"/>
          <w:sz w:val="24"/>
          <w:szCs w:val="24"/>
        </w:rPr>
        <w:t xml:space="preserve">(March 25, 2021) </w:t>
      </w:r>
      <w:hyperlink r:id="rId272" w:history="1">
        <w:r w:rsidRPr="00D60E44">
          <w:rPr>
            <w:rStyle w:val="Hyperlink"/>
            <w:sz w:val="24"/>
            <w:szCs w:val="24"/>
          </w:rPr>
          <w:t>https://ktla.com/news/nationworld/supreme-court-sides-with-new-mexico-woman-shot-by-police-while-fleeing/</w:t>
        </w:r>
      </w:hyperlink>
      <w:r w:rsidRPr="00D406C0">
        <w:rPr>
          <w:b w:val="0"/>
          <w:bCs w:val="0"/>
          <w:sz w:val="24"/>
          <w:szCs w:val="24"/>
        </w:rPr>
        <w:t xml:space="preserve"> </w:t>
      </w:r>
    </w:p>
    <w:p w14:paraId="51BE60B2" w14:textId="77777777" w:rsidR="000915C1" w:rsidRDefault="000915C1" w:rsidP="000915C1">
      <w:pPr>
        <w:pStyle w:val="NoSpacing"/>
        <w:ind w:left="1440"/>
        <w:rPr>
          <w:rFonts w:ascii="Times New Roman" w:hAnsi="Times New Roman"/>
          <w:sz w:val="24"/>
          <w:szCs w:val="24"/>
        </w:rPr>
      </w:pPr>
    </w:p>
    <w:bookmarkEnd w:id="11"/>
    <w:p w14:paraId="527114F4" w14:textId="77777777" w:rsidR="000915C1" w:rsidRDefault="000915C1" w:rsidP="002B1283">
      <w:pPr>
        <w:rPr>
          <w:rFonts w:ascii="Arial Black" w:hAnsi="Arial Black"/>
          <w:b/>
          <w:sz w:val="24"/>
          <w:szCs w:val="24"/>
        </w:rPr>
      </w:pPr>
    </w:p>
    <w:p w14:paraId="065E246C" w14:textId="4DC824D8" w:rsidR="000915C1" w:rsidRDefault="000915C1" w:rsidP="002B1283">
      <w:pPr>
        <w:rPr>
          <w:rFonts w:ascii="Arial Black" w:hAnsi="Arial Black"/>
          <w:b/>
          <w:sz w:val="24"/>
          <w:szCs w:val="24"/>
        </w:rPr>
      </w:pPr>
      <w:r>
        <w:rPr>
          <w:rFonts w:ascii="Arial Black" w:hAnsi="Arial Black"/>
          <w:b/>
          <w:sz w:val="24"/>
          <w:szCs w:val="24"/>
        </w:rPr>
        <w:t>1-7</w:t>
      </w:r>
      <w:r w:rsidR="000F483A">
        <w:rPr>
          <w:rFonts w:ascii="Arial Black" w:hAnsi="Arial Black"/>
          <w:b/>
          <w:sz w:val="24"/>
          <w:szCs w:val="24"/>
        </w:rPr>
        <w:t>6</w:t>
      </w:r>
    </w:p>
    <w:p w14:paraId="772298AE" w14:textId="77777777" w:rsidR="000915C1" w:rsidRPr="00AA0D4F" w:rsidRDefault="000915C1" w:rsidP="000915C1">
      <w:pPr>
        <w:spacing w:before="100" w:beforeAutospacing="1" w:after="100" w:afterAutospacing="1" w:line="240" w:lineRule="auto"/>
        <w:rPr>
          <w:rFonts w:ascii="Arial Black" w:eastAsia="Times New Roman" w:hAnsi="Arial Black"/>
          <w:sz w:val="28"/>
          <w:szCs w:val="28"/>
        </w:rPr>
      </w:pPr>
      <w:r>
        <w:rPr>
          <w:rFonts w:ascii="Arial Black" w:eastAsia="Times New Roman" w:hAnsi="Arial Black"/>
          <w:sz w:val="28"/>
          <w:szCs w:val="28"/>
        </w:rPr>
        <w:lastRenderedPageBreak/>
        <w:t xml:space="preserve">WI:  PROPERTY OWNER BURNING DEBRIS WITHOUT PERMIT - FOREST PROTECTION AREA – CITATION UPHELD </w:t>
      </w:r>
    </w:p>
    <w:p w14:paraId="05484C04" w14:textId="77777777" w:rsidR="000915C1" w:rsidRDefault="000915C1" w:rsidP="000915C1">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On March 4, 2021, in </w:t>
      </w:r>
      <w:r w:rsidRPr="00CE7812">
        <w:rPr>
          <w:rFonts w:ascii="Times New Roman" w:eastAsia="Times New Roman" w:hAnsi="Times New Roman"/>
          <w:sz w:val="24"/>
          <w:szCs w:val="24"/>
          <w:u w:val="single"/>
        </w:rPr>
        <w:t>State of Wisconsin v. Greg D. Griswold</w:t>
      </w:r>
      <w:r>
        <w:rPr>
          <w:rFonts w:ascii="Times New Roman" w:eastAsia="Times New Roman" w:hAnsi="Times New Roman"/>
          <w:sz w:val="24"/>
          <w:szCs w:val="24"/>
        </w:rPr>
        <w:t xml:space="preserve">, the State of Wisconsin Court of Appeals (District IV) held [one judge decision] that the trial court properly concluded the property owner did not show he was burning debris from his house, that had been destroyed by fire, for the purpose of warmth.  The Appeals judge agreed with the trial judge – he was burning wood at 8 pm on May 4 not to keep warm; he was simply avoiding cost of taking debris to the dump.  </w:t>
      </w:r>
    </w:p>
    <w:p w14:paraId="4198F238" w14:textId="77777777" w:rsidR="000915C1" w:rsidRDefault="000915C1" w:rsidP="000915C1">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w:t>
      </w:r>
      <w:r w:rsidRPr="00AA0D4F">
        <w:rPr>
          <w:rFonts w:ascii="Times New Roman" w:eastAsia="Times New Roman" w:hAnsi="Times New Roman"/>
          <w:sz w:val="24"/>
          <w:szCs w:val="24"/>
        </w:rPr>
        <w:t>Greg Griswold appeals pro se from a judgment of conviction of a civil forfeiture, which was entered after the circuit court found him</w:t>
      </w:r>
      <w:r>
        <w:rPr>
          <w:rFonts w:ascii="Times New Roman" w:eastAsia="Times New Roman" w:hAnsi="Times New Roman"/>
          <w:sz w:val="24"/>
          <w:szCs w:val="24"/>
        </w:rPr>
        <w:t xml:space="preserve"> </w:t>
      </w:r>
      <w:r w:rsidRPr="00AA0D4F">
        <w:rPr>
          <w:rFonts w:ascii="Times New Roman" w:eastAsia="Times New Roman" w:hAnsi="Times New Roman"/>
          <w:sz w:val="24"/>
          <w:szCs w:val="24"/>
        </w:rPr>
        <w:t>guilty of violating WIS. STAT. § 26.12(5)(b). That statute prohibits setting unpermitted fires in certain areas of the state, but it contains an exception for fires that are set "for warming the person." Griswold contends that his fire fits within this exception, but I conclude that the trial evidence is sufficient to sustain the court's finding that it did not. Accordingly, I affirm.</w:t>
      </w:r>
      <w:r>
        <w:rPr>
          <w:rFonts w:ascii="Times New Roman" w:eastAsia="Times New Roman" w:hAnsi="Times New Roman"/>
          <w:sz w:val="24"/>
          <w:szCs w:val="24"/>
        </w:rPr>
        <w:t xml:space="preserve">” </w:t>
      </w:r>
      <w:hyperlink r:id="rId273" w:history="1">
        <w:r w:rsidRPr="00B568EC">
          <w:rPr>
            <w:rStyle w:val="Hyperlink"/>
            <w:rFonts w:ascii="Times New Roman" w:eastAsia="Times New Roman" w:hAnsi="Times New Roman"/>
            <w:sz w:val="24"/>
            <w:szCs w:val="24"/>
          </w:rPr>
          <w:t>https://www.wicourts.gov/ca/opinion/DisplayDocument.pdf?content=pdf&amp;seqNo=342440</w:t>
        </w:r>
      </w:hyperlink>
      <w:r>
        <w:rPr>
          <w:rFonts w:ascii="Times New Roman" w:eastAsia="Times New Roman" w:hAnsi="Times New Roman"/>
          <w:sz w:val="24"/>
          <w:szCs w:val="24"/>
        </w:rPr>
        <w:t xml:space="preserve"> </w:t>
      </w:r>
    </w:p>
    <w:p w14:paraId="2AFBBB8F" w14:textId="77777777" w:rsidR="000915C1" w:rsidRPr="006D6C21" w:rsidRDefault="000915C1" w:rsidP="000915C1">
      <w:pPr>
        <w:spacing w:before="100" w:beforeAutospacing="1" w:after="100" w:afterAutospacing="1" w:line="240" w:lineRule="auto"/>
        <w:rPr>
          <w:rFonts w:ascii="Times New Roman" w:eastAsia="Times New Roman" w:hAnsi="Times New Roman"/>
          <w:b/>
          <w:bCs/>
          <w:sz w:val="24"/>
          <w:szCs w:val="24"/>
        </w:rPr>
      </w:pPr>
      <w:r w:rsidRPr="006D6C21">
        <w:rPr>
          <w:rFonts w:ascii="Times New Roman" w:hAnsi="Times New Roman"/>
          <w:b/>
          <w:bCs/>
          <w:sz w:val="24"/>
          <w:szCs w:val="24"/>
        </w:rPr>
        <w:t>Legal Lesson Learned:</w:t>
      </w:r>
      <w:r>
        <w:rPr>
          <w:rFonts w:ascii="Times New Roman" w:hAnsi="Times New Roman"/>
          <w:b/>
          <w:bCs/>
          <w:sz w:val="24"/>
          <w:szCs w:val="24"/>
        </w:rPr>
        <w:t xml:space="preserve"> Citation upheld; good work by the Fire Chief and the Department of Natural Resources. </w:t>
      </w:r>
    </w:p>
    <w:p w14:paraId="16572B41" w14:textId="79D07F7A" w:rsidR="000915C1" w:rsidRPr="00CE7812" w:rsidRDefault="000915C1" w:rsidP="000915C1">
      <w:pPr>
        <w:spacing w:before="100" w:beforeAutospacing="1" w:after="100" w:afterAutospacing="1" w:line="240" w:lineRule="auto"/>
        <w:ind w:left="720"/>
        <w:rPr>
          <w:rFonts w:ascii="Times New Roman" w:eastAsia="Times New Roman" w:hAnsi="Times New Roman"/>
          <w:sz w:val="24"/>
          <w:szCs w:val="24"/>
        </w:rPr>
      </w:pPr>
      <w:bookmarkStart w:id="12" w:name="_Hlk68349328"/>
      <w:r>
        <w:rPr>
          <w:rFonts w:ascii="Times New Roman" w:eastAsia="Times New Roman" w:hAnsi="Times New Roman"/>
          <w:sz w:val="24"/>
          <w:szCs w:val="24"/>
        </w:rPr>
        <w:t>Note: “</w:t>
      </w:r>
      <w:r w:rsidRPr="00CE7812">
        <w:rPr>
          <w:rFonts w:ascii="Times New Roman" w:hAnsi="Times New Roman"/>
          <w:sz w:val="24"/>
          <w:szCs w:val="24"/>
        </w:rPr>
        <w:t>There was also testimony that, even if Griswold had had a permit, the fire would have violated the statewide burn ban that was in effect at the time due to the COVID-19 pandemic. We address this testimony no further, since neither the citation that was issued nor the circuit court's judgment of conviction were based on any statewide burn ban. Both were based on a violation of WIS. STAT. § 26.12(5)(b).</w:t>
      </w:r>
      <w:r>
        <w:rPr>
          <w:rFonts w:ascii="Times New Roman" w:hAnsi="Times New Roman"/>
          <w:sz w:val="24"/>
          <w:szCs w:val="24"/>
        </w:rPr>
        <w:t xml:space="preserve">”  </w:t>
      </w:r>
      <w:hyperlink r:id="rId274" w:history="1">
        <w:r w:rsidRPr="00B568EC">
          <w:rPr>
            <w:rStyle w:val="Hyperlink"/>
            <w:rFonts w:ascii="Times New Roman" w:eastAsia="Times New Roman" w:hAnsi="Times New Roman"/>
            <w:sz w:val="24"/>
            <w:szCs w:val="24"/>
          </w:rPr>
          <w:t>https://www.wicourts.gov/ca/opinion/DisplayDocument.pdf?content=pdf&amp;seqNo=342440</w:t>
        </w:r>
      </w:hyperlink>
    </w:p>
    <w:bookmarkEnd w:id="12"/>
    <w:p w14:paraId="763F5812" w14:textId="77777777" w:rsidR="000915C1" w:rsidRDefault="000915C1" w:rsidP="002B1283">
      <w:pPr>
        <w:rPr>
          <w:rFonts w:ascii="Arial Black" w:hAnsi="Arial Black"/>
          <w:b/>
          <w:sz w:val="24"/>
          <w:szCs w:val="24"/>
        </w:rPr>
      </w:pPr>
    </w:p>
    <w:p w14:paraId="1AB63588" w14:textId="77777777" w:rsidR="000915C1" w:rsidRDefault="000915C1" w:rsidP="002B1283">
      <w:pPr>
        <w:rPr>
          <w:rFonts w:ascii="Arial Black" w:hAnsi="Arial Black"/>
          <w:b/>
          <w:sz w:val="24"/>
          <w:szCs w:val="24"/>
        </w:rPr>
      </w:pPr>
    </w:p>
    <w:p w14:paraId="2046FA60" w14:textId="26F89856" w:rsidR="00CD5950" w:rsidRDefault="00CD5950" w:rsidP="002B1283">
      <w:pPr>
        <w:rPr>
          <w:rFonts w:ascii="Arial Black" w:hAnsi="Arial Black"/>
          <w:b/>
          <w:sz w:val="24"/>
          <w:szCs w:val="24"/>
        </w:rPr>
      </w:pPr>
      <w:r>
        <w:rPr>
          <w:rFonts w:ascii="Arial Black" w:hAnsi="Arial Black"/>
          <w:b/>
          <w:sz w:val="24"/>
          <w:szCs w:val="24"/>
        </w:rPr>
        <w:t>1-7</w:t>
      </w:r>
      <w:r w:rsidR="000F483A">
        <w:rPr>
          <w:rFonts w:ascii="Arial Black" w:hAnsi="Arial Black"/>
          <w:b/>
          <w:sz w:val="24"/>
          <w:szCs w:val="24"/>
        </w:rPr>
        <w:t>5</w:t>
      </w:r>
    </w:p>
    <w:p w14:paraId="306E032D" w14:textId="77777777" w:rsidR="00CD5950" w:rsidRPr="001D0C68" w:rsidRDefault="00CD5950" w:rsidP="00CD5950">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IA: CITY CODE OFFICER NOT PROTECTED 1</w:t>
      </w:r>
      <w:r w:rsidRPr="00EA2DE7">
        <w:rPr>
          <w:rFonts w:ascii="Arial Black" w:eastAsia="Times New Roman" w:hAnsi="Arial Black"/>
          <w:b/>
          <w:bCs/>
          <w:sz w:val="28"/>
          <w:szCs w:val="28"/>
          <w:vertAlign w:val="superscript"/>
        </w:rPr>
        <w:t>St</w:t>
      </w:r>
      <w:r>
        <w:rPr>
          <w:rFonts w:ascii="Arial Black" w:eastAsia="Times New Roman" w:hAnsi="Arial Black"/>
          <w:b/>
          <w:bCs/>
          <w:sz w:val="28"/>
          <w:szCs w:val="28"/>
        </w:rPr>
        <w:t xml:space="preserve"> AMENDMENT “FREEDOM OF SPEECH” – OFFICIAL DUTIES - FIRED   </w:t>
      </w:r>
    </w:p>
    <w:p w14:paraId="077CA167" w14:textId="77777777" w:rsidR="00CD5950" w:rsidRDefault="00CD5950" w:rsidP="00CD5950">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On Feb. 24, 2021, in </w:t>
      </w:r>
      <w:r w:rsidRPr="0019521C">
        <w:rPr>
          <w:rFonts w:ascii="Times New Roman" w:eastAsia="Times New Roman" w:hAnsi="Times New Roman"/>
          <w:sz w:val="24"/>
          <w:szCs w:val="24"/>
          <w:u w:val="single"/>
        </w:rPr>
        <w:t>David R. Christensen v. City of Sergeant Bluff</w:t>
      </w:r>
      <w:r>
        <w:rPr>
          <w:rFonts w:ascii="Times New Roman" w:eastAsia="Times New Roman" w:hAnsi="Times New Roman"/>
          <w:sz w:val="24"/>
          <w:szCs w:val="24"/>
        </w:rPr>
        <w:t xml:space="preserve">, U.S. District Court Chief Judge Leonard T. Strand, U.S. District Court for the Northern District of Iowa (Western District), granted the city’s motion for summary judgment.   City was installing underground wiring to 220 duplex houses and agreed to not require any city permits. State Fire Marshall informed the city that all meter installations had to be approved by a state inspector, since plaintiff didn’t have electrical certification.   Plaintiff is not protected under First Amendment freedom of speech since his job duties include reporting possible code violations to state officials.  Case </w:t>
      </w:r>
      <w:proofErr w:type="gramStart"/>
      <w:r>
        <w:rPr>
          <w:rFonts w:ascii="Times New Roman" w:eastAsia="Times New Roman" w:hAnsi="Times New Roman"/>
          <w:sz w:val="24"/>
          <w:szCs w:val="24"/>
        </w:rPr>
        <w:t>remanded</w:t>
      </w:r>
      <w:proofErr w:type="gramEnd"/>
      <w:r>
        <w:rPr>
          <w:rFonts w:ascii="Times New Roman" w:eastAsia="Times New Roman" w:hAnsi="Times New Roman"/>
          <w:sz w:val="24"/>
          <w:szCs w:val="24"/>
        </w:rPr>
        <w:t xml:space="preserve"> to state court on his claims of violation of Iowa whistleblower and state code enforcement laws. </w:t>
      </w:r>
    </w:p>
    <w:p w14:paraId="5348ADE8" w14:textId="77777777" w:rsidR="00CD5950" w:rsidRPr="00710662" w:rsidRDefault="00CD5950" w:rsidP="00CD5950">
      <w:pPr>
        <w:spacing w:before="100" w:beforeAutospacing="1" w:after="100" w:afterAutospacing="1" w:line="240" w:lineRule="auto"/>
        <w:ind w:left="720"/>
        <w:rPr>
          <w:rFonts w:ascii="Times New Roman" w:eastAsia="Times New Roman" w:hAnsi="Times New Roman"/>
          <w:sz w:val="24"/>
          <w:szCs w:val="24"/>
        </w:rPr>
      </w:pPr>
      <w:r>
        <w:rPr>
          <w:rFonts w:ascii="Times New Roman" w:hAnsi="Times New Roman"/>
          <w:sz w:val="24"/>
          <w:szCs w:val="24"/>
        </w:rPr>
        <w:t>“[S]</w:t>
      </w:r>
      <w:r w:rsidRPr="00710662">
        <w:rPr>
          <w:rFonts w:ascii="Times New Roman" w:hAnsi="Times New Roman"/>
          <w:sz w:val="24"/>
          <w:szCs w:val="24"/>
        </w:rPr>
        <w:t xml:space="preserve">ee </w:t>
      </w:r>
      <w:r>
        <w:rPr>
          <w:rFonts w:ascii="Times New Roman" w:hAnsi="Times New Roman"/>
          <w:sz w:val="24"/>
          <w:szCs w:val="24"/>
        </w:rPr>
        <w:t xml:space="preserve">also </w:t>
      </w:r>
      <w:r w:rsidRPr="00710662">
        <w:rPr>
          <w:rFonts w:ascii="Times New Roman" w:hAnsi="Times New Roman"/>
          <w:sz w:val="24"/>
          <w:szCs w:val="24"/>
        </w:rPr>
        <w:t>Garcetti v. Ceballos, 547 U.S. 410, 421 (2006) "We hold that when public employees make statements pursuant to their official duties, the employees are not speaking as citizens for first Amendment purposes, and the Constitution does not insulate their communications from employer discipline."</w:t>
      </w:r>
    </w:p>
    <w:p w14:paraId="26446DAE" w14:textId="77777777" w:rsidR="00CD5950" w:rsidRPr="00BE4A1E" w:rsidRDefault="00CD5950" w:rsidP="00CD5950">
      <w:pPr>
        <w:spacing w:before="100" w:beforeAutospacing="1" w:after="100" w:afterAutospacing="1" w:line="240" w:lineRule="auto"/>
        <w:ind w:left="720"/>
        <w:rPr>
          <w:rFonts w:ascii="Times New Roman" w:eastAsia="Times New Roman" w:hAnsi="Times New Roman"/>
          <w:sz w:val="24"/>
          <w:szCs w:val="24"/>
        </w:rPr>
      </w:pPr>
      <w:r w:rsidRPr="00BE4A1E">
        <w:rPr>
          <w:rFonts w:ascii="Times New Roman" w:eastAsia="Times New Roman" w:hAnsi="Times New Roman"/>
          <w:sz w:val="24"/>
          <w:szCs w:val="24"/>
        </w:rPr>
        <w:t>***</w:t>
      </w:r>
    </w:p>
    <w:p w14:paraId="79A4556C" w14:textId="2A30823B" w:rsidR="00CD5950" w:rsidRDefault="00CD5950" w:rsidP="00CD5950">
      <w:pPr>
        <w:rPr>
          <w:rFonts w:ascii="Arial Black" w:hAnsi="Arial Black"/>
          <w:b/>
          <w:sz w:val="24"/>
          <w:szCs w:val="24"/>
        </w:rPr>
      </w:pPr>
      <w:r w:rsidRPr="00710662">
        <w:rPr>
          <w:rFonts w:ascii="Times New Roman" w:eastAsia="Times New Roman" w:hAnsi="Times New Roman"/>
          <w:sz w:val="24"/>
          <w:szCs w:val="24"/>
        </w:rPr>
        <w:lastRenderedPageBreak/>
        <w:t xml:space="preserve">Christensen's report of electrical violations to the regional state electrical inspector was also made pursuant to his position as the City Inspector/Code Enforcement Officer. </w:t>
      </w:r>
      <w:r w:rsidRPr="00710662">
        <w:rPr>
          <w:rFonts w:ascii="Times New Roman" w:eastAsia="Times New Roman" w:hAnsi="Times New Roman"/>
          <w:i/>
          <w:iCs/>
          <w:sz w:val="24"/>
          <w:szCs w:val="24"/>
        </w:rPr>
        <w:t>Compare McGee v</w:t>
      </w:r>
      <w:r w:rsidRPr="00710662">
        <w:rPr>
          <w:rFonts w:ascii="Times New Roman" w:eastAsia="Times New Roman" w:hAnsi="Times New Roman"/>
          <w:sz w:val="24"/>
          <w:szCs w:val="24"/>
        </w:rPr>
        <w:t xml:space="preserve">. </w:t>
      </w:r>
      <w:r w:rsidRPr="00710662">
        <w:rPr>
          <w:rFonts w:ascii="Times New Roman" w:eastAsia="Times New Roman" w:hAnsi="Times New Roman"/>
          <w:i/>
          <w:iCs/>
          <w:sz w:val="24"/>
          <w:szCs w:val="24"/>
        </w:rPr>
        <w:t>Public Water Supply</w:t>
      </w:r>
      <w:r w:rsidRPr="00710662">
        <w:rPr>
          <w:rFonts w:ascii="Times New Roman" w:eastAsia="Times New Roman" w:hAnsi="Times New Roman"/>
          <w:sz w:val="24"/>
          <w:szCs w:val="24"/>
        </w:rPr>
        <w:t xml:space="preserve">, </w:t>
      </w:r>
      <w:r w:rsidRPr="00710662">
        <w:rPr>
          <w:rFonts w:ascii="Times New Roman" w:eastAsia="Times New Roman" w:hAnsi="Times New Roman"/>
          <w:i/>
          <w:iCs/>
          <w:sz w:val="24"/>
          <w:szCs w:val="24"/>
        </w:rPr>
        <w:t>Dist</w:t>
      </w:r>
      <w:r w:rsidRPr="00710662">
        <w:rPr>
          <w:rFonts w:ascii="Times New Roman" w:eastAsia="Times New Roman" w:hAnsi="Times New Roman"/>
          <w:sz w:val="24"/>
          <w:szCs w:val="24"/>
        </w:rPr>
        <w:t xml:space="preserve">. </w:t>
      </w:r>
      <w:r w:rsidRPr="00710662">
        <w:rPr>
          <w:rFonts w:ascii="Times New Roman" w:eastAsia="Times New Roman" w:hAnsi="Times New Roman"/>
          <w:i/>
          <w:iCs/>
          <w:sz w:val="24"/>
          <w:szCs w:val="24"/>
        </w:rPr>
        <w:t>No</w:t>
      </w:r>
      <w:r w:rsidRPr="00710662">
        <w:rPr>
          <w:rFonts w:ascii="Times New Roman" w:eastAsia="Times New Roman" w:hAnsi="Times New Roman"/>
          <w:sz w:val="24"/>
          <w:szCs w:val="24"/>
        </w:rPr>
        <w:t xml:space="preserve">. </w:t>
      </w:r>
      <w:r w:rsidRPr="00710662">
        <w:rPr>
          <w:rFonts w:ascii="Times New Roman" w:eastAsia="Times New Roman" w:hAnsi="Times New Roman"/>
          <w:i/>
          <w:iCs/>
          <w:sz w:val="24"/>
          <w:szCs w:val="24"/>
        </w:rPr>
        <w:t>2 of Jefferson County</w:t>
      </w:r>
      <w:r w:rsidRPr="00710662">
        <w:rPr>
          <w:rFonts w:ascii="Times New Roman" w:eastAsia="Times New Roman" w:hAnsi="Times New Roman"/>
          <w:sz w:val="24"/>
          <w:szCs w:val="24"/>
        </w:rPr>
        <w:t xml:space="preserve">, </w:t>
      </w:r>
      <w:r w:rsidRPr="00710662">
        <w:rPr>
          <w:rFonts w:ascii="Times New Roman" w:eastAsia="Times New Roman" w:hAnsi="Times New Roman"/>
          <w:i/>
          <w:iCs/>
          <w:sz w:val="24"/>
          <w:szCs w:val="24"/>
        </w:rPr>
        <w:t>Mo</w:t>
      </w:r>
      <w:r w:rsidRPr="00710662">
        <w:rPr>
          <w:rFonts w:ascii="Times New Roman" w:eastAsia="Times New Roman" w:hAnsi="Times New Roman"/>
          <w:sz w:val="24"/>
          <w:szCs w:val="24"/>
        </w:rPr>
        <w:t xml:space="preserve">., 471 F.3d 918, 921 (8th Cir. 2006) (concluding district manager of public water supply district who expressed concerns over the district's compliance with environmental regulations made the statements as part of his official duties); </w:t>
      </w:r>
      <w:r w:rsidRPr="00710662">
        <w:rPr>
          <w:rFonts w:ascii="Times New Roman" w:eastAsia="Times New Roman" w:hAnsi="Times New Roman"/>
          <w:i/>
          <w:iCs/>
          <w:sz w:val="24"/>
          <w:szCs w:val="24"/>
        </w:rPr>
        <w:t>Batz v</w:t>
      </w:r>
      <w:r w:rsidRPr="00710662">
        <w:rPr>
          <w:rFonts w:ascii="Times New Roman" w:eastAsia="Times New Roman" w:hAnsi="Times New Roman"/>
          <w:sz w:val="24"/>
          <w:szCs w:val="24"/>
        </w:rPr>
        <w:t xml:space="preserve">. </w:t>
      </w:r>
      <w:r w:rsidRPr="00710662">
        <w:rPr>
          <w:rFonts w:ascii="Times New Roman" w:eastAsia="Times New Roman" w:hAnsi="Times New Roman"/>
          <w:i/>
          <w:iCs/>
          <w:sz w:val="24"/>
          <w:szCs w:val="24"/>
        </w:rPr>
        <w:t>City of Sebring</w:t>
      </w:r>
      <w:r w:rsidRPr="00710662">
        <w:rPr>
          <w:rFonts w:ascii="Times New Roman" w:eastAsia="Times New Roman" w:hAnsi="Times New Roman"/>
          <w:sz w:val="24"/>
          <w:szCs w:val="24"/>
        </w:rPr>
        <w:t xml:space="preserve">, 794 F. </w:t>
      </w:r>
      <w:proofErr w:type="spellStart"/>
      <w:r w:rsidRPr="00710662">
        <w:rPr>
          <w:rFonts w:ascii="Times New Roman" w:eastAsia="Times New Roman" w:hAnsi="Times New Roman"/>
          <w:sz w:val="24"/>
          <w:szCs w:val="24"/>
        </w:rPr>
        <w:t>App'x</w:t>
      </w:r>
      <w:proofErr w:type="spellEnd"/>
      <w:r w:rsidRPr="00710662">
        <w:rPr>
          <w:rFonts w:ascii="Times New Roman" w:eastAsia="Times New Roman" w:hAnsi="Times New Roman"/>
          <w:sz w:val="24"/>
          <w:szCs w:val="24"/>
        </w:rPr>
        <w:t xml:space="preserve"> 889, 898 (11th Cir. 2019) (concluding city fire chief spoke as an employee when he made complaints about various city officials undermining his efforts to enforce fire safety rules</w:t>
      </w:r>
      <w:r>
        <w:rPr>
          <w:rFonts w:ascii="Times New Roman" w:eastAsia="Times New Roman" w:hAnsi="Times New Roman"/>
          <w:sz w:val="24"/>
          <w:szCs w:val="24"/>
        </w:rPr>
        <w:t xml:space="preserve"> </w:t>
      </w:r>
      <w:r w:rsidRPr="00710662">
        <w:rPr>
          <w:rFonts w:ascii="Times New Roman" w:eastAsia="Times New Roman" w:hAnsi="Times New Roman"/>
          <w:sz w:val="24"/>
          <w:szCs w:val="24"/>
        </w:rPr>
        <w:t xml:space="preserve">at a historical building owned by persons with connections to the city council and administration); </w:t>
      </w:r>
      <w:r w:rsidRPr="00710662">
        <w:rPr>
          <w:rFonts w:ascii="Times New Roman" w:eastAsia="Times New Roman" w:hAnsi="Times New Roman"/>
          <w:i/>
          <w:iCs/>
          <w:sz w:val="24"/>
          <w:szCs w:val="24"/>
        </w:rPr>
        <w:t>Morris v</w:t>
      </w:r>
      <w:r w:rsidRPr="00710662">
        <w:rPr>
          <w:rFonts w:ascii="Times New Roman" w:eastAsia="Times New Roman" w:hAnsi="Times New Roman"/>
          <w:sz w:val="24"/>
          <w:szCs w:val="24"/>
        </w:rPr>
        <w:t xml:space="preserve">. </w:t>
      </w:r>
      <w:r w:rsidRPr="00710662">
        <w:rPr>
          <w:rFonts w:ascii="Times New Roman" w:eastAsia="Times New Roman" w:hAnsi="Times New Roman"/>
          <w:i/>
          <w:iCs/>
          <w:sz w:val="24"/>
          <w:szCs w:val="24"/>
        </w:rPr>
        <w:t>Philadelphia Housing Authority</w:t>
      </w:r>
      <w:r w:rsidRPr="00710662">
        <w:rPr>
          <w:rFonts w:ascii="Times New Roman" w:eastAsia="Times New Roman" w:hAnsi="Times New Roman"/>
          <w:sz w:val="24"/>
          <w:szCs w:val="24"/>
        </w:rPr>
        <w:t xml:space="preserve">, 487 F. </w:t>
      </w:r>
      <w:proofErr w:type="spellStart"/>
      <w:r w:rsidRPr="00710662">
        <w:rPr>
          <w:rFonts w:ascii="Times New Roman" w:eastAsia="Times New Roman" w:hAnsi="Times New Roman"/>
          <w:sz w:val="24"/>
          <w:szCs w:val="24"/>
        </w:rPr>
        <w:t>App'x</w:t>
      </w:r>
      <w:proofErr w:type="spellEnd"/>
      <w:r w:rsidRPr="00710662">
        <w:rPr>
          <w:rFonts w:ascii="Times New Roman" w:eastAsia="Times New Roman" w:hAnsi="Times New Roman"/>
          <w:sz w:val="24"/>
          <w:szCs w:val="24"/>
        </w:rPr>
        <w:t xml:space="preserve"> 37, 40 (3d Cir. 2012) (concluding an executive assistant's complaints up the chain of command about legality of housing authority's actions fell within his job duties); </w:t>
      </w:r>
      <w:r w:rsidRPr="00710662">
        <w:rPr>
          <w:rFonts w:ascii="Times New Roman" w:eastAsia="Times New Roman" w:hAnsi="Times New Roman"/>
          <w:i/>
          <w:iCs/>
          <w:sz w:val="24"/>
          <w:szCs w:val="24"/>
        </w:rPr>
        <w:t>Lyons II</w:t>
      </w:r>
      <w:r w:rsidRPr="00710662">
        <w:rPr>
          <w:rFonts w:ascii="Times New Roman" w:eastAsia="Times New Roman" w:hAnsi="Times New Roman"/>
          <w:sz w:val="24"/>
          <w:szCs w:val="24"/>
        </w:rPr>
        <w:t xml:space="preserve">, 875 F.3d at 1175 (noting that court's analysis in </w:t>
      </w:r>
      <w:r w:rsidRPr="00710662">
        <w:rPr>
          <w:rFonts w:ascii="Times New Roman" w:eastAsia="Times New Roman" w:hAnsi="Times New Roman"/>
          <w:i/>
          <w:iCs/>
          <w:sz w:val="24"/>
          <w:szCs w:val="24"/>
        </w:rPr>
        <w:t>Kincade v</w:t>
      </w:r>
      <w:r w:rsidRPr="00710662">
        <w:rPr>
          <w:rFonts w:ascii="Times New Roman" w:eastAsia="Times New Roman" w:hAnsi="Times New Roman"/>
          <w:sz w:val="24"/>
          <w:szCs w:val="24"/>
        </w:rPr>
        <w:t xml:space="preserve">. </w:t>
      </w:r>
      <w:r w:rsidRPr="00710662">
        <w:rPr>
          <w:rFonts w:ascii="Times New Roman" w:eastAsia="Times New Roman" w:hAnsi="Times New Roman"/>
          <w:i/>
          <w:iCs/>
          <w:sz w:val="24"/>
          <w:szCs w:val="24"/>
        </w:rPr>
        <w:t>City of Blue Springs</w:t>
      </w:r>
      <w:r w:rsidRPr="00710662">
        <w:rPr>
          <w:rFonts w:ascii="Times New Roman" w:eastAsia="Times New Roman" w:hAnsi="Times New Roman"/>
          <w:sz w:val="24"/>
          <w:szCs w:val="24"/>
        </w:rPr>
        <w:t xml:space="preserve">, 64 F.3d 389 (8th Cir. 1995) that city engineer's complaints about a dam's funding and safety issues that were made pursuant to an assignment from his employer and in his capacity as city engineer and that were deemed protected would not suffice under </w:t>
      </w:r>
      <w:r w:rsidRPr="00710662">
        <w:rPr>
          <w:rFonts w:ascii="Times New Roman" w:eastAsia="Times New Roman" w:hAnsi="Times New Roman"/>
          <w:i/>
          <w:iCs/>
          <w:sz w:val="24"/>
          <w:szCs w:val="24"/>
        </w:rPr>
        <w:t>Garcetti</w:t>
      </w:r>
      <w:r w:rsidRPr="00710662">
        <w:rPr>
          <w:rFonts w:ascii="Times New Roman" w:eastAsia="Times New Roman" w:hAnsi="Times New Roman"/>
          <w:sz w:val="24"/>
          <w:szCs w:val="24"/>
        </w:rPr>
        <w:t>).</w:t>
      </w:r>
      <w:r>
        <w:rPr>
          <w:rFonts w:ascii="Times New Roman" w:eastAsia="Times New Roman" w:hAnsi="Times New Roman"/>
          <w:sz w:val="24"/>
          <w:szCs w:val="24"/>
        </w:rPr>
        <w:t xml:space="preserve">” </w:t>
      </w:r>
      <w:hyperlink r:id="rId275" w:history="1">
        <w:r w:rsidRPr="004C3F50">
          <w:rPr>
            <w:rStyle w:val="Hyperlink"/>
            <w:rFonts w:ascii="Times New Roman" w:eastAsia="Times New Roman" w:hAnsi="Times New Roman"/>
            <w:sz w:val="24"/>
            <w:szCs w:val="24"/>
          </w:rPr>
          <w:t>https://public.fastcase.com/Wl%2B2t%2BeVuI35%2FN70vAMFZnSQz8BzpEWSl4qvcEU%2FNgbENUBBcIuF0iEqrodjguq8</w:t>
        </w:r>
      </w:hyperlink>
    </w:p>
    <w:p w14:paraId="6580BB5A" w14:textId="77777777" w:rsidR="00CD5950" w:rsidRDefault="00CD5950" w:rsidP="00CD5950">
      <w:pPr>
        <w:spacing w:before="100" w:beforeAutospacing="1" w:after="100" w:afterAutospacing="1" w:line="240" w:lineRule="auto"/>
        <w:rPr>
          <w:rFonts w:ascii="Times New Roman" w:hAnsi="Times New Roman"/>
          <w:b/>
          <w:bCs/>
          <w:sz w:val="24"/>
          <w:szCs w:val="24"/>
        </w:rPr>
      </w:pPr>
      <w:r w:rsidRPr="00710662">
        <w:rPr>
          <w:rFonts w:ascii="Times New Roman" w:hAnsi="Times New Roman"/>
          <w:b/>
          <w:bCs/>
          <w:sz w:val="24"/>
          <w:szCs w:val="24"/>
        </w:rPr>
        <w:t>Legal Lessons Learned:</w:t>
      </w:r>
      <w:r>
        <w:rPr>
          <w:rFonts w:ascii="Times New Roman" w:hAnsi="Times New Roman"/>
          <w:b/>
          <w:bCs/>
          <w:sz w:val="24"/>
          <w:szCs w:val="24"/>
        </w:rPr>
        <w:t xml:space="preserve"> This case is now </w:t>
      </w:r>
      <w:proofErr w:type="gramStart"/>
      <w:r>
        <w:rPr>
          <w:rFonts w:ascii="Times New Roman" w:hAnsi="Times New Roman"/>
          <w:b/>
          <w:bCs/>
          <w:sz w:val="24"/>
          <w:szCs w:val="24"/>
        </w:rPr>
        <w:t>remanded</w:t>
      </w:r>
      <w:proofErr w:type="gramEnd"/>
      <w:r>
        <w:rPr>
          <w:rFonts w:ascii="Times New Roman" w:hAnsi="Times New Roman"/>
          <w:b/>
          <w:bCs/>
          <w:sz w:val="24"/>
          <w:szCs w:val="24"/>
        </w:rPr>
        <w:t xml:space="preserve"> to Iowa state court where plaintiff may seek to prove to a jury that the city violated State whistleblower laws and State code enforcement laws. </w:t>
      </w:r>
    </w:p>
    <w:p w14:paraId="16A053A0" w14:textId="77777777" w:rsidR="00CD5950" w:rsidRDefault="00CD5950" w:rsidP="00CD5950">
      <w:pPr>
        <w:pStyle w:val="NormalWeb"/>
        <w:ind w:left="720"/>
      </w:pPr>
      <w:r w:rsidRPr="00710662">
        <w:t xml:space="preserve">Note: </w:t>
      </w:r>
      <w:r>
        <w:t xml:space="preserve">The U.S. Supreme Court in </w:t>
      </w:r>
      <w:r>
        <w:rPr>
          <w:i/>
          <w:iCs/>
        </w:rPr>
        <w:t>Garcetti v</w:t>
      </w:r>
      <w:r>
        <w:t xml:space="preserve">. </w:t>
      </w:r>
      <w:r>
        <w:rPr>
          <w:i/>
          <w:iCs/>
        </w:rPr>
        <w:t>Ceballos</w:t>
      </w:r>
      <w:r>
        <w:t xml:space="preserve">, 547 U.S. 410, 421 (2006), greatly limited the ability of public employees to sue in Federal court for retaliation in violation of the First Amendment “freedom of speech.”  Ceballos was a LA County Supervising attorney, who was re-assigned after questioning the accuracy of Deputy Sheriff’s search warrant application and writing a memo documenting his concerns.  The U.S. Supreme Court held [5 to 4]: “Proper application of our precedents thus leads to the conclusion that the First Amendment does not prohibit managerial discipline based on an employee’s expressions made pursuant to official responsibilities. Because Ceballos’ memo falls into this category, his allegation of unconstitutional retaliation must fail.” </w:t>
      </w:r>
      <w:hyperlink r:id="rId276" w:history="1">
        <w:r w:rsidRPr="004C3F50">
          <w:rPr>
            <w:rStyle w:val="Hyperlink"/>
          </w:rPr>
          <w:t>https://supreme.justia.com/cases/federal/us/547/410/</w:t>
        </w:r>
      </w:hyperlink>
      <w:r>
        <w:t xml:space="preserve"> </w:t>
      </w:r>
    </w:p>
    <w:p w14:paraId="3E47ED72" w14:textId="25978566" w:rsidR="00CD5950" w:rsidRDefault="00CD5950" w:rsidP="002B1283">
      <w:pPr>
        <w:rPr>
          <w:rFonts w:ascii="Arial Black" w:hAnsi="Arial Black"/>
          <w:b/>
          <w:sz w:val="24"/>
          <w:szCs w:val="24"/>
        </w:rPr>
      </w:pPr>
    </w:p>
    <w:p w14:paraId="40E55BEB" w14:textId="7F243F8F" w:rsidR="00CD5950" w:rsidRDefault="00CD5950" w:rsidP="002B1283">
      <w:pPr>
        <w:rPr>
          <w:rFonts w:ascii="Arial Black" w:hAnsi="Arial Black"/>
          <w:b/>
          <w:sz w:val="24"/>
          <w:szCs w:val="24"/>
        </w:rPr>
      </w:pPr>
      <w:r>
        <w:rPr>
          <w:rFonts w:ascii="Arial Black" w:hAnsi="Arial Black"/>
          <w:b/>
          <w:sz w:val="24"/>
          <w:szCs w:val="24"/>
        </w:rPr>
        <w:t>1-7</w:t>
      </w:r>
      <w:r w:rsidR="000F483A">
        <w:rPr>
          <w:rFonts w:ascii="Arial Black" w:hAnsi="Arial Black"/>
          <w:b/>
          <w:sz w:val="24"/>
          <w:szCs w:val="24"/>
        </w:rPr>
        <w:t>4</w:t>
      </w:r>
    </w:p>
    <w:p w14:paraId="62203C37" w14:textId="77777777" w:rsidR="00CD5950" w:rsidRDefault="00CD5950" w:rsidP="00CD5950">
      <w:r>
        <w:rPr>
          <w:rFonts w:ascii="Arial Black" w:hAnsi="Arial Black"/>
          <w:sz w:val="28"/>
          <w:szCs w:val="28"/>
        </w:rPr>
        <w:t>OH: OHIO ETHICS COMMISSION – HELPFUL NEW VIDEO – PUBLIC OFFICIALS &amp; GIFTS OF “SUBSTANTIAL VALUE”</w:t>
      </w:r>
    </w:p>
    <w:p w14:paraId="09B2E758" w14:textId="77777777" w:rsidR="00CD5950" w:rsidRDefault="00CD5950" w:rsidP="00CD5950">
      <w:pPr>
        <w:rPr>
          <w:rFonts w:ascii="Times New Roman" w:hAnsi="Times New Roman"/>
          <w:sz w:val="24"/>
          <w:szCs w:val="24"/>
        </w:rPr>
      </w:pPr>
      <w:r>
        <w:rPr>
          <w:rFonts w:ascii="Times New Roman" w:hAnsi="Times New Roman"/>
          <w:sz w:val="24"/>
          <w:szCs w:val="24"/>
        </w:rPr>
        <w:t xml:space="preserve">Feb. 22, 2021: </w:t>
      </w:r>
    </w:p>
    <w:p w14:paraId="2F61DAE2" w14:textId="77777777" w:rsidR="00CD5950" w:rsidRDefault="00CD5950" w:rsidP="00CD5950">
      <w:pPr>
        <w:rPr>
          <w:rStyle w:val="Hyperlink"/>
          <w:rFonts w:ascii="Times New Roman" w:hAnsi="Times New Roman"/>
          <w:sz w:val="24"/>
          <w:szCs w:val="24"/>
        </w:rPr>
      </w:pPr>
      <w:r>
        <w:rPr>
          <w:rFonts w:ascii="Times New Roman" w:hAnsi="Times New Roman"/>
          <w:sz w:val="24"/>
          <w:szCs w:val="24"/>
        </w:rPr>
        <w:t xml:space="preserve">See helpful new training video: </w:t>
      </w:r>
      <w:hyperlink r:id="rId277" w:history="1">
        <w:r w:rsidRPr="00EA374E">
          <w:rPr>
            <w:rStyle w:val="Hyperlink"/>
            <w:rFonts w:ascii="Times New Roman" w:hAnsi="Times New Roman"/>
            <w:sz w:val="24"/>
            <w:szCs w:val="24"/>
          </w:rPr>
          <w:t>https://ethics.ohio.gov/education/elearning/ecourses.html</w:t>
        </w:r>
      </w:hyperlink>
    </w:p>
    <w:p w14:paraId="5816E79E" w14:textId="77777777" w:rsidR="00CD5950" w:rsidRDefault="00CD5950" w:rsidP="00CD5950">
      <w:pPr>
        <w:rPr>
          <w:rFonts w:ascii="Times New Roman" w:hAnsi="Times New Roman"/>
          <w:sz w:val="24"/>
          <w:szCs w:val="24"/>
        </w:rPr>
      </w:pPr>
      <w:r>
        <w:rPr>
          <w:rFonts w:ascii="Times New Roman" w:hAnsi="Times New Roman"/>
          <w:sz w:val="24"/>
          <w:szCs w:val="24"/>
        </w:rPr>
        <w:t>See also: “</w:t>
      </w:r>
      <w:r w:rsidRPr="00D13E5D">
        <w:rPr>
          <w:rFonts w:ascii="Times New Roman" w:hAnsi="Times New Roman"/>
          <w:sz w:val="24"/>
          <w:szCs w:val="24"/>
        </w:rPr>
        <w:t xml:space="preserve">The first quarter edition of </w:t>
      </w:r>
      <w:hyperlink r:id="rId278" w:history="1">
        <w:r w:rsidRPr="00D13E5D">
          <w:rPr>
            <w:rStyle w:val="Hyperlink"/>
            <w:rFonts w:ascii="Times New Roman" w:hAnsi="Times New Roman"/>
            <w:sz w:val="24"/>
            <w:szCs w:val="24"/>
          </w:rPr>
          <w:t>The Voice of Ethics</w:t>
        </w:r>
      </w:hyperlink>
      <w:r w:rsidRPr="00D13E5D">
        <w:rPr>
          <w:rFonts w:ascii="Times New Roman" w:hAnsi="Times New Roman"/>
          <w:sz w:val="24"/>
          <w:szCs w:val="24"/>
        </w:rPr>
        <w:t xml:space="preserve"> has been issued!  I hope you enjoy it and as always, please feel free to contact me if I can be of any assistance.</w:t>
      </w:r>
      <w:r>
        <w:rPr>
          <w:rFonts w:ascii="Times New Roman" w:hAnsi="Times New Roman"/>
          <w:sz w:val="24"/>
          <w:szCs w:val="24"/>
        </w:rPr>
        <w:t>”</w:t>
      </w:r>
      <w:hyperlink r:id="rId279" w:history="1">
        <w:r w:rsidRPr="00BA411D">
          <w:rPr>
            <w:rStyle w:val="Hyperlink"/>
            <w:rFonts w:ascii="Times New Roman" w:hAnsi="Times New Roman"/>
            <w:sz w:val="24"/>
            <w:szCs w:val="24"/>
          </w:rPr>
          <w:t>https://ethics.ohio.gov/education/newsletters/VOE_21Q1.pdf</w:t>
        </w:r>
      </w:hyperlink>
      <w:r>
        <w:rPr>
          <w:rFonts w:ascii="Times New Roman" w:hAnsi="Times New Roman"/>
          <w:sz w:val="24"/>
          <w:szCs w:val="24"/>
        </w:rPr>
        <w:t xml:space="preserve"> </w:t>
      </w:r>
    </w:p>
    <w:p w14:paraId="01C0783C" w14:textId="77777777" w:rsidR="00CD5950" w:rsidRDefault="00CD5950" w:rsidP="00CD5950">
      <w:pPr>
        <w:rPr>
          <w:rFonts w:ascii="Times New Roman" w:hAnsi="Times New Roman"/>
          <w:sz w:val="24"/>
          <w:szCs w:val="24"/>
        </w:rPr>
      </w:pPr>
      <w:r>
        <w:rPr>
          <w:rFonts w:ascii="Times New Roman" w:hAnsi="Times New Roman"/>
          <w:sz w:val="24"/>
          <w:szCs w:val="24"/>
        </w:rPr>
        <w:t xml:space="preserve">Both kindly sent to me by: </w:t>
      </w:r>
    </w:p>
    <w:p w14:paraId="4FD1557C" w14:textId="77777777" w:rsidR="00CD5950" w:rsidRPr="00EB1AAF" w:rsidRDefault="00CD5950" w:rsidP="00CD5950">
      <w:pPr>
        <w:pStyle w:val="NoSpacing"/>
        <w:ind w:firstLine="720"/>
        <w:rPr>
          <w:rFonts w:ascii="Times New Roman" w:hAnsi="Times New Roman"/>
          <w:sz w:val="24"/>
          <w:szCs w:val="24"/>
        </w:rPr>
      </w:pPr>
      <w:r w:rsidRPr="00EB1AAF">
        <w:rPr>
          <w:rFonts w:ascii="Times New Roman" w:hAnsi="Times New Roman"/>
          <w:sz w:val="24"/>
          <w:szCs w:val="24"/>
        </w:rPr>
        <w:t>Susan Willeke</w:t>
      </w:r>
    </w:p>
    <w:p w14:paraId="2CC95F06" w14:textId="77777777" w:rsidR="00CD5950" w:rsidRPr="00EB1AAF" w:rsidRDefault="00CD5950" w:rsidP="00CD5950">
      <w:pPr>
        <w:pStyle w:val="NoSpacing"/>
        <w:ind w:firstLine="720"/>
        <w:rPr>
          <w:rFonts w:ascii="Times New Roman" w:hAnsi="Times New Roman"/>
          <w:sz w:val="24"/>
          <w:szCs w:val="24"/>
        </w:rPr>
      </w:pPr>
      <w:r w:rsidRPr="00EB1AAF">
        <w:rPr>
          <w:rFonts w:ascii="Times New Roman" w:hAnsi="Times New Roman"/>
          <w:sz w:val="24"/>
          <w:szCs w:val="24"/>
        </w:rPr>
        <w:t>Education &amp; Communications Administrator</w:t>
      </w:r>
    </w:p>
    <w:p w14:paraId="444F4604" w14:textId="77777777" w:rsidR="00CD5950" w:rsidRPr="00EB1AAF" w:rsidRDefault="00CD5950" w:rsidP="00CD5950">
      <w:pPr>
        <w:pStyle w:val="NoSpacing"/>
        <w:ind w:firstLine="720"/>
        <w:rPr>
          <w:rFonts w:ascii="Times New Roman" w:hAnsi="Times New Roman"/>
          <w:sz w:val="24"/>
          <w:szCs w:val="24"/>
        </w:rPr>
      </w:pPr>
      <w:r w:rsidRPr="00EB1AAF">
        <w:rPr>
          <w:rFonts w:ascii="Times New Roman" w:hAnsi="Times New Roman"/>
          <w:sz w:val="24"/>
          <w:szCs w:val="24"/>
        </w:rPr>
        <w:lastRenderedPageBreak/>
        <w:t>Ohio Ethics Commission</w:t>
      </w:r>
    </w:p>
    <w:p w14:paraId="303DE351" w14:textId="77777777" w:rsidR="00CD5950" w:rsidRPr="00EB1AAF" w:rsidRDefault="00CD5950" w:rsidP="00CD5950">
      <w:pPr>
        <w:pStyle w:val="NoSpacing"/>
        <w:ind w:firstLine="720"/>
        <w:rPr>
          <w:rFonts w:ascii="Times New Roman" w:hAnsi="Times New Roman"/>
          <w:sz w:val="24"/>
          <w:szCs w:val="24"/>
        </w:rPr>
      </w:pPr>
      <w:r w:rsidRPr="00EB1AAF">
        <w:rPr>
          <w:rFonts w:ascii="Times New Roman" w:hAnsi="Times New Roman"/>
          <w:sz w:val="24"/>
          <w:szCs w:val="24"/>
        </w:rPr>
        <w:t>William Green Building</w:t>
      </w:r>
    </w:p>
    <w:p w14:paraId="5146686D" w14:textId="77777777" w:rsidR="00CD5950" w:rsidRPr="00EB1AAF" w:rsidRDefault="00CD5950" w:rsidP="00CD5950">
      <w:pPr>
        <w:pStyle w:val="NoSpacing"/>
        <w:ind w:firstLine="720"/>
        <w:rPr>
          <w:rFonts w:ascii="Times New Roman" w:hAnsi="Times New Roman"/>
          <w:sz w:val="24"/>
          <w:szCs w:val="24"/>
        </w:rPr>
      </w:pPr>
      <w:r w:rsidRPr="00EB1AAF">
        <w:rPr>
          <w:rFonts w:ascii="Times New Roman" w:hAnsi="Times New Roman"/>
          <w:sz w:val="24"/>
          <w:szCs w:val="24"/>
        </w:rPr>
        <w:t>30 W. Spring St.</w:t>
      </w:r>
    </w:p>
    <w:p w14:paraId="1520FAD0" w14:textId="77777777" w:rsidR="00CD5950" w:rsidRPr="00EB1AAF" w:rsidRDefault="00CD5950" w:rsidP="00CD5950">
      <w:pPr>
        <w:pStyle w:val="NoSpacing"/>
        <w:ind w:firstLine="720"/>
        <w:rPr>
          <w:rFonts w:ascii="Times New Roman" w:hAnsi="Times New Roman"/>
          <w:sz w:val="24"/>
          <w:szCs w:val="24"/>
        </w:rPr>
      </w:pPr>
      <w:r w:rsidRPr="00EB1AAF">
        <w:rPr>
          <w:rFonts w:ascii="Times New Roman" w:hAnsi="Times New Roman"/>
          <w:sz w:val="24"/>
          <w:szCs w:val="24"/>
        </w:rPr>
        <w:t>Columbus, Ohio 43215</w:t>
      </w:r>
    </w:p>
    <w:p w14:paraId="2D42AF8B" w14:textId="77777777" w:rsidR="00CD5950" w:rsidRDefault="00CD5950" w:rsidP="00CD5950">
      <w:pPr>
        <w:pStyle w:val="NoSpacing"/>
        <w:ind w:firstLine="720"/>
        <w:rPr>
          <w:rFonts w:ascii="Times New Roman" w:hAnsi="Times New Roman"/>
          <w:sz w:val="24"/>
          <w:szCs w:val="24"/>
        </w:rPr>
      </w:pPr>
    </w:p>
    <w:p w14:paraId="725520E3" w14:textId="77777777" w:rsidR="00CD5950" w:rsidRDefault="00CD5950" w:rsidP="00CD5950">
      <w:pPr>
        <w:pStyle w:val="NoSpacing"/>
        <w:ind w:firstLine="720"/>
        <w:rPr>
          <w:rFonts w:ascii="Times New Roman" w:hAnsi="Times New Roman"/>
          <w:sz w:val="24"/>
          <w:szCs w:val="24"/>
        </w:rPr>
      </w:pPr>
    </w:p>
    <w:p w14:paraId="46DBA9E9" w14:textId="77777777" w:rsidR="00CD5950" w:rsidRPr="00EB1AAF" w:rsidRDefault="00CD5950" w:rsidP="00CD5950">
      <w:pPr>
        <w:pStyle w:val="NoSpacing"/>
        <w:ind w:firstLine="720"/>
        <w:rPr>
          <w:rFonts w:ascii="Times New Roman" w:hAnsi="Times New Roman"/>
          <w:sz w:val="24"/>
          <w:szCs w:val="24"/>
        </w:rPr>
      </w:pPr>
      <w:r w:rsidRPr="00EB1AAF">
        <w:rPr>
          <w:rFonts w:ascii="Times New Roman" w:hAnsi="Times New Roman"/>
          <w:sz w:val="24"/>
          <w:szCs w:val="24"/>
        </w:rPr>
        <w:t>(614) 466 – 7090</w:t>
      </w:r>
    </w:p>
    <w:p w14:paraId="74123CD0" w14:textId="77777777" w:rsidR="00CD5950" w:rsidRPr="00EB1AAF" w:rsidRDefault="00CD5950" w:rsidP="00CD5950">
      <w:pPr>
        <w:pStyle w:val="NoSpacing"/>
        <w:ind w:firstLine="720"/>
        <w:rPr>
          <w:rFonts w:ascii="Times New Roman" w:hAnsi="Times New Roman"/>
          <w:sz w:val="24"/>
          <w:szCs w:val="24"/>
        </w:rPr>
      </w:pPr>
      <w:hyperlink r:id="rId280" w:history="1">
        <w:r w:rsidRPr="00EA374E">
          <w:rPr>
            <w:rStyle w:val="Hyperlink"/>
            <w:rFonts w:ascii="Times New Roman" w:hAnsi="Times New Roman"/>
            <w:sz w:val="24"/>
            <w:szCs w:val="24"/>
          </w:rPr>
          <w:t>www.ethics.ohio.gov</w:t>
        </w:r>
      </w:hyperlink>
    </w:p>
    <w:p w14:paraId="7AB3EA59" w14:textId="77777777" w:rsidR="00CD5950" w:rsidRPr="00EB1AAF" w:rsidRDefault="00CD5950" w:rsidP="00CD5950">
      <w:pPr>
        <w:pStyle w:val="NoSpacing"/>
        <w:ind w:firstLine="720"/>
        <w:rPr>
          <w:rStyle w:val="Hyperlink"/>
          <w:rFonts w:ascii="Times New Roman" w:hAnsi="Times New Roman"/>
          <w:sz w:val="24"/>
          <w:szCs w:val="24"/>
        </w:rPr>
      </w:pPr>
      <w:hyperlink r:id="rId281" w:history="1">
        <w:r w:rsidRPr="00EA374E">
          <w:rPr>
            <w:rStyle w:val="Hyperlink"/>
            <w:rFonts w:ascii="Times New Roman" w:hAnsi="Times New Roman"/>
            <w:sz w:val="24"/>
            <w:szCs w:val="24"/>
          </w:rPr>
          <w:t>susan.willeke@ethics.ohio.gov</w:t>
        </w:r>
      </w:hyperlink>
    </w:p>
    <w:p w14:paraId="63326306" w14:textId="77777777" w:rsidR="00CD5950" w:rsidRPr="00EB1AAF" w:rsidRDefault="00CD5950" w:rsidP="00CD5950">
      <w:pPr>
        <w:pStyle w:val="NoSpacing"/>
        <w:rPr>
          <w:rStyle w:val="Hyperlink"/>
          <w:rFonts w:ascii="Times New Roman" w:hAnsi="Times New Roman"/>
          <w:sz w:val="24"/>
          <w:szCs w:val="24"/>
        </w:rPr>
      </w:pPr>
    </w:p>
    <w:p w14:paraId="1F0DBF6A" w14:textId="77777777" w:rsidR="00CD5950" w:rsidRPr="00716E29" w:rsidRDefault="00CD5950" w:rsidP="00CD5950">
      <w:pPr>
        <w:pStyle w:val="NoSpacing"/>
        <w:rPr>
          <w:rStyle w:val="Hyperlink"/>
          <w:rFonts w:ascii="Times New Roman" w:hAnsi="Times New Roman"/>
          <w:b/>
          <w:bCs/>
          <w:color w:val="auto"/>
          <w:sz w:val="24"/>
          <w:szCs w:val="24"/>
          <w:u w:val="none"/>
        </w:rPr>
      </w:pPr>
      <w:r w:rsidRPr="00716E29">
        <w:rPr>
          <w:rStyle w:val="Hyperlink"/>
          <w:rFonts w:ascii="Times New Roman" w:hAnsi="Times New Roman"/>
          <w:b/>
          <w:bCs/>
          <w:color w:val="auto"/>
          <w:sz w:val="24"/>
          <w:szCs w:val="24"/>
          <w:u w:val="none"/>
        </w:rPr>
        <w:t xml:space="preserve">Legal Lesson Learned: Golf outings, sports or theater tickets, vacations, jewelry have been items deemed items of “substantial value” by the Ohio Ethics Commission; when in doubt, consult with the Commission. </w:t>
      </w:r>
    </w:p>
    <w:p w14:paraId="6D74FE00" w14:textId="77777777" w:rsidR="00CD5950" w:rsidRDefault="00CD5950" w:rsidP="00CD5950">
      <w:pPr>
        <w:pStyle w:val="NoSpacing"/>
        <w:rPr>
          <w:rStyle w:val="Hyperlink"/>
          <w:rFonts w:ascii="Times New Roman" w:hAnsi="Times New Roman"/>
          <w:b/>
          <w:bCs/>
          <w:sz w:val="24"/>
          <w:szCs w:val="24"/>
        </w:rPr>
      </w:pPr>
    </w:p>
    <w:p w14:paraId="3C41448E" w14:textId="77777777" w:rsidR="00CD5950" w:rsidRDefault="00CD5950" w:rsidP="00CD5950">
      <w:pPr>
        <w:pStyle w:val="NoSpacing"/>
        <w:ind w:left="720"/>
        <w:rPr>
          <w:rFonts w:ascii="Times New Roman" w:hAnsi="Times New Roman"/>
          <w:sz w:val="24"/>
          <w:szCs w:val="24"/>
        </w:rPr>
      </w:pPr>
      <w:r w:rsidRPr="00167F7C">
        <w:rPr>
          <w:rStyle w:val="Hyperlink"/>
          <w:rFonts w:ascii="Times New Roman" w:hAnsi="Times New Roman"/>
          <w:sz w:val="24"/>
          <w:szCs w:val="24"/>
        </w:rPr>
        <w:t>Note: See Ohio Ethics Commission publication</w:t>
      </w:r>
      <w:r>
        <w:rPr>
          <w:rStyle w:val="Hyperlink"/>
          <w:rFonts w:ascii="Times New Roman" w:hAnsi="Times New Roman"/>
          <w:sz w:val="24"/>
          <w:szCs w:val="24"/>
        </w:rPr>
        <w:t>:</w:t>
      </w:r>
      <w:r w:rsidRPr="00167F7C">
        <w:rPr>
          <w:rStyle w:val="Hyperlink"/>
          <w:rFonts w:ascii="Times New Roman" w:hAnsi="Times New Roman"/>
          <w:sz w:val="24"/>
          <w:szCs w:val="24"/>
        </w:rPr>
        <w:t xml:space="preserve"> </w:t>
      </w:r>
      <w:r w:rsidRPr="00167F7C">
        <w:rPr>
          <w:rFonts w:ascii="Times New Roman" w:hAnsi="Times New Roman"/>
          <w:b/>
          <w:bCs/>
          <w:sz w:val="24"/>
          <w:szCs w:val="24"/>
        </w:rPr>
        <w:t>Gifts and the Ohio Ethics Law</w:t>
      </w:r>
      <w:r w:rsidRPr="00167F7C">
        <w:rPr>
          <w:rFonts w:ascii="Times New Roman" w:hAnsi="Times New Roman"/>
          <w:sz w:val="24"/>
          <w:szCs w:val="24"/>
        </w:rPr>
        <w:t xml:space="preserve">: </w:t>
      </w:r>
      <w:hyperlink r:id="rId282" w:history="1">
        <w:r w:rsidRPr="00EA374E">
          <w:rPr>
            <w:rStyle w:val="Hyperlink"/>
            <w:rFonts w:ascii="Times New Roman" w:hAnsi="Times New Roman"/>
            <w:sz w:val="24"/>
            <w:szCs w:val="24"/>
          </w:rPr>
          <w:t>https://www.ethics.ohio.gov/education/gifts.html</w:t>
        </w:r>
      </w:hyperlink>
      <w:r w:rsidRPr="00167F7C">
        <w:rPr>
          <w:rFonts w:ascii="Times New Roman" w:hAnsi="Times New Roman"/>
          <w:sz w:val="24"/>
          <w:szCs w:val="24"/>
        </w:rPr>
        <w:t xml:space="preserve"> </w:t>
      </w:r>
    </w:p>
    <w:p w14:paraId="2EEFCD7C" w14:textId="77777777" w:rsidR="00CD5950" w:rsidRDefault="00CD5950" w:rsidP="00CD5950">
      <w:pPr>
        <w:pStyle w:val="NoSpacing"/>
        <w:ind w:left="720"/>
        <w:rPr>
          <w:rFonts w:ascii="Times New Roman" w:hAnsi="Times New Roman"/>
          <w:sz w:val="24"/>
          <w:szCs w:val="24"/>
        </w:rPr>
      </w:pPr>
    </w:p>
    <w:p w14:paraId="40AAD5FA" w14:textId="77777777" w:rsidR="00CD5950" w:rsidRPr="00167F7C" w:rsidRDefault="00CD5950" w:rsidP="00CD5950">
      <w:pPr>
        <w:pStyle w:val="NoSpacing"/>
        <w:ind w:left="720"/>
        <w:rPr>
          <w:rFonts w:ascii="Times New Roman" w:hAnsi="Times New Roman"/>
          <w:sz w:val="24"/>
          <w:szCs w:val="24"/>
        </w:rPr>
      </w:pPr>
      <w:r>
        <w:rPr>
          <w:rFonts w:ascii="Times New Roman" w:hAnsi="Times New Roman"/>
          <w:sz w:val="24"/>
          <w:szCs w:val="24"/>
        </w:rPr>
        <w:t xml:space="preserve">See also Advisory Opinions on </w:t>
      </w:r>
      <w:r w:rsidRPr="00167F7C">
        <w:rPr>
          <w:rFonts w:ascii="Times New Roman" w:hAnsi="Times New Roman"/>
          <w:b/>
          <w:bCs/>
          <w:sz w:val="24"/>
          <w:szCs w:val="24"/>
        </w:rPr>
        <w:t>Conflict of Interest</w:t>
      </w:r>
      <w:r>
        <w:rPr>
          <w:rFonts w:ascii="Times New Roman" w:hAnsi="Times New Roman"/>
          <w:sz w:val="24"/>
          <w:szCs w:val="24"/>
        </w:rPr>
        <w:t xml:space="preserve">, and advisory opinions on </w:t>
      </w:r>
      <w:r w:rsidRPr="00167F7C">
        <w:rPr>
          <w:rFonts w:ascii="Times New Roman" w:hAnsi="Times New Roman"/>
          <w:b/>
          <w:bCs/>
          <w:sz w:val="24"/>
          <w:szCs w:val="24"/>
        </w:rPr>
        <w:t>Gifts:</w:t>
      </w:r>
      <w:r>
        <w:rPr>
          <w:rFonts w:ascii="Times New Roman" w:hAnsi="Times New Roman"/>
          <w:sz w:val="24"/>
          <w:szCs w:val="24"/>
        </w:rPr>
        <w:t xml:space="preserve"> </w:t>
      </w:r>
      <w:hyperlink r:id="rId283" w:anchor="Gifts" w:history="1">
        <w:r w:rsidRPr="00EA374E">
          <w:rPr>
            <w:rStyle w:val="Hyperlink"/>
            <w:rFonts w:ascii="Times New Roman" w:hAnsi="Times New Roman"/>
            <w:sz w:val="24"/>
            <w:szCs w:val="24"/>
          </w:rPr>
          <w:t>https://www.ethics.ohio.gov/advice/formaltopics.html#Gifts</w:t>
        </w:r>
      </w:hyperlink>
      <w:r>
        <w:rPr>
          <w:rFonts w:ascii="Times New Roman" w:hAnsi="Times New Roman"/>
          <w:sz w:val="24"/>
          <w:szCs w:val="24"/>
        </w:rPr>
        <w:t xml:space="preserve"> </w:t>
      </w:r>
    </w:p>
    <w:p w14:paraId="74DFC00B" w14:textId="77777777" w:rsidR="00CD5950" w:rsidRDefault="00CD5950" w:rsidP="00CD5950">
      <w:pPr>
        <w:pStyle w:val="Heading2"/>
        <w:ind w:left="720"/>
        <w:rPr>
          <w:rStyle w:val="Hyperlink"/>
          <w:rFonts w:ascii="Times New Roman" w:hAnsi="Times New Roman"/>
          <w:b w:val="0"/>
          <w:bCs w:val="0"/>
          <w:i w:val="0"/>
          <w:iCs w:val="0"/>
          <w:color w:val="auto"/>
          <w:sz w:val="24"/>
          <w:szCs w:val="24"/>
          <w:u w:val="none"/>
        </w:rPr>
      </w:pPr>
      <w:r w:rsidRPr="00716E29">
        <w:rPr>
          <w:rStyle w:val="Hyperlink"/>
          <w:rFonts w:ascii="Times New Roman" w:hAnsi="Times New Roman"/>
          <w:b w:val="0"/>
          <w:bCs w:val="0"/>
          <w:i w:val="0"/>
          <w:iCs w:val="0"/>
          <w:color w:val="auto"/>
          <w:sz w:val="24"/>
          <w:szCs w:val="24"/>
          <w:u w:val="none"/>
        </w:rPr>
        <w:t>Ohio Revised Code</w:t>
      </w:r>
      <w:r>
        <w:rPr>
          <w:rStyle w:val="Hyperlink"/>
          <w:rFonts w:ascii="Times New Roman" w:hAnsi="Times New Roman"/>
          <w:b w:val="0"/>
          <w:bCs w:val="0"/>
          <w:i w:val="0"/>
          <w:iCs w:val="0"/>
          <w:color w:val="auto"/>
          <w:sz w:val="24"/>
          <w:szCs w:val="24"/>
          <w:u w:val="none"/>
        </w:rPr>
        <w:t>:</w:t>
      </w:r>
    </w:p>
    <w:p w14:paraId="46D7593C" w14:textId="77777777" w:rsidR="00CD5950" w:rsidRPr="00716E29" w:rsidRDefault="00CD5950" w:rsidP="00CD5950">
      <w:pPr>
        <w:pStyle w:val="Heading2"/>
        <w:ind w:left="720"/>
        <w:rPr>
          <w:rStyle w:val="Hyperlink"/>
          <w:rFonts w:ascii="Times New Roman" w:hAnsi="Times New Roman"/>
          <w:b w:val="0"/>
          <w:bCs w:val="0"/>
          <w:i w:val="0"/>
          <w:iCs w:val="0"/>
          <w:sz w:val="24"/>
          <w:szCs w:val="24"/>
          <w:u w:val="none"/>
        </w:rPr>
      </w:pPr>
      <w:r w:rsidRPr="00716E29">
        <w:rPr>
          <w:rStyle w:val="Hyperlink"/>
          <w:rFonts w:ascii="Times New Roman" w:hAnsi="Times New Roman"/>
          <w:b w:val="0"/>
          <w:bCs w:val="0"/>
          <w:i w:val="0"/>
          <w:iCs w:val="0"/>
          <w:color w:val="auto"/>
          <w:sz w:val="24"/>
          <w:szCs w:val="24"/>
          <w:u w:val="none"/>
        </w:rPr>
        <w:t xml:space="preserve">102.01 Public officers – ethics definitions:  </w:t>
      </w:r>
      <w:hyperlink r:id="rId284" w:history="1">
        <w:r w:rsidRPr="002013DF">
          <w:rPr>
            <w:rStyle w:val="Hyperlink"/>
            <w:rFonts w:ascii="Times New Roman" w:hAnsi="Times New Roman"/>
            <w:b w:val="0"/>
            <w:bCs w:val="0"/>
            <w:i w:val="0"/>
            <w:iCs w:val="0"/>
            <w:sz w:val="24"/>
            <w:szCs w:val="24"/>
          </w:rPr>
          <w:t>http://codes.ohio.gov/orc/102.01</w:t>
        </w:r>
      </w:hyperlink>
      <w:r>
        <w:rPr>
          <w:rStyle w:val="Hyperlink"/>
          <w:rFonts w:ascii="Times New Roman" w:hAnsi="Times New Roman"/>
          <w:b w:val="0"/>
          <w:bCs w:val="0"/>
          <w:i w:val="0"/>
          <w:iCs w:val="0"/>
          <w:color w:val="auto"/>
          <w:sz w:val="24"/>
          <w:szCs w:val="24"/>
          <w:u w:val="none"/>
        </w:rPr>
        <w:t xml:space="preserve"> </w:t>
      </w:r>
    </w:p>
    <w:p w14:paraId="4E873AB9" w14:textId="77777777" w:rsidR="00CD5950" w:rsidRPr="00716E29" w:rsidRDefault="00CD5950" w:rsidP="00CD5950">
      <w:pPr>
        <w:pStyle w:val="Heading2"/>
        <w:ind w:left="720"/>
        <w:rPr>
          <w:rFonts w:ascii="Times New Roman" w:hAnsi="Times New Roman"/>
          <w:b w:val="0"/>
          <w:bCs w:val="0"/>
          <w:i w:val="0"/>
          <w:iCs w:val="0"/>
          <w:sz w:val="24"/>
          <w:szCs w:val="24"/>
        </w:rPr>
      </w:pPr>
      <w:r w:rsidRPr="00716E29">
        <w:rPr>
          <w:rFonts w:ascii="Times New Roman" w:hAnsi="Times New Roman"/>
          <w:b w:val="0"/>
          <w:bCs w:val="0"/>
          <w:i w:val="0"/>
          <w:iCs w:val="0"/>
          <w:sz w:val="24"/>
          <w:szCs w:val="24"/>
        </w:rPr>
        <w:t xml:space="preserve">2921.43 Soliciting or accepting improper compensation. </w:t>
      </w:r>
      <w:hyperlink r:id="rId285" w:history="1">
        <w:r w:rsidRPr="00716E29">
          <w:rPr>
            <w:rStyle w:val="Hyperlink"/>
            <w:rFonts w:ascii="Times New Roman" w:hAnsi="Times New Roman"/>
            <w:b w:val="0"/>
            <w:bCs w:val="0"/>
            <w:i w:val="0"/>
            <w:iCs w:val="0"/>
            <w:sz w:val="24"/>
            <w:szCs w:val="24"/>
          </w:rPr>
          <w:t>http://codes.ohio.gov/orc/2921.43</w:t>
        </w:r>
      </w:hyperlink>
      <w:r w:rsidRPr="00716E29">
        <w:rPr>
          <w:rFonts w:ascii="Times New Roman" w:hAnsi="Times New Roman"/>
          <w:b w:val="0"/>
          <w:bCs w:val="0"/>
          <w:i w:val="0"/>
          <w:iCs w:val="0"/>
          <w:sz w:val="24"/>
          <w:szCs w:val="24"/>
        </w:rPr>
        <w:t xml:space="preserve"> </w:t>
      </w:r>
    </w:p>
    <w:p w14:paraId="4871180E" w14:textId="541458E7" w:rsidR="00CD5950" w:rsidRDefault="00CD5950" w:rsidP="002B1283">
      <w:pPr>
        <w:rPr>
          <w:rFonts w:ascii="Arial Black" w:hAnsi="Arial Black"/>
          <w:b/>
          <w:sz w:val="24"/>
          <w:szCs w:val="24"/>
        </w:rPr>
      </w:pPr>
    </w:p>
    <w:p w14:paraId="2BA37E25" w14:textId="0CD43D28" w:rsidR="00CD5950" w:rsidRDefault="00CD5950" w:rsidP="002B1283">
      <w:pPr>
        <w:rPr>
          <w:rFonts w:ascii="Arial Black" w:hAnsi="Arial Black"/>
          <w:b/>
          <w:sz w:val="24"/>
          <w:szCs w:val="24"/>
        </w:rPr>
      </w:pPr>
      <w:r>
        <w:rPr>
          <w:rFonts w:ascii="Arial Black" w:hAnsi="Arial Black"/>
          <w:b/>
          <w:sz w:val="24"/>
          <w:szCs w:val="24"/>
        </w:rPr>
        <w:t>1-7</w:t>
      </w:r>
      <w:r w:rsidR="000F483A">
        <w:rPr>
          <w:rFonts w:ascii="Arial Black" w:hAnsi="Arial Black"/>
          <w:b/>
          <w:sz w:val="24"/>
          <w:szCs w:val="24"/>
        </w:rPr>
        <w:t>3</w:t>
      </w:r>
    </w:p>
    <w:p w14:paraId="51570D31" w14:textId="77777777" w:rsidR="00CD5950" w:rsidRPr="00DF1EAD" w:rsidRDefault="00CD5950" w:rsidP="00CD5950">
      <w:pPr>
        <w:rPr>
          <w:rStyle w:val="num"/>
          <w:rFonts w:ascii="Arial Black" w:hAnsi="Arial Black"/>
          <w:sz w:val="28"/>
          <w:szCs w:val="28"/>
        </w:rPr>
      </w:pPr>
      <w:r>
        <w:rPr>
          <w:rStyle w:val="num"/>
          <w:rFonts w:ascii="Arial Black" w:hAnsi="Arial Black"/>
          <w:sz w:val="28"/>
          <w:szCs w:val="28"/>
        </w:rPr>
        <w:t>VA:  FED. FIREARMS LAW – MISD. DOMESTIC VIOLENCE CONV. - LIFETIME BAN – VOL. FF MUST GET EXPUNGED</w:t>
      </w:r>
    </w:p>
    <w:p w14:paraId="13A1E40D" w14:textId="77777777" w:rsidR="00CD5950" w:rsidRDefault="00CD5950" w:rsidP="00CD5950">
      <w:pPr>
        <w:pStyle w:val="Heading1"/>
        <w:rPr>
          <w:b w:val="0"/>
          <w:bCs w:val="0"/>
          <w:sz w:val="24"/>
          <w:szCs w:val="24"/>
        </w:rPr>
      </w:pPr>
      <w:r>
        <w:rPr>
          <w:b w:val="0"/>
          <w:bCs w:val="0"/>
          <w:sz w:val="24"/>
          <w:szCs w:val="24"/>
        </w:rPr>
        <w:t xml:space="preserve">On Feb. 22, 2021, in </w:t>
      </w:r>
      <w:r w:rsidRPr="00506AF4">
        <w:rPr>
          <w:b w:val="0"/>
          <w:bCs w:val="0"/>
          <w:sz w:val="24"/>
          <w:szCs w:val="24"/>
          <w:u w:val="single"/>
        </w:rPr>
        <w:t>Robert Timothy Harley v. Robert M. Wil</w:t>
      </w:r>
      <w:r>
        <w:rPr>
          <w:b w:val="0"/>
          <w:bCs w:val="0"/>
          <w:sz w:val="24"/>
          <w:szCs w:val="24"/>
          <w:u w:val="single"/>
        </w:rPr>
        <w:t>kin</w:t>
      </w:r>
      <w:r w:rsidRPr="00506AF4">
        <w:rPr>
          <w:b w:val="0"/>
          <w:bCs w:val="0"/>
          <w:sz w:val="24"/>
          <w:szCs w:val="24"/>
          <w:u w:val="single"/>
        </w:rPr>
        <w:t>son, Acting Attorney General of United States</w:t>
      </w:r>
      <w:r>
        <w:rPr>
          <w:b w:val="0"/>
          <w:bCs w:val="0"/>
          <w:sz w:val="24"/>
          <w:szCs w:val="24"/>
        </w:rPr>
        <w:t>, the U.S. Court of Appeals for the Fourth Circuit held (2 to 1) that federal courts have no authority to amend the life-time ban imposed by Congress in 1996 on possession of a firearm by anyone convicted of “</w:t>
      </w:r>
      <w:hyperlink r:id="rId286" w:history="1">
        <w:r w:rsidRPr="00041BD1">
          <w:rPr>
            <w:rStyle w:val="Hyperlink"/>
            <w:b w:val="0"/>
            <w:bCs w:val="0"/>
            <w:sz w:val="24"/>
            <w:szCs w:val="24"/>
          </w:rPr>
          <w:t>misdemeanor crime of domestic violence</w:t>
        </w:r>
      </w:hyperlink>
      <w:r>
        <w:rPr>
          <w:b w:val="0"/>
          <w:bCs w:val="0"/>
          <w:sz w:val="24"/>
          <w:szCs w:val="24"/>
        </w:rPr>
        <w:t xml:space="preserve">” (18 USC 922 (g)(9)). His only remedy is to seek expungement of the conviction in Virginia, or a pardon from the President. </w:t>
      </w:r>
    </w:p>
    <w:p w14:paraId="44B672A1" w14:textId="77777777" w:rsidR="00CD5950" w:rsidRDefault="00CD5950" w:rsidP="00CD5950">
      <w:pPr>
        <w:pStyle w:val="Heading1"/>
        <w:ind w:left="720"/>
        <w:rPr>
          <w:b w:val="0"/>
          <w:bCs w:val="0"/>
          <w:sz w:val="24"/>
          <w:szCs w:val="24"/>
        </w:rPr>
      </w:pPr>
      <w:r>
        <w:rPr>
          <w:b w:val="0"/>
          <w:bCs w:val="0"/>
          <w:sz w:val="24"/>
          <w:szCs w:val="24"/>
        </w:rPr>
        <w:t>“</w:t>
      </w:r>
      <w:r w:rsidRPr="00A555AB">
        <w:rPr>
          <w:b w:val="0"/>
          <w:bCs w:val="0"/>
          <w:sz w:val="24"/>
          <w:szCs w:val="24"/>
        </w:rPr>
        <w:t>Harley argues that the district court improperly conducted its as-applied analysis under the Second Amendment because the court failed to consider Harley's personal history following his conviction. He contends that his individual characteristics, namely, the long passage of time since his misdemeanor conviction and his exemplary life in the many years since his conviction, render Section 922(g)(9) unconstitutional as applied to him.</w:t>
      </w:r>
    </w:p>
    <w:p w14:paraId="26587543" w14:textId="77777777" w:rsidR="00CD5950" w:rsidRDefault="00CD5950" w:rsidP="00CD5950">
      <w:pPr>
        <w:pStyle w:val="Heading1"/>
        <w:ind w:firstLine="720"/>
        <w:rPr>
          <w:b w:val="0"/>
          <w:bCs w:val="0"/>
          <w:sz w:val="24"/>
          <w:szCs w:val="24"/>
        </w:rPr>
      </w:pPr>
      <w:r>
        <w:rPr>
          <w:b w:val="0"/>
          <w:bCs w:val="0"/>
          <w:sz w:val="24"/>
          <w:szCs w:val="24"/>
        </w:rPr>
        <w:t>***</w:t>
      </w:r>
    </w:p>
    <w:p w14:paraId="2A975EF6" w14:textId="77777777" w:rsidR="00CD5950" w:rsidRDefault="00CD5950" w:rsidP="00CD5950">
      <w:pPr>
        <w:pStyle w:val="Heading1"/>
        <w:ind w:left="720"/>
        <w:rPr>
          <w:b w:val="0"/>
          <w:bCs w:val="0"/>
          <w:sz w:val="24"/>
          <w:szCs w:val="24"/>
        </w:rPr>
      </w:pPr>
      <w:r w:rsidRPr="00DF1EAD">
        <w:rPr>
          <w:b w:val="0"/>
          <w:bCs w:val="0"/>
          <w:sz w:val="24"/>
          <w:szCs w:val="24"/>
        </w:rPr>
        <w:t xml:space="preserve">Harley's suggested approach is fundamentally flawed because it effectively would create an exception to the statute that does not exist. The statute imposes a flat prohibition, with no reference to individual circumstances occurring after the disqualifying conviction. Despite its power to do so, Congress did not </w:t>
      </w:r>
      <w:r w:rsidRPr="00DF1EAD">
        <w:rPr>
          <w:b w:val="0"/>
          <w:bCs w:val="0"/>
          <w:sz w:val="24"/>
          <w:szCs w:val="24"/>
        </w:rPr>
        <w:lastRenderedPageBreak/>
        <w:t>provide a sunset clause or a good behavior exception to the statute.</w:t>
      </w:r>
      <w:r>
        <w:rPr>
          <w:b w:val="0"/>
          <w:bCs w:val="0"/>
          <w:sz w:val="24"/>
          <w:szCs w:val="24"/>
        </w:rPr>
        <w:t xml:space="preserve">” </w:t>
      </w:r>
      <w:hyperlink r:id="rId287" w:history="1">
        <w:r w:rsidRPr="00EA374E">
          <w:rPr>
            <w:rStyle w:val="Hyperlink"/>
            <w:b w:val="0"/>
            <w:bCs w:val="0"/>
            <w:sz w:val="24"/>
            <w:szCs w:val="24"/>
          </w:rPr>
          <w:t>https://www.ca4.uscourts.gov/opinions/191632.P.pdf</w:t>
        </w:r>
      </w:hyperlink>
      <w:r>
        <w:rPr>
          <w:b w:val="0"/>
          <w:bCs w:val="0"/>
          <w:sz w:val="24"/>
          <w:szCs w:val="24"/>
        </w:rPr>
        <w:t xml:space="preserve"> </w:t>
      </w:r>
    </w:p>
    <w:p w14:paraId="0C22D21F" w14:textId="77777777" w:rsidR="00CD5950" w:rsidRDefault="00CD5950" w:rsidP="00CD5950">
      <w:pPr>
        <w:pStyle w:val="NoSpacing"/>
        <w:rPr>
          <w:rFonts w:ascii="Times New Roman" w:hAnsi="Times New Roman"/>
          <w:sz w:val="24"/>
          <w:szCs w:val="24"/>
        </w:rPr>
      </w:pPr>
    </w:p>
    <w:p w14:paraId="66E8928F" w14:textId="77777777" w:rsidR="00CD5950" w:rsidRDefault="00CD5950" w:rsidP="00CD5950">
      <w:pPr>
        <w:pStyle w:val="NoSpacing"/>
        <w:rPr>
          <w:rFonts w:ascii="Times New Roman" w:hAnsi="Times New Roman"/>
          <w:sz w:val="24"/>
          <w:szCs w:val="24"/>
        </w:rPr>
      </w:pPr>
      <w:r w:rsidRPr="00041BD1">
        <w:rPr>
          <w:rFonts w:ascii="Times New Roman" w:hAnsi="Times New Roman"/>
          <w:b/>
          <w:bCs/>
          <w:sz w:val="24"/>
          <w:szCs w:val="24"/>
        </w:rPr>
        <w:t>Legal Lesson Learned:</w:t>
      </w:r>
      <w:r>
        <w:rPr>
          <w:rFonts w:ascii="Times New Roman" w:hAnsi="Times New Roman"/>
          <w:b/>
          <w:bCs/>
          <w:sz w:val="24"/>
          <w:szCs w:val="24"/>
        </w:rPr>
        <w:t xml:space="preserve">  Congress enacted this statute in 1996 in response to an increase in use of firearms in domestic violence cases.  </w:t>
      </w:r>
    </w:p>
    <w:p w14:paraId="034B5DB5" w14:textId="77777777" w:rsidR="00CD5950" w:rsidRDefault="00CD5950" w:rsidP="00CD5950">
      <w:pPr>
        <w:pStyle w:val="NoSpacing"/>
        <w:rPr>
          <w:rFonts w:ascii="Times New Roman" w:hAnsi="Times New Roman"/>
          <w:sz w:val="24"/>
          <w:szCs w:val="24"/>
        </w:rPr>
      </w:pPr>
    </w:p>
    <w:p w14:paraId="7D568F7D" w14:textId="77777777" w:rsidR="00CD5950" w:rsidRDefault="00CD5950" w:rsidP="00CD5950">
      <w:pPr>
        <w:pStyle w:val="NoSpacing"/>
        <w:ind w:left="720"/>
        <w:rPr>
          <w:rFonts w:ascii="Times New Roman" w:hAnsi="Times New Roman"/>
          <w:sz w:val="24"/>
          <w:szCs w:val="24"/>
        </w:rPr>
      </w:pPr>
      <w:r>
        <w:rPr>
          <w:rFonts w:ascii="Times New Roman" w:hAnsi="Times New Roman"/>
          <w:sz w:val="24"/>
          <w:szCs w:val="24"/>
        </w:rPr>
        <w:t xml:space="preserve">Note:   See these additional facts [from Dissenting Opinion by Circuit Judge Julius N. Richardson]  </w:t>
      </w:r>
    </w:p>
    <w:p w14:paraId="7CCBAB17" w14:textId="77777777" w:rsidR="00CD5950" w:rsidRDefault="00CD5950" w:rsidP="00CD5950">
      <w:pPr>
        <w:pStyle w:val="NoSpacing"/>
        <w:rPr>
          <w:rFonts w:ascii="Times New Roman" w:hAnsi="Times New Roman"/>
          <w:sz w:val="24"/>
          <w:szCs w:val="24"/>
        </w:rPr>
      </w:pPr>
    </w:p>
    <w:p w14:paraId="2C6F8BDD" w14:textId="77777777" w:rsidR="00CD5950" w:rsidRPr="00420C04" w:rsidRDefault="00CD5950" w:rsidP="00CD5950">
      <w:pPr>
        <w:pStyle w:val="NoSpacing"/>
        <w:ind w:left="1440"/>
        <w:rPr>
          <w:rFonts w:ascii="Times New Roman" w:eastAsia="Times New Roman" w:hAnsi="Times New Roman"/>
          <w:sz w:val="24"/>
          <w:szCs w:val="24"/>
        </w:rPr>
      </w:pPr>
      <w:r>
        <w:rPr>
          <w:rFonts w:ascii="Times New Roman" w:hAnsi="Times New Roman"/>
          <w:sz w:val="24"/>
          <w:szCs w:val="24"/>
        </w:rPr>
        <w:t>“</w:t>
      </w:r>
      <w:r w:rsidRPr="00420C04">
        <w:rPr>
          <w:rFonts w:ascii="Times New Roman" w:eastAsia="Times New Roman" w:hAnsi="Times New Roman"/>
          <w:sz w:val="24"/>
          <w:szCs w:val="24"/>
        </w:rPr>
        <w:t>Nearly thirty years ago, Harley paid a $75 fine after pleading guilty to a misdemeanor domestic assault charge under Virginia Code § 18.2-57.2. As Harley alleges,</w:t>
      </w:r>
      <w:r>
        <w:rPr>
          <w:rFonts w:ascii="Times New Roman" w:eastAsia="Times New Roman" w:hAnsi="Times New Roman"/>
          <w:sz w:val="24"/>
          <w:szCs w:val="24"/>
        </w:rPr>
        <w:t xml:space="preserve"> </w:t>
      </w:r>
      <w:r w:rsidRPr="00420C04">
        <w:rPr>
          <w:rFonts w:ascii="Times New Roman" w:eastAsia="Times New Roman" w:hAnsi="Times New Roman"/>
          <w:sz w:val="24"/>
          <w:szCs w:val="24"/>
        </w:rPr>
        <w:t xml:space="preserve">[t]he charge was based on a single, </w:t>
      </w:r>
      <w:proofErr w:type="gramStart"/>
      <w:r w:rsidRPr="00420C04">
        <w:rPr>
          <w:rFonts w:ascii="Times New Roman" w:eastAsia="Times New Roman" w:hAnsi="Times New Roman"/>
          <w:sz w:val="24"/>
          <w:szCs w:val="24"/>
        </w:rPr>
        <w:t>one off</w:t>
      </w:r>
      <w:proofErr w:type="gramEnd"/>
      <w:r w:rsidRPr="00420C04">
        <w:rPr>
          <w:rFonts w:ascii="Times New Roman" w:eastAsia="Times New Roman" w:hAnsi="Times New Roman"/>
          <w:sz w:val="24"/>
          <w:szCs w:val="24"/>
        </w:rPr>
        <w:t xml:space="preserve"> incident[:] Mr. Harley and his wife had an argument while she was inside a </w:t>
      </w:r>
      <w:proofErr w:type="gramStart"/>
      <w:r w:rsidRPr="00420C04">
        <w:rPr>
          <w:rFonts w:ascii="Times New Roman" w:eastAsia="Times New Roman" w:hAnsi="Times New Roman"/>
          <w:sz w:val="24"/>
          <w:szCs w:val="24"/>
        </w:rPr>
        <w:t>SUV</w:t>
      </w:r>
      <w:proofErr w:type="gramEnd"/>
      <w:r w:rsidRPr="00420C04">
        <w:rPr>
          <w:rFonts w:ascii="Times New Roman" w:eastAsia="Times New Roman" w:hAnsi="Times New Roman"/>
          <w:sz w:val="24"/>
          <w:szCs w:val="24"/>
        </w:rPr>
        <w:t xml:space="preserve"> and he was standing outside the vehicle. He stood on the running board and reached into the vehicle to turn it off, and she pushed him. He reached inside the vehicle to hold on and, in so doing, he grabbed her arm</w:t>
      </w:r>
      <w:r>
        <w:rPr>
          <w:rFonts w:ascii="Times New Roman" w:eastAsia="Times New Roman" w:hAnsi="Times New Roman"/>
          <w:sz w:val="24"/>
          <w:szCs w:val="24"/>
        </w:rPr>
        <w:t xml:space="preserve">…. </w:t>
      </w:r>
      <w:r w:rsidRPr="00420C04">
        <w:rPr>
          <w:rFonts w:ascii="Times New Roman" w:eastAsia="Times New Roman" w:hAnsi="Times New Roman"/>
          <w:sz w:val="24"/>
          <w:szCs w:val="24"/>
        </w:rPr>
        <w:t xml:space="preserve">During the incident, there </w:t>
      </w:r>
      <w:r>
        <w:rPr>
          <w:rFonts w:ascii="Times New Roman" w:eastAsia="Times New Roman" w:hAnsi="Times New Roman"/>
          <w:sz w:val="24"/>
          <w:szCs w:val="24"/>
        </w:rPr>
        <w:t>‘</w:t>
      </w:r>
      <w:r w:rsidRPr="00420C04">
        <w:rPr>
          <w:rFonts w:ascii="Times New Roman" w:eastAsia="Times New Roman" w:hAnsi="Times New Roman"/>
          <w:sz w:val="24"/>
          <w:szCs w:val="24"/>
        </w:rPr>
        <w:t>was no punching, slapping, hitting, or violence.</w:t>
      </w:r>
      <w:r>
        <w:rPr>
          <w:rFonts w:ascii="Times New Roman" w:eastAsia="Times New Roman" w:hAnsi="Times New Roman"/>
          <w:sz w:val="24"/>
          <w:szCs w:val="24"/>
        </w:rPr>
        <w:t>’</w:t>
      </w:r>
      <w:r w:rsidRPr="00420C04">
        <w:rPr>
          <w:rFonts w:ascii="Times New Roman" w:eastAsia="Times New Roman" w:hAnsi="Times New Roman"/>
          <w:sz w:val="24"/>
          <w:szCs w:val="24"/>
        </w:rPr>
        <w:t xml:space="preserve"> </w:t>
      </w:r>
      <w:r w:rsidRPr="00420C04">
        <w:rPr>
          <w:rFonts w:ascii="Times New Roman" w:eastAsia="Times New Roman" w:hAnsi="Times New Roman"/>
          <w:i/>
          <w:iCs/>
          <w:sz w:val="24"/>
          <w:szCs w:val="24"/>
        </w:rPr>
        <w:t>Id</w:t>
      </w:r>
      <w:r w:rsidRPr="00420C04">
        <w:rPr>
          <w:rFonts w:ascii="Times New Roman" w:eastAsia="Times New Roman" w:hAnsi="Times New Roman"/>
          <w:sz w:val="24"/>
          <w:szCs w:val="24"/>
        </w:rPr>
        <w:t xml:space="preserve">. While Harley and his wife later separated and divorced, they </w:t>
      </w:r>
      <w:r>
        <w:rPr>
          <w:rFonts w:ascii="Times New Roman" w:eastAsia="Times New Roman" w:hAnsi="Times New Roman"/>
          <w:sz w:val="24"/>
          <w:szCs w:val="24"/>
        </w:rPr>
        <w:t>‘</w:t>
      </w:r>
      <w:r w:rsidRPr="00420C04">
        <w:rPr>
          <w:rFonts w:ascii="Times New Roman" w:eastAsia="Times New Roman" w:hAnsi="Times New Roman"/>
          <w:sz w:val="24"/>
          <w:szCs w:val="24"/>
        </w:rPr>
        <w:t>remained on friendly and amicable terms working collaboratively to successfully raise their children.</w:t>
      </w:r>
      <w:r>
        <w:rPr>
          <w:rFonts w:ascii="Times New Roman" w:eastAsia="Times New Roman" w:hAnsi="Times New Roman"/>
          <w:sz w:val="24"/>
          <w:szCs w:val="24"/>
        </w:rPr>
        <w:t>’</w:t>
      </w:r>
      <w:r w:rsidRPr="00420C04">
        <w:rPr>
          <w:rFonts w:ascii="Times New Roman" w:eastAsia="Times New Roman" w:hAnsi="Times New Roman"/>
          <w:sz w:val="24"/>
          <w:szCs w:val="24"/>
        </w:rPr>
        <w:t xml:space="preserve"> </w:t>
      </w:r>
      <w:r w:rsidRPr="00420C04">
        <w:rPr>
          <w:rFonts w:ascii="Times New Roman" w:eastAsia="Times New Roman" w:hAnsi="Times New Roman"/>
          <w:i/>
          <w:iCs/>
          <w:sz w:val="24"/>
          <w:szCs w:val="24"/>
        </w:rPr>
        <w:t>Id</w:t>
      </w:r>
      <w:r w:rsidRPr="00420C04">
        <w:rPr>
          <w:rFonts w:ascii="Times New Roman" w:eastAsia="Times New Roman" w:hAnsi="Times New Roman"/>
          <w:sz w:val="24"/>
          <w:szCs w:val="24"/>
        </w:rPr>
        <w:t>. Harley provided an affidavit from his ex-wife supporting his version of the incident underlying his conviction. J.A. 23-24.</w:t>
      </w:r>
    </w:p>
    <w:p w14:paraId="4E557686" w14:textId="77777777" w:rsidR="00CD5950" w:rsidRDefault="00CD5950" w:rsidP="00CD5950">
      <w:pPr>
        <w:pStyle w:val="NoSpacing"/>
        <w:ind w:left="720" w:firstLine="720"/>
        <w:rPr>
          <w:rFonts w:ascii="Times New Roman" w:hAnsi="Times New Roman"/>
          <w:sz w:val="24"/>
          <w:szCs w:val="24"/>
        </w:rPr>
      </w:pPr>
    </w:p>
    <w:p w14:paraId="7E8E65DF" w14:textId="77777777" w:rsidR="00CD5950" w:rsidRDefault="00CD5950" w:rsidP="00CD5950">
      <w:pPr>
        <w:pStyle w:val="NoSpacing"/>
        <w:ind w:left="720" w:firstLine="720"/>
        <w:rPr>
          <w:rFonts w:ascii="Times New Roman" w:hAnsi="Times New Roman"/>
          <w:sz w:val="24"/>
          <w:szCs w:val="24"/>
        </w:rPr>
      </w:pPr>
    </w:p>
    <w:p w14:paraId="37E70D9B" w14:textId="77777777" w:rsidR="00CD5950" w:rsidRDefault="00CD5950" w:rsidP="00CD5950">
      <w:pPr>
        <w:pStyle w:val="NoSpacing"/>
        <w:ind w:left="720" w:firstLine="720"/>
        <w:rPr>
          <w:rFonts w:ascii="Times New Roman" w:hAnsi="Times New Roman"/>
          <w:sz w:val="24"/>
          <w:szCs w:val="24"/>
        </w:rPr>
      </w:pPr>
      <w:r>
        <w:rPr>
          <w:rFonts w:ascii="Times New Roman" w:hAnsi="Times New Roman"/>
          <w:sz w:val="24"/>
          <w:szCs w:val="24"/>
        </w:rPr>
        <w:t>***</w:t>
      </w:r>
    </w:p>
    <w:p w14:paraId="3601B4DF" w14:textId="77777777" w:rsidR="00CD5950" w:rsidRPr="00420C04" w:rsidRDefault="00CD5950" w:rsidP="00CD5950">
      <w:pPr>
        <w:pStyle w:val="NoSpacing"/>
        <w:ind w:left="1440"/>
        <w:rPr>
          <w:rFonts w:ascii="Times New Roman" w:hAnsi="Times New Roman"/>
          <w:sz w:val="24"/>
          <w:szCs w:val="24"/>
        </w:rPr>
      </w:pPr>
      <w:r w:rsidRPr="00420C04">
        <w:rPr>
          <w:rFonts w:ascii="Times New Roman" w:hAnsi="Times New Roman"/>
          <w:sz w:val="24"/>
          <w:szCs w:val="24"/>
        </w:rPr>
        <w:t xml:space="preserve">The government, citing a police report, suggests that Harley's actions were more serious and perhaps not a lone incident. </w:t>
      </w:r>
      <w:r w:rsidRPr="00420C04">
        <w:rPr>
          <w:rFonts w:ascii="Times New Roman" w:hAnsi="Times New Roman"/>
          <w:i/>
          <w:iCs/>
          <w:sz w:val="24"/>
          <w:szCs w:val="24"/>
        </w:rPr>
        <w:t>See</w:t>
      </w:r>
      <w:r w:rsidRPr="00420C04">
        <w:rPr>
          <w:rFonts w:ascii="Times New Roman" w:hAnsi="Times New Roman"/>
          <w:sz w:val="24"/>
          <w:szCs w:val="24"/>
        </w:rPr>
        <w:t xml:space="preserve"> Appellee Br. 3; J.A. 73. Maybe so. But the district court ignored the conduct underlying the conviction, believing it was not germane, and granted summary judgment for the government. In doing so, the court disregarded Harley's particular conviction.</w:t>
      </w:r>
    </w:p>
    <w:p w14:paraId="7A84A660" w14:textId="77777777" w:rsidR="00CD5950" w:rsidRDefault="00CD5950" w:rsidP="00CD5950">
      <w:pPr>
        <w:pStyle w:val="NoSpacing"/>
        <w:ind w:left="720"/>
        <w:rPr>
          <w:rFonts w:ascii="Times New Roman" w:hAnsi="Times New Roman"/>
          <w:sz w:val="24"/>
          <w:szCs w:val="24"/>
        </w:rPr>
      </w:pPr>
    </w:p>
    <w:p w14:paraId="4DEFA922" w14:textId="77777777" w:rsidR="00CD5950" w:rsidRDefault="00CD5950" w:rsidP="00CD5950">
      <w:pPr>
        <w:pStyle w:val="NoSpacing"/>
        <w:ind w:left="720" w:firstLine="720"/>
        <w:rPr>
          <w:rFonts w:ascii="Times New Roman" w:hAnsi="Times New Roman"/>
          <w:sz w:val="24"/>
          <w:szCs w:val="24"/>
        </w:rPr>
      </w:pPr>
      <w:r>
        <w:rPr>
          <w:rFonts w:ascii="Times New Roman" w:hAnsi="Times New Roman"/>
          <w:sz w:val="24"/>
          <w:szCs w:val="24"/>
        </w:rPr>
        <w:t>***</w:t>
      </w:r>
    </w:p>
    <w:p w14:paraId="7E386BB8" w14:textId="77777777" w:rsidR="00CD5950" w:rsidRDefault="00CD5950" w:rsidP="00CD5950">
      <w:pPr>
        <w:pStyle w:val="NoSpacing"/>
        <w:rPr>
          <w:rFonts w:ascii="Times New Roman" w:hAnsi="Times New Roman"/>
          <w:sz w:val="24"/>
          <w:szCs w:val="24"/>
        </w:rPr>
      </w:pPr>
    </w:p>
    <w:p w14:paraId="55896109" w14:textId="77777777" w:rsidR="00CD5950" w:rsidRPr="00420C04" w:rsidRDefault="00CD5950" w:rsidP="00CD5950">
      <w:pPr>
        <w:pStyle w:val="NoSpacing"/>
        <w:ind w:left="1440"/>
        <w:rPr>
          <w:rFonts w:ascii="Times New Roman" w:hAnsi="Times New Roman"/>
          <w:sz w:val="24"/>
          <w:szCs w:val="24"/>
        </w:rPr>
      </w:pPr>
      <w:r w:rsidRPr="00420C04">
        <w:rPr>
          <w:rFonts w:ascii="Times New Roman" w:hAnsi="Times New Roman"/>
          <w:sz w:val="24"/>
          <w:szCs w:val="24"/>
        </w:rPr>
        <w:t>Harley plausibly claims that § 922(g)(9) cannot be constitutionally applied to him as an individual with a nearly thirty-year-old misdemeanor conviction for recklessly causing an offensive touching. We should not categorically reject that claim. Accordingly, I respectfully dissent.</w:t>
      </w:r>
      <w:r>
        <w:rPr>
          <w:rFonts w:ascii="Times New Roman" w:hAnsi="Times New Roman"/>
          <w:sz w:val="24"/>
          <w:szCs w:val="24"/>
        </w:rPr>
        <w:t>”</w:t>
      </w:r>
    </w:p>
    <w:p w14:paraId="125C8564" w14:textId="77777777" w:rsidR="00CD5950" w:rsidRDefault="00CD5950" w:rsidP="00CD5950">
      <w:pPr>
        <w:pStyle w:val="NoSpacing"/>
        <w:ind w:left="720"/>
        <w:rPr>
          <w:rFonts w:ascii="Times New Roman" w:hAnsi="Times New Roman"/>
          <w:sz w:val="24"/>
          <w:szCs w:val="24"/>
        </w:rPr>
      </w:pPr>
    </w:p>
    <w:p w14:paraId="30F0AFD9" w14:textId="77777777" w:rsidR="00CD5950" w:rsidRDefault="00CD5950" w:rsidP="002B1283">
      <w:pPr>
        <w:rPr>
          <w:rFonts w:ascii="Arial Black" w:hAnsi="Arial Black"/>
          <w:b/>
          <w:sz w:val="24"/>
          <w:szCs w:val="24"/>
        </w:rPr>
      </w:pPr>
    </w:p>
    <w:p w14:paraId="3772B35A" w14:textId="77777777" w:rsidR="00CD5950" w:rsidRDefault="00CD5950" w:rsidP="002B1283">
      <w:pPr>
        <w:rPr>
          <w:rFonts w:ascii="Arial Black" w:hAnsi="Arial Black"/>
          <w:b/>
          <w:sz w:val="24"/>
          <w:szCs w:val="24"/>
        </w:rPr>
      </w:pPr>
    </w:p>
    <w:p w14:paraId="50C66CFE" w14:textId="43748C91" w:rsidR="00F90EE5" w:rsidRDefault="00F90EE5" w:rsidP="002B1283">
      <w:pPr>
        <w:rPr>
          <w:rFonts w:ascii="Arial Black" w:hAnsi="Arial Black"/>
          <w:b/>
          <w:sz w:val="24"/>
          <w:szCs w:val="24"/>
        </w:rPr>
      </w:pPr>
      <w:r>
        <w:rPr>
          <w:rFonts w:ascii="Arial Black" w:hAnsi="Arial Black"/>
          <w:b/>
          <w:sz w:val="24"/>
          <w:szCs w:val="24"/>
        </w:rPr>
        <w:t>1-7</w:t>
      </w:r>
      <w:r w:rsidR="000F483A">
        <w:rPr>
          <w:rFonts w:ascii="Arial Black" w:hAnsi="Arial Black"/>
          <w:b/>
          <w:sz w:val="24"/>
          <w:szCs w:val="24"/>
        </w:rPr>
        <w:t>2</w:t>
      </w:r>
    </w:p>
    <w:p w14:paraId="6F934797" w14:textId="77777777" w:rsidR="00F90EE5" w:rsidRDefault="00F90EE5" w:rsidP="00F90EE5">
      <w:pPr>
        <w:rPr>
          <w:rFonts w:ascii="Arial Black" w:hAnsi="Arial Black"/>
          <w:sz w:val="28"/>
          <w:szCs w:val="28"/>
        </w:rPr>
      </w:pPr>
      <w:r>
        <w:rPr>
          <w:rFonts w:ascii="Arial Black" w:hAnsi="Arial Black"/>
          <w:sz w:val="28"/>
          <w:szCs w:val="28"/>
        </w:rPr>
        <w:t>WA: BURN BAN – SMALL FIRE – PD NEEDED WARRANT, “COMMUNITY CARETAKING” EXCEPTION DOESN’T APPY</w:t>
      </w:r>
    </w:p>
    <w:p w14:paraId="002E708F" w14:textId="77777777" w:rsidR="00F90EE5" w:rsidRDefault="00F90EE5" w:rsidP="00F90EE5">
      <w:pPr>
        <w:rPr>
          <w:rFonts w:ascii="Times New Roman" w:hAnsi="Times New Roman"/>
          <w:sz w:val="24"/>
          <w:szCs w:val="24"/>
        </w:rPr>
      </w:pPr>
      <w:r>
        <w:rPr>
          <w:rFonts w:ascii="Times New Roman" w:hAnsi="Times New Roman"/>
          <w:sz w:val="24"/>
          <w:szCs w:val="24"/>
        </w:rPr>
        <w:t xml:space="preserve">On Jan. 26, 2021, in </w:t>
      </w:r>
      <w:r w:rsidRPr="00E17590">
        <w:rPr>
          <w:rFonts w:ascii="Times New Roman" w:hAnsi="Times New Roman"/>
          <w:sz w:val="24"/>
          <w:szCs w:val="24"/>
          <w:u w:val="single"/>
        </w:rPr>
        <w:t xml:space="preserve">State of Washington v. Troy C. </w:t>
      </w:r>
      <w:proofErr w:type="spellStart"/>
      <w:r w:rsidRPr="00E17590">
        <w:rPr>
          <w:rFonts w:ascii="Times New Roman" w:hAnsi="Times New Roman"/>
          <w:sz w:val="24"/>
          <w:szCs w:val="24"/>
          <w:u w:val="single"/>
        </w:rPr>
        <w:t>Restvedt</w:t>
      </w:r>
      <w:proofErr w:type="spellEnd"/>
      <w:r>
        <w:rPr>
          <w:rFonts w:ascii="Times New Roman" w:hAnsi="Times New Roman"/>
          <w:sz w:val="24"/>
          <w:szCs w:val="24"/>
        </w:rPr>
        <w:t xml:space="preserve">, the Court of Appeals of the State of Washington (Division II) held (2 to 1; unpublished opinion) that </w:t>
      </w:r>
      <w:r w:rsidRPr="00E17590">
        <w:rPr>
          <w:rFonts w:ascii="Times New Roman" w:hAnsi="Times New Roman"/>
          <w:sz w:val="24"/>
          <w:szCs w:val="24"/>
        </w:rPr>
        <w:t xml:space="preserve">the trial court trial court </w:t>
      </w:r>
      <w:r>
        <w:rPr>
          <w:rFonts w:ascii="Times New Roman" w:hAnsi="Times New Roman"/>
          <w:sz w:val="24"/>
          <w:szCs w:val="24"/>
        </w:rPr>
        <w:t xml:space="preserve">improperly ruled </w:t>
      </w:r>
      <w:r w:rsidRPr="00E17590">
        <w:rPr>
          <w:rFonts w:ascii="Times New Roman" w:hAnsi="Times New Roman"/>
          <w:sz w:val="24"/>
          <w:szCs w:val="24"/>
        </w:rPr>
        <w:t>that the emergency aid function of the community caretaking exception applied to the officers' warrantless search</w:t>
      </w:r>
      <w:r>
        <w:rPr>
          <w:rFonts w:ascii="Times New Roman" w:hAnsi="Times New Roman"/>
          <w:sz w:val="24"/>
          <w:szCs w:val="24"/>
        </w:rPr>
        <w:t xml:space="preserve"> of the property and reversed the homeowners convictions for violating the no burn ordinance and resisting arrest.  The dissenting justice agreed with the trial court judge that no search warrant was required.</w:t>
      </w:r>
    </w:p>
    <w:p w14:paraId="10A0C571" w14:textId="77777777" w:rsidR="00F90EE5" w:rsidRPr="00D52F5A" w:rsidRDefault="00F90EE5" w:rsidP="00F90EE5">
      <w:pPr>
        <w:ind w:left="720"/>
        <w:rPr>
          <w:rFonts w:ascii="Times New Roman" w:hAnsi="Times New Roman"/>
          <w:sz w:val="24"/>
          <w:szCs w:val="24"/>
        </w:rPr>
      </w:pPr>
      <w:r>
        <w:rPr>
          <w:rFonts w:ascii="Times New Roman" w:hAnsi="Times New Roman"/>
          <w:sz w:val="24"/>
          <w:szCs w:val="24"/>
        </w:rPr>
        <w:lastRenderedPageBreak/>
        <w:t>“[T]he</w:t>
      </w:r>
      <w:r w:rsidRPr="00D52F5A">
        <w:rPr>
          <w:rFonts w:ascii="Times New Roman" w:hAnsi="Times New Roman"/>
          <w:sz w:val="24"/>
          <w:szCs w:val="24"/>
        </w:rPr>
        <w:t xml:space="preserve"> community caretaking exception is not the only exception to the warrant requirement. If officers were addressing a fire that was out of control, the exigent circumstances exception to the warrant requirement could have applied. </w:t>
      </w:r>
      <w:r w:rsidRPr="00D52F5A">
        <w:rPr>
          <w:rFonts w:ascii="Times New Roman" w:hAnsi="Times New Roman"/>
          <w:i/>
          <w:iCs/>
          <w:sz w:val="24"/>
          <w:szCs w:val="24"/>
        </w:rPr>
        <w:t>See State v</w:t>
      </w:r>
      <w:r w:rsidRPr="00D52F5A">
        <w:rPr>
          <w:rFonts w:ascii="Times New Roman" w:hAnsi="Times New Roman"/>
          <w:sz w:val="24"/>
          <w:szCs w:val="24"/>
        </w:rPr>
        <w:t xml:space="preserve">. </w:t>
      </w:r>
      <w:r w:rsidRPr="00D52F5A">
        <w:rPr>
          <w:rFonts w:ascii="Times New Roman" w:hAnsi="Times New Roman"/>
          <w:i/>
          <w:iCs/>
          <w:sz w:val="24"/>
          <w:szCs w:val="24"/>
        </w:rPr>
        <w:t>Rawley</w:t>
      </w:r>
      <w:r w:rsidRPr="00D52F5A">
        <w:rPr>
          <w:rFonts w:ascii="Times New Roman" w:hAnsi="Times New Roman"/>
          <w:sz w:val="24"/>
          <w:szCs w:val="24"/>
        </w:rPr>
        <w:t xml:space="preserve">, 13 </w:t>
      </w:r>
      <w:proofErr w:type="spellStart"/>
      <w:r w:rsidRPr="00D52F5A">
        <w:rPr>
          <w:rFonts w:ascii="Times New Roman" w:hAnsi="Times New Roman"/>
          <w:sz w:val="24"/>
          <w:szCs w:val="24"/>
        </w:rPr>
        <w:t>Wn</w:t>
      </w:r>
      <w:proofErr w:type="spellEnd"/>
      <w:r w:rsidRPr="00D52F5A">
        <w:rPr>
          <w:rFonts w:ascii="Times New Roman" w:hAnsi="Times New Roman"/>
          <w:sz w:val="24"/>
          <w:szCs w:val="24"/>
        </w:rPr>
        <w:t>. App. 2d 474, 479, 466 P.3d 784 (2020). But here there was no evidence of any exigent circumstances.</w:t>
      </w:r>
      <w:r>
        <w:rPr>
          <w:rFonts w:ascii="Times New Roman" w:hAnsi="Times New Roman"/>
          <w:sz w:val="24"/>
          <w:szCs w:val="24"/>
        </w:rPr>
        <w:t xml:space="preserve">” </w:t>
      </w:r>
      <w:hyperlink r:id="rId288" w:history="1">
        <w:r w:rsidRPr="00741B4E">
          <w:rPr>
            <w:rStyle w:val="Hyperlink"/>
            <w:rFonts w:ascii="Times New Roman" w:hAnsi="Times New Roman"/>
            <w:sz w:val="24"/>
            <w:szCs w:val="24"/>
          </w:rPr>
          <w:t>https://law.justia.com/cases/washington/court-of-appeals-division-ii/2021/53365-1.html</w:t>
        </w:r>
      </w:hyperlink>
      <w:r>
        <w:rPr>
          <w:rFonts w:ascii="Times New Roman" w:hAnsi="Times New Roman"/>
          <w:sz w:val="24"/>
          <w:szCs w:val="24"/>
        </w:rPr>
        <w:t xml:space="preserve"> </w:t>
      </w:r>
    </w:p>
    <w:p w14:paraId="126D9A86" w14:textId="77777777" w:rsidR="00F90EE5" w:rsidRDefault="00F90EE5" w:rsidP="00F90EE5">
      <w:pPr>
        <w:spacing w:after="100" w:line="240" w:lineRule="auto"/>
        <w:rPr>
          <w:rFonts w:ascii="Times New Roman" w:hAnsi="Times New Roman"/>
          <w:b/>
          <w:bCs/>
          <w:sz w:val="24"/>
          <w:szCs w:val="24"/>
        </w:rPr>
      </w:pPr>
      <w:r w:rsidRPr="00AF6A7E">
        <w:rPr>
          <w:rFonts w:ascii="Times New Roman" w:hAnsi="Times New Roman"/>
          <w:b/>
          <w:bCs/>
          <w:sz w:val="24"/>
          <w:szCs w:val="24"/>
        </w:rPr>
        <w:t xml:space="preserve">Legal Lesson Learned: </w:t>
      </w:r>
      <w:r>
        <w:rPr>
          <w:rFonts w:ascii="Times New Roman" w:hAnsi="Times New Roman"/>
          <w:b/>
          <w:bCs/>
          <w:sz w:val="24"/>
          <w:szCs w:val="24"/>
        </w:rPr>
        <w:t xml:space="preserve"> The dissenting judge agreed with the trial court that the police did not need a search warrant to enter the property. </w:t>
      </w:r>
      <w:r>
        <w:rPr>
          <w:rFonts w:ascii="Times New Roman" w:hAnsi="Times New Roman"/>
          <w:b/>
          <w:bCs/>
          <w:sz w:val="24"/>
          <w:szCs w:val="24"/>
        </w:rPr>
        <w:br/>
      </w:r>
    </w:p>
    <w:p w14:paraId="11CDB43D" w14:textId="77777777" w:rsidR="00F90EE5" w:rsidRDefault="00F90EE5" w:rsidP="00F90EE5">
      <w:pPr>
        <w:spacing w:after="100" w:line="240" w:lineRule="auto"/>
        <w:rPr>
          <w:rFonts w:ascii="Times New Roman" w:hAnsi="Times New Roman"/>
          <w:b/>
          <w:bCs/>
          <w:sz w:val="24"/>
          <w:szCs w:val="24"/>
        </w:rPr>
      </w:pPr>
      <w:r>
        <w:rPr>
          <w:rFonts w:ascii="Times New Roman" w:hAnsi="Times New Roman"/>
          <w:b/>
          <w:bCs/>
          <w:sz w:val="24"/>
          <w:szCs w:val="24"/>
        </w:rPr>
        <w:tab/>
      </w:r>
      <w:r w:rsidRPr="00AF6A7E">
        <w:rPr>
          <w:rFonts w:ascii="Times New Roman" w:hAnsi="Times New Roman"/>
          <w:sz w:val="24"/>
          <w:szCs w:val="24"/>
        </w:rPr>
        <w:t>Note: Dissenting Judge</w:t>
      </w:r>
      <w:r>
        <w:rPr>
          <w:rFonts w:ascii="Times New Roman" w:hAnsi="Times New Roman"/>
          <w:sz w:val="24"/>
          <w:szCs w:val="24"/>
        </w:rPr>
        <w:t>’s opinion</w:t>
      </w:r>
      <w:r w:rsidRPr="00AF6A7E">
        <w:rPr>
          <w:rFonts w:ascii="Times New Roman" w:hAnsi="Times New Roman"/>
          <w:sz w:val="24"/>
          <w:szCs w:val="24"/>
        </w:rPr>
        <w:t>:</w:t>
      </w:r>
      <w:r>
        <w:rPr>
          <w:rFonts w:ascii="Times New Roman" w:hAnsi="Times New Roman"/>
          <w:b/>
          <w:bCs/>
          <w:sz w:val="24"/>
          <w:szCs w:val="24"/>
        </w:rPr>
        <w:t xml:space="preserve"> </w:t>
      </w:r>
    </w:p>
    <w:p w14:paraId="1B884C6C" w14:textId="77777777" w:rsidR="00F90EE5" w:rsidRPr="00AF6A7E" w:rsidRDefault="00F90EE5" w:rsidP="00F90EE5">
      <w:pPr>
        <w:spacing w:after="100" w:line="240" w:lineRule="auto"/>
        <w:ind w:left="720"/>
        <w:rPr>
          <w:rFonts w:ascii="Times New Roman" w:hAnsi="Times New Roman"/>
          <w:b/>
          <w:bCs/>
          <w:sz w:val="24"/>
          <w:szCs w:val="24"/>
        </w:rPr>
      </w:pPr>
      <w:r>
        <w:rPr>
          <w:rFonts w:ascii="Times New Roman" w:hAnsi="Times New Roman"/>
          <w:b/>
          <w:bCs/>
          <w:sz w:val="24"/>
          <w:szCs w:val="24"/>
        </w:rPr>
        <w:t>“</w:t>
      </w:r>
      <w:r w:rsidRPr="00AF6A7E">
        <w:rPr>
          <w:rFonts w:ascii="Times New Roman" w:hAnsi="Times New Roman"/>
          <w:sz w:val="24"/>
          <w:szCs w:val="24"/>
        </w:rPr>
        <w:t xml:space="preserve">The trial court concluded that given what the officers knew when they arrived, that there was a burn ban because of severe fire danger, that </w:t>
      </w:r>
      <w:proofErr w:type="spellStart"/>
      <w:r w:rsidRPr="00AF6A7E">
        <w:rPr>
          <w:rFonts w:ascii="Times New Roman" w:hAnsi="Times New Roman"/>
          <w:sz w:val="24"/>
          <w:szCs w:val="24"/>
        </w:rPr>
        <w:t>Restvedt</w:t>
      </w:r>
      <w:proofErr w:type="spellEnd"/>
      <w:r w:rsidRPr="00AF6A7E">
        <w:rPr>
          <w:rFonts w:ascii="Times New Roman" w:hAnsi="Times New Roman"/>
          <w:sz w:val="24"/>
          <w:szCs w:val="24"/>
        </w:rPr>
        <w:t xml:space="preserve"> was ignoring a fire department demand that he not burn fires in his backyard, that the fire department had asked for police assistance, that there were large trees nearby, and that they smelled smoke as soon as they arrived, this warranted them walking on the gravel driveway toward the backyard. Once they were near the backyard, they saw the fire through hanging tarps. All of this warranted them entering the backyard because they had </w:t>
      </w:r>
      <w:r>
        <w:rPr>
          <w:rFonts w:ascii="Times New Roman" w:hAnsi="Times New Roman"/>
          <w:sz w:val="24"/>
          <w:szCs w:val="24"/>
        </w:rPr>
        <w:t>‘</w:t>
      </w:r>
      <w:r w:rsidRPr="00AF6A7E">
        <w:rPr>
          <w:rFonts w:ascii="Times New Roman" w:hAnsi="Times New Roman"/>
          <w:sz w:val="24"/>
          <w:szCs w:val="24"/>
        </w:rPr>
        <w:t>a legitimate emergency concern in ensuring the defendant's fire was out during a county-wide burn ban</w:t>
      </w:r>
      <w:r>
        <w:rPr>
          <w:rFonts w:ascii="Times New Roman" w:hAnsi="Times New Roman"/>
          <w:sz w:val="24"/>
          <w:szCs w:val="24"/>
        </w:rPr>
        <w:t>’</w:t>
      </w:r>
      <w:r w:rsidRPr="00AF6A7E">
        <w:rPr>
          <w:rFonts w:ascii="Times New Roman" w:hAnsi="Times New Roman"/>
          <w:sz w:val="24"/>
          <w:szCs w:val="24"/>
        </w:rPr>
        <w:t xml:space="preserve"> under the community caretaking exception to the warrant requirement.</w:t>
      </w:r>
      <w:r>
        <w:rPr>
          <w:rFonts w:ascii="Times New Roman" w:hAnsi="Times New Roman"/>
          <w:sz w:val="24"/>
          <w:szCs w:val="24"/>
        </w:rPr>
        <w:t>”</w:t>
      </w:r>
    </w:p>
    <w:p w14:paraId="56E890EB" w14:textId="77777777" w:rsidR="00F90EE5" w:rsidRDefault="00F90EE5" w:rsidP="00F90EE5">
      <w:pPr>
        <w:spacing w:after="100" w:line="240" w:lineRule="auto"/>
        <w:ind w:left="720"/>
        <w:rPr>
          <w:rFonts w:ascii="Times New Roman" w:hAnsi="Times New Roman"/>
          <w:sz w:val="24"/>
          <w:szCs w:val="24"/>
        </w:rPr>
      </w:pPr>
    </w:p>
    <w:p w14:paraId="773E9EC0" w14:textId="40DF3C82" w:rsidR="00F90EE5" w:rsidRDefault="00F90EE5" w:rsidP="002B1283">
      <w:pPr>
        <w:rPr>
          <w:rFonts w:ascii="Arial Black" w:hAnsi="Arial Black"/>
          <w:b/>
          <w:sz w:val="24"/>
          <w:szCs w:val="24"/>
        </w:rPr>
      </w:pPr>
      <w:r>
        <w:rPr>
          <w:rFonts w:ascii="Arial Black" w:hAnsi="Arial Black"/>
          <w:b/>
          <w:sz w:val="24"/>
          <w:szCs w:val="24"/>
        </w:rPr>
        <w:t>1-7</w:t>
      </w:r>
      <w:r w:rsidR="000F483A">
        <w:rPr>
          <w:rFonts w:ascii="Arial Black" w:hAnsi="Arial Black"/>
          <w:b/>
          <w:sz w:val="24"/>
          <w:szCs w:val="24"/>
        </w:rPr>
        <w:t>1</w:t>
      </w:r>
    </w:p>
    <w:p w14:paraId="2C155BE7" w14:textId="77777777" w:rsidR="00F90EE5" w:rsidRPr="00E91447" w:rsidRDefault="00F90EE5" w:rsidP="00F90EE5">
      <w:pPr>
        <w:rPr>
          <w:rFonts w:ascii="Arial Black" w:hAnsi="Arial Black"/>
          <w:sz w:val="28"/>
          <w:szCs w:val="28"/>
        </w:rPr>
      </w:pPr>
      <w:r>
        <w:rPr>
          <w:rFonts w:ascii="Arial Black" w:hAnsi="Arial Black"/>
          <w:sz w:val="28"/>
          <w:szCs w:val="28"/>
        </w:rPr>
        <w:t>IOWA:  ARSON – MOTORCYCLE HELMET / GLOVES / SUIT SMELLED GAS – USE NYLON EVIDENCE BAGS IF AVAILABLE</w:t>
      </w:r>
    </w:p>
    <w:p w14:paraId="4A736B42" w14:textId="77777777" w:rsidR="00F90EE5" w:rsidRDefault="00F90EE5" w:rsidP="00F90EE5">
      <w:pPr>
        <w:rPr>
          <w:rFonts w:ascii="Times New Roman" w:hAnsi="Times New Roman"/>
          <w:sz w:val="24"/>
          <w:szCs w:val="24"/>
        </w:rPr>
      </w:pPr>
      <w:r w:rsidRPr="00E91447">
        <w:rPr>
          <w:rFonts w:ascii="Times New Roman" w:hAnsi="Times New Roman"/>
          <w:sz w:val="24"/>
          <w:szCs w:val="24"/>
        </w:rPr>
        <w:t xml:space="preserve">On Jan. 21, 2021, in </w:t>
      </w:r>
      <w:r w:rsidRPr="00E91447">
        <w:rPr>
          <w:rFonts w:ascii="Times New Roman" w:hAnsi="Times New Roman"/>
          <w:sz w:val="24"/>
          <w:szCs w:val="24"/>
          <w:u w:val="single"/>
        </w:rPr>
        <w:t>State of Iowa v. Patrick Ryan Thompson</w:t>
      </w:r>
      <w:r>
        <w:rPr>
          <w:rFonts w:ascii="Times New Roman" w:hAnsi="Times New Roman"/>
          <w:sz w:val="24"/>
          <w:szCs w:val="24"/>
        </w:rPr>
        <w:t>, the Court of Appeals of Iowa upheld (3 to 0) the jury conviction for murder and arson; while the smell of gasoline on the defendant’s motorcycle suit, helmet and gloves, when evidence reached the state crime lab “</w:t>
      </w:r>
      <w:r w:rsidRPr="00A1755E">
        <w:rPr>
          <w:rFonts w:ascii="Times New Roman" w:hAnsi="Times New Roman"/>
          <w:sz w:val="24"/>
          <w:szCs w:val="24"/>
        </w:rPr>
        <w:t>none of the items had traces of gasoline.</w:t>
      </w:r>
      <w:r>
        <w:rPr>
          <w:rFonts w:ascii="Times New Roman" w:hAnsi="Times New Roman"/>
          <w:sz w:val="24"/>
          <w:szCs w:val="24"/>
        </w:rPr>
        <w:t xml:space="preserve">”  The trial judge properly refused to give the jury instruction on “spoliation.”  </w:t>
      </w:r>
    </w:p>
    <w:p w14:paraId="48E6A19C" w14:textId="77777777" w:rsidR="00F90EE5" w:rsidRDefault="00F90EE5" w:rsidP="00F90EE5">
      <w:pPr>
        <w:ind w:left="720"/>
        <w:rPr>
          <w:rFonts w:ascii="Times New Roman" w:hAnsi="Times New Roman"/>
          <w:sz w:val="24"/>
          <w:szCs w:val="24"/>
        </w:rPr>
      </w:pPr>
      <w:r>
        <w:rPr>
          <w:rFonts w:ascii="Times New Roman" w:hAnsi="Times New Roman"/>
          <w:sz w:val="24"/>
          <w:szCs w:val="24"/>
        </w:rPr>
        <w:t>“</w:t>
      </w:r>
      <w:r w:rsidRPr="00A1755E">
        <w:rPr>
          <w:rFonts w:ascii="Times New Roman" w:hAnsi="Times New Roman"/>
          <w:sz w:val="24"/>
          <w:szCs w:val="24"/>
        </w:rPr>
        <w:t>The nylon bags are expensive, and departments do not always have them. In this case, while waiting for a warrant to collect the evidence, which took more than two hours, law enforcement officials attempted to locate a nylon bag and were unable to do so. The items were placed in a paper bag and then placed in the trunk of the collecting officer's car. When the paper bag was delivered to the lab for testing, it was placed in a nylon bag. Later, when the bag was opened, the smell of gasoline had dissipated.</w:t>
      </w:r>
    </w:p>
    <w:p w14:paraId="7B3572F8" w14:textId="77777777" w:rsidR="00F90EE5" w:rsidRPr="00A1755E" w:rsidRDefault="00F90EE5" w:rsidP="00F90EE5">
      <w:pPr>
        <w:ind w:left="720"/>
        <w:rPr>
          <w:rFonts w:ascii="Times New Roman" w:hAnsi="Times New Roman"/>
          <w:sz w:val="24"/>
          <w:szCs w:val="24"/>
        </w:rPr>
      </w:pPr>
      <w:r>
        <w:rPr>
          <w:rFonts w:ascii="Times New Roman" w:hAnsi="Times New Roman"/>
          <w:sz w:val="24"/>
          <w:szCs w:val="24"/>
        </w:rPr>
        <w:t>***</w:t>
      </w:r>
    </w:p>
    <w:p w14:paraId="4C88A0A9" w14:textId="77777777" w:rsidR="00F90EE5" w:rsidRDefault="00F90EE5" w:rsidP="00F90EE5">
      <w:pPr>
        <w:pStyle w:val="NoSpacing"/>
        <w:ind w:left="720"/>
        <w:rPr>
          <w:rFonts w:ascii="Times New Roman" w:hAnsi="Times New Roman"/>
          <w:sz w:val="24"/>
          <w:szCs w:val="24"/>
        </w:rPr>
      </w:pPr>
      <w:r w:rsidRPr="009D30DF">
        <w:rPr>
          <w:rFonts w:ascii="Times New Roman" w:hAnsi="Times New Roman"/>
          <w:sz w:val="24"/>
          <w:szCs w:val="24"/>
        </w:rPr>
        <w:t xml:space="preserve">Thompson has failed to show there was an intentional destruction of evidence to necessitate a spoliation instruction. </w:t>
      </w:r>
      <w:hyperlink r:id="rId289" w:history="1">
        <w:r w:rsidRPr="00574F77">
          <w:rPr>
            <w:rStyle w:val="Hyperlink"/>
            <w:rFonts w:ascii="Times New Roman" w:hAnsi="Times New Roman"/>
            <w:sz w:val="24"/>
            <w:szCs w:val="24"/>
          </w:rPr>
          <w:t>https://law.justia.com/cases/iowa/court-of-appeals/2021/18-1821.html</w:t>
        </w:r>
      </w:hyperlink>
      <w:r>
        <w:rPr>
          <w:rFonts w:ascii="Times New Roman" w:hAnsi="Times New Roman"/>
          <w:sz w:val="24"/>
          <w:szCs w:val="24"/>
        </w:rPr>
        <w:t xml:space="preserve"> </w:t>
      </w:r>
    </w:p>
    <w:p w14:paraId="14D4A274" w14:textId="77777777" w:rsidR="00F90EE5" w:rsidRPr="00AC3DB0" w:rsidRDefault="00F90EE5" w:rsidP="00F90EE5">
      <w:pPr>
        <w:spacing w:before="100" w:beforeAutospacing="1" w:after="100" w:afterAutospacing="1" w:line="240" w:lineRule="auto"/>
        <w:rPr>
          <w:rFonts w:ascii="Times New Roman" w:eastAsia="Times New Roman" w:hAnsi="Times New Roman"/>
          <w:b/>
          <w:bCs/>
          <w:sz w:val="24"/>
          <w:szCs w:val="24"/>
        </w:rPr>
      </w:pPr>
      <w:r w:rsidRPr="00AC3DB0">
        <w:rPr>
          <w:rFonts w:ascii="Times New Roman" w:eastAsia="Times New Roman" w:hAnsi="Times New Roman"/>
          <w:b/>
          <w:bCs/>
          <w:sz w:val="24"/>
          <w:szCs w:val="24"/>
        </w:rPr>
        <w:t>Legal Lesson Learned:</w:t>
      </w:r>
      <w:r>
        <w:rPr>
          <w:rFonts w:ascii="Times New Roman" w:eastAsia="Times New Roman" w:hAnsi="Times New Roman"/>
          <w:b/>
          <w:bCs/>
          <w:sz w:val="24"/>
          <w:szCs w:val="24"/>
        </w:rPr>
        <w:t xml:space="preserve"> A jury instruction on “spoliation” is only required under Iowa law when there has been an intentional act of destruction.   Other states may require when evidence is </w:t>
      </w:r>
      <w:proofErr w:type="gramStart"/>
      <w:r>
        <w:rPr>
          <w:rFonts w:ascii="Times New Roman" w:eastAsia="Times New Roman" w:hAnsi="Times New Roman"/>
          <w:b/>
          <w:bCs/>
          <w:sz w:val="24"/>
          <w:szCs w:val="24"/>
        </w:rPr>
        <w:t>loss</w:t>
      </w:r>
      <w:proofErr w:type="gramEnd"/>
      <w:r>
        <w:rPr>
          <w:rFonts w:ascii="Times New Roman" w:eastAsia="Times New Roman" w:hAnsi="Times New Roman"/>
          <w:b/>
          <w:bCs/>
          <w:sz w:val="24"/>
          <w:szCs w:val="24"/>
        </w:rPr>
        <w:t xml:space="preserve"> due to negligence.  </w:t>
      </w:r>
    </w:p>
    <w:p w14:paraId="6C9FC22E" w14:textId="7FA88298" w:rsidR="00F90EE5" w:rsidRDefault="00F90EE5" w:rsidP="00F90EE5">
      <w:pPr>
        <w:pStyle w:val="NormalWeb"/>
        <w:ind w:left="720"/>
      </w:pPr>
      <w:r>
        <w:t xml:space="preserve">Note: Under Iowa case law: </w:t>
      </w:r>
      <w:r w:rsidRPr="00AC3DB0">
        <w:t> </w:t>
      </w:r>
      <w:r>
        <w:t xml:space="preserve">"Spoliation involves more than destruction of evidence. Application of the concept requires an intentional act of destruction. Only intentional destruction supports the rationale of the rule that </w:t>
      </w:r>
      <w:proofErr w:type="gramStart"/>
      <w:r>
        <w:t>the destruction</w:t>
      </w:r>
      <w:proofErr w:type="gramEnd"/>
      <w:r>
        <w:t xml:space="preserve"> amounts to an admission by conduct of the weakness of one's case." </w:t>
      </w:r>
      <w:r>
        <w:rPr>
          <w:i/>
          <w:iCs/>
        </w:rPr>
        <w:t>State v</w:t>
      </w:r>
      <w:r>
        <w:t xml:space="preserve">. </w:t>
      </w:r>
      <w:r>
        <w:rPr>
          <w:i/>
          <w:iCs/>
        </w:rPr>
        <w:lastRenderedPageBreak/>
        <w:t>Langlet</w:t>
      </w:r>
      <w:r>
        <w:t>, 283 N.W.2d 330, 333 (Iowa 1979).</w:t>
      </w:r>
      <w:r w:rsidR="00F00958">
        <w:t xml:space="preserve"> </w:t>
      </w:r>
      <w:r>
        <w:t xml:space="preserve">See other states: </w:t>
      </w:r>
      <w:hyperlink r:id="rId290" w:history="1">
        <w:r w:rsidRPr="00574F77">
          <w:rPr>
            <w:rStyle w:val="Hyperlink"/>
          </w:rPr>
          <w:t>https://www.mwl-law.com/wp-content/uploads/2018/02/SPOLIATION-OF-EVIDENCE-CHART.pdf</w:t>
        </w:r>
      </w:hyperlink>
      <w:r>
        <w:t xml:space="preserve"> </w:t>
      </w:r>
    </w:p>
    <w:p w14:paraId="308843F2" w14:textId="77777777" w:rsidR="00F90EE5" w:rsidRDefault="00F90EE5" w:rsidP="00F90EE5">
      <w:pPr>
        <w:pStyle w:val="NoSpacing"/>
        <w:ind w:left="720"/>
        <w:rPr>
          <w:rFonts w:ascii="Times New Roman" w:hAnsi="Times New Roman"/>
          <w:sz w:val="24"/>
          <w:szCs w:val="24"/>
        </w:rPr>
      </w:pPr>
    </w:p>
    <w:p w14:paraId="35377878" w14:textId="77777777" w:rsidR="00F90EE5" w:rsidRDefault="00F90EE5" w:rsidP="002B1283">
      <w:pPr>
        <w:rPr>
          <w:rFonts w:ascii="Arial Black" w:hAnsi="Arial Black"/>
          <w:b/>
          <w:sz w:val="24"/>
          <w:szCs w:val="24"/>
        </w:rPr>
      </w:pPr>
    </w:p>
    <w:p w14:paraId="67B7150B" w14:textId="77777777" w:rsidR="00F90EE5" w:rsidRDefault="00F90EE5" w:rsidP="002B1283">
      <w:pPr>
        <w:rPr>
          <w:rFonts w:ascii="Arial Black" w:hAnsi="Arial Black"/>
          <w:b/>
          <w:sz w:val="24"/>
          <w:szCs w:val="24"/>
        </w:rPr>
      </w:pPr>
    </w:p>
    <w:p w14:paraId="1A365E1E" w14:textId="6D6A4DE1" w:rsidR="005E132A" w:rsidRDefault="005E132A" w:rsidP="002B1283">
      <w:pPr>
        <w:rPr>
          <w:rFonts w:ascii="Arial Black" w:hAnsi="Arial Black"/>
          <w:b/>
          <w:sz w:val="24"/>
          <w:szCs w:val="24"/>
        </w:rPr>
      </w:pPr>
      <w:r>
        <w:rPr>
          <w:rFonts w:ascii="Arial Black" w:hAnsi="Arial Black"/>
          <w:b/>
          <w:sz w:val="24"/>
          <w:szCs w:val="24"/>
        </w:rPr>
        <w:t>1-7</w:t>
      </w:r>
      <w:r w:rsidR="000F483A">
        <w:rPr>
          <w:rFonts w:ascii="Arial Black" w:hAnsi="Arial Black"/>
          <w:b/>
          <w:sz w:val="24"/>
          <w:szCs w:val="24"/>
        </w:rPr>
        <w:t>0</w:t>
      </w:r>
    </w:p>
    <w:p w14:paraId="7224EB54" w14:textId="77777777" w:rsidR="005E132A" w:rsidRDefault="005E132A" w:rsidP="005E132A">
      <w:pPr>
        <w:pStyle w:val="NoSpacing"/>
        <w:rPr>
          <w:rFonts w:ascii="Arial Black" w:hAnsi="Arial Black"/>
          <w:sz w:val="28"/>
          <w:szCs w:val="28"/>
        </w:rPr>
      </w:pPr>
      <w:bookmarkStart w:id="13" w:name="_Hlk66941108"/>
      <w:r>
        <w:rPr>
          <w:rFonts w:ascii="Arial Black" w:hAnsi="Arial Black"/>
          <w:sz w:val="28"/>
          <w:szCs w:val="28"/>
        </w:rPr>
        <w:t>IL: ARSON INVEST. (7 KILLED) - FIRE MARSHAL WAS EXPERT, FIRE REAR PORCH – NO ACCELERANT, BUT DEF. RECORDED</w:t>
      </w:r>
    </w:p>
    <w:p w14:paraId="0D64E5D6" w14:textId="77777777" w:rsidR="005E132A" w:rsidRDefault="005E132A" w:rsidP="005E132A">
      <w:pPr>
        <w:spacing w:before="100" w:beforeAutospacing="1" w:after="100" w:afterAutospacing="1" w:line="240" w:lineRule="auto"/>
        <w:rPr>
          <w:rFonts w:ascii="Times New Roman" w:hAnsi="Times New Roman"/>
          <w:sz w:val="24"/>
          <w:szCs w:val="24"/>
        </w:rPr>
      </w:pPr>
      <w:bookmarkStart w:id="14" w:name="_Hlk60572120"/>
      <w:r>
        <w:rPr>
          <w:rFonts w:ascii="Times New Roman" w:hAnsi="Times New Roman"/>
          <w:sz w:val="24"/>
          <w:szCs w:val="24"/>
        </w:rPr>
        <w:t xml:space="preserve">On Dec. 30, 2020, in </w:t>
      </w:r>
      <w:r>
        <w:rPr>
          <w:rFonts w:ascii="Times New Roman" w:hAnsi="Times New Roman"/>
          <w:sz w:val="24"/>
          <w:szCs w:val="24"/>
          <w:u w:val="single"/>
        </w:rPr>
        <w:t>The People of the State of Illinois v. Marion Andre Comier</w:t>
      </w:r>
      <w:r>
        <w:rPr>
          <w:rFonts w:ascii="Times New Roman" w:hAnsi="Times New Roman"/>
          <w:sz w:val="24"/>
          <w:szCs w:val="24"/>
        </w:rPr>
        <w:t xml:space="preserve">, the Appellate Court of Illinois, First Judicial District (Third Division), </w:t>
      </w:r>
      <w:r>
        <w:rPr>
          <w:rFonts w:ascii="Times New Roman" w:eastAsia="Times New Roman" w:hAnsi="Times New Roman"/>
          <w:sz w:val="24"/>
          <w:szCs w:val="24"/>
        </w:rPr>
        <w:t xml:space="preserve">2020 IL App (1st) 170500, </w:t>
      </w:r>
      <w:r>
        <w:rPr>
          <w:rFonts w:ascii="Times New Roman" w:hAnsi="Times New Roman"/>
          <w:sz w:val="24"/>
          <w:szCs w:val="24"/>
        </w:rPr>
        <w:t>held (3 to 1) that the defendant was properly convicted by jury of 7 murders and sentenced to life in prison [property owner</w:t>
      </w:r>
      <w:bookmarkEnd w:id="14"/>
      <w:r>
        <w:rPr>
          <w:rFonts w:ascii="Times New Roman" w:hAnsi="Times New Roman"/>
          <w:sz w:val="24"/>
          <w:szCs w:val="24"/>
        </w:rPr>
        <w:t xml:space="preserve">]. The Court held that the trial judge properly allowed the Fire Marshal to testify about his opinion on how the fire started, even if no accelerant was detected, since he </w:t>
      </w:r>
      <w:proofErr w:type="gramStart"/>
      <w:r>
        <w:rPr>
          <w:rFonts w:ascii="Times New Roman" w:hAnsi="Times New Roman"/>
          <w:sz w:val="24"/>
          <w:szCs w:val="24"/>
        </w:rPr>
        <w:t>knew</w:t>
      </w:r>
      <w:proofErr w:type="gramEnd"/>
      <w:r>
        <w:rPr>
          <w:rFonts w:ascii="Times New Roman" w:hAnsi="Times New Roman"/>
          <w:sz w:val="24"/>
          <w:szCs w:val="24"/>
        </w:rPr>
        <w:t xml:space="preserve"> the defendant had admitted starting the fire when defendant was recorded on a “wire” secretly warn by the girlfriend of the property owner.    </w:t>
      </w:r>
    </w:p>
    <w:bookmarkEnd w:id="13"/>
    <w:p w14:paraId="72D20101" w14:textId="77777777" w:rsidR="005E132A" w:rsidRDefault="005E132A" w:rsidP="005E132A">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“Kushner's testimony concerning the nature and sources of his training, his methodology, industry standards, and the evidence upon which he relied in this case provided sufficient evidence that the underlying facts, data, and opinions were reasonably relied upon by experts in his field. "The opposing party has the responsibility to challenge on cross-examination the sufficiency or reliability of the expert's opinion" (</w:t>
      </w:r>
      <w:r>
        <w:rPr>
          <w:rFonts w:ascii="Times New Roman" w:eastAsia="Times New Roman" w:hAnsi="Times New Roman"/>
          <w:i/>
          <w:iCs/>
          <w:sz w:val="24"/>
          <w:szCs w:val="24"/>
        </w:rPr>
        <w:t>id</w:t>
      </w:r>
      <w:r>
        <w:rPr>
          <w:rFonts w:ascii="Times New Roman" w:eastAsia="Times New Roman" w:hAnsi="Times New Roman"/>
          <w:sz w:val="24"/>
          <w:szCs w:val="24"/>
        </w:rPr>
        <w:t>.), which defendant did in this case. Accordingly, we conclude that there existed an adequate foundation for Kushner's expert opinion and the trial court did not abuse its discretion in admitting Kushner's testimony.</w:t>
      </w:r>
    </w:p>
    <w:p w14:paraId="7D7D8164" w14:textId="77777777" w:rsidR="005E132A" w:rsidRDefault="005E132A" w:rsidP="005E132A">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w:t>
      </w:r>
    </w:p>
    <w:p w14:paraId="52D9C73F" w14:textId="77777777" w:rsidR="005E132A" w:rsidRDefault="005E132A" w:rsidP="005E132A">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 xml:space="preserve">Regarding the conflicting evidence as to industry standards concerning ‘negative corpus’ at the time of the fire and at the time of trial, defendant's expert admitted that the determination by the State's fire investigators that the fire started on the rear porch and that the specific area of origin was somewhere near the couch complied with NFPA 921 but testified that the conclusion that the ignition source was an open flame, that an ignitable liquid was used, and that the fire was incendiary (man-made) were not reached in compliance with industry standards because those opinions were based solely on the negative corpus approach, and it was not based on any physical evidence, in violation of NFPA 921 and the standards in the relevant scientific community. We note the trial court found Kushner did rely on ‘some physical evidence.’ </w:t>
      </w:r>
      <w:proofErr w:type="gramStart"/>
      <w:r>
        <w:rPr>
          <w:rFonts w:ascii="Times New Roman" w:eastAsia="Times New Roman" w:hAnsi="Times New Roman"/>
          <w:sz w:val="24"/>
          <w:szCs w:val="24"/>
        </w:rPr>
        <w:t>Regardless, ‘[a]</w:t>
      </w:r>
      <w:proofErr w:type="spellStart"/>
      <w:r>
        <w:rPr>
          <w:rFonts w:ascii="Times New Roman" w:eastAsia="Times New Roman" w:hAnsi="Times New Roman"/>
          <w:sz w:val="24"/>
          <w:szCs w:val="24"/>
        </w:rPr>
        <w:t>ny</w:t>
      </w:r>
      <w:proofErr w:type="spellEnd"/>
      <w:proofErr w:type="gramEnd"/>
      <w:r>
        <w:rPr>
          <w:rFonts w:ascii="Times New Roman" w:eastAsia="Times New Roman" w:hAnsi="Times New Roman"/>
          <w:sz w:val="24"/>
          <w:szCs w:val="24"/>
        </w:rPr>
        <w:t xml:space="preserve"> weakness in the basis of an expert's opinion goes to the weight of the testimony; it should not affect its admissibility if the facts, data, or opinions are reasonably relied upon by experts in the relevant field.’ </w:t>
      </w:r>
      <w:r>
        <w:rPr>
          <w:rFonts w:ascii="Times New Roman" w:eastAsia="Times New Roman" w:hAnsi="Times New Roman"/>
          <w:i/>
          <w:iCs/>
          <w:sz w:val="24"/>
          <w:szCs w:val="24"/>
        </w:rPr>
        <w:t>People v</w:t>
      </w:r>
      <w:r>
        <w:rPr>
          <w:rFonts w:ascii="Times New Roman" w:eastAsia="Times New Roman" w:hAnsi="Times New Roman"/>
          <w:sz w:val="24"/>
          <w:szCs w:val="24"/>
        </w:rPr>
        <w:t xml:space="preserve">. </w:t>
      </w:r>
      <w:r>
        <w:rPr>
          <w:rFonts w:ascii="Times New Roman" w:eastAsia="Times New Roman" w:hAnsi="Times New Roman"/>
          <w:i/>
          <w:iCs/>
          <w:sz w:val="24"/>
          <w:szCs w:val="24"/>
        </w:rPr>
        <w:t>Lind</w:t>
      </w:r>
      <w:r>
        <w:rPr>
          <w:rFonts w:ascii="Times New Roman" w:eastAsia="Times New Roman" w:hAnsi="Times New Roman"/>
          <w:sz w:val="24"/>
          <w:szCs w:val="24"/>
        </w:rPr>
        <w:t xml:space="preserve">, 307 Ill. App. 3d 727, 739 (1999).” </w:t>
      </w:r>
      <w:bookmarkStart w:id="15" w:name="_Hlk66941130"/>
      <w:r w:rsidR="00F00958">
        <w:fldChar w:fldCharType="begin"/>
      </w:r>
      <w:r w:rsidR="00F00958">
        <w:instrText xml:space="preserve"> HYPERLINK "https://courts.illinois.gov/Opinions/AppellateCourt/2020/1stDistrict/1170500.pdf" </w:instrText>
      </w:r>
      <w:r w:rsidR="00F00958">
        <w:fldChar w:fldCharType="separate"/>
      </w:r>
      <w:r>
        <w:rPr>
          <w:rStyle w:val="Hyperlink"/>
        </w:rPr>
        <w:t>https://courts.illinois.gov/Opinions/AppellateCourt/2020/1stDistrict/1170500.pdf</w:t>
      </w:r>
      <w:r w:rsidR="00F00958">
        <w:rPr>
          <w:rStyle w:val="Hyperlink"/>
        </w:rPr>
        <w:fldChar w:fldCharType="end"/>
      </w:r>
      <w:r>
        <w:rPr>
          <w:rFonts w:ascii="Times New Roman" w:eastAsia="Times New Roman" w:hAnsi="Times New Roman"/>
          <w:sz w:val="24"/>
          <w:szCs w:val="24"/>
        </w:rPr>
        <w:t xml:space="preserve"> </w:t>
      </w:r>
    </w:p>
    <w:p w14:paraId="1202CAAE" w14:textId="77777777" w:rsidR="005E132A" w:rsidRDefault="005E132A" w:rsidP="005E132A">
      <w:pPr>
        <w:pStyle w:val="NormalWeb"/>
        <w:rPr>
          <w:b/>
          <w:bCs/>
        </w:rPr>
      </w:pPr>
      <w:bookmarkStart w:id="16" w:name="_Hlk66941171"/>
      <w:bookmarkEnd w:id="15"/>
      <w:r>
        <w:rPr>
          <w:b/>
          <w:bCs/>
        </w:rPr>
        <w:t xml:space="preserve">Legal Lesson Learned: Fire Marshal did rely on some physical evidence, as well as the secretly taped confession of the defendant. </w:t>
      </w:r>
    </w:p>
    <w:p w14:paraId="10262F35" w14:textId="77777777" w:rsidR="005E132A" w:rsidRDefault="005E132A" w:rsidP="005E132A">
      <w:pPr>
        <w:spacing w:after="100" w:line="240" w:lineRule="auto"/>
        <w:ind w:left="720"/>
        <w:rPr>
          <w:rFonts w:ascii="Times New Roman" w:eastAsia="Times New Roman" w:hAnsi="Times New Roman"/>
          <w:sz w:val="24"/>
          <w:szCs w:val="24"/>
        </w:rPr>
      </w:pPr>
      <w:r>
        <w:rPr>
          <w:rFonts w:ascii="Times New Roman" w:eastAsia="Times New Roman" w:hAnsi="Times New Roman"/>
          <w:sz w:val="24"/>
          <w:szCs w:val="24"/>
        </w:rPr>
        <w:t xml:space="preserve">Note:  </w:t>
      </w:r>
      <w:proofErr w:type="gramStart"/>
      <w:r>
        <w:rPr>
          <w:rFonts w:ascii="Times New Roman" w:eastAsia="Times New Roman" w:hAnsi="Times New Roman"/>
          <w:sz w:val="24"/>
          <w:szCs w:val="24"/>
        </w:rPr>
        <w:t>The girlfriend of the owner [Bonita Robertson],</w:t>
      </w:r>
      <w:proofErr w:type="gramEnd"/>
      <w:r>
        <w:rPr>
          <w:rFonts w:ascii="Times New Roman" w:eastAsia="Times New Roman" w:hAnsi="Times New Roman"/>
          <w:sz w:val="24"/>
          <w:szCs w:val="24"/>
        </w:rPr>
        <w:t xml:space="preserve"> wore a wire provided by police, and recorded following about why accelerant wasn’t detected by arson dog. </w:t>
      </w:r>
    </w:p>
    <w:bookmarkEnd w:id="16"/>
    <w:p w14:paraId="23EDCE5C" w14:textId="77777777" w:rsidR="005E132A" w:rsidRDefault="005E132A" w:rsidP="005E132A">
      <w:pPr>
        <w:spacing w:after="100" w:line="240" w:lineRule="auto"/>
        <w:ind w:left="720"/>
        <w:rPr>
          <w:rFonts w:ascii="Times New Roman" w:eastAsia="Times New Roman" w:hAnsi="Times New Roman"/>
          <w:sz w:val="24"/>
          <w:szCs w:val="24"/>
        </w:rPr>
      </w:pPr>
      <w:r>
        <w:rPr>
          <w:rFonts w:ascii="Times New Roman" w:eastAsia="Times New Roman" w:hAnsi="Times New Roman"/>
          <w:sz w:val="24"/>
          <w:szCs w:val="24"/>
        </w:rPr>
        <w:br/>
        <w:t>ROBERTSON: They said they didn't smell any accelerants like gas or any of that.</w:t>
      </w:r>
      <w:r>
        <w:rPr>
          <w:rFonts w:ascii="Times New Roman" w:eastAsia="Times New Roman" w:hAnsi="Times New Roman"/>
          <w:sz w:val="24"/>
          <w:szCs w:val="24"/>
        </w:rPr>
        <w:br/>
      </w:r>
      <w:r>
        <w:rPr>
          <w:rFonts w:ascii="Times New Roman" w:eastAsia="Times New Roman" w:hAnsi="Times New Roman"/>
          <w:sz w:val="24"/>
          <w:szCs w:val="24"/>
        </w:rPr>
        <w:lastRenderedPageBreak/>
        <w:br/>
        <w:t>DEFENDANT: And I, and I know, and I know why, I know why they didn't.</w:t>
      </w:r>
    </w:p>
    <w:p w14:paraId="75126B8C" w14:textId="77777777" w:rsidR="005E132A" w:rsidRDefault="005E132A" w:rsidP="005E132A">
      <w:pPr>
        <w:spacing w:after="100" w:line="240" w:lineRule="auto"/>
        <w:rPr>
          <w:rFonts w:ascii="Times New Roman" w:eastAsia="Times New Roman" w:hAnsi="Times New Roman"/>
          <w:sz w:val="24"/>
          <w:szCs w:val="24"/>
        </w:rPr>
      </w:pPr>
    </w:p>
    <w:p w14:paraId="5EB4C8AD" w14:textId="77777777" w:rsidR="005E132A" w:rsidRDefault="005E132A" w:rsidP="005E132A">
      <w:pPr>
        <w:spacing w:after="100" w:line="240" w:lineRule="auto"/>
        <w:ind w:left="720"/>
        <w:rPr>
          <w:rFonts w:ascii="Times New Roman" w:eastAsia="Times New Roman" w:hAnsi="Times New Roman"/>
          <w:sz w:val="24"/>
          <w:szCs w:val="24"/>
        </w:rPr>
      </w:pPr>
      <w:r>
        <w:rPr>
          <w:rFonts w:ascii="Times New Roman" w:eastAsia="Times New Roman" w:hAnsi="Times New Roman"/>
          <w:sz w:val="24"/>
          <w:szCs w:val="24"/>
        </w:rPr>
        <w:t>ROBERTSON: Why?</w:t>
      </w:r>
      <w:r>
        <w:rPr>
          <w:rFonts w:ascii="Times New Roman" w:eastAsia="Times New Roman" w:hAnsi="Times New Roman"/>
          <w:sz w:val="24"/>
          <w:szCs w:val="24"/>
        </w:rPr>
        <w:br/>
      </w:r>
      <w:r>
        <w:rPr>
          <w:rFonts w:ascii="Times New Roman" w:eastAsia="Times New Roman" w:hAnsi="Times New Roman"/>
          <w:sz w:val="24"/>
          <w:szCs w:val="24"/>
        </w:rPr>
        <w:br/>
        <w:t>***</w:t>
      </w:r>
      <w:r>
        <w:rPr>
          <w:rFonts w:ascii="Times New Roman" w:eastAsia="Times New Roman" w:hAnsi="Times New Roman"/>
          <w:sz w:val="24"/>
          <w:szCs w:val="24"/>
        </w:rPr>
        <w:br/>
      </w:r>
      <w:r>
        <w:rPr>
          <w:rFonts w:ascii="Times New Roman" w:eastAsia="Times New Roman" w:hAnsi="Times New Roman"/>
          <w:sz w:val="24"/>
          <w:szCs w:val="24"/>
        </w:rPr>
        <w:br/>
        <w:t xml:space="preserve">DEFENDANT: </w:t>
      </w:r>
      <w:proofErr w:type="gramStart"/>
      <w:r>
        <w:rPr>
          <w:rFonts w:ascii="Times New Roman" w:eastAsia="Times New Roman" w:hAnsi="Times New Roman"/>
          <w:sz w:val="24"/>
          <w:szCs w:val="24"/>
        </w:rPr>
        <w:t>Cause</w:t>
      </w:r>
      <w:proofErr w:type="gramEnd"/>
      <w:r>
        <w:rPr>
          <w:rFonts w:ascii="Times New Roman" w:eastAsia="Times New Roman" w:hAnsi="Times New Roman"/>
          <w:sz w:val="24"/>
          <w:szCs w:val="24"/>
        </w:rPr>
        <w:t xml:space="preserve"> I put oil with the gas. That's why.</w:t>
      </w:r>
    </w:p>
    <w:p w14:paraId="58838790" w14:textId="77777777" w:rsidR="005E132A" w:rsidRDefault="005E132A" w:rsidP="005E132A">
      <w:pPr>
        <w:spacing w:after="100" w:line="240" w:lineRule="auto"/>
        <w:ind w:left="720"/>
        <w:rPr>
          <w:rFonts w:ascii="Times New Roman" w:hAnsi="Times New Roman"/>
          <w:sz w:val="24"/>
          <w:szCs w:val="24"/>
        </w:rPr>
      </w:pPr>
      <w:r>
        <w:rPr>
          <w:rFonts w:ascii="Times New Roman" w:eastAsia="Times New Roman" w:hAnsi="Times New Roman"/>
          <w:sz w:val="24"/>
          <w:szCs w:val="24"/>
        </w:rPr>
        <w:t>***</w:t>
      </w:r>
    </w:p>
    <w:p w14:paraId="48F47CAC" w14:textId="77777777" w:rsidR="005E132A" w:rsidRDefault="005E132A" w:rsidP="005E132A">
      <w:pPr>
        <w:spacing w:after="100" w:line="240" w:lineRule="auto"/>
        <w:ind w:left="720"/>
        <w:rPr>
          <w:rFonts w:ascii="Times New Roman" w:hAnsi="Times New Roman"/>
          <w:sz w:val="24"/>
          <w:szCs w:val="24"/>
        </w:rPr>
      </w:pPr>
      <w:r>
        <w:rPr>
          <w:rFonts w:ascii="Times New Roman" w:hAnsi="Times New Roman"/>
          <w:sz w:val="24"/>
          <w:szCs w:val="24"/>
        </w:rPr>
        <w:t>ROBERTSON: So that the dogs couldn't pick it up?</w:t>
      </w:r>
      <w:r>
        <w:rPr>
          <w:rFonts w:ascii="Times New Roman" w:hAnsi="Times New Roman"/>
          <w:sz w:val="24"/>
          <w:szCs w:val="24"/>
        </w:rPr>
        <w:br/>
      </w:r>
      <w:r>
        <w:rPr>
          <w:rFonts w:ascii="Times New Roman" w:hAnsi="Times New Roman"/>
          <w:sz w:val="24"/>
          <w:szCs w:val="24"/>
        </w:rPr>
        <w:br/>
        <w:t xml:space="preserve">DEFENDANT: There you go, and, and it burnt too </w:t>
      </w:r>
      <w:proofErr w:type="gramStart"/>
      <w:r>
        <w:rPr>
          <w:rFonts w:ascii="Times New Roman" w:hAnsi="Times New Roman"/>
          <w:sz w:val="24"/>
          <w:szCs w:val="24"/>
        </w:rPr>
        <w:t>bad</w:t>
      </w:r>
      <w:proofErr w:type="gramEnd"/>
      <w:r>
        <w:rPr>
          <w:rFonts w:ascii="Times New Roman" w:hAnsi="Times New Roman"/>
          <w:sz w:val="24"/>
          <w:szCs w:val="24"/>
        </w:rPr>
        <w:t xml:space="preserve"> for them to find anything.</w:t>
      </w:r>
      <w:r>
        <w:rPr>
          <w:rFonts w:ascii="Times New Roman" w:hAnsi="Times New Roman"/>
          <w:sz w:val="24"/>
          <w:szCs w:val="24"/>
        </w:rPr>
        <w:br/>
      </w:r>
      <w:r>
        <w:rPr>
          <w:rFonts w:ascii="Times New Roman" w:hAnsi="Times New Roman"/>
          <w:sz w:val="24"/>
          <w:szCs w:val="24"/>
        </w:rPr>
        <w:br/>
        <w:t>ROBERTSON: But you started it on the back porch?</w:t>
      </w:r>
      <w:r>
        <w:rPr>
          <w:rFonts w:ascii="Times New Roman" w:hAnsi="Times New Roman"/>
          <w:sz w:val="24"/>
          <w:szCs w:val="24"/>
        </w:rPr>
        <w:br/>
      </w:r>
      <w:r>
        <w:rPr>
          <w:rFonts w:ascii="Times New Roman" w:hAnsi="Times New Roman"/>
          <w:sz w:val="24"/>
          <w:szCs w:val="24"/>
        </w:rPr>
        <w:br/>
        <w:t xml:space="preserve">DEFENDANT: And it went up, Bonita. I don't want to talk about this. *** Everybody just </w:t>
      </w:r>
      <w:proofErr w:type="gramStart"/>
      <w:r>
        <w:rPr>
          <w:rFonts w:ascii="Times New Roman" w:hAnsi="Times New Roman"/>
          <w:sz w:val="24"/>
          <w:szCs w:val="24"/>
        </w:rPr>
        <w:t>say</w:t>
      </w:r>
      <w:proofErr w:type="gramEnd"/>
      <w:r>
        <w:rPr>
          <w:rFonts w:ascii="Times New Roman" w:hAnsi="Times New Roman"/>
          <w:sz w:val="24"/>
          <w:szCs w:val="24"/>
        </w:rPr>
        <w:t xml:space="preserve"> they don't know, okay, just leave it like that. That's what you do. Don't worry, okay. They didn't find </w:t>
      </w:r>
      <w:proofErr w:type="gramStart"/>
      <w:r>
        <w:rPr>
          <w:rFonts w:ascii="Times New Roman" w:hAnsi="Times New Roman"/>
          <w:sz w:val="24"/>
          <w:szCs w:val="24"/>
        </w:rPr>
        <w:t>nothing</w:t>
      </w:r>
      <w:proofErr w:type="gramEnd"/>
      <w:r>
        <w:rPr>
          <w:rFonts w:ascii="Times New Roman" w:hAnsi="Times New Roman"/>
          <w:sz w:val="24"/>
          <w:szCs w:val="24"/>
        </w:rPr>
        <w:t xml:space="preserve"> and that's great. They think the electrical box did it.”</w:t>
      </w:r>
    </w:p>
    <w:p w14:paraId="665FB8C2" w14:textId="77777777" w:rsidR="005E132A" w:rsidRDefault="005E132A" w:rsidP="005E132A">
      <w:pPr>
        <w:rPr>
          <w:rFonts w:ascii="Times New Roman" w:hAnsi="Times New Roman"/>
          <w:sz w:val="24"/>
          <w:szCs w:val="24"/>
        </w:rPr>
      </w:pPr>
      <w:hyperlink r:id="rId291" w:history="1">
        <w:r>
          <w:rPr>
            <w:rStyle w:val="Hyperlink"/>
          </w:rPr>
          <w:t>https://public.fastcase.com/Wl%2B2t%2BeVuI35%2FN70vAMFZsWJ6AvEppVwuFRKTwz4M5aFuXQum0lUiq0Q02rKgFN1</w:t>
        </w:r>
      </w:hyperlink>
    </w:p>
    <w:p w14:paraId="6EACB191" w14:textId="77777777" w:rsidR="005E132A" w:rsidRDefault="005E132A" w:rsidP="002B1283">
      <w:pPr>
        <w:rPr>
          <w:rFonts w:ascii="Arial Black" w:hAnsi="Arial Black"/>
          <w:b/>
          <w:sz w:val="24"/>
          <w:szCs w:val="24"/>
        </w:rPr>
      </w:pPr>
    </w:p>
    <w:p w14:paraId="5BCA3F48" w14:textId="77777777" w:rsidR="005E132A" w:rsidRDefault="005E132A" w:rsidP="002B1283">
      <w:pPr>
        <w:rPr>
          <w:rFonts w:ascii="Arial Black" w:hAnsi="Arial Black"/>
          <w:b/>
          <w:sz w:val="24"/>
          <w:szCs w:val="24"/>
        </w:rPr>
      </w:pPr>
    </w:p>
    <w:p w14:paraId="68892771" w14:textId="7D31624C" w:rsidR="007D178F" w:rsidRDefault="007D178F" w:rsidP="002B1283">
      <w:pPr>
        <w:rPr>
          <w:rFonts w:ascii="Arial Black" w:hAnsi="Arial Black"/>
          <w:b/>
          <w:sz w:val="24"/>
          <w:szCs w:val="24"/>
        </w:rPr>
      </w:pPr>
      <w:r>
        <w:rPr>
          <w:rFonts w:ascii="Arial Black" w:hAnsi="Arial Black"/>
          <w:b/>
          <w:sz w:val="24"/>
          <w:szCs w:val="24"/>
        </w:rPr>
        <w:t>1-</w:t>
      </w:r>
      <w:r w:rsidR="000F483A">
        <w:rPr>
          <w:rFonts w:ascii="Arial Black" w:hAnsi="Arial Black"/>
          <w:b/>
          <w:sz w:val="24"/>
          <w:szCs w:val="24"/>
        </w:rPr>
        <w:t>69</w:t>
      </w:r>
    </w:p>
    <w:p w14:paraId="12408389" w14:textId="77777777" w:rsidR="007D178F" w:rsidRDefault="007D178F" w:rsidP="007D178F">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NY:  HOUSE FIRE - SPONTANEOUS COMBUSTION - OILY RAGS HARDWOOD FLOORS – CONFLICTING EXPERTS - CASE PROCEED</w:t>
      </w:r>
    </w:p>
    <w:p w14:paraId="5002E128" w14:textId="77777777" w:rsidR="007D178F" w:rsidRDefault="007D178F" w:rsidP="007D178F">
      <w:pPr>
        <w:rPr>
          <w:rFonts w:ascii="Times New Roman" w:hAnsi="Times New Roman"/>
          <w:sz w:val="24"/>
          <w:szCs w:val="24"/>
        </w:rPr>
      </w:pPr>
      <w:r w:rsidRPr="00ED36EF">
        <w:rPr>
          <w:rFonts w:ascii="Times New Roman" w:hAnsi="Times New Roman"/>
          <w:sz w:val="24"/>
          <w:szCs w:val="24"/>
        </w:rPr>
        <w:t xml:space="preserve">On Nov. 25, 2020, in </w:t>
      </w:r>
      <w:r w:rsidRPr="00ED36EF">
        <w:rPr>
          <w:rFonts w:ascii="Times New Roman" w:hAnsi="Times New Roman"/>
          <w:sz w:val="24"/>
          <w:szCs w:val="24"/>
          <w:u w:val="single"/>
        </w:rPr>
        <w:t>State Farm Fire &amp; Casualty Company, as Subrogee of Yolanda Clarke v. Real Wood Fabricating, LLC</w:t>
      </w:r>
      <w:r w:rsidRPr="00ED36EF">
        <w:rPr>
          <w:rFonts w:ascii="Times New Roman" w:hAnsi="Times New Roman"/>
          <w:sz w:val="24"/>
          <w:szCs w:val="24"/>
        </w:rPr>
        <w:t>, the Appellate Division of the Supreme Court of the State of New York, held (</w:t>
      </w:r>
      <w:r>
        <w:rPr>
          <w:rFonts w:ascii="Times New Roman" w:hAnsi="Times New Roman"/>
          <w:sz w:val="24"/>
          <w:szCs w:val="24"/>
        </w:rPr>
        <w:t>5</w:t>
      </w:r>
      <w:r w:rsidRPr="00ED36EF">
        <w:rPr>
          <w:rFonts w:ascii="Times New Roman" w:hAnsi="Times New Roman"/>
          <w:sz w:val="24"/>
          <w:szCs w:val="24"/>
        </w:rPr>
        <w:t xml:space="preserve"> to 0) that the trial court properly </w:t>
      </w:r>
      <w:r>
        <w:rPr>
          <w:rFonts w:ascii="Times New Roman" w:hAnsi="Times New Roman"/>
          <w:sz w:val="24"/>
          <w:szCs w:val="24"/>
        </w:rPr>
        <w:t xml:space="preserve">denied </w:t>
      </w:r>
      <w:r w:rsidRPr="00ED36EF">
        <w:rPr>
          <w:rFonts w:ascii="Times New Roman" w:hAnsi="Times New Roman"/>
          <w:sz w:val="24"/>
          <w:szCs w:val="24"/>
        </w:rPr>
        <w:t xml:space="preserve">summary judgment to the </w:t>
      </w:r>
      <w:r>
        <w:rPr>
          <w:rFonts w:ascii="Times New Roman" w:hAnsi="Times New Roman"/>
          <w:sz w:val="24"/>
          <w:szCs w:val="24"/>
        </w:rPr>
        <w:t xml:space="preserve">plaintiff </w:t>
      </w:r>
      <w:r w:rsidRPr="00ED36EF">
        <w:rPr>
          <w:rFonts w:ascii="Times New Roman" w:hAnsi="Times New Roman"/>
          <w:sz w:val="24"/>
          <w:szCs w:val="24"/>
        </w:rPr>
        <w:t>insurance compa</w:t>
      </w:r>
      <w:r>
        <w:rPr>
          <w:rFonts w:ascii="Times New Roman" w:hAnsi="Times New Roman"/>
          <w:sz w:val="24"/>
          <w:szCs w:val="24"/>
        </w:rPr>
        <w:t xml:space="preserve">ny and also to defendant </w:t>
      </w:r>
      <w:r w:rsidRPr="00ED36EF">
        <w:rPr>
          <w:rFonts w:ascii="Times New Roman" w:hAnsi="Times New Roman"/>
          <w:sz w:val="24"/>
          <w:szCs w:val="24"/>
        </w:rPr>
        <w:t>Real Wood Fabricating</w:t>
      </w:r>
      <w:r>
        <w:rPr>
          <w:rFonts w:ascii="Times New Roman" w:hAnsi="Times New Roman"/>
          <w:sz w:val="24"/>
          <w:szCs w:val="24"/>
        </w:rPr>
        <w:t xml:space="preserve">. </w:t>
      </w:r>
      <w:r w:rsidRPr="00ED36EF">
        <w:rPr>
          <w:rFonts w:ascii="Times New Roman" w:hAnsi="Times New Roman"/>
          <w:sz w:val="24"/>
          <w:szCs w:val="24"/>
        </w:rPr>
        <w:t xml:space="preserve"> </w:t>
      </w:r>
    </w:p>
    <w:p w14:paraId="198492D3" w14:textId="77777777" w:rsidR="007D178F" w:rsidRPr="003E7DDA" w:rsidRDefault="007D178F" w:rsidP="007D178F">
      <w:pPr>
        <w:ind w:left="720"/>
        <w:rPr>
          <w:rFonts w:ascii="Times New Roman" w:hAnsi="Times New Roman"/>
          <w:sz w:val="24"/>
          <w:szCs w:val="24"/>
        </w:rPr>
      </w:pPr>
      <w:r>
        <w:rPr>
          <w:rFonts w:ascii="Times New Roman" w:hAnsi="Times New Roman"/>
          <w:sz w:val="24"/>
          <w:szCs w:val="24"/>
        </w:rPr>
        <w:t>“</w:t>
      </w:r>
      <w:r w:rsidRPr="003E7DDA">
        <w:rPr>
          <w:rFonts w:ascii="Times New Roman" w:hAnsi="Times New Roman"/>
          <w:sz w:val="24"/>
          <w:szCs w:val="24"/>
        </w:rPr>
        <w:t xml:space="preserve">After paying Clarke over $389,000 for the property damage caused by the fire, plaintiff, as subrogee of Clarke, commenced this action against defendant, alleging that defendant negligently caused the fire by failing to remove combustible floor materials from the garage. Following joinder of issue, plaintiff moved for summary judgment on the complaint, relying on the opinions of Holter and Thomas and the deposition testimony of Clarke and McCarty. Defendant opposed the motion and cross-moved for summary judgment dismissing the complaint, submitting an affidavit of Jason Karasinski, president and owner of Fire Research &amp; Technology Inc., who was retained </w:t>
      </w:r>
      <w:r>
        <w:rPr>
          <w:rFonts w:ascii="Times New Roman" w:hAnsi="Times New Roman"/>
          <w:sz w:val="24"/>
          <w:szCs w:val="24"/>
        </w:rPr>
        <w:t>‘</w:t>
      </w:r>
      <w:r w:rsidRPr="003E7DDA">
        <w:rPr>
          <w:rFonts w:ascii="Times New Roman" w:hAnsi="Times New Roman"/>
          <w:sz w:val="24"/>
          <w:szCs w:val="24"/>
        </w:rPr>
        <w:t>to review the investigation of [the] fire.</w:t>
      </w:r>
      <w:r>
        <w:rPr>
          <w:rFonts w:ascii="Times New Roman" w:hAnsi="Times New Roman"/>
          <w:sz w:val="24"/>
          <w:szCs w:val="24"/>
        </w:rPr>
        <w:t>’</w:t>
      </w:r>
      <w:r w:rsidRPr="003E7DDA">
        <w:rPr>
          <w:rFonts w:ascii="Times New Roman" w:hAnsi="Times New Roman"/>
          <w:sz w:val="24"/>
          <w:szCs w:val="24"/>
        </w:rPr>
        <w:t xml:space="preserve"> Karasinski concluded that the reports prepared by Holter and Thomas were speculative and that their investigations failed to follow the standards promulgated by the National Fire Protection Association (hereinafter NFPA). Supreme Court denied both motions, finding that the conflicting expert opinions presented issues of fact and credibility as </w:t>
      </w:r>
      <w:proofErr w:type="gramStart"/>
      <w:r w:rsidRPr="003E7DDA">
        <w:rPr>
          <w:rFonts w:ascii="Times New Roman" w:hAnsi="Times New Roman"/>
          <w:sz w:val="24"/>
          <w:szCs w:val="24"/>
        </w:rPr>
        <w:t>to</w:t>
      </w:r>
      <w:proofErr w:type="gramEnd"/>
      <w:r w:rsidRPr="003E7DDA">
        <w:rPr>
          <w:rFonts w:ascii="Times New Roman" w:hAnsi="Times New Roman"/>
          <w:sz w:val="24"/>
          <w:szCs w:val="24"/>
        </w:rPr>
        <w:t xml:space="preserve"> causation. Defendant appeals and plaintiff cross-appeals.</w:t>
      </w:r>
    </w:p>
    <w:p w14:paraId="0E017396" w14:textId="77777777" w:rsidR="007D178F" w:rsidRPr="00865DC4" w:rsidRDefault="007D178F" w:rsidP="007D178F">
      <w:pPr>
        <w:ind w:left="720"/>
        <w:rPr>
          <w:rFonts w:ascii="Times New Roman" w:hAnsi="Times New Roman"/>
          <w:sz w:val="24"/>
          <w:szCs w:val="24"/>
        </w:rPr>
      </w:pPr>
      <w:r>
        <w:rPr>
          <w:rFonts w:ascii="Times New Roman" w:hAnsi="Times New Roman"/>
          <w:sz w:val="24"/>
          <w:szCs w:val="24"/>
        </w:rPr>
        <w:lastRenderedPageBreak/>
        <w:t>“</w:t>
      </w:r>
      <w:r w:rsidRPr="00865DC4">
        <w:rPr>
          <w:rFonts w:ascii="Times New Roman" w:hAnsi="Times New Roman"/>
          <w:sz w:val="24"/>
          <w:szCs w:val="24"/>
        </w:rPr>
        <w:t>We affirm. The record demonstrates that all three experts were duly qualified by their education, training and experience to conduct a fire scene investigation.</w:t>
      </w:r>
      <w:r>
        <w:rPr>
          <w:rFonts w:ascii="Times New Roman" w:hAnsi="Times New Roman"/>
          <w:sz w:val="24"/>
          <w:szCs w:val="24"/>
        </w:rPr>
        <w:t xml:space="preserve">”  </w:t>
      </w:r>
      <w:hyperlink r:id="rId292" w:history="1">
        <w:r w:rsidRPr="00695F3D">
          <w:rPr>
            <w:rStyle w:val="Hyperlink"/>
            <w:rFonts w:ascii="Times New Roman" w:hAnsi="Times New Roman"/>
            <w:sz w:val="24"/>
            <w:szCs w:val="24"/>
          </w:rPr>
          <w:t>http://decisions.courts.state.ny.us/ad3/Decisions/2020/530081.pdf</w:t>
        </w:r>
      </w:hyperlink>
      <w:r>
        <w:rPr>
          <w:rFonts w:ascii="Times New Roman" w:hAnsi="Times New Roman"/>
          <w:sz w:val="24"/>
          <w:szCs w:val="24"/>
        </w:rPr>
        <w:t xml:space="preserve"> </w:t>
      </w:r>
    </w:p>
    <w:p w14:paraId="03F612EB" w14:textId="77777777" w:rsidR="007D178F" w:rsidRDefault="007D178F" w:rsidP="002B1283">
      <w:pPr>
        <w:rPr>
          <w:rFonts w:ascii="Arial Black" w:hAnsi="Arial Black"/>
          <w:b/>
          <w:sz w:val="24"/>
          <w:szCs w:val="24"/>
        </w:rPr>
      </w:pPr>
    </w:p>
    <w:p w14:paraId="4FCC3C42" w14:textId="77777777" w:rsidR="007D178F" w:rsidRDefault="007D178F" w:rsidP="002B1283">
      <w:pPr>
        <w:rPr>
          <w:rFonts w:ascii="Arial Black" w:hAnsi="Arial Black"/>
          <w:b/>
          <w:sz w:val="24"/>
          <w:szCs w:val="24"/>
        </w:rPr>
      </w:pPr>
    </w:p>
    <w:p w14:paraId="483C2B5F" w14:textId="459531CA" w:rsidR="007D178F" w:rsidRDefault="007D178F" w:rsidP="002B1283">
      <w:pPr>
        <w:rPr>
          <w:rFonts w:ascii="Arial Black" w:hAnsi="Arial Black"/>
          <w:b/>
          <w:sz w:val="24"/>
          <w:szCs w:val="24"/>
        </w:rPr>
      </w:pPr>
      <w:r>
        <w:rPr>
          <w:rFonts w:ascii="Arial Black" w:hAnsi="Arial Black"/>
          <w:b/>
          <w:sz w:val="24"/>
          <w:szCs w:val="24"/>
        </w:rPr>
        <w:t>1-6</w:t>
      </w:r>
      <w:r w:rsidR="000F483A">
        <w:rPr>
          <w:rFonts w:ascii="Arial Black" w:hAnsi="Arial Black"/>
          <w:b/>
          <w:sz w:val="24"/>
          <w:szCs w:val="24"/>
        </w:rPr>
        <w:t>8</w:t>
      </w:r>
    </w:p>
    <w:p w14:paraId="3366AEC9" w14:textId="77777777" w:rsidR="007D178F" w:rsidRPr="00297C6C" w:rsidRDefault="007D178F" w:rsidP="007D178F">
      <w:pPr>
        <w:rPr>
          <w:rFonts w:ascii="Arial Black" w:hAnsi="Arial Black"/>
          <w:sz w:val="28"/>
          <w:szCs w:val="28"/>
        </w:rPr>
      </w:pPr>
      <w:r>
        <w:rPr>
          <w:rFonts w:ascii="Arial Black" w:hAnsi="Arial Black"/>
          <w:sz w:val="28"/>
          <w:szCs w:val="28"/>
        </w:rPr>
        <w:t>MA: SPRINKLER LAW – WHEN CITY ADOPTS STATE LAW, UNLICENSED “SOBER HOMES” – 6+ RESIDENTS MUST COMPLY</w:t>
      </w:r>
    </w:p>
    <w:p w14:paraId="054C17EF" w14:textId="77777777" w:rsidR="007D178F" w:rsidRDefault="007D178F" w:rsidP="007D178F">
      <w:pPr>
        <w:rPr>
          <w:rFonts w:ascii="Times New Roman" w:hAnsi="Times New Roman"/>
          <w:sz w:val="24"/>
          <w:szCs w:val="24"/>
        </w:rPr>
      </w:pPr>
      <w:r>
        <w:rPr>
          <w:rFonts w:ascii="Times New Roman" w:hAnsi="Times New Roman"/>
          <w:sz w:val="24"/>
          <w:szCs w:val="24"/>
        </w:rPr>
        <w:t xml:space="preserve">On Nov. 23, 2020, in </w:t>
      </w:r>
      <w:r w:rsidRPr="00297C6C">
        <w:rPr>
          <w:rFonts w:ascii="Times New Roman" w:hAnsi="Times New Roman"/>
          <w:sz w:val="24"/>
          <w:szCs w:val="24"/>
          <w:u w:val="single"/>
        </w:rPr>
        <w:t>Crossing Over, Inc. v. City of Fitchburg</w:t>
      </w:r>
      <w:r>
        <w:rPr>
          <w:rFonts w:ascii="Times New Roman" w:hAnsi="Times New Roman"/>
          <w:sz w:val="24"/>
          <w:szCs w:val="24"/>
        </w:rPr>
        <w:t xml:space="preserve">, the Appeals Court of Massachusetts upheld (3 to 0) the trial judge’s decision upholding Automatic Sprinkler Appeals Board, and the Fire Chief’s March 8, </w:t>
      </w:r>
      <w:proofErr w:type="gramStart"/>
      <w:r>
        <w:rPr>
          <w:rFonts w:ascii="Times New Roman" w:hAnsi="Times New Roman"/>
          <w:sz w:val="24"/>
          <w:szCs w:val="24"/>
        </w:rPr>
        <w:t>2017</w:t>
      </w:r>
      <w:proofErr w:type="gramEnd"/>
      <w:r>
        <w:rPr>
          <w:rFonts w:ascii="Times New Roman" w:hAnsi="Times New Roman"/>
          <w:sz w:val="24"/>
          <w:szCs w:val="24"/>
        </w:rPr>
        <w:t xml:space="preserve"> letter requiring sprinklers </w:t>
      </w:r>
      <w:proofErr w:type="gramStart"/>
      <w:r>
        <w:rPr>
          <w:rFonts w:ascii="Times New Roman" w:hAnsi="Times New Roman"/>
          <w:sz w:val="24"/>
          <w:szCs w:val="24"/>
        </w:rPr>
        <w:t>be</w:t>
      </w:r>
      <w:proofErr w:type="gramEnd"/>
      <w:r>
        <w:rPr>
          <w:rFonts w:ascii="Times New Roman" w:hAnsi="Times New Roman"/>
          <w:sz w:val="24"/>
          <w:szCs w:val="24"/>
        </w:rPr>
        <w:t xml:space="preserve"> installed since home has 8 residents.  Case remanded to trail judge concerning whether statute violates federal or state laws discriminating against disabled.</w:t>
      </w:r>
    </w:p>
    <w:p w14:paraId="533EE72B" w14:textId="77777777" w:rsidR="007D178F" w:rsidRDefault="007D178F" w:rsidP="007D178F">
      <w:pPr>
        <w:spacing w:before="100" w:beforeAutospacing="1" w:after="100" w:afterAutospacing="1" w:line="240" w:lineRule="auto"/>
        <w:ind w:left="720"/>
        <w:rPr>
          <w:rFonts w:ascii="Times New Roman" w:eastAsia="Times New Roman" w:hAnsi="Times New Roman"/>
          <w:sz w:val="24"/>
          <w:szCs w:val="24"/>
        </w:rPr>
      </w:pPr>
      <w:r>
        <w:t>“</w:t>
      </w:r>
      <w:r w:rsidRPr="00F4679A">
        <w:rPr>
          <w:rFonts w:ascii="Times New Roman" w:eastAsia="Times New Roman" w:hAnsi="Times New Roman"/>
          <w:sz w:val="24"/>
          <w:szCs w:val="24"/>
        </w:rPr>
        <w:t>Crossing Over notes that G. L. c. 148, § 26H, carves out from the obligation to install sprinklers "fraternity houses or dormitories, rest homes or group residences licensed or regulated by agencies of the commonwealth," and suggests that the carve-out means that the Legislature either intended to relieve group homes and lodging houses of the obligation to install sprinklers, or that different treatment should be afforded group homes. Lodging houses for the disabled, Crossing Over argues, should be treated in the same manner. The premise is incorrect. The distinction drawn between the lodging houses and other congregate living</w:t>
      </w:r>
      <w:r>
        <w:rPr>
          <w:rFonts w:ascii="Times New Roman" w:eastAsia="Times New Roman" w:hAnsi="Times New Roman"/>
          <w:sz w:val="24"/>
          <w:szCs w:val="24"/>
        </w:rPr>
        <w:t xml:space="preserve"> </w:t>
      </w:r>
      <w:r w:rsidRPr="00F4679A">
        <w:rPr>
          <w:rFonts w:ascii="Times New Roman" w:eastAsia="Times New Roman" w:hAnsi="Times New Roman"/>
          <w:sz w:val="24"/>
          <w:szCs w:val="24"/>
        </w:rPr>
        <w:t>arrangements in G. L. c. 148, § 26H, preserves the regulatory authority granted to State agencies and municipalities over licensed group homes, dormitories, or fraternities, but does not generally exempt them from fire safety regulation.</w:t>
      </w:r>
      <w:r>
        <w:rPr>
          <w:rFonts w:ascii="Times New Roman" w:eastAsia="Times New Roman" w:hAnsi="Times New Roman"/>
          <w:sz w:val="24"/>
          <w:szCs w:val="24"/>
        </w:rPr>
        <w:t xml:space="preserve">”  </w:t>
      </w:r>
      <w:hyperlink r:id="rId293" w:history="1">
        <w:r w:rsidRPr="005709A5">
          <w:rPr>
            <w:rStyle w:val="Hyperlink"/>
            <w:rFonts w:ascii="Times New Roman" w:hAnsi="Times New Roman"/>
            <w:sz w:val="24"/>
            <w:szCs w:val="24"/>
          </w:rPr>
          <w:t>https://law.justia.com/cases/massachusetts/court-of-appeals/2020/19-p-903.html</w:t>
        </w:r>
      </w:hyperlink>
      <w:r>
        <w:rPr>
          <w:rFonts w:ascii="Times New Roman" w:eastAsia="Times New Roman" w:hAnsi="Times New Roman"/>
          <w:sz w:val="24"/>
          <w:szCs w:val="24"/>
        </w:rPr>
        <w:t xml:space="preserve"> </w:t>
      </w:r>
    </w:p>
    <w:p w14:paraId="2F373111" w14:textId="77777777" w:rsidR="007D178F" w:rsidRPr="00FE5C5F" w:rsidRDefault="007D178F" w:rsidP="007D178F">
      <w:pPr>
        <w:spacing w:before="100" w:beforeAutospacing="1" w:after="100" w:afterAutospacing="1" w:line="240" w:lineRule="auto"/>
        <w:ind w:firstLine="720"/>
        <w:rPr>
          <w:rFonts w:ascii="Times New Roman" w:eastAsia="Times New Roman" w:hAnsi="Times New Roman"/>
          <w:sz w:val="24"/>
          <w:szCs w:val="24"/>
        </w:rPr>
      </w:pPr>
      <w:r w:rsidRPr="00FE5C5F">
        <w:rPr>
          <w:rFonts w:ascii="Times New Roman" w:eastAsia="Times New Roman" w:hAnsi="Times New Roman"/>
          <w:sz w:val="24"/>
          <w:szCs w:val="24"/>
        </w:rPr>
        <w:t>***</w:t>
      </w:r>
    </w:p>
    <w:p w14:paraId="736227D9" w14:textId="77777777" w:rsidR="007D178F" w:rsidRPr="00FE5C5F" w:rsidRDefault="007D178F" w:rsidP="007D178F">
      <w:pPr>
        <w:spacing w:before="100" w:beforeAutospacing="1" w:after="100" w:afterAutospacing="1" w:line="240" w:lineRule="auto"/>
        <w:ind w:left="720"/>
        <w:rPr>
          <w:rFonts w:ascii="Times New Roman" w:hAnsi="Times New Roman"/>
          <w:sz w:val="24"/>
          <w:szCs w:val="24"/>
        </w:rPr>
      </w:pPr>
      <w:r w:rsidRPr="00FE5C5F">
        <w:rPr>
          <w:rFonts w:ascii="Times New Roman" w:hAnsi="Times New Roman"/>
          <w:sz w:val="24"/>
          <w:szCs w:val="24"/>
        </w:rPr>
        <w:t xml:space="preserve">Sober homes, however, are not licensed by the Commonwealth. </w:t>
      </w:r>
      <w:proofErr w:type="gramStart"/>
      <w:r w:rsidRPr="00FE5C5F">
        <w:rPr>
          <w:rFonts w:ascii="Times New Roman" w:hAnsi="Times New Roman"/>
          <w:sz w:val="24"/>
          <w:szCs w:val="24"/>
        </w:rPr>
        <w:t>Instead</w:t>
      </w:r>
      <w:proofErr w:type="gramEnd"/>
      <w:r w:rsidRPr="00FE5C5F">
        <w:rPr>
          <w:rFonts w:ascii="Times New Roman" w:hAnsi="Times New Roman"/>
          <w:sz w:val="24"/>
          <w:szCs w:val="24"/>
        </w:rPr>
        <w:t xml:space="preserve"> they are subject to a voluntary State accreditation and training program, G. L. c. 17, § 18A, inserted by St. 2014, c. 165, § 37; accreditation is required if the sober home is to receive referrals from State agencies. G. L. c. 17, § 18A (</w:t>
      </w:r>
      <w:r w:rsidRPr="00FE5C5F">
        <w:rPr>
          <w:rFonts w:ascii="Times New Roman" w:hAnsi="Times New Roman"/>
          <w:sz w:val="24"/>
          <w:szCs w:val="24"/>
          <w:u w:val="single"/>
        </w:rPr>
        <w:t>h</w:t>
      </w:r>
      <w:r w:rsidRPr="00FE5C5F">
        <w:rPr>
          <w:rFonts w:ascii="Times New Roman" w:hAnsi="Times New Roman"/>
          <w:sz w:val="24"/>
          <w:szCs w:val="24"/>
        </w:rPr>
        <w:t xml:space="preserve">). Contrast G. L. c. 111, § 73 (providing fines for operation of rest home without license). General Laws c. 148, 26H, thus has the effect of extending the sprinkler statute to lodging houses that are sober homes; other statutes and regulations extend varying levels of fire safety standards to other congregate living </w:t>
      </w:r>
      <w:proofErr w:type="gramStart"/>
      <w:r w:rsidRPr="00FE5C5F">
        <w:rPr>
          <w:rFonts w:ascii="Times New Roman" w:hAnsi="Times New Roman"/>
          <w:sz w:val="24"/>
          <w:szCs w:val="24"/>
        </w:rPr>
        <w:t>arrangements.”</w:t>
      </w:r>
      <w:proofErr w:type="gramEnd"/>
      <w:r w:rsidRPr="00FE5C5F">
        <w:rPr>
          <w:rFonts w:ascii="Times New Roman" w:hAnsi="Times New Roman"/>
          <w:sz w:val="24"/>
          <w:szCs w:val="24"/>
        </w:rPr>
        <w:t xml:space="preserve"> </w:t>
      </w:r>
      <w:hyperlink r:id="rId294" w:history="1">
        <w:r w:rsidRPr="00FE5C5F">
          <w:rPr>
            <w:rStyle w:val="Hyperlink"/>
            <w:rFonts w:ascii="Times New Roman" w:hAnsi="Times New Roman"/>
            <w:sz w:val="24"/>
            <w:szCs w:val="24"/>
          </w:rPr>
          <w:t>https://public.fastcase.com/Wl%2B2t%2BeVuI35%2FN70vAMFZn5gKg3cdbP6IN7E7ywDm7QNgGMGGIVm2eo9gH1WNWLv</w:t>
        </w:r>
      </w:hyperlink>
      <w:r w:rsidRPr="00FE5C5F">
        <w:rPr>
          <w:rFonts w:ascii="Times New Roman" w:hAnsi="Times New Roman"/>
          <w:sz w:val="24"/>
          <w:szCs w:val="24"/>
        </w:rPr>
        <w:t xml:space="preserve"> </w:t>
      </w:r>
    </w:p>
    <w:p w14:paraId="6F120D4E" w14:textId="77777777" w:rsidR="007D178F" w:rsidRDefault="007D178F" w:rsidP="007D178F">
      <w:pPr>
        <w:pStyle w:val="NoSpacing"/>
        <w:tabs>
          <w:tab w:val="left" w:pos="3200"/>
        </w:tabs>
        <w:rPr>
          <w:rFonts w:ascii="Times New Roman" w:hAnsi="Times New Roman"/>
          <w:b/>
          <w:bCs/>
          <w:sz w:val="24"/>
          <w:szCs w:val="24"/>
        </w:rPr>
      </w:pPr>
      <w:r w:rsidRPr="00091FFE">
        <w:rPr>
          <w:rFonts w:ascii="Times New Roman" w:hAnsi="Times New Roman"/>
          <w:b/>
          <w:bCs/>
          <w:sz w:val="24"/>
          <w:szCs w:val="24"/>
        </w:rPr>
        <w:t>Legal Lesson Learned:</w:t>
      </w:r>
      <w:r>
        <w:rPr>
          <w:rFonts w:ascii="Times New Roman" w:hAnsi="Times New Roman"/>
          <w:b/>
          <w:bCs/>
          <w:sz w:val="24"/>
          <w:szCs w:val="24"/>
        </w:rPr>
        <w:t xml:space="preserve"> State sprinkler code can be enforced not only against state-licensed facilities, such as rest homes and group mental health facilities, but also to unlicensed “sober houses” voluntarily seeking State accreditation </w:t>
      </w:r>
      <w:proofErr w:type="gramStart"/>
      <w:r>
        <w:rPr>
          <w:rFonts w:ascii="Times New Roman" w:hAnsi="Times New Roman"/>
          <w:b/>
          <w:bCs/>
          <w:sz w:val="24"/>
          <w:szCs w:val="24"/>
        </w:rPr>
        <w:t>in order to</w:t>
      </w:r>
      <w:proofErr w:type="gramEnd"/>
      <w:r>
        <w:rPr>
          <w:rFonts w:ascii="Times New Roman" w:hAnsi="Times New Roman"/>
          <w:b/>
          <w:bCs/>
          <w:sz w:val="24"/>
          <w:szCs w:val="24"/>
        </w:rPr>
        <w:t xml:space="preserve"> receive patient referrals from State agencies. </w:t>
      </w:r>
    </w:p>
    <w:p w14:paraId="22956CD6" w14:textId="77777777" w:rsidR="007D178F" w:rsidRDefault="007D178F" w:rsidP="007D178F">
      <w:pPr>
        <w:pStyle w:val="NoSpacing"/>
        <w:tabs>
          <w:tab w:val="left" w:pos="3200"/>
        </w:tabs>
        <w:rPr>
          <w:rFonts w:ascii="Times New Roman" w:hAnsi="Times New Roman"/>
          <w:b/>
          <w:bCs/>
          <w:sz w:val="24"/>
          <w:szCs w:val="24"/>
        </w:rPr>
      </w:pPr>
    </w:p>
    <w:p w14:paraId="597D1F30" w14:textId="77777777" w:rsidR="007D178F" w:rsidRDefault="007D178F" w:rsidP="007D178F">
      <w:pPr>
        <w:pStyle w:val="NoSpacing"/>
        <w:tabs>
          <w:tab w:val="left" w:pos="3200"/>
        </w:tabs>
        <w:ind w:left="630"/>
      </w:pPr>
      <w:r>
        <w:rPr>
          <w:rFonts w:ascii="Times New Roman" w:hAnsi="Times New Roman"/>
          <w:sz w:val="24"/>
          <w:szCs w:val="24"/>
        </w:rPr>
        <w:t xml:space="preserve">Note:  The Court described how fire codes nationwide have expanded after tragic fires, including </w:t>
      </w:r>
      <w:r w:rsidRPr="00906A73">
        <w:rPr>
          <w:rFonts w:ascii="Times New Roman" w:hAnsi="Times New Roman"/>
          <w:sz w:val="24"/>
          <w:szCs w:val="24"/>
        </w:rPr>
        <w:t>the Triangle Shirtwaist Factory Fire in New York</w:t>
      </w:r>
      <w:r>
        <w:rPr>
          <w:rFonts w:ascii="Times New Roman" w:hAnsi="Times New Roman"/>
          <w:sz w:val="24"/>
          <w:szCs w:val="24"/>
        </w:rPr>
        <w:t xml:space="preserve"> (1911 – 146 died), and the </w:t>
      </w:r>
      <w:r w:rsidRPr="00906A73">
        <w:rPr>
          <w:rFonts w:ascii="Times New Roman" w:hAnsi="Times New Roman"/>
          <w:sz w:val="24"/>
          <w:szCs w:val="24"/>
        </w:rPr>
        <w:t>Cocoanut Grove nightclub fire in Boston</w:t>
      </w:r>
      <w:r>
        <w:rPr>
          <w:rFonts w:ascii="Times New Roman" w:hAnsi="Times New Roman"/>
          <w:sz w:val="24"/>
          <w:szCs w:val="24"/>
        </w:rPr>
        <w:t xml:space="preserve"> (1942 – 492 died).  [Footnote 5.]  Sprinkler codes in Massachusetts were also expanded after tragic fires. </w:t>
      </w:r>
    </w:p>
    <w:p w14:paraId="30225F49" w14:textId="77777777" w:rsidR="007D178F" w:rsidRDefault="007D178F" w:rsidP="007D178F">
      <w:pPr>
        <w:pStyle w:val="NormalWeb"/>
        <w:ind w:left="720"/>
      </w:pPr>
      <w:r>
        <w:lastRenderedPageBreak/>
        <w:t xml:space="preserve">“The Commonwealth's sprinkler laws reflect a patchwork of requirements enacted, seriatim, in response to various </w:t>
      </w:r>
      <w:proofErr w:type="spellStart"/>
      <w:r>
        <w:t>tragedies.</w:t>
      </w:r>
      <w:bookmarkStart w:id="17" w:name="fn5"/>
      <w:r>
        <w:rPr>
          <w:sz w:val="20"/>
          <w:szCs w:val="20"/>
          <w:vertAlign w:val="superscript"/>
        </w:rPr>
        <w:fldChar w:fldCharType="begin"/>
      </w:r>
      <w:r>
        <w:rPr>
          <w:sz w:val="20"/>
          <w:szCs w:val="20"/>
          <w:vertAlign w:val="superscript"/>
        </w:rPr>
        <w:instrText xml:space="preserve"> HYPERLINK "https://public.fastcase.com/" \l "fr5" </w:instrText>
      </w:r>
      <w:r>
        <w:rPr>
          <w:sz w:val="20"/>
          <w:szCs w:val="20"/>
          <w:vertAlign w:val="superscript"/>
        </w:rPr>
      </w:r>
      <w:r>
        <w:rPr>
          <w:sz w:val="20"/>
          <w:szCs w:val="20"/>
          <w:vertAlign w:val="superscript"/>
        </w:rPr>
        <w:fldChar w:fldCharType="separate"/>
      </w:r>
      <w:r w:rsidR="00814FB6">
        <w:rPr>
          <w:rStyle w:val="Hyperlink"/>
          <w:rFonts w:ascii="Calibri" w:eastAsia="Calibri" w:hAnsi="Calibri"/>
          <w:sz w:val="22"/>
          <w:szCs w:val="22"/>
        </w:rPr>
        <w:t>https</w:t>
      </w:r>
      <w:proofErr w:type="spellEnd"/>
      <w:r w:rsidR="00814FB6">
        <w:rPr>
          <w:rStyle w:val="Hyperlink"/>
          <w:rFonts w:ascii="Calibri" w:eastAsia="Calibri" w:hAnsi="Calibri"/>
          <w:sz w:val="22"/>
          <w:szCs w:val="22"/>
        </w:rPr>
        <w:t>://public.fastcase.com/ - fr5</w:t>
      </w:r>
      <w:r>
        <w:rPr>
          <w:sz w:val="20"/>
          <w:szCs w:val="20"/>
          <w:vertAlign w:val="superscript"/>
        </w:rPr>
        <w:fldChar w:fldCharType="end"/>
      </w:r>
      <w:bookmarkEnd w:id="17"/>
      <w:r>
        <w:rPr>
          <w:sz w:val="20"/>
          <w:szCs w:val="20"/>
          <w:vertAlign w:val="superscript"/>
        </w:rPr>
        <w:t xml:space="preserve"> </w:t>
      </w:r>
      <w:r>
        <w:t>‘[F]</w:t>
      </w:r>
      <w:proofErr w:type="spellStart"/>
      <w:r>
        <w:t>ollowing</w:t>
      </w:r>
      <w:proofErr w:type="spellEnd"/>
      <w:r>
        <w:t xml:space="preserve"> a fire in a luxury high rise hotel that killed nine firefighters,’ </w:t>
      </w:r>
      <w:proofErr w:type="spellStart"/>
      <w:r>
        <w:rPr>
          <w:u w:val="single"/>
        </w:rPr>
        <w:t>MacLaurin</w:t>
      </w:r>
      <w:proofErr w:type="spellEnd"/>
      <w:r>
        <w:t xml:space="preserve"> v. </w:t>
      </w:r>
      <w:r>
        <w:rPr>
          <w:u w:val="single"/>
        </w:rPr>
        <w:t>Holyoke</w:t>
      </w:r>
      <w:r>
        <w:t xml:space="preserve">, 475 Mass. 231, 245 n.33 (2016), "automatic sprinklers were first required in 1972, in new </w:t>
      </w:r>
      <w:proofErr w:type="gramStart"/>
      <w:r>
        <w:t>high rise</w:t>
      </w:r>
      <w:proofErr w:type="gramEnd"/>
      <w:r>
        <w:t xml:space="preserve"> buildings throughout the Commonwealth, for buildings built after March 1, 1974. See G. L. c. 148, § 26A; St. 1973, c. 395, § 1." </w:t>
      </w:r>
      <w:r>
        <w:rPr>
          <w:u w:val="single"/>
        </w:rPr>
        <w:t>Id</w:t>
      </w:r>
      <w:r>
        <w:t xml:space="preserve">. at 245. "In 1982, following a deadly fire in Fall River, the commercial sprinkler provision, applicable to new nonresidential buildings of more than 7,500 square feet, and existing such buildings when they underwent 'major alterations,' was adopted." </w:t>
      </w:r>
      <w:r>
        <w:rPr>
          <w:u w:val="single"/>
        </w:rPr>
        <w:t>Id</w:t>
      </w:r>
      <w:r>
        <w:t>., discussing G. L. c. 148, § 26G, inserted by St. 1982, c. 545, § 1. "[I]</w:t>
      </w:r>
      <w:proofErr w:type="gramStart"/>
      <w:r>
        <w:t>n 1986</w:t>
      </w:r>
      <w:proofErr w:type="gramEnd"/>
      <w:r>
        <w:t xml:space="preserve">, after a major fire in the Prudential Center in Boston, sprinklers were required in existing, and not just new, </w:t>
      </w:r>
      <w:proofErr w:type="gramStart"/>
      <w:r>
        <w:t>high rise</w:t>
      </w:r>
      <w:proofErr w:type="gramEnd"/>
      <w:r>
        <w:t xml:space="preserve"> buildings across the Commonwealth, G. L. c. 148, § 26A 1/2, with a ten-year phase-in period. St. 1986, c. 633, § 2." (Footnote omitted.) </w:t>
      </w:r>
      <w:proofErr w:type="spellStart"/>
      <w:r>
        <w:rPr>
          <w:u w:val="single"/>
        </w:rPr>
        <w:t>MacLaurin</w:t>
      </w:r>
      <w:proofErr w:type="spellEnd"/>
      <w:r>
        <w:t xml:space="preserve">, </w:t>
      </w:r>
      <w:r>
        <w:rPr>
          <w:u w:val="single"/>
        </w:rPr>
        <w:t>supra</w:t>
      </w:r>
      <w:r>
        <w:t>. The sprinkler requirement for lodging houses at issue in this case was enacted within two years of the 1984 Elliot Chambers rooming house fire, a fire in Beverly in which fifteen people died and fourteen more were injured. See G. L. c. 148, § 26H, inserted by St. 1986, c. 265; Ortega, 1984 Beverly Fire Etched into Memory of Witnesses, Boston Globe (July 4, 2014), https://www.bostonglobe.com/metro/2014/07/03/three-decades-later-beverly-rooming-house-fire-that-killed-leaves-legacy-loss-and-reform/PljEbDRo6WmiAs5L84MRNP/story.html [https://perma.cc/VXQ7-R5NF].”</w:t>
      </w:r>
    </w:p>
    <w:p w14:paraId="31AE4E1C" w14:textId="77777777" w:rsidR="007D178F" w:rsidRDefault="007D178F" w:rsidP="007D178F">
      <w:pPr>
        <w:pStyle w:val="NoSpacing"/>
        <w:tabs>
          <w:tab w:val="left" w:pos="3200"/>
        </w:tabs>
        <w:rPr>
          <w:rFonts w:ascii="Times New Roman" w:hAnsi="Times New Roman"/>
          <w:sz w:val="24"/>
          <w:szCs w:val="24"/>
        </w:rPr>
      </w:pPr>
      <w:r>
        <w:rPr>
          <w:rFonts w:ascii="Times New Roman" w:hAnsi="Times New Roman"/>
          <w:sz w:val="24"/>
          <w:szCs w:val="24"/>
        </w:rPr>
        <w:t xml:space="preserve"> </w:t>
      </w:r>
    </w:p>
    <w:p w14:paraId="06F752CE" w14:textId="77777777" w:rsidR="007D178F" w:rsidRDefault="007D178F" w:rsidP="007D178F">
      <w:pPr>
        <w:pStyle w:val="NoSpacing"/>
        <w:rPr>
          <w:rFonts w:ascii="Times New Roman" w:hAnsi="Times New Roman"/>
          <w:sz w:val="24"/>
          <w:szCs w:val="24"/>
        </w:rPr>
      </w:pPr>
    </w:p>
    <w:p w14:paraId="0D237155" w14:textId="77777777" w:rsidR="007D178F" w:rsidRDefault="007D178F" w:rsidP="002B1283">
      <w:pPr>
        <w:rPr>
          <w:rFonts w:ascii="Arial Black" w:hAnsi="Arial Black"/>
          <w:b/>
          <w:sz w:val="24"/>
          <w:szCs w:val="24"/>
        </w:rPr>
      </w:pPr>
    </w:p>
    <w:p w14:paraId="318E0B3B" w14:textId="77777777" w:rsidR="007D178F" w:rsidRDefault="007D178F" w:rsidP="002B1283">
      <w:pPr>
        <w:rPr>
          <w:rFonts w:ascii="Arial Black" w:hAnsi="Arial Black"/>
          <w:b/>
          <w:sz w:val="24"/>
          <w:szCs w:val="24"/>
        </w:rPr>
      </w:pPr>
    </w:p>
    <w:p w14:paraId="3BB07011" w14:textId="09CB6DEA" w:rsidR="00DD03E3" w:rsidRDefault="00DD03E3" w:rsidP="002B1283">
      <w:pPr>
        <w:rPr>
          <w:rFonts w:ascii="Arial Black" w:hAnsi="Arial Black"/>
          <w:b/>
          <w:sz w:val="24"/>
          <w:szCs w:val="24"/>
        </w:rPr>
      </w:pPr>
      <w:r>
        <w:rPr>
          <w:rFonts w:ascii="Arial Black" w:hAnsi="Arial Black"/>
          <w:b/>
          <w:sz w:val="24"/>
          <w:szCs w:val="24"/>
        </w:rPr>
        <w:t>1-6</w:t>
      </w:r>
      <w:r w:rsidR="000F483A">
        <w:rPr>
          <w:rFonts w:ascii="Arial Black" w:hAnsi="Arial Black"/>
          <w:b/>
          <w:sz w:val="24"/>
          <w:szCs w:val="24"/>
        </w:rPr>
        <w:t>7</w:t>
      </w:r>
    </w:p>
    <w:p w14:paraId="5CBC4D03" w14:textId="77777777" w:rsidR="00DD03E3" w:rsidRPr="000A4BA4" w:rsidRDefault="00DD03E3" w:rsidP="00DD03E3">
      <w:pPr>
        <w:spacing w:before="100" w:beforeAutospacing="1" w:after="100" w:afterAutospacing="1" w:line="240" w:lineRule="auto"/>
        <w:rPr>
          <w:rFonts w:ascii="Arial Black" w:eastAsia="Times New Roman" w:hAnsi="Arial Black"/>
          <w:b/>
          <w:bCs/>
          <w:sz w:val="28"/>
          <w:szCs w:val="28"/>
        </w:rPr>
      </w:pPr>
      <w:r w:rsidRPr="000A4BA4">
        <w:rPr>
          <w:rFonts w:ascii="Arial Black" w:eastAsia="Times New Roman" w:hAnsi="Arial Black"/>
          <w:b/>
          <w:bCs/>
          <w:sz w:val="28"/>
          <w:szCs w:val="28"/>
        </w:rPr>
        <w:t>CA:</w:t>
      </w:r>
      <w:r>
        <w:rPr>
          <w:rFonts w:ascii="Arial Black" w:eastAsia="Times New Roman" w:hAnsi="Arial Black"/>
          <w:b/>
          <w:bCs/>
          <w:sz w:val="28"/>
          <w:szCs w:val="28"/>
        </w:rPr>
        <w:t xml:space="preserve"> ARSON – EMPLOYEE FIRED COFFEE SHOP - SEARCH WARRANT UPHELD – U.S. SUP. CT’s “GOOD FAITH EXCEPTION” ALSO APPLIES</w:t>
      </w:r>
    </w:p>
    <w:p w14:paraId="3EE354FD" w14:textId="77777777" w:rsidR="00DD03E3" w:rsidRDefault="00DD03E3" w:rsidP="00DD03E3">
      <w:pPr>
        <w:spacing w:before="100" w:beforeAutospacing="1" w:after="100" w:afterAutospacing="1" w:line="240" w:lineRule="auto"/>
        <w:rPr>
          <w:rFonts w:ascii="Times New Roman" w:hAnsi="Times New Roman"/>
          <w:sz w:val="24"/>
          <w:szCs w:val="24"/>
        </w:rPr>
      </w:pPr>
      <w:r w:rsidRPr="000A4BA4">
        <w:rPr>
          <w:rFonts w:ascii="Times New Roman" w:hAnsi="Times New Roman"/>
          <w:sz w:val="24"/>
          <w:szCs w:val="24"/>
        </w:rPr>
        <w:t xml:space="preserve">On Oct. 13, 2020, in </w:t>
      </w:r>
      <w:r w:rsidRPr="000A4BA4">
        <w:rPr>
          <w:rFonts w:ascii="Times New Roman" w:hAnsi="Times New Roman"/>
          <w:sz w:val="24"/>
          <w:szCs w:val="24"/>
          <w:u w:val="single"/>
        </w:rPr>
        <w:t>The People v. Muhammad Khan</w:t>
      </w:r>
      <w:r w:rsidRPr="000A4BA4">
        <w:rPr>
          <w:rFonts w:ascii="Times New Roman" w:hAnsi="Times New Roman"/>
          <w:sz w:val="24"/>
          <w:szCs w:val="24"/>
        </w:rPr>
        <w:t xml:space="preserve">, </w:t>
      </w:r>
      <w:r>
        <w:rPr>
          <w:rFonts w:ascii="Times New Roman" w:hAnsi="Times New Roman"/>
          <w:sz w:val="24"/>
          <w:szCs w:val="24"/>
        </w:rPr>
        <w:t xml:space="preserve">the Court of Appeal of the State of California (Sixth Appellate District), held (3 to 0) unpublished decision, that the trial court judge had properly denied the defense motion to suppress evidence seized at defendant’s home.  Court also held that even if the search warrant was found to be technically deficient, the evidence was properly allowed into evidence based on  the U.S. Supreme Court’s “good faith exception” in United States v. Leon, 468 U.S. 89 (1984), </w:t>
      </w:r>
      <w:hyperlink r:id="rId295" w:history="1">
        <w:r w:rsidRPr="00457ADD">
          <w:rPr>
            <w:rStyle w:val="Hyperlink"/>
            <w:rFonts w:ascii="Times New Roman" w:hAnsi="Times New Roman"/>
            <w:sz w:val="24"/>
            <w:szCs w:val="24"/>
          </w:rPr>
          <w:t>https://supreme.justia.com/cases/federal/us/468/897/</w:t>
        </w:r>
      </w:hyperlink>
      <w:r>
        <w:rPr>
          <w:rFonts w:ascii="Times New Roman" w:hAnsi="Times New Roman"/>
          <w:sz w:val="24"/>
          <w:szCs w:val="24"/>
        </w:rPr>
        <w:t xml:space="preserve"> </w:t>
      </w:r>
    </w:p>
    <w:p w14:paraId="32405324" w14:textId="77777777" w:rsidR="00DD03E3" w:rsidRDefault="00DD03E3" w:rsidP="00DD03E3">
      <w:pPr>
        <w:spacing w:before="100" w:beforeAutospacing="1" w:after="100" w:afterAutospacing="1" w:line="240" w:lineRule="auto"/>
        <w:ind w:left="720"/>
        <w:rPr>
          <w:rFonts w:ascii="Times New Roman" w:eastAsia="Times New Roman" w:hAnsi="Times New Roman"/>
          <w:sz w:val="24"/>
          <w:szCs w:val="24"/>
        </w:rPr>
      </w:pPr>
      <w:r>
        <w:rPr>
          <w:rFonts w:ascii="Times New Roman" w:hAnsi="Times New Roman"/>
          <w:sz w:val="24"/>
          <w:szCs w:val="24"/>
        </w:rPr>
        <w:t>“</w:t>
      </w:r>
      <w:r w:rsidRPr="000A4BA4">
        <w:rPr>
          <w:rFonts w:ascii="Times New Roman" w:hAnsi="Times New Roman"/>
          <w:sz w:val="24"/>
          <w:szCs w:val="24"/>
        </w:rPr>
        <w:t>Even if a close question, we conclude that the issuing magistrate had a substantial basis for concluding that probable cause existed for issuance of the search warrant, i.e., there was a fair probability that evidence of the crime would be found in defendant's home.</w:t>
      </w:r>
      <w:r>
        <w:rPr>
          <w:rFonts w:ascii="Times New Roman" w:hAnsi="Times New Roman"/>
          <w:sz w:val="24"/>
          <w:szCs w:val="24"/>
        </w:rPr>
        <w:t xml:space="preserve"> </w:t>
      </w:r>
      <w:r w:rsidRPr="00F02ED3">
        <w:rPr>
          <w:rFonts w:ascii="Times New Roman" w:eastAsia="Times New Roman" w:hAnsi="Times New Roman"/>
          <w:sz w:val="24"/>
          <w:szCs w:val="24"/>
        </w:rPr>
        <w:t xml:space="preserve">In </w:t>
      </w:r>
      <w:r w:rsidRPr="00F02ED3">
        <w:rPr>
          <w:rFonts w:ascii="Times New Roman" w:eastAsia="Times New Roman" w:hAnsi="Times New Roman"/>
          <w:i/>
          <w:iCs/>
          <w:sz w:val="24"/>
          <w:szCs w:val="24"/>
        </w:rPr>
        <w:t>Leon</w:t>
      </w:r>
      <w:r w:rsidRPr="00F02ED3">
        <w:rPr>
          <w:rFonts w:ascii="Times New Roman" w:eastAsia="Times New Roman" w:hAnsi="Times New Roman"/>
          <w:sz w:val="24"/>
          <w:szCs w:val="24"/>
        </w:rPr>
        <w:t xml:space="preserve">, the United States Supreme Court recognized a good faith exception to the exclusionary rule where police conduct a search in </w:t>
      </w:r>
      <w:r>
        <w:rPr>
          <w:rFonts w:ascii="Times New Roman" w:eastAsia="Times New Roman" w:hAnsi="Times New Roman"/>
          <w:sz w:val="24"/>
          <w:szCs w:val="24"/>
        </w:rPr>
        <w:t>‘</w:t>
      </w:r>
      <w:r w:rsidRPr="00F02ED3">
        <w:rPr>
          <w:rFonts w:ascii="Times New Roman" w:eastAsia="Times New Roman" w:hAnsi="Times New Roman"/>
          <w:sz w:val="24"/>
          <w:szCs w:val="24"/>
        </w:rPr>
        <w:t>objectively reasonable reliance</w:t>
      </w:r>
      <w:r>
        <w:rPr>
          <w:rFonts w:ascii="Times New Roman" w:eastAsia="Times New Roman" w:hAnsi="Times New Roman"/>
          <w:sz w:val="24"/>
          <w:szCs w:val="24"/>
        </w:rPr>
        <w:t>’</w:t>
      </w:r>
      <w:r w:rsidRPr="00F02ED3">
        <w:rPr>
          <w:rFonts w:ascii="Times New Roman" w:eastAsia="Times New Roman" w:hAnsi="Times New Roman"/>
          <w:sz w:val="24"/>
          <w:szCs w:val="24"/>
        </w:rPr>
        <w:t xml:space="preserve"> on a warrant later held invalid. (</w:t>
      </w:r>
      <w:r w:rsidRPr="00F02ED3">
        <w:rPr>
          <w:rFonts w:ascii="Times New Roman" w:eastAsia="Times New Roman" w:hAnsi="Times New Roman"/>
          <w:i/>
          <w:iCs/>
          <w:sz w:val="24"/>
          <w:szCs w:val="24"/>
        </w:rPr>
        <w:t>Leon</w:t>
      </w:r>
      <w:r w:rsidRPr="00F02ED3">
        <w:rPr>
          <w:rFonts w:ascii="Times New Roman" w:eastAsia="Times New Roman" w:hAnsi="Times New Roman"/>
          <w:sz w:val="24"/>
          <w:szCs w:val="24"/>
        </w:rPr>
        <w:t xml:space="preserve">, </w:t>
      </w:r>
      <w:r w:rsidRPr="00F02ED3">
        <w:rPr>
          <w:rFonts w:ascii="Times New Roman" w:eastAsia="Times New Roman" w:hAnsi="Times New Roman"/>
          <w:i/>
          <w:iCs/>
          <w:sz w:val="24"/>
          <w:szCs w:val="24"/>
        </w:rPr>
        <w:t>supra</w:t>
      </w:r>
      <w:r w:rsidRPr="00F02ED3">
        <w:rPr>
          <w:rFonts w:ascii="Times New Roman" w:eastAsia="Times New Roman" w:hAnsi="Times New Roman"/>
          <w:sz w:val="24"/>
          <w:szCs w:val="24"/>
        </w:rPr>
        <w:t xml:space="preserve">, 468 U.S. at p. 922; see </w:t>
      </w:r>
      <w:r w:rsidRPr="00F02ED3">
        <w:rPr>
          <w:rFonts w:ascii="Times New Roman" w:eastAsia="Times New Roman" w:hAnsi="Times New Roman"/>
          <w:i/>
          <w:iCs/>
          <w:sz w:val="24"/>
          <w:szCs w:val="24"/>
        </w:rPr>
        <w:t>id</w:t>
      </w:r>
      <w:r w:rsidRPr="00F02ED3">
        <w:rPr>
          <w:rFonts w:ascii="Times New Roman" w:eastAsia="Times New Roman" w:hAnsi="Times New Roman"/>
          <w:sz w:val="24"/>
          <w:szCs w:val="24"/>
        </w:rPr>
        <w:t xml:space="preserve">. </w:t>
      </w:r>
      <w:proofErr w:type="gramStart"/>
      <w:r w:rsidRPr="00F02ED3">
        <w:rPr>
          <w:rFonts w:ascii="Times New Roman" w:eastAsia="Times New Roman" w:hAnsi="Times New Roman"/>
          <w:sz w:val="24"/>
          <w:szCs w:val="24"/>
        </w:rPr>
        <w:t>at p.</w:t>
      </w:r>
      <w:proofErr w:type="gramEnd"/>
      <w:r w:rsidRPr="00F02ED3">
        <w:rPr>
          <w:rFonts w:ascii="Times New Roman" w:eastAsia="Times New Roman" w:hAnsi="Times New Roman"/>
          <w:sz w:val="24"/>
          <w:szCs w:val="24"/>
        </w:rPr>
        <w:t xml:space="preserve"> 924 [the good-faith exception turns on objective reasonableness].) The court </w:t>
      </w:r>
      <w:proofErr w:type="gramStart"/>
      <w:r w:rsidRPr="00F02ED3">
        <w:rPr>
          <w:rFonts w:ascii="Times New Roman" w:eastAsia="Times New Roman" w:hAnsi="Times New Roman"/>
          <w:sz w:val="24"/>
          <w:szCs w:val="24"/>
        </w:rPr>
        <w:t xml:space="preserve">explained: </w:t>
      </w:r>
      <w:r>
        <w:rPr>
          <w:rFonts w:ascii="Times New Roman" w:eastAsia="Times New Roman" w:hAnsi="Times New Roman"/>
          <w:sz w:val="24"/>
          <w:szCs w:val="24"/>
        </w:rPr>
        <w:t>‘</w:t>
      </w:r>
      <w:proofErr w:type="gramEnd"/>
      <w:r w:rsidRPr="00F02ED3">
        <w:rPr>
          <w:rFonts w:ascii="Times New Roman" w:eastAsia="Times New Roman" w:hAnsi="Times New Roman"/>
          <w:sz w:val="24"/>
          <w:szCs w:val="24"/>
        </w:rPr>
        <w:t>It is the magistrate's responsibility to determine whether the officer's allegations establish probable cause and, if so, to issue a warrant comporting in form with the requirements of the Fourth Amendment. In the ordinary case, an officer cannot be expected to question</w:t>
      </w:r>
      <w:r>
        <w:rPr>
          <w:rFonts w:ascii="Times New Roman" w:eastAsia="Times New Roman" w:hAnsi="Times New Roman"/>
          <w:sz w:val="24"/>
          <w:szCs w:val="24"/>
        </w:rPr>
        <w:t xml:space="preserve"> </w:t>
      </w:r>
      <w:r w:rsidRPr="00F02ED3">
        <w:rPr>
          <w:rFonts w:ascii="Times New Roman" w:eastAsia="Times New Roman" w:hAnsi="Times New Roman"/>
          <w:sz w:val="24"/>
          <w:szCs w:val="24"/>
        </w:rPr>
        <w:t xml:space="preserve">the magistrate's probable-cause determination or his judgment that the form of the </w:t>
      </w:r>
      <w:proofErr w:type="gramStart"/>
      <w:r w:rsidRPr="00F02ED3">
        <w:rPr>
          <w:rFonts w:ascii="Times New Roman" w:eastAsia="Times New Roman" w:hAnsi="Times New Roman"/>
          <w:sz w:val="24"/>
          <w:szCs w:val="24"/>
        </w:rPr>
        <w:t>warrant</w:t>
      </w:r>
      <w:proofErr w:type="gramEnd"/>
      <w:r w:rsidRPr="00F02ED3">
        <w:rPr>
          <w:rFonts w:ascii="Times New Roman" w:eastAsia="Times New Roman" w:hAnsi="Times New Roman"/>
          <w:sz w:val="24"/>
          <w:szCs w:val="24"/>
        </w:rPr>
        <w:t xml:space="preserve"> is technically sufficient.</w:t>
      </w:r>
      <w:r>
        <w:rPr>
          <w:rFonts w:ascii="Times New Roman" w:eastAsia="Times New Roman" w:hAnsi="Times New Roman"/>
          <w:sz w:val="24"/>
          <w:szCs w:val="24"/>
        </w:rPr>
        <w:t>’</w:t>
      </w:r>
      <w:r w:rsidRPr="00F02ED3">
        <w:rPr>
          <w:rFonts w:ascii="Times New Roman" w:eastAsia="Times New Roman" w:hAnsi="Times New Roman"/>
          <w:sz w:val="24"/>
          <w:szCs w:val="24"/>
        </w:rPr>
        <w:t xml:space="preserve"> (</w:t>
      </w:r>
      <w:r w:rsidRPr="00F02ED3">
        <w:rPr>
          <w:rFonts w:ascii="Times New Roman" w:eastAsia="Times New Roman" w:hAnsi="Times New Roman"/>
          <w:i/>
          <w:iCs/>
          <w:sz w:val="24"/>
          <w:szCs w:val="24"/>
        </w:rPr>
        <w:t>Id</w:t>
      </w:r>
      <w:r w:rsidRPr="00F02ED3">
        <w:rPr>
          <w:rFonts w:ascii="Times New Roman" w:eastAsia="Times New Roman" w:hAnsi="Times New Roman"/>
          <w:sz w:val="24"/>
          <w:szCs w:val="24"/>
        </w:rPr>
        <w:t>. at p. 921.)</w:t>
      </w:r>
      <w:r>
        <w:rPr>
          <w:rFonts w:ascii="Times New Roman" w:eastAsia="Times New Roman" w:hAnsi="Times New Roman"/>
          <w:sz w:val="24"/>
          <w:szCs w:val="24"/>
        </w:rPr>
        <w:t xml:space="preserve"> </w:t>
      </w:r>
    </w:p>
    <w:p w14:paraId="68C24EC3" w14:textId="77777777" w:rsidR="00DD03E3" w:rsidRDefault="00DD03E3" w:rsidP="00DD03E3">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w:t>
      </w:r>
    </w:p>
    <w:p w14:paraId="01548202" w14:textId="77777777" w:rsidR="00DD03E3" w:rsidRDefault="00DD03E3" w:rsidP="00DD03E3">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 xml:space="preserve">[SEARCH WARRANT AFFIDAVIT] </w:t>
      </w:r>
    </w:p>
    <w:p w14:paraId="220C412C" w14:textId="77777777" w:rsidR="00DD03E3" w:rsidRPr="00F02ED3" w:rsidRDefault="00DD03E3" w:rsidP="00DD03E3">
      <w:pPr>
        <w:spacing w:before="100" w:beforeAutospacing="1" w:after="100" w:afterAutospacing="1" w:line="240" w:lineRule="auto"/>
        <w:ind w:left="720"/>
        <w:rPr>
          <w:rFonts w:ascii="Times New Roman" w:eastAsia="Times New Roman" w:hAnsi="Times New Roman"/>
          <w:sz w:val="24"/>
          <w:szCs w:val="24"/>
        </w:rPr>
      </w:pPr>
      <w:r w:rsidRPr="001E6223">
        <w:rPr>
          <w:rFonts w:ascii="Times New Roman" w:hAnsi="Times New Roman"/>
          <w:sz w:val="24"/>
          <w:szCs w:val="24"/>
        </w:rPr>
        <w:lastRenderedPageBreak/>
        <w:t xml:space="preserve">Based on his experience that people often keep receipts from recent purchases, Detective Bulatao stated his belief that receipts from purchases of </w:t>
      </w:r>
      <w:r>
        <w:rPr>
          <w:rFonts w:ascii="Times New Roman" w:hAnsi="Times New Roman"/>
          <w:sz w:val="24"/>
          <w:szCs w:val="24"/>
        </w:rPr>
        <w:t>‘</w:t>
      </w:r>
      <w:r w:rsidRPr="001E6223">
        <w:rPr>
          <w:rFonts w:ascii="Times New Roman" w:hAnsi="Times New Roman"/>
          <w:sz w:val="24"/>
          <w:szCs w:val="24"/>
        </w:rPr>
        <w:t>items pertaining to [the] investigation (i.e. gas purchases, towels, canisters)</w:t>
      </w:r>
      <w:r>
        <w:rPr>
          <w:rFonts w:ascii="Times New Roman" w:hAnsi="Times New Roman"/>
          <w:sz w:val="24"/>
          <w:szCs w:val="24"/>
        </w:rPr>
        <w:t>’</w:t>
      </w:r>
      <w:r w:rsidRPr="001E6223">
        <w:rPr>
          <w:rFonts w:ascii="Times New Roman" w:hAnsi="Times New Roman"/>
          <w:sz w:val="24"/>
          <w:szCs w:val="24"/>
        </w:rPr>
        <w:t xml:space="preserve"> would be found in defendant’s residence. He also stated, based on his training and experience, that he knew that fire accelerant is </w:t>
      </w:r>
      <w:r>
        <w:rPr>
          <w:rFonts w:ascii="Times New Roman" w:hAnsi="Times New Roman"/>
          <w:sz w:val="24"/>
          <w:szCs w:val="24"/>
        </w:rPr>
        <w:t>‘</w:t>
      </w:r>
      <w:r w:rsidRPr="001E6223">
        <w:rPr>
          <w:rFonts w:ascii="Times New Roman" w:hAnsi="Times New Roman"/>
          <w:sz w:val="24"/>
          <w:szCs w:val="24"/>
        </w:rPr>
        <w:t>contained in canisters or other containers,</w:t>
      </w:r>
      <w:r>
        <w:rPr>
          <w:rFonts w:ascii="Times New Roman" w:hAnsi="Times New Roman"/>
          <w:sz w:val="24"/>
          <w:szCs w:val="24"/>
        </w:rPr>
        <w:t>’</w:t>
      </w:r>
      <w:r w:rsidRPr="001E6223">
        <w:rPr>
          <w:rFonts w:ascii="Times New Roman" w:hAnsi="Times New Roman"/>
          <w:sz w:val="24"/>
          <w:szCs w:val="24"/>
        </w:rPr>
        <w:t xml:space="preserve"> that </w:t>
      </w:r>
      <w:r>
        <w:rPr>
          <w:rFonts w:ascii="Times New Roman" w:hAnsi="Times New Roman"/>
          <w:sz w:val="24"/>
          <w:szCs w:val="24"/>
        </w:rPr>
        <w:t>‘</w:t>
      </w:r>
      <w:r w:rsidRPr="001E6223">
        <w:rPr>
          <w:rFonts w:ascii="Times New Roman" w:hAnsi="Times New Roman"/>
          <w:sz w:val="24"/>
          <w:szCs w:val="24"/>
        </w:rPr>
        <w:t>persons who use accelerants to soak rags, such as the blue towels in this case, may do so in the safety of their homes to avoid detection,</w:t>
      </w:r>
      <w:r>
        <w:rPr>
          <w:rFonts w:ascii="Times New Roman" w:hAnsi="Times New Roman"/>
          <w:sz w:val="24"/>
          <w:szCs w:val="24"/>
        </w:rPr>
        <w:t>’</w:t>
      </w:r>
      <w:r w:rsidRPr="001E6223">
        <w:rPr>
          <w:rFonts w:ascii="Times New Roman" w:hAnsi="Times New Roman"/>
          <w:sz w:val="24"/>
          <w:szCs w:val="24"/>
        </w:rPr>
        <w:t xml:space="preserve"> that </w:t>
      </w:r>
      <w:r>
        <w:rPr>
          <w:rFonts w:ascii="Times New Roman" w:hAnsi="Times New Roman"/>
          <w:sz w:val="24"/>
          <w:szCs w:val="24"/>
        </w:rPr>
        <w:t>‘</w:t>
      </w:r>
      <w:r w:rsidRPr="001E6223">
        <w:rPr>
          <w:rFonts w:ascii="Times New Roman" w:hAnsi="Times New Roman"/>
          <w:sz w:val="24"/>
          <w:szCs w:val="24"/>
        </w:rPr>
        <w:t>those canisters or other containers of accelerant may be found if a search is conducted,</w:t>
      </w:r>
      <w:r>
        <w:rPr>
          <w:rFonts w:ascii="Times New Roman" w:hAnsi="Times New Roman"/>
          <w:sz w:val="24"/>
          <w:szCs w:val="24"/>
        </w:rPr>
        <w:t>’</w:t>
      </w:r>
      <w:r w:rsidRPr="001E6223">
        <w:rPr>
          <w:rFonts w:ascii="Times New Roman" w:hAnsi="Times New Roman"/>
          <w:sz w:val="24"/>
          <w:szCs w:val="24"/>
        </w:rPr>
        <w:t xml:space="preserve"> and that </w:t>
      </w:r>
      <w:r>
        <w:rPr>
          <w:rFonts w:ascii="Times New Roman" w:hAnsi="Times New Roman"/>
          <w:sz w:val="24"/>
          <w:szCs w:val="24"/>
        </w:rPr>
        <w:t>‘</w:t>
      </w:r>
      <w:r w:rsidRPr="001E6223">
        <w:rPr>
          <w:rFonts w:ascii="Times New Roman" w:hAnsi="Times New Roman"/>
          <w:sz w:val="24"/>
          <w:szCs w:val="24"/>
        </w:rPr>
        <w:t>when a specific item is used in a crime—in this case, blue towels cut into rags</w:t>
      </w:r>
      <w:r>
        <w:rPr>
          <w:rFonts w:ascii="Times New Roman" w:hAnsi="Times New Roman"/>
          <w:sz w:val="24"/>
          <w:szCs w:val="24"/>
        </w:rPr>
        <w:t>’</w:t>
      </w:r>
      <w:r w:rsidRPr="001E6223">
        <w:rPr>
          <w:rFonts w:ascii="Times New Roman" w:hAnsi="Times New Roman"/>
          <w:sz w:val="24"/>
          <w:szCs w:val="24"/>
        </w:rPr>
        <w:t>—</w:t>
      </w:r>
      <w:r>
        <w:rPr>
          <w:rFonts w:ascii="Times New Roman" w:hAnsi="Times New Roman"/>
          <w:sz w:val="24"/>
          <w:szCs w:val="24"/>
        </w:rPr>
        <w:t>'</w:t>
      </w:r>
      <w:r w:rsidRPr="001E6223">
        <w:rPr>
          <w:rFonts w:ascii="Times New Roman" w:hAnsi="Times New Roman"/>
          <w:sz w:val="24"/>
          <w:szCs w:val="24"/>
        </w:rPr>
        <w:t>often more of the same type of items will be found in a person’s home.</w:t>
      </w:r>
      <w:r>
        <w:rPr>
          <w:rFonts w:ascii="Times New Roman" w:hAnsi="Times New Roman"/>
          <w:sz w:val="24"/>
          <w:szCs w:val="24"/>
        </w:rPr>
        <w:t>’</w:t>
      </w:r>
      <w:r w:rsidRPr="001E6223">
        <w:rPr>
          <w:rFonts w:ascii="Times New Roman" w:hAnsi="Times New Roman"/>
          <w:sz w:val="24"/>
          <w:szCs w:val="24"/>
        </w:rPr>
        <w:t xml:space="preserve"> The detective believed that </w:t>
      </w:r>
      <w:r>
        <w:rPr>
          <w:rFonts w:ascii="Times New Roman" w:hAnsi="Times New Roman"/>
          <w:sz w:val="24"/>
          <w:szCs w:val="24"/>
        </w:rPr>
        <w:t>‘</w:t>
      </w:r>
      <w:r w:rsidRPr="001E6223">
        <w:rPr>
          <w:rFonts w:ascii="Times New Roman" w:hAnsi="Times New Roman"/>
          <w:sz w:val="24"/>
          <w:szCs w:val="24"/>
        </w:rPr>
        <w:t>a certified canine</w:t>
      </w:r>
      <w:r>
        <w:rPr>
          <w:rFonts w:ascii="Times New Roman" w:hAnsi="Times New Roman"/>
          <w:sz w:val="24"/>
          <w:szCs w:val="24"/>
        </w:rPr>
        <w:t>’</w:t>
      </w:r>
      <w:r w:rsidRPr="001E6223">
        <w:rPr>
          <w:rFonts w:ascii="Times New Roman" w:hAnsi="Times New Roman"/>
          <w:sz w:val="24"/>
          <w:szCs w:val="24"/>
        </w:rPr>
        <w:t xml:space="preserve"> would provide </w:t>
      </w:r>
      <w:r>
        <w:rPr>
          <w:rFonts w:ascii="Times New Roman" w:hAnsi="Times New Roman"/>
          <w:sz w:val="24"/>
          <w:szCs w:val="24"/>
        </w:rPr>
        <w:t>‘</w:t>
      </w:r>
      <w:r w:rsidRPr="001E6223">
        <w:rPr>
          <w:rFonts w:ascii="Times New Roman" w:hAnsi="Times New Roman"/>
          <w:sz w:val="24"/>
          <w:szCs w:val="24"/>
        </w:rPr>
        <w:t>great assistance in locating the presence of accelerant.</w:t>
      </w:r>
      <w:r>
        <w:rPr>
          <w:rFonts w:ascii="Times New Roman" w:hAnsi="Times New Roman"/>
          <w:sz w:val="24"/>
          <w:szCs w:val="24"/>
        </w:rPr>
        <w:t>’</w:t>
      </w:r>
      <w:r w:rsidRPr="001E6223">
        <w:rPr>
          <w:rFonts w:ascii="Times New Roman" w:hAnsi="Times New Roman"/>
          <w:sz w:val="24"/>
          <w:szCs w:val="24"/>
        </w:rPr>
        <w:t xml:space="preserve"> The detective also knew, based on his training and/or experience, that </w:t>
      </w:r>
      <w:r>
        <w:rPr>
          <w:rFonts w:ascii="Times New Roman" w:hAnsi="Times New Roman"/>
          <w:sz w:val="24"/>
          <w:szCs w:val="24"/>
        </w:rPr>
        <w:t>‘</w:t>
      </w:r>
      <w:r w:rsidRPr="001E6223">
        <w:rPr>
          <w:rFonts w:ascii="Times New Roman" w:hAnsi="Times New Roman"/>
          <w:sz w:val="24"/>
          <w:szCs w:val="24"/>
        </w:rPr>
        <w:t>liquids [such] as a fire accelerant can often spill onto a person’s clothes,</w:t>
      </w:r>
      <w:r>
        <w:rPr>
          <w:rFonts w:ascii="Times New Roman" w:hAnsi="Times New Roman"/>
          <w:sz w:val="24"/>
          <w:szCs w:val="24"/>
        </w:rPr>
        <w:t>’</w:t>
      </w:r>
      <w:r w:rsidRPr="001E6223">
        <w:rPr>
          <w:rFonts w:ascii="Times New Roman" w:hAnsi="Times New Roman"/>
          <w:sz w:val="24"/>
          <w:szCs w:val="24"/>
        </w:rPr>
        <w:t xml:space="preserve"> that </w:t>
      </w:r>
      <w:r>
        <w:rPr>
          <w:rFonts w:ascii="Times New Roman" w:hAnsi="Times New Roman"/>
          <w:sz w:val="24"/>
          <w:szCs w:val="24"/>
        </w:rPr>
        <w:t>‘</w:t>
      </w:r>
      <w:r w:rsidRPr="001E6223">
        <w:rPr>
          <w:rFonts w:ascii="Times New Roman" w:hAnsi="Times New Roman"/>
          <w:sz w:val="24"/>
          <w:szCs w:val="24"/>
        </w:rPr>
        <w:t>dogs trained in accelerant detection can alert to the presence or non-presence of an accelerant,</w:t>
      </w:r>
      <w:r>
        <w:rPr>
          <w:rFonts w:ascii="Times New Roman" w:hAnsi="Times New Roman"/>
          <w:sz w:val="24"/>
          <w:szCs w:val="24"/>
        </w:rPr>
        <w:t>’</w:t>
      </w:r>
      <w:r w:rsidRPr="001E6223">
        <w:rPr>
          <w:rFonts w:ascii="Times New Roman" w:hAnsi="Times New Roman"/>
          <w:sz w:val="24"/>
          <w:szCs w:val="24"/>
        </w:rPr>
        <w:t xml:space="preserve"> and that </w:t>
      </w:r>
      <w:r>
        <w:rPr>
          <w:rFonts w:ascii="Times New Roman" w:hAnsi="Times New Roman"/>
          <w:sz w:val="24"/>
          <w:szCs w:val="24"/>
        </w:rPr>
        <w:t>‘</w:t>
      </w:r>
      <w:r w:rsidRPr="001E6223">
        <w:rPr>
          <w:rFonts w:ascii="Times New Roman" w:hAnsi="Times New Roman"/>
          <w:sz w:val="24"/>
          <w:szCs w:val="24"/>
        </w:rPr>
        <w:t>personal items of clothing will be found in a person’s residence.</w:t>
      </w:r>
      <w:r>
        <w:rPr>
          <w:rFonts w:ascii="Times New Roman" w:hAnsi="Times New Roman"/>
          <w:sz w:val="24"/>
          <w:szCs w:val="24"/>
        </w:rPr>
        <w:t>’”</w:t>
      </w:r>
      <w:hyperlink r:id="rId296" w:history="1">
        <w:r w:rsidRPr="00C93B62">
          <w:rPr>
            <w:rStyle w:val="Hyperlink"/>
            <w:rFonts w:ascii="Times New Roman" w:hAnsi="Times New Roman"/>
            <w:sz w:val="24"/>
            <w:szCs w:val="24"/>
          </w:rPr>
          <w:t>https://law.justia.com/cases/california/court-of-appeal/2019/h045524.html</w:t>
        </w:r>
      </w:hyperlink>
      <w:r>
        <w:rPr>
          <w:rFonts w:ascii="Times New Roman" w:hAnsi="Times New Roman"/>
          <w:sz w:val="24"/>
          <w:szCs w:val="24"/>
        </w:rPr>
        <w:t xml:space="preserve"> </w:t>
      </w:r>
    </w:p>
    <w:p w14:paraId="1FE00AC0" w14:textId="77777777" w:rsidR="00DD03E3" w:rsidRPr="007C664A" w:rsidRDefault="00DD03E3" w:rsidP="00DD03E3">
      <w:pPr>
        <w:spacing w:before="100" w:beforeAutospacing="1" w:after="100" w:afterAutospacing="1" w:line="240" w:lineRule="auto"/>
        <w:rPr>
          <w:rFonts w:ascii="Times New Roman" w:hAnsi="Times New Roman"/>
          <w:b/>
          <w:bCs/>
          <w:sz w:val="24"/>
          <w:szCs w:val="24"/>
        </w:rPr>
      </w:pPr>
      <w:r w:rsidRPr="007C664A">
        <w:rPr>
          <w:rFonts w:ascii="Times New Roman" w:hAnsi="Times New Roman"/>
          <w:b/>
          <w:bCs/>
          <w:sz w:val="24"/>
          <w:szCs w:val="24"/>
        </w:rPr>
        <w:t>Legal Lesson Learned:</w:t>
      </w:r>
      <w:r>
        <w:rPr>
          <w:rFonts w:ascii="Times New Roman" w:hAnsi="Times New Roman"/>
          <w:b/>
          <w:bCs/>
          <w:sz w:val="24"/>
          <w:szCs w:val="24"/>
        </w:rPr>
        <w:t xml:space="preserve"> U.S. Supreme Court’s “Good Faith Exception” helps ensure that evidence seized pursuant to a search warrant will be introduced in evidence at trial. </w:t>
      </w:r>
    </w:p>
    <w:p w14:paraId="65CBF67F" w14:textId="77777777" w:rsidR="00DD03E3" w:rsidRDefault="00DD03E3" w:rsidP="002B1283">
      <w:pPr>
        <w:rPr>
          <w:rFonts w:ascii="Arial Black" w:hAnsi="Arial Black"/>
          <w:b/>
          <w:sz w:val="24"/>
          <w:szCs w:val="24"/>
        </w:rPr>
      </w:pPr>
    </w:p>
    <w:p w14:paraId="668EC551" w14:textId="77777777" w:rsidR="00DD03E3" w:rsidRDefault="00DD03E3" w:rsidP="002B1283">
      <w:pPr>
        <w:rPr>
          <w:rFonts w:ascii="Arial Black" w:hAnsi="Arial Black"/>
          <w:b/>
          <w:sz w:val="24"/>
          <w:szCs w:val="24"/>
        </w:rPr>
      </w:pPr>
    </w:p>
    <w:p w14:paraId="7FC3CA93" w14:textId="3F1C7874" w:rsidR="00F824FE" w:rsidRDefault="00F824FE" w:rsidP="002B1283">
      <w:pPr>
        <w:rPr>
          <w:rFonts w:ascii="Arial Black" w:hAnsi="Arial Black"/>
          <w:b/>
          <w:sz w:val="24"/>
          <w:szCs w:val="24"/>
        </w:rPr>
      </w:pPr>
      <w:r>
        <w:rPr>
          <w:rFonts w:ascii="Arial Black" w:hAnsi="Arial Black"/>
          <w:b/>
          <w:sz w:val="24"/>
          <w:szCs w:val="24"/>
        </w:rPr>
        <w:t>1-6</w:t>
      </w:r>
      <w:r w:rsidR="000F483A">
        <w:rPr>
          <w:rFonts w:ascii="Arial Black" w:hAnsi="Arial Black"/>
          <w:b/>
          <w:sz w:val="24"/>
          <w:szCs w:val="24"/>
        </w:rPr>
        <w:t>6</w:t>
      </w:r>
    </w:p>
    <w:p w14:paraId="680E34FF" w14:textId="77777777" w:rsidR="00F824FE" w:rsidRPr="00AA2E64" w:rsidRDefault="00F824FE" w:rsidP="00F824FE">
      <w:pPr>
        <w:rPr>
          <w:rFonts w:ascii="Arial Black" w:hAnsi="Arial Black"/>
          <w:sz w:val="28"/>
          <w:szCs w:val="28"/>
        </w:rPr>
      </w:pPr>
      <w:r w:rsidRPr="00AA2E64">
        <w:rPr>
          <w:rFonts w:ascii="Arial Black" w:hAnsi="Arial Black"/>
          <w:sz w:val="28"/>
          <w:szCs w:val="28"/>
        </w:rPr>
        <w:t xml:space="preserve">TN: </w:t>
      </w:r>
      <w:r>
        <w:rPr>
          <w:rFonts w:ascii="Arial Black" w:hAnsi="Arial Black"/>
          <w:sz w:val="28"/>
          <w:szCs w:val="28"/>
        </w:rPr>
        <w:t>FIRE MARSHAL – OPPOSED CANDIDATE FOR ALDERMAN – CITY PHONE, ON DUTY – NO FED. 1</w:t>
      </w:r>
      <w:r w:rsidRPr="00911830">
        <w:rPr>
          <w:rFonts w:ascii="Arial Black" w:hAnsi="Arial Black"/>
          <w:sz w:val="28"/>
          <w:szCs w:val="28"/>
          <w:vertAlign w:val="superscript"/>
        </w:rPr>
        <w:t>st</w:t>
      </w:r>
      <w:r>
        <w:rPr>
          <w:rFonts w:ascii="Arial Black" w:hAnsi="Arial Black"/>
          <w:sz w:val="28"/>
          <w:szCs w:val="28"/>
        </w:rPr>
        <w:t xml:space="preserve"> AMEND VIOL., LAWSUIT DISMISSED</w:t>
      </w:r>
    </w:p>
    <w:p w14:paraId="041401D1" w14:textId="77777777" w:rsidR="00F824FE" w:rsidRDefault="00F824FE" w:rsidP="00F824FE">
      <w:pPr>
        <w:pStyle w:val="NormalWeb"/>
      </w:pPr>
      <w:r>
        <w:t xml:space="preserve">On Sept. 17, 2020, in </w:t>
      </w:r>
      <w:r w:rsidRPr="00AA2E64">
        <w:rPr>
          <w:u w:val="single"/>
        </w:rPr>
        <w:t>Chris Spencer v. City of Henderson, et al</w:t>
      </w:r>
      <w:r>
        <w:t xml:space="preserve">., U.S. District Court Judge Aleta A. Trauger, U.S. District Court for the Middle District of Tennessee (Nashville Division) granted the defendants’ motion to dismiss; a political activist who lost (by 359 votes) an election to become a </w:t>
      </w:r>
      <w:proofErr w:type="gramStart"/>
      <w:r>
        <w:t>city</w:t>
      </w:r>
      <w:proofErr w:type="gramEnd"/>
      <w:r>
        <w:t xml:space="preserve"> Alderman.  He had campaigned for “small government – anti-corruption” and sued Fire Marshal Paul Varble and City alleging Varble used city phones while on duty to oppose his candidacy. </w:t>
      </w:r>
    </w:p>
    <w:p w14:paraId="0E9666FA" w14:textId="77777777" w:rsidR="00F824FE" w:rsidRDefault="00F824FE" w:rsidP="00F824FE">
      <w:pPr>
        <w:pStyle w:val="NormalWeb"/>
        <w:ind w:left="720"/>
      </w:pPr>
      <w:r>
        <w:t xml:space="preserve">“Even though Varble is alleged to have engaged in this conduct during City time and using City resources, the court cannot find that this behavior would deter a person of ordinary firmness from continuing to campaign on his own behalf and to attempt to spread his own political message. An adverse campaign is the price of running for political office. The fact that Varble may have violated state law or a city ordinance while campaigning against Spencer does not make the conduct so adverse as to give rise to a First Amendment retaliation claim.” </w:t>
      </w:r>
      <w:hyperlink r:id="rId297" w:history="1">
        <w:r w:rsidRPr="00374F49">
          <w:rPr>
            <w:rStyle w:val="Hyperlink"/>
          </w:rPr>
          <w:t>https://public.fastcase.com/Wl%2B2t%2BeVuI35%2FN70vAMFZg2BMAXQvmThuD9oRUd4r3OTVcwOC01J7TzGKhK5Lojo</w:t>
        </w:r>
      </w:hyperlink>
      <w:r>
        <w:t xml:space="preserve"> </w:t>
      </w:r>
    </w:p>
    <w:p w14:paraId="799AF6F7" w14:textId="77777777" w:rsidR="00F824FE" w:rsidRDefault="00F824FE" w:rsidP="00F824FE">
      <w:pPr>
        <w:tabs>
          <w:tab w:val="left" w:pos="3360"/>
        </w:tabs>
        <w:rPr>
          <w:rFonts w:ascii="Times New Roman" w:hAnsi="Times New Roman"/>
          <w:b/>
          <w:bCs/>
          <w:sz w:val="24"/>
          <w:szCs w:val="24"/>
        </w:rPr>
      </w:pPr>
      <w:r w:rsidRPr="00C53C46">
        <w:rPr>
          <w:rFonts w:ascii="Times New Roman" w:hAnsi="Times New Roman"/>
          <w:b/>
          <w:bCs/>
          <w:sz w:val="24"/>
          <w:szCs w:val="24"/>
        </w:rPr>
        <w:t>Legal Lessons Learned</w:t>
      </w:r>
      <w:r>
        <w:rPr>
          <w:rFonts w:ascii="Times New Roman" w:hAnsi="Times New Roman"/>
          <w:b/>
          <w:bCs/>
          <w:sz w:val="24"/>
          <w:szCs w:val="24"/>
        </w:rPr>
        <w:t xml:space="preserve">: Fire &amp; EMS departments should have a policy concerning political activity on duty, and use of FD computers, cell phones or other property concerning political candidates. </w:t>
      </w:r>
    </w:p>
    <w:p w14:paraId="4901642E" w14:textId="77777777" w:rsidR="00F824FE" w:rsidRPr="00EA5852" w:rsidRDefault="00F824FE" w:rsidP="00F824FE">
      <w:pPr>
        <w:ind w:left="720"/>
        <w:rPr>
          <w:rFonts w:ascii="Times New Roman" w:hAnsi="Times New Roman"/>
          <w:sz w:val="24"/>
          <w:szCs w:val="24"/>
        </w:rPr>
      </w:pPr>
      <w:r w:rsidRPr="008D7ABD">
        <w:rPr>
          <w:rFonts w:ascii="Times New Roman" w:hAnsi="Times New Roman"/>
          <w:sz w:val="24"/>
          <w:szCs w:val="24"/>
        </w:rPr>
        <w:t>Note:</w:t>
      </w:r>
      <w:r w:rsidRPr="00156CE2">
        <w:rPr>
          <w:rFonts w:ascii="Times New Roman" w:hAnsi="Times New Roman"/>
          <w:b/>
          <w:bCs/>
          <w:sz w:val="24"/>
          <w:szCs w:val="24"/>
        </w:rPr>
        <w:t xml:space="preserve"> </w:t>
      </w:r>
      <w:r w:rsidRPr="005E6FCA">
        <w:rPr>
          <w:rFonts w:ascii="Times New Roman" w:hAnsi="Times New Roman"/>
          <w:sz w:val="24"/>
          <w:szCs w:val="24"/>
        </w:rPr>
        <w:t xml:space="preserve">Hamilton County Ohio requires </w:t>
      </w:r>
      <w:r>
        <w:rPr>
          <w:rFonts w:ascii="Times New Roman" w:hAnsi="Times New Roman"/>
          <w:sz w:val="24"/>
          <w:szCs w:val="24"/>
        </w:rPr>
        <w:t xml:space="preserve">employee </w:t>
      </w:r>
      <w:r w:rsidRPr="005E6FCA">
        <w:rPr>
          <w:rFonts w:ascii="Times New Roman" w:hAnsi="Times New Roman"/>
          <w:sz w:val="24"/>
          <w:szCs w:val="24"/>
        </w:rPr>
        <w:t>annual refresher training – see their Manual</w:t>
      </w:r>
      <w:r>
        <w:rPr>
          <w:rFonts w:ascii="Times New Roman" w:hAnsi="Times New Roman"/>
          <w:b/>
          <w:bCs/>
          <w:sz w:val="24"/>
          <w:szCs w:val="24"/>
        </w:rPr>
        <w:t xml:space="preserve">, </w:t>
      </w:r>
      <w:r w:rsidRPr="005E6FCA">
        <w:rPr>
          <w:rFonts w:ascii="Times New Roman" w:hAnsi="Times New Roman"/>
          <w:sz w:val="24"/>
          <w:szCs w:val="24"/>
        </w:rPr>
        <w:t xml:space="preserve">“Ethics </w:t>
      </w:r>
      <w:proofErr w:type="gramStart"/>
      <w:r w:rsidRPr="005E6FCA">
        <w:rPr>
          <w:rFonts w:ascii="Times New Roman" w:hAnsi="Times New Roman"/>
          <w:sz w:val="24"/>
          <w:szCs w:val="24"/>
        </w:rPr>
        <w:t>In</w:t>
      </w:r>
      <w:proofErr w:type="gramEnd"/>
      <w:r w:rsidRPr="005E6FCA">
        <w:rPr>
          <w:rFonts w:ascii="Times New Roman" w:hAnsi="Times New Roman"/>
          <w:sz w:val="24"/>
          <w:szCs w:val="24"/>
        </w:rPr>
        <w:t xml:space="preserve"> Government Guide</w:t>
      </w:r>
      <w:r>
        <w:rPr>
          <w:rFonts w:ascii="Times New Roman" w:hAnsi="Times New Roman"/>
          <w:sz w:val="24"/>
          <w:szCs w:val="24"/>
        </w:rPr>
        <w:t xml:space="preserve"> </w:t>
      </w:r>
      <w:proofErr w:type="gramStart"/>
      <w:r>
        <w:rPr>
          <w:rFonts w:ascii="Times New Roman" w:hAnsi="Times New Roman"/>
          <w:sz w:val="24"/>
          <w:szCs w:val="24"/>
        </w:rPr>
        <w:t>For</w:t>
      </w:r>
      <w:proofErr w:type="gramEnd"/>
      <w:r>
        <w:rPr>
          <w:rFonts w:ascii="Times New Roman" w:hAnsi="Times New Roman"/>
          <w:sz w:val="24"/>
          <w:szCs w:val="24"/>
        </w:rPr>
        <w:t xml:space="preserve"> Employees</w:t>
      </w:r>
      <w:r w:rsidRPr="005E6FCA">
        <w:rPr>
          <w:rFonts w:ascii="Times New Roman" w:hAnsi="Times New Roman"/>
          <w:sz w:val="24"/>
          <w:szCs w:val="24"/>
        </w:rPr>
        <w:t>”</w:t>
      </w:r>
      <w:r>
        <w:rPr>
          <w:rFonts w:ascii="Times New Roman" w:hAnsi="Times New Roman"/>
          <w:b/>
          <w:bCs/>
          <w:sz w:val="24"/>
          <w:szCs w:val="24"/>
        </w:rPr>
        <w:t xml:space="preserve">: </w:t>
      </w:r>
      <w:hyperlink r:id="rId298" w:history="1">
        <w:r w:rsidRPr="00443DB2">
          <w:rPr>
            <w:rStyle w:val="Hyperlink"/>
            <w:rFonts w:ascii="Times New Roman" w:hAnsi="Times New Roman"/>
            <w:sz w:val="24"/>
            <w:szCs w:val="24"/>
          </w:rPr>
          <w:t>https://www.hamiltoncountyohio.gov/UserFiles/Servers/Server_3788196/File/Government/Departments/Human%20Resources/Ethics%20in%20Government/HamiltonCountyEthicsBooklet.pdf</w:t>
        </w:r>
      </w:hyperlink>
      <w:r>
        <w:rPr>
          <w:rFonts w:ascii="Times New Roman" w:hAnsi="Times New Roman"/>
          <w:sz w:val="24"/>
          <w:szCs w:val="24"/>
        </w:rPr>
        <w:t xml:space="preserve"> </w:t>
      </w:r>
    </w:p>
    <w:p w14:paraId="556D1BB1" w14:textId="77777777" w:rsidR="00F824FE" w:rsidRPr="00EA5852" w:rsidRDefault="00F824FE" w:rsidP="00F824FE">
      <w:pPr>
        <w:ind w:left="720"/>
        <w:rPr>
          <w:rFonts w:ascii="Times New Roman" w:hAnsi="Times New Roman"/>
          <w:sz w:val="24"/>
          <w:szCs w:val="24"/>
        </w:rPr>
      </w:pPr>
      <w:r w:rsidRPr="005E6FCA">
        <w:rPr>
          <w:rFonts w:ascii="Times New Roman" w:hAnsi="Times New Roman"/>
          <w:sz w:val="24"/>
          <w:szCs w:val="24"/>
        </w:rPr>
        <w:lastRenderedPageBreak/>
        <w:t>Ohio Revised Code 2921.43(C)(2): 2921.43 Soliciting or accepting improper compensation</w:t>
      </w:r>
      <w:r>
        <w:rPr>
          <w:rFonts w:ascii="Times New Roman" w:hAnsi="Times New Roman"/>
          <w:sz w:val="24"/>
          <w:szCs w:val="24"/>
        </w:rPr>
        <w:t xml:space="preserve">: </w:t>
      </w:r>
      <w:hyperlink r:id="rId299" w:history="1">
        <w:r w:rsidRPr="00443DB2">
          <w:rPr>
            <w:rStyle w:val="Hyperlink"/>
            <w:rFonts w:ascii="Times New Roman" w:hAnsi="Times New Roman"/>
            <w:sz w:val="24"/>
            <w:szCs w:val="24"/>
          </w:rPr>
          <w:t>http://codes.ohio.gov/orc/2921.43</w:t>
        </w:r>
      </w:hyperlink>
      <w:r>
        <w:rPr>
          <w:rFonts w:ascii="Times New Roman" w:hAnsi="Times New Roman"/>
          <w:sz w:val="24"/>
          <w:szCs w:val="24"/>
        </w:rPr>
        <w:t xml:space="preserve">  [</w:t>
      </w:r>
      <w:r w:rsidRPr="00EA5852">
        <w:rPr>
          <w:rFonts w:ascii="Times New Roman" w:hAnsi="Times New Roman"/>
          <w:sz w:val="24"/>
          <w:szCs w:val="24"/>
        </w:rPr>
        <w:t>Note: RC 2921.43(C)(2) applies to ALL employees, both classified and unclassified</w:t>
      </w:r>
      <w:r>
        <w:rPr>
          <w:rFonts w:ascii="Times New Roman" w:hAnsi="Times New Roman"/>
          <w:sz w:val="24"/>
          <w:szCs w:val="24"/>
        </w:rPr>
        <w:t xml:space="preserve">.] </w:t>
      </w:r>
    </w:p>
    <w:p w14:paraId="55CC2D1E" w14:textId="77777777" w:rsidR="00F824FE" w:rsidRPr="005E6FCA" w:rsidRDefault="00F824FE" w:rsidP="00F824FE">
      <w:pPr>
        <w:spacing w:before="100" w:beforeAutospacing="1" w:after="100" w:afterAutospacing="1" w:line="240" w:lineRule="auto"/>
        <w:ind w:left="1440"/>
        <w:rPr>
          <w:rFonts w:ascii="Times New Roman" w:eastAsia="Times New Roman" w:hAnsi="Times New Roman"/>
          <w:sz w:val="24"/>
          <w:szCs w:val="24"/>
        </w:rPr>
      </w:pPr>
      <w:r w:rsidRPr="005E6FCA">
        <w:rPr>
          <w:rFonts w:ascii="Times New Roman" w:eastAsia="Times New Roman" w:hAnsi="Times New Roman"/>
          <w:sz w:val="24"/>
          <w:szCs w:val="24"/>
        </w:rPr>
        <w:t xml:space="preserve">(C) No person for the benefit of a political party, campaign committee, legislative campaign fund, political action committee, or political contributing entity shall coerce any contribution in consideration of either of the following: </w:t>
      </w:r>
    </w:p>
    <w:p w14:paraId="14EBAD3F" w14:textId="77777777" w:rsidR="00F824FE" w:rsidRPr="005E6FCA" w:rsidRDefault="00F824FE" w:rsidP="00F824FE">
      <w:pPr>
        <w:spacing w:before="100" w:beforeAutospacing="1" w:after="100" w:afterAutospacing="1" w:line="240" w:lineRule="auto"/>
        <w:ind w:left="1440"/>
        <w:rPr>
          <w:rFonts w:ascii="Times New Roman" w:eastAsia="Times New Roman" w:hAnsi="Times New Roman"/>
          <w:sz w:val="24"/>
          <w:szCs w:val="24"/>
        </w:rPr>
      </w:pPr>
      <w:r w:rsidRPr="005E6FCA">
        <w:rPr>
          <w:rFonts w:ascii="Times New Roman" w:eastAsia="Times New Roman" w:hAnsi="Times New Roman"/>
          <w:sz w:val="24"/>
          <w:szCs w:val="24"/>
        </w:rPr>
        <w:t xml:space="preserve">(1) Appointing or securing, maintaining, or renewing the appointment of any person to any public office, employment, or agency; </w:t>
      </w:r>
    </w:p>
    <w:p w14:paraId="3061F918" w14:textId="77777777" w:rsidR="00F824FE" w:rsidRPr="005E6FCA" w:rsidRDefault="00F824FE" w:rsidP="00F824FE">
      <w:pPr>
        <w:spacing w:before="100" w:beforeAutospacing="1" w:after="100" w:afterAutospacing="1" w:line="240" w:lineRule="auto"/>
        <w:ind w:left="1440"/>
        <w:rPr>
          <w:rFonts w:ascii="Times New Roman" w:eastAsia="Times New Roman" w:hAnsi="Times New Roman"/>
          <w:sz w:val="24"/>
          <w:szCs w:val="24"/>
        </w:rPr>
      </w:pPr>
      <w:r w:rsidRPr="005E6FCA">
        <w:rPr>
          <w:rFonts w:ascii="Times New Roman" w:eastAsia="Times New Roman" w:hAnsi="Times New Roman"/>
          <w:sz w:val="24"/>
          <w:szCs w:val="24"/>
        </w:rPr>
        <w:t xml:space="preserve">(2) Preferring, or maintaining the status of, any public employee with respect to compensation, duties, placement, location, promotion, or other material aspects of employment. </w:t>
      </w:r>
    </w:p>
    <w:p w14:paraId="399DD1D4" w14:textId="77777777" w:rsidR="00F824FE" w:rsidRPr="002D3CB4" w:rsidRDefault="00F824FE" w:rsidP="00F824FE">
      <w:pPr>
        <w:pStyle w:val="Heading2"/>
        <w:ind w:left="720"/>
        <w:rPr>
          <w:rFonts w:ascii="Times New Roman" w:hAnsi="Times New Roman"/>
          <w:b w:val="0"/>
          <w:bCs w:val="0"/>
          <w:i w:val="0"/>
          <w:iCs w:val="0"/>
          <w:sz w:val="24"/>
          <w:szCs w:val="24"/>
        </w:rPr>
      </w:pPr>
      <w:r w:rsidRPr="002D3CB4">
        <w:rPr>
          <w:rFonts w:ascii="Times New Roman" w:hAnsi="Times New Roman"/>
          <w:b w:val="0"/>
          <w:bCs w:val="0"/>
          <w:i w:val="0"/>
          <w:iCs w:val="0"/>
          <w:sz w:val="24"/>
          <w:szCs w:val="24"/>
        </w:rPr>
        <w:t xml:space="preserve">See also: 123:1-46-02 Political activity of employees in the classified service of the state. </w:t>
      </w:r>
      <w:hyperlink r:id="rId300" w:history="1">
        <w:r w:rsidRPr="002D3CB4">
          <w:rPr>
            <w:rStyle w:val="Hyperlink"/>
            <w:rFonts w:ascii="Times New Roman" w:hAnsi="Times New Roman"/>
            <w:b w:val="0"/>
            <w:bCs w:val="0"/>
            <w:i w:val="0"/>
            <w:iCs w:val="0"/>
            <w:sz w:val="24"/>
            <w:szCs w:val="24"/>
          </w:rPr>
          <w:t>http://codes.ohio.gov/oac/123:1-46-02</w:t>
        </w:r>
      </w:hyperlink>
      <w:r w:rsidRPr="002D3CB4">
        <w:rPr>
          <w:rFonts w:ascii="Times New Roman" w:hAnsi="Times New Roman"/>
          <w:b w:val="0"/>
          <w:bCs w:val="0"/>
          <w:i w:val="0"/>
          <w:iCs w:val="0"/>
          <w:sz w:val="24"/>
          <w:szCs w:val="24"/>
        </w:rPr>
        <w:t xml:space="preserve"> </w:t>
      </w:r>
    </w:p>
    <w:p w14:paraId="7687901F" w14:textId="77777777" w:rsidR="00F824FE" w:rsidRPr="008D7ABD" w:rsidRDefault="00F824FE" w:rsidP="00F824FE">
      <w:pPr>
        <w:spacing w:before="100" w:beforeAutospacing="1" w:after="100" w:afterAutospacing="1" w:line="240" w:lineRule="auto"/>
        <w:ind w:left="1440"/>
        <w:rPr>
          <w:rFonts w:ascii="Times New Roman" w:eastAsia="Times New Roman" w:hAnsi="Times New Roman"/>
          <w:sz w:val="24"/>
          <w:szCs w:val="24"/>
        </w:rPr>
      </w:pPr>
      <w:r>
        <w:rPr>
          <w:rFonts w:ascii="Times New Roman" w:eastAsia="Times New Roman" w:hAnsi="Times New Roman"/>
          <w:sz w:val="24"/>
          <w:szCs w:val="24"/>
        </w:rPr>
        <w:t>(C)</w:t>
      </w:r>
      <w:r w:rsidRPr="008D7ABD">
        <w:rPr>
          <w:rFonts w:ascii="Times New Roman" w:eastAsia="Times New Roman" w:hAnsi="Times New Roman"/>
          <w:sz w:val="24"/>
          <w:szCs w:val="24"/>
        </w:rPr>
        <w:t xml:space="preserve">(7) Campaigning by writing for publications, by distributing political material, or by writing or making speeches on behalf of a candidate for partisan elective office, when such activities are directed toward party success; </w:t>
      </w:r>
    </w:p>
    <w:p w14:paraId="49B0FADC" w14:textId="77777777" w:rsidR="00F824FE" w:rsidRDefault="00F824FE" w:rsidP="00F824FE">
      <w:pPr>
        <w:spacing w:before="100" w:beforeAutospacing="1" w:after="100" w:afterAutospacing="1" w:line="240" w:lineRule="auto"/>
        <w:ind w:left="1440"/>
        <w:rPr>
          <w:rFonts w:ascii="Times New Roman" w:eastAsia="Times New Roman" w:hAnsi="Times New Roman"/>
          <w:sz w:val="24"/>
          <w:szCs w:val="24"/>
        </w:rPr>
      </w:pPr>
      <w:r w:rsidRPr="008D7ABD">
        <w:rPr>
          <w:rFonts w:ascii="Times New Roman" w:eastAsia="Times New Roman" w:hAnsi="Times New Roman"/>
          <w:sz w:val="24"/>
          <w:szCs w:val="24"/>
        </w:rPr>
        <w:t>(8) Solicitation, either directly or indirectly, of any assessment, contribution or subscription, either monetary or in-kind, for any political party or political candidate</w:t>
      </w:r>
      <w:r>
        <w:rPr>
          <w:rFonts w:ascii="Times New Roman" w:eastAsia="Times New Roman" w:hAnsi="Times New Roman"/>
          <w:sz w:val="24"/>
          <w:szCs w:val="24"/>
        </w:rPr>
        <w:t>….</w:t>
      </w:r>
    </w:p>
    <w:p w14:paraId="25949EAB" w14:textId="77777777" w:rsidR="00F824FE" w:rsidRPr="00156CE2" w:rsidRDefault="00F824FE" w:rsidP="00F824FE">
      <w:pPr>
        <w:spacing w:before="100" w:beforeAutospacing="1" w:after="100" w:afterAutospacing="1" w:line="240" w:lineRule="auto"/>
        <w:ind w:left="1440"/>
        <w:rPr>
          <w:rFonts w:ascii="Times New Roman" w:hAnsi="Times New Roman"/>
          <w:sz w:val="24"/>
          <w:szCs w:val="24"/>
        </w:rPr>
      </w:pPr>
      <w:r w:rsidRPr="00156CE2">
        <w:rPr>
          <w:rFonts w:ascii="Times New Roman" w:hAnsi="Times New Roman"/>
          <w:sz w:val="24"/>
          <w:szCs w:val="24"/>
        </w:rPr>
        <w:t xml:space="preserve">(D) An employee in the classified service who engages in any of the activities listed in paragraphs (C)(1) to (C)(13) of this rule is subject to removal from his or her position in the classified </w:t>
      </w:r>
      <w:proofErr w:type="gramStart"/>
      <w:r w:rsidRPr="00156CE2">
        <w:rPr>
          <w:rFonts w:ascii="Times New Roman" w:hAnsi="Times New Roman"/>
          <w:sz w:val="24"/>
          <w:szCs w:val="24"/>
        </w:rPr>
        <w:t>service.</w:t>
      </w:r>
      <w:r>
        <w:rPr>
          <w:rFonts w:ascii="Times New Roman" w:hAnsi="Times New Roman"/>
          <w:sz w:val="24"/>
          <w:szCs w:val="24"/>
        </w:rPr>
        <w:t>”</w:t>
      </w:r>
      <w:proofErr w:type="gramEnd"/>
    </w:p>
    <w:p w14:paraId="602AE132" w14:textId="77777777" w:rsidR="00F824FE" w:rsidRDefault="00F824FE" w:rsidP="002B1283">
      <w:pPr>
        <w:rPr>
          <w:rFonts w:ascii="Arial Black" w:hAnsi="Arial Black"/>
          <w:b/>
          <w:sz w:val="24"/>
          <w:szCs w:val="24"/>
        </w:rPr>
      </w:pPr>
    </w:p>
    <w:p w14:paraId="3CEB6F3F" w14:textId="77777777" w:rsidR="00F824FE" w:rsidRDefault="00F824FE" w:rsidP="002B1283">
      <w:pPr>
        <w:rPr>
          <w:rFonts w:ascii="Arial Black" w:hAnsi="Arial Black"/>
          <w:b/>
          <w:sz w:val="24"/>
          <w:szCs w:val="24"/>
        </w:rPr>
      </w:pPr>
    </w:p>
    <w:p w14:paraId="629E6569" w14:textId="01A51BF9" w:rsidR="00C630E7" w:rsidRDefault="00C630E7" w:rsidP="002B1283">
      <w:pPr>
        <w:rPr>
          <w:rFonts w:ascii="Arial Black" w:hAnsi="Arial Black"/>
          <w:b/>
          <w:sz w:val="24"/>
          <w:szCs w:val="24"/>
        </w:rPr>
      </w:pPr>
      <w:r>
        <w:rPr>
          <w:rFonts w:ascii="Arial Black" w:hAnsi="Arial Black"/>
          <w:b/>
          <w:sz w:val="24"/>
          <w:szCs w:val="24"/>
        </w:rPr>
        <w:t>1-6</w:t>
      </w:r>
      <w:r w:rsidR="000F483A">
        <w:rPr>
          <w:rFonts w:ascii="Arial Black" w:hAnsi="Arial Black"/>
          <w:b/>
          <w:sz w:val="24"/>
          <w:szCs w:val="24"/>
        </w:rPr>
        <w:t>5</w:t>
      </w:r>
    </w:p>
    <w:p w14:paraId="0CFFD3A6" w14:textId="77777777" w:rsidR="00C630E7" w:rsidRDefault="00C630E7" w:rsidP="00C630E7">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GA: CONTROLLED BURN AT FORT STEWART – BURN LEFT PROPERTY, DAMAGED LOGGING EQUIPMENT – IMMUNITY</w:t>
      </w:r>
    </w:p>
    <w:p w14:paraId="4D673622" w14:textId="77777777" w:rsidR="00C630E7" w:rsidRDefault="00C630E7" w:rsidP="00C630E7">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On August 24, 2020, in </w:t>
      </w:r>
      <w:r>
        <w:rPr>
          <w:rFonts w:ascii="Times New Roman" w:eastAsia="Times New Roman" w:hAnsi="Times New Roman"/>
          <w:sz w:val="24"/>
          <w:szCs w:val="24"/>
          <w:u w:val="single"/>
        </w:rPr>
        <w:t xml:space="preserve">Foster Logging, Inc. and </w:t>
      </w:r>
      <w:r>
        <w:rPr>
          <w:rFonts w:ascii="Times New Roman" w:hAnsi="Times New Roman"/>
          <w:sz w:val="24"/>
          <w:szCs w:val="24"/>
          <w:u w:val="single"/>
        </w:rPr>
        <w:t xml:space="preserve">American Guarantee &amp; Liability Insurance Company </w:t>
      </w:r>
      <w:r>
        <w:rPr>
          <w:rFonts w:ascii="Times New Roman" w:eastAsia="Times New Roman" w:hAnsi="Times New Roman"/>
          <w:sz w:val="24"/>
          <w:szCs w:val="24"/>
          <w:u w:val="single"/>
        </w:rPr>
        <w:t>v. United States of America</w:t>
      </w:r>
      <w:r>
        <w:rPr>
          <w:rFonts w:ascii="Times New Roman" w:eastAsia="Times New Roman" w:hAnsi="Times New Roman"/>
          <w:sz w:val="24"/>
          <w:szCs w:val="24"/>
        </w:rPr>
        <w:t xml:space="preserve">, the U.S. Court of Appeals for the Eleventh Circuit (Atlanta, GA) held (2 to 1) that U.S. District Court judge properly granted the U.S. Government’s motion to dismiss based on the “discretionary function”  exception to liability under the Federal Tort Claims Act, since the U.S. Forestry Branch exercised discretion on how it conducted and monitored the controlled burn at Fort Stewart – Hunter Army Airfield. </w:t>
      </w:r>
    </w:p>
    <w:p w14:paraId="78C73316" w14:textId="0B94A45A" w:rsidR="00C630E7" w:rsidRDefault="00C630E7" w:rsidP="00C630E7">
      <w:pPr>
        <w:rPr>
          <w:rFonts w:ascii="Arial Black" w:hAnsi="Arial Black"/>
          <w:b/>
          <w:sz w:val="24"/>
          <w:szCs w:val="24"/>
        </w:rPr>
      </w:pPr>
      <w:r>
        <w:rPr>
          <w:rFonts w:ascii="Times New Roman" w:hAnsi="Times New Roman"/>
          <w:sz w:val="24"/>
          <w:szCs w:val="24"/>
        </w:rPr>
        <w:t xml:space="preserve">“We assume, as we must at this stage, that U.S. Forestry Branch officials were negligent in their observation, monitoring, and maintenance during the controlled burn itself as alleged in the complaint. But that alleged conduct—the steps and measures taken to safely execute a controlled burn—by its nature, involves an exercise of discretion and considerations of social, economic, political, and public policy. *** The government's decisions about how to monitor and maintain a controlled burn are shielded from judicial second-guessing by </w:t>
      </w:r>
      <w:r>
        <w:rPr>
          <w:rFonts w:ascii="Times New Roman" w:hAnsi="Times New Roman"/>
          <w:sz w:val="24"/>
          <w:szCs w:val="24"/>
        </w:rPr>
        <w:lastRenderedPageBreak/>
        <w:t>the discretionary-function exception to the FTCA.”</w:t>
      </w:r>
      <w:r>
        <w:t xml:space="preserve"> </w:t>
      </w:r>
      <w:hyperlink r:id="rId301" w:history="1">
        <w:r>
          <w:rPr>
            <w:rStyle w:val="Hyperlink"/>
            <w:sz w:val="24"/>
            <w:szCs w:val="24"/>
          </w:rPr>
          <w:t>https://law.justia.com/cases/federal/appellate-courts/ca11/18-15033/18-15033-2020-08-24.html</w:t>
        </w:r>
      </w:hyperlink>
    </w:p>
    <w:p w14:paraId="5F9176DD" w14:textId="77777777" w:rsidR="00C630E7" w:rsidRDefault="00C630E7" w:rsidP="00C630E7">
      <w:pPr>
        <w:spacing w:before="100" w:beforeAutospacing="1" w:after="100" w:afterAutospacing="1" w:line="240" w:lineRule="auto"/>
        <w:rPr>
          <w:rFonts w:ascii="Times New Roman" w:hAnsi="Times New Roman"/>
          <w:b/>
          <w:bCs/>
          <w:sz w:val="24"/>
          <w:szCs w:val="24"/>
        </w:rPr>
      </w:pPr>
      <w:r>
        <w:rPr>
          <w:rFonts w:ascii="Times New Roman" w:hAnsi="Times New Roman"/>
          <w:b/>
          <w:bCs/>
          <w:sz w:val="24"/>
          <w:szCs w:val="24"/>
        </w:rPr>
        <w:t xml:space="preserve">Legal Lessons Learned:  This case does raise the question of why someone wasn’t posted to make sure the “controlled burns” stayed on Ft. Stewart property. </w:t>
      </w:r>
    </w:p>
    <w:p w14:paraId="6DBAB68B" w14:textId="77777777" w:rsidR="00C630E7" w:rsidRDefault="00C630E7" w:rsidP="002B1283">
      <w:pPr>
        <w:rPr>
          <w:rFonts w:ascii="Arial Black" w:hAnsi="Arial Black"/>
          <w:b/>
          <w:sz w:val="24"/>
          <w:szCs w:val="24"/>
        </w:rPr>
      </w:pPr>
    </w:p>
    <w:p w14:paraId="24DEA73A" w14:textId="63228175" w:rsidR="00C630E7" w:rsidRDefault="00C630E7" w:rsidP="002B1283">
      <w:pPr>
        <w:rPr>
          <w:rFonts w:ascii="Arial Black" w:hAnsi="Arial Black"/>
          <w:b/>
          <w:sz w:val="24"/>
          <w:szCs w:val="24"/>
        </w:rPr>
      </w:pPr>
      <w:r>
        <w:rPr>
          <w:rFonts w:ascii="Arial Black" w:hAnsi="Arial Black"/>
          <w:b/>
          <w:sz w:val="24"/>
          <w:szCs w:val="24"/>
        </w:rPr>
        <w:t>1-64</w:t>
      </w:r>
    </w:p>
    <w:p w14:paraId="3E3DB57D" w14:textId="77777777" w:rsidR="00C630E7" w:rsidRDefault="00C630E7" w:rsidP="00C630E7">
      <w:pPr>
        <w:rPr>
          <w:rFonts w:asciiTheme="minorHAnsi" w:hAnsiTheme="minorHAnsi"/>
        </w:rPr>
      </w:pPr>
      <w:r>
        <w:rPr>
          <w:rFonts w:ascii="Arial Black" w:hAnsi="Arial Black"/>
          <w:sz w:val="28"/>
          <w:szCs w:val="28"/>
        </w:rPr>
        <w:t>CT: WAREHOUSE FIRE – 1500 BARRELS OILS – NO CODE INSPECTIONS 15 YRS, USED WATER NOT FOAM - IMMUNITY</w:t>
      </w:r>
    </w:p>
    <w:p w14:paraId="60684C5B" w14:textId="77777777" w:rsidR="00C630E7" w:rsidRDefault="00C630E7" w:rsidP="00C630E7">
      <w:pPr>
        <w:rPr>
          <w:rFonts w:ascii="Times New Roman" w:hAnsi="Times New Roman"/>
          <w:sz w:val="24"/>
          <w:szCs w:val="24"/>
        </w:rPr>
      </w:pPr>
      <w:r>
        <w:rPr>
          <w:rFonts w:ascii="Times New Roman" w:hAnsi="Times New Roman"/>
          <w:sz w:val="24"/>
          <w:szCs w:val="24"/>
        </w:rPr>
        <w:t xml:space="preserve">On Aug.18, 2020, in </w:t>
      </w:r>
      <w:r>
        <w:rPr>
          <w:rFonts w:ascii="Times New Roman" w:hAnsi="Times New Roman"/>
          <w:sz w:val="24"/>
          <w:szCs w:val="24"/>
          <w:u w:val="single"/>
        </w:rPr>
        <w:t>25 Grant Street, LLC v. City of Bridgeport, et al</w:t>
      </w:r>
      <w:r>
        <w:rPr>
          <w:rFonts w:ascii="Times New Roman" w:hAnsi="Times New Roman"/>
          <w:sz w:val="24"/>
          <w:szCs w:val="24"/>
        </w:rPr>
        <w:t>., the Court of Appeals of the State of Connecticut, held (3 to 0) held that the trial court properly granted summary judgment to the City, but on different grounds: that the June, 2018 complaint alleging city negligence in failing to find fire code violations was filed too late under statute of limitations.</w:t>
      </w:r>
    </w:p>
    <w:p w14:paraId="1C4637FF" w14:textId="77777777" w:rsidR="00C630E7" w:rsidRDefault="00C630E7" w:rsidP="00C630E7">
      <w:pPr>
        <w:ind w:left="720"/>
        <w:rPr>
          <w:rFonts w:ascii="Times New Roman" w:hAnsi="Times New Roman"/>
          <w:sz w:val="24"/>
          <w:szCs w:val="24"/>
        </w:rPr>
      </w:pPr>
      <w:r>
        <w:rPr>
          <w:rFonts w:ascii="Times New Roman" w:hAnsi="Times New Roman"/>
          <w:sz w:val="24"/>
          <w:szCs w:val="24"/>
        </w:rPr>
        <w:t xml:space="preserve">“In the present case, the plaintiff failed to provide the city with notice of its theory of liability concerning fire code violations in the warehouse in all iterations of the complaint preceding the proposed </w:t>
      </w:r>
      <w:proofErr w:type="gramStart"/>
      <w:r>
        <w:rPr>
          <w:rFonts w:ascii="Times New Roman" w:hAnsi="Times New Roman"/>
          <w:sz w:val="24"/>
          <w:szCs w:val="24"/>
        </w:rPr>
        <w:t>June,</w:t>
      </w:r>
      <w:proofErr w:type="gramEnd"/>
      <w:r>
        <w:rPr>
          <w:rFonts w:ascii="Times New Roman" w:hAnsi="Times New Roman"/>
          <w:sz w:val="24"/>
          <w:szCs w:val="24"/>
        </w:rPr>
        <w:t xml:space="preserve"> 2018 complaint. Thus, even if the plaintiff described this theory in its response to an interrogatory, this response alone is insufficient for it to relate back for purposes of compliance with the statute of limitations.” </w:t>
      </w:r>
      <w:hyperlink r:id="rId302" w:history="1">
        <w:r>
          <w:rPr>
            <w:rStyle w:val="Hyperlink"/>
            <w:sz w:val="24"/>
            <w:szCs w:val="24"/>
          </w:rPr>
          <w:t>https://casetext.com/case/25-grant-st-llc-v-city-of-bridgeport</w:t>
        </w:r>
      </w:hyperlink>
      <w:r>
        <w:rPr>
          <w:rFonts w:ascii="Times New Roman" w:hAnsi="Times New Roman"/>
          <w:sz w:val="24"/>
          <w:szCs w:val="24"/>
        </w:rPr>
        <w:t xml:space="preserve">  </w:t>
      </w:r>
    </w:p>
    <w:p w14:paraId="2F256AFB" w14:textId="77777777" w:rsidR="00C630E7" w:rsidRDefault="00C630E7" w:rsidP="00C630E7">
      <w:pPr>
        <w:spacing w:before="100" w:beforeAutospacing="1" w:after="100" w:afterAutospacing="1" w:line="240" w:lineRule="auto"/>
        <w:rPr>
          <w:rFonts w:ascii="Times New Roman" w:eastAsia="Times New Roman" w:hAnsi="Times New Roman"/>
          <w:b/>
          <w:bCs/>
          <w:sz w:val="24"/>
          <w:szCs w:val="24"/>
        </w:rPr>
      </w:pPr>
      <w:r>
        <w:rPr>
          <w:rFonts w:ascii="Times New Roman" w:eastAsia="Times New Roman" w:hAnsi="Times New Roman"/>
          <w:b/>
          <w:bCs/>
          <w:sz w:val="24"/>
          <w:szCs w:val="24"/>
        </w:rPr>
        <w:t>Legal Lessons Learned: Government mental immunity prevailed, but alleged failure to inspect a large warehouse in 15 years raises serious questions about the City’s code enforcement practices.</w:t>
      </w:r>
    </w:p>
    <w:p w14:paraId="4985EBE9" w14:textId="77777777" w:rsidR="00C630E7" w:rsidRDefault="00C630E7" w:rsidP="00C630E7">
      <w:pPr>
        <w:pStyle w:val="NormalWeb"/>
        <w:ind w:left="720"/>
      </w:pPr>
      <w:r>
        <w:t xml:space="preserve">Note: See the Supreme Court of Connecticut’s Dec. 26, </w:t>
      </w:r>
      <w:proofErr w:type="gramStart"/>
      <w:r>
        <w:t>2017</w:t>
      </w:r>
      <w:proofErr w:type="gramEnd"/>
      <w:r>
        <w:t xml:space="preserve"> decision establishing municipal liability for failure to conduct inspections: Williams v. Housing Authority of Bridgeport, 327 Ct. 338, 174 A.3d 137 (2017): </w:t>
      </w:r>
      <w:hyperlink r:id="rId303" w:history="1">
        <w:r>
          <w:rPr>
            <w:rStyle w:val="Hyperlink"/>
            <w:rFonts w:eastAsiaTheme="majorEastAsia"/>
          </w:rPr>
          <w:t>https://www.leagle.com/decision/inctco20171226041</w:t>
        </w:r>
      </w:hyperlink>
      <w:r>
        <w:t xml:space="preserve"> </w:t>
      </w:r>
    </w:p>
    <w:p w14:paraId="31B8237C" w14:textId="77777777" w:rsidR="00C630E7" w:rsidRDefault="00C630E7" w:rsidP="00C630E7">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 xml:space="preserve">“This certified appeal arises out of a tragic fire in which four residents of a Bridgeport public housing complex — Tiana N.A. Black and her three young children — lost their lives. </w:t>
      </w:r>
    </w:p>
    <w:p w14:paraId="00361DB9" w14:textId="77777777" w:rsidR="00C630E7" w:rsidRDefault="00C630E7" w:rsidP="00C630E7">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p>
    <w:p w14:paraId="371EF53C" w14:textId="77777777" w:rsidR="00C630E7" w:rsidRDefault="00C630E7" w:rsidP="00C630E7">
      <w:pPr>
        <w:pStyle w:val="NormalWeb"/>
        <w:ind w:left="720"/>
      </w:pPr>
      <w:r>
        <w:t xml:space="preserve">“The Appellate Court reversed [trial court’s summary judgment for the city], concluding that a jury reasonably could find that the conduct of the municipal defendants demonstrated ‘a reckless disregard for </w:t>
      </w:r>
    </w:p>
    <w:p w14:paraId="39B2CD06" w14:textId="77777777" w:rsidR="00C630E7" w:rsidRDefault="00C630E7" w:rsidP="00C630E7">
      <w:pPr>
        <w:pStyle w:val="NormalWeb"/>
        <w:ind w:left="720"/>
      </w:pPr>
    </w:p>
    <w:p w14:paraId="1B703952" w14:textId="77777777" w:rsidR="00C630E7" w:rsidRDefault="00C630E7" w:rsidP="00C630E7">
      <w:pPr>
        <w:pStyle w:val="NormalWeb"/>
        <w:ind w:left="720"/>
      </w:pPr>
      <w:r>
        <w:t>health or safety under all the relevant circumstances’ and, therefore, that they were potentially liable pursuant to § 52-557n (b) (8).”</w:t>
      </w:r>
    </w:p>
    <w:p w14:paraId="1181DE66" w14:textId="77777777" w:rsidR="00C630E7" w:rsidRDefault="00C630E7" w:rsidP="002B1283">
      <w:pPr>
        <w:rPr>
          <w:rFonts w:ascii="Arial Black" w:hAnsi="Arial Black"/>
          <w:b/>
          <w:sz w:val="24"/>
          <w:szCs w:val="24"/>
        </w:rPr>
      </w:pPr>
    </w:p>
    <w:p w14:paraId="0D1A512E" w14:textId="77777777" w:rsidR="00C630E7" w:rsidRDefault="00C630E7" w:rsidP="002B1283">
      <w:pPr>
        <w:rPr>
          <w:rFonts w:ascii="Arial Black" w:hAnsi="Arial Black"/>
          <w:b/>
          <w:sz w:val="24"/>
          <w:szCs w:val="24"/>
        </w:rPr>
      </w:pPr>
    </w:p>
    <w:p w14:paraId="3D4DF684" w14:textId="0CC217DE" w:rsidR="00C630E7" w:rsidRDefault="00C630E7" w:rsidP="002B1283">
      <w:pPr>
        <w:rPr>
          <w:rFonts w:ascii="Arial Black" w:hAnsi="Arial Black"/>
          <w:b/>
          <w:sz w:val="24"/>
          <w:szCs w:val="24"/>
        </w:rPr>
      </w:pPr>
      <w:r>
        <w:rPr>
          <w:rFonts w:ascii="Arial Black" w:hAnsi="Arial Black"/>
          <w:b/>
          <w:sz w:val="24"/>
          <w:szCs w:val="24"/>
        </w:rPr>
        <w:lastRenderedPageBreak/>
        <w:t>1-63</w:t>
      </w:r>
    </w:p>
    <w:p w14:paraId="1EE2AABF" w14:textId="77777777" w:rsidR="00C630E7" w:rsidRDefault="00C630E7" w:rsidP="00C630E7">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RI: FIRE INVESTIGATIONS - ADJUSTERS, RESTORES CAN CONTACT OWNERS, BUT NOT VISIT SCENE 24 HRS</w:t>
      </w:r>
    </w:p>
    <w:p w14:paraId="78BD2A24" w14:textId="77777777" w:rsidR="00C630E7" w:rsidRDefault="00C630E7" w:rsidP="00C630E7">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On Aug. 11, 2020, in </w:t>
      </w:r>
      <w:r>
        <w:rPr>
          <w:rFonts w:ascii="Times New Roman" w:eastAsia="Times New Roman" w:hAnsi="Times New Roman"/>
          <w:sz w:val="24"/>
          <w:szCs w:val="24"/>
          <w:u w:val="single"/>
        </w:rPr>
        <w:t>Ernest G. Pullano, PA, doing business as Pullano Public Adjusters, LLC, et al. v. Rhode Island Division of State Fire Marshal</w:t>
      </w:r>
      <w:r>
        <w:rPr>
          <w:rFonts w:ascii="Times New Roman" w:eastAsia="Times New Roman" w:hAnsi="Times New Roman"/>
          <w:sz w:val="24"/>
          <w:szCs w:val="24"/>
        </w:rPr>
        <w:t xml:space="preserve">, U.S. District Court Judge John J. McConnell, Jr.,  District of Rhode Island, granted the State’s motion to dismiss, based on the Judge’s narrow interpretation of the statute – does not prohibit e-mail or other off-premises contact with property owner.  </w:t>
      </w:r>
    </w:p>
    <w:p w14:paraId="0C068F3B" w14:textId="77777777" w:rsidR="00C630E7" w:rsidRDefault="00C630E7" w:rsidP="00C630E7">
      <w:pPr>
        <w:pStyle w:val="NormalWeb"/>
        <w:ind w:left="720"/>
      </w:pPr>
      <w:r>
        <w:t xml:space="preserve">“The Court is convinced that the second interpretation, using the ‘series-qualifier principle,’ is the correct interpretation and thus holds that R.I. Gen. Laws § 23-28.2-11 only prohibits solicitation </w:t>
      </w:r>
      <w:r>
        <w:rPr>
          <w:i/>
          <w:iCs/>
        </w:rPr>
        <w:t>on the premises</w:t>
      </w:r>
      <w:r>
        <w:t xml:space="preserve"> during an investigation. It does not prohibit other types of non-</w:t>
      </w:r>
      <w:proofErr w:type="gramStart"/>
      <w:r>
        <w:t>premises</w:t>
      </w:r>
      <w:proofErr w:type="gramEnd"/>
      <w:r>
        <w:t xml:space="preserve"> solicitations, like phone, email, or mail. And it does not prevent on-the-premise solicitations if the person is invited onto the property by the homeowner. This is the right interpretation because it offers the most logical reading of the plain language of the Statute, while following the State's interpretation of the Statute, and avoiding constitutional </w:t>
      </w:r>
      <w:proofErr w:type="gramStart"/>
      <w:r>
        <w:t>transgressions.”</w:t>
      </w:r>
      <w:proofErr w:type="gramEnd"/>
      <w:r>
        <w:t xml:space="preserve"> </w:t>
      </w:r>
      <w:hyperlink r:id="rId304" w:history="1">
        <w:r>
          <w:rPr>
            <w:rStyle w:val="Hyperlink"/>
            <w:rFonts w:eastAsiaTheme="majorEastAsia"/>
          </w:rPr>
          <w:t>https://public.fastcase.com/Wl%2B2t%2BeVuI35%2FN70vAMFZuQf%2BCvER%2BbrYG4WrLB4YIQfdBBmlMCsuqEI%2FSqG9cxo</w:t>
        </w:r>
      </w:hyperlink>
      <w:r>
        <w:t xml:space="preserve"> </w:t>
      </w:r>
    </w:p>
    <w:p w14:paraId="52AA44D6" w14:textId="77777777" w:rsidR="00C630E7" w:rsidRDefault="00C630E7" w:rsidP="00C630E7">
      <w:pPr>
        <w:pStyle w:val="NormalWeb"/>
        <w:rPr>
          <w:b/>
          <w:bCs/>
        </w:rPr>
      </w:pPr>
      <w:r>
        <w:rPr>
          <w:b/>
          <w:bCs/>
        </w:rPr>
        <w:t xml:space="preserve">Legal Lessons Learned:  The State may now either accept this interpretation of the </w:t>
      </w:r>
      <w:proofErr w:type="gramStart"/>
      <w:r>
        <w:rPr>
          <w:b/>
          <w:bCs/>
        </w:rPr>
        <w:t>statute, or</w:t>
      </w:r>
      <w:proofErr w:type="gramEnd"/>
      <w:r>
        <w:rPr>
          <w:b/>
          <w:bCs/>
        </w:rPr>
        <w:t xml:space="preserve"> seek to appeal the decision. </w:t>
      </w:r>
    </w:p>
    <w:p w14:paraId="691FAD5E" w14:textId="77777777" w:rsidR="00C630E7" w:rsidRDefault="00C630E7" w:rsidP="00C630E7">
      <w:pPr>
        <w:pStyle w:val="Heading1"/>
        <w:ind w:left="720"/>
        <w:rPr>
          <w:b w:val="0"/>
          <w:bCs w:val="0"/>
          <w:sz w:val="24"/>
          <w:szCs w:val="24"/>
        </w:rPr>
      </w:pPr>
      <w:r>
        <w:rPr>
          <w:b w:val="0"/>
          <w:bCs w:val="0"/>
          <w:sz w:val="24"/>
          <w:szCs w:val="24"/>
        </w:rPr>
        <w:t xml:space="preserve">Note: See Florida statutes on public adjusters – </w:t>
      </w:r>
      <w:proofErr w:type="gramStart"/>
      <w:r>
        <w:rPr>
          <w:b w:val="0"/>
          <w:bCs w:val="0"/>
          <w:sz w:val="24"/>
          <w:szCs w:val="24"/>
        </w:rPr>
        <w:t>48 hour</w:t>
      </w:r>
      <w:proofErr w:type="gramEnd"/>
      <w:r>
        <w:rPr>
          <w:b w:val="0"/>
          <w:bCs w:val="0"/>
          <w:sz w:val="24"/>
          <w:szCs w:val="24"/>
        </w:rPr>
        <w:t xml:space="preserve"> notice visit property: </w:t>
      </w:r>
      <w:hyperlink r:id="rId305" w:history="1">
        <w:r>
          <w:rPr>
            <w:rStyle w:val="Hyperlink"/>
            <w:rFonts w:eastAsiaTheme="majorEastAsia"/>
            <w:b w:val="0"/>
            <w:bCs w:val="0"/>
            <w:sz w:val="24"/>
            <w:szCs w:val="24"/>
          </w:rPr>
          <w:t>https://www.myfloridacfo.com/division/agents/Industry/News/PubAdjRegs.htm</w:t>
        </w:r>
      </w:hyperlink>
      <w:r>
        <w:rPr>
          <w:b w:val="0"/>
          <w:bCs w:val="0"/>
          <w:sz w:val="24"/>
          <w:szCs w:val="24"/>
        </w:rPr>
        <w:t xml:space="preserve"> </w:t>
      </w:r>
    </w:p>
    <w:p w14:paraId="7F4AD100" w14:textId="77777777" w:rsidR="00C630E7" w:rsidRDefault="00C630E7" w:rsidP="00C630E7">
      <w:pPr>
        <w:pStyle w:val="Heading1"/>
        <w:ind w:left="720"/>
        <w:rPr>
          <w:b w:val="0"/>
          <w:bCs w:val="0"/>
          <w:sz w:val="24"/>
          <w:szCs w:val="24"/>
        </w:rPr>
      </w:pPr>
      <w:r>
        <w:rPr>
          <w:b w:val="0"/>
          <w:bCs w:val="0"/>
          <w:sz w:val="24"/>
          <w:szCs w:val="24"/>
        </w:rPr>
        <w:t xml:space="preserve">“The law states that company adjusters, independent adjusters, attorneys, investigators, or others acting on behalf of the insurer must give the insured, claimant, public adjuster or legal representative of the insured at least 48 </w:t>
      </w:r>
      <w:proofErr w:type="spellStart"/>
      <w:r>
        <w:rPr>
          <w:b w:val="0"/>
          <w:bCs w:val="0"/>
          <w:sz w:val="24"/>
          <w:szCs w:val="24"/>
        </w:rPr>
        <w:t>hours notice</w:t>
      </w:r>
      <w:proofErr w:type="spellEnd"/>
      <w:r>
        <w:rPr>
          <w:b w:val="0"/>
          <w:bCs w:val="0"/>
          <w:sz w:val="24"/>
          <w:szCs w:val="24"/>
        </w:rPr>
        <w:t xml:space="preserve"> that they need access to the damaged property. The insured or claimant can waive this notice.”</w:t>
      </w:r>
    </w:p>
    <w:p w14:paraId="3E66E55B" w14:textId="77777777" w:rsidR="00C630E7" w:rsidRDefault="00C630E7" w:rsidP="002B1283">
      <w:pPr>
        <w:rPr>
          <w:rFonts w:ascii="Arial Black" w:hAnsi="Arial Black"/>
          <w:b/>
          <w:sz w:val="24"/>
          <w:szCs w:val="24"/>
        </w:rPr>
      </w:pPr>
    </w:p>
    <w:p w14:paraId="092A3BA3" w14:textId="77777777" w:rsidR="00C630E7" w:rsidRDefault="00C630E7" w:rsidP="002B1283">
      <w:pPr>
        <w:rPr>
          <w:rFonts w:ascii="Arial Black" w:hAnsi="Arial Black"/>
          <w:b/>
          <w:sz w:val="24"/>
          <w:szCs w:val="24"/>
        </w:rPr>
      </w:pPr>
    </w:p>
    <w:p w14:paraId="312ECA1F" w14:textId="72F70290" w:rsidR="00C630E7" w:rsidRDefault="00C630E7" w:rsidP="002B1283">
      <w:pPr>
        <w:rPr>
          <w:rFonts w:ascii="Arial Black" w:hAnsi="Arial Black"/>
          <w:b/>
          <w:sz w:val="24"/>
          <w:szCs w:val="24"/>
        </w:rPr>
      </w:pPr>
      <w:r>
        <w:rPr>
          <w:rFonts w:ascii="Arial Black" w:hAnsi="Arial Black"/>
          <w:b/>
          <w:sz w:val="24"/>
          <w:szCs w:val="24"/>
        </w:rPr>
        <w:t>1-62</w:t>
      </w:r>
    </w:p>
    <w:p w14:paraId="736DFB5A" w14:textId="77777777" w:rsidR="00C630E7" w:rsidRDefault="00C630E7" w:rsidP="00C630E7">
      <w:pPr>
        <w:spacing w:before="100" w:beforeAutospacing="1" w:after="100" w:afterAutospacing="1" w:line="240" w:lineRule="auto"/>
        <w:rPr>
          <w:rFonts w:ascii="Arial Black" w:hAnsi="Arial Black" w:cstheme="minorBidi"/>
          <w:sz w:val="28"/>
          <w:szCs w:val="28"/>
        </w:rPr>
      </w:pPr>
      <w:r>
        <w:rPr>
          <w:rFonts w:ascii="Arial Black" w:hAnsi="Arial Black"/>
          <w:sz w:val="28"/>
          <w:szCs w:val="28"/>
        </w:rPr>
        <w:t>MD: PG COUNTY FIRE CHIEF – BATTALION CHIEFS TO OUTRANK VOLUNTEER CO. CHIEF - AUTHORIZED</w:t>
      </w:r>
    </w:p>
    <w:p w14:paraId="5D509AAA" w14:textId="77777777" w:rsidR="00C630E7" w:rsidRDefault="00C630E7" w:rsidP="00C630E7">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On Aug. 4, 2020, in Prince George’s Volunteer Fire And Rescue Association, Inc. v. Prince George’s County, Maryland, the Court of Special Appeals of Maryland, held (3 to 0; unreported decision) that the County Fire Chief had the authority in 2016 to issue revised General Order 01-03 that elevated the rank of County Battalion Chiefs, over that of Chiefs of volunteer fire companies.   </w:t>
      </w:r>
    </w:p>
    <w:p w14:paraId="784A460B" w14:textId="77777777" w:rsidR="00C630E7" w:rsidRDefault="00C630E7" w:rsidP="00C630E7">
      <w:pPr>
        <w:spacing w:after="100" w:line="240" w:lineRule="auto"/>
        <w:ind w:left="720"/>
        <w:rPr>
          <w:rFonts w:ascii="Times New Roman" w:eastAsia="Times New Roman" w:hAnsi="Times New Roman"/>
          <w:sz w:val="24"/>
          <w:szCs w:val="24"/>
        </w:rPr>
      </w:pPr>
      <w:r>
        <w:rPr>
          <w:rFonts w:ascii="Times New Roman" w:hAnsi="Times New Roman"/>
          <w:sz w:val="24"/>
          <w:szCs w:val="24"/>
        </w:rPr>
        <w:t xml:space="preserve">“Ultimately, PGCVFRA failed to sufficiently allege that it suffered irreparable injury through the Fire Chief's revision of General Order 01-03 and its amendment of the chain of command. As noted in our discussion on PGCVFRA's governmental </w:t>
      </w:r>
      <w:proofErr w:type="gramStart"/>
      <w:r>
        <w:rPr>
          <w:rFonts w:ascii="Times New Roman" w:hAnsi="Times New Roman"/>
          <w:sz w:val="24"/>
          <w:szCs w:val="24"/>
        </w:rPr>
        <w:t>takings</w:t>
      </w:r>
      <w:proofErr w:type="gramEnd"/>
      <w:r>
        <w:rPr>
          <w:rFonts w:ascii="Times New Roman" w:hAnsi="Times New Roman"/>
          <w:sz w:val="24"/>
          <w:szCs w:val="24"/>
        </w:rPr>
        <w:t xml:space="preserve"> claim, PGCVFRA failed to establish any sort of injury. Its claims regarding potential injury are hypothetical, speculative, and depend on future—</w:t>
      </w:r>
      <w:r>
        <w:rPr>
          <w:rFonts w:ascii="Times New Roman" w:hAnsi="Times New Roman"/>
          <w:sz w:val="24"/>
          <w:szCs w:val="24"/>
        </w:rPr>
        <w:lastRenderedPageBreak/>
        <w:t xml:space="preserve">uncertain—conduct that PGCVFRA alleges the County may undertake. The speculative nature of these complaints is apparent, and these ‘mere allegations’ are insufficient to ground PGCVFRA's claim for permanent injunctive relief.” </w:t>
      </w:r>
      <w:hyperlink r:id="rId306" w:history="1">
        <w:r>
          <w:rPr>
            <w:rStyle w:val="Hyperlink"/>
            <w:sz w:val="24"/>
            <w:szCs w:val="24"/>
          </w:rPr>
          <w:t>https://www.courts.state.md.us/sites/default/files/unreported-opinions/0614s19.pdf</w:t>
        </w:r>
      </w:hyperlink>
      <w:r>
        <w:rPr>
          <w:rFonts w:ascii="Times New Roman" w:hAnsi="Times New Roman"/>
          <w:sz w:val="24"/>
          <w:szCs w:val="24"/>
        </w:rPr>
        <w:t xml:space="preserve"> </w:t>
      </w:r>
    </w:p>
    <w:p w14:paraId="2465D741" w14:textId="77777777" w:rsidR="00C630E7" w:rsidRDefault="00C630E7" w:rsidP="00C630E7">
      <w:pPr>
        <w:spacing w:after="100" w:line="240" w:lineRule="auto"/>
        <w:rPr>
          <w:rFonts w:ascii="Times New Roman" w:eastAsia="Times New Roman" w:hAnsi="Times New Roman"/>
          <w:b/>
          <w:bCs/>
          <w:sz w:val="24"/>
          <w:szCs w:val="24"/>
        </w:rPr>
      </w:pPr>
      <w:r>
        <w:rPr>
          <w:rFonts w:ascii="Times New Roman" w:eastAsia="Times New Roman" w:hAnsi="Times New Roman"/>
          <w:b/>
          <w:bCs/>
          <w:sz w:val="24"/>
          <w:szCs w:val="24"/>
        </w:rPr>
        <w:t xml:space="preserve">Legal Lessons Learned: The County Fire Chief has authority over firefighting and chain of command. </w:t>
      </w:r>
    </w:p>
    <w:p w14:paraId="76D5DBAF" w14:textId="77777777" w:rsidR="00C630E7" w:rsidRDefault="00C630E7" w:rsidP="00C630E7">
      <w:pPr>
        <w:spacing w:after="100" w:line="240" w:lineRule="auto"/>
        <w:ind w:left="720"/>
        <w:rPr>
          <w:rFonts w:ascii="Times New Roman" w:eastAsiaTheme="minorHAnsi" w:hAnsi="Times New Roman"/>
          <w:sz w:val="24"/>
          <w:szCs w:val="24"/>
        </w:rPr>
      </w:pPr>
      <w:r>
        <w:rPr>
          <w:rFonts w:ascii="Times New Roman" w:eastAsia="Times New Roman" w:hAnsi="Times New Roman"/>
          <w:sz w:val="24"/>
          <w:szCs w:val="24"/>
        </w:rPr>
        <w:t xml:space="preserve">Note:  </w:t>
      </w:r>
      <w:r>
        <w:rPr>
          <w:rFonts w:ascii="Times New Roman" w:hAnsi="Times New Roman"/>
          <w:sz w:val="24"/>
          <w:szCs w:val="24"/>
        </w:rPr>
        <w:t>Under revised General Order 01-03, the relevant portion of the chain of command reads as follows:</w:t>
      </w:r>
    </w:p>
    <w:p w14:paraId="0559C14A" w14:textId="77777777" w:rsidR="00C630E7" w:rsidRDefault="00C630E7" w:rsidP="00C630E7">
      <w:pPr>
        <w:ind w:left="1440"/>
        <w:rPr>
          <w:rFonts w:ascii="Times New Roman" w:hAnsi="Times New Roman"/>
          <w:sz w:val="24"/>
          <w:szCs w:val="24"/>
        </w:rPr>
      </w:pPr>
      <w:r>
        <w:rPr>
          <w:rFonts w:ascii="Times New Roman" w:hAnsi="Times New Roman"/>
          <w:sz w:val="24"/>
          <w:szCs w:val="24"/>
        </w:rPr>
        <w:t>1. County Fire Chief</w:t>
      </w:r>
      <w:r>
        <w:rPr>
          <w:rFonts w:ascii="Times New Roman" w:hAnsi="Times New Roman"/>
          <w:sz w:val="24"/>
          <w:szCs w:val="24"/>
        </w:rPr>
        <w:br/>
        <w:t>2. Chief Deputy</w:t>
      </w:r>
      <w:r>
        <w:rPr>
          <w:rFonts w:ascii="Times New Roman" w:hAnsi="Times New Roman"/>
          <w:sz w:val="24"/>
          <w:szCs w:val="24"/>
        </w:rPr>
        <w:br/>
        <w:t>3. Deputy Fire Chief</w:t>
      </w:r>
      <w:r>
        <w:rPr>
          <w:rFonts w:ascii="Times New Roman" w:hAnsi="Times New Roman"/>
          <w:sz w:val="24"/>
          <w:szCs w:val="24"/>
        </w:rPr>
        <w:br/>
        <w:t>4. Assistant Fire Chief, Career/Volunteer</w:t>
      </w:r>
      <w:r>
        <w:rPr>
          <w:rFonts w:ascii="Times New Roman" w:hAnsi="Times New Roman"/>
          <w:sz w:val="24"/>
          <w:szCs w:val="24"/>
        </w:rPr>
        <w:br/>
        <w:t>5. Battalion Chief, Career/Volunteer</w:t>
      </w:r>
      <w:r>
        <w:rPr>
          <w:rFonts w:ascii="Times New Roman" w:hAnsi="Times New Roman"/>
          <w:sz w:val="24"/>
          <w:szCs w:val="24"/>
        </w:rPr>
        <w:br/>
        <w:t xml:space="preserve">6. Volunteer Company Chief   </w:t>
      </w:r>
    </w:p>
    <w:p w14:paraId="5F58D8F9" w14:textId="77777777" w:rsidR="00C630E7" w:rsidRDefault="00C630E7" w:rsidP="00C630E7">
      <w:pPr>
        <w:ind w:left="720"/>
        <w:rPr>
          <w:rFonts w:ascii="Times New Roman" w:hAnsi="Times New Roman"/>
          <w:sz w:val="24"/>
          <w:szCs w:val="24"/>
        </w:rPr>
      </w:pPr>
      <w:r>
        <w:rPr>
          <w:rFonts w:ascii="Times New Roman" w:hAnsi="Times New Roman"/>
          <w:sz w:val="24"/>
          <w:szCs w:val="24"/>
        </w:rPr>
        <w:t xml:space="preserve">[Footnote 8 of the Court’s decision.] </w:t>
      </w:r>
      <w:hyperlink r:id="rId307" w:history="1">
        <w:r>
          <w:rPr>
            <w:rStyle w:val="Hyperlink"/>
            <w:sz w:val="24"/>
            <w:szCs w:val="24"/>
          </w:rPr>
          <w:t>https://www.courts.state.md.us/sites/default/files/unreported-opinions/0614s19.pdf</w:t>
        </w:r>
      </w:hyperlink>
      <w:r>
        <w:rPr>
          <w:rFonts w:ascii="Times New Roman" w:hAnsi="Times New Roman"/>
          <w:sz w:val="24"/>
          <w:szCs w:val="24"/>
        </w:rPr>
        <w:t xml:space="preserve"> </w:t>
      </w:r>
    </w:p>
    <w:p w14:paraId="6DEB3570" w14:textId="77777777" w:rsidR="00C630E7" w:rsidRDefault="00C630E7" w:rsidP="002B1283">
      <w:pPr>
        <w:rPr>
          <w:rFonts w:ascii="Arial Black" w:hAnsi="Arial Black"/>
          <w:b/>
          <w:sz w:val="24"/>
          <w:szCs w:val="24"/>
        </w:rPr>
      </w:pPr>
    </w:p>
    <w:p w14:paraId="65F3ED55" w14:textId="77777777" w:rsidR="00C630E7" w:rsidRDefault="00C630E7" w:rsidP="002B1283">
      <w:pPr>
        <w:rPr>
          <w:rFonts w:ascii="Arial Black" w:hAnsi="Arial Black"/>
          <w:b/>
          <w:sz w:val="24"/>
          <w:szCs w:val="24"/>
        </w:rPr>
      </w:pPr>
    </w:p>
    <w:p w14:paraId="16F88F35" w14:textId="6B0CD27D" w:rsidR="00A672EE" w:rsidRDefault="00A672EE" w:rsidP="002B1283">
      <w:pPr>
        <w:rPr>
          <w:rFonts w:ascii="Arial Black" w:hAnsi="Arial Black"/>
          <w:b/>
          <w:sz w:val="24"/>
          <w:szCs w:val="24"/>
        </w:rPr>
      </w:pPr>
      <w:r>
        <w:rPr>
          <w:rFonts w:ascii="Arial Black" w:hAnsi="Arial Black"/>
          <w:b/>
          <w:sz w:val="24"/>
          <w:szCs w:val="24"/>
        </w:rPr>
        <w:t>1-61</w:t>
      </w:r>
    </w:p>
    <w:p w14:paraId="6591CB4B" w14:textId="77777777" w:rsidR="00A672EE" w:rsidRDefault="00A672EE" w:rsidP="00A672EE">
      <w:pPr>
        <w:pStyle w:val="NoSpacing"/>
        <w:rPr>
          <w:rFonts w:ascii="Arial Black" w:hAnsi="Arial Black"/>
          <w:sz w:val="28"/>
          <w:szCs w:val="28"/>
        </w:rPr>
      </w:pPr>
      <w:r w:rsidRPr="007501C3">
        <w:rPr>
          <w:rFonts w:ascii="Arial Black" w:hAnsi="Arial Black"/>
          <w:sz w:val="28"/>
          <w:szCs w:val="28"/>
        </w:rPr>
        <w:t xml:space="preserve">NY: </w:t>
      </w:r>
      <w:r>
        <w:rPr>
          <w:rFonts w:ascii="Arial Black" w:hAnsi="Arial Black"/>
          <w:sz w:val="28"/>
          <w:szCs w:val="28"/>
        </w:rPr>
        <w:t>CA WOMAN SUPPORTS STRONG IMMIGATION – CAN SUE TV COMMENTATOR - FALSE TWEETS TO 1.24 MILLION</w:t>
      </w:r>
    </w:p>
    <w:p w14:paraId="2530EFF0" w14:textId="77777777" w:rsidR="00A672EE" w:rsidRDefault="00A672EE" w:rsidP="00A672EE">
      <w:pPr>
        <w:pStyle w:val="NoSpacing"/>
        <w:rPr>
          <w:rFonts w:ascii="Arial Black" w:hAnsi="Arial Black"/>
          <w:sz w:val="28"/>
          <w:szCs w:val="28"/>
        </w:rPr>
      </w:pPr>
      <w:r>
        <w:rPr>
          <w:rFonts w:ascii="Arial Black" w:hAnsi="Arial Black"/>
          <w:sz w:val="28"/>
          <w:szCs w:val="28"/>
        </w:rPr>
        <w:t xml:space="preserve"> </w:t>
      </w:r>
    </w:p>
    <w:p w14:paraId="61718F0B" w14:textId="77777777" w:rsidR="00A672EE" w:rsidRDefault="00A672EE" w:rsidP="00A672EE">
      <w:pPr>
        <w:pStyle w:val="NoSpacing"/>
        <w:rPr>
          <w:rFonts w:ascii="Times New Roman" w:hAnsi="Times New Roman"/>
          <w:sz w:val="24"/>
          <w:szCs w:val="24"/>
        </w:rPr>
      </w:pPr>
      <w:r w:rsidRPr="000C4CED">
        <w:rPr>
          <w:rFonts w:ascii="Times New Roman" w:hAnsi="Times New Roman"/>
          <w:sz w:val="24"/>
          <w:szCs w:val="24"/>
        </w:rPr>
        <w:t xml:space="preserve">On </w:t>
      </w:r>
      <w:r>
        <w:rPr>
          <w:rFonts w:ascii="Times New Roman" w:hAnsi="Times New Roman"/>
          <w:sz w:val="24"/>
          <w:szCs w:val="24"/>
        </w:rPr>
        <w:t xml:space="preserve">July 15, 2020, in </w:t>
      </w:r>
      <w:r w:rsidRPr="000C4CED">
        <w:rPr>
          <w:rFonts w:ascii="Times New Roman" w:hAnsi="Times New Roman"/>
          <w:sz w:val="24"/>
          <w:szCs w:val="24"/>
          <w:u w:val="single"/>
        </w:rPr>
        <w:t>Roslyn La Liberte v. Joy Reid</w:t>
      </w:r>
      <w:r>
        <w:rPr>
          <w:rFonts w:ascii="Times New Roman" w:hAnsi="Times New Roman"/>
          <w:sz w:val="24"/>
          <w:szCs w:val="24"/>
        </w:rPr>
        <w:t xml:space="preserve">, the U.S. Court of Appeals for Second Circuit (New York City) held that the defamation lawsuit will be reinstated; the defendant, Joy Reid, an MSNBC commentator, sent Tweet to 1.24 million followers, falsely alleging Ms. La Liberte threated 14-year-old Hispanic boy at a Simi Valley Council Meeting.  La Liberte received hate mail, including threats of mutilation and recommendations she </w:t>
      </w:r>
      <w:proofErr w:type="gramStart"/>
      <w:r>
        <w:rPr>
          <w:rFonts w:ascii="Times New Roman" w:hAnsi="Times New Roman"/>
          <w:sz w:val="24"/>
          <w:szCs w:val="24"/>
        </w:rPr>
        <w:t>commit</w:t>
      </w:r>
      <w:proofErr w:type="gramEnd"/>
      <w:r>
        <w:rPr>
          <w:rFonts w:ascii="Times New Roman" w:hAnsi="Times New Roman"/>
          <w:sz w:val="24"/>
          <w:szCs w:val="24"/>
        </w:rPr>
        <w:t xml:space="preserve"> suicide.  Court wrote: “</w:t>
      </w:r>
      <w:r w:rsidRPr="003E3B28">
        <w:rPr>
          <w:rFonts w:ascii="Times New Roman" w:hAnsi="Times New Roman"/>
          <w:sz w:val="24"/>
          <w:szCs w:val="24"/>
        </w:rPr>
        <w:t xml:space="preserve">In effect, Reid is arguing </w:t>
      </w:r>
      <w:r>
        <w:rPr>
          <w:rFonts w:ascii="Times New Roman" w:hAnsi="Times New Roman"/>
          <w:sz w:val="24"/>
          <w:szCs w:val="24"/>
        </w:rPr>
        <w:t xml:space="preserve">[in this Appeal] </w:t>
      </w:r>
      <w:r w:rsidRPr="003E3B28">
        <w:rPr>
          <w:rFonts w:ascii="Times New Roman" w:hAnsi="Times New Roman"/>
          <w:sz w:val="24"/>
          <w:szCs w:val="24"/>
        </w:rPr>
        <w:t>that a plaintiff can sue only the first defamer. If that were so, a post by an obscure social media user with few followers, blogging in the recesses of the internet, would allow everyone else to pile on without consequence. No one’s reputation would be worth a thing.</w:t>
      </w:r>
      <w:r>
        <w:rPr>
          <w:rFonts w:ascii="Times New Roman" w:hAnsi="Times New Roman"/>
          <w:sz w:val="24"/>
          <w:szCs w:val="24"/>
        </w:rPr>
        <w:t>”</w:t>
      </w:r>
    </w:p>
    <w:p w14:paraId="5C89966D" w14:textId="77777777" w:rsidR="00A672EE" w:rsidRDefault="00A672EE" w:rsidP="00A672EE">
      <w:pPr>
        <w:pStyle w:val="NoSpacing"/>
        <w:rPr>
          <w:rFonts w:ascii="Times New Roman" w:hAnsi="Times New Roman"/>
          <w:sz w:val="24"/>
          <w:szCs w:val="24"/>
        </w:rPr>
      </w:pPr>
      <w:hyperlink r:id="rId308" w:anchor="xml=https://www.ca2.uscourts.gov/decisions/isysquery/2a455a3a-04be-4845-88fb-6da61a7004cf/1/hilite/" w:history="1">
        <w:r w:rsidRPr="00C24307">
          <w:rPr>
            <w:rStyle w:val="Hyperlink"/>
            <w:rFonts w:ascii="Times New Roman" w:hAnsi="Times New Roman"/>
            <w:sz w:val="24"/>
            <w:szCs w:val="24"/>
          </w:rPr>
          <w:t>https://www.ca2.uscourts.gov/decisions/isysquery/2a455a3a-04be-4845-88fb-6da61a7004cf/1/doc/19-3574_opn.pdf#xml=https://www.ca2.uscourts.gov/decisions/isysquery/2a455a3a-04be-4845-88fb-6da61a7004cf/1/hilite/</w:t>
        </w:r>
      </w:hyperlink>
      <w:r>
        <w:rPr>
          <w:rFonts w:ascii="Times New Roman" w:hAnsi="Times New Roman"/>
          <w:sz w:val="24"/>
          <w:szCs w:val="24"/>
        </w:rPr>
        <w:t xml:space="preserve"> </w:t>
      </w:r>
    </w:p>
    <w:p w14:paraId="45017FD4" w14:textId="752A78F5" w:rsidR="00A672EE" w:rsidRDefault="00A672EE" w:rsidP="002B1283">
      <w:pPr>
        <w:rPr>
          <w:rFonts w:ascii="Arial Black" w:hAnsi="Arial Black"/>
          <w:b/>
          <w:sz w:val="24"/>
          <w:szCs w:val="24"/>
        </w:rPr>
      </w:pPr>
    </w:p>
    <w:p w14:paraId="3AC35E18" w14:textId="77777777" w:rsidR="006B2083" w:rsidRPr="00143120" w:rsidRDefault="006B2083" w:rsidP="006B2083">
      <w:pPr>
        <w:pStyle w:val="NoSpacing"/>
        <w:rPr>
          <w:rFonts w:ascii="Times New Roman" w:hAnsi="Times New Roman"/>
          <w:b/>
          <w:bCs/>
          <w:sz w:val="24"/>
          <w:szCs w:val="24"/>
        </w:rPr>
      </w:pPr>
      <w:r w:rsidRPr="00AE2F30">
        <w:rPr>
          <w:rFonts w:ascii="Times New Roman" w:hAnsi="Times New Roman"/>
          <w:b/>
          <w:bCs/>
        </w:rPr>
        <w:t xml:space="preserve">Legal Lessons Learned: </w:t>
      </w:r>
      <w:r>
        <w:rPr>
          <w:rFonts w:ascii="Times New Roman" w:hAnsi="Times New Roman"/>
          <w:b/>
          <w:bCs/>
        </w:rPr>
        <w:t xml:space="preserve"> Fortunately, the Court also held that plaintiff is not a “public official</w:t>
      </w:r>
      <w:proofErr w:type="gramStart"/>
      <w:r>
        <w:rPr>
          <w:rFonts w:ascii="Times New Roman" w:hAnsi="Times New Roman"/>
          <w:b/>
          <w:bCs/>
        </w:rPr>
        <w:t>”</w:t>
      </w:r>
      <w:proofErr w:type="gramEnd"/>
      <w:r>
        <w:rPr>
          <w:rFonts w:ascii="Times New Roman" w:hAnsi="Times New Roman"/>
          <w:b/>
          <w:bCs/>
        </w:rPr>
        <w:t xml:space="preserve"> and she does not need to prove defendant posted with actual “malice.” </w:t>
      </w:r>
    </w:p>
    <w:p w14:paraId="73FD8453" w14:textId="77777777" w:rsidR="006B2083" w:rsidRDefault="006B2083" w:rsidP="006B2083">
      <w:pPr>
        <w:pStyle w:val="NoSpacing"/>
        <w:rPr>
          <w:rFonts w:ascii="Times New Roman" w:hAnsi="Times New Roman"/>
          <w:b/>
          <w:bCs/>
        </w:rPr>
      </w:pPr>
    </w:p>
    <w:p w14:paraId="5FCA5A8A" w14:textId="77777777" w:rsidR="006B2083" w:rsidRDefault="006B2083" w:rsidP="006B2083">
      <w:pPr>
        <w:pStyle w:val="NoSpacing"/>
        <w:ind w:left="720"/>
        <w:rPr>
          <w:rFonts w:ascii="Times New Roman" w:hAnsi="Times New Roman"/>
          <w:sz w:val="24"/>
          <w:szCs w:val="24"/>
        </w:rPr>
      </w:pPr>
      <w:r w:rsidRPr="00AE2F30">
        <w:rPr>
          <w:rFonts w:ascii="Times New Roman" w:hAnsi="Times New Roman"/>
          <w:sz w:val="24"/>
          <w:szCs w:val="24"/>
        </w:rPr>
        <w:t xml:space="preserve">Note: </w:t>
      </w:r>
      <w:r>
        <w:rPr>
          <w:rFonts w:ascii="Times New Roman" w:hAnsi="Times New Roman"/>
          <w:sz w:val="24"/>
          <w:szCs w:val="24"/>
        </w:rPr>
        <w:t>The 2</w:t>
      </w:r>
      <w:r w:rsidRPr="00143120">
        <w:rPr>
          <w:rFonts w:ascii="Times New Roman" w:hAnsi="Times New Roman"/>
          <w:sz w:val="24"/>
          <w:szCs w:val="24"/>
          <w:vertAlign w:val="superscript"/>
        </w:rPr>
        <w:t>nd</w:t>
      </w:r>
      <w:r>
        <w:rPr>
          <w:rFonts w:ascii="Times New Roman" w:hAnsi="Times New Roman"/>
          <w:sz w:val="24"/>
          <w:szCs w:val="24"/>
        </w:rPr>
        <w:t xml:space="preserve"> Circuit held that Joy Reed was also not protected by California Anti-SLAPP statute, which helps protect news organizations, reporters, journalists, </w:t>
      </w:r>
      <w:proofErr w:type="gramStart"/>
      <w:r>
        <w:rPr>
          <w:rFonts w:ascii="Times New Roman" w:hAnsi="Times New Roman"/>
          <w:sz w:val="24"/>
          <w:szCs w:val="24"/>
        </w:rPr>
        <w:t>other</w:t>
      </w:r>
      <w:proofErr w:type="gramEnd"/>
      <w:r>
        <w:rPr>
          <w:rFonts w:ascii="Times New Roman" w:hAnsi="Times New Roman"/>
          <w:sz w:val="24"/>
          <w:szCs w:val="24"/>
        </w:rPr>
        <w:t xml:space="preserve"> from defamation lawsuits. </w:t>
      </w:r>
      <w:hyperlink r:id="rId309" w:history="1">
        <w:r w:rsidRPr="00AE2F30">
          <w:rPr>
            <w:rStyle w:val="Hyperlink"/>
            <w:rFonts w:ascii="Times New Roman" w:hAnsi="Times New Roman"/>
            <w:sz w:val="24"/>
            <w:szCs w:val="24"/>
          </w:rPr>
          <w:t>https://www.rcfp.org/resources/anti-slapp-laws/</w:t>
        </w:r>
      </w:hyperlink>
    </w:p>
    <w:p w14:paraId="710039AB" w14:textId="77777777" w:rsidR="006B2083" w:rsidRDefault="006B2083" w:rsidP="006B2083">
      <w:pPr>
        <w:pStyle w:val="NoSpacing"/>
        <w:ind w:left="720"/>
        <w:rPr>
          <w:rFonts w:ascii="Times New Roman" w:hAnsi="Times New Roman"/>
          <w:sz w:val="24"/>
          <w:szCs w:val="24"/>
        </w:rPr>
      </w:pPr>
      <w:r>
        <w:rPr>
          <w:rFonts w:ascii="Times New Roman" w:hAnsi="Times New Roman"/>
          <w:sz w:val="24"/>
          <w:szCs w:val="24"/>
        </w:rPr>
        <w:t>The 2</w:t>
      </w:r>
      <w:r w:rsidRPr="00143120">
        <w:rPr>
          <w:rFonts w:ascii="Times New Roman" w:hAnsi="Times New Roman"/>
          <w:sz w:val="24"/>
          <w:szCs w:val="24"/>
          <w:vertAlign w:val="superscript"/>
        </w:rPr>
        <w:t>nd</w:t>
      </w:r>
      <w:r>
        <w:rPr>
          <w:rFonts w:ascii="Times New Roman" w:hAnsi="Times New Roman"/>
          <w:sz w:val="24"/>
          <w:szCs w:val="24"/>
        </w:rPr>
        <w:t xml:space="preserve"> Circuit held: “</w:t>
      </w:r>
      <w:r w:rsidRPr="00AE2F30">
        <w:rPr>
          <w:rFonts w:ascii="Times New Roman" w:hAnsi="Times New Roman"/>
          <w:sz w:val="24"/>
          <w:szCs w:val="24"/>
        </w:rPr>
        <w:t xml:space="preserve">As a matter of first impression in this Circuit, we hold that California’s anti-SLAPP statute is inapplicable in federal court because it increases a plaintiff’s burden to overcome pretrial dismissal, and thus conflicts with Federal Rules of Civil Procedure 12 and 56.” </w:t>
      </w:r>
    </w:p>
    <w:p w14:paraId="30B157A6" w14:textId="77777777" w:rsidR="006B2083" w:rsidRDefault="006B2083" w:rsidP="006B2083">
      <w:pPr>
        <w:pStyle w:val="NoSpacing"/>
        <w:ind w:left="720"/>
        <w:rPr>
          <w:rFonts w:ascii="Times New Roman" w:hAnsi="Times New Roman"/>
          <w:sz w:val="24"/>
          <w:szCs w:val="24"/>
        </w:rPr>
      </w:pPr>
    </w:p>
    <w:p w14:paraId="796F37FA" w14:textId="1E7C3EF8" w:rsidR="006B2083" w:rsidRDefault="006B2083" w:rsidP="006B2083">
      <w:pPr>
        <w:rPr>
          <w:rFonts w:ascii="Arial Black" w:hAnsi="Arial Black"/>
          <w:b/>
          <w:sz w:val="24"/>
          <w:szCs w:val="24"/>
        </w:rPr>
      </w:pPr>
      <w:r>
        <w:rPr>
          <w:rFonts w:ascii="Times New Roman" w:hAnsi="Times New Roman"/>
          <w:sz w:val="24"/>
          <w:szCs w:val="24"/>
        </w:rPr>
        <w:t xml:space="preserve">Courts have held that </w:t>
      </w:r>
      <w:r w:rsidRPr="00143120">
        <w:rPr>
          <w:rFonts w:ascii="Times New Roman" w:hAnsi="Times New Roman"/>
          <w:sz w:val="24"/>
          <w:szCs w:val="24"/>
        </w:rPr>
        <w:t xml:space="preserve">Fire Chiefs </w:t>
      </w:r>
      <w:r>
        <w:rPr>
          <w:rFonts w:ascii="Times New Roman" w:hAnsi="Times New Roman"/>
          <w:sz w:val="24"/>
          <w:szCs w:val="24"/>
        </w:rPr>
        <w:t xml:space="preserve">are </w:t>
      </w:r>
      <w:r w:rsidRPr="00143120">
        <w:rPr>
          <w:rFonts w:ascii="Times New Roman" w:hAnsi="Times New Roman"/>
          <w:sz w:val="24"/>
          <w:szCs w:val="24"/>
        </w:rPr>
        <w:t xml:space="preserve">“public officials” and </w:t>
      </w:r>
      <w:r>
        <w:rPr>
          <w:rFonts w:ascii="Times New Roman" w:hAnsi="Times New Roman"/>
          <w:sz w:val="24"/>
          <w:szCs w:val="24"/>
        </w:rPr>
        <w:t xml:space="preserve">must prove actual malice in defamation lawsuits.  </w:t>
      </w:r>
      <w:hyperlink r:id="rId310" w:history="1">
        <w:r w:rsidRPr="00143120">
          <w:rPr>
            <w:rStyle w:val="Hyperlink"/>
            <w:rFonts w:ascii="Times New Roman" w:hAnsi="Times New Roman"/>
            <w:sz w:val="24"/>
            <w:szCs w:val="24"/>
          </w:rPr>
          <w:t>http://www.firelawblog.com/wp-content/uploads/sites/19/2011/02/becker_final_ruling1.pdf</w:t>
        </w:r>
      </w:hyperlink>
    </w:p>
    <w:p w14:paraId="407ED2CB" w14:textId="77777777" w:rsidR="00A672EE" w:rsidRDefault="00A672EE" w:rsidP="002B1283">
      <w:pPr>
        <w:rPr>
          <w:rFonts w:ascii="Arial Black" w:hAnsi="Arial Black"/>
          <w:b/>
          <w:sz w:val="24"/>
          <w:szCs w:val="24"/>
        </w:rPr>
      </w:pPr>
    </w:p>
    <w:p w14:paraId="08E6CB3F" w14:textId="589AAA29" w:rsidR="00A672EE" w:rsidRDefault="00A672EE" w:rsidP="002B1283">
      <w:pPr>
        <w:rPr>
          <w:rFonts w:ascii="Arial Black" w:hAnsi="Arial Black"/>
          <w:b/>
          <w:sz w:val="24"/>
          <w:szCs w:val="24"/>
        </w:rPr>
      </w:pPr>
      <w:r>
        <w:rPr>
          <w:rFonts w:ascii="Arial Black" w:hAnsi="Arial Black"/>
          <w:b/>
          <w:sz w:val="24"/>
          <w:szCs w:val="24"/>
        </w:rPr>
        <w:t>1-60</w:t>
      </w:r>
    </w:p>
    <w:p w14:paraId="2466E906" w14:textId="77777777" w:rsidR="00A672EE" w:rsidRPr="007F777C" w:rsidRDefault="00A672EE" w:rsidP="00A672EE">
      <w:pPr>
        <w:pStyle w:val="NoSpacing"/>
        <w:rPr>
          <w:rFonts w:ascii="Arial Black" w:hAnsi="Arial Black"/>
          <w:sz w:val="28"/>
          <w:szCs w:val="28"/>
        </w:rPr>
      </w:pPr>
      <w:bookmarkStart w:id="18" w:name="_Hlk69187086"/>
      <w:r w:rsidRPr="007F777C">
        <w:rPr>
          <w:rFonts w:ascii="Arial Black" w:hAnsi="Arial Black"/>
          <w:sz w:val="28"/>
          <w:szCs w:val="28"/>
        </w:rPr>
        <w:t>PA</w:t>
      </w:r>
      <w:r>
        <w:rPr>
          <w:rFonts w:ascii="Arial Black" w:hAnsi="Arial Black"/>
          <w:sz w:val="28"/>
          <w:szCs w:val="28"/>
        </w:rPr>
        <w:t>:  CHILD DIED NEIGHBOR’S SWIMMING POOL – INWARD GATES – CODE OFFICIAL WAS NOT EMPLOYEE – STILL HAS GOV’T IMMUNITY</w:t>
      </w:r>
    </w:p>
    <w:bookmarkEnd w:id="18"/>
    <w:p w14:paraId="1B0656DC" w14:textId="77777777" w:rsidR="00A672EE" w:rsidRDefault="00A672EE" w:rsidP="00A672EE">
      <w:pPr>
        <w:pStyle w:val="NoSpacing"/>
        <w:rPr>
          <w:rFonts w:ascii="Times New Roman" w:hAnsi="Times New Roman"/>
          <w:sz w:val="24"/>
          <w:szCs w:val="24"/>
        </w:rPr>
      </w:pPr>
    </w:p>
    <w:p w14:paraId="5D3EFAEE" w14:textId="77777777" w:rsidR="00A672EE" w:rsidRPr="0039329F" w:rsidRDefault="00A672EE" w:rsidP="00A672EE">
      <w:pPr>
        <w:pStyle w:val="NoSpacing"/>
        <w:rPr>
          <w:rFonts w:ascii="Times New Roman" w:hAnsi="Times New Roman"/>
          <w:sz w:val="24"/>
          <w:szCs w:val="24"/>
        </w:rPr>
      </w:pPr>
      <w:r>
        <w:rPr>
          <w:rFonts w:ascii="Times New Roman" w:hAnsi="Times New Roman"/>
          <w:sz w:val="24"/>
          <w:szCs w:val="24"/>
        </w:rPr>
        <w:t xml:space="preserve">On July 9, 2020, in </w:t>
      </w:r>
      <w:r w:rsidRPr="007F777C">
        <w:rPr>
          <w:rFonts w:ascii="Times New Roman" w:hAnsi="Times New Roman"/>
          <w:sz w:val="24"/>
          <w:szCs w:val="24"/>
          <w:u w:val="single"/>
        </w:rPr>
        <w:t>Anna Oakes</w:t>
      </w:r>
      <w:r>
        <w:rPr>
          <w:rFonts w:ascii="Times New Roman" w:hAnsi="Times New Roman"/>
          <w:sz w:val="24"/>
          <w:szCs w:val="24"/>
          <w:u w:val="single"/>
        </w:rPr>
        <w:t xml:space="preserve">, Administratrix of Estate of </w:t>
      </w:r>
      <w:proofErr w:type="spellStart"/>
      <w:r>
        <w:rPr>
          <w:rFonts w:ascii="Times New Roman" w:hAnsi="Times New Roman"/>
          <w:sz w:val="24"/>
          <w:szCs w:val="24"/>
          <w:u w:val="single"/>
        </w:rPr>
        <w:t>Pheylan</w:t>
      </w:r>
      <w:proofErr w:type="spellEnd"/>
      <w:r>
        <w:rPr>
          <w:rFonts w:ascii="Times New Roman" w:hAnsi="Times New Roman"/>
          <w:sz w:val="24"/>
          <w:szCs w:val="24"/>
          <w:u w:val="single"/>
        </w:rPr>
        <w:t xml:space="preserve"> Marine Cline </w:t>
      </w:r>
      <w:r w:rsidRPr="007F777C">
        <w:rPr>
          <w:rFonts w:ascii="Times New Roman" w:hAnsi="Times New Roman"/>
          <w:sz w:val="24"/>
          <w:szCs w:val="24"/>
          <w:u w:val="single"/>
        </w:rPr>
        <w:t xml:space="preserve"> v. Jeff Richardson and Richardson Inspection Services, LLC</w:t>
      </w:r>
      <w:r>
        <w:rPr>
          <w:rFonts w:ascii="Times New Roman" w:hAnsi="Times New Roman"/>
          <w:sz w:val="24"/>
          <w:szCs w:val="24"/>
        </w:rPr>
        <w:t>, the Commonwealth Court of Pennsylvania, held (3 to 0</w:t>
      </w:r>
      <w:proofErr w:type="gramStart"/>
      <w:r>
        <w:rPr>
          <w:rFonts w:ascii="Times New Roman" w:hAnsi="Times New Roman"/>
          <w:sz w:val="24"/>
          <w:szCs w:val="24"/>
        </w:rPr>
        <w:t>) in</w:t>
      </w:r>
      <w:proofErr w:type="gramEnd"/>
      <w:r>
        <w:rPr>
          <w:rFonts w:ascii="Times New Roman" w:hAnsi="Times New Roman"/>
          <w:sz w:val="24"/>
          <w:szCs w:val="24"/>
        </w:rPr>
        <w:t xml:space="preserve"> an unreported decision that the trial court properly granted summary judgment to the defendants, since Jeff Richardson enjoyed governmental immunity. The Court wrote: </w:t>
      </w:r>
      <w:r w:rsidRPr="0039329F">
        <w:rPr>
          <w:rFonts w:ascii="Times New Roman" w:hAnsi="Times New Roman"/>
          <w:sz w:val="24"/>
          <w:szCs w:val="24"/>
        </w:rPr>
        <w:t xml:space="preserve">For these reasons, we conclude that the trial court correctly determined that Richardson acted on behalf of the Township as an </w:t>
      </w:r>
      <w:r>
        <w:rPr>
          <w:rFonts w:ascii="Times New Roman" w:hAnsi="Times New Roman"/>
          <w:sz w:val="24"/>
          <w:szCs w:val="24"/>
        </w:rPr>
        <w:t>‘</w:t>
      </w:r>
      <w:r w:rsidRPr="0039329F">
        <w:rPr>
          <w:rFonts w:ascii="Times New Roman" w:hAnsi="Times New Roman"/>
          <w:sz w:val="24"/>
          <w:szCs w:val="24"/>
        </w:rPr>
        <w:t>employee</w:t>
      </w:r>
      <w:r>
        <w:rPr>
          <w:rFonts w:ascii="Times New Roman" w:hAnsi="Times New Roman"/>
          <w:sz w:val="24"/>
          <w:szCs w:val="24"/>
        </w:rPr>
        <w:t xml:space="preserve">’ </w:t>
      </w:r>
      <w:r w:rsidRPr="0039329F">
        <w:rPr>
          <w:rFonts w:ascii="Times New Roman" w:hAnsi="Times New Roman"/>
          <w:sz w:val="24"/>
          <w:szCs w:val="24"/>
        </w:rPr>
        <w:t>and</w:t>
      </w:r>
      <w:r>
        <w:rPr>
          <w:rFonts w:ascii="Times New Roman" w:hAnsi="Times New Roman"/>
          <w:sz w:val="24"/>
          <w:szCs w:val="24"/>
        </w:rPr>
        <w:t xml:space="preserve"> </w:t>
      </w:r>
      <w:r w:rsidRPr="0039329F">
        <w:rPr>
          <w:rFonts w:ascii="Times New Roman" w:hAnsi="Times New Roman"/>
          <w:sz w:val="24"/>
          <w:szCs w:val="24"/>
        </w:rPr>
        <w:t>as such</w:t>
      </w:r>
      <w:r>
        <w:rPr>
          <w:rFonts w:ascii="Times New Roman" w:hAnsi="Times New Roman"/>
          <w:sz w:val="24"/>
          <w:szCs w:val="24"/>
        </w:rPr>
        <w:t xml:space="preserve"> </w:t>
      </w:r>
      <w:r w:rsidRPr="0039329F">
        <w:rPr>
          <w:rFonts w:ascii="Times New Roman" w:hAnsi="Times New Roman"/>
          <w:sz w:val="24"/>
          <w:szCs w:val="24"/>
        </w:rPr>
        <w:t xml:space="preserve">is entitled to governmental immunity under the Tort Claims </w:t>
      </w:r>
      <w:proofErr w:type="gramStart"/>
      <w:r w:rsidRPr="0039329F">
        <w:rPr>
          <w:rFonts w:ascii="Times New Roman" w:hAnsi="Times New Roman"/>
          <w:sz w:val="24"/>
          <w:szCs w:val="24"/>
        </w:rPr>
        <w:t>Act.</w:t>
      </w:r>
      <w:r>
        <w:rPr>
          <w:rFonts w:ascii="Times New Roman" w:hAnsi="Times New Roman"/>
          <w:sz w:val="24"/>
          <w:szCs w:val="24"/>
        </w:rPr>
        <w:t>”</w:t>
      </w:r>
      <w:proofErr w:type="gramEnd"/>
      <w:r>
        <w:rPr>
          <w:rFonts w:ascii="Times New Roman" w:hAnsi="Times New Roman"/>
          <w:sz w:val="24"/>
          <w:szCs w:val="24"/>
        </w:rPr>
        <w:t xml:space="preserve"> </w:t>
      </w:r>
    </w:p>
    <w:bookmarkStart w:id="19" w:name="_Hlk69187129"/>
    <w:p w14:paraId="542D6177" w14:textId="77777777" w:rsidR="00A672EE" w:rsidRDefault="000F483A" w:rsidP="00A672EE">
      <w:pPr>
        <w:pStyle w:val="NoSpacing"/>
        <w:rPr>
          <w:rFonts w:ascii="Times New Roman" w:hAnsi="Times New Roman"/>
          <w:sz w:val="24"/>
          <w:szCs w:val="24"/>
        </w:rPr>
      </w:pPr>
      <w:r>
        <w:fldChar w:fldCharType="begin"/>
      </w:r>
      <w:r>
        <w:instrText xml:space="preserve"> HYPERLINK "http://www.pacourts.us/assets/opinions/Commonwealth/out/1368CD19_7-9-20.pdf?cb=1" </w:instrText>
      </w:r>
      <w:r>
        <w:fldChar w:fldCharType="separate"/>
      </w:r>
      <w:r w:rsidR="00A672EE" w:rsidRPr="000603D4">
        <w:rPr>
          <w:rStyle w:val="Hyperlink"/>
          <w:rFonts w:ascii="Times New Roman" w:hAnsi="Times New Roman"/>
          <w:sz w:val="24"/>
          <w:szCs w:val="24"/>
        </w:rPr>
        <w:t>http://www.pacourts.us/assets/opinions/Commonwealth/out/1368CD19_7-9-20.pdf?cb=1</w:t>
      </w:r>
      <w:r>
        <w:rPr>
          <w:rStyle w:val="Hyperlink"/>
          <w:rFonts w:ascii="Times New Roman" w:hAnsi="Times New Roman"/>
          <w:sz w:val="24"/>
          <w:szCs w:val="24"/>
        </w:rPr>
        <w:fldChar w:fldCharType="end"/>
      </w:r>
    </w:p>
    <w:bookmarkEnd w:id="19"/>
    <w:p w14:paraId="1CDADCEA" w14:textId="77777777" w:rsidR="006B2083" w:rsidRDefault="006B2083" w:rsidP="006B2083">
      <w:pPr>
        <w:pStyle w:val="NoSpacing"/>
        <w:rPr>
          <w:rFonts w:ascii="Times New Roman" w:hAnsi="Times New Roman"/>
          <w:b/>
          <w:bCs/>
          <w:sz w:val="24"/>
          <w:szCs w:val="24"/>
        </w:rPr>
      </w:pPr>
    </w:p>
    <w:p w14:paraId="72E697F3" w14:textId="6B89B468" w:rsidR="006B2083" w:rsidRPr="008C3F94" w:rsidRDefault="006B2083" w:rsidP="006B2083">
      <w:pPr>
        <w:pStyle w:val="NoSpacing"/>
        <w:rPr>
          <w:rFonts w:ascii="Times New Roman" w:hAnsi="Times New Roman"/>
          <w:b/>
          <w:bCs/>
          <w:sz w:val="24"/>
          <w:szCs w:val="24"/>
        </w:rPr>
      </w:pPr>
      <w:r w:rsidRPr="008C3F94">
        <w:rPr>
          <w:rFonts w:ascii="Times New Roman" w:hAnsi="Times New Roman"/>
          <w:b/>
          <w:bCs/>
          <w:sz w:val="24"/>
          <w:szCs w:val="24"/>
        </w:rPr>
        <w:t>Legal Lessons Learned:</w:t>
      </w:r>
      <w:r>
        <w:rPr>
          <w:rFonts w:ascii="Times New Roman" w:hAnsi="Times New Roman"/>
          <w:b/>
          <w:bCs/>
          <w:sz w:val="24"/>
          <w:szCs w:val="24"/>
        </w:rPr>
        <w:t xml:space="preserve"> Tragic death of </w:t>
      </w:r>
      <w:proofErr w:type="gramStart"/>
      <w:r>
        <w:rPr>
          <w:rFonts w:ascii="Times New Roman" w:hAnsi="Times New Roman"/>
          <w:b/>
          <w:bCs/>
          <w:sz w:val="24"/>
          <w:szCs w:val="24"/>
        </w:rPr>
        <w:t>20-month old</w:t>
      </w:r>
      <w:proofErr w:type="gramEnd"/>
      <w:r>
        <w:rPr>
          <w:rFonts w:ascii="Times New Roman" w:hAnsi="Times New Roman"/>
          <w:b/>
          <w:bCs/>
          <w:sz w:val="24"/>
          <w:szCs w:val="24"/>
        </w:rPr>
        <w:t>; what is the Code requirement in your community for gates protecting an above-ground swimming pool?</w:t>
      </w:r>
    </w:p>
    <w:p w14:paraId="4A7FD04D" w14:textId="77777777" w:rsidR="00A672EE" w:rsidRDefault="00A672EE" w:rsidP="002B1283">
      <w:pPr>
        <w:rPr>
          <w:rFonts w:ascii="Arial Black" w:hAnsi="Arial Black"/>
          <w:b/>
          <w:sz w:val="24"/>
          <w:szCs w:val="24"/>
        </w:rPr>
      </w:pPr>
    </w:p>
    <w:p w14:paraId="10E5C038" w14:textId="316E5E0B" w:rsidR="00A672EE" w:rsidRDefault="00A672EE" w:rsidP="002B1283">
      <w:pPr>
        <w:rPr>
          <w:rFonts w:ascii="Arial Black" w:hAnsi="Arial Black"/>
          <w:b/>
          <w:sz w:val="24"/>
          <w:szCs w:val="24"/>
        </w:rPr>
      </w:pPr>
      <w:r>
        <w:rPr>
          <w:rFonts w:ascii="Arial Black" w:hAnsi="Arial Black"/>
          <w:b/>
          <w:sz w:val="24"/>
          <w:szCs w:val="24"/>
        </w:rPr>
        <w:t>1-59</w:t>
      </w:r>
    </w:p>
    <w:p w14:paraId="0327F69E" w14:textId="77777777" w:rsidR="00A672EE" w:rsidRPr="007F708E" w:rsidRDefault="00A672EE" w:rsidP="00A672EE">
      <w:pPr>
        <w:pStyle w:val="NoSpacing"/>
        <w:rPr>
          <w:rFonts w:ascii="Arial Black" w:hAnsi="Arial Black"/>
          <w:sz w:val="28"/>
          <w:szCs w:val="28"/>
        </w:rPr>
      </w:pPr>
      <w:r w:rsidRPr="007F708E">
        <w:rPr>
          <w:rFonts w:ascii="Arial Black" w:hAnsi="Arial Black"/>
          <w:sz w:val="28"/>
          <w:szCs w:val="28"/>
        </w:rPr>
        <w:t>A</w:t>
      </w:r>
      <w:r>
        <w:rPr>
          <w:rFonts w:ascii="Arial Black" w:hAnsi="Arial Black"/>
          <w:sz w:val="28"/>
          <w:szCs w:val="28"/>
        </w:rPr>
        <w:t xml:space="preserve">R: ARSON OF APARTMENTS – FINANCIAL FRAUD INVEST –DEFENDANTS CAN’T DEPOSE TUCSON FD INSPECTOR </w:t>
      </w:r>
    </w:p>
    <w:p w14:paraId="2F2CB7D5" w14:textId="77777777" w:rsidR="00A672EE" w:rsidRDefault="00A672EE" w:rsidP="00A672EE">
      <w:pPr>
        <w:pStyle w:val="NoSpacing"/>
      </w:pPr>
    </w:p>
    <w:p w14:paraId="61953534" w14:textId="77777777" w:rsidR="00A672EE" w:rsidRDefault="00A672EE" w:rsidP="00A672EE">
      <w:pPr>
        <w:pStyle w:val="NoSpacing"/>
        <w:rPr>
          <w:rFonts w:ascii="Times New Roman" w:eastAsia="Times New Roman" w:hAnsi="Times New Roman"/>
          <w:sz w:val="24"/>
          <w:szCs w:val="24"/>
        </w:rPr>
      </w:pPr>
      <w:r w:rsidRPr="003747BE">
        <w:rPr>
          <w:rFonts w:ascii="Times New Roman" w:hAnsi="Times New Roman"/>
          <w:sz w:val="24"/>
          <w:szCs w:val="24"/>
        </w:rPr>
        <w:t xml:space="preserve">On </w:t>
      </w:r>
      <w:r>
        <w:rPr>
          <w:rFonts w:ascii="Times New Roman" w:hAnsi="Times New Roman"/>
          <w:sz w:val="24"/>
          <w:szCs w:val="24"/>
        </w:rPr>
        <w:t xml:space="preserve">June 30, 2020, in </w:t>
      </w:r>
      <w:r w:rsidRPr="003747BE">
        <w:rPr>
          <w:rFonts w:ascii="Times New Roman" w:hAnsi="Times New Roman"/>
          <w:sz w:val="24"/>
          <w:szCs w:val="24"/>
          <w:u w:val="single"/>
        </w:rPr>
        <w:t>Greg Moore &amp; Patricia Moore v. Sean Garland, et al</w:t>
      </w:r>
      <w:r>
        <w:rPr>
          <w:rFonts w:ascii="Times New Roman" w:hAnsi="Times New Roman"/>
          <w:sz w:val="24"/>
          <w:szCs w:val="24"/>
        </w:rPr>
        <w:t>., U.S. District Court Judge Rosemary Marquez, District of Arizona, upheld the decision of the U.S. Magistrate Judge that two defendants arrested and awaiting trial, cannot use a civil lawsuit under 42 USC 1983 to take the deposition of the Tucson FD arson investigator, even after they received his report, since there is an ongoing financial fraud investigation.  Likewise, they cannot subpoena police department records that had been provided to insurance company investigators, or PD documents shared with IRS investigators  The District Court Judge agreed with the U.S. Magistrate, and held: “</w:t>
      </w:r>
      <w:r w:rsidRPr="00E9284B">
        <w:rPr>
          <w:rFonts w:ascii="Times New Roman" w:eastAsia="Times New Roman" w:hAnsi="Times New Roman"/>
          <w:sz w:val="24"/>
          <w:szCs w:val="24"/>
        </w:rPr>
        <w:t xml:space="preserve">The </w:t>
      </w:r>
    </w:p>
    <w:p w14:paraId="34270008" w14:textId="77777777" w:rsidR="00A672EE" w:rsidRPr="00E9284B" w:rsidRDefault="00A672EE" w:rsidP="00A672EE">
      <w:pPr>
        <w:pStyle w:val="NoSpacing"/>
        <w:rPr>
          <w:rFonts w:ascii="Times New Roman" w:eastAsia="Times New Roman" w:hAnsi="Times New Roman"/>
          <w:sz w:val="24"/>
          <w:szCs w:val="24"/>
        </w:rPr>
      </w:pPr>
      <w:r>
        <w:rPr>
          <w:rFonts w:ascii="Times New Roman" w:eastAsia="Times New Roman" w:hAnsi="Times New Roman"/>
          <w:sz w:val="24"/>
          <w:szCs w:val="24"/>
        </w:rPr>
        <w:t xml:space="preserve">[Magistrate’s] </w:t>
      </w:r>
      <w:r w:rsidRPr="00E9284B">
        <w:rPr>
          <w:rFonts w:ascii="Times New Roman" w:eastAsia="Times New Roman" w:hAnsi="Times New Roman"/>
          <w:sz w:val="24"/>
          <w:szCs w:val="24"/>
        </w:rPr>
        <w:t xml:space="preserve">Order notes that the City previously disclosed to Plaintiffs TFD Inspector Loya's fifteen-page report on the </w:t>
      </w:r>
      <w:proofErr w:type="spellStart"/>
      <w:r w:rsidRPr="00E9284B">
        <w:rPr>
          <w:rFonts w:ascii="Times New Roman" w:eastAsia="Times New Roman" w:hAnsi="Times New Roman"/>
          <w:sz w:val="24"/>
          <w:szCs w:val="24"/>
        </w:rPr>
        <w:t>Forgeus</w:t>
      </w:r>
      <w:proofErr w:type="spellEnd"/>
      <w:r w:rsidRPr="00E9284B">
        <w:rPr>
          <w:rFonts w:ascii="Times New Roman" w:eastAsia="Times New Roman" w:hAnsi="Times New Roman"/>
          <w:sz w:val="24"/>
          <w:szCs w:val="24"/>
        </w:rPr>
        <w:t xml:space="preserve"> fire </w:t>
      </w:r>
      <w:r>
        <w:rPr>
          <w:rFonts w:ascii="Times New Roman" w:eastAsia="Times New Roman" w:hAnsi="Times New Roman"/>
          <w:sz w:val="24"/>
          <w:szCs w:val="24"/>
        </w:rPr>
        <w:t xml:space="preserve">… </w:t>
      </w:r>
      <w:r w:rsidRPr="00E9284B">
        <w:rPr>
          <w:rFonts w:ascii="Times New Roman" w:eastAsia="Times New Roman" w:hAnsi="Times New Roman"/>
          <w:sz w:val="24"/>
          <w:szCs w:val="24"/>
        </w:rPr>
        <w:t xml:space="preserve">and holds, contrary to Plaintiffs' arguments, that </w:t>
      </w:r>
      <w:r>
        <w:rPr>
          <w:rFonts w:ascii="Times New Roman" w:eastAsia="Times New Roman" w:hAnsi="Times New Roman"/>
          <w:sz w:val="24"/>
          <w:szCs w:val="24"/>
        </w:rPr>
        <w:t>‘</w:t>
      </w:r>
      <w:r w:rsidRPr="00E9284B">
        <w:rPr>
          <w:rFonts w:ascii="Times New Roman" w:eastAsia="Times New Roman" w:hAnsi="Times New Roman"/>
          <w:sz w:val="24"/>
          <w:szCs w:val="24"/>
        </w:rPr>
        <w:t>in the context of the law enforcement privilege, the 'release of a document only waives the privilege for the document or information specifically released, and not for related materials.</w:t>
      </w:r>
      <w:r>
        <w:rPr>
          <w:rFonts w:ascii="Times New Roman" w:eastAsia="Times New Roman" w:hAnsi="Times New Roman"/>
          <w:sz w:val="24"/>
          <w:szCs w:val="24"/>
        </w:rPr>
        <w:t>’”</w:t>
      </w:r>
      <w:r w:rsidRPr="00E9284B">
        <w:t xml:space="preserve"> </w:t>
      </w:r>
      <w:hyperlink r:id="rId311" w:history="1">
        <w:r w:rsidRPr="00DE6B93">
          <w:rPr>
            <w:rStyle w:val="Hyperlink"/>
            <w:rFonts w:ascii="Times New Roman" w:hAnsi="Times New Roman"/>
            <w:sz w:val="24"/>
            <w:szCs w:val="24"/>
          </w:rPr>
          <w:t>https://public.fastcase.com/Wl%2B2t%2BeVuI35%2FN70vAMFZsoxzsfdSpYQWUHzr4LGn9%2B%2B5efEeYPRxdC77jaiEbzw</w:t>
        </w:r>
      </w:hyperlink>
      <w:r>
        <w:rPr>
          <w:rFonts w:ascii="Times New Roman" w:eastAsia="Times New Roman" w:hAnsi="Times New Roman"/>
          <w:sz w:val="24"/>
          <w:szCs w:val="24"/>
        </w:rPr>
        <w:t xml:space="preserve"> </w:t>
      </w:r>
    </w:p>
    <w:p w14:paraId="4377A2B9" w14:textId="77777777" w:rsidR="006B2083" w:rsidRDefault="006B2083" w:rsidP="006B2083">
      <w:pPr>
        <w:pStyle w:val="NoSpacing"/>
        <w:rPr>
          <w:rFonts w:ascii="Times New Roman" w:hAnsi="Times New Roman"/>
          <w:b/>
          <w:bCs/>
          <w:sz w:val="24"/>
          <w:szCs w:val="24"/>
        </w:rPr>
      </w:pPr>
    </w:p>
    <w:p w14:paraId="74A04206" w14:textId="1498C2D8" w:rsidR="006B2083" w:rsidRDefault="006B2083" w:rsidP="006B2083">
      <w:pPr>
        <w:pStyle w:val="NoSpacing"/>
        <w:rPr>
          <w:rFonts w:ascii="Arial Black" w:eastAsia="Times New Roman" w:hAnsi="Arial Black"/>
          <w:sz w:val="28"/>
          <w:szCs w:val="28"/>
        </w:rPr>
      </w:pPr>
      <w:r w:rsidRPr="0043496E">
        <w:rPr>
          <w:rFonts w:ascii="Times New Roman" w:hAnsi="Times New Roman"/>
          <w:b/>
          <w:bCs/>
          <w:sz w:val="24"/>
          <w:szCs w:val="24"/>
        </w:rPr>
        <w:t>Legal Lesson Learned:</w:t>
      </w:r>
      <w:r>
        <w:rPr>
          <w:rFonts w:ascii="Times New Roman" w:hAnsi="Times New Roman"/>
          <w:b/>
          <w:bCs/>
          <w:sz w:val="24"/>
          <w:szCs w:val="24"/>
        </w:rPr>
        <w:t xml:space="preserve"> The “law enforcement investigatory privilege” prevents defendants awaiting trial to use a civil lawsuit to obtain ongoing investigation records.</w:t>
      </w:r>
    </w:p>
    <w:p w14:paraId="38E18840" w14:textId="77777777" w:rsidR="00A672EE" w:rsidRDefault="00A672EE" w:rsidP="002B1283">
      <w:pPr>
        <w:rPr>
          <w:rFonts w:ascii="Arial Black" w:hAnsi="Arial Black"/>
          <w:b/>
          <w:sz w:val="24"/>
          <w:szCs w:val="24"/>
        </w:rPr>
      </w:pPr>
    </w:p>
    <w:p w14:paraId="4232BBF3" w14:textId="590BE874" w:rsidR="0020758F" w:rsidRDefault="0020758F" w:rsidP="002B1283">
      <w:pPr>
        <w:rPr>
          <w:rFonts w:ascii="Arial Black" w:hAnsi="Arial Black"/>
          <w:b/>
          <w:sz w:val="24"/>
          <w:szCs w:val="24"/>
        </w:rPr>
      </w:pPr>
      <w:r>
        <w:rPr>
          <w:rFonts w:ascii="Arial Black" w:hAnsi="Arial Black"/>
          <w:b/>
          <w:sz w:val="24"/>
          <w:szCs w:val="24"/>
        </w:rPr>
        <w:t>1-58</w:t>
      </w:r>
    </w:p>
    <w:p w14:paraId="6187A136" w14:textId="77777777" w:rsidR="0020758F" w:rsidRDefault="0020758F" w:rsidP="0020758F">
      <w:pPr>
        <w:pStyle w:val="Heading1"/>
        <w:rPr>
          <w:rFonts w:ascii="Arial Black" w:hAnsi="Arial Black"/>
          <w:sz w:val="28"/>
          <w:szCs w:val="28"/>
        </w:rPr>
      </w:pPr>
      <w:r w:rsidRPr="00423A7B">
        <w:rPr>
          <w:rFonts w:ascii="Arial Black" w:hAnsi="Arial Black"/>
          <w:sz w:val="28"/>
          <w:szCs w:val="28"/>
        </w:rPr>
        <w:lastRenderedPageBreak/>
        <w:t xml:space="preserve">NY: </w:t>
      </w:r>
      <w:r>
        <w:rPr>
          <w:rFonts w:ascii="Arial Black" w:hAnsi="Arial Black"/>
          <w:sz w:val="28"/>
          <w:szCs w:val="28"/>
        </w:rPr>
        <w:t xml:space="preserve">QUALIFIED IMMUNITY – HOT TOPIC FOR CONGESS - NYPD USED TASER TWICE – $30,000 PUNITIVE DAMAGES </w:t>
      </w:r>
    </w:p>
    <w:p w14:paraId="2B4073C7" w14:textId="77777777" w:rsidR="0020758F" w:rsidRDefault="0020758F" w:rsidP="0020758F">
      <w:pPr>
        <w:pStyle w:val="Heading1"/>
        <w:rPr>
          <w:b w:val="0"/>
          <w:bCs w:val="0"/>
          <w:sz w:val="24"/>
          <w:szCs w:val="24"/>
        </w:rPr>
      </w:pPr>
      <w:r w:rsidRPr="0011766A">
        <w:rPr>
          <w:b w:val="0"/>
          <w:bCs w:val="0"/>
          <w:sz w:val="24"/>
          <w:szCs w:val="24"/>
        </w:rPr>
        <w:t xml:space="preserve">On June 26, 2020, in </w:t>
      </w:r>
      <w:r w:rsidRPr="0011766A">
        <w:rPr>
          <w:b w:val="0"/>
          <w:bCs w:val="0"/>
          <w:sz w:val="24"/>
          <w:szCs w:val="24"/>
          <w:u w:val="single"/>
        </w:rPr>
        <w:t>Matthew Jones v. Lieutenant Christopher Treubig</w:t>
      </w:r>
      <w:r>
        <w:rPr>
          <w:b w:val="0"/>
          <w:bCs w:val="0"/>
          <w:sz w:val="24"/>
          <w:szCs w:val="24"/>
        </w:rPr>
        <w:t xml:space="preserve">, the U.S. Court of Appeals for the Second Circuit [NYC], held 3 to 0, that the U. S. District Court improperly set aside the jury verdict since the Lieutenant’s conduct of using taser twice on a suspect held by other officers on the ground was a clear constitutional violation.  </w:t>
      </w:r>
      <w:r w:rsidRPr="008017E3">
        <w:rPr>
          <w:b w:val="0"/>
          <w:bCs w:val="0"/>
          <w:sz w:val="24"/>
          <w:szCs w:val="24"/>
        </w:rPr>
        <w:t>“In sum, upon a review of the relevant legal authority, we hold that it was clearly established as of April 2015 that a police officer cannot use significant force, such as a taser, against an individual who is no longer resisting or posing a threat to the officers or others.”</w:t>
      </w:r>
      <w:r>
        <w:rPr>
          <w:sz w:val="33"/>
          <w:szCs w:val="33"/>
        </w:rPr>
        <w:t xml:space="preserve"> </w:t>
      </w:r>
      <w:hyperlink r:id="rId312" w:anchor="xml=https://www.ca2.uscourts.gov/decisions/isysquery/93d429af-6bc3-4a16-b287-422f5179acac/1/hilite/" w:history="1">
        <w:r w:rsidRPr="00E3681F">
          <w:rPr>
            <w:rStyle w:val="Hyperlink"/>
            <w:sz w:val="24"/>
            <w:szCs w:val="24"/>
          </w:rPr>
          <w:t>https://www.ca2.uscourts.gov/decisions/isysquery/93d429af-6bc3-4a16-b287-422f5179acac/1/doc/18-3775_opn.pdf#xml=https://www.ca2.uscourts.gov/decisions/isysquery/93d429af-6bc3-4a16-b287-422f5179acac/1/hilite/</w:t>
        </w:r>
      </w:hyperlink>
      <w:r>
        <w:rPr>
          <w:b w:val="0"/>
          <w:bCs w:val="0"/>
          <w:sz w:val="24"/>
          <w:szCs w:val="24"/>
        </w:rPr>
        <w:t xml:space="preserve"> </w:t>
      </w:r>
    </w:p>
    <w:p w14:paraId="006CEC62" w14:textId="77777777" w:rsidR="0020758F" w:rsidRPr="008017E3" w:rsidRDefault="0020758F" w:rsidP="0020758F">
      <w:pPr>
        <w:pStyle w:val="NoSpacing"/>
        <w:rPr>
          <w:rFonts w:ascii="Times New Roman" w:hAnsi="Times New Roman"/>
          <w:b/>
          <w:bCs/>
          <w:sz w:val="24"/>
          <w:szCs w:val="24"/>
        </w:rPr>
      </w:pPr>
      <w:r w:rsidRPr="0039343F">
        <w:rPr>
          <w:rFonts w:ascii="Times New Roman" w:hAnsi="Times New Roman"/>
          <w:b/>
          <w:bCs/>
          <w:sz w:val="24"/>
          <w:szCs w:val="24"/>
        </w:rPr>
        <w:t>Legal Lessons Learned:</w:t>
      </w:r>
      <w:r w:rsidRPr="00601B27">
        <w:t xml:space="preserve"> </w:t>
      </w:r>
      <w:r>
        <w:t xml:space="preserve"> </w:t>
      </w:r>
      <w:r w:rsidRPr="0039343F">
        <w:rPr>
          <w:rFonts w:ascii="Times New Roman" w:hAnsi="Times New Roman"/>
          <w:b/>
          <w:bCs/>
          <w:sz w:val="24"/>
          <w:szCs w:val="24"/>
        </w:rPr>
        <w:t xml:space="preserve">The “qualified immunity” doctrine has protected not only police officers, but also fire &amp; EMS from personal liability, with many lawsuits being dismissed prior to trial.  </w:t>
      </w:r>
      <w:r>
        <w:rPr>
          <w:rFonts w:ascii="Times New Roman" w:hAnsi="Times New Roman"/>
          <w:b/>
          <w:bCs/>
          <w:sz w:val="24"/>
          <w:szCs w:val="24"/>
        </w:rPr>
        <w:t xml:space="preserve">In litigation in federal court, and in many states, if the trial judge denies the motion to dismiss, there normally can be an immediate appeal by the public employee and employer to the Court of Appeals [in this case a pre-trial motion was apparently not filed]. </w:t>
      </w:r>
    </w:p>
    <w:p w14:paraId="6DB52153" w14:textId="77777777" w:rsidR="0020758F" w:rsidRDefault="0020758F" w:rsidP="0020758F">
      <w:pPr>
        <w:pStyle w:val="NoSpacing"/>
        <w:rPr>
          <w:rFonts w:ascii="Times New Roman" w:hAnsi="Times New Roman"/>
          <w:b/>
          <w:bCs/>
          <w:sz w:val="24"/>
          <w:szCs w:val="24"/>
        </w:rPr>
      </w:pPr>
    </w:p>
    <w:p w14:paraId="11B612FA" w14:textId="7A68AA41" w:rsidR="0020758F" w:rsidRDefault="0020758F" w:rsidP="0020758F">
      <w:pPr>
        <w:rPr>
          <w:rStyle w:val="Hyperlink"/>
          <w:rFonts w:ascii="Times New Roman" w:hAnsi="Times New Roman"/>
          <w:sz w:val="24"/>
          <w:szCs w:val="24"/>
        </w:rPr>
      </w:pPr>
      <w:r w:rsidRPr="008017E3">
        <w:rPr>
          <w:rFonts w:ascii="Times New Roman" w:hAnsi="Times New Roman"/>
          <w:sz w:val="24"/>
          <w:szCs w:val="24"/>
        </w:rPr>
        <w:t xml:space="preserve">Note: Following the death of George Floyd in Minneapolis, Congress is current considering enacting several bills to either amend or virtually eliminate the qualified immunity doctrine.  See article, June 19, 2020, “Republican rift opens up </w:t>
      </w:r>
      <w:proofErr w:type="gramStart"/>
      <w:r w:rsidRPr="008017E3">
        <w:rPr>
          <w:rFonts w:ascii="Times New Roman" w:hAnsi="Times New Roman"/>
          <w:sz w:val="24"/>
          <w:szCs w:val="24"/>
        </w:rPr>
        <w:t>over qualified</w:t>
      </w:r>
      <w:proofErr w:type="gramEnd"/>
      <w:r w:rsidRPr="008017E3">
        <w:rPr>
          <w:rFonts w:ascii="Times New Roman" w:hAnsi="Times New Roman"/>
          <w:sz w:val="24"/>
          <w:szCs w:val="24"/>
        </w:rPr>
        <w:t xml:space="preserve"> immunity for police.” </w:t>
      </w:r>
      <w:hyperlink r:id="rId313" w:history="1">
        <w:r w:rsidRPr="00E3681F">
          <w:rPr>
            <w:rStyle w:val="Hyperlink"/>
            <w:rFonts w:ascii="Times New Roman" w:hAnsi="Times New Roman"/>
            <w:sz w:val="24"/>
            <w:szCs w:val="24"/>
          </w:rPr>
          <w:t>https://thehill.com/homenews/senate/503496-republican-rift-opens-up-over-qualified-immunity-for-police</w:t>
        </w:r>
      </w:hyperlink>
    </w:p>
    <w:p w14:paraId="1C588104" w14:textId="77777777" w:rsidR="0020758F" w:rsidRDefault="0020758F" w:rsidP="0020758F">
      <w:pPr>
        <w:rPr>
          <w:rFonts w:ascii="Arial Black" w:hAnsi="Arial Black"/>
          <w:b/>
          <w:sz w:val="24"/>
          <w:szCs w:val="24"/>
        </w:rPr>
      </w:pPr>
    </w:p>
    <w:p w14:paraId="6FD10F59" w14:textId="4583C317" w:rsidR="0020758F" w:rsidRDefault="0020758F" w:rsidP="002B1283">
      <w:pPr>
        <w:rPr>
          <w:rFonts w:ascii="Arial Black" w:hAnsi="Arial Black"/>
          <w:b/>
          <w:sz w:val="24"/>
          <w:szCs w:val="24"/>
        </w:rPr>
      </w:pPr>
      <w:r>
        <w:rPr>
          <w:rFonts w:ascii="Arial Black" w:hAnsi="Arial Black"/>
          <w:b/>
          <w:sz w:val="24"/>
          <w:szCs w:val="24"/>
        </w:rPr>
        <w:t>1-57</w:t>
      </w:r>
    </w:p>
    <w:p w14:paraId="1E5A20DB" w14:textId="77777777" w:rsidR="0020758F" w:rsidRDefault="0020758F" w:rsidP="0020758F">
      <w:pPr>
        <w:pStyle w:val="NoSpacing"/>
        <w:rPr>
          <w:rFonts w:ascii="Arial Black" w:hAnsi="Arial Black"/>
          <w:sz w:val="28"/>
          <w:szCs w:val="28"/>
        </w:rPr>
      </w:pPr>
      <w:r w:rsidRPr="00A4095D">
        <w:rPr>
          <w:rFonts w:ascii="Arial Black" w:hAnsi="Arial Black"/>
          <w:sz w:val="28"/>
          <w:szCs w:val="28"/>
        </w:rPr>
        <w:t xml:space="preserve">MI: </w:t>
      </w:r>
      <w:r>
        <w:rPr>
          <w:rFonts w:ascii="Arial Black" w:hAnsi="Arial Black"/>
          <w:sz w:val="28"/>
          <w:szCs w:val="28"/>
        </w:rPr>
        <w:t>QUALIFIED IMMUNITY – DENIED UNIV. OF MICH. FOOTBALL GAME - “DRUNK” FAN – PD EXCESSIVE FORCE</w:t>
      </w:r>
    </w:p>
    <w:p w14:paraId="02AB3A78" w14:textId="77777777" w:rsidR="0020758F" w:rsidRDefault="0020758F" w:rsidP="0020758F">
      <w:pPr>
        <w:pStyle w:val="NoSpacing"/>
        <w:rPr>
          <w:rFonts w:ascii="Arial Black" w:hAnsi="Arial Black"/>
          <w:sz w:val="28"/>
          <w:szCs w:val="28"/>
        </w:rPr>
      </w:pPr>
    </w:p>
    <w:p w14:paraId="7DEEB6F3" w14:textId="77777777" w:rsidR="0020758F" w:rsidRDefault="0020758F" w:rsidP="0020758F">
      <w:pPr>
        <w:pStyle w:val="NoSpacing"/>
        <w:rPr>
          <w:rFonts w:ascii="Times New Roman" w:hAnsi="Times New Roman"/>
          <w:sz w:val="24"/>
          <w:szCs w:val="24"/>
        </w:rPr>
      </w:pPr>
      <w:r w:rsidRPr="00055D56">
        <w:rPr>
          <w:rFonts w:ascii="Times New Roman" w:hAnsi="Times New Roman"/>
          <w:sz w:val="24"/>
          <w:szCs w:val="24"/>
        </w:rPr>
        <w:t>On</w:t>
      </w:r>
      <w:r>
        <w:rPr>
          <w:rFonts w:ascii="Times New Roman" w:hAnsi="Times New Roman"/>
          <w:sz w:val="24"/>
          <w:szCs w:val="24"/>
        </w:rPr>
        <w:t xml:space="preserve"> June 24, 2020, in </w:t>
      </w:r>
      <w:r w:rsidRPr="00055D56">
        <w:rPr>
          <w:rFonts w:ascii="Times New Roman" w:hAnsi="Times New Roman"/>
          <w:sz w:val="24"/>
          <w:szCs w:val="24"/>
          <w:u w:val="single"/>
        </w:rPr>
        <w:t>Bryan Richards v. County of Washtenaw, et al. &amp; Justin Berent</w:t>
      </w:r>
      <w:r>
        <w:rPr>
          <w:rFonts w:ascii="Times New Roman" w:hAnsi="Times New Roman"/>
          <w:sz w:val="24"/>
          <w:szCs w:val="24"/>
        </w:rPr>
        <w:t>, the U,S. Court of Appeals for the 6</w:t>
      </w:r>
      <w:r w:rsidRPr="00055D56">
        <w:rPr>
          <w:rFonts w:ascii="Times New Roman" w:hAnsi="Times New Roman"/>
          <w:sz w:val="24"/>
          <w:szCs w:val="24"/>
          <w:vertAlign w:val="superscript"/>
        </w:rPr>
        <w:t>th</w:t>
      </w:r>
      <w:r>
        <w:rPr>
          <w:rFonts w:ascii="Times New Roman" w:hAnsi="Times New Roman"/>
          <w:sz w:val="24"/>
          <w:szCs w:val="24"/>
        </w:rPr>
        <w:t xml:space="preserve"> Circuit (Cincinnati) held (3 to 0) that the arresting officers enjoy qualified immunity for their arresting the fan for assaulting the uniformed medic in football stadium’s medical office, but the lawsuit may proceed for excessive force.  The 6</w:t>
      </w:r>
      <w:r w:rsidRPr="00452277">
        <w:rPr>
          <w:rFonts w:ascii="Times New Roman" w:hAnsi="Times New Roman"/>
          <w:sz w:val="24"/>
          <w:szCs w:val="24"/>
          <w:vertAlign w:val="superscript"/>
        </w:rPr>
        <w:t>th</w:t>
      </w:r>
      <w:r>
        <w:rPr>
          <w:rFonts w:ascii="Times New Roman" w:hAnsi="Times New Roman"/>
          <w:sz w:val="24"/>
          <w:szCs w:val="24"/>
        </w:rPr>
        <w:t xml:space="preserve"> Circuit held: “</w:t>
      </w:r>
      <w:r w:rsidRPr="007D0BEC">
        <w:rPr>
          <w:rFonts w:ascii="Times New Roman" w:hAnsi="Times New Roman"/>
          <w:sz w:val="24"/>
          <w:szCs w:val="24"/>
        </w:rPr>
        <w:t>Richards</w:t>
      </w:r>
      <w:r>
        <w:rPr>
          <w:rFonts w:ascii="Times New Roman" w:hAnsi="Times New Roman"/>
          <w:sz w:val="24"/>
          <w:szCs w:val="24"/>
        </w:rPr>
        <w:t xml:space="preserve"> </w:t>
      </w:r>
      <w:r w:rsidRPr="007D0BEC">
        <w:rPr>
          <w:rFonts w:ascii="Times New Roman" w:hAnsi="Times New Roman"/>
          <w:sz w:val="24"/>
          <w:szCs w:val="24"/>
        </w:rPr>
        <w:t>says he was never told he was under arrest and there was not enough time</w:t>
      </w:r>
      <w:r>
        <w:rPr>
          <w:rFonts w:ascii="Times New Roman" w:hAnsi="Times New Roman"/>
          <w:sz w:val="24"/>
          <w:szCs w:val="24"/>
        </w:rPr>
        <w:t xml:space="preserve"> </w:t>
      </w:r>
      <w:r w:rsidRPr="007D0BEC">
        <w:rPr>
          <w:rFonts w:ascii="Times New Roman" w:hAnsi="Times New Roman"/>
          <w:sz w:val="24"/>
          <w:szCs w:val="24"/>
        </w:rPr>
        <w:t>for him</w:t>
      </w:r>
      <w:r>
        <w:rPr>
          <w:rFonts w:ascii="Times New Roman" w:hAnsi="Times New Roman"/>
          <w:sz w:val="24"/>
          <w:szCs w:val="24"/>
        </w:rPr>
        <w:t xml:space="preserve"> </w:t>
      </w:r>
      <w:r w:rsidRPr="007D0BEC">
        <w:rPr>
          <w:rFonts w:ascii="Times New Roman" w:hAnsi="Times New Roman"/>
          <w:sz w:val="24"/>
          <w:szCs w:val="24"/>
        </w:rPr>
        <w:t>to</w:t>
      </w:r>
      <w:r>
        <w:rPr>
          <w:rFonts w:ascii="Times New Roman" w:hAnsi="Times New Roman"/>
          <w:sz w:val="24"/>
          <w:szCs w:val="24"/>
        </w:rPr>
        <w:t xml:space="preserve"> </w:t>
      </w:r>
      <w:r w:rsidRPr="007D0BEC">
        <w:rPr>
          <w:rFonts w:ascii="Times New Roman" w:hAnsi="Times New Roman"/>
          <w:sz w:val="24"/>
          <w:szCs w:val="24"/>
        </w:rPr>
        <w:t>have</w:t>
      </w:r>
      <w:r>
        <w:rPr>
          <w:rFonts w:ascii="Times New Roman" w:hAnsi="Times New Roman"/>
          <w:sz w:val="24"/>
          <w:szCs w:val="24"/>
        </w:rPr>
        <w:t xml:space="preserve"> </w:t>
      </w:r>
      <w:r w:rsidRPr="007D0BEC">
        <w:rPr>
          <w:rFonts w:ascii="Times New Roman" w:hAnsi="Times New Roman"/>
          <w:sz w:val="24"/>
          <w:szCs w:val="24"/>
        </w:rPr>
        <w:t>resisted</w:t>
      </w:r>
      <w:r>
        <w:rPr>
          <w:rFonts w:ascii="Times New Roman" w:hAnsi="Times New Roman"/>
          <w:sz w:val="24"/>
          <w:szCs w:val="24"/>
        </w:rPr>
        <w:t xml:space="preserve"> </w:t>
      </w:r>
      <w:r w:rsidRPr="007D0BEC">
        <w:rPr>
          <w:rFonts w:ascii="Times New Roman" w:hAnsi="Times New Roman"/>
          <w:sz w:val="24"/>
          <w:szCs w:val="24"/>
        </w:rPr>
        <w:t>the officers</w:t>
      </w:r>
      <w:r>
        <w:rPr>
          <w:rFonts w:ascii="Times New Roman" w:hAnsi="Times New Roman"/>
          <w:sz w:val="24"/>
          <w:szCs w:val="24"/>
        </w:rPr>
        <w:t xml:space="preserve"> </w:t>
      </w:r>
      <w:r w:rsidRPr="007D0BEC">
        <w:rPr>
          <w:rFonts w:ascii="Times New Roman" w:hAnsi="Times New Roman"/>
          <w:sz w:val="24"/>
          <w:szCs w:val="24"/>
        </w:rPr>
        <w:t>as they</w:t>
      </w:r>
      <w:r>
        <w:rPr>
          <w:rFonts w:ascii="Times New Roman" w:hAnsi="Times New Roman"/>
          <w:sz w:val="24"/>
          <w:szCs w:val="24"/>
        </w:rPr>
        <w:t xml:space="preserve"> </w:t>
      </w:r>
      <w:r w:rsidRPr="007D0BEC">
        <w:rPr>
          <w:rFonts w:ascii="Times New Roman" w:hAnsi="Times New Roman"/>
          <w:sz w:val="24"/>
          <w:szCs w:val="24"/>
        </w:rPr>
        <w:t>immediately converged on him upon</w:t>
      </w:r>
      <w:r>
        <w:rPr>
          <w:rFonts w:ascii="Times New Roman" w:hAnsi="Times New Roman"/>
          <w:sz w:val="24"/>
          <w:szCs w:val="24"/>
        </w:rPr>
        <w:t xml:space="preserve"> </w:t>
      </w:r>
      <w:r w:rsidRPr="007D0BEC">
        <w:rPr>
          <w:rFonts w:ascii="Times New Roman" w:hAnsi="Times New Roman"/>
          <w:sz w:val="24"/>
          <w:szCs w:val="24"/>
        </w:rPr>
        <w:t xml:space="preserve">entering the medical area. Berent acknowledges that he did not order Richards to stop before moving in for the arrest; and while Berent stated that he told Richards to </w:t>
      </w:r>
      <w:r>
        <w:rPr>
          <w:rFonts w:ascii="Times New Roman" w:hAnsi="Times New Roman"/>
          <w:sz w:val="24"/>
          <w:szCs w:val="24"/>
        </w:rPr>
        <w:t>‘</w:t>
      </w:r>
      <w:r w:rsidRPr="007D0BEC">
        <w:rPr>
          <w:rFonts w:ascii="Times New Roman" w:hAnsi="Times New Roman"/>
          <w:sz w:val="24"/>
          <w:szCs w:val="24"/>
        </w:rPr>
        <w:t>stop resistin</w:t>
      </w:r>
      <w:r>
        <w:rPr>
          <w:rFonts w:ascii="Times New Roman" w:hAnsi="Times New Roman"/>
          <w:sz w:val="24"/>
          <w:szCs w:val="24"/>
        </w:rPr>
        <w:t>g’</w:t>
      </w:r>
      <w:r w:rsidRPr="007D0BEC">
        <w:rPr>
          <w:rFonts w:ascii="Times New Roman" w:hAnsi="Times New Roman"/>
          <w:sz w:val="24"/>
          <w:szCs w:val="24"/>
        </w:rPr>
        <w:t xml:space="preserve"> several times</w:t>
      </w:r>
      <w:r>
        <w:rPr>
          <w:rFonts w:ascii="Times New Roman" w:hAnsi="Times New Roman"/>
          <w:sz w:val="24"/>
          <w:szCs w:val="24"/>
        </w:rPr>
        <w:t xml:space="preserve"> </w:t>
      </w:r>
      <w:r w:rsidRPr="007D0BEC">
        <w:rPr>
          <w:rFonts w:ascii="Times New Roman" w:hAnsi="Times New Roman"/>
          <w:sz w:val="24"/>
          <w:szCs w:val="24"/>
        </w:rPr>
        <w:t>before the officers took Richards to the ground,</w:t>
      </w:r>
      <w:r>
        <w:rPr>
          <w:rFonts w:ascii="Times New Roman" w:hAnsi="Times New Roman"/>
          <w:sz w:val="24"/>
          <w:szCs w:val="24"/>
        </w:rPr>
        <w:t xml:space="preserve"> </w:t>
      </w:r>
      <w:r w:rsidRPr="007D0BEC">
        <w:rPr>
          <w:rFonts w:ascii="Times New Roman" w:hAnsi="Times New Roman"/>
          <w:sz w:val="24"/>
          <w:szCs w:val="24"/>
        </w:rPr>
        <w:t>Richards denies</w:t>
      </w:r>
      <w:r>
        <w:rPr>
          <w:rFonts w:ascii="Times New Roman" w:hAnsi="Times New Roman"/>
          <w:sz w:val="24"/>
          <w:szCs w:val="24"/>
        </w:rPr>
        <w:t xml:space="preserve"> </w:t>
      </w:r>
      <w:r w:rsidRPr="007D0BEC">
        <w:rPr>
          <w:rFonts w:ascii="Times New Roman" w:hAnsi="Times New Roman"/>
          <w:sz w:val="24"/>
          <w:szCs w:val="24"/>
        </w:rPr>
        <w:t>this fact. Richards further testified that, while he was on the ground, he could not comply with any</w:t>
      </w:r>
      <w:r>
        <w:rPr>
          <w:rFonts w:ascii="Times New Roman" w:hAnsi="Times New Roman"/>
          <w:sz w:val="24"/>
          <w:szCs w:val="24"/>
        </w:rPr>
        <w:t xml:space="preserve"> </w:t>
      </w:r>
      <w:r w:rsidRPr="007D0BEC">
        <w:rPr>
          <w:rFonts w:ascii="Times New Roman" w:hAnsi="Times New Roman"/>
          <w:sz w:val="24"/>
          <w:szCs w:val="24"/>
        </w:rPr>
        <w:t>commands to place his hands behind his back as his arms were pinned beneath him.</w:t>
      </w:r>
      <w:r>
        <w:rPr>
          <w:rFonts w:ascii="Times New Roman" w:hAnsi="Times New Roman"/>
          <w:sz w:val="24"/>
          <w:szCs w:val="24"/>
        </w:rPr>
        <w:t>”</w:t>
      </w:r>
    </w:p>
    <w:p w14:paraId="49ED92AC" w14:textId="77777777" w:rsidR="0020758F" w:rsidRPr="007D0BEC" w:rsidRDefault="0020758F" w:rsidP="0020758F">
      <w:pPr>
        <w:pStyle w:val="NoSpacing"/>
        <w:rPr>
          <w:rFonts w:ascii="Times New Roman" w:hAnsi="Times New Roman"/>
          <w:sz w:val="24"/>
          <w:szCs w:val="24"/>
        </w:rPr>
      </w:pPr>
      <w:hyperlink r:id="rId314" w:history="1">
        <w:r w:rsidRPr="0037669D">
          <w:rPr>
            <w:rStyle w:val="Hyperlink"/>
            <w:rFonts w:ascii="Times New Roman" w:hAnsi="Times New Roman"/>
            <w:sz w:val="24"/>
            <w:szCs w:val="24"/>
          </w:rPr>
          <w:t>https://www.opn.ca6.uscourts.gov/opinions.pdf/20a0374n-06.pdf</w:t>
        </w:r>
      </w:hyperlink>
      <w:r>
        <w:rPr>
          <w:rFonts w:ascii="Times New Roman" w:hAnsi="Times New Roman"/>
          <w:sz w:val="24"/>
          <w:szCs w:val="24"/>
        </w:rPr>
        <w:t xml:space="preserve"> </w:t>
      </w:r>
    </w:p>
    <w:p w14:paraId="71828512" w14:textId="77777777" w:rsidR="0020758F" w:rsidRDefault="0020758F" w:rsidP="0020758F">
      <w:pPr>
        <w:pStyle w:val="NoSpacing"/>
        <w:rPr>
          <w:rFonts w:ascii="Times New Roman" w:hAnsi="Times New Roman"/>
          <w:b/>
          <w:bCs/>
          <w:sz w:val="24"/>
          <w:szCs w:val="24"/>
        </w:rPr>
      </w:pPr>
    </w:p>
    <w:p w14:paraId="04789D8B" w14:textId="30D83553" w:rsidR="0020758F" w:rsidRPr="00355FF4" w:rsidRDefault="0020758F" w:rsidP="0020758F">
      <w:pPr>
        <w:pStyle w:val="NoSpacing"/>
        <w:rPr>
          <w:rFonts w:ascii="Times New Roman" w:hAnsi="Times New Roman"/>
          <w:b/>
          <w:bCs/>
          <w:sz w:val="24"/>
          <w:szCs w:val="24"/>
        </w:rPr>
      </w:pPr>
      <w:r w:rsidRPr="00355FF4">
        <w:rPr>
          <w:rFonts w:ascii="Times New Roman" w:hAnsi="Times New Roman"/>
          <w:b/>
          <w:bCs/>
          <w:sz w:val="24"/>
          <w:szCs w:val="24"/>
        </w:rPr>
        <w:t xml:space="preserve">Legal Lessons Learned: </w:t>
      </w:r>
      <w:r>
        <w:rPr>
          <w:rFonts w:ascii="Times New Roman" w:hAnsi="Times New Roman"/>
          <w:b/>
          <w:bCs/>
          <w:sz w:val="24"/>
          <w:szCs w:val="24"/>
        </w:rPr>
        <w:t xml:space="preserve"> Consider installing video cameras in the football stadium medical office. </w:t>
      </w:r>
    </w:p>
    <w:p w14:paraId="264D746F" w14:textId="77777777" w:rsidR="0020758F" w:rsidRDefault="0020758F" w:rsidP="002B1283">
      <w:pPr>
        <w:rPr>
          <w:rFonts w:ascii="Arial Black" w:hAnsi="Arial Black"/>
          <w:b/>
          <w:sz w:val="24"/>
          <w:szCs w:val="24"/>
        </w:rPr>
      </w:pPr>
    </w:p>
    <w:p w14:paraId="3CB11191" w14:textId="4246C4F7" w:rsidR="0020758F" w:rsidRDefault="0020758F" w:rsidP="002B1283">
      <w:pPr>
        <w:rPr>
          <w:rFonts w:ascii="Arial Black" w:hAnsi="Arial Black"/>
          <w:b/>
          <w:sz w:val="24"/>
          <w:szCs w:val="24"/>
        </w:rPr>
      </w:pPr>
      <w:r>
        <w:rPr>
          <w:rFonts w:ascii="Arial Black" w:hAnsi="Arial Black"/>
          <w:b/>
          <w:sz w:val="24"/>
          <w:szCs w:val="24"/>
        </w:rPr>
        <w:t>1-56</w:t>
      </w:r>
    </w:p>
    <w:p w14:paraId="1BDC48CD" w14:textId="77777777" w:rsidR="0020758F" w:rsidRPr="007C314B" w:rsidRDefault="0020758F" w:rsidP="0020758F">
      <w:pPr>
        <w:pStyle w:val="NoSpacing"/>
      </w:pPr>
      <w:r w:rsidRPr="007C314B">
        <w:rPr>
          <w:rFonts w:ascii="Arial Black" w:hAnsi="Arial Black"/>
          <w:b/>
          <w:bCs/>
          <w:sz w:val="28"/>
          <w:szCs w:val="28"/>
        </w:rPr>
        <w:lastRenderedPageBreak/>
        <w:t>O</w:t>
      </w:r>
      <w:r>
        <w:rPr>
          <w:rFonts w:ascii="Arial Black" w:hAnsi="Arial Black"/>
          <w:b/>
          <w:bCs/>
          <w:sz w:val="28"/>
          <w:szCs w:val="28"/>
        </w:rPr>
        <w:t xml:space="preserve">H: TWO ARSON INVEST. TESTIFIED CAUSE &amp; ORIGIN – STRONG CASE – TRIAL JUDGE ALLOWED TESTIFY WITHOUT FIRST BEING QUALIFIED AS “EXPERT WITNESSES” </w:t>
      </w:r>
      <w:r w:rsidRPr="007C314B">
        <w:t xml:space="preserve"> </w:t>
      </w:r>
    </w:p>
    <w:p w14:paraId="6CE1AAA6" w14:textId="77777777" w:rsidR="0020758F" w:rsidRDefault="0020758F" w:rsidP="0020758F">
      <w:pPr>
        <w:spacing w:before="100" w:beforeAutospacing="1" w:after="100" w:afterAutospacing="1" w:line="240" w:lineRule="auto"/>
        <w:rPr>
          <w:rFonts w:ascii="Times New Roman" w:hAnsi="Times New Roman"/>
          <w:sz w:val="24"/>
          <w:szCs w:val="24"/>
        </w:rPr>
      </w:pPr>
      <w:r w:rsidRPr="007C314B">
        <w:rPr>
          <w:rFonts w:ascii="Times New Roman" w:hAnsi="Times New Roman"/>
          <w:sz w:val="24"/>
          <w:szCs w:val="24"/>
        </w:rPr>
        <w:t xml:space="preserve">On </w:t>
      </w:r>
      <w:r>
        <w:rPr>
          <w:rFonts w:ascii="Times New Roman" w:hAnsi="Times New Roman"/>
          <w:sz w:val="24"/>
          <w:szCs w:val="24"/>
        </w:rPr>
        <w:t xml:space="preserve">June 3, 2020, in </w:t>
      </w:r>
      <w:r w:rsidRPr="007C314B">
        <w:rPr>
          <w:rFonts w:ascii="Times New Roman" w:hAnsi="Times New Roman"/>
          <w:sz w:val="24"/>
          <w:szCs w:val="24"/>
          <w:u w:val="single"/>
        </w:rPr>
        <w:t xml:space="preserve">State of Ohio v. </w:t>
      </w:r>
      <w:proofErr w:type="spellStart"/>
      <w:r w:rsidRPr="007C314B">
        <w:rPr>
          <w:rFonts w:ascii="Times New Roman" w:hAnsi="Times New Roman"/>
          <w:sz w:val="24"/>
          <w:szCs w:val="24"/>
          <w:u w:val="single"/>
        </w:rPr>
        <w:t>Jauvaughn</w:t>
      </w:r>
      <w:proofErr w:type="spellEnd"/>
      <w:r w:rsidRPr="007C314B">
        <w:rPr>
          <w:rFonts w:ascii="Times New Roman" w:hAnsi="Times New Roman"/>
          <w:sz w:val="24"/>
          <w:szCs w:val="24"/>
          <w:u w:val="single"/>
        </w:rPr>
        <w:t xml:space="preserve"> Penn</w:t>
      </w:r>
      <w:r>
        <w:rPr>
          <w:rFonts w:ascii="Times New Roman" w:hAnsi="Times New Roman"/>
          <w:sz w:val="24"/>
          <w:szCs w:val="24"/>
        </w:rPr>
        <w:t xml:space="preserve">, the Court of Appeals Ninth Judicial District (Summit County), 2020 Ohio 3158, held (2 to 1) that defendant’s jury conviction of aggravated arson and burglary was affirmed. </w:t>
      </w:r>
      <w:r w:rsidRPr="00DB083C">
        <w:rPr>
          <w:rFonts w:ascii="Times New Roman" w:hAnsi="Times New Roman"/>
          <w:sz w:val="24"/>
          <w:szCs w:val="24"/>
        </w:rPr>
        <w:t xml:space="preserve">The Court </w:t>
      </w:r>
      <w:r>
        <w:rPr>
          <w:rFonts w:ascii="Times New Roman" w:hAnsi="Times New Roman"/>
          <w:sz w:val="24"/>
          <w:szCs w:val="24"/>
        </w:rPr>
        <w:t xml:space="preserve">of Appeals (2 judge majority) </w:t>
      </w:r>
      <w:r w:rsidRPr="00DB083C">
        <w:rPr>
          <w:rFonts w:ascii="Times New Roman" w:hAnsi="Times New Roman"/>
          <w:sz w:val="24"/>
          <w:szCs w:val="24"/>
        </w:rPr>
        <w:t>focused on the strength of the evidence</w:t>
      </w:r>
      <w:r>
        <w:rPr>
          <w:rFonts w:ascii="Times New Roman" w:hAnsi="Times New Roman"/>
          <w:sz w:val="24"/>
          <w:szCs w:val="24"/>
        </w:rPr>
        <w:t xml:space="preserve"> against the defendant, and concluded trial judge did not abuse his discretion in allowing two Akron fire investigators to testify without being first qualified as experts. “[L]</w:t>
      </w:r>
      <w:r w:rsidRPr="00DB083C">
        <w:rPr>
          <w:rFonts w:ascii="Times New Roman" w:hAnsi="Times New Roman"/>
          <w:sz w:val="24"/>
          <w:szCs w:val="24"/>
        </w:rPr>
        <w:t xml:space="preserve">ay opinion testimony is admissible so long as it is </w:t>
      </w:r>
      <w:r>
        <w:rPr>
          <w:rFonts w:ascii="Times New Roman" w:hAnsi="Times New Roman"/>
          <w:sz w:val="24"/>
          <w:szCs w:val="24"/>
        </w:rPr>
        <w:t>‘</w:t>
      </w:r>
      <w:r w:rsidRPr="00DB083C">
        <w:rPr>
          <w:rFonts w:ascii="Times New Roman" w:hAnsi="Times New Roman"/>
          <w:sz w:val="24"/>
          <w:szCs w:val="24"/>
        </w:rPr>
        <w:t>rationally based on the perception of the witness</w:t>
      </w:r>
      <w:r>
        <w:rPr>
          <w:rFonts w:ascii="Times New Roman" w:hAnsi="Times New Roman"/>
          <w:sz w:val="24"/>
          <w:szCs w:val="24"/>
        </w:rPr>
        <w:t>’</w:t>
      </w:r>
      <w:r w:rsidRPr="00DB083C">
        <w:rPr>
          <w:rFonts w:ascii="Times New Roman" w:hAnsi="Times New Roman"/>
          <w:sz w:val="24"/>
          <w:szCs w:val="24"/>
        </w:rPr>
        <w:t xml:space="preserve"> and </w:t>
      </w:r>
      <w:r>
        <w:rPr>
          <w:rFonts w:ascii="Times New Roman" w:hAnsi="Times New Roman"/>
          <w:sz w:val="24"/>
          <w:szCs w:val="24"/>
        </w:rPr>
        <w:t>‘</w:t>
      </w:r>
      <w:r w:rsidRPr="00DB083C">
        <w:rPr>
          <w:rFonts w:ascii="Times New Roman" w:hAnsi="Times New Roman"/>
          <w:sz w:val="24"/>
          <w:szCs w:val="24"/>
        </w:rPr>
        <w:t>helpful to a clear understanding of [his] testimony or the determination of a fact in issue.</w:t>
      </w:r>
      <w:r>
        <w:rPr>
          <w:rFonts w:ascii="Times New Roman" w:hAnsi="Times New Roman"/>
          <w:sz w:val="24"/>
          <w:szCs w:val="24"/>
        </w:rPr>
        <w:t>’</w:t>
      </w:r>
      <w:r w:rsidRPr="00DB083C">
        <w:rPr>
          <w:rFonts w:ascii="Times New Roman" w:hAnsi="Times New Roman"/>
          <w:sz w:val="24"/>
          <w:szCs w:val="24"/>
        </w:rPr>
        <w:t xml:space="preserve"> </w:t>
      </w:r>
      <w:proofErr w:type="spellStart"/>
      <w:r w:rsidRPr="00DB083C">
        <w:rPr>
          <w:rFonts w:ascii="Times New Roman" w:hAnsi="Times New Roman"/>
          <w:sz w:val="24"/>
          <w:szCs w:val="24"/>
        </w:rPr>
        <w:t>Evid.R</w:t>
      </w:r>
      <w:proofErr w:type="spellEnd"/>
      <w:r w:rsidRPr="00DB083C">
        <w:rPr>
          <w:rFonts w:ascii="Times New Roman" w:hAnsi="Times New Roman"/>
          <w:sz w:val="24"/>
          <w:szCs w:val="24"/>
        </w:rPr>
        <w:t xml:space="preserve">. 701. This Court reviews for an abuse of discretion a trial court's decision to admit lay opinion testimony under </w:t>
      </w:r>
      <w:proofErr w:type="spellStart"/>
      <w:r w:rsidRPr="00DB083C">
        <w:rPr>
          <w:rFonts w:ascii="Times New Roman" w:hAnsi="Times New Roman"/>
          <w:sz w:val="24"/>
          <w:szCs w:val="24"/>
        </w:rPr>
        <w:t>Evid.R</w:t>
      </w:r>
      <w:proofErr w:type="spellEnd"/>
      <w:r w:rsidRPr="00DB083C">
        <w:rPr>
          <w:rFonts w:ascii="Times New Roman" w:hAnsi="Times New Roman"/>
          <w:sz w:val="24"/>
          <w:szCs w:val="24"/>
        </w:rPr>
        <w:t>. 701</w:t>
      </w:r>
      <w:r>
        <w:rPr>
          <w:rFonts w:ascii="Times New Roman" w:hAnsi="Times New Roman"/>
          <w:sz w:val="24"/>
          <w:szCs w:val="24"/>
        </w:rPr>
        <w:t>….</w:t>
      </w:r>
      <w:r w:rsidRPr="00DB083C">
        <w:rPr>
          <w:rFonts w:ascii="Times New Roman" w:hAnsi="Times New Roman"/>
          <w:sz w:val="24"/>
          <w:szCs w:val="24"/>
        </w:rPr>
        <w:t xml:space="preserve"> A trial court may be found to have abused its discretion if it rules in an unreasonable, arbitrary, or unconscionable manner. </w:t>
      </w:r>
      <w:r w:rsidRPr="00DB083C">
        <w:rPr>
          <w:rFonts w:ascii="Times New Roman" w:hAnsi="Times New Roman"/>
          <w:i/>
          <w:iCs/>
          <w:sz w:val="24"/>
          <w:szCs w:val="24"/>
        </w:rPr>
        <w:t>Blakemore</w:t>
      </w:r>
      <w:r w:rsidRPr="00DB083C">
        <w:rPr>
          <w:rFonts w:ascii="Times New Roman" w:hAnsi="Times New Roman"/>
          <w:sz w:val="24"/>
          <w:szCs w:val="24"/>
        </w:rPr>
        <w:t>, 5 Ohio St.3d at 219.</w:t>
      </w:r>
      <w:r>
        <w:rPr>
          <w:rFonts w:ascii="Times New Roman" w:hAnsi="Times New Roman"/>
          <w:sz w:val="24"/>
          <w:szCs w:val="24"/>
        </w:rPr>
        <w:t xml:space="preserve">” </w:t>
      </w:r>
      <w:hyperlink r:id="rId315" w:history="1">
        <w:r w:rsidRPr="00B131BD">
          <w:rPr>
            <w:rStyle w:val="Hyperlink"/>
            <w:rFonts w:ascii="Times New Roman" w:hAnsi="Times New Roman"/>
            <w:sz w:val="24"/>
            <w:szCs w:val="24"/>
          </w:rPr>
          <w:t>https://www.supremecourt.ohio.gov/rod/docs/pdf/9/2020/2020-Ohio-3158.pdf</w:t>
        </w:r>
      </w:hyperlink>
      <w:r>
        <w:rPr>
          <w:rFonts w:ascii="Times New Roman" w:hAnsi="Times New Roman"/>
          <w:sz w:val="24"/>
          <w:szCs w:val="24"/>
        </w:rPr>
        <w:t xml:space="preserve"> </w:t>
      </w:r>
    </w:p>
    <w:p w14:paraId="4B821104" w14:textId="77777777" w:rsidR="0020758F" w:rsidRPr="00955CF2" w:rsidRDefault="0020758F" w:rsidP="0020758F">
      <w:pPr>
        <w:spacing w:before="100" w:beforeAutospacing="1" w:after="100" w:afterAutospacing="1" w:line="240" w:lineRule="auto"/>
        <w:rPr>
          <w:rFonts w:ascii="Times New Roman" w:eastAsia="Times New Roman" w:hAnsi="Times New Roman"/>
          <w:b/>
          <w:bCs/>
          <w:sz w:val="24"/>
          <w:szCs w:val="24"/>
        </w:rPr>
      </w:pPr>
      <w:r w:rsidRPr="00955CF2">
        <w:rPr>
          <w:rFonts w:ascii="Times New Roman" w:eastAsia="Times New Roman" w:hAnsi="Times New Roman"/>
          <w:b/>
          <w:bCs/>
          <w:sz w:val="24"/>
          <w:szCs w:val="24"/>
        </w:rPr>
        <w:t xml:space="preserve">Legal Lessons Learned: </w:t>
      </w:r>
      <w:r>
        <w:rPr>
          <w:rFonts w:ascii="Times New Roman" w:eastAsia="Times New Roman" w:hAnsi="Times New Roman"/>
          <w:b/>
          <w:bCs/>
          <w:sz w:val="24"/>
          <w:szCs w:val="24"/>
        </w:rPr>
        <w:t xml:space="preserve"> Whenever possible, it is best for prosecutors to have the trial court qualify Arson investigators as expert witnesses and provide a written report to the defense prior to trial. </w:t>
      </w:r>
    </w:p>
    <w:p w14:paraId="57D3A5D6" w14:textId="77777777" w:rsidR="0020758F" w:rsidRDefault="0020758F" w:rsidP="0020758F">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ab/>
        <w:t xml:space="preserve">Note: One of three judges on the Court of Appeals wrote a partial dissenting opinion. </w:t>
      </w:r>
    </w:p>
    <w:p w14:paraId="6D8DE558" w14:textId="77777777" w:rsidR="0020758F" w:rsidRPr="00955CF2" w:rsidRDefault="0020758F" w:rsidP="0020758F">
      <w:pPr>
        <w:pStyle w:val="NoSpacing"/>
        <w:ind w:left="720"/>
        <w:rPr>
          <w:rFonts w:ascii="Times New Roman" w:hAnsi="Times New Roman"/>
          <w:sz w:val="24"/>
          <w:szCs w:val="24"/>
        </w:rPr>
      </w:pPr>
      <w:r>
        <w:rPr>
          <w:rFonts w:ascii="Times New Roman" w:hAnsi="Times New Roman"/>
          <w:sz w:val="24"/>
          <w:szCs w:val="24"/>
        </w:rPr>
        <w:t>“</w:t>
      </w:r>
      <w:r w:rsidRPr="00955CF2">
        <w:rPr>
          <w:rFonts w:ascii="Times New Roman" w:hAnsi="Times New Roman"/>
          <w:sz w:val="24"/>
          <w:szCs w:val="24"/>
        </w:rPr>
        <w:t xml:space="preserve">I respectfully dissent </w:t>
      </w:r>
      <w:proofErr w:type="gramStart"/>
      <w:r w:rsidRPr="00955CF2">
        <w:rPr>
          <w:rFonts w:ascii="Times New Roman" w:hAnsi="Times New Roman"/>
          <w:sz w:val="24"/>
          <w:szCs w:val="24"/>
        </w:rPr>
        <w:t>in regard to</w:t>
      </w:r>
      <w:proofErr w:type="gramEnd"/>
      <w:r w:rsidRPr="00955CF2">
        <w:rPr>
          <w:rFonts w:ascii="Times New Roman" w:hAnsi="Times New Roman"/>
          <w:sz w:val="24"/>
          <w:szCs w:val="24"/>
        </w:rPr>
        <w:t xml:space="preserve"> the majority’s resolution of the first assignment of error as I would conclude that the trial court abused its discretion when it permitted Mr. Hoch and Mr. </w:t>
      </w:r>
      <w:proofErr w:type="spellStart"/>
      <w:r w:rsidRPr="00955CF2">
        <w:rPr>
          <w:rFonts w:ascii="Times New Roman" w:hAnsi="Times New Roman"/>
          <w:sz w:val="24"/>
          <w:szCs w:val="24"/>
        </w:rPr>
        <w:t>D’Avello</w:t>
      </w:r>
      <w:proofErr w:type="spellEnd"/>
      <w:r w:rsidRPr="00955CF2">
        <w:rPr>
          <w:rFonts w:ascii="Times New Roman" w:hAnsi="Times New Roman"/>
          <w:sz w:val="24"/>
          <w:szCs w:val="24"/>
        </w:rPr>
        <w:t xml:space="preserve"> to give expert testimony at trial. *** Mr. Hoch and Mr. </w:t>
      </w:r>
      <w:proofErr w:type="spellStart"/>
      <w:r w:rsidRPr="00955CF2">
        <w:rPr>
          <w:rFonts w:ascii="Times New Roman" w:hAnsi="Times New Roman"/>
          <w:sz w:val="24"/>
          <w:szCs w:val="24"/>
        </w:rPr>
        <w:t>D’Avello</w:t>
      </w:r>
      <w:proofErr w:type="spellEnd"/>
      <w:r w:rsidRPr="00955CF2">
        <w:rPr>
          <w:rFonts w:ascii="Times New Roman" w:hAnsi="Times New Roman"/>
          <w:sz w:val="24"/>
          <w:szCs w:val="24"/>
        </w:rPr>
        <w:t xml:space="preserve"> expressed definitive opinions on the origin of the fire. These opinions were largely predicated on an understanding of charring levels and burn patterns on the walls. Testimony regarding the origin of a fire based on analysis of charring levels and burn patterns observed during a visual inspection frequently falls within the purview of expert testimony.</w:t>
      </w:r>
      <w:r>
        <w:rPr>
          <w:rFonts w:ascii="Times New Roman" w:hAnsi="Times New Roman"/>
          <w:sz w:val="24"/>
          <w:szCs w:val="24"/>
        </w:rPr>
        <w:t>”</w:t>
      </w:r>
    </w:p>
    <w:p w14:paraId="65237214" w14:textId="77777777" w:rsidR="0020758F" w:rsidRDefault="0020758F" w:rsidP="002B1283">
      <w:pPr>
        <w:rPr>
          <w:rFonts w:ascii="Arial Black" w:hAnsi="Arial Black"/>
          <w:b/>
          <w:sz w:val="24"/>
          <w:szCs w:val="24"/>
        </w:rPr>
      </w:pPr>
    </w:p>
    <w:p w14:paraId="25D1B26F" w14:textId="77777777" w:rsidR="0020758F" w:rsidRDefault="0020758F" w:rsidP="002B1283">
      <w:pPr>
        <w:rPr>
          <w:rFonts w:ascii="Arial Black" w:hAnsi="Arial Black"/>
          <w:b/>
          <w:sz w:val="24"/>
          <w:szCs w:val="24"/>
        </w:rPr>
      </w:pPr>
    </w:p>
    <w:p w14:paraId="0BE1BEB5" w14:textId="6FFBB167" w:rsidR="00D94DC4" w:rsidRDefault="00D94DC4" w:rsidP="002B1283">
      <w:pPr>
        <w:rPr>
          <w:rFonts w:ascii="Arial Black" w:hAnsi="Arial Black"/>
          <w:b/>
          <w:sz w:val="24"/>
          <w:szCs w:val="24"/>
        </w:rPr>
      </w:pPr>
      <w:r>
        <w:rPr>
          <w:rFonts w:ascii="Arial Black" w:hAnsi="Arial Black"/>
          <w:b/>
          <w:sz w:val="24"/>
          <w:szCs w:val="24"/>
        </w:rPr>
        <w:t>1-55</w:t>
      </w:r>
    </w:p>
    <w:p w14:paraId="1860BF59" w14:textId="77777777" w:rsidR="00D94DC4" w:rsidRPr="00AA035B" w:rsidRDefault="00D94DC4" w:rsidP="00D94DC4">
      <w:pPr>
        <w:spacing w:before="100" w:beforeAutospacing="1" w:after="100" w:afterAutospacing="1" w:line="240" w:lineRule="auto"/>
        <w:jc w:val="both"/>
        <w:rPr>
          <w:rFonts w:ascii="Arial Black" w:eastAsia="Times New Roman" w:hAnsi="Arial Black"/>
          <w:b/>
          <w:bCs/>
          <w:sz w:val="28"/>
          <w:szCs w:val="28"/>
        </w:rPr>
      </w:pPr>
      <w:r w:rsidRPr="00AA035B">
        <w:rPr>
          <w:rFonts w:ascii="Arial Black" w:eastAsia="Times New Roman" w:hAnsi="Arial Black"/>
          <w:b/>
          <w:bCs/>
          <w:sz w:val="28"/>
          <w:szCs w:val="28"/>
        </w:rPr>
        <w:t>NY:</w:t>
      </w:r>
      <w:r>
        <w:rPr>
          <w:rFonts w:ascii="Arial Black" w:eastAsia="Times New Roman" w:hAnsi="Arial Black"/>
          <w:b/>
          <w:bCs/>
          <w:sz w:val="28"/>
          <w:szCs w:val="28"/>
        </w:rPr>
        <w:t xml:space="preserve"> PHOTO OF KNEELING FDNY FIREFIGHTER DURING 911 RECOVERY – PROF. PHTOGRAPHER COPYRIGHTED PHOTO – COMPANY MUST PAY USE ON SWEATSHIRTS, TEE SHIRTS </w:t>
      </w:r>
    </w:p>
    <w:p w14:paraId="5F4C9799" w14:textId="529968FC" w:rsidR="00D94DC4" w:rsidRDefault="00D94DC4" w:rsidP="00D94DC4">
      <w:pPr>
        <w:rPr>
          <w:rFonts w:ascii="Arial Black" w:hAnsi="Arial Black"/>
          <w:b/>
          <w:sz w:val="24"/>
          <w:szCs w:val="24"/>
        </w:rPr>
      </w:pPr>
      <w:r w:rsidRPr="00A83726">
        <w:rPr>
          <w:rFonts w:ascii="Times New Roman" w:hAnsi="Times New Roman"/>
          <w:sz w:val="24"/>
          <w:szCs w:val="24"/>
        </w:rPr>
        <w:t xml:space="preserve">On May 28, 2020, in </w:t>
      </w:r>
      <w:r w:rsidRPr="00A83726">
        <w:rPr>
          <w:rFonts w:ascii="Times New Roman" w:hAnsi="Times New Roman"/>
          <w:sz w:val="24"/>
          <w:szCs w:val="24"/>
          <w:u w:val="single"/>
        </w:rPr>
        <w:t>Matthew McDermott v. NYFirestore.com, Inc</w:t>
      </w:r>
      <w:r w:rsidRPr="00A83726">
        <w:rPr>
          <w:rFonts w:ascii="Times New Roman" w:hAnsi="Times New Roman"/>
          <w:sz w:val="24"/>
          <w:szCs w:val="24"/>
        </w:rPr>
        <w:t>., U.S. District Court judge Alison J. Nathan</w:t>
      </w:r>
      <w:r>
        <w:rPr>
          <w:rFonts w:ascii="Times New Roman" w:hAnsi="Times New Roman"/>
          <w:sz w:val="24"/>
          <w:szCs w:val="24"/>
        </w:rPr>
        <w:t>, Southern District of New York,</w:t>
      </w:r>
      <w:r w:rsidRPr="00A83726">
        <w:rPr>
          <w:rFonts w:ascii="Times New Roman" w:hAnsi="Times New Roman"/>
          <w:sz w:val="24"/>
          <w:szCs w:val="24"/>
        </w:rPr>
        <w:t xml:space="preserve"> held that the plaintiff, a professional photographer, has </w:t>
      </w:r>
      <w:r>
        <w:rPr>
          <w:rFonts w:ascii="Times New Roman" w:hAnsi="Times New Roman"/>
          <w:sz w:val="24"/>
          <w:szCs w:val="24"/>
        </w:rPr>
        <w:t xml:space="preserve">provided the Court with the photograph’s Certificate of Registration, </w:t>
      </w:r>
      <w:r w:rsidRPr="00A83726">
        <w:rPr>
          <w:rFonts w:ascii="Times New Roman" w:hAnsi="Times New Roman"/>
          <w:sz w:val="24"/>
          <w:szCs w:val="24"/>
        </w:rPr>
        <w:t xml:space="preserve">and is granted a default judgment for liability against </w:t>
      </w:r>
      <w:proofErr w:type="spellStart"/>
      <w:r w:rsidRPr="00A83726">
        <w:rPr>
          <w:rFonts w:ascii="Times New Roman" w:hAnsi="Times New Roman"/>
          <w:sz w:val="24"/>
          <w:szCs w:val="24"/>
        </w:rPr>
        <w:t>NYFirestore</w:t>
      </w:r>
      <w:proofErr w:type="spellEnd"/>
      <w:r w:rsidRPr="00A83726">
        <w:rPr>
          <w:rFonts w:ascii="Times New Roman" w:hAnsi="Times New Roman"/>
          <w:sz w:val="24"/>
          <w:szCs w:val="24"/>
        </w:rPr>
        <w:t xml:space="preserve"> company for </w:t>
      </w:r>
      <w:r>
        <w:rPr>
          <w:rFonts w:ascii="Times New Roman" w:hAnsi="Times New Roman"/>
          <w:sz w:val="24"/>
          <w:szCs w:val="24"/>
        </w:rPr>
        <w:t xml:space="preserve">unauthorized use of </w:t>
      </w:r>
      <w:r w:rsidRPr="00A83726">
        <w:rPr>
          <w:rFonts w:ascii="Times New Roman" w:hAnsi="Times New Roman"/>
          <w:sz w:val="24"/>
          <w:szCs w:val="24"/>
        </w:rPr>
        <w:t xml:space="preserve">the photo on sweatshirts, tee shirts and throw blankets.   Plaintiff seeks $20,000 in actual damages; </w:t>
      </w:r>
      <w:r>
        <w:rPr>
          <w:rFonts w:ascii="Times New Roman" w:hAnsi="Times New Roman"/>
          <w:sz w:val="24"/>
          <w:szCs w:val="24"/>
        </w:rPr>
        <w:t xml:space="preserve">under the </w:t>
      </w:r>
      <w:r w:rsidRPr="00B0015B">
        <w:rPr>
          <w:rFonts w:ascii="Times New Roman" w:eastAsia="Times New Roman" w:hAnsi="Times New Roman"/>
          <w:sz w:val="24"/>
          <w:szCs w:val="24"/>
        </w:rPr>
        <w:t>Digital Millennium Copyright Act</w:t>
      </w:r>
      <w:r>
        <w:rPr>
          <w:rFonts w:ascii="Times New Roman" w:eastAsia="Times New Roman" w:hAnsi="Times New Roman"/>
          <w:sz w:val="24"/>
          <w:szCs w:val="24"/>
        </w:rPr>
        <w:t xml:space="preserve"> the photographer must now show he placed a digital watermark or other “</w:t>
      </w:r>
      <w:r w:rsidRPr="00B0015B">
        <w:rPr>
          <w:rFonts w:ascii="Times New Roman" w:eastAsia="Times New Roman" w:hAnsi="Times New Roman"/>
          <w:sz w:val="24"/>
          <w:szCs w:val="24"/>
        </w:rPr>
        <w:t>copyright management informatio</w:t>
      </w:r>
      <w:r>
        <w:rPr>
          <w:rFonts w:ascii="Times New Roman" w:eastAsia="Times New Roman" w:hAnsi="Times New Roman"/>
          <w:sz w:val="24"/>
          <w:szCs w:val="24"/>
        </w:rPr>
        <w:t xml:space="preserve">n” on the photo; </w:t>
      </w:r>
      <w:r w:rsidRPr="00A83726">
        <w:rPr>
          <w:rFonts w:ascii="Times New Roman" w:hAnsi="Times New Roman"/>
          <w:sz w:val="24"/>
          <w:szCs w:val="24"/>
        </w:rPr>
        <w:t>has 30 days to file motion for damages and attorney fees</w:t>
      </w:r>
      <w:r>
        <w:rPr>
          <w:rFonts w:ascii="Times New Roman" w:hAnsi="Times New Roman"/>
          <w:sz w:val="24"/>
          <w:szCs w:val="24"/>
        </w:rPr>
        <w:t>,</w:t>
      </w:r>
      <w:r w:rsidRPr="00A83726">
        <w:rPr>
          <w:rFonts w:ascii="Times New Roman" w:hAnsi="Times New Roman"/>
          <w:sz w:val="24"/>
          <w:szCs w:val="24"/>
        </w:rPr>
        <w:t xml:space="preserve"> with evidence of licensing fees he has charged </w:t>
      </w:r>
      <w:r>
        <w:rPr>
          <w:rFonts w:ascii="Times New Roman" w:hAnsi="Times New Roman"/>
          <w:sz w:val="24"/>
          <w:szCs w:val="24"/>
        </w:rPr>
        <w:t xml:space="preserve">others </w:t>
      </w:r>
      <w:r w:rsidRPr="00A83726">
        <w:rPr>
          <w:rFonts w:ascii="Times New Roman" w:hAnsi="Times New Roman"/>
          <w:sz w:val="24"/>
          <w:szCs w:val="24"/>
        </w:rPr>
        <w:t xml:space="preserve">for use of his photos. </w:t>
      </w:r>
      <w:hyperlink r:id="rId316" w:history="1">
        <w:r w:rsidRPr="00A83726">
          <w:rPr>
            <w:rStyle w:val="Hyperlink"/>
            <w:sz w:val="24"/>
            <w:szCs w:val="24"/>
          </w:rPr>
          <w:t>https://public.fastcase.com/Wl%2B2t%2BeVuI35%2FN70vAMFZgQb9URzc30c5cCnjaV%2BywxWbGQAvCbjQKWk6ixjSD1I</w:t>
        </w:r>
      </w:hyperlink>
    </w:p>
    <w:p w14:paraId="5B9F9095" w14:textId="77777777" w:rsidR="00D94DC4" w:rsidRDefault="00D94DC4" w:rsidP="00D94DC4">
      <w:pPr>
        <w:spacing w:after="100" w:line="240" w:lineRule="auto"/>
        <w:jc w:val="both"/>
        <w:rPr>
          <w:rFonts w:ascii="Times New Roman" w:hAnsi="Times New Roman"/>
          <w:b/>
          <w:bCs/>
          <w:sz w:val="24"/>
          <w:szCs w:val="24"/>
        </w:rPr>
      </w:pPr>
      <w:r w:rsidRPr="00B0015B">
        <w:rPr>
          <w:rFonts w:ascii="Times New Roman" w:hAnsi="Times New Roman"/>
          <w:b/>
          <w:bCs/>
          <w:sz w:val="24"/>
          <w:szCs w:val="24"/>
        </w:rPr>
        <w:lastRenderedPageBreak/>
        <w:t>Legal Lessons Learned:</w:t>
      </w:r>
      <w:r>
        <w:rPr>
          <w:rFonts w:ascii="Times New Roman" w:hAnsi="Times New Roman"/>
          <w:b/>
          <w:bCs/>
          <w:sz w:val="24"/>
          <w:szCs w:val="24"/>
        </w:rPr>
        <w:t xml:space="preserve"> </w:t>
      </w:r>
      <w:proofErr w:type="gramStart"/>
      <w:r>
        <w:rPr>
          <w:rFonts w:ascii="Times New Roman" w:hAnsi="Times New Roman"/>
          <w:b/>
          <w:bCs/>
          <w:sz w:val="24"/>
          <w:szCs w:val="24"/>
        </w:rPr>
        <w:t>In order to</w:t>
      </w:r>
      <w:proofErr w:type="gramEnd"/>
      <w:r>
        <w:rPr>
          <w:rFonts w:ascii="Times New Roman" w:hAnsi="Times New Roman"/>
          <w:b/>
          <w:bCs/>
          <w:sz w:val="24"/>
          <w:szCs w:val="24"/>
        </w:rPr>
        <w:t xml:space="preserve"> help protect copyrighted photos, add a copyright watermark pattern to the photo.  </w:t>
      </w:r>
    </w:p>
    <w:p w14:paraId="137A8850" w14:textId="77777777" w:rsidR="00D94DC4" w:rsidRDefault="00D94DC4" w:rsidP="00D94DC4">
      <w:pPr>
        <w:pStyle w:val="Heading1"/>
        <w:ind w:left="720"/>
        <w:jc w:val="both"/>
        <w:rPr>
          <w:b w:val="0"/>
          <w:bCs w:val="0"/>
          <w:sz w:val="24"/>
          <w:szCs w:val="24"/>
        </w:rPr>
      </w:pPr>
      <w:r w:rsidRPr="00B0015B">
        <w:rPr>
          <w:b w:val="0"/>
          <w:bCs w:val="0"/>
          <w:sz w:val="24"/>
          <w:szCs w:val="24"/>
        </w:rPr>
        <w:t xml:space="preserve">Note: See this article, “Add A Copyright Watermark Pattern </w:t>
      </w:r>
      <w:proofErr w:type="gramStart"/>
      <w:r w:rsidRPr="00B0015B">
        <w:rPr>
          <w:b w:val="0"/>
          <w:bCs w:val="0"/>
          <w:sz w:val="24"/>
          <w:szCs w:val="24"/>
        </w:rPr>
        <w:t>To</w:t>
      </w:r>
      <w:proofErr w:type="gramEnd"/>
      <w:r w:rsidRPr="00B0015B">
        <w:rPr>
          <w:b w:val="0"/>
          <w:bCs w:val="0"/>
          <w:sz w:val="24"/>
          <w:szCs w:val="24"/>
        </w:rPr>
        <w:t xml:space="preserve"> </w:t>
      </w:r>
      <w:proofErr w:type="gramStart"/>
      <w:r w:rsidRPr="00B0015B">
        <w:rPr>
          <w:b w:val="0"/>
          <w:bCs w:val="0"/>
          <w:sz w:val="24"/>
          <w:szCs w:val="24"/>
        </w:rPr>
        <w:t>A</w:t>
      </w:r>
      <w:proofErr w:type="gramEnd"/>
      <w:r w:rsidRPr="00B0015B">
        <w:rPr>
          <w:b w:val="0"/>
          <w:bCs w:val="0"/>
          <w:sz w:val="24"/>
          <w:szCs w:val="24"/>
        </w:rPr>
        <w:t xml:space="preserve"> Photo </w:t>
      </w:r>
      <w:proofErr w:type="gramStart"/>
      <w:r w:rsidRPr="00B0015B">
        <w:rPr>
          <w:b w:val="0"/>
          <w:bCs w:val="0"/>
          <w:sz w:val="24"/>
          <w:szCs w:val="24"/>
        </w:rPr>
        <w:t>With</w:t>
      </w:r>
      <w:proofErr w:type="gramEnd"/>
      <w:r w:rsidRPr="00B0015B">
        <w:rPr>
          <w:b w:val="0"/>
          <w:bCs w:val="0"/>
          <w:sz w:val="24"/>
          <w:szCs w:val="24"/>
        </w:rPr>
        <w:t xml:space="preserve"> Photoshop,” </w:t>
      </w:r>
      <w:hyperlink r:id="rId317" w:history="1">
        <w:r w:rsidRPr="00931365">
          <w:rPr>
            <w:rStyle w:val="Hyperlink"/>
            <w:sz w:val="24"/>
            <w:szCs w:val="24"/>
          </w:rPr>
          <w:t>https://www.photoshopessentials.com/photo-effects/copyright/</w:t>
        </w:r>
      </w:hyperlink>
      <w:r w:rsidRPr="00B0015B">
        <w:rPr>
          <w:b w:val="0"/>
          <w:bCs w:val="0"/>
          <w:sz w:val="24"/>
          <w:szCs w:val="24"/>
        </w:rPr>
        <w:t xml:space="preserve"> </w:t>
      </w:r>
    </w:p>
    <w:p w14:paraId="22EA6C85" w14:textId="77777777" w:rsidR="00D94DC4" w:rsidRDefault="00D94DC4" w:rsidP="002B1283">
      <w:pPr>
        <w:rPr>
          <w:rFonts w:ascii="Arial Black" w:hAnsi="Arial Black"/>
          <w:b/>
          <w:sz w:val="24"/>
          <w:szCs w:val="24"/>
        </w:rPr>
      </w:pPr>
    </w:p>
    <w:p w14:paraId="40B34CC8" w14:textId="6E5DE36B" w:rsidR="00D94DC4" w:rsidRDefault="00D94DC4" w:rsidP="002B1283">
      <w:pPr>
        <w:rPr>
          <w:rFonts w:ascii="Arial Black" w:hAnsi="Arial Black"/>
          <w:b/>
          <w:sz w:val="24"/>
          <w:szCs w:val="24"/>
        </w:rPr>
      </w:pPr>
      <w:r>
        <w:rPr>
          <w:rFonts w:ascii="Arial Black" w:hAnsi="Arial Black"/>
          <w:b/>
          <w:sz w:val="24"/>
          <w:szCs w:val="24"/>
        </w:rPr>
        <w:t>1-54</w:t>
      </w:r>
    </w:p>
    <w:p w14:paraId="662F2BA4" w14:textId="77777777" w:rsidR="00D94DC4" w:rsidRDefault="00D94DC4" w:rsidP="00D94DC4">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OR: FALSE 9-1-1 CALLS – FOUR CALLS, FEMALE DEF. CLAIMED ANOTHER FEMALE WAS REPEATEDLY STALKING HER – “SCREENSHOTS” GOOGLE MAPS PROVED SHE LIED</w:t>
      </w:r>
    </w:p>
    <w:p w14:paraId="3AAA2D50" w14:textId="77777777" w:rsidR="00D94DC4" w:rsidRDefault="00D94DC4" w:rsidP="00D94DC4">
      <w:pPr>
        <w:spacing w:after="0" w:line="240" w:lineRule="auto"/>
        <w:rPr>
          <w:rFonts w:ascii="Times New Roman" w:eastAsia="Times New Roman" w:hAnsi="Times New Roman"/>
          <w:sz w:val="27"/>
          <w:szCs w:val="27"/>
        </w:rPr>
      </w:pPr>
      <w:r w:rsidRPr="00B41A2A">
        <w:rPr>
          <w:rFonts w:ascii="Times New Roman" w:eastAsia="Times New Roman" w:hAnsi="Times New Roman"/>
          <w:sz w:val="24"/>
          <w:szCs w:val="24"/>
        </w:rPr>
        <w:t xml:space="preserve">On May 28, 2020, in </w:t>
      </w:r>
      <w:r w:rsidRPr="00B41A2A">
        <w:rPr>
          <w:rFonts w:ascii="Times New Roman" w:eastAsia="Times New Roman" w:hAnsi="Times New Roman"/>
          <w:sz w:val="24"/>
          <w:szCs w:val="24"/>
          <w:u w:val="single"/>
        </w:rPr>
        <w:t>State of Oregon v. H.D.E</w:t>
      </w:r>
      <w:r w:rsidRPr="00B41A2A">
        <w:rPr>
          <w:rFonts w:ascii="Times New Roman" w:eastAsia="Times New Roman" w:hAnsi="Times New Roman"/>
          <w:sz w:val="24"/>
          <w:szCs w:val="24"/>
        </w:rPr>
        <w:t>., 304 Or App 375, the Court of Appeals of the State of Oregon held (3 to 0) upheld her convictions, holding that trial judge properly allowed the screenshots into evidence, and State proved that claims by defendant that Ms. Garcia was stalking her were false.</w:t>
      </w:r>
      <w:r>
        <w:rPr>
          <w:rFonts w:ascii="On Times New Roman" w:eastAsia="Times New Roman" w:hAnsi="On Times New Roman"/>
          <w:sz w:val="24"/>
          <w:szCs w:val="24"/>
        </w:rPr>
        <w:t xml:space="preserve">  </w:t>
      </w:r>
      <w:hyperlink r:id="rId318" w:history="1">
        <w:r w:rsidRPr="003826A8">
          <w:rPr>
            <w:rStyle w:val="Hyperlink"/>
            <w:sz w:val="27"/>
            <w:szCs w:val="27"/>
          </w:rPr>
          <w:t>https://cdm17027.contentdm.oclc.org/digital/collection/p17027coll5/id/26716/rec/1</w:t>
        </w:r>
      </w:hyperlink>
      <w:r>
        <w:rPr>
          <w:rFonts w:ascii="Times New Roman" w:eastAsia="Times New Roman" w:hAnsi="Times New Roman"/>
          <w:sz w:val="27"/>
          <w:szCs w:val="27"/>
        </w:rPr>
        <w:t xml:space="preserve"> </w:t>
      </w:r>
    </w:p>
    <w:p w14:paraId="47AF9288" w14:textId="77777777" w:rsidR="00ED66A0" w:rsidRDefault="00ED66A0" w:rsidP="00D94DC4">
      <w:pPr>
        <w:spacing w:after="0" w:line="240" w:lineRule="auto"/>
        <w:jc w:val="both"/>
        <w:rPr>
          <w:rFonts w:ascii="Times New Roman" w:eastAsia="Times New Roman" w:hAnsi="Times New Roman"/>
          <w:b/>
          <w:bCs/>
          <w:sz w:val="24"/>
          <w:szCs w:val="24"/>
        </w:rPr>
      </w:pPr>
    </w:p>
    <w:p w14:paraId="18D8D20C" w14:textId="510BAB18" w:rsidR="00D94DC4" w:rsidRDefault="00D94DC4" w:rsidP="00D94DC4">
      <w:pPr>
        <w:spacing w:after="0" w:line="240" w:lineRule="auto"/>
        <w:jc w:val="both"/>
        <w:rPr>
          <w:rFonts w:ascii="Times New Roman" w:eastAsia="Times New Roman" w:hAnsi="Times New Roman"/>
          <w:b/>
          <w:bCs/>
          <w:sz w:val="24"/>
          <w:szCs w:val="24"/>
        </w:rPr>
      </w:pPr>
      <w:r w:rsidRPr="00585AB9">
        <w:rPr>
          <w:rFonts w:ascii="Times New Roman" w:eastAsia="Times New Roman" w:hAnsi="Times New Roman"/>
          <w:b/>
          <w:bCs/>
          <w:sz w:val="24"/>
          <w:szCs w:val="24"/>
        </w:rPr>
        <w:t>Legal Lessons Learned:</w:t>
      </w:r>
      <w:r>
        <w:rPr>
          <w:rFonts w:ascii="Times New Roman" w:eastAsia="Times New Roman" w:hAnsi="Times New Roman"/>
          <w:b/>
          <w:bCs/>
          <w:sz w:val="24"/>
          <w:szCs w:val="24"/>
        </w:rPr>
        <w:t xml:space="preserve"> New technology, such as cell phone screenshots, can be powerful proof in a trial. </w:t>
      </w:r>
    </w:p>
    <w:p w14:paraId="2A6B01C2" w14:textId="77777777" w:rsidR="00D94DC4" w:rsidRDefault="00D94DC4" w:rsidP="002B1283">
      <w:pPr>
        <w:rPr>
          <w:rFonts w:ascii="Arial Black" w:hAnsi="Arial Black"/>
          <w:b/>
          <w:sz w:val="24"/>
          <w:szCs w:val="24"/>
        </w:rPr>
      </w:pPr>
    </w:p>
    <w:p w14:paraId="3297C883" w14:textId="77777777" w:rsidR="00D94DC4" w:rsidRDefault="00D94DC4" w:rsidP="002B1283">
      <w:pPr>
        <w:rPr>
          <w:rFonts w:ascii="Arial Black" w:hAnsi="Arial Black"/>
          <w:b/>
          <w:sz w:val="24"/>
          <w:szCs w:val="24"/>
        </w:rPr>
      </w:pPr>
    </w:p>
    <w:p w14:paraId="4528C55A" w14:textId="77777777" w:rsidR="00D94DC4" w:rsidRDefault="00D94DC4" w:rsidP="002B1283">
      <w:pPr>
        <w:rPr>
          <w:rFonts w:ascii="Arial Black" w:hAnsi="Arial Black"/>
          <w:b/>
          <w:sz w:val="24"/>
          <w:szCs w:val="24"/>
        </w:rPr>
      </w:pPr>
    </w:p>
    <w:p w14:paraId="2A667339" w14:textId="03F4107A" w:rsidR="00D94DC4" w:rsidRDefault="00D94DC4" w:rsidP="002B1283">
      <w:pPr>
        <w:rPr>
          <w:rFonts w:ascii="Arial Black" w:hAnsi="Arial Black"/>
          <w:b/>
          <w:sz w:val="24"/>
          <w:szCs w:val="24"/>
        </w:rPr>
      </w:pPr>
      <w:r>
        <w:rPr>
          <w:rFonts w:ascii="Arial Black" w:hAnsi="Arial Black"/>
          <w:b/>
          <w:sz w:val="24"/>
          <w:szCs w:val="24"/>
        </w:rPr>
        <w:t>1-53</w:t>
      </w:r>
    </w:p>
    <w:p w14:paraId="14270DF9" w14:textId="77777777" w:rsidR="00D94DC4" w:rsidRDefault="00D94DC4" w:rsidP="00D94DC4">
      <w:pPr>
        <w:spacing w:before="100" w:beforeAutospacing="1" w:after="100" w:afterAutospacing="1" w:line="240" w:lineRule="auto"/>
        <w:jc w:val="both"/>
        <w:rPr>
          <w:rFonts w:ascii="Arial Black" w:eastAsia="Times New Roman" w:hAnsi="Arial Black"/>
          <w:b/>
          <w:bCs/>
          <w:sz w:val="28"/>
          <w:szCs w:val="28"/>
        </w:rPr>
      </w:pPr>
      <w:r w:rsidRPr="00FC7706">
        <w:rPr>
          <w:rFonts w:ascii="Arial Black" w:eastAsia="Times New Roman" w:hAnsi="Arial Black"/>
          <w:b/>
          <w:bCs/>
          <w:sz w:val="28"/>
          <w:szCs w:val="28"/>
        </w:rPr>
        <w:t xml:space="preserve">IA: </w:t>
      </w:r>
      <w:r>
        <w:rPr>
          <w:rFonts w:ascii="Arial Black" w:eastAsia="Times New Roman" w:hAnsi="Arial Black"/>
          <w:b/>
          <w:bCs/>
          <w:sz w:val="28"/>
          <w:szCs w:val="28"/>
        </w:rPr>
        <w:t>FF ARSONIST – SEARCH WARRANTS GPS TRACKER / CELL PHONE LOCATIONS – PLEA DEAL, COOPERATE, NO OTHER CHARGES - BUT INDICTED 4 MORE ARSONS, DISMISSED</w:t>
      </w:r>
    </w:p>
    <w:p w14:paraId="394FBFC8" w14:textId="77777777" w:rsidR="00D94DC4" w:rsidRDefault="00D94DC4" w:rsidP="00D94DC4">
      <w:pPr>
        <w:spacing w:before="100" w:beforeAutospacing="1" w:after="100" w:afterAutospacing="1" w:line="240" w:lineRule="auto"/>
        <w:rPr>
          <w:rFonts w:ascii="Times New Roman" w:hAnsi="Times New Roman"/>
          <w:sz w:val="24"/>
          <w:szCs w:val="24"/>
        </w:rPr>
      </w:pPr>
      <w:r w:rsidRPr="00F77985">
        <w:rPr>
          <w:rFonts w:ascii="Times New Roman" w:hAnsi="Times New Roman"/>
          <w:sz w:val="24"/>
          <w:szCs w:val="24"/>
        </w:rPr>
        <w:t xml:space="preserve">On May 15, 2020, in </w:t>
      </w:r>
      <w:r w:rsidRPr="00F77985">
        <w:rPr>
          <w:rFonts w:ascii="Times New Roman" w:hAnsi="Times New Roman"/>
          <w:sz w:val="24"/>
          <w:szCs w:val="24"/>
          <w:u w:val="single"/>
        </w:rPr>
        <w:t>State of Iowa v. Chance Ryan Beres</w:t>
      </w:r>
      <w:r>
        <w:rPr>
          <w:rFonts w:ascii="Times New Roman" w:hAnsi="Times New Roman"/>
          <w:sz w:val="24"/>
          <w:szCs w:val="24"/>
        </w:rPr>
        <w:t xml:space="preserve">, the Iowa Supreme Court held (7 to 0) that the State is bound by its plea </w:t>
      </w:r>
      <w:proofErr w:type="gramStart"/>
      <w:r>
        <w:rPr>
          <w:rFonts w:ascii="Times New Roman" w:hAnsi="Times New Roman"/>
          <w:sz w:val="24"/>
          <w:szCs w:val="24"/>
        </w:rPr>
        <w:t>agreement, and</w:t>
      </w:r>
      <w:proofErr w:type="gramEnd"/>
      <w:r>
        <w:rPr>
          <w:rFonts w:ascii="Times New Roman" w:hAnsi="Times New Roman"/>
          <w:sz w:val="24"/>
          <w:szCs w:val="24"/>
        </w:rPr>
        <w:t xml:space="preserve"> cannot bring four additional arson charges. </w:t>
      </w:r>
      <w:hyperlink r:id="rId319" w:history="1">
        <w:r w:rsidRPr="00250842">
          <w:rPr>
            <w:rStyle w:val="Hyperlink"/>
            <w:sz w:val="24"/>
            <w:szCs w:val="24"/>
          </w:rPr>
          <w:t>https://www.iowacourts.gov/courtcases/9747/embed/SupremeCourtOpinion</w:t>
        </w:r>
      </w:hyperlink>
      <w:r>
        <w:rPr>
          <w:rFonts w:ascii="Times New Roman" w:hAnsi="Times New Roman"/>
          <w:sz w:val="24"/>
          <w:szCs w:val="24"/>
        </w:rPr>
        <w:t xml:space="preserve"> </w:t>
      </w:r>
    </w:p>
    <w:p w14:paraId="78B1AED6" w14:textId="77777777" w:rsidR="00D94DC4" w:rsidRPr="00F77985" w:rsidRDefault="00D94DC4" w:rsidP="00D94DC4">
      <w:pPr>
        <w:spacing w:before="100" w:beforeAutospacing="1" w:after="100" w:afterAutospacing="1" w:line="240" w:lineRule="auto"/>
        <w:jc w:val="both"/>
        <w:rPr>
          <w:rFonts w:ascii="Times New Roman" w:hAnsi="Times New Roman"/>
          <w:b/>
          <w:bCs/>
          <w:sz w:val="24"/>
          <w:szCs w:val="24"/>
        </w:rPr>
      </w:pPr>
      <w:r w:rsidRPr="00F77985">
        <w:rPr>
          <w:rFonts w:ascii="Times New Roman" w:hAnsi="Times New Roman"/>
          <w:b/>
          <w:bCs/>
          <w:sz w:val="24"/>
          <w:szCs w:val="24"/>
        </w:rPr>
        <w:t>Legal Lessons Learned:</w:t>
      </w:r>
      <w:r>
        <w:rPr>
          <w:rFonts w:ascii="Times New Roman" w:hAnsi="Times New Roman"/>
          <w:b/>
          <w:bCs/>
          <w:sz w:val="24"/>
          <w:szCs w:val="24"/>
        </w:rPr>
        <w:t xml:space="preserve"> Prosecutors should not agree to a plea agreement until the defendant has been thoroughly interviewed, </w:t>
      </w:r>
      <w:proofErr w:type="gramStart"/>
      <w:r>
        <w:rPr>
          <w:rFonts w:ascii="Times New Roman" w:hAnsi="Times New Roman"/>
          <w:b/>
          <w:bCs/>
          <w:sz w:val="24"/>
          <w:szCs w:val="24"/>
        </w:rPr>
        <w:t>and also</w:t>
      </w:r>
      <w:proofErr w:type="gramEnd"/>
      <w:r>
        <w:rPr>
          <w:rFonts w:ascii="Times New Roman" w:hAnsi="Times New Roman"/>
          <w:b/>
          <w:bCs/>
          <w:sz w:val="24"/>
          <w:szCs w:val="24"/>
        </w:rPr>
        <w:t xml:space="preserve"> given a complete, written statement about all his arsons.</w:t>
      </w:r>
    </w:p>
    <w:p w14:paraId="59080C2D" w14:textId="77777777" w:rsidR="00D94DC4" w:rsidRDefault="00D94DC4" w:rsidP="002B1283">
      <w:pPr>
        <w:rPr>
          <w:rFonts w:ascii="Arial Black" w:hAnsi="Arial Black"/>
          <w:b/>
          <w:sz w:val="24"/>
          <w:szCs w:val="24"/>
        </w:rPr>
      </w:pPr>
    </w:p>
    <w:p w14:paraId="28F4E453" w14:textId="77777777" w:rsidR="00D94DC4" w:rsidRDefault="00D94DC4" w:rsidP="002B1283">
      <w:pPr>
        <w:rPr>
          <w:rFonts w:ascii="Arial Black" w:hAnsi="Arial Black"/>
          <w:b/>
          <w:sz w:val="24"/>
          <w:szCs w:val="24"/>
        </w:rPr>
      </w:pPr>
    </w:p>
    <w:p w14:paraId="5DE8CC03" w14:textId="24C80858" w:rsidR="00D94DC4" w:rsidRDefault="00D94DC4" w:rsidP="002B1283">
      <w:pPr>
        <w:rPr>
          <w:rFonts w:ascii="Arial Black" w:hAnsi="Arial Black"/>
          <w:b/>
          <w:sz w:val="24"/>
          <w:szCs w:val="24"/>
        </w:rPr>
      </w:pPr>
      <w:r>
        <w:rPr>
          <w:rFonts w:ascii="Arial Black" w:hAnsi="Arial Black"/>
          <w:b/>
          <w:sz w:val="24"/>
          <w:szCs w:val="24"/>
        </w:rPr>
        <w:t>1-52</w:t>
      </w:r>
    </w:p>
    <w:p w14:paraId="7223CCAC" w14:textId="77777777" w:rsidR="00D94DC4" w:rsidRPr="005B2EA2" w:rsidRDefault="00D94DC4" w:rsidP="00D94DC4">
      <w:pPr>
        <w:spacing w:before="100" w:beforeAutospacing="1" w:after="100" w:afterAutospacing="1" w:line="240" w:lineRule="auto"/>
        <w:rPr>
          <w:rFonts w:ascii="Arial Black" w:eastAsia="Times New Roman" w:hAnsi="Arial Black"/>
          <w:b/>
          <w:bCs/>
          <w:sz w:val="28"/>
          <w:szCs w:val="28"/>
        </w:rPr>
      </w:pPr>
      <w:bookmarkStart w:id="20" w:name="_Hlk69187208"/>
      <w:r w:rsidRPr="005B2EA2">
        <w:rPr>
          <w:rFonts w:ascii="Arial Black" w:eastAsia="Times New Roman" w:hAnsi="Arial Black"/>
          <w:b/>
          <w:bCs/>
          <w:sz w:val="28"/>
          <w:szCs w:val="28"/>
        </w:rPr>
        <w:lastRenderedPageBreak/>
        <w:t>KS:</w:t>
      </w:r>
      <w:r>
        <w:rPr>
          <w:rFonts w:ascii="Arial Black" w:eastAsia="Times New Roman" w:hAnsi="Arial Black"/>
          <w:b/>
          <w:bCs/>
          <w:sz w:val="28"/>
          <w:szCs w:val="28"/>
        </w:rPr>
        <w:t xml:space="preserve"> ARSON - 71-YR-OLD WOMAN, HOUSE FORECLOSURE – ARSON INVESTIGATOR INTERVIEWED HER 2-HOURS IN HOSPITAL – MIRANDA WARNING NOT REQUIRED, NOT IN CUSTODY</w:t>
      </w:r>
    </w:p>
    <w:bookmarkEnd w:id="20"/>
    <w:p w14:paraId="626FCB9B" w14:textId="77777777" w:rsidR="00D94DC4" w:rsidRDefault="00D94DC4" w:rsidP="00D94DC4">
      <w:pPr>
        <w:spacing w:before="100" w:beforeAutospacing="1" w:after="100" w:afterAutospacing="1" w:line="240" w:lineRule="auto"/>
        <w:rPr>
          <w:rFonts w:ascii="Times New Roman" w:hAnsi="Times New Roman"/>
          <w:sz w:val="24"/>
          <w:szCs w:val="24"/>
        </w:rPr>
      </w:pPr>
      <w:r w:rsidRPr="00F53109">
        <w:rPr>
          <w:rFonts w:ascii="Times New Roman" w:eastAsia="Times New Roman" w:hAnsi="Times New Roman"/>
          <w:sz w:val="24"/>
          <w:szCs w:val="24"/>
        </w:rPr>
        <w:t xml:space="preserve">On May 8, 2020, in </w:t>
      </w:r>
      <w:r w:rsidRPr="00F53109">
        <w:rPr>
          <w:rFonts w:ascii="Times New Roman" w:eastAsia="Times New Roman" w:hAnsi="Times New Roman"/>
          <w:sz w:val="24"/>
          <w:szCs w:val="24"/>
          <w:u w:val="single"/>
        </w:rPr>
        <w:t>State of Kansas v. Patricia E. Sinclair</w:t>
      </w:r>
      <w:r>
        <w:rPr>
          <w:rFonts w:ascii="Times New Roman" w:eastAsia="Times New Roman" w:hAnsi="Times New Roman"/>
          <w:sz w:val="24"/>
          <w:szCs w:val="24"/>
        </w:rPr>
        <w:t xml:space="preserve">, the Court of Appeals of State of Kansas, held (3 to 0) in unpublished opinion, that trial judge properly denied her motion to suppress the </w:t>
      </w:r>
      <w:proofErr w:type="gramStart"/>
      <w:r>
        <w:rPr>
          <w:rFonts w:ascii="Times New Roman" w:eastAsia="Times New Roman" w:hAnsi="Times New Roman"/>
          <w:sz w:val="24"/>
          <w:szCs w:val="24"/>
        </w:rPr>
        <w:t>tape recorded</w:t>
      </w:r>
      <w:proofErr w:type="gramEnd"/>
      <w:r>
        <w:rPr>
          <w:rFonts w:ascii="Times New Roman" w:eastAsia="Times New Roman" w:hAnsi="Times New Roman"/>
          <w:sz w:val="24"/>
          <w:szCs w:val="24"/>
        </w:rPr>
        <w:t xml:space="preserve"> interview.  “</w:t>
      </w:r>
      <w:r w:rsidRPr="00F53109">
        <w:rPr>
          <w:rFonts w:ascii="Times New Roman" w:hAnsi="Times New Roman"/>
          <w:sz w:val="24"/>
          <w:szCs w:val="24"/>
        </w:rPr>
        <w:t>Thus, looking at the totality of the circumstances, we find Sinclair's interview was not a custodial interrogation</w:t>
      </w:r>
      <w:r>
        <w:rPr>
          <w:rFonts w:ascii="Times New Roman" w:hAnsi="Times New Roman"/>
          <w:sz w:val="24"/>
          <w:szCs w:val="24"/>
        </w:rPr>
        <w:t xml:space="preserve">.”  </w:t>
      </w:r>
      <w:bookmarkStart w:id="21" w:name="_Hlk69187300"/>
      <w:r w:rsidR="000F483A">
        <w:fldChar w:fldCharType="begin"/>
      </w:r>
      <w:r w:rsidR="000F483A">
        <w:instrText xml:space="preserve"> HYPERLINK "https://www.courtlistener.com/pdf/2020/05/08/state_v._sinclair.pdf" </w:instrText>
      </w:r>
      <w:r w:rsidR="000F483A">
        <w:fldChar w:fldCharType="separate"/>
      </w:r>
      <w:r w:rsidRPr="00B56DB8">
        <w:rPr>
          <w:rStyle w:val="Hyperlink"/>
          <w:sz w:val="24"/>
          <w:szCs w:val="24"/>
        </w:rPr>
        <w:t>https://www.courtlistener.com/pdf/2020/05/08/state_v._sinclair.pdf</w:t>
      </w:r>
      <w:r w:rsidR="000F483A">
        <w:rPr>
          <w:rStyle w:val="Hyperlink"/>
          <w:sz w:val="24"/>
          <w:szCs w:val="24"/>
        </w:rPr>
        <w:fldChar w:fldCharType="end"/>
      </w:r>
      <w:r>
        <w:rPr>
          <w:rFonts w:ascii="Times New Roman" w:hAnsi="Times New Roman"/>
          <w:sz w:val="24"/>
          <w:szCs w:val="24"/>
        </w:rPr>
        <w:t xml:space="preserve"> </w:t>
      </w:r>
    </w:p>
    <w:bookmarkEnd w:id="21"/>
    <w:p w14:paraId="68F48E30" w14:textId="77777777" w:rsidR="00D94DC4" w:rsidRPr="006627F5" w:rsidRDefault="00D94DC4" w:rsidP="00D94DC4">
      <w:pPr>
        <w:spacing w:before="100" w:beforeAutospacing="1" w:after="100" w:afterAutospacing="1" w:line="240" w:lineRule="auto"/>
        <w:rPr>
          <w:rFonts w:ascii="Times New Roman" w:hAnsi="Times New Roman"/>
          <w:b/>
          <w:bCs/>
          <w:sz w:val="24"/>
          <w:szCs w:val="24"/>
        </w:rPr>
      </w:pPr>
      <w:r w:rsidRPr="006627F5">
        <w:rPr>
          <w:rFonts w:ascii="Times New Roman" w:hAnsi="Times New Roman"/>
          <w:b/>
          <w:bCs/>
          <w:sz w:val="24"/>
          <w:szCs w:val="24"/>
        </w:rPr>
        <w:t>Legal Lessons Learned:</w:t>
      </w:r>
      <w:r>
        <w:rPr>
          <w:rFonts w:ascii="Times New Roman" w:hAnsi="Times New Roman"/>
          <w:b/>
          <w:bCs/>
          <w:sz w:val="24"/>
          <w:szCs w:val="24"/>
        </w:rPr>
        <w:t xml:space="preserve"> Non-custodial interviews do not require a </w:t>
      </w:r>
      <w:r w:rsidRPr="006627F5">
        <w:rPr>
          <w:rFonts w:ascii="Times New Roman" w:hAnsi="Times New Roman"/>
          <w:b/>
          <w:bCs/>
          <w:i/>
          <w:iCs/>
          <w:sz w:val="24"/>
          <w:szCs w:val="24"/>
        </w:rPr>
        <w:t>Miranda</w:t>
      </w:r>
      <w:r>
        <w:rPr>
          <w:rFonts w:ascii="Times New Roman" w:hAnsi="Times New Roman"/>
          <w:b/>
          <w:bCs/>
          <w:sz w:val="24"/>
          <w:szCs w:val="24"/>
        </w:rPr>
        <w:t xml:space="preserve"> warning.  One technique is to start interview by informing person that it is an “investigative interview</w:t>
      </w:r>
      <w:proofErr w:type="gramStart"/>
      <w:r>
        <w:rPr>
          <w:rFonts w:ascii="Times New Roman" w:hAnsi="Times New Roman"/>
          <w:b/>
          <w:bCs/>
          <w:sz w:val="24"/>
          <w:szCs w:val="24"/>
        </w:rPr>
        <w:t>”</w:t>
      </w:r>
      <w:proofErr w:type="gramEnd"/>
      <w:r>
        <w:rPr>
          <w:rFonts w:ascii="Times New Roman" w:hAnsi="Times New Roman"/>
          <w:b/>
          <w:bCs/>
          <w:sz w:val="24"/>
          <w:szCs w:val="24"/>
        </w:rPr>
        <w:t xml:space="preserve"> and they are not in custody.</w:t>
      </w:r>
    </w:p>
    <w:p w14:paraId="374F6AA8" w14:textId="77777777" w:rsidR="00D94DC4" w:rsidRDefault="00D94DC4" w:rsidP="002B1283">
      <w:pPr>
        <w:rPr>
          <w:rFonts w:ascii="Arial Black" w:hAnsi="Arial Black"/>
          <w:b/>
          <w:sz w:val="24"/>
          <w:szCs w:val="24"/>
        </w:rPr>
      </w:pPr>
    </w:p>
    <w:p w14:paraId="424ABB80" w14:textId="77777777" w:rsidR="00D94DC4" w:rsidRDefault="00D94DC4" w:rsidP="002B1283">
      <w:pPr>
        <w:rPr>
          <w:rFonts w:ascii="Arial Black" w:hAnsi="Arial Black"/>
          <w:b/>
          <w:sz w:val="24"/>
          <w:szCs w:val="24"/>
        </w:rPr>
      </w:pPr>
    </w:p>
    <w:p w14:paraId="19000881" w14:textId="7CBB8E30" w:rsidR="00D94DC4" w:rsidRDefault="00D94DC4" w:rsidP="002B1283">
      <w:pPr>
        <w:rPr>
          <w:rFonts w:ascii="Arial Black" w:hAnsi="Arial Black"/>
          <w:b/>
          <w:sz w:val="24"/>
          <w:szCs w:val="24"/>
        </w:rPr>
      </w:pPr>
      <w:r>
        <w:rPr>
          <w:rFonts w:ascii="Arial Black" w:hAnsi="Arial Black"/>
          <w:b/>
          <w:sz w:val="24"/>
          <w:szCs w:val="24"/>
        </w:rPr>
        <w:t>1-51</w:t>
      </w:r>
    </w:p>
    <w:p w14:paraId="46DA5E2E" w14:textId="77777777" w:rsidR="00D94DC4" w:rsidRDefault="00D94DC4" w:rsidP="00D94DC4">
      <w:pPr>
        <w:spacing w:before="100" w:beforeAutospacing="1" w:after="100" w:afterAutospacing="1" w:line="240" w:lineRule="auto"/>
        <w:jc w:val="both"/>
        <w:rPr>
          <w:rFonts w:ascii="Arial Black" w:eastAsia="Times New Roman" w:hAnsi="Arial Black"/>
          <w:b/>
          <w:bCs/>
          <w:sz w:val="28"/>
          <w:szCs w:val="28"/>
        </w:rPr>
      </w:pPr>
      <w:r w:rsidRPr="002A7FBD">
        <w:rPr>
          <w:rFonts w:ascii="Arial Black" w:eastAsia="Times New Roman" w:hAnsi="Arial Black"/>
          <w:b/>
          <w:bCs/>
          <w:sz w:val="28"/>
          <w:szCs w:val="28"/>
        </w:rPr>
        <w:t>U.S.</w:t>
      </w:r>
      <w:r>
        <w:rPr>
          <w:rFonts w:ascii="Arial Black" w:eastAsia="Times New Roman" w:hAnsi="Arial Black"/>
          <w:b/>
          <w:bCs/>
          <w:sz w:val="28"/>
          <w:szCs w:val="28"/>
        </w:rPr>
        <w:t xml:space="preserve"> SUP. CT: NJ GOV STAFF SHUT DOWN LANES GW BRIDGE – POL. “BACKBACK” MAYOR FT. LEE – FED. CONVICTIONS </w:t>
      </w:r>
      <w:r w:rsidRPr="00D13D07">
        <w:rPr>
          <w:rFonts w:ascii="Arial Black" w:eastAsia="Times New Roman" w:hAnsi="Arial Black"/>
          <w:sz w:val="28"/>
          <w:szCs w:val="28"/>
        </w:rPr>
        <w:t>PROGRAM FRAUD</w:t>
      </w:r>
      <w:r>
        <w:rPr>
          <w:rFonts w:ascii="Arial Black" w:eastAsia="Times New Roman" w:hAnsi="Arial Black"/>
          <w:sz w:val="28"/>
          <w:szCs w:val="28"/>
        </w:rPr>
        <w:t xml:space="preserve"> &amp; </w:t>
      </w:r>
      <w:r w:rsidRPr="00D13D07">
        <w:rPr>
          <w:rFonts w:ascii="Arial Black" w:eastAsia="Times New Roman" w:hAnsi="Arial Black"/>
          <w:sz w:val="28"/>
          <w:szCs w:val="28"/>
        </w:rPr>
        <w:t>WIRE FRAUD</w:t>
      </w:r>
      <w:r>
        <w:rPr>
          <w:rFonts w:ascii="Arial Black" w:eastAsia="Times New Roman" w:hAnsi="Arial Black"/>
          <w:sz w:val="28"/>
          <w:szCs w:val="28"/>
        </w:rPr>
        <w:t xml:space="preserve"> REVERSED  </w:t>
      </w:r>
      <w:r>
        <w:rPr>
          <w:rFonts w:ascii="Arial Black" w:eastAsia="Times New Roman" w:hAnsi="Arial Black"/>
          <w:b/>
          <w:bCs/>
          <w:sz w:val="28"/>
          <w:szCs w:val="28"/>
        </w:rPr>
        <w:t xml:space="preserve"> </w:t>
      </w:r>
    </w:p>
    <w:p w14:paraId="425BEA2B" w14:textId="77777777" w:rsidR="00D94DC4" w:rsidRPr="009920B4" w:rsidRDefault="00D94DC4" w:rsidP="00D94DC4">
      <w:pPr>
        <w:spacing w:before="100" w:beforeAutospacing="1" w:after="100" w:afterAutospacing="1" w:line="240" w:lineRule="auto"/>
        <w:jc w:val="both"/>
        <w:rPr>
          <w:rFonts w:ascii="Times New Roman" w:eastAsia="Times New Roman" w:hAnsi="Times New Roman"/>
          <w:sz w:val="24"/>
          <w:szCs w:val="24"/>
        </w:rPr>
      </w:pPr>
      <w:r w:rsidRPr="009920B4">
        <w:rPr>
          <w:rFonts w:ascii="Times New Roman" w:eastAsia="Times New Roman" w:hAnsi="Times New Roman"/>
          <w:sz w:val="24"/>
          <w:szCs w:val="24"/>
        </w:rPr>
        <w:t xml:space="preserve">On May 7, 2020, in </w:t>
      </w:r>
      <w:r w:rsidRPr="009920B4">
        <w:rPr>
          <w:rFonts w:ascii="Times New Roman" w:eastAsia="Times New Roman" w:hAnsi="Times New Roman"/>
          <w:sz w:val="24"/>
          <w:szCs w:val="24"/>
          <w:u w:val="single"/>
        </w:rPr>
        <w:t>Bridget Anne Kelly v. United States, et al</w:t>
      </w:r>
      <w:r w:rsidRPr="009920B4">
        <w:rPr>
          <w:rFonts w:ascii="Times New Roman" w:eastAsia="Times New Roman" w:hAnsi="Times New Roman"/>
          <w:sz w:val="24"/>
          <w:szCs w:val="24"/>
        </w:rPr>
        <w:t>., the U.S. Supreme Court (9 to 0) held that convictions of Ms. Kelly</w:t>
      </w:r>
      <w:r>
        <w:rPr>
          <w:rFonts w:ascii="Times New Roman" w:eastAsia="Times New Roman" w:hAnsi="Times New Roman"/>
          <w:sz w:val="24"/>
          <w:szCs w:val="24"/>
        </w:rPr>
        <w:t xml:space="preserve">, Deputy Chief of Staff of New Jersey Governor Chris Christie, </w:t>
      </w:r>
      <w:r w:rsidRPr="009920B4">
        <w:rPr>
          <w:rFonts w:ascii="Times New Roman" w:eastAsia="Times New Roman" w:hAnsi="Times New Roman"/>
          <w:sz w:val="24"/>
          <w:szCs w:val="24"/>
        </w:rPr>
        <w:t xml:space="preserve">and </w:t>
      </w:r>
      <w:r w:rsidRPr="009920B4">
        <w:rPr>
          <w:rFonts w:ascii="Times New Roman" w:hAnsi="Times New Roman"/>
          <w:sz w:val="24"/>
          <w:szCs w:val="24"/>
        </w:rPr>
        <w:t>William Baroni</w:t>
      </w:r>
      <w:r>
        <w:rPr>
          <w:rFonts w:ascii="Times New Roman" w:hAnsi="Times New Roman"/>
          <w:sz w:val="24"/>
          <w:szCs w:val="24"/>
        </w:rPr>
        <w:t xml:space="preserve">, Deputy Executive Director of tri-state Port Authority, </w:t>
      </w:r>
      <w:r w:rsidRPr="009920B4">
        <w:rPr>
          <w:rFonts w:ascii="Times New Roman" w:hAnsi="Times New Roman"/>
          <w:sz w:val="24"/>
          <w:szCs w:val="24"/>
        </w:rPr>
        <w:t xml:space="preserve">were reversed.  </w:t>
      </w:r>
      <w:r>
        <w:rPr>
          <w:rFonts w:ascii="Times New Roman" w:hAnsi="Times New Roman"/>
          <w:sz w:val="24"/>
          <w:szCs w:val="24"/>
        </w:rPr>
        <w:t>Justice Elana Kagan, writing for unanimous Court, wrote: “</w:t>
      </w:r>
      <w:r w:rsidRPr="009920B4">
        <w:rPr>
          <w:rFonts w:ascii="Times New Roman" w:hAnsi="Times New Roman"/>
          <w:sz w:val="24"/>
          <w:szCs w:val="24"/>
        </w:rPr>
        <w:t>But not every corrupt act by state or local officials is a federal crime. Because the scheme here did not aim to obtain money or property, Baroni and Kelly could not</w:t>
      </w:r>
      <w:r>
        <w:rPr>
          <w:rFonts w:ascii="Times New Roman" w:hAnsi="Times New Roman"/>
          <w:sz w:val="24"/>
          <w:szCs w:val="24"/>
        </w:rPr>
        <w:t xml:space="preserve"> </w:t>
      </w:r>
      <w:r w:rsidRPr="009920B4">
        <w:rPr>
          <w:rFonts w:ascii="Times New Roman" w:hAnsi="Times New Roman"/>
          <w:sz w:val="24"/>
          <w:szCs w:val="24"/>
        </w:rPr>
        <w:t xml:space="preserve">have violated the federal-program fraud or wire fraud </w:t>
      </w:r>
      <w:proofErr w:type="gramStart"/>
      <w:r w:rsidRPr="009920B4">
        <w:rPr>
          <w:rFonts w:ascii="Times New Roman" w:hAnsi="Times New Roman"/>
          <w:sz w:val="24"/>
          <w:szCs w:val="24"/>
        </w:rPr>
        <w:t>laws.</w:t>
      </w:r>
      <w:r>
        <w:rPr>
          <w:rFonts w:ascii="Times New Roman" w:hAnsi="Times New Roman"/>
          <w:sz w:val="24"/>
          <w:szCs w:val="24"/>
        </w:rPr>
        <w:t>”</w:t>
      </w:r>
      <w:proofErr w:type="gramEnd"/>
      <w:r>
        <w:rPr>
          <w:rFonts w:ascii="Times New Roman" w:hAnsi="Times New Roman"/>
          <w:sz w:val="24"/>
          <w:szCs w:val="24"/>
        </w:rPr>
        <w:t xml:space="preserve"> </w:t>
      </w:r>
      <w:hyperlink r:id="rId320" w:history="1">
        <w:r w:rsidRPr="00502F08">
          <w:rPr>
            <w:rStyle w:val="Hyperlink"/>
            <w:sz w:val="24"/>
            <w:szCs w:val="24"/>
          </w:rPr>
          <w:t>https://www.supremecourt.gov/opinions/19pdf/18-1059_e2p3.pdf</w:t>
        </w:r>
      </w:hyperlink>
      <w:r w:rsidRPr="009920B4">
        <w:rPr>
          <w:rFonts w:ascii="Times New Roman" w:hAnsi="Times New Roman"/>
          <w:sz w:val="24"/>
          <w:szCs w:val="24"/>
        </w:rPr>
        <w:t xml:space="preserve"> </w:t>
      </w:r>
    </w:p>
    <w:p w14:paraId="478DB97C" w14:textId="77777777" w:rsidR="00D94DC4" w:rsidRPr="008A7C9E" w:rsidRDefault="00D94DC4" w:rsidP="00D94DC4">
      <w:pPr>
        <w:spacing w:before="100" w:beforeAutospacing="1" w:after="100" w:afterAutospacing="1" w:line="240" w:lineRule="auto"/>
        <w:jc w:val="both"/>
        <w:rPr>
          <w:rFonts w:ascii="Times New Roman" w:eastAsia="Times New Roman" w:hAnsi="Times New Roman"/>
          <w:b/>
          <w:bCs/>
          <w:sz w:val="24"/>
          <w:szCs w:val="24"/>
        </w:rPr>
      </w:pPr>
      <w:r w:rsidRPr="008A7C9E">
        <w:rPr>
          <w:rFonts w:ascii="Times New Roman" w:hAnsi="Times New Roman"/>
          <w:b/>
          <w:bCs/>
          <w:sz w:val="24"/>
          <w:szCs w:val="24"/>
        </w:rPr>
        <w:t>Legal Lessons Learned: Public corruption is a common issue; Fire &amp; EMS must be extremely careful in expending funds for only public purposes</w:t>
      </w:r>
      <w:r>
        <w:rPr>
          <w:rFonts w:ascii="Times New Roman" w:hAnsi="Times New Roman"/>
          <w:b/>
          <w:bCs/>
          <w:sz w:val="24"/>
          <w:szCs w:val="24"/>
        </w:rPr>
        <w:t xml:space="preserve"> [classic case of using fire engine to fill a politician’s pool can result in state criminal charges]. </w:t>
      </w:r>
    </w:p>
    <w:p w14:paraId="07F23BA6" w14:textId="77777777" w:rsidR="00D94DC4" w:rsidRDefault="00D94DC4" w:rsidP="002B1283">
      <w:pPr>
        <w:rPr>
          <w:rFonts w:ascii="Arial Black" w:hAnsi="Arial Black"/>
          <w:b/>
          <w:sz w:val="24"/>
          <w:szCs w:val="24"/>
        </w:rPr>
      </w:pPr>
    </w:p>
    <w:p w14:paraId="585EEE4F" w14:textId="77777777" w:rsidR="00D94DC4" w:rsidRDefault="00D94DC4" w:rsidP="002B1283">
      <w:pPr>
        <w:rPr>
          <w:rFonts w:ascii="Arial Black" w:hAnsi="Arial Black"/>
          <w:b/>
          <w:sz w:val="24"/>
          <w:szCs w:val="24"/>
        </w:rPr>
      </w:pPr>
    </w:p>
    <w:p w14:paraId="270B12B9" w14:textId="77777777" w:rsidR="00D94DC4" w:rsidRDefault="00D94DC4" w:rsidP="002B1283">
      <w:pPr>
        <w:rPr>
          <w:rFonts w:ascii="Arial Black" w:hAnsi="Arial Black"/>
          <w:b/>
          <w:sz w:val="24"/>
          <w:szCs w:val="24"/>
        </w:rPr>
      </w:pPr>
    </w:p>
    <w:p w14:paraId="179AF845" w14:textId="2DE2F4D1" w:rsidR="00A01ACA" w:rsidRDefault="00A01ACA" w:rsidP="002B1283">
      <w:pPr>
        <w:rPr>
          <w:rFonts w:ascii="Arial Black" w:hAnsi="Arial Black"/>
          <w:b/>
          <w:sz w:val="24"/>
          <w:szCs w:val="24"/>
        </w:rPr>
      </w:pPr>
      <w:r>
        <w:rPr>
          <w:rFonts w:ascii="Arial Black" w:hAnsi="Arial Black"/>
          <w:b/>
          <w:sz w:val="24"/>
          <w:szCs w:val="24"/>
        </w:rPr>
        <w:t>1-</w:t>
      </w:r>
      <w:r w:rsidR="00D94DC4">
        <w:rPr>
          <w:rFonts w:ascii="Arial Black" w:hAnsi="Arial Black"/>
          <w:b/>
          <w:sz w:val="24"/>
          <w:szCs w:val="24"/>
        </w:rPr>
        <w:t>50</w:t>
      </w:r>
    </w:p>
    <w:p w14:paraId="5CD7EC60" w14:textId="77777777" w:rsidR="00A01ACA" w:rsidRPr="00845EB0" w:rsidRDefault="00A01ACA" w:rsidP="00A01ACA">
      <w:pPr>
        <w:pStyle w:val="NoSpacing"/>
        <w:rPr>
          <w:rStyle w:val="citation"/>
          <w:rFonts w:ascii="Arial Black" w:hAnsi="Arial Black"/>
          <w:sz w:val="28"/>
          <w:szCs w:val="28"/>
        </w:rPr>
      </w:pPr>
      <w:r w:rsidRPr="001A0E1F">
        <w:rPr>
          <w:rStyle w:val="citation"/>
          <w:rFonts w:ascii="Arial Black" w:hAnsi="Arial Black"/>
          <w:sz w:val="28"/>
          <w:szCs w:val="28"/>
        </w:rPr>
        <w:t xml:space="preserve">FL: </w:t>
      </w:r>
      <w:r>
        <w:rPr>
          <w:rStyle w:val="citation"/>
          <w:rFonts w:ascii="Arial Black" w:hAnsi="Arial Black"/>
          <w:sz w:val="28"/>
          <w:szCs w:val="28"/>
        </w:rPr>
        <w:t xml:space="preserve">POLICE CANINES – BOTH ALERTED BODY ODOR IN CAR - MURDER CONVICTION UPHELD - </w:t>
      </w:r>
      <w:r w:rsidRPr="00845EB0">
        <w:rPr>
          <w:rStyle w:val="citation"/>
          <w:rFonts w:ascii="Arial Black" w:hAnsi="Arial Black"/>
          <w:i/>
          <w:iCs/>
          <w:sz w:val="28"/>
          <w:szCs w:val="28"/>
        </w:rPr>
        <w:t>DAUBERT</w:t>
      </w:r>
      <w:r>
        <w:rPr>
          <w:rStyle w:val="citation"/>
          <w:rFonts w:ascii="Arial Black" w:hAnsi="Arial Black"/>
          <w:i/>
          <w:iCs/>
          <w:sz w:val="28"/>
          <w:szCs w:val="28"/>
        </w:rPr>
        <w:t xml:space="preserve"> </w:t>
      </w:r>
      <w:r>
        <w:rPr>
          <w:rStyle w:val="citation"/>
          <w:rFonts w:ascii="Arial Black" w:hAnsi="Arial Black"/>
          <w:sz w:val="28"/>
          <w:szCs w:val="28"/>
        </w:rPr>
        <w:t xml:space="preserve">STANDARD </w:t>
      </w:r>
    </w:p>
    <w:p w14:paraId="45E88309" w14:textId="77777777" w:rsidR="006E2F85" w:rsidRDefault="006E2F85" w:rsidP="00A01ACA">
      <w:pPr>
        <w:tabs>
          <w:tab w:val="left" w:pos="5590"/>
        </w:tabs>
        <w:rPr>
          <w:rStyle w:val="citation"/>
          <w:rFonts w:ascii="Times New Roman" w:hAnsi="Times New Roman"/>
          <w:sz w:val="24"/>
          <w:szCs w:val="24"/>
        </w:rPr>
      </w:pPr>
    </w:p>
    <w:p w14:paraId="23A1618A" w14:textId="4DE0D8C3" w:rsidR="00A01ACA" w:rsidRDefault="00A01ACA" w:rsidP="00A01ACA">
      <w:pPr>
        <w:tabs>
          <w:tab w:val="left" w:pos="5590"/>
        </w:tabs>
        <w:rPr>
          <w:rStyle w:val="citation"/>
          <w:rFonts w:ascii="Times New Roman" w:hAnsi="Times New Roman"/>
          <w:sz w:val="24"/>
          <w:szCs w:val="24"/>
        </w:rPr>
      </w:pPr>
      <w:r w:rsidRPr="00002F10">
        <w:rPr>
          <w:rStyle w:val="citation"/>
          <w:rFonts w:ascii="Times New Roman" w:hAnsi="Times New Roman"/>
          <w:sz w:val="24"/>
          <w:szCs w:val="24"/>
        </w:rPr>
        <w:t xml:space="preserve">On April 22, 2020, in </w:t>
      </w:r>
      <w:r w:rsidRPr="00002F10">
        <w:rPr>
          <w:rStyle w:val="citation"/>
          <w:rFonts w:ascii="Times New Roman" w:hAnsi="Times New Roman"/>
          <w:sz w:val="24"/>
          <w:szCs w:val="24"/>
          <w:u w:val="single"/>
        </w:rPr>
        <w:t>Cid Torrez v. State of Florida</w:t>
      </w:r>
      <w:r w:rsidRPr="00002F10">
        <w:rPr>
          <w:rStyle w:val="citation"/>
          <w:rFonts w:ascii="Times New Roman" w:hAnsi="Times New Roman"/>
          <w:sz w:val="24"/>
          <w:szCs w:val="24"/>
        </w:rPr>
        <w:t xml:space="preserve">, </w:t>
      </w:r>
      <w:r>
        <w:rPr>
          <w:rStyle w:val="citation"/>
          <w:rFonts w:ascii="Times New Roman" w:hAnsi="Times New Roman"/>
          <w:sz w:val="24"/>
          <w:szCs w:val="24"/>
        </w:rPr>
        <w:t xml:space="preserve">the District Court of Appeal of the State of Florida (Fourth District), held (3 to 0) that the trial court properly allowed two police detectives and an expert witness to testify </w:t>
      </w:r>
      <w:r>
        <w:rPr>
          <w:rStyle w:val="citation"/>
          <w:rFonts w:ascii="Times New Roman" w:hAnsi="Times New Roman"/>
          <w:sz w:val="24"/>
          <w:szCs w:val="24"/>
        </w:rPr>
        <w:lastRenderedPageBreak/>
        <w:t xml:space="preserve">that the dogs alerted to human body odor in trunk of defendant’s vehicle. The defendant was convicted of </w:t>
      </w:r>
      <w:proofErr w:type="gramStart"/>
      <w:r>
        <w:rPr>
          <w:rStyle w:val="citation"/>
          <w:rFonts w:ascii="Times New Roman" w:hAnsi="Times New Roman"/>
          <w:sz w:val="24"/>
          <w:szCs w:val="24"/>
        </w:rPr>
        <w:t>murder of</w:t>
      </w:r>
      <w:proofErr w:type="gramEnd"/>
      <w:r>
        <w:rPr>
          <w:rStyle w:val="citation"/>
          <w:rFonts w:ascii="Times New Roman" w:hAnsi="Times New Roman"/>
          <w:sz w:val="24"/>
          <w:szCs w:val="24"/>
        </w:rPr>
        <w:t xml:space="preserve"> his wife, even though her body was never discovered.  The Court found canine evidence admissible under the </w:t>
      </w:r>
      <w:r w:rsidRPr="00832E13">
        <w:rPr>
          <w:rStyle w:val="citation"/>
          <w:rFonts w:ascii="Times New Roman" w:hAnsi="Times New Roman"/>
          <w:i/>
          <w:iCs/>
          <w:sz w:val="24"/>
          <w:szCs w:val="24"/>
        </w:rPr>
        <w:t>Daubert</w:t>
      </w:r>
      <w:r>
        <w:rPr>
          <w:rStyle w:val="citation"/>
          <w:rFonts w:ascii="Times New Roman" w:hAnsi="Times New Roman"/>
          <w:sz w:val="24"/>
          <w:szCs w:val="24"/>
        </w:rPr>
        <w:t xml:space="preserve"> standard [U.S. Supreme Court’s decision in </w:t>
      </w:r>
      <w:r w:rsidRPr="00832E13">
        <w:rPr>
          <w:rFonts w:ascii="Times New Roman" w:hAnsi="Times New Roman"/>
          <w:sz w:val="24"/>
          <w:szCs w:val="24"/>
        </w:rPr>
        <w:t>Daubert v. Merrell Dow Pharmaceuticals (92-102), 509 U.S. 579 (1993)</w:t>
      </w:r>
      <w:r>
        <w:rPr>
          <w:rFonts w:ascii="Times New Roman" w:hAnsi="Times New Roman"/>
          <w:sz w:val="24"/>
          <w:szCs w:val="24"/>
        </w:rPr>
        <w:t>]</w:t>
      </w:r>
      <w:r w:rsidRPr="00832E13">
        <w:rPr>
          <w:rFonts w:ascii="Times New Roman" w:hAnsi="Times New Roman"/>
          <w:sz w:val="24"/>
          <w:szCs w:val="24"/>
        </w:rPr>
        <w:t xml:space="preserve">. </w:t>
      </w:r>
      <w:bookmarkStart w:id="22" w:name="_Hlk39765274"/>
      <w:r>
        <w:rPr>
          <w:rStyle w:val="citation"/>
          <w:rFonts w:ascii="Times New Roman" w:hAnsi="Times New Roman"/>
          <w:sz w:val="24"/>
          <w:szCs w:val="24"/>
        </w:rPr>
        <w:t xml:space="preserve">Judge Mark W. Klingensmith, in his decision for the Court, cited Bob Dylan song: </w:t>
      </w:r>
    </w:p>
    <w:p w14:paraId="01279F70" w14:textId="77777777" w:rsidR="00A01ACA" w:rsidRDefault="00A01ACA" w:rsidP="00A01ACA">
      <w:pPr>
        <w:tabs>
          <w:tab w:val="left" w:pos="5590"/>
        </w:tabs>
        <w:ind w:left="720"/>
        <w:rPr>
          <w:rStyle w:val="citation"/>
          <w:rFonts w:ascii="Times New Roman" w:hAnsi="Times New Roman"/>
          <w:sz w:val="24"/>
          <w:szCs w:val="24"/>
        </w:rPr>
      </w:pPr>
      <w:r>
        <w:rPr>
          <w:rStyle w:val="citation"/>
          <w:rFonts w:ascii="Times New Roman" w:hAnsi="Times New Roman"/>
          <w:sz w:val="24"/>
          <w:szCs w:val="24"/>
        </w:rPr>
        <w:t xml:space="preserve"> </w:t>
      </w:r>
      <w:r w:rsidRPr="00002F10">
        <w:rPr>
          <w:rStyle w:val="citation"/>
          <w:rFonts w:ascii="Times New Roman" w:hAnsi="Times New Roman"/>
          <w:sz w:val="24"/>
          <w:szCs w:val="24"/>
        </w:rPr>
        <w:t>“</w:t>
      </w:r>
      <w:r w:rsidRPr="00002F10">
        <w:rPr>
          <w:rFonts w:ascii="Times New Roman" w:hAnsi="Times New Roman"/>
          <w:sz w:val="24"/>
          <w:szCs w:val="24"/>
        </w:rPr>
        <w:t xml:space="preserve">The evidence of the reliability of a dog’s alert is “readily understood by a jury.” … </w:t>
      </w:r>
      <w:r w:rsidRPr="00002F10">
        <w:rPr>
          <w:rStyle w:val="citation"/>
          <w:rFonts w:ascii="Times New Roman" w:hAnsi="Times New Roman"/>
          <w:sz w:val="24"/>
          <w:szCs w:val="24"/>
        </w:rPr>
        <w:t xml:space="preserve"> </w:t>
      </w:r>
      <w:r w:rsidRPr="00002F10">
        <w:rPr>
          <w:rFonts w:ascii="Times New Roman" w:hAnsi="Times New Roman"/>
          <w:sz w:val="24"/>
          <w:szCs w:val="24"/>
        </w:rPr>
        <w:t xml:space="preserve">Or as </w:t>
      </w:r>
      <w:r>
        <w:rPr>
          <w:rFonts w:ascii="Times New Roman" w:hAnsi="Times New Roman"/>
          <w:sz w:val="24"/>
          <w:szCs w:val="24"/>
        </w:rPr>
        <w:t xml:space="preserve">    </w:t>
      </w:r>
      <w:r w:rsidRPr="00002F10">
        <w:rPr>
          <w:rFonts w:ascii="Times New Roman" w:hAnsi="Times New Roman"/>
          <w:sz w:val="24"/>
          <w:szCs w:val="24"/>
        </w:rPr>
        <w:t>Bob Dylan once said, “you don’t need a weatherman to know which way the wind blows.” BOB DYLAN,</w:t>
      </w:r>
      <w:r>
        <w:rPr>
          <w:rFonts w:ascii="Times New Roman" w:hAnsi="Times New Roman"/>
          <w:sz w:val="24"/>
          <w:szCs w:val="24"/>
        </w:rPr>
        <w:t xml:space="preserve"> </w:t>
      </w:r>
      <w:r w:rsidRPr="00002F10">
        <w:rPr>
          <w:rFonts w:ascii="Times New Roman" w:hAnsi="Times New Roman"/>
          <w:sz w:val="24"/>
          <w:szCs w:val="24"/>
        </w:rPr>
        <w:t>Subterranean Homesick Blues, on BRINGING IT ALL BACK HOME (Columbia Records 1965).</w:t>
      </w:r>
      <w:r>
        <w:rPr>
          <w:rFonts w:ascii="Times New Roman" w:hAnsi="Times New Roman"/>
          <w:sz w:val="24"/>
          <w:szCs w:val="24"/>
        </w:rPr>
        <w:t xml:space="preserve">” </w:t>
      </w:r>
      <w:hyperlink r:id="rId321" w:history="1">
        <w:r w:rsidRPr="00643124">
          <w:rPr>
            <w:rStyle w:val="Hyperlink"/>
            <w:rFonts w:ascii="Times New Roman" w:hAnsi="Times New Roman"/>
            <w:sz w:val="24"/>
            <w:szCs w:val="24"/>
          </w:rPr>
          <w:t>https://www.courtlistener.com/opinion/4747432/cid-torrez-v-state-of-florida/</w:t>
        </w:r>
      </w:hyperlink>
      <w:r>
        <w:rPr>
          <w:rFonts w:ascii="Times New Roman" w:hAnsi="Times New Roman"/>
          <w:sz w:val="24"/>
          <w:szCs w:val="24"/>
        </w:rPr>
        <w:t xml:space="preserve"> </w:t>
      </w:r>
    </w:p>
    <w:bookmarkEnd w:id="22"/>
    <w:p w14:paraId="72731103" w14:textId="77777777" w:rsidR="00A01ACA" w:rsidRPr="00976742" w:rsidRDefault="00A01ACA" w:rsidP="00A01ACA">
      <w:pPr>
        <w:pStyle w:val="NoSpacing"/>
        <w:rPr>
          <w:rFonts w:ascii="Times New Roman" w:hAnsi="Times New Roman"/>
          <w:b/>
          <w:bCs/>
          <w:sz w:val="24"/>
          <w:szCs w:val="24"/>
        </w:rPr>
      </w:pPr>
      <w:r w:rsidRPr="00976742">
        <w:rPr>
          <w:rFonts w:ascii="Times New Roman" w:hAnsi="Times New Roman"/>
          <w:b/>
          <w:bCs/>
          <w:sz w:val="24"/>
          <w:szCs w:val="24"/>
        </w:rPr>
        <w:t xml:space="preserve">Legal Lessons Learned: The </w:t>
      </w:r>
      <w:r w:rsidRPr="00976742">
        <w:rPr>
          <w:rFonts w:ascii="Times New Roman" w:hAnsi="Times New Roman"/>
          <w:b/>
          <w:bCs/>
          <w:i/>
          <w:iCs/>
          <w:sz w:val="24"/>
          <w:szCs w:val="24"/>
        </w:rPr>
        <w:t xml:space="preserve">Daubert </w:t>
      </w:r>
      <w:r w:rsidRPr="00976742">
        <w:rPr>
          <w:rFonts w:ascii="Times New Roman" w:hAnsi="Times New Roman"/>
          <w:b/>
          <w:bCs/>
          <w:sz w:val="24"/>
          <w:szCs w:val="24"/>
        </w:rPr>
        <w:t xml:space="preserve">standard must be met for expert testimony, including testimony by canine handlers.  </w:t>
      </w:r>
    </w:p>
    <w:p w14:paraId="436092BB" w14:textId="77777777" w:rsidR="00A01ACA" w:rsidRPr="00976742" w:rsidRDefault="00A01ACA" w:rsidP="00A01ACA">
      <w:pPr>
        <w:pStyle w:val="NoSpacing"/>
        <w:rPr>
          <w:rFonts w:ascii="Times New Roman" w:hAnsi="Times New Roman"/>
          <w:b/>
          <w:bCs/>
          <w:sz w:val="24"/>
          <w:szCs w:val="24"/>
        </w:rPr>
      </w:pPr>
    </w:p>
    <w:p w14:paraId="6AE9E679" w14:textId="77777777" w:rsidR="00A01ACA" w:rsidRPr="00976742" w:rsidRDefault="00A01ACA" w:rsidP="00A01ACA">
      <w:pPr>
        <w:pStyle w:val="NoSpacing"/>
        <w:ind w:left="720"/>
        <w:rPr>
          <w:rFonts w:ascii="Times New Roman" w:hAnsi="Times New Roman"/>
          <w:b/>
          <w:bCs/>
          <w:sz w:val="24"/>
          <w:szCs w:val="24"/>
        </w:rPr>
      </w:pPr>
      <w:r w:rsidRPr="00976742">
        <w:rPr>
          <w:rFonts w:ascii="Times New Roman" w:hAnsi="Times New Roman"/>
          <w:bCs/>
          <w:sz w:val="24"/>
          <w:szCs w:val="24"/>
        </w:rPr>
        <w:t xml:space="preserve">Note: The U.S. Supreme Court decision in </w:t>
      </w:r>
      <w:r w:rsidRPr="00976742">
        <w:rPr>
          <w:rFonts w:ascii="Times New Roman" w:hAnsi="Times New Roman"/>
          <w:bCs/>
          <w:i/>
          <w:iCs/>
          <w:sz w:val="24"/>
          <w:szCs w:val="24"/>
        </w:rPr>
        <w:t>Daubert v. Merrell Dow Pharmaceuticals, Inc.</w:t>
      </w:r>
      <w:r w:rsidRPr="00976742">
        <w:rPr>
          <w:rFonts w:ascii="Times New Roman" w:hAnsi="Times New Roman"/>
          <w:bCs/>
          <w:sz w:val="24"/>
          <w:szCs w:val="24"/>
        </w:rPr>
        <w:t xml:space="preserve">, 509 U.S. 579 (1993), involved a lawsuit alleging that birth defects might have been caused by pregnant women taking Bendectin for anti-nausea.  The federal judge granted summary judgment to Merrell Dow, finding plaintiff’s expert testimony was not based on medical studies of humans, but based “upon ‘in vitro’ (test tube) and ‘in vivo’ (live) animal studies that found a link between Bendectin and malformations.”  </w:t>
      </w:r>
      <w:hyperlink r:id="rId322" w:history="1">
        <w:r w:rsidRPr="00976742">
          <w:rPr>
            <w:rStyle w:val="Hyperlink"/>
            <w:rFonts w:ascii="Times New Roman" w:hAnsi="Times New Roman"/>
            <w:b/>
            <w:sz w:val="24"/>
            <w:szCs w:val="24"/>
          </w:rPr>
          <w:t>https://www.law.cornell.edu/supct/html/92-102.ZO.html</w:t>
        </w:r>
      </w:hyperlink>
      <w:r w:rsidRPr="00976742">
        <w:rPr>
          <w:rFonts w:ascii="Times New Roman" w:hAnsi="Times New Roman"/>
          <w:bCs/>
          <w:sz w:val="24"/>
          <w:szCs w:val="24"/>
        </w:rPr>
        <w:t>.   The Supreme Court remanded the case, and directed the judge to decide if the plaintiffs’ experts met Rule 702 of the Federal Rules of Evidence, which provides (in part):</w:t>
      </w:r>
    </w:p>
    <w:p w14:paraId="2A3BA84B" w14:textId="77777777" w:rsidR="00A01ACA" w:rsidRPr="00976742" w:rsidRDefault="00A01ACA" w:rsidP="00A01ACA">
      <w:pPr>
        <w:pStyle w:val="NoSpacing"/>
        <w:ind w:left="1440"/>
        <w:rPr>
          <w:rFonts w:ascii="Times New Roman" w:eastAsia="Times New Roman" w:hAnsi="Times New Roman"/>
          <w:b/>
          <w:bCs/>
          <w:sz w:val="24"/>
          <w:szCs w:val="24"/>
        </w:rPr>
      </w:pPr>
    </w:p>
    <w:p w14:paraId="4DB4144C" w14:textId="77777777" w:rsidR="00A01ACA" w:rsidRPr="00976742" w:rsidRDefault="00A01ACA" w:rsidP="00A01ACA">
      <w:pPr>
        <w:pStyle w:val="NoSpacing"/>
        <w:ind w:left="1440"/>
        <w:rPr>
          <w:rFonts w:ascii="Times New Roman" w:hAnsi="Times New Roman"/>
          <w:b/>
          <w:bCs/>
          <w:sz w:val="24"/>
          <w:szCs w:val="24"/>
        </w:rPr>
      </w:pPr>
      <w:r>
        <w:rPr>
          <w:rFonts w:ascii="Times New Roman" w:eastAsia="Times New Roman" w:hAnsi="Times New Roman"/>
          <w:bCs/>
          <w:sz w:val="24"/>
          <w:szCs w:val="24"/>
        </w:rPr>
        <w:t>“</w:t>
      </w:r>
      <w:r w:rsidRPr="00976742">
        <w:rPr>
          <w:rFonts w:ascii="Times New Roman" w:eastAsia="Times New Roman" w:hAnsi="Times New Roman"/>
          <w:bCs/>
          <w:sz w:val="24"/>
          <w:szCs w:val="24"/>
        </w:rPr>
        <w:t>If scientific, technical, or other specialized knowledge will assist the trier of fact to understand the evidence or to determine a fact in issue, a witness qualified as an expert by knowledge, skill, experience, training, or education, may testify thereto in the form of an opinion or otherwise...</w:t>
      </w:r>
      <w:r>
        <w:rPr>
          <w:rFonts w:ascii="Times New Roman" w:eastAsia="Times New Roman" w:hAnsi="Times New Roman"/>
          <w:bCs/>
          <w:sz w:val="24"/>
          <w:szCs w:val="24"/>
        </w:rPr>
        <w:t>.”</w:t>
      </w:r>
      <w:r w:rsidRPr="00976742">
        <w:rPr>
          <w:rFonts w:ascii="Times New Roman" w:eastAsia="Times New Roman" w:hAnsi="Times New Roman"/>
          <w:bCs/>
          <w:sz w:val="24"/>
          <w:szCs w:val="24"/>
        </w:rPr>
        <w:t xml:space="preserve"> </w:t>
      </w:r>
    </w:p>
    <w:p w14:paraId="107B734A" w14:textId="77777777" w:rsidR="00A01ACA" w:rsidRPr="00976742" w:rsidRDefault="00A01ACA" w:rsidP="00A01ACA">
      <w:pPr>
        <w:pStyle w:val="NoSpacing"/>
        <w:ind w:left="720"/>
        <w:rPr>
          <w:rFonts w:ascii="Times New Roman" w:hAnsi="Times New Roman"/>
          <w:b/>
          <w:bCs/>
          <w:i/>
          <w:iCs/>
          <w:sz w:val="24"/>
          <w:szCs w:val="24"/>
        </w:rPr>
      </w:pPr>
    </w:p>
    <w:p w14:paraId="6B02A2E4" w14:textId="77777777" w:rsidR="00A01ACA" w:rsidRPr="00976742" w:rsidRDefault="00A01ACA" w:rsidP="00A01ACA">
      <w:pPr>
        <w:pStyle w:val="NoSpacing"/>
        <w:ind w:left="720"/>
        <w:rPr>
          <w:rFonts w:ascii="Times New Roman" w:hAnsi="Times New Roman"/>
          <w:b/>
          <w:bCs/>
          <w:sz w:val="24"/>
          <w:szCs w:val="24"/>
        </w:rPr>
      </w:pPr>
      <w:r w:rsidRPr="00976742">
        <w:rPr>
          <w:rFonts w:ascii="Times New Roman" w:hAnsi="Times New Roman"/>
          <w:bCs/>
          <w:sz w:val="24"/>
          <w:szCs w:val="24"/>
        </w:rPr>
        <w:t xml:space="preserve">The U.S. Supreme Court applied those standards in </w:t>
      </w:r>
      <w:r w:rsidRPr="00976742">
        <w:rPr>
          <w:rFonts w:ascii="Times New Roman" w:hAnsi="Times New Roman"/>
          <w:bCs/>
          <w:i/>
          <w:iCs/>
          <w:sz w:val="24"/>
          <w:szCs w:val="24"/>
        </w:rPr>
        <w:t>Kumho Tire Co. v. Carmichael</w:t>
      </w:r>
      <w:r w:rsidRPr="00976742">
        <w:rPr>
          <w:rFonts w:ascii="Times New Roman" w:hAnsi="Times New Roman"/>
          <w:bCs/>
          <w:sz w:val="24"/>
          <w:szCs w:val="24"/>
        </w:rPr>
        <w:t xml:space="preserve">, 526 U.S. 137 (1999), involving steel belted radial tire on a minivan, where passenger was killed.  The Court rejected the plaintiff’s tire expert: “Applying these standards, we determine that the District Court's decision in this case—not to admit certain expert testimony—was within its discretion and therefore lawful.” </w:t>
      </w:r>
      <w:hyperlink r:id="rId323" w:history="1">
        <w:r w:rsidRPr="00976742">
          <w:rPr>
            <w:rStyle w:val="Hyperlink"/>
            <w:rFonts w:ascii="Times New Roman" w:hAnsi="Times New Roman"/>
            <w:b/>
            <w:sz w:val="24"/>
            <w:szCs w:val="24"/>
          </w:rPr>
          <w:t>https://scholar.google.com/scholar_case?case=11404623739922196630&amp;q=Kumho+Tire+Co.+v.+Carmichael&amp;hl=en&amp;as_sdt=6,36&amp;as_vis=1</w:t>
        </w:r>
      </w:hyperlink>
      <w:r w:rsidRPr="00976742">
        <w:rPr>
          <w:rFonts w:ascii="Times New Roman" w:hAnsi="Times New Roman"/>
          <w:bCs/>
          <w:sz w:val="24"/>
          <w:szCs w:val="24"/>
        </w:rPr>
        <w:t xml:space="preserve"> </w:t>
      </w:r>
    </w:p>
    <w:p w14:paraId="259B960B" w14:textId="77777777" w:rsidR="00A01ACA" w:rsidRDefault="00A01ACA" w:rsidP="002B1283">
      <w:pPr>
        <w:rPr>
          <w:rFonts w:ascii="Arial Black" w:hAnsi="Arial Black"/>
          <w:b/>
          <w:sz w:val="24"/>
          <w:szCs w:val="24"/>
        </w:rPr>
      </w:pPr>
    </w:p>
    <w:p w14:paraId="56904DE0" w14:textId="64536183" w:rsidR="00A01ACA" w:rsidRDefault="00D94DC4" w:rsidP="002B1283">
      <w:pPr>
        <w:rPr>
          <w:rFonts w:ascii="Arial Black" w:hAnsi="Arial Black"/>
          <w:b/>
          <w:sz w:val="24"/>
          <w:szCs w:val="24"/>
        </w:rPr>
      </w:pPr>
      <w:r>
        <w:rPr>
          <w:rFonts w:ascii="Arial Black" w:hAnsi="Arial Black"/>
          <w:b/>
          <w:sz w:val="24"/>
          <w:szCs w:val="24"/>
        </w:rPr>
        <w:t>1-49</w:t>
      </w:r>
    </w:p>
    <w:p w14:paraId="7E0BE56D" w14:textId="77777777" w:rsidR="00D94DC4" w:rsidRPr="005F058B" w:rsidRDefault="00D94DC4" w:rsidP="00D94DC4">
      <w:pPr>
        <w:spacing w:before="100" w:beforeAutospacing="1" w:after="100" w:afterAutospacing="1" w:line="240" w:lineRule="auto"/>
        <w:rPr>
          <w:rFonts w:ascii="Arial Black" w:eastAsia="Times New Roman" w:hAnsi="Arial Black"/>
          <w:b/>
          <w:bCs/>
          <w:sz w:val="28"/>
          <w:szCs w:val="28"/>
        </w:rPr>
      </w:pPr>
      <w:bookmarkStart w:id="23" w:name="_Hlk69187401"/>
      <w:r w:rsidRPr="005F058B">
        <w:rPr>
          <w:rFonts w:ascii="Arial Black" w:eastAsia="Times New Roman" w:hAnsi="Arial Black"/>
          <w:b/>
          <w:bCs/>
          <w:sz w:val="28"/>
          <w:szCs w:val="28"/>
        </w:rPr>
        <w:t xml:space="preserve">MN: </w:t>
      </w:r>
      <w:r>
        <w:rPr>
          <w:rFonts w:ascii="Arial Black" w:eastAsia="Times New Roman" w:hAnsi="Arial Black"/>
          <w:b/>
          <w:bCs/>
          <w:sz w:val="28"/>
          <w:szCs w:val="28"/>
        </w:rPr>
        <w:t xml:space="preserve">ARSON – HOMEOWNER INTENTIONALLY SET FIRE - 41 MONTHS PRISON – TRIAL JUDGE REJECTED PROBATION - KILLED DOG, LIED INVESTIGATORS, INSURANCE FRAUD </w:t>
      </w:r>
    </w:p>
    <w:bookmarkEnd w:id="23"/>
    <w:p w14:paraId="296D9018" w14:textId="77777777" w:rsidR="00D94DC4" w:rsidRDefault="00D94DC4" w:rsidP="00D94DC4">
      <w:pPr>
        <w:spacing w:before="100" w:beforeAutospacing="1" w:after="100" w:afterAutospacing="1" w:line="240" w:lineRule="auto"/>
        <w:rPr>
          <w:rFonts w:ascii="Times New Roman" w:eastAsia="Times New Roman" w:hAnsi="Times New Roman"/>
          <w:sz w:val="24"/>
          <w:szCs w:val="24"/>
        </w:rPr>
      </w:pPr>
      <w:r w:rsidRPr="008067AC">
        <w:rPr>
          <w:rFonts w:ascii="Times New Roman" w:eastAsia="Times New Roman" w:hAnsi="Times New Roman"/>
          <w:sz w:val="24"/>
          <w:szCs w:val="24"/>
        </w:rPr>
        <w:t xml:space="preserve">On April 13, 2020, in </w:t>
      </w:r>
      <w:r w:rsidRPr="008067AC">
        <w:rPr>
          <w:rFonts w:ascii="Times New Roman" w:eastAsia="Times New Roman" w:hAnsi="Times New Roman"/>
          <w:sz w:val="24"/>
          <w:szCs w:val="24"/>
          <w:u w:val="single"/>
        </w:rPr>
        <w:t>State of Minnesota v. Jeffrey George Ackerson, Jr.</w:t>
      </w:r>
      <w:r>
        <w:rPr>
          <w:rFonts w:ascii="Times New Roman" w:eastAsia="Times New Roman" w:hAnsi="Times New Roman"/>
          <w:sz w:val="24"/>
          <w:szCs w:val="24"/>
        </w:rPr>
        <w:t xml:space="preserve">, the State of Minnesota Court of Appeals, held (3 to 0) that the trial judge did not abuse his discretion in refusing to impose a reduced sentence. </w:t>
      </w:r>
      <w:bookmarkStart w:id="24" w:name="_Hlk69187457"/>
      <w:r w:rsidR="000F483A">
        <w:fldChar w:fldCharType="begin"/>
      </w:r>
      <w:r w:rsidR="000F483A">
        <w:instrText xml:space="preserve"> HYPERLINK "https://mn.gov/law-library-stat/archive/ctapun/2020/OPa190562-041320.pdf" </w:instrText>
      </w:r>
      <w:r w:rsidR="000F483A">
        <w:fldChar w:fldCharType="separate"/>
      </w:r>
      <w:r w:rsidRPr="00C46C1D">
        <w:rPr>
          <w:rStyle w:val="Hyperlink"/>
          <w:sz w:val="24"/>
          <w:szCs w:val="24"/>
        </w:rPr>
        <w:t>https://mn.gov/law-library-stat/archive/ctapun/2020/OPa190562-041320.pdf</w:t>
      </w:r>
      <w:r w:rsidR="000F483A">
        <w:rPr>
          <w:rStyle w:val="Hyperlink"/>
          <w:sz w:val="24"/>
          <w:szCs w:val="24"/>
        </w:rPr>
        <w:fldChar w:fldCharType="end"/>
      </w:r>
      <w:r>
        <w:rPr>
          <w:rFonts w:ascii="Times New Roman" w:eastAsia="Times New Roman" w:hAnsi="Times New Roman"/>
          <w:sz w:val="24"/>
          <w:szCs w:val="24"/>
        </w:rPr>
        <w:t xml:space="preserve"> </w:t>
      </w:r>
    </w:p>
    <w:bookmarkEnd w:id="24"/>
    <w:p w14:paraId="355638C3" w14:textId="77777777" w:rsidR="00D94DC4" w:rsidRPr="008067AC" w:rsidRDefault="00D94DC4" w:rsidP="00D94DC4">
      <w:pPr>
        <w:spacing w:before="100" w:beforeAutospacing="1" w:after="100" w:afterAutospacing="1" w:line="240" w:lineRule="auto"/>
        <w:jc w:val="both"/>
        <w:rPr>
          <w:rFonts w:ascii="Times New Roman" w:hAnsi="Times New Roman"/>
          <w:b/>
          <w:bCs/>
          <w:sz w:val="24"/>
          <w:szCs w:val="24"/>
        </w:rPr>
      </w:pPr>
      <w:r w:rsidRPr="008067AC">
        <w:rPr>
          <w:rFonts w:ascii="Times New Roman" w:hAnsi="Times New Roman"/>
          <w:b/>
          <w:bCs/>
          <w:sz w:val="24"/>
          <w:szCs w:val="24"/>
        </w:rPr>
        <w:t xml:space="preserve">Legal Lessons Learned: </w:t>
      </w:r>
      <w:r>
        <w:rPr>
          <w:rFonts w:ascii="Times New Roman" w:hAnsi="Times New Roman"/>
          <w:b/>
          <w:bCs/>
          <w:sz w:val="24"/>
          <w:szCs w:val="24"/>
        </w:rPr>
        <w:t xml:space="preserve">Minnesota uses presumptive sentencing guidelines; the trial court wisely rejected the public defender office </w:t>
      </w:r>
      <w:r w:rsidRPr="00C01962">
        <w:rPr>
          <w:rFonts w:ascii="Times New Roman" w:hAnsi="Times New Roman"/>
          <w:b/>
          <w:bCs/>
          <w:sz w:val="24"/>
          <w:szCs w:val="24"/>
        </w:rPr>
        <w:t>“dispositional advisor”</w:t>
      </w:r>
      <w:r>
        <w:rPr>
          <w:rFonts w:ascii="Times New Roman" w:hAnsi="Times New Roman"/>
          <w:b/>
          <w:bCs/>
          <w:sz w:val="24"/>
          <w:szCs w:val="24"/>
        </w:rPr>
        <w:t xml:space="preserve"> recommendation of probation. </w:t>
      </w:r>
    </w:p>
    <w:p w14:paraId="6DD0CB15" w14:textId="77777777" w:rsidR="00D94DC4" w:rsidRDefault="00D94DC4" w:rsidP="002B1283">
      <w:pPr>
        <w:rPr>
          <w:rFonts w:ascii="Arial Black" w:hAnsi="Arial Black"/>
          <w:b/>
          <w:sz w:val="24"/>
          <w:szCs w:val="24"/>
        </w:rPr>
      </w:pPr>
    </w:p>
    <w:p w14:paraId="54214AD2" w14:textId="77777777" w:rsidR="00A01ACA" w:rsidRDefault="00A01ACA" w:rsidP="002B1283">
      <w:pPr>
        <w:rPr>
          <w:rFonts w:ascii="Arial Black" w:hAnsi="Arial Black"/>
          <w:b/>
          <w:sz w:val="24"/>
          <w:szCs w:val="24"/>
        </w:rPr>
      </w:pPr>
    </w:p>
    <w:p w14:paraId="0E4FF9CA" w14:textId="749AE805" w:rsidR="00A01ACA" w:rsidRDefault="00A01ACA" w:rsidP="002B1283">
      <w:pPr>
        <w:rPr>
          <w:rFonts w:ascii="Arial Black" w:hAnsi="Arial Black"/>
          <w:b/>
          <w:sz w:val="24"/>
          <w:szCs w:val="24"/>
        </w:rPr>
      </w:pPr>
      <w:r>
        <w:rPr>
          <w:rFonts w:ascii="Arial Black" w:hAnsi="Arial Black"/>
          <w:b/>
          <w:sz w:val="24"/>
          <w:szCs w:val="24"/>
        </w:rPr>
        <w:t>1-4</w:t>
      </w:r>
      <w:r w:rsidR="00334940">
        <w:rPr>
          <w:rFonts w:ascii="Arial Black" w:hAnsi="Arial Black"/>
          <w:b/>
          <w:sz w:val="24"/>
          <w:szCs w:val="24"/>
        </w:rPr>
        <w:t>8</w:t>
      </w:r>
    </w:p>
    <w:p w14:paraId="5CD55791" w14:textId="77777777" w:rsidR="00A01ACA" w:rsidRPr="00B6039F" w:rsidRDefault="00A01ACA" w:rsidP="00A01ACA">
      <w:pPr>
        <w:pStyle w:val="NoSpacing"/>
        <w:rPr>
          <w:rFonts w:ascii="Arial Black" w:hAnsi="Arial Black"/>
          <w:sz w:val="28"/>
          <w:szCs w:val="28"/>
        </w:rPr>
      </w:pPr>
      <w:bookmarkStart w:id="25" w:name="_Hlk41315198"/>
      <w:r w:rsidRPr="00B6039F">
        <w:rPr>
          <w:rFonts w:ascii="Arial Black" w:hAnsi="Arial Black"/>
          <w:sz w:val="28"/>
          <w:szCs w:val="28"/>
        </w:rPr>
        <w:t>U.S. SUP</w:t>
      </w:r>
      <w:r>
        <w:rPr>
          <w:rFonts w:ascii="Arial Black" w:hAnsi="Arial Black"/>
          <w:sz w:val="28"/>
          <w:szCs w:val="28"/>
        </w:rPr>
        <w:t xml:space="preserve">. CT:  CRIMINAL CONV. MUST BE </w:t>
      </w:r>
      <w:r w:rsidRPr="00B6039F">
        <w:rPr>
          <w:rFonts w:ascii="Arial Black" w:hAnsi="Arial Black"/>
          <w:sz w:val="28"/>
          <w:szCs w:val="28"/>
        </w:rPr>
        <w:t>UNANIMOUS</w:t>
      </w:r>
      <w:r>
        <w:rPr>
          <w:rFonts w:ascii="Arial Black" w:hAnsi="Arial Black"/>
          <w:sz w:val="28"/>
          <w:szCs w:val="28"/>
        </w:rPr>
        <w:t xml:space="preserve"> JURY – LOUISIANA, OREGON 10-2 UNCONSTITUTIONAL</w:t>
      </w:r>
    </w:p>
    <w:p w14:paraId="7F8D42D8" w14:textId="77777777" w:rsidR="00A01ACA" w:rsidRDefault="00A01ACA" w:rsidP="00A01ACA">
      <w:pPr>
        <w:pStyle w:val="NoSpacing"/>
        <w:rPr>
          <w:sz w:val="27"/>
          <w:szCs w:val="27"/>
        </w:rPr>
      </w:pPr>
    </w:p>
    <w:p w14:paraId="694A4B42" w14:textId="77777777" w:rsidR="00A01ACA" w:rsidRPr="00976742" w:rsidRDefault="00A01ACA" w:rsidP="00A01ACA">
      <w:pPr>
        <w:pStyle w:val="NoSpacing"/>
        <w:rPr>
          <w:rFonts w:ascii="Times New Roman" w:hAnsi="Times New Roman"/>
          <w:b/>
          <w:bCs/>
          <w:sz w:val="24"/>
          <w:szCs w:val="24"/>
        </w:rPr>
      </w:pPr>
      <w:r w:rsidRPr="00976742">
        <w:rPr>
          <w:rFonts w:ascii="Times New Roman" w:hAnsi="Times New Roman"/>
          <w:bCs/>
          <w:sz w:val="24"/>
          <w:szCs w:val="24"/>
        </w:rPr>
        <w:t xml:space="preserve">On April 20, </w:t>
      </w:r>
      <w:proofErr w:type="gramStart"/>
      <w:r w:rsidRPr="00976742">
        <w:rPr>
          <w:rFonts w:ascii="Times New Roman" w:hAnsi="Times New Roman"/>
          <w:bCs/>
          <w:sz w:val="24"/>
          <w:szCs w:val="24"/>
        </w:rPr>
        <w:t>2020</w:t>
      </w:r>
      <w:proofErr w:type="gramEnd"/>
      <w:r w:rsidRPr="00976742">
        <w:rPr>
          <w:rFonts w:ascii="Times New Roman" w:hAnsi="Times New Roman"/>
          <w:bCs/>
          <w:sz w:val="24"/>
          <w:szCs w:val="24"/>
        </w:rPr>
        <w:t xml:space="preserve"> in </w:t>
      </w:r>
      <w:proofErr w:type="spellStart"/>
      <w:r w:rsidRPr="00976742">
        <w:rPr>
          <w:rFonts w:ascii="Times New Roman" w:hAnsi="Times New Roman"/>
          <w:bCs/>
          <w:sz w:val="24"/>
          <w:szCs w:val="24"/>
          <w:u w:val="single"/>
        </w:rPr>
        <w:t>Evangelisto</w:t>
      </w:r>
      <w:proofErr w:type="spellEnd"/>
      <w:r w:rsidRPr="00976742">
        <w:rPr>
          <w:rFonts w:ascii="Times New Roman" w:hAnsi="Times New Roman"/>
          <w:bCs/>
          <w:sz w:val="24"/>
          <w:szCs w:val="24"/>
          <w:u w:val="single"/>
        </w:rPr>
        <w:t xml:space="preserve"> Ramos v. Louisiana</w:t>
      </w:r>
      <w:r w:rsidRPr="00976742">
        <w:rPr>
          <w:rFonts w:ascii="Times New Roman" w:hAnsi="Times New Roman"/>
          <w:bCs/>
          <w:sz w:val="24"/>
          <w:szCs w:val="24"/>
        </w:rPr>
        <w:t xml:space="preserve">, the U.S. Supreme Court (6 to 3) set aside prior court precedent from 1972, overturned Ramos’s conviction for second-degree murder, and life imprisonment. Six Justices agreed on setting aside the conviction, but 4 of the 6 wrote concurring opinions outlining different legal reasoning. Louisiana and Oregon are the only states allowing convictions on less than unanimous verdicts (implemented in Louisiana in 1898 out of concern about African American jurors on jury; Oregon in 1930s implemented out of concern of KKK members getting on jury).  Louisiana in 2019 started requiring unanimous verdicts for crimes committed in 2019 or later.  Presumably they will re-try Ramos (an oil-supply boat worker, who admitted having consensual sex with </w:t>
      </w:r>
      <w:proofErr w:type="gramStart"/>
      <w:r w:rsidRPr="00976742">
        <w:rPr>
          <w:rFonts w:ascii="Times New Roman" w:hAnsi="Times New Roman"/>
          <w:bCs/>
          <w:sz w:val="24"/>
          <w:szCs w:val="24"/>
        </w:rPr>
        <w:t>43-year old</w:t>
      </w:r>
      <w:proofErr w:type="gramEnd"/>
      <w:r w:rsidRPr="00976742">
        <w:rPr>
          <w:rFonts w:ascii="Times New Roman" w:hAnsi="Times New Roman"/>
          <w:bCs/>
          <w:sz w:val="24"/>
          <w:szCs w:val="24"/>
        </w:rPr>
        <w:t xml:space="preserve"> </w:t>
      </w:r>
      <w:proofErr w:type="spellStart"/>
      <w:r w:rsidRPr="00976742">
        <w:rPr>
          <w:rFonts w:ascii="Times New Roman" w:hAnsi="Times New Roman"/>
          <w:bCs/>
          <w:sz w:val="24"/>
          <w:szCs w:val="24"/>
        </w:rPr>
        <w:t>Ternice</w:t>
      </w:r>
      <w:proofErr w:type="spellEnd"/>
      <w:r w:rsidRPr="00976742">
        <w:rPr>
          <w:rFonts w:ascii="Times New Roman" w:hAnsi="Times New Roman"/>
          <w:bCs/>
          <w:sz w:val="24"/>
          <w:szCs w:val="24"/>
        </w:rPr>
        <w:t xml:space="preserve"> Fedison the night before her body was stuffed into a garbage can).   </w:t>
      </w:r>
    </w:p>
    <w:p w14:paraId="6236074E" w14:textId="77777777" w:rsidR="00A01ACA" w:rsidRPr="00976742" w:rsidRDefault="00A01ACA" w:rsidP="00A01ACA">
      <w:pPr>
        <w:pStyle w:val="NoSpacing"/>
        <w:rPr>
          <w:rFonts w:ascii="Times New Roman" w:hAnsi="Times New Roman"/>
          <w:b/>
          <w:bCs/>
          <w:sz w:val="24"/>
          <w:szCs w:val="24"/>
        </w:rPr>
      </w:pPr>
    </w:p>
    <w:p w14:paraId="4DC31D7E" w14:textId="77777777" w:rsidR="00A01ACA" w:rsidRPr="00976742" w:rsidRDefault="00A01ACA" w:rsidP="00A01ACA">
      <w:pPr>
        <w:pStyle w:val="NoSpacing"/>
        <w:ind w:left="720"/>
        <w:rPr>
          <w:rFonts w:ascii="Times New Roman" w:hAnsi="Times New Roman"/>
          <w:b/>
          <w:bCs/>
          <w:sz w:val="24"/>
          <w:szCs w:val="24"/>
        </w:rPr>
      </w:pPr>
      <w:bookmarkStart w:id="26" w:name="_Hlk39765318"/>
      <w:r w:rsidRPr="00976742">
        <w:rPr>
          <w:rFonts w:ascii="Times New Roman" w:hAnsi="Times New Roman"/>
          <w:bCs/>
          <w:sz w:val="24"/>
          <w:szCs w:val="24"/>
        </w:rPr>
        <w:t xml:space="preserve">“On what ground would anyone </w:t>
      </w:r>
      <w:proofErr w:type="gramStart"/>
      <w:r w:rsidRPr="00976742">
        <w:rPr>
          <w:rFonts w:ascii="Times New Roman" w:hAnsi="Times New Roman"/>
          <w:bCs/>
          <w:sz w:val="24"/>
          <w:szCs w:val="24"/>
        </w:rPr>
        <w:t>have</w:t>
      </w:r>
      <w:proofErr w:type="gramEnd"/>
      <w:r w:rsidRPr="00976742">
        <w:rPr>
          <w:rFonts w:ascii="Times New Roman" w:hAnsi="Times New Roman"/>
          <w:bCs/>
          <w:sz w:val="24"/>
          <w:szCs w:val="24"/>
        </w:rPr>
        <w:t xml:space="preserve"> us leave Mr. Ramos in prison for the rest of his life? Not a single Member of this Court is prepared to say Louisiana secured his conviction constitutionally under the Sixth Amendment. No one </w:t>
      </w:r>
      <w:proofErr w:type="gramStart"/>
      <w:r w:rsidRPr="00976742">
        <w:rPr>
          <w:rFonts w:ascii="Times New Roman" w:hAnsi="Times New Roman"/>
          <w:bCs/>
          <w:sz w:val="24"/>
          <w:szCs w:val="24"/>
        </w:rPr>
        <w:t>be-fore</w:t>
      </w:r>
      <w:proofErr w:type="gramEnd"/>
      <w:r w:rsidRPr="00976742">
        <w:rPr>
          <w:rFonts w:ascii="Times New Roman" w:hAnsi="Times New Roman"/>
          <w:bCs/>
          <w:sz w:val="24"/>
          <w:szCs w:val="24"/>
        </w:rPr>
        <w:t xml:space="preserve"> us suggests that the error was harmless. Louisiana does not claim precedent commands an affirmance. In the end, the </w:t>
      </w:r>
      <w:proofErr w:type="gramStart"/>
      <w:r w:rsidRPr="00976742">
        <w:rPr>
          <w:rFonts w:ascii="Times New Roman" w:hAnsi="Times New Roman"/>
          <w:bCs/>
          <w:sz w:val="24"/>
          <w:szCs w:val="24"/>
        </w:rPr>
        <w:t>best</w:t>
      </w:r>
      <w:proofErr w:type="gramEnd"/>
      <w:r w:rsidRPr="00976742">
        <w:rPr>
          <w:rFonts w:ascii="Times New Roman" w:hAnsi="Times New Roman"/>
          <w:bCs/>
          <w:sz w:val="24"/>
          <w:szCs w:val="24"/>
        </w:rPr>
        <w:t xml:space="preserve"> anyone </w:t>
      </w:r>
      <w:proofErr w:type="gramStart"/>
      <w:r w:rsidRPr="00976742">
        <w:rPr>
          <w:rFonts w:ascii="Times New Roman" w:hAnsi="Times New Roman"/>
          <w:bCs/>
          <w:sz w:val="24"/>
          <w:szCs w:val="24"/>
        </w:rPr>
        <w:t>can</w:t>
      </w:r>
      <w:proofErr w:type="gramEnd"/>
      <w:r w:rsidRPr="00976742">
        <w:rPr>
          <w:rFonts w:ascii="Times New Roman" w:hAnsi="Times New Roman"/>
          <w:bCs/>
          <w:sz w:val="24"/>
          <w:szCs w:val="24"/>
        </w:rPr>
        <w:t xml:space="preserve"> seem to muster against Mr. Ramos is that, if we dared to admit in his case what we all know to be true about the Sixth Amendment, we might have to say the same in some others. But where is </w:t>
      </w:r>
      <w:proofErr w:type="gramStart"/>
      <w:r w:rsidRPr="00976742">
        <w:rPr>
          <w:rFonts w:ascii="Times New Roman" w:hAnsi="Times New Roman"/>
          <w:bCs/>
          <w:sz w:val="24"/>
          <w:szCs w:val="24"/>
        </w:rPr>
        <w:t>the justice</w:t>
      </w:r>
      <w:proofErr w:type="gramEnd"/>
      <w:r w:rsidRPr="00976742">
        <w:rPr>
          <w:rFonts w:ascii="Times New Roman" w:hAnsi="Times New Roman"/>
          <w:bCs/>
          <w:sz w:val="24"/>
          <w:szCs w:val="24"/>
        </w:rPr>
        <w:t xml:space="preserve"> in that? Every judge must learn to live with the fact he or she will make some mistakes; it comes with the territory. But it is something else entirely to perpetuate something we all know to be wrong only because we fear the consequences of being right. The judgment of the Court of Appeals is Reversed.” </w:t>
      </w:r>
      <w:hyperlink r:id="rId324" w:history="1">
        <w:r w:rsidRPr="00976742">
          <w:rPr>
            <w:rStyle w:val="Hyperlink"/>
            <w:rFonts w:ascii="Times New Roman" w:hAnsi="Times New Roman"/>
            <w:b/>
            <w:sz w:val="24"/>
            <w:szCs w:val="24"/>
          </w:rPr>
          <w:t>https://www.supremecourt.gov/opinions/19pdf/18-5924_n6io.pdf</w:t>
        </w:r>
      </w:hyperlink>
      <w:r w:rsidRPr="00976742">
        <w:rPr>
          <w:rFonts w:ascii="Times New Roman" w:hAnsi="Times New Roman"/>
          <w:bCs/>
          <w:sz w:val="24"/>
          <w:szCs w:val="24"/>
        </w:rPr>
        <w:t xml:space="preserve"> </w:t>
      </w:r>
    </w:p>
    <w:bookmarkEnd w:id="26"/>
    <w:p w14:paraId="7F74FADB" w14:textId="77777777" w:rsidR="00A01ACA" w:rsidRDefault="00A01ACA" w:rsidP="00A01ACA">
      <w:pPr>
        <w:pStyle w:val="NoSpacing"/>
        <w:rPr>
          <w:rFonts w:ascii="Times New Roman" w:hAnsi="Times New Roman"/>
          <w:b/>
          <w:bCs/>
          <w:sz w:val="24"/>
          <w:szCs w:val="24"/>
        </w:rPr>
      </w:pPr>
    </w:p>
    <w:p w14:paraId="6DFB1564" w14:textId="54709E47" w:rsidR="00A01ACA" w:rsidRPr="00976742" w:rsidRDefault="00A01ACA" w:rsidP="00A01ACA">
      <w:pPr>
        <w:pStyle w:val="NoSpacing"/>
        <w:rPr>
          <w:rFonts w:ascii="Times New Roman" w:hAnsi="Times New Roman"/>
          <w:b/>
          <w:bCs/>
          <w:sz w:val="24"/>
          <w:szCs w:val="24"/>
        </w:rPr>
      </w:pPr>
      <w:r w:rsidRPr="00976742">
        <w:rPr>
          <w:rFonts w:ascii="Times New Roman" w:hAnsi="Times New Roman"/>
          <w:b/>
          <w:bCs/>
          <w:sz w:val="24"/>
          <w:szCs w:val="24"/>
        </w:rPr>
        <w:t xml:space="preserve">Legal Lessons Learned:  Our Nation will now be uniform – unanimous jury verdicts will be required to convict (or to acquit). </w:t>
      </w:r>
    </w:p>
    <w:bookmarkEnd w:id="25"/>
    <w:p w14:paraId="41B593FD" w14:textId="77777777" w:rsidR="00A01ACA" w:rsidRDefault="00A01ACA" w:rsidP="002B1283">
      <w:pPr>
        <w:rPr>
          <w:rFonts w:ascii="Arial Black" w:hAnsi="Arial Black"/>
          <w:b/>
          <w:sz w:val="24"/>
          <w:szCs w:val="24"/>
        </w:rPr>
      </w:pPr>
    </w:p>
    <w:p w14:paraId="6A22381E" w14:textId="77777777" w:rsidR="00A01ACA" w:rsidRDefault="00A01ACA" w:rsidP="002B1283">
      <w:pPr>
        <w:rPr>
          <w:rFonts w:ascii="Arial Black" w:hAnsi="Arial Black"/>
          <w:b/>
          <w:sz w:val="24"/>
          <w:szCs w:val="24"/>
        </w:rPr>
      </w:pPr>
    </w:p>
    <w:p w14:paraId="6562A152" w14:textId="77777777" w:rsidR="00A01ACA" w:rsidRDefault="00A01ACA" w:rsidP="002B1283">
      <w:pPr>
        <w:rPr>
          <w:rFonts w:ascii="Arial Black" w:hAnsi="Arial Black"/>
          <w:b/>
          <w:sz w:val="24"/>
          <w:szCs w:val="24"/>
        </w:rPr>
      </w:pPr>
    </w:p>
    <w:p w14:paraId="24419917" w14:textId="6BCF8A7B" w:rsidR="00A01ACA" w:rsidRDefault="00A01ACA" w:rsidP="002B1283">
      <w:pPr>
        <w:rPr>
          <w:rFonts w:ascii="Arial Black" w:hAnsi="Arial Black"/>
          <w:b/>
          <w:sz w:val="24"/>
          <w:szCs w:val="24"/>
        </w:rPr>
      </w:pPr>
      <w:r>
        <w:rPr>
          <w:rFonts w:ascii="Arial Black" w:hAnsi="Arial Black"/>
          <w:b/>
          <w:sz w:val="24"/>
          <w:szCs w:val="24"/>
        </w:rPr>
        <w:t>1-4</w:t>
      </w:r>
      <w:r w:rsidR="00334940">
        <w:rPr>
          <w:rFonts w:ascii="Arial Black" w:hAnsi="Arial Black"/>
          <w:b/>
          <w:sz w:val="24"/>
          <w:szCs w:val="24"/>
        </w:rPr>
        <w:t>7</w:t>
      </w:r>
    </w:p>
    <w:p w14:paraId="17E45F19" w14:textId="77777777" w:rsidR="00A01ACA" w:rsidRPr="008D16D7" w:rsidRDefault="00A01ACA" w:rsidP="00A01ACA">
      <w:pPr>
        <w:pStyle w:val="NoSpacing"/>
        <w:rPr>
          <w:rFonts w:ascii="Arial Black" w:hAnsi="Arial Black"/>
          <w:sz w:val="28"/>
          <w:szCs w:val="28"/>
        </w:rPr>
      </w:pPr>
      <w:bookmarkStart w:id="27" w:name="_Hlk69187531"/>
      <w:r>
        <w:rPr>
          <w:rFonts w:ascii="Arial Black" w:hAnsi="Arial Black"/>
          <w:sz w:val="28"/>
          <w:szCs w:val="28"/>
        </w:rPr>
        <w:t>OH:  FIRE CODES - TWO FIRES AT RECYCLING CENTER – LARGE PILE OF CONSTRUCTION DEBRI - INJUNCTION</w:t>
      </w:r>
    </w:p>
    <w:bookmarkEnd w:id="27"/>
    <w:p w14:paraId="2F2112DB" w14:textId="77777777" w:rsidR="00A01ACA" w:rsidRDefault="00A01ACA" w:rsidP="00A01ACA">
      <w:pPr>
        <w:pStyle w:val="NoSpacing"/>
        <w:rPr>
          <w:b/>
          <w:bCs/>
          <w:sz w:val="24"/>
          <w:szCs w:val="24"/>
        </w:rPr>
      </w:pPr>
    </w:p>
    <w:p w14:paraId="22DD2E0F" w14:textId="77777777" w:rsidR="00A01ACA" w:rsidRPr="00976742" w:rsidRDefault="00A01ACA" w:rsidP="00A01ACA">
      <w:pPr>
        <w:pStyle w:val="NoSpacing"/>
        <w:rPr>
          <w:rFonts w:ascii="Times New Roman" w:hAnsi="Times New Roman"/>
          <w:b/>
          <w:bCs/>
          <w:sz w:val="24"/>
          <w:szCs w:val="24"/>
        </w:rPr>
      </w:pPr>
      <w:r w:rsidRPr="00976742">
        <w:rPr>
          <w:rFonts w:ascii="Times New Roman" w:hAnsi="Times New Roman"/>
          <w:bCs/>
          <w:sz w:val="24"/>
          <w:szCs w:val="24"/>
        </w:rPr>
        <w:t xml:space="preserve">On </w:t>
      </w:r>
      <w:bookmarkStart w:id="28" w:name="_Hlk39822336"/>
      <w:r w:rsidRPr="00976742">
        <w:rPr>
          <w:rFonts w:ascii="Times New Roman" w:hAnsi="Times New Roman"/>
          <w:bCs/>
          <w:sz w:val="24"/>
          <w:szCs w:val="24"/>
        </w:rPr>
        <w:t xml:space="preserve">April 16, 2020, in </w:t>
      </w:r>
      <w:r w:rsidRPr="00976742">
        <w:rPr>
          <w:rFonts w:ascii="Times New Roman" w:hAnsi="Times New Roman"/>
          <w:bCs/>
          <w:sz w:val="24"/>
          <w:szCs w:val="24"/>
          <w:u w:val="single"/>
        </w:rPr>
        <w:t>State ex rel. Yost v. Baumann's Recycling Ctr., L.L.C.</w:t>
      </w:r>
      <w:r w:rsidRPr="00976742">
        <w:rPr>
          <w:rFonts w:ascii="Times New Roman" w:hAnsi="Times New Roman"/>
          <w:sz w:val="24"/>
          <w:szCs w:val="24"/>
        </w:rPr>
        <w:t xml:space="preserve">, </w:t>
      </w:r>
      <w:r w:rsidRPr="00976742">
        <w:rPr>
          <w:rFonts w:ascii="Times New Roman" w:hAnsi="Times New Roman"/>
          <w:bCs/>
          <w:sz w:val="24"/>
          <w:szCs w:val="24"/>
        </w:rPr>
        <w:t>2020-Ohio-1504</w:t>
      </w:r>
      <w:bookmarkEnd w:id="28"/>
      <w:r w:rsidRPr="00976742">
        <w:rPr>
          <w:rFonts w:ascii="Times New Roman" w:hAnsi="Times New Roman"/>
          <w:bCs/>
          <w:sz w:val="24"/>
          <w:szCs w:val="24"/>
        </w:rPr>
        <w:t xml:space="preserve">, the Ohio Court of Appeals for Eight Appellate District (Cuyahoga County), held (3 to 0) that the trial court properly issued an injunction.  On June 13, 2019, the trial court granted Ohio Attorney General’s lawsuit seeking an injunction, after a bench trial. </w:t>
      </w:r>
    </w:p>
    <w:p w14:paraId="1A3CA867" w14:textId="77777777" w:rsidR="00A01ACA" w:rsidRPr="00976742" w:rsidRDefault="00A01ACA" w:rsidP="00A01ACA">
      <w:pPr>
        <w:pStyle w:val="NoSpacing"/>
        <w:rPr>
          <w:rFonts w:ascii="Times New Roman" w:hAnsi="Times New Roman"/>
          <w:b/>
          <w:bCs/>
          <w:sz w:val="24"/>
          <w:szCs w:val="24"/>
        </w:rPr>
      </w:pPr>
    </w:p>
    <w:p w14:paraId="24153EAD" w14:textId="77777777" w:rsidR="00A01ACA" w:rsidRPr="00976742" w:rsidRDefault="00A01ACA" w:rsidP="00A01ACA">
      <w:pPr>
        <w:pStyle w:val="NoSpacing"/>
        <w:ind w:left="720"/>
        <w:rPr>
          <w:rFonts w:ascii="Times New Roman" w:hAnsi="Times New Roman"/>
          <w:b/>
          <w:bCs/>
          <w:sz w:val="24"/>
          <w:szCs w:val="24"/>
        </w:rPr>
      </w:pPr>
      <w:bookmarkStart w:id="29" w:name="_Hlk39765373"/>
      <w:r w:rsidRPr="00976742">
        <w:rPr>
          <w:rFonts w:ascii="Times New Roman" w:hAnsi="Times New Roman"/>
          <w:bCs/>
          <w:sz w:val="24"/>
          <w:szCs w:val="24"/>
        </w:rPr>
        <w:t xml:space="preserve">“Here, the evidence of record indicated that the disputed pile of C&amp;DD materials had not decreased in size since 2011. The judge properly found that this was not temporary. Further, the evidence demonstrated that the material was producing steam vents from active decomposition, so the court could </w:t>
      </w:r>
      <w:r w:rsidRPr="00976742">
        <w:rPr>
          <w:rFonts w:ascii="Times New Roman" w:hAnsi="Times New Roman"/>
          <w:bCs/>
          <w:sz w:val="24"/>
          <w:szCs w:val="24"/>
        </w:rPr>
        <w:lastRenderedPageBreak/>
        <w:t>properly conclude that the material was not ‘substantially unchanged’ or ‘retrievable.’ Therefore, the court did not err in rejecting BRC’s claim that it simply engaged in permissible storage in connection with its ‘processing’ of C&amp;DD within the facility exclusion from the requirements for C&amp;DD ‘disposal’ set forth in R.C. Chapter 3714.”</w:t>
      </w:r>
    </w:p>
    <w:bookmarkStart w:id="30" w:name="_Hlk39820985"/>
    <w:bookmarkStart w:id="31" w:name="_Hlk69187577"/>
    <w:p w14:paraId="5E1242B8" w14:textId="77777777" w:rsidR="00A01ACA" w:rsidRPr="00976742" w:rsidRDefault="00F2621E" w:rsidP="00A01ACA">
      <w:pPr>
        <w:pStyle w:val="NoSpacing"/>
        <w:ind w:left="720"/>
        <w:rPr>
          <w:rFonts w:ascii="Times New Roman" w:hAnsi="Times New Roman"/>
          <w:b/>
          <w:bCs/>
          <w:sz w:val="24"/>
          <w:szCs w:val="24"/>
        </w:rPr>
      </w:pPr>
      <w:r>
        <w:fldChar w:fldCharType="begin"/>
      </w:r>
      <w:r>
        <w:instrText xml:space="preserve"> HYPERLINK "https://www.supremecourt.ohio.gov/rod/docs/pdf/8/2020/2020-Ohio-1504.pdf" </w:instrText>
      </w:r>
      <w:r>
        <w:fldChar w:fldCharType="separate"/>
      </w:r>
      <w:r w:rsidR="00A01ACA" w:rsidRPr="00976742">
        <w:rPr>
          <w:rStyle w:val="Hyperlink"/>
          <w:rFonts w:ascii="Times New Roman" w:hAnsi="Times New Roman"/>
          <w:b/>
          <w:sz w:val="24"/>
          <w:szCs w:val="24"/>
        </w:rPr>
        <w:t>https://www.supremecourt.ohio.gov/rod/docs/pdf/8/2020/2020-Ohio-1504.pdf</w:t>
      </w:r>
      <w:r>
        <w:rPr>
          <w:rStyle w:val="Hyperlink"/>
          <w:rFonts w:ascii="Times New Roman" w:hAnsi="Times New Roman"/>
          <w:b/>
          <w:sz w:val="24"/>
          <w:szCs w:val="24"/>
        </w:rPr>
        <w:fldChar w:fldCharType="end"/>
      </w:r>
      <w:bookmarkEnd w:id="30"/>
      <w:r w:rsidR="00A01ACA" w:rsidRPr="00976742">
        <w:rPr>
          <w:rFonts w:ascii="Times New Roman" w:hAnsi="Times New Roman"/>
          <w:bCs/>
          <w:sz w:val="24"/>
          <w:szCs w:val="24"/>
        </w:rPr>
        <w:t xml:space="preserve"> </w:t>
      </w:r>
    </w:p>
    <w:bookmarkEnd w:id="29"/>
    <w:bookmarkEnd w:id="31"/>
    <w:p w14:paraId="7D967ECE" w14:textId="77777777" w:rsidR="00A01ACA" w:rsidRPr="00976742" w:rsidRDefault="00A01ACA" w:rsidP="00A01ACA">
      <w:pPr>
        <w:pStyle w:val="NoSpacing"/>
        <w:rPr>
          <w:rFonts w:ascii="Times New Roman" w:hAnsi="Times New Roman"/>
          <w:b/>
          <w:bCs/>
          <w:sz w:val="24"/>
          <w:szCs w:val="24"/>
        </w:rPr>
      </w:pPr>
    </w:p>
    <w:p w14:paraId="5F93B0E3" w14:textId="77777777" w:rsidR="00A01ACA" w:rsidRPr="00976742" w:rsidRDefault="00A01ACA" w:rsidP="00A01ACA">
      <w:pPr>
        <w:pStyle w:val="NoSpacing"/>
        <w:rPr>
          <w:rFonts w:ascii="Times New Roman" w:hAnsi="Times New Roman"/>
          <w:b/>
          <w:bCs/>
          <w:sz w:val="24"/>
          <w:szCs w:val="24"/>
        </w:rPr>
      </w:pPr>
      <w:r w:rsidRPr="00976742">
        <w:rPr>
          <w:rFonts w:ascii="Times New Roman" w:hAnsi="Times New Roman"/>
          <w:b/>
          <w:bCs/>
          <w:sz w:val="24"/>
          <w:szCs w:val="24"/>
        </w:rPr>
        <w:t xml:space="preserve">Legal Lessons Learned: The FD wisely called in the Ohio EPA, and when the owner did not promptly act to remove the fire hazard, the Ohio AG obtained an injunction.  </w:t>
      </w:r>
    </w:p>
    <w:p w14:paraId="3FF5F112" w14:textId="77777777" w:rsidR="00A01ACA" w:rsidRPr="00976742" w:rsidRDefault="00A01ACA" w:rsidP="00A01ACA">
      <w:pPr>
        <w:pStyle w:val="NoSpacing"/>
        <w:ind w:left="720"/>
        <w:rPr>
          <w:rFonts w:ascii="Times New Roman" w:hAnsi="Times New Roman"/>
          <w:b/>
          <w:bCs/>
          <w:sz w:val="24"/>
          <w:szCs w:val="24"/>
        </w:rPr>
      </w:pPr>
    </w:p>
    <w:p w14:paraId="592E1C00" w14:textId="77777777" w:rsidR="00A01ACA" w:rsidRPr="00976742" w:rsidRDefault="00A01ACA" w:rsidP="00A01ACA">
      <w:pPr>
        <w:pStyle w:val="NoSpacing"/>
        <w:ind w:left="720"/>
        <w:rPr>
          <w:rFonts w:ascii="Times New Roman" w:hAnsi="Times New Roman"/>
          <w:b/>
          <w:bCs/>
          <w:sz w:val="24"/>
          <w:szCs w:val="24"/>
        </w:rPr>
      </w:pPr>
      <w:r w:rsidRPr="00976742">
        <w:rPr>
          <w:rFonts w:ascii="Times New Roman" w:hAnsi="Times New Roman"/>
          <w:bCs/>
          <w:sz w:val="24"/>
          <w:szCs w:val="24"/>
        </w:rPr>
        <w:t xml:space="preserve">Note: See article, </w:t>
      </w:r>
      <w:bookmarkStart w:id="32" w:name="_Hlk39820886"/>
      <w:r w:rsidRPr="00976742">
        <w:rPr>
          <w:rFonts w:ascii="Times New Roman" w:hAnsi="Times New Roman"/>
          <w:bCs/>
          <w:sz w:val="24"/>
          <w:szCs w:val="24"/>
        </w:rPr>
        <w:t xml:space="preserve">Jan. 27, 2020: “Garfield Heights Recycling Center Held in Contempt of Court for Failing to Address Hazard,” </w:t>
      </w:r>
    </w:p>
    <w:p w14:paraId="58F50B62" w14:textId="77777777" w:rsidR="00A01ACA" w:rsidRPr="00976742" w:rsidRDefault="00A01ACA" w:rsidP="00A01ACA">
      <w:pPr>
        <w:pStyle w:val="NoSpacing"/>
        <w:ind w:left="720"/>
        <w:rPr>
          <w:rFonts w:ascii="Times New Roman" w:hAnsi="Times New Roman"/>
          <w:b/>
          <w:bCs/>
          <w:sz w:val="24"/>
          <w:szCs w:val="24"/>
        </w:rPr>
      </w:pPr>
      <w:hyperlink r:id="rId325" w:history="1">
        <w:r w:rsidRPr="00976742">
          <w:rPr>
            <w:rStyle w:val="Hyperlink"/>
            <w:rFonts w:ascii="Times New Roman" w:hAnsi="Times New Roman"/>
            <w:b/>
            <w:sz w:val="24"/>
            <w:szCs w:val="24"/>
          </w:rPr>
          <w:t>https://www.ohioattorneygeneral.gov/Media/News-Releases/January-2020/Garfield-Heights-Recycling-Center-Held-in-Contempt</w:t>
        </w:r>
      </w:hyperlink>
      <w:r w:rsidRPr="00976742">
        <w:rPr>
          <w:rFonts w:ascii="Times New Roman" w:hAnsi="Times New Roman"/>
          <w:bCs/>
          <w:sz w:val="24"/>
          <w:szCs w:val="24"/>
        </w:rPr>
        <w:t xml:space="preserve"> </w:t>
      </w:r>
    </w:p>
    <w:bookmarkEnd w:id="32"/>
    <w:p w14:paraId="429F2907" w14:textId="6EF5D0C6" w:rsidR="00A01ACA" w:rsidRDefault="00A01ACA" w:rsidP="002B1283">
      <w:pPr>
        <w:rPr>
          <w:rFonts w:ascii="Arial Black" w:hAnsi="Arial Black"/>
          <w:b/>
          <w:sz w:val="24"/>
          <w:szCs w:val="24"/>
        </w:rPr>
      </w:pPr>
    </w:p>
    <w:p w14:paraId="675736F6" w14:textId="77777777" w:rsidR="00A01ACA" w:rsidRDefault="00A01ACA" w:rsidP="002B1283">
      <w:pPr>
        <w:rPr>
          <w:rFonts w:ascii="Arial Black" w:hAnsi="Arial Black"/>
          <w:b/>
          <w:sz w:val="24"/>
          <w:szCs w:val="24"/>
        </w:rPr>
      </w:pPr>
    </w:p>
    <w:p w14:paraId="663FBE09" w14:textId="5398388A" w:rsidR="00A01ACA" w:rsidRDefault="00A01ACA" w:rsidP="002B1283">
      <w:pPr>
        <w:rPr>
          <w:rFonts w:ascii="Arial Black" w:hAnsi="Arial Black"/>
          <w:b/>
          <w:sz w:val="24"/>
          <w:szCs w:val="24"/>
        </w:rPr>
      </w:pPr>
      <w:r>
        <w:rPr>
          <w:rFonts w:ascii="Arial Black" w:hAnsi="Arial Black"/>
          <w:b/>
          <w:sz w:val="24"/>
          <w:szCs w:val="24"/>
        </w:rPr>
        <w:t>1-46</w:t>
      </w:r>
    </w:p>
    <w:p w14:paraId="05E033BC" w14:textId="77777777" w:rsidR="00A01ACA" w:rsidRDefault="00A01ACA" w:rsidP="00A01ACA">
      <w:pPr>
        <w:pStyle w:val="NoSpacing"/>
        <w:rPr>
          <w:rFonts w:ascii="Arial Black" w:hAnsi="Arial Black"/>
          <w:sz w:val="28"/>
          <w:szCs w:val="28"/>
        </w:rPr>
      </w:pPr>
      <w:r>
        <w:rPr>
          <w:rFonts w:ascii="Arial Black" w:hAnsi="Arial Black"/>
          <w:sz w:val="28"/>
          <w:szCs w:val="28"/>
        </w:rPr>
        <w:t>DC: JUROR’S PRE-TRIAL FACEBOOK POSTS - ANTI-TRUMP POSTS – CONVICTION UPHELD - NOT ABOUT DEFENDANT</w:t>
      </w:r>
    </w:p>
    <w:p w14:paraId="052D5851" w14:textId="77777777" w:rsidR="00A01ACA" w:rsidRDefault="00A01ACA" w:rsidP="00A01ACA">
      <w:pPr>
        <w:pStyle w:val="NoSpacing"/>
        <w:tabs>
          <w:tab w:val="left" w:pos="5860"/>
        </w:tabs>
        <w:rPr>
          <w:rFonts w:ascii="Arial Black" w:hAnsi="Arial Black"/>
          <w:sz w:val="28"/>
          <w:szCs w:val="28"/>
        </w:rPr>
      </w:pPr>
    </w:p>
    <w:p w14:paraId="37A1C490" w14:textId="77777777" w:rsidR="00A01ACA" w:rsidRPr="00976742" w:rsidRDefault="00A01ACA" w:rsidP="00A01ACA">
      <w:pPr>
        <w:pStyle w:val="NoSpacing"/>
        <w:tabs>
          <w:tab w:val="left" w:pos="5860"/>
        </w:tabs>
        <w:rPr>
          <w:rFonts w:ascii="Times New Roman" w:hAnsi="Times New Roman"/>
          <w:b/>
          <w:bCs/>
          <w:sz w:val="24"/>
          <w:szCs w:val="24"/>
        </w:rPr>
      </w:pPr>
      <w:r w:rsidRPr="00976742">
        <w:rPr>
          <w:rFonts w:ascii="Times New Roman" w:hAnsi="Times New Roman"/>
          <w:bCs/>
          <w:sz w:val="24"/>
          <w:szCs w:val="24"/>
        </w:rPr>
        <w:t xml:space="preserve">On April 16, 2020, in </w:t>
      </w:r>
      <w:r w:rsidRPr="00976742">
        <w:rPr>
          <w:rFonts w:ascii="Times New Roman" w:hAnsi="Times New Roman"/>
          <w:bCs/>
          <w:sz w:val="24"/>
          <w:szCs w:val="24"/>
          <w:u w:val="single"/>
        </w:rPr>
        <w:t>United States v. Roger Stone, Jr</w:t>
      </w:r>
      <w:r w:rsidRPr="00976742">
        <w:rPr>
          <w:rFonts w:ascii="Times New Roman" w:hAnsi="Times New Roman"/>
          <w:bCs/>
          <w:sz w:val="24"/>
          <w:szCs w:val="24"/>
        </w:rPr>
        <w:t xml:space="preserve">., U.S. District Court Judge Amy Berman Jackson denied the defense motion for new trial.   On the pre-trial Jury Questionnaire, the juror [she became foreperson of the jury] was asked about any social media posts the jury may have posted about the House of Representatives’ investigation of President Trump. The juror truthfully wrote: “I can’t remember if I did, but I may have shared an article on Facebook. Honestly not sure.” The Court denied the motion: “The motion is a tower of indignation, but at the end of the day, there is little of substance holding it up.” </w:t>
      </w:r>
    </w:p>
    <w:p w14:paraId="53FE9770" w14:textId="77777777" w:rsidR="00A01ACA" w:rsidRPr="00976742" w:rsidRDefault="00A01ACA" w:rsidP="00A01ACA">
      <w:pPr>
        <w:pStyle w:val="NoSpacing"/>
        <w:tabs>
          <w:tab w:val="left" w:pos="5860"/>
        </w:tabs>
        <w:ind w:left="720"/>
        <w:rPr>
          <w:rFonts w:ascii="Times New Roman" w:hAnsi="Times New Roman"/>
          <w:b/>
          <w:bCs/>
          <w:sz w:val="24"/>
          <w:szCs w:val="24"/>
        </w:rPr>
      </w:pPr>
    </w:p>
    <w:p w14:paraId="69047655" w14:textId="77777777" w:rsidR="00A01ACA" w:rsidRPr="00976742" w:rsidRDefault="00A01ACA" w:rsidP="00A01ACA">
      <w:pPr>
        <w:pStyle w:val="NoSpacing"/>
        <w:ind w:firstLine="630"/>
        <w:rPr>
          <w:rFonts w:ascii="Times New Roman" w:hAnsi="Times New Roman"/>
          <w:b/>
          <w:bCs/>
          <w:sz w:val="24"/>
          <w:szCs w:val="24"/>
        </w:rPr>
      </w:pPr>
      <w:r w:rsidRPr="00976742">
        <w:rPr>
          <w:rFonts w:ascii="Times New Roman" w:hAnsi="Times New Roman"/>
          <w:bCs/>
          <w:sz w:val="24"/>
          <w:szCs w:val="24"/>
        </w:rPr>
        <w:t>“The defendant has not shown that the juror lied; nor has he shown that the supposedly</w:t>
      </w:r>
    </w:p>
    <w:p w14:paraId="6B3C8221" w14:textId="77777777" w:rsidR="00A01ACA" w:rsidRPr="00976742" w:rsidRDefault="00A01ACA" w:rsidP="00A01ACA">
      <w:pPr>
        <w:pStyle w:val="NoSpacing"/>
        <w:ind w:left="630"/>
        <w:rPr>
          <w:rFonts w:ascii="Times New Roman" w:hAnsi="Times New Roman"/>
          <w:b/>
          <w:bCs/>
          <w:sz w:val="24"/>
          <w:szCs w:val="24"/>
        </w:rPr>
      </w:pPr>
      <w:r w:rsidRPr="00976742">
        <w:rPr>
          <w:rFonts w:ascii="Times New Roman" w:hAnsi="Times New Roman"/>
          <w:bCs/>
          <w:sz w:val="24"/>
          <w:szCs w:val="24"/>
        </w:rPr>
        <w:t xml:space="preserve">disqualifying evidence could not have been found through the exercise of due diligence at the time the jury was selected. Moreover, while the social media communications may suggest that the juror has strong opinions about certain people or issues, they do not reveal that she had an opinion about Roger Stone, which is the opinion that matters.” </w:t>
      </w:r>
      <w:hyperlink r:id="rId326" w:history="1">
        <w:r w:rsidRPr="00976742">
          <w:rPr>
            <w:rStyle w:val="Hyperlink"/>
            <w:rFonts w:ascii="Times New Roman" w:hAnsi="Times New Roman"/>
            <w:b/>
            <w:sz w:val="24"/>
            <w:szCs w:val="24"/>
          </w:rPr>
          <w:t>https://drive.google.com/file/d/1VWwIseEl7gdzhv6UxgyZNZeTX7Y_8-m_/view</w:t>
        </w:r>
      </w:hyperlink>
      <w:r w:rsidRPr="00976742">
        <w:rPr>
          <w:rFonts w:ascii="Times New Roman" w:hAnsi="Times New Roman"/>
          <w:bCs/>
          <w:sz w:val="24"/>
          <w:szCs w:val="24"/>
        </w:rPr>
        <w:t xml:space="preserve"> </w:t>
      </w:r>
    </w:p>
    <w:p w14:paraId="1D4B213C" w14:textId="77777777" w:rsidR="00A01ACA" w:rsidRDefault="00A01ACA" w:rsidP="00A01ACA">
      <w:pPr>
        <w:pStyle w:val="NoSpacing"/>
        <w:rPr>
          <w:rFonts w:ascii="Times New Roman" w:hAnsi="Times New Roman"/>
          <w:b/>
          <w:bCs/>
          <w:sz w:val="24"/>
          <w:szCs w:val="24"/>
        </w:rPr>
      </w:pPr>
    </w:p>
    <w:p w14:paraId="4B92375C" w14:textId="39E83BCE" w:rsidR="00A01ACA" w:rsidRPr="00976742" w:rsidRDefault="00A01ACA" w:rsidP="00A01ACA">
      <w:pPr>
        <w:pStyle w:val="NoSpacing"/>
        <w:rPr>
          <w:rFonts w:ascii="Times New Roman" w:hAnsi="Times New Roman"/>
          <w:b/>
          <w:bCs/>
          <w:sz w:val="24"/>
          <w:szCs w:val="24"/>
        </w:rPr>
      </w:pPr>
      <w:r w:rsidRPr="00976742">
        <w:rPr>
          <w:rFonts w:ascii="Times New Roman" w:hAnsi="Times New Roman"/>
          <w:b/>
          <w:bCs/>
          <w:sz w:val="24"/>
          <w:szCs w:val="24"/>
        </w:rPr>
        <w:t xml:space="preserve">Legal Lessons Learned:  Juror’s use of social media is not a basis for setting aside the verdict, unless the posts deal with the case on which they are serving.  </w:t>
      </w:r>
    </w:p>
    <w:p w14:paraId="4362A1DC" w14:textId="77777777" w:rsidR="00A01ACA" w:rsidRDefault="00A01ACA" w:rsidP="00A01ACA">
      <w:pPr>
        <w:pStyle w:val="NoSpacing"/>
        <w:ind w:left="720"/>
        <w:rPr>
          <w:b/>
          <w:bCs/>
          <w:sz w:val="24"/>
          <w:szCs w:val="24"/>
        </w:rPr>
      </w:pPr>
    </w:p>
    <w:p w14:paraId="147FCCCB" w14:textId="77777777" w:rsidR="00A01ACA" w:rsidRDefault="00A01ACA" w:rsidP="002B1283">
      <w:pPr>
        <w:rPr>
          <w:rFonts w:ascii="Arial Black" w:hAnsi="Arial Black"/>
          <w:b/>
          <w:sz w:val="24"/>
          <w:szCs w:val="24"/>
        </w:rPr>
      </w:pPr>
    </w:p>
    <w:p w14:paraId="25B3069C" w14:textId="77777777" w:rsidR="00A01ACA" w:rsidRDefault="00A01ACA" w:rsidP="002B1283">
      <w:pPr>
        <w:rPr>
          <w:rFonts w:ascii="Arial Black" w:hAnsi="Arial Black"/>
          <w:b/>
          <w:sz w:val="24"/>
          <w:szCs w:val="24"/>
        </w:rPr>
      </w:pPr>
    </w:p>
    <w:p w14:paraId="02450068" w14:textId="366A43AD" w:rsidR="00A01ACA" w:rsidRDefault="00A01ACA" w:rsidP="002B1283">
      <w:pPr>
        <w:rPr>
          <w:rFonts w:ascii="Arial Black" w:hAnsi="Arial Black"/>
          <w:b/>
          <w:sz w:val="24"/>
          <w:szCs w:val="24"/>
        </w:rPr>
      </w:pPr>
      <w:r>
        <w:rPr>
          <w:rFonts w:ascii="Arial Black" w:hAnsi="Arial Black"/>
          <w:b/>
          <w:sz w:val="24"/>
          <w:szCs w:val="24"/>
        </w:rPr>
        <w:t>1-45</w:t>
      </w:r>
    </w:p>
    <w:p w14:paraId="1341531D" w14:textId="77777777" w:rsidR="00A01ACA" w:rsidRPr="00496CBF" w:rsidRDefault="00A01ACA" w:rsidP="00A01ACA">
      <w:pPr>
        <w:pStyle w:val="NoSpacing"/>
        <w:rPr>
          <w:rFonts w:ascii="Arial Black" w:hAnsi="Arial Black"/>
          <w:sz w:val="28"/>
          <w:szCs w:val="28"/>
        </w:rPr>
      </w:pPr>
      <w:bookmarkStart w:id="33" w:name="_Hlk39749155"/>
      <w:r w:rsidRPr="00496CBF">
        <w:rPr>
          <w:rFonts w:ascii="Arial Black" w:hAnsi="Arial Black"/>
          <w:sz w:val="28"/>
          <w:szCs w:val="28"/>
        </w:rPr>
        <w:t xml:space="preserve">IA: </w:t>
      </w:r>
      <w:r>
        <w:rPr>
          <w:rFonts w:ascii="Arial Black" w:hAnsi="Arial Black"/>
          <w:sz w:val="28"/>
          <w:szCs w:val="28"/>
        </w:rPr>
        <w:t>FIRE INVESTIGATION - TOASTER FIRE – STATE FARM INSURANCE PROPERLY REFUSED PAY HOMEOWNER</w:t>
      </w:r>
    </w:p>
    <w:p w14:paraId="4C1E4764" w14:textId="77777777" w:rsidR="00A01ACA" w:rsidRDefault="00A01ACA" w:rsidP="00A01ACA">
      <w:pPr>
        <w:pStyle w:val="NoSpacing"/>
        <w:rPr>
          <w:b/>
          <w:bCs/>
          <w:sz w:val="24"/>
          <w:szCs w:val="24"/>
        </w:rPr>
      </w:pPr>
    </w:p>
    <w:p w14:paraId="40A5A896" w14:textId="77777777" w:rsidR="00A01ACA" w:rsidRPr="00976742" w:rsidRDefault="00A01ACA" w:rsidP="00A01ACA">
      <w:pPr>
        <w:pStyle w:val="NoSpacing"/>
        <w:rPr>
          <w:rFonts w:ascii="Times New Roman" w:hAnsi="Times New Roman"/>
          <w:b/>
          <w:bCs/>
          <w:sz w:val="24"/>
          <w:szCs w:val="24"/>
        </w:rPr>
      </w:pPr>
      <w:r w:rsidRPr="00976742">
        <w:rPr>
          <w:rFonts w:ascii="Times New Roman" w:hAnsi="Times New Roman"/>
          <w:bCs/>
          <w:sz w:val="24"/>
          <w:szCs w:val="24"/>
        </w:rPr>
        <w:lastRenderedPageBreak/>
        <w:t xml:space="preserve">On April 6, 2020, in </w:t>
      </w:r>
      <w:r w:rsidRPr="00976742">
        <w:rPr>
          <w:rFonts w:ascii="Times New Roman" w:hAnsi="Times New Roman"/>
          <w:bCs/>
          <w:sz w:val="24"/>
          <w:szCs w:val="24"/>
          <w:u w:val="single"/>
        </w:rPr>
        <w:t>Bryan Jones and Sarah Jones v. State Farm And Casualty Company</w:t>
      </w:r>
      <w:r w:rsidRPr="00976742">
        <w:rPr>
          <w:rFonts w:ascii="Times New Roman" w:hAnsi="Times New Roman"/>
          <w:bCs/>
          <w:sz w:val="24"/>
          <w:szCs w:val="24"/>
        </w:rPr>
        <w:t>, U.S. District Court Judge Leonard T. Strand, Chief Judge, U.S. District Court for the Northern District of Iowa, Western Division, granted summary judgment to State Farm and dismissed the lawsuit.  The insurance company refused to pay for the fire damage when evidence showed that paper was put in the toaster, it was turned on and a roll of paper towels was left on top of the toaster.  Former co-workers of Sarah Jones also informed State Farm about suspicious comments.</w:t>
      </w:r>
    </w:p>
    <w:p w14:paraId="2E41537E" w14:textId="77777777" w:rsidR="00A01ACA" w:rsidRPr="00976742" w:rsidRDefault="00A01ACA" w:rsidP="00A01ACA">
      <w:pPr>
        <w:pStyle w:val="NoSpacing"/>
        <w:rPr>
          <w:rFonts w:ascii="Times New Roman" w:hAnsi="Times New Roman"/>
          <w:b/>
          <w:bCs/>
          <w:sz w:val="24"/>
          <w:szCs w:val="24"/>
        </w:rPr>
      </w:pPr>
    </w:p>
    <w:p w14:paraId="1B2CC9D0" w14:textId="77777777" w:rsidR="00A01ACA" w:rsidRPr="00976742" w:rsidRDefault="00A01ACA" w:rsidP="00A01ACA">
      <w:pPr>
        <w:pStyle w:val="NoSpacing"/>
        <w:ind w:left="720"/>
        <w:rPr>
          <w:rFonts w:ascii="Times New Roman" w:hAnsi="Times New Roman"/>
          <w:b/>
          <w:bCs/>
          <w:sz w:val="24"/>
          <w:szCs w:val="24"/>
        </w:rPr>
      </w:pPr>
      <w:r w:rsidRPr="00976742">
        <w:rPr>
          <w:rFonts w:ascii="Times New Roman" w:hAnsi="Times New Roman"/>
          <w:bCs/>
          <w:sz w:val="24"/>
          <w:szCs w:val="24"/>
        </w:rPr>
        <w:t xml:space="preserve">“In short, there is undisputed evidence that the fire started at the toaster, that a paper-like material was observed on top of the toaster after the fire and that the toaster was in the ‘on’ position. There is also unrebutted expert opinion evidence that a defect in the toaster, or in the home's electrical system, could not have caused the fire and that the fire could have been started by putting paper products in and on the toaster. On this record, and regardless of plaintiffs' denials, no reasonable jury could find that the fire was accidental. As such, and as a matter of law, State Farm did not breach the insurance contract by denying coverage for the loss that resulted from the fire.” </w:t>
      </w:r>
    </w:p>
    <w:p w14:paraId="3E9299E7" w14:textId="2046FD84" w:rsidR="00A01ACA" w:rsidRDefault="00A01ACA" w:rsidP="00A01ACA">
      <w:pPr>
        <w:rPr>
          <w:rFonts w:ascii="Arial Black" w:hAnsi="Arial Black"/>
          <w:b/>
          <w:sz w:val="24"/>
          <w:szCs w:val="24"/>
        </w:rPr>
      </w:pPr>
      <w:hyperlink r:id="rId327" w:history="1">
        <w:r w:rsidRPr="00976742">
          <w:rPr>
            <w:rStyle w:val="Hyperlink"/>
            <w:rFonts w:ascii="Times New Roman" w:hAnsi="Times New Roman"/>
            <w:b/>
            <w:sz w:val="24"/>
            <w:szCs w:val="24"/>
          </w:rPr>
          <w:t>https://public.fastcase.com/Wl%2B2t%2BeVuI35%2FN70vAMFZiMSkjeFjM9WB95jitKYLwuiXut%2FEoidjwwdPtdsEj9z</w:t>
        </w:r>
      </w:hyperlink>
    </w:p>
    <w:bookmarkEnd w:id="33"/>
    <w:p w14:paraId="7F114673" w14:textId="77777777" w:rsidR="00A01ACA" w:rsidRPr="00976742" w:rsidRDefault="00A01ACA" w:rsidP="00A01ACA">
      <w:pPr>
        <w:pStyle w:val="NoSpacing"/>
        <w:rPr>
          <w:rFonts w:ascii="Times New Roman" w:hAnsi="Times New Roman"/>
          <w:b/>
          <w:bCs/>
          <w:sz w:val="24"/>
          <w:szCs w:val="24"/>
        </w:rPr>
      </w:pPr>
      <w:r w:rsidRPr="00976742">
        <w:rPr>
          <w:rFonts w:ascii="Times New Roman" w:eastAsia="Times New Roman" w:hAnsi="Times New Roman"/>
          <w:b/>
          <w:bCs/>
          <w:sz w:val="24"/>
          <w:szCs w:val="24"/>
        </w:rPr>
        <w:t xml:space="preserve">Legal Lessons Learned:  Insurance companies wisely use experts to investigate suspicious claims. </w:t>
      </w:r>
      <w:r w:rsidRPr="00976742">
        <w:rPr>
          <w:rFonts w:ascii="Times New Roman" w:hAnsi="Times New Roman"/>
          <w:b/>
          <w:bCs/>
          <w:sz w:val="24"/>
          <w:szCs w:val="24"/>
        </w:rPr>
        <w:t xml:space="preserve">The U.S. District Court judge added this footnote at the end of his decision about prior arson conviction of Bryan Jones. </w:t>
      </w:r>
    </w:p>
    <w:p w14:paraId="54C8A1BD" w14:textId="77777777" w:rsidR="00A01ACA" w:rsidRPr="00976742" w:rsidRDefault="00A01ACA" w:rsidP="00A01ACA">
      <w:pPr>
        <w:pStyle w:val="NoSpacing"/>
        <w:rPr>
          <w:rFonts w:ascii="Times New Roman" w:hAnsi="Times New Roman"/>
          <w:b/>
          <w:bCs/>
          <w:sz w:val="24"/>
          <w:szCs w:val="24"/>
        </w:rPr>
      </w:pPr>
    </w:p>
    <w:p w14:paraId="2FF1A228" w14:textId="77777777" w:rsidR="00A01ACA" w:rsidRPr="00976742" w:rsidRDefault="00A01ACA" w:rsidP="00A01ACA">
      <w:pPr>
        <w:pStyle w:val="NoSpacing"/>
        <w:ind w:left="720"/>
        <w:rPr>
          <w:rFonts w:ascii="Times New Roman" w:hAnsi="Times New Roman"/>
          <w:b/>
          <w:bCs/>
          <w:sz w:val="24"/>
          <w:szCs w:val="24"/>
        </w:rPr>
      </w:pPr>
      <w:r w:rsidRPr="00976742">
        <w:rPr>
          <w:rFonts w:ascii="Times New Roman" w:hAnsi="Times New Roman"/>
          <w:bCs/>
          <w:sz w:val="24"/>
          <w:szCs w:val="24"/>
        </w:rPr>
        <w:t>Footnote 4: “Plaintiffs dispute the admissibility of certain other evidence State Farm discovered during its investigation. For example, plaintiffs were experiencing serious financial difficulties, Bryan has a prior arson conviction, Sarah had submitted a prior fire loss claim and Bryan had once reported a vehicle stolen but it was located a short distance away and had been set on fire….  It is not necessary to consider this evidence to conclude that plaintiffs have failed to meet their burden of producing evidence from which reasonable jurors could find that the fire was accidental or that they did not intentionally start the fire. As such, I need not resolve the admissibility issue. I do note that evidence of these additional facts would almost certainly be relevant, at minimum, for purposes of determining whether State Farm acted in bad faith in denying coverage, if that claim could otherwise proceed to trial.”</w:t>
      </w:r>
    </w:p>
    <w:p w14:paraId="6EAB909D" w14:textId="77777777" w:rsidR="00A01ACA" w:rsidRDefault="00A01ACA" w:rsidP="002B1283">
      <w:pPr>
        <w:rPr>
          <w:rFonts w:ascii="Arial Black" w:hAnsi="Arial Black"/>
          <w:b/>
          <w:sz w:val="24"/>
          <w:szCs w:val="24"/>
        </w:rPr>
      </w:pPr>
    </w:p>
    <w:p w14:paraId="602CDF22" w14:textId="62E91B05" w:rsidR="00A01ACA" w:rsidRDefault="00A01ACA" w:rsidP="002B1283">
      <w:pPr>
        <w:rPr>
          <w:rFonts w:ascii="Arial Black" w:hAnsi="Arial Black"/>
          <w:b/>
          <w:sz w:val="24"/>
          <w:szCs w:val="24"/>
        </w:rPr>
      </w:pPr>
      <w:r>
        <w:rPr>
          <w:rFonts w:ascii="Arial Black" w:hAnsi="Arial Black"/>
          <w:b/>
          <w:sz w:val="24"/>
          <w:szCs w:val="24"/>
        </w:rPr>
        <w:t>1-44</w:t>
      </w:r>
    </w:p>
    <w:p w14:paraId="77DBBD28" w14:textId="77777777" w:rsidR="00A01ACA" w:rsidRPr="00FE6BFF" w:rsidRDefault="00A01ACA" w:rsidP="00A01ACA">
      <w:pPr>
        <w:pStyle w:val="NoSpacing"/>
        <w:rPr>
          <w:rFonts w:ascii="Arial Black" w:hAnsi="Arial Black"/>
          <w:b/>
          <w:bCs/>
          <w:sz w:val="28"/>
          <w:szCs w:val="28"/>
        </w:rPr>
      </w:pPr>
      <w:bookmarkStart w:id="34" w:name="_Hlk39749233"/>
      <w:bookmarkStart w:id="35" w:name="_Hlk41315261"/>
      <w:r>
        <w:rPr>
          <w:rFonts w:ascii="Arial Black" w:hAnsi="Arial Black"/>
          <w:bCs/>
          <w:sz w:val="28"/>
          <w:szCs w:val="28"/>
        </w:rPr>
        <w:t xml:space="preserve">U.S. SUP. CT:  POLICE USED “COMMON SENSE” – DRIVER WITH REVOKED LICENSE - REASONABLE SUSPICION </w:t>
      </w:r>
    </w:p>
    <w:p w14:paraId="43F48CFC" w14:textId="77777777" w:rsidR="00A01ACA" w:rsidRDefault="00A01ACA" w:rsidP="00A01ACA">
      <w:pPr>
        <w:pStyle w:val="NoSpacing"/>
        <w:rPr>
          <w:b/>
          <w:bCs/>
          <w:sz w:val="24"/>
          <w:szCs w:val="24"/>
        </w:rPr>
      </w:pPr>
    </w:p>
    <w:p w14:paraId="17D1774A" w14:textId="3D84C8E7" w:rsidR="00A01ACA" w:rsidRPr="00976742" w:rsidRDefault="00A01ACA" w:rsidP="00A01ACA">
      <w:pPr>
        <w:pStyle w:val="NoSpacing"/>
        <w:rPr>
          <w:rFonts w:ascii="Times New Roman" w:hAnsi="Times New Roman"/>
          <w:b/>
          <w:sz w:val="24"/>
          <w:szCs w:val="24"/>
        </w:rPr>
      </w:pPr>
      <w:r w:rsidRPr="00976742">
        <w:rPr>
          <w:rFonts w:ascii="Times New Roman" w:hAnsi="Times New Roman"/>
          <w:sz w:val="24"/>
          <w:szCs w:val="24"/>
        </w:rPr>
        <w:t xml:space="preserve">On April 6, 2020, in </w:t>
      </w:r>
      <w:r w:rsidRPr="00976742">
        <w:rPr>
          <w:rFonts w:ascii="Times New Roman" w:hAnsi="Times New Roman"/>
          <w:sz w:val="24"/>
          <w:szCs w:val="24"/>
          <w:u w:val="single"/>
        </w:rPr>
        <w:t>Kansas v. Charles Glover, Jr</w:t>
      </w:r>
      <w:r w:rsidRPr="00976742">
        <w:rPr>
          <w:rFonts w:ascii="Times New Roman" w:hAnsi="Times New Roman"/>
          <w:sz w:val="24"/>
          <w:szCs w:val="24"/>
        </w:rPr>
        <w:t xml:space="preserve">., held (8 to 0) in an opinion by Justice Clarence Thomas that the Deputy Sheriff on patrol, who runs a license plate and learns owner of vehicle has revoked driver’s license, used his “common sense” and had “reasonable suspicion” to make a traffic stop of the male driver.   The trial judge had granted defense motion to suppress, which the Court of Appeals reversed. The Kansas Supreme Court, however, agreed with the trial judge, finding the Deputy Sheriff  did not have reasonable suspicion because his inference that Glover was behind the wheel amounted to “only a hunch.”  </w:t>
      </w:r>
      <w:proofErr w:type="gramStart"/>
      <w:r w:rsidRPr="00976742">
        <w:rPr>
          <w:rFonts w:ascii="Times New Roman" w:hAnsi="Times New Roman"/>
          <w:sz w:val="24"/>
          <w:szCs w:val="24"/>
        </w:rPr>
        <w:t>Fortunately</w:t>
      </w:r>
      <w:proofErr w:type="gramEnd"/>
      <w:r w:rsidRPr="00976742">
        <w:rPr>
          <w:rFonts w:ascii="Times New Roman" w:hAnsi="Times New Roman"/>
          <w:sz w:val="24"/>
          <w:szCs w:val="24"/>
        </w:rPr>
        <w:t xml:space="preserve"> the U.S. Supreme Court reversed the Kansas Supreme Court.</w:t>
      </w:r>
    </w:p>
    <w:bookmarkEnd w:id="34"/>
    <w:p w14:paraId="59DA2042" w14:textId="77777777" w:rsidR="00A01ACA" w:rsidRPr="00976742" w:rsidRDefault="00A01ACA" w:rsidP="00A01ACA">
      <w:pPr>
        <w:pStyle w:val="NoSpacing"/>
        <w:rPr>
          <w:rFonts w:ascii="Times New Roman" w:hAnsi="Times New Roman"/>
          <w:b/>
          <w:sz w:val="24"/>
          <w:szCs w:val="24"/>
        </w:rPr>
      </w:pPr>
    </w:p>
    <w:p w14:paraId="20145DAB" w14:textId="77777777" w:rsidR="00A01ACA" w:rsidRPr="00976742" w:rsidRDefault="00A01ACA" w:rsidP="00A01ACA">
      <w:pPr>
        <w:pStyle w:val="NoSpacing"/>
        <w:rPr>
          <w:rFonts w:ascii="Times New Roman" w:hAnsi="Times New Roman"/>
          <w:b/>
          <w:sz w:val="24"/>
          <w:szCs w:val="24"/>
        </w:rPr>
      </w:pPr>
      <w:r w:rsidRPr="00976742">
        <w:rPr>
          <w:rFonts w:ascii="Times New Roman" w:hAnsi="Times New Roman"/>
          <w:sz w:val="24"/>
          <w:szCs w:val="24"/>
        </w:rPr>
        <w:t xml:space="preserve">“Because it is a ‘less demanding’ standard, ‘reasonable suspicion can be established with information that is different in quantity or content than that required to establish probable cause.’ Alabama v. White, 496 U. S. 325, 330 (1990). The standard ‘depends on the factual and practical considerations of everyday life on which reasonable and prudent men, not legal technicians, act.’ Navarette, supra, at 402 (quoting Ornelas v. United States, 517 U. S. 690, 695 (1996) (emphasis added; internal quotation marks omitted)). Courts “cannot </w:t>
      </w:r>
      <w:r w:rsidRPr="00976742">
        <w:rPr>
          <w:rFonts w:ascii="Times New Roman" w:hAnsi="Times New Roman"/>
          <w:sz w:val="24"/>
          <w:szCs w:val="24"/>
        </w:rPr>
        <w:lastRenderedPageBreak/>
        <w:t xml:space="preserve">reasonably demand scientific certainty . . . where none exists.” Illinois v. Wardlow, 528 U. S. 119, 125 (2000). Rather, they must permit officers to make ‘commonsense judgments and inferences about human behavior.’ Ibid.”  </w:t>
      </w:r>
      <w:bookmarkStart w:id="36" w:name="_Hlk39749259"/>
      <w:r w:rsidR="00334940">
        <w:fldChar w:fldCharType="begin"/>
      </w:r>
      <w:r w:rsidR="00334940">
        <w:instrText xml:space="preserve"> HYPERLINK "https://www.supremecourt.gov/opinions/19pdf/18-556_e1pf.pdf" </w:instrText>
      </w:r>
      <w:r w:rsidR="00334940">
        <w:fldChar w:fldCharType="separate"/>
      </w:r>
      <w:r w:rsidRPr="00976742">
        <w:rPr>
          <w:rStyle w:val="Hyperlink"/>
          <w:rFonts w:ascii="Times New Roman" w:hAnsi="Times New Roman"/>
          <w:b/>
          <w:sz w:val="24"/>
          <w:szCs w:val="24"/>
        </w:rPr>
        <w:t>https://www.supremecourt.gov/opinions/19pdf/18-556_e1pf.pdf</w:t>
      </w:r>
      <w:r w:rsidR="00334940">
        <w:rPr>
          <w:rStyle w:val="Hyperlink"/>
          <w:rFonts w:ascii="Times New Roman" w:hAnsi="Times New Roman"/>
          <w:b/>
          <w:sz w:val="24"/>
          <w:szCs w:val="24"/>
        </w:rPr>
        <w:fldChar w:fldCharType="end"/>
      </w:r>
      <w:r w:rsidRPr="00976742">
        <w:rPr>
          <w:rFonts w:ascii="Times New Roman" w:hAnsi="Times New Roman"/>
          <w:sz w:val="24"/>
          <w:szCs w:val="24"/>
        </w:rPr>
        <w:t xml:space="preserve"> </w:t>
      </w:r>
    </w:p>
    <w:bookmarkEnd w:id="36"/>
    <w:p w14:paraId="2D786138" w14:textId="77777777" w:rsidR="00A01ACA" w:rsidRDefault="00A01ACA" w:rsidP="00A01ACA">
      <w:pPr>
        <w:pStyle w:val="NoSpacing"/>
        <w:rPr>
          <w:rFonts w:ascii="Times New Roman" w:hAnsi="Times New Roman"/>
          <w:b/>
          <w:sz w:val="24"/>
          <w:szCs w:val="24"/>
        </w:rPr>
      </w:pPr>
    </w:p>
    <w:p w14:paraId="30124E97" w14:textId="495DC5C1" w:rsidR="00A01ACA" w:rsidRPr="00976742" w:rsidRDefault="00A01ACA" w:rsidP="00A01ACA">
      <w:pPr>
        <w:pStyle w:val="NoSpacing"/>
        <w:rPr>
          <w:rFonts w:ascii="Times New Roman" w:hAnsi="Times New Roman"/>
          <w:b/>
          <w:sz w:val="24"/>
          <w:szCs w:val="24"/>
        </w:rPr>
      </w:pPr>
      <w:r w:rsidRPr="00976742">
        <w:rPr>
          <w:rFonts w:ascii="Times New Roman" w:hAnsi="Times New Roman"/>
          <w:b/>
          <w:sz w:val="24"/>
          <w:szCs w:val="24"/>
        </w:rPr>
        <w:t xml:space="preserve">Legal Lessons Learned:  Excellent “common sense” decision. </w:t>
      </w:r>
    </w:p>
    <w:p w14:paraId="7888B846" w14:textId="77777777" w:rsidR="00A01ACA" w:rsidRDefault="00A01ACA" w:rsidP="002B1283">
      <w:pPr>
        <w:rPr>
          <w:rFonts w:ascii="Arial Black" w:hAnsi="Arial Black"/>
          <w:b/>
          <w:sz w:val="24"/>
          <w:szCs w:val="24"/>
        </w:rPr>
      </w:pPr>
    </w:p>
    <w:bookmarkEnd w:id="35"/>
    <w:p w14:paraId="64B13BB6" w14:textId="77777777" w:rsidR="00A01ACA" w:rsidRDefault="00A01ACA" w:rsidP="002B1283">
      <w:pPr>
        <w:rPr>
          <w:rFonts w:ascii="Arial Black" w:hAnsi="Arial Black"/>
          <w:b/>
          <w:sz w:val="24"/>
          <w:szCs w:val="24"/>
        </w:rPr>
      </w:pPr>
    </w:p>
    <w:p w14:paraId="5FB81DC1" w14:textId="77777777" w:rsidR="00A01ACA" w:rsidRDefault="00A01ACA" w:rsidP="002B1283">
      <w:pPr>
        <w:rPr>
          <w:rFonts w:ascii="Arial Black" w:hAnsi="Arial Black"/>
          <w:b/>
          <w:sz w:val="24"/>
          <w:szCs w:val="24"/>
        </w:rPr>
      </w:pPr>
    </w:p>
    <w:p w14:paraId="62CA3ED8" w14:textId="7E4CB491" w:rsidR="00A01ACA" w:rsidRDefault="00A01ACA" w:rsidP="002B1283">
      <w:pPr>
        <w:rPr>
          <w:rFonts w:ascii="Arial Black" w:hAnsi="Arial Black"/>
          <w:b/>
          <w:sz w:val="24"/>
          <w:szCs w:val="24"/>
        </w:rPr>
      </w:pPr>
      <w:r>
        <w:rPr>
          <w:rFonts w:ascii="Arial Black" w:hAnsi="Arial Black"/>
          <w:b/>
          <w:sz w:val="24"/>
          <w:szCs w:val="24"/>
        </w:rPr>
        <w:t>1-43</w:t>
      </w:r>
    </w:p>
    <w:p w14:paraId="1CB8A4E4" w14:textId="77777777" w:rsidR="00A01ACA" w:rsidRPr="00295EFD" w:rsidRDefault="00A01ACA" w:rsidP="00A01ACA">
      <w:pPr>
        <w:pStyle w:val="NoSpacing"/>
        <w:rPr>
          <w:rFonts w:ascii="Arial Black" w:hAnsi="Arial Black"/>
          <w:sz w:val="28"/>
          <w:szCs w:val="28"/>
        </w:rPr>
      </w:pPr>
      <w:bookmarkStart w:id="37" w:name="_Hlk39749327"/>
      <w:r w:rsidRPr="00295EFD">
        <w:rPr>
          <w:rFonts w:ascii="Arial Black" w:hAnsi="Arial Black"/>
          <w:sz w:val="28"/>
          <w:szCs w:val="28"/>
        </w:rPr>
        <w:t xml:space="preserve">CA: </w:t>
      </w:r>
      <w:r>
        <w:rPr>
          <w:rFonts w:ascii="Arial Black" w:hAnsi="Arial Black"/>
          <w:sz w:val="28"/>
          <w:szCs w:val="28"/>
        </w:rPr>
        <w:t xml:space="preserve">FIRE INVESTIGATION - HOMEOWNER CONFESSED - PROS. DELAYED DISCOSURE OF LAB RECEIPTS – NO HARM </w:t>
      </w:r>
    </w:p>
    <w:p w14:paraId="729A7719" w14:textId="77777777" w:rsidR="00A01ACA" w:rsidRDefault="00A01ACA" w:rsidP="00A01ACA">
      <w:pPr>
        <w:pStyle w:val="NoSpacing"/>
        <w:rPr>
          <w:b/>
          <w:bCs/>
          <w:sz w:val="24"/>
          <w:szCs w:val="24"/>
        </w:rPr>
      </w:pPr>
    </w:p>
    <w:p w14:paraId="2AD7E3BC" w14:textId="77777777" w:rsidR="00A01ACA" w:rsidRPr="00976742" w:rsidRDefault="00A01ACA" w:rsidP="00A01ACA">
      <w:pPr>
        <w:pStyle w:val="NoSpacing"/>
        <w:rPr>
          <w:rFonts w:ascii="Times New Roman" w:hAnsi="Times New Roman"/>
          <w:b/>
          <w:bCs/>
          <w:sz w:val="24"/>
          <w:szCs w:val="24"/>
        </w:rPr>
      </w:pPr>
      <w:r w:rsidRPr="00976742">
        <w:rPr>
          <w:rFonts w:ascii="Times New Roman" w:hAnsi="Times New Roman"/>
          <w:bCs/>
          <w:sz w:val="24"/>
          <w:szCs w:val="24"/>
        </w:rPr>
        <w:t xml:space="preserve">On April 3, 2020, in </w:t>
      </w:r>
      <w:r w:rsidRPr="00976742">
        <w:rPr>
          <w:rFonts w:ascii="Times New Roman" w:hAnsi="Times New Roman"/>
          <w:bCs/>
          <w:sz w:val="24"/>
          <w:szCs w:val="24"/>
          <w:u w:val="single"/>
        </w:rPr>
        <w:t xml:space="preserve">The People v. Lincoln </w:t>
      </w:r>
      <w:proofErr w:type="spellStart"/>
      <w:r w:rsidRPr="00976742">
        <w:rPr>
          <w:rFonts w:ascii="Times New Roman" w:hAnsi="Times New Roman"/>
          <w:bCs/>
          <w:sz w:val="24"/>
          <w:szCs w:val="24"/>
          <w:u w:val="single"/>
        </w:rPr>
        <w:t>Testro</w:t>
      </w:r>
      <w:proofErr w:type="spellEnd"/>
      <w:r w:rsidRPr="00976742">
        <w:rPr>
          <w:rFonts w:ascii="Times New Roman" w:hAnsi="Times New Roman"/>
          <w:bCs/>
          <w:sz w:val="24"/>
          <w:szCs w:val="24"/>
          <w:u w:val="single"/>
        </w:rPr>
        <w:t xml:space="preserve"> Smith</w:t>
      </w:r>
      <w:r w:rsidRPr="00976742">
        <w:rPr>
          <w:rFonts w:ascii="Times New Roman" w:hAnsi="Times New Roman"/>
          <w:bCs/>
          <w:sz w:val="24"/>
          <w:szCs w:val="24"/>
        </w:rPr>
        <w:t xml:space="preserve">, the Court of Appeal of California (Second Appellate District / Division Five) held (3 to 0) in an unpublished decision, that trial court properly refused to instruct the jury about late disclosure of 75 pages of lab receipts, since the disclosure the night prior to the second (and last) day of trial was made prior to the LA County Sheriff’s senior criminalist’s testimony, did not cause any harm to the defense.   Defense already had his two page </w:t>
      </w:r>
      <w:proofErr w:type="gramStart"/>
      <w:r w:rsidRPr="00976742">
        <w:rPr>
          <w:rFonts w:ascii="Times New Roman" w:hAnsi="Times New Roman"/>
          <w:bCs/>
          <w:sz w:val="24"/>
          <w:szCs w:val="24"/>
        </w:rPr>
        <w:t>report, and</w:t>
      </w:r>
      <w:proofErr w:type="gramEnd"/>
      <w:r w:rsidRPr="00976742">
        <w:rPr>
          <w:rFonts w:ascii="Times New Roman" w:hAnsi="Times New Roman"/>
          <w:bCs/>
          <w:sz w:val="24"/>
          <w:szCs w:val="24"/>
        </w:rPr>
        <w:t xml:space="preserve"> did not request a continuance of the trial. </w:t>
      </w:r>
    </w:p>
    <w:bookmarkEnd w:id="37"/>
    <w:p w14:paraId="37485B45" w14:textId="77777777" w:rsidR="00A01ACA" w:rsidRPr="00976742" w:rsidRDefault="00A01ACA" w:rsidP="00A01ACA">
      <w:pPr>
        <w:pStyle w:val="NoSpacing"/>
        <w:rPr>
          <w:rFonts w:ascii="Times New Roman" w:hAnsi="Times New Roman"/>
          <w:b/>
          <w:bCs/>
          <w:sz w:val="24"/>
          <w:szCs w:val="24"/>
        </w:rPr>
      </w:pPr>
    </w:p>
    <w:p w14:paraId="6DE233D7" w14:textId="77777777" w:rsidR="00A01ACA" w:rsidRPr="00976742" w:rsidRDefault="00A01ACA" w:rsidP="00A01ACA">
      <w:pPr>
        <w:pStyle w:val="NoSpacing"/>
        <w:ind w:left="720"/>
        <w:rPr>
          <w:rFonts w:ascii="Times New Roman" w:hAnsi="Times New Roman"/>
          <w:b/>
          <w:bCs/>
          <w:sz w:val="24"/>
          <w:szCs w:val="24"/>
        </w:rPr>
      </w:pPr>
      <w:r w:rsidRPr="00976742">
        <w:rPr>
          <w:rFonts w:ascii="Times New Roman" w:hAnsi="Times New Roman"/>
          <w:bCs/>
          <w:sz w:val="24"/>
          <w:szCs w:val="24"/>
        </w:rPr>
        <w:t xml:space="preserve">“[T]he prosecution’s explanation for the discovery delay offered at trial did not reveal any willful misconduct. And most importantly, the defense was unable to articulate any concrete disadvantage occasioned by the production of the data and notes underlying West’s  [Michael West, a senior criminalist with the Los Angeles County Sheriff’s Department, two </w:t>
      </w:r>
      <w:proofErr w:type="gramStart"/>
      <w:r w:rsidRPr="00976742">
        <w:rPr>
          <w:rFonts w:ascii="Times New Roman" w:hAnsi="Times New Roman"/>
          <w:bCs/>
          <w:sz w:val="24"/>
          <w:szCs w:val="24"/>
        </w:rPr>
        <w:t>page</w:t>
      </w:r>
      <w:proofErr w:type="gramEnd"/>
      <w:r w:rsidRPr="00976742">
        <w:rPr>
          <w:rFonts w:ascii="Times New Roman" w:hAnsi="Times New Roman"/>
          <w:bCs/>
          <w:sz w:val="24"/>
          <w:szCs w:val="24"/>
        </w:rPr>
        <w:t xml:space="preserve">] summary report (which had been timely produced) before West </w:t>
      </w:r>
      <w:proofErr w:type="gramStart"/>
      <w:r w:rsidRPr="00976742">
        <w:rPr>
          <w:rFonts w:ascii="Times New Roman" w:hAnsi="Times New Roman"/>
          <w:bCs/>
          <w:sz w:val="24"/>
          <w:szCs w:val="24"/>
        </w:rPr>
        <w:t>testified.”</w:t>
      </w:r>
      <w:proofErr w:type="gramEnd"/>
      <w:r w:rsidRPr="00976742">
        <w:rPr>
          <w:rFonts w:ascii="Times New Roman" w:hAnsi="Times New Roman"/>
          <w:bCs/>
          <w:sz w:val="24"/>
          <w:szCs w:val="24"/>
        </w:rPr>
        <w:t xml:space="preserve"> </w:t>
      </w:r>
      <w:bookmarkStart w:id="38" w:name="_Hlk39749347"/>
      <w:r w:rsidR="00334940">
        <w:fldChar w:fldCharType="begin"/>
      </w:r>
      <w:r w:rsidR="00334940">
        <w:instrText xml:space="preserve"> HYPERLINK "https://www.courts.ca.gov/opinions/nonpub/B294627.PDF" </w:instrText>
      </w:r>
      <w:r w:rsidR="00334940">
        <w:fldChar w:fldCharType="separate"/>
      </w:r>
      <w:r w:rsidRPr="00976742">
        <w:rPr>
          <w:rStyle w:val="Hyperlink"/>
          <w:rFonts w:ascii="Times New Roman" w:hAnsi="Times New Roman"/>
          <w:b/>
          <w:sz w:val="24"/>
          <w:szCs w:val="24"/>
        </w:rPr>
        <w:t>https://www.courts.ca.gov/opinions/nonpub/B294627.PDF</w:t>
      </w:r>
      <w:r w:rsidR="00334940">
        <w:rPr>
          <w:rStyle w:val="Hyperlink"/>
          <w:rFonts w:ascii="Times New Roman" w:hAnsi="Times New Roman"/>
          <w:b/>
          <w:sz w:val="24"/>
          <w:szCs w:val="24"/>
        </w:rPr>
        <w:fldChar w:fldCharType="end"/>
      </w:r>
      <w:r w:rsidRPr="00976742">
        <w:rPr>
          <w:rFonts w:ascii="Times New Roman" w:hAnsi="Times New Roman"/>
          <w:bCs/>
          <w:sz w:val="24"/>
          <w:szCs w:val="24"/>
        </w:rPr>
        <w:t xml:space="preserve"> </w:t>
      </w:r>
    </w:p>
    <w:bookmarkEnd w:id="38"/>
    <w:p w14:paraId="51DFCA96" w14:textId="77777777" w:rsidR="00A01ACA" w:rsidRDefault="00A01ACA" w:rsidP="00A01ACA">
      <w:pPr>
        <w:pStyle w:val="NoSpacing"/>
        <w:rPr>
          <w:rFonts w:ascii="Times New Roman" w:hAnsi="Times New Roman"/>
          <w:b/>
          <w:bCs/>
          <w:sz w:val="24"/>
          <w:szCs w:val="24"/>
        </w:rPr>
      </w:pPr>
    </w:p>
    <w:p w14:paraId="017669B6" w14:textId="36C22A5C" w:rsidR="00A01ACA" w:rsidRPr="00976742" w:rsidRDefault="00A01ACA" w:rsidP="00A01ACA">
      <w:pPr>
        <w:pStyle w:val="NoSpacing"/>
        <w:rPr>
          <w:rFonts w:ascii="Times New Roman" w:hAnsi="Times New Roman"/>
          <w:b/>
          <w:bCs/>
          <w:sz w:val="24"/>
          <w:szCs w:val="24"/>
        </w:rPr>
      </w:pPr>
      <w:r w:rsidRPr="00976742">
        <w:rPr>
          <w:rFonts w:ascii="Times New Roman" w:hAnsi="Times New Roman"/>
          <w:b/>
          <w:bCs/>
          <w:sz w:val="24"/>
          <w:szCs w:val="24"/>
        </w:rPr>
        <w:t xml:space="preserve">Legal Lessons Learned: Defense counsel is entitled to expert reports, and lab receipts, prior to trial. In this case, was no continuance requested, and no harm. </w:t>
      </w:r>
    </w:p>
    <w:p w14:paraId="0E756384" w14:textId="77777777" w:rsidR="00A01ACA" w:rsidRDefault="00A01ACA" w:rsidP="002B1283">
      <w:pPr>
        <w:rPr>
          <w:rFonts w:ascii="Arial Black" w:hAnsi="Arial Black"/>
          <w:b/>
          <w:sz w:val="24"/>
          <w:szCs w:val="24"/>
        </w:rPr>
      </w:pPr>
    </w:p>
    <w:p w14:paraId="563B0DC8" w14:textId="77777777" w:rsidR="00A01ACA" w:rsidRDefault="00A01ACA" w:rsidP="002B1283">
      <w:pPr>
        <w:rPr>
          <w:rFonts w:ascii="Arial Black" w:hAnsi="Arial Black"/>
          <w:b/>
          <w:sz w:val="24"/>
          <w:szCs w:val="24"/>
        </w:rPr>
      </w:pPr>
    </w:p>
    <w:p w14:paraId="6648F8A8" w14:textId="03D9D132" w:rsidR="007540BD" w:rsidRDefault="007540BD" w:rsidP="002B1283">
      <w:pPr>
        <w:rPr>
          <w:rFonts w:ascii="Arial Black" w:hAnsi="Arial Black"/>
          <w:b/>
          <w:sz w:val="24"/>
          <w:szCs w:val="24"/>
        </w:rPr>
      </w:pPr>
      <w:r>
        <w:rPr>
          <w:rFonts w:ascii="Arial Black" w:hAnsi="Arial Black"/>
          <w:b/>
          <w:sz w:val="24"/>
          <w:szCs w:val="24"/>
        </w:rPr>
        <w:t>1-42</w:t>
      </w:r>
    </w:p>
    <w:p w14:paraId="7E025176" w14:textId="77777777" w:rsidR="007540BD" w:rsidRPr="008B3DEE" w:rsidRDefault="007540BD" w:rsidP="007540BD">
      <w:pPr>
        <w:pStyle w:val="NoSpacing"/>
        <w:rPr>
          <w:rFonts w:ascii="Arial Black" w:hAnsi="Arial Black"/>
          <w:b/>
          <w:bCs/>
          <w:sz w:val="28"/>
          <w:szCs w:val="28"/>
        </w:rPr>
      </w:pPr>
      <w:bookmarkStart w:id="39" w:name="_Hlk69187636"/>
      <w:bookmarkStart w:id="40" w:name="_Hlk39749408"/>
      <w:r w:rsidRPr="008B3DEE">
        <w:rPr>
          <w:rFonts w:ascii="Arial Black" w:hAnsi="Arial Black"/>
          <w:bCs/>
          <w:sz w:val="28"/>
          <w:szCs w:val="28"/>
        </w:rPr>
        <w:t xml:space="preserve">OH: </w:t>
      </w:r>
      <w:r>
        <w:rPr>
          <w:rFonts w:ascii="Arial Black" w:hAnsi="Arial Black"/>
          <w:bCs/>
          <w:sz w:val="28"/>
          <w:szCs w:val="28"/>
        </w:rPr>
        <w:t>42 VIOLATIONS OHIO FIRE CODE – 110 YR-OLD MINI-MALL, “THE ARCADE” - COURT UPHOLDS CITATIONS</w:t>
      </w:r>
    </w:p>
    <w:bookmarkEnd w:id="39"/>
    <w:p w14:paraId="39FC22F7" w14:textId="77777777" w:rsidR="007540BD" w:rsidRPr="00322F87" w:rsidRDefault="007540BD" w:rsidP="007540BD">
      <w:pPr>
        <w:pStyle w:val="NoSpacing"/>
        <w:rPr>
          <w:b/>
          <w:bCs/>
          <w:sz w:val="24"/>
          <w:szCs w:val="24"/>
        </w:rPr>
      </w:pPr>
      <w:r w:rsidRPr="00322F87">
        <w:rPr>
          <w:rStyle w:val="Strong"/>
          <w:sz w:val="24"/>
          <w:szCs w:val="24"/>
        </w:rPr>
        <w:t xml:space="preserve"> </w:t>
      </w:r>
    </w:p>
    <w:p w14:paraId="18D62464" w14:textId="5E1BDF02" w:rsidR="007540BD" w:rsidRPr="007C7258" w:rsidRDefault="007540BD" w:rsidP="007540BD">
      <w:pPr>
        <w:pStyle w:val="NoSpacing"/>
        <w:rPr>
          <w:rFonts w:ascii="Times New Roman" w:hAnsi="Times New Roman"/>
          <w:b/>
          <w:bCs/>
          <w:sz w:val="24"/>
          <w:szCs w:val="24"/>
        </w:rPr>
      </w:pPr>
      <w:r w:rsidRPr="007C7258">
        <w:rPr>
          <w:rFonts w:ascii="Times New Roman" w:hAnsi="Times New Roman"/>
          <w:bCs/>
          <w:sz w:val="24"/>
          <w:szCs w:val="24"/>
        </w:rPr>
        <w:t xml:space="preserve">On </w:t>
      </w:r>
      <w:bookmarkStart w:id="41" w:name="_Hlk39822442"/>
      <w:r w:rsidRPr="007C7258">
        <w:rPr>
          <w:rFonts w:ascii="Times New Roman" w:hAnsi="Times New Roman"/>
          <w:bCs/>
          <w:sz w:val="24"/>
          <w:szCs w:val="24"/>
        </w:rPr>
        <w:t>March 23, 20</w:t>
      </w:r>
      <w:r w:rsidR="00F2621E">
        <w:rPr>
          <w:rFonts w:ascii="Times New Roman" w:hAnsi="Times New Roman"/>
          <w:bCs/>
          <w:sz w:val="24"/>
          <w:szCs w:val="24"/>
        </w:rPr>
        <w:t>20</w:t>
      </w:r>
      <w:r w:rsidRPr="007C7258">
        <w:rPr>
          <w:rFonts w:ascii="Times New Roman" w:hAnsi="Times New Roman"/>
          <w:bCs/>
          <w:sz w:val="24"/>
          <w:szCs w:val="24"/>
        </w:rPr>
        <w:t xml:space="preserve">, in </w:t>
      </w:r>
      <w:r w:rsidRPr="007C7258">
        <w:rPr>
          <w:rFonts w:ascii="Times New Roman" w:hAnsi="Times New Roman"/>
          <w:bCs/>
          <w:sz w:val="24"/>
          <w:szCs w:val="24"/>
          <w:u w:val="single"/>
        </w:rPr>
        <w:t>Tom Cotton v. Patrick Connor, Fire Chief, City of Newark Fire Department</w:t>
      </w:r>
      <w:r w:rsidRPr="007C7258">
        <w:rPr>
          <w:rFonts w:ascii="Times New Roman" w:hAnsi="Times New Roman"/>
          <w:bCs/>
          <w:sz w:val="24"/>
          <w:szCs w:val="24"/>
        </w:rPr>
        <w:t>, the Court of Appeals for Licking County, Fifth Appellate District, 2020-Ohio-1129</w:t>
      </w:r>
      <w:bookmarkEnd w:id="41"/>
      <w:r w:rsidRPr="007C7258">
        <w:rPr>
          <w:rFonts w:ascii="Times New Roman" w:hAnsi="Times New Roman"/>
          <w:bCs/>
          <w:sz w:val="24"/>
          <w:szCs w:val="24"/>
        </w:rPr>
        <w:t>, held (3 to 0),  that the Ohio Board of Building Appeals, and a Common Pleas trial judge, properly denied the appeal of the building owner.  Citations included water flow alarm devices not functioning or disconnected; no fire extinguishers in common hallway; marked exit door with flush bolt locks; holes in fire-rated or resistant construction on floors, walls and ceilings.</w:t>
      </w:r>
    </w:p>
    <w:bookmarkEnd w:id="40"/>
    <w:p w14:paraId="6A3ECED1" w14:textId="77777777" w:rsidR="007540BD" w:rsidRPr="007C7258" w:rsidRDefault="007540BD" w:rsidP="007540BD">
      <w:pPr>
        <w:pStyle w:val="NoSpacing"/>
        <w:rPr>
          <w:rFonts w:ascii="Times New Roman" w:hAnsi="Times New Roman"/>
          <w:b/>
          <w:bCs/>
          <w:sz w:val="24"/>
          <w:szCs w:val="24"/>
        </w:rPr>
      </w:pPr>
    </w:p>
    <w:p w14:paraId="06911480" w14:textId="77777777" w:rsidR="007540BD" w:rsidRPr="007C7258" w:rsidRDefault="007540BD" w:rsidP="007540BD">
      <w:pPr>
        <w:pStyle w:val="NoSpacing"/>
        <w:ind w:left="720"/>
        <w:rPr>
          <w:rFonts w:ascii="Times New Roman" w:hAnsi="Times New Roman"/>
          <w:b/>
          <w:bCs/>
          <w:sz w:val="24"/>
          <w:szCs w:val="24"/>
        </w:rPr>
      </w:pPr>
      <w:r w:rsidRPr="007C7258">
        <w:rPr>
          <w:rFonts w:ascii="Times New Roman" w:hAnsi="Times New Roman"/>
          <w:bCs/>
          <w:sz w:val="24"/>
          <w:szCs w:val="24"/>
        </w:rPr>
        <w:t xml:space="preserve">“We concur with the trial court's decision. Between the first inspection date of August 3, 2017, and the first citation date of September 19, 2017, </w:t>
      </w:r>
      <w:proofErr w:type="gramStart"/>
      <w:r w:rsidRPr="007C7258">
        <w:rPr>
          <w:rFonts w:ascii="Times New Roman" w:hAnsi="Times New Roman"/>
          <w:bCs/>
          <w:sz w:val="24"/>
          <w:szCs w:val="24"/>
        </w:rPr>
        <w:t>appellant</w:t>
      </w:r>
      <w:proofErr w:type="gramEnd"/>
      <w:r w:rsidRPr="007C7258">
        <w:rPr>
          <w:rFonts w:ascii="Times New Roman" w:hAnsi="Times New Roman"/>
          <w:bCs/>
          <w:sz w:val="24"/>
          <w:szCs w:val="24"/>
        </w:rPr>
        <w:t xml:space="preserve"> had forty-seven days to correct the violations. As for </w:t>
      </w:r>
      <w:r w:rsidRPr="007C7258">
        <w:rPr>
          <w:rFonts w:ascii="Times New Roman" w:hAnsi="Times New Roman"/>
          <w:bCs/>
          <w:sz w:val="24"/>
          <w:szCs w:val="24"/>
        </w:rPr>
        <w:lastRenderedPageBreak/>
        <w:t xml:space="preserve">the second citation, appellant had fifteen days to correct the violations from the last inspection date (March 26, 2018) to the issuance of the citation (April 10, 2018). According to the Timeline and Summary of the Inspections outline, appellee worked with appellant from July 2017 through April 2018 to correct the fire code deficiencies on the subject property. As of </w:t>
      </w:r>
      <w:proofErr w:type="gramStart"/>
      <w:r w:rsidRPr="007C7258">
        <w:rPr>
          <w:rFonts w:ascii="Times New Roman" w:hAnsi="Times New Roman"/>
          <w:bCs/>
          <w:sz w:val="24"/>
          <w:szCs w:val="24"/>
        </w:rPr>
        <w:t>the October</w:t>
      </w:r>
      <w:proofErr w:type="gramEnd"/>
      <w:r w:rsidRPr="007C7258">
        <w:rPr>
          <w:rFonts w:ascii="Times New Roman" w:hAnsi="Times New Roman"/>
          <w:bCs/>
          <w:sz w:val="24"/>
          <w:szCs w:val="24"/>
        </w:rPr>
        <w:t xml:space="preserve"> 30, </w:t>
      </w:r>
      <w:proofErr w:type="gramStart"/>
      <w:r w:rsidRPr="007C7258">
        <w:rPr>
          <w:rFonts w:ascii="Times New Roman" w:hAnsi="Times New Roman"/>
          <w:bCs/>
          <w:sz w:val="24"/>
          <w:szCs w:val="24"/>
        </w:rPr>
        <w:t>2018</w:t>
      </w:r>
      <w:proofErr w:type="gramEnd"/>
      <w:r w:rsidRPr="007C7258">
        <w:rPr>
          <w:rFonts w:ascii="Times New Roman" w:hAnsi="Times New Roman"/>
          <w:bCs/>
          <w:sz w:val="24"/>
          <w:szCs w:val="24"/>
        </w:rPr>
        <w:t xml:space="preserve"> hearing date, outstanding violations existed and some of the corrective measures were in question. We do not find testimony from a ‘representative from the Building Code Enforcement for the City of Newark’ was necessary. Appellant's Brief at 6. Upon review, we find a preponderance of reliable, probative, and substantial evidence to support the trial court's decision. The trial court did not abuse its discretion in affirming the decision of the board of building appeals.”   </w:t>
      </w:r>
      <w:bookmarkStart w:id="42" w:name="_Hlk39749430"/>
      <w:bookmarkStart w:id="43" w:name="_Hlk39821152"/>
      <w:r w:rsidR="00334940">
        <w:fldChar w:fldCharType="begin"/>
      </w:r>
      <w:r w:rsidR="00334940">
        <w:instrText xml:space="preserve"> HYPERLINK "https://www.supremecourt.ohio.gov/rod/docs/pdf/5/2020/2020-Ohio-1129.pdf" </w:instrText>
      </w:r>
      <w:r w:rsidR="00334940">
        <w:fldChar w:fldCharType="separate"/>
      </w:r>
      <w:r w:rsidRPr="007C7258">
        <w:rPr>
          <w:rStyle w:val="Hyperlink"/>
          <w:rFonts w:ascii="Times New Roman" w:hAnsi="Times New Roman"/>
          <w:b/>
          <w:sz w:val="24"/>
          <w:szCs w:val="24"/>
        </w:rPr>
        <w:t>https://www.supremecourt.ohio.gov/rod/docs/pdf/5/2020/2020-Ohio-1129.pdf</w:t>
      </w:r>
      <w:r w:rsidR="00334940">
        <w:rPr>
          <w:rStyle w:val="Hyperlink"/>
          <w:rFonts w:ascii="Times New Roman" w:hAnsi="Times New Roman"/>
          <w:b/>
          <w:sz w:val="24"/>
          <w:szCs w:val="24"/>
        </w:rPr>
        <w:fldChar w:fldCharType="end"/>
      </w:r>
      <w:bookmarkEnd w:id="42"/>
    </w:p>
    <w:bookmarkEnd w:id="43"/>
    <w:p w14:paraId="06CC2D8C" w14:textId="77777777" w:rsidR="007540BD" w:rsidRPr="007C7258" w:rsidRDefault="007540BD" w:rsidP="007540BD">
      <w:pPr>
        <w:pStyle w:val="NoSpacing"/>
        <w:ind w:left="720"/>
        <w:rPr>
          <w:rFonts w:ascii="Times New Roman" w:hAnsi="Times New Roman"/>
          <w:b/>
          <w:bCs/>
          <w:sz w:val="24"/>
          <w:szCs w:val="24"/>
        </w:rPr>
      </w:pPr>
    </w:p>
    <w:p w14:paraId="6E831AFF" w14:textId="77777777" w:rsidR="007540BD" w:rsidRPr="007C7258" w:rsidRDefault="007540BD" w:rsidP="007540BD">
      <w:pPr>
        <w:pStyle w:val="NoSpacing"/>
        <w:rPr>
          <w:rFonts w:ascii="Times New Roman" w:hAnsi="Times New Roman"/>
          <w:b/>
          <w:bCs/>
          <w:sz w:val="24"/>
          <w:szCs w:val="24"/>
        </w:rPr>
      </w:pPr>
      <w:r w:rsidRPr="007C7258">
        <w:rPr>
          <w:rFonts w:ascii="Times New Roman" w:hAnsi="Times New Roman"/>
          <w:b/>
          <w:bCs/>
          <w:sz w:val="24"/>
          <w:szCs w:val="24"/>
        </w:rPr>
        <w:t>Legal Lessons Learned: Well documented code violations</w:t>
      </w:r>
      <w:r>
        <w:rPr>
          <w:rFonts w:ascii="Times New Roman" w:hAnsi="Times New Roman"/>
          <w:b/>
          <w:bCs/>
          <w:sz w:val="24"/>
          <w:szCs w:val="24"/>
        </w:rPr>
        <w:t xml:space="preserve">. </w:t>
      </w:r>
      <w:r w:rsidRPr="007C7258">
        <w:rPr>
          <w:rFonts w:ascii="Times New Roman" w:hAnsi="Times New Roman"/>
          <w:b/>
          <w:bCs/>
          <w:sz w:val="24"/>
          <w:szCs w:val="24"/>
        </w:rPr>
        <w:t xml:space="preserve"> </w:t>
      </w:r>
    </w:p>
    <w:p w14:paraId="0B0FFFFA" w14:textId="5483B796" w:rsidR="007540BD" w:rsidRPr="007C7258" w:rsidRDefault="007540BD" w:rsidP="007540BD">
      <w:pPr>
        <w:pStyle w:val="p-text"/>
        <w:ind w:left="720"/>
        <w:rPr>
          <w:b/>
        </w:rPr>
      </w:pPr>
      <w:bookmarkStart w:id="44" w:name="_Hlk39821066"/>
      <w:r w:rsidRPr="007C7258">
        <w:rPr>
          <w:bCs/>
        </w:rPr>
        <w:t xml:space="preserve">See Oct. 14, </w:t>
      </w:r>
      <w:proofErr w:type="gramStart"/>
      <w:r w:rsidRPr="007C7258">
        <w:rPr>
          <w:bCs/>
        </w:rPr>
        <w:t>2019</w:t>
      </w:r>
      <w:proofErr w:type="gramEnd"/>
      <w:r w:rsidRPr="007C7258">
        <w:rPr>
          <w:bCs/>
        </w:rPr>
        <w:t xml:space="preserve"> article about this property: “Long saga of downtown Newark Arcade property may be near resolution.”  </w:t>
      </w:r>
      <w:bookmarkEnd w:id="44"/>
      <w:r w:rsidRPr="007C7258">
        <w:rPr>
          <w:bCs/>
        </w:rPr>
        <w:t>“</w:t>
      </w:r>
      <w:r w:rsidRPr="007C7258">
        <w:t xml:space="preserve">A year ago, the Ohio Board of Building Appeals upheld violations from April 10, 2018, and Sept. 19, 2017. For the April violations, the board issued Cotton a one-time penalty of $9,000, and an additional $9,000 per month if all violations were not remedied in 60 days.  For the 2017 violations, the board issued a one-time penalty of $6,700 and $6,700 per month if violations remained after 60 days. The 2018 violations included: water flow alarm devices not functioning or disconnected; no fire extinguishers in common hallway; marked exit door with flush bolt locks; holes in fire-rated or resistant construction on floors, walls and </w:t>
      </w:r>
      <w:proofErr w:type="gramStart"/>
      <w:r w:rsidRPr="007C7258">
        <w:t>ceilings.”</w:t>
      </w:r>
      <w:proofErr w:type="gramEnd"/>
      <w:r w:rsidRPr="007C7258">
        <w:t xml:space="preserve"> </w:t>
      </w:r>
      <w:bookmarkStart w:id="45" w:name="_Hlk39821109"/>
      <w:r w:rsidR="00F2621E">
        <w:fldChar w:fldCharType="begin"/>
      </w:r>
      <w:r w:rsidR="00F2621E">
        <w:instrText xml:space="preserve"> HYPERLINK "https://www.newarkadvocate.com/story/news/2019/10/14/downtown-newark-arcade-saga-may-nearing-some-resolution-not/3924621002/" </w:instrText>
      </w:r>
      <w:r w:rsidR="00F2621E">
        <w:fldChar w:fldCharType="separate"/>
      </w:r>
      <w:r w:rsidRPr="007C7258">
        <w:rPr>
          <w:rStyle w:val="Hyperlink"/>
        </w:rPr>
        <w:t>https://www.newarkadvocate.com/story/news/2019/10/14/downtown-newark-arcade-saga-may-nearing-some-resolution-not/3924621002/</w:t>
      </w:r>
      <w:r w:rsidR="00F2621E">
        <w:rPr>
          <w:rStyle w:val="Hyperlink"/>
        </w:rPr>
        <w:fldChar w:fldCharType="end"/>
      </w:r>
      <w:r w:rsidRPr="007C7258">
        <w:rPr>
          <w:b/>
        </w:rPr>
        <w:t xml:space="preserve"> </w:t>
      </w:r>
    </w:p>
    <w:bookmarkEnd w:id="45"/>
    <w:p w14:paraId="01E0050E" w14:textId="77777777" w:rsidR="007540BD" w:rsidRDefault="007540BD" w:rsidP="002B1283">
      <w:pPr>
        <w:rPr>
          <w:rFonts w:ascii="Arial Black" w:hAnsi="Arial Black"/>
          <w:b/>
          <w:sz w:val="24"/>
          <w:szCs w:val="24"/>
        </w:rPr>
      </w:pPr>
    </w:p>
    <w:p w14:paraId="47B2F3CD" w14:textId="31F0E723" w:rsidR="007540BD" w:rsidRDefault="007540BD" w:rsidP="002B1283">
      <w:pPr>
        <w:rPr>
          <w:rFonts w:ascii="Arial Black" w:hAnsi="Arial Black"/>
          <w:b/>
          <w:sz w:val="24"/>
          <w:szCs w:val="24"/>
        </w:rPr>
      </w:pPr>
      <w:r>
        <w:rPr>
          <w:rFonts w:ascii="Arial Black" w:hAnsi="Arial Black"/>
          <w:b/>
          <w:sz w:val="24"/>
          <w:szCs w:val="24"/>
        </w:rPr>
        <w:t>1-41</w:t>
      </w:r>
    </w:p>
    <w:p w14:paraId="239B976A" w14:textId="77777777" w:rsidR="007540BD" w:rsidRPr="00907DE2" w:rsidRDefault="007540BD" w:rsidP="007540BD">
      <w:pPr>
        <w:spacing w:before="100" w:beforeAutospacing="1" w:after="100" w:afterAutospacing="1" w:line="240" w:lineRule="auto"/>
        <w:rPr>
          <w:rFonts w:ascii="Arial Black" w:hAnsi="Arial Black"/>
          <w:sz w:val="28"/>
          <w:szCs w:val="28"/>
        </w:rPr>
      </w:pPr>
      <w:bookmarkStart w:id="46" w:name="_Hlk39817639"/>
      <w:r w:rsidRPr="00907DE2">
        <w:rPr>
          <w:rFonts w:ascii="Arial Black" w:hAnsi="Arial Black"/>
          <w:sz w:val="28"/>
          <w:szCs w:val="28"/>
        </w:rPr>
        <w:t xml:space="preserve">NY: </w:t>
      </w:r>
      <w:r>
        <w:rPr>
          <w:rFonts w:ascii="Arial Black" w:hAnsi="Arial Black"/>
          <w:sz w:val="28"/>
          <w:szCs w:val="28"/>
        </w:rPr>
        <w:t xml:space="preserve">ARSON – ADULT / 3 CHILDREN KILLED – CONVICTIONS – BUT CHARGES LATER DROPPED ONE MAN – ATF AGENTS HAVE IMMUNITY </w:t>
      </w:r>
    </w:p>
    <w:p w14:paraId="230C873D" w14:textId="77777777" w:rsidR="007540BD" w:rsidRDefault="007540BD" w:rsidP="007540BD">
      <w:pPr>
        <w:spacing w:before="100" w:beforeAutospacing="1" w:after="100" w:afterAutospacing="1" w:line="240" w:lineRule="auto"/>
        <w:rPr>
          <w:rFonts w:ascii="Times New Roman" w:hAnsi="Times New Roman"/>
          <w:sz w:val="24"/>
          <w:szCs w:val="24"/>
        </w:rPr>
      </w:pPr>
      <w:r w:rsidRPr="00907DE2">
        <w:rPr>
          <w:rFonts w:ascii="Times New Roman" w:hAnsi="Times New Roman"/>
          <w:sz w:val="24"/>
          <w:szCs w:val="24"/>
        </w:rPr>
        <w:t xml:space="preserve">On March 23, 2020, in </w:t>
      </w:r>
      <w:r w:rsidRPr="00907DE2">
        <w:rPr>
          <w:rFonts w:ascii="Times New Roman" w:hAnsi="Times New Roman"/>
          <w:sz w:val="24"/>
          <w:szCs w:val="24"/>
          <w:u w:val="single"/>
        </w:rPr>
        <w:t>Robert Butler v. Eric Hesch, et al</w:t>
      </w:r>
      <w:r>
        <w:rPr>
          <w:rFonts w:ascii="Times New Roman" w:hAnsi="Times New Roman"/>
          <w:sz w:val="24"/>
          <w:szCs w:val="24"/>
        </w:rPr>
        <w:t xml:space="preserve">., U.S. District Court Judge Mae A. D’Agostino, U.S. District Court for Northern District of New York, granted ATF agents’ motion to dismiss. </w:t>
      </w:r>
    </w:p>
    <w:p w14:paraId="32ACFECF" w14:textId="77777777" w:rsidR="007540BD" w:rsidRPr="007C7258" w:rsidRDefault="007540BD" w:rsidP="007540BD">
      <w:pPr>
        <w:pStyle w:val="NoSpacing"/>
        <w:ind w:left="720"/>
        <w:rPr>
          <w:rFonts w:ascii="Times New Roman" w:hAnsi="Times New Roman"/>
          <w:b/>
          <w:bCs/>
          <w:sz w:val="24"/>
          <w:szCs w:val="24"/>
        </w:rPr>
      </w:pPr>
      <w:r w:rsidRPr="007C7258">
        <w:rPr>
          <w:rFonts w:ascii="Times New Roman" w:hAnsi="Times New Roman"/>
          <w:bCs/>
          <w:sz w:val="24"/>
          <w:szCs w:val="24"/>
        </w:rPr>
        <w:t xml:space="preserve">“Plaintiff commenced this action on December 28, 2016, pursuant to 42 U.S.C. §§ 1983 and 1985, and </w:t>
      </w:r>
      <w:r w:rsidRPr="007C7258">
        <w:rPr>
          <w:rFonts w:ascii="Times New Roman" w:hAnsi="Times New Roman"/>
          <w:bCs/>
          <w:i/>
          <w:iCs/>
          <w:sz w:val="24"/>
          <w:szCs w:val="24"/>
        </w:rPr>
        <w:t>Bivens v</w:t>
      </w:r>
      <w:r w:rsidRPr="007C7258">
        <w:rPr>
          <w:rFonts w:ascii="Times New Roman" w:hAnsi="Times New Roman"/>
          <w:bCs/>
          <w:sz w:val="24"/>
          <w:szCs w:val="24"/>
        </w:rPr>
        <w:t xml:space="preserve">. </w:t>
      </w:r>
      <w:r w:rsidRPr="007C7258">
        <w:rPr>
          <w:rFonts w:ascii="Times New Roman" w:hAnsi="Times New Roman"/>
          <w:bCs/>
          <w:i/>
          <w:iCs/>
          <w:sz w:val="24"/>
          <w:szCs w:val="24"/>
        </w:rPr>
        <w:t>Six Unknown Named Agents of the Federal Bureau of Narcotics</w:t>
      </w:r>
      <w:r w:rsidRPr="007C7258">
        <w:rPr>
          <w:rFonts w:ascii="Times New Roman" w:hAnsi="Times New Roman"/>
          <w:bCs/>
          <w:sz w:val="24"/>
          <w:szCs w:val="24"/>
        </w:rPr>
        <w:t>, 403 U.S. 388 (1971), complaining of constitutional and civil rights violations stemming from Plaintiff's arrest and detention.</w:t>
      </w:r>
    </w:p>
    <w:p w14:paraId="31B82843" w14:textId="77777777" w:rsidR="007540BD" w:rsidRPr="007C7258" w:rsidRDefault="007540BD" w:rsidP="007540BD">
      <w:pPr>
        <w:pStyle w:val="NoSpacing"/>
        <w:ind w:left="720"/>
        <w:rPr>
          <w:rFonts w:ascii="Times New Roman" w:hAnsi="Times New Roman"/>
          <w:b/>
          <w:bCs/>
          <w:sz w:val="24"/>
          <w:szCs w:val="24"/>
        </w:rPr>
      </w:pPr>
    </w:p>
    <w:p w14:paraId="00ED5CBF" w14:textId="77777777" w:rsidR="007540BD" w:rsidRPr="007C7258" w:rsidRDefault="007540BD" w:rsidP="007540BD">
      <w:pPr>
        <w:pStyle w:val="NoSpacing"/>
        <w:ind w:left="720"/>
        <w:rPr>
          <w:rFonts w:ascii="Times New Roman" w:hAnsi="Times New Roman"/>
          <w:b/>
          <w:bCs/>
          <w:sz w:val="24"/>
          <w:szCs w:val="24"/>
        </w:rPr>
      </w:pPr>
      <w:r w:rsidRPr="007C7258">
        <w:rPr>
          <w:rFonts w:ascii="Times New Roman" w:hAnsi="Times New Roman"/>
          <w:bCs/>
          <w:sz w:val="24"/>
          <w:szCs w:val="24"/>
        </w:rPr>
        <w:t>***</w:t>
      </w:r>
    </w:p>
    <w:p w14:paraId="2D0BCD06" w14:textId="77777777" w:rsidR="007540BD" w:rsidRPr="007C7258" w:rsidRDefault="007540BD" w:rsidP="007540BD">
      <w:pPr>
        <w:pStyle w:val="NoSpacing"/>
        <w:ind w:left="720"/>
        <w:rPr>
          <w:rFonts w:ascii="Times New Roman" w:hAnsi="Times New Roman"/>
          <w:b/>
          <w:bCs/>
          <w:sz w:val="24"/>
          <w:szCs w:val="24"/>
        </w:rPr>
      </w:pPr>
    </w:p>
    <w:p w14:paraId="221891BC" w14:textId="38C53D84" w:rsidR="007540BD" w:rsidRDefault="007540BD" w:rsidP="007540BD">
      <w:pPr>
        <w:ind w:left="720"/>
        <w:rPr>
          <w:rFonts w:ascii="Arial Black" w:hAnsi="Arial Black"/>
          <w:b/>
          <w:sz w:val="24"/>
          <w:szCs w:val="24"/>
        </w:rPr>
      </w:pPr>
      <w:r w:rsidRPr="007C7258">
        <w:rPr>
          <w:rFonts w:ascii="Times New Roman" w:hAnsi="Times New Roman"/>
          <w:bCs/>
          <w:sz w:val="24"/>
          <w:szCs w:val="24"/>
        </w:rPr>
        <w:t xml:space="preserve">In short, Plaintiff's criminal case was fully managed by the federal prosecutors, who independently interviewed all relevant witnesses and then decided to bring charges against Plaintiff. There is no evidence that the ATF Defendants withheld relevant evidence from the prosecutors, or provided false evidence to them, as would be necessary to establish that the ATF Defendants were responsible for initiating or continuing the prosecution. As such, the ATF Defendants are entitled to summary judgment because Plaintiff failed to satisfy the first element of his malicious prosecution claim. </w:t>
      </w:r>
      <w:r w:rsidRPr="007C7258">
        <w:rPr>
          <w:rFonts w:ascii="Times New Roman" w:hAnsi="Times New Roman"/>
          <w:bCs/>
          <w:i/>
          <w:iCs/>
          <w:sz w:val="24"/>
          <w:szCs w:val="24"/>
        </w:rPr>
        <w:t>See Battisti v</w:t>
      </w:r>
      <w:r w:rsidRPr="007C7258">
        <w:rPr>
          <w:rFonts w:ascii="Times New Roman" w:hAnsi="Times New Roman"/>
          <w:bCs/>
          <w:sz w:val="24"/>
          <w:szCs w:val="24"/>
        </w:rPr>
        <w:t xml:space="preserve">. </w:t>
      </w:r>
      <w:r w:rsidRPr="007C7258">
        <w:rPr>
          <w:rFonts w:ascii="Times New Roman" w:hAnsi="Times New Roman"/>
          <w:bCs/>
          <w:i/>
          <w:iCs/>
          <w:sz w:val="24"/>
          <w:szCs w:val="24"/>
        </w:rPr>
        <w:t>Rice</w:t>
      </w:r>
      <w:r w:rsidRPr="007C7258">
        <w:rPr>
          <w:rFonts w:ascii="Times New Roman" w:hAnsi="Times New Roman"/>
          <w:bCs/>
          <w:sz w:val="24"/>
          <w:szCs w:val="24"/>
        </w:rPr>
        <w:t xml:space="preserve">, No. 10-cv-4139, 2017 WL 78891, *10 (E.D.N.Y. Jan. 9, 2017) (dismissing the plaintiff's malicious prosecution claim because "[t]here is no evidence that either officer importuned [the prosecutor] to </w:t>
      </w:r>
      <w:r w:rsidRPr="007C7258">
        <w:rPr>
          <w:rFonts w:ascii="Times New Roman" w:hAnsi="Times New Roman"/>
          <w:bCs/>
          <w:sz w:val="24"/>
          <w:szCs w:val="24"/>
        </w:rPr>
        <w:lastRenderedPageBreak/>
        <w:t xml:space="preserve">prosecute Plaintiff or that either officer fabricated or withheld evidence from [the prosecutor]") (citation omitted); </w:t>
      </w:r>
      <w:r w:rsidRPr="007C7258">
        <w:rPr>
          <w:rFonts w:ascii="Times New Roman" w:hAnsi="Times New Roman"/>
          <w:bCs/>
          <w:i/>
          <w:iCs/>
          <w:sz w:val="24"/>
          <w:szCs w:val="24"/>
        </w:rPr>
        <w:t>Stukes v</w:t>
      </w:r>
      <w:r w:rsidRPr="007C7258">
        <w:rPr>
          <w:rFonts w:ascii="Times New Roman" w:hAnsi="Times New Roman"/>
          <w:bCs/>
          <w:sz w:val="24"/>
          <w:szCs w:val="24"/>
        </w:rPr>
        <w:t xml:space="preserve">. </w:t>
      </w:r>
      <w:r w:rsidRPr="007C7258">
        <w:rPr>
          <w:rFonts w:ascii="Times New Roman" w:hAnsi="Times New Roman"/>
          <w:bCs/>
          <w:i/>
          <w:iCs/>
          <w:sz w:val="24"/>
          <w:szCs w:val="24"/>
        </w:rPr>
        <w:t>City of New York</w:t>
      </w:r>
      <w:r w:rsidRPr="007C7258">
        <w:rPr>
          <w:rFonts w:ascii="Times New Roman" w:hAnsi="Times New Roman"/>
          <w:bCs/>
          <w:sz w:val="24"/>
          <w:szCs w:val="24"/>
        </w:rPr>
        <w:t xml:space="preserve">, No. 13-cv-6166, 2015 WL 1246542, *9 (E.D.N.Y. Mar. 17, 2015).” </w:t>
      </w:r>
      <w:hyperlink r:id="rId328" w:history="1">
        <w:r w:rsidRPr="007C7258">
          <w:rPr>
            <w:rStyle w:val="Hyperlink"/>
            <w:rFonts w:ascii="Times New Roman" w:hAnsi="Times New Roman"/>
            <w:b/>
            <w:sz w:val="24"/>
            <w:szCs w:val="24"/>
          </w:rPr>
          <w:t>https://public.fastcase.com/Wl%2B2t%2BeVuI35%2FN70vAMFZj1n7kcpr8halXGGcU2zGib4k7w6DLSXX7%2BQNj%2B4S4J7</w:t>
        </w:r>
      </w:hyperlink>
    </w:p>
    <w:bookmarkEnd w:id="46"/>
    <w:p w14:paraId="7F3A5218" w14:textId="77777777" w:rsidR="007540BD" w:rsidRPr="007C7258" w:rsidRDefault="007540BD" w:rsidP="007540BD">
      <w:pPr>
        <w:pStyle w:val="NoSpacing"/>
        <w:rPr>
          <w:rFonts w:ascii="Times New Roman" w:hAnsi="Times New Roman"/>
          <w:b/>
          <w:bCs/>
          <w:sz w:val="24"/>
          <w:szCs w:val="24"/>
        </w:rPr>
      </w:pPr>
      <w:r w:rsidRPr="007C7258">
        <w:rPr>
          <w:rFonts w:ascii="Times New Roman" w:hAnsi="Times New Roman"/>
          <w:b/>
          <w:bCs/>
          <w:sz w:val="24"/>
          <w:szCs w:val="24"/>
        </w:rPr>
        <w:t xml:space="preserve">Legal Lessons Learned:  </w:t>
      </w:r>
      <w:r>
        <w:rPr>
          <w:rFonts w:ascii="Times New Roman" w:hAnsi="Times New Roman"/>
          <w:b/>
          <w:bCs/>
          <w:sz w:val="24"/>
          <w:szCs w:val="24"/>
        </w:rPr>
        <w:t>ATF and other a</w:t>
      </w:r>
      <w:r w:rsidRPr="007C7258">
        <w:rPr>
          <w:rFonts w:ascii="Times New Roman" w:hAnsi="Times New Roman"/>
          <w:b/>
          <w:bCs/>
          <w:sz w:val="24"/>
          <w:szCs w:val="24"/>
        </w:rPr>
        <w:t xml:space="preserve">rson investigators enjoy qualified immunity; the fact that charges were later dropped </w:t>
      </w:r>
      <w:r>
        <w:rPr>
          <w:rFonts w:ascii="Times New Roman" w:hAnsi="Times New Roman"/>
          <w:b/>
          <w:bCs/>
          <w:sz w:val="24"/>
          <w:szCs w:val="24"/>
        </w:rPr>
        <w:t xml:space="preserve">by prosecutors </w:t>
      </w:r>
      <w:r w:rsidRPr="007C7258">
        <w:rPr>
          <w:rFonts w:ascii="Times New Roman" w:hAnsi="Times New Roman"/>
          <w:b/>
          <w:bCs/>
          <w:sz w:val="24"/>
          <w:szCs w:val="24"/>
        </w:rPr>
        <w:t xml:space="preserve">against a person does not give the individual a right to sue the investigators. </w:t>
      </w:r>
    </w:p>
    <w:p w14:paraId="7B6C5E59" w14:textId="77777777" w:rsidR="007540BD" w:rsidRPr="007C7258" w:rsidRDefault="007540BD" w:rsidP="007540BD">
      <w:pPr>
        <w:spacing w:before="100" w:beforeAutospacing="1" w:after="100" w:afterAutospacing="1" w:line="240" w:lineRule="auto"/>
        <w:rPr>
          <w:rFonts w:ascii="Times New Roman" w:eastAsia="Times New Roman" w:hAnsi="Times New Roman"/>
          <w:sz w:val="24"/>
          <w:szCs w:val="24"/>
        </w:rPr>
      </w:pPr>
    </w:p>
    <w:p w14:paraId="28555A2A" w14:textId="77777777" w:rsidR="007540BD" w:rsidRDefault="007540BD" w:rsidP="002B1283">
      <w:pPr>
        <w:rPr>
          <w:rFonts w:ascii="Arial Black" w:hAnsi="Arial Black"/>
          <w:b/>
          <w:sz w:val="24"/>
          <w:szCs w:val="24"/>
        </w:rPr>
      </w:pPr>
    </w:p>
    <w:p w14:paraId="1D32292B" w14:textId="77777777" w:rsidR="007540BD" w:rsidRDefault="007540BD" w:rsidP="002B1283">
      <w:pPr>
        <w:rPr>
          <w:rFonts w:ascii="Arial Black" w:hAnsi="Arial Black"/>
          <w:b/>
          <w:sz w:val="24"/>
          <w:szCs w:val="24"/>
        </w:rPr>
      </w:pPr>
    </w:p>
    <w:p w14:paraId="597A8EE6" w14:textId="6D70D898" w:rsidR="00663160" w:rsidRDefault="00663160" w:rsidP="002B1283">
      <w:pPr>
        <w:rPr>
          <w:rFonts w:ascii="Arial Black" w:hAnsi="Arial Black"/>
          <w:b/>
          <w:sz w:val="24"/>
          <w:szCs w:val="24"/>
        </w:rPr>
      </w:pPr>
      <w:r>
        <w:rPr>
          <w:rFonts w:ascii="Arial Black" w:hAnsi="Arial Black"/>
          <w:b/>
          <w:sz w:val="24"/>
          <w:szCs w:val="24"/>
        </w:rPr>
        <w:t>1-</w:t>
      </w:r>
      <w:r w:rsidR="00637A12">
        <w:rPr>
          <w:rFonts w:ascii="Arial Black" w:hAnsi="Arial Black"/>
          <w:b/>
          <w:sz w:val="24"/>
          <w:szCs w:val="24"/>
        </w:rPr>
        <w:t>40</w:t>
      </w:r>
    </w:p>
    <w:p w14:paraId="3208EC89" w14:textId="77777777" w:rsidR="00663160" w:rsidRPr="00615BC7" w:rsidRDefault="00663160" w:rsidP="00663160">
      <w:pPr>
        <w:spacing w:before="100" w:beforeAutospacing="1" w:after="100" w:afterAutospacing="1" w:line="240" w:lineRule="auto"/>
        <w:rPr>
          <w:rFonts w:ascii="Arial Black" w:eastAsia="Times New Roman" w:hAnsi="Arial Black"/>
          <w:b/>
          <w:bCs/>
          <w:sz w:val="28"/>
          <w:szCs w:val="28"/>
        </w:rPr>
      </w:pPr>
      <w:bookmarkStart w:id="47" w:name="_Hlk39749496"/>
      <w:bookmarkStart w:id="48" w:name="_Hlk41315334"/>
      <w:r w:rsidRPr="00615BC7">
        <w:rPr>
          <w:rFonts w:ascii="Arial Black" w:eastAsia="Times New Roman" w:hAnsi="Arial Black"/>
          <w:b/>
          <w:bCs/>
          <w:sz w:val="28"/>
          <w:szCs w:val="28"/>
        </w:rPr>
        <w:t xml:space="preserve">TX:  </w:t>
      </w:r>
      <w:r>
        <w:rPr>
          <w:rFonts w:ascii="Arial Black" w:eastAsia="Times New Roman" w:hAnsi="Arial Black"/>
          <w:b/>
          <w:bCs/>
          <w:sz w:val="28"/>
          <w:szCs w:val="28"/>
        </w:rPr>
        <w:t>GRANDMOTHER’S 911 CALLS DID NOT GO THROUGH – BABY DIED – T-MOBILE HAS IMMUNITY UNDER STATE LAW</w:t>
      </w:r>
    </w:p>
    <w:p w14:paraId="1B671B23" w14:textId="77777777" w:rsidR="00663160" w:rsidRPr="0049503A" w:rsidRDefault="00663160" w:rsidP="00663160">
      <w:pPr>
        <w:pStyle w:val="NoSpacing"/>
        <w:rPr>
          <w:rFonts w:ascii="Times New Roman" w:hAnsi="Times New Roman"/>
          <w:b/>
          <w:bCs/>
          <w:sz w:val="24"/>
          <w:szCs w:val="24"/>
        </w:rPr>
      </w:pPr>
      <w:r w:rsidRPr="0049503A">
        <w:rPr>
          <w:rFonts w:ascii="Times New Roman" w:hAnsi="Times New Roman"/>
          <w:bCs/>
          <w:sz w:val="24"/>
          <w:szCs w:val="24"/>
        </w:rPr>
        <w:t xml:space="preserve">On Feb. 27, 2020, in </w:t>
      </w:r>
      <w:r w:rsidRPr="0049503A">
        <w:rPr>
          <w:rFonts w:ascii="Times New Roman" w:hAnsi="Times New Roman"/>
          <w:bCs/>
          <w:sz w:val="24"/>
          <w:szCs w:val="24"/>
          <w:u w:val="single"/>
        </w:rPr>
        <w:t>Bridget Alex v. T-Mobile USA</w:t>
      </w:r>
      <w:r w:rsidRPr="0049503A">
        <w:rPr>
          <w:rFonts w:ascii="Times New Roman" w:hAnsi="Times New Roman"/>
          <w:bCs/>
          <w:sz w:val="24"/>
          <w:szCs w:val="24"/>
        </w:rPr>
        <w:t>, the U.S. Court of Appeals for 5</w:t>
      </w:r>
      <w:r w:rsidRPr="0049503A">
        <w:rPr>
          <w:rFonts w:ascii="Times New Roman" w:hAnsi="Times New Roman"/>
          <w:bCs/>
          <w:sz w:val="24"/>
          <w:szCs w:val="24"/>
          <w:vertAlign w:val="superscript"/>
        </w:rPr>
        <w:t>th</w:t>
      </w:r>
      <w:r w:rsidRPr="0049503A">
        <w:rPr>
          <w:rFonts w:ascii="Times New Roman" w:hAnsi="Times New Roman"/>
          <w:bCs/>
          <w:sz w:val="24"/>
          <w:szCs w:val="24"/>
        </w:rPr>
        <w:t xml:space="preserve"> Circuit (New Orleans) held (3 to 0)  that T-Mobile enjoys immunity under State statute. </w:t>
      </w:r>
    </w:p>
    <w:p w14:paraId="5D88DF9C" w14:textId="77777777" w:rsidR="00663160" w:rsidRPr="0049503A" w:rsidRDefault="00663160" w:rsidP="00663160">
      <w:pPr>
        <w:pStyle w:val="NoSpacing"/>
        <w:rPr>
          <w:rFonts w:ascii="Times New Roman" w:hAnsi="Times New Roman"/>
          <w:b/>
          <w:bCs/>
          <w:sz w:val="24"/>
          <w:szCs w:val="24"/>
        </w:rPr>
      </w:pPr>
    </w:p>
    <w:p w14:paraId="7552E761" w14:textId="210A0D85" w:rsidR="00663160" w:rsidRPr="0049503A" w:rsidRDefault="00663160" w:rsidP="00663160">
      <w:pPr>
        <w:pStyle w:val="NoSpacing"/>
        <w:ind w:left="720"/>
        <w:rPr>
          <w:rFonts w:ascii="Times New Roman" w:hAnsi="Times New Roman"/>
          <w:b/>
          <w:bCs/>
          <w:sz w:val="24"/>
          <w:szCs w:val="24"/>
        </w:rPr>
      </w:pPr>
      <w:r w:rsidRPr="0049503A">
        <w:rPr>
          <w:rFonts w:ascii="Times New Roman" w:hAnsi="Times New Roman"/>
          <w:bCs/>
          <w:sz w:val="24"/>
          <w:szCs w:val="24"/>
        </w:rPr>
        <w:t xml:space="preserve">“Seven-month-old Brandon Alex was injured after falling from a daybed. His babysitter dialed 9-1-1 three separate </w:t>
      </w:r>
      <w:proofErr w:type="gramStart"/>
      <w:r w:rsidRPr="0049503A">
        <w:rPr>
          <w:rFonts w:ascii="Times New Roman" w:hAnsi="Times New Roman"/>
          <w:bCs/>
          <w:sz w:val="24"/>
          <w:szCs w:val="24"/>
        </w:rPr>
        <w:t>times, and</w:t>
      </w:r>
      <w:proofErr w:type="gramEnd"/>
      <w:r w:rsidRPr="0049503A">
        <w:rPr>
          <w:rFonts w:ascii="Times New Roman" w:hAnsi="Times New Roman"/>
          <w:bCs/>
          <w:sz w:val="24"/>
          <w:szCs w:val="24"/>
        </w:rPr>
        <w:t xml:space="preserve"> stayed on an unconnected line for over thirty minutes. Unable to connect to a dispatcher, Brandon’s grandmother drove him to an emergency room over an hour after the first 9-1-1 call. Brandon was pronounced dead shortly after arriving at the hospital.</w:t>
      </w:r>
      <w:r w:rsidR="000B4D9F">
        <w:rPr>
          <w:rFonts w:ascii="Times New Roman" w:hAnsi="Times New Roman"/>
          <w:bCs/>
          <w:sz w:val="24"/>
          <w:szCs w:val="24"/>
        </w:rPr>
        <w:t xml:space="preserve"> *** </w:t>
      </w:r>
      <w:r w:rsidRPr="0049503A">
        <w:rPr>
          <w:rFonts w:ascii="Times New Roman" w:hAnsi="Times New Roman"/>
          <w:bCs/>
          <w:sz w:val="24"/>
          <w:szCs w:val="24"/>
        </w:rPr>
        <w:t xml:space="preserve">This court has already held that, under the Supreme Court of Texas’s decision in City of Dallas v. Sanchez, 494 S.W.3d 722 (Tex. 2016), Plaintiffs failed to allege proximate cause sufficient to overcome T-Mobile’s immunity…. Because T-Mobile and T-Systems are immune under Texas law, the district court did not err in dismissing Plaintiffs’ claims against them—we affirm. </w:t>
      </w:r>
    </w:p>
    <w:p w14:paraId="088374BE" w14:textId="77777777" w:rsidR="00663160" w:rsidRPr="0049503A" w:rsidRDefault="00663160" w:rsidP="00663160">
      <w:pPr>
        <w:pStyle w:val="NoSpacing"/>
        <w:ind w:left="720"/>
        <w:rPr>
          <w:rFonts w:ascii="Times New Roman" w:eastAsia="Times New Roman" w:hAnsi="Times New Roman"/>
          <w:b/>
          <w:bCs/>
          <w:sz w:val="24"/>
          <w:szCs w:val="24"/>
        </w:rPr>
      </w:pPr>
      <w:hyperlink r:id="rId329" w:history="1">
        <w:r w:rsidRPr="0049503A">
          <w:rPr>
            <w:rStyle w:val="Hyperlink"/>
            <w:rFonts w:ascii="Times New Roman" w:hAnsi="Times New Roman"/>
            <w:bCs/>
            <w:sz w:val="24"/>
            <w:szCs w:val="24"/>
          </w:rPr>
          <w:t>http://www.ca5.uscourts.gov/opinions/unpub/19/19-10878.0.pdf</w:t>
        </w:r>
      </w:hyperlink>
      <w:r w:rsidRPr="0049503A">
        <w:rPr>
          <w:rFonts w:ascii="Times New Roman" w:hAnsi="Times New Roman"/>
          <w:bCs/>
          <w:sz w:val="24"/>
          <w:szCs w:val="24"/>
        </w:rPr>
        <w:t xml:space="preserve"> </w:t>
      </w:r>
    </w:p>
    <w:bookmarkEnd w:id="47"/>
    <w:p w14:paraId="73EF83A1" w14:textId="77777777" w:rsidR="00663160" w:rsidRDefault="00663160" w:rsidP="00663160">
      <w:pPr>
        <w:pStyle w:val="NoSpacing"/>
        <w:rPr>
          <w:rFonts w:ascii="Times New Roman" w:hAnsi="Times New Roman"/>
          <w:b/>
          <w:bCs/>
          <w:sz w:val="24"/>
          <w:szCs w:val="24"/>
        </w:rPr>
      </w:pPr>
    </w:p>
    <w:p w14:paraId="606DEE07" w14:textId="74517482" w:rsidR="00663160" w:rsidRPr="0049503A" w:rsidRDefault="00663160" w:rsidP="00663160">
      <w:pPr>
        <w:pStyle w:val="NoSpacing"/>
        <w:rPr>
          <w:rFonts w:ascii="Times New Roman" w:hAnsi="Times New Roman"/>
          <w:b/>
          <w:bCs/>
          <w:sz w:val="24"/>
          <w:szCs w:val="24"/>
        </w:rPr>
      </w:pPr>
      <w:r w:rsidRPr="0049503A">
        <w:rPr>
          <w:rFonts w:ascii="Times New Roman" w:hAnsi="Times New Roman"/>
          <w:b/>
          <w:bCs/>
          <w:sz w:val="24"/>
          <w:szCs w:val="24"/>
        </w:rPr>
        <w:t xml:space="preserve">Legal Lessons Learned: State statutes often provide immunity to 911 equipment suppliers; this helps avoid suppliers charging municipal </w:t>
      </w:r>
      <w:proofErr w:type="gramStart"/>
      <w:r w:rsidRPr="0049503A">
        <w:rPr>
          <w:rFonts w:ascii="Times New Roman" w:hAnsi="Times New Roman"/>
          <w:b/>
          <w:bCs/>
          <w:sz w:val="24"/>
          <w:szCs w:val="24"/>
        </w:rPr>
        <w:t>governments will</w:t>
      </w:r>
      <w:proofErr w:type="gramEnd"/>
      <w:r w:rsidRPr="0049503A">
        <w:rPr>
          <w:rFonts w:ascii="Times New Roman" w:hAnsi="Times New Roman"/>
          <w:b/>
          <w:bCs/>
          <w:sz w:val="24"/>
          <w:szCs w:val="24"/>
        </w:rPr>
        <w:t xml:space="preserve"> large insurance costs. </w:t>
      </w:r>
    </w:p>
    <w:bookmarkEnd w:id="48"/>
    <w:p w14:paraId="3047154D" w14:textId="77777777" w:rsidR="00663160" w:rsidRDefault="00663160" w:rsidP="002B1283">
      <w:pPr>
        <w:rPr>
          <w:rFonts w:ascii="Arial Black" w:hAnsi="Arial Black"/>
          <w:b/>
          <w:sz w:val="24"/>
          <w:szCs w:val="24"/>
        </w:rPr>
      </w:pPr>
    </w:p>
    <w:p w14:paraId="2EB9C037" w14:textId="049FEAAF" w:rsidR="00663160" w:rsidRDefault="00663160" w:rsidP="002B1283">
      <w:pPr>
        <w:rPr>
          <w:rFonts w:ascii="Arial Black" w:hAnsi="Arial Black"/>
          <w:b/>
          <w:sz w:val="24"/>
          <w:szCs w:val="24"/>
        </w:rPr>
      </w:pPr>
      <w:r>
        <w:rPr>
          <w:rFonts w:ascii="Arial Black" w:hAnsi="Arial Black"/>
          <w:b/>
          <w:sz w:val="24"/>
          <w:szCs w:val="24"/>
        </w:rPr>
        <w:t>1-3</w:t>
      </w:r>
      <w:r w:rsidR="00637A12">
        <w:rPr>
          <w:rFonts w:ascii="Arial Black" w:hAnsi="Arial Black"/>
          <w:b/>
          <w:sz w:val="24"/>
          <w:szCs w:val="24"/>
        </w:rPr>
        <w:t>9</w:t>
      </w:r>
    </w:p>
    <w:p w14:paraId="6E23A3A0" w14:textId="77777777" w:rsidR="00663160" w:rsidRPr="00562D96" w:rsidRDefault="00663160" w:rsidP="00663160">
      <w:pPr>
        <w:pStyle w:val="NoSpacing"/>
        <w:rPr>
          <w:rFonts w:ascii="Arial Black" w:hAnsi="Arial Black"/>
          <w:sz w:val="28"/>
          <w:szCs w:val="28"/>
        </w:rPr>
      </w:pPr>
      <w:bookmarkStart w:id="49" w:name="_Hlk39749579"/>
      <w:bookmarkStart w:id="50" w:name="_Hlk39817858"/>
      <w:r w:rsidRPr="00562D96">
        <w:rPr>
          <w:rFonts w:ascii="Arial Black" w:hAnsi="Arial Black"/>
          <w:sz w:val="28"/>
          <w:szCs w:val="28"/>
        </w:rPr>
        <w:t xml:space="preserve">MI: </w:t>
      </w:r>
      <w:r>
        <w:rPr>
          <w:rFonts w:ascii="Arial Black" w:hAnsi="Arial Black"/>
          <w:sz w:val="28"/>
          <w:szCs w:val="28"/>
        </w:rPr>
        <w:t>ARSON CASE TO BE RE-TRIED – ARSON INVESTIGATORS CHANGED OPINION – 2 POINTS OF ORIGIN TO 1 LOCATION</w:t>
      </w:r>
    </w:p>
    <w:p w14:paraId="68491680" w14:textId="77777777" w:rsidR="00663160" w:rsidRDefault="00663160" w:rsidP="00663160">
      <w:pPr>
        <w:pStyle w:val="NoSpacing"/>
        <w:rPr>
          <w:b/>
          <w:bCs/>
          <w:sz w:val="24"/>
          <w:szCs w:val="24"/>
        </w:rPr>
      </w:pPr>
    </w:p>
    <w:p w14:paraId="56F1238F" w14:textId="77777777" w:rsidR="00663160" w:rsidRPr="0049503A" w:rsidRDefault="00663160" w:rsidP="00663160">
      <w:pPr>
        <w:pStyle w:val="NoSpacing"/>
        <w:rPr>
          <w:rFonts w:ascii="Times New Roman" w:hAnsi="Times New Roman"/>
          <w:b/>
          <w:bCs/>
          <w:sz w:val="24"/>
          <w:szCs w:val="24"/>
        </w:rPr>
      </w:pPr>
      <w:r w:rsidRPr="0049503A">
        <w:rPr>
          <w:rFonts w:ascii="Times New Roman" w:hAnsi="Times New Roman"/>
          <w:bCs/>
          <w:sz w:val="24"/>
          <w:szCs w:val="24"/>
        </w:rPr>
        <w:t xml:space="preserve">On Feb. 25, 2020, in </w:t>
      </w:r>
      <w:r w:rsidRPr="0049503A">
        <w:rPr>
          <w:rFonts w:ascii="Times New Roman" w:hAnsi="Times New Roman"/>
          <w:bCs/>
          <w:sz w:val="24"/>
          <w:szCs w:val="24"/>
          <w:u w:val="single"/>
        </w:rPr>
        <w:t>People of the State of Michigan v. Joshua Mark Burger</w:t>
      </w:r>
      <w:r w:rsidRPr="0049503A">
        <w:rPr>
          <w:rFonts w:ascii="Times New Roman" w:hAnsi="Times New Roman"/>
          <w:bCs/>
          <w:sz w:val="24"/>
          <w:szCs w:val="24"/>
        </w:rPr>
        <w:t xml:space="preserve">, the Michigan Court of Appeals held (3 to 0) that the defendant must re-tried.   Two arson investigators also changed their opinion from two points or origin to </w:t>
      </w:r>
      <w:proofErr w:type="gramStart"/>
      <w:r w:rsidRPr="0049503A">
        <w:rPr>
          <w:rFonts w:ascii="Times New Roman" w:hAnsi="Times New Roman"/>
          <w:bCs/>
          <w:sz w:val="24"/>
          <w:szCs w:val="24"/>
        </w:rPr>
        <w:t>one, but</w:t>
      </w:r>
      <w:proofErr w:type="gramEnd"/>
      <w:r w:rsidRPr="0049503A">
        <w:rPr>
          <w:rFonts w:ascii="Times New Roman" w:hAnsi="Times New Roman"/>
          <w:bCs/>
          <w:sz w:val="24"/>
          <w:szCs w:val="24"/>
        </w:rPr>
        <w:t xml:space="preserve"> not disclosed to defense until first day of trial. Also, defendant owned a successful pawn shop, and the trial court improperly prohibited him from calling two witnesses who would testify his pawn shop was financially doing well – insurance adjustor, and the landlord.  </w:t>
      </w:r>
    </w:p>
    <w:p w14:paraId="7BEE16D6" w14:textId="77777777" w:rsidR="00663160" w:rsidRPr="0049503A" w:rsidRDefault="00663160" w:rsidP="00663160">
      <w:pPr>
        <w:pStyle w:val="NoSpacing"/>
        <w:rPr>
          <w:rFonts w:ascii="Times New Roman" w:hAnsi="Times New Roman"/>
          <w:b/>
          <w:bCs/>
          <w:sz w:val="24"/>
          <w:szCs w:val="24"/>
        </w:rPr>
      </w:pPr>
    </w:p>
    <w:bookmarkEnd w:id="49"/>
    <w:p w14:paraId="77EF138A" w14:textId="77777777" w:rsidR="00663160" w:rsidRPr="0049503A" w:rsidRDefault="00663160" w:rsidP="00663160">
      <w:pPr>
        <w:pStyle w:val="NoSpacing"/>
        <w:ind w:left="720"/>
        <w:rPr>
          <w:rFonts w:ascii="Times New Roman" w:hAnsi="Times New Roman"/>
          <w:b/>
          <w:bCs/>
          <w:sz w:val="24"/>
          <w:szCs w:val="24"/>
        </w:rPr>
      </w:pPr>
      <w:r w:rsidRPr="0049503A">
        <w:rPr>
          <w:rFonts w:ascii="Times New Roman" w:hAnsi="Times New Roman"/>
          <w:bCs/>
          <w:sz w:val="24"/>
          <w:szCs w:val="24"/>
        </w:rPr>
        <w:t xml:space="preserve">“Defendant’s primary theory of the case was spontaneous combustion of the rag soaked with linseed oil that he had been using to finish a guitar in the days leading up to the fire, as he argued in closing. *** </w:t>
      </w:r>
    </w:p>
    <w:p w14:paraId="29CD8274" w14:textId="77777777" w:rsidR="00663160" w:rsidRPr="0049503A" w:rsidRDefault="00663160" w:rsidP="00663160">
      <w:pPr>
        <w:pStyle w:val="NoSpacing"/>
        <w:ind w:left="720"/>
        <w:rPr>
          <w:rFonts w:ascii="Times New Roman" w:hAnsi="Times New Roman"/>
          <w:b/>
          <w:bCs/>
          <w:sz w:val="24"/>
          <w:szCs w:val="24"/>
        </w:rPr>
      </w:pPr>
      <w:r w:rsidRPr="0049503A">
        <w:rPr>
          <w:rFonts w:ascii="Times New Roman" w:hAnsi="Times New Roman"/>
          <w:bCs/>
          <w:sz w:val="24"/>
          <w:szCs w:val="24"/>
        </w:rPr>
        <w:t xml:space="preserve">It is undisputed in this case that defendant learned for the first time at trial that the fire chiefs had changed their opinion regarding the fire’s point of origin. In their original reports, which were disclosed to </w:t>
      </w:r>
      <w:proofErr w:type="gramStart"/>
      <w:r w:rsidRPr="0049503A">
        <w:rPr>
          <w:rFonts w:ascii="Times New Roman" w:hAnsi="Times New Roman"/>
          <w:bCs/>
          <w:sz w:val="24"/>
          <w:szCs w:val="24"/>
        </w:rPr>
        <w:t>defendant</w:t>
      </w:r>
      <w:proofErr w:type="gramEnd"/>
      <w:r w:rsidRPr="0049503A">
        <w:rPr>
          <w:rFonts w:ascii="Times New Roman" w:hAnsi="Times New Roman"/>
          <w:bCs/>
          <w:sz w:val="24"/>
          <w:szCs w:val="24"/>
        </w:rPr>
        <w:t>, both chiefs opined that the fire had two points of origin. However, the chiefs later altered their conclusions, indicating that indeed, the fire had a single point of origin. We conclude that this information was suppressed, as it was not disclosed until the beginning of trial, and that it was material to defendant’s case.”</w:t>
      </w:r>
    </w:p>
    <w:bookmarkStart w:id="51" w:name="_Hlk39749601"/>
    <w:p w14:paraId="4C127694" w14:textId="77777777" w:rsidR="00663160" w:rsidRPr="0049503A" w:rsidRDefault="00334940" w:rsidP="00663160">
      <w:pPr>
        <w:pStyle w:val="NoSpacing"/>
        <w:ind w:left="720"/>
        <w:rPr>
          <w:rFonts w:ascii="Times New Roman" w:hAnsi="Times New Roman"/>
          <w:b/>
          <w:bCs/>
          <w:sz w:val="24"/>
          <w:szCs w:val="24"/>
        </w:rPr>
      </w:pPr>
      <w:r>
        <w:fldChar w:fldCharType="begin"/>
      </w:r>
      <w:r>
        <w:instrText xml:space="preserve"> HYPERLINK "https://cases.justia.com/michigan/court-of-appeals-published/2020-343332.pdf?ts=1582725736" </w:instrText>
      </w:r>
      <w:r>
        <w:fldChar w:fldCharType="separate"/>
      </w:r>
      <w:r w:rsidR="00663160" w:rsidRPr="0049503A">
        <w:rPr>
          <w:rStyle w:val="Hyperlink"/>
          <w:rFonts w:ascii="Times New Roman" w:hAnsi="Times New Roman"/>
          <w:bCs/>
          <w:sz w:val="24"/>
          <w:szCs w:val="24"/>
        </w:rPr>
        <w:t>https://cases.justia.com/michigan/court-of-appeals-published/2020-343332.pdf?ts=1582725736</w:t>
      </w:r>
      <w:r>
        <w:rPr>
          <w:rStyle w:val="Hyperlink"/>
          <w:rFonts w:ascii="Times New Roman" w:hAnsi="Times New Roman"/>
          <w:bCs/>
          <w:sz w:val="24"/>
          <w:szCs w:val="24"/>
        </w:rPr>
        <w:fldChar w:fldCharType="end"/>
      </w:r>
      <w:r w:rsidR="00663160" w:rsidRPr="0049503A">
        <w:rPr>
          <w:rFonts w:ascii="Times New Roman" w:hAnsi="Times New Roman"/>
          <w:bCs/>
          <w:sz w:val="24"/>
          <w:szCs w:val="24"/>
        </w:rPr>
        <w:t xml:space="preserve"> </w:t>
      </w:r>
    </w:p>
    <w:bookmarkEnd w:id="50"/>
    <w:bookmarkEnd w:id="51"/>
    <w:p w14:paraId="762A0384" w14:textId="77777777" w:rsidR="00663160" w:rsidRDefault="00663160" w:rsidP="00663160">
      <w:pPr>
        <w:pStyle w:val="NoSpacing"/>
        <w:tabs>
          <w:tab w:val="left" w:pos="2970"/>
        </w:tabs>
        <w:rPr>
          <w:rFonts w:ascii="Times New Roman" w:hAnsi="Times New Roman"/>
          <w:b/>
          <w:bCs/>
          <w:sz w:val="24"/>
          <w:szCs w:val="24"/>
        </w:rPr>
      </w:pPr>
    </w:p>
    <w:p w14:paraId="5AF92333" w14:textId="22C83871" w:rsidR="00663160" w:rsidRPr="0049503A" w:rsidRDefault="00663160" w:rsidP="00663160">
      <w:pPr>
        <w:pStyle w:val="NoSpacing"/>
        <w:tabs>
          <w:tab w:val="left" w:pos="2970"/>
        </w:tabs>
        <w:rPr>
          <w:rFonts w:ascii="Times New Roman" w:hAnsi="Times New Roman"/>
          <w:b/>
          <w:bCs/>
          <w:sz w:val="24"/>
          <w:szCs w:val="24"/>
        </w:rPr>
      </w:pPr>
      <w:r w:rsidRPr="0049503A">
        <w:rPr>
          <w:rFonts w:ascii="Times New Roman" w:hAnsi="Times New Roman"/>
          <w:b/>
          <w:bCs/>
          <w:sz w:val="24"/>
          <w:szCs w:val="24"/>
        </w:rPr>
        <w:t xml:space="preserve">Legal Lessons Learned:  Prosecutors must disclose, prior to trial, when arson investigators change their findings from two points of origin to one point. </w:t>
      </w:r>
    </w:p>
    <w:p w14:paraId="7B5BEED1" w14:textId="77777777" w:rsidR="00663160" w:rsidRPr="0049503A" w:rsidRDefault="00663160" w:rsidP="00663160">
      <w:pPr>
        <w:pStyle w:val="NoSpacing"/>
        <w:rPr>
          <w:rFonts w:ascii="Times New Roman" w:hAnsi="Times New Roman"/>
          <w:b/>
          <w:bCs/>
          <w:sz w:val="24"/>
          <w:szCs w:val="24"/>
        </w:rPr>
      </w:pPr>
    </w:p>
    <w:p w14:paraId="55C127E0" w14:textId="77777777" w:rsidR="00663160" w:rsidRDefault="00663160" w:rsidP="002B1283">
      <w:pPr>
        <w:rPr>
          <w:rFonts w:ascii="Arial Black" w:hAnsi="Arial Black"/>
          <w:b/>
          <w:sz w:val="24"/>
          <w:szCs w:val="24"/>
        </w:rPr>
      </w:pPr>
    </w:p>
    <w:p w14:paraId="22FA65F1" w14:textId="77777777" w:rsidR="00663160" w:rsidRDefault="00663160" w:rsidP="002B1283">
      <w:pPr>
        <w:rPr>
          <w:rFonts w:ascii="Arial Black" w:hAnsi="Arial Black"/>
          <w:b/>
          <w:sz w:val="24"/>
          <w:szCs w:val="24"/>
        </w:rPr>
      </w:pPr>
    </w:p>
    <w:p w14:paraId="6B2A9EFE" w14:textId="77777777" w:rsidR="00663160" w:rsidRDefault="00663160" w:rsidP="002B1283">
      <w:pPr>
        <w:rPr>
          <w:rFonts w:ascii="Arial Black" w:hAnsi="Arial Black"/>
          <w:b/>
          <w:sz w:val="24"/>
          <w:szCs w:val="24"/>
        </w:rPr>
      </w:pPr>
    </w:p>
    <w:p w14:paraId="48F9AA74" w14:textId="41AFD911" w:rsidR="00C9355B" w:rsidRDefault="00C9355B" w:rsidP="002B1283">
      <w:pPr>
        <w:rPr>
          <w:rFonts w:ascii="Arial Black" w:hAnsi="Arial Black"/>
          <w:b/>
          <w:sz w:val="24"/>
          <w:szCs w:val="24"/>
        </w:rPr>
      </w:pPr>
      <w:r>
        <w:rPr>
          <w:rFonts w:ascii="Arial Black" w:hAnsi="Arial Black"/>
          <w:b/>
          <w:sz w:val="24"/>
          <w:szCs w:val="24"/>
        </w:rPr>
        <w:t>1-3</w:t>
      </w:r>
      <w:r w:rsidR="00637A12">
        <w:rPr>
          <w:rFonts w:ascii="Arial Black" w:hAnsi="Arial Black"/>
          <w:b/>
          <w:sz w:val="24"/>
          <w:szCs w:val="24"/>
        </w:rPr>
        <w:t>8</w:t>
      </w:r>
    </w:p>
    <w:p w14:paraId="33EED068" w14:textId="77777777" w:rsidR="00C9355B" w:rsidRPr="00B51160" w:rsidRDefault="00C9355B" w:rsidP="00C9355B">
      <w:pPr>
        <w:pStyle w:val="Heading1"/>
        <w:rPr>
          <w:rFonts w:ascii="Arial Black" w:hAnsi="Arial Black"/>
          <w:sz w:val="28"/>
          <w:szCs w:val="28"/>
        </w:rPr>
      </w:pPr>
      <w:bookmarkStart w:id="52" w:name="_Hlk69187758"/>
      <w:bookmarkStart w:id="53" w:name="_Hlk39749674"/>
      <w:bookmarkStart w:id="54" w:name="_Hlk39817933"/>
      <w:r w:rsidRPr="00B51160">
        <w:rPr>
          <w:rFonts w:ascii="Arial Black" w:hAnsi="Arial Black"/>
          <w:sz w:val="28"/>
          <w:szCs w:val="28"/>
        </w:rPr>
        <w:t>CA:</w:t>
      </w:r>
      <w:r>
        <w:rPr>
          <w:rFonts w:ascii="Arial Black" w:hAnsi="Arial Black"/>
          <w:sz w:val="28"/>
          <w:szCs w:val="28"/>
        </w:rPr>
        <w:t xml:space="preserve"> HOUSE EXPLOSION – HASHISH OIL – AFTER FIRE OUT, HAZMAT CAPT. / PD LATER SEARCHED WITHOUT WARRANT </w:t>
      </w:r>
    </w:p>
    <w:bookmarkEnd w:id="52"/>
    <w:p w14:paraId="6BBE029D" w14:textId="77777777" w:rsidR="00C9355B" w:rsidRPr="00695030" w:rsidRDefault="00C9355B" w:rsidP="00C9355B">
      <w:pPr>
        <w:pStyle w:val="NoSpacing"/>
        <w:rPr>
          <w:rFonts w:ascii="Times New Roman" w:hAnsi="Times New Roman"/>
          <w:b/>
          <w:bCs/>
          <w:sz w:val="24"/>
          <w:szCs w:val="24"/>
        </w:rPr>
      </w:pPr>
      <w:r w:rsidRPr="00695030">
        <w:rPr>
          <w:rFonts w:ascii="Times New Roman" w:hAnsi="Times New Roman"/>
          <w:bCs/>
          <w:sz w:val="24"/>
          <w:szCs w:val="24"/>
        </w:rPr>
        <w:t xml:space="preserve">On Jan. 28, 2020, in </w:t>
      </w:r>
      <w:r w:rsidRPr="00695030">
        <w:rPr>
          <w:rFonts w:ascii="Times New Roman" w:hAnsi="Times New Roman"/>
          <w:bCs/>
          <w:sz w:val="24"/>
          <w:szCs w:val="24"/>
          <w:u w:val="single"/>
        </w:rPr>
        <w:t>United States of America v. Joseph Jay Spadafore</w:t>
      </w:r>
      <w:r w:rsidRPr="00695030">
        <w:rPr>
          <w:rFonts w:ascii="Times New Roman" w:hAnsi="Times New Roman"/>
          <w:bCs/>
          <w:sz w:val="24"/>
          <w:szCs w:val="24"/>
        </w:rPr>
        <w:t>, the U.S. Court of Appeals for the 9</w:t>
      </w:r>
      <w:r w:rsidRPr="00695030">
        <w:rPr>
          <w:rFonts w:ascii="Times New Roman" w:hAnsi="Times New Roman"/>
          <w:bCs/>
          <w:sz w:val="24"/>
          <w:szCs w:val="24"/>
          <w:vertAlign w:val="superscript"/>
        </w:rPr>
        <w:t>th</w:t>
      </w:r>
      <w:r w:rsidRPr="00695030">
        <w:rPr>
          <w:rFonts w:ascii="Times New Roman" w:hAnsi="Times New Roman"/>
          <w:bCs/>
          <w:sz w:val="24"/>
          <w:szCs w:val="24"/>
        </w:rPr>
        <w:t xml:space="preserve"> Circuit (San Francisco) held (3 to 0, unpublished decision) that trial judge properly denied his motion to suppress evidence; it was reasonable for a fire department Captain and police officers to conduct the later search the home without a search warrant, due to presence of hazardous and volatile materials.  </w:t>
      </w:r>
    </w:p>
    <w:bookmarkEnd w:id="53"/>
    <w:p w14:paraId="73774342" w14:textId="77777777" w:rsidR="00C9355B" w:rsidRPr="00695030" w:rsidRDefault="00C9355B" w:rsidP="00C9355B">
      <w:pPr>
        <w:pStyle w:val="NoSpacing"/>
        <w:rPr>
          <w:rFonts w:ascii="Times New Roman" w:hAnsi="Times New Roman"/>
          <w:b/>
          <w:bCs/>
          <w:sz w:val="24"/>
          <w:szCs w:val="24"/>
        </w:rPr>
      </w:pPr>
    </w:p>
    <w:p w14:paraId="415C2F7E" w14:textId="77777777" w:rsidR="00C9355B" w:rsidRPr="00695030" w:rsidRDefault="00C9355B" w:rsidP="00C9355B">
      <w:pPr>
        <w:pStyle w:val="NoSpacing"/>
        <w:ind w:left="720"/>
        <w:rPr>
          <w:rFonts w:ascii="Times New Roman" w:hAnsi="Times New Roman"/>
          <w:b/>
          <w:bCs/>
          <w:sz w:val="24"/>
          <w:szCs w:val="24"/>
        </w:rPr>
      </w:pPr>
      <w:r w:rsidRPr="00695030">
        <w:rPr>
          <w:rFonts w:ascii="Times New Roman" w:hAnsi="Times New Roman"/>
          <w:bCs/>
          <w:sz w:val="24"/>
          <w:szCs w:val="24"/>
        </w:rPr>
        <w:t>“[E]</w:t>
      </w:r>
      <w:proofErr w:type="spellStart"/>
      <w:r w:rsidRPr="00695030">
        <w:rPr>
          <w:rFonts w:ascii="Times New Roman" w:hAnsi="Times New Roman"/>
          <w:bCs/>
          <w:sz w:val="24"/>
          <w:szCs w:val="24"/>
        </w:rPr>
        <w:t>xigent</w:t>
      </w:r>
      <w:proofErr w:type="spellEnd"/>
      <w:r w:rsidRPr="00695030">
        <w:rPr>
          <w:rFonts w:ascii="Times New Roman" w:hAnsi="Times New Roman"/>
          <w:bCs/>
          <w:sz w:val="24"/>
          <w:szCs w:val="24"/>
        </w:rPr>
        <w:t xml:space="preserve"> circumstances involving the explosion of volatile materials used for manufacturing hashish oil justified the search of the residence by fire department personnel and law enforcement officers. During the initial search for potential victims of the explosion, first responders observed ‘glassware, tubing, jars, and other equipment that resembled a drug lab.’ Later in the night, a fire captain with the ‘hazardous materials unit’ accompanied law enforcement officers, while wearing ‘air monitoring devices . . . in order to check the air quality and confirm the nature of the lab inside the home, particularly whether it involved hazardous materials that could pose a danger to life, property, or the environment.’ Although the fire had been extinguished, it was reasonable for fire department personnel and law enforcement officers to search the property due to the explosion and the presence of other hazardous and volatile materials.” </w:t>
      </w:r>
      <w:bookmarkStart w:id="55" w:name="_Hlk69187822"/>
      <w:bookmarkStart w:id="56" w:name="_Hlk39749691"/>
      <w:r w:rsidR="00334940">
        <w:fldChar w:fldCharType="begin"/>
      </w:r>
      <w:r w:rsidR="00334940">
        <w:instrText xml:space="preserve"> HYPERLINK "http://cdn.ca9.uscourts.gov/datastore/memoranda/2020/01/28/18-50189.pdf" </w:instrText>
      </w:r>
      <w:r w:rsidR="00334940">
        <w:fldChar w:fldCharType="separate"/>
      </w:r>
      <w:r w:rsidRPr="00695030">
        <w:rPr>
          <w:rStyle w:val="Hyperlink"/>
          <w:rFonts w:ascii="Times New Roman" w:hAnsi="Times New Roman"/>
          <w:b/>
          <w:sz w:val="24"/>
          <w:szCs w:val="24"/>
        </w:rPr>
        <w:t>http://cdn.ca9.uscourts.gov/datastore/memoranda/2020/01/28/18-50189.pdf</w:t>
      </w:r>
      <w:r w:rsidR="00334940">
        <w:rPr>
          <w:rStyle w:val="Hyperlink"/>
          <w:rFonts w:ascii="Times New Roman" w:hAnsi="Times New Roman"/>
          <w:b/>
          <w:sz w:val="24"/>
          <w:szCs w:val="24"/>
        </w:rPr>
        <w:fldChar w:fldCharType="end"/>
      </w:r>
      <w:r w:rsidRPr="00695030">
        <w:rPr>
          <w:rFonts w:ascii="Times New Roman" w:hAnsi="Times New Roman"/>
          <w:bCs/>
          <w:sz w:val="24"/>
          <w:szCs w:val="24"/>
        </w:rPr>
        <w:t xml:space="preserve"> </w:t>
      </w:r>
      <w:bookmarkEnd w:id="55"/>
    </w:p>
    <w:bookmarkEnd w:id="56"/>
    <w:p w14:paraId="2D46859A" w14:textId="77777777" w:rsidR="007A1E7A" w:rsidRDefault="007A1E7A" w:rsidP="00C9355B">
      <w:pPr>
        <w:pStyle w:val="NoSpacing"/>
        <w:rPr>
          <w:rFonts w:ascii="Times New Roman" w:hAnsi="Times New Roman"/>
          <w:b/>
          <w:bCs/>
          <w:sz w:val="24"/>
          <w:szCs w:val="24"/>
        </w:rPr>
      </w:pPr>
    </w:p>
    <w:bookmarkEnd w:id="54"/>
    <w:p w14:paraId="195C52EC" w14:textId="3B7C5E9D" w:rsidR="00C9355B" w:rsidRPr="00695030" w:rsidRDefault="00C9355B" w:rsidP="00C9355B">
      <w:pPr>
        <w:pStyle w:val="NoSpacing"/>
        <w:rPr>
          <w:rFonts w:ascii="Times New Roman" w:hAnsi="Times New Roman"/>
          <w:b/>
          <w:bCs/>
          <w:sz w:val="24"/>
          <w:szCs w:val="24"/>
        </w:rPr>
      </w:pPr>
      <w:r w:rsidRPr="00695030">
        <w:rPr>
          <w:rFonts w:ascii="Times New Roman" w:hAnsi="Times New Roman"/>
          <w:b/>
          <w:bCs/>
          <w:sz w:val="24"/>
          <w:szCs w:val="24"/>
        </w:rPr>
        <w:t xml:space="preserve">Legal Lessons Learned: Great decision; remember to keep a firefighter at the scene while waiting for HAZMAT, fire investigator, or other specialized resources to arrive. </w:t>
      </w:r>
    </w:p>
    <w:p w14:paraId="6ECC6FED" w14:textId="77777777" w:rsidR="00C9355B" w:rsidRDefault="00C9355B" w:rsidP="002B1283">
      <w:pPr>
        <w:rPr>
          <w:rFonts w:ascii="Arial Black" w:hAnsi="Arial Black"/>
          <w:b/>
          <w:sz w:val="24"/>
          <w:szCs w:val="24"/>
        </w:rPr>
      </w:pPr>
    </w:p>
    <w:p w14:paraId="66EE328D" w14:textId="77777777" w:rsidR="00C9355B" w:rsidRDefault="00C9355B" w:rsidP="002B1283">
      <w:pPr>
        <w:rPr>
          <w:rFonts w:ascii="Arial Black" w:hAnsi="Arial Black"/>
          <w:b/>
          <w:sz w:val="24"/>
          <w:szCs w:val="24"/>
        </w:rPr>
      </w:pPr>
    </w:p>
    <w:p w14:paraId="7EF421D0" w14:textId="77777777" w:rsidR="00C9355B" w:rsidRDefault="00C9355B" w:rsidP="002B1283">
      <w:pPr>
        <w:rPr>
          <w:rFonts w:ascii="Arial Black" w:hAnsi="Arial Black"/>
          <w:b/>
          <w:sz w:val="24"/>
          <w:szCs w:val="24"/>
        </w:rPr>
      </w:pPr>
    </w:p>
    <w:p w14:paraId="4AB217A3" w14:textId="5A96FFB4" w:rsidR="00980EAD" w:rsidRDefault="007C6FEF" w:rsidP="002B1283">
      <w:pPr>
        <w:rPr>
          <w:rFonts w:ascii="Arial Black" w:hAnsi="Arial Black"/>
          <w:b/>
          <w:sz w:val="24"/>
          <w:szCs w:val="24"/>
        </w:rPr>
      </w:pPr>
      <w:r>
        <w:rPr>
          <w:rFonts w:ascii="Arial Black" w:hAnsi="Arial Black"/>
          <w:b/>
          <w:sz w:val="24"/>
          <w:szCs w:val="24"/>
        </w:rPr>
        <w:lastRenderedPageBreak/>
        <w:t>1-3</w:t>
      </w:r>
      <w:r w:rsidR="00637A12">
        <w:rPr>
          <w:rFonts w:ascii="Arial Black" w:hAnsi="Arial Black"/>
          <w:b/>
          <w:sz w:val="24"/>
          <w:szCs w:val="24"/>
        </w:rPr>
        <w:t>7</w:t>
      </w:r>
    </w:p>
    <w:p w14:paraId="7B07AE07" w14:textId="77777777" w:rsidR="007C6FEF" w:rsidRPr="007B1262" w:rsidRDefault="007C6FEF" w:rsidP="007C6FEF">
      <w:pPr>
        <w:spacing w:before="100" w:beforeAutospacing="1" w:after="100" w:afterAutospacing="1" w:line="240" w:lineRule="auto"/>
        <w:rPr>
          <w:rFonts w:ascii="Arial Black" w:hAnsi="Arial Black"/>
          <w:sz w:val="28"/>
          <w:szCs w:val="28"/>
        </w:rPr>
      </w:pPr>
      <w:r>
        <w:rPr>
          <w:rFonts w:ascii="Arial Black" w:hAnsi="Arial Black"/>
          <w:sz w:val="28"/>
          <w:szCs w:val="28"/>
        </w:rPr>
        <w:t>FL:</w:t>
      </w:r>
      <w:r w:rsidRPr="007B1262">
        <w:rPr>
          <w:rFonts w:ascii="Arial Black" w:hAnsi="Arial Black"/>
          <w:sz w:val="28"/>
          <w:szCs w:val="28"/>
        </w:rPr>
        <w:t xml:space="preserve"> </w:t>
      </w:r>
      <w:r>
        <w:rPr>
          <w:rFonts w:ascii="Arial Black" w:hAnsi="Arial Black"/>
          <w:sz w:val="28"/>
          <w:szCs w:val="28"/>
        </w:rPr>
        <w:t>FIRE CHIEF – CODE ENFORCEMENT / 100-YR OLD LODGE WAS CONDEMNED – FIRED – 1</w:t>
      </w:r>
      <w:r w:rsidRPr="002A643A">
        <w:rPr>
          <w:rFonts w:ascii="Arial Black" w:hAnsi="Arial Black"/>
          <w:sz w:val="28"/>
          <w:szCs w:val="28"/>
          <w:vertAlign w:val="superscript"/>
        </w:rPr>
        <w:t>st</w:t>
      </w:r>
      <w:r>
        <w:rPr>
          <w:rFonts w:ascii="Arial Black" w:hAnsi="Arial Black"/>
          <w:sz w:val="28"/>
          <w:szCs w:val="28"/>
        </w:rPr>
        <w:t xml:space="preserve"> AMENDMENT CASE DISMISSED</w:t>
      </w:r>
    </w:p>
    <w:p w14:paraId="70AC31BC" w14:textId="77777777" w:rsidR="007C6FEF" w:rsidRPr="00B47705" w:rsidRDefault="007C6FEF" w:rsidP="007C6FEF">
      <w:pPr>
        <w:spacing w:before="100" w:beforeAutospacing="1" w:after="100" w:afterAutospacing="1" w:line="240" w:lineRule="auto"/>
        <w:rPr>
          <w:rFonts w:ascii="Times New Roman" w:hAnsi="Times New Roman"/>
          <w:sz w:val="24"/>
          <w:szCs w:val="24"/>
        </w:rPr>
      </w:pPr>
      <w:r w:rsidRPr="00B47705">
        <w:rPr>
          <w:rFonts w:ascii="Times New Roman" w:hAnsi="Times New Roman"/>
          <w:sz w:val="24"/>
          <w:szCs w:val="24"/>
        </w:rPr>
        <w:t xml:space="preserve">On Dec. 12, 2019, in </w:t>
      </w:r>
      <w:r w:rsidRPr="00B47705">
        <w:rPr>
          <w:rFonts w:ascii="Times New Roman" w:hAnsi="Times New Roman"/>
          <w:sz w:val="24"/>
          <w:szCs w:val="24"/>
          <w:u w:val="single"/>
        </w:rPr>
        <w:t>Bradley Batz v. City of Sebring</w:t>
      </w:r>
      <w:r w:rsidRPr="00B47705">
        <w:rPr>
          <w:rFonts w:ascii="Times New Roman" w:hAnsi="Times New Roman"/>
          <w:sz w:val="24"/>
          <w:szCs w:val="24"/>
        </w:rPr>
        <w:t>, the U.S. Court of Appeals for the 11</w:t>
      </w:r>
      <w:r w:rsidRPr="00B47705">
        <w:rPr>
          <w:rFonts w:ascii="Times New Roman" w:hAnsi="Times New Roman"/>
          <w:sz w:val="24"/>
          <w:szCs w:val="24"/>
          <w:vertAlign w:val="superscript"/>
        </w:rPr>
        <w:t>th</w:t>
      </w:r>
      <w:r w:rsidRPr="00B47705">
        <w:rPr>
          <w:rFonts w:ascii="Times New Roman" w:hAnsi="Times New Roman"/>
          <w:sz w:val="24"/>
          <w:szCs w:val="24"/>
        </w:rPr>
        <w:t xml:space="preserve"> Circuit (Atlanta) held (3 to 0) that the U.S. District Court judge had properly dismissed his First Amendment lawsuit, despite his claims of retaliation for his lawful efforts to condemn a 100-year old Lodge, partially owned by a member of City Council.   </w:t>
      </w:r>
    </w:p>
    <w:p w14:paraId="18FCE86B" w14:textId="77777777" w:rsidR="007C6FEF" w:rsidRPr="007B1262" w:rsidRDefault="007C6FEF" w:rsidP="007C6FEF">
      <w:pPr>
        <w:pStyle w:val="NoSpacing"/>
        <w:ind w:left="720"/>
        <w:rPr>
          <w:rFonts w:ascii="Times New Roman" w:eastAsia="Times New Roman" w:hAnsi="Times New Roman"/>
          <w:b/>
          <w:bCs/>
          <w:sz w:val="24"/>
          <w:szCs w:val="24"/>
        </w:rPr>
      </w:pPr>
      <w:r>
        <w:rPr>
          <w:rFonts w:ascii="Times New Roman" w:hAnsi="Times New Roman"/>
          <w:sz w:val="24"/>
          <w:szCs w:val="24"/>
        </w:rPr>
        <w:t>“</w:t>
      </w:r>
      <w:r w:rsidRPr="007B1262">
        <w:rPr>
          <w:rFonts w:ascii="Times New Roman" w:hAnsi="Times New Roman"/>
          <w:sz w:val="24"/>
          <w:szCs w:val="24"/>
        </w:rPr>
        <w:t xml:space="preserve">In other words, one of Batz’s core responsibilities as the </w:t>
      </w:r>
      <w:proofErr w:type="gramStart"/>
      <w:r w:rsidRPr="007B1262">
        <w:rPr>
          <w:rFonts w:ascii="Times New Roman" w:hAnsi="Times New Roman"/>
          <w:sz w:val="24"/>
          <w:szCs w:val="24"/>
        </w:rPr>
        <w:t>City</w:t>
      </w:r>
      <w:proofErr w:type="gramEnd"/>
      <w:r w:rsidRPr="007B1262">
        <w:rPr>
          <w:rFonts w:ascii="Times New Roman" w:hAnsi="Times New Roman"/>
          <w:sz w:val="24"/>
          <w:szCs w:val="24"/>
        </w:rPr>
        <w:t xml:space="preserve"> employee responsible for enforcing the Safety Code was ensuring public safety. Thus, his continued assertion that his speech was motivated by a concern for public safety does not remove it from the realm of employment-related speech…. At the very least, he made no effort to communicate his safety concerns to the public or otherwise communicate with anyone outside other government officials…. Accordingly, we conclude Batz spoke in his role as a </w:t>
      </w:r>
      <w:proofErr w:type="gramStart"/>
      <w:r w:rsidRPr="007B1262">
        <w:rPr>
          <w:rFonts w:ascii="Times New Roman" w:hAnsi="Times New Roman"/>
          <w:sz w:val="24"/>
          <w:szCs w:val="24"/>
        </w:rPr>
        <w:t>City</w:t>
      </w:r>
      <w:proofErr w:type="gramEnd"/>
      <w:r w:rsidRPr="007B1262">
        <w:rPr>
          <w:rFonts w:ascii="Times New Roman" w:hAnsi="Times New Roman"/>
          <w:sz w:val="24"/>
          <w:szCs w:val="24"/>
        </w:rPr>
        <w:t xml:space="preserve"> employee when he expressed concerns about efforts to undermine and delay his enforcement efforts against the Lodge. His speech therefore was not protected by the First Amendment.</w:t>
      </w:r>
      <w:r>
        <w:rPr>
          <w:rFonts w:ascii="Times New Roman" w:hAnsi="Times New Roman"/>
          <w:sz w:val="24"/>
          <w:szCs w:val="24"/>
        </w:rPr>
        <w:t xml:space="preserve"> </w:t>
      </w:r>
      <w:hyperlink r:id="rId330" w:history="1">
        <w:r w:rsidRPr="00D24870">
          <w:rPr>
            <w:rStyle w:val="Hyperlink"/>
            <w:rFonts w:ascii="Times New Roman" w:hAnsi="Times New Roman"/>
            <w:sz w:val="24"/>
            <w:szCs w:val="24"/>
          </w:rPr>
          <w:t>https://cases.justia.com/federal/appellate-courts/ca11/19-11399/19-11399-2019-12-12.pdf?ts=1576184426</w:t>
        </w:r>
      </w:hyperlink>
      <w:r>
        <w:rPr>
          <w:rFonts w:ascii="Times New Roman" w:hAnsi="Times New Roman"/>
          <w:sz w:val="24"/>
          <w:szCs w:val="24"/>
        </w:rPr>
        <w:t xml:space="preserve"> </w:t>
      </w:r>
    </w:p>
    <w:p w14:paraId="01FAB458" w14:textId="05803340" w:rsidR="003464C5" w:rsidRDefault="003464C5" w:rsidP="002B1283">
      <w:pPr>
        <w:rPr>
          <w:rFonts w:ascii="Times New Roman" w:hAnsi="Times New Roman"/>
          <w:bCs/>
          <w:sz w:val="24"/>
          <w:szCs w:val="24"/>
        </w:rPr>
      </w:pPr>
    </w:p>
    <w:p w14:paraId="223ACA9C" w14:textId="39C517A8" w:rsidR="007A1E7A" w:rsidRDefault="007A1E7A" w:rsidP="002B1283">
      <w:pPr>
        <w:rPr>
          <w:rFonts w:ascii="Times New Roman" w:hAnsi="Times New Roman"/>
          <w:b/>
          <w:bCs/>
          <w:sz w:val="24"/>
          <w:szCs w:val="24"/>
        </w:rPr>
      </w:pPr>
      <w:r w:rsidRPr="007A1E7A">
        <w:rPr>
          <w:rFonts w:ascii="Times New Roman" w:hAnsi="Times New Roman"/>
          <w:b/>
          <w:bCs/>
          <w:sz w:val="24"/>
          <w:szCs w:val="24"/>
        </w:rPr>
        <w:t xml:space="preserve">Legal Lessons Learned: Fire Chiefs are other public employees have only limited First Amendment rights under the “balancing test.” The Court also dismissed his Florida Whistleblower claims because he did not submit a “written and signed complaint.” </w:t>
      </w:r>
    </w:p>
    <w:p w14:paraId="592965FD" w14:textId="77777777" w:rsidR="007A1E7A" w:rsidRPr="007A1E7A" w:rsidRDefault="007A1E7A" w:rsidP="002B1283">
      <w:pPr>
        <w:rPr>
          <w:rFonts w:ascii="Times New Roman" w:hAnsi="Times New Roman"/>
          <w:b/>
          <w:bCs/>
          <w:sz w:val="24"/>
          <w:szCs w:val="24"/>
        </w:rPr>
      </w:pPr>
    </w:p>
    <w:p w14:paraId="156DD20A" w14:textId="26031537" w:rsidR="007C6FEF" w:rsidRDefault="007C6FEF" w:rsidP="002B1283">
      <w:pPr>
        <w:rPr>
          <w:rFonts w:ascii="Arial Black" w:hAnsi="Arial Black"/>
          <w:b/>
          <w:sz w:val="24"/>
          <w:szCs w:val="24"/>
        </w:rPr>
      </w:pPr>
      <w:r>
        <w:rPr>
          <w:rFonts w:ascii="Arial Black" w:hAnsi="Arial Black"/>
          <w:b/>
          <w:sz w:val="24"/>
          <w:szCs w:val="24"/>
        </w:rPr>
        <w:t>1-3</w:t>
      </w:r>
      <w:r w:rsidR="00637A12">
        <w:rPr>
          <w:rFonts w:ascii="Arial Black" w:hAnsi="Arial Black"/>
          <w:b/>
          <w:sz w:val="24"/>
          <w:szCs w:val="24"/>
        </w:rPr>
        <w:t>6</w:t>
      </w:r>
    </w:p>
    <w:p w14:paraId="0ADD3840" w14:textId="77777777" w:rsidR="007C6FEF" w:rsidRPr="00A2453E" w:rsidRDefault="007C6FEF" w:rsidP="007C6FEF">
      <w:pPr>
        <w:rPr>
          <w:rFonts w:ascii="Arial Black" w:hAnsi="Arial Black"/>
          <w:sz w:val="28"/>
          <w:szCs w:val="28"/>
        </w:rPr>
      </w:pPr>
      <w:bookmarkStart w:id="57" w:name="_Hlk29226241"/>
      <w:r w:rsidRPr="00A2453E">
        <w:rPr>
          <w:rFonts w:ascii="Arial Black" w:hAnsi="Arial Black"/>
          <w:sz w:val="28"/>
          <w:szCs w:val="28"/>
        </w:rPr>
        <w:t xml:space="preserve">VA: </w:t>
      </w:r>
      <w:r>
        <w:rPr>
          <w:rFonts w:ascii="Arial Black" w:hAnsi="Arial Black"/>
          <w:sz w:val="28"/>
          <w:szCs w:val="28"/>
        </w:rPr>
        <w:t xml:space="preserve"> HYDRANT NEAR HOUSE OUT OF SERVICE – 1000 FOOT LAY – PERSON DIED - GOVERNMENTAL IMMUNITY, CASE DISMISSED</w:t>
      </w:r>
    </w:p>
    <w:p w14:paraId="63C3AA5E" w14:textId="77777777" w:rsidR="007C6FEF" w:rsidRDefault="007C6FEF" w:rsidP="007C6FEF">
      <w:pPr>
        <w:rPr>
          <w:rFonts w:ascii="Times New Roman" w:hAnsi="Times New Roman"/>
          <w:sz w:val="24"/>
          <w:szCs w:val="24"/>
        </w:rPr>
      </w:pPr>
      <w:r>
        <w:rPr>
          <w:rFonts w:ascii="Times New Roman" w:hAnsi="Times New Roman"/>
          <w:sz w:val="24"/>
          <w:szCs w:val="24"/>
        </w:rPr>
        <w:t xml:space="preserve">On Dec. 12, 2019, in </w:t>
      </w:r>
      <w:r w:rsidRPr="003F4B77">
        <w:rPr>
          <w:rFonts w:ascii="Times New Roman" w:hAnsi="Times New Roman"/>
          <w:sz w:val="24"/>
          <w:szCs w:val="24"/>
          <w:u w:val="single"/>
        </w:rPr>
        <w:t>Sam Massenburg, Administrator of the Estate of Corey Demetrius Massenburg, Deceased v. City of Petersburg</w:t>
      </w:r>
      <w:r>
        <w:rPr>
          <w:rFonts w:ascii="Times New Roman" w:hAnsi="Times New Roman"/>
          <w:sz w:val="24"/>
          <w:szCs w:val="24"/>
        </w:rPr>
        <w:t xml:space="preserve">, the Supreme Court of Appeals of Virginia, held that the Circuit Court judge properly granted summary judgment to the City. </w:t>
      </w:r>
    </w:p>
    <w:p w14:paraId="47D6ADEA" w14:textId="6CF97968" w:rsidR="007C6FEF" w:rsidRDefault="007C6FEF" w:rsidP="007C6FEF">
      <w:pPr>
        <w:ind w:left="720"/>
        <w:rPr>
          <w:rFonts w:ascii="Times New Roman" w:hAnsi="Times New Roman"/>
          <w:sz w:val="24"/>
          <w:szCs w:val="24"/>
        </w:rPr>
      </w:pPr>
      <w:r>
        <w:rPr>
          <w:rFonts w:ascii="Times New Roman" w:hAnsi="Times New Roman"/>
          <w:sz w:val="24"/>
          <w:szCs w:val="24"/>
        </w:rPr>
        <w:t>“</w:t>
      </w:r>
      <w:r w:rsidRPr="003F4B77">
        <w:rPr>
          <w:rFonts w:ascii="Times New Roman" w:hAnsi="Times New Roman"/>
          <w:sz w:val="24"/>
          <w:szCs w:val="24"/>
        </w:rPr>
        <w:t xml:space="preserve">A fire hydrant, as the name suggests, exists to facilitate the firefighting function of the municipality that installed it. That function is quintessentially governmental. That fire hydrants can be put to other uses is inconsequential because the sole reason municipalities undertake the expense of installing fire hydrants is to promote their ability to respond to fire emergencies. </w:t>
      </w:r>
      <w:r>
        <w:rPr>
          <w:rFonts w:ascii="Times New Roman" w:hAnsi="Times New Roman"/>
          <w:sz w:val="24"/>
          <w:szCs w:val="24"/>
        </w:rPr>
        <w:t xml:space="preserve">*** </w:t>
      </w:r>
      <w:r w:rsidRPr="003F4B77">
        <w:rPr>
          <w:rFonts w:ascii="Times New Roman" w:hAnsi="Times New Roman"/>
          <w:sz w:val="24"/>
          <w:szCs w:val="24"/>
        </w:rPr>
        <w:t>The City’s provision and maintenance of fire hydrants is therefore an immune governmental function.</w:t>
      </w:r>
      <w:r>
        <w:rPr>
          <w:rFonts w:ascii="Times New Roman" w:hAnsi="Times New Roman"/>
          <w:sz w:val="24"/>
          <w:szCs w:val="24"/>
        </w:rPr>
        <w:t xml:space="preserve"> </w:t>
      </w:r>
      <w:bookmarkStart w:id="58" w:name="_Hlk29226264"/>
      <w:bookmarkEnd w:id="57"/>
      <w:r>
        <w:rPr>
          <w:rFonts w:asciiTheme="minorHAnsi" w:hAnsiTheme="minorHAnsi" w:cstheme="minorBidi"/>
        </w:rPr>
        <w:fldChar w:fldCharType="begin"/>
      </w:r>
      <w:r>
        <w:instrText xml:space="preserve"> HYPERLINK "https://cases.justia.com/virginia/supreme-court/2019-190071.pdf?ts=1576159671" </w:instrText>
      </w:r>
      <w:r>
        <w:rPr>
          <w:rFonts w:asciiTheme="minorHAnsi" w:hAnsiTheme="minorHAnsi" w:cstheme="minorBidi"/>
        </w:rPr>
      </w:r>
      <w:r>
        <w:rPr>
          <w:rFonts w:asciiTheme="minorHAnsi" w:hAnsiTheme="minorHAnsi" w:cstheme="minorBidi"/>
        </w:rPr>
        <w:fldChar w:fldCharType="separate"/>
      </w:r>
      <w:r w:rsidRPr="00BF6E5A">
        <w:rPr>
          <w:rStyle w:val="Hyperlink"/>
          <w:rFonts w:ascii="Times New Roman" w:hAnsi="Times New Roman"/>
          <w:sz w:val="24"/>
          <w:szCs w:val="24"/>
        </w:rPr>
        <w:t>https://cases.justia.com/virginia/supreme-court/2019-190071.pdf?ts=1576159671</w:t>
      </w:r>
      <w:r>
        <w:rPr>
          <w:rStyle w:val="Hyperlink"/>
          <w:rFonts w:ascii="Times New Roman" w:hAnsi="Times New Roman"/>
          <w:sz w:val="24"/>
          <w:szCs w:val="24"/>
        </w:rPr>
        <w:fldChar w:fldCharType="end"/>
      </w:r>
      <w:r>
        <w:rPr>
          <w:rFonts w:ascii="Times New Roman" w:hAnsi="Times New Roman"/>
          <w:sz w:val="24"/>
          <w:szCs w:val="24"/>
        </w:rPr>
        <w:t xml:space="preserve"> </w:t>
      </w:r>
      <w:bookmarkEnd w:id="58"/>
    </w:p>
    <w:p w14:paraId="772D0160" w14:textId="24A8FDA9" w:rsidR="006C7F17" w:rsidRPr="006C7F17" w:rsidRDefault="006C7F17" w:rsidP="006C7F17">
      <w:pPr>
        <w:rPr>
          <w:rFonts w:ascii="Times New Roman" w:hAnsi="Times New Roman"/>
          <w:b/>
          <w:bCs/>
          <w:sz w:val="24"/>
          <w:szCs w:val="24"/>
        </w:rPr>
      </w:pPr>
      <w:r w:rsidRPr="006C7F17">
        <w:rPr>
          <w:rFonts w:ascii="Times New Roman" w:hAnsi="Times New Roman"/>
          <w:b/>
          <w:bCs/>
          <w:sz w:val="24"/>
          <w:szCs w:val="24"/>
        </w:rPr>
        <w:t xml:space="preserve">Legal Lessons Learned: Governmental immunity is recognized in </w:t>
      </w:r>
      <w:proofErr w:type="gramStart"/>
      <w:r w:rsidRPr="006C7F17">
        <w:rPr>
          <w:rFonts w:ascii="Times New Roman" w:hAnsi="Times New Roman"/>
          <w:b/>
          <w:bCs/>
          <w:sz w:val="24"/>
          <w:szCs w:val="24"/>
        </w:rPr>
        <w:t>Virginia, and</w:t>
      </w:r>
      <w:proofErr w:type="gramEnd"/>
      <w:r w:rsidRPr="006C7F17">
        <w:rPr>
          <w:rFonts w:ascii="Times New Roman" w:hAnsi="Times New Roman"/>
          <w:b/>
          <w:bCs/>
          <w:sz w:val="24"/>
          <w:szCs w:val="24"/>
        </w:rPr>
        <w:t xml:space="preserve"> protects the city when performing services that are not provided by private companies.</w:t>
      </w:r>
    </w:p>
    <w:p w14:paraId="1EF2D9A6" w14:textId="77777777" w:rsidR="007C6FEF" w:rsidRDefault="007C6FEF" w:rsidP="002B1283">
      <w:pPr>
        <w:rPr>
          <w:rFonts w:ascii="Arial Black" w:hAnsi="Arial Black"/>
          <w:b/>
          <w:sz w:val="24"/>
          <w:szCs w:val="24"/>
        </w:rPr>
      </w:pPr>
    </w:p>
    <w:p w14:paraId="56C6B4D2" w14:textId="205A337C" w:rsidR="007C6FEF" w:rsidRDefault="007C6FEF" w:rsidP="002B1283">
      <w:pPr>
        <w:rPr>
          <w:rFonts w:ascii="Arial Black" w:hAnsi="Arial Black"/>
          <w:b/>
          <w:sz w:val="24"/>
          <w:szCs w:val="24"/>
        </w:rPr>
      </w:pPr>
      <w:r>
        <w:rPr>
          <w:rFonts w:ascii="Arial Black" w:hAnsi="Arial Black"/>
          <w:b/>
          <w:sz w:val="24"/>
          <w:szCs w:val="24"/>
        </w:rPr>
        <w:lastRenderedPageBreak/>
        <w:t>1-3</w:t>
      </w:r>
      <w:r w:rsidR="00637A12">
        <w:rPr>
          <w:rFonts w:ascii="Arial Black" w:hAnsi="Arial Black"/>
          <w:b/>
          <w:sz w:val="24"/>
          <w:szCs w:val="24"/>
        </w:rPr>
        <w:t>5</w:t>
      </w:r>
    </w:p>
    <w:p w14:paraId="3EF82BA9" w14:textId="77777777" w:rsidR="007C6FEF" w:rsidRDefault="007C6FEF" w:rsidP="007C6FEF">
      <w:pPr>
        <w:pStyle w:val="NoSpacing"/>
        <w:rPr>
          <w:rFonts w:ascii="Arial Black" w:hAnsi="Arial Black"/>
          <w:sz w:val="28"/>
          <w:szCs w:val="28"/>
        </w:rPr>
      </w:pPr>
      <w:bookmarkStart w:id="59" w:name="_Hlk29226180"/>
      <w:r w:rsidRPr="00243657">
        <w:rPr>
          <w:rFonts w:ascii="Arial Black" w:hAnsi="Arial Black"/>
          <w:sz w:val="28"/>
          <w:szCs w:val="28"/>
        </w:rPr>
        <w:t>OH:</w:t>
      </w:r>
      <w:r>
        <w:rPr>
          <w:rFonts w:ascii="Arial Black" w:hAnsi="Arial Black"/>
          <w:sz w:val="28"/>
          <w:szCs w:val="28"/>
        </w:rPr>
        <w:t xml:space="preserve"> ARSON CONVICTION UPHELD – FIRE IN 3 LOCATIONS – FESH GASOLINE – DIRECT &amp; CIRCUMSTANTIAL EVIDENCE</w:t>
      </w:r>
    </w:p>
    <w:p w14:paraId="51AFC736" w14:textId="77777777" w:rsidR="007C6FEF" w:rsidRPr="00E73E17" w:rsidRDefault="007C6FEF" w:rsidP="007C6FEF">
      <w:pPr>
        <w:spacing w:before="100" w:beforeAutospacing="1" w:after="100" w:afterAutospacing="1" w:line="240" w:lineRule="auto"/>
        <w:rPr>
          <w:rFonts w:ascii="Times New Roman" w:eastAsia="Times New Roman" w:hAnsi="Times New Roman"/>
          <w:sz w:val="24"/>
          <w:szCs w:val="24"/>
        </w:rPr>
      </w:pPr>
      <w:r w:rsidRPr="00243657">
        <w:rPr>
          <w:rFonts w:ascii="Times New Roman" w:hAnsi="Times New Roman"/>
          <w:sz w:val="24"/>
          <w:szCs w:val="24"/>
        </w:rPr>
        <w:t>On</w:t>
      </w:r>
      <w:r>
        <w:rPr>
          <w:rFonts w:ascii="Times New Roman" w:hAnsi="Times New Roman"/>
          <w:sz w:val="24"/>
          <w:szCs w:val="24"/>
        </w:rPr>
        <w:t xml:space="preserve"> Dec. 12, 2019, in </w:t>
      </w:r>
      <w:r w:rsidRPr="00B47705">
        <w:rPr>
          <w:rFonts w:ascii="Times New Roman" w:hAnsi="Times New Roman"/>
          <w:sz w:val="24"/>
          <w:szCs w:val="24"/>
          <w:u w:val="single"/>
        </w:rPr>
        <w:t xml:space="preserve">State of Ohio v. Gina M. </w:t>
      </w:r>
      <w:proofErr w:type="spellStart"/>
      <w:r w:rsidRPr="00B47705">
        <w:rPr>
          <w:rFonts w:ascii="Times New Roman" w:hAnsi="Times New Roman"/>
          <w:sz w:val="24"/>
          <w:szCs w:val="24"/>
          <w:u w:val="single"/>
        </w:rPr>
        <w:t>Huler</w:t>
      </w:r>
      <w:proofErr w:type="spellEnd"/>
      <w:r>
        <w:rPr>
          <w:rFonts w:ascii="Times New Roman" w:hAnsi="Times New Roman"/>
          <w:sz w:val="24"/>
          <w:szCs w:val="24"/>
        </w:rPr>
        <w:t>, the Ohio Court of Appeals for the 8</w:t>
      </w:r>
      <w:r w:rsidRPr="00243657">
        <w:rPr>
          <w:rFonts w:ascii="Times New Roman" w:hAnsi="Times New Roman"/>
          <w:sz w:val="24"/>
          <w:szCs w:val="24"/>
          <w:vertAlign w:val="superscript"/>
        </w:rPr>
        <w:t>th</w:t>
      </w:r>
      <w:r>
        <w:rPr>
          <w:rFonts w:ascii="Times New Roman" w:hAnsi="Times New Roman"/>
          <w:sz w:val="24"/>
          <w:szCs w:val="24"/>
        </w:rPr>
        <w:t xml:space="preserve"> District (Cuyahoga County), held (3 to 0) </w:t>
      </w:r>
      <w:r>
        <w:rPr>
          <w:rFonts w:ascii="Times New Roman" w:eastAsia="Times New Roman" w:hAnsi="Times New Roman"/>
          <w:sz w:val="24"/>
          <w:szCs w:val="24"/>
        </w:rPr>
        <w:t xml:space="preserve">that there was sufficient direct and circumstantial evidence for the trial judge to find her guilty of aggravated arson. </w:t>
      </w:r>
    </w:p>
    <w:p w14:paraId="5F7A5422" w14:textId="77777777" w:rsidR="007C6FEF" w:rsidRPr="00E73E17" w:rsidRDefault="007C6FEF" w:rsidP="007C6FEF">
      <w:pPr>
        <w:pStyle w:val="NoSpacing"/>
        <w:ind w:left="720"/>
        <w:rPr>
          <w:rFonts w:ascii="Times New Roman" w:hAnsi="Times New Roman"/>
          <w:sz w:val="24"/>
          <w:szCs w:val="24"/>
        </w:rPr>
      </w:pPr>
      <w:r>
        <w:rPr>
          <w:rFonts w:ascii="Times New Roman" w:hAnsi="Times New Roman"/>
          <w:sz w:val="24"/>
          <w:szCs w:val="24"/>
        </w:rPr>
        <w:t>“[Jeff] K</w:t>
      </w:r>
      <w:r w:rsidRPr="00243657">
        <w:rPr>
          <w:rFonts w:ascii="Times New Roman" w:hAnsi="Times New Roman"/>
          <w:sz w:val="24"/>
          <w:szCs w:val="24"/>
        </w:rPr>
        <w:t>oehn</w:t>
      </w:r>
      <w:r>
        <w:rPr>
          <w:rFonts w:ascii="Times New Roman" w:hAnsi="Times New Roman"/>
          <w:sz w:val="24"/>
          <w:szCs w:val="24"/>
        </w:rPr>
        <w:t xml:space="preserve"> [Ohio Fire Marshal investigator] </w:t>
      </w:r>
      <w:r w:rsidRPr="00243657">
        <w:rPr>
          <w:rFonts w:ascii="Times New Roman" w:hAnsi="Times New Roman"/>
          <w:sz w:val="24"/>
          <w:szCs w:val="24"/>
        </w:rPr>
        <w:t xml:space="preserve">also determined that three separate fires were set in three separate locations in the house and a fourth was </w:t>
      </w:r>
      <w:proofErr w:type="gramStart"/>
      <w:r w:rsidRPr="00243657">
        <w:rPr>
          <w:rFonts w:ascii="Times New Roman" w:hAnsi="Times New Roman"/>
          <w:sz w:val="24"/>
          <w:szCs w:val="24"/>
        </w:rPr>
        <w:t>attempted, but</w:t>
      </w:r>
      <w:proofErr w:type="gramEnd"/>
      <w:r w:rsidRPr="00243657">
        <w:rPr>
          <w:rFonts w:ascii="Times New Roman" w:hAnsi="Times New Roman"/>
          <w:sz w:val="24"/>
          <w:szCs w:val="24"/>
        </w:rPr>
        <w:t xml:space="preserve"> failed to erupt. In support of his determination, Koehn discussed in detail three distinct fire patterns, which had no connection to each other and did not spread across the ceiling as a normal house fire would spread. A determination that there were three separate and distinct fires, with no connecting patterns, serves to eliminate the notion that sparks from the masonry work completed earlier that day could have gone down the chimney, into the house, and started the fire. </w:t>
      </w:r>
      <w:r>
        <w:rPr>
          <w:rFonts w:ascii="Times New Roman" w:hAnsi="Times New Roman"/>
          <w:sz w:val="24"/>
          <w:szCs w:val="24"/>
        </w:rPr>
        <w:t xml:space="preserve">*** </w:t>
      </w:r>
      <w:r w:rsidRPr="00243657">
        <w:rPr>
          <w:rFonts w:ascii="Times New Roman" w:hAnsi="Times New Roman"/>
          <w:sz w:val="24"/>
          <w:szCs w:val="24"/>
        </w:rPr>
        <w:t>The debris from the trash can on the stairs tested positive for acetone; debris from the attic tested positive for gasoline, and the plastic water bottle tested positive for gasoline. The forensic lab report also indicated the gasoline was fresh, not weathered or aged gasoline</w:t>
      </w:r>
      <w:r>
        <w:t xml:space="preserve">. *** </w:t>
      </w:r>
      <w:r w:rsidRPr="00E73E17">
        <w:rPr>
          <w:rFonts w:ascii="Times New Roman" w:hAnsi="Times New Roman"/>
          <w:sz w:val="24"/>
          <w:szCs w:val="24"/>
        </w:rPr>
        <w:t xml:space="preserve">Further, although the fire investigation determined that the cause of the fire was classified as incendiary and was intentionally set by Huler, we could arrive at the same conclusion using only circumstantial evidence. </w:t>
      </w:r>
      <w:r>
        <w:rPr>
          <w:rFonts w:ascii="Times New Roman" w:hAnsi="Times New Roman"/>
          <w:sz w:val="24"/>
          <w:szCs w:val="24"/>
        </w:rPr>
        <w:t>‘</w:t>
      </w:r>
      <w:r w:rsidRPr="00E73E17">
        <w:rPr>
          <w:rFonts w:ascii="Times New Roman" w:hAnsi="Times New Roman"/>
          <w:sz w:val="24"/>
          <w:szCs w:val="24"/>
        </w:rPr>
        <w:t>Circumstantial evidence and direct evidence inherently possess the same probative value.</w:t>
      </w:r>
      <w:r>
        <w:rPr>
          <w:rFonts w:ascii="Times New Roman" w:hAnsi="Times New Roman"/>
          <w:sz w:val="24"/>
          <w:szCs w:val="24"/>
        </w:rPr>
        <w:t>’</w:t>
      </w:r>
      <w:r w:rsidRPr="00E73E17">
        <w:rPr>
          <w:rFonts w:ascii="Times New Roman" w:hAnsi="Times New Roman"/>
          <w:sz w:val="24"/>
          <w:szCs w:val="24"/>
        </w:rPr>
        <w:t xml:space="preserve"> Jenks, 61 Ohio St.3d 259, 574 N.E.2d 492, at paragraph one of the </w:t>
      </w:r>
      <w:proofErr w:type="gramStart"/>
      <w:r w:rsidRPr="00E73E17">
        <w:rPr>
          <w:rFonts w:ascii="Times New Roman" w:hAnsi="Times New Roman"/>
          <w:sz w:val="24"/>
          <w:szCs w:val="24"/>
        </w:rPr>
        <w:t>syllabus</w:t>
      </w:r>
      <w:proofErr w:type="gramEnd"/>
      <w:r w:rsidRPr="00E73E17">
        <w:rPr>
          <w:rFonts w:ascii="Times New Roman" w:hAnsi="Times New Roman"/>
          <w:sz w:val="24"/>
          <w:szCs w:val="24"/>
        </w:rPr>
        <w:t>.</w:t>
      </w:r>
      <w:r>
        <w:rPr>
          <w:rFonts w:ascii="Times New Roman" w:hAnsi="Times New Roman"/>
          <w:sz w:val="24"/>
          <w:szCs w:val="24"/>
        </w:rPr>
        <w:t>”</w:t>
      </w:r>
    </w:p>
    <w:p w14:paraId="72FA7D4E" w14:textId="77777777" w:rsidR="007C6FEF" w:rsidRDefault="007C6FEF" w:rsidP="007C6FEF">
      <w:pPr>
        <w:pStyle w:val="NoSpacing"/>
        <w:ind w:left="720"/>
      </w:pPr>
      <w:hyperlink r:id="rId331" w:history="1">
        <w:r w:rsidRPr="00BF6E5A">
          <w:rPr>
            <w:rStyle w:val="Hyperlink"/>
          </w:rPr>
          <w:t>https://cases.justia.com/ohio/eighth-district-court-of-appeals/2019-108224.pdf?ts=1576167401</w:t>
        </w:r>
      </w:hyperlink>
      <w:r>
        <w:t xml:space="preserve"> </w:t>
      </w:r>
      <w:bookmarkEnd w:id="59"/>
    </w:p>
    <w:p w14:paraId="488D8B6E" w14:textId="0192DB9B" w:rsidR="003464C5" w:rsidRDefault="003464C5" w:rsidP="002B1283">
      <w:pPr>
        <w:rPr>
          <w:rFonts w:ascii="Arial Black" w:hAnsi="Arial Black"/>
          <w:b/>
          <w:sz w:val="24"/>
          <w:szCs w:val="24"/>
        </w:rPr>
      </w:pPr>
    </w:p>
    <w:p w14:paraId="79FF78CF" w14:textId="1B2BC6E0" w:rsidR="006C7F17" w:rsidRPr="006C7F17" w:rsidRDefault="006C7F17" w:rsidP="002B1283">
      <w:pPr>
        <w:rPr>
          <w:rFonts w:ascii="Times New Roman" w:hAnsi="Times New Roman"/>
          <w:b/>
          <w:bCs/>
          <w:sz w:val="24"/>
          <w:szCs w:val="24"/>
        </w:rPr>
      </w:pPr>
      <w:r w:rsidRPr="006C7F17">
        <w:rPr>
          <w:rFonts w:ascii="Times New Roman" w:hAnsi="Times New Roman"/>
          <w:b/>
          <w:bCs/>
          <w:sz w:val="24"/>
          <w:szCs w:val="24"/>
        </w:rPr>
        <w:t>Legal Lessons Learned: Expert testimony by State Fire Marshal investigator who “meticulously” eliminated other causes, and laboratory tests confirming gasoline, led to this conviction.</w:t>
      </w:r>
    </w:p>
    <w:p w14:paraId="61DEDD0F" w14:textId="77777777" w:rsidR="003464C5" w:rsidRDefault="003464C5" w:rsidP="002B1283">
      <w:pPr>
        <w:rPr>
          <w:rFonts w:ascii="Arial Black" w:hAnsi="Arial Black"/>
          <w:b/>
          <w:sz w:val="24"/>
          <w:szCs w:val="24"/>
        </w:rPr>
      </w:pPr>
    </w:p>
    <w:p w14:paraId="76B585C5" w14:textId="77777777" w:rsidR="003464C5" w:rsidRDefault="003464C5" w:rsidP="002B1283">
      <w:pPr>
        <w:rPr>
          <w:rFonts w:ascii="Arial Black" w:hAnsi="Arial Black"/>
          <w:b/>
          <w:sz w:val="24"/>
          <w:szCs w:val="24"/>
        </w:rPr>
      </w:pPr>
    </w:p>
    <w:p w14:paraId="3931366C" w14:textId="77777777" w:rsidR="003464C5" w:rsidRDefault="003464C5" w:rsidP="002B1283">
      <w:pPr>
        <w:rPr>
          <w:rFonts w:ascii="Arial Black" w:hAnsi="Arial Black"/>
          <w:b/>
          <w:sz w:val="24"/>
          <w:szCs w:val="24"/>
        </w:rPr>
      </w:pPr>
    </w:p>
    <w:p w14:paraId="493ACD09" w14:textId="2838F8A1" w:rsidR="00980EAD" w:rsidRDefault="00980EAD" w:rsidP="002B1283">
      <w:pPr>
        <w:rPr>
          <w:rFonts w:ascii="Arial Black" w:hAnsi="Arial Black"/>
          <w:b/>
          <w:sz w:val="24"/>
          <w:szCs w:val="24"/>
        </w:rPr>
      </w:pPr>
      <w:r>
        <w:rPr>
          <w:rFonts w:ascii="Arial Black" w:hAnsi="Arial Black"/>
          <w:b/>
          <w:sz w:val="24"/>
          <w:szCs w:val="24"/>
        </w:rPr>
        <w:t>1-3</w:t>
      </w:r>
      <w:r w:rsidR="00637A12">
        <w:rPr>
          <w:rFonts w:ascii="Arial Black" w:hAnsi="Arial Black"/>
          <w:b/>
          <w:sz w:val="24"/>
          <w:szCs w:val="24"/>
        </w:rPr>
        <w:t>4</w:t>
      </w:r>
    </w:p>
    <w:p w14:paraId="10AA4EB5" w14:textId="77777777" w:rsidR="00980EAD" w:rsidRDefault="00980EAD" w:rsidP="00980EAD">
      <w:pPr>
        <w:pStyle w:val="NoSpacing"/>
        <w:rPr>
          <w:rFonts w:ascii="Arial Black" w:hAnsi="Arial Black"/>
          <w:sz w:val="28"/>
          <w:szCs w:val="28"/>
        </w:rPr>
      </w:pPr>
      <w:r>
        <w:rPr>
          <w:rFonts w:ascii="Arial Black" w:hAnsi="Arial Black"/>
          <w:sz w:val="28"/>
          <w:szCs w:val="28"/>
        </w:rPr>
        <w:t>WA: ARSON – DEFENSE EXPERT FAILED TO FOLLOW NFPA 921 – TESTIMONY PROPERLY LIMITED – SENTENCED TO LIFE IN PRISON</w:t>
      </w:r>
    </w:p>
    <w:p w14:paraId="709A3B5C" w14:textId="77777777" w:rsidR="00980EAD" w:rsidRDefault="00980EAD" w:rsidP="00980EAD">
      <w:pPr>
        <w:pStyle w:val="NoSpacing"/>
        <w:rPr>
          <w:rFonts w:ascii="Arial Black" w:hAnsi="Arial Black"/>
          <w:sz w:val="28"/>
          <w:szCs w:val="28"/>
        </w:rPr>
      </w:pPr>
    </w:p>
    <w:p w14:paraId="67E42ECE" w14:textId="77777777" w:rsidR="00980EAD" w:rsidRDefault="00980EAD" w:rsidP="00980EAD">
      <w:pPr>
        <w:pStyle w:val="NoSpacing"/>
        <w:rPr>
          <w:rFonts w:ascii="Times New Roman" w:hAnsi="Times New Roman"/>
          <w:sz w:val="24"/>
          <w:szCs w:val="24"/>
        </w:rPr>
      </w:pPr>
      <w:r>
        <w:rPr>
          <w:rFonts w:ascii="Times New Roman" w:hAnsi="Times New Roman"/>
          <w:sz w:val="24"/>
          <w:szCs w:val="24"/>
        </w:rPr>
        <w:t xml:space="preserve">On Dec. 5, 2019, in </w:t>
      </w:r>
      <w:r>
        <w:rPr>
          <w:rFonts w:ascii="Times New Roman" w:hAnsi="Times New Roman"/>
          <w:sz w:val="24"/>
          <w:szCs w:val="24"/>
          <w:u w:val="single"/>
        </w:rPr>
        <w:t>State of Washington v. Shelly Margaret Arndt</w:t>
      </w:r>
      <w:r>
        <w:rPr>
          <w:rFonts w:ascii="Times New Roman" w:hAnsi="Times New Roman"/>
          <w:sz w:val="24"/>
          <w:szCs w:val="24"/>
        </w:rPr>
        <w:t>, the Supreme Court of Washington (</w:t>
      </w:r>
      <w:proofErr w:type="spellStart"/>
      <w:r>
        <w:rPr>
          <w:rFonts w:ascii="Times New Roman" w:hAnsi="Times New Roman"/>
          <w:sz w:val="24"/>
          <w:szCs w:val="24"/>
        </w:rPr>
        <w:t>en</w:t>
      </w:r>
      <w:proofErr w:type="spellEnd"/>
      <w:r>
        <w:rPr>
          <w:rFonts w:ascii="Times New Roman" w:hAnsi="Times New Roman"/>
          <w:sz w:val="24"/>
          <w:szCs w:val="24"/>
        </w:rPr>
        <w:t xml:space="preserve"> banc – all 9 Justices hearing the case) held (8 to 1) that the trial court properly restricted the testimony of the defense expert,  Dale Mann (former State Patrol crime lab supervisor and certified arson investigator) for failure to conduct a cause and origin investigation under NFPA 921. </w:t>
      </w:r>
    </w:p>
    <w:p w14:paraId="37E494BD" w14:textId="77777777" w:rsidR="00980EAD" w:rsidRDefault="00980EAD" w:rsidP="00980EAD">
      <w:pPr>
        <w:pStyle w:val="NoSpacing"/>
        <w:rPr>
          <w:rFonts w:ascii="Arial Black" w:hAnsi="Arial Black" w:cstheme="minorBidi"/>
          <w:sz w:val="28"/>
          <w:szCs w:val="28"/>
        </w:rPr>
      </w:pPr>
    </w:p>
    <w:p w14:paraId="572AF2D2" w14:textId="77777777" w:rsidR="00980EAD" w:rsidRDefault="00980EAD" w:rsidP="00980EAD">
      <w:pPr>
        <w:pStyle w:val="NoSpacing"/>
        <w:ind w:left="720"/>
        <w:rPr>
          <w:rFonts w:ascii="Times New Roman" w:hAnsi="Times New Roman"/>
          <w:sz w:val="24"/>
          <w:szCs w:val="24"/>
        </w:rPr>
      </w:pPr>
      <w:r>
        <w:rPr>
          <w:rFonts w:ascii="Times New Roman" w:hAnsi="Times New Roman"/>
          <w:sz w:val="24"/>
          <w:szCs w:val="24"/>
        </w:rPr>
        <w:t xml:space="preserve">“After a </w:t>
      </w:r>
      <w:proofErr w:type="gramStart"/>
      <w:r>
        <w:rPr>
          <w:rFonts w:ascii="Times New Roman" w:hAnsi="Times New Roman"/>
          <w:sz w:val="24"/>
          <w:szCs w:val="24"/>
        </w:rPr>
        <w:t>three month</w:t>
      </w:r>
      <w:proofErr w:type="gramEnd"/>
      <w:r>
        <w:rPr>
          <w:rFonts w:ascii="Times New Roman" w:hAnsi="Times New Roman"/>
          <w:sz w:val="24"/>
          <w:szCs w:val="24"/>
        </w:rPr>
        <w:t xml:space="preserve"> trial, a jury found Arndt guilty [in death of her boyfriend] of all crimes as charged by the State. The trial court sentenced Arndt to life without the possibility of parole per RCW 10.95.030(1). CP at 475.</w:t>
      </w:r>
    </w:p>
    <w:p w14:paraId="25B24C2A" w14:textId="77777777" w:rsidR="00980EAD" w:rsidRDefault="00980EAD" w:rsidP="00980EAD">
      <w:pPr>
        <w:pStyle w:val="NoSpacing"/>
        <w:ind w:left="720"/>
        <w:rPr>
          <w:rFonts w:ascii="Times New Roman" w:hAnsi="Times New Roman"/>
          <w:sz w:val="24"/>
          <w:szCs w:val="24"/>
        </w:rPr>
      </w:pPr>
    </w:p>
    <w:p w14:paraId="4420B3FC" w14:textId="77777777" w:rsidR="00980EAD" w:rsidRDefault="00980EAD" w:rsidP="00980EAD">
      <w:pPr>
        <w:pStyle w:val="NoSpacing"/>
        <w:ind w:left="720"/>
        <w:rPr>
          <w:rFonts w:ascii="Times New Roman" w:hAnsi="Times New Roman"/>
          <w:sz w:val="24"/>
          <w:szCs w:val="24"/>
        </w:rPr>
      </w:pPr>
      <w:r>
        <w:rPr>
          <w:rFonts w:ascii="Times New Roman" w:hAnsi="Times New Roman"/>
          <w:sz w:val="24"/>
          <w:szCs w:val="24"/>
        </w:rPr>
        <w:lastRenderedPageBreak/>
        <w:t>***</w:t>
      </w:r>
    </w:p>
    <w:p w14:paraId="35A5A463" w14:textId="77777777" w:rsidR="00980EAD" w:rsidRDefault="00980EAD" w:rsidP="00980EAD">
      <w:pPr>
        <w:pStyle w:val="NoSpacing"/>
        <w:ind w:left="720"/>
        <w:rPr>
          <w:rFonts w:ascii="Times New Roman" w:hAnsi="Times New Roman"/>
          <w:sz w:val="24"/>
          <w:szCs w:val="24"/>
        </w:rPr>
      </w:pPr>
    </w:p>
    <w:p w14:paraId="2EA03BA3" w14:textId="77777777" w:rsidR="00980EAD" w:rsidRDefault="00980EAD" w:rsidP="00980EAD">
      <w:pPr>
        <w:pStyle w:val="NoSpacing"/>
        <w:ind w:left="720"/>
        <w:rPr>
          <w:rFonts w:ascii="Times New Roman" w:hAnsi="Times New Roman"/>
          <w:sz w:val="24"/>
          <w:szCs w:val="24"/>
        </w:rPr>
      </w:pPr>
      <w:r>
        <w:rPr>
          <w:rFonts w:ascii="Times New Roman" w:hAnsi="Times New Roman"/>
          <w:sz w:val="24"/>
          <w:szCs w:val="24"/>
        </w:rPr>
        <w:t xml:space="preserve">Arndt takes issue with the limitations the trial judge placed on Mann's testimony </w:t>
      </w:r>
      <w:proofErr w:type="gramStart"/>
      <w:r>
        <w:rPr>
          <w:rFonts w:ascii="Times New Roman" w:hAnsi="Times New Roman"/>
          <w:sz w:val="24"/>
          <w:szCs w:val="24"/>
        </w:rPr>
        <w:t>due to the fact that</w:t>
      </w:r>
      <w:proofErr w:type="gramEnd"/>
      <w:r>
        <w:rPr>
          <w:rFonts w:ascii="Times New Roman" w:hAnsi="Times New Roman"/>
          <w:sz w:val="24"/>
          <w:szCs w:val="24"/>
        </w:rPr>
        <w:t xml:space="preserve"> he had not personally conducted a complete origin and cause investigation of the scene…. In placing these limitations on Mann's testimony, the judge clearly stated that her rationale was based on Mann's failure to follow well established scientific methodology:</w:t>
      </w:r>
    </w:p>
    <w:p w14:paraId="541CB59A" w14:textId="77777777" w:rsidR="00980EAD" w:rsidRDefault="00980EAD" w:rsidP="00980EAD">
      <w:pPr>
        <w:pStyle w:val="NoSpacing"/>
        <w:ind w:left="720"/>
        <w:rPr>
          <w:rFonts w:ascii="Times New Roman" w:hAnsi="Times New Roman"/>
          <w:sz w:val="24"/>
          <w:szCs w:val="24"/>
        </w:rPr>
      </w:pPr>
    </w:p>
    <w:p w14:paraId="6C6FC988" w14:textId="77777777" w:rsidR="00980EAD" w:rsidRDefault="00980EAD" w:rsidP="00980EAD">
      <w:pPr>
        <w:pStyle w:val="NoSpacing"/>
        <w:ind w:left="720"/>
        <w:rPr>
          <w:rFonts w:ascii="Times New Roman" w:hAnsi="Times New Roman"/>
          <w:sz w:val="24"/>
          <w:szCs w:val="24"/>
        </w:rPr>
      </w:pPr>
      <w:r>
        <w:rPr>
          <w:rFonts w:ascii="Times New Roman" w:hAnsi="Times New Roman"/>
          <w:sz w:val="24"/>
          <w:szCs w:val="24"/>
        </w:rPr>
        <w:t xml:space="preserve">THE COURT: It is not a problem that he goes to the scene, as [the]defense argues, but it is a problem when he starts to test ….  If he were to do an origin and cause, he would need to follow the scientific method and eliminate various hypotheses. Instead </w:t>
      </w:r>
      <w:proofErr w:type="gramStart"/>
      <w:r>
        <w:rPr>
          <w:rFonts w:ascii="Times New Roman" w:hAnsi="Times New Roman"/>
          <w:sz w:val="24"/>
          <w:szCs w:val="24"/>
        </w:rPr>
        <w:t>by</w:t>
      </w:r>
      <w:proofErr w:type="gramEnd"/>
      <w:r>
        <w:rPr>
          <w:rFonts w:ascii="Times New Roman" w:hAnsi="Times New Roman"/>
          <w:sz w:val="24"/>
          <w:szCs w:val="24"/>
        </w:rPr>
        <w:t xml:space="preserve"> focusing on one area, which seems to be this foosball area, he's taking one hypothesis and testing it. And not eliminating, under the scientific method, the entire scene.</w:t>
      </w:r>
    </w:p>
    <w:p w14:paraId="17935886" w14:textId="77777777" w:rsidR="00980EAD" w:rsidRDefault="00980EAD" w:rsidP="00980EAD">
      <w:pPr>
        <w:pStyle w:val="NoSpacing"/>
        <w:ind w:left="720"/>
        <w:rPr>
          <w:rFonts w:ascii="Times New Roman" w:hAnsi="Times New Roman"/>
          <w:sz w:val="24"/>
          <w:szCs w:val="24"/>
        </w:rPr>
      </w:pPr>
      <w:hyperlink r:id="rId332" w:history="1">
        <w:r>
          <w:rPr>
            <w:rStyle w:val="Hyperlink"/>
            <w:rFonts w:ascii="Times New Roman" w:hAnsi="Times New Roman"/>
            <w:sz w:val="24"/>
            <w:szCs w:val="24"/>
          </w:rPr>
          <w:t>https://www.courts.wa.gov/opinions/pdf/953961.pdf</w:t>
        </w:r>
      </w:hyperlink>
      <w:r>
        <w:rPr>
          <w:rFonts w:ascii="Times New Roman" w:hAnsi="Times New Roman"/>
          <w:sz w:val="24"/>
          <w:szCs w:val="24"/>
        </w:rPr>
        <w:t xml:space="preserve"> </w:t>
      </w:r>
    </w:p>
    <w:p w14:paraId="6E28073B" w14:textId="4A0265C9" w:rsidR="00980EAD" w:rsidRDefault="00980EAD" w:rsidP="002B1283">
      <w:pPr>
        <w:rPr>
          <w:rFonts w:ascii="Arial Black" w:hAnsi="Arial Black"/>
          <w:b/>
          <w:sz w:val="24"/>
          <w:szCs w:val="24"/>
        </w:rPr>
      </w:pPr>
    </w:p>
    <w:p w14:paraId="14A1FEE4" w14:textId="77777777" w:rsidR="00980EAD" w:rsidRDefault="00980EAD" w:rsidP="00980EAD">
      <w:pPr>
        <w:pStyle w:val="NoSpacing"/>
        <w:rPr>
          <w:rFonts w:ascii="Times New Roman" w:hAnsi="Times New Roman"/>
          <w:sz w:val="24"/>
          <w:szCs w:val="24"/>
        </w:rPr>
      </w:pPr>
      <w:r>
        <w:rPr>
          <w:rFonts w:ascii="Times New Roman" w:hAnsi="Times New Roman"/>
          <w:b/>
          <w:bCs/>
          <w:sz w:val="24"/>
          <w:szCs w:val="24"/>
        </w:rPr>
        <w:t>Legal Lessons Learned:  The trial court properly restricted the testimony of the defense expert for failure to follow NFPA 921, Guide for Fire and Explosion Investigations (excellent guide for conducting cause &amp; origin investigations):</w:t>
      </w:r>
      <w:r>
        <w:rPr>
          <w:rFonts w:ascii="Times New Roman" w:hAnsi="Times New Roman"/>
          <w:sz w:val="24"/>
          <w:szCs w:val="24"/>
        </w:rPr>
        <w:t xml:space="preserve">  </w:t>
      </w:r>
      <w:hyperlink r:id="rId333" w:history="1">
        <w:r>
          <w:rPr>
            <w:rStyle w:val="Hyperlink"/>
            <w:rFonts w:ascii="Times New Roman" w:hAnsi="Times New Roman"/>
            <w:sz w:val="24"/>
            <w:szCs w:val="24"/>
          </w:rPr>
          <w:t>https://catalog.nfpa.org/NFPA-921-Guide-for-Fire-and-Explosion-Investigations-C472.aspx?order_src=C900&amp;gclid=EAIaIQobChMI3pOKsKem5gIVJIVaBR1UwAkCEAAYASAAEgLHSvD_BwE</w:t>
        </w:r>
      </w:hyperlink>
      <w:r>
        <w:rPr>
          <w:rFonts w:ascii="Times New Roman" w:hAnsi="Times New Roman"/>
          <w:sz w:val="24"/>
          <w:szCs w:val="24"/>
        </w:rPr>
        <w:t xml:space="preserve"> </w:t>
      </w:r>
    </w:p>
    <w:p w14:paraId="658648E5" w14:textId="77777777" w:rsidR="00980EAD" w:rsidRDefault="00980EAD" w:rsidP="002B1283">
      <w:pPr>
        <w:rPr>
          <w:rFonts w:ascii="Arial Black" w:hAnsi="Arial Black"/>
          <w:b/>
          <w:sz w:val="24"/>
          <w:szCs w:val="24"/>
        </w:rPr>
      </w:pPr>
    </w:p>
    <w:p w14:paraId="5C84FAC9" w14:textId="4DC9FA31" w:rsidR="00A06387" w:rsidRDefault="00A06387" w:rsidP="002B1283">
      <w:pPr>
        <w:rPr>
          <w:rFonts w:ascii="Arial Black" w:hAnsi="Arial Black"/>
          <w:b/>
          <w:sz w:val="24"/>
          <w:szCs w:val="24"/>
        </w:rPr>
      </w:pPr>
      <w:r>
        <w:rPr>
          <w:rFonts w:ascii="Arial Black" w:hAnsi="Arial Black"/>
          <w:b/>
          <w:sz w:val="24"/>
          <w:szCs w:val="24"/>
        </w:rPr>
        <w:t>1-3</w:t>
      </w:r>
      <w:r w:rsidR="00637A12">
        <w:rPr>
          <w:rFonts w:ascii="Arial Black" w:hAnsi="Arial Black"/>
          <w:b/>
          <w:sz w:val="24"/>
          <w:szCs w:val="24"/>
        </w:rPr>
        <w:t>3</w:t>
      </w:r>
    </w:p>
    <w:p w14:paraId="6D61F3E4" w14:textId="55C3DD9F" w:rsidR="00A06387" w:rsidRPr="00706498" w:rsidRDefault="00A06387" w:rsidP="00A06387">
      <w:pPr>
        <w:rPr>
          <w:rFonts w:ascii="Arial Black" w:hAnsi="Arial Black"/>
          <w:sz w:val="28"/>
          <w:szCs w:val="28"/>
        </w:rPr>
      </w:pPr>
      <w:r w:rsidRPr="00706498">
        <w:rPr>
          <w:rFonts w:ascii="Arial Black" w:hAnsi="Arial Black"/>
          <w:sz w:val="28"/>
          <w:szCs w:val="28"/>
        </w:rPr>
        <w:t xml:space="preserve">IN: DRONE – WOMAN FINDS DRONE IN HER YARD – ONBOARD VIDEO SHOWS NEIGHBOR CARRYING DRUGS </w:t>
      </w:r>
      <w:r w:rsidR="007471AF">
        <w:rPr>
          <w:rFonts w:ascii="Arial Black" w:hAnsi="Arial Black"/>
          <w:sz w:val="28"/>
          <w:szCs w:val="28"/>
        </w:rPr>
        <w:t>[also filed, Chap. 4]</w:t>
      </w:r>
    </w:p>
    <w:p w14:paraId="61D656D4" w14:textId="77777777" w:rsidR="00A06387" w:rsidRPr="006C7F17" w:rsidRDefault="00A06387" w:rsidP="00A06387">
      <w:pPr>
        <w:pStyle w:val="NoSpacing"/>
        <w:rPr>
          <w:rFonts w:ascii="Times New Roman" w:hAnsi="Times New Roman"/>
          <w:b/>
          <w:bCs/>
          <w:sz w:val="24"/>
          <w:szCs w:val="24"/>
        </w:rPr>
      </w:pPr>
      <w:r w:rsidRPr="006C7F17">
        <w:rPr>
          <w:rFonts w:ascii="Times New Roman" w:hAnsi="Times New Roman"/>
          <w:bCs/>
          <w:sz w:val="24"/>
          <w:szCs w:val="24"/>
        </w:rPr>
        <w:t xml:space="preserve">On Oct. 24, 2019, in </w:t>
      </w:r>
      <w:r w:rsidRPr="006C7F17">
        <w:rPr>
          <w:rFonts w:ascii="Times New Roman" w:hAnsi="Times New Roman"/>
          <w:bCs/>
          <w:sz w:val="24"/>
          <w:szCs w:val="24"/>
          <w:u w:val="single"/>
        </w:rPr>
        <w:t>Galen Byers v. State of Indiana</w:t>
      </w:r>
      <w:r w:rsidRPr="006C7F17">
        <w:rPr>
          <w:rFonts w:ascii="Times New Roman" w:hAnsi="Times New Roman"/>
          <w:bCs/>
          <w:sz w:val="24"/>
          <w:szCs w:val="24"/>
        </w:rPr>
        <w:t xml:space="preserve">, Court of Appeals of Indiana held (3 to 0) that the search warrant was obtained timely, and the trial court properly denied the defendant’s motion to suppress.  Criminal </w:t>
      </w:r>
      <w:proofErr w:type="gramStart"/>
      <w:r w:rsidRPr="006C7F17">
        <w:rPr>
          <w:rFonts w:ascii="Times New Roman" w:hAnsi="Times New Roman"/>
          <w:bCs/>
          <w:sz w:val="24"/>
          <w:szCs w:val="24"/>
        </w:rPr>
        <w:t>case</w:t>
      </w:r>
      <w:proofErr w:type="gramEnd"/>
      <w:r w:rsidRPr="006C7F17">
        <w:rPr>
          <w:rFonts w:ascii="Times New Roman" w:hAnsi="Times New Roman"/>
          <w:bCs/>
          <w:sz w:val="24"/>
          <w:szCs w:val="24"/>
        </w:rPr>
        <w:t xml:space="preserve"> for </w:t>
      </w:r>
      <w:proofErr w:type="gramStart"/>
      <w:r w:rsidRPr="006C7F17">
        <w:rPr>
          <w:rFonts w:ascii="Times New Roman" w:hAnsi="Times New Roman"/>
          <w:bCs/>
          <w:sz w:val="24"/>
          <w:szCs w:val="24"/>
        </w:rPr>
        <w:t>dealing</w:t>
      </w:r>
      <w:proofErr w:type="gramEnd"/>
      <w:r w:rsidRPr="006C7F17">
        <w:rPr>
          <w:rFonts w:ascii="Times New Roman" w:hAnsi="Times New Roman"/>
          <w:bCs/>
          <w:sz w:val="24"/>
          <w:szCs w:val="24"/>
        </w:rPr>
        <w:t xml:space="preserve"> methamphetamine will now be tried, unless the defendant enters a guilty plea.  </w:t>
      </w:r>
    </w:p>
    <w:p w14:paraId="76CDFD85" w14:textId="77777777" w:rsidR="00A06387" w:rsidRPr="006C7F17" w:rsidRDefault="00A06387" w:rsidP="00A06387">
      <w:pPr>
        <w:pStyle w:val="NoSpacing"/>
        <w:rPr>
          <w:rFonts w:ascii="Times New Roman" w:hAnsi="Times New Roman"/>
          <w:b/>
          <w:bCs/>
          <w:sz w:val="24"/>
          <w:szCs w:val="24"/>
        </w:rPr>
      </w:pPr>
    </w:p>
    <w:p w14:paraId="5783D6D8" w14:textId="77777777" w:rsidR="00A06387" w:rsidRPr="006C7F17" w:rsidRDefault="00A06387" w:rsidP="00A06387">
      <w:pPr>
        <w:pStyle w:val="NoSpacing"/>
        <w:ind w:left="720"/>
        <w:rPr>
          <w:rFonts w:ascii="Times New Roman" w:hAnsi="Times New Roman"/>
          <w:b/>
          <w:bCs/>
          <w:sz w:val="24"/>
          <w:szCs w:val="24"/>
        </w:rPr>
      </w:pPr>
      <w:r w:rsidRPr="006C7F17">
        <w:rPr>
          <w:rFonts w:ascii="Times New Roman" w:hAnsi="Times New Roman"/>
          <w:bCs/>
          <w:sz w:val="24"/>
          <w:szCs w:val="24"/>
        </w:rPr>
        <w:t xml:space="preserve">“Moreover, while we look at the date of the video footage to determine whether probable cause existed, some lapse can also be accounted for here because [Marcie] </w:t>
      </w:r>
      <w:proofErr w:type="spellStart"/>
      <w:r w:rsidRPr="006C7F17">
        <w:rPr>
          <w:rFonts w:ascii="Times New Roman" w:hAnsi="Times New Roman"/>
          <w:bCs/>
          <w:sz w:val="24"/>
          <w:szCs w:val="24"/>
        </w:rPr>
        <w:t>Vormohr</w:t>
      </w:r>
      <w:proofErr w:type="spellEnd"/>
      <w:r w:rsidRPr="006C7F17">
        <w:rPr>
          <w:rFonts w:ascii="Times New Roman" w:hAnsi="Times New Roman"/>
          <w:bCs/>
          <w:sz w:val="24"/>
          <w:szCs w:val="24"/>
        </w:rPr>
        <w:t xml:space="preserve"> was in possession of the drone for likely at least one of those days. And, although we acknowledge that the woman in the video handled the alleged substances, the video also shows another individual—a man who </w:t>
      </w:r>
      <w:proofErr w:type="spellStart"/>
      <w:r w:rsidRPr="006C7F17">
        <w:rPr>
          <w:rFonts w:ascii="Times New Roman" w:hAnsi="Times New Roman"/>
          <w:bCs/>
          <w:sz w:val="24"/>
          <w:szCs w:val="24"/>
        </w:rPr>
        <w:t>Vormohr</w:t>
      </w:r>
      <w:proofErr w:type="spellEnd"/>
      <w:r w:rsidRPr="006C7F17">
        <w:rPr>
          <w:rFonts w:ascii="Times New Roman" w:hAnsi="Times New Roman"/>
          <w:bCs/>
          <w:sz w:val="24"/>
          <w:szCs w:val="24"/>
        </w:rPr>
        <w:t xml:space="preserve"> testified was Byers—handling the drone moments later in the same and subsequent video recordings. Based on the facts and circumstances before us, we cannot say that a four-day period between the activity and the finding of probable cause renders the warrant constitutionally stale.”</w:t>
      </w:r>
    </w:p>
    <w:p w14:paraId="77D5FC4D" w14:textId="77777777" w:rsidR="00A06387" w:rsidRPr="006C7F17" w:rsidRDefault="00A06387" w:rsidP="00A06387">
      <w:pPr>
        <w:pStyle w:val="NoSpacing"/>
        <w:ind w:left="720"/>
        <w:rPr>
          <w:rFonts w:ascii="Times New Roman" w:hAnsi="Times New Roman"/>
          <w:b/>
          <w:bCs/>
          <w:sz w:val="24"/>
          <w:szCs w:val="24"/>
        </w:rPr>
      </w:pPr>
      <w:hyperlink r:id="rId334" w:history="1">
        <w:r w:rsidRPr="006C7F17">
          <w:rPr>
            <w:rStyle w:val="Hyperlink"/>
            <w:rFonts w:ascii="Times New Roman" w:hAnsi="Times New Roman"/>
            <w:bCs/>
            <w:sz w:val="24"/>
            <w:szCs w:val="24"/>
          </w:rPr>
          <w:t>https://www.in.gov/judiciary/opinions/pdf/10241902eft.pdf</w:t>
        </w:r>
      </w:hyperlink>
      <w:r w:rsidRPr="006C7F17">
        <w:rPr>
          <w:rFonts w:ascii="Times New Roman" w:hAnsi="Times New Roman"/>
          <w:bCs/>
          <w:sz w:val="24"/>
          <w:szCs w:val="24"/>
        </w:rPr>
        <w:t xml:space="preserve"> </w:t>
      </w:r>
    </w:p>
    <w:p w14:paraId="429BAC24" w14:textId="77777777" w:rsidR="006C7F17" w:rsidRPr="006C7F17" w:rsidRDefault="006C7F17" w:rsidP="00A06387">
      <w:pPr>
        <w:pStyle w:val="NoSpacing"/>
        <w:rPr>
          <w:rFonts w:ascii="Times New Roman" w:hAnsi="Times New Roman"/>
          <w:b/>
          <w:bCs/>
          <w:sz w:val="24"/>
          <w:szCs w:val="24"/>
        </w:rPr>
      </w:pPr>
    </w:p>
    <w:p w14:paraId="544C4F7E" w14:textId="19B151CC" w:rsidR="00A06387" w:rsidRPr="006C7F17" w:rsidRDefault="00A06387" w:rsidP="00A06387">
      <w:pPr>
        <w:pStyle w:val="NoSpacing"/>
        <w:rPr>
          <w:rFonts w:ascii="Times New Roman" w:hAnsi="Times New Roman"/>
          <w:b/>
          <w:bCs/>
          <w:sz w:val="24"/>
          <w:szCs w:val="24"/>
        </w:rPr>
      </w:pPr>
      <w:r w:rsidRPr="006C7F17">
        <w:rPr>
          <w:rFonts w:ascii="Times New Roman" w:hAnsi="Times New Roman"/>
          <w:b/>
          <w:bCs/>
          <w:sz w:val="24"/>
          <w:szCs w:val="24"/>
        </w:rPr>
        <w:t xml:space="preserve">Legal Lessons Learned:  If you are a drug dealer, be cautious of drones with video cameras. </w:t>
      </w:r>
    </w:p>
    <w:p w14:paraId="7FB2F241" w14:textId="0F04A306" w:rsidR="00A67C57" w:rsidRDefault="00A67C57" w:rsidP="00A06387">
      <w:pPr>
        <w:pStyle w:val="NoSpacing"/>
        <w:rPr>
          <w:b/>
          <w:bCs/>
          <w:sz w:val="24"/>
          <w:szCs w:val="24"/>
        </w:rPr>
      </w:pPr>
    </w:p>
    <w:p w14:paraId="670D9A77" w14:textId="1313CE54" w:rsidR="00A67C57" w:rsidRDefault="00A67C57" w:rsidP="002B1283">
      <w:pPr>
        <w:rPr>
          <w:rFonts w:ascii="Arial Black" w:hAnsi="Arial Black"/>
          <w:b/>
          <w:sz w:val="24"/>
          <w:szCs w:val="24"/>
        </w:rPr>
      </w:pPr>
    </w:p>
    <w:p w14:paraId="11CDF6E0" w14:textId="43645BE2" w:rsidR="00A06387" w:rsidRDefault="00A06387" w:rsidP="00A06387">
      <w:pPr>
        <w:rPr>
          <w:rFonts w:ascii="Arial Black" w:hAnsi="Arial Black"/>
          <w:b/>
          <w:sz w:val="24"/>
          <w:szCs w:val="24"/>
        </w:rPr>
      </w:pPr>
      <w:r>
        <w:rPr>
          <w:rFonts w:ascii="Arial Black" w:hAnsi="Arial Black"/>
          <w:b/>
          <w:sz w:val="24"/>
          <w:szCs w:val="24"/>
        </w:rPr>
        <w:t>1-3</w:t>
      </w:r>
      <w:r w:rsidR="00637A12">
        <w:rPr>
          <w:rFonts w:ascii="Arial Black" w:hAnsi="Arial Black"/>
          <w:b/>
          <w:sz w:val="24"/>
          <w:szCs w:val="24"/>
        </w:rPr>
        <w:t>2</w:t>
      </w:r>
    </w:p>
    <w:p w14:paraId="525842C4" w14:textId="77777777" w:rsidR="00A06387" w:rsidRPr="00C60A81" w:rsidRDefault="00A06387" w:rsidP="00A06387">
      <w:pPr>
        <w:pStyle w:val="NoSpacing"/>
        <w:rPr>
          <w:rFonts w:ascii="Arial Black" w:hAnsi="Arial Black"/>
          <w:sz w:val="28"/>
          <w:szCs w:val="28"/>
        </w:rPr>
      </w:pPr>
      <w:r w:rsidRPr="00C60A81">
        <w:rPr>
          <w:rFonts w:ascii="Arial Black" w:hAnsi="Arial Black"/>
          <w:sz w:val="28"/>
          <w:szCs w:val="28"/>
        </w:rPr>
        <w:t xml:space="preserve">PA:  </w:t>
      </w:r>
      <w:r>
        <w:rPr>
          <w:rFonts w:ascii="Arial Black" w:hAnsi="Arial Black"/>
          <w:sz w:val="28"/>
          <w:szCs w:val="28"/>
        </w:rPr>
        <w:t xml:space="preserve">HOUSE FIRE - </w:t>
      </w:r>
      <w:r w:rsidRPr="00C60A81">
        <w:rPr>
          <w:rFonts w:ascii="Arial Black" w:hAnsi="Arial Black"/>
          <w:sz w:val="28"/>
          <w:szCs w:val="28"/>
        </w:rPr>
        <w:t xml:space="preserve">ARSON </w:t>
      </w:r>
      <w:r>
        <w:rPr>
          <w:rFonts w:ascii="Arial Black" w:hAnsi="Arial Black"/>
          <w:sz w:val="28"/>
          <w:szCs w:val="28"/>
        </w:rPr>
        <w:t xml:space="preserve">SUSPECTED, OWNER BEHIND MORTGAGE – </w:t>
      </w:r>
      <w:r w:rsidRPr="00C60A81">
        <w:rPr>
          <w:rFonts w:ascii="Arial Black" w:hAnsi="Arial Black"/>
          <w:sz w:val="28"/>
          <w:szCs w:val="28"/>
        </w:rPr>
        <w:t>INSUR</w:t>
      </w:r>
      <w:r>
        <w:rPr>
          <w:rFonts w:ascii="Arial Black" w:hAnsi="Arial Black"/>
          <w:sz w:val="28"/>
          <w:szCs w:val="28"/>
        </w:rPr>
        <w:t xml:space="preserve">. CO. PROPERLY DELAYED PAYMENT </w:t>
      </w:r>
    </w:p>
    <w:p w14:paraId="1F064AF2" w14:textId="77777777" w:rsidR="00A06387" w:rsidRDefault="00A06387" w:rsidP="00A06387">
      <w:pPr>
        <w:pStyle w:val="NoSpacing"/>
        <w:rPr>
          <w:rFonts w:ascii="PArial Black" w:hAnsi="PArial Black"/>
          <w:sz w:val="28"/>
          <w:szCs w:val="28"/>
        </w:rPr>
      </w:pPr>
    </w:p>
    <w:p w14:paraId="4F75F56A" w14:textId="77777777" w:rsidR="00A06387" w:rsidRPr="006C7F17" w:rsidRDefault="00A06387" w:rsidP="00A06387">
      <w:pPr>
        <w:pStyle w:val="NoSpacing"/>
        <w:rPr>
          <w:rFonts w:ascii="Times New Roman" w:hAnsi="Times New Roman"/>
          <w:b/>
          <w:bCs/>
          <w:sz w:val="24"/>
          <w:szCs w:val="24"/>
        </w:rPr>
      </w:pPr>
      <w:r w:rsidRPr="006C7F17">
        <w:rPr>
          <w:rFonts w:ascii="Times New Roman" w:hAnsi="Times New Roman"/>
          <w:bCs/>
          <w:sz w:val="24"/>
          <w:szCs w:val="24"/>
        </w:rPr>
        <w:lastRenderedPageBreak/>
        <w:t xml:space="preserve">On Oct. 21, 2019, in </w:t>
      </w:r>
      <w:r w:rsidRPr="006C7F17">
        <w:rPr>
          <w:rFonts w:ascii="Times New Roman" w:hAnsi="Times New Roman"/>
          <w:bCs/>
          <w:sz w:val="24"/>
          <w:szCs w:val="24"/>
          <w:u w:val="single"/>
        </w:rPr>
        <w:t xml:space="preserve">Darlene </w:t>
      </w:r>
      <w:proofErr w:type="spellStart"/>
      <w:r w:rsidRPr="006C7F17">
        <w:rPr>
          <w:rFonts w:ascii="Times New Roman" w:hAnsi="Times New Roman"/>
          <w:bCs/>
          <w:sz w:val="24"/>
          <w:szCs w:val="24"/>
          <w:u w:val="single"/>
        </w:rPr>
        <w:t>Merrone</w:t>
      </w:r>
      <w:proofErr w:type="spellEnd"/>
      <w:r w:rsidRPr="006C7F17">
        <w:rPr>
          <w:rFonts w:ascii="Times New Roman" w:hAnsi="Times New Roman"/>
          <w:bCs/>
          <w:sz w:val="24"/>
          <w:szCs w:val="24"/>
          <w:u w:val="single"/>
        </w:rPr>
        <w:t xml:space="preserve"> v. for Allstate Vehicle </w:t>
      </w:r>
      <w:proofErr w:type="gramStart"/>
      <w:r w:rsidRPr="006C7F17">
        <w:rPr>
          <w:rFonts w:ascii="Times New Roman" w:hAnsi="Times New Roman"/>
          <w:bCs/>
          <w:sz w:val="24"/>
          <w:szCs w:val="24"/>
          <w:u w:val="single"/>
        </w:rPr>
        <w:t>And</w:t>
      </w:r>
      <w:proofErr w:type="gramEnd"/>
      <w:r w:rsidRPr="006C7F17">
        <w:rPr>
          <w:rFonts w:ascii="Times New Roman" w:hAnsi="Times New Roman"/>
          <w:bCs/>
          <w:sz w:val="24"/>
          <w:szCs w:val="24"/>
          <w:u w:val="single"/>
        </w:rPr>
        <w:t xml:space="preserve"> Property Insurance Company</w:t>
      </w:r>
      <w:r w:rsidRPr="006C7F17">
        <w:rPr>
          <w:rFonts w:ascii="Times New Roman" w:hAnsi="Times New Roman"/>
          <w:bCs/>
          <w:sz w:val="24"/>
          <w:szCs w:val="24"/>
        </w:rPr>
        <w:t xml:space="preserve">, U.S. District Court Judge Kim R. Gibson, U.S. District Court for Western District of Pennsylvania, granted summary judgment for Allstate. </w:t>
      </w:r>
    </w:p>
    <w:p w14:paraId="7B54B2A1" w14:textId="77777777" w:rsidR="00A06387" w:rsidRPr="006C7F17" w:rsidRDefault="00A06387" w:rsidP="00A06387">
      <w:pPr>
        <w:pStyle w:val="NoSpacing"/>
        <w:rPr>
          <w:rFonts w:ascii="Times New Roman" w:hAnsi="Times New Roman"/>
          <w:b/>
          <w:bCs/>
          <w:sz w:val="24"/>
          <w:szCs w:val="24"/>
        </w:rPr>
      </w:pPr>
    </w:p>
    <w:p w14:paraId="7B55C37F" w14:textId="77777777" w:rsidR="00A06387" w:rsidRPr="006C7F17" w:rsidRDefault="00A06387" w:rsidP="00A06387">
      <w:pPr>
        <w:pStyle w:val="NoSpacing"/>
        <w:ind w:left="720"/>
        <w:rPr>
          <w:rFonts w:ascii="Times New Roman" w:hAnsi="Times New Roman"/>
          <w:b/>
          <w:bCs/>
          <w:sz w:val="24"/>
          <w:szCs w:val="24"/>
        </w:rPr>
      </w:pPr>
      <w:r w:rsidRPr="006C7F17">
        <w:rPr>
          <w:rFonts w:ascii="Times New Roman" w:hAnsi="Times New Roman"/>
          <w:bCs/>
          <w:sz w:val="24"/>
          <w:szCs w:val="24"/>
        </w:rPr>
        <w:t xml:space="preserve">“Because payment of the insurance proceeds negates any breach of contract action, Allstate has paid the policy limits on both the structure and ALE claims, and Plaintiff has not presented any evidence that Allstate has failed to compensate her for lost personal property, Plaintiff's claim must fail. Plaintiff argues that Allstate breached the insurance contract by failing to pay her claim once it was clear that Allstate could not prove arson. (ECF No. 28 at 9.) Allstate responds that it had a reasonable basis to investigate and delay payment. For the reasons discussed in depth above, Plaintiff has not shown that Allstate did not have a reasonable basis to investigate and delay payment, so this delay cannot form the basis of a breach of </w:t>
      </w:r>
      <w:proofErr w:type="gramStart"/>
      <w:r w:rsidRPr="006C7F17">
        <w:rPr>
          <w:rFonts w:ascii="Times New Roman" w:hAnsi="Times New Roman"/>
          <w:bCs/>
          <w:sz w:val="24"/>
          <w:szCs w:val="24"/>
        </w:rPr>
        <w:t>contract.”</w:t>
      </w:r>
      <w:proofErr w:type="gramEnd"/>
      <w:r w:rsidRPr="006C7F17">
        <w:rPr>
          <w:rFonts w:ascii="Times New Roman" w:hAnsi="Times New Roman"/>
          <w:bCs/>
          <w:sz w:val="24"/>
          <w:szCs w:val="24"/>
        </w:rPr>
        <w:t xml:space="preserve">  </w:t>
      </w:r>
    </w:p>
    <w:p w14:paraId="5E2BD35B" w14:textId="48987128" w:rsidR="00A06387" w:rsidRPr="006C7F17" w:rsidRDefault="006C7F17" w:rsidP="006C7F17">
      <w:pPr>
        <w:ind w:left="720"/>
        <w:rPr>
          <w:rFonts w:ascii="Times New Roman" w:hAnsi="Times New Roman"/>
          <w:b/>
          <w:sz w:val="24"/>
          <w:szCs w:val="24"/>
        </w:rPr>
      </w:pPr>
      <w:hyperlink r:id="rId335" w:history="1">
        <w:r w:rsidRPr="002F304C">
          <w:rPr>
            <w:rStyle w:val="Hyperlink"/>
            <w:rFonts w:ascii="Times New Roman" w:hAnsi="Times New Roman"/>
            <w:bCs/>
            <w:sz w:val="24"/>
            <w:szCs w:val="24"/>
          </w:rPr>
          <w:t>https://cases.justia.com/federal/district-courts/pennsylvania/pawdce/3:2018cv00193/249675/37/0.pdf?ts=1571736238</w:t>
        </w:r>
      </w:hyperlink>
    </w:p>
    <w:p w14:paraId="6BDBD660" w14:textId="77777777" w:rsidR="00A06387" w:rsidRPr="006C7F17" w:rsidRDefault="00A06387" w:rsidP="00A06387">
      <w:pPr>
        <w:pStyle w:val="NoSpacing"/>
        <w:rPr>
          <w:rFonts w:ascii="Times New Roman" w:hAnsi="Times New Roman"/>
          <w:b/>
          <w:bCs/>
          <w:sz w:val="24"/>
          <w:szCs w:val="24"/>
        </w:rPr>
      </w:pPr>
      <w:r w:rsidRPr="006C7F17">
        <w:rPr>
          <w:rFonts w:ascii="Times New Roman" w:hAnsi="Times New Roman"/>
          <w:b/>
          <w:bCs/>
          <w:sz w:val="24"/>
          <w:szCs w:val="24"/>
        </w:rPr>
        <w:t xml:space="preserve">Legal Lessons Learned: “Red flags” were certainly flying in this case.  </w:t>
      </w:r>
    </w:p>
    <w:p w14:paraId="35AD5C64" w14:textId="3CEF3DE9" w:rsidR="00A06387" w:rsidRDefault="00A06387" w:rsidP="002B1283">
      <w:pPr>
        <w:rPr>
          <w:rFonts w:ascii="Arial Black" w:hAnsi="Arial Black"/>
          <w:b/>
          <w:sz w:val="24"/>
          <w:szCs w:val="24"/>
        </w:rPr>
      </w:pPr>
    </w:p>
    <w:p w14:paraId="4126F2F4" w14:textId="77777777" w:rsidR="00A67C57" w:rsidRDefault="00A67C57" w:rsidP="002B1283">
      <w:pPr>
        <w:rPr>
          <w:rFonts w:ascii="Arial Black" w:hAnsi="Arial Black"/>
          <w:b/>
          <w:sz w:val="24"/>
          <w:szCs w:val="24"/>
        </w:rPr>
      </w:pPr>
    </w:p>
    <w:p w14:paraId="5ABB4BC7" w14:textId="77777777" w:rsidR="00A06387" w:rsidRDefault="00A06387" w:rsidP="002B1283">
      <w:pPr>
        <w:rPr>
          <w:rFonts w:ascii="Arial Black" w:hAnsi="Arial Black"/>
          <w:b/>
          <w:sz w:val="24"/>
          <w:szCs w:val="24"/>
        </w:rPr>
      </w:pPr>
    </w:p>
    <w:p w14:paraId="12296DC6" w14:textId="2C667427" w:rsidR="005A414F" w:rsidRDefault="005A414F" w:rsidP="002B1283">
      <w:pPr>
        <w:rPr>
          <w:rFonts w:ascii="Arial Black" w:hAnsi="Arial Black"/>
          <w:b/>
          <w:sz w:val="24"/>
          <w:szCs w:val="24"/>
        </w:rPr>
      </w:pPr>
      <w:r>
        <w:rPr>
          <w:rFonts w:ascii="Arial Black" w:hAnsi="Arial Black"/>
          <w:b/>
          <w:sz w:val="24"/>
          <w:szCs w:val="24"/>
        </w:rPr>
        <w:t>1-</w:t>
      </w:r>
      <w:r w:rsidR="00637A12">
        <w:rPr>
          <w:rFonts w:ascii="Arial Black" w:hAnsi="Arial Black"/>
          <w:b/>
          <w:sz w:val="24"/>
          <w:szCs w:val="24"/>
        </w:rPr>
        <w:t>31</w:t>
      </w:r>
    </w:p>
    <w:p w14:paraId="5E3ABD8C" w14:textId="77777777" w:rsidR="005A414F" w:rsidRDefault="005A414F" w:rsidP="005A414F">
      <w:pPr>
        <w:rPr>
          <w:rFonts w:ascii="Arial Black" w:hAnsi="Arial Black"/>
          <w:sz w:val="28"/>
          <w:szCs w:val="28"/>
        </w:rPr>
      </w:pPr>
      <w:r w:rsidRPr="007313FF">
        <w:rPr>
          <w:rFonts w:ascii="Arial Black" w:hAnsi="Arial Black"/>
          <w:sz w:val="28"/>
          <w:szCs w:val="28"/>
        </w:rPr>
        <w:t xml:space="preserve">CA: </w:t>
      </w:r>
      <w:r>
        <w:rPr>
          <w:rFonts w:ascii="Arial Black" w:hAnsi="Arial Black"/>
          <w:sz w:val="28"/>
          <w:szCs w:val="28"/>
        </w:rPr>
        <w:t xml:space="preserve"> ARSON - FF TESTIFIED AGAIN GIRLFRIEND – SHE ADMITTED ARSON CAR FIRE – HE WAS NOT ACCOMPLICE, NO JURY INSTRUCTION NEEDED</w:t>
      </w:r>
    </w:p>
    <w:p w14:paraId="75AF396B" w14:textId="170C65C2" w:rsidR="005A414F" w:rsidRDefault="005A414F" w:rsidP="005A414F">
      <w:pPr>
        <w:rPr>
          <w:rStyle w:val="Hyperlink"/>
          <w:rFonts w:ascii="Times New Roman" w:hAnsi="Times New Roman"/>
          <w:sz w:val="24"/>
          <w:szCs w:val="24"/>
        </w:rPr>
      </w:pPr>
      <w:r w:rsidRPr="005F65FF">
        <w:rPr>
          <w:rFonts w:ascii="Times New Roman" w:hAnsi="Times New Roman"/>
          <w:sz w:val="24"/>
          <w:szCs w:val="24"/>
        </w:rPr>
        <w:t>On</w:t>
      </w:r>
      <w:r>
        <w:rPr>
          <w:rFonts w:ascii="Times New Roman" w:hAnsi="Times New Roman"/>
          <w:sz w:val="24"/>
          <w:szCs w:val="24"/>
        </w:rPr>
        <w:t xml:space="preserve"> Aug. 29, 2019, in </w:t>
      </w:r>
      <w:r w:rsidRPr="00D929D6">
        <w:rPr>
          <w:rFonts w:ascii="Times New Roman" w:hAnsi="Times New Roman"/>
          <w:sz w:val="24"/>
          <w:szCs w:val="24"/>
          <w:u w:val="single"/>
        </w:rPr>
        <w:t>The People v. Crystal Lynn Rothgery</w:t>
      </w:r>
      <w:r w:rsidRPr="00D929D6">
        <w:rPr>
          <w:rFonts w:ascii="Times New Roman" w:hAnsi="Times New Roman"/>
          <w:sz w:val="24"/>
          <w:szCs w:val="24"/>
        </w:rPr>
        <w:t>, the</w:t>
      </w:r>
      <w:r>
        <w:rPr>
          <w:rFonts w:ascii="Times New Roman" w:hAnsi="Times New Roman"/>
          <w:sz w:val="24"/>
          <w:szCs w:val="24"/>
          <w:u w:val="single"/>
        </w:rPr>
        <w:t xml:space="preserve"> </w:t>
      </w:r>
      <w:r w:rsidRPr="005238A8">
        <w:rPr>
          <w:rFonts w:ascii="Times New Roman" w:hAnsi="Times New Roman"/>
          <w:sz w:val="24"/>
          <w:szCs w:val="24"/>
        </w:rPr>
        <w:t xml:space="preserve">Court of Appeal of State of California, Third Appellate District, </w:t>
      </w:r>
      <w:r>
        <w:rPr>
          <w:rFonts w:ascii="Times New Roman" w:hAnsi="Times New Roman"/>
          <w:sz w:val="24"/>
          <w:szCs w:val="24"/>
        </w:rPr>
        <w:t xml:space="preserve">in an unpublished opinion, denied (3 to 0) her appeal of jury conviction of arson.   The trial judge did not need to instructor jury about being suspicious of accomplice testimony since no evidence that her boyfriend [a “wilderness firefighter”] was involved in the car fire. </w:t>
      </w:r>
      <w:hyperlink r:id="rId336" w:history="1">
        <w:r w:rsidRPr="0075063D">
          <w:rPr>
            <w:rStyle w:val="Hyperlink"/>
            <w:rFonts w:ascii="Times New Roman" w:hAnsi="Times New Roman"/>
            <w:sz w:val="24"/>
            <w:szCs w:val="24"/>
          </w:rPr>
          <w:t>https://www.courts.ca.gov/opinions/nonpub/C087060.PDF</w:t>
        </w:r>
      </w:hyperlink>
    </w:p>
    <w:p w14:paraId="484410AA" w14:textId="77777777" w:rsidR="005A414F" w:rsidRDefault="005A414F" w:rsidP="005A414F">
      <w:pPr>
        <w:rPr>
          <w:rFonts w:ascii="Times New Roman" w:hAnsi="Times New Roman"/>
          <w:sz w:val="24"/>
          <w:szCs w:val="24"/>
        </w:rPr>
      </w:pPr>
      <w:r w:rsidRPr="00285E04">
        <w:rPr>
          <w:rFonts w:ascii="Times New Roman" w:hAnsi="Times New Roman"/>
          <w:sz w:val="24"/>
          <w:szCs w:val="24"/>
        </w:rPr>
        <w:t>The Court wrote:</w:t>
      </w:r>
    </w:p>
    <w:p w14:paraId="76402338" w14:textId="77777777" w:rsidR="005A414F" w:rsidRPr="007E4C13" w:rsidRDefault="005A414F" w:rsidP="005A414F">
      <w:pPr>
        <w:pStyle w:val="NoSpacing"/>
        <w:ind w:left="1440"/>
        <w:rPr>
          <w:rFonts w:ascii="Times New Roman" w:hAnsi="Times New Roman"/>
          <w:sz w:val="24"/>
          <w:szCs w:val="24"/>
        </w:rPr>
      </w:pPr>
      <w:r>
        <w:rPr>
          <w:rFonts w:ascii="Times New Roman" w:hAnsi="Times New Roman"/>
          <w:sz w:val="24"/>
          <w:szCs w:val="24"/>
        </w:rPr>
        <w:t>“</w:t>
      </w:r>
      <w:r w:rsidRPr="007E4C13">
        <w:rPr>
          <w:rFonts w:ascii="Times New Roman" w:hAnsi="Times New Roman"/>
          <w:sz w:val="24"/>
          <w:szCs w:val="24"/>
        </w:rPr>
        <w:t xml:space="preserve">Here, the trial court was not required to instruct the jury </w:t>
      </w:r>
      <w:proofErr w:type="spellStart"/>
      <w:r w:rsidRPr="007E4C13">
        <w:rPr>
          <w:rFonts w:ascii="Times New Roman" w:hAnsi="Times New Roman"/>
          <w:sz w:val="24"/>
          <w:szCs w:val="24"/>
        </w:rPr>
        <w:t>sua</w:t>
      </w:r>
      <w:proofErr w:type="spellEnd"/>
      <w:r w:rsidRPr="007E4C13">
        <w:rPr>
          <w:rFonts w:ascii="Times New Roman" w:hAnsi="Times New Roman"/>
          <w:sz w:val="24"/>
          <w:szCs w:val="24"/>
        </w:rPr>
        <w:t xml:space="preserve"> sponte on accomplice testimony because there was no evidence from which a reasonable jury could find Hoskey was an accomplice. To be an accomplice, one </w:t>
      </w:r>
      <w:proofErr w:type="gramStart"/>
      <w:r w:rsidRPr="007E4C13">
        <w:rPr>
          <w:rFonts w:ascii="Times New Roman" w:hAnsi="Times New Roman"/>
          <w:sz w:val="24"/>
          <w:szCs w:val="24"/>
        </w:rPr>
        <w:t>must,</w:t>
      </w:r>
      <w:r>
        <w:rPr>
          <w:rFonts w:ascii="Times New Roman" w:hAnsi="Times New Roman"/>
          <w:sz w:val="24"/>
          <w:szCs w:val="24"/>
        </w:rPr>
        <w:t xml:space="preserve"> </w:t>
      </w:r>
      <w:r w:rsidRPr="007E4C13">
        <w:rPr>
          <w:rFonts w:ascii="Times New Roman" w:hAnsi="Times New Roman"/>
          <w:sz w:val="24"/>
          <w:szCs w:val="24"/>
        </w:rPr>
        <w:t>‘</w:t>
      </w:r>
      <w:proofErr w:type="gramEnd"/>
      <w:r w:rsidRPr="007E4C13">
        <w:rPr>
          <w:rFonts w:ascii="Times New Roman" w:hAnsi="Times New Roman"/>
          <w:sz w:val="24"/>
          <w:szCs w:val="24"/>
        </w:rPr>
        <w:t>act with knowledge of the criminal purpose of the perpetrator and</w:t>
      </w:r>
      <w:r>
        <w:rPr>
          <w:rFonts w:ascii="Times New Roman" w:hAnsi="Times New Roman"/>
          <w:sz w:val="24"/>
          <w:szCs w:val="24"/>
        </w:rPr>
        <w:t xml:space="preserve"> </w:t>
      </w:r>
      <w:r w:rsidRPr="007E4C13">
        <w:rPr>
          <w:rFonts w:ascii="Times New Roman" w:hAnsi="Times New Roman"/>
          <w:sz w:val="24"/>
          <w:szCs w:val="24"/>
        </w:rPr>
        <w:t>with an intent or purpose either of committing, or of encouraging or facilitating commission of, the offense.’ (People v. Stankewitz (1990) 51 Cal.3d 72, 90-91.)</w:t>
      </w:r>
      <w:r>
        <w:rPr>
          <w:rFonts w:ascii="Times New Roman" w:hAnsi="Times New Roman"/>
          <w:sz w:val="24"/>
          <w:szCs w:val="24"/>
        </w:rPr>
        <w:t xml:space="preserve">  </w:t>
      </w:r>
      <w:r w:rsidRPr="007E4C13">
        <w:rPr>
          <w:rFonts w:ascii="Times New Roman" w:hAnsi="Times New Roman"/>
          <w:sz w:val="24"/>
          <w:szCs w:val="24"/>
        </w:rPr>
        <w:t>In arguing Hoskey was an accomplice, defendant cites no evidence to satisfy these elements.</w:t>
      </w:r>
      <w:r>
        <w:rPr>
          <w:rFonts w:ascii="Times New Roman" w:hAnsi="Times New Roman"/>
          <w:sz w:val="24"/>
          <w:szCs w:val="24"/>
        </w:rPr>
        <w:t>”</w:t>
      </w:r>
    </w:p>
    <w:p w14:paraId="51A88005" w14:textId="77777777" w:rsidR="005A414F" w:rsidRDefault="005A414F" w:rsidP="005A414F">
      <w:pPr>
        <w:rPr>
          <w:rStyle w:val="Hyperlink"/>
          <w:rFonts w:ascii="Times New Roman" w:hAnsi="Times New Roman"/>
          <w:sz w:val="24"/>
          <w:szCs w:val="24"/>
        </w:rPr>
      </w:pPr>
    </w:p>
    <w:p w14:paraId="204CC706" w14:textId="569889B0" w:rsidR="005A414F" w:rsidRDefault="005A414F" w:rsidP="005A414F">
      <w:pPr>
        <w:pStyle w:val="NoSpacing"/>
        <w:rPr>
          <w:rFonts w:ascii="Times New Roman" w:hAnsi="Times New Roman"/>
          <w:b/>
          <w:bCs/>
          <w:sz w:val="24"/>
          <w:szCs w:val="24"/>
        </w:rPr>
      </w:pPr>
      <w:r w:rsidRPr="00F524F6">
        <w:rPr>
          <w:rFonts w:ascii="Times New Roman" w:hAnsi="Times New Roman"/>
          <w:b/>
          <w:bCs/>
          <w:sz w:val="24"/>
          <w:szCs w:val="24"/>
        </w:rPr>
        <w:t xml:space="preserve">Legal Lessons Learned: </w:t>
      </w:r>
      <w:r>
        <w:rPr>
          <w:rFonts w:ascii="Times New Roman" w:hAnsi="Times New Roman"/>
          <w:b/>
          <w:bCs/>
          <w:sz w:val="24"/>
          <w:szCs w:val="24"/>
        </w:rPr>
        <w:t xml:space="preserve">No proof this “wilderness firefighter” was involved in his live-in girlfriend’s arson.  </w:t>
      </w:r>
    </w:p>
    <w:p w14:paraId="6DC9502B" w14:textId="77777777" w:rsidR="00E26EA8" w:rsidRDefault="00E26EA8" w:rsidP="005A414F">
      <w:pPr>
        <w:pStyle w:val="NoSpacing"/>
        <w:rPr>
          <w:rFonts w:ascii="Times New Roman" w:hAnsi="Times New Roman"/>
          <w:b/>
          <w:bCs/>
          <w:sz w:val="24"/>
          <w:szCs w:val="24"/>
        </w:rPr>
      </w:pPr>
    </w:p>
    <w:p w14:paraId="2A4D2958" w14:textId="77777777" w:rsidR="00715CF2" w:rsidRDefault="00715CF2" w:rsidP="002B1283">
      <w:pPr>
        <w:rPr>
          <w:rFonts w:ascii="Arial Black" w:hAnsi="Arial Black"/>
          <w:b/>
          <w:sz w:val="24"/>
          <w:szCs w:val="24"/>
        </w:rPr>
      </w:pPr>
    </w:p>
    <w:p w14:paraId="4EEE914F" w14:textId="0C8E98AD" w:rsidR="00791CA3" w:rsidRDefault="00791CA3" w:rsidP="002B1283">
      <w:pPr>
        <w:rPr>
          <w:rFonts w:ascii="Arial Black" w:hAnsi="Arial Black"/>
          <w:sz w:val="28"/>
          <w:szCs w:val="28"/>
        </w:rPr>
      </w:pPr>
      <w:r w:rsidRPr="00791CA3">
        <w:rPr>
          <w:rFonts w:ascii="Arial Black" w:hAnsi="Arial Black"/>
          <w:b/>
          <w:sz w:val="24"/>
          <w:szCs w:val="24"/>
        </w:rPr>
        <w:lastRenderedPageBreak/>
        <w:t>1-</w:t>
      </w:r>
      <w:r w:rsidR="00637A12">
        <w:rPr>
          <w:rFonts w:ascii="Arial Black" w:hAnsi="Arial Black"/>
          <w:b/>
          <w:sz w:val="24"/>
          <w:szCs w:val="24"/>
        </w:rPr>
        <w:t>30</w:t>
      </w:r>
    </w:p>
    <w:p w14:paraId="29D072AB" w14:textId="54FED2EC" w:rsidR="002B1283" w:rsidRDefault="002B1283" w:rsidP="002B1283">
      <w:pPr>
        <w:rPr>
          <w:rFonts w:ascii="Arial Black" w:hAnsi="Arial Black"/>
          <w:sz w:val="28"/>
          <w:szCs w:val="28"/>
        </w:rPr>
      </w:pPr>
      <w:r>
        <w:rPr>
          <w:rFonts w:ascii="Arial Black" w:hAnsi="Arial Black"/>
          <w:sz w:val="28"/>
          <w:szCs w:val="28"/>
        </w:rPr>
        <w:t>IL: COMMERCIAL BUILDING FIRE ALARMS MUST GO DIRECT TO 911 DISPATCH – ORDINANCE REQ. ONE PROVIDER UPHELD</w:t>
      </w:r>
    </w:p>
    <w:p w14:paraId="3CCBDA25" w14:textId="77777777" w:rsidR="002B1283" w:rsidRDefault="002B1283" w:rsidP="002B1283">
      <w:pPr>
        <w:rPr>
          <w:rFonts w:ascii="Times New Roman" w:hAnsi="Times New Roman"/>
          <w:sz w:val="24"/>
          <w:szCs w:val="24"/>
        </w:rPr>
      </w:pPr>
      <w:r w:rsidRPr="00C338B2">
        <w:rPr>
          <w:rFonts w:ascii="Times New Roman" w:hAnsi="Times New Roman"/>
          <w:sz w:val="24"/>
          <w:szCs w:val="24"/>
        </w:rPr>
        <w:t xml:space="preserve">On July 15, 2019, in </w:t>
      </w:r>
      <w:r w:rsidRPr="00C338B2">
        <w:rPr>
          <w:rFonts w:ascii="Times New Roman" w:hAnsi="Times New Roman"/>
          <w:sz w:val="24"/>
          <w:szCs w:val="24"/>
          <w:u w:val="single"/>
        </w:rPr>
        <w:t>Alarm Detection Systems, Inc. v. Orland Fire Protect District, et al</w:t>
      </w:r>
      <w:r w:rsidRPr="00C338B2">
        <w:rPr>
          <w:rFonts w:ascii="Times New Roman" w:hAnsi="Times New Roman"/>
          <w:sz w:val="24"/>
          <w:szCs w:val="24"/>
        </w:rPr>
        <w:t xml:space="preserve">, </w:t>
      </w:r>
      <w:r>
        <w:rPr>
          <w:rFonts w:ascii="Times New Roman" w:hAnsi="Times New Roman"/>
          <w:sz w:val="24"/>
          <w:szCs w:val="24"/>
        </w:rPr>
        <w:t>the U.S. Court of Appeals for 7</w:t>
      </w:r>
      <w:r w:rsidRPr="00C338B2">
        <w:rPr>
          <w:rFonts w:ascii="Times New Roman" w:hAnsi="Times New Roman"/>
          <w:sz w:val="24"/>
          <w:szCs w:val="24"/>
          <w:vertAlign w:val="superscript"/>
        </w:rPr>
        <w:t>th</w:t>
      </w:r>
      <w:r>
        <w:rPr>
          <w:rFonts w:ascii="Times New Roman" w:hAnsi="Times New Roman"/>
          <w:sz w:val="24"/>
          <w:szCs w:val="24"/>
        </w:rPr>
        <w:t xml:space="preserve"> Circuit held (3 to 0) that ordinances by several Villages were lawful and no violation of Sherman Antitrust Act. </w:t>
      </w:r>
    </w:p>
    <w:p w14:paraId="737C96FA" w14:textId="77777777" w:rsidR="002B1283" w:rsidRDefault="002B1283" w:rsidP="002B1283">
      <w:pPr>
        <w:pStyle w:val="NoSpacing"/>
        <w:ind w:left="720"/>
        <w:rPr>
          <w:rFonts w:ascii="Times New Roman" w:hAnsi="Times New Roman"/>
          <w:sz w:val="24"/>
          <w:szCs w:val="24"/>
        </w:rPr>
      </w:pPr>
      <w:r>
        <w:rPr>
          <w:rFonts w:ascii="Times New Roman" w:hAnsi="Times New Roman"/>
          <w:sz w:val="24"/>
          <w:szCs w:val="24"/>
        </w:rPr>
        <w:t>“</w:t>
      </w:r>
      <w:r w:rsidRPr="00100A56">
        <w:rPr>
          <w:rFonts w:ascii="Times New Roman" w:hAnsi="Times New Roman"/>
          <w:sz w:val="24"/>
          <w:szCs w:val="24"/>
        </w:rPr>
        <w:t>ADS worries that without introducing competition against Tyco the alarm-system market will stagnate; Tyco will have little reason to innovate and more flexibility to charge high prices. We are not unsympathetic to the point, in theory. But ADS had its chance at trial to demonstrate to the district court that its alternative methods can work in an RSS system, and it did not. And no one should lose sight of the fact that competition for the exclusive contract is competition.</w:t>
      </w:r>
      <w:r>
        <w:rPr>
          <w:rFonts w:ascii="Times New Roman" w:hAnsi="Times New Roman"/>
          <w:sz w:val="24"/>
          <w:szCs w:val="24"/>
        </w:rPr>
        <w:t>”</w:t>
      </w:r>
    </w:p>
    <w:p w14:paraId="0DB8F759" w14:textId="77777777" w:rsidR="002B1283" w:rsidRDefault="002B1283" w:rsidP="002B1283">
      <w:pPr>
        <w:ind w:left="720"/>
      </w:pPr>
      <w:hyperlink r:id="rId337" w:history="1">
        <w:r w:rsidRPr="00455844">
          <w:rPr>
            <w:rStyle w:val="Hyperlink"/>
          </w:rPr>
          <w:t>https://cases.justia.com/federal/appellate-courts/ca7/18-2926/18-2926-2019-07-15.pdf?ts=1563219019</w:t>
        </w:r>
      </w:hyperlink>
      <w:r>
        <w:t xml:space="preserve"> </w:t>
      </w:r>
    </w:p>
    <w:p w14:paraId="6EB00456" w14:textId="3BE822F9" w:rsidR="002B1283" w:rsidRDefault="002B1283" w:rsidP="002B1283">
      <w:pPr>
        <w:rPr>
          <w:rFonts w:ascii="Times New Roman" w:hAnsi="Times New Roman"/>
          <w:b/>
          <w:bCs/>
          <w:sz w:val="24"/>
          <w:szCs w:val="24"/>
        </w:rPr>
      </w:pPr>
      <w:r w:rsidRPr="00100A56">
        <w:rPr>
          <w:rFonts w:ascii="Times New Roman" w:hAnsi="Times New Roman"/>
          <w:b/>
          <w:bCs/>
          <w:sz w:val="24"/>
          <w:szCs w:val="24"/>
        </w:rPr>
        <w:t xml:space="preserve">Legal Lessons Learned: </w:t>
      </w:r>
      <w:r>
        <w:rPr>
          <w:rFonts w:ascii="Times New Roman" w:hAnsi="Times New Roman"/>
          <w:b/>
          <w:bCs/>
          <w:sz w:val="24"/>
          <w:szCs w:val="24"/>
        </w:rPr>
        <w:t xml:space="preserve"> The Court of Appeals upheld the findings of the U.S. District Court judge, who held a 6-day bench [non-jury] trial, and referenced NFPA 72 and the safety need for an exclusive fire-alarm provider.  </w:t>
      </w:r>
    </w:p>
    <w:p w14:paraId="0B7D4E64" w14:textId="149D5C28" w:rsidR="0097592D" w:rsidRPr="0097592D" w:rsidRDefault="0097592D" w:rsidP="002B1283">
      <w:pPr>
        <w:rPr>
          <w:rFonts w:ascii="Times New Roman" w:hAnsi="Times New Roman"/>
          <w:sz w:val="24"/>
          <w:szCs w:val="24"/>
        </w:rPr>
      </w:pPr>
    </w:p>
    <w:p w14:paraId="2A31529E" w14:textId="77777777" w:rsidR="00F326E5" w:rsidRDefault="00F326E5" w:rsidP="00F326E5">
      <w:pPr>
        <w:pStyle w:val="NoSpacing"/>
        <w:rPr>
          <w:rFonts w:ascii="Times New Roman" w:hAnsi="Times New Roman"/>
          <w:sz w:val="24"/>
          <w:szCs w:val="24"/>
        </w:rPr>
      </w:pPr>
    </w:p>
    <w:p w14:paraId="5AC1EE6D" w14:textId="48B9E2F1" w:rsidR="005A414F" w:rsidRDefault="005A414F" w:rsidP="00791CA3">
      <w:pPr>
        <w:rPr>
          <w:rFonts w:ascii="Arial Black" w:hAnsi="Arial Black"/>
          <w:b/>
          <w:sz w:val="24"/>
          <w:szCs w:val="24"/>
        </w:rPr>
      </w:pPr>
      <w:r>
        <w:rPr>
          <w:rFonts w:ascii="Arial Black" w:hAnsi="Arial Black"/>
          <w:b/>
          <w:sz w:val="24"/>
          <w:szCs w:val="24"/>
        </w:rPr>
        <w:t>1-2</w:t>
      </w:r>
      <w:r w:rsidR="00637A12">
        <w:rPr>
          <w:rFonts w:ascii="Arial Black" w:hAnsi="Arial Black"/>
          <w:b/>
          <w:sz w:val="24"/>
          <w:szCs w:val="24"/>
        </w:rPr>
        <w:t>9</w:t>
      </w:r>
    </w:p>
    <w:p w14:paraId="4D276FD2" w14:textId="77777777" w:rsidR="005A414F" w:rsidRPr="00A95E8D" w:rsidRDefault="005A414F" w:rsidP="005A414F">
      <w:pPr>
        <w:rPr>
          <w:rFonts w:ascii="Arial Black" w:hAnsi="Arial Black"/>
          <w:sz w:val="28"/>
          <w:szCs w:val="28"/>
        </w:rPr>
      </w:pPr>
      <w:r w:rsidRPr="00A95E8D">
        <w:rPr>
          <w:rFonts w:ascii="Arial Black" w:hAnsi="Arial Black"/>
          <w:sz w:val="28"/>
          <w:szCs w:val="28"/>
        </w:rPr>
        <w:t>U.S. SUP</w:t>
      </w:r>
      <w:r>
        <w:rPr>
          <w:rFonts w:ascii="Arial Black" w:hAnsi="Arial Black"/>
          <w:sz w:val="28"/>
          <w:szCs w:val="28"/>
        </w:rPr>
        <w:t>REME CT: DRUNK DRIVER UNCONSCIOUS – BLOOD DRAW WITHOUT SEARCH WARRANT PERMITTED - EXIGENT CIRCUMSTANCES</w:t>
      </w:r>
    </w:p>
    <w:p w14:paraId="7CF99BE9" w14:textId="77777777" w:rsidR="005A414F" w:rsidRDefault="005A414F" w:rsidP="005A414F">
      <w:pPr>
        <w:rPr>
          <w:rFonts w:ascii="Times New Roman" w:hAnsi="Times New Roman"/>
          <w:sz w:val="24"/>
          <w:szCs w:val="24"/>
        </w:rPr>
      </w:pPr>
      <w:r>
        <w:rPr>
          <w:rFonts w:ascii="Times New Roman" w:hAnsi="Times New Roman"/>
          <w:sz w:val="24"/>
          <w:szCs w:val="24"/>
        </w:rPr>
        <w:t xml:space="preserve">On June 27, 2019, in </w:t>
      </w:r>
      <w:r w:rsidRPr="000D023B">
        <w:rPr>
          <w:rFonts w:ascii="Times New Roman" w:hAnsi="Times New Roman"/>
          <w:sz w:val="24"/>
          <w:szCs w:val="24"/>
          <w:u w:val="single"/>
        </w:rPr>
        <w:t>Mitchell v. Wisconsin</w:t>
      </w:r>
      <w:r>
        <w:rPr>
          <w:rFonts w:ascii="Times New Roman" w:hAnsi="Times New Roman"/>
          <w:sz w:val="24"/>
          <w:szCs w:val="24"/>
        </w:rPr>
        <w:t xml:space="preserve">, the U.S. Supreme Court held (5 to 4), on the defendant’s appeal from decision of the Wisconsin Supreme Court, that when the driver is unconscious, and cannot be given a breath test, they may generally obtain a blood draw at a hospital without a search warrant under the “exigent circumstances” doctrine.  </w:t>
      </w:r>
      <w:hyperlink r:id="rId338" w:history="1">
        <w:r w:rsidRPr="00DD407F">
          <w:rPr>
            <w:rStyle w:val="Hyperlink"/>
            <w:rFonts w:ascii="Times New Roman" w:hAnsi="Times New Roman"/>
            <w:sz w:val="24"/>
            <w:szCs w:val="24"/>
          </w:rPr>
          <w:t>https://www.supremecourt.gov/opinions/18pdf/18-6210_2co3.pdf</w:t>
        </w:r>
      </w:hyperlink>
      <w:r>
        <w:rPr>
          <w:rFonts w:ascii="Times New Roman" w:hAnsi="Times New Roman"/>
          <w:sz w:val="24"/>
          <w:szCs w:val="24"/>
        </w:rPr>
        <w:t xml:space="preserve"> </w:t>
      </w:r>
    </w:p>
    <w:p w14:paraId="0EDF2492" w14:textId="77777777" w:rsidR="005A414F" w:rsidRPr="00230C85" w:rsidRDefault="005A414F" w:rsidP="005A414F">
      <w:pPr>
        <w:pStyle w:val="NoSpacing"/>
        <w:rPr>
          <w:rFonts w:ascii="Times New Roman" w:hAnsi="Times New Roman"/>
          <w:b/>
          <w:bCs/>
          <w:sz w:val="24"/>
          <w:szCs w:val="24"/>
        </w:rPr>
      </w:pPr>
      <w:r w:rsidRPr="00230C85">
        <w:rPr>
          <w:rFonts w:ascii="Times New Roman" w:hAnsi="Times New Roman"/>
          <w:b/>
          <w:bCs/>
          <w:sz w:val="24"/>
          <w:szCs w:val="24"/>
        </w:rPr>
        <w:t xml:space="preserve">Legal Lessons Learned: </w:t>
      </w:r>
      <w:r>
        <w:rPr>
          <w:rFonts w:ascii="Times New Roman" w:hAnsi="Times New Roman"/>
          <w:b/>
          <w:bCs/>
          <w:sz w:val="24"/>
          <w:szCs w:val="24"/>
        </w:rPr>
        <w:t xml:space="preserve">Very helpful majority decision, expanding the “exigent circumstances” doctrine, to allow police to rapidly obtain blood draws without a search warrant. </w:t>
      </w:r>
    </w:p>
    <w:p w14:paraId="7003CA67" w14:textId="77777777" w:rsidR="000D5056" w:rsidRDefault="000D5056" w:rsidP="005A414F">
      <w:pPr>
        <w:ind w:firstLine="720"/>
        <w:rPr>
          <w:rFonts w:ascii="Times New Roman" w:hAnsi="Times New Roman"/>
          <w:sz w:val="24"/>
          <w:szCs w:val="24"/>
        </w:rPr>
      </w:pPr>
    </w:p>
    <w:p w14:paraId="609A942C" w14:textId="502D2C28" w:rsidR="005A414F" w:rsidRDefault="005A414F" w:rsidP="005A414F">
      <w:pPr>
        <w:ind w:firstLine="720"/>
        <w:rPr>
          <w:rFonts w:ascii="Times New Roman" w:hAnsi="Times New Roman"/>
          <w:sz w:val="24"/>
          <w:szCs w:val="24"/>
        </w:rPr>
      </w:pPr>
      <w:r>
        <w:rPr>
          <w:rFonts w:ascii="Times New Roman" w:hAnsi="Times New Roman"/>
          <w:sz w:val="24"/>
          <w:szCs w:val="24"/>
        </w:rPr>
        <w:t xml:space="preserve">Justice Samuel Alito wrote the majority opinion: </w:t>
      </w:r>
    </w:p>
    <w:p w14:paraId="25335525" w14:textId="02D5DFF3" w:rsidR="005A414F" w:rsidRDefault="005A414F" w:rsidP="005A414F">
      <w:pPr>
        <w:ind w:left="1440"/>
        <w:rPr>
          <w:rFonts w:ascii="Times New Roman" w:hAnsi="Times New Roman"/>
          <w:sz w:val="24"/>
          <w:szCs w:val="24"/>
        </w:rPr>
      </w:pPr>
      <w:r>
        <w:rPr>
          <w:rFonts w:ascii="Times New Roman" w:hAnsi="Times New Roman"/>
          <w:sz w:val="24"/>
          <w:szCs w:val="24"/>
        </w:rPr>
        <w:t>“</w:t>
      </w:r>
      <w:r w:rsidRPr="00A95E8D">
        <w:rPr>
          <w:rFonts w:ascii="Times New Roman" w:hAnsi="Times New Roman"/>
          <w:sz w:val="24"/>
          <w:szCs w:val="24"/>
        </w:rPr>
        <w:t>Today, we consider what police officers may do in a narrow but important category of cases: those in which the driver is unconscious and therefore cannot be given a breath test. In such cases, we hold, the exigent</w:t>
      </w:r>
      <w:r>
        <w:rPr>
          <w:rFonts w:ascii="Times New Roman" w:hAnsi="Times New Roman"/>
          <w:sz w:val="24"/>
          <w:szCs w:val="24"/>
        </w:rPr>
        <w:t>-</w:t>
      </w:r>
      <w:r w:rsidRPr="00A95E8D">
        <w:rPr>
          <w:rFonts w:ascii="Times New Roman" w:hAnsi="Times New Roman"/>
          <w:sz w:val="24"/>
          <w:szCs w:val="24"/>
        </w:rPr>
        <w:t>circumstances rule almost always permits a blood test without a warrant. When a breath test is impossible, enforcement of the drunk-driving laws depends upon the administration of a blood test. And when a police officer</w:t>
      </w:r>
      <w:r>
        <w:rPr>
          <w:rFonts w:ascii="Times New Roman" w:hAnsi="Times New Roman"/>
          <w:sz w:val="24"/>
          <w:szCs w:val="24"/>
        </w:rPr>
        <w:t xml:space="preserve"> </w:t>
      </w:r>
      <w:r w:rsidRPr="00A95E8D">
        <w:rPr>
          <w:rFonts w:ascii="Times New Roman" w:hAnsi="Times New Roman"/>
          <w:sz w:val="24"/>
          <w:szCs w:val="24"/>
        </w:rPr>
        <w:t xml:space="preserve">encounters an unconscious driver, it is very likely that the driver would be taken to an emergency room and that his blood would be drawn for diagnostic purposes even if the police were not seeking BAC information. In addition, police officers most frequently come upon unconscious drivers when they report to the scene of </w:t>
      </w:r>
      <w:r w:rsidRPr="00A95E8D">
        <w:rPr>
          <w:rFonts w:ascii="Times New Roman" w:hAnsi="Times New Roman"/>
          <w:sz w:val="24"/>
          <w:szCs w:val="24"/>
        </w:rPr>
        <w:lastRenderedPageBreak/>
        <w:t>an accident, and under those circumstances, the officers’ many responsibilities—such as attending to other injured drivers or passengers</w:t>
      </w:r>
      <w:r>
        <w:rPr>
          <w:rFonts w:ascii="Times New Roman" w:hAnsi="Times New Roman"/>
          <w:sz w:val="24"/>
          <w:szCs w:val="24"/>
        </w:rPr>
        <w:t xml:space="preserve"> </w:t>
      </w:r>
      <w:r w:rsidRPr="00A95E8D">
        <w:rPr>
          <w:rFonts w:ascii="Times New Roman" w:hAnsi="Times New Roman"/>
          <w:sz w:val="24"/>
          <w:szCs w:val="24"/>
        </w:rPr>
        <w:t>and preventing further accidents—may be incompatible with the procedures that would be required to obtain a warrant. Thus, when a driver is unconscious, the general rule is that a warrant is not needed.</w:t>
      </w:r>
      <w:r>
        <w:rPr>
          <w:rFonts w:ascii="Times New Roman" w:hAnsi="Times New Roman"/>
          <w:sz w:val="24"/>
          <w:szCs w:val="24"/>
        </w:rPr>
        <w:t>”</w:t>
      </w:r>
    </w:p>
    <w:p w14:paraId="28A37239" w14:textId="77777777" w:rsidR="00715CF2" w:rsidRDefault="00715CF2" w:rsidP="00791CA3">
      <w:pPr>
        <w:rPr>
          <w:rFonts w:ascii="Arial Black" w:hAnsi="Arial Black"/>
          <w:b/>
          <w:sz w:val="24"/>
          <w:szCs w:val="24"/>
        </w:rPr>
      </w:pPr>
    </w:p>
    <w:p w14:paraId="1763116F" w14:textId="5BD9E373" w:rsidR="00B22CD4" w:rsidRDefault="00791CA3" w:rsidP="00791CA3">
      <w:pPr>
        <w:rPr>
          <w:rFonts w:ascii="Times New Roman" w:hAnsi="Times New Roman"/>
          <w:sz w:val="24"/>
          <w:szCs w:val="24"/>
        </w:rPr>
      </w:pPr>
      <w:r w:rsidRPr="00791CA3">
        <w:rPr>
          <w:rFonts w:ascii="Arial Black" w:hAnsi="Arial Black"/>
          <w:b/>
          <w:sz w:val="24"/>
          <w:szCs w:val="24"/>
        </w:rPr>
        <w:t>1-</w:t>
      </w:r>
      <w:r>
        <w:rPr>
          <w:rFonts w:ascii="Arial Black" w:hAnsi="Arial Black"/>
          <w:b/>
          <w:sz w:val="24"/>
          <w:szCs w:val="24"/>
        </w:rPr>
        <w:t>2</w:t>
      </w:r>
      <w:r w:rsidR="00637A12">
        <w:rPr>
          <w:rFonts w:ascii="Arial Black" w:hAnsi="Arial Black"/>
          <w:b/>
          <w:sz w:val="24"/>
          <w:szCs w:val="24"/>
        </w:rPr>
        <w:t>8</w:t>
      </w:r>
    </w:p>
    <w:p w14:paraId="24111B64" w14:textId="39359B2E" w:rsidR="00B22CD4" w:rsidRPr="00B60691" w:rsidRDefault="00B22CD4" w:rsidP="00B22CD4">
      <w:pPr>
        <w:pStyle w:val="NoSpacing"/>
        <w:rPr>
          <w:rFonts w:ascii="Arial Black" w:hAnsi="Arial Black"/>
          <w:sz w:val="28"/>
          <w:szCs w:val="28"/>
        </w:rPr>
      </w:pPr>
      <w:bookmarkStart w:id="60" w:name="_Hlk10126418"/>
      <w:r>
        <w:rPr>
          <w:rFonts w:ascii="Arial Black" w:hAnsi="Arial Black"/>
          <w:sz w:val="28"/>
          <w:szCs w:val="28"/>
        </w:rPr>
        <w:t>IL: SUICIDE - U.S. SUP. CT. NOT TAKE APPEAL – SUICIDE BY ATTORNEY ON ANTI-DEPRESSANTS - FDA DID NOT APPROVE LABEL</w:t>
      </w:r>
    </w:p>
    <w:p w14:paraId="3F548AF1" w14:textId="77777777" w:rsidR="00B22CD4" w:rsidRPr="002F51DD" w:rsidRDefault="00B22CD4" w:rsidP="00B22CD4">
      <w:pPr>
        <w:pStyle w:val="Heading1"/>
        <w:rPr>
          <w:b w:val="0"/>
          <w:sz w:val="24"/>
          <w:szCs w:val="24"/>
        </w:rPr>
      </w:pPr>
      <w:r w:rsidRPr="002F51DD">
        <w:rPr>
          <w:b w:val="0"/>
          <w:sz w:val="24"/>
          <w:szCs w:val="24"/>
        </w:rPr>
        <w:t xml:space="preserve">On May 28, 2019, in </w:t>
      </w:r>
      <w:r w:rsidRPr="002F51DD">
        <w:rPr>
          <w:b w:val="0"/>
          <w:sz w:val="24"/>
          <w:szCs w:val="24"/>
          <w:u w:val="single"/>
        </w:rPr>
        <w:t>Wendy B. Dolin v. GlaxoSmith</w:t>
      </w:r>
      <w:r>
        <w:rPr>
          <w:b w:val="0"/>
          <w:sz w:val="24"/>
          <w:szCs w:val="24"/>
          <w:u w:val="single"/>
        </w:rPr>
        <w:t>K</w:t>
      </w:r>
      <w:r w:rsidRPr="002F51DD">
        <w:rPr>
          <w:b w:val="0"/>
          <w:sz w:val="24"/>
          <w:szCs w:val="24"/>
          <w:u w:val="single"/>
        </w:rPr>
        <w:t>line</w:t>
      </w:r>
      <w:r>
        <w:rPr>
          <w:b w:val="0"/>
          <w:sz w:val="24"/>
          <w:szCs w:val="24"/>
          <w:u w:val="single"/>
        </w:rPr>
        <w:t>, LLC</w:t>
      </w:r>
      <w:r w:rsidRPr="002F51DD">
        <w:rPr>
          <w:b w:val="0"/>
          <w:sz w:val="24"/>
          <w:szCs w:val="24"/>
        </w:rPr>
        <w:t xml:space="preserve">, the U.S. Supreme Court declined to hear the appeal of widow of </w:t>
      </w:r>
      <w:proofErr w:type="gramStart"/>
      <w:r w:rsidRPr="002F51DD">
        <w:rPr>
          <w:b w:val="0"/>
          <w:sz w:val="24"/>
          <w:szCs w:val="24"/>
        </w:rPr>
        <w:t>57-year old</w:t>
      </w:r>
      <w:proofErr w:type="gramEnd"/>
      <w:r w:rsidRPr="002F51DD">
        <w:rPr>
          <w:b w:val="0"/>
          <w:sz w:val="24"/>
          <w:szCs w:val="24"/>
        </w:rPr>
        <w:t xml:space="preserve"> attorney who committed suicide after taking Paxil.  Thereby leaving in place the decision of the U.S. Court of Appeals for the 7</w:t>
      </w:r>
      <w:r w:rsidRPr="002F51DD">
        <w:rPr>
          <w:b w:val="0"/>
          <w:sz w:val="24"/>
          <w:szCs w:val="24"/>
          <w:vertAlign w:val="superscript"/>
        </w:rPr>
        <w:t>th</w:t>
      </w:r>
      <w:r w:rsidRPr="002F51DD">
        <w:rPr>
          <w:b w:val="0"/>
          <w:sz w:val="24"/>
          <w:szCs w:val="24"/>
        </w:rPr>
        <w:t xml:space="preserve"> Circuit, which had set aside $3 million jury verdict for widow.  </w:t>
      </w:r>
      <w:hyperlink r:id="rId339" w:history="1">
        <w:r w:rsidRPr="002F51DD">
          <w:rPr>
            <w:rStyle w:val="Hyperlink"/>
            <w:b w:val="0"/>
            <w:sz w:val="24"/>
            <w:szCs w:val="24"/>
          </w:rPr>
          <w:t>https://www.supremecourt.gov/orders/courtorders/052819zor_2dq3.pdf</w:t>
        </w:r>
      </w:hyperlink>
      <w:r w:rsidRPr="002F51DD">
        <w:rPr>
          <w:b w:val="0"/>
          <w:sz w:val="24"/>
          <w:szCs w:val="24"/>
        </w:rPr>
        <w:t xml:space="preserve"> </w:t>
      </w:r>
    </w:p>
    <w:p w14:paraId="2963218F" w14:textId="77777777" w:rsidR="00B22CD4" w:rsidRPr="008E1A98" w:rsidRDefault="00B22CD4" w:rsidP="00B22CD4">
      <w:pPr>
        <w:pStyle w:val="NoSpacing"/>
        <w:rPr>
          <w:rFonts w:ascii="Times New Roman" w:hAnsi="Times New Roman"/>
          <w:sz w:val="24"/>
          <w:szCs w:val="24"/>
        </w:rPr>
      </w:pPr>
      <w:r w:rsidRPr="008E1A98">
        <w:rPr>
          <w:rFonts w:ascii="Times New Roman" w:hAnsi="Times New Roman"/>
          <w:sz w:val="24"/>
          <w:szCs w:val="24"/>
        </w:rPr>
        <w:t>On Aug. 22, 2018, the 7</w:t>
      </w:r>
      <w:r w:rsidRPr="008E1A98">
        <w:rPr>
          <w:rFonts w:ascii="Times New Roman" w:hAnsi="Times New Roman"/>
          <w:sz w:val="24"/>
          <w:szCs w:val="24"/>
          <w:vertAlign w:val="superscript"/>
        </w:rPr>
        <w:t>th</w:t>
      </w:r>
      <w:r w:rsidRPr="008E1A98">
        <w:rPr>
          <w:rFonts w:ascii="Times New Roman" w:hAnsi="Times New Roman"/>
          <w:sz w:val="24"/>
          <w:szCs w:val="24"/>
        </w:rPr>
        <w:t xml:space="preserve"> Circuit held that Food and Drug Administration refused to allow the manufacturer </w:t>
      </w:r>
      <w:r>
        <w:rPr>
          <w:rFonts w:ascii="Times New Roman" w:hAnsi="Times New Roman"/>
          <w:sz w:val="24"/>
          <w:szCs w:val="24"/>
        </w:rPr>
        <w:t xml:space="preserve">to added to Paxil label a warning that the drug may lead to increase in suicide of not only patients under 24, but also in older adults.  The FDA wanted the same, </w:t>
      </w:r>
      <w:r w:rsidRPr="008E1A98">
        <w:rPr>
          <w:rFonts w:ascii="Times New Roman" w:hAnsi="Times New Roman"/>
          <w:sz w:val="24"/>
          <w:szCs w:val="24"/>
        </w:rPr>
        <w:t>uniform warning on all anti-depressant drugs</w:t>
      </w:r>
      <w:r>
        <w:rPr>
          <w:rFonts w:ascii="Times New Roman" w:hAnsi="Times New Roman"/>
          <w:sz w:val="24"/>
          <w:szCs w:val="24"/>
        </w:rPr>
        <w:t xml:space="preserve">.  </w:t>
      </w:r>
      <w:r w:rsidRPr="008E1A98">
        <w:rPr>
          <w:rFonts w:ascii="Times New Roman" w:hAnsi="Times New Roman"/>
          <w:sz w:val="24"/>
          <w:szCs w:val="24"/>
        </w:rPr>
        <w:t xml:space="preserve"> </w:t>
      </w:r>
      <w:hyperlink r:id="rId340" w:history="1">
        <w:r w:rsidRPr="008E1A98">
          <w:rPr>
            <w:rStyle w:val="Hyperlink"/>
            <w:rFonts w:ascii="Times New Roman" w:hAnsi="Times New Roman"/>
            <w:sz w:val="24"/>
            <w:szCs w:val="24"/>
          </w:rPr>
          <w:t>https://law.justia.com/cases/federal/appellate-courts/ca7/17-3030/17-3030-2018-08-22.html</w:t>
        </w:r>
      </w:hyperlink>
      <w:r w:rsidRPr="008E1A98">
        <w:rPr>
          <w:rFonts w:ascii="Times New Roman" w:hAnsi="Times New Roman"/>
          <w:sz w:val="24"/>
          <w:szCs w:val="24"/>
        </w:rPr>
        <w:t xml:space="preserve"> </w:t>
      </w:r>
    </w:p>
    <w:p w14:paraId="5B0B34E7" w14:textId="77777777" w:rsidR="00B22CD4" w:rsidRPr="008E1A98" w:rsidRDefault="00B22CD4" w:rsidP="00B22CD4">
      <w:pPr>
        <w:pStyle w:val="NoSpacing"/>
        <w:rPr>
          <w:rFonts w:ascii="Times New Roman" w:hAnsi="Times New Roman"/>
          <w:sz w:val="24"/>
          <w:szCs w:val="24"/>
        </w:rPr>
      </w:pPr>
    </w:p>
    <w:p w14:paraId="57F96678" w14:textId="77777777" w:rsidR="00B22CD4" w:rsidRPr="008E1A98" w:rsidRDefault="00B22CD4" w:rsidP="00B22CD4">
      <w:pPr>
        <w:pStyle w:val="NoSpacing"/>
        <w:ind w:left="720"/>
        <w:rPr>
          <w:rFonts w:ascii="Times New Roman" w:hAnsi="Times New Roman"/>
          <w:sz w:val="24"/>
          <w:szCs w:val="24"/>
        </w:rPr>
      </w:pPr>
      <w:r w:rsidRPr="008E1A98">
        <w:rPr>
          <w:rFonts w:ascii="Times New Roman" w:hAnsi="Times New Roman"/>
          <w:sz w:val="24"/>
          <w:szCs w:val="24"/>
        </w:rPr>
        <w:t xml:space="preserve">“GSK asked the FDA for permission to modify the paroxetine label as plaintiff argues was needed. The FDA said no, repeatedly. Federal law thus preempted plaintiff’s Illinois‐law claim that GSK should have warned of a risk of adult suicidality on the paroxetine label in 2010. GSK added a similar warning in 2006, and the FDA ordered that GSK remove that label and replace it with a class‐wide SSRI warning in 2007.” </w:t>
      </w:r>
    </w:p>
    <w:bookmarkEnd w:id="60"/>
    <w:p w14:paraId="035FC5ED" w14:textId="77777777" w:rsidR="00B22CD4" w:rsidRDefault="00B22CD4" w:rsidP="00F326E5">
      <w:pPr>
        <w:pStyle w:val="NoSpacing"/>
        <w:rPr>
          <w:rFonts w:ascii="Times New Roman" w:hAnsi="Times New Roman"/>
          <w:sz w:val="24"/>
          <w:szCs w:val="24"/>
        </w:rPr>
      </w:pPr>
    </w:p>
    <w:p w14:paraId="5EE36E18" w14:textId="77777777" w:rsidR="00B22CD4" w:rsidRDefault="00B22CD4" w:rsidP="00B22CD4">
      <w:pPr>
        <w:pStyle w:val="NoSpacing"/>
        <w:rPr>
          <w:rFonts w:ascii="Times New Roman" w:hAnsi="Times New Roman"/>
          <w:b/>
          <w:sz w:val="24"/>
          <w:szCs w:val="24"/>
        </w:rPr>
      </w:pPr>
      <w:bookmarkStart w:id="61" w:name="_Hlk10126496"/>
      <w:r w:rsidRPr="00F26738">
        <w:rPr>
          <w:rFonts w:ascii="Times New Roman" w:hAnsi="Times New Roman"/>
          <w:b/>
          <w:sz w:val="24"/>
          <w:szCs w:val="24"/>
        </w:rPr>
        <w:t>Legal Lessons Learned:</w:t>
      </w:r>
      <w:r>
        <w:rPr>
          <w:rFonts w:ascii="Times New Roman" w:hAnsi="Times New Roman"/>
          <w:b/>
          <w:sz w:val="24"/>
          <w:szCs w:val="24"/>
        </w:rPr>
        <w:t xml:space="preserve">  FDs should have a drug-free workplace policy that requires disclosure of anti-depressant medication that could affect performance of their duties. </w:t>
      </w:r>
    </w:p>
    <w:p w14:paraId="560388DA" w14:textId="77777777" w:rsidR="00B22CD4" w:rsidRDefault="00B22CD4" w:rsidP="00B22CD4">
      <w:pPr>
        <w:pStyle w:val="NoSpacing"/>
        <w:rPr>
          <w:rFonts w:ascii="Times New Roman" w:hAnsi="Times New Roman"/>
          <w:b/>
          <w:sz w:val="24"/>
          <w:szCs w:val="24"/>
        </w:rPr>
      </w:pPr>
    </w:p>
    <w:p w14:paraId="60A5EFE1" w14:textId="77777777" w:rsidR="00B22CD4" w:rsidRPr="0082157F" w:rsidRDefault="00B22CD4" w:rsidP="00B22CD4">
      <w:pPr>
        <w:pStyle w:val="NoSpacing"/>
        <w:ind w:firstLine="720"/>
        <w:rPr>
          <w:rFonts w:ascii="Times New Roman" w:hAnsi="Times New Roman"/>
          <w:sz w:val="24"/>
          <w:szCs w:val="24"/>
        </w:rPr>
      </w:pPr>
      <w:r w:rsidRPr="0082157F">
        <w:rPr>
          <w:rFonts w:ascii="Times New Roman" w:hAnsi="Times New Roman"/>
          <w:sz w:val="24"/>
          <w:szCs w:val="24"/>
        </w:rPr>
        <w:t>See IAFC Position: Drug and Alcohol-Free Awareness, including:</w:t>
      </w:r>
    </w:p>
    <w:p w14:paraId="58F07F07" w14:textId="77777777" w:rsidR="00B22CD4" w:rsidRPr="0082157F" w:rsidRDefault="00B22CD4" w:rsidP="00B22CD4">
      <w:pPr>
        <w:pStyle w:val="NoSpacing"/>
        <w:rPr>
          <w:rFonts w:ascii="Times New Roman" w:hAnsi="Times New Roman"/>
          <w:b/>
          <w:sz w:val="24"/>
          <w:szCs w:val="24"/>
        </w:rPr>
      </w:pPr>
    </w:p>
    <w:p w14:paraId="1D4605CA" w14:textId="77777777" w:rsidR="00B22CD4" w:rsidRDefault="00B22CD4" w:rsidP="00B22CD4">
      <w:pPr>
        <w:pStyle w:val="NoSpacing"/>
        <w:ind w:left="720"/>
        <w:rPr>
          <w:rFonts w:ascii="Times New Roman" w:hAnsi="Times New Roman"/>
          <w:sz w:val="24"/>
          <w:szCs w:val="24"/>
        </w:rPr>
      </w:pPr>
      <w:r>
        <w:rPr>
          <w:rFonts w:ascii="Times New Roman" w:hAnsi="Times New Roman"/>
          <w:sz w:val="24"/>
          <w:szCs w:val="24"/>
        </w:rPr>
        <w:t>“</w:t>
      </w:r>
      <w:r w:rsidRPr="0082157F">
        <w:rPr>
          <w:rFonts w:ascii="Times New Roman" w:hAnsi="Times New Roman"/>
          <w:sz w:val="24"/>
          <w:szCs w:val="24"/>
        </w:rPr>
        <w:t xml:space="preserve">Any personnel using </w:t>
      </w:r>
      <w:proofErr w:type="gramStart"/>
      <w:r w:rsidRPr="0082157F">
        <w:rPr>
          <w:rFonts w:ascii="Times New Roman" w:hAnsi="Times New Roman"/>
          <w:sz w:val="24"/>
          <w:szCs w:val="24"/>
        </w:rPr>
        <w:t>over-the-counter</w:t>
      </w:r>
      <w:proofErr w:type="gramEnd"/>
      <w:r w:rsidRPr="0082157F">
        <w:rPr>
          <w:rFonts w:ascii="Times New Roman" w:hAnsi="Times New Roman"/>
          <w:sz w:val="24"/>
          <w:szCs w:val="24"/>
        </w:rPr>
        <w:t xml:space="preserve"> or prescription medications where potential side effects that may reasonably affect the performance of their duties have been identified by a healthcare provider or manufacturer’s packaging should report their use to their supervisor when they are functioning in a capacity responsible for emergency and non-emergency operations. Upon notification, supervisors should, in the case of prescription medications, direct personnel to obtain appropriate documentation from the prescribing healthcare provider attesting to the medication’s safety while performing the essential duties of the fire service position. In the case of over-the-counter medications, supervisors should contact the fire department physician or other health care provider to consult on the potential side effects. Personnel should refrain from engaging in such activities until the appropriate release is </w:t>
      </w:r>
      <w:proofErr w:type="gramStart"/>
      <w:r w:rsidRPr="0082157F">
        <w:rPr>
          <w:rFonts w:ascii="Times New Roman" w:hAnsi="Times New Roman"/>
          <w:sz w:val="24"/>
          <w:szCs w:val="24"/>
        </w:rPr>
        <w:t>obtained.</w:t>
      </w:r>
      <w:r>
        <w:rPr>
          <w:rFonts w:ascii="Times New Roman" w:hAnsi="Times New Roman"/>
          <w:sz w:val="24"/>
          <w:szCs w:val="24"/>
        </w:rPr>
        <w:t>”</w:t>
      </w:r>
      <w:proofErr w:type="gramEnd"/>
    </w:p>
    <w:p w14:paraId="2258CC7C" w14:textId="77777777" w:rsidR="00B22CD4" w:rsidRPr="0082157F" w:rsidRDefault="00B22CD4" w:rsidP="00B22CD4">
      <w:pPr>
        <w:pStyle w:val="NoSpacing"/>
        <w:ind w:left="720"/>
        <w:rPr>
          <w:rFonts w:ascii="Times New Roman" w:hAnsi="Times New Roman"/>
          <w:b/>
          <w:sz w:val="24"/>
          <w:szCs w:val="24"/>
        </w:rPr>
      </w:pPr>
      <w:hyperlink r:id="rId341" w:history="1">
        <w:r w:rsidRPr="0082157F">
          <w:rPr>
            <w:rStyle w:val="Hyperlink"/>
            <w:rFonts w:ascii="Times New Roman" w:hAnsi="Times New Roman"/>
            <w:sz w:val="24"/>
            <w:szCs w:val="24"/>
          </w:rPr>
          <w:t>https://www.iafc.org/topics-and-tools/resources/resource/iafc-position-drug-and-alcohol-free-awareness</w:t>
        </w:r>
      </w:hyperlink>
      <w:r w:rsidRPr="0082157F">
        <w:rPr>
          <w:rFonts w:ascii="Times New Roman" w:hAnsi="Times New Roman"/>
          <w:sz w:val="24"/>
          <w:szCs w:val="24"/>
        </w:rPr>
        <w:t xml:space="preserve"> </w:t>
      </w:r>
      <w:bookmarkEnd w:id="61"/>
    </w:p>
    <w:p w14:paraId="76DB7EF2" w14:textId="77777777" w:rsidR="00B22CD4" w:rsidRDefault="00B22CD4" w:rsidP="00F326E5">
      <w:pPr>
        <w:pStyle w:val="NoSpacing"/>
        <w:rPr>
          <w:rFonts w:ascii="Times New Roman" w:hAnsi="Times New Roman"/>
          <w:sz w:val="24"/>
          <w:szCs w:val="24"/>
        </w:rPr>
      </w:pPr>
    </w:p>
    <w:p w14:paraId="2B489FC9" w14:textId="1C85579B" w:rsidR="00B22CD4" w:rsidRDefault="00B22CD4" w:rsidP="00F326E5">
      <w:pPr>
        <w:pStyle w:val="NoSpacing"/>
        <w:rPr>
          <w:rFonts w:ascii="Times New Roman" w:hAnsi="Times New Roman"/>
          <w:sz w:val="24"/>
          <w:szCs w:val="24"/>
        </w:rPr>
      </w:pPr>
    </w:p>
    <w:p w14:paraId="49F22C3D" w14:textId="6A980B75" w:rsidR="00F4486C" w:rsidRDefault="00F4486C" w:rsidP="00F326E5">
      <w:pPr>
        <w:pStyle w:val="NoSpacing"/>
        <w:rPr>
          <w:rFonts w:ascii="Times New Roman" w:hAnsi="Times New Roman"/>
          <w:sz w:val="24"/>
          <w:szCs w:val="24"/>
        </w:rPr>
      </w:pPr>
    </w:p>
    <w:p w14:paraId="65FC6589" w14:textId="77777777" w:rsidR="00F4486C" w:rsidRDefault="00F4486C" w:rsidP="00F326E5">
      <w:pPr>
        <w:pStyle w:val="NoSpacing"/>
        <w:rPr>
          <w:rFonts w:ascii="Times New Roman" w:hAnsi="Times New Roman"/>
          <w:sz w:val="24"/>
          <w:szCs w:val="24"/>
        </w:rPr>
      </w:pPr>
    </w:p>
    <w:p w14:paraId="2575213C" w14:textId="58EC5B0D" w:rsidR="00791CA3" w:rsidRPr="00791CA3" w:rsidRDefault="00791CA3" w:rsidP="00791CA3">
      <w:pPr>
        <w:rPr>
          <w:rFonts w:ascii="Arial Black" w:hAnsi="Arial Black"/>
          <w:b/>
          <w:sz w:val="24"/>
          <w:szCs w:val="24"/>
        </w:rPr>
      </w:pPr>
      <w:r w:rsidRPr="00791CA3">
        <w:rPr>
          <w:rFonts w:ascii="Arial Black" w:hAnsi="Arial Black"/>
          <w:b/>
          <w:sz w:val="24"/>
          <w:szCs w:val="24"/>
        </w:rPr>
        <w:t>1-</w:t>
      </w:r>
      <w:r>
        <w:rPr>
          <w:rFonts w:ascii="Arial Black" w:hAnsi="Arial Black"/>
          <w:b/>
          <w:sz w:val="24"/>
          <w:szCs w:val="24"/>
        </w:rPr>
        <w:t>2</w:t>
      </w:r>
      <w:r w:rsidR="00637A12">
        <w:rPr>
          <w:rFonts w:ascii="Arial Black" w:hAnsi="Arial Black"/>
          <w:b/>
          <w:sz w:val="24"/>
          <w:szCs w:val="24"/>
        </w:rPr>
        <w:t>7</w:t>
      </w:r>
    </w:p>
    <w:p w14:paraId="071AA3F8" w14:textId="77777777" w:rsidR="00B22CD4" w:rsidRDefault="00B22CD4" w:rsidP="00F326E5">
      <w:pPr>
        <w:pStyle w:val="NoSpacing"/>
        <w:rPr>
          <w:rFonts w:ascii="Times New Roman" w:hAnsi="Times New Roman"/>
          <w:sz w:val="24"/>
          <w:szCs w:val="24"/>
        </w:rPr>
      </w:pPr>
    </w:p>
    <w:p w14:paraId="413B3DE8" w14:textId="588EF400" w:rsidR="00F326E5" w:rsidRDefault="00F326E5" w:rsidP="00F326E5">
      <w:pPr>
        <w:pStyle w:val="NoSpacing"/>
        <w:rPr>
          <w:rFonts w:ascii="Arial Black" w:hAnsi="Arial Black"/>
          <w:sz w:val="28"/>
          <w:szCs w:val="28"/>
        </w:rPr>
      </w:pPr>
      <w:r w:rsidRPr="00CE4550">
        <w:rPr>
          <w:rFonts w:ascii="Arial Black" w:hAnsi="Arial Black"/>
          <w:sz w:val="28"/>
          <w:szCs w:val="28"/>
        </w:rPr>
        <w:t xml:space="preserve">IL: </w:t>
      </w:r>
      <w:r>
        <w:rPr>
          <w:rFonts w:ascii="Arial Black" w:hAnsi="Arial Black"/>
          <w:sz w:val="28"/>
          <w:szCs w:val="28"/>
        </w:rPr>
        <w:t>BILLING FOR FD SERVICES – ORDINANCE LAWFUL TO BILL NON-RESIDENTS</w:t>
      </w:r>
    </w:p>
    <w:p w14:paraId="0B0A7BEE" w14:textId="77777777" w:rsidR="006C7F17" w:rsidRDefault="00F326E5" w:rsidP="00F326E5">
      <w:pPr>
        <w:pStyle w:val="NoSpacing"/>
        <w:rPr>
          <w:rFonts w:ascii="Times New Roman" w:hAnsi="Times New Roman"/>
          <w:sz w:val="24"/>
          <w:szCs w:val="24"/>
        </w:rPr>
      </w:pPr>
      <w:r w:rsidRPr="00015208">
        <w:rPr>
          <w:rFonts w:ascii="Times New Roman" w:hAnsi="Times New Roman"/>
          <w:sz w:val="24"/>
          <w:szCs w:val="24"/>
        </w:rPr>
        <w:t xml:space="preserve">On March 28, 2019, in </w:t>
      </w:r>
      <w:r w:rsidRPr="00015208">
        <w:rPr>
          <w:rFonts w:ascii="Times New Roman" w:hAnsi="Times New Roman"/>
          <w:sz w:val="24"/>
          <w:szCs w:val="24"/>
          <w:u w:val="single"/>
        </w:rPr>
        <w:t>The City of Effingham, Illinois v. Diss Truck &amp; Repair, LLC</w:t>
      </w:r>
      <w:r w:rsidRPr="00015208">
        <w:rPr>
          <w:rFonts w:ascii="Times New Roman" w:hAnsi="Times New Roman"/>
          <w:sz w:val="24"/>
          <w:szCs w:val="24"/>
        </w:rPr>
        <w:t xml:space="preserve">, the Appellate Court of Illinois - Fifth District, held (3 to 0), that the Fire Department may bill for these services for a non-resident. </w:t>
      </w:r>
    </w:p>
    <w:p w14:paraId="54BA1A75" w14:textId="77777777" w:rsidR="006C7F17" w:rsidRDefault="006C7F17" w:rsidP="00F326E5">
      <w:pPr>
        <w:pStyle w:val="NoSpacing"/>
        <w:rPr>
          <w:rFonts w:ascii="Times New Roman" w:hAnsi="Times New Roman"/>
          <w:sz w:val="24"/>
          <w:szCs w:val="24"/>
        </w:rPr>
      </w:pPr>
    </w:p>
    <w:p w14:paraId="18C2C433" w14:textId="2C41006D" w:rsidR="00F326E5" w:rsidRPr="00015208" w:rsidRDefault="00F326E5" w:rsidP="006C7F17">
      <w:pPr>
        <w:pStyle w:val="NoSpacing"/>
        <w:ind w:left="720"/>
        <w:rPr>
          <w:rFonts w:ascii="Times New Roman" w:hAnsi="Times New Roman"/>
          <w:b/>
          <w:sz w:val="24"/>
          <w:szCs w:val="24"/>
        </w:rPr>
      </w:pPr>
      <w:r w:rsidRPr="00015208">
        <w:rPr>
          <w:rFonts w:ascii="Times New Roman" w:hAnsi="Times New Roman"/>
          <w:sz w:val="24"/>
          <w:szCs w:val="24"/>
        </w:rPr>
        <w:t xml:space="preserve">“After reviewing the legislative history, both before and after the enactment of the statute, we conclude that the legislature’s intent in allowing a municipality to seek reimbursement for firefighting services provided to nonresidents was to eliminate the taxpayer’s burden for such services; the intent was to allocate the cost of the services to nonresidents so that the citizens of the municipality were not forced to bear the cost of services performed on behalf of those not paying taxes to the municipality.” </w:t>
      </w:r>
      <w:hyperlink r:id="rId342" w:history="1">
        <w:r w:rsidRPr="00015208">
          <w:rPr>
            <w:rStyle w:val="Hyperlink"/>
            <w:rFonts w:ascii="Times New Roman" w:hAnsi="Times New Roman"/>
            <w:sz w:val="24"/>
            <w:szCs w:val="24"/>
          </w:rPr>
          <w:t>https://cases.justia.com/illinois/court-of-appeals-fifth-appellate-district/2019-5-18-0064.pdf?ts=1553818548</w:t>
        </w:r>
      </w:hyperlink>
      <w:r w:rsidRPr="00015208">
        <w:rPr>
          <w:rFonts w:ascii="Times New Roman" w:hAnsi="Times New Roman"/>
          <w:b/>
          <w:sz w:val="24"/>
          <w:szCs w:val="24"/>
        </w:rPr>
        <w:t xml:space="preserve"> </w:t>
      </w:r>
    </w:p>
    <w:p w14:paraId="4895AA6D" w14:textId="77777777" w:rsidR="006C7F17" w:rsidRDefault="006C7F17" w:rsidP="00F326E5">
      <w:pPr>
        <w:pStyle w:val="NoSpacing"/>
        <w:rPr>
          <w:rFonts w:ascii="Times New Roman" w:hAnsi="Times New Roman"/>
          <w:b/>
          <w:sz w:val="24"/>
          <w:szCs w:val="24"/>
        </w:rPr>
      </w:pPr>
      <w:bookmarkStart w:id="62" w:name="_Hlk6656862"/>
    </w:p>
    <w:p w14:paraId="02EDA6FB" w14:textId="0295D193" w:rsidR="00F326E5" w:rsidRPr="00015208" w:rsidRDefault="00F326E5" w:rsidP="00F326E5">
      <w:pPr>
        <w:pStyle w:val="NoSpacing"/>
        <w:rPr>
          <w:rFonts w:ascii="Times New Roman" w:hAnsi="Times New Roman"/>
          <w:b/>
          <w:sz w:val="24"/>
          <w:szCs w:val="24"/>
        </w:rPr>
      </w:pPr>
      <w:r w:rsidRPr="00015208">
        <w:rPr>
          <w:rFonts w:ascii="Times New Roman" w:hAnsi="Times New Roman"/>
          <w:b/>
          <w:sz w:val="24"/>
          <w:szCs w:val="24"/>
        </w:rPr>
        <w:t xml:space="preserve">Legal Lessons Learned:  Soft billing of residents deemed lawful. </w:t>
      </w:r>
    </w:p>
    <w:bookmarkEnd w:id="62"/>
    <w:p w14:paraId="37411F91" w14:textId="77777777" w:rsidR="00D07E6E" w:rsidRPr="00015208" w:rsidRDefault="00D07E6E" w:rsidP="00F326E5">
      <w:pPr>
        <w:pStyle w:val="NoSpacing"/>
        <w:rPr>
          <w:rFonts w:ascii="Times New Roman" w:hAnsi="Times New Roman"/>
          <w:bCs/>
          <w:sz w:val="24"/>
          <w:szCs w:val="24"/>
        </w:rPr>
      </w:pPr>
    </w:p>
    <w:p w14:paraId="4650D12A" w14:textId="3D7B7B5F" w:rsidR="00791CA3" w:rsidRDefault="00791CA3" w:rsidP="00791CA3">
      <w:pPr>
        <w:rPr>
          <w:rFonts w:ascii="Arial Black" w:hAnsi="Arial Black"/>
          <w:b/>
          <w:sz w:val="24"/>
          <w:szCs w:val="24"/>
        </w:rPr>
      </w:pPr>
    </w:p>
    <w:p w14:paraId="4538AD60" w14:textId="77777777" w:rsidR="006C7F17" w:rsidRDefault="006C7F17" w:rsidP="00791CA3">
      <w:pPr>
        <w:rPr>
          <w:rFonts w:ascii="Arial Black" w:hAnsi="Arial Black"/>
          <w:b/>
          <w:sz w:val="24"/>
          <w:szCs w:val="24"/>
        </w:rPr>
      </w:pPr>
    </w:p>
    <w:p w14:paraId="1333F74C" w14:textId="151B39C1" w:rsidR="00791CA3" w:rsidRPr="00791CA3" w:rsidRDefault="00791CA3" w:rsidP="00791CA3">
      <w:pPr>
        <w:rPr>
          <w:rFonts w:ascii="Arial Black" w:hAnsi="Arial Black"/>
          <w:b/>
          <w:sz w:val="24"/>
          <w:szCs w:val="24"/>
        </w:rPr>
      </w:pPr>
      <w:r w:rsidRPr="00791CA3">
        <w:rPr>
          <w:rFonts w:ascii="Arial Black" w:hAnsi="Arial Black"/>
          <w:b/>
          <w:sz w:val="24"/>
          <w:szCs w:val="24"/>
        </w:rPr>
        <w:t>1-</w:t>
      </w:r>
      <w:r>
        <w:rPr>
          <w:rFonts w:ascii="Arial Black" w:hAnsi="Arial Black"/>
          <w:b/>
          <w:sz w:val="24"/>
          <w:szCs w:val="24"/>
        </w:rPr>
        <w:t>2</w:t>
      </w:r>
      <w:r w:rsidR="00637A12">
        <w:rPr>
          <w:rFonts w:ascii="Arial Black" w:hAnsi="Arial Black"/>
          <w:b/>
          <w:sz w:val="24"/>
          <w:szCs w:val="24"/>
        </w:rPr>
        <w:t>6</w:t>
      </w:r>
    </w:p>
    <w:p w14:paraId="69863D94" w14:textId="7F3377FE" w:rsidR="00B22CD4" w:rsidRDefault="00B22CD4" w:rsidP="00B22CD4">
      <w:pPr>
        <w:pStyle w:val="NoSpacing"/>
        <w:rPr>
          <w:rFonts w:ascii="Arial Black" w:hAnsi="Arial Black"/>
          <w:sz w:val="28"/>
          <w:szCs w:val="28"/>
        </w:rPr>
      </w:pPr>
      <w:proofErr w:type="spellStart"/>
      <w:r>
        <w:rPr>
          <w:rFonts w:ascii="Arial Black" w:hAnsi="Arial Black"/>
          <w:sz w:val="28"/>
          <w:szCs w:val="28"/>
        </w:rPr>
        <w:t>lA</w:t>
      </w:r>
      <w:proofErr w:type="spellEnd"/>
      <w:r>
        <w:rPr>
          <w:rFonts w:ascii="Arial Black" w:hAnsi="Arial Black"/>
          <w:sz w:val="28"/>
          <w:szCs w:val="28"/>
        </w:rPr>
        <w:t xml:space="preserve">:  STATE SUP. CT. UPHOLDS STATUTE - NO PAYROLL DEDUCT. OF UNION DUES – LIMITED COLLECTIVE BARG. LESS 30% PUB SAFETY </w:t>
      </w:r>
    </w:p>
    <w:p w14:paraId="24BDA04F" w14:textId="77777777" w:rsidR="00B22CD4" w:rsidRPr="00AD3B98" w:rsidRDefault="00B22CD4" w:rsidP="00B22CD4">
      <w:pPr>
        <w:pStyle w:val="NoSpacing"/>
        <w:rPr>
          <w:rFonts w:ascii="Times New Roman" w:hAnsi="Times New Roman"/>
          <w:sz w:val="24"/>
          <w:szCs w:val="24"/>
        </w:rPr>
      </w:pPr>
      <w:r w:rsidRPr="00AD3B98">
        <w:rPr>
          <w:rFonts w:ascii="Times New Roman" w:hAnsi="Times New Roman"/>
          <w:sz w:val="24"/>
          <w:szCs w:val="24"/>
        </w:rPr>
        <w:t xml:space="preserve">On May 17, 2019, in </w:t>
      </w:r>
      <w:r w:rsidRPr="00AD3B98">
        <w:rPr>
          <w:rFonts w:ascii="Times New Roman" w:hAnsi="Times New Roman"/>
          <w:sz w:val="24"/>
          <w:szCs w:val="24"/>
          <w:u w:val="single"/>
        </w:rPr>
        <w:t xml:space="preserve">AFSCME Iowa Council 61, et al. v. State of Iowa and Iowa </w:t>
      </w:r>
      <w:proofErr w:type="gramStart"/>
      <w:r w:rsidRPr="00AD3B98">
        <w:rPr>
          <w:rFonts w:ascii="Times New Roman" w:hAnsi="Times New Roman"/>
          <w:sz w:val="24"/>
          <w:szCs w:val="24"/>
          <w:u w:val="single"/>
        </w:rPr>
        <w:t>Public Employment</w:t>
      </w:r>
      <w:proofErr w:type="gramEnd"/>
      <w:r w:rsidRPr="00AD3B98">
        <w:rPr>
          <w:rFonts w:ascii="Times New Roman" w:hAnsi="Times New Roman"/>
          <w:sz w:val="24"/>
          <w:szCs w:val="24"/>
          <w:u w:val="single"/>
        </w:rPr>
        <w:t xml:space="preserve"> Relations Board</w:t>
      </w:r>
      <w:r w:rsidRPr="00AD3B98">
        <w:rPr>
          <w:rFonts w:ascii="Times New Roman" w:hAnsi="Times New Roman"/>
          <w:sz w:val="24"/>
          <w:szCs w:val="24"/>
        </w:rPr>
        <w:t>, the Iowa Supreme Court held (4 to 3)</w:t>
      </w:r>
      <w:r>
        <w:rPr>
          <w:rFonts w:ascii="Times New Roman" w:hAnsi="Times New Roman"/>
          <w:sz w:val="24"/>
          <w:szCs w:val="24"/>
        </w:rPr>
        <w:t xml:space="preserve"> </w:t>
      </w:r>
      <w:r w:rsidRPr="00AD3B98">
        <w:rPr>
          <w:rFonts w:ascii="Times New Roman" w:hAnsi="Times New Roman"/>
          <w:sz w:val="24"/>
          <w:szCs w:val="24"/>
        </w:rPr>
        <w:t>that the 2017 statute was constitutional.</w:t>
      </w:r>
    </w:p>
    <w:p w14:paraId="19BBAA2D" w14:textId="77777777" w:rsidR="00B22CD4" w:rsidRPr="00AD3B98" w:rsidRDefault="00B22CD4" w:rsidP="00B22CD4">
      <w:pPr>
        <w:pStyle w:val="NoSpacing"/>
        <w:rPr>
          <w:rFonts w:ascii="Times New Roman" w:hAnsi="Times New Roman"/>
        </w:rPr>
      </w:pPr>
    </w:p>
    <w:p w14:paraId="4F7C5205" w14:textId="77777777" w:rsidR="00B22CD4" w:rsidRPr="006C2CBF" w:rsidRDefault="00B22CD4" w:rsidP="00B22CD4">
      <w:pPr>
        <w:pStyle w:val="NoSpacing"/>
        <w:ind w:left="720"/>
        <w:rPr>
          <w:rFonts w:ascii="Times New Roman" w:hAnsi="Times New Roman"/>
          <w:b/>
          <w:sz w:val="24"/>
          <w:szCs w:val="24"/>
        </w:rPr>
      </w:pPr>
      <w:r w:rsidRPr="006C2CBF">
        <w:rPr>
          <w:rFonts w:ascii="Times New Roman" w:hAnsi="Times New Roman"/>
          <w:sz w:val="24"/>
          <w:szCs w:val="24"/>
        </w:rPr>
        <w:t>“Our role is to decide whether constitutional lines were crossed, not to sit as a super</w:t>
      </w:r>
      <w:r>
        <w:rPr>
          <w:rFonts w:ascii="Times New Roman" w:hAnsi="Times New Roman"/>
          <w:sz w:val="24"/>
          <w:szCs w:val="24"/>
        </w:rPr>
        <w:t xml:space="preserve"> </w:t>
      </w:r>
      <w:r w:rsidRPr="006C2CBF">
        <w:rPr>
          <w:rFonts w:ascii="Times New Roman" w:hAnsi="Times New Roman"/>
          <w:sz w:val="24"/>
          <w:szCs w:val="24"/>
        </w:rPr>
        <w:t>legislature rethinking policy choices of the elected branches. We conclude the 2017 amendments withstand the constitutional challenges. The plaintiffs concede there is no constitutional right to public-sector collective bargaining or payroll deductions. The parties agree the equal protection claims are reviewed under the rational basis test. The legislature could reasonably conclude that the goal of keeping labor peace with unions comprised of at least thirty percent public safety employees, and the greater risks faced by emergency first responders, justified the classification. We hold the legislative classifications are not so overinclusive or underinclusive as to be unconstitutional under our highly deferential standard of review. We further hold the amendments do not violate constitutional rights of freedom of association. Public employees remain free to belong to the same unions. Accordingly, we affirm the district court's summary judgment.</w:t>
      </w:r>
      <w:r>
        <w:rPr>
          <w:rFonts w:ascii="Times New Roman" w:hAnsi="Times New Roman"/>
          <w:sz w:val="24"/>
          <w:szCs w:val="24"/>
        </w:rPr>
        <w:t>”</w:t>
      </w:r>
    </w:p>
    <w:p w14:paraId="6F636334" w14:textId="77777777" w:rsidR="00B22CD4" w:rsidRDefault="00B22CD4" w:rsidP="00B22CD4">
      <w:pPr>
        <w:pStyle w:val="NoSpacing"/>
        <w:rPr>
          <w:rFonts w:ascii="Times New Roman" w:hAnsi="Times New Roman"/>
          <w:sz w:val="24"/>
          <w:szCs w:val="24"/>
        </w:rPr>
      </w:pPr>
      <w:r>
        <w:rPr>
          <w:rFonts w:ascii="Times New Roman" w:hAnsi="Times New Roman"/>
          <w:sz w:val="24"/>
          <w:szCs w:val="24"/>
        </w:rPr>
        <w:tab/>
      </w:r>
      <w:hyperlink r:id="rId343" w:history="1">
        <w:r w:rsidRPr="001602A2">
          <w:rPr>
            <w:rStyle w:val="Hyperlink"/>
            <w:rFonts w:ascii="Times New Roman" w:hAnsi="Times New Roman"/>
            <w:sz w:val="24"/>
            <w:szCs w:val="24"/>
          </w:rPr>
          <w:t>https://www.leagle.com/decision/iniaco20190517282</w:t>
        </w:r>
      </w:hyperlink>
      <w:r>
        <w:rPr>
          <w:rFonts w:ascii="Times New Roman" w:hAnsi="Times New Roman"/>
          <w:sz w:val="24"/>
          <w:szCs w:val="24"/>
        </w:rPr>
        <w:t xml:space="preserve"> </w:t>
      </w:r>
    </w:p>
    <w:p w14:paraId="1862C2B6" w14:textId="334E9A67" w:rsidR="00B22CD4" w:rsidRDefault="00B22CD4" w:rsidP="00ED63B1">
      <w:pPr>
        <w:pStyle w:val="NoSpacing"/>
        <w:rPr>
          <w:sz w:val="24"/>
          <w:szCs w:val="24"/>
        </w:rPr>
      </w:pPr>
    </w:p>
    <w:p w14:paraId="114BC2BA" w14:textId="1B89CA5E" w:rsidR="00B22CD4" w:rsidRDefault="00B22CD4" w:rsidP="00B22CD4">
      <w:pPr>
        <w:pStyle w:val="NoSpacing"/>
        <w:rPr>
          <w:rFonts w:ascii="Times New Roman" w:hAnsi="Times New Roman"/>
          <w:b/>
          <w:sz w:val="24"/>
          <w:szCs w:val="24"/>
        </w:rPr>
      </w:pPr>
      <w:bookmarkStart w:id="63" w:name="_Hlk10126588"/>
      <w:r w:rsidRPr="00A14F0A">
        <w:rPr>
          <w:rFonts w:ascii="Times New Roman" w:hAnsi="Times New Roman"/>
          <w:b/>
          <w:sz w:val="24"/>
          <w:szCs w:val="24"/>
        </w:rPr>
        <w:t xml:space="preserve">Legal Lessons Learned: </w:t>
      </w:r>
      <w:r>
        <w:rPr>
          <w:rFonts w:ascii="Times New Roman" w:hAnsi="Times New Roman"/>
          <w:b/>
          <w:sz w:val="24"/>
          <w:szCs w:val="24"/>
        </w:rPr>
        <w:t xml:space="preserve">Collective bargaining for fire &amp; police has been addressed by many state legislatures.  </w:t>
      </w:r>
      <w:r w:rsidRPr="00A265CA">
        <w:rPr>
          <w:rFonts w:ascii="Times New Roman" w:hAnsi="Times New Roman"/>
          <w:b/>
          <w:sz w:val="24"/>
          <w:szCs w:val="24"/>
        </w:rPr>
        <w:t xml:space="preserve">The U.S. Supreme Court’s </w:t>
      </w:r>
      <w:r w:rsidRPr="00A265CA">
        <w:rPr>
          <w:rFonts w:ascii="Times New Roman" w:hAnsi="Times New Roman"/>
          <w:b/>
          <w:sz w:val="24"/>
          <w:szCs w:val="24"/>
          <w:u w:val="single"/>
        </w:rPr>
        <w:t>Janis</w:t>
      </w:r>
      <w:r w:rsidRPr="00A265CA">
        <w:rPr>
          <w:rFonts w:ascii="Times New Roman" w:hAnsi="Times New Roman"/>
          <w:b/>
          <w:sz w:val="24"/>
          <w:szCs w:val="24"/>
        </w:rPr>
        <w:t xml:space="preserve"> decision on June 27, 2018,</w:t>
      </w:r>
      <w:r>
        <w:rPr>
          <w:rFonts w:ascii="Times New Roman" w:hAnsi="Times New Roman"/>
          <w:b/>
          <w:sz w:val="24"/>
          <w:szCs w:val="24"/>
        </w:rPr>
        <w:t xml:space="preserve">  “</w:t>
      </w:r>
      <w:r w:rsidRPr="00A265CA">
        <w:rPr>
          <w:rFonts w:ascii="Times New Roman" w:hAnsi="Times New Roman"/>
          <w:b/>
          <w:sz w:val="24"/>
          <w:szCs w:val="24"/>
        </w:rPr>
        <w:t>States and public-sector unions may no longer extract agency fees from nonconsenting employees</w:t>
      </w:r>
      <w:r>
        <w:rPr>
          <w:rFonts w:ascii="Times New Roman" w:hAnsi="Times New Roman"/>
          <w:b/>
          <w:sz w:val="24"/>
          <w:szCs w:val="24"/>
        </w:rPr>
        <w:t xml:space="preserve">” - </w:t>
      </w:r>
      <w:r w:rsidRPr="00A265CA">
        <w:rPr>
          <w:rFonts w:ascii="Times New Roman" w:hAnsi="Times New Roman"/>
          <w:b/>
          <w:sz w:val="24"/>
          <w:szCs w:val="24"/>
        </w:rPr>
        <w:t>may lead other states to also limit employer deduction of union dues.</w:t>
      </w:r>
      <w:r>
        <w:rPr>
          <w:rFonts w:ascii="Times New Roman" w:hAnsi="Times New Roman"/>
          <w:b/>
          <w:sz w:val="24"/>
          <w:szCs w:val="24"/>
        </w:rPr>
        <w:t xml:space="preserve"> </w:t>
      </w:r>
      <w:bookmarkStart w:id="64" w:name="_Hlk39821565"/>
      <w:r w:rsidR="00F2621E">
        <w:fldChar w:fldCharType="begin"/>
      </w:r>
      <w:r w:rsidR="00F2621E">
        <w:instrText xml:space="preserve"> HYPERLINK "https://www.supremecourt.gov/opinions/17pdf/16-1466_2b3j.pdf" </w:instrText>
      </w:r>
      <w:r w:rsidR="00F2621E">
        <w:fldChar w:fldCharType="separate"/>
      </w:r>
      <w:r w:rsidRPr="001602A2">
        <w:rPr>
          <w:rStyle w:val="Hyperlink"/>
          <w:rFonts w:ascii="Times New Roman" w:hAnsi="Times New Roman"/>
          <w:b/>
          <w:sz w:val="24"/>
          <w:szCs w:val="24"/>
        </w:rPr>
        <w:t>https://www.supremecourt.gov/opinions/17pdf/16-1466_2b3j.pdf</w:t>
      </w:r>
      <w:r w:rsidR="00F2621E">
        <w:rPr>
          <w:rStyle w:val="Hyperlink"/>
          <w:rFonts w:ascii="Times New Roman" w:hAnsi="Times New Roman"/>
          <w:b/>
          <w:sz w:val="24"/>
          <w:szCs w:val="24"/>
        </w:rPr>
        <w:fldChar w:fldCharType="end"/>
      </w:r>
      <w:r>
        <w:rPr>
          <w:rFonts w:ascii="Times New Roman" w:hAnsi="Times New Roman"/>
          <w:b/>
          <w:sz w:val="24"/>
          <w:szCs w:val="24"/>
        </w:rPr>
        <w:t xml:space="preserve"> </w:t>
      </w:r>
      <w:bookmarkEnd w:id="64"/>
    </w:p>
    <w:p w14:paraId="227A24A7" w14:textId="77777777" w:rsidR="00B22CD4" w:rsidRDefault="00B22CD4" w:rsidP="00B22CD4">
      <w:pPr>
        <w:pStyle w:val="NoSpacing"/>
        <w:ind w:firstLine="720"/>
        <w:rPr>
          <w:rFonts w:ascii="Times New Roman" w:hAnsi="Times New Roman"/>
          <w:sz w:val="24"/>
          <w:szCs w:val="24"/>
        </w:rPr>
      </w:pPr>
    </w:p>
    <w:p w14:paraId="42DCCE4B" w14:textId="77777777" w:rsidR="00B22CD4" w:rsidRDefault="00B22CD4" w:rsidP="00B22CD4">
      <w:pPr>
        <w:pStyle w:val="NoSpacing"/>
        <w:ind w:firstLine="720"/>
        <w:rPr>
          <w:rFonts w:ascii="Times New Roman" w:hAnsi="Times New Roman"/>
          <w:sz w:val="24"/>
          <w:szCs w:val="24"/>
        </w:rPr>
      </w:pPr>
      <w:r>
        <w:rPr>
          <w:rFonts w:ascii="Times New Roman" w:hAnsi="Times New Roman"/>
          <w:sz w:val="24"/>
          <w:szCs w:val="24"/>
        </w:rPr>
        <w:t xml:space="preserve">See footnote 4 of the Majority’s decision: </w:t>
      </w:r>
    </w:p>
    <w:p w14:paraId="2BE2F2DB" w14:textId="77777777" w:rsidR="00B22CD4" w:rsidRPr="00A14F0A" w:rsidRDefault="00B22CD4" w:rsidP="00B22CD4">
      <w:pPr>
        <w:spacing w:after="0" w:line="240" w:lineRule="auto"/>
        <w:ind w:left="1440"/>
        <w:rPr>
          <w:rFonts w:ascii="Times New Roman" w:eastAsia="Times New Roman" w:hAnsi="Times New Roman"/>
          <w:sz w:val="24"/>
          <w:szCs w:val="24"/>
        </w:rPr>
      </w:pPr>
      <w:r w:rsidRPr="00A14F0A">
        <w:rPr>
          <w:rFonts w:ascii="Times New Roman" w:eastAsia="Times New Roman" w:hAnsi="Times New Roman"/>
          <w:sz w:val="24"/>
          <w:szCs w:val="24"/>
        </w:rPr>
        <w:t xml:space="preserve">As of 2018, twenty-eight states require collective bargaining. Eric J. Brunner &amp; Andrew Ju, </w:t>
      </w:r>
      <w:r w:rsidRPr="00A14F0A">
        <w:rPr>
          <w:rFonts w:ascii="Times New Roman" w:eastAsia="Times New Roman" w:hAnsi="Times New Roman"/>
          <w:i/>
          <w:iCs/>
          <w:sz w:val="24"/>
          <w:szCs w:val="24"/>
        </w:rPr>
        <w:t>State Collective Bargaining Laws and Public-Sector Pay,</w:t>
      </w:r>
      <w:r w:rsidRPr="00A14F0A">
        <w:rPr>
          <w:rFonts w:ascii="Times New Roman" w:eastAsia="Times New Roman" w:hAnsi="Times New Roman"/>
          <w:sz w:val="24"/>
          <w:szCs w:val="24"/>
        </w:rPr>
        <w:t xml:space="preserve"> 72 ILR Rev. 480, 487 (2019) [hereinafter Brunner &amp; Ju]. Fifteen states allow state employers to decide </w:t>
      </w:r>
      <w:proofErr w:type="gramStart"/>
      <w:r w:rsidRPr="00A14F0A">
        <w:rPr>
          <w:rFonts w:ascii="Times New Roman" w:eastAsia="Times New Roman" w:hAnsi="Times New Roman"/>
          <w:sz w:val="24"/>
          <w:szCs w:val="24"/>
        </w:rPr>
        <w:t>whether or not</w:t>
      </w:r>
      <w:proofErr w:type="gramEnd"/>
      <w:r w:rsidRPr="00A14F0A">
        <w:rPr>
          <w:rFonts w:ascii="Times New Roman" w:eastAsia="Times New Roman" w:hAnsi="Times New Roman"/>
          <w:sz w:val="24"/>
          <w:szCs w:val="24"/>
        </w:rPr>
        <w:t xml:space="preserve"> to collectively bargain. </w:t>
      </w:r>
      <w:r w:rsidRPr="00A14F0A">
        <w:rPr>
          <w:rFonts w:ascii="Times New Roman" w:eastAsia="Times New Roman" w:hAnsi="Times New Roman"/>
          <w:i/>
          <w:iCs/>
          <w:sz w:val="24"/>
          <w:szCs w:val="24"/>
        </w:rPr>
        <w:t>Id.</w:t>
      </w:r>
      <w:r w:rsidRPr="00A14F0A">
        <w:rPr>
          <w:rFonts w:ascii="Times New Roman" w:eastAsia="Times New Roman" w:hAnsi="Times New Roman"/>
          <w:sz w:val="24"/>
          <w:szCs w:val="24"/>
        </w:rPr>
        <w:t xml:space="preserve"> The range of topics public employees </w:t>
      </w:r>
      <w:proofErr w:type="gramStart"/>
      <w:r w:rsidRPr="00A14F0A">
        <w:rPr>
          <w:rFonts w:ascii="Times New Roman" w:eastAsia="Times New Roman" w:hAnsi="Times New Roman"/>
          <w:sz w:val="24"/>
          <w:szCs w:val="24"/>
        </w:rPr>
        <w:t>are able to</w:t>
      </w:r>
      <w:proofErr w:type="gramEnd"/>
      <w:r w:rsidRPr="00A14F0A">
        <w:rPr>
          <w:rFonts w:ascii="Times New Roman" w:eastAsia="Times New Roman" w:hAnsi="Times New Roman"/>
          <w:sz w:val="24"/>
          <w:szCs w:val="24"/>
        </w:rPr>
        <w:t xml:space="preserve"> bargain over varies from state to </w:t>
      </w:r>
      <w:r w:rsidRPr="00A14F0A">
        <w:rPr>
          <w:rFonts w:ascii="Times New Roman" w:eastAsia="Times New Roman" w:hAnsi="Times New Roman"/>
          <w:sz w:val="24"/>
          <w:szCs w:val="24"/>
        </w:rPr>
        <w:lastRenderedPageBreak/>
        <w:t xml:space="preserve">state, as does the employees' ability to compel arbitration in the event of an impasse. Raskin-Ortiz &amp; Martin at 4-10. Of the states that require or permit collective bargaining, Alabama, Delaware, Idaho, Kentucky, Oklahoma, Rhode Island, and Wyoming have separate bargaining rights for police officers and/or firefighters. </w:t>
      </w:r>
      <w:r w:rsidRPr="00A14F0A">
        <w:rPr>
          <w:rFonts w:ascii="Times New Roman" w:eastAsia="Times New Roman" w:hAnsi="Times New Roman"/>
          <w:i/>
          <w:iCs/>
          <w:sz w:val="24"/>
          <w:szCs w:val="24"/>
        </w:rPr>
        <w:t>Id.</w:t>
      </w:r>
      <w:r w:rsidRPr="00A14F0A">
        <w:rPr>
          <w:rFonts w:ascii="Times New Roman" w:eastAsia="Times New Roman" w:hAnsi="Times New Roman"/>
          <w:sz w:val="24"/>
          <w:szCs w:val="24"/>
        </w:rPr>
        <w:t xml:space="preserve"> Three states—North Carolina, South Carolina, and Virginia—prohibit collective bargaining for any public employees. Brunner &amp; Ju at 487. Arizona and Texas limit collective bargaining to police officers and firefighters, while Georgia limits collective bargaining rights to firefighters alone. </w:t>
      </w:r>
      <w:r w:rsidRPr="00A14F0A">
        <w:rPr>
          <w:rFonts w:ascii="Times New Roman" w:eastAsia="Times New Roman" w:hAnsi="Times New Roman"/>
          <w:i/>
          <w:iCs/>
          <w:sz w:val="24"/>
          <w:szCs w:val="24"/>
        </w:rPr>
        <w:t>Id.</w:t>
      </w:r>
    </w:p>
    <w:p w14:paraId="3C8B8CB5" w14:textId="0184A27D" w:rsidR="00B22CD4" w:rsidRPr="0082157F" w:rsidRDefault="00B22CD4" w:rsidP="00B22CD4">
      <w:pPr>
        <w:pStyle w:val="Heading2"/>
        <w:ind w:left="720"/>
        <w:rPr>
          <w:rFonts w:ascii="Times New Roman" w:hAnsi="Times New Roman"/>
          <w:b w:val="0"/>
          <w:i w:val="0"/>
          <w:sz w:val="24"/>
          <w:szCs w:val="24"/>
        </w:rPr>
      </w:pPr>
      <w:r w:rsidRPr="0082157F">
        <w:rPr>
          <w:rFonts w:ascii="Times New Roman" w:hAnsi="Times New Roman"/>
          <w:b w:val="0"/>
          <w:i w:val="0"/>
          <w:sz w:val="24"/>
          <w:szCs w:val="24"/>
        </w:rPr>
        <w:t xml:space="preserve">See also this </w:t>
      </w:r>
      <w:bookmarkStart w:id="65" w:name="_Hlk39821485"/>
      <w:r w:rsidR="00AF713A">
        <w:rPr>
          <w:rFonts w:ascii="Times New Roman" w:hAnsi="Times New Roman"/>
          <w:b w:val="0"/>
          <w:i w:val="0"/>
          <w:sz w:val="24"/>
          <w:szCs w:val="24"/>
        </w:rPr>
        <w:t xml:space="preserve">May 16, </w:t>
      </w:r>
      <w:proofErr w:type="gramStart"/>
      <w:r w:rsidR="00AF713A">
        <w:rPr>
          <w:rFonts w:ascii="Times New Roman" w:hAnsi="Times New Roman"/>
          <w:b w:val="0"/>
          <w:i w:val="0"/>
          <w:sz w:val="24"/>
          <w:szCs w:val="24"/>
        </w:rPr>
        <w:t>2019</w:t>
      </w:r>
      <w:proofErr w:type="gramEnd"/>
      <w:r w:rsidR="00AF713A">
        <w:rPr>
          <w:rFonts w:ascii="Times New Roman" w:hAnsi="Times New Roman"/>
          <w:b w:val="0"/>
          <w:i w:val="0"/>
          <w:sz w:val="24"/>
          <w:szCs w:val="24"/>
        </w:rPr>
        <w:t xml:space="preserve"> </w:t>
      </w:r>
      <w:r w:rsidRPr="0082157F">
        <w:rPr>
          <w:rFonts w:ascii="Times New Roman" w:hAnsi="Times New Roman"/>
          <w:b w:val="0"/>
          <w:i w:val="0"/>
          <w:sz w:val="24"/>
          <w:szCs w:val="24"/>
        </w:rPr>
        <w:t xml:space="preserve">article: “Union Dues Deductions – Tips for Public Employers” -  </w:t>
      </w:r>
      <w:hyperlink r:id="rId344" w:history="1">
        <w:r w:rsidRPr="005B46AA">
          <w:rPr>
            <w:rStyle w:val="Hyperlink"/>
            <w:rFonts w:ascii="Times New Roman" w:hAnsi="Times New Roman"/>
            <w:b w:val="0"/>
            <w:i w:val="0"/>
            <w:sz w:val="24"/>
            <w:szCs w:val="24"/>
          </w:rPr>
          <w:t>https://fisheldowney.com/union-dues-deductions-tips-public-employers/</w:t>
        </w:r>
      </w:hyperlink>
      <w:r w:rsidRPr="0082157F">
        <w:rPr>
          <w:rFonts w:ascii="Times New Roman" w:hAnsi="Times New Roman"/>
          <w:b w:val="0"/>
          <w:i w:val="0"/>
          <w:sz w:val="24"/>
          <w:szCs w:val="24"/>
        </w:rPr>
        <w:t xml:space="preserve"> </w:t>
      </w:r>
    </w:p>
    <w:bookmarkEnd w:id="63"/>
    <w:bookmarkEnd w:id="65"/>
    <w:p w14:paraId="77AD563B" w14:textId="413C9587" w:rsidR="00F4486C" w:rsidRDefault="00F4486C" w:rsidP="00F4486C">
      <w:pPr>
        <w:pStyle w:val="NoSpacing"/>
        <w:rPr>
          <w:rFonts w:ascii="Times New Roman" w:hAnsi="Times New Roman"/>
          <w:sz w:val="24"/>
          <w:szCs w:val="24"/>
        </w:rPr>
      </w:pPr>
    </w:p>
    <w:p w14:paraId="55B17074" w14:textId="78B94C34" w:rsidR="00791CA3" w:rsidRDefault="00791CA3" w:rsidP="00791CA3">
      <w:pPr>
        <w:rPr>
          <w:rFonts w:ascii="Arial Black" w:hAnsi="Arial Black"/>
          <w:b/>
          <w:sz w:val="24"/>
          <w:szCs w:val="24"/>
        </w:rPr>
      </w:pPr>
    </w:p>
    <w:p w14:paraId="7F6931DF" w14:textId="2D30854D" w:rsidR="00791CA3" w:rsidRPr="00791CA3" w:rsidRDefault="00791CA3" w:rsidP="00791CA3">
      <w:pPr>
        <w:rPr>
          <w:rFonts w:ascii="Arial Black" w:hAnsi="Arial Black"/>
          <w:b/>
          <w:sz w:val="24"/>
          <w:szCs w:val="24"/>
        </w:rPr>
      </w:pPr>
      <w:r w:rsidRPr="00791CA3">
        <w:rPr>
          <w:rFonts w:ascii="Arial Black" w:hAnsi="Arial Black"/>
          <w:b/>
          <w:sz w:val="24"/>
          <w:szCs w:val="24"/>
        </w:rPr>
        <w:t>1-</w:t>
      </w:r>
      <w:r>
        <w:rPr>
          <w:rFonts w:ascii="Arial Black" w:hAnsi="Arial Black"/>
          <w:b/>
          <w:sz w:val="24"/>
          <w:szCs w:val="24"/>
        </w:rPr>
        <w:t>2</w:t>
      </w:r>
      <w:r w:rsidR="00637A12">
        <w:rPr>
          <w:rFonts w:ascii="Arial Black" w:hAnsi="Arial Black"/>
          <w:b/>
          <w:sz w:val="24"/>
          <w:szCs w:val="24"/>
        </w:rPr>
        <w:t>5</w:t>
      </w:r>
    </w:p>
    <w:p w14:paraId="01F667B8" w14:textId="748F3CDD" w:rsidR="00B22CD4" w:rsidRPr="00A14F0A" w:rsidRDefault="00B22CD4" w:rsidP="00B22CD4">
      <w:pPr>
        <w:pStyle w:val="NoSpacing"/>
        <w:tabs>
          <w:tab w:val="left" w:pos="2280"/>
        </w:tabs>
        <w:rPr>
          <w:rFonts w:ascii="Arial Black" w:hAnsi="Arial Black"/>
          <w:sz w:val="28"/>
          <w:szCs w:val="28"/>
        </w:rPr>
      </w:pPr>
      <w:bookmarkStart w:id="66" w:name="_Hlk10126640"/>
      <w:r w:rsidRPr="00A14F0A">
        <w:rPr>
          <w:rFonts w:ascii="Arial Black" w:hAnsi="Arial Black"/>
          <w:sz w:val="28"/>
          <w:szCs w:val="28"/>
        </w:rPr>
        <w:t xml:space="preserve">TX: </w:t>
      </w:r>
      <w:r>
        <w:rPr>
          <w:rFonts w:ascii="Arial Black" w:hAnsi="Arial Black"/>
          <w:sz w:val="28"/>
          <w:szCs w:val="28"/>
        </w:rPr>
        <w:t>APARTMENT FIRE - DRUG PARAPHERNALIA IN “PLAIN VIEW” - PD CALLED IN, SEARCH WARRANT – METH CONVICTION UPHELD</w:t>
      </w:r>
    </w:p>
    <w:p w14:paraId="4277D341" w14:textId="77777777" w:rsidR="00B22CD4" w:rsidRDefault="00B22CD4" w:rsidP="00B22CD4">
      <w:pPr>
        <w:pStyle w:val="NoSpacing"/>
        <w:rPr>
          <w:rFonts w:ascii="Times New Roman" w:hAnsi="Times New Roman"/>
          <w:sz w:val="24"/>
          <w:szCs w:val="24"/>
        </w:rPr>
      </w:pPr>
      <w:r w:rsidRPr="00BA2225">
        <w:rPr>
          <w:rFonts w:ascii="Times New Roman" w:hAnsi="Times New Roman"/>
          <w:sz w:val="24"/>
          <w:szCs w:val="24"/>
        </w:rPr>
        <w:t xml:space="preserve">On May 16, 2019, in </w:t>
      </w:r>
      <w:r w:rsidRPr="00BA2225">
        <w:rPr>
          <w:rFonts w:ascii="Times New Roman" w:hAnsi="Times New Roman"/>
          <w:sz w:val="24"/>
          <w:szCs w:val="24"/>
          <w:u w:val="single"/>
        </w:rPr>
        <w:t>Casey Allen Martin v. State of Texas</w:t>
      </w:r>
      <w:r w:rsidRPr="00BA2225">
        <w:rPr>
          <w:rFonts w:ascii="Times New Roman" w:hAnsi="Times New Roman"/>
          <w:sz w:val="24"/>
          <w:szCs w:val="24"/>
        </w:rPr>
        <w:t>, the Court of Appeals of Texas, Second Appellate District (Fort Worth) held (3 to 0) the trial court properly denied the defendant’s motion to suppress the methamphetamine.</w:t>
      </w:r>
      <w:r>
        <w:rPr>
          <w:rFonts w:ascii="Times New Roman" w:hAnsi="Times New Roman"/>
          <w:sz w:val="24"/>
          <w:szCs w:val="24"/>
        </w:rPr>
        <w:t xml:space="preserve">  </w:t>
      </w:r>
    </w:p>
    <w:p w14:paraId="09F03D55" w14:textId="77777777" w:rsidR="00B22CD4" w:rsidRDefault="00B22CD4" w:rsidP="00B22CD4">
      <w:pPr>
        <w:pStyle w:val="NoSpacing"/>
        <w:rPr>
          <w:rFonts w:ascii="Times New Roman" w:hAnsi="Times New Roman"/>
          <w:sz w:val="24"/>
          <w:szCs w:val="24"/>
        </w:rPr>
      </w:pPr>
    </w:p>
    <w:p w14:paraId="606D9BC0" w14:textId="77777777" w:rsidR="00B22CD4" w:rsidRPr="00BA2225" w:rsidRDefault="00B22CD4" w:rsidP="00B22CD4">
      <w:pPr>
        <w:pStyle w:val="NoSpacing"/>
        <w:ind w:left="720"/>
        <w:rPr>
          <w:rFonts w:ascii="Times New Roman" w:hAnsi="Times New Roman"/>
          <w:sz w:val="24"/>
          <w:szCs w:val="24"/>
        </w:rPr>
      </w:pPr>
      <w:r>
        <w:rPr>
          <w:rFonts w:ascii="Times New Roman" w:hAnsi="Times New Roman"/>
          <w:sz w:val="24"/>
          <w:szCs w:val="24"/>
        </w:rPr>
        <w:t>“</w:t>
      </w:r>
      <w:r w:rsidRPr="00BA2225">
        <w:rPr>
          <w:rFonts w:ascii="Times New Roman" w:hAnsi="Times New Roman"/>
          <w:sz w:val="24"/>
          <w:szCs w:val="24"/>
        </w:rPr>
        <w:t>Fire broke out in appellant Casey Allen Martin’s apartment, and firefighters entered to battle the blaze. Firefighters saw drug paraphernalia inside, and they called police in to observe the scene. Officers then obtained a search warrant, which led to the discovery of the methamphetamine that was the basis for Martin’s conviction.</w:t>
      </w:r>
      <w:r>
        <w:rPr>
          <w:rFonts w:ascii="Times New Roman" w:hAnsi="Times New Roman"/>
          <w:sz w:val="24"/>
          <w:szCs w:val="24"/>
        </w:rPr>
        <w:t xml:space="preserve"> </w:t>
      </w:r>
      <w:r w:rsidRPr="00BA2225">
        <w:rPr>
          <w:rFonts w:ascii="Times New Roman" w:hAnsi="Times New Roman"/>
          <w:sz w:val="24"/>
          <w:szCs w:val="24"/>
        </w:rPr>
        <w:t>In one issue, Martin appeals the denial of his motion to suppress. Martin does not dispute that the fire permitted firefighters to enter the apartment. But he contends that the same exigent circumstances did not also authorize officers to enter and observe, in plain view, the same contraband that firefighters had already seen. Because we disagree, we affirm.</w:t>
      </w:r>
    </w:p>
    <w:p w14:paraId="67FD0597" w14:textId="3223F1B5" w:rsidR="00B22CD4" w:rsidRDefault="00B22CD4" w:rsidP="00B22CD4">
      <w:pPr>
        <w:pStyle w:val="NoSpacing"/>
        <w:ind w:left="720"/>
        <w:rPr>
          <w:rFonts w:ascii="Times New Roman" w:hAnsi="Times New Roman"/>
          <w:sz w:val="24"/>
          <w:szCs w:val="24"/>
        </w:rPr>
      </w:pPr>
      <w:hyperlink r:id="rId345" w:history="1">
        <w:r w:rsidRPr="00BA2225">
          <w:rPr>
            <w:rStyle w:val="Hyperlink"/>
            <w:rFonts w:ascii="Times New Roman" w:hAnsi="Times New Roman"/>
            <w:sz w:val="24"/>
            <w:szCs w:val="24"/>
          </w:rPr>
          <w:t>https://cases.justia.com/texas/second-court-of-appeals/2019-02-18-00333-cr.pdf?ts=1558106104</w:t>
        </w:r>
      </w:hyperlink>
      <w:r w:rsidRPr="00BA2225">
        <w:rPr>
          <w:rFonts w:ascii="Times New Roman" w:hAnsi="Times New Roman"/>
          <w:sz w:val="24"/>
          <w:szCs w:val="24"/>
        </w:rPr>
        <w:t xml:space="preserve"> </w:t>
      </w:r>
    </w:p>
    <w:p w14:paraId="27FC7F07" w14:textId="1CA1F3F4" w:rsidR="00B22CD4" w:rsidRDefault="00B22CD4" w:rsidP="00B22CD4">
      <w:pPr>
        <w:pStyle w:val="NoSpacing"/>
        <w:ind w:left="720"/>
        <w:rPr>
          <w:rFonts w:ascii="Times New Roman" w:hAnsi="Times New Roman"/>
          <w:sz w:val="24"/>
          <w:szCs w:val="24"/>
        </w:rPr>
      </w:pPr>
    </w:p>
    <w:p w14:paraId="296EF817" w14:textId="77777777" w:rsidR="00B22CD4" w:rsidRPr="00BA2225" w:rsidRDefault="00B22CD4" w:rsidP="00B22CD4">
      <w:pPr>
        <w:pStyle w:val="NoSpacing"/>
        <w:rPr>
          <w:rFonts w:ascii="Times New Roman" w:hAnsi="Times New Roman"/>
          <w:b/>
          <w:sz w:val="24"/>
          <w:szCs w:val="24"/>
        </w:rPr>
      </w:pPr>
      <w:bookmarkStart w:id="67" w:name="_Hlk10126666"/>
      <w:r w:rsidRPr="00BA2225">
        <w:rPr>
          <w:rFonts w:ascii="Times New Roman" w:hAnsi="Times New Roman"/>
          <w:b/>
          <w:sz w:val="24"/>
          <w:szCs w:val="24"/>
        </w:rPr>
        <w:t>Legal Lessons Learned:</w:t>
      </w:r>
      <w:r>
        <w:rPr>
          <w:rFonts w:ascii="Times New Roman" w:hAnsi="Times New Roman"/>
          <w:b/>
          <w:sz w:val="24"/>
          <w:szCs w:val="24"/>
        </w:rPr>
        <w:t xml:space="preserve"> The “Plain View Rule” is alive and well.  The police probably could have seized the meth and the firearm without a search </w:t>
      </w:r>
      <w:proofErr w:type="gramStart"/>
      <w:r>
        <w:rPr>
          <w:rFonts w:ascii="Times New Roman" w:hAnsi="Times New Roman"/>
          <w:b/>
          <w:sz w:val="24"/>
          <w:szCs w:val="24"/>
        </w:rPr>
        <w:t>warrant, but</w:t>
      </w:r>
      <w:proofErr w:type="gramEnd"/>
      <w:r>
        <w:rPr>
          <w:rFonts w:ascii="Times New Roman" w:hAnsi="Times New Roman"/>
          <w:b/>
          <w:sz w:val="24"/>
          <w:szCs w:val="24"/>
        </w:rPr>
        <w:t xml:space="preserve"> getting the warrant “virtually guaranteed” that a motion to suppress would be denied.</w:t>
      </w:r>
    </w:p>
    <w:bookmarkEnd w:id="67"/>
    <w:p w14:paraId="0C18AB44" w14:textId="77777777" w:rsidR="00B22CD4" w:rsidRPr="00BA2225" w:rsidRDefault="00B22CD4" w:rsidP="00B22CD4">
      <w:pPr>
        <w:pStyle w:val="NoSpacing"/>
        <w:ind w:left="720"/>
        <w:rPr>
          <w:rFonts w:ascii="Times New Roman" w:hAnsi="Times New Roman"/>
          <w:sz w:val="24"/>
          <w:szCs w:val="24"/>
        </w:rPr>
      </w:pPr>
    </w:p>
    <w:bookmarkEnd w:id="66"/>
    <w:p w14:paraId="3807C109" w14:textId="77777777" w:rsidR="006C7F17" w:rsidRDefault="006C7F17" w:rsidP="00791CA3">
      <w:pPr>
        <w:rPr>
          <w:rFonts w:ascii="Arial Black" w:hAnsi="Arial Black"/>
          <w:b/>
          <w:sz w:val="24"/>
          <w:szCs w:val="24"/>
        </w:rPr>
      </w:pPr>
    </w:p>
    <w:p w14:paraId="2AFFFACF" w14:textId="2BE51347" w:rsidR="00D07E6E" w:rsidRDefault="00D07E6E" w:rsidP="00791CA3">
      <w:pPr>
        <w:rPr>
          <w:rFonts w:ascii="Arial Black" w:hAnsi="Arial Black"/>
          <w:b/>
          <w:sz w:val="24"/>
          <w:szCs w:val="24"/>
        </w:rPr>
      </w:pPr>
      <w:r>
        <w:rPr>
          <w:rFonts w:ascii="Arial Black" w:hAnsi="Arial Black"/>
          <w:b/>
          <w:sz w:val="24"/>
          <w:szCs w:val="24"/>
        </w:rPr>
        <w:t>1-2</w:t>
      </w:r>
      <w:r w:rsidR="00637A12">
        <w:rPr>
          <w:rFonts w:ascii="Arial Black" w:hAnsi="Arial Black"/>
          <w:b/>
          <w:sz w:val="24"/>
          <w:szCs w:val="24"/>
        </w:rPr>
        <w:t>4</w:t>
      </w:r>
    </w:p>
    <w:p w14:paraId="4C26BCE1" w14:textId="77777777" w:rsidR="00D07E6E" w:rsidRPr="00D07E6E" w:rsidRDefault="00D07E6E" w:rsidP="00791CA3">
      <w:pPr>
        <w:rPr>
          <w:rFonts w:ascii="Arial Black" w:hAnsi="Arial Black" w:cs="Arial"/>
          <w:b/>
          <w:bCs/>
          <w:sz w:val="28"/>
          <w:szCs w:val="28"/>
        </w:rPr>
      </w:pPr>
      <w:r w:rsidRPr="00D07E6E">
        <w:rPr>
          <w:rFonts w:ascii="Arial Black" w:hAnsi="Arial Black" w:cs="Arial"/>
          <w:b/>
          <w:bCs/>
          <w:sz w:val="28"/>
          <w:szCs w:val="28"/>
        </w:rPr>
        <w:t xml:space="preserve">NY: 911 CALL - ELEVATOR SUDDENLY DROPPED WHILE FDNY AT SCENE – LAWSUIT DISMISSED, “SPECIAL DUTY” RULE </w:t>
      </w:r>
    </w:p>
    <w:p w14:paraId="74893CC1" w14:textId="77777777" w:rsidR="006C7F17" w:rsidRDefault="00D07E6E" w:rsidP="00791CA3">
      <w:pPr>
        <w:rPr>
          <w:rFonts w:ascii="Times New Roman" w:hAnsi="Times New Roman"/>
          <w:sz w:val="24"/>
          <w:szCs w:val="24"/>
        </w:rPr>
      </w:pPr>
      <w:r w:rsidRPr="00015208">
        <w:rPr>
          <w:rFonts w:ascii="Times New Roman" w:hAnsi="Times New Roman"/>
          <w:sz w:val="24"/>
          <w:szCs w:val="24"/>
        </w:rPr>
        <w:t>On April 24, 2019, in Daniel Ortiz v. City of New York, et al, the Supreme Court of New York, Appellate Division, Second Department, 2019 NY Slip Op 03062,</w:t>
      </w:r>
      <w:r w:rsidR="006C7F17">
        <w:rPr>
          <w:rFonts w:ascii="Times New Roman" w:hAnsi="Times New Roman"/>
          <w:sz w:val="24"/>
          <w:szCs w:val="24"/>
        </w:rPr>
        <w:t xml:space="preserve"> </w:t>
      </w:r>
      <w:r w:rsidRPr="00015208">
        <w:rPr>
          <w:rFonts w:ascii="Times New Roman" w:hAnsi="Times New Roman"/>
          <w:sz w:val="24"/>
          <w:szCs w:val="24"/>
        </w:rPr>
        <w:t>held (5 to 0) that the lawsuit was properly dismissed by Kings County judge.</w:t>
      </w:r>
    </w:p>
    <w:p w14:paraId="3FB174CF" w14:textId="21311F44" w:rsidR="00D07E6E" w:rsidRPr="00015208" w:rsidRDefault="00D07E6E" w:rsidP="006C7F17">
      <w:pPr>
        <w:ind w:left="720"/>
        <w:rPr>
          <w:rFonts w:ascii="Times New Roman" w:hAnsi="Times New Roman"/>
          <w:sz w:val="24"/>
          <w:szCs w:val="24"/>
        </w:rPr>
      </w:pPr>
      <w:r w:rsidRPr="00015208">
        <w:rPr>
          <w:rFonts w:ascii="Times New Roman" w:hAnsi="Times New Roman"/>
          <w:sz w:val="24"/>
          <w:szCs w:val="24"/>
        </w:rPr>
        <w:t xml:space="preserve">“Here, the City defendants were acting in a governmental capacity when the plaintiff was injured during the firefighters' rescue operation (see </w:t>
      </w:r>
      <w:proofErr w:type="spellStart"/>
      <w:r w:rsidRPr="00015208">
        <w:rPr>
          <w:rFonts w:ascii="Times New Roman" w:hAnsi="Times New Roman"/>
          <w:sz w:val="24"/>
          <w:szCs w:val="24"/>
        </w:rPr>
        <w:t>Kadymir</w:t>
      </w:r>
      <w:proofErr w:type="spellEnd"/>
      <w:r w:rsidRPr="00015208">
        <w:rPr>
          <w:rFonts w:ascii="Times New Roman" w:hAnsi="Times New Roman"/>
          <w:sz w:val="24"/>
          <w:szCs w:val="24"/>
        </w:rPr>
        <w:t xml:space="preserve"> v New York City Tr. Auth., 55 AD3d 549, 552). The inquiry then turns to whether the </w:t>
      </w:r>
      <w:proofErr w:type="gramStart"/>
      <w:r w:rsidRPr="00015208">
        <w:rPr>
          <w:rFonts w:ascii="Times New Roman" w:hAnsi="Times New Roman"/>
          <w:sz w:val="24"/>
          <w:szCs w:val="24"/>
        </w:rPr>
        <w:t>City</w:t>
      </w:r>
      <w:proofErr w:type="gramEnd"/>
      <w:r w:rsidRPr="00015208">
        <w:rPr>
          <w:rFonts w:ascii="Times New Roman" w:hAnsi="Times New Roman"/>
          <w:sz w:val="24"/>
          <w:szCs w:val="24"/>
        </w:rPr>
        <w:t xml:space="preserve"> defendants owed the plaintiff a special duty (see Applewhite v </w:t>
      </w:r>
      <w:proofErr w:type="spellStart"/>
      <w:r w:rsidRPr="00015208">
        <w:rPr>
          <w:rFonts w:ascii="Times New Roman" w:hAnsi="Times New Roman"/>
          <w:sz w:val="24"/>
          <w:szCs w:val="24"/>
        </w:rPr>
        <w:lastRenderedPageBreak/>
        <w:t>Accuhealth</w:t>
      </w:r>
      <w:proofErr w:type="spellEnd"/>
      <w:r w:rsidRPr="00015208">
        <w:rPr>
          <w:rFonts w:ascii="Times New Roman" w:hAnsi="Times New Roman"/>
          <w:sz w:val="24"/>
          <w:szCs w:val="24"/>
        </w:rPr>
        <w:t xml:space="preserve">, Inc., 21 NY3d at 426). Contrary to the plaintiff's contention that no special duty was required, a special duty was ‘an essential element of the negligence claim itself’ (id.). Because the plaintiff concedes that the City defendants owed him no special duty of care, ‘the analysis ends and liability may not be imputed to the’ City defendants (id.).” </w:t>
      </w:r>
      <w:hyperlink r:id="rId346" w:history="1">
        <w:r w:rsidRPr="00015208">
          <w:rPr>
            <w:rStyle w:val="Hyperlink"/>
            <w:rFonts w:ascii="Times New Roman" w:hAnsi="Times New Roman"/>
            <w:sz w:val="24"/>
            <w:szCs w:val="24"/>
          </w:rPr>
          <w:t>https://law.justia.com/cases/new-york/appellate-division-second-department/2019/2017-01910.html</w:t>
        </w:r>
      </w:hyperlink>
      <w:r w:rsidRPr="00015208">
        <w:rPr>
          <w:rFonts w:ascii="Times New Roman" w:hAnsi="Times New Roman"/>
          <w:sz w:val="24"/>
          <w:szCs w:val="24"/>
        </w:rPr>
        <w:t xml:space="preserve"> </w:t>
      </w:r>
    </w:p>
    <w:p w14:paraId="0073D181" w14:textId="5CFC4257" w:rsidR="00D07E6E" w:rsidRPr="00015208" w:rsidRDefault="00D07E6E" w:rsidP="00791CA3">
      <w:pPr>
        <w:rPr>
          <w:rFonts w:ascii="Times New Roman" w:hAnsi="Times New Roman"/>
          <w:b/>
          <w:bCs/>
          <w:sz w:val="24"/>
          <w:szCs w:val="24"/>
        </w:rPr>
      </w:pPr>
      <w:r w:rsidRPr="00015208">
        <w:rPr>
          <w:rFonts w:ascii="Times New Roman" w:hAnsi="Times New Roman"/>
          <w:b/>
          <w:bCs/>
          <w:sz w:val="24"/>
          <w:szCs w:val="24"/>
        </w:rPr>
        <w:t>Legal Lessons Learned: The “special duty rule” protects municipalities when performing a governmental function.</w:t>
      </w:r>
    </w:p>
    <w:p w14:paraId="0C38FD85" w14:textId="4C412579" w:rsidR="00D07E6E" w:rsidRPr="00015208" w:rsidRDefault="00D07E6E" w:rsidP="00791CA3">
      <w:pPr>
        <w:rPr>
          <w:rFonts w:ascii="Times New Roman" w:hAnsi="Times New Roman"/>
          <w:bCs/>
          <w:sz w:val="24"/>
          <w:szCs w:val="24"/>
        </w:rPr>
      </w:pPr>
    </w:p>
    <w:p w14:paraId="072F49C2" w14:textId="77777777" w:rsidR="00D07E6E" w:rsidRDefault="00D07E6E" w:rsidP="00791CA3">
      <w:pPr>
        <w:rPr>
          <w:rFonts w:ascii="Arial Black" w:hAnsi="Arial Black"/>
          <w:b/>
          <w:sz w:val="24"/>
          <w:szCs w:val="24"/>
        </w:rPr>
      </w:pPr>
    </w:p>
    <w:p w14:paraId="355C8987" w14:textId="6F919A94" w:rsidR="00C17A9D" w:rsidRDefault="00C17A9D" w:rsidP="00791CA3">
      <w:pPr>
        <w:rPr>
          <w:rFonts w:ascii="Arial Black" w:hAnsi="Arial Black"/>
          <w:b/>
          <w:sz w:val="24"/>
          <w:szCs w:val="24"/>
        </w:rPr>
      </w:pPr>
      <w:r>
        <w:rPr>
          <w:rFonts w:ascii="Arial Black" w:hAnsi="Arial Black"/>
          <w:b/>
          <w:sz w:val="24"/>
          <w:szCs w:val="24"/>
        </w:rPr>
        <w:t>1-2</w:t>
      </w:r>
      <w:r w:rsidR="00637A12">
        <w:rPr>
          <w:rFonts w:ascii="Arial Black" w:hAnsi="Arial Black"/>
          <w:b/>
          <w:sz w:val="24"/>
          <w:szCs w:val="24"/>
        </w:rPr>
        <w:t>3</w:t>
      </w:r>
    </w:p>
    <w:p w14:paraId="19ED4F76" w14:textId="77777777" w:rsidR="00015208" w:rsidRDefault="00C17A9D" w:rsidP="00791CA3">
      <w:pPr>
        <w:rPr>
          <w:rFonts w:ascii="Arial" w:hAnsi="Arial" w:cs="Arial"/>
          <w:sz w:val="35"/>
          <w:szCs w:val="35"/>
        </w:rPr>
      </w:pPr>
      <w:r w:rsidRPr="00C17A9D">
        <w:rPr>
          <w:rFonts w:ascii="Arial Black" w:hAnsi="Arial Black"/>
          <w:sz w:val="28"/>
          <w:szCs w:val="28"/>
        </w:rPr>
        <w:t>IL: BILLING FOR FD SEVICES – ORDINANCE LAWFUL TO BILL NON-RESIDENTS, INCLUDING EXTRICATING EMPLOYEE UNDER VEHICLE</w:t>
      </w:r>
      <w:r>
        <w:rPr>
          <w:rFonts w:ascii="Arial" w:hAnsi="Arial" w:cs="Arial"/>
          <w:sz w:val="35"/>
          <w:szCs w:val="35"/>
        </w:rPr>
        <w:t xml:space="preserve"> </w:t>
      </w:r>
    </w:p>
    <w:p w14:paraId="47FA66A7" w14:textId="77777777" w:rsidR="006C7F17" w:rsidRDefault="00C17A9D" w:rsidP="00791CA3">
      <w:pPr>
        <w:rPr>
          <w:rFonts w:ascii="Times New Roman" w:hAnsi="Times New Roman"/>
          <w:sz w:val="24"/>
          <w:szCs w:val="24"/>
        </w:rPr>
      </w:pPr>
      <w:r w:rsidRPr="00015208">
        <w:rPr>
          <w:rFonts w:ascii="Times New Roman" w:hAnsi="Times New Roman"/>
          <w:sz w:val="24"/>
          <w:szCs w:val="24"/>
        </w:rPr>
        <w:t xml:space="preserve">On March 28, 2019, in The City of Effingham, Illinois v. Diss Truck &amp; Repair, LLC, the Appellate Court of Illinois - Fifth District, held (3 to 0) that the Fire Department may bill for these services for a non-resident. </w:t>
      </w:r>
    </w:p>
    <w:p w14:paraId="5F7F2EDA" w14:textId="341FFB8F" w:rsidR="00C17A9D" w:rsidRPr="00015208" w:rsidRDefault="00C17A9D" w:rsidP="006C7F17">
      <w:pPr>
        <w:ind w:left="720"/>
        <w:rPr>
          <w:rFonts w:ascii="Times New Roman" w:hAnsi="Times New Roman"/>
          <w:b/>
          <w:sz w:val="24"/>
          <w:szCs w:val="24"/>
        </w:rPr>
      </w:pPr>
      <w:r w:rsidRPr="00015208">
        <w:rPr>
          <w:rFonts w:ascii="Times New Roman" w:hAnsi="Times New Roman"/>
          <w:sz w:val="24"/>
          <w:szCs w:val="24"/>
        </w:rPr>
        <w:t>“After reviewing the legislative history, both before and after the enactment of the statute, we conclude that the legislature’s intent in allowing a municipality to seek reimbursement for firefighting services provided to nonresidents was to eliminate the taxpayer’s burden for such services; the intent was to allocate the cost of the services to nonresidents so that the citizens of the municipality were not forced to bear the cost of services performed on behalf of those not paying taxes to the municipality.”</w:t>
      </w:r>
      <w:r w:rsidR="006C7F17">
        <w:rPr>
          <w:rFonts w:ascii="Times New Roman" w:hAnsi="Times New Roman"/>
          <w:sz w:val="24"/>
          <w:szCs w:val="24"/>
        </w:rPr>
        <w:t xml:space="preserve"> </w:t>
      </w:r>
      <w:hyperlink r:id="rId347" w:history="1">
        <w:r w:rsidR="006C7F17" w:rsidRPr="002F304C">
          <w:rPr>
            <w:rStyle w:val="Hyperlink"/>
            <w:rFonts w:ascii="Times New Roman" w:hAnsi="Times New Roman"/>
            <w:sz w:val="24"/>
            <w:szCs w:val="24"/>
          </w:rPr>
          <w:t>https://law.justia.com/cases/illinois/court-of-appeals-fifth-appellate-district/2019/5-18-0064.html</w:t>
        </w:r>
      </w:hyperlink>
      <w:r w:rsidR="006C7F17">
        <w:rPr>
          <w:rFonts w:ascii="Times New Roman" w:hAnsi="Times New Roman"/>
          <w:sz w:val="24"/>
          <w:szCs w:val="24"/>
        </w:rPr>
        <w:t xml:space="preserve"> </w:t>
      </w:r>
    </w:p>
    <w:p w14:paraId="4959EE6B" w14:textId="282598F9" w:rsidR="00C17A9D" w:rsidRPr="00015208" w:rsidRDefault="00C17A9D" w:rsidP="00791CA3">
      <w:pPr>
        <w:rPr>
          <w:rFonts w:ascii="Times New Roman" w:hAnsi="Times New Roman"/>
          <w:b/>
          <w:bCs/>
          <w:sz w:val="24"/>
          <w:szCs w:val="24"/>
        </w:rPr>
      </w:pPr>
      <w:r w:rsidRPr="00015208">
        <w:rPr>
          <w:rFonts w:ascii="Times New Roman" w:hAnsi="Times New Roman"/>
          <w:b/>
          <w:bCs/>
          <w:sz w:val="24"/>
          <w:szCs w:val="24"/>
        </w:rPr>
        <w:t>Legal Lessons Learned: Ordinances authorizing billing of non-residents for fire department services are becoming increasingly common.</w:t>
      </w:r>
    </w:p>
    <w:p w14:paraId="35D80C66" w14:textId="77777777" w:rsidR="00015208" w:rsidRDefault="00015208" w:rsidP="00791CA3">
      <w:pPr>
        <w:rPr>
          <w:rFonts w:ascii="Arial Black" w:hAnsi="Arial Black"/>
          <w:b/>
          <w:sz w:val="24"/>
          <w:szCs w:val="24"/>
        </w:rPr>
      </w:pPr>
    </w:p>
    <w:p w14:paraId="5BA77B5B" w14:textId="77777777" w:rsidR="00C17A9D" w:rsidRDefault="00C17A9D" w:rsidP="00791CA3">
      <w:pPr>
        <w:rPr>
          <w:rFonts w:ascii="Arial Black" w:hAnsi="Arial Black"/>
          <w:b/>
          <w:sz w:val="24"/>
          <w:szCs w:val="24"/>
        </w:rPr>
      </w:pPr>
    </w:p>
    <w:p w14:paraId="6AF48E99" w14:textId="15E9BF94" w:rsidR="00B22CD4" w:rsidRDefault="00791CA3" w:rsidP="00791CA3">
      <w:pPr>
        <w:rPr>
          <w:sz w:val="24"/>
          <w:szCs w:val="24"/>
        </w:rPr>
      </w:pPr>
      <w:r w:rsidRPr="00791CA3">
        <w:rPr>
          <w:rFonts w:ascii="Arial Black" w:hAnsi="Arial Black"/>
          <w:b/>
          <w:sz w:val="24"/>
          <w:szCs w:val="24"/>
        </w:rPr>
        <w:t>1-</w:t>
      </w:r>
      <w:r>
        <w:rPr>
          <w:rFonts w:ascii="Arial Black" w:hAnsi="Arial Black"/>
          <w:b/>
          <w:sz w:val="24"/>
          <w:szCs w:val="24"/>
        </w:rPr>
        <w:t>2</w:t>
      </w:r>
      <w:r w:rsidR="00637A12">
        <w:rPr>
          <w:rFonts w:ascii="Arial Black" w:hAnsi="Arial Black"/>
          <w:b/>
          <w:sz w:val="24"/>
          <w:szCs w:val="24"/>
        </w:rPr>
        <w:t>2</w:t>
      </w:r>
    </w:p>
    <w:p w14:paraId="48B44BFB" w14:textId="361ED236" w:rsidR="00ED63B1" w:rsidRDefault="00ED63B1" w:rsidP="00ED63B1">
      <w:pPr>
        <w:pStyle w:val="NoSpacing"/>
        <w:rPr>
          <w:rFonts w:ascii="Arial Black" w:hAnsi="Arial Black"/>
          <w:sz w:val="28"/>
          <w:szCs w:val="28"/>
        </w:rPr>
      </w:pPr>
      <w:r w:rsidRPr="004875B7">
        <w:rPr>
          <w:rFonts w:ascii="Arial Black" w:hAnsi="Arial Black"/>
          <w:sz w:val="28"/>
          <w:szCs w:val="28"/>
        </w:rPr>
        <w:t xml:space="preserve">CO:  ARSON - $3M </w:t>
      </w:r>
      <w:r>
        <w:rPr>
          <w:rFonts w:ascii="Arial Black" w:hAnsi="Arial Black"/>
          <w:sz w:val="28"/>
          <w:szCs w:val="28"/>
        </w:rPr>
        <w:t xml:space="preserve">LOSS TO HOTEL BEING BUILT– NO SECURITY </w:t>
      </w:r>
      <w:r w:rsidRPr="004875B7">
        <w:rPr>
          <w:rFonts w:ascii="Arial Black" w:hAnsi="Arial Black"/>
          <w:sz w:val="28"/>
          <w:szCs w:val="28"/>
        </w:rPr>
        <w:t>FENCE</w:t>
      </w:r>
      <w:r>
        <w:rPr>
          <w:rFonts w:ascii="Arial Black" w:hAnsi="Arial Black"/>
          <w:sz w:val="28"/>
          <w:szCs w:val="28"/>
        </w:rPr>
        <w:t xml:space="preserve">, NO INSURANCE </w:t>
      </w:r>
    </w:p>
    <w:p w14:paraId="5766A52A" w14:textId="77777777" w:rsidR="006C7F17" w:rsidRDefault="00ED63B1" w:rsidP="00ED63B1">
      <w:pPr>
        <w:pStyle w:val="NoSpacing"/>
        <w:rPr>
          <w:rFonts w:ascii="Times New Roman" w:hAnsi="Times New Roman"/>
          <w:sz w:val="24"/>
          <w:szCs w:val="24"/>
        </w:rPr>
      </w:pPr>
      <w:r w:rsidRPr="00015208">
        <w:rPr>
          <w:rFonts w:ascii="Times New Roman" w:hAnsi="Times New Roman"/>
          <w:sz w:val="24"/>
          <w:szCs w:val="24"/>
        </w:rPr>
        <w:t xml:space="preserve">On March 1, 2019, in </w:t>
      </w:r>
      <w:r w:rsidRPr="00015208">
        <w:rPr>
          <w:rFonts w:ascii="Times New Roman" w:hAnsi="Times New Roman"/>
          <w:sz w:val="24"/>
          <w:szCs w:val="24"/>
          <w:u w:val="single"/>
        </w:rPr>
        <w:t>Praetorian Insurance Company v. Axia Contracting, LLC and 255 Blackhawk Hospitality, LLP</w:t>
      </w:r>
      <w:r w:rsidRPr="00015208">
        <w:rPr>
          <w:rFonts w:ascii="Times New Roman" w:hAnsi="Times New Roman"/>
          <w:sz w:val="24"/>
          <w:szCs w:val="24"/>
        </w:rPr>
        <w:t xml:space="preserve">, U.S. District Court Judge William J. Martinez, District of Colorado, granted summary judgment to the insurance company. </w:t>
      </w:r>
    </w:p>
    <w:p w14:paraId="4AA0D21E" w14:textId="77777777" w:rsidR="006C7F17" w:rsidRDefault="006C7F17" w:rsidP="00ED63B1">
      <w:pPr>
        <w:pStyle w:val="NoSpacing"/>
        <w:rPr>
          <w:rFonts w:ascii="Times New Roman" w:hAnsi="Times New Roman"/>
          <w:sz w:val="24"/>
          <w:szCs w:val="24"/>
        </w:rPr>
      </w:pPr>
    </w:p>
    <w:p w14:paraId="47D3A58A" w14:textId="16A99A59" w:rsidR="00ED63B1" w:rsidRDefault="00ED63B1" w:rsidP="006C7F17">
      <w:pPr>
        <w:pStyle w:val="NoSpacing"/>
        <w:ind w:left="720"/>
        <w:rPr>
          <w:rFonts w:ascii="Times New Roman" w:eastAsia="Times New Roman" w:hAnsi="Times New Roman"/>
          <w:bCs/>
          <w:sz w:val="24"/>
          <w:szCs w:val="24"/>
        </w:rPr>
      </w:pPr>
      <w:r w:rsidRPr="00015208">
        <w:rPr>
          <w:rFonts w:ascii="Times New Roman" w:hAnsi="Times New Roman"/>
          <w:sz w:val="24"/>
          <w:szCs w:val="24"/>
        </w:rPr>
        <w:t xml:space="preserve">“On summary judgment, the parties seek clarity from this Court on whether, under the Policy, Defendants’ failure to maintain a protective device, a six-foot fence enclosing the entire job site, which was listed in an endorsement and schedule attached to the contract, relieves Praetorian of its obligation to pay for Defendants’ losses due to fire…. For the reasons discussed below, the Court will grant Praetorian’s Motion for Summary Judgment (‘the Motion’), direct entry of judgment, and terminate this </w:t>
      </w:r>
      <w:r w:rsidRPr="00015208">
        <w:rPr>
          <w:rFonts w:ascii="Times New Roman" w:hAnsi="Times New Roman"/>
          <w:sz w:val="24"/>
          <w:szCs w:val="24"/>
        </w:rPr>
        <w:lastRenderedPageBreak/>
        <w:t xml:space="preserve">case.” </w:t>
      </w:r>
      <w:hyperlink r:id="rId348" w:history="1">
        <w:r w:rsidRPr="00015208">
          <w:rPr>
            <w:rStyle w:val="Hyperlink"/>
            <w:rFonts w:ascii="Times New Roman" w:eastAsia="Times New Roman" w:hAnsi="Times New Roman"/>
            <w:sz w:val="24"/>
            <w:szCs w:val="24"/>
          </w:rPr>
          <w:t>https://cases.justia.com/federal/district-courts/colorado/codce/1:2017cv02034/173671/65/0.pdf?ts=1551517811</w:t>
        </w:r>
      </w:hyperlink>
      <w:r w:rsidRPr="00015208">
        <w:rPr>
          <w:rFonts w:ascii="Times New Roman" w:eastAsia="Times New Roman" w:hAnsi="Times New Roman"/>
          <w:bCs/>
          <w:sz w:val="24"/>
          <w:szCs w:val="24"/>
        </w:rPr>
        <w:t xml:space="preserve"> </w:t>
      </w:r>
    </w:p>
    <w:p w14:paraId="03930CD2" w14:textId="77777777" w:rsidR="006C7F17" w:rsidRPr="00015208" w:rsidRDefault="006C7F17" w:rsidP="006C7F17">
      <w:pPr>
        <w:pStyle w:val="NoSpacing"/>
        <w:ind w:left="720"/>
        <w:rPr>
          <w:rFonts w:ascii="Times New Roman" w:eastAsia="Times New Roman" w:hAnsi="Times New Roman"/>
          <w:bCs/>
          <w:sz w:val="24"/>
          <w:szCs w:val="24"/>
        </w:rPr>
      </w:pPr>
    </w:p>
    <w:p w14:paraId="1D82724E" w14:textId="77777777" w:rsidR="00ED63B1" w:rsidRPr="00015208" w:rsidRDefault="00ED63B1" w:rsidP="00ED63B1">
      <w:pPr>
        <w:pStyle w:val="NoSpacing"/>
        <w:rPr>
          <w:rFonts w:ascii="Times New Roman" w:hAnsi="Times New Roman"/>
          <w:b/>
          <w:sz w:val="24"/>
          <w:szCs w:val="24"/>
        </w:rPr>
      </w:pPr>
      <w:r w:rsidRPr="00015208">
        <w:rPr>
          <w:rFonts w:ascii="Times New Roman" w:hAnsi="Times New Roman"/>
          <w:b/>
          <w:sz w:val="24"/>
          <w:szCs w:val="24"/>
        </w:rPr>
        <w:t>Legal Lessons Learned:  FDs should encourage owners of large construction sites to enclose the site with fencing and nighttime lights.</w:t>
      </w:r>
    </w:p>
    <w:p w14:paraId="07F65D9E" w14:textId="77777777" w:rsidR="00FB71EA" w:rsidRPr="00015208" w:rsidRDefault="00FB71EA" w:rsidP="00ED63B1">
      <w:pPr>
        <w:pStyle w:val="NoSpacing"/>
        <w:rPr>
          <w:rFonts w:ascii="Times New Roman" w:hAnsi="Times New Roman"/>
          <w:bCs/>
          <w:sz w:val="24"/>
          <w:szCs w:val="24"/>
        </w:rPr>
      </w:pPr>
    </w:p>
    <w:p w14:paraId="05D957A7" w14:textId="77777777" w:rsidR="00F326E5" w:rsidRDefault="00F326E5" w:rsidP="00F326E5">
      <w:pPr>
        <w:pStyle w:val="NoSpacing"/>
        <w:rPr>
          <w:rFonts w:ascii="Times New Roman" w:eastAsia="Times New Roman" w:hAnsi="Times New Roman"/>
          <w:sz w:val="24"/>
          <w:szCs w:val="24"/>
        </w:rPr>
      </w:pPr>
    </w:p>
    <w:p w14:paraId="46AD8CDA" w14:textId="77777777" w:rsidR="00ED63B1" w:rsidRDefault="00ED63B1" w:rsidP="00F326E5">
      <w:pPr>
        <w:pStyle w:val="NoSpacing"/>
        <w:rPr>
          <w:rFonts w:ascii="Times New Roman" w:eastAsia="Times New Roman" w:hAnsi="Times New Roman"/>
          <w:sz w:val="24"/>
          <w:szCs w:val="24"/>
        </w:rPr>
      </w:pPr>
    </w:p>
    <w:p w14:paraId="75B027F1" w14:textId="42604589" w:rsidR="00ED63B1" w:rsidRDefault="00791CA3" w:rsidP="00791CA3">
      <w:pPr>
        <w:rPr>
          <w:rFonts w:ascii="Times New Roman" w:eastAsia="Times New Roman" w:hAnsi="Times New Roman"/>
          <w:sz w:val="24"/>
          <w:szCs w:val="24"/>
        </w:rPr>
      </w:pPr>
      <w:r w:rsidRPr="00791CA3">
        <w:rPr>
          <w:rFonts w:ascii="Arial Black" w:hAnsi="Arial Black"/>
          <w:b/>
          <w:sz w:val="24"/>
          <w:szCs w:val="24"/>
        </w:rPr>
        <w:t>1-</w:t>
      </w:r>
      <w:r w:rsidR="00637A12">
        <w:rPr>
          <w:rFonts w:ascii="Arial Black" w:hAnsi="Arial Black"/>
          <w:b/>
          <w:sz w:val="24"/>
          <w:szCs w:val="24"/>
        </w:rPr>
        <w:t>21</w:t>
      </w:r>
    </w:p>
    <w:p w14:paraId="7E0460AE" w14:textId="5773390F" w:rsidR="00F326E5" w:rsidRDefault="00F326E5" w:rsidP="00F326E5">
      <w:pPr>
        <w:pStyle w:val="NoSpacing"/>
        <w:rPr>
          <w:rFonts w:ascii="Times New Roman" w:hAnsi="Times New Roman"/>
          <w:sz w:val="24"/>
          <w:szCs w:val="24"/>
        </w:rPr>
      </w:pPr>
      <w:bookmarkStart w:id="68" w:name="_Hlk7339238"/>
      <w:r w:rsidRPr="000D5825">
        <w:rPr>
          <w:rFonts w:ascii="Arial Black" w:hAnsi="Arial Black"/>
          <w:b/>
          <w:sz w:val="28"/>
          <w:szCs w:val="28"/>
        </w:rPr>
        <w:t xml:space="preserve">MD:  GOVT IMMUNITY – COUNTY 911 </w:t>
      </w:r>
      <w:r>
        <w:rPr>
          <w:rFonts w:ascii="Arial Black" w:hAnsi="Arial Black"/>
          <w:b/>
          <w:sz w:val="28"/>
          <w:szCs w:val="28"/>
        </w:rPr>
        <w:t xml:space="preserve">SYSTEM </w:t>
      </w:r>
      <w:r w:rsidRPr="000D5825">
        <w:rPr>
          <w:rFonts w:ascii="Arial Black" w:hAnsi="Arial Black"/>
          <w:b/>
          <w:sz w:val="28"/>
          <w:szCs w:val="28"/>
        </w:rPr>
        <w:t>DOWN 3 HOURS</w:t>
      </w:r>
      <w:r>
        <w:rPr>
          <w:rFonts w:ascii="Arial Black" w:hAnsi="Arial Black"/>
          <w:b/>
          <w:sz w:val="28"/>
          <w:szCs w:val="28"/>
        </w:rPr>
        <w:t xml:space="preserve"> – RESIDENT DIED </w:t>
      </w:r>
      <w:r w:rsidRPr="000D5825">
        <w:rPr>
          <w:rFonts w:ascii="Arial Black" w:hAnsi="Arial Black"/>
          <w:b/>
          <w:sz w:val="28"/>
          <w:szCs w:val="28"/>
        </w:rPr>
        <w:t xml:space="preserve"> </w:t>
      </w:r>
      <w:r w:rsidRPr="000D5825">
        <w:rPr>
          <w:rFonts w:ascii="Times New Roman" w:hAnsi="Times New Roman"/>
          <w:sz w:val="24"/>
          <w:szCs w:val="24"/>
        </w:rPr>
        <w:t xml:space="preserve"> </w:t>
      </w:r>
    </w:p>
    <w:p w14:paraId="5B04FA95" w14:textId="77777777" w:rsidR="006C7F17" w:rsidRDefault="006C7F17" w:rsidP="00F326E5">
      <w:pPr>
        <w:pStyle w:val="NoSpacing"/>
        <w:rPr>
          <w:rFonts w:ascii="Times New Roman" w:hAnsi="Times New Roman"/>
          <w:sz w:val="24"/>
          <w:szCs w:val="24"/>
        </w:rPr>
      </w:pPr>
    </w:p>
    <w:p w14:paraId="58A32474" w14:textId="77777777" w:rsidR="006C7F17" w:rsidRDefault="00F326E5" w:rsidP="00F326E5">
      <w:pPr>
        <w:pStyle w:val="NoSpacing"/>
        <w:rPr>
          <w:rFonts w:ascii="Times New Roman" w:hAnsi="Times New Roman"/>
          <w:sz w:val="24"/>
          <w:szCs w:val="24"/>
        </w:rPr>
      </w:pPr>
      <w:r w:rsidRPr="000D5825">
        <w:rPr>
          <w:rFonts w:ascii="Times New Roman" w:hAnsi="Times New Roman"/>
          <w:sz w:val="24"/>
          <w:szCs w:val="24"/>
        </w:rPr>
        <w:t xml:space="preserve">On Feb. 22, 2019, in </w:t>
      </w:r>
      <w:r w:rsidRPr="000D5825">
        <w:rPr>
          <w:rFonts w:ascii="Times New Roman" w:hAnsi="Times New Roman"/>
          <w:sz w:val="24"/>
          <w:szCs w:val="24"/>
          <w:u w:val="single"/>
        </w:rPr>
        <w:t xml:space="preserve">Raul T. </w:t>
      </w:r>
      <w:proofErr w:type="spellStart"/>
      <w:r w:rsidRPr="000D5825">
        <w:rPr>
          <w:rFonts w:ascii="Times New Roman" w:hAnsi="Times New Roman"/>
          <w:sz w:val="24"/>
          <w:szCs w:val="24"/>
          <w:u w:val="single"/>
        </w:rPr>
        <w:t>Aristorenas</w:t>
      </w:r>
      <w:proofErr w:type="spellEnd"/>
      <w:r w:rsidRPr="000D5825">
        <w:rPr>
          <w:rFonts w:ascii="Times New Roman" w:hAnsi="Times New Roman"/>
          <w:sz w:val="24"/>
          <w:szCs w:val="24"/>
          <w:u w:val="single"/>
        </w:rPr>
        <w:t>, et al. v. Montgomery County, Maryland</w:t>
      </w:r>
      <w:r w:rsidRPr="000D5825">
        <w:rPr>
          <w:rFonts w:ascii="Times New Roman" w:hAnsi="Times New Roman"/>
          <w:sz w:val="24"/>
          <w:szCs w:val="24"/>
        </w:rPr>
        <w:t xml:space="preserve">, the Court of Appeals of Maryland, held (3 to 0) in unreported decision upheld the dismissal of the lawsuit by Circuit Court trial judge: </w:t>
      </w:r>
    </w:p>
    <w:p w14:paraId="5BB73285" w14:textId="77777777" w:rsidR="006C7F17" w:rsidRDefault="006C7F17" w:rsidP="00F326E5">
      <w:pPr>
        <w:pStyle w:val="NoSpacing"/>
        <w:rPr>
          <w:rFonts w:ascii="Times New Roman" w:hAnsi="Times New Roman"/>
          <w:sz w:val="24"/>
          <w:szCs w:val="24"/>
        </w:rPr>
      </w:pPr>
    </w:p>
    <w:p w14:paraId="056A9A0A" w14:textId="77777777" w:rsidR="006C7F17" w:rsidRPr="006C7F17" w:rsidRDefault="00F326E5" w:rsidP="006C7F17">
      <w:pPr>
        <w:pStyle w:val="NoSpacing"/>
        <w:ind w:left="720"/>
        <w:rPr>
          <w:rFonts w:ascii="Times New Roman" w:hAnsi="Times New Roman"/>
          <w:sz w:val="24"/>
          <w:szCs w:val="24"/>
        </w:rPr>
      </w:pPr>
      <w:r w:rsidRPr="006C7F17">
        <w:rPr>
          <w:rFonts w:ascii="Times New Roman" w:hAnsi="Times New Roman"/>
          <w:sz w:val="24"/>
          <w:szCs w:val="24"/>
        </w:rPr>
        <w:t>“The [trial] court concluded that the allegations did not state a claim for negligence—which underlies both the wrongful death and the survival claims—because the County is immune from suit and the individual defendants did not owe a duty to Mr. Somarriba or Marlon. We agree and affirm.”</w:t>
      </w:r>
    </w:p>
    <w:p w14:paraId="08FDEA33" w14:textId="76716B15" w:rsidR="00F326E5" w:rsidRPr="006C7F17" w:rsidRDefault="006C7F17" w:rsidP="006C7F17">
      <w:pPr>
        <w:pStyle w:val="NoSpacing"/>
        <w:ind w:left="720"/>
        <w:rPr>
          <w:rFonts w:ascii="Times New Roman" w:hAnsi="Times New Roman"/>
          <w:sz w:val="24"/>
          <w:szCs w:val="24"/>
        </w:rPr>
      </w:pPr>
      <w:hyperlink r:id="rId349" w:history="1">
        <w:r w:rsidRPr="006C7F17">
          <w:rPr>
            <w:rStyle w:val="Hyperlink"/>
            <w:rFonts w:ascii="Times New Roman" w:hAnsi="Times New Roman"/>
            <w:sz w:val="24"/>
            <w:szCs w:val="24"/>
          </w:rPr>
          <w:t>https://mdcourts.gov/sites/default/files/unreported-opinions/2279s17.pdf</w:t>
        </w:r>
      </w:hyperlink>
      <w:r w:rsidR="00F326E5" w:rsidRPr="006C7F17">
        <w:rPr>
          <w:rFonts w:ascii="Times New Roman" w:hAnsi="Times New Roman"/>
          <w:sz w:val="24"/>
          <w:szCs w:val="24"/>
        </w:rPr>
        <w:t xml:space="preserve"> </w:t>
      </w:r>
    </w:p>
    <w:p w14:paraId="43C66349" w14:textId="77777777" w:rsidR="006C7F17" w:rsidRDefault="006C7F17" w:rsidP="00F326E5">
      <w:pPr>
        <w:pStyle w:val="NoSpacing"/>
        <w:rPr>
          <w:rFonts w:ascii="Times New Roman" w:hAnsi="Times New Roman"/>
          <w:b/>
          <w:sz w:val="24"/>
          <w:szCs w:val="24"/>
        </w:rPr>
      </w:pPr>
    </w:p>
    <w:p w14:paraId="100E6B17" w14:textId="51D06BDA" w:rsidR="00F326E5" w:rsidRPr="000D5825" w:rsidRDefault="00F326E5" w:rsidP="00F326E5">
      <w:pPr>
        <w:pStyle w:val="NoSpacing"/>
        <w:rPr>
          <w:rFonts w:ascii="Times New Roman" w:hAnsi="Times New Roman"/>
          <w:b/>
          <w:sz w:val="24"/>
          <w:szCs w:val="24"/>
        </w:rPr>
      </w:pPr>
      <w:r w:rsidRPr="000D5825">
        <w:rPr>
          <w:rFonts w:ascii="Times New Roman" w:hAnsi="Times New Roman"/>
          <w:b/>
          <w:sz w:val="24"/>
          <w:szCs w:val="24"/>
        </w:rPr>
        <w:t xml:space="preserve">Legal Lessons Learned:  This is a tragic case – amazing there was no back up system, or ability to have another 911 Center pick up the calls. </w:t>
      </w:r>
    </w:p>
    <w:bookmarkEnd w:id="68"/>
    <w:p w14:paraId="3EEDA415" w14:textId="77777777" w:rsidR="006C7F17" w:rsidRDefault="006C7F17" w:rsidP="00791CA3">
      <w:pPr>
        <w:rPr>
          <w:rFonts w:ascii="Arial Black" w:hAnsi="Arial Black"/>
          <w:b/>
          <w:sz w:val="24"/>
          <w:szCs w:val="24"/>
        </w:rPr>
      </w:pPr>
    </w:p>
    <w:p w14:paraId="07668947" w14:textId="77777777" w:rsidR="006C7F17" w:rsidRDefault="006C7F17" w:rsidP="00791CA3">
      <w:pPr>
        <w:rPr>
          <w:rFonts w:ascii="Arial Black" w:hAnsi="Arial Black"/>
          <w:b/>
          <w:sz w:val="24"/>
          <w:szCs w:val="24"/>
        </w:rPr>
      </w:pPr>
    </w:p>
    <w:p w14:paraId="079033DB" w14:textId="5A48DD72" w:rsidR="00F326E5" w:rsidRDefault="00791CA3" w:rsidP="00791CA3">
      <w:pPr>
        <w:rPr>
          <w:sz w:val="24"/>
          <w:szCs w:val="24"/>
        </w:rPr>
      </w:pPr>
      <w:r w:rsidRPr="00791CA3">
        <w:rPr>
          <w:rFonts w:ascii="Arial Black" w:hAnsi="Arial Black"/>
          <w:b/>
          <w:sz w:val="24"/>
          <w:szCs w:val="24"/>
        </w:rPr>
        <w:t>1-</w:t>
      </w:r>
      <w:r w:rsidR="00637A12">
        <w:rPr>
          <w:rFonts w:ascii="Arial Black" w:hAnsi="Arial Black"/>
          <w:b/>
          <w:sz w:val="24"/>
          <w:szCs w:val="24"/>
        </w:rPr>
        <w:t>20</w:t>
      </w:r>
    </w:p>
    <w:p w14:paraId="422200A5" w14:textId="7A60CD50" w:rsidR="00F326E5" w:rsidRDefault="00F326E5" w:rsidP="00F326E5">
      <w:pPr>
        <w:pStyle w:val="NoSpacing"/>
        <w:rPr>
          <w:rFonts w:ascii="Arial Black" w:hAnsi="Arial Black"/>
          <w:sz w:val="28"/>
          <w:szCs w:val="28"/>
        </w:rPr>
      </w:pPr>
      <w:bookmarkStart w:id="69" w:name="_Hlk7339326"/>
      <w:r w:rsidRPr="006F4065">
        <w:rPr>
          <w:rFonts w:ascii="Arial Black" w:hAnsi="Arial Black"/>
          <w:sz w:val="28"/>
          <w:szCs w:val="28"/>
        </w:rPr>
        <w:t>U.S. SUPREME COURT:  EXECUTION</w:t>
      </w:r>
      <w:r>
        <w:rPr>
          <w:rFonts w:ascii="Arial Black" w:hAnsi="Arial Black"/>
          <w:sz w:val="28"/>
          <w:szCs w:val="28"/>
        </w:rPr>
        <w:t xml:space="preserve"> – INMATE NOT ENTITLED TO HAVE IMAM PRESENT IN DEATH CHAMBER </w:t>
      </w:r>
    </w:p>
    <w:p w14:paraId="0CAD3B26" w14:textId="77777777" w:rsidR="00637A12" w:rsidRDefault="00637A12" w:rsidP="00F326E5">
      <w:pPr>
        <w:rPr>
          <w:rFonts w:ascii="Times New Roman" w:hAnsi="Times New Roman"/>
          <w:sz w:val="24"/>
          <w:szCs w:val="24"/>
        </w:rPr>
      </w:pPr>
    </w:p>
    <w:p w14:paraId="2D7F9A9A" w14:textId="3FDFEDA9" w:rsidR="00F326E5" w:rsidRPr="00015208" w:rsidRDefault="00F326E5" w:rsidP="00F326E5">
      <w:pPr>
        <w:rPr>
          <w:rStyle w:val="Hyperlink"/>
          <w:rFonts w:ascii="Times New Roman" w:hAnsi="Times New Roman"/>
          <w:sz w:val="24"/>
          <w:szCs w:val="24"/>
        </w:rPr>
      </w:pPr>
      <w:r w:rsidRPr="00015208">
        <w:rPr>
          <w:rFonts w:ascii="Times New Roman" w:hAnsi="Times New Roman"/>
          <w:sz w:val="24"/>
          <w:szCs w:val="24"/>
        </w:rPr>
        <w:t xml:space="preserve">On Feb. 7, 2019, in </w:t>
      </w:r>
      <w:r w:rsidRPr="00015208">
        <w:rPr>
          <w:rFonts w:ascii="Times New Roman" w:hAnsi="Times New Roman"/>
          <w:sz w:val="24"/>
          <w:szCs w:val="24"/>
          <w:u w:val="single"/>
        </w:rPr>
        <w:t>Jefferson S. Dunn, Commissioner, Alabama Department of Corrections v. Dominique Hakim Marcelle Ray</w:t>
      </w:r>
      <w:r w:rsidRPr="00015208">
        <w:rPr>
          <w:rFonts w:ascii="Times New Roman" w:hAnsi="Times New Roman"/>
          <w:sz w:val="24"/>
          <w:szCs w:val="24"/>
        </w:rPr>
        <w:t xml:space="preserve">, </w:t>
      </w:r>
      <w:proofErr w:type="gramStart"/>
      <w:r w:rsidRPr="00015208">
        <w:rPr>
          <w:rFonts w:ascii="Times New Roman" w:hAnsi="Times New Roman"/>
          <w:sz w:val="24"/>
          <w:szCs w:val="24"/>
        </w:rPr>
        <w:t>the majority of</w:t>
      </w:r>
      <w:proofErr w:type="gramEnd"/>
      <w:r w:rsidRPr="00015208">
        <w:rPr>
          <w:rFonts w:ascii="Times New Roman" w:hAnsi="Times New Roman"/>
          <w:sz w:val="24"/>
          <w:szCs w:val="24"/>
        </w:rPr>
        <w:t xml:space="preserve"> Justices [5 to 4] overturned 11</w:t>
      </w:r>
      <w:r w:rsidRPr="00015208">
        <w:rPr>
          <w:rFonts w:ascii="Times New Roman" w:hAnsi="Times New Roman"/>
          <w:sz w:val="24"/>
          <w:szCs w:val="24"/>
          <w:vertAlign w:val="superscript"/>
        </w:rPr>
        <w:t>th</w:t>
      </w:r>
      <w:r w:rsidRPr="00015208">
        <w:rPr>
          <w:rFonts w:ascii="Times New Roman" w:hAnsi="Times New Roman"/>
          <w:sz w:val="24"/>
          <w:szCs w:val="24"/>
        </w:rPr>
        <w:t xml:space="preserve"> Circuit’s Feb. 6, </w:t>
      </w:r>
      <w:proofErr w:type="gramStart"/>
      <w:r w:rsidRPr="00015208">
        <w:rPr>
          <w:rFonts w:ascii="Times New Roman" w:hAnsi="Times New Roman"/>
          <w:sz w:val="24"/>
          <w:szCs w:val="24"/>
        </w:rPr>
        <w:t>2019</w:t>
      </w:r>
      <w:proofErr w:type="gramEnd"/>
      <w:r w:rsidRPr="00015208">
        <w:rPr>
          <w:rFonts w:ascii="Times New Roman" w:hAnsi="Times New Roman"/>
          <w:sz w:val="24"/>
          <w:szCs w:val="24"/>
        </w:rPr>
        <w:t xml:space="preserve"> stay of execution of Ray, who has raped and murdered a </w:t>
      </w:r>
      <w:proofErr w:type="gramStart"/>
      <w:r w:rsidRPr="00015208">
        <w:rPr>
          <w:rFonts w:ascii="Times New Roman" w:hAnsi="Times New Roman"/>
          <w:sz w:val="24"/>
          <w:szCs w:val="24"/>
        </w:rPr>
        <w:t>15-year old</w:t>
      </w:r>
      <w:proofErr w:type="gramEnd"/>
      <w:r w:rsidRPr="00015208">
        <w:rPr>
          <w:rFonts w:ascii="Times New Roman" w:hAnsi="Times New Roman"/>
          <w:sz w:val="24"/>
          <w:szCs w:val="24"/>
        </w:rPr>
        <w:t xml:space="preserve"> girl in 1995.   Ray had asked Alabama prison officials to allow an imam to be in the death chamber, but only correction employees are allowed, including a long employed Christian chaplain. [The State of Alabama then executed the prisoner on Feb. 7, at 10:12 pm.] </w:t>
      </w:r>
      <w:hyperlink r:id="rId350" w:history="1">
        <w:r w:rsidRPr="00015208">
          <w:rPr>
            <w:rStyle w:val="Hyperlink"/>
            <w:rFonts w:ascii="Times New Roman" w:hAnsi="Times New Roman"/>
            <w:sz w:val="24"/>
            <w:szCs w:val="24"/>
          </w:rPr>
          <w:t>https://www.supremecourt.gov/opinions/18pdf/18a815_3d9g.pdf</w:t>
        </w:r>
      </w:hyperlink>
    </w:p>
    <w:p w14:paraId="135AC590" w14:textId="77777777" w:rsidR="00F326E5" w:rsidRPr="00015208" w:rsidRDefault="00F326E5" w:rsidP="00F326E5">
      <w:pPr>
        <w:pStyle w:val="NoSpacing"/>
        <w:rPr>
          <w:rFonts w:ascii="Times New Roman" w:hAnsi="Times New Roman"/>
          <w:sz w:val="24"/>
          <w:szCs w:val="24"/>
        </w:rPr>
      </w:pPr>
      <w:r w:rsidRPr="00015208">
        <w:rPr>
          <w:rFonts w:ascii="Times New Roman" w:hAnsi="Times New Roman"/>
          <w:b/>
          <w:sz w:val="24"/>
          <w:szCs w:val="24"/>
        </w:rPr>
        <w:t>Legal Lessons Learned:  The Supreme Court’s five “conservative” Justices have made it clear that last minute stays of execution are not favored</w:t>
      </w:r>
      <w:r w:rsidRPr="00015208">
        <w:rPr>
          <w:rFonts w:ascii="Times New Roman" w:hAnsi="Times New Roman"/>
          <w:sz w:val="24"/>
          <w:szCs w:val="24"/>
        </w:rPr>
        <w:t xml:space="preserve">. </w:t>
      </w:r>
    </w:p>
    <w:p w14:paraId="25C5C679" w14:textId="77777777" w:rsidR="002B1283" w:rsidRDefault="002B1283" w:rsidP="00F326E5">
      <w:pPr>
        <w:pStyle w:val="NoSpacing"/>
        <w:ind w:left="720"/>
        <w:rPr>
          <w:sz w:val="24"/>
          <w:szCs w:val="24"/>
        </w:rPr>
      </w:pPr>
    </w:p>
    <w:p w14:paraId="3F17E0F5" w14:textId="6EB1603C" w:rsidR="00F326E5" w:rsidRPr="00015208" w:rsidRDefault="00F326E5" w:rsidP="00F326E5">
      <w:pPr>
        <w:pStyle w:val="NoSpacing"/>
        <w:ind w:left="720"/>
        <w:rPr>
          <w:rFonts w:ascii="Times New Roman" w:hAnsi="Times New Roman"/>
          <w:sz w:val="24"/>
          <w:szCs w:val="24"/>
        </w:rPr>
      </w:pPr>
      <w:r w:rsidRPr="00015208">
        <w:rPr>
          <w:rFonts w:ascii="Times New Roman" w:hAnsi="Times New Roman"/>
          <w:sz w:val="24"/>
          <w:szCs w:val="24"/>
        </w:rPr>
        <w:t xml:space="preserve">See Feb. 7, </w:t>
      </w:r>
      <w:proofErr w:type="gramStart"/>
      <w:r w:rsidRPr="00015208">
        <w:rPr>
          <w:rFonts w:ascii="Times New Roman" w:hAnsi="Times New Roman"/>
          <w:sz w:val="24"/>
          <w:szCs w:val="24"/>
        </w:rPr>
        <w:t>2018</w:t>
      </w:r>
      <w:proofErr w:type="gramEnd"/>
      <w:r w:rsidRPr="00015208">
        <w:rPr>
          <w:rFonts w:ascii="Times New Roman" w:hAnsi="Times New Roman"/>
          <w:sz w:val="24"/>
          <w:szCs w:val="24"/>
        </w:rPr>
        <w:t xml:space="preserve"> article, “Alabama Executes Muslim Inmate Who Wanted Imam Present.”   “Ray was convicted in 1999 after another man, Marcus Owden, confessed to his role in the crime and implicated Ray. </w:t>
      </w:r>
      <w:proofErr w:type="spellStart"/>
      <w:r w:rsidRPr="00015208">
        <w:rPr>
          <w:rFonts w:ascii="Times New Roman" w:hAnsi="Times New Roman"/>
          <w:sz w:val="24"/>
          <w:szCs w:val="24"/>
        </w:rPr>
        <w:t>Owden</w:t>
      </w:r>
      <w:proofErr w:type="spellEnd"/>
      <w:r w:rsidRPr="00015208">
        <w:rPr>
          <w:rFonts w:ascii="Times New Roman" w:hAnsi="Times New Roman"/>
          <w:sz w:val="24"/>
          <w:szCs w:val="24"/>
        </w:rPr>
        <w:t xml:space="preserve"> told police that they had picked the girl up for a night out on the town and then raped her. </w:t>
      </w:r>
      <w:proofErr w:type="spellStart"/>
      <w:r w:rsidRPr="00015208">
        <w:rPr>
          <w:rFonts w:ascii="Times New Roman" w:hAnsi="Times New Roman"/>
          <w:sz w:val="24"/>
          <w:szCs w:val="24"/>
        </w:rPr>
        <w:t>Owden</w:t>
      </w:r>
      <w:proofErr w:type="spellEnd"/>
      <w:r w:rsidRPr="00015208">
        <w:rPr>
          <w:rFonts w:ascii="Times New Roman" w:hAnsi="Times New Roman"/>
          <w:sz w:val="24"/>
          <w:szCs w:val="24"/>
        </w:rPr>
        <w:t xml:space="preserve"> said that Ray cut the girl’s throat. </w:t>
      </w:r>
      <w:proofErr w:type="spellStart"/>
      <w:r w:rsidRPr="00015208">
        <w:rPr>
          <w:rFonts w:ascii="Times New Roman" w:hAnsi="Times New Roman"/>
          <w:sz w:val="24"/>
          <w:szCs w:val="24"/>
        </w:rPr>
        <w:t>Owden</w:t>
      </w:r>
      <w:proofErr w:type="spellEnd"/>
      <w:r w:rsidRPr="00015208">
        <w:rPr>
          <w:rFonts w:ascii="Times New Roman" w:hAnsi="Times New Roman"/>
          <w:sz w:val="24"/>
          <w:szCs w:val="24"/>
        </w:rPr>
        <w:t xml:space="preserve"> pleaded guilty to murder, testified against Ray and is serving a life sentence without parole. A jury recommended the death penalty for Ray by an 11-1 vote.” </w:t>
      </w:r>
      <w:hyperlink r:id="rId351" w:history="1">
        <w:r w:rsidRPr="00015208">
          <w:rPr>
            <w:rStyle w:val="Hyperlink"/>
            <w:rFonts w:ascii="Times New Roman" w:hAnsi="Times New Roman"/>
            <w:sz w:val="24"/>
            <w:szCs w:val="24"/>
          </w:rPr>
          <w:t>https://www.apnews.com/50ced4152dc74df1975a925e4fa29038</w:t>
        </w:r>
      </w:hyperlink>
    </w:p>
    <w:p w14:paraId="121DFB90" w14:textId="77777777" w:rsidR="00F326E5" w:rsidRPr="00015208" w:rsidRDefault="00F326E5" w:rsidP="00F326E5">
      <w:pPr>
        <w:pStyle w:val="NoSpacing"/>
        <w:ind w:left="720"/>
        <w:rPr>
          <w:rStyle w:val="Hyperlink"/>
          <w:rFonts w:ascii="Times New Roman" w:hAnsi="Times New Roman"/>
          <w:sz w:val="24"/>
          <w:szCs w:val="24"/>
        </w:rPr>
      </w:pPr>
      <w:r w:rsidRPr="00015208">
        <w:rPr>
          <w:rFonts w:ascii="Times New Roman" w:hAnsi="Times New Roman"/>
          <w:sz w:val="24"/>
          <w:szCs w:val="24"/>
        </w:rPr>
        <w:lastRenderedPageBreak/>
        <w:t xml:space="preserve">See Feb. 8, </w:t>
      </w:r>
      <w:proofErr w:type="gramStart"/>
      <w:r w:rsidRPr="00015208">
        <w:rPr>
          <w:rFonts w:ascii="Times New Roman" w:hAnsi="Times New Roman"/>
          <w:sz w:val="24"/>
          <w:szCs w:val="24"/>
        </w:rPr>
        <w:t>2019</w:t>
      </w:r>
      <w:proofErr w:type="gramEnd"/>
      <w:r w:rsidRPr="00015208">
        <w:rPr>
          <w:rFonts w:ascii="Times New Roman" w:hAnsi="Times New Roman"/>
          <w:sz w:val="24"/>
          <w:szCs w:val="24"/>
        </w:rPr>
        <w:t xml:space="preserve"> Washington Post article: “Abortion, Death Penalty, Religion: Late-Night Rulings Show New Alliances </w:t>
      </w:r>
      <w:proofErr w:type="gramStart"/>
      <w:r w:rsidRPr="00015208">
        <w:rPr>
          <w:rFonts w:ascii="Times New Roman" w:hAnsi="Times New Roman"/>
          <w:sz w:val="24"/>
          <w:szCs w:val="24"/>
        </w:rPr>
        <w:t>At</w:t>
      </w:r>
      <w:proofErr w:type="gramEnd"/>
      <w:r w:rsidRPr="00015208">
        <w:rPr>
          <w:rFonts w:ascii="Times New Roman" w:hAnsi="Times New Roman"/>
          <w:sz w:val="24"/>
          <w:szCs w:val="24"/>
        </w:rPr>
        <w:t xml:space="preserve"> Supreme Court.”  </w:t>
      </w:r>
      <w:hyperlink r:id="rId352" w:history="1">
        <w:r w:rsidRPr="00015208">
          <w:rPr>
            <w:rStyle w:val="Hyperlink"/>
            <w:rFonts w:ascii="Times New Roman" w:hAnsi="Times New Roman"/>
            <w:sz w:val="24"/>
            <w:szCs w:val="24"/>
          </w:rPr>
          <w:t>https://www.washingtonpost.com/politics/courts_law/abortion-death-penalty-religion-late-night-rulings-show-new-alliances-at-supreme-court/2019/02/08/681cc252-2bb9-11e9-b011-d8500644dc98_story.html?utm_term=.6e954895539e&amp;wpisrc=nl_evening&amp;wpmm=1</w:t>
        </w:r>
      </w:hyperlink>
    </w:p>
    <w:p w14:paraId="23486DA6" w14:textId="77777777" w:rsidR="00F326E5" w:rsidRPr="00015208" w:rsidRDefault="00F326E5" w:rsidP="00F326E5">
      <w:pPr>
        <w:pStyle w:val="NoSpacing"/>
        <w:rPr>
          <w:rFonts w:ascii="Times New Roman" w:hAnsi="Times New Roman"/>
          <w:sz w:val="24"/>
          <w:szCs w:val="24"/>
        </w:rPr>
      </w:pPr>
    </w:p>
    <w:bookmarkEnd w:id="69"/>
    <w:p w14:paraId="00DEA165" w14:textId="77777777" w:rsidR="00536545" w:rsidRDefault="00536545" w:rsidP="00791CA3">
      <w:pPr>
        <w:rPr>
          <w:rFonts w:ascii="Arial Black" w:hAnsi="Arial Black"/>
          <w:b/>
          <w:sz w:val="24"/>
          <w:szCs w:val="24"/>
        </w:rPr>
      </w:pPr>
    </w:p>
    <w:p w14:paraId="0E947CD1" w14:textId="08C9C62B" w:rsidR="00F326E5" w:rsidRDefault="00791CA3" w:rsidP="00791CA3">
      <w:pPr>
        <w:rPr>
          <w:b/>
          <w:sz w:val="24"/>
          <w:szCs w:val="24"/>
        </w:rPr>
      </w:pPr>
      <w:r w:rsidRPr="00791CA3">
        <w:rPr>
          <w:rFonts w:ascii="Arial Black" w:hAnsi="Arial Black"/>
          <w:b/>
          <w:sz w:val="24"/>
          <w:szCs w:val="24"/>
        </w:rPr>
        <w:t>1-</w:t>
      </w:r>
      <w:r>
        <w:rPr>
          <w:rFonts w:ascii="Arial Black" w:hAnsi="Arial Black"/>
          <w:b/>
          <w:sz w:val="24"/>
          <w:szCs w:val="24"/>
        </w:rPr>
        <w:t>1</w:t>
      </w:r>
      <w:r w:rsidR="00637A12">
        <w:rPr>
          <w:rFonts w:ascii="Arial Black" w:hAnsi="Arial Black"/>
          <w:b/>
          <w:sz w:val="24"/>
          <w:szCs w:val="24"/>
        </w:rPr>
        <w:t>9</w:t>
      </w:r>
    </w:p>
    <w:p w14:paraId="718524CE" w14:textId="2F5BE05B" w:rsidR="00F326E5" w:rsidRDefault="00F326E5" w:rsidP="00F326E5">
      <w:pPr>
        <w:pStyle w:val="NoSpacing"/>
        <w:rPr>
          <w:rFonts w:ascii="Arial Black" w:hAnsi="Arial Black"/>
          <w:sz w:val="28"/>
          <w:szCs w:val="28"/>
        </w:rPr>
      </w:pPr>
      <w:bookmarkStart w:id="70" w:name="_Hlk7339379"/>
      <w:r w:rsidRPr="00C25785">
        <w:rPr>
          <w:rFonts w:ascii="Arial Black" w:hAnsi="Arial Black"/>
          <w:sz w:val="28"/>
          <w:szCs w:val="28"/>
        </w:rPr>
        <w:t xml:space="preserve">MA: </w:t>
      </w:r>
      <w:r>
        <w:rPr>
          <w:rFonts w:ascii="Arial Black" w:hAnsi="Arial Black"/>
          <w:sz w:val="28"/>
          <w:szCs w:val="28"/>
        </w:rPr>
        <w:t>SPRINKLERS - DRUG REHAB HOUSE WITH 8 PATIENTS – COURT UPHOLDS FIRE CODE</w:t>
      </w:r>
    </w:p>
    <w:p w14:paraId="1BE1EC99" w14:textId="77777777" w:rsidR="00F326E5" w:rsidRPr="00015208" w:rsidRDefault="00F326E5" w:rsidP="00F326E5">
      <w:pPr>
        <w:rPr>
          <w:rFonts w:ascii="Times New Roman" w:hAnsi="Times New Roman"/>
          <w:sz w:val="24"/>
          <w:szCs w:val="24"/>
        </w:rPr>
      </w:pPr>
      <w:r w:rsidRPr="00015208">
        <w:rPr>
          <w:rFonts w:ascii="Times New Roman" w:hAnsi="Times New Roman"/>
          <w:sz w:val="24"/>
          <w:szCs w:val="24"/>
        </w:rPr>
        <w:t xml:space="preserve">On Jan. 29, 2019, in </w:t>
      </w:r>
      <w:r w:rsidRPr="00015208">
        <w:rPr>
          <w:rFonts w:ascii="Times New Roman" w:hAnsi="Times New Roman"/>
          <w:sz w:val="24"/>
          <w:szCs w:val="24"/>
          <w:u w:val="single"/>
        </w:rPr>
        <w:t xml:space="preserve">Crossing Over, Inc, et al. v. City of </w:t>
      </w:r>
      <w:proofErr w:type="spellStart"/>
      <w:r w:rsidRPr="00015208">
        <w:rPr>
          <w:rFonts w:ascii="Times New Roman" w:hAnsi="Times New Roman"/>
          <w:sz w:val="24"/>
          <w:szCs w:val="24"/>
          <w:u w:val="single"/>
        </w:rPr>
        <w:t>Fitchberg</w:t>
      </w:r>
      <w:proofErr w:type="spellEnd"/>
      <w:r w:rsidRPr="00015208">
        <w:rPr>
          <w:rFonts w:ascii="Times New Roman" w:hAnsi="Times New Roman"/>
          <w:sz w:val="24"/>
          <w:szCs w:val="24"/>
        </w:rPr>
        <w:t xml:space="preserve">, Justice Rosemary Connelly, MA Superior Court upheld the July 14, </w:t>
      </w:r>
      <w:proofErr w:type="gramStart"/>
      <w:r w:rsidRPr="00015208">
        <w:rPr>
          <w:rFonts w:ascii="Times New Roman" w:hAnsi="Times New Roman"/>
          <w:sz w:val="24"/>
          <w:szCs w:val="24"/>
        </w:rPr>
        <w:t>2017</w:t>
      </w:r>
      <w:proofErr w:type="gramEnd"/>
      <w:r w:rsidRPr="00015208">
        <w:rPr>
          <w:rFonts w:ascii="Times New Roman" w:hAnsi="Times New Roman"/>
          <w:sz w:val="24"/>
          <w:szCs w:val="24"/>
        </w:rPr>
        <w:t xml:space="preserve"> decision of the “Automatic Sprinkler Appeals Board” which held:</w:t>
      </w:r>
    </w:p>
    <w:p w14:paraId="453E6380" w14:textId="5AE47AAE" w:rsidR="00F326E5" w:rsidRPr="00015208" w:rsidRDefault="006C7F17" w:rsidP="00F326E5">
      <w:pPr>
        <w:ind w:left="720"/>
        <w:rPr>
          <w:rFonts w:ascii="Times New Roman" w:hAnsi="Times New Roman"/>
          <w:b/>
          <w:sz w:val="24"/>
          <w:szCs w:val="24"/>
        </w:rPr>
      </w:pPr>
      <w:r>
        <w:rPr>
          <w:rFonts w:ascii="Times New Roman" w:hAnsi="Times New Roman"/>
          <w:sz w:val="24"/>
          <w:szCs w:val="24"/>
        </w:rPr>
        <w:t>“</w:t>
      </w:r>
      <w:r w:rsidR="00F326E5" w:rsidRPr="00015208">
        <w:rPr>
          <w:rFonts w:ascii="Times New Roman" w:hAnsi="Times New Roman"/>
          <w:sz w:val="24"/>
          <w:szCs w:val="24"/>
        </w:rPr>
        <w:t xml:space="preserve">Based upon the aforementioned findings and reasoning, the Board hereby upholds the Order of the Fitchburg Fire Department and requires the installation of an adequate system of sprinklers throughout all portions of the subject building used and/or occupied for boarding or lodging purposes….” </w:t>
      </w:r>
      <w:hyperlink r:id="rId353" w:history="1">
        <w:r w:rsidR="00F326E5" w:rsidRPr="00015208">
          <w:rPr>
            <w:rStyle w:val="Hyperlink"/>
            <w:rFonts w:ascii="Times New Roman" w:hAnsi="Times New Roman"/>
            <w:sz w:val="24"/>
            <w:szCs w:val="24"/>
          </w:rPr>
          <w:t>https://www.mass.gov/files/documents/2018/06/22/ASAB%2017-04%20%2044%20Mt.%20Vernon%20St.%2C%20Fitchburg.pdf?_ga=2.103697088.170248601.1551215432-2018690554.1551215432</w:t>
        </w:r>
      </w:hyperlink>
      <w:r w:rsidR="00F326E5" w:rsidRPr="00015208">
        <w:rPr>
          <w:rFonts w:ascii="Times New Roman" w:hAnsi="Times New Roman"/>
          <w:b/>
          <w:sz w:val="24"/>
          <w:szCs w:val="24"/>
        </w:rPr>
        <w:t xml:space="preserve"> </w:t>
      </w:r>
    </w:p>
    <w:p w14:paraId="057C0F01" w14:textId="77777777" w:rsidR="00F326E5" w:rsidRPr="00015208" w:rsidRDefault="00F326E5" w:rsidP="006C7F17">
      <w:pPr>
        <w:pStyle w:val="NoSpacing"/>
        <w:ind w:left="720"/>
        <w:rPr>
          <w:rStyle w:val="Hyperlink"/>
          <w:rFonts w:ascii="Times New Roman" w:hAnsi="Times New Roman"/>
          <w:bCs/>
          <w:sz w:val="24"/>
          <w:szCs w:val="24"/>
        </w:rPr>
      </w:pPr>
      <w:r w:rsidRPr="00015208">
        <w:rPr>
          <w:rFonts w:ascii="Times New Roman" w:hAnsi="Times New Roman"/>
          <w:sz w:val="24"/>
          <w:szCs w:val="24"/>
        </w:rPr>
        <w:t xml:space="preserve">Justice Connelly denied the property owner’s motion to reverse the Board, holding that the Board’s decision is legal, supported by the record, and the Board has not exceeded </w:t>
      </w:r>
      <w:proofErr w:type="spellStart"/>
      <w:proofErr w:type="gramStart"/>
      <w:r w:rsidRPr="00015208">
        <w:rPr>
          <w:rFonts w:ascii="Times New Roman" w:hAnsi="Times New Roman"/>
          <w:sz w:val="24"/>
          <w:szCs w:val="24"/>
        </w:rPr>
        <w:t>it</w:t>
      </w:r>
      <w:proofErr w:type="spellEnd"/>
      <w:proofErr w:type="gramEnd"/>
      <w:r w:rsidRPr="00015208">
        <w:rPr>
          <w:rFonts w:ascii="Times New Roman" w:hAnsi="Times New Roman"/>
          <w:sz w:val="24"/>
          <w:szCs w:val="24"/>
        </w:rPr>
        <w:t xml:space="preserve"> authority.  The court will give deference to the Board’s reasonable interpretation of its own statute.” </w:t>
      </w:r>
      <w:hyperlink r:id="rId354" w:history="1">
        <w:r w:rsidRPr="00015208">
          <w:rPr>
            <w:rStyle w:val="Hyperlink"/>
            <w:rFonts w:ascii="Times New Roman" w:hAnsi="Times New Roman"/>
            <w:sz w:val="24"/>
            <w:szCs w:val="24"/>
          </w:rPr>
          <w:t>https://d279m997dpfwgl.cloudfront.net/wp/2019/02/EPSON520.pdf</w:t>
        </w:r>
      </w:hyperlink>
    </w:p>
    <w:p w14:paraId="5077CBA9" w14:textId="77777777" w:rsidR="006C7F17" w:rsidRDefault="006C7F17" w:rsidP="00F326E5">
      <w:pPr>
        <w:pStyle w:val="NoSpacing"/>
        <w:rPr>
          <w:rFonts w:ascii="Times New Roman" w:hAnsi="Times New Roman"/>
          <w:b/>
          <w:sz w:val="24"/>
          <w:szCs w:val="24"/>
        </w:rPr>
      </w:pPr>
    </w:p>
    <w:p w14:paraId="03584341" w14:textId="0A433C95" w:rsidR="00F326E5" w:rsidRPr="00015208" w:rsidRDefault="00F326E5" w:rsidP="00F326E5">
      <w:pPr>
        <w:pStyle w:val="NoSpacing"/>
        <w:rPr>
          <w:rFonts w:ascii="Times New Roman" w:hAnsi="Times New Roman"/>
          <w:b/>
          <w:sz w:val="24"/>
          <w:szCs w:val="24"/>
        </w:rPr>
      </w:pPr>
      <w:r w:rsidRPr="00015208">
        <w:rPr>
          <w:rFonts w:ascii="Times New Roman" w:hAnsi="Times New Roman"/>
          <w:b/>
          <w:sz w:val="24"/>
          <w:szCs w:val="24"/>
        </w:rPr>
        <w:t xml:space="preserve">Legal Lessons Learned: Sprinkler ordinances save lives. </w:t>
      </w:r>
    </w:p>
    <w:p w14:paraId="64C176AE" w14:textId="61D989AA" w:rsidR="00FB71EA" w:rsidRDefault="00FB71EA" w:rsidP="00F326E5">
      <w:pPr>
        <w:rPr>
          <w:bCs/>
          <w:sz w:val="24"/>
          <w:szCs w:val="24"/>
        </w:rPr>
      </w:pPr>
    </w:p>
    <w:p w14:paraId="79229CA2" w14:textId="77777777" w:rsidR="00637A12" w:rsidRDefault="00637A12" w:rsidP="00F326E5">
      <w:pPr>
        <w:rPr>
          <w:rFonts w:ascii="Arial Black" w:hAnsi="Arial Black"/>
          <w:bCs/>
          <w:sz w:val="24"/>
          <w:szCs w:val="24"/>
        </w:rPr>
      </w:pPr>
    </w:p>
    <w:p w14:paraId="71831CF1" w14:textId="42595BC6" w:rsidR="00637A12" w:rsidRPr="00637A12" w:rsidRDefault="00637A12" w:rsidP="00F326E5">
      <w:pPr>
        <w:rPr>
          <w:rFonts w:ascii="Arial Black" w:hAnsi="Arial Black"/>
          <w:bCs/>
          <w:sz w:val="24"/>
          <w:szCs w:val="24"/>
        </w:rPr>
      </w:pPr>
      <w:r w:rsidRPr="00637A12">
        <w:rPr>
          <w:rFonts w:ascii="Arial Black" w:hAnsi="Arial Black"/>
          <w:bCs/>
          <w:sz w:val="24"/>
          <w:szCs w:val="24"/>
        </w:rPr>
        <w:t>1-18</w:t>
      </w:r>
    </w:p>
    <w:p w14:paraId="39A0482A" w14:textId="77777777" w:rsidR="006C7F17" w:rsidRDefault="006C7F17" w:rsidP="00F326E5">
      <w:pPr>
        <w:pStyle w:val="NoSpacing"/>
        <w:rPr>
          <w:rFonts w:ascii="Arial Black" w:hAnsi="Arial Black"/>
          <w:b/>
          <w:sz w:val="28"/>
          <w:szCs w:val="28"/>
        </w:rPr>
      </w:pPr>
      <w:bookmarkStart w:id="71" w:name="_Hlk7339428"/>
      <w:bookmarkEnd w:id="70"/>
    </w:p>
    <w:p w14:paraId="404CBBDD" w14:textId="1ECD00B1" w:rsidR="00F326E5" w:rsidRDefault="00F326E5" w:rsidP="00F326E5">
      <w:pPr>
        <w:pStyle w:val="NoSpacing"/>
        <w:rPr>
          <w:rFonts w:ascii="Arial Black" w:hAnsi="Arial Black"/>
          <w:b/>
          <w:sz w:val="28"/>
          <w:szCs w:val="28"/>
        </w:rPr>
      </w:pPr>
      <w:r>
        <w:rPr>
          <w:rFonts w:ascii="Arial Black" w:hAnsi="Arial Black"/>
          <w:b/>
          <w:sz w:val="28"/>
          <w:szCs w:val="28"/>
        </w:rPr>
        <w:t>PA: ARSON – DEFENDANT SMELLED OF GASOLINE, TRAINED ARSON DOG ALERTED</w:t>
      </w:r>
    </w:p>
    <w:p w14:paraId="5ACFF1EA" w14:textId="77777777" w:rsidR="00F326E5" w:rsidRPr="00015208" w:rsidRDefault="00F326E5" w:rsidP="00F326E5">
      <w:pPr>
        <w:pStyle w:val="NoSpacing"/>
        <w:rPr>
          <w:rStyle w:val="Hyperlink"/>
          <w:rFonts w:ascii="Times New Roman" w:hAnsi="Times New Roman"/>
          <w:sz w:val="24"/>
          <w:szCs w:val="24"/>
        </w:rPr>
      </w:pPr>
      <w:r w:rsidRPr="00015208">
        <w:rPr>
          <w:rFonts w:ascii="Times New Roman" w:hAnsi="Times New Roman"/>
          <w:sz w:val="24"/>
          <w:szCs w:val="24"/>
        </w:rPr>
        <w:t xml:space="preserve">On Jan. 11, 2019, in </w:t>
      </w:r>
      <w:r w:rsidRPr="00015208">
        <w:rPr>
          <w:rFonts w:ascii="Times New Roman" w:hAnsi="Times New Roman"/>
          <w:sz w:val="24"/>
          <w:szCs w:val="24"/>
          <w:u w:val="single"/>
        </w:rPr>
        <w:t>Commonwealth of Pennsylvania v. Jamat Ali Manzoor</w:t>
      </w:r>
      <w:r w:rsidRPr="00015208">
        <w:rPr>
          <w:rFonts w:ascii="Times New Roman" w:hAnsi="Times New Roman"/>
          <w:sz w:val="24"/>
          <w:szCs w:val="24"/>
        </w:rPr>
        <w:t xml:space="preserve">,  the Superior Court of PA (3 to 0) upheld the jury conviction on two counts of arson, and insurance fraud.  </w:t>
      </w:r>
      <w:hyperlink r:id="rId355" w:history="1">
        <w:r w:rsidRPr="00015208">
          <w:rPr>
            <w:rStyle w:val="Hyperlink"/>
            <w:rFonts w:ascii="Times New Roman" w:hAnsi="Times New Roman"/>
            <w:sz w:val="24"/>
            <w:szCs w:val="24"/>
          </w:rPr>
          <w:t>https://cases.justia.com/pennsylvania/superior-court/2019-1121-mda-2017.pdf?ts=1547235373</w:t>
        </w:r>
      </w:hyperlink>
    </w:p>
    <w:p w14:paraId="768075AC" w14:textId="77777777" w:rsidR="00F326E5" w:rsidRPr="00015208" w:rsidRDefault="00F326E5" w:rsidP="00F326E5">
      <w:pPr>
        <w:pStyle w:val="NoSpacing"/>
        <w:rPr>
          <w:rFonts w:ascii="Times New Roman" w:hAnsi="Times New Roman"/>
          <w:b/>
          <w:sz w:val="24"/>
          <w:szCs w:val="24"/>
        </w:rPr>
      </w:pPr>
      <w:r w:rsidRPr="00015208">
        <w:rPr>
          <w:rFonts w:ascii="Times New Roman" w:hAnsi="Times New Roman"/>
          <w:b/>
          <w:sz w:val="24"/>
          <w:szCs w:val="24"/>
        </w:rPr>
        <w:t xml:space="preserve">Legal Lessons Learned: Evidence of trained arson K-9 </w:t>
      </w:r>
      <w:proofErr w:type="gramStart"/>
      <w:r w:rsidRPr="00015208">
        <w:rPr>
          <w:rFonts w:ascii="Times New Roman" w:hAnsi="Times New Roman"/>
          <w:b/>
          <w:sz w:val="24"/>
          <w:szCs w:val="24"/>
        </w:rPr>
        <w:t>alerting for</w:t>
      </w:r>
      <w:proofErr w:type="gramEnd"/>
      <w:r w:rsidRPr="00015208">
        <w:rPr>
          <w:rFonts w:ascii="Times New Roman" w:hAnsi="Times New Roman"/>
          <w:b/>
          <w:sz w:val="24"/>
          <w:szCs w:val="24"/>
        </w:rPr>
        <w:t xml:space="preserve"> accelerants to admissible in arson trial. </w:t>
      </w:r>
    </w:p>
    <w:p w14:paraId="1804AFE1" w14:textId="77777777" w:rsidR="00015208" w:rsidRDefault="00015208" w:rsidP="00F326E5">
      <w:pPr>
        <w:pStyle w:val="NoSpacing"/>
        <w:rPr>
          <w:rFonts w:ascii="Times New Roman" w:hAnsi="Times New Roman"/>
          <w:b/>
          <w:sz w:val="24"/>
          <w:szCs w:val="24"/>
        </w:rPr>
      </w:pPr>
    </w:p>
    <w:p w14:paraId="392F3541" w14:textId="250DA877" w:rsidR="00F326E5" w:rsidRPr="00015208" w:rsidRDefault="00F326E5" w:rsidP="00F326E5">
      <w:pPr>
        <w:pStyle w:val="NoSpacing"/>
        <w:rPr>
          <w:rFonts w:ascii="Times New Roman" w:hAnsi="Times New Roman"/>
          <w:bCs/>
          <w:sz w:val="24"/>
          <w:szCs w:val="24"/>
        </w:rPr>
      </w:pPr>
      <w:r w:rsidRPr="00015208">
        <w:rPr>
          <w:rFonts w:ascii="Times New Roman" w:hAnsi="Times New Roman"/>
          <w:bCs/>
          <w:sz w:val="24"/>
          <w:szCs w:val="24"/>
        </w:rPr>
        <w:t xml:space="preserve">See my case analysis: </w:t>
      </w:r>
      <w:hyperlink r:id="rId356" w:history="1">
        <w:r w:rsidRPr="00015208">
          <w:rPr>
            <w:rStyle w:val="Hyperlink"/>
            <w:rFonts w:ascii="Times New Roman" w:hAnsi="Times New Roman"/>
            <w:bCs/>
            <w:sz w:val="24"/>
            <w:szCs w:val="24"/>
          </w:rPr>
          <w:t>https://ceas.uc.edu/content/dam/refresh/ceas-62/documents/academics/departments/aerospace-engineering-&amp;-engineering-mechanics/fire-science/1Jan.%202019%20Newsletter%20ADA%200.pdf</w:t>
        </w:r>
      </w:hyperlink>
      <w:r w:rsidRPr="00015208">
        <w:rPr>
          <w:rFonts w:ascii="Times New Roman" w:hAnsi="Times New Roman"/>
          <w:bCs/>
          <w:sz w:val="24"/>
          <w:szCs w:val="24"/>
        </w:rPr>
        <w:t xml:space="preserve"> </w:t>
      </w:r>
      <w:r w:rsidRPr="00015208">
        <w:rPr>
          <w:rFonts w:ascii="Times New Roman" w:hAnsi="Times New Roman"/>
          <w:bCs/>
          <w:sz w:val="24"/>
          <w:szCs w:val="24"/>
        </w:rPr>
        <w:tab/>
      </w:r>
    </w:p>
    <w:p w14:paraId="631ADC7F" w14:textId="77777777" w:rsidR="00F326E5" w:rsidRDefault="00F326E5" w:rsidP="00F326E5">
      <w:pPr>
        <w:pStyle w:val="NoSpacing"/>
        <w:rPr>
          <w:rFonts w:ascii="Times New Roman" w:hAnsi="Times New Roman"/>
          <w:sz w:val="24"/>
          <w:szCs w:val="24"/>
        </w:rPr>
      </w:pPr>
    </w:p>
    <w:bookmarkEnd w:id="71"/>
    <w:p w14:paraId="1889E4D5" w14:textId="77777777" w:rsidR="00F326E5" w:rsidRDefault="00F326E5" w:rsidP="00F326E5">
      <w:pPr>
        <w:pStyle w:val="NoSpacing"/>
        <w:rPr>
          <w:rFonts w:ascii="Times New Roman" w:hAnsi="Times New Roman"/>
          <w:sz w:val="24"/>
          <w:szCs w:val="24"/>
        </w:rPr>
      </w:pPr>
    </w:p>
    <w:p w14:paraId="7D1C7A0B" w14:textId="77777777" w:rsidR="00F326E5" w:rsidRDefault="00F326E5" w:rsidP="00F326E5">
      <w:pPr>
        <w:pStyle w:val="NoSpacing"/>
        <w:rPr>
          <w:sz w:val="24"/>
          <w:szCs w:val="24"/>
        </w:rPr>
      </w:pPr>
    </w:p>
    <w:p w14:paraId="488300D1" w14:textId="6A379CE0" w:rsidR="00F326E5" w:rsidRPr="00637A12" w:rsidRDefault="00637A12" w:rsidP="00F326E5">
      <w:pPr>
        <w:pStyle w:val="NoSpacing"/>
        <w:rPr>
          <w:rFonts w:ascii="Arial Black" w:hAnsi="Arial Black"/>
          <w:sz w:val="24"/>
          <w:szCs w:val="24"/>
        </w:rPr>
      </w:pPr>
      <w:r w:rsidRPr="00637A12">
        <w:rPr>
          <w:rFonts w:ascii="Arial Black" w:hAnsi="Arial Black"/>
          <w:sz w:val="24"/>
          <w:szCs w:val="24"/>
        </w:rPr>
        <w:lastRenderedPageBreak/>
        <w:t>1-17</w:t>
      </w:r>
    </w:p>
    <w:p w14:paraId="728A3735" w14:textId="77777777" w:rsidR="00637A12" w:rsidRDefault="00637A12" w:rsidP="00F326E5">
      <w:pPr>
        <w:pStyle w:val="NoSpacing"/>
        <w:rPr>
          <w:sz w:val="24"/>
          <w:szCs w:val="24"/>
        </w:rPr>
      </w:pPr>
    </w:p>
    <w:p w14:paraId="64C31F7A" w14:textId="05269BD3" w:rsidR="00F326E5" w:rsidRDefault="00F326E5" w:rsidP="00F326E5">
      <w:pPr>
        <w:pStyle w:val="NoSpacing"/>
        <w:rPr>
          <w:rFonts w:ascii="Arial Black" w:hAnsi="Arial Black"/>
          <w:b/>
          <w:sz w:val="28"/>
          <w:szCs w:val="28"/>
        </w:rPr>
      </w:pPr>
      <w:bookmarkStart w:id="72" w:name="_Hlk7339518"/>
      <w:r>
        <w:rPr>
          <w:rFonts w:ascii="Arial Black" w:hAnsi="Arial Black"/>
          <w:b/>
          <w:sz w:val="28"/>
          <w:szCs w:val="28"/>
        </w:rPr>
        <w:t>U.S. SUPREME COURT: QUALIFIED IMMUNITY FOR POLICE OFFICERS – DOMESTIC VIOLENCE ARREST</w:t>
      </w:r>
    </w:p>
    <w:p w14:paraId="44BE66DA" w14:textId="568B43A7" w:rsidR="00637A12" w:rsidRDefault="00F326E5" w:rsidP="00F326E5">
      <w:pPr>
        <w:rPr>
          <w:rFonts w:ascii="Times New Roman" w:hAnsi="Times New Roman"/>
          <w:sz w:val="24"/>
          <w:szCs w:val="24"/>
        </w:rPr>
      </w:pPr>
      <w:r w:rsidRPr="00015208">
        <w:rPr>
          <w:rFonts w:ascii="Times New Roman" w:hAnsi="Times New Roman"/>
          <w:sz w:val="24"/>
          <w:szCs w:val="24"/>
        </w:rPr>
        <w:t xml:space="preserve">On Jan. 7, 2019, in </w:t>
      </w:r>
      <w:r w:rsidRPr="00015208">
        <w:rPr>
          <w:rFonts w:ascii="Times New Roman" w:hAnsi="Times New Roman"/>
          <w:sz w:val="24"/>
          <w:szCs w:val="24"/>
          <w:u w:val="single"/>
        </w:rPr>
        <w:t>City of Escondido, California v. Mart Emmons</w:t>
      </w:r>
      <w:r w:rsidRPr="00015208">
        <w:rPr>
          <w:rFonts w:ascii="Times New Roman" w:hAnsi="Times New Roman"/>
          <w:sz w:val="24"/>
          <w:szCs w:val="24"/>
        </w:rPr>
        <w:t>, the U.S. Supreme Court (9 to 0), in a per curiam decision [not authored by a specific Justice], reversed the 9</w:t>
      </w:r>
      <w:r w:rsidRPr="00015208">
        <w:rPr>
          <w:rFonts w:ascii="Times New Roman" w:hAnsi="Times New Roman"/>
          <w:sz w:val="24"/>
          <w:szCs w:val="24"/>
          <w:vertAlign w:val="superscript"/>
        </w:rPr>
        <w:t>th</w:t>
      </w:r>
      <w:r w:rsidRPr="00015208">
        <w:rPr>
          <w:rFonts w:ascii="Times New Roman" w:hAnsi="Times New Roman"/>
          <w:sz w:val="24"/>
          <w:szCs w:val="24"/>
        </w:rPr>
        <w:t xml:space="preserve"> Circuit without the need to even hear oral argument.  The Court held: </w:t>
      </w:r>
    </w:p>
    <w:p w14:paraId="2C9B6516" w14:textId="59A25C5E" w:rsidR="00F326E5" w:rsidRPr="00015208" w:rsidRDefault="00F326E5" w:rsidP="00637A12">
      <w:pPr>
        <w:ind w:left="720"/>
        <w:rPr>
          <w:rFonts w:ascii="Times New Roman" w:eastAsia="Times New Roman" w:hAnsi="Times New Roman"/>
          <w:sz w:val="24"/>
          <w:szCs w:val="24"/>
        </w:rPr>
      </w:pPr>
      <w:r w:rsidRPr="00015208">
        <w:rPr>
          <w:rFonts w:ascii="Times New Roman" w:hAnsi="Times New Roman"/>
          <w:sz w:val="24"/>
          <w:szCs w:val="24"/>
        </w:rPr>
        <w:t>“</w:t>
      </w:r>
      <w:r w:rsidRPr="00015208">
        <w:rPr>
          <w:rFonts w:ascii="Times New Roman" w:eastAsia="Times New Roman" w:hAnsi="Times New Roman"/>
          <w:sz w:val="24"/>
          <w:szCs w:val="24"/>
        </w:rPr>
        <w:t xml:space="preserve">As to Officer Craig, the Ninth Circuit also erred. As we have explained many </w:t>
      </w:r>
      <w:proofErr w:type="gramStart"/>
      <w:r w:rsidRPr="00015208">
        <w:rPr>
          <w:rFonts w:ascii="Times New Roman" w:eastAsia="Times New Roman" w:hAnsi="Times New Roman"/>
          <w:sz w:val="24"/>
          <w:szCs w:val="24"/>
        </w:rPr>
        <w:t>times: ‘</w:t>
      </w:r>
      <w:proofErr w:type="gramEnd"/>
      <w:r w:rsidRPr="00015208">
        <w:rPr>
          <w:rFonts w:ascii="Times New Roman" w:eastAsia="Times New Roman" w:hAnsi="Times New Roman"/>
          <w:sz w:val="24"/>
          <w:szCs w:val="24"/>
        </w:rPr>
        <w:t>Qualified immunity attaches when an official’s conduct does not violate clearly established statutory or constitutional rights of which a reasonable person would have known.’ Kisela v. Hughes, 584 U. S. ___, ___ (2018) (per curiam). The Court of Appeals made no effort to explain how that case law prohibited Officer Craig’s actions in this case.”</w:t>
      </w:r>
      <w:r w:rsidRPr="00015208">
        <w:rPr>
          <w:rFonts w:ascii="Times New Roman" w:hAnsi="Times New Roman"/>
          <w:sz w:val="24"/>
          <w:szCs w:val="24"/>
        </w:rPr>
        <w:t xml:space="preserve"> </w:t>
      </w:r>
      <w:hyperlink r:id="rId357" w:history="1">
        <w:r w:rsidRPr="00015208">
          <w:rPr>
            <w:rStyle w:val="Hyperlink"/>
            <w:rFonts w:ascii="Times New Roman" w:hAnsi="Times New Roman"/>
            <w:sz w:val="24"/>
            <w:szCs w:val="24"/>
          </w:rPr>
          <w:t>https://www.supremecourt.gov/opinions/18pdf/17-1660_5ifl.pdf</w:t>
        </w:r>
      </w:hyperlink>
      <w:r w:rsidRPr="00015208">
        <w:rPr>
          <w:rFonts w:ascii="Times New Roman" w:eastAsia="Times New Roman" w:hAnsi="Times New Roman"/>
          <w:sz w:val="24"/>
          <w:szCs w:val="24"/>
        </w:rPr>
        <w:t xml:space="preserve"> </w:t>
      </w:r>
    </w:p>
    <w:p w14:paraId="6081C7B2" w14:textId="577C97D4" w:rsidR="00F326E5" w:rsidRPr="00015208" w:rsidRDefault="00F326E5" w:rsidP="00F326E5">
      <w:pPr>
        <w:rPr>
          <w:rFonts w:ascii="Times New Roman" w:eastAsia="Times New Roman" w:hAnsi="Times New Roman"/>
          <w:sz w:val="24"/>
          <w:szCs w:val="24"/>
        </w:rPr>
      </w:pPr>
      <w:r w:rsidRPr="00015208">
        <w:rPr>
          <w:rFonts w:ascii="Times New Roman" w:eastAsia="Times New Roman" w:hAnsi="Times New Roman"/>
          <w:b/>
          <w:sz w:val="24"/>
          <w:szCs w:val="24"/>
        </w:rPr>
        <w:t xml:space="preserve">Legal Lessons Learned:  Great decision on “qualified immunity” for emergency responders. </w:t>
      </w:r>
    </w:p>
    <w:p w14:paraId="65BCED32" w14:textId="0C276829" w:rsidR="00F326E5" w:rsidRPr="00015208" w:rsidRDefault="00F326E5" w:rsidP="00ED63B1">
      <w:pPr>
        <w:ind w:left="720"/>
        <w:rPr>
          <w:rFonts w:ascii="Times New Roman" w:eastAsia="Times New Roman" w:hAnsi="Times New Roman"/>
          <w:sz w:val="24"/>
          <w:szCs w:val="24"/>
        </w:rPr>
      </w:pPr>
      <w:r w:rsidRPr="00015208">
        <w:rPr>
          <w:rFonts w:ascii="Times New Roman" w:eastAsia="Times New Roman" w:hAnsi="Times New Roman"/>
          <w:sz w:val="24"/>
          <w:szCs w:val="24"/>
        </w:rPr>
        <w:t xml:space="preserve">See also Chap. 13:  Aug. 14, </w:t>
      </w:r>
      <w:proofErr w:type="gramStart"/>
      <w:r w:rsidRPr="00015208">
        <w:rPr>
          <w:rFonts w:ascii="Times New Roman" w:eastAsia="Times New Roman" w:hAnsi="Times New Roman"/>
          <w:sz w:val="24"/>
          <w:szCs w:val="24"/>
        </w:rPr>
        <w:t>2018</w:t>
      </w:r>
      <w:proofErr w:type="gramEnd"/>
      <w:r w:rsidRPr="00015208">
        <w:rPr>
          <w:rFonts w:ascii="Times New Roman" w:eastAsia="Times New Roman" w:hAnsi="Times New Roman"/>
          <w:sz w:val="24"/>
          <w:szCs w:val="24"/>
        </w:rPr>
        <w:t xml:space="preserve"> decision by 7</w:t>
      </w:r>
      <w:r w:rsidRPr="00015208">
        <w:rPr>
          <w:rFonts w:ascii="Times New Roman" w:eastAsia="Times New Roman" w:hAnsi="Times New Roman"/>
          <w:sz w:val="24"/>
          <w:szCs w:val="24"/>
          <w:vertAlign w:val="superscript"/>
        </w:rPr>
        <w:t>th</w:t>
      </w:r>
      <w:r w:rsidRPr="00015208">
        <w:rPr>
          <w:rFonts w:ascii="Times New Roman" w:eastAsia="Times New Roman" w:hAnsi="Times New Roman"/>
          <w:sz w:val="24"/>
          <w:szCs w:val="24"/>
        </w:rPr>
        <w:t xml:space="preserve"> Circuit in </w:t>
      </w:r>
      <w:r w:rsidRPr="00015208">
        <w:rPr>
          <w:rFonts w:ascii="Times New Roman" w:eastAsia="Times New Roman" w:hAnsi="Times New Roman"/>
          <w:sz w:val="24"/>
          <w:szCs w:val="24"/>
          <w:u w:val="single"/>
        </w:rPr>
        <w:t>Billie Thompson v. Lance Cope</w:t>
      </w:r>
      <w:r w:rsidRPr="00015208">
        <w:rPr>
          <w:rFonts w:ascii="Times New Roman" w:eastAsia="Times New Roman" w:hAnsi="Times New Roman"/>
          <w:sz w:val="24"/>
          <w:szCs w:val="24"/>
        </w:rPr>
        <w:t xml:space="preserve"> where Indianapolis police called EMS to help with </w:t>
      </w:r>
      <w:proofErr w:type="gramStart"/>
      <w:r w:rsidRPr="00015208">
        <w:rPr>
          <w:rFonts w:ascii="Times New Roman" w:eastAsia="Times New Roman" w:hAnsi="Times New Roman"/>
          <w:sz w:val="24"/>
          <w:szCs w:val="24"/>
        </w:rPr>
        <w:t>person</w:t>
      </w:r>
      <w:proofErr w:type="gramEnd"/>
      <w:r w:rsidRPr="00015208">
        <w:rPr>
          <w:rFonts w:ascii="Times New Roman" w:eastAsia="Times New Roman" w:hAnsi="Times New Roman"/>
          <w:sz w:val="24"/>
          <w:szCs w:val="24"/>
        </w:rPr>
        <w:t xml:space="preserve"> found naked, running in street, high on amphetamines, and combative.  EMS administered a sedative – </w:t>
      </w:r>
      <w:r w:rsidRPr="00015208">
        <w:rPr>
          <w:rFonts w:ascii="Times New Roman" w:hAnsi="Times New Roman"/>
          <w:sz w:val="24"/>
          <w:szCs w:val="24"/>
        </w:rPr>
        <w:t xml:space="preserve">Versed - </w:t>
      </w:r>
      <w:r w:rsidRPr="00015208">
        <w:rPr>
          <w:rFonts w:ascii="Times New Roman" w:eastAsia="Times New Roman" w:hAnsi="Times New Roman"/>
          <w:sz w:val="24"/>
          <w:szCs w:val="24"/>
        </w:rPr>
        <w:t xml:space="preserve">patient stopped </w:t>
      </w:r>
      <w:proofErr w:type="gramStart"/>
      <w:r w:rsidRPr="00015208">
        <w:rPr>
          <w:rFonts w:ascii="Times New Roman" w:eastAsia="Times New Roman" w:hAnsi="Times New Roman"/>
          <w:sz w:val="24"/>
          <w:szCs w:val="24"/>
        </w:rPr>
        <w:t>breathing, and</w:t>
      </w:r>
      <w:proofErr w:type="gramEnd"/>
      <w:r w:rsidRPr="00015208">
        <w:rPr>
          <w:rFonts w:ascii="Times New Roman" w:eastAsia="Times New Roman" w:hAnsi="Times New Roman"/>
          <w:sz w:val="24"/>
          <w:szCs w:val="24"/>
        </w:rPr>
        <w:t xml:space="preserve"> was revived; he ultimately died 8-days later.  The Court held (3 to 0), “The paramedic is entitled to qualified immunity on the excessive force claim. Case law did not (and does not) clearly establish that a paramedic can violate a patient-arrestee’s Fourth Amendment rights by exercising medical judgment to administer a sedative in a medical </w:t>
      </w:r>
      <w:proofErr w:type="gramStart"/>
      <w:r w:rsidRPr="00015208">
        <w:rPr>
          <w:rFonts w:ascii="Times New Roman" w:eastAsia="Times New Roman" w:hAnsi="Times New Roman"/>
          <w:sz w:val="24"/>
          <w:szCs w:val="24"/>
        </w:rPr>
        <w:t>emergency.”</w:t>
      </w:r>
      <w:proofErr w:type="gramEnd"/>
      <w:r w:rsidRPr="00015208">
        <w:rPr>
          <w:rFonts w:ascii="Times New Roman" w:eastAsia="Times New Roman" w:hAnsi="Times New Roman"/>
          <w:sz w:val="24"/>
          <w:szCs w:val="24"/>
        </w:rPr>
        <w:t xml:space="preserve"> </w:t>
      </w:r>
      <w:hyperlink r:id="rId358" w:history="1">
        <w:r w:rsidRPr="00015208">
          <w:rPr>
            <w:rStyle w:val="Hyperlink"/>
            <w:rFonts w:ascii="Times New Roman" w:hAnsi="Times New Roman"/>
            <w:sz w:val="24"/>
            <w:szCs w:val="24"/>
          </w:rPr>
          <w:t>https://cases.justia.com/federal/appellate-courts/ca7/17-3060/17-3060-2018-08-14.pdf?ts=1534262420</w:t>
        </w:r>
      </w:hyperlink>
      <w:r w:rsidRPr="00015208">
        <w:rPr>
          <w:rFonts w:ascii="Times New Roman" w:eastAsia="Times New Roman" w:hAnsi="Times New Roman"/>
          <w:sz w:val="24"/>
          <w:szCs w:val="24"/>
        </w:rPr>
        <w:t xml:space="preserve"> </w:t>
      </w:r>
    </w:p>
    <w:p w14:paraId="15417390" w14:textId="77777777" w:rsidR="00637A12" w:rsidRDefault="00637A12" w:rsidP="00791CA3">
      <w:pPr>
        <w:rPr>
          <w:rFonts w:ascii="Arial Black" w:hAnsi="Arial Black"/>
          <w:b/>
          <w:sz w:val="24"/>
          <w:szCs w:val="24"/>
        </w:rPr>
      </w:pPr>
      <w:bookmarkStart w:id="73" w:name="_Hlk7339594"/>
      <w:bookmarkEnd w:id="72"/>
    </w:p>
    <w:p w14:paraId="35BEB28B" w14:textId="3190A61D" w:rsidR="002B1283" w:rsidRDefault="00791CA3" w:rsidP="00791CA3">
      <w:pPr>
        <w:rPr>
          <w:rFonts w:ascii="Arial Black" w:hAnsi="Arial Black"/>
          <w:b/>
          <w:sz w:val="28"/>
          <w:szCs w:val="28"/>
        </w:rPr>
      </w:pPr>
      <w:r w:rsidRPr="00791CA3">
        <w:rPr>
          <w:rFonts w:ascii="Arial Black" w:hAnsi="Arial Black"/>
          <w:b/>
          <w:sz w:val="24"/>
          <w:szCs w:val="24"/>
        </w:rPr>
        <w:t>1-</w:t>
      </w:r>
      <w:r>
        <w:rPr>
          <w:rFonts w:ascii="Arial Black" w:hAnsi="Arial Black"/>
          <w:b/>
          <w:sz w:val="24"/>
          <w:szCs w:val="24"/>
        </w:rPr>
        <w:t>16</w:t>
      </w:r>
    </w:p>
    <w:p w14:paraId="76AFE2FC" w14:textId="41C8219F" w:rsidR="00F326E5" w:rsidRPr="007732FA" w:rsidRDefault="00F326E5" w:rsidP="00F326E5">
      <w:pPr>
        <w:pStyle w:val="NoSpacing"/>
        <w:rPr>
          <w:rFonts w:ascii="Arial Black" w:hAnsi="Arial Black"/>
          <w:b/>
          <w:sz w:val="28"/>
          <w:szCs w:val="28"/>
        </w:rPr>
      </w:pPr>
      <w:r w:rsidRPr="007732FA">
        <w:rPr>
          <w:rFonts w:ascii="Arial Black" w:hAnsi="Arial Black"/>
          <w:b/>
          <w:sz w:val="28"/>
          <w:szCs w:val="28"/>
        </w:rPr>
        <w:t>KY</w:t>
      </w:r>
      <w:r>
        <w:rPr>
          <w:rFonts w:ascii="Arial Black" w:hAnsi="Arial Black"/>
          <w:b/>
          <w:sz w:val="28"/>
          <w:szCs w:val="28"/>
        </w:rPr>
        <w:t xml:space="preserve">: </w:t>
      </w:r>
      <w:r w:rsidRPr="007732FA">
        <w:rPr>
          <w:rFonts w:ascii="Arial Black" w:hAnsi="Arial Black"/>
          <w:b/>
          <w:sz w:val="28"/>
          <w:szCs w:val="28"/>
        </w:rPr>
        <w:t>“R</w:t>
      </w:r>
      <w:r>
        <w:rPr>
          <w:rFonts w:ascii="Arial Black" w:hAnsi="Arial Black"/>
          <w:b/>
          <w:sz w:val="28"/>
          <w:szCs w:val="28"/>
        </w:rPr>
        <w:t xml:space="preserve">IGHT TO WORK” </w:t>
      </w:r>
      <w:r w:rsidRPr="007732FA">
        <w:rPr>
          <w:rFonts w:ascii="Arial Black" w:hAnsi="Arial Black"/>
          <w:b/>
          <w:sz w:val="28"/>
          <w:szCs w:val="28"/>
        </w:rPr>
        <w:t xml:space="preserve">STATUTE UPHELD; SIMILAR TO U.S. SUPREME COURT DECISION IN </w:t>
      </w:r>
      <w:r w:rsidRPr="007732FA">
        <w:rPr>
          <w:rFonts w:ascii="Arial Black" w:hAnsi="Arial Black"/>
          <w:b/>
          <w:i/>
          <w:sz w:val="28"/>
          <w:szCs w:val="28"/>
        </w:rPr>
        <w:t xml:space="preserve">Janis </w:t>
      </w:r>
    </w:p>
    <w:p w14:paraId="31DFDE5E" w14:textId="77777777" w:rsidR="00F17F7A" w:rsidRDefault="00F17F7A" w:rsidP="00F326E5">
      <w:pPr>
        <w:rPr>
          <w:rFonts w:ascii="Times New Roman" w:eastAsia="Times New Roman" w:hAnsi="Times New Roman"/>
          <w:sz w:val="24"/>
          <w:szCs w:val="24"/>
        </w:rPr>
      </w:pPr>
    </w:p>
    <w:p w14:paraId="483BC5F0" w14:textId="42542A19" w:rsidR="00637A12" w:rsidRDefault="00F326E5" w:rsidP="00F326E5">
      <w:pPr>
        <w:rPr>
          <w:rFonts w:ascii="Times New Roman" w:eastAsia="Times New Roman" w:hAnsi="Times New Roman"/>
          <w:sz w:val="24"/>
          <w:szCs w:val="24"/>
        </w:rPr>
      </w:pPr>
      <w:r w:rsidRPr="00013C4B">
        <w:rPr>
          <w:rFonts w:ascii="Times New Roman" w:eastAsia="Times New Roman" w:hAnsi="Times New Roman"/>
          <w:sz w:val="24"/>
          <w:szCs w:val="24"/>
        </w:rPr>
        <w:t xml:space="preserve">On Nov. 15, 2018, in </w:t>
      </w:r>
      <w:r w:rsidRPr="00013C4B">
        <w:rPr>
          <w:rFonts w:ascii="Times New Roman" w:eastAsia="Times New Roman" w:hAnsi="Times New Roman"/>
          <w:sz w:val="24"/>
          <w:szCs w:val="24"/>
          <w:u w:val="single"/>
        </w:rPr>
        <w:t xml:space="preserve">Fred Zuckerman, As Representative </w:t>
      </w:r>
      <w:proofErr w:type="gramStart"/>
      <w:r w:rsidRPr="00013C4B">
        <w:rPr>
          <w:rFonts w:ascii="Times New Roman" w:eastAsia="Times New Roman" w:hAnsi="Times New Roman"/>
          <w:sz w:val="24"/>
          <w:szCs w:val="24"/>
          <w:u w:val="single"/>
        </w:rPr>
        <w:t>Of</w:t>
      </w:r>
      <w:proofErr w:type="gramEnd"/>
      <w:r w:rsidRPr="00013C4B">
        <w:rPr>
          <w:rFonts w:ascii="Times New Roman" w:eastAsia="Times New Roman" w:hAnsi="Times New Roman"/>
          <w:sz w:val="24"/>
          <w:szCs w:val="24"/>
          <w:u w:val="single"/>
        </w:rPr>
        <w:t xml:space="preserve"> </w:t>
      </w:r>
      <w:proofErr w:type="gramStart"/>
      <w:r w:rsidRPr="00013C4B">
        <w:rPr>
          <w:rFonts w:ascii="Times New Roman" w:eastAsia="Times New Roman" w:hAnsi="Times New Roman"/>
          <w:sz w:val="24"/>
          <w:szCs w:val="24"/>
          <w:u w:val="single"/>
        </w:rPr>
        <w:t>The</w:t>
      </w:r>
      <w:proofErr w:type="gramEnd"/>
      <w:r w:rsidRPr="00013C4B">
        <w:rPr>
          <w:rFonts w:ascii="Times New Roman" w:eastAsia="Times New Roman" w:hAnsi="Times New Roman"/>
          <w:sz w:val="24"/>
          <w:szCs w:val="24"/>
          <w:u w:val="single"/>
        </w:rPr>
        <w:t xml:space="preserve"> General Drivers, Warehousemen </w:t>
      </w:r>
      <w:proofErr w:type="gramStart"/>
      <w:r w:rsidRPr="00013C4B">
        <w:rPr>
          <w:rFonts w:ascii="Times New Roman" w:eastAsia="Times New Roman" w:hAnsi="Times New Roman"/>
          <w:sz w:val="24"/>
          <w:szCs w:val="24"/>
          <w:u w:val="single"/>
        </w:rPr>
        <w:t>And</w:t>
      </w:r>
      <w:proofErr w:type="gramEnd"/>
      <w:r w:rsidRPr="00013C4B">
        <w:rPr>
          <w:rFonts w:ascii="Times New Roman" w:eastAsia="Times New Roman" w:hAnsi="Times New Roman"/>
          <w:sz w:val="24"/>
          <w:szCs w:val="24"/>
          <w:u w:val="single"/>
        </w:rPr>
        <w:t xml:space="preserve"> Helpers Local Union No. 89 v. Matthew G. Bevin, Governor</w:t>
      </w:r>
      <w:r w:rsidRPr="00013C4B">
        <w:rPr>
          <w:rFonts w:ascii="Times New Roman" w:eastAsia="Times New Roman" w:hAnsi="Times New Roman"/>
          <w:sz w:val="24"/>
          <w:szCs w:val="24"/>
        </w:rPr>
        <w:t xml:space="preserve">, the Kentucky Supreme Court (4 to 3) upheld the statute: </w:t>
      </w:r>
    </w:p>
    <w:p w14:paraId="54A3C40C" w14:textId="38255271" w:rsidR="00F326E5" w:rsidRPr="00013C4B" w:rsidRDefault="00F326E5" w:rsidP="00637A12">
      <w:pPr>
        <w:ind w:left="720"/>
        <w:rPr>
          <w:rFonts w:ascii="Times New Roman" w:eastAsia="Times New Roman" w:hAnsi="Times New Roman"/>
          <w:sz w:val="24"/>
          <w:szCs w:val="24"/>
        </w:rPr>
      </w:pPr>
      <w:r w:rsidRPr="00013C4B">
        <w:rPr>
          <w:rFonts w:ascii="Times New Roman" w:eastAsia="Times New Roman" w:hAnsi="Times New Roman"/>
          <w:sz w:val="24"/>
          <w:szCs w:val="24"/>
        </w:rPr>
        <w:t>“</w:t>
      </w:r>
      <w:proofErr w:type="gramStart"/>
      <w:r w:rsidRPr="00013C4B">
        <w:rPr>
          <w:rFonts w:ascii="Times New Roman" w:eastAsia="Times New Roman" w:hAnsi="Times New Roman"/>
          <w:sz w:val="24"/>
          <w:szCs w:val="24"/>
        </w:rPr>
        <w:t>we</w:t>
      </w:r>
      <w:proofErr w:type="gramEnd"/>
      <w:r w:rsidRPr="00013C4B">
        <w:rPr>
          <w:rFonts w:ascii="Times New Roman" w:eastAsia="Times New Roman" w:hAnsi="Times New Roman"/>
          <w:sz w:val="24"/>
          <w:szCs w:val="24"/>
        </w:rPr>
        <w:t xml:space="preserve"> hold that the Unions’ constitutional challenges to the Act are without merit. In this area of economic legislation, the legislature and the executive branch make the policy, not the courts.” </w:t>
      </w:r>
      <w:hyperlink r:id="rId359" w:history="1">
        <w:r w:rsidRPr="00013C4B">
          <w:rPr>
            <w:rStyle w:val="Hyperlink"/>
            <w:sz w:val="24"/>
            <w:szCs w:val="24"/>
          </w:rPr>
          <w:t>https://cases.justia.com/kentucky/supreme-court/2018-2018-sc-000097-tg.pdf?ts=1542294839</w:t>
        </w:r>
      </w:hyperlink>
      <w:r w:rsidRPr="00013C4B">
        <w:rPr>
          <w:rFonts w:ascii="Times New Roman" w:eastAsia="Times New Roman" w:hAnsi="Times New Roman"/>
          <w:sz w:val="24"/>
          <w:szCs w:val="24"/>
        </w:rPr>
        <w:t xml:space="preserve"> </w:t>
      </w:r>
    </w:p>
    <w:p w14:paraId="29A4ECC8" w14:textId="77777777" w:rsidR="00F326E5" w:rsidRDefault="00F326E5" w:rsidP="00F326E5">
      <w:pPr>
        <w:rPr>
          <w:rFonts w:ascii="Times New Roman" w:eastAsia="Times New Roman" w:hAnsi="Times New Roman"/>
          <w:sz w:val="24"/>
          <w:szCs w:val="24"/>
        </w:rPr>
      </w:pPr>
      <w:r w:rsidRPr="00013C4B">
        <w:rPr>
          <w:rFonts w:ascii="Times New Roman" w:eastAsia="Times New Roman" w:hAnsi="Times New Roman"/>
          <w:b/>
          <w:sz w:val="24"/>
          <w:szCs w:val="24"/>
        </w:rPr>
        <w:t xml:space="preserve">Legal Lessons Learned:  Fire &amp; EMS departments, not only in Kentucky, but in all states must now follow the U.S. Supreme Court’s decision, June 27, 2018, in </w:t>
      </w:r>
      <w:r w:rsidRPr="00013C4B">
        <w:rPr>
          <w:rFonts w:ascii="Times New Roman" w:eastAsia="Times New Roman" w:hAnsi="Times New Roman"/>
          <w:b/>
          <w:sz w:val="24"/>
          <w:szCs w:val="24"/>
          <w:u w:val="single"/>
        </w:rPr>
        <w:t>Janus v. American Federation of State, County, and Municipal Employees, Council 31</w:t>
      </w:r>
      <w:r w:rsidRPr="00013C4B">
        <w:rPr>
          <w:rFonts w:ascii="Times New Roman" w:eastAsia="Times New Roman" w:hAnsi="Times New Roman"/>
          <w:b/>
          <w:sz w:val="24"/>
          <w:szCs w:val="24"/>
        </w:rPr>
        <w:t>, which held (5 to 4), “Under Illinois law, public employees are forced to subsi</w:t>
      </w:r>
      <w:r w:rsidRPr="00013C4B">
        <w:rPr>
          <w:rFonts w:ascii="Times New Roman" w:eastAsia="Times New Roman" w:hAnsi="Times New Roman"/>
          <w:b/>
          <w:sz w:val="24"/>
          <w:szCs w:val="24"/>
        </w:rPr>
        <w:softHyphen/>
        <w:t>dize a union, even if they choose not to join and strongly object to the positions the union takes in collective bar</w:t>
      </w:r>
      <w:r w:rsidRPr="00013C4B">
        <w:rPr>
          <w:rFonts w:ascii="Times New Roman" w:eastAsia="Times New Roman" w:hAnsi="Times New Roman"/>
          <w:b/>
          <w:sz w:val="24"/>
          <w:szCs w:val="24"/>
        </w:rPr>
        <w:softHyphen/>
        <w:t xml:space="preserve"> gaining and related activities. We conclude that this arrangement violates the </w:t>
      </w:r>
      <w:proofErr w:type="gramStart"/>
      <w:r w:rsidRPr="00013C4B">
        <w:rPr>
          <w:rFonts w:ascii="Times New Roman" w:eastAsia="Times New Roman" w:hAnsi="Times New Roman"/>
          <w:b/>
          <w:sz w:val="24"/>
          <w:szCs w:val="24"/>
        </w:rPr>
        <w:t>free speech</w:t>
      </w:r>
      <w:proofErr w:type="gramEnd"/>
      <w:r w:rsidRPr="00013C4B">
        <w:rPr>
          <w:rFonts w:ascii="Times New Roman" w:eastAsia="Times New Roman" w:hAnsi="Times New Roman"/>
          <w:b/>
          <w:sz w:val="24"/>
          <w:szCs w:val="24"/>
        </w:rPr>
        <w:t xml:space="preserve"> rights of nonmem</w:t>
      </w:r>
      <w:r w:rsidRPr="00013C4B">
        <w:rPr>
          <w:rFonts w:ascii="Times New Roman" w:eastAsia="Times New Roman" w:hAnsi="Times New Roman"/>
          <w:b/>
          <w:sz w:val="24"/>
          <w:szCs w:val="24"/>
        </w:rPr>
        <w:softHyphen/>
        <w:t xml:space="preserve">bers by compelling them to subsidize private speech on matters of substantial public </w:t>
      </w:r>
      <w:proofErr w:type="gramStart"/>
      <w:r w:rsidRPr="00013C4B">
        <w:rPr>
          <w:rFonts w:ascii="Times New Roman" w:eastAsia="Times New Roman" w:hAnsi="Times New Roman"/>
          <w:b/>
          <w:sz w:val="24"/>
          <w:szCs w:val="24"/>
        </w:rPr>
        <w:t>concern.”</w:t>
      </w:r>
      <w:proofErr w:type="gramEnd"/>
      <w:r w:rsidRPr="00013C4B">
        <w:rPr>
          <w:rFonts w:ascii="Times New Roman" w:eastAsia="Times New Roman" w:hAnsi="Times New Roman"/>
          <w:sz w:val="24"/>
          <w:szCs w:val="24"/>
        </w:rPr>
        <w:t xml:space="preserve">   </w:t>
      </w:r>
      <w:hyperlink r:id="rId360" w:history="1">
        <w:r w:rsidRPr="00013C4B">
          <w:rPr>
            <w:rStyle w:val="Hyperlink"/>
            <w:sz w:val="24"/>
            <w:szCs w:val="24"/>
          </w:rPr>
          <w:t>https://www.supremecourt.gov/opinions/17pdf/16-1466_2b3j.pdf</w:t>
        </w:r>
      </w:hyperlink>
      <w:r w:rsidRPr="00013C4B">
        <w:rPr>
          <w:rFonts w:ascii="Times New Roman" w:eastAsia="Times New Roman" w:hAnsi="Times New Roman"/>
          <w:sz w:val="24"/>
          <w:szCs w:val="24"/>
        </w:rPr>
        <w:t xml:space="preserve"> </w:t>
      </w:r>
    </w:p>
    <w:p w14:paraId="5C9F1ACD" w14:textId="77777777" w:rsidR="00F326E5" w:rsidRPr="00013C4B" w:rsidRDefault="00F326E5" w:rsidP="00F326E5">
      <w:pPr>
        <w:ind w:firstLine="720"/>
        <w:rPr>
          <w:rFonts w:ascii="Times New Roman" w:eastAsia="Times New Roman" w:hAnsi="Times New Roman"/>
          <w:bCs/>
          <w:sz w:val="24"/>
          <w:szCs w:val="24"/>
        </w:rPr>
      </w:pPr>
      <w:r w:rsidRPr="00013C4B">
        <w:rPr>
          <w:rFonts w:ascii="Times New Roman" w:eastAsia="Times New Roman" w:hAnsi="Times New Roman"/>
          <w:sz w:val="24"/>
          <w:szCs w:val="24"/>
        </w:rPr>
        <w:lastRenderedPageBreak/>
        <w:t xml:space="preserve">See IAFF statement in response to the </w:t>
      </w:r>
      <w:r w:rsidRPr="00013C4B">
        <w:rPr>
          <w:rFonts w:ascii="Times New Roman" w:eastAsia="Times New Roman" w:hAnsi="Times New Roman"/>
          <w:i/>
          <w:sz w:val="24"/>
          <w:szCs w:val="24"/>
        </w:rPr>
        <w:t>Janus</w:t>
      </w:r>
      <w:r w:rsidRPr="00013C4B">
        <w:rPr>
          <w:rFonts w:ascii="Times New Roman" w:eastAsia="Times New Roman" w:hAnsi="Times New Roman"/>
          <w:sz w:val="24"/>
          <w:szCs w:val="24"/>
        </w:rPr>
        <w:t xml:space="preserve"> decision:  </w:t>
      </w:r>
    </w:p>
    <w:p w14:paraId="5ED408E1" w14:textId="77777777" w:rsidR="00F326E5" w:rsidRPr="00013C4B" w:rsidRDefault="00F326E5" w:rsidP="00F326E5">
      <w:pPr>
        <w:ind w:left="720"/>
        <w:rPr>
          <w:rFonts w:ascii="Times New Roman" w:eastAsia="Times New Roman" w:hAnsi="Times New Roman"/>
          <w:sz w:val="24"/>
          <w:szCs w:val="24"/>
        </w:rPr>
      </w:pPr>
      <w:r w:rsidRPr="00013C4B">
        <w:rPr>
          <w:rFonts w:ascii="Times New Roman" w:eastAsia="Times New Roman" w:hAnsi="Times New Roman"/>
          <w:bCs/>
          <w:sz w:val="24"/>
          <w:szCs w:val="24"/>
        </w:rPr>
        <w:t xml:space="preserve">General President Harold Schaitberger issued this statement on the Supreme Court 5-4 decision overruling decades of precedent in the case of </w:t>
      </w:r>
      <w:r w:rsidRPr="00013C4B">
        <w:rPr>
          <w:rFonts w:ascii="Times New Roman" w:eastAsia="Times New Roman" w:hAnsi="Times New Roman"/>
          <w:bCs/>
          <w:i/>
          <w:iCs/>
          <w:sz w:val="24"/>
          <w:szCs w:val="24"/>
        </w:rPr>
        <w:t>Janus v AFSCME Council 31</w:t>
      </w:r>
      <w:r w:rsidRPr="00013C4B">
        <w:rPr>
          <w:rFonts w:ascii="Times New Roman" w:eastAsia="Times New Roman" w:hAnsi="Times New Roman"/>
          <w:bCs/>
          <w:sz w:val="24"/>
          <w:szCs w:val="24"/>
        </w:rPr>
        <w:t xml:space="preserve">: </w:t>
      </w:r>
      <w:hyperlink r:id="rId361" w:anchor="contentid=68451" w:history="1">
        <w:r w:rsidRPr="00013C4B">
          <w:rPr>
            <w:rStyle w:val="Hyperlink"/>
            <w:sz w:val="24"/>
            <w:szCs w:val="24"/>
          </w:rPr>
          <w:t>http://client.prod.iaff.org/#contentid=68451</w:t>
        </w:r>
      </w:hyperlink>
      <w:r w:rsidRPr="00013C4B">
        <w:rPr>
          <w:rFonts w:ascii="Times New Roman" w:eastAsia="Times New Roman" w:hAnsi="Times New Roman"/>
          <w:bCs/>
          <w:sz w:val="24"/>
          <w:szCs w:val="24"/>
        </w:rPr>
        <w:t xml:space="preserve"> </w:t>
      </w:r>
    </w:p>
    <w:p w14:paraId="07659AD9" w14:textId="77777777" w:rsidR="00F326E5" w:rsidRPr="00013C4B" w:rsidRDefault="00F326E5" w:rsidP="00F326E5">
      <w:pPr>
        <w:spacing w:before="100" w:beforeAutospacing="1" w:after="100" w:afterAutospacing="1"/>
        <w:ind w:left="720"/>
        <w:rPr>
          <w:rFonts w:ascii="Times New Roman" w:eastAsia="Times New Roman" w:hAnsi="Times New Roman"/>
          <w:sz w:val="24"/>
          <w:szCs w:val="24"/>
        </w:rPr>
      </w:pPr>
      <w:r w:rsidRPr="00013C4B">
        <w:rPr>
          <w:rFonts w:ascii="Times New Roman" w:eastAsia="Times New Roman" w:hAnsi="Times New Roman"/>
          <w:sz w:val="24"/>
          <w:szCs w:val="24"/>
        </w:rPr>
        <w:t xml:space="preserve">Washington, DC – “The Janus v AFSCME Council 31 case was pushed by forces that want to take away the voices of fire fighters and the power of all public employee unions. The intent is to </w:t>
      </w:r>
      <w:proofErr w:type="gramStart"/>
      <w:r w:rsidRPr="00013C4B">
        <w:rPr>
          <w:rFonts w:ascii="Times New Roman" w:eastAsia="Times New Roman" w:hAnsi="Times New Roman"/>
          <w:sz w:val="24"/>
          <w:szCs w:val="24"/>
        </w:rPr>
        <w:t>handicap</w:t>
      </w:r>
      <w:proofErr w:type="gramEnd"/>
      <w:r w:rsidRPr="00013C4B">
        <w:rPr>
          <w:rFonts w:ascii="Times New Roman" w:eastAsia="Times New Roman" w:hAnsi="Times New Roman"/>
          <w:sz w:val="24"/>
          <w:szCs w:val="24"/>
        </w:rPr>
        <w:t xml:space="preserve"> unions in our ability to improve members' lives and to weaken the political power of public employees.</w:t>
      </w:r>
    </w:p>
    <w:p w14:paraId="5FF23B04" w14:textId="77777777" w:rsidR="00F326E5" w:rsidRPr="00013C4B" w:rsidRDefault="00F326E5" w:rsidP="00F326E5">
      <w:pPr>
        <w:spacing w:before="100" w:beforeAutospacing="1" w:after="100" w:afterAutospacing="1"/>
        <w:ind w:left="720"/>
        <w:rPr>
          <w:rFonts w:ascii="Times New Roman" w:eastAsia="Times New Roman" w:hAnsi="Times New Roman"/>
          <w:sz w:val="24"/>
          <w:szCs w:val="24"/>
        </w:rPr>
      </w:pPr>
      <w:r w:rsidRPr="00013C4B">
        <w:rPr>
          <w:rFonts w:ascii="Times New Roman" w:eastAsia="Times New Roman" w:hAnsi="Times New Roman"/>
          <w:sz w:val="24"/>
          <w:szCs w:val="24"/>
        </w:rPr>
        <w:t xml:space="preserve">“We know the potential negative impacts that could come from the Supreme Court’s decision in </w:t>
      </w:r>
      <w:proofErr w:type="gramStart"/>
      <w:r w:rsidRPr="00013C4B">
        <w:rPr>
          <w:rFonts w:ascii="Times New Roman" w:eastAsia="Times New Roman" w:hAnsi="Times New Roman"/>
          <w:i/>
          <w:iCs/>
          <w:sz w:val="24"/>
          <w:szCs w:val="24"/>
        </w:rPr>
        <w:t>Janus</w:t>
      </w:r>
      <w:r w:rsidRPr="00013C4B">
        <w:rPr>
          <w:rFonts w:ascii="Times New Roman" w:eastAsia="Times New Roman" w:hAnsi="Times New Roman"/>
          <w:sz w:val="24"/>
          <w:szCs w:val="24"/>
        </w:rPr>
        <w:t>,</w:t>
      </w:r>
      <w:proofErr w:type="gramEnd"/>
      <w:r w:rsidRPr="00013C4B">
        <w:rPr>
          <w:rFonts w:ascii="Times New Roman" w:eastAsia="Times New Roman" w:hAnsi="Times New Roman"/>
          <w:sz w:val="24"/>
          <w:szCs w:val="24"/>
        </w:rPr>
        <w:t xml:space="preserve"> however we are ready to take the best punch and deliver some blows ourselves to those that want to see fire fighters and their unions weakened.</w:t>
      </w:r>
    </w:p>
    <w:p w14:paraId="6ACEED87" w14:textId="77777777" w:rsidR="00F326E5" w:rsidRPr="00013C4B" w:rsidRDefault="00F326E5" w:rsidP="00F326E5">
      <w:pPr>
        <w:spacing w:before="100" w:beforeAutospacing="1" w:after="100" w:afterAutospacing="1"/>
        <w:ind w:left="720"/>
        <w:rPr>
          <w:rFonts w:ascii="Times New Roman" w:eastAsia="Times New Roman" w:hAnsi="Times New Roman"/>
          <w:sz w:val="24"/>
          <w:szCs w:val="24"/>
        </w:rPr>
      </w:pPr>
      <w:r w:rsidRPr="00013C4B">
        <w:rPr>
          <w:rFonts w:ascii="Times New Roman" w:eastAsia="Times New Roman" w:hAnsi="Times New Roman"/>
          <w:sz w:val="24"/>
          <w:szCs w:val="24"/>
        </w:rPr>
        <w:t xml:space="preserve">“While the Janus decision is another attack on organized labor, every attack can be turned into an opportunity, and we are determined not to let this decision hold us back from our important mission. The IAFF has operated successfully under </w:t>
      </w:r>
      <w:r w:rsidRPr="00013C4B">
        <w:rPr>
          <w:rFonts w:ascii="Times New Roman" w:eastAsia="Times New Roman" w:hAnsi="Times New Roman"/>
          <w:i/>
          <w:iCs/>
          <w:sz w:val="24"/>
          <w:szCs w:val="24"/>
        </w:rPr>
        <w:t>Janus</w:t>
      </w:r>
      <w:r w:rsidRPr="00013C4B">
        <w:rPr>
          <w:rFonts w:ascii="Times New Roman" w:eastAsia="Times New Roman" w:hAnsi="Times New Roman"/>
          <w:sz w:val="24"/>
          <w:szCs w:val="24"/>
        </w:rPr>
        <w:t>-like rules in right-to-work and non-collective bargaining states for decades. We have proven that you can have strong affiliates that deliver better pay, health care, retirement security, health and safety provisions and a voice in keeping their communities safe in these tough environments.</w:t>
      </w:r>
    </w:p>
    <w:p w14:paraId="1F7B5585" w14:textId="77777777" w:rsidR="00F326E5" w:rsidRPr="00013C4B" w:rsidRDefault="00F326E5" w:rsidP="00F326E5">
      <w:pPr>
        <w:spacing w:before="100" w:beforeAutospacing="1" w:after="100" w:afterAutospacing="1"/>
        <w:ind w:left="720"/>
        <w:rPr>
          <w:rFonts w:ascii="Times New Roman" w:eastAsia="Times New Roman" w:hAnsi="Times New Roman"/>
          <w:sz w:val="24"/>
          <w:szCs w:val="24"/>
        </w:rPr>
      </w:pPr>
      <w:r w:rsidRPr="00013C4B">
        <w:rPr>
          <w:rFonts w:ascii="Times New Roman" w:eastAsia="Times New Roman" w:hAnsi="Times New Roman"/>
          <w:sz w:val="24"/>
          <w:szCs w:val="24"/>
        </w:rPr>
        <w:t>“We represent more than 85 percent of all professional fire fighters and paramedics in the U.S. because we consistently demonstrate our value, through our strong affiliates, that being union fire fighters provides a significantly better standard of living and safer working environment than those who are not union. We believe that difference will become even more stark, and we are working to represent that small percentage of fire fighters who aren't in our union so that we can raise their standard of living and increase their ability to have a strong voice in public safety.</w:t>
      </w:r>
    </w:p>
    <w:p w14:paraId="598CA45C" w14:textId="77777777" w:rsidR="00F326E5" w:rsidRPr="00013C4B" w:rsidRDefault="00F326E5" w:rsidP="00F326E5">
      <w:pPr>
        <w:spacing w:before="100" w:beforeAutospacing="1" w:after="100" w:afterAutospacing="1"/>
        <w:ind w:left="720"/>
        <w:rPr>
          <w:rFonts w:ascii="Times New Roman" w:eastAsia="Times New Roman" w:hAnsi="Times New Roman"/>
          <w:sz w:val="24"/>
          <w:szCs w:val="24"/>
        </w:rPr>
      </w:pPr>
      <w:r w:rsidRPr="00013C4B">
        <w:rPr>
          <w:rFonts w:ascii="Times New Roman" w:eastAsia="Times New Roman" w:hAnsi="Times New Roman"/>
          <w:sz w:val="24"/>
          <w:szCs w:val="24"/>
        </w:rPr>
        <w:t xml:space="preserve">“This case was intended as a political push to eliminate the power of people who work to support their families and the power of their unions. But instead, the </w:t>
      </w:r>
      <w:r w:rsidRPr="00013C4B">
        <w:rPr>
          <w:rFonts w:ascii="Times New Roman" w:eastAsia="Times New Roman" w:hAnsi="Times New Roman"/>
          <w:i/>
          <w:iCs/>
          <w:sz w:val="24"/>
          <w:szCs w:val="24"/>
        </w:rPr>
        <w:t>Janus</w:t>
      </w:r>
      <w:r w:rsidRPr="00013C4B">
        <w:rPr>
          <w:rFonts w:ascii="Times New Roman" w:eastAsia="Times New Roman" w:hAnsi="Times New Roman"/>
          <w:sz w:val="24"/>
          <w:szCs w:val="24"/>
        </w:rPr>
        <w:t xml:space="preserve"> case is activating an army of union leaders to better engage their members.”</w:t>
      </w:r>
    </w:p>
    <w:bookmarkEnd w:id="73"/>
    <w:p w14:paraId="038A3D7C" w14:textId="77777777" w:rsidR="00F326E5" w:rsidRDefault="00F326E5" w:rsidP="00F326E5">
      <w:pPr>
        <w:pStyle w:val="NoSpacing"/>
        <w:rPr>
          <w:sz w:val="24"/>
          <w:szCs w:val="24"/>
        </w:rPr>
      </w:pPr>
    </w:p>
    <w:p w14:paraId="0AB6162E" w14:textId="77777777" w:rsidR="002B1283" w:rsidRDefault="002B1283" w:rsidP="00F326E5">
      <w:pPr>
        <w:pStyle w:val="NoSpacing"/>
        <w:rPr>
          <w:rFonts w:ascii="Arial Black" w:hAnsi="Arial Black"/>
          <w:b/>
          <w:sz w:val="28"/>
          <w:szCs w:val="28"/>
        </w:rPr>
      </w:pPr>
      <w:bookmarkStart w:id="74" w:name="_Hlk7339701"/>
    </w:p>
    <w:p w14:paraId="1B731B8D" w14:textId="77777777" w:rsidR="002B1283" w:rsidRDefault="002B1283" w:rsidP="00F326E5">
      <w:pPr>
        <w:pStyle w:val="NoSpacing"/>
        <w:rPr>
          <w:rFonts w:ascii="Arial Black" w:hAnsi="Arial Black"/>
          <w:b/>
          <w:sz w:val="28"/>
          <w:szCs w:val="28"/>
        </w:rPr>
      </w:pPr>
    </w:p>
    <w:p w14:paraId="2432A207" w14:textId="7002696A" w:rsidR="00791CA3" w:rsidRPr="00791CA3" w:rsidRDefault="00791CA3" w:rsidP="00791CA3">
      <w:pPr>
        <w:rPr>
          <w:rFonts w:ascii="Arial Black" w:hAnsi="Arial Black"/>
          <w:b/>
          <w:sz w:val="24"/>
          <w:szCs w:val="24"/>
        </w:rPr>
      </w:pPr>
      <w:r w:rsidRPr="00791CA3">
        <w:rPr>
          <w:rFonts w:ascii="Arial Black" w:hAnsi="Arial Black"/>
          <w:b/>
          <w:sz w:val="24"/>
          <w:szCs w:val="24"/>
        </w:rPr>
        <w:t>1-</w:t>
      </w:r>
      <w:r>
        <w:rPr>
          <w:rFonts w:ascii="Arial Black" w:hAnsi="Arial Black"/>
          <w:b/>
          <w:sz w:val="24"/>
          <w:szCs w:val="24"/>
        </w:rPr>
        <w:t>15</w:t>
      </w:r>
    </w:p>
    <w:p w14:paraId="309AE323" w14:textId="78D1E78A" w:rsidR="00F326E5" w:rsidRDefault="00F326E5" w:rsidP="00F326E5">
      <w:pPr>
        <w:pStyle w:val="NoSpacing"/>
        <w:rPr>
          <w:rFonts w:ascii="Arial Black" w:hAnsi="Arial Black"/>
          <w:b/>
          <w:sz w:val="24"/>
          <w:szCs w:val="24"/>
        </w:rPr>
      </w:pPr>
      <w:r w:rsidRPr="00BC5C14">
        <w:rPr>
          <w:rFonts w:ascii="Arial Black" w:hAnsi="Arial Black"/>
          <w:b/>
          <w:sz w:val="28"/>
          <w:szCs w:val="28"/>
        </w:rPr>
        <w:t>WI</w:t>
      </w:r>
      <w:r>
        <w:rPr>
          <w:rFonts w:ascii="Arial Black" w:hAnsi="Arial Black"/>
          <w:b/>
          <w:sz w:val="28"/>
          <w:szCs w:val="28"/>
        </w:rPr>
        <w:t xml:space="preserve">: </w:t>
      </w:r>
      <w:r w:rsidRPr="00BC5C14">
        <w:rPr>
          <w:rFonts w:ascii="Arial Black" w:hAnsi="Arial Black"/>
          <w:b/>
          <w:sz w:val="28"/>
          <w:szCs w:val="28"/>
        </w:rPr>
        <w:t>F</w:t>
      </w:r>
      <w:r>
        <w:rPr>
          <w:rFonts w:ascii="Arial Black" w:hAnsi="Arial Black"/>
          <w:b/>
          <w:sz w:val="28"/>
          <w:szCs w:val="28"/>
        </w:rPr>
        <w:t>OREST FIRE – INSURANCE COMPANY HAS LIMITED LIABILITY OF $500,000</w:t>
      </w:r>
    </w:p>
    <w:p w14:paraId="5E3F2990" w14:textId="77777777" w:rsidR="00637A12" w:rsidRDefault="00F326E5" w:rsidP="00F326E5">
      <w:pPr>
        <w:pStyle w:val="NoSpacing"/>
        <w:rPr>
          <w:rFonts w:ascii="Times New Roman" w:hAnsi="Times New Roman"/>
          <w:sz w:val="24"/>
          <w:szCs w:val="24"/>
        </w:rPr>
      </w:pPr>
      <w:r w:rsidRPr="00015208">
        <w:rPr>
          <w:rFonts w:ascii="Times New Roman" w:hAnsi="Times New Roman"/>
          <w:sz w:val="24"/>
          <w:szCs w:val="24"/>
        </w:rPr>
        <w:t xml:space="preserve">On Oct. 30, 2018, in </w:t>
      </w:r>
      <w:r w:rsidRPr="00015208">
        <w:rPr>
          <w:rFonts w:ascii="Times New Roman" w:hAnsi="Times New Roman"/>
          <w:sz w:val="24"/>
          <w:szCs w:val="24"/>
          <w:u w:val="single"/>
        </w:rPr>
        <w:t>SECURA Insurance, A Mutual Company v. Lyme St. Croix Forest Company, LLC, et al.</w:t>
      </w:r>
      <w:r w:rsidRPr="00015208">
        <w:rPr>
          <w:rFonts w:ascii="Times New Roman" w:hAnsi="Times New Roman"/>
          <w:sz w:val="24"/>
          <w:szCs w:val="24"/>
        </w:rPr>
        <w:t xml:space="preserve">, the Wisconsin Supreme Court reversed the trial court, and the Wisconsin Appeals Court, and held (7 to 0): </w:t>
      </w:r>
    </w:p>
    <w:p w14:paraId="4E9BE49C" w14:textId="77777777" w:rsidR="00637A12" w:rsidRDefault="00637A12" w:rsidP="00637A12">
      <w:pPr>
        <w:pStyle w:val="NoSpacing"/>
        <w:ind w:firstLine="720"/>
        <w:rPr>
          <w:rFonts w:ascii="Times New Roman" w:hAnsi="Times New Roman"/>
          <w:sz w:val="24"/>
          <w:szCs w:val="24"/>
        </w:rPr>
      </w:pPr>
    </w:p>
    <w:p w14:paraId="41089480" w14:textId="382A6CC7" w:rsidR="00F326E5" w:rsidRPr="00015208" w:rsidRDefault="00F326E5" w:rsidP="00637A12">
      <w:pPr>
        <w:pStyle w:val="NoSpacing"/>
        <w:ind w:left="720"/>
        <w:rPr>
          <w:rFonts w:ascii="Times New Roman" w:hAnsi="Times New Roman"/>
          <w:sz w:val="24"/>
          <w:szCs w:val="24"/>
        </w:rPr>
      </w:pPr>
      <w:r w:rsidRPr="00015208">
        <w:rPr>
          <w:rFonts w:ascii="Times New Roman" w:hAnsi="Times New Roman"/>
          <w:sz w:val="24"/>
          <w:szCs w:val="24"/>
        </w:rPr>
        <w:t>“Despite the fact that the fire crossed several property lines, Secura contends it was a single, uninterrupted cause of the alleged damages. *** We conclude that the fire at issue constitutes a single occurrence pursuant to the CGL [Commercial General Liability] policy. Consequently, the $500,000 per-occurrence limit for property damage applies.”</w:t>
      </w:r>
    </w:p>
    <w:p w14:paraId="0135C3BA" w14:textId="0360C5D9" w:rsidR="00F326E5" w:rsidRPr="00015208" w:rsidRDefault="00637A12" w:rsidP="00637A12">
      <w:pPr>
        <w:pStyle w:val="NoSpacing"/>
        <w:ind w:firstLine="720"/>
        <w:rPr>
          <w:rFonts w:ascii="Times New Roman" w:hAnsi="Times New Roman"/>
          <w:sz w:val="24"/>
          <w:szCs w:val="24"/>
        </w:rPr>
      </w:pPr>
      <w:hyperlink r:id="rId362" w:history="1">
        <w:r w:rsidRPr="002F304C">
          <w:rPr>
            <w:rStyle w:val="Hyperlink"/>
            <w:rFonts w:ascii="Times New Roman" w:hAnsi="Times New Roman"/>
            <w:sz w:val="24"/>
            <w:szCs w:val="24"/>
          </w:rPr>
          <w:t>https://www.wicourts.gov/sc/opinion/DisplayDocument.pdf?content=pdf&amp;seqNo=224718</w:t>
        </w:r>
      </w:hyperlink>
      <w:r w:rsidR="00F326E5" w:rsidRPr="00015208">
        <w:rPr>
          <w:rFonts w:ascii="Times New Roman" w:hAnsi="Times New Roman"/>
          <w:sz w:val="24"/>
          <w:szCs w:val="24"/>
        </w:rPr>
        <w:t xml:space="preserve"> </w:t>
      </w:r>
    </w:p>
    <w:p w14:paraId="43337987" w14:textId="77777777" w:rsidR="00637A12" w:rsidRDefault="00637A12" w:rsidP="00F326E5">
      <w:pPr>
        <w:rPr>
          <w:rFonts w:ascii="Times New Roman" w:eastAsia="Times New Roman" w:hAnsi="Times New Roman"/>
          <w:b/>
          <w:sz w:val="24"/>
          <w:szCs w:val="24"/>
        </w:rPr>
      </w:pPr>
    </w:p>
    <w:p w14:paraId="06A26627" w14:textId="3292C244" w:rsidR="00F326E5" w:rsidRPr="00015208" w:rsidRDefault="00F326E5" w:rsidP="00F326E5">
      <w:pPr>
        <w:rPr>
          <w:rFonts w:ascii="Times New Roman" w:eastAsia="Times New Roman" w:hAnsi="Times New Roman"/>
          <w:b/>
          <w:sz w:val="24"/>
          <w:szCs w:val="24"/>
        </w:rPr>
      </w:pPr>
      <w:r w:rsidRPr="00015208">
        <w:rPr>
          <w:rFonts w:ascii="Times New Roman" w:eastAsia="Times New Roman" w:hAnsi="Times New Roman"/>
          <w:b/>
          <w:sz w:val="24"/>
          <w:szCs w:val="24"/>
        </w:rPr>
        <w:t xml:space="preserve">Legal Lessons Learned: The logging equipment company, which paid for insurance against this type of loss, must feel that its insurance company has treated their customer like “manure.”  Insurance policies are often difficult to interpret.  Fire &amp; EMS departments should invite their liability insurance carrier(s) in for a discussion about what is covered and what is not covered. </w:t>
      </w:r>
    </w:p>
    <w:bookmarkEnd w:id="74"/>
    <w:p w14:paraId="684B357A" w14:textId="77777777" w:rsidR="00F326E5" w:rsidRPr="00DE6D89" w:rsidRDefault="00F326E5" w:rsidP="00F326E5">
      <w:pPr>
        <w:pStyle w:val="NoSpacing"/>
        <w:rPr>
          <w:b/>
          <w:sz w:val="24"/>
          <w:szCs w:val="24"/>
        </w:rPr>
      </w:pPr>
    </w:p>
    <w:p w14:paraId="6A686F15" w14:textId="77777777" w:rsidR="00637A12" w:rsidRDefault="00637A12" w:rsidP="00791CA3">
      <w:pPr>
        <w:rPr>
          <w:rFonts w:ascii="Arial Black" w:hAnsi="Arial Black"/>
          <w:b/>
          <w:sz w:val="24"/>
          <w:szCs w:val="24"/>
        </w:rPr>
      </w:pPr>
    </w:p>
    <w:p w14:paraId="7041406B" w14:textId="28CA0D2E" w:rsidR="00791CA3" w:rsidRPr="00791CA3" w:rsidRDefault="00791CA3" w:rsidP="00791CA3">
      <w:pPr>
        <w:rPr>
          <w:rFonts w:ascii="Arial Black" w:hAnsi="Arial Black"/>
          <w:b/>
          <w:sz w:val="24"/>
          <w:szCs w:val="24"/>
        </w:rPr>
      </w:pPr>
      <w:r w:rsidRPr="00791CA3">
        <w:rPr>
          <w:rFonts w:ascii="Arial Black" w:hAnsi="Arial Black"/>
          <w:b/>
          <w:sz w:val="24"/>
          <w:szCs w:val="24"/>
        </w:rPr>
        <w:t>1-</w:t>
      </w:r>
      <w:r>
        <w:rPr>
          <w:rFonts w:ascii="Arial Black" w:hAnsi="Arial Black"/>
          <w:b/>
          <w:sz w:val="24"/>
          <w:szCs w:val="24"/>
        </w:rPr>
        <w:t>14</w:t>
      </w:r>
    </w:p>
    <w:p w14:paraId="132A03EF" w14:textId="77777777" w:rsidR="00791CA3" w:rsidRDefault="00791CA3" w:rsidP="00F326E5">
      <w:pPr>
        <w:pStyle w:val="NoSpacing"/>
        <w:rPr>
          <w:sz w:val="24"/>
          <w:szCs w:val="24"/>
        </w:rPr>
      </w:pPr>
    </w:p>
    <w:p w14:paraId="0ABF84E5" w14:textId="29F4B1DD" w:rsidR="00F326E5" w:rsidRPr="00992A0C" w:rsidRDefault="00F326E5" w:rsidP="00F326E5">
      <w:pPr>
        <w:pStyle w:val="NoSpacing"/>
        <w:rPr>
          <w:rFonts w:ascii="Arial Black" w:hAnsi="Arial Black"/>
          <w:b/>
          <w:sz w:val="28"/>
          <w:szCs w:val="28"/>
        </w:rPr>
      </w:pPr>
      <w:bookmarkStart w:id="75" w:name="_Hlk7339777"/>
      <w:r w:rsidRPr="00992A0C">
        <w:rPr>
          <w:rFonts w:ascii="Arial Black" w:hAnsi="Arial Black"/>
          <w:b/>
          <w:sz w:val="28"/>
          <w:szCs w:val="28"/>
        </w:rPr>
        <w:t>OH</w:t>
      </w:r>
      <w:r>
        <w:rPr>
          <w:rFonts w:ascii="Arial Black" w:hAnsi="Arial Black"/>
          <w:b/>
          <w:sz w:val="28"/>
          <w:szCs w:val="28"/>
        </w:rPr>
        <w:t xml:space="preserve">: FIRE CODE VIOLATIONS - COURT MAY ORDER INSPECTION OF UNOCCUPIED BUILDING </w:t>
      </w:r>
    </w:p>
    <w:p w14:paraId="55FBF1BB" w14:textId="77777777" w:rsidR="00637A12" w:rsidRDefault="00F326E5" w:rsidP="00F326E5">
      <w:pPr>
        <w:rPr>
          <w:rFonts w:ascii="Times New Roman" w:eastAsia="Times New Roman" w:hAnsi="Times New Roman"/>
          <w:sz w:val="24"/>
          <w:szCs w:val="24"/>
        </w:rPr>
      </w:pPr>
      <w:r w:rsidRPr="00015208">
        <w:rPr>
          <w:rFonts w:ascii="Times New Roman" w:eastAsia="Times New Roman" w:hAnsi="Times New Roman"/>
          <w:sz w:val="24"/>
          <w:szCs w:val="24"/>
        </w:rPr>
        <w:t xml:space="preserve">On Oct. 11, 2018, in </w:t>
      </w:r>
      <w:r w:rsidRPr="00015208">
        <w:rPr>
          <w:rFonts w:ascii="Times New Roman" w:eastAsia="Times New Roman" w:hAnsi="Times New Roman"/>
          <w:sz w:val="24"/>
          <w:szCs w:val="24"/>
          <w:u w:val="single"/>
        </w:rPr>
        <w:t>City of Cleveland v. James Grunt, Jr.,</w:t>
      </w:r>
      <w:r w:rsidRPr="00015208">
        <w:rPr>
          <w:rFonts w:ascii="Times New Roman" w:eastAsia="Times New Roman" w:hAnsi="Times New Roman"/>
          <w:sz w:val="24"/>
          <w:szCs w:val="24"/>
        </w:rPr>
        <w:t xml:space="preserve"> the Ohio Court of Appeals for Cuyahoga County held (3 to 0) that a judge on the Cleveland Municipal Court – Housing Division had authority to allow warrantless inspections of the property to confirm that owner is complying with Cleveland Building Department requirements. </w:t>
      </w:r>
    </w:p>
    <w:p w14:paraId="705A094C" w14:textId="74AE18D7" w:rsidR="00F326E5" w:rsidRPr="00015208" w:rsidRDefault="00F326E5" w:rsidP="00637A12">
      <w:pPr>
        <w:ind w:left="720"/>
        <w:rPr>
          <w:rFonts w:ascii="Times New Roman" w:eastAsia="Times New Roman" w:hAnsi="Times New Roman"/>
          <w:sz w:val="24"/>
          <w:szCs w:val="24"/>
        </w:rPr>
      </w:pPr>
      <w:r w:rsidRPr="00015208">
        <w:rPr>
          <w:rFonts w:ascii="Times New Roman" w:eastAsia="Times New Roman" w:hAnsi="Times New Roman"/>
          <w:sz w:val="24"/>
          <w:szCs w:val="24"/>
        </w:rPr>
        <w:t xml:space="preserve">“[W]e </w:t>
      </w:r>
      <w:proofErr w:type="gramStart"/>
      <w:r w:rsidRPr="00015208">
        <w:rPr>
          <w:rFonts w:ascii="Times New Roman" w:eastAsia="Times New Roman" w:hAnsi="Times New Roman"/>
          <w:sz w:val="24"/>
          <w:szCs w:val="24"/>
        </w:rPr>
        <w:t>find</w:t>
      </w:r>
      <w:proofErr w:type="gramEnd"/>
      <w:r w:rsidRPr="00015208">
        <w:rPr>
          <w:rFonts w:ascii="Times New Roman" w:eastAsia="Times New Roman" w:hAnsi="Times New Roman"/>
          <w:sz w:val="24"/>
          <w:szCs w:val="24"/>
        </w:rPr>
        <w:t xml:space="preserve"> no cases in Ohio directly on point, i.e., discussing the constitutionality of ordering a property inspection as a condition of CCS. However, we find guidance in R.C. 2951.02, which authorizes warrantless searches during an offender’s misdemeanor CCS under certain </w:t>
      </w:r>
      <w:proofErr w:type="gramStart"/>
      <w:r w:rsidRPr="00015208">
        <w:rPr>
          <w:rFonts w:ascii="Times New Roman" w:eastAsia="Times New Roman" w:hAnsi="Times New Roman"/>
          <w:sz w:val="24"/>
          <w:szCs w:val="24"/>
        </w:rPr>
        <w:t>circumstances.”</w:t>
      </w:r>
      <w:proofErr w:type="gramEnd"/>
      <w:r w:rsidRPr="00015208">
        <w:rPr>
          <w:rFonts w:ascii="Times New Roman" w:eastAsia="Times New Roman" w:hAnsi="Times New Roman"/>
          <w:sz w:val="24"/>
          <w:szCs w:val="24"/>
        </w:rPr>
        <w:t xml:space="preserve"> </w:t>
      </w:r>
      <w:hyperlink r:id="rId363" w:history="1">
        <w:r w:rsidRPr="00015208">
          <w:rPr>
            <w:rStyle w:val="Hyperlink"/>
            <w:rFonts w:ascii="Times New Roman" w:hAnsi="Times New Roman"/>
            <w:sz w:val="24"/>
            <w:szCs w:val="24"/>
          </w:rPr>
          <w:t>https://www.supremecourt.ohio.gov/rod/docs/pdf/8/2018/2018-Ohio-4109.pdf</w:t>
        </w:r>
      </w:hyperlink>
      <w:r w:rsidRPr="00015208">
        <w:rPr>
          <w:rFonts w:ascii="Times New Roman" w:eastAsia="Times New Roman" w:hAnsi="Times New Roman"/>
          <w:sz w:val="24"/>
          <w:szCs w:val="24"/>
        </w:rPr>
        <w:t xml:space="preserve"> </w:t>
      </w:r>
    </w:p>
    <w:p w14:paraId="4923AD15" w14:textId="77777777" w:rsidR="00F326E5" w:rsidRPr="00015208" w:rsidRDefault="00F326E5" w:rsidP="00F326E5">
      <w:pPr>
        <w:rPr>
          <w:rFonts w:ascii="Times New Roman" w:eastAsia="Times New Roman" w:hAnsi="Times New Roman"/>
          <w:b/>
          <w:sz w:val="24"/>
          <w:szCs w:val="24"/>
        </w:rPr>
      </w:pPr>
      <w:r w:rsidRPr="00015208">
        <w:rPr>
          <w:rFonts w:ascii="Times New Roman" w:eastAsia="Times New Roman" w:hAnsi="Times New Roman"/>
          <w:b/>
          <w:sz w:val="24"/>
          <w:szCs w:val="24"/>
        </w:rPr>
        <w:t xml:space="preserve">Legal Lessons Learned:  This decision can be helpful precedence in Ohio for communities struggling with empty properties. </w:t>
      </w:r>
    </w:p>
    <w:bookmarkEnd w:id="75"/>
    <w:p w14:paraId="46CB0502" w14:textId="77777777" w:rsidR="00791CA3" w:rsidRDefault="00791CA3" w:rsidP="00791CA3">
      <w:pPr>
        <w:rPr>
          <w:rFonts w:ascii="Arial Black" w:hAnsi="Arial Black"/>
          <w:b/>
          <w:sz w:val="24"/>
          <w:szCs w:val="24"/>
        </w:rPr>
      </w:pPr>
    </w:p>
    <w:p w14:paraId="4443AB19" w14:textId="07B5069A" w:rsidR="00791CA3" w:rsidRPr="00791CA3" w:rsidRDefault="00791CA3" w:rsidP="00791CA3">
      <w:pPr>
        <w:rPr>
          <w:rFonts w:ascii="Arial Black" w:hAnsi="Arial Black"/>
          <w:b/>
          <w:sz w:val="24"/>
          <w:szCs w:val="24"/>
        </w:rPr>
      </w:pPr>
      <w:r w:rsidRPr="00791CA3">
        <w:rPr>
          <w:rFonts w:ascii="Arial Black" w:hAnsi="Arial Black"/>
          <w:b/>
          <w:sz w:val="24"/>
          <w:szCs w:val="24"/>
        </w:rPr>
        <w:t>1-</w:t>
      </w:r>
      <w:r>
        <w:rPr>
          <w:rFonts w:ascii="Arial Black" w:hAnsi="Arial Black"/>
          <w:b/>
          <w:sz w:val="24"/>
          <w:szCs w:val="24"/>
        </w:rPr>
        <w:t>1</w:t>
      </w:r>
      <w:r w:rsidRPr="00791CA3">
        <w:rPr>
          <w:rFonts w:ascii="Arial Black" w:hAnsi="Arial Black"/>
          <w:b/>
          <w:sz w:val="24"/>
          <w:szCs w:val="24"/>
        </w:rPr>
        <w:t>3</w:t>
      </w:r>
    </w:p>
    <w:p w14:paraId="2B328449" w14:textId="2B582342" w:rsidR="00F326E5" w:rsidRPr="001456E2" w:rsidRDefault="00F326E5" w:rsidP="00F326E5">
      <w:pPr>
        <w:pStyle w:val="NoSpacing"/>
        <w:rPr>
          <w:rFonts w:ascii="Arial Black" w:hAnsi="Arial Black"/>
          <w:sz w:val="28"/>
          <w:szCs w:val="28"/>
        </w:rPr>
      </w:pPr>
      <w:bookmarkStart w:id="76" w:name="_Hlk7339826"/>
      <w:r w:rsidRPr="001456E2">
        <w:rPr>
          <w:rFonts w:ascii="Arial Black" w:hAnsi="Arial Black"/>
          <w:sz w:val="28"/>
          <w:szCs w:val="28"/>
        </w:rPr>
        <w:t>OH: AUTOPSY REPORTS NOT PUBLIC RECORDS – ONGOING INVESTIGATION, BUT JOURNALISTS CAN READ</w:t>
      </w:r>
      <w:r w:rsidRPr="001456E2">
        <w:rPr>
          <w:sz w:val="28"/>
          <w:szCs w:val="28"/>
        </w:rPr>
        <w:t xml:space="preserve"> </w:t>
      </w:r>
    </w:p>
    <w:p w14:paraId="428EA072" w14:textId="77777777" w:rsidR="00637A12" w:rsidRDefault="00F326E5" w:rsidP="00F326E5">
      <w:pPr>
        <w:rPr>
          <w:rFonts w:ascii="Times New Roman" w:eastAsia="Times New Roman" w:hAnsi="Times New Roman"/>
          <w:sz w:val="24"/>
          <w:szCs w:val="24"/>
        </w:rPr>
      </w:pPr>
      <w:r w:rsidRPr="00015208">
        <w:rPr>
          <w:rFonts w:ascii="Times New Roman" w:eastAsia="Times New Roman" w:hAnsi="Times New Roman"/>
          <w:sz w:val="24"/>
          <w:szCs w:val="24"/>
        </w:rPr>
        <w:t xml:space="preserve">On Sept. 19, 2018, in </w:t>
      </w:r>
      <w:r w:rsidRPr="00015208">
        <w:rPr>
          <w:rFonts w:ascii="Times New Roman" w:eastAsia="Times New Roman" w:hAnsi="Times New Roman"/>
          <w:sz w:val="24"/>
          <w:szCs w:val="24"/>
          <w:u w:val="single"/>
        </w:rPr>
        <w:t>The State Ex Rel. Cincinnati Enquirer v. Pike County General Health District, et al.</w:t>
      </w:r>
      <w:r w:rsidRPr="00015208">
        <w:rPr>
          <w:rFonts w:ascii="Times New Roman" w:eastAsia="Times New Roman" w:hAnsi="Times New Roman"/>
          <w:sz w:val="24"/>
          <w:szCs w:val="24"/>
        </w:rPr>
        <w:t xml:space="preserve">, the Ohio Supreme Court held (5 to 0) that: </w:t>
      </w:r>
    </w:p>
    <w:p w14:paraId="4C09B704" w14:textId="34B5EE95" w:rsidR="00F326E5" w:rsidRPr="00015208" w:rsidRDefault="00F326E5" w:rsidP="00637A12">
      <w:pPr>
        <w:ind w:left="720"/>
        <w:rPr>
          <w:rFonts w:ascii="Times New Roman" w:eastAsia="Times New Roman" w:hAnsi="Times New Roman"/>
          <w:b/>
          <w:sz w:val="24"/>
          <w:szCs w:val="24"/>
        </w:rPr>
      </w:pPr>
      <w:r w:rsidRPr="00015208">
        <w:rPr>
          <w:rFonts w:ascii="Times New Roman" w:eastAsia="Times New Roman" w:hAnsi="Times New Roman"/>
          <w:sz w:val="24"/>
          <w:szCs w:val="24"/>
        </w:rPr>
        <w:t>“</w:t>
      </w:r>
      <w:proofErr w:type="gramStart"/>
      <w:r w:rsidRPr="00015208">
        <w:rPr>
          <w:rFonts w:ascii="Times New Roman" w:eastAsia="Times New Roman" w:hAnsi="Times New Roman"/>
          <w:sz w:val="24"/>
          <w:szCs w:val="24"/>
        </w:rPr>
        <w:t>the</w:t>
      </w:r>
      <w:proofErr w:type="gramEnd"/>
      <w:r w:rsidRPr="00015208">
        <w:rPr>
          <w:rFonts w:ascii="Times New Roman" w:eastAsia="Times New Roman" w:hAnsi="Times New Roman"/>
          <w:sz w:val="24"/>
          <w:szCs w:val="24"/>
        </w:rPr>
        <w:t xml:space="preserve"> function of R.C. 313.10(D) is to give journalists limited access to records that are not public records. If a journalist could review only autopsy reports that are public records, then he would have no greater access than the </w:t>
      </w:r>
      <w:proofErr w:type="gramStart"/>
      <w:r w:rsidRPr="00015208">
        <w:rPr>
          <w:rFonts w:ascii="Times New Roman" w:eastAsia="Times New Roman" w:hAnsi="Times New Roman"/>
          <w:sz w:val="24"/>
          <w:szCs w:val="24"/>
        </w:rPr>
        <w:t>general public</w:t>
      </w:r>
      <w:proofErr w:type="gramEnd"/>
      <w:r w:rsidRPr="00015208">
        <w:rPr>
          <w:rFonts w:ascii="Times New Roman" w:eastAsia="Times New Roman" w:hAnsi="Times New Roman"/>
          <w:sz w:val="24"/>
          <w:szCs w:val="24"/>
        </w:rPr>
        <w:t xml:space="preserve">, and R.C. 313.10(D) would be a dead letter.” </w:t>
      </w:r>
      <w:hyperlink r:id="rId364" w:history="1">
        <w:r w:rsidRPr="00015208">
          <w:rPr>
            <w:rStyle w:val="Hyperlink"/>
            <w:rFonts w:ascii="Times New Roman" w:hAnsi="Times New Roman"/>
            <w:sz w:val="24"/>
            <w:szCs w:val="24"/>
          </w:rPr>
          <w:t>https://www.supremecourt.ohio.gov/rod/docs/pdf/0/2018/2018-Ohio-3721.pdf</w:t>
        </w:r>
      </w:hyperlink>
      <w:r w:rsidRPr="00015208">
        <w:rPr>
          <w:rFonts w:ascii="Times New Roman" w:eastAsia="Times New Roman" w:hAnsi="Times New Roman"/>
          <w:b/>
          <w:sz w:val="24"/>
          <w:szCs w:val="24"/>
        </w:rPr>
        <w:t xml:space="preserve"> </w:t>
      </w:r>
    </w:p>
    <w:p w14:paraId="0E495C83" w14:textId="77777777" w:rsidR="00ED63B1" w:rsidRPr="00015208" w:rsidRDefault="00F326E5" w:rsidP="00F326E5">
      <w:pPr>
        <w:rPr>
          <w:rFonts w:ascii="Times New Roman" w:eastAsia="Times New Roman" w:hAnsi="Times New Roman"/>
          <w:b/>
          <w:sz w:val="24"/>
          <w:szCs w:val="24"/>
        </w:rPr>
      </w:pPr>
      <w:r w:rsidRPr="00015208">
        <w:rPr>
          <w:rFonts w:ascii="Times New Roman" w:eastAsia="Times New Roman" w:hAnsi="Times New Roman"/>
          <w:b/>
          <w:sz w:val="24"/>
          <w:szCs w:val="24"/>
        </w:rPr>
        <w:t xml:space="preserve">Legal Lessons Learned:  The Cincinnati Enquirer may next seek reimbursement of attorney fees.  Fire &amp; EMS departments, when requested to produce documents that may not be “public records” (for example, HIPAA-protected EMS run reports), should consult legal counsel before deciding whether to release the documents. </w:t>
      </w:r>
    </w:p>
    <w:bookmarkEnd w:id="76"/>
    <w:p w14:paraId="61B31F86" w14:textId="77777777" w:rsidR="00F326E5" w:rsidRPr="00015208" w:rsidRDefault="00F326E5" w:rsidP="00F326E5">
      <w:pPr>
        <w:pStyle w:val="NoSpacing"/>
        <w:ind w:left="720"/>
        <w:rPr>
          <w:rFonts w:ascii="Times New Roman" w:hAnsi="Times New Roman"/>
          <w:sz w:val="24"/>
          <w:szCs w:val="24"/>
        </w:rPr>
      </w:pPr>
      <w:r w:rsidRPr="00015208">
        <w:rPr>
          <w:rFonts w:ascii="Times New Roman" w:eastAsia="Times New Roman" w:hAnsi="Times New Roman"/>
          <w:sz w:val="24"/>
          <w:szCs w:val="24"/>
        </w:rPr>
        <w:lastRenderedPageBreak/>
        <w:t>Note: On Nov. 13, 2018, arrests were made: “</w:t>
      </w:r>
      <w:r w:rsidRPr="00015208">
        <w:rPr>
          <w:rFonts w:ascii="Times New Roman" w:hAnsi="Times New Roman"/>
          <w:sz w:val="24"/>
          <w:szCs w:val="24"/>
        </w:rPr>
        <w:t xml:space="preserve">Pike County: Wagner Family Arrested </w:t>
      </w:r>
      <w:proofErr w:type="gramStart"/>
      <w:r w:rsidRPr="00015208">
        <w:rPr>
          <w:rFonts w:ascii="Times New Roman" w:hAnsi="Times New Roman"/>
          <w:sz w:val="24"/>
          <w:szCs w:val="24"/>
        </w:rPr>
        <w:t>In</w:t>
      </w:r>
      <w:proofErr w:type="gramEnd"/>
      <w:r w:rsidRPr="00015208">
        <w:rPr>
          <w:rFonts w:ascii="Times New Roman" w:hAnsi="Times New Roman"/>
          <w:sz w:val="24"/>
          <w:szCs w:val="24"/>
        </w:rPr>
        <w:t xml:space="preserve"> </w:t>
      </w:r>
      <w:proofErr w:type="gramStart"/>
      <w:r w:rsidRPr="00015208">
        <w:rPr>
          <w:rFonts w:ascii="Times New Roman" w:hAnsi="Times New Roman"/>
          <w:sz w:val="24"/>
          <w:szCs w:val="24"/>
        </w:rPr>
        <w:t>The</w:t>
      </w:r>
      <w:proofErr w:type="gramEnd"/>
      <w:r w:rsidRPr="00015208">
        <w:rPr>
          <w:rFonts w:ascii="Times New Roman" w:hAnsi="Times New Roman"/>
          <w:sz w:val="24"/>
          <w:szCs w:val="24"/>
        </w:rPr>
        <w:t xml:space="preserve"> Rhoden Family Massacre…. Arrested and charged with murder and a slew of other charges were Angela Wagner, 48, her husband George ‘Billy’ Wagner, 47, and their two sons, George Wagner IV, 27, and Edward ‘Jake’ Wagner, 26.” </w:t>
      </w:r>
      <w:hyperlink r:id="rId365" w:history="1">
        <w:r w:rsidRPr="00015208">
          <w:rPr>
            <w:rStyle w:val="Hyperlink"/>
            <w:rFonts w:ascii="Times New Roman" w:hAnsi="Times New Roman"/>
            <w:sz w:val="24"/>
            <w:szCs w:val="24"/>
          </w:rPr>
          <w:t>https://www.cincinnati.com/story/news/crime/crime-and-courts/2018/11/13/pike-county-massacre-wagner-family-arrested-rhoden-family-homicides/1373456002/</w:t>
        </w:r>
      </w:hyperlink>
      <w:r w:rsidRPr="00015208">
        <w:rPr>
          <w:rFonts w:ascii="Times New Roman" w:hAnsi="Times New Roman"/>
          <w:sz w:val="24"/>
          <w:szCs w:val="24"/>
        </w:rPr>
        <w:t xml:space="preserve"> </w:t>
      </w:r>
    </w:p>
    <w:p w14:paraId="2FCD49A6" w14:textId="77777777" w:rsidR="00F326E5" w:rsidRPr="00015208" w:rsidRDefault="00F326E5" w:rsidP="00F326E5">
      <w:pPr>
        <w:pStyle w:val="NoSpacing"/>
        <w:rPr>
          <w:rFonts w:ascii="Times New Roman" w:hAnsi="Times New Roman"/>
          <w:b/>
          <w:sz w:val="24"/>
          <w:szCs w:val="24"/>
        </w:rPr>
      </w:pPr>
    </w:p>
    <w:p w14:paraId="7918B77A" w14:textId="77777777" w:rsidR="00791CA3" w:rsidRPr="00015208" w:rsidRDefault="00791CA3" w:rsidP="00791CA3">
      <w:pPr>
        <w:rPr>
          <w:rFonts w:ascii="Times New Roman" w:hAnsi="Times New Roman"/>
          <w:b/>
          <w:sz w:val="24"/>
          <w:szCs w:val="24"/>
        </w:rPr>
      </w:pPr>
      <w:bookmarkStart w:id="77" w:name="_Hlk7339892"/>
    </w:p>
    <w:p w14:paraId="7AC0E8AE" w14:textId="6A487761" w:rsidR="00791CA3" w:rsidRPr="00791CA3" w:rsidRDefault="00791CA3" w:rsidP="00791CA3">
      <w:pPr>
        <w:rPr>
          <w:rFonts w:ascii="Arial Black" w:hAnsi="Arial Black"/>
          <w:b/>
          <w:sz w:val="24"/>
          <w:szCs w:val="24"/>
        </w:rPr>
      </w:pPr>
      <w:r w:rsidRPr="00791CA3">
        <w:rPr>
          <w:rFonts w:ascii="Arial Black" w:hAnsi="Arial Black"/>
          <w:b/>
          <w:sz w:val="24"/>
          <w:szCs w:val="24"/>
        </w:rPr>
        <w:t>1-</w:t>
      </w:r>
      <w:r>
        <w:rPr>
          <w:rFonts w:ascii="Arial Black" w:hAnsi="Arial Black"/>
          <w:b/>
          <w:sz w:val="24"/>
          <w:szCs w:val="24"/>
        </w:rPr>
        <w:t>12</w:t>
      </w:r>
    </w:p>
    <w:p w14:paraId="718F2358" w14:textId="44D21E5D" w:rsidR="00F326E5" w:rsidRPr="00237787" w:rsidRDefault="00F326E5" w:rsidP="00F326E5">
      <w:pPr>
        <w:pStyle w:val="Heading1"/>
        <w:rPr>
          <w:sz w:val="24"/>
          <w:szCs w:val="24"/>
        </w:rPr>
      </w:pPr>
      <w:r w:rsidRPr="001456E2">
        <w:rPr>
          <w:rFonts w:ascii="Arial Black" w:hAnsi="Arial Black"/>
          <w:sz w:val="28"/>
          <w:szCs w:val="28"/>
        </w:rPr>
        <w:t>TX: FREE SPEECH - PD OFFICER LAWSUIT MAY PROCEED - FIRED ORGANIZING POLICE ASSOCIATION</w:t>
      </w:r>
      <w:r>
        <w:rPr>
          <w:rFonts w:ascii="Arial Black" w:hAnsi="Arial Black"/>
          <w:sz w:val="24"/>
          <w:szCs w:val="24"/>
        </w:rPr>
        <w:t xml:space="preserve"> </w:t>
      </w:r>
      <w:r w:rsidRPr="00237787">
        <w:rPr>
          <w:sz w:val="24"/>
          <w:szCs w:val="24"/>
        </w:rPr>
        <w:t>[also filed, Chap. 16]</w:t>
      </w:r>
    </w:p>
    <w:p w14:paraId="5EDF39B6" w14:textId="77777777" w:rsidR="00637A12" w:rsidRDefault="00F326E5" w:rsidP="00F326E5">
      <w:pPr>
        <w:rPr>
          <w:rFonts w:ascii="Times New Roman" w:hAnsi="Times New Roman"/>
          <w:sz w:val="24"/>
          <w:szCs w:val="24"/>
        </w:rPr>
      </w:pPr>
      <w:r w:rsidRPr="00015208">
        <w:rPr>
          <w:rFonts w:ascii="Times New Roman" w:hAnsi="Times New Roman"/>
          <w:sz w:val="24"/>
          <w:szCs w:val="24"/>
        </w:rPr>
        <w:t xml:space="preserve">On Aug. 31, 2018, in </w:t>
      </w:r>
      <w:r w:rsidRPr="00015208">
        <w:rPr>
          <w:rFonts w:ascii="Times New Roman" w:hAnsi="Times New Roman"/>
          <w:sz w:val="24"/>
          <w:szCs w:val="24"/>
          <w:u w:val="single"/>
        </w:rPr>
        <w:t>Marcus Mote v. Debra Walthall</w:t>
      </w:r>
      <w:r w:rsidRPr="00015208">
        <w:rPr>
          <w:rFonts w:ascii="Times New Roman" w:hAnsi="Times New Roman"/>
          <w:sz w:val="24"/>
          <w:szCs w:val="24"/>
        </w:rPr>
        <w:t>, the U.S. Court of Appeals for 5</w:t>
      </w:r>
      <w:r w:rsidRPr="00015208">
        <w:rPr>
          <w:rFonts w:ascii="Times New Roman" w:hAnsi="Times New Roman"/>
          <w:sz w:val="24"/>
          <w:szCs w:val="24"/>
          <w:vertAlign w:val="superscript"/>
        </w:rPr>
        <w:t>th</w:t>
      </w:r>
      <w:r w:rsidRPr="00015208">
        <w:rPr>
          <w:rFonts w:ascii="Times New Roman" w:hAnsi="Times New Roman"/>
          <w:sz w:val="24"/>
          <w:szCs w:val="24"/>
        </w:rPr>
        <w:t xml:space="preserve"> Circuit held (3 to 0) that Police Chief Debra Walthall is not entitled to qualified immunity, and Officer Mote’s lawsuit against her may proceed.  Officer Mote sought before he was fired to organize police officers with the City of </w:t>
      </w:r>
      <w:proofErr w:type="spellStart"/>
      <w:r w:rsidRPr="00015208">
        <w:rPr>
          <w:rFonts w:ascii="Times New Roman" w:hAnsi="Times New Roman"/>
          <w:sz w:val="24"/>
          <w:szCs w:val="24"/>
        </w:rPr>
        <w:t>Corith</w:t>
      </w:r>
      <w:proofErr w:type="spellEnd"/>
      <w:r w:rsidRPr="00015208">
        <w:rPr>
          <w:rFonts w:ascii="Times New Roman" w:hAnsi="Times New Roman"/>
          <w:sz w:val="24"/>
          <w:szCs w:val="24"/>
        </w:rPr>
        <w:t xml:space="preserve">, TX into a </w:t>
      </w:r>
    </w:p>
    <w:p w14:paraId="467AFC90" w14:textId="07FBB86F" w:rsidR="00F326E5" w:rsidRPr="00015208" w:rsidRDefault="00F326E5" w:rsidP="00637A12">
      <w:pPr>
        <w:ind w:left="720"/>
        <w:rPr>
          <w:rFonts w:ascii="Times New Roman" w:eastAsia="Times New Roman" w:hAnsi="Times New Roman"/>
          <w:sz w:val="24"/>
          <w:szCs w:val="24"/>
        </w:rPr>
      </w:pPr>
      <w:r w:rsidRPr="00015208">
        <w:rPr>
          <w:rFonts w:ascii="Times New Roman" w:hAnsi="Times New Roman"/>
          <w:sz w:val="24"/>
          <w:szCs w:val="24"/>
        </w:rPr>
        <w:t>“</w:t>
      </w:r>
      <w:proofErr w:type="spellStart"/>
      <w:r w:rsidRPr="00015208">
        <w:rPr>
          <w:rFonts w:ascii="Times New Roman" w:hAnsi="Times New Roman"/>
          <w:sz w:val="24"/>
          <w:szCs w:val="24"/>
        </w:rPr>
        <w:t>Corith</w:t>
      </w:r>
      <w:proofErr w:type="spellEnd"/>
      <w:r w:rsidRPr="00015208">
        <w:rPr>
          <w:rFonts w:ascii="Times New Roman" w:hAnsi="Times New Roman"/>
          <w:sz w:val="24"/>
          <w:szCs w:val="24"/>
        </w:rPr>
        <w:t xml:space="preserve"> Police Officers Association” [no collective bargaining rights under TX law], affiliated with the Texas Municipal Police Association.  The Court wrote, “</w:t>
      </w:r>
      <w:r w:rsidRPr="00015208">
        <w:rPr>
          <w:rFonts w:ascii="Times New Roman" w:eastAsia="Times New Roman" w:hAnsi="Times New Roman"/>
          <w:sz w:val="24"/>
          <w:szCs w:val="24"/>
        </w:rPr>
        <w:t>The First Amendment protects the right of all persons to associate together in groups to ‘</w:t>
      </w:r>
      <w:proofErr w:type="spellStart"/>
      <w:r w:rsidRPr="00015208">
        <w:rPr>
          <w:rFonts w:ascii="Times New Roman" w:eastAsia="Times New Roman" w:hAnsi="Times New Roman"/>
          <w:sz w:val="24"/>
          <w:szCs w:val="24"/>
        </w:rPr>
        <w:t>advanc</w:t>
      </w:r>
      <w:proofErr w:type="spellEnd"/>
      <w:r w:rsidRPr="00015208">
        <w:rPr>
          <w:rFonts w:ascii="Times New Roman" w:eastAsia="Times New Roman" w:hAnsi="Times New Roman"/>
          <w:sz w:val="24"/>
          <w:szCs w:val="24"/>
        </w:rPr>
        <w:t>[e] beliefs and ideas.’ Put another way, ‘the [F]</w:t>
      </w:r>
      <w:proofErr w:type="spellStart"/>
      <w:r w:rsidRPr="00015208">
        <w:rPr>
          <w:rFonts w:ascii="Times New Roman" w:eastAsia="Times New Roman" w:hAnsi="Times New Roman"/>
          <w:sz w:val="24"/>
          <w:szCs w:val="24"/>
        </w:rPr>
        <w:t>irst</w:t>
      </w:r>
      <w:proofErr w:type="spellEnd"/>
      <w:r w:rsidRPr="00015208">
        <w:rPr>
          <w:rFonts w:ascii="Times New Roman" w:eastAsia="Times New Roman" w:hAnsi="Times New Roman"/>
          <w:sz w:val="24"/>
          <w:szCs w:val="24"/>
        </w:rPr>
        <w:t xml:space="preserve"> [A]</w:t>
      </w:r>
      <w:proofErr w:type="spellStart"/>
      <w:r w:rsidRPr="00015208">
        <w:rPr>
          <w:rFonts w:ascii="Times New Roman" w:eastAsia="Times New Roman" w:hAnsi="Times New Roman"/>
          <w:sz w:val="24"/>
          <w:szCs w:val="24"/>
        </w:rPr>
        <w:t>mendment</w:t>
      </w:r>
      <w:proofErr w:type="spellEnd"/>
      <w:r w:rsidRPr="00015208">
        <w:rPr>
          <w:rFonts w:ascii="Times New Roman" w:eastAsia="Times New Roman" w:hAnsi="Times New Roman"/>
          <w:sz w:val="24"/>
          <w:szCs w:val="24"/>
        </w:rPr>
        <w:t xml:space="preserve"> protects the right of all persons to associate together in groups to further their lawful interests.’ When groups </w:t>
      </w:r>
      <w:proofErr w:type="gramStart"/>
      <w:r w:rsidRPr="00015208">
        <w:rPr>
          <w:rFonts w:ascii="Times New Roman" w:eastAsia="Times New Roman" w:hAnsi="Times New Roman"/>
          <w:sz w:val="24"/>
          <w:szCs w:val="24"/>
        </w:rPr>
        <w:t>gather together</w:t>
      </w:r>
      <w:proofErr w:type="gramEnd"/>
      <w:r w:rsidRPr="00015208">
        <w:rPr>
          <w:rFonts w:ascii="Times New Roman" w:eastAsia="Times New Roman" w:hAnsi="Times New Roman"/>
          <w:sz w:val="24"/>
          <w:szCs w:val="24"/>
        </w:rPr>
        <w:t xml:space="preserve"> for this </w:t>
      </w:r>
      <w:proofErr w:type="gramStart"/>
      <w:r w:rsidRPr="00015208">
        <w:rPr>
          <w:rFonts w:ascii="Times New Roman" w:eastAsia="Times New Roman" w:hAnsi="Times New Roman"/>
          <w:sz w:val="24"/>
          <w:szCs w:val="24"/>
        </w:rPr>
        <w:t>purpose, ‘</w:t>
      </w:r>
      <w:proofErr w:type="gramEnd"/>
      <w:r w:rsidRPr="00015208">
        <w:rPr>
          <w:rFonts w:ascii="Times New Roman" w:eastAsia="Times New Roman" w:hAnsi="Times New Roman"/>
          <w:sz w:val="24"/>
          <w:szCs w:val="24"/>
        </w:rPr>
        <w:t xml:space="preserve">it cannot be seriously doubted’ that they comprise associations protected by the First Amendment. *** </w:t>
      </w:r>
      <w:r w:rsidRPr="00015208">
        <w:rPr>
          <w:rFonts w:ascii="Times New Roman" w:hAnsi="Times New Roman"/>
          <w:sz w:val="24"/>
          <w:szCs w:val="24"/>
        </w:rPr>
        <w:t xml:space="preserve">We conclude that Mote’s right to speak </w:t>
      </w:r>
      <w:r w:rsidRPr="00015208">
        <w:rPr>
          <w:rFonts w:ascii="Times New Roman" w:eastAsia="Times New Roman" w:hAnsi="Times New Roman"/>
          <w:sz w:val="24"/>
          <w:szCs w:val="24"/>
        </w:rPr>
        <w:t xml:space="preserve">in furtherance of forming the CPOA was clearly established as an integral part of his association rights. *** We agree with the district court that Mote’s association and speech rights to engage in the activities he alleged were </w:t>
      </w:r>
      <w:proofErr w:type="spellStart"/>
      <w:r w:rsidRPr="00015208">
        <w:rPr>
          <w:rFonts w:ascii="Times New Roman" w:eastAsia="Times New Roman" w:hAnsi="Times New Roman"/>
          <w:sz w:val="24"/>
          <w:szCs w:val="24"/>
        </w:rPr>
        <w:t>cle</w:t>
      </w:r>
      <w:r w:rsidRPr="00015208">
        <w:rPr>
          <w:rFonts w:ascii="Times New Roman" w:hAnsi="Times New Roman"/>
          <w:sz w:val="24"/>
          <w:szCs w:val="24"/>
        </w:rPr>
        <w:t>O</w:t>
      </w:r>
      <w:r w:rsidRPr="00015208">
        <w:rPr>
          <w:rFonts w:ascii="Times New Roman" w:eastAsia="Times New Roman" w:hAnsi="Times New Roman"/>
          <w:sz w:val="24"/>
          <w:szCs w:val="24"/>
        </w:rPr>
        <w:t>arly</w:t>
      </w:r>
      <w:proofErr w:type="spellEnd"/>
      <w:r w:rsidRPr="00015208">
        <w:rPr>
          <w:rFonts w:ascii="Times New Roman" w:eastAsia="Times New Roman" w:hAnsi="Times New Roman"/>
          <w:sz w:val="24"/>
          <w:szCs w:val="24"/>
        </w:rPr>
        <w:t xml:space="preserve"> established. We therefore DISMISS the appeal.” </w:t>
      </w:r>
      <w:hyperlink r:id="rId366" w:history="1">
        <w:r w:rsidRPr="00015208">
          <w:rPr>
            <w:rStyle w:val="Hyperlink"/>
            <w:rFonts w:ascii="Times New Roman" w:hAnsi="Times New Roman"/>
            <w:sz w:val="24"/>
            <w:szCs w:val="24"/>
          </w:rPr>
          <w:t>https://cases.justia.com/federal/appellate-courts/ca5/17-40754/17-40754-2018-08-31.pdf?ts=1535736678</w:t>
        </w:r>
      </w:hyperlink>
      <w:r w:rsidRPr="00015208">
        <w:rPr>
          <w:rFonts w:ascii="Times New Roman" w:eastAsia="Times New Roman" w:hAnsi="Times New Roman"/>
          <w:sz w:val="24"/>
          <w:szCs w:val="24"/>
        </w:rPr>
        <w:t xml:space="preserve"> </w:t>
      </w:r>
    </w:p>
    <w:p w14:paraId="773803F7" w14:textId="77777777" w:rsidR="00F326E5" w:rsidRPr="00015208" w:rsidRDefault="00F326E5" w:rsidP="00F326E5">
      <w:pPr>
        <w:rPr>
          <w:rFonts w:ascii="Times New Roman" w:eastAsia="Times New Roman" w:hAnsi="Times New Roman"/>
          <w:b/>
          <w:sz w:val="24"/>
          <w:szCs w:val="24"/>
        </w:rPr>
      </w:pPr>
      <w:r w:rsidRPr="00015208">
        <w:rPr>
          <w:rFonts w:ascii="Times New Roman" w:eastAsia="Times New Roman" w:hAnsi="Times New Roman"/>
          <w:b/>
          <w:sz w:val="24"/>
          <w:szCs w:val="24"/>
        </w:rPr>
        <w:t xml:space="preserve">Legal Lessons Learned: Very strong opinion concerning free speech rights of public employees.  Fire &amp; EMS departments should adopt a “Social Media” policy that recognizes free speech </w:t>
      </w:r>
      <w:proofErr w:type="gramStart"/>
      <w:r w:rsidRPr="00015208">
        <w:rPr>
          <w:rFonts w:ascii="Times New Roman" w:eastAsia="Times New Roman" w:hAnsi="Times New Roman"/>
          <w:b/>
          <w:sz w:val="24"/>
          <w:szCs w:val="24"/>
        </w:rPr>
        <w:t>rights, but</w:t>
      </w:r>
      <w:proofErr w:type="gramEnd"/>
      <w:r w:rsidRPr="00015208">
        <w:rPr>
          <w:rFonts w:ascii="Times New Roman" w:eastAsia="Times New Roman" w:hAnsi="Times New Roman"/>
          <w:b/>
          <w:sz w:val="24"/>
          <w:szCs w:val="24"/>
        </w:rPr>
        <w:t xml:space="preserve"> also cautions members to not publicly discuss internal matters</w:t>
      </w:r>
      <w:r w:rsidRPr="00015208">
        <w:rPr>
          <w:rFonts w:ascii="Times New Roman" w:eastAsia="Times New Roman" w:hAnsi="Times New Roman"/>
          <w:sz w:val="24"/>
          <w:szCs w:val="24"/>
        </w:rPr>
        <w:t>.</w:t>
      </w:r>
    </w:p>
    <w:bookmarkEnd w:id="77"/>
    <w:p w14:paraId="3AFD0AE6" w14:textId="77777777" w:rsidR="00F326E5" w:rsidRPr="00015208" w:rsidRDefault="00F326E5" w:rsidP="00F326E5">
      <w:pPr>
        <w:pStyle w:val="NoSpacing"/>
        <w:rPr>
          <w:rFonts w:ascii="Times New Roman" w:hAnsi="Times New Roman"/>
          <w:b/>
          <w:sz w:val="24"/>
          <w:szCs w:val="24"/>
        </w:rPr>
      </w:pPr>
    </w:p>
    <w:p w14:paraId="1897F040" w14:textId="77777777" w:rsidR="00F326E5" w:rsidRPr="00015208" w:rsidRDefault="00F326E5" w:rsidP="00F326E5">
      <w:pPr>
        <w:pStyle w:val="NoSpacing"/>
        <w:rPr>
          <w:rFonts w:ascii="Times New Roman" w:hAnsi="Times New Roman"/>
          <w:sz w:val="24"/>
          <w:szCs w:val="24"/>
        </w:rPr>
      </w:pPr>
    </w:p>
    <w:p w14:paraId="2411D8D4" w14:textId="77777777" w:rsidR="00791CA3" w:rsidRDefault="00791CA3" w:rsidP="00F326E5">
      <w:pPr>
        <w:pStyle w:val="NoSpacing"/>
        <w:rPr>
          <w:rFonts w:ascii="Arial Black" w:hAnsi="Arial Black"/>
          <w:b/>
          <w:sz w:val="28"/>
          <w:szCs w:val="28"/>
        </w:rPr>
      </w:pPr>
      <w:bookmarkStart w:id="78" w:name="_Hlk7339942"/>
    </w:p>
    <w:p w14:paraId="1AA97805" w14:textId="6797C79F" w:rsidR="00791CA3" w:rsidRDefault="00791CA3" w:rsidP="00791CA3">
      <w:pPr>
        <w:rPr>
          <w:rFonts w:ascii="Arial Black" w:hAnsi="Arial Black"/>
          <w:b/>
          <w:sz w:val="28"/>
          <w:szCs w:val="28"/>
        </w:rPr>
      </w:pPr>
      <w:r w:rsidRPr="00791CA3">
        <w:rPr>
          <w:rFonts w:ascii="Arial Black" w:hAnsi="Arial Black"/>
          <w:b/>
          <w:sz w:val="24"/>
          <w:szCs w:val="24"/>
        </w:rPr>
        <w:t>1-</w:t>
      </w:r>
      <w:r>
        <w:rPr>
          <w:rFonts w:ascii="Arial Black" w:hAnsi="Arial Black"/>
          <w:b/>
          <w:sz w:val="24"/>
          <w:szCs w:val="24"/>
        </w:rPr>
        <w:t>11</w:t>
      </w:r>
    </w:p>
    <w:p w14:paraId="17E880CC" w14:textId="2D0457CF" w:rsidR="00F326E5" w:rsidRPr="0002048B" w:rsidRDefault="00F326E5" w:rsidP="00F326E5">
      <w:pPr>
        <w:pStyle w:val="NoSpacing"/>
        <w:rPr>
          <w:b/>
          <w:sz w:val="24"/>
          <w:szCs w:val="24"/>
        </w:rPr>
      </w:pPr>
      <w:r w:rsidRPr="00BF4082">
        <w:rPr>
          <w:rFonts w:ascii="Arial Black" w:hAnsi="Arial Black"/>
          <w:b/>
          <w:sz w:val="28"/>
          <w:szCs w:val="28"/>
        </w:rPr>
        <w:t>OH: DYING DECLARATION IN BACK OF AMBULANCE ADMISSIBLE IN MURDER TRIAL</w:t>
      </w:r>
      <w:r>
        <w:rPr>
          <w:rFonts w:ascii="Arial Black" w:hAnsi="Arial Black"/>
          <w:b/>
          <w:sz w:val="24"/>
          <w:szCs w:val="24"/>
        </w:rPr>
        <w:t xml:space="preserve"> </w:t>
      </w:r>
      <w:r w:rsidRPr="0002048B">
        <w:rPr>
          <w:b/>
          <w:sz w:val="24"/>
          <w:szCs w:val="24"/>
        </w:rPr>
        <w:t>[also filed Chap. 13]</w:t>
      </w:r>
    </w:p>
    <w:p w14:paraId="4DA1D8C4" w14:textId="77777777" w:rsidR="00F326E5" w:rsidRPr="00015208" w:rsidRDefault="00F326E5" w:rsidP="00F326E5">
      <w:pPr>
        <w:rPr>
          <w:rFonts w:ascii="Times New Roman" w:eastAsia="Times New Roman" w:hAnsi="Times New Roman"/>
          <w:sz w:val="24"/>
          <w:szCs w:val="24"/>
        </w:rPr>
      </w:pPr>
      <w:r w:rsidRPr="00015208">
        <w:rPr>
          <w:rFonts w:ascii="Times New Roman" w:hAnsi="Times New Roman"/>
          <w:sz w:val="24"/>
          <w:szCs w:val="24"/>
        </w:rPr>
        <w:t xml:space="preserve">On July 25, 2018, in </w:t>
      </w:r>
      <w:r w:rsidRPr="00015208">
        <w:rPr>
          <w:rFonts w:ascii="Times New Roman" w:eastAsia="Times New Roman" w:hAnsi="Times New Roman"/>
          <w:sz w:val="24"/>
          <w:szCs w:val="24"/>
          <w:u w:val="single"/>
        </w:rPr>
        <w:t>State v. Fred Taylor</w:t>
      </w:r>
      <w:r w:rsidRPr="00015208">
        <w:rPr>
          <w:rFonts w:ascii="Times New Roman" w:eastAsia="Times New Roman" w:hAnsi="Times New Roman"/>
          <w:sz w:val="24"/>
          <w:szCs w:val="24"/>
        </w:rPr>
        <w:t xml:space="preserve">, 2018-Ohio-2921, the Ohio Court of Appeals for Summit County, upheld (3 to 0) his conviction of felony murder of Javon Knaff.   </w:t>
      </w:r>
    </w:p>
    <w:p w14:paraId="580C51A8" w14:textId="5E629BB1" w:rsidR="00F326E5" w:rsidRPr="00015208" w:rsidRDefault="00F326E5" w:rsidP="00637A12">
      <w:pPr>
        <w:ind w:left="720"/>
        <w:rPr>
          <w:rFonts w:ascii="Times New Roman" w:eastAsia="Times New Roman" w:hAnsi="Times New Roman"/>
          <w:sz w:val="24"/>
          <w:szCs w:val="24"/>
        </w:rPr>
      </w:pPr>
      <w:r w:rsidRPr="00015208">
        <w:rPr>
          <w:rFonts w:ascii="Times New Roman" w:eastAsia="Times New Roman" w:hAnsi="Times New Roman"/>
          <w:sz w:val="24"/>
          <w:szCs w:val="24"/>
        </w:rPr>
        <w:t xml:space="preserve">“Mr. Knaff’s repeated statements concerning the fact that he was dying, coupled with the severity of his condition, demonstrate his awareness of his impending death at the time that he stated, ‘Fred shot [me].’ </w:t>
      </w:r>
      <w:r w:rsidRPr="00015208">
        <w:rPr>
          <w:rFonts w:ascii="Times New Roman" w:eastAsia="Times New Roman" w:hAnsi="Times New Roman"/>
          <w:sz w:val="24"/>
          <w:szCs w:val="24"/>
        </w:rPr>
        <w:lastRenderedPageBreak/>
        <w:t>Consequently, this statement was admissible as a dying declaration.”</w:t>
      </w:r>
      <w:hyperlink r:id="rId367" w:history="1">
        <w:r w:rsidR="00637A12" w:rsidRPr="002F304C">
          <w:rPr>
            <w:rStyle w:val="Hyperlink"/>
            <w:rFonts w:ascii="Times New Roman" w:hAnsi="Times New Roman"/>
            <w:sz w:val="24"/>
            <w:szCs w:val="24"/>
          </w:rPr>
          <w:t>https://cases.justia.com/ohio/ninth-district-court-of-appeals/2018-28746.pdf?ts=1532525904</w:t>
        </w:r>
      </w:hyperlink>
      <w:r w:rsidRPr="00015208">
        <w:rPr>
          <w:rFonts w:ascii="Times New Roman" w:eastAsia="Times New Roman" w:hAnsi="Times New Roman"/>
          <w:sz w:val="24"/>
          <w:szCs w:val="24"/>
        </w:rPr>
        <w:t xml:space="preserve"> </w:t>
      </w:r>
    </w:p>
    <w:p w14:paraId="6BA57B70" w14:textId="77777777" w:rsidR="00F326E5" w:rsidRPr="00015208" w:rsidRDefault="00F326E5" w:rsidP="00F326E5">
      <w:pPr>
        <w:rPr>
          <w:rFonts w:ascii="Times New Roman" w:hAnsi="Times New Roman"/>
          <w:b/>
          <w:sz w:val="24"/>
          <w:szCs w:val="24"/>
        </w:rPr>
      </w:pPr>
      <w:r w:rsidRPr="00015208">
        <w:rPr>
          <w:rFonts w:ascii="Times New Roman" w:hAnsi="Times New Roman"/>
          <w:b/>
          <w:sz w:val="24"/>
          <w:szCs w:val="24"/>
        </w:rPr>
        <w:t xml:space="preserve">Legal Lessons Learned:  Document on your EMS run report the actual words spoken by the patient; a “dying declaration” is admissible in evidence.   Recording the words on your run report can help prosecution reach a plea agreement. </w:t>
      </w:r>
    </w:p>
    <w:p w14:paraId="0EB84B91" w14:textId="77777777" w:rsidR="00791CA3" w:rsidRPr="00015208" w:rsidRDefault="00791CA3" w:rsidP="00791CA3">
      <w:pPr>
        <w:rPr>
          <w:rFonts w:ascii="Times New Roman" w:hAnsi="Times New Roman"/>
          <w:b/>
          <w:sz w:val="24"/>
          <w:szCs w:val="24"/>
        </w:rPr>
      </w:pPr>
      <w:bookmarkStart w:id="79" w:name="_Hlk7340011"/>
      <w:bookmarkEnd w:id="78"/>
    </w:p>
    <w:p w14:paraId="0335F4AB" w14:textId="41DB221B" w:rsidR="00791CA3" w:rsidRPr="00791CA3" w:rsidRDefault="00791CA3" w:rsidP="00791CA3">
      <w:pPr>
        <w:rPr>
          <w:rFonts w:ascii="Arial Black" w:hAnsi="Arial Black"/>
          <w:b/>
          <w:sz w:val="24"/>
          <w:szCs w:val="24"/>
        </w:rPr>
      </w:pPr>
      <w:r w:rsidRPr="00791CA3">
        <w:rPr>
          <w:rFonts w:ascii="Arial Black" w:hAnsi="Arial Black"/>
          <w:b/>
          <w:sz w:val="24"/>
          <w:szCs w:val="24"/>
        </w:rPr>
        <w:t>1-</w:t>
      </w:r>
      <w:r>
        <w:rPr>
          <w:rFonts w:ascii="Arial Black" w:hAnsi="Arial Black"/>
          <w:b/>
          <w:sz w:val="24"/>
          <w:szCs w:val="24"/>
        </w:rPr>
        <w:t>10</w:t>
      </w:r>
    </w:p>
    <w:p w14:paraId="649C7EBA" w14:textId="4B89F9A6" w:rsidR="00D46F1E" w:rsidRDefault="00F326E5" w:rsidP="00D46F1E">
      <w:pPr>
        <w:rPr>
          <w:rFonts w:ascii="Arial Black" w:hAnsi="Arial Black"/>
          <w:sz w:val="28"/>
          <w:szCs w:val="28"/>
        </w:rPr>
      </w:pPr>
      <w:r w:rsidRPr="0002048B">
        <w:rPr>
          <w:rFonts w:ascii="Arial Black" w:hAnsi="Arial Black"/>
          <w:sz w:val="28"/>
          <w:szCs w:val="28"/>
        </w:rPr>
        <w:t>MI</w:t>
      </w:r>
      <w:r>
        <w:rPr>
          <w:rFonts w:ascii="Arial Black" w:hAnsi="Arial Black"/>
          <w:sz w:val="28"/>
          <w:szCs w:val="28"/>
        </w:rPr>
        <w:t xml:space="preserve">: </w:t>
      </w:r>
      <w:r w:rsidRPr="0002048B">
        <w:rPr>
          <w:rFonts w:ascii="Arial Black" w:hAnsi="Arial Black"/>
          <w:sz w:val="28"/>
          <w:szCs w:val="28"/>
        </w:rPr>
        <w:t>HOMEOWNER CONV. ARSON – NO “MIRANDA WARNING” REQUIRED</w:t>
      </w:r>
      <w:r>
        <w:rPr>
          <w:rFonts w:ascii="Arial Black" w:hAnsi="Arial Black"/>
          <w:sz w:val="28"/>
          <w:szCs w:val="28"/>
        </w:rPr>
        <w:t xml:space="preserve">, SPOKE TO PD INFORMANT </w:t>
      </w:r>
    </w:p>
    <w:p w14:paraId="74DA3B4E" w14:textId="35003921" w:rsidR="00F326E5" w:rsidRPr="00015208" w:rsidRDefault="00F326E5" w:rsidP="00D46F1E">
      <w:pPr>
        <w:rPr>
          <w:rFonts w:ascii="Times New Roman" w:hAnsi="Times New Roman"/>
          <w:b/>
          <w:sz w:val="24"/>
          <w:szCs w:val="24"/>
        </w:rPr>
      </w:pPr>
      <w:r w:rsidRPr="00015208">
        <w:rPr>
          <w:rFonts w:ascii="Times New Roman" w:hAnsi="Times New Roman"/>
          <w:sz w:val="24"/>
          <w:szCs w:val="24"/>
        </w:rPr>
        <w:t xml:space="preserve">On July 24, 2018, in </w:t>
      </w:r>
      <w:r w:rsidRPr="00015208">
        <w:rPr>
          <w:rFonts w:ascii="Times New Roman" w:hAnsi="Times New Roman"/>
          <w:sz w:val="24"/>
          <w:szCs w:val="24"/>
          <w:u w:val="single"/>
        </w:rPr>
        <w:t>Cynthia Marie Stewart-Matzen v. Shawn Brewer</w:t>
      </w:r>
      <w:r w:rsidRPr="00015208">
        <w:rPr>
          <w:rFonts w:ascii="Times New Roman" w:hAnsi="Times New Roman"/>
          <w:sz w:val="24"/>
          <w:szCs w:val="24"/>
        </w:rPr>
        <w:t xml:space="preserve"> [Deputy Warden, Michigan state prison], U.S. District Court judge David M. Lawson, Eastern District of Michigan, Case No. 15-13050 denied prisoner’s petition for </w:t>
      </w:r>
      <w:proofErr w:type="spellStart"/>
      <w:r w:rsidRPr="00015208">
        <w:rPr>
          <w:rFonts w:ascii="Times New Roman" w:hAnsi="Times New Roman"/>
          <w:sz w:val="24"/>
          <w:szCs w:val="24"/>
        </w:rPr>
        <w:t>write</w:t>
      </w:r>
      <w:proofErr w:type="spellEnd"/>
      <w:r w:rsidRPr="00015208">
        <w:rPr>
          <w:rFonts w:ascii="Times New Roman" w:hAnsi="Times New Roman"/>
          <w:sz w:val="24"/>
          <w:szCs w:val="24"/>
        </w:rPr>
        <w:t xml:space="preserve"> of habeas corpus: </w:t>
      </w:r>
    </w:p>
    <w:p w14:paraId="7AD6B447" w14:textId="1DC6A9A4" w:rsidR="00F326E5" w:rsidRPr="00015208" w:rsidRDefault="00F326E5" w:rsidP="00637A12">
      <w:pPr>
        <w:pStyle w:val="NoSpacing"/>
        <w:ind w:left="720"/>
        <w:rPr>
          <w:rFonts w:ascii="Times New Roman" w:hAnsi="Times New Roman"/>
          <w:sz w:val="24"/>
          <w:szCs w:val="24"/>
        </w:rPr>
      </w:pPr>
      <w:r w:rsidRPr="00015208">
        <w:rPr>
          <w:rFonts w:ascii="Times New Roman" w:hAnsi="Times New Roman"/>
          <w:sz w:val="24"/>
          <w:szCs w:val="24"/>
        </w:rPr>
        <w:t xml:space="preserve">“The petitioner was not entitled to Miranda warnings when she was questioned by an informant at a restaurant or when questioned by Detective Morey in connection with her unemployment benefits because she was not in “Miranda custody.” </w:t>
      </w:r>
    </w:p>
    <w:p w14:paraId="19CF0FF1" w14:textId="7E95BA0C" w:rsidR="00F326E5" w:rsidRPr="00015208" w:rsidRDefault="00637A12" w:rsidP="00637A12">
      <w:pPr>
        <w:pStyle w:val="NoSpacing"/>
        <w:ind w:left="720"/>
        <w:rPr>
          <w:rFonts w:ascii="Times New Roman" w:hAnsi="Times New Roman"/>
          <w:sz w:val="24"/>
          <w:szCs w:val="24"/>
        </w:rPr>
      </w:pPr>
      <w:hyperlink r:id="rId368" w:history="1">
        <w:r w:rsidRPr="002F304C">
          <w:rPr>
            <w:rStyle w:val="Hyperlink"/>
            <w:rFonts w:ascii="Times New Roman" w:hAnsi="Times New Roman"/>
            <w:sz w:val="24"/>
            <w:szCs w:val="24"/>
          </w:rPr>
          <w:t>https://cases.justia.com/federal/district-courts/michigan/miedce/2:2015cv13050/304138/9/0.pdf?ts=1532512098</w:t>
        </w:r>
      </w:hyperlink>
    </w:p>
    <w:p w14:paraId="57327A78" w14:textId="77777777" w:rsidR="00637A12" w:rsidRDefault="00637A12" w:rsidP="00F326E5">
      <w:pPr>
        <w:rPr>
          <w:rFonts w:ascii="Times New Roman" w:hAnsi="Times New Roman"/>
          <w:b/>
          <w:sz w:val="24"/>
          <w:szCs w:val="24"/>
        </w:rPr>
      </w:pPr>
    </w:p>
    <w:p w14:paraId="37A345AD" w14:textId="510F68C0" w:rsidR="00F326E5" w:rsidRPr="00015208" w:rsidRDefault="00F326E5" w:rsidP="00F326E5">
      <w:pPr>
        <w:rPr>
          <w:rFonts w:ascii="Times New Roman" w:hAnsi="Times New Roman"/>
          <w:b/>
          <w:sz w:val="24"/>
          <w:szCs w:val="24"/>
        </w:rPr>
      </w:pPr>
      <w:r w:rsidRPr="00015208">
        <w:rPr>
          <w:rFonts w:ascii="Times New Roman" w:hAnsi="Times New Roman"/>
          <w:b/>
          <w:sz w:val="24"/>
          <w:szCs w:val="24"/>
        </w:rPr>
        <w:t xml:space="preserve">Legal Lessons Learned: If suspect in arson case is not in custody, then Miranda warnings </w:t>
      </w:r>
      <w:proofErr w:type="gramStart"/>
      <w:r w:rsidRPr="00015208">
        <w:rPr>
          <w:rFonts w:ascii="Times New Roman" w:hAnsi="Times New Roman"/>
          <w:b/>
          <w:sz w:val="24"/>
          <w:szCs w:val="24"/>
        </w:rPr>
        <w:t>not</w:t>
      </w:r>
      <w:proofErr w:type="gramEnd"/>
      <w:r w:rsidRPr="00015208">
        <w:rPr>
          <w:rFonts w:ascii="Times New Roman" w:hAnsi="Times New Roman"/>
          <w:b/>
          <w:sz w:val="24"/>
          <w:szCs w:val="24"/>
        </w:rPr>
        <w:t xml:space="preserve"> required.</w:t>
      </w:r>
    </w:p>
    <w:bookmarkEnd w:id="79"/>
    <w:p w14:paraId="1685B2FE" w14:textId="77777777" w:rsidR="00791CA3" w:rsidRDefault="00791CA3" w:rsidP="00791CA3">
      <w:pPr>
        <w:rPr>
          <w:rFonts w:ascii="Arial Black" w:hAnsi="Arial Black"/>
          <w:b/>
          <w:sz w:val="24"/>
          <w:szCs w:val="24"/>
        </w:rPr>
      </w:pPr>
    </w:p>
    <w:p w14:paraId="51FA47C9" w14:textId="10D6ABB3" w:rsidR="00791CA3" w:rsidRPr="00791CA3" w:rsidRDefault="00791CA3" w:rsidP="00791CA3">
      <w:pPr>
        <w:rPr>
          <w:rFonts w:ascii="Arial Black" w:hAnsi="Arial Black"/>
          <w:b/>
          <w:sz w:val="24"/>
          <w:szCs w:val="24"/>
        </w:rPr>
      </w:pPr>
      <w:r w:rsidRPr="00791CA3">
        <w:rPr>
          <w:rFonts w:ascii="Arial Black" w:hAnsi="Arial Black"/>
          <w:b/>
          <w:sz w:val="24"/>
          <w:szCs w:val="24"/>
        </w:rPr>
        <w:t>1-</w:t>
      </w:r>
      <w:r>
        <w:rPr>
          <w:rFonts w:ascii="Arial Black" w:hAnsi="Arial Black"/>
          <w:b/>
          <w:sz w:val="24"/>
          <w:szCs w:val="24"/>
        </w:rPr>
        <w:t>9</w:t>
      </w:r>
    </w:p>
    <w:p w14:paraId="6C843AF6" w14:textId="073B3AE9" w:rsidR="00F326E5" w:rsidRPr="00BF4082" w:rsidRDefault="00F326E5" w:rsidP="00F326E5">
      <w:pPr>
        <w:pStyle w:val="NoSpacing"/>
        <w:rPr>
          <w:rFonts w:ascii="Arial Black" w:hAnsi="Arial Black"/>
          <w:b/>
          <w:sz w:val="28"/>
          <w:szCs w:val="28"/>
        </w:rPr>
      </w:pPr>
      <w:bookmarkStart w:id="80" w:name="_Hlk7340104"/>
      <w:r w:rsidRPr="00BF4082">
        <w:rPr>
          <w:rFonts w:ascii="Arial Black" w:hAnsi="Arial Black"/>
          <w:b/>
          <w:sz w:val="28"/>
          <w:szCs w:val="28"/>
        </w:rPr>
        <w:t xml:space="preserve">U.S. SUPREME COURT – UNION “FAIR SHARE” FEES </w:t>
      </w:r>
      <w:r>
        <w:rPr>
          <w:rFonts w:ascii="Arial Black" w:hAnsi="Arial Black"/>
          <w:b/>
          <w:sz w:val="28"/>
          <w:szCs w:val="28"/>
        </w:rPr>
        <w:t xml:space="preserve">– REQUIRES </w:t>
      </w:r>
      <w:r w:rsidRPr="00BF4082">
        <w:rPr>
          <w:rFonts w:ascii="Arial Black" w:hAnsi="Arial Black"/>
          <w:b/>
          <w:sz w:val="28"/>
          <w:szCs w:val="28"/>
        </w:rPr>
        <w:t xml:space="preserve">EMPLOYEE </w:t>
      </w:r>
      <w:r>
        <w:rPr>
          <w:rFonts w:ascii="Arial Black" w:hAnsi="Arial Black"/>
          <w:b/>
          <w:sz w:val="28"/>
          <w:szCs w:val="28"/>
        </w:rPr>
        <w:t xml:space="preserve">SPECIFIC </w:t>
      </w:r>
      <w:r w:rsidRPr="00BF4082">
        <w:rPr>
          <w:rFonts w:ascii="Arial Black" w:hAnsi="Arial Black"/>
          <w:b/>
          <w:sz w:val="28"/>
          <w:szCs w:val="28"/>
        </w:rPr>
        <w:t xml:space="preserve">CONSENT </w:t>
      </w:r>
    </w:p>
    <w:p w14:paraId="27D6EC33" w14:textId="77777777" w:rsidR="00F326E5" w:rsidRPr="00015208" w:rsidRDefault="00F326E5" w:rsidP="00F326E5">
      <w:pPr>
        <w:rPr>
          <w:rFonts w:ascii="Times New Roman" w:hAnsi="Times New Roman"/>
          <w:sz w:val="24"/>
          <w:szCs w:val="24"/>
        </w:rPr>
      </w:pPr>
      <w:r w:rsidRPr="00015208">
        <w:rPr>
          <w:rFonts w:ascii="Times New Roman" w:hAnsi="Times New Roman"/>
          <w:sz w:val="24"/>
          <w:szCs w:val="24"/>
        </w:rPr>
        <w:t xml:space="preserve">On June 27, 2018, in </w:t>
      </w:r>
      <w:r w:rsidRPr="00015208">
        <w:rPr>
          <w:rFonts w:ascii="Times New Roman" w:hAnsi="Times New Roman"/>
          <w:sz w:val="24"/>
          <w:szCs w:val="24"/>
          <w:u w:val="single"/>
        </w:rPr>
        <w:t>Janus v. American Federation of State, County, And Municipal Employee, Council 32, et al</w:t>
      </w:r>
      <w:r w:rsidRPr="00015208">
        <w:rPr>
          <w:rFonts w:ascii="Times New Roman" w:hAnsi="Times New Roman"/>
          <w:sz w:val="24"/>
          <w:szCs w:val="24"/>
        </w:rPr>
        <w:t xml:space="preserve">,  the U.S. Supreme Court (5 to 4) held in opinion by Justice </w:t>
      </w:r>
      <w:r w:rsidRPr="00015208">
        <w:rPr>
          <w:rFonts w:ascii="Times New Roman" w:eastAsia="Times New Roman" w:hAnsi="Times New Roman"/>
          <w:sz w:val="24"/>
          <w:szCs w:val="24"/>
        </w:rPr>
        <w:t xml:space="preserve">Alito: </w:t>
      </w:r>
      <w:r w:rsidRPr="00015208">
        <w:rPr>
          <w:rFonts w:ascii="Times New Roman" w:hAnsi="Times New Roman"/>
          <w:sz w:val="24"/>
          <w:szCs w:val="24"/>
        </w:rPr>
        <w:t xml:space="preserve"> </w:t>
      </w:r>
    </w:p>
    <w:p w14:paraId="7B302BAD" w14:textId="77777777" w:rsidR="00F326E5" w:rsidRPr="00015208" w:rsidRDefault="00F326E5" w:rsidP="00F326E5">
      <w:pPr>
        <w:ind w:left="720"/>
        <w:rPr>
          <w:rFonts w:ascii="Times New Roman" w:eastAsia="Times New Roman" w:hAnsi="Times New Roman"/>
          <w:b/>
          <w:sz w:val="24"/>
          <w:szCs w:val="24"/>
        </w:rPr>
      </w:pPr>
      <w:r w:rsidRPr="00015208">
        <w:rPr>
          <w:rFonts w:ascii="Times New Roman" w:hAnsi="Times New Roman"/>
          <w:sz w:val="24"/>
          <w:szCs w:val="24"/>
        </w:rPr>
        <w:t>“</w:t>
      </w:r>
      <w:r w:rsidRPr="00015208">
        <w:rPr>
          <w:rFonts w:ascii="Times New Roman" w:eastAsia="Times New Roman" w:hAnsi="Times New Roman"/>
          <w:sz w:val="24"/>
          <w:szCs w:val="24"/>
        </w:rPr>
        <w:t>Under Illinois law, public employees are forced to subsi</w:t>
      </w:r>
      <w:r w:rsidRPr="00015208">
        <w:rPr>
          <w:rFonts w:ascii="Times New Roman" w:eastAsia="Times New Roman" w:hAnsi="Times New Roman"/>
          <w:sz w:val="24"/>
          <w:szCs w:val="24"/>
        </w:rPr>
        <w:softHyphen/>
        <w:t>dize a union, even if they choose not to join and strongly object to the positions the union takes in collective bar</w:t>
      </w:r>
      <w:r w:rsidRPr="00015208">
        <w:rPr>
          <w:rFonts w:ascii="Times New Roman" w:eastAsia="Times New Roman" w:hAnsi="Times New Roman"/>
          <w:sz w:val="24"/>
          <w:szCs w:val="24"/>
        </w:rPr>
        <w:softHyphen/>
        <w:t>gaining and related activities. We conclude that this arrangement violates the free speech rights of nonmem</w:t>
      </w:r>
      <w:r w:rsidRPr="00015208">
        <w:rPr>
          <w:rFonts w:ascii="Times New Roman" w:eastAsia="Times New Roman" w:hAnsi="Times New Roman"/>
          <w:sz w:val="24"/>
          <w:szCs w:val="24"/>
        </w:rPr>
        <w:softHyphen/>
        <w:t>bers by compelling them to subsidize private speech on matters of substantial public concern.”</w:t>
      </w:r>
      <w:hyperlink r:id="rId369" w:history="1">
        <w:r w:rsidRPr="00015208">
          <w:rPr>
            <w:rStyle w:val="Hyperlink"/>
            <w:rFonts w:ascii="Times New Roman" w:hAnsi="Times New Roman"/>
            <w:sz w:val="24"/>
            <w:szCs w:val="24"/>
          </w:rPr>
          <w:t>https://www.supremecourt.gov/opinions/17pdf/16-1466_2b3j.pdf</w:t>
        </w:r>
      </w:hyperlink>
      <w:r w:rsidRPr="00015208">
        <w:rPr>
          <w:rFonts w:ascii="Times New Roman" w:eastAsia="Times New Roman" w:hAnsi="Times New Roman"/>
          <w:b/>
          <w:sz w:val="24"/>
          <w:szCs w:val="24"/>
        </w:rPr>
        <w:t xml:space="preserve"> </w:t>
      </w:r>
    </w:p>
    <w:p w14:paraId="0208932C" w14:textId="77777777" w:rsidR="00F326E5" w:rsidRPr="00FC2C52" w:rsidRDefault="00F326E5" w:rsidP="00F326E5">
      <w:pPr>
        <w:rPr>
          <w:sz w:val="24"/>
          <w:szCs w:val="24"/>
        </w:rPr>
      </w:pPr>
      <w:r w:rsidRPr="00015208">
        <w:rPr>
          <w:rFonts w:ascii="Times New Roman" w:hAnsi="Times New Roman"/>
          <w:b/>
          <w:sz w:val="24"/>
          <w:szCs w:val="24"/>
        </w:rPr>
        <w:t>Legal Lessons Learned:  Fire &amp; EMS Departments with unions need to dialog with their union officers about getting written authorization from each employee to deduct “fair share” or other union fees.</w:t>
      </w:r>
      <w:r w:rsidRPr="00015208">
        <w:rPr>
          <w:rFonts w:ascii="Times New Roman" w:hAnsi="Times New Roman"/>
          <w:sz w:val="24"/>
          <w:szCs w:val="24"/>
        </w:rPr>
        <w:t xml:space="preserve">  See also IAFF Statement: </w:t>
      </w:r>
      <w:hyperlink r:id="rId370" w:anchor="contentid=68451" w:history="1">
        <w:r w:rsidRPr="00015208">
          <w:rPr>
            <w:rStyle w:val="Hyperlink"/>
            <w:rFonts w:ascii="Times New Roman" w:hAnsi="Times New Roman"/>
            <w:sz w:val="24"/>
            <w:szCs w:val="24"/>
          </w:rPr>
          <w:t>https://client.prod.iaff.org/#contentid=68451</w:t>
        </w:r>
      </w:hyperlink>
      <w:r w:rsidRPr="00015208">
        <w:rPr>
          <w:rFonts w:ascii="Times New Roman" w:hAnsi="Times New Roman"/>
          <w:sz w:val="24"/>
          <w:szCs w:val="24"/>
        </w:rPr>
        <w:t xml:space="preserve">, and Blog: </w:t>
      </w:r>
      <w:hyperlink r:id="rId371" w:history="1">
        <w:r w:rsidRPr="00015208">
          <w:rPr>
            <w:rStyle w:val="Hyperlink"/>
            <w:rFonts w:ascii="Times New Roman" w:hAnsi="Times New Roman"/>
            <w:sz w:val="24"/>
            <w:szCs w:val="24"/>
          </w:rPr>
          <w:t>http://blog.iaff.org/post/2018/06/05/preparing-for-the-janus-v-afscme-council-31-supreme-court-ruling</w:t>
        </w:r>
      </w:hyperlink>
      <w:bookmarkEnd w:id="80"/>
      <w:r w:rsidRPr="00FC2C52">
        <w:rPr>
          <w:sz w:val="24"/>
          <w:szCs w:val="24"/>
        </w:rPr>
        <w:t xml:space="preserve"> </w:t>
      </w:r>
    </w:p>
    <w:p w14:paraId="1E02B443" w14:textId="77777777" w:rsidR="00F326E5" w:rsidRPr="00A56BFE" w:rsidRDefault="00F326E5" w:rsidP="00F326E5">
      <w:pPr>
        <w:pStyle w:val="NoSpacing"/>
        <w:ind w:firstLine="720"/>
        <w:rPr>
          <w:rFonts w:eastAsia="Times New Roman"/>
          <w:b/>
          <w:sz w:val="24"/>
          <w:szCs w:val="24"/>
        </w:rPr>
      </w:pPr>
    </w:p>
    <w:p w14:paraId="6EA447FC" w14:textId="2515D788" w:rsidR="00791CA3" w:rsidRPr="00791CA3" w:rsidRDefault="00791CA3" w:rsidP="00791CA3">
      <w:pPr>
        <w:rPr>
          <w:rFonts w:ascii="Arial Black" w:hAnsi="Arial Black"/>
          <w:b/>
          <w:sz w:val="24"/>
          <w:szCs w:val="24"/>
        </w:rPr>
      </w:pPr>
      <w:bookmarkStart w:id="81" w:name="_Hlk7340141"/>
      <w:r w:rsidRPr="00791CA3">
        <w:rPr>
          <w:rFonts w:ascii="Arial Black" w:hAnsi="Arial Black"/>
          <w:b/>
          <w:sz w:val="24"/>
          <w:szCs w:val="24"/>
        </w:rPr>
        <w:lastRenderedPageBreak/>
        <w:t>1-</w:t>
      </w:r>
      <w:r>
        <w:rPr>
          <w:rFonts w:ascii="Arial Black" w:hAnsi="Arial Black"/>
          <w:b/>
          <w:sz w:val="24"/>
          <w:szCs w:val="24"/>
        </w:rPr>
        <w:t>8</w:t>
      </w:r>
    </w:p>
    <w:p w14:paraId="68CA276F" w14:textId="34F546BB" w:rsidR="00F326E5" w:rsidRPr="00BF4082" w:rsidRDefault="00F326E5" w:rsidP="00F326E5">
      <w:pPr>
        <w:pStyle w:val="NormalWeb"/>
        <w:rPr>
          <w:rFonts w:ascii="Arial Black" w:hAnsi="Arial Black"/>
          <w:b/>
          <w:sz w:val="28"/>
          <w:szCs w:val="28"/>
        </w:rPr>
      </w:pPr>
      <w:r w:rsidRPr="00BF4082">
        <w:rPr>
          <w:rFonts w:ascii="Arial Black" w:hAnsi="Arial Black"/>
          <w:b/>
          <w:sz w:val="28"/>
          <w:szCs w:val="28"/>
        </w:rPr>
        <w:t>U.S. SUPREME COURT</w:t>
      </w:r>
      <w:r>
        <w:rPr>
          <w:rFonts w:ascii="Arial Black" w:hAnsi="Arial Black"/>
          <w:b/>
          <w:sz w:val="28"/>
          <w:szCs w:val="28"/>
        </w:rPr>
        <w:t xml:space="preserve">: </w:t>
      </w:r>
      <w:r w:rsidRPr="00BF4082">
        <w:rPr>
          <w:rFonts w:ascii="Arial Black" w:hAnsi="Arial Black"/>
          <w:b/>
          <w:sz w:val="28"/>
          <w:szCs w:val="28"/>
        </w:rPr>
        <w:t xml:space="preserve">SEARCH WARRANT REQUIRED FOR CELL TOWER DATA, UNLESS EMERGENCY </w:t>
      </w:r>
    </w:p>
    <w:p w14:paraId="2E57CDE7" w14:textId="77777777" w:rsidR="00F326E5" w:rsidRPr="00015208" w:rsidRDefault="00F326E5" w:rsidP="00F326E5">
      <w:pPr>
        <w:pStyle w:val="NormalWeb"/>
      </w:pPr>
      <w:r w:rsidRPr="00015208">
        <w:t xml:space="preserve">On June 22, 2018, in </w:t>
      </w:r>
      <w:r w:rsidRPr="00015208">
        <w:rPr>
          <w:u w:val="single"/>
        </w:rPr>
        <w:t>Carpenter v. United States</w:t>
      </w:r>
      <w:r w:rsidRPr="00015208">
        <w:t>, the U.S. Supreme Court (5 to 4), in opinion by Chief Justice Roberts, held that a search warrant is normally required to track a person’s cell phone location, but also recognized an emergency exception.</w:t>
      </w:r>
    </w:p>
    <w:p w14:paraId="7982E511" w14:textId="77777777" w:rsidR="00F326E5" w:rsidRPr="00015208" w:rsidRDefault="00F326E5" w:rsidP="00F326E5">
      <w:pPr>
        <w:ind w:left="720"/>
        <w:rPr>
          <w:rFonts w:ascii="Times New Roman" w:eastAsia="Times New Roman" w:hAnsi="Times New Roman"/>
          <w:sz w:val="24"/>
          <w:szCs w:val="24"/>
        </w:rPr>
      </w:pPr>
      <w:r w:rsidRPr="00015208">
        <w:rPr>
          <w:rFonts w:ascii="Times New Roman" w:eastAsia="Times New Roman" w:hAnsi="Times New Roman"/>
          <w:sz w:val="24"/>
          <w:szCs w:val="24"/>
        </w:rPr>
        <w:t>“Further, even though the Government will generally need a warrant to access CSLI [cell-site location information], case-specific exceptions may support a warrantless search of an individual’s cell-site records under certain circumstances. ‘One well-recognized exception applies when “the exigencies of the situation” make the needs of law enforcement so compelling that [a] warrantless search is objectively reasonable under the Fourth Amendment.’ Kentucky v. King, 563 U. S. 452, 460 (2011) (quoting Mincey v. Arizona, 437 U. S. 385, 394 (1978)). Such exigencies include the need to pursue a fleeing suspect, protect individuals who are threatened with imminent harm, or prevent the imminent destruction of evidence. 563 U. S., at 460, and n. 3. As a result, if law enforcement is confronted with an urgent situation, such fact-specific threats will likely justify the warrantless collection of CSLI.  Lower courts, for instance, have approved warrantless searches related to bomb threats, active shootings, and child abductions. Our decision today does not call into doubt warrantless access to CSLI in such circumstances. While police must get a warrant when collecting CSLI to assist in the mine-run criminal investigation, the rule we set forth does not limit their ability to respond to an ongoing emergency.”</w:t>
      </w:r>
    </w:p>
    <w:p w14:paraId="2D9AA853" w14:textId="77777777" w:rsidR="00F326E5" w:rsidRPr="00015208" w:rsidRDefault="00F326E5" w:rsidP="00F326E5">
      <w:pPr>
        <w:ind w:firstLine="720"/>
        <w:rPr>
          <w:rFonts w:ascii="Times New Roman" w:eastAsia="Times New Roman" w:hAnsi="Times New Roman"/>
          <w:sz w:val="24"/>
          <w:szCs w:val="24"/>
        </w:rPr>
      </w:pPr>
      <w:hyperlink r:id="rId372" w:history="1">
        <w:r w:rsidRPr="00015208">
          <w:rPr>
            <w:rStyle w:val="Hyperlink"/>
            <w:rFonts w:ascii="Times New Roman" w:hAnsi="Times New Roman"/>
            <w:sz w:val="24"/>
            <w:szCs w:val="24"/>
          </w:rPr>
          <w:t>https://www.supremecourt.gov/opinions/17pdf/16-402_h315.pdf</w:t>
        </w:r>
      </w:hyperlink>
      <w:r w:rsidRPr="00015208">
        <w:rPr>
          <w:rFonts w:ascii="Times New Roman" w:eastAsia="Times New Roman" w:hAnsi="Times New Roman"/>
          <w:sz w:val="24"/>
          <w:szCs w:val="24"/>
        </w:rPr>
        <w:t xml:space="preserve"> </w:t>
      </w:r>
    </w:p>
    <w:p w14:paraId="776437A2" w14:textId="77777777" w:rsidR="00354767" w:rsidRDefault="00F326E5" w:rsidP="00F326E5">
      <w:pPr>
        <w:ind w:left="720"/>
        <w:rPr>
          <w:rFonts w:ascii="Times New Roman" w:eastAsia="Times New Roman" w:hAnsi="Times New Roman"/>
          <w:b/>
          <w:sz w:val="24"/>
          <w:szCs w:val="24"/>
        </w:rPr>
      </w:pPr>
      <w:r w:rsidRPr="00015208">
        <w:rPr>
          <w:rFonts w:ascii="Times New Roman" w:eastAsia="Times New Roman" w:hAnsi="Times New Roman"/>
          <w:b/>
          <w:sz w:val="24"/>
          <w:szCs w:val="24"/>
        </w:rPr>
        <w:t>Legal Lessons Learned:  Fire &amp; EMS Departments in emergency situations – for example, when conducting search for a missing person who may be carrying a cell phone – may still coordinate with law enforcement and get cell tower information without a search warrant</w:t>
      </w:r>
    </w:p>
    <w:p w14:paraId="21384867" w14:textId="07A8E2DE" w:rsidR="00F326E5" w:rsidRPr="00015208" w:rsidRDefault="00F326E5" w:rsidP="00F326E5">
      <w:pPr>
        <w:ind w:left="720"/>
        <w:rPr>
          <w:rFonts w:ascii="Times New Roman" w:eastAsia="Times New Roman" w:hAnsi="Times New Roman"/>
          <w:sz w:val="24"/>
          <w:szCs w:val="24"/>
        </w:rPr>
      </w:pPr>
      <w:r w:rsidRPr="00015208">
        <w:rPr>
          <w:rFonts w:ascii="Times New Roman" w:eastAsia="Times New Roman" w:hAnsi="Times New Roman"/>
          <w:sz w:val="24"/>
          <w:szCs w:val="24"/>
        </w:rPr>
        <w:t>Note:  Justice Kennedy announced his retirement on June 27, 2018; he has been the “swing vote” in many 5 to 4 decisions.  Future cases involving access to electronic records will undoubtedly get to the U.S. Supreme Court.</w:t>
      </w:r>
    </w:p>
    <w:bookmarkEnd w:id="81"/>
    <w:p w14:paraId="4F13D79F" w14:textId="1033F972" w:rsidR="00791CA3" w:rsidRPr="00791CA3" w:rsidRDefault="00791CA3" w:rsidP="00791CA3">
      <w:pPr>
        <w:rPr>
          <w:rFonts w:ascii="Arial Black" w:hAnsi="Arial Black"/>
          <w:b/>
          <w:sz w:val="24"/>
          <w:szCs w:val="24"/>
        </w:rPr>
      </w:pPr>
      <w:r w:rsidRPr="00791CA3">
        <w:rPr>
          <w:rFonts w:ascii="Arial Black" w:hAnsi="Arial Black"/>
          <w:b/>
          <w:sz w:val="24"/>
          <w:szCs w:val="24"/>
        </w:rPr>
        <w:t>1-</w:t>
      </w:r>
      <w:r>
        <w:rPr>
          <w:rFonts w:ascii="Arial Black" w:hAnsi="Arial Black"/>
          <w:b/>
          <w:sz w:val="24"/>
          <w:szCs w:val="24"/>
        </w:rPr>
        <w:t>7</w:t>
      </w:r>
    </w:p>
    <w:p w14:paraId="52872B9B" w14:textId="5761C3D6" w:rsidR="00F326E5" w:rsidRPr="00F707DC" w:rsidRDefault="00F326E5" w:rsidP="00F326E5">
      <w:pPr>
        <w:rPr>
          <w:sz w:val="24"/>
          <w:szCs w:val="24"/>
        </w:rPr>
      </w:pPr>
      <w:bookmarkStart w:id="82" w:name="_Hlk7340196"/>
      <w:r w:rsidRPr="00F707DC">
        <w:rPr>
          <w:rFonts w:ascii="Arial Black" w:hAnsi="Arial Black"/>
          <w:sz w:val="28"/>
          <w:szCs w:val="28"/>
        </w:rPr>
        <w:t>PA:  DOT E</w:t>
      </w:r>
      <w:r>
        <w:rPr>
          <w:rFonts w:ascii="Arial Black" w:hAnsi="Arial Black"/>
          <w:sz w:val="28"/>
          <w:szCs w:val="28"/>
        </w:rPr>
        <w:t xml:space="preserve">MPLOYEE FIRED FOR </w:t>
      </w:r>
      <w:r w:rsidRPr="00F707DC">
        <w:rPr>
          <w:rFonts w:ascii="Arial Black" w:hAnsi="Arial Black"/>
          <w:sz w:val="28"/>
          <w:szCs w:val="28"/>
        </w:rPr>
        <w:t>FACEBOOK P</w:t>
      </w:r>
      <w:r>
        <w:rPr>
          <w:rFonts w:ascii="Arial Black" w:hAnsi="Arial Black"/>
          <w:sz w:val="28"/>
          <w:szCs w:val="28"/>
        </w:rPr>
        <w:t xml:space="preserve">OSTS ON BAD SCHOOL BUS DRIVERS – REINSTATED </w:t>
      </w:r>
      <w:r w:rsidRPr="00F707DC">
        <w:rPr>
          <w:sz w:val="24"/>
          <w:szCs w:val="24"/>
        </w:rPr>
        <w:t>[also filed, Chap. 16]</w:t>
      </w:r>
    </w:p>
    <w:p w14:paraId="1C8919E6" w14:textId="73F763FF" w:rsidR="00637A12" w:rsidRDefault="00F326E5" w:rsidP="00F326E5">
      <w:pPr>
        <w:pStyle w:val="NoSpacing"/>
        <w:rPr>
          <w:rFonts w:ascii="Times New Roman" w:hAnsi="Times New Roman"/>
          <w:sz w:val="24"/>
          <w:szCs w:val="24"/>
        </w:rPr>
      </w:pPr>
      <w:r w:rsidRPr="00015208">
        <w:rPr>
          <w:rFonts w:ascii="Times New Roman" w:hAnsi="Times New Roman"/>
          <w:sz w:val="24"/>
          <w:szCs w:val="24"/>
        </w:rPr>
        <w:t xml:space="preserve">On June 12, 2018, in </w:t>
      </w:r>
      <w:r w:rsidRPr="00015208">
        <w:rPr>
          <w:rFonts w:ascii="Times New Roman" w:hAnsi="Times New Roman"/>
          <w:sz w:val="24"/>
          <w:szCs w:val="24"/>
          <w:u w:val="single"/>
        </w:rPr>
        <w:t>Rachel L. Carr v. Commonwealth of Pennsylvania / Department of Transportation and Civil Service Commission</w:t>
      </w:r>
      <w:r w:rsidRPr="00015208">
        <w:rPr>
          <w:rFonts w:ascii="Times New Roman" w:hAnsi="Times New Roman"/>
          <w:sz w:val="24"/>
          <w:szCs w:val="24"/>
        </w:rPr>
        <w:t xml:space="preserve">, the Commonwealth Court of Pennsylvania held (3 to 0) that the employee’s FACEBOOK posts about local school bus drivers were “inappropriate” but were protected since it </w:t>
      </w:r>
    </w:p>
    <w:p w14:paraId="26A0C1D6" w14:textId="448424EB" w:rsidR="00F326E5" w:rsidRPr="00015208" w:rsidRDefault="00F326E5" w:rsidP="008D07C2">
      <w:pPr>
        <w:pStyle w:val="NoSpacing"/>
        <w:rPr>
          <w:rFonts w:ascii="Times New Roman" w:hAnsi="Times New Roman"/>
          <w:sz w:val="24"/>
          <w:szCs w:val="24"/>
        </w:rPr>
      </w:pPr>
      <w:r w:rsidRPr="00015208">
        <w:rPr>
          <w:rFonts w:ascii="Times New Roman" w:hAnsi="Times New Roman"/>
          <w:sz w:val="24"/>
          <w:szCs w:val="24"/>
        </w:rPr>
        <w:t>“</w:t>
      </w:r>
      <w:proofErr w:type="gramStart"/>
      <w:r w:rsidRPr="00015208">
        <w:rPr>
          <w:rFonts w:ascii="Times New Roman" w:hAnsi="Times New Roman"/>
          <w:sz w:val="24"/>
          <w:szCs w:val="24"/>
        </w:rPr>
        <w:t>touched</w:t>
      </w:r>
      <w:proofErr w:type="gramEnd"/>
      <w:r w:rsidRPr="00015208">
        <w:rPr>
          <w:rFonts w:ascii="Times New Roman" w:hAnsi="Times New Roman"/>
          <w:sz w:val="24"/>
          <w:szCs w:val="24"/>
        </w:rPr>
        <w:t xml:space="preserve"> on a matter of public concern.” The Court wrote: “After a thorough review of the record and a conscientious analysis of the factors articulated by the United States Supreme Court, we conclude that the Department’s generalized interest in the safety of the traveling public does not outweigh Carr’s specific interest in commenting on the safety of a particular bus driver. While Carr’s comments are undoubtedly inappropriate, such comments still receive protection under the First Amendment.”</w:t>
      </w:r>
    </w:p>
    <w:p w14:paraId="0038F122" w14:textId="54B662C1" w:rsidR="00F326E5" w:rsidRPr="00015208" w:rsidRDefault="00637A12" w:rsidP="008D07C2">
      <w:pPr>
        <w:pStyle w:val="NoSpacing"/>
        <w:rPr>
          <w:rFonts w:ascii="Times New Roman" w:hAnsi="Times New Roman"/>
          <w:sz w:val="24"/>
          <w:szCs w:val="24"/>
        </w:rPr>
      </w:pPr>
      <w:hyperlink r:id="rId373" w:history="1">
        <w:r w:rsidRPr="002F304C">
          <w:rPr>
            <w:rStyle w:val="Hyperlink"/>
            <w:rFonts w:ascii="Times New Roman" w:hAnsi="Times New Roman"/>
            <w:sz w:val="24"/>
            <w:szCs w:val="24"/>
          </w:rPr>
          <w:t>http://www.pacourts.us/assets/opinions/Commonwealth/out/380md17_6-12-18.pdf</w:t>
        </w:r>
      </w:hyperlink>
      <w:r w:rsidR="00F326E5" w:rsidRPr="00015208">
        <w:rPr>
          <w:rFonts w:ascii="Times New Roman" w:hAnsi="Times New Roman"/>
          <w:sz w:val="24"/>
          <w:szCs w:val="24"/>
        </w:rPr>
        <w:t xml:space="preserve"> </w:t>
      </w:r>
    </w:p>
    <w:p w14:paraId="22CC5D8D" w14:textId="77777777" w:rsidR="00637A12" w:rsidRDefault="00637A12" w:rsidP="00F326E5">
      <w:pPr>
        <w:pStyle w:val="NoSpacing"/>
        <w:rPr>
          <w:rFonts w:ascii="Times New Roman" w:hAnsi="Times New Roman"/>
          <w:b/>
          <w:sz w:val="24"/>
          <w:szCs w:val="24"/>
        </w:rPr>
      </w:pPr>
    </w:p>
    <w:p w14:paraId="23875648" w14:textId="74C41E53" w:rsidR="00F326E5" w:rsidRPr="00015208" w:rsidRDefault="00F326E5" w:rsidP="00F326E5">
      <w:pPr>
        <w:pStyle w:val="NoSpacing"/>
        <w:rPr>
          <w:rFonts w:ascii="Times New Roman" w:hAnsi="Times New Roman"/>
          <w:b/>
          <w:sz w:val="24"/>
          <w:szCs w:val="24"/>
        </w:rPr>
      </w:pPr>
      <w:r w:rsidRPr="00015208">
        <w:rPr>
          <w:rFonts w:ascii="Times New Roman" w:hAnsi="Times New Roman"/>
          <w:b/>
          <w:sz w:val="24"/>
          <w:szCs w:val="24"/>
        </w:rPr>
        <w:t>Legal Lessons Learned:  Fire &amp; EMS Departments should have a Social Media Policy that clearly advises personnel that their “</w:t>
      </w:r>
      <w:proofErr w:type="gramStart"/>
      <w:r w:rsidRPr="00015208">
        <w:rPr>
          <w:rFonts w:ascii="Times New Roman" w:hAnsi="Times New Roman"/>
          <w:b/>
          <w:sz w:val="24"/>
          <w:szCs w:val="24"/>
        </w:rPr>
        <w:t>Free Speech</w:t>
      </w:r>
      <w:proofErr w:type="gramEnd"/>
      <w:r w:rsidRPr="00015208">
        <w:rPr>
          <w:rFonts w:ascii="Times New Roman" w:hAnsi="Times New Roman"/>
          <w:b/>
          <w:sz w:val="24"/>
          <w:szCs w:val="24"/>
        </w:rPr>
        <w:t xml:space="preserve"> rights” are limited when discussing FD internal matters. </w:t>
      </w:r>
    </w:p>
    <w:bookmarkEnd w:id="82"/>
    <w:p w14:paraId="1A05D317" w14:textId="77777777" w:rsidR="00F326E5" w:rsidRPr="00A56BFE" w:rsidRDefault="00F326E5" w:rsidP="00F326E5">
      <w:pPr>
        <w:ind w:firstLine="720"/>
        <w:rPr>
          <w:rFonts w:eastAsia="Times New Roman"/>
          <w:b/>
          <w:sz w:val="24"/>
          <w:szCs w:val="24"/>
        </w:rPr>
      </w:pPr>
    </w:p>
    <w:p w14:paraId="13551EB3" w14:textId="77777777" w:rsidR="00637A12" w:rsidRDefault="00637A12" w:rsidP="00791CA3">
      <w:pPr>
        <w:rPr>
          <w:rFonts w:ascii="Arial Black" w:hAnsi="Arial Black"/>
          <w:b/>
          <w:sz w:val="24"/>
          <w:szCs w:val="24"/>
        </w:rPr>
      </w:pPr>
    </w:p>
    <w:p w14:paraId="40627F9E" w14:textId="77777777" w:rsidR="00637A12" w:rsidRDefault="00637A12" w:rsidP="00791CA3">
      <w:pPr>
        <w:rPr>
          <w:rFonts w:ascii="Arial Black" w:hAnsi="Arial Black"/>
          <w:b/>
          <w:sz w:val="24"/>
          <w:szCs w:val="24"/>
        </w:rPr>
      </w:pPr>
    </w:p>
    <w:p w14:paraId="52AAB86B" w14:textId="438780BC" w:rsidR="00791CA3" w:rsidRPr="00791CA3" w:rsidRDefault="00791CA3" w:rsidP="00791CA3">
      <w:pPr>
        <w:rPr>
          <w:rFonts w:ascii="Arial Black" w:hAnsi="Arial Black"/>
          <w:b/>
          <w:sz w:val="24"/>
          <w:szCs w:val="24"/>
        </w:rPr>
      </w:pPr>
      <w:r w:rsidRPr="00791CA3">
        <w:rPr>
          <w:rFonts w:ascii="Arial Black" w:hAnsi="Arial Black"/>
          <w:b/>
          <w:sz w:val="24"/>
          <w:szCs w:val="24"/>
        </w:rPr>
        <w:t>1-</w:t>
      </w:r>
      <w:r>
        <w:rPr>
          <w:rFonts w:ascii="Arial Black" w:hAnsi="Arial Black"/>
          <w:b/>
          <w:sz w:val="24"/>
          <w:szCs w:val="24"/>
        </w:rPr>
        <w:t>6</w:t>
      </w:r>
    </w:p>
    <w:p w14:paraId="7DF8D803" w14:textId="5CA2CE91" w:rsidR="00F326E5" w:rsidRDefault="00F326E5" w:rsidP="00F326E5">
      <w:pPr>
        <w:pStyle w:val="NoSpacing"/>
        <w:rPr>
          <w:rFonts w:ascii="Arial Black" w:hAnsi="Arial Black"/>
          <w:b/>
          <w:sz w:val="28"/>
          <w:szCs w:val="28"/>
        </w:rPr>
      </w:pPr>
      <w:bookmarkStart w:id="83" w:name="_Hlk7340230"/>
      <w:r w:rsidRPr="0002084E">
        <w:rPr>
          <w:rFonts w:ascii="Arial Black" w:hAnsi="Arial Black"/>
          <w:b/>
          <w:sz w:val="28"/>
          <w:szCs w:val="28"/>
        </w:rPr>
        <w:t>NY</w:t>
      </w:r>
      <w:r>
        <w:rPr>
          <w:rFonts w:ascii="Arial Black" w:hAnsi="Arial Black"/>
          <w:b/>
          <w:sz w:val="28"/>
          <w:szCs w:val="28"/>
        </w:rPr>
        <w:t>: NY</w:t>
      </w:r>
      <w:r w:rsidRPr="0002084E">
        <w:rPr>
          <w:rFonts w:ascii="Arial Black" w:hAnsi="Arial Black"/>
          <w:b/>
          <w:sz w:val="28"/>
          <w:szCs w:val="28"/>
        </w:rPr>
        <w:t>PD / FDNY TRDEMARKS – CITY SUING “COP SHOP”</w:t>
      </w:r>
    </w:p>
    <w:p w14:paraId="5AD30D1F" w14:textId="77777777" w:rsidR="00637A12" w:rsidRDefault="00637A12" w:rsidP="00F326E5">
      <w:pPr>
        <w:pStyle w:val="NoSpacing"/>
        <w:rPr>
          <w:rFonts w:ascii="Times New Roman" w:hAnsi="Times New Roman"/>
          <w:sz w:val="24"/>
          <w:szCs w:val="24"/>
        </w:rPr>
      </w:pPr>
    </w:p>
    <w:p w14:paraId="4E83F063" w14:textId="35BAD03A" w:rsidR="00F326E5" w:rsidRPr="00015208" w:rsidRDefault="00F326E5" w:rsidP="00F326E5">
      <w:pPr>
        <w:pStyle w:val="NoSpacing"/>
        <w:rPr>
          <w:rFonts w:ascii="Times New Roman" w:hAnsi="Times New Roman"/>
          <w:sz w:val="24"/>
          <w:szCs w:val="24"/>
        </w:rPr>
      </w:pPr>
      <w:r w:rsidRPr="00015208">
        <w:rPr>
          <w:rFonts w:ascii="Times New Roman" w:hAnsi="Times New Roman"/>
          <w:sz w:val="24"/>
          <w:szCs w:val="24"/>
        </w:rPr>
        <w:t xml:space="preserve">On June 7, 2018, in </w:t>
      </w:r>
      <w:r w:rsidRPr="00015208">
        <w:rPr>
          <w:rFonts w:ascii="Times New Roman" w:hAnsi="Times New Roman"/>
          <w:sz w:val="24"/>
          <w:szCs w:val="24"/>
          <w:u w:val="single"/>
        </w:rPr>
        <w:t>The City Of New York v. Blue Rage Inc, d/b/a THE COP SHOP, and Salvatore Piccolo &amp; Susan Piccolo</w:t>
      </w:r>
      <w:r w:rsidRPr="00015208">
        <w:rPr>
          <w:rFonts w:ascii="Times New Roman" w:hAnsi="Times New Roman"/>
          <w:sz w:val="24"/>
          <w:szCs w:val="24"/>
        </w:rPr>
        <w:t xml:space="preserve">, a United States Magistrate Judge in Central Islip, New York, held in a pre-trial dispute that the City does not need to disclose the profits it makes on its merchandise, or its contributions to non-profit organizations. </w:t>
      </w:r>
      <w:hyperlink r:id="rId374" w:history="1">
        <w:r w:rsidRPr="00015208">
          <w:rPr>
            <w:rStyle w:val="Hyperlink"/>
            <w:rFonts w:ascii="Times New Roman" w:hAnsi="Times New Roman"/>
            <w:sz w:val="24"/>
            <w:szCs w:val="24"/>
          </w:rPr>
          <w:t>https://cases.justia.com/federal/district-courts/new-york/nyedce/2:2017cv03480/402865/37/0.pdf?ts=1528277681</w:t>
        </w:r>
      </w:hyperlink>
      <w:r w:rsidRPr="00015208">
        <w:rPr>
          <w:rFonts w:ascii="Times New Roman" w:hAnsi="Times New Roman"/>
          <w:sz w:val="24"/>
          <w:szCs w:val="24"/>
        </w:rPr>
        <w:t xml:space="preserve"> </w:t>
      </w:r>
    </w:p>
    <w:p w14:paraId="6BBFBCCC" w14:textId="77777777" w:rsidR="00637A12" w:rsidRDefault="00637A12" w:rsidP="00F326E5">
      <w:pPr>
        <w:pStyle w:val="NoSpacing"/>
        <w:rPr>
          <w:rFonts w:ascii="Times New Roman" w:hAnsi="Times New Roman"/>
          <w:b/>
          <w:sz w:val="24"/>
          <w:szCs w:val="24"/>
        </w:rPr>
      </w:pPr>
    </w:p>
    <w:p w14:paraId="36A9E533" w14:textId="0B6639B0" w:rsidR="00F326E5" w:rsidRPr="00015208" w:rsidRDefault="00F326E5" w:rsidP="00F326E5">
      <w:pPr>
        <w:pStyle w:val="NoSpacing"/>
        <w:rPr>
          <w:rFonts w:ascii="Times New Roman" w:hAnsi="Times New Roman"/>
          <w:b/>
          <w:sz w:val="24"/>
          <w:szCs w:val="24"/>
        </w:rPr>
      </w:pPr>
      <w:r w:rsidRPr="00015208">
        <w:rPr>
          <w:rFonts w:ascii="Times New Roman" w:hAnsi="Times New Roman"/>
          <w:b/>
          <w:sz w:val="24"/>
          <w:szCs w:val="24"/>
        </w:rPr>
        <w:t xml:space="preserve">Legal Lessons Learned: Protect your trademarks. “Under trademark law, the </w:t>
      </w:r>
      <w:proofErr w:type="gramStart"/>
      <w:r w:rsidRPr="00015208">
        <w:rPr>
          <w:rFonts w:ascii="Times New Roman" w:hAnsi="Times New Roman"/>
          <w:b/>
          <w:sz w:val="24"/>
          <w:szCs w:val="24"/>
        </w:rPr>
        <w:t>amount</w:t>
      </w:r>
      <w:proofErr w:type="gramEnd"/>
      <w:r w:rsidRPr="00015208">
        <w:rPr>
          <w:rFonts w:ascii="Times New Roman" w:hAnsi="Times New Roman"/>
          <w:b/>
          <w:sz w:val="24"/>
          <w:szCs w:val="24"/>
        </w:rPr>
        <w:t xml:space="preserve"> of statutory damages can range from a low of $1,000 for innocent infringement to a high of $2,000,000 for willful infringement.” 15 U.S.C. § 1117(c).  </w:t>
      </w:r>
      <w:hyperlink r:id="rId375" w:history="1">
        <w:r w:rsidRPr="00015208">
          <w:rPr>
            <w:rStyle w:val="Hyperlink"/>
            <w:rFonts w:ascii="Times New Roman" w:hAnsi="Times New Roman"/>
            <w:sz w:val="24"/>
            <w:szCs w:val="24"/>
          </w:rPr>
          <w:t>http://buchanan-labs.com/statutory-damages-for-infringement-of-your-copyrights-and-trademarks/</w:t>
        </w:r>
      </w:hyperlink>
    </w:p>
    <w:bookmarkEnd w:id="83"/>
    <w:p w14:paraId="2ECAAA33" w14:textId="77777777" w:rsidR="00F326E5" w:rsidRDefault="00F326E5" w:rsidP="00F326E5">
      <w:pPr>
        <w:pStyle w:val="NoSpacing"/>
        <w:rPr>
          <w:rFonts w:ascii="Arial Black" w:hAnsi="Arial Black"/>
          <w:b/>
          <w:sz w:val="24"/>
          <w:szCs w:val="24"/>
        </w:rPr>
      </w:pPr>
    </w:p>
    <w:p w14:paraId="2FF023BF" w14:textId="2FFA0C00" w:rsidR="00F326E5" w:rsidRDefault="00F326E5" w:rsidP="00F326E5">
      <w:pPr>
        <w:rPr>
          <w:sz w:val="24"/>
          <w:szCs w:val="24"/>
        </w:rPr>
      </w:pPr>
    </w:p>
    <w:p w14:paraId="5CD0C33D" w14:textId="328FD352" w:rsidR="00791CA3" w:rsidRPr="00791CA3" w:rsidRDefault="00791CA3" w:rsidP="00791CA3">
      <w:pPr>
        <w:rPr>
          <w:rFonts w:ascii="Arial Black" w:hAnsi="Arial Black"/>
          <w:b/>
          <w:sz w:val="24"/>
          <w:szCs w:val="24"/>
        </w:rPr>
      </w:pPr>
      <w:bookmarkStart w:id="84" w:name="_Hlk7340267"/>
      <w:r w:rsidRPr="00791CA3">
        <w:rPr>
          <w:rFonts w:ascii="Arial Black" w:hAnsi="Arial Black"/>
          <w:b/>
          <w:sz w:val="24"/>
          <w:szCs w:val="24"/>
        </w:rPr>
        <w:t>1-</w:t>
      </w:r>
      <w:r>
        <w:rPr>
          <w:rFonts w:ascii="Arial Black" w:hAnsi="Arial Black"/>
          <w:b/>
          <w:sz w:val="24"/>
          <w:szCs w:val="24"/>
        </w:rPr>
        <w:t>5</w:t>
      </w:r>
    </w:p>
    <w:p w14:paraId="4ED0EB42" w14:textId="6CDB8B1B" w:rsidR="00D46F1E" w:rsidRDefault="00F326E5" w:rsidP="00F326E5">
      <w:pPr>
        <w:rPr>
          <w:rFonts w:ascii="Arial Black" w:hAnsi="Arial Black"/>
          <w:b/>
          <w:sz w:val="28"/>
          <w:szCs w:val="28"/>
        </w:rPr>
      </w:pPr>
      <w:r w:rsidRPr="003257B0">
        <w:rPr>
          <w:rFonts w:ascii="Arial Black" w:hAnsi="Arial Black"/>
          <w:b/>
          <w:sz w:val="28"/>
          <w:szCs w:val="28"/>
        </w:rPr>
        <w:t>OH</w:t>
      </w:r>
      <w:r>
        <w:rPr>
          <w:rFonts w:ascii="Arial Black" w:hAnsi="Arial Black"/>
          <w:b/>
          <w:sz w:val="28"/>
          <w:szCs w:val="28"/>
        </w:rPr>
        <w:t xml:space="preserve">: </w:t>
      </w:r>
      <w:r w:rsidRPr="003257B0">
        <w:rPr>
          <w:rFonts w:ascii="Arial Black" w:hAnsi="Arial Black"/>
          <w:b/>
          <w:sz w:val="28"/>
          <w:szCs w:val="28"/>
        </w:rPr>
        <w:t xml:space="preserve">FIRE LOSS INSURANCE – CLEVELAND MUST RETURN </w:t>
      </w:r>
      <w:r>
        <w:rPr>
          <w:rFonts w:ascii="Arial Black" w:hAnsi="Arial Black"/>
          <w:b/>
          <w:sz w:val="28"/>
          <w:szCs w:val="28"/>
        </w:rPr>
        <w:t xml:space="preserve">$175,000 DEPOSITED WITH CITY </w:t>
      </w:r>
    </w:p>
    <w:p w14:paraId="280C7A72" w14:textId="3B1925EE" w:rsidR="00F326E5" w:rsidRPr="00015208" w:rsidRDefault="00F326E5" w:rsidP="00F326E5">
      <w:pPr>
        <w:rPr>
          <w:rFonts w:ascii="Times New Roman" w:hAnsi="Times New Roman"/>
          <w:b/>
          <w:sz w:val="28"/>
          <w:szCs w:val="28"/>
        </w:rPr>
      </w:pPr>
      <w:r w:rsidRPr="00015208">
        <w:rPr>
          <w:rFonts w:ascii="Times New Roman" w:eastAsia="Times New Roman" w:hAnsi="Times New Roman"/>
          <w:sz w:val="24"/>
          <w:szCs w:val="24"/>
        </w:rPr>
        <w:t xml:space="preserve">On May 31, 2018, in </w:t>
      </w:r>
      <w:r w:rsidRPr="00015208">
        <w:rPr>
          <w:rFonts w:ascii="Times New Roman" w:eastAsia="Times New Roman" w:hAnsi="Times New Roman"/>
          <w:sz w:val="24"/>
          <w:szCs w:val="24"/>
          <w:u w:val="single"/>
        </w:rPr>
        <w:t>WRRS, L.L.C. v. City of Cleveland</w:t>
      </w:r>
      <w:r w:rsidRPr="00015208">
        <w:rPr>
          <w:rFonts w:ascii="Times New Roman" w:eastAsia="Times New Roman" w:hAnsi="Times New Roman"/>
          <w:sz w:val="24"/>
          <w:szCs w:val="24"/>
        </w:rPr>
        <w:t>, the Court of Appeals for 8</w:t>
      </w:r>
      <w:r w:rsidRPr="00015208">
        <w:rPr>
          <w:rFonts w:ascii="Times New Roman" w:eastAsia="Times New Roman" w:hAnsi="Times New Roman"/>
          <w:sz w:val="24"/>
          <w:szCs w:val="24"/>
          <w:vertAlign w:val="superscript"/>
        </w:rPr>
        <w:t>th</w:t>
      </w:r>
      <w:r w:rsidRPr="00015208">
        <w:rPr>
          <w:rFonts w:ascii="Times New Roman" w:eastAsia="Times New Roman" w:hAnsi="Times New Roman"/>
          <w:sz w:val="24"/>
          <w:szCs w:val="24"/>
        </w:rPr>
        <w:t xml:space="preserve"> Appellate District (County of Cuyahoga), 2018 Ohio 2129, held (3 to 0):</w:t>
      </w:r>
    </w:p>
    <w:p w14:paraId="01C23FFC" w14:textId="77777777" w:rsidR="00F326E5" w:rsidRPr="00015208" w:rsidRDefault="00F326E5" w:rsidP="00F326E5">
      <w:pPr>
        <w:pStyle w:val="NormalWeb"/>
        <w:ind w:left="720"/>
      </w:pPr>
      <w:r w:rsidRPr="00015208">
        <w:t xml:space="preserve">“The Board's 2012 decision, however, does preclude the </w:t>
      </w:r>
      <w:proofErr w:type="gramStart"/>
      <w:r w:rsidRPr="00015208">
        <w:t>City</w:t>
      </w:r>
      <w:proofErr w:type="gramEnd"/>
      <w:r w:rsidRPr="00015208">
        <w:t xml:space="preserve"> from continuing to withhold the $175,000 WRRS deposited with the </w:t>
      </w:r>
      <w:proofErr w:type="gramStart"/>
      <w:r w:rsidRPr="00015208">
        <w:t>City</w:t>
      </w:r>
      <w:proofErr w:type="gramEnd"/>
      <w:r w:rsidRPr="00015208">
        <w:t xml:space="preserve"> pursuant to Ohio's fire loss statute. In 2012, the Board </w:t>
      </w:r>
      <w:proofErr w:type="gramStart"/>
      <w:r w:rsidRPr="00015208">
        <w:t xml:space="preserve">[of </w:t>
      </w:r>
      <w:proofErr w:type="gramEnd"/>
      <w:r w:rsidRPr="00015208">
        <w:t xml:space="preserve">Building Standards] found the WRRS property to </w:t>
      </w:r>
      <w:proofErr w:type="gramStart"/>
      <w:r w:rsidRPr="00015208">
        <w:t>be in compliance</w:t>
      </w:r>
      <w:proofErr w:type="gramEnd"/>
      <w:r w:rsidRPr="00015208">
        <w:t xml:space="preserve"> after the fire. The City could have appealed from the 2012 </w:t>
      </w:r>
      <w:proofErr w:type="gramStart"/>
      <w:r w:rsidRPr="00015208">
        <w:t>decision,  but</w:t>
      </w:r>
      <w:proofErr w:type="gramEnd"/>
      <w:r w:rsidRPr="00015208">
        <w:t xml:space="preserve"> chose not to do so. Thus, the </w:t>
      </w:r>
      <w:proofErr w:type="gramStart"/>
      <w:r w:rsidRPr="00015208">
        <w:t>City</w:t>
      </w:r>
      <w:proofErr w:type="gramEnd"/>
      <w:r w:rsidRPr="00015208">
        <w:t xml:space="preserve"> is now precluded under res judicata from challenging the Board's 2012 decision. As a result, the </w:t>
      </w:r>
      <w:proofErr w:type="gramStart"/>
      <w:r w:rsidRPr="00015208">
        <w:t>City</w:t>
      </w:r>
      <w:proofErr w:type="gramEnd"/>
      <w:r w:rsidRPr="00015208">
        <w:t xml:space="preserve"> is ordered to return the $175,000 to WRRS.”</w:t>
      </w:r>
      <w:hyperlink r:id="rId376" w:history="1">
        <w:r w:rsidRPr="00015208">
          <w:rPr>
            <w:rStyle w:val="Hyperlink"/>
          </w:rPr>
          <w:t>https://cases.justia.com/ohio/eighth-district-court-of-appeals/2018-105661.pdf?ts=1528147387</w:t>
        </w:r>
      </w:hyperlink>
      <w:r w:rsidRPr="00015208">
        <w:t xml:space="preserve"> </w:t>
      </w:r>
    </w:p>
    <w:p w14:paraId="141D4E7D" w14:textId="77777777" w:rsidR="00F326E5" w:rsidRPr="00015208" w:rsidRDefault="00F326E5" w:rsidP="00F326E5">
      <w:pPr>
        <w:rPr>
          <w:rFonts w:ascii="Times New Roman" w:eastAsia="Times New Roman" w:hAnsi="Times New Roman"/>
          <w:b/>
          <w:sz w:val="24"/>
          <w:szCs w:val="24"/>
        </w:rPr>
      </w:pPr>
      <w:r w:rsidRPr="00015208">
        <w:rPr>
          <w:rFonts w:ascii="Times New Roman" w:eastAsia="Times New Roman" w:hAnsi="Times New Roman"/>
          <w:b/>
          <w:sz w:val="24"/>
          <w:szCs w:val="24"/>
        </w:rPr>
        <w:t xml:space="preserve">Legal Lessons Learned:  Under Ohio Revised Code 3929.86, “Fire loss claims,” for claims in excess of $5000, insurance companies must first deposit payment with political subdivision.” </w:t>
      </w:r>
    </w:p>
    <w:p w14:paraId="4358BDC5" w14:textId="77777777" w:rsidR="00F326E5" w:rsidRPr="00015208" w:rsidRDefault="00F326E5" w:rsidP="00F326E5">
      <w:pPr>
        <w:pStyle w:val="NormalWeb"/>
        <w:ind w:left="720"/>
      </w:pPr>
      <w:bookmarkStart w:id="85" w:name="3929.86(A)"/>
      <w:r w:rsidRPr="00015208">
        <w:t>“(A)</w:t>
      </w:r>
      <w:bookmarkEnd w:id="85"/>
      <w:r w:rsidRPr="00015208">
        <w:t xml:space="preserve"> No insurance company doing business in this state shall pay a claim of a named insured for fire damage to a structure located within a municipal corporation or township in this state where the amount recoverable for the fire loss to the structure under all policies exceeds five thousand dollars, unless the company is furnished with a certificate pursuant to division (B) of this section, and unless there is compliance with the procedures set forth in divisions (C) and (D) of this section.”</w:t>
      </w:r>
    </w:p>
    <w:p w14:paraId="48AFB97A" w14:textId="77777777" w:rsidR="00791CA3" w:rsidRDefault="00791CA3" w:rsidP="00F326E5">
      <w:pPr>
        <w:rPr>
          <w:rFonts w:ascii="Arial Black" w:hAnsi="Arial Black"/>
          <w:b/>
          <w:sz w:val="28"/>
          <w:szCs w:val="28"/>
        </w:rPr>
      </w:pPr>
      <w:bookmarkStart w:id="86" w:name="_Hlk7340314"/>
      <w:bookmarkEnd w:id="84"/>
    </w:p>
    <w:p w14:paraId="4EEEC114" w14:textId="07E9D0C0" w:rsidR="00791CA3" w:rsidRPr="00791CA3" w:rsidRDefault="00791CA3" w:rsidP="00791CA3">
      <w:pPr>
        <w:rPr>
          <w:rFonts w:ascii="Arial Black" w:hAnsi="Arial Black"/>
          <w:b/>
          <w:sz w:val="24"/>
          <w:szCs w:val="24"/>
        </w:rPr>
      </w:pPr>
      <w:r w:rsidRPr="00791CA3">
        <w:rPr>
          <w:rFonts w:ascii="Arial Black" w:hAnsi="Arial Black"/>
          <w:b/>
          <w:sz w:val="24"/>
          <w:szCs w:val="24"/>
        </w:rPr>
        <w:t>1-</w:t>
      </w:r>
      <w:r>
        <w:rPr>
          <w:rFonts w:ascii="Arial Black" w:hAnsi="Arial Black"/>
          <w:b/>
          <w:sz w:val="24"/>
          <w:szCs w:val="24"/>
        </w:rPr>
        <w:t>4</w:t>
      </w:r>
    </w:p>
    <w:p w14:paraId="2B90E6CA" w14:textId="4B582080" w:rsidR="00F326E5" w:rsidRDefault="00F326E5" w:rsidP="00F326E5">
      <w:pPr>
        <w:rPr>
          <w:rFonts w:ascii="Arial Black" w:hAnsi="Arial Black"/>
          <w:b/>
          <w:sz w:val="28"/>
          <w:szCs w:val="28"/>
        </w:rPr>
      </w:pPr>
      <w:r w:rsidRPr="00CB3546">
        <w:rPr>
          <w:rFonts w:ascii="Arial Black" w:hAnsi="Arial Black"/>
          <w:b/>
          <w:sz w:val="28"/>
          <w:szCs w:val="28"/>
        </w:rPr>
        <w:t>S</w:t>
      </w:r>
      <w:r>
        <w:rPr>
          <w:rFonts w:ascii="Arial Black" w:hAnsi="Arial Black"/>
          <w:b/>
          <w:sz w:val="28"/>
          <w:szCs w:val="28"/>
        </w:rPr>
        <w:t xml:space="preserve">C: </w:t>
      </w:r>
      <w:r w:rsidRPr="00CB3546">
        <w:rPr>
          <w:rFonts w:ascii="Arial Black" w:hAnsi="Arial Black"/>
          <w:b/>
          <w:sz w:val="28"/>
          <w:szCs w:val="28"/>
        </w:rPr>
        <w:t xml:space="preserve">ARSON INVESTIGATOR </w:t>
      </w:r>
      <w:r>
        <w:rPr>
          <w:rFonts w:ascii="Arial Black" w:hAnsi="Arial Black"/>
          <w:b/>
          <w:sz w:val="28"/>
          <w:szCs w:val="28"/>
        </w:rPr>
        <w:t>“</w:t>
      </w:r>
      <w:r w:rsidRPr="00CB3546">
        <w:rPr>
          <w:rFonts w:ascii="Arial Black" w:hAnsi="Arial Black"/>
          <w:b/>
          <w:sz w:val="28"/>
          <w:szCs w:val="28"/>
        </w:rPr>
        <w:t>EXPERT</w:t>
      </w:r>
      <w:r>
        <w:rPr>
          <w:rFonts w:ascii="Arial Black" w:hAnsi="Arial Black"/>
          <w:b/>
          <w:sz w:val="28"/>
          <w:szCs w:val="28"/>
        </w:rPr>
        <w:t xml:space="preserve">” – 1YEAR OF EXPERIENCE - </w:t>
      </w:r>
      <w:r w:rsidRPr="00CB3546">
        <w:rPr>
          <w:rFonts w:ascii="Arial Black" w:hAnsi="Arial Black"/>
          <w:b/>
          <w:sz w:val="28"/>
          <w:szCs w:val="28"/>
        </w:rPr>
        <w:t>ARSON DOG ALSO QUALIFIED</w:t>
      </w:r>
    </w:p>
    <w:p w14:paraId="70F2A534" w14:textId="2094E6C8" w:rsidR="00F326E5" w:rsidRPr="00015208" w:rsidRDefault="00F326E5" w:rsidP="00F326E5">
      <w:pPr>
        <w:rPr>
          <w:rStyle w:val="Hyperlink"/>
          <w:rFonts w:ascii="Times New Roman" w:hAnsi="Times New Roman"/>
          <w:sz w:val="24"/>
          <w:szCs w:val="24"/>
        </w:rPr>
      </w:pPr>
      <w:r w:rsidRPr="00015208">
        <w:rPr>
          <w:rFonts w:ascii="Times New Roman" w:hAnsi="Times New Roman"/>
          <w:sz w:val="24"/>
          <w:szCs w:val="24"/>
        </w:rPr>
        <w:t xml:space="preserve">On April 11, 2018, in </w:t>
      </w:r>
      <w:r w:rsidRPr="00015208">
        <w:rPr>
          <w:rFonts w:ascii="Times New Roman" w:hAnsi="Times New Roman"/>
          <w:sz w:val="24"/>
          <w:szCs w:val="24"/>
          <w:u w:val="single"/>
        </w:rPr>
        <w:t>The State v. Paula Reed Rose</w:t>
      </w:r>
      <w:r w:rsidRPr="00015208">
        <w:rPr>
          <w:rFonts w:ascii="Times New Roman" w:hAnsi="Times New Roman"/>
          <w:sz w:val="24"/>
          <w:szCs w:val="24"/>
        </w:rPr>
        <w:t xml:space="preserve">, the South Carolina Court of Appeals affirmed (3 to 0) the conviction of Ms. Rose of  third-degree arson, filing a false police report, burning personal property to defraud an insurer, and making a false insurance claim to obtain benefits for fire loss, for which the trial court sentenced her to a </w:t>
      </w:r>
      <w:r w:rsidR="00637A12">
        <w:rPr>
          <w:rFonts w:ascii="Times New Roman" w:hAnsi="Times New Roman"/>
          <w:sz w:val="24"/>
          <w:szCs w:val="24"/>
        </w:rPr>
        <w:t>“</w:t>
      </w:r>
      <w:r w:rsidRPr="00015208">
        <w:rPr>
          <w:rFonts w:ascii="Times New Roman" w:hAnsi="Times New Roman"/>
          <w:sz w:val="24"/>
          <w:szCs w:val="24"/>
        </w:rPr>
        <w:t xml:space="preserve">cumulative term of five years' home incarceration with five years' probation.” </w:t>
      </w:r>
      <w:hyperlink r:id="rId377" w:history="1">
        <w:r w:rsidRPr="00015208">
          <w:rPr>
            <w:rStyle w:val="Hyperlink"/>
            <w:rFonts w:ascii="Times New Roman" w:hAnsi="Times New Roman"/>
            <w:sz w:val="24"/>
            <w:szCs w:val="24"/>
          </w:rPr>
          <w:t>https://caselaw.findlaw.com/sc-court-of-appeals/1893632.html</w:t>
        </w:r>
      </w:hyperlink>
    </w:p>
    <w:p w14:paraId="27B8A338" w14:textId="2EA5FACE" w:rsidR="00F326E5" w:rsidRPr="00015208" w:rsidRDefault="00F326E5" w:rsidP="00F326E5">
      <w:pPr>
        <w:rPr>
          <w:rFonts w:ascii="Times New Roman" w:hAnsi="Times New Roman"/>
          <w:sz w:val="24"/>
          <w:szCs w:val="24"/>
        </w:rPr>
      </w:pPr>
      <w:r w:rsidRPr="00015208">
        <w:rPr>
          <w:rFonts w:ascii="Times New Roman" w:hAnsi="Times New Roman"/>
          <w:b/>
          <w:sz w:val="24"/>
          <w:szCs w:val="24"/>
        </w:rPr>
        <w:t>LEGAL LESSONS LEARNED:  There is no specific “time on the job” requirement to be qualified as an expert in origin and cause</w:t>
      </w:r>
      <w:r w:rsidRPr="00015208">
        <w:rPr>
          <w:rFonts w:ascii="Times New Roman" w:hAnsi="Times New Roman"/>
          <w:sz w:val="24"/>
          <w:szCs w:val="24"/>
        </w:rPr>
        <w:t xml:space="preserve">. </w:t>
      </w:r>
    </w:p>
    <w:p w14:paraId="30937DF0" w14:textId="77777777" w:rsidR="00791CA3" w:rsidRPr="00E456E9" w:rsidRDefault="00791CA3" w:rsidP="00F326E5">
      <w:pPr>
        <w:rPr>
          <w:sz w:val="24"/>
          <w:szCs w:val="24"/>
        </w:rPr>
      </w:pPr>
    </w:p>
    <w:bookmarkEnd w:id="86"/>
    <w:p w14:paraId="715A6166" w14:textId="7CF06D81" w:rsidR="00F326E5" w:rsidRPr="00791CA3" w:rsidRDefault="00791CA3" w:rsidP="00F326E5">
      <w:pPr>
        <w:rPr>
          <w:rFonts w:ascii="Arial Black" w:hAnsi="Arial Black"/>
          <w:b/>
          <w:sz w:val="24"/>
          <w:szCs w:val="24"/>
        </w:rPr>
      </w:pPr>
      <w:r w:rsidRPr="00791CA3">
        <w:rPr>
          <w:rFonts w:ascii="Arial Black" w:hAnsi="Arial Black"/>
          <w:b/>
          <w:sz w:val="24"/>
          <w:szCs w:val="24"/>
        </w:rPr>
        <w:t>1-3</w:t>
      </w:r>
    </w:p>
    <w:p w14:paraId="33577FE4" w14:textId="39E09107" w:rsidR="00F326E5" w:rsidRPr="0026507F" w:rsidRDefault="00F326E5" w:rsidP="00F326E5">
      <w:pPr>
        <w:rPr>
          <w:rFonts w:ascii="Times New Roman" w:hAnsi="Times New Roman"/>
          <w:b/>
          <w:color w:val="4A4A4A"/>
          <w:sz w:val="24"/>
          <w:szCs w:val="24"/>
          <w:lang w:val="en"/>
        </w:rPr>
      </w:pPr>
      <w:bookmarkStart w:id="87" w:name="_Hlk515041397"/>
      <w:bookmarkStart w:id="88" w:name="_Hlk6659978"/>
      <w:r w:rsidRPr="00B87096">
        <w:rPr>
          <w:rFonts w:ascii="Arial Black" w:hAnsi="Arial Black"/>
          <w:color w:val="4A4A4A"/>
          <w:sz w:val="28"/>
          <w:szCs w:val="28"/>
          <w:lang w:val="en"/>
        </w:rPr>
        <w:t>U.S. SUPREME COURT</w:t>
      </w:r>
      <w:r>
        <w:rPr>
          <w:rFonts w:ascii="Arial Black" w:hAnsi="Arial Black"/>
          <w:color w:val="4A4A4A"/>
          <w:sz w:val="28"/>
          <w:szCs w:val="28"/>
          <w:lang w:val="en"/>
        </w:rPr>
        <w:t xml:space="preserve">: LANDMARK DECISION ON </w:t>
      </w:r>
      <w:r w:rsidRPr="00B87096">
        <w:rPr>
          <w:rFonts w:ascii="Arial Black" w:hAnsi="Arial Black"/>
          <w:color w:val="4A4A4A"/>
          <w:sz w:val="28"/>
          <w:szCs w:val="28"/>
          <w:lang w:val="en"/>
        </w:rPr>
        <w:t>QUALIFIED IMMUNITY</w:t>
      </w:r>
      <w:r>
        <w:rPr>
          <w:rFonts w:ascii="Arial Black" w:hAnsi="Arial Black"/>
          <w:color w:val="4A4A4A"/>
          <w:sz w:val="28"/>
          <w:szCs w:val="28"/>
          <w:lang w:val="en"/>
        </w:rPr>
        <w:t xml:space="preserve"> – ONLY IF CLEAR CONSTIT. VIOL. </w:t>
      </w:r>
      <w:r>
        <w:rPr>
          <w:rFonts w:ascii="Times New Roman" w:hAnsi="Times New Roman"/>
          <w:color w:val="4A4A4A"/>
          <w:sz w:val="24"/>
          <w:szCs w:val="24"/>
          <w:lang w:val="en"/>
        </w:rPr>
        <w:t>[also filed, Chap. 2]</w:t>
      </w:r>
    </w:p>
    <w:bookmarkEnd w:id="87"/>
    <w:p w14:paraId="33750B5C" w14:textId="77777777" w:rsidR="00637A12" w:rsidRDefault="00F326E5" w:rsidP="00F326E5">
      <w:pPr>
        <w:pStyle w:val="NoSpacing"/>
        <w:rPr>
          <w:rFonts w:ascii="Times New Roman" w:hAnsi="Times New Roman"/>
          <w:sz w:val="24"/>
          <w:szCs w:val="24"/>
          <w:lang w:val="en"/>
        </w:rPr>
      </w:pPr>
      <w:r w:rsidRPr="00015208">
        <w:rPr>
          <w:rFonts w:ascii="Times New Roman" w:hAnsi="Times New Roman"/>
          <w:sz w:val="24"/>
          <w:szCs w:val="24"/>
          <w:lang w:val="en"/>
        </w:rPr>
        <w:t xml:space="preserve">On April 2, 2018, in </w:t>
      </w:r>
      <w:r w:rsidRPr="00015208">
        <w:rPr>
          <w:rFonts w:ascii="Times New Roman" w:hAnsi="Times New Roman"/>
          <w:sz w:val="24"/>
          <w:szCs w:val="24"/>
          <w:u w:val="single"/>
          <w:lang w:val="en"/>
        </w:rPr>
        <w:t>Andrew Kisela v. Amy Hughes</w:t>
      </w:r>
      <w:r w:rsidRPr="00015208">
        <w:rPr>
          <w:rFonts w:ascii="Times New Roman" w:hAnsi="Times New Roman"/>
          <w:sz w:val="24"/>
          <w:szCs w:val="24"/>
          <w:lang w:val="en"/>
        </w:rPr>
        <w:t>, the U.S. Supreme Court reversed the 9</w:t>
      </w:r>
      <w:r w:rsidRPr="00015208">
        <w:rPr>
          <w:rFonts w:ascii="Times New Roman" w:hAnsi="Times New Roman"/>
          <w:sz w:val="24"/>
          <w:szCs w:val="24"/>
          <w:vertAlign w:val="superscript"/>
          <w:lang w:val="en"/>
        </w:rPr>
        <w:t>th</w:t>
      </w:r>
      <w:r w:rsidRPr="00015208">
        <w:rPr>
          <w:rFonts w:ascii="Times New Roman" w:hAnsi="Times New Roman"/>
          <w:sz w:val="24"/>
          <w:szCs w:val="24"/>
          <w:lang w:val="en"/>
        </w:rPr>
        <w:t xml:space="preserve"> Circuit and held (7 to 2) the police officer who shot Amy Hughes should have been dismissed from the lawsuit: </w:t>
      </w:r>
    </w:p>
    <w:p w14:paraId="6A2376BB" w14:textId="77777777" w:rsidR="00637A12" w:rsidRDefault="00637A12" w:rsidP="00F326E5">
      <w:pPr>
        <w:pStyle w:val="NoSpacing"/>
        <w:rPr>
          <w:rFonts w:ascii="Times New Roman" w:hAnsi="Times New Roman"/>
          <w:sz w:val="24"/>
          <w:szCs w:val="24"/>
          <w:lang w:val="en"/>
        </w:rPr>
      </w:pPr>
    </w:p>
    <w:p w14:paraId="3ED20ECB" w14:textId="2C418F4E" w:rsidR="00F326E5" w:rsidRPr="00015208" w:rsidRDefault="00F326E5" w:rsidP="00637A12">
      <w:pPr>
        <w:pStyle w:val="NoSpacing"/>
        <w:ind w:left="720"/>
        <w:rPr>
          <w:rFonts w:ascii="Times New Roman" w:hAnsi="Times New Roman"/>
          <w:b/>
          <w:sz w:val="24"/>
          <w:szCs w:val="24"/>
        </w:rPr>
      </w:pPr>
      <w:r w:rsidRPr="00015208">
        <w:rPr>
          <w:rFonts w:ascii="Times New Roman" w:hAnsi="Times New Roman"/>
          <w:sz w:val="24"/>
          <w:szCs w:val="24"/>
          <w:lang w:val="en"/>
        </w:rPr>
        <w:t>“Here, the Court need not, and does not, decide whether Kisela violated the Fourth Amendment when he used deadly force against Hughes.  For even assuming a Fourth Amendment violation occurred—a proposition that is not at all evident—on these facts Kisela was at least entitled to qualified immunity. Qualified immunity attaches when an official’s conduct does not violate clearly established statutory or constitutional rights of which a reasonable person would have known.”</w:t>
      </w:r>
      <w:r w:rsidRPr="00015208">
        <w:rPr>
          <w:rFonts w:ascii="Times New Roman" w:hAnsi="Times New Roman"/>
          <w:b/>
          <w:sz w:val="24"/>
          <w:szCs w:val="24"/>
        </w:rPr>
        <w:t xml:space="preserve"> </w:t>
      </w:r>
    </w:p>
    <w:p w14:paraId="1B8E47BB" w14:textId="3463FD99" w:rsidR="00F326E5" w:rsidRPr="00015208" w:rsidRDefault="00637A12" w:rsidP="00637A12">
      <w:pPr>
        <w:pStyle w:val="NoSpacing"/>
        <w:ind w:firstLine="720"/>
        <w:rPr>
          <w:rStyle w:val="Hyperlink"/>
          <w:rFonts w:ascii="Times New Roman" w:hAnsi="Times New Roman"/>
          <w:sz w:val="24"/>
          <w:szCs w:val="24"/>
          <w:lang w:val="en"/>
        </w:rPr>
      </w:pPr>
      <w:hyperlink r:id="rId378" w:history="1">
        <w:r w:rsidRPr="002F304C">
          <w:rPr>
            <w:rStyle w:val="Hyperlink"/>
            <w:rFonts w:ascii="Times New Roman" w:hAnsi="Times New Roman"/>
            <w:sz w:val="24"/>
            <w:szCs w:val="24"/>
            <w:lang w:val="en"/>
          </w:rPr>
          <w:t>https://supreme.justia.com/cases/federal/us/584/17-467/</w:t>
        </w:r>
      </w:hyperlink>
      <w:r w:rsidR="00F326E5" w:rsidRPr="00015208">
        <w:rPr>
          <w:rStyle w:val="Hyperlink"/>
          <w:rFonts w:ascii="Times New Roman" w:hAnsi="Times New Roman"/>
          <w:sz w:val="24"/>
          <w:szCs w:val="24"/>
          <w:lang w:val="en"/>
        </w:rPr>
        <w:t xml:space="preserve"> </w:t>
      </w:r>
    </w:p>
    <w:p w14:paraId="7AA0F70E" w14:textId="77777777" w:rsidR="00637A12" w:rsidRDefault="00637A12" w:rsidP="00F326E5">
      <w:pPr>
        <w:rPr>
          <w:rFonts w:ascii="Times New Roman" w:hAnsi="Times New Roman"/>
          <w:b/>
          <w:sz w:val="24"/>
          <w:szCs w:val="24"/>
          <w:lang w:val="en"/>
        </w:rPr>
      </w:pPr>
    </w:p>
    <w:p w14:paraId="3C629D70" w14:textId="7B049A50" w:rsidR="00F326E5" w:rsidRPr="00015208" w:rsidRDefault="00F326E5" w:rsidP="00F326E5">
      <w:pPr>
        <w:rPr>
          <w:rFonts w:ascii="Times New Roman" w:hAnsi="Times New Roman"/>
          <w:b/>
          <w:sz w:val="24"/>
          <w:szCs w:val="24"/>
          <w:lang w:val="en"/>
        </w:rPr>
      </w:pPr>
      <w:r w:rsidRPr="00015208">
        <w:rPr>
          <w:rFonts w:ascii="Times New Roman" w:hAnsi="Times New Roman"/>
          <w:b/>
          <w:sz w:val="24"/>
          <w:szCs w:val="24"/>
          <w:lang w:val="en"/>
        </w:rPr>
        <w:t xml:space="preserve">Legal Lessons Learned:  Justices sent a message that qualified immunity protects police officers from personal liability unless conduct clearly unjustified.  </w:t>
      </w:r>
    </w:p>
    <w:p w14:paraId="2E3E969F" w14:textId="77777777" w:rsidR="00F326E5" w:rsidRPr="00015208" w:rsidRDefault="00F326E5" w:rsidP="00F326E5">
      <w:pPr>
        <w:ind w:left="720"/>
        <w:rPr>
          <w:rFonts w:ascii="Times New Roman" w:hAnsi="Times New Roman"/>
          <w:b/>
          <w:color w:val="4A4A4A"/>
          <w:sz w:val="24"/>
          <w:szCs w:val="24"/>
          <w:lang w:val="en"/>
        </w:rPr>
      </w:pPr>
      <w:r w:rsidRPr="00015208">
        <w:rPr>
          <w:rFonts w:ascii="Times New Roman" w:hAnsi="Times New Roman"/>
          <w:color w:val="4A4A4A"/>
          <w:sz w:val="24"/>
          <w:szCs w:val="24"/>
          <w:lang w:val="en"/>
        </w:rPr>
        <w:t>See New York Times article on this decision: “</w:t>
      </w:r>
      <w:r w:rsidRPr="00015208">
        <w:rPr>
          <w:rFonts w:ascii="Times New Roman" w:hAnsi="Times New Roman"/>
          <w:sz w:val="24"/>
          <w:szCs w:val="24"/>
          <w:lang w:val="en"/>
        </w:rPr>
        <w:t>The court’s decision was unsigned and issued without full briefing and oral argument, an indication that the majority found the case to be easy.”</w:t>
      </w:r>
      <w:r w:rsidRPr="00015208">
        <w:rPr>
          <w:rFonts w:ascii="Times New Roman" w:hAnsi="Times New Roman"/>
          <w:color w:val="4A4A4A"/>
          <w:sz w:val="24"/>
          <w:szCs w:val="24"/>
          <w:lang w:val="en"/>
        </w:rPr>
        <w:t xml:space="preserve"> </w:t>
      </w:r>
      <w:hyperlink r:id="rId379" w:history="1">
        <w:r w:rsidRPr="00015208">
          <w:rPr>
            <w:rStyle w:val="Hyperlink"/>
            <w:rFonts w:ascii="Times New Roman" w:hAnsi="Times New Roman"/>
            <w:sz w:val="24"/>
            <w:szCs w:val="24"/>
            <w:lang w:val="en"/>
          </w:rPr>
          <w:t>https://www.nytimes.com/2018/04/02/us/politics/supreme-court-rules-for-police-officer-in-excessive-force-case.html</w:t>
        </w:r>
      </w:hyperlink>
      <w:r w:rsidRPr="00015208">
        <w:rPr>
          <w:rFonts w:ascii="Times New Roman" w:hAnsi="Times New Roman"/>
          <w:b/>
          <w:color w:val="4A4A4A"/>
          <w:sz w:val="24"/>
          <w:szCs w:val="24"/>
          <w:lang w:val="en"/>
        </w:rPr>
        <w:t xml:space="preserve"> “</w:t>
      </w:r>
    </w:p>
    <w:bookmarkEnd w:id="88"/>
    <w:p w14:paraId="32252FCC" w14:textId="77777777" w:rsidR="00F326E5" w:rsidRPr="008F54C5" w:rsidRDefault="00F326E5" w:rsidP="00F326E5">
      <w:pPr>
        <w:pStyle w:val="NoSpacing"/>
        <w:rPr>
          <w:rFonts w:ascii="Arial Black" w:hAnsi="Arial Black"/>
          <w:b/>
          <w:sz w:val="24"/>
          <w:szCs w:val="24"/>
        </w:rPr>
      </w:pPr>
    </w:p>
    <w:p w14:paraId="57A77D60" w14:textId="0149C388" w:rsidR="00F326E5" w:rsidRPr="00791CA3" w:rsidRDefault="00791CA3" w:rsidP="00F326E5">
      <w:pPr>
        <w:pStyle w:val="NoSpacing"/>
        <w:rPr>
          <w:rFonts w:ascii="Arial Black" w:hAnsi="Arial Black"/>
          <w:sz w:val="24"/>
          <w:szCs w:val="24"/>
        </w:rPr>
      </w:pPr>
      <w:r w:rsidRPr="00791CA3">
        <w:rPr>
          <w:rFonts w:ascii="Arial Black" w:hAnsi="Arial Black"/>
          <w:sz w:val="24"/>
          <w:szCs w:val="24"/>
        </w:rPr>
        <w:t>1-2</w:t>
      </w:r>
    </w:p>
    <w:p w14:paraId="05DED64E" w14:textId="77777777" w:rsidR="00791CA3" w:rsidRDefault="00791CA3" w:rsidP="00F326E5">
      <w:pPr>
        <w:pStyle w:val="NoSpacing"/>
        <w:rPr>
          <w:sz w:val="24"/>
          <w:szCs w:val="24"/>
        </w:rPr>
      </w:pPr>
    </w:p>
    <w:p w14:paraId="4F81A4AA" w14:textId="77289840" w:rsidR="00F326E5" w:rsidRPr="009213BD" w:rsidRDefault="00F326E5" w:rsidP="00F326E5">
      <w:pPr>
        <w:pStyle w:val="NoSpacing"/>
        <w:rPr>
          <w:sz w:val="28"/>
          <w:szCs w:val="28"/>
        </w:rPr>
      </w:pPr>
      <w:bookmarkStart w:id="89" w:name="_Hlk7340402"/>
      <w:r>
        <w:rPr>
          <w:rFonts w:ascii="Arial Black" w:hAnsi="Arial Black"/>
          <w:sz w:val="28"/>
          <w:szCs w:val="28"/>
        </w:rPr>
        <w:t>TX: M</w:t>
      </w:r>
      <w:r w:rsidRPr="009213BD">
        <w:rPr>
          <w:rFonts w:ascii="Arial Black" w:hAnsi="Arial Black"/>
          <w:sz w:val="28"/>
          <w:szCs w:val="28"/>
        </w:rPr>
        <w:t>URDER TRIAL FOR KILLING A POLICE OFFICER –</w:t>
      </w:r>
      <w:r>
        <w:rPr>
          <w:rFonts w:ascii="Arial Black" w:hAnsi="Arial Black"/>
          <w:sz w:val="28"/>
          <w:szCs w:val="28"/>
        </w:rPr>
        <w:t xml:space="preserve"> POLICE MAY ATTEND TRIAL IN </w:t>
      </w:r>
      <w:r w:rsidRPr="009213BD">
        <w:rPr>
          <w:rFonts w:ascii="Arial Black" w:hAnsi="Arial Black"/>
          <w:sz w:val="28"/>
          <w:szCs w:val="28"/>
        </w:rPr>
        <w:t>UNIFORM</w:t>
      </w:r>
    </w:p>
    <w:p w14:paraId="13E003AF" w14:textId="77777777" w:rsidR="00637A12" w:rsidRDefault="00F326E5" w:rsidP="00F326E5">
      <w:pPr>
        <w:rPr>
          <w:rFonts w:ascii="Times New Roman" w:hAnsi="Times New Roman"/>
          <w:color w:val="4A4A4A"/>
          <w:sz w:val="24"/>
          <w:szCs w:val="24"/>
          <w:lang w:val="en"/>
        </w:rPr>
      </w:pPr>
      <w:r w:rsidRPr="00015208">
        <w:rPr>
          <w:rFonts w:ascii="Times New Roman" w:hAnsi="Times New Roman"/>
          <w:color w:val="4A4A4A"/>
          <w:sz w:val="24"/>
          <w:szCs w:val="24"/>
          <w:lang w:val="en"/>
        </w:rPr>
        <w:lastRenderedPageBreak/>
        <w:t xml:space="preserve">On March 27, 2018, in </w:t>
      </w:r>
      <w:r w:rsidRPr="00015208">
        <w:rPr>
          <w:rFonts w:ascii="Times New Roman" w:hAnsi="Times New Roman"/>
          <w:color w:val="4A4A4A"/>
          <w:sz w:val="24"/>
          <w:szCs w:val="24"/>
          <w:u w:val="single"/>
          <w:lang w:val="en"/>
        </w:rPr>
        <w:t xml:space="preserve">Shelton </w:t>
      </w:r>
      <w:proofErr w:type="spellStart"/>
      <w:r w:rsidRPr="00015208">
        <w:rPr>
          <w:rFonts w:ascii="Times New Roman" w:hAnsi="Times New Roman"/>
          <w:color w:val="4A4A4A"/>
          <w:sz w:val="24"/>
          <w:szCs w:val="24"/>
          <w:u w:val="single"/>
          <w:lang w:val="en"/>
        </w:rPr>
        <w:t>Denoria</w:t>
      </w:r>
      <w:proofErr w:type="spellEnd"/>
      <w:r w:rsidRPr="00015208">
        <w:rPr>
          <w:rFonts w:ascii="Times New Roman" w:hAnsi="Times New Roman"/>
          <w:color w:val="4A4A4A"/>
          <w:sz w:val="24"/>
          <w:szCs w:val="24"/>
          <w:u w:val="single"/>
          <w:lang w:val="en"/>
        </w:rPr>
        <w:t xml:space="preserve"> Jones v. Lorie Davis, Director, Texas Department of Criminal Justice</w:t>
      </w:r>
      <w:r w:rsidRPr="00015208">
        <w:rPr>
          <w:rFonts w:ascii="Times New Roman" w:hAnsi="Times New Roman"/>
          <w:color w:val="4A4A4A"/>
          <w:sz w:val="24"/>
          <w:szCs w:val="24"/>
          <w:lang w:val="en"/>
        </w:rPr>
        <w:t>, the U.S. Court of Appeals for 5</w:t>
      </w:r>
      <w:r w:rsidRPr="00015208">
        <w:rPr>
          <w:rFonts w:ascii="Times New Roman" w:hAnsi="Times New Roman"/>
          <w:color w:val="4A4A4A"/>
          <w:sz w:val="24"/>
          <w:szCs w:val="24"/>
          <w:vertAlign w:val="superscript"/>
          <w:lang w:val="en"/>
        </w:rPr>
        <w:t>th</w:t>
      </w:r>
      <w:r w:rsidRPr="00015208">
        <w:rPr>
          <w:rFonts w:ascii="Times New Roman" w:hAnsi="Times New Roman"/>
          <w:color w:val="4A4A4A"/>
          <w:sz w:val="24"/>
          <w:szCs w:val="24"/>
          <w:lang w:val="en"/>
        </w:rPr>
        <w:t xml:space="preserve"> Circuit, held (3 to 0) that the defendant was not deprived of a fair trial in state court: </w:t>
      </w:r>
    </w:p>
    <w:p w14:paraId="3B96F0F7" w14:textId="54B9FF0F" w:rsidR="00F326E5" w:rsidRPr="00015208" w:rsidRDefault="00F326E5" w:rsidP="00637A12">
      <w:pPr>
        <w:ind w:left="720"/>
        <w:rPr>
          <w:rFonts w:ascii="Times New Roman" w:hAnsi="Times New Roman"/>
          <w:color w:val="4A4A4A"/>
          <w:sz w:val="24"/>
          <w:szCs w:val="24"/>
          <w:lang w:val="en"/>
        </w:rPr>
      </w:pPr>
      <w:r w:rsidRPr="00015208">
        <w:rPr>
          <w:rFonts w:ascii="Times New Roman" w:hAnsi="Times New Roman"/>
          <w:color w:val="4A4A4A"/>
          <w:sz w:val="24"/>
          <w:szCs w:val="24"/>
          <w:lang w:val="en"/>
        </w:rPr>
        <w:t>“</w:t>
      </w:r>
      <w:proofErr w:type="gramStart"/>
      <w:r w:rsidRPr="00015208">
        <w:rPr>
          <w:rFonts w:ascii="Times New Roman" w:hAnsi="Times New Roman"/>
          <w:color w:val="4A4A4A"/>
          <w:sz w:val="24"/>
          <w:szCs w:val="24"/>
          <w:lang w:val="en"/>
        </w:rPr>
        <w:t>the</w:t>
      </w:r>
      <w:proofErr w:type="gramEnd"/>
      <w:r w:rsidRPr="00015208">
        <w:rPr>
          <w:rFonts w:ascii="Times New Roman" w:hAnsi="Times New Roman"/>
          <w:color w:val="4A4A4A"/>
          <w:sz w:val="24"/>
          <w:szCs w:val="24"/>
          <w:lang w:val="en"/>
        </w:rPr>
        <w:t xml:space="preserve"> record before us does not suggest the police presence intimidated the jury or disrupted the factfinding process in any way.” </w:t>
      </w:r>
      <w:hyperlink r:id="rId380" w:history="1">
        <w:r w:rsidRPr="00015208">
          <w:rPr>
            <w:rStyle w:val="Hyperlink"/>
            <w:rFonts w:ascii="Times New Roman" w:hAnsi="Times New Roman"/>
            <w:sz w:val="24"/>
            <w:szCs w:val="24"/>
            <w:lang w:val="en"/>
          </w:rPr>
          <w:t>file:///C:/Users/lawre/AppData/Local/Microsoft/Windows/INetCache/IE/XO250S7T/15-70040-CV0.pdf</w:t>
        </w:r>
      </w:hyperlink>
      <w:r w:rsidRPr="00015208">
        <w:rPr>
          <w:rFonts w:ascii="Times New Roman" w:hAnsi="Times New Roman"/>
          <w:color w:val="4A4A4A"/>
          <w:sz w:val="24"/>
          <w:szCs w:val="24"/>
          <w:lang w:val="en"/>
        </w:rPr>
        <w:t xml:space="preserve"> </w:t>
      </w:r>
    </w:p>
    <w:p w14:paraId="28A6FA17" w14:textId="77777777" w:rsidR="00F326E5" w:rsidRPr="00637A12" w:rsidRDefault="00F326E5" w:rsidP="00637A12">
      <w:pPr>
        <w:pStyle w:val="NoSpacing"/>
        <w:rPr>
          <w:rFonts w:ascii="Times New Roman" w:hAnsi="Times New Roman"/>
          <w:b/>
          <w:bCs/>
          <w:sz w:val="24"/>
          <w:szCs w:val="24"/>
          <w:lang w:val="en"/>
        </w:rPr>
      </w:pPr>
      <w:r w:rsidRPr="00637A12">
        <w:rPr>
          <w:rFonts w:ascii="Times New Roman" w:hAnsi="Times New Roman"/>
          <w:b/>
          <w:bCs/>
          <w:sz w:val="24"/>
          <w:szCs w:val="24"/>
          <w:lang w:val="en"/>
        </w:rPr>
        <w:t xml:space="preserve">LEGAL LESSONS LEARNED:  Helpful decision – no evidence of jury intimidation by having emergency responders in uniform, watching a jury trial.  Before showing up in uniform, please discuss with your Chief and the prosecutor, who may want to review with trial judge, prior to start of trial. </w:t>
      </w:r>
    </w:p>
    <w:bookmarkEnd w:id="89"/>
    <w:p w14:paraId="71B3B905" w14:textId="13F9FF68" w:rsidR="00791CA3" w:rsidRDefault="00791CA3" w:rsidP="00F326E5">
      <w:pPr>
        <w:rPr>
          <w:rFonts w:ascii="Arial Black" w:hAnsi="Arial Black"/>
          <w:sz w:val="24"/>
          <w:szCs w:val="24"/>
        </w:rPr>
      </w:pPr>
    </w:p>
    <w:p w14:paraId="78C80069" w14:textId="77777777" w:rsidR="00637A12" w:rsidRPr="00791CA3" w:rsidRDefault="00637A12" w:rsidP="00F326E5">
      <w:pPr>
        <w:rPr>
          <w:rFonts w:ascii="Arial Black" w:hAnsi="Arial Black"/>
          <w:sz w:val="24"/>
          <w:szCs w:val="24"/>
        </w:rPr>
      </w:pPr>
    </w:p>
    <w:p w14:paraId="28D50D56" w14:textId="26D5C357" w:rsidR="00F326E5" w:rsidRPr="00791CA3" w:rsidRDefault="00791CA3" w:rsidP="00F326E5">
      <w:pPr>
        <w:rPr>
          <w:rFonts w:ascii="Arial Black" w:hAnsi="Arial Black"/>
          <w:sz w:val="24"/>
          <w:szCs w:val="24"/>
        </w:rPr>
      </w:pPr>
      <w:r w:rsidRPr="00791CA3">
        <w:rPr>
          <w:rFonts w:ascii="Arial Black" w:hAnsi="Arial Black"/>
          <w:sz w:val="24"/>
          <w:szCs w:val="24"/>
        </w:rPr>
        <w:t>1-1</w:t>
      </w:r>
    </w:p>
    <w:p w14:paraId="106D72F0" w14:textId="6B65BFDD" w:rsidR="00F326E5" w:rsidRPr="00586D43" w:rsidRDefault="00F326E5" w:rsidP="00F326E5">
      <w:pPr>
        <w:pStyle w:val="NoSpacing"/>
        <w:rPr>
          <w:sz w:val="24"/>
          <w:szCs w:val="24"/>
        </w:rPr>
      </w:pPr>
      <w:bookmarkStart w:id="90" w:name="_Hlk7340446"/>
      <w:r w:rsidRPr="009213BD">
        <w:rPr>
          <w:rFonts w:ascii="Arial Black" w:hAnsi="Arial Black" w:cs="Arial"/>
          <w:sz w:val="28"/>
          <w:szCs w:val="28"/>
        </w:rPr>
        <w:t xml:space="preserve">IL: DEPUTY FIRE CHIEF FIRED </w:t>
      </w:r>
      <w:r>
        <w:rPr>
          <w:rFonts w:ascii="Arial Black" w:hAnsi="Arial Black" w:cs="Arial"/>
          <w:sz w:val="28"/>
          <w:szCs w:val="28"/>
        </w:rPr>
        <w:t xml:space="preserve">- </w:t>
      </w:r>
      <w:r w:rsidRPr="009213BD">
        <w:rPr>
          <w:rFonts w:ascii="Arial Black" w:hAnsi="Arial Black" w:cs="Arial"/>
          <w:sz w:val="28"/>
          <w:szCs w:val="28"/>
        </w:rPr>
        <w:t xml:space="preserve">WARNED ABOUT “POLITICAL COMMENTARY” ON FACEBOOK </w:t>
      </w:r>
      <w:r w:rsidRPr="00586D43">
        <w:rPr>
          <w:sz w:val="24"/>
          <w:szCs w:val="24"/>
        </w:rPr>
        <w:t>[also filed, Chap. 16]</w:t>
      </w:r>
    </w:p>
    <w:p w14:paraId="142B050B" w14:textId="77777777" w:rsidR="00637A12" w:rsidRDefault="00F326E5" w:rsidP="00F326E5">
      <w:pPr>
        <w:pStyle w:val="NoSpacing"/>
        <w:rPr>
          <w:rFonts w:ascii="Times New Roman" w:hAnsi="Times New Roman"/>
          <w:sz w:val="24"/>
          <w:szCs w:val="24"/>
        </w:rPr>
      </w:pPr>
      <w:r w:rsidRPr="00015208">
        <w:rPr>
          <w:rFonts w:ascii="Times New Roman" w:hAnsi="Times New Roman"/>
          <w:sz w:val="24"/>
          <w:szCs w:val="24"/>
        </w:rPr>
        <w:t xml:space="preserve">On Jan. 11, 2018, in Richard Banske v. City of Calumet City, U.S. District Court, Northern District of Illinois (Case No. 17C5263), Judge Harry D. </w:t>
      </w:r>
      <w:proofErr w:type="spellStart"/>
      <w:r w:rsidRPr="00015208">
        <w:rPr>
          <w:rFonts w:ascii="Times New Roman" w:hAnsi="Times New Roman"/>
          <w:sz w:val="24"/>
          <w:szCs w:val="24"/>
        </w:rPr>
        <w:t>Leinenweber</w:t>
      </w:r>
      <w:proofErr w:type="spellEnd"/>
      <w:r w:rsidRPr="00015208">
        <w:rPr>
          <w:rFonts w:ascii="Times New Roman" w:hAnsi="Times New Roman"/>
          <w:sz w:val="24"/>
          <w:szCs w:val="24"/>
        </w:rPr>
        <w:t xml:space="preserve"> granted City’s motion to dismiss. </w:t>
      </w:r>
    </w:p>
    <w:p w14:paraId="66957803" w14:textId="77777777" w:rsidR="00637A12" w:rsidRDefault="00637A12" w:rsidP="00F326E5">
      <w:pPr>
        <w:pStyle w:val="NoSpacing"/>
        <w:rPr>
          <w:rFonts w:ascii="Times New Roman" w:hAnsi="Times New Roman"/>
          <w:sz w:val="24"/>
          <w:szCs w:val="24"/>
        </w:rPr>
      </w:pPr>
    </w:p>
    <w:p w14:paraId="51DF1ABB" w14:textId="516D3BA1" w:rsidR="00F326E5" w:rsidRPr="00015208" w:rsidRDefault="00F326E5" w:rsidP="00637A12">
      <w:pPr>
        <w:pStyle w:val="NoSpacing"/>
        <w:ind w:left="720"/>
        <w:rPr>
          <w:rFonts w:ascii="Times New Roman" w:hAnsi="Times New Roman"/>
          <w:sz w:val="24"/>
          <w:szCs w:val="24"/>
        </w:rPr>
      </w:pPr>
      <w:r w:rsidRPr="00015208">
        <w:rPr>
          <w:rFonts w:ascii="Times New Roman" w:hAnsi="Times New Roman"/>
          <w:sz w:val="24"/>
          <w:szCs w:val="24"/>
        </w:rPr>
        <w:t xml:space="preserve">“[A] policymaking employee may be discharged ‘when that individual has engaged in speech on a matter of public concern in a manner that is critical of superiors or their stated </w:t>
      </w:r>
      <w:proofErr w:type="spellStart"/>
      <w:r w:rsidRPr="00015208">
        <w:rPr>
          <w:rFonts w:ascii="Times New Roman" w:hAnsi="Times New Roman"/>
          <w:sz w:val="24"/>
          <w:szCs w:val="24"/>
        </w:rPr>
        <w:t>policies.’Hagan</w:t>
      </w:r>
      <w:proofErr w:type="spellEnd"/>
      <w:r w:rsidRPr="00015208">
        <w:rPr>
          <w:rFonts w:ascii="Times New Roman" w:hAnsi="Times New Roman"/>
          <w:sz w:val="24"/>
          <w:szCs w:val="24"/>
        </w:rPr>
        <w:t xml:space="preserve">, 867 F.3d at 826 (quoting Kiddy-Brown v. Blagojevich, 408 F.3d 346, 358 (7th Cir. 2005)). *** Without well pled factual allegations, the Court is left to guess whether </w:t>
      </w:r>
      <w:proofErr w:type="spellStart"/>
      <w:r w:rsidRPr="00015208">
        <w:rPr>
          <w:rFonts w:ascii="Times New Roman" w:hAnsi="Times New Roman"/>
          <w:sz w:val="24"/>
          <w:szCs w:val="24"/>
        </w:rPr>
        <w:t>Banske's</w:t>
      </w:r>
      <w:proofErr w:type="spellEnd"/>
      <w:r w:rsidRPr="00015208">
        <w:rPr>
          <w:rFonts w:ascii="Times New Roman" w:hAnsi="Times New Roman"/>
          <w:sz w:val="24"/>
          <w:szCs w:val="24"/>
        </w:rPr>
        <w:t xml:space="preserve"> at-issue speech touches upon a subject of public concern. This the Court will not do. The Complaint fails to establish that </w:t>
      </w:r>
      <w:proofErr w:type="spellStart"/>
      <w:r w:rsidRPr="00015208">
        <w:rPr>
          <w:rFonts w:ascii="Times New Roman" w:hAnsi="Times New Roman"/>
          <w:sz w:val="24"/>
          <w:szCs w:val="24"/>
        </w:rPr>
        <w:t>Banske</w:t>
      </w:r>
      <w:proofErr w:type="spellEnd"/>
      <w:r w:rsidRPr="00015208">
        <w:rPr>
          <w:rFonts w:ascii="Times New Roman" w:hAnsi="Times New Roman"/>
          <w:sz w:val="24"/>
          <w:szCs w:val="24"/>
        </w:rPr>
        <w:t xml:space="preserve"> engaged in constitutionally protected speech, so it fails to state a claim upon which relief may be granted.” </w:t>
      </w:r>
    </w:p>
    <w:p w14:paraId="771164F4" w14:textId="32F50D58" w:rsidR="00F326E5" w:rsidRDefault="00637A12" w:rsidP="00637A12">
      <w:pPr>
        <w:pStyle w:val="NoSpacing"/>
        <w:ind w:firstLine="720"/>
        <w:rPr>
          <w:rFonts w:ascii="Times New Roman" w:hAnsi="Times New Roman"/>
          <w:sz w:val="24"/>
          <w:szCs w:val="24"/>
        </w:rPr>
      </w:pPr>
      <w:hyperlink r:id="rId381" w:history="1">
        <w:r w:rsidRPr="002F304C">
          <w:rPr>
            <w:rStyle w:val="Hyperlink"/>
            <w:rFonts w:ascii="Times New Roman" w:hAnsi="Times New Roman"/>
            <w:sz w:val="24"/>
            <w:szCs w:val="24"/>
          </w:rPr>
          <w:t>https://casetext.com/case/banske-v-city-of-calumet-city</w:t>
        </w:r>
      </w:hyperlink>
      <w:r w:rsidR="00F326E5" w:rsidRPr="00015208">
        <w:rPr>
          <w:rFonts w:ascii="Times New Roman" w:hAnsi="Times New Roman"/>
          <w:sz w:val="24"/>
          <w:szCs w:val="24"/>
        </w:rPr>
        <w:t xml:space="preserve"> </w:t>
      </w:r>
    </w:p>
    <w:p w14:paraId="7E0DB95D" w14:textId="77777777" w:rsidR="00637A12" w:rsidRPr="00015208" w:rsidRDefault="00637A12" w:rsidP="00637A12">
      <w:pPr>
        <w:pStyle w:val="NoSpacing"/>
        <w:ind w:firstLine="720"/>
        <w:rPr>
          <w:rFonts w:ascii="Times New Roman" w:hAnsi="Times New Roman"/>
          <w:sz w:val="24"/>
          <w:szCs w:val="24"/>
        </w:rPr>
      </w:pPr>
    </w:p>
    <w:p w14:paraId="715AC97E" w14:textId="77777777" w:rsidR="00F326E5" w:rsidRPr="00015208" w:rsidRDefault="00F326E5" w:rsidP="00F326E5">
      <w:pPr>
        <w:rPr>
          <w:rFonts w:ascii="Times New Roman" w:eastAsia="Times New Roman" w:hAnsi="Times New Roman"/>
          <w:sz w:val="24"/>
          <w:szCs w:val="24"/>
        </w:rPr>
      </w:pPr>
      <w:r w:rsidRPr="00015208">
        <w:rPr>
          <w:rFonts w:ascii="Times New Roman" w:eastAsia="Times New Roman" w:hAnsi="Times New Roman"/>
          <w:b/>
          <w:sz w:val="24"/>
          <w:szCs w:val="24"/>
        </w:rPr>
        <w:t>Legal Lessons Learned: Fire, EMS, police and other public employees have only limited First Amendment rights under the “balancing test” of U.S. Supreme Court’s decision in Pickering v. Board of Education, 391 U.S. 563 (1968).</w:t>
      </w:r>
    </w:p>
    <w:p w14:paraId="42F0D37F" w14:textId="77777777" w:rsidR="00F326E5" w:rsidRPr="00015208" w:rsidRDefault="00F326E5" w:rsidP="00F326E5">
      <w:pPr>
        <w:ind w:left="720"/>
        <w:rPr>
          <w:rFonts w:ascii="Times New Roman" w:hAnsi="Times New Roman"/>
          <w:sz w:val="24"/>
          <w:szCs w:val="24"/>
        </w:rPr>
      </w:pPr>
      <w:r w:rsidRPr="00015208">
        <w:rPr>
          <w:rFonts w:ascii="Times New Roman" w:eastAsia="Times New Roman" w:hAnsi="Times New Roman"/>
          <w:sz w:val="24"/>
          <w:szCs w:val="24"/>
        </w:rPr>
        <w:t xml:space="preserve">Pickering decision:  “Appellant Marvin L. Pickering, a teacher in Township High School District 205, Will County, Illinois, was dismissed from his position by the appellee Board of Education for sending a letter to a local newspaper in connection with a recently proposed tax increase that was critical of the way in which the Board and the district superintendent of schools had handled past proposals to raise new revenue for the schools. *** In sum, we hold that, in a case such as this, absent proof of false statements knowingly or recklessly made by him, a teacher's exercise of his right to speak on issues of public importance may not furnish the basis for his dismissal from public employment. *** Footnote 3: It is possible to conceive of some positions in public employment in which the need for confidentiality is so great that even completely correct public statements might furnish a permissible ground for dismissal.” </w:t>
      </w:r>
      <w:hyperlink r:id="rId382" w:history="1">
        <w:r w:rsidRPr="00015208">
          <w:rPr>
            <w:rStyle w:val="Hyperlink"/>
            <w:rFonts w:ascii="Times New Roman" w:hAnsi="Times New Roman"/>
            <w:sz w:val="24"/>
            <w:szCs w:val="24"/>
          </w:rPr>
          <w:t>https://supreme.justia.com/cases/federal/us/391/563/</w:t>
        </w:r>
      </w:hyperlink>
      <w:r w:rsidRPr="00015208">
        <w:rPr>
          <w:rFonts w:ascii="Times New Roman" w:eastAsia="Times New Roman" w:hAnsi="Times New Roman"/>
          <w:sz w:val="24"/>
          <w:szCs w:val="24"/>
        </w:rPr>
        <w:t xml:space="preserve"> </w:t>
      </w:r>
    </w:p>
    <w:p w14:paraId="2BEE7831" w14:textId="77777777" w:rsidR="00F326E5" w:rsidRDefault="00F326E5" w:rsidP="00F326E5">
      <w:pPr>
        <w:rPr>
          <w:rFonts w:ascii="Times New Roman" w:hAnsi="Times New Roman"/>
          <w:sz w:val="24"/>
          <w:szCs w:val="24"/>
        </w:rPr>
      </w:pPr>
    </w:p>
    <w:bookmarkEnd w:id="90"/>
    <w:p w14:paraId="7685CD75" w14:textId="77777777" w:rsidR="00F326E5" w:rsidRDefault="00F326E5" w:rsidP="00F326E5">
      <w:pPr>
        <w:rPr>
          <w:rFonts w:ascii="Arial Black" w:hAnsi="Arial Black"/>
          <w:sz w:val="40"/>
          <w:szCs w:val="40"/>
        </w:rPr>
      </w:pPr>
      <w:r>
        <w:rPr>
          <w:rFonts w:ascii="Arial Black" w:hAnsi="Arial Black"/>
          <w:sz w:val="40"/>
          <w:szCs w:val="40"/>
        </w:rPr>
        <w:br w:type="page"/>
      </w:r>
    </w:p>
    <w:p w14:paraId="062803A9" w14:textId="77777777" w:rsidR="00F326E5" w:rsidRDefault="00F326E5" w:rsidP="00F326E5">
      <w:pPr>
        <w:pStyle w:val="NoSpacing"/>
        <w:rPr>
          <w:rFonts w:ascii="Arial Black" w:hAnsi="Arial Black"/>
          <w:sz w:val="40"/>
          <w:szCs w:val="40"/>
        </w:rPr>
      </w:pPr>
    </w:p>
    <w:p w14:paraId="3F43366F" w14:textId="77777777" w:rsidR="008229A3" w:rsidRDefault="008229A3" w:rsidP="00F326E5">
      <w:pPr>
        <w:pStyle w:val="NoSpacing"/>
        <w:rPr>
          <w:rFonts w:ascii="Arial Black" w:hAnsi="Arial Black"/>
          <w:sz w:val="40"/>
          <w:szCs w:val="40"/>
        </w:rPr>
      </w:pPr>
    </w:p>
    <w:p w14:paraId="6933962B" w14:textId="77777777" w:rsidR="008229A3" w:rsidRDefault="008229A3" w:rsidP="00F326E5">
      <w:pPr>
        <w:pStyle w:val="NoSpacing"/>
        <w:rPr>
          <w:rFonts w:ascii="Arial Black" w:hAnsi="Arial Black"/>
          <w:sz w:val="40"/>
          <w:szCs w:val="40"/>
        </w:rPr>
      </w:pPr>
    </w:p>
    <w:p w14:paraId="6D470310" w14:textId="77777777" w:rsidR="008229A3" w:rsidRDefault="008229A3" w:rsidP="00F326E5">
      <w:pPr>
        <w:pStyle w:val="NoSpacing"/>
        <w:rPr>
          <w:rFonts w:ascii="Arial Black" w:hAnsi="Arial Black"/>
          <w:sz w:val="40"/>
          <w:szCs w:val="40"/>
        </w:rPr>
      </w:pPr>
    </w:p>
    <w:p w14:paraId="2E746334" w14:textId="77777777" w:rsidR="008229A3" w:rsidRDefault="008229A3" w:rsidP="00F326E5">
      <w:pPr>
        <w:pStyle w:val="NoSpacing"/>
        <w:rPr>
          <w:rFonts w:ascii="Arial Black" w:hAnsi="Arial Black"/>
          <w:sz w:val="40"/>
          <w:szCs w:val="40"/>
        </w:rPr>
      </w:pPr>
    </w:p>
    <w:p w14:paraId="4359DF0C" w14:textId="77777777" w:rsidR="008229A3" w:rsidRDefault="008229A3" w:rsidP="00F326E5">
      <w:pPr>
        <w:pStyle w:val="NoSpacing"/>
        <w:rPr>
          <w:rFonts w:ascii="Arial Black" w:hAnsi="Arial Black"/>
          <w:sz w:val="40"/>
          <w:szCs w:val="40"/>
        </w:rPr>
      </w:pPr>
    </w:p>
    <w:p w14:paraId="39EA27EE" w14:textId="77777777" w:rsidR="008229A3" w:rsidRDefault="008229A3" w:rsidP="00F326E5">
      <w:pPr>
        <w:pStyle w:val="NoSpacing"/>
        <w:rPr>
          <w:rFonts w:ascii="Arial Black" w:hAnsi="Arial Black"/>
          <w:sz w:val="40"/>
          <w:szCs w:val="40"/>
        </w:rPr>
      </w:pPr>
    </w:p>
    <w:p w14:paraId="1FDA0FD0" w14:textId="77777777" w:rsidR="008229A3" w:rsidRDefault="008229A3" w:rsidP="00F326E5">
      <w:pPr>
        <w:pStyle w:val="NoSpacing"/>
        <w:rPr>
          <w:rFonts w:ascii="Arial Black" w:hAnsi="Arial Black"/>
          <w:sz w:val="40"/>
          <w:szCs w:val="40"/>
        </w:rPr>
      </w:pPr>
    </w:p>
    <w:p w14:paraId="2D1EFE48" w14:textId="77777777" w:rsidR="008229A3" w:rsidRDefault="008229A3" w:rsidP="00F326E5">
      <w:pPr>
        <w:pStyle w:val="NoSpacing"/>
        <w:rPr>
          <w:rFonts w:ascii="Arial Black" w:hAnsi="Arial Black"/>
          <w:sz w:val="40"/>
          <w:szCs w:val="40"/>
        </w:rPr>
      </w:pPr>
    </w:p>
    <w:p w14:paraId="42BA7122" w14:textId="77777777" w:rsidR="008229A3" w:rsidRDefault="008229A3" w:rsidP="00F326E5">
      <w:pPr>
        <w:pStyle w:val="NoSpacing"/>
        <w:rPr>
          <w:rFonts w:ascii="Arial Black" w:hAnsi="Arial Black"/>
          <w:sz w:val="40"/>
          <w:szCs w:val="40"/>
        </w:rPr>
      </w:pPr>
    </w:p>
    <w:p w14:paraId="71DC3D69" w14:textId="77777777" w:rsidR="008229A3" w:rsidRDefault="008229A3" w:rsidP="00F326E5">
      <w:pPr>
        <w:pStyle w:val="NoSpacing"/>
        <w:rPr>
          <w:rFonts w:ascii="Arial Black" w:hAnsi="Arial Black"/>
          <w:sz w:val="40"/>
          <w:szCs w:val="40"/>
        </w:rPr>
      </w:pPr>
    </w:p>
    <w:p w14:paraId="3AC07525" w14:textId="77777777" w:rsidR="008229A3" w:rsidRDefault="008229A3" w:rsidP="00F326E5">
      <w:pPr>
        <w:pStyle w:val="NoSpacing"/>
        <w:rPr>
          <w:rFonts w:ascii="Arial Black" w:hAnsi="Arial Black"/>
          <w:sz w:val="40"/>
          <w:szCs w:val="40"/>
        </w:rPr>
      </w:pPr>
    </w:p>
    <w:p w14:paraId="2E60C868" w14:textId="77777777" w:rsidR="008229A3" w:rsidRDefault="008229A3" w:rsidP="00F326E5">
      <w:pPr>
        <w:pStyle w:val="NoSpacing"/>
        <w:rPr>
          <w:rFonts w:ascii="Arial Black" w:hAnsi="Arial Black"/>
          <w:sz w:val="40"/>
          <w:szCs w:val="40"/>
        </w:rPr>
      </w:pPr>
    </w:p>
    <w:p w14:paraId="417B6D3D" w14:textId="77777777" w:rsidR="008229A3" w:rsidRDefault="008229A3" w:rsidP="00F326E5">
      <w:pPr>
        <w:pStyle w:val="NoSpacing"/>
        <w:rPr>
          <w:rFonts w:ascii="Arial Black" w:hAnsi="Arial Black"/>
          <w:sz w:val="40"/>
          <w:szCs w:val="40"/>
        </w:rPr>
      </w:pPr>
    </w:p>
    <w:p w14:paraId="0FF4E5A3" w14:textId="77777777" w:rsidR="008229A3" w:rsidRDefault="008229A3" w:rsidP="00F326E5">
      <w:pPr>
        <w:pStyle w:val="NoSpacing"/>
        <w:rPr>
          <w:rFonts w:ascii="Arial Black" w:hAnsi="Arial Black"/>
          <w:sz w:val="40"/>
          <w:szCs w:val="40"/>
        </w:rPr>
      </w:pPr>
    </w:p>
    <w:p w14:paraId="2821B778" w14:textId="77777777" w:rsidR="008229A3" w:rsidRDefault="008229A3" w:rsidP="00F326E5">
      <w:pPr>
        <w:pStyle w:val="NoSpacing"/>
        <w:rPr>
          <w:rFonts w:ascii="Arial Black" w:hAnsi="Arial Black"/>
          <w:sz w:val="40"/>
          <w:szCs w:val="40"/>
        </w:rPr>
      </w:pPr>
    </w:p>
    <w:p w14:paraId="74C54F0F" w14:textId="77777777" w:rsidR="008229A3" w:rsidRDefault="008229A3" w:rsidP="00F326E5">
      <w:pPr>
        <w:pStyle w:val="NoSpacing"/>
        <w:rPr>
          <w:rFonts w:ascii="Arial Black" w:hAnsi="Arial Black"/>
          <w:sz w:val="40"/>
          <w:szCs w:val="40"/>
        </w:rPr>
      </w:pPr>
    </w:p>
    <w:p w14:paraId="7CE6323E" w14:textId="77777777" w:rsidR="008229A3" w:rsidRDefault="008229A3" w:rsidP="00F326E5">
      <w:pPr>
        <w:pStyle w:val="NoSpacing"/>
        <w:rPr>
          <w:rFonts w:ascii="Arial Black" w:hAnsi="Arial Black"/>
          <w:sz w:val="40"/>
          <w:szCs w:val="40"/>
        </w:rPr>
      </w:pPr>
    </w:p>
    <w:p w14:paraId="140CE813" w14:textId="77777777" w:rsidR="008229A3" w:rsidRDefault="008229A3" w:rsidP="00F326E5">
      <w:pPr>
        <w:pStyle w:val="NoSpacing"/>
        <w:rPr>
          <w:rFonts w:ascii="Arial Black" w:hAnsi="Arial Black"/>
          <w:sz w:val="40"/>
          <w:szCs w:val="40"/>
        </w:rPr>
      </w:pPr>
    </w:p>
    <w:p w14:paraId="1D99EBE7" w14:textId="77777777" w:rsidR="008229A3" w:rsidRDefault="008229A3" w:rsidP="00F326E5">
      <w:pPr>
        <w:pStyle w:val="NoSpacing"/>
        <w:rPr>
          <w:rFonts w:ascii="Arial Black" w:hAnsi="Arial Black"/>
          <w:sz w:val="40"/>
          <w:szCs w:val="40"/>
        </w:rPr>
      </w:pPr>
    </w:p>
    <w:p w14:paraId="37CD374D" w14:textId="77777777" w:rsidR="008229A3" w:rsidRDefault="008229A3" w:rsidP="00F326E5">
      <w:pPr>
        <w:pStyle w:val="NoSpacing"/>
        <w:rPr>
          <w:rFonts w:ascii="Arial Black" w:hAnsi="Arial Black"/>
          <w:sz w:val="40"/>
          <w:szCs w:val="40"/>
        </w:rPr>
      </w:pPr>
    </w:p>
    <w:p w14:paraId="6D413A0D" w14:textId="77777777" w:rsidR="008229A3" w:rsidRDefault="008229A3" w:rsidP="00F326E5">
      <w:pPr>
        <w:pStyle w:val="NoSpacing"/>
        <w:rPr>
          <w:rFonts w:ascii="Arial Black" w:hAnsi="Arial Black"/>
          <w:sz w:val="40"/>
          <w:szCs w:val="40"/>
        </w:rPr>
      </w:pPr>
    </w:p>
    <w:p w14:paraId="59E6D40F" w14:textId="77777777" w:rsidR="008229A3" w:rsidRDefault="008229A3" w:rsidP="00F326E5">
      <w:pPr>
        <w:pStyle w:val="NoSpacing"/>
        <w:rPr>
          <w:rFonts w:ascii="Arial Black" w:hAnsi="Arial Black"/>
          <w:sz w:val="40"/>
          <w:szCs w:val="40"/>
        </w:rPr>
      </w:pPr>
    </w:p>
    <w:p w14:paraId="5AB6E9CB" w14:textId="77777777" w:rsidR="008229A3" w:rsidRDefault="008229A3" w:rsidP="00F326E5">
      <w:pPr>
        <w:pStyle w:val="NoSpacing"/>
        <w:rPr>
          <w:rFonts w:ascii="Arial Black" w:hAnsi="Arial Black"/>
          <w:sz w:val="40"/>
          <w:szCs w:val="40"/>
        </w:rPr>
      </w:pPr>
    </w:p>
    <w:p w14:paraId="03DA6A37" w14:textId="77777777" w:rsidR="008229A3" w:rsidRDefault="008229A3" w:rsidP="00F326E5">
      <w:pPr>
        <w:pStyle w:val="NoSpacing"/>
        <w:rPr>
          <w:rFonts w:ascii="Arial Black" w:hAnsi="Arial Black"/>
          <w:sz w:val="40"/>
          <w:szCs w:val="40"/>
        </w:rPr>
      </w:pPr>
    </w:p>
    <w:p w14:paraId="6AF718E6" w14:textId="77777777" w:rsidR="008229A3" w:rsidRDefault="008229A3" w:rsidP="00F326E5">
      <w:pPr>
        <w:pStyle w:val="NoSpacing"/>
        <w:rPr>
          <w:rFonts w:ascii="Arial Black" w:hAnsi="Arial Black"/>
          <w:sz w:val="40"/>
          <w:szCs w:val="40"/>
        </w:rPr>
      </w:pPr>
    </w:p>
    <w:p w14:paraId="48210B23" w14:textId="6D297840" w:rsidR="00F326E5" w:rsidRDefault="00F326E5" w:rsidP="00F326E5">
      <w:pPr>
        <w:pStyle w:val="NoSpacing"/>
        <w:rPr>
          <w:rFonts w:ascii="Arial Black" w:hAnsi="Arial Black"/>
          <w:sz w:val="40"/>
          <w:szCs w:val="40"/>
        </w:rPr>
      </w:pPr>
      <w:r w:rsidRPr="007732FA">
        <w:rPr>
          <w:rFonts w:ascii="Arial Black" w:hAnsi="Arial Black"/>
          <w:sz w:val="40"/>
          <w:szCs w:val="40"/>
        </w:rPr>
        <w:t>Chap. 2</w:t>
      </w:r>
      <w:r w:rsidRPr="007732FA">
        <w:rPr>
          <w:rFonts w:ascii="Arial Black" w:hAnsi="Arial Black"/>
          <w:sz w:val="40"/>
          <w:szCs w:val="40"/>
        </w:rPr>
        <w:tab/>
        <w:t xml:space="preserve">Line </w:t>
      </w:r>
      <w:proofErr w:type="gramStart"/>
      <w:r w:rsidRPr="007732FA">
        <w:rPr>
          <w:rFonts w:ascii="Arial Black" w:hAnsi="Arial Black"/>
          <w:sz w:val="40"/>
          <w:szCs w:val="40"/>
        </w:rPr>
        <w:t>Of</w:t>
      </w:r>
      <w:proofErr w:type="gramEnd"/>
      <w:r w:rsidRPr="007732FA">
        <w:rPr>
          <w:rFonts w:ascii="Arial Black" w:hAnsi="Arial Black"/>
          <w:sz w:val="40"/>
          <w:szCs w:val="40"/>
        </w:rPr>
        <w:t xml:space="preserve"> Duty Death</w:t>
      </w:r>
      <w:r w:rsidR="00636395">
        <w:rPr>
          <w:rFonts w:ascii="Arial Black" w:hAnsi="Arial Black"/>
          <w:sz w:val="40"/>
          <w:szCs w:val="40"/>
        </w:rPr>
        <w:t xml:space="preserve"> / </w:t>
      </w:r>
      <w:r w:rsidRPr="007732FA">
        <w:rPr>
          <w:rFonts w:ascii="Arial Black" w:hAnsi="Arial Black"/>
          <w:sz w:val="40"/>
          <w:szCs w:val="40"/>
        </w:rPr>
        <w:t>Safety</w:t>
      </w:r>
    </w:p>
    <w:p w14:paraId="4E5DB655" w14:textId="0D554EF9" w:rsidR="00C342C1" w:rsidRDefault="00F326E5" w:rsidP="00853142">
      <w:pPr>
        <w:rPr>
          <w:rFonts w:ascii="Times New Roman" w:hAnsi="Times New Roman"/>
          <w:sz w:val="24"/>
          <w:szCs w:val="24"/>
        </w:rPr>
      </w:pPr>
      <w:r>
        <w:rPr>
          <w:rFonts w:ascii="Times New Roman" w:hAnsi="Times New Roman"/>
          <w:sz w:val="24"/>
          <w:szCs w:val="24"/>
        </w:rPr>
        <w:t xml:space="preserve"> </w:t>
      </w:r>
      <w:bookmarkStart w:id="91" w:name="_Hlk7340594"/>
    </w:p>
    <w:p w14:paraId="6844DAC3" w14:textId="47B41832" w:rsidR="00812F8E" w:rsidRDefault="00812F8E" w:rsidP="00B40D58">
      <w:pPr>
        <w:rPr>
          <w:rFonts w:ascii="Arial Black" w:hAnsi="Arial Black"/>
          <w:sz w:val="24"/>
          <w:szCs w:val="24"/>
        </w:rPr>
      </w:pPr>
      <w:r>
        <w:rPr>
          <w:rFonts w:ascii="Arial Black" w:hAnsi="Arial Black"/>
          <w:sz w:val="24"/>
          <w:szCs w:val="24"/>
        </w:rPr>
        <w:t>2-116</w:t>
      </w:r>
    </w:p>
    <w:p w14:paraId="48A1769F" w14:textId="77777777" w:rsidR="00812F8E" w:rsidRPr="00555863" w:rsidRDefault="00812F8E" w:rsidP="00812F8E">
      <w:pPr>
        <w:pStyle w:val="NoSpacing"/>
        <w:rPr>
          <w:rFonts w:ascii="Arial Black" w:hAnsi="Arial Black"/>
          <w:sz w:val="28"/>
          <w:szCs w:val="28"/>
        </w:rPr>
      </w:pPr>
      <w:r>
        <w:rPr>
          <w:rFonts w:ascii="Arial Black" w:hAnsi="Arial Black"/>
          <w:sz w:val="28"/>
          <w:szCs w:val="28"/>
        </w:rPr>
        <w:t xml:space="preserve">AZ: DEATH BENEFITS - WILDLAND FF PREP TO DEPLOY  </w:t>
      </w:r>
    </w:p>
    <w:p w14:paraId="75509603" w14:textId="77777777" w:rsidR="00812F8E" w:rsidRDefault="00812F8E" w:rsidP="00812F8E">
      <w:pPr>
        <w:pStyle w:val="NoSpacing"/>
      </w:pPr>
    </w:p>
    <w:p w14:paraId="2F97F2A4" w14:textId="77777777" w:rsidR="00812F8E" w:rsidRPr="007429BD" w:rsidRDefault="00812F8E" w:rsidP="00812F8E">
      <w:pPr>
        <w:pStyle w:val="NoSpacing"/>
        <w:rPr>
          <w:u w:val="single"/>
        </w:rPr>
      </w:pPr>
      <w:r>
        <w:t xml:space="preserve">On July 6, 2026, </w:t>
      </w:r>
      <w:proofErr w:type="gramStart"/>
      <w:r>
        <w:t>in</w:t>
      </w:r>
      <w:proofErr w:type="gramEnd"/>
      <w:r>
        <w:t xml:space="preserve"> </w:t>
      </w:r>
      <w:r w:rsidRPr="007429BD">
        <w:rPr>
          <w:u w:val="single"/>
        </w:rPr>
        <w:t>Adventure Medics LLC, et al v. The Industrial Commission of Arizona</w:t>
      </w:r>
    </w:p>
    <w:p w14:paraId="734459AA" w14:textId="77777777" w:rsidR="00812F8E" w:rsidRDefault="00812F8E" w:rsidP="00812F8E">
      <w:pPr>
        <w:pStyle w:val="NoSpacing"/>
        <w:rPr>
          <w:bCs/>
        </w:rPr>
      </w:pPr>
      <w:r w:rsidRPr="007429BD">
        <w:rPr>
          <w:u w:val="single"/>
        </w:rPr>
        <w:t>; Steven Keller, Decedent</w:t>
      </w:r>
      <w:r>
        <w:t xml:space="preserve">, the </w:t>
      </w:r>
      <w:r w:rsidRPr="007429BD">
        <w:t>Court of Appeals of Arizona, First Division</w:t>
      </w:r>
      <w:r>
        <w:t xml:space="preserve"> held (3 to 0) that the Administrative Law Judge properly determined that the wildland firefighter / paramedic, having just returned from 3-week deployment, and preparing to deploy again in 106-degree day, with heavy lifting and assembling his gear for 3-hours, was a “</w:t>
      </w:r>
      <w:r w:rsidRPr="00EC665C">
        <w:t>substantial contributing cause</w:t>
      </w:r>
      <w:r>
        <w:t xml:space="preserve">” in his heart attack.  </w:t>
      </w:r>
      <w:hyperlink r:id="rId383" w:history="1">
        <w:r w:rsidRPr="004D58FA">
          <w:rPr>
            <w:rStyle w:val="Hyperlink"/>
          </w:rPr>
          <w:t>https://jpr.azcourts.gov/Portals/1/OpinionFiles/Div1/2026/1%20CA-IC%2025-0025%20ADVENTURE%20v.%20KEFFER%20FINAL.pdf?ver=hx0rmccmFEWVVBJi2He9pA%3D%3D</w:t>
        </w:r>
      </w:hyperlink>
      <w:r>
        <w:t xml:space="preserve"> </w:t>
      </w:r>
    </w:p>
    <w:p w14:paraId="2030B1AA" w14:textId="77777777" w:rsidR="00812F8E" w:rsidRDefault="00812F8E" w:rsidP="00812F8E">
      <w:pPr>
        <w:pStyle w:val="NoSpacing"/>
        <w:rPr>
          <w:bCs/>
        </w:rPr>
      </w:pPr>
    </w:p>
    <w:p w14:paraId="071C979C" w14:textId="77777777" w:rsidR="00812F8E" w:rsidRPr="002C26A5" w:rsidRDefault="00812F8E" w:rsidP="00812F8E">
      <w:pPr>
        <w:pStyle w:val="NoSpacing"/>
        <w:rPr>
          <w:b/>
        </w:rPr>
      </w:pPr>
      <w:r>
        <w:t>THE COURT WROTE:</w:t>
      </w:r>
    </w:p>
    <w:p w14:paraId="6EF0EEC5" w14:textId="77777777" w:rsidR="00812F8E" w:rsidRDefault="00812F8E" w:rsidP="00812F8E">
      <w:pPr>
        <w:pStyle w:val="NoSpacing"/>
      </w:pPr>
    </w:p>
    <w:p w14:paraId="2C04F720" w14:textId="77777777" w:rsidR="00812F8E" w:rsidRPr="003528B6" w:rsidRDefault="00812F8E" w:rsidP="00812F8E">
      <w:pPr>
        <w:pStyle w:val="NoSpacing"/>
      </w:pPr>
      <w:r>
        <w:t>“K</w:t>
      </w:r>
      <w:r w:rsidRPr="003528B6">
        <w:t>effer worked seasonally as a firefighter and paramedic for</w:t>
      </w:r>
      <w:r>
        <w:t xml:space="preserve"> </w:t>
      </w:r>
      <w:r w:rsidRPr="003528B6">
        <w:t>Adventure Medics, a company that provides first responders to wildland</w:t>
      </w:r>
      <w:r>
        <w:t xml:space="preserve"> </w:t>
      </w:r>
      <w:r w:rsidRPr="003528B6">
        <w:t>fires. On a 106-degree day in August 2023, Keffer returned home from a</w:t>
      </w:r>
      <w:r>
        <w:t xml:space="preserve"> </w:t>
      </w:r>
      <w:r w:rsidRPr="003528B6">
        <w:t>three-week deployment fighting a wildland fire. Keffer had to prepare</w:t>
      </w:r>
      <w:r>
        <w:t xml:space="preserve"> </w:t>
      </w:r>
      <w:r w:rsidRPr="003528B6">
        <w:t>immediately to redeploy the next day to another fire. He was alone at the</w:t>
      </w:r>
      <w:r>
        <w:t xml:space="preserve"> </w:t>
      </w:r>
      <w:r w:rsidRPr="003528B6">
        <w:t>house, and his wife and teenage children were in another state. He talked</w:t>
      </w:r>
      <w:r>
        <w:t xml:space="preserve"> </w:t>
      </w:r>
      <w:r w:rsidRPr="003528B6">
        <w:t>to his wife on the phone at about 3:00 p.m. and was seen washing his</w:t>
      </w:r>
      <w:r>
        <w:t xml:space="preserve"> </w:t>
      </w:r>
      <w:r w:rsidRPr="003528B6">
        <w:t xml:space="preserve">work truck in his </w:t>
      </w:r>
      <w:proofErr w:type="gramStart"/>
      <w:r w:rsidRPr="003528B6">
        <w:t>driveway</w:t>
      </w:r>
      <w:proofErr w:type="gramEnd"/>
      <w:r w:rsidRPr="003528B6">
        <w:t xml:space="preserve"> about 3:30 p.m. He sent a text message to a</w:t>
      </w:r>
    </w:p>
    <w:p w14:paraId="55894E55" w14:textId="77777777" w:rsidR="00812F8E" w:rsidRPr="003528B6" w:rsidRDefault="00812F8E" w:rsidP="00812F8E">
      <w:pPr>
        <w:pStyle w:val="NoSpacing"/>
      </w:pPr>
      <w:r w:rsidRPr="003528B6">
        <w:t>co-worker around 5:30 p.m. which was the last outgoing communication</w:t>
      </w:r>
      <w:r>
        <w:t xml:space="preserve"> </w:t>
      </w:r>
      <w:r w:rsidRPr="003528B6">
        <w:t>on his phone. The next day, the police conducted a welfare check and</w:t>
      </w:r>
      <w:r>
        <w:t xml:space="preserve"> </w:t>
      </w:r>
      <w:r w:rsidRPr="003528B6">
        <w:t>found Keffer dead, lying face down in his bedroom. The coroner</w:t>
      </w:r>
      <w:r>
        <w:t xml:space="preserve"> </w:t>
      </w:r>
      <w:r w:rsidRPr="003528B6">
        <w:t>conducted an autopsy and determined Keffer died of natural causes,</w:t>
      </w:r>
    </w:p>
    <w:p w14:paraId="0F8EE634" w14:textId="77777777" w:rsidR="00812F8E" w:rsidRDefault="00812F8E" w:rsidP="00812F8E">
      <w:pPr>
        <w:pStyle w:val="NoSpacing"/>
      </w:pPr>
      <w:proofErr w:type="gramStart"/>
      <w:r w:rsidRPr="003528B6">
        <w:t>specifically</w:t>
      </w:r>
      <w:proofErr w:type="gramEnd"/>
      <w:r w:rsidRPr="003528B6">
        <w:t xml:space="preserve"> a heart attack.</w:t>
      </w:r>
    </w:p>
    <w:p w14:paraId="78220BC4" w14:textId="77777777" w:rsidR="00812F8E" w:rsidRDefault="00812F8E" w:rsidP="00812F8E">
      <w:pPr>
        <w:pStyle w:val="NoSpacing"/>
      </w:pPr>
    </w:p>
    <w:p w14:paraId="4D2A44DB" w14:textId="77777777" w:rsidR="00812F8E" w:rsidRDefault="00812F8E" w:rsidP="00812F8E">
      <w:pPr>
        <w:pStyle w:val="NoSpacing"/>
      </w:pPr>
      <w:r>
        <w:t>Keffer was 62 years old and in good health, with no reported heart problems or any other health problems. Uncontested evidence showed Keffer's preparation routine consisted of removing, cleaning and checking, and repacking all his equipment from his work truck, including</w:t>
      </w:r>
    </w:p>
    <w:p w14:paraId="69A059B3" w14:textId="77777777" w:rsidR="00812F8E" w:rsidRDefault="00812F8E" w:rsidP="00812F8E">
      <w:pPr>
        <w:pStyle w:val="NoSpacing"/>
      </w:pPr>
      <w:r>
        <w:t xml:space="preserve">both medical and camping equipment. This preparation was done in his garage and driveway. The preparations usually took about three to four hours to complete. Adventure Medics admitted Keffer was on duty when he died….  Dr. Ehrlich, a cardiologist, provided a medical opinion about the relationship between Keffer's employment activities and his heart attack. Dr. Ehrlich testified that Keffer ‘had a heart attack from a ruptured plaque that blocked off his coronary artery’ which caused ‘cardiac arrest.’ He described risk factors that could cause a plaque to rupture such as heavy physical activity and high temperatures. He determined those factors were present on the day Keffer died, stating: ‘[I]t's the perfect setup for a man who has these really easy-to-break plaques to have one break.’ He opined that ‘the activities outside in the heat were what triggered’ the ruptured plaque, saying the rupture was ‘very, very, very probably related to’ what Keffer was doing outside before he went into the house….  The medical examiner, Dr. Hu, also testified. He opined, based on the circumstances in which Keffer's body was found, that the rupture in the artery happened sometime during the day but he could not say exactly when. He acknowledged that heavy lifting and </w:t>
      </w:r>
      <w:proofErr w:type="spellStart"/>
      <w:r>
        <w:t>expos’re</w:t>
      </w:r>
      <w:proofErr w:type="spellEnd"/>
      <w:r>
        <w:t xml:space="preserve"> to heat could have contributed to the heart attack. Dr. Hu testified that he could not say with a "reasonable degree of medical certainty’ that the excess lifting and heat was a substantial contributing cause of the plaque rupture because he did not know Keffer's activity before his death, but these types of activities ‘could be substantial.</w:t>
      </w:r>
    </w:p>
    <w:p w14:paraId="479E278E" w14:textId="77777777" w:rsidR="00812F8E" w:rsidRDefault="00812F8E" w:rsidP="00812F8E">
      <w:pPr>
        <w:pStyle w:val="NoSpacing"/>
      </w:pPr>
    </w:p>
    <w:p w14:paraId="19605246" w14:textId="77777777" w:rsidR="00812F8E" w:rsidRDefault="00812F8E" w:rsidP="00812F8E">
      <w:pPr>
        <w:pStyle w:val="NoSpacing"/>
      </w:pPr>
      <w:r>
        <w:t>***</w:t>
      </w:r>
    </w:p>
    <w:p w14:paraId="1F40F92F" w14:textId="77777777" w:rsidR="00812F8E" w:rsidRDefault="00812F8E" w:rsidP="00812F8E">
      <w:pPr>
        <w:pStyle w:val="NoSpacing"/>
      </w:pPr>
      <w:r>
        <w:t>After reviewing the evidence, the ALJ found Dr. Ehrlich's opinion ‘more probably correct and well-founded’ that the work activities Keffer was performing were a substantial contributing cause of the heart attack and death. He noted the only difference in the opinion of Dr. Hu</w:t>
      </w:r>
    </w:p>
    <w:p w14:paraId="1AA44AEE" w14:textId="77777777" w:rsidR="00812F8E" w:rsidRDefault="00812F8E" w:rsidP="00812F8E">
      <w:pPr>
        <w:pStyle w:val="NoSpacing"/>
      </w:pPr>
      <w:r>
        <w:t xml:space="preserve">was he </w:t>
      </w:r>
      <w:proofErr w:type="gramStart"/>
      <w:r>
        <w:t>was</w:t>
      </w:r>
      <w:proofErr w:type="gramEnd"/>
      <w:r>
        <w:t xml:space="preserve"> less certain than Dr. Ehrlich about causation. The ALJ issued an award finding the claim compensable.”</w:t>
      </w:r>
    </w:p>
    <w:p w14:paraId="2BDB518C" w14:textId="77777777" w:rsidR="00812F8E" w:rsidRDefault="00812F8E" w:rsidP="00812F8E">
      <w:pPr>
        <w:pStyle w:val="NoSpacing"/>
      </w:pPr>
    </w:p>
    <w:p w14:paraId="17D42D78" w14:textId="77777777" w:rsidR="00812F8E" w:rsidRPr="001F1D24" w:rsidRDefault="00812F8E" w:rsidP="00812F8E">
      <w:pPr>
        <w:pStyle w:val="NoSpacing"/>
        <w:rPr>
          <w:b/>
          <w:bCs/>
        </w:rPr>
      </w:pPr>
      <w:r w:rsidRPr="001F1D24">
        <w:rPr>
          <w:b/>
        </w:rPr>
        <w:t xml:space="preserve">Legal lesson learned: </w:t>
      </w:r>
      <w:r>
        <w:rPr>
          <w:b/>
        </w:rPr>
        <w:t xml:space="preserve">Death benefits awarded based on wildland firefighting recent deployment, his pre-deployment heat, heavy lifting. </w:t>
      </w:r>
    </w:p>
    <w:p w14:paraId="41E1249E" w14:textId="77777777" w:rsidR="00812F8E" w:rsidRDefault="00812F8E" w:rsidP="00812F8E">
      <w:pPr>
        <w:pStyle w:val="NoSpacing"/>
        <w:rPr>
          <w:b/>
        </w:rPr>
      </w:pPr>
    </w:p>
    <w:p w14:paraId="75469AEF" w14:textId="77777777" w:rsidR="00812F8E" w:rsidRDefault="00812F8E" w:rsidP="00812F8E">
      <w:pPr>
        <w:pStyle w:val="NoSpacing"/>
        <w:rPr>
          <w:b/>
        </w:rPr>
      </w:pPr>
    </w:p>
    <w:p w14:paraId="30B2C55A" w14:textId="77777777" w:rsidR="00812F8E" w:rsidRDefault="00812F8E" w:rsidP="00812F8E">
      <w:pPr>
        <w:pStyle w:val="NoSpacing"/>
        <w:rPr>
          <w:b/>
        </w:rPr>
      </w:pPr>
    </w:p>
    <w:p w14:paraId="1EFC1AEB" w14:textId="77777777" w:rsidR="00812F8E" w:rsidRDefault="00812F8E" w:rsidP="00B40D58">
      <w:pPr>
        <w:rPr>
          <w:rFonts w:ascii="Arial Black" w:hAnsi="Arial Black"/>
          <w:sz w:val="24"/>
          <w:szCs w:val="24"/>
        </w:rPr>
      </w:pPr>
    </w:p>
    <w:p w14:paraId="13B49B03" w14:textId="77777777" w:rsidR="00812F8E" w:rsidRDefault="00812F8E" w:rsidP="00B40D58">
      <w:pPr>
        <w:rPr>
          <w:rFonts w:ascii="Arial Black" w:hAnsi="Arial Black"/>
          <w:sz w:val="24"/>
          <w:szCs w:val="24"/>
        </w:rPr>
      </w:pPr>
    </w:p>
    <w:p w14:paraId="57C9E1D6" w14:textId="77777777" w:rsidR="00812F8E" w:rsidRDefault="00812F8E" w:rsidP="00B40D58">
      <w:pPr>
        <w:rPr>
          <w:rFonts w:ascii="Arial Black" w:hAnsi="Arial Black"/>
          <w:sz w:val="24"/>
          <w:szCs w:val="24"/>
        </w:rPr>
      </w:pPr>
    </w:p>
    <w:p w14:paraId="7F6AB17A" w14:textId="77777777" w:rsidR="00812F8E" w:rsidRDefault="00812F8E" w:rsidP="00B40D58">
      <w:pPr>
        <w:rPr>
          <w:rFonts w:ascii="Arial Black" w:hAnsi="Arial Black"/>
          <w:sz w:val="24"/>
          <w:szCs w:val="24"/>
        </w:rPr>
      </w:pPr>
    </w:p>
    <w:p w14:paraId="21426237" w14:textId="76E9B8FD" w:rsidR="00B40D58" w:rsidRDefault="00B40D58" w:rsidP="00B40D58">
      <w:pPr>
        <w:rPr>
          <w:rFonts w:ascii="Arial Black" w:hAnsi="Arial Black"/>
          <w:b/>
          <w:sz w:val="28"/>
          <w:szCs w:val="28"/>
        </w:rPr>
      </w:pPr>
      <w:r>
        <w:rPr>
          <w:rFonts w:ascii="Arial Black" w:hAnsi="Arial Black"/>
          <w:sz w:val="24"/>
          <w:szCs w:val="24"/>
        </w:rPr>
        <w:t>2-115</w:t>
      </w:r>
    </w:p>
    <w:p w14:paraId="556B8546" w14:textId="66C7FD04" w:rsidR="00B40D58" w:rsidRPr="00F562FA" w:rsidRDefault="00B40D58" w:rsidP="00B40D58">
      <w:pPr>
        <w:pStyle w:val="NoSpacing"/>
        <w:rPr>
          <w:rFonts w:ascii="Arial Black" w:hAnsi="Arial Black"/>
          <w:b/>
          <w:sz w:val="28"/>
          <w:szCs w:val="28"/>
        </w:rPr>
      </w:pPr>
      <w:r>
        <w:rPr>
          <w:rFonts w:ascii="Arial Black" w:hAnsi="Arial Black"/>
          <w:b/>
          <w:sz w:val="28"/>
          <w:szCs w:val="28"/>
        </w:rPr>
        <w:t xml:space="preserve">U.S. SUP. CT – ROUNDUP - EPA NO CANCER WARNING - IARC </w:t>
      </w:r>
    </w:p>
    <w:p w14:paraId="18E4A3ED" w14:textId="77777777" w:rsidR="00B40D58" w:rsidRDefault="00B40D58" w:rsidP="00B40D58">
      <w:pPr>
        <w:pStyle w:val="NoSpacing"/>
        <w:rPr>
          <w:bCs/>
        </w:rPr>
      </w:pPr>
    </w:p>
    <w:p w14:paraId="1671783E" w14:textId="77777777" w:rsidR="00B40D58" w:rsidRDefault="00B40D58" w:rsidP="00B40D58">
      <w:pPr>
        <w:pStyle w:val="NoSpacing"/>
      </w:pPr>
      <w:r w:rsidRPr="006F77FB">
        <w:t xml:space="preserve">On June 25, 2026, in </w:t>
      </w:r>
      <w:r w:rsidRPr="00F3323C">
        <w:rPr>
          <w:u w:val="single"/>
        </w:rPr>
        <w:t>Monsanto Co. v. John Durnell</w:t>
      </w:r>
      <w:r w:rsidRPr="006F77FB">
        <w:t xml:space="preserve">, </w:t>
      </w:r>
      <w:r>
        <w:t>the United States Supreme Court held (7 to 2), the Court in opinion by Justice Brett Kavanaugh, held that the “failure to warn” jury verdict must be set aside. Monsanto followed EPA requirements on its label, and EPA concluded there is no scientific consensus that Roundup causes cancer even after the International Agency for Research on Cancer in 2017 and 2019 classified glyphosate as a probable carcinogen.  The Court wrote: “EPA’s assessment of glyphosate is shared by many other regulatory bodies around the world that have likewise concluded that glyphosate is not carcinogenic, including regulators in Canada, Australia, Japan, and the European Union.”</w:t>
      </w:r>
    </w:p>
    <w:p w14:paraId="1A1E9E65" w14:textId="77777777" w:rsidR="00B40D58" w:rsidRPr="006F77FB" w:rsidRDefault="00B40D58" w:rsidP="00B40D58">
      <w:pPr>
        <w:pStyle w:val="NoSpacing"/>
        <w:rPr>
          <w:bCs/>
        </w:rPr>
      </w:pPr>
      <w:hyperlink r:id="rId384" w:history="1">
        <w:r w:rsidRPr="00AE0467">
          <w:rPr>
            <w:rStyle w:val="Hyperlink"/>
          </w:rPr>
          <w:t>https://www.supremecourt.gov/opinions/25pdf/24-1068_n7ip.pdf</w:t>
        </w:r>
      </w:hyperlink>
      <w:r>
        <w:t xml:space="preserve"> </w:t>
      </w:r>
    </w:p>
    <w:p w14:paraId="23AF4130" w14:textId="77777777" w:rsidR="00B40D58" w:rsidRPr="006F77FB" w:rsidRDefault="00B40D58" w:rsidP="00B40D58">
      <w:pPr>
        <w:pStyle w:val="NoSpacing"/>
        <w:rPr>
          <w:bCs/>
        </w:rPr>
      </w:pPr>
    </w:p>
    <w:p w14:paraId="1564A6A2" w14:textId="77777777" w:rsidR="00B40D58" w:rsidRPr="002B7C70" w:rsidRDefault="00B40D58" w:rsidP="00B40D58">
      <w:pPr>
        <w:pStyle w:val="NoSpacing"/>
        <w:rPr>
          <w:b/>
        </w:rPr>
      </w:pPr>
      <w:r w:rsidRPr="002B7C70">
        <w:rPr>
          <w:b/>
        </w:rPr>
        <w:t>FACTS:</w:t>
      </w:r>
    </w:p>
    <w:p w14:paraId="5159404F" w14:textId="77777777" w:rsidR="00B40D58" w:rsidRDefault="00B40D58" w:rsidP="00B40D58">
      <w:pPr>
        <w:pStyle w:val="NoSpacing"/>
      </w:pPr>
    </w:p>
    <w:p w14:paraId="6804FE06" w14:textId="77777777" w:rsidR="00B40D58" w:rsidRPr="002B7C70" w:rsidRDefault="00B40D58" w:rsidP="00B40D58">
      <w:pPr>
        <w:pStyle w:val="NoSpacing"/>
      </w:pPr>
      <w:r>
        <w:t>“</w:t>
      </w:r>
      <w:r w:rsidRPr="002B7C70">
        <w:t>In 2019, John Durnell sued Monsanto in Missouri state</w:t>
      </w:r>
      <w:r>
        <w:t xml:space="preserve"> </w:t>
      </w:r>
      <w:r w:rsidRPr="002B7C70">
        <w:t>court. Durnell alleged that he had used Monsanto’s</w:t>
      </w:r>
      <w:r>
        <w:t xml:space="preserve"> </w:t>
      </w:r>
      <w:r w:rsidRPr="002B7C70">
        <w:t>Roundup products for about 20 years and that they had</w:t>
      </w:r>
      <w:r>
        <w:t xml:space="preserve"> </w:t>
      </w:r>
      <w:r w:rsidRPr="002B7C70">
        <w:t>caused his non-Hodgkin’s lymphoma, a form of cancer. As</w:t>
      </w:r>
      <w:r>
        <w:t xml:space="preserve"> </w:t>
      </w:r>
      <w:r w:rsidRPr="002B7C70">
        <w:t>relevant here, Durnell brought a failure-to-warn tort claim,</w:t>
      </w:r>
    </w:p>
    <w:p w14:paraId="22921887" w14:textId="77777777" w:rsidR="00B40D58" w:rsidRDefault="00B40D58" w:rsidP="00B40D58">
      <w:pPr>
        <w:pStyle w:val="NoSpacing"/>
      </w:pPr>
      <w:r w:rsidRPr="002B7C70">
        <w:t>claiming that Monsanto should have included a cancer</w:t>
      </w:r>
      <w:r>
        <w:t xml:space="preserve"> </w:t>
      </w:r>
      <w:r w:rsidRPr="002B7C70">
        <w:t>warning on Roundup’s label. A jury agreed and awarded</w:t>
      </w:r>
      <w:r>
        <w:t xml:space="preserve"> </w:t>
      </w:r>
      <w:r w:rsidRPr="002B7C70">
        <w:t>Durnell more than $1 million on the failure-to-warn theory</w:t>
      </w:r>
      <w:r>
        <w:t xml:space="preserve">. </w:t>
      </w:r>
    </w:p>
    <w:p w14:paraId="59C3BF8B" w14:textId="77777777" w:rsidR="00B40D58" w:rsidRDefault="00B40D58" w:rsidP="00B40D58">
      <w:pPr>
        <w:pStyle w:val="NoSpacing"/>
      </w:pPr>
    </w:p>
    <w:p w14:paraId="459822CB" w14:textId="77777777" w:rsidR="00B40D58" w:rsidRDefault="00B40D58" w:rsidP="00B40D58">
      <w:pPr>
        <w:pStyle w:val="NoSpacing"/>
      </w:pPr>
      <w:r>
        <w:t>***</w:t>
      </w:r>
    </w:p>
    <w:p w14:paraId="787BA3C7" w14:textId="77777777" w:rsidR="00B40D58" w:rsidRDefault="00B40D58" w:rsidP="00B40D58">
      <w:pPr>
        <w:pStyle w:val="NoSpacing"/>
      </w:pPr>
      <w:r>
        <w:t>Footnote 4: Monsanto has phased out residential Roundup products that contain</w:t>
      </w:r>
    </w:p>
    <w:p w14:paraId="3A4707EC" w14:textId="77777777" w:rsidR="00B40D58" w:rsidRDefault="00B40D58" w:rsidP="00B40D58">
      <w:pPr>
        <w:pStyle w:val="NoSpacing"/>
      </w:pPr>
      <w:r>
        <w:t>glyphosate.”</w:t>
      </w:r>
    </w:p>
    <w:p w14:paraId="5207C1AC" w14:textId="77777777" w:rsidR="00B40D58" w:rsidRDefault="00B40D58" w:rsidP="00B40D58">
      <w:pPr>
        <w:pStyle w:val="NoSpacing"/>
      </w:pPr>
    </w:p>
    <w:p w14:paraId="0E9DD4A1" w14:textId="77777777" w:rsidR="00B40D58" w:rsidRDefault="00B40D58" w:rsidP="00B40D58">
      <w:pPr>
        <w:pStyle w:val="NoSpacing"/>
        <w:rPr>
          <w:b/>
          <w:bCs/>
        </w:rPr>
      </w:pPr>
      <w:r w:rsidRPr="00384753">
        <w:rPr>
          <w:b/>
        </w:rPr>
        <w:t>COURT HELD:</w:t>
      </w:r>
    </w:p>
    <w:p w14:paraId="57F2E29A" w14:textId="77777777" w:rsidR="00B40D58" w:rsidRDefault="00B40D58" w:rsidP="00B40D58">
      <w:pPr>
        <w:pStyle w:val="NoSpacing"/>
        <w:rPr>
          <w:b/>
          <w:bCs/>
        </w:rPr>
      </w:pPr>
    </w:p>
    <w:p w14:paraId="1BEC1E0A" w14:textId="77777777" w:rsidR="00B40D58" w:rsidRPr="001D30DE" w:rsidRDefault="00B40D58" w:rsidP="00B40D58">
      <w:pPr>
        <w:pStyle w:val="NoSpacing"/>
      </w:pPr>
      <w:r>
        <w:t>“</w:t>
      </w:r>
      <w:r w:rsidRPr="001D30DE">
        <w:t>But Durnell’s state tort claim would require Monsanto to</w:t>
      </w:r>
      <w:r>
        <w:t xml:space="preserve"> </w:t>
      </w:r>
      <w:r w:rsidRPr="001D30DE">
        <w:t>add a cancer warning to Roundup’s label even though</w:t>
      </w:r>
      <w:r>
        <w:t xml:space="preserve"> </w:t>
      </w:r>
      <w:r w:rsidRPr="001D30DE">
        <w:t>federal law requires Monsanto to use the EPA-approved</w:t>
      </w:r>
      <w:r>
        <w:t xml:space="preserve"> </w:t>
      </w:r>
      <w:r w:rsidRPr="001D30DE">
        <w:t>label without a cancer warning. Because Durnell’s state</w:t>
      </w:r>
      <w:r>
        <w:t xml:space="preserve"> </w:t>
      </w:r>
      <w:r w:rsidRPr="001D30DE">
        <w:t>tort claim would impose a pesticide labeling requirement</w:t>
      </w:r>
    </w:p>
    <w:p w14:paraId="4C493548" w14:textId="77777777" w:rsidR="00B40D58" w:rsidRPr="001D30DE" w:rsidRDefault="00B40D58" w:rsidP="00B40D58">
      <w:pPr>
        <w:pStyle w:val="NoSpacing"/>
      </w:pPr>
      <w:r>
        <w:t>‘</w:t>
      </w:r>
      <w:proofErr w:type="gramStart"/>
      <w:r w:rsidRPr="001D30DE">
        <w:t>in</w:t>
      </w:r>
      <w:proofErr w:type="gramEnd"/>
      <w:r w:rsidRPr="001D30DE">
        <w:t xml:space="preserve"> addition to or different from</w:t>
      </w:r>
      <w:r>
        <w:t xml:space="preserve">’ </w:t>
      </w:r>
      <w:r w:rsidRPr="001D30DE">
        <w:t>the label required by EPA,</w:t>
      </w:r>
      <w:r>
        <w:t xml:space="preserve"> </w:t>
      </w:r>
      <w:r w:rsidRPr="001D30DE">
        <w:t>FIFRA expressly preempts Durnell’s claim.</w:t>
      </w:r>
    </w:p>
    <w:p w14:paraId="2F8DE838" w14:textId="77777777" w:rsidR="00B40D58" w:rsidRDefault="00B40D58" w:rsidP="00B40D58">
      <w:pPr>
        <w:pStyle w:val="NoSpacing"/>
      </w:pPr>
    </w:p>
    <w:p w14:paraId="721276BF" w14:textId="77777777" w:rsidR="00B40D58" w:rsidRDefault="00B40D58" w:rsidP="00B40D58">
      <w:pPr>
        <w:pStyle w:val="NoSpacing"/>
      </w:pPr>
      <w:r>
        <w:t>***</w:t>
      </w:r>
    </w:p>
    <w:p w14:paraId="49626563" w14:textId="77777777" w:rsidR="00B40D58" w:rsidRDefault="00B40D58" w:rsidP="00B40D58">
      <w:pPr>
        <w:pStyle w:val="NoSpacing"/>
      </w:pPr>
      <w:r>
        <w:t>In 1991 and for the more than three decades since, EPA has repeatedly re-evaluated glyphosate and has repeatedly concluded that glyphosate is not likely to cause cancer…. In 2017 and 2019, after the International Agency for Research on Cancer classified glyphosate as a probable</w:t>
      </w:r>
    </w:p>
    <w:p w14:paraId="5ED8654C" w14:textId="77777777" w:rsidR="00B40D58" w:rsidRDefault="00B40D58" w:rsidP="00B40D58">
      <w:pPr>
        <w:pStyle w:val="NoSpacing"/>
      </w:pPr>
      <w:r>
        <w:lastRenderedPageBreak/>
        <w:t>carcinogen, EPA re-examined the issue but still adhered to its longstanding position on glyphosate…. EPA’s assessment of glyphosate is shared by many other regulatory bodies around the world that have likewise concluded that glyphosate is not carcinogenic, including regulators in Canada, Australia, Japan, and the European Union.”</w:t>
      </w:r>
    </w:p>
    <w:p w14:paraId="2EB308C0" w14:textId="77777777" w:rsidR="00B40D58" w:rsidRDefault="00B40D58" w:rsidP="00B40D58">
      <w:pPr>
        <w:pStyle w:val="NoSpacing"/>
      </w:pPr>
    </w:p>
    <w:p w14:paraId="2563760F" w14:textId="77777777" w:rsidR="00B40D58" w:rsidRDefault="00B40D58" w:rsidP="00B40D58">
      <w:pPr>
        <w:pStyle w:val="NoSpacing"/>
        <w:rPr>
          <w:b/>
          <w:bCs/>
        </w:rPr>
      </w:pPr>
      <w:r>
        <w:rPr>
          <w:b/>
        </w:rPr>
        <w:t xml:space="preserve">Legal lesson learned: Monsanto has successfully dodged not only this one jury verdict, but many similar cases. </w:t>
      </w:r>
    </w:p>
    <w:p w14:paraId="73B4DBC9" w14:textId="77777777" w:rsidR="00B40D58" w:rsidRDefault="00B40D58" w:rsidP="00B40D58">
      <w:pPr>
        <w:pStyle w:val="NoSpacing"/>
        <w:rPr>
          <w:b/>
          <w:bCs/>
        </w:rPr>
      </w:pPr>
    </w:p>
    <w:p w14:paraId="7C60B304" w14:textId="77777777" w:rsidR="00B40D58" w:rsidRPr="006823FA" w:rsidRDefault="00B40D58" w:rsidP="00B40D58">
      <w:pPr>
        <w:pStyle w:val="NoSpacing"/>
        <w:ind w:left="720"/>
      </w:pPr>
      <w:r w:rsidRPr="006823FA">
        <w:t xml:space="preserve">Note: The International Agency for Research on Cancer classification of cancer-causing materials is important in fire service.  For example, in Ohio and employer can challenge a firefighter’s workers comp claim. “(2) The presumption described in division (X)(1) of this section is rebuttable in any of the following situations: … (c) There is evidence that the firefighter was not exposed to an agent classified by the international agency for research on cancer as a group 1 or 2A carcinogen.” </w:t>
      </w:r>
      <w:hyperlink r:id="rId385" w:history="1">
        <w:r w:rsidRPr="006823FA">
          <w:rPr>
            <w:rStyle w:val="Hyperlink"/>
          </w:rPr>
          <w:t>https://codes.ohio.gov/ohio-revised-code/section-4123.68</w:t>
        </w:r>
      </w:hyperlink>
      <w:r w:rsidRPr="006823FA">
        <w:t xml:space="preserve"> </w:t>
      </w:r>
    </w:p>
    <w:p w14:paraId="24C08A2E" w14:textId="77777777" w:rsidR="00B40D58" w:rsidRPr="006823FA" w:rsidRDefault="00B40D58" w:rsidP="00B40D58">
      <w:pPr>
        <w:pStyle w:val="NoSpacing"/>
      </w:pPr>
    </w:p>
    <w:p w14:paraId="0981C594" w14:textId="77777777" w:rsidR="00B40D58" w:rsidRDefault="00B40D58" w:rsidP="00B40D58">
      <w:pPr>
        <w:ind w:left="720"/>
      </w:pPr>
      <w:r>
        <w:t xml:space="preserve">See the IARC Group 1 (carcinogenic to humans) and Group 2 A (probably carcinogenic to humans). </w:t>
      </w:r>
      <w:hyperlink r:id="rId386" w:history="1">
        <w:r w:rsidRPr="008A03D1">
          <w:rPr>
            <w:rStyle w:val="Hyperlink"/>
          </w:rPr>
          <w:t>https://monographs.iarc.who.int/agents-classified-by-the-iarc/</w:t>
        </w:r>
      </w:hyperlink>
    </w:p>
    <w:p w14:paraId="52858173" w14:textId="77777777" w:rsidR="00B40D58" w:rsidRDefault="00B40D58" w:rsidP="00B40D58">
      <w:pPr>
        <w:pStyle w:val="NoSpacing"/>
        <w:rPr>
          <w:rFonts w:ascii="Arial Black" w:hAnsi="Arial Black"/>
          <w:b/>
          <w:sz w:val="28"/>
          <w:szCs w:val="28"/>
        </w:rPr>
      </w:pPr>
    </w:p>
    <w:p w14:paraId="66C40BF1" w14:textId="77777777" w:rsidR="00B40D58" w:rsidRDefault="00B40D58" w:rsidP="00B40D58"/>
    <w:p w14:paraId="7E5373AD" w14:textId="53485602" w:rsidR="00B40D58" w:rsidRDefault="00B40D58" w:rsidP="00B40D58">
      <w:pPr>
        <w:rPr>
          <w:rFonts w:ascii="Arial Black" w:hAnsi="Arial Black"/>
          <w:sz w:val="28"/>
          <w:szCs w:val="28"/>
        </w:rPr>
      </w:pPr>
      <w:r>
        <w:rPr>
          <w:rFonts w:ascii="Arial Black" w:hAnsi="Arial Black"/>
          <w:sz w:val="24"/>
          <w:szCs w:val="24"/>
        </w:rPr>
        <w:t>2-114</w:t>
      </w:r>
    </w:p>
    <w:p w14:paraId="28884D39" w14:textId="77777777" w:rsidR="00B40D58" w:rsidRPr="00343696" w:rsidRDefault="00B40D58" w:rsidP="00B40D58">
      <w:pPr>
        <w:rPr>
          <w:rFonts w:ascii="Arial Black" w:hAnsi="Arial Black"/>
          <w:b/>
          <w:sz w:val="28"/>
          <w:szCs w:val="28"/>
        </w:rPr>
      </w:pPr>
      <w:r>
        <w:rPr>
          <w:rFonts w:ascii="Arial Black" w:hAnsi="Arial Black"/>
          <w:b/>
          <w:sz w:val="28"/>
          <w:szCs w:val="28"/>
        </w:rPr>
        <w:t>TX: “PUBLIC SAFETY OFFICER RULE” – CAN’T SUE DRIVER</w:t>
      </w:r>
    </w:p>
    <w:p w14:paraId="10074E6A" w14:textId="77777777" w:rsidR="00B40D58" w:rsidRDefault="00B40D58" w:rsidP="00B40D58">
      <w:pPr>
        <w:pStyle w:val="NoSpacing"/>
        <w:tabs>
          <w:tab w:val="left" w:pos="2580"/>
        </w:tabs>
        <w:rPr>
          <w:bCs/>
        </w:rPr>
      </w:pPr>
      <w:r w:rsidRPr="00FC1E9E">
        <w:t xml:space="preserve">On June 18, 2026, </w:t>
      </w:r>
      <w:r>
        <w:t xml:space="preserve">in </w:t>
      </w:r>
      <w:r w:rsidRPr="001B2B07">
        <w:rPr>
          <w:u w:val="single"/>
        </w:rPr>
        <w:t xml:space="preserve">Richard Humphries v. </w:t>
      </w:r>
      <w:proofErr w:type="spellStart"/>
      <w:r w:rsidRPr="001B2B07">
        <w:rPr>
          <w:u w:val="single"/>
        </w:rPr>
        <w:t>TForce</w:t>
      </w:r>
      <w:proofErr w:type="spellEnd"/>
      <w:r w:rsidRPr="001B2B07">
        <w:rPr>
          <w:u w:val="single"/>
        </w:rPr>
        <w:t xml:space="preserve"> Freight, Inc.,</w:t>
      </w:r>
      <w:r>
        <w:rPr>
          <w:u w:val="single"/>
        </w:rPr>
        <w:t xml:space="preserve"> and Bhutta Hussein Javeed. </w:t>
      </w:r>
      <w:r>
        <w:t xml:space="preserve"> U.S. District Court Judge </w:t>
      </w:r>
      <w:proofErr w:type="spellStart"/>
      <w:r>
        <w:t>Matyhew</w:t>
      </w:r>
      <w:proofErr w:type="spellEnd"/>
      <w:r>
        <w:t xml:space="preserve"> J. Kacsmaryk, United States District Court for the Northern District of Texas, held that the truck company and its truck driver cannot be sued by the police officer, who was seriously injured while aiding the truck driver after an accident.  Federal judge is following the precedence of the Texas Supreme Court’s “public-safety officer’s rule.”  The Court wrote: “</w:t>
      </w:r>
      <w:r w:rsidRPr="004D7EFA">
        <w:t>First, the rule encourages those who need assistance from public-safety officers to call for it without fear of liability</w:t>
      </w:r>
      <w:r>
        <w:t>.”</w:t>
      </w:r>
    </w:p>
    <w:p w14:paraId="0357EFA9" w14:textId="77777777" w:rsidR="00B40D58" w:rsidRDefault="00B40D58" w:rsidP="00B40D58">
      <w:pPr>
        <w:rPr>
          <w:b/>
        </w:rPr>
      </w:pPr>
      <w:hyperlink r:id="rId387" w:history="1">
        <w:r w:rsidRPr="00014504">
          <w:rPr>
            <w:rStyle w:val="Hyperlink"/>
            <w:b/>
          </w:rPr>
          <w:t>https://www.casemine.com/judgement/us/6a36782a174bb89f9fdb2fa9</w:t>
        </w:r>
      </w:hyperlink>
      <w:r>
        <w:rPr>
          <w:b/>
        </w:rPr>
        <w:t xml:space="preserve"> </w:t>
      </w:r>
    </w:p>
    <w:p w14:paraId="5F91CDE1" w14:textId="77777777" w:rsidR="00B40D58" w:rsidRDefault="00B40D58" w:rsidP="00B40D58">
      <w:pPr>
        <w:rPr>
          <w:bCs/>
        </w:rPr>
      </w:pPr>
      <w:r w:rsidRPr="00AB37D4">
        <w:rPr>
          <w:b/>
        </w:rPr>
        <w:t>FACTS:</w:t>
      </w:r>
      <w:r>
        <w:t xml:space="preserve"> </w:t>
      </w:r>
    </w:p>
    <w:p w14:paraId="7794265F" w14:textId="77777777" w:rsidR="00B40D58" w:rsidRDefault="00B40D58" w:rsidP="00B40D58">
      <w:r>
        <w:t>“</w:t>
      </w:r>
      <w:r w:rsidRPr="00CB1BC0">
        <w:t xml:space="preserve">Defendant Bhutta Hussain Javed ("Javed") is an employee truck driver for Defendant </w:t>
      </w:r>
      <w:proofErr w:type="spellStart"/>
      <w:r w:rsidRPr="00CB1BC0">
        <w:t>TForce</w:t>
      </w:r>
      <w:proofErr w:type="spellEnd"/>
      <w:r w:rsidRPr="00CB1BC0">
        <w:t xml:space="preserve"> Freight Inc. ("</w:t>
      </w:r>
      <w:proofErr w:type="spellStart"/>
      <w:r w:rsidRPr="00CB1BC0">
        <w:t>TForce</w:t>
      </w:r>
      <w:proofErr w:type="spellEnd"/>
      <w:r w:rsidRPr="00CB1BC0">
        <w:t xml:space="preserve">"). On January 28, 2024, Javed was driving a tractor-trailer owned by </w:t>
      </w:r>
      <w:proofErr w:type="spellStart"/>
      <w:r w:rsidRPr="00CB1BC0">
        <w:t>TForce</w:t>
      </w:r>
      <w:proofErr w:type="spellEnd"/>
      <w:r w:rsidRPr="00CB1BC0">
        <w:t xml:space="preserve"> on I-40. The highway was covered in snow and ice, and Javed was allegedly</w:t>
      </w:r>
      <w:r>
        <w:t xml:space="preserve"> </w:t>
      </w:r>
      <w:r w:rsidRPr="004E100F">
        <w:t xml:space="preserve">driving too fast for the conditions. As a result, Javed's tractor-trailer </w:t>
      </w:r>
      <w:r>
        <w:t>‘</w:t>
      </w:r>
      <w:r w:rsidRPr="004E100F">
        <w:t>jackknifed</w:t>
      </w:r>
      <w:r>
        <w:t>’</w:t>
      </w:r>
      <w:r w:rsidRPr="004E100F">
        <w:t xml:space="preserve"> and slid into the center median, coming to a rest after striking the cable barrier. Plaintiff Richard Humphries </w:t>
      </w:r>
      <w:r>
        <w:t xml:space="preserve">… </w:t>
      </w:r>
      <w:r w:rsidRPr="004E100F">
        <w:t xml:space="preserve">is an Oldham County </w:t>
      </w:r>
      <w:proofErr w:type="spellStart"/>
      <w:r w:rsidRPr="004E100F">
        <w:t>Sheriffs</w:t>
      </w:r>
      <w:proofErr w:type="spellEnd"/>
      <w:r w:rsidRPr="004E100F">
        <w:t xml:space="preserve"> Deputy. At the time of Javed's crash, he was on duty responding to a call involving a separate crash. Humphries observed Javed's crash and stopped to render aid. Shortly thereafter, another tractor-trailer jackknifed and started sliding on the snowy and icy highway directly toward Humphries. While trying to avoid the second tractor-trailer, Humphries fell and suffered a significant head </w:t>
      </w:r>
      <w:proofErr w:type="gramStart"/>
      <w:r w:rsidRPr="004E100F">
        <w:t>injury.</w:t>
      </w:r>
      <w:r>
        <w:t>”</w:t>
      </w:r>
      <w:proofErr w:type="gramEnd"/>
    </w:p>
    <w:p w14:paraId="09911176" w14:textId="77777777" w:rsidR="00B40D58" w:rsidRDefault="00B40D58" w:rsidP="00B40D58">
      <w:r w:rsidRPr="00005E37">
        <w:rPr>
          <w:b/>
        </w:rPr>
        <w:t>COURT HELD:</w:t>
      </w:r>
      <w:r>
        <w:t xml:space="preserve"> </w:t>
      </w:r>
    </w:p>
    <w:p w14:paraId="1D579497" w14:textId="77777777" w:rsidR="00B40D58" w:rsidRDefault="00B40D58" w:rsidP="00B40D58">
      <w:r>
        <w:t>“</w:t>
      </w:r>
      <w:r w:rsidRPr="00E655C1">
        <w:t xml:space="preserve">But Texas has adopted a common law </w:t>
      </w:r>
      <w:r>
        <w:t>‘</w:t>
      </w:r>
      <w:r w:rsidRPr="00E655C1">
        <w:t>public-safety officer's rule.</w:t>
      </w:r>
      <w:r>
        <w:t>’</w:t>
      </w:r>
      <w:r w:rsidRPr="00E655C1">
        <w:t xml:space="preserve"> This rule precludes recovery for public- safety officers who suffer certain injuries while performing emergency activities. Because the public-safety officer's rule applies here, the Complaint fails to state a claim for which relief can be grante</w:t>
      </w:r>
      <w:r>
        <w:t>d.</w:t>
      </w:r>
    </w:p>
    <w:p w14:paraId="43EC2B96" w14:textId="77777777" w:rsidR="00B40D58" w:rsidRDefault="00B40D58" w:rsidP="00B40D58">
      <w:r>
        <w:t>***</w:t>
      </w:r>
    </w:p>
    <w:p w14:paraId="56510550" w14:textId="77777777" w:rsidR="00B40D58" w:rsidRPr="00934873" w:rsidRDefault="00B40D58" w:rsidP="00B40D58">
      <w:r w:rsidRPr="00934873">
        <w:lastRenderedPageBreak/>
        <w:t xml:space="preserve">The Texas Supreme Court recently adopted the </w:t>
      </w:r>
      <w:r>
        <w:t>‘</w:t>
      </w:r>
      <w:r w:rsidRPr="00934873">
        <w:t>public-safety officer's rule,</w:t>
      </w:r>
      <w:r>
        <w:t>’ … ‘</w:t>
      </w:r>
      <w:r w:rsidRPr="00934873">
        <w:t>which restricts the duties owed to responding officers.</w:t>
      </w:r>
      <w:r>
        <w:t>’</w:t>
      </w:r>
      <w:r w:rsidRPr="00934873">
        <w:t xml:space="preserve"> Seward v. Santander, 713 S.W.3d 341, 359 (Tex. 2025). Specifically, the Texas Supreme Court adopted the following rule:</w:t>
      </w:r>
    </w:p>
    <w:p w14:paraId="7D45B682" w14:textId="77777777" w:rsidR="00B40D58" w:rsidRPr="00934873" w:rsidRDefault="00B40D58" w:rsidP="00B40D58">
      <w:pPr>
        <w:ind w:left="720"/>
      </w:pPr>
      <w:r w:rsidRPr="00934873">
        <w:t>An actor who innocently or negligently creates a peril that occasions the presence of a public-safety officer owes no duty to that officer when the officer is injured by the very same peril that occasioned the officer's presence, and the officer is injured while (1) on duty, (2) acting within the scope of employment, and (3) engaged in the performance of emergency activities.</w:t>
      </w:r>
    </w:p>
    <w:p w14:paraId="7677A15E" w14:textId="77777777" w:rsidR="00B40D58" w:rsidRDefault="00B40D58" w:rsidP="00B40D58">
      <w:r w:rsidRPr="004D7EFA">
        <w:t xml:space="preserve">The court grounded the rule in public policy considerations, finding three policy arguments </w:t>
      </w:r>
      <w:r>
        <w:t>‘</w:t>
      </w:r>
      <w:r w:rsidRPr="004D7EFA">
        <w:t>especially compelling.</w:t>
      </w:r>
      <w:r>
        <w:t xml:space="preserve">’ … </w:t>
      </w:r>
      <w:r w:rsidRPr="004D7EFA">
        <w:t>First, the rule encourages those who need assistance from public-safety officers to call for it without fear of liability</w:t>
      </w:r>
      <w:r>
        <w:t xml:space="preserve">…. </w:t>
      </w:r>
      <w:r w:rsidRPr="004D7EFA">
        <w:t xml:space="preserve">Second, the rule minimizes the </w:t>
      </w:r>
      <w:r>
        <w:t>‘</w:t>
      </w:r>
      <w:r w:rsidRPr="004D7EFA">
        <w:t>specter of invidious discrimination'—that public-safety officers will be more eager to assist and risk injury when they are more likely to recover in a tort action</w:t>
      </w:r>
      <w:r>
        <w:t xml:space="preserve">…. </w:t>
      </w:r>
      <w:r w:rsidRPr="004D7EFA">
        <w:t>And third, the rule spreads the risk and cost of injuries to the public rather than solely to the individuals who require public-safety officer assistance.</w:t>
      </w:r>
      <w:r>
        <w:t>”</w:t>
      </w:r>
    </w:p>
    <w:p w14:paraId="667694FF" w14:textId="77777777" w:rsidR="00B40D58" w:rsidRDefault="00B40D58" w:rsidP="00B40D58">
      <w:pPr>
        <w:rPr>
          <w:b/>
          <w:bCs/>
        </w:rPr>
      </w:pPr>
      <w:r>
        <w:rPr>
          <w:b/>
        </w:rPr>
        <w:t xml:space="preserve">Legal lesson learned: About 18 states have abolished or significantly modified the “Public-Safety Officer Rule” or “Fireman’s Rule” to allow an injured police officer or firefighter to sue for damages; but not Texas. </w:t>
      </w:r>
    </w:p>
    <w:p w14:paraId="6E3EF298" w14:textId="77777777" w:rsidR="00B40D58" w:rsidRPr="00FC1E9E" w:rsidRDefault="00B40D58" w:rsidP="00B40D58">
      <w:pPr>
        <w:pStyle w:val="NoSpacing"/>
        <w:ind w:left="720"/>
        <w:rPr>
          <w:bCs/>
        </w:rPr>
      </w:pPr>
      <w:r>
        <w:t>Note: See this article. “</w:t>
      </w:r>
      <w:r w:rsidRPr="00A6014C">
        <w:t>Notably, a sizable minority of states (18) do not currently apply the Fireman’s Rule and have either explicitly</w:t>
      </w:r>
      <w:r>
        <w:t xml:space="preserve"> </w:t>
      </w:r>
      <w:r w:rsidRPr="00A6014C">
        <w:t>declined to adopt, rejected, limited, or failed to address it.</w:t>
      </w:r>
      <w:r>
        <w:t xml:space="preserve"> </w:t>
      </w:r>
      <w:r w:rsidRPr="00A6014C">
        <w:t>The remaining jurisdictions still invoke the Fireman’s Rule</w:t>
      </w:r>
      <w:r>
        <w:t xml:space="preserve"> </w:t>
      </w:r>
      <w:r w:rsidRPr="00A6014C">
        <w:t>as a bar to recovery for negligence in association with the cause of a fire. The reasoning behind this bar, however,</w:t>
      </w:r>
      <w:r>
        <w:t xml:space="preserve"> </w:t>
      </w:r>
      <w:r w:rsidRPr="00A6014C">
        <w:t>varies from jurisdiction to jurisdiction.</w:t>
      </w:r>
      <w:r>
        <w:t xml:space="preserve">” </w:t>
      </w:r>
      <w:hyperlink r:id="rId388" w:history="1">
        <w:r w:rsidRPr="00295025">
          <w:rPr>
            <w:rStyle w:val="Hyperlink"/>
          </w:rPr>
          <w:t>file:///C:/Users/lawre/Downloads/0182139.PDF</w:t>
        </w:r>
      </w:hyperlink>
      <w:r>
        <w:t xml:space="preserve"> </w:t>
      </w:r>
    </w:p>
    <w:p w14:paraId="7FEDAA00" w14:textId="77777777" w:rsidR="00B40D58" w:rsidRDefault="00B40D58" w:rsidP="00B40D58">
      <w:pPr>
        <w:rPr>
          <w:b/>
        </w:rPr>
      </w:pPr>
    </w:p>
    <w:p w14:paraId="614C7C7B" w14:textId="77777777" w:rsidR="00B40D58" w:rsidRDefault="00B40D58" w:rsidP="001B7551">
      <w:pPr>
        <w:rPr>
          <w:rFonts w:ascii="Arial Black" w:hAnsi="Arial Black"/>
          <w:sz w:val="24"/>
          <w:szCs w:val="24"/>
        </w:rPr>
      </w:pPr>
    </w:p>
    <w:p w14:paraId="7BA1E085" w14:textId="77777777" w:rsidR="00B40D58" w:rsidRDefault="00B40D58" w:rsidP="001B7551">
      <w:pPr>
        <w:rPr>
          <w:rFonts w:ascii="Arial Black" w:hAnsi="Arial Black"/>
          <w:sz w:val="24"/>
          <w:szCs w:val="24"/>
        </w:rPr>
      </w:pPr>
    </w:p>
    <w:p w14:paraId="0CE161B5" w14:textId="77777777" w:rsidR="00B40D58" w:rsidRDefault="00B40D58" w:rsidP="001B7551">
      <w:pPr>
        <w:rPr>
          <w:rFonts w:ascii="Arial Black" w:hAnsi="Arial Black"/>
          <w:sz w:val="24"/>
          <w:szCs w:val="24"/>
        </w:rPr>
      </w:pPr>
    </w:p>
    <w:p w14:paraId="4182E3D7" w14:textId="77777777" w:rsidR="00B40D58" w:rsidRDefault="00B40D58" w:rsidP="001B7551">
      <w:pPr>
        <w:rPr>
          <w:rFonts w:ascii="Arial Black" w:hAnsi="Arial Black"/>
          <w:sz w:val="24"/>
          <w:szCs w:val="24"/>
        </w:rPr>
      </w:pPr>
    </w:p>
    <w:p w14:paraId="00C15719" w14:textId="3D6E0A03" w:rsidR="001B7551" w:rsidRDefault="001B7551" w:rsidP="001B7551">
      <w:pPr>
        <w:rPr>
          <w:rFonts w:ascii="Arial Black" w:hAnsi="Arial Black"/>
          <w:sz w:val="28"/>
          <w:szCs w:val="28"/>
        </w:rPr>
      </w:pPr>
      <w:r>
        <w:rPr>
          <w:rFonts w:ascii="Arial Black" w:hAnsi="Arial Black"/>
          <w:sz w:val="24"/>
          <w:szCs w:val="24"/>
        </w:rPr>
        <w:t>2-113</w:t>
      </w:r>
    </w:p>
    <w:p w14:paraId="4E604E2B" w14:textId="77777777" w:rsidR="001B7551" w:rsidRPr="00965815" w:rsidRDefault="001B7551" w:rsidP="001B7551">
      <w:pPr>
        <w:pStyle w:val="NoSpacing"/>
        <w:rPr>
          <w:rFonts w:ascii="Arial Black" w:hAnsi="Arial Black"/>
          <w:sz w:val="28"/>
          <w:szCs w:val="28"/>
        </w:rPr>
      </w:pPr>
      <w:r>
        <w:rPr>
          <w:rFonts w:ascii="Arial Black" w:hAnsi="Arial Black"/>
          <w:sz w:val="28"/>
          <w:szCs w:val="28"/>
        </w:rPr>
        <w:t>OH: SPEEDING IN MVA AREA – KILLED FF – 15 YRS/LIFE</w:t>
      </w:r>
    </w:p>
    <w:p w14:paraId="5FA3A6B4" w14:textId="77777777" w:rsidR="001B7551" w:rsidRDefault="001B7551" w:rsidP="001B7551">
      <w:pPr>
        <w:pStyle w:val="NoSpacing"/>
      </w:pPr>
    </w:p>
    <w:p w14:paraId="243F347D" w14:textId="77777777" w:rsidR="001B7551" w:rsidRDefault="001B7551" w:rsidP="001B7551">
      <w:pPr>
        <w:pStyle w:val="NoSpacing"/>
      </w:pPr>
      <w:r>
        <w:t xml:space="preserve">On May 29, 2026, in </w:t>
      </w:r>
      <w:r w:rsidRPr="00B03864">
        <w:rPr>
          <w:u w:val="single"/>
        </w:rPr>
        <w:t>The State of Ohio v. Leander Bissell</w:t>
      </w:r>
      <w:r>
        <w:t xml:space="preserve">, the Supreme Court of Ohio held (7 to 0) that conviction for felony-murder after bench trial (no jury) is affirmed; the defendant must serve 15 years to life for the crimes of felonious assault, felony murder, involuntary manslaughter, aggravated vehicular homicide, failure to comply with an order or signal of a police officer, and failure to stop after an accident.  The Court reversed the Ohio Eight District Court of Appeals (Cuyahoga County) which held (2 to 1) there was insufficient evidence of driver’s intent to harm. On November 19, 2022, at approximately 8:15 p.m., Engine Company 22 of the City of Cleveland Division of Fire received an emergency dispatch for a vehicle crash on Interstate 90, a four-lane highway, near the exit of Martin Luther King Boulevard. One vehicle had flipped over onto its top on the left shoulder of the highway, blocking a part of the far-left high-speed lane. Firefighter </w:t>
      </w:r>
      <w:r w:rsidRPr="00A956B8">
        <w:t>Johnny Tetrick</w:t>
      </w:r>
      <w:r>
        <w:t xml:space="preserve"> was struck and killed, picking up debris from the highway, when the defendant sped by police cars at 49 mph, throwing Tetrick </w:t>
      </w:r>
      <w:r w:rsidRPr="00762BA4">
        <w:t xml:space="preserve">102.5 feet, </w:t>
      </w:r>
      <w:r>
        <w:t>and then fled the scene. THE COURT WROTE: The Eighth District’s reasoning is wrong. The Eighth District reasoned that criminal knowledge requires an offender’s ‘intention that a result will occur,’ id., but that is not so. ‘A person acts knowingly, regardless of purpose, when the person is aware that the person’s conduct will probably cause a certain result or will probably be of a certain nature.’ (Emphasis added.) R.C. 2901.22(B).</w:t>
      </w:r>
    </w:p>
    <w:p w14:paraId="27CD64DF" w14:textId="77777777" w:rsidR="001B7551" w:rsidRDefault="001B7551" w:rsidP="001B7551">
      <w:pPr>
        <w:pStyle w:val="NoSpacing"/>
      </w:pPr>
      <w:r>
        <w:t>Therefore, an offender’s purpose or intention to cause a result is not required when</w:t>
      </w:r>
    </w:p>
    <w:p w14:paraId="0DA3811A" w14:textId="77777777" w:rsidR="001B7551" w:rsidRDefault="001B7551" w:rsidP="001B7551">
      <w:pPr>
        <w:pStyle w:val="NoSpacing"/>
      </w:pPr>
      <w:r>
        <w:lastRenderedPageBreak/>
        <w:t xml:space="preserve">determining an offender’s </w:t>
      </w:r>
      <w:proofErr w:type="gramStart"/>
      <w:r>
        <w:t>knowledge, ‘</w:t>
      </w:r>
      <w:proofErr w:type="gramEnd"/>
      <w:r>
        <w:t>only an awareness of the probable</w:t>
      </w:r>
    </w:p>
    <w:p w14:paraId="549C7DDD" w14:textId="77777777" w:rsidR="001B7551" w:rsidRDefault="001B7551" w:rsidP="001B7551">
      <w:pPr>
        <w:rPr>
          <w:b/>
        </w:rPr>
      </w:pPr>
      <w:r>
        <w:t xml:space="preserve">consequences of one’s actions.’” </w:t>
      </w:r>
      <w:hyperlink r:id="rId389" w:history="1">
        <w:r w:rsidRPr="00BC462E">
          <w:rPr>
            <w:rStyle w:val="Hyperlink"/>
            <w:b/>
          </w:rPr>
          <w:t>https://www.supremecourt.ohio.gov/rod/docs/pdf/0/2026/2026-Ohio-1965.pdf</w:t>
        </w:r>
      </w:hyperlink>
      <w:r>
        <w:rPr>
          <w:b/>
        </w:rPr>
        <w:t xml:space="preserve"> </w:t>
      </w:r>
    </w:p>
    <w:p w14:paraId="129562B3" w14:textId="77777777" w:rsidR="001B7551" w:rsidRDefault="001B7551" w:rsidP="001B7551">
      <w:pPr>
        <w:pStyle w:val="NoSpacing"/>
      </w:pPr>
      <w:r>
        <w:t xml:space="preserve"> </w:t>
      </w:r>
    </w:p>
    <w:p w14:paraId="07F83796" w14:textId="77777777" w:rsidR="001B7551" w:rsidRDefault="001B7551" w:rsidP="001B7551">
      <w:pPr>
        <w:pStyle w:val="NoSpacing"/>
      </w:pPr>
      <w:r>
        <w:t xml:space="preserve">THE COURT HELD: </w:t>
      </w:r>
    </w:p>
    <w:p w14:paraId="58791EB4" w14:textId="77777777" w:rsidR="001B7551" w:rsidRDefault="001B7551" w:rsidP="001B7551">
      <w:pPr>
        <w:pStyle w:val="NoSpacing"/>
      </w:pPr>
    </w:p>
    <w:p w14:paraId="399BB57C" w14:textId="77777777" w:rsidR="001B7551" w:rsidRDefault="001B7551" w:rsidP="001B7551">
      <w:pPr>
        <w:pStyle w:val="NoSpacing"/>
        <w:ind w:firstLine="720"/>
      </w:pPr>
      <w:r>
        <w:t xml:space="preserve">“Judge </w:t>
      </w:r>
      <w:proofErr w:type="spellStart"/>
      <w:r>
        <w:t>Celebrezze</w:t>
      </w:r>
      <w:proofErr w:type="spellEnd"/>
      <w:r>
        <w:t xml:space="preserve"> [Court of Appeals] dissented from the majority opinion. According</w:t>
      </w:r>
    </w:p>
    <w:p w14:paraId="258E2493" w14:textId="77777777" w:rsidR="001B7551" w:rsidRDefault="001B7551" w:rsidP="001B7551">
      <w:pPr>
        <w:pStyle w:val="NoSpacing"/>
        <w:ind w:firstLine="720"/>
      </w:pPr>
      <w:r>
        <w:t>to Judge Celebrezze, Bissell’s conduct in speeding through an area of stopped</w:t>
      </w:r>
    </w:p>
    <w:p w14:paraId="591DDCAA" w14:textId="77777777" w:rsidR="001B7551" w:rsidRDefault="001B7551" w:rsidP="001B7551">
      <w:pPr>
        <w:pStyle w:val="NoSpacing"/>
        <w:ind w:firstLine="720"/>
      </w:pPr>
      <w:r>
        <w:t>traffic and a heavy first-</w:t>
      </w:r>
      <w:proofErr w:type="gramStart"/>
      <w:r>
        <w:t>responder presence</w:t>
      </w:r>
      <w:proofErr w:type="gramEnd"/>
      <w:r>
        <w:t xml:space="preserve"> established sufficient evidence that</w:t>
      </w:r>
    </w:p>
    <w:p w14:paraId="69A7479D" w14:textId="77777777" w:rsidR="001B7551" w:rsidRDefault="001B7551" w:rsidP="001B7551">
      <w:pPr>
        <w:pStyle w:val="NoSpacing"/>
        <w:ind w:firstLine="720"/>
      </w:pPr>
      <w:r>
        <w:t>Bissell acted knowingly when he hit Tetrick in the roadway because it was probable</w:t>
      </w:r>
    </w:p>
    <w:p w14:paraId="5173346A" w14:textId="77777777" w:rsidR="001B7551" w:rsidRDefault="001B7551" w:rsidP="001B7551">
      <w:pPr>
        <w:pStyle w:val="NoSpacing"/>
        <w:ind w:firstLine="720"/>
      </w:pPr>
      <w:r>
        <w:t>that Bissell’s conduct would cause physical harm…. (</w:t>
      </w:r>
      <w:proofErr w:type="spellStart"/>
      <w:r>
        <w:t>Celebrezze</w:t>
      </w:r>
      <w:proofErr w:type="spellEnd"/>
      <w:r>
        <w:t>, J.,</w:t>
      </w:r>
    </w:p>
    <w:p w14:paraId="4BAEB34E" w14:textId="77777777" w:rsidR="001B7551" w:rsidRDefault="001B7551" w:rsidP="001B7551">
      <w:pPr>
        <w:pStyle w:val="NoSpacing"/>
        <w:ind w:firstLine="720"/>
      </w:pPr>
      <w:r>
        <w:t xml:space="preserve">dissenting). With respect to the failure-to-comply charge, Judge </w:t>
      </w:r>
      <w:proofErr w:type="spellStart"/>
      <w:r>
        <w:t>Celebrezze</w:t>
      </w:r>
      <w:proofErr w:type="spellEnd"/>
    </w:p>
    <w:p w14:paraId="0821874A" w14:textId="77777777" w:rsidR="001B7551" w:rsidRDefault="001B7551" w:rsidP="001B7551">
      <w:pPr>
        <w:pStyle w:val="NoSpacing"/>
        <w:ind w:firstLine="720"/>
      </w:pPr>
      <w:r>
        <w:t>reasoned that the parked police vehicles with flashing lights on the highway served</w:t>
      </w:r>
    </w:p>
    <w:p w14:paraId="094FCE18" w14:textId="77777777" w:rsidR="001B7551" w:rsidRDefault="001B7551" w:rsidP="001B7551">
      <w:pPr>
        <w:pStyle w:val="NoSpacing"/>
        <w:ind w:firstLine="720"/>
      </w:pPr>
      <w:r>
        <w:t>as an order or direction from police officers…. (</w:t>
      </w:r>
      <w:proofErr w:type="spellStart"/>
      <w:r>
        <w:t>Celebrezze</w:t>
      </w:r>
      <w:proofErr w:type="spellEnd"/>
      <w:r>
        <w:t>, J., dissenting).</w:t>
      </w:r>
    </w:p>
    <w:p w14:paraId="55A228A3" w14:textId="77777777" w:rsidR="001B7551" w:rsidRDefault="001B7551" w:rsidP="001B7551">
      <w:pPr>
        <w:pStyle w:val="NoSpacing"/>
        <w:ind w:firstLine="720"/>
      </w:pPr>
    </w:p>
    <w:p w14:paraId="48FDDEB7" w14:textId="77777777" w:rsidR="001B7551" w:rsidRDefault="001B7551" w:rsidP="001B7551">
      <w:pPr>
        <w:pStyle w:val="NoSpacing"/>
        <w:ind w:firstLine="720"/>
      </w:pPr>
      <w:r>
        <w:t>***</w:t>
      </w:r>
    </w:p>
    <w:p w14:paraId="4E55E2BA" w14:textId="77777777" w:rsidR="001B7551" w:rsidRDefault="001B7551" w:rsidP="001B7551">
      <w:pPr>
        <w:pStyle w:val="NoSpacing"/>
        <w:ind w:firstLine="720"/>
      </w:pPr>
      <w:r>
        <w:t>Considering the evidence in this case in the light most favorable to</w:t>
      </w:r>
    </w:p>
    <w:p w14:paraId="4FE7E804" w14:textId="77777777" w:rsidR="001B7551" w:rsidRDefault="001B7551" w:rsidP="001B7551">
      <w:pPr>
        <w:pStyle w:val="NoSpacing"/>
        <w:ind w:firstLine="720"/>
      </w:pPr>
      <w:r>
        <w:t>the State, sufficient evidence exists to establish that Bissell was aware that his</w:t>
      </w:r>
    </w:p>
    <w:p w14:paraId="0EBCB141" w14:textId="77777777" w:rsidR="001B7551" w:rsidRDefault="001B7551" w:rsidP="001B7551">
      <w:pPr>
        <w:pStyle w:val="NoSpacing"/>
        <w:ind w:firstLine="720"/>
      </w:pPr>
      <w:r>
        <w:t>conduct would probably cause serious physical harm to a bystander or first</w:t>
      </w:r>
    </w:p>
    <w:p w14:paraId="77E8CF3F" w14:textId="77777777" w:rsidR="001B7551" w:rsidRDefault="001B7551" w:rsidP="001B7551">
      <w:pPr>
        <w:pStyle w:val="NoSpacing"/>
        <w:ind w:firstLine="720"/>
      </w:pPr>
      <w:r>
        <w:t>responder like Tetrick for purposes of Bissell’s felony-murder conviction.”</w:t>
      </w:r>
    </w:p>
    <w:p w14:paraId="39638C6A" w14:textId="77777777" w:rsidR="001B7551" w:rsidRDefault="001B7551" w:rsidP="001B7551">
      <w:pPr>
        <w:pStyle w:val="NoSpacing"/>
        <w:ind w:firstLine="720"/>
      </w:pPr>
    </w:p>
    <w:p w14:paraId="3B0E80F8" w14:textId="77777777" w:rsidR="001B7551" w:rsidRPr="00594AB3" w:rsidRDefault="001B7551" w:rsidP="001B7551">
      <w:pPr>
        <w:rPr>
          <w:b/>
          <w:bCs/>
        </w:rPr>
      </w:pPr>
      <w:r>
        <w:rPr>
          <w:b/>
        </w:rPr>
        <w:t xml:space="preserve">Legal lesson learned: Important decision; driver is held responsible for killing a firefighter at a busy accident scene. </w:t>
      </w:r>
    </w:p>
    <w:p w14:paraId="3676885B" w14:textId="77777777" w:rsidR="001B7551" w:rsidRDefault="001B7551" w:rsidP="001B7551">
      <w:pPr>
        <w:pStyle w:val="NoSpacing"/>
      </w:pPr>
    </w:p>
    <w:p w14:paraId="7C59D1DD" w14:textId="77777777" w:rsidR="001B7551" w:rsidRDefault="001B7551" w:rsidP="001B7551">
      <w:pPr>
        <w:pStyle w:val="NoSpacing"/>
      </w:pPr>
    </w:p>
    <w:p w14:paraId="1CD4FE14" w14:textId="77777777" w:rsidR="001B7551" w:rsidRDefault="001B7551" w:rsidP="001B7551">
      <w:pPr>
        <w:pStyle w:val="NoSpacing"/>
      </w:pPr>
    </w:p>
    <w:p w14:paraId="53BE5197" w14:textId="65978475" w:rsidR="001B7551" w:rsidRDefault="001B7551" w:rsidP="001B7551">
      <w:pPr>
        <w:rPr>
          <w:rFonts w:ascii="Arial Black" w:hAnsi="Arial Black"/>
          <w:sz w:val="28"/>
          <w:szCs w:val="28"/>
        </w:rPr>
      </w:pPr>
      <w:r>
        <w:rPr>
          <w:rFonts w:ascii="Arial Black" w:hAnsi="Arial Black"/>
          <w:sz w:val="24"/>
          <w:szCs w:val="24"/>
        </w:rPr>
        <w:t>2-112</w:t>
      </w:r>
    </w:p>
    <w:p w14:paraId="5CFB08BF" w14:textId="77777777" w:rsidR="001B7551" w:rsidRPr="00444200" w:rsidRDefault="001B7551" w:rsidP="001B7551">
      <w:pPr>
        <w:rPr>
          <w:rFonts w:ascii="Arial Black" w:hAnsi="Arial Black"/>
          <w:bCs/>
          <w:sz w:val="28"/>
          <w:szCs w:val="28"/>
        </w:rPr>
      </w:pPr>
      <w:r>
        <w:rPr>
          <w:rFonts w:ascii="Arial Black" w:hAnsi="Arial Black"/>
          <w:sz w:val="28"/>
          <w:szCs w:val="28"/>
        </w:rPr>
        <w:t xml:space="preserve">CA: DEF. SHOT &amp; KILLED CAPT – UNIFORMED FFs AT TRIAL </w:t>
      </w:r>
    </w:p>
    <w:p w14:paraId="258B63B3" w14:textId="77777777" w:rsidR="001B7551" w:rsidRDefault="001B7551" w:rsidP="001B7551">
      <w:pPr>
        <w:pStyle w:val="NoSpacing"/>
        <w:rPr>
          <w:bCs/>
        </w:rPr>
      </w:pPr>
      <w:r>
        <w:t xml:space="preserve">On May 29, 2026, in </w:t>
      </w:r>
      <w:r w:rsidRPr="004924E7">
        <w:rPr>
          <w:u w:val="single"/>
        </w:rPr>
        <w:t>The People v. Robert Alston Sommerville</w:t>
      </w:r>
      <w:r>
        <w:t xml:space="preserve">, the </w:t>
      </w:r>
      <w:r w:rsidRPr="004924E7">
        <w:t>California Court of Appeals, Third District, San Joaquin</w:t>
      </w:r>
      <w:r>
        <w:t xml:space="preserve"> held (3 to 0) the conviction was affirmed.  </w:t>
      </w:r>
      <w:r w:rsidRPr="0027757B">
        <w:t xml:space="preserve">Somerville was found guilty on Feb. 14, 2023, by a jury of the shooting death of 47-year-old Stockton Fire Capt. Vidal </w:t>
      </w:r>
      <w:r>
        <w:t>“</w:t>
      </w:r>
      <w:r w:rsidRPr="0027757B">
        <w:t>Max” Fortuna</w:t>
      </w:r>
      <w:r>
        <w:t xml:space="preserve">; he was sentenced </w:t>
      </w:r>
      <w:r w:rsidRPr="005D6C9B">
        <w:t>to 15 years to life in prison.</w:t>
      </w:r>
      <w:r>
        <w:t xml:space="preserve"> On January 31, 2022, at 4:45 am, </w:t>
      </w:r>
      <w:r w:rsidRPr="00000601">
        <w:t>a fire department dispatcher received</w:t>
      </w:r>
      <w:r>
        <w:t xml:space="preserve"> </w:t>
      </w:r>
      <w:r w:rsidRPr="00000601">
        <w:t>multiple calls regarding a fire near the Crosstown Freeway and Aurora Street in Stockton.</w:t>
      </w:r>
      <w:r>
        <w:t xml:space="preserve"> </w:t>
      </w:r>
      <w:r w:rsidRPr="00000601">
        <w:t>The dispatcher instructed Engine 2 to respond and described it as an outdoor fire. A few</w:t>
      </w:r>
      <w:r>
        <w:t xml:space="preserve"> </w:t>
      </w:r>
      <w:r w:rsidRPr="00000601">
        <w:t>minutes later, an alarm company called the dispatcher to report an audible alarm at a</w:t>
      </w:r>
      <w:r>
        <w:t xml:space="preserve"> </w:t>
      </w:r>
      <w:r w:rsidRPr="00000601">
        <w:t>commercial building at an address on South Aurora Street. The dispatcher then updated</w:t>
      </w:r>
      <w:r>
        <w:t xml:space="preserve"> </w:t>
      </w:r>
      <w:r w:rsidRPr="00000601">
        <w:t xml:space="preserve">Engine 2 </w:t>
      </w:r>
      <w:proofErr w:type="gramStart"/>
      <w:r w:rsidRPr="00000601">
        <w:t>on</w:t>
      </w:r>
      <w:proofErr w:type="gramEnd"/>
      <w:r w:rsidRPr="00000601">
        <w:t xml:space="preserve"> the building alarm and location.</w:t>
      </w:r>
      <w:r>
        <w:t xml:space="preserve"> </w:t>
      </w:r>
      <w:r w:rsidRPr="00B4394A">
        <w:t xml:space="preserve">Robert Somerville was living in </w:t>
      </w:r>
      <w:r>
        <w:t xml:space="preserve">his </w:t>
      </w:r>
      <w:r w:rsidRPr="00B4394A">
        <w:t>commercial building in Stockton</w:t>
      </w:r>
      <w:r>
        <w:t xml:space="preserve">; not </w:t>
      </w:r>
      <w:r w:rsidRPr="00B4394A">
        <w:t>realizing there was a fire outside and firefighters were trying to get in, defendant</w:t>
      </w:r>
      <w:r>
        <w:t xml:space="preserve"> </w:t>
      </w:r>
      <w:r w:rsidRPr="00B4394A">
        <w:t>grabbed his gun, announced he had a firearm, told the perceived intruders to move away,</w:t>
      </w:r>
      <w:r>
        <w:t xml:space="preserve"> </w:t>
      </w:r>
      <w:r w:rsidRPr="00B4394A">
        <w:t xml:space="preserve">and shot </w:t>
      </w:r>
      <w:r>
        <w:t>‘</w:t>
      </w:r>
      <w:r w:rsidRPr="00B4394A">
        <w:t>a couple rounds at the door.</w:t>
      </w:r>
      <w:r>
        <w:t xml:space="preserve">’ </w:t>
      </w:r>
      <w:r w:rsidRPr="00B4394A">
        <w:t xml:space="preserve"> Captain Max Fortuna (captain) was</w:t>
      </w:r>
      <w:r>
        <w:t xml:space="preserve"> </w:t>
      </w:r>
      <w:r w:rsidRPr="00B4394A">
        <w:t>struck and died.</w:t>
      </w:r>
      <w:r>
        <w:t xml:space="preserve">  THE COURT WROTE: “</w:t>
      </w:r>
      <w:r w:rsidRPr="00E4309D">
        <w:t>After the jury rendered its verdict, defendant filed a motion for new trial. Among</w:t>
      </w:r>
      <w:r>
        <w:t xml:space="preserve"> </w:t>
      </w:r>
      <w:r w:rsidRPr="00E4309D">
        <w:t>other things, he argued that the uniformed firefighter presence denied him a fair trial,</w:t>
      </w:r>
      <w:r>
        <w:t xml:space="preserve"> </w:t>
      </w:r>
      <w:r w:rsidRPr="00E4309D">
        <w:t xml:space="preserve">claiming there were over 25 uniformed firefighters in the courtroom at </w:t>
      </w:r>
      <w:proofErr w:type="gramStart"/>
      <w:r w:rsidRPr="00E4309D">
        <w:t>times</w:t>
      </w:r>
      <w:proofErr w:type="gramEnd"/>
      <w:r w:rsidRPr="00E4309D">
        <w:t xml:space="preserve"> and the</w:t>
      </w:r>
      <w:r>
        <w:t xml:space="preserve"> </w:t>
      </w:r>
      <w:r w:rsidRPr="00E4309D">
        <w:t xml:space="preserve">hallway was </w:t>
      </w:r>
      <w:r>
        <w:t>‘</w:t>
      </w:r>
      <w:r w:rsidRPr="00E4309D">
        <w:t>packed with clusters of firefighters in uniform</w:t>
      </w:r>
      <w:r>
        <w:t>’</w:t>
      </w:r>
      <w:r w:rsidRPr="00E4309D">
        <w:t xml:space="preserve"> in the morning and after</w:t>
      </w:r>
      <w:r>
        <w:t xml:space="preserve"> </w:t>
      </w:r>
      <w:r w:rsidRPr="00E4309D">
        <w:t xml:space="preserve">lunch. At the hearing on the motion, defendant also argued </w:t>
      </w:r>
      <w:proofErr w:type="gramStart"/>
      <w:r w:rsidRPr="00E4309D">
        <w:t xml:space="preserve">that </w:t>
      </w:r>
      <w:r>
        <w:t>‘</w:t>
      </w:r>
      <w:r w:rsidRPr="00E4309D">
        <w:t>[</w:t>
      </w:r>
      <w:proofErr w:type="gramEnd"/>
      <w:r w:rsidRPr="00E4309D">
        <w:t>E]</w:t>
      </w:r>
      <w:proofErr w:type="spellStart"/>
      <w:r w:rsidRPr="00E4309D">
        <w:t>ngine</w:t>
      </w:r>
      <w:proofErr w:type="spellEnd"/>
      <w:r w:rsidRPr="00E4309D">
        <w:t xml:space="preserve"> 2 [had] circled</w:t>
      </w:r>
      <w:r>
        <w:t xml:space="preserve"> </w:t>
      </w:r>
      <w:r w:rsidRPr="00E4309D">
        <w:t>this courthouse almost every day during the lunch hour.</w:t>
      </w:r>
      <w:r>
        <w:t xml:space="preserve">’ </w:t>
      </w:r>
      <w:r w:rsidRPr="00E4309D">
        <w:t>The court denied the motion, citing (1) its records on the number of uniformed</w:t>
      </w:r>
      <w:r>
        <w:t xml:space="preserve"> </w:t>
      </w:r>
      <w:r w:rsidRPr="00E4309D">
        <w:t>firefighters in the courtroom; (2) the fact that the jury went to the jury room rather than</w:t>
      </w:r>
      <w:r>
        <w:t xml:space="preserve"> </w:t>
      </w:r>
      <w:r w:rsidRPr="00E4309D">
        <w:t>the hallway during breaks; (3) the fact that it did not witness or become aware of any</w:t>
      </w:r>
      <w:r>
        <w:t xml:space="preserve"> </w:t>
      </w:r>
      <w:r w:rsidRPr="00E4309D">
        <w:t>intimidating conduct; (4) the fact that the jury never saw more uniformed firefighters than</w:t>
      </w:r>
      <w:r>
        <w:t xml:space="preserve"> </w:t>
      </w:r>
      <w:r w:rsidRPr="00E4309D">
        <w:t>civilians; (5) the right of firefighters to watch the trial just like any member of the public;</w:t>
      </w:r>
      <w:r>
        <w:t xml:space="preserve"> </w:t>
      </w:r>
      <w:r w:rsidRPr="00E4309D">
        <w:t>and (6) the jurors’ agreement during voir dire not be influenced by hearing a firefighter</w:t>
      </w:r>
      <w:r>
        <w:t xml:space="preserve"> </w:t>
      </w:r>
      <w:r w:rsidRPr="00E4309D">
        <w:t>case or having firefighters in the audience</w:t>
      </w:r>
      <w:r>
        <w:t xml:space="preserve">. *** </w:t>
      </w:r>
      <w:r w:rsidRPr="00DD512F">
        <w:t>Defendant contends the presence of uniformed firefighters in the courtroom and</w:t>
      </w:r>
      <w:r>
        <w:t xml:space="preserve"> </w:t>
      </w:r>
      <w:r w:rsidRPr="00DD512F">
        <w:t>the circling of Engine 2 during the lunch hour denied him a fair trial. In support, he cites</w:t>
      </w:r>
      <w:r>
        <w:t xml:space="preserve"> </w:t>
      </w:r>
      <w:r w:rsidRPr="00DD512F">
        <w:t>the number of firefighters in the hallway in the morning and at lunch and the many media</w:t>
      </w:r>
      <w:r>
        <w:t xml:space="preserve"> </w:t>
      </w:r>
      <w:r w:rsidRPr="00DD512F">
        <w:t xml:space="preserve">requests indicating the </w:t>
      </w:r>
      <w:r>
        <w:t>‘</w:t>
      </w:r>
      <w:r w:rsidRPr="00DD512F">
        <w:t>local community’s close and strong relationship with the</w:t>
      </w:r>
      <w:r>
        <w:t xml:space="preserve"> </w:t>
      </w:r>
      <w:r w:rsidRPr="00DD512F">
        <w:t>firefighters.</w:t>
      </w:r>
      <w:r>
        <w:t>’</w:t>
      </w:r>
      <w:r w:rsidRPr="00DD512F">
        <w:t xml:space="preserve"> We are not persuaded.</w:t>
      </w:r>
      <w:r>
        <w:t xml:space="preserve">*** </w:t>
      </w:r>
      <w:r w:rsidRPr="000E4EF6">
        <w:t>Here, the trial court acted within its discretion. At the beginning and end of trial,</w:t>
      </w:r>
      <w:r>
        <w:t xml:space="preserve"> </w:t>
      </w:r>
      <w:r w:rsidRPr="000E4EF6">
        <w:t xml:space="preserve">the court instructed the jury against </w:t>
      </w:r>
      <w:r w:rsidRPr="000E4EF6">
        <w:lastRenderedPageBreak/>
        <w:t>letting bias influence its decision, and both parties</w:t>
      </w:r>
      <w:r>
        <w:t xml:space="preserve"> </w:t>
      </w:r>
      <w:r w:rsidRPr="000E4EF6">
        <w:t>reinforced that instruction in closing arguments. The court noted it never saw more</w:t>
      </w:r>
      <w:r>
        <w:t xml:space="preserve"> </w:t>
      </w:r>
      <w:r w:rsidRPr="000E4EF6">
        <w:t>uniformed firefighters than civilians in the courtroom, and that observation does not</w:t>
      </w:r>
      <w:r>
        <w:t xml:space="preserve"> </w:t>
      </w:r>
      <w:r w:rsidRPr="000E4EF6">
        <w:t>conflict with counsel’s statements on the record. And counsel never objected to</w:t>
      </w:r>
      <w:r>
        <w:t xml:space="preserve"> </w:t>
      </w:r>
      <w:r w:rsidRPr="000E4EF6">
        <w:t>firefighter presence in the hallways.</w:t>
      </w:r>
      <w:r>
        <w:t xml:space="preserve">” </w:t>
      </w:r>
    </w:p>
    <w:p w14:paraId="6F7C9B79" w14:textId="77777777" w:rsidR="001B7551" w:rsidRDefault="001B7551" w:rsidP="001B7551">
      <w:pPr>
        <w:pStyle w:val="NoSpacing"/>
        <w:rPr>
          <w:b/>
        </w:rPr>
      </w:pPr>
      <w:r w:rsidRPr="00DD512F">
        <w:t xml:space="preserve"> </w:t>
      </w:r>
      <w:hyperlink r:id="rId390" w:history="1">
        <w:r w:rsidRPr="00DD512F">
          <w:rPr>
            <w:rStyle w:val="Hyperlink"/>
          </w:rPr>
          <w:t>https://www4.courts.ca.gov/opinions/nonpub/C102004.PDF</w:t>
        </w:r>
      </w:hyperlink>
      <w:r>
        <w:rPr>
          <w:b/>
        </w:rPr>
        <w:t xml:space="preserve"> </w:t>
      </w:r>
    </w:p>
    <w:p w14:paraId="1A655BCF" w14:textId="77777777" w:rsidR="001B7551" w:rsidRDefault="001B7551" w:rsidP="001B7551">
      <w:pPr>
        <w:rPr>
          <w:bCs/>
        </w:rPr>
      </w:pPr>
      <w:r>
        <w:t xml:space="preserve"> </w:t>
      </w:r>
    </w:p>
    <w:p w14:paraId="3D7FC893" w14:textId="77777777" w:rsidR="001B7551" w:rsidRPr="00897771" w:rsidRDefault="001B7551" w:rsidP="001B7551">
      <w:pPr>
        <w:rPr>
          <w:bCs/>
        </w:rPr>
      </w:pPr>
      <w:r>
        <w:t xml:space="preserve">THE COURT HELD: </w:t>
      </w:r>
    </w:p>
    <w:p w14:paraId="6A3E87F7" w14:textId="77777777" w:rsidR="001B7551" w:rsidRPr="00000601" w:rsidRDefault="001B7551" w:rsidP="001B7551">
      <w:pPr>
        <w:pStyle w:val="NoSpacing"/>
        <w:ind w:firstLine="720"/>
      </w:pPr>
      <w:r>
        <w:t>“</w:t>
      </w:r>
      <w:r w:rsidRPr="00000601">
        <w:t>Engine 2 arrived carrying three firefighters – the driver, a probationary firefighter,</w:t>
      </w:r>
    </w:p>
    <w:p w14:paraId="7BF30364" w14:textId="77777777" w:rsidR="001B7551" w:rsidRPr="00000601" w:rsidRDefault="001B7551" w:rsidP="001B7551">
      <w:pPr>
        <w:pStyle w:val="NoSpacing"/>
        <w:ind w:firstLine="720"/>
      </w:pPr>
      <w:r w:rsidRPr="00000601">
        <w:t>and captain. After opening the outer property gate with a saw, probationary firefighter</w:t>
      </w:r>
    </w:p>
    <w:p w14:paraId="34D60C6A" w14:textId="77777777" w:rsidR="001B7551" w:rsidRPr="00000601" w:rsidRDefault="001B7551" w:rsidP="001B7551">
      <w:pPr>
        <w:pStyle w:val="NoSpacing"/>
        <w:ind w:firstLine="720"/>
      </w:pPr>
      <w:r w:rsidRPr="00000601">
        <w:t>started spraying the area. Captain told them they needed to get inside the building, so he</w:t>
      </w:r>
    </w:p>
    <w:p w14:paraId="12A7065E" w14:textId="77777777" w:rsidR="001B7551" w:rsidRPr="00000601" w:rsidRDefault="001B7551" w:rsidP="001B7551">
      <w:pPr>
        <w:pStyle w:val="NoSpacing"/>
        <w:ind w:firstLine="720"/>
      </w:pPr>
      <w:r w:rsidRPr="00000601">
        <w:t>and driver went to a roll-up door and started cutting into the padlocks with a saw and an</w:t>
      </w:r>
    </w:p>
    <w:p w14:paraId="2CABFF0B" w14:textId="77777777" w:rsidR="001B7551" w:rsidRDefault="001B7551" w:rsidP="001B7551">
      <w:pPr>
        <w:pStyle w:val="NoSpacing"/>
        <w:ind w:firstLine="720"/>
      </w:pPr>
      <w:r w:rsidRPr="00000601">
        <w:t>angle grinder.</w:t>
      </w:r>
    </w:p>
    <w:p w14:paraId="5D6419FE" w14:textId="77777777" w:rsidR="001B7551" w:rsidRDefault="001B7551" w:rsidP="001B7551">
      <w:pPr>
        <w:pStyle w:val="NoSpacing"/>
        <w:ind w:firstLine="720"/>
      </w:pPr>
    </w:p>
    <w:p w14:paraId="64460CAC" w14:textId="77777777" w:rsidR="001B7551" w:rsidRDefault="001B7551" w:rsidP="001B7551">
      <w:pPr>
        <w:pStyle w:val="NoSpacing"/>
        <w:ind w:firstLine="720"/>
      </w:pPr>
      <w:r>
        <w:t>Meanwhile, inside the building, defendant was asleep in his room. One of his</w:t>
      </w:r>
    </w:p>
    <w:p w14:paraId="6E6115CC" w14:textId="77777777" w:rsidR="001B7551" w:rsidRDefault="001B7551" w:rsidP="001B7551">
      <w:pPr>
        <w:pStyle w:val="NoSpacing"/>
        <w:ind w:firstLine="720"/>
      </w:pPr>
      <w:r>
        <w:t>employees (</w:t>
      </w:r>
      <w:proofErr w:type="gramStart"/>
      <w:r>
        <w:t>employee</w:t>
      </w:r>
      <w:proofErr w:type="gramEnd"/>
      <w:r>
        <w:t xml:space="preserve">) </w:t>
      </w:r>
      <w:proofErr w:type="gramStart"/>
      <w:r>
        <w:t>was</w:t>
      </w:r>
      <w:proofErr w:type="gramEnd"/>
      <w:r>
        <w:t xml:space="preserve"> also inside the building sleeping in a trailer. </w:t>
      </w:r>
      <w:proofErr w:type="gramStart"/>
      <w:r>
        <w:t>Defendant</w:t>
      </w:r>
      <w:proofErr w:type="gramEnd"/>
      <w:r>
        <w:t xml:space="preserve"> </w:t>
      </w:r>
      <w:proofErr w:type="gramStart"/>
      <w:r>
        <w:t>woke</w:t>
      </w:r>
      <w:proofErr w:type="gramEnd"/>
    </w:p>
    <w:p w14:paraId="1D8E21DB" w14:textId="77777777" w:rsidR="001B7551" w:rsidRDefault="001B7551" w:rsidP="001B7551">
      <w:pPr>
        <w:pStyle w:val="NoSpacing"/>
        <w:ind w:firstLine="720"/>
      </w:pPr>
      <w:r>
        <w:t>to the sound of cutting noises in the back of the building that made him think someone</w:t>
      </w:r>
    </w:p>
    <w:p w14:paraId="70B59404" w14:textId="77777777" w:rsidR="001B7551" w:rsidRDefault="001B7551" w:rsidP="001B7551">
      <w:pPr>
        <w:pStyle w:val="NoSpacing"/>
        <w:ind w:firstLine="720"/>
      </w:pPr>
      <w:r>
        <w:t>was trying to break in. He didn’t know there was a fire happening. He did smell smoke,</w:t>
      </w:r>
    </w:p>
    <w:p w14:paraId="00FC45E8" w14:textId="77777777" w:rsidR="001B7551" w:rsidRDefault="001B7551" w:rsidP="001B7551">
      <w:pPr>
        <w:pStyle w:val="NoSpacing"/>
        <w:ind w:firstLine="720"/>
      </w:pPr>
      <w:r>
        <w:t>but it smelled the ‘same way [as] when you’re cutting metal.’ He ‘went out there and</w:t>
      </w:r>
    </w:p>
    <w:p w14:paraId="691290D9" w14:textId="77777777" w:rsidR="001B7551" w:rsidRDefault="001B7551" w:rsidP="001B7551">
      <w:pPr>
        <w:pStyle w:val="NoSpacing"/>
        <w:ind w:firstLine="720"/>
      </w:pPr>
      <w:r>
        <w:t>said, ‘Move away from the building</w:t>
      </w:r>
      <w:proofErr w:type="gramStart"/>
      <w:r>
        <w:t>.</w:t>
      </w:r>
      <w:proofErr w:type="gramEnd"/>
      <w:r>
        <w:t xml:space="preserve"> I have a firearm.’  After ‘nobody said anything,’</w:t>
      </w:r>
    </w:p>
    <w:p w14:paraId="084BBE30" w14:textId="77777777" w:rsidR="001B7551" w:rsidRDefault="001B7551" w:rsidP="001B7551">
      <w:pPr>
        <w:pStyle w:val="NoSpacing"/>
        <w:ind w:firstLine="720"/>
      </w:pPr>
      <w:r>
        <w:t>he ‘squeezed a couple of rounds at the door,’ specifically ‘down in the corner’ because</w:t>
      </w:r>
    </w:p>
    <w:p w14:paraId="5CCBDED9" w14:textId="77777777" w:rsidR="001B7551" w:rsidRDefault="001B7551" w:rsidP="001B7551">
      <w:pPr>
        <w:pStyle w:val="NoSpacing"/>
        <w:ind w:firstLine="720"/>
      </w:pPr>
      <w:r>
        <w:t>he was ‘not trying to shoot anybody.’ He just wanted to ‘scare them off’ because he:</w:t>
      </w:r>
    </w:p>
    <w:p w14:paraId="14311981" w14:textId="77777777" w:rsidR="001B7551" w:rsidRDefault="001B7551" w:rsidP="001B7551">
      <w:pPr>
        <w:pStyle w:val="NoSpacing"/>
        <w:ind w:firstLine="720"/>
      </w:pPr>
      <w:r>
        <w:t>(1) had a ‘problem with people trying to break in,’ (2) had ‘a lot of valuable equipment</w:t>
      </w:r>
    </w:p>
    <w:p w14:paraId="3AAC2834" w14:textId="77777777" w:rsidR="001B7551" w:rsidRDefault="001B7551" w:rsidP="001B7551">
      <w:pPr>
        <w:pStyle w:val="NoSpacing"/>
        <w:ind w:firstLine="720"/>
      </w:pPr>
      <w:r>
        <w:t>in there,’ (3) had a ‘problem in the back trailer with homeless people,’ and (4) figured</w:t>
      </w:r>
    </w:p>
    <w:p w14:paraId="798F3186" w14:textId="77777777" w:rsidR="001B7551" w:rsidRDefault="001B7551" w:rsidP="001B7551">
      <w:pPr>
        <w:pStyle w:val="NoSpacing"/>
        <w:ind w:firstLine="720"/>
      </w:pPr>
      <w:r>
        <w:t>people brazen enough to break in had to be armed. He also had macular degeneration</w:t>
      </w:r>
    </w:p>
    <w:p w14:paraId="056BCB55" w14:textId="77777777" w:rsidR="001B7551" w:rsidRDefault="001B7551" w:rsidP="001B7551">
      <w:pPr>
        <w:pStyle w:val="NoSpacing"/>
        <w:ind w:firstLine="720"/>
      </w:pPr>
      <w:r>
        <w:t>and could not see well in the dark. At some point, he woke employee and told her to call</w:t>
      </w:r>
    </w:p>
    <w:p w14:paraId="136433DA" w14:textId="77777777" w:rsidR="001B7551" w:rsidRDefault="001B7551" w:rsidP="001B7551">
      <w:pPr>
        <w:pStyle w:val="NoSpacing"/>
        <w:ind w:firstLine="720"/>
      </w:pPr>
      <w:r>
        <w:t>for help, which she did by calling 911 twice. Employee later testified that defendant</w:t>
      </w:r>
    </w:p>
    <w:p w14:paraId="0625FFFA" w14:textId="77777777" w:rsidR="001B7551" w:rsidRDefault="001B7551" w:rsidP="001B7551">
      <w:pPr>
        <w:pStyle w:val="NoSpacing"/>
        <w:ind w:firstLine="720"/>
      </w:pPr>
      <w:r>
        <w:t>saved her life that day by waking her up.</w:t>
      </w:r>
    </w:p>
    <w:p w14:paraId="7AD9BBC2" w14:textId="77777777" w:rsidR="001B7551" w:rsidRDefault="001B7551" w:rsidP="001B7551">
      <w:pPr>
        <w:pStyle w:val="NoSpacing"/>
        <w:ind w:firstLine="720"/>
      </w:pPr>
    </w:p>
    <w:p w14:paraId="0E050C8C" w14:textId="77777777" w:rsidR="001B7551" w:rsidRDefault="001B7551" w:rsidP="001B7551">
      <w:pPr>
        <w:pStyle w:val="NoSpacing"/>
        <w:ind w:firstLine="720"/>
      </w:pPr>
      <w:r>
        <w:t>***</w:t>
      </w:r>
    </w:p>
    <w:p w14:paraId="72BF0F21" w14:textId="77777777" w:rsidR="001B7551" w:rsidRDefault="001B7551" w:rsidP="001B7551">
      <w:pPr>
        <w:pStyle w:val="NoSpacing"/>
        <w:ind w:left="720"/>
      </w:pPr>
      <w:r>
        <w:t xml:space="preserve">The court also avoided unnecessary juror exposure to spectators by returning jurors to the jury room during breaks. Even assuming the multiple media requests evidenced a “close and strong relationship” between the community and the firefighters, as defendant argues, we conclude the court properly exercised its discretion to guard against any improper influence or pressure without impairing the firefighters’ rights to attend the trial. For these reasons, we conclude the presence of uniformed firefighters at trial was not inherently prejudicial. And because </w:t>
      </w:r>
      <w:proofErr w:type="gramStart"/>
      <w:r>
        <w:t>defendant does</w:t>
      </w:r>
      <w:proofErr w:type="gramEnd"/>
      <w:r>
        <w:t xml:space="preserve"> not contend there was actual prejudice, we reject his fair trial claim.</w:t>
      </w:r>
    </w:p>
    <w:p w14:paraId="26B44EA4" w14:textId="77777777" w:rsidR="001B7551" w:rsidRDefault="001B7551" w:rsidP="001B7551">
      <w:pPr>
        <w:pStyle w:val="NoSpacing"/>
        <w:ind w:left="720"/>
      </w:pPr>
    </w:p>
    <w:p w14:paraId="6E39A18C" w14:textId="77777777" w:rsidR="001B7551" w:rsidRDefault="001B7551" w:rsidP="001B7551">
      <w:pPr>
        <w:pStyle w:val="NoSpacing"/>
        <w:ind w:left="720"/>
      </w:pPr>
      <w:r>
        <w:t>***</w:t>
      </w:r>
    </w:p>
    <w:p w14:paraId="33F76C00" w14:textId="77777777" w:rsidR="001B7551" w:rsidRDefault="001B7551" w:rsidP="001B7551">
      <w:pPr>
        <w:pStyle w:val="NoSpacing"/>
        <w:ind w:left="720"/>
      </w:pPr>
      <w:r>
        <w:t>Here, the trial court instructed the jury that defendant was not guilty of murder if,</w:t>
      </w:r>
    </w:p>
    <w:p w14:paraId="35F70475" w14:textId="77777777" w:rsidR="001B7551" w:rsidRDefault="001B7551" w:rsidP="001B7551">
      <w:pPr>
        <w:pStyle w:val="NoSpacing"/>
        <w:ind w:left="720"/>
      </w:pPr>
      <w:r>
        <w:t>among other requirements, he reasonably believed he was defending a home from</w:t>
      </w:r>
    </w:p>
    <w:p w14:paraId="6072C8C7" w14:textId="77777777" w:rsidR="001B7551" w:rsidRDefault="001B7551" w:rsidP="001B7551">
      <w:pPr>
        <w:pStyle w:val="NoSpacing"/>
        <w:ind w:left="720"/>
      </w:pPr>
      <w:r>
        <w:t>someone who intended or tried to commit a robbery ‘whose character and manner</w:t>
      </w:r>
    </w:p>
    <w:p w14:paraId="2E8D770D" w14:textId="77777777" w:rsidR="001B7551" w:rsidRDefault="001B7551" w:rsidP="001B7551">
      <w:pPr>
        <w:pStyle w:val="NoSpacing"/>
        <w:ind w:left="720"/>
      </w:pPr>
      <w:r>
        <w:t>reasonably created a fear of death or serious bodily harm’ or ‘violently or tumultuously</w:t>
      </w:r>
    </w:p>
    <w:p w14:paraId="041CF1C3" w14:textId="77777777" w:rsidR="001B7551" w:rsidRDefault="001B7551" w:rsidP="001B7551">
      <w:pPr>
        <w:pStyle w:val="NoSpacing"/>
        <w:ind w:left="720"/>
      </w:pPr>
      <w:r>
        <w:t>tried to enter that home intending to commit an act of violence against someone inside.’</w:t>
      </w:r>
    </w:p>
    <w:p w14:paraId="6573769E" w14:textId="77777777" w:rsidR="001B7551" w:rsidRDefault="001B7551" w:rsidP="001B7551">
      <w:pPr>
        <w:pStyle w:val="NoSpacing"/>
        <w:ind w:left="720"/>
      </w:pPr>
      <w:r>
        <w:t>This instruction accurately stated the law as applied to the facts.”</w:t>
      </w:r>
    </w:p>
    <w:p w14:paraId="199A6EC2" w14:textId="77777777" w:rsidR="001B7551" w:rsidRDefault="001B7551" w:rsidP="001B7551">
      <w:pPr>
        <w:pStyle w:val="NoSpacing"/>
        <w:ind w:left="720"/>
      </w:pPr>
    </w:p>
    <w:p w14:paraId="5497B668" w14:textId="77777777" w:rsidR="001B7551" w:rsidRPr="00B53984" w:rsidRDefault="001B7551" w:rsidP="001B7551">
      <w:pPr>
        <w:rPr>
          <w:b/>
          <w:bCs/>
        </w:rPr>
      </w:pPr>
      <w:r>
        <w:rPr>
          <w:b/>
        </w:rPr>
        <w:t xml:space="preserve">Legal lesson learned: The defendant received a fair trial, with uniformed firefighters in attendance. </w:t>
      </w:r>
    </w:p>
    <w:p w14:paraId="5B3D9AE2" w14:textId="77777777" w:rsidR="001B7551" w:rsidRPr="007213A9" w:rsidRDefault="001B7551" w:rsidP="001B7551">
      <w:pPr>
        <w:pStyle w:val="NoSpacing"/>
        <w:ind w:left="720"/>
      </w:pPr>
      <w:r w:rsidRPr="007213A9">
        <w:t xml:space="preserve">Note: See Aug. 22, </w:t>
      </w:r>
      <w:proofErr w:type="gramStart"/>
      <w:r w:rsidRPr="007213A9">
        <w:t>2024</w:t>
      </w:r>
      <w:proofErr w:type="gramEnd"/>
      <w:r w:rsidRPr="007213A9">
        <w:t xml:space="preserve"> article: </w:t>
      </w:r>
      <w:r>
        <w:t>“</w:t>
      </w:r>
      <w:r w:rsidRPr="007213A9">
        <w:t>Man given 15 years to life for fatally shooting fire captain in 2022.</w:t>
      </w:r>
      <w:r>
        <w:t>”</w:t>
      </w:r>
      <w:r w:rsidRPr="007213A9">
        <w:t xml:space="preserve"> </w:t>
      </w:r>
      <w:hyperlink r:id="rId391" w:history="1">
        <w:r w:rsidRPr="007213A9">
          <w:rPr>
            <w:rStyle w:val="Hyperlink"/>
          </w:rPr>
          <w:t>https://stocktonia.org/news/public-safety/2024/08/22/man-given-15-years-to-life-for-fatally-shooting-fire-captain-in-2022/</w:t>
        </w:r>
      </w:hyperlink>
      <w:r w:rsidRPr="007213A9">
        <w:t xml:space="preserve"> </w:t>
      </w:r>
    </w:p>
    <w:p w14:paraId="656BA78A" w14:textId="77777777" w:rsidR="001B7551" w:rsidRDefault="001B7551" w:rsidP="001B7551">
      <w:pPr>
        <w:pStyle w:val="NoSpacing"/>
        <w:rPr>
          <w:bCs/>
        </w:rPr>
      </w:pPr>
    </w:p>
    <w:p w14:paraId="6E07585C" w14:textId="77777777" w:rsidR="001B7551" w:rsidRDefault="001B7551" w:rsidP="001B7551">
      <w:pPr>
        <w:pStyle w:val="NoSpacing"/>
        <w:rPr>
          <w:bCs/>
        </w:rPr>
      </w:pPr>
    </w:p>
    <w:p w14:paraId="2AD5AB99" w14:textId="77777777" w:rsidR="001B7551" w:rsidRDefault="001B7551" w:rsidP="001B7551">
      <w:pPr>
        <w:pStyle w:val="NoSpacing"/>
        <w:rPr>
          <w:bCs/>
        </w:rPr>
      </w:pPr>
    </w:p>
    <w:p w14:paraId="6224CEE4" w14:textId="77777777" w:rsidR="001B7551" w:rsidRDefault="001B7551" w:rsidP="001B7551">
      <w:pPr>
        <w:pStyle w:val="NoSpacing"/>
        <w:rPr>
          <w:bCs/>
        </w:rPr>
      </w:pPr>
    </w:p>
    <w:p w14:paraId="3921F784" w14:textId="77777777" w:rsidR="001B7551" w:rsidRDefault="001B7551" w:rsidP="001B7551">
      <w:pPr>
        <w:pStyle w:val="NoSpacing"/>
        <w:rPr>
          <w:bCs/>
        </w:rPr>
      </w:pPr>
    </w:p>
    <w:p w14:paraId="67215200" w14:textId="77777777" w:rsidR="001B7551" w:rsidRDefault="001B7551" w:rsidP="001B7551">
      <w:pPr>
        <w:pStyle w:val="NoSpacing"/>
        <w:rPr>
          <w:bCs/>
        </w:rPr>
      </w:pPr>
    </w:p>
    <w:p w14:paraId="37C3A343" w14:textId="708FA99B" w:rsidR="001B7551" w:rsidRDefault="001B7551" w:rsidP="001B7551">
      <w:pPr>
        <w:rPr>
          <w:rFonts w:ascii="Arial Black" w:hAnsi="Arial Black"/>
          <w:sz w:val="28"/>
          <w:szCs w:val="28"/>
        </w:rPr>
      </w:pPr>
      <w:r>
        <w:rPr>
          <w:rFonts w:ascii="Arial Black" w:hAnsi="Arial Black"/>
          <w:sz w:val="24"/>
          <w:szCs w:val="24"/>
        </w:rPr>
        <w:t>2-111</w:t>
      </w:r>
    </w:p>
    <w:p w14:paraId="1B61B702" w14:textId="77777777" w:rsidR="001B7551" w:rsidRPr="009501FD" w:rsidRDefault="001B7551" w:rsidP="001B7551">
      <w:pPr>
        <w:pStyle w:val="NoSpacing"/>
        <w:rPr>
          <w:bCs/>
        </w:rPr>
      </w:pPr>
    </w:p>
    <w:p w14:paraId="0EB6865F" w14:textId="77777777" w:rsidR="001B7551" w:rsidRPr="00F81800" w:rsidRDefault="001B7551" w:rsidP="001B7551">
      <w:pPr>
        <w:pStyle w:val="NoSpacing"/>
        <w:rPr>
          <w:rFonts w:ascii="Arial Black" w:hAnsi="Arial Black"/>
          <w:sz w:val="28"/>
          <w:szCs w:val="28"/>
        </w:rPr>
      </w:pPr>
      <w:r>
        <w:rPr>
          <w:rFonts w:ascii="Arial Black" w:hAnsi="Arial Black"/>
          <w:sz w:val="28"/>
          <w:szCs w:val="28"/>
        </w:rPr>
        <w:t>MO: LODD PAYMENT - MUST FILE 1-YR – EVEN WC GRANTED</w:t>
      </w:r>
    </w:p>
    <w:p w14:paraId="0B4D984C" w14:textId="77777777" w:rsidR="001B7551" w:rsidRDefault="001B7551" w:rsidP="001B7551">
      <w:pPr>
        <w:pStyle w:val="NoSpacing"/>
      </w:pPr>
    </w:p>
    <w:p w14:paraId="3AD84E69" w14:textId="77777777" w:rsidR="001B7551" w:rsidRDefault="001B7551" w:rsidP="001B7551">
      <w:pPr>
        <w:pStyle w:val="NoSpacing"/>
        <w:rPr>
          <w:b/>
          <w:bCs/>
        </w:rPr>
      </w:pPr>
      <w:r>
        <w:t xml:space="preserve">On May 26, 2026, in </w:t>
      </w:r>
      <w:r w:rsidRPr="006D5499">
        <w:rPr>
          <w:u w:val="single"/>
        </w:rPr>
        <w:t>Patrick Brian Williams (Deceased), and Jennifer Williams v. City of Kansas City, et al</w:t>
      </w:r>
      <w:r>
        <w:t xml:space="preserve">., the </w:t>
      </w:r>
      <w:r w:rsidRPr="006D5499">
        <w:t>Court of Appeals of Missouri, Western District, Second Division</w:t>
      </w:r>
      <w:r>
        <w:t xml:space="preserve"> held (3 to 0) that the </w:t>
      </w:r>
      <w:r w:rsidRPr="00001213">
        <w:t>Labor and</w:t>
      </w:r>
      <w:r>
        <w:t xml:space="preserve"> </w:t>
      </w:r>
      <w:r w:rsidRPr="00001213">
        <w:t>Industrial Relations Commission</w:t>
      </w:r>
      <w:r>
        <w:t xml:space="preserve"> properly denied Line of Duty Death cash benefits (currently </w:t>
      </w:r>
      <w:r w:rsidRPr="00147F68">
        <w:t>$25,000</w:t>
      </w:r>
      <w:r>
        <w:t>; and up to $20,000 f</w:t>
      </w:r>
      <w:r w:rsidRPr="00147F68">
        <w:t>or funeral expenses</w:t>
      </w:r>
      <w:r>
        <w:t>)</w:t>
      </w:r>
      <w:r w:rsidRPr="00147F68">
        <w:t>,</w:t>
      </w:r>
      <w:r>
        <w:t xml:space="preserve"> since the claim was not filed within one year of his death.  </w:t>
      </w:r>
      <w:r w:rsidRPr="00BF7576">
        <w:t>Firefighter Williams served as a firefighter for the City of Kansas City,</w:t>
      </w:r>
      <w:r>
        <w:t xml:space="preserve"> </w:t>
      </w:r>
      <w:r w:rsidRPr="00BF7576">
        <w:t>Missouri, for 38 years. Due to his exposure to multiple workplace carcinogens, he</w:t>
      </w:r>
      <w:r>
        <w:t xml:space="preserve"> </w:t>
      </w:r>
      <w:r w:rsidRPr="00BF7576">
        <w:t>developed metastatic neuroendocrine carcinoma and multiple myeloma</w:t>
      </w:r>
      <w:r>
        <w:t xml:space="preserve">, and he died </w:t>
      </w:r>
      <w:r w:rsidRPr="00BF7576">
        <w:t>on February 23, 2018.</w:t>
      </w:r>
      <w:r>
        <w:t xml:space="preserve">  Mrs. Williams didn’t file LODD claim until September 25, 2023.  Prior to filing the LDC claim, she timely filed Worker’s Comp claim and on </w:t>
      </w:r>
      <w:r w:rsidRPr="00385676">
        <w:t>August 31, 2023, the ALJ issued an award of workers’</w:t>
      </w:r>
      <w:r>
        <w:t xml:space="preserve"> </w:t>
      </w:r>
      <w:r w:rsidRPr="00385676">
        <w:t>compensation benefits</w:t>
      </w:r>
      <w:r>
        <w:t>.  THE COURT WROTE: “Specifically, Williams argues the LDC Claim is a successive adjudication presenting the same facts and issues as those previously decided in her WC Award. She asserts the WC Award issued findings of fact and conclusions of law which were dispositive of the issues before the Commission in the LDC Claim, thus the Commission is bound by its findings in the WC Award.</w:t>
      </w:r>
      <w:r w:rsidRPr="002B19C9">
        <w:t xml:space="preserve"> </w:t>
      </w:r>
      <w:proofErr w:type="gramStart"/>
      <w:r>
        <w:t>The end result</w:t>
      </w:r>
      <w:proofErr w:type="gramEnd"/>
      <w:r>
        <w:t xml:space="preserve"> of her argument appears to be that the time limit in which to file an LDC claim is somehow tolled until the WC claim is resolved. On the other hand, Respondent argues that the law of the case doctrine is not implicated here because the doctrine only applies to subsequent proceedings in the same case, and Williams’s WC Claim and LDC Claim are two entirely separate matters. We agree with Respondent</w:t>
      </w:r>
      <w:r w:rsidRPr="00B701F9">
        <w:t xml:space="preserve">.”  </w:t>
      </w:r>
      <w:hyperlink r:id="rId392" w:history="1">
        <w:r w:rsidRPr="00B701F9">
          <w:rPr>
            <w:rStyle w:val="Hyperlink"/>
          </w:rPr>
          <w:t>https://cases.justia.com/missouri/court-of-appeals/2026-wd88291.pdf?ts=1779809421</w:t>
        </w:r>
      </w:hyperlink>
      <w:r>
        <w:rPr>
          <w:b/>
        </w:rPr>
        <w:t xml:space="preserve"> </w:t>
      </w:r>
    </w:p>
    <w:p w14:paraId="1744F1D5" w14:textId="77777777" w:rsidR="001B7551" w:rsidRDefault="001B7551" w:rsidP="001B7551">
      <w:pPr>
        <w:pStyle w:val="NoSpacing"/>
        <w:rPr>
          <w:b/>
          <w:bCs/>
        </w:rPr>
      </w:pPr>
    </w:p>
    <w:p w14:paraId="4AFE2A22" w14:textId="77777777" w:rsidR="001B7551" w:rsidRDefault="001B7551" w:rsidP="001B7551">
      <w:pPr>
        <w:pStyle w:val="NoSpacing"/>
      </w:pPr>
      <w:r>
        <w:t>THE COURT HELD:</w:t>
      </w:r>
    </w:p>
    <w:p w14:paraId="13A32535" w14:textId="77777777" w:rsidR="001B7551" w:rsidRDefault="001B7551" w:rsidP="001B7551">
      <w:pPr>
        <w:pStyle w:val="NoSpacing"/>
      </w:pPr>
    </w:p>
    <w:p w14:paraId="74D72756" w14:textId="77777777" w:rsidR="001B7551" w:rsidRDefault="001B7551" w:rsidP="001B7551">
      <w:pPr>
        <w:pStyle w:val="NoSpacing"/>
        <w:ind w:left="720"/>
      </w:pPr>
      <w:r>
        <w:t xml:space="preserve">“LDC claims and WC claims are also subject to different statutes of limitations, further evidencing their separate nature. Contrast section 287.243.3(1) (creating a one-year statute of limitations in which to file an LDC claim), with section 287.430 (creating a statute of limitations </w:t>
      </w:r>
      <w:r w:rsidRPr="001058BE">
        <w:t>ranging from one to three years for WC claims, depending on the circumstances).</w:t>
      </w:r>
    </w:p>
    <w:p w14:paraId="7D0CFA36" w14:textId="77777777" w:rsidR="001B7551" w:rsidRDefault="001B7551" w:rsidP="001B7551">
      <w:pPr>
        <w:pStyle w:val="NoSpacing"/>
        <w:ind w:left="720"/>
      </w:pPr>
    </w:p>
    <w:p w14:paraId="75E7E013" w14:textId="77777777" w:rsidR="001B7551" w:rsidRDefault="001B7551" w:rsidP="001B7551">
      <w:pPr>
        <w:pStyle w:val="NoSpacing"/>
        <w:ind w:left="720"/>
      </w:pPr>
      <w:r>
        <w:t>***</w:t>
      </w:r>
    </w:p>
    <w:p w14:paraId="5B8C3FD9" w14:textId="77777777" w:rsidR="001B7551" w:rsidRDefault="001B7551" w:rsidP="001B7551">
      <w:pPr>
        <w:pStyle w:val="NoSpacing"/>
        <w:ind w:left="720"/>
      </w:pPr>
    </w:p>
    <w:p w14:paraId="2E7A46EB" w14:textId="77777777" w:rsidR="001B7551" w:rsidRDefault="001B7551" w:rsidP="001B7551">
      <w:pPr>
        <w:pStyle w:val="NoSpacing"/>
        <w:ind w:left="720"/>
      </w:pPr>
      <w:r>
        <w:t xml:space="preserve">Williams’s point on appeal relating to the law of the case doctrine is denied as her WC Claim is wholly separate and distinct from her LDC Claim such that the </w:t>
      </w:r>
      <w:proofErr w:type="spellStart"/>
      <w:r w:rsidRPr="00286D94">
        <w:t>aw</w:t>
      </w:r>
      <w:proofErr w:type="spellEnd"/>
      <w:r w:rsidRPr="00286D94">
        <w:t xml:space="preserve"> of the case doctrine is not implicated</w:t>
      </w:r>
      <w:r>
        <w:t>.”</w:t>
      </w:r>
    </w:p>
    <w:p w14:paraId="23FF6C1B" w14:textId="77777777" w:rsidR="001B7551" w:rsidRDefault="001B7551" w:rsidP="001B7551">
      <w:pPr>
        <w:pStyle w:val="NoSpacing"/>
        <w:ind w:left="720"/>
      </w:pPr>
    </w:p>
    <w:p w14:paraId="18E30D45" w14:textId="77777777" w:rsidR="001B7551" w:rsidRPr="00286D94" w:rsidRDefault="001B7551" w:rsidP="001B7551">
      <w:pPr>
        <w:pStyle w:val="NoSpacing"/>
        <w:rPr>
          <w:b/>
          <w:bCs/>
        </w:rPr>
      </w:pPr>
      <w:r>
        <w:rPr>
          <w:b/>
        </w:rPr>
        <w:t xml:space="preserve">Legal lesson learned: Unfortunate that the state has two different statutes of limitations for a family of filing for work comp and line of duty death benefits. </w:t>
      </w:r>
    </w:p>
    <w:p w14:paraId="5980D227" w14:textId="77777777" w:rsidR="001B7551" w:rsidRDefault="001B7551" w:rsidP="001B7551">
      <w:pPr>
        <w:pStyle w:val="NoSpacing"/>
      </w:pPr>
    </w:p>
    <w:p w14:paraId="5CE1E527" w14:textId="77777777" w:rsidR="001B7551" w:rsidRDefault="001B7551" w:rsidP="00816870">
      <w:pPr>
        <w:rPr>
          <w:rFonts w:ascii="Arial Black" w:hAnsi="Arial Black"/>
          <w:sz w:val="24"/>
          <w:szCs w:val="24"/>
        </w:rPr>
      </w:pPr>
    </w:p>
    <w:p w14:paraId="4829F8F2" w14:textId="77777777" w:rsidR="001B7551" w:rsidRDefault="001B7551" w:rsidP="00816870">
      <w:pPr>
        <w:rPr>
          <w:rFonts w:ascii="Arial Black" w:hAnsi="Arial Black"/>
          <w:sz w:val="24"/>
          <w:szCs w:val="24"/>
        </w:rPr>
      </w:pPr>
    </w:p>
    <w:p w14:paraId="42958980" w14:textId="2E5CD55E" w:rsidR="00816870" w:rsidRDefault="00816870" w:rsidP="00816870">
      <w:pPr>
        <w:rPr>
          <w:rFonts w:ascii="Arial Black" w:hAnsi="Arial Black"/>
          <w:sz w:val="28"/>
          <w:szCs w:val="28"/>
        </w:rPr>
      </w:pPr>
      <w:r>
        <w:rPr>
          <w:rFonts w:ascii="Arial Black" w:hAnsi="Arial Black"/>
          <w:sz w:val="24"/>
          <w:szCs w:val="24"/>
        </w:rPr>
        <w:t>2-110</w:t>
      </w:r>
    </w:p>
    <w:p w14:paraId="55718CA1" w14:textId="03CF4BA4" w:rsidR="00997F6F" w:rsidRPr="00ED3EF8" w:rsidRDefault="00997F6F" w:rsidP="00997F6F">
      <w:pPr>
        <w:pStyle w:val="NoSpacing"/>
        <w:rPr>
          <w:rFonts w:ascii="Arial Black" w:hAnsi="Arial Black"/>
          <w:sz w:val="28"/>
          <w:szCs w:val="28"/>
        </w:rPr>
      </w:pPr>
      <w:r>
        <w:rPr>
          <w:rFonts w:ascii="Arial Black" w:hAnsi="Arial Black"/>
          <w:sz w:val="28"/>
          <w:szCs w:val="28"/>
        </w:rPr>
        <w:t>IL: CATASTROPHIC INJURY – ADDED BENEFITS REMOVED</w:t>
      </w:r>
    </w:p>
    <w:p w14:paraId="002CEB03" w14:textId="77777777" w:rsidR="00997F6F" w:rsidRDefault="00997F6F" w:rsidP="00997F6F">
      <w:pPr>
        <w:pStyle w:val="NoSpacing"/>
      </w:pPr>
    </w:p>
    <w:p w14:paraId="5640827E" w14:textId="77777777" w:rsidR="00997F6F" w:rsidRDefault="00997F6F" w:rsidP="00997F6F">
      <w:pPr>
        <w:pStyle w:val="NoSpacing"/>
      </w:pPr>
      <w:r>
        <w:t xml:space="preserve">On May 1, 2026, in </w:t>
      </w:r>
      <w:r w:rsidRPr="00B944BC">
        <w:rPr>
          <w:u w:val="single"/>
        </w:rPr>
        <w:t>Benjamin Carter v. Fox Lake Fire Protection District</w:t>
      </w:r>
      <w:r>
        <w:t xml:space="preserve">, the </w:t>
      </w:r>
      <w:r w:rsidRPr="00653FCF">
        <w:t>Court of Appeals of Illinois, Second District</w:t>
      </w:r>
      <w:r>
        <w:t xml:space="preserve"> held (3 to 0) that trial court properly held that while state’s </w:t>
      </w:r>
      <w:r w:rsidRPr="00CA16B0">
        <w:t>Public Safety Employee Benefits Act</w:t>
      </w:r>
      <w:r>
        <w:t xml:space="preserve"> required FD to pay premiums for health insurance for his lifetime, the FD can remove “supplemental benefits” offered to him (and all current firefighters) for past six years - vision, dental, and life insurance, and the HRA benefit [Health Reimbursement </w:t>
      </w:r>
      <w:r>
        <w:lastRenderedPageBreak/>
        <w:t xml:space="preserve">Arrangement plan] to help pay the high medical expense deductibles and co-pays under the Blue Cross / Blue Shield.  </w:t>
      </w:r>
      <w:hyperlink r:id="rId393" w:history="1">
        <w:r w:rsidRPr="00EF04F6">
          <w:rPr>
            <w:rStyle w:val="Hyperlink"/>
          </w:rPr>
          <w:t>https://ilcourtsaudio.blob.core.windows.net/antilles-resources/resources/865bbd6b-111a-42c0-93b7-0362e44b14c7/Carter%20v.%20Fox%20Lake%20Fire%20Protection%20District%202026%20IL%20App%20(2d)%20250374.pdf</w:t>
        </w:r>
      </w:hyperlink>
      <w:r>
        <w:t xml:space="preserve"> </w:t>
      </w:r>
    </w:p>
    <w:p w14:paraId="03DB02A8" w14:textId="77777777" w:rsidR="00997F6F" w:rsidRDefault="00997F6F" w:rsidP="00997F6F">
      <w:pPr>
        <w:pStyle w:val="NoSpacing"/>
      </w:pPr>
    </w:p>
    <w:p w14:paraId="04019198" w14:textId="77777777" w:rsidR="00997F6F" w:rsidRDefault="00997F6F" w:rsidP="00997F6F">
      <w:pPr>
        <w:pStyle w:val="NoSpacing"/>
      </w:pPr>
      <w:r>
        <w:t>THE COURT HELD:</w:t>
      </w:r>
    </w:p>
    <w:p w14:paraId="4B3B2E4A" w14:textId="77777777" w:rsidR="00997F6F" w:rsidRDefault="00997F6F" w:rsidP="00997F6F">
      <w:pPr>
        <w:pStyle w:val="NoSpacing"/>
      </w:pPr>
    </w:p>
    <w:p w14:paraId="386B9DF5" w14:textId="77777777" w:rsidR="00997F6F" w:rsidRDefault="00997F6F" w:rsidP="00997F6F">
      <w:pPr>
        <w:pStyle w:val="NoSpacing"/>
        <w:ind w:left="720"/>
      </w:pPr>
      <w:r>
        <w:t>“Carter was a firefighter with the District from March 16, 2012, until August 9, 2017. On</w:t>
      </w:r>
    </w:p>
    <w:p w14:paraId="13978803" w14:textId="77777777" w:rsidR="00997F6F" w:rsidRDefault="00997F6F" w:rsidP="00997F6F">
      <w:pPr>
        <w:pStyle w:val="NoSpacing"/>
        <w:ind w:left="720"/>
      </w:pPr>
      <w:r>
        <w:t xml:space="preserve">October 20, 2014, he suffered a catastrophic injury while responding to a motor vehicle crash. On August 9, 2017, Carter was awarded a duty-related disability pension. Further, under section 10 of </w:t>
      </w:r>
      <w:proofErr w:type="spellStart"/>
      <w:proofErr w:type="gramStart"/>
      <w:r>
        <w:t>he</w:t>
      </w:r>
      <w:proofErr w:type="spellEnd"/>
      <w:proofErr w:type="gramEnd"/>
      <w:r>
        <w:t xml:space="preserve"> Public Safety Employee Benefits Act (Benefits Act) (820 ILCS 320/10 (West 2016)), Carter became entitled to receive certain health insurance benefits for the remainder of his life at no cost.</w:t>
      </w:r>
    </w:p>
    <w:p w14:paraId="3749A3EC" w14:textId="77777777" w:rsidR="00997F6F" w:rsidRDefault="00997F6F" w:rsidP="00997F6F">
      <w:pPr>
        <w:pStyle w:val="NoSpacing"/>
        <w:ind w:left="720"/>
      </w:pPr>
    </w:p>
    <w:p w14:paraId="1F225D7E" w14:textId="77777777" w:rsidR="00997F6F" w:rsidRDefault="00997F6F" w:rsidP="00997F6F">
      <w:pPr>
        <w:pStyle w:val="NoSpacing"/>
        <w:ind w:left="720"/>
      </w:pPr>
      <w:r>
        <w:t xml:space="preserve">Since 2012, the </w:t>
      </w:r>
      <w:proofErr w:type="gramStart"/>
      <w:r>
        <w:t>District</w:t>
      </w:r>
      <w:proofErr w:type="gramEnd"/>
      <w:r>
        <w:t xml:space="preserve"> had provided all its employees with a high-deductible group health insurance plan through Blue Cross/Blue Shield. The </w:t>
      </w:r>
      <w:proofErr w:type="gramStart"/>
      <w:r>
        <w:t>District</w:t>
      </w:r>
      <w:proofErr w:type="gramEnd"/>
      <w:r>
        <w:t xml:space="preserve"> also provided all its active members with a Health Reimbursement Arrangement plan (HRA), through Employment Benefits Corporation (EBC), to help pay the high medical expense deductibles and co-pays under the Blue Cross/Blue Shield plan. The HRA benefit was provided in the form of a debit card funded by the </w:t>
      </w:r>
      <w:proofErr w:type="gramStart"/>
      <w:r>
        <w:t>District</w:t>
      </w:r>
      <w:proofErr w:type="gramEnd"/>
      <w:r>
        <w:t xml:space="preserve"> that employees could use to pay non-covered medical expenses.</w:t>
      </w:r>
    </w:p>
    <w:p w14:paraId="04696C90" w14:textId="77777777" w:rsidR="00997F6F" w:rsidRDefault="00997F6F" w:rsidP="00997F6F">
      <w:pPr>
        <w:pStyle w:val="NoSpacing"/>
        <w:ind w:left="720"/>
      </w:pPr>
    </w:p>
    <w:p w14:paraId="5B769638" w14:textId="77777777" w:rsidR="00997F6F" w:rsidRDefault="00997F6F" w:rsidP="00997F6F">
      <w:pPr>
        <w:pStyle w:val="NoSpacing"/>
        <w:ind w:left="720"/>
      </w:pPr>
      <w:r>
        <w:t>***</w:t>
      </w:r>
    </w:p>
    <w:p w14:paraId="6F6DCE3D" w14:textId="77777777" w:rsidR="00997F6F" w:rsidRDefault="00997F6F" w:rsidP="00997F6F">
      <w:pPr>
        <w:pStyle w:val="NoSpacing"/>
        <w:ind w:left="720"/>
      </w:pPr>
      <w:r>
        <w:t xml:space="preserve">From August 2017 through December 31, 2023, the District continued to provide the same benefits to Carter that it provided to its active employees. That is, the </w:t>
      </w:r>
      <w:proofErr w:type="gramStart"/>
      <w:r>
        <w:t>District</w:t>
      </w:r>
      <w:proofErr w:type="gramEnd"/>
      <w:r>
        <w:t xml:space="preserve"> paid the premium for Carter’s coverage in the Blue Cross/Blue Shield group health insurance plan and provided Carter with the HRA benefit. The </w:t>
      </w:r>
      <w:proofErr w:type="gramStart"/>
      <w:r>
        <w:t>District</w:t>
      </w:r>
      <w:proofErr w:type="gramEnd"/>
      <w:r>
        <w:t xml:space="preserve"> also provided Carter with vision, dental, and life insurance.</w:t>
      </w:r>
    </w:p>
    <w:p w14:paraId="628DE994" w14:textId="77777777" w:rsidR="00997F6F" w:rsidRDefault="00997F6F" w:rsidP="00997F6F">
      <w:pPr>
        <w:pStyle w:val="NoSpacing"/>
        <w:ind w:left="720"/>
      </w:pPr>
    </w:p>
    <w:p w14:paraId="7946B07F" w14:textId="77777777" w:rsidR="00997F6F" w:rsidRDefault="00997F6F" w:rsidP="00997F6F">
      <w:pPr>
        <w:pStyle w:val="NoSpacing"/>
        <w:ind w:left="720"/>
      </w:pPr>
      <w:r>
        <w:t>On September 28, 2023, the District notified Carter that it had determined that he was</w:t>
      </w:r>
    </w:p>
    <w:p w14:paraId="27EE0142" w14:textId="77777777" w:rsidR="00997F6F" w:rsidRDefault="00997F6F" w:rsidP="00997F6F">
      <w:pPr>
        <w:pStyle w:val="NoSpacing"/>
        <w:ind w:left="720"/>
      </w:pPr>
      <w:r>
        <w:t xml:space="preserve">receiving benefits beyond those he was entitled to receive under the Benefits Act. Specifically, the District informed Carter that he was not entitled to receive vision, dental, or life insurance or any HRA benefits. The </w:t>
      </w:r>
      <w:proofErr w:type="gramStart"/>
      <w:r>
        <w:t>District</w:t>
      </w:r>
      <w:proofErr w:type="gramEnd"/>
      <w:r>
        <w:t xml:space="preserve"> indicated that those benefits would cease on January 1, 2024.</w:t>
      </w:r>
    </w:p>
    <w:p w14:paraId="70B30409" w14:textId="77777777" w:rsidR="00997F6F" w:rsidRDefault="00997F6F" w:rsidP="00997F6F">
      <w:pPr>
        <w:pStyle w:val="NoSpacing"/>
        <w:ind w:left="720"/>
      </w:pPr>
    </w:p>
    <w:p w14:paraId="1EAEBCEA" w14:textId="77777777" w:rsidR="00997F6F" w:rsidRDefault="00997F6F" w:rsidP="00997F6F">
      <w:pPr>
        <w:pStyle w:val="NoSpacing"/>
        <w:ind w:left="720"/>
      </w:pPr>
      <w:r>
        <w:t>***</w:t>
      </w:r>
    </w:p>
    <w:p w14:paraId="3092295C" w14:textId="77777777" w:rsidR="00997F6F" w:rsidRDefault="00997F6F" w:rsidP="00997F6F">
      <w:pPr>
        <w:pStyle w:val="NoSpacing"/>
        <w:ind w:left="720"/>
      </w:pPr>
      <w:r>
        <w:t xml:space="preserve">The language of the Benefits Act is clear— the </w:t>
      </w:r>
      <w:proofErr w:type="gramStart"/>
      <w:r>
        <w:t>District</w:t>
      </w:r>
      <w:proofErr w:type="gramEnd"/>
      <w:r>
        <w:t xml:space="preserve"> must continue to provide its injured employees with health insurance coverage by paying the entire premium associated with its health insurance plan…. The Benefits Act also plainly states </w:t>
      </w:r>
      <w:proofErr w:type="gramStart"/>
      <w:r>
        <w:t>that ‘[t]</w:t>
      </w:r>
      <w:proofErr w:type="gramEnd"/>
      <w:r>
        <w:t xml:space="preserve">he term ‘health insurance plan’ does not include supplemental benefits that are not part of the basic group health insurance </w:t>
      </w:r>
      <w:proofErr w:type="gramStart"/>
      <w:r>
        <w:t>plan.’</w:t>
      </w:r>
      <w:proofErr w:type="gramEnd"/>
      <w:r>
        <w:t xml:space="preserve"> … There is no indication in the </w:t>
      </w:r>
      <w:proofErr w:type="gramStart"/>
      <w:r>
        <w:t>District’s</w:t>
      </w:r>
      <w:proofErr w:type="gramEnd"/>
      <w:r>
        <w:t xml:space="preserve"> health insurance plan that HRA benefits are part of this plan. Thus, HRA benefits are supplemental benefits that are not mandated by the Benefits Act.”</w:t>
      </w:r>
    </w:p>
    <w:p w14:paraId="72498BC8" w14:textId="77777777" w:rsidR="00997F6F" w:rsidRDefault="00997F6F" w:rsidP="00997F6F">
      <w:pPr>
        <w:pStyle w:val="NoSpacing"/>
        <w:ind w:left="720"/>
      </w:pPr>
    </w:p>
    <w:p w14:paraId="0A845DF0" w14:textId="77777777" w:rsidR="00997F6F" w:rsidRPr="00C46E56" w:rsidRDefault="00997F6F" w:rsidP="00997F6F">
      <w:pPr>
        <w:rPr>
          <w:b/>
          <w:bCs/>
        </w:rPr>
      </w:pPr>
      <w:r>
        <w:rPr>
          <w:b/>
        </w:rPr>
        <w:t xml:space="preserve">Legal lesson learned:  The statute needs to be amended; hard to understand why the Fire District removed benefits they were proving to an injured firefighter for six years.  </w:t>
      </w:r>
    </w:p>
    <w:p w14:paraId="1314716B" w14:textId="77777777" w:rsidR="00997F6F" w:rsidRDefault="00997F6F" w:rsidP="00997F6F">
      <w:pPr>
        <w:pStyle w:val="NoSpacing"/>
      </w:pPr>
      <w:r>
        <w:tab/>
        <w:t xml:space="preserve">Note: See benefits </w:t>
      </w:r>
    </w:p>
    <w:p w14:paraId="124FD650" w14:textId="77777777" w:rsidR="00997F6F" w:rsidRDefault="00997F6F" w:rsidP="00997F6F">
      <w:pPr>
        <w:pStyle w:val="NoSpacing"/>
      </w:pPr>
    </w:p>
    <w:p w14:paraId="1BDD76A2" w14:textId="77777777" w:rsidR="00997F6F" w:rsidRDefault="00997F6F" w:rsidP="00997F6F">
      <w:pPr>
        <w:pStyle w:val="NoSpacing"/>
        <w:ind w:firstLine="720"/>
      </w:pPr>
      <w:r>
        <w:t xml:space="preserve">Section 10(a) of </w:t>
      </w:r>
      <w:r w:rsidRPr="00CA16B0">
        <w:t>Public Safety Employee Benefits Act</w:t>
      </w:r>
      <w:r>
        <w:t>:</w:t>
      </w:r>
    </w:p>
    <w:p w14:paraId="1A1CE7D7" w14:textId="77777777" w:rsidR="00997F6F" w:rsidRDefault="00997F6F" w:rsidP="00997F6F">
      <w:pPr>
        <w:pStyle w:val="NoSpacing"/>
        <w:ind w:firstLine="720"/>
      </w:pPr>
      <w:r>
        <w:t xml:space="preserve">(a) An employer who employs </w:t>
      </w:r>
      <w:proofErr w:type="gramStart"/>
      <w:r>
        <w:t>a full</w:t>
      </w:r>
      <w:proofErr w:type="gramEnd"/>
      <w:r>
        <w:t>-time law enforcement, correctional or</w:t>
      </w:r>
    </w:p>
    <w:p w14:paraId="61F6E56A" w14:textId="77777777" w:rsidR="00997F6F" w:rsidRDefault="00997F6F" w:rsidP="00997F6F">
      <w:pPr>
        <w:pStyle w:val="NoSpacing"/>
        <w:ind w:firstLine="720"/>
      </w:pPr>
      <w:r>
        <w:t>correctional probation officer, or firefighter, who, on or after the effective date of this Act</w:t>
      </w:r>
    </w:p>
    <w:p w14:paraId="57CC0A31" w14:textId="77777777" w:rsidR="00997F6F" w:rsidRDefault="00997F6F" w:rsidP="00997F6F">
      <w:pPr>
        <w:pStyle w:val="NoSpacing"/>
        <w:ind w:firstLine="720"/>
      </w:pPr>
      <w:r>
        <w:t>suffers a catastrophic injury or is killed in the line of duty shall pay the entire premium of</w:t>
      </w:r>
    </w:p>
    <w:p w14:paraId="49AFEF37" w14:textId="77777777" w:rsidR="00997F6F" w:rsidRDefault="00997F6F" w:rsidP="00997F6F">
      <w:pPr>
        <w:pStyle w:val="NoSpacing"/>
        <w:ind w:firstLine="720"/>
      </w:pPr>
      <w:r>
        <w:t>the employer’s health insurance plan for the injured employee, the injured employee’s</w:t>
      </w:r>
    </w:p>
    <w:p w14:paraId="7D78DCA8" w14:textId="77777777" w:rsidR="00997F6F" w:rsidRDefault="00997F6F" w:rsidP="00997F6F">
      <w:pPr>
        <w:pStyle w:val="NoSpacing"/>
        <w:ind w:firstLine="720"/>
      </w:pPr>
      <w:r>
        <w:t>spouse, and for each dependent child of the injured employee until the child reaches the</w:t>
      </w:r>
    </w:p>
    <w:p w14:paraId="20B60468" w14:textId="77777777" w:rsidR="00997F6F" w:rsidRDefault="00997F6F" w:rsidP="00997F6F">
      <w:pPr>
        <w:pStyle w:val="NoSpacing"/>
        <w:ind w:firstLine="720"/>
      </w:pPr>
      <w:r>
        <w:t>age of majority or until the end of the calendar year in which the child reaches the age of</w:t>
      </w:r>
    </w:p>
    <w:p w14:paraId="01D3C880" w14:textId="77777777" w:rsidR="00997F6F" w:rsidRDefault="00997F6F" w:rsidP="00997F6F">
      <w:pPr>
        <w:pStyle w:val="NoSpacing"/>
        <w:ind w:left="720"/>
      </w:pPr>
      <w:r>
        <w:t xml:space="preserve">25 if the child continues to be dependent </w:t>
      </w:r>
      <w:proofErr w:type="gramStart"/>
      <w:r>
        <w:t>for</w:t>
      </w:r>
      <w:proofErr w:type="gramEnd"/>
      <w:r>
        <w:t xml:space="preserve"> support or the child is a full-time or part-time student and is dependent </w:t>
      </w:r>
      <w:proofErr w:type="gramStart"/>
      <w:r>
        <w:t>for</w:t>
      </w:r>
      <w:proofErr w:type="gramEnd"/>
      <w:r>
        <w:t xml:space="preserve"> support. The term “health insurance plan” does not include supplemental benefits that are not part of the basic group health insurance plan. If the injured employee subsequently dies, the employer shall </w:t>
      </w:r>
      <w:r>
        <w:lastRenderedPageBreak/>
        <w:t xml:space="preserve">continue to pay the entire health insurance premium for the surviving spouse until remarried and for the dependent children under the conditions established in this Section. (Emphases added.) 820 ILCS </w:t>
      </w:r>
      <w:r w:rsidRPr="008F024B">
        <w:t>320/10(a) (West 2016).</w:t>
      </w:r>
    </w:p>
    <w:p w14:paraId="34BF8B40" w14:textId="77777777" w:rsidR="00997F6F" w:rsidRDefault="00997F6F" w:rsidP="00997F6F">
      <w:pPr>
        <w:pStyle w:val="NoSpacing"/>
      </w:pPr>
    </w:p>
    <w:p w14:paraId="1E845C54" w14:textId="77777777" w:rsidR="00816870" w:rsidRDefault="00816870" w:rsidP="00816870">
      <w:pPr>
        <w:rPr>
          <w:rFonts w:ascii="Arial Black" w:hAnsi="Arial Black"/>
          <w:sz w:val="24"/>
          <w:szCs w:val="24"/>
        </w:rPr>
      </w:pPr>
    </w:p>
    <w:p w14:paraId="4401F132" w14:textId="78C451D5" w:rsidR="00816870" w:rsidRDefault="00816870" w:rsidP="00816870">
      <w:pPr>
        <w:rPr>
          <w:rFonts w:ascii="Arial Black" w:hAnsi="Arial Black"/>
          <w:sz w:val="24"/>
          <w:szCs w:val="24"/>
        </w:rPr>
      </w:pPr>
      <w:r>
        <w:rPr>
          <w:rFonts w:ascii="Arial Black" w:hAnsi="Arial Black"/>
          <w:sz w:val="24"/>
          <w:szCs w:val="24"/>
        </w:rPr>
        <w:t>2-109</w:t>
      </w:r>
    </w:p>
    <w:p w14:paraId="24261033" w14:textId="77777777" w:rsidR="006801BF" w:rsidRPr="00395AD6" w:rsidRDefault="006801BF" w:rsidP="006801BF">
      <w:pPr>
        <w:pStyle w:val="NoSpacing"/>
        <w:rPr>
          <w:rFonts w:ascii="Arial Black" w:hAnsi="Arial Black"/>
          <w:bCs/>
          <w:sz w:val="28"/>
          <w:szCs w:val="28"/>
        </w:rPr>
      </w:pPr>
      <w:r>
        <w:rPr>
          <w:rFonts w:ascii="Arial Black" w:hAnsi="Arial Black"/>
          <w:sz w:val="28"/>
          <w:szCs w:val="28"/>
        </w:rPr>
        <w:t>NY: LODD – NUSING HOME – PRIOR INSPECTIONS RPTS</w:t>
      </w:r>
    </w:p>
    <w:p w14:paraId="63483D6F" w14:textId="77777777" w:rsidR="006801BF" w:rsidRDefault="006801BF" w:rsidP="006801BF">
      <w:pPr>
        <w:pStyle w:val="NoSpacing"/>
        <w:rPr>
          <w:bCs/>
        </w:rPr>
      </w:pPr>
    </w:p>
    <w:p w14:paraId="6569B20D" w14:textId="77777777" w:rsidR="006801BF" w:rsidRDefault="006801BF" w:rsidP="006801BF">
      <w:pPr>
        <w:pStyle w:val="NoSpacing"/>
      </w:pPr>
      <w:r>
        <w:t xml:space="preserve">On April 22, 2026, in </w:t>
      </w:r>
      <w:proofErr w:type="spellStart"/>
      <w:r w:rsidRPr="00CB7B90">
        <w:rPr>
          <w:u w:val="single"/>
        </w:rPr>
        <w:t>Sabrail</w:t>
      </w:r>
      <w:proofErr w:type="spellEnd"/>
      <w:r w:rsidRPr="00CB7B90">
        <w:rPr>
          <w:u w:val="single"/>
        </w:rPr>
        <w:t xml:space="preserve"> Davenport, as Administrator of the Estate of Jared Calvin Lloyd v. Evergreen Court Home for Adults SP LLC, et al</w:t>
      </w:r>
      <w:r w:rsidRPr="002943E4">
        <w:t xml:space="preserve">., </w:t>
      </w:r>
      <w:r>
        <w:t xml:space="preserve">Judge </w:t>
      </w:r>
      <w:r w:rsidRPr="00220073">
        <w:t>John P. Collins, Jr.</w:t>
      </w:r>
      <w:r>
        <w:t xml:space="preserve">, </w:t>
      </w:r>
      <w:r w:rsidRPr="00AD4E97">
        <w:t>Supreme Court, Rockland County</w:t>
      </w:r>
      <w:r>
        <w:t xml:space="preserve">, quashed subpoenas by the firefighters’ family that seek a Wisconsin based  commercial insurance company’s post-fire claims files which include privileged information, but may issue a “narrowly tailed subpoena” concerning pre-loss inspection reports by the insurance company.  </w:t>
      </w:r>
      <w:r w:rsidRPr="00DB3494">
        <w:t> </w:t>
      </w:r>
      <w:r>
        <w:t>“</w:t>
      </w:r>
      <w:r w:rsidRPr="00DB3494">
        <w:t>A liability insurer's claim file, created in connection with its defense of third-party claims against its insured, is conditionally immune from disclosure as material prepared in anticipation of litigation.</w:t>
      </w:r>
      <w:r>
        <w:t xml:space="preserve">” Firefighter Jared Calvin Lloyd was killed on March 23, </w:t>
      </w:r>
      <w:proofErr w:type="gramStart"/>
      <w:r>
        <w:t>2021</w:t>
      </w:r>
      <w:proofErr w:type="gramEnd"/>
      <w:r>
        <w:t xml:space="preserve"> structure fire at </w:t>
      </w:r>
      <w:r w:rsidRPr="001C5294">
        <w:t>Evergreen Home for Adults</w:t>
      </w:r>
      <w:r>
        <w:t xml:space="preserve"> when a rabbi and his son used a blowtorch for a </w:t>
      </w:r>
      <w:r w:rsidRPr="00B62261">
        <w:t>pre-Passover cleaning process</w:t>
      </w:r>
      <w:r>
        <w:t xml:space="preserve">. </w:t>
      </w:r>
      <w:hyperlink r:id="rId394" w:history="1">
        <w:r w:rsidRPr="00ED3F08">
          <w:rPr>
            <w:rStyle w:val="Hyperlink"/>
          </w:rPr>
          <w:t>https://public.fastcase.com/Jhe1Qn%2BmJndQYQU6z%2FeNm1Wc0BhwXqbgUcnfM0G%2F8LGBWKhbC8yUkIyVwLGd8HWj?utm_medium=email&amp;_hsenc=p2ANqtz-85mlG7bjjwBnXQBs8DYGyySvCPBDEvbYyrF7EMhR5VCH2hTuoCLWnOKD3mejXOTkKYawSsNFXD_QLidauQN_0-kPfmHA&amp;_hsmi=226712652&amp;utm_content=226712652&amp;utm_source=hs_email</w:t>
        </w:r>
      </w:hyperlink>
      <w:r>
        <w:t xml:space="preserve"> </w:t>
      </w:r>
    </w:p>
    <w:p w14:paraId="22E077B0" w14:textId="77777777" w:rsidR="006801BF" w:rsidRDefault="006801BF" w:rsidP="006801BF">
      <w:pPr>
        <w:pStyle w:val="NoSpacing"/>
      </w:pPr>
    </w:p>
    <w:p w14:paraId="185C620C" w14:textId="77777777" w:rsidR="006801BF" w:rsidRDefault="006801BF" w:rsidP="006801BF">
      <w:pPr>
        <w:pStyle w:val="NoSpacing"/>
        <w:rPr>
          <w:bCs/>
        </w:rPr>
      </w:pPr>
      <w:r>
        <w:t xml:space="preserve">THE COURT HELD: </w:t>
      </w:r>
    </w:p>
    <w:p w14:paraId="2B2A284C" w14:textId="77777777" w:rsidR="006801BF" w:rsidRDefault="006801BF" w:rsidP="006801BF">
      <w:pPr>
        <w:pStyle w:val="NoSpacing"/>
        <w:rPr>
          <w:bCs/>
        </w:rPr>
      </w:pPr>
    </w:p>
    <w:p w14:paraId="0B58BF75" w14:textId="77777777" w:rsidR="006801BF" w:rsidRDefault="006801BF" w:rsidP="006801BF">
      <w:pPr>
        <w:pStyle w:val="NoSpacing"/>
        <w:ind w:left="720"/>
      </w:pPr>
      <w:r>
        <w:t xml:space="preserve">“[The Court held that family may now issue] “narrowly tailored subpoena … </w:t>
      </w:r>
      <w:r w:rsidRPr="00D83B5B">
        <w:t>seeking specifically: (</w:t>
      </w:r>
      <w:proofErr w:type="spellStart"/>
      <w:r w:rsidRPr="00D83B5B">
        <w:t>i</w:t>
      </w:r>
      <w:proofErr w:type="spellEnd"/>
      <w:r w:rsidRPr="00D83B5B">
        <w:t xml:space="preserve">) any pre-loss inspection reports, hazard assessment reports or written communications between Church Mutual </w:t>
      </w:r>
      <w:r>
        <w:t xml:space="preserve">[insurance company] </w:t>
      </w:r>
      <w:r w:rsidRPr="00D83B5B">
        <w:t>and the insured concerning the physical condition of the premises at 65 Lafayette Street, Spring Valley, New York, generated in connection with the underwriting or renewal of any policy covering those premises; and (ii) any written requirements or recommendations made by Church Mutual to the insured concerning fire safety, building conditions or hazard remediation at the premises.</w:t>
      </w:r>
    </w:p>
    <w:p w14:paraId="66B5A8CB" w14:textId="77777777" w:rsidR="006801BF" w:rsidRDefault="006801BF" w:rsidP="006801BF">
      <w:pPr>
        <w:pStyle w:val="NoSpacing"/>
        <w:ind w:left="720"/>
      </w:pPr>
    </w:p>
    <w:p w14:paraId="621963E9" w14:textId="77777777" w:rsidR="006801BF" w:rsidRDefault="006801BF" w:rsidP="006801BF">
      <w:pPr>
        <w:pStyle w:val="NoSpacing"/>
        <w:ind w:left="720"/>
      </w:pPr>
      <w:r>
        <w:t>***</w:t>
      </w:r>
    </w:p>
    <w:p w14:paraId="031ADEA1" w14:textId="77777777" w:rsidR="006801BF" w:rsidRDefault="006801BF" w:rsidP="006801BF">
      <w:pPr>
        <w:pStyle w:val="NoSpacing"/>
        <w:ind w:left="720"/>
      </w:pPr>
    </w:p>
    <w:p w14:paraId="38DB7911" w14:textId="77777777" w:rsidR="006801BF" w:rsidRDefault="006801BF" w:rsidP="006801BF">
      <w:pPr>
        <w:pStyle w:val="NoSpacing"/>
        <w:ind w:left="720"/>
      </w:pPr>
      <w:r w:rsidRPr="001C5294">
        <w:t>This is a wrongful death and conscious pain and suffering action arising from a catastrophic fire on March 22-23, 2021, at the Evergreen Court Home for Adults, located at 65 Lafayette Street, Village of Spring Valley, Rockland County. Plaintiff decedent, Jared Calvin Lloyd, was a volunteer firefighter with the Spring Valley Fire Department who was killed when he became trapped inside the burning building, which ultimately collapsed. A resident of Evergreen Home for Adults, Oliver Hueston, also perished in the fire. The premises were owned by defendant SPJJ LLC and operated by defendant Evergreen Court Home for Adults SP LLC. Church Mutual Insurance Company, S.I</w:t>
      </w:r>
      <w:proofErr w:type="gramStart"/>
      <w:r w:rsidRPr="001C5294">
        <w:t>. (</w:t>
      </w:r>
      <w:r>
        <w:t>‘</w:t>
      </w:r>
      <w:proofErr w:type="gramEnd"/>
      <w:r w:rsidRPr="001C5294">
        <w:t>Church Mutual</w:t>
      </w:r>
      <w:r>
        <w:t>’</w:t>
      </w:r>
      <w:r w:rsidRPr="001C5294">
        <w:t>) is a Wisconsin-based commercial insurer that issued liability and property insurance policies to the facility.</w:t>
      </w:r>
    </w:p>
    <w:p w14:paraId="56C04BF5" w14:textId="77777777" w:rsidR="006801BF" w:rsidRDefault="006801BF" w:rsidP="006801BF">
      <w:pPr>
        <w:pStyle w:val="NoSpacing"/>
      </w:pPr>
    </w:p>
    <w:p w14:paraId="2A2ECB20" w14:textId="77777777" w:rsidR="006801BF" w:rsidRDefault="006801BF" w:rsidP="006801BF">
      <w:pPr>
        <w:pStyle w:val="NoSpacing"/>
        <w:ind w:left="720"/>
      </w:pPr>
      <w:r w:rsidRPr="00BA6DCB">
        <w:t>The fire prompted investigations by at least five governmental agencies, including the New York State Department of Public Service (</w:t>
      </w:r>
      <w:r>
        <w:t>‘</w:t>
      </w:r>
      <w:r w:rsidRPr="00BA6DCB">
        <w:t>DPS</w:t>
      </w:r>
      <w:r>
        <w:t>’</w:t>
      </w:r>
      <w:r w:rsidRPr="00BA6DCB">
        <w:t>), the New York State Office of Fire Prevention and Control (</w:t>
      </w:r>
      <w:r>
        <w:t>‘</w:t>
      </w:r>
      <w:r w:rsidRPr="00BA6DCB">
        <w:t>OFPC</w:t>
      </w:r>
      <w:r>
        <w:t>’</w:t>
      </w:r>
      <w:r w:rsidRPr="00BA6DCB">
        <w:t>), the Rockland County Sheriff's Office, the Spring Valley Police Department, and the United States Bureau of Alcohol, Tobacco, Firearms and Explosives (</w:t>
      </w:r>
      <w:r>
        <w:t>‘</w:t>
      </w:r>
      <w:r w:rsidRPr="00BA6DCB">
        <w:t>ATF</w:t>
      </w:r>
      <w:r>
        <w:t>’</w:t>
      </w:r>
      <w:r w:rsidRPr="00BA6DCB">
        <w:t>). Criminal charges were brought against certain defendants and ultimately resolved by plea agreement.</w:t>
      </w:r>
    </w:p>
    <w:p w14:paraId="60334B49" w14:textId="77777777" w:rsidR="006801BF" w:rsidRDefault="006801BF" w:rsidP="006801BF">
      <w:pPr>
        <w:pStyle w:val="NoSpacing"/>
        <w:ind w:left="720"/>
      </w:pPr>
    </w:p>
    <w:p w14:paraId="2ADC265B" w14:textId="77777777" w:rsidR="006801BF" w:rsidRDefault="006801BF" w:rsidP="006801BF">
      <w:pPr>
        <w:pStyle w:val="NoSpacing"/>
        <w:ind w:left="720"/>
      </w:pPr>
      <w:r>
        <w:t>***</w:t>
      </w:r>
    </w:p>
    <w:p w14:paraId="5AB84E0B" w14:textId="77777777" w:rsidR="006801BF" w:rsidRDefault="006801BF" w:rsidP="006801BF">
      <w:pPr>
        <w:pStyle w:val="NoSpacing"/>
        <w:ind w:left="720"/>
      </w:pPr>
    </w:p>
    <w:p w14:paraId="6B96E5CB" w14:textId="77777777" w:rsidR="006801BF" w:rsidRDefault="006801BF" w:rsidP="006801BF">
      <w:pPr>
        <w:pStyle w:val="NoSpacing"/>
        <w:ind w:left="720"/>
      </w:pPr>
      <w:r w:rsidRPr="00E635C4">
        <w:lastRenderedPageBreak/>
        <w:t>Defense counsel documented that, in 3.7 hours of standard internet research, he was able to locate and download the complete 117-page DPS report, the 12-page OFPC report (originally submitted to the District Attorney with a non-disclosure request), and a 202-page criminal omnibus motion containing color photographs, a detailed kitchen blueprint, the complete 44 Control call detail report and a 19-page expert fire analysis report prepared by John Lentini of Scientific Fire Analysis, LLC. Five governmental agencies participated in the on-site investigation; the identities of whose investigators are specifically named in the record. With all criminal proceedings resolved, FOIL requests will yield the complete investigative record compiled by public agencies with unlimited access to the scene. Plaintiff has not rebutted this showing in any meaningful way.</w:t>
      </w:r>
      <w:r>
        <w:t>”</w:t>
      </w:r>
    </w:p>
    <w:p w14:paraId="16FA88DF" w14:textId="77777777" w:rsidR="006801BF" w:rsidRDefault="006801BF" w:rsidP="006801BF">
      <w:pPr>
        <w:pStyle w:val="NoSpacing"/>
        <w:ind w:left="720"/>
      </w:pPr>
    </w:p>
    <w:p w14:paraId="24618AAF" w14:textId="77777777" w:rsidR="006801BF" w:rsidRPr="00E635C4" w:rsidRDefault="006801BF" w:rsidP="006801BF">
      <w:pPr>
        <w:pStyle w:val="NoSpacing"/>
        <w:rPr>
          <w:b/>
          <w:bCs/>
        </w:rPr>
      </w:pPr>
      <w:r>
        <w:rPr>
          <w:b/>
        </w:rPr>
        <w:t xml:space="preserve">Legal lesson learned: Pre-trial discovery may include prior inspection reports about the building. </w:t>
      </w:r>
    </w:p>
    <w:p w14:paraId="4D1233D7" w14:textId="77777777" w:rsidR="006801BF" w:rsidRDefault="006801BF" w:rsidP="006801BF">
      <w:pPr>
        <w:pStyle w:val="NoSpacing"/>
        <w:rPr>
          <w:bCs/>
        </w:rPr>
      </w:pPr>
    </w:p>
    <w:p w14:paraId="4E5B97E5" w14:textId="77777777" w:rsidR="006801BF" w:rsidRDefault="006801BF" w:rsidP="006801BF">
      <w:pPr>
        <w:pStyle w:val="NoSpacing"/>
        <w:ind w:left="720"/>
        <w:rPr>
          <w:bCs/>
        </w:rPr>
      </w:pPr>
      <w:r>
        <w:t xml:space="preserve">Note: See TV report, five years after the fire. </w:t>
      </w:r>
      <w:hyperlink r:id="rId395" w:history="1">
        <w:r w:rsidRPr="00ED3F08">
          <w:rPr>
            <w:rStyle w:val="Hyperlink"/>
          </w:rPr>
          <w:t>https://www.newsbreak.com/news-12-2283883/4553774051867-today-is-the-fifth-anniversary-of-a-rockland-county-fire-that-killed-two-including-a-local-firefighter</w:t>
        </w:r>
      </w:hyperlink>
      <w:r>
        <w:t xml:space="preserve"> </w:t>
      </w:r>
    </w:p>
    <w:p w14:paraId="2ADF0F66" w14:textId="77777777" w:rsidR="006801BF" w:rsidRDefault="006801BF" w:rsidP="006801BF">
      <w:pPr>
        <w:pStyle w:val="NoSpacing"/>
        <w:ind w:left="720"/>
        <w:rPr>
          <w:bCs/>
        </w:rPr>
      </w:pPr>
    </w:p>
    <w:p w14:paraId="4A5E8269" w14:textId="77777777" w:rsidR="006801BF" w:rsidRPr="00004B01" w:rsidRDefault="006801BF" w:rsidP="006801BF">
      <w:pPr>
        <w:pStyle w:val="NoSpacing"/>
        <w:ind w:left="720"/>
        <w:rPr>
          <w:bCs/>
        </w:rPr>
      </w:pPr>
      <w:r>
        <w:t xml:space="preserve">July 1, 2021: </w:t>
      </w:r>
      <w:r w:rsidRPr="00004B01">
        <w:t xml:space="preserve">Massive blaze in adult care home which killed a resident and a firefighter 'was caused by rabbi and his son who used a BLOWTORCH in pre-Passover kitchen cleaning ritual.  </w:t>
      </w:r>
      <w:hyperlink r:id="rId396" w:history="1">
        <w:r w:rsidRPr="00004B01">
          <w:rPr>
            <w:rStyle w:val="Hyperlink"/>
          </w:rPr>
          <w:t>https://www.dailymail.com/news/article-9746389/Fatal-assisted-living-fire-linked-cleaning-ritual.html</w:t>
        </w:r>
      </w:hyperlink>
      <w:r w:rsidRPr="00004B01">
        <w:t xml:space="preserve"> </w:t>
      </w:r>
    </w:p>
    <w:p w14:paraId="26BDE57D" w14:textId="77777777" w:rsidR="006801BF" w:rsidRDefault="006801BF" w:rsidP="006801BF">
      <w:pPr>
        <w:pStyle w:val="NoSpacing"/>
        <w:ind w:left="720"/>
        <w:rPr>
          <w:bCs/>
        </w:rPr>
      </w:pPr>
    </w:p>
    <w:p w14:paraId="5E19C31A" w14:textId="77777777" w:rsidR="006801BF" w:rsidRPr="0033656E" w:rsidRDefault="006801BF" w:rsidP="006801BF">
      <w:pPr>
        <w:pStyle w:val="NoSpacing"/>
        <w:ind w:left="720"/>
        <w:rPr>
          <w:bCs/>
        </w:rPr>
      </w:pPr>
      <w:r w:rsidRPr="0033656E">
        <w:t xml:space="preserve">National Fallen Firefighters Foundation - Roll of Honor: </w:t>
      </w:r>
      <w:hyperlink r:id="rId397" w:history="1">
        <w:r w:rsidRPr="0033656E">
          <w:rPr>
            <w:rStyle w:val="Hyperlink"/>
          </w:rPr>
          <w:t>https://www.firehero.org/fallen-firefighter/jared-c-lloyd/</w:t>
        </w:r>
      </w:hyperlink>
      <w:r w:rsidRPr="0033656E">
        <w:t xml:space="preserve"> </w:t>
      </w:r>
    </w:p>
    <w:p w14:paraId="1D5E9C5B" w14:textId="77777777" w:rsidR="006801BF" w:rsidRDefault="006801BF" w:rsidP="006801BF">
      <w:pPr>
        <w:pStyle w:val="NoSpacing"/>
        <w:ind w:left="720"/>
        <w:rPr>
          <w:bCs/>
        </w:rPr>
      </w:pPr>
    </w:p>
    <w:p w14:paraId="16AA91FE" w14:textId="75629BB2" w:rsidR="00816870" w:rsidRDefault="00816870" w:rsidP="00816870">
      <w:pPr>
        <w:rPr>
          <w:rFonts w:ascii="Arial Black" w:hAnsi="Arial Black"/>
          <w:sz w:val="24"/>
          <w:szCs w:val="24"/>
        </w:rPr>
      </w:pPr>
      <w:r>
        <w:rPr>
          <w:rFonts w:ascii="Arial Black" w:hAnsi="Arial Black"/>
          <w:sz w:val="24"/>
          <w:szCs w:val="24"/>
        </w:rPr>
        <w:t>2-108</w:t>
      </w:r>
    </w:p>
    <w:p w14:paraId="3380FEDC" w14:textId="77777777" w:rsidR="00785DBA" w:rsidRDefault="00785DBA" w:rsidP="00785DBA">
      <w:pPr>
        <w:pStyle w:val="NoSpacing"/>
        <w:rPr>
          <w:rFonts w:ascii="Arial Black" w:hAnsi="Arial Black"/>
          <w:sz w:val="28"/>
          <w:szCs w:val="28"/>
        </w:rPr>
      </w:pPr>
      <w:r>
        <w:rPr>
          <w:rFonts w:ascii="Arial Black" w:hAnsi="Arial Black"/>
          <w:sz w:val="28"/>
          <w:szCs w:val="28"/>
        </w:rPr>
        <w:t>MO: THYROID CANCER / TURNOUT GEAR – STATE COURT</w:t>
      </w:r>
    </w:p>
    <w:p w14:paraId="76BDFE82" w14:textId="77777777" w:rsidR="00785DBA" w:rsidRDefault="00785DBA" w:rsidP="00785DBA">
      <w:pPr>
        <w:pStyle w:val="NoSpacing"/>
        <w:rPr>
          <w:rFonts w:ascii="Arial Black" w:hAnsi="Arial Black"/>
          <w:sz w:val="28"/>
          <w:szCs w:val="28"/>
        </w:rPr>
      </w:pPr>
    </w:p>
    <w:p w14:paraId="71D9C818" w14:textId="77777777" w:rsidR="00785DBA" w:rsidRDefault="00785DBA" w:rsidP="00785DBA">
      <w:pPr>
        <w:pStyle w:val="NoSpacing"/>
      </w:pPr>
      <w:r>
        <w:t xml:space="preserve">On April 7, 2026, in </w:t>
      </w:r>
      <w:r w:rsidRPr="00CF1C54">
        <w:rPr>
          <w:u w:val="single"/>
        </w:rPr>
        <w:t>Jason Crady and Nicole Crady v. 3M Company</w:t>
      </w:r>
      <w:r>
        <w:t xml:space="preserve">, U.S. District Court Judge John A Ross, United States District Court for Eastern District of Missouri, Eastern Division, granted the firefighter’s motion to return the case to state court. The plaintiff has been a firefighter since </w:t>
      </w:r>
      <w:r w:rsidRPr="00C94CAF">
        <w:t>2005</w:t>
      </w:r>
      <w:r>
        <w:t xml:space="preserve">, and in </w:t>
      </w:r>
      <w:r w:rsidRPr="00C94CAF">
        <w:t>March 2024, Crady was diagnosed with thyroid cancer.</w:t>
      </w:r>
      <w:r>
        <w:t xml:space="preserve">  He and his wife filed suit against 3M in state court, claiming his turn out gear caused his cancer (not  exposure to AFFF foam).  3M removed case to federal court so it could assert the “federal contractor defense” – that </w:t>
      </w:r>
      <w:r w:rsidRPr="00DB077F">
        <w:t>3M manufactured and sold to the U.S. military in accordance with the military's specifications (</w:t>
      </w:r>
      <w:r>
        <w:t>“</w:t>
      </w:r>
      <w:proofErr w:type="spellStart"/>
      <w:r w:rsidRPr="00DB077F">
        <w:t>MilSpec</w:t>
      </w:r>
      <w:proofErr w:type="spellEnd"/>
      <w:r w:rsidRPr="00DB077F">
        <w:t xml:space="preserve"> AFFF</w:t>
      </w:r>
      <w:r>
        <w:t>”).  The firefighter’s attorneys, to avoid that defense, wisely only sued 3M regarding turn out exposure, not AFFF foam exposure. The plaintiff’s deposition was taken in the federal case showing very limited exposure to foam:</w:t>
      </w:r>
    </w:p>
    <w:p w14:paraId="4ADE3F1F" w14:textId="77777777" w:rsidR="00785DBA" w:rsidRDefault="00785DBA" w:rsidP="00785DBA">
      <w:pPr>
        <w:pStyle w:val="NoSpacing"/>
      </w:pPr>
    </w:p>
    <w:p w14:paraId="4B287296" w14:textId="77777777" w:rsidR="00785DBA" w:rsidRDefault="00785DBA" w:rsidP="00785DBA">
      <w:pPr>
        <w:ind w:left="720"/>
      </w:pPr>
      <w:r>
        <w:t>“</w:t>
      </w:r>
      <w:r w:rsidRPr="00310C62">
        <w:t>Crady testified that in one instance during firefighting training, he was in a group that handled a hose used to discharge foam</w:t>
      </w:r>
      <w:r>
        <w:t xml:space="preserve">…. </w:t>
      </w:r>
      <w:r w:rsidRPr="00310C62">
        <w:t xml:space="preserve">He </w:t>
      </w:r>
      <w:r>
        <w:t>‘</w:t>
      </w:r>
      <w:r w:rsidRPr="00310C62">
        <w:t>was probably the fourth person on the hose</w:t>
      </w:r>
      <w:r>
        <w:t>’</w:t>
      </w:r>
      <w:r w:rsidRPr="00310C62">
        <w:t xml:space="preserve"> and approximately ten to twenty feet from the nozzle</w:t>
      </w:r>
      <w:r>
        <w:t xml:space="preserve">…. </w:t>
      </w:r>
      <w:r w:rsidRPr="00310C62">
        <w:t>He did not mix, load, wade in, or touch the foam during that training</w:t>
      </w:r>
      <w:r>
        <w:t xml:space="preserve">…. </w:t>
      </w:r>
      <w:r w:rsidRPr="00310C62">
        <w:t>At another training session, Crady learned how to load foam into a truck, but he did not personally load any foam or open any foam container</w:t>
      </w:r>
      <w:r>
        <w:t xml:space="preserve">…. </w:t>
      </w:r>
      <w:r w:rsidRPr="00310C62">
        <w:t>He confirmed that he never loaded foam himself</w:t>
      </w:r>
      <w:r>
        <w:t xml:space="preserve">…. </w:t>
      </w:r>
      <w:r w:rsidRPr="00310C62">
        <w:t xml:space="preserve"> Crady testified that he did not believe he had ever been exposed to foam</w:t>
      </w:r>
      <w:r>
        <w:t xml:space="preserve">…. </w:t>
      </w:r>
      <w:r w:rsidRPr="00310C62">
        <w:t xml:space="preserve">Plaintiffs state that Crady testified </w:t>
      </w:r>
      <w:r>
        <w:t>‘</w:t>
      </w:r>
      <w:r w:rsidRPr="00310C62">
        <w:t>no less than ten times he was not exposed to foam, and he didn't train anyone on the use of foam.</w:t>
      </w:r>
      <w:r>
        <w:t xml:space="preserve">’ </w:t>
      </w:r>
    </w:p>
    <w:p w14:paraId="69C0B4AA" w14:textId="77777777" w:rsidR="00785DBA" w:rsidRDefault="00785DBA" w:rsidP="00785DBA">
      <w:r>
        <w:t xml:space="preserve">The case is now returned to state court for pre-trial discovery. </w:t>
      </w:r>
      <w:hyperlink r:id="rId398" w:history="1">
        <w:r w:rsidRPr="00BB6E17">
          <w:rPr>
            <w:rStyle w:val="Hyperlink"/>
          </w:rPr>
          <w:t>https://public.fastcase.com/Jhe1Qn%2BmJndQYQU6z%2FeNm2HEaeCCWkcBCeUCujqGNVlbyw33GV3OIPoGmz91llGj?utm_medium=email&amp;_hsenc=p2ANqtz--_2koWPJH8aNw9hArqKJahBiDeDbHde9hJY14uLqxi48R0NPU4q8g0_WpBiId9hecTh5LabDNFfk8DSpNZX48Jer-K6w&amp;_hsmi=226712652&amp;utm_content=226712652&amp;utm_source=hs_email</w:t>
        </w:r>
      </w:hyperlink>
      <w:r>
        <w:t xml:space="preserve"> </w:t>
      </w:r>
    </w:p>
    <w:p w14:paraId="20DFC53C" w14:textId="77777777" w:rsidR="00785DBA" w:rsidRDefault="00785DBA" w:rsidP="00785DBA">
      <w:pPr>
        <w:pStyle w:val="NoSpacing"/>
      </w:pPr>
    </w:p>
    <w:p w14:paraId="439E62B7" w14:textId="77777777" w:rsidR="00785DBA" w:rsidRDefault="00785DBA" w:rsidP="00785DBA">
      <w:pPr>
        <w:pStyle w:val="NoSpacing"/>
      </w:pPr>
      <w:r>
        <w:t xml:space="preserve">THE COURT HELD: </w:t>
      </w:r>
    </w:p>
    <w:p w14:paraId="2E3DF11B" w14:textId="77777777" w:rsidR="00785DBA" w:rsidRDefault="00785DBA" w:rsidP="00785DBA">
      <w:pPr>
        <w:pStyle w:val="NoSpacing"/>
      </w:pPr>
    </w:p>
    <w:p w14:paraId="19575E7F" w14:textId="77777777" w:rsidR="00785DBA" w:rsidRDefault="00785DBA" w:rsidP="00785DBA">
      <w:pPr>
        <w:pStyle w:val="NoSpacing"/>
        <w:ind w:left="720"/>
      </w:pPr>
      <w:r>
        <w:lastRenderedPageBreak/>
        <w:t>“</w:t>
      </w:r>
      <w:r w:rsidRPr="00CF1490">
        <w:t xml:space="preserve">Based on the insufficiency of the facts in this </w:t>
      </w:r>
      <w:proofErr w:type="gramStart"/>
      <w:r w:rsidRPr="00CF1490">
        <w:t>particular case</w:t>
      </w:r>
      <w:proofErr w:type="gramEnd"/>
      <w:r w:rsidRPr="00CF1490">
        <w:t>, the Court finds that 3M has failed to establish a colorable federal defense</w:t>
      </w:r>
      <w:r>
        <w:t xml:space="preserve">….  </w:t>
      </w:r>
    </w:p>
    <w:p w14:paraId="47D0DEC4" w14:textId="77777777" w:rsidR="00785DBA" w:rsidRDefault="00785DBA" w:rsidP="00785DBA">
      <w:pPr>
        <w:pStyle w:val="NoSpacing"/>
      </w:pPr>
    </w:p>
    <w:p w14:paraId="32FEDA9F" w14:textId="77777777" w:rsidR="00785DBA" w:rsidRDefault="00785DBA" w:rsidP="00785DBA">
      <w:pPr>
        <w:pStyle w:val="NoSpacing"/>
        <w:ind w:left="720"/>
      </w:pPr>
      <w:r>
        <w:t>T</w:t>
      </w:r>
      <w:r w:rsidRPr="005677C0">
        <w:t xml:space="preserve">he Court finds that Plaintiffs' statement that they have effectively disclaimed AFFF exposure and their additional confirmations that they are not claiming AFFF exposure are sufficient to serve as an express disclaimer of the right to claim damages relating to, or arising out of, exposure to, or injuries suffered as a result of </w:t>
      </w:r>
      <w:proofErr w:type="spellStart"/>
      <w:r w:rsidRPr="005677C0">
        <w:t>MilSpec</w:t>
      </w:r>
      <w:proofErr w:type="spellEnd"/>
      <w:r w:rsidRPr="005677C0">
        <w:t xml:space="preserve"> AFFF.</w:t>
      </w:r>
    </w:p>
    <w:p w14:paraId="7615E24C" w14:textId="77777777" w:rsidR="00785DBA" w:rsidRDefault="00785DBA" w:rsidP="00785DBA">
      <w:pPr>
        <w:pStyle w:val="NoSpacing"/>
        <w:ind w:left="720"/>
      </w:pPr>
    </w:p>
    <w:p w14:paraId="409763F6" w14:textId="77777777" w:rsidR="00785DBA" w:rsidRDefault="00785DBA" w:rsidP="00785DBA">
      <w:pPr>
        <w:pStyle w:val="NoSpacing"/>
        <w:ind w:left="720"/>
      </w:pPr>
      <w:r>
        <w:t xml:space="preserve">***  </w:t>
      </w:r>
    </w:p>
    <w:p w14:paraId="0AE2B301" w14:textId="77777777" w:rsidR="00785DBA" w:rsidRDefault="00785DBA" w:rsidP="00785DBA">
      <w:pPr>
        <w:pStyle w:val="NoSpacing"/>
        <w:ind w:left="720"/>
      </w:pPr>
      <w:r w:rsidRPr="00DB077F">
        <w:t xml:space="preserve">On September 16, 2025, 3M filed a notice of removal in this Court pursuant to 28 U.S.C. § 1442, the federal officer removal statute. In its notice of removal, 3M alleges that the </w:t>
      </w:r>
      <w:proofErr w:type="gramStart"/>
      <w:r w:rsidRPr="00DB077F">
        <w:t>cancer</w:t>
      </w:r>
      <w:r>
        <w:t xml:space="preserve"> </w:t>
      </w:r>
      <w:r w:rsidRPr="00DB077F">
        <w:t>causing</w:t>
      </w:r>
      <w:proofErr w:type="gramEnd"/>
      <w:r w:rsidRPr="00DB077F">
        <w:t xml:space="preserve"> chemicals to which Crady was exposed consisted of per- and poly fluoroalkyl substances (</w:t>
      </w:r>
      <w:r>
        <w:t>‘</w:t>
      </w:r>
      <w:r w:rsidRPr="00DB077F">
        <w:t>PFAS</w:t>
      </w:r>
      <w:r>
        <w:t>’</w:t>
      </w:r>
      <w:r w:rsidRPr="00DB077F">
        <w:t>), which are contained in AFFF that 3M manufactured and sold to the U.S. military in accordance with the military's specifications (</w:t>
      </w:r>
      <w:r>
        <w:t>‘</w:t>
      </w:r>
      <w:proofErr w:type="spellStart"/>
      <w:r w:rsidRPr="00DB077F">
        <w:t>MilSpec</w:t>
      </w:r>
      <w:proofErr w:type="spellEnd"/>
      <w:r w:rsidRPr="00DB077F">
        <w:t xml:space="preserve"> AFFF</w:t>
      </w:r>
      <w:r>
        <w:t>’</w:t>
      </w:r>
      <w:r w:rsidRPr="00DB077F">
        <w:t>)</w:t>
      </w:r>
      <w:r>
        <w:t xml:space="preserve">. </w:t>
      </w:r>
    </w:p>
    <w:p w14:paraId="35F9F0A6" w14:textId="77777777" w:rsidR="00785DBA" w:rsidRDefault="00785DBA" w:rsidP="00785DBA">
      <w:pPr>
        <w:pStyle w:val="NoSpacing"/>
        <w:ind w:left="720"/>
      </w:pPr>
    </w:p>
    <w:p w14:paraId="5091EE7D" w14:textId="77777777" w:rsidR="00785DBA" w:rsidRDefault="00785DBA" w:rsidP="00785DBA">
      <w:pPr>
        <w:pStyle w:val="NoSpacing"/>
        <w:ind w:left="720"/>
      </w:pPr>
      <w:r>
        <w:t>***</w:t>
      </w:r>
    </w:p>
    <w:p w14:paraId="0977179E" w14:textId="77777777" w:rsidR="00785DBA" w:rsidRDefault="00785DBA" w:rsidP="00785DBA">
      <w:pPr>
        <w:pStyle w:val="NoSpacing"/>
        <w:ind w:left="720"/>
      </w:pPr>
    </w:p>
    <w:p w14:paraId="38D1B295" w14:textId="77777777" w:rsidR="00785DBA" w:rsidRDefault="00785DBA" w:rsidP="00785DBA">
      <w:pPr>
        <w:pStyle w:val="NoSpacing"/>
        <w:ind w:left="720"/>
      </w:pPr>
      <w:r w:rsidRPr="00D94D0A">
        <w:t xml:space="preserve">On September 26, 2025, 3M moved to stay all proceedings until the Judicial Panel on Multidistrict Litigation (the “JPML”) rendered a final decision on 3M's motion to transfer this action to the District of South Carolina for inclusion in the multidistrict litigation proceeding captioned </w:t>
      </w:r>
      <w:r w:rsidRPr="00D94D0A">
        <w:rPr>
          <w:i/>
          <w:iCs/>
        </w:rPr>
        <w:t>In re Aqueous Film-Forming Foams (AFFF) Products Liability Litigation</w:t>
      </w:r>
      <w:r w:rsidRPr="00D94D0A">
        <w:t xml:space="preserve"> (MDL No. 2873) (the </w:t>
      </w:r>
      <w:r>
        <w:t>‘</w:t>
      </w:r>
      <w:r w:rsidRPr="00D94D0A">
        <w:t>MDL</w:t>
      </w:r>
      <w:r>
        <w:t>’</w:t>
      </w:r>
      <w:r w:rsidRPr="00D94D0A">
        <w:t>)</w:t>
      </w:r>
      <w:r>
        <w:t xml:space="preserve">…. </w:t>
      </w:r>
      <w:r w:rsidRPr="00376CC0">
        <w:t>On December 11, 2025, the JPML denied 3M's motion to transfer.</w:t>
      </w:r>
    </w:p>
    <w:p w14:paraId="5FBCE215" w14:textId="77777777" w:rsidR="00785DBA" w:rsidRDefault="00785DBA" w:rsidP="00785DBA">
      <w:pPr>
        <w:pStyle w:val="NoSpacing"/>
        <w:ind w:left="720"/>
      </w:pPr>
    </w:p>
    <w:p w14:paraId="6C3A254E" w14:textId="77777777" w:rsidR="00785DBA" w:rsidRDefault="00785DBA" w:rsidP="00785DBA">
      <w:pPr>
        <w:pStyle w:val="NoSpacing"/>
        <w:ind w:left="720"/>
      </w:pPr>
      <w:r>
        <w:t>***</w:t>
      </w:r>
    </w:p>
    <w:p w14:paraId="0DB60DD6" w14:textId="77777777" w:rsidR="00785DBA" w:rsidRDefault="00785DBA" w:rsidP="00785DBA">
      <w:pPr>
        <w:pStyle w:val="NoSpacing"/>
        <w:ind w:left="720"/>
      </w:pPr>
      <w:r w:rsidRPr="0041479E">
        <w:t xml:space="preserve">3M maintains that Plaintiffs are attempting to use state law to attack design choices dictated by the military to impose tort liability on 3M for alleged injuries that were caused in whole or in part by 3M's compliance with military specifications. According to 3M, its status as a government contractor grants that the federal officer defense precludes such an attack. </w:t>
      </w:r>
      <w:r w:rsidRPr="0041479E">
        <w:rPr>
          <w:i/>
          <w:iCs/>
        </w:rPr>
        <w:t>See Boyle v. United Techs. Corp.,</w:t>
      </w:r>
      <w:r w:rsidRPr="0041479E">
        <w:t xml:space="preserve"> 487 U.S. 500, 509 (1988). 3M argues that this defense asserted by 3M and other </w:t>
      </w:r>
      <w:proofErr w:type="spellStart"/>
      <w:r w:rsidRPr="0041479E">
        <w:t>MilSpec</w:t>
      </w:r>
      <w:proofErr w:type="spellEnd"/>
      <w:r w:rsidRPr="0041479E">
        <w:t xml:space="preserve"> AFFF manufacturers presents genuine issues of fact for trial based on an extensive factual record in the MDL. </w:t>
      </w:r>
      <w:r w:rsidRPr="0041479E">
        <w:rPr>
          <w:i/>
          <w:iCs/>
        </w:rPr>
        <w:t xml:space="preserve">See In re AFFF Prods. </w:t>
      </w:r>
      <w:proofErr w:type="spellStart"/>
      <w:r w:rsidRPr="0041479E">
        <w:rPr>
          <w:i/>
          <w:iCs/>
        </w:rPr>
        <w:t>Liab</w:t>
      </w:r>
      <w:proofErr w:type="spellEnd"/>
      <w:r w:rsidRPr="0041479E">
        <w:rPr>
          <w:i/>
          <w:iCs/>
        </w:rPr>
        <w:t>. Litig.,</w:t>
      </w:r>
      <w:r w:rsidRPr="0041479E">
        <w:t xml:space="preserve"> 2:18-mn-02873, 2022 WL 4291357, at *12, 15 (D.S.C. Sept. 16, 2022). 3M submits that a defense that presents triable issues is colorable and that it has satisfied the remaining element required for federal jurisdiction.</w:t>
      </w:r>
      <w:r>
        <w:t>”</w:t>
      </w:r>
    </w:p>
    <w:p w14:paraId="1C3D7ED2" w14:textId="77777777" w:rsidR="00785DBA" w:rsidRDefault="00785DBA" w:rsidP="00785DBA">
      <w:pPr>
        <w:pStyle w:val="NoSpacing"/>
        <w:ind w:left="720"/>
      </w:pPr>
    </w:p>
    <w:p w14:paraId="7E36FAFA" w14:textId="77777777" w:rsidR="00785DBA" w:rsidRPr="00B47E84" w:rsidRDefault="00785DBA" w:rsidP="00785DBA">
      <w:pPr>
        <w:rPr>
          <w:b/>
          <w:bCs/>
        </w:rPr>
      </w:pPr>
      <w:r>
        <w:rPr>
          <w:b/>
        </w:rPr>
        <w:t xml:space="preserve">Legal lesson learned: The case is back to state court where pre-trial discovery will proceed. </w:t>
      </w:r>
    </w:p>
    <w:p w14:paraId="1E474DF8" w14:textId="77777777" w:rsidR="00785DBA" w:rsidRDefault="00785DBA" w:rsidP="00785DBA">
      <w:pPr>
        <w:pStyle w:val="NoSpacing"/>
        <w:ind w:left="720"/>
      </w:pPr>
      <w:r>
        <w:t xml:space="preserve">Note: Military contractor defense was addressed by U.S. Supreme Court in </w:t>
      </w:r>
      <w:r w:rsidRPr="0041479E">
        <w:rPr>
          <w:i/>
          <w:iCs/>
        </w:rPr>
        <w:t>Boyle v. United Techs. Corp.,</w:t>
      </w:r>
      <w:r w:rsidRPr="0041479E">
        <w:t xml:space="preserve"> 487 U.S. 500</w:t>
      </w:r>
      <w:r>
        <w:t xml:space="preserve"> </w:t>
      </w:r>
      <w:r w:rsidRPr="0041479E">
        <w:t>(1988)</w:t>
      </w:r>
      <w:r>
        <w:t xml:space="preserve">.  </w:t>
      </w:r>
      <w:r w:rsidRPr="00FB25AF">
        <w:t xml:space="preserve">Military equipment that meets prior requirements set by the federal government cannot have a design defect sufficient to hold its manufacturer liable. </w:t>
      </w:r>
      <w:hyperlink r:id="rId399" w:history="1">
        <w:r w:rsidRPr="00BB6E17">
          <w:rPr>
            <w:rStyle w:val="Hyperlink"/>
          </w:rPr>
          <w:t>https://supreme.justia.com/cases/federal/us/487/500/</w:t>
        </w:r>
      </w:hyperlink>
      <w:r>
        <w:t xml:space="preserve"> </w:t>
      </w:r>
    </w:p>
    <w:p w14:paraId="3086F464" w14:textId="77777777" w:rsidR="00785DBA" w:rsidRDefault="00785DBA" w:rsidP="00785DBA">
      <w:pPr>
        <w:pStyle w:val="NoSpacing"/>
        <w:ind w:left="720"/>
      </w:pPr>
    </w:p>
    <w:p w14:paraId="445A7D3D" w14:textId="77777777" w:rsidR="00785DBA" w:rsidRDefault="00785DBA" w:rsidP="00785DBA">
      <w:pPr>
        <w:pStyle w:val="NoSpacing"/>
        <w:ind w:left="1440"/>
      </w:pPr>
      <w:r>
        <w:t>“</w:t>
      </w:r>
      <w:r w:rsidRPr="00C7452C">
        <w:t>This case requires us to decide when a contractor providing military equipment to the Federal Government can be held liable under state tort law for injury caused by a design defect</w:t>
      </w:r>
      <w:r>
        <w:t xml:space="preserve">…. [Plaintiff’s] </w:t>
      </w:r>
      <w:r w:rsidRPr="001532A7">
        <w:t>broadest contention is that, in the absence of legislation specifically immunizing Government contractors from liability for design defects, there is no basis for judicial recognition of such a defense. We disagree.</w:t>
      </w:r>
    </w:p>
    <w:p w14:paraId="5E836FFD" w14:textId="77777777" w:rsidR="00785DBA" w:rsidRDefault="00785DBA" w:rsidP="00785DBA">
      <w:pPr>
        <w:pStyle w:val="NoSpacing"/>
        <w:ind w:left="1440"/>
      </w:pPr>
    </w:p>
    <w:p w14:paraId="736C2D26" w14:textId="77777777" w:rsidR="00785DBA" w:rsidRDefault="00785DBA" w:rsidP="00785DBA">
      <w:pPr>
        <w:pStyle w:val="NoSpacing"/>
        <w:ind w:left="1440"/>
      </w:pPr>
      <w:r>
        <w:t>***</w:t>
      </w:r>
    </w:p>
    <w:p w14:paraId="180D0EC2" w14:textId="77777777" w:rsidR="00785DBA" w:rsidRDefault="00785DBA" w:rsidP="00785DBA">
      <w:pPr>
        <w:pStyle w:val="NoSpacing"/>
        <w:ind w:left="1440"/>
      </w:pPr>
    </w:p>
    <w:p w14:paraId="47FBD702" w14:textId="77777777" w:rsidR="00785DBA" w:rsidRDefault="00785DBA" w:rsidP="00785DBA">
      <w:pPr>
        <w:pStyle w:val="NoSpacing"/>
        <w:ind w:left="1440"/>
      </w:pPr>
      <w:r w:rsidRPr="004465FA">
        <w:t xml:space="preserve">On April 27, 1983, David A. Boyle, a United States Marine helicopter copilot, was killed when the CH-53D helicopter in which he was flying crashed off the coast of Virginia Beach, Virginia, during a training exercise. Although Boyle survived the impact of the crash, he was unable to escape from the </w:t>
      </w:r>
      <w:proofErr w:type="gramStart"/>
      <w:r w:rsidRPr="004465FA">
        <w:t>helicopter, and</w:t>
      </w:r>
      <w:proofErr w:type="gramEnd"/>
      <w:r w:rsidRPr="004465FA">
        <w:t xml:space="preserve"> drowned</w:t>
      </w:r>
      <w:r>
        <w:t xml:space="preserve">…. </w:t>
      </w:r>
      <w:r w:rsidRPr="00514E02">
        <w:t>At trial</w:t>
      </w:r>
      <w:r>
        <w:t xml:space="preserve"> [in federal court]</w:t>
      </w:r>
      <w:r w:rsidRPr="00514E02">
        <w:t xml:space="preserve">, petitioner presented two theories of liability under Virginia tort law that were submitted to the jury. First, petitioner alleged that Sikorsky had defectively repaired a device called the servo in the helicopter's automatic flight control system, which allegedly malfunctioned and caused the crash. Second, petitioner alleged that Sikorsky had defectively designed </w:t>
      </w:r>
      <w:r w:rsidRPr="00514E02">
        <w:lastRenderedPageBreak/>
        <w:t xml:space="preserve">the copilot's emergency escape system: the escape hatch opened out instead of in (and was therefore ineffective in a submerged craft because of water pressure), and access to the escape hatch handle was obstructed by other equipment. The jury returned a general verdict in favor of </w:t>
      </w:r>
      <w:proofErr w:type="gramStart"/>
      <w:r w:rsidRPr="00514E02">
        <w:t>petitioner, and</w:t>
      </w:r>
      <w:proofErr w:type="gramEnd"/>
      <w:r w:rsidRPr="00514E02">
        <w:t xml:space="preserve"> awarded him $725,000</w:t>
      </w:r>
      <w:r>
        <w:t xml:space="preserve">….  [U.S. Court of Appeals reversed; just as Federal Government cannot be sued for defective design, </w:t>
      </w:r>
      <w:r w:rsidRPr="007B4C6E">
        <w:t>Sikorsky</w:t>
      </w:r>
      <w:r>
        <w:t xml:space="preserve"> as military contractor is not liable.] </w:t>
      </w:r>
    </w:p>
    <w:p w14:paraId="237439DA" w14:textId="77777777" w:rsidR="00785DBA" w:rsidRDefault="00785DBA" w:rsidP="00785DBA">
      <w:pPr>
        <w:pStyle w:val="NoSpacing"/>
        <w:ind w:left="1440"/>
      </w:pPr>
    </w:p>
    <w:p w14:paraId="3CDC16AB" w14:textId="77777777" w:rsidR="00785DBA" w:rsidRDefault="00785DBA" w:rsidP="00785DBA">
      <w:pPr>
        <w:pStyle w:val="NoSpacing"/>
        <w:ind w:left="1440"/>
      </w:pPr>
    </w:p>
    <w:p w14:paraId="17135C41" w14:textId="40466002" w:rsidR="00816870" w:rsidRDefault="00816870" w:rsidP="00816870">
      <w:pPr>
        <w:rPr>
          <w:rFonts w:ascii="Arial Black" w:hAnsi="Arial Black"/>
          <w:sz w:val="24"/>
          <w:szCs w:val="24"/>
        </w:rPr>
      </w:pPr>
      <w:r>
        <w:rPr>
          <w:rFonts w:ascii="Arial Black" w:hAnsi="Arial Black"/>
          <w:sz w:val="24"/>
          <w:szCs w:val="24"/>
        </w:rPr>
        <w:t>2-107</w:t>
      </w:r>
    </w:p>
    <w:p w14:paraId="276FA9D6" w14:textId="77777777" w:rsidR="00816870" w:rsidRDefault="00816870" w:rsidP="00816870">
      <w:pPr>
        <w:pStyle w:val="NoSpacing"/>
      </w:pPr>
      <w:r>
        <w:rPr>
          <w:rFonts w:ascii="Arial Black" w:hAnsi="Arial Black"/>
          <w:sz w:val="28"/>
          <w:szCs w:val="28"/>
        </w:rPr>
        <w:t>NH: FIRE POLE – VISITOR “PHOTO” – IMMUNITY / AIR BASE</w:t>
      </w:r>
    </w:p>
    <w:p w14:paraId="01D330AA" w14:textId="77777777" w:rsidR="00816870" w:rsidRDefault="00816870" w:rsidP="00816870">
      <w:pPr>
        <w:pStyle w:val="NoSpacing"/>
      </w:pPr>
    </w:p>
    <w:p w14:paraId="1DFEACE5" w14:textId="77777777" w:rsidR="00816870" w:rsidRDefault="00816870" w:rsidP="00816870">
      <w:pPr>
        <w:pStyle w:val="NoSpacing"/>
      </w:pPr>
      <w:r>
        <w:t xml:space="preserve">On March 31, 2026, in </w:t>
      </w:r>
      <w:r w:rsidRPr="00852BDB">
        <w:rPr>
          <w:u w:val="single"/>
        </w:rPr>
        <w:t>Celena Nixon v. United States of America</w:t>
      </w:r>
      <w:r>
        <w:t xml:space="preserve">, U.S. District Court Judge </w:t>
      </w:r>
      <w:r w:rsidRPr="00100189">
        <w:t>Paul J. Barbadoro</w:t>
      </w:r>
      <w:r>
        <w:t xml:space="preserve">, United States District Court for the District of New Hampshire, held that a visitor at the fire station </w:t>
      </w:r>
      <w:r w:rsidRPr="009B4B39">
        <w:t>Pease Air</w:t>
      </w:r>
      <w:r>
        <w:t xml:space="preserve"> </w:t>
      </w:r>
      <w:r w:rsidRPr="009B4B39">
        <w:t>National Guard Base in Newington, New Hampshire</w:t>
      </w:r>
      <w:r>
        <w:t xml:space="preserve"> cannot sue the government for most of her claims under Federal Tort Claims Act, but further briefing on “failure to train invitees” claim.   </w:t>
      </w:r>
      <w:r w:rsidRPr="00FC696C">
        <w:t>On Easter Sunday in April 2022, the fire department invited the</w:t>
      </w:r>
      <w:r>
        <w:t xml:space="preserve"> </w:t>
      </w:r>
      <w:r w:rsidRPr="00FC696C">
        <w:t>families of its on-duty firefighters to visit the fire station for a holiday</w:t>
      </w:r>
      <w:r>
        <w:t xml:space="preserve"> </w:t>
      </w:r>
      <w:r w:rsidRPr="00FC696C">
        <w:t>gathering.</w:t>
      </w:r>
      <w:r>
        <w:t xml:space="preserve"> Plaintiff’s husband was on duty, and gave his wife, two sons and daughter a tour, including second floor; he and two boys then entered the gated pole and safely went down the pole. Mrs. Nixon asked her daughter to take her photo by pole – fell down the hole.  The Court describes what happened:</w:t>
      </w:r>
    </w:p>
    <w:p w14:paraId="4E3B9D71" w14:textId="77777777" w:rsidR="00816870" w:rsidRDefault="00816870" w:rsidP="00816870">
      <w:pPr>
        <w:pStyle w:val="NoSpacing"/>
      </w:pPr>
    </w:p>
    <w:p w14:paraId="6013D722" w14:textId="77777777" w:rsidR="00816870" w:rsidRDefault="00816870" w:rsidP="00816870">
      <w:pPr>
        <w:pStyle w:val="NoSpacing"/>
        <w:ind w:left="720"/>
      </w:pPr>
      <w:r>
        <w:t>“</w:t>
      </w:r>
      <w:r w:rsidRPr="00C3098E">
        <w:t xml:space="preserve">Upon entering the pole room, Nixon was struck by the pole’s </w:t>
      </w:r>
      <w:r>
        <w:t>‘</w:t>
      </w:r>
      <w:r w:rsidRPr="00C3098E">
        <w:t>timeless</w:t>
      </w:r>
      <w:r>
        <w:t>’ ‘</w:t>
      </w:r>
      <w:r w:rsidRPr="00C3098E">
        <w:t>beauty[y]</w:t>
      </w:r>
      <w:r>
        <w:t>’</w:t>
      </w:r>
      <w:r w:rsidRPr="00C3098E">
        <w:t xml:space="preserve"> and </w:t>
      </w:r>
      <w:r>
        <w:t>‘</w:t>
      </w:r>
      <w:r w:rsidRPr="00C3098E">
        <w:t>wanted [her] picture taken.</w:t>
      </w:r>
      <w:r>
        <w:t xml:space="preserve">’ … </w:t>
      </w:r>
      <w:r w:rsidRPr="00C3098E">
        <w:t>After handing her</w:t>
      </w:r>
      <w:r>
        <w:t xml:space="preserve"> </w:t>
      </w:r>
      <w:r w:rsidRPr="00C3098E">
        <w:t>phone to her daughter, she says that she walked over to the pole, where the</w:t>
      </w:r>
      <w:r>
        <w:t xml:space="preserve"> </w:t>
      </w:r>
      <w:r w:rsidRPr="00C3098E">
        <w:t>gate into its surrounding cage was open</w:t>
      </w:r>
      <w:r>
        <w:t xml:space="preserve">…. </w:t>
      </w:r>
      <w:r w:rsidRPr="00C3098E">
        <w:t>In her telling, she</w:t>
      </w:r>
      <w:r>
        <w:t xml:space="preserve"> </w:t>
      </w:r>
      <w:r w:rsidRPr="00C3098E">
        <w:t xml:space="preserve">stepped inside and placed her weight onto </w:t>
      </w:r>
      <w:r>
        <w:t>‘</w:t>
      </w:r>
      <w:r w:rsidRPr="00C3098E">
        <w:t>another platform</w:t>
      </w:r>
      <w:r>
        <w:t>’</w:t>
      </w:r>
      <w:r w:rsidRPr="00C3098E">
        <w:t xml:space="preserve"> (ostensibly the</w:t>
      </w:r>
      <w:r>
        <w:t xml:space="preserve"> </w:t>
      </w:r>
      <w:r w:rsidRPr="00C3098E">
        <w:t xml:space="preserve">hatch) that </w:t>
      </w:r>
      <w:r>
        <w:t>‘</w:t>
      </w:r>
      <w:r w:rsidRPr="00C3098E">
        <w:t>gave way.</w:t>
      </w:r>
      <w:r>
        <w:t xml:space="preserve">’ … </w:t>
      </w:r>
      <w:r w:rsidRPr="00C3098E">
        <w:t xml:space="preserve"> Because she </w:t>
      </w:r>
      <w:r>
        <w:t>‘</w:t>
      </w:r>
      <w:r w:rsidRPr="00C3098E">
        <w:t>wasn’t like hanging on</w:t>
      </w:r>
      <w:r>
        <w:t xml:space="preserve">’ </w:t>
      </w:r>
      <w:r w:rsidRPr="00C3098E">
        <w:t>as she tried to get a picture, she fell through the hatch to the ground and was</w:t>
      </w:r>
      <w:r>
        <w:t xml:space="preserve"> </w:t>
      </w:r>
      <w:r w:rsidRPr="00C3098E">
        <w:t>injured.</w:t>
      </w:r>
      <w:r>
        <w:t>”</w:t>
      </w:r>
    </w:p>
    <w:p w14:paraId="74312072" w14:textId="77777777" w:rsidR="00816870" w:rsidRDefault="00816870" w:rsidP="00816870">
      <w:pPr>
        <w:pStyle w:val="NoSpacing"/>
      </w:pPr>
      <w:hyperlink r:id="rId400" w:history="1">
        <w:r w:rsidRPr="00402DB2">
          <w:rPr>
            <w:rStyle w:val="Hyperlink"/>
          </w:rPr>
          <w:t>https://cases.justia.com/federal/district-courts/new-hampshire/nhdce/1:2024cv00213/63777/56/0.pdf?ts=1775080109</w:t>
        </w:r>
      </w:hyperlink>
      <w:r>
        <w:t xml:space="preserve"> </w:t>
      </w:r>
    </w:p>
    <w:p w14:paraId="1BB6A13D" w14:textId="77777777" w:rsidR="00816870" w:rsidRDefault="00816870" w:rsidP="00816870">
      <w:pPr>
        <w:pStyle w:val="NoSpacing"/>
      </w:pPr>
    </w:p>
    <w:p w14:paraId="48546352" w14:textId="77777777" w:rsidR="00816870" w:rsidRDefault="00816870" w:rsidP="00816870">
      <w:pPr>
        <w:pStyle w:val="NoSpacing"/>
      </w:pPr>
      <w:r>
        <w:t>THE COURT HELD:</w:t>
      </w:r>
    </w:p>
    <w:p w14:paraId="68732989" w14:textId="77777777" w:rsidR="00816870" w:rsidRDefault="00816870" w:rsidP="00816870">
      <w:pPr>
        <w:pStyle w:val="NoSpacing"/>
        <w:rPr>
          <w:bCs/>
        </w:rPr>
      </w:pPr>
    </w:p>
    <w:p w14:paraId="250D6A6D" w14:textId="77777777" w:rsidR="00816870" w:rsidRDefault="00816870" w:rsidP="00816870">
      <w:pPr>
        <w:pStyle w:val="NoSpacing"/>
        <w:ind w:left="720"/>
      </w:pPr>
      <w:r>
        <w:t>“Nixon filed this lawsuit against the United States in July 2024…. She asserted claims for negligence and premises liability based on the fire department’s failure to: ‘safely secure the premises for invitees’ (‘Theory 1’); ‘train invitees in the proper use”’ of the pole (‘Theory 2’); ‘restrict access to the pole and the pole room’  to individuals without such training (‘Theory 3’); ‘post signs warning invitees not to approach the pole’ (‘Theory 4’); ‘post signs’ warning that the floor plate ‘was not solid footing and would give upon</w:t>
      </w:r>
    </w:p>
    <w:p w14:paraId="0EB8A287" w14:textId="77777777" w:rsidR="00816870" w:rsidRDefault="00816870" w:rsidP="00816870">
      <w:pPr>
        <w:pStyle w:val="NoSpacing"/>
        <w:ind w:left="720"/>
      </w:pPr>
      <w:r>
        <w:t xml:space="preserve">placement of any weight’ (‘Theory 5’); ‘secure’ the hatch ‘such that it did not immediately allow individuals to fall through’ or remove it altogether (‘Theory 6’); and ‘install barriers to prevent’ someone from ‘approaching the pole’ and hatch beneath (‘Theory 7’)…. Nixon demanded damages for physical and mental suffering, medical treatment, and loss of earning capacity. </w:t>
      </w:r>
    </w:p>
    <w:p w14:paraId="5C3FE118" w14:textId="77777777" w:rsidR="00816870" w:rsidRDefault="00816870" w:rsidP="00816870">
      <w:pPr>
        <w:pStyle w:val="NoSpacing"/>
        <w:ind w:left="720"/>
      </w:pPr>
    </w:p>
    <w:p w14:paraId="19AB3D92" w14:textId="77777777" w:rsidR="00816870" w:rsidRDefault="00816870" w:rsidP="00816870">
      <w:pPr>
        <w:pStyle w:val="NoSpacing"/>
        <w:ind w:left="720"/>
      </w:pPr>
      <w:r>
        <w:t>***</w:t>
      </w:r>
    </w:p>
    <w:p w14:paraId="5965DA70" w14:textId="77777777" w:rsidR="00816870" w:rsidRDefault="00816870" w:rsidP="00816870">
      <w:pPr>
        <w:pStyle w:val="NoSpacing"/>
        <w:ind w:left="720"/>
      </w:pPr>
    </w:p>
    <w:p w14:paraId="3379D0B5" w14:textId="77777777" w:rsidR="00816870" w:rsidRDefault="00816870" w:rsidP="00816870">
      <w:pPr>
        <w:pStyle w:val="NoSpacing"/>
        <w:ind w:left="720"/>
      </w:pPr>
      <w:r>
        <w:t>Because Nixon’s failure-to-warn claims are inextricably reliant on the fire department’s alleged failure to communicate information, they are subject to the misrepresentation exception. And, because her remaining claims are barred by the discretionary-function exception, I lack jurisdiction over those claims as well.</w:t>
      </w:r>
    </w:p>
    <w:p w14:paraId="6348774F" w14:textId="77777777" w:rsidR="00816870" w:rsidRDefault="00816870" w:rsidP="00816870">
      <w:pPr>
        <w:pStyle w:val="NoSpacing"/>
        <w:ind w:left="720"/>
      </w:pPr>
    </w:p>
    <w:p w14:paraId="6E15FD72" w14:textId="77777777" w:rsidR="00816870" w:rsidRDefault="00816870" w:rsidP="00816870">
      <w:pPr>
        <w:pStyle w:val="NoSpacing"/>
        <w:ind w:left="720"/>
      </w:pPr>
      <w:r>
        <w:t>***</w:t>
      </w:r>
    </w:p>
    <w:p w14:paraId="5CA8DFE5" w14:textId="77777777" w:rsidR="00816870" w:rsidRDefault="00816870" w:rsidP="00816870">
      <w:pPr>
        <w:pStyle w:val="NoSpacing"/>
        <w:ind w:left="720"/>
      </w:pPr>
      <w:r>
        <w:t>Nixon asserts that the government is liable in part because it failed to ‘train invitees in the proper use’ of the fire pole (Theory 2)….Although it is likely that any claims based on this theory are also barred by the discretion-function exception, I do not presume as much, as the government has not challenged this theory of liability in its motion for</w:t>
      </w:r>
    </w:p>
    <w:p w14:paraId="55A23A2B" w14:textId="77777777" w:rsidR="00816870" w:rsidRDefault="00816870" w:rsidP="00816870">
      <w:pPr>
        <w:pStyle w:val="NoSpacing"/>
        <w:ind w:left="720"/>
      </w:pPr>
      <w:r>
        <w:t xml:space="preserve">summary judgment. And as applied to this theory, the government’s alternative arguments concerning the scope of the fire department’s duties, the foreseeability of danger posed by the fire pole, and Nixon’s </w:t>
      </w:r>
      <w:r>
        <w:lastRenderedPageBreak/>
        <w:t>comparative fault present triable disputes of material fact. I therefore deny the government’s motion for summary judgment as to Theory 2 without prejudice to any motion addressing this Court’s jurisdiction over those claims.”</w:t>
      </w:r>
    </w:p>
    <w:p w14:paraId="4B9E65A0" w14:textId="77777777" w:rsidR="00816870" w:rsidRDefault="00816870" w:rsidP="00816870">
      <w:pPr>
        <w:pStyle w:val="NoSpacing"/>
        <w:ind w:left="720"/>
      </w:pPr>
    </w:p>
    <w:p w14:paraId="16AD9B72" w14:textId="77777777" w:rsidR="00816870" w:rsidRDefault="00816870" w:rsidP="00816870">
      <w:r>
        <w:rPr>
          <w:b/>
        </w:rPr>
        <w:t xml:space="preserve">Legal lesson learned: During tours of station, tell all visitors to stay away from fire pole hole. </w:t>
      </w:r>
    </w:p>
    <w:p w14:paraId="1D31229B" w14:textId="77777777" w:rsidR="00816870" w:rsidRDefault="00816870" w:rsidP="00816870">
      <w:pPr>
        <w:pStyle w:val="NoSpacing"/>
        <w:ind w:left="720"/>
      </w:pPr>
      <w:r>
        <w:t xml:space="preserve">Note: Court commented on NFPA 1500: </w:t>
      </w:r>
    </w:p>
    <w:p w14:paraId="01096503" w14:textId="77777777" w:rsidR="00816870" w:rsidRDefault="00816870" w:rsidP="00816870">
      <w:pPr>
        <w:pStyle w:val="NoSpacing"/>
        <w:ind w:left="720" w:firstLine="720"/>
      </w:pPr>
      <w:r>
        <w:t xml:space="preserve"> “In relevant part, section 10.1.8 of the NFPA 1500 directs that:</w:t>
      </w:r>
    </w:p>
    <w:p w14:paraId="6074C941" w14:textId="77777777" w:rsidR="00816870" w:rsidRDefault="00816870" w:rsidP="00816870">
      <w:pPr>
        <w:pStyle w:val="NoSpacing"/>
        <w:ind w:left="720" w:firstLine="720"/>
      </w:pPr>
      <w:r>
        <w:t>Stations utilizing poles to provide rapid access to lower</w:t>
      </w:r>
    </w:p>
    <w:p w14:paraId="7B59A00C" w14:textId="77777777" w:rsidR="00816870" w:rsidRDefault="00816870" w:rsidP="00816870">
      <w:pPr>
        <w:pStyle w:val="NoSpacing"/>
        <w:ind w:left="720" w:firstLine="720"/>
      </w:pPr>
      <w:r>
        <w:t>floors shall ensure that the area around the pole hole</w:t>
      </w:r>
    </w:p>
    <w:p w14:paraId="385DE512" w14:textId="77777777" w:rsidR="00816870" w:rsidRDefault="00816870" w:rsidP="00816870">
      <w:pPr>
        <w:pStyle w:val="NoSpacing"/>
        <w:ind w:left="720" w:firstLine="720"/>
      </w:pPr>
      <w:r>
        <w:t>is secured by means of a cover, enclosure, or other</w:t>
      </w:r>
    </w:p>
    <w:p w14:paraId="0529AEFF" w14:textId="77777777" w:rsidR="00816870" w:rsidRDefault="00816870" w:rsidP="00816870">
      <w:pPr>
        <w:pStyle w:val="NoSpacing"/>
        <w:ind w:left="720" w:firstLine="720"/>
      </w:pPr>
      <w:r>
        <w:t>means to prevent someone from accidentally falling</w:t>
      </w:r>
    </w:p>
    <w:p w14:paraId="2B2B1CBE" w14:textId="77777777" w:rsidR="00816870" w:rsidRDefault="00816870" w:rsidP="00816870">
      <w:pPr>
        <w:pStyle w:val="NoSpacing"/>
        <w:ind w:left="1440"/>
      </w:pPr>
      <w:r>
        <w:t>though the pole hole.</w:t>
      </w:r>
    </w:p>
    <w:p w14:paraId="2FFA7007" w14:textId="77777777" w:rsidR="00816870" w:rsidRDefault="00816870" w:rsidP="00816870">
      <w:pPr>
        <w:pStyle w:val="NoSpacing"/>
        <w:ind w:left="1440"/>
      </w:pPr>
    </w:p>
    <w:p w14:paraId="35A88F91" w14:textId="77777777" w:rsidR="00816870" w:rsidRDefault="00816870" w:rsidP="00816870">
      <w:pPr>
        <w:pStyle w:val="NoSpacing"/>
        <w:ind w:left="1440"/>
      </w:pPr>
      <w:r>
        <w:t>***</w:t>
      </w:r>
    </w:p>
    <w:p w14:paraId="1E986B0B" w14:textId="77777777" w:rsidR="00816870" w:rsidRDefault="00816870" w:rsidP="00816870">
      <w:pPr>
        <w:pStyle w:val="NoSpacing"/>
        <w:ind w:left="1440"/>
      </w:pPr>
    </w:p>
    <w:p w14:paraId="584F55C5" w14:textId="77777777" w:rsidR="00816870" w:rsidRDefault="00816870" w:rsidP="00816870">
      <w:pPr>
        <w:pStyle w:val="NoSpacing"/>
        <w:ind w:left="1440"/>
      </w:pPr>
      <w:r>
        <w:t>Phrased disjunctively, this provision does not require the department to use a cover if it uses an enclosure, which is what it did in this case.”</w:t>
      </w:r>
    </w:p>
    <w:p w14:paraId="769A390F" w14:textId="77777777" w:rsidR="00816870" w:rsidRDefault="00816870" w:rsidP="00816870">
      <w:pPr>
        <w:pStyle w:val="NoSpacing"/>
        <w:rPr>
          <w:bCs/>
        </w:rPr>
      </w:pPr>
    </w:p>
    <w:p w14:paraId="194FDA20" w14:textId="77777777" w:rsidR="00816870" w:rsidRDefault="00816870" w:rsidP="00646EE3">
      <w:pPr>
        <w:rPr>
          <w:rFonts w:ascii="Arial Black" w:hAnsi="Arial Black"/>
          <w:sz w:val="24"/>
          <w:szCs w:val="24"/>
        </w:rPr>
      </w:pPr>
    </w:p>
    <w:p w14:paraId="5454D4B8" w14:textId="77777777" w:rsidR="00997F6F" w:rsidRDefault="00997F6F" w:rsidP="00646EE3">
      <w:pPr>
        <w:rPr>
          <w:rFonts w:ascii="Arial Black" w:hAnsi="Arial Black"/>
          <w:sz w:val="24"/>
          <w:szCs w:val="24"/>
        </w:rPr>
      </w:pPr>
    </w:p>
    <w:p w14:paraId="4BCC8CD0" w14:textId="1D2FF849" w:rsidR="00961DF4" w:rsidRDefault="00961DF4" w:rsidP="00646EE3">
      <w:pPr>
        <w:rPr>
          <w:rFonts w:ascii="Arial Black" w:hAnsi="Arial Black"/>
          <w:sz w:val="24"/>
          <w:szCs w:val="24"/>
        </w:rPr>
      </w:pPr>
      <w:r>
        <w:rPr>
          <w:rFonts w:ascii="Arial Black" w:hAnsi="Arial Black"/>
          <w:sz w:val="24"/>
          <w:szCs w:val="24"/>
        </w:rPr>
        <w:t>2-10</w:t>
      </w:r>
      <w:r w:rsidR="00F52698">
        <w:rPr>
          <w:rFonts w:ascii="Arial Black" w:hAnsi="Arial Black"/>
          <w:sz w:val="24"/>
          <w:szCs w:val="24"/>
        </w:rPr>
        <w:t>6</w:t>
      </w:r>
    </w:p>
    <w:p w14:paraId="591B0E79" w14:textId="77777777" w:rsidR="00916D00" w:rsidRDefault="00916D00" w:rsidP="00916D00">
      <w:pPr>
        <w:pStyle w:val="NoSpacing"/>
        <w:rPr>
          <w:rFonts w:ascii="Arial Black" w:hAnsi="Arial Black"/>
          <w:b/>
          <w:sz w:val="28"/>
          <w:szCs w:val="28"/>
        </w:rPr>
      </w:pPr>
      <w:r>
        <w:rPr>
          <w:rFonts w:ascii="Arial Black" w:hAnsi="Arial Black"/>
          <w:b/>
          <w:sz w:val="28"/>
          <w:szCs w:val="28"/>
        </w:rPr>
        <w:t>TX: DRUNK – HEAD ON AMBULANCE – 2 DEAD / 30 YRS</w:t>
      </w:r>
    </w:p>
    <w:p w14:paraId="7E070C79" w14:textId="77777777" w:rsidR="00916D00" w:rsidRDefault="00916D00" w:rsidP="00916D00">
      <w:pPr>
        <w:pStyle w:val="NoSpacing"/>
        <w:rPr>
          <w:rFonts w:ascii="Arial Black" w:hAnsi="Arial Black"/>
          <w:b/>
          <w:sz w:val="28"/>
          <w:szCs w:val="28"/>
        </w:rPr>
      </w:pPr>
    </w:p>
    <w:p w14:paraId="6F7679F6" w14:textId="77777777" w:rsidR="00916D00" w:rsidRDefault="00916D00" w:rsidP="00916D00">
      <w:pPr>
        <w:pStyle w:val="NoSpacing"/>
        <w:rPr>
          <w:bCs/>
        </w:rPr>
      </w:pPr>
      <w:r w:rsidRPr="00F90D69">
        <w:t xml:space="preserve">On March 19, 2026, in </w:t>
      </w:r>
      <w:r w:rsidRPr="00F90D69">
        <w:rPr>
          <w:u w:val="single"/>
        </w:rPr>
        <w:t>Mitchell Trevino v. The State of Texas</w:t>
      </w:r>
      <w:r w:rsidRPr="00F90D69">
        <w:t>,</w:t>
      </w:r>
      <w:r>
        <w:t xml:space="preserve"> the </w:t>
      </w:r>
      <w:r w:rsidRPr="00E31049">
        <w:t>Court of Appeals of Texas, Thirteenth District, Corpus Christi-Edinburg</w:t>
      </w:r>
      <w:r>
        <w:t xml:space="preserve"> held (3 to 0; unpublished opinion) that trial court judge properly rejected defendant’s offer to stipulate that he was intoxicated and two were killed (EMS driver and patient) and third seriously injured (EMT). The prosecution had every right to provide testimony, photographs, body-camera video of the horrible scene.  The jury assessed imprisonment of total 30 years.</w:t>
      </w:r>
    </w:p>
    <w:p w14:paraId="2F31C3E3" w14:textId="77777777" w:rsidR="00916D00" w:rsidRDefault="00916D00" w:rsidP="00916D00">
      <w:pPr>
        <w:pStyle w:val="NoSpacing"/>
        <w:rPr>
          <w:b/>
        </w:rPr>
      </w:pPr>
      <w:hyperlink r:id="rId401" w:history="1">
        <w:r w:rsidRPr="001F11D0">
          <w:rPr>
            <w:rStyle w:val="Hyperlink"/>
            <w:b/>
          </w:rPr>
          <w:t>https://cases.justia.com/texas/thirteenth-court-of-appeals/2026-13-24-00335-cr.pdf?ts=1773937817</w:t>
        </w:r>
      </w:hyperlink>
      <w:r>
        <w:rPr>
          <w:b/>
        </w:rPr>
        <w:t xml:space="preserve"> </w:t>
      </w:r>
    </w:p>
    <w:p w14:paraId="23349623" w14:textId="77777777" w:rsidR="00916D00" w:rsidRDefault="00916D00" w:rsidP="00916D00">
      <w:pPr>
        <w:pStyle w:val="NoSpacing"/>
        <w:rPr>
          <w:bCs/>
        </w:rPr>
      </w:pPr>
      <w:r>
        <w:t xml:space="preserve"> </w:t>
      </w:r>
    </w:p>
    <w:p w14:paraId="337078CF" w14:textId="77777777" w:rsidR="00916D00" w:rsidRPr="008F1BAC" w:rsidRDefault="00916D00" w:rsidP="00916D00">
      <w:pPr>
        <w:pStyle w:val="NoSpacing"/>
      </w:pPr>
      <w:r>
        <w:t>THE COURT HELD: “</w:t>
      </w:r>
      <w:r w:rsidRPr="008F1BAC">
        <w:t>In December 2018, Trevino collided with the rear of a vehicle traveling in front of</w:t>
      </w:r>
      <w:r>
        <w:t xml:space="preserve"> </w:t>
      </w:r>
      <w:r w:rsidRPr="008F1BAC">
        <w:t>him, crossed into an oncoming lane of traffic, and hit an ambulance head on. The</w:t>
      </w:r>
    </w:p>
    <w:p w14:paraId="7CD76A99" w14:textId="77777777" w:rsidR="00916D00" w:rsidRPr="008F1BAC" w:rsidRDefault="00916D00" w:rsidP="00916D00">
      <w:pPr>
        <w:pStyle w:val="NoSpacing"/>
      </w:pPr>
      <w:r w:rsidRPr="008F1BAC">
        <w:t>ambulance driver was killed, a patient was killed, and an emergency medical technician</w:t>
      </w:r>
    </w:p>
    <w:p w14:paraId="6F2161C5" w14:textId="77777777" w:rsidR="00916D00" w:rsidRPr="008F1BAC" w:rsidRDefault="00916D00" w:rsidP="00916D00">
      <w:pPr>
        <w:pStyle w:val="NoSpacing"/>
      </w:pPr>
      <w:r w:rsidRPr="008F1BAC">
        <w:t>(EMT) was injured. Prior to the commencement of trial, Trevino offered to stipulate that</w:t>
      </w:r>
    </w:p>
    <w:p w14:paraId="6EB0BBDF" w14:textId="77777777" w:rsidR="00916D00" w:rsidRPr="008F1BAC" w:rsidRDefault="00916D00" w:rsidP="00916D00">
      <w:pPr>
        <w:pStyle w:val="NoSpacing"/>
      </w:pPr>
      <w:proofErr w:type="gramStart"/>
      <w:r w:rsidRPr="008F1BAC">
        <w:t>he</w:t>
      </w:r>
      <w:proofErr w:type="gramEnd"/>
      <w:r w:rsidRPr="008F1BAC">
        <w:t xml:space="preserve"> was intoxicated, there were two fatalities, and one person suffered serious bodily</w:t>
      </w:r>
    </w:p>
    <w:p w14:paraId="0D245D37" w14:textId="77777777" w:rsidR="00916D00" w:rsidRDefault="00916D00" w:rsidP="00916D00">
      <w:pPr>
        <w:pStyle w:val="NoSpacing"/>
      </w:pPr>
      <w:r w:rsidRPr="008F1BAC">
        <w:t>injury. The State did not accept Trevino’s offer to stipulate in lieu of presenting evidence.</w:t>
      </w:r>
    </w:p>
    <w:p w14:paraId="4718BC8E" w14:textId="77777777" w:rsidR="00916D00" w:rsidRDefault="00916D00" w:rsidP="00916D00">
      <w:pPr>
        <w:pStyle w:val="NoSpacing"/>
      </w:pPr>
      <w:r>
        <w:t>***</w:t>
      </w:r>
    </w:p>
    <w:p w14:paraId="1B06688F" w14:textId="77777777" w:rsidR="00916D00" w:rsidRDefault="00916D00" w:rsidP="00916D00">
      <w:pPr>
        <w:pStyle w:val="NoSpacing"/>
      </w:pPr>
      <w:r>
        <w:t>Here, Trevino cannot ‘stipulate or admit his way out of the full evidentiary force of</w:t>
      </w:r>
    </w:p>
    <w:p w14:paraId="5FE5E8AD" w14:textId="77777777" w:rsidR="00916D00" w:rsidRDefault="00916D00" w:rsidP="00916D00">
      <w:pPr>
        <w:pStyle w:val="NoSpacing"/>
      </w:pPr>
      <w:r>
        <w:t>the case as the [state chose] chooses to present it.’ … While the State’s evidence is certainly necessary for definitionally proving the elements of an offense, that is not the only role of such evidence…. Evidence also plays a role in providing human jurors what stipulations cannot: narratives, complexity, ability to draw inferences, and connection to human experience.”</w:t>
      </w:r>
    </w:p>
    <w:p w14:paraId="121C0D91" w14:textId="77777777" w:rsidR="00916D00" w:rsidRDefault="00916D00" w:rsidP="00916D00">
      <w:pPr>
        <w:pStyle w:val="NoSpacing"/>
      </w:pPr>
    </w:p>
    <w:p w14:paraId="5941298C" w14:textId="77777777" w:rsidR="00916D00" w:rsidRPr="00FF0645" w:rsidRDefault="00916D00" w:rsidP="00916D00">
      <w:pPr>
        <w:pStyle w:val="NoSpacing"/>
        <w:rPr>
          <w:b/>
          <w:bCs/>
        </w:rPr>
      </w:pPr>
      <w:r w:rsidRPr="00FF0645">
        <w:rPr>
          <w:b/>
        </w:rPr>
        <w:t xml:space="preserve">Legal lesson learned: </w:t>
      </w:r>
      <w:r>
        <w:rPr>
          <w:b/>
        </w:rPr>
        <w:t xml:space="preserve">State was entitled to show the jury the terrible result of drunk driving. </w:t>
      </w:r>
    </w:p>
    <w:p w14:paraId="33E3D0B4" w14:textId="77777777" w:rsidR="00916D00" w:rsidRPr="00FF0645" w:rsidRDefault="00916D00" w:rsidP="00916D00">
      <w:pPr>
        <w:pStyle w:val="NoSpacing"/>
        <w:rPr>
          <w:b/>
          <w:bCs/>
        </w:rPr>
      </w:pPr>
    </w:p>
    <w:p w14:paraId="2A58A00C" w14:textId="77777777" w:rsidR="00916D00" w:rsidRDefault="00916D00" w:rsidP="00646EE3">
      <w:pPr>
        <w:rPr>
          <w:rFonts w:ascii="Arial Black" w:hAnsi="Arial Black"/>
          <w:sz w:val="24"/>
          <w:szCs w:val="24"/>
        </w:rPr>
      </w:pPr>
    </w:p>
    <w:p w14:paraId="7D834173" w14:textId="72679317" w:rsidR="00961DF4" w:rsidRDefault="00916D00" w:rsidP="00646EE3">
      <w:pPr>
        <w:rPr>
          <w:rFonts w:ascii="Arial Black" w:hAnsi="Arial Black"/>
          <w:sz w:val="24"/>
          <w:szCs w:val="24"/>
        </w:rPr>
      </w:pPr>
      <w:r>
        <w:rPr>
          <w:rFonts w:ascii="Arial Black" w:hAnsi="Arial Black"/>
          <w:sz w:val="24"/>
          <w:szCs w:val="24"/>
        </w:rPr>
        <w:lastRenderedPageBreak/>
        <w:t>2-10</w:t>
      </w:r>
      <w:r w:rsidR="00056D43">
        <w:rPr>
          <w:rFonts w:ascii="Arial Black" w:hAnsi="Arial Black"/>
          <w:sz w:val="24"/>
          <w:szCs w:val="24"/>
        </w:rPr>
        <w:t>5</w:t>
      </w:r>
    </w:p>
    <w:p w14:paraId="18670608" w14:textId="77777777" w:rsidR="00F52698" w:rsidRDefault="00F52698" w:rsidP="00F52698">
      <w:pPr>
        <w:pStyle w:val="NoSpacing"/>
        <w:rPr>
          <w:rFonts w:ascii="Arial Black" w:hAnsi="Arial Black"/>
          <w:b/>
          <w:sz w:val="28"/>
          <w:szCs w:val="28"/>
        </w:rPr>
      </w:pPr>
      <w:r>
        <w:rPr>
          <w:rFonts w:ascii="Arial Black" w:hAnsi="Arial Black"/>
          <w:b/>
          <w:sz w:val="28"/>
          <w:szCs w:val="28"/>
        </w:rPr>
        <w:t>PA: SPEEDING DRIVER – KILLED “FIRE POLICE” - 25 YRS</w:t>
      </w:r>
    </w:p>
    <w:p w14:paraId="435F1B6D" w14:textId="77777777" w:rsidR="00F52698" w:rsidRDefault="00F52698" w:rsidP="00F52698">
      <w:pPr>
        <w:pStyle w:val="NoSpacing"/>
        <w:rPr>
          <w:bCs/>
        </w:rPr>
      </w:pPr>
    </w:p>
    <w:p w14:paraId="32ABF91E" w14:textId="77777777" w:rsidR="00F52698" w:rsidRDefault="00F52698" w:rsidP="00F52698">
      <w:pPr>
        <w:pStyle w:val="NoSpacing"/>
      </w:pPr>
      <w:r w:rsidRPr="00434D0D">
        <w:t xml:space="preserve">On March 10, 2026, in </w:t>
      </w:r>
      <w:r w:rsidRPr="00434D0D">
        <w:rPr>
          <w:u w:val="single"/>
        </w:rPr>
        <w:t>Commonwealth of Pennsylvania v. Dawann Matrick Simmons</w:t>
      </w:r>
      <w:r w:rsidRPr="00434D0D">
        <w:t xml:space="preserve">, </w:t>
      </w:r>
      <w:r>
        <w:t xml:space="preserve">the </w:t>
      </w:r>
      <w:r w:rsidRPr="00295533">
        <w:t>Superior Court of Pennsylvania</w:t>
      </w:r>
      <w:r>
        <w:t xml:space="preserve"> held (3 to 0; non precedential) that the trial court judge properly rejected criminal defendant’s motion to set aside his guilty plea.  Court wrote: “His statement that he was unaware of the likelihood of the imposition of the maximum sentence may be true, but it is of no matter.”  On November 7, </w:t>
      </w:r>
      <w:proofErr w:type="gramStart"/>
      <w:r>
        <w:t>2024</w:t>
      </w:r>
      <w:proofErr w:type="gramEnd"/>
      <w:r>
        <w:t xml:space="preserve"> he pled no contest to first count - Count 1, Homicide by Vehicle, a Felony of the Third Degree; and guilty to 9 other counts, with trial court judge advising him of max sentence for each count, and total aggregate of 25 years and six months. On January 2, </w:t>
      </w:r>
      <w:proofErr w:type="gramStart"/>
      <w:r>
        <w:t>2025</w:t>
      </w:r>
      <w:proofErr w:type="gramEnd"/>
      <w:r>
        <w:t xml:space="preserve"> he was sentenced to an aggregate of 109 to 218 months’ incarceration.  </w:t>
      </w:r>
    </w:p>
    <w:p w14:paraId="0A80C98C" w14:textId="77777777" w:rsidR="00F52698" w:rsidRDefault="00F52698" w:rsidP="00F52698">
      <w:pPr>
        <w:pStyle w:val="NoSpacing"/>
      </w:pPr>
      <w:hyperlink r:id="rId402" w:history="1">
        <w:r w:rsidRPr="004D13CD">
          <w:rPr>
            <w:rStyle w:val="Hyperlink"/>
          </w:rPr>
          <w:t>https://www.pacourts.us/assets/opinions/Superior/out/J-S01044-26m%20-%20106707559350028927.pdf?cb=1</w:t>
        </w:r>
      </w:hyperlink>
      <w:r>
        <w:t xml:space="preserve"> </w:t>
      </w:r>
    </w:p>
    <w:p w14:paraId="09C0A494" w14:textId="77777777" w:rsidR="00F52698" w:rsidRDefault="00F52698" w:rsidP="00F52698">
      <w:pPr>
        <w:pStyle w:val="NoSpacing"/>
      </w:pPr>
    </w:p>
    <w:p w14:paraId="3E767564" w14:textId="77777777" w:rsidR="00F52698" w:rsidRDefault="00F52698" w:rsidP="00F52698">
      <w:pPr>
        <w:pStyle w:val="NoSpacing"/>
      </w:pPr>
      <w:r>
        <w:t xml:space="preserve">THE COURT HELD:  “On August 20, 2023, near the intersection of West Main Road and Brickyard Road in </w:t>
      </w:r>
      <w:proofErr w:type="gramStart"/>
      <w:r>
        <w:t>North East</w:t>
      </w:r>
      <w:proofErr w:type="gramEnd"/>
      <w:r>
        <w:t>, Pennsylvania, emergency personnel responded to a two-</w:t>
      </w:r>
    </w:p>
    <w:p w14:paraId="61825CEF" w14:textId="77777777" w:rsidR="00F52698" w:rsidRDefault="00F52698" w:rsidP="00F52698">
      <w:pPr>
        <w:pStyle w:val="NoSpacing"/>
      </w:pPr>
      <w:r>
        <w:t xml:space="preserve">vehicle crash…. Emergency personnel included the Fuller Hose Company of the </w:t>
      </w:r>
      <w:proofErr w:type="gramStart"/>
      <w:r>
        <w:t>North East</w:t>
      </w:r>
      <w:proofErr w:type="gramEnd"/>
    </w:p>
    <w:p w14:paraId="61343455" w14:textId="77777777" w:rsidR="00F52698" w:rsidRDefault="00F52698" w:rsidP="00F52698">
      <w:pPr>
        <w:pStyle w:val="NoSpacing"/>
      </w:pPr>
      <w:r>
        <w:t>Volunteer Fire Department and Pennsylvania State Troopers, relevantly including Fire Police Officer Shawn Giles…. Officer Giles was responsible for traffic control in the eastbound lane while firefighters and state troopers performed their investigation of the crash…. Officer Giles was wearing fluorescent clothing and holding fluorescent flags while conducting these</w:t>
      </w:r>
    </w:p>
    <w:p w14:paraId="2AC89638" w14:textId="77777777" w:rsidR="00F52698" w:rsidRDefault="00F52698" w:rsidP="00F52698">
      <w:pPr>
        <w:pStyle w:val="NoSpacing"/>
      </w:pPr>
      <w:r>
        <w:t>official duties…. At this time, Appellant was traveling in a silver Lexus at a high rate of</w:t>
      </w:r>
    </w:p>
    <w:p w14:paraId="6C37A70D" w14:textId="77777777" w:rsidR="00F52698" w:rsidRDefault="00F52698" w:rsidP="00F52698">
      <w:pPr>
        <w:pStyle w:val="NoSpacing"/>
      </w:pPr>
      <w:r>
        <w:t>speed in the left eastbound lane on State Route 20. Notably, Appellant, the driver and sole occupant of the Lexus, was driving with his license suspended by PennDOT…. Maintaining a high rate of speed, Appellant traveled into the right lane, then abruptly swerved back into the left lane to avoid colliding with a vehicle stopped by Officer Giles…. During this maneuver,</w:t>
      </w:r>
    </w:p>
    <w:p w14:paraId="2E108D38" w14:textId="77777777" w:rsidR="00F52698" w:rsidRDefault="00F52698" w:rsidP="00F52698">
      <w:pPr>
        <w:pStyle w:val="NoSpacing"/>
      </w:pPr>
      <w:r>
        <w:t xml:space="preserve">Appellant’s Lexus struck Officer Giles, causing his death </w:t>
      </w:r>
      <w:proofErr w:type="gramStart"/>
      <w:r>
        <w:t>as a result of</w:t>
      </w:r>
      <w:proofErr w:type="gramEnd"/>
      <w:r>
        <w:t xml:space="preserve"> blunt force trauma. </w:t>
      </w:r>
    </w:p>
    <w:p w14:paraId="4C065B9C" w14:textId="77777777" w:rsidR="00F52698" w:rsidRDefault="00F52698" w:rsidP="00F52698">
      <w:pPr>
        <w:pStyle w:val="NoSpacing"/>
      </w:pPr>
    </w:p>
    <w:p w14:paraId="2AF54757" w14:textId="77777777" w:rsidR="00F52698" w:rsidRDefault="00F52698" w:rsidP="00F52698">
      <w:pPr>
        <w:pStyle w:val="NoSpacing"/>
      </w:pPr>
      <w:r>
        <w:t>Through forensic calculation and investigation, Appellant’s vehicle was determined to have been traveling approximately 78 miles per hour (mph) immediately prior to the crash and approximately 58 mph when his vehicle impacted the victim. The posted speed limit was 55 mph, and the required speed limit in an emergency response area is 20 mph less than the posted</w:t>
      </w:r>
    </w:p>
    <w:p w14:paraId="1EBE9C04" w14:textId="77777777" w:rsidR="00F52698" w:rsidRDefault="00F52698" w:rsidP="00F52698">
      <w:pPr>
        <w:pStyle w:val="NoSpacing"/>
      </w:pPr>
      <w:r>
        <w:t>speed limit, thus resulting in a reduced speed limit of 35 mph.”</w:t>
      </w:r>
      <w:r>
        <w:br/>
      </w:r>
    </w:p>
    <w:p w14:paraId="1173FCE7" w14:textId="77777777" w:rsidR="00F52698" w:rsidRDefault="00F52698" w:rsidP="00F52698">
      <w:pPr>
        <w:pStyle w:val="NoSpacing"/>
        <w:rPr>
          <w:b/>
        </w:rPr>
      </w:pPr>
      <w:r w:rsidRPr="00857C9E">
        <w:rPr>
          <w:b/>
        </w:rPr>
        <w:t xml:space="preserve">Legal lesson learned: </w:t>
      </w:r>
      <w:r>
        <w:rPr>
          <w:b/>
        </w:rPr>
        <w:t xml:space="preserve">Trial court gave him the “max” – very appropriate for his misconduct. </w:t>
      </w:r>
    </w:p>
    <w:p w14:paraId="54D08383" w14:textId="77777777" w:rsidR="00056D43" w:rsidRDefault="00056D43" w:rsidP="00F52698">
      <w:pPr>
        <w:pStyle w:val="NoSpacing"/>
        <w:rPr>
          <w:b/>
        </w:rPr>
      </w:pPr>
    </w:p>
    <w:p w14:paraId="0DED33E3" w14:textId="77777777" w:rsidR="00056D43" w:rsidRDefault="00056D43" w:rsidP="00F52698">
      <w:pPr>
        <w:pStyle w:val="NoSpacing"/>
        <w:rPr>
          <w:b/>
        </w:rPr>
      </w:pPr>
    </w:p>
    <w:p w14:paraId="047C9DA2" w14:textId="7BF933BD" w:rsidR="00056D43" w:rsidRDefault="00056D43" w:rsidP="00F52698">
      <w:pPr>
        <w:pStyle w:val="NoSpacing"/>
        <w:rPr>
          <w:b/>
          <w:sz w:val="28"/>
          <w:szCs w:val="28"/>
        </w:rPr>
      </w:pPr>
      <w:r w:rsidRPr="00056D43">
        <w:rPr>
          <w:b/>
          <w:sz w:val="28"/>
          <w:szCs w:val="28"/>
        </w:rPr>
        <w:t>2-104</w:t>
      </w:r>
    </w:p>
    <w:p w14:paraId="0D178866" w14:textId="77777777" w:rsidR="00BE7AC1" w:rsidRDefault="00BE7AC1" w:rsidP="00F52698">
      <w:pPr>
        <w:pStyle w:val="NoSpacing"/>
        <w:rPr>
          <w:b/>
          <w:sz w:val="28"/>
          <w:szCs w:val="28"/>
        </w:rPr>
      </w:pPr>
    </w:p>
    <w:p w14:paraId="69FFCFDC" w14:textId="77777777" w:rsidR="00BE7AC1" w:rsidRPr="00847DEF" w:rsidRDefault="00BE7AC1" w:rsidP="00BE7AC1">
      <w:pPr>
        <w:pStyle w:val="NoSpacing"/>
        <w:rPr>
          <w:rFonts w:ascii="Arial Black" w:hAnsi="Arial Black"/>
          <w:sz w:val="28"/>
          <w:szCs w:val="28"/>
        </w:rPr>
      </w:pPr>
      <w:r>
        <w:rPr>
          <w:rFonts w:ascii="Arial Black" w:hAnsi="Arial Black"/>
          <w:sz w:val="28"/>
          <w:szCs w:val="28"/>
        </w:rPr>
        <w:t>TX: FD CAPTAIN / DISPATCHER – BEARD - NO OVERTIME</w:t>
      </w:r>
    </w:p>
    <w:p w14:paraId="15D60D02" w14:textId="77777777" w:rsidR="00BE7AC1" w:rsidRDefault="00BE7AC1" w:rsidP="00BE7AC1">
      <w:pPr>
        <w:pStyle w:val="NoSpacing"/>
      </w:pPr>
    </w:p>
    <w:p w14:paraId="4FBDB049" w14:textId="77777777" w:rsidR="00BE7AC1" w:rsidRDefault="00BE7AC1" w:rsidP="00BE7AC1">
      <w:pPr>
        <w:pStyle w:val="NoSpacing"/>
      </w:pPr>
      <w:r>
        <w:t xml:space="preserve">On March 6, 2026, in </w:t>
      </w:r>
      <w:r w:rsidRPr="00383B07">
        <w:rPr>
          <w:u w:val="single"/>
        </w:rPr>
        <w:t>Brandon E. O’Neal v. City of Houston, et al</w:t>
      </w:r>
      <w:r>
        <w:t xml:space="preserve">., U.S. District Court Judge </w:t>
      </w:r>
      <w:r w:rsidRPr="00925618">
        <w:t>Keith P. Ellison,</w:t>
      </w:r>
      <w:r>
        <w:t xml:space="preserve"> United States District Court for Southern District of Texas, Houston Division, denied the City’s motion for summary judgment concerning religious discrimination. The plaintiff, African American man and a devout non-denominational Christian is a </w:t>
      </w:r>
      <w:r w:rsidRPr="006A1E85">
        <w:t xml:space="preserve">Senior Communication Captain </w:t>
      </w:r>
      <w:r>
        <w:t xml:space="preserve">and dispatcher </w:t>
      </w:r>
      <w:r w:rsidRPr="006A1E85">
        <w:t xml:space="preserve">at the Houston Emergency Center </w:t>
      </w:r>
      <w:r>
        <w:t xml:space="preserve">where </w:t>
      </w:r>
      <w:r w:rsidRPr="00064791">
        <w:t>other City employees who work alongside Plaintiff</w:t>
      </w:r>
      <w:r>
        <w:t xml:space="preserve">, </w:t>
      </w:r>
      <w:r w:rsidRPr="00064791">
        <w:t>such as police officers, wear beards.</w:t>
      </w:r>
      <w:r>
        <w:t xml:space="preserve"> The Fire Department refuses to allow plaintiff to work overtime so long as he is in breach of the </w:t>
      </w:r>
      <w:proofErr w:type="gramStart"/>
      <w:r>
        <w:t>no beard</w:t>
      </w:r>
      <w:proofErr w:type="gramEnd"/>
      <w:r>
        <w:t xml:space="preserve"> policy. </w:t>
      </w:r>
      <w:hyperlink r:id="rId403" w:history="1">
        <w:r w:rsidRPr="00D74803">
          <w:rPr>
            <w:rStyle w:val="Hyperlink"/>
          </w:rPr>
          <w:t>https://public.fastcase.com/Jhe1Qn%2BmJndQYQU6z%2FeNm3W8hWyjy%2F1qvTK0bYKmSBd7FCE1skWJo447G5Oh2b2vHFVB1fMS7gUR6rAKwE%2FNSCY%2BUXiquDJL%2FDOTOozOi%2FE%3D?utm_medium=email&amp;_hsenc=p2ANqtz--CwMJ1WgahfFouwurH1AvRaq-FpGCK4j_ZGMvVW2VvGo-JzLehL1L025aP9c9K1EJ-bt_z2jfpLFjtfV3Ucq7sQ0mkPQ&amp;_hsmi=226712652&amp;utm_content=226712652&amp;utm_source=hs_email</w:t>
        </w:r>
      </w:hyperlink>
      <w:r>
        <w:t xml:space="preserve"> </w:t>
      </w:r>
    </w:p>
    <w:p w14:paraId="3B20C0F4" w14:textId="77777777" w:rsidR="00BE7AC1" w:rsidRDefault="00BE7AC1" w:rsidP="00BE7AC1">
      <w:pPr>
        <w:pStyle w:val="NoSpacing"/>
      </w:pPr>
    </w:p>
    <w:p w14:paraId="729721B6" w14:textId="77777777" w:rsidR="00BE7AC1" w:rsidRPr="00EC544D" w:rsidRDefault="00BE7AC1" w:rsidP="00BE7AC1">
      <w:pPr>
        <w:pStyle w:val="NoSpacing"/>
      </w:pPr>
      <w:r>
        <w:lastRenderedPageBreak/>
        <w:t>THE COURT HELD: “</w:t>
      </w:r>
      <w:r w:rsidRPr="00EC544D">
        <w:t>O'Neal is a nondenominational Christian. Since 2020, O'Neal has worn a beard. According to O'Neal, his Christian faith compels him to wear a beard, particularly during observance of the “Nazarite Vow.”</w:t>
      </w:r>
      <w:r>
        <w:t xml:space="preserve"> … </w:t>
      </w:r>
      <w:r w:rsidRPr="00EC544D">
        <w:t>(</w:t>
      </w:r>
      <w:r>
        <w:t>‘</w:t>
      </w:r>
      <w:r w:rsidRPr="00EC544D">
        <w:t xml:space="preserve">My religious belief is to have a beard as commanded and </w:t>
      </w:r>
    </w:p>
    <w:p w14:paraId="2AF5317D" w14:textId="77777777" w:rsidR="00BE7AC1" w:rsidRDefault="00BE7AC1" w:rsidP="00BE7AC1">
      <w:pPr>
        <w:pStyle w:val="NoSpacing"/>
      </w:pPr>
      <w:r w:rsidRPr="00EC544D">
        <w:t>required in the Holy Bible.</w:t>
      </w:r>
      <w:r>
        <w:t>’</w:t>
      </w:r>
      <w:r w:rsidRPr="00EC544D">
        <w:t xml:space="preserve">); </w:t>
      </w:r>
      <w:r>
        <w:t>…</w:t>
      </w:r>
      <w:r w:rsidRPr="00EC544D">
        <w:t>(</w:t>
      </w:r>
      <w:r>
        <w:t>‘</w:t>
      </w:r>
      <w:r w:rsidRPr="00EC544D">
        <w:t xml:space="preserve">When I observe the Nazarite Vow it requires no razor to touch my head and let the hair grow long.). </w:t>
      </w:r>
    </w:p>
    <w:p w14:paraId="1B785151" w14:textId="77777777" w:rsidR="00BE7AC1" w:rsidRDefault="00BE7AC1" w:rsidP="00BE7AC1">
      <w:pPr>
        <w:pStyle w:val="NoSpacing"/>
      </w:pPr>
    </w:p>
    <w:p w14:paraId="71D46026" w14:textId="77777777" w:rsidR="00BE7AC1" w:rsidRDefault="00BE7AC1" w:rsidP="00BE7AC1">
      <w:pPr>
        <w:pStyle w:val="NoSpacing"/>
      </w:pPr>
      <w:r>
        <w:t>***</w:t>
      </w:r>
    </w:p>
    <w:p w14:paraId="7B7975D5" w14:textId="77777777" w:rsidR="00BE7AC1" w:rsidRDefault="00BE7AC1" w:rsidP="00BE7AC1">
      <w:pPr>
        <w:pStyle w:val="NoSpacing"/>
      </w:pPr>
      <w:r w:rsidRPr="00064791">
        <w:t>The relevant question is therefore whether, as a matter of law, Defendant has shown that allowing O'Neal to wear a three inch long, one-and-a-half-inch thick beard presented an undue hardship. The Court concludes that it has not. Notably, Plaintiff does not work in an active firefighting setting and is not deployed in emergencies. Rather, he works in dispatch at the Houston Emergency Center (HEC), alongside many other City and non-City employees. He is not required to wear personal protective gear and has not even been issued such gear</w:t>
      </w:r>
      <w:r>
        <w:t xml:space="preserve">…. </w:t>
      </w:r>
      <w:r w:rsidRPr="00064791">
        <w:t>Chief West specifically stated in his deposition that safety concerns were not relevant to the denial of Plaintiff's request</w:t>
      </w:r>
      <w:r>
        <w:t>…. (</w:t>
      </w:r>
      <w:r w:rsidRPr="00064791">
        <w:t>Q: [D]id safety come into play in the decision to deny Captain O'Neil's request? A: Safety did not.”). Additionally, the Court took judicial notice of the fact that other City employees who work alongside Plaintiff at the HEC, such as police officers, wear beards</w:t>
      </w:r>
      <w:r>
        <w:t xml:space="preserve">…. </w:t>
      </w:r>
      <w:r w:rsidRPr="00064791">
        <w:t>Finally, the undue burden now asserted by Defendant in its summary judgment motion—</w:t>
      </w:r>
      <w:r>
        <w:t>'</w:t>
      </w:r>
      <w:r w:rsidRPr="00064791">
        <w:t>safety concerns related to O'Neal's ability to wear SCBA face piece and/or other safety equipment</w:t>
      </w:r>
      <w:r>
        <w:t>’</w:t>
      </w:r>
      <w:r w:rsidRPr="00064791">
        <w:t xml:space="preserve">—were never mentioned in the letters denying O'Neal's requests for accommodation. Thus, a jury could reasonably conclude that accommodating O'Neal's religious practice would not pose an undue hardship to the </w:t>
      </w:r>
      <w:proofErr w:type="gramStart"/>
      <w:r w:rsidRPr="00064791">
        <w:t>City</w:t>
      </w:r>
      <w:proofErr w:type="gramEnd"/>
      <w:r>
        <w:t>.”</w:t>
      </w:r>
    </w:p>
    <w:p w14:paraId="7DAA5919" w14:textId="77777777" w:rsidR="00BE7AC1" w:rsidRDefault="00BE7AC1" w:rsidP="00BE7AC1">
      <w:pPr>
        <w:pStyle w:val="NoSpacing"/>
      </w:pPr>
    </w:p>
    <w:p w14:paraId="0B290381" w14:textId="77777777" w:rsidR="00BE7AC1" w:rsidRPr="00735A39" w:rsidRDefault="00BE7AC1" w:rsidP="00BE7AC1">
      <w:pPr>
        <w:pStyle w:val="NoSpacing"/>
        <w:rPr>
          <w:b/>
          <w:bCs/>
        </w:rPr>
      </w:pPr>
      <w:r w:rsidRPr="00735A39">
        <w:rPr>
          <w:b/>
        </w:rPr>
        <w:t xml:space="preserve">Legal lesson learned: </w:t>
      </w:r>
      <w:r>
        <w:rPr>
          <w:b/>
        </w:rPr>
        <w:t xml:space="preserve">A jury will be asked to decide whether a firefighter / dispatcher must be clean-shaven. </w:t>
      </w:r>
    </w:p>
    <w:p w14:paraId="3F78233C" w14:textId="77777777" w:rsidR="00BE7AC1" w:rsidRPr="00735A39" w:rsidRDefault="00BE7AC1" w:rsidP="00BE7AC1">
      <w:pPr>
        <w:pStyle w:val="NoSpacing"/>
        <w:rPr>
          <w:b/>
          <w:bCs/>
        </w:rPr>
      </w:pPr>
    </w:p>
    <w:p w14:paraId="7EEC978D" w14:textId="77777777" w:rsidR="00BE7AC1" w:rsidRDefault="00BE7AC1" w:rsidP="00BE7AC1">
      <w:pPr>
        <w:pStyle w:val="NoSpacing"/>
        <w:rPr>
          <w:bCs/>
        </w:rPr>
      </w:pPr>
    </w:p>
    <w:p w14:paraId="3B2DE039" w14:textId="77777777" w:rsidR="00BE7AC1" w:rsidRPr="00056D43" w:rsidRDefault="00BE7AC1" w:rsidP="00F52698">
      <w:pPr>
        <w:pStyle w:val="NoSpacing"/>
        <w:rPr>
          <w:b/>
          <w:sz w:val="28"/>
          <w:szCs w:val="28"/>
        </w:rPr>
      </w:pPr>
    </w:p>
    <w:p w14:paraId="77EC5934" w14:textId="77777777" w:rsidR="00056D43" w:rsidRDefault="00056D43" w:rsidP="00F52698">
      <w:pPr>
        <w:pStyle w:val="NoSpacing"/>
        <w:rPr>
          <w:b/>
        </w:rPr>
      </w:pPr>
    </w:p>
    <w:p w14:paraId="149CAF54" w14:textId="77777777" w:rsidR="00056D43" w:rsidRPr="00857C9E" w:rsidRDefault="00056D43" w:rsidP="00F52698">
      <w:pPr>
        <w:pStyle w:val="NoSpacing"/>
        <w:rPr>
          <w:b/>
          <w:bCs/>
        </w:rPr>
      </w:pPr>
    </w:p>
    <w:p w14:paraId="29B9ED48" w14:textId="77777777" w:rsidR="00F52698" w:rsidRPr="00857C9E" w:rsidRDefault="00F52698" w:rsidP="00F52698">
      <w:pPr>
        <w:pStyle w:val="NoSpacing"/>
        <w:rPr>
          <w:b/>
          <w:bCs/>
        </w:rPr>
      </w:pPr>
    </w:p>
    <w:p w14:paraId="3038AB40" w14:textId="77777777" w:rsidR="00916D00" w:rsidRDefault="00916D00" w:rsidP="00646EE3">
      <w:pPr>
        <w:rPr>
          <w:rFonts w:ascii="Arial Black" w:hAnsi="Arial Black"/>
          <w:sz w:val="24"/>
          <w:szCs w:val="24"/>
        </w:rPr>
      </w:pPr>
    </w:p>
    <w:p w14:paraId="62B900F4" w14:textId="77777777" w:rsidR="00961DF4" w:rsidRDefault="00961DF4" w:rsidP="00646EE3">
      <w:pPr>
        <w:rPr>
          <w:rFonts w:ascii="Arial Black" w:hAnsi="Arial Black"/>
          <w:sz w:val="24"/>
          <w:szCs w:val="24"/>
        </w:rPr>
      </w:pPr>
    </w:p>
    <w:p w14:paraId="784B8DE9" w14:textId="2F72D097" w:rsidR="000A5A6C" w:rsidRDefault="000A5A6C" w:rsidP="00646EE3">
      <w:pPr>
        <w:rPr>
          <w:rFonts w:ascii="Arial Black" w:hAnsi="Arial Black"/>
          <w:sz w:val="24"/>
          <w:szCs w:val="24"/>
        </w:rPr>
      </w:pPr>
      <w:r>
        <w:rPr>
          <w:rFonts w:ascii="Arial Black" w:hAnsi="Arial Black"/>
          <w:sz w:val="24"/>
          <w:szCs w:val="24"/>
        </w:rPr>
        <w:t>2-10</w:t>
      </w:r>
      <w:r w:rsidR="00956699">
        <w:rPr>
          <w:rFonts w:ascii="Arial Black" w:hAnsi="Arial Black"/>
          <w:sz w:val="24"/>
          <w:szCs w:val="24"/>
        </w:rPr>
        <w:t>3</w:t>
      </w:r>
    </w:p>
    <w:p w14:paraId="1B991A90" w14:textId="77777777" w:rsidR="000A5A6C" w:rsidRPr="00086CAB" w:rsidRDefault="000A5A6C" w:rsidP="000A5A6C">
      <w:pPr>
        <w:pStyle w:val="NoSpacing"/>
        <w:rPr>
          <w:rFonts w:ascii="Arial Black" w:hAnsi="Arial Black"/>
          <w:sz w:val="28"/>
          <w:szCs w:val="28"/>
        </w:rPr>
      </w:pPr>
      <w:r>
        <w:rPr>
          <w:rFonts w:ascii="Arial Black" w:hAnsi="Arial Black"/>
          <w:sz w:val="28"/>
          <w:szCs w:val="28"/>
        </w:rPr>
        <w:t xml:space="preserve">MD: 3 LODDs – BLDG NOT MARKED / CAD – WK COMP ONLY </w:t>
      </w:r>
    </w:p>
    <w:p w14:paraId="5B9CBA63" w14:textId="77777777" w:rsidR="000A5A6C" w:rsidRDefault="000A5A6C" w:rsidP="000A5A6C">
      <w:pPr>
        <w:pStyle w:val="NoSpacing"/>
      </w:pPr>
    </w:p>
    <w:p w14:paraId="26A74B06" w14:textId="77777777" w:rsidR="000A5A6C" w:rsidRDefault="000A5A6C" w:rsidP="000A5A6C">
      <w:pPr>
        <w:pStyle w:val="NoSpacing"/>
      </w:pPr>
      <w:r>
        <w:t xml:space="preserve">On Feb. 20, 2026, in </w:t>
      </w:r>
      <w:r w:rsidRPr="00326D71">
        <w:rPr>
          <w:u w:val="single"/>
        </w:rPr>
        <w:t>Rachel Butrim, et al. v. Mayor and City Council of Baltimore</w:t>
      </w:r>
      <w:r>
        <w:t xml:space="preserve">,  U.S. District Court Judge </w:t>
      </w:r>
      <w:r w:rsidRPr="00326D71">
        <w:t>Matthew J. Maddox</w:t>
      </w:r>
      <w:r>
        <w:t xml:space="preserve">. United States District Court for the District of Maryland dismissed the lawsuit by the families of the three firefighters who died on January 24, </w:t>
      </w:r>
      <w:proofErr w:type="gramStart"/>
      <w:r>
        <w:t>2022</w:t>
      </w:r>
      <w:proofErr w:type="gramEnd"/>
      <w:r>
        <w:t xml:space="preserve"> in a condemned rowhome (no marking; not in CAD) since there was no proof of City’s </w:t>
      </w:r>
      <w:r w:rsidRPr="00086CAB">
        <w:t>“deliberate intent of the employer to injure or kill</w:t>
      </w:r>
      <w:r>
        <w:t>.</w:t>
      </w:r>
      <w:r w:rsidRPr="00086CAB">
        <w:t>”</w:t>
      </w:r>
      <w:r>
        <w:t xml:space="preserve">  Their sole remedy is worker’s comp. This is the second lawsuit filed by the families; first dismissed by Judge Maddox on </w:t>
      </w:r>
      <w:r w:rsidRPr="000626FA">
        <w:t xml:space="preserve">Dec. </w:t>
      </w:r>
      <w:r>
        <w:t>20</w:t>
      </w:r>
      <w:r w:rsidRPr="000626FA">
        <w:t>, 2024</w:t>
      </w:r>
      <w:r>
        <w:t>, and this case was filed in state court alleging “</w:t>
      </w:r>
      <w:r w:rsidRPr="00973E1E">
        <w:t>state-created danger</w:t>
      </w:r>
      <w:r>
        <w:t xml:space="preserve">” and then removed by City to federal court.  </w:t>
      </w:r>
      <w:hyperlink r:id="rId404" w:history="1">
        <w:r w:rsidRPr="00700767">
          <w:rPr>
            <w:rStyle w:val="Hyperlink"/>
          </w:rPr>
          <w:t>https://cases.justia.com/federal/district-courts/maryland/mddce/1:2025cv00796/578117/19/0.pdf?ts=1771692701</w:t>
        </w:r>
      </w:hyperlink>
      <w:r>
        <w:t xml:space="preserve"> </w:t>
      </w:r>
    </w:p>
    <w:p w14:paraId="7AF5DD99" w14:textId="77777777" w:rsidR="000A5A6C" w:rsidRDefault="000A5A6C" w:rsidP="000A5A6C">
      <w:pPr>
        <w:pStyle w:val="NoSpacing"/>
      </w:pPr>
    </w:p>
    <w:p w14:paraId="45432E2B" w14:textId="77777777" w:rsidR="000A5A6C" w:rsidRPr="00A539D8" w:rsidRDefault="000A5A6C" w:rsidP="000A5A6C">
      <w:pPr>
        <w:pStyle w:val="NoSpacing"/>
      </w:pPr>
      <w:r>
        <w:t>THE COURT HELD:  “</w:t>
      </w:r>
      <w:r w:rsidRPr="001B1356">
        <w:t>In the minutes before 6:00 a.m. on January 24, 2022, firefighters from the Third Battalion of the Baltimore City Fire Department (</w:t>
      </w:r>
      <w:r>
        <w:t>‘</w:t>
      </w:r>
      <w:r w:rsidRPr="001B1356">
        <w:t>BFD</w:t>
      </w:r>
      <w:r>
        <w:t>’</w:t>
      </w:r>
      <w:r w:rsidRPr="001B1356">
        <w:t xml:space="preserve">) responded to a fire at 205 South Stricker Street (the </w:t>
      </w:r>
      <w:r>
        <w:t>‘</w:t>
      </w:r>
      <w:r w:rsidRPr="001B1356">
        <w:t>Property</w:t>
      </w:r>
      <w:r>
        <w:t>’</w:t>
      </w:r>
      <w:r w:rsidRPr="001B1356">
        <w:t>), a condemned rowhome in the Mount Clare neighborhood of Baltimore, Maryland</w:t>
      </w:r>
      <w:r>
        <w:t xml:space="preserve">…. </w:t>
      </w:r>
      <w:r w:rsidRPr="001B1356">
        <w:t>Six firefighters were ordered to enter the structure, and the house collapsed moments later</w:t>
      </w:r>
      <w:r>
        <w:t xml:space="preserve">…. </w:t>
      </w:r>
      <w:r w:rsidRPr="001B1356">
        <w:t>There were no markings or placards placed outside the Property indicating that it was structurally compromised</w:t>
      </w:r>
      <w:r>
        <w:t xml:space="preserve">…. </w:t>
      </w:r>
      <w:r w:rsidRPr="001B1356">
        <w:t xml:space="preserve"> After the collapse, a rescue team removed two firefighters from the home; three of the others-Paul Butrim, Kelsey Sadler, and Kenneth Lacayo-died; and the sixth firefighter-John McMaster-sustained serious permanent injuries</w:t>
      </w:r>
      <w:r>
        <w:t>….</w:t>
      </w:r>
      <w:r w:rsidRPr="001B1356">
        <w:t xml:space="preserve"> (Paul Butrim, Kelsey Sadler, Kenneth Lacayo, and John McMaster are referred to herein as </w:t>
      </w:r>
      <w:r>
        <w:t>‘</w:t>
      </w:r>
      <w:r w:rsidRPr="001B1356">
        <w:t>Plaintiff Firefighters.</w:t>
      </w:r>
      <w:r>
        <w:t>’</w:t>
      </w:r>
      <w:r w:rsidRPr="001B1356">
        <w:t>)</w:t>
      </w:r>
      <w:r>
        <w:t xml:space="preserve">… </w:t>
      </w:r>
      <w:r w:rsidRPr="00F463A5">
        <w:t xml:space="preserve">In 2010, </w:t>
      </w:r>
      <w:r>
        <w:t>‘</w:t>
      </w:r>
      <w:r w:rsidRPr="00F463A5">
        <w:t>to comply with federal regulators and industry standards,</w:t>
      </w:r>
      <w:r>
        <w:t>’</w:t>
      </w:r>
      <w:r w:rsidRPr="00F463A5">
        <w:t xml:space="preserve"> as well as </w:t>
      </w:r>
      <w:r>
        <w:t>‘</w:t>
      </w:r>
      <w:r w:rsidRPr="00F463A5">
        <w:t xml:space="preserve">in response to the ‘serious known threats associated with unsafe vacant buildings,” the City implemented a program </w:t>
      </w:r>
      <w:r w:rsidRPr="00F463A5">
        <w:lastRenderedPageBreak/>
        <w:t>called Code X-Ray to ensure that firefighters would never be ordered into a structurally unsafe condemned property</w:t>
      </w:r>
      <w:r>
        <w:t xml:space="preserve">…. </w:t>
      </w:r>
      <w:r w:rsidRPr="00F463A5">
        <w:t xml:space="preserve">Under Code X-Ray, the </w:t>
      </w:r>
      <w:proofErr w:type="gramStart"/>
      <w:r w:rsidRPr="00F463A5">
        <w:t>City</w:t>
      </w:r>
      <w:proofErr w:type="gramEnd"/>
      <w:r w:rsidRPr="00F463A5">
        <w:t xml:space="preserve"> marked structurally compromised buildings with reflective placards or a painted red X, which warned firefighters not to enter</w:t>
      </w:r>
      <w:r>
        <w:t xml:space="preserve">…. </w:t>
      </w:r>
      <w:r w:rsidRPr="00F463A5">
        <w:t xml:space="preserve">A marking system like Code X-Ray was necessary for the City to secure and maintain grants for municipal services, as new federal funding was </w:t>
      </w:r>
      <w:r>
        <w:t>‘</w:t>
      </w:r>
      <w:r w:rsidRPr="00F463A5">
        <w:t>increasingly conditioned on adequate safety and mitigation strategies for vacant and condemned properties.</w:t>
      </w:r>
      <w:r>
        <w:t xml:space="preserve">’ … According to the Complaint, Plaintiff Firefighters would not have continued working for the </w:t>
      </w:r>
      <w:proofErr w:type="gramStart"/>
      <w:r>
        <w:t>City</w:t>
      </w:r>
      <w:proofErr w:type="gramEnd"/>
      <w:r>
        <w:t xml:space="preserve"> if they knew that it had lied about Code X-Ray’s discontinuation ‘because they valued their lives and families more than their municipal jobs.’ *** </w:t>
      </w:r>
      <w:r w:rsidRPr="00A539D8">
        <w:t xml:space="preserve">But even if all the foregoing acts attributed to the </w:t>
      </w:r>
      <w:proofErr w:type="gramStart"/>
      <w:r w:rsidRPr="00A539D8">
        <w:t>City</w:t>
      </w:r>
      <w:proofErr w:type="gramEnd"/>
      <w:r w:rsidRPr="00A539D8">
        <w:t xml:space="preserve"> constituted </w:t>
      </w:r>
      <w:r>
        <w:t>‘</w:t>
      </w:r>
      <w:r w:rsidRPr="00A539D8">
        <w:t>affirmative acts</w:t>
      </w:r>
      <w:r>
        <w:t xml:space="preserve">’ </w:t>
      </w:r>
      <w:r w:rsidRPr="00A539D8">
        <w:t>for purposes of a state-created danger claim, Plaintiffs do not allege any facts to support a reasonable inference that any City or BFD official, at any point, acted “</w:t>
      </w:r>
      <w:r w:rsidRPr="00A539D8">
        <w:rPr>
          <w:i/>
          <w:iCs/>
        </w:rPr>
        <w:t>with the purpose of</w:t>
      </w:r>
      <w:r w:rsidRPr="00A539D8">
        <w:t>” harming Plaintiff Firefighters.</w:t>
      </w:r>
      <w:r>
        <w:t xml:space="preserve">” </w:t>
      </w:r>
    </w:p>
    <w:p w14:paraId="3D4EFD90" w14:textId="77777777" w:rsidR="000A5A6C" w:rsidRPr="001B1356" w:rsidRDefault="000A5A6C" w:rsidP="000A5A6C">
      <w:pPr>
        <w:pStyle w:val="NoSpacing"/>
      </w:pPr>
    </w:p>
    <w:p w14:paraId="1A626444" w14:textId="77777777" w:rsidR="000A5A6C" w:rsidRPr="00F27D15" w:rsidRDefault="000A5A6C" w:rsidP="000A5A6C">
      <w:pPr>
        <w:pStyle w:val="NoSpacing"/>
        <w:rPr>
          <w:b/>
          <w:bCs/>
        </w:rPr>
      </w:pPr>
      <w:r>
        <w:rPr>
          <w:b/>
        </w:rPr>
        <w:t xml:space="preserve">Legal lesson learned: Tragic set of facts, but worker’s comp appears to be the only remedy of the families of the three firefighters killed in this abandoned rowhome. </w:t>
      </w:r>
    </w:p>
    <w:p w14:paraId="4BAD4E35" w14:textId="77777777" w:rsidR="000A5A6C" w:rsidRDefault="000A5A6C" w:rsidP="000A5A6C">
      <w:pPr>
        <w:pStyle w:val="NoSpacing"/>
      </w:pPr>
    </w:p>
    <w:p w14:paraId="35FBE551" w14:textId="529E285C" w:rsidR="000A5A6C" w:rsidRDefault="000A5A6C" w:rsidP="000A5A6C">
      <w:pPr>
        <w:rPr>
          <w:rFonts w:ascii="Arial Black" w:hAnsi="Arial Black"/>
          <w:sz w:val="24"/>
          <w:szCs w:val="24"/>
        </w:rPr>
      </w:pPr>
      <w:r>
        <w:t xml:space="preserve">Note: See the first case that was dismissed in 2024. </w:t>
      </w:r>
      <w:r w:rsidRPr="008A697E">
        <w:rPr>
          <w:i/>
          <w:iCs/>
        </w:rPr>
        <w:t>Butrim v. Mayor of Balt.</w:t>
      </w:r>
      <w:r w:rsidRPr="008A697E">
        <w:t xml:space="preserve"> (“</w:t>
      </w:r>
      <w:r w:rsidRPr="008A697E">
        <w:rPr>
          <w:i/>
          <w:iCs/>
        </w:rPr>
        <w:t>Butrim I</w:t>
      </w:r>
      <w:r w:rsidRPr="008A697E">
        <w:t>”),</w:t>
      </w:r>
      <w:r>
        <w:t xml:space="preserve"> </w:t>
      </w:r>
      <w:hyperlink r:id="rId405" w:history="1">
        <w:r w:rsidRPr="00700767">
          <w:rPr>
            <w:rStyle w:val="Hyperlink"/>
          </w:rPr>
          <w:t>https://cases.justia.com/federal/district-courts/maryland/mddce/1:2025cv00796/578117/19/0.pdf?ts=1771692701</w:t>
        </w:r>
      </w:hyperlink>
    </w:p>
    <w:p w14:paraId="057430E4" w14:textId="77777777" w:rsidR="000A5A6C" w:rsidRDefault="000A5A6C" w:rsidP="00646EE3">
      <w:pPr>
        <w:rPr>
          <w:rFonts w:ascii="Arial Black" w:hAnsi="Arial Black"/>
          <w:sz w:val="24"/>
          <w:szCs w:val="24"/>
        </w:rPr>
      </w:pPr>
    </w:p>
    <w:p w14:paraId="4FF3758D" w14:textId="34709832" w:rsidR="000A5A6C" w:rsidRDefault="005E79E8" w:rsidP="00646EE3">
      <w:pPr>
        <w:rPr>
          <w:rFonts w:ascii="Arial Black" w:hAnsi="Arial Black"/>
          <w:sz w:val="24"/>
          <w:szCs w:val="24"/>
        </w:rPr>
      </w:pPr>
      <w:r>
        <w:rPr>
          <w:rFonts w:ascii="Arial Black" w:hAnsi="Arial Black"/>
          <w:sz w:val="24"/>
          <w:szCs w:val="24"/>
        </w:rPr>
        <w:t>2-10</w:t>
      </w:r>
      <w:r w:rsidR="00956699">
        <w:rPr>
          <w:rFonts w:ascii="Arial Black" w:hAnsi="Arial Black"/>
          <w:sz w:val="24"/>
          <w:szCs w:val="24"/>
        </w:rPr>
        <w:t>2</w:t>
      </w:r>
    </w:p>
    <w:p w14:paraId="7A0E3919" w14:textId="77777777" w:rsidR="005E79E8" w:rsidRDefault="005E79E8" w:rsidP="005E79E8">
      <w:pPr>
        <w:pStyle w:val="NoSpacing"/>
        <w:rPr>
          <w:rFonts w:ascii="Arial Black" w:hAnsi="Arial Black"/>
          <w:bCs/>
          <w:sz w:val="28"/>
          <w:szCs w:val="28"/>
        </w:rPr>
      </w:pPr>
      <w:r>
        <w:rPr>
          <w:rFonts w:ascii="Arial Black" w:hAnsi="Arial Black"/>
          <w:sz w:val="28"/>
          <w:szCs w:val="28"/>
        </w:rPr>
        <w:t>GA: FF LOST FINGERS – CARGO TRAY MFR – PUNITIVE DAM.</w:t>
      </w:r>
    </w:p>
    <w:p w14:paraId="0EB16D3F" w14:textId="77777777" w:rsidR="005E79E8" w:rsidRDefault="005E79E8" w:rsidP="005E79E8">
      <w:pPr>
        <w:pStyle w:val="NoSpacing"/>
        <w:rPr>
          <w:bCs/>
        </w:rPr>
      </w:pPr>
    </w:p>
    <w:p w14:paraId="13A1BD57" w14:textId="77777777" w:rsidR="005E79E8" w:rsidRPr="00497602" w:rsidRDefault="005E79E8" w:rsidP="005E79E8">
      <w:pPr>
        <w:pStyle w:val="NoSpacing"/>
        <w:rPr>
          <w:bCs/>
        </w:rPr>
      </w:pPr>
      <w:r>
        <w:t xml:space="preserve">On February 12, 2026, in </w:t>
      </w:r>
      <w:r w:rsidRPr="00901190">
        <w:rPr>
          <w:u w:val="single"/>
        </w:rPr>
        <w:t xml:space="preserve">Joshua Tayor Chillous v. Kovatch Mobile Equipment Corporation and </w:t>
      </w:r>
      <w:proofErr w:type="spellStart"/>
      <w:r w:rsidRPr="00901190">
        <w:rPr>
          <w:u w:val="single"/>
        </w:rPr>
        <w:t>Onscene</w:t>
      </w:r>
      <w:proofErr w:type="spellEnd"/>
      <w:r w:rsidRPr="00901190">
        <w:rPr>
          <w:u w:val="single"/>
        </w:rPr>
        <w:t xml:space="preserve"> Solutions, LLC</w:t>
      </w:r>
      <w:r>
        <w:t xml:space="preserve">, U.S. District Court Judge Lisa Godbey Wood, </w:t>
      </w:r>
      <w:r w:rsidRPr="00497602">
        <w:t xml:space="preserve">United States District Court for </w:t>
      </w:r>
      <w:r>
        <w:t>S</w:t>
      </w:r>
      <w:r w:rsidRPr="00497602">
        <w:t>outhern District of Georgia, Brunswick Division</w:t>
      </w:r>
      <w:r>
        <w:t xml:space="preserve">, denied partial summary judgments by </w:t>
      </w:r>
      <w:proofErr w:type="spellStart"/>
      <w:r>
        <w:t>OnScene</w:t>
      </w:r>
      <w:proofErr w:type="spellEnd"/>
      <w:r>
        <w:t xml:space="preserve"> (sued for punitive damages; bolts were too short); and KME for negligence (3 fire engines needing repair in Norfolk, Groton, and Guam, but never inspected this engine).  The plaintiff, a civilian firefighter at Kings Bay Naval Base, had two fingers severed on June 16, </w:t>
      </w:r>
      <w:proofErr w:type="gramStart"/>
      <w:r>
        <w:t>2022</w:t>
      </w:r>
      <w:proofErr w:type="gramEnd"/>
      <w:r>
        <w:t xml:space="preserve"> when the cargo bay fell off the KME engine. </w:t>
      </w:r>
      <w:hyperlink r:id="rId406" w:history="1">
        <w:r w:rsidRPr="00C72C21">
          <w:rPr>
            <w:rStyle w:val="Hyperlink"/>
          </w:rPr>
          <w:t>https://cases.justia.com/federal/district-courts/georgia/gasdce/2:2024cv00049/96644/96/0.pdf?ts=1771001361</w:t>
        </w:r>
      </w:hyperlink>
      <w:r>
        <w:t xml:space="preserve"> </w:t>
      </w:r>
    </w:p>
    <w:p w14:paraId="4E5F865A" w14:textId="77777777" w:rsidR="005E79E8" w:rsidRDefault="005E79E8" w:rsidP="005E79E8">
      <w:pPr>
        <w:pStyle w:val="NoSpacing"/>
        <w:rPr>
          <w:bCs/>
        </w:rPr>
      </w:pPr>
    </w:p>
    <w:p w14:paraId="41B21A30" w14:textId="77777777" w:rsidR="005E79E8" w:rsidRDefault="005E79E8" w:rsidP="005E79E8">
      <w:pPr>
        <w:pStyle w:val="NoSpacing"/>
        <w:rPr>
          <w:bCs/>
        </w:rPr>
      </w:pPr>
      <w:r>
        <w:t>THE COURT HELD: “</w:t>
      </w:r>
      <w:r w:rsidRPr="008B2C56">
        <w:t>Plaintiff filed this personal injury action after he was injured by an allegedly defective sliding cargo tray attached to a firetruck located at Kings Bay Naval Base in St. Mary's, Georgia</w:t>
      </w:r>
      <w:r>
        <w:t>…</w:t>
      </w:r>
      <w:r w:rsidRPr="008B2C56">
        <w:t>. On June 16, 2022, Plaintiff, a civil firefighter employed by the Department of Defense, was attempting to access the cargo tray while gathering supplies for an emergency when the deployed tray fell to the ground, trapping his middle and ring finger and severing both fingers at the first joint</w:t>
      </w:r>
      <w:r>
        <w:t xml:space="preserve">…. </w:t>
      </w:r>
      <w:r w:rsidRPr="008B2C56">
        <w:t xml:space="preserve"> A Naval Safety Specialist, Dean Merrill, later investigated the incident and reported that the screws of the tray door had failed, the screws being too short for the screw hold</w:t>
      </w:r>
      <w:r>
        <w:t xml:space="preserve">…. </w:t>
      </w:r>
      <w:proofErr w:type="spellStart"/>
      <w:r w:rsidRPr="008B2C56">
        <w:t>OnScene</w:t>
      </w:r>
      <w:proofErr w:type="spellEnd"/>
      <w:r w:rsidRPr="008B2C56">
        <w:t xml:space="preserve"> designed and built the cargo tray, including the stopping mechanism</w:t>
      </w:r>
      <w:r>
        <w:t xml:space="preserve">…. </w:t>
      </w:r>
      <w:r w:rsidRPr="008B2C56">
        <w:t>The tray was then affixed to the firetruck by the truck's manufacturer, KME, who then sold the truck to the Department of the Navy (</w:t>
      </w:r>
      <w:r>
        <w:t>‘</w:t>
      </w:r>
      <w:r w:rsidRPr="008B2C56">
        <w:t>the Navy</w:t>
      </w:r>
      <w:r>
        <w:t>’</w:t>
      </w:r>
      <w:r w:rsidRPr="008B2C56">
        <w:t>)</w:t>
      </w:r>
      <w:r>
        <w:t xml:space="preserve">…. </w:t>
      </w:r>
      <w:r w:rsidRPr="000F01AB">
        <w:t xml:space="preserve">Plaintiff also points to deposition testimony provided by an </w:t>
      </w:r>
      <w:proofErr w:type="spellStart"/>
      <w:r w:rsidRPr="000F01AB">
        <w:t>OnScene</w:t>
      </w:r>
      <w:proofErr w:type="spellEnd"/>
      <w:r w:rsidRPr="000F01AB">
        <w:t xml:space="preserve"> representative that the cargo tray was approved by non-engineers, after alleged tests that did not include calculations of expected force exerted in the field, even though </w:t>
      </w:r>
      <w:proofErr w:type="spellStart"/>
      <w:r w:rsidRPr="000F01AB">
        <w:t>OnScene</w:t>
      </w:r>
      <w:proofErr w:type="spellEnd"/>
      <w:r w:rsidRPr="000F01AB">
        <w:t xml:space="preserve"> was aware of the danger of a defective cargo tray at the inception of the product</w:t>
      </w:r>
      <w:r>
        <w:t xml:space="preserve">…. </w:t>
      </w:r>
      <w:r w:rsidRPr="000F01AB">
        <w:t xml:space="preserve">Further, </w:t>
      </w:r>
      <w:proofErr w:type="spellStart"/>
      <w:r w:rsidRPr="000F01AB">
        <w:t>OnScene</w:t>
      </w:r>
      <w:proofErr w:type="spellEnd"/>
      <w:r w:rsidRPr="000F01AB">
        <w:t xml:space="preserve"> retained no documentation of the tests</w:t>
      </w:r>
      <w:r>
        <w:t>….  N</w:t>
      </w:r>
      <w:r w:rsidRPr="000F01AB">
        <w:t xml:space="preserve">or did </w:t>
      </w:r>
      <w:proofErr w:type="spellStart"/>
      <w:r w:rsidRPr="000F01AB">
        <w:t>OnScene</w:t>
      </w:r>
      <w:proofErr w:type="spellEnd"/>
      <w:r w:rsidRPr="000F01AB">
        <w:t xml:space="preserve"> retain any design drawings or documents identifying the defective units</w:t>
      </w:r>
      <w:r>
        <w:t xml:space="preserve">…. </w:t>
      </w:r>
      <w:proofErr w:type="spellStart"/>
      <w:r w:rsidRPr="00FA6BE6">
        <w:t>OnScene</w:t>
      </w:r>
      <w:proofErr w:type="spellEnd"/>
      <w:r w:rsidRPr="00FA6BE6">
        <w:t xml:space="preserve"> had identified three trucks with short hardware, Norfolk, Groton, and Guam, omitting the truck at Kings Bay</w:t>
      </w:r>
      <w:r>
        <w:t xml:space="preserve">. *** </w:t>
      </w:r>
      <w:r w:rsidRPr="002478EA">
        <w:t>From these facts, a reasonable jury could conclude that KME's failure to inspect the Kings Bay truck or identify the Kings Bay truck as having a defective cargo tray would foreseeably lead to Plaintiff's injury.</w:t>
      </w:r>
    </w:p>
    <w:p w14:paraId="68A38810" w14:textId="77777777" w:rsidR="005E79E8" w:rsidRDefault="005E79E8" w:rsidP="005E79E8">
      <w:pPr>
        <w:pStyle w:val="NoSpacing"/>
        <w:rPr>
          <w:bCs/>
        </w:rPr>
      </w:pPr>
    </w:p>
    <w:p w14:paraId="64A7CBD7" w14:textId="77777777" w:rsidR="005E79E8" w:rsidRPr="00BE1E86" w:rsidRDefault="005E79E8" w:rsidP="005E79E8">
      <w:pPr>
        <w:pStyle w:val="NoSpacing"/>
        <w:rPr>
          <w:b/>
        </w:rPr>
      </w:pPr>
      <w:r>
        <w:rPr>
          <w:b/>
        </w:rPr>
        <w:t xml:space="preserve">Legal lesson learned: The civilian firefighter may now proceed to trial and seek from a </w:t>
      </w:r>
      <w:proofErr w:type="gramStart"/>
      <w:r>
        <w:rPr>
          <w:b/>
        </w:rPr>
        <w:t>jury punitive damages</w:t>
      </w:r>
      <w:proofErr w:type="gramEnd"/>
      <w:r>
        <w:rPr>
          <w:b/>
        </w:rPr>
        <w:t xml:space="preserve"> against </w:t>
      </w:r>
      <w:proofErr w:type="spellStart"/>
      <w:r>
        <w:rPr>
          <w:b/>
        </w:rPr>
        <w:t>OnScene</w:t>
      </w:r>
      <w:proofErr w:type="spellEnd"/>
      <w:r>
        <w:rPr>
          <w:b/>
        </w:rPr>
        <w:t xml:space="preserve"> and ordinary damages against KME. </w:t>
      </w:r>
    </w:p>
    <w:p w14:paraId="1DE52020" w14:textId="77777777" w:rsidR="005E79E8" w:rsidRDefault="005E79E8" w:rsidP="00646EE3">
      <w:pPr>
        <w:rPr>
          <w:rFonts w:ascii="Arial Black" w:hAnsi="Arial Black"/>
          <w:sz w:val="24"/>
          <w:szCs w:val="24"/>
        </w:rPr>
      </w:pPr>
    </w:p>
    <w:p w14:paraId="4BF2F962" w14:textId="71A37097" w:rsidR="0082202A" w:rsidRDefault="00E90661" w:rsidP="00646EE3">
      <w:pPr>
        <w:rPr>
          <w:rFonts w:ascii="Arial Black" w:hAnsi="Arial Black"/>
          <w:sz w:val="24"/>
          <w:szCs w:val="24"/>
        </w:rPr>
      </w:pPr>
      <w:r>
        <w:rPr>
          <w:rFonts w:ascii="Arial Black" w:hAnsi="Arial Black"/>
          <w:sz w:val="24"/>
          <w:szCs w:val="24"/>
        </w:rPr>
        <w:t>2-</w:t>
      </w:r>
      <w:r w:rsidR="00016469">
        <w:rPr>
          <w:rFonts w:ascii="Arial Black" w:hAnsi="Arial Black"/>
          <w:sz w:val="24"/>
          <w:szCs w:val="24"/>
        </w:rPr>
        <w:t>10</w:t>
      </w:r>
      <w:r w:rsidR="00956699">
        <w:rPr>
          <w:rFonts w:ascii="Arial Black" w:hAnsi="Arial Black"/>
          <w:sz w:val="24"/>
          <w:szCs w:val="24"/>
        </w:rPr>
        <w:t>1</w:t>
      </w:r>
    </w:p>
    <w:p w14:paraId="51AAAB58" w14:textId="77777777" w:rsidR="00016469" w:rsidRPr="00D70545" w:rsidRDefault="00016469" w:rsidP="00016469">
      <w:pPr>
        <w:rPr>
          <w:rFonts w:ascii="Arial Black" w:hAnsi="Arial Black"/>
          <w:b/>
          <w:sz w:val="28"/>
          <w:szCs w:val="28"/>
        </w:rPr>
      </w:pPr>
      <w:r>
        <w:rPr>
          <w:rFonts w:ascii="Arial Black" w:hAnsi="Arial Black"/>
          <w:b/>
          <w:sz w:val="28"/>
          <w:szCs w:val="28"/>
        </w:rPr>
        <w:lastRenderedPageBreak/>
        <w:t xml:space="preserve">NY: FIRE CHIEF – BURNED BY SHOE INSOLE HEATER </w:t>
      </w:r>
    </w:p>
    <w:p w14:paraId="1B7C2C1B" w14:textId="77777777" w:rsidR="00016469" w:rsidRDefault="00016469" w:rsidP="00016469">
      <w:r>
        <w:t xml:space="preserve">On Jan. 22, 2026, in </w:t>
      </w:r>
      <w:r w:rsidRPr="00D86CB4">
        <w:rPr>
          <w:u w:val="single"/>
        </w:rPr>
        <w:t xml:space="preserve">Gregory George v, Shenzhen </w:t>
      </w:r>
      <w:proofErr w:type="spellStart"/>
      <w:r w:rsidRPr="00D86CB4">
        <w:rPr>
          <w:u w:val="single"/>
        </w:rPr>
        <w:t>Tejiali</w:t>
      </w:r>
      <w:proofErr w:type="spellEnd"/>
      <w:r w:rsidRPr="00D86CB4">
        <w:rPr>
          <w:u w:val="single"/>
        </w:rPr>
        <w:t xml:space="preserve"> Technology Co., LTB, d/b/a IHeat</w:t>
      </w:r>
      <w:r>
        <w:t>, U.S. Chief District Court Judge Brenda K. Sannes, United States District Court for Northern District of New York, granted the plaintiff’s m</w:t>
      </w:r>
      <w:r w:rsidRPr="00EB443B">
        <w:t xml:space="preserve">otion for </w:t>
      </w:r>
      <w:r>
        <w:t>d</w:t>
      </w:r>
      <w:r w:rsidRPr="00EB443B">
        <w:t xml:space="preserve">efault </w:t>
      </w:r>
      <w:r>
        <w:t>j</w:t>
      </w:r>
      <w:r w:rsidRPr="00EB443B">
        <w:t>udgmen</w:t>
      </w:r>
      <w:r>
        <w:t xml:space="preserve">t against the manufacturer of the </w:t>
      </w:r>
      <w:r w:rsidRPr="006C1CE4">
        <w:t>lithium battery-powered heated shoe insoles</w:t>
      </w:r>
      <w:r>
        <w:t xml:space="preserve">, located in </w:t>
      </w:r>
      <w:r w:rsidRPr="006C1CE4">
        <w:t>Shenzhen, Guangdong, People's Republic of China</w:t>
      </w:r>
      <w:r>
        <w:t xml:space="preserve">, which he bought through Amazon.  The manufacturer </w:t>
      </w:r>
      <w:r w:rsidRPr="009D675B">
        <w:t>has not answered the complaint or appeared in this action.</w:t>
      </w:r>
      <w:r>
        <w:t xml:space="preserve">  </w:t>
      </w:r>
      <w:hyperlink r:id="rId407" w:history="1">
        <w:r w:rsidRPr="004147E7">
          <w:rPr>
            <w:rStyle w:val="Hyperlink"/>
          </w:rPr>
          <w:t>https://cases.justia.com/federal/district-courts/new-york/nyndce/6:2024cv00956/144608/40/0.pdf?ts=1769171952</w:t>
        </w:r>
      </w:hyperlink>
      <w:r>
        <w:t xml:space="preserve"> </w:t>
      </w:r>
    </w:p>
    <w:p w14:paraId="05B4D92F" w14:textId="77777777" w:rsidR="00016469" w:rsidRDefault="00016469" w:rsidP="00016469">
      <w:r>
        <w:t>THE COURT HELD:</w:t>
      </w:r>
    </w:p>
    <w:p w14:paraId="05FC9D98" w14:textId="77777777" w:rsidR="00016469" w:rsidRDefault="00016469" w:rsidP="00016469">
      <w:pPr>
        <w:ind w:left="720"/>
      </w:pPr>
      <w:r>
        <w:t xml:space="preserve">“Gregory </w:t>
      </w:r>
      <w:r w:rsidRPr="00B008B4">
        <w:t xml:space="preserve">George turned the insoles on </w:t>
      </w:r>
      <w:r>
        <w:t>‘</w:t>
      </w:r>
      <w:r w:rsidRPr="00B008B4">
        <w:t>in accordance with the instructions, put them in his boots, put socks on his feet, and put his boots on.</w:t>
      </w:r>
      <w:r>
        <w:t>’…</w:t>
      </w:r>
      <w:r w:rsidRPr="00B008B4">
        <w:t>He set the insoles to the medium setting (which could heat to a temperature range of 122-131°F) and walked outside</w:t>
      </w:r>
      <w:r>
        <w:t xml:space="preserve">…. </w:t>
      </w:r>
      <w:r w:rsidRPr="00B008B4">
        <w:t xml:space="preserve"> Around five minutes </w:t>
      </w:r>
      <w:proofErr w:type="gramStart"/>
      <w:r w:rsidRPr="00B008B4">
        <w:t xml:space="preserve">later, </w:t>
      </w:r>
      <w:r>
        <w:t>‘</w:t>
      </w:r>
      <w:proofErr w:type="gramEnd"/>
      <w:r w:rsidRPr="00B008B4">
        <w:t>he felt an electric shock to his right foot and his right boot burst into flames.</w:t>
      </w:r>
      <w:r>
        <w:t xml:space="preserve">’ … </w:t>
      </w:r>
      <w:r w:rsidRPr="00B008B4">
        <w:t xml:space="preserve">It took him about 40 seconds to take the boot off. </w:t>
      </w:r>
      <w:r>
        <w:t>‘</w:t>
      </w:r>
      <w:r w:rsidRPr="00B008B4">
        <w:t>George's right foot was severely burned, the skin of his right foot was blackened and some had started to peel off, and he was in extreme pain.</w:t>
      </w:r>
      <w:r>
        <w:t>’ ,,,</w:t>
      </w:r>
      <w:r w:rsidRPr="00B008B4">
        <w:t xml:space="preserve"> He went to the hospital, </w:t>
      </w:r>
      <w:r>
        <w:t>w</w:t>
      </w:r>
      <w:r w:rsidRPr="00B008B4">
        <w:t xml:space="preserve">here he was diagnosed with </w:t>
      </w:r>
      <w:r>
        <w:t>‘</w:t>
      </w:r>
      <w:r w:rsidRPr="00B008B4">
        <w:t>second-degree burns, as well as full-thickness, or third-degree, burns covering 1.5% of his right foot.</w:t>
      </w:r>
      <w:r>
        <w:t xml:space="preserve">’ … </w:t>
      </w:r>
      <w:r w:rsidRPr="00B008B4">
        <w:t xml:space="preserve"> The affected skin was debrided, and he was referred to a burn center for further care</w:t>
      </w:r>
      <w:r>
        <w:t xml:space="preserve">…. </w:t>
      </w:r>
      <w:r w:rsidRPr="00B008B4">
        <w:t xml:space="preserve"> There, he received in-patient wound care for five days</w:t>
      </w:r>
      <w:r>
        <w:t xml:space="preserve">…. </w:t>
      </w:r>
      <w:r w:rsidRPr="00B008B4">
        <w:t xml:space="preserve"> He later returned to the burn center for </w:t>
      </w:r>
      <w:r>
        <w:t>‘</w:t>
      </w:r>
      <w:r w:rsidRPr="00B008B4">
        <w:t>skin grafting using donor skin from two locations on his right thigh to replace the skin that was burned on his right foot.</w:t>
      </w:r>
      <w:r>
        <w:t xml:space="preserve">’ … </w:t>
      </w:r>
      <w:r w:rsidRPr="00B008B4">
        <w:t>He remained</w:t>
      </w:r>
      <w:r>
        <w:t xml:space="preserve"> </w:t>
      </w:r>
      <w:r w:rsidRPr="00E9334F">
        <w:t>at the center for inpatient care for ten days</w:t>
      </w:r>
      <w:r>
        <w:t xml:space="preserve">….  </w:t>
      </w:r>
      <w:r w:rsidRPr="00B91A1F">
        <w:t xml:space="preserve">ORDERED that the Court will hold an evidentiary hearing on February 24, 2026, at 10:30 a.m. to determine damages in accordance with this </w:t>
      </w:r>
      <w:proofErr w:type="gramStart"/>
      <w:r w:rsidRPr="00B91A1F">
        <w:t>order</w:t>
      </w:r>
      <w:r>
        <w:t>.”</w:t>
      </w:r>
      <w:proofErr w:type="gramEnd"/>
      <w:r>
        <w:t xml:space="preserve"> </w:t>
      </w:r>
    </w:p>
    <w:p w14:paraId="47368891" w14:textId="77777777" w:rsidR="00016469" w:rsidRDefault="00016469" w:rsidP="00016469">
      <w:pPr>
        <w:rPr>
          <w:b/>
          <w:bCs/>
        </w:rPr>
      </w:pPr>
      <w:r>
        <w:rPr>
          <w:b/>
        </w:rPr>
        <w:t xml:space="preserve">Legal lesson learned: Be very caution </w:t>
      </w:r>
      <w:r w:rsidRPr="00E9334F">
        <w:rPr>
          <w:b/>
        </w:rPr>
        <w:t>of lithium battery-powered heated shoe insoles</w:t>
      </w:r>
      <w:r>
        <w:rPr>
          <w:b/>
        </w:rPr>
        <w:t xml:space="preserve">.  With a foreign manufacturer he may have great difficulty collecting any </w:t>
      </w:r>
      <w:proofErr w:type="gramStart"/>
      <w:r>
        <w:rPr>
          <w:b/>
        </w:rPr>
        <w:t>damages</w:t>
      </w:r>
      <w:proofErr w:type="gramEnd"/>
      <w:r>
        <w:rPr>
          <w:b/>
        </w:rPr>
        <w:t xml:space="preserve">.  </w:t>
      </w:r>
    </w:p>
    <w:p w14:paraId="1221ECEF" w14:textId="77777777" w:rsidR="00016469" w:rsidRDefault="00016469" w:rsidP="00016469">
      <w:pPr>
        <w:ind w:left="720"/>
      </w:pPr>
      <w:r w:rsidRPr="008C1EE8">
        <w:t xml:space="preserve">Note: Defendants Amazon </w:t>
      </w:r>
      <w:r>
        <w:t xml:space="preserve">and seller </w:t>
      </w:r>
      <w:r w:rsidRPr="008C1EE8">
        <w:t xml:space="preserve">Mirror </w:t>
      </w:r>
      <w:proofErr w:type="spellStart"/>
      <w:r w:rsidRPr="008C1EE8">
        <w:t>Eleanos</w:t>
      </w:r>
      <w:proofErr w:type="spellEnd"/>
      <w:r w:rsidRPr="008C1EE8">
        <w:t xml:space="preserve"> have been dismissed from this action.</w:t>
      </w:r>
      <w:r>
        <w:t xml:space="preserve"> </w:t>
      </w:r>
    </w:p>
    <w:p w14:paraId="164FCEBD" w14:textId="77777777" w:rsidR="00016469" w:rsidRDefault="00016469" w:rsidP="00646EE3">
      <w:pPr>
        <w:rPr>
          <w:rFonts w:ascii="Arial Black" w:hAnsi="Arial Black"/>
          <w:sz w:val="24"/>
          <w:szCs w:val="24"/>
        </w:rPr>
      </w:pPr>
    </w:p>
    <w:p w14:paraId="340BC053" w14:textId="7FA0FF65" w:rsidR="00016469" w:rsidRDefault="00F20BC1" w:rsidP="00646EE3">
      <w:pPr>
        <w:rPr>
          <w:rFonts w:ascii="Arial Black" w:hAnsi="Arial Black"/>
          <w:sz w:val="24"/>
          <w:szCs w:val="24"/>
        </w:rPr>
      </w:pPr>
      <w:r>
        <w:rPr>
          <w:rFonts w:ascii="Arial Black" w:hAnsi="Arial Black"/>
          <w:sz w:val="24"/>
          <w:szCs w:val="24"/>
        </w:rPr>
        <w:t>2-</w:t>
      </w:r>
      <w:r w:rsidR="00956699">
        <w:rPr>
          <w:rFonts w:ascii="Arial Black" w:hAnsi="Arial Black"/>
          <w:sz w:val="24"/>
          <w:szCs w:val="24"/>
        </w:rPr>
        <w:t>100</w:t>
      </w:r>
    </w:p>
    <w:p w14:paraId="33F3D7B5" w14:textId="77777777" w:rsidR="00F20BC1" w:rsidRPr="005D2602" w:rsidRDefault="00F20BC1" w:rsidP="00F20BC1">
      <w:pPr>
        <w:rPr>
          <w:rFonts w:ascii="Arial Black" w:hAnsi="Arial Black"/>
          <w:b/>
          <w:sz w:val="28"/>
          <w:szCs w:val="28"/>
        </w:rPr>
      </w:pPr>
      <w:r>
        <w:rPr>
          <w:rFonts w:ascii="Arial Black" w:hAnsi="Arial Black"/>
          <w:b/>
          <w:sz w:val="28"/>
          <w:szCs w:val="28"/>
        </w:rPr>
        <w:t>MN: PFAS CLASS ACTION – CASE REMAINS IN MONTANA</w:t>
      </w:r>
    </w:p>
    <w:p w14:paraId="2CA6F98C" w14:textId="77777777" w:rsidR="00F20BC1" w:rsidRDefault="00F20BC1" w:rsidP="00F20BC1">
      <w:pPr>
        <w:rPr>
          <w:bCs/>
        </w:rPr>
      </w:pPr>
      <w:r>
        <w:t xml:space="preserve">On January 12, 2026, in </w:t>
      </w:r>
      <w:r w:rsidRPr="00287078">
        <w:rPr>
          <w:u w:val="single"/>
        </w:rPr>
        <w:t>City and County of Butte-Silver Bow v. 3M Company, Dupont, et al</w:t>
      </w:r>
      <w:r>
        <w:t xml:space="preserve">., U.S. District Court Judge Brian Morris, United States District Court for the District of Montana, Butte Division, rejected Dupont’s additional argument that they cannot be sued in Montana. On January 6, </w:t>
      </w:r>
      <w:proofErr w:type="gramStart"/>
      <w:r>
        <w:t>2026</w:t>
      </w:r>
      <w:proofErr w:type="gramEnd"/>
      <w:r>
        <w:t xml:space="preserve"> the Court previously denied the defense motion to dismiss.  In this latest ruling,  the Court found that unlike a case dismissed in Massachusetts on December 30, 2025, Dupont and other defendants’ sales and marketing activities with Montana fire departments established the </w:t>
      </w:r>
      <w:r w:rsidRPr="00C347AF">
        <w:t>requisite</w:t>
      </w:r>
      <w:r>
        <w:t xml:space="preserve"> presence in Montana to proceed.  </w:t>
      </w:r>
      <w:hyperlink r:id="rId408" w:history="1">
        <w:r w:rsidRPr="003004D8">
          <w:rPr>
            <w:rStyle w:val="Hyperlink"/>
          </w:rPr>
          <w:t>https://cases.justia.com/federal/district-courts/montana/mtdce/2:2025cv00036/80451/160/0.pdf?ts=1768305911</w:t>
        </w:r>
      </w:hyperlink>
      <w:r>
        <w:t xml:space="preserve"> </w:t>
      </w:r>
    </w:p>
    <w:p w14:paraId="1CC02B94" w14:textId="77777777" w:rsidR="00F20BC1" w:rsidRDefault="00F20BC1" w:rsidP="00F20BC1">
      <w:pPr>
        <w:rPr>
          <w:bCs/>
        </w:rPr>
      </w:pPr>
      <w:r>
        <w:t>THE COURT HELD:</w:t>
      </w:r>
    </w:p>
    <w:p w14:paraId="13549DB1" w14:textId="77777777" w:rsidR="00F20BC1" w:rsidRPr="00D1073C" w:rsidRDefault="00F20BC1" w:rsidP="00F20BC1">
      <w:pPr>
        <w:pStyle w:val="NoSpacing"/>
        <w:ind w:left="720"/>
        <w:rPr>
          <w:bCs/>
        </w:rPr>
      </w:pPr>
      <w:r>
        <w:t>“</w:t>
      </w:r>
      <w:r w:rsidRPr="00DA50ED">
        <w:t>Plaintiff City and County of Butte Silver</w:t>
      </w:r>
      <w:r>
        <w:t xml:space="preserve"> </w:t>
      </w:r>
      <w:r w:rsidRPr="00DA50ED">
        <w:t>Bow (</w:t>
      </w:r>
      <w:r>
        <w:t>‘</w:t>
      </w:r>
      <w:r w:rsidRPr="00DA50ED">
        <w:t>Plaintiff</w:t>
      </w:r>
      <w:r>
        <w:t>’</w:t>
      </w:r>
      <w:r w:rsidRPr="00DA50ED">
        <w:t>) provided the Court with affidavits and other evidence that</w:t>
      </w:r>
      <w:r>
        <w:t xml:space="preserve"> </w:t>
      </w:r>
      <w:r w:rsidRPr="00D1073C">
        <w:t>Dupont purposefully has directed its conduct toward Montana. The Court found</w:t>
      </w:r>
      <w:r>
        <w:t xml:space="preserve"> </w:t>
      </w:r>
      <w:r w:rsidRPr="00D1073C">
        <w:t>relevant Dupont’s conduct of awarding Montana fire departments turnout gear sets</w:t>
      </w:r>
      <w:r>
        <w:t xml:space="preserve"> </w:t>
      </w:r>
      <w:r w:rsidRPr="00D1073C">
        <w:t>in an annual giveaway</w:t>
      </w:r>
      <w:r>
        <w:t xml:space="preserve">…. </w:t>
      </w:r>
      <w:r w:rsidRPr="00D1073C">
        <w:t>Plaintiff provided declarations that</w:t>
      </w:r>
      <w:r>
        <w:t xml:space="preserve"> </w:t>
      </w:r>
      <w:r w:rsidRPr="00D1073C">
        <w:t>Dupont, in collaboration with another Defendant, Globe, had shipped similar</w:t>
      </w:r>
    </w:p>
    <w:p w14:paraId="3032495F" w14:textId="77777777" w:rsidR="00F20BC1" w:rsidRPr="00D1073C" w:rsidRDefault="00F20BC1" w:rsidP="00F20BC1">
      <w:pPr>
        <w:pStyle w:val="NoSpacing"/>
        <w:ind w:left="720"/>
        <w:rPr>
          <w:bCs/>
        </w:rPr>
      </w:pPr>
      <w:r w:rsidRPr="00D1073C">
        <w:lastRenderedPageBreak/>
        <w:t>turnout gear at issue in this case to Montana fire departments as winners of the</w:t>
      </w:r>
    </w:p>
    <w:p w14:paraId="14359296" w14:textId="77777777" w:rsidR="00F20BC1" w:rsidRDefault="00F20BC1" w:rsidP="00F20BC1">
      <w:pPr>
        <w:pStyle w:val="NoSpacing"/>
        <w:ind w:left="720"/>
        <w:rPr>
          <w:bCs/>
        </w:rPr>
      </w:pPr>
      <w:r w:rsidRPr="00D1073C">
        <w:t>giveaway</w:t>
      </w:r>
      <w:r>
        <w:t xml:space="preserve">…. </w:t>
      </w:r>
      <w:r w:rsidRPr="00D1073C">
        <w:t>Plaintiff asserted that Defendants had encouraged the</w:t>
      </w:r>
      <w:r>
        <w:t xml:space="preserve"> </w:t>
      </w:r>
      <w:r w:rsidRPr="00D1073C">
        <w:t>Montana fire departments who received the Dupont/Globe turnout gear sets to</w:t>
      </w:r>
      <w:r>
        <w:t xml:space="preserve"> </w:t>
      </w:r>
      <w:r w:rsidRPr="00D1073C">
        <w:t>advertise the winnings and charitable acts of Dupont/Globe on social media</w:t>
      </w:r>
      <w:r>
        <w:t xml:space="preserve">…. </w:t>
      </w:r>
    </w:p>
    <w:p w14:paraId="66454C7F" w14:textId="77777777" w:rsidR="00F20BC1" w:rsidRDefault="00F20BC1" w:rsidP="00F20BC1">
      <w:pPr>
        <w:pStyle w:val="NoSpacing"/>
        <w:ind w:left="720"/>
        <w:rPr>
          <w:bCs/>
        </w:rPr>
      </w:pPr>
    </w:p>
    <w:p w14:paraId="0B949355" w14:textId="77777777" w:rsidR="00F20BC1" w:rsidRPr="00732221" w:rsidRDefault="00F20BC1" w:rsidP="00F20BC1">
      <w:pPr>
        <w:pStyle w:val="NoSpacing"/>
        <w:ind w:left="720"/>
        <w:rPr>
          <w:bCs/>
        </w:rPr>
      </w:pPr>
      <w:r w:rsidRPr="00732221">
        <w:t>Plaintiff further provided an affidavit by Diane Evankovich attesting that she</w:t>
      </w:r>
    </w:p>
    <w:p w14:paraId="5DE4ECA2" w14:textId="77777777" w:rsidR="00F20BC1" w:rsidRPr="00732221" w:rsidRDefault="00F20BC1" w:rsidP="00F20BC1">
      <w:pPr>
        <w:pStyle w:val="NoSpacing"/>
        <w:ind w:left="720"/>
        <w:rPr>
          <w:bCs/>
        </w:rPr>
      </w:pPr>
      <w:r w:rsidRPr="00732221">
        <w:t>had been made aware of these Dupont/Globe giveaways in Montana. (Doc. 132.)</w:t>
      </w:r>
    </w:p>
    <w:p w14:paraId="3256EB01" w14:textId="77777777" w:rsidR="00F20BC1" w:rsidRPr="00732221" w:rsidRDefault="00F20BC1" w:rsidP="00F20BC1">
      <w:pPr>
        <w:pStyle w:val="NoSpacing"/>
        <w:ind w:left="720"/>
        <w:rPr>
          <w:bCs/>
        </w:rPr>
      </w:pPr>
      <w:r w:rsidRPr="00732221">
        <w:t>The Court also found relevant Plaintiff’s assertion that Evankovich and Zach</w:t>
      </w:r>
    </w:p>
    <w:p w14:paraId="4B824B45" w14:textId="77777777" w:rsidR="00F20BC1" w:rsidRPr="00732221" w:rsidRDefault="00F20BC1" w:rsidP="00F20BC1">
      <w:pPr>
        <w:pStyle w:val="NoSpacing"/>
        <w:ind w:left="720"/>
        <w:rPr>
          <w:bCs/>
        </w:rPr>
      </w:pPr>
      <w:r w:rsidRPr="00732221">
        <w:t>Osborne, the Butte Silver Bow Fire Chief, attested that they were contacted about</w:t>
      </w:r>
    </w:p>
    <w:p w14:paraId="608E81F6" w14:textId="77777777" w:rsidR="00F20BC1" w:rsidRDefault="00F20BC1" w:rsidP="00F20BC1">
      <w:pPr>
        <w:pStyle w:val="NoSpacing"/>
        <w:ind w:left="720"/>
        <w:rPr>
          <w:bCs/>
        </w:rPr>
      </w:pPr>
      <w:r w:rsidRPr="00732221">
        <w:t>and marketed directly to purchase turnout gear containing Dupont’s PFAS.</w:t>
      </w:r>
      <w:r>
        <w:t>”</w:t>
      </w:r>
    </w:p>
    <w:p w14:paraId="561CA9C9" w14:textId="77777777" w:rsidR="00F20BC1" w:rsidRDefault="00F20BC1" w:rsidP="00F20BC1">
      <w:pPr>
        <w:pStyle w:val="NoSpacing"/>
        <w:ind w:left="720"/>
        <w:rPr>
          <w:bCs/>
        </w:rPr>
      </w:pPr>
    </w:p>
    <w:p w14:paraId="24AA61AF" w14:textId="77777777" w:rsidR="00F20BC1" w:rsidRDefault="00F20BC1" w:rsidP="00F20BC1">
      <w:pPr>
        <w:pStyle w:val="NoSpacing"/>
        <w:rPr>
          <w:b/>
        </w:rPr>
      </w:pPr>
      <w:r>
        <w:rPr>
          <w:b/>
        </w:rPr>
        <w:t xml:space="preserve">Legal lesson learned: Pre-trial discovery will now proceed in this class-action lawsuit. </w:t>
      </w:r>
    </w:p>
    <w:p w14:paraId="37722C00" w14:textId="77777777" w:rsidR="00F20BC1" w:rsidRDefault="00F20BC1" w:rsidP="00F20BC1">
      <w:pPr>
        <w:pStyle w:val="NoSpacing"/>
        <w:rPr>
          <w:b/>
        </w:rPr>
      </w:pPr>
    </w:p>
    <w:p w14:paraId="320EC308" w14:textId="77777777" w:rsidR="00F20BC1" w:rsidRDefault="00F20BC1" w:rsidP="00F20BC1">
      <w:pPr>
        <w:pStyle w:val="NoSpacing"/>
        <w:ind w:left="720"/>
        <w:rPr>
          <w:bCs/>
        </w:rPr>
      </w:pPr>
      <w:r>
        <w:t xml:space="preserve">Note:  </w:t>
      </w:r>
    </w:p>
    <w:p w14:paraId="7B5CEB3C" w14:textId="77777777" w:rsidR="00F20BC1" w:rsidRDefault="00F20BC1" w:rsidP="00F20BC1">
      <w:pPr>
        <w:pStyle w:val="NoSpacing"/>
        <w:ind w:left="720"/>
        <w:rPr>
          <w:bCs/>
        </w:rPr>
      </w:pPr>
    </w:p>
    <w:p w14:paraId="36B95B20" w14:textId="77777777" w:rsidR="00F20BC1" w:rsidRDefault="00F20BC1" w:rsidP="00F20BC1">
      <w:pPr>
        <w:pStyle w:val="NoSpacing"/>
        <w:ind w:left="720"/>
        <w:rPr>
          <w:bCs/>
        </w:rPr>
      </w:pPr>
      <w:r>
        <w:t xml:space="preserve">See Jan. 6, </w:t>
      </w:r>
      <w:proofErr w:type="gramStart"/>
      <w:r>
        <w:t>2025</w:t>
      </w:r>
      <w:proofErr w:type="gramEnd"/>
      <w:r>
        <w:t xml:space="preserve"> law firm press release:  </w:t>
      </w:r>
      <w:r w:rsidRPr="009D04CB">
        <w:t>Montana Court Denies Motions to Dismiss Class-Action Lawsuit Fighting PFAS in Firefighter Turnout</w:t>
      </w:r>
      <w:r>
        <w:t xml:space="preserve"> </w:t>
      </w:r>
      <w:r w:rsidRPr="009D04CB">
        <w:t>Gear</w:t>
      </w:r>
      <w:r>
        <w:t>.</w:t>
      </w:r>
    </w:p>
    <w:p w14:paraId="7FE9BE0D" w14:textId="77777777" w:rsidR="00F20BC1" w:rsidRDefault="00F20BC1" w:rsidP="00F20BC1">
      <w:pPr>
        <w:pStyle w:val="NoSpacing"/>
        <w:ind w:left="720"/>
        <w:rPr>
          <w:bCs/>
        </w:rPr>
      </w:pPr>
      <w:hyperlink r:id="rId409" w:history="1">
        <w:r w:rsidRPr="003004D8">
          <w:rPr>
            <w:rStyle w:val="Hyperlink"/>
          </w:rPr>
          <w:t>https://www.hbsslaw.com/press/pfas-firefighter-turnout-gear/montana-court-denies-motions-to-dismiss-class-action-lawsuit-fighting-pfas-in-firefighter-turnout-gear</w:t>
        </w:r>
      </w:hyperlink>
      <w:r>
        <w:t xml:space="preserve"> </w:t>
      </w:r>
    </w:p>
    <w:p w14:paraId="452CFA59" w14:textId="77777777" w:rsidR="00F20BC1" w:rsidRDefault="00F20BC1" w:rsidP="00F20BC1">
      <w:pPr>
        <w:ind w:left="720"/>
        <w:rPr>
          <w:bCs/>
        </w:rPr>
      </w:pPr>
      <w:r>
        <w:t>“</w:t>
      </w:r>
      <w:r w:rsidRPr="00105A76">
        <w:t xml:space="preserve">A Montana federal judge today denied motions to dismiss a class-action lawsuit brought by attorneys at law firms Hagens Berman, Heenan &amp; Cook and Bliven Law Firm to combat </w:t>
      </w:r>
      <w:hyperlink r:id="rId410" w:history="1">
        <w:r w:rsidRPr="00105A76">
          <w:rPr>
            <w:rStyle w:val="Hyperlink"/>
          </w:rPr>
          <w:t>toxic “forever chemicals” in firefighter turnout gear sold by DuPont/Chemours, 3M</w:t>
        </w:r>
      </w:hyperlink>
      <w:r w:rsidRPr="00105A76">
        <w:t xml:space="preserve"> and other major corporations. The firms represent the city and county of Butte-Silver Bow, Montana, to assist them and other municipalities in abating the costly premature gear replacements faced due to the rampant health risks of perfluoroalkyl and polyfluoroalkyl substances (PFAS).</w:t>
      </w:r>
      <w:r>
        <w:t xml:space="preserve"> *** </w:t>
      </w:r>
      <w:r w:rsidRPr="001C3C1C">
        <w:t xml:space="preserve">The court rejected the defendants’ argument that they were engaging in ordinary commercial activities, explaining that </w:t>
      </w:r>
      <w:r>
        <w:t>‘</w:t>
      </w:r>
      <w:r w:rsidRPr="001C3C1C">
        <w:t>Defendants could not have achieved their goals of selling PFAS and turnout gear containing PFAS if Defendants’ knowledge of the harms of PFAS had been exposed. These actions by Defendants, allegedly acting together to conceal the known dangers of PFAS, do not constitute merely normal or ordinary commercial relationships.</w:t>
      </w:r>
      <w:r>
        <w:t>’”</w:t>
      </w:r>
    </w:p>
    <w:p w14:paraId="698D0B76" w14:textId="77777777" w:rsidR="00F20BC1" w:rsidRDefault="00F20BC1" w:rsidP="00F20BC1">
      <w:pPr>
        <w:ind w:left="720"/>
        <w:rPr>
          <w:bCs/>
        </w:rPr>
      </w:pPr>
      <w:r>
        <w:t xml:space="preserve">See the April 4, 2025 law firm press release </w:t>
      </w:r>
      <w:r w:rsidRPr="00E84B6A">
        <w:t>Butte, Montana Files Class-Action Lawsuit Fighting PFAS in Firefighter Turnout Gear to Aid Those Facing Costly Replacements</w:t>
      </w:r>
      <w:r>
        <w:t>.</w:t>
      </w:r>
      <w:hyperlink r:id="rId411" w:history="1">
        <w:r w:rsidRPr="003004D8">
          <w:rPr>
            <w:rStyle w:val="Hyperlink"/>
          </w:rPr>
          <w:t>https://www.hbsslaw.com/press/pfas-firefighter-turnout-gear/butte-montana-files-class-action-lawsuit-fighting-pfas-in-firefighter-turnout-gear-to-aid-those-facing-costly-replacements</w:t>
        </w:r>
      </w:hyperlink>
      <w:r>
        <w:t xml:space="preserve"> </w:t>
      </w:r>
    </w:p>
    <w:p w14:paraId="62FD939E" w14:textId="77777777" w:rsidR="00F20BC1" w:rsidRPr="000C43B0" w:rsidRDefault="00F20BC1" w:rsidP="00F20BC1">
      <w:pPr>
        <w:ind w:left="720"/>
        <w:rPr>
          <w:bCs/>
        </w:rPr>
      </w:pPr>
    </w:p>
    <w:p w14:paraId="3B0E7038" w14:textId="351507DD" w:rsidR="00F20BC1" w:rsidRDefault="00F20BC1" w:rsidP="00F20BC1">
      <w:pPr>
        <w:rPr>
          <w:rFonts w:ascii="Arial Black" w:hAnsi="Arial Black"/>
          <w:sz w:val="24"/>
          <w:szCs w:val="24"/>
        </w:rPr>
      </w:pPr>
      <w:r w:rsidRPr="000C43B0">
        <w:t xml:space="preserve">See </w:t>
      </w:r>
      <w:r>
        <w:t xml:space="preserve">Jan. 9, </w:t>
      </w:r>
      <w:proofErr w:type="gramStart"/>
      <w:r>
        <w:t>2026</w:t>
      </w:r>
      <w:proofErr w:type="gramEnd"/>
      <w:r>
        <w:t xml:space="preserve"> </w:t>
      </w:r>
      <w:r w:rsidRPr="000C43B0">
        <w:t>case: UNIFORMED PROFESSIONAL FIRE FIGHTERS ASSOCIATION OF CONNECTICUT, et al. v. 3M, et al.</w:t>
      </w:r>
      <w:r>
        <w:t xml:space="preserve"> </w:t>
      </w:r>
      <w:hyperlink r:id="rId412" w:history="1">
        <w:r w:rsidRPr="002B4D2D">
          <w:rPr>
            <w:rStyle w:val="Hyperlink"/>
          </w:rPr>
          <w:t>https://www.casemine.com/judgement/us/6963a657827d4c0685d5653a</w:t>
        </w:r>
      </w:hyperlink>
    </w:p>
    <w:p w14:paraId="2B390073" w14:textId="77777777" w:rsidR="00956699" w:rsidRDefault="00956699" w:rsidP="00646EE3">
      <w:pPr>
        <w:rPr>
          <w:rFonts w:ascii="Arial Black" w:hAnsi="Arial Black"/>
          <w:sz w:val="24"/>
          <w:szCs w:val="24"/>
        </w:rPr>
      </w:pPr>
    </w:p>
    <w:p w14:paraId="7C57DC48" w14:textId="4A9AAF04" w:rsidR="00016469" w:rsidRDefault="00956699" w:rsidP="00646EE3">
      <w:pPr>
        <w:rPr>
          <w:rFonts w:ascii="Arial Black" w:hAnsi="Arial Black"/>
          <w:sz w:val="24"/>
          <w:szCs w:val="24"/>
        </w:rPr>
      </w:pPr>
      <w:r>
        <w:rPr>
          <w:rFonts w:ascii="Arial Black" w:hAnsi="Arial Black"/>
          <w:sz w:val="24"/>
          <w:szCs w:val="24"/>
        </w:rPr>
        <w:t>2-99</w:t>
      </w:r>
    </w:p>
    <w:p w14:paraId="08D06CDE" w14:textId="29660A02" w:rsidR="00956699" w:rsidRPr="00956699" w:rsidRDefault="00956699" w:rsidP="00956699">
      <w:pPr>
        <w:pStyle w:val="NoSpacing"/>
        <w:rPr>
          <w:rFonts w:ascii="Times New Roman" w:hAnsi="Times New Roman"/>
          <w:b/>
          <w:bCs/>
          <w:sz w:val="24"/>
          <w:szCs w:val="24"/>
        </w:rPr>
      </w:pPr>
      <w:r>
        <w:rPr>
          <w:rFonts w:ascii="Arial Black" w:hAnsi="Arial Black"/>
          <w:sz w:val="28"/>
          <w:szCs w:val="28"/>
        </w:rPr>
        <w:t>FL: “HALO LAW”  – 25 FEET NO APPROACH ZONE</w:t>
      </w:r>
      <w:r>
        <w:t xml:space="preserve">  </w:t>
      </w:r>
      <w:r w:rsidRPr="00E96FEA">
        <w:rPr>
          <w:rFonts w:ascii="Arial Black" w:hAnsi="Arial Black"/>
          <w:sz w:val="28"/>
          <w:szCs w:val="28"/>
        </w:rPr>
        <w:t xml:space="preserve">- </w:t>
      </w:r>
      <w:r>
        <w:rPr>
          <w:rFonts w:ascii="Arial Black" w:hAnsi="Arial Black"/>
          <w:sz w:val="28"/>
          <w:szCs w:val="28"/>
        </w:rPr>
        <w:t xml:space="preserve">Eff. </w:t>
      </w:r>
      <w:r w:rsidRPr="00E96FEA">
        <w:rPr>
          <w:rFonts w:ascii="Arial Black" w:hAnsi="Arial Black"/>
          <w:sz w:val="28"/>
          <w:szCs w:val="28"/>
        </w:rPr>
        <w:t>1/1/2025</w:t>
      </w:r>
      <w:r>
        <w:rPr>
          <w:rFonts w:ascii="Arial Black" w:hAnsi="Arial Black"/>
          <w:sz w:val="28"/>
          <w:szCs w:val="28"/>
        </w:rPr>
        <w:t xml:space="preserve">  </w:t>
      </w:r>
      <w:r w:rsidRPr="00956699">
        <w:rPr>
          <w:rFonts w:ascii="Times New Roman" w:hAnsi="Times New Roman"/>
          <w:b/>
          <w:bCs/>
          <w:sz w:val="24"/>
          <w:szCs w:val="24"/>
        </w:rPr>
        <w:t xml:space="preserve">[also filed, Chap. </w:t>
      </w:r>
      <w:r>
        <w:rPr>
          <w:rFonts w:ascii="Times New Roman" w:hAnsi="Times New Roman"/>
          <w:b/>
          <w:bCs/>
          <w:sz w:val="24"/>
          <w:szCs w:val="24"/>
        </w:rPr>
        <w:t>18</w:t>
      </w:r>
      <w:r w:rsidRPr="00956699">
        <w:rPr>
          <w:rFonts w:ascii="Times New Roman" w:hAnsi="Times New Roman"/>
          <w:b/>
          <w:bCs/>
          <w:sz w:val="24"/>
          <w:szCs w:val="24"/>
        </w:rPr>
        <w:t>]</w:t>
      </w:r>
    </w:p>
    <w:p w14:paraId="3EED2F7B" w14:textId="77777777" w:rsidR="00956699" w:rsidRDefault="00956699" w:rsidP="00956699">
      <w:pPr>
        <w:pStyle w:val="NoSpacing"/>
      </w:pPr>
    </w:p>
    <w:p w14:paraId="2C4354D1" w14:textId="77777777" w:rsidR="00956699" w:rsidRPr="009564B9" w:rsidRDefault="00956699" w:rsidP="00956699">
      <w:pPr>
        <w:pStyle w:val="NoSpacing"/>
        <w:rPr>
          <w:b/>
        </w:rPr>
      </w:pPr>
      <w:r>
        <w:t xml:space="preserve">On January 1, 2025, the new “Halo Law” became effective. On April 12, 2024, Governor Ron DeSantis </w:t>
      </w:r>
      <w:proofErr w:type="gramStart"/>
      <w:r>
        <w:t>signed into law</w:t>
      </w:r>
      <w:proofErr w:type="gramEnd"/>
      <w:r>
        <w:t xml:space="preserve"> the Halo Law, passed under House Bill 184, </w:t>
      </w:r>
      <w:r w:rsidRPr="009564B9">
        <w:t>Impeding, Threatening, or Harassing First Responders</w:t>
      </w:r>
      <w:r>
        <w:t xml:space="preserve">. </w:t>
      </w:r>
      <w:hyperlink r:id="rId413" w:history="1">
        <w:r w:rsidRPr="00734647">
          <w:rPr>
            <w:rStyle w:val="Hyperlink"/>
          </w:rPr>
          <w:t>https://www.flhouse.gov/Sections/Bills/billsdetail.aspx?BillId=78745</w:t>
        </w:r>
      </w:hyperlink>
      <w:r>
        <w:t xml:space="preserve"> </w:t>
      </w:r>
    </w:p>
    <w:p w14:paraId="2E19B0E4" w14:textId="77777777" w:rsidR="00956699" w:rsidRDefault="00956699" w:rsidP="00956699">
      <w:pPr>
        <w:pStyle w:val="NoSpacing"/>
      </w:pPr>
    </w:p>
    <w:p w14:paraId="2AA3E1F0" w14:textId="77777777" w:rsidR="00956699" w:rsidRDefault="00956699" w:rsidP="00956699">
      <w:pPr>
        <w:pStyle w:val="NoSpacing"/>
      </w:pPr>
      <w:r>
        <w:lastRenderedPageBreak/>
        <w:t xml:space="preserve">Read the statute: </w:t>
      </w:r>
      <w:hyperlink r:id="rId414" w:history="1">
        <w:r w:rsidRPr="00734647">
          <w:rPr>
            <w:rStyle w:val="Hyperlink"/>
          </w:rPr>
          <w:t>https://www.flhouse.gov/Sections/Documents/loaddoc.aspx?FileName=_s0184er.DOCX&amp;DocumentType=Bill&amp;BillNumber=184&amp;Session=2024</w:t>
        </w:r>
      </w:hyperlink>
      <w:r>
        <w:t xml:space="preserve"> </w:t>
      </w:r>
    </w:p>
    <w:p w14:paraId="6C1F761F" w14:textId="77777777" w:rsidR="00956699" w:rsidRDefault="00956699" w:rsidP="00956699">
      <w:pPr>
        <w:pStyle w:val="NoSpacing"/>
      </w:pPr>
      <w:r>
        <w:t>Section 1</w:t>
      </w:r>
    </w:p>
    <w:p w14:paraId="0E037D79" w14:textId="77777777" w:rsidR="00956699" w:rsidRDefault="00956699" w:rsidP="00956699">
      <w:pPr>
        <w:pStyle w:val="NoSpacing"/>
      </w:pPr>
      <w:r>
        <w:t>Approaching a first responder with specified intent after a warning</w:t>
      </w:r>
    </w:p>
    <w:p w14:paraId="36F14853" w14:textId="77777777" w:rsidR="00956699" w:rsidRDefault="00956699" w:rsidP="00956699">
      <w:pPr>
        <w:pStyle w:val="NoSpacing"/>
      </w:pPr>
      <w:r>
        <w:t>(1) As used in this section, the term:</w:t>
      </w:r>
    </w:p>
    <w:p w14:paraId="617068EC" w14:textId="77777777" w:rsidR="00956699" w:rsidRDefault="00956699" w:rsidP="00956699">
      <w:pPr>
        <w:pStyle w:val="NoSpacing"/>
      </w:pPr>
      <w:r>
        <w:t>(a) “First responder” includes a law enforcement officer as defined in s. 943.10(1), a correctional probation officer as defined in s. 943.10(3), a firefighter as defined in s784.07(1), and an emergency medical care provider as defined in s. 784.07(1)</w:t>
      </w:r>
    </w:p>
    <w:p w14:paraId="30761E98" w14:textId="77777777" w:rsidR="00956699" w:rsidRDefault="00956699" w:rsidP="00956699">
      <w:pPr>
        <w:pStyle w:val="NoSpacing"/>
      </w:pPr>
      <w:r>
        <w:t>(b) “Harass” means to willfully engage in a course of conduct directed at a first responder which intentionally causes substantial emotional distress in that first responder and serves no legitimate purpose.</w:t>
      </w:r>
    </w:p>
    <w:p w14:paraId="3E808689" w14:textId="77777777" w:rsidR="00956699" w:rsidRDefault="00956699" w:rsidP="00956699">
      <w:pPr>
        <w:pStyle w:val="NoSpacing"/>
      </w:pPr>
      <w:r>
        <w:t>(2)(a) It is unlawful for a person, after receiving a verbal warning not to approach from a person he or she knows or reasonably should know is a first responder, who is engaged in the lawful performance of a legal duty, to knowingly and willfully violate such warning and approach or remain within 25 feet of the first responder with the intent to:</w:t>
      </w:r>
    </w:p>
    <w:p w14:paraId="63B5FD06" w14:textId="77777777" w:rsidR="00956699" w:rsidRDefault="00956699" w:rsidP="00956699">
      <w:pPr>
        <w:pStyle w:val="NoSpacing"/>
      </w:pPr>
      <w:r>
        <w:t>1. Impede or interfere with the first responder’s ability to perform such duty;</w:t>
      </w:r>
    </w:p>
    <w:p w14:paraId="57B8C56A" w14:textId="77777777" w:rsidR="00956699" w:rsidRDefault="00956699" w:rsidP="00956699">
      <w:pPr>
        <w:pStyle w:val="NoSpacing"/>
      </w:pPr>
      <w:r>
        <w:t>2. Threaten the first responder with physical harm; or</w:t>
      </w:r>
    </w:p>
    <w:p w14:paraId="667A6579" w14:textId="77777777" w:rsidR="00956699" w:rsidRDefault="00956699" w:rsidP="00956699">
      <w:pPr>
        <w:pStyle w:val="NoSpacing"/>
      </w:pPr>
      <w:r>
        <w:t>3. Harass the first responder.</w:t>
      </w:r>
    </w:p>
    <w:p w14:paraId="0093B75D" w14:textId="77777777" w:rsidR="00956699" w:rsidRDefault="00956699" w:rsidP="00956699">
      <w:pPr>
        <w:pStyle w:val="NoSpacing"/>
      </w:pPr>
      <w:r>
        <w:t>(b) A person who violates this subsection commits a misdemeanor of the second degree, punishable as provided in s. 775.082 or s. 775.083.40</w:t>
      </w:r>
    </w:p>
    <w:p w14:paraId="3DEE2D8C" w14:textId="77777777" w:rsidR="00956699" w:rsidRDefault="00956699" w:rsidP="00956699">
      <w:pPr>
        <w:pStyle w:val="NoSpacing"/>
      </w:pPr>
      <w:r>
        <w:t>Section 2. This act shall take effect January 1, 2025.</w:t>
      </w:r>
    </w:p>
    <w:p w14:paraId="755627A1" w14:textId="77777777" w:rsidR="00956699" w:rsidRDefault="00956699" w:rsidP="00956699">
      <w:pPr>
        <w:pStyle w:val="NoSpacing"/>
      </w:pPr>
    </w:p>
    <w:p w14:paraId="053B33A4" w14:textId="77777777" w:rsidR="00956699" w:rsidRPr="00313F24" w:rsidRDefault="00956699" w:rsidP="00956699">
      <w:pPr>
        <w:pStyle w:val="NoSpacing"/>
        <w:rPr>
          <w:b/>
          <w:bCs/>
        </w:rPr>
      </w:pPr>
      <w:r>
        <w:rPr>
          <w:b/>
        </w:rPr>
        <w:t xml:space="preserve">Legal lesson learned: An excellent statute; hopefully similar laws will be enacted in many other </w:t>
      </w:r>
      <w:proofErr w:type="gramStart"/>
      <w:r>
        <w:rPr>
          <w:b/>
        </w:rPr>
        <w:t>state</w:t>
      </w:r>
      <w:proofErr w:type="gramEnd"/>
      <w:r>
        <w:rPr>
          <w:b/>
        </w:rPr>
        <w:t xml:space="preserve">. </w:t>
      </w:r>
    </w:p>
    <w:p w14:paraId="4B38E0A3" w14:textId="77777777" w:rsidR="00956699" w:rsidRDefault="00956699" w:rsidP="00956699">
      <w:pPr>
        <w:pStyle w:val="NoSpacing"/>
      </w:pPr>
    </w:p>
    <w:p w14:paraId="600EA0AF" w14:textId="77777777" w:rsidR="00956699" w:rsidRPr="00F642E3" w:rsidRDefault="00956699" w:rsidP="00956699">
      <w:pPr>
        <w:pStyle w:val="NoSpacing"/>
        <w:ind w:left="720"/>
        <w:rPr>
          <w:b/>
        </w:rPr>
      </w:pPr>
      <w:r>
        <w:t xml:space="preserve">Note: Jan. 28, 2026:  </w:t>
      </w:r>
      <w:r w:rsidRPr="00F642E3">
        <w:rPr>
          <w:b/>
        </w:rPr>
        <w:t>Man arrested under Florida's Halo Law</w:t>
      </w:r>
      <w:r>
        <w:rPr>
          <w:b/>
        </w:rPr>
        <w:t xml:space="preserve">. </w:t>
      </w:r>
      <w:hyperlink r:id="rId415" w:history="1">
        <w:r w:rsidRPr="00734647">
          <w:rPr>
            <w:rStyle w:val="Hyperlink"/>
            <w:b/>
          </w:rPr>
          <w:t>https://www.youtube.com/watch?v=US5dFGLzqQo</w:t>
        </w:r>
      </w:hyperlink>
      <w:r>
        <w:rPr>
          <w:b/>
        </w:rPr>
        <w:t xml:space="preserve"> </w:t>
      </w:r>
    </w:p>
    <w:p w14:paraId="2C3740C1" w14:textId="77777777" w:rsidR="00956699" w:rsidRPr="00210AB7" w:rsidRDefault="00956699" w:rsidP="00956699">
      <w:pPr>
        <w:pStyle w:val="NoSpacing"/>
        <w:ind w:firstLine="720"/>
        <w:rPr>
          <w:b/>
        </w:rPr>
      </w:pPr>
      <w:r w:rsidRPr="00210AB7">
        <w:rPr>
          <w:b/>
        </w:rPr>
        <w:t>What Is the Halo Law?</w:t>
      </w:r>
    </w:p>
    <w:p w14:paraId="5EBBE428" w14:textId="77777777" w:rsidR="00956699" w:rsidRPr="00210AB7" w:rsidRDefault="00956699" w:rsidP="00956699">
      <w:pPr>
        <w:pStyle w:val="NoSpacing"/>
        <w:ind w:left="720"/>
      </w:pPr>
      <w:r w:rsidRPr="00210AB7">
        <w:t xml:space="preserve">The Halo Law, passed under </w:t>
      </w:r>
      <w:r w:rsidRPr="00210AB7">
        <w:rPr>
          <w:b/>
        </w:rPr>
        <w:t>House Bill 184</w:t>
      </w:r>
      <w:r w:rsidRPr="00210AB7">
        <w:t xml:space="preserve">, was signed into law by Governor Ron DeSantis in April 2024. It establishes a </w:t>
      </w:r>
      <w:r w:rsidRPr="00210AB7">
        <w:rPr>
          <w:b/>
        </w:rPr>
        <w:t>25-foot no-approach zone</w:t>
      </w:r>
      <w:r w:rsidRPr="00210AB7">
        <w:t xml:space="preserve"> around first responders engaged in their official duties. If someone is verbally warned to stay back and continues to approach within this zone, they could face penalties, including fines and potential jail time.</w:t>
      </w:r>
    </w:p>
    <w:p w14:paraId="692CCDA3" w14:textId="77777777" w:rsidR="00956699" w:rsidRPr="00210AB7" w:rsidRDefault="00956699" w:rsidP="00956699">
      <w:pPr>
        <w:pStyle w:val="NoSpacing"/>
        <w:ind w:left="720"/>
      </w:pPr>
      <w:r w:rsidRPr="00210AB7">
        <w:t>Sheriff Grady Judd of Polk County has been a vocal advocate for the law, emphasizing that it does not restrict the public’s right to record first responders but aims to prevent interference or harassment while they work.</w:t>
      </w:r>
      <w:r>
        <w:t xml:space="preserve"> </w:t>
      </w:r>
      <w:hyperlink r:id="rId416" w:history="1">
        <w:r w:rsidRPr="00FF51FB">
          <w:rPr>
            <w:rStyle w:val="Hyperlink"/>
          </w:rPr>
          <w:t>https://www.muscalaw.com/blog/understanding-floridas-new-halo-law-and-its-impact-first-amendment-rights</w:t>
        </w:r>
      </w:hyperlink>
      <w:r>
        <w:t xml:space="preserve"> </w:t>
      </w:r>
    </w:p>
    <w:p w14:paraId="76D9D0C3" w14:textId="77777777" w:rsidR="00956699" w:rsidRDefault="00956699" w:rsidP="00956699">
      <w:pPr>
        <w:pStyle w:val="NoSpacing"/>
      </w:pPr>
    </w:p>
    <w:p w14:paraId="1D2AADEC" w14:textId="77777777" w:rsidR="00956699" w:rsidRDefault="00956699" w:rsidP="00956699">
      <w:pPr>
        <w:pStyle w:val="NoSpacing"/>
      </w:pPr>
    </w:p>
    <w:p w14:paraId="095EEB90" w14:textId="77777777" w:rsidR="00956699" w:rsidRDefault="00956699" w:rsidP="00956699">
      <w:pPr>
        <w:pStyle w:val="NoSpacing"/>
        <w:ind w:left="720"/>
        <w:rPr>
          <w:b/>
        </w:rPr>
      </w:pPr>
      <w:r>
        <w:t xml:space="preserve">See also: ACLU of Florida: </w:t>
      </w:r>
      <w:r w:rsidRPr="00F41534">
        <w:t>HB 75/SB 184 - Criminalizing Bystanders for Exercising First Amendment Rights</w:t>
      </w:r>
      <w:r>
        <w:t xml:space="preserve">. </w:t>
      </w:r>
      <w:r w:rsidRPr="00910752">
        <w:rPr>
          <w:b/>
        </w:rPr>
        <w:t xml:space="preserve"> </w:t>
      </w:r>
      <w:hyperlink r:id="rId417" w:history="1">
        <w:r w:rsidRPr="00FF51FB">
          <w:rPr>
            <w:rStyle w:val="Hyperlink"/>
            <w:b/>
          </w:rPr>
          <w:t>https://www.aclufl.org/legislation/hb-75sb-184-criminalizing-bystanders-exercising-first-amendment-rights/</w:t>
        </w:r>
      </w:hyperlink>
      <w:r>
        <w:rPr>
          <w:b/>
        </w:rPr>
        <w:t xml:space="preserve"> </w:t>
      </w:r>
    </w:p>
    <w:p w14:paraId="197FA8F7" w14:textId="77777777" w:rsidR="00956699" w:rsidRDefault="00956699" w:rsidP="00956699">
      <w:pPr>
        <w:pStyle w:val="NoSpacing"/>
        <w:rPr>
          <w:b/>
        </w:rPr>
      </w:pPr>
    </w:p>
    <w:p w14:paraId="5181C14E" w14:textId="77777777" w:rsidR="00956699" w:rsidRDefault="00956699" w:rsidP="00956699">
      <w:pPr>
        <w:pStyle w:val="NoSpacing"/>
      </w:pPr>
    </w:p>
    <w:p w14:paraId="01111E9F" w14:textId="77777777" w:rsidR="00956699" w:rsidRDefault="00956699" w:rsidP="00646EE3">
      <w:pPr>
        <w:rPr>
          <w:rFonts w:ascii="Arial Black" w:hAnsi="Arial Black"/>
          <w:sz w:val="24"/>
          <w:szCs w:val="24"/>
        </w:rPr>
      </w:pPr>
    </w:p>
    <w:p w14:paraId="55FD9BFD" w14:textId="452D4E55" w:rsidR="0082202A" w:rsidRDefault="00A84727" w:rsidP="00646EE3">
      <w:pPr>
        <w:rPr>
          <w:rFonts w:ascii="Arial Black" w:hAnsi="Arial Black"/>
          <w:sz w:val="24"/>
          <w:szCs w:val="24"/>
        </w:rPr>
      </w:pPr>
      <w:r>
        <w:rPr>
          <w:rFonts w:ascii="Arial Black" w:hAnsi="Arial Black"/>
          <w:sz w:val="24"/>
          <w:szCs w:val="24"/>
        </w:rPr>
        <w:t>2-</w:t>
      </w:r>
      <w:r w:rsidR="008963C8">
        <w:rPr>
          <w:rFonts w:ascii="Arial Black" w:hAnsi="Arial Black"/>
          <w:sz w:val="24"/>
          <w:szCs w:val="24"/>
        </w:rPr>
        <w:t>98</w:t>
      </w:r>
    </w:p>
    <w:p w14:paraId="70297D16" w14:textId="0F151088" w:rsidR="00A84727" w:rsidRPr="00AB2E2B" w:rsidRDefault="00A84727" w:rsidP="00A84727">
      <w:pPr>
        <w:rPr>
          <w:rFonts w:ascii="Arial Black" w:hAnsi="Arial Black"/>
          <w:bCs/>
          <w:sz w:val="28"/>
          <w:szCs w:val="28"/>
        </w:rPr>
      </w:pPr>
      <w:r>
        <w:rPr>
          <w:rFonts w:ascii="Arial Black" w:hAnsi="Arial Black"/>
          <w:sz w:val="28"/>
          <w:szCs w:val="28"/>
        </w:rPr>
        <w:t xml:space="preserve">CT: RUN </w:t>
      </w:r>
      <w:r w:rsidR="00A44AF2">
        <w:rPr>
          <w:rFonts w:ascii="Arial Black" w:hAnsi="Arial Black"/>
          <w:sz w:val="28"/>
          <w:szCs w:val="28"/>
        </w:rPr>
        <w:t xml:space="preserve">FOR </w:t>
      </w:r>
      <w:r>
        <w:rPr>
          <w:rFonts w:ascii="Arial Black" w:hAnsi="Arial Black"/>
          <w:sz w:val="28"/>
          <w:szCs w:val="28"/>
        </w:rPr>
        <w:t>SMOKE</w:t>
      </w:r>
      <w:r w:rsidR="00A44AF2">
        <w:rPr>
          <w:rFonts w:ascii="Arial Black" w:hAnsi="Arial Black"/>
          <w:sz w:val="28"/>
          <w:szCs w:val="28"/>
        </w:rPr>
        <w:t xml:space="preserve"> AREA</w:t>
      </w:r>
      <w:r>
        <w:rPr>
          <w:rFonts w:ascii="Arial Black" w:hAnsi="Arial Black"/>
          <w:sz w:val="28"/>
          <w:szCs w:val="28"/>
        </w:rPr>
        <w:t xml:space="preserve"> – THREAT TO SHOOT FF - 14 MONTHS </w:t>
      </w:r>
    </w:p>
    <w:p w14:paraId="02B0B01A" w14:textId="77777777" w:rsidR="00A84727" w:rsidRDefault="00A84727" w:rsidP="00A84727">
      <w:r>
        <w:t xml:space="preserve">On December 23, 2025, in </w:t>
      </w:r>
      <w:r w:rsidRPr="00CA0F9D">
        <w:rPr>
          <w:u w:val="single"/>
        </w:rPr>
        <w:t>State of Connecticut v. David Valle</w:t>
      </w:r>
      <w:r>
        <w:t xml:space="preserve">, the Court of Appeals of Connecticut held (3 to 0) that jury properly found homeowner guilty of one count of threatening in the second degree, and one count of interfering with an officer, and two counts of cruelty to animals. The defendant “got right into [Captain’s] face’’ and said that the shed was his smokehouse, that he was smoking a deer inside of it, and that he would ‘put a bullet in every one of [the firefighters’] heads if [they] didn’t get off his property.’ </w:t>
      </w:r>
      <w:hyperlink r:id="rId418" w:history="1">
        <w:r w:rsidRPr="003C581C">
          <w:rPr>
            <w:rStyle w:val="Hyperlink"/>
            <w:b/>
          </w:rPr>
          <w:t>https://cases.justia.com/connecticut/court-of-appeals/2025-ac46735.pdf?ts=1766582340</w:t>
        </w:r>
      </w:hyperlink>
    </w:p>
    <w:p w14:paraId="4F6099B4" w14:textId="77777777" w:rsidR="00A84727" w:rsidRDefault="00A84727" w:rsidP="00A84727">
      <w:r>
        <w:lastRenderedPageBreak/>
        <w:t>THE COURT HELD:</w:t>
      </w:r>
    </w:p>
    <w:p w14:paraId="47F57A70" w14:textId="77777777" w:rsidR="00A84727" w:rsidRPr="002E2696" w:rsidRDefault="00A84727" w:rsidP="00A84727">
      <w:pPr>
        <w:pStyle w:val="NoSpacing"/>
        <w:ind w:left="720"/>
      </w:pPr>
      <w:r>
        <w:t>“</w:t>
      </w:r>
      <w:r w:rsidRPr="002E2696">
        <w:t>On the evening of December 1, 2020, the Bridgeport Fire Department (fire department) was dispatched</w:t>
      </w:r>
      <w:r>
        <w:t xml:space="preserve"> </w:t>
      </w:r>
      <w:r w:rsidRPr="002E2696">
        <w:t>to the vicinity of Wayne Street following a report of</w:t>
      </w:r>
      <w:r>
        <w:t xml:space="preserve"> </w:t>
      </w:r>
      <w:r w:rsidRPr="002E2696">
        <w:t>smoke in the area. The responding firefighters noticed</w:t>
      </w:r>
      <w:r>
        <w:t xml:space="preserve"> </w:t>
      </w:r>
      <w:r w:rsidRPr="002E2696">
        <w:t>smoke coming from behind a stockade fence at 675</w:t>
      </w:r>
    </w:p>
    <w:p w14:paraId="2F6708AF" w14:textId="77777777" w:rsidR="00A84727" w:rsidRDefault="00A84727" w:rsidP="00A84727">
      <w:pPr>
        <w:pStyle w:val="NoSpacing"/>
        <w:ind w:left="720"/>
      </w:pPr>
      <w:r w:rsidRPr="002E2696">
        <w:t>Wayne Street. Scott Boris, then a captain with the fire</w:t>
      </w:r>
      <w:r>
        <w:t xml:space="preserve"> </w:t>
      </w:r>
      <w:r w:rsidRPr="002E2696">
        <w:t>department, entered the property to investigate and</w:t>
      </w:r>
      <w:r>
        <w:t xml:space="preserve"> </w:t>
      </w:r>
      <w:r w:rsidRPr="002E2696">
        <w:t xml:space="preserve">saw a three-sided </w:t>
      </w:r>
      <w:proofErr w:type="gramStart"/>
      <w:r w:rsidRPr="002E2696">
        <w:t>shed</w:t>
      </w:r>
      <w:r>
        <w:t xml:space="preserve"> </w:t>
      </w:r>
      <w:r w:rsidRPr="002E2696">
        <w:t>like</w:t>
      </w:r>
      <w:proofErr w:type="gramEnd"/>
      <w:r w:rsidRPr="002E2696">
        <w:t xml:space="preserve"> structure aflame with smoke</w:t>
      </w:r>
      <w:r>
        <w:t xml:space="preserve"> </w:t>
      </w:r>
      <w:r w:rsidRPr="002E2696">
        <w:t>billowing from the top. When Boris opened the gate to</w:t>
      </w:r>
      <w:r>
        <w:t xml:space="preserve"> </w:t>
      </w:r>
      <w:r w:rsidRPr="002E2696">
        <w:t xml:space="preserve">the fence, a ‘‘tiny and </w:t>
      </w:r>
      <w:proofErr w:type="gramStart"/>
      <w:r w:rsidRPr="002E2696">
        <w:t>frail,’</w:t>
      </w:r>
      <w:proofErr w:type="gramEnd"/>
      <w:r w:rsidRPr="002E2696">
        <w:t xml:space="preserve">’ ‘‘unhealthy </w:t>
      </w:r>
      <w:proofErr w:type="gramStart"/>
      <w:r w:rsidRPr="002E2696">
        <w:t>looking’’</w:t>
      </w:r>
      <w:proofErr w:type="gramEnd"/>
      <w:r w:rsidRPr="002E2696">
        <w:t xml:space="preserve"> dog,</w:t>
      </w:r>
      <w:r>
        <w:t xml:space="preserve"> </w:t>
      </w:r>
      <w:r w:rsidRPr="002E2696">
        <w:t>later identified as Sheeba, ran toward him. Boris also</w:t>
      </w:r>
      <w:r>
        <w:t xml:space="preserve"> </w:t>
      </w:r>
      <w:r w:rsidRPr="002E2696">
        <w:t>noticed a kennel behind the shed with another</w:t>
      </w:r>
      <w:r>
        <w:t xml:space="preserve"> </w:t>
      </w:r>
      <w:proofErr w:type="gramStart"/>
      <w:r w:rsidRPr="002E2696">
        <w:t>unhealthy looking</w:t>
      </w:r>
      <w:proofErr w:type="gramEnd"/>
      <w:r w:rsidRPr="002E2696">
        <w:t xml:space="preserve"> dog, later identified as Honey,</w:t>
      </w:r>
      <w:r>
        <w:t xml:space="preserve"> </w:t>
      </w:r>
      <w:r w:rsidRPr="002E2696">
        <w:t>locked inside.</w:t>
      </w:r>
      <w:r>
        <w:t xml:space="preserve"> </w:t>
      </w:r>
      <w:r w:rsidRPr="002E2696">
        <w:t>As the fire department was attempting to extinguish</w:t>
      </w:r>
      <w:r>
        <w:t xml:space="preserve"> </w:t>
      </w:r>
      <w:r w:rsidRPr="002E2696">
        <w:t>the fire, a man exited the residence and told Boris</w:t>
      </w:r>
      <w:r>
        <w:t xml:space="preserve"> </w:t>
      </w:r>
      <w:r w:rsidRPr="002E2696">
        <w:t>that he was burning wood and did not want the fire</w:t>
      </w:r>
      <w:r>
        <w:t xml:space="preserve"> </w:t>
      </w:r>
      <w:r w:rsidRPr="002E2696">
        <w:t>extinguished. Boris explained to the man that a Bridgeport city ordinance prohibited such fires and that the</w:t>
      </w:r>
      <w:r>
        <w:t xml:space="preserve"> </w:t>
      </w:r>
      <w:r w:rsidRPr="002E2696">
        <w:t>fire department was required to extinguish it. The man</w:t>
      </w:r>
      <w:r>
        <w:t xml:space="preserve"> </w:t>
      </w:r>
      <w:r w:rsidRPr="002E2696">
        <w:t xml:space="preserve">went back inside the </w:t>
      </w:r>
      <w:proofErr w:type="gramStart"/>
      <w:r w:rsidRPr="002E2696">
        <w:t>house</w:t>
      </w:r>
      <w:proofErr w:type="gramEnd"/>
      <w:r w:rsidRPr="002E2696">
        <w:t xml:space="preserve"> and Boris called the Bridgeport Police Department (police department) for assistance. A short time later, the same man came back</w:t>
      </w:r>
      <w:r>
        <w:t xml:space="preserve"> </w:t>
      </w:r>
      <w:r w:rsidRPr="002E2696">
        <w:t xml:space="preserve">outside </w:t>
      </w:r>
      <w:proofErr w:type="gramStart"/>
      <w:r w:rsidRPr="002E2696">
        <w:t>and,</w:t>
      </w:r>
      <w:proofErr w:type="gramEnd"/>
      <w:r w:rsidRPr="002E2696">
        <w:t xml:space="preserve"> now agitated and yelling, told Boris that</w:t>
      </w:r>
      <w:r>
        <w:t xml:space="preserve"> </w:t>
      </w:r>
      <w:r w:rsidRPr="002E2696">
        <w:t>the homeowner was on his way and wanted the fire</w:t>
      </w:r>
      <w:r>
        <w:t xml:space="preserve"> </w:t>
      </w:r>
      <w:r w:rsidRPr="002E2696">
        <w:t>department off the property.</w:t>
      </w:r>
    </w:p>
    <w:p w14:paraId="1EC4EDEE" w14:textId="77777777" w:rsidR="00A84727" w:rsidRDefault="00A84727" w:rsidP="00A84727">
      <w:pPr>
        <w:pStyle w:val="NoSpacing"/>
      </w:pPr>
    </w:p>
    <w:p w14:paraId="03E87A76" w14:textId="77777777" w:rsidR="00A84727" w:rsidRDefault="00A84727" w:rsidP="00A84727">
      <w:pPr>
        <w:pStyle w:val="NoSpacing"/>
        <w:ind w:left="720"/>
      </w:pPr>
      <w:r>
        <w:t xml:space="preserve">Shortly thereafter, the defendant drove at a high rate of speed toward the residence, slammed on his brakes, jumped out of the vehicle, and charged toward the firefighters. The </w:t>
      </w:r>
      <w:proofErr w:type="gramStart"/>
      <w:r>
        <w:t>defendant ‘’</w:t>
      </w:r>
      <w:proofErr w:type="gramEnd"/>
      <w:r>
        <w:t xml:space="preserve">got right into [Boris’] </w:t>
      </w:r>
      <w:proofErr w:type="gramStart"/>
      <w:r>
        <w:t>face’’’</w:t>
      </w:r>
      <w:proofErr w:type="gramEnd"/>
      <w:r>
        <w:t xml:space="preserve"> and said that the shed was his smokehouse, that he was smoking a deer inside of it, and that he would ‘put a bullet in every one of [the firefighters’] heads if [they] didn’t get off his property.’ The defendant also attempted to pull the hose away from the firefighters as they attempted to extinguish the fire. While the confrontation between the defendant and the firefighters was ongoing, the police arrived and detained the defendant. During the ensuing investigation, Hiram Velez, a fire inspector for the city of Bridgeport, found three deceased dogs inside the shed amidst a pile of burned trash and other debris. </w:t>
      </w:r>
    </w:p>
    <w:p w14:paraId="08AEC0C9" w14:textId="77777777" w:rsidR="00A84727" w:rsidRDefault="00A84727" w:rsidP="00A84727">
      <w:pPr>
        <w:pStyle w:val="NoSpacing"/>
        <w:ind w:left="720"/>
      </w:pPr>
    </w:p>
    <w:p w14:paraId="3326902C" w14:textId="77777777" w:rsidR="00A84727" w:rsidRDefault="00A84727" w:rsidP="00A84727">
      <w:pPr>
        <w:pStyle w:val="NoSpacing"/>
        <w:ind w:left="720"/>
      </w:pPr>
      <w:r>
        <w:t>***</w:t>
      </w:r>
    </w:p>
    <w:p w14:paraId="6975C7D1" w14:textId="77777777" w:rsidR="00A84727" w:rsidRDefault="00A84727" w:rsidP="00A84727">
      <w:pPr>
        <w:pStyle w:val="NoSpacing"/>
        <w:ind w:left="720"/>
      </w:pPr>
    </w:p>
    <w:p w14:paraId="667F82FA" w14:textId="77777777" w:rsidR="00A84727" w:rsidRDefault="00A84727" w:rsidP="00A84727">
      <w:pPr>
        <w:ind w:left="720"/>
        <w:rPr>
          <w:b/>
        </w:rPr>
      </w:pPr>
      <w:r w:rsidRPr="004B50B7">
        <w:t>On July 14, 2023, the court imposed a total</w:t>
      </w:r>
      <w:r>
        <w:t xml:space="preserve"> </w:t>
      </w:r>
      <w:r w:rsidRPr="004B50B7">
        <w:t>effective sentence of 1456 days of incarceration, execution suspended after fourteen months, followed by</w:t>
      </w:r>
      <w:r>
        <w:t xml:space="preserve"> </w:t>
      </w:r>
      <w:r w:rsidRPr="004B50B7">
        <w:t>three years of probation. This appeal followed.</w:t>
      </w:r>
      <w:r>
        <w:t xml:space="preserve">” </w:t>
      </w:r>
    </w:p>
    <w:p w14:paraId="44D099CB" w14:textId="77777777" w:rsidR="00A84727" w:rsidRDefault="00A84727" w:rsidP="00A84727">
      <w:pPr>
        <w:rPr>
          <w:b/>
        </w:rPr>
      </w:pPr>
      <w:r>
        <w:rPr>
          <w:b/>
        </w:rPr>
        <w:t xml:space="preserve">Legal lesson learned: FD Captain wisely called police when the resident became belligerent; when the owner of home threatened to </w:t>
      </w:r>
      <w:proofErr w:type="gramStart"/>
      <w:r>
        <w:rPr>
          <w:b/>
        </w:rPr>
        <w:t>shot</w:t>
      </w:r>
      <w:proofErr w:type="gramEnd"/>
      <w:r>
        <w:rPr>
          <w:b/>
        </w:rPr>
        <w:t xml:space="preserve"> firefighters, police were there to make a prompt arrest.  </w:t>
      </w:r>
    </w:p>
    <w:p w14:paraId="11A8ECF2" w14:textId="77777777" w:rsidR="00A84727" w:rsidRDefault="00A84727" w:rsidP="00A84727">
      <w:pPr>
        <w:ind w:left="720"/>
      </w:pPr>
      <w:r>
        <w:t xml:space="preserve">Note:  The trial court judge dismissed some counts at close of prosecution’s case.  “The defendant argued that it was undisputed that he was not on the property when the fire was discovered and that there was not sufficient evidence to support a finding beyond a reasonable doubt that he started the fire or that he had any connection to the three deceased dogs that were found in the shed.”  All the photos and other exhibits were provided to jury.  Defense failed to object to specific evidence being excluded. </w:t>
      </w:r>
    </w:p>
    <w:p w14:paraId="1896BE7B" w14:textId="77777777" w:rsidR="00A84727" w:rsidRDefault="00A84727" w:rsidP="00A84727">
      <w:pPr>
        <w:pStyle w:val="NoSpacing"/>
      </w:pPr>
    </w:p>
    <w:p w14:paraId="05808F3A" w14:textId="77777777" w:rsidR="00A84727" w:rsidRDefault="00A84727" w:rsidP="00646EE3">
      <w:pPr>
        <w:rPr>
          <w:rFonts w:ascii="Arial Black" w:hAnsi="Arial Black"/>
          <w:sz w:val="24"/>
          <w:szCs w:val="24"/>
        </w:rPr>
      </w:pPr>
    </w:p>
    <w:p w14:paraId="6A847CA2" w14:textId="77777777" w:rsidR="0082202A" w:rsidRDefault="0082202A" w:rsidP="00646EE3">
      <w:pPr>
        <w:rPr>
          <w:rFonts w:ascii="Arial Black" w:hAnsi="Arial Black"/>
          <w:sz w:val="24"/>
          <w:szCs w:val="24"/>
        </w:rPr>
      </w:pPr>
    </w:p>
    <w:p w14:paraId="70BF0A0D" w14:textId="7D561585" w:rsidR="00F039D1" w:rsidRDefault="00F039D1" w:rsidP="00646EE3">
      <w:pPr>
        <w:rPr>
          <w:rFonts w:ascii="Arial Black" w:hAnsi="Arial Black"/>
          <w:sz w:val="24"/>
          <w:szCs w:val="24"/>
        </w:rPr>
      </w:pPr>
      <w:r>
        <w:rPr>
          <w:rFonts w:ascii="Arial Black" w:hAnsi="Arial Black"/>
          <w:sz w:val="24"/>
          <w:szCs w:val="24"/>
        </w:rPr>
        <w:t>2-97</w:t>
      </w:r>
    </w:p>
    <w:p w14:paraId="739C4F01" w14:textId="77777777" w:rsidR="00F039D1" w:rsidRPr="00853198" w:rsidRDefault="00F039D1" w:rsidP="00F039D1">
      <w:pPr>
        <w:rPr>
          <w:rFonts w:ascii="Arial Black" w:hAnsi="Arial Black"/>
          <w:b/>
          <w:sz w:val="28"/>
          <w:szCs w:val="28"/>
        </w:rPr>
      </w:pPr>
      <w:r>
        <w:rPr>
          <w:rFonts w:ascii="Arial Black" w:hAnsi="Arial Black"/>
          <w:b/>
          <w:sz w:val="28"/>
          <w:szCs w:val="28"/>
        </w:rPr>
        <w:t>NY: ARSONIST –- 1994 LODD – MUST STAY PRISON 43 YRS</w:t>
      </w:r>
    </w:p>
    <w:p w14:paraId="4E8FD6CB" w14:textId="77777777" w:rsidR="00F039D1" w:rsidRDefault="00F039D1" w:rsidP="00F039D1">
      <w:pPr>
        <w:rPr>
          <w:b/>
        </w:rPr>
      </w:pPr>
      <w:r>
        <w:t xml:space="preserve">On November 25, 2025, in </w:t>
      </w:r>
      <w:r w:rsidRPr="00461D2E">
        <w:rPr>
          <w:u w:val="single"/>
        </w:rPr>
        <w:t>United States of America v. Alberto Raposo</w:t>
      </w:r>
      <w:r>
        <w:t>, U.S. District Court Judge John P. Cronan, United States District Court for the Southern District of New York, denied the prisoner’s third motion for sentence reduction; he must serve out his sentence of 524 months.   THE COURT WROTE: “</w:t>
      </w:r>
      <w:r w:rsidRPr="003133EB">
        <w:t xml:space="preserve">On June 5, 1994, Defendant Alberto Raposo set fire </w:t>
      </w:r>
      <w:r w:rsidRPr="003133EB">
        <w:lastRenderedPageBreak/>
        <w:t>to a Manhattan building after a fight with his roommates. Waiting until his roommates were inside, Raposo ignited fires in front of the building's front door and in the subcellar, lobby, and second and fourth floors</w:t>
      </w:r>
      <w:r>
        <w:t xml:space="preserve">…. </w:t>
      </w:r>
      <w:r w:rsidRPr="003133EB">
        <w:t>He then poured oil on the stairs and on the fire escapes, locked the front door even though he had the only key, and removed wires to disable the building's fire alarm</w:t>
      </w:r>
      <w:r>
        <w:t xml:space="preserve">…. </w:t>
      </w:r>
      <w:r w:rsidRPr="003133EB">
        <w:t xml:space="preserve"> Miraculously, Raposo's roommates survived, but New York City Fire Department Lieutenant George Lener died from carbon monoxide poisoning after he bravely responded to the scene.</w:t>
      </w:r>
      <w:r>
        <w:t xml:space="preserve"> *** </w:t>
      </w:r>
      <w:r w:rsidRPr="00853198">
        <w:t>Because of Raposo's actions, a firefighter of fifteen years, a husband, and a father of three young children lost his life</w:t>
      </w:r>
      <w:r>
        <w:t xml:space="preserve">…. </w:t>
      </w:r>
      <w:r w:rsidRPr="00853198">
        <w:t>So although Raposo was young when he committed his crime</w:t>
      </w:r>
      <w:r>
        <w:t xml:space="preserve"> [age 22]</w:t>
      </w:r>
      <w:r w:rsidRPr="00853198">
        <w:t>, received a lengthy sentence for his offense, and appears to have made the most of his time in custody by engaging in rehabilitation efforts, the Court remains convinced that a sentence reduction is not warranted.</w:t>
      </w:r>
      <w:r>
        <w:t>”</w:t>
      </w:r>
      <w:r w:rsidRPr="007612B9">
        <w:t xml:space="preserve"> </w:t>
      </w:r>
      <w:hyperlink r:id="rId419" w:history="1">
        <w:r w:rsidRPr="00A550B3">
          <w:rPr>
            <w:rStyle w:val="Hyperlink"/>
            <w:b/>
          </w:rPr>
          <w:t>https://public.fastcase.com/jaEE2PXzRXmZ99jOLMt1ItgJpO3cenZHWG8%2BVkmKxH1HTTAbABiD6rHSJp3pZ1gN%2FmUtcGj1MYmfK4vUiVXj%2F7KJALcf9RQ89nZBN4g9WoM%3D?utm_medium=email&amp;_hsenc=p2ANqtz-8GKw_r7YMLn5ao1TZxs4WqNRhri-535W3eCNA3JduD9CnJg4Ez99C9vjqiY3t5lfrKsWh0EQkMPqhDg1IfFNoFLO22ZQ&amp;_hsmi=226712652&amp;utm_content=226712652&amp;utm_source=hs_email</w:t>
        </w:r>
      </w:hyperlink>
      <w:r>
        <w:rPr>
          <w:b/>
        </w:rPr>
        <w:t xml:space="preserve"> </w:t>
      </w:r>
    </w:p>
    <w:p w14:paraId="7F300647" w14:textId="77777777" w:rsidR="00F039D1" w:rsidRPr="00390FA3" w:rsidRDefault="00F039D1" w:rsidP="00F039D1">
      <w:pPr>
        <w:rPr>
          <w:bCs/>
        </w:rPr>
      </w:pPr>
      <w:r w:rsidRPr="00390FA3">
        <w:t>THE COURT HELD:</w:t>
      </w:r>
    </w:p>
    <w:p w14:paraId="706DDE81" w14:textId="77777777" w:rsidR="00F039D1" w:rsidRDefault="00F039D1" w:rsidP="00F039D1">
      <w:pPr>
        <w:ind w:left="720"/>
      </w:pPr>
      <w:r>
        <w:t>“</w:t>
      </w:r>
      <w:r w:rsidRPr="00CA78AD">
        <w:t>Following a jury trial, Raposo was found guilty on February 9, 1999, of committing arson of property used in interstate commerce, with death resulting</w:t>
      </w:r>
      <w:r>
        <w:t xml:space="preserve">…. </w:t>
      </w:r>
      <w:r w:rsidRPr="00CA78AD">
        <w:t xml:space="preserve"> On June 8, 1999, the Honorable Deborah A. Batts sentenced Raposo to 524 months of imprisonment followed by five years of supervised release</w:t>
      </w:r>
      <w:r>
        <w:t xml:space="preserve">…. </w:t>
      </w:r>
      <w:r w:rsidRPr="00CA78AD">
        <w:t xml:space="preserve">Raposo is currently incarcerated at the Federal Correctional Institution in Danbury, Connecticut, with a projected release date of June 13, </w:t>
      </w:r>
      <w:r>
        <w:t xml:space="preserve">[2033]. </w:t>
      </w:r>
      <w:r w:rsidRPr="00CA78AD">
        <w:rPr>
          <w:i/>
          <w:iCs/>
        </w:rPr>
        <w:t>See</w:t>
      </w:r>
      <w:r w:rsidRPr="00CA78AD">
        <w:t xml:space="preserve"> Federal Bureau of Prisons, Find an Inmate, https://www.bop.gov/inmateloc/ (last visited Nov. 24, 2025).</w:t>
      </w:r>
      <w:r>
        <w:t xml:space="preserve">” </w:t>
      </w:r>
    </w:p>
    <w:p w14:paraId="41FDFFDC" w14:textId="77777777" w:rsidR="00F039D1" w:rsidRPr="00734B1E" w:rsidRDefault="00F039D1" w:rsidP="00F039D1">
      <w:pPr>
        <w:rPr>
          <w:b/>
          <w:bCs/>
        </w:rPr>
      </w:pPr>
      <w:r w:rsidRPr="00734B1E">
        <w:rPr>
          <w:b/>
        </w:rPr>
        <w:t>Legal lesson learned:</w:t>
      </w:r>
      <w:r>
        <w:rPr>
          <w:b/>
        </w:rPr>
        <w:t xml:space="preserve"> Prisoner will serve full time for the death of a firefighter. </w:t>
      </w:r>
    </w:p>
    <w:p w14:paraId="6908045D" w14:textId="77777777" w:rsidR="00F039D1" w:rsidRDefault="00F039D1" w:rsidP="00646EE3">
      <w:pPr>
        <w:rPr>
          <w:rFonts w:ascii="Arial Black" w:hAnsi="Arial Black"/>
          <w:sz w:val="24"/>
          <w:szCs w:val="24"/>
        </w:rPr>
      </w:pPr>
    </w:p>
    <w:p w14:paraId="29B24A79" w14:textId="77777777" w:rsidR="00F039D1" w:rsidRDefault="00F039D1" w:rsidP="00646EE3">
      <w:pPr>
        <w:rPr>
          <w:rFonts w:ascii="Arial Black" w:hAnsi="Arial Black"/>
          <w:sz w:val="24"/>
          <w:szCs w:val="24"/>
        </w:rPr>
      </w:pPr>
    </w:p>
    <w:p w14:paraId="1FC8C9C1" w14:textId="77777777" w:rsidR="00F039D1" w:rsidRDefault="00F039D1" w:rsidP="00646EE3">
      <w:pPr>
        <w:rPr>
          <w:rFonts w:ascii="Arial Black" w:hAnsi="Arial Black"/>
          <w:sz w:val="24"/>
          <w:szCs w:val="24"/>
        </w:rPr>
      </w:pPr>
    </w:p>
    <w:p w14:paraId="56E61D23" w14:textId="37DFCD03" w:rsidR="001D5809" w:rsidRDefault="00161ED7" w:rsidP="00646EE3">
      <w:pPr>
        <w:rPr>
          <w:rFonts w:ascii="Arial Black" w:hAnsi="Arial Black"/>
          <w:sz w:val="24"/>
          <w:szCs w:val="24"/>
        </w:rPr>
      </w:pPr>
      <w:r>
        <w:rPr>
          <w:rFonts w:ascii="Arial Black" w:hAnsi="Arial Black"/>
          <w:sz w:val="24"/>
          <w:szCs w:val="24"/>
        </w:rPr>
        <w:t>2-9</w:t>
      </w:r>
      <w:r w:rsidR="0099399D">
        <w:rPr>
          <w:rFonts w:ascii="Arial Black" w:hAnsi="Arial Black"/>
          <w:sz w:val="24"/>
          <w:szCs w:val="24"/>
        </w:rPr>
        <w:t>6</w:t>
      </w:r>
    </w:p>
    <w:p w14:paraId="3171DC16" w14:textId="1D2D381C" w:rsidR="001D5809" w:rsidRPr="00FF5E77" w:rsidRDefault="001D5809" w:rsidP="001D5809">
      <w:pPr>
        <w:pStyle w:val="NoSpacing"/>
        <w:rPr>
          <w:rFonts w:ascii="Arial Black" w:hAnsi="Arial Black"/>
          <w:b/>
          <w:sz w:val="28"/>
          <w:szCs w:val="28"/>
        </w:rPr>
      </w:pPr>
      <w:r>
        <w:rPr>
          <w:rFonts w:ascii="Arial Black" w:hAnsi="Arial Black"/>
          <w:b/>
          <w:sz w:val="28"/>
          <w:szCs w:val="28"/>
        </w:rPr>
        <w:t xml:space="preserve">MN: </w:t>
      </w:r>
      <w:r w:rsidR="00120DAE">
        <w:rPr>
          <w:rFonts w:ascii="Arial Black" w:hAnsi="Arial Black"/>
          <w:b/>
          <w:sz w:val="28"/>
          <w:szCs w:val="28"/>
        </w:rPr>
        <w:t xml:space="preserve">OFF-DUTY FF </w:t>
      </w:r>
      <w:r>
        <w:rPr>
          <w:rFonts w:ascii="Arial Black" w:hAnsi="Arial Black"/>
          <w:b/>
          <w:sz w:val="28"/>
          <w:szCs w:val="28"/>
        </w:rPr>
        <w:t xml:space="preserve">- PUNCHED IN FACE – “ROAD RAGE”  </w:t>
      </w:r>
    </w:p>
    <w:p w14:paraId="7814F2CF" w14:textId="77777777" w:rsidR="001D5809" w:rsidRDefault="001D5809" w:rsidP="001D5809">
      <w:pPr>
        <w:pStyle w:val="NoSpacing"/>
        <w:rPr>
          <w:b/>
        </w:rPr>
      </w:pPr>
    </w:p>
    <w:p w14:paraId="56B3DF97" w14:textId="77777777" w:rsidR="001D5809" w:rsidRDefault="001D5809" w:rsidP="001D5809">
      <w:pPr>
        <w:pStyle w:val="NoSpacing"/>
        <w:rPr>
          <w:b/>
        </w:rPr>
      </w:pPr>
      <w:r w:rsidRPr="000C0FAB">
        <w:t xml:space="preserve">On October 21, 2025, in </w:t>
      </w:r>
      <w:r w:rsidRPr="00F2361B">
        <w:rPr>
          <w:u w:val="single"/>
        </w:rPr>
        <w:t>State of Montana v. Jeffrey W. Burrington</w:t>
      </w:r>
      <w:r>
        <w:t xml:space="preserve">, the Supreme Court of Montana held (5 to 0) that jury properly convicted the defendant of Aggravated Assault of Ryan Williams. The Trial Court judge sentenced him to seven years, but all suspended.  The firefighter (a smoke jumper) pulled over when the defendant was “tailgating” him and then was punched in the face – fractured </w:t>
      </w:r>
      <w:r w:rsidRPr="00B31A1C">
        <w:t>mandible</w:t>
      </w:r>
      <w:r>
        <w:t xml:space="preserve">.  The jury rejected the defense that Burrington was particularly fearful for being involved with two prior “road range” incidents -  his wife testified about 1987 incident (person pulled a gun on he and his wife); 2023 (a driver </w:t>
      </w:r>
      <w:r w:rsidRPr="007B0A97">
        <w:t>brandished a machete</w:t>
      </w:r>
      <w:r>
        <w:t xml:space="preserve"> at his wife).  The trial court would not allow prosecution to tell jury about third incident:  2017 (he pled guilty to disorderly conduct after he </w:t>
      </w:r>
      <w:r w:rsidRPr="008376FD">
        <w:t>punched one of the</w:t>
      </w:r>
      <w:r>
        <w:t xml:space="preserve"> </w:t>
      </w:r>
      <w:r w:rsidRPr="008376FD">
        <w:t>motorcyclists</w:t>
      </w:r>
      <w:r>
        <w:t xml:space="preserve"> where a group of bikers were </w:t>
      </w:r>
      <w:r w:rsidRPr="00490EEB">
        <w:t>“boxing in” his car</w:t>
      </w:r>
      <w:r>
        <w:t>)</w:t>
      </w:r>
      <w:r w:rsidRPr="00490EEB">
        <w:t>.</w:t>
      </w:r>
      <w:r>
        <w:t xml:space="preserve">  </w:t>
      </w:r>
      <w:hyperlink r:id="rId420" w:history="1">
        <w:r w:rsidRPr="00410A8E">
          <w:rPr>
            <w:rStyle w:val="Hyperlink"/>
            <w:b/>
          </w:rPr>
          <w:t>https://cases.justia.com/montana/supreme-court/2025-da-25-0100.pdf?ts=1761082851</w:t>
        </w:r>
      </w:hyperlink>
      <w:r>
        <w:rPr>
          <w:b/>
        </w:rPr>
        <w:t xml:space="preserve"> </w:t>
      </w:r>
    </w:p>
    <w:p w14:paraId="4D958F61" w14:textId="77777777" w:rsidR="001D5809" w:rsidRDefault="001D5809" w:rsidP="001D5809">
      <w:pPr>
        <w:pStyle w:val="NoSpacing"/>
        <w:rPr>
          <w:b/>
        </w:rPr>
      </w:pPr>
    </w:p>
    <w:p w14:paraId="7DAA48D0" w14:textId="77777777" w:rsidR="001D5809" w:rsidRDefault="001D5809" w:rsidP="001D5809">
      <w:pPr>
        <w:pStyle w:val="NoSpacing"/>
        <w:rPr>
          <w:bCs/>
        </w:rPr>
      </w:pPr>
      <w:r>
        <w:t>THE COURT HELD:</w:t>
      </w:r>
    </w:p>
    <w:p w14:paraId="08B845D5" w14:textId="77777777" w:rsidR="001D5809" w:rsidRDefault="001D5809" w:rsidP="001D5809">
      <w:pPr>
        <w:pStyle w:val="NoSpacing"/>
        <w:rPr>
          <w:bCs/>
        </w:rPr>
      </w:pPr>
    </w:p>
    <w:p w14:paraId="205BB002" w14:textId="77777777" w:rsidR="001D5809" w:rsidRPr="00F051AB" w:rsidRDefault="001D5809" w:rsidP="001D5809">
      <w:pPr>
        <w:pStyle w:val="NoSpacing"/>
        <w:ind w:firstLine="720"/>
        <w:rPr>
          <w:bCs/>
        </w:rPr>
      </w:pPr>
      <w:r>
        <w:t>“</w:t>
      </w:r>
      <w:r w:rsidRPr="00F051AB">
        <w:t>On July 22, 2023, Burrington was driving with his wife, Sally Burrington, when he</w:t>
      </w:r>
    </w:p>
    <w:p w14:paraId="787BF5F8" w14:textId="77777777" w:rsidR="001D5809" w:rsidRPr="00F051AB" w:rsidRDefault="001D5809" w:rsidP="001D5809">
      <w:pPr>
        <w:pStyle w:val="NoSpacing"/>
        <w:ind w:firstLine="720"/>
        <w:rPr>
          <w:bCs/>
        </w:rPr>
      </w:pPr>
      <w:r w:rsidRPr="00F051AB">
        <w:t xml:space="preserve">began </w:t>
      </w:r>
      <w:r>
        <w:t>‘</w:t>
      </w:r>
      <w:r w:rsidRPr="00F051AB">
        <w:t>tailgating</w:t>
      </w:r>
      <w:r>
        <w:t>’</w:t>
      </w:r>
      <w:r w:rsidRPr="00F051AB">
        <w:t xml:space="preserve"> Ryan Williams’s car. Williams pulled over, and the </w:t>
      </w:r>
      <w:proofErr w:type="spellStart"/>
      <w:r w:rsidRPr="00F051AB">
        <w:t>Burringtons</w:t>
      </w:r>
      <w:proofErr w:type="spellEnd"/>
    </w:p>
    <w:p w14:paraId="4698229B" w14:textId="77777777" w:rsidR="001D5809" w:rsidRPr="00F051AB" w:rsidRDefault="001D5809" w:rsidP="001D5809">
      <w:pPr>
        <w:pStyle w:val="NoSpacing"/>
        <w:ind w:firstLine="720"/>
        <w:rPr>
          <w:bCs/>
        </w:rPr>
      </w:pPr>
      <w:r w:rsidRPr="00F051AB">
        <w:lastRenderedPageBreak/>
        <w:t>stopped their vehicle behind him. Both parties stepped out of their vehicles. Williams</w:t>
      </w:r>
    </w:p>
    <w:p w14:paraId="5574635B" w14:textId="77777777" w:rsidR="001D5809" w:rsidRPr="00F051AB" w:rsidRDefault="001D5809" w:rsidP="001D5809">
      <w:pPr>
        <w:pStyle w:val="NoSpacing"/>
        <w:ind w:firstLine="720"/>
        <w:rPr>
          <w:bCs/>
        </w:rPr>
      </w:pPr>
      <w:r w:rsidRPr="00F051AB">
        <w:t xml:space="preserve">asked Burrington, </w:t>
      </w:r>
      <w:r>
        <w:t>‘</w:t>
      </w:r>
      <w:r w:rsidRPr="00F051AB">
        <w:t>What’s wrong?</w:t>
      </w:r>
      <w:r>
        <w:t>’</w:t>
      </w:r>
      <w:r w:rsidRPr="00F051AB">
        <w:t xml:space="preserve"> and Burrington became </w:t>
      </w:r>
      <w:r>
        <w:t>‘</w:t>
      </w:r>
      <w:r w:rsidRPr="00F051AB">
        <w:t>extremely belligerent.</w:t>
      </w:r>
      <w:r>
        <w:t>’</w:t>
      </w:r>
      <w:r w:rsidRPr="00F051AB">
        <w:t xml:space="preserve"> As</w:t>
      </w:r>
    </w:p>
    <w:p w14:paraId="6D148C19" w14:textId="77777777" w:rsidR="001D5809" w:rsidRPr="00F051AB" w:rsidRDefault="001D5809" w:rsidP="001D5809">
      <w:pPr>
        <w:pStyle w:val="NoSpacing"/>
        <w:ind w:firstLine="720"/>
        <w:rPr>
          <w:bCs/>
        </w:rPr>
      </w:pPr>
      <w:proofErr w:type="gramStart"/>
      <w:r w:rsidRPr="00F051AB">
        <w:t>the</w:t>
      </w:r>
      <w:proofErr w:type="gramEnd"/>
      <w:r w:rsidRPr="00F051AB">
        <w:t xml:space="preserve"> altercation escalated, Burrington began accusing Williams of being from Washington.</w:t>
      </w:r>
    </w:p>
    <w:p w14:paraId="484F8674" w14:textId="77777777" w:rsidR="001D5809" w:rsidRPr="00F051AB" w:rsidRDefault="001D5809" w:rsidP="001D5809">
      <w:pPr>
        <w:pStyle w:val="NoSpacing"/>
        <w:ind w:firstLine="720"/>
        <w:rPr>
          <w:bCs/>
        </w:rPr>
      </w:pPr>
      <w:r w:rsidRPr="00F051AB">
        <w:t>Burrington then punched Williams in the face, at which point Williams returned to his car</w:t>
      </w:r>
    </w:p>
    <w:p w14:paraId="2DE5F538" w14:textId="77777777" w:rsidR="001D5809" w:rsidRDefault="001D5809" w:rsidP="001D5809">
      <w:pPr>
        <w:pStyle w:val="NoSpacing"/>
        <w:ind w:left="720"/>
        <w:rPr>
          <w:bCs/>
        </w:rPr>
      </w:pPr>
      <w:r w:rsidRPr="00F051AB">
        <w:t xml:space="preserve">and the </w:t>
      </w:r>
      <w:proofErr w:type="spellStart"/>
      <w:r w:rsidRPr="00F051AB">
        <w:t>Burringtons</w:t>
      </w:r>
      <w:proofErr w:type="spellEnd"/>
      <w:r w:rsidRPr="00F051AB">
        <w:t xml:space="preserve"> left in their vehicle</w:t>
      </w:r>
      <w:r>
        <w:t xml:space="preserve">…. </w:t>
      </w:r>
      <w:r w:rsidRPr="000F227C">
        <w:t>The next day, after suffering significant pain and</w:t>
      </w:r>
      <w:r>
        <w:t xml:space="preserve"> </w:t>
      </w:r>
      <w:r w:rsidRPr="000F227C">
        <w:t>swelling, Williams left work and went to the hospital. He was diagnosed with a fractured</w:t>
      </w:r>
      <w:r>
        <w:t xml:space="preserve"> </w:t>
      </w:r>
      <w:r w:rsidRPr="000F227C">
        <w:t>mandible. He filed a police report after his medical diagnosis.</w:t>
      </w:r>
    </w:p>
    <w:p w14:paraId="69FD4074" w14:textId="77777777" w:rsidR="001D5809" w:rsidRDefault="001D5809" w:rsidP="001D5809">
      <w:pPr>
        <w:pStyle w:val="NoSpacing"/>
        <w:ind w:left="720"/>
        <w:rPr>
          <w:bCs/>
        </w:rPr>
      </w:pPr>
    </w:p>
    <w:p w14:paraId="339E9D8C" w14:textId="77777777" w:rsidR="001D5809" w:rsidRDefault="001D5809" w:rsidP="001D5809">
      <w:pPr>
        <w:pStyle w:val="NoSpacing"/>
        <w:ind w:left="720"/>
        <w:rPr>
          <w:bCs/>
        </w:rPr>
      </w:pPr>
      <w:r>
        <w:t>***</w:t>
      </w:r>
    </w:p>
    <w:p w14:paraId="670EE3EA" w14:textId="77777777" w:rsidR="001D5809" w:rsidRDefault="001D5809" w:rsidP="001D5809">
      <w:pPr>
        <w:pStyle w:val="NoSpacing"/>
        <w:ind w:left="720"/>
        <w:rPr>
          <w:bCs/>
        </w:rPr>
      </w:pPr>
      <w:r>
        <w:t>T</w:t>
      </w:r>
      <w:r w:rsidRPr="007B0A97">
        <w:t xml:space="preserve">o support the JUOF </w:t>
      </w:r>
      <w:r>
        <w:t>[</w:t>
      </w:r>
      <w:r w:rsidRPr="0011479A">
        <w:t>justifiable use of force</w:t>
      </w:r>
      <w:r>
        <w:t xml:space="preserve">] </w:t>
      </w:r>
      <w:r w:rsidRPr="007B0A97">
        <w:t>defense, Burrington introduced two incidents relating to road</w:t>
      </w:r>
      <w:r>
        <w:t xml:space="preserve"> </w:t>
      </w:r>
      <w:r w:rsidRPr="007B0A97">
        <w:t xml:space="preserve">rage. These incidents were meant to demonstrate </w:t>
      </w:r>
      <w:proofErr w:type="spellStart"/>
      <w:r w:rsidRPr="007B0A97">
        <w:t>Burringtons</w:t>
      </w:r>
      <w:proofErr w:type="spellEnd"/>
      <w:r w:rsidRPr="007B0A97">
        <w:t>’ fear during the event.</w:t>
      </w:r>
      <w:r>
        <w:t xml:space="preserve"> </w:t>
      </w:r>
      <w:r w:rsidRPr="007B0A97">
        <w:t>Burrington’s wife, Sally Burrington, testified first. She testified to both incidents. The</w:t>
      </w:r>
      <w:r>
        <w:t xml:space="preserve"> </w:t>
      </w:r>
      <w:r w:rsidRPr="007B0A97">
        <w:t>first incident, which occurred in 1987, involved both Burrington and his wife being</w:t>
      </w:r>
      <w:r>
        <w:t xml:space="preserve"> </w:t>
      </w:r>
      <w:r w:rsidRPr="007B0A97">
        <w:t xml:space="preserve">allegedly involved in a roadside incident where someone </w:t>
      </w:r>
      <w:r>
        <w:t>‘</w:t>
      </w:r>
      <w:r w:rsidRPr="007B0A97">
        <w:t>pulled a gun</w:t>
      </w:r>
      <w:r>
        <w:t xml:space="preserve">’ </w:t>
      </w:r>
      <w:r w:rsidRPr="007B0A97">
        <w:t>on them</w:t>
      </w:r>
      <w:r>
        <w:t xml:space="preserve">. </w:t>
      </w:r>
      <w:r w:rsidRPr="007B0A97">
        <w:t>The</w:t>
      </w:r>
      <w:r>
        <w:t xml:space="preserve"> </w:t>
      </w:r>
      <w:r w:rsidRPr="007B0A97">
        <w:t>second incident occurred in 2023, where another driver brandished a machete at Sally</w:t>
      </w:r>
      <w:r>
        <w:t xml:space="preserve">.   </w:t>
      </w:r>
      <w:r w:rsidRPr="007B0A97">
        <w:t>Burrington in a parking lot behind a gas station. Sally also testified about her husband’</w:t>
      </w:r>
      <w:r>
        <w:t xml:space="preserve">s </w:t>
      </w:r>
      <w:r w:rsidRPr="005753F3">
        <w:t>protective instincts towards his family</w:t>
      </w:r>
      <w:r>
        <w:t>.</w:t>
      </w:r>
    </w:p>
    <w:p w14:paraId="414A82F7" w14:textId="77777777" w:rsidR="001D5809" w:rsidRDefault="001D5809" w:rsidP="001D5809">
      <w:pPr>
        <w:pStyle w:val="NoSpacing"/>
        <w:ind w:left="720"/>
        <w:rPr>
          <w:bCs/>
        </w:rPr>
      </w:pPr>
    </w:p>
    <w:p w14:paraId="628F1A57" w14:textId="77777777" w:rsidR="001D5809" w:rsidRDefault="001D5809" w:rsidP="001D5809">
      <w:pPr>
        <w:pStyle w:val="NoSpacing"/>
        <w:ind w:left="720"/>
        <w:rPr>
          <w:bCs/>
        </w:rPr>
      </w:pPr>
      <w:r>
        <w:t>***</w:t>
      </w:r>
    </w:p>
    <w:p w14:paraId="26F268ED" w14:textId="77777777" w:rsidR="001D5809" w:rsidRDefault="001D5809" w:rsidP="001D5809">
      <w:pPr>
        <w:pStyle w:val="NoSpacing"/>
        <w:ind w:left="720"/>
        <w:rPr>
          <w:bCs/>
        </w:rPr>
      </w:pPr>
      <w:r w:rsidRPr="00C4196C">
        <w:t>Burrington also testified about the two prior incidents introduced in Sally’s</w:t>
      </w:r>
      <w:r>
        <w:t xml:space="preserve"> </w:t>
      </w:r>
      <w:r w:rsidRPr="00C4196C">
        <w:t>testimony. On cross-examination, the State inquired into more detail regarding these</w:t>
      </w:r>
      <w:r>
        <w:t xml:space="preserve"> </w:t>
      </w:r>
      <w:r w:rsidRPr="00C4196C">
        <w:t>events. As the State’s questioning moved from the 2023 incident to the 1987 incident,</w:t>
      </w:r>
      <w:r>
        <w:t xml:space="preserve"> </w:t>
      </w:r>
      <w:r w:rsidRPr="00C4196C">
        <w:t>Burrington’s attorney—anticipating the State was asking about the excluded 2017</w:t>
      </w:r>
      <w:r>
        <w:t xml:space="preserve"> </w:t>
      </w:r>
      <w:r w:rsidRPr="00C4196C">
        <w:t>incident</w:t>
      </w:r>
      <w:r>
        <w:t xml:space="preserve"> [where defendant assaulted a motorcyclist and pled guilty to disorderly conduct]</w:t>
      </w:r>
      <w:r w:rsidRPr="00C4196C">
        <w:t>—objected to the State’s question. The court explained defense counsel was</w:t>
      </w:r>
      <w:r>
        <w:t xml:space="preserve"> </w:t>
      </w:r>
      <w:r w:rsidRPr="00C4196C">
        <w:t xml:space="preserve">mistaken, stating </w:t>
      </w:r>
      <w:r>
        <w:t>‘</w:t>
      </w:r>
      <w:r w:rsidRPr="00C4196C">
        <w:t>He’s talking about Ms. Burrington’s previous road rage.</w:t>
      </w:r>
      <w:r>
        <w:t>’</w:t>
      </w:r>
      <w:r w:rsidRPr="00C4196C">
        <w:t xml:space="preserve"> Burrington</w:t>
      </w:r>
      <w:r>
        <w:t xml:space="preserve"> </w:t>
      </w:r>
      <w:r w:rsidRPr="00C4196C">
        <w:t xml:space="preserve">did not object to the court’s reference </w:t>
      </w:r>
      <w:proofErr w:type="gramStart"/>
      <w:r w:rsidRPr="00C4196C">
        <w:t>of</w:t>
      </w:r>
      <w:proofErr w:type="gramEnd"/>
      <w:r w:rsidRPr="00C4196C">
        <w:t xml:space="preserve"> the 1980’s incident as </w:t>
      </w:r>
      <w:r>
        <w:t>‘</w:t>
      </w:r>
      <w:r w:rsidRPr="00C4196C">
        <w:t>Ms. Burrington’s previous</w:t>
      </w:r>
      <w:r>
        <w:t xml:space="preserve"> </w:t>
      </w:r>
      <w:r w:rsidRPr="00C4196C">
        <w:t>road rage.</w:t>
      </w:r>
      <w:r>
        <w:t>’</w:t>
      </w:r>
    </w:p>
    <w:p w14:paraId="3CB02676" w14:textId="77777777" w:rsidR="001D5809" w:rsidRDefault="001D5809" w:rsidP="001D5809">
      <w:pPr>
        <w:pStyle w:val="NoSpacing"/>
        <w:ind w:left="720"/>
        <w:rPr>
          <w:bCs/>
        </w:rPr>
      </w:pPr>
    </w:p>
    <w:p w14:paraId="4CC058F4" w14:textId="77777777" w:rsidR="001D5809" w:rsidRDefault="001D5809" w:rsidP="001D5809">
      <w:pPr>
        <w:pStyle w:val="NoSpacing"/>
        <w:ind w:left="720"/>
        <w:rPr>
          <w:bCs/>
        </w:rPr>
      </w:pPr>
      <w:r>
        <w:t>***</w:t>
      </w:r>
    </w:p>
    <w:p w14:paraId="0A216B8D" w14:textId="77777777" w:rsidR="001D5809" w:rsidRDefault="001D5809" w:rsidP="001D5809">
      <w:pPr>
        <w:pStyle w:val="NoSpacing"/>
        <w:ind w:left="720"/>
        <w:rPr>
          <w:bCs/>
        </w:rPr>
      </w:pPr>
    </w:p>
    <w:p w14:paraId="3F27AAB5" w14:textId="77777777" w:rsidR="001D5809" w:rsidRPr="009A521B" w:rsidRDefault="001D5809" w:rsidP="001D5809">
      <w:pPr>
        <w:pStyle w:val="NoSpacing"/>
        <w:ind w:left="720"/>
        <w:rPr>
          <w:bCs/>
        </w:rPr>
      </w:pPr>
      <w:r w:rsidRPr="009A521B">
        <w:t>Ultimately, it was Burrington who introduced</w:t>
      </w:r>
      <w:r>
        <w:t xml:space="preserve"> </w:t>
      </w:r>
      <w:r w:rsidRPr="009A521B">
        <w:t xml:space="preserve">this evidence </w:t>
      </w:r>
      <w:r>
        <w:t xml:space="preserve">[prior “road rage” incidents] </w:t>
      </w:r>
      <w:r w:rsidRPr="009A521B">
        <w:t>in the first instance, opening the door for the State to challenge Burrington’s</w:t>
      </w:r>
    </w:p>
    <w:p w14:paraId="6FCCBB37" w14:textId="77777777" w:rsidR="001D5809" w:rsidRPr="009A521B" w:rsidRDefault="001D5809" w:rsidP="001D5809">
      <w:pPr>
        <w:pStyle w:val="NoSpacing"/>
        <w:ind w:firstLine="720"/>
        <w:rPr>
          <w:bCs/>
        </w:rPr>
      </w:pPr>
      <w:r w:rsidRPr="009A521B">
        <w:t>characterization of the events, and did not object to the State’s question or request other</w:t>
      </w:r>
    </w:p>
    <w:p w14:paraId="1C37288A" w14:textId="77777777" w:rsidR="001D5809" w:rsidRDefault="001D5809" w:rsidP="001D5809">
      <w:pPr>
        <w:pStyle w:val="NoSpacing"/>
        <w:ind w:left="720"/>
        <w:rPr>
          <w:bCs/>
        </w:rPr>
      </w:pPr>
      <w:r w:rsidRPr="009A521B">
        <w:t>acts jury instruction. The comment and the lack of other acts instructions did not implicate</w:t>
      </w:r>
      <w:r>
        <w:t xml:space="preserve"> </w:t>
      </w:r>
      <w:r w:rsidRPr="009A521B">
        <w:t>Burrington’s fundamental rights and failure to review it would not result in manifest</w:t>
      </w:r>
      <w:r>
        <w:t xml:space="preserve"> </w:t>
      </w:r>
      <w:r w:rsidRPr="009A521B">
        <w:t>injustice.</w:t>
      </w:r>
      <w:r>
        <w:t>”</w:t>
      </w:r>
    </w:p>
    <w:p w14:paraId="0B1AFDD8" w14:textId="77777777" w:rsidR="001D5809" w:rsidRDefault="001D5809" w:rsidP="001D5809">
      <w:pPr>
        <w:pStyle w:val="NoSpacing"/>
        <w:ind w:left="720"/>
        <w:rPr>
          <w:bCs/>
        </w:rPr>
      </w:pPr>
    </w:p>
    <w:p w14:paraId="2588F46D" w14:textId="2F2E1355" w:rsidR="001D5809" w:rsidRPr="0048238D" w:rsidRDefault="001D5809" w:rsidP="001D5809">
      <w:pPr>
        <w:pStyle w:val="NoSpacing"/>
        <w:rPr>
          <w:b/>
        </w:rPr>
      </w:pPr>
      <w:r>
        <w:rPr>
          <w:b/>
        </w:rPr>
        <w:t xml:space="preserve">Lesson learned: Unfortunate the “road rage” defendant received suspended sentence. </w:t>
      </w:r>
    </w:p>
    <w:p w14:paraId="1215D2D7" w14:textId="77777777" w:rsidR="001D5809" w:rsidRDefault="001D5809" w:rsidP="001D5809">
      <w:pPr>
        <w:tabs>
          <w:tab w:val="left" w:pos="264"/>
        </w:tabs>
      </w:pPr>
    </w:p>
    <w:p w14:paraId="60A85E46" w14:textId="0EE93AE0" w:rsidR="001D5809" w:rsidRDefault="00515316" w:rsidP="00646EE3">
      <w:pPr>
        <w:rPr>
          <w:rFonts w:ascii="Arial Black" w:hAnsi="Arial Black"/>
          <w:sz w:val="24"/>
          <w:szCs w:val="24"/>
        </w:rPr>
      </w:pPr>
      <w:r>
        <w:rPr>
          <w:rFonts w:ascii="Arial Black" w:hAnsi="Arial Black"/>
          <w:sz w:val="24"/>
          <w:szCs w:val="24"/>
        </w:rPr>
        <w:t>2-9</w:t>
      </w:r>
      <w:r w:rsidR="003D47D0">
        <w:rPr>
          <w:rFonts w:ascii="Arial Black" w:hAnsi="Arial Black"/>
          <w:sz w:val="24"/>
          <w:szCs w:val="24"/>
        </w:rPr>
        <w:t>5</w:t>
      </w:r>
    </w:p>
    <w:p w14:paraId="0D90FDC2" w14:textId="77777777" w:rsidR="00515316" w:rsidRDefault="00515316" w:rsidP="00515316">
      <w:pPr>
        <w:pStyle w:val="NoSpacing"/>
        <w:rPr>
          <w:rFonts w:ascii="Arial Black" w:hAnsi="Arial Black"/>
          <w:sz w:val="28"/>
          <w:szCs w:val="28"/>
        </w:rPr>
      </w:pPr>
      <w:r>
        <w:rPr>
          <w:rFonts w:ascii="Arial Black" w:hAnsi="Arial Black"/>
          <w:sz w:val="28"/>
          <w:szCs w:val="28"/>
        </w:rPr>
        <w:t xml:space="preserve">OH: MOBILE HOME FIRE – OWNER THREATENS FF – CONV </w:t>
      </w:r>
    </w:p>
    <w:p w14:paraId="0E63A537" w14:textId="77777777" w:rsidR="00515316" w:rsidRDefault="00515316" w:rsidP="00515316">
      <w:pPr>
        <w:pStyle w:val="NoSpacing"/>
        <w:rPr>
          <w:rFonts w:ascii="Arial Black" w:hAnsi="Arial Black"/>
          <w:sz w:val="28"/>
          <w:szCs w:val="28"/>
        </w:rPr>
      </w:pPr>
    </w:p>
    <w:p w14:paraId="1FC5E921" w14:textId="77777777" w:rsidR="00515316" w:rsidRPr="00742C8D" w:rsidRDefault="00515316" w:rsidP="00515316">
      <w:pPr>
        <w:pStyle w:val="NoSpacing"/>
        <w:rPr>
          <w:b/>
        </w:rPr>
      </w:pPr>
      <w:r>
        <w:t xml:space="preserve">On Oct. 20, 2025, in </w:t>
      </w:r>
      <w:r w:rsidRPr="00D12508">
        <w:rPr>
          <w:u w:val="single"/>
        </w:rPr>
        <w:t>State of Ohio v. Christopher W. Longnecker</w:t>
      </w:r>
      <w:r w:rsidRPr="00D12508">
        <w:t xml:space="preserve">, the Court of Appeals of Ohio, Twelfth District (Clermont County), </w:t>
      </w:r>
      <w:r>
        <w:t xml:space="preserve">held (3 to 0) conviction affirmed.   </w:t>
      </w:r>
      <w:r w:rsidRPr="00A62117">
        <w:t>On July 31, 2023, firefighters were dispatched to extinguish a fire at</w:t>
      </w:r>
      <w:r>
        <w:t xml:space="preserve"> defendant’s mobile home where his son was burned and two pet cats died.  </w:t>
      </w:r>
      <w:r w:rsidRPr="00A62117">
        <w:t>Longnecker arrived, became</w:t>
      </w:r>
      <w:r>
        <w:t xml:space="preserve"> </w:t>
      </w:r>
      <w:r w:rsidRPr="00A62117">
        <w:t>agitated, and threatened to "bash" volunteer firefighter Justin Pendergrass' "face in."</w:t>
      </w:r>
      <w:r>
        <w:t xml:space="preserve"> The jury returned guilty verdicts on all three counts;  trial court judge sentenced Longnecker to 180 days in jail and a $200 fine for aggravated menacing, and 30 days in jail and a $100 fine for misconduct at an emergency (to be served consecutively), plus court costs. On appeal the Court of Appeals held that prosecution had no duty to disclose the oral statements he made to </w:t>
      </w:r>
      <w:r w:rsidRPr="00A0476E">
        <w:t>fire investigation team leader, Christopher</w:t>
      </w:r>
      <w:r>
        <w:t xml:space="preserve"> </w:t>
      </w:r>
      <w:r w:rsidRPr="00A0476E">
        <w:t>Mullins</w:t>
      </w:r>
      <w:r>
        <w:t xml:space="preserve"> - that  “</w:t>
      </w:r>
      <w:r w:rsidRPr="00F1325D">
        <w:t>he was going into the house no matter what</w:t>
      </w:r>
      <w:r>
        <w:t xml:space="preserve">”-  since the statement were not recorded by Mullins or other investigators on a document or on video.   </w:t>
      </w:r>
      <w:hyperlink r:id="rId421" w:history="1">
        <w:r w:rsidRPr="006C2601">
          <w:rPr>
            <w:rStyle w:val="Hyperlink"/>
            <w:b/>
          </w:rPr>
          <w:t>https://www.supremecourt.ohio.gov/rod/docs/pdf/12/2025/2025-Ohio-4780.pdf</w:t>
        </w:r>
      </w:hyperlink>
      <w:r>
        <w:rPr>
          <w:b/>
        </w:rPr>
        <w:t xml:space="preserve"> </w:t>
      </w:r>
    </w:p>
    <w:p w14:paraId="068D48AB" w14:textId="77777777" w:rsidR="00515316" w:rsidRDefault="00515316" w:rsidP="00515316">
      <w:pPr>
        <w:pStyle w:val="NoSpacing"/>
      </w:pPr>
      <w:r>
        <w:t xml:space="preserve"> </w:t>
      </w:r>
    </w:p>
    <w:p w14:paraId="75298C01" w14:textId="77777777" w:rsidR="00515316" w:rsidRDefault="00515316" w:rsidP="00515316">
      <w:pPr>
        <w:pStyle w:val="NoSpacing"/>
      </w:pPr>
      <w:r>
        <w:t>THE COURT HELD:</w:t>
      </w:r>
    </w:p>
    <w:p w14:paraId="55ECF1EE" w14:textId="77777777" w:rsidR="00515316" w:rsidRDefault="00515316" w:rsidP="00515316">
      <w:pPr>
        <w:pStyle w:val="NoSpacing"/>
      </w:pPr>
    </w:p>
    <w:p w14:paraId="7E0A2321" w14:textId="77777777" w:rsidR="00515316" w:rsidRDefault="00515316" w:rsidP="00515316">
      <w:pPr>
        <w:pStyle w:val="NoSpacing"/>
        <w:ind w:left="720"/>
        <w:rPr>
          <w:bCs/>
        </w:rPr>
      </w:pPr>
      <w:r>
        <w:t>“</w:t>
      </w:r>
      <w:r w:rsidRPr="00A62117">
        <w:t>On July 31, 2023, firefighters from the Felicity-Franklin, Washington</w:t>
      </w:r>
      <w:r>
        <w:t xml:space="preserve"> </w:t>
      </w:r>
      <w:r w:rsidRPr="00A62117">
        <w:t>Township, and Bethel-Tate Fire Departments were dispatched to extinguish a fire at</w:t>
      </w:r>
      <w:r>
        <w:t xml:space="preserve"> </w:t>
      </w:r>
      <w:r w:rsidRPr="00A62117">
        <w:t>Christopher Longnecker's home in the Country View Mobile Home Park. Due to the fire,</w:t>
      </w:r>
      <w:r>
        <w:t xml:space="preserve"> </w:t>
      </w:r>
      <w:r w:rsidRPr="00A62117">
        <w:t>Longnecker's home was badly damaged, his son was burned, and his two pet cats died.</w:t>
      </w:r>
      <w:r>
        <w:t xml:space="preserve"> </w:t>
      </w:r>
      <w:r w:rsidRPr="00A62117">
        <w:t>While the firefighters were still working at the scene, Longnecker arrived, became</w:t>
      </w:r>
      <w:r>
        <w:t xml:space="preserve"> </w:t>
      </w:r>
      <w:r w:rsidRPr="00A62117">
        <w:t>agitated, and threatened to "bash" volunteer firefighter Justin Pendergrass' "face in."</w:t>
      </w:r>
    </w:p>
    <w:p w14:paraId="65F2A9DD" w14:textId="77777777" w:rsidR="00515316" w:rsidRDefault="00515316" w:rsidP="00515316">
      <w:pPr>
        <w:pStyle w:val="NoSpacing"/>
        <w:ind w:left="720"/>
        <w:rPr>
          <w:bCs/>
        </w:rPr>
      </w:pPr>
    </w:p>
    <w:p w14:paraId="296B6D4F" w14:textId="77777777" w:rsidR="00515316" w:rsidRDefault="00515316" w:rsidP="00515316">
      <w:pPr>
        <w:pStyle w:val="NoSpacing"/>
        <w:ind w:left="720"/>
      </w:pPr>
      <w:r>
        <w:t>***</w:t>
      </w:r>
    </w:p>
    <w:p w14:paraId="194D4A5D" w14:textId="77777777" w:rsidR="00515316" w:rsidRDefault="00515316" w:rsidP="00515316">
      <w:pPr>
        <w:pStyle w:val="NoSpacing"/>
        <w:ind w:left="720"/>
      </w:pPr>
      <w:r>
        <w:t>Clermont County fire investigation team leader, Christopher Mullins, spoke with Longnecker to obtain consent to search the home for the cause of the fire, but Longnecker refused. Mullins also warned Longnecker that he was not permitted to enter the home, as it was still too dangerous and might interfere with the fire investigation. While the fire investigation team waited to obtain a search warrant, Clermont County Sherrif's deputies followed Longnecker around the property to ensure he did not interfere with the firefighters. Longnecker then attempted to enter the home and was tackled and arrested by the deputies.</w:t>
      </w:r>
    </w:p>
    <w:p w14:paraId="452AA362" w14:textId="77777777" w:rsidR="00515316" w:rsidRDefault="00515316" w:rsidP="00515316">
      <w:pPr>
        <w:pStyle w:val="NoSpacing"/>
      </w:pPr>
    </w:p>
    <w:p w14:paraId="0FCAB907" w14:textId="77777777" w:rsidR="00515316" w:rsidRDefault="00515316" w:rsidP="00515316">
      <w:pPr>
        <w:pStyle w:val="NoSpacing"/>
        <w:ind w:left="720"/>
      </w:pPr>
      <w:r>
        <w:t xml:space="preserve">Longnecker was later indicted for misconduct at an emergency, aggravated menacing, and menacing; the case proceeded to jury trial on October 8, 2024. One of the central theories of Longnecker's defense was that none of the public officials at the scene that day specifically told him he could not enter his home. However, at trial, Fire Investigator Mullins testified that he told Longnecker he could not enter his home and Longnecker answered ‘that he was going into the house no matter what. It was his </w:t>
      </w:r>
      <w:r w:rsidRPr="00523DF2">
        <w:t>house.</w:t>
      </w:r>
      <w:r>
        <w:t>’</w:t>
      </w:r>
    </w:p>
    <w:p w14:paraId="6F28ED86" w14:textId="77777777" w:rsidR="00515316" w:rsidRDefault="00515316" w:rsidP="00515316">
      <w:pPr>
        <w:pStyle w:val="NoSpacing"/>
        <w:ind w:left="720"/>
      </w:pPr>
    </w:p>
    <w:p w14:paraId="102D1F6D" w14:textId="77777777" w:rsidR="00515316" w:rsidRPr="008C4A2B" w:rsidRDefault="00515316" w:rsidP="00515316">
      <w:pPr>
        <w:pStyle w:val="NoSpacing"/>
        <w:ind w:left="720"/>
      </w:pPr>
      <w:r>
        <w:t>***</w:t>
      </w:r>
    </w:p>
    <w:p w14:paraId="2E1B41E2" w14:textId="77777777" w:rsidR="00515316" w:rsidRDefault="00515316" w:rsidP="00515316">
      <w:pPr>
        <w:pStyle w:val="NoSpacing"/>
        <w:rPr>
          <w:b/>
        </w:rPr>
      </w:pPr>
    </w:p>
    <w:p w14:paraId="66BB5829" w14:textId="77777777" w:rsidR="00515316" w:rsidRDefault="00515316" w:rsidP="00515316">
      <w:pPr>
        <w:pStyle w:val="NoSpacing"/>
        <w:ind w:left="720"/>
      </w:pPr>
      <w:r w:rsidRPr="00536C39">
        <w:t>During the sidebar</w:t>
      </w:r>
      <w:r>
        <w:t xml:space="preserve"> </w:t>
      </w:r>
      <w:r w:rsidRPr="00536C39">
        <w:t>discussion, the State did not deny that it was aware Mullins was going to testify to</w:t>
      </w:r>
      <w:r>
        <w:t xml:space="preserve"> </w:t>
      </w:r>
      <w:r w:rsidRPr="00536C39">
        <w:t>Longnecker's statement and responded dismissively to the defense's apparent surprise:</w:t>
      </w:r>
    </w:p>
    <w:p w14:paraId="3C320DAA" w14:textId="77777777" w:rsidR="00515316" w:rsidRPr="00536C39" w:rsidRDefault="00515316" w:rsidP="00515316">
      <w:pPr>
        <w:pStyle w:val="NoSpacing"/>
        <w:ind w:left="720"/>
      </w:pPr>
    </w:p>
    <w:p w14:paraId="6742F465" w14:textId="77777777" w:rsidR="00515316" w:rsidRDefault="00515316" w:rsidP="00515316">
      <w:pPr>
        <w:pStyle w:val="NoSpacing"/>
        <w:ind w:left="1440"/>
      </w:pPr>
      <w:r>
        <w:t>‘</w:t>
      </w:r>
      <w:r w:rsidRPr="00536C39">
        <w:t>I can ask him if he told this man not to go in the property and the fact that they think it's</w:t>
      </w:r>
      <w:r>
        <w:t xml:space="preserve"> </w:t>
      </w:r>
      <w:r w:rsidRPr="00536C39">
        <w:t>prejudicial, it is. Maybe they should pick up the phone and call the witness and interview</w:t>
      </w:r>
      <w:r>
        <w:t xml:space="preserve"> </w:t>
      </w:r>
      <w:r w:rsidRPr="00536C39">
        <w:t>them. I don't have a report to give them. I disclosed the witness. I've done my job. I can</w:t>
      </w:r>
      <w:r>
        <w:t xml:space="preserve"> </w:t>
      </w:r>
      <w:r w:rsidRPr="00536C39">
        <w:t>ask the question.</w:t>
      </w:r>
      <w:r>
        <w:t>’</w:t>
      </w:r>
      <w:r w:rsidRPr="00536C39">
        <w:t xml:space="preserve"> </w:t>
      </w:r>
    </w:p>
    <w:p w14:paraId="0EA6A508" w14:textId="77777777" w:rsidR="00515316" w:rsidRDefault="00515316" w:rsidP="00515316">
      <w:pPr>
        <w:pStyle w:val="NoSpacing"/>
        <w:ind w:left="720"/>
      </w:pPr>
    </w:p>
    <w:p w14:paraId="2A15CB52" w14:textId="77777777" w:rsidR="00515316" w:rsidRPr="00536C39" w:rsidRDefault="00515316" w:rsidP="00515316">
      <w:pPr>
        <w:pStyle w:val="NoSpacing"/>
        <w:ind w:left="720"/>
      </w:pPr>
      <w:r w:rsidRPr="00536C39">
        <w:t>The trial court overruled Longnecker's objections and permitted the</w:t>
      </w:r>
      <w:r>
        <w:t xml:space="preserve"> </w:t>
      </w:r>
      <w:r w:rsidRPr="00536C39">
        <w:t>testimony. Longnecker's oral statement to Mullins was never recorded, summarized, or</w:t>
      </w:r>
    </w:p>
    <w:p w14:paraId="2125D119" w14:textId="77777777" w:rsidR="00515316" w:rsidRDefault="00515316" w:rsidP="00515316">
      <w:pPr>
        <w:pStyle w:val="NoSpacing"/>
        <w:ind w:firstLine="720"/>
      </w:pPr>
      <w:r w:rsidRPr="00536C39">
        <w:t>otherwise documented prior to Mullins' testimony at trial.</w:t>
      </w:r>
    </w:p>
    <w:p w14:paraId="42D36A6C" w14:textId="77777777" w:rsidR="00515316" w:rsidRDefault="00515316" w:rsidP="00515316">
      <w:pPr>
        <w:pStyle w:val="NoSpacing"/>
        <w:ind w:firstLine="720"/>
      </w:pPr>
    </w:p>
    <w:p w14:paraId="43A68FDE" w14:textId="77777777" w:rsidR="00515316" w:rsidRDefault="00515316" w:rsidP="00515316">
      <w:pPr>
        <w:pStyle w:val="NoSpacing"/>
        <w:ind w:firstLine="720"/>
      </w:pPr>
      <w:r>
        <w:t>***</w:t>
      </w:r>
    </w:p>
    <w:p w14:paraId="67EA214C" w14:textId="77777777" w:rsidR="00515316" w:rsidRDefault="00515316" w:rsidP="00515316">
      <w:pPr>
        <w:pStyle w:val="NoSpacing"/>
        <w:ind w:firstLine="720"/>
      </w:pPr>
      <w:r>
        <w:t>Under the plain text of the rule [</w:t>
      </w:r>
      <w:proofErr w:type="spellStart"/>
      <w:r w:rsidRPr="00063EF3">
        <w:t>Crim.R</w:t>
      </w:r>
      <w:proofErr w:type="spellEnd"/>
      <w:r w:rsidRPr="00063EF3">
        <w:t>. 16(B)</w:t>
      </w:r>
      <w:r>
        <w:t>] unrecorded oral statements to a law</w:t>
      </w:r>
    </w:p>
    <w:p w14:paraId="1C0C3ECC" w14:textId="77777777" w:rsidR="00515316" w:rsidRDefault="00515316" w:rsidP="00515316">
      <w:pPr>
        <w:pStyle w:val="NoSpacing"/>
        <w:ind w:firstLine="720"/>
      </w:pPr>
      <w:r>
        <w:t xml:space="preserve">enforcement </w:t>
      </w:r>
      <w:proofErr w:type="gramStart"/>
      <w:r>
        <w:t>officer</w:t>
      </w:r>
      <w:proofErr w:type="gramEnd"/>
      <w:r>
        <w:t>, that are not subsequently documented in a summary or report, are</w:t>
      </w:r>
    </w:p>
    <w:p w14:paraId="1CD1D7F3" w14:textId="77777777" w:rsidR="00515316" w:rsidRDefault="00515316" w:rsidP="00515316">
      <w:pPr>
        <w:pStyle w:val="NoSpacing"/>
        <w:ind w:left="720"/>
      </w:pPr>
      <w:r>
        <w:t>not subject to disclosure in discovery.  [Footnote 1.] Accordingly, we find the trial court did not abuse its discretion when it admitted Mullins' testimony regarding Longnecker's oral statement and did not abuse its discretion when it denied Longnecker's motion for a mistrial. Longnecker's sole assignment of error is overruled.</w:t>
      </w:r>
    </w:p>
    <w:p w14:paraId="395655D3" w14:textId="77777777" w:rsidR="00515316" w:rsidRDefault="00515316" w:rsidP="00515316">
      <w:pPr>
        <w:pStyle w:val="NoSpacing"/>
        <w:ind w:left="720"/>
      </w:pPr>
    </w:p>
    <w:p w14:paraId="4027639B" w14:textId="77777777" w:rsidR="00515316" w:rsidRDefault="00515316" w:rsidP="00515316">
      <w:pPr>
        <w:pStyle w:val="NoSpacing"/>
        <w:ind w:left="1440"/>
      </w:pPr>
      <w:r>
        <w:t xml:space="preserve">Footnote 1: Not every oral statement made by a defendant is always recorded or documented in a report by law enforcement. Therefore, the onus is now on defendants to remember their oral statements. There is concern that a law enforcement officer could specifically choose not to document certain oral statements to avoid disclosure and obtain a surprise advantage at trial.  Nevertheless, we are bound to apply the plain text of the rule without making our own additions or </w:t>
      </w:r>
      <w:proofErr w:type="gramStart"/>
      <w:r>
        <w:t>subtractions.”</w:t>
      </w:r>
      <w:proofErr w:type="gramEnd"/>
    </w:p>
    <w:p w14:paraId="422516FD" w14:textId="77777777" w:rsidR="00515316" w:rsidRDefault="00515316" w:rsidP="00515316">
      <w:pPr>
        <w:pStyle w:val="NoSpacing"/>
        <w:ind w:left="1440"/>
      </w:pPr>
    </w:p>
    <w:p w14:paraId="23EFAE0C" w14:textId="5732968E" w:rsidR="00515316" w:rsidRPr="00971AF7" w:rsidRDefault="00515316" w:rsidP="00515316">
      <w:pPr>
        <w:pStyle w:val="NoSpacing"/>
        <w:rPr>
          <w:b/>
          <w:bCs/>
        </w:rPr>
      </w:pPr>
      <w:r>
        <w:rPr>
          <w:b/>
        </w:rPr>
        <w:t xml:space="preserve">Lesson learned: Defendant sent to prison for threats to firefighters. </w:t>
      </w:r>
    </w:p>
    <w:p w14:paraId="37B09D58" w14:textId="77777777" w:rsidR="00515316" w:rsidRDefault="00515316" w:rsidP="00646EE3">
      <w:pPr>
        <w:rPr>
          <w:rFonts w:ascii="Arial Black" w:hAnsi="Arial Black"/>
          <w:sz w:val="24"/>
          <w:szCs w:val="24"/>
        </w:rPr>
      </w:pPr>
    </w:p>
    <w:p w14:paraId="40CDE6CD" w14:textId="77777777" w:rsidR="001D5809" w:rsidRDefault="001D5809" w:rsidP="00646EE3">
      <w:pPr>
        <w:rPr>
          <w:rFonts w:ascii="Arial Black" w:hAnsi="Arial Black"/>
          <w:sz w:val="24"/>
          <w:szCs w:val="24"/>
        </w:rPr>
      </w:pPr>
    </w:p>
    <w:p w14:paraId="71ED9943" w14:textId="4A8483A5" w:rsidR="001D5809" w:rsidRDefault="00D811D3" w:rsidP="00646EE3">
      <w:pPr>
        <w:rPr>
          <w:rFonts w:ascii="Arial Black" w:hAnsi="Arial Black"/>
          <w:sz w:val="24"/>
          <w:szCs w:val="24"/>
        </w:rPr>
      </w:pPr>
      <w:r>
        <w:rPr>
          <w:rFonts w:ascii="Arial Black" w:hAnsi="Arial Black"/>
          <w:sz w:val="24"/>
          <w:szCs w:val="24"/>
        </w:rPr>
        <w:lastRenderedPageBreak/>
        <w:t>2-9</w:t>
      </w:r>
      <w:r w:rsidR="003D47D0">
        <w:rPr>
          <w:rFonts w:ascii="Arial Black" w:hAnsi="Arial Black"/>
          <w:sz w:val="24"/>
          <w:szCs w:val="24"/>
        </w:rPr>
        <w:t>4</w:t>
      </w:r>
    </w:p>
    <w:p w14:paraId="1CE92539" w14:textId="77777777" w:rsidR="00D811D3" w:rsidRPr="00FE58E1" w:rsidRDefault="00D811D3" w:rsidP="00D811D3">
      <w:pPr>
        <w:spacing w:after="0"/>
        <w:rPr>
          <w:rFonts w:ascii="Arial Black" w:hAnsi="Arial Black"/>
          <w:sz w:val="28"/>
          <w:szCs w:val="28"/>
        </w:rPr>
      </w:pPr>
      <w:r>
        <w:rPr>
          <w:rFonts w:ascii="Arial Black" w:hAnsi="Arial Black"/>
          <w:sz w:val="28"/>
          <w:szCs w:val="28"/>
        </w:rPr>
        <w:t>NY: FDNY INJURED - CAN SUE CONST. CO FOR DEBRY</w:t>
      </w:r>
    </w:p>
    <w:p w14:paraId="3745B5DA" w14:textId="77777777" w:rsidR="00D811D3" w:rsidRDefault="00D811D3" w:rsidP="00D811D3">
      <w:pPr>
        <w:spacing w:after="0"/>
      </w:pPr>
    </w:p>
    <w:p w14:paraId="085E443D" w14:textId="77777777" w:rsidR="00D811D3" w:rsidRDefault="00D811D3" w:rsidP="00D811D3">
      <w:pPr>
        <w:spacing w:after="0"/>
      </w:pPr>
      <w:r>
        <w:t xml:space="preserve">On Oct. 19, 2025, in </w:t>
      </w:r>
      <w:r w:rsidRPr="003A5D65">
        <w:rPr>
          <w:u w:val="single"/>
        </w:rPr>
        <w:t>Christopher Martucci v. 500 W25th Owner, LLC, et al</w:t>
      </w:r>
      <w:r>
        <w:t xml:space="preserve">., Judge Leslie A. Stroth, </w:t>
      </w:r>
      <w:r w:rsidRPr="009D7660">
        <w:t>Supreme Court, New York County</w:t>
      </w:r>
      <w:r>
        <w:t xml:space="preserve"> (unpublished opinion), held that the firefighter may proceed with his lawsuit under the New York statute that amended the “Fireman’s Rule.”  The NY state statute allows firefighters to sue a property owner for damages for </w:t>
      </w:r>
      <w:r w:rsidRPr="002A64EB">
        <w:t>failing to comply with the requirements of any statutes, ordinances, rules, orders and requirements of the federal, state ... or [local] governments' 'directly or indirectly' causes the firefighter's injury or death during the discharge of his or her duties</w:t>
      </w:r>
      <w:r>
        <w:t>. The firefighter injured his leg and arm on March 12, 2018, when moving a construction worker on a stokes basket after the worker’s recovery from a 30–</w:t>
      </w:r>
      <w:proofErr w:type="gramStart"/>
      <w:r>
        <w:t>40 foot</w:t>
      </w:r>
      <w:proofErr w:type="gramEnd"/>
      <w:r>
        <w:t xml:space="preserve"> pit. The firefighter says he fell when walking on “material piles” and this violated </w:t>
      </w:r>
      <w:r w:rsidRPr="00C833B7">
        <w:t>Industrial Code § 23-2.1(a)(1)</w:t>
      </w:r>
      <w:r>
        <w:t xml:space="preserve"> which requires building materials cannot </w:t>
      </w:r>
      <w:r w:rsidRPr="00C833B7">
        <w:t xml:space="preserve">obstruct any </w:t>
      </w:r>
      <w:r>
        <w:t>“</w:t>
      </w:r>
      <w:r w:rsidRPr="00C833B7">
        <w:t>passageway, walkway, stairway or other thoroughfare.</w:t>
      </w:r>
      <w:r>
        <w:t xml:space="preserve">”  </w:t>
      </w:r>
      <w:hyperlink r:id="rId422" w:history="1">
        <w:r w:rsidRPr="00356365">
          <w:rPr>
            <w:rStyle w:val="Hyperlink"/>
          </w:rPr>
          <w:t>https://cases.justia.com/new-york/other-courts/2025-2025-ny-slip-op-33918-u.pdf?ts=1761341322</w:t>
        </w:r>
      </w:hyperlink>
      <w:r>
        <w:t xml:space="preserve"> </w:t>
      </w:r>
    </w:p>
    <w:p w14:paraId="236C9C0C" w14:textId="77777777" w:rsidR="00D811D3" w:rsidRDefault="00D811D3" w:rsidP="00D811D3">
      <w:pPr>
        <w:spacing w:after="0"/>
      </w:pPr>
    </w:p>
    <w:p w14:paraId="18AB4191" w14:textId="77777777" w:rsidR="00D811D3" w:rsidRDefault="00D811D3" w:rsidP="00D811D3">
      <w:pPr>
        <w:spacing w:after="0"/>
      </w:pPr>
      <w:r>
        <w:t>THE COURT HELD:</w:t>
      </w:r>
    </w:p>
    <w:p w14:paraId="7CFF1CE8" w14:textId="77777777" w:rsidR="00D811D3" w:rsidRPr="00C833B7" w:rsidRDefault="00D811D3" w:rsidP="00D811D3">
      <w:pPr>
        <w:spacing w:after="0"/>
      </w:pPr>
    </w:p>
    <w:p w14:paraId="6204EA30" w14:textId="77777777" w:rsidR="00D811D3" w:rsidRDefault="00D811D3" w:rsidP="00D811D3">
      <w:pPr>
        <w:spacing w:after="0"/>
        <w:ind w:left="720"/>
      </w:pPr>
      <w:r>
        <w:t>“</w:t>
      </w:r>
      <w:r w:rsidRPr="00BB1B7E">
        <w:t xml:space="preserve">The Court finds that an issue of material fact remains as to whether there were </w:t>
      </w:r>
      <w:r>
        <w:t>‘</w:t>
      </w:r>
      <w:r w:rsidRPr="00BB1B7E">
        <w:t>material piles</w:t>
      </w:r>
      <w:r>
        <w:t xml:space="preserve">’ </w:t>
      </w:r>
      <w:r w:rsidRPr="00BB1B7E">
        <w:t xml:space="preserve">on a </w:t>
      </w:r>
      <w:r>
        <w:t>‘</w:t>
      </w:r>
      <w:r w:rsidRPr="00BB1B7E">
        <w:t>passageway, walkway, stairway or thoroughfare.</w:t>
      </w:r>
      <w:r>
        <w:t>’</w:t>
      </w:r>
    </w:p>
    <w:p w14:paraId="719921A8" w14:textId="77777777" w:rsidR="00D811D3" w:rsidRDefault="00D811D3" w:rsidP="00D811D3">
      <w:pPr>
        <w:spacing w:after="0"/>
        <w:ind w:left="720"/>
      </w:pPr>
    </w:p>
    <w:p w14:paraId="1AAD0B4A" w14:textId="77777777" w:rsidR="00D811D3" w:rsidRDefault="00D811D3" w:rsidP="00D811D3">
      <w:pPr>
        <w:spacing w:after="0"/>
        <w:ind w:left="720"/>
      </w:pPr>
      <w:r>
        <w:t>***</w:t>
      </w:r>
    </w:p>
    <w:p w14:paraId="7B96E707" w14:textId="77777777" w:rsidR="00D811D3" w:rsidRDefault="00D811D3" w:rsidP="00D811D3">
      <w:pPr>
        <w:spacing w:after="0"/>
        <w:ind w:left="720"/>
      </w:pPr>
    </w:p>
    <w:p w14:paraId="6729ECE1" w14:textId="77777777" w:rsidR="00D811D3" w:rsidRDefault="00D811D3" w:rsidP="00D811D3">
      <w:pPr>
        <w:spacing w:after="0"/>
        <w:ind w:left="720"/>
      </w:pPr>
      <w:r w:rsidRPr="00176E60">
        <w:t>Plaintiff alleges that he responded to an accident on a construction site located at 500 W 25 Street, New York, NY on March 12, 2018. A construction worker had been injured at the bottom of a large excavation pit that was approximately 30-40 feet deep and Plaintiff was dispatched as part of the FDNY Special Operations Rescue Unit. After the injured worker was pulled up from the excavation pit, Plaintiff assisted in carrying him in a titanium basket from the perimeter of the pit, across the construction site, and to the ambulance. As Plaintiff was transporting the injured worker, Plaintiff alleges that he had to step over large amounts of debris and material, that he lost his footing, and that he felt a pop and shooting pain in his left leg and a strain in his arm.</w:t>
      </w:r>
    </w:p>
    <w:p w14:paraId="4E715EF6" w14:textId="77777777" w:rsidR="00D811D3" w:rsidRDefault="00D811D3" w:rsidP="00D811D3">
      <w:pPr>
        <w:spacing w:after="0"/>
        <w:ind w:left="720"/>
      </w:pPr>
    </w:p>
    <w:p w14:paraId="6E54DA6E" w14:textId="77777777" w:rsidR="00D811D3" w:rsidRDefault="00D811D3" w:rsidP="00D811D3">
      <w:pPr>
        <w:spacing w:after="0"/>
        <w:ind w:left="720"/>
      </w:pPr>
      <w:r>
        <w:t>***</w:t>
      </w:r>
    </w:p>
    <w:p w14:paraId="484CB0B6" w14:textId="77777777" w:rsidR="00D811D3" w:rsidRDefault="00D811D3" w:rsidP="00D811D3">
      <w:pPr>
        <w:spacing w:after="0"/>
        <w:ind w:left="720"/>
      </w:pPr>
      <w:r w:rsidRPr="002A64EB">
        <w:t xml:space="preserve">General Municipal Law § 205-a provides an exception to the common-law </w:t>
      </w:r>
      <w:r>
        <w:t>‘</w:t>
      </w:r>
      <w:r w:rsidRPr="002A64EB">
        <w:t>firefighter rule,</w:t>
      </w:r>
      <w:r>
        <w:t>’</w:t>
      </w:r>
      <w:r w:rsidRPr="002A64EB">
        <w:t xml:space="preserve"> </w:t>
      </w:r>
      <w:r w:rsidRPr="002A64EB">
        <w:rPr>
          <w:i/>
          <w:iCs/>
        </w:rPr>
        <w:t>(</w:t>
      </w:r>
      <w:proofErr w:type="spellStart"/>
      <w:r w:rsidRPr="002A64EB">
        <w:rPr>
          <w:i/>
          <w:iCs/>
        </w:rPr>
        <w:t>Galapo</w:t>
      </w:r>
      <w:proofErr w:type="spellEnd"/>
      <w:r w:rsidRPr="002A64EB">
        <w:rPr>
          <w:i/>
          <w:iCs/>
        </w:rPr>
        <w:t xml:space="preserve"> v City of New York,</w:t>
      </w:r>
      <w:r w:rsidRPr="002A64EB">
        <w:t xml:space="preserve"> 95 N.Y.2d 568, 573 [2000]). Under General Municipal Law § 205-a, a firefighter has a right of action where </w:t>
      </w:r>
      <w:r>
        <w:t>‘</w:t>
      </w:r>
      <w:r w:rsidRPr="002A64EB">
        <w:t xml:space="preserve">the negligence of any person ... in failing to comply with the requirements of any statutes, ordinances, rules, orders and requirements of the federal, state ... or [local] governments' 'directly or indirectly' causes the firefighter's injury or death during the discharge of his or her duties </w:t>
      </w:r>
      <w:r w:rsidRPr="002A64EB">
        <w:rPr>
          <w:i/>
          <w:iCs/>
        </w:rPr>
        <w:t>(Giuffrida v Citibank Corp.,</w:t>
      </w:r>
      <w:r w:rsidRPr="002A64EB">
        <w:t xml:space="preserve"> 100 N.Y.2d 72, 77 [2003]).</w:t>
      </w:r>
      <w:r w:rsidRPr="00107955">
        <w:t>"the negligence of any person ... in failing to comply with the requirements of any statutes, ordinances, rules, orders and requirements of the federal, state ... or [local] governments</w:t>
      </w:r>
      <w:r>
        <w:t xml:space="preserve"> </w:t>
      </w:r>
      <w:r w:rsidRPr="00107955">
        <w:t>directly or indirectly causes the firefighter's injury or death during the discharge of his or her duties</w:t>
      </w:r>
      <w:r>
        <w:t>.”</w:t>
      </w:r>
    </w:p>
    <w:p w14:paraId="41240E9C" w14:textId="77777777" w:rsidR="00D811D3" w:rsidRDefault="00D811D3" w:rsidP="00D811D3">
      <w:pPr>
        <w:spacing w:after="0"/>
        <w:ind w:left="720"/>
      </w:pPr>
      <w:r>
        <w:t>***</w:t>
      </w:r>
    </w:p>
    <w:p w14:paraId="1F513E02" w14:textId="77777777" w:rsidR="00D811D3" w:rsidRDefault="00D811D3" w:rsidP="00D811D3">
      <w:pPr>
        <w:spacing w:after="0"/>
        <w:ind w:left="720"/>
      </w:pPr>
      <w:r w:rsidRPr="006404C4">
        <w:t xml:space="preserve">Additionally, Defendants argue that debris is not considered </w:t>
      </w:r>
      <w:r>
        <w:t>‘</w:t>
      </w:r>
      <w:r w:rsidRPr="006404C4">
        <w:t>material piles</w:t>
      </w:r>
      <w:r>
        <w:t>’</w:t>
      </w:r>
      <w:r w:rsidRPr="006404C4">
        <w:t xml:space="preserve"> under Industrial Code § 23-2.1(a)(1). </w:t>
      </w:r>
    </w:p>
    <w:p w14:paraId="0AC48335" w14:textId="77777777" w:rsidR="00D811D3" w:rsidRDefault="00D811D3" w:rsidP="00D811D3">
      <w:pPr>
        <w:spacing w:after="0"/>
        <w:ind w:left="720"/>
      </w:pPr>
    </w:p>
    <w:p w14:paraId="2FEA4FBD" w14:textId="77777777" w:rsidR="00D811D3" w:rsidRDefault="00D811D3" w:rsidP="00D811D3">
      <w:pPr>
        <w:spacing w:after="0"/>
        <w:ind w:left="720"/>
      </w:pPr>
      <w:r w:rsidRPr="006404C4">
        <w:t xml:space="preserve">Conversely, Plaintiff asserts that his testimony clearly demonstrates that he was injured </w:t>
      </w:r>
      <w:proofErr w:type="gramStart"/>
      <w:r w:rsidRPr="006404C4">
        <w:t>as a result of</w:t>
      </w:r>
      <w:proofErr w:type="gramEnd"/>
      <w:r w:rsidRPr="006404C4">
        <w:t xml:space="preserve"> materials and debris. Specifically, Plaintiff stated </w:t>
      </w:r>
      <w:r>
        <w:t>‘</w:t>
      </w:r>
      <w:r w:rsidRPr="006404C4">
        <w:t xml:space="preserve">I had to climb over and step on concrete forms of all different shapes and sizes, buckets, cut pieces of plywood, bits of construction, concrete and the dirt that was hardened from </w:t>
      </w:r>
      <w:r w:rsidRPr="006404C4">
        <w:lastRenderedPageBreak/>
        <w:t>you know, deep boot footprints and that's when the ground was just moving under me</w:t>
      </w:r>
      <w:r>
        <w:t>’</w:t>
      </w:r>
      <w:r w:rsidRPr="006404C4">
        <w:t xml:space="preserve"> (NYSCEF Doc. No. 188 at 65:3-11). Plaintiff further testified that he was in an area filled with debris and construction material</w:t>
      </w:r>
      <w:r>
        <w:t>….”</w:t>
      </w:r>
    </w:p>
    <w:p w14:paraId="4B01C413" w14:textId="77777777" w:rsidR="00D811D3" w:rsidRDefault="00D811D3" w:rsidP="00D811D3">
      <w:pPr>
        <w:spacing w:after="0"/>
        <w:ind w:left="720"/>
      </w:pPr>
    </w:p>
    <w:p w14:paraId="1DCBF282" w14:textId="742F4473" w:rsidR="00D811D3" w:rsidRPr="006404C4" w:rsidRDefault="00D811D3" w:rsidP="00D811D3">
      <w:pPr>
        <w:spacing w:after="0"/>
        <w:rPr>
          <w:b/>
          <w:bCs/>
        </w:rPr>
      </w:pPr>
      <w:r>
        <w:rPr>
          <w:b/>
        </w:rPr>
        <w:t>L</w:t>
      </w:r>
      <w:r w:rsidRPr="00CB20EE">
        <w:rPr>
          <w:b/>
        </w:rPr>
        <w:t xml:space="preserve">esson Learned:  </w:t>
      </w:r>
      <w:r>
        <w:rPr>
          <w:b/>
        </w:rPr>
        <w:t>The firefighter is covered by worker’s comp</w:t>
      </w:r>
      <w:r>
        <w:rPr>
          <w:b/>
          <w:bCs/>
        </w:rPr>
        <w:t>.</w:t>
      </w:r>
      <w:r>
        <w:rPr>
          <w:b/>
        </w:rPr>
        <w:t xml:space="preserve"> and may be able to obtain damages if he can prove a violation of the N.Y. Industrial Code. </w:t>
      </w:r>
    </w:p>
    <w:p w14:paraId="5F1EA07E" w14:textId="77777777" w:rsidR="00D811D3" w:rsidRDefault="00D811D3" w:rsidP="00646EE3">
      <w:pPr>
        <w:rPr>
          <w:rFonts w:ascii="Arial Black" w:hAnsi="Arial Black"/>
          <w:sz w:val="24"/>
          <w:szCs w:val="24"/>
        </w:rPr>
      </w:pPr>
    </w:p>
    <w:p w14:paraId="63645EE5" w14:textId="77777777" w:rsidR="001D5809" w:rsidRDefault="001D5809" w:rsidP="00646EE3">
      <w:pPr>
        <w:rPr>
          <w:rFonts w:ascii="Arial Black" w:hAnsi="Arial Black"/>
          <w:sz w:val="24"/>
          <w:szCs w:val="24"/>
        </w:rPr>
      </w:pPr>
    </w:p>
    <w:p w14:paraId="44166B6D" w14:textId="11864653" w:rsidR="001D5809" w:rsidRDefault="009B6C6E" w:rsidP="00646EE3">
      <w:pPr>
        <w:rPr>
          <w:rFonts w:ascii="Arial Black" w:hAnsi="Arial Black"/>
          <w:sz w:val="24"/>
          <w:szCs w:val="24"/>
        </w:rPr>
      </w:pPr>
      <w:r>
        <w:rPr>
          <w:rFonts w:ascii="Arial Black" w:hAnsi="Arial Black"/>
          <w:sz w:val="24"/>
          <w:szCs w:val="24"/>
        </w:rPr>
        <w:t>2-93</w:t>
      </w:r>
    </w:p>
    <w:p w14:paraId="4A29BA42" w14:textId="77777777" w:rsidR="009B6C6E" w:rsidRPr="003F3E92" w:rsidRDefault="009B6C6E" w:rsidP="009B6C6E">
      <w:pPr>
        <w:pStyle w:val="NoSpacing"/>
        <w:rPr>
          <w:rFonts w:ascii="Arial Black" w:hAnsi="Arial Black"/>
          <w:sz w:val="28"/>
          <w:szCs w:val="28"/>
        </w:rPr>
      </w:pPr>
      <w:r>
        <w:rPr>
          <w:rFonts w:ascii="Arial Black" w:hAnsi="Arial Black"/>
          <w:sz w:val="28"/>
          <w:szCs w:val="28"/>
        </w:rPr>
        <w:t xml:space="preserve">NY: FDNY – FIRE 2011 / CAN’T SUE LACK TRAINING ON TIC </w:t>
      </w:r>
    </w:p>
    <w:p w14:paraId="3DDB5F07" w14:textId="77777777" w:rsidR="009B6C6E" w:rsidRDefault="009B6C6E" w:rsidP="009B6C6E">
      <w:pPr>
        <w:pStyle w:val="NoSpacing"/>
      </w:pPr>
    </w:p>
    <w:p w14:paraId="23D95C59" w14:textId="77777777" w:rsidR="009B6C6E" w:rsidRDefault="009B6C6E" w:rsidP="009B6C6E">
      <w:pPr>
        <w:pStyle w:val="NoSpacing"/>
        <w:rPr>
          <w:b/>
        </w:rPr>
      </w:pPr>
      <w:r>
        <w:t xml:space="preserve">On Oct. 15, 2025, in </w:t>
      </w:r>
      <w:r w:rsidRPr="009D5624">
        <w:rPr>
          <w:u w:val="single"/>
        </w:rPr>
        <w:t>James Gersbeck v. Robert Wiedmann, Jr., et al., Haldane Rodgers, et al., defendants, City of New York, respondent</w:t>
      </w:r>
      <w:r>
        <w:t xml:space="preserve">, the </w:t>
      </w:r>
      <w:r w:rsidRPr="00684B09">
        <w:t>Supreme Court of New York, Second Department</w:t>
      </w:r>
      <w:r>
        <w:t xml:space="preserve"> held (5 to 0) that lawsuit was properly dismissed.  He was injured in a fire in December 2011. </w:t>
      </w:r>
      <w:r w:rsidRPr="002B7B2B">
        <w:t xml:space="preserve">In February 2013, the injured plaintiff and Catherine </w:t>
      </w:r>
      <w:proofErr w:type="gramStart"/>
      <w:r w:rsidRPr="002B7B2B">
        <w:t>Wiedmann,</w:t>
      </w:r>
      <w:proofErr w:type="gramEnd"/>
      <w:r w:rsidRPr="002B7B2B">
        <w:t xml:space="preserve"> commenced this action against the </w:t>
      </w:r>
      <w:proofErr w:type="gramStart"/>
      <w:r w:rsidRPr="002B7B2B">
        <w:t>City</w:t>
      </w:r>
      <w:proofErr w:type="gramEnd"/>
      <w:r>
        <w:t xml:space="preserve">.  </w:t>
      </w:r>
      <w:r w:rsidRPr="008C7C72">
        <w:t xml:space="preserve">In March 2012, </w:t>
      </w:r>
      <w:r>
        <w:t xml:space="preserve">he </w:t>
      </w:r>
      <w:r w:rsidRPr="008C7C72">
        <w:t xml:space="preserve">filed a notice of claim with the City of New York alleging that the </w:t>
      </w:r>
      <w:proofErr w:type="gramStart"/>
      <w:r w:rsidRPr="008C7C72">
        <w:t>City</w:t>
      </w:r>
      <w:proofErr w:type="gramEnd"/>
      <w:r w:rsidRPr="008C7C72">
        <w:t xml:space="preserve"> was negligent</w:t>
      </w:r>
      <w:r>
        <w:t xml:space="preserve"> in training on use of thermal imaging camera (TIC)</w:t>
      </w:r>
      <w:r w:rsidRPr="008C7C72">
        <w:t xml:space="preserve">. </w:t>
      </w:r>
      <w:r>
        <w:t xml:space="preserve"> </w:t>
      </w:r>
      <w:r w:rsidRPr="008C7C72">
        <w:t xml:space="preserve">A hearing was held, and an investigation by </w:t>
      </w:r>
      <w:proofErr w:type="gramStart"/>
      <w:r w:rsidRPr="008C7C72">
        <w:t>the FDNY</w:t>
      </w:r>
      <w:proofErr w:type="gramEnd"/>
      <w:r w:rsidRPr="008C7C72">
        <w:t xml:space="preserve"> was conducted.</w:t>
      </w:r>
      <w:r>
        <w:t xml:space="preserve">  His </w:t>
      </w:r>
      <w:r w:rsidRPr="00272AE0">
        <w:t>theory of liability that the defendant failed to properly follow an FDNY internal training bulletin regarding the use of thermal imaging cameras—</w:t>
      </w:r>
      <w:r>
        <w:t xml:space="preserve"> </w:t>
      </w:r>
      <w:r w:rsidRPr="00272AE0">
        <w:t>does not fall within the scope of General Municipal Law § 205-a</w:t>
      </w:r>
      <w:r>
        <w:t xml:space="preserve">.  </w:t>
      </w:r>
      <w:hyperlink r:id="rId423" w:history="1">
        <w:r w:rsidRPr="0024236A">
          <w:rPr>
            <w:rStyle w:val="Hyperlink"/>
            <w:b/>
          </w:rPr>
          <w:t>https://law.justia.com/cases/new-york/appellate-division-second-department/2025/2024-09583.html</w:t>
        </w:r>
      </w:hyperlink>
      <w:r>
        <w:rPr>
          <w:b/>
        </w:rPr>
        <w:t xml:space="preserve"> </w:t>
      </w:r>
    </w:p>
    <w:p w14:paraId="64B87CC6" w14:textId="77777777" w:rsidR="009B6C6E" w:rsidRDefault="009B6C6E" w:rsidP="009B6C6E">
      <w:pPr>
        <w:pStyle w:val="NoSpacing"/>
      </w:pPr>
      <w:r>
        <w:t xml:space="preserve"> </w:t>
      </w:r>
    </w:p>
    <w:p w14:paraId="1497ABD9" w14:textId="77777777" w:rsidR="009B6C6E" w:rsidRDefault="009B6C6E" w:rsidP="009B6C6E">
      <w:pPr>
        <w:pStyle w:val="NoSpacing"/>
      </w:pPr>
      <w:r>
        <w:t>THE COURT HELD:</w:t>
      </w:r>
    </w:p>
    <w:p w14:paraId="19A8573C" w14:textId="77777777" w:rsidR="009B6C6E" w:rsidRDefault="009B6C6E" w:rsidP="009B6C6E">
      <w:pPr>
        <w:pStyle w:val="NoSpacing"/>
      </w:pPr>
    </w:p>
    <w:p w14:paraId="6A276380" w14:textId="77777777" w:rsidR="009B6C6E" w:rsidRDefault="009B6C6E" w:rsidP="009B6C6E">
      <w:pPr>
        <w:pStyle w:val="NoSpacing"/>
        <w:ind w:left="720"/>
      </w:pPr>
      <w:r>
        <w:t>“</w:t>
      </w:r>
      <w:r w:rsidRPr="00287D80">
        <w:t xml:space="preserve">Contrary to the plaintiffs' contention, the court properly determined that their notice of claim was insufficient to enable the </w:t>
      </w:r>
      <w:proofErr w:type="gramStart"/>
      <w:r w:rsidRPr="00287D80">
        <w:t>City</w:t>
      </w:r>
      <w:proofErr w:type="gramEnd"/>
      <w:r w:rsidRPr="00287D80">
        <w:t xml:space="preserve"> to investigate, collect evidence, and evaluate the merits</w:t>
      </w:r>
      <w:r>
        <w:t xml:space="preserve"> </w:t>
      </w:r>
      <w:r w:rsidRPr="00287D80">
        <w:t>of the plaintiffs' allegations regarding negligent training in violation of General Municipal Law § 205-a.</w:t>
      </w:r>
    </w:p>
    <w:p w14:paraId="04210304" w14:textId="77777777" w:rsidR="009B6C6E" w:rsidRDefault="009B6C6E" w:rsidP="009B6C6E">
      <w:pPr>
        <w:pStyle w:val="NoSpacing"/>
        <w:ind w:left="720"/>
      </w:pPr>
    </w:p>
    <w:p w14:paraId="017D57F2" w14:textId="77777777" w:rsidR="009B6C6E" w:rsidRDefault="009B6C6E" w:rsidP="009B6C6E">
      <w:pPr>
        <w:pStyle w:val="NoSpacing"/>
        <w:ind w:left="720"/>
      </w:pPr>
      <w:r>
        <w:t>***</w:t>
      </w:r>
    </w:p>
    <w:p w14:paraId="40A387D3" w14:textId="77777777" w:rsidR="009B6C6E" w:rsidRDefault="009B6C6E" w:rsidP="009B6C6E">
      <w:pPr>
        <w:pStyle w:val="NoSpacing"/>
        <w:ind w:left="720"/>
      </w:pPr>
      <w:r w:rsidRPr="00E426EA">
        <w:t>Here, the plaintiffs' notice of claim failed to set forth any negligent training allegations that could later form the basis of their cause of action alleging a violation of General Municipal Law § 205-a.</w:t>
      </w:r>
    </w:p>
    <w:p w14:paraId="5C9E8A3C" w14:textId="77777777" w:rsidR="009B6C6E" w:rsidRDefault="009B6C6E" w:rsidP="009B6C6E">
      <w:pPr>
        <w:pStyle w:val="NoSpacing"/>
        <w:ind w:left="720"/>
      </w:pPr>
    </w:p>
    <w:p w14:paraId="492A0A45" w14:textId="77777777" w:rsidR="009B6C6E" w:rsidRDefault="009B6C6E" w:rsidP="009B6C6E">
      <w:pPr>
        <w:pStyle w:val="NoSpacing"/>
        <w:ind w:left="720"/>
      </w:pPr>
      <w:r>
        <w:t>***</w:t>
      </w:r>
    </w:p>
    <w:p w14:paraId="6CD8D72D" w14:textId="77777777" w:rsidR="009B6C6E" w:rsidRDefault="009B6C6E" w:rsidP="009B6C6E">
      <w:pPr>
        <w:pStyle w:val="NoSpacing"/>
        <w:ind w:left="720"/>
      </w:pPr>
      <w:r>
        <w:t>‘</w:t>
      </w:r>
      <w:r w:rsidRPr="008E352B">
        <w:t>General Municipal Law § 205-a establishes the right of an injured firefighter to recover against any party whose neglect or omission to comply with governmental requirements results directly or indirectly in the firefighter's injury</w:t>
      </w:r>
      <w:r>
        <w:t>’</w:t>
      </w:r>
      <w:r w:rsidRPr="008E352B">
        <w:t xml:space="preserve"> (</w:t>
      </w:r>
      <w:r w:rsidRPr="008E352B">
        <w:rPr>
          <w:i/>
          <w:iCs/>
        </w:rPr>
        <w:t>Annunziata v City of New York</w:t>
      </w:r>
      <w:r w:rsidRPr="008E352B">
        <w:t xml:space="preserve">, 175 AD3d 438, 442 [internal quotation marks omitted]; </w:t>
      </w:r>
      <w:r w:rsidRPr="008E352B">
        <w:rPr>
          <w:i/>
          <w:iCs/>
        </w:rPr>
        <w:t>see Shea v New York City Economic Dev. Corp.</w:t>
      </w:r>
      <w:r w:rsidRPr="008E352B">
        <w:t xml:space="preserve">, 161 AD3d 803, 805). </w:t>
      </w:r>
      <w:r>
        <w:t>‘</w:t>
      </w:r>
      <w:r w:rsidRPr="008E352B">
        <w:t>A plaintiff seeking recovery under General Municipal Law § 205-a must identify the statute or ordinance with which the defendant failed to comply, describe the manner in which the firefighter was injured, and set forth those facts from which it may be inferred that the defendant's negligence directly or indirectly caused the harm to the firefighter</w:t>
      </w:r>
      <w:r>
        <w:t>’</w:t>
      </w:r>
      <w:r w:rsidRPr="008E352B">
        <w:t xml:space="preserve"> (</w:t>
      </w:r>
      <w:r w:rsidRPr="008E352B">
        <w:rPr>
          <w:i/>
          <w:iCs/>
        </w:rPr>
        <w:t>Annunziata v City of New York</w:t>
      </w:r>
      <w:r w:rsidRPr="008E352B">
        <w:t xml:space="preserve">, 175 AD3d at 442 [alteration and internal quotation marks omitted]; </w:t>
      </w:r>
      <w:r w:rsidRPr="008E352B">
        <w:rPr>
          <w:i/>
          <w:iCs/>
        </w:rPr>
        <w:t>see Shea v New York City Economic Dev. Corp.</w:t>
      </w:r>
      <w:r w:rsidRPr="008E352B">
        <w:t>, 161 AD3d at 805).</w:t>
      </w:r>
      <w:r>
        <w:t>”</w:t>
      </w:r>
    </w:p>
    <w:p w14:paraId="55C3B895" w14:textId="77777777" w:rsidR="009B6C6E" w:rsidRDefault="009B6C6E" w:rsidP="009B6C6E">
      <w:pPr>
        <w:pStyle w:val="NoSpacing"/>
        <w:ind w:left="720"/>
      </w:pPr>
    </w:p>
    <w:p w14:paraId="508D00DF" w14:textId="631FD494" w:rsidR="009B6C6E" w:rsidRDefault="009B6C6E" w:rsidP="009B6C6E">
      <w:pPr>
        <w:pStyle w:val="NoSpacing"/>
        <w:rPr>
          <w:b/>
          <w:bCs/>
        </w:rPr>
      </w:pPr>
      <w:r>
        <w:rPr>
          <w:b/>
        </w:rPr>
        <w:t xml:space="preserve">Lesson learned:  The NY law allowing injured </w:t>
      </w:r>
      <w:proofErr w:type="gramStart"/>
      <w:r>
        <w:rPr>
          <w:b/>
        </w:rPr>
        <w:t>firefighter</w:t>
      </w:r>
      <w:proofErr w:type="gramEnd"/>
      <w:r>
        <w:rPr>
          <w:b/>
        </w:rPr>
        <w:t xml:space="preserve"> and police to sue third parties requires proof of violation of regulations. </w:t>
      </w:r>
    </w:p>
    <w:p w14:paraId="4C67558F" w14:textId="77777777" w:rsidR="009B6C6E" w:rsidRDefault="009B6C6E" w:rsidP="009B6C6E">
      <w:pPr>
        <w:pStyle w:val="NoSpacing"/>
        <w:rPr>
          <w:b/>
          <w:bCs/>
        </w:rPr>
      </w:pPr>
    </w:p>
    <w:p w14:paraId="334A3407" w14:textId="77777777" w:rsidR="009B6C6E" w:rsidRDefault="009B6C6E" w:rsidP="009B6C6E">
      <w:pPr>
        <w:pStyle w:val="NoSpacing"/>
        <w:ind w:left="720"/>
        <w:rPr>
          <w:bCs/>
        </w:rPr>
      </w:pPr>
      <w:r>
        <w:t xml:space="preserve">Note:  Read the statute: </w:t>
      </w:r>
      <w:r w:rsidRPr="00997FE5">
        <w:t>New York Consolidated Laws, General Municipal Law - GMU § 205-a. Additional right of action to certain injured or representatives of certain deceased firefighters</w:t>
      </w:r>
    </w:p>
    <w:p w14:paraId="40BACBA8" w14:textId="77777777" w:rsidR="009B6C6E" w:rsidRPr="00997FE5" w:rsidRDefault="009B6C6E" w:rsidP="009B6C6E">
      <w:pPr>
        <w:pStyle w:val="NoSpacing"/>
        <w:ind w:left="720"/>
        <w:rPr>
          <w:bCs/>
        </w:rPr>
      </w:pPr>
      <w:hyperlink r:id="rId424" w:history="1">
        <w:r w:rsidRPr="0024236A">
          <w:rPr>
            <w:rStyle w:val="Hyperlink"/>
          </w:rPr>
          <w:t>https://codes.findlaw.com/ny/general-municipal-law/gmu-sect-205-a/</w:t>
        </w:r>
      </w:hyperlink>
      <w:r>
        <w:t xml:space="preserve"> </w:t>
      </w:r>
    </w:p>
    <w:p w14:paraId="5923C113" w14:textId="77777777" w:rsidR="009B6C6E" w:rsidRDefault="009B6C6E" w:rsidP="009B6C6E">
      <w:pPr>
        <w:pStyle w:val="NoSpacing"/>
      </w:pPr>
    </w:p>
    <w:p w14:paraId="4BB2D5F6" w14:textId="77777777" w:rsidR="009B6C6E" w:rsidRPr="00E12E19" w:rsidRDefault="009B6C6E" w:rsidP="009B6C6E">
      <w:pPr>
        <w:pStyle w:val="NoSpacing"/>
        <w:ind w:left="720"/>
      </w:pPr>
      <w:r>
        <w:lastRenderedPageBreak/>
        <w:t>“</w:t>
      </w:r>
      <w:r w:rsidRPr="00E12E19">
        <w:t>In addition to any other right of action or recovery under any other provision of law, in the event any accident, causing injury, death or a disease which results in death, occurs directly or indirectly as a result of any neglect, omission, willful or culpable negligence of any person or persons in failing to comply with the requirements of any of the statutes, ordinances, rules, orders and requirements of the federal, state, county, village, town or city governments or of any and all their departments, divisions and bureaus, the person or persons guilty of said neglect, omission, willful or culpable negligence at the time of such injury or death shall be liable to pay any officer, member, agent or employee of any fire department injured, or whose life may be lost while in the discharge or performance at any time or place of any duty imposed by the fire commissioner, fire chief or other superior officer of the fire department, or to pay to the wife and children, or to pay to the parents, or to pay to the brothers and sisters, being the surviving heirs-at-law of any deceased person thus having lost his life, a sum of money, in case of injury to person, not less than ten thousand dollars, and in case of death not less than forty thousand dollars, such liability to be determined and such sums recovered in an action to be instituted by any person injured or the family or relatives of any person killed as aforesaid.</w:t>
      </w:r>
      <w:r>
        <w:t>”</w:t>
      </w:r>
    </w:p>
    <w:p w14:paraId="4E87C8A8" w14:textId="77777777" w:rsidR="009B6C6E" w:rsidRDefault="009B6C6E" w:rsidP="00646EE3">
      <w:pPr>
        <w:rPr>
          <w:rFonts w:ascii="Arial Black" w:hAnsi="Arial Black"/>
          <w:sz w:val="24"/>
          <w:szCs w:val="24"/>
        </w:rPr>
      </w:pPr>
    </w:p>
    <w:p w14:paraId="23027C93" w14:textId="77777777" w:rsidR="001D5809" w:rsidRDefault="001D5809" w:rsidP="00646EE3">
      <w:pPr>
        <w:rPr>
          <w:rFonts w:ascii="Arial Black" w:hAnsi="Arial Black"/>
          <w:sz w:val="24"/>
          <w:szCs w:val="24"/>
        </w:rPr>
      </w:pPr>
    </w:p>
    <w:p w14:paraId="68A35A19" w14:textId="2B2419E7" w:rsidR="000D2571" w:rsidRDefault="000D2571" w:rsidP="00646EE3">
      <w:pPr>
        <w:rPr>
          <w:rFonts w:ascii="Arial Black" w:hAnsi="Arial Black"/>
          <w:sz w:val="24"/>
          <w:szCs w:val="24"/>
        </w:rPr>
      </w:pPr>
      <w:r>
        <w:rPr>
          <w:rFonts w:ascii="Arial Black" w:hAnsi="Arial Black"/>
          <w:sz w:val="24"/>
          <w:szCs w:val="24"/>
        </w:rPr>
        <w:t>2-9</w:t>
      </w:r>
      <w:r w:rsidR="00393C3E">
        <w:rPr>
          <w:rFonts w:ascii="Arial Black" w:hAnsi="Arial Black"/>
          <w:sz w:val="24"/>
          <w:szCs w:val="24"/>
        </w:rPr>
        <w:t>2</w:t>
      </w:r>
    </w:p>
    <w:p w14:paraId="667789B7" w14:textId="5DB041DD" w:rsidR="000D2571" w:rsidRDefault="000D2571" w:rsidP="000D2571">
      <w:pPr>
        <w:rPr>
          <w:rFonts w:ascii="Arial Black" w:hAnsi="Arial Black"/>
          <w:b/>
          <w:sz w:val="28"/>
          <w:szCs w:val="28"/>
        </w:rPr>
      </w:pPr>
      <w:r>
        <w:rPr>
          <w:rFonts w:ascii="Arial Black" w:hAnsi="Arial Black"/>
          <w:b/>
          <w:sz w:val="28"/>
          <w:szCs w:val="28"/>
        </w:rPr>
        <w:t xml:space="preserve">NY: LODD - BDG INSPEC ARRESTED - FALSE STATE REPORTS </w:t>
      </w:r>
    </w:p>
    <w:p w14:paraId="12EB1391" w14:textId="77777777" w:rsidR="000D2571" w:rsidRDefault="000D2571" w:rsidP="000D2571">
      <w:pPr>
        <w:pStyle w:val="NoSpacing"/>
        <w:rPr>
          <w:bCs/>
        </w:rPr>
      </w:pPr>
      <w:r>
        <w:t xml:space="preserve">On September 2, 2025, in </w:t>
      </w:r>
      <w:r w:rsidRPr="00A91A31">
        <w:rPr>
          <w:u w:val="single"/>
        </w:rPr>
        <w:t>Raymond Canario v. The County of Rockland, et al</w:t>
      </w:r>
      <w:r>
        <w:t xml:space="preserve">., U.S. District Court Judge Kenneth M. Karas, United States District Court for the Southern District of New York, dismissed the false arrest lawsuit by the former Assistant Building Inspector, who was charged with submitting false reports to the state about building inspections in Spring Valley, NY.  He was arrested and indicted but at bench trial was found not guilty since no intent to defraud.    The investigation of building inspections was launched by District Attorney after the </w:t>
      </w:r>
      <w:r w:rsidRPr="00534AF1">
        <w:t xml:space="preserve">March 23, </w:t>
      </w:r>
      <w:proofErr w:type="gramStart"/>
      <w:r w:rsidRPr="00534AF1">
        <w:t>2021</w:t>
      </w:r>
      <w:proofErr w:type="gramEnd"/>
      <w:r>
        <w:t xml:space="preserve"> </w:t>
      </w:r>
      <w:r w:rsidRPr="00534AF1">
        <w:t xml:space="preserve">fire at the Evergreen Court Home for Adults, </w:t>
      </w:r>
      <w:r>
        <w:t xml:space="preserve">which killed </w:t>
      </w:r>
      <w:r w:rsidRPr="00534AF1">
        <w:t>a</w:t>
      </w:r>
      <w:r>
        <w:t xml:space="preserve"> </w:t>
      </w:r>
      <w:r w:rsidRPr="00534AF1">
        <w:t xml:space="preserve">firefighter </w:t>
      </w:r>
      <w:r>
        <w:t xml:space="preserve">(volunteer </w:t>
      </w:r>
      <w:r w:rsidRPr="003178B7">
        <w:t>Jared Lloyd</w:t>
      </w:r>
      <w:r>
        <w:rPr>
          <w:b/>
        </w:rPr>
        <w:t xml:space="preserve">) </w:t>
      </w:r>
      <w:r w:rsidRPr="00534AF1">
        <w:t>and a resident</w:t>
      </w:r>
      <w:r>
        <w:t>.  In September 2023, t</w:t>
      </w:r>
      <w:r w:rsidRPr="00BB5EAD">
        <w:t>wo rabbis, a father and son, were sentenced to probation following a plea deal</w:t>
      </w:r>
      <w:r>
        <w:t xml:space="preserve">; they had used a </w:t>
      </w:r>
      <w:r w:rsidRPr="00D01FB6">
        <w:t>blowtorch to clean the kitchen and utensils of traces of forbidden food before Passover.</w:t>
      </w:r>
    </w:p>
    <w:p w14:paraId="5F5A4C3C" w14:textId="77777777" w:rsidR="000D2571" w:rsidRDefault="000D2571" w:rsidP="000D2571">
      <w:pPr>
        <w:pStyle w:val="NoSpacing"/>
        <w:rPr>
          <w:bCs/>
        </w:rPr>
      </w:pPr>
    </w:p>
    <w:p w14:paraId="262B7A3B" w14:textId="77777777" w:rsidR="000D2571" w:rsidRDefault="000D2571" w:rsidP="000D2571">
      <w:pPr>
        <w:pStyle w:val="NoSpacing"/>
      </w:pPr>
      <w:r w:rsidRPr="002C4FA3">
        <w:rPr>
          <w:b/>
        </w:rPr>
        <w:t xml:space="preserve">THE COURT HELD: </w:t>
      </w:r>
      <w:r>
        <w:t>“</w:t>
      </w:r>
      <w:r w:rsidRPr="00AC5646">
        <w:t>Even drawing inferences in Plaintiff’s</w:t>
      </w:r>
      <w:r>
        <w:t xml:space="preserve"> </w:t>
      </w:r>
      <w:r w:rsidRPr="00AC5646">
        <w:t>favor, the totality of the circumstances supports the existence of probable cause to arrest Plaintiff</w:t>
      </w:r>
      <w:r>
        <w:t xml:space="preserve"> </w:t>
      </w:r>
      <w:r w:rsidRPr="00AC5646">
        <w:t>for offering a false instrument for filing in the first degree.</w:t>
      </w:r>
      <w:r>
        <w:t xml:space="preserve"> These discrepancies may reasonably be seen as false statements or false information, and there is no dispute that the New York Department of State is an entity covered by the statute…. Accordingly, because there was probable cause to arrest, the Court dismisses Plaintiff’s false arrest claims.”  </w:t>
      </w:r>
      <w:hyperlink r:id="rId425" w:history="1">
        <w:r w:rsidRPr="00FC5CC7">
          <w:rPr>
            <w:rStyle w:val="Hyperlink"/>
          </w:rPr>
          <w:t>https://cases.justia.com/federal/district-courts/new-york/nysdce/7:2024cv04470/623029/85/0.pdf?ts=1756903853</w:t>
        </w:r>
      </w:hyperlink>
      <w:r>
        <w:t xml:space="preserve"> </w:t>
      </w:r>
    </w:p>
    <w:p w14:paraId="6CFCFA81" w14:textId="77777777" w:rsidR="000D2571" w:rsidRDefault="000D2571" w:rsidP="000D2571">
      <w:pPr>
        <w:pStyle w:val="NoSpacing"/>
      </w:pPr>
    </w:p>
    <w:p w14:paraId="4023153C" w14:textId="77777777" w:rsidR="000D2571" w:rsidRDefault="000D2571" w:rsidP="000D2571">
      <w:pPr>
        <w:pStyle w:val="NoSpacing"/>
        <w:rPr>
          <w:b/>
          <w:bCs/>
        </w:rPr>
      </w:pPr>
      <w:r w:rsidRPr="00E4138B">
        <w:rPr>
          <w:b/>
        </w:rPr>
        <w:t xml:space="preserve">KEY FACTS: </w:t>
      </w:r>
    </w:p>
    <w:p w14:paraId="1CF267B4" w14:textId="77777777" w:rsidR="000D2571" w:rsidRDefault="000D2571" w:rsidP="000D2571">
      <w:pPr>
        <w:pStyle w:val="NoSpacing"/>
        <w:rPr>
          <w:b/>
          <w:bCs/>
        </w:rPr>
      </w:pPr>
    </w:p>
    <w:p w14:paraId="1A81341E" w14:textId="77777777" w:rsidR="000D2571" w:rsidRPr="00E4138B" w:rsidRDefault="000D2571" w:rsidP="000D2571">
      <w:pPr>
        <w:pStyle w:val="NoSpacing"/>
        <w:ind w:firstLine="720"/>
      </w:pPr>
      <w:r>
        <w:t>“</w:t>
      </w:r>
      <w:r w:rsidRPr="00E4138B">
        <w:t>In April 2019, Plaintiff was hired as Assistant Building Inspector by the mayor of Spring</w:t>
      </w:r>
    </w:p>
    <w:p w14:paraId="69B92090" w14:textId="77777777" w:rsidR="000D2571" w:rsidRPr="00E4138B" w:rsidRDefault="000D2571" w:rsidP="000D2571">
      <w:pPr>
        <w:pStyle w:val="NoSpacing"/>
        <w:ind w:firstLine="720"/>
      </w:pPr>
      <w:r w:rsidRPr="00E4138B">
        <w:t>Valley, New York</w:t>
      </w:r>
      <w:r>
        <w:t xml:space="preserve">…. </w:t>
      </w:r>
      <w:r w:rsidRPr="00E4138B">
        <w:t>19 N.Y.C.R.R. § 1203 requires that municipalities like</w:t>
      </w:r>
    </w:p>
    <w:p w14:paraId="7E2320F4" w14:textId="77777777" w:rsidR="000D2571" w:rsidRDefault="000D2571" w:rsidP="000D2571">
      <w:pPr>
        <w:pStyle w:val="NoSpacing"/>
        <w:ind w:left="720"/>
      </w:pPr>
      <w:r w:rsidRPr="00E4138B">
        <w:t xml:space="preserve">Spring Valley </w:t>
      </w:r>
      <w:r>
        <w:t>‘</w:t>
      </w:r>
      <w:r w:rsidRPr="00E4138B">
        <w:t xml:space="preserve">annually </w:t>
      </w:r>
      <w:proofErr w:type="gramStart"/>
      <w:r w:rsidRPr="00E4138B">
        <w:t>submit</w:t>
      </w:r>
      <w:proofErr w:type="gramEnd"/>
      <w:r w:rsidRPr="00E4138B">
        <w:t xml:space="preserve"> to the [New York] Secretary of State . . . a report of its activities</w:t>
      </w:r>
      <w:r>
        <w:t xml:space="preserve"> </w:t>
      </w:r>
      <w:proofErr w:type="gramStart"/>
      <w:r w:rsidRPr="00E4138B">
        <w:t>relative</w:t>
      </w:r>
      <w:proofErr w:type="gramEnd"/>
      <w:r w:rsidRPr="00E4138B">
        <w:t xml:space="preserve"> to administration and enforcement of the [New York State Uniform Fire Prevention and</w:t>
      </w:r>
      <w:r>
        <w:t xml:space="preserve"> </w:t>
      </w:r>
      <w:r w:rsidRPr="00E4138B">
        <w:t>Building Code and the New York State Energy Conservation Construction Code].</w:t>
      </w:r>
      <w:r>
        <w:t xml:space="preserve">’ … These reports are also called “1203 Reports.”… Plaintiff was assigned to file 1203 Reports…. Plaintiff, who had no prior experience as a building inspector, was supposed to report to the Building Inspector, a position that was vacant…. Plaintiff had difficulty completing the 1203 Reports, … and based his reporting ‘upon charts noting inspection status provided by the staff [and] not from personal visits and investigations,’ which Plaintiff “believe[ed] . . . accurately reflected . . . [building] inspections,’ </w:t>
      </w:r>
      <w:proofErr w:type="gramStart"/>
      <w:r>
        <w:t>…..</w:t>
      </w:r>
      <w:proofErr w:type="gramEnd"/>
      <w:r>
        <w:t xml:space="preserve"> Plaintiff characterized the information contained in the 1203 Reports that he submitted as ‘an estimate.’ </w:t>
      </w:r>
    </w:p>
    <w:p w14:paraId="24B43F62" w14:textId="77777777" w:rsidR="000D2571" w:rsidRDefault="000D2571" w:rsidP="000D2571">
      <w:pPr>
        <w:pStyle w:val="NoSpacing"/>
        <w:ind w:left="720"/>
      </w:pPr>
    </w:p>
    <w:p w14:paraId="31F04721" w14:textId="77777777" w:rsidR="000D2571" w:rsidRDefault="000D2571" w:rsidP="000D2571">
      <w:pPr>
        <w:pStyle w:val="NoSpacing"/>
        <w:ind w:left="720"/>
      </w:pPr>
      <w:r>
        <w:t>***</w:t>
      </w:r>
    </w:p>
    <w:p w14:paraId="69E57D20" w14:textId="77777777" w:rsidR="000D2571" w:rsidRDefault="000D2571" w:rsidP="000D2571">
      <w:pPr>
        <w:pStyle w:val="NoSpacing"/>
        <w:ind w:left="720"/>
      </w:pPr>
      <w:r>
        <w:t>The 1203 Reports list information including, for example, the number of building permits</w:t>
      </w:r>
    </w:p>
    <w:p w14:paraId="23FE210C" w14:textId="77777777" w:rsidR="000D2571" w:rsidRDefault="000D2571" w:rsidP="000D2571">
      <w:pPr>
        <w:pStyle w:val="NoSpacing"/>
        <w:ind w:left="720"/>
      </w:pPr>
      <w:r>
        <w:lastRenderedPageBreak/>
        <w:t xml:space="preserve">issued by building type, the number of buildings by type and how many of each were inspected in the last year, and the number of new constructions complete and percentage thereof that are at least 90% compliant…. </w:t>
      </w:r>
    </w:p>
    <w:p w14:paraId="67469CD4" w14:textId="77777777" w:rsidR="000D2571" w:rsidRDefault="000D2571" w:rsidP="000D2571">
      <w:pPr>
        <w:pStyle w:val="NoSpacing"/>
        <w:ind w:left="720"/>
      </w:pPr>
    </w:p>
    <w:p w14:paraId="1AFB5832" w14:textId="77777777" w:rsidR="000D2571" w:rsidRDefault="000D2571" w:rsidP="000D2571">
      <w:pPr>
        <w:pStyle w:val="NoSpacing"/>
        <w:ind w:left="720"/>
      </w:pPr>
      <w:r>
        <w:t>On March 23, 2021, a fire ignited at the Evergreen Court Home for Adults, killing a</w:t>
      </w:r>
    </w:p>
    <w:p w14:paraId="37732E36" w14:textId="77777777" w:rsidR="000D2571" w:rsidRDefault="000D2571" w:rsidP="000D2571">
      <w:pPr>
        <w:pStyle w:val="NoSpacing"/>
        <w:ind w:left="720"/>
      </w:pPr>
      <w:r>
        <w:t>firefighter and a resident…. The Spring Valley Police Department investigated the fire and concluded its investigation without making any arrests….Plaintiff alleges that, after the police department’s investigation concluded, the DA’s Office ‘took up the criminal investigation,’ at least partly because ‘[t]he local media was pressuring [District Attorney] Walsh to punish someone for the deadly fire.’</w:t>
      </w:r>
    </w:p>
    <w:p w14:paraId="58C0A25C" w14:textId="77777777" w:rsidR="000D2571" w:rsidRDefault="000D2571" w:rsidP="000D2571">
      <w:pPr>
        <w:pStyle w:val="NoSpacing"/>
        <w:ind w:left="720"/>
      </w:pPr>
    </w:p>
    <w:p w14:paraId="71218DF8" w14:textId="77777777" w:rsidR="000D2571" w:rsidRDefault="000D2571" w:rsidP="000D2571">
      <w:pPr>
        <w:pStyle w:val="NoSpacing"/>
        <w:ind w:left="720"/>
      </w:pPr>
      <w:r>
        <w:t>***</w:t>
      </w:r>
    </w:p>
    <w:p w14:paraId="2F50482C" w14:textId="77777777" w:rsidR="000D2571" w:rsidRDefault="000D2571" w:rsidP="000D2571">
      <w:pPr>
        <w:pStyle w:val="NoSpacing"/>
        <w:ind w:left="720"/>
      </w:pPr>
      <w:r>
        <w:t>On June 28, 2021, Chief Criminal Investigator Walker signed a felony complaint that</w:t>
      </w:r>
    </w:p>
    <w:p w14:paraId="35ED9B2C" w14:textId="77777777" w:rsidR="000D2571" w:rsidRDefault="000D2571" w:rsidP="000D2571">
      <w:pPr>
        <w:pStyle w:val="NoSpacing"/>
        <w:ind w:left="720"/>
      </w:pPr>
      <w:r>
        <w:t>charged Plaintiff with three counts of offering a false instrument for filing in the first degree and three counts of falsifying business records in the second degree…. On June 29, 2021, Plaintiff was arrested and given a desk appearance ticket…. Wayne Ballard, another building inspector, was also arrested.</w:t>
      </w:r>
    </w:p>
    <w:p w14:paraId="7766C2FE" w14:textId="77777777" w:rsidR="000D2571" w:rsidRDefault="000D2571" w:rsidP="000D2571">
      <w:pPr>
        <w:pStyle w:val="NoSpacing"/>
      </w:pPr>
    </w:p>
    <w:p w14:paraId="3C538C93" w14:textId="77777777" w:rsidR="000D2571" w:rsidRDefault="000D2571" w:rsidP="000D2571">
      <w:pPr>
        <w:pStyle w:val="NoSpacing"/>
      </w:pPr>
      <w:r>
        <w:tab/>
        <w:t xml:space="preserve">*** </w:t>
      </w:r>
    </w:p>
    <w:p w14:paraId="6C44B872" w14:textId="77777777" w:rsidR="000D2571" w:rsidRDefault="000D2571" w:rsidP="000D2571">
      <w:pPr>
        <w:pStyle w:val="NoSpacing"/>
      </w:pPr>
    </w:p>
    <w:p w14:paraId="2364CD79" w14:textId="77777777" w:rsidR="000D2571" w:rsidRDefault="000D2571" w:rsidP="000D2571">
      <w:pPr>
        <w:pStyle w:val="NoSpacing"/>
        <w:ind w:left="720"/>
      </w:pPr>
      <w:r>
        <w:t>A bench trial was held before Judge Russo in March 2023…. The exact duration of the trial is unclear. On March 14, 2023, Judge Russo dismissed Counts 1, 2, 3, 7, 8, and 9 for lack of evidence going to Plaintiff’s intent to defraud. (March 14 Trial Tr. at 467:13–25.) On March 17, 2023, Plaintiff was found not guilty on Counts 4, 5, and 6. (See March 17 Trial Tr. at 565:20–24.)”</w:t>
      </w:r>
    </w:p>
    <w:p w14:paraId="6D2B6FB3" w14:textId="77777777" w:rsidR="000D2571" w:rsidRPr="00E4138B" w:rsidRDefault="000D2571" w:rsidP="000D2571">
      <w:pPr>
        <w:pStyle w:val="NoSpacing"/>
        <w:ind w:left="720"/>
      </w:pPr>
    </w:p>
    <w:p w14:paraId="36691094" w14:textId="77777777" w:rsidR="000D2571" w:rsidRPr="0025206D" w:rsidRDefault="000D2571" w:rsidP="000D2571">
      <w:pPr>
        <w:pStyle w:val="NoSpacing"/>
        <w:rPr>
          <w:b/>
        </w:rPr>
      </w:pPr>
      <w:r>
        <w:rPr>
          <w:b/>
        </w:rPr>
        <w:t>Legal lesson learned: Building inspection reports must be accurate; submitting reports are “mere estimates” can lead to arrest and prosecution, and civil litigation.</w:t>
      </w:r>
    </w:p>
    <w:p w14:paraId="77ADBCA1" w14:textId="77777777" w:rsidR="000D2571" w:rsidRDefault="000D2571" w:rsidP="000D2571">
      <w:pPr>
        <w:pStyle w:val="NoSpacing"/>
        <w:rPr>
          <w:bCs/>
        </w:rPr>
      </w:pPr>
    </w:p>
    <w:p w14:paraId="5F2A5589" w14:textId="77777777" w:rsidR="000D2571" w:rsidRDefault="000D2571" w:rsidP="000D2571">
      <w:pPr>
        <w:pStyle w:val="NoSpacing"/>
        <w:ind w:left="720"/>
      </w:pPr>
      <w:r>
        <w:t xml:space="preserve">Note: See September 21, </w:t>
      </w:r>
      <w:proofErr w:type="gramStart"/>
      <w:r>
        <w:t>2023</w:t>
      </w:r>
      <w:proofErr w:type="gramEnd"/>
      <w:r>
        <w:t xml:space="preserve"> article and TV VIDEO, </w:t>
      </w:r>
      <w:r w:rsidRPr="007C1410">
        <w:t>“Father, son sentenced to probation in deadly Spring Valley fire that killed 2 people.</w:t>
      </w:r>
      <w:r>
        <w:t>”</w:t>
      </w:r>
    </w:p>
    <w:p w14:paraId="76205C15" w14:textId="77777777" w:rsidR="000D2571" w:rsidRPr="00F46264" w:rsidRDefault="000D2571" w:rsidP="000D2571">
      <w:pPr>
        <w:pStyle w:val="NoSpacing"/>
        <w:ind w:left="720"/>
        <w:rPr>
          <w:bCs/>
        </w:rPr>
      </w:pPr>
      <w:hyperlink r:id="rId426" w:history="1">
        <w:r w:rsidRPr="00F56611">
          <w:rPr>
            <w:rStyle w:val="Hyperlink"/>
          </w:rPr>
          <w:t>https://www.nbcnewyork.com/news/local/father-son-sentenced-to-probation-in-deadly-spring-valley-fire-that-killed-2/4696054/</w:t>
        </w:r>
      </w:hyperlink>
      <w:r>
        <w:t xml:space="preserve"> </w:t>
      </w:r>
    </w:p>
    <w:p w14:paraId="318C5A6C" w14:textId="77777777" w:rsidR="000D2571" w:rsidRDefault="000D2571" w:rsidP="00646EE3">
      <w:pPr>
        <w:rPr>
          <w:rFonts w:ascii="Arial Black" w:hAnsi="Arial Black"/>
          <w:sz w:val="24"/>
          <w:szCs w:val="24"/>
        </w:rPr>
      </w:pPr>
    </w:p>
    <w:p w14:paraId="4F724649" w14:textId="12578EE6" w:rsidR="000D2571" w:rsidRDefault="00393C3E" w:rsidP="00646EE3">
      <w:pPr>
        <w:rPr>
          <w:rFonts w:ascii="Arial Black" w:hAnsi="Arial Black"/>
          <w:sz w:val="24"/>
          <w:szCs w:val="24"/>
        </w:rPr>
      </w:pPr>
      <w:r>
        <w:rPr>
          <w:rFonts w:ascii="Arial Black" w:hAnsi="Arial Black"/>
          <w:sz w:val="24"/>
          <w:szCs w:val="24"/>
        </w:rPr>
        <w:t>2-91</w:t>
      </w:r>
    </w:p>
    <w:p w14:paraId="48AF307D" w14:textId="77777777" w:rsidR="00393C3E" w:rsidRPr="00A31DEF" w:rsidRDefault="00393C3E" w:rsidP="00393C3E">
      <w:pPr>
        <w:pStyle w:val="NoSpacing"/>
        <w:rPr>
          <w:rFonts w:ascii="Arial Black" w:hAnsi="Arial Black"/>
          <w:b/>
          <w:sz w:val="28"/>
          <w:szCs w:val="28"/>
        </w:rPr>
      </w:pPr>
      <w:r>
        <w:rPr>
          <w:rFonts w:ascii="Arial Black" w:hAnsi="Arial Black"/>
          <w:b/>
          <w:sz w:val="28"/>
          <w:szCs w:val="28"/>
        </w:rPr>
        <w:t>IN: POLICE “25-FT BUFFER ZONE” – CAN’T “INTERFERE”</w:t>
      </w:r>
    </w:p>
    <w:p w14:paraId="03E40002" w14:textId="77777777" w:rsidR="00393C3E" w:rsidRDefault="00393C3E" w:rsidP="00393C3E">
      <w:pPr>
        <w:pStyle w:val="NoSpacing"/>
        <w:rPr>
          <w:bCs/>
        </w:rPr>
      </w:pPr>
    </w:p>
    <w:p w14:paraId="5CE102F9" w14:textId="77777777" w:rsidR="00393C3E" w:rsidRDefault="00393C3E" w:rsidP="00393C3E">
      <w:pPr>
        <w:pStyle w:val="NoSpacing"/>
        <w:rPr>
          <w:bCs/>
        </w:rPr>
      </w:pPr>
      <w:r>
        <w:t xml:space="preserve">On August 5, 2025, in </w:t>
      </w:r>
      <w:r w:rsidRPr="00BC797C">
        <w:rPr>
          <w:u w:val="single"/>
        </w:rPr>
        <w:t>Reporters Committee For Freedom of The Press, et al. v. Todd R. Okita, Attorney General of Indiana, et al</w:t>
      </w:r>
      <w:r>
        <w:t>., the United States Court of Appeals for 7</w:t>
      </w:r>
      <w:r w:rsidRPr="00BC797C">
        <w:rPr>
          <w:vertAlign w:val="superscript"/>
        </w:rPr>
        <w:t>th</w:t>
      </w:r>
      <w:r>
        <w:t xml:space="preserve"> Circuit (Chicago) held (3 to 0) that U.S. District Court </w:t>
      </w:r>
      <w:r w:rsidRPr="002E3B7C">
        <w:t xml:space="preserve">Judge James R. Sweeney II </w:t>
      </w:r>
      <w:r>
        <w:t xml:space="preserve">properly issued a preliminary injunction to </w:t>
      </w:r>
      <w:r w:rsidRPr="00600E74">
        <w:t>enjoin enforcement of the buffer law.</w:t>
      </w:r>
      <w:r>
        <w:t xml:space="preserve">  I</w:t>
      </w:r>
      <w:r w:rsidRPr="009F7379">
        <w:t>ndiana’s</w:t>
      </w:r>
      <w:r>
        <w:t xml:space="preserve"> original</w:t>
      </w:r>
      <w:r w:rsidRPr="009F7379">
        <w:t xml:space="preserve"> “buffer law” </w:t>
      </w:r>
      <w:r>
        <w:t xml:space="preserve">effective July 1, 2023, </w:t>
      </w:r>
      <w:r w:rsidRPr="009F7379">
        <w:t>makes it a</w:t>
      </w:r>
      <w:r>
        <w:t xml:space="preserve"> </w:t>
      </w:r>
      <w:r w:rsidRPr="009F7379">
        <w:t>crime for a person to knowingly or intentionally approach</w:t>
      </w:r>
      <w:r>
        <w:t xml:space="preserve"> </w:t>
      </w:r>
      <w:r w:rsidRPr="009F7379">
        <w:t>within 25 feet of a law enforcement officer who is “lawfully</w:t>
      </w:r>
      <w:r>
        <w:t xml:space="preserve"> </w:t>
      </w:r>
      <w:r w:rsidRPr="009F7379">
        <w:t>engaged in the execution of the law enforcement officer’s duties after the law enforcement officer has ordered the person</w:t>
      </w:r>
      <w:r>
        <w:t xml:space="preserve"> </w:t>
      </w:r>
      <w:r w:rsidRPr="009F7379">
        <w:t>to stop approaching.” Indiana Code (I.C.) § 35-44.1-2-14.</w:t>
      </w:r>
      <w:r>
        <w:t xml:space="preserve"> Wisely, while this appeal was pending, Indiana has now enacted a new law, effective July 1, 2025, where police </w:t>
      </w:r>
      <w:r w:rsidRPr="00030AD6">
        <w:t>may only order an individual to stop approaching if he “reasonably believes that a person’s presence”</w:t>
      </w:r>
      <w:r>
        <w:t xml:space="preserve"> </w:t>
      </w:r>
      <w:r w:rsidRPr="00030AD6">
        <w:t>within 25 feet “will interfere with the performance” of his</w:t>
      </w:r>
      <w:r>
        <w:t xml:space="preserve"> </w:t>
      </w:r>
      <w:r w:rsidRPr="00030AD6">
        <w:t>“duties.”</w:t>
      </w:r>
      <w:r>
        <w:t xml:space="preserve"> </w:t>
      </w:r>
    </w:p>
    <w:p w14:paraId="3F3BF7C7" w14:textId="77777777" w:rsidR="00393C3E" w:rsidRDefault="00393C3E" w:rsidP="00393C3E">
      <w:pPr>
        <w:pStyle w:val="NoSpacing"/>
        <w:rPr>
          <w:bCs/>
        </w:rPr>
      </w:pPr>
    </w:p>
    <w:p w14:paraId="7A9D67A7" w14:textId="77777777" w:rsidR="00393C3E" w:rsidRDefault="00393C3E" w:rsidP="00393C3E">
      <w:pPr>
        <w:pStyle w:val="NoSpacing"/>
        <w:rPr>
          <w:bCs/>
        </w:rPr>
      </w:pPr>
      <w:r w:rsidRPr="007772CA">
        <w:rPr>
          <w:b/>
        </w:rPr>
        <w:t>THE COURT HELD:</w:t>
      </w:r>
      <w:r>
        <w:t xml:space="preserve"> “As the plaintiffs point out, the problem is more upstream: the [original 223 ] buffer law offers no ‘guidance to the officer deciding whether [a do-not-approach] order should issue’ in the first place…. Without such guidance, any on-duty officer can use the buffer law to subject any pedestrian to potential criminal liability by simply ordering them not to approach, even if the pedestrian is doing nothing more than taking a morning stroll or merely walking up to an officer to ask for directions…. As the Supreme Court explained 60 years ago, a law that effectively says ‘a person may stand on a public sidewalk in [a city] only at the whim of any police officer of that city’ is too vague to satisfy due process. Shuttlesworth v. City of Birmingham, 382 U.S. 87, 90 (1965). The buffer law does just that. The </w:t>
      </w:r>
      <w:r>
        <w:lastRenderedPageBreak/>
        <w:t xml:space="preserve">Fourteenth Amendment will not tolerate a law subjecting pedestrians to arrest merely because a police officer had a bad breakfast—no matter how bitter the coffee or how soggy the scrambled eggs.” </w:t>
      </w:r>
      <w:hyperlink r:id="rId427" w:history="1">
        <w:r w:rsidRPr="00FE3641">
          <w:rPr>
            <w:rStyle w:val="Hyperlink"/>
          </w:rPr>
          <w:t>https://www.rcfp.org/wp-content/uploads/2025/08/2025-08-05-RCFP-v.-Rokita-Seventh-Circuit-opinion.pdf</w:t>
        </w:r>
      </w:hyperlink>
    </w:p>
    <w:p w14:paraId="039E741F" w14:textId="77777777" w:rsidR="00393C3E" w:rsidRDefault="00393C3E" w:rsidP="00393C3E">
      <w:pPr>
        <w:rPr>
          <w:bCs/>
        </w:rPr>
      </w:pPr>
    </w:p>
    <w:p w14:paraId="70D985E0" w14:textId="77777777" w:rsidR="00393C3E" w:rsidRDefault="00393C3E" w:rsidP="00393C3E">
      <w:pPr>
        <w:rPr>
          <w:b/>
        </w:rPr>
      </w:pPr>
      <w:r w:rsidRPr="007772CA">
        <w:rPr>
          <w:b/>
        </w:rPr>
        <w:t xml:space="preserve">KEY FACTS: </w:t>
      </w:r>
    </w:p>
    <w:p w14:paraId="63F1E08D" w14:textId="77777777" w:rsidR="00393C3E" w:rsidRDefault="00393C3E" w:rsidP="00393C3E">
      <w:pPr>
        <w:pStyle w:val="NoSpacing"/>
        <w:ind w:left="720"/>
      </w:pPr>
      <w:r>
        <w:t>“I</w:t>
      </w:r>
      <w:r w:rsidRPr="0063384C">
        <w:t xml:space="preserve">ndiana’s </w:t>
      </w:r>
      <w:r>
        <w:t>‘</w:t>
      </w:r>
      <w:r w:rsidRPr="0063384C">
        <w:t>buffer law</w:t>
      </w:r>
      <w:r>
        <w:t>’ m</w:t>
      </w:r>
      <w:r w:rsidRPr="0063384C">
        <w:t>akes it a</w:t>
      </w:r>
      <w:r>
        <w:t xml:space="preserve"> </w:t>
      </w:r>
      <w:r w:rsidRPr="0063384C">
        <w:t>crime for a person to knowingly or intentionally approach</w:t>
      </w:r>
      <w:r>
        <w:t xml:space="preserve"> </w:t>
      </w:r>
      <w:r w:rsidRPr="0063384C">
        <w:t xml:space="preserve">within 25 feet of a law enforcement officer who is </w:t>
      </w:r>
      <w:r>
        <w:t>‘</w:t>
      </w:r>
      <w:r w:rsidRPr="0063384C">
        <w:t>lawfully</w:t>
      </w:r>
      <w:r>
        <w:t xml:space="preserve"> </w:t>
      </w:r>
      <w:r w:rsidRPr="0063384C">
        <w:t>engaged in the execution of the law enforcement officer’s duties after the law enforcement officer has ordered the person</w:t>
      </w:r>
      <w:r>
        <w:t xml:space="preserve"> </w:t>
      </w:r>
      <w:r w:rsidRPr="0063384C">
        <w:t>to stop approaching.</w:t>
      </w:r>
      <w:r>
        <w:t>’</w:t>
      </w:r>
      <w:r w:rsidRPr="0063384C">
        <w:t xml:space="preserve"> Indiana Code (I.C.) § 35-44.1-2-14</w:t>
      </w:r>
      <w:r>
        <w:t>.</w:t>
      </w:r>
    </w:p>
    <w:p w14:paraId="51407CEE" w14:textId="77777777" w:rsidR="00393C3E" w:rsidRDefault="00393C3E" w:rsidP="00393C3E">
      <w:pPr>
        <w:pStyle w:val="NoSpacing"/>
        <w:ind w:left="720"/>
      </w:pPr>
      <w:r>
        <w:t>The plaintiffs, who are various media and media-related organizations, argue that the buffer law is unconstitutionally vague under the Fourteenth Amendment’s Due Process</w:t>
      </w:r>
    </w:p>
    <w:p w14:paraId="32058C08" w14:textId="77777777" w:rsidR="00393C3E" w:rsidRDefault="00393C3E" w:rsidP="00393C3E">
      <w:pPr>
        <w:pStyle w:val="NoSpacing"/>
        <w:ind w:left="720"/>
      </w:pPr>
      <w:r>
        <w:t>Clause because it is susceptible to arbitrary or discriminatory enforcement by the police. The district court concluded that the plaintiffs were likely to succeed in their Fourteenth</w:t>
      </w:r>
    </w:p>
    <w:p w14:paraId="19D9D305" w14:textId="77777777" w:rsidR="00393C3E" w:rsidRPr="007772CA" w:rsidRDefault="00393C3E" w:rsidP="00393C3E">
      <w:pPr>
        <w:pStyle w:val="NoSpacing"/>
        <w:ind w:left="720"/>
      </w:pPr>
      <w:r>
        <w:t xml:space="preserve">Amendment </w:t>
      </w:r>
      <w:proofErr w:type="gramStart"/>
      <w:r>
        <w:t>challenge to</w:t>
      </w:r>
      <w:proofErr w:type="gramEnd"/>
      <w:r>
        <w:t xml:space="preserve"> the buffer law, so the court issued a preliminary injunction blocking its enforcement. For the reasons below, we affirm the district court’s decision to preliminarily enjoin enforcement of the buffer law.”</w:t>
      </w:r>
    </w:p>
    <w:p w14:paraId="54811E90" w14:textId="77777777" w:rsidR="00393C3E" w:rsidRDefault="00393C3E" w:rsidP="00393C3E">
      <w:pPr>
        <w:pStyle w:val="NoSpacing"/>
        <w:rPr>
          <w:b/>
          <w:bCs/>
        </w:rPr>
      </w:pPr>
    </w:p>
    <w:p w14:paraId="787E598B" w14:textId="77777777" w:rsidR="00393C3E" w:rsidRPr="00DD7B9E" w:rsidRDefault="00393C3E" w:rsidP="00393C3E">
      <w:pPr>
        <w:pStyle w:val="NoSpacing"/>
        <w:rPr>
          <w:b/>
          <w:bCs/>
        </w:rPr>
      </w:pPr>
      <w:r w:rsidRPr="00DD7B9E">
        <w:rPr>
          <w:b/>
        </w:rPr>
        <w:t xml:space="preserve">Legal lesson learned: </w:t>
      </w:r>
      <w:r>
        <w:rPr>
          <w:b/>
        </w:rPr>
        <w:t xml:space="preserve">Fire and EMS must allow press reasonable access to </w:t>
      </w:r>
      <w:proofErr w:type="gramStart"/>
      <w:r>
        <w:rPr>
          <w:b/>
        </w:rPr>
        <w:t>scenes, but</w:t>
      </w:r>
      <w:proofErr w:type="gramEnd"/>
      <w:r>
        <w:rPr>
          <w:b/>
        </w:rPr>
        <w:t xml:space="preserve"> can cover patients to protect their identity.  </w:t>
      </w:r>
    </w:p>
    <w:p w14:paraId="223E2488" w14:textId="77777777" w:rsidR="00393C3E" w:rsidRDefault="00393C3E" w:rsidP="00393C3E">
      <w:pPr>
        <w:pStyle w:val="NoSpacing"/>
      </w:pPr>
    </w:p>
    <w:p w14:paraId="450C32C6" w14:textId="77777777" w:rsidR="00393C3E" w:rsidRDefault="00393C3E" w:rsidP="00393C3E">
      <w:pPr>
        <w:ind w:left="720"/>
        <w:rPr>
          <w:bCs/>
        </w:rPr>
      </w:pPr>
      <w:r>
        <w:t xml:space="preserve">Note:  See August 6, </w:t>
      </w:r>
      <w:proofErr w:type="gramStart"/>
      <w:r>
        <w:t>2025</w:t>
      </w:r>
      <w:proofErr w:type="gramEnd"/>
      <w:r>
        <w:t xml:space="preserve"> article, </w:t>
      </w:r>
      <w:r w:rsidRPr="00B33217">
        <w:t>“7th Circuit: Indiana’s police ‘buffer zone’ law is unconstitutional.</w:t>
      </w:r>
      <w:r>
        <w:rPr>
          <w:b/>
        </w:rPr>
        <w:t xml:space="preserve">” </w:t>
      </w:r>
      <w:hyperlink r:id="rId428" w:history="1">
        <w:r w:rsidRPr="00D87E9E">
          <w:rPr>
            <w:rStyle w:val="Hyperlink"/>
          </w:rPr>
          <w:t>https://www.rcfp.org/indiana-buffer-zone-law-7th-circuit/</w:t>
        </w:r>
      </w:hyperlink>
      <w:r>
        <w:t xml:space="preserve"> </w:t>
      </w:r>
    </w:p>
    <w:p w14:paraId="2673EF47" w14:textId="0004A6B5" w:rsidR="00393C3E" w:rsidRDefault="00393C3E" w:rsidP="00393C3E">
      <w:pPr>
        <w:rPr>
          <w:rFonts w:ascii="Arial Black" w:hAnsi="Arial Black"/>
          <w:sz w:val="24"/>
          <w:szCs w:val="24"/>
        </w:rPr>
      </w:pPr>
      <w:r>
        <w:t xml:space="preserve">See also March 11, </w:t>
      </w:r>
      <w:proofErr w:type="gramStart"/>
      <w:r>
        <w:t>2025</w:t>
      </w:r>
      <w:proofErr w:type="gramEnd"/>
      <w:r>
        <w:t xml:space="preserve"> article, “</w:t>
      </w:r>
      <w:r w:rsidRPr="00723714">
        <w:t xml:space="preserve">Buffer zone’ clarification heads to </w:t>
      </w:r>
      <w:proofErr w:type="spellStart"/>
      <w:proofErr w:type="gramStart"/>
      <w:r w:rsidRPr="00723714">
        <w:t>governors</w:t>
      </w:r>
      <w:proofErr w:type="spellEnd"/>
      <w:proofErr w:type="gramEnd"/>
      <w:r w:rsidRPr="00723714">
        <w:t xml:space="preserve"> desk.”</w:t>
      </w:r>
      <w:hyperlink r:id="rId429" w:history="1">
        <w:r w:rsidRPr="00D87E9E">
          <w:rPr>
            <w:rStyle w:val="Hyperlink"/>
          </w:rPr>
          <w:t>https://indianacapitalchronicle.com/briefs/buffer-zone-clarification-heads-to-governors-desk/</w:t>
        </w:r>
      </w:hyperlink>
    </w:p>
    <w:p w14:paraId="7DE2DB41" w14:textId="77777777" w:rsidR="000D2571" w:rsidRDefault="000D2571" w:rsidP="00646EE3">
      <w:pPr>
        <w:rPr>
          <w:rFonts w:ascii="Arial Black" w:hAnsi="Arial Black"/>
          <w:sz w:val="24"/>
          <w:szCs w:val="24"/>
        </w:rPr>
      </w:pPr>
    </w:p>
    <w:p w14:paraId="2B88B869" w14:textId="5542C741" w:rsidR="00646EE3" w:rsidRDefault="00646EE3" w:rsidP="00646EE3">
      <w:pPr>
        <w:rPr>
          <w:rFonts w:ascii="Arial Black" w:hAnsi="Arial Black"/>
          <w:sz w:val="24"/>
          <w:szCs w:val="24"/>
        </w:rPr>
      </w:pPr>
      <w:r>
        <w:rPr>
          <w:rFonts w:ascii="Arial Black" w:hAnsi="Arial Black"/>
          <w:sz w:val="24"/>
          <w:szCs w:val="24"/>
        </w:rPr>
        <w:t>2-9</w:t>
      </w:r>
      <w:r w:rsidR="006528FB">
        <w:rPr>
          <w:rFonts w:ascii="Arial Black" w:hAnsi="Arial Black"/>
          <w:sz w:val="24"/>
          <w:szCs w:val="24"/>
        </w:rPr>
        <w:t>0</w:t>
      </w:r>
    </w:p>
    <w:p w14:paraId="0DF2E8EC" w14:textId="77777777" w:rsidR="007D33D8" w:rsidRDefault="007D33D8" w:rsidP="007D33D8">
      <w:pPr>
        <w:pStyle w:val="NoSpacing"/>
        <w:rPr>
          <w:rFonts w:ascii="Arial Black" w:hAnsi="Arial Black"/>
          <w:sz w:val="28"/>
          <w:szCs w:val="28"/>
        </w:rPr>
      </w:pPr>
      <w:r>
        <w:rPr>
          <w:rFonts w:ascii="Arial Black" w:hAnsi="Arial Black"/>
          <w:sz w:val="28"/>
          <w:szCs w:val="28"/>
        </w:rPr>
        <w:t>KY: TRAIN DERAIL. - CSX “LIED” / SULFOR DIOXIDE – FF SUE</w:t>
      </w:r>
    </w:p>
    <w:p w14:paraId="3ADE6A4B" w14:textId="77777777" w:rsidR="007D33D8" w:rsidRDefault="007D33D8" w:rsidP="007D33D8">
      <w:pPr>
        <w:pStyle w:val="NoSpacing"/>
        <w:rPr>
          <w:rFonts w:ascii="Arial Black" w:hAnsi="Arial Black"/>
          <w:sz w:val="28"/>
          <w:szCs w:val="28"/>
        </w:rPr>
      </w:pPr>
    </w:p>
    <w:p w14:paraId="5BCB0CE6" w14:textId="01A0A0CF" w:rsidR="007D33D8" w:rsidRPr="00911EB2" w:rsidRDefault="007D33D8" w:rsidP="007D33D8">
      <w:pPr>
        <w:rPr>
          <w:rFonts w:ascii="Times New Roman" w:hAnsi="Times New Roman"/>
          <w:sz w:val="24"/>
          <w:szCs w:val="24"/>
        </w:rPr>
      </w:pPr>
      <w:r w:rsidRPr="00911EB2">
        <w:rPr>
          <w:rFonts w:ascii="Times New Roman" w:hAnsi="Times New Roman"/>
          <w:sz w:val="24"/>
          <w:szCs w:val="24"/>
        </w:rPr>
        <w:t xml:space="preserve">On June 16, 2025, in </w:t>
      </w:r>
      <w:r w:rsidRPr="00911EB2">
        <w:rPr>
          <w:rFonts w:ascii="Times New Roman" w:hAnsi="Times New Roman"/>
          <w:sz w:val="24"/>
          <w:szCs w:val="24"/>
          <w:u w:val="single"/>
        </w:rPr>
        <w:t>Shannon Franklin, et al. v. CSX Transportation, Inc. et al</w:t>
      </w:r>
      <w:r w:rsidRPr="00911EB2">
        <w:rPr>
          <w:rFonts w:ascii="Times New Roman" w:hAnsi="Times New Roman"/>
          <w:sz w:val="24"/>
          <w:szCs w:val="24"/>
        </w:rPr>
        <w:t xml:space="preserve">., U.S. District Court Judge Gregory F. Van Tatenhove, United States District Court for Eastern District of Kentucky, Southern Division / London, held that the “Fireman’s Rule” does not prohibit firefighters suffering from respiratory issues from suing CSX for November 22, 2023 train derailment in Rockcastle County, Kentucky, but they must prove “willful and wanton misconduct” by CSX (lied about contents being “food grade” non-hazardous).  Other claims, such as negligence, and “medical monitoring” were dismissed.  THE COURT HELD:  Plaintiffs suggest that the Firefighter’s Rule is inapplicable in this case because they allege that CSX intentionally mislead responders by telling them the railroad cars ‘were carrying substances that were food grade.’ … They suggest that the Firefighter’s Rule applies only to negligent conduct and not harms ‘resulting from gross negligence, or reckless or intentional conduct.’… The Court agrees.” </w:t>
      </w:r>
      <w:hyperlink r:id="rId430" w:history="1">
        <w:r w:rsidRPr="00911EB2">
          <w:rPr>
            <w:rStyle w:val="Hyperlink"/>
            <w:rFonts w:ascii="Times New Roman" w:hAnsi="Times New Roman"/>
            <w:sz w:val="24"/>
            <w:szCs w:val="24"/>
          </w:rPr>
          <w:t>https://cases.justia.com/federal/district-courts/kentucky/kyedce/6:2024cv00173/106630/18/0.pdf?ts=1750154108</w:t>
        </w:r>
      </w:hyperlink>
    </w:p>
    <w:p w14:paraId="35038B9F" w14:textId="189182C1" w:rsidR="00911EB2" w:rsidRPr="00911EB2" w:rsidRDefault="00911EB2" w:rsidP="00911EB2">
      <w:pPr>
        <w:pStyle w:val="NoSpacing"/>
        <w:rPr>
          <w:rFonts w:ascii="Times New Roman" w:hAnsi="Times New Roman"/>
          <w:b/>
          <w:bCs/>
          <w:sz w:val="24"/>
          <w:szCs w:val="24"/>
        </w:rPr>
      </w:pPr>
      <w:r w:rsidRPr="00911EB2">
        <w:rPr>
          <w:rFonts w:ascii="Times New Roman" w:hAnsi="Times New Roman"/>
          <w:b/>
          <w:sz w:val="24"/>
          <w:szCs w:val="24"/>
        </w:rPr>
        <w:t>Legal lesson learned: When responding to a train enrollment, confirm contents no</w:t>
      </w:r>
      <w:r w:rsidR="0087760A">
        <w:rPr>
          <w:rFonts w:ascii="Times New Roman" w:hAnsi="Times New Roman"/>
          <w:b/>
          <w:sz w:val="24"/>
          <w:szCs w:val="24"/>
        </w:rPr>
        <w:t>t</w:t>
      </w:r>
      <w:r w:rsidRPr="00911EB2">
        <w:rPr>
          <w:rFonts w:ascii="Times New Roman" w:hAnsi="Times New Roman"/>
          <w:b/>
          <w:sz w:val="24"/>
          <w:szCs w:val="24"/>
        </w:rPr>
        <w:t xml:space="preserve"> only with train company but also by reading the hazardous material </w:t>
      </w:r>
      <w:r w:rsidR="004538AA">
        <w:rPr>
          <w:rFonts w:ascii="Times New Roman" w:hAnsi="Times New Roman"/>
          <w:b/>
          <w:sz w:val="24"/>
          <w:szCs w:val="24"/>
        </w:rPr>
        <w:t>placards</w:t>
      </w:r>
      <w:r w:rsidRPr="00911EB2">
        <w:rPr>
          <w:rFonts w:ascii="Times New Roman" w:hAnsi="Times New Roman"/>
          <w:b/>
          <w:sz w:val="24"/>
          <w:szCs w:val="24"/>
        </w:rPr>
        <w:t xml:space="preserve"> on the leaking train cars. </w:t>
      </w:r>
    </w:p>
    <w:p w14:paraId="6410313F" w14:textId="77777777" w:rsidR="00911EB2" w:rsidRPr="00911EB2" w:rsidRDefault="00911EB2" w:rsidP="00911EB2">
      <w:pPr>
        <w:pStyle w:val="NoSpacing"/>
        <w:rPr>
          <w:rFonts w:ascii="Times New Roman" w:hAnsi="Times New Roman"/>
          <w:sz w:val="24"/>
          <w:szCs w:val="24"/>
        </w:rPr>
      </w:pPr>
    </w:p>
    <w:p w14:paraId="3F927537" w14:textId="331B0DD8" w:rsidR="00C342C1" w:rsidRPr="00C342C1" w:rsidRDefault="00C342C1" w:rsidP="00C342C1">
      <w:pPr>
        <w:ind w:left="720"/>
        <w:rPr>
          <w:rFonts w:ascii="Times New Roman" w:hAnsi="Times New Roman"/>
          <w:bCs/>
          <w:sz w:val="24"/>
          <w:szCs w:val="24"/>
        </w:rPr>
      </w:pPr>
    </w:p>
    <w:p w14:paraId="09E144F9" w14:textId="283D180C" w:rsidR="009C21FE" w:rsidRDefault="009C21FE" w:rsidP="009C21FE">
      <w:pPr>
        <w:rPr>
          <w:rFonts w:ascii="Arial Black" w:hAnsi="Arial Black"/>
          <w:sz w:val="24"/>
          <w:szCs w:val="24"/>
        </w:rPr>
      </w:pPr>
      <w:r>
        <w:rPr>
          <w:rFonts w:ascii="Arial Black" w:hAnsi="Arial Black"/>
          <w:sz w:val="24"/>
          <w:szCs w:val="24"/>
        </w:rPr>
        <w:lastRenderedPageBreak/>
        <w:t>2-89</w:t>
      </w:r>
    </w:p>
    <w:p w14:paraId="730D33C6" w14:textId="77777777" w:rsidR="00767EBD" w:rsidRPr="00796314" w:rsidRDefault="00767EBD" w:rsidP="00767EBD">
      <w:pPr>
        <w:rPr>
          <w:rFonts w:ascii="Arial Black" w:hAnsi="Arial Black"/>
          <w:b/>
          <w:sz w:val="28"/>
          <w:szCs w:val="28"/>
        </w:rPr>
      </w:pPr>
      <w:r>
        <w:rPr>
          <w:rFonts w:ascii="Arial Black" w:hAnsi="Arial Black"/>
          <w:b/>
          <w:sz w:val="28"/>
          <w:szCs w:val="28"/>
        </w:rPr>
        <w:t xml:space="preserve">NJ: BEARD - AIR MASK TECH – WHEN DID NO FIREFIGHTING </w:t>
      </w:r>
    </w:p>
    <w:p w14:paraId="5C8825A5" w14:textId="77777777" w:rsidR="00767EBD" w:rsidRPr="005C77FB" w:rsidRDefault="00767EBD" w:rsidP="00767EBD">
      <w:pPr>
        <w:pStyle w:val="NoSpacing"/>
        <w:rPr>
          <w:rFonts w:ascii="Times New Roman" w:hAnsi="Times New Roman"/>
          <w:sz w:val="24"/>
          <w:szCs w:val="24"/>
        </w:rPr>
      </w:pPr>
      <w:r w:rsidRPr="005C77FB">
        <w:rPr>
          <w:rFonts w:ascii="Times New Roman" w:hAnsi="Times New Roman"/>
          <w:sz w:val="24"/>
          <w:szCs w:val="24"/>
        </w:rPr>
        <w:t xml:space="preserve">On May 30, 2025, in </w:t>
      </w:r>
      <w:r w:rsidRPr="005C77FB">
        <w:rPr>
          <w:rFonts w:ascii="Times New Roman" w:hAnsi="Times New Roman"/>
          <w:sz w:val="24"/>
          <w:szCs w:val="24"/>
          <w:u w:val="single"/>
        </w:rPr>
        <w:t>Alexander Smith v. City of Atlantic City, et al</w:t>
      </w:r>
      <w:r w:rsidRPr="005C77FB">
        <w:rPr>
          <w:rFonts w:ascii="Times New Roman" w:hAnsi="Times New Roman"/>
          <w:sz w:val="24"/>
          <w:szCs w:val="24"/>
        </w:rPr>
        <w:t xml:space="preserve">.,  the U.S. Court of Appeals for Third Circuit (Philadelphia), held (2 to 1) that a firefighter may proceed with his lawsuit for failure to accommodate his request to wear a beard for religious reasons, but not his claim of retaliation.  He last fought a fire in 2015 and then became FD’s full time Air Mask Technician – and duties included bringing the Air Truck to structure fires and changing out SCBAs.   He like other “administrative” firefighters were not required to take annual fit testing.  In Dec. 2018 he submitted an accommodation request to wear a beard for religious reasons; that was denied, he was ordered to no longer respond to structure fires and he filed this lawsuit.  In 2020, all “administrative” firefighters were required to pass annual fit testing.   On Aug. 4, 2020, Hurricane Isaias hit New Jersey and all off duty personnel.  He was assigned to Engine 23, but he refused to respond (turned out there were no structure fire, but numerous other runs);  the </w:t>
      </w:r>
      <w:proofErr w:type="gramStart"/>
      <w:r w:rsidRPr="005C77FB">
        <w:rPr>
          <w:rFonts w:ascii="Times New Roman" w:hAnsi="Times New Roman"/>
          <w:sz w:val="24"/>
          <w:szCs w:val="24"/>
        </w:rPr>
        <w:t>City</w:t>
      </w:r>
      <w:proofErr w:type="gramEnd"/>
      <w:r w:rsidRPr="005C77FB">
        <w:rPr>
          <w:rFonts w:ascii="Times New Roman" w:hAnsi="Times New Roman"/>
          <w:sz w:val="24"/>
          <w:szCs w:val="24"/>
        </w:rPr>
        <w:t xml:space="preserve"> charged Smith with insubordination and suspended him for forty days, including twenty without pay.   THE COURT HELD: “The City could remove Smith from fire suppression duty as it did before 2020 or reclassify him as a civilian who is not subject to the SCBA and grooming policies. It could, as a simple fix, at least try and fit test Smith with facial hair to see if his facial hair, at any length, would interfere with the SCBA to a point that creates the risk of air leakage that the </w:t>
      </w:r>
      <w:proofErr w:type="gramStart"/>
      <w:r w:rsidRPr="005C77FB">
        <w:rPr>
          <w:rFonts w:ascii="Times New Roman" w:hAnsi="Times New Roman"/>
          <w:sz w:val="24"/>
          <w:szCs w:val="24"/>
        </w:rPr>
        <w:t>City</w:t>
      </w:r>
      <w:proofErr w:type="gramEnd"/>
      <w:r w:rsidRPr="005C77FB">
        <w:rPr>
          <w:rFonts w:ascii="Times New Roman" w:hAnsi="Times New Roman"/>
          <w:sz w:val="24"/>
          <w:szCs w:val="24"/>
        </w:rPr>
        <w:t xml:space="preserve"> fears. See Potter v. District of Columbia, 382 F. Supp. 2d 35, 38 (D.D.C. 2005) (Muslim employee seeking exception passed fit test with beard). There </w:t>
      </w:r>
      <w:proofErr w:type="gramStart"/>
      <w:r w:rsidRPr="005C77FB">
        <w:rPr>
          <w:rFonts w:ascii="Times New Roman" w:hAnsi="Times New Roman"/>
          <w:sz w:val="24"/>
          <w:szCs w:val="24"/>
        </w:rPr>
        <w:t>are likely</w:t>
      </w:r>
      <w:proofErr w:type="gramEnd"/>
      <w:r w:rsidRPr="005C77FB">
        <w:rPr>
          <w:rFonts w:ascii="Times New Roman" w:hAnsi="Times New Roman"/>
          <w:sz w:val="24"/>
          <w:szCs w:val="24"/>
        </w:rPr>
        <w:t xml:space="preserve"> more solutions than these three, but ‘so long as the government can achieve its interests in a manner that does not burden religion, it must do so.’ Fulton, 593 U.S. at 541. Because the policy fails strict scrutiny, we will vacate the District Court’s judgment.”   </w:t>
      </w:r>
      <w:hyperlink r:id="rId431" w:history="1">
        <w:r w:rsidRPr="005C77FB">
          <w:rPr>
            <w:rStyle w:val="Hyperlink"/>
            <w:rFonts w:ascii="Times New Roman" w:hAnsi="Times New Roman"/>
            <w:sz w:val="24"/>
            <w:szCs w:val="24"/>
          </w:rPr>
          <w:t>https://cases.justia.com/federal/appellate-courts/ca3/23-3265/23-3265-2025-05-30.pdf?ts=1748624416</w:t>
        </w:r>
      </w:hyperlink>
      <w:r w:rsidRPr="005C77FB">
        <w:rPr>
          <w:rFonts w:ascii="Times New Roman" w:hAnsi="Times New Roman"/>
          <w:sz w:val="24"/>
          <w:szCs w:val="24"/>
        </w:rPr>
        <w:t xml:space="preserve"> </w:t>
      </w:r>
    </w:p>
    <w:p w14:paraId="45CB05D0" w14:textId="77777777" w:rsidR="005C77FB" w:rsidRPr="005C77FB" w:rsidRDefault="005C77FB" w:rsidP="005C77FB">
      <w:pPr>
        <w:pStyle w:val="NoSpacing"/>
        <w:rPr>
          <w:rFonts w:ascii="Times New Roman" w:hAnsi="Times New Roman"/>
          <w:b/>
          <w:sz w:val="24"/>
          <w:szCs w:val="24"/>
        </w:rPr>
      </w:pPr>
    </w:p>
    <w:p w14:paraId="77942307" w14:textId="44B7447B" w:rsidR="005C77FB" w:rsidRPr="005C77FB" w:rsidRDefault="005C77FB" w:rsidP="005C77FB">
      <w:pPr>
        <w:pStyle w:val="NoSpacing"/>
        <w:rPr>
          <w:rFonts w:ascii="Times New Roman" w:hAnsi="Times New Roman"/>
          <w:b/>
          <w:bCs/>
          <w:sz w:val="24"/>
          <w:szCs w:val="24"/>
        </w:rPr>
      </w:pPr>
      <w:r w:rsidRPr="005C77FB">
        <w:rPr>
          <w:rFonts w:ascii="Times New Roman" w:hAnsi="Times New Roman"/>
          <w:b/>
          <w:sz w:val="24"/>
          <w:szCs w:val="24"/>
        </w:rPr>
        <w:t>Legal lesson learned: This decision has limited precedent; most fire departments</w:t>
      </w:r>
      <w:r w:rsidRPr="005C77FB">
        <w:rPr>
          <w:rFonts w:ascii="Times New Roman" w:hAnsi="Times New Roman"/>
          <w:b/>
          <w:bCs/>
          <w:sz w:val="24"/>
          <w:szCs w:val="24"/>
        </w:rPr>
        <w:t xml:space="preserve"> require</w:t>
      </w:r>
      <w:r w:rsidRPr="005C77FB">
        <w:rPr>
          <w:rFonts w:ascii="Times New Roman" w:hAnsi="Times New Roman"/>
          <w:b/>
          <w:sz w:val="24"/>
          <w:szCs w:val="24"/>
        </w:rPr>
        <w:t xml:space="preserve"> annual fit testing for all firefighters.  </w:t>
      </w:r>
    </w:p>
    <w:p w14:paraId="0910A866" w14:textId="77777777" w:rsidR="005C77FB" w:rsidRPr="005C77FB" w:rsidRDefault="005C77FB" w:rsidP="005C77FB">
      <w:pPr>
        <w:pStyle w:val="NoSpacing"/>
        <w:rPr>
          <w:rFonts w:ascii="Times New Roman" w:hAnsi="Times New Roman"/>
          <w:b/>
          <w:bCs/>
          <w:sz w:val="24"/>
          <w:szCs w:val="24"/>
        </w:rPr>
      </w:pPr>
    </w:p>
    <w:p w14:paraId="5F191769" w14:textId="77777777" w:rsidR="005C77FB" w:rsidRPr="005C77FB" w:rsidRDefault="005C77FB" w:rsidP="005C77FB">
      <w:pPr>
        <w:ind w:left="720"/>
        <w:rPr>
          <w:rFonts w:ascii="Times New Roman" w:hAnsi="Times New Roman"/>
          <w:b/>
          <w:sz w:val="24"/>
          <w:szCs w:val="24"/>
        </w:rPr>
      </w:pPr>
      <w:r w:rsidRPr="005C77FB">
        <w:rPr>
          <w:rFonts w:ascii="Times New Roman" w:hAnsi="Times New Roman"/>
          <w:sz w:val="24"/>
          <w:szCs w:val="24"/>
        </w:rPr>
        <w:t xml:space="preserve">Note: See this article, “Jersey Shore firefighter wins court battle over growing beard on religious grounds.” </w:t>
      </w:r>
      <w:hyperlink r:id="rId432" w:history="1">
        <w:r w:rsidRPr="005C77FB">
          <w:rPr>
            <w:rStyle w:val="Hyperlink"/>
            <w:rFonts w:ascii="Times New Roman" w:hAnsi="Times New Roman"/>
            <w:sz w:val="24"/>
            <w:szCs w:val="24"/>
          </w:rPr>
          <w:t>https://www.nj.com/atlantic/2025/06/jersey-shore-firefighter-wins-court-battle-over-growing-beard-on-religious-grounds.html?mc_cid=2cb6755cd5&amp;mc_eid=cbaa4ade01</w:t>
        </w:r>
      </w:hyperlink>
    </w:p>
    <w:p w14:paraId="64C869EA" w14:textId="77777777" w:rsidR="005C77FB" w:rsidRDefault="005C77FB" w:rsidP="00767EBD">
      <w:pPr>
        <w:pStyle w:val="NoSpacing"/>
      </w:pPr>
    </w:p>
    <w:p w14:paraId="4CBA1C95" w14:textId="66424917" w:rsidR="00E04C78" w:rsidRDefault="00E04C78" w:rsidP="005D5A0C">
      <w:pPr>
        <w:rPr>
          <w:rFonts w:ascii="Arial Black" w:hAnsi="Arial Black"/>
          <w:sz w:val="24"/>
          <w:szCs w:val="24"/>
        </w:rPr>
      </w:pPr>
      <w:r>
        <w:rPr>
          <w:rFonts w:ascii="Arial Black" w:hAnsi="Arial Black"/>
          <w:sz w:val="24"/>
          <w:szCs w:val="24"/>
        </w:rPr>
        <w:t>2-88</w:t>
      </w:r>
    </w:p>
    <w:p w14:paraId="23E70DC1" w14:textId="77777777" w:rsidR="00E04C78" w:rsidRPr="006F2B87" w:rsidRDefault="00E04C78" w:rsidP="00E04C78">
      <w:pPr>
        <w:pStyle w:val="NoSpacing"/>
        <w:rPr>
          <w:rFonts w:ascii="Arial Black" w:hAnsi="Arial Black"/>
          <w:sz w:val="28"/>
          <w:szCs w:val="28"/>
        </w:rPr>
      </w:pPr>
      <w:r w:rsidRPr="006F2B87">
        <w:rPr>
          <w:rFonts w:ascii="Arial Black" w:hAnsi="Arial Black"/>
          <w:sz w:val="28"/>
          <w:szCs w:val="28"/>
        </w:rPr>
        <w:t xml:space="preserve">U.S. SUP. CT: PD </w:t>
      </w:r>
      <w:r>
        <w:rPr>
          <w:rFonts w:ascii="Arial Black" w:hAnsi="Arial Black"/>
          <w:sz w:val="28"/>
          <w:szCs w:val="28"/>
        </w:rPr>
        <w:t xml:space="preserve">SHOOTINGS - </w:t>
      </w:r>
      <w:r w:rsidRPr="006F2B87">
        <w:rPr>
          <w:rFonts w:ascii="Arial Black" w:hAnsi="Arial Black"/>
          <w:sz w:val="28"/>
          <w:szCs w:val="28"/>
        </w:rPr>
        <w:t xml:space="preserve">REVIEW TOTAL CIRCUM. </w:t>
      </w:r>
    </w:p>
    <w:p w14:paraId="72075FA1" w14:textId="77777777" w:rsidR="00E04C78" w:rsidRPr="006F2B87" w:rsidRDefault="00E04C78" w:rsidP="00E04C78">
      <w:pPr>
        <w:pStyle w:val="NoSpacing"/>
      </w:pPr>
    </w:p>
    <w:p w14:paraId="1FEC9E5F" w14:textId="77777777" w:rsidR="00E04C78" w:rsidRPr="00E04C78" w:rsidRDefault="00E04C78" w:rsidP="00E04C78">
      <w:pPr>
        <w:pStyle w:val="NoSpacing"/>
        <w:rPr>
          <w:rFonts w:ascii="Times New Roman" w:hAnsi="Times New Roman"/>
          <w:sz w:val="24"/>
          <w:szCs w:val="24"/>
        </w:rPr>
      </w:pPr>
      <w:r w:rsidRPr="00E04C78">
        <w:rPr>
          <w:rFonts w:ascii="Times New Roman" w:hAnsi="Times New Roman"/>
          <w:sz w:val="24"/>
          <w:szCs w:val="24"/>
        </w:rPr>
        <w:t xml:space="preserve">On May 15, 2025, in </w:t>
      </w:r>
      <w:r w:rsidRPr="00E04C78">
        <w:rPr>
          <w:rFonts w:ascii="Times New Roman" w:hAnsi="Times New Roman"/>
          <w:sz w:val="24"/>
          <w:szCs w:val="24"/>
          <w:u w:val="single"/>
        </w:rPr>
        <w:t>Janice Hughes Barnes, individually and as representative of the estate of Ashtian Barnes, deceased v. Roberto Felix, et al</w:t>
      </w:r>
      <w:r w:rsidRPr="00E04C78">
        <w:rPr>
          <w:rFonts w:ascii="Times New Roman" w:hAnsi="Times New Roman"/>
          <w:sz w:val="24"/>
          <w:szCs w:val="24"/>
        </w:rPr>
        <w:t>., the United States Supreme Court held (9 to 0) that lawsuit against officer is reinstated; trial court judge when deciding qualified immunity must review all the circumstances involving the incident, as in this case the officer jumped on door of stopped vehicle before the driver tried to speed away.  The Court rejected the 5</w:t>
      </w:r>
      <w:r w:rsidRPr="00E04C78">
        <w:rPr>
          <w:rFonts w:ascii="Times New Roman" w:hAnsi="Times New Roman"/>
          <w:sz w:val="24"/>
          <w:szCs w:val="24"/>
          <w:vertAlign w:val="superscript"/>
        </w:rPr>
        <w:t>th</w:t>
      </w:r>
      <w:r w:rsidRPr="00E04C78">
        <w:rPr>
          <w:rFonts w:ascii="Times New Roman" w:hAnsi="Times New Roman"/>
          <w:sz w:val="24"/>
          <w:szCs w:val="24"/>
        </w:rPr>
        <w:t xml:space="preserve"> Circuit precedent that in police shooting the trial court judge should only review the seconds involving the “moment-of-threat.”  </w:t>
      </w:r>
    </w:p>
    <w:p w14:paraId="53847827" w14:textId="77777777" w:rsidR="00E04C78" w:rsidRPr="00E04C78" w:rsidRDefault="00E04C78" w:rsidP="00E04C78">
      <w:pPr>
        <w:pStyle w:val="NoSpacing"/>
        <w:rPr>
          <w:rFonts w:ascii="Times New Roman" w:hAnsi="Times New Roman"/>
          <w:sz w:val="24"/>
          <w:szCs w:val="24"/>
        </w:rPr>
      </w:pPr>
    </w:p>
    <w:p w14:paraId="1C02619D" w14:textId="77777777" w:rsidR="00E04C78" w:rsidRPr="00E04C78" w:rsidRDefault="00E04C78" w:rsidP="00E04C78">
      <w:pPr>
        <w:pStyle w:val="NoSpacing"/>
        <w:rPr>
          <w:rFonts w:ascii="Times New Roman" w:hAnsi="Times New Roman"/>
          <w:sz w:val="24"/>
          <w:szCs w:val="24"/>
        </w:rPr>
      </w:pPr>
      <w:r w:rsidRPr="00E04C78">
        <w:rPr>
          <w:rFonts w:ascii="Times New Roman" w:hAnsi="Times New Roman"/>
          <w:sz w:val="24"/>
          <w:szCs w:val="24"/>
        </w:rPr>
        <w:t xml:space="preserve">Justice Elena Kagam wrote Court’s opinion: “On the afternoon of April 28, 2016, Roberto Felix, Jr., a law enforcement officer patrolling a highway outside Houston, received a radio alert about an automobile on the road with outstanding toll violations. Felix soon spotted the car, a Toyota Corolla, and turned on his emergency lights to initiate a traffic stop. The driver, Ashtian Barnes, pulled over to the highway’s shoulder…. With his right hand resting on his holster, Felix told Barnes to get out of the car. Barnes opened the door but did not </w:t>
      </w:r>
      <w:proofErr w:type="gramStart"/>
      <w:r w:rsidRPr="00E04C78">
        <w:rPr>
          <w:rFonts w:ascii="Times New Roman" w:hAnsi="Times New Roman"/>
          <w:sz w:val="24"/>
          <w:szCs w:val="24"/>
        </w:rPr>
        <w:t>exit</w:t>
      </w:r>
      <w:proofErr w:type="gramEnd"/>
      <w:r w:rsidRPr="00E04C78">
        <w:rPr>
          <w:rFonts w:ascii="Times New Roman" w:hAnsi="Times New Roman"/>
          <w:sz w:val="24"/>
          <w:szCs w:val="24"/>
        </w:rPr>
        <w:t xml:space="preserve">; instead, he turned the ignition back on. Felix unholstered his gun and, as the car began to move forward, jumped onto its doorsill. He twice shouted, ‘Don’t fucking move.’ And with no visibility into the car (because his head </w:t>
      </w:r>
      <w:r w:rsidRPr="00E04C78">
        <w:rPr>
          <w:rFonts w:ascii="Times New Roman" w:hAnsi="Times New Roman"/>
          <w:sz w:val="24"/>
          <w:szCs w:val="24"/>
        </w:rPr>
        <w:lastRenderedPageBreak/>
        <w:t xml:space="preserve">was above the roof), he fired two quick shots inside. Barnes was hit. but managed to stop the car. Felix then radioed for back-up. By the time it arrived, Barnes was dead. All told, about five seconds elapsed between when the car started moving and when it stopped. And within that period, two seconds passed between the moment Felix stepped on the doorsill and the moment he fired his first shot. *** The question here is whether that framework permits courts, in evaluating a police shooting (or other use of force), to apply the so-called moment-of-threat rule used in the courts below. Under that rule, a court looks only to the circumstances existing at the precise time an officer perceived the threat inducing him to shoot. Today, we reject that approach as improperly narrowing the requisite Fourth Amendment analysis. To assess whether an officer acted reasonably in using force, a court must consider all the relevant circumstances, including facts and events leading up to the climactic moment.” ***  [W]e return everything else to the courts below. It is for them now to consider the reasonableness of the shooting, using the lengthier timeframe we have prescribed.” </w:t>
      </w:r>
      <w:hyperlink r:id="rId433" w:history="1">
        <w:r w:rsidRPr="00E04C78">
          <w:rPr>
            <w:rStyle w:val="Hyperlink"/>
            <w:rFonts w:ascii="Times New Roman" w:hAnsi="Times New Roman"/>
            <w:sz w:val="24"/>
            <w:szCs w:val="24"/>
          </w:rPr>
          <w:t>https://www.supremecourt.gov/opinions/24pdf/23-1239_onjq.pdf</w:t>
        </w:r>
      </w:hyperlink>
      <w:r w:rsidRPr="00E04C78">
        <w:rPr>
          <w:rFonts w:ascii="Times New Roman" w:hAnsi="Times New Roman"/>
          <w:sz w:val="24"/>
          <w:szCs w:val="24"/>
        </w:rPr>
        <w:t xml:space="preserve"> </w:t>
      </w:r>
    </w:p>
    <w:p w14:paraId="4920B742" w14:textId="77777777" w:rsidR="0049084F" w:rsidRDefault="0049084F" w:rsidP="0049084F">
      <w:pPr>
        <w:pStyle w:val="NoSpacing"/>
        <w:rPr>
          <w:rFonts w:ascii="Times New Roman" w:hAnsi="Times New Roman"/>
          <w:b/>
          <w:sz w:val="24"/>
          <w:szCs w:val="24"/>
        </w:rPr>
      </w:pPr>
    </w:p>
    <w:p w14:paraId="37451D0C" w14:textId="69930B2D" w:rsidR="0049084F" w:rsidRPr="0049084F" w:rsidRDefault="0049084F" w:rsidP="0049084F">
      <w:pPr>
        <w:pStyle w:val="NoSpacing"/>
        <w:rPr>
          <w:rFonts w:ascii="Times New Roman" w:hAnsi="Times New Roman"/>
          <w:b/>
          <w:bCs/>
          <w:sz w:val="24"/>
          <w:szCs w:val="24"/>
        </w:rPr>
      </w:pPr>
      <w:r w:rsidRPr="0049084F">
        <w:rPr>
          <w:rFonts w:ascii="Times New Roman" w:hAnsi="Times New Roman"/>
          <w:b/>
          <w:sz w:val="24"/>
          <w:szCs w:val="24"/>
        </w:rPr>
        <w:t>Legal Lesson Learned: The unanimous decision will also be</w:t>
      </w:r>
      <w:r w:rsidRPr="0049084F">
        <w:rPr>
          <w:rFonts w:ascii="Times New Roman" w:hAnsi="Times New Roman"/>
          <w:b/>
          <w:bCs/>
          <w:sz w:val="24"/>
          <w:szCs w:val="24"/>
        </w:rPr>
        <w:t xml:space="preserve"> precedent </w:t>
      </w:r>
      <w:r w:rsidRPr="0049084F">
        <w:rPr>
          <w:rFonts w:ascii="Times New Roman" w:hAnsi="Times New Roman"/>
          <w:b/>
          <w:sz w:val="24"/>
          <w:szCs w:val="24"/>
        </w:rPr>
        <w:t xml:space="preserve">when reviewing </w:t>
      </w:r>
      <w:r w:rsidRPr="0049084F">
        <w:rPr>
          <w:rFonts w:ascii="Times New Roman" w:hAnsi="Times New Roman"/>
          <w:b/>
          <w:bCs/>
          <w:sz w:val="24"/>
          <w:szCs w:val="24"/>
        </w:rPr>
        <w:t xml:space="preserve">Fire &amp; </w:t>
      </w:r>
      <w:r w:rsidRPr="0049084F">
        <w:rPr>
          <w:rFonts w:ascii="Times New Roman" w:hAnsi="Times New Roman"/>
          <w:b/>
          <w:sz w:val="24"/>
          <w:szCs w:val="24"/>
        </w:rPr>
        <w:t>MS actions when facing possible harm</w:t>
      </w:r>
      <w:r w:rsidRPr="0049084F">
        <w:rPr>
          <w:rFonts w:ascii="Times New Roman" w:hAnsi="Times New Roman"/>
          <w:b/>
          <w:bCs/>
          <w:sz w:val="24"/>
          <w:szCs w:val="24"/>
        </w:rPr>
        <w:t>, s</w:t>
      </w:r>
      <w:r w:rsidRPr="0049084F">
        <w:rPr>
          <w:rFonts w:ascii="Times New Roman" w:hAnsi="Times New Roman"/>
          <w:b/>
          <w:sz w:val="24"/>
          <w:szCs w:val="24"/>
        </w:rPr>
        <w:t xml:space="preserve">uch as mental patient struggling </w:t>
      </w:r>
      <w:proofErr w:type="gramStart"/>
      <w:r w:rsidRPr="0049084F">
        <w:rPr>
          <w:rFonts w:ascii="Times New Roman" w:hAnsi="Times New Roman"/>
          <w:b/>
          <w:sz w:val="24"/>
          <w:szCs w:val="24"/>
        </w:rPr>
        <w:t>in back of</w:t>
      </w:r>
      <w:proofErr w:type="gramEnd"/>
      <w:r w:rsidRPr="0049084F">
        <w:rPr>
          <w:rFonts w:ascii="Times New Roman" w:hAnsi="Times New Roman"/>
          <w:b/>
          <w:sz w:val="24"/>
          <w:szCs w:val="24"/>
        </w:rPr>
        <w:t xml:space="preserve"> an ambulance</w:t>
      </w:r>
      <w:r w:rsidRPr="0049084F">
        <w:rPr>
          <w:rFonts w:ascii="Times New Roman" w:hAnsi="Times New Roman"/>
          <w:b/>
          <w:bCs/>
          <w:sz w:val="24"/>
          <w:szCs w:val="24"/>
        </w:rPr>
        <w:t xml:space="preserve">. </w:t>
      </w:r>
    </w:p>
    <w:p w14:paraId="71782994" w14:textId="77777777" w:rsidR="0049084F" w:rsidRPr="0049084F" w:rsidRDefault="0049084F" w:rsidP="0049084F">
      <w:pPr>
        <w:pStyle w:val="NoSpacing"/>
        <w:rPr>
          <w:rFonts w:ascii="Times New Roman" w:hAnsi="Times New Roman"/>
          <w:bCs/>
          <w:sz w:val="24"/>
          <w:szCs w:val="24"/>
        </w:rPr>
      </w:pPr>
    </w:p>
    <w:p w14:paraId="36FAC1B5" w14:textId="77777777" w:rsidR="00E04C78" w:rsidRPr="0049084F" w:rsidRDefault="00E04C78" w:rsidP="005D5A0C">
      <w:pPr>
        <w:rPr>
          <w:rFonts w:ascii="Times New Roman" w:hAnsi="Times New Roman"/>
          <w:sz w:val="24"/>
          <w:szCs w:val="24"/>
        </w:rPr>
      </w:pPr>
    </w:p>
    <w:p w14:paraId="3256B2E2" w14:textId="77777777" w:rsidR="00E04C78" w:rsidRDefault="00E04C78" w:rsidP="005D5A0C">
      <w:pPr>
        <w:rPr>
          <w:rFonts w:ascii="Arial Black" w:hAnsi="Arial Black"/>
          <w:sz w:val="24"/>
          <w:szCs w:val="24"/>
        </w:rPr>
      </w:pPr>
    </w:p>
    <w:p w14:paraId="116A7DF5" w14:textId="4CE618EA" w:rsidR="00883B5F" w:rsidRDefault="00883B5F" w:rsidP="005D5A0C">
      <w:pPr>
        <w:rPr>
          <w:rFonts w:ascii="Arial Black" w:hAnsi="Arial Black"/>
          <w:sz w:val="24"/>
          <w:szCs w:val="24"/>
        </w:rPr>
      </w:pPr>
      <w:r>
        <w:rPr>
          <w:rFonts w:ascii="Arial Black" w:hAnsi="Arial Black"/>
          <w:sz w:val="24"/>
          <w:szCs w:val="24"/>
        </w:rPr>
        <w:t>2-87</w:t>
      </w:r>
    </w:p>
    <w:p w14:paraId="329CEA14" w14:textId="77777777" w:rsidR="00E63984" w:rsidRPr="00830E6C" w:rsidRDefault="00E63984" w:rsidP="00E63984">
      <w:pPr>
        <w:rPr>
          <w:rFonts w:ascii="Arial Black" w:hAnsi="Arial Black"/>
          <w:b/>
          <w:sz w:val="28"/>
          <w:szCs w:val="28"/>
        </w:rPr>
      </w:pPr>
      <w:r>
        <w:rPr>
          <w:rFonts w:ascii="Arial Black" w:hAnsi="Arial Black"/>
          <w:b/>
          <w:sz w:val="28"/>
          <w:szCs w:val="28"/>
        </w:rPr>
        <w:t>AK: FF / OTHERS - FORMIC ACID - $75M JURY EXCESSIVE</w:t>
      </w:r>
    </w:p>
    <w:p w14:paraId="3288511F" w14:textId="48CCE21C" w:rsidR="00E63984" w:rsidRDefault="00E63984" w:rsidP="00E63984">
      <w:pPr>
        <w:rPr>
          <w:rFonts w:ascii="Times New Roman" w:hAnsi="Times New Roman"/>
          <w:sz w:val="24"/>
          <w:szCs w:val="24"/>
        </w:rPr>
      </w:pPr>
      <w:r w:rsidRPr="00E63984">
        <w:rPr>
          <w:rFonts w:ascii="Times New Roman" w:hAnsi="Times New Roman"/>
          <w:sz w:val="24"/>
          <w:szCs w:val="24"/>
        </w:rPr>
        <w:t xml:space="preserve">On April 30, 2025, in </w:t>
      </w:r>
      <w:r w:rsidRPr="00E63984">
        <w:rPr>
          <w:rFonts w:ascii="Times New Roman" w:hAnsi="Times New Roman"/>
          <w:sz w:val="24"/>
          <w:szCs w:val="24"/>
          <w:u w:val="single"/>
        </w:rPr>
        <w:t>Old Dominion Freight Line, Inc., and Aaron Marvel Foster v. Frank McMillion, Allen Jones, Carlton Pettus, Hunter Bokker, Bengi Bokker and Zack Billingsley</w:t>
      </w:r>
      <w:r w:rsidRPr="00E63984">
        <w:rPr>
          <w:rFonts w:ascii="Times New Roman" w:hAnsi="Times New Roman"/>
          <w:sz w:val="24"/>
          <w:szCs w:val="24"/>
        </w:rPr>
        <w:t xml:space="preserve">, the Court of Appeals of Arkansas, Division II held (3 to 0) that the jury’s combined award of $75 million for six plaintiffs was excessive and must be retried given the limited injuries suffered.  The six plaintiffs included two law enforcement officers, and a 4-person crew from a tow-truck company, including off-duty firefighter Carlton Pettus who was awarded $5 million. On April 20, </w:t>
      </w:r>
      <w:proofErr w:type="gramStart"/>
      <w:r w:rsidRPr="00E63984">
        <w:rPr>
          <w:rFonts w:ascii="Times New Roman" w:hAnsi="Times New Roman"/>
          <w:sz w:val="24"/>
          <w:szCs w:val="24"/>
        </w:rPr>
        <w:t>2018</w:t>
      </w:r>
      <w:proofErr w:type="gramEnd"/>
      <w:r w:rsidRPr="00E63984">
        <w:rPr>
          <w:rFonts w:ascii="Times New Roman" w:hAnsi="Times New Roman"/>
          <w:sz w:val="24"/>
          <w:szCs w:val="24"/>
        </w:rPr>
        <w:t xml:space="preserve"> a pick-up truck that ran head on into an Old Dominion semi carrying one barrel of formic acid weighing 565 pounds.  The semi-truck was on fire and the Old Dominion driver, Aaron Marvel Foster, falsely told responders that there were no hazardous materials on board.  There also was no HAZMAT placard displayed since the load was less than 1,000 pounds. The six plaintiffs all experienced at the scene difficulty breathing and had burning sensations in their noses, throats, and eyes, and various breathing difficulties thereafter. </w:t>
      </w:r>
      <w:hyperlink r:id="rId434" w:history="1">
        <w:r w:rsidRPr="00E63984">
          <w:rPr>
            <w:rStyle w:val="Hyperlink"/>
            <w:rFonts w:ascii="Times New Roman" w:hAnsi="Times New Roman"/>
            <w:sz w:val="24"/>
            <w:szCs w:val="24"/>
          </w:rPr>
          <w:t>https://cases.justia.com/arkansas/court-of-appeals/2025-cv-22-305.pdf?ts=1746026138</w:t>
        </w:r>
      </w:hyperlink>
    </w:p>
    <w:p w14:paraId="63EE9060" w14:textId="77777777" w:rsidR="006E3103" w:rsidRPr="006E3103" w:rsidRDefault="006E3103" w:rsidP="006E3103">
      <w:pPr>
        <w:pStyle w:val="NoSpacing"/>
        <w:rPr>
          <w:rFonts w:ascii="Times New Roman" w:hAnsi="Times New Roman"/>
          <w:b/>
          <w:sz w:val="24"/>
          <w:szCs w:val="24"/>
        </w:rPr>
      </w:pPr>
      <w:r w:rsidRPr="006E3103">
        <w:rPr>
          <w:rFonts w:ascii="Times New Roman" w:hAnsi="Times New Roman"/>
          <w:b/>
          <w:sz w:val="24"/>
          <w:szCs w:val="24"/>
        </w:rPr>
        <w:t xml:space="preserve">Legal Lesson Learned:  The jury with $75 million judgment “sent a message” to Old Dominion Company and their truck driver that they must disclose hazardous materials to responders. </w:t>
      </w:r>
    </w:p>
    <w:p w14:paraId="0E656C0B" w14:textId="77777777" w:rsidR="006E3103" w:rsidRPr="00E63984" w:rsidRDefault="006E3103" w:rsidP="00E63984">
      <w:pPr>
        <w:rPr>
          <w:rFonts w:ascii="Times New Roman" w:hAnsi="Times New Roman"/>
          <w:sz w:val="24"/>
          <w:szCs w:val="24"/>
        </w:rPr>
      </w:pPr>
    </w:p>
    <w:p w14:paraId="5E1E9997" w14:textId="77777777" w:rsidR="00883B5F" w:rsidRDefault="00883B5F" w:rsidP="005D5A0C">
      <w:pPr>
        <w:rPr>
          <w:rFonts w:ascii="Arial Black" w:hAnsi="Arial Black"/>
          <w:sz w:val="24"/>
          <w:szCs w:val="24"/>
        </w:rPr>
      </w:pPr>
    </w:p>
    <w:p w14:paraId="1C41F4F1" w14:textId="3D6EC8EA" w:rsidR="00A56D83" w:rsidRDefault="00A56D83" w:rsidP="005D5A0C">
      <w:pPr>
        <w:rPr>
          <w:rFonts w:ascii="Arial Black" w:hAnsi="Arial Black"/>
          <w:sz w:val="24"/>
          <w:szCs w:val="24"/>
        </w:rPr>
      </w:pPr>
      <w:r>
        <w:rPr>
          <w:rFonts w:ascii="Arial Black" w:hAnsi="Arial Black"/>
          <w:sz w:val="24"/>
          <w:szCs w:val="24"/>
        </w:rPr>
        <w:t>2-86</w:t>
      </w:r>
    </w:p>
    <w:p w14:paraId="069AC4B2" w14:textId="77777777" w:rsidR="00186708" w:rsidRPr="00C31E7C" w:rsidRDefault="00186708" w:rsidP="00186708">
      <w:pPr>
        <w:rPr>
          <w:rFonts w:ascii="Arial Black" w:hAnsi="Arial Black"/>
          <w:bCs/>
          <w:sz w:val="28"/>
          <w:szCs w:val="28"/>
        </w:rPr>
      </w:pPr>
      <w:r>
        <w:rPr>
          <w:rFonts w:ascii="Arial Black" w:hAnsi="Arial Black"/>
          <w:sz w:val="28"/>
          <w:szCs w:val="28"/>
        </w:rPr>
        <w:t>NY:  HEAD</w:t>
      </w:r>
      <w:r>
        <w:rPr>
          <w:rFonts w:ascii="Arial Black" w:hAnsi="Arial Black"/>
          <w:bCs/>
          <w:sz w:val="28"/>
          <w:szCs w:val="28"/>
        </w:rPr>
        <w:t xml:space="preserve"> INJURY</w:t>
      </w:r>
      <w:r>
        <w:rPr>
          <w:rFonts w:ascii="Arial Black" w:hAnsi="Arial Black"/>
          <w:sz w:val="28"/>
          <w:szCs w:val="28"/>
        </w:rPr>
        <w:t xml:space="preserve"> – ENGINE HIT BUMP – ROAD REPAIR CO.</w:t>
      </w:r>
    </w:p>
    <w:p w14:paraId="7A789EB4" w14:textId="77777777" w:rsidR="00186708" w:rsidRPr="00186708" w:rsidRDefault="00186708" w:rsidP="00186708">
      <w:pPr>
        <w:rPr>
          <w:rFonts w:ascii="Times New Roman" w:hAnsi="Times New Roman"/>
          <w:b/>
          <w:sz w:val="24"/>
          <w:szCs w:val="24"/>
        </w:rPr>
      </w:pPr>
      <w:r w:rsidRPr="00186708">
        <w:rPr>
          <w:rFonts w:ascii="Times New Roman" w:hAnsi="Times New Roman"/>
          <w:sz w:val="24"/>
          <w:szCs w:val="24"/>
        </w:rPr>
        <w:t xml:space="preserve">On April 23, 2025, in </w:t>
      </w:r>
      <w:r w:rsidRPr="00186708">
        <w:rPr>
          <w:rFonts w:ascii="Times New Roman" w:hAnsi="Times New Roman"/>
          <w:sz w:val="24"/>
          <w:szCs w:val="24"/>
          <w:u w:val="single"/>
        </w:rPr>
        <w:t>Vincent Inglese, et al. v. City of New York and Vall Industries, Inc</w:t>
      </w:r>
      <w:r w:rsidRPr="00186708">
        <w:rPr>
          <w:rFonts w:ascii="Times New Roman" w:hAnsi="Times New Roman"/>
          <w:sz w:val="24"/>
          <w:szCs w:val="24"/>
        </w:rPr>
        <w:t xml:space="preserve">., the Supreme Court of New York, Second Department held (4 to 0) that trial court properly held that the injured FF may sue Vall Industries for personal injury suffered when his head hit the ceiling as the fire truck went over the raised section </w:t>
      </w:r>
      <w:r w:rsidRPr="00186708">
        <w:rPr>
          <w:rFonts w:ascii="Times New Roman" w:hAnsi="Times New Roman"/>
          <w:sz w:val="24"/>
          <w:szCs w:val="24"/>
        </w:rPr>
        <w:lastRenderedPageBreak/>
        <w:t xml:space="preserve">of road that Vall Industries was hired to repair.  The “Fireman’s Rule” was </w:t>
      </w:r>
      <w:r w:rsidRPr="00186708">
        <w:rPr>
          <w:rFonts w:ascii="Times New Roman" w:hAnsi="Times New Roman"/>
          <w:bCs/>
          <w:sz w:val="24"/>
          <w:szCs w:val="24"/>
        </w:rPr>
        <w:t xml:space="preserve">modified </w:t>
      </w:r>
      <w:r w:rsidRPr="00186708">
        <w:rPr>
          <w:rFonts w:ascii="Times New Roman" w:hAnsi="Times New Roman"/>
          <w:sz w:val="24"/>
          <w:szCs w:val="24"/>
        </w:rPr>
        <w:t xml:space="preserve">in New York.  </w:t>
      </w:r>
      <w:hyperlink r:id="rId435" w:history="1">
        <w:r w:rsidRPr="00186708">
          <w:rPr>
            <w:rStyle w:val="Hyperlink"/>
            <w:rFonts w:ascii="Times New Roman" w:hAnsi="Times New Roman"/>
            <w:sz w:val="24"/>
            <w:szCs w:val="24"/>
          </w:rPr>
          <w:t>https://law.justia.com/cases/new-york/appellate-division-second-department/2025/2023-00001.html</w:t>
        </w:r>
      </w:hyperlink>
      <w:r w:rsidRPr="00186708">
        <w:rPr>
          <w:rFonts w:ascii="Times New Roman" w:hAnsi="Times New Roman"/>
          <w:sz w:val="24"/>
          <w:szCs w:val="24"/>
        </w:rPr>
        <w:t xml:space="preserve"> </w:t>
      </w:r>
    </w:p>
    <w:p w14:paraId="1C32B199" w14:textId="77777777" w:rsidR="00883B5F" w:rsidRPr="00883B5F" w:rsidRDefault="00883B5F" w:rsidP="00883B5F">
      <w:pPr>
        <w:rPr>
          <w:b/>
          <w:bCs/>
          <w:sz w:val="24"/>
          <w:szCs w:val="24"/>
        </w:rPr>
      </w:pPr>
      <w:r w:rsidRPr="00883B5F">
        <w:rPr>
          <w:b/>
          <w:sz w:val="24"/>
          <w:szCs w:val="24"/>
        </w:rPr>
        <w:t xml:space="preserve">Legal Lesson Learned: A road repair company can be sued by the firefighter for negligence. </w:t>
      </w:r>
    </w:p>
    <w:p w14:paraId="2993CA02" w14:textId="77777777" w:rsidR="00A56D83" w:rsidRDefault="00A56D83" w:rsidP="005D5A0C">
      <w:pPr>
        <w:rPr>
          <w:rFonts w:ascii="Arial Black" w:hAnsi="Arial Black"/>
          <w:sz w:val="24"/>
          <w:szCs w:val="24"/>
        </w:rPr>
      </w:pPr>
    </w:p>
    <w:p w14:paraId="7556E1F0" w14:textId="295E8151" w:rsidR="008B2721" w:rsidRDefault="00742E47" w:rsidP="005D5A0C">
      <w:pPr>
        <w:rPr>
          <w:rFonts w:ascii="Arial Black" w:hAnsi="Arial Black"/>
          <w:sz w:val="24"/>
          <w:szCs w:val="24"/>
        </w:rPr>
      </w:pPr>
      <w:r>
        <w:rPr>
          <w:rFonts w:ascii="Arial Black" w:hAnsi="Arial Black"/>
          <w:sz w:val="24"/>
          <w:szCs w:val="24"/>
        </w:rPr>
        <w:t>2-85</w:t>
      </w:r>
    </w:p>
    <w:p w14:paraId="59DF50D8" w14:textId="77777777" w:rsidR="0022097E" w:rsidRPr="001A6210" w:rsidRDefault="0022097E" w:rsidP="0022097E">
      <w:pPr>
        <w:pStyle w:val="NoSpacing"/>
        <w:rPr>
          <w:rFonts w:ascii="Arial Black" w:hAnsi="Arial Black"/>
          <w:sz w:val="28"/>
          <w:szCs w:val="28"/>
        </w:rPr>
      </w:pPr>
      <w:r>
        <w:rPr>
          <w:rFonts w:ascii="Arial Black" w:hAnsi="Arial Black"/>
          <w:sz w:val="28"/>
          <w:szCs w:val="28"/>
        </w:rPr>
        <w:t>OH: DRIVER STRUCK / KILLED FF –16-YRS-LIFE – RE-SENT.</w:t>
      </w:r>
    </w:p>
    <w:p w14:paraId="672D5737" w14:textId="77777777" w:rsidR="0022097E" w:rsidRDefault="0022097E" w:rsidP="0022097E">
      <w:pPr>
        <w:pStyle w:val="NoSpacing"/>
      </w:pPr>
    </w:p>
    <w:p w14:paraId="5177D6A2" w14:textId="77777777" w:rsidR="0022097E" w:rsidRPr="0022097E" w:rsidRDefault="0022097E" w:rsidP="0022097E">
      <w:pPr>
        <w:pStyle w:val="NoSpacing"/>
        <w:rPr>
          <w:rFonts w:ascii="Times New Roman" w:hAnsi="Times New Roman"/>
          <w:sz w:val="24"/>
          <w:szCs w:val="24"/>
        </w:rPr>
      </w:pPr>
      <w:r w:rsidRPr="0022097E">
        <w:rPr>
          <w:rFonts w:ascii="Times New Roman" w:hAnsi="Times New Roman"/>
          <w:sz w:val="24"/>
          <w:szCs w:val="24"/>
        </w:rPr>
        <w:t xml:space="preserve">On April 14, 2025, in </w:t>
      </w:r>
      <w:r w:rsidRPr="0022097E">
        <w:rPr>
          <w:rFonts w:ascii="Times New Roman" w:hAnsi="Times New Roman"/>
          <w:sz w:val="24"/>
          <w:szCs w:val="24"/>
          <w:u w:val="single"/>
        </w:rPr>
        <w:t>State of Ohio v. Leander Bissell</w:t>
      </w:r>
      <w:r w:rsidRPr="0022097E">
        <w:rPr>
          <w:rFonts w:ascii="Times New Roman" w:hAnsi="Times New Roman"/>
          <w:sz w:val="24"/>
          <w:szCs w:val="24"/>
        </w:rPr>
        <w:t xml:space="preserve">, the Ohio Supreme Court declined to hear the State’s appeal [requires at least 4 of 7 Justices] after Court of Appeals set aside his felony murder conviction for lesser charge of involuntary manslaughter.  Bissell will be resentenced; he  is currently serving 16 years to life. Bissell on Nov. 19, </w:t>
      </w:r>
      <w:proofErr w:type="gramStart"/>
      <w:r w:rsidRPr="0022097E">
        <w:rPr>
          <w:rFonts w:ascii="Times New Roman" w:hAnsi="Times New Roman"/>
          <w:sz w:val="24"/>
          <w:szCs w:val="24"/>
        </w:rPr>
        <w:t>2022</w:t>
      </w:r>
      <w:proofErr w:type="gramEnd"/>
      <w:r w:rsidRPr="0022097E">
        <w:rPr>
          <w:rFonts w:ascii="Times New Roman" w:hAnsi="Times New Roman"/>
          <w:sz w:val="24"/>
          <w:szCs w:val="24"/>
        </w:rPr>
        <w:t xml:space="preserve"> at accident scene on I-90, in Cleveland drove through at a speed between 45 and 60 m.p.h., hitting and killing firefighter [Johnny] Tetrick. The impact knocked firefighter Tetrick across three lanes of traffic into the berm on the right side of the highway. Bissell did not stop and fled the scene.  On Nov 7, 2024,  the Eighth District Court of Appeals [2 to 1] vacated Bissell’s felony-murder conviction, modified the verdict to a finding of guilt on the lesser included offense of involuntary manslaughter under R.C. 2903.04(A), and remanded the matter to the trial court for resentencing. </w:t>
      </w:r>
      <w:hyperlink r:id="rId436" w:history="1">
        <w:r w:rsidRPr="0022097E">
          <w:rPr>
            <w:rStyle w:val="Hyperlink"/>
            <w:rFonts w:ascii="Times New Roman" w:hAnsi="Times New Roman"/>
            <w:sz w:val="24"/>
            <w:szCs w:val="24"/>
          </w:rPr>
          <w:t>https://www.supremecourt.ohio.gov/rod/docs/pdf/8/2024/2024-Ohio-5317.pdf</w:t>
        </w:r>
      </w:hyperlink>
      <w:r w:rsidRPr="0022097E">
        <w:rPr>
          <w:rFonts w:ascii="Times New Roman" w:hAnsi="Times New Roman"/>
          <w:sz w:val="24"/>
          <w:szCs w:val="24"/>
        </w:rPr>
        <w:t xml:space="preserve"> . </w:t>
      </w:r>
    </w:p>
    <w:p w14:paraId="7D71F624" w14:textId="77777777" w:rsidR="0022097E" w:rsidRDefault="0022097E" w:rsidP="0022097E">
      <w:pPr>
        <w:pStyle w:val="NoSpacing"/>
      </w:pPr>
      <w:r w:rsidRPr="0022097E">
        <w:rPr>
          <w:rFonts w:ascii="Times New Roman" w:hAnsi="Times New Roman"/>
          <w:sz w:val="24"/>
          <w:szCs w:val="24"/>
        </w:rPr>
        <w:t xml:space="preserve">On April 14, 2025, only three Ohio Supreme Court Justices agreed to hear the State’s appeal;  Justice Jennifer Brunner wrote a dissenting opinion.  </w:t>
      </w:r>
      <w:hyperlink r:id="rId437" w:history="1">
        <w:r w:rsidRPr="0022097E">
          <w:rPr>
            <w:rStyle w:val="Hyperlink"/>
            <w:rFonts w:ascii="Times New Roman" w:hAnsi="Times New Roman"/>
            <w:sz w:val="24"/>
            <w:szCs w:val="24"/>
          </w:rPr>
          <w:t>https://www.supremecourt.ohio.gov/rod/docs/pdf/0/2025/2025-Ohio-1296.pdf</w:t>
        </w:r>
      </w:hyperlink>
      <w:r>
        <w:t xml:space="preserve"> </w:t>
      </w:r>
    </w:p>
    <w:p w14:paraId="375AF909" w14:textId="77777777" w:rsidR="00A56D83" w:rsidRDefault="00A56D83" w:rsidP="0022097E">
      <w:pPr>
        <w:pStyle w:val="NoSpacing"/>
      </w:pPr>
    </w:p>
    <w:p w14:paraId="19D73359" w14:textId="77777777" w:rsidR="00A56D83" w:rsidRPr="00A56D83" w:rsidRDefault="00A56D83" w:rsidP="00A56D83">
      <w:pPr>
        <w:pStyle w:val="NoSpacing"/>
        <w:rPr>
          <w:rFonts w:ascii="Times New Roman" w:hAnsi="Times New Roman"/>
          <w:b/>
          <w:bCs/>
          <w:sz w:val="24"/>
          <w:szCs w:val="24"/>
        </w:rPr>
      </w:pPr>
      <w:r w:rsidRPr="00A56D83">
        <w:rPr>
          <w:rFonts w:ascii="Times New Roman" w:hAnsi="Times New Roman"/>
          <w:b/>
          <w:sz w:val="24"/>
          <w:szCs w:val="24"/>
        </w:rPr>
        <w:t xml:space="preserve">Legal Lesson Learned:  Hopefully the defendant gets a substantial new sentence. </w:t>
      </w:r>
    </w:p>
    <w:p w14:paraId="6FD9A5C9" w14:textId="77777777" w:rsidR="00A56D83" w:rsidRDefault="00A56D83" w:rsidP="00A56D83">
      <w:pPr>
        <w:pStyle w:val="NoSpacing"/>
        <w:rPr>
          <w:sz w:val="20"/>
          <w:szCs w:val="20"/>
        </w:rPr>
      </w:pPr>
    </w:p>
    <w:p w14:paraId="73082097" w14:textId="77777777" w:rsidR="00A56D83" w:rsidRDefault="00A56D83" w:rsidP="0022097E">
      <w:pPr>
        <w:pStyle w:val="NoSpacing"/>
      </w:pPr>
    </w:p>
    <w:p w14:paraId="17FCB57F" w14:textId="77777777" w:rsidR="0022097E" w:rsidRDefault="0022097E" w:rsidP="0022097E">
      <w:pPr>
        <w:pStyle w:val="NoSpacing"/>
      </w:pPr>
    </w:p>
    <w:p w14:paraId="1324022F" w14:textId="77777777" w:rsidR="00742E47" w:rsidRDefault="00742E47" w:rsidP="005D5A0C">
      <w:pPr>
        <w:rPr>
          <w:rFonts w:ascii="Arial Black" w:hAnsi="Arial Black"/>
          <w:sz w:val="24"/>
          <w:szCs w:val="24"/>
        </w:rPr>
      </w:pPr>
    </w:p>
    <w:p w14:paraId="13628548" w14:textId="06140CC0" w:rsidR="008B2721" w:rsidRDefault="008B2721" w:rsidP="005D5A0C">
      <w:pPr>
        <w:rPr>
          <w:rFonts w:ascii="Arial Black" w:hAnsi="Arial Black"/>
          <w:sz w:val="24"/>
          <w:szCs w:val="24"/>
        </w:rPr>
      </w:pPr>
      <w:r>
        <w:rPr>
          <w:rFonts w:ascii="Arial Black" w:hAnsi="Arial Black"/>
          <w:sz w:val="24"/>
          <w:szCs w:val="24"/>
        </w:rPr>
        <w:t>2-84</w:t>
      </w:r>
    </w:p>
    <w:p w14:paraId="114383A1" w14:textId="77777777" w:rsidR="0057078B" w:rsidRDefault="0057078B" w:rsidP="0057078B">
      <w:pPr>
        <w:pStyle w:val="NoSpacing"/>
        <w:rPr>
          <w:rFonts w:ascii="Arial Black" w:hAnsi="Arial Black"/>
          <w:bCs/>
          <w:sz w:val="28"/>
          <w:szCs w:val="28"/>
        </w:rPr>
      </w:pPr>
      <w:r>
        <w:rPr>
          <w:rFonts w:ascii="Arial Black" w:hAnsi="Arial Black"/>
          <w:sz w:val="28"/>
          <w:szCs w:val="28"/>
        </w:rPr>
        <w:t>KY: CSX DERAIL – FF MAY SUE – FIREMAN’S RULE NOT BAR</w:t>
      </w:r>
    </w:p>
    <w:p w14:paraId="661D7501" w14:textId="77777777" w:rsidR="0057078B" w:rsidRPr="0029038E" w:rsidRDefault="0057078B" w:rsidP="0057078B">
      <w:pPr>
        <w:pStyle w:val="NoSpacing"/>
        <w:rPr>
          <w:rFonts w:ascii="Times New Roman" w:hAnsi="Times New Roman"/>
          <w:bCs/>
          <w:sz w:val="24"/>
          <w:szCs w:val="24"/>
        </w:rPr>
      </w:pPr>
    </w:p>
    <w:p w14:paraId="131E8613" w14:textId="77777777" w:rsidR="0057078B" w:rsidRPr="0029038E" w:rsidRDefault="0057078B" w:rsidP="0057078B">
      <w:pPr>
        <w:pStyle w:val="NoSpacing"/>
        <w:rPr>
          <w:rFonts w:ascii="Times New Roman" w:hAnsi="Times New Roman"/>
          <w:bCs/>
          <w:sz w:val="24"/>
          <w:szCs w:val="24"/>
        </w:rPr>
      </w:pPr>
      <w:r w:rsidRPr="0029038E">
        <w:rPr>
          <w:rFonts w:ascii="Times New Roman" w:hAnsi="Times New Roman"/>
          <w:sz w:val="24"/>
          <w:szCs w:val="24"/>
        </w:rPr>
        <w:t xml:space="preserve">On March 28, 2025, in </w:t>
      </w:r>
      <w:r w:rsidRPr="0029038E">
        <w:rPr>
          <w:rFonts w:ascii="Times New Roman" w:hAnsi="Times New Roman"/>
          <w:sz w:val="24"/>
          <w:szCs w:val="24"/>
          <w:u w:val="single"/>
        </w:rPr>
        <w:t>Lauren Webb, et al. v. CSX Transportation, Inc.,</w:t>
      </w:r>
      <w:r w:rsidRPr="0029038E">
        <w:rPr>
          <w:rFonts w:ascii="Times New Roman" w:hAnsi="Times New Roman"/>
          <w:sz w:val="24"/>
          <w:szCs w:val="24"/>
        </w:rPr>
        <w:t xml:space="preserve"> U.S. District Court Judge Robert E. Wier, United States District Court, E.D. Kentucky, Southern Division, London, held that lawsuit by three residents near the Nov. 22, 2023 derailment [hot bearing detectors didn’t alert train engineer] may proceed with pre-trial discovery, including Lauren Webb, “a local firefighter who assisted in the evacuation and spent ‘many hours’ at the crash site. She alleges her exposure to SO2 caused ‘sore throat, trouble breathing, headaches and a respiratory infection[,]’ as well as ‘ongoing pulmonary irritation and fear for the long-term consequences to her health’ given her status as an ‘immunocompromised individual.’” The Court rejected CSX argument that the KY Fireman’s Rule prohibits firefighter Webb from filing her claim for damages. </w:t>
      </w:r>
      <w:hyperlink r:id="rId438" w:history="1">
        <w:r w:rsidRPr="0029038E">
          <w:rPr>
            <w:rStyle w:val="Hyperlink"/>
            <w:rFonts w:ascii="Times New Roman" w:hAnsi="Times New Roman"/>
            <w:sz w:val="24"/>
            <w:szCs w:val="24"/>
          </w:rPr>
          <w:t>https://public.fastcase.com/jaEE2PXzRXmZ99jOLMt1IgoAeG7S%2FykfBuI6YcrwSiPTGWPBCOsZ9U9hhbKPvFCclEcN8%2BwauJ9ACloifFNsJP5SY607BhdVsV5o4yY4x1s%3D?utm_medium=email&amp;_hsenc=p2ANqtz-_cDTCyDUjf-GWGQHLWs90oLVQoI7WEBtlECxGBA_PvhPlM3MPPBeVtmuAidKContkLHE5q5E9gdRGYeBGS5gCqwJlBfg&amp;_hsmi=226712652&amp;utm_content=226712652&amp;utm_source=hs_email</w:t>
        </w:r>
      </w:hyperlink>
      <w:r w:rsidRPr="0029038E">
        <w:rPr>
          <w:rFonts w:ascii="Times New Roman" w:hAnsi="Times New Roman"/>
          <w:sz w:val="24"/>
          <w:szCs w:val="24"/>
        </w:rPr>
        <w:t xml:space="preserve">  </w:t>
      </w:r>
    </w:p>
    <w:p w14:paraId="150A5129" w14:textId="77777777" w:rsidR="0057078B" w:rsidRPr="0029038E" w:rsidRDefault="0057078B" w:rsidP="0057078B">
      <w:pPr>
        <w:pStyle w:val="NoSpacing"/>
        <w:rPr>
          <w:rFonts w:ascii="Times New Roman" w:hAnsi="Times New Roman"/>
          <w:bCs/>
          <w:sz w:val="24"/>
          <w:szCs w:val="24"/>
        </w:rPr>
      </w:pPr>
    </w:p>
    <w:p w14:paraId="0D215252" w14:textId="77777777" w:rsidR="0029038E" w:rsidRPr="0029038E" w:rsidRDefault="0029038E" w:rsidP="0029038E">
      <w:pPr>
        <w:pStyle w:val="NoSpacing"/>
        <w:rPr>
          <w:rFonts w:ascii="Times New Roman" w:hAnsi="Times New Roman"/>
          <w:b/>
          <w:sz w:val="24"/>
          <w:szCs w:val="24"/>
        </w:rPr>
      </w:pPr>
      <w:r w:rsidRPr="0029038E">
        <w:rPr>
          <w:rFonts w:ascii="Times New Roman" w:hAnsi="Times New Roman"/>
          <w:b/>
          <w:sz w:val="24"/>
          <w:szCs w:val="24"/>
        </w:rPr>
        <w:t xml:space="preserve">Legal Lesson Learned: The firefighter and her two neighbors may now proceed with pre-trial discovery.  </w:t>
      </w:r>
    </w:p>
    <w:p w14:paraId="525FC8EA" w14:textId="77777777" w:rsidR="0029038E" w:rsidRPr="0029038E" w:rsidRDefault="0029038E" w:rsidP="0029038E">
      <w:pPr>
        <w:pStyle w:val="NoSpacing"/>
        <w:rPr>
          <w:rFonts w:ascii="Times New Roman" w:hAnsi="Times New Roman"/>
          <w:b/>
          <w:sz w:val="24"/>
          <w:szCs w:val="24"/>
        </w:rPr>
      </w:pPr>
    </w:p>
    <w:p w14:paraId="3FAB8A88" w14:textId="77777777" w:rsidR="0029038E" w:rsidRPr="0029038E" w:rsidRDefault="0029038E" w:rsidP="0029038E">
      <w:pPr>
        <w:pStyle w:val="NoSpacing"/>
        <w:ind w:left="720"/>
        <w:rPr>
          <w:rFonts w:ascii="Times New Roman" w:hAnsi="Times New Roman"/>
          <w:sz w:val="24"/>
          <w:szCs w:val="24"/>
        </w:rPr>
      </w:pPr>
      <w:r w:rsidRPr="0029038E">
        <w:rPr>
          <w:rFonts w:ascii="Times New Roman" w:hAnsi="Times New Roman"/>
          <w:sz w:val="24"/>
          <w:szCs w:val="24"/>
        </w:rPr>
        <w:lastRenderedPageBreak/>
        <w:t xml:space="preserve">Note:  See April 25, </w:t>
      </w:r>
      <w:proofErr w:type="gramStart"/>
      <w:r w:rsidRPr="0029038E">
        <w:rPr>
          <w:rFonts w:ascii="Times New Roman" w:hAnsi="Times New Roman"/>
          <w:sz w:val="24"/>
          <w:szCs w:val="24"/>
        </w:rPr>
        <w:t>2024</w:t>
      </w:r>
      <w:proofErr w:type="gramEnd"/>
      <w:r w:rsidRPr="0029038E">
        <w:rPr>
          <w:rFonts w:ascii="Times New Roman" w:hAnsi="Times New Roman"/>
          <w:sz w:val="24"/>
          <w:szCs w:val="24"/>
        </w:rPr>
        <w:t xml:space="preserve"> lawsuit involving massive train derailment and failure of hot bearing detectors;  February 3, 2023, a 149-car Norfolk Southern train derailed in East Palestine, Ohio.  </w:t>
      </w:r>
      <w:hyperlink r:id="rId439" w:history="1">
        <w:r w:rsidRPr="0029038E">
          <w:rPr>
            <w:rStyle w:val="Hyperlink"/>
            <w:rFonts w:ascii="Times New Roman" w:hAnsi="Times New Roman"/>
            <w:sz w:val="24"/>
            <w:szCs w:val="24"/>
          </w:rPr>
          <w:t>https://www.ktmc.com/featured-case/norfolk-southern-corporation</w:t>
        </w:r>
      </w:hyperlink>
      <w:r w:rsidRPr="0029038E">
        <w:rPr>
          <w:rFonts w:ascii="Times New Roman" w:hAnsi="Times New Roman"/>
          <w:sz w:val="24"/>
          <w:szCs w:val="24"/>
        </w:rPr>
        <w:t xml:space="preserve"> </w:t>
      </w:r>
    </w:p>
    <w:p w14:paraId="32EE4EDC" w14:textId="77777777" w:rsidR="0029038E" w:rsidRPr="0029038E" w:rsidRDefault="0029038E" w:rsidP="0029038E">
      <w:pPr>
        <w:pStyle w:val="NoSpacing"/>
        <w:ind w:left="720"/>
        <w:rPr>
          <w:rFonts w:ascii="Times New Roman" w:hAnsi="Times New Roman"/>
          <w:sz w:val="24"/>
          <w:szCs w:val="24"/>
        </w:rPr>
      </w:pPr>
    </w:p>
    <w:p w14:paraId="7B542463" w14:textId="77777777" w:rsidR="0029038E" w:rsidRPr="0029038E" w:rsidRDefault="0029038E" w:rsidP="0029038E">
      <w:pPr>
        <w:pStyle w:val="NoSpacing"/>
        <w:ind w:left="720"/>
        <w:rPr>
          <w:rFonts w:ascii="Times New Roman" w:hAnsi="Times New Roman"/>
          <w:sz w:val="24"/>
          <w:szCs w:val="24"/>
        </w:rPr>
      </w:pPr>
      <w:r w:rsidRPr="0029038E">
        <w:rPr>
          <w:rFonts w:ascii="Times New Roman" w:hAnsi="Times New Roman"/>
          <w:sz w:val="24"/>
          <w:szCs w:val="24"/>
        </w:rPr>
        <w:t>“As Train 32N neared East Palestine, it passed an HBD registering a journal bearing on the 23rd car that was running 38°F above ambient temperature. Just ten miles later, the next HBD indicated that same bearing was running 65ºF hotter at 103°F above ambient</w:t>
      </w:r>
    </w:p>
    <w:p w14:paraId="6604DB54" w14:textId="77777777" w:rsidR="0029038E" w:rsidRPr="0029038E" w:rsidRDefault="0029038E" w:rsidP="0029038E">
      <w:pPr>
        <w:pStyle w:val="NoSpacing"/>
        <w:ind w:left="720"/>
        <w:rPr>
          <w:rFonts w:ascii="Times New Roman" w:hAnsi="Times New Roman"/>
          <w:sz w:val="24"/>
          <w:szCs w:val="24"/>
        </w:rPr>
      </w:pPr>
      <w:r w:rsidRPr="0029038E">
        <w:rPr>
          <w:rFonts w:ascii="Times New Roman" w:hAnsi="Times New Roman"/>
          <w:sz w:val="24"/>
          <w:szCs w:val="24"/>
        </w:rPr>
        <w:t>temperature – an increase of nearly 200%. The train’s crew was unaware of the 65°F temperature increase and was not told to stop. In fact, the single Norfolk Southern employee operating Norfolk Southern’s Wayside Detector Help Desk, which monitors HBD alerts for the Company’s entire rail system from a desk in Atlanta, was attending to three other alerts at the time and missed the alert on Train 32N. Twenty miles later, the train passed a third and final HBD, which recorded that the same journal bearing had</w:t>
      </w:r>
    </w:p>
    <w:p w14:paraId="635F1EF9" w14:textId="77777777" w:rsidR="0029038E" w:rsidRPr="0029038E" w:rsidRDefault="0029038E" w:rsidP="0029038E">
      <w:pPr>
        <w:pStyle w:val="NoSpacing"/>
        <w:ind w:left="720"/>
        <w:rPr>
          <w:rFonts w:ascii="Times New Roman" w:hAnsi="Times New Roman"/>
          <w:sz w:val="24"/>
          <w:szCs w:val="24"/>
        </w:rPr>
      </w:pPr>
      <w:r w:rsidRPr="0029038E">
        <w:rPr>
          <w:rFonts w:ascii="Times New Roman" w:hAnsi="Times New Roman"/>
          <w:sz w:val="24"/>
          <w:szCs w:val="24"/>
        </w:rPr>
        <w:t>reached a temperature of 253°F above ambient. Only at this point did the train crew</w:t>
      </w:r>
    </w:p>
    <w:p w14:paraId="53342127" w14:textId="77777777" w:rsidR="0029038E" w:rsidRPr="0029038E" w:rsidRDefault="0029038E" w:rsidP="0029038E">
      <w:pPr>
        <w:pStyle w:val="NoSpacing"/>
        <w:ind w:left="720"/>
        <w:rPr>
          <w:rFonts w:ascii="Times New Roman" w:hAnsi="Times New Roman"/>
          <w:sz w:val="24"/>
          <w:szCs w:val="24"/>
        </w:rPr>
      </w:pPr>
      <w:r w:rsidRPr="0029038E">
        <w:rPr>
          <w:rFonts w:ascii="Times New Roman" w:hAnsi="Times New Roman"/>
          <w:sz w:val="24"/>
          <w:szCs w:val="24"/>
        </w:rPr>
        <w:t>receive an alarm to slow the train to inspect the hot axle, but seconds later, the</w:t>
      </w:r>
    </w:p>
    <w:p w14:paraId="11E8C830" w14:textId="77777777" w:rsidR="0029038E" w:rsidRPr="0029038E" w:rsidRDefault="0029038E" w:rsidP="0029038E">
      <w:pPr>
        <w:pStyle w:val="NoSpacing"/>
        <w:ind w:left="720"/>
        <w:rPr>
          <w:rFonts w:ascii="Times New Roman" w:hAnsi="Times New Roman"/>
          <w:sz w:val="24"/>
          <w:szCs w:val="24"/>
        </w:rPr>
      </w:pPr>
      <w:r w:rsidRPr="0029038E">
        <w:rPr>
          <w:rFonts w:ascii="Times New Roman" w:hAnsi="Times New Roman"/>
          <w:sz w:val="24"/>
          <w:szCs w:val="24"/>
        </w:rPr>
        <w:t>automatic emergency brake initiated. When the train stopped, 38 cars had derailed,</w:t>
      </w:r>
    </w:p>
    <w:p w14:paraId="2A5485F2" w14:textId="77777777" w:rsidR="0029038E" w:rsidRPr="0029038E" w:rsidRDefault="0029038E" w:rsidP="0029038E">
      <w:pPr>
        <w:pStyle w:val="NoSpacing"/>
        <w:ind w:left="720"/>
        <w:rPr>
          <w:rFonts w:ascii="Times New Roman" w:hAnsi="Times New Roman"/>
          <w:sz w:val="24"/>
          <w:szCs w:val="24"/>
        </w:rPr>
      </w:pPr>
      <w:r w:rsidRPr="0029038E">
        <w:rPr>
          <w:rFonts w:ascii="Times New Roman" w:hAnsi="Times New Roman"/>
          <w:sz w:val="24"/>
          <w:szCs w:val="24"/>
        </w:rPr>
        <w:t>and the train, including cars containing vinyl chloride, was on fire.”</w:t>
      </w:r>
    </w:p>
    <w:p w14:paraId="27F800C5" w14:textId="77777777" w:rsidR="008B2721" w:rsidRDefault="008B2721" w:rsidP="005D5A0C">
      <w:pPr>
        <w:rPr>
          <w:rFonts w:ascii="Arial Black" w:hAnsi="Arial Black"/>
          <w:sz w:val="24"/>
          <w:szCs w:val="24"/>
        </w:rPr>
      </w:pPr>
    </w:p>
    <w:p w14:paraId="3A8CEA66" w14:textId="77777777" w:rsidR="008B2721" w:rsidRDefault="008B2721" w:rsidP="005D5A0C">
      <w:pPr>
        <w:rPr>
          <w:rFonts w:ascii="Arial Black" w:hAnsi="Arial Black"/>
          <w:sz w:val="24"/>
          <w:szCs w:val="24"/>
        </w:rPr>
      </w:pPr>
    </w:p>
    <w:p w14:paraId="652B0EC4" w14:textId="0E4FB8B1" w:rsidR="008B2721" w:rsidRDefault="008B2721" w:rsidP="005D5A0C">
      <w:pPr>
        <w:rPr>
          <w:rFonts w:ascii="Arial Black" w:hAnsi="Arial Black"/>
          <w:sz w:val="24"/>
          <w:szCs w:val="24"/>
        </w:rPr>
      </w:pPr>
      <w:r>
        <w:rPr>
          <w:rFonts w:ascii="Arial Black" w:hAnsi="Arial Black"/>
          <w:sz w:val="24"/>
          <w:szCs w:val="24"/>
        </w:rPr>
        <w:t>2-83</w:t>
      </w:r>
    </w:p>
    <w:p w14:paraId="1E21E502" w14:textId="77777777" w:rsidR="008B2721" w:rsidRPr="00CB1316" w:rsidRDefault="008B2721" w:rsidP="008B2721">
      <w:pPr>
        <w:pStyle w:val="NoSpacing"/>
        <w:rPr>
          <w:rFonts w:ascii="Arial Black" w:hAnsi="Arial Black"/>
          <w:bCs/>
          <w:sz w:val="28"/>
          <w:szCs w:val="28"/>
        </w:rPr>
      </w:pPr>
      <w:r>
        <w:rPr>
          <w:rFonts w:ascii="Arial Black" w:hAnsi="Arial Black"/>
          <w:sz w:val="28"/>
          <w:szCs w:val="28"/>
        </w:rPr>
        <w:t>VA: RECRUIT DIED – ANONYMOUS LETTER – HOSTILE WORK</w:t>
      </w:r>
    </w:p>
    <w:p w14:paraId="155B42BD" w14:textId="77777777" w:rsidR="008B2721" w:rsidRDefault="008B2721" w:rsidP="008B2721">
      <w:pPr>
        <w:pStyle w:val="NoSpacing"/>
        <w:rPr>
          <w:bCs/>
        </w:rPr>
      </w:pPr>
    </w:p>
    <w:p w14:paraId="691C0B4C" w14:textId="77777777" w:rsidR="008B2721" w:rsidRPr="008B2721" w:rsidRDefault="008B2721" w:rsidP="008B2721">
      <w:pPr>
        <w:pStyle w:val="NoSpacing"/>
        <w:rPr>
          <w:rFonts w:ascii="Times New Roman" w:hAnsi="Times New Roman"/>
          <w:bCs/>
          <w:sz w:val="24"/>
          <w:szCs w:val="24"/>
        </w:rPr>
      </w:pPr>
      <w:r w:rsidRPr="008B2721">
        <w:rPr>
          <w:rFonts w:ascii="Times New Roman" w:hAnsi="Times New Roman"/>
          <w:sz w:val="24"/>
          <w:szCs w:val="24"/>
        </w:rPr>
        <w:t xml:space="preserve">On March 25, 2025, in </w:t>
      </w:r>
      <w:r w:rsidRPr="008B2721">
        <w:rPr>
          <w:rFonts w:ascii="Times New Roman" w:hAnsi="Times New Roman"/>
          <w:sz w:val="24"/>
          <w:szCs w:val="24"/>
          <w:u w:val="single"/>
        </w:rPr>
        <w:t>Casey Blake v. Frederick County Fire and Rescue Dept. et al</w:t>
      </w:r>
      <w:r w:rsidRPr="008B2721">
        <w:rPr>
          <w:rFonts w:ascii="Times New Roman" w:hAnsi="Times New Roman"/>
          <w:sz w:val="24"/>
          <w:szCs w:val="24"/>
        </w:rPr>
        <w:t xml:space="preserve">,  U.S. District Court Judge Jasmine H. Yoon, U.S. District Court for the Western District of Virginia, Harrisonburg Division, held that the lawsuit filed by Casey Blake, administrative assistant to the former Fire Chief, who wrote an anonymous letter, may proceed with her hostile workplace lawsuit against the current Fire Chief, and the County Administrator.  Ms. Blake alleges retaliation when the Chief learned she had written an anonymous letter to the family of a recruit, Ian Strickler, who died on July 5, </w:t>
      </w:r>
      <w:proofErr w:type="gramStart"/>
      <w:r w:rsidRPr="008B2721">
        <w:rPr>
          <w:rFonts w:ascii="Times New Roman" w:hAnsi="Times New Roman"/>
          <w:sz w:val="24"/>
          <w:szCs w:val="24"/>
        </w:rPr>
        <w:t>2023</w:t>
      </w:r>
      <w:proofErr w:type="gramEnd"/>
      <w:r w:rsidRPr="008B2721">
        <w:rPr>
          <w:rFonts w:ascii="Times New Roman" w:hAnsi="Times New Roman"/>
          <w:sz w:val="24"/>
          <w:szCs w:val="24"/>
        </w:rPr>
        <w:t xml:space="preserve"> during physical training.  She encouraged them to hire an attorney and investigate the recruit training officer. “Strickler’s heart rate measured at over 200 beats-per-minute before he collapsed, and his body temperature was recorded at 104 degrees Fahrenheit.”  Ms. Blake’s own son, Nick Blake, had to drop out of recruit school on March 3, </w:t>
      </w:r>
      <w:proofErr w:type="gramStart"/>
      <w:r w:rsidRPr="008B2721">
        <w:rPr>
          <w:rFonts w:ascii="Times New Roman" w:hAnsi="Times New Roman"/>
          <w:sz w:val="24"/>
          <w:szCs w:val="24"/>
        </w:rPr>
        <w:t>2022</w:t>
      </w:r>
      <w:proofErr w:type="gramEnd"/>
      <w:r w:rsidRPr="008B2721">
        <w:rPr>
          <w:rFonts w:ascii="Times New Roman" w:hAnsi="Times New Roman"/>
          <w:sz w:val="24"/>
          <w:szCs w:val="24"/>
        </w:rPr>
        <w:t xml:space="preserve"> when he had medical emergency during recruit class run with same training officer in charge of Ian Strickler class. </w:t>
      </w:r>
    </w:p>
    <w:p w14:paraId="73EA5D1D" w14:textId="77777777" w:rsidR="008B2721" w:rsidRPr="008B2721" w:rsidRDefault="008B2721" w:rsidP="008B2721">
      <w:pPr>
        <w:pStyle w:val="NoSpacing"/>
        <w:rPr>
          <w:rFonts w:ascii="Times New Roman" w:hAnsi="Times New Roman"/>
          <w:bCs/>
          <w:sz w:val="24"/>
          <w:szCs w:val="24"/>
        </w:rPr>
      </w:pPr>
    </w:p>
    <w:p w14:paraId="01032111" w14:textId="77777777" w:rsidR="008B2721" w:rsidRPr="008B2721" w:rsidRDefault="008B2721" w:rsidP="008B2721">
      <w:pPr>
        <w:pStyle w:val="NoSpacing"/>
        <w:ind w:left="720"/>
        <w:rPr>
          <w:rFonts w:ascii="Times New Roman" w:hAnsi="Times New Roman"/>
          <w:bCs/>
          <w:sz w:val="24"/>
          <w:szCs w:val="24"/>
        </w:rPr>
      </w:pPr>
      <w:r w:rsidRPr="008B2721">
        <w:rPr>
          <w:rFonts w:ascii="Times New Roman" w:hAnsi="Times New Roman"/>
          <w:sz w:val="24"/>
          <w:szCs w:val="24"/>
        </w:rPr>
        <w:t xml:space="preserve">“In Count I, Blake asserts a claim for a declaratory judgment against [Fire Chief </w:t>
      </w:r>
      <w:proofErr w:type="spellStart"/>
      <w:r w:rsidRPr="008B2721">
        <w:rPr>
          <w:rFonts w:ascii="Times New Roman" w:hAnsi="Times New Roman"/>
          <w:sz w:val="24"/>
          <w:szCs w:val="24"/>
        </w:rPr>
        <w:t>tephen</w:t>
      </w:r>
      <w:proofErr w:type="spellEnd"/>
      <w:r w:rsidRPr="008B2721">
        <w:rPr>
          <w:rFonts w:ascii="Times New Roman" w:hAnsi="Times New Roman"/>
          <w:sz w:val="24"/>
          <w:szCs w:val="24"/>
        </w:rPr>
        <w:t>] Majchrzak and [County Administrator Michael] Bollhoefer…. Here, Blake’s allegations describe a real and substantial injury: a hostile workplace and damage to her reputation. In addition, Blake alleges that the controversy remains ongoing, as she claims that she continues to experience a hostile work environment, limited job responsibilities, and active monitoring by an administrator as she works from home…. Blake’s requested declaration would have a concrete remedial effect, as she continues to work from home in the same position. Accepting Blake’s allegations as true, the challenged retaliatory conduct by Defendants has not been rectified, thus is not past conduct, and a declaration regarding its constitutionality would not be advisory. As a result, Defendants’ argument on this issue fails.</w:t>
      </w:r>
    </w:p>
    <w:p w14:paraId="701842A5" w14:textId="77777777" w:rsidR="008B2721" w:rsidRPr="008B2721" w:rsidRDefault="008B2721" w:rsidP="008B2721">
      <w:pPr>
        <w:pStyle w:val="NoSpacing"/>
        <w:ind w:left="720"/>
        <w:rPr>
          <w:rFonts w:ascii="Times New Roman" w:hAnsi="Times New Roman"/>
          <w:bCs/>
          <w:sz w:val="24"/>
          <w:szCs w:val="24"/>
        </w:rPr>
      </w:pPr>
    </w:p>
    <w:p w14:paraId="6DC199FE" w14:textId="77777777" w:rsidR="008B2721" w:rsidRPr="008B2721" w:rsidRDefault="008B2721" w:rsidP="008B2721">
      <w:pPr>
        <w:pStyle w:val="NoSpacing"/>
        <w:ind w:left="720"/>
        <w:rPr>
          <w:rFonts w:ascii="Times New Roman" w:hAnsi="Times New Roman"/>
          <w:bCs/>
          <w:sz w:val="24"/>
          <w:szCs w:val="24"/>
        </w:rPr>
      </w:pPr>
      <w:r w:rsidRPr="008B2721">
        <w:rPr>
          <w:rFonts w:ascii="Times New Roman" w:hAnsi="Times New Roman"/>
          <w:sz w:val="24"/>
          <w:szCs w:val="24"/>
        </w:rPr>
        <w:t>***</w:t>
      </w:r>
    </w:p>
    <w:p w14:paraId="373D99CA" w14:textId="77777777" w:rsidR="008B2721" w:rsidRPr="008B2721" w:rsidRDefault="008B2721" w:rsidP="008B2721">
      <w:pPr>
        <w:pStyle w:val="NoSpacing"/>
        <w:rPr>
          <w:rFonts w:ascii="Times New Roman" w:hAnsi="Times New Roman"/>
          <w:bCs/>
          <w:sz w:val="24"/>
          <w:szCs w:val="24"/>
        </w:rPr>
      </w:pPr>
    </w:p>
    <w:p w14:paraId="51419F3E" w14:textId="77777777" w:rsidR="008B2721" w:rsidRPr="008B2721" w:rsidRDefault="008B2721" w:rsidP="008B2721">
      <w:pPr>
        <w:pStyle w:val="NoSpacing"/>
        <w:ind w:left="720"/>
        <w:rPr>
          <w:rFonts w:ascii="Times New Roman" w:hAnsi="Times New Roman"/>
          <w:bCs/>
          <w:sz w:val="24"/>
          <w:szCs w:val="24"/>
        </w:rPr>
      </w:pPr>
      <w:r w:rsidRPr="008B2721">
        <w:rPr>
          <w:rFonts w:ascii="Times New Roman" w:hAnsi="Times New Roman"/>
          <w:sz w:val="24"/>
          <w:szCs w:val="24"/>
        </w:rPr>
        <w:t xml:space="preserve">[Count II - First Amendment retaliation]  Blake responds by pointing to her allegations that Majchrzak limited Blake’s job duties and responsibilities, prevented her from attending staff meetings, and turned her co-workers against her by facilitating a hostile work environment…. Blake has sufficiently alleged </w:t>
      </w:r>
      <w:r w:rsidRPr="008B2721">
        <w:rPr>
          <w:rFonts w:ascii="Times New Roman" w:hAnsi="Times New Roman"/>
          <w:sz w:val="24"/>
          <w:szCs w:val="24"/>
        </w:rPr>
        <w:lastRenderedPageBreak/>
        <w:t>retaliatory acts that are more than de minimis or trivial. … Blake alleged that Majchrzak purposefully excluded her from attending meetings by moving the meeting’s physical location and avoided her….  And Majchrzak took steps to reduce Blake’s job responsibilities by managing his own schedule…. Over time, Blake claims that she was deprived of many of her job duties. … As a result, the court will deny Defendants’ motions to dismiss Count II.”</w:t>
      </w:r>
    </w:p>
    <w:p w14:paraId="5D86E497" w14:textId="77777777" w:rsidR="008B2721" w:rsidRPr="008B2721" w:rsidRDefault="008B2721" w:rsidP="008B2721">
      <w:pPr>
        <w:pStyle w:val="NoSpacing"/>
        <w:ind w:left="720"/>
        <w:rPr>
          <w:rFonts w:ascii="Times New Roman" w:hAnsi="Times New Roman"/>
          <w:bCs/>
          <w:sz w:val="24"/>
          <w:szCs w:val="24"/>
        </w:rPr>
      </w:pPr>
      <w:r w:rsidRPr="008B2721">
        <w:rPr>
          <w:rFonts w:ascii="Times New Roman" w:hAnsi="Times New Roman"/>
          <w:sz w:val="24"/>
          <w:szCs w:val="24"/>
        </w:rPr>
        <w:t>***</w:t>
      </w:r>
    </w:p>
    <w:p w14:paraId="1AFC513F" w14:textId="77777777" w:rsidR="008B2721" w:rsidRPr="008B2721" w:rsidRDefault="008B2721" w:rsidP="008B2721">
      <w:pPr>
        <w:pStyle w:val="NoSpacing"/>
        <w:rPr>
          <w:rFonts w:ascii="Times New Roman" w:hAnsi="Times New Roman"/>
          <w:bCs/>
          <w:sz w:val="24"/>
          <w:szCs w:val="24"/>
        </w:rPr>
      </w:pPr>
    </w:p>
    <w:p w14:paraId="5CC58FF0" w14:textId="77777777" w:rsidR="008B2721" w:rsidRPr="008B2721" w:rsidRDefault="008B2721" w:rsidP="008B2721">
      <w:pPr>
        <w:pStyle w:val="NoSpacing"/>
        <w:ind w:left="720"/>
        <w:rPr>
          <w:rFonts w:ascii="Times New Roman" w:hAnsi="Times New Roman"/>
          <w:bCs/>
          <w:sz w:val="24"/>
          <w:szCs w:val="24"/>
        </w:rPr>
      </w:pPr>
      <w:r w:rsidRPr="008B2721">
        <w:rPr>
          <w:rFonts w:ascii="Times New Roman" w:hAnsi="Times New Roman"/>
          <w:sz w:val="24"/>
          <w:szCs w:val="24"/>
        </w:rPr>
        <w:t xml:space="preserve">[Court dismissed other claims, including Intentional Infliction of Emotional Distress claim.] The court finds that the alleged conduct from Majchrzak and Bollhoefer does not rise to the level of ‘outrageous and intolerable.’ Although unprofessional and indecorous, Defendants’ alleged efforts to ostracize her at work, limit her job responsibilities, and exclude her from meetings do not meet the high bar Virginia law requires.” </w:t>
      </w:r>
    </w:p>
    <w:p w14:paraId="222FD0EB" w14:textId="77777777" w:rsidR="008B2721" w:rsidRPr="008B2721" w:rsidRDefault="008B2721" w:rsidP="008B2721">
      <w:pPr>
        <w:pStyle w:val="NoSpacing"/>
        <w:ind w:left="720"/>
        <w:rPr>
          <w:rFonts w:ascii="Times New Roman" w:hAnsi="Times New Roman"/>
          <w:bCs/>
          <w:sz w:val="24"/>
          <w:szCs w:val="24"/>
        </w:rPr>
      </w:pPr>
    </w:p>
    <w:p w14:paraId="6BA52E9D" w14:textId="77777777" w:rsidR="00B404C3" w:rsidRPr="00B404C3" w:rsidRDefault="00B404C3" w:rsidP="00B404C3">
      <w:pPr>
        <w:pStyle w:val="NoSpacing"/>
        <w:rPr>
          <w:rFonts w:ascii="Times New Roman" w:hAnsi="Times New Roman"/>
          <w:b/>
          <w:sz w:val="24"/>
          <w:szCs w:val="24"/>
        </w:rPr>
      </w:pPr>
      <w:r w:rsidRPr="00B404C3">
        <w:rPr>
          <w:rFonts w:ascii="Times New Roman" w:hAnsi="Times New Roman"/>
          <w:b/>
          <w:sz w:val="24"/>
          <w:szCs w:val="24"/>
        </w:rPr>
        <w:t xml:space="preserve">Legal Lesson Learned: The case will now proceed to pre-trial discovery; carefully review your protocols on medical exams for recruits and their fitness testing. </w:t>
      </w:r>
    </w:p>
    <w:p w14:paraId="6C96C690" w14:textId="77777777" w:rsidR="008B2721" w:rsidRDefault="008B2721" w:rsidP="008B2721">
      <w:pPr>
        <w:pStyle w:val="NoSpacing"/>
        <w:ind w:left="720"/>
        <w:rPr>
          <w:bCs/>
        </w:rPr>
      </w:pPr>
    </w:p>
    <w:p w14:paraId="28E2C164" w14:textId="77777777" w:rsidR="008B2721" w:rsidRDefault="008B2721" w:rsidP="005D5A0C">
      <w:pPr>
        <w:rPr>
          <w:rFonts w:ascii="Arial Black" w:hAnsi="Arial Black"/>
          <w:sz w:val="24"/>
          <w:szCs w:val="24"/>
        </w:rPr>
      </w:pPr>
    </w:p>
    <w:p w14:paraId="69BCB69F" w14:textId="77777777" w:rsidR="008B2721" w:rsidRDefault="008B2721" w:rsidP="005D5A0C">
      <w:pPr>
        <w:rPr>
          <w:rFonts w:ascii="Arial Black" w:hAnsi="Arial Black"/>
          <w:sz w:val="24"/>
          <w:szCs w:val="24"/>
        </w:rPr>
      </w:pPr>
    </w:p>
    <w:p w14:paraId="6E9B4DA7" w14:textId="3FE25AA8" w:rsidR="00042223" w:rsidRDefault="00042223" w:rsidP="005D5A0C">
      <w:pPr>
        <w:rPr>
          <w:rFonts w:ascii="Arial Black" w:hAnsi="Arial Black"/>
          <w:sz w:val="24"/>
          <w:szCs w:val="24"/>
        </w:rPr>
      </w:pPr>
      <w:r>
        <w:rPr>
          <w:rFonts w:ascii="Arial Black" w:hAnsi="Arial Black"/>
          <w:sz w:val="24"/>
          <w:szCs w:val="24"/>
        </w:rPr>
        <w:t>2-82</w:t>
      </w:r>
    </w:p>
    <w:p w14:paraId="7436A6A9" w14:textId="77777777" w:rsidR="00042223" w:rsidRPr="000B7F2C" w:rsidRDefault="00042223" w:rsidP="00042223">
      <w:pPr>
        <w:rPr>
          <w:rFonts w:ascii="Arial Black" w:hAnsi="Arial Black"/>
          <w:b/>
          <w:sz w:val="28"/>
          <w:szCs w:val="28"/>
        </w:rPr>
      </w:pPr>
      <w:r w:rsidRPr="000B7F2C">
        <w:rPr>
          <w:rFonts w:ascii="Arial Black" w:hAnsi="Arial Black"/>
          <w:b/>
          <w:sz w:val="28"/>
          <w:szCs w:val="28"/>
        </w:rPr>
        <w:t>MS: LT MURDERED</w:t>
      </w:r>
      <w:r>
        <w:rPr>
          <w:rFonts w:ascii="Arial Black" w:hAnsi="Arial Black"/>
          <w:b/>
          <w:sz w:val="28"/>
          <w:szCs w:val="28"/>
        </w:rPr>
        <w:t xml:space="preserve"> - </w:t>
      </w:r>
      <w:r w:rsidRPr="000B7F2C">
        <w:rPr>
          <w:rFonts w:ascii="Arial Black" w:hAnsi="Arial Black"/>
          <w:b/>
          <w:sz w:val="28"/>
          <w:szCs w:val="28"/>
        </w:rPr>
        <w:t xml:space="preserve">HALF BROTHER – CONV. </w:t>
      </w:r>
      <w:r>
        <w:rPr>
          <w:rFonts w:ascii="Arial Black" w:hAnsi="Arial Black"/>
          <w:b/>
          <w:sz w:val="28"/>
          <w:szCs w:val="28"/>
        </w:rPr>
        <w:t>AFFIRMED</w:t>
      </w:r>
    </w:p>
    <w:p w14:paraId="6FA49322" w14:textId="77777777" w:rsidR="00042223" w:rsidRPr="00042223" w:rsidRDefault="00042223" w:rsidP="00042223">
      <w:pPr>
        <w:rPr>
          <w:rFonts w:ascii="Times New Roman" w:hAnsi="Times New Roman"/>
          <w:bCs/>
          <w:sz w:val="24"/>
          <w:szCs w:val="24"/>
        </w:rPr>
      </w:pPr>
      <w:r w:rsidRPr="00042223">
        <w:rPr>
          <w:rFonts w:ascii="Times New Roman" w:hAnsi="Times New Roman"/>
          <w:sz w:val="24"/>
          <w:szCs w:val="24"/>
        </w:rPr>
        <w:t xml:space="preserve">On Feb. 20, 2025, in </w:t>
      </w:r>
      <w:r w:rsidRPr="00042223">
        <w:rPr>
          <w:rFonts w:ascii="Times New Roman" w:hAnsi="Times New Roman"/>
          <w:sz w:val="24"/>
          <w:szCs w:val="24"/>
          <w:u w:val="single"/>
        </w:rPr>
        <w:t>Terrance Watts v. State of Mississippi</w:t>
      </w:r>
      <w:r w:rsidRPr="00042223">
        <w:rPr>
          <w:rFonts w:ascii="Times New Roman" w:hAnsi="Times New Roman"/>
          <w:sz w:val="24"/>
          <w:szCs w:val="24"/>
        </w:rPr>
        <w:t xml:space="preserve">, the Supreme Court of Mississippi held (3 to 0) that the defendants </w:t>
      </w:r>
      <w:proofErr w:type="gramStart"/>
      <w:r w:rsidRPr="00042223">
        <w:rPr>
          <w:rFonts w:ascii="Times New Roman" w:hAnsi="Times New Roman"/>
          <w:sz w:val="24"/>
          <w:szCs w:val="24"/>
        </w:rPr>
        <w:t>was</w:t>
      </w:r>
      <w:proofErr w:type="gramEnd"/>
      <w:r w:rsidRPr="00042223">
        <w:rPr>
          <w:rFonts w:ascii="Times New Roman" w:hAnsi="Times New Roman"/>
          <w:sz w:val="24"/>
          <w:szCs w:val="24"/>
        </w:rPr>
        <w:t xml:space="preserve"> properly convicted by a jury of first degree </w:t>
      </w:r>
      <w:proofErr w:type="gramStart"/>
      <w:r w:rsidRPr="00042223">
        <w:rPr>
          <w:rFonts w:ascii="Times New Roman" w:hAnsi="Times New Roman"/>
          <w:sz w:val="24"/>
          <w:szCs w:val="24"/>
        </w:rPr>
        <w:t>murder, and</w:t>
      </w:r>
      <w:proofErr w:type="gramEnd"/>
      <w:r w:rsidRPr="00042223">
        <w:rPr>
          <w:rFonts w:ascii="Times New Roman" w:hAnsi="Times New Roman"/>
          <w:sz w:val="24"/>
          <w:szCs w:val="24"/>
        </w:rPr>
        <w:t xml:space="preserve"> sentenced by the judge to life imprisonment. “Around 8:00 a.m., Watts turned himself in at the Flora Police Department. Watts agreed to be interviewed by McNeal. During the video and audio recording of the interview, Watts recounted that he had just met Williams after finding out they were </w:t>
      </w:r>
      <w:proofErr w:type="spellStart"/>
      <w:r w:rsidRPr="00042223">
        <w:rPr>
          <w:rFonts w:ascii="Times New Roman" w:hAnsi="Times New Roman"/>
          <w:sz w:val="24"/>
          <w:szCs w:val="24"/>
        </w:rPr>
        <w:t>half brothers</w:t>
      </w:r>
      <w:proofErr w:type="spellEnd"/>
      <w:r w:rsidRPr="00042223">
        <w:rPr>
          <w:rFonts w:ascii="Times New Roman" w:hAnsi="Times New Roman"/>
          <w:sz w:val="24"/>
          <w:szCs w:val="24"/>
        </w:rPr>
        <w:t xml:space="preserve">. Williams </w:t>
      </w:r>
      <w:proofErr w:type="gramStart"/>
      <w:r w:rsidRPr="00042223">
        <w:rPr>
          <w:rFonts w:ascii="Times New Roman" w:hAnsi="Times New Roman"/>
          <w:sz w:val="24"/>
          <w:szCs w:val="24"/>
        </w:rPr>
        <w:t>had met</w:t>
      </w:r>
      <w:proofErr w:type="gramEnd"/>
      <w:r w:rsidRPr="00042223">
        <w:rPr>
          <w:rFonts w:ascii="Times New Roman" w:hAnsi="Times New Roman"/>
          <w:sz w:val="24"/>
          <w:szCs w:val="24"/>
        </w:rPr>
        <w:t xml:space="preserve"> up with Watts on March 22, 2020, to get to know each </w:t>
      </w:r>
      <w:proofErr w:type="gramStart"/>
      <w:r w:rsidRPr="00042223">
        <w:rPr>
          <w:rFonts w:ascii="Times New Roman" w:hAnsi="Times New Roman"/>
          <w:sz w:val="24"/>
          <w:szCs w:val="24"/>
        </w:rPr>
        <w:t>other.”</w:t>
      </w:r>
      <w:proofErr w:type="gramEnd"/>
      <w:r w:rsidRPr="00042223">
        <w:rPr>
          <w:rFonts w:ascii="Times New Roman" w:hAnsi="Times New Roman"/>
          <w:sz w:val="24"/>
          <w:szCs w:val="24"/>
        </w:rPr>
        <w:t xml:space="preserve">  </w:t>
      </w:r>
      <w:hyperlink r:id="rId440" w:history="1">
        <w:r w:rsidRPr="00042223">
          <w:rPr>
            <w:rStyle w:val="Hyperlink"/>
            <w:rFonts w:ascii="Times New Roman" w:hAnsi="Times New Roman"/>
            <w:sz w:val="24"/>
            <w:szCs w:val="24"/>
          </w:rPr>
          <w:t>https://www.courts.ms.gov/images/Opinions/CO182132.pdf</w:t>
        </w:r>
      </w:hyperlink>
      <w:r w:rsidRPr="00042223">
        <w:rPr>
          <w:rFonts w:ascii="Times New Roman" w:hAnsi="Times New Roman"/>
          <w:sz w:val="24"/>
          <w:szCs w:val="24"/>
        </w:rPr>
        <w:t xml:space="preserve"> </w:t>
      </w:r>
    </w:p>
    <w:p w14:paraId="17AD755E" w14:textId="77777777" w:rsidR="00042223" w:rsidRPr="00042223" w:rsidRDefault="00042223" w:rsidP="00042223">
      <w:pPr>
        <w:rPr>
          <w:rFonts w:ascii="Times New Roman" w:hAnsi="Times New Roman"/>
          <w:bCs/>
          <w:sz w:val="24"/>
          <w:szCs w:val="24"/>
        </w:rPr>
      </w:pPr>
      <w:r w:rsidRPr="00042223">
        <w:rPr>
          <w:rFonts w:ascii="Times New Roman" w:hAnsi="Times New Roman"/>
          <w:sz w:val="24"/>
          <w:szCs w:val="24"/>
        </w:rPr>
        <w:t>The Court held:</w:t>
      </w:r>
    </w:p>
    <w:p w14:paraId="747C4DEB" w14:textId="77777777" w:rsidR="00042223" w:rsidRPr="00042223" w:rsidRDefault="00042223" w:rsidP="00042223">
      <w:pPr>
        <w:pStyle w:val="NoSpacing"/>
        <w:ind w:firstLine="720"/>
        <w:rPr>
          <w:rFonts w:ascii="Times New Roman" w:hAnsi="Times New Roman"/>
          <w:bCs/>
          <w:sz w:val="24"/>
          <w:szCs w:val="24"/>
        </w:rPr>
      </w:pPr>
      <w:r w:rsidRPr="00042223">
        <w:rPr>
          <w:rFonts w:ascii="Times New Roman" w:hAnsi="Times New Roman"/>
          <w:sz w:val="24"/>
          <w:szCs w:val="24"/>
        </w:rPr>
        <w:t>“Shortly after midnight on March 23, 2020, Crime Scene Investigator Andrew Harris</w:t>
      </w:r>
    </w:p>
    <w:p w14:paraId="5FC6281B" w14:textId="77777777" w:rsidR="00042223" w:rsidRPr="00042223" w:rsidRDefault="00042223" w:rsidP="00042223">
      <w:pPr>
        <w:pStyle w:val="NoSpacing"/>
        <w:ind w:firstLine="720"/>
        <w:rPr>
          <w:rFonts w:ascii="Times New Roman" w:hAnsi="Times New Roman"/>
          <w:bCs/>
          <w:sz w:val="24"/>
          <w:szCs w:val="24"/>
        </w:rPr>
      </w:pPr>
      <w:r w:rsidRPr="00042223">
        <w:rPr>
          <w:rFonts w:ascii="Times New Roman" w:hAnsi="Times New Roman"/>
          <w:sz w:val="24"/>
          <w:szCs w:val="24"/>
        </w:rPr>
        <w:t>of the Jackson Police Department (JPD) was dispatched to a shooting at a Marathon gas</w:t>
      </w:r>
    </w:p>
    <w:p w14:paraId="4FFD77D6" w14:textId="77777777" w:rsidR="00042223" w:rsidRPr="00042223" w:rsidRDefault="00042223" w:rsidP="00042223">
      <w:pPr>
        <w:pStyle w:val="NoSpacing"/>
        <w:ind w:firstLine="720"/>
        <w:rPr>
          <w:rFonts w:ascii="Times New Roman" w:hAnsi="Times New Roman"/>
          <w:bCs/>
          <w:sz w:val="24"/>
          <w:szCs w:val="24"/>
        </w:rPr>
      </w:pPr>
      <w:r w:rsidRPr="00042223">
        <w:rPr>
          <w:rFonts w:ascii="Times New Roman" w:hAnsi="Times New Roman"/>
          <w:sz w:val="24"/>
          <w:szCs w:val="24"/>
        </w:rPr>
        <w:t>station on Hanging Moss Road. Harris photographed the scene and collected evidence.</w:t>
      </w:r>
    </w:p>
    <w:p w14:paraId="49EB3963" w14:textId="77777777" w:rsidR="00042223" w:rsidRPr="00042223" w:rsidRDefault="00042223" w:rsidP="00042223">
      <w:pPr>
        <w:pStyle w:val="NoSpacing"/>
        <w:ind w:left="720"/>
        <w:rPr>
          <w:rFonts w:ascii="Times New Roman" w:hAnsi="Times New Roman"/>
          <w:bCs/>
          <w:sz w:val="24"/>
          <w:szCs w:val="24"/>
        </w:rPr>
      </w:pPr>
      <w:r w:rsidRPr="00042223">
        <w:rPr>
          <w:rFonts w:ascii="Times New Roman" w:hAnsi="Times New Roman"/>
          <w:sz w:val="24"/>
          <w:szCs w:val="24"/>
        </w:rPr>
        <w:t>Several of Harris’s photographs depicted a deceased male lying on the ground with a gunshot wound to his head.</w:t>
      </w:r>
    </w:p>
    <w:p w14:paraId="60057357" w14:textId="77777777" w:rsidR="00042223" w:rsidRPr="00042223" w:rsidRDefault="00042223" w:rsidP="00042223">
      <w:pPr>
        <w:pStyle w:val="NoSpacing"/>
        <w:rPr>
          <w:rFonts w:ascii="Times New Roman" w:hAnsi="Times New Roman"/>
          <w:bCs/>
          <w:sz w:val="24"/>
          <w:szCs w:val="24"/>
        </w:rPr>
      </w:pPr>
    </w:p>
    <w:p w14:paraId="4C26AB6B" w14:textId="77777777" w:rsidR="00042223" w:rsidRPr="00042223" w:rsidRDefault="00042223" w:rsidP="00042223">
      <w:pPr>
        <w:pStyle w:val="NoSpacing"/>
        <w:ind w:firstLine="720"/>
        <w:rPr>
          <w:rFonts w:ascii="Times New Roman" w:hAnsi="Times New Roman"/>
          <w:bCs/>
          <w:sz w:val="24"/>
          <w:szCs w:val="24"/>
        </w:rPr>
      </w:pPr>
      <w:r w:rsidRPr="00042223">
        <w:rPr>
          <w:rFonts w:ascii="Times New Roman" w:hAnsi="Times New Roman"/>
          <w:sz w:val="24"/>
          <w:szCs w:val="24"/>
        </w:rPr>
        <w:t>***</w:t>
      </w:r>
    </w:p>
    <w:p w14:paraId="028B0769" w14:textId="77777777" w:rsidR="00042223" w:rsidRPr="00042223" w:rsidRDefault="00042223" w:rsidP="00042223">
      <w:pPr>
        <w:pStyle w:val="NoSpacing"/>
        <w:ind w:firstLine="720"/>
        <w:rPr>
          <w:rFonts w:ascii="Times New Roman" w:hAnsi="Times New Roman"/>
          <w:bCs/>
          <w:sz w:val="24"/>
          <w:szCs w:val="24"/>
        </w:rPr>
      </w:pPr>
      <w:r w:rsidRPr="00042223">
        <w:rPr>
          <w:rFonts w:ascii="Times New Roman" w:hAnsi="Times New Roman"/>
          <w:sz w:val="24"/>
          <w:szCs w:val="24"/>
        </w:rPr>
        <w:t>Also dispatched to the Marathon was Kevin McNeal, who was a detective with JPD</w:t>
      </w:r>
    </w:p>
    <w:p w14:paraId="2AA7EAF6" w14:textId="77777777" w:rsidR="00042223" w:rsidRPr="00042223" w:rsidRDefault="00042223" w:rsidP="00042223">
      <w:pPr>
        <w:pStyle w:val="NoSpacing"/>
        <w:ind w:firstLine="720"/>
        <w:rPr>
          <w:rFonts w:ascii="Times New Roman" w:hAnsi="Times New Roman"/>
          <w:bCs/>
          <w:sz w:val="24"/>
          <w:szCs w:val="24"/>
        </w:rPr>
      </w:pPr>
      <w:r w:rsidRPr="00042223">
        <w:rPr>
          <w:rFonts w:ascii="Times New Roman" w:hAnsi="Times New Roman"/>
          <w:sz w:val="24"/>
          <w:szCs w:val="24"/>
        </w:rPr>
        <w:t xml:space="preserve">at the time. McNeal obtained the surveillance footage from the Marathon. These </w:t>
      </w:r>
      <w:proofErr w:type="gramStart"/>
      <w:r w:rsidRPr="00042223">
        <w:rPr>
          <w:rFonts w:ascii="Times New Roman" w:hAnsi="Times New Roman"/>
          <w:sz w:val="24"/>
          <w:szCs w:val="24"/>
        </w:rPr>
        <w:t>video</w:t>
      </w:r>
      <w:proofErr w:type="gramEnd"/>
    </w:p>
    <w:p w14:paraId="06EDB278" w14:textId="77777777" w:rsidR="00042223" w:rsidRPr="00042223" w:rsidRDefault="00042223" w:rsidP="00042223">
      <w:pPr>
        <w:pStyle w:val="NoSpacing"/>
        <w:ind w:firstLine="720"/>
        <w:rPr>
          <w:rFonts w:ascii="Times New Roman" w:hAnsi="Times New Roman"/>
          <w:bCs/>
          <w:sz w:val="24"/>
          <w:szCs w:val="24"/>
        </w:rPr>
      </w:pPr>
      <w:r w:rsidRPr="00042223">
        <w:rPr>
          <w:rFonts w:ascii="Times New Roman" w:hAnsi="Times New Roman"/>
          <w:sz w:val="24"/>
          <w:szCs w:val="24"/>
        </w:rPr>
        <w:t>recordings were played in front of the jury. McNeal also spoke with the firemen who</w:t>
      </w:r>
    </w:p>
    <w:p w14:paraId="67E45A91" w14:textId="77777777" w:rsidR="00042223" w:rsidRPr="00042223" w:rsidRDefault="00042223" w:rsidP="00042223">
      <w:pPr>
        <w:pStyle w:val="NoSpacing"/>
        <w:ind w:left="720"/>
        <w:rPr>
          <w:rFonts w:ascii="Times New Roman" w:hAnsi="Times New Roman"/>
          <w:bCs/>
          <w:sz w:val="24"/>
          <w:szCs w:val="24"/>
        </w:rPr>
      </w:pPr>
      <w:r w:rsidRPr="00042223">
        <w:rPr>
          <w:rFonts w:ascii="Times New Roman" w:hAnsi="Times New Roman"/>
          <w:sz w:val="24"/>
          <w:szCs w:val="24"/>
        </w:rPr>
        <w:t>responded to the shooting and was informed that Williams had visited Jackson Fire Station Number 20 on March 22, 2023, with a man named Terrance, later identified as Terrance Watts.</w:t>
      </w:r>
      <w:r w:rsidRPr="00042223">
        <w:rPr>
          <w:rFonts w:ascii="Times New Roman" w:hAnsi="Times New Roman"/>
          <w:sz w:val="24"/>
          <w:szCs w:val="24"/>
        </w:rPr>
        <w:tab/>
      </w:r>
    </w:p>
    <w:p w14:paraId="3E7356A0" w14:textId="77777777" w:rsidR="00042223" w:rsidRPr="00042223" w:rsidRDefault="00042223" w:rsidP="00042223">
      <w:pPr>
        <w:pStyle w:val="NoSpacing"/>
        <w:rPr>
          <w:rFonts w:ascii="Times New Roman" w:hAnsi="Times New Roman"/>
          <w:bCs/>
          <w:sz w:val="24"/>
          <w:szCs w:val="24"/>
        </w:rPr>
      </w:pPr>
    </w:p>
    <w:p w14:paraId="69CF0BD1" w14:textId="77777777" w:rsidR="00042223" w:rsidRPr="00042223" w:rsidRDefault="00042223" w:rsidP="00042223">
      <w:pPr>
        <w:pStyle w:val="NoSpacing"/>
        <w:ind w:firstLine="720"/>
        <w:rPr>
          <w:rFonts w:ascii="Times New Roman" w:hAnsi="Times New Roman"/>
          <w:bCs/>
          <w:sz w:val="24"/>
          <w:szCs w:val="24"/>
        </w:rPr>
      </w:pPr>
      <w:r w:rsidRPr="00042223">
        <w:rPr>
          <w:rFonts w:ascii="Times New Roman" w:hAnsi="Times New Roman"/>
          <w:sz w:val="24"/>
          <w:szCs w:val="24"/>
        </w:rPr>
        <w:t>***</w:t>
      </w:r>
    </w:p>
    <w:p w14:paraId="47054D02" w14:textId="77777777" w:rsidR="00042223" w:rsidRPr="00042223" w:rsidRDefault="00042223" w:rsidP="00042223">
      <w:pPr>
        <w:pStyle w:val="NoSpacing"/>
        <w:ind w:firstLine="720"/>
        <w:rPr>
          <w:rFonts w:ascii="Times New Roman" w:hAnsi="Times New Roman"/>
          <w:bCs/>
          <w:sz w:val="24"/>
          <w:szCs w:val="24"/>
        </w:rPr>
      </w:pPr>
      <w:r w:rsidRPr="00042223">
        <w:rPr>
          <w:rFonts w:ascii="Times New Roman" w:hAnsi="Times New Roman"/>
          <w:sz w:val="24"/>
          <w:szCs w:val="24"/>
        </w:rPr>
        <w:t>Michael Stinson was a fireman at JFD with Williams. He recounted seeing Williams</w:t>
      </w:r>
    </w:p>
    <w:p w14:paraId="316817C6" w14:textId="77777777" w:rsidR="00042223" w:rsidRPr="00042223" w:rsidRDefault="00042223" w:rsidP="00042223">
      <w:pPr>
        <w:pStyle w:val="NoSpacing"/>
        <w:ind w:firstLine="720"/>
        <w:rPr>
          <w:rFonts w:ascii="Times New Roman" w:hAnsi="Times New Roman"/>
          <w:bCs/>
          <w:sz w:val="24"/>
          <w:szCs w:val="24"/>
        </w:rPr>
      </w:pPr>
      <w:r w:rsidRPr="00042223">
        <w:rPr>
          <w:rFonts w:ascii="Times New Roman" w:hAnsi="Times New Roman"/>
          <w:sz w:val="24"/>
          <w:szCs w:val="24"/>
        </w:rPr>
        <w:t xml:space="preserve">twice on March 22, 2020. The first </w:t>
      </w:r>
      <w:proofErr w:type="gramStart"/>
      <w:r w:rsidRPr="00042223">
        <w:rPr>
          <w:rFonts w:ascii="Times New Roman" w:hAnsi="Times New Roman"/>
          <w:sz w:val="24"/>
          <w:szCs w:val="24"/>
        </w:rPr>
        <w:t>time when</w:t>
      </w:r>
      <w:proofErr w:type="gramEnd"/>
      <w:r w:rsidRPr="00042223">
        <w:rPr>
          <w:rFonts w:ascii="Times New Roman" w:hAnsi="Times New Roman"/>
          <w:sz w:val="24"/>
          <w:szCs w:val="24"/>
        </w:rPr>
        <w:t xml:space="preserve"> Williams brought Watts to Fire Station</w:t>
      </w:r>
    </w:p>
    <w:p w14:paraId="0164DCCD" w14:textId="77777777" w:rsidR="00042223" w:rsidRPr="00042223" w:rsidRDefault="00042223" w:rsidP="00042223">
      <w:pPr>
        <w:pStyle w:val="NoSpacing"/>
        <w:ind w:firstLine="720"/>
        <w:rPr>
          <w:rFonts w:ascii="Times New Roman" w:hAnsi="Times New Roman"/>
          <w:bCs/>
          <w:sz w:val="24"/>
          <w:szCs w:val="24"/>
        </w:rPr>
      </w:pPr>
      <w:r w:rsidRPr="00042223">
        <w:rPr>
          <w:rFonts w:ascii="Times New Roman" w:hAnsi="Times New Roman"/>
          <w:sz w:val="24"/>
          <w:szCs w:val="24"/>
        </w:rPr>
        <w:t>Number 20, Stinson recalled wrestling around with Williams and related that they would</w:t>
      </w:r>
    </w:p>
    <w:p w14:paraId="15775E18" w14:textId="77777777" w:rsidR="00042223" w:rsidRPr="00042223" w:rsidRDefault="00042223" w:rsidP="00042223">
      <w:pPr>
        <w:pStyle w:val="NoSpacing"/>
        <w:ind w:firstLine="720"/>
        <w:rPr>
          <w:rFonts w:ascii="Times New Roman" w:hAnsi="Times New Roman"/>
          <w:bCs/>
          <w:sz w:val="24"/>
          <w:szCs w:val="24"/>
        </w:rPr>
      </w:pPr>
      <w:r w:rsidRPr="00042223">
        <w:rPr>
          <w:rFonts w:ascii="Times New Roman" w:hAnsi="Times New Roman"/>
          <w:sz w:val="24"/>
          <w:szCs w:val="24"/>
        </w:rPr>
        <w:lastRenderedPageBreak/>
        <w:t>wrestle almost every shift. The second time Stinson saw Williams that day, Williams was</w:t>
      </w:r>
    </w:p>
    <w:p w14:paraId="1F618C59" w14:textId="77777777" w:rsidR="00042223" w:rsidRPr="00042223" w:rsidRDefault="00042223" w:rsidP="00042223">
      <w:pPr>
        <w:pStyle w:val="NoSpacing"/>
        <w:ind w:left="720"/>
        <w:rPr>
          <w:rFonts w:ascii="Times New Roman" w:hAnsi="Times New Roman"/>
          <w:bCs/>
          <w:sz w:val="24"/>
          <w:szCs w:val="24"/>
        </w:rPr>
      </w:pPr>
      <w:r w:rsidRPr="00042223">
        <w:rPr>
          <w:rFonts w:ascii="Times New Roman" w:hAnsi="Times New Roman"/>
          <w:sz w:val="24"/>
          <w:szCs w:val="24"/>
        </w:rPr>
        <w:t>deceased at the Marathon. Stinson was part of the rescue unit that responded to the shooting. Stinson identified the deceased body as Williams.</w:t>
      </w:r>
    </w:p>
    <w:p w14:paraId="7C51F833" w14:textId="77777777" w:rsidR="00042223" w:rsidRPr="00042223" w:rsidRDefault="00042223" w:rsidP="00042223">
      <w:pPr>
        <w:pStyle w:val="NoSpacing"/>
        <w:rPr>
          <w:rFonts w:ascii="Times New Roman" w:hAnsi="Times New Roman"/>
          <w:bCs/>
          <w:sz w:val="24"/>
          <w:szCs w:val="24"/>
        </w:rPr>
      </w:pPr>
    </w:p>
    <w:p w14:paraId="6FABB81E" w14:textId="77777777" w:rsidR="00042223" w:rsidRPr="00042223" w:rsidRDefault="00042223" w:rsidP="00042223">
      <w:pPr>
        <w:pStyle w:val="NoSpacing"/>
        <w:ind w:firstLine="720"/>
        <w:rPr>
          <w:rFonts w:ascii="Times New Roman" w:hAnsi="Times New Roman"/>
          <w:bCs/>
          <w:sz w:val="24"/>
          <w:szCs w:val="24"/>
        </w:rPr>
      </w:pPr>
      <w:r w:rsidRPr="00042223">
        <w:rPr>
          <w:rFonts w:ascii="Times New Roman" w:hAnsi="Times New Roman"/>
          <w:sz w:val="24"/>
          <w:szCs w:val="24"/>
        </w:rPr>
        <w:t>***</w:t>
      </w:r>
    </w:p>
    <w:p w14:paraId="29C35B99" w14:textId="77777777" w:rsidR="00042223" w:rsidRPr="00042223" w:rsidRDefault="00042223" w:rsidP="00042223">
      <w:pPr>
        <w:pStyle w:val="NoSpacing"/>
        <w:ind w:firstLine="720"/>
        <w:rPr>
          <w:rFonts w:ascii="Times New Roman" w:hAnsi="Times New Roman"/>
          <w:bCs/>
          <w:sz w:val="24"/>
          <w:szCs w:val="24"/>
        </w:rPr>
      </w:pPr>
      <w:r w:rsidRPr="00042223">
        <w:rPr>
          <w:rFonts w:ascii="Times New Roman" w:hAnsi="Times New Roman"/>
          <w:sz w:val="24"/>
          <w:szCs w:val="24"/>
        </w:rPr>
        <w:t>A reasonable juror could infer based on common sense and lived experience that</w:t>
      </w:r>
    </w:p>
    <w:p w14:paraId="469DCA6F" w14:textId="77777777" w:rsidR="00042223" w:rsidRPr="00042223" w:rsidRDefault="00042223" w:rsidP="00042223">
      <w:pPr>
        <w:pStyle w:val="NoSpacing"/>
        <w:ind w:firstLine="720"/>
        <w:rPr>
          <w:rFonts w:ascii="Times New Roman" w:hAnsi="Times New Roman"/>
          <w:bCs/>
          <w:sz w:val="24"/>
          <w:szCs w:val="24"/>
        </w:rPr>
      </w:pPr>
      <w:r w:rsidRPr="00042223">
        <w:rPr>
          <w:rFonts w:ascii="Times New Roman" w:hAnsi="Times New Roman"/>
          <w:sz w:val="24"/>
          <w:szCs w:val="24"/>
        </w:rPr>
        <w:t>Watts formed a plan to kill Williams when he retrieved Williams’s pistol from the center</w:t>
      </w:r>
    </w:p>
    <w:p w14:paraId="2E6BD39A" w14:textId="77777777" w:rsidR="00042223" w:rsidRPr="00042223" w:rsidRDefault="00042223" w:rsidP="00042223">
      <w:pPr>
        <w:pStyle w:val="NoSpacing"/>
        <w:ind w:firstLine="720"/>
        <w:rPr>
          <w:rFonts w:ascii="Times New Roman" w:hAnsi="Times New Roman"/>
          <w:bCs/>
          <w:sz w:val="24"/>
          <w:szCs w:val="24"/>
        </w:rPr>
      </w:pPr>
      <w:r w:rsidRPr="00042223">
        <w:rPr>
          <w:rFonts w:ascii="Times New Roman" w:hAnsi="Times New Roman"/>
          <w:sz w:val="24"/>
          <w:szCs w:val="24"/>
        </w:rPr>
        <w:t>console, pulled back the slide, and ejected one live round onto the floorboard. The jury</w:t>
      </w:r>
    </w:p>
    <w:p w14:paraId="79A17529" w14:textId="77777777" w:rsidR="00042223" w:rsidRPr="00042223" w:rsidRDefault="00042223" w:rsidP="00042223">
      <w:pPr>
        <w:pStyle w:val="NoSpacing"/>
        <w:ind w:firstLine="720"/>
        <w:rPr>
          <w:rFonts w:ascii="Times New Roman" w:hAnsi="Times New Roman"/>
          <w:bCs/>
          <w:sz w:val="24"/>
          <w:szCs w:val="24"/>
        </w:rPr>
      </w:pPr>
      <w:r w:rsidRPr="00042223">
        <w:rPr>
          <w:rFonts w:ascii="Times New Roman" w:hAnsi="Times New Roman"/>
          <w:sz w:val="24"/>
          <w:szCs w:val="24"/>
        </w:rPr>
        <w:t>reasonably could have found that Watts’s actions revealed that he, being previously</w:t>
      </w:r>
    </w:p>
    <w:p w14:paraId="4218AB44" w14:textId="77777777" w:rsidR="00042223" w:rsidRPr="00042223" w:rsidRDefault="00042223" w:rsidP="00042223">
      <w:pPr>
        <w:pStyle w:val="NoSpacing"/>
        <w:ind w:firstLine="720"/>
        <w:rPr>
          <w:rFonts w:ascii="Times New Roman" w:hAnsi="Times New Roman"/>
          <w:bCs/>
          <w:sz w:val="24"/>
          <w:szCs w:val="24"/>
        </w:rPr>
      </w:pPr>
      <w:r w:rsidRPr="00042223">
        <w:rPr>
          <w:rFonts w:ascii="Times New Roman" w:hAnsi="Times New Roman"/>
          <w:sz w:val="24"/>
          <w:szCs w:val="24"/>
        </w:rPr>
        <w:t xml:space="preserve">unfamiliar with Williams’s pistol, was unsure whether the </w:t>
      </w:r>
      <w:proofErr w:type="gramStart"/>
      <w:r w:rsidRPr="00042223">
        <w:rPr>
          <w:rFonts w:ascii="Times New Roman" w:hAnsi="Times New Roman"/>
          <w:sz w:val="24"/>
          <w:szCs w:val="24"/>
        </w:rPr>
        <w:t>hand gun</w:t>
      </w:r>
      <w:proofErr w:type="gramEnd"/>
      <w:r w:rsidRPr="00042223">
        <w:rPr>
          <w:rFonts w:ascii="Times New Roman" w:hAnsi="Times New Roman"/>
          <w:sz w:val="24"/>
          <w:szCs w:val="24"/>
        </w:rPr>
        <w:t xml:space="preserve"> had a bullet in the</w:t>
      </w:r>
    </w:p>
    <w:p w14:paraId="476F35D5" w14:textId="77777777" w:rsidR="00042223" w:rsidRPr="00042223" w:rsidRDefault="00042223" w:rsidP="00042223">
      <w:pPr>
        <w:pStyle w:val="NoSpacing"/>
        <w:ind w:firstLine="720"/>
        <w:rPr>
          <w:rFonts w:ascii="Times New Roman" w:hAnsi="Times New Roman"/>
          <w:bCs/>
          <w:sz w:val="24"/>
          <w:szCs w:val="24"/>
        </w:rPr>
      </w:pPr>
      <w:r w:rsidRPr="00042223">
        <w:rPr>
          <w:rFonts w:ascii="Times New Roman" w:hAnsi="Times New Roman"/>
          <w:sz w:val="24"/>
          <w:szCs w:val="24"/>
        </w:rPr>
        <w:t>chamber. The jury reasonably could have found that once Watts ejected the live round, he</w:t>
      </w:r>
    </w:p>
    <w:p w14:paraId="1070F5F6" w14:textId="77777777" w:rsidR="00042223" w:rsidRPr="00042223" w:rsidRDefault="00042223" w:rsidP="00042223">
      <w:pPr>
        <w:pStyle w:val="NoSpacing"/>
        <w:ind w:firstLine="720"/>
        <w:rPr>
          <w:rFonts w:ascii="Times New Roman" w:hAnsi="Times New Roman"/>
          <w:bCs/>
          <w:sz w:val="24"/>
          <w:szCs w:val="24"/>
        </w:rPr>
      </w:pPr>
      <w:r w:rsidRPr="00042223">
        <w:rPr>
          <w:rFonts w:ascii="Times New Roman" w:hAnsi="Times New Roman"/>
          <w:sz w:val="24"/>
          <w:szCs w:val="24"/>
        </w:rPr>
        <w:t>then had confirmation that the pistol was ready to fire. Accordingly, the jury reasonably</w:t>
      </w:r>
    </w:p>
    <w:p w14:paraId="5898A014" w14:textId="77777777" w:rsidR="00042223" w:rsidRPr="00042223" w:rsidRDefault="00042223" w:rsidP="00042223">
      <w:pPr>
        <w:pStyle w:val="NoSpacing"/>
        <w:ind w:left="720"/>
        <w:rPr>
          <w:rFonts w:ascii="Times New Roman" w:hAnsi="Times New Roman"/>
          <w:bCs/>
          <w:sz w:val="24"/>
          <w:szCs w:val="24"/>
        </w:rPr>
      </w:pPr>
      <w:r w:rsidRPr="00042223">
        <w:rPr>
          <w:rFonts w:ascii="Times New Roman" w:hAnsi="Times New Roman"/>
          <w:sz w:val="24"/>
          <w:szCs w:val="24"/>
        </w:rPr>
        <w:t xml:space="preserve">could have found that Watts was fully aware of what he was doing when he exited the Tahoe and intentionally shot Williams in the head. Viewing the evidence in the light most favorable to the prosecution, therefore, any rational juror could have found each element of </w:t>
      </w:r>
      <w:proofErr w:type="gramStart"/>
      <w:r w:rsidRPr="00042223">
        <w:rPr>
          <w:rFonts w:ascii="Times New Roman" w:hAnsi="Times New Roman"/>
          <w:sz w:val="24"/>
          <w:szCs w:val="24"/>
        </w:rPr>
        <w:t>first degree</w:t>
      </w:r>
      <w:proofErr w:type="gramEnd"/>
      <w:r w:rsidRPr="00042223">
        <w:rPr>
          <w:rFonts w:ascii="Times New Roman" w:hAnsi="Times New Roman"/>
          <w:sz w:val="24"/>
          <w:szCs w:val="24"/>
        </w:rPr>
        <w:t xml:space="preserve"> murder beyond a reasonable doubt.</w:t>
      </w:r>
    </w:p>
    <w:p w14:paraId="72420491" w14:textId="77777777" w:rsidR="00042223" w:rsidRPr="00042223" w:rsidRDefault="00042223" w:rsidP="00042223">
      <w:pPr>
        <w:pStyle w:val="NoSpacing"/>
        <w:rPr>
          <w:rFonts w:ascii="Times New Roman" w:hAnsi="Times New Roman"/>
          <w:bCs/>
          <w:sz w:val="24"/>
          <w:szCs w:val="24"/>
        </w:rPr>
      </w:pPr>
    </w:p>
    <w:p w14:paraId="69B61EB1" w14:textId="77777777" w:rsidR="00042223" w:rsidRPr="00042223" w:rsidRDefault="00042223" w:rsidP="00042223">
      <w:pPr>
        <w:pStyle w:val="NoSpacing"/>
        <w:ind w:firstLine="720"/>
        <w:rPr>
          <w:rFonts w:ascii="Times New Roman" w:hAnsi="Times New Roman"/>
          <w:bCs/>
          <w:sz w:val="24"/>
          <w:szCs w:val="24"/>
        </w:rPr>
      </w:pPr>
      <w:r w:rsidRPr="00042223">
        <w:rPr>
          <w:rFonts w:ascii="Times New Roman" w:hAnsi="Times New Roman"/>
          <w:sz w:val="24"/>
          <w:szCs w:val="24"/>
        </w:rPr>
        <w:t>***</w:t>
      </w:r>
    </w:p>
    <w:p w14:paraId="0AC45B6C" w14:textId="77777777" w:rsidR="00042223" w:rsidRPr="00042223" w:rsidRDefault="00042223" w:rsidP="00042223">
      <w:pPr>
        <w:pStyle w:val="NoSpacing"/>
        <w:ind w:firstLine="720"/>
        <w:rPr>
          <w:rFonts w:ascii="Times New Roman" w:hAnsi="Times New Roman"/>
          <w:bCs/>
          <w:sz w:val="24"/>
          <w:szCs w:val="24"/>
        </w:rPr>
      </w:pPr>
      <w:r w:rsidRPr="00042223">
        <w:rPr>
          <w:rFonts w:ascii="Times New Roman" w:hAnsi="Times New Roman"/>
          <w:sz w:val="24"/>
          <w:szCs w:val="24"/>
        </w:rPr>
        <w:t>Occurrences of fratricide are nearly as old as humanity itself. The factual details of</w:t>
      </w:r>
    </w:p>
    <w:p w14:paraId="29F40006" w14:textId="77777777" w:rsidR="00042223" w:rsidRPr="00042223" w:rsidRDefault="00042223" w:rsidP="00042223">
      <w:pPr>
        <w:pStyle w:val="NoSpacing"/>
        <w:ind w:left="720"/>
        <w:rPr>
          <w:rFonts w:ascii="Times New Roman" w:hAnsi="Times New Roman"/>
          <w:bCs/>
          <w:sz w:val="24"/>
          <w:szCs w:val="24"/>
        </w:rPr>
      </w:pPr>
      <w:r w:rsidRPr="00042223">
        <w:rPr>
          <w:rFonts w:ascii="Times New Roman" w:hAnsi="Times New Roman"/>
          <w:sz w:val="24"/>
          <w:szCs w:val="24"/>
        </w:rPr>
        <w:t xml:space="preserve">today’s case unfortunately </w:t>
      </w:r>
      <w:proofErr w:type="gramStart"/>
      <w:r w:rsidRPr="00042223">
        <w:rPr>
          <w:rFonts w:ascii="Times New Roman" w:hAnsi="Times New Roman"/>
          <w:sz w:val="24"/>
          <w:szCs w:val="24"/>
        </w:rPr>
        <w:t>add</w:t>
      </w:r>
      <w:proofErr w:type="gramEnd"/>
      <w:r w:rsidRPr="00042223">
        <w:rPr>
          <w:rFonts w:ascii="Times New Roman" w:hAnsi="Times New Roman"/>
          <w:sz w:val="24"/>
          <w:szCs w:val="24"/>
        </w:rPr>
        <w:t xml:space="preserve"> another example to this ancient litany. Finding no error, we affirm.”</w:t>
      </w:r>
    </w:p>
    <w:p w14:paraId="10B1AC17" w14:textId="77777777" w:rsidR="00042223" w:rsidRPr="00042223" w:rsidRDefault="00042223" w:rsidP="00042223">
      <w:pPr>
        <w:pStyle w:val="NoSpacing"/>
        <w:rPr>
          <w:rFonts w:ascii="Times New Roman" w:hAnsi="Times New Roman"/>
          <w:bCs/>
          <w:sz w:val="24"/>
          <w:szCs w:val="24"/>
        </w:rPr>
      </w:pPr>
    </w:p>
    <w:p w14:paraId="0B23B3E4" w14:textId="77777777" w:rsidR="00042223" w:rsidRPr="00042223" w:rsidRDefault="00042223" w:rsidP="00042223">
      <w:pPr>
        <w:pStyle w:val="NoSpacing"/>
        <w:rPr>
          <w:rFonts w:ascii="Times New Roman" w:hAnsi="Times New Roman"/>
          <w:b/>
          <w:sz w:val="24"/>
          <w:szCs w:val="24"/>
        </w:rPr>
      </w:pPr>
      <w:r w:rsidRPr="00042223">
        <w:rPr>
          <w:rFonts w:ascii="Times New Roman" w:hAnsi="Times New Roman"/>
          <w:b/>
          <w:sz w:val="24"/>
          <w:szCs w:val="24"/>
        </w:rPr>
        <w:t xml:space="preserve">Legal Lesson Learned: Responding to a shooting and finding body of fellow firefighter is particularly tragic. </w:t>
      </w:r>
    </w:p>
    <w:p w14:paraId="73B8FAE1" w14:textId="77777777" w:rsidR="00042223" w:rsidRPr="00042223" w:rsidRDefault="00042223" w:rsidP="00042223">
      <w:pPr>
        <w:pStyle w:val="NoSpacing"/>
        <w:rPr>
          <w:rFonts w:ascii="Times New Roman" w:hAnsi="Times New Roman"/>
          <w:bCs/>
          <w:sz w:val="24"/>
          <w:szCs w:val="24"/>
        </w:rPr>
      </w:pPr>
    </w:p>
    <w:p w14:paraId="1A7D8DC4" w14:textId="77777777" w:rsidR="00042223" w:rsidRPr="00042223" w:rsidRDefault="00042223" w:rsidP="00042223">
      <w:pPr>
        <w:ind w:left="720"/>
        <w:rPr>
          <w:rFonts w:ascii="Times New Roman" w:hAnsi="Times New Roman"/>
          <w:bCs/>
          <w:sz w:val="24"/>
          <w:szCs w:val="24"/>
        </w:rPr>
      </w:pPr>
      <w:r w:rsidRPr="00042223">
        <w:rPr>
          <w:rFonts w:ascii="Times New Roman" w:hAnsi="Times New Roman"/>
          <w:sz w:val="24"/>
          <w:szCs w:val="24"/>
        </w:rPr>
        <w:t xml:space="preserve">Note: See article / video on the case. Feb. 20, 2025. “Court upholds man’s conviction for killing Jackson firefighter.”  </w:t>
      </w:r>
      <w:hyperlink r:id="rId441" w:history="1">
        <w:r w:rsidRPr="00042223">
          <w:rPr>
            <w:rStyle w:val="Hyperlink"/>
            <w:rFonts w:ascii="Times New Roman" w:hAnsi="Times New Roman"/>
            <w:sz w:val="24"/>
            <w:szCs w:val="24"/>
          </w:rPr>
          <w:t>https://www.wjtv.com/news/local-news/court-upholds-mans-conviction-for-killing-jackson-firefighter/</w:t>
        </w:r>
      </w:hyperlink>
      <w:r w:rsidRPr="00042223">
        <w:rPr>
          <w:rFonts w:ascii="Times New Roman" w:hAnsi="Times New Roman"/>
          <w:sz w:val="24"/>
          <w:szCs w:val="24"/>
        </w:rPr>
        <w:t xml:space="preserve"> </w:t>
      </w:r>
    </w:p>
    <w:p w14:paraId="5DB44DC6" w14:textId="77777777" w:rsidR="00042223" w:rsidRPr="00042223" w:rsidRDefault="00042223" w:rsidP="00042223">
      <w:pPr>
        <w:ind w:left="720"/>
        <w:rPr>
          <w:rFonts w:ascii="Times New Roman" w:hAnsi="Times New Roman"/>
          <w:bCs/>
          <w:sz w:val="24"/>
          <w:szCs w:val="24"/>
        </w:rPr>
      </w:pPr>
      <w:r w:rsidRPr="00042223">
        <w:rPr>
          <w:rFonts w:ascii="Times New Roman" w:hAnsi="Times New Roman"/>
          <w:sz w:val="24"/>
          <w:szCs w:val="24"/>
        </w:rPr>
        <w:t xml:space="preserve">March 23, 2000: </w:t>
      </w:r>
      <w:hyperlink r:id="rId442" w:history="1">
        <w:r w:rsidRPr="00042223">
          <w:rPr>
            <w:rStyle w:val="Hyperlink"/>
            <w:rFonts w:ascii="Times New Roman" w:hAnsi="Times New Roman"/>
            <w:sz w:val="24"/>
            <w:szCs w:val="24"/>
          </w:rPr>
          <w:t>https://www.firerescue1.com/firefighter-death/articles/miss-fire-lieutenant-killed-in-gas-station-robbery-jMwIEdZ3rDnt54xe/</w:t>
        </w:r>
      </w:hyperlink>
      <w:r w:rsidRPr="00042223">
        <w:rPr>
          <w:rFonts w:ascii="Times New Roman" w:hAnsi="Times New Roman"/>
          <w:sz w:val="24"/>
          <w:szCs w:val="24"/>
        </w:rPr>
        <w:t xml:space="preserve"> </w:t>
      </w:r>
    </w:p>
    <w:p w14:paraId="6918A042" w14:textId="77777777" w:rsidR="00042223" w:rsidRPr="000B7F2C" w:rsidRDefault="00042223" w:rsidP="00042223"/>
    <w:p w14:paraId="11219453" w14:textId="56FF0351" w:rsidR="00BE6877" w:rsidRDefault="00BE6877" w:rsidP="005D5A0C">
      <w:pPr>
        <w:rPr>
          <w:rFonts w:ascii="Arial Black" w:hAnsi="Arial Black"/>
          <w:sz w:val="24"/>
          <w:szCs w:val="24"/>
        </w:rPr>
      </w:pPr>
      <w:r>
        <w:rPr>
          <w:rFonts w:ascii="Arial Black" w:hAnsi="Arial Black"/>
          <w:sz w:val="24"/>
          <w:szCs w:val="24"/>
        </w:rPr>
        <w:t>2-81</w:t>
      </w:r>
    </w:p>
    <w:p w14:paraId="0AD4A004" w14:textId="77777777" w:rsidR="00C35636" w:rsidRDefault="00C35636" w:rsidP="00C35636">
      <w:pPr>
        <w:pStyle w:val="NoSpacing"/>
        <w:rPr>
          <w:rFonts w:ascii="Arial Black" w:hAnsi="Arial Black"/>
          <w:bCs/>
          <w:sz w:val="28"/>
          <w:szCs w:val="28"/>
        </w:rPr>
      </w:pPr>
      <w:r>
        <w:rPr>
          <w:rFonts w:ascii="Arial Black" w:hAnsi="Arial Black"/>
          <w:sz w:val="28"/>
          <w:szCs w:val="28"/>
        </w:rPr>
        <w:t>PA: FLEEING DRIVER ALMOST HIT EMS – 5-10 YRS</w:t>
      </w:r>
    </w:p>
    <w:p w14:paraId="1A0B7732" w14:textId="77777777" w:rsidR="00C35636" w:rsidRDefault="00C35636" w:rsidP="00C35636">
      <w:pPr>
        <w:pStyle w:val="NoSpacing"/>
        <w:rPr>
          <w:bCs/>
        </w:rPr>
      </w:pPr>
    </w:p>
    <w:p w14:paraId="44E8866A" w14:textId="77777777" w:rsidR="00C35636" w:rsidRPr="00C35636" w:rsidRDefault="00C35636" w:rsidP="00C35636">
      <w:pPr>
        <w:pStyle w:val="NoSpacing"/>
        <w:rPr>
          <w:rFonts w:ascii="Times New Roman" w:hAnsi="Times New Roman"/>
          <w:bCs/>
          <w:sz w:val="24"/>
          <w:szCs w:val="24"/>
        </w:rPr>
      </w:pPr>
      <w:r w:rsidRPr="00C35636">
        <w:rPr>
          <w:rFonts w:ascii="Times New Roman" w:hAnsi="Times New Roman"/>
          <w:sz w:val="24"/>
          <w:szCs w:val="24"/>
        </w:rPr>
        <w:t xml:space="preserve">On Dec. 23, 2024, in </w:t>
      </w:r>
      <w:r w:rsidRPr="00C35636">
        <w:rPr>
          <w:rFonts w:ascii="Times New Roman" w:hAnsi="Times New Roman"/>
          <w:sz w:val="24"/>
          <w:szCs w:val="24"/>
          <w:u w:val="single"/>
        </w:rPr>
        <w:t>Commonwealth of Pennsylvania v. Marisa Nicole Liddington</w:t>
      </w:r>
      <w:r w:rsidRPr="00C35636">
        <w:rPr>
          <w:rFonts w:ascii="Times New Roman" w:hAnsi="Times New Roman"/>
          <w:sz w:val="24"/>
          <w:szCs w:val="24"/>
        </w:rPr>
        <w:t>, the Superior Court of Pennsylvania held (3 to 0; non-precedential decision) that the sentence of 5 – 10 years in prison was appropriate for aggravate assault on two EMS and for the DUI. The Court wrote:</w:t>
      </w:r>
    </w:p>
    <w:p w14:paraId="277974C4" w14:textId="77777777" w:rsidR="00C35636" w:rsidRPr="00C35636" w:rsidRDefault="00C35636" w:rsidP="00C35636">
      <w:pPr>
        <w:pStyle w:val="NoSpacing"/>
        <w:rPr>
          <w:rFonts w:ascii="Times New Roman" w:hAnsi="Times New Roman"/>
          <w:bCs/>
          <w:sz w:val="24"/>
          <w:szCs w:val="24"/>
        </w:rPr>
      </w:pPr>
    </w:p>
    <w:p w14:paraId="79813806" w14:textId="77777777" w:rsidR="00C35636" w:rsidRPr="00C35636" w:rsidRDefault="00C35636" w:rsidP="00C35636">
      <w:pPr>
        <w:pStyle w:val="NoSpacing"/>
        <w:ind w:left="720"/>
        <w:rPr>
          <w:rFonts w:ascii="Times New Roman" w:hAnsi="Times New Roman"/>
          <w:bCs/>
          <w:sz w:val="24"/>
          <w:szCs w:val="24"/>
        </w:rPr>
      </w:pPr>
      <w:r w:rsidRPr="00C35636">
        <w:rPr>
          <w:rFonts w:ascii="Times New Roman" w:hAnsi="Times New Roman"/>
          <w:sz w:val="24"/>
          <w:szCs w:val="24"/>
        </w:rPr>
        <w:t>““Marisa Nicole Liddington appeals from the judgment of sentence of five to twelve years of imprisonment imposed upon her convictions for driving under the influence (“DUI”) and four counts of aggravated assault. We affirm.</w:t>
      </w:r>
    </w:p>
    <w:p w14:paraId="6D4F408D" w14:textId="77777777" w:rsidR="00C35636" w:rsidRPr="00C35636" w:rsidRDefault="00C35636" w:rsidP="00C35636">
      <w:pPr>
        <w:pStyle w:val="NoSpacing"/>
        <w:rPr>
          <w:rFonts w:ascii="Times New Roman" w:hAnsi="Times New Roman"/>
          <w:b/>
          <w:sz w:val="24"/>
          <w:szCs w:val="24"/>
        </w:rPr>
      </w:pPr>
    </w:p>
    <w:p w14:paraId="146C6387" w14:textId="77777777" w:rsidR="00C35636" w:rsidRPr="00C35636" w:rsidRDefault="00C35636" w:rsidP="00C35636">
      <w:pPr>
        <w:pStyle w:val="NoSpacing"/>
        <w:ind w:left="720"/>
        <w:rPr>
          <w:rFonts w:ascii="Times New Roman" w:hAnsi="Times New Roman"/>
          <w:bCs/>
          <w:sz w:val="24"/>
          <w:szCs w:val="24"/>
        </w:rPr>
      </w:pPr>
      <w:r w:rsidRPr="00C35636">
        <w:rPr>
          <w:rFonts w:ascii="Times New Roman" w:hAnsi="Times New Roman"/>
          <w:sz w:val="24"/>
          <w:szCs w:val="24"/>
        </w:rPr>
        <w:t>***</w:t>
      </w:r>
    </w:p>
    <w:p w14:paraId="1D32E0BA" w14:textId="77777777" w:rsidR="00C35636" w:rsidRPr="00C35636" w:rsidRDefault="00C35636" w:rsidP="00C35636">
      <w:pPr>
        <w:pStyle w:val="NoSpacing"/>
        <w:ind w:left="720"/>
        <w:rPr>
          <w:rFonts w:ascii="Times New Roman" w:hAnsi="Times New Roman"/>
          <w:bCs/>
          <w:sz w:val="24"/>
          <w:szCs w:val="24"/>
        </w:rPr>
      </w:pPr>
      <w:r w:rsidRPr="00C35636">
        <w:rPr>
          <w:rFonts w:ascii="Times New Roman" w:hAnsi="Times New Roman"/>
          <w:sz w:val="24"/>
          <w:szCs w:val="24"/>
        </w:rPr>
        <w:t xml:space="preserve">We first assess whether the evidence demonstrated that Appellant attempted to cause serious bodily injury to [EMS] Messrs. Ebersole and Eppley and attempted by physical menace to put them in fear of serious bodily injury…. Appellant argues that, even when viewed in the light most favorable to the Commonwealth, the evidence in this case does not prove that she acted with the specific intent to harm or menace anyone. She posits that Mr. Ebersole placed himself in harm’s way by attempting to detain </w:t>
      </w:r>
      <w:r w:rsidRPr="00C35636">
        <w:rPr>
          <w:rFonts w:ascii="Times New Roman" w:hAnsi="Times New Roman"/>
          <w:sz w:val="24"/>
          <w:szCs w:val="24"/>
        </w:rPr>
        <w:lastRenderedPageBreak/>
        <w:t>her, and that Mr. Eppley was hit by the car door when she backed up only because he reached to grab Mr. Ebersole…. Here, it appears that neither Appellant’s motivation nor her ultimate</w:t>
      </w:r>
    </w:p>
    <w:p w14:paraId="09389E6D" w14:textId="43E3F944" w:rsidR="00BE6877" w:rsidRPr="00C35636" w:rsidRDefault="00C35636" w:rsidP="00C35636">
      <w:pPr>
        <w:ind w:left="720"/>
        <w:rPr>
          <w:rFonts w:ascii="Times New Roman" w:hAnsi="Times New Roman"/>
          <w:sz w:val="24"/>
          <w:szCs w:val="24"/>
        </w:rPr>
      </w:pPr>
      <w:r w:rsidRPr="00C35636">
        <w:rPr>
          <w:rFonts w:ascii="Times New Roman" w:hAnsi="Times New Roman"/>
          <w:sz w:val="24"/>
          <w:szCs w:val="24"/>
        </w:rPr>
        <w:t xml:space="preserve">goal was to injure the first responders on scene in the Walmart parking lot. Rather, it seems plain that what she wanted was to get away before the police arrived. However, under the totality of the circumstances, the jury was within its rights to conclude that Appellant made the conscious decision to achieve her goal by any means necessary, including causing serious bodily injury to any of the first responders who were in her way.” </w:t>
      </w:r>
      <w:hyperlink r:id="rId443" w:history="1">
        <w:r w:rsidRPr="00C35636">
          <w:rPr>
            <w:rStyle w:val="Hyperlink"/>
            <w:rFonts w:ascii="Times New Roman" w:hAnsi="Times New Roman"/>
            <w:sz w:val="24"/>
            <w:szCs w:val="24"/>
          </w:rPr>
          <w:t>https://www.pacourts.us/assets/opinions/Superior/out/J-A11020-24m%20-%20106209941292398313.pdf?cb=1</w:t>
        </w:r>
      </w:hyperlink>
    </w:p>
    <w:p w14:paraId="697D8929" w14:textId="77777777" w:rsidR="00FE0B61" w:rsidRPr="00FE0B61" w:rsidRDefault="00FE0B61" w:rsidP="00FE0B61">
      <w:pPr>
        <w:pStyle w:val="NoSpacing"/>
        <w:rPr>
          <w:rFonts w:ascii="Times New Roman" w:hAnsi="Times New Roman"/>
          <w:bCs/>
          <w:sz w:val="24"/>
          <w:szCs w:val="24"/>
        </w:rPr>
      </w:pPr>
      <w:r w:rsidRPr="00FE0B61">
        <w:rPr>
          <w:rFonts w:ascii="Times New Roman" w:hAnsi="Times New Roman"/>
          <w:sz w:val="24"/>
          <w:szCs w:val="24"/>
        </w:rPr>
        <w:t>HOLDING:</w:t>
      </w:r>
    </w:p>
    <w:p w14:paraId="1003DAD1" w14:textId="77777777" w:rsidR="00FE0B61" w:rsidRPr="00FE0B61" w:rsidRDefault="00FE0B61" w:rsidP="00FE0B61">
      <w:pPr>
        <w:pStyle w:val="NoSpacing"/>
        <w:rPr>
          <w:rFonts w:ascii="Times New Roman" w:hAnsi="Times New Roman"/>
          <w:bCs/>
          <w:sz w:val="24"/>
          <w:szCs w:val="24"/>
        </w:rPr>
      </w:pPr>
    </w:p>
    <w:p w14:paraId="7EEE2D22" w14:textId="77777777" w:rsidR="00FE0B61" w:rsidRPr="00FE0B61" w:rsidRDefault="00FE0B61" w:rsidP="00FE0B61">
      <w:pPr>
        <w:pStyle w:val="NoSpacing"/>
        <w:ind w:left="720"/>
        <w:rPr>
          <w:rFonts w:ascii="Times New Roman" w:hAnsi="Times New Roman"/>
          <w:bCs/>
          <w:sz w:val="24"/>
          <w:szCs w:val="24"/>
        </w:rPr>
      </w:pPr>
      <w:r w:rsidRPr="00FE0B61">
        <w:rPr>
          <w:rFonts w:ascii="Times New Roman" w:hAnsi="Times New Roman"/>
          <w:b/>
          <w:sz w:val="24"/>
          <w:szCs w:val="24"/>
        </w:rPr>
        <w:t>“</w:t>
      </w:r>
      <w:r w:rsidRPr="00FE0B61">
        <w:rPr>
          <w:rFonts w:ascii="Times New Roman" w:hAnsi="Times New Roman"/>
          <w:sz w:val="24"/>
          <w:szCs w:val="24"/>
        </w:rPr>
        <w:t xml:space="preserve">Messrs. Ebersole and Eppley were not at the Walmart to shop, socialize, or engage in any other personal business. They were there, on duty, in response to an emergency call, and remained in that capacity for the duration of the encounter. Plainly, they were performing their duties at the time she nearly ran them over in her desire to avoid the consequences of her criminal </w:t>
      </w:r>
      <w:proofErr w:type="gramStart"/>
      <w:r w:rsidRPr="00FE0B61">
        <w:rPr>
          <w:rFonts w:ascii="Times New Roman" w:hAnsi="Times New Roman"/>
          <w:sz w:val="24"/>
          <w:szCs w:val="24"/>
        </w:rPr>
        <w:t>conduct.”</w:t>
      </w:r>
      <w:proofErr w:type="gramEnd"/>
    </w:p>
    <w:p w14:paraId="12466DD0" w14:textId="77777777" w:rsidR="00FE0B61" w:rsidRPr="00FE0B61" w:rsidRDefault="00FE0B61" w:rsidP="00FE0B61">
      <w:pPr>
        <w:pStyle w:val="NoSpacing"/>
        <w:ind w:left="720"/>
        <w:rPr>
          <w:rFonts w:ascii="Times New Roman" w:hAnsi="Times New Roman"/>
          <w:bCs/>
          <w:sz w:val="24"/>
          <w:szCs w:val="24"/>
        </w:rPr>
      </w:pPr>
    </w:p>
    <w:p w14:paraId="32EF6CCD" w14:textId="77777777" w:rsidR="00FE0B61" w:rsidRPr="00FE0B61" w:rsidRDefault="00FE0B61" w:rsidP="00FE0B61">
      <w:pPr>
        <w:pStyle w:val="NoSpacing"/>
        <w:rPr>
          <w:rFonts w:ascii="Times New Roman" w:hAnsi="Times New Roman"/>
          <w:b/>
          <w:sz w:val="24"/>
          <w:szCs w:val="24"/>
        </w:rPr>
      </w:pPr>
      <w:r w:rsidRPr="00FE0B61">
        <w:rPr>
          <w:rFonts w:ascii="Times New Roman" w:hAnsi="Times New Roman"/>
          <w:b/>
          <w:sz w:val="24"/>
          <w:szCs w:val="24"/>
        </w:rPr>
        <w:t>Legal Lesson Learned:  The sentence reflects the seriousness of the defendant’s conduct; she could have killed or serious injured the two EMS.</w:t>
      </w:r>
    </w:p>
    <w:p w14:paraId="262DBCB5" w14:textId="77777777" w:rsidR="00FE0B61" w:rsidRPr="00FE0B61" w:rsidRDefault="00FE0B61" w:rsidP="00FE0B61">
      <w:pPr>
        <w:pStyle w:val="NoSpacing"/>
        <w:rPr>
          <w:rFonts w:ascii="Times New Roman" w:hAnsi="Times New Roman"/>
          <w:b/>
          <w:sz w:val="24"/>
          <w:szCs w:val="24"/>
        </w:rPr>
      </w:pPr>
    </w:p>
    <w:p w14:paraId="5BB1B3C6" w14:textId="77777777" w:rsidR="00BE6877" w:rsidRPr="00FE0B61" w:rsidRDefault="00BE6877" w:rsidP="005D5A0C">
      <w:pPr>
        <w:rPr>
          <w:rFonts w:ascii="Times New Roman" w:hAnsi="Times New Roman"/>
          <w:sz w:val="24"/>
          <w:szCs w:val="24"/>
        </w:rPr>
      </w:pPr>
    </w:p>
    <w:p w14:paraId="098DCAA2" w14:textId="77777777" w:rsidR="00BE6877" w:rsidRDefault="00BE6877" w:rsidP="005D5A0C">
      <w:pPr>
        <w:rPr>
          <w:rFonts w:ascii="Arial Black" w:hAnsi="Arial Black"/>
          <w:sz w:val="24"/>
          <w:szCs w:val="24"/>
        </w:rPr>
      </w:pPr>
    </w:p>
    <w:p w14:paraId="153E61DB" w14:textId="4B4AA44C" w:rsidR="00F755DB" w:rsidRDefault="00F755DB" w:rsidP="005D5A0C">
      <w:pPr>
        <w:rPr>
          <w:rFonts w:ascii="Arial Black" w:hAnsi="Arial Black"/>
          <w:sz w:val="24"/>
          <w:szCs w:val="24"/>
        </w:rPr>
      </w:pPr>
      <w:r>
        <w:rPr>
          <w:rFonts w:ascii="Arial Black" w:hAnsi="Arial Black"/>
          <w:sz w:val="24"/>
          <w:szCs w:val="24"/>
        </w:rPr>
        <w:t>2-80</w:t>
      </w:r>
    </w:p>
    <w:p w14:paraId="2F1C945F" w14:textId="77777777" w:rsidR="007353DC" w:rsidRPr="00DE5D8F" w:rsidRDefault="007353DC" w:rsidP="007353DC">
      <w:pPr>
        <w:pStyle w:val="NoSpacing"/>
        <w:rPr>
          <w:rFonts w:ascii="Arial Black" w:hAnsi="Arial Black"/>
          <w:b/>
          <w:sz w:val="28"/>
          <w:szCs w:val="28"/>
        </w:rPr>
      </w:pPr>
      <w:r>
        <w:rPr>
          <w:rFonts w:ascii="Arial Black" w:hAnsi="Arial Black"/>
          <w:b/>
          <w:sz w:val="28"/>
          <w:szCs w:val="28"/>
        </w:rPr>
        <w:t xml:space="preserve">PA: 2 LODD – CONDEMNED BLDG – CITY DISMISSED </w:t>
      </w:r>
    </w:p>
    <w:p w14:paraId="7674CE5C" w14:textId="77777777" w:rsidR="007353DC" w:rsidRDefault="007353DC" w:rsidP="007353DC">
      <w:pPr>
        <w:pStyle w:val="NoSpacing"/>
        <w:rPr>
          <w:bCs/>
        </w:rPr>
      </w:pPr>
    </w:p>
    <w:p w14:paraId="73CDD307" w14:textId="77777777" w:rsidR="00DF7446" w:rsidRPr="00DF7446" w:rsidRDefault="00DF7446" w:rsidP="00DF7446">
      <w:pPr>
        <w:pStyle w:val="NoSpacing"/>
        <w:rPr>
          <w:rFonts w:ascii="Times New Roman" w:hAnsi="Times New Roman"/>
          <w:bCs/>
          <w:sz w:val="24"/>
          <w:szCs w:val="24"/>
        </w:rPr>
      </w:pPr>
      <w:r w:rsidRPr="00DF7446">
        <w:rPr>
          <w:rFonts w:ascii="Times New Roman" w:hAnsi="Times New Roman"/>
          <w:sz w:val="24"/>
          <w:szCs w:val="24"/>
        </w:rPr>
        <w:t xml:space="preserve">On Dec. 9, 2024, in </w:t>
      </w:r>
      <w:r w:rsidRPr="00DF7446">
        <w:rPr>
          <w:rFonts w:ascii="Times New Roman" w:hAnsi="Times New Roman"/>
          <w:sz w:val="24"/>
          <w:szCs w:val="24"/>
          <w:u w:val="single"/>
        </w:rPr>
        <w:t>Rachel Butrim, et al. v. Maor and City Council of Baltimore</w:t>
      </w:r>
      <w:r w:rsidRPr="00DF7446">
        <w:rPr>
          <w:rFonts w:ascii="Times New Roman" w:hAnsi="Times New Roman"/>
          <w:sz w:val="24"/>
          <w:szCs w:val="24"/>
        </w:rPr>
        <w:t xml:space="preserve">, United States District Court Judge Matthew J. Maddox, U.S. District Court for the District of Maryland, granted the city’s motion to dismiss.  Even though the building was condemned, and not marked to warn firefighters, there was no proof the city intended to harm the firefighters. </w:t>
      </w:r>
      <w:hyperlink r:id="rId444" w:history="1">
        <w:r w:rsidRPr="00DF7446">
          <w:rPr>
            <w:rStyle w:val="Hyperlink"/>
            <w:rFonts w:ascii="Times New Roman" w:hAnsi="Times New Roman"/>
            <w:sz w:val="24"/>
            <w:szCs w:val="24"/>
          </w:rPr>
          <w:t>https://storage.courtlistener.com/recap/gov.uscourts.mdd.559142/gov.uscourts.mdd.559142.21.0.pdf</w:t>
        </w:r>
      </w:hyperlink>
      <w:r w:rsidRPr="00DF7446">
        <w:rPr>
          <w:rFonts w:ascii="Times New Roman" w:hAnsi="Times New Roman"/>
          <w:sz w:val="24"/>
          <w:szCs w:val="24"/>
        </w:rPr>
        <w:t xml:space="preserve"> </w:t>
      </w:r>
    </w:p>
    <w:p w14:paraId="3F4389C0" w14:textId="3DBB8B9B" w:rsidR="00DF7446" w:rsidRPr="00DF7446" w:rsidRDefault="00DF7446" w:rsidP="007353DC">
      <w:pPr>
        <w:pStyle w:val="NoSpacing"/>
        <w:rPr>
          <w:rFonts w:ascii="Times New Roman" w:hAnsi="Times New Roman"/>
          <w:sz w:val="24"/>
          <w:szCs w:val="24"/>
        </w:rPr>
      </w:pPr>
    </w:p>
    <w:p w14:paraId="64BA5587" w14:textId="77777777" w:rsidR="00DF7446" w:rsidRDefault="00DF7446" w:rsidP="007353DC">
      <w:pPr>
        <w:pStyle w:val="NoSpacing"/>
        <w:rPr>
          <w:rFonts w:ascii="Times New Roman" w:hAnsi="Times New Roman"/>
          <w:sz w:val="24"/>
          <w:szCs w:val="24"/>
        </w:rPr>
      </w:pPr>
    </w:p>
    <w:p w14:paraId="7A1D950E" w14:textId="1D085BE6" w:rsidR="007353DC" w:rsidRPr="007353DC" w:rsidRDefault="007353DC" w:rsidP="007353DC">
      <w:pPr>
        <w:pStyle w:val="NoSpacing"/>
        <w:rPr>
          <w:rFonts w:ascii="Times New Roman" w:hAnsi="Times New Roman"/>
          <w:bCs/>
          <w:sz w:val="24"/>
          <w:szCs w:val="24"/>
        </w:rPr>
      </w:pPr>
      <w:r w:rsidRPr="007353DC">
        <w:rPr>
          <w:rFonts w:ascii="Times New Roman" w:hAnsi="Times New Roman"/>
          <w:sz w:val="24"/>
          <w:szCs w:val="24"/>
        </w:rPr>
        <w:t>The Court wrote:</w:t>
      </w:r>
    </w:p>
    <w:p w14:paraId="5BEC412E" w14:textId="77777777" w:rsidR="007353DC" w:rsidRPr="007353DC" w:rsidRDefault="007353DC" w:rsidP="007353DC">
      <w:pPr>
        <w:pStyle w:val="NoSpacing"/>
        <w:rPr>
          <w:rFonts w:ascii="Times New Roman" w:hAnsi="Times New Roman"/>
          <w:bCs/>
          <w:sz w:val="24"/>
          <w:szCs w:val="24"/>
        </w:rPr>
      </w:pPr>
    </w:p>
    <w:p w14:paraId="118D6EBC" w14:textId="77777777" w:rsidR="007353DC" w:rsidRPr="007353DC" w:rsidRDefault="007353DC" w:rsidP="007353DC">
      <w:pPr>
        <w:pStyle w:val="NoSpacing"/>
        <w:ind w:firstLine="720"/>
        <w:rPr>
          <w:rFonts w:ascii="Times New Roman" w:hAnsi="Times New Roman"/>
          <w:bCs/>
          <w:sz w:val="24"/>
          <w:szCs w:val="24"/>
        </w:rPr>
      </w:pPr>
      <w:r w:rsidRPr="007353DC">
        <w:rPr>
          <w:rFonts w:ascii="Times New Roman" w:hAnsi="Times New Roman"/>
          <w:sz w:val="24"/>
          <w:szCs w:val="24"/>
        </w:rPr>
        <w:t>“The Motion is fully briefed and ripe for disposition. No hearing is necessary.</w:t>
      </w:r>
    </w:p>
    <w:p w14:paraId="79DDE0C9" w14:textId="77777777" w:rsidR="007353DC" w:rsidRPr="007353DC" w:rsidRDefault="007353DC" w:rsidP="007353DC">
      <w:pPr>
        <w:pStyle w:val="NoSpacing"/>
        <w:ind w:firstLine="720"/>
        <w:rPr>
          <w:rFonts w:ascii="Times New Roman" w:hAnsi="Times New Roman"/>
          <w:bCs/>
          <w:sz w:val="24"/>
          <w:szCs w:val="24"/>
        </w:rPr>
      </w:pPr>
    </w:p>
    <w:p w14:paraId="50056B97" w14:textId="77777777" w:rsidR="007353DC" w:rsidRPr="007353DC" w:rsidRDefault="007353DC" w:rsidP="007353DC">
      <w:pPr>
        <w:pStyle w:val="NoSpacing"/>
        <w:ind w:firstLine="720"/>
        <w:rPr>
          <w:rFonts w:ascii="Times New Roman" w:hAnsi="Times New Roman"/>
          <w:bCs/>
          <w:sz w:val="24"/>
          <w:szCs w:val="24"/>
        </w:rPr>
      </w:pPr>
      <w:r w:rsidRPr="007353DC">
        <w:rPr>
          <w:rFonts w:ascii="Times New Roman" w:hAnsi="Times New Roman"/>
          <w:sz w:val="24"/>
          <w:szCs w:val="24"/>
        </w:rPr>
        <w:t>***</w:t>
      </w:r>
    </w:p>
    <w:p w14:paraId="7AFD6155" w14:textId="77777777" w:rsidR="007353DC" w:rsidRPr="007353DC" w:rsidRDefault="007353DC" w:rsidP="007353DC">
      <w:pPr>
        <w:pStyle w:val="NoSpacing"/>
        <w:rPr>
          <w:rFonts w:ascii="Times New Roman" w:hAnsi="Times New Roman"/>
          <w:bCs/>
          <w:sz w:val="24"/>
          <w:szCs w:val="24"/>
        </w:rPr>
      </w:pPr>
    </w:p>
    <w:p w14:paraId="415100C2" w14:textId="67070486" w:rsidR="007353DC" w:rsidRPr="007353DC" w:rsidRDefault="007353DC" w:rsidP="007353DC">
      <w:pPr>
        <w:pStyle w:val="NoSpacing"/>
        <w:ind w:left="720"/>
        <w:rPr>
          <w:rFonts w:ascii="Times New Roman" w:hAnsi="Times New Roman"/>
          <w:bCs/>
          <w:sz w:val="24"/>
          <w:szCs w:val="24"/>
        </w:rPr>
      </w:pPr>
      <w:r w:rsidRPr="007353DC">
        <w:rPr>
          <w:rFonts w:ascii="Times New Roman" w:hAnsi="Times New Roman"/>
          <w:sz w:val="24"/>
          <w:szCs w:val="24"/>
        </w:rPr>
        <w:t>Although Plaintiffs allege that the City acted ‘deliberately’ and ‘intended to harm</w:t>
      </w:r>
      <w:r>
        <w:rPr>
          <w:rFonts w:ascii="Times New Roman" w:hAnsi="Times New Roman"/>
          <w:sz w:val="24"/>
          <w:szCs w:val="24"/>
        </w:rPr>
        <w:t xml:space="preserve"> </w:t>
      </w:r>
      <w:r w:rsidRPr="007353DC">
        <w:rPr>
          <w:rFonts w:ascii="Times New Roman" w:hAnsi="Times New Roman"/>
          <w:sz w:val="24"/>
          <w:szCs w:val="24"/>
        </w:rPr>
        <w:t xml:space="preserve"> . . . through its egregious affirmative acts,’ … they fail to allege sufficient facts to support these conclusory and formulaic allegations. Plainly, Plaintiffs do not allege that</w:t>
      </w:r>
      <w:r>
        <w:rPr>
          <w:rFonts w:ascii="Times New Roman" w:hAnsi="Times New Roman"/>
          <w:sz w:val="24"/>
          <w:szCs w:val="24"/>
        </w:rPr>
        <w:t xml:space="preserve"> </w:t>
      </w:r>
      <w:r w:rsidRPr="007353DC">
        <w:rPr>
          <w:rFonts w:ascii="Times New Roman" w:hAnsi="Times New Roman"/>
          <w:sz w:val="24"/>
          <w:szCs w:val="24"/>
        </w:rPr>
        <w:t xml:space="preserve">the City sent Plaintiff Firefighters into the Property on January 24, 2022, with the intent to injure them. The only plausible purpose for sending Plaintiff Firefighters into the Property supported by the facts in the Complaint was to fight the fire that engulfed the building. The only facts offered that speak to the City’s motivations in failing to mark the Property as structurally compromised concern the City’s agreement with the Southwest Partnership, a nonprofit community organization. See </w:t>
      </w:r>
      <w:proofErr w:type="spellStart"/>
      <w:r w:rsidRPr="007353DC">
        <w:rPr>
          <w:rFonts w:ascii="Times New Roman" w:hAnsi="Times New Roman"/>
          <w:sz w:val="24"/>
          <w:szCs w:val="24"/>
        </w:rPr>
        <w:t>Compl</w:t>
      </w:r>
      <w:proofErr w:type="spellEnd"/>
      <w:r w:rsidRPr="007353DC">
        <w:rPr>
          <w:rFonts w:ascii="Times New Roman" w:hAnsi="Times New Roman"/>
          <w:sz w:val="24"/>
          <w:szCs w:val="24"/>
        </w:rPr>
        <w:t xml:space="preserve">. ¶¶ 63–68. Plaintiffs allege on information and belief that this agreement caused the City to avoid marking certain compromised properties because the markings would make them unattractive to potential investors. See id. ¶¶ 64–65, 68. Accepting these allegations as </w:t>
      </w:r>
      <w:r w:rsidRPr="007353DC">
        <w:rPr>
          <w:rFonts w:ascii="Times New Roman" w:hAnsi="Times New Roman"/>
          <w:sz w:val="24"/>
          <w:szCs w:val="24"/>
        </w:rPr>
        <w:lastRenderedPageBreak/>
        <w:t>true—and accepting that they may describe wrongful or even egregious conduct by Defendant—the Court does not find that the allegations support a reasonable inference that Defendant acted with the</w:t>
      </w:r>
    </w:p>
    <w:p w14:paraId="7A5911DC" w14:textId="60FB76A9" w:rsidR="00AF7EA6" w:rsidRPr="007353DC" w:rsidRDefault="007353DC" w:rsidP="00037999">
      <w:pPr>
        <w:pStyle w:val="NoSpacing"/>
        <w:ind w:left="720"/>
        <w:rPr>
          <w:rFonts w:ascii="Times New Roman" w:hAnsi="Times New Roman"/>
          <w:sz w:val="24"/>
          <w:szCs w:val="24"/>
        </w:rPr>
      </w:pPr>
      <w:r w:rsidRPr="007353DC">
        <w:rPr>
          <w:rFonts w:ascii="Times New Roman" w:hAnsi="Times New Roman"/>
          <w:sz w:val="24"/>
          <w:szCs w:val="24"/>
        </w:rPr>
        <w:t xml:space="preserve">purpose of causing harm to Plaintiff Firefighters.” </w:t>
      </w:r>
    </w:p>
    <w:p w14:paraId="2A7C560F" w14:textId="77777777" w:rsidR="00037999" w:rsidRDefault="00037999" w:rsidP="00100878">
      <w:pPr>
        <w:pStyle w:val="NoSpacing"/>
        <w:rPr>
          <w:rFonts w:ascii="Times New Roman" w:hAnsi="Times New Roman"/>
          <w:sz w:val="24"/>
          <w:szCs w:val="24"/>
        </w:rPr>
      </w:pPr>
    </w:p>
    <w:p w14:paraId="2B0384C4" w14:textId="3A24A28A" w:rsidR="00100878" w:rsidRPr="00037999" w:rsidRDefault="00100878" w:rsidP="00100878">
      <w:pPr>
        <w:pStyle w:val="NoSpacing"/>
        <w:rPr>
          <w:rFonts w:ascii="Times New Roman" w:hAnsi="Times New Roman"/>
          <w:bCs/>
          <w:sz w:val="24"/>
          <w:szCs w:val="24"/>
        </w:rPr>
      </w:pPr>
      <w:r w:rsidRPr="00037999">
        <w:rPr>
          <w:rFonts w:ascii="Times New Roman" w:hAnsi="Times New Roman"/>
          <w:sz w:val="24"/>
          <w:szCs w:val="24"/>
        </w:rPr>
        <w:t xml:space="preserve">HOLDING: </w:t>
      </w:r>
    </w:p>
    <w:p w14:paraId="4109288C" w14:textId="77777777" w:rsidR="00100878" w:rsidRDefault="00100878" w:rsidP="00100878">
      <w:pPr>
        <w:pStyle w:val="NoSpacing"/>
        <w:ind w:firstLine="720"/>
        <w:rPr>
          <w:bCs/>
        </w:rPr>
      </w:pPr>
    </w:p>
    <w:p w14:paraId="1765586E" w14:textId="77777777" w:rsidR="00100878" w:rsidRPr="00100878" w:rsidRDefault="00100878" w:rsidP="00100878">
      <w:pPr>
        <w:pStyle w:val="NoSpacing"/>
        <w:ind w:left="720"/>
        <w:rPr>
          <w:rFonts w:ascii="Times New Roman" w:hAnsi="Times New Roman"/>
          <w:bCs/>
          <w:sz w:val="24"/>
          <w:szCs w:val="24"/>
        </w:rPr>
      </w:pPr>
      <w:r w:rsidRPr="00100878">
        <w:rPr>
          <w:rFonts w:ascii="Times New Roman" w:hAnsi="Times New Roman"/>
          <w:sz w:val="24"/>
          <w:szCs w:val="24"/>
        </w:rPr>
        <w:t xml:space="preserve">“In Collins [Collins v. Harker Heights, Feb. 26, 1992; </w:t>
      </w:r>
      <w:hyperlink r:id="rId445" w:history="1">
        <w:r w:rsidRPr="00100878">
          <w:rPr>
            <w:rStyle w:val="Hyperlink"/>
            <w:rFonts w:ascii="Times New Roman" w:hAnsi="Times New Roman"/>
            <w:sz w:val="24"/>
            <w:szCs w:val="24"/>
          </w:rPr>
          <w:t>https://supreme.justia.com/cases/federal/us/503/115/</w:t>
        </w:r>
      </w:hyperlink>
      <w:r w:rsidRPr="00100878">
        <w:rPr>
          <w:rFonts w:ascii="Times New Roman" w:hAnsi="Times New Roman"/>
          <w:sz w:val="24"/>
          <w:szCs w:val="24"/>
        </w:rPr>
        <w:t xml:space="preserve"> ] , the Supreme Court affirmed dismissal of a § 1983 due process claim based on ‘the city’s </w:t>
      </w:r>
      <w:proofErr w:type="spellStart"/>
      <w:r w:rsidRPr="00100878">
        <w:rPr>
          <w:rFonts w:ascii="Times New Roman" w:hAnsi="Times New Roman"/>
          <w:sz w:val="24"/>
          <w:szCs w:val="24"/>
        </w:rPr>
        <w:t>customar</w:t>
      </w:r>
      <w:proofErr w:type="spellEnd"/>
      <w:r w:rsidRPr="00100878">
        <w:rPr>
          <w:rFonts w:ascii="Times New Roman" w:hAnsi="Times New Roman"/>
          <w:sz w:val="24"/>
          <w:szCs w:val="24"/>
        </w:rPr>
        <w:t>[y] fail[</w:t>
      </w:r>
      <w:proofErr w:type="spellStart"/>
      <w:r w:rsidRPr="00100878">
        <w:rPr>
          <w:rFonts w:ascii="Times New Roman" w:hAnsi="Times New Roman"/>
          <w:sz w:val="24"/>
          <w:szCs w:val="24"/>
        </w:rPr>
        <w:t>ure</w:t>
      </w:r>
      <w:proofErr w:type="spellEnd"/>
      <w:r w:rsidRPr="00100878">
        <w:rPr>
          <w:rFonts w:ascii="Times New Roman" w:hAnsi="Times New Roman"/>
          <w:sz w:val="24"/>
          <w:szCs w:val="24"/>
        </w:rPr>
        <w:t>] to train or warn its employees about known hazards in the workplace[,]” which was alleged to have resulted in the death of a municipal employee…. The Court rejected the proposition that “the governmental employer’s duty to provide its employees with a safe working environment is a substantive component of the Due Process Clause.”</w:t>
      </w:r>
    </w:p>
    <w:p w14:paraId="25FE3813" w14:textId="77777777" w:rsidR="00100878" w:rsidRPr="00100878" w:rsidRDefault="00100878" w:rsidP="00100878">
      <w:pPr>
        <w:pStyle w:val="NoSpacing"/>
        <w:ind w:left="720"/>
        <w:rPr>
          <w:rFonts w:ascii="Times New Roman" w:hAnsi="Times New Roman"/>
          <w:bCs/>
          <w:sz w:val="24"/>
          <w:szCs w:val="24"/>
        </w:rPr>
      </w:pPr>
    </w:p>
    <w:p w14:paraId="24B9E8A7" w14:textId="77777777" w:rsidR="00100878" w:rsidRPr="00100878" w:rsidRDefault="00100878" w:rsidP="00100878">
      <w:pPr>
        <w:pStyle w:val="NoSpacing"/>
        <w:ind w:left="720"/>
        <w:rPr>
          <w:rFonts w:ascii="Times New Roman" w:hAnsi="Times New Roman"/>
          <w:bCs/>
          <w:sz w:val="24"/>
          <w:szCs w:val="24"/>
        </w:rPr>
      </w:pPr>
      <w:r w:rsidRPr="00100878">
        <w:rPr>
          <w:rFonts w:ascii="Times New Roman" w:hAnsi="Times New Roman"/>
          <w:sz w:val="24"/>
          <w:szCs w:val="24"/>
        </w:rPr>
        <w:t>***</w:t>
      </w:r>
    </w:p>
    <w:p w14:paraId="0B1F078B" w14:textId="77777777" w:rsidR="00100878" w:rsidRPr="00100878" w:rsidRDefault="00100878" w:rsidP="00100878">
      <w:pPr>
        <w:pStyle w:val="NoSpacing"/>
        <w:ind w:left="720"/>
        <w:rPr>
          <w:rFonts w:ascii="Times New Roman" w:hAnsi="Times New Roman"/>
          <w:bCs/>
          <w:sz w:val="24"/>
          <w:szCs w:val="24"/>
        </w:rPr>
      </w:pPr>
      <w:r w:rsidRPr="00100878">
        <w:rPr>
          <w:rFonts w:ascii="Times New Roman" w:hAnsi="Times New Roman"/>
          <w:sz w:val="24"/>
          <w:szCs w:val="24"/>
        </w:rPr>
        <w:t xml:space="preserve">In </w:t>
      </w:r>
      <w:r w:rsidRPr="00100878">
        <w:rPr>
          <w:rFonts w:ascii="Times New Roman" w:hAnsi="Times New Roman"/>
          <w:i/>
          <w:iCs/>
          <w:sz w:val="24"/>
          <w:szCs w:val="24"/>
        </w:rPr>
        <w:t>Waybright v. Frederick Cnty.,</w:t>
      </w:r>
      <w:r w:rsidRPr="00100878">
        <w:rPr>
          <w:rFonts w:ascii="Times New Roman" w:hAnsi="Times New Roman"/>
          <w:sz w:val="24"/>
          <w:szCs w:val="24"/>
        </w:rPr>
        <w:t xml:space="preserve"> Md., [June 2, 2008; </w:t>
      </w:r>
      <w:hyperlink r:id="rId446" w:history="1">
        <w:r w:rsidRPr="00100878">
          <w:rPr>
            <w:rStyle w:val="Hyperlink"/>
            <w:rFonts w:ascii="Times New Roman" w:hAnsi="Times New Roman"/>
            <w:sz w:val="24"/>
            <w:szCs w:val="24"/>
          </w:rPr>
          <w:t>https://casetext.com/case/waybright-v-frederick-county-2</w:t>
        </w:r>
      </w:hyperlink>
      <w:r w:rsidRPr="00100878">
        <w:rPr>
          <w:rFonts w:ascii="Times New Roman" w:hAnsi="Times New Roman"/>
          <w:sz w:val="24"/>
          <w:szCs w:val="24"/>
        </w:rPr>
        <w:t xml:space="preserve"> ] the Fourth Circuit affirmed summary judgment in favor of the municipal defendants on the plaintiffs’ due process claim based upon a fire department</w:t>
      </w:r>
    </w:p>
    <w:p w14:paraId="40710DCD" w14:textId="77777777" w:rsidR="00100878" w:rsidRPr="00100878" w:rsidRDefault="00100878" w:rsidP="00100878">
      <w:pPr>
        <w:pStyle w:val="NoSpacing"/>
        <w:ind w:left="720"/>
        <w:rPr>
          <w:rFonts w:ascii="Times New Roman" w:hAnsi="Times New Roman"/>
          <w:bCs/>
          <w:sz w:val="24"/>
          <w:szCs w:val="24"/>
        </w:rPr>
      </w:pPr>
      <w:r w:rsidRPr="00100878">
        <w:rPr>
          <w:rFonts w:ascii="Times New Roman" w:hAnsi="Times New Roman"/>
          <w:sz w:val="24"/>
          <w:szCs w:val="24"/>
        </w:rPr>
        <w:t xml:space="preserve">recruit’s accidental death following an intensive physical training session. 528 F.3d at 208. As relevant here, the Fourth Circuit rejected the plaintiffs’ contention that Waybright was in a ‘special relationship’ with his supervisor such that the government had ‘a duty to act on [Waybright’s] behalf and its failures to act [were] measured on a deliberate indifference standard[.]’  </w:t>
      </w:r>
    </w:p>
    <w:p w14:paraId="4C2B550D" w14:textId="77777777" w:rsidR="00100878" w:rsidRPr="00100878" w:rsidRDefault="00100878" w:rsidP="00100878">
      <w:pPr>
        <w:pStyle w:val="NoSpacing"/>
        <w:ind w:left="720"/>
        <w:rPr>
          <w:rFonts w:ascii="Times New Roman" w:hAnsi="Times New Roman"/>
          <w:bCs/>
          <w:sz w:val="24"/>
          <w:szCs w:val="24"/>
        </w:rPr>
      </w:pPr>
    </w:p>
    <w:p w14:paraId="356ABCEC" w14:textId="77777777" w:rsidR="00100878" w:rsidRPr="00100878" w:rsidRDefault="00100878" w:rsidP="00100878">
      <w:pPr>
        <w:pStyle w:val="NoSpacing"/>
        <w:ind w:left="720"/>
        <w:rPr>
          <w:rFonts w:ascii="Times New Roman" w:hAnsi="Times New Roman"/>
          <w:bCs/>
          <w:sz w:val="24"/>
          <w:szCs w:val="24"/>
        </w:rPr>
      </w:pPr>
      <w:r w:rsidRPr="00100878">
        <w:rPr>
          <w:rFonts w:ascii="Times New Roman" w:hAnsi="Times New Roman"/>
          <w:sz w:val="24"/>
          <w:szCs w:val="24"/>
        </w:rPr>
        <w:t>***</w:t>
      </w:r>
    </w:p>
    <w:p w14:paraId="5ADE8479" w14:textId="77777777" w:rsidR="00100878" w:rsidRPr="00100878" w:rsidRDefault="00100878" w:rsidP="00100878">
      <w:pPr>
        <w:pStyle w:val="NoSpacing"/>
        <w:ind w:left="720"/>
        <w:rPr>
          <w:rFonts w:ascii="Times New Roman" w:hAnsi="Times New Roman"/>
          <w:bCs/>
          <w:sz w:val="24"/>
          <w:szCs w:val="24"/>
        </w:rPr>
      </w:pPr>
      <w:r w:rsidRPr="00100878">
        <w:rPr>
          <w:rFonts w:ascii="Times New Roman" w:hAnsi="Times New Roman"/>
          <w:sz w:val="24"/>
          <w:szCs w:val="24"/>
        </w:rPr>
        <w:t xml:space="preserve">In </w:t>
      </w:r>
      <w:r w:rsidRPr="00100878">
        <w:rPr>
          <w:rFonts w:ascii="Times New Roman" w:hAnsi="Times New Roman"/>
          <w:i/>
          <w:iCs/>
          <w:sz w:val="24"/>
          <w:szCs w:val="24"/>
        </w:rPr>
        <w:t xml:space="preserve">Slaughter v. Mayor &amp; City Council of Baltimore </w:t>
      </w:r>
      <w:r w:rsidRPr="00100878">
        <w:rPr>
          <w:rFonts w:ascii="Times New Roman" w:hAnsi="Times New Roman"/>
          <w:sz w:val="24"/>
          <w:szCs w:val="24"/>
        </w:rPr>
        <w:t>[June 7, 2012</w:t>
      </w:r>
      <w:r w:rsidRPr="00100878">
        <w:rPr>
          <w:rFonts w:ascii="Times New Roman" w:hAnsi="Times New Roman"/>
          <w:i/>
          <w:iCs/>
          <w:sz w:val="24"/>
          <w:szCs w:val="24"/>
        </w:rPr>
        <w:t xml:space="preserve">; </w:t>
      </w:r>
      <w:hyperlink r:id="rId447" w:history="1">
        <w:r w:rsidRPr="00100878">
          <w:rPr>
            <w:rStyle w:val="Hyperlink"/>
            <w:rFonts w:ascii="Times New Roman" w:hAnsi="Times New Roman"/>
            <w:sz w:val="24"/>
            <w:szCs w:val="24"/>
          </w:rPr>
          <w:t>https://casetext.com/case/slaughter-v-mayor-city-council-of-balt</w:t>
        </w:r>
      </w:hyperlink>
      <w:r w:rsidRPr="00100878">
        <w:rPr>
          <w:rFonts w:ascii="Times New Roman" w:hAnsi="Times New Roman"/>
          <w:sz w:val="24"/>
          <w:szCs w:val="24"/>
        </w:rPr>
        <w:t xml:space="preserve"> ] a fire department recruit, Racheal Wilson, died during a ‘live burn’ training exercise…. The Fourth Circuit affirmed dismissal of the complaint for failure to state a claim … because they did not assert that the Fire Department intended to harm Wilson…. The Fourth Circuit</w:t>
      </w:r>
    </w:p>
    <w:p w14:paraId="258CEE86" w14:textId="77777777" w:rsidR="00100878" w:rsidRPr="00100878" w:rsidRDefault="00100878" w:rsidP="00100878">
      <w:pPr>
        <w:pStyle w:val="NoSpacing"/>
        <w:ind w:left="720"/>
        <w:rPr>
          <w:rFonts w:ascii="Times New Roman" w:hAnsi="Times New Roman"/>
          <w:bCs/>
          <w:sz w:val="24"/>
          <w:szCs w:val="24"/>
        </w:rPr>
      </w:pPr>
      <w:r w:rsidRPr="00100878">
        <w:rPr>
          <w:rFonts w:ascii="Times New Roman" w:hAnsi="Times New Roman"/>
          <w:sz w:val="24"/>
          <w:szCs w:val="24"/>
        </w:rPr>
        <w:t>ultimately held, in the context of this case, that the fire department’s constitutional liability ‘turn[ed] on whether it intended to harm the new recruits.’</w:t>
      </w:r>
    </w:p>
    <w:p w14:paraId="2AA758FB" w14:textId="77777777" w:rsidR="00100878" w:rsidRPr="00100878" w:rsidRDefault="00100878" w:rsidP="00100878">
      <w:pPr>
        <w:pStyle w:val="NoSpacing"/>
        <w:ind w:left="720"/>
        <w:rPr>
          <w:rFonts w:ascii="Times New Roman" w:hAnsi="Times New Roman"/>
          <w:bCs/>
          <w:sz w:val="24"/>
          <w:szCs w:val="24"/>
        </w:rPr>
      </w:pPr>
    </w:p>
    <w:p w14:paraId="710D67E7" w14:textId="77777777" w:rsidR="00100878" w:rsidRPr="00100878" w:rsidRDefault="00100878" w:rsidP="00100878">
      <w:pPr>
        <w:pStyle w:val="NoSpacing"/>
        <w:ind w:left="720"/>
        <w:rPr>
          <w:rFonts w:ascii="Times New Roman" w:hAnsi="Times New Roman"/>
          <w:bCs/>
          <w:sz w:val="24"/>
          <w:szCs w:val="24"/>
        </w:rPr>
      </w:pPr>
      <w:r w:rsidRPr="00100878">
        <w:rPr>
          <w:rFonts w:ascii="Times New Roman" w:hAnsi="Times New Roman"/>
          <w:sz w:val="24"/>
          <w:szCs w:val="24"/>
        </w:rPr>
        <w:t>***</w:t>
      </w:r>
    </w:p>
    <w:p w14:paraId="2A57F724" w14:textId="77777777" w:rsidR="00100878" w:rsidRPr="00100878" w:rsidRDefault="00100878" w:rsidP="00100878">
      <w:pPr>
        <w:pStyle w:val="NoSpacing"/>
        <w:ind w:left="720"/>
        <w:rPr>
          <w:rFonts w:ascii="Times New Roman" w:hAnsi="Times New Roman"/>
          <w:bCs/>
          <w:sz w:val="24"/>
          <w:szCs w:val="24"/>
        </w:rPr>
      </w:pPr>
      <w:r w:rsidRPr="00100878">
        <w:rPr>
          <w:rFonts w:ascii="Times New Roman" w:hAnsi="Times New Roman"/>
          <w:sz w:val="24"/>
          <w:szCs w:val="24"/>
        </w:rPr>
        <w:t xml:space="preserve">Because Plaintiffs fail to allege a plausible constitutional violation, their </w:t>
      </w:r>
      <w:r w:rsidRPr="00100878">
        <w:rPr>
          <w:rFonts w:ascii="Times New Roman" w:hAnsi="Times New Roman"/>
          <w:i/>
          <w:iCs/>
          <w:sz w:val="24"/>
          <w:szCs w:val="24"/>
        </w:rPr>
        <w:t>Monell</w:t>
      </w:r>
      <w:r w:rsidRPr="00100878">
        <w:rPr>
          <w:rFonts w:ascii="Times New Roman" w:hAnsi="Times New Roman"/>
          <w:sz w:val="24"/>
          <w:szCs w:val="24"/>
        </w:rPr>
        <w:t xml:space="preserve"> claim</w:t>
      </w:r>
    </w:p>
    <w:p w14:paraId="0BB0DB0D" w14:textId="77777777" w:rsidR="00100878" w:rsidRPr="00100878" w:rsidRDefault="00100878" w:rsidP="00100878">
      <w:pPr>
        <w:pStyle w:val="NoSpacing"/>
        <w:ind w:left="720"/>
        <w:rPr>
          <w:rFonts w:ascii="Times New Roman" w:hAnsi="Times New Roman"/>
          <w:bCs/>
          <w:sz w:val="24"/>
          <w:szCs w:val="24"/>
        </w:rPr>
      </w:pPr>
      <w:r w:rsidRPr="00100878">
        <w:rPr>
          <w:rFonts w:ascii="Times New Roman" w:hAnsi="Times New Roman"/>
          <w:sz w:val="24"/>
          <w:szCs w:val="24"/>
        </w:rPr>
        <w:t>cannot survive Defendant’s motion to dismiss.”</w:t>
      </w:r>
    </w:p>
    <w:p w14:paraId="1AD03354" w14:textId="77777777" w:rsidR="00100878" w:rsidRPr="00100878" w:rsidRDefault="00100878" w:rsidP="00100878">
      <w:pPr>
        <w:pStyle w:val="NoSpacing"/>
        <w:ind w:left="720"/>
        <w:rPr>
          <w:rFonts w:ascii="Times New Roman" w:hAnsi="Times New Roman"/>
          <w:bCs/>
          <w:sz w:val="24"/>
          <w:szCs w:val="24"/>
        </w:rPr>
      </w:pPr>
    </w:p>
    <w:p w14:paraId="404DDA6F" w14:textId="77777777" w:rsidR="00100878" w:rsidRPr="00100878" w:rsidRDefault="00100878" w:rsidP="00100878">
      <w:pPr>
        <w:pStyle w:val="NoSpacing"/>
        <w:rPr>
          <w:rFonts w:ascii="Times New Roman" w:hAnsi="Times New Roman"/>
          <w:b/>
          <w:sz w:val="24"/>
          <w:szCs w:val="24"/>
        </w:rPr>
      </w:pPr>
      <w:r w:rsidRPr="00100878">
        <w:rPr>
          <w:rFonts w:ascii="Times New Roman" w:hAnsi="Times New Roman"/>
          <w:b/>
          <w:sz w:val="24"/>
          <w:szCs w:val="24"/>
        </w:rPr>
        <w:t>Legal Lesson Learned: Tragic set of facts, but no city intent to injure was alleged.  Plaintiffs are expected to appeal to the 4</w:t>
      </w:r>
      <w:r w:rsidRPr="00100878">
        <w:rPr>
          <w:rFonts w:ascii="Times New Roman" w:hAnsi="Times New Roman"/>
          <w:b/>
          <w:sz w:val="24"/>
          <w:szCs w:val="24"/>
          <w:vertAlign w:val="superscript"/>
        </w:rPr>
        <w:t>th</w:t>
      </w:r>
      <w:r w:rsidRPr="00100878">
        <w:rPr>
          <w:rFonts w:ascii="Times New Roman" w:hAnsi="Times New Roman"/>
          <w:b/>
          <w:sz w:val="24"/>
          <w:szCs w:val="24"/>
        </w:rPr>
        <w:t xml:space="preserve"> Circuit.</w:t>
      </w:r>
    </w:p>
    <w:p w14:paraId="05C1A1A7" w14:textId="77777777" w:rsidR="00100878" w:rsidRPr="00100878" w:rsidRDefault="00100878" w:rsidP="00100878">
      <w:pPr>
        <w:pStyle w:val="NoSpacing"/>
        <w:rPr>
          <w:rFonts w:ascii="Times New Roman" w:hAnsi="Times New Roman"/>
          <w:b/>
          <w:sz w:val="24"/>
          <w:szCs w:val="24"/>
        </w:rPr>
      </w:pPr>
    </w:p>
    <w:p w14:paraId="70634886" w14:textId="78339C64" w:rsidR="00100878" w:rsidRPr="00100878" w:rsidRDefault="00100878" w:rsidP="00100878">
      <w:pPr>
        <w:pStyle w:val="NoSpacing"/>
        <w:ind w:left="720"/>
        <w:rPr>
          <w:rFonts w:ascii="Times New Roman" w:hAnsi="Times New Roman"/>
          <w:bCs/>
          <w:sz w:val="24"/>
          <w:szCs w:val="24"/>
        </w:rPr>
      </w:pPr>
      <w:r w:rsidRPr="00100878">
        <w:rPr>
          <w:rFonts w:ascii="Times New Roman" w:hAnsi="Times New Roman"/>
          <w:sz w:val="24"/>
          <w:szCs w:val="24"/>
        </w:rPr>
        <w:t>See Dec. 27</w:t>
      </w:r>
      <w:r w:rsidR="00BE6877">
        <w:rPr>
          <w:rFonts w:ascii="Times New Roman" w:hAnsi="Times New Roman"/>
          <w:sz w:val="24"/>
          <w:szCs w:val="24"/>
        </w:rPr>
        <w:t>,</w:t>
      </w:r>
      <w:r w:rsidRPr="00100878">
        <w:rPr>
          <w:rFonts w:ascii="Times New Roman" w:hAnsi="Times New Roman"/>
          <w:sz w:val="24"/>
          <w:szCs w:val="24"/>
        </w:rPr>
        <w:t xml:space="preserve"> </w:t>
      </w:r>
      <w:proofErr w:type="gramStart"/>
      <w:r w:rsidRPr="00100878">
        <w:rPr>
          <w:rFonts w:ascii="Times New Roman" w:hAnsi="Times New Roman"/>
          <w:sz w:val="24"/>
          <w:szCs w:val="24"/>
        </w:rPr>
        <w:t>2024</w:t>
      </w:r>
      <w:proofErr w:type="gramEnd"/>
      <w:r w:rsidRPr="00100878">
        <w:rPr>
          <w:rFonts w:ascii="Times New Roman" w:hAnsi="Times New Roman"/>
          <w:sz w:val="24"/>
          <w:szCs w:val="24"/>
        </w:rPr>
        <w:t xml:space="preserve"> article: “Judge tosses out lawsuit from families of Baltimore firefighters killed in blaze.” </w:t>
      </w:r>
    </w:p>
    <w:p w14:paraId="2BE23A1C" w14:textId="77777777" w:rsidR="00100878" w:rsidRPr="00100878" w:rsidRDefault="00100878" w:rsidP="00100878">
      <w:pPr>
        <w:pStyle w:val="NoSpacing"/>
        <w:ind w:left="720"/>
        <w:rPr>
          <w:rFonts w:ascii="Times New Roman" w:hAnsi="Times New Roman"/>
          <w:b/>
          <w:sz w:val="24"/>
          <w:szCs w:val="24"/>
        </w:rPr>
      </w:pPr>
      <w:hyperlink r:id="rId448" w:history="1">
        <w:r w:rsidRPr="00100878">
          <w:rPr>
            <w:rStyle w:val="Hyperlink"/>
            <w:rFonts w:ascii="Times New Roman" w:hAnsi="Times New Roman"/>
            <w:b/>
            <w:sz w:val="24"/>
            <w:szCs w:val="24"/>
          </w:rPr>
          <w:t>https://www.firerescue1.com/legal/judge-tosses-out-lawsuit-from-families-of-baltimore-firefighters-killed-in-2022-blaze?utm_source=delivra&amp;utm_medium=email&amp;utm_campaign=FR1-Daily-12-27-24&amp;utm_id=8279434&amp;dlv-emuid=fed355b8-46a2-4fa4-b55c-4d602dde33c4&amp;dlv-mlid=8279434</w:t>
        </w:r>
      </w:hyperlink>
      <w:r w:rsidRPr="00100878">
        <w:rPr>
          <w:rFonts w:ascii="Times New Roman" w:hAnsi="Times New Roman"/>
          <w:b/>
          <w:sz w:val="24"/>
          <w:szCs w:val="24"/>
        </w:rPr>
        <w:t xml:space="preserve"> </w:t>
      </w:r>
    </w:p>
    <w:p w14:paraId="5A705C76" w14:textId="77777777" w:rsidR="00F755DB" w:rsidRPr="00100878" w:rsidRDefault="00F755DB" w:rsidP="005D5A0C">
      <w:pPr>
        <w:rPr>
          <w:rFonts w:ascii="Times New Roman" w:hAnsi="Times New Roman"/>
          <w:sz w:val="24"/>
          <w:szCs w:val="24"/>
        </w:rPr>
      </w:pPr>
    </w:p>
    <w:p w14:paraId="19AD1D3F" w14:textId="77777777" w:rsidR="00F755DB" w:rsidRDefault="00F755DB" w:rsidP="005D5A0C">
      <w:pPr>
        <w:rPr>
          <w:rFonts w:ascii="Arial Black" w:hAnsi="Arial Black"/>
          <w:sz w:val="24"/>
          <w:szCs w:val="24"/>
        </w:rPr>
      </w:pPr>
    </w:p>
    <w:p w14:paraId="3CB4C5FA" w14:textId="239802B8" w:rsidR="00BC0732" w:rsidRDefault="00BC0732" w:rsidP="005D5A0C">
      <w:pPr>
        <w:rPr>
          <w:rFonts w:ascii="Arial Black" w:hAnsi="Arial Black"/>
          <w:sz w:val="24"/>
          <w:szCs w:val="24"/>
        </w:rPr>
      </w:pPr>
      <w:r>
        <w:rPr>
          <w:rFonts w:ascii="Arial Black" w:hAnsi="Arial Black"/>
          <w:sz w:val="24"/>
          <w:szCs w:val="24"/>
        </w:rPr>
        <w:t>2-7</w:t>
      </w:r>
      <w:r w:rsidR="006D1B8F">
        <w:rPr>
          <w:rFonts w:ascii="Arial Black" w:hAnsi="Arial Black"/>
          <w:sz w:val="24"/>
          <w:szCs w:val="24"/>
        </w:rPr>
        <w:t>9</w:t>
      </w:r>
    </w:p>
    <w:p w14:paraId="13364B28" w14:textId="77777777" w:rsidR="00BC0732" w:rsidRPr="00037999" w:rsidRDefault="00BC0732" w:rsidP="00BC0732">
      <w:pPr>
        <w:pStyle w:val="NoSpacing"/>
        <w:rPr>
          <w:rFonts w:ascii="Arial Black" w:hAnsi="Arial Black"/>
          <w:b/>
          <w:sz w:val="28"/>
          <w:szCs w:val="28"/>
        </w:rPr>
      </w:pPr>
      <w:r w:rsidRPr="00037999">
        <w:rPr>
          <w:rFonts w:ascii="Arial Black" w:hAnsi="Arial Black"/>
          <w:b/>
          <w:sz w:val="28"/>
          <w:szCs w:val="28"/>
        </w:rPr>
        <w:t>OH: FF KILLED AT MVA SCEEN – MOTORIST FAILED YIELD – MURDER LOWERED TO MANSLAUGHTER – PD NOT CONTROL</w:t>
      </w:r>
    </w:p>
    <w:p w14:paraId="24EDE64B" w14:textId="77777777" w:rsidR="00BC0732" w:rsidRPr="00253954" w:rsidRDefault="00BC0732" w:rsidP="00BC0732">
      <w:pPr>
        <w:pStyle w:val="NoSpacing"/>
        <w:ind w:firstLine="720"/>
        <w:rPr>
          <w:rFonts w:ascii="Times New Roman" w:hAnsi="Times New Roman"/>
          <w:b/>
          <w:sz w:val="24"/>
          <w:szCs w:val="24"/>
        </w:rPr>
      </w:pPr>
    </w:p>
    <w:p w14:paraId="55A89DE4" w14:textId="7CF01596" w:rsidR="00BC0732" w:rsidRPr="00253954" w:rsidRDefault="00BC0732" w:rsidP="00BC0732">
      <w:pPr>
        <w:pStyle w:val="NoSpacing"/>
        <w:rPr>
          <w:rFonts w:ascii="Times New Roman" w:hAnsi="Times New Roman"/>
          <w:bCs/>
          <w:sz w:val="24"/>
          <w:szCs w:val="24"/>
        </w:rPr>
      </w:pPr>
      <w:r w:rsidRPr="00253954">
        <w:rPr>
          <w:rFonts w:ascii="Times New Roman" w:hAnsi="Times New Roman"/>
          <w:sz w:val="24"/>
          <w:szCs w:val="24"/>
        </w:rPr>
        <w:t xml:space="preserve">On Nov. 7, 2024, in </w:t>
      </w:r>
      <w:r w:rsidRPr="00253954">
        <w:rPr>
          <w:rFonts w:ascii="Times New Roman" w:hAnsi="Times New Roman"/>
          <w:sz w:val="24"/>
          <w:szCs w:val="24"/>
          <w:u w:val="single"/>
        </w:rPr>
        <w:t>State of Ohio v. Leander Bissell</w:t>
      </w:r>
      <w:r w:rsidRPr="00253954">
        <w:rPr>
          <w:rFonts w:ascii="Times New Roman" w:hAnsi="Times New Roman"/>
          <w:sz w:val="24"/>
          <w:szCs w:val="24"/>
        </w:rPr>
        <w:t xml:space="preserve">, the Ohio Court of Appeals for Eight District, Cuyahoga County, held (2 to 1) that defendant’s conviction and life sentence under the felony-murder statute must be reversed to a lower involuntary manslaughter.  The Court wrote: “[A]s there was no testimony regarding an order or direction, and no officer testified that they were invested with the authority to direct traffic, there was insufficient evidence to support the conviction for failure to comply with the order or signal of a police officer. *** There is no doubt that Bissell caused the death of Firefighter Tetrick. Unlike the cases cited by the State, there is no evidence Bissell knowingly used his car as a weapon to cause serious physical </w:t>
      </w:r>
      <w:proofErr w:type="gramStart"/>
      <w:r w:rsidRPr="00253954">
        <w:rPr>
          <w:rFonts w:ascii="Times New Roman" w:hAnsi="Times New Roman"/>
          <w:sz w:val="24"/>
          <w:szCs w:val="24"/>
        </w:rPr>
        <w:t>harm.</w:t>
      </w:r>
      <w:r w:rsidR="00C34177">
        <w:rPr>
          <w:rFonts w:ascii="Times New Roman" w:hAnsi="Times New Roman"/>
          <w:sz w:val="24"/>
          <w:szCs w:val="24"/>
        </w:rPr>
        <w:t>”</w:t>
      </w:r>
      <w:proofErr w:type="gramEnd"/>
      <w:r w:rsidRPr="00253954">
        <w:rPr>
          <w:rFonts w:ascii="Times New Roman" w:hAnsi="Times New Roman"/>
          <w:sz w:val="24"/>
          <w:szCs w:val="24"/>
        </w:rPr>
        <w:t xml:space="preserve"> </w:t>
      </w:r>
      <w:hyperlink r:id="rId449" w:history="1">
        <w:r w:rsidRPr="00253954">
          <w:rPr>
            <w:rStyle w:val="Hyperlink"/>
            <w:rFonts w:ascii="Times New Roman" w:hAnsi="Times New Roman"/>
            <w:sz w:val="24"/>
            <w:szCs w:val="24"/>
          </w:rPr>
          <w:t>https://www.supremecourt.ohio.gov/rod/docs/pdf/8/2024/2024-Ohio-5317.pdf</w:t>
        </w:r>
      </w:hyperlink>
      <w:r w:rsidRPr="00253954">
        <w:rPr>
          <w:rFonts w:ascii="Times New Roman" w:hAnsi="Times New Roman"/>
          <w:sz w:val="24"/>
          <w:szCs w:val="24"/>
        </w:rPr>
        <w:t xml:space="preserve"> </w:t>
      </w:r>
    </w:p>
    <w:p w14:paraId="44DAD0D3" w14:textId="77777777" w:rsidR="00253954" w:rsidRPr="00253954" w:rsidRDefault="00253954" w:rsidP="00253954">
      <w:pPr>
        <w:pStyle w:val="NoSpacing"/>
        <w:rPr>
          <w:rFonts w:ascii="Times New Roman" w:hAnsi="Times New Roman"/>
          <w:b/>
          <w:sz w:val="24"/>
          <w:szCs w:val="24"/>
        </w:rPr>
      </w:pPr>
    </w:p>
    <w:p w14:paraId="5FAB38FD" w14:textId="2E71ABDC" w:rsidR="00253954" w:rsidRPr="00351E0A" w:rsidRDefault="00253954" w:rsidP="00253954">
      <w:pPr>
        <w:pStyle w:val="NoSpacing"/>
        <w:rPr>
          <w:rFonts w:ascii="Times New Roman" w:hAnsi="Times New Roman"/>
          <w:bCs/>
          <w:sz w:val="24"/>
          <w:szCs w:val="24"/>
        </w:rPr>
      </w:pPr>
      <w:r w:rsidRPr="00351E0A">
        <w:rPr>
          <w:rFonts w:ascii="Times New Roman" w:hAnsi="Times New Roman"/>
          <w:bCs/>
          <w:sz w:val="24"/>
          <w:szCs w:val="24"/>
        </w:rPr>
        <w:t>See Dissent</w:t>
      </w:r>
    </w:p>
    <w:p w14:paraId="5305C9EA" w14:textId="77777777" w:rsidR="00253954" w:rsidRPr="00253954" w:rsidRDefault="00253954" w:rsidP="00253954">
      <w:pPr>
        <w:pStyle w:val="NoSpacing"/>
        <w:rPr>
          <w:rFonts w:ascii="Times New Roman" w:hAnsi="Times New Roman"/>
          <w:b/>
          <w:sz w:val="24"/>
          <w:szCs w:val="24"/>
        </w:rPr>
      </w:pPr>
    </w:p>
    <w:p w14:paraId="0AE32BA3" w14:textId="46B619BA" w:rsidR="00253954" w:rsidRPr="00253954" w:rsidRDefault="00253954" w:rsidP="00253954">
      <w:pPr>
        <w:pStyle w:val="NoSpacing"/>
        <w:rPr>
          <w:rFonts w:ascii="Times New Roman" w:hAnsi="Times New Roman"/>
          <w:b/>
          <w:sz w:val="24"/>
          <w:szCs w:val="24"/>
        </w:rPr>
      </w:pPr>
      <w:r w:rsidRPr="00253954">
        <w:rPr>
          <w:rFonts w:ascii="Times New Roman" w:hAnsi="Times New Roman"/>
          <w:b/>
          <w:sz w:val="24"/>
          <w:szCs w:val="24"/>
        </w:rPr>
        <w:t xml:space="preserve">Legal Lesson Learned: High risk scene when firefighters are at MVA and traffic control not yet established; defendant will be resentenced. </w:t>
      </w:r>
    </w:p>
    <w:p w14:paraId="480DB7D3" w14:textId="77777777" w:rsidR="00253954" w:rsidRPr="00253954" w:rsidRDefault="00253954" w:rsidP="00253954">
      <w:pPr>
        <w:pStyle w:val="NoSpacing"/>
        <w:rPr>
          <w:rFonts w:ascii="Times New Roman" w:hAnsi="Times New Roman"/>
          <w:b/>
          <w:sz w:val="24"/>
          <w:szCs w:val="24"/>
        </w:rPr>
      </w:pPr>
    </w:p>
    <w:p w14:paraId="5151E88D" w14:textId="77777777" w:rsidR="00253954" w:rsidRPr="00253954" w:rsidRDefault="00253954" w:rsidP="00253954">
      <w:pPr>
        <w:pStyle w:val="NoSpacing"/>
        <w:ind w:left="720"/>
        <w:rPr>
          <w:rFonts w:ascii="Times New Roman" w:hAnsi="Times New Roman"/>
          <w:bCs/>
          <w:sz w:val="24"/>
          <w:szCs w:val="24"/>
        </w:rPr>
      </w:pPr>
      <w:r w:rsidRPr="00253954">
        <w:rPr>
          <w:rFonts w:ascii="Times New Roman" w:hAnsi="Times New Roman"/>
          <w:sz w:val="24"/>
          <w:szCs w:val="24"/>
        </w:rPr>
        <w:t xml:space="preserve">Note:  See YouTube of defendant’s original sentencing.  </w:t>
      </w:r>
      <w:hyperlink r:id="rId450" w:history="1">
        <w:r w:rsidRPr="00253954">
          <w:rPr>
            <w:rStyle w:val="Hyperlink"/>
            <w:rFonts w:ascii="Times New Roman" w:hAnsi="Times New Roman"/>
            <w:sz w:val="24"/>
            <w:szCs w:val="24"/>
          </w:rPr>
          <w:t>https://www.youtube.com/watch?v=Y-qURehCp-0</w:t>
        </w:r>
      </w:hyperlink>
      <w:r w:rsidRPr="00253954">
        <w:rPr>
          <w:rFonts w:ascii="Times New Roman" w:hAnsi="Times New Roman"/>
          <w:sz w:val="24"/>
          <w:szCs w:val="24"/>
        </w:rPr>
        <w:t xml:space="preserve"> </w:t>
      </w:r>
    </w:p>
    <w:p w14:paraId="4E534D54" w14:textId="77777777" w:rsidR="00253954" w:rsidRPr="00253954" w:rsidRDefault="00253954" w:rsidP="00253954">
      <w:pPr>
        <w:pStyle w:val="NoSpacing"/>
        <w:ind w:left="720"/>
        <w:rPr>
          <w:rFonts w:ascii="Times New Roman" w:hAnsi="Times New Roman"/>
          <w:bCs/>
          <w:sz w:val="24"/>
          <w:szCs w:val="24"/>
        </w:rPr>
      </w:pPr>
    </w:p>
    <w:p w14:paraId="6CCA5CC4" w14:textId="77777777" w:rsidR="00253954" w:rsidRPr="00253954" w:rsidRDefault="00253954" w:rsidP="00253954">
      <w:pPr>
        <w:pStyle w:val="NoSpacing"/>
        <w:ind w:left="720"/>
        <w:rPr>
          <w:rFonts w:ascii="Times New Roman" w:hAnsi="Times New Roman"/>
          <w:b/>
          <w:sz w:val="24"/>
          <w:szCs w:val="24"/>
        </w:rPr>
      </w:pPr>
      <w:r w:rsidRPr="00253954">
        <w:rPr>
          <w:rFonts w:ascii="Times New Roman" w:hAnsi="Times New Roman"/>
          <w:sz w:val="24"/>
          <w:szCs w:val="24"/>
        </w:rPr>
        <w:t>Leander Bissell apologizes at sentencing for hit-and-run death of Cleveland firefighter Tetrick.</w:t>
      </w:r>
      <w:r w:rsidRPr="00253954">
        <w:rPr>
          <w:rFonts w:ascii="Times New Roman" w:hAnsi="Times New Roman"/>
          <w:b/>
          <w:sz w:val="24"/>
          <w:szCs w:val="24"/>
        </w:rPr>
        <w:t xml:space="preserve"> </w:t>
      </w:r>
      <w:hyperlink r:id="rId451" w:history="1">
        <w:r w:rsidRPr="00253954">
          <w:rPr>
            <w:rStyle w:val="Hyperlink"/>
            <w:rFonts w:ascii="Times New Roman" w:hAnsi="Times New Roman"/>
            <w:b/>
            <w:sz w:val="24"/>
            <w:szCs w:val="24"/>
          </w:rPr>
          <w:t>https://www.youtube.com/watch?v=teM31tC2TMo</w:t>
        </w:r>
      </w:hyperlink>
      <w:r w:rsidRPr="00253954">
        <w:rPr>
          <w:rFonts w:ascii="Times New Roman" w:hAnsi="Times New Roman"/>
          <w:b/>
          <w:sz w:val="24"/>
          <w:szCs w:val="24"/>
        </w:rPr>
        <w:t xml:space="preserve"> </w:t>
      </w:r>
    </w:p>
    <w:p w14:paraId="2A55AF75" w14:textId="77777777" w:rsidR="00253954" w:rsidRPr="00253954" w:rsidRDefault="00253954" w:rsidP="00253954">
      <w:pPr>
        <w:pStyle w:val="NoSpacing"/>
        <w:rPr>
          <w:rFonts w:ascii="Times New Roman" w:hAnsi="Times New Roman"/>
          <w:bCs/>
          <w:sz w:val="24"/>
          <w:szCs w:val="24"/>
        </w:rPr>
      </w:pPr>
    </w:p>
    <w:p w14:paraId="56D84F68" w14:textId="77777777" w:rsidR="00351E0A" w:rsidRDefault="00351E0A" w:rsidP="005D5A0C">
      <w:pPr>
        <w:rPr>
          <w:rFonts w:ascii="Arial Black" w:hAnsi="Arial Black"/>
          <w:sz w:val="24"/>
          <w:szCs w:val="24"/>
        </w:rPr>
      </w:pPr>
    </w:p>
    <w:p w14:paraId="0B62A7F6" w14:textId="0E0E54CF" w:rsidR="00BC0732" w:rsidRDefault="006D1B8F" w:rsidP="005D5A0C">
      <w:pPr>
        <w:rPr>
          <w:rFonts w:ascii="Arial Black" w:hAnsi="Arial Black"/>
          <w:sz w:val="24"/>
          <w:szCs w:val="24"/>
        </w:rPr>
      </w:pPr>
      <w:r w:rsidRPr="006D1B8F">
        <w:rPr>
          <w:rFonts w:ascii="Arial Black" w:hAnsi="Arial Black"/>
          <w:sz w:val="24"/>
          <w:szCs w:val="24"/>
        </w:rPr>
        <w:t>2-78</w:t>
      </w:r>
    </w:p>
    <w:p w14:paraId="304CB382" w14:textId="77777777" w:rsidR="00277909" w:rsidRPr="00402FF4" w:rsidRDefault="00277909" w:rsidP="00277909">
      <w:pPr>
        <w:rPr>
          <w:rFonts w:ascii="Arial Black" w:hAnsi="Arial Black"/>
          <w:sz w:val="28"/>
          <w:szCs w:val="28"/>
        </w:rPr>
      </w:pPr>
      <w:r w:rsidRPr="00402FF4">
        <w:rPr>
          <w:rFonts w:ascii="Arial Black" w:hAnsi="Arial Black"/>
          <w:sz w:val="28"/>
          <w:szCs w:val="28"/>
        </w:rPr>
        <w:t>NY:</w:t>
      </w:r>
      <w:r>
        <w:rPr>
          <w:rFonts w:ascii="Arial Black" w:hAnsi="Arial Black"/>
          <w:sz w:val="28"/>
          <w:szCs w:val="28"/>
        </w:rPr>
        <w:t xml:space="preserve"> FDNY FF STROKE AFTER BLDG FIRE – CAN SUE OWNER BREACH CODE / BLDG NOT SECURED – NY FIREMAN’S RULE </w:t>
      </w:r>
    </w:p>
    <w:p w14:paraId="43338BC4" w14:textId="098F5ED7" w:rsidR="00277909" w:rsidRPr="00351E0A" w:rsidRDefault="00277909" w:rsidP="00277909">
      <w:pPr>
        <w:rPr>
          <w:rStyle w:val="Hyperlink"/>
          <w:rFonts w:ascii="Times New Roman" w:hAnsi="Times New Roman"/>
          <w:sz w:val="24"/>
          <w:szCs w:val="24"/>
        </w:rPr>
      </w:pPr>
      <w:r w:rsidRPr="00351E0A">
        <w:rPr>
          <w:rFonts w:ascii="Times New Roman" w:hAnsi="Times New Roman"/>
          <w:sz w:val="24"/>
          <w:szCs w:val="24"/>
        </w:rPr>
        <w:t xml:space="preserve">On Oct. 29, 2024, in </w:t>
      </w:r>
      <w:r w:rsidRPr="00351E0A">
        <w:rPr>
          <w:rFonts w:ascii="Times New Roman" w:hAnsi="Times New Roman"/>
          <w:sz w:val="24"/>
          <w:szCs w:val="24"/>
          <w:u w:val="single"/>
        </w:rPr>
        <w:t>David Pickford and Rosemarie Pickford v. Noel M. Deleon</w:t>
      </w:r>
      <w:r w:rsidRPr="00351E0A">
        <w:rPr>
          <w:rFonts w:ascii="Times New Roman" w:hAnsi="Times New Roman"/>
          <w:sz w:val="24"/>
          <w:szCs w:val="24"/>
        </w:rPr>
        <w:t xml:space="preserve">, Judge Richard Montelione, Supreme Court of the State of New York, County of Kings, Part 99, granted the plaintiffs’ motion for default judgment.  The Court wrote: “General Municipal Law§ 205-a(l) provides that a firefighter has a cause of action when he or she sustains an injury in the line of duty as a result of any neglect, omission, willful or culpable negligence of any person or persons in failing to comply with the requirements of any of the statutes, ordinances, rules, orders and requirements of the federal, state, county, village, town or city government.’” </w:t>
      </w:r>
      <w:hyperlink r:id="rId452" w:history="1">
        <w:r w:rsidRPr="00351E0A">
          <w:rPr>
            <w:rStyle w:val="Hyperlink"/>
            <w:rFonts w:ascii="Times New Roman" w:hAnsi="Times New Roman"/>
            <w:sz w:val="24"/>
            <w:szCs w:val="24"/>
          </w:rPr>
          <w:t>https://cases.justia.com/new-york/other-courts/2024-2024-ny-slip-op-33987-u.pdf?ts=1731644847</w:t>
        </w:r>
      </w:hyperlink>
    </w:p>
    <w:p w14:paraId="56D45E31" w14:textId="77777777" w:rsidR="00351E0A" w:rsidRPr="00351E0A" w:rsidRDefault="00351E0A" w:rsidP="00351E0A">
      <w:pPr>
        <w:pStyle w:val="NoSpacing"/>
        <w:rPr>
          <w:rFonts w:ascii="Times New Roman" w:hAnsi="Times New Roman"/>
          <w:b/>
          <w:bCs/>
          <w:sz w:val="24"/>
          <w:szCs w:val="24"/>
        </w:rPr>
      </w:pPr>
      <w:r w:rsidRPr="00351E0A">
        <w:rPr>
          <w:rFonts w:ascii="Times New Roman" w:hAnsi="Times New Roman"/>
          <w:b/>
          <w:sz w:val="24"/>
          <w:szCs w:val="24"/>
        </w:rPr>
        <w:t>Legal Lesson Learned:  The New York statute has modified the Fireman’s Rule to permit emergency responders to sue for damages for injury arising from code violations.</w:t>
      </w:r>
    </w:p>
    <w:p w14:paraId="2C2E58D7" w14:textId="77777777" w:rsidR="00351E0A" w:rsidRPr="00351E0A" w:rsidRDefault="00351E0A" w:rsidP="00351E0A">
      <w:pPr>
        <w:pStyle w:val="NoSpacing"/>
        <w:rPr>
          <w:rFonts w:ascii="Times New Roman" w:hAnsi="Times New Roman"/>
          <w:b/>
          <w:sz w:val="24"/>
          <w:szCs w:val="24"/>
        </w:rPr>
      </w:pPr>
    </w:p>
    <w:p w14:paraId="0912FE2F" w14:textId="77777777" w:rsidR="00351E0A" w:rsidRPr="00351E0A" w:rsidRDefault="00351E0A" w:rsidP="00351E0A">
      <w:pPr>
        <w:pStyle w:val="NoSpacing"/>
        <w:rPr>
          <w:rFonts w:ascii="Times New Roman" w:hAnsi="Times New Roman"/>
          <w:sz w:val="24"/>
          <w:szCs w:val="24"/>
        </w:rPr>
      </w:pPr>
      <w:r w:rsidRPr="00351E0A">
        <w:rPr>
          <w:rFonts w:ascii="Times New Roman" w:hAnsi="Times New Roman"/>
          <w:b/>
          <w:sz w:val="24"/>
          <w:szCs w:val="24"/>
        </w:rPr>
        <w:tab/>
      </w:r>
      <w:r w:rsidRPr="00351E0A">
        <w:rPr>
          <w:rFonts w:ascii="Times New Roman" w:hAnsi="Times New Roman"/>
          <w:sz w:val="24"/>
          <w:szCs w:val="24"/>
        </w:rPr>
        <w:t xml:space="preserve">Note: Some states have abolished the Fireman's Rule, including: </w:t>
      </w:r>
    </w:p>
    <w:p w14:paraId="38AE0EE4" w14:textId="77777777" w:rsidR="00351E0A" w:rsidRPr="00351E0A" w:rsidRDefault="00351E0A" w:rsidP="00351E0A">
      <w:pPr>
        <w:numPr>
          <w:ilvl w:val="0"/>
          <w:numId w:val="24"/>
        </w:numPr>
        <w:tabs>
          <w:tab w:val="left" w:pos="5280"/>
        </w:tabs>
        <w:spacing w:after="160" w:line="259" w:lineRule="auto"/>
        <w:rPr>
          <w:rFonts w:ascii="Times New Roman" w:hAnsi="Times New Roman"/>
          <w:sz w:val="24"/>
          <w:szCs w:val="24"/>
        </w:rPr>
      </w:pPr>
      <w:r w:rsidRPr="00351E0A">
        <w:rPr>
          <w:rFonts w:ascii="Times New Roman" w:hAnsi="Times New Roman"/>
          <w:b/>
          <w:sz w:val="24"/>
          <w:szCs w:val="24"/>
        </w:rPr>
        <w:t>New Jersey</w:t>
      </w:r>
      <w:r w:rsidRPr="00351E0A">
        <w:rPr>
          <w:rFonts w:ascii="Times New Roman" w:hAnsi="Times New Roman"/>
          <w:sz w:val="24"/>
          <w:szCs w:val="24"/>
        </w:rPr>
        <w:t xml:space="preserve">: In 2007, the New Jersey Supreme Court ruled that the Fireman's Rule was no longer in effect. Ruiz v. Mero, A28/29-06; </w:t>
      </w:r>
      <w:hyperlink r:id="rId453" w:history="1">
        <w:r w:rsidRPr="00351E0A">
          <w:rPr>
            <w:rStyle w:val="Hyperlink"/>
            <w:rFonts w:ascii="Times New Roman" w:hAnsi="Times New Roman"/>
            <w:sz w:val="24"/>
            <w:szCs w:val="24"/>
          </w:rPr>
          <w:t>https://grsl.com/firefighters-rule-struck-down-by-new-jersey-supreme-court/</w:t>
        </w:r>
      </w:hyperlink>
      <w:r w:rsidRPr="00351E0A">
        <w:rPr>
          <w:rFonts w:ascii="Times New Roman" w:hAnsi="Times New Roman"/>
          <w:sz w:val="24"/>
          <w:szCs w:val="24"/>
        </w:rPr>
        <w:t xml:space="preserve"> </w:t>
      </w:r>
    </w:p>
    <w:p w14:paraId="087E150D" w14:textId="77777777" w:rsidR="00351E0A" w:rsidRPr="00351E0A" w:rsidRDefault="00351E0A" w:rsidP="00351E0A">
      <w:pPr>
        <w:numPr>
          <w:ilvl w:val="0"/>
          <w:numId w:val="24"/>
        </w:numPr>
        <w:tabs>
          <w:tab w:val="left" w:pos="5280"/>
        </w:tabs>
        <w:spacing w:after="160" w:line="259" w:lineRule="auto"/>
        <w:rPr>
          <w:rFonts w:ascii="Times New Roman" w:hAnsi="Times New Roman"/>
          <w:sz w:val="24"/>
          <w:szCs w:val="24"/>
        </w:rPr>
      </w:pPr>
      <w:r w:rsidRPr="00351E0A">
        <w:rPr>
          <w:rFonts w:ascii="Times New Roman" w:hAnsi="Times New Roman"/>
          <w:b/>
          <w:sz w:val="24"/>
          <w:szCs w:val="24"/>
        </w:rPr>
        <w:t>Oregon</w:t>
      </w:r>
      <w:r w:rsidRPr="00351E0A">
        <w:rPr>
          <w:rFonts w:ascii="Times New Roman" w:hAnsi="Times New Roman"/>
          <w:sz w:val="24"/>
          <w:szCs w:val="24"/>
        </w:rPr>
        <w:t xml:space="preserve">: In 1984, the Oregon Supreme Court abolished the Fireman's Rule in the case Christensen v. Murphy, 296 Or. 610 (Or. 1984); </w:t>
      </w:r>
      <w:hyperlink r:id="rId454" w:history="1">
        <w:r w:rsidRPr="00351E0A">
          <w:rPr>
            <w:rStyle w:val="Hyperlink"/>
            <w:rFonts w:ascii="Times New Roman" w:hAnsi="Times New Roman"/>
            <w:sz w:val="24"/>
            <w:szCs w:val="24"/>
          </w:rPr>
          <w:t>https://casetext.com/case/christensen-v-murphy</w:t>
        </w:r>
      </w:hyperlink>
      <w:r w:rsidRPr="00351E0A">
        <w:rPr>
          <w:rFonts w:ascii="Times New Roman" w:hAnsi="Times New Roman"/>
          <w:sz w:val="24"/>
          <w:szCs w:val="24"/>
        </w:rPr>
        <w:t xml:space="preserve"> </w:t>
      </w:r>
    </w:p>
    <w:p w14:paraId="67FA4D7E" w14:textId="77777777" w:rsidR="00351E0A" w:rsidRPr="00351E0A" w:rsidRDefault="00351E0A" w:rsidP="00351E0A">
      <w:pPr>
        <w:numPr>
          <w:ilvl w:val="0"/>
          <w:numId w:val="24"/>
        </w:numPr>
        <w:tabs>
          <w:tab w:val="left" w:pos="5280"/>
        </w:tabs>
        <w:spacing w:after="160" w:line="259" w:lineRule="auto"/>
        <w:rPr>
          <w:rFonts w:ascii="Times New Roman" w:hAnsi="Times New Roman"/>
          <w:sz w:val="24"/>
          <w:szCs w:val="24"/>
        </w:rPr>
      </w:pPr>
      <w:r w:rsidRPr="00351E0A">
        <w:rPr>
          <w:rFonts w:ascii="Times New Roman" w:hAnsi="Times New Roman"/>
          <w:b/>
          <w:sz w:val="24"/>
          <w:szCs w:val="24"/>
        </w:rPr>
        <w:t>Florida</w:t>
      </w:r>
      <w:r w:rsidRPr="00351E0A">
        <w:rPr>
          <w:rFonts w:ascii="Times New Roman" w:hAnsi="Times New Roman"/>
          <w:sz w:val="24"/>
          <w:szCs w:val="24"/>
        </w:rPr>
        <w:t xml:space="preserve">: By statute, Florida in the 1990s abolished the Rule. </w:t>
      </w:r>
      <w:hyperlink r:id="rId455" w:history="1">
        <w:r w:rsidRPr="00351E0A">
          <w:rPr>
            <w:rStyle w:val="Hyperlink"/>
            <w:rFonts w:ascii="Times New Roman" w:hAnsi="Times New Roman"/>
            <w:sz w:val="24"/>
            <w:szCs w:val="24"/>
          </w:rPr>
          <w:t>https://codes.findlaw.com/fl/title-x-public-officers-employees-and-records/fl-st-sect-112-182/</w:t>
        </w:r>
      </w:hyperlink>
    </w:p>
    <w:p w14:paraId="087BB657" w14:textId="77777777" w:rsidR="00351E0A" w:rsidRPr="00351E0A" w:rsidRDefault="00351E0A" w:rsidP="00351E0A">
      <w:pPr>
        <w:pStyle w:val="ListParagraph"/>
        <w:numPr>
          <w:ilvl w:val="0"/>
          <w:numId w:val="24"/>
        </w:numPr>
        <w:spacing w:after="0" w:line="240" w:lineRule="auto"/>
        <w:rPr>
          <w:rFonts w:ascii="Times New Roman" w:eastAsia="Times New Roman" w:hAnsi="Times New Roman" w:cs="Times New Roman"/>
          <w:sz w:val="24"/>
          <w:szCs w:val="24"/>
        </w:rPr>
      </w:pPr>
      <w:r w:rsidRPr="00351E0A">
        <w:rPr>
          <w:rFonts w:ascii="Times New Roman" w:eastAsia="Times New Roman" w:hAnsi="Times New Roman" w:cs="Times New Roman"/>
          <w:b/>
          <w:sz w:val="24"/>
          <w:szCs w:val="24"/>
        </w:rPr>
        <w:lastRenderedPageBreak/>
        <w:t>Minnesota:</w:t>
      </w:r>
      <w:r w:rsidRPr="00351E0A">
        <w:rPr>
          <w:rFonts w:ascii="Times New Roman" w:eastAsia="Times New Roman" w:hAnsi="Times New Roman" w:cs="Times New Roman"/>
          <w:sz w:val="24"/>
          <w:szCs w:val="24"/>
        </w:rPr>
        <w:t xml:space="preserve">  </w:t>
      </w:r>
      <w:r w:rsidRPr="00351E0A">
        <w:rPr>
          <w:rFonts w:ascii="Times New Roman" w:eastAsia="Times New Roman" w:hAnsi="Times New Roman" w:cs="Times New Roman"/>
          <w:i/>
          <w:iCs/>
          <w:sz w:val="24"/>
          <w:szCs w:val="24"/>
        </w:rPr>
        <w:t>Armstrong v. Mailand,</w:t>
      </w:r>
      <w:r w:rsidRPr="00351E0A">
        <w:rPr>
          <w:rFonts w:ascii="Times New Roman" w:eastAsia="Times New Roman" w:hAnsi="Times New Roman" w:cs="Times New Roman"/>
          <w:sz w:val="24"/>
          <w:szCs w:val="24"/>
        </w:rPr>
        <w:t xml:space="preserve"> Feb. 9, 1979; Supreme Court of MN; </w:t>
      </w:r>
      <w:hyperlink r:id="rId456" w:history="1">
        <w:r w:rsidRPr="00351E0A">
          <w:rPr>
            <w:rStyle w:val="Hyperlink"/>
            <w:rFonts w:ascii="Times New Roman" w:eastAsia="Times New Roman" w:hAnsi="Times New Roman" w:cs="Times New Roman"/>
            <w:sz w:val="24"/>
            <w:szCs w:val="24"/>
          </w:rPr>
          <w:t>https://casetext.com/case/armstrong-v-mailand</w:t>
        </w:r>
      </w:hyperlink>
      <w:r w:rsidRPr="00351E0A">
        <w:rPr>
          <w:rFonts w:ascii="Times New Roman" w:eastAsia="Times New Roman" w:hAnsi="Times New Roman" w:cs="Times New Roman"/>
          <w:sz w:val="24"/>
          <w:szCs w:val="24"/>
        </w:rPr>
        <w:t xml:space="preserve"> </w:t>
      </w:r>
    </w:p>
    <w:p w14:paraId="0D0ED9BC" w14:textId="77777777" w:rsidR="00351E0A" w:rsidRPr="00351E0A" w:rsidRDefault="00351E0A" w:rsidP="00351E0A">
      <w:pPr>
        <w:spacing w:after="0" w:line="240" w:lineRule="auto"/>
        <w:rPr>
          <w:rFonts w:ascii="Times New Roman" w:eastAsia="Times New Roman" w:hAnsi="Times New Roman"/>
          <w:sz w:val="24"/>
          <w:szCs w:val="24"/>
        </w:rPr>
      </w:pPr>
    </w:p>
    <w:p w14:paraId="0DC3C8A2" w14:textId="77777777" w:rsidR="00351E0A" w:rsidRPr="00351E0A" w:rsidRDefault="00351E0A" w:rsidP="00351E0A">
      <w:pPr>
        <w:spacing w:after="0" w:line="240" w:lineRule="auto"/>
        <w:ind w:left="1080"/>
        <w:rPr>
          <w:rFonts w:ascii="Times New Roman" w:eastAsia="Times New Roman" w:hAnsi="Times New Roman"/>
          <w:sz w:val="24"/>
          <w:szCs w:val="24"/>
        </w:rPr>
      </w:pPr>
    </w:p>
    <w:p w14:paraId="2AF49F55" w14:textId="77777777" w:rsidR="00351E0A" w:rsidRPr="00351E0A" w:rsidRDefault="00351E0A" w:rsidP="00351E0A">
      <w:pPr>
        <w:numPr>
          <w:ilvl w:val="0"/>
          <w:numId w:val="24"/>
        </w:numPr>
        <w:tabs>
          <w:tab w:val="left" w:pos="5280"/>
        </w:tabs>
        <w:spacing w:after="160" w:line="259" w:lineRule="auto"/>
        <w:rPr>
          <w:rFonts w:ascii="Times New Roman" w:hAnsi="Times New Roman"/>
          <w:sz w:val="24"/>
          <w:szCs w:val="24"/>
        </w:rPr>
      </w:pPr>
      <w:r w:rsidRPr="00351E0A">
        <w:rPr>
          <w:rFonts w:ascii="Times New Roman" w:hAnsi="Times New Roman"/>
          <w:b/>
          <w:sz w:val="24"/>
          <w:szCs w:val="24"/>
        </w:rPr>
        <w:t>New York</w:t>
      </w:r>
      <w:r w:rsidRPr="00351E0A">
        <w:rPr>
          <w:rFonts w:ascii="Times New Roman" w:hAnsi="Times New Roman"/>
          <w:sz w:val="24"/>
          <w:szCs w:val="24"/>
        </w:rPr>
        <w:t xml:space="preserve">:  By statute, the </w:t>
      </w:r>
      <w:r w:rsidRPr="00351E0A">
        <w:rPr>
          <w:rFonts w:ascii="Times New Roman" w:hAnsi="Times New Roman"/>
          <w:sz w:val="24"/>
          <w:szCs w:val="24"/>
          <w:lang w:val="en"/>
        </w:rPr>
        <w:t xml:space="preserve">General Municipal Law § 205-a, permits firefighters to sue when they are injured as the result of a violation of a statute, rule, or regulation. </w:t>
      </w:r>
      <w:hyperlink r:id="rId457" w:history="1">
        <w:r w:rsidRPr="00351E0A">
          <w:rPr>
            <w:rStyle w:val="Hyperlink"/>
            <w:rFonts w:ascii="Times New Roman" w:hAnsi="Times New Roman"/>
            <w:sz w:val="24"/>
            <w:szCs w:val="24"/>
            <w:lang w:val="en"/>
          </w:rPr>
          <w:t>https://www.sullivangalleshaw.com/the-professional-rescuers-rule/</w:t>
        </w:r>
      </w:hyperlink>
      <w:r w:rsidRPr="00351E0A">
        <w:rPr>
          <w:rFonts w:ascii="Times New Roman" w:hAnsi="Times New Roman"/>
          <w:sz w:val="24"/>
          <w:szCs w:val="24"/>
          <w:lang w:val="en"/>
        </w:rPr>
        <w:t xml:space="preserve"> </w:t>
      </w:r>
    </w:p>
    <w:p w14:paraId="0591475D" w14:textId="77777777" w:rsidR="00351E0A" w:rsidRPr="00351E0A" w:rsidRDefault="00351E0A" w:rsidP="00351E0A">
      <w:pPr>
        <w:spacing w:after="0" w:line="240" w:lineRule="auto"/>
        <w:ind w:left="720" w:firstLine="720"/>
        <w:rPr>
          <w:rFonts w:ascii="Times New Roman" w:eastAsia="Times New Roman" w:hAnsi="Times New Roman"/>
          <w:sz w:val="24"/>
          <w:szCs w:val="24"/>
        </w:rPr>
      </w:pPr>
      <w:r w:rsidRPr="00351E0A">
        <w:rPr>
          <w:rFonts w:ascii="Times New Roman" w:eastAsia="Times New Roman" w:hAnsi="Times New Roman"/>
          <w:b/>
          <w:sz w:val="24"/>
          <w:szCs w:val="24"/>
        </w:rPr>
        <w:t>General Municipal Law § 205-a</w:t>
      </w:r>
      <w:r w:rsidRPr="00351E0A">
        <w:rPr>
          <w:rFonts w:ascii="Times New Roman" w:eastAsia="Times New Roman" w:hAnsi="Times New Roman"/>
          <w:sz w:val="24"/>
          <w:szCs w:val="24"/>
        </w:rPr>
        <w:t xml:space="preserve"> </w:t>
      </w:r>
    </w:p>
    <w:p w14:paraId="316B7934" w14:textId="77777777" w:rsidR="00351E0A" w:rsidRPr="00351E0A" w:rsidRDefault="00351E0A" w:rsidP="00351E0A">
      <w:pPr>
        <w:pStyle w:val="ListParagraph"/>
        <w:spacing w:after="0" w:line="240" w:lineRule="auto"/>
        <w:ind w:left="1440"/>
        <w:rPr>
          <w:rFonts w:ascii="Times New Roman" w:eastAsia="Times New Roman" w:hAnsi="Times New Roman" w:cs="Times New Roman"/>
          <w:sz w:val="24"/>
          <w:szCs w:val="24"/>
        </w:rPr>
      </w:pPr>
      <w:r w:rsidRPr="00351E0A">
        <w:rPr>
          <w:rFonts w:ascii="Times New Roman" w:eastAsia="Times New Roman" w:hAnsi="Times New Roman" w:cs="Times New Roman"/>
          <w:sz w:val="24"/>
          <w:szCs w:val="24"/>
        </w:rPr>
        <w:t>This law allows firefighters to sue the city for injuries caused by a violation of a rule, statute, or regulation. The law was enacted in 1935 to provide relief from the Fireman's Rule. </w:t>
      </w:r>
    </w:p>
    <w:p w14:paraId="03157F22" w14:textId="77777777" w:rsidR="00351E0A" w:rsidRPr="00351E0A" w:rsidRDefault="00351E0A" w:rsidP="00351E0A">
      <w:pPr>
        <w:spacing w:after="0" w:line="240" w:lineRule="auto"/>
        <w:rPr>
          <w:rFonts w:ascii="Times New Roman" w:eastAsia="Times New Roman" w:hAnsi="Times New Roman"/>
          <w:sz w:val="24"/>
          <w:szCs w:val="24"/>
        </w:rPr>
      </w:pPr>
      <w:r w:rsidRPr="00351E0A">
        <w:rPr>
          <w:rFonts w:ascii="Times New Roman" w:eastAsia="Times New Roman" w:hAnsi="Times New Roman"/>
          <w:sz w:val="24"/>
          <w:szCs w:val="24"/>
        </w:rPr>
        <w:t xml:space="preserve"> </w:t>
      </w:r>
      <w:r w:rsidRPr="00351E0A">
        <w:rPr>
          <w:rFonts w:ascii="Times New Roman" w:eastAsia="Times New Roman" w:hAnsi="Times New Roman"/>
          <w:sz w:val="24"/>
          <w:szCs w:val="24"/>
        </w:rPr>
        <w:tab/>
      </w:r>
      <w:r w:rsidRPr="00351E0A">
        <w:rPr>
          <w:rFonts w:ascii="Times New Roman" w:eastAsia="Times New Roman" w:hAnsi="Times New Roman"/>
          <w:sz w:val="24"/>
          <w:szCs w:val="24"/>
        </w:rPr>
        <w:tab/>
      </w:r>
      <w:r w:rsidRPr="00351E0A">
        <w:rPr>
          <w:rFonts w:ascii="Times New Roman" w:eastAsia="Times New Roman" w:hAnsi="Times New Roman"/>
          <w:b/>
          <w:sz w:val="24"/>
          <w:szCs w:val="24"/>
        </w:rPr>
        <w:t>General Obligations Law 11-106</w:t>
      </w:r>
      <w:r w:rsidRPr="00351E0A">
        <w:rPr>
          <w:rFonts w:ascii="Times New Roman" w:eastAsia="Times New Roman" w:hAnsi="Times New Roman"/>
          <w:sz w:val="24"/>
          <w:szCs w:val="24"/>
        </w:rPr>
        <w:t xml:space="preserve"> </w:t>
      </w:r>
    </w:p>
    <w:p w14:paraId="6ABAFA84" w14:textId="77777777" w:rsidR="00351E0A" w:rsidRPr="00351E0A" w:rsidRDefault="00351E0A" w:rsidP="00351E0A">
      <w:pPr>
        <w:pStyle w:val="ListParagraph"/>
        <w:spacing w:after="0" w:line="240" w:lineRule="auto"/>
        <w:ind w:left="1440"/>
        <w:rPr>
          <w:rFonts w:ascii="Times New Roman" w:eastAsia="Times New Roman" w:hAnsi="Times New Roman" w:cs="Times New Roman"/>
          <w:sz w:val="24"/>
          <w:szCs w:val="24"/>
        </w:rPr>
      </w:pPr>
      <w:r w:rsidRPr="00351E0A">
        <w:rPr>
          <w:rFonts w:ascii="Times New Roman" w:eastAsia="Times New Roman" w:hAnsi="Times New Roman" w:cs="Times New Roman"/>
          <w:sz w:val="24"/>
          <w:szCs w:val="24"/>
        </w:rPr>
        <w:t>This law was enacted in 1996 to ensure that the Fireman's Rule would no longer apply, except for suits against the firefighter's employer and co-workers. </w:t>
      </w:r>
    </w:p>
    <w:p w14:paraId="22297884" w14:textId="77777777" w:rsidR="00351E0A" w:rsidRPr="00351E0A" w:rsidRDefault="00351E0A" w:rsidP="00351E0A">
      <w:pPr>
        <w:spacing w:after="0" w:line="240" w:lineRule="auto"/>
        <w:ind w:left="720" w:firstLine="720"/>
        <w:rPr>
          <w:rFonts w:ascii="Times New Roman" w:eastAsia="Times New Roman" w:hAnsi="Times New Roman"/>
          <w:sz w:val="24"/>
          <w:szCs w:val="24"/>
        </w:rPr>
      </w:pPr>
      <w:r w:rsidRPr="00351E0A">
        <w:rPr>
          <w:rFonts w:ascii="Times New Roman" w:eastAsia="Times New Roman" w:hAnsi="Times New Roman"/>
          <w:b/>
          <w:sz w:val="24"/>
          <w:szCs w:val="24"/>
        </w:rPr>
        <w:t>General Municipal Law § 205-e</w:t>
      </w:r>
      <w:r w:rsidRPr="00351E0A">
        <w:rPr>
          <w:rFonts w:ascii="Times New Roman" w:eastAsia="Times New Roman" w:hAnsi="Times New Roman"/>
          <w:sz w:val="24"/>
          <w:szCs w:val="24"/>
        </w:rPr>
        <w:t xml:space="preserve"> </w:t>
      </w:r>
    </w:p>
    <w:p w14:paraId="2C013346" w14:textId="77777777" w:rsidR="00351E0A" w:rsidRPr="00351E0A" w:rsidRDefault="00351E0A" w:rsidP="00351E0A">
      <w:pPr>
        <w:pStyle w:val="ListParagraph"/>
        <w:spacing w:after="0" w:line="240" w:lineRule="auto"/>
        <w:ind w:left="1440"/>
        <w:rPr>
          <w:rFonts w:ascii="Times New Roman" w:eastAsia="Times New Roman" w:hAnsi="Times New Roman" w:cs="Times New Roman"/>
          <w:sz w:val="24"/>
          <w:szCs w:val="24"/>
        </w:rPr>
      </w:pPr>
      <w:r w:rsidRPr="00351E0A">
        <w:rPr>
          <w:rFonts w:ascii="Times New Roman" w:eastAsia="Times New Roman" w:hAnsi="Times New Roman" w:cs="Times New Roman"/>
          <w:sz w:val="24"/>
          <w:szCs w:val="24"/>
        </w:rPr>
        <w:t>This law gives police officers similar rights to those afforded to firefighters under General Municipal Law § 205-a</w:t>
      </w:r>
    </w:p>
    <w:p w14:paraId="4518DDAB" w14:textId="77777777" w:rsidR="00351E0A" w:rsidRDefault="00351E0A" w:rsidP="00351E0A">
      <w:pPr>
        <w:rPr>
          <w:bCs/>
          <w:sz w:val="20"/>
          <w:szCs w:val="20"/>
        </w:rPr>
      </w:pPr>
    </w:p>
    <w:p w14:paraId="7C9E0FE2" w14:textId="77777777" w:rsidR="00351E0A" w:rsidRPr="006D1B8F" w:rsidRDefault="00351E0A" w:rsidP="00277909">
      <w:pPr>
        <w:rPr>
          <w:rFonts w:ascii="Arial Black" w:hAnsi="Arial Black"/>
          <w:sz w:val="24"/>
          <w:szCs w:val="24"/>
        </w:rPr>
      </w:pPr>
    </w:p>
    <w:p w14:paraId="38FAC05D" w14:textId="77777777" w:rsidR="00BC0732" w:rsidRPr="00253954" w:rsidRDefault="00BC0732" w:rsidP="005D5A0C">
      <w:pPr>
        <w:rPr>
          <w:rFonts w:ascii="Times New Roman" w:hAnsi="Times New Roman"/>
          <w:sz w:val="24"/>
          <w:szCs w:val="24"/>
        </w:rPr>
      </w:pPr>
    </w:p>
    <w:p w14:paraId="2ACFF06A" w14:textId="62D24DAD" w:rsidR="005D5A0C" w:rsidRDefault="005D5A0C" w:rsidP="005D5A0C">
      <w:pPr>
        <w:rPr>
          <w:rFonts w:ascii="Arial Black" w:hAnsi="Arial Black"/>
          <w:sz w:val="24"/>
          <w:szCs w:val="24"/>
        </w:rPr>
      </w:pPr>
      <w:r>
        <w:rPr>
          <w:rFonts w:ascii="Arial Black" w:hAnsi="Arial Black"/>
          <w:sz w:val="24"/>
          <w:szCs w:val="24"/>
        </w:rPr>
        <w:t>2-7</w:t>
      </w:r>
      <w:r w:rsidR="00891E1D">
        <w:rPr>
          <w:rFonts w:ascii="Arial Black" w:hAnsi="Arial Black"/>
          <w:sz w:val="24"/>
          <w:szCs w:val="24"/>
        </w:rPr>
        <w:t>7</w:t>
      </w:r>
    </w:p>
    <w:p w14:paraId="01DD8DEF" w14:textId="77777777" w:rsidR="00DE4B6F" w:rsidRPr="00097DD5" w:rsidRDefault="00DE4B6F" w:rsidP="00DE4B6F">
      <w:pPr>
        <w:pStyle w:val="NoSpacing"/>
        <w:rPr>
          <w:rFonts w:ascii="Times New Roman" w:hAnsi="Times New Roman"/>
          <w:b/>
          <w:bCs/>
          <w:sz w:val="24"/>
          <w:szCs w:val="24"/>
        </w:rPr>
      </w:pPr>
      <w:r w:rsidRPr="00097DD5">
        <w:rPr>
          <w:rFonts w:ascii="Times New Roman" w:hAnsi="Times New Roman"/>
          <w:b/>
          <w:bCs/>
          <w:sz w:val="24"/>
          <w:szCs w:val="24"/>
        </w:rPr>
        <w:t>AR: TUCSON – UNCONSCIOUS BUS STOP – STRUCK FF IN FACE – SENTENCED MAX AGGRAVATED ASSAULT – 3.75 YRS</w:t>
      </w:r>
    </w:p>
    <w:p w14:paraId="2B9AB74F" w14:textId="77777777" w:rsidR="00DE4B6F" w:rsidRPr="00097DD5" w:rsidRDefault="00DE4B6F" w:rsidP="00DE4B6F">
      <w:pPr>
        <w:pStyle w:val="NoSpacing"/>
        <w:rPr>
          <w:rFonts w:ascii="Times New Roman" w:hAnsi="Times New Roman"/>
          <w:sz w:val="24"/>
          <w:szCs w:val="24"/>
        </w:rPr>
      </w:pPr>
    </w:p>
    <w:p w14:paraId="69770EFE" w14:textId="77777777" w:rsidR="00DE4B6F" w:rsidRPr="00097DD5" w:rsidRDefault="00DE4B6F" w:rsidP="00DE4B6F">
      <w:pPr>
        <w:pStyle w:val="NoSpacing"/>
        <w:rPr>
          <w:rFonts w:ascii="Times New Roman" w:hAnsi="Times New Roman"/>
          <w:sz w:val="24"/>
          <w:szCs w:val="24"/>
        </w:rPr>
      </w:pPr>
      <w:r w:rsidRPr="00097DD5">
        <w:rPr>
          <w:rFonts w:ascii="Times New Roman" w:hAnsi="Times New Roman"/>
          <w:sz w:val="24"/>
          <w:szCs w:val="24"/>
        </w:rPr>
        <w:t xml:space="preserve">On Oct. 30, 2024, in </w:t>
      </w:r>
      <w:r w:rsidRPr="00097DD5">
        <w:rPr>
          <w:rFonts w:ascii="Times New Roman" w:hAnsi="Times New Roman"/>
          <w:sz w:val="24"/>
          <w:szCs w:val="24"/>
          <w:u w:val="single"/>
        </w:rPr>
        <w:t>State of Arizona v. Adam F. Rivas</w:t>
      </w:r>
      <w:r w:rsidRPr="00097DD5">
        <w:rPr>
          <w:rFonts w:ascii="Times New Roman" w:hAnsi="Times New Roman"/>
          <w:sz w:val="24"/>
          <w:szCs w:val="24"/>
        </w:rPr>
        <w:t xml:space="preserve">, the Arizona Court of Appeals, Division Two held (3 to 0; not for publication decision): “Adam Rivas appeals from his conviction and sentence for aggravated assault, arguing the trial court erred when it considered a prohibited aggravating factor at sentencing. </w:t>
      </w:r>
      <w:proofErr w:type="gramStart"/>
      <w:r w:rsidRPr="00097DD5">
        <w:rPr>
          <w:rFonts w:ascii="Times New Roman" w:hAnsi="Times New Roman"/>
          <w:sz w:val="24"/>
          <w:szCs w:val="24"/>
        </w:rPr>
        <w:t>For the reasons that</w:t>
      </w:r>
      <w:proofErr w:type="gramEnd"/>
      <w:r w:rsidRPr="00097DD5">
        <w:rPr>
          <w:rFonts w:ascii="Times New Roman" w:hAnsi="Times New Roman"/>
          <w:sz w:val="24"/>
          <w:szCs w:val="24"/>
        </w:rPr>
        <w:t xml:space="preserve"> follow, we affirm.” </w:t>
      </w:r>
    </w:p>
    <w:p w14:paraId="17870715" w14:textId="77777777" w:rsidR="00DE4B6F" w:rsidRPr="00097DD5" w:rsidRDefault="00DE4B6F" w:rsidP="00DE4B6F">
      <w:pPr>
        <w:pStyle w:val="NoSpacing"/>
        <w:rPr>
          <w:rFonts w:ascii="Times New Roman" w:hAnsi="Times New Roman"/>
          <w:sz w:val="24"/>
          <w:szCs w:val="24"/>
        </w:rPr>
      </w:pPr>
      <w:hyperlink r:id="rId458" w:history="1">
        <w:r w:rsidRPr="00097DD5">
          <w:rPr>
            <w:rStyle w:val="Hyperlink"/>
            <w:rFonts w:ascii="Times New Roman" w:hAnsi="Times New Roman"/>
            <w:sz w:val="24"/>
            <w:szCs w:val="24"/>
          </w:rPr>
          <w:t>https://cases.justia.com/arizona/court-of-appeals-division-two-unpublished/2024-2-ca-cr-2024-0065.pdf?ts=1730333249</w:t>
        </w:r>
      </w:hyperlink>
      <w:r w:rsidRPr="00097DD5">
        <w:rPr>
          <w:rFonts w:ascii="Times New Roman" w:hAnsi="Times New Roman"/>
          <w:sz w:val="24"/>
          <w:szCs w:val="24"/>
        </w:rPr>
        <w:t xml:space="preserve"> </w:t>
      </w:r>
    </w:p>
    <w:p w14:paraId="22FCB9D7" w14:textId="77777777" w:rsidR="00097DD5" w:rsidRPr="00097DD5" w:rsidRDefault="00097DD5" w:rsidP="00097DD5">
      <w:pPr>
        <w:pStyle w:val="NoSpacing"/>
        <w:rPr>
          <w:rFonts w:ascii="Times New Roman" w:hAnsi="Times New Roman"/>
          <w:b/>
          <w:sz w:val="24"/>
          <w:szCs w:val="24"/>
        </w:rPr>
      </w:pPr>
    </w:p>
    <w:p w14:paraId="5643AABF" w14:textId="576D9BBE" w:rsidR="00097DD5" w:rsidRDefault="00097DD5" w:rsidP="00097DD5">
      <w:pPr>
        <w:pStyle w:val="NoSpacing"/>
        <w:rPr>
          <w:rFonts w:ascii="Times New Roman" w:hAnsi="Times New Roman"/>
          <w:b/>
          <w:sz w:val="24"/>
          <w:szCs w:val="24"/>
        </w:rPr>
      </w:pPr>
      <w:r w:rsidRPr="00097DD5">
        <w:rPr>
          <w:rFonts w:ascii="Times New Roman" w:hAnsi="Times New Roman"/>
          <w:b/>
          <w:sz w:val="24"/>
          <w:szCs w:val="24"/>
        </w:rPr>
        <w:t>Legal Lesson Learned: Trial court when imposing a sentence will consider aggravating facts, such as assaulting a firefighter.</w:t>
      </w:r>
    </w:p>
    <w:p w14:paraId="26EF2BF3" w14:textId="77777777" w:rsidR="00F97332" w:rsidRDefault="00F97332" w:rsidP="00097DD5">
      <w:pPr>
        <w:pStyle w:val="NoSpacing"/>
        <w:rPr>
          <w:rFonts w:ascii="Times New Roman" w:hAnsi="Times New Roman"/>
          <w:b/>
          <w:sz w:val="24"/>
          <w:szCs w:val="24"/>
        </w:rPr>
      </w:pPr>
    </w:p>
    <w:p w14:paraId="012FFA45" w14:textId="77777777" w:rsidR="00F97332" w:rsidRDefault="00F97332" w:rsidP="00097DD5">
      <w:pPr>
        <w:pStyle w:val="NoSpacing"/>
        <w:rPr>
          <w:rFonts w:ascii="Times New Roman" w:hAnsi="Times New Roman"/>
          <w:b/>
          <w:sz w:val="24"/>
          <w:szCs w:val="24"/>
        </w:rPr>
      </w:pPr>
    </w:p>
    <w:p w14:paraId="47309A73" w14:textId="3464B1E6" w:rsidR="005D5A0C" w:rsidRDefault="005D5A0C" w:rsidP="005D5A0C">
      <w:pPr>
        <w:rPr>
          <w:rFonts w:ascii="Arial Black" w:hAnsi="Arial Black"/>
          <w:sz w:val="24"/>
          <w:szCs w:val="24"/>
        </w:rPr>
      </w:pPr>
      <w:r>
        <w:rPr>
          <w:rFonts w:ascii="Arial Black" w:hAnsi="Arial Black"/>
          <w:sz w:val="24"/>
          <w:szCs w:val="24"/>
        </w:rPr>
        <w:t>2-7</w:t>
      </w:r>
      <w:r w:rsidR="00891E1D">
        <w:rPr>
          <w:rFonts w:ascii="Arial Black" w:hAnsi="Arial Black"/>
          <w:sz w:val="24"/>
          <w:szCs w:val="24"/>
        </w:rPr>
        <w:t>6</w:t>
      </w:r>
    </w:p>
    <w:p w14:paraId="3EC94BB4" w14:textId="77777777" w:rsidR="00F97332" w:rsidRDefault="00F97332" w:rsidP="00097DD5">
      <w:pPr>
        <w:pStyle w:val="NoSpacing"/>
        <w:rPr>
          <w:rFonts w:ascii="Times New Roman" w:hAnsi="Times New Roman"/>
          <w:b/>
          <w:sz w:val="24"/>
          <w:szCs w:val="24"/>
        </w:rPr>
      </w:pPr>
    </w:p>
    <w:p w14:paraId="5193593C" w14:textId="77777777" w:rsidR="005D5A0C" w:rsidRPr="0007510D" w:rsidRDefault="005D5A0C" w:rsidP="005D5A0C">
      <w:pPr>
        <w:rPr>
          <w:rFonts w:ascii="Times New Roman" w:hAnsi="Times New Roman"/>
          <w:b/>
          <w:sz w:val="24"/>
          <w:szCs w:val="24"/>
        </w:rPr>
      </w:pPr>
      <w:r w:rsidRPr="0007510D">
        <w:rPr>
          <w:rFonts w:ascii="Times New Roman" w:hAnsi="Times New Roman"/>
          <w:b/>
          <w:sz w:val="24"/>
          <w:szCs w:val="24"/>
        </w:rPr>
        <w:t xml:space="preserve">OH: COLUMBUS FD - FIRE POLE – RIDE-ALONG BREAKS LEG – IMMUNITY “NEG. TRAINING” BUT CASE PROCEED SAFETY </w:t>
      </w:r>
    </w:p>
    <w:p w14:paraId="1CD32692" w14:textId="77777777" w:rsidR="005D5A0C" w:rsidRPr="0007510D" w:rsidRDefault="005D5A0C" w:rsidP="005D5A0C">
      <w:pPr>
        <w:pStyle w:val="NoSpacing"/>
        <w:rPr>
          <w:rFonts w:ascii="Times New Roman" w:hAnsi="Times New Roman"/>
          <w:sz w:val="24"/>
          <w:szCs w:val="24"/>
        </w:rPr>
      </w:pPr>
      <w:r w:rsidRPr="0007510D">
        <w:rPr>
          <w:rFonts w:ascii="Times New Roman" w:hAnsi="Times New Roman"/>
          <w:sz w:val="24"/>
          <w:szCs w:val="24"/>
        </w:rPr>
        <w:t xml:space="preserve">On Oct. 29, 2024, in </w:t>
      </w:r>
      <w:r w:rsidRPr="0007510D">
        <w:rPr>
          <w:rFonts w:ascii="Times New Roman" w:hAnsi="Times New Roman"/>
          <w:sz w:val="24"/>
          <w:szCs w:val="24"/>
          <w:u w:val="single"/>
        </w:rPr>
        <w:t>Keri Howard, et al. v. City of Columbus</w:t>
      </w:r>
      <w:r w:rsidRPr="0007510D">
        <w:rPr>
          <w:rFonts w:ascii="Times New Roman" w:hAnsi="Times New Roman"/>
          <w:sz w:val="24"/>
          <w:szCs w:val="24"/>
        </w:rPr>
        <w:t xml:space="preserve">, the Court of Appeals of Ohio, Tenth Appellate District, held (3 to 0): “Defendant-appellant, City of Columbus (“City”), appeals from a January 23, 2024 decision and entry from the Franklin County Court of Common Pleas granting in part and denying in part its motion for judgment on the pleadings. </w:t>
      </w:r>
      <w:proofErr w:type="gramStart"/>
      <w:r w:rsidRPr="0007510D">
        <w:rPr>
          <w:rFonts w:ascii="Times New Roman" w:hAnsi="Times New Roman"/>
          <w:sz w:val="24"/>
          <w:szCs w:val="24"/>
        </w:rPr>
        <w:t>For the reasons that</w:t>
      </w:r>
      <w:proofErr w:type="gramEnd"/>
      <w:r w:rsidRPr="0007510D">
        <w:rPr>
          <w:rFonts w:ascii="Times New Roman" w:hAnsi="Times New Roman"/>
          <w:sz w:val="24"/>
          <w:szCs w:val="24"/>
        </w:rPr>
        <w:t xml:space="preserve"> follow, we reverse. *** In the City’s sole assignment of error, it argues that the trial court </w:t>
      </w:r>
      <w:proofErr w:type="gramStart"/>
      <w:r w:rsidRPr="0007510D">
        <w:rPr>
          <w:rFonts w:ascii="Times New Roman" w:hAnsi="Times New Roman"/>
          <w:sz w:val="24"/>
          <w:szCs w:val="24"/>
        </w:rPr>
        <w:t>erred by</w:t>
      </w:r>
      <w:proofErr w:type="gramEnd"/>
      <w:r w:rsidRPr="0007510D">
        <w:rPr>
          <w:rFonts w:ascii="Times New Roman" w:hAnsi="Times New Roman"/>
          <w:sz w:val="24"/>
          <w:szCs w:val="24"/>
        </w:rPr>
        <w:t xml:space="preserve"> denying its claim for immunity as to the appellees’ negligent training and supervision</w:t>
      </w:r>
    </w:p>
    <w:p w14:paraId="6B7B655C" w14:textId="77777777" w:rsidR="005D5A0C" w:rsidRPr="0007510D" w:rsidRDefault="005D5A0C" w:rsidP="005D5A0C">
      <w:pPr>
        <w:pStyle w:val="NoSpacing"/>
        <w:rPr>
          <w:rFonts w:ascii="Times New Roman" w:hAnsi="Times New Roman"/>
          <w:sz w:val="24"/>
          <w:szCs w:val="24"/>
        </w:rPr>
      </w:pPr>
      <w:r w:rsidRPr="0007510D">
        <w:rPr>
          <w:rFonts w:ascii="Times New Roman" w:hAnsi="Times New Roman"/>
          <w:sz w:val="24"/>
          <w:szCs w:val="24"/>
        </w:rPr>
        <w:lastRenderedPageBreak/>
        <w:t xml:space="preserve">theory of premises liability. *** The City’s sole assignment of error is sustained, and this matter is </w:t>
      </w:r>
      <w:proofErr w:type="gramStart"/>
      <w:r w:rsidRPr="0007510D">
        <w:rPr>
          <w:rFonts w:ascii="Times New Roman" w:hAnsi="Times New Roman"/>
          <w:sz w:val="24"/>
          <w:szCs w:val="24"/>
        </w:rPr>
        <w:t>remanded</w:t>
      </w:r>
      <w:proofErr w:type="gramEnd"/>
      <w:r w:rsidRPr="0007510D">
        <w:rPr>
          <w:rFonts w:ascii="Times New Roman" w:hAnsi="Times New Roman"/>
          <w:sz w:val="24"/>
          <w:szCs w:val="24"/>
        </w:rPr>
        <w:t xml:space="preserve"> for further proceedings as to the remaining causes of action [including (2) Defendants failed to warn [Mrs. Howard] not to go down the fire pole. 3) Defendants were negligent due to the absence of any warning or safety equipment appended to the fire pole or near it. 4) Defendant failed to train [Mrs. Howard] how to go down the fire pole].</w:t>
      </w:r>
    </w:p>
    <w:p w14:paraId="77EC6EB5" w14:textId="77777777" w:rsidR="005D5A0C" w:rsidRPr="0007510D" w:rsidRDefault="005D5A0C" w:rsidP="005D5A0C">
      <w:pPr>
        <w:pStyle w:val="NoSpacing"/>
        <w:rPr>
          <w:rFonts w:ascii="Times New Roman" w:hAnsi="Times New Roman"/>
          <w:sz w:val="24"/>
          <w:szCs w:val="24"/>
        </w:rPr>
      </w:pPr>
      <w:hyperlink r:id="rId459" w:history="1">
        <w:r w:rsidRPr="0007510D">
          <w:rPr>
            <w:rStyle w:val="Hyperlink"/>
            <w:rFonts w:ascii="Times New Roman" w:hAnsi="Times New Roman"/>
            <w:sz w:val="24"/>
            <w:szCs w:val="24"/>
          </w:rPr>
          <w:t>https://www.supremecourt.ohio.gov/rod/docs/pdf/10/2024/2024-Ohio-5181.pdf</w:t>
        </w:r>
      </w:hyperlink>
      <w:r w:rsidRPr="0007510D">
        <w:rPr>
          <w:rFonts w:ascii="Times New Roman" w:hAnsi="Times New Roman"/>
          <w:sz w:val="24"/>
          <w:szCs w:val="24"/>
        </w:rPr>
        <w:t xml:space="preserve"> </w:t>
      </w:r>
    </w:p>
    <w:p w14:paraId="4460125C" w14:textId="77777777" w:rsidR="005D5A0C" w:rsidRPr="0007510D" w:rsidRDefault="005D5A0C" w:rsidP="005D5A0C">
      <w:pPr>
        <w:pStyle w:val="NoSpacing"/>
        <w:rPr>
          <w:rFonts w:ascii="Times New Roman" w:hAnsi="Times New Roman"/>
          <w:b/>
          <w:sz w:val="24"/>
          <w:szCs w:val="24"/>
        </w:rPr>
      </w:pPr>
    </w:p>
    <w:p w14:paraId="34AD2FF6" w14:textId="77777777" w:rsidR="005D5A0C" w:rsidRPr="0007510D" w:rsidRDefault="005D5A0C" w:rsidP="005D5A0C">
      <w:pPr>
        <w:pStyle w:val="NoSpacing"/>
        <w:rPr>
          <w:rFonts w:ascii="Times New Roman" w:hAnsi="Times New Roman"/>
          <w:b/>
          <w:bCs/>
          <w:sz w:val="24"/>
          <w:szCs w:val="24"/>
        </w:rPr>
      </w:pPr>
      <w:r w:rsidRPr="0007510D">
        <w:rPr>
          <w:rFonts w:ascii="Times New Roman" w:hAnsi="Times New Roman"/>
          <w:b/>
          <w:sz w:val="24"/>
          <w:szCs w:val="24"/>
        </w:rPr>
        <w:t xml:space="preserve">egal Lesson Learned – Make sure “ride-along” </w:t>
      </w:r>
      <w:r w:rsidRPr="0007510D">
        <w:rPr>
          <w:rFonts w:ascii="Times New Roman" w:hAnsi="Times New Roman"/>
          <w:b/>
          <w:bCs/>
          <w:sz w:val="24"/>
          <w:szCs w:val="24"/>
        </w:rPr>
        <w:t xml:space="preserve">demonstrates </w:t>
      </w:r>
      <w:r w:rsidRPr="0007510D">
        <w:rPr>
          <w:rFonts w:ascii="Times New Roman" w:hAnsi="Times New Roman"/>
          <w:b/>
          <w:sz w:val="24"/>
          <w:szCs w:val="24"/>
        </w:rPr>
        <w:t xml:space="preserve">how to </w:t>
      </w:r>
      <w:r w:rsidRPr="0007510D">
        <w:rPr>
          <w:rFonts w:ascii="Times New Roman" w:hAnsi="Times New Roman"/>
          <w:b/>
          <w:bCs/>
          <w:sz w:val="24"/>
          <w:szCs w:val="24"/>
        </w:rPr>
        <w:t xml:space="preserve">safely </w:t>
      </w:r>
      <w:r w:rsidRPr="0007510D">
        <w:rPr>
          <w:rFonts w:ascii="Times New Roman" w:hAnsi="Times New Roman"/>
          <w:b/>
          <w:sz w:val="24"/>
          <w:szCs w:val="24"/>
        </w:rPr>
        <w:t>go down the fire pole or require</w:t>
      </w:r>
      <w:r w:rsidRPr="0007510D">
        <w:rPr>
          <w:rFonts w:ascii="Times New Roman" w:hAnsi="Times New Roman"/>
          <w:b/>
          <w:bCs/>
          <w:sz w:val="24"/>
          <w:szCs w:val="24"/>
        </w:rPr>
        <w:t xml:space="preserve"> </w:t>
      </w:r>
      <w:r w:rsidRPr="0007510D">
        <w:rPr>
          <w:rFonts w:ascii="Times New Roman" w:hAnsi="Times New Roman"/>
          <w:b/>
          <w:sz w:val="24"/>
          <w:szCs w:val="24"/>
        </w:rPr>
        <w:t xml:space="preserve">use </w:t>
      </w:r>
      <w:r w:rsidRPr="0007510D">
        <w:rPr>
          <w:rFonts w:ascii="Times New Roman" w:hAnsi="Times New Roman"/>
          <w:b/>
          <w:bCs/>
          <w:sz w:val="24"/>
          <w:szCs w:val="24"/>
        </w:rPr>
        <w:t>of the</w:t>
      </w:r>
      <w:r w:rsidRPr="0007510D">
        <w:rPr>
          <w:rFonts w:ascii="Times New Roman" w:hAnsi="Times New Roman"/>
          <w:b/>
          <w:sz w:val="24"/>
          <w:szCs w:val="24"/>
        </w:rPr>
        <w:t xml:space="preserve"> stairs.  </w:t>
      </w:r>
    </w:p>
    <w:p w14:paraId="7315B05A" w14:textId="77777777" w:rsidR="005D5A0C" w:rsidRDefault="005D5A0C" w:rsidP="005D5A0C">
      <w:pPr>
        <w:pStyle w:val="NoSpacing"/>
        <w:rPr>
          <w:rFonts w:asciiTheme="majorHAnsi" w:hAnsiTheme="majorHAnsi"/>
          <w:b/>
          <w:bCs/>
          <w:sz w:val="28"/>
        </w:rPr>
      </w:pPr>
    </w:p>
    <w:p w14:paraId="3ED008A4" w14:textId="77777777" w:rsidR="00F97332" w:rsidRPr="00097DD5" w:rsidRDefault="00F97332" w:rsidP="00097DD5">
      <w:pPr>
        <w:pStyle w:val="NoSpacing"/>
        <w:rPr>
          <w:rFonts w:ascii="Times New Roman" w:hAnsi="Times New Roman"/>
          <w:b/>
          <w:sz w:val="24"/>
          <w:szCs w:val="24"/>
        </w:rPr>
      </w:pPr>
    </w:p>
    <w:p w14:paraId="7CFA4D6E" w14:textId="77777777" w:rsidR="00097DD5" w:rsidRPr="00097DD5" w:rsidRDefault="00097DD5" w:rsidP="00097DD5">
      <w:pPr>
        <w:pStyle w:val="NoSpacing"/>
        <w:rPr>
          <w:rFonts w:ascii="Times New Roman" w:hAnsi="Times New Roman"/>
          <w:sz w:val="24"/>
          <w:szCs w:val="24"/>
        </w:rPr>
      </w:pPr>
    </w:p>
    <w:p w14:paraId="422EDACD" w14:textId="77777777" w:rsidR="00727472" w:rsidRPr="00097DD5" w:rsidRDefault="00727472" w:rsidP="00286F24">
      <w:pPr>
        <w:rPr>
          <w:rFonts w:ascii="Times New Roman" w:hAnsi="Times New Roman"/>
          <w:sz w:val="24"/>
          <w:szCs w:val="24"/>
        </w:rPr>
      </w:pPr>
    </w:p>
    <w:p w14:paraId="23AA95E0" w14:textId="1EFB9C98" w:rsidR="00727472" w:rsidRDefault="00727472" w:rsidP="00286F24">
      <w:pPr>
        <w:rPr>
          <w:rFonts w:ascii="Arial Black" w:hAnsi="Arial Black"/>
          <w:sz w:val="24"/>
          <w:szCs w:val="24"/>
        </w:rPr>
      </w:pPr>
      <w:r>
        <w:rPr>
          <w:rFonts w:ascii="Arial Black" w:hAnsi="Arial Black"/>
          <w:sz w:val="24"/>
          <w:szCs w:val="24"/>
        </w:rPr>
        <w:t>2-7</w:t>
      </w:r>
      <w:r w:rsidR="00891E1D">
        <w:rPr>
          <w:rFonts w:ascii="Arial Black" w:hAnsi="Arial Black"/>
          <w:sz w:val="24"/>
          <w:szCs w:val="24"/>
        </w:rPr>
        <w:t>5</w:t>
      </w:r>
    </w:p>
    <w:p w14:paraId="00F6BBC9" w14:textId="77777777" w:rsidR="008545A2" w:rsidRPr="000617DD" w:rsidRDefault="008545A2" w:rsidP="008545A2">
      <w:pPr>
        <w:pStyle w:val="NoSpacing"/>
        <w:rPr>
          <w:rFonts w:ascii="Times New Roman" w:hAnsi="Times New Roman"/>
          <w:b/>
          <w:bCs/>
          <w:sz w:val="24"/>
          <w:szCs w:val="24"/>
        </w:rPr>
      </w:pPr>
      <w:r w:rsidRPr="000617DD">
        <w:rPr>
          <w:rFonts w:ascii="Times New Roman" w:hAnsi="Times New Roman"/>
          <w:b/>
          <w:bCs/>
          <w:sz w:val="24"/>
          <w:szCs w:val="24"/>
        </w:rPr>
        <w:t>KY: “FIREMAN’S RULE” EXCEPTION - TROPPER I-71 INJURED BY 2 TRUCKERS SPEEDING – SUE COMPANIES DAMAGES</w:t>
      </w:r>
    </w:p>
    <w:p w14:paraId="6B144FC2" w14:textId="77777777" w:rsidR="00434296" w:rsidRPr="000617DD" w:rsidRDefault="00434296" w:rsidP="00434296">
      <w:pPr>
        <w:pStyle w:val="NoSpacing"/>
        <w:rPr>
          <w:b/>
          <w:bCs/>
          <w:sz w:val="24"/>
          <w:szCs w:val="24"/>
        </w:rPr>
      </w:pPr>
    </w:p>
    <w:p w14:paraId="0544A9A9" w14:textId="77777777" w:rsidR="00434296" w:rsidRPr="000617DD" w:rsidRDefault="00434296" w:rsidP="00434296">
      <w:pPr>
        <w:pStyle w:val="NoSpacing"/>
        <w:rPr>
          <w:rFonts w:ascii="Times New Roman" w:hAnsi="Times New Roman"/>
          <w:sz w:val="24"/>
          <w:szCs w:val="24"/>
        </w:rPr>
      </w:pPr>
      <w:r w:rsidRPr="000617DD">
        <w:rPr>
          <w:rFonts w:ascii="Times New Roman" w:hAnsi="Times New Roman"/>
          <w:sz w:val="24"/>
          <w:szCs w:val="24"/>
        </w:rPr>
        <w:t xml:space="preserve">On Oct. 24, 2024, in </w:t>
      </w:r>
      <w:r w:rsidRPr="000617DD">
        <w:rPr>
          <w:rFonts w:ascii="Times New Roman" w:hAnsi="Times New Roman"/>
          <w:sz w:val="24"/>
          <w:szCs w:val="24"/>
          <w:u w:val="single"/>
        </w:rPr>
        <w:t>Wooster Motor Ways, Inc.; James Baumhower; EC Delivery. LLC; Kentucky Farm Bureau Mutual Insurance ;and Teddy Seer v. Michael Gonterman; Jenna Gonterman; and Kentucky Self-Insured Auto Program Risk &amp; Insurance Services Division</w:t>
      </w:r>
      <w:r w:rsidRPr="000617DD">
        <w:rPr>
          <w:rFonts w:ascii="Times New Roman" w:hAnsi="Times New Roman"/>
          <w:sz w:val="24"/>
          <w:szCs w:val="24"/>
        </w:rPr>
        <w:t>, the Supreme Court of Kentucky held (7 to 0):  “The Firefighter’s Rule (‘the Rule’) is a ‘common law rule of long standing,’ judicially created as a ‘public policy’ exception to the liability for</w:t>
      </w:r>
    </w:p>
    <w:p w14:paraId="362D6654" w14:textId="77777777" w:rsidR="00434296" w:rsidRPr="000617DD" w:rsidRDefault="00434296" w:rsidP="00434296">
      <w:pPr>
        <w:pStyle w:val="NoSpacing"/>
        <w:rPr>
          <w:rFonts w:ascii="Times New Roman" w:hAnsi="Times New Roman"/>
          <w:sz w:val="24"/>
          <w:szCs w:val="24"/>
        </w:rPr>
      </w:pPr>
      <w:r w:rsidRPr="000617DD">
        <w:rPr>
          <w:rFonts w:ascii="Times New Roman" w:hAnsi="Times New Roman"/>
          <w:sz w:val="24"/>
          <w:szCs w:val="24"/>
        </w:rPr>
        <w:t>negligence which might otherwise exist.’ *** As applied here, a police officer is injured by the independent negligence of another while performing his duty as a public employee, the Rule will not act to bar suit against the negligent party.”</w:t>
      </w:r>
    </w:p>
    <w:p w14:paraId="35B05D25" w14:textId="06BB6542" w:rsidR="00434296" w:rsidRPr="000617DD" w:rsidRDefault="00434296" w:rsidP="00434296">
      <w:pPr>
        <w:rPr>
          <w:rFonts w:ascii="Times New Roman" w:hAnsi="Times New Roman"/>
          <w:sz w:val="24"/>
          <w:szCs w:val="24"/>
        </w:rPr>
      </w:pPr>
      <w:hyperlink r:id="rId460" w:history="1">
        <w:r w:rsidRPr="000617DD">
          <w:rPr>
            <w:rStyle w:val="Hyperlink"/>
            <w:rFonts w:ascii="Times New Roman" w:hAnsi="Times New Roman"/>
            <w:sz w:val="24"/>
            <w:szCs w:val="24"/>
          </w:rPr>
          <w:t>https://cases.justia.com/kentucky/supreme-court/2024-2023-sc-0062-dg.pdf?ts=1729778750</w:t>
        </w:r>
      </w:hyperlink>
    </w:p>
    <w:p w14:paraId="2B1EBEBB" w14:textId="77777777" w:rsidR="000617DD" w:rsidRPr="000617DD" w:rsidRDefault="000617DD" w:rsidP="000617DD">
      <w:pPr>
        <w:rPr>
          <w:rFonts w:ascii="Times New Roman" w:hAnsi="Times New Roman"/>
          <w:b/>
          <w:bCs/>
          <w:sz w:val="24"/>
          <w:szCs w:val="24"/>
        </w:rPr>
      </w:pPr>
      <w:r w:rsidRPr="000617DD">
        <w:rPr>
          <w:rFonts w:ascii="Times New Roman" w:hAnsi="Times New Roman"/>
          <w:b/>
          <w:sz w:val="24"/>
          <w:szCs w:val="24"/>
        </w:rPr>
        <w:t>Legal Lesson Learned: Excellent decision finding an exception to the Fireman’s Rule</w:t>
      </w:r>
      <w:r w:rsidRPr="000617DD">
        <w:rPr>
          <w:rFonts w:ascii="Times New Roman" w:hAnsi="Times New Roman"/>
          <w:b/>
          <w:bCs/>
          <w:sz w:val="24"/>
          <w:szCs w:val="24"/>
        </w:rPr>
        <w:t xml:space="preserve">; some states have abolished the Fireman’s Rule completely. </w:t>
      </w:r>
    </w:p>
    <w:p w14:paraId="5FA19E77" w14:textId="77777777" w:rsidR="0025049B" w:rsidRDefault="0025049B" w:rsidP="00286F24">
      <w:pPr>
        <w:rPr>
          <w:rFonts w:ascii="Arial Black" w:hAnsi="Arial Black"/>
          <w:sz w:val="24"/>
          <w:szCs w:val="24"/>
        </w:rPr>
      </w:pPr>
    </w:p>
    <w:p w14:paraId="35784B6E" w14:textId="77ED1449" w:rsidR="003C080C" w:rsidRDefault="003C080C" w:rsidP="00286F24">
      <w:pPr>
        <w:rPr>
          <w:rFonts w:ascii="Arial Black" w:hAnsi="Arial Black"/>
          <w:sz w:val="24"/>
          <w:szCs w:val="24"/>
        </w:rPr>
      </w:pPr>
      <w:r>
        <w:rPr>
          <w:rFonts w:ascii="Arial Black" w:hAnsi="Arial Black"/>
          <w:sz w:val="24"/>
          <w:szCs w:val="24"/>
        </w:rPr>
        <w:t>2-7</w:t>
      </w:r>
      <w:r w:rsidR="00891E1D">
        <w:rPr>
          <w:rFonts w:ascii="Arial Black" w:hAnsi="Arial Black"/>
          <w:sz w:val="24"/>
          <w:szCs w:val="24"/>
        </w:rPr>
        <w:t>4</w:t>
      </w:r>
    </w:p>
    <w:p w14:paraId="769C9414" w14:textId="77777777" w:rsidR="003C080C" w:rsidRPr="00A71365" w:rsidRDefault="003C080C" w:rsidP="003C080C">
      <w:pPr>
        <w:pStyle w:val="NoSpacing"/>
        <w:rPr>
          <w:rFonts w:ascii="Arial Black" w:hAnsi="Arial Black"/>
          <w:sz w:val="28"/>
        </w:rPr>
      </w:pPr>
      <w:r w:rsidRPr="00A71365">
        <w:rPr>
          <w:rFonts w:ascii="Arial Black" w:hAnsi="Arial Black"/>
          <w:sz w:val="28"/>
        </w:rPr>
        <w:t>CA: FED</w:t>
      </w:r>
      <w:r>
        <w:rPr>
          <w:rFonts w:ascii="Arial Black" w:hAnsi="Arial Black"/>
          <w:sz w:val="28"/>
        </w:rPr>
        <w:t xml:space="preserve">ERAL GOV’T SUES </w:t>
      </w:r>
      <w:r w:rsidRPr="00A71365">
        <w:rPr>
          <w:rFonts w:ascii="Arial Black" w:hAnsi="Arial Black"/>
          <w:sz w:val="28"/>
        </w:rPr>
        <w:t>MANUF</w:t>
      </w:r>
      <w:r>
        <w:rPr>
          <w:rFonts w:ascii="Arial Black" w:hAnsi="Arial Black"/>
          <w:sz w:val="28"/>
        </w:rPr>
        <w:t xml:space="preserve">. OF </w:t>
      </w:r>
      <w:r w:rsidRPr="00A71365">
        <w:rPr>
          <w:rFonts w:ascii="Arial Black" w:hAnsi="Arial Black"/>
          <w:sz w:val="28"/>
        </w:rPr>
        <w:t>SMOKE BOMBS</w:t>
      </w:r>
      <w:r>
        <w:rPr>
          <w:rFonts w:ascii="Arial Black" w:hAnsi="Arial Black"/>
          <w:sz w:val="28"/>
        </w:rPr>
        <w:t xml:space="preserve"> – EXCESSIVE SPARKS</w:t>
      </w:r>
      <w:r w:rsidRPr="00A71365">
        <w:rPr>
          <w:rFonts w:ascii="Arial Black" w:hAnsi="Arial Black"/>
          <w:sz w:val="28"/>
        </w:rPr>
        <w:t xml:space="preserve"> –</w:t>
      </w:r>
      <w:r>
        <w:rPr>
          <w:rFonts w:ascii="Arial Black" w:hAnsi="Arial Black"/>
          <w:sz w:val="28"/>
        </w:rPr>
        <w:t xml:space="preserve"> </w:t>
      </w:r>
      <w:r w:rsidRPr="00A71365">
        <w:rPr>
          <w:rFonts w:ascii="Arial Black" w:hAnsi="Arial Black"/>
          <w:sz w:val="28"/>
        </w:rPr>
        <w:t>FOREST FIRE</w:t>
      </w:r>
      <w:r>
        <w:rPr>
          <w:rFonts w:ascii="Arial Black" w:hAnsi="Arial Black"/>
          <w:sz w:val="28"/>
        </w:rPr>
        <w:t xml:space="preserve"> / L</w:t>
      </w:r>
      <w:r w:rsidRPr="00A71365">
        <w:rPr>
          <w:rFonts w:ascii="Arial Black" w:hAnsi="Arial Black"/>
          <w:sz w:val="28"/>
        </w:rPr>
        <w:t>ODD</w:t>
      </w:r>
      <w:r>
        <w:rPr>
          <w:rFonts w:ascii="Arial Black" w:hAnsi="Arial Black"/>
          <w:sz w:val="28"/>
        </w:rPr>
        <w:t xml:space="preserve"> / </w:t>
      </w:r>
      <w:r w:rsidRPr="00A71365">
        <w:rPr>
          <w:rFonts w:ascii="Arial Black" w:hAnsi="Arial Black"/>
          <w:sz w:val="28"/>
        </w:rPr>
        <w:t xml:space="preserve">$41M </w:t>
      </w:r>
    </w:p>
    <w:p w14:paraId="6FE9C962" w14:textId="77777777" w:rsidR="003C080C" w:rsidRPr="00CE14C4" w:rsidRDefault="003C080C" w:rsidP="003C080C">
      <w:pPr>
        <w:pStyle w:val="NoSpacing"/>
        <w:rPr>
          <w:rFonts w:ascii="Times New Roman" w:hAnsi="Times New Roman"/>
          <w:sz w:val="24"/>
          <w:szCs w:val="24"/>
        </w:rPr>
      </w:pPr>
    </w:p>
    <w:p w14:paraId="76DFBA32" w14:textId="77777777" w:rsidR="003C080C" w:rsidRPr="00CE14C4" w:rsidRDefault="003C080C" w:rsidP="003C080C">
      <w:pPr>
        <w:pStyle w:val="NoSpacing"/>
        <w:rPr>
          <w:rFonts w:ascii="Times New Roman" w:hAnsi="Times New Roman"/>
          <w:sz w:val="24"/>
          <w:szCs w:val="24"/>
        </w:rPr>
      </w:pPr>
      <w:r w:rsidRPr="00CE14C4">
        <w:rPr>
          <w:rFonts w:ascii="Times New Roman" w:hAnsi="Times New Roman"/>
          <w:sz w:val="24"/>
          <w:szCs w:val="24"/>
        </w:rPr>
        <w:t xml:space="preserve">On September 27, 2024, in </w:t>
      </w:r>
      <w:r w:rsidRPr="00CE14C4">
        <w:rPr>
          <w:rFonts w:ascii="Times New Roman" w:hAnsi="Times New Roman"/>
          <w:sz w:val="24"/>
          <w:szCs w:val="24"/>
          <w:u w:val="single"/>
        </w:rPr>
        <w:t>United States of America v. Wholesale Fireworks Corporation, et al</w:t>
      </w:r>
      <w:r w:rsidRPr="00CE14C4">
        <w:rPr>
          <w:rFonts w:ascii="Times New Roman" w:hAnsi="Times New Roman"/>
          <w:sz w:val="24"/>
          <w:szCs w:val="24"/>
        </w:rPr>
        <w:t xml:space="preserve">.,  United States District Court Judge Maame Ewusi-Mensah Frimpong,  U.S. District Court for Central District of California, denied Wholesale Firework Corporation’s (Hubard, Ohio) motion to dismiss; lawsuit to proceed against that corporation, as well as their distributor (American Fireworks Warehouse) and family that set off the two smoke bombs.  On Sept. 5, 2020, defendants Refugio and Angelina Jimenz set off two smoke bombs at a “gender reveal” party near the National Forest in San Bernadino; the fire destroyed 22,744 acres, damaged or destroyed 24 buildings, resulted in line-of-duty death of Charles Morton, and cost $41 million in fire suppression cost.  The Court wrote:  “[t] the United States alleges Wholesale Fireworks’ failure to properly design and manufacture the gender reveal smoke bombs resulted in the emission of excessive sparks, flames, and molten materials…. The FAC [First Amended Complaint] also alleges that Wholesale Fireworks failed to adequately provide labeling to warn of dangers or instruct on the safe use of the gender reveal smoke bombs….  </w:t>
      </w:r>
      <w:r w:rsidRPr="00CE14C4">
        <w:rPr>
          <w:rFonts w:ascii="Times New Roman" w:hAnsi="Times New Roman"/>
          <w:sz w:val="24"/>
          <w:szCs w:val="24"/>
        </w:rPr>
        <w:lastRenderedPageBreak/>
        <w:t xml:space="preserve">Additionally, the gender reveal smoke bombs failed to bear the California State Fire Marshall Registration Seal, rendering them illegal in California….  Accordingly, the Court finds that the United States has plausibly alleged that Wholesale Fireworks breached the duty of care imposed by California and federal law.” </w:t>
      </w:r>
      <w:hyperlink r:id="rId461" w:history="1">
        <w:r w:rsidRPr="00CE14C4">
          <w:rPr>
            <w:rStyle w:val="Hyperlink"/>
            <w:rFonts w:ascii="Times New Roman" w:hAnsi="Times New Roman"/>
            <w:sz w:val="24"/>
            <w:szCs w:val="24"/>
          </w:rPr>
          <w:t>https://www.courthousenews.com/wp-content/uploads/2024/09/wholesale-fireworks-ruling.pdf</w:t>
        </w:r>
      </w:hyperlink>
      <w:r w:rsidRPr="00CE14C4">
        <w:rPr>
          <w:rFonts w:ascii="Times New Roman" w:hAnsi="Times New Roman"/>
          <w:sz w:val="24"/>
          <w:szCs w:val="24"/>
        </w:rPr>
        <w:t xml:space="preserve"> </w:t>
      </w:r>
    </w:p>
    <w:p w14:paraId="7FF70B45" w14:textId="77777777" w:rsidR="003C080C" w:rsidRPr="00CE14C4" w:rsidRDefault="003C080C" w:rsidP="003C080C">
      <w:pPr>
        <w:pStyle w:val="NoSpacing"/>
        <w:rPr>
          <w:rFonts w:ascii="Times New Roman" w:hAnsi="Times New Roman"/>
          <w:sz w:val="24"/>
          <w:szCs w:val="24"/>
        </w:rPr>
      </w:pPr>
    </w:p>
    <w:p w14:paraId="437840B1" w14:textId="77777777" w:rsidR="003C080C" w:rsidRPr="00CE14C4" w:rsidRDefault="003C080C" w:rsidP="003C080C">
      <w:pPr>
        <w:pStyle w:val="NoSpacing"/>
        <w:rPr>
          <w:rFonts w:ascii="Times New Roman" w:hAnsi="Times New Roman"/>
          <w:sz w:val="24"/>
          <w:szCs w:val="24"/>
        </w:rPr>
      </w:pPr>
      <w:r w:rsidRPr="00CE14C4">
        <w:rPr>
          <w:rFonts w:ascii="Times New Roman" w:hAnsi="Times New Roman"/>
          <w:sz w:val="24"/>
          <w:szCs w:val="24"/>
        </w:rPr>
        <w:t>THE COURT HELD:</w:t>
      </w:r>
    </w:p>
    <w:p w14:paraId="77568C0E" w14:textId="77777777" w:rsidR="003C080C" w:rsidRPr="00CE14C4" w:rsidRDefault="003C080C" w:rsidP="003C080C">
      <w:pPr>
        <w:pStyle w:val="NoSpacing"/>
        <w:rPr>
          <w:rFonts w:ascii="Times New Roman" w:hAnsi="Times New Roman"/>
          <w:sz w:val="24"/>
          <w:szCs w:val="24"/>
        </w:rPr>
      </w:pPr>
    </w:p>
    <w:p w14:paraId="4E47F969" w14:textId="77777777" w:rsidR="003C080C" w:rsidRDefault="003C080C" w:rsidP="003C080C">
      <w:pPr>
        <w:pStyle w:val="NoSpacing"/>
        <w:ind w:left="720"/>
        <w:rPr>
          <w:rFonts w:ascii="Times New Roman" w:hAnsi="Times New Roman"/>
          <w:sz w:val="24"/>
          <w:szCs w:val="24"/>
        </w:rPr>
      </w:pPr>
      <w:r w:rsidRPr="00CE14C4">
        <w:rPr>
          <w:rFonts w:ascii="Times New Roman" w:hAnsi="Times New Roman"/>
          <w:sz w:val="24"/>
          <w:szCs w:val="24"/>
        </w:rPr>
        <w:t xml:space="preserve">“T]he Court finds that it is plausible that Wholesale Fireworks allowed the fire to occur. If an entity knows or has reason to know of the risks that may result from the defective labeling or design of its product, yet fails to adequately provide such labeling, it follows that the entity consequently allowed for that danger to ensue. Wholesale Fireworks knew or had reason to know of the risks of fire that may result from the defective labeling or design of the gender </w:t>
      </w:r>
      <w:proofErr w:type="gramStart"/>
      <w:r w:rsidRPr="00CE14C4">
        <w:rPr>
          <w:rFonts w:ascii="Times New Roman" w:hAnsi="Times New Roman"/>
          <w:sz w:val="24"/>
          <w:szCs w:val="24"/>
        </w:rPr>
        <w:t>reveal</w:t>
      </w:r>
      <w:proofErr w:type="gramEnd"/>
      <w:r w:rsidRPr="00CE14C4">
        <w:rPr>
          <w:rFonts w:ascii="Times New Roman" w:hAnsi="Times New Roman"/>
          <w:sz w:val="24"/>
          <w:szCs w:val="24"/>
        </w:rPr>
        <w:t xml:space="preserve"> smoke bombs given </w:t>
      </w:r>
      <w:proofErr w:type="gramStart"/>
      <w:r w:rsidRPr="00CE14C4">
        <w:rPr>
          <w:rFonts w:ascii="Times New Roman" w:hAnsi="Times New Roman"/>
          <w:sz w:val="24"/>
          <w:szCs w:val="24"/>
        </w:rPr>
        <w:t>its</w:t>
      </w:r>
      <w:proofErr w:type="gramEnd"/>
      <w:r w:rsidRPr="00CE14C4">
        <w:rPr>
          <w:rFonts w:ascii="Times New Roman" w:hAnsi="Times New Roman"/>
          <w:sz w:val="24"/>
          <w:szCs w:val="24"/>
        </w:rPr>
        <w:t xml:space="preserve"> training in the industry. Wholesale Fireworks failed to adequately provide warnings </w:t>
      </w:r>
      <w:proofErr w:type="gramStart"/>
      <w:r w:rsidRPr="00CE14C4">
        <w:rPr>
          <w:rFonts w:ascii="Times New Roman" w:hAnsi="Times New Roman"/>
          <w:sz w:val="24"/>
          <w:szCs w:val="24"/>
        </w:rPr>
        <w:t>of</w:t>
      </w:r>
      <w:proofErr w:type="gramEnd"/>
      <w:r w:rsidRPr="00CE14C4">
        <w:rPr>
          <w:rFonts w:ascii="Times New Roman" w:hAnsi="Times New Roman"/>
          <w:sz w:val="24"/>
          <w:szCs w:val="24"/>
        </w:rPr>
        <w:t xml:space="preserve"> the risk of fire that may </w:t>
      </w:r>
      <w:proofErr w:type="gramStart"/>
      <w:r w:rsidRPr="00CE14C4">
        <w:rPr>
          <w:rFonts w:ascii="Times New Roman" w:hAnsi="Times New Roman"/>
          <w:sz w:val="24"/>
          <w:szCs w:val="24"/>
        </w:rPr>
        <w:t>ensue</w:t>
      </w:r>
      <w:proofErr w:type="gramEnd"/>
      <w:r w:rsidRPr="00CE14C4">
        <w:rPr>
          <w:rFonts w:ascii="Times New Roman" w:hAnsi="Times New Roman"/>
          <w:sz w:val="24"/>
          <w:szCs w:val="24"/>
        </w:rPr>
        <w:t xml:space="preserve"> from the misuse of its product, despite knowing or having reason to know of the risks of such danger. Further, this failure was in violation of the law. Therefore, Wholesale Fireworks, in essence, allowed the fire to occur.”</w:t>
      </w:r>
    </w:p>
    <w:p w14:paraId="3A380298" w14:textId="77777777" w:rsidR="003C080C" w:rsidRPr="00BE0BB3" w:rsidRDefault="003C080C" w:rsidP="003C080C">
      <w:pPr>
        <w:pStyle w:val="NoSpacing"/>
        <w:rPr>
          <w:rFonts w:ascii="Times New Roman" w:hAnsi="Times New Roman"/>
          <w:b/>
          <w:bCs/>
          <w:sz w:val="24"/>
          <w:szCs w:val="24"/>
        </w:rPr>
      </w:pPr>
      <w:r w:rsidRPr="00BE0BB3">
        <w:rPr>
          <w:rFonts w:ascii="Times New Roman" w:hAnsi="Times New Roman"/>
          <w:b/>
          <w:bCs/>
          <w:sz w:val="24"/>
          <w:szCs w:val="24"/>
        </w:rPr>
        <w:t>Legal Lesson Learned: The manufacturer of smoke bombs has a duty to warn users about the risks of excessive sparks, flames, and molten materials.</w:t>
      </w:r>
    </w:p>
    <w:p w14:paraId="60F5FA5A" w14:textId="77777777" w:rsidR="006D679A" w:rsidRDefault="006D679A" w:rsidP="003C080C">
      <w:pPr>
        <w:ind w:left="720"/>
        <w:rPr>
          <w:rFonts w:ascii="Times New Roman" w:hAnsi="Times New Roman"/>
          <w:sz w:val="24"/>
          <w:szCs w:val="24"/>
        </w:rPr>
      </w:pPr>
    </w:p>
    <w:p w14:paraId="11C845B5" w14:textId="5AD2B852" w:rsidR="003C080C" w:rsidRPr="00BE0BB3" w:rsidRDefault="003C080C" w:rsidP="003C080C">
      <w:pPr>
        <w:ind w:left="720"/>
        <w:rPr>
          <w:rFonts w:ascii="Times New Roman" w:hAnsi="Times New Roman"/>
          <w:sz w:val="24"/>
          <w:szCs w:val="24"/>
        </w:rPr>
      </w:pPr>
      <w:r w:rsidRPr="00BE0BB3">
        <w:rPr>
          <w:rFonts w:ascii="Times New Roman" w:hAnsi="Times New Roman"/>
          <w:sz w:val="24"/>
          <w:szCs w:val="24"/>
        </w:rPr>
        <w:t xml:space="preserve">Note: National Fallen Firefighter Foundation: “Charles Morton, squad boss on the Big Bear Interagency Hotshot Crew, died during interagency fire suppression activities on the El Dorado Fire in the San Bernardino National Forest in California on September 17, 2020. He had been a firefighter for 18 years, 14 of those with the U.S. Forest Service.” </w:t>
      </w:r>
      <w:hyperlink r:id="rId462" w:history="1">
        <w:r w:rsidRPr="00BE0BB3">
          <w:rPr>
            <w:rStyle w:val="Hyperlink"/>
            <w:rFonts w:ascii="Times New Roman" w:hAnsi="Times New Roman"/>
            <w:sz w:val="24"/>
            <w:szCs w:val="24"/>
          </w:rPr>
          <w:t>https://www.firehero.org/fallen-firefighter/charles-e-morton/</w:t>
        </w:r>
      </w:hyperlink>
      <w:r w:rsidRPr="00BE0BB3">
        <w:rPr>
          <w:rFonts w:ascii="Times New Roman" w:hAnsi="Times New Roman"/>
          <w:sz w:val="24"/>
          <w:szCs w:val="24"/>
        </w:rPr>
        <w:t xml:space="preserve"> </w:t>
      </w:r>
    </w:p>
    <w:p w14:paraId="4B26E4FB" w14:textId="77777777" w:rsidR="003C080C" w:rsidRPr="00CE14C4" w:rsidRDefault="003C080C" w:rsidP="003C080C">
      <w:pPr>
        <w:pStyle w:val="NoSpacing"/>
        <w:ind w:left="720"/>
        <w:rPr>
          <w:rFonts w:ascii="Times New Roman" w:hAnsi="Times New Roman"/>
          <w:sz w:val="24"/>
          <w:szCs w:val="24"/>
        </w:rPr>
      </w:pPr>
    </w:p>
    <w:p w14:paraId="2E2B3BD0" w14:textId="77777777" w:rsidR="003C080C" w:rsidRDefault="003C080C" w:rsidP="003C080C">
      <w:pPr>
        <w:pStyle w:val="NoSpacing"/>
        <w:ind w:left="720"/>
      </w:pPr>
    </w:p>
    <w:p w14:paraId="519FB2D6" w14:textId="144D49D1" w:rsidR="003C080C" w:rsidRDefault="00B34767" w:rsidP="00286F24">
      <w:pPr>
        <w:rPr>
          <w:rFonts w:ascii="Arial Black" w:hAnsi="Arial Black"/>
          <w:sz w:val="24"/>
          <w:szCs w:val="24"/>
        </w:rPr>
      </w:pPr>
      <w:r>
        <w:rPr>
          <w:rFonts w:ascii="Arial Black" w:hAnsi="Arial Black"/>
          <w:sz w:val="24"/>
          <w:szCs w:val="24"/>
        </w:rPr>
        <w:t>2-7</w:t>
      </w:r>
      <w:r w:rsidR="00891E1D">
        <w:rPr>
          <w:rFonts w:ascii="Arial Black" w:hAnsi="Arial Black"/>
          <w:sz w:val="24"/>
          <w:szCs w:val="24"/>
        </w:rPr>
        <w:t>3</w:t>
      </w:r>
    </w:p>
    <w:p w14:paraId="30DB49B2" w14:textId="77777777" w:rsidR="00B34767" w:rsidRDefault="00B34767" w:rsidP="00B34767">
      <w:pPr>
        <w:pStyle w:val="NoSpacing"/>
        <w:rPr>
          <w:rFonts w:ascii="Arial Black" w:hAnsi="Arial Black"/>
          <w:sz w:val="28"/>
        </w:rPr>
      </w:pPr>
      <w:r>
        <w:rPr>
          <w:rFonts w:ascii="Arial Black" w:hAnsi="Arial Black"/>
          <w:sz w:val="28"/>
        </w:rPr>
        <w:t>TX: PATIENT FIRES 2 SHOTS / THEN PULLS KNIFE ON EMS DURING TRANSPORT – SENTENCED LIFE IMPRISONMENT</w:t>
      </w:r>
    </w:p>
    <w:p w14:paraId="67A7050F" w14:textId="77777777" w:rsidR="00B34767" w:rsidRDefault="00B34767" w:rsidP="00B34767">
      <w:pPr>
        <w:pStyle w:val="NoSpacing"/>
        <w:rPr>
          <w:szCs w:val="24"/>
        </w:rPr>
      </w:pPr>
    </w:p>
    <w:p w14:paraId="0D79F0A9" w14:textId="77777777" w:rsidR="00B34767" w:rsidRPr="00B34767" w:rsidRDefault="00B34767" w:rsidP="00B34767">
      <w:pPr>
        <w:pStyle w:val="NoSpacing"/>
        <w:rPr>
          <w:rFonts w:ascii="Times New Roman" w:hAnsi="Times New Roman"/>
          <w:sz w:val="24"/>
          <w:szCs w:val="24"/>
        </w:rPr>
      </w:pPr>
      <w:r w:rsidRPr="00B34767">
        <w:rPr>
          <w:rFonts w:ascii="Times New Roman" w:hAnsi="Times New Roman"/>
          <w:sz w:val="24"/>
          <w:szCs w:val="24"/>
        </w:rPr>
        <w:t xml:space="preserve">On September 19, 2024, in </w:t>
      </w:r>
      <w:r w:rsidRPr="00B34767">
        <w:rPr>
          <w:rFonts w:ascii="Times New Roman" w:hAnsi="Times New Roman"/>
          <w:sz w:val="24"/>
          <w:szCs w:val="24"/>
          <w:u w:val="single"/>
        </w:rPr>
        <w:t>Michael McMillian v. The State of Texas</w:t>
      </w:r>
      <w:r w:rsidRPr="00B34767">
        <w:rPr>
          <w:rFonts w:ascii="Times New Roman" w:hAnsi="Times New Roman"/>
          <w:sz w:val="24"/>
          <w:szCs w:val="24"/>
        </w:rPr>
        <w:t>, the Court of Appeals of Texas, Eleventh District, held (3 to 0; unpublished decision) that jury properly convicted defendant of two separate offenses against same victim – aggravated assault with gun, and aggravated assault with knife against EMT Tahnee Marks.  The Court wrote: “The jury found Appellant guilty of all six counts and the trial court assessed punishment at confinement in the Institutional Division of the Texas Department of Criminal Justice for terms ranging from forty years to life—all to run concurrently. *** Here, Appellant was charged with,</w:t>
      </w:r>
    </w:p>
    <w:p w14:paraId="1A123F91" w14:textId="77777777" w:rsidR="00B34767" w:rsidRPr="00B34767" w:rsidRDefault="00B34767" w:rsidP="00B34767">
      <w:pPr>
        <w:pStyle w:val="NoSpacing"/>
        <w:rPr>
          <w:rFonts w:ascii="Times New Roman" w:hAnsi="Times New Roman"/>
          <w:sz w:val="24"/>
          <w:szCs w:val="24"/>
        </w:rPr>
      </w:pPr>
      <w:r w:rsidRPr="00B34767">
        <w:rPr>
          <w:rFonts w:ascii="Times New Roman" w:hAnsi="Times New Roman"/>
          <w:sz w:val="24"/>
          <w:szCs w:val="24"/>
        </w:rPr>
        <w:t xml:space="preserve">convicted </w:t>
      </w:r>
      <w:proofErr w:type="gramStart"/>
      <w:r w:rsidRPr="00B34767">
        <w:rPr>
          <w:rFonts w:ascii="Times New Roman" w:hAnsi="Times New Roman"/>
          <w:sz w:val="24"/>
          <w:szCs w:val="24"/>
        </w:rPr>
        <w:t>of, and</w:t>
      </w:r>
      <w:proofErr w:type="gramEnd"/>
      <w:r w:rsidRPr="00B34767">
        <w:rPr>
          <w:rFonts w:ascii="Times New Roman" w:hAnsi="Times New Roman"/>
          <w:sz w:val="24"/>
          <w:szCs w:val="24"/>
        </w:rPr>
        <w:t xml:space="preserve"> punished for two separate violations of a single statutory offense.</w:t>
      </w:r>
    </w:p>
    <w:p w14:paraId="491D4BAE" w14:textId="77777777" w:rsidR="00B34767" w:rsidRPr="00B34767" w:rsidRDefault="00B34767" w:rsidP="00B34767">
      <w:pPr>
        <w:pStyle w:val="NoSpacing"/>
        <w:rPr>
          <w:rFonts w:ascii="Times New Roman" w:hAnsi="Times New Roman"/>
          <w:sz w:val="24"/>
          <w:szCs w:val="24"/>
        </w:rPr>
      </w:pPr>
      <w:r w:rsidRPr="00B34767">
        <w:rPr>
          <w:rFonts w:ascii="Times New Roman" w:hAnsi="Times New Roman"/>
          <w:sz w:val="24"/>
          <w:szCs w:val="24"/>
        </w:rPr>
        <w:t xml:space="preserve">Therefore, the double jeopardy protections are not implicated here.” </w:t>
      </w:r>
      <w:hyperlink r:id="rId463" w:history="1">
        <w:r w:rsidRPr="00B34767">
          <w:rPr>
            <w:rStyle w:val="Hyperlink"/>
            <w:rFonts w:ascii="Times New Roman" w:hAnsi="Times New Roman"/>
            <w:sz w:val="24"/>
            <w:szCs w:val="24"/>
          </w:rPr>
          <w:t>https://cases.justia.com/texas/eleventh-court-of-appeals/2024-11-22-00155-cr.pdf?ts=1726749633</w:t>
        </w:r>
      </w:hyperlink>
      <w:r w:rsidRPr="00B34767">
        <w:rPr>
          <w:rFonts w:ascii="Times New Roman" w:hAnsi="Times New Roman"/>
          <w:sz w:val="24"/>
          <w:szCs w:val="24"/>
        </w:rPr>
        <w:t xml:space="preserve"> </w:t>
      </w:r>
    </w:p>
    <w:p w14:paraId="03ED4049" w14:textId="77777777" w:rsidR="00B34767" w:rsidRPr="00B34767" w:rsidRDefault="00B34767" w:rsidP="00B34767">
      <w:pPr>
        <w:pStyle w:val="NoSpacing"/>
        <w:rPr>
          <w:rFonts w:ascii="Times New Roman" w:hAnsi="Times New Roman"/>
          <w:sz w:val="24"/>
          <w:szCs w:val="24"/>
        </w:rPr>
      </w:pPr>
    </w:p>
    <w:p w14:paraId="3FC7DD7A" w14:textId="77777777" w:rsidR="00B34767" w:rsidRPr="00B34767" w:rsidRDefault="00B34767" w:rsidP="00B34767">
      <w:pPr>
        <w:pStyle w:val="NoSpacing"/>
        <w:rPr>
          <w:rFonts w:ascii="Times New Roman" w:hAnsi="Times New Roman"/>
          <w:sz w:val="24"/>
          <w:szCs w:val="24"/>
        </w:rPr>
      </w:pPr>
      <w:r w:rsidRPr="00B34767">
        <w:rPr>
          <w:rFonts w:ascii="Times New Roman" w:hAnsi="Times New Roman"/>
          <w:sz w:val="24"/>
          <w:szCs w:val="24"/>
        </w:rPr>
        <w:t>THE COURT HELD:</w:t>
      </w:r>
    </w:p>
    <w:p w14:paraId="71886A8F" w14:textId="77777777" w:rsidR="00B34767" w:rsidRPr="00B34767" w:rsidRDefault="00B34767" w:rsidP="00B34767">
      <w:pPr>
        <w:pStyle w:val="NoSpacing"/>
        <w:rPr>
          <w:rFonts w:ascii="Times New Roman" w:hAnsi="Times New Roman"/>
          <w:sz w:val="24"/>
          <w:szCs w:val="24"/>
        </w:rPr>
      </w:pPr>
    </w:p>
    <w:p w14:paraId="196CD69B" w14:textId="77777777" w:rsidR="00B34767" w:rsidRPr="00B34767" w:rsidRDefault="00B34767" w:rsidP="00B34767">
      <w:pPr>
        <w:pStyle w:val="NoSpacing"/>
        <w:ind w:firstLine="720"/>
        <w:rPr>
          <w:rFonts w:ascii="Times New Roman" w:hAnsi="Times New Roman"/>
          <w:sz w:val="24"/>
          <w:szCs w:val="24"/>
        </w:rPr>
      </w:pPr>
      <w:r w:rsidRPr="00B34767">
        <w:rPr>
          <w:rFonts w:ascii="Times New Roman" w:hAnsi="Times New Roman"/>
          <w:sz w:val="24"/>
          <w:szCs w:val="24"/>
        </w:rPr>
        <w:t>“The testimony shows there was a separation—though short—between the first</w:t>
      </w:r>
    </w:p>
    <w:p w14:paraId="7F71A616" w14:textId="77777777" w:rsidR="00B34767" w:rsidRPr="00B34767" w:rsidRDefault="00B34767" w:rsidP="00B34767">
      <w:pPr>
        <w:pStyle w:val="NoSpacing"/>
        <w:ind w:firstLine="720"/>
        <w:rPr>
          <w:rFonts w:ascii="Times New Roman" w:hAnsi="Times New Roman"/>
          <w:sz w:val="24"/>
          <w:szCs w:val="24"/>
        </w:rPr>
      </w:pPr>
      <w:r w:rsidRPr="00B34767">
        <w:rPr>
          <w:rFonts w:ascii="Times New Roman" w:hAnsi="Times New Roman"/>
          <w:sz w:val="24"/>
          <w:szCs w:val="24"/>
        </w:rPr>
        <w:t>time Appellant threatened Meeks with a gun, and the second time Appellant</w:t>
      </w:r>
    </w:p>
    <w:p w14:paraId="45FD9985" w14:textId="77777777" w:rsidR="00B34767" w:rsidRPr="00B34767" w:rsidRDefault="00B34767" w:rsidP="00B34767">
      <w:pPr>
        <w:pStyle w:val="NoSpacing"/>
        <w:ind w:firstLine="720"/>
        <w:rPr>
          <w:rFonts w:ascii="Times New Roman" w:hAnsi="Times New Roman"/>
          <w:sz w:val="24"/>
          <w:szCs w:val="24"/>
        </w:rPr>
      </w:pPr>
      <w:r w:rsidRPr="00B34767">
        <w:rPr>
          <w:rFonts w:ascii="Times New Roman" w:hAnsi="Times New Roman"/>
          <w:sz w:val="24"/>
          <w:szCs w:val="24"/>
        </w:rPr>
        <w:t>threatened Meeks with a knife. Meeks described the time in which she was not in</w:t>
      </w:r>
    </w:p>
    <w:p w14:paraId="2CF76327" w14:textId="77777777" w:rsidR="00B34767" w:rsidRPr="00B34767" w:rsidRDefault="00B34767" w:rsidP="00B34767">
      <w:pPr>
        <w:pStyle w:val="NoSpacing"/>
        <w:ind w:firstLine="720"/>
        <w:rPr>
          <w:rFonts w:ascii="Times New Roman" w:hAnsi="Times New Roman"/>
          <w:sz w:val="24"/>
          <w:szCs w:val="24"/>
        </w:rPr>
      </w:pPr>
      <w:r w:rsidRPr="00B34767">
        <w:rPr>
          <w:rFonts w:ascii="Times New Roman" w:hAnsi="Times New Roman"/>
          <w:sz w:val="24"/>
          <w:szCs w:val="24"/>
        </w:rPr>
        <w:t>the ambulance and was not in a direct struggle with Appellant. Meeks additionally</w:t>
      </w:r>
    </w:p>
    <w:p w14:paraId="29A38EDC" w14:textId="77777777" w:rsidR="00B34767" w:rsidRPr="00B34767" w:rsidRDefault="00B34767" w:rsidP="00B34767">
      <w:pPr>
        <w:pStyle w:val="NoSpacing"/>
        <w:ind w:firstLine="720"/>
        <w:rPr>
          <w:rFonts w:ascii="Times New Roman" w:hAnsi="Times New Roman"/>
          <w:sz w:val="24"/>
          <w:szCs w:val="24"/>
        </w:rPr>
      </w:pPr>
      <w:r w:rsidRPr="00B34767">
        <w:rPr>
          <w:rFonts w:ascii="Times New Roman" w:hAnsi="Times New Roman"/>
          <w:sz w:val="24"/>
          <w:szCs w:val="24"/>
        </w:rPr>
        <w:t>was able to radio for help two times, once at the end of the first threat, and again</w:t>
      </w:r>
    </w:p>
    <w:p w14:paraId="02AC508A" w14:textId="77777777" w:rsidR="00B34767" w:rsidRPr="00B34767" w:rsidRDefault="00B34767" w:rsidP="00B34767">
      <w:pPr>
        <w:pStyle w:val="NoSpacing"/>
        <w:ind w:firstLine="720"/>
        <w:rPr>
          <w:rFonts w:ascii="Times New Roman" w:hAnsi="Times New Roman"/>
          <w:sz w:val="24"/>
          <w:szCs w:val="24"/>
        </w:rPr>
      </w:pPr>
      <w:r w:rsidRPr="00B34767">
        <w:rPr>
          <w:rFonts w:ascii="Times New Roman" w:hAnsi="Times New Roman"/>
          <w:sz w:val="24"/>
          <w:szCs w:val="24"/>
        </w:rPr>
        <w:t>right before the second threat. Double jeopardy defines the “same offense” as</w:t>
      </w:r>
    </w:p>
    <w:p w14:paraId="279A5D9B" w14:textId="77777777" w:rsidR="00B34767" w:rsidRPr="00B34767" w:rsidRDefault="00B34767" w:rsidP="00B34767">
      <w:pPr>
        <w:pStyle w:val="NoSpacing"/>
        <w:ind w:firstLine="720"/>
        <w:rPr>
          <w:rFonts w:ascii="Times New Roman" w:hAnsi="Times New Roman"/>
          <w:sz w:val="24"/>
          <w:szCs w:val="24"/>
        </w:rPr>
      </w:pPr>
      <w:r w:rsidRPr="00B34767">
        <w:rPr>
          <w:rFonts w:ascii="Times New Roman" w:hAnsi="Times New Roman"/>
          <w:sz w:val="24"/>
          <w:szCs w:val="24"/>
        </w:rPr>
        <w:t xml:space="preserve">identical criminal acts—not merely the same offense by name. See Ex </w:t>
      </w:r>
      <w:proofErr w:type="spellStart"/>
      <w:r w:rsidRPr="00B34767">
        <w:rPr>
          <w:rFonts w:ascii="Times New Roman" w:hAnsi="Times New Roman"/>
          <w:sz w:val="24"/>
          <w:szCs w:val="24"/>
        </w:rPr>
        <w:t>parte</w:t>
      </w:r>
      <w:proofErr w:type="spellEnd"/>
    </w:p>
    <w:p w14:paraId="6805C1E0" w14:textId="77777777" w:rsidR="00B34767" w:rsidRPr="00B34767" w:rsidRDefault="00B34767" w:rsidP="00B34767">
      <w:pPr>
        <w:pStyle w:val="NoSpacing"/>
        <w:ind w:firstLine="720"/>
        <w:rPr>
          <w:rFonts w:ascii="Times New Roman" w:hAnsi="Times New Roman"/>
          <w:sz w:val="24"/>
          <w:szCs w:val="24"/>
        </w:rPr>
      </w:pPr>
      <w:r w:rsidRPr="00B34767">
        <w:rPr>
          <w:rFonts w:ascii="Times New Roman" w:hAnsi="Times New Roman"/>
          <w:sz w:val="24"/>
          <w:szCs w:val="24"/>
        </w:rPr>
        <w:lastRenderedPageBreak/>
        <w:t>Goodbread, 967 S.W.2d 859, 860 (Tex. Crim. App. 1998) (citing Luna v. State, 439</w:t>
      </w:r>
    </w:p>
    <w:p w14:paraId="3FEB928E" w14:textId="77777777" w:rsidR="00B34767" w:rsidRPr="00B34767" w:rsidRDefault="00B34767" w:rsidP="00B34767">
      <w:pPr>
        <w:pStyle w:val="NoSpacing"/>
        <w:ind w:firstLine="720"/>
        <w:rPr>
          <w:rFonts w:ascii="Times New Roman" w:hAnsi="Times New Roman"/>
          <w:sz w:val="24"/>
          <w:szCs w:val="24"/>
        </w:rPr>
      </w:pPr>
      <w:r w:rsidRPr="00B34767">
        <w:rPr>
          <w:rFonts w:ascii="Times New Roman" w:hAnsi="Times New Roman"/>
          <w:sz w:val="24"/>
          <w:szCs w:val="24"/>
        </w:rPr>
        <w:t>S.W.2d 854, 855 (Tex. Crim. App. 1973)).”</w:t>
      </w:r>
    </w:p>
    <w:p w14:paraId="4B6225CE" w14:textId="77777777" w:rsidR="00B34767" w:rsidRPr="00B34767" w:rsidRDefault="00B34767" w:rsidP="00B34767">
      <w:pPr>
        <w:pStyle w:val="NoSpacing"/>
        <w:ind w:firstLine="720"/>
        <w:rPr>
          <w:rFonts w:ascii="Times New Roman" w:hAnsi="Times New Roman"/>
          <w:sz w:val="24"/>
          <w:szCs w:val="24"/>
        </w:rPr>
      </w:pPr>
    </w:p>
    <w:p w14:paraId="5419B923" w14:textId="77777777" w:rsidR="00B34767" w:rsidRPr="00B34767" w:rsidRDefault="00B34767" w:rsidP="00B34767">
      <w:pPr>
        <w:pStyle w:val="NoSpacing"/>
        <w:ind w:left="720"/>
        <w:rPr>
          <w:rFonts w:ascii="Times New Roman" w:hAnsi="Times New Roman"/>
          <w:sz w:val="24"/>
          <w:szCs w:val="24"/>
        </w:rPr>
      </w:pPr>
    </w:p>
    <w:p w14:paraId="79E0593E" w14:textId="29179A1D" w:rsidR="00B34767" w:rsidRPr="00B34767" w:rsidRDefault="00B34767" w:rsidP="00B34767">
      <w:pPr>
        <w:pStyle w:val="NoSpacing"/>
        <w:rPr>
          <w:rFonts w:ascii="Times New Roman" w:hAnsi="Times New Roman"/>
          <w:b/>
          <w:bCs/>
          <w:sz w:val="24"/>
          <w:szCs w:val="24"/>
        </w:rPr>
      </w:pPr>
      <w:r w:rsidRPr="00B34767">
        <w:rPr>
          <w:rFonts w:ascii="Times New Roman" w:hAnsi="Times New Roman"/>
          <w:b/>
          <w:bCs/>
          <w:sz w:val="24"/>
          <w:szCs w:val="24"/>
        </w:rPr>
        <w:t xml:space="preserve">Legal Lesson Learned: No double jeopardy for two offenses against </w:t>
      </w:r>
      <w:r w:rsidR="00B276FE">
        <w:rPr>
          <w:rFonts w:ascii="Times New Roman" w:hAnsi="Times New Roman"/>
          <w:b/>
          <w:bCs/>
          <w:sz w:val="24"/>
          <w:szCs w:val="24"/>
        </w:rPr>
        <w:t xml:space="preserve">the </w:t>
      </w:r>
      <w:r w:rsidRPr="00B34767">
        <w:rPr>
          <w:rFonts w:ascii="Times New Roman" w:hAnsi="Times New Roman"/>
          <w:b/>
          <w:bCs/>
          <w:sz w:val="24"/>
          <w:szCs w:val="24"/>
        </w:rPr>
        <w:t>same victim.  EMS should check patient clothing for weapons prior to transport.</w:t>
      </w:r>
    </w:p>
    <w:p w14:paraId="2ECC9516" w14:textId="77777777" w:rsidR="00B34767" w:rsidRDefault="00B34767" w:rsidP="00B34767">
      <w:pPr>
        <w:pStyle w:val="NoSpacing"/>
      </w:pPr>
    </w:p>
    <w:p w14:paraId="798046AE" w14:textId="77777777" w:rsidR="00B34767" w:rsidRDefault="00B34767" w:rsidP="00B34767">
      <w:pPr>
        <w:pStyle w:val="NoSpacing"/>
      </w:pPr>
    </w:p>
    <w:p w14:paraId="6B36D020" w14:textId="77777777" w:rsidR="00B34767" w:rsidRDefault="00B34767" w:rsidP="00286F24">
      <w:pPr>
        <w:rPr>
          <w:rFonts w:ascii="Arial Black" w:hAnsi="Arial Black"/>
          <w:sz w:val="24"/>
          <w:szCs w:val="24"/>
        </w:rPr>
      </w:pPr>
    </w:p>
    <w:p w14:paraId="0F548D5F" w14:textId="77777777" w:rsidR="003C080C" w:rsidRDefault="003C080C" w:rsidP="00286F24">
      <w:pPr>
        <w:rPr>
          <w:rFonts w:ascii="Arial Black" w:hAnsi="Arial Black"/>
          <w:sz w:val="24"/>
          <w:szCs w:val="24"/>
        </w:rPr>
      </w:pPr>
    </w:p>
    <w:p w14:paraId="7AEAC9BB" w14:textId="2E2CB599" w:rsidR="005C3A2A" w:rsidRDefault="00E03026" w:rsidP="00286F24">
      <w:pPr>
        <w:rPr>
          <w:rFonts w:ascii="Arial Black" w:hAnsi="Arial Black"/>
          <w:sz w:val="24"/>
          <w:szCs w:val="24"/>
        </w:rPr>
      </w:pPr>
      <w:r>
        <w:rPr>
          <w:rFonts w:ascii="Arial Black" w:hAnsi="Arial Black"/>
          <w:sz w:val="24"/>
          <w:szCs w:val="24"/>
        </w:rPr>
        <w:t>2-7</w:t>
      </w:r>
      <w:r w:rsidR="00891E1D">
        <w:rPr>
          <w:rFonts w:ascii="Arial Black" w:hAnsi="Arial Black"/>
          <w:sz w:val="24"/>
          <w:szCs w:val="24"/>
        </w:rPr>
        <w:t>2</w:t>
      </w:r>
    </w:p>
    <w:p w14:paraId="630C1EA6" w14:textId="1A838424" w:rsidR="00671D64" w:rsidRDefault="00671D64" w:rsidP="00671D64">
      <w:pPr>
        <w:rPr>
          <w:rFonts w:ascii="Arial Black" w:hAnsi="Arial Black"/>
          <w:b/>
          <w:bCs/>
          <w:sz w:val="28"/>
        </w:rPr>
      </w:pPr>
      <w:r>
        <w:rPr>
          <w:rFonts w:ascii="Arial Black" w:hAnsi="Arial Black"/>
          <w:b/>
          <w:bCs/>
          <w:sz w:val="28"/>
        </w:rPr>
        <w:t xml:space="preserve">MI: FF KILLED RESTAURANT FIRE – SEARCH WARRANT OWNER’S PROPERTIES, NOT CHARGED – </w:t>
      </w:r>
      <w:r w:rsidR="00D50A15">
        <w:rPr>
          <w:rFonts w:ascii="Arial Black" w:hAnsi="Arial Black"/>
          <w:b/>
          <w:bCs/>
          <w:sz w:val="28"/>
        </w:rPr>
        <w:t>INVESTIGATOR</w:t>
      </w:r>
      <w:r>
        <w:rPr>
          <w:rFonts w:ascii="Arial Black" w:hAnsi="Arial Black"/>
          <w:b/>
          <w:bCs/>
          <w:sz w:val="28"/>
        </w:rPr>
        <w:t xml:space="preserve"> IMMUNITY</w:t>
      </w:r>
    </w:p>
    <w:p w14:paraId="6300B98B" w14:textId="77777777" w:rsidR="00671D64" w:rsidRPr="00671D64" w:rsidRDefault="00671D64" w:rsidP="00671D64">
      <w:pPr>
        <w:rPr>
          <w:rFonts w:ascii="Times New Roman" w:hAnsi="Times New Roman"/>
          <w:sz w:val="24"/>
          <w:szCs w:val="24"/>
        </w:rPr>
      </w:pPr>
      <w:r w:rsidRPr="00671D64">
        <w:rPr>
          <w:rFonts w:ascii="Times New Roman" w:hAnsi="Times New Roman"/>
          <w:sz w:val="24"/>
          <w:szCs w:val="24"/>
        </w:rPr>
        <w:t xml:space="preserve">On Aug. 23, 2024, in </w:t>
      </w:r>
      <w:r w:rsidRPr="00671D64">
        <w:rPr>
          <w:rFonts w:ascii="Times New Roman" w:hAnsi="Times New Roman"/>
          <w:sz w:val="24"/>
          <w:szCs w:val="24"/>
          <w:u w:val="single"/>
        </w:rPr>
        <w:t>George Marvaso, et al. v. Richard Sanchez</w:t>
      </w:r>
      <w:r w:rsidRPr="00671D64">
        <w:rPr>
          <w:rFonts w:ascii="Times New Roman" w:hAnsi="Times New Roman"/>
          <w:sz w:val="24"/>
          <w:szCs w:val="24"/>
        </w:rPr>
        <w:t>, the U.S. Court of Appeals for 6</w:t>
      </w:r>
      <w:r w:rsidRPr="00671D64">
        <w:rPr>
          <w:rFonts w:ascii="Times New Roman" w:hAnsi="Times New Roman"/>
          <w:sz w:val="24"/>
          <w:szCs w:val="24"/>
          <w:vertAlign w:val="superscript"/>
        </w:rPr>
        <w:t>th</w:t>
      </w:r>
      <w:r w:rsidRPr="00671D64">
        <w:rPr>
          <w:rFonts w:ascii="Times New Roman" w:hAnsi="Times New Roman"/>
          <w:sz w:val="24"/>
          <w:szCs w:val="24"/>
        </w:rPr>
        <w:t xml:space="preserve"> Circuit (Cincinnati) held (3 to 0; unpublished opinion) that Michigan State Patrol lieutenant Richard Sanchez was properly dismissed from lawsuit.  Firefighter Brian Woehlke died </w:t>
      </w:r>
      <w:proofErr w:type="gramStart"/>
      <w:r w:rsidRPr="00671D64">
        <w:rPr>
          <w:rFonts w:ascii="Times New Roman" w:hAnsi="Times New Roman"/>
          <w:sz w:val="24"/>
          <w:szCs w:val="24"/>
        </w:rPr>
        <w:t>in</w:t>
      </w:r>
      <w:proofErr w:type="gramEnd"/>
      <w:r w:rsidRPr="00671D64">
        <w:rPr>
          <w:rFonts w:ascii="Times New Roman" w:hAnsi="Times New Roman"/>
          <w:sz w:val="24"/>
          <w:szCs w:val="24"/>
        </w:rPr>
        <w:t xml:space="preserve"> May 8, </w:t>
      </w:r>
      <w:proofErr w:type="gramStart"/>
      <w:r w:rsidRPr="00671D64">
        <w:rPr>
          <w:rFonts w:ascii="Times New Roman" w:hAnsi="Times New Roman"/>
          <w:sz w:val="24"/>
          <w:szCs w:val="24"/>
        </w:rPr>
        <w:t>2013</w:t>
      </w:r>
      <w:proofErr w:type="gramEnd"/>
      <w:r w:rsidRPr="00671D64">
        <w:rPr>
          <w:rFonts w:ascii="Times New Roman" w:hAnsi="Times New Roman"/>
          <w:sz w:val="24"/>
          <w:szCs w:val="24"/>
        </w:rPr>
        <w:t xml:space="preserve"> fire at Marvaso’s Italian Grille in Westland, Michigan. The Court wrote: “According to Plaintiffs, Sanchez knowingly omitted key information and knowingly included false information in drafting the affidavits, which resulted in the execution of illegal search warrants that violated their Fourth Amendment rights. To support their argument, Plaintiffs list various factual omissions that they claim would have affected the magistrate judge’s ultimate probable cause determination. However, with or without </w:t>
      </w:r>
      <w:proofErr w:type="gramStart"/>
      <w:r w:rsidRPr="00671D64">
        <w:rPr>
          <w:rFonts w:ascii="Times New Roman" w:hAnsi="Times New Roman"/>
          <w:sz w:val="24"/>
          <w:szCs w:val="24"/>
        </w:rPr>
        <w:t>the consideration</w:t>
      </w:r>
      <w:proofErr w:type="gramEnd"/>
      <w:r w:rsidRPr="00671D64">
        <w:rPr>
          <w:rFonts w:ascii="Times New Roman" w:hAnsi="Times New Roman"/>
          <w:sz w:val="24"/>
          <w:szCs w:val="24"/>
        </w:rPr>
        <w:t xml:space="preserve"> of the additional facts that Plaintiffs proffer, there would have been probable cause to search their homes. Because no Fourth Amendment violation occurred, we agree with the district court’s determination that Sanchez is entitled to qualified immunity.” </w:t>
      </w:r>
      <w:hyperlink r:id="rId464" w:history="1">
        <w:r w:rsidRPr="00671D64">
          <w:rPr>
            <w:rStyle w:val="Hyperlink"/>
            <w:rFonts w:ascii="Times New Roman" w:hAnsi="Times New Roman"/>
            <w:sz w:val="24"/>
            <w:szCs w:val="24"/>
          </w:rPr>
          <w:t>https://www.opn.ca6.uscourts.gov/opinions.pdf/24a0367n-06.pdf</w:t>
        </w:r>
      </w:hyperlink>
      <w:r w:rsidRPr="00671D64">
        <w:rPr>
          <w:rFonts w:ascii="Times New Roman" w:hAnsi="Times New Roman"/>
          <w:sz w:val="24"/>
          <w:szCs w:val="24"/>
        </w:rPr>
        <w:t xml:space="preserve"> </w:t>
      </w:r>
    </w:p>
    <w:p w14:paraId="2DDAF146" w14:textId="77777777" w:rsidR="00671D64" w:rsidRPr="00671D64" w:rsidRDefault="00671D64" w:rsidP="00671D64">
      <w:pPr>
        <w:rPr>
          <w:rFonts w:ascii="Times New Roman" w:hAnsi="Times New Roman"/>
          <w:sz w:val="24"/>
          <w:szCs w:val="24"/>
        </w:rPr>
      </w:pPr>
      <w:r w:rsidRPr="00671D64">
        <w:rPr>
          <w:rFonts w:ascii="Times New Roman" w:hAnsi="Times New Roman"/>
          <w:sz w:val="24"/>
          <w:szCs w:val="24"/>
        </w:rPr>
        <w:t xml:space="preserve">[Note: State OSHA fined the FD $3,500; FF entered; evacuation ordered but only 2 came out. </w:t>
      </w:r>
      <w:hyperlink r:id="rId465" w:history="1">
        <w:r w:rsidRPr="00671D64">
          <w:rPr>
            <w:rStyle w:val="Hyperlink"/>
            <w:rFonts w:ascii="Times New Roman" w:hAnsi="Times New Roman"/>
            <w:sz w:val="24"/>
            <w:szCs w:val="24"/>
          </w:rPr>
          <w:t>https://www.osha.gov/ords/imis/establishment.inspection_detail?id=315378885</w:t>
        </w:r>
      </w:hyperlink>
      <w:r w:rsidRPr="00671D64">
        <w:rPr>
          <w:rFonts w:ascii="Times New Roman" w:hAnsi="Times New Roman"/>
          <w:sz w:val="24"/>
          <w:szCs w:val="24"/>
        </w:rPr>
        <w:t>.]</w:t>
      </w:r>
    </w:p>
    <w:p w14:paraId="4366D3DC" w14:textId="77777777" w:rsidR="00671D64" w:rsidRPr="00671D64" w:rsidRDefault="00671D64" w:rsidP="00671D64">
      <w:pPr>
        <w:pStyle w:val="NoSpacing"/>
        <w:rPr>
          <w:rFonts w:ascii="Times New Roman" w:hAnsi="Times New Roman"/>
          <w:sz w:val="24"/>
          <w:szCs w:val="24"/>
        </w:rPr>
      </w:pPr>
      <w:r w:rsidRPr="00671D64">
        <w:rPr>
          <w:rFonts w:ascii="Times New Roman" w:hAnsi="Times New Roman"/>
          <w:sz w:val="24"/>
          <w:szCs w:val="24"/>
        </w:rPr>
        <w:t xml:space="preserve"> </w:t>
      </w:r>
    </w:p>
    <w:p w14:paraId="5ADA790F" w14:textId="77777777" w:rsidR="00671D64" w:rsidRPr="00671D64" w:rsidRDefault="00671D64" w:rsidP="00671D64">
      <w:pPr>
        <w:pStyle w:val="NoSpacing"/>
        <w:rPr>
          <w:rFonts w:ascii="Times New Roman" w:hAnsi="Times New Roman"/>
          <w:sz w:val="24"/>
          <w:szCs w:val="24"/>
        </w:rPr>
      </w:pPr>
      <w:r w:rsidRPr="00671D64">
        <w:rPr>
          <w:rFonts w:ascii="Times New Roman" w:hAnsi="Times New Roman"/>
          <w:sz w:val="24"/>
          <w:szCs w:val="24"/>
        </w:rPr>
        <w:t>THE COURT HELD:</w:t>
      </w:r>
    </w:p>
    <w:p w14:paraId="0A6321FF" w14:textId="77777777" w:rsidR="00671D64" w:rsidRPr="00671D64" w:rsidRDefault="00671D64" w:rsidP="00671D64">
      <w:pPr>
        <w:pStyle w:val="NoSpacing"/>
        <w:rPr>
          <w:rFonts w:ascii="Times New Roman" w:hAnsi="Times New Roman"/>
          <w:sz w:val="24"/>
          <w:szCs w:val="24"/>
        </w:rPr>
      </w:pPr>
    </w:p>
    <w:p w14:paraId="181BFC8B" w14:textId="77777777" w:rsidR="00671D64" w:rsidRPr="00671D64" w:rsidRDefault="00671D64" w:rsidP="00671D64">
      <w:pPr>
        <w:pStyle w:val="NoSpacing"/>
        <w:ind w:left="720"/>
        <w:rPr>
          <w:rFonts w:ascii="Times New Roman" w:hAnsi="Times New Roman"/>
          <w:sz w:val="24"/>
          <w:szCs w:val="24"/>
        </w:rPr>
      </w:pPr>
      <w:r w:rsidRPr="00671D64">
        <w:rPr>
          <w:rFonts w:ascii="Times New Roman" w:hAnsi="Times New Roman"/>
          <w:sz w:val="24"/>
          <w:szCs w:val="24"/>
        </w:rPr>
        <w:t xml:space="preserve">“First, and perhaps most importantly, Plaintiffs argue that Sanchez withheld the </w:t>
      </w:r>
    </w:p>
    <w:p w14:paraId="04B43039" w14:textId="77777777" w:rsidR="00671D64" w:rsidRPr="00671D64" w:rsidRDefault="00671D64" w:rsidP="00671D64">
      <w:pPr>
        <w:pStyle w:val="NoSpacing"/>
        <w:ind w:left="720"/>
        <w:rPr>
          <w:rFonts w:ascii="Times New Roman" w:hAnsi="Times New Roman"/>
          <w:sz w:val="24"/>
          <w:szCs w:val="24"/>
        </w:rPr>
      </w:pPr>
      <w:r w:rsidRPr="00671D64">
        <w:rPr>
          <w:rFonts w:ascii="Times New Roman" w:hAnsi="Times New Roman"/>
          <w:sz w:val="24"/>
          <w:szCs w:val="24"/>
        </w:rPr>
        <w:t>reports of two other fire investigators that concluded that the fire classification was ‘undetermined,’ not ‘incendiary.’  Yet, in writing his search warrant affidavits, Sanchez solely mentioned the most recent fire investigation report, which concluded that the fire was incendiary. Although Sanchez certainly should have provided the magistrate judge with the full picture of the various investigations that had occurred, a status of ‘undetermined’ does not rule out arson. In other words, two reports that failed to arrive at any conclusion at all do not negate or contradict the third report that concluded the fire was likely incendiary. And, without any reports directly contradicting the report that concluded foul play caused the fire, this third report serves as essential evidence to the determination of probable cause, even considering the other two reports. Further, even if the magistrate had the two ‘undetermined’ reports, there was still likely enough evidence in the affidavit to clear the low bar of probable cause. Cf. Gerstein v. Pugh, 420 U.S. 103, 121(1975) (holding that the probable cause determination ‘does not require the fine resolution of conflicting evidence that a reasonable-doubt or even a preponderance standard demands’). Therefore, this omitted fact does not defeat the probable cause determination.”</w:t>
      </w:r>
    </w:p>
    <w:p w14:paraId="0FAAB860" w14:textId="77777777" w:rsidR="00671D64" w:rsidRPr="00671D64" w:rsidRDefault="00671D64" w:rsidP="00671D64">
      <w:pPr>
        <w:pStyle w:val="NoSpacing"/>
        <w:rPr>
          <w:rFonts w:ascii="Times New Roman" w:hAnsi="Times New Roman"/>
          <w:sz w:val="24"/>
          <w:szCs w:val="24"/>
        </w:rPr>
      </w:pPr>
    </w:p>
    <w:p w14:paraId="2C273E6A" w14:textId="77777777" w:rsidR="00671D64" w:rsidRDefault="00671D64" w:rsidP="00671D64">
      <w:pPr>
        <w:pStyle w:val="NoSpacing"/>
        <w:rPr>
          <w:rFonts w:ascii="Times New Roman" w:hAnsi="Times New Roman"/>
          <w:b/>
          <w:bCs/>
          <w:sz w:val="24"/>
          <w:szCs w:val="24"/>
        </w:rPr>
      </w:pPr>
      <w:r w:rsidRPr="00671D64">
        <w:rPr>
          <w:rFonts w:ascii="Times New Roman" w:hAnsi="Times New Roman"/>
          <w:b/>
          <w:bCs/>
          <w:sz w:val="24"/>
          <w:szCs w:val="24"/>
        </w:rPr>
        <w:t xml:space="preserve">Legal Lesson Learned: Arson investigators enjoy qualified immunity if search warrant was sufficient to show probable cause, even if some exculpatory information was not included. </w:t>
      </w:r>
    </w:p>
    <w:p w14:paraId="72819135" w14:textId="77777777" w:rsidR="008A1352" w:rsidRDefault="008A1352" w:rsidP="00671D64">
      <w:pPr>
        <w:pStyle w:val="NoSpacing"/>
        <w:rPr>
          <w:rFonts w:ascii="Times New Roman" w:hAnsi="Times New Roman"/>
          <w:b/>
          <w:bCs/>
          <w:sz w:val="24"/>
          <w:szCs w:val="24"/>
        </w:rPr>
      </w:pPr>
    </w:p>
    <w:p w14:paraId="44FCEAF4" w14:textId="77777777" w:rsidR="008A1352" w:rsidRPr="008A1352" w:rsidRDefault="008A1352" w:rsidP="008A1352">
      <w:pPr>
        <w:ind w:left="720"/>
        <w:rPr>
          <w:rFonts w:ascii="Times New Roman" w:hAnsi="Times New Roman"/>
          <w:sz w:val="24"/>
          <w:szCs w:val="24"/>
        </w:rPr>
      </w:pPr>
      <w:r w:rsidRPr="008A1352">
        <w:rPr>
          <w:rFonts w:ascii="Times New Roman" w:hAnsi="Times New Roman"/>
          <w:sz w:val="24"/>
          <w:szCs w:val="24"/>
        </w:rPr>
        <w:t xml:space="preserve">Note: </w:t>
      </w:r>
    </w:p>
    <w:p w14:paraId="35CE6BA8" w14:textId="77777777" w:rsidR="008A1352" w:rsidRPr="008A1352" w:rsidRDefault="008A1352" w:rsidP="008A1352">
      <w:pPr>
        <w:pStyle w:val="ListParagraph"/>
        <w:numPr>
          <w:ilvl w:val="0"/>
          <w:numId w:val="22"/>
        </w:numPr>
        <w:rPr>
          <w:rFonts w:ascii="Times New Roman" w:hAnsi="Times New Roman" w:cs="Times New Roman"/>
          <w:sz w:val="24"/>
          <w:szCs w:val="24"/>
        </w:rPr>
      </w:pPr>
      <w:r w:rsidRPr="008A1352">
        <w:rPr>
          <w:rFonts w:ascii="Times New Roman" w:hAnsi="Times New Roman" w:cs="Times New Roman"/>
          <w:sz w:val="24"/>
          <w:szCs w:val="24"/>
        </w:rPr>
        <w:t xml:space="preserve">See May 30, </w:t>
      </w:r>
      <w:proofErr w:type="gramStart"/>
      <w:r w:rsidRPr="008A1352">
        <w:rPr>
          <w:rFonts w:ascii="Times New Roman" w:hAnsi="Times New Roman" w:cs="Times New Roman"/>
          <w:sz w:val="24"/>
          <w:szCs w:val="24"/>
        </w:rPr>
        <w:t>2023</w:t>
      </w:r>
      <w:proofErr w:type="gramEnd"/>
      <w:r w:rsidRPr="008A1352">
        <w:rPr>
          <w:rFonts w:ascii="Times New Roman" w:hAnsi="Times New Roman" w:cs="Times New Roman"/>
          <w:sz w:val="24"/>
          <w:szCs w:val="24"/>
        </w:rPr>
        <w:t xml:space="preserve"> article - Westland firefighters remember Brian Woehlke's 'biggest smile' a decade after his death. </w:t>
      </w:r>
      <w:hyperlink r:id="rId466" w:history="1">
        <w:r w:rsidRPr="008A1352">
          <w:rPr>
            <w:rStyle w:val="Hyperlink"/>
            <w:rFonts w:ascii="Times New Roman" w:hAnsi="Times New Roman" w:cs="Times New Roman"/>
            <w:sz w:val="24"/>
            <w:szCs w:val="24"/>
          </w:rPr>
          <w:t>https://www.hometownlife.com/story/news/2023/05/27/westland-firefighters-brian-woehlke-arson-homicide-investigation/70244259007/</w:t>
        </w:r>
      </w:hyperlink>
      <w:r w:rsidRPr="008A1352">
        <w:rPr>
          <w:rFonts w:ascii="Times New Roman" w:hAnsi="Times New Roman" w:cs="Times New Roman"/>
          <w:sz w:val="24"/>
          <w:szCs w:val="24"/>
        </w:rPr>
        <w:t xml:space="preserve">   “Michigan State Police Lt. Mike Shaw said the case is still open and the agency is still actively seeking information. A National Institute of Occupational Safety and Health </w:t>
      </w:r>
      <w:hyperlink r:id="rId467" w:history="1">
        <w:r w:rsidRPr="008A1352">
          <w:rPr>
            <w:rStyle w:val="Hyperlink"/>
            <w:rFonts w:ascii="Times New Roman" w:hAnsi="Times New Roman" w:cs="Times New Roman"/>
            <w:sz w:val="24"/>
            <w:szCs w:val="24"/>
          </w:rPr>
          <w:t>report from 2016 concluded</w:t>
        </w:r>
      </w:hyperlink>
      <w:r w:rsidRPr="008A1352">
        <w:rPr>
          <w:rFonts w:ascii="Times New Roman" w:hAnsi="Times New Roman" w:cs="Times New Roman"/>
          <w:sz w:val="24"/>
          <w:szCs w:val="24"/>
        </w:rPr>
        <w:t xml:space="preserve"> staffing issues and below-industry standard equipment could have played roles in Woehlke's death.”</w:t>
      </w:r>
    </w:p>
    <w:p w14:paraId="4B04DDC7" w14:textId="77777777" w:rsidR="008A1352" w:rsidRPr="008A1352" w:rsidRDefault="008A1352" w:rsidP="008A1352">
      <w:pPr>
        <w:ind w:left="720"/>
        <w:rPr>
          <w:rFonts w:ascii="Times New Roman" w:hAnsi="Times New Roman"/>
          <w:sz w:val="24"/>
          <w:szCs w:val="24"/>
        </w:rPr>
      </w:pPr>
    </w:p>
    <w:p w14:paraId="14BCFBA7" w14:textId="77777777" w:rsidR="008A1352" w:rsidRPr="008A1352" w:rsidRDefault="008A1352" w:rsidP="008A1352">
      <w:pPr>
        <w:pStyle w:val="ListParagraph"/>
        <w:numPr>
          <w:ilvl w:val="0"/>
          <w:numId w:val="22"/>
        </w:numPr>
        <w:rPr>
          <w:rFonts w:ascii="Times New Roman" w:hAnsi="Times New Roman" w:cs="Times New Roman"/>
          <w:sz w:val="24"/>
          <w:szCs w:val="24"/>
        </w:rPr>
      </w:pPr>
      <w:r w:rsidRPr="008A1352">
        <w:rPr>
          <w:rFonts w:ascii="Times New Roman" w:hAnsi="Times New Roman" w:cs="Times New Roman"/>
          <w:sz w:val="24"/>
          <w:szCs w:val="24"/>
        </w:rPr>
        <w:t xml:space="preserve">April 15, </w:t>
      </w:r>
      <w:proofErr w:type="gramStart"/>
      <w:r w:rsidRPr="008A1352">
        <w:rPr>
          <w:rFonts w:ascii="Times New Roman" w:hAnsi="Times New Roman" w:cs="Times New Roman"/>
          <w:sz w:val="24"/>
          <w:szCs w:val="24"/>
        </w:rPr>
        <w:t>2016</w:t>
      </w:r>
      <w:proofErr w:type="gramEnd"/>
      <w:r w:rsidRPr="008A1352">
        <w:rPr>
          <w:rFonts w:ascii="Times New Roman" w:hAnsi="Times New Roman" w:cs="Times New Roman"/>
          <w:sz w:val="24"/>
          <w:szCs w:val="24"/>
        </w:rPr>
        <w:t xml:space="preserve"> article – “Federal agency releases report on fatal Westland fire.” </w:t>
      </w:r>
      <w:hyperlink r:id="rId468" w:history="1">
        <w:r w:rsidRPr="008A1352">
          <w:rPr>
            <w:rStyle w:val="Hyperlink"/>
            <w:rFonts w:ascii="Times New Roman" w:hAnsi="Times New Roman" w:cs="Times New Roman"/>
            <w:sz w:val="24"/>
            <w:szCs w:val="24"/>
          </w:rPr>
          <w:t>https://www.hometownlife.com/story/news/local/westland/2016/04/15/report-released-westland-firefighter-death/83087498/</w:t>
        </w:r>
      </w:hyperlink>
      <w:r w:rsidRPr="008A1352">
        <w:rPr>
          <w:rFonts w:ascii="Times New Roman" w:hAnsi="Times New Roman" w:cs="Times New Roman"/>
          <w:sz w:val="24"/>
          <w:szCs w:val="24"/>
        </w:rPr>
        <w:t xml:space="preserve">  “On Friday, the National Institute of Occupational Safety and Health, a division of the Centers for Disease Control, officially issued its 113-page report investigating the death of Brian Woehlke, who died in the line of duty May 8, 2013. The report provides a detailed account of what happened during the fatal fire, which has been ruled a case of arson and homicide. *** The hose team decided to exit the structure. As they were leaving, Woehlke became separated from the other two crew members. The incident commander saw the two members of the hose team and called over the radio for Woehlke, who responded, giving his location as being at the rear of the building.”</w:t>
      </w:r>
    </w:p>
    <w:p w14:paraId="310EFFC6" w14:textId="77777777" w:rsidR="008A1352" w:rsidRPr="008A1352" w:rsidRDefault="008A1352" w:rsidP="008A1352">
      <w:pPr>
        <w:ind w:left="720"/>
        <w:rPr>
          <w:rFonts w:ascii="Times New Roman" w:hAnsi="Times New Roman"/>
          <w:sz w:val="24"/>
          <w:szCs w:val="24"/>
        </w:rPr>
      </w:pPr>
    </w:p>
    <w:p w14:paraId="27771B0F" w14:textId="77777777" w:rsidR="008A1352" w:rsidRPr="008A1352" w:rsidRDefault="008A1352" w:rsidP="008A1352">
      <w:pPr>
        <w:pStyle w:val="ListParagraph"/>
        <w:numPr>
          <w:ilvl w:val="0"/>
          <w:numId w:val="22"/>
        </w:numPr>
        <w:rPr>
          <w:rFonts w:ascii="Times New Roman" w:hAnsi="Times New Roman" w:cs="Times New Roman"/>
          <w:sz w:val="24"/>
          <w:szCs w:val="24"/>
        </w:rPr>
      </w:pPr>
      <w:r w:rsidRPr="008A1352">
        <w:rPr>
          <w:rFonts w:ascii="Times New Roman" w:hAnsi="Times New Roman" w:cs="Times New Roman"/>
          <w:sz w:val="24"/>
          <w:szCs w:val="24"/>
        </w:rPr>
        <w:t xml:space="preserve">Read NIOSH April 15, </w:t>
      </w:r>
      <w:proofErr w:type="gramStart"/>
      <w:r w:rsidRPr="008A1352">
        <w:rPr>
          <w:rFonts w:ascii="Times New Roman" w:hAnsi="Times New Roman" w:cs="Times New Roman"/>
          <w:sz w:val="24"/>
          <w:szCs w:val="24"/>
        </w:rPr>
        <w:t>2016</w:t>
      </w:r>
      <w:proofErr w:type="gramEnd"/>
      <w:r w:rsidRPr="008A1352">
        <w:rPr>
          <w:rFonts w:ascii="Times New Roman" w:hAnsi="Times New Roman" w:cs="Times New Roman"/>
          <w:sz w:val="24"/>
          <w:szCs w:val="24"/>
        </w:rPr>
        <w:t xml:space="preserve"> report: </w:t>
      </w:r>
      <w:hyperlink r:id="rId469" w:history="1">
        <w:r w:rsidRPr="008A1352">
          <w:rPr>
            <w:rStyle w:val="Hyperlink"/>
            <w:rFonts w:ascii="Times New Roman" w:hAnsi="Times New Roman" w:cs="Times New Roman"/>
            <w:sz w:val="24"/>
            <w:szCs w:val="24"/>
          </w:rPr>
          <w:t>https://www.scribd.com/document/312245216/Career-Probationary-Firefighter-Runs-Out-of-Air-and-Dies-in-Commercial-Structure-Fire</w:t>
        </w:r>
      </w:hyperlink>
      <w:r w:rsidRPr="008A1352">
        <w:rPr>
          <w:rFonts w:ascii="Times New Roman" w:hAnsi="Times New Roman" w:cs="Times New Roman"/>
          <w:sz w:val="24"/>
          <w:szCs w:val="24"/>
        </w:rPr>
        <w:t xml:space="preserve"> </w:t>
      </w:r>
    </w:p>
    <w:p w14:paraId="1F55D6E8" w14:textId="77777777" w:rsidR="008A1352" w:rsidRPr="008A1352" w:rsidRDefault="008A1352" w:rsidP="008A1352">
      <w:pPr>
        <w:ind w:left="720"/>
        <w:rPr>
          <w:rFonts w:ascii="Times New Roman" w:hAnsi="Times New Roman"/>
          <w:sz w:val="24"/>
          <w:szCs w:val="24"/>
        </w:rPr>
      </w:pPr>
    </w:p>
    <w:p w14:paraId="3B224E8F" w14:textId="77777777" w:rsidR="008A1352" w:rsidRPr="008A1352" w:rsidRDefault="008A1352" w:rsidP="008A1352">
      <w:pPr>
        <w:pStyle w:val="ListParagraph"/>
        <w:numPr>
          <w:ilvl w:val="0"/>
          <w:numId w:val="22"/>
        </w:numPr>
        <w:rPr>
          <w:rFonts w:ascii="Times New Roman" w:hAnsi="Times New Roman" w:cs="Times New Roman"/>
          <w:sz w:val="24"/>
          <w:szCs w:val="24"/>
        </w:rPr>
      </w:pPr>
      <w:r w:rsidRPr="008A1352">
        <w:rPr>
          <w:rFonts w:ascii="Times New Roman" w:hAnsi="Times New Roman" w:cs="Times New Roman"/>
          <w:sz w:val="24"/>
          <w:szCs w:val="24"/>
        </w:rPr>
        <w:t xml:space="preserve">June 27, 2013: “Michigan OSHA investigation - $3,500 fine recommended.” Employee #1 was later found approximately six feet from an exit door at the rear of the building and had succumbed to smoke inhalation after running out of air. The hose had looped over itself when the team encountered a wall and moved to the right. It is unknown if this led to Employee #1 becoming disoriented and unable to follow the hose out of the structure.” </w:t>
      </w:r>
      <w:hyperlink r:id="rId470" w:history="1">
        <w:r w:rsidRPr="008A1352">
          <w:rPr>
            <w:rStyle w:val="Hyperlink"/>
            <w:rFonts w:ascii="Times New Roman" w:hAnsi="Times New Roman" w:cs="Times New Roman"/>
            <w:sz w:val="24"/>
            <w:szCs w:val="24"/>
          </w:rPr>
          <w:t>https://www.osha.gov/ords/imis/establishment.inspection_detail?id=315378885</w:t>
        </w:r>
      </w:hyperlink>
    </w:p>
    <w:p w14:paraId="4911A53D" w14:textId="77777777" w:rsidR="008A1352" w:rsidRPr="00671D64" w:rsidRDefault="008A1352" w:rsidP="00671D64">
      <w:pPr>
        <w:pStyle w:val="NoSpacing"/>
        <w:rPr>
          <w:rFonts w:ascii="Times New Roman" w:hAnsi="Times New Roman"/>
          <w:b/>
          <w:bCs/>
          <w:sz w:val="24"/>
          <w:szCs w:val="24"/>
        </w:rPr>
      </w:pPr>
    </w:p>
    <w:p w14:paraId="0EB87AA4" w14:textId="77777777" w:rsidR="00E03026" w:rsidRPr="00671D64" w:rsidRDefault="00E03026" w:rsidP="00286F24">
      <w:pPr>
        <w:rPr>
          <w:rFonts w:ascii="Times New Roman" w:hAnsi="Times New Roman"/>
          <w:sz w:val="24"/>
          <w:szCs w:val="24"/>
        </w:rPr>
      </w:pPr>
    </w:p>
    <w:p w14:paraId="5CBA3091" w14:textId="6F63A2DC" w:rsidR="005C3A2A" w:rsidRDefault="005C3A2A" w:rsidP="00286F24">
      <w:pPr>
        <w:rPr>
          <w:rFonts w:ascii="Arial Black" w:hAnsi="Arial Black"/>
          <w:sz w:val="24"/>
          <w:szCs w:val="24"/>
        </w:rPr>
      </w:pPr>
      <w:r>
        <w:rPr>
          <w:rFonts w:ascii="Arial Black" w:hAnsi="Arial Black"/>
          <w:sz w:val="24"/>
          <w:szCs w:val="24"/>
        </w:rPr>
        <w:t>2-7</w:t>
      </w:r>
      <w:r w:rsidR="00891E1D">
        <w:rPr>
          <w:rFonts w:ascii="Arial Black" w:hAnsi="Arial Black"/>
          <w:sz w:val="24"/>
          <w:szCs w:val="24"/>
        </w:rPr>
        <w:t>1</w:t>
      </w:r>
    </w:p>
    <w:p w14:paraId="691E0CCF" w14:textId="77777777" w:rsidR="004B7CDA" w:rsidRPr="00E179B9" w:rsidRDefault="004B7CDA" w:rsidP="004B7CDA">
      <w:pPr>
        <w:rPr>
          <w:rFonts w:ascii="Arial Black" w:hAnsi="Arial Black"/>
          <w:b/>
          <w:bCs/>
          <w:sz w:val="28"/>
        </w:rPr>
      </w:pPr>
      <w:r>
        <w:rPr>
          <w:rFonts w:ascii="Arial Black" w:hAnsi="Arial Black"/>
          <w:b/>
          <w:bCs/>
          <w:sz w:val="28"/>
        </w:rPr>
        <w:t>KY: EMPLOYEE HAND INJURED IN PRINTER – LOCKED FD, OSHA INSPECTED – COMPANY CONSENTED OSHA</w:t>
      </w:r>
    </w:p>
    <w:p w14:paraId="40DE54F7" w14:textId="77777777" w:rsidR="004B7CDA" w:rsidRPr="004B7CDA" w:rsidRDefault="004B7CDA" w:rsidP="004B7CDA">
      <w:pPr>
        <w:rPr>
          <w:rFonts w:ascii="Times New Roman" w:hAnsi="Times New Roman"/>
          <w:sz w:val="24"/>
          <w:szCs w:val="24"/>
        </w:rPr>
      </w:pPr>
      <w:r w:rsidRPr="004B7CDA">
        <w:rPr>
          <w:rFonts w:ascii="Times New Roman" w:hAnsi="Times New Roman"/>
          <w:sz w:val="24"/>
          <w:szCs w:val="24"/>
        </w:rPr>
        <w:t xml:space="preserve">On August 23, 2024, in </w:t>
      </w:r>
      <w:r w:rsidRPr="004B7CDA">
        <w:rPr>
          <w:rFonts w:ascii="Times New Roman" w:hAnsi="Times New Roman"/>
          <w:sz w:val="24"/>
          <w:szCs w:val="24"/>
          <w:u w:val="single"/>
        </w:rPr>
        <w:t xml:space="preserve">Harland Clarke Corp. v. Kentucky Safety </w:t>
      </w:r>
      <w:proofErr w:type="gramStart"/>
      <w:r w:rsidRPr="004B7CDA">
        <w:rPr>
          <w:rFonts w:ascii="Times New Roman" w:hAnsi="Times New Roman"/>
          <w:sz w:val="24"/>
          <w:szCs w:val="24"/>
          <w:u w:val="single"/>
        </w:rPr>
        <w:t>And</w:t>
      </w:r>
      <w:proofErr w:type="gramEnd"/>
      <w:r w:rsidRPr="004B7CDA">
        <w:rPr>
          <w:rFonts w:ascii="Times New Roman" w:hAnsi="Times New Roman"/>
          <w:sz w:val="24"/>
          <w:szCs w:val="24"/>
          <w:u w:val="single"/>
        </w:rPr>
        <w:t xml:space="preserve"> Health Commission</w:t>
      </w:r>
      <w:r w:rsidRPr="004B7CDA">
        <w:rPr>
          <w:rFonts w:ascii="Times New Roman" w:hAnsi="Times New Roman"/>
          <w:sz w:val="24"/>
          <w:szCs w:val="24"/>
        </w:rPr>
        <w:t xml:space="preserve">, the Kentucky Court of Appeals held (3 to 0; unpublished decision) that the company consented to the Kentucky OSHA [KOSH] </w:t>
      </w:r>
      <w:r w:rsidRPr="004B7CDA">
        <w:rPr>
          <w:rFonts w:ascii="Times New Roman" w:hAnsi="Times New Roman"/>
          <w:sz w:val="24"/>
          <w:szCs w:val="24"/>
        </w:rPr>
        <w:lastRenderedPageBreak/>
        <w:t xml:space="preserve">inspection of the printer, and the FD policy of locking machinery causing an injury until KOSH inspection did not invalidate the consent. The Court wrote: “In this case, the evidence of record, including Harland’s own witnesses, supported the hearing officer’s finding that valid consent for the inspection was given. A Harland employee contacted the Cabinet to come to its facility. Moreover, Harland gave the KOSH officers access to the facility two separate times.” </w:t>
      </w:r>
      <w:hyperlink r:id="rId471" w:history="1">
        <w:r w:rsidRPr="004B7CDA">
          <w:rPr>
            <w:rStyle w:val="Hyperlink"/>
            <w:rFonts w:ascii="Times New Roman" w:hAnsi="Times New Roman"/>
            <w:sz w:val="24"/>
            <w:szCs w:val="24"/>
          </w:rPr>
          <w:t>https://cases.justia.com/kentucky/court-of-appeals/2024-2023-ca-0968-mr.pdf?ts=1724421865</w:t>
        </w:r>
      </w:hyperlink>
      <w:r w:rsidRPr="004B7CDA">
        <w:rPr>
          <w:rFonts w:ascii="Times New Roman" w:hAnsi="Times New Roman"/>
          <w:sz w:val="24"/>
          <w:szCs w:val="24"/>
        </w:rPr>
        <w:t xml:space="preserve"> </w:t>
      </w:r>
    </w:p>
    <w:p w14:paraId="2C6E538F" w14:textId="77777777" w:rsidR="004B7CDA" w:rsidRPr="004B7CDA" w:rsidRDefault="004B7CDA" w:rsidP="004B7CDA">
      <w:pPr>
        <w:rPr>
          <w:rFonts w:ascii="Times New Roman" w:hAnsi="Times New Roman"/>
          <w:sz w:val="24"/>
          <w:szCs w:val="24"/>
        </w:rPr>
      </w:pPr>
      <w:r w:rsidRPr="004B7CDA">
        <w:rPr>
          <w:rFonts w:ascii="Times New Roman" w:hAnsi="Times New Roman"/>
          <w:sz w:val="24"/>
          <w:szCs w:val="24"/>
        </w:rPr>
        <w:t xml:space="preserve">THE COURT HELD: </w:t>
      </w:r>
    </w:p>
    <w:p w14:paraId="1F8867E6" w14:textId="77777777" w:rsidR="004B7CDA" w:rsidRPr="004B7CDA" w:rsidRDefault="004B7CDA" w:rsidP="004B7CDA">
      <w:pPr>
        <w:ind w:left="720"/>
        <w:rPr>
          <w:rFonts w:ascii="Times New Roman" w:hAnsi="Times New Roman"/>
          <w:sz w:val="24"/>
          <w:szCs w:val="24"/>
        </w:rPr>
      </w:pPr>
      <w:r w:rsidRPr="004B7CDA">
        <w:rPr>
          <w:rFonts w:ascii="Times New Roman" w:hAnsi="Times New Roman"/>
          <w:sz w:val="24"/>
          <w:szCs w:val="24"/>
        </w:rPr>
        <w:t>“On appeal, Harland’s sole argument is that its consent to the KOSH inspection and on-premises investigation was not freely and voluntarily given. Rather, they allege it was coerced by the Fire Department’s actions in locking the printer so that it could not be used until Harland consented to KOSH’s inspection and investigation.  However, we agree with the circuit court, who stated the following:</w:t>
      </w:r>
    </w:p>
    <w:p w14:paraId="4F0698F4" w14:textId="77777777" w:rsidR="004B7CDA" w:rsidRPr="004B7CDA" w:rsidRDefault="004B7CDA" w:rsidP="004B7CDA">
      <w:pPr>
        <w:pStyle w:val="NoSpacing"/>
        <w:ind w:left="1440"/>
        <w:jc w:val="both"/>
        <w:rPr>
          <w:rFonts w:ascii="Times New Roman" w:hAnsi="Times New Roman"/>
          <w:sz w:val="24"/>
          <w:szCs w:val="24"/>
        </w:rPr>
      </w:pPr>
      <w:r w:rsidRPr="004B7CDA">
        <w:rPr>
          <w:rFonts w:ascii="Times New Roman" w:hAnsi="Times New Roman"/>
          <w:sz w:val="24"/>
          <w:szCs w:val="24"/>
        </w:rPr>
        <w:t xml:space="preserve">[Harland] spends </w:t>
      </w:r>
      <w:proofErr w:type="gramStart"/>
      <w:r w:rsidRPr="004B7CDA">
        <w:rPr>
          <w:rFonts w:ascii="Times New Roman" w:hAnsi="Times New Roman"/>
          <w:sz w:val="24"/>
          <w:szCs w:val="24"/>
        </w:rPr>
        <w:t>the majority of</w:t>
      </w:r>
      <w:proofErr w:type="gramEnd"/>
      <w:r w:rsidRPr="004B7CDA">
        <w:rPr>
          <w:rFonts w:ascii="Times New Roman" w:hAnsi="Times New Roman"/>
          <w:sz w:val="24"/>
          <w:szCs w:val="24"/>
        </w:rPr>
        <w:t xml:space="preserve"> its brief asserting that the Fire Department violated its constitutional rights, however, the Fire Department is not under the jurisdiction of the Cabinet and is not a party to this action. Although the Fire Department said it was their policy that the injury causing machine </w:t>
      </w:r>
      <w:proofErr w:type="gramStart"/>
      <w:r w:rsidRPr="004B7CDA">
        <w:rPr>
          <w:rFonts w:ascii="Times New Roman" w:hAnsi="Times New Roman"/>
          <w:sz w:val="24"/>
          <w:szCs w:val="24"/>
        </w:rPr>
        <w:t>be</w:t>
      </w:r>
      <w:proofErr w:type="gramEnd"/>
      <w:r w:rsidRPr="004B7CDA">
        <w:rPr>
          <w:rFonts w:ascii="Times New Roman" w:hAnsi="Times New Roman"/>
          <w:sz w:val="24"/>
          <w:szCs w:val="24"/>
        </w:rPr>
        <w:t xml:space="preserve"> locked up until KOSH] </w:t>
      </w:r>
      <w:proofErr w:type="gramStart"/>
      <w:r w:rsidRPr="004B7CDA">
        <w:rPr>
          <w:rFonts w:ascii="Times New Roman" w:hAnsi="Times New Roman"/>
          <w:sz w:val="24"/>
          <w:szCs w:val="24"/>
        </w:rPr>
        <w:t>conducted an investigation</w:t>
      </w:r>
      <w:proofErr w:type="gramEnd"/>
      <w:r w:rsidRPr="004B7CDA">
        <w:rPr>
          <w:rFonts w:ascii="Times New Roman" w:hAnsi="Times New Roman"/>
          <w:sz w:val="24"/>
          <w:szCs w:val="24"/>
        </w:rPr>
        <w:t>, that policy does not belong to the Cabinet who has the statutory authority to inspect and prosecute occupational violations. At the administrative hearing, the Director of [K]OSH Compliance testified that the Cabinet does not have any policy that would require the Fire Department to lock up a potentially unsafe machine. The Court understands [Harland’s] frustration with the Fire Department’s actions, however, any disagreement with the placement of a lock on the printer is between [Harland] and the Fire Department, a nonparty to this action with zero authority to inspect and prosecute occupational violations.</w:t>
      </w:r>
    </w:p>
    <w:p w14:paraId="4B269D89" w14:textId="77777777" w:rsidR="004B7CDA" w:rsidRPr="004B7CDA" w:rsidRDefault="004B7CDA" w:rsidP="004B7CDA">
      <w:pPr>
        <w:pStyle w:val="NoSpacing"/>
        <w:rPr>
          <w:rFonts w:ascii="Times New Roman" w:hAnsi="Times New Roman"/>
          <w:sz w:val="24"/>
          <w:szCs w:val="24"/>
        </w:rPr>
      </w:pPr>
    </w:p>
    <w:p w14:paraId="0FBCA1AB" w14:textId="6DCE0100" w:rsidR="004B7CDA" w:rsidRDefault="004B7CDA" w:rsidP="004B7CDA">
      <w:pPr>
        <w:pStyle w:val="NoSpacing"/>
        <w:ind w:left="720"/>
        <w:rPr>
          <w:rFonts w:ascii="Times New Roman" w:hAnsi="Times New Roman"/>
          <w:sz w:val="24"/>
          <w:szCs w:val="24"/>
        </w:rPr>
      </w:pPr>
      <w:r w:rsidRPr="004B7CDA">
        <w:rPr>
          <w:rFonts w:ascii="Times New Roman" w:hAnsi="Times New Roman"/>
          <w:sz w:val="24"/>
          <w:szCs w:val="24"/>
        </w:rPr>
        <w:t xml:space="preserve">In this case, the evidence of record, including Harland’s own witnesses, supported the hearing officer’s finding that valid consent for the inspection was given. A Harland employee contacted the Cabinet to come to its facility. Moreover, Harland gave the KOSH officers access to the facility two separate times. Harland – through Birkenfeld – gave the compliance officers verbal consent to conduct an inspection and never made an objection. Finally, another Harland employee, </w:t>
      </w:r>
      <w:proofErr w:type="spellStart"/>
      <w:r w:rsidRPr="004B7CDA">
        <w:rPr>
          <w:rFonts w:ascii="Times New Roman" w:hAnsi="Times New Roman"/>
          <w:sz w:val="24"/>
          <w:szCs w:val="24"/>
        </w:rPr>
        <w:t>Chetson</w:t>
      </w:r>
      <w:proofErr w:type="spellEnd"/>
      <w:r w:rsidRPr="004B7CDA">
        <w:rPr>
          <w:rFonts w:ascii="Times New Roman" w:hAnsi="Times New Roman"/>
          <w:sz w:val="24"/>
          <w:szCs w:val="24"/>
        </w:rPr>
        <w:t xml:space="preserve"> Hammonds, participated in the inspection and never made an </w:t>
      </w:r>
      <w:proofErr w:type="gramStart"/>
      <w:r w:rsidRPr="004B7CDA">
        <w:rPr>
          <w:rFonts w:ascii="Times New Roman" w:hAnsi="Times New Roman"/>
          <w:sz w:val="24"/>
          <w:szCs w:val="24"/>
        </w:rPr>
        <w:t>objection.”</w:t>
      </w:r>
      <w:proofErr w:type="gramEnd"/>
      <w:r>
        <w:rPr>
          <w:rFonts w:ascii="Times New Roman" w:hAnsi="Times New Roman"/>
          <w:sz w:val="24"/>
          <w:szCs w:val="24"/>
        </w:rPr>
        <w:t xml:space="preserve"> </w:t>
      </w:r>
    </w:p>
    <w:p w14:paraId="4390531B" w14:textId="77777777" w:rsidR="00E03026" w:rsidRPr="004B7CDA" w:rsidRDefault="00E03026" w:rsidP="004B7CDA">
      <w:pPr>
        <w:pStyle w:val="NoSpacing"/>
        <w:ind w:left="720"/>
        <w:rPr>
          <w:rFonts w:ascii="Times New Roman" w:hAnsi="Times New Roman"/>
          <w:sz w:val="24"/>
          <w:szCs w:val="24"/>
        </w:rPr>
      </w:pPr>
    </w:p>
    <w:p w14:paraId="5DDB40F6" w14:textId="07521E73" w:rsidR="004B7CDA" w:rsidRPr="004B7CDA" w:rsidRDefault="004B7CDA" w:rsidP="004B7CDA">
      <w:pPr>
        <w:pStyle w:val="NoSpacing"/>
        <w:rPr>
          <w:rFonts w:ascii="Times New Roman" w:hAnsi="Times New Roman"/>
          <w:b/>
          <w:bCs/>
          <w:sz w:val="24"/>
          <w:szCs w:val="24"/>
        </w:rPr>
      </w:pPr>
      <w:r>
        <w:rPr>
          <w:rFonts w:ascii="Times New Roman" w:hAnsi="Times New Roman"/>
          <w:b/>
          <w:bCs/>
          <w:sz w:val="24"/>
          <w:szCs w:val="24"/>
        </w:rPr>
        <w:t>L</w:t>
      </w:r>
      <w:r w:rsidRPr="004B7CDA">
        <w:rPr>
          <w:rFonts w:ascii="Times New Roman" w:hAnsi="Times New Roman"/>
          <w:b/>
          <w:bCs/>
          <w:sz w:val="24"/>
          <w:szCs w:val="24"/>
        </w:rPr>
        <w:t xml:space="preserve">egal Lesson Learned: Consent was given for the Kentucky OSHA inspection; interesting FD policy of locking machines causing injury until inspected by KY OSHA. </w:t>
      </w:r>
    </w:p>
    <w:p w14:paraId="30220144" w14:textId="77777777" w:rsidR="005C3A2A" w:rsidRDefault="005C3A2A" w:rsidP="00286F24">
      <w:pPr>
        <w:rPr>
          <w:rFonts w:ascii="Arial Black" w:hAnsi="Arial Black"/>
          <w:sz w:val="24"/>
          <w:szCs w:val="24"/>
        </w:rPr>
      </w:pPr>
    </w:p>
    <w:p w14:paraId="25BE5B39" w14:textId="14B4F0E8" w:rsidR="00277A51" w:rsidRDefault="00277A51" w:rsidP="00286F24">
      <w:pPr>
        <w:rPr>
          <w:rFonts w:ascii="Arial Black" w:hAnsi="Arial Black"/>
          <w:sz w:val="24"/>
          <w:szCs w:val="24"/>
        </w:rPr>
      </w:pPr>
      <w:r>
        <w:rPr>
          <w:rFonts w:ascii="Arial Black" w:hAnsi="Arial Black"/>
          <w:sz w:val="24"/>
          <w:szCs w:val="24"/>
        </w:rPr>
        <w:t>2-7</w:t>
      </w:r>
      <w:r w:rsidR="00891E1D">
        <w:rPr>
          <w:rFonts w:ascii="Arial Black" w:hAnsi="Arial Black"/>
          <w:sz w:val="24"/>
          <w:szCs w:val="24"/>
        </w:rPr>
        <w:t>0</w:t>
      </w:r>
    </w:p>
    <w:p w14:paraId="0651D9DA" w14:textId="22CE4D49" w:rsidR="00277A51" w:rsidRDefault="00277A51" w:rsidP="00277A51">
      <w:pPr>
        <w:pStyle w:val="NormalWeb"/>
        <w:spacing w:before="0" w:beforeAutospacing="0"/>
        <w:rPr>
          <w:rFonts w:ascii="Arial Black" w:hAnsi="Arial Black"/>
          <w:b/>
          <w:bCs/>
          <w:color w:val="454545"/>
          <w:sz w:val="28"/>
          <w:szCs w:val="28"/>
          <w:shd w:val="clear" w:color="auto" w:fill="FFFFFF"/>
        </w:rPr>
      </w:pPr>
      <w:r>
        <w:rPr>
          <w:rFonts w:ascii="Arial Black" w:hAnsi="Arial Black"/>
          <w:b/>
          <w:bCs/>
          <w:color w:val="454545"/>
          <w:sz w:val="28"/>
          <w:szCs w:val="28"/>
          <w:shd w:val="clear" w:color="auto" w:fill="FFFFFF"/>
        </w:rPr>
        <w:t xml:space="preserve">IN: CAPTAIN FELL DOWN STAIRWELL BDG FIRE – GAP IN WALL - “FIREMAN’S RULE” EXCEPTION IF </w:t>
      </w:r>
      <w:r w:rsidR="009B2200">
        <w:rPr>
          <w:rFonts w:ascii="Arial Black" w:hAnsi="Arial Black"/>
          <w:b/>
          <w:bCs/>
          <w:color w:val="454545"/>
          <w:sz w:val="28"/>
          <w:szCs w:val="28"/>
          <w:shd w:val="clear" w:color="auto" w:fill="FFFFFF"/>
        </w:rPr>
        <w:t xml:space="preserve">BREACH OF </w:t>
      </w:r>
      <w:r>
        <w:rPr>
          <w:rFonts w:ascii="Arial Black" w:hAnsi="Arial Black"/>
          <w:b/>
          <w:bCs/>
          <w:color w:val="454545"/>
          <w:sz w:val="28"/>
          <w:szCs w:val="28"/>
          <w:shd w:val="clear" w:color="auto" w:fill="FFFFFF"/>
        </w:rPr>
        <w:t>“DUTY TO WARN”</w:t>
      </w:r>
    </w:p>
    <w:p w14:paraId="0D1F3A58" w14:textId="78C1D4A7" w:rsidR="00277A51" w:rsidRPr="00114561" w:rsidRDefault="00277A51" w:rsidP="00277A51">
      <w:pPr>
        <w:pStyle w:val="NormalWeb"/>
        <w:rPr>
          <w:shd w:val="clear" w:color="auto" w:fill="FFFFFF"/>
        </w:rPr>
      </w:pPr>
      <w:r w:rsidRPr="00114561">
        <w:rPr>
          <w:color w:val="454545"/>
          <w:shd w:val="clear" w:color="auto" w:fill="FFFFFF"/>
        </w:rPr>
        <w:t xml:space="preserve">On July 2, 2024, in </w:t>
      </w:r>
      <w:r w:rsidRPr="00114561">
        <w:rPr>
          <w:color w:val="454545"/>
          <w:u w:val="single"/>
          <w:shd w:val="clear" w:color="auto" w:fill="FFFFFF"/>
        </w:rPr>
        <w:t xml:space="preserve">Richard Dolsen, Jr. v. </w:t>
      </w:r>
      <w:proofErr w:type="spellStart"/>
      <w:r w:rsidRPr="00114561">
        <w:rPr>
          <w:color w:val="454545"/>
          <w:u w:val="single"/>
          <w:shd w:val="clear" w:color="auto" w:fill="FFFFFF"/>
        </w:rPr>
        <w:t>VeoRide</w:t>
      </w:r>
      <w:proofErr w:type="spellEnd"/>
      <w:r w:rsidRPr="00114561">
        <w:rPr>
          <w:color w:val="454545"/>
          <w:u w:val="single"/>
          <w:shd w:val="clear" w:color="auto" w:fill="FFFFFF"/>
        </w:rPr>
        <w:t>. Inc. and Sweet Real Estate – City Center, LLC</w:t>
      </w:r>
      <w:r w:rsidRPr="00114561">
        <w:rPr>
          <w:color w:val="454545"/>
          <w:shd w:val="clear" w:color="auto" w:fill="FFFFFF"/>
        </w:rPr>
        <w:t xml:space="preserve">, the Supreme Court of Indiana held (3 to 0) that trial court should not have dismissed the </w:t>
      </w:r>
      <w:proofErr w:type="gramStart"/>
      <w:r w:rsidR="009B2200">
        <w:rPr>
          <w:color w:val="454545"/>
          <w:shd w:val="clear" w:color="auto" w:fill="FFFFFF"/>
        </w:rPr>
        <w:t>C</w:t>
      </w:r>
      <w:r w:rsidR="009B2200" w:rsidRPr="00114561">
        <w:rPr>
          <w:color w:val="454545"/>
          <w:shd w:val="clear" w:color="auto" w:fill="FFFFFF"/>
        </w:rPr>
        <w:t>aptain’s</w:t>
      </w:r>
      <w:proofErr w:type="gramEnd"/>
      <w:r w:rsidRPr="00114561">
        <w:rPr>
          <w:color w:val="454545"/>
          <w:shd w:val="clear" w:color="auto" w:fill="FFFFFF"/>
        </w:rPr>
        <w:t xml:space="preserve"> lawsuit, and case remanded for pre-trial discovery and trial.  He was injured in </w:t>
      </w:r>
      <w:r w:rsidR="009B2200" w:rsidRPr="00114561">
        <w:rPr>
          <w:color w:val="454545"/>
          <w:shd w:val="clear" w:color="auto" w:fill="FFFFFF"/>
        </w:rPr>
        <w:t>a warehouse</w:t>
      </w:r>
      <w:r w:rsidRPr="00114561">
        <w:rPr>
          <w:color w:val="454545"/>
          <w:shd w:val="clear" w:color="auto" w:fill="FFFFFF"/>
        </w:rPr>
        <w:t xml:space="preserve"> fire; the company rents electric scooters and electric bicycles that are powered by lithium batteries, and one of the batteries caught fire.  As the Captain </w:t>
      </w:r>
      <w:r w:rsidR="009B2200" w:rsidRPr="00114561">
        <w:rPr>
          <w:color w:val="454545"/>
          <w:shd w:val="clear" w:color="auto" w:fill="FFFFFF"/>
        </w:rPr>
        <w:t>conducted</w:t>
      </w:r>
      <w:r w:rsidRPr="00114561">
        <w:rPr>
          <w:color w:val="454545"/>
          <w:shd w:val="clear" w:color="auto" w:fill="FFFFFF"/>
        </w:rPr>
        <w:t xml:space="preserve"> </w:t>
      </w:r>
      <w:r w:rsidR="009B2200">
        <w:rPr>
          <w:color w:val="454545"/>
          <w:shd w:val="clear" w:color="auto" w:fill="FFFFFF"/>
        </w:rPr>
        <w:t xml:space="preserve">his </w:t>
      </w:r>
      <w:r w:rsidRPr="00114561">
        <w:rPr>
          <w:color w:val="454545"/>
          <w:shd w:val="clear" w:color="auto" w:fill="FFFFFF"/>
        </w:rPr>
        <w:t>primary search along a wall, it “</w:t>
      </w:r>
      <w:r w:rsidRPr="00114561">
        <w:rPr>
          <w:shd w:val="clear" w:color="auto" w:fill="FFFFFF"/>
        </w:rPr>
        <w:t xml:space="preserve">was composed of bare wooden studs, with a gap left by a missing stud. Dolsen ‘could not see the opening in the wall due to the lack of light and the presence of smoke.’ </w:t>
      </w:r>
      <w:r w:rsidRPr="00114561">
        <w:rPr>
          <w:shd w:val="clear" w:color="auto" w:fill="FFFFFF"/>
        </w:rPr>
        <w:lastRenderedPageBreak/>
        <w:t xml:space="preserve">Id. Dolsen ‘fell to the bottom of the stairwell’ and was injured.” </w:t>
      </w:r>
      <w:hyperlink r:id="rId472" w:history="1">
        <w:r w:rsidRPr="00114561">
          <w:rPr>
            <w:rStyle w:val="Hyperlink"/>
            <w:shd w:val="clear" w:color="auto" w:fill="FFFFFF"/>
          </w:rPr>
          <w:t>https://cases.justia.com/indiana/court-of-appeals/2023-23a-ct-00945.pdf?ts=1698084643</w:t>
        </w:r>
      </w:hyperlink>
      <w:r w:rsidRPr="00114561">
        <w:rPr>
          <w:shd w:val="clear" w:color="auto" w:fill="FFFFFF"/>
        </w:rPr>
        <w:t xml:space="preserve"> </w:t>
      </w:r>
    </w:p>
    <w:p w14:paraId="020DF3A6" w14:textId="77777777" w:rsidR="00277A51" w:rsidRPr="00BC6AAE" w:rsidRDefault="00277A51" w:rsidP="00277A51">
      <w:pPr>
        <w:pStyle w:val="NoSpacing"/>
        <w:rPr>
          <w:rFonts w:ascii="Times New Roman" w:hAnsi="Times New Roman"/>
          <w:sz w:val="24"/>
          <w:szCs w:val="24"/>
          <w:shd w:val="clear" w:color="auto" w:fill="FFFFFF"/>
        </w:rPr>
      </w:pPr>
      <w:r w:rsidRPr="00BC6AAE">
        <w:rPr>
          <w:rFonts w:ascii="Times New Roman" w:hAnsi="Times New Roman"/>
          <w:sz w:val="24"/>
          <w:szCs w:val="24"/>
          <w:shd w:val="clear" w:color="auto" w:fill="FFFFFF"/>
        </w:rPr>
        <w:t xml:space="preserve">THE COURT HELD: </w:t>
      </w:r>
    </w:p>
    <w:p w14:paraId="6C48EB30" w14:textId="77777777" w:rsidR="00277A51" w:rsidRPr="00BC6AAE" w:rsidRDefault="00277A51" w:rsidP="00277A51">
      <w:pPr>
        <w:pStyle w:val="NoSpacing"/>
        <w:rPr>
          <w:rFonts w:ascii="Times New Roman" w:hAnsi="Times New Roman"/>
          <w:sz w:val="24"/>
          <w:szCs w:val="24"/>
          <w:shd w:val="clear" w:color="auto" w:fill="FFFFFF"/>
        </w:rPr>
      </w:pPr>
    </w:p>
    <w:p w14:paraId="44738002" w14:textId="77777777" w:rsidR="00277A51" w:rsidRDefault="00277A51" w:rsidP="00277A51">
      <w:pPr>
        <w:pStyle w:val="NoSpacing"/>
        <w:ind w:left="720"/>
        <w:rPr>
          <w:rFonts w:ascii="Times New Roman" w:hAnsi="Times New Roman"/>
          <w:sz w:val="24"/>
          <w:szCs w:val="24"/>
          <w:shd w:val="clear" w:color="auto" w:fill="FFFFFF"/>
        </w:rPr>
      </w:pPr>
      <w:r w:rsidRPr="00BC6AAE">
        <w:rPr>
          <w:rFonts w:ascii="Times New Roman" w:hAnsi="Times New Roman"/>
          <w:sz w:val="24"/>
          <w:szCs w:val="24"/>
          <w:shd w:val="clear" w:color="auto" w:fill="FFFFFF"/>
        </w:rPr>
        <w:t>“</w:t>
      </w:r>
      <w:r w:rsidRPr="00195E1E">
        <w:rPr>
          <w:rFonts w:ascii="Times New Roman" w:hAnsi="Times New Roman"/>
          <w:sz w:val="24"/>
          <w:szCs w:val="24"/>
          <w:shd w:val="clear" w:color="auto" w:fill="FFFFFF"/>
        </w:rPr>
        <w:t>Fort Wayne Fire Department Captain Richard Dolsen, Jr., was injured while</w:t>
      </w:r>
      <w:r>
        <w:rPr>
          <w:rFonts w:ascii="Times New Roman" w:hAnsi="Times New Roman"/>
          <w:sz w:val="24"/>
          <w:szCs w:val="24"/>
          <w:shd w:val="clear" w:color="auto" w:fill="FFFFFF"/>
        </w:rPr>
        <w:t xml:space="preserve"> </w:t>
      </w:r>
      <w:r w:rsidRPr="00195E1E">
        <w:rPr>
          <w:rFonts w:ascii="Times New Roman" w:hAnsi="Times New Roman"/>
          <w:sz w:val="24"/>
          <w:szCs w:val="24"/>
          <w:shd w:val="clear" w:color="auto" w:fill="FFFFFF"/>
        </w:rPr>
        <w:t xml:space="preserve">responding to a fire in a building leased by </w:t>
      </w:r>
      <w:proofErr w:type="spellStart"/>
      <w:r w:rsidRPr="00195E1E">
        <w:rPr>
          <w:rFonts w:ascii="Times New Roman" w:hAnsi="Times New Roman"/>
          <w:sz w:val="24"/>
          <w:szCs w:val="24"/>
          <w:shd w:val="clear" w:color="auto" w:fill="FFFFFF"/>
        </w:rPr>
        <w:t>VeoRide</w:t>
      </w:r>
      <w:proofErr w:type="spellEnd"/>
      <w:r w:rsidRPr="00195E1E">
        <w:rPr>
          <w:rFonts w:ascii="Times New Roman" w:hAnsi="Times New Roman"/>
          <w:sz w:val="24"/>
          <w:szCs w:val="24"/>
          <w:shd w:val="clear" w:color="auto" w:fill="FFFFFF"/>
        </w:rPr>
        <w:t xml:space="preserve">, Inc. Dolsen sued </w:t>
      </w:r>
      <w:proofErr w:type="spellStart"/>
      <w:r w:rsidRPr="00195E1E">
        <w:rPr>
          <w:rFonts w:ascii="Times New Roman" w:hAnsi="Times New Roman"/>
          <w:sz w:val="24"/>
          <w:szCs w:val="24"/>
          <w:shd w:val="clear" w:color="auto" w:fill="FFFFFF"/>
        </w:rPr>
        <w:t>VeoRide</w:t>
      </w:r>
      <w:proofErr w:type="spellEnd"/>
      <w:r>
        <w:rPr>
          <w:rFonts w:ascii="Times New Roman" w:hAnsi="Times New Roman"/>
          <w:sz w:val="24"/>
          <w:szCs w:val="24"/>
          <w:shd w:val="clear" w:color="auto" w:fill="FFFFFF"/>
        </w:rPr>
        <w:t xml:space="preserve"> </w:t>
      </w:r>
      <w:r w:rsidRPr="00195E1E">
        <w:rPr>
          <w:rFonts w:ascii="Times New Roman" w:hAnsi="Times New Roman"/>
          <w:sz w:val="24"/>
          <w:szCs w:val="24"/>
          <w:shd w:val="clear" w:color="auto" w:fill="FFFFFF"/>
        </w:rPr>
        <w:t xml:space="preserve">for negligence. </w:t>
      </w:r>
      <w:proofErr w:type="spellStart"/>
      <w:r w:rsidRPr="00195E1E">
        <w:rPr>
          <w:rFonts w:ascii="Times New Roman" w:hAnsi="Times New Roman"/>
          <w:sz w:val="24"/>
          <w:szCs w:val="24"/>
          <w:shd w:val="clear" w:color="auto" w:fill="FFFFFF"/>
        </w:rPr>
        <w:t>VeoRide</w:t>
      </w:r>
      <w:proofErr w:type="spellEnd"/>
      <w:r w:rsidRPr="00195E1E">
        <w:rPr>
          <w:rFonts w:ascii="Times New Roman" w:hAnsi="Times New Roman"/>
          <w:sz w:val="24"/>
          <w:szCs w:val="24"/>
          <w:shd w:val="clear" w:color="auto" w:fill="FFFFFF"/>
        </w:rPr>
        <w:t xml:space="preserve"> moved for summary judgment on the basis that</w:t>
      </w:r>
      <w:r>
        <w:rPr>
          <w:rFonts w:ascii="Times New Roman" w:hAnsi="Times New Roman"/>
          <w:sz w:val="24"/>
          <w:szCs w:val="24"/>
          <w:shd w:val="clear" w:color="auto" w:fill="FFFFFF"/>
        </w:rPr>
        <w:t xml:space="preserve"> </w:t>
      </w:r>
      <w:r w:rsidRPr="00195E1E">
        <w:rPr>
          <w:rFonts w:ascii="Times New Roman" w:hAnsi="Times New Roman"/>
          <w:sz w:val="24"/>
          <w:szCs w:val="24"/>
          <w:shd w:val="clear" w:color="auto" w:fill="FFFFFF"/>
        </w:rPr>
        <w:t>Dolsen’s claims were barred by Indiana’s firefighter’s rule,1 and the trial court</w:t>
      </w:r>
      <w:r>
        <w:rPr>
          <w:rFonts w:ascii="Times New Roman" w:hAnsi="Times New Roman"/>
          <w:sz w:val="24"/>
          <w:szCs w:val="24"/>
          <w:shd w:val="clear" w:color="auto" w:fill="FFFFFF"/>
        </w:rPr>
        <w:t xml:space="preserve"> </w:t>
      </w:r>
      <w:r w:rsidRPr="00195E1E">
        <w:rPr>
          <w:rFonts w:ascii="Times New Roman" w:hAnsi="Times New Roman"/>
          <w:sz w:val="24"/>
          <w:szCs w:val="24"/>
          <w:shd w:val="clear" w:color="auto" w:fill="FFFFFF"/>
        </w:rPr>
        <w:t>granted that motion. On appeal, Dolsen argues that the trial court erred. We</w:t>
      </w:r>
      <w:r>
        <w:rPr>
          <w:rFonts w:ascii="Times New Roman" w:hAnsi="Times New Roman"/>
          <w:sz w:val="24"/>
          <w:szCs w:val="24"/>
          <w:shd w:val="clear" w:color="auto" w:fill="FFFFFF"/>
        </w:rPr>
        <w:t xml:space="preserve"> </w:t>
      </w:r>
      <w:r w:rsidRPr="00195E1E">
        <w:rPr>
          <w:rFonts w:ascii="Times New Roman" w:hAnsi="Times New Roman"/>
          <w:sz w:val="24"/>
          <w:szCs w:val="24"/>
          <w:shd w:val="clear" w:color="auto" w:fill="FFFFFF"/>
        </w:rPr>
        <w:t>agree, so we reverse and remand for further proceedings.</w:t>
      </w:r>
    </w:p>
    <w:p w14:paraId="1E02A8F7" w14:textId="77777777" w:rsidR="00277A51" w:rsidRDefault="00277A51" w:rsidP="00277A51">
      <w:pPr>
        <w:pStyle w:val="NoSpacing"/>
        <w:ind w:left="720"/>
        <w:rPr>
          <w:rFonts w:ascii="Times New Roman" w:hAnsi="Times New Roman"/>
          <w:sz w:val="24"/>
          <w:szCs w:val="24"/>
          <w:shd w:val="clear" w:color="auto" w:fill="FFFFFF"/>
        </w:rPr>
      </w:pPr>
    </w:p>
    <w:p w14:paraId="6718D635" w14:textId="77777777" w:rsidR="00277A51" w:rsidRDefault="00277A51" w:rsidP="00277A51">
      <w:pPr>
        <w:pStyle w:val="NoSpacing"/>
        <w:ind w:left="720"/>
        <w:rPr>
          <w:rFonts w:ascii="Times New Roman" w:hAnsi="Times New Roman"/>
          <w:sz w:val="24"/>
          <w:szCs w:val="24"/>
          <w:shd w:val="clear" w:color="auto" w:fill="FFFFFF"/>
        </w:rPr>
      </w:pPr>
      <w:r>
        <w:rPr>
          <w:rFonts w:ascii="Times New Roman" w:hAnsi="Times New Roman"/>
          <w:sz w:val="24"/>
          <w:szCs w:val="24"/>
          <w:shd w:val="clear" w:color="auto" w:fill="FFFFFF"/>
        </w:rPr>
        <w:t>***</w:t>
      </w:r>
    </w:p>
    <w:p w14:paraId="3EDE9E39" w14:textId="77777777" w:rsidR="00277A51" w:rsidRDefault="00277A51" w:rsidP="00277A51">
      <w:pPr>
        <w:pStyle w:val="NoSpacing"/>
        <w:ind w:left="720"/>
        <w:rPr>
          <w:rFonts w:ascii="Times New Roman" w:hAnsi="Times New Roman"/>
          <w:sz w:val="24"/>
          <w:szCs w:val="24"/>
          <w:shd w:val="clear" w:color="auto" w:fill="FFFFFF"/>
        </w:rPr>
      </w:pPr>
    </w:p>
    <w:p w14:paraId="7D68CAEB" w14:textId="77777777" w:rsidR="00277A51" w:rsidRPr="00BC6AAE" w:rsidRDefault="00277A51" w:rsidP="00277A51">
      <w:pPr>
        <w:pStyle w:val="NoSpacing"/>
        <w:ind w:left="720"/>
        <w:rPr>
          <w:rFonts w:ascii="Times New Roman" w:hAnsi="Times New Roman"/>
          <w:sz w:val="24"/>
          <w:szCs w:val="24"/>
          <w:shd w:val="clear" w:color="auto" w:fill="FFFFFF"/>
        </w:rPr>
      </w:pPr>
      <w:r w:rsidRPr="00BC6AAE">
        <w:rPr>
          <w:rFonts w:ascii="Times New Roman" w:hAnsi="Times New Roman"/>
          <w:sz w:val="24"/>
          <w:szCs w:val="24"/>
          <w:shd w:val="clear" w:color="auto" w:fill="FFFFFF"/>
        </w:rPr>
        <w:t xml:space="preserve">Based on the foregoing, we conclude that whether </w:t>
      </w:r>
      <w:proofErr w:type="spellStart"/>
      <w:r w:rsidRPr="00BC6AAE">
        <w:rPr>
          <w:rFonts w:ascii="Times New Roman" w:hAnsi="Times New Roman"/>
          <w:sz w:val="24"/>
          <w:szCs w:val="24"/>
          <w:shd w:val="clear" w:color="auto" w:fill="FFFFFF"/>
        </w:rPr>
        <w:t>VeoRide</w:t>
      </w:r>
      <w:proofErr w:type="spellEnd"/>
      <w:r w:rsidRPr="00BC6AAE">
        <w:rPr>
          <w:rFonts w:ascii="Times New Roman" w:hAnsi="Times New Roman"/>
          <w:sz w:val="24"/>
          <w:szCs w:val="24"/>
          <w:shd w:val="clear" w:color="auto" w:fill="FFFFFF"/>
        </w:rPr>
        <w:t xml:space="preserve"> owed Dolsen a duty to warn him of the gap in the wall next to the stairwell depends upon underlying facts that require resolution by the trier of fact, including whether </w:t>
      </w:r>
      <w:proofErr w:type="spellStart"/>
      <w:r w:rsidRPr="00BC6AAE">
        <w:rPr>
          <w:rFonts w:ascii="Times New Roman" w:hAnsi="Times New Roman"/>
          <w:sz w:val="24"/>
          <w:szCs w:val="24"/>
          <w:shd w:val="clear" w:color="auto" w:fill="FFFFFF"/>
        </w:rPr>
        <w:t>VeoRide</w:t>
      </w:r>
      <w:proofErr w:type="spellEnd"/>
      <w:r w:rsidRPr="00BC6AAE">
        <w:rPr>
          <w:rFonts w:ascii="Times New Roman" w:hAnsi="Times New Roman"/>
          <w:sz w:val="24"/>
          <w:szCs w:val="24"/>
          <w:shd w:val="clear" w:color="auto" w:fill="FFFFFF"/>
        </w:rPr>
        <w:t xml:space="preserve"> should have realized that the condition involved an unreasonable risk of causing physical harm to Dolsen (who did not know or have reason to know of the condition and the risk involved), whether </w:t>
      </w:r>
      <w:proofErr w:type="spellStart"/>
      <w:r w:rsidRPr="00BC6AAE">
        <w:rPr>
          <w:rFonts w:ascii="Times New Roman" w:hAnsi="Times New Roman"/>
          <w:sz w:val="24"/>
          <w:szCs w:val="24"/>
          <w:shd w:val="clear" w:color="auto" w:fill="FFFFFF"/>
        </w:rPr>
        <w:t>VeoRide</w:t>
      </w:r>
      <w:proofErr w:type="spellEnd"/>
      <w:r w:rsidRPr="00BC6AAE">
        <w:rPr>
          <w:rFonts w:ascii="Times New Roman" w:hAnsi="Times New Roman"/>
          <w:sz w:val="24"/>
          <w:szCs w:val="24"/>
          <w:shd w:val="clear" w:color="auto" w:fill="FFFFFF"/>
        </w:rPr>
        <w:t xml:space="preserve"> should have expected that Dolsen would not discover or realize the danger, and whether </w:t>
      </w:r>
      <w:proofErr w:type="spellStart"/>
      <w:r w:rsidRPr="00BC6AAE">
        <w:rPr>
          <w:rFonts w:ascii="Times New Roman" w:hAnsi="Times New Roman"/>
          <w:sz w:val="24"/>
          <w:szCs w:val="24"/>
          <w:shd w:val="clear" w:color="auto" w:fill="FFFFFF"/>
        </w:rPr>
        <w:t>VeoRide</w:t>
      </w:r>
      <w:proofErr w:type="spellEnd"/>
      <w:r w:rsidRPr="00BC6AAE">
        <w:rPr>
          <w:rFonts w:ascii="Times New Roman" w:hAnsi="Times New Roman"/>
          <w:sz w:val="24"/>
          <w:szCs w:val="24"/>
          <w:shd w:val="clear" w:color="auto" w:fill="FFFFFF"/>
        </w:rPr>
        <w:t xml:space="preserve"> had reason to expect that Dolsen would encounter the condition in the exercise of his license.</w:t>
      </w:r>
      <w:r w:rsidRPr="00BC6AAE">
        <w:rPr>
          <w:rFonts w:ascii="Times New Roman" w:hAnsi="Times New Roman"/>
          <w:sz w:val="24"/>
          <w:szCs w:val="24"/>
        </w:rPr>
        <w:t xml:space="preserve"> </w:t>
      </w:r>
      <w:r w:rsidRPr="00BC6AAE">
        <w:rPr>
          <w:rFonts w:ascii="Times New Roman" w:hAnsi="Times New Roman"/>
          <w:sz w:val="24"/>
          <w:szCs w:val="24"/>
          <w:shd w:val="clear" w:color="auto" w:fill="FFFFFF"/>
        </w:rPr>
        <w:t xml:space="preserve">Assuming arguendo that such a duty existed, we further conclude that genuine issues of material fact exist regarding whether </w:t>
      </w:r>
      <w:proofErr w:type="spellStart"/>
      <w:r w:rsidRPr="00BC6AAE">
        <w:rPr>
          <w:rFonts w:ascii="Times New Roman" w:hAnsi="Times New Roman"/>
          <w:sz w:val="24"/>
          <w:szCs w:val="24"/>
          <w:shd w:val="clear" w:color="auto" w:fill="FFFFFF"/>
        </w:rPr>
        <w:t>VeoRide’s</w:t>
      </w:r>
      <w:proofErr w:type="spellEnd"/>
      <w:r w:rsidRPr="00BC6AAE">
        <w:rPr>
          <w:rFonts w:ascii="Times New Roman" w:hAnsi="Times New Roman"/>
          <w:sz w:val="24"/>
          <w:szCs w:val="24"/>
          <w:shd w:val="clear" w:color="auto" w:fill="FFFFFF"/>
        </w:rPr>
        <w:t xml:space="preserve"> failure to warn Dolsen of the condition and the risk involved was a breach of that duty, that is, a failure to exercise reasonable care under the circumstances pursuant to Restatement Section 342(b); among the factors to be considered are whether </w:t>
      </w:r>
      <w:proofErr w:type="spellStart"/>
      <w:r w:rsidRPr="00BC6AAE">
        <w:rPr>
          <w:rFonts w:ascii="Times New Roman" w:hAnsi="Times New Roman"/>
          <w:sz w:val="24"/>
          <w:szCs w:val="24"/>
          <w:shd w:val="clear" w:color="auto" w:fill="FFFFFF"/>
        </w:rPr>
        <w:t>VeoRide</w:t>
      </w:r>
      <w:proofErr w:type="spellEnd"/>
      <w:r w:rsidRPr="00BC6AAE">
        <w:rPr>
          <w:rFonts w:ascii="Times New Roman" w:hAnsi="Times New Roman"/>
          <w:sz w:val="24"/>
          <w:szCs w:val="24"/>
          <w:shd w:val="clear" w:color="auto" w:fill="FFFFFF"/>
        </w:rPr>
        <w:t xml:space="preserve"> had a reasonable opportunity to alert fire department personnel. Additional issues of material fact exist regarding whether any breach of a duty to warn proximately caused Dolsen’s injuries and the extent to which Dolsen might have contributed to his injuries for purposes of the Comparative Fault Act. Consequently, we reverse the trial court’s entry of summary judgment in</w:t>
      </w:r>
    </w:p>
    <w:p w14:paraId="383D8DE3" w14:textId="77777777" w:rsidR="00277A51" w:rsidRDefault="00277A51" w:rsidP="00277A51">
      <w:pPr>
        <w:pStyle w:val="NoSpacing"/>
        <w:ind w:firstLine="720"/>
        <w:rPr>
          <w:rFonts w:ascii="Times New Roman" w:hAnsi="Times New Roman"/>
          <w:sz w:val="24"/>
          <w:szCs w:val="24"/>
          <w:shd w:val="clear" w:color="auto" w:fill="FFFFFF"/>
        </w:rPr>
      </w:pPr>
      <w:proofErr w:type="spellStart"/>
      <w:r w:rsidRPr="00BC6AAE">
        <w:rPr>
          <w:rFonts w:ascii="Times New Roman" w:hAnsi="Times New Roman"/>
          <w:sz w:val="24"/>
          <w:szCs w:val="24"/>
          <w:shd w:val="clear" w:color="auto" w:fill="FFFFFF"/>
        </w:rPr>
        <w:t>VeoRide’s</w:t>
      </w:r>
      <w:proofErr w:type="spellEnd"/>
      <w:r w:rsidRPr="00BC6AAE">
        <w:rPr>
          <w:rFonts w:ascii="Times New Roman" w:hAnsi="Times New Roman"/>
          <w:sz w:val="24"/>
          <w:szCs w:val="24"/>
          <w:shd w:val="clear" w:color="auto" w:fill="FFFFFF"/>
        </w:rPr>
        <w:t xml:space="preserve"> favor and </w:t>
      </w:r>
      <w:proofErr w:type="gramStart"/>
      <w:r w:rsidRPr="00BC6AAE">
        <w:rPr>
          <w:rFonts w:ascii="Times New Roman" w:hAnsi="Times New Roman"/>
          <w:sz w:val="24"/>
          <w:szCs w:val="24"/>
          <w:shd w:val="clear" w:color="auto" w:fill="FFFFFF"/>
        </w:rPr>
        <w:t>remand</w:t>
      </w:r>
      <w:proofErr w:type="gramEnd"/>
      <w:r w:rsidRPr="00BC6AAE">
        <w:rPr>
          <w:rFonts w:ascii="Times New Roman" w:hAnsi="Times New Roman"/>
          <w:sz w:val="24"/>
          <w:szCs w:val="24"/>
          <w:shd w:val="clear" w:color="auto" w:fill="FFFFFF"/>
        </w:rPr>
        <w:t xml:space="preserve"> for further </w:t>
      </w:r>
      <w:proofErr w:type="gramStart"/>
      <w:r w:rsidRPr="00BC6AAE">
        <w:rPr>
          <w:rFonts w:ascii="Times New Roman" w:hAnsi="Times New Roman"/>
          <w:sz w:val="24"/>
          <w:szCs w:val="24"/>
          <w:shd w:val="clear" w:color="auto" w:fill="FFFFFF"/>
        </w:rPr>
        <w:t>proceedings.”</w:t>
      </w:r>
      <w:proofErr w:type="gramEnd"/>
    </w:p>
    <w:p w14:paraId="143D14C1" w14:textId="77777777" w:rsidR="00277A51" w:rsidRDefault="00277A51" w:rsidP="00286F24">
      <w:pPr>
        <w:rPr>
          <w:rFonts w:ascii="Arial Black" w:hAnsi="Arial Black"/>
          <w:sz w:val="24"/>
          <w:szCs w:val="24"/>
        </w:rPr>
      </w:pPr>
    </w:p>
    <w:p w14:paraId="6F533D41" w14:textId="3A77974A" w:rsidR="00325688" w:rsidRPr="008757E3" w:rsidRDefault="00325688" w:rsidP="00325688">
      <w:pPr>
        <w:pStyle w:val="NoSpacing"/>
        <w:rPr>
          <w:rFonts w:ascii="Times New Roman" w:hAnsi="Times New Roman"/>
          <w:b/>
          <w:bCs/>
          <w:sz w:val="24"/>
          <w:szCs w:val="24"/>
          <w:shd w:val="clear" w:color="auto" w:fill="FFFFFF"/>
        </w:rPr>
      </w:pPr>
      <w:r w:rsidRPr="008757E3">
        <w:rPr>
          <w:rFonts w:ascii="Times New Roman" w:hAnsi="Times New Roman"/>
          <w:b/>
          <w:bCs/>
          <w:sz w:val="24"/>
          <w:szCs w:val="24"/>
          <w:shd w:val="clear" w:color="auto" w:fill="FFFFFF"/>
        </w:rPr>
        <w:t>Legal Lesson Learned:</w:t>
      </w:r>
      <w:r>
        <w:rPr>
          <w:rFonts w:ascii="Times New Roman" w:hAnsi="Times New Roman"/>
          <w:b/>
          <w:bCs/>
          <w:sz w:val="24"/>
          <w:szCs w:val="24"/>
          <w:shd w:val="clear" w:color="auto" w:fill="FFFFFF"/>
        </w:rPr>
        <w:t xml:space="preserve"> </w:t>
      </w:r>
      <w:r w:rsidR="009B2323">
        <w:rPr>
          <w:rFonts w:ascii="Times New Roman" w:hAnsi="Times New Roman"/>
          <w:b/>
          <w:bCs/>
          <w:sz w:val="24"/>
          <w:szCs w:val="24"/>
          <w:shd w:val="clear" w:color="auto" w:fill="FFFFFF"/>
        </w:rPr>
        <w:t xml:space="preserve">If </w:t>
      </w:r>
      <w:r>
        <w:rPr>
          <w:rFonts w:ascii="Times New Roman" w:hAnsi="Times New Roman"/>
          <w:b/>
          <w:bCs/>
          <w:sz w:val="24"/>
          <w:szCs w:val="24"/>
          <w:shd w:val="clear" w:color="auto" w:fill="FFFFFF"/>
        </w:rPr>
        <w:t xml:space="preserve">trial court </w:t>
      </w:r>
      <w:r w:rsidR="00D20D16">
        <w:rPr>
          <w:rFonts w:ascii="Times New Roman" w:hAnsi="Times New Roman"/>
          <w:b/>
          <w:bCs/>
          <w:sz w:val="24"/>
          <w:szCs w:val="24"/>
          <w:shd w:val="clear" w:color="auto" w:fill="FFFFFF"/>
        </w:rPr>
        <w:t xml:space="preserve">determines the company had </w:t>
      </w:r>
      <w:r>
        <w:rPr>
          <w:rFonts w:ascii="Times New Roman" w:hAnsi="Times New Roman"/>
          <w:b/>
          <w:bCs/>
          <w:sz w:val="24"/>
          <w:szCs w:val="24"/>
          <w:shd w:val="clear" w:color="auto" w:fill="FFFFFF"/>
        </w:rPr>
        <w:t>a “duty to warn” the</w:t>
      </w:r>
      <w:r w:rsidR="00D20D16">
        <w:rPr>
          <w:rFonts w:ascii="Times New Roman" w:hAnsi="Times New Roman"/>
          <w:b/>
          <w:bCs/>
          <w:sz w:val="24"/>
          <w:szCs w:val="24"/>
          <w:shd w:val="clear" w:color="auto" w:fill="FFFFFF"/>
        </w:rPr>
        <w:t xml:space="preserve">n case may proceed to jury trial </w:t>
      </w:r>
      <w:r w:rsidR="00C76A59">
        <w:rPr>
          <w:rFonts w:ascii="Times New Roman" w:hAnsi="Times New Roman"/>
          <w:b/>
          <w:bCs/>
          <w:sz w:val="24"/>
          <w:szCs w:val="24"/>
          <w:shd w:val="clear" w:color="auto" w:fill="FFFFFF"/>
        </w:rPr>
        <w:t xml:space="preserve">for damages. </w:t>
      </w:r>
      <w:r>
        <w:rPr>
          <w:rFonts w:ascii="Times New Roman" w:hAnsi="Times New Roman"/>
          <w:b/>
          <w:bCs/>
          <w:sz w:val="24"/>
          <w:szCs w:val="24"/>
          <w:shd w:val="clear" w:color="auto" w:fill="FFFFFF"/>
        </w:rPr>
        <w:t xml:space="preserve">  </w:t>
      </w:r>
    </w:p>
    <w:p w14:paraId="60EFEC90" w14:textId="77777777" w:rsidR="00325688" w:rsidRDefault="00325688" w:rsidP="00286F24">
      <w:pPr>
        <w:rPr>
          <w:rFonts w:ascii="Arial Black" w:hAnsi="Arial Black"/>
          <w:sz w:val="24"/>
          <w:szCs w:val="24"/>
        </w:rPr>
      </w:pPr>
    </w:p>
    <w:p w14:paraId="2D7529C7" w14:textId="77777777" w:rsidR="00277A51" w:rsidRDefault="00277A51" w:rsidP="00286F24">
      <w:pPr>
        <w:rPr>
          <w:rFonts w:ascii="Arial Black" w:hAnsi="Arial Black"/>
          <w:sz w:val="24"/>
          <w:szCs w:val="24"/>
        </w:rPr>
      </w:pPr>
    </w:p>
    <w:p w14:paraId="1348FA76" w14:textId="77777777" w:rsidR="00277A51" w:rsidRDefault="00277A51" w:rsidP="00286F24">
      <w:pPr>
        <w:rPr>
          <w:rFonts w:ascii="Arial Black" w:hAnsi="Arial Black"/>
          <w:sz w:val="24"/>
          <w:szCs w:val="24"/>
        </w:rPr>
      </w:pPr>
    </w:p>
    <w:p w14:paraId="52DA5E9E" w14:textId="64467CF0" w:rsidR="008E2491" w:rsidRDefault="008E2491" w:rsidP="00286F24">
      <w:pPr>
        <w:rPr>
          <w:rFonts w:ascii="Arial Black" w:hAnsi="Arial Black"/>
          <w:sz w:val="24"/>
          <w:szCs w:val="24"/>
        </w:rPr>
      </w:pPr>
      <w:r>
        <w:rPr>
          <w:rFonts w:ascii="Arial Black" w:hAnsi="Arial Black"/>
          <w:sz w:val="24"/>
          <w:szCs w:val="24"/>
        </w:rPr>
        <w:t>2-</w:t>
      </w:r>
      <w:r w:rsidR="00891E1D">
        <w:rPr>
          <w:rFonts w:ascii="Arial Black" w:hAnsi="Arial Black"/>
          <w:sz w:val="24"/>
          <w:szCs w:val="24"/>
        </w:rPr>
        <w:t>69</w:t>
      </w:r>
    </w:p>
    <w:p w14:paraId="465D29B6" w14:textId="14B56FA8" w:rsidR="00474B94" w:rsidRPr="00DC4333" w:rsidRDefault="00474B94" w:rsidP="00474B94">
      <w:pPr>
        <w:pStyle w:val="NormalWeb"/>
        <w:rPr>
          <w:rFonts w:ascii="Arial Black" w:hAnsi="Arial Black"/>
          <w:b/>
          <w:bCs/>
          <w:color w:val="454545"/>
          <w:sz w:val="28"/>
          <w:szCs w:val="28"/>
          <w:shd w:val="clear" w:color="auto" w:fill="FFFFFF"/>
        </w:rPr>
      </w:pPr>
      <w:r>
        <w:rPr>
          <w:rFonts w:ascii="Arial Black" w:hAnsi="Arial Black"/>
          <w:b/>
          <w:bCs/>
          <w:color w:val="454545"/>
          <w:sz w:val="28"/>
          <w:szCs w:val="28"/>
          <w:shd w:val="clear" w:color="auto" w:fill="FFFFFF"/>
        </w:rPr>
        <w:t xml:space="preserve">PA: FF KILLED - OTHERS INJURED - WOMAN DROVE JEEP </w:t>
      </w:r>
      <w:r w:rsidR="009D06F9">
        <w:rPr>
          <w:rFonts w:ascii="Arial Black" w:hAnsi="Arial Black"/>
          <w:b/>
          <w:bCs/>
          <w:color w:val="454545"/>
          <w:sz w:val="28"/>
          <w:szCs w:val="28"/>
          <w:shd w:val="clear" w:color="auto" w:fill="FFFFFF"/>
        </w:rPr>
        <w:t xml:space="preserve">WITH </w:t>
      </w:r>
      <w:r>
        <w:rPr>
          <w:rFonts w:ascii="Arial Black" w:hAnsi="Arial Black"/>
          <w:b/>
          <w:bCs/>
          <w:color w:val="454545"/>
          <w:sz w:val="28"/>
          <w:szCs w:val="28"/>
          <w:shd w:val="clear" w:color="auto" w:fill="FFFFFF"/>
        </w:rPr>
        <w:t>BAD BREAKS INTO ACCIDENT SCENE – 12-24 YRS PRISON</w:t>
      </w:r>
    </w:p>
    <w:p w14:paraId="43CCD9B3" w14:textId="77777777" w:rsidR="001603B7" w:rsidRDefault="00474B94" w:rsidP="001603B7">
      <w:pPr>
        <w:pStyle w:val="NormalWeb"/>
      </w:pPr>
      <w:r>
        <w:t xml:space="preserve">On May 17, 2024, in </w:t>
      </w:r>
      <w:r w:rsidRPr="008C4838">
        <w:rPr>
          <w:u w:val="single"/>
        </w:rPr>
        <w:t>Commonwealth of Pennsylvania v. Jacquelyn Walker</w:t>
      </w:r>
      <w:r>
        <w:t xml:space="preserve">, the Superior Court of Pennsylvania held (3 to 0) that the sentence was appropriate.  The accident scene on July 24, </w:t>
      </w:r>
      <w:proofErr w:type="gramStart"/>
      <w:r>
        <w:t>2021</w:t>
      </w:r>
      <w:proofErr w:type="gramEnd"/>
      <w:r>
        <w:t xml:space="preserve"> was westbound on I-76 at 3 am.  The defendant drove her 2004 Jeep Grand Cherokee over the rumble strips and into the right berm, and struck three members of the Belmont Hills Fire Department, killing firefighter Thomas Royds, </w:t>
      </w:r>
      <w:proofErr w:type="gramStart"/>
      <w:r>
        <w:t>and also</w:t>
      </w:r>
      <w:proofErr w:type="gramEnd"/>
      <w:r>
        <w:t xml:space="preserve"> striking a Trooper.  The Superior Court agreed with the Sentencing Judge who wrote: “Who protects those first responders who are willing to expose themselves to possible harm or death to protect us? </w:t>
      </w:r>
      <w:r>
        <w:rPr>
          <w:rStyle w:val="Emphasis"/>
          <w:rFonts w:eastAsiaTheme="majorEastAsia"/>
        </w:rPr>
        <w:t>Id</w:t>
      </w:r>
      <w:r>
        <w:t xml:space="preserve">. at 83. [T]hey should not have to be exposed to sustained reckless behavior amounting to malicious conduct almost certain to </w:t>
      </w:r>
      <w:r>
        <w:lastRenderedPageBreak/>
        <w:t xml:space="preserve">cause death or serious bodily injury such as the conduct of this defendant.’ </w:t>
      </w:r>
      <w:r>
        <w:rPr>
          <w:rStyle w:val="Emphasis"/>
          <w:rFonts w:eastAsiaTheme="majorEastAsia"/>
        </w:rPr>
        <w:t>Id</w:t>
      </w:r>
      <w:r>
        <w:t xml:space="preserve">. It answered its own question by concluding that ‘first responders can only be protected by the Court,’ and that it could only do so by imposing "appropriate punishment for this type of malice criminal conduct.’ </w:t>
      </w:r>
      <w:r>
        <w:rPr>
          <w:rStyle w:val="Emphasis"/>
          <w:rFonts w:eastAsiaTheme="majorEastAsia"/>
        </w:rPr>
        <w:t>Id</w:t>
      </w:r>
      <w:r>
        <w:t xml:space="preserve">. at 84.”  </w:t>
      </w:r>
      <w:hyperlink r:id="rId473" w:history="1">
        <w:r w:rsidR="001603B7" w:rsidRPr="00CE1BCF">
          <w:rPr>
            <w:rStyle w:val="Hyperlink"/>
          </w:rPr>
          <w:t>https://www.pacourts.us/assets/opinions/Superior/out/J-S40043-23m%20-%20105940494266483578.pdf?cb=1</w:t>
        </w:r>
      </w:hyperlink>
      <w:r w:rsidR="001603B7">
        <w:t xml:space="preserve"> </w:t>
      </w:r>
    </w:p>
    <w:p w14:paraId="7F160434" w14:textId="304A7E87" w:rsidR="00474B94" w:rsidRDefault="00CF7974" w:rsidP="00474B94">
      <w:pPr>
        <w:pStyle w:val="NormalWeb"/>
      </w:pPr>
      <w:r>
        <w:t xml:space="preserve">THE COURT HELD: </w:t>
      </w:r>
      <w:r w:rsidR="00474B94">
        <w:t xml:space="preserve"> </w:t>
      </w:r>
    </w:p>
    <w:p w14:paraId="0AAC3DF9" w14:textId="77777777" w:rsidR="00474B94" w:rsidRDefault="00474B94" w:rsidP="00474B94">
      <w:pPr>
        <w:pStyle w:val="NormalWeb"/>
        <w:ind w:left="720" w:firstLine="60"/>
      </w:pPr>
      <w:r>
        <w:t>“Appellant argues that the sentence imposed ‘amounted to the functional equivalent of a life sentence,’ because she is a 64-year-old disabled woman, and therefore was "at odds with the fundamental norms of the sentencing process.’</w:t>
      </w:r>
    </w:p>
    <w:p w14:paraId="0CD22F55" w14:textId="77777777" w:rsidR="00474B94" w:rsidRDefault="00474B94" w:rsidP="00474B94">
      <w:pPr>
        <w:pStyle w:val="NormalWeb"/>
        <w:ind w:left="720" w:firstLine="60"/>
      </w:pPr>
      <w:r>
        <w:t>***</w:t>
      </w:r>
    </w:p>
    <w:p w14:paraId="766E9A5B" w14:textId="77777777" w:rsidR="00474B94" w:rsidRDefault="00474B94" w:rsidP="00474B94">
      <w:pPr>
        <w:pStyle w:val="NormalWeb"/>
        <w:ind w:left="720"/>
      </w:pPr>
      <w:r>
        <w:t xml:space="preserve">We cannot say that the sentencing court abused its discretion by imposing an aggregate term of 12 to 24 years' imprisonment where Appellant admitted to acting with such recklessness that it amounted to legal malice and which resulted in the killing of one person, caused severe injuries to two others, and endangered several more, all of whom were first responders who had clearly marked the road with sufficient warnings. The three sentence terms that make up the aggregate sentence are all within the standard range, and each are for a different victim: murder in the third degree of Firefighter Thomas Royds; aggravated assault by vehicle of Firefighter Alex Fischer; and aggravated assault by vehicle of Firefighter Sam Sheffer. </w:t>
      </w:r>
    </w:p>
    <w:p w14:paraId="0C248408" w14:textId="34E4CD3F" w:rsidR="00474B94" w:rsidRDefault="00474B94" w:rsidP="00474B94">
      <w:pPr>
        <w:pStyle w:val="NormalWeb"/>
        <w:ind w:left="720"/>
      </w:pPr>
      <w:r>
        <w:t xml:space="preserve">Appellant's implicit argument is that the severity of the crime and admitted malice with which she caused death and serious injury could not warrant standard range sentence terms. As the sentencing court explained: The amount of pain and suffering that this defendant has caused is enormous. The terrible impact of her crime is certainly enduring. It's clearly apparent that the injuries could have been far worse; we have firefighters and the Trooper Burnett who escaped death or serious bodily injury just simply by inches that day. She acted recklessly and she acted with malice. She did not care about the rules of the road or the safety of others. She had no justification or excuse for her conduct.” </w:t>
      </w:r>
    </w:p>
    <w:p w14:paraId="2C969782" w14:textId="77777777" w:rsidR="00AD6C0A" w:rsidRPr="00E76DDF" w:rsidRDefault="00AD6C0A" w:rsidP="00AD6C0A">
      <w:pPr>
        <w:pStyle w:val="NormalWeb"/>
        <w:rPr>
          <w:b/>
          <w:bCs/>
        </w:rPr>
      </w:pPr>
      <w:r>
        <w:rPr>
          <w:b/>
          <w:bCs/>
        </w:rPr>
        <w:t xml:space="preserve">Legal Lesson Learned:  The sentence imposed was appropriate for pain inflicted. </w:t>
      </w:r>
    </w:p>
    <w:p w14:paraId="283F267A" w14:textId="77777777" w:rsidR="00AD6C0A" w:rsidRPr="00AD6C0A" w:rsidRDefault="00AD6C0A" w:rsidP="00AD6C0A">
      <w:pPr>
        <w:pStyle w:val="Heading1"/>
        <w:ind w:left="720"/>
        <w:rPr>
          <w:b w:val="0"/>
          <w:bCs w:val="0"/>
          <w:sz w:val="24"/>
          <w:szCs w:val="24"/>
        </w:rPr>
      </w:pPr>
      <w:r w:rsidRPr="00AD6C0A">
        <w:rPr>
          <w:b w:val="0"/>
          <w:bCs w:val="0"/>
          <w:sz w:val="24"/>
          <w:szCs w:val="24"/>
        </w:rPr>
        <w:t>Note: See National Fallen Firefighters Foundation article on FF Thomas E. Royds, better known as “</w:t>
      </w:r>
      <w:proofErr w:type="spellStart"/>
      <w:r w:rsidRPr="00AD6C0A">
        <w:rPr>
          <w:b w:val="0"/>
          <w:bCs w:val="0"/>
          <w:sz w:val="24"/>
          <w:szCs w:val="24"/>
        </w:rPr>
        <w:t>Roydsy</w:t>
      </w:r>
      <w:proofErr w:type="spellEnd"/>
      <w:r w:rsidRPr="00AD6C0A">
        <w:rPr>
          <w:b w:val="0"/>
          <w:bCs w:val="0"/>
          <w:sz w:val="24"/>
          <w:szCs w:val="24"/>
        </w:rPr>
        <w:t>.”</w:t>
      </w:r>
      <w:r w:rsidRPr="00F125FC">
        <w:t xml:space="preserve"> </w:t>
      </w:r>
      <w:hyperlink r:id="rId474" w:history="1">
        <w:r w:rsidRPr="00AD6C0A">
          <w:rPr>
            <w:rStyle w:val="Hyperlink"/>
            <w:b w:val="0"/>
            <w:bCs w:val="0"/>
            <w:sz w:val="24"/>
            <w:szCs w:val="24"/>
          </w:rPr>
          <w:t>https://www.firehero.org/fallen-firefighter/thomas-e-royds/</w:t>
        </w:r>
      </w:hyperlink>
      <w:r w:rsidRPr="00AD6C0A">
        <w:rPr>
          <w:b w:val="0"/>
          <w:bCs w:val="0"/>
          <w:sz w:val="24"/>
          <w:szCs w:val="24"/>
        </w:rPr>
        <w:t xml:space="preserve"> </w:t>
      </w:r>
    </w:p>
    <w:p w14:paraId="2F963009" w14:textId="77777777" w:rsidR="008E2491" w:rsidRDefault="008E2491" w:rsidP="00286F24">
      <w:pPr>
        <w:rPr>
          <w:rFonts w:ascii="Arial Black" w:hAnsi="Arial Black"/>
          <w:sz w:val="24"/>
          <w:szCs w:val="24"/>
        </w:rPr>
      </w:pPr>
    </w:p>
    <w:p w14:paraId="4B94DF71" w14:textId="77777777" w:rsidR="008E2491" w:rsidRDefault="008E2491" w:rsidP="00286F24">
      <w:pPr>
        <w:rPr>
          <w:rFonts w:ascii="Arial Black" w:hAnsi="Arial Black"/>
          <w:sz w:val="24"/>
          <w:szCs w:val="24"/>
        </w:rPr>
      </w:pPr>
    </w:p>
    <w:p w14:paraId="03648DED" w14:textId="77777777" w:rsidR="008E2491" w:rsidRDefault="008E2491" w:rsidP="00286F24">
      <w:pPr>
        <w:rPr>
          <w:rFonts w:ascii="Arial Black" w:hAnsi="Arial Black"/>
          <w:sz w:val="24"/>
          <w:szCs w:val="24"/>
        </w:rPr>
      </w:pPr>
    </w:p>
    <w:p w14:paraId="04A4600D" w14:textId="4DFC9DA1" w:rsidR="007276B8" w:rsidRDefault="007276B8" w:rsidP="00286F24">
      <w:pPr>
        <w:rPr>
          <w:rFonts w:ascii="Arial Black" w:hAnsi="Arial Black"/>
          <w:sz w:val="24"/>
          <w:szCs w:val="24"/>
        </w:rPr>
      </w:pPr>
      <w:r>
        <w:rPr>
          <w:rFonts w:ascii="Arial Black" w:hAnsi="Arial Black"/>
          <w:sz w:val="24"/>
          <w:szCs w:val="24"/>
        </w:rPr>
        <w:t>2-6</w:t>
      </w:r>
      <w:r w:rsidR="007C073D">
        <w:rPr>
          <w:rFonts w:ascii="Arial Black" w:hAnsi="Arial Black"/>
          <w:sz w:val="24"/>
          <w:szCs w:val="24"/>
        </w:rPr>
        <w:t>8</w:t>
      </w:r>
    </w:p>
    <w:p w14:paraId="739DB05B" w14:textId="77777777" w:rsidR="00C9473D" w:rsidRPr="00310BF3" w:rsidRDefault="00C9473D" w:rsidP="00C9473D">
      <w:pPr>
        <w:spacing w:before="100" w:beforeAutospacing="1" w:after="100" w:afterAutospacing="1" w:line="240" w:lineRule="auto"/>
        <w:rPr>
          <w:rFonts w:ascii="Arial Black" w:eastAsia="Times New Roman" w:hAnsi="Arial Black"/>
          <w:sz w:val="28"/>
          <w:szCs w:val="28"/>
        </w:rPr>
      </w:pPr>
      <w:r>
        <w:rPr>
          <w:rFonts w:ascii="Arial Black" w:eastAsia="Times New Roman" w:hAnsi="Arial Black"/>
          <w:sz w:val="28"/>
          <w:szCs w:val="28"/>
        </w:rPr>
        <w:t>NY: FDNY EMT INJURED UNEVEN CONCRETE FD – CAN’T SUE CITY NY “FIREMAN’S RULE” – ONLY WORKER COMP</w:t>
      </w:r>
    </w:p>
    <w:p w14:paraId="19FB3B66" w14:textId="77777777" w:rsidR="009F1660" w:rsidRPr="001D1878" w:rsidRDefault="00C9473D" w:rsidP="009F1660">
      <w:pPr>
        <w:spacing w:before="100" w:beforeAutospacing="1" w:after="100" w:afterAutospacing="1" w:line="240" w:lineRule="auto"/>
        <w:rPr>
          <w:rFonts w:ascii="Times New Roman" w:hAnsi="Times New Roman"/>
          <w:sz w:val="24"/>
          <w:szCs w:val="24"/>
        </w:rPr>
      </w:pPr>
      <w:r w:rsidRPr="00B93E70">
        <w:rPr>
          <w:rFonts w:ascii="Times New Roman" w:eastAsia="Times New Roman" w:hAnsi="Times New Roman"/>
          <w:sz w:val="24"/>
          <w:szCs w:val="24"/>
        </w:rPr>
        <w:t xml:space="preserve">On May 15, 2024, in </w:t>
      </w:r>
      <w:r w:rsidRPr="00B93E70">
        <w:rPr>
          <w:rFonts w:ascii="Times New Roman" w:eastAsia="Times New Roman" w:hAnsi="Times New Roman"/>
          <w:sz w:val="24"/>
          <w:szCs w:val="24"/>
          <w:u w:val="single"/>
        </w:rPr>
        <w:t>Maritza Sanchez v, The City of New York</w:t>
      </w:r>
      <w:r w:rsidRPr="00B93E70">
        <w:rPr>
          <w:rFonts w:ascii="Times New Roman" w:eastAsia="Times New Roman" w:hAnsi="Times New Roman"/>
          <w:sz w:val="24"/>
          <w:szCs w:val="24"/>
        </w:rPr>
        <w:t xml:space="preserve">, Judge </w:t>
      </w:r>
      <w:r w:rsidRPr="00B93E70">
        <w:rPr>
          <w:rFonts w:ascii="Times New Roman" w:hAnsi="Times New Roman"/>
          <w:sz w:val="24"/>
          <w:szCs w:val="24"/>
        </w:rPr>
        <w:t xml:space="preserve"> J. Machelle Sweeting, Supreme Court, New York County, granted the City’s motion to dismiss this lawsuit.  The EMT was injured on July 25, 2022, filed for workers’ comp</w:t>
      </w:r>
      <w:r>
        <w:rPr>
          <w:rFonts w:ascii="Times New Roman" w:hAnsi="Times New Roman"/>
          <w:sz w:val="24"/>
          <w:szCs w:val="24"/>
        </w:rPr>
        <w:t xml:space="preserve">ensation, </w:t>
      </w:r>
      <w:r w:rsidRPr="00B93E70">
        <w:rPr>
          <w:rFonts w:ascii="Times New Roman" w:hAnsi="Times New Roman"/>
          <w:sz w:val="24"/>
          <w:szCs w:val="24"/>
        </w:rPr>
        <w:t xml:space="preserve">and received approximately $8,767.85 in workers' compensation benefits and $8,767.85 in medical benefits.  </w:t>
      </w:r>
      <w:r>
        <w:rPr>
          <w:rFonts w:ascii="Times New Roman" w:hAnsi="Times New Roman"/>
          <w:sz w:val="24"/>
          <w:szCs w:val="24"/>
        </w:rPr>
        <w:t xml:space="preserve">While NY has amended the “fireman’s rule” to allow police and firefighters to </w:t>
      </w:r>
      <w:r>
        <w:rPr>
          <w:rFonts w:ascii="Times New Roman" w:hAnsi="Times New Roman"/>
          <w:sz w:val="24"/>
          <w:szCs w:val="24"/>
        </w:rPr>
        <w:lastRenderedPageBreak/>
        <w:t xml:space="preserve">sue third parties for injuries at premises cause by breach of statutes and safety codes, this does not allow lawsuits against their employer. </w:t>
      </w:r>
      <w:hyperlink r:id="rId475" w:history="1">
        <w:r w:rsidR="009F1660" w:rsidRPr="00220336">
          <w:rPr>
            <w:rStyle w:val="Hyperlink"/>
            <w:rFonts w:ascii="Times New Roman" w:eastAsia="Times New Roman" w:hAnsi="Times New Roman"/>
            <w:sz w:val="24"/>
            <w:szCs w:val="24"/>
          </w:rPr>
          <w:t>https://cases.justia.com/new-york/other-courts/2024-2024-ny-slip-op-31696-u.pdf?ts=1716238363</w:t>
        </w:r>
      </w:hyperlink>
      <w:r w:rsidR="009F1660">
        <w:rPr>
          <w:rFonts w:ascii="Times New Roman" w:eastAsia="Times New Roman" w:hAnsi="Times New Roman"/>
          <w:sz w:val="24"/>
          <w:szCs w:val="24"/>
        </w:rPr>
        <w:t xml:space="preserve"> </w:t>
      </w:r>
    </w:p>
    <w:p w14:paraId="69704630" w14:textId="49F28EF4" w:rsidR="00C9473D" w:rsidRPr="001D1878" w:rsidRDefault="009F1660" w:rsidP="001D1878">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 </w:t>
      </w:r>
      <w:r w:rsidR="001D1878">
        <w:rPr>
          <w:rFonts w:ascii="Times New Roman" w:hAnsi="Times New Roman"/>
          <w:sz w:val="24"/>
          <w:szCs w:val="24"/>
        </w:rPr>
        <w:t xml:space="preserve">THE COURT HELD: </w:t>
      </w:r>
      <w:r w:rsidR="00C9473D">
        <w:rPr>
          <w:rFonts w:ascii="Times New Roman" w:hAnsi="Times New Roman"/>
          <w:sz w:val="24"/>
          <w:szCs w:val="24"/>
        </w:rPr>
        <w:t xml:space="preserve"> </w:t>
      </w:r>
      <w:r w:rsidR="00C9473D">
        <w:rPr>
          <w:rFonts w:ascii="Times New Roman" w:eastAsia="Times New Roman" w:hAnsi="Times New Roman"/>
          <w:sz w:val="24"/>
          <w:szCs w:val="24"/>
        </w:rPr>
        <w:t>“</w:t>
      </w:r>
      <w:r w:rsidR="00C9473D" w:rsidRPr="00310BF3">
        <w:rPr>
          <w:rFonts w:ascii="Times New Roman" w:eastAsia="Times New Roman" w:hAnsi="Times New Roman"/>
          <w:sz w:val="24"/>
          <w:szCs w:val="24"/>
        </w:rPr>
        <w:t xml:space="preserve">More importantly, even if GML 205-e </w:t>
      </w:r>
      <w:r w:rsidR="00C9473D">
        <w:rPr>
          <w:rFonts w:ascii="Times New Roman" w:eastAsia="Times New Roman" w:hAnsi="Times New Roman"/>
          <w:sz w:val="24"/>
          <w:szCs w:val="24"/>
        </w:rPr>
        <w:t xml:space="preserve">[amending Fireman’s Rule’] </w:t>
      </w:r>
      <w:r w:rsidR="00C9473D" w:rsidRPr="00310BF3">
        <w:rPr>
          <w:rFonts w:ascii="Times New Roman" w:eastAsia="Times New Roman" w:hAnsi="Times New Roman"/>
          <w:sz w:val="24"/>
          <w:szCs w:val="24"/>
        </w:rPr>
        <w:t xml:space="preserve">were applicable here, the New York Court of Appeals has made clear that an employee who receives workers' compensation benefits cannot also seek to hold his employer liable under GML 205-e. </w:t>
      </w:r>
      <w:r w:rsidR="00C9473D" w:rsidRPr="00310BF3">
        <w:rPr>
          <w:rFonts w:ascii="Times New Roman" w:eastAsia="Times New Roman" w:hAnsi="Times New Roman"/>
          <w:i/>
          <w:iCs/>
          <w:sz w:val="24"/>
          <w:szCs w:val="24"/>
        </w:rPr>
        <w:t>See Matter of Diegelman v City of Buffalo</w:t>
      </w:r>
      <w:r w:rsidR="00C9473D" w:rsidRPr="00310BF3">
        <w:rPr>
          <w:rFonts w:ascii="Times New Roman" w:eastAsia="Times New Roman" w:hAnsi="Times New Roman"/>
          <w:sz w:val="24"/>
          <w:szCs w:val="24"/>
        </w:rPr>
        <w:t xml:space="preserve">, 28 N.Y.3d 231 (2016): </w:t>
      </w:r>
      <w:r w:rsidR="00C9473D">
        <w:rPr>
          <w:rFonts w:ascii="Times New Roman" w:eastAsia="Times New Roman" w:hAnsi="Times New Roman"/>
          <w:sz w:val="24"/>
          <w:szCs w:val="24"/>
        </w:rPr>
        <w:t>‘</w:t>
      </w:r>
      <w:r w:rsidR="00C9473D" w:rsidRPr="00310BF3">
        <w:rPr>
          <w:rFonts w:ascii="Times New Roman" w:eastAsia="Times New Roman" w:hAnsi="Times New Roman"/>
          <w:sz w:val="24"/>
          <w:szCs w:val="24"/>
        </w:rPr>
        <w:t xml:space="preserve">It is well settled that workers' compensation benefits are generally the </w:t>
      </w:r>
      <w:r w:rsidR="00C9473D">
        <w:rPr>
          <w:rFonts w:ascii="Times New Roman" w:eastAsia="Times New Roman" w:hAnsi="Times New Roman"/>
          <w:sz w:val="24"/>
          <w:szCs w:val="24"/>
        </w:rPr>
        <w:t>‘</w:t>
      </w:r>
      <w:r w:rsidR="00C9473D" w:rsidRPr="00310BF3">
        <w:rPr>
          <w:rFonts w:ascii="Times New Roman" w:eastAsia="Times New Roman" w:hAnsi="Times New Roman"/>
          <w:sz w:val="24"/>
          <w:szCs w:val="24"/>
        </w:rPr>
        <w:t>sole and exclusive remedy of an employee against his [or her] employer for injuries in the course of employment,</w:t>
      </w:r>
      <w:r w:rsidR="00C9473D">
        <w:rPr>
          <w:rFonts w:ascii="Times New Roman" w:eastAsia="Times New Roman" w:hAnsi="Times New Roman"/>
          <w:sz w:val="24"/>
          <w:szCs w:val="24"/>
        </w:rPr>
        <w:t>’</w:t>
      </w:r>
      <w:r w:rsidR="00C9473D" w:rsidRPr="00310BF3">
        <w:rPr>
          <w:rFonts w:ascii="Times New Roman" w:eastAsia="Times New Roman" w:hAnsi="Times New Roman"/>
          <w:sz w:val="24"/>
          <w:szCs w:val="24"/>
        </w:rPr>
        <w:t xml:space="preserve"> and that the receipt of such benefits </w:t>
      </w:r>
      <w:r w:rsidR="00C9473D">
        <w:rPr>
          <w:rFonts w:ascii="Times New Roman" w:eastAsia="Times New Roman" w:hAnsi="Times New Roman"/>
          <w:sz w:val="24"/>
          <w:szCs w:val="24"/>
        </w:rPr>
        <w:t>‘</w:t>
      </w:r>
      <w:r w:rsidR="00C9473D" w:rsidRPr="00310BF3">
        <w:rPr>
          <w:rFonts w:ascii="Times New Roman" w:eastAsia="Times New Roman" w:hAnsi="Times New Roman"/>
          <w:sz w:val="24"/>
          <w:szCs w:val="24"/>
        </w:rPr>
        <w:t>precludes suits against an employer for injuries in the course of employment</w:t>
      </w:r>
      <w:r w:rsidR="00C9473D">
        <w:rPr>
          <w:rFonts w:ascii="Times New Roman" w:eastAsia="Times New Roman" w:hAnsi="Times New Roman"/>
          <w:sz w:val="24"/>
          <w:szCs w:val="24"/>
        </w:rPr>
        <w:t>’</w:t>
      </w:r>
      <w:r w:rsidR="00C9473D" w:rsidRPr="00310BF3">
        <w:rPr>
          <w:rFonts w:ascii="Times New Roman" w:eastAsia="Times New Roman" w:hAnsi="Times New Roman"/>
          <w:sz w:val="24"/>
          <w:szCs w:val="24"/>
        </w:rPr>
        <w:t xml:space="preserve"> </w:t>
      </w:r>
      <w:r w:rsidR="00C9473D" w:rsidRPr="00310BF3">
        <w:rPr>
          <w:rFonts w:ascii="Times New Roman" w:eastAsia="Times New Roman" w:hAnsi="Times New Roman"/>
          <w:i/>
          <w:iCs/>
          <w:sz w:val="24"/>
          <w:szCs w:val="24"/>
        </w:rPr>
        <w:t>(Weiner v. City of New York,</w:t>
      </w:r>
      <w:r w:rsidR="00C9473D" w:rsidRPr="00310BF3">
        <w:rPr>
          <w:rFonts w:ascii="Times New Roman" w:eastAsia="Times New Roman" w:hAnsi="Times New Roman"/>
          <w:sz w:val="24"/>
          <w:szCs w:val="24"/>
        </w:rPr>
        <w:t xml:space="preserve"> 19 N.Y.3d 852, 854, 947 N.Y.S.2d 404, 970 N.E.2d 427 [2012]).</w:t>
      </w:r>
      <w:r w:rsidR="00C9473D">
        <w:rPr>
          <w:rFonts w:ascii="Times New Roman" w:eastAsia="Times New Roman" w:hAnsi="Times New Roman"/>
          <w:sz w:val="24"/>
          <w:szCs w:val="24"/>
        </w:rPr>
        <w:t xml:space="preserve">” </w:t>
      </w:r>
    </w:p>
    <w:p w14:paraId="3089FE8E" w14:textId="77777777" w:rsidR="008E2491" w:rsidRDefault="008E2491" w:rsidP="008E2491">
      <w:pPr>
        <w:spacing w:after="100" w:line="240" w:lineRule="auto"/>
        <w:rPr>
          <w:rFonts w:ascii="Times New Roman" w:hAnsi="Times New Roman"/>
          <w:b/>
          <w:bCs/>
          <w:sz w:val="24"/>
          <w:szCs w:val="24"/>
        </w:rPr>
      </w:pPr>
      <w:r w:rsidRPr="00A06313">
        <w:rPr>
          <w:rFonts w:ascii="Times New Roman" w:hAnsi="Times New Roman"/>
          <w:b/>
          <w:bCs/>
          <w:sz w:val="24"/>
          <w:szCs w:val="24"/>
        </w:rPr>
        <w:t>Legal Lesson Learned:</w:t>
      </w:r>
      <w:r>
        <w:rPr>
          <w:rFonts w:ascii="Times New Roman" w:hAnsi="Times New Roman"/>
          <w:b/>
          <w:bCs/>
          <w:sz w:val="24"/>
          <w:szCs w:val="24"/>
        </w:rPr>
        <w:t xml:space="preserve"> EMT’s only remedy is worker’s comp.</w:t>
      </w:r>
    </w:p>
    <w:p w14:paraId="38F74DE0" w14:textId="77777777" w:rsidR="008E2491" w:rsidRDefault="008E2491" w:rsidP="008E2491">
      <w:pPr>
        <w:spacing w:after="100" w:line="240" w:lineRule="auto"/>
        <w:ind w:left="720"/>
        <w:rPr>
          <w:rFonts w:ascii="Times New Roman" w:hAnsi="Times New Roman"/>
          <w:sz w:val="24"/>
          <w:szCs w:val="24"/>
        </w:rPr>
      </w:pPr>
      <w:r w:rsidRPr="00A06313">
        <w:rPr>
          <w:rFonts w:ascii="Times New Roman" w:hAnsi="Times New Roman"/>
          <w:sz w:val="24"/>
          <w:szCs w:val="24"/>
        </w:rPr>
        <w:t xml:space="preserve">Note: </w:t>
      </w:r>
      <w:r>
        <w:rPr>
          <w:rFonts w:ascii="Times New Roman" w:hAnsi="Times New Roman"/>
          <w:sz w:val="24"/>
          <w:szCs w:val="24"/>
        </w:rPr>
        <w:t>Several states have abolished the “Fireman’s Rule” to allow fire and police to sue third parties for injuries at a premises. Ohio has not abolished the Fireman’s Rule.</w:t>
      </w:r>
    </w:p>
    <w:p w14:paraId="02735E60" w14:textId="77777777" w:rsidR="008E2491" w:rsidRDefault="008E2491" w:rsidP="008E2491">
      <w:pPr>
        <w:spacing w:after="100" w:line="240" w:lineRule="auto"/>
        <w:ind w:left="1440"/>
        <w:rPr>
          <w:rFonts w:ascii="Times New Roman" w:hAnsi="Times New Roman"/>
          <w:sz w:val="24"/>
          <w:szCs w:val="24"/>
        </w:rPr>
      </w:pPr>
      <w:r>
        <w:rPr>
          <w:rFonts w:ascii="Times New Roman" w:hAnsi="Times New Roman"/>
          <w:sz w:val="24"/>
          <w:szCs w:val="24"/>
        </w:rPr>
        <w:t xml:space="preserve">Florida: </w:t>
      </w:r>
      <w:hyperlink r:id="rId476" w:history="1">
        <w:r w:rsidRPr="00220336">
          <w:rPr>
            <w:rStyle w:val="Hyperlink"/>
            <w:rFonts w:ascii="Times New Roman" w:hAnsi="Times New Roman"/>
            <w:sz w:val="24"/>
            <w:szCs w:val="24"/>
          </w:rPr>
          <w:t>https://casetext.com/statute/florida-statutes/title-x-public-officers-employees-and-records/chapter-112-public-officers-and-employees-general-provisions/part-i-conditions-of-employment-retirement-travel-expenses/section-112182-firefighter-rule-abolished</w:t>
        </w:r>
      </w:hyperlink>
      <w:r>
        <w:rPr>
          <w:rFonts w:ascii="Times New Roman" w:hAnsi="Times New Roman"/>
          <w:sz w:val="24"/>
          <w:szCs w:val="24"/>
        </w:rPr>
        <w:t xml:space="preserve"> </w:t>
      </w:r>
    </w:p>
    <w:p w14:paraId="1EF82DBE" w14:textId="77777777" w:rsidR="008E2491" w:rsidRDefault="008E2491" w:rsidP="008E2491">
      <w:pPr>
        <w:spacing w:after="100" w:line="240" w:lineRule="auto"/>
        <w:ind w:left="720"/>
        <w:rPr>
          <w:rFonts w:ascii="Times New Roman" w:hAnsi="Times New Roman"/>
          <w:sz w:val="24"/>
          <w:szCs w:val="24"/>
        </w:rPr>
      </w:pPr>
    </w:p>
    <w:p w14:paraId="31FF9397" w14:textId="77777777" w:rsidR="008E2491" w:rsidRDefault="008E2491" w:rsidP="008E2491">
      <w:pPr>
        <w:spacing w:after="100" w:line="240" w:lineRule="auto"/>
        <w:ind w:left="720" w:firstLine="720"/>
        <w:rPr>
          <w:rFonts w:ascii="Times New Roman" w:hAnsi="Times New Roman"/>
          <w:sz w:val="24"/>
          <w:szCs w:val="24"/>
        </w:rPr>
      </w:pPr>
      <w:r>
        <w:rPr>
          <w:rFonts w:ascii="Times New Roman" w:hAnsi="Times New Roman"/>
          <w:sz w:val="24"/>
          <w:szCs w:val="24"/>
        </w:rPr>
        <w:t xml:space="preserve">Minnesota: </w:t>
      </w:r>
      <w:hyperlink r:id="rId477" w:history="1">
        <w:r w:rsidRPr="00220336">
          <w:rPr>
            <w:rStyle w:val="Hyperlink"/>
            <w:rFonts w:ascii="Times New Roman" w:hAnsi="Times New Roman"/>
            <w:sz w:val="24"/>
            <w:szCs w:val="24"/>
          </w:rPr>
          <w:t>https://www.revisor.mn.gov/statutes/cite/604.06</w:t>
        </w:r>
      </w:hyperlink>
      <w:r>
        <w:rPr>
          <w:rFonts w:ascii="Times New Roman" w:hAnsi="Times New Roman"/>
          <w:sz w:val="24"/>
          <w:szCs w:val="24"/>
        </w:rPr>
        <w:t xml:space="preserve"> </w:t>
      </w:r>
    </w:p>
    <w:p w14:paraId="34CDCFDD" w14:textId="77777777" w:rsidR="008E2491" w:rsidRPr="0032228A" w:rsidRDefault="008E2491" w:rsidP="008E2491">
      <w:pPr>
        <w:spacing w:after="100" w:line="240" w:lineRule="auto"/>
        <w:ind w:left="1440"/>
        <w:rPr>
          <w:rFonts w:ascii="Times New Roman" w:eastAsia="Times New Roman" w:hAnsi="Times New Roman"/>
          <w:sz w:val="24"/>
          <w:szCs w:val="24"/>
        </w:rPr>
      </w:pPr>
      <w:r>
        <w:rPr>
          <w:rFonts w:ascii="Times New Roman" w:hAnsi="Times New Roman"/>
          <w:sz w:val="24"/>
          <w:szCs w:val="24"/>
        </w:rPr>
        <w:t>New Jersey.  “</w:t>
      </w:r>
      <w:r w:rsidRPr="0032228A">
        <w:rPr>
          <w:rFonts w:ascii="Times New Roman" w:hAnsi="Times New Roman"/>
          <w:sz w:val="24"/>
          <w:szCs w:val="24"/>
        </w:rPr>
        <w:t>In a decision issued on March 13, 2007, the Supreme Court of New Jersey ruled that the common law doctrine prohibiting first responders from recovering damages from a property owner for a personal injury sustained while confronting an emergency on the owner’s premises, is no longer in effect.</w:t>
      </w:r>
      <w:r>
        <w:rPr>
          <w:rFonts w:ascii="Times New Roman" w:hAnsi="Times New Roman"/>
          <w:sz w:val="24"/>
          <w:szCs w:val="24"/>
        </w:rPr>
        <w:t xml:space="preserve">” </w:t>
      </w:r>
      <w:hyperlink r:id="rId478" w:history="1">
        <w:r w:rsidRPr="00220336">
          <w:rPr>
            <w:rStyle w:val="Hyperlink"/>
            <w:rFonts w:ascii="Times New Roman" w:hAnsi="Times New Roman"/>
            <w:sz w:val="24"/>
            <w:szCs w:val="24"/>
          </w:rPr>
          <w:t>https://www.pralaw.com/articles/the-supreme-court-of-new-jersey-rules-that-the-firefighters-rule-has-been-abolished</w:t>
        </w:r>
      </w:hyperlink>
      <w:r>
        <w:rPr>
          <w:rFonts w:ascii="Times New Roman" w:hAnsi="Times New Roman"/>
          <w:sz w:val="24"/>
          <w:szCs w:val="24"/>
        </w:rPr>
        <w:t xml:space="preserve"> </w:t>
      </w:r>
    </w:p>
    <w:p w14:paraId="56AC1A1D" w14:textId="77777777" w:rsidR="008E2491" w:rsidRDefault="008E2491" w:rsidP="008E2491">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Ohio has not abolished the Fireman’s Rule.</w:t>
      </w:r>
    </w:p>
    <w:p w14:paraId="2372B9A8" w14:textId="77777777" w:rsidR="008E2491" w:rsidRDefault="008E2491" w:rsidP="008E2491">
      <w:pPr>
        <w:pStyle w:val="NormalWeb"/>
        <w:ind w:left="720"/>
      </w:pPr>
      <w:r>
        <w:t>“</w:t>
      </w:r>
      <w:r w:rsidRPr="00BC1644">
        <w:t xml:space="preserve">In a victory for the rights of police officers and firefighters throughout the State of Ohio, on March 25, 2009, an unanimous Ohio Supreme Court refused to extend Ohio’s Fireman’s Rule to allow independent contractors to escape liability where an emergency responder (police officer, firefighter, etc.) is injured in the course of their employment as a result of a defective condition created by that contractor. In announcing its decision in the case of </w:t>
      </w:r>
      <w:proofErr w:type="spellStart"/>
      <w:r w:rsidRPr="00BC1644">
        <w:rPr>
          <w:i/>
          <w:iCs/>
        </w:rPr>
        <w:t>Torchik</w:t>
      </w:r>
      <w:proofErr w:type="spellEnd"/>
      <w:r w:rsidRPr="00BC1644">
        <w:rPr>
          <w:i/>
          <w:iCs/>
        </w:rPr>
        <w:t xml:space="preserve"> v. Boyce</w:t>
      </w:r>
      <w:r w:rsidRPr="00BC1644">
        <w:t xml:space="preserve">, the Court wrote that it </w:t>
      </w:r>
      <w:r>
        <w:t>‘</w:t>
      </w:r>
      <w:r w:rsidRPr="00BC1644">
        <w:t>ruled today that an independent contractor whose negligent work is alleged to have caused injury to a public safety officer is not covered by a common law ‘fireman’s rule’ that immunizes property owners from civil liability for injuries suffered by public safety officers who enter their property while on duty.</w:t>
      </w:r>
      <w:r>
        <w:t>’”</w:t>
      </w:r>
      <w:r w:rsidRPr="00F01FC6">
        <w:t xml:space="preserve"> </w:t>
      </w:r>
      <w:hyperlink r:id="rId479" w:history="1">
        <w:r w:rsidRPr="00220336">
          <w:rPr>
            <w:rStyle w:val="Hyperlink"/>
          </w:rPr>
          <w:t>https://livornoandarnett.com/ohios-firemans-rule/</w:t>
        </w:r>
      </w:hyperlink>
    </w:p>
    <w:p w14:paraId="554AC590" w14:textId="77777777" w:rsidR="008E2491" w:rsidRDefault="008E2491" w:rsidP="00C9473D">
      <w:pPr>
        <w:spacing w:before="100" w:beforeAutospacing="1" w:after="100" w:afterAutospacing="1" w:line="240" w:lineRule="auto"/>
        <w:ind w:left="720"/>
        <w:rPr>
          <w:rFonts w:ascii="Times New Roman" w:eastAsia="Times New Roman" w:hAnsi="Times New Roman"/>
          <w:sz w:val="24"/>
          <w:szCs w:val="24"/>
        </w:rPr>
      </w:pPr>
    </w:p>
    <w:p w14:paraId="6209AD80" w14:textId="77777777" w:rsidR="007276B8" w:rsidRDefault="007276B8" w:rsidP="00286F24">
      <w:pPr>
        <w:rPr>
          <w:rFonts w:ascii="Arial Black" w:hAnsi="Arial Black"/>
          <w:sz w:val="24"/>
          <w:szCs w:val="24"/>
        </w:rPr>
      </w:pPr>
    </w:p>
    <w:p w14:paraId="3CC35B26" w14:textId="77777777" w:rsidR="007276B8" w:rsidRDefault="007276B8" w:rsidP="00286F24">
      <w:pPr>
        <w:rPr>
          <w:rFonts w:ascii="Arial Black" w:hAnsi="Arial Black"/>
          <w:sz w:val="24"/>
          <w:szCs w:val="24"/>
        </w:rPr>
      </w:pPr>
    </w:p>
    <w:p w14:paraId="0DF52923" w14:textId="205F2041" w:rsidR="008C7F06" w:rsidRDefault="008C7F06" w:rsidP="00286F24">
      <w:pPr>
        <w:rPr>
          <w:rFonts w:ascii="Arial Black" w:hAnsi="Arial Black"/>
          <w:sz w:val="24"/>
          <w:szCs w:val="24"/>
        </w:rPr>
      </w:pPr>
      <w:r>
        <w:rPr>
          <w:rFonts w:ascii="Arial Black" w:hAnsi="Arial Black"/>
          <w:sz w:val="24"/>
          <w:szCs w:val="24"/>
        </w:rPr>
        <w:t>2-6</w:t>
      </w:r>
      <w:r w:rsidR="007C073D">
        <w:rPr>
          <w:rFonts w:ascii="Arial Black" w:hAnsi="Arial Black"/>
          <w:sz w:val="24"/>
          <w:szCs w:val="24"/>
        </w:rPr>
        <w:t>7</w:t>
      </w:r>
    </w:p>
    <w:p w14:paraId="667B89CE" w14:textId="77777777" w:rsidR="008C7F06" w:rsidRPr="005E58F4" w:rsidRDefault="008C7F06" w:rsidP="008C7F06">
      <w:pPr>
        <w:pStyle w:val="NormalWeb"/>
        <w:spacing w:before="0" w:beforeAutospacing="0"/>
        <w:rPr>
          <w:rFonts w:ascii="Arial Black" w:hAnsi="Arial Black"/>
          <w:b/>
          <w:bCs/>
          <w:color w:val="454545"/>
          <w:sz w:val="28"/>
          <w:szCs w:val="28"/>
          <w:shd w:val="clear" w:color="auto" w:fill="FFFFFF"/>
        </w:rPr>
      </w:pPr>
      <w:r>
        <w:rPr>
          <w:rFonts w:ascii="Arial Black" w:hAnsi="Arial Black"/>
          <w:b/>
          <w:bCs/>
          <w:color w:val="454545"/>
          <w:sz w:val="28"/>
          <w:szCs w:val="28"/>
          <w:shd w:val="clear" w:color="auto" w:fill="FFFFFF"/>
        </w:rPr>
        <w:t xml:space="preserve">IN: SCUFFLE WITH MENTAL AT FIRE STATION – TRIED ESCAPE PD CRUISER – HABITUAL OFFENDER – 26 YRS </w:t>
      </w:r>
    </w:p>
    <w:p w14:paraId="2C62A2D7" w14:textId="77777777" w:rsidR="008C7F06" w:rsidRDefault="008C7F06" w:rsidP="008C7F06">
      <w:pPr>
        <w:pStyle w:val="NormalWeb"/>
        <w:spacing w:before="0" w:beforeAutospacing="0"/>
        <w:rPr>
          <w:color w:val="454545"/>
          <w:shd w:val="clear" w:color="auto" w:fill="FFFFFF"/>
        </w:rPr>
      </w:pPr>
      <w:r>
        <w:rPr>
          <w:color w:val="454545"/>
          <w:shd w:val="clear" w:color="auto" w:fill="FFFFFF"/>
        </w:rPr>
        <w:lastRenderedPageBreak/>
        <w:t xml:space="preserve">On April 29, 2024, in </w:t>
      </w:r>
      <w:r w:rsidRPr="001F6456">
        <w:rPr>
          <w:color w:val="454545"/>
          <w:u w:val="single"/>
          <w:shd w:val="clear" w:color="auto" w:fill="FFFFFF"/>
        </w:rPr>
        <w:t>Warren A. Beals v. State of Indiana</w:t>
      </w:r>
      <w:r>
        <w:rPr>
          <w:color w:val="454545"/>
          <w:shd w:val="clear" w:color="auto" w:fill="FFFFFF"/>
        </w:rPr>
        <w:t xml:space="preserve">, the Court of Appeals of Indiana held (3 to 0) that the defendant was properly convicted by a jury and there is no basis for resentencing. On April 27, 2021, members of Marengo Volunteer FD heard yelling outside.  When defendant poked finger at Fire Chief (and reserve PD) </w:t>
      </w:r>
      <w:proofErr w:type="gramStart"/>
      <w:r>
        <w:rPr>
          <w:color w:val="454545"/>
          <w:shd w:val="clear" w:color="auto" w:fill="FFFFFF"/>
        </w:rPr>
        <w:t>tried</w:t>
      </w:r>
      <w:proofErr w:type="gramEnd"/>
      <w:r>
        <w:rPr>
          <w:color w:val="454545"/>
          <w:shd w:val="clear" w:color="auto" w:fill="FFFFFF"/>
        </w:rPr>
        <w:t xml:space="preserve"> to grab his service weapon, firefighters pushed him to floor.  When PD was transporting him to jail in front seat of patrol car without a cage, he tried to escape. </w:t>
      </w:r>
      <w:r>
        <w:t xml:space="preserve">The trial court sentenced Beals to six years for the Level 4 felony, attempted escape from PD causing bodily injury, plus a habitual offender sentencing enhancement of twenty years. </w:t>
      </w:r>
      <w:hyperlink r:id="rId480" w:history="1">
        <w:r w:rsidRPr="00A2355F">
          <w:rPr>
            <w:rStyle w:val="Hyperlink"/>
            <w:shd w:val="clear" w:color="auto" w:fill="FFFFFF"/>
          </w:rPr>
          <w:t>https://caselaw.findlaw.com/court/in-court-of-appeals/116108297.html</w:t>
        </w:r>
      </w:hyperlink>
      <w:r>
        <w:rPr>
          <w:color w:val="454545"/>
          <w:shd w:val="clear" w:color="auto" w:fill="FFFFFF"/>
        </w:rPr>
        <w:t xml:space="preserve"> </w:t>
      </w:r>
    </w:p>
    <w:p w14:paraId="5F0DE75F" w14:textId="77777777" w:rsidR="008C7F06" w:rsidRDefault="008C7F06" w:rsidP="008C7F06">
      <w:pPr>
        <w:pStyle w:val="NormalWeb"/>
        <w:spacing w:before="0" w:beforeAutospacing="0"/>
        <w:rPr>
          <w:color w:val="454545"/>
          <w:shd w:val="clear" w:color="auto" w:fill="FFFFFF"/>
        </w:rPr>
      </w:pPr>
      <w:r>
        <w:rPr>
          <w:color w:val="454545"/>
          <w:shd w:val="clear" w:color="auto" w:fill="FFFFFF"/>
        </w:rPr>
        <w:t>THE COURT HELD:</w:t>
      </w:r>
    </w:p>
    <w:p w14:paraId="33721C7A" w14:textId="77777777" w:rsidR="008C7F06" w:rsidRDefault="008C7F06" w:rsidP="008C7F06">
      <w:pPr>
        <w:pStyle w:val="NormalWeb"/>
        <w:spacing w:before="0" w:beforeAutospacing="0"/>
        <w:ind w:left="720"/>
      </w:pPr>
      <w:r>
        <w:t>“Police officers arrested Warren Beals after a scuffle at a fire station. On the way to jail, Beals opened the door to the police vehicle and attempted to get out, but the transporting officer restrained Beals until he could stop the car. A jury convicted Beals of Level 4 felony attempted escape causing bodily injury and Class A misdemeanor resisting law enforcement. The jury further determined Beals was a habitual offender.</w:t>
      </w:r>
    </w:p>
    <w:p w14:paraId="3BBB3C8D" w14:textId="77777777" w:rsidR="008C7F06" w:rsidRDefault="008C7F06" w:rsidP="008C7F06">
      <w:pPr>
        <w:pStyle w:val="NormalWeb"/>
        <w:spacing w:before="0" w:beforeAutospacing="0"/>
        <w:ind w:left="720"/>
      </w:pPr>
      <w:r>
        <w:t>***</w:t>
      </w:r>
      <w:r>
        <w:rPr>
          <w:color w:val="454545"/>
          <w:shd w:val="clear" w:color="auto" w:fill="FFFFFF"/>
        </w:rPr>
        <w:br/>
      </w:r>
      <w:r>
        <w:t xml:space="preserve">Beals </w:t>
      </w:r>
      <w:proofErr w:type="gramStart"/>
      <w:r>
        <w:t>was</w:t>
      </w:r>
      <w:proofErr w:type="gramEnd"/>
      <w:r>
        <w:t xml:space="preserve"> thirty-two years old at sentencing. He has three prior felony convictions: Class C battery resulting in serious bodily injury; Class D battery resulting in bodily injury to a law enforcement officer; and Class D intimidation. He has four prior misdemeanor convictions: Class A cruelty to an animal; Class B strangulation; Class B reckless driving; and Class B public intoxication. Beals </w:t>
      </w:r>
      <w:proofErr w:type="gramStart"/>
      <w:r>
        <w:t>has</w:t>
      </w:r>
      <w:proofErr w:type="gramEnd"/>
      <w:r>
        <w:t xml:space="preserve"> been placed on probation six times and </w:t>
      </w:r>
      <w:proofErr w:type="gramStart"/>
      <w:r>
        <w:t>has</w:t>
      </w:r>
      <w:proofErr w:type="gramEnd"/>
      <w:r>
        <w:t xml:space="preserve"> violated the terms of probation three times. His lengthy criminal history, including repeated acts of violence, speaks poorly of his character. And Beals' history of probation violations weighs against a lengthy term of probation here.</w:t>
      </w:r>
    </w:p>
    <w:p w14:paraId="190ECAF6" w14:textId="77777777" w:rsidR="008C7F06" w:rsidRDefault="008C7F06" w:rsidP="008C7F06">
      <w:pPr>
        <w:pStyle w:val="NormalWeb"/>
        <w:spacing w:before="0" w:beforeAutospacing="0"/>
        <w:ind w:left="720"/>
      </w:pPr>
      <w:r>
        <w:t>***</w:t>
      </w:r>
    </w:p>
    <w:p w14:paraId="678CFBC2" w14:textId="77777777" w:rsidR="008C7F06" w:rsidRDefault="008C7F06" w:rsidP="008C7F06">
      <w:pPr>
        <w:pStyle w:val="NormalWeb"/>
        <w:spacing w:before="0" w:beforeAutospacing="0"/>
        <w:ind w:left="720"/>
      </w:pPr>
      <w:r>
        <w:t>Based on the foregoing, we do not conclude that Beals was unable to control his behavior when he tried to get out of the vehicle and then tried to walk away. Considering Beals' history of mental illness in context with his extensive violent criminal record and the nature of the offenses, he has failed to persuade us that his sentence is an outlier needing revision.”</w:t>
      </w:r>
    </w:p>
    <w:p w14:paraId="7B47443A" w14:textId="77777777" w:rsidR="008C7F06" w:rsidRPr="001D73FB" w:rsidRDefault="008C7F06" w:rsidP="008C7F06">
      <w:pPr>
        <w:pStyle w:val="NormalWeb"/>
        <w:rPr>
          <w:b/>
          <w:bCs/>
        </w:rPr>
      </w:pPr>
      <w:r w:rsidRPr="001D73FB">
        <w:rPr>
          <w:b/>
          <w:bCs/>
        </w:rPr>
        <w:t>Legal Lesson Learned:</w:t>
      </w:r>
      <w:r>
        <w:rPr>
          <w:b/>
          <w:bCs/>
        </w:rPr>
        <w:t xml:space="preserve"> Habitual offender laws can substantially increase a defendant’s sentence. </w:t>
      </w:r>
    </w:p>
    <w:p w14:paraId="78116891" w14:textId="77777777" w:rsidR="008C7F06" w:rsidRDefault="008C7F06" w:rsidP="008C7F06">
      <w:pPr>
        <w:rPr>
          <w:rFonts w:ascii="Arial Black" w:hAnsi="Arial Black"/>
          <w:sz w:val="28"/>
          <w:szCs w:val="28"/>
        </w:rPr>
      </w:pPr>
    </w:p>
    <w:p w14:paraId="160C072A" w14:textId="77777777" w:rsidR="008C7F06" w:rsidRDefault="008C7F06" w:rsidP="00286F24">
      <w:pPr>
        <w:rPr>
          <w:rFonts w:ascii="Arial Black" w:hAnsi="Arial Black"/>
          <w:sz w:val="24"/>
          <w:szCs w:val="24"/>
        </w:rPr>
      </w:pPr>
    </w:p>
    <w:p w14:paraId="256CCE4E" w14:textId="77777777" w:rsidR="008C7F06" w:rsidRDefault="008C7F06" w:rsidP="00286F24">
      <w:pPr>
        <w:rPr>
          <w:rFonts w:ascii="Arial Black" w:hAnsi="Arial Black"/>
          <w:sz w:val="24"/>
          <w:szCs w:val="24"/>
        </w:rPr>
      </w:pPr>
    </w:p>
    <w:p w14:paraId="0E15BC69" w14:textId="21B7B23E" w:rsidR="00286F24" w:rsidRDefault="00286F24" w:rsidP="00286F24">
      <w:pPr>
        <w:rPr>
          <w:rFonts w:ascii="Arial Black" w:hAnsi="Arial Black"/>
          <w:sz w:val="24"/>
          <w:szCs w:val="24"/>
        </w:rPr>
      </w:pPr>
      <w:r>
        <w:rPr>
          <w:rFonts w:ascii="Arial Black" w:hAnsi="Arial Black"/>
          <w:sz w:val="24"/>
          <w:szCs w:val="24"/>
        </w:rPr>
        <w:t>2-6</w:t>
      </w:r>
      <w:r w:rsidR="007C073D">
        <w:rPr>
          <w:rFonts w:ascii="Arial Black" w:hAnsi="Arial Black"/>
          <w:sz w:val="24"/>
          <w:szCs w:val="24"/>
        </w:rPr>
        <w:t>6</w:t>
      </w:r>
    </w:p>
    <w:p w14:paraId="179C4A70" w14:textId="7BD3FCC6" w:rsidR="00286F24" w:rsidRPr="00A85425" w:rsidRDefault="00286F24" w:rsidP="00286F24">
      <w:pPr>
        <w:pStyle w:val="NoSpacing"/>
        <w:rPr>
          <w:rFonts w:ascii="Arial Black" w:hAnsi="Arial Black"/>
          <w:sz w:val="28"/>
          <w:szCs w:val="28"/>
        </w:rPr>
      </w:pPr>
      <w:r>
        <w:rPr>
          <w:rFonts w:ascii="Arial Black" w:hAnsi="Arial Black"/>
          <w:sz w:val="28"/>
          <w:szCs w:val="28"/>
        </w:rPr>
        <w:t>PA: PSYCH SEVERLY INJURED EMT - TRANSPORT FROM HOSP TO PSCH UNIT – NO PROOF HOSP MALPRACTICE</w:t>
      </w:r>
    </w:p>
    <w:p w14:paraId="61E07A56" w14:textId="16B89E9F" w:rsidR="00286F24" w:rsidRDefault="00286F24" w:rsidP="00286F24">
      <w:pPr>
        <w:pStyle w:val="NormalWeb"/>
      </w:pPr>
      <w:r>
        <w:t xml:space="preserve">On March 20, 2024, in </w:t>
      </w:r>
      <w:r w:rsidRPr="004B6EC2">
        <w:rPr>
          <w:u w:val="single"/>
        </w:rPr>
        <w:t>Cori Larsen v. Wayne Memorial Hospital and Paige Castelino, et al</w:t>
      </w:r>
      <w:r>
        <w:t xml:space="preserve">., the Superior Court of Pennsylvania, held (3 to 0) that the trial court judge properly granted defense motion for summary judgment; the EMT was severely injured by the minor patient during transport: </w:t>
      </w:r>
      <w:r w:rsidRPr="00486655">
        <w:t>detached retina, fractured teeth, concussion, and contusions of the knee and ribs</w:t>
      </w:r>
      <w:r>
        <w:t xml:space="preserve">, but the EMT failed to prove a breach of standard of care when </w:t>
      </w:r>
      <w:r>
        <w:lastRenderedPageBreak/>
        <w:t xml:space="preserve">hospital released the patient to a </w:t>
      </w:r>
      <w:r w:rsidRPr="00486655">
        <w:t>psychiatric facility</w:t>
      </w:r>
      <w:r>
        <w:t>. The EMT’s</w:t>
      </w:r>
      <w:r w:rsidRPr="00486655">
        <w:t xml:space="preserve"> </w:t>
      </w:r>
      <w:r>
        <w:t>expert witness affidavit was from an ER doctor, not an Internal Medicine / mental health physician.</w:t>
      </w:r>
    </w:p>
    <w:p w14:paraId="4B60F0E8" w14:textId="77777777" w:rsidR="009A27F2" w:rsidRPr="004C0299" w:rsidRDefault="009A27F2" w:rsidP="009A27F2">
      <w:pPr>
        <w:pStyle w:val="NoSpacing"/>
        <w:rPr>
          <w:rFonts w:ascii="Times New Roman" w:hAnsi="Times New Roman"/>
          <w:sz w:val="24"/>
          <w:szCs w:val="24"/>
        </w:rPr>
      </w:pPr>
      <w:r>
        <w:rPr>
          <w:rFonts w:ascii="Times New Roman" w:hAnsi="Times New Roman"/>
          <w:sz w:val="24"/>
          <w:szCs w:val="24"/>
          <w:shd w:val="clear" w:color="auto" w:fill="FFFFFF"/>
        </w:rPr>
        <w:t>THE COURT HELD:</w:t>
      </w:r>
    </w:p>
    <w:p w14:paraId="7BC2124D" w14:textId="77777777" w:rsidR="00286F24" w:rsidRDefault="00286F24" w:rsidP="00286F24">
      <w:pPr>
        <w:pStyle w:val="NormalWeb"/>
        <w:ind w:left="720"/>
      </w:pPr>
      <w:r>
        <w:t xml:space="preserve">“On appeal, Larsen argues the trial court erred in granting Appellees' motion for summary judgment because (1) Appellees owed Larsen a duty, notwithstanding the fact that Larsen was not Appellees' patient, and (2) Larsen's liability expert was qualified to opine on breaches of the standard of care by Appellees.  Due to our disposition on the second issue, we need not reach the first issue - as even if we assume, arguendo, that Appellees owed Larsen a duty, we agree with the trial court that Larsen failed to meet her burden of producing a qualified expert to opine on a breach of the standard of care by Appellees. </w:t>
      </w:r>
    </w:p>
    <w:p w14:paraId="5F4504BD" w14:textId="77777777" w:rsidR="00286F24" w:rsidRPr="00A85425" w:rsidRDefault="00286F24" w:rsidP="00286F24">
      <w:pPr>
        <w:spacing w:before="100" w:beforeAutospacing="1" w:after="100" w:afterAutospacing="1" w:line="240" w:lineRule="auto"/>
        <w:rPr>
          <w:rFonts w:ascii="Times New Roman" w:eastAsia="Times New Roman" w:hAnsi="Times New Roman"/>
          <w:sz w:val="24"/>
          <w:szCs w:val="24"/>
        </w:rPr>
      </w:pPr>
      <w:r w:rsidRPr="00A85425">
        <w:rPr>
          <w:rFonts w:ascii="Times New Roman" w:eastAsia="Times New Roman" w:hAnsi="Times New Roman"/>
          <w:sz w:val="24"/>
          <w:szCs w:val="24"/>
        </w:rPr>
        <w:t xml:space="preserve">Dr. Kenneth Robinson authored a report in which he concluded "that Dr. Castelino and [WMH] failed to meet the standard of care, and that these failures caused the significant injuries sustained by [] Larsen." Brief in Support of Motion for Summary Judgment, 4/3/23, at Exhibit P. </w:t>
      </w:r>
    </w:p>
    <w:p w14:paraId="75D3AEBC" w14:textId="77777777" w:rsidR="00286F24" w:rsidRPr="00A85425" w:rsidRDefault="00286F24" w:rsidP="00286F24">
      <w:pPr>
        <w:spacing w:before="100" w:beforeAutospacing="1" w:after="100" w:afterAutospacing="1" w:line="240" w:lineRule="auto"/>
        <w:ind w:left="540"/>
        <w:rPr>
          <w:rFonts w:ascii="Times New Roman" w:eastAsia="Times New Roman" w:hAnsi="Times New Roman"/>
          <w:sz w:val="24"/>
          <w:szCs w:val="24"/>
        </w:rPr>
      </w:pPr>
      <w:r>
        <w:rPr>
          <w:rFonts w:ascii="Times New Roman" w:eastAsia="Times New Roman" w:hAnsi="Times New Roman"/>
          <w:sz w:val="24"/>
          <w:szCs w:val="24"/>
        </w:rPr>
        <w:t>“</w:t>
      </w:r>
      <w:r w:rsidRPr="00A85425">
        <w:rPr>
          <w:rFonts w:ascii="Times New Roman" w:eastAsia="Times New Roman" w:hAnsi="Times New Roman"/>
          <w:sz w:val="24"/>
          <w:szCs w:val="24"/>
        </w:rPr>
        <w:t xml:space="preserve">In its opinion, the trial court concluded Dr. Robinson is not qualified to render an opinion regarding the standard of care of Appellees, explaining as follows: </w:t>
      </w:r>
    </w:p>
    <w:p w14:paraId="54E34799" w14:textId="77777777" w:rsidR="00286F24" w:rsidRPr="00A85425" w:rsidRDefault="00286F24" w:rsidP="00286F24">
      <w:pPr>
        <w:spacing w:after="100" w:line="240" w:lineRule="auto"/>
        <w:ind w:left="1440"/>
        <w:rPr>
          <w:rFonts w:ascii="Times New Roman" w:eastAsia="Times New Roman" w:hAnsi="Times New Roman"/>
          <w:sz w:val="24"/>
          <w:szCs w:val="24"/>
        </w:rPr>
      </w:pPr>
      <w:r>
        <w:rPr>
          <w:rFonts w:ascii="Times New Roman" w:eastAsia="Times New Roman" w:hAnsi="Times New Roman"/>
          <w:sz w:val="24"/>
          <w:szCs w:val="24"/>
        </w:rPr>
        <w:t>‘</w:t>
      </w:r>
      <w:r w:rsidRPr="00A85425">
        <w:rPr>
          <w:rFonts w:ascii="Times New Roman" w:eastAsia="Times New Roman" w:hAnsi="Times New Roman"/>
          <w:sz w:val="24"/>
          <w:szCs w:val="24"/>
        </w:rPr>
        <w:t xml:space="preserve">Dr. Robinson is board certified in emergency medicine while Dr. Castelino is board certified in internal medicine. Dr. Castelino, in her role as a specialist in internal medicine, treated T.D. and monitored her mental health over the course of T.D.'s multi-day commitment at WMH. Dr. Castelino is a hospitalist who coordinates the care of a patient during his or her stay. This is much different than the role of Dr. Robinson, chief of a hospital's department of emergency medicine. Further, Dr. Robinson states generally in the conclusion of his report that he has years of experience treating </w:t>
      </w:r>
      <w:r>
        <w:rPr>
          <w:rFonts w:ascii="Times New Roman" w:eastAsia="Times New Roman" w:hAnsi="Times New Roman"/>
          <w:sz w:val="24"/>
          <w:szCs w:val="24"/>
        </w:rPr>
        <w:t>‘</w:t>
      </w:r>
      <w:r w:rsidRPr="00A85425">
        <w:rPr>
          <w:rFonts w:ascii="Times New Roman" w:eastAsia="Times New Roman" w:hAnsi="Times New Roman"/>
          <w:sz w:val="24"/>
          <w:szCs w:val="24"/>
        </w:rPr>
        <w:t>a wide variety of patients</w:t>
      </w:r>
      <w:r>
        <w:rPr>
          <w:rFonts w:ascii="Times New Roman" w:eastAsia="Times New Roman" w:hAnsi="Times New Roman"/>
          <w:sz w:val="24"/>
          <w:szCs w:val="24"/>
        </w:rPr>
        <w:t>’</w:t>
      </w:r>
      <w:r w:rsidRPr="00A85425">
        <w:rPr>
          <w:rFonts w:ascii="Times New Roman" w:eastAsia="Times New Roman" w:hAnsi="Times New Roman"/>
          <w:sz w:val="24"/>
          <w:szCs w:val="24"/>
        </w:rPr>
        <w:t xml:space="preserve"> including </w:t>
      </w:r>
      <w:r>
        <w:rPr>
          <w:rFonts w:ascii="Times New Roman" w:eastAsia="Times New Roman" w:hAnsi="Times New Roman"/>
          <w:sz w:val="24"/>
          <w:szCs w:val="24"/>
        </w:rPr>
        <w:t>‘</w:t>
      </w:r>
      <w:r w:rsidRPr="00A85425">
        <w:rPr>
          <w:rFonts w:ascii="Times New Roman" w:eastAsia="Times New Roman" w:hAnsi="Times New Roman"/>
          <w:sz w:val="24"/>
          <w:szCs w:val="24"/>
        </w:rPr>
        <w:t>Behavioral Health patients.</w:t>
      </w:r>
      <w:r>
        <w:rPr>
          <w:rFonts w:ascii="Times New Roman" w:eastAsia="Times New Roman" w:hAnsi="Times New Roman"/>
          <w:sz w:val="24"/>
          <w:szCs w:val="24"/>
        </w:rPr>
        <w:t>’</w:t>
      </w:r>
      <w:r w:rsidRPr="00A85425">
        <w:rPr>
          <w:rFonts w:ascii="Times New Roman" w:eastAsia="Times New Roman" w:hAnsi="Times New Roman"/>
          <w:sz w:val="24"/>
          <w:szCs w:val="24"/>
        </w:rPr>
        <w:t xml:space="preserve"> However, his curriculum vitae, while replete with experience, certifications and acclaim in the areas of emergency medical services and trauma, is silent with regard to internal medicine and experience coordinating care of mental health patients</w:t>
      </w:r>
      <w:r>
        <w:rPr>
          <w:rFonts w:ascii="Times New Roman" w:eastAsia="Times New Roman" w:hAnsi="Times New Roman"/>
          <w:sz w:val="24"/>
          <w:szCs w:val="24"/>
        </w:rPr>
        <w:t xml:space="preserve">.” </w:t>
      </w:r>
      <w:hyperlink r:id="rId481" w:history="1">
        <w:r w:rsidRPr="0090046C">
          <w:rPr>
            <w:rStyle w:val="Hyperlink"/>
            <w:rFonts w:ascii="Times New Roman" w:eastAsia="Times New Roman" w:hAnsi="Times New Roman"/>
            <w:sz w:val="24"/>
            <w:szCs w:val="24"/>
          </w:rPr>
          <w:t>https://public.fastcase.com/H1P9uiW3J20SFp%2BGCG%2BxLbl0r%2FVDwzY9bFFJYqsh2zfJNVHn0JMcdFbkvIZSEaI0?utm_medium=email&amp;_hsmi=226712652&amp;_hsenc=p2ANqtz-8YA_f1AfCb15SVfFtIs0GBJg2UPhrOC0M_f0Fb9rbVagQyKLN71UFoiLhG6tJj5xQri87F989l3qtQXeXvmTCDhcNwWw&amp;utm_content=226712652&amp;utm_source=hs_email</w:t>
        </w:r>
      </w:hyperlink>
      <w:r>
        <w:rPr>
          <w:rFonts w:ascii="Times New Roman" w:eastAsia="Times New Roman" w:hAnsi="Times New Roman"/>
          <w:sz w:val="24"/>
          <w:szCs w:val="24"/>
        </w:rPr>
        <w:t xml:space="preserve"> </w:t>
      </w:r>
    </w:p>
    <w:p w14:paraId="5BCC5217" w14:textId="77777777" w:rsidR="00286F24" w:rsidRDefault="00286F24" w:rsidP="00286F24">
      <w:pPr>
        <w:pStyle w:val="NormalWeb"/>
      </w:pPr>
      <w:r w:rsidRPr="00E9331E">
        <w:rPr>
          <w:b/>
          <w:bCs/>
        </w:rPr>
        <w:t xml:space="preserve">Legal Lesson Learned:  The </w:t>
      </w:r>
      <w:r>
        <w:rPr>
          <w:b/>
          <w:bCs/>
        </w:rPr>
        <w:t xml:space="preserve">EMT </w:t>
      </w:r>
      <w:r w:rsidRPr="00E9331E">
        <w:rPr>
          <w:b/>
          <w:bCs/>
        </w:rPr>
        <w:t>failed to meet her burden of producing a qualified expert to opine on a breach of the standard of care</w:t>
      </w:r>
      <w:r>
        <w:rPr>
          <w:b/>
          <w:bCs/>
        </w:rPr>
        <w:t xml:space="preserve"> by hospital MD</w:t>
      </w:r>
      <w:r>
        <w:t xml:space="preserve">. </w:t>
      </w:r>
    </w:p>
    <w:p w14:paraId="48762F4C" w14:textId="77777777" w:rsidR="00286F24" w:rsidRDefault="00286F24" w:rsidP="00286F24">
      <w:pPr>
        <w:pStyle w:val="NormalWeb"/>
        <w:spacing w:before="0" w:beforeAutospacing="0"/>
      </w:pPr>
    </w:p>
    <w:p w14:paraId="79014282" w14:textId="77777777" w:rsidR="00286F24" w:rsidRDefault="00286F24" w:rsidP="00286F24">
      <w:pPr>
        <w:pStyle w:val="NormalWeb"/>
        <w:spacing w:before="0" w:beforeAutospacing="0"/>
      </w:pPr>
    </w:p>
    <w:p w14:paraId="40617581" w14:textId="53CCD726" w:rsidR="00286F24" w:rsidRPr="00760B23" w:rsidRDefault="00286F24" w:rsidP="00286F24">
      <w:pPr>
        <w:rPr>
          <w:rFonts w:ascii="Times New Roman" w:hAnsi="Times New Roman"/>
          <w:b/>
          <w:bCs/>
          <w:sz w:val="24"/>
          <w:szCs w:val="24"/>
        </w:rPr>
      </w:pPr>
      <w:r>
        <w:rPr>
          <w:rFonts w:ascii="Arial Black" w:hAnsi="Arial Black"/>
          <w:sz w:val="24"/>
          <w:szCs w:val="24"/>
        </w:rPr>
        <w:t>2-6</w:t>
      </w:r>
      <w:r w:rsidR="007C073D">
        <w:rPr>
          <w:rFonts w:ascii="Arial Black" w:hAnsi="Arial Black"/>
          <w:sz w:val="24"/>
          <w:szCs w:val="24"/>
        </w:rPr>
        <w:t>5</w:t>
      </w:r>
    </w:p>
    <w:p w14:paraId="75E5AE80" w14:textId="77777777" w:rsidR="00286F24" w:rsidRDefault="00286F24" w:rsidP="00286F24">
      <w:pPr>
        <w:pStyle w:val="NoSpacing"/>
        <w:jc w:val="center"/>
        <w:rPr>
          <w:rFonts w:ascii="Times New Roman" w:hAnsi="Times New Roman"/>
          <w:sz w:val="24"/>
          <w:szCs w:val="24"/>
          <w:shd w:val="clear" w:color="auto" w:fill="FFFFFF"/>
        </w:rPr>
      </w:pPr>
    </w:p>
    <w:p w14:paraId="218B069D" w14:textId="77777777" w:rsidR="00286F24" w:rsidRPr="005E4817" w:rsidRDefault="00286F24" w:rsidP="00286F24">
      <w:pPr>
        <w:pStyle w:val="NormalWeb"/>
        <w:spacing w:before="0" w:beforeAutospacing="0"/>
        <w:rPr>
          <w:rFonts w:ascii="Arial Black" w:hAnsi="Arial Black"/>
          <w:b/>
          <w:bCs/>
          <w:color w:val="454545"/>
          <w:sz w:val="28"/>
          <w:szCs w:val="28"/>
          <w:shd w:val="clear" w:color="auto" w:fill="FFFFFF"/>
        </w:rPr>
      </w:pPr>
      <w:r>
        <w:rPr>
          <w:rFonts w:ascii="Arial Black" w:hAnsi="Arial Black"/>
          <w:b/>
          <w:bCs/>
          <w:color w:val="454545"/>
          <w:sz w:val="28"/>
          <w:szCs w:val="28"/>
          <w:shd w:val="clear" w:color="auto" w:fill="FFFFFF"/>
        </w:rPr>
        <w:t xml:space="preserve">NJ: FF BACKGROUND CHECK – POOR DRIVING RECORD, FIRED FROM PD, DISORD. CONV – FF PROPERLY NOT HIRED </w:t>
      </w:r>
    </w:p>
    <w:p w14:paraId="6D898A87" w14:textId="77777777" w:rsidR="00286F24" w:rsidRDefault="00286F24" w:rsidP="00286F24">
      <w:pPr>
        <w:pStyle w:val="NoSpacing"/>
        <w:rPr>
          <w:rFonts w:ascii="Times New Roman" w:hAnsi="Times New Roman"/>
          <w:sz w:val="24"/>
          <w:szCs w:val="24"/>
        </w:rPr>
      </w:pPr>
      <w:r>
        <w:rPr>
          <w:rFonts w:ascii="Times New Roman" w:hAnsi="Times New Roman"/>
          <w:sz w:val="24"/>
          <w:szCs w:val="24"/>
        </w:rPr>
        <w:t xml:space="preserve">On March 19, 2024, </w:t>
      </w:r>
      <w:r w:rsidRPr="00AA0C7F">
        <w:rPr>
          <w:rFonts w:ascii="Times New Roman" w:hAnsi="Times New Roman"/>
          <w:sz w:val="24"/>
          <w:szCs w:val="24"/>
          <w:u w:val="single"/>
        </w:rPr>
        <w:t xml:space="preserve">In </w:t>
      </w:r>
      <w:r>
        <w:rPr>
          <w:rFonts w:ascii="Times New Roman" w:hAnsi="Times New Roman"/>
          <w:sz w:val="24"/>
          <w:szCs w:val="24"/>
          <w:u w:val="single"/>
        </w:rPr>
        <w:t>t</w:t>
      </w:r>
      <w:r w:rsidRPr="00AA0C7F">
        <w:rPr>
          <w:rFonts w:ascii="Times New Roman" w:hAnsi="Times New Roman"/>
          <w:sz w:val="24"/>
          <w:szCs w:val="24"/>
          <w:u w:val="single"/>
        </w:rPr>
        <w:t>he Matter of Albert Gonzales, Jr., Fire Fighter (M1844W), Jersey City</w:t>
      </w:r>
      <w:r>
        <w:rPr>
          <w:rFonts w:ascii="Times New Roman" w:hAnsi="Times New Roman"/>
          <w:sz w:val="24"/>
          <w:szCs w:val="24"/>
        </w:rPr>
        <w:t xml:space="preserve">, the Superior Court of New Jersey, Appellate Division, held (2 to 1) that the </w:t>
      </w:r>
      <w:r w:rsidRPr="00BA4882">
        <w:rPr>
          <w:rFonts w:ascii="Times New Roman" w:hAnsi="Times New Roman"/>
          <w:sz w:val="24"/>
          <w:szCs w:val="24"/>
        </w:rPr>
        <w:t>New Jersey Civil Service Commission</w:t>
      </w:r>
      <w:r>
        <w:rPr>
          <w:rFonts w:ascii="Times New Roman" w:hAnsi="Times New Roman"/>
          <w:sz w:val="24"/>
          <w:szCs w:val="24"/>
        </w:rPr>
        <w:t xml:space="preserve"> properly denied the applicant’s appeal.  </w:t>
      </w:r>
    </w:p>
    <w:p w14:paraId="483A3A0F" w14:textId="77777777" w:rsidR="009A27F2" w:rsidRDefault="009A27F2" w:rsidP="00286F24">
      <w:pPr>
        <w:pStyle w:val="NoSpacing"/>
        <w:rPr>
          <w:rFonts w:ascii="Times New Roman" w:hAnsi="Times New Roman"/>
          <w:sz w:val="24"/>
          <w:szCs w:val="24"/>
        </w:rPr>
      </w:pPr>
    </w:p>
    <w:p w14:paraId="58B6A9CF" w14:textId="77777777" w:rsidR="009A27F2" w:rsidRPr="004C0299" w:rsidRDefault="009A27F2" w:rsidP="009A27F2">
      <w:pPr>
        <w:pStyle w:val="NoSpacing"/>
        <w:rPr>
          <w:rFonts w:ascii="Times New Roman" w:hAnsi="Times New Roman"/>
          <w:sz w:val="24"/>
          <w:szCs w:val="24"/>
        </w:rPr>
      </w:pPr>
      <w:r>
        <w:rPr>
          <w:rFonts w:ascii="Times New Roman" w:hAnsi="Times New Roman"/>
          <w:sz w:val="24"/>
          <w:szCs w:val="24"/>
          <w:shd w:val="clear" w:color="auto" w:fill="FFFFFF"/>
        </w:rPr>
        <w:t>THE COURT HELD:</w:t>
      </w:r>
    </w:p>
    <w:p w14:paraId="5094408C" w14:textId="77777777" w:rsidR="00286F24" w:rsidRDefault="00286F24" w:rsidP="00286F24">
      <w:pPr>
        <w:pStyle w:val="NoSpacing"/>
        <w:rPr>
          <w:rFonts w:ascii="Times New Roman" w:hAnsi="Times New Roman"/>
          <w:sz w:val="24"/>
          <w:szCs w:val="24"/>
        </w:rPr>
      </w:pPr>
    </w:p>
    <w:p w14:paraId="627D1D17" w14:textId="77777777" w:rsidR="00286F24" w:rsidRDefault="00286F24" w:rsidP="00286F24">
      <w:pPr>
        <w:pStyle w:val="NoSpacing"/>
        <w:ind w:left="720"/>
        <w:rPr>
          <w:rFonts w:ascii="Times New Roman" w:hAnsi="Times New Roman"/>
          <w:sz w:val="24"/>
          <w:szCs w:val="24"/>
        </w:rPr>
      </w:pPr>
      <w:r>
        <w:rPr>
          <w:rFonts w:ascii="Times New Roman" w:hAnsi="Times New Roman"/>
          <w:sz w:val="24"/>
          <w:szCs w:val="24"/>
        </w:rPr>
        <w:t>“</w:t>
      </w:r>
      <w:r w:rsidRPr="005E4817">
        <w:rPr>
          <w:rFonts w:ascii="Times New Roman" w:hAnsi="Times New Roman"/>
          <w:sz w:val="24"/>
          <w:szCs w:val="24"/>
        </w:rPr>
        <w:t xml:space="preserve">Appellant appeals from the February 7, 2022, Final Administrative Action (Final Action) of the Civil Service Commission (CSC) denying his motion for reconsideration and upholding his removal from the Jersey City firefighter eligibility list. Appellant was removed from the eligibility list after the review of his background report revealed he was terminated as a police officer from the Jersey City Police Department (JCPD) in 2009 and from another job in 2017. In addition, the report listed arrests in 2009 and 2010. He was convicted of a disorderly </w:t>
      </w:r>
      <w:proofErr w:type="gramStart"/>
      <w:r w:rsidRPr="005E4817">
        <w:rPr>
          <w:rFonts w:ascii="Times New Roman" w:hAnsi="Times New Roman"/>
          <w:sz w:val="24"/>
          <w:szCs w:val="24"/>
        </w:rPr>
        <w:t>persons</w:t>
      </w:r>
      <w:proofErr w:type="gramEnd"/>
      <w:r w:rsidRPr="005E4817">
        <w:rPr>
          <w:rFonts w:ascii="Times New Roman" w:hAnsi="Times New Roman"/>
          <w:sz w:val="24"/>
          <w:szCs w:val="24"/>
        </w:rPr>
        <w:t xml:space="preserve"> offense in 2010 and his driving record showed a history of motor vehicle violations and accidents.</w:t>
      </w:r>
    </w:p>
    <w:p w14:paraId="74D1DA36" w14:textId="77777777" w:rsidR="00286F24" w:rsidRDefault="00286F24" w:rsidP="00286F24">
      <w:pPr>
        <w:pStyle w:val="NoSpacing"/>
        <w:ind w:left="720"/>
        <w:rPr>
          <w:rFonts w:ascii="Times New Roman" w:hAnsi="Times New Roman"/>
          <w:sz w:val="24"/>
          <w:szCs w:val="24"/>
        </w:rPr>
      </w:pPr>
    </w:p>
    <w:p w14:paraId="31AD482C" w14:textId="77777777" w:rsidR="00286F24" w:rsidRDefault="00286F24" w:rsidP="00286F24">
      <w:pPr>
        <w:pStyle w:val="NoSpacing"/>
        <w:ind w:left="720"/>
        <w:rPr>
          <w:rFonts w:ascii="Times New Roman" w:hAnsi="Times New Roman"/>
          <w:sz w:val="24"/>
          <w:szCs w:val="24"/>
        </w:rPr>
      </w:pPr>
      <w:r>
        <w:rPr>
          <w:rFonts w:ascii="Times New Roman" w:hAnsi="Times New Roman"/>
          <w:sz w:val="24"/>
          <w:szCs w:val="24"/>
        </w:rPr>
        <w:t>***</w:t>
      </w:r>
    </w:p>
    <w:p w14:paraId="5FB691E1" w14:textId="77777777" w:rsidR="00286F24" w:rsidRDefault="00286F24" w:rsidP="00286F24">
      <w:pPr>
        <w:pStyle w:val="NoSpacing"/>
        <w:ind w:left="720"/>
        <w:rPr>
          <w:rFonts w:ascii="Times New Roman" w:hAnsi="Times New Roman"/>
          <w:sz w:val="24"/>
          <w:szCs w:val="24"/>
        </w:rPr>
      </w:pPr>
    </w:p>
    <w:p w14:paraId="7A075308" w14:textId="77777777" w:rsidR="00286F24" w:rsidRDefault="00286F24" w:rsidP="00286F24">
      <w:pPr>
        <w:pStyle w:val="NoSpacing"/>
        <w:ind w:left="720"/>
      </w:pPr>
      <w:r w:rsidRPr="00240555">
        <w:rPr>
          <w:rFonts w:ascii="Times New Roman" w:hAnsi="Times New Roman"/>
          <w:sz w:val="24"/>
          <w:szCs w:val="24"/>
        </w:rPr>
        <w:t xml:space="preserve">Appellant's disciplinary adjudications and his disorderly persons conviction all involved instances of dishonesty and deceit-traits not tolerated in </w:t>
      </w:r>
      <w:proofErr w:type="gramStart"/>
      <w:r w:rsidRPr="00240555">
        <w:rPr>
          <w:rFonts w:ascii="Times New Roman" w:hAnsi="Times New Roman"/>
          <w:sz w:val="24"/>
          <w:szCs w:val="24"/>
        </w:rPr>
        <w:t>a position</w:t>
      </w:r>
      <w:proofErr w:type="gramEnd"/>
      <w:r w:rsidRPr="00240555">
        <w:rPr>
          <w:rFonts w:ascii="Times New Roman" w:hAnsi="Times New Roman"/>
          <w:sz w:val="24"/>
          <w:szCs w:val="24"/>
        </w:rPr>
        <w:t xml:space="preserve"> of public service and of a firefighter. In such a visible position, the public must have the utmost confidence and trust in a firefighter and expects the candidate to have an impeccable character. Quite simply, a firefighter candidate must show respect for the law and the rules.</w:t>
      </w:r>
      <w:r>
        <w:rPr>
          <w:rFonts w:ascii="Times New Roman" w:hAnsi="Times New Roman"/>
          <w:sz w:val="24"/>
          <w:szCs w:val="24"/>
        </w:rPr>
        <w:t xml:space="preserve">” </w:t>
      </w:r>
      <w:hyperlink r:id="rId482" w:history="1">
        <w:r w:rsidRPr="007E4CA8">
          <w:rPr>
            <w:rStyle w:val="Hyperlink"/>
          </w:rPr>
          <w:t>https://public.fastcase.com/H1P9uiW3J20SFp%2BGCG%2BxLYPdFYBU6rXmSQ%2By5I06IYNauAow%2BFD183wwpB9seHw0huG9jZnFzDNjvlfgYqLRMXl7VVMzVdIElYOfNiWEhG4%3D?utm_medium=email&amp;_hsmi=226712652&amp;_hsenc=p2ANqtz-9dIeusfdAjuYcHWZc-tZCt-VYwNMyt2XrZBQ64qnpV1yAnhv8veUFYKRs_yaW_VBF9gsQcut_JaRzapEXH-rHIPbxEPQ&amp;utm_content=226712652&amp;utm_source=hs_email</w:t>
        </w:r>
      </w:hyperlink>
      <w:r>
        <w:t xml:space="preserve"> </w:t>
      </w:r>
    </w:p>
    <w:p w14:paraId="06094223" w14:textId="77777777" w:rsidR="00286F24" w:rsidRDefault="00286F24" w:rsidP="00286F24">
      <w:pPr>
        <w:pStyle w:val="NoSpacing"/>
        <w:ind w:left="720"/>
        <w:rPr>
          <w:rFonts w:ascii="Times New Roman" w:hAnsi="Times New Roman"/>
          <w:sz w:val="24"/>
          <w:szCs w:val="24"/>
        </w:rPr>
      </w:pPr>
    </w:p>
    <w:p w14:paraId="6AF5A688" w14:textId="77777777" w:rsidR="00286F24" w:rsidRPr="002E778E" w:rsidRDefault="00286F24" w:rsidP="00286F24">
      <w:pPr>
        <w:pStyle w:val="NormalWeb"/>
        <w:rPr>
          <w:b/>
          <w:bCs/>
        </w:rPr>
      </w:pPr>
      <w:r>
        <w:rPr>
          <w:b/>
          <w:bCs/>
        </w:rPr>
        <w:t>Legal Lesson Learned: Thorough background checks are essential in hiring fire &amp; EMS.</w:t>
      </w:r>
    </w:p>
    <w:p w14:paraId="6D02AE55" w14:textId="77777777" w:rsidR="00286F24" w:rsidRDefault="00286F24" w:rsidP="00286F24">
      <w:pPr>
        <w:pStyle w:val="NormalWeb"/>
        <w:ind w:left="720"/>
      </w:pPr>
    </w:p>
    <w:p w14:paraId="548CDD85" w14:textId="1660C901" w:rsidR="005B2CD1" w:rsidRDefault="005B2CD1" w:rsidP="00853142">
      <w:pPr>
        <w:rPr>
          <w:rFonts w:ascii="Arial Black" w:hAnsi="Arial Black"/>
          <w:sz w:val="24"/>
          <w:szCs w:val="24"/>
        </w:rPr>
      </w:pPr>
      <w:r>
        <w:rPr>
          <w:rFonts w:ascii="Arial Black" w:hAnsi="Arial Black"/>
          <w:sz w:val="24"/>
          <w:szCs w:val="24"/>
        </w:rPr>
        <w:t>2-6</w:t>
      </w:r>
      <w:r w:rsidR="007C073D">
        <w:rPr>
          <w:rFonts w:ascii="Arial Black" w:hAnsi="Arial Black"/>
          <w:sz w:val="24"/>
          <w:szCs w:val="24"/>
        </w:rPr>
        <w:t>4</w:t>
      </w:r>
    </w:p>
    <w:p w14:paraId="1829B3C5" w14:textId="77777777" w:rsidR="005B2CD1" w:rsidRDefault="005B2CD1" w:rsidP="005B2CD1">
      <w:pPr>
        <w:pStyle w:val="NormalWeb"/>
        <w:rPr>
          <w:rFonts w:ascii="Arial Black" w:hAnsi="Arial Black"/>
          <w:sz w:val="28"/>
          <w:szCs w:val="28"/>
        </w:rPr>
      </w:pPr>
      <w:r>
        <w:rPr>
          <w:rFonts w:ascii="Arial Black" w:hAnsi="Arial Black"/>
          <w:sz w:val="28"/>
          <w:szCs w:val="28"/>
        </w:rPr>
        <w:t>WI:  FF INJURED KNEE CARRYING CHILD DOWN STEPS – BOTTOM RISER WAS 10-11” / MAX IS 8” - CASE PROCEED</w:t>
      </w:r>
    </w:p>
    <w:p w14:paraId="12E25B65" w14:textId="77777777" w:rsidR="005B2CD1" w:rsidRDefault="005B2CD1" w:rsidP="005B2CD1">
      <w:pPr>
        <w:pStyle w:val="NormalWeb"/>
      </w:pPr>
      <w:r>
        <w:t xml:space="preserve">On Feb. 22, 2024, in </w:t>
      </w:r>
      <w:r w:rsidRPr="00202B6D">
        <w:rPr>
          <w:u w:val="single"/>
        </w:rPr>
        <w:t>Bradley J. Herring and Kerry L. Hering, et. al. v. Rural Mutual Insurance Company and Edward Bruenig</w:t>
      </w:r>
      <w:r>
        <w:t xml:space="preserve">, the Court of Appeals of Wisconsin (District IV) held (3 to 0; unpublished opinion) that trial court mistakenly granted summary judgment to the building owner and his insurance company; the bottom step had apparently settled over time to 10-11 inches, and the Wisconsin statute barring lawsuits 7 years after a building was installed with unknown “structural defect” did not apply to steps or sidewalk settling. </w:t>
      </w:r>
    </w:p>
    <w:p w14:paraId="68312931" w14:textId="77777777" w:rsidR="003956F7" w:rsidRPr="004C0299" w:rsidRDefault="003956F7" w:rsidP="003956F7">
      <w:pPr>
        <w:pStyle w:val="NoSpacing"/>
        <w:rPr>
          <w:rFonts w:ascii="Times New Roman" w:hAnsi="Times New Roman"/>
          <w:sz w:val="24"/>
          <w:szCs w:val="24"/>
        </w:rPr>
      </w:pPr>
      <w:r>
        <w:rPr>
          <w:rFonts w:ascii="Times New Roman" w:hAnsi="Times New Roman"/>
          <w:sz w:val="24"/>
          <w:szCs w:val="24"/>
          <w:shd w:val="clear" w:color="auto" w:fill="FFFFFF"/>
        </w:rPr>
        <w:t>THE COURT HELD:</w:t>
      </w:r>
    </w:p>
    <w:p w14:paraId="6C5AEE9A" w14:textId="77777777" w:rsidR="005B2CD1" w:rsidRDefault="005B2CD1" w:rsidP="005B2CD1">
      <w:pPr>
        <w:pStyle w:val="NormalWeb"/>
        <w:ind w:left="720"/>
      </w:pPr>
      <w:r>
        <w:t xml:space="preserve">“The </w:t>
      </w:r>
      <w:proofErr w:type="spellStart"/>
      <w:r>
        <w:t>Herings</w:t>
      </w:r>
      <w:proofErr w:type="spellEnd"/>
      <w:r>
        <w:t xml:space="preserve"> sued </w:t>
      </w:r>
      <w:proofErr w:type="spellStart"/>
      <w:r>
        <w:t>Bruenig</w:t>
      </w:r>
      <w:proofErr w:type="spellEnd"/>
      <w:r>
        <w:t xml:space="preserve"> for injuries that Hering sustained while descending the front steps of a private residence owned by </w:t>
      </w:r>
      <w:proofErr w:type="spellStart"/>
      <w:r>
        <w:t>Bruenig</w:t>
      </w:r>
      <w:proofErr w:type="spellEnd"/>
      <w:r>
        <w:t xml:space="preserve">. The court dismissed the </w:t>
      </w:r>
      <w:proofErr w:type="spellStart"/>
      <w:r>
        <w:t>Herings</w:t>
      </w:r>
      <w:proofErr w:type="spellEnd"/>
      <w:r>
        <w:t>' claims because it concluded that the claims were time barred by the statute of repose, WIS. STAT. § 893.89 (2021-22).</w:t>
      </w:r>
      <w:r>
        <w:rPr>
          <w:vertAlign w:val="superscript"/>
        </w:rPr>
        <w:t>[</w:t>
      </w:r>
      <w:hyperlink r:id="rId483" w:anchor="ftn.FN2" w:history="1">
        <w:r>
          <w:rPr>
            <w:rStyle w:val="Hyperlink"/>
            <w:vertAlign w:val="superscript"/>
          </w:rPr>
          <w:t>2</w:t>
        </w:r>
      </w:hyperlink>
      <w:r>
        <w:rPr>
          <w:vertAlign w:val="superscript"/>
        </w:rPr>
        <w:t>]</w:t>
      </w:r>
      <w:r>
        <w:t xml:space="preserve"> The </w:t>
      </w:r>
      <w:proofErr w:type="spellStart"/>
      <w:r>
        <w:t>Herings</w:t>
      </w:r>
      <w:proofErr w:type="spellEnd"/>
      <w:r>
        <w:t xml:space="preserve"> argue that the court erred because </w:t>
      </w:r>
      <w:proofErr w:type="spellStart"/>
      <w:r>
        <w:t>Bruenig</w:t>
      </w:r>
      <w:proofErr w:type="spellEnd"/>
      <w:r>
        <w:t xml:space="preserve"> failed to show on summary judgment that Hering's injuries were caused by a "deficiency or defect in the design ... [or] construction of [an] improvement to real property," as required to invoke the statute of repose. </w:t>
      </w:r>
      <w:r>
        <w:rPr>
          <w:rStyle w:val="Emphasis"/>
        </w:rPr>
        <w:t>See</w:t>
      </w:r>
      <w:r>
        <w:t xml:space="preserve"> § 893.89(2). We agree. Accordingly, we reverse the circuit court's summary judgment order.</w:t>
      </w:r>
    </w:p>
    <w:p w14:paraId="77806DD2" w14:textId="77777777" w:rsidR="005B2CD1" w:rsidRDefault="005B2CD1" w:rsidP="005B2CD1">
      <w:pPr>
        <w:pStyle w:val="NormalWeb"/>
        <w:ind w:left="720"/>
      </w:pPr>
      <w:r>
        <w:lastRenderedPageBreak/>
        <w:t>***</w:t>
      </w:r>
    </w:p>
    <w:p w14:paraId="15021671" w14:textId="77777777" w:rsidR="005B2CD1" w:rsidRDefault="005B2CD1" w:rsidP="005B2CD1">
      <w:pPr>
        <w:pStyle w:val="NormalWeb"/>
        <w:ind w:left="720"/>
      </w:pPr>
      <w:proofErr w:type="spellStart"/>
      <w:r>
        <w:t>Bruenig</w:t>
      </w:r>
      <w:proofErr w:type="spellEnd"/>
      <w:r>
        <w:t xml:space="preserve"> moved for summary judgment, arguing that the </w:t>
      </w:r>
      <w:proofErr w:type="spellStart"/>
      <w:r>
        <w:t>Herings</w:t>
      </w:r>
      <w:proofErr w:type="spellEnd"/>
      <w:r>
        <w:t xml:space="preserve">' claims are time barred by the statute of repose, WIS. STAT. § 893.89, because they were brought more than seven years after the walkway and steps were substantially completed and because any injuries that Hering sustained would have been caused by a structural defect of the steps or walkway. The circuit court granted </w:t>
      </w:r>
      <w:proofErr w:type="spellStart"/>
      <w:r>
        <w:t>Bruenig's</w:t>
      </w:r>
      <w:proofErr w:type="spellEnd"/>
      <w:r>
        <w:t xml:space="preserve"> motion. The court did so based on three facts that it characterized as undisputed: that the walkway was constructed in 1999, that the walkway ‘existed through 2019 with no changes,’ and that ‘the condition of the height of the risers of the steps and changes to a cement stoop step[] over time would be a settling, which would go to the construction of the steps at the time.’” </w:t>
      </w:r>
      <w:hyperlink r:id="rId484" w:history="1">
        <w:r w:rsidRPr="00E15FC9">
          <w:rPr>
            <w:rStyle w:val="Hyperlink"/>
          </w:rPr>
          <w:t>https://casetext.com/case/hering-v-rural-mut-ins-co</w:t>
        </w:r>
      </w:hyperlink>
      <w:r>
        <w:t xml:space="preserve"> </w:t>
      </w:r>
    </w:p>
    <w:p w14:paraId="77AF1A55" w14:textId="77777777" w:rsidR="005B2CD1" w:rsidRDefault="005B2CD1" w:rsidP="005B2CD1">
      <w:pPr>
        <w:pStyle w:val="NormalWeb"/>
        <w:rPr>
          <w:b/>
          <w:bCs/>
        </w:rPr>
      </w:pPr>
      <w:r w:rsidRPr="003F00DC">
        <w:rPr>
          <w:b/>
          <w:bCs/>
        </w:rPr>
        <w:t>Legal Lesson Learned:</w:t>
      </w:r>
      <w:r>
        <w:rPr>
          <w:b/>
          <w:bCs/>
        </w:rPr>
        <w:t xml:space="preserve"> If the firefighter wins damages, then his City of Watertown Fire Department will be entitled to reimbursement for </w:t>
      </w:r>
      <w:proofErr w:type="gramStart"/>
      <w:r>
        <w:rPr>
          <w:b/>
          <w:bCs/>
        </w:rPr>
        <w:t>workers</w:t>
      </w:r>
      <w:proofErr w:type="gramEnd"/>
      <w:r>
        <w:rPr>
          <w:b/>
          <w:bCs/>
        </w:rPr>
        <w:t xml:space="preserve"> comp payments.</w:t>
      </w:r>
    </w:p>
    <w:p w14:paraId="13921F20" w14:textId="77777777" w:rsidR="005B2CD1" w:rsidRDefault="005B2CD1" w:rsidP="005B2CD1">
      <w:pPr>
        <w:pStyle w:val="NormalWeb"/>
        <w:ind w:left="720"/>
      </w:pPr>
      <w:r w:rsidRPr="00DB67C5">
        <w:t xml:space="preserve">Note: In many states the “Fireman’s Rule” would prohibit a firefighter for suing homeowner for on duty injuries. </w:t>
      </w:r>
    </w:p>
    <w:p w14:paraId="67C0C5FF" w14:textId="77777777" w:rsidR="005B2CD1" w:rsidRDefault="005B2CD1" w:rsidP="005B2CD1">
      <w:pPr>
        <w:pStyle w:val="NormalWeb"/>
        <w:ind w:left="720"/>
      </w:pPr>
      <w:r>
        <w:t xml:space="preserve">The Wisconsin Supreme Court in 1989 held that Fireman’s Rule normally prohibits firefighters from suing a homeowner for </w:t>
      </w:r>
      <w:proofErr w:type="gramStart"/>
      <w:r>
        <w:t>damages</w:t>
      </w:r>
      <w:proofErr w:type="gramEnd"/>
      <w:r>
        <w:t xml:space="preserve"> unless they created a hidden hazard; such as </w:t>
      </w:r>
      <w:proofErr w:type="gramStart"/>
      <w:r>
        <w:t>storying</w:t>
      </w:r>
      <w:proofErr w:type="gramEnd"/>
      <w:r>
        <w:t xml:space="preserve"> gasoline in basement. “Thus, this court has decided as a matter of policy that, were the landowner's or occupier's negligence is in starting a fire or in failing to curtail its spread, there is no liability to a firefighter.”</w:t>
      </w:r>
      <w:r w:rsidRPr="00335ED9">
        <w:t xml:space="preserve"> </w:t>
      </w:r>
      <w:r>
        <w:t xml:space="preserve">Wright v. Coleman, </w:t>
      </w:r>
      <w:hyperlink r:id="rId485" w:history="1">
        <w:r w:rsidRPr="00E15FC9">
          <w:rPr>
            <w:rStyle w:val="Hyperlink"/>
          </w:rPr>
          <w:t>https://law.justia.com/cases/wisconsin/supreme-court/1989/87-1094-9.html</w:t>
        </w:r>
      </w:hyperlink>
      <w:r>
        <w:t xml:space="preserve"> </w:t>
      </w:r>
    </w:p>
    <w:p w14:paraId="6978AA64" w14:textId="77777777" w:rsidR="005B2CD1" w:rsidRDefault="005B2CD1" w:rsidP="005B2CD1">
      <w:pPr>
        <w:pStyle w:val="NormalWeb"/>
        <w:ind w:left="1440"/>
      </w:pPr>
      <w:r>
        <w:t xml:space="preserve">“Bud Wright, the plaintiff and petitioner before this court, was employed as </w:t>
      </w:r>
      <w:proofErr w:type="gramStart"/>
      <w:r>
        <w:t>a</w:t>
      </w:r>
      <w:proofErr w:type="gramEnd"/>
      <w:r>
        <w:t xml:space="preserve"> </w:t>
      </w:r>
      <w:proofErr w:type="spellStart"/>
      <w:r>
        <w:t>irefighter</w:t>
      </w:r>
      <w:proofErr w:type="spellEnd"/>
      <w:r>
        <w:t xml:space="preserve"> by the city of Brookfield when, on January 8, 1983, at about three o'clock in the morning, he, with his fire company, responded to a report of a fire on the property of Thomas Coleman. The first officer at the scene was a police officer, who ordered Coleman, the landowner, into the house and away from the detached garage, where the fire was blazing. After Wright arrived at the scene, he was attempting to bring a hose line up to the garage when he fell on ‘glare ice’ on the driveway. There were assertions at trial that this ice was the result of Coleman's son using a garden hose late in the preceding afternoon to wash a car. There was some evidence that, on the </w:t>
      </w:r>
      <w:proofErr w:type="gramStart"/>
      <w:r>
        <w:t>particular evening</w:t>
      </w:r>
      <w:proofErr w:type="gramEnd"/>
      <w:r>
        <w:t>, there was no ice anywhere else in the city of Brookfield only this artificially created icy area. It is asserted that Wright so severely injured his knee that he was obliged to retire as a firefighter.”</w:t>
      </w:r>
    </w:p>
    <w:p w14:paraId="715824E6" w14:textId="77777777" w:rsidR="005B2CD1" w:rsidRDefault="005B2CD1" w:rsidP="00853142">
      <w:pPr>
        <w:rPr>
          <w:rFonts w:ascii="Arial Black" w:hAnsi="Arial Black"/>
          <w:sz w:val="24"/>
          <w:szCs w:val="24"/>
        </w:rPr>
      </w:pPr>
    </w:p>
    <w:p w14:paraId="20B242A3" w14:textId="614B2688" w:rsidR="002C34C9" w:rsidRDefault="002C34C9" w:rsidP="00853142">
      <w:pPr>
        <w:rPr>
          <w:rFonts w:ascii="Arial Black" w:hAnsi="Arial Black"/>
          <w:sz w:val="24"/>
          <w:szCs w:val="24"/>
        </w:rPr>
      </w:pPr>
      <w:r>
        <w:rPr>
          <w:rFonts w:ascii="Arial Black" w:hAnsi="Arial Black"/>
          <w:sz w:val="24"/>
          <w:szCs w:val="24"/>
        </w:rPr>
        <w:t>2-6</w:t>
      </w:r>
      <w:r w:rsidR="007C073D">
        <w:rPr>
          <w:rFonts w:ascii="Arial Black" w:hAnsi="Arial Black"/>
          <w:sz w:val="24"/>
          <w:szCs w:val="24"/>
        </w:rPr>
        <w:t>3</w:t>
      </w:r>
    </w:p>
    <w:p w14:paraId="24639D17" w14:textId="65A6BCD4" w:rsidR="00625F79" w:rsidRDefault="00625F79" w:rsidP="00625F79">
      <w:pPr>
        <w:pStyle w:val="NormalWeb"/>
        <w:rPr>
          <w:rFonts w:ascii="Arial Black" w:hAnsi="Arial Black"/>
          <w:sz w:val="28"/>
          <w:szCs w:val="28"/>
        </w:rPr>
      </w:pPr>
      <w:r>
        <w:rPr>
          <w:rFonts w:ascii="Arial Black" w:hAnsi="Arial Black"/>
          <w:sz w:val="28"/>
          <w:szCs w:val="28"/>
        </w:rPr>
        <w:t xml:space="preserve">NY: VOLUNTEER FF - INJURED FELL </w:t>
      </w:r>
      <w:r w:rsidR="009F1D79">
        <w:rPr>
          <w:rFonts w:ascii="Arial Black" w:hAnsi="Arial Black"/>
          <w:sz w:val="28"/>
          <w:szCs w:val="28"/>
        </w:rPr>
        <w:t xml:space="preserve">OFF </w:t>
      </w:r>
      <w:r>
        <w:rPr>
          <w:rFonts w:ascii="Arial Black" w:hAnsi="Arial Black"/>
          <w:sz w:val="28"/>
          <w:szCs w:val="28"/>
        </w:rPr>
        <w:t xml:space="preserve">BACK </w:t>
      </w:r>
      <w:r w:rsidR="009F1D79">
        <w:rPr>
          <w:rFonts w:ascii="Arial Black" w:hAnsi="Arial Black"/>
          <w:sz w:val="28"/>
          <w:szCs w:val="28"/>
        </w:rPr>
        <w:t xml:space="preserve">OF </w:t>
      </w:r>
      <w:r>
        <w:rPr>
          <w:rFonts w:ascii="Arial Black" w:hAnsi="Arial Black"/>
          <w:sz w:val="28"/>
          <w:szCs w:val="28"/>
        </w:rPr>
        <w:t xml:space="preserve">FIRE ENGINE – CANNOT SUE DRILL TEAM, FD OR </w:t>
      </w:r>
      <w:r w:rsidR="009F1D79">
        <w:rPr>
          <w:rFonts w:ascii="Arial Black" w:hAnsi="Arial Black"/>
          <w:sz w:val="28"/>
          <w:szCs w:val="28"/>
        </w:rPr>
        <w:t xml:space="preserve">VOL. FF </w:t>
      </w:r>
      <w:r>
        <w:rPr>
          <w:rFonts w:ascii="Arial Black" w:hAnsi="Arial Black"/>
          <w:sz w:val="28"/>
          <w:szCs w:val="28"/>
        </w:rPr>
        <w:t>DRIVER</w:t>
      </w:r>
    </w:p>
    <w:p w14:paraId="4C07661E" w14:textId="77777777" w:rsidR="00614665" w:rsidRPr="00614665" w:rsidRDefault="00625F79" w:rsidP="00614665">
      <w:pPr>
        <w:rPr>
          <w:rFonts w:ascii="Times New Roman" w:hAnsi="Times New Roman"/>
          <w:sz w:val="24"/>
          <w:szCs w:val="24"/>
        </w:rPr>
      </w:pPr>
      <w:r w:rsidRPr="00614665">
        <w:rPr>
          <w:rFonts w:ascii="Times New Roman" w:hAnsi="Times New Roman"/>
          <w:sz w:val="24"/>
          <w:szCs w:val="24"/>
        </w:rPr>
        <w:t xml:space="preserve">On Jan. 17, 2024, in </w:t>
      </w:r>
      <w:r w:rsidRPr="00614665">
        <w:rPr>
          <w:rFonts w:ascii="Times New Roman" w:hAnsi="Times New Roman"/>
          <w:sz w:val="24"/>
          <w:szCs w:val="24"/>
          <w:u w:val="single"/>
        </w:rPr>
        <w:t xml:space="preserve">William A. Knipper v. Drill Team of </w:t>
      </w:r>
      <w:proofErr w:type="spellStart"/>
      <w:r w:rsidRPr="00614665">
        <w:rPr>
          <w:rFonts w:ascii="Times New Roman" w:hAnsi="Times New Roman"/>
          <w:sz w:val="24"/>
          <w:szCs w:val="24"/>
          <w:u w:val="single"/>
        </w:rPr>
        <w:t>Lindenhust</w:t>
      </w:r>
      <w:proofErr w:type="spellEnd"/>
      <w:r w:rsidRPr="00614665">
        <w:rPr>
          <w:rFonts w:ascii="Times New Roman" w:hAnsi="Times New Roman"/>
          <w:sz w:val="24"/>
          <w:szCs w:val="24"/>
          <w:u w:val="single"/>
        </w:rPr>
        <w:t xml:space="preserve"> Fire Department, Inc, et al.</w:t>
      </w:r>
      <w:r w:rsidRPr="00614665">
        <w:rPr>
          <w:rFonts w:ascii="Times New Roman" w:hAnsi="Times New Roman"/>
          <w:sz w:val="24"/>
          <w:szCs w:val="24"/>
        </w:rPr>
        <w:t xml:space="preserve">, the Superior Court of New York held (4 to 0) that the trial court properly dismissed the lawsuit against the Drill Team, the Fire Department and the volunteer firefighter who drove the fire engine. The injured firefighter already applied for is workers comp, and under the state Volunteer Firefighters’ Benefit Law he cannot sue for damages. </w:t>
      </w:r>
      <w:hyperlink r:id="rId486" w:history="1">
        <w:r w:rsidR="00614665" w:rsidRPr="00614665">
          <w:rPr>
            <w:rStyle w:val="Hyperlink"/>
            <w:rFonts w:ascii="Times New Roman" w:hAnsi="Times New Roman"/>
            <w:sz w:val="24"/>
            <w:szCs w:val="24"/>
          </w:rPr>
          <w:t>https://casetext.com/case/knipper-v-drill-team-of-lindenhurst-fire-dept</w:t>
        </w:r>
      </w:hyperlink>
    </w:p>
    <w:p w14:paraId="6ACC8E58" w14:textId="77777777" w:rsidR="003956F7" w:rsidRPr="004C0299" w:rsidRDefault="003956F7" w:rsidP="003956F7">
      <w:pPr>
        <w:pStyle w:val="NoSpacing"/>
        <w:rPr>
          <w:rFonts w:ascii="Times New Roman" w:hAnsi="Times New Roman"/>
          <w:sz w:val="24"/>
          <w:szCs w:val="24"/>
        </w:rPr>
      </w:pPr>
      <w:r>
        <w:rPr>
          <w:rFonts w:ascii="Times New Roman" w:hAnsi="Times New Roman"/>
          <w:sz w:val="24"/>
          <w:szCs w:val="24"/>
          <w:shd w:val="clear" w:color="auto" w:fill="FFFFFF"/>
        </w:rPr>
        <w:t>THE COURT HELD:</w:t>
      </w:r>
    </w:p>
    <w:p w14:paraId="1A2AFF10" w14:textId="77777777" w:rsidR="00625F79" w:rsidRDefault="00625F79" w:rsidP="00625F79">
      <w:pPr>
        <w:pStyle w:val="NormalWeb"/>
        <w:ind w:left="720"/>
      </w:pPr>
      <w:r>
        <w:lastRenderedPageBreak/>
        <w:t>“</w:t>
      </w:r>
      <w:hyperlink r:id="rId487" w:history="1">
        <w:r w:rsidRPr="00616D93">
          <w:rPr>
            <w:rStyle w:val="Hyperlink"/>
          </w:rPr>
          <w:t>Section 19 of the Volunteer Firefighters' Benefit Law</w:t>
        </w:r>
      </w:hyperlink>
      <w:r w:rsidRPr="00616D93">
        <w:t xml:space="preserve"> provides, in pertinent part, that </w:t>
      </w:r>
      <w:r>
        <w:t>‘</w:t>
      </w:r>
      <w:r w:rsidRPr="00616D93">
        <w:t>[t]he benefits provided by this chapter shall be the exclusive</w:t>
      </w:r>
      <w:r>
        <w:t xml:space="preserve"> remedy of a volunteer firefighter" for injuries sustained "in line of duty... as against... any person or agency acting under governmental or statutory authority in furtherance of the duties or activities in relation to which any such injury resulted.’ Thus, where a volunteer firefighter sustains an injury in the line of duty, the injured firefighter is barred from seeking recovery against either a fire company with which he or she had an employer/employee relationship … or fellow firefighters acting "in furtherance of their duties and activities" (</w:t>
      </w:r>
      <w:r>
        <w:rPr>
          <w:i/>
          <w:iCs/>
        </w:rPr>
        <w:t xml:space="preserve">Maines v </w:t>
      </w:r>
      <w:proofErr w:type="spellStart"/>
      <w:r>
        <w:rPr>
          <w:i/>
          <w:iCs/>
        </w:rPr>
        <w:t>Cronomer</w:t>
      </w:r>
      <w:proofErr w:type="spellEnd"/>
      <w:r>
        <w:rPr>
          <w:i/>
          <w:iCs/>
        </w:rPr>
        <w:t xml:space="preserve"> Val. Fire Dept.</w:t>
      </w:r>
      <w:r>
        <w:t xml:space="preserve">, </w:t>
      </w:r>
      <w:hyperlink r:id="rId488" w:anchor="p546" w:history="1">
        <w:r>
          <w:rPr>
            <w:rStyle w:val="Hyperlink"/>
          </w:rPr>
          <w:t>50 N.Y.2d 535, 546</w:t>
        </w:r>
      </w:hyperlink>
      <w:r>
        <w:t xml:space="preserve"> [internal quotation marks omitted]).</w:t>
      </w:r>
    </w:p>
    <w:p w14:paraId="7E87DB28" w14:textId="77777777" w:rsidR="00625F79" w:rsidRDefault="00625F79" w:rsidP="00625F79">
      <w:pPr>
        <w:pStyle w:val="NormalWeb"/>
        <w:ind w:left="720"/>
      </w:pPr>
      <w:r>
        <w:t>***</w:t>
      </w:r>
    </w:p>
    <w:p w14:paraId="27DD1F30" w14:textId="3CEF7F46" w:rsidR="002C34C9" w:rsidRPr="00625F79" w:rsidRDefault="00625F79" w:rsidP="00625F79">
      <w:pPr>
        <w:ind w:left="720"/>
        <w:rPr>
          <w:rFonts w:ascii="Times New Roman" w:hAnsi="Times New Roman"/>
          <w:sz w:val="24"/>
          <w:szCs w:val="24"/>
        </w:rPr>
      </w:pPr>
      <w:r w:rsidRPr="00625F79">
        <w:rPr>
          <w:rFonts w:ascii="Times New Roman" w:hAnsi="Times New Roman"/>
          <w:sz w:val="24"/>
          <w:szCs w:val="24"/>
        </w:rPr>
        <w:t>Here, the Lindenhurst defendants submitted, and Weckerle referenced, evidence showing that the plaintiff applied for and was awarded workers' compensation benefits based upon a determination that he was injured in the line of duty. Moreover, viewing the plaintiff's allegations in the light most favorable to him, the plaintiff failed to allege that Weckerle was not acting in furtherance of his duties and activities as a volunteer firefighter at the time of the accident by preparing for a competitive tournament (</w:t>
      </w:r>
      <w:r w:rsidRPr="00625F79">
        <w:rPr>
          <w:rFonts w:ascii="Times New Roman" w:hAnsi="Times New Roman"/>
          <w:i/>
          <w:iCs/>
          <w:sz w:val="24"/>
          <w:szCs w:val="24"/>
        </w:rPr>
        <w:t>see</w:t>
      </w:r>
      <w:r w:rsidRPr="00625F79">
        <w:rPr>
          <w:rFonts w:ascii="Times New Roman" w:hAnsi="Times New Roman"/>
          <w:sz w:val="24"/>
          <w:szCs w:val="24"/>
        </w:rPr>
        <w:t xml:space="preserve"> </w:t>
      </w:r>
      <w:hyperlink r:id="rId489" w:history="1">
        <w:r w:rsidRPr="00625F79">
          <w:rPr>
            <w:rStyle w:val="Hyperlink"/>
            <w:rFonts w:ascii="Times New Roman" w:hAnsi="Times New Roman"/>
            <w:sz w:val="24"/>
            <w:szCs w:val="24"/>
          </w:rPr>
          <w:t>Volunteer Firefighters' Benefit Law § 5</w:t>
        </w:r>
      </w:hyperlink>
      <w:r w:rsidRPr="00625F79">
        <w:rPr>
          <w:rFonts w:ascii="Times New Roman" w:hAnsi="Times New Roman"/>
          <w:sz w:val="24"/>
          <w:szCs w:val="24"/>
        </w:rPr>
        <w:t>[1][</w:t>
      </w:r>
      <w:proofErr w:type="spellStart"/>
      <w:r w:rsidRPr="00625F79">
        <w:rPr>
          <w:rFonts w:ascii="Times New Roman" w:hAnsi="Times New Roman"/>
          <w:sz w:val="24"/>
          <w:szCs w:val="24"/>
        </w:rPr>
        <w:t>i</w:t>
      </w:r>
      <w:proofErr w:type="spellEnd"/>
      <w:r w:rsidRPr="00625F79">
        <w:rPr>
          <w:rFonts w:ascii="Times New Roman" w:hAnsi="Times New Roman"/>
          <w:sz w:val="24"/>
          <w:szCs w:val="24"/>
        </w:rPr>
        <w:t xml:space="preserve">]). Thus, the Lindenhurst defendants and Weckerle demonstrated that the plaintiff did not have a cause of action against them because the plaintiff's claims against them were barred by the exclusivity provisions of </w:t>
      </w:r>
      <w:hyperlink r:id="rId490" w:history="1">
        <w:r w:rsidRPr="00625F79">
          <w:rPr>
            <w:rStyle w:val="Hyperlink"/>
            <w:rFonts w:ascii="Times New Roman" w:hAnsi="Times New Roman"/>
            <w:sz w:val="24"/>
            <w:szCs w:val="24"/>
          </w:rPr>
          <w:t>Volunteer Firefighters' Benefit Law § 19</w:t>
        </w:r>
      </w:hyperlink>
      <w:r w:rsidRPr="00625F79">
        <w:rPr>
          <w:rFonts w:ascii="Times New Roman" w:hAnsi="Times New Roman"/>
          <w:sz w:val="24"/>
          <w:szCs w:val="24"/>
        </w:rPr>
        <w:t xml:space="preserve"> (</w:t>
      </w:r>
      <w:r w:rsidRPr="00625F79">
        <w:rPr>
          <w:rFonts w:ascii="Times New Roman" w:hAnsi="Times New Roman"/>
          <w:i/>
          <w:iCs/>
          <w:sz w:val="24"/>
          <w:szCs w:val="24"/>
        </w:rPr>
        <w:t>see Brady v Village of Malverne</w:t>
      </w:r>
      <w:r w:rsidRPr="00625F79">
        <w:rPr>
          <w:rFonts w:ascii="Times New Roman" w:hAnsi="Times New Roman"/>
          <w:sz w:val="24"/>
          <w:szCs w:val="24"/>
        </w:rPr>
        <w:t xml:space="preserve">, </w:t>
      </w:r>
      <w:hyperlink r:id="rId491" w:anchor="p693" w:history="1">
        <w:r w:rsidRPr="00625F79">
          <w:rPr>
            <w:rStyle w:val="Hyperlink"/>
            <w:rFonts w:ascii="Times New Roman" w:hAnsi="Times New Roman"/>
            <w:sz w:val="24"/>
            <w:szCs w:val="24"/>
          </w:rPr>
          <w:t>76 A.D.3d 691, 693</w:t>
        </w:r>
      </w:hyperlink>
      <w:r w:rsidRPr="00625F79">
        <w:rPr>
          <w:rFonts w:ascii="Times New Roman" w:hAnsi="Times New Roman"/>
          <w:sz w:val="24"/>
          <w:szCs w:val="24"/>
        </w:rPr>
        <w:t xml:space="preserve">; </w:t>
      </w:r>
      <w:proofErr w:type="spellStart"/>
      <w:r w:rsidRPr="00625F79">
        <w:rPr>
          <w:rFonts w:ascii="Times New Roman" w:hAnsi="Times New Roman"/>
          <w:i/>
          <w:iCs/>
          <w:sz w:val="24"/>
          <w:szCs w:val="24"/>
        </w:rPr>
        <w:t>Theodoreu</w:t>
      </w:r>
      <w:proofErr w:type="spellEnd"/>
      <w:r w:rsidRPr="00625F79">
        <w:rPr>
          <w:rFonts w:ascii="Times New Roman" w:hAnsi="Times New Roman"/>
          <w:i/>
          <w:iCs/>
          <w:sz w:val="24"/>
          <w:szCs w:val="24"/>
        </w:rPr>
        <w:t xml:space="preserve"> v Chester Fire Dist.</w:t>
      </w:r>
      <w:r w:rsidRPr="00625F79">
        <w:rPr>
          <w:rFonts w:ascii="Times New Roman" w:hAnsi="Times New Roman"/>
          <w:sz w:val="24"/>
          <w:szCs w:val="24"/>
        </w:rPr>
        <w:t xml:space="preserve">, </w:t>
      </w:r>
      <w:hyperlink r:id="rId492" w:anchor="p500" w:history="1">
        <w:r w:rsidRPr="00625F79">
          <w:rPr>
            <w:rStyle w:val="Hyperlink"/>
            <w:rFonts w:ascii="Times New Roman" w:hAnsi="Times New Roman"/>
            <w:sz w:val="24"/>
            <w:szCs w:val="24"/>
          </w:rPr>
          <w:t>12 A.D.3d at 500</w:t>
        </w:r>
      </w:hyperlink>
      <w:r w:rsidRPr="00625F79">
        <w:rPr>
          <w:rFonts w:ascii="Times New Roman" w:hAnsi="Times New Roman"/>
          <w:sz w:val="24"/>
          <w:szCs w:val="24"/>
        </w:rPr>
        <w:t xml:space="preserve">; </w:t>
      </w:r>
      <w:r w:rsidRPr="00625F79">
        <w:rPr>
          <w:rFonts w:ascii="Times New Roman" w:hAnsi="Times New Roman"/>
          <w:i/>
          <w:iCs/>
          <w:sz w:val="24"/>
          <w:szCs w:val="24"/>
        </w:rPr>
        <w:t>Malone v Jacobs</w:t>
      </w:r>
      <w:r w:rsidRPr="00625F79">
        <w:rPr>
          <w:rFonts w:ascii="Times New Roman" w:hAnsi="Times New Roman"/>
          <w:sz w:val="24"/>
          <w:szCs w:val="24"/>
        </w:rPr>
        <w:t xml:space="preserve">, </w:t>
      </w:r>
      <w:hyperlink r:id="rId493" w:anchor="p928" w:history="1">
        <w:r w:rsidRPr="00625F79">
          <w:rPr>
            <w:rStyle w:val="Hyperlink"/>
            <w:rFonts w:ascii="Times New Roman" w:hAnsi="Times New Roman"/>
            <w:sz w:val="24"/>
            <w:szCs w:val="24"/>
          </w:rPr>
          <w:t>88 A.D.2d at 928</w:t>
        </w:r>
      </w:hyperlink>
      <w:r w:rsidRPr="00625F79">
        <w:rPr>
          <w:rFonts w:ascii="Times New Roman" w:hAnsi="Times New Roman"/>
          <w:sz w:val="24"/>
          <w:szCs w:val="24"/>
        </w:rPr>
        <w:t xml:space="preserve">). Accordingly, the Supreme Court properly granted the motions of the Lindenhurst defendants and Weckerle pursuant to </w:t>
      </w:r>
      <w:hyperlink r:id="rId494" w:history="1">
        <w:r w:rsidRPr="00625F79">
          <w:rPr>
            <w:rStyle w:val="Hyperlink"/>
            <w:rFonts w:ascii="Times New Roman" w:hAnsi="Times New Roman"/>
            <w:sz w:val="24"/>
            <w:szCs w:val="24"/>
          </w:rPr>
          <w:t>CPLR 3211(a)(7)</w:t>
        </w:r>
      </w:hyperlink>
      <w:r w:rsidRPr="00625F79">
        <w:rPr>
          <w:rFonts w:ascii="Times New Roman" w:hAnsi="Times New Roman"/>
          <w:sz w:val="24"/>
          <w:szCs w:val="24"/>
        </w:rPr>
        <w:t xml:space="preserve"> to dismiss the amended complaint insofar as asserted against each of </w:t>
      </w:r>
      <w:proofErr w:type="gramStart"/>
      <w:r w:rsidRPr="00625F79">
        <w:rPr>
          <w:rFonts w:ascii="Times New Roman" w:hAnsi="Times New Roman"/>
          <w:sz w:val="24"/>
          <w:szCs w:val="24"/>
        </w:rPr>
        <w:t>them.”</w:t>
      </w:r>
      <w:proofErr w:type="gramEnd"/>
      <w:r w:rsidRPr="00625F79">
        <w:rPr>
          <w:rFonts w:ascii="Times New Roman" w:hAnsi="Times New Roman"/>
          <w:sz w:val="24"/>
          <w:szCs w:val="24"/>
        </w:rPr>
        <w:t xml:space="preserve"> </w:t>
      </w:r>
      <w:hyperlink r:id="rId495" w:history="1">
        <w:r w:rsidRPr="00625F79">
          <w:rPr>
            <w:rStyle w:val="Hyperlink"/>
            <w:rFonts w:ascii="Times New Roman" w:hAnsi="Times New Roman"/>
            <w:sz w:val="24"/>
            <w:szCs w:val="24"/>
          </w:rPr>
          <w:t>https://casetext.com/case/knipper-v-drill-team-of-lindenhurst-fire-dept</w:t>
        </w:r>
      </w:hyperlink>
    </w:p>
    <w:p w14:paraId="4E028C7C" w14:textId="67E416AF" w:rsidR="001B3B5F" w:rsidRPr="00187D4E" w:rsidRDefault="001B3B5F" w:rsidP="001B3B5F">
      <w:pPr>
        <w:pStyle w:val="NormalWeb"/>
        <w:rPr>
          <w:b/>
          <w:bCs/>
        </w:rPr>
      </w:pPr>
      <w:r w:rsidRPr="00187D4E">
        <w:rPr>
          <w:b/>
          <w:bCs/>
        </w:rPr>
        <w:t>Legal Lesson Learned:</w:t>
      </w:r>
      <w:r>
        <w:rPr>
          <w:b/>
          <w:bCs/>
        </w:rPr>
        <w:t xml:space="preserve"> Volunteer firefighter injured in line of duty </w:t>
      </w:r>
      <w:r w:rsidR="00EE2DFE">
        <w:rPr>
          <w:b/>
          <w:bCs/>
        </w:rPr>
        <w:t xml:space="preserve">is </w:t>
      </w:r>
      <w:r>
        <w:rPr>
          <w:b/>
          <w:bCs/>
        </w:rPr>
        <w:t>covered by worker’s comp</w:t>
      </w:r>
      <w:r w:rsidR="00EE2DFE">
        <w:rPr>
          <w:b/>
          <w:bCs/>
        </w:rPr>
        <w:t xml:space="preserve">; cannot sue </w:t>
      </w:r>
      <w:r w:rsidR="009504C8">
        <w:rPr>
          <w:b/>
          <w:bCs/>
        </w:rPr>
        <w:t xml:space="preserve">for damages. </w:t>
      </w:r>
      <w:r>
        <w:rPr>
          <w:b/>
          <w:bCs/>
        </w:rPr>
        <w:t xml:space="preserve"> </w:t>
      </w:r>
    </w:p>
    <w:p w14:paraId="04214FC8" w14:textId="378EC4AA" w:rsidR="002C34C9" w:rsidRDefault="001B3B5F" w:rsidP="00853142">
      <w:pPr>
        <w:rPr>
          <w:rFonts w:ascii="Arial Black" w:hAnsi="Arial Black"/>
          <w:sz w:val="24"/>
          <w:szCs w:val="24"/>
        </w:rPr>
      </w:pPr>
      <w:r>
        <w:rPr>
          <w:rFonts w:ascii="Arial Black" w:hAnsi="Arial Black"/>
          <w:sz w:val="24"/>
          <w:szCs w:val="24"/>
        </w:rPr>
        <w:t xml:space="preserve"> </w:t>
      </w:r>
    </w:p>
    <w:p w14:paraId="138F044E" w14:textId="77777777" w:rsidR="002C34C9" w:rsidRDefault="002C34C9" w:rsidP="00853142">
      <w:pPr>
        <w:rPr>
          <w:rFonts w:ascii="Arial Black" w:hAnsi="Arial Black"/>
          <w:sz w:val="24"/>
          <w:szCs w:val="24"/>
        </w:rPr>
      </w:pPr>
    </w:p>
    <w:p w14:paraId="4AC80DC2" w14:textId="1EABE174" w:rsidR="00A21A2D" w:rsidRDefault="00A21A2D" w:rsidP="00853142">
      <w:pPr>
        <w:rPr>
          <w:rFonts w:ascii="Arial Black" w:hAnsi="Arial Black"/>
          <w:sz w:val="24"/>
          <w:szCs w:val="24"/>
        </w:rPr>
      </w:pPr>
      <w:r>
        <w:rPr>
          <w:rFonts w:ascii="Arial Black" w:hAnsi="Arial Black"/>
          <w:sz w:val="24"/>
          <w:szCs w:val="24"/>
        </w:rPr>
        <w:t>2-6</w:t>
      </w:r>
      <w:r w:rsidR="00BB73D4">
        <w:rPr>
          <w:rFonts w:ascii="Arial Black" w:hAnsi="Arial Black"/>
          <w:sz w:val="24"/>
          <w:szCs w:val="24"/>
        </w:rPr>
        <w:t>2</w:t>
      </w:r>
    </w:p>
    <w:p w14:paraId="0AB9BC36" w14:textId="77777777" w:rsidR="003312BD" w:rsidRDefault="003312BD" w:rsidP="003312BD">
      <w:pPr>
        <w:pStyle w:val="NormalWeb"/>
        <w:rPr>
          <w:rFonts w:ascii="Arial Black" w:hAnsi="Arial Black"/>
          <w:b/>
          <w:bCs/>
          <w:sz w:val="28"/>
          <w:szCs w:val="28"/>
        </w:rPr>
      </w:pPr>
      <w:r>
        <w:rPr>
          <w:rFonts w:ascii="Arial Black" w:hAnsi="Arial Black"/>
          <w:b/>
          <w:bCs/>
          <w:sz w:val="28"/>
          <w:szCs w:val="28"/>
        </w:rPr>
        <w:t>MO: VOLUNTEER FF LODD – WIFE AWARDED ONLY MIN. OF $40 / WEEK – REVERSED - COMPARE WAGES OF CAREER FF</w:t>
      </w:r>
    </w:p>
    <w:p w14:paraId="12760CC2" w14:textId="77777777" w:rsidR="003312BD" w:rsidRDefault="003312BD" w:rsidP="003312BD">
      <w:pPr>
        <w:pStyle w:val="NormalWeb"/>
      </w:pPr>
      <w:r>
        <w:t xml:space="preserve">On Jan. 10, 2024, in </w:t>
      </w:r>
      <w:r w:rsidRPr="007A32A0">
        <w:rPr>
          <w:u w:val="single"/>
        </w:rPr>
        <w:t>Dependent of Russell Hayes, Deceased, Susan Hayes v. City of Eldorado Springs,</w:t>
      </w:r>
      <w:r>
        <w:t xml:space="preserve"> the Court of Appeals of Missouri, Southern District, held (3 to 0) that Labor and Industrial Commission” is reversed, and must conduct a new hearing before an Administrative Law Judge to determine if duties on a volunteer FF are “similar” to those of a career FF; if they are similar then award a monthly amount consistent with the “usual wage” of a career FF. </w:t>
      </w:r>
    </w:p>
    <w:p w14:paraId="55D4173D" w14:textId="77777777" w:rsidR="003312BD" w:rsidRDefault="003312BD" w:rsidP="003312BD">
      <w:pPr>
        <w:pStyle w:val="NormalWeb"/>
        <w:ind w:left="720"/>
        <w:rPr>
          <w:b/>
          <w:bCs/>
        </w:rPr>
      </w:pPr>
      <w:r>
        <w:t xml:space="preserve">“Having found that Wife presented evidence of the ‘usual wage’ of firefighters, the Commission did not then compare the services provided by such firefighters to the services provided by Husband as a volunteer firefighter to determine whether those services are ‘similar’ as is required by section 287.250.1(6). Rather, the Commission misapplied the law in suggesting that Wife was misguided in asserting ‘that the services rendered by a full-time career firefighter and by a rural volunteer firefighter </w:t>
      </w:r>
      <w:r>
        <w:lastRenderedPageBreak/>
        <w:t xml:space="preserve">are similar’ and in ruling that ‘[t]his [Commission] cannot assume facts not in evidence’ as the record reveals that such evidence was produced by Wife.” </w:t>
      </w:r>
      <w:hyperlink r:id="rId496" w:history="1">
        <w:r w:rsidRPr="00092358">
          <w:rPr>
            <w:rStyle w:val="Hyperlink"/>
          </w:rPr>
          <w:t>https://casetext.com/case/dependent-of-hayes-v-city-of-eldorado-springs</w:t>
        </w:r>
      </w:hyperlink>
      <w:r>
        <w:t xml:space="preserve"> </w:t>
      </w:r>
    </w:p>
    <w:p w14:paraId="528956A7" w14:textId="77777777" w:rsidR="002C34C9" w:rsidRDefault="002C34C9" w:rsidP="002C34C9">
      <w:pPr>
        <w:rPr>
          <w:rFonts w:ascii="Times New Roman" w:hAnsi="Times New Roman"/>
          <w:b/>
          <w:bCs/>
          <w:sz w:val="24"/>
          <w:szCs w:val="24"/>
        </w:rPr>
      </w:pPr>
      <w:r w:rsidRPr="00452E49">
        <w:rPr>
          <w:rFonts w:ascii="Times New Roman" w:hAnsi="Times New Roman"/>
          <w:b/>
          <w:bCs/>
          <w:sz w:val="24"/>
          <w:szCs w:val="24"/>
        </w:rPr>
        <w:t xml:space="preserve">Legal Lesson Learned: </w:t>
      </w:r>
      <w:r>
        <w:rPr>
          <w:rFonts w:ascii="Times New Roman" w:hAnsi="Times New Roman"/>
          <w:b/>
          <w:bCs/>
          <w:sz w:val="24"/>
          <w:szCs w:val="24"/>
        </w:rPr>
        <w:t xml:space="preserve">A very positive decision for volunteer firefighters. </w:t>
      </w:r>
    </w:p>
    <w:p w14:paraId="79CE1B05" w14:textId="77777777" w:rsidR="002C34C9" w:rsidRDefault="002C34C9" w:rsidP="002C34C9">
      <w:pPr>
        <w:ind w:left="720"/>
        <w:rPr>
          <w:rFonts w:ascii="Times New Roman" w:hAnsi="Times New Roman"/>
          <w:sz w:val="24"/>
          <w:szCs w:val="24"/>
        </w:rPr>
      </w:pPr>
      <w:r w:rsidRPr="00EB23DB">
        <w:rPr>
          <w:rFonts w:ascii="Times New Roman" w:hAnsi="Times New Roman"/>
          <w:sz w:val="24"/>
          <w:szCs w:val="24"/>
        </w:rPr>
        <w:t xml:space="preserve">Note:  See USA Fire Administration report on death of Firefighter Russell “Russ” H. Hayes. </w:t>
      </w:r>
      <w:hyperlink r:id="rId497" w:history="1">
        <w:r w:rsidRPr="00092358">
          <w:rPr>
            <w:rStyle w:val="Hyperlink"/>
            <w:rFonts w:ascii="Times New Roman" w:hAnsi="Times New Roman"/>
            <w:sz w:val="24"/>
            <w:szCs w:val="24"/>
          </w:rPr>
          <w:t>https://apps.usfa.fema.gov/firefighter-fatalities/fatalityData/detail?fatalityId=4784</w:t>
        </w:r>
      </w:hyperlink>
      <w:r>
        <w:rPr>
          <w:rFonts w:ascii="Times New Roman" w:hAnsi="Times New Roman"/>
          <w:sz w:val="24"/>
          <w:szCs w:val="24"/>
        </w:rPr>
        <w:t xml:space="preserve"> </w:t>
      </w:r>
    </w:p>
    <w:p w14:paraId="72EF88F2" w14:textId="77777777" w:rsidR="002C34C9" w:rsidRDefault="002C34C9" w:rsidP="002C34C9">
      <w:pPr>
        <w:ind w:left="720"/>
        <w:rPr>
          <w:rFonts w:ascii="Times New Roman" w:hAnsi="Times New Roman"/>
          <w:sz w:val="24"/>
          <w:szCs w:val="24"/>
        </w:rPr>
      </w:pPr>
      <w:r w:rsidRPr="00EB23DB">
        <w:rPr>
          <w:rFonts w:ascii="Times New Roman" w:hAnsi="Times New Roman"/>
          <w:sz w:val="24"/>
          <w:szCs w:val="24"/>
        </w:rPr>
        <w:t xml:space="preserve">“On October 3, </w:t>
      </w:r>
      <w:proofErr w:type="gramStart"/>
      <w:r w:rsidRPr="00EB23DB">
        <w:rPr>
          <w:rFonts w:ascii="Times New Roman" w:hAnsi="Times New Roman"/>
          <w:sz w:val="24"/>
          <w:szCs w:val="24"/>
        </w:rPr>
        <w:t>2018</w:t>
      </w:r>
      <w:proofErr w:type="gramEnd"/>
      <w:r w:rsidRPr="00EB23DB">
        <w:rPr>
          <w:rFonts w:ascii="Times New Roman" w:hAnsi="Times New Roman"/>
          <w:sz w:val="24"/>
          <w:szCs w:val="24"/>
        </w:rPr>
        <w:t xml:space="preserve"> at approximately 0855hrs, Firefighter Hayes was driving an engine apparatus along a local highway on the way to a pump test.  Witnesses indicated that they observed the right front tire go </w:t>
      </w:r>
      <w:proofErr w:type="gramStart"/>
      <w:r w:rsidRPr="00EB23DB">
        <w:rPr>
          <w:rFonts w:ascii="Times New Roman" w:hAnsi="Times New Roman"/>
          <w:sz w:val="24"/>
          <w:szCs w:val="24"/>
        </w:rPr>
        <w:t>off of</w:t>
      </w:r>
      <w:proofErr w:type="gramEnd"/>
      <w:r w:rsidRPr="00EB23DB">
        <w:rPr>
          <w:rFonts w:ascii="Times New Roman" w:hAnsi="Times New Roman"/>
          <w:sz w:val="24"/>
          <w:szCs w:val="24"/>
        </w:rPr>
        <w:t xml:space="preserve"> the roadway.  Firefighter Hayes overcorrected as he brought the apparatus back onto the roadway, thereby causing it to travel to the opposite ditch and overturn.  Firefighter Hayes was ejected from the vehicle. He was treated on the scene by local EMS personnel and then flown by medical helicopter to a regional hospital.   Firefighter Hayes was admitted to the hospital and died from his injuries the following day.”</w:t>
      </w:r>
    </w:p>
    <w:p w14:paraId="6A65AF1C" w14:textId="77777777" w:rsidR="002C34C9" w:rsidRPr="00EB23DB" w:rsidRDefault="002C34C9" w:rsidP="002C34C9">
      <w:pPr>
        <w:ind w:left="720"/>
        <w:rPr>
          <w:rFonts w:ascii="Times New Roman" w:hAnsi="Times New Roman"/>
          <w:sz w:val="24"/>
          <w:szCs w:val="24"/>
        </w:rPr>
      </w:pPr>
      <w:r>
        <w:rPr>
          <w:rFonts w:ascii="Times New Roman" w:hAnsi="Times New Roman"/>
          <w:sz w:val="24"/>
          <w:szCs w:val="24"/>
        </w:rPr>
        <w:t xml:space="preserve">See also: </w:t>
      </w:r>
      <w:hyperlink r:id="rId498" w:history="1">
        <w:r w:rsidRPr="00092358">
          <w:rPr>
            <w:rStyle w:val="Hyperlink"/>
            <w:rFonts w:ascii="Times New Roman" w:hAnsi="Times New Roman"/>
            <w:sz w:val="24"/>
            <w:szCs w:val="24"/>
          </w:rPr>
          <w:t>https://www.firehero.org/fallen-firefighter/russell-h-hayes/</w:t>
        </w:r>
      </w:hyperlink>
      <w:r>
        <w:rPr>
          <w:rFonts w:ascii="Times New Roman" w:hAnsi="Times New Roman"/>
          <w:sz w:val="24"/>
          <w:szCs w:val="24"/>
        </w:rPr>
        <w:t xml:space="preserve"> </w:t>
      </w:r>
    </w:p>
    <w:p w14:paraId="59FBC779" w14:textId="77777777" w:rsidR="002C34C9" w:rsidRPr="00013DF2" w:rsidRDefault="002C34C9" w:rsidP="002C34C9">
      <w:pPr>
        <w:pStyle w:val="NoSpacing"/>
        <w:ind w:left="720"/>
        <w:rPr>
          <w:rFonts w:ascii="Times New Roman" w:hAnsi="Times New Roman"/>
          <w:sz w:val="24"/>
          <w:szCs w:val="24"/>
        </w:rPr>
      </w:pPr>
      <w:r w:rsidRPr="00013DF2">
        <w:rPr>
          <w:rFonts w:ascii="Times New Roman" w:hAnsi="Times New Roman"/>
          <w:sz w:val="24"/>
          <w:szCs w:val="24"/>
        </w:rPr>
        <w:t xml:space="preserve">See article on this case. “Volunteer firefighter’s widow wins chance for higher benefits.” (Jan. 18, 2024). </w:t>
      </w:r>
    </w:p>
    <w:p w14:paraId="2B2041ED" w14:textId="77777777" w:rsidR="002C34C9" w:rsidRPr="00013DF2" w:rsidRDefault="002C34C9" w:rsidP="002C34C9">
      <w:pPr>
        <w:pStyle w:val="NoSpacing"/>
        <w:ind w:left="720"/>
        <w:rPr>
          <w:rFonts w:ascii="Times New Roman" w:hAnsi="Times New Roman"/>
          <w:sz w:val="24"/>
          <w:szCs w:val="24"/>
        </w:rPr>
      </w:pPr>
      <w:hyperlink r:id="rId499" w:history="1">
        <w:r w:rsidRPr="00092358">
          <w:rPr>
            <w:rStyle w:val="Hyperlink"/>
            <w:rFonts w:ascii="Times New Roman" w:hAnsi="Times New Roman"/>
            <w:sz w:val="24"/>
            <w:szCs w:val="24"/>
          </w:rPr>
          <w:t>https://molawyersmedia.com/2024/01/18/volunteer-firefighters-widow-wins-chance-for-higher-benefits/</w:t>
        </w:r>
      </w:hyperlink>
      <w:r w:rsidRPr="00013DF2">
        <w:rPr>
          <w:rFonts w:ascii="Times New Roman" w:hAnsi="Times New Roman"/>
          <w:sz w:val="24"/>
          <w:szCs w:val="24"/>
        </w:rPr>
        <w:t xml:space="preserve"> </w:t>
      </w:r>
    </w:p>
    <w:p w14:paraId="4FC768ED" w14:textId="77777777" w:rsidR="00A21A2D" w:rsidRDefault="00A21A2D" w:rsidP="00853142">
      <w:pPr>
        <w:rPr>
          <w:rFonts w:ascii="Arial Black" w:hAnsi="Arial Black"/>
          <w:sz w:val="24"/>
          <w:szCs w:val="24"/>
        </w:rPr>
      </w:pPr>
    </w:p>
    <w:p w14:paraId="1CE37A1F" w14:textId="77777777" w:rsidR="00A21A2D" w:rsidRDefault="00A21A2D" w:rsidP="00853142">
      <w:pPr>
        <w:rPr>
          <w:rFonts w:ascii="Arial Black" w:hAnsi="Arial Black"/>
          <w:sz w:val="24"/>
          <w:szCs w:val="24"/>
        </w:rPr>
      </w:pPr>
    </w:p>
    <w:p w14:paraId="73DAAEFB" w14:textId="75811B02" w:rsidR="000B6343" w:rsidRDefault="000B6343" w:rsidP="00853142">
      <w:pPr>
        <w:rPr>
          <w:rFonts w:ascii="Arial Black" w:hAnsi="Arial Black"/>
          <w:sz w:val="24"/>
          <w:szCs w:val="24"/>
        </w:rPr>
      </w:pPr>
      <w:r>
        <w:rPr>
          <w:rFonts w:ascii="Arial Black" w:hAnsi="Arial Black"/>
          <w:sz w:val="24"/>
          <w:szCs w:val="24"/>
        </w:rPr>
        <w:t>2-6</w:t>
      </w:r>
      <w:r w:rsidR="00BB73D4">
        <w:rPr>
          <w:rFonts w:ascii="Arial Black" w:hAnsi="Arial Black"/>
          <w:sz w:val="24"/>
          <w:szCs w:val="24"/>
        </w:rPr>
        <w:t>1</w:t>
      </w:r>
    </w:p>
    <w:p w14:paraId="5282ABDF" w14:textId="77777777" w:rsidR="009C4318" w:rsidRPr="00DC23A0" w:rsidRDefault="009C4318" w:rsidP="009C4318">
      <w:pPr>
        <w:pStyle w:val="NormalWeb"/>
        <w:rPr>
          <w:rFonts w:ascii="Arial Black" w:hAnsi="Arial Black"/>
          <w:sz w:val="28"/>
          <w:szCs w:val="28"/>
        </w:rPr>
      </w:pPr>
      <w:r>
        <w:rPr>
          <w:rFonts w:ascii="Arial Black" w:hAnsi="Arial Black"/>
          <w:sz w:val="28"/>
          <w:szCs w:val="28"/>
        </w:rPr>
        <w:t xml:space="preserve">CA: FIREHOSE - FF SERIOUSLY INJURED – CITY MUNI BUS DROVE OVER HOSE – CAN’T SUE CITY OR BUS DRIVER </w:t>
      </w:r>
    </w:p>
    <w:p w14:paraId="7A085F5A" w14:textId="77777777" w:rsidR="009C4318" w:rsidRDefault="009C4318" w:rsidP="009C4318">
      <w:pPr>
        <w:pStyle w:val="NormalWeb"/>
      </w:pPr>
      <w:r>
        <w:t xml:space="preserve">On Dec. 12, 2023, in </w:t>
      </w:r>
      <w:r w:rsidRPr="0097494F">
        <w:rPr>
          <w:u w:val="single"/>
        </w:rPr>
        <w:t>Matthew Vann v. City and County of San Franciso, et al.</w:t>
      </w:r>
      <w:r>
        <w:t xml:space="preserve">, the California Court of Appeals, First District, Second Division, held (3 to 0) that trial court properly dismissed the </w:t>
      </w:r>
      <w:proofErr w:type="gramStart"/>
      <w:r>
        <w:t>firefighters</w:t>
      </w:r>
      <w:proofErr w:type="gramEnd"/>
      <w:r>
        <w:t xml:space="preserve"> lawsuit against the city.  The Court wrote: “Here, in contrast, we are dealing with the Workers' Compensation Act, which must be liberally construed in favor of awarding workers' compensation benefits. (§ 3202; </w:t>
      </w:r>
      <w:r>
        <w:rPr>
          <w:rStyle w:val="Emphasis"/>
        </w:rPr>
        <w:t xml:space="preserve">King v. </w:t>
      </w:r>
      <w:proofErr w:type="spellStart"/>
      <w:r>
        <w:rPr>
          <w:rStyle w:val="Emphasis"/>
        </w:rPr>
        <w:t>CompPartners</w:t>
      </w:r>
      <w:proofErr w:type="spellEnd"/>
      <w:r>
        <w:rPr>
          <w:rStyle w:val="Emphasis"/>
        </w:rPr>
        <w:t>, Inc</w:t>
      </w:r>
      <w:r>
        <w:t xml:space="preserve">., </w:t>
      </w:r>
      <w:r>
        <w:rPr>
          <w:rStyle w:val="Emphasis"/>
        </w:rPr>
        <w:t>supra</w:t>
      </w:r>
      <w:r>
        <w:t xml:space="preserve">, 5 Cal.5th at p. 1051.) Application of these </w:t>
      </w:r>
      <w:proofErr w:type="gramStart"/>
      <w:r>
        <w:t>principles</w:t>
      </w:r>
      <w:proofErr w:type="gramEnd"/>
      <w:r>
        <w:t xml:space="preserve"> cuts against concluding that SFMTA [San Francisco Municipal Transportation Agency] and SFFD [San Francisco Fire Department] are distinct entities, and therefore that Yu and appellant have separate employers. To do so would have the effect of circumventing the workers' compensation exclusivity rule, which prevents employees from bringing actions against fellow employees acting in the scope of employment, such that the fellow employees' negligence could be imputed to their employers.” </w:t>
      </w:r>
      <w:hyperlink r:id="rId500" w:history="1">
        <w:r w:rsidRPr="001075D9">
          <w:rPr>
            <w:rStyle w:val="Hyperlink"/>
          </w:rPr>
          <w:t>https://casetext.com/case/vann-v-city-of-san-francisco</w:t>
        </w:r>
      </w:hyperlink>
      <w:r>
        <w:t xml:space="preserve"> </w:t>
      </w:r>
    </w:p>
    <w:p w14:paraId="7F9A64BD" w14:textId="77777777" w:rsidR="00063E80" w:rsidRPr="002D0030" w:rsidRDefault="00063E80" w:rsidP="00063E80">
      <w:pPr>
        <w:pStyle w:val="NormalWeb"/>
        <w:rPr>
          <w:b/>
          <w:bCs/>
        </w:rPr>
      </w:pPr>
      <w:r w:rsidRPr="002D0030">
        <w:rPr>
          <w:b/>
          <w:bCs/>
        </w:rPr>
        <w:t xml:space="preserve">Legal Lesson Learned: </w:t>
      </w:r>
      <w:r>
        <w:rPr>
          <w:b/>
          <w:bCs/>
        </w:rPr>
        <w:t xml:space="preserve">Both the FD and the bus department are part of the same city; cannot sue the City or the bus driver; only remedy for injured </w:t>
      </w:r>
      <w:proofErr w:type="gramStart"/>
      <w:r>
        <w:rPr>
          <w:b/>
          <w:bCs/>
        </w:rPr>
        <w:t>firefighter</w:t>
      </w:r>
      <w:proofErr w:type="gramEnd"/>
      <w:r>
        <w:rPr>
          <w:b/>
          <w:bCs/>
        </w:rPr>
        <w:t xml:space="preserve"> is workers comp. </w:t>
      </w:r>
    </w:p>
    <w:p w14:paraId="47AA9B25" w14:textId="77777777" w:rsidR="000B6343" w:rsidRDefault="000B6343" w:rsidP="00853142">
      <w:pPr>
        <w:rPr>
          <w:rFonts w:ascii="Arial Black" w:hAnsi="Arial Black"/>
          <w:sz w:val="24"/>
          <w:szCs w:val="24"/>
        </w:rPr>
      </w:pPr>
    </w:p>
    <w:p w14:paraId="7B1C81E0" w14:textId="11890DB2" w:rsidR="001257CC" w:rsidRDefault="00044FB1" w:rsidP="00853142">
      <w:pPr>
        <w:rPr>
          <w:rFonts w:ascii="Arial Black" w:hAnsi="Arial Black"/>
          <w:sz w:val="24"/>
          <w:szCs w:val="24"/>
        </w:rPr>
      </w:pPr>
      <w:r>
        <w:rPr>
          <w:rFonts w:ascii="Arial Black" w:hAnsi="Arial Black"/>
          <w:sz w:val="24"/>
          <w:szCs w:val="24"/>
        </w:rPr>
        <w:t>2-6</w:t>
      </w:r>
      <w:r w:rsidR="00BB73D4">
        <w:rPr>
          <w:rFonts w:ascii="Arial Black" w:hAnsi="Arial Black"/>
          <w:sz w:val="24"/>
          <w:szCs w:val="24"/>
        </w:rPr>
        <w:t>0</w:t>
      </w:r>
    </w:p>
    <w:p w14:paraId="137ACF5F" w14:textId="77777777" w:rsidR="006728B9" w:rsidRDefault="006728B9" w:rsidP="006728B9">
      <w:pPr>
        <w:pStyle w:val="Heading1"/>
        <w:rPr>
          <w:rFonts w:ascii="Arial Black" w:hAnsi="Arial Black"/>
          <w:b w:val="0"/>
          <w:bCs w:val="0"/>
          <w:sz w:val="28"/>
          <w:szCs w:val="28"/>
        </w:rPr>
      </w:pPr>
      <w:r>
        <w:rPr>
          <w:rFonts w:ascii="Arial Black" w:hAnsi="Arial Black"/>
          <w:b w:val="0"/>
          <w:bCs w:val="0"/>
          <w:sz w:val="28"/>
          <w:szCs w:val="28"/>
        </w:rPr>
        <w:lastRenderedPageBreak/>
        <w:t>CA: BLOCKING ENGINE - MOTORIST RAN INTO ENGINE AT MVA - 2 FF HURT - FF GET NEW JURY TRIAL FOR DAMAGES</w:t>
      </w:r>
    </w:p>
    <w:p w14:paraId="69723006" w14:textId="77777777" w:rsidR="006728B9" w:rsidRPr="00BC37ED" w:rsidRDefault="006728B9" w:rsidP="006728B9">
      <w:pPr>
        <w:pStyle w:val="Heading1"/>
        <w:rPr>
          <w:b w:val="0"/>
          <w:bCs w:val="0"/>
          <w:sz w:val="24"/>
          <w:szCs w:val="24"/>
        </w:rPr>
      </w:pPr>
      <w:r>
        <w:rPr>
          <w:b w:val="0"/>
          <w:bCs w:val="0"/>
          <w:sz w:val="24"/>
          <w:szCs w:val="24"/>
        </w:rPr>
        <w:t xml:space="preserve">On Nov. 29, 2023, in </w:t>
      </w:r>
      <w:r w:rsidRPr="004901CF">
        <w:rPr>
          <w:b w:val="0"/>
          <w:bCs w:val="0"/>
          <w:sz w:val="24"/>
          <w:szCs w:val="24"/>
          <w:u w:val="single"/>
        </w:rPr>
        <w:t>Michael Rattary and Stephen Rogness v. Brian Favro</w:t>
      </w:r>
      <w:r>
        <w:rPr>
          <w:b w:val="0"/>
          <w:bCs w:val="0"/>
          <w:sz w:val="24"/>
          <w:szCs w:val="24"/>
        </w:rPr>
        <w:t xml:space="preserve">, the </w:t>
      </w:r>
      <w:r w:rsidRPr="00E60013">
        <w:rPr>
          <w:b w:val="0"/>
          <w:bCs w:val="0"/>
          <w:sz w:val="24"/>
          <w:szCs w:val="24"/>
        </w:rPr>
        <w:t>California Court of Appeals, First District, Fourth Division</w:t>
      </w:r>
      <w:r>
        <w:rPr>
          <w:b w:val="0"/>
          <w:bCs w:val="0"/>
          <w:sz w:val="24"/>
          <w:szCs w:val="24"/>
        </w:rPr>
        <w:t xml:space="preserve">, held (3 to 0) that the two firefighters are entitled to a new civil jury trial since the attorney for Favro told jury in closing argument an improper standard on liability (jury voted against awarding damages to </w:t>
      </w:r>
      <w:proofErr w:type="spellStart"/>
      <w:r>
        <w:rPr>
          <w:b w:val="0"/>
          <w:bCs w:val="0"/>
          <w:sz w:val="24"/>
          <w:szCs w:val="24"/>
        </w:rPr>
        <w:t>Rattery</w:t>
      </w:r>
      <w:proofErr w:type="spellEnd"/>
      <w:r>
        <w:rPr>
          <w:b w:val="0"/>
          <w:bCs w:val="0"/>
          <w:sz w:val="24"/>
          <w:szCs w:val="24"/>
        </w:rPr>
        <w:t xml:space="preserve">  10-2, and against Rogness 12-0).  Their initial lawsuit was dismissed by trial court judge based on Fireman’s Rule; but Court of Appeals reversed and ordered case to be tried on motorist’s duty of ordinary care when </w:t>
      </w:r>
      <w:proofErr w:type="gramStart"/>
      <w:r>
        <w:rPr>
          <w:b w:val="0"/>
          <w:bCs w:val="0"/>
          <w:sz w:val="24"/>
          <w:szCs w:val="24"/>
        </w:rPr>
        <w:t>approach</w:t>
      </w:r>
      <w:proofErr w:type="gramEnd"/>
      <w:r>
        <w:rPr>
          <w:b w:val="0"/>
          <w:bCs w:val="0"/>
          <w:sz w:val="24"/>
          <w:szCs w:val="24"/>
        </w:rPr>
        <w:t xml:space="preserve"> accident scene. Now the Court of Appeals orders a new trial, because Favro’s attorney in closing argument told jury FFs can only get damages if “</w:t>
      </w:r>
      <w:r w:rsidRPr="00BC37ED">
        <w:rPr>
          <w:b w:val="0"/>
          <w:bCs w:val="0"/>
          <w:sz w:val="24"/>
          <w:szCs w:val="24"/>
        </w:rPr>
        <w:t xml:space="preserve">faced from the person they are suing was </w:t>
      </w:r>
      <w:r w:rsidRPr="00BC37ED">
        <w:rPr>
          <w:b w:val="0"/>
          <w:bCs w:val="0"/>
          <w:i/>
          <w:iCs/>
          <w:sz w:val="24"/>
          <w:szCs w:val="24"/>
        </w:rPr>
        <w:t>beyond the risk that's inherent to their job</w:t>
      </w:r>
      <w:r w:rsidRPr="00BC37ED">
        <w:rPr>
          <w:b w:val="0"/>
          <w:bCs w:val="0"/>
          <w:sz w:val="24"/>
          <w:szCs w:val="24"/>
        </w:rPr>
        <w:t>." (Italics added.)</w:t>
      </w:r>
      <w:r>
        <w:rPr>
          <w:b w:val="0"/>
          <w:bCs w:val="0"/>
          <w:sz w:val="24"/>
          <w:szCs w:val="24"/>
        </w:rPr>
        <w:t xml:space="preserve"> The Court of Appeals reverses, writing: </w:t>
      </w:r>
    </w:p>
    <w:p w14:paraId="5CA93F14" w14:textId="77777777" w:rsidR="006728B9" w:rsidRPr="000C74F9" w:rsidRDefault="006728B9" w:rsidP="006728B9">
      <w:pPr>
        <w:pStyle w:val="Heading1"/>
        <w:ind w:left="720"/>
        <w:rPr>
          <w:b w:val="0"/>
          <w:bCs w:val="0"/>
          <w:sz w:val="24"/>
          <w:szCs w:val="24"/>
        </w:rPr>
      </w:pPr>
      <w:hyperlink r:id="rId501" w:history="1">
        <w:r w:rsidRPr="00876603">
          <w:rPr>
            <w:rStyle w:val="Hyperlink"/>
            <w:b w:val="0"/>
            <w:bCs w:val="0"/>
            <w:sz w:val="24"/>
            <w:szCs w:val="24"/>
          </w:rPr>
          <w:t>Section 1714.9</w:t>
        </w:r>
      </w:hyperlink>
      <w:r w:rsidRPr="00876603">
        <w:rPr>
          <w:b w:val="0"/>
          <w:bCs w:val="0"/>
          <w:sz w:val="24"/>
          <w:szCs w:val="24"/>
        </w:rPr>
        <w:t>, subdivision (a)(1) concerns liability to a firefighter for tortious "conduct . . . occur[ring] after the person knows or should have known of the presence of the . . . firefighter." (</w:t>
      </w:r>
      <w:hyperlink r:id="rId502" w:history="1">
        <w:r w:rsidRPr="00876603">
          <w:rPr>
            <w:rStyle w:val="Hyperlink"/>
            <w:b w:val="0"/>
            <w:bCs w:val="0"/>
            <w:sz w:val="24"/>
            <w:szCs w:val="24"/>
          </w:rPr>
          <w:t>§ 1714.9, subd. (a)(1)</w:t>
        </w:r>
      </w:hyperlink>
      <w:r w:rsidRPr="00876603">
        <w:rPr>
          <w:b w:val="0"/>
          <w:bCs w:val="0"/>
          <w:sz w:val="24"/>
          <w:szCs w:val="24"/>
        </w:rPr>
        <w:t>.)</w:t>
      </w:r>
      <w:r>
        <w:rPr>
          <w:b w:val="0"/>
          <w:bCs w:val="0"/>
          <w:sz w:val="24"/>
          <w:szCs w:val="24"/>
        </w:rPr>
        <w:t xml:space="preserve"> </w:t>
      </w:r>
      <w:r w:rsidRPr="000C74F9">
        <w:rPr>
          <w:b w:val="0"/>
          <w:bCs w:val="0"/>
          <w:sz w:val="24"/>
          <w:szCs w:val="24"/>
        </w:rPr>
        <w:t xml:space="preserve">… </w:t>
      </w:r>
      <w:r w:rsidRPr="00D46FA3">
        <w:rPr>
          <w:b w:val="0"/>
          <w:bCs w:val="0"/>
          <w:sz w:val="24"/>
          <w:szCs w:val="24"/>
        </w:rPr>
        <w:t xml:space="preserve">"Although most of the cases analyzing the effect of </w:t>
      </w:r>
      <w:hyperlink r:id="rId503" w:history="1">
        <w:r w:rsidRPr="00D46FA3">
          <w:rPr>
            <w:rStyle w:val="Hyperlink"/>
            <w:b w:val="0"/>
            <w:bCs w:val="0"/>
            <w:sz w:val="24"/>
            <w:szCs w:val="24"/>
          </w:rPr>
          <w:t>section 1714.9</w:t>
        </w:r>
      </w:hyperlink>
      <w:r w:rsidRPr="00D46FA3">
        <w:rPr>
          <w:b w:val="0"/>
          <w:bCs w:val="0"/>
          <w:sz w:val="24"/>
          <w:szCs w:val="24"/>
        </w:rPr>
        <w:t xml:space="preserve"> treat it as stating an exception to the firefighter's rule (e.g. </w:t>
      </w:r>
      <w:r w:rsidRPr="00D46FA3">
        <w:rPr>
          <w:b w:val="0"/>
          <w:bCs w:val="0"/>
          <w:i/>
          <w:iCs/>
          <w:sz w:val="24"/>
          <w:szCs w:val="24"/>
        </w:rPr>
        <w:t>Gibb v. Stetson</w:t>
      </w:r>
      <w:r w:rsidRPr="00D46FA3">
        <w:rPr>
          <w:b w:val="0"/>
          <w:bCs w:val="0"/>
          <w:sz w:val="24"/>
          <w:szCs w:val="24"/>
        </w:rPr>
        <w:t xml:space="preserve"> [(1988)] </w:t>
      </w:r>
      <w:hyperlink r:id="rId504" w:anchor="p1014" w:history="1">
        <w:r w:rsidRPr="00D46FA3">
          <w:rPr>
            <w:rStyle w:val="Hyperlink"/>
            <w:b w:val="0"/>
            <w:bCs w:val="0"/>
            <w:sz w:val="24"/>
            <w:szCs w:val="24"/>
          </w:rPr>
          <w:t>199 Cal.App.3d 1008, 1014-1015</w:t>
        </w:r>
      </w:hyperlink>
      <w:r w:rsidRPr="00D46FA3">
        <w:rPr>
          <w:b w:val="0"/>
          <w:bCs w:val="0"/>
          <w:sz w:val="24"/>
          <w:szCs w:val="24"/>
        </w:rPr>
        <w:t xml:space="preserve">), </w:t>
      </w:r>
      <w:proofErr w:type="spellStart"/>
      <w:r w:rsidRPr="00D46FA3">
        <w:rPr>
          <w:b w:val="0"/>
          <w:bCs w:val="0"/>
          <w:sz w:val="24"/>
          <w:szCs w:val="24"/>
        </w:rPr>
        <w:t>thethe</w:t>
      </w:r>
      <w:proofErr w:type="spellEnd"/>
      <w:r w:rsidRPr="00D46FA3">
        <w:rPr>
          <w:b w:val="0"/>
          <w:bCs w:val="0"/>
          <w:sz w:val="24"/>
          <w:szCs w:val="24"/>
        </w:rPr>
        <w:t xml:space="preserve"> Supreme Court has more accurately described</w:t>
      </w:r>
      <w:r w:rsidRPr="000C74F9">
        <w:rPr>
          <w:b w:val="0"/>
          <w:bCs w:val="0"/>
          <w:sz w:val="24"/>
          <w:szCs w:val="24"/>
        </w:rPr>
        <w:t xml:space="preserve"> the effect of the statute as reimposing 'a duty of ordinary care (see [Civ. Code,] </w:t>
      </w:r>
      <w:hyperlink r:id="rId505" w:history="1">
        <w:r w:rsidRPr="000C74F9">
          <w:rPr>
            <w:rStyle w:val="Hyperlink"/>
            <w:b w:val="0"/>
            <w:bCs w:val="0"/>
            <w:sz w:val="24"/>
            <w:szCs w:val="24"/>
          </w:rPr>
          <w:t>§ 1714</w:t>
        </w:r>
      </w:hyperlink>
      <w:r w:rsidRPr="000C74F9">
        <w:rPr>
          <w:b w:val="0"/>
          <w:bCs w:val="0"/>
          <w:sz w:val="24"/>
          <w:szCs w:val="24"/>
        </w:rPr>
        <w:t>), which would otherwise be abrogated by the firefighter's rule.'" (</w:t>
      </w:r>
      <w:r w:rsidRPr="000C74F9">
        <w:rPr>
          <w:b w:val="0"/>
          <w:bCs w:val="0"/>
          <w:i/>
          <w:iCs/>
          <w:sz w:val="24"/>
          <w:szCs w:val="24"/>
        </w:rPr>
        <w:t>Boon v. Rivera</w:t>
      </w:r>
      <w:r w:rsidRPr="000C74F9">
        <w:rPr>
          <w:b w:val="0"/>
          <w:bCs w:val="0"/>
          <w:sz w:val="24"/>
          <w:szCs w:val="24"/>
        </w:rPr>
        <w:t xml:space="preserve"> (2000) </w:t>
      </w:r>
      <w:hyperlink r:id="rId506" w:anchor="p1330" w:history="1">
        <w:r w:rsidRPr="000C74F9">
          <w:rPr>
            <w:rStyle w:val="Hyperlink"/>
            <w:b w:val="0"/>
            <w:bCs w:val="0"/>
            <w:sz w:val="24"/>
            <w:szCs w:val="24"/>
          </w:rPr>
          <w:t>80 Cal.App.4th 1322, 1330-31</w:t>
        </w:r>
      </w:hyperlink>
      <w:r w:rsidRPr="000C74F9">
        <w:rPr>
          <w:b w:val="0"/>
          <w:bCs w:val="0"/>
          <w:sz w:val="24"/>
          <w:szCs w:val="24"/>
        </w:rPr>
        <w:t xml:space="preserve">, quoting </w:t>
      </w:r>
      <w:r w:rsidRPr="000C74F9">
        <w:rPr>
          <w:b w:val="0"/>
          <w:bCs w:val="0"/>
          <w:i/>
          <w:iCs/>
          <w:sz w:val="24"/>
          <w:szCs w:val="24"/>
        </w:rPr>
        <w:t>Calatayud v. State of California</w:t>
      </w:r>
      <w:r w:rsidRPr="000C74F9">
        <w:rPr>
          <w:b w:val="0"/>
          <w:bCs w:val="0"/>
          <w:sz w:val="24"/>
          <w:szCs w:val="24"/>
        </w:rPr>
        <w:t xml:space="preserve"> (1998) </w:t>
      </w:r>
      <w:hyperlink r:id="rId507" w:anchor="p1068" w:history="1">
        <w:r w:rsidRPr="000C74F9">
          <w:rPr>
            <w:rStyle w:val="Hyperlink"/>
            <w:b w:val="0"/>
            <w:bCs w:val="0"/>
            <w:sz w:val="24"/>
            <w:szCs w:val="24"/>
          </w:rPr>
          <w:t>18 Cal.4th 1057, 1068</w:t>
        </w:r>
      </w:hyperlink>
      <w:r w:rsidRPr="000C74F9">
        <w:rPr>
          <w:b w:val="0"/>
          <w:bCs w:val="0"/>
          <w:sz w:val="24"/>
          <w:szCs w:val="24"/>
        </w:rPr>
        <w:t>.)</w:t>
      </w:r>
    </w:p>
    <w:p w14:paraId="6CD0A834" w14:textId="77777777" w:rsidR="000B6343" w:rsidRPr="003470F7" w:rsidRDefault="000B6343" w:rsidP="000B6343">
      <w:pPr>
        <w:pStyle w:val="Heading1"/>
        <w:rPr>
          <w:sz w:val="24"/>
          <w:szCs w:val="24"/>
        </w:rPr>
      </w:pPr>
      <w:r w:rsidRPr="003470F7">
        <w:rPr>
          <w:sz w:val="24"/>
          <w:szCs w:val="24"/>
        </w:rPr>
        <w:t xml:space="preserve">Legal Lesson Learned: </w:t>
      </w:r>
      <w:r>
        <w:rPr>
          <w:sz w:val="24"/>
          <w:szCs w:val="24"/>
        </w:rPr>
        <w:t xml:space="preserve">The firefighters now get a “second chance” at convincing a jury that they are entitled to damages. </w:t>
      </w:r>
    </w:p>
    <w:p w14:paraId="0DF6AEAE" w14:textId="77777777" w:rsidR="00044FB1" w:rsidRDefault="00044FB1" w:rsidP="00853142">
      <w:pPr>
        <w:rPr>
          <w:rFonts w:ascii="Arial Black" w:hAnsi="Arial Black"/>
          <w:sz w:val="24"/>
          <w:szCs w:val="24"/>
        </w:rPr>
      </w:pPr>
    </w:p>
    <w:p w14:paraId="54D67C1B" w14:textId="194B736A" w:rsidR="001257CC" w:rsidRDefault="001257CC" w:rsidP="00853142">
      <w:pPr>
        <w:rPr>
          <w:rFonts w:ascii="Arial Black" w:hAnsi="Arial Black"/>
          <w:sz w:val="24"/>
          <w:szCs w:val="24"/>
        </w:rPr>
      </w:pPr>
      <w:r>
        <w:rPr>
          <w:rFonts w:ascii="Arial Black" w:hAnsi="Arial Black"/>
          <w:sz w:val="24"/>
          <w:szCs w:val="24"/>
        </w:rPr>
        <w:t>2-</w:t>
      </w:r>
      <w:r w:rsidR="00BB73D4">
        <w:rPr>
          <w:rFonts w:ascii="Arial Black" w:hAnsi="Arial Black"/>
          <w:sz w:val="24"/>
          <w:szCs w:val="24"/>
        </w:rPr>
        <w:t>59</w:t>
      </w:r>
    </w:p>
    <w:p w14:paraId="7F3401D7" w14:textId="77777777" w:rsidR="00E761A8" w:rsidRPr="00583360" w:rsidRDefault="00E761A8" w:rsidP="00E761A8">
      <w:pPr>
        <w:pStyle w:val="NormalWeb"/>
        <w:rPr>
          <w:rFonts w:ascii="Arial Black" w:hAnsi="Arial Black"/>
          <w:sz w:val="28"/>
          <w:szCs w:val="28"/>
        </w:rPr>
      </w:pPr>
      <w:r>
        <w:rPr>
          <w:rFonts w:ascii="Arial Black" w:hAnsi="Arial Black"/>
          <w:sz w:val="28"/>
          <w:szCs w:val="28"/>
        </w:rPr>
        <w:t>NJ: BEARDS - BLACK FF GROWING 3-INCH BEARD - ALSO MINISTER – ORDERED NOT RESPOND FIRES – NO CASE</w:t>
      </w:r>
    </w:p>
    <w:p w14:paraId="3C1B5260" w14:textId="09379490" w:rsidR="00E761A8" w:rsidRDefault="00E761A8" w:rsidP="00E761A8">
      <w:pPr>
        <w:rPr>
          <w:rStyle w:val="Hyperlink"/>
          <w:rFonts w:ascii="Times New Roman" w:hAnsi="Times New Roman"/>
          <w:sz w:val="24"/>
          <w:szCs w:val="24"/>
        </w:rPr>
      </w:pPr>
      <w:r w:rsidRPr="00E761A8">
        <w:rPr>
          <w:rFonts w:ascii="Times New Roman" w:hAnsi="Times New Roman"/>
          <w:sz w:val="24"/>
          <w:szCs w:val="24"/>
        </w:rPr>
        <w:t xml:space="preserve">On Nov. 29, 2023, in </w:t>
      </w:r>
      <w:r w:rsidRPr="00E761A8">
        <w:rPr>
          <w:rFonts w:ascii="Times New Roman" w:hAnsi="Times New Roman"/>
          <w:sz w:val="24"/>
          <w:szCs w:val="24"/>
          <w:u w:val="single"/>
        </w:rPr>
        <w:t>Alexander Smith v. City pf Atlantic City, et al</w:t>
      </w:r>
      <w:r w:rsidRPr="00E761A8">
        <w:rPr>
          <w:rFonts w:ascii="Times New Roman" w:hAnsi="Times New Roman"/>
          <w:sz w:val="24"/>
          <w:szCs w:val="24"/>
        </w:rPr>
        <w:t xml:space="preserve">., U.S. District Court Judge Chritine P. O’Hearn, U.S. District Court for District of New Jersey, granted City’s motion for summary judgment.  The Court held:  “ Defendants submit that the grooming policy advances the government's legitimate objectives of (1) firefighter safety and (2) following state and federal regulations which prohibit facial hair. (ECF No. 115-29 at 13-14). Safety is a well-recognized legitimate government objective. </w:t>
      </w:r>
      <w:r w:rsidRPr="00E761A8">
        <w:rPr>
          <w:rStyle w:val="Emphasis"/>
          <w:rFonts w:ascii="Times New Roman" w:hAnsi="Times New Roman"/>
          <w:sz w:val="24"/>
          <w:szCs w:val="24"/>
        </w:rPr>
        <w:t>Fraternal Ord.</w:t>
      </w:r>
      <w:r w:rsidRPr="00E761A8">
        <w:rPr>
          <w:rFonts w:ascii="Times New Roman" w:hAnsi="Times New Roman"/>
          <w:sz w:val="24"/>
          <w:szCs w:val="24"/>
        </w:rPr>
        <w:t xml:space="preserve">, 170 F.3d at 366. And a fire department's ability to comply with state and federal regulations is certainly a legitimate government objective. </w:t>
      </w:r>
      <w:r w:rsidRPr="00E761A8">
        <w:rPr>
          <w:rStyle w:val="Emphasis"/>
          <w:rFonts w:ascii="Times New Roman" w:hAnsi="Times New Roman"/>
          <w:sz w:val="24"/>
          <w:szCs w:val="24"/>
        </w:rPr>
        <w:t>See e.g.</w:t>
      </w:r>
      <w:r w:rsidRPr="00E761A8">
        <w:rPr>
          <w:rFonts w:ascii="Times New Roman" w:hAnsi="Times New Roman"/>
          <w:sz w:val="24"/>
          <w:szCs w:val="24"/>
        </w:rPr>
        <w:t xml:space="preserve">, </w:t>
      </w:r>
      <w:r w:rsidRPr="00E761A8">
        <w:rPr>
          <w:rStyle w:val="Emphasis"/>
          <w:rFonts w:ascii="Times New Roman" w:hAnsi="Times New Roman"/>
          <w:sz w:val="24"/>
          <w:szCs w:val="24"/>
        </w:rPr>
        <w:t>Hamilton</w:t>
      </w:r>
      <w:r w:rsidRPr="00E761A8">
        <w:rPr>
          <w:rFonts w:ascii="Times New Roman" w:hAnsi="Times New Roman"/>
          <w:sz w:val="24"/>
          <w:szCs w:val="24"/>
        </w:rPr>
        <w:t xml:space="preserve">, 563 F.Supp.3d at 60. The grooming policy is rationally related to these objectives. First, and most obviously, the policy ensures that the ACFD complies with various state and federal regulations that prohibit devices like SCBAs to be worn by those with facial hair. </w:t>
      </w:r>
      <w:r w:rsidRPr="00E761A8">
        <w:rPr>
          <w:rStyle w:val="Emphasis"/>
          <w:rFonts w:ascii="Times New Roman" w:hAnsi="Times New Roman"/>
          <w:sz w:val="24"/>
          <w:szCs w:val="24"/>
        </w:rPr>
        <w:t>See</w:t>
      </w:r>
      <w:r w:rsidRPr="00E761A8">
        <w:rPr>
          <w:rFonts w:ascii="Times New Roman" w:hAnsi="Times New Roman"/>
          <w:sz w:val="24"/>
          <w:szCs w:val="24"/>
        </w:rPr>
        <w:t xml:space="preserve">, </w:t>
      </w:r>
      <w:r w:rsidRPr="00E761A8">
        <w:rPr>
          <w:rStyle w:val="Emphasis"/>
          <w:rFonts w:ascii="Times New Roman" w:hAnsi="Times New Roman"/>
          <w:sz w:val="24"/>
          <w:szCs w:val="24"/>
        </w:rPr>
        <w:t>e.g.</w:t>
      </w:r>
      <w:r w:rsidRPr="00E761A8">
        <w:rPr>
          <w:rFonts w:ascii="Times New Roman" w:hAnsi="Times New Roman"/>
          <w:sz w:val="24"/>
          <w:szCs w:val="24"/>
        </w:rPr>
        <w:t>, 20 C.F.R. § 1910.134(g). Second, there is no dispute that PEOSH and OSHA find that an ill-fitting SCBA creates a safety risk not only to the firefighter wearing it, but also to fellow firefighters who may be tasked with rescuing those with an ill-fitted mask. Firefighter safety is put at risk when anything inhibits the seal of an SCBA, including facial hair. This is contemplated in the text of the policy which provides that ‘[f]</w:t>
      </w:r>
      <w:proofErr w:type="spellStart"/>
      <w:r w:rsidRPr="00E761A8">
        <w:rPr>
          <w:rFonts w:ascii="Times New Roman" w:hAnsi="Times New Roman"/>
          <w:sz w:val="24"/>
          <w:szCs w:val="24"/>
        </w:rPr>
        <w:t>acial</w:t>
      </w:r>
      <w:proofErr w:type="spellEnd"/>
      <w:r w:rsidRPr="00E761A8">
        <w:rPr>
          <w:rFonts w:ascii="Times New Roman" w:hAnsi="Times New Roman"/>
          <w:sz w:val="24"/>
          <w:szCs w:val="24"/>
        </w:rPr>
        <w:t xml:space="preserve"> hair of any type shall not interfere with the seal of SCBA face piece.’” </w:t>
      </w:r>
      <w:hyperlink r:id="rId508" w:history="1">
        <w:r w:rsidRPr="00E761A8">
          <w:rPr>
            <w:rStyle w:val="Hyperlink"/>
            <w:rFonts w:ascii="Times New Roman" w:hAnsi="Times New Roman"/>
            <w:sz w:val="24"/>
            <w:szCs w:val="24"/>
          </w:rPr>
          <w:t>https://www.anylaw.com/case/smith-v-city-of-atlantic-city-et-al/d-new-jersey/11-28-2023/WMlWRYwBqcoRgE-ICuER</w:t>
        </w:r>
      </w:hyperlink>
    </w:p>
    <w:p w14:paraId="03010CF1" w14:textId="5A5A32DF" w:rsidR="00044FB1" w:rsidRPr="00044FB1" w:rsidRDefault="00044FB1" w:rsidP="00E761A8">
      <w:pPr>
        <w:rPr>
          <w:rFonts w:ascii="Times New Roman" w:hAnsi="Times New Roman"/>
          <w:sz w:val="24"/>
          <w:szCs w:val="24"/>
        </w:rPr>
      </w:pPr>
      <w:r w:rsidRPr="00044FB1">
        <w:rPr>
          <w:rFonts w:ascii="Times New Roman" w:hAnsi="Times New Roman"/>
          <w:b/>
          <w:bCs/>
          <w:sz w:val="24"/>
          <w:szCs w:val="24"/>
        </w:rPr>
        <w:lastRenderedPageBreak/>
        <w:t>Legal Lesson Learned: FF must comply with OSHA standards on facial hair.</w:t>
      </w:r>
    </w:p>
    <w:p w14:paraId="6CD857DC" w14:textId="77777777" w:rsidR="001257CC" w:rsidRDefault="001257CC" w:rsidP="00853142">
      <w:pPr>
        <w:rPr>
          <w:rFonts w:ascii="Arial Black" w:hAnsi="Arial Black"/>
          <w:sz w:val="24"/>
          <w:szCs w:val="24"/>
        </w:rPr>
      </w:pPr>
    </w:p>
    <w:p w14:paraId="2EEE3822" w14:textId="68C9A93B" w:rsidR="00BB49C5" w:rsidRDefault="00BB49C5" w:rsidP="00853142">
      <w:pPr>
        <w:rPr>
          <w:rFonts w:ascii="Arial Black" w:hAnsi="Arial Black"/>
          <w:sz w:val="24"/>
          <w:szCs w:val="24"/>
        </w:rPr>
      </w:pPr>
      <w:r>
        <w:rPr>
          <w:rFonts w:ascii="Arial Black" w:hAnsi="Arial Black"/>
          <w:sz w:val="24"/>
          <w:szCs w:val="24"/>
        </w:rPr>
        <w:t>2-5</w:t>
      </w:r>
      <w:r w:rsidR="00BB73D4">
        <w:rPr>
          <w:rFonts w:ascii="Arial Black" w:hAnsi="Arial Black"/>
          <w:sz w:val="24"/>
          <w:szCs w:val="24"/>
        </w:rPr>
        <w:t>8</w:t>
      </w:r>
    </w:p>
    <w:p w14:paraId="620160D4" w14:textId="77777777" w:rsidR="00BB49C5" w:rsidRPr="00525651" w:rsidRDefault="00BB49C5" w:rsidP="00BB49C5">
      <w:pPr>
        <w:pStyle w:val="paragraph"/>
        <w:rPr>
          <w:rFonts w:ascii="Arial Black" w:hAnsi="Arial Black"/>
          <w:sz w:val="28"/>
          <w:szCs w:val="28"/>
        </w:rPr>
      </w:pPr>
      <w:r>
        <w:rPr>
          <w:rFonts w:ascii="Arial Black" w:hAnsi="Arial Black"/>
          <w:sz w:val="28"/>
          <w:szCs w:val="28"/>
        </w:rPr>
        <w:t xml:space="preserve">OH: SMOKE IN APARTMENT – RESIDENT TACKLED LT. &amp; DREW GUN – LT. TESTIFIED DEF. SENTENCING - 6 MONTHS </w:t>
      </w:r>
    </w:p>
    <w:p w14:paraId="69EC93AF" w14:textId="77777777" w:rsidR="00BB49C5" w:rsidRPr="00E17731" w:rsidRDefault="00BB49C5" w:rsidP="00BB49C5">
      <w:pPr>
        <w:pStyle w:val="paragraph"/>
      </w:pPr>
      <w:r>
        <w:t xml:space="preserve">On Oct. 26, 2023, in </w:t>
      </w:r>
      <w:r w:rsidRPr="00525651">
        <w:rPr>
          <w:u w:val="single"/>
        </w:rPr>
        <w:t>State of Ohio v. Victor Hatcher</w:t>
      </w:r>
      <w:r>
        <w:t xml:space="preserve">, the Court of Appeals of Ohio, Eight District, Cuyahoga County, held (3 to 0) that the </w:t>
      </w:r>
      <w:proofErr w:type="gramStart"/>
      <w:r>
        <w:t>six month</w:t>
      </w:r>
      <w:proofErr w:type="gramEnd"/>
      <w:r>
        <w:t xml:space="preserve"> jail sentence was appropriate for assaulting the Lieutenant of the Cleveland Fire Department, and then pulling a gun on firefighters in front of the building. In a plea bargain, he plead guilty to attempted assault, a felony of the fifth degree.  Court described the incident: “While the firefighters were investigating, appellant approached the firefighters and became angry, demanding that they leave. Lt. Todd O’Neill was the last to leave, and as he did so, appellant tackled him to the ground. Two other firefighters had to pull appellant </w:t>
      </w:r>
      <w:proofErr w:type="gramStart"/>
      <w:r>
        <w:t>off of</w:t>
      </w:r>
      <w:proofErr w:type="gramEnd"/>
      <w:r>
        <w:t xml:space="preserve"> O’Neill. Once the firefighters were outside, appellant went to his vehicle and retrieved a firearm. He waved the firearm at the firefighters and yelled at them. The battalion chief ordered the firefighters back to their rigs and called the police, who subsequently arrested appellant.” </w:t>
      </w:r>
      <w:hyperlink r:id="rId509" w:history="1">
        <w:r w:rsidRPr="0097451D">
          <w:rPr>
            <w:rStyle w:val="Hyperlink"/>
            <w:rFonts w:eastAsiaTheme="majorEastAsia"/>
          </w:rPr>
          <w:t>https://www.supremecourt.ohio.gov/rod/docs/pdf/8/2023/2023-Ohio-3884.pdf</w:t>
        </w:r>
      </w:hyperlink>
      <w:r>
        <w:t xml:space="preserve"> </w:t>
      </w:r>
      <w:r w:rsidRPr="00525651">
        <w:t xml:space="preserve"> </w:t>
      </w:r>
      <w:r>
        <w:t xml:space="preserve"> </w:t>
      </w:r>
      <w:r w:rsidRPr="00E17731">
        <w:t xml:space="preserve"> </w:t>
      </w:r>
    </w:p>
    <w:p w14:paraId="0B096F1A" w14:textId="77777777" w:rsidR="00BB49C5" w:rsidRPr="00E17731" w:rsidRDefault="00BB49C5" w:rsidP="00BB49C5">
      <w:pPr>
        <w:rPr>
          <w:rFonts w:ascii="Times New Roman" w:hAnsi="Times New Roman"/>
          <w:b/>
          <w:bCs/>
          <w:sz w:val="24"/>
          <w:szCs w:val="24"/>
        </w:rPr>
      </w:pPr>
      <w:r w:rsidRPr="00E17731">
        <w:rPr>
          <w:rFonts w:ascii="Times New Roman" w:hAnsi="Times New Roman"/>
          <w:b/>
          <w:bCs/>
          <w:sz w:val="24"/>
          <w:szCs w:val="24"/>
        </w:rPr>
        <w:t>Legal Lesson Learned:</w:t>
      </w:r>
      <w:r>
        <w:rPr>
          <w:rFonts w:ascii="Times New Roman" w:hAnsi="Times New Roman"/>
          <w:b/>
          <w:bCs/>
          <w:sz w:val="24"/>
          <w:szCs w:val="24"/>
        </w:rPr>
        <w:t xml:space="preserve"> Excellent to have Lieutenant testify at sentencing hearing. </w:t>
      </w:r>
    </w:p>
    <w:p w14:paraId="2F0336DF" w14:textId="5451D265" w:rsidR="00BB49C5" w:rsidRPr="00E17731" w:rsidRDefault="00BB49C5" w:rsidP="00BB49C5">
      <w:pPr>
        <w:pStyle w:val="paragraph"/>
      </w:pPr>
      <w:r>
        <w:t xml:space="preserve"> </w:t>
      </w:r>
      <w:r w:rsidRPr="00525651">
        <w:t xml:space="preserve"> </w:t>
      </w:r>
      <w:r>
        <w:t xml:space="preserve"> </w:t>
      </w:r>
      <w:r w:rsidRPr="00E17731">
        <w:t xml:space="preserve"> </w:t>
      </w:r>
    </w:p>
    <w:p w14:paraId="4263D095" w14:textId="77777777" w:rsidR="00BB49C5" w:rsidRDefault="00BB49C5" w:rsidP="00853142">
      <w:pPr>
        <w:rPr>
          <w:rFonts w:ascii="Arial Black" w:hAnsi="Arial Black"/>
          <w:sz w:val="24"/>
          <w:szCs w:val="24"/>
        </w:rPr>
      </w:pPr>
    </w:p>
    <w:p w14:paraId="1B06AA0D" w14:textId="77777777" w:rsidR="00BB49C5" w:rsidRDefault="00BB49C5" w:rsidP="00853142">
      <w:pPr>
        <w:rPr>
          <w:rFonts w:ascii="Arial Black" w:hAnsi="Arial Black"/>
          <w:sz w:val="24"/>
          <w:szCs w:val="24"/>
        </w:rPr>
      </w:pPr>
    </w:p>
    <w:p w14:paraId="2985DEB8" w14:textId="4A9E8FFF" w:rsidR="0056123D" w:rsidRDefault="0056123D" w:rsidP="00853142">
      <w:pPr>
        <w:rPr>
          <w:rFonts w:ascii="Arial Black" w:hAnsi="Arial Black"/>
          <w:sz w:val="24"/>
          <w:szCs w:val="24"/>
        </w:rPr>
      </w:pPr>
      <w:r>
        <w:rPr>
          <w:rFonts w:ascii="Arial Black" w:hAnsi="Arial Black"/>
          <w:sz w:val="24"/>
          <w:szCs w:val="24"/>
        </w:rPr>
        <w:t>2-5</w:t>
      </w:r>
      <w:r w:rsidR="00BB73D4">
        <w:rPr>
          <w:rFonts w:ascii="Arial Black" w:hAnsi="Arial Black"/>
          <w:sz w:val="24"/>
          <w:szCs w:val="24"/>
        </w:rPr>
        <w:t>7</w:t>
      </w:r>
    </w:p>
    <w:p w14:paraId="236F745B" w14:textId="77777777" w:rsidR="0056123D" w:rsidRPr="009932E6" w:rsidRDefault="0056123D" w:rsidP="0056123D">
      <w:pPr>
        <w:pStyle w:val="NoSpacing"/>
        <w:rPr>
          <w:rFonts w:ascii="Arial Black" w:hAnsi="Arial Black"/>
          <w:sz w:val="28"/>
          <w:szCs w:val="28"/>
        </w:rPr>
      </w:pPr>
      <w:r>
        <w:rPr>
          <w:rFonts w:ascii="Arial Black" w:hAnsi="Arial Black"/>
          <w:sz w:val="28"/>
          <w:szCs w:val="28"/>
        </w:rPr>
        <w:t>CA: FOREST FIRE – BULLDOZER OPERATOR KILLED, TWO INJURED – EMPLOYED BY CONTRACTOR - CAN’T SUE STATE</w:t>
      </w:r>
    </w:p>
    <w:p w14:paraId="05CF9F7A" w14:textId="77777777" w:rsidR="0056123D" w:rsidRDefault="0056123D" w:rsidP="0056123D">
      <w:pPr>
        <w:pStyle w:val="NoSpacing"/>
        <w:rPr>
          <w:rFonts w:ascii="Times New Roman" w:hAnsi="Times New Roman"/>
          <w:sz w:val="24"/>
          <w:szCs w:val="24"/>
        </w:rPr>
      </w:pPr>
    </w:p>
    <w:p w14:paraId="0925CBB0" w14:textId="77777777" w:rsidR="0056123D" w:rsidRDefault="0056123D" w:rsidP="0056123D">
      <w:pPr>
        <w:pStyle w:val="NoSpacing"/>
        <w:rPr>
          <w:rFonts w:ascii="Times New Roman" w:hAnsi="Times New Roman"/>
          <w:sz w:val="24"/>
          <w:szCs w:val="24"/>
        </w:rPr>
      </w:pPr>
      <w:r>
        <w:rPr>
          <w:rFonts w:ascii="Times New Roman" w:hAnsi="Times New Roman"/>
          <w:sz w:val="24"/>
          <w:szCs w:val="24"/>
        </w:rPr>
        <w:t xml:space="preserve">On Sept. 27, 2023, in </w:t>
      </w:r>
      <w:r w:rsidRPr="00E350E5">
        <w:rPr>
          <w:rFonts w:ascii="Times New Roman" w:hAnsi="Times New Roman"/>
          <w:sz w:val="24"/>
          <w:szCs w:val="24"/>
          <w:u w:val="single"/>
        </w:rPr>
        <w:t>Connie Vandorien, et al. v. Department of Transportation</w:t>
      </w:r>
      <w:r>
        <w:rPr>
          <w:rFonts w:ascii="Times New Roman" w:hAnsi="Times New Roman"/>
          <w:sz w:val="24"/>
          <w:szCs w:val="24"/>
        </w:rPr>
        <w:t>, the Court of Appeal of State of California, Third Appellate District (Shasta), held (3 to 0; unpublished decision) that family of the deceased bulldoze operator (Don Smith) and two injured bulldoze operators (D</w:t>
      </w:r>
      <w:r w:rsidRPr="00E350E5">
        <w:rPr>
          <w:rFonts w:ascii="Times New Roman" w:hAnsi="Times New Roman"/>
          <w:sz w:val="24"/>
          <w:szCs w:val="24"/>
        </w:rPr>
        <w:t>onald Andrews and Terry Cumming</w:t>
      </w:r>
      <w:r>
        <w:rPr>
          <w:rFonts w:ascii="Times New Roman" w:hAnsi="Times New Roman"/>
          <w:sz w:val="24"/>
          <w:szCs w:val="24"/>
        </w:rPr>
        <w:t xml:space="preserve">s) cannot sue California Department of Forestry And Fire Protection (CalFire) or Department of Transportation (Cal Tran) for failure to assess the fire risk in 2018 “Carr Fire” and failure to adequately maintain vegetation near State Route 299. </w:t>
      </w:r>
    </w:p>
    <w:p w14:paraId="0A03D38A" w14:textId="77777777" w:rsidR="0056123D" w:rsidRPr="009932E6" w:rsidRDefault="0056123D" w:rsidP="0056123D">
      <w:pPr>
        <w:pStyle w:val="NoSpacing"/>
        <w:ind w:firstLine="720"/>
        <w:rPr>
          <w:rFonts w:ascii="Times New Roman" w:hAnsi="Times New Roman"/>
          <w:sz w:val="24"/>
          <w:szCs w:val="24"/>
        </w:rPr>
      </w:pPr>
      <w:r>
        <w:rPr>
          <w:rFonts w:ascii="Times New Roman" w:hAnsi="Times New Roman"/>
          <w:sz w:val="24"/>
          <w:szCs w:val="24"/>
        </w:rPr>
        <w:t>“</w:t>
      </w:r>
      <w:proofErr w:type="spellStart"/>
      <w:r w:rsidRPr="009932E6">
        <w:rPr>
          <w:rFonts w:ascii="Times New Roman" w:hAnsi="Times New Roman"/>
          <w:sz w:val="24"/>
          <w:szCs w:val="24"/>
        </w:rPr>
        <w:t>CalTrans</w:t>
      </w:r>
      <w:proofErr w:type="spellEnd"/>
      <w:r w:rsidRPr="009932E6">
        <w:rPr>
          <w:rFonts w:ascii="Times New Roman" w:hAnsi="Times New Roman"/>
          <w:sz w:val="24"/>
          <w:szCs w:val="24"/>
        </w:rPr>
        <w:t xml:space="preserve"> successfully demurred to the SAC and the heirs’ wrongful death claim</w:t>
      </w:r>
    </w:p>
    <w:p w14:paraId="4FD71C3D" w14:textId="77777777" w:rsidR="0056123D" w:rsidRPr="009932E6" w:rsidRDefault="0056123D" w:rsidP="0056123D">
      <w:pPr>
        <w:pStyle w:val="NoSpacing"/>
        <w:ind w:firstLine="720"/>
        <w:rPr>
          <w:rFonts w:ascii="Times New Roman" w:hAnsi="Times New Roman"/>
          <w:sz w:val="24"/>
          <w:szCs w:val="24"/>
        </w:rPr>
      </w:pPr>
      <w:r w:rsidRPr="009932E6">
        <w:rPr>
          <w:rFonts w:ascii="Times New Roman" w:hAnsi="Times New Roman"/>
          <w:sz w:val="24"/>
          <w:szCs w:val="24"/>
        </w:rPr>
        <w:t>on the basis that it was not liable under our Supreme Court’s holding in Privette v.</w:t>
      </w:r>
    </w:p>
    <w:p w14:paraId="0A633877" w14:textId="77777777" w:rsidR="0056123D" w:rsidRPr="009932E6" w:rsidRDefault="0056123D" w:rsidP="0056123D">
      <w:pPr>
        <w:pStyle w:val="NoSpacing"/>
        <w:ind w:firstLine="720"/>
        <w:rPr>
          <w:rFonts w:ascii="Times New Roman" w:hAnsi="Times New Roman"/>
          <w:sz w:val="24"/>
          <w:szCs w:val="24"/>
        </w:rPr>
      </w:pPr>
      <w:r w:rsidRPr="009932E6">
        <w:rPr>
          <w:rFonts w:ascii="Times New Roman" w:hAnsi="Times New Roman"/>
          <w:sz w:val="24"/>
          <w:szCs w:val="24"/>
        </w:rPr>
        <w:t>Superior Court (1993) 5 Cal.4th 689 (Privette) and its progeny, which generally prohibit</w:t>
      </w:r>
    </w:p>
    <w:p w14:paraId="1B79DAB7" w14:textId="77777777" w:rsidR="0056123D" w:rsidRPr="009932E6" w:rsidRDefault="0056123D" w:rsidP="0056123D">
      <w:pPr>
        <w:pStyle w:val="NoSpacing"/>
        <w:ind w:firstLine="720"/>
        <w:rPr>
          <w:rFonts w:ascii="Times New Roman" w:hAnsi="Times New Roman"/>
          <w:sz w:val="24"/>
          <w:szCs w:val="24"/>
        </w:rPr>
      </w:pPr>
      <w:r w:rsidRPr="009932E6">
        <w:rPr>
          <w:rFonts w:ascii="Times New Roman" w:hAnsi="Times New Roman"/>
          <w:sz w:val="24"/>
          <w:szCs w:val="24"/>
        </w:rPr>
        <w:t>an independent contractor or its employees from suing the hirer of the contractor for</w:t>
      </w:r>
    </w:p>
    <w:p w14:paraId="2CC85BC6" w14:textId="77777777" w:rsidR="0056123D" w:rsidRPr="009932E6" w:rsidRDefault="0056123D" w:rsidP="0056123D">
      <w:pPr>
        <w:pStyle w:val="NoSpacing"/>
        <w:ind w:firstLine="720"/>
        <w:rPr>
          <w:rFonts w:ascii="Times New Roman" w:hAnsi="Times New Roman"/>
          <w:sz w:val="24"/>
          <w:szCs w:val="24"/>
        </w:rPr>
      </w:pPr>
      <w:r w:rsidRPr="009932E6">
        <w:rPr>
          <w:rFonts w:ascii="Times New Roman" w:hAnsi="Times New Roman"/>
          <w:sz w:val="24"/>
          <w:szCs w:val="24"/>
        </w:rPr>
        <w:t>workplace injuries except where the hirer has negligently exercised retained control or</w:t>
      </w:r>
    </w:p>
    <w:p w14:paraId="1D7584BD" w14:textId="77777777" w:rsidR="0056123D" w:rsidRDefault="0056123D" w:rsidP="0056123D">
      <w:pPr>
        <w:pStyle w:val="NoSpacing"/>
        <w:ind w:left="720"/>
        <w:rPr>
          <w:rFonts w:ascii="Times New Roman" w:hAnsi="Times New Roman"/>
          <w:sz w:val="24"/>
          <w:szCs w:val="24"/>
        </w:rPr>
      </w:pPr>
      <w:r w:rsidRPr="009932E6">
        <w:rPr>
          <w:rFonts w:ascii="Times New Roman" w:hAnsi="Times New Roman"/>
          <w:sz w:val="24"/>
          <w:szCs w:val="24"/>
        </w:rPr>
        <w:t>concealed a preexisting hazard.</w:t>
      </w:r>
      <w:r>
        <w:rPr>
          <w:rFonts w:ascii="Times New Roman" w:hAnsi="Times New Roman"/>
          <w:sz w:val="24"/>
          <w:szCs w:val="24"/>
        </w:rPr>
        <w:t xml:space="preserve">”  </w:t>
      </w:r>
      <w:hyperlink r:id="rId510" w:history="1">
        <w:r w:rsidRPr="00537EB6">
          <w:rPr>
            <w:rStyle w:val="Hyperlink"/>
            <w:rFonts w:ascii="Times New Roman" w:hAnsi="Times New Roman"/>
            <w:sz w:val="24"/>
            <w:szCs w:val="24"/>
          </w:rPr>
          <w:t>https://www.courts.ca.gov/opinions/nonpub/C096220.PDF</w:t>
        </w:r>
      </w:hyperlink>
      <w:r>
        <w:rPr>
          <w:rFonts w:ascii="Times New Roman" w:hAnsi="Times New Roman"/>
          <w:sz w:val="24"/>
          <w:szCs w:val="24"/>
        </w:rPr>
        <w:t xml:space="preserve"> </w:t>
      </w:r>
    </w:p>
    <w:p w14:paraId="713BBEF4" w14:textId="77777777" w:rsidR="0056123D" w:rsidRDefault="0056123D" w:rsidP="0056123D">
      <w:pPr>
        <w:pStyle w:val="NoSpacing"/>
        <w:rPr>
          <w:rFonts w:ascii="Times New Roman" w:hAnsi="Times New Roman"/>
          <w:b/>
          <w:bCs/>
          <w:sz w:val="24"/>
          <w:szCs w:val="24"/>
        </w:rPr>
      </w:pPr>
    </w:p>
    <w:p w14:paraId="568A8A30" w14:textId="604FD218" w:rsidR="0056123D" w:rsidRPr="0059137D" w:rsidRDefault="0056123D" w:rsidP="0056123D">
      <w:pPr>
        <w:pStyle w:val="NoSpacing"/>
        <w:rPr>
          <w:rFonts w:ascii="Times New Roman" w:hAnsi="Times New Roman"/>
          <w:b/>
          <w:bCs/>
          <w:sz w:val="24"/>
          <w:szCs w:val="24"/>
        </w:rPr>
      </w:pPr>
      <w:r w:rsidRPr="0059137D">
        <w:rPr>
          <w:rFonts w:ascii="Times New Roman" w:hAnsi="Times New Roman"/>
          <w:b/>
          <w:bCs/>
          <w:sz w:val="24"/>
          <w:szCs w:val="24"/>
        </w:rPr>
        <w:t>Legal Lesson Learned:</w:t>
      </w:r>
      <w:r>
        <w:rPr>
          <w:rFonts w:ascii="Times New Roman" w:hAnsi="Times New Roman"/>
          <w:b/>
          <w:bCs/>
          <w:sz w:val="24"/>
          <w:szCs w:val="24"/>
        </w:rPr>
        <w:t xml:space="preserve"> The bulldoze operators were employees to the independent contractor; their remedy is worker’s comp through their employer. </w:t>
      </w:r>
    </w:p>
    <w:p w14:paraId="1BE42B68" w14:textId="77777777" w:rsidR="0056123D" w:rsidRDefault="0056123D" w:rsidP="0056123D">
      <w:pPr>
        <w:pStyle w:val="NoSpacing"/>
        <w:rPr>
          <w:rFonts w:ascii="Times New Roman" w:hAnsi="Times New Roman"/>
          <w:sz w:val="24"/>
          <w:szCs w:val="24"/>
        </w:rPr>
      </w:pPr>
    </w:p>
    <w:p w14:paraId="1C848859" w14:textId="77777777" w:rsidR="0056123D" w:rsidRDefault="0056123D" w:rsidP="00853142">
      <w:pPr>
        <w:rPr>
          <w:rFonts w:ascii="Arial Black" w:hAnsi="Arial Black"/>
          <w:sz w:val="24"/>
          <w:szCs w:val="24"/>
        </w:rPr>
      </w:pPr>
    </w:p>
    <w:p w14:paraId="76679C0E" w14:textId="75666C9F" w:rsidR="00FE60DA" w:rsidRDefault="00FE60DA" w:rsidP="00853142">
      <w:pPr>
        <w:rPr>
          <w:rFonts w:ascii="Arial Black" w:hAnsi="Arial Black"/>
          <w:sz w:val="24"/>
          <w:szCs w:val="24"/>
        </w:rPr>
      </w:pPr>
      <w:r>
        <w:rPr>
          <w:rFonts w:ascii="Arial Black" w:hAnsi="Arial Black"/>
          <w:sz w:val="24"/>
          <w:szCs w:val="24"/>
        </w:rPr>
        <w:t>2-5</w:t>
      </w:r>
      <w:r w:rsidR="00BB73D4">
        <w:rPr>
          <w:rFonts w:ascii="Arial Black" w:hAnsi="Arial Black"/>
          <w:sz w:val="24"/>
          <w:szCs w:val="24"/>
        </w:rPr>
        <w:t>6</w:t>
      </w:r>
    </w:p>
    <w:p w14:paraId="301CE9F2" w14:textId="77777777" w:rsidR="00FE60DA" w:rsidRPr="009C2567" w:rsidRDefault="00FE60DA" w:rsidP="00FE60DA">
      <w:pPr>
        <w:spacing w:before="100" w:beforeAutospacing="1" w:after="100" w:afterAutospacing="1" w:line="240" w:lineRule="auto"/>
        <w:rPr>
          <w:rFonts w:ascii="Arial Black" w:hAnsi="Arial Black"/>
          <w:sz w:val="28"/>
          <w:szCs w:val="28"/>
        </w:rPr>
      </w:pPr>
      <w:r>
        <w:rPr>
          <w:rFonts w:ascii="Arial Black" w:hAnsi="Arial Black"/>
          <w:sz w:val="28"/>
          <w:szCs w:val="28"/>
        </w:rPr>
        <w:t>NY:  1992 ARSON CLOTHING STORE - LODD OF FDNY LT. –BLDG OWNER 36 YRS PRISON - DENIED HOME DETENTION</w:t>
      </w:r>
    </w:p>
    <w:p w14:paraId="6047AD8C" w14:textId="77777777" w:rsidR="00FE60DA" w:rsidRDefault="00FE60DA" w:rsidP="00FE60DA">
      <w:pPr>
        <w:spacing w:before="100" w:beforeAutospacing="1" w:after="100" w:afterAutospacing="1" w:line="240" w:lineRule="auto"/>
        <w:rPr>
          <w:rFonts w:ascii="Times New Roman" w:hAnsi="Times New Roman"/>
          <w:sz w:val="24"/>
          <w:szCs w:val="24"/>
        </w:rPr>
      </w:pPr>
      <w:r w:rsidRPr="007C560E">
        <w:rPr>
          <w:rFonts w:ascii="Times New Roman" w:eastAsia="Times New Roman" w:hAnsi="Times New Roman"/>
          <w:sz w:val="24"/>
          <w:szCs w:val="24"/>
        </w:rPr>
        <w:t xml:space="preserve">On June 30, 2023, in </w:t>
      </w:r>
      <w:r w:rsidRPr="007C560E">
        <w:rPr>
          <w:rFonts w:ascii="Times New Roman" w:eastAsia="Times New Roman" w:hAnsi="Times New Roman"/>
          <w:sz w:val="24"/>
          <w:szCs w:val="24"/>
          <w:u w:val="single"/>
        </w:rPr>
        <w:t>Jack Ferranti v. Warden Allenwood LSCI</w:t>
      </w:r>
      <w:r w:rsidRPr="007C560E">
        <w:rPr>
          <w:rFonts w:ascii="Times New Roman" w:eastAsia="Times New Roman" w:hAnsi="Times New Roman"/>
          <w:sz w:val="24"/>
          <w:szCs w:val="24"/>
        </w:rPr>
        <w:t xml:space="preserve">, the U.S. Court of Appeals for Third Circuit (Philadelphia) held (3 to 0) that U.S. Bureau of Prisons, and U.S. District Court properly denied his request to serve the remainder of his sentence at home under the </w:t>
      </w:r>
      <w:r w:rsidRPr="007C560E">
        <w:rPr>
          <w:rFonts w:ascii="Times New Roman" w:hAnsi="Times New Roman"/>
          <w:sz w:val="24"/>
          <w:szCs w:val="24"/>
        </w:rPr>
        <w:t xml:space="preserve">Elderly Offender Home Detention Program (EOHDP), a pilot program expanded as part of the 2018 First Step Act signed into law by President Trump. The Feb. 24, 1992, fire, in a three-story brick building with stores on the ground floor, sent smoke-choked tenants into the street and killed Lieut. Thomas A. Williams, 52, a 30-year veteran of the department and the father of two college-age daughters. Lieutenant Williams either fell or was blown out of a second-story window after a buildup of smoke and gases. He was </w:t>
      </w:r>
      <w:proofErr w:type="gramStart"/>
      <w:r w:rsidRPr="007C560E">
        <w:rPr>
          <w:rFonts w:ascii="Times New Roman" w:hAnsi="Times New Roman"/>
          <w:sz w:val="24"/>
          <w:szCs w:val="24"/>
        </w:rPr>
        <w:t>sentenced</w:t>
      </w:r>
      <w:proofErr w:type="gramEnd"/>
      <w:r w:rsidRPr="007C560E">
        <w:rPr>
          <w:rFonts w:ascii="Times New Roman" w:hAnsi="Times New Roman"/>
          <w:sz w:val="24"/>
          <w:szCs w:val="24"/>
        </w:rPr>
        <w:t xml:space="preserve"> 435 months' </w:t>
      </w:r>
      <w:r>
        <w:rPr>
          <w:rFonts w:ascii="Times New Roman" w:hAnsi="Times New Roman"/>
          <w:sz w:val="24"/>
          <w:szCs w:val="24"/>
        </w:rPr>
        <w:t xml:space="preserve">(36 years) </w:t>
      </w:r>
      <w:r w:rsidRPr="007C560E">
        <w:rPr>
          <w:rFonts w:ascii="Times New Roman" w:hAnsi="Times New Roman"/>
          <w:sz w:val="24"/>
          <w:szCs w:val="24"/>
        </w:rPr>
        <w:t>imprisonment</w:t>
      </w:r>
      <w:r>
        <w:rPr>
          <w:rFonts w:ascii="Times New Roman" w:hAnsi="Times New Roman"/>
          <w:sz w:val="24"/>
          <w:szCs w:val="24"/>
        </w:rPr>
        <w:t xml:space="preserve"> and </w:t>
      </w:r>
      <w:r w:rsidRPr="007C560E">
        <w:rPr>
          <w:rFonts w:ascii="Times New Roman" w:hAnsi="Times New Roman"/>
          <w:sz w:val="24"/>
          <w:szCs w:val="24"/>
        </w:rPr>
        <w:t xml:space="preserve">with </w:t>
      </w:r>
      <w:proofErr w:type="gramStart"/>
      <w:r w:rsidRPr="007C560E">
        <w:rPr>
          <w:rFonts w:ascii="Times New Roman" w:hAnsi="Times New Roman"/>
          <w:sz w:val="24"/>
          <w:szCs w:val="24"/>
        </w:rPr>
        <w:t>good time</w:t>
      </w:r>
      <w:proofErr w:type="gramEnd"/>
      <w:r w:rsidRPr="007C560E">
        <w:rPr>
          <w:rFonts w:ascii="Times New Roman" w:hAnsi="Times New Roman"/>
          <w:sz w:val="24"/>
          <w:szCs w:val="24"/>
        </w:rPr>
        <w:t xml:space="preserve"> credits, the Bureau of Prisons (BOP) expects he will be released from prison in April 2026.</w:t>
      </w:r>
      <w:r>
        <w:rPr>
          <w:rFonts w:ascii="Times New Roman" w:hAnsi="Times New Roman"/>
          <w:sz w:val="24"/>
          <w:szCs w:val="24"/>
        </w:rPr>
        <w:t xml:space="preserve"> </w:t>
      </w:r>
    </w:p>
    <w:p w14:paraId="38D9BC63" w14:textId="77777777" w:rsidR="00FE60DA" w:rsidRPr="009C2567" w:rsidRDefault="00FE60DA" w:rsidP="00FE60DA">
      <w:pPr>
        <w:spacing w:before="100" w:beforeAutospacing="1" w:after="100" w:afterAutospacing="1" w:line="240" w:lineRule="auto"/>
        <w:rPr>
          <w:rFonts w:ascii="Times New Roman" w:eastAsia="Times New Roman" w:hAnsi="Times New Roman"/>
          <w:sz w:val="24"/>
          <w:szCs w:val="24"/>
        </w:rPr>
      </w:pPr>
      <w:r>
        <w:rPr>
          <w:rFonts w:ascii="Times New Roman" w:hAnsi="Times New Roman"/>
          <w:sz w:val="24"/>
          <w:szCs w:val="24"/>
        </w:rPr>
        <w:t>The 3</w:t>
      </w:r>
      <w:r w:rsidRPr="009C2567">
        <w:rPr>
          <w:rFonts w:ascii="Times New Roman" w:hAnsi="Times New Roman"/>
          <w:sz w:val="24"/>
          <w:szCs w:val="24"/>
          <w:vertAlign w:val="superscript"/>
        </w:rPr>
        <w:t>rd</w:t>
      </w:r>
      <w:r>
        <w:rPr>
          <w:rFonts w:ascii="Times New Roman" w:hAnsi="Times New Roman"/>
          <w:sz w:val="24"/>
          <w:szCs w:val="24"/>
        </w:rPr>
        <w:t xml:space="preserve"> Circuit held: “</w:t>
      </w:r>
      <w:r>
        <w:rPr>
          <w:rFonts w:ascii="Times New Roman" w:eastAsia="Times New Roman" w:hAnsi="Times New Roman"/>
          <w:sz w:val="24"/>
          <w:szCs w:val="24"/>
        </w:rPr>
        <w:t>[T]</w:t>
      </w:r>
      <w:r w:rsidRPr="009C2567">
        <w:rPr>
          <w:rFonts w:ascii="Times New Roman" w:eastAsia="Times New Roman" w:hAnsi="Times New Roman"/>
          <w:sz w:val="24"/>
          <w:szCs w:val="24"/>
        </w:rPr>
        <w:t>he BOP did not err by concluding that Ferranti's history of violence-comprised of the underlying conduct for his convictions as well as disciplinary infractions in prison-disqualified him from participating in the EOHDP. For the foregoing reasons, we will affirm the District Court's orders denying relief.</w:t>
      </w:r>
      <w:r>
        <w:rPr>
          <w:rFonts w:ascii="Times New Roman" w:eastAsia="Times New Roman" w:hAnsi="Times New Roman"/>
          <w:sz w:val="24"/>
          <w:szCs w:val="24"/>
        </w:rPr>
        <w:t xml:space="preserve">” </w:t>
      </w:r>
      <w:hyperlink r:id="rId511" w:history="1">
        <w:r w:rsidRPr="00812663">
          <w:rPr>
            <w:rStyle w:val="Hyperlink"/>
            <w:sz w:val="24"/>
            <w:szCs w:val="24"/>
          </w:rPr>
          <w:t>https://law.justia.com/cases/federal/appellate-courts/ca3/22-1892/22-1892-2023-06-30.html</w:t>
        </w:r>
      </w:hyperlink>
      <w:r>
        <w:rPr>
          <w:rFonts w:ascii="Times New Roman" w:eastAsia="Times New Roman" w:hAnsi="Times New Roman"/>
          <w:sz w:val="24"/>
          <w:szCs w:val="24"/>
        </w:rPr>
        <w:t xml:space="preserve"> </w:t>
      </w:r>
    </w:p>
    <w:p w14:paraId="17541C2E" w14:textId="77777777" w:rsidR="00FE60DA" w:rsidRPr="007C560E" w:rsidRDefault="00FE60DA" w:rsidP="00FE60DA">
      <w:pPr>
        <w:pStyle w:val="NormalWeb"/>
        <w:rPr>
          <w:b/>
          <w:bCs/>
        </w:rPr>
      </w:pPr>
      <w:r w:rsidRPr="007C560E">
        <w:rPr>
          <w:b/>
          <w:bCs/>
        </w:rPr>
        <w:t>Legal Lesson Learned: Arsonists</w:t>
      </w:r>
      <w:r>
        <w:rPr>
          <w:b/>
          <w:bCs/>
        </w:rPr>
        <w:t>, and other violent offenders,</w:t>
      </w:r>
      <w:r w:rsidRPr="007C560E">
        <w:rPr>
          <w:b/>
          <w:bCs/>
        </w:rPr>
        <w:t xml:space="preserve"> are not qualified for Elderly Offender Home Detention Program</w:t>
      </w:r>
      <w:r>
        <w:rPr>
          <w:b/>
          <w:bCs/>
        </w:rPr>
        <w:t xml:space="preserve"> (age 60 or older)</w:t>
      </w:r>
      <w:r w:rsidRPr="007C560E">
        <w:rPr>
          <w:b/>
          <w:bCs/>
        </w:rPr>
        <w:t xml:space="preserve">. </w:t>
      </w:r>
    </w:p>
    <w:p w14:paraId="10C9BBCC" w14:textId="77777777" w:rsidR="00FE60DA" w:rsidRDefault="00FE60DA" w:rsidP="00FE60DA">
      <w:pPr>
        <w:pStyle w:val="NormalWeb"/>
        <w:ind w:left="720"/>
      </w:pPr>
      <w:r w:rsidRPr="007C560E">
        <w:t xml:space="preserve">Note:  See Aug. 16, </w:t>
      </w:r>
      <w:proofErr w:type="gramStart"/>
      <w:r w:rsidRPr="007C560E">
        <w:t>1995</w:t>
      </w:r>
      <w:proofErr w:type="gramEnd"/>
      <w:r w:rsidRPr="007C560E">
        <w:t xml:space="preserve"> </w:t>
      </w:r>
      <w:r>
        <w:t xml:space="preserve">New York Times </w:t>
      </w:r>
      <w:r w:rsidRPr="007C560E">
        <w:t>article, “Storeowner Guilty of Arson Where Fireman Died.”</w:t>
      </w:r>
      <w:r>
        <w:t xml:space="preserve"> </w:t>
      </w:r>
      <w:hyperlink r:id="rId512" w:history="1">
        <w:r w:rsidRPr="00AA56D8">
          <w:rPr>
            <w:rStyle w:val="Hyperlink"/>
          </w:rPr>
          <w:t>https://www.nytimes.com/1995/08/16/nyregion/storeowner-guilty-of-arson-where-fireman-died.html</w:t>
        </w:r>
      </w:hyperlink>
      <w:r>
        <w:t xml:space="preserve"> </w:t>
      </w:r>
    </w:p>
    <w:p w14:paraId="26364599" w14:textId="77777777" w:rsidR="00FE60DA" w:rsidRDefault="00FE60DA" w:rsidP="00FE60DA">
      <w:pPr>
        <w:pStyle w:val="css-at9mc1"/>
        <w:ind w:left="720"/>
      </w:pPr>
      <w:r>
        <w:t xml:space="preserve">“The owner of a Queens clothing store was convicted of arson by a </w:t>
      </w:r>
      <w:proofErr w:type="gramStart"/>
      <w:r>
        <w:t>Federal</w:t>
      </w:r>
      <w:proofErr w:type="gramEnd"/>
      <w:r>
        <w:t xml:space="preserve"> court jury in Brooklyn yesterday in a fire that killed a highly decorated firefighter. The storeowner, Jack Ferranti, 42, of Manhattan, could receive life in prison. Mr. Ferranti's brother, Mario, 37, was convicted of arson conspiracy, and could receive five years in prison. The sentencing by Judge Jack B. Weinstein will not be scheduled until after the trial of Thomas Tocco, 29, a third defendant, whose case was severed from the Ferranti trial, officials said. Mr. Tocco's trial is scheduled to begin on Monday…. The indictment, unsealed in February, three years after the Feb. 24, 1992, fire, charged that shortly before the blaze, Jack Ferranti had moved a large amount of merchandise from the store, Today's Styles, at 66-45 Grand Avenue in Maspeth, and that after the fire he falsely claimed the goods had been destroyed, for a loss of $100,000. During the investigation, Mr. Ferranti withdrew the insurance claim. Besides the arson charge, Mr. Ferranti was found guilty of 16 counts of mail fraud in connection with the insurance claims and one count of witness tampering. The fire, in a three-story brick building with stores on the ground floor, sent smoke-choked tenants into the street and killed Lieut. Thomas A. Williams, 52, a 30-year veteran of the department and the father of two college-age daughters. Lieutenant Williams either fell or was blown out of a second-story window after a buildup of smoke and gases.”</w:t>
      </w:r>
    </w:p>
    <w:p w14:paraId="087FF66A" w14:textId="7238ED89" w:rsidR="00FE60DA" w:rsidRDefault="00FE60DA" w:rsidP="00853142">
      <w:pPr>
        <w:rPr>
          <w:rFonts w:ascii="Arial Black" w:hAnsi="Arial Black"/>
          <w:sz w:val="24"/>
          <w:szCs w:val="24"/>
        </w:rPr>
      </w:pPr>
      <w:r>
        <w:rPr>
          <w:rFonts w:ascii="Arial Black" w:hAnsi="Arial Black"/>
          <w:sz w:val="24"/>
          <w:szCs w:val="24"/>
        </w:rPr>
        <w:t>2-5</w:t>
      </w:r>
      <w:r w:rsidR="00BB73D4">
        <w:rPr>
          <w:rFonts w:ascii="Arial Black" w:hAnsi="Arial Black"/>
          <w:sz w:val="24"/>
          <w:szCs w:val="24"/>
        </w:rPr>
        <w:t>5</w:t>
      </w:r>
    </w:p>
    <w:p w14:paraId="6175D787" w14:textId="77777777" w:rsidR="00FE60DA" w:rsidRPr="00171981" w:rsidRDefault="00FE60DA" w:rsidP="00FE60DA">
      <w:pPr>
        <w:spacing w:before="100" w:beforeAutospacing="1" w:after="100" w:afterAutospacing="1" w:line="240" w:lineRule="auto"/>
        <w:rPr>
          <w:rFonts w:ascii="Arial Black" w:hAnsi="Arial Black"/>
          <w:sz w:val="28"/>
          <w:szCs w:val="28"/>
        </w:rPr>
      </w:pPr>
      <w:r>
        <w:rPr>
          <w:rFonts w:ascii="Arial Black" w:hAnsi="Arial Black"/>
          <w:sz w:val="28"/>
          <w:szCs w:val="28"/>
        </w:rPr>
        <w:t xml:space="preserve">PA: KIDNEY CANCER – STATE LAW PROPERLY EXTENDS COVERAGE TO CHEMICALS LATER PLACED IN “GROUP 1” </w:t>
      </w:r>
    </w:p>
    <w:p w14:paraId="00DA3C06" w14:textId="77777777" w:rsidR="00FE60DA" w:rsidRDefault="00FE60DA" w:rsidP="00FE60DA">
      <w:pPr>
        <w:spacing w:before="100" w:beforeAutospacing="1" w:after="100" w:afterAutospacing="1" w:line="240" w:lineRule="auto"/>
        <w:rPr>
          <w:rFonts w:ascii="Times New Roman" w:hAnsi="Times New Roman"/>
          <w:sz w:val="24"/>
          <w:szCs w:val="24"/>
        </w:rPr>
      </w:pPr>
      <w:r>
        <w:rPr>
          <w:rFonts w:ascii="Times New Roman" w:hAnsi="Times New Roman"/>
          <w:sz w:val="24"/>
          <w:szCs w:val="24"/>
        </w:rPr>
        <w:lastRenderedPageBreak/>
        <w:t xml:space="preserve">On June 21, 2023, in </w:t>
      </w:r>
      <w:r w:rsidRPr="005949A3">
        <w:rPr>
          <w:rFonts w:ascii="Times New Roman" w:hAnsi="Times New Roman"/>
          <w:sz w:val="24"/>
          <w:szCs w:val="24"/>
          <w:u w:val="single"/>
        </w:rPr>
        <w:t>City of Philadelphia v. Joseph Healey (Workers’ Compensation Appeal Board)</w:t>
      </w:r>
      <w:r>
        <w:rPr>
          <w:rFonts w:ascii="Times New Roman" w:hAnsi="Times New Roman"/>
          <w:sz w:val="24"/>
          <w:szCs w:val="24"/>
        </w:rPr>
        <w:t xml:space="preserve">, the Commonwealth Court of Pennsylvania held (7 to 0) that the firefighter was properly granted workers comp for his kidney cancer, rejecting the City’s argument that the state’s 2011 statute improperly allows additional substances like </w:t>
      </w:r>
      <w:r w:rsidRPr="00DB7D8B">
        <w:rPr>
          <w:rFonts w:ascii="Times New Roman" w:hAnsi="Times New Roman"/>
          <w:sz w:val="24"/>
          <w:szCs w:val="24"/>
        </w:rPr>
        <w:t>trichlorethylene</w:t>
      </w:r>
      <w:r>
        <w:t xml:space="preserve"> (</w:t>
      </w:r>
      <w:r>
        <w:rPr>
          <w:rFonts w:ascii="Times New Roman" w:hAnsi="Times New Roman"/>
          <w:sz w:val="24"/>
          <w:szCs w:val="24"/>
        </w:rPr>
        <w:t xml:space="preserve">TCE is </w:t>
      </w:r>
      <w:r w:rsidRPr="00DB7D8B">
        <w:rPr>
          <w:rFonts w:ascii="Times New Roman" w:hAnsi="Times New Roman"/>
          <w:sz w:val="24"/>
          <w:szCs w:val="24"/>
        </w:rPr>
        <w:t>industrial solvent for degreasing metal parts)</w:t>
      </w:r>
      <w:r>
        <w:rPr>
          <w:rFonts w:ascii="Times New Roman" w:hAnsi="Times New Roman"/>
          <w:sz w:val="24"/>
          <w:szCs w:val="24"/>
        </w:rPr>
        <w:t xml:space="preserve"> to be added to Group 1 list by the </w:t>
      </w:r>
      <w:r w:rsidRPr="005949A3">
        <w:rPr>
          <w:rFonts w:ascii="Times New Roman" w:hAnsi="Times New Roman"/>
          <w:sz w:val="24"/>
          <w:szCs w:val="24"/>
        </w:rPr>
        <w:t>International Agency for Research on Cancer</w:t>
      </w:r>
      <w:r>
        <w:rPr>
          <w:rFonts w:ascii="Times New Roman" w:hAnsi="Times New Roman"/>
          <w:sz w:val="24"/>
          <w:szCs w:val="24"/>
        </w:rPr>
        <w:t xml:space="preserve">. In 2011, TCE was listed as a Group 2a substance (“probably carcinogenic to humans”). </w:t>
      </w:r>
    </w:p>
    <w:p w14:paraId="4F3D6DD2" w14:textId="77777777" w:rsidR="00FE60DA" w:rsidRPr="0003518A" w:rsidRDefault="00FE60DA" w:rsidP="00FE60DA">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The Court held: “E</w:t>
      </w:r>
      <w:r w:rsidRPr="005949A3">
        <w:rPr>
          <w:rFonts w:ascii="Times New Roman" w:hAnsi="Times New Roman"/>
          <w:sz w:val="24"/>
          <w:szCs w:val="24"/>
        </w:rPr>
        <w:t xml:space="preserve">mployer argues that the WCJ erred by relying on Claimant's TCE exposure to grant the Claim Petition under Section 108(r) of the Act. Specifically, Employer contends that interpreting Section 108(r) of the Act to include TCE as a Group 1 carcinogen </w:t>
      </w:r>
      <w:r w:rsidRPr="005949A3">
        <w:rPr>
          <w:rStyle w:val="Emphasis"/>
          <w:rFonts w:ascii="Times New Roman" w:hAnsi="Times New Roman"/>
          <w:sz w:val="24"/>
          <w:szCs w:val="24"/>
        </w:rPr>
        <w:t>after</w:t>
      </w:r>
      <w:r w:rsidRPr="005949A3">
        <w:rPr>
          <w:rFonts w:ascii="Times New Roman" w:hAnsi="Times New Roman"/>
          <w:sz w:val="24"/>
          <w:szCs w:val="24"/>
        </w:rPr>
        <w:t xml:space="preserve"> Act 46 became law on July 7, 2011, makes Section 108(r) of the Act reliant on the IARC's ever-changing Group 1 carcinogen list and, thus, the General Assembly unconstitutionally delegated its lawmaking authority to the IARC.</w:t>
      </w:r>
      <w:r>
        <w:rPr>
          <w:rFonts w:ascii="Times New Roman" w:hAnsi="Times New Roman"/>
          <w:sz w:val="24"/>
          <w:szCs w:val="24"/>
        </w:rPr>
        <w:t xml:space="preserve"> *** [Footnote 11. </w:t>
      </w:r>
      <w:r w:rsidRPr="00DB7D8B">
        <w:rPr>
          <w:rFonts w:ascii="Times New Roman" w:hAnsi="Times New Roman"/>
          <w:sz w:val="24"/>
          <w:szCs w:val="24"/>
        </w:rPr>
        <w:t xml:space="preserve">In addition, well-settled delegation standards and case law specify that the General Assembly has the authority </w:t>
      </w:r>
      <w:r>
        <w:rPr>
          <w:rFonts w:ascii="Times New Roman" w:hAnsi="Times New Roman"/>
          <w:sz w:val="24"/>
          <w:szCs w:val="24"/>
        </w:rPr>
        <w:t>‘</w:t>
      </w:r>
      <w:r w:rsidRPr="00DB7D8B">
        <w:rPr>
          <w:rFonts w:ascii="Times New Roman" w:hAnsi="Times New Roman"/>
          <w:sz w:val="24"/>
          <w:szCs w:val="24"/>
        </w:rPr>
        <w:t>to delegate to [the IARC], its execution and administrative authority over Pennsylvania's [occupational disease classifications], . . . as long as: (1) basic policy choices are still made by the General Assembly; and (2) the legislation contains adequate standards to guide and restrain the exercise of those functions.</w:t>
      </w:r>
      <w:r>
        <w:rPr>
          <w:rFonts w:ascii="Times New Roman" w:hAnsi="Times New Roman"/>
          <w:sz w:val="24"/>
          <w:szCs w:val="24"/>
        </w:rPr>
        <w:t>’</w:t>
      </w:r>
      <w:r w:rsidRPr="00DB7D8B">
        <w:rPr>
          <w:rFonts w:ascii="Times New Roman" w:hAnsi="Times New Roman"/>
          <w:sz w:val="24"/>
          <w:szCs w:val="24"/>
        </w:rPr>
        <w:t xml:space="preserve"> </w:t>
      </w:r>
      <w:r w:rsidRPr="00DB7D8B">
        <w:rPr>
          <w:rStyle w:val="Emphasis"/>
          <w:rFonts w:ascii="Times New Roman" w:hAnsi="Times New Roman"/>
          <w:sz w:val="24"/>
          <w:szCs w:val="24"/>
        </w:rPr>
        <w:t xml:space="preserve">Pa. Builders </w:t>
      </w:r>
      <w:proofErr w:type="spellStart"/>
      <w:r w:rsidRPr="00DB7D8B">
        <w:rPr>
          <w:rStyle w:val="Emphasis"/>
          <w:rFonts w:ascii="Times New Roman" w:hAnsi="Times New Roman"/>
          <w:sz w:val="24"/>
          <w:szCs w:val="24"/>
        </w:rPr>
        <w:t>Ass'n</w:t>
      </w:r>
      <w:proofErr w:type="spellEnd"/>
      <w:r w:rsidRPr="00DB7D8B">
        <w:rPr>
          <w:rStyle w:val="Emphasis"/>
          <w:rFonts w:ascii="Times New Roman" w:hAnsi="Times New Roman"/>
          <w:sz w:val="24"/>
          <w:szCs w:val="24"/>
        </w:rPr>
        <w:t xml:space="preserve"> v. </w:t>
      </w:r>
      <w:proofErr w:type="spellStart"/>
      <w:r w:rsidRPr="00DB7D8B">
        <w:rPr>
          <w:rStyle w:val="Emphasis"/>
          <w:rFonts w:ascii="Times New Roman" w:hAnsi="Times New Roman"/>
          <w:sz w:val="24"/>
          <w:szCs w:val="24"/>
        </w:rPr>
        <w:t>Dep't</w:t>
      </w:r>
      <w:proofErr w:type="spellEnd"/>
      <w:r w:rsidRPr="00DB7D8B">
        <w:rPr>
          <w:rStyle w:val="Emphasis"/>
          <w:rFonts w:ascii="Times New Roman" w:hAnsi="Times New Roman"/>
          <w:sz w:val="24"/>
          <w:szCs w:val="24"/>
        </w:rPr>
        <w:t xml:space="preserve"> of Lab. &amp; Indus.</w:t>
      </w:r>
      <w:r w:rsidRPr="00DB7D8B">
        <w:rPr>
          <w:rFonts w:ascii="Times New Roman" w:hAnsi="Times New Roman"/>
          <w:sz w:val="24"/>
          <w:szCs w:val="24"/>
        </w:rPr>
        <w:t xml:space="preserve">, 4 A.3d 215, 224 (Pa. </w:t>
      </w:r>
      <w:proofErr w:type="spellStart"/>
      <w:r w:rsidRPr="00DB7D8B">
        <w:rPr>
          <w:rFonts w:ascii="Times New Roman" w:hAnsi="Times New Roman"/>
          <w:sz w:val="24"/>
          <w:szCs w:val="24"/>
        </w:rPr>
        <w:t>Cmwlth</w:t>
      </w:r>
      <w:proofErr w:type="spellEnd"/>
      <w:r w:rsidRPr="00DB7D8B">
        <w:rPr>
          <w:rFonts w:ascii="Times New Roman" w:hAnsi="Times New Roman"/>
          <w:sz w:val="24"/>
          <w:szCs w:val="24"/>
        </w:rPr>
        <w:t xml:space="preserve">. 2010); </w:t>
      </w:r>
      <w:r w:rsidRPr="00DB7D8B">
        <w:rPr>
          <w:rStyle w:val="Emphasis"/>
          <w:rFonts w:ascii="Times New Roman" w:hAnsi="Times New Roman"/>
          <w:sz w:val="24"/>
          <w:szCs w:val="24"/>
        </w:rPr>
        <w:t>see also Protz</w:t>
      </w:r>
      <w:r w:rsidRPr="00DB7D8B">
        <w:rPr>
          <w:rFonts w:ascii="Times New Roman" w:hAnsi="Times New Roman"/>
          <w:sz w:val="24"/>
          <w:szCs w:val="24"/>
        </w:rPr>
        <w:t>.</w:t>
      </w:r>
      <w:r>
        <w:rPr>
          <w:rFonts w:ascii="Times New Roman" w:hAnsi="Times New Roman"/>
          <w:sz w:val="24"/>
          <w:szCs w:val="24"/>
        </w:rPr>
        <w:t>”</w:t>
      </w:r>
      <w:r w:rsidRPr="00DB7D8B">
        <w:t xml:space="preserve"> </w:t>
      </w:r>
      <w:hyperlink r:id="rId513" w:history="1">
        <w:r w:rsidRPr="0003518A">
          <w:rPr>
            <w:rStyle w:val="Hyperlink"/>
            <w:sz w:val="24"/>
            <w:szCs w:val="24"/>
          </w:rPr>
          <w:t>https://casetext.com/case/city-of-philadelphia-v-healey</w:t>
        </w:r>
      </w:hyperlink>
      <w:r w:rsidRPr="0003518A">
        <w:rPr>
          <w:rFonts w:ascii="Times New Roman" w:hAnsi="Times New Roman"/>
          <w:sz w:val="24"/>
          <w:szCs w:val="24"/>
        </w:rPr>
        <w:t xml:space="preserve"> </w:t>
      </w:r>
    </w:p>
    <w:p w14:paraId="7775C6CC" w14:textId="77777777" w:rsidR="00FE60DA" w:rsidRPr="00726ADA" w:rsidRDefault="00FE60DA" w:rsidP="00FE60DA">
      <w:pPr>
        <w:spacing w:before="100" w:beforeAutospacing="1" w:after="100" w:afterAutospacing="1" w:line="240" w:lineRule="auto"/>
        <w:rPr>
          <w:rFonts w:ascii="Times New Roman" w:hAnsi="Times New Roman"/>
          <w:b/>
          <w:bCs/>
          <w:sz w:val="24"/>
          <w:szCs w:val="24"/>
        </w:rPr>
      </w:pPr>
      <w:r w:rsidRPr="00726ADA">
        <w:rPr>
          <w:rFonts w:ascii="Times New Roman" w:hAnsi="Times New Roman"/>
          <w:b/>
          <w:bCs/>
          <w:sz w:val="24"/>
          <w:szCs w:val="24"/>
        </w:rPr>
        <w:t xml:space="preserve">Legal Lesson Learned: </w:t>
      </w:r>
      <w:r>
        <w:rPr>
          <w:rFonts w:ascii="Times New Roman" w:hAnsi="Times New Roman"/>
          <w:b/>
          <w:bCs/>
          <w:sz w:val="24"/>
          <w:szCs w:val="24"/>
        </w:rPr>
        <w:t xml:space="preserve">It’s amazing what “weak” arguments employer’s workers comp. representatives sometimes make to avoid liability. </w:t>
      </w:r>
    </w:p>
    <w:p w14:paraId="1462041B" w14:textId="77777777" w:rsidR="00FE60DA" w:rsidRPr="00FE60DA" w:rsidRDefault="00FE60DA" w:rsidP="00853142">
      <w:pPr>
        <w:rPr>
          <w:rFonts w:ascii="Arial Black" w:hAnsi="Arial Black"/>
          <w:b/>
          <w:bCs/>
          <w:sz w:val="24"/>
          <w:szCs w:val="24"/>
        </w:rPr>
      </w:pPr>
    </w:p>
    <w:p w14:paraId="0465755D" w14:textId="77777777" w:rsidR="00FE60DA" w:rsidRDefault="00FE60DA" w:rsidP="00853142">
      <w:pPr>
        <w:rPr>
          <w:rFonts w:ascii="Arial Black" w:hAnsi="Arial Black"/>
          <w:sz w:val="24"/>
          <w:szCs w:val="24"/>
        </w:rPr>
      </w:pPr>
    </w:p>
    <w:p w14:paraId="0E7E6A53" w14:textId="77777777" w:rsidR="00FE60DA" w:rsidRDefault="00FE60DA" w:rsidP="00853142">
      <w:pPr>
        <w:rPr>
          <w:rFonts w:ascii="Arial Black" w:hAnsi="Arial Black"/>
          <w:sz w:val="24"/>
          <w:szCs w:val="24"/>
        </w:rPr>
      </w:pPr>
    </w:p>
    <w:p w14:paraId="119A4B9B" w14:textId="3FC4B487" w:rsidR="00DC17BF" w:rsidRPr="00DC17BF" w:rsidRDefault="00DC17BF" w:rsidP="00853142">
      <w:pPr>
        <w:rPr>
          <w:rFonts w:ascii="Arial Black" w:hAnsi="Arial Black"/>
          <w:sz w:val="24"/>
          <w:szCs w:val="24"/>
        </w:rPr>
      </w:pPr>
      <w:r w:rsidRPr="00DC17BF">
        <w:rPr>
          <w:rFonts w:ascii="Arial Black" w:hAnsi="Arial Black"/>
          <w:sz w:val="24"/>
          <w:szCs w:val="24"/>
        </w:rPr>
        <w:t>2-5</w:t>
      </w:r>
      <w:r w:rsidR="00BB73D4">
        <w:rPr>
          <w:rFonts w:ascii="Arial Black" w:hAnsi="Arial Black"/>
          <w:sz w:val="24"/>
          <w:szCs w:val="24"/>
        </w:rPr>
        <w:t>4</w:t>
      </w:r>
    </w:p>
    <w:p w14:paraId="58CC1446" w14:textId="77777777" w:rsidR="00DC17BF" w:rsidRPr="007B16B3" w:rsidRDefault="00DC17BF" w:rsidP="00DC17BF">
      <w:pPr>
        <w:pStyle w:val="NormalWeb"/>
        <w:rPr>
          <w:rFonts w:ascii="Arial Black" w:hAnsi="Arial Black"/>
          <w:b/>
          <w:bCs/>
          <w:sz w:val="28"/>
          <w:szCs w:val="28"/>
        </w:rPr>
      </w:pPr>
      <w:bookmarkStart w:id="92" w:name="_Hlk136858036"/>
      <w:r>
        <w:rPr>
          <w:rFonts w:ascii="Arial Black" w:hAnsi="Arial Black"/>
          <w:b/>
          <w:bCs/>
          <w:sz w:val="28"/>
          <w:szCs w:val="28"/>
        </w:rPr>
        <w:t>IL: FF CANCER - LINE-OF-DUTY DISABILTY PENSION WITH HEALTH INSURANCE - EVEN OFF-DUTY JOBS EXPOSURES</w:t>
      </w:r>
    </w:p>
    <w:bookmarkEnd w:id="92"/>
    <w:p w14:paraId="28329D85" w14:textId="77777777" w:rsidR="00DC17BF" w:rsidRPr="00DC17BF" w:rsidRDefault="00DC17BF" w:rsidP="00DC17BF">
      <w:pPr>
        <w:pStyle w:val="NormalWeb"/>
      </w:pPr>
      <w:r w:rsidRPr="00DC17BF">
        <w:t xml:space="preserve">On May 22, 2023, in </w:t>
      </w:r>
      <w:r w:rsidRPr="00DC17BF">
        <w:rPr>
          <w:u w:val="single"/>
        </w:rPr>
        <w:t xml:space="preserve">James </w:t>
      </w:r>
      <w:proofErr w:type="spellStart"/>
      <w:r w:rsidRPr="00DC17BF">
        <w:rPr>
          <w:u w:val="single"/>
        </w:rPr>
        <w:t>Ivetic</w:t>
      </w:r>
      <w:proofErr w:type="spellEnd"/>
      <w:r w:rsidRPr="00DC17BF">
        <w:rPr>
          <w:u w:val="single"/>
        </w:rPr>
        <w:t xml:space="preserve"> et al. v. The Bensenville Fire Protection District No. 2</w:t>
      </w:r>
      <w:r w:rsidRPr="00DC17BF">
        <w:t xml:space="preserve">, the Court of Appeals of Illinois, First District, First Division, held (3 to 0) that the firefighter and his wife were entitled to health insurance premium benefits.  The Court wrote: </w:t>
      </w:r>
    </w:p>
    <w:p w14:paraId="1E7E4B07" w14:textId="38D1B3DC" w:rsidR="00DC17BF" w:rsidRDefault="00DC17BF" w:rsidP="00DC17BF">
      <w:pPr>
        <w:pStyle w:val="NoSpacing"/>
        <w:rPr>
          <w:rStyle w:val="Hyperlink"/>
          <w:rFonts w:ascii="Times New Roman" w:eastAsiaTheme="majorEastAsia" w:hAnsi="Times New Roman"/>
          <w:sz w:val="24"/>
          <w:szCs w:val="24"/>
        </w:rPr>
      </w:pPr>
      <w:r w:rsidRPr="00DC17BF">
        <w:rPr>
          <w:rFonts w:ascii="Times New Roman" w:hAnsi="Times New Roman"/>
          <w:sz w:val="24"/>
          <w:szCs w:val="24"/>
        </w:rPr>
        <w:t xml:space="preserve">“The Pension Board held a hearing on James' pension application beginning on September 18, 2015. The evidence showed that James worked at a restaurant and a grocery store prior to becoming a firefighter. Additionally, during his career as a firefighter, James worked </w:t>
      </w:r>
      <w:proofErr w:type="gramStart"/>
      <w:r w:rsidRPr="00DC17BF">
        <w:rPr>
          <w:rFonts w:ascii="Times New Roman" w:hAnsi="Times New Roman"/>
          <w:sz w:val="24"/>
          <w:szCs w:val="24"/>
        </w:rPr>
        <w:t>a number of</w:t>
      </w:r>
      <w:proofErr w:type="gramEnd"/>
      <w:r w:rsidRPr="00DC17BF">
        <w:rPr>
          <w:rFonts w:ascii="Times New Roman" w:hAnsi="Times New Roman"/>
          <w:sz w:val="24"/>
          <w:szCs w:val="24"/>
        </w:rPr>
        <w:t xml:space="preserve"> part-time jobs, including being taxi and truck drivers and remodeling homes. James admitted that he was likely exposed to some chemicals from his part-time jobs, like oil-based paints and wallpaper removing chemicals. *** Here, the District essentially argues that James cannot satisfy the emergency prong of section 10 because there was no evidence of a direct cause of his cancer. Stated differently, </w:t>
      </w:r>
      <w:proofErr w:type="gramStart"/>
      <w:r w:rsidRPr="00DC17BF">
        <w:rPr>
          <w:rFonts w:ascii="Times New Roman" w:hAnsi="Times New Roman"/>
          <w:sz w:val="24"/>
          <w:szCs w:val="24"/>
        </w:rPr>
        <w:t>in order to</w:t>
      </w:r>
      <w:proofErr w:type="gramEnd"/>
      <w:r w:rsidRPr="00DC17BF">
        <w:rPr>
          <w:rFonts w:ascii="Times New Roman" w:hAnsi="Times New Roman"/>
          <w:sz w:val="24"/>
          <w:szCs w:val="24"/>
        </w:rPr>
        <w:t xml:space="preserve"> recover benefits under the Act, James had to prove that his injury was received during an emergency response and that it was the sole cause of his cancer. This argument, however, ignores </w:t>
      </w:r>
      <w:proofErr w:type="gramStart"/>
      <w:r w:rsidRPr="00DC17BF">
        <w:rPr>
          <w:rFonts w:ascii="Times New Roman" w:hAnsi="Times New Roman"/>
          <w:sz w:val="24"/>
          <w:szCs w:val="24"/>
        </w:rPr>
        <w:t xml:space="preserve">that ‘[a]n </w:t>
      </w:r>
      <w:proofErr w:type="gramEnd"/>
      <w:r w:rsidRPr="00DC17BF">
        <w:rPr>
          <w:rFonts w:ascii="Times New Roman" w:hAnsi="Times New Roman"/>
          <w:sz w:val="24"/>
          <w:szCs w:val="24"/>
        </w:rPr>
        <w:t xml:space="preserve">injury may have more than one proximate cause.’ (Internal quotation marks omitted.) </w:t>
      </w:r>
      <w:r w:rsidRPr="00DC17BF">
        <w:rPr>
          <w:rStyle w:val="Emphasis"/>
          <w:rFonts w:ascii="Times New Roman" w:hAnsi="Times New Roman"/>
          <w:sz w:val="24"/>
          <w:szCs w:val="24"/>
        </w:rPr>
        <w:t>Richter v. Village of Oak Brook</w:t>
      </w:r>
      <w:r w:rsidRPr="00DC17BF">
        <w:rPr>
          <w:rFonts w:ascii="Times New Roman" w:hAnsi="Times New Roman"/>
          <w:sz w:val="24"/>
          <w:szCs w:val="24"/>
        </w:rPr>
        <w:t xml:space="preserve">, 2011 IL App (2d) 100114, ¶ 21. Under Illinois law, proximate cause is defined as a cause that, in the natural or ordinary course of events, produced the plaintiff's injury, but a cause need not be the only, last, or nearest cause; rather, the combination of multiple causes may result in the injury.” </w:t>
      </w:r>
      <w:hyperlink r:id="rId514" w:history="1">
        <w:r w:rsidRPr="00DC17BF">
          <w:rPr>
            <w:rStyle w:val="Hyperlink"/>
            <w:rFonts w:ascii="Times New Roman" w:eastAsiaTheme="majorEastAsia" w:hAnsi="Times New Roman"/>
            <w:sz w:val="24"/>
            <w:szCs w:val="24"/>
          </w:rPr>
          <w:t>https://public.fastcase.com/ZZhmr5v9wN%2FXOe5IsQ%2FqDy4piE023A%2FvmSBZ1OCyQDEvBrcypTxV</w:t>
        </w:r>
        <w:r w:rsidRPr="00DC17BF">
          <w:rPr>
            <w:rStyle w:val="Hyperlink"/>
            <w:rFonts w:ascii="Times New Roman" w:eastAsiaTheme="majorEastAsia" w:hAnsi="Times New Roman"/>
            <w:sz w:val="24"/>
            <w:szCs w:val="24"/>
          </w:rPr>
          <w:lastRenderedPageBreak/>
          <w:t>YbDuh3sY1MRUTGEZ3quKqv94bkTO%2F3v9wUJnk5dj4IB3vpOq4w%2BY%2Blk%3D?utm_medium=email&amp;_hsmi=226712652&amp;_hsenc=p2ANqtz-8dDlTMCBDdR7Y6gBwCrwIFOUd7uQb6M2Q9eK5s_ERy0q0NLXHPkcRz9CocUT1WV-MgV98KLfaLWIoQPZBtf1lJjMQcjw&amp;utm_content=226712652&amp;utm_source=hs_email</w:t>
        </w:r>
      </w:hyperlink>
    </w:p>
    <w:p w14:paraId="04E691BD" w14:textId="77777777" w:rsidR="00DC17BF" w:rsidRDefault="00DC17BF" w:rsidP="00DC17BF">
      <w:pPr>
        <w:pStyle w:val="NoSpacing"/>
        <w:rPr>
          <w:rStyle w:val="Hyperlink"/>
          <w:rFonts w:ascii="Times New Roman" w:eastAsiaTheme="majorEastAsia" w:hAnsi="Times New Roman"/>
          <w:sz w:val="24"/>
          <w:szCs w:val="24"/>
        </w:rPr>
      </w:pPr>
    </w:p>
    <w:p w14:paraId="6BFCE5CF" w14:textId="77777777" w:rsidR="00DC17BF" w:rsidRPr="00287115" w:rsidRDefault="00DC17BF" w:rsidP="00DC17BF">
      <w:pPr>
        <w:pStyle w:val="NormalWeb"/>
        <w:rPr>
          <w:b/>
          <w:bCs/>
        </w:rPr>
      </w:pPr>
      <w:r w:rsidRPr="00287115">
        <w:rPr>
          <w:b/>
          <w:bCs/>
        </w:rPr>
        <w:t xml:space="preserve">Legal Lesson Learned: Under Illinois statute, and case law, there is no requirement that </w:t>
      </w:r>
      <w:proofErr w:type="gramStart"/>
      <w:r w:rsidRPr="00287115">
        <w:rPr>
          <w:b/>
          <w:bCs/>
        </w:rPr>
        <w:t>firefighter</w:t>
      </w:r>
      <w:proofErr w:type="gramEnd"/>
      <w:r w:rsidRPr="00287115">
        <w:rPr>
          <w:b/>
          <w:bCs/>
        </w:rPr>
        <w:t xml:space="preserve"> prove a specific emergency run was the cause of cancer. </w:t>
      </w:r>
    </w:p>
    <w:p w14:paraId="6A0C1134" w14:textId="77777777" w:rsidR="00DC17BF" w:rsidRPr="00DC17BF" w:rsidRDefault="00DC17BF" w:rsidP="00DC17BF">
      <w:pPr>
        <w:pStyle w:val="NoSpacing"/>
        <w:rPr>
          <w:rFonts w:ascii="Times New Roman" w:hAnsi="Times New Roman"/>
          <w:sz w:val="24"/>
          <w:szCs w:val="24"/>
        </w:rPr>
      </w:pPr>
    </w:p>
    <w:p w14:paraId="20756D90" w14:textId="77777777" w:rsidR="00DC17BF" w:rsidRDefault="00DC17BF" w:rsidP="00EF1133">
      <w:pPr>
        <w:pStyle w:val="NoSpacing"/>
        <w:rPr>
          <w:rFonts w:ascii="Arial Black" w:hAnsi="Arial Black"/>
          <w:sz w:val="24"/>
          <w:szCs w:val="24"/>
        </w:rPr>
      </w:pPr>
    </w:p>
    <w:p w14:paraId="69AEBD4D" w14:textId="41BFFDA8" w:rsidR="007A0E71" w:rsidRDefault="007A0E71" w:rsidP="00EF1133">
      <w:pPr>
        <w:pStyle w:val="NoSpacing"/>
        <w:rPr>
          <w:rFonts w:ascii="Arial Black" w:hAnsi="Arial Black"/>
          <w:sz w:val="24"/>
          <w:szCs w:val="24"/>
        </w:rPr>
      </w:pPr>
      <w:r>
        <w:rPr>
          <w:rFonts w:ascii="Arial Black" w:hAnsi="Arial Black"/>
          <w:sz w:val="24"/>
          <w:szCs w:val="24"/>
        </w:rPr>
        <w:t>2-5</w:t>
      </w:r>
      <w:r w:rsidR="00BB73D4">
        <w:rPr>
          <w:rFonts w:ascii="Arial Black" w:hAnsi="Arial Black"/>
          <w:sz w:val="24"/>
          <w:szCs w:val="24"/>
        </w:rPr>
        <w:t>3</w:t>
      </w:r>
    </w:p>
    <w:p w14:paraId="2035D518" w14:textId="77777777" w:rsidR="007A0E71" w:rsidRPr="00B8618D" w:rsidRDefault="007A0E71" w:rsidP="007A0E71">
      <w:pPr>
        <w:pStyle w:val="NormalWeb"/>
        <w:rPr>
          <w:rFonts w:ascii="Arial Black" w:hAnsi="Arial Black"/>
          <w:sz w:val="28"/>
          <w:szCs w:val="28"/>
        </w:rPr>
      </w:pPr>
      <w:r>
        <w:rPr>
          <w:rFonts w:ascii="Arial Black" w:hAnsi="Arial Black"/>
          <w:sz w:val="28"/>
          <w:szCs w:val="28"/>
        </w:rPr>
        <w:t>WV (4/10.2023) – VOL. FF WATERTAKER LOST CONTROL – DIED – WIFE DEATH BENEFITS – CARDIAC NOT PROVEN</w:t>
      </w:r>
    </w:p>
    <w:p w14:paraId="4C3CCC4A" w14:textId="77777777" w:rsidR="007A0E71" w:rsidRPr="008D3008" w:rsidRDefault="007A0E71" w:rsidP="007A0E71">
      <w:pPr>
        <w:pStyle w:val="NormalWeb"/>
      </w:pPr>
      <w:r w:rsidRPr="008D3008">
        <w:rPr>
          <w:u w:val="single"/>
        </w:rPr>
        <w:t>Clover-Roane Volunteer Fire Department v. Sarah Horwich, dependent of Mark Horwich</w:t>
      </w:r>
      <w:r w:rsidRPr="008D3008">
        <w:t>, Intermediate Court of Appeals of West Virginia</w:t>
      </w:r>
      <w:r>
        <w:t xml:space="preserve">. </w:t>
      </w:r>
      <w:hyperlink r:id="rId515" w:history="1">
        <w:r w:rsidRPr="003E63F4">
          <w:rPr>
            <w:rStyle w:val="Hyperlink"/>
            <w:rFonts w:eastAsiaTheme="majorEastAsia"/>
          </w:rPr>
          <w:t>http://courtswv.gov/Intermediate-Court/memo-decisions/Spring2023/22-ICA-216%20md.pdf</w:t>
        </w:r>
      </w:hyperlink>
      <w:r>
        <w:t xml:space="preserve"> </w:t>
      </w:r>
    </w:p>
    <w:p w14:paraId="2BE20572" w14:textId="77777777" w:rsidR="007A0E71" w:rsidRPr="00B8618D" w:rsidRDefault="007A0E71" w:rsidP="007A0E71">
      <w:pPr>
        <w:pStyle w:val="NormalWeb"/>
        <w:rPr>
          <w:b/>
          <w:bCs/>
        </w:rPr>
      </w:pPr>
      <w:r w:rsidRPr="00B8618D">
        <w:rPr>
          <w:b/>
          <w:bCs/>
        </w:rPr>
        <w:t xml:space="preserve">Legal Lesson Learned: Courts will not overturn Workers Comp Board unless decision is clearly wrong. </w:t>
      </w:r>
    </w:p>
    <w:p w14:paraId="6C07B3BC" w14:textId="18F7ADE6" w:rsidR="007A0E71" w:rsidRDefault="007A0E71" w:rsidP="007A0E71">
      <w:pPr>
        <w:pStyle w:val="NoSpacing"/>
        <w:rPr>
          <w:rFonts w:ascii="Arial Black" w:hAnsi="Arial Black"/>
          <w:sz w:val="24"/>
          <w:szCs w:val="24"/>
        </w:rPr>
      </w:pPr>
      <w:r w:rsidRPr="00941D1F">
        <w:rPr>
          <w:sz w:val="24"/>
          <w:szCs w:val="24"/>
        </w:rPr>
        <w:t xml:space="preserve">Note: See Jan. 13, </w:t>
      </w:r>
      <w:proofErr w:type="gramStart"/>
      <w:r w:rsidRPr="00941D1F">
        <w:rPr>
          <w:sz w:val="24"/>
          <w:szCs w:val="24"/>
        </w:rPr>
        <w:t>2020</w:t>
      </w:r>
      <w:proofErr w:type="gramEnd"/>
      <w:r w:rsidRPr="00941D1F">
        <w:rPr>
          <w:sz w:val="24"/>
          <w:szCs w:val="24"/>
        </w:rPr>
        <w:t xml:space="preserve"> article, </w:t>
      </w:r>
      <w:r>
        <w:rPr>
          <w:sz w:val="24"/>
          <w:szCs w:val="24"/>
        </w:rPr>
        <w:t>“</w:t>
      </w:r>
      <w:r w:rsidRPr="00941D1F">
        <w:rPr>
          <w:sz w:val="24"/>
          <w:szCs w:val="24"/>
        </w:rPr>
        <w:t>West Virginia firefighter killed in crash while responding to fire.</w:t>
      </w:r>
      <w:r>
        <w:rPr>
          <w:sz w:val="24"/>
          <w:szCs w:val="24"/>
        </w:rPr>
        <w:t xml:space="preserve">” </w:t>
      </w:r>
      <w:hyperlink r:id="rId516" w:history="1">
        <w:r w:rsidRPr="00297A44">
          <w:rPr>
            <w:rStyle w:val="Hyperlink"/>
            <w:sz w:val="24"/>
            <w:szCs w:val="24"/>
          </w:rPr>
          <w:t>https://www.whsv.com/content/news/West-Virginia-firefighter-killed-in-crash-while-responding-to-fire-566946181.html</w:t>
        </w:r>
      </w:hyperlink>
    </w:p>
    <w:p w14:paraId="1488CA4B" w14:textId="77777777" w:rsidR="007A0E71" w:rsidRDefault="007A0E71" w:rsidP="00EF1133">
      <w:pPr>
        <w:pStyle w:val="NoSpacing"/>
        <w:rPr>
          <w:rFonts w:ascii="Arial Black" w:hAnsi="Arial Black"/>
          <w:sz w:val="24"/>
          <w:szCs w:val="24"/>
        </w:rPr>
      </w:pPr>
    </w:p>
    <w:p w14:paraId="129D718C" w14:textId="4081601C" w:rsidR="007959C9" w:rsidRDefault="00AB637D" w:rsidP="00EF1133">
      <w:pPr>
        <w:pStyle w:val="NoSpacing"/>
        <w:rPr>
          <w:rFonts w:ascii="Arial Black" w:hAnsi="Arial Black"/>
          <w:sz w:val="24"/>
          <w:szCs w:val="24"/>
        </w:rPr>
      </w:pPr>
      <w:r>
        <w:rPr>
          <w:rFonts w:ascii="Arial Black" w:hAnsi="Arial Black"/>
          <w:sz w:val="24"/>
          <w:szCs w:val="24"/>
        </w:rPr>
        <w:t>2-5</w:t>
      </w:r>
      <w:r w:rsidR="00BB73D4">
        <w:rPr>
          <w:rFonts w:ascii="Arial Black" w:hAnsi="Arial Black"/>
          <w:sz w:val="24"/>
          <w:szCs w:val="24"/>
        </w:rPr>
        <w:t>2</w:t>
      </w:r>
    </w:p>
    <w:p w14:paraId="23D2A18D" w14:textId="7C25644F" w:rsidR="00AB637D" w:rsidRDefault="00AB637D" w:rsidP="00EF1133">
      <w:pPr>
        <w:pStyle w:val="NoSpacing"/>
        <w:rPr>
          <w:rFonts w:ascii="Arial Black" w:hAnsi="Arial Black"/>
          <w:sz w:val="24"/>
          <w:szCs w:val="24"/>
        </w:rPr>
      </w:pPr>
    </w:p>
    <w:p w14:paraId="503A737E" w14:textId="77777777" w:rsidR="00AB637D" w:rsidRPr="00144FC9" w:rsidRDefault="00AB637D" w:rsidP="00AB637D">
      <w:pPr>
        <w:pStyle w:val="Heading1"/>
        <w:rPr>
          <w:rFonts w:ascii="Arial Black" w:hAnsi="Arial Black"/>
          <w:sz w:val="28"/>
          <w:szCs w:val="28"/>
        </w:rPr>
      </w:pPr>
      <w:r>
        <w:rPr>
          <w:rFonts w:ascii="Arial Black" w:hAnsi="Arial Black"/>
          <w:sz w:val="28"/>
          <w:szCs w:val="28"/>
        </w:rPr>
        <w:t>FL: JACKSONVILLE FD - NO BEARD RULE UPHELD – OSHA REQUIREMENT - BLACK FIREFIGHTERS CASE DISMISSED</w:t>
      </w:r>
    </w:p>
    <w:p w14:paraId="6D6D9185" w14:textId="77777777" w:rsidR="00AB637D" w:rsidRDefault="00AB637D" w:rsidP="00AB637D">
      <w:pPr>
        <w:pStyle w:val="Heading1"/>
        <w:rPr>
          <w:b w:val="0"/>
          <w:bCs w:val="0"/>
          <w:sz w:val="24"/>
          <w:szCs w:val="24"/>
        </w:rPr>
      </w:pPr>
      <w:r>
        <w:rPr>
          <w:b w:val="0"/>
          <w:bCs w:val="0"/>
          <w:sz w:val="24"/>
          <w:szCs w:val="24"/>
        </w:rPr>
        <w:t xml:space="preserve">On Jan. 13, 2023, in </w:t>
      </w:r>
      <w:r w:rsidRPr="00144FC9">
        <w:rPr>
          <w:b w:val="0"/>
          <w:bCs w:val="0"/>
          <w:sz w:val="24"/>
          <w:szCs w:val="24"/>
          <w:u w:val="single"/>
        </w:rPr>
        <w:t>Terrance Jones v. City of Jacksonville</w:t>
      </w:r>
      <w:r>
        <w:rPr>
          <w:b w:val="0"/>
          <w:bCs w:val="0"/>
          <w:sz w:val="24"/>
          <w:szCs w:val="24"/>
        </w:rPr>
        <w:t xml:space="preserve">, U.S. District Court Judge Harvey E. Schlesinger granted summary judgment to the City of Jacksonville.  The judge wrote: “Title VII does not require employers to depart from binding federal regulations…. Binding federal {OSHA] regulations present a complete defense…. The OSHA regulation in question strictly prohibits any facial hair between the mask and the wearer’s face. Thus, any proposed alternative involving even a scant amount of facial hair would not be an available </w:t>
      </w:r>
      <w:proofErr w:type="gramStart"/>
      <w:r>
        <w:rPr>
          <w:b w:val="0"/>
          <w:bCs w:val="0"/>
          <w:sz w:val="24"/>
          <w:szCs w:val="24"/>
        </w:rPr>
        <w:t>alternative.”</w:t>
      </w:r>
      <w:proofErr w:type="gramEnd"/>
      <w:r>
        <w:rPr>
          <w:b w:val="0"/>
          <w:bCs w:val="0"/>
          <w:sz w:val="24"/>
          <w:szCs w:val="24"/>
        </w:rPr>
        <w:t xml:space="preserve"> </w:t>
      </w:r>
      <w:hyperlink r:id="rId517" w:history="1">
        <w:r w:rsidRPr="00CE4DCE">
          <w:rPr>
            <w:rStyle w:val="Hyperlink"/>
            <w:rFonts w:eastAsiaTheme="majorEastAsia"/>
            <w:b w:val="0"/>
            <w:bCs w:val="0"/>
            <w:sz w:val="24"/>
            <w:szCs w:val="24"/>
          </w:rPr>
          <w:t>https://www.documentcloud.org/documents/23589006-firefighter-suit-terrance-jones-et-al-v-coj-order-finalizing-case011323</w:t>
        </w:r>
      </w:hyperlink>
      <w:r>
        <w:rPr>
          <w:b w:val="0"/>
          <w:bCs w:val="0"/>
          <w:sz w:val="24"/>
          <w:szCs w:val="24"/>
        </w:rPr>
        <w:t xml:space="preserve"> </w:t>
      </w:r>
    </w:p>
    <w:p w14:paraId="1F7498F9" w14:textId="77777777" w:rsidR="00AB637D" w:rsidRPr="005B4DF7" w:rsidRDefault="00AB637D" w:rsidP="00AB637D">
      <w:pPr>
        <w:pStyle w:val="NormalWeb"/>
      </w:pPr>
      <w:r w:rsidRPr="005B4DF7">
        <w:t xml:space="preserve">See Jan. 31, </w:t>
      </w:r>
      <w:proofErr w:type="gramStart"/>
      <w:r w:rsidRPr="005B4DF7">
        <w:t>2023</w:t>
      </w:r>
      <w:proofErr w:type="gramEnd"/>
      <w:r w:rsidRPr="005B4DF7">
        <w:t xml:space="preserve"> newspaper description of case. “Black firefighters who sued Jacksonville for requiring them to shave lost case.” </w:t>
      </w:r>
      <w:hyperlink r:id="rId518" w:history="1">
        <w:r w:rsidRPr="005B4DF7">
          <w:rPr>
            <w:rStyle w:val="Hyperlink"/>
            <w:rFonts w:eastAsiaTheme="majorEastAsia"/>
          </w:rPr>
          <w:t>https://www.firstcoastnews.com/article/news/local/judge-jacksonville-has-mechanism-to-deviate-from-rule-making-black-firefighters-shave/77-7e962b25-bfed-4f9c-817e-ba6883a1f94b</w:t>
        </w:r>
      </w:hyperlink>
      <w:r w:rsidRPr="005B4DF7">
        <w:t xml:space="preserve"> </w:t>
      </w:r>
    </w:p>
    <w:p w14:paraId="571D5376" w14:textId="77777777" w:rsidR="00AB637D" w:rsidRDefault="00AB637D" w:rsidP="00AB637D">
      <w:pPr>
        <w:pStyle w:val="NormalWeb"/>
        <w:ind w:left="720"/>
      </w:pPr>
      <w:r w:rsidRPr="005B4DF7">
        <w:t>“The firefighters went to court in 2020 arguing the fire department was wrongly burdening Black firefighters by requiring them to be cleanshaven even if they had a condition called </w:t>
      </w:r>
      <w:hyperlink r:id="rId519" w:history="1">
        <w:r w:rsidRPr="005B4DF7">
          <w:rPr>
            <w:rStyle w:val="Hyperlink"/>
            <w:rFonts w:eastAsiaTheme="majorEastAsia"/>
          </w:rPr>
          <w:t>pseudofolliculitis barbae</w:t>
        </w:r>
      </w:hyperlink>
      <w:r w:rsidRPr="005B4DF7">
        <w:t xml:space="preserve">, or PFB, which can involve ingrown hairs, irritated skin and scarring.*** “At issue is whether the city discriminated against plaintiffs when it required firefighters with PFB, which primarily affects </w:t>
      </w:r>
      <w:r w:rsidRPr="005B4DF7">
        <w:lastRenderedPageBreak/>
        <w:t xml:space="preserve">African American men, to be cleanshaven,” U.S. Senior District Judge </w:t>
      </w:r>
      <w:hyperlink r:id="rId520" w:history="1">
        <w:r w:rsidRPr="005B4DF7">
          <w:rPr>
            <w:rStyle w:val="Hyperlink"/>
            <w:rFonts w:eastAsiaTheme="majorEastAsia"/>
          </w:rPr>
          <w:t>Harvey Schlesinger</w:t>
        </w:r>
      </w:hyperlink>
      <w:r w:rsidRPr="005B4DF7">
        <w:t xml:space="preserve"> wrote this month in </w:t>
      </w:r>
      <w:hyperlink r:id="rId521" w:history="1">
        <w:r w:rsidRPr="005B4DF7">
          <w:rPr>
            <w:rStyle w:val="Hyperlink"/>
            <w:rFonts w:eastAsiaTheme="majorEastAsia"/>
          </w:rPr>
          <w:t>an order</w:t>
        </w:r>
      </w:hyperlink>
      <w:r w:rsidRPr="005B4DF7">
        <w:t xml:space="preserve"> that ends the case. Thirty firefighters initially sued, saying they should be allowed to have close-trimmed beards that would be enough to avoid skin inflammation but wouldn’t harm the fit of oxygen masks their jobs require in emergency settings. *** The firefighters had argued the trimmed-bear standard they wanted counted as a “reasonable accommodation” for PFB under the Americans with Disabilities Act, but the ask “is not reasonable within the meaning of the ADA because it is specifically prohibited by a by a binding regulation,” Schlesinger concluded. “The federal regulations do not allow for individual consideration of facial hair,” the judge wrote. “…[I]t prohibits all facial hair. There is no mechanism for the city to deviate.” The city followed the exact accommodation the firefighters were seeking back in </w:t>
      </w:r>
      <w:proofErr w:type="gramStart"/>
      <w:r w:rsidRPr="005B4DF7">
        <w:t>2015, but</w:t>
      </w:r>
      <w:proofErr w:type="gramEnd"/>
      <w:r w:rsidRPr="005B4DF7">
        <w:t xml:space="preserve"> had </w:t>
      </w:r>
      <w:hyperlink r:id="rId522" w:history="1">
        <w:r w:rsidRPr="005B4DF7">
          <w:rPr>
            <w:rStyle w:val="Hyperlink"/>
            <w:rFonts w:eastAsiaTheme="majorEastAsia"/>
          </w:rPr>
          <w:t>backtracked in 2016</w:t>
        </w:r>
      </w:hyperlink>
      <w:r w:rsidRPr="005B4DF7">
        <w:t xml:space="preserve"> after city lawyers said that concession was improper. That had left the firefighters frustrated and confused, leading to attorneys in Jacksonville becoming part of a lengthening list of cities nationwide where rules on firefighter hair were decided by litigation.</w:t>
      </w:r>
      <w:r>
        <w:t>”</w:t>
      </w:r>
    </w:p>
    <w:p w14:paraId="1B17A8E4" w14:textId="77777777" w:rsidR="00AB637D" w:rsidRPr="00CA4868" w:rsidRDefault="00AB637D" w:rsidP="00AB637D">
      <w:pPr>
        <w:pStyle w:val="Heading1"/>
        <w:rPr>
          <w:sz w:val="24"/>
          <w:szCs w:val="24"/>
        </w:rPr>
      </w:pPr>
      <w:r>
        <w:rPr>
          <w:sz w:val="24"/>
          <w:szCs w:val="24"/>
        </w:rPr>
        <w:t xml:space="preserve">Legal Lesson Learned: Fire Departments must follow OSHA regulation. </w:t>
      </w:r>
    </w:p>
    <w:p w14:paraId="41861758" w14:textId="77777777" w:rsidR="00AB637D" w:rsidRDefault="00AB637D" w:rsidP="00EF1133">
      <w:pPr>
        <w:pStyle w:val="NoSpacing"/>
        <w:rPr>
          <w:rFonts w:ascii="Arial Black" w:hAnsi="Arial Black"/>
          <w:sz w:val="24"/>
          <w:szCs w:val="24"/>
        </w:rPr>
      </w:pPr>
    </w:p>
    <w:p w14:paraId="3C32912F" w14:textId="7AF880FA" w:rsidR="00AB637D" w:rsidRDefault="00AB637D" w:rsidP="00EF1133">
      <w:pPr>
        <w:pStyle w:val="NoSpacing"/>
        <w:rPr>
          <w:rFonts w:ascii="Arial Black" w:hAnsi="Arial Black"/>
          <w:sz w:val="24"/>
          <w:szCs w:val="24"/>
        </w:rPr>
      </w:pPr>
    </w:p>
    <w:p w14:paraId="2A78ECE9" w14:textId="77777777" w:rsidR="00AB637D" w:rsidRDefault="00AB637D" w:rsidP="00EF1133">
      <w:pPr>
        <w:pStyle w:val="NoSpacing"/>
        <w:rPr>
          <w:rFonts w:ascii="Arial Black" w:hAnsi="Arial Black"/>
          <w:sz w:val="24"/>
          <w:szCs w:val="24"/>
        </w:rPr>
      </w:pPr>
    </w:p>
    <w:p w14:paraId="1FCCFD10" w14:textId="4BBB8392" w:rsidR="007959C9" w:rsidRDefault="007959C9" w:rsidP="00EF1133">
      <w:pPr>
        <w:pStyle w:val="NoSpacing"/>
        <w:rPr>
          <w:rFonts w:ascii="Arial Black" w:hAnsi="Arial Black"/>
          <w:sz w:val="24"/>
          <w:szCs w:val="24"/>
        </w:rPr>
      </w:pPr>
      <w:r>
        <w:rPr>
          <w:rFonts w:ascii="Arial Black" w:hAnsi="Arial Black"/>
          <w:sz w:val="24"/>
          <w:szCs w:val="24"/>
        </w:rPr>
        <w:t>2-5</w:t>
      </w:r>
      <w:r w:rsidR="00BB73D4">
        <w:rPr>
          <w:rFonts w:ascii="Arial Black" w:hAnsi="Arial Black"/>
          <w:sz w:val="24"/>
          <w:szCs w:val="24"/>
        </w:rPr>
        <w:t>1</w:t>
      </w:r>
    </w:p>
    <w:p w14:paraId="3AE49DA7" w14:textId="77777777" w:rsidR="007959C9" w:rsidRPr="001D5000" w:rsidRDefault="007959C9" w:rsidP="007959C9">
      <w:pPr>
        <w:pStyle w:val="NormalWeb"/>
        <w:rPr>
          <w:rFonts w:ascii="Arial Black" w:hAnsi="Arial Black"/>
          <w:sz w:val="28"/>
          <w:szCs w:val="28"/>
        </w:rPr>
      </w:pPr>
      <w:r>
        <w:rPr>
          <w:rFonts w:ascii="Arial Black" w:hAnsi="Arial Black"/>
          <w:sz w:val="28"/>
          <w:szCs w:val="28"/>
        </w:rPr>
        <w:t>NJ: VOL. FF CLAIMED STRUCK BY CAR – INDICTED FOR INSURANCE FRAUD, NOT GUILTY – BOROUGH IMMUNITY</w:t>
      </w:r>
    </w:p>
    <w:p w14:paraId="6F80F1AC" w14:textId="77777777" w:rsidR="007959C9" w:rsidRDefault="007959C9" w:rsidP="007959C9">
      <w:pPr>
        <w:pStyle w:val="NormalWeb"/>
      </w:pPr>
      <w:r>
        <w:t xml:space="preserve">On Jan. 25, 2023, in </w:t>
      </w:r>
      <w:r w:rsidRPr="009C24E8">
        <w:rPr>
          <w:u w:val="single"/>
        </w:rPr>
        <w:t>Joseph Fehl v. Borough of Allington, et al</w:t>
      </w:r>
      <w:r>
        <w:t xml:space="preserve">., the U.S. Court of Appeals for the Third Circuit (Philadelphia), held (3 to 0) that U.S. District Court properly granted summary judgment to the Borough, its former business administrator, and Police Captain who investigated the claim.  “Drawing all reasonable inferences in Fehl's favor, we see no error in the District Court's analysis. The facts known to Kudlacik at the time of Fehl's arrest provided a sufficient basis to doubt Fehl's credibility and to believe he committed the </w:t>
      </w:r>
      <w:proofErr w:type="gramStart"/>
      <w:r>
        <w:t>charged crimes</w:t>
      </w:r>
      <w:proofErr w:type="gramEnd"/>
      <w:r>
        <w:t xml:space="preserve">. Contrast, for instance, Fehl's statement in his benefits application that he was struck by a car, with the absence of any corroborating physical evidence. Or take Fehl's claim that he suffered nerve damage from the accident-an injury that, according to a responding EMS lieutenant, conflicts with the extent and type of physical harm a victim would typically suffer in a hit-and-run. And Fehl changed his story, first claiming that a vehicle hit him, then conceding that he might have merely tripped and fallen. These facts are sufficient to find probable cause.” </w:t>
      </w:r>
      <w:hyperlink r:id="rId523" w:history="1">
        <w:r w:rsidRPr="001F75F8">
          <w:rPr>
            <w:rStyle w:val="Hyperlink"/>
          </w:rPr>
          <w:t>https://law.justia.com/cases/federal/appellate-courts/ca3/21-3019/21-3019-2023-01-25.html</w:t>
        </w:r>
      </w:hyperlink>
      <w:r>
        <w:t xml:space="preserve"> </w:t>
      </w:r>
    </w:p>
    <w:p w14:paraId="40C443CD" w14:textId="77777777" w:rsidR="007959C9" w:rsidRDefault="007959C9" w:rsidP="007959C9">
      <w:pPr>
        <w:pStyle w:val="NormalWeb"/>
        <w:ind w:left="720"/>
      </w:pPr>
      <w:r>
        <w:t xml:space="preserve">“Fehl served as a volunteer EMT and firefighter for the Borough of Wallington. He filed for worker's compensation, claiming he was "hit by [a] car" during an emergency response. App. 123. Kudlacik </w:t>
      </w:r>
      <w:proofErr w:type="gramStart"/>
      <w:r>
        <w:t>conducted an investigation</w:t>
      </w:r>
      <w:proofErr w:type="gramEnd"/>
      <w:r>
        <w:t xml:space="preserve"> that raised questions about Fehl's story, as it found no physical evidence, no indication of serious injury, and no vehicle matching the description Fehl provided. Nor did video from the scene show any vehicles in the area where the accident allegedly occurred. As a result, Fehl was indicted for criminal insurance fraud and tampering with public records. Following trial, a jury acquitted him of those charges. </w:t>
      </w:r>
    </w:p>
    <w:p w14:paraId="4469F41A" w14:textId="77777777" w:rsidR="007959C9" w:rsidRDefault="007959C9" w:rsidP="007959C9">
      <w:pPr>
        <w:pStyle w:val="NormalWeb"/>
        <w:ind w:left="720"/>
        <w:rPr>
          <w:vertAlign w:val="superscript"/>
        </w:rPr>
      </w:pPr>
      <w:r>
        <w:t>Based on the acquittal, Fehl sued Baginski, Kudlacik, the Borough, and the Bergen County Prosecutor's Office, asserting several claims arising from his arrest and prosecution.</w:t>
      </w:r>
      <w:r>
        <w:rPr>
          <w:vertAlign w:val="superscript"/>
        </w:rPr>
        <w:t xml:space="preserve"> </w:t>
      </w:r>
      <w:r>
        <w:t>The District Court granted the Defendants' motions for summary judgment, concluding their acts were supported by probable cause. Finding no error, we will affirm.</w:t>
      </w:r>
    </w:p>
    <w:p w14:paraId="2FC6611D" w14:textId="77777777" w:rsidR="007959C9" w:rsidRDefault="007959C9" w:rsidP="007959C9">
      <w:pPr>
        <w:pStyle w:val="NormalWeb"/>
        <w:ind w:left="720"/>
        <w:rPr>
          <w:vertAlign w:val="superscript"/>
        </w:rPr>
      </w:pPr>
      <w:r>
        <w:rPr>
          <w:vertAlign w:val="superscript"/>
        </w:rPr>
        <w:t>***</w:t>
      </w:r>
    </w:p>
    <w:p w14:paraId="68885CF1" w14:textId="77777777" w:rsidR="007959C9" w:rsidRDefault="007959C9" w:rsidP="007959C9">
      <w:pPr>
        <w:pStyle w:val="NormalWeb"/>
        <w:ind w:left="720"/>
      </w:pPr>
      <w:r>
        <w:lastRenderedPageBreak/>
        <w:t xml:space="preserve">Guilt in a criminal case must be proven beyond a reasonable doubt, a standard enforced by the rules of evidence. </w:t>
      </w:r>
      <w:r>
        <w:rPr>
          <w:rStyle w:val="Emphasis"/>
        </w:rPr>
        <w:t>Brinegar</w:t>
      </w:r>
      <w:r>
        <w:t xml:space="preserve">, 338 U.S. at 174. But probable cause imposes no such burden on the Government-rather, it demands that police officers find merely a "fair probability" that a crime was committed. </w:t>
      </w:r>
      <w:r>
        <w:rPr>
          <w:rStyle w:val="Emphasis"/>
        </w:rPr>
        <w:t>Dempsey</w:t>
      </w:r>
      <w:r>
        <w:t>, 834 F.3d at 467. That standard was satisfied at the time of Fehl's arrest, and the jury's verdict does not alter that finding.”</w:t>
      </w:r>
    </w:p>
    <w:p w14:paraId="5262675C" w14:textId="77777777" w:rsidR="007959C9" w:rsidRPr="009C24E8" w:rsidRDefault="007959C9" w:rsidP="007959C9">
      <w:pPr>
        <w:pStyle w:val="NormalWeb"/>
        <w:rPr>
          <w:b/>
          <w:bCs/>
        </w:rPr>
      </w:pPr>
      <w:r w:rsidRPr="009C24E8">
        <w:rPr>
          <w:b/>
          <w:bCs/>
        </w:rPr>
        <w:t>Legal Lesson Learned:</w:t>
      </w:r>
      <w:r>
        <w:rPr>
          <w:b/>
          <w:bCs/>
        </w:rPr>
        <w:t xml:space="preserve"> </w:t>
      </w:r>
      <w:proofErr w:type="gramStart"/>
      <w:r>
        <w:rPr>
          <w:b/>
          <w:bCs/>
        </w:rPr>
        <w:t>Workers</w:t>
      </w:r>
      <w:proofErr w:type="gramEnd"/>
      <w:r>
        <w:rPr>
          <w:b/>
          <w:bCs/>
        </w:rPr>
        <w:t xml:space="preserve"> comp claim, unsupported by physical or other evidence, can lead to indictment. </w:t>
      </w:r>
    </w:p>
    <w:p w14:paraId="3FD93D6A" w14:textId="0C15D3E4" w:rsidR="007959C9" w:rsidRDefault="007959C9" w:rsidP="00EF1133">
      <w:pPr>
        <w:pStyle w:val="NoSpacing"/>
        <w:rPr>
          <w:rFonts w:ascii="Arial Black" w:hAnsi="Arial Black"/>
          <w:sz w:val="24"/>
          <w:szCs w:val="24"/>
        </w:rPr>
      </w:pPr>
    </w:p>
    <w:p w14:paraId="7B6165A9" w14:textId="0A384A40" w:rsidR="007959C9" w:rsidRDefault="00A24839" w:rsidP="00EF1133">
      <w:pPr>
        <w:pStyle w:val="NoSpacing"/>
        <w:rPr>
          <w:rFonts w:ascii="Arial Black" w:hAnsi="Arial Black"/>
          <w:sz w:val="24"/>
          <w:szCs w:val="24"/>
        </w:rPr>
      </w:pPr>
      <w:r>
        <w:rPr>
          <w:rFonts w:ascii="Arial Black" w:hAnsi="Arial Black"/>
          <w:sz w:val="24"/>
          <w:szCs w:val="24"/>
        </w:rPr>
        <w:t>2-50</w:t>
      </w:r>
    </w:p>
    <w:p w14:paraId="7D2C3E35" w14:textId="77777777" w:rsidR="0029560A" w:rsidRDefault="0029560A" w:rsidP="0029560A">
      <w:pPr>
        <w:pStyle w:val="NormalWeb"/>
      </w:pPr>
      <w:r>
        <w:rPr>
          <w:rFonts w:ascii="Arial Black" w:hAnsi="Arial Black"/>
          <w:sz w:val="28"/>
          <w:szCs w:val="28"/>
        </w:rPr>
        <w:t>NJ: CAPT. INJURED - HOSE COUPLING OFF HYDRANT – PROBIE ERROR - CAN’T SUE, NO “SHOCK THE CONSCIOUS”</w:t>
      </w:r>
    </w:p>
    <w:p w14:paraId="255B8193" w14:textId="77777777" w:rsidR="0029560A" w:rsidRDefault="0029560A" w:rsidP="0029560A">
      <w:pPr>
        <w:pStyle w:val="NormalWeb"/>
      </w:pPr>
      <w:r>
        <w:t xml:space="preserve">On Jan. 9, 2023, in </w:t>
      </w:r>
      <w:r w:rsidRPr="002851C1">
        <w:rPr>
          <w:u w:val="single"/>
        </w:rPr>
        <w:t>Robert Eckert v. City of Camden</w:t>
      </w:r>
      <w:r>
        <w:t xml:space="preserve">, the Superior Court of New Jersey, Appellate Division, held (3 to 0) that trial court judge properly held that the </w:t>
      </w:r>
      <w:proofErr w:type="gramStart"/>
      <w:r>
        <w:t>Captain’s</w:t>
      </w:r>
      <w:proofErr w:type="gramEnd"/>
      <w:r>
        <w:t xml:space="preserve"> sole remedy is workers comp.  In </w:t>
      </w:r>
      <w:proofErr w:type="gramStart"/>
      <w:r>
        <w:t>May,</w:t>
      </w:r>
      <w:proofErr w:type="gramEnd"/>
      <w:r>
        <w:t xml:space="preserve"> 2017, FD hired 33 probationary FF, and assigned two to each engine company, instead of usual practice of only one.  On Jan. 31, 2018, at a fire scene the </w:t>
      </w:r>
      <w:proofErr w:type="gramStart"/>
      <w:r>
        <w:t>Captain</w:t>
      </w:r>
      <w:proofErr w:type="gramEnd"/>
      <w:r>
        <w:t xml:space="preserve"> was injured when a probationary FF apparently did not properly secure hose to a hydrant and coupling struck him in the head. The Court held: “Plaintiff here contends that it is sufficient to sustain a cause of action under the ‘state-created danger’ doctrine if the state actor acts with ‘willful disregard’ for the safety of another, even if that conduct or inaction does not ‘shock the conscience.’ We reject that argument.” </w:t>
      </w:r>
      <w:hyperlink r:id="rId524" w:history="1">
        <w:r w:rsidRPr="001F75F8">
          <w:rPr>
            <w:rStyle w:val="Hyperlink"/>
          </w:rPr>
          <w:t>https://www.njcourts.gov/sites/default/files/court-opinions/2023/a2431-20.pdf</w:t>
        </w:r>
      </w:hyperlink>
      <w:r>
        <w:t xml:space="preserve"> </w:t>
      </w:r>
    </w:p>
    <w:p w14:paraId="4286A3DE" w14:textId="77777777" w:rsidR="0029560A" w:rsidRDefault="0029560A" w:rsidP="0029560A">
      <w:pPr>
        <w:pStyle w:val="NormalWeb"/>
        <w:ind w:left="720"/>
      </w:pPr>
      <w:r>
        <w:t>“On January 31, 2018, plaintiff Robert Eckert, a captain in the City of Camden's Fire Department (Department), was injured responding to a fire along with two "probationary firefighters," Achabe Quinones and Jose A. Berrios, both recently transferred to plaintiff's fire company. Quinones and Berrios were two of thirty-three probationary firefighters hired in May 2017. In July, the Chief of the Department, Michael Harper, assigned two probationary firefighters to each of eight companies, including plaintiff's company.</w:t>
      </w:r>
    </w:p>
    <w:p w14:paraId="42494FB8" w14:textId="77777777" w:rsidR="0029560A" w:rsidRDefault="0029560A" w:rsidP="0029560A">
      <w:pPr>
        <w:pStyle w:val="NormalWeb"/>
        <w:ind w:left="720"/>
      </w:pPr>
      <w:r>
        <w:t>***</w:t>
      </w:r>
    </w:p>
    <w:p w14:paraId="1184180B" w14:textId="77777777" w:rsidR="0029560A" w:rsidRDefault="0029560A" w:rsidP="0029560A">
      <w:pPr>
        <w:pStyle w:val="NormalWeb"/>
        <w:ind w:left="720"/>
      </w:pPr>
      <w:r>
        <w:t xml:space="preserve">The president of the fire officers' union and captains other than plaintiff complained to Chief Harper about assigning more than one probationary firefighter to a company. Edward Glassman, a Deputy Chief of the Department who retired in 2020, certified that he was aware of </w:t>
      </w:r>
      <w:proofErr w:type="spellStart"/>
      <w:r>
        <w:t>Gforer's</w:t>
      </w:r>
      <w:proofErr w:type="spellEnd"/>
      <w:r>
        <w:t xml:space="preserve"> memorandum [17 years ago, Joseph Gforer, then Deputy Chief of Operations memo wrote that FD make every effort to only assign only one </w:t>
      </w:r>
      <w:proofErr w:type="spellStart"/>
      <w:r>
        <w:t>probie</w:t>
      </w:r>
      <w:proofErr w:type="spellEnd"/>
      <w:r>
        <w:t xml:space="preserve"> per engine company], and Chief Harper knew that captains and other officers in the Department were concerned that assigning two probationary firefighters to a company jeopardized the safety of other firefighters and the public. Glassman also asserted that probationary firefighters did not receive adequate training on ‘Camden-type hydrants.’</w:t>
      </w:r>
    </w:p>
    <w:p w14:paraId="139B1B71" w14:textId="77777777" w:rsidR="0029560A" w:rsidRDefault="0029560A" w:rsidP="0029560A">
      <w:pPr>
        <w:pStyle w:val="NormalWeb"/>
        <w:ind w:left="720"/>
      </w:pPr>
      <w:r>
        <w:t>***</w:t>
      </w:r>
    </w:p>
    <w:p w14:paraId="40786F6E" w14:textId="77777777" w:rsidR="0029560A" w:rsidRDefault="0029560A" w:rsidP="0029560A">
      <w:pPr>
        <w:pStyle w:val="NormalWeb"/>
        <w:ind w:left="720"/>
      </w:pPr>
      <w:r>
        <w:t>{P]</w:t>
      </w:r>
      <w:proofErr w:type="spellStart"/>
      <w:r>
        <w:t>laintiff</w:t>
      </w:r>
      <w:proofErr w:type="spellEnd"/>
      <w:r>
        <w:t xml:space="preserve"> fails to meet the second prong of </w:t>
      </w:r>
      <w:r>
        <w:rPr>
          <w:rStyle w:val="Emphasis"/>
        </w:rPr>
        <w:t>Gormley</w:t>
      </w:r>
      <w:r>
        <w:t xml:space="preserve">'s test because no reasonable factfinder could conclude that when Camden assigned two probationary firefighters to plaintiff's company, it acted with a degree of culpability that shocked the conscience. Conscience-shocking conduct occurs if the state actor intentionally caused unjustifiable harm and never occurs if the harm arose from negligence. </w:t>
      </w:r>
      <w:r>
        <w:rPr>
          <w:rStyle w:val="Emphasis"/>
        </w:rPr>
        <w:t>Id.</w:t>
      </w:r>
      <w:r>
        <w:t xml:space="preserve"> at 102 (citing </w:t>
      </w:r>
      <w:r>
        <w:rPr>
          <w:rStyle w:val="Emphasis"/>
        </w:rPr>
        <w:t>Lewis</w:t>
      </w:r>
      <w:r>
        <w:t>, 523 U.S. at 849). ‘[W]</w:t>
      </w:r>
      <w:proofErr w:type="spellStart"/>
      <w:r>
        <w:t>hether</w:t>
      </w:r>
      <w:proofErr w:type="spellEnd"/>
      <w:r>
        <w:t xml:space="preserve"> conduct is conscience-shocking is a fact-sensitive analysis’ </w:t>
      </w:r>
      <w:r>
        <w:lastRenderedPageBreak/>
        <w:t xml:space="preserve">which depends on ‘whether the officials' conduct is egregious in light of the particular circumstances.’ </w:t>
      </w:r>
      <w:r>
        <w:rPr>
          <w:rStyle w:val="Emphasis"/>
        </w:rPr>
        <w:t>Id.</w:t>
      </w:r>
      <w:r>
        <w:t xml:space="preserve"> at 103 (citing </w:t>
      </w:r>
      <w:r>
        <w:rPr>
          <w:rStyle w:val="Emphasis"/>
        </w:rPr>
        <w:t>Lewis</w:t>
      </w:r>
      <w:r>
        <w:t>, 523 U.S. at 850).”</w:t>
      </w:r>
    </w:p>
    <w:p w14:paraId="67579D55" w14:textId="77777777" w:rsidR="0029560A" w:rsidRPr="00755BF1" w:rsidRDefault="0029560A" w:rsidP="0029560A">
      <w:pPr>
        <w:pStyle w:val="NormalWeb"/>
        <w:rPr>
          <w:b/>
          <w:bCs/>
        </w:rPr>
      </w:pPr>
      <w:r w:rsidRPr="00755BF1">
        <w:rPr>
          <w:b/>
          <w:bCs/>
        </w:rPr>
        <w:t>Legal Lesson Learned:</w:t>
      </w:r>
      <w:r>
        <w:rPr>
          <w:b/>
          <w:bCs/>
        </w:rPr>
        <w:t xml:space="preserve"> In vast majority of firefighter injuries, workers comp is only remedy.</w:t>
      </w:r>
    </w:p>
    <w:p w14:paraId="491AE289" w14:textId="77777777" w:rsidR="007959C9" w:rsidRDefault="007959C9" w:rsidP="00EF1133">
      <w:pPr>
        <w:pStyle w:val="NoSpacing"/>
        <w:rPr>
          <w:rFonts w:ascii="Arial Black" w:hAnsi="Arial Black"/>
          <w:sz w:val="24"/>
          <w:szCs w:val="24"/>
        </w:rPr>
      </w:pPr>
    </w:p>
    <w:p w14:paraId="15440494" w14:textId="77777777" w:rsidR="0029560A" w:rsidRDefault="0029560A" w:rsidP="00EF1133">
      <w:pPr>
        <w:pStyle w:val="NoSpacing"/>
        <w:rPr>
          <w:rFonts w:ascii="Arial Black" w:hAnsi="Arial Black"/>
          <w:sz w:val="24"/>
          <w:szCs w:val="24"/>
        </w:rPr>
      </w:pPr>
    </w:p>
    <w:p w14:paraId="0A29B5B3" w14:textId="77777777" w:rsidR="0029560A" w:rsidRDefault="0029560A" w:rsidP="00EF1133">
      <w:pPr>
        <w:pStyle w:val="NoSpacing"/>
        <w:rPr>
          <w:rFonts w:ascii="Arial Black" w:hAnsi="Arial Black"/>
          <w:sz w:val="24"/>
          <w:szCs w:val="24"/>
        </w:rPr>
      </w:pPr>
    </w:p>
    <w:p w14:paraId="53EB7F7A" w14:textId="6D705996" w:rsidR="00AE32D3" w:rsidRDefault="006C79BE" w:rsidP="00EF1133">
      <w:pPr>
        <w:pStyle w:val="NoSpacing"/>
        <w:rPr>
          <w:rFonts w:ascii="Arial Black" w:hAnsi="Arial Black"/>
          <w:sz w:val="24"/>
          <w:szCs w:val="24"/>
        </w:rPr>
      </w:pPr>
      <w:r>
        <w:rPr>
          <w:rFonts w:ascii="Arial Black" w:hAnsi="Arial Black"/>
          <w:sz w:val="24"/>
          <w:szCs w:val="24"/>
        </w:rPr>
        <w:t>2-49</w:t>
      </w:r>
    </w:p>
    <w:p w14:paraId="45C3D55B" w14:textId="04DCE518" w:rsidR="006C79BE" w:rsidRDefault="006C79BE" w:rsidP="00EF1133">
      <w:pPr>
        <w:pStyle w:val="NoSpacing"/>
        <w:rPr>
          <w:rFonts w:ascii="Arial Black" w:hAnsi="Arial Black"/>
          <w:sz w:val="24"/>
          <w:szCs w:val="24"/>
        </w:rPr>
      </w:pPr>
    </w:p>
    <w:p w14:paraId="576933F7" w14:textId="77777777" w:rsidR="006C79BE" w:rsidRDefault="006C79BE" w:rsidP="006C79BE">
      <w:pPr>
        <w:pStyle w:val="NormalWeb"/>
        <w:rPr>
          <w:rFonts w:ascii="Arial Black" w:hAnsi="Arial Black"/>
          <w:b/>
          <w:bCs/>
          <w:sz w:val="28"/>
          <w:szCs w:val="28"/>
        </w:rPr>
      </w:pPr>
      <w:r>
        <w:rPr>
          <w:rFonts w:ascii="Arial Black" w:hAnsi="Arial Black"/>
          <w:b/>
          <w:bCs/>
          <w:sz w:val="28"/>
          <w:szCs w:val="28"/>
        </w:rPr>
        <w:t>NY: “FIREMAN’S RULE” MODIFIED BY STATUTE – INJURED FDNY FF MAY SUE RESTAURANT IF CODE VIOLATION</w:t>
      </w:r>
    </w:p>
    <w:p w14:paraId="79FB6E88" w14:textId="77777777" w:rsidR="006C79BE" w:rsidRDefault="006C79BE" w:rsidP="006C79BE">
      <w:pPr>
        <w:pStyle w:val="NormalWeb"/>
      </w:pPr>
      <w:r w:rsidRPr="00C40446">
        <w:t xml:space="preserve">On Dec. 1, 2022, </w:t>
      </w:r>
      <w:r>
        <w:t xml:space="preserve">in </w:t>
      </w:r>
      <w:r w:rsidRPr="00C40446">
        <w:rPr>
          <w:u w:val="single"/>
        </w:rPr>
        <w:t>Frank Ruggiero &amp; Amy Ruggiero v. 357-359 Sixth Avenue Associates, LLC, et al</w:t>
      </w:r>
      <w:r>
        <w:t xml:space="preserve">., Judge Paul A. Goetz, Supreme Court, New York County, in unpublished decision, denied the restaurant’s motion for summary judgement.  On Jan. 11, 2019, the firefighter responded to a fire above the hood from the wood stove; the firefighter went to the second floor to check for extensions and injured his </w:t>
      </w:r>
      <w:proofErr w:type="gramStart"/>
      <w:r>
        <w:t>back</w:t>
      </w:r>
      <w:proofErr w:type="gramEnd"/>
      <w:r>
        <w:t xml:space="preserve"> moving the couch in the </w:t>
      </w:r>
      <w:proofErr w:type="gramStart"/>
      <w:r>
        <w:t>second floor</w:t>
      </w:r>
      <w:proofErr w:type="gramEnd"/>
      <w:r>
        <w:t xml:space="preserve"> storage area with a low ceiling.  NY statute allows fire and police to sue if code violation directly or indirectly caused injuries.</w:t>
      </w:r>
    </w:p>
    <w:p w14:paraId="3DCC5583" w14:textId="77777777" w:rsidR="006C79BE" w:rsidRDefault="006C79BE" w:rsidP="006C79BE">
      <w:pPr>
        <w:pStyle w:val="NormalWeb"/>
        <w:ind w:left="720"/>
      </w:pPr>
      <w:r>
        <w:t xml:space="preserve">“[I]t is undisputed that the only reason plaintiff was at the premises and allegedly lifting the couch was to check for the presence of fire in the floorboards, a fire which allegedly resulted from defendant Llama San's violations of the fire code and negligence. Thus, </w:t>
      </w:r>
      <w:proofErr w:type="spellStart"/>
      <w:r>
        <w:t>plaintiffs</w:t>
      </w:r>
      <w:proofErr w:type="spellEnd"/>
      <w:r>
        <w:t xml:space="preserve"> </w:t>
      </w:r>
      <w:proofErr w:type="gramStart"/>
      <w:r>
        <w:t>claims</w:t>
      </w:r>
      <w:proofErr w:type="gramEnd"/>
      <w:r>
        <w:t xml:space="preserve"> for common law negligence and under the more liberal causation standard under General Municipal Law Section 205-a cannot be </w:t>
      </w:r>
      <w:proofErr w:type="gramStart"/>
      <w:r>
        <w:t>dismissed.’’</w:t>
      </w:r>
      <w:proofErr w:type="gramEnd"/>
      <w:r>
        <w:t xml:space="preserve"> </w:t>
      </w:r>
      <w:hyperlink r:id="rId525" w:history="1">
        <w:r w:rsidRPr="006335C7">
          <w:rPr>
            <w:rStyle w:val="Hyperlink"/>
            <w:rFonts w:eastAsiaTheme="majorEastAsia"/>
          </w:rPr>
          <w:t>https://law.justia.com/cases/new-york/other-courts/2022/2022-ny-slip-op-34279-u.html</w:t>
        </w:r>
      </w:hyperlink>
      <w:r>
        <w:t xml:space="preserve">  </w:t>
      </w:r>
    </w:p>
    <w:p w14:paraId="6D44FD47" w14:textId="77777777" w:rsidR="006C79BE" w:rsidRPr="00923166" w:rsidRDefault="006C79BE" w:rsidP="006C79BE">
      <w:pPr>
        <w:pStyle w:val="NoSpacing"/>
        <w:rPr>
          <w:rFonts w:ascii="Times New Roman" w:hAnsi="Times New Roman"/>
          <w:b/>
          <w:bCs/>
          <w:sz w:val="24"/>
          <w:szCs w:val="24"/>
        </w:rPr>
      </w:pPr>
      <w:r w:rsidRPr="00923166">
        <w:rPr>
          <w:rFonts w:ascii="Times New Roman" w:hAnsi="Times New Roman"/>
          <w:b/>
          <w:bCs/>
          <w:sz w:val="24"/>
          <w:szCs w:val="24"/>
        </w:rPr>
        <w:t>Legal Lessons Learned:</w:t>
      </w:r>
      <w:r>
        <w:rPr>
          <w:rFonts w:ascii="Times New Roman" w:hAnsi="Times New Roman"/>
          <w:b/>
          <w:bCs/>
          <w:sz w:val="24"/>
          <w:szCs w:val="24"/>
        </w:rPr>
        <w:t xml:space="preserve"> Some states like Florida have completely abolished the Fireman’s Rule, while other states like Ohio have not modified or abolished it. </w:t>
      </w:r>
    </w:p>
    <w:p w14:paraId="294D85D0" w14:textId="1E1349F7" w:rsidR="006C79BE" w:rsidRDefault="006C79BE" w:rsidP="00EF1133">
      <w:pPr>
        <w:pStyle w:val="NoSpacing"/>
        <w:rPr>
          <w:rFonts w:ascii="Arial Black" w:hAnsi="Arial Black"/>
          <w:sz w:val="24"/>
          <w:szCs w:val="24"/>
        </w:rPr>
      </w:pPr>
    </w:p>
    <w:p w14:paraId="6509548E" w14:textId="77777777" w:rsidR="006C79BE" w:rsidRDefault="006C79BE" w:rsidP="00EF1133">
      <w:pPr>
        <w:pStyle w:val="NoSpacing"/>
        <w:rPr>
          <w:rFonts w:ascii="Arial Black" w:hAnsi="Arial Black"/>
          <w:sz w:val="24"/>
          <w:szCs w:val="24"/>
        </w:rPr>
      </w:pPr>
    </w:p>
    <w:p w14:paraId="17B03534" w14:textId="77777777" w:rsidR="00AE32D3" w:rsidRDefault="00AE32D3" w:rsidP="00EF1133">
      <w:pPr>
        <w:pStyle w:val="NoSpacing"/>
        <w:rPr>
          <w:rFonts w:ascii="Arial Black" w:hAnsi="Arial Black"/>
          <w:sz w:val="24"/>
          <w:szCs w:val="24"/>
        </w:rPr>
      </w:pPr>
    </w:p>
    <w:p w14:paraId="3BF41A32" w14:textId="45A275E8" w:rsidR="00AE32D3" w:rsidRDefault="00AE32D3" w:rsidP="00EF1133">
      <w:pPr>
        <w:pStyle w:val="NoSpacing"/>
        <w:rPr>
          <w:rFonts w:ascii="Arial Black" w:hAnsi="Arial Black"/>
          <w:sz w:val="24"/>
          <w:szCs w:val="24"/>
        </w:rPr>
      </w:pPr>
      <w:r>
        <w:rPr>
          <w:rFonts w:ascii="Arial Black" w:hAnsi="Arial Black"/>
          <w:sz w:val="24"/>
          <w:szCs w:val="24"/>
        </w:rPr>
        <w:t>2-48</w:t>
      </w:r>
    </w:p>
    <w:p w14:paraId="660E1923" w14:textId="77777777" w:rsidR="00AE32D3" w:rsidRDefault="00AE32D3" w:rsidP="00EF1133">
      <w:pPr>
        <w:pStyle w:val="NoSpacing"/>
        <w:rPr>
          <w:rFonts w:ascii="Arial Black" w:hAnsi="Arial Black"/>
          <w:sz w:val="24"/>
          <w:szCs w:val="24"/>
        </w:rPr>
      </w:pPr>
    </w:p>
    <w:p w14:paraId="38B3B30D" w14:textId="77777777" w:rsidR="00AE32D3" w:rsidRPr="001E1C4B" w:rsidRDefault="00AE32D3" w:rsidP="00AE32D3">
      <w:pPr>
        <w:pStyle w:val="NormalWeb"/>
        <w:rPr>
          <w:rFonts w:ascii="Arial Black" w:hAnsi="Arial Black"/>
          <w:b/>
          <w:bCs/>
          <w:sz w:val="28"/>
          <w:szCs w:val="28"/>
        </w:rPr>
      </w:pPr>
      <w:r>
        <w:rPr>
          <w:rFonts w:ascii="Arial Black" w:hAnsi="Arial Black"/>
          <w:b/>
          <w:bCs/>
          <w:sz w:val="28"/>
          <w:szCs w:val="28"/>
        </w:rPr>
        <w:t xml:space="preserve">DE: LINE-OF-DUTY DEATH – DEATH BENEFITS TO CHILDREN – FATHER’S BREACH FIDUCIARY DUTY – HE OWES $366,412   </w:t>
      </w:r>
    </w:p>
    <w:p w14:paraId="60E8C313" w14:textId="77777777" w:rsidR="00AE32D3" w:rsidRDefault="00AE32D3" w:rsidP="00AE32D3">
      <w:pPr>
        <w:pStyle w:val="NormalWeb"/>
      </w:pPr>
      <w:r>
        <w:t xml:space="preserve">On Nov. 28, 2022, in </w:t>
      </w:r>
      <w:r w:rsidRPr="001E1C4B">
        <w:rPr>
          <w:u w:val="single"/>
        </w:rPr>
        <w:t xml:space="preserve">Senior Partner, Inc. As Trustee </w:t>
      </w:r>
      <w:proofErr w:type="gramStart"/>
      <w:r w:rsidRPr="001E1C4B">
        <w:rPr>
          <w:u w:val="single"/>
        </w:rPr>
        <w:t>Of</w:t>
      </w:r>
      <w:proofErr w:type="gramEnd"/>
      <w:r w:rsidRPr="001E1C4B">
        <w:rPr>
          <w:u w:val="single"/>
        </w:rPr>
        <w:t xml:space="preserve"> </w:t>
      </w:r>
      <w:proofErr w:type="gramStart"/>
      <w:r w:rsidRPr="001E1C4B">
        <w:rPr>
          <w:u w:val="single"/>
        </w:rPr>
        <w:t>The</w:t>
      </w:r>
      <w:proofErr w:type="gramEnd"/>
      <w:r w:rsidRPr="001E1C4B">
        <w:rPr>
          <w:u w:val="single"/>
        </w:rPr>
        <w:t xml:space="preserve"> Ardythe Hope Children’s Hospital v. David L. Lee</w:t>
      </w:r>
      <w:r>
        <w:t xml:space="preserve">, Selena E. Molina, Master in Chancery, Court of Chancery of Delaware, issued a Final Report in this “breach of fiduciary duty action” against father of three daughters of  Ardythe Hope.  She was a senior firefighter with the City of Wilmington, who was injured in the line of duty on September 24, 2016. She succumbed to her injuries December 1, 2016, leaving behind three (3) daughters: Aryelle Hope, Alexis D. Lee, and </w:t>
      </w:r>
      <w:proofErr w:type="spellStart"/>
      <w:r>
        <w:t>Ardavia</w:t>
      </w:r>
      <w:proofErr w:type="spellEnd"/>
      <w:r>
        <w:t xml:space="preserve"> D. Lee.  See article, Dec. 1, 2026: “Third firefighter dies from Canby Park blaze.” “Ardythe Hope, seriously injured in the Canby Park rowhome blaze that killed two colleagues in September, has died. </w:t>
      </w:r>
      <w:hyperlink r:id="rId526" w:history="1">
        <w:r>
          <w:rPr>
            <w:rStyle w:val="Hyperlink"/>
            <w:rFonts w:eastAsiaTheme="majorEastAsia"/>
          </w:rPr>
          <w:t>Hope</w:t>
        </w:r>
      </w:hyperlink>
      <w:r>
        <w:t xml:space="preserve"> was injured after entering the </w:t>
      </w:r>
      <w:proofErr w:type="gramStart"/>
      <w:r>
        <w:t>rowhome</w:t>
      </w:r>
      <w:proofErr w:type="gramEnd"/>
      <w:r>
        <w:t xml:space="preserve"> </w:t>
      </w:r>
      <w:proofErr w:type="gramStart"/>
      <w:r>
        <w:t>in an attempt to</w:t>
      </w:r>
      <w:proofErr w:type="gramEnd"/>
      <w:r>
        <w:t xml:space="preserve"> save another firefighter when the floor gave way. Burned over more than 70 percent of her body, she had been at Crozer-Chester Medical Center in critical condition </w:t>
      </w:r>
      <w:r>
        <w:lastRenderedPageBreak/>
        <w:t xml:space="preserve">since the fire.” </w:t>
      </w:r>
      <w:hyperlink r:id="rId527" w:history="1">
        <w:r w:rsidRPr="00AF231E">
          <w:rPr>
            <w:rStyle w:val="Hyperlink"/>
            <w:rFonts w:eastAsiaTheme="majorEastAsia"/>
          </w:rPr>
          <w:t>https://www.delawareonline.com/story/news/local/2016/12/01/ardythe-hope-firefighter-injured-canby-park-blaze-dies/94758432/</w:t>
        </w:r>
      </w:hyperlink>
      <w:r>
        <w:t xml:space="preserve"> </w:t>
      </w:r>
    </w:p>
    <w:p w14:paraId="2E1ED9A3" w14:textId="77777777" w:rsidR="00AE32D3" w:rsidRDefault="00AE32D3" w:rsidP="00AE32D3">
      <w:pPr>
        <w:pStyle w:val="NormalWeb"/>
        <w:ind w:left="720"/>
      </w:pPr>
      <w:r>
        <w:t xml:space="preserve">“Based on the above findings, judgment should be entered against the Defendant in the total amount of $366,412.34, representing $46,653.23 in missing income, $331,401.82 in unsupported expenditures, and $2,750.00 for attorneys' fees, minus a credit of $14,392.71. Pre-judgment and post-judgment interest should be added to this judgment, compounded quarterly. I find the Defendant should be required to make monthly payments on the judgment and accept the Defendant's proposal for a 360-month period as unopposed. </w:t>
      </w:r>
    </w:p>
    <w:p w14:paraId="70900845" w14:textId="77777777" w:rsidR="00AE32D3" w:rsidRDefault="00AE32D3" w:rsidP="00AE32D3">
      <w:pPr>
        <w:pStyle w:val="NormalWeb"/>
        <w:ind w:left="720"/>
      </w:pPr>
      <w:r>
        <w:t>***</w:t>
      </w:r>
    </w:p>
    <w:p w14:paraId="52919DD3" w14:textId="609A38E6" w:rsidR="00AE32D3" w:rsidRPr="00AE32D3" w:rsidRDefault="00AE32D3" w:rsidP="00AE32D3">
      <w:pPr>
        <w:pStyle w:val="NoSpacing"/>
        <w:ind w:left="720"/>
        <w:rPr>
          <w:rFonts w:ascii="Times New Roman" w:hAnsi="Times New Roman"/>
          <w:sz w:val="24"/>
          <w:szCs w:val="24"/>
        </w:rPr>
      </w:pPr>
      <w:r w:rsidRPr="00AE32D3">
        <w:rPr>
          <w:rFonts w:ascii="Times New Roman" w:hAnsi="Times New Roman"/>
          <w:sz w:val="24"/>
          <w:szCs w:val="24"/>
        </w:rPr>
        <w:t xml:space="preserve">[Regarding new house he purchased with their LODD benefits] I recommend the Defendant be ordered to convey the Property to the Trust and vacate the Property within one year of this report becoming an order of the Court.” </w:t>
      </w:r>
      <w:hyperlink r:id="rId528" w:history="1">
        <w:r w:rsidRPr="00AE32D3">
          <w:rPr>
            <w:rStyle w:val="Hyperlink"/>
            <w:rFonts w:ascii="Times New Roman" w:eastAsiaTheme="majorEastAsia" w:hAnsi="Times New Roman"/>
            <w:sz w:val="24"/>
            <w:szCs w:val="24"/>
          </w:rPr>
          <w:t>https://law.justia.com/cases/delaware/court-of-chancery/2022/c-a-no-2020-0226-sem.html</w:t>
        </w:r>
      </w:hyperlink>
    </w:p>
    <w:p w14:paraId="0C6B8F6A" w14:textId="77777777" w:rsidR="00AE32D3" w:rsidRDefault="00AE32D3" w:rsidP="00EF1133">
      <w:pPr>
        <w:pStyle w:val="NoSpacing"/>
        <w:rPr>
          <w:rFonts w:ascii="Arial Black" w:hAnsi="Arial Black"/>
          <w:sz w:val="24"/>
          <w:szCs w:val="24"/>
        </w:rPr>
      </w:pPr>
    </w:p>
    <w:p w14:paraId="350B0A03" w14:textId="77777777" w:rsidR="00AE32D3" w:rsidRPr="0067736B" w:rsidRDefault="00AE32D3" w:rsidP="00AE32D3">
      <w:pPr>
        <w:pStyle w:val="NormalWeb"/>
        <w:rPr>
          <w:b/>
          <w:bCs/>
        </w:rPr>
      </w:pPr>
      <w:r w:rsidRPr="0067736B">
        <w:rPr>
          <w:b/>
          <w:bCs/>
        </w:rPr>
        <w:t>Legal Lesson Learned:</w:t>
      </w:r>
      <w:r>
        <w:rPr>
          <w:b/>
          <w:bCs/>
        </w:rPr>
        <w:t xml:space="preserve"> The father breached </w:t>
      </w:r>
      <w:proofErr w:type="spellStart"/>
      <w:r>
        <w:rPr>
          <w:b/>
          <w:bCs/>
        </w:rPr>
        <w:t>is</w:t>
      </w:r>
      <w:proofErr w:type="spellEnd"/>
      <w:r>
        <w:rPr>
          <w:b/>
          <w:bCs/>
        </w:rPr>
        <w:t xml:space="preserve"> fiduciary duty as original Trustee of the funds. </w:t>
      </w:r>
    </w:p>
    <w:p w14:paraId="038BE8F0" w14:textId="77777777" w:rsidR="00AE32D3" w:rsidRDefault="00AE32D3" w:rsidP="00AE32D3">
      <w:pPr>
        <w:pStyle w:val="NormalWeb"/>
      </w:pPr>
      <w:r>
        <w:tab/>
        <w:t xml:space="preserve">Note: The Master in Chancery shared this comment. </w:t>
      </w:r>
    </w:p>
    <w:p w14:paraId="2973FC7B" w14:textId="77777777" w:rsidR="00AE32D3" w:rsidRPr="0067736B" w:rsidRDefault="00AE32D3" w:rsidP="00AE32D3">
      <w:pPr>
        <w:pStyle w:val="NormalWeb"/>
        <w:ind w:left="720"/>
      </w:pPr>
      <w:r>
        <w:t>[Footnote 5.] “</w:t>
      </w:r>
      <w:r w:rsidRPr="0067736B">
        <w:t xml:space="preserve">I would be remiss not to acknowledge the triumphs and successes of the Beneficiaries. When this matter was heard, the Beneficiaries were both in college, with Alexis on a full volleyball scholarship at Maryland Eastern Shore and </w:t>
      </w:r>
      <w:proofErr w:type="spellStart"/>
      <w:r w:rsidRPr="0067736B">
        <w:t>Ardavia</w:t>
      </w:r>
      <w:proofErr w:type="spellEnd"/>
      <w:r w:rsidRPr="0067736B">
        <w:t xml:space="preserve"> studying political science and pre-law at Delaware State University</w:t>
      </w:r>
      <w:r>
        <w:t xml:space="preserve">…. </w:t>
      </w:r>
      <w:r w:rsidRPr="0067736B">
        <w:t>Their perseverance, drive, and determination in the face of tragedy is inspiring</w:t>
      </w:r>
      <w:r>
        <w:t xml:space="preserve"> … </w:t>
      </w:r>
      <w:r w:rsidRPr="0067736B">
        <w:t xml:space="preserve">(explaining that not only is Alexis on a volleyball scholarship but that she was All-State in basketball and track and field, and that </w:t>
      </w:r>
      <w:proofErr w:type="spellStart"/>
      <w:r w:rsidRPr="0067736B">
        <w:t>Ardavia</w:t>
      </w:r>
      <w:proofErr w:type="spellEnd"/>
      <w:r w:rsidRPr="0067736B">
        <w:t xml:space="preserve"> was Delaware's Boys and Girls Club Youth of the Year and awarded a Sallie Mae scholarship).</w:t>
      </w:r>
      <w:r>
        <w:t>”</w:t>
      </w:r>
    </w:p>
    <w:p w14:paraId="240B34AE" w14:textId="715DA75B" w:rsidR="00AE32D3" w:rsidRDefault="00AE32D3" w:rsidP="00EF1133">
      <w:pPr>
        <w:pStyle w:val="NoSpacing"/>
        <w:rPr>
          <w:rFonts w:ascii="Arial Black" w:hAnsi="Arial Black"/>
          <w:sz w:val="24"/>
          <w:szCs w:val="24"/>
        </w:rPr>
      </w:pPr>
      <w:r>
        <w:rPr>
          <w:rFonts w:ascii="Arial Black" w:hAnsi="Arial Black"/>
          <w:sz w:val="24"/>
          <w:szCs w:val="24"/>
        </w:rPr>
        <w:t>2-47</w:t>
      </w:r>
    </w:p>
    <w:p w14:paraId="30EA49EB" w14:textId="27227997" w:rsidR="00AE32D3" w:rsidRDefault="00AE32D3" w:rsidP="00EF1133">
      <w:pPr>
        <w:pStyle w:val="NoSpacing"/>
        <w:rPr>
          <w:rFonts w:ascii="Arial Black" w:hAnsi="Arial Black"/>
          <w:sz w:val="24"/>
          <w:szCs w:val="24"/>
        </w:rPr>
      </w:pPr>
    </w:p>
    <w:p w14:paraId="025DF895" w14:textId="77777777" w:rsidR="00AE32D3" w:rsidRDefault="00AE32D3" w:rsidP="00AE32D3">
      <w:pPr>
        <w:pStyle w:val="NormalWeb"/>
        <w:rPr>
          <w:rFonts w:ascii="Arial Black" w:hAnsi="Arial Black"/>
          <w:sz w:val="28"/>
          <w:szCs w:val="28"/>
        </w:rPr>
      </w:pPr>
      <w:r>
        <w:rPr>
          <w:rFonts w:ascii="Arial Black" w:hAnsi="Arial Black"/>
          <w:sz w:val="28"/>
          <w:szCs w:val="28"/>
        </w:rPr>
        <w:t>TX: FF FELL THROUGH 3½ FOOT OPENING IN OVERPASS CATWALK – FELL 20+ FEET – DOT CONTRACTOR IMMUNITY</w:t>
      </w:r>
    </w:p>
    <w:p w14:paraId="6A162885" w14:textId="77777777" w:rsidR="00AE32D3" w:rsidRDefault="00AE32D3" w:rsidP="00AE32D3">
      <w:pPr>
        <w:pStyle w:val="NormalWeb"/>
      </w:pPr>
      <w:r>
        <w:t xml:space="preserve">On Nov. 18, 2022, in </w:t>
      </w:r>
      <w:r w:rsidRPr="009D04E6">
        <w:rPr>
          <w:u w:val="single"/>
        </w:rPr>
        <w:t>A.S. Horner, Inc. v. Rafael Navarrette</w:t>
      </w:r>
      <w:r>
        <w:t xml:space="preserve">, the Court of Appeals of Texas, Eight District, El Paso, held (3 to 0)that the trial court improperly denied the construction company’s motion for summary judgment; under Texas statute, a contractor who performs work pursuant to the Texas DOT contract is immune from liability; court rules this applies both during the construction phase and afterwards.  </w:t>
      </w:r>
    </w:p>
    <w:p w14:paraId="6F1D5F97" w14:textId="77777777" w:rsidR="00AE32D3" w:rsidRDefault="00AE32D3" w:rsidP="00AE32D3">
      <w:pPr>
        <w:pStyle w:val="NormalWeb"/>
        <w:ind w:left="720"/>
      </w:pPr>
      <w:r>
        <w:t>“At the time of the incident that is a basis of the suit, Navarrette was on duty responding to a multi-vehicle crash that occurred in the middle of the night on a Loop 375 overpass. Navarrette's suit alleged that, ‘[w]</w:t>
      </w:r>
      <w:proofErr w:type="spellStart"/>
      <w:r>
        <w:t>hile</w:t>
      </w:r>
      <w:proofErr w:type="spellEnd"/>
      <w:r>
        <w:t xml:space="preserve"> between the barricades, on a defectively designed and installed cement catwalk without restraining railings he fell 20 to 30 feet through [a] 3 1/2 or 4 feet opening.’ Horner constructed the overpass from which Navarrette fell. Navarrette asserted claims against Horner pursuant to premises liability based on a dangerous condition on the road or property, and alternatively, based on theories of negligence.  </w:t>
      </w:r>
    </w:p>
    <w:p w14:paraId="54E91C90" w14:textId="77777777" w:rsidR="00AE32D3" w:rsidRDefault="00AE32D3" w:rsidP="00AE32D3">
      <w:pPr>
        <w:pStyle w:val="NormalWeb"/>
        <w:ind w:left="720"/>
      </w:pPr>
      <w:r>
        <w:t>***</w:t>
      </w:r>
    </w:p>
    <w:p w14:paraId="0DF9B222" w14:textId="77777777" w:rsidR="00AE32D3" w:rsidRDefault="00AE32D3" w:rsidP="00AE32D3">
      <w:pPr>
        <w:pStyle w:val="NormalWeb"/>
        <w:ind w:left="720"/>
        <w:rPr>
          <w:rStyle w:val="Hyperlink"/>
          <w:rFonts w:eastAsiaTheme="majorEastAsia"/>
        </w:rPr>
      </w:pPr>
      <w:r>
        <w:lastRenderedPageBreak/>
        <w:t xml:space="preserve">Because TxDOT designed this project and required Horner to perform its work pursuant to contract terms, and because Navarrette did not challenge or otherwise dispute that Horner's work complied with those terms, we determine that section 97.002's conditional pre-requisite was met. </w:t>
      </w:r>
      <w:hyperlink r:id="rId529" w:history="1">
        <w:r w:rsidRPr="00335B71">
          <w:rPr>
            <w:rStyle w:val="Hyperlink"/>
            <w:rFonts w:eastAsiaTheme="majorEastAsia"/>
          </w:rPr>
          <w:t>https://casetext.com/case/as-horner-inc-v-navarrette-4</w:t>
        </w:r>
      </w:hyperlink>
    </w:p>
    <w:p w14:paraId="2962AFC6" w14:textId="77777777" w:rsidR="00AE32D3" w:rsidRDefault="00AE32D3" w:rsidP="00AE32D3">
      <w:pPr>
        <w:pStyle w:val="NormalWeb"/>
        <w:rPr>
          <w:b/>
          <w:bCs/>
        </w:rPr>
      </w:pPr>
      <w:r w:rsidRPr="00A3198D">
        <w:rPr>
          <w:b/>
          <w:bCs/>
        </w:rPr>
        <w:t>Legal Lesson Learned:</w:t>
      </w:r>
      <w:r>
        <w:rPr>
          <w:b/>
          <w:bCs/>
        </w:rPr>
        <w:t xml:space="preserve">  The Texas statute provides immunity to contracts who follow DOT contract requirements. </w:t>
      </w:r>
    </w:p>
    <w:p w14:paraId="49FE13E6" w14:textId="77777777" w:rsidR="00AE32D3" w:rsidRDefault="00AE32D3" w:rsidP="00AE32D3">
      <w:pPr>
        <w:pStyle w:val="Heading1"/>
        <w:ind w:left="720"/>
        <w:rPr>
          <w:b w:val="0"/>
          <w:bCs w:val="0"/>
          <w:sz w:val="24"/>
          <w:szCs w:val="24"/>
        </w:rPr>
      </w:pPr>
      <w:r w:rsidRPr="00876015">
        <w:rPr>
          <w:b w:val="0"/>
          <w:bCs w:val="0"/>
          <w:sz w:val="24"/>
          <w:szCs w:val="24"/>
        </w:rPr>
        <w:t xml:space="preserve">Note: See June 4, </w:t>
      </w:r>
      <w:proofErr w:type="gramStart"/>
      <w:r w:rsidRPr="00876015">
        <w:rPr>
          <w:b w:val="0"/>
          <w:bCs w:val="0"/>
          <w:sz w:val="24"/>
          <w:szCs w:val="24"/>
        </w:rPr>
        <w:t>2014</w:t>
      </w:r>
      <w:proofErr w:type="gramEnd"/>
      <w:r w:rsidRPr="00876015">
        <w:rPr>
          <w:b w:val="0"/>
          <w:bCs w:val="0"/>
          <w:sz w:val="24"/>
          <w:szCs w:val="24"/>
        </w:rPr>
        <w:t xml:space="preserve"> article: Texas firefighter plunges 20 feet off overpass at crash scene; The lieutenant fell through an opening in the overpass and suffered fractures to his face. </w:t>
      </w:r>
      <w:hyperlink r:id="rId530" w:history="1">
        <w:r w:rsidRPr="00335B71">
          <w:rPr>
            <w:rStyle w:val="Hyperlink"/>
            <w:rFonts w:eastAsiaTheme="majorEastAsia"/>
            <w:b w:val="0"/>
            <w:bCs w:val="0"/>
            <w:sz w:val="24"/>
            <w:szCs w:val="24"/>
          </w:rPr>
          <w:t>https://www.firerescue1.com/fire-ems/articles/texas-firefighter-plunges-20-feet-off-overpass-at-crash-scene-lBARe4alhxd9zIr4/</w:t>
        </w:r>
      </w:hyperlink>
      <w:r>
        <w:rPr>
          <w:b w:val="0"/>
          <w:bCs w:val="0"/>
          <w:sz w:val="24"/>
          <w:szCs w:val="24"/>
        </w:rPr>
        <w:t xml:space="preserve"> </w:t>
      </w:r>
    </w:p>
    <w:p w14:paraId="709F58B0" w14:textId="4B762CFC" w:rsidR="00AE32D3" w:rsidRPr="00AE32D3" w:rsidRDefault="00AE32D3" w:rsidP="00AE32D3">
      <w:pPr>
        <w:pStyle w:val="NoSpacing"/>
        <w:ind w:left="720"/>
        <w:rPr>
          <w:rFonts w:ascii="Times New Roman" w:hAnsi="Times New Roman"/>
          <w:sz w:val="24"/>
          <w:szCs w:val="24"/>
        </w:rPr>
      </w:pPr>
      <w:r w:rsidRPr="00AE32D3">
        <w:rPr>
          <w:rFonts w:ascii="Times New Roman" w:hAnsi="Times New Roman"/>
          <w:sz w:val="24"/>
          <w:szCs w:val="24"/>
        </w:rPr>
        <w:t xml:space="preserve">See also: June 3, 2014: El Paso (TX) Firefighter Injured in Fall at MVA Scene. </w:t>
      </w:r>
      <w:hyperlink r:id="rId531" w:anchor="gref" w:history="1">
        <w:r w:rsidRPr="00E01337">
          <w:rPr>
            <w:rStyle w:val="Hyperlink"/>
            <w:rFonts w:ascii="Times New Roman" w:eastAsiaTheme="majorEastAsia" w:hAnsi="Times New Roman"/>
            <w:sz w:val="24"/>
            <w:szCs w:val="24"/>
          </w:rPr>
          <w:t>https://www.fireengineering.com/firefighting/el-paso-tx-firefighter-injured-while-rendering-care/#gref</w:t>
        </w:r>
      </w:hyperlink>
    </w:p>
    <w:p w14:paraId="187D6BDA" w14:textId="77777777" w:rsidR="00AE32D3" w:rsidRPr="00AE32D3" w:rsidRDefault="00AE32D3" w:rsidP="00EF1133">
      <w:pPr>
        <w:pStyle w:val="NoSpacing"/>
        <w:rPr>
          <w:rFonts w:ascii="Times New Roman" w:hAnsi="Times New Roman"/>
          <w:sz w:val="24"/>
          <w:szCs w:val="24"/>
        </w:rPr>
      </w:pPr>
    </w:p>
    <w:p w14:paraId="612CDD34" w14:textId="77777777" w:rsidR="00AE32D3" w:rsidRDefault="00AE32D3" w:rsidP="00EF1133">
      <w:pPr>
        <w:pStyle w:val="NoSpacing"/>
        <w:rPr>
          <w:rFonts w:ascii="Arial Black" w:hAnsi="Arial Black"/>
          <w:sz w:val="24"/>
          <w:szCs w:val="24"/>
        </w:rPr>
      </w:pPr>
    </w:p>
    <w:p w14:paraId="11CB1FD4" w14:textId="1E9F5281" w:rsidR="00804F3A" w:rsidRDefault="00804F3A" w:rsidP="00EF1133">
      <w:pPr>
        <w:pStyle w:val="NoSpacing"/>
        <w:rPr>
          <w:rFonts w:ascii="Arial Black" w:hAnsi="Arial Black"/>
          <w:sz w:val="24"/>
          <w:szCs w:val="24"/>
        </w:rPr>
      </w:pPr>
      <w:r>
        <w:rPr>
          <w:rFonts w:ascii="Arial Black" w:hAnsi="Arial Black"/>
          <w:sz w:val="24"/>
          <w:szCs w:val="24"/>
        </w:rPr>
        <w:t>2-46</w:t>
      </w:r>
    </w:p>
    <w:p w14:paraId="6CF2E265" w14:textId="77777777" w:rsidR="00804F3A" w:rsidRPr="00486C28" w:rsidRDefault="00804F3A" w:rsidP="00804F3A">
      <w:pPr>
        <w:pStyle w:val="NormalWeb"/>
        <w:rPr>
          <w:rFonts w:ascii="Arial Black" w:hAnsi="Arial Black"/>
          <w:b/>
          <w:bCs/>
          <w:sz w:val="28"/>
          <w:szCs w:val="28"/>
        </w:rPr>
      </w:pPr>
      <w:r w:rsidRPr="00486C28">
        <w:rPr>
          <w:rFonts w:ascii="Arial Black" w:hAnsi="Arial Black"/>
          <w:b/>
          <w:bCs/>
          <w:sz w:val="28"/>
          <w:szCs w:val="28"/>
        </w:rPr>
        <w:t xml:space="preserve">LA: </w:t>
      </w:r>
      <w:r>
        <w:rPr>
          <w:rFonts w:ascii="Arial Black" w:hAnsi="Arial Black"/>
          <w:b/>
          <w:bCs/>
          <w:sz w:val="28"/>
          <w:szCs w:val="28"/>
        </w:rPr>
        <w:t>RAILROAD BLOCKED ROAD – CARDIAC PATIENT – NEW HELICOPTER PICKUP, 8 MINUTES – DIED – NO LIAB. FOR RR</w:t>
      </w:r>
    </w:p>
    <w:p w14:paraId="3CE43986" w14:textId="77777777" w:rsidR="00804F3A" w:rsidRDefault="00804F3A" w:rsidP="00804F3A">
      <w:pPr>
        <w:pStyle w:val="NormalWeb"/>
      </w:pPr>
      <w:r>
        <w:t xml:space="preserve">On Oct. 20, 2022, in </w:t>
      </w:r>
      <w:r w:rsidRPr="00486C28">
        <w:rPr>
          <w:u w:val="single"/>
        </w:rPr>
        <w:t>Brenda R. Blalock v. Union Pacific Railroad Company</w:t>
      </w:r>
      <w:r>
        <w:t xml:space="preserve">, U.S. Court of Appeals for Fifth Circuit (New Orleans), the Court held (3 to 0) that trial court properly granted summary judgment to the railroad, since they were not aware of emergency transport until after the ambulance driver decided to take another route. </w:t>
      </w:r>
    </w:p>
    <w:p w14:paraId="1A7F94D6" w14:textId="77777777" w:rsidR="00804F3A" w:rsidRPr="00C40187" w:rsidRDefault="00804F3A" w:rsidP="00804F3A">
      <w:pPr>
        <w:spacing w:before="100" w:beforeAutospacing="1" w:after="100" w:afterAutospacing="1" w:line="240" w:lineRule="auto"/>
        <w:ind w:left="720"/>
        <w:rPr>
          <w:rFonts w:ascii="Times New Roman" w:hAnsi="Times New Roman"/>
          <w:sz w:val="24"/>
          <w:szCs w:val="24"/>
        </w:rPr>
      </w:pPr>
      <w:r>
        <w:rPr>
          <w:rFonts w:ascii="Times New Roman" w:eastAsia="Times New Roman" w:hAnsi="Times New Roman"/>
          <w:sz w:val="24"/>
          <w:szCs w:val="24"/>
        </w:rPr>
        <w:t>“[T]</w:t>
      </w:r>
      <w:r w:rsidRPr="00AC0E66">
        <w:rPr>
          <w:rFonts w:ascii="Times New Roman" w:eastAsia="Times New Roman" w:hAnsi="Times New Roman"/>
          <w:sz w:val="24"/>
          <w:szCs w:val="24"/>
        </w:rPr>
        <w:t xml:space="preserve">here is insufficient evidence to support Brenda's claims that Union Pacific caused a delay in Leo receiving medical care. The timespan from the </w:t>
      </w:r>
      <w:proofErr w:type="spellStart"/>
      <w:r w:rsidRPr="00AC0E66">
        <w:rPr>
          <w:rFonts w:ascii="Times New Roman" w:eastAsia="Times New Roman" w:hAnsi="Times New Roman"/>
          <w:sz w:val="24"/>
          <w:szCs w:val="24"/>
        </w:rPr>
        <w:t>Blalocks</w:t>
      </w:r>
      <w:proofErr w:type="spellEnd"/>
      <w:r w:rsidRPr="00AC0E66">
        <w:rPr>
          <w:rFonts w:ascii="Times New Roman" w:eastAsia="Times New Roman" w:hAnsi="Times New Roman"/>
          <w:sz w:val="24"/>
          <w:szCs w:val="24"/>
        </w:rPr>
        <w:t xml:space="preserve">' home to the new rerouted landing zone was approximately eight minutes. Evidence shows that when the ambulance approached the railroad crossing and noticed it was blocked, paramedics immediately rerouted to Alexandria where the new landing zone and destination hospital were located. The paramedic testified that she did not </w:t>
      </w:r>
      <w:r>
        <w:rPr>
          <w:rFonts w:ascii="Times New Roman" w:eastAsia="Times New Roman" w:hAnsi="Times New Roman"/>
          <w:sz w:val="24"/>
          <w:szCs w:val="24"/>
        </w:rPr>
        <w:t>‘</w:t>
      </w:r>
      <w:r w:rsidRPr="00AC0E66">
        <w:rPr>
          <w:rFonts w:ascii="Times New Roman" w:eastAsia="Times New Roman" w:hAnsi="Times New Roman"/>
          <w:sz w:val="24"/>
          <w:szCs w:val="24"/>
        </w:rPr>
        <w:t xml:space="preserve">even </w:t>
      </w:r>
      <w:proofErr w:type="gramStart"/>
      <w:r w:rsidRPr="00AC0E66">
        <w:rPr>
          <w:rFonts w:ascii="Times New Roman" w:eastAsia="Times New Roman" w:hAnsi="Times New Roman"/>
          <w:sz w:val="24"/>
          <w:szCs w:val="24"/>
        </w:rPr>
        <w:t>waste like</w:t>
      </w:r>
      <w:proofErr w:type="gramEnd"/>
      <w:r w:rsidRPr="00AC0E66">
        <w:rPr>
          <w:rFonts w:ascii="Times New Roman" w:eastAsia="Times New Roman" w:hAnsi="Times New Roman"/>
          <w:sz w:val="24"/>
          <w:szCs w:val="24"/>
        </w:rPr>
        <w:t xml:space="preserve"> 30 </w:t>
      </w:r>
      <w:proofErr w:type="gramStart"/>
      <w:r w:rsidRPr="00AC0E66">
        <w:rPr>
          <w:rFonts w:ascii="Times New Roman" w:eastAsia="Times New Roman" w:hAnsi="Times New Roman"/>
          <w:sz w:val="24"/>
          <w:szCs w:val="24"/>
        </w:rPr>
        <w:t>seconds</w:t>
      </w:r>
      <w:r>
        <w:rPr>
          <w:rFonts w:ascii="Times New Roman" w:eastAsia="Times New Roman" w:hAnsi="Times New Roman"/>
          <w:sz w:val="24"/>
          <w:szCs w:val="24"/>
        </w:rPr>
        <w:t>’</w:t>
      </w:r>
      <w:proofErr w:type="gramEnd"/>
      <w:r w:rsidRPr="00AC0E66">
        <w:rPr>
          <w:rFonts w:ascii="Times New Roman" w:eastAsia="Times New Roman" w:hAnsi="Times New Roman"/>
          <w:sz w:val="24"/>
          <w:szCs w:val="24"/>
        </w:rPr>
        <w:t xml:space="preserve"> and when asked did they </w:t>
      </w:r>
      <w:proofErr w:type="gramStart"/>
      <w:r w:rsidRPr="00AC0E66">
        <w:rPr>
          <w:rFonts w:ascii="Times New Roman" w:eastAsia="Times New Roman" w:hAnsi="Times New Roman"/>
          <w:sz w:val="24"/>
          <w:szCs w:val="24"/>
        </w:rPr>
        <w:t>wait</w:t>
      </w:r>
      <w:proofErr w:type="gramEnd"/>
      <w:r w:rsidRPr="00AC0E66">
        <w:rPr>
          <w:rFonts w:ascii="Times New Roman" w:eastAsia="Times New Roman" w:hAnsi="Times New Roman"/>
          <w:sz w:val="24"/>
          <w:szCs w:val="24"/>
        </w:rPr>
        <w:t xml:space="preserve"> at the track, she responded</w:t>
      </w:r>
      <w:r>
        <w:rPr>
          <w:rFonts w:ascii="Times New Roman" w:eastAsia="Times New Roman" w:hAnsi="Times New Roman"/>
          <w:sz w:val="24"/>
          <w:szCs w:val="24"/>
        </w:rPr>
        <w:t xml:space="preserve"> ‘</w:t>
      </w:r>
      <w:r w:rsidRPr="00AC0E66">
        <w:rPr>
          <w:rFonts w:ascii="Times New Roman" w:eastAsia="Times New Roman" w:hAnsi="Times New Roman"/>
          <w:sz w:val="24"/>
          <w:szCs w:val="24"/>
        </w:rPr>
        <w:t>[w]e didn't.</w:t>
      </w:r>
      <w:r>
        <w:rPr>
          <w:rFonts w:ascii="Times New Roman" w:eastAsia="Times New Roman" w:hAnsi="Times New Roman"/>
          <w:sz w:val="24"/>
          <w:szCs w:val="24"/>
        </w:rPr>
        <w:t>’</w:t>
      </w:r>
      <w:r w:rsidRPr="00AC0E66">
        <w:rPr>
          <w:rFonts w:ascii="Times New Roman" w:eastAsia="Times New Roman" w:hAnsi="Times New Roman"/>
          <w:sz w:val="24"/>
          <w:szCs w:val="24"/>
        </w:rPr>
        <w:t xml:space="preserve"> The evidence also shows that Union Pacific was not notified about the emergency vehicle until </w:t>
      </w:r>
      <w:r w:rsidRPr="00AC0E66">
        <w:rPr>
          <w:rFonts w:ascii="Times New Roman" w:eastAsia="Times New Roman" w:hAnsi="Times New Roman"/>
          <w:i/>
          <w:iCs/>
          <w:sz w:val="24"/>
          <w:szCs w:val="24"/>
        </w:rPr>
        <w:t>after</w:t>
      </w:r>
      <w:r w:rsidRPr="00AC0E66">
        <w:rPr>
          <w:rFonts w:ascii="Times New Roman" w:eastAsia="Times New Roman" w:hAnsi="Times New Roman"/>
          <w:sz w:val="24"/>
          <w:szCs w:val="24"/>
        </w:rPr>
        <w:t xml:space="preserve"> the ambulance had already </w:t>
      </w:r>
      <w:proofErr w:type="gramStart"/>
      <w:r w:rsidRPr="00AC0E66">
        <w:rPr>
          <w:rFonts w:ascii="Times New Roman" w:eastAsia="Times New Roman" w:hAnsi="Times New Roman"/>
          <w:sz w:val="24"/>
          <w:szCs w:val="24"/>
        </w:rPr>
        <w:t>rerouted</w:t>
      </w:r>
      <w:proofErr w:type="gramEnd"/>
      <w:r w:rsidRPr="00AC0E66">
        <w:rPr>
          <w:rFonts w:ascii="Times New Roman" w:eastAsia="Times New Roman" w:hAnsi="Times New Roman"/>
          <w:sz w:val="24"/>
          <w:szCs w:val="24"/>
        </w:rPr>
        <w:t xml:space="preserve">. Therefore, at the time the ambulance needed to cross the railroad tracks, Union Pacific was not aware of Leo's emergency. And even if it were, it </w:t>
      </w:r>
      <w:r>
        <w:rPr>
          <w:rFonts w:ascii="Times New Roman" w:eastAsia="Times New Roman" w:hAnsi="Times New Roman"/>
          <w:sz w:val="24"/>
          <w:szCs w:val="24"/>
        </w:rPr>
        <w:t>‘</w:t>
      </w:r>
      <w:r w:rsidRPr="00AC0E66">
        <w:rPr>
          <w:rFonts w:ascii="Times New Roman" w:eastAsia="Times New Roman" w:hAnsi="Times New Roman"/>
          <w:sz w:val="24"/>
          <w:szCs w:val="24"/>
        </w:rPr>
        <w:t>would have been impossible</w:t>
      </w:r>
      <w:r>
        <w:rPr>
          <w:rFonts w:ascii="Times New Roman" w:eastAsia="Times New Roman" w:hAnsi="Times New Roman"/>
          <w:sz w:val="24"/>
          <w:szCs w:val="24"/>
        </w:rPr>
        <w:t>’</w:t>
      </w:r>
      <w:r w:rsidRPr="00AC0E66">
        <w:rPr>
          <w:rFonts w:ascii="Times New Roman" w:eastAsia="Times New Roman" w:hAnsi="Times New Roman"/>
          <w:sz w:val="24"/>
          <w:szCs w:val="24"/>
        </w:rPr>
        <w:t xml:space="preserve"> for the train to break within the </w:t>
      </w:r>
      <w:r>
        <w:rPr>
          <w:rFonts w:ascii="Times New Roman" w:eastAsia="Times New Roman" w:hAnsi="Times New Roman"/>
          <w:sz w:val="24"/>
          <w:szCs w:val="24"/>
        </w:rPr>
        <w:t>‘</w:t>
      </w:r>
      <w:r w:rsidRPr="00AC0E66">
        <w:rPr>
          <w:rFonts w:ascii="Times New Roman" w:eastAsia="Times New Roman" w:hAnsi="Times New Roman"/>
          <w:sz w:val="24"/>
          <w:szCs w:val="24"/>
        </w:rPr>
        <w:t>seconds</w:t>
      </w:r>
      <w:r>
        <w:rPr>
          <w:rFonts w:ascii="Times New Roman" w:eastAsia="Times New Roman" w:hAnsi="Times New Roman"/>
          <w:sz w:val="24"/>
          <w:szCs w:val="24"/>
        </w:rPr>
        <w:t>’</w:t>
      </w:r>
      <w:r w:rsidRPr="00AC0E66">
        <w:rPr>
          <w:rFonts w:ascii="Times New Roman" w:eastAsia="Times New Roman" w:hAnsi="Times New Roman"/>
          <w:sz w:val="24"/>
          <w:szCs w:val="24"/>
        </w:rPr>
        <w:t xml:space="preserve"> the paramedics were at the crossing. In the absence of sufficient evidence to the contrary, we conclude that Brenda has failed to show a genuine issue of material fact as to </w:t>
      </w:r>
      <w:r w:rsidRPr="00C40187">
        <w:rPr>
          <w:rFonts w:ascii="Times New Roman" w:eastAsia="Times New Roman" w:hAnsi="Times New Roman"/>
          <w:sz w:val="24"/>
          <w:szCs w:val="24"/>
        </w:rPr>
        <w:t>causation.”</w:t>
      </w:r>
      <w:hyperlink r:id="rId532" w:history="1">
        <w:r w:rsidRPr="00C40187">
          <w:rPr>
            <w:rStyle w:val="Hyperlink"/>
            <w:rFonts w:ascii="Times New Roman" w:hAnsi="Times New Roman"/>
            <w:sz w:val="24"/>
            <w:szCs w:val="24"/>
          </w:rPr>
          <w:t>http://www.ca5.uscourts.gov/opinions/unpub/22/22-30100.0.pdf</w:t>
        </w:r>
      </w:hyperlink>
      <w:r w:rsidRPr="00C40187">
        <w:rPr>
          <w:rFonts w:ascii="Times New Roman" w:hAnsi="Times New Roman"/>
          <w:sz w:val="24"/>
          <w:szCs w:val="24"/>
        </w:rPr>
        <w:t xml:space="preserve"> </w:t>
      </w:r>
    </w:p>
    <w:p w14:paraId="0367F1DE" w14:textId="77777777" w:rsidR="00804F3A" w:rsidRPr="00AC0E66" w:rsidRDefault="00804F3A" w:rsidP="00804F3A">
      <w:pPr>
        <w:spacing w:before="100" w:beforeAutospacing="1" w:after="100" w:afterAutospacing="1" w:line="240" w:lineRule="auto"/>
        <w:rPr>
          <w:rFonts w:ascii="Times New Roman" w:eastAsia="Times New Roman" w:hAnsi="Times New Roman"/>
          <w:b/>
          <w:bCs/>
          <w:sz w:val="24"/>
          <w:szCs w:val="24"/>
        </w:rPr>
      </w:pPr>
      <w:r w:rsidRPr="00AC0E66">
        <w:rPr>
          <w:rFonts w:ascii="Times New Roman" w:eastAsia="Times New Roman" w:hAnsi="Times New Roman"/>
          <w:b/>
          <w:bCs/>
          <w:sz w:val="24"/>
          <w:szCs w:val="24"/>
        </w:rPr>
        <w:t>Legal Lesson Learned:</w:t>
      </w:r>
      <w:r>
        <w:rPr>
          <w:rFonts w:ascii="Times New Roman" w:eastAsia="Times New Roman" w:hAnsi="Times New Roman"/>
          <w:b/>
          <w:bCs/>
          <w:sz w:val="24"/>
          <w:szCs w:val="24"/>
        </w:rPr>
        <w:t xml:space="preserve">  Establish protocol for EMS transports when railroad blocking route. </w:t>
      </w:r>
    </w:p>
    <w:p w14:paraId="45B67AC9" w14:textId="77777777" w:rsidR="00804F3A" w:rsidRDefault="00804F3A" w:rsidP="00804F3A">
      <w:pPr>
        <w:pStyle w:val="NormalWeb"/>
        <w:ind w:left="720"/>
      </w:pPr>
      <w:r>
        <w:t>Note:  See this article (Fall 2021):</w:t>
      </w:r>
    </w:p>
    <w:p w14:paraId="04914026" w14:textId="77777777" w:rsidR="00804F3A" w:rsidRPr="002A3E85" w:rsidRDefault="00804F3A" w:rsidP="00804F3A">
      <w:pPr>
        <w:pStyle w:val="NoSpacing"/>
        <w:ind w:firstLine="720"/>
        <w:rPr>
          <w:rFonts w:ascii="Times New Roman" w:hAnsi="Times New Roman"/>
          <w:sz w:val="28"/>
          <w:szCs w:val="28"/>
        </w:rPr>
      </w:pPr>
      <w:r w:rsidRPr="002A3E85">
        <w:rPr>
          <w:rFonts w:ascii="Times New Roman" w:hAnsi="Times New Roman"/>
          <w:sz w:val="28"/>
          <w:szCs w:val="28"/>
        </w:rPr>
        <w:t>Don’t Let Railroads Become Roadblocks</w:t>
      </w:r>
    </w:p>
    <w:p w14:paraId="53569E16" w14:textId="77777777" w:rsidR="00804F3A" w:rsidRPr="00AC0E66" w:rsidRDefault="00804F3A" w:rsidP="00804F3A">
      <w:pPr>
        <w:pStyle w:val="NoSpacing"/>
        <w:ind w:left="720"/>
        <w:rPr>
          <w:rFonts w:ascii="Times New Roman" w:hAnsi="Times New Roman"/>
          <w:i/>
          <w:iCs/>
          <w:sz w:val="24"/>
          <w:szCs w:val="24"/>
        </w:rPr>
      </w:pPr>
      <w:r w:rsidRPr="00AC0E66">
        <w:rPr>
          <w:rFonts w:ascii="Times New Roman" w:hAnsi="Times New Roman"/>
          <w:i/>
          <w:iCs/>
          <w:sz w:val="24"/>
          <w:szCs w:val="24"/>
        </w:rPr>
        <w:t>Take advantage of resources available to help EMS and other first responders avoid delays caused by railroads and respond safely to incidents on or near railroad crossings.</w:t>
      </w:r>
    </w:p>
    <w:p w14:paraId="3CFB993E" w14:textId="77777777" w:rsidR="00804F3A" w:rsidRDefault="00804F3A" w:rsidP="00804F3A">
      <w:pPr>
        <w:pStyle w:val="NoSpacing"/>
        <w:ind w:firstLine="720"/>
      </w:pPr>
      <w:hyperlink r:id="rId533" w:history="1">
        <w:r w:rsidRPr="00A7079D">
          <w:rPr>
            <w:rStyle w:val="Hyperlink"/>
            <w:rFonts w:ascii="Times New Roman" w:hAnsi="Times New Roman"/>
          </w:rPr>
          <w:t>https://www.ems.gov/newsletter/fall2021/dont_let_railroads_become_roadblocks.html</w:t>
        </w:r>
      </w:hyperlink>
      <w:r>
        <w:t xml:space="preserve"> </w:t>
      </w:r>
    </w:p>
    <w:p w14:paraId="1B32C4E7" w14:textId="77777777" w:rsidR="00804F3A" w:rsidRDefault="00804F3A" w:rsidP="00804F3A">
      <w:pPr>
        <w:pStyle w:val="NormalWeb"/>
        <w:ind w:left="720"/>
      </w:pPr>
      <w:r>
        <w:lastRenderedPageBreak/>
        <w:t xml:space="preserve">“Fortunately, resources exist to help first responders facing these circumstances. According to Michail </w:t>
      </w:r>
      <w:proofErr w:type="spellStart"/>
      <w:r>
        <w:t>Grizkewitsch</w:t>
      </w:r>
      <w:proofErr w:type="spellEnd"/>
      <w:r>
        <w:t xml:space="preserve"> with the Federal Railroad Administration’s Office of Railroad Safety, one of the first things responders can do is look for a blue </w:t>
      </w:r>
      <w:proofErr w:type="gramStart"/>
      <w:r>
        <w:t>Emergency Notification</w:t>
      </w:r>
      <w:proofErr w:type="gramEnd"/>
      <w:r>
        <w:t xml:space="preserve"> System sign with two sets of numbers on it. One is the phone number that will connect them directly to the railroad dispatcher overseeing that specific track. The other number is a unique Department of Transportation identifier for that crossing, so you can quickly let the dispatcher know where you are.”</w:t>
      </w:r>
    </w:p>
    <w:p w14:paraId="23B4DF9A" w14:textId="77777777" w:rsidR="00804F3A" w:rsidRDefault="00804F3A" w:rsidP="00EF1133">
      <w:pPr>
        <w:pStyle w:val="NoSpacing"/>
        <w:rPr>
          <w:rFonts w:ascii="Arial Black" w:hAnsi="Arial Black"/>
          <w:sz w:val="24"/>
          <w:szCs w:val="24"/>
        </w:rPr>
      </w:pPr>
    </w:p>
    <w:p w14:paraId="0585D65C" w14:textId="77777777" w:rsidR="00804F3A" w:rsidRDefault="00804F3A" w:rsidP="00EF1133">
      <w:pPr>
        <w:pStyle w:val="NoSpacing"/>
        <w:rPr>
          <w:rFonts w:ascii="Arial Black" w:hAnsi="Arial Black"/>
          <w:sz w:val="24"/>
          <w:szCs w:val="24"/>
        </w:rPr>
      </w:pPr>
    </w:p>
    <w:p w14:paraId="30EA7F7F" w14:textId="77777777" w:rsidR="00804F3A" w:rsidRDefault="00804F3A" w:rsidP="00EF1133">
      <w:pPr>
        <w:pStyle w:val="NoSpacing"/>
        <w:rPr>
          <w:rFonts w:ascii="Arial Black" w:hAnsi="Arial Black"/>
          <w:sz w:val="24"/>
          <w:szCs w:val="24"/>
        </w:rPr>
      </w:pPr>
    </w:p>
    <w:p w14:paraId="5F18F400" w14:textId="7A7D386C" w:rsidR="00E8117B" w:rsidRDefault="00E8117B" w:rsidP="00EF1133">
      <w:pPr>
        <w:pStyle w:val="NoSpacing"/>
        <w:rPr>
          <w:rFonts w:ascii="Arial Black" w:hAnsi="Arial Black"/>
          <w:sz w:val="24"/>
          <w:szCs w:val="24"/>
        </w:rPr>
      </w:pPr>
      <w:r>
        <w:rPr>
          <w:rFonts w:ascii="Arial Black" w:hAnsi="Arial Black"/>
          <w:sz w:val="24"/>
          <w:szCs w:val="24"/>
        </w:rPr>
        <w:t>2-45</w:t>
      </w:r>
    </w:p>
    <w:p w14:paraId="368A07F0" w14:textId="685F4EB0" w:rsidR="00E8117B" w:rsidRDefault="00E8117B" w:rsidP="00EF1133">
      <w:pPr>
        <w:pStyle w:val="NoSpacing"/>
        <w:rPr>
          <w:rFonts w:ascii="Arial Black" w:hAnsi="Arial Black"/>
          <w:sz w:val="24"/>
          <w:szCs w:val="24"/>
        </w:rPr>
      </w:pPr>
    </w:p>
    <w:p w14:paraId="4EE858D5" w14:textId="77777777" w:rsidR="00E8117B" w:rsidRDefault="00E8117B" w:rsidP="00E8117B">
      <w:pPr>
        <w:pStyle w:val="NormalWeb"/>
        <w:rPr>
          <w:rFonts w:ascii="Arial Black" w:hAnsi="Arial Black"/>
          <w:sz w:val="28"/>
          <w:szCs w:val="28"/>
        </w:rPr>
      </w:pPr>
      <w:r>
        <w:rPr>
          <w:rFonts w:ascii="Arial Black" w:hAnsi="Arial Black"/>
          <w:sz w:val="28"/>
          <w:szCs w:val="28"/>
        </w:rPr>
        <w:t xml:space="preserve">OH: LODD – ARSON DEFENDANT’S APPEAL DENIED – PROVIDED SIX WITNESS STATEMENTS BEFORE TRIAL </w:t>
      </w:r>
    </w:p>
    <w:p w14:paraId="42A4BBA5" w14:textId="77777777" w:rsidR="00E8117B" w:rsidRDefault="00E8117B" w:rsidP="00E8117B">
      <w:pPr>
        <w:pStyle w:val="NormalWeb"/>
      </w:pPr>
      <w:r>
        <w:t xml:space="preserve">On Sept. 19, 2022, in </w:t>
      </w:r>
      <w:r>
        <w:rPr>
          <w:u w:val="single"/>
        </w:rPr>
        <w:t>State of Ohio v. William R. Tucker</w:t>
      </w:r>
      <w:r>
        <w:t xml:space="preserve">, the Court of Appeals of Ohio, Twelfth District (Butler County) held (3 to 0) that trial court did not err in denying Tucker's untimely postconviction relief petition.  </w:t>
      </w:r>
    </w:p>
    <w:p w14:paraId="44BF81BB" w14:textId="77777777" w:rsidR="00E8117B" w:rsidRDefault="00E8117B" w:rsidP="00E8117B">
      <w:pPr>
        <w:pStyle w:val="NormalWeb"/>
        <w:ind w:left="720"/>
      </w:pPr>
      <w:r>
        <w:t xml:space="preserve">“After reviewing the record, we find Tucker's assertions are without merit. Tucker does not demonstrate that he was unavoidably prevented from discovering the facts necessary for his claim of relief. Instead, the record shows that the six witness statements were initially provided to Tucker and his attorney during discovery. On January 21, 2017, nearly ten months before trial, the State answered Tucker's request for discovery. Included in the response were items numbered 138, 140, 141, 147, 156, and 157, representing the witness statements of Sebastian, Hartford, Hatfield, Haynes, McAdams, and McDonald, respectively.” </w:t>
      </w:r>
      <w:hyperlink r:id="rId534" w:history="1">
        <w:r>
          <w:rPr>
            <w:rStyle w:val="Hyperlink"/>
          </w:rPr>
          <w:t>https://law.justia.com/cases/ohio/twelfth-district-court-of-appeals/2022/ca2022-02-020.html</w:t>
        </w:r>
      </w:hyperlink>
      <w:r>
        <w:t xml:space="preserve"> </w:t>
      </w:r>
    </w:p>
    <w:p w14:paraId="374A83A4" w14:textId="77777777" w:rsidR="00E8117B" w:rsidRDefault="00E8117B" w:rsidP="00E8117B">
      <w:pPr>
        <w:pStyle w:val="NormalWeb"/>
        <w:rPr>
          <w:b/>
          <w:bCs/>
        </w:rPr>
      </w:pPr>
      <w:r>
        <w:rPr>
          <w:b/>
          <w:bCs/>
        </w:rPr>
        <w:t xml:space="preserve">Legal Lesson Learned: Defendant must remain in prison - </w:t>
      </w:r>
      <w:r>
        <w:rPr>
          <w:rFonts w:eastAsiaTheme="minorHAnsi"/>
          <w:b/>
          <w:bCs/>
        </w:rPr>
        <w:t xml:space="preserve">15 years to life.   </w:t>
      </w:r>
    </w:p>
    <w:p w14:paraId="2B5AA13D" w14:textId="77777777" w:rsidR="00E8117B" w:rsidRDefault="00E8117B" w:rsidP="00EF1133">
      <w:pPr>
        <w:pStyle w:val="NoSpacing"/>
        <w:rPr>
          <w:rFonts w:ascii="Arial Black" w:hAnsi="Arial Black"/>
          <w:sz w:val="24"/>
          <w:szCs w:val="24"/>
        </w:rPr>
      </w:pPr>
    </w:p>
    <w:p w14:paraId="79454FBA" w14:textId="77777777" w:rsidR="00E8117B" w:rsidRDefault="00E8117B" w:rsidP="00EF1133">
      <w:pPr>
        <w:pStyle w:val="NoSpacing"/>
        <w:rPr>
          <w:rFonts w:ascii="Arial Black" w:hAnsi="Arial Black"/>
          <w:sz w:val="24"/>
          <w:szCs w:val="24"/>
        </w:rPr>
      </w:pPr>
    </w:p>
    <w:p w14:paraId="5C183C0E" w14:textId="77777777" w:rsidR="00E8117B" w:rsidRDefault="00E8117B" w:rsidP="00EF1133">
      <w:pPr>
        <w:pStyle w:val="NoSpacing"/>
        <w:rPr>
          <w:rFonts w:ascii="Arial Black" w:hAnsi="Arial Black"/>
          <w:sz w:val="24"/>
          <w:szCs w:val="24"/>
        </w:rPr>
      </w:pPr>
    </w:p>
    <w:p w14:paraId="04A3A2F3" w14:textId="73108702" w:rsidR="009A0402" w:rsidRDefault="009A0402" w:rsidP="00EF1133">
      <w:pPr>
        <w:pStyle w:val="NoSpacing"/>
        <w:rPr>
          <w:rFonts w:ascii="Arial Black" w:hAnsi="Arial Black"/>
          <w:sz w:val="24"/>
          <w:szCs w:val="24"/>
        </w:rPr>
      </w:pPr>
      <w:r>
        <w:rPr>
          <w:rFonts w:ascii="Arial Black" w:hAnsi="Arial Black"/>
          <w:sz w:val="24"/>
          <w:szCs w:val="24"/>
        </w:rPr>
        <w:t>2-44</w:t>
      </w:r>
    </w:p>
    <w:p w14:paraId="1D196A05" w14:textId="77777777" w:rsidR="009A0402" w:rsidRDefault="009A0402" w:rsidP="009A0402">
      <w:pPr>
        <w:spacing w:before="100" w:beforeAutospacing="1" w:after="100" w:afterAutospacing="1" w:line="240" w:lineRule="auto"/>
        <w:rPr>
          <w:rFonts w:ascii="Arial Black" w:hAnsi="Arial Black"/>
          <w:sz w:val="28"/>
          <w:szCs w:val="28"/>
        </w:rPr>
      </w:pPr>
      <w:r>
        <w:rPr>
          <w:rFonts w:ascii="Arial Black" w:hAnsi="Arial Black"/>
          <w:sz w:val="28"/>
          <w:szCs w:val="28"/>
        </w:rPr>
        <w:t>U.S. SUP. COURT:  FIREARMS – STATE OF NEW YORK “PROPER-CAUSE” REQUIREMENT UNCONSTITUTIONAL</w:t>
      </w:r>
    </w:p>
    <w:p w14:paraId="73050240" w14:textId="77777777" w:rsidR="009A0402" w:rsidRDefault="009A0402" w:rsidP="009A0402">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On June 23, 2022, in </w:t>
      </w:r>
      <w:r>
        <w:rPr>
          <w:rFonts w:ascii="Times New Roman" w:hAnsi="Times New Roman"/>
          <w:sz w:val="24"/>
          <w:szCs w:val="24"/>
          <w:u w:val="single"/>
        </w:rPr>
        <w:t>New York State Rifle &amp; Pistol Association, et al. v. Bruen, Superintendent of New York State Police</w:t>
      </w:r>
      <w:r>
        <w:rPr>
          <w:rFonts w:ascii="Times New Roman" w:hAnsi="Times New Roman"/>
          <w:sz w:val="24"/>
          <w:szCs w:val="24"/>
        </w:rPr>
        <w:t xml:space="preserve">, the U.S. Supreme Court held (6 to 3) that the State’s requirement that residents must show a “proper-cause” to be able to carry a firearm violates their Second Amendment right to bear arms in public for self-defense. Brandon Koch, </w:t>
      </w:r>
      <w:r>
        <w:rPr>
          <w:rStyle w:val="markedcontent"/>
          <w:rFonts w:ascii="Times New Roman" w:hAnsi="Times New Roman"/>
          <w:sz w:val="24"/>
          <w:szCs w:val="24"/>
        </w:rPr>
        <w:t>Rensselaer County</w:t>
      </w:r>
      <w:r>
        <w:rPr>
          <w:rFonts w:ascii="Times New Roman" w:hAnsi="Times New Roman"/>
          <w:sz w:val="24"/>
          <w:szCs w:val="24"/>
        </w:rPr>
        <w:t xml:space="preserve"> and Robert Nash, </w:t>
      </w:r>
      <w:r>
        <w:rPr>
          <w:rStyle w:val="markedcontent"/>
          <w:rFonts w:ascii="Times New Roman" w:hAnsi="Times New Roman"/>
          <w:sz w:val="24"/>
          <w:szCs w:val="24"/>
        </w:rPr>
        <w:t>Averill Park,</w:t>
      </w:r>
      <w:r>
        <w:rPr>
          <w:rFonts w:ascii="Times New Roman" w:hAnsi="Times New Roman"/>
          <w:sz w:val="24"/>
          <w:szCs w:val="24"/>
        </w:rPr>
        <w:t xml:space="preserve"> are both members of the New York Rifle &amp; Pistol Association and were denied licenses to carry a firearm in public since they didn’t show any “special danger” and could only receive restricted licenses for only hunting and target practice. </w:t>
      </w:r>
      <w:hyperlink r:id="rId535" w:history="1">
        <w:r>
          <w:rPr>
            <w:rStyle w:val="Hyperlink"/>
            <w:sz w:val="24"/>
            <w:szCs w:val="24"/>
          </w:rPr>
          <w:t>https://www.supremecourt.gov/opinions/21pdf/20-843_7j80.pdf</w:t>
        </w:r>
      </w:hyperlink>
      <w:r>
        <w:rPr>
          <w:rFonts w:ascii="Times New Roman" w:hAnsi="Times New Roman"/>
          <w:sz w:val="24"/>
          <w:szCs w:val="24"/>
        </w:rPr>
        <w:t xml:space="preserve"> </w:t>
      </w:r>
    </w:p>
    <w:p w14:paraId="24BF93C5" w14:textId="77777777" w:rsidR="009A0402" w:rsidRDefault="009A0402" w:rsidP="009A0402">
      <w:pPr>
        <w:spacing w:before="100" w:beforeAutospacing="1" w:after="100" w:afterAutospacing="1" w:line="240" w:lineRule="auto"/>
        <w:rPr>
          <w:rFonts w:eastAsia="Times New Roman"/>
          <w:b/>
          <w:bCs/>
        </w:rPr>
      </w:pPr>
      <w:r>
        <w:rPr>
          <w:rFonts w:ascii="Times New Roman" w:eastAsia="Times New Roman" w:hAnsi="Times New Roman"/>
          <w:b/>
          <w:bCs/>
          <w:sz w:val="24"/>
          <w:szCs w:val="24"/>
        </w:rPr>
        <w:lastRenderedPageBreak/>
        <w:t xml:space="preserve">Legal Lesson Learned:  Fire &amp; EMS Department can post signs and issue policies prohibiting any firearms in their buildings, or apparatus, including by emergency responders. </w:t>
      </w:r>
    </w:p>
    <w:p w14:paraId="6494AA3B" w14:textId="77777777" w:rsidR="009A0402" w:rsidRDefault="009A0402" w:rsidP="009A0402">
      <w:pPr>
        <w:pStyle w:val="Heading1"/>
        <w:ind w:left="720"/>
        <w:rPr>
          <w:b w:val="0"/>
          <w:bCs w:val="0"/>
          <w:sz w:val="24"/>
          <w:szCs w:val="24"/>
        </w:rPr>
      </w:pPr>
      <w:r>
        <w:rPr>
          <w:b w:val="0"/>
          <w:bCs w:val="0"/>
          <w:sz w:val="24"/>
          <w:szCs w:val="24"/>
        </w:rPr>
        <w:t xml:space="preserve">Note this article: “What the Supreme Court’s Gun Ruling Means for New York” (June 24, 2022); </w:t>
      </w:r>
      <w:hyperlink r:id="rId536" w:history="1">
        <w:r>
          <w:rPr>
            <w:rStyle w:val="Hyperlink"/>
            <w:sz w:val="24"/>
            <w:szCs w:val="24"/>
          </w:rPr>
          <w:t>https://www.newyorker.com/news/our-local-correspondents/what-the-supreme-courts-gun-ruling-means-for-new-york</w:t>
        </w:r>
      </w:hyperlink>
      <w:r>
        <w:rPr>
          <w:b w:val="0"/>
          <w:bCs w:val="0"/>
          <w:sz w:val="24"/>
          <w:szCs w:val="24"/>
        </w:rPr>
        <w:t xml:space="preserve"> .  Within minutes of the ruling’s release, Governor Kathy Hochul, who called the ruling “shocking” and “frightful in its scope,” announced that she would call a special session of the state legislature, likely in the next few weeks, to respond. Just a few days ago, Hochul signed a package of new gun-control laws—including raising the minimum age for buying an AR-15-type rifle from eighteen to twenty-one—in response to the </w:t>
      </w:r>
      <w:hyperlink r:id="rId537" w:history="1">
        <w:r>
          <w:rPr>
            <w:rStyle w:val="Hyperlink"/>
            <w:sz w:val="24"/>
            <w:szCs w:val="24"/>
          </w:rPr>
          <w:t>racist mass shooting in Buffalo</w:t>
        </w:r>
      </w:hyperlink>
      <w:r>
        <w:rPr>
          <w:b w:val="0"/>
          <w:bCs w:val="0"/>
          <w:sz w:val="24"/>
          <w:szCs w:val="24"/>
        </w:rPr>
        <w:t xml:space="preserve">. New York has been one of the few states able to pass robust gun-control measures in response to mass shootings in recent years, and now its lawmakers will be tasked with coming up with a replacement for the Sullivan Act. This will likely include declaring public spaces such as schools and hospitals “sensitive spaces” where guns are barred, even for those with permits. Much of the focus in the debate will surely be on New York City, which saw a spike in shootings last year, and where arguments about crime and violence have lately been dominating the city’s interior monologue. When asked, on Thursday, whether New York City’s subways would qualify as ‘sensitive spaces,’ Hochul replied, ‘In my opinion, they </w:t>
      </w:r>
      <w:proofErr w:type="gramStart"/>
      <w:r>
        <w:rPr>
          <w:b w:val="0"/>
          <w:bCs w:val="0"/>
          <w:sz w:val="24"/>
          <w:szCs w:val="24"/>
        </w:rPr>
        <w:t>are.’”</w:t>
      </w:r>
      <w:proofErr w:type="gramEnd"/>
    </w:p>
    <w:p w14:paraId="593D3B51" w14:textId="77777777" w:rsidR="009A0402" w:rsidRDefault="009A0402" w:rsidP="00EF1133">
      <w:pPr>
        <w:pStyle w:val="NoSpacing"/>
        <w:rPr>
          <w:rFonts w:ascii="Arial Black" w:hAnsi="Arial Black"/>
          <w:sz w:val="24"/>
          <w:szCs w:val="24"/>
        </w:rPr>
      </w:pPr>
    </w:p>
    <w:p w14:paraId="150D93B0" w14:textId="77777777" w:rsidR="009A0402" w:rsidRDefault="009A0402" w:rsidP="00EF1133">
      <w:pPr>
        <w:pStyle w:val="NoSpacing"/>
        <w:rPr>
          <w:rFonts w:ascii="Arial Black" w:hAnsi="Arial Black"/>
          <w:sz w:val="24"/>
          <w:szCs w:val="24"/>
        </w:rPr>
      </w:pPr>
    </w:p>
    <w:p w14:paraId="16C65A2A" w14:textId="14AEE82C" w:rsidR="00E97D63" w:rsidRDefault="003F4E70" w:rsidP="00EF1133">
      <w:pPr>
        <w:pStyle w:val="NoSpacing"/>
        <w:rPr>
          <w:rFonts w:ascii="Arial Black" w:hAnsi="Arial Black"/>
          <w:sz w:val="24"/>
          <w:szCs w:val="24"/>
        </w:rPr>
      </w:pPr>
      <w:r>
        <w:rPr>
          <w:rFonts w:ascii="Arial Black" w:hAnsi="Arial Black"/>
          <w:sz w:val="24"/>
          <w:szCs w:val="24"/>
        </w:rPr>
        <w:t>2-43</w:t>
      </w:r>
    </w:p>
    <w:p w14:paraId="051F219D" w14:textId="77777777" w:rsidR="003F4E70" w:rsidRPr="00CD3B6F" w:rsidRDefault="003F4E70" w:rsidP="003F4E70">
      <w:pPr>
        <w:spacing w:before="100" w:beforeAutospacing="1" w:after="100" w:afterAutospacing="1" w:line="240" w:lineRule="auto"/>
        <w:rPr>
          <w:rFonts w:ascii="Arial Black" w:hAnsi="Arial Black"/>
          <w:sz w:val="28"/>
          <w:szCs w:val="28"/>
        </w:rPr>
      </w:pPr>
      <w:r>
        <w:rPr>
          <w:rFonts w:ascii="Arial Black" w:hAnsi="Arial Black"/>
          <w:sz w:val="28"/>
          <w:szCs w:val="28"/>
        </w:rPr>
        <w:t xml:space="preserve">IN: FF DIED CANCER – 4 DAYS PRIOR HE MARRIED FEMALE FF – $1.6M PENSION - SON LOSES ATTEMPT TO ANNUL </w:t>
      </w:r>
    </w:p>
    <w:p w14:paraId="77544263" w14:textId="16594154" w:rsidR="003F4E70" w:rsidRDefault="003F4E70" w:rsidP="003F4E70">
      <w:pPr>
        <w:pStyle w:val="NoSpacing"/>
        <w:rPr>
          <w:rFonts w:ascii="Arial Black" w:hAnsi="Arial Black"/>
          <w:sz w:val="24"/>
          <w:szCs w:val="24"/>
        </w:rPr>
      </w:pPr>
      <w:r>
        <w:rPr>
          <w:rFonts w:ascii="Times New Roman" w:hAnsi="Times New Roman"/>
          <w:sz w:val="24"/>
          <w:szCs w:val="24"/>
        </w:rPr>
        <w:t xml:space="preserve">On April 18, 2002, in </w:t>
      </w:r>
      <w:r w:rsidRPr="000C6632">
        <w:rPr>
          <w:rFonts w:ascii="Times New Roman" w:hAnsi="Times New Roman"/>
          <w:sz w:val="24"/>
          <w:szCs w:val="24"/>
          <w:u w:val="single"/>
        </w:rPr>
        <w:t>The Estate of Michael David Estridge, Sr. v. Lana Ann Taylor</w:t>
      </w:r>
      <w:r>
        <w:rPr>
          <w:rFonts w:ascii="Times New Roman" w:hAnsi="Times New Roman"/>
          <w:sz w:val="24"/>
          <w:szCs w:val="24"/>
        </w:rPr>
        <w:t>, the Court of Appeals of Indiana held (3 to 0) that the trial court judge, after a two-</w:t>
      </w:r>
      <w:proofErr w:type="gramStart"/>
      <w:r>
        <w:rPr>
          <w:rFonts w:ascii="Times New Roman" w:hAnsi="Times New Roman"/>
          <w:sz w:val="24"/>
          <w:szCs w:val="24"/>
        </w:rPr>
        <w:t>day bench</w:t>
      </w:r>
      <w:proofErr w:type="gramEnd"/>
      <w:r>
        <w:rPr>
          <w:rFonts w:ascii="Times New Roman" w:hAnsi="Times New Roman"/>
          <w:sz w:val="24"/>
          <w:szCs w:val="24"/>
        </w:rPr>
        <w:t xml:space="preserve"> trial, properly denied the petition to annul the marriage. </w:t>
      </w:r>
      <w:r w:rsidRPr="00642716">
        <w:rPr>
          <w:rFonts w:ascii="Times New Roman" w:eastAsia="Times New Roman" w:hAnsi="Times New Roman"/>
          <w:sz w:val="24"/>
          <w:szCs w:val="24"/>
        </w:rPr>
        <w:t xml:space="preserve">Estridge and Taylor, both firefighters and EMT/paramedics, first met in 2011 while employed at the same fire station. Estridge was diagnosed with cancer in 2015, and Taylor was informed of this diagnosis together with other co-workers and mutual friends. In the fall of 2016, Estridge and Taylor started dating and near the end of that year, Estridge first broached the subject of marriage. In the beginning of 2017, the relationship became sexual and toward the end of the year, Estridge proposed to </w:t>
      </w:r>
      <w:proofErr w:type="gramStart"/>
      <w:r w:rsidRPr="00642716">
        <w:rPr>
          <w:rFonts w:ascii="Times New Roman" w:eastAsia="Times New Roman" w:hAnsi="Times New Roman"/>
          <w:sz w:val="24"/>
          <w:szCs w:val="24"/>
        </w:rPr>
        <w:t>Taylor</w:t>
      </w:r>
      <w:proofErr w:type="gramEnd"/>
      <w:r w:rsidRPr="00642716">
        <w:rPr>
          <w:rFonts w:ascii="Times New Roman" w:eastAsia="Times New Roman" w:hAnsi="Times New Roman"/>
          <w:sz w:val="24"/>
          <w:szCs w:val="24"/>
        </w:rPr>
        <w:t xml:space="preserve"> but she was hesitant to commit. After another marriage proposal in early 2018, Taylor agreed and accepted Estridge's ring.</w:t>
      </w:r>
      <w:r>
        <w:rPr>
          <w:rFonts w:ascii="Times New Roman" w:eastAsia="Times New Roman" w:hAnsi="Times New Roman"/>
          <w:sz w:val="24"/>
          <w:szCs w:val="24"/>
        </w:rPr>
        <w:t xml:space="preserve"> </w:t>
      </w:r>
      <w:r>
        <w:rPr>
          <w:rFonts w:ascii="Times New Roman" w:hAnsi="Times New Roman"/>
          <w:sz w:val="24"/>
          <w:szCs w:val="24"/>
        </w:rPr>
        <w:t xml:space="preserve">They were married on May 2, </w:t>
      </w:r>
      <w:proofErr w:type="gramStart"/>
      <w:r>
        <w:rPr>
          <w:rFonts w:ascii="Times New Roman" w:hAnsi="Times New Roman"/>
          <w:sz w:val="24"/>
          <w:szCs w:val="24"/>
        </w:rPr>
        <w:t>2019</w:t>
      </w:r>
      <w:proofErr w:type="gramEnd"/>
      <w:r>
        <w:rPr>
          <w:rFonts w:ascii="Times New Roman" w:hAnsi="Times New Roman"/>
          <w:sz w:val="24"/>
          <w:szCs w:val="24"/>
        </w:rPr>
        <w:t xml:space="preserve"> in a courthouse, videotaped with fellow firefighters attending, without informing the firefighter’s children because they might object (36-year-age difference), and he died four days </w:t>
      </w:r>
      <w:proofErr w:type="gramStart"/>
      <w:r>
        <w:rPr>
          <w:rFonts w:ascii="Times New Roman" w:hAnsi="Times New Roman"/>
          <w:sz w:val="24"/>
          <w:szCs w:val="24"/>
        </w:rPr>
        <w:t>later on</w:t>
      </w:r>
      <w:proofErr w:type="gramEnd"/>
      <w:r>
        <w:rPr>
          <w:rFonts w:ascii="Times New Roman" w:hAnsi="Times New Roman"/>
          <w:sz w:val="24"/>
          <w:szCs w:val="24"/>
        </w:rPr>
        <w:t xml:space="preserve"> May 6, 2019.  The trial judge noted that </w:t>
      </w:r>
      <w:r w:rsidRPr="004518B5">
        <w:rPr>
          <w:rFonts w:ascii="Times New Roman" w:eastAsia="Times New Roman" w:hAnsi="Times New Roman"/>
          <w:sz w:val="24"/>
          <w:szCs w:val="24"/>
        </w:rPr>
        <w:t xml:space="preserve">Estridge had always intended Taylor to have his firefighter's pension, because, if he died unmarried, it would go </w:t>
      </w:r>
      <w:r>
        <w:rPr>
          <w:rFonts w:ascii="Times New Roman" w:eastAsia="Times New Roman" w:hAnsi="Times New Roman"/>
          <w:sz w:val="24"/>
          <w:szCs w:val="24"/>
        </w:rPr>
        <w:t>‘</w:t>
      </w:r>
      <w:r w:rsidRPr="004518B5">
        <w:rPr>
          <w:rFonts w:ascii="Times New Roman" w:eastAsia="Times New Roman" w:hAnsi="Times New Roman"/>
          <w:sz w:val="24"/>
          <w:szCs w:val="24"/>
        </w:rPr>
        <w:t>back into the till</w:t>
      </w:r>
      <w:r>
        <w:rPr>
          <w:rFonts w:ascii="Times New Roman" w:eastAsia="Times New Roman" w:hAnsi="Times New Roman"/>
          <w:sz w:val="24"/>
          <w:szCs w:val="24"/>
        </w:rPr>
        <w:t>’</w:t>
      </w:r>
      <w:r w:rsidRPr="004518B5">
        <w:rPr>
          <w:rFonts w:ascii="Times New Roman" w:eastAsia="Times New Roman" w:hAnsi="Times New Roman"/>
          <w:sz w:val="24"/>
          <w:szCs w:val="24"/>
        </w:rPr>
        <w:t xml:space="preserve"> and he </w:t>
      </w:r>
      <w:r>
        <w:rPr>
          <w:rFonts w:ascii="Times New Roman" w:eastAsia="Times New Roman" w:hAnsi="Times New Roman"/>
          <w:sz w:val="24"/>
          <w:szCs w:val="24"/>
        </w:rPr>
        <w:t>‘</w:t>
      </w:r>
      <w:r w:rsidRPr="004518B5">
        <w:rPr>
          <w:rFonts w:ascii="Times New Roman" w:eastAsia="Times New Roman" w:hAnsi="Times New Roman"/>
          <w:sz w:val="24"/>
          <w:szCs w:val="24"/>
        </w:rPr>
        <w:t>didn't want to work that long for nothing[, ]</w:t>
      </w:r>
      <w:r>
        <w:rPr>
          <w:rFonts w:ascii="Times New Roman" w:eastAsia="Times New Roman" w:hAnsi="Times New Roman"/>
          <w:sz w:val="24"/>
          <w:szCs w:val="24"/>
        </w:rPr>
        <w:t>’</w:t>
      </w:r>
      <w:r w:rsidRPr="004518B5">
        <w:rPr>
          <w:rFonts w:ascii="Times New Roman" w:eastAsia="Times New Roman" w:hAnsi="Times New Roman"/>
          <w:sz w:val="24"/>
          <w:szCs w:val="24"/>
        </w:rPr>
        <w:t xml:space="preserve"> so Estridge also signed a pension benefits beneficiary designation, listing Taylor as his spousal beneficiary. (Transcript Vol. II, p. 234). </w:t>
      </w:r>
      <w:r>
        <w:rPr>
          <w:rFonts w:ascii="Times New Roman" w:eastAsia="Times New Roman" w:hAnsi="Times New Roman"/>
          <w:sz w:val="24"/>
          <w:szCs w:val="24"/>
        </w:rPr>
        <w:t xml:space="preserve"> </w:t>
      </w:r>
      <w:r>
        <w:rPr>
          <w:rFonts w:ascii="Times New Roman" w:hAnsi="Times New Roman"/>
          <w:sz w:val="24"/>
          <w:szCs w:val="24"/>
        </w:rPr>
        <w:t xml:space="preserve">She will now receive $2,711.34 per month, or approximately $1,6 million over her lifetime.  </w:t>
      </w:r>
      <w:r w:rsidRPr="00642716">
        <w:rPr>
          <w:rFonts w:ascii="Times New Roman" w:hAnsi="Times New Roman"/>
          <w:sz w:val="24"/>
          <w:szCs w:val="24"/>
        </w:rPr>
        <w:t xml:space="preserve">In the absence of </w:t>
      </w:r>
      <w:proofErr w:type="gramStart"/>
      <w:r w:rsidRPr="00642716">
        <w:rPr>
          <w:rFonts w:ascii="Times New Roman" w:hAnsi="Times New Roman"/>
          <w:sz w:val="24"/>
          <w:szCs w:val="24"/>
        </w:rPr>
        <w:t>the marriage</w:t>
      </w:r>
      <w:proofErr w:type="gramEnd"/>
      <w:r w:rsidRPr="00642716">
        <w:rPr>
          <w:rFonts w:ascii="Times New Roman" w:hAnsi="Times New Roman"/>
          <w:sz w:val="24"/>
          <w:szCs w:val="24"/>
        </w:rPr>
        <w:t xml:space="preserve">, Estridge's estate would have received </w:t>
      </w:r>
      <w:r>
        <w:rPr>
          <w:rFonts w:ascii="Times New Roman" w:hAnsi="Times New Roman"/>
          <w:sz w:val="24"/>
          <w:szCs w:val="24"/>
        </w:rPr>
        <w:t xml:space="preserve">only </w:t>
      </w:r>
      <w:r w:rsidRPr="00642716">
        <w:rPr>
          <w:rFonts w:ascii="Times New Roman" w:hAnsi="Times New Roman"/>
          <w:sz w:val="24"/>
          <w:szCs w:val="24"/>
        </w:rPr>
        <w:t>the value of his contributions to the pension plan, which would have amounted to approximately $170, 000.</w:t>
      </w:r>
      <w:r>
        <w:rPr>
          <w:rFonts w:ascii="Times New Roman" w:hAnsi="Times New Roman"/>
          <w:sz w:val="24"/>
          <w:szCs w:val="24"/>
        </w:rPr>
        <w:t xml:space="preserve"> </w:t>
      </w:r>
      <w:hyperlink r:id="rId538" w:history="1">
        <w:r w:rsidRPr="00E9684A">
          <w:rPr>
            <w:rStyle w:val="Hyperlink"/>
            <w:rFonts w:ascii="Times New Roman" w:hAnsi="Times New Roman"/>
            <w:sz w:val="24"/>
            <w:szCs w:val="24"/>
          </w:rPr>
          <w:t>https://law.justia.com/cases/indiana/court-of-appeals/2022/21a-dn-01379.html</w:t>
        </w:r>
      </w:hyperlink>
    </w:p>
    <w:p w14:paraId="72A61B46" w14:textId="0C4836C1" w:rsidR="003F4E70" w:rsidRDefault="003F4E70" w:rsidP="00EF1133">
      <w:pPr>
        <w:pStyle w:val="NoSpacing"/>
        <w:rPr>
          <w:rFonts w:ascii="Arial Black" w:hAnsi="Arial Black"/>
          <w:sz w:val="24"/>
          <w:szCs w:val="24"/>
        </w:rPr>
      </w:pPr>
    </w:p>
    <w:p w14:paraId="572E2EDF" w14:textId="77777777" w:rsidR="003F4E70" w:rsidRDefault="003F4E70" w:rsidP="003F4E70">
      <w:pPr>
        <w:spacing w:after="100" w:line="240" w:lineRule="auto"/>
        <w:rPr>
          <w:rFonts w:ascii="Times New Roman" w:hAnsi="Times New Roman"/>
          <w:b/>
          <w:bCs/>
          <w:sz w:val="24"/>
          <w:szCs w:val="24"/>
        </w:rPr>
      </w:pPr>
      <w:r w:rsidRPr="00642716">
        <w:rPr>
          <w:rFonts w:ascii="Times New Roman" w:hAnsi="Times New Roman"/>
          <w:b/>
          <w:bCs/>
          <w:sz w:val="24"/>
          <w:szCs w:val="24"/>
        </w:rPr>
        <w:t>Legal Lesson Learned:</w:t>
      </w:r>
      <w:r>
        <w:rPr>
          <w:rFonts w:ascii="Times New Roman" w:hAnsi="Times New Roman"/>
          <w:b/>
          <w:bCs/>
          <w:sz w:val="24"/>
          <w:szCs w:val="24"/>
        </w:rPr>
        <w:t xml:space="preserve"> They wisely videotaped the wedding. </w:t>
      </w:r>
    </w:p>
    <w:p w14:paraId="0A7F5EC1" w14:textId="5362BF12" w:rsidR="003F4E70" w:rsidRDefault="003F4E70" w:rsidP="00EF1133">
      <w:pPr>
        <w:pStyle w:val="NoSpacing"/>
        <w:rPr>
          <w:rFonts w:ascii="Arial Black" w:hAnsi="Arial Black"/>
          <w:sz w:val="24"/>
          <w:szCs w:val="24"/>
        </w:rPr>
      </w:pPr>
    </w:p>
    <w:p w14:paraId="0E48EEC8" w14:textId="71FECDE8" w:rsidR="003F4E70" w:rsidRDefault="003F4E70" w:rsidP="00EF1133">
      <w:pPr>
        <w:pStyle w:val="NoSpacing"/>
        <w:rPr>
          <w:rFonts w:ascii="Arial Black" w:hAnsi="Arial Black"/>
          <w:sz w:val="24"/>
          <w:szCs w:val="24"/>
        </w:rPr>
      </w:pPr>
    </w:p>
    <w:p w14:paraId="3A1777CC" w14:textId="42708B8B" w:rsidR="00E97D63" w:rsidRDefault="00E97D63" w:rsidP="00EF1133">
      <w:pPr>
        <w:pStyle w:val="NoSpacing"/>
        <w:rPr>
          <w:rFonts w:ascii="Arial Black" w:hAnsi="Arial Black"/>
          <w:sz w:val="24"/>
          <w:szCs w:val="24"/>
        </w:rPr>
      </w:pPr>
      <w:r>
        <w:rPr>
          <w:rFonts w:ascii="Arial Black" w:hAnsi="Arial Black"/>
          <w:sz w:val="24"/>
          <w:szCs w:val="24"/>
        </w:rPr>
        <w:t>2-42</w:t>
      </w:r>
    </w:p>
    <w:p w14:paraId="529F3E56" w14:textId="77777777" w:rsidR="00E97D63" w:rsidRPr="00FF6BD3" w:rsidRDefault="00E97D63" w:rsidP="00E97D63">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lastRenderedPageBreak/>
        <w:t>NM: BORDER PATROL RECRUIT DIED – TIMED RUN  / WARM /  ALTITUDE – SICLE CELL - DEATH BENEFITS NEW REVIEW</w:t>
      </w:r>
    </w:p>
    <w:p w14:paraId="42275D75" w14:textId="77777777" w:rsidR="00E97D63" w:rsidRPr="00EE0394" w:rsidRDefault="00E97D63" w:rsidP="00E97D63">
      <w:pPr>
        <w:spacing w:before="100" w:beforeAutospacing="1" w:after="100" w:afterAutospacing="1" w:line="240" w:lineRule="auto"/>
        <w:rPr>
          <w:rFonts w:ascii="Times New Roman" w:eastAsia="Times New Roman" w:hAnsi="Times New Roman"/>
          <w:b/>
          <w:bCs/>
          <w:sz w:val="24"/>
          <w:szCs w:val="24"/>
        </w:rPr>
      </w:pPr>
      <w:r>
        <w:rPr>
          <w:rFonts w:ascii="Times New Roman" w:eastAsia="Times New Roman" w:hAnsi="Times New Roman"/>
          <w:sz w:val="24"/>
          <w:szCs w:val="24"/>
        </w:rPr>
        <w:t xml:space="preserve">On April 15, 2022, in </w:t>
      </w:r>
      <w:r w:rsidRPr="00EE0394">
        <w:rPr>
          <w:rFonts w:ascii="Times New Roman" w:eastAsia="Times New Roman" w:hAnsi="Times New Roman"/>
          <w:sz w:val="24"/>
          <w:szCs w:val="24"/>
          <w:u w:val="single"/>
        </w:rPr>
        <w:t>Lisa Afolayan, Widow of Nathaniel Afolayan v. U.S. Department of Justice</w:t>
      </w:r>
      <w:r>
        <w:rPr>
          <w:rFonts w:ascii="Times New Roman" w:eastAsia="Times New Roman" w:hAnsi="Times New Roman"/>
          <w:sz w:val="24"/>
          <w:szCs w:val="24"/>
        </w:rPr>
        <w:t xml:space="preserve">, the U.S. Court of Appeals for Federal Circuit (D.C.), held (3 to 0) that the denial of death benefits is vacated, and case remanded for further review.  The recruit died after a </w:t>
      </w:r>
      <w:r w:rsidRPr="00EE0394">
        <w:rPr>
          <w:rFonts w:ascii="Times New Roman" w:hAnsi="Times New Roman"/>
          <w:sz w:val="24"/>
          <w:szCs w:val="24"/>
        </w:rPr>
        <w:t xml:space="preserve">one-and-a-half mile run </w:t>
      </w:r>
      <w:r>
        <w:rPr>
          <w:rFonts w:ascii="Times New Roman" w:hAnsi="Times New Roman"/>
          <w:sz w:val="24"/>
          <w:szCs w:val="24"/>
        </w:rPr>
        <w:t xml:space="preserve">on April 30, 2019, </w:t>
      </w:r>
      <w:r w:rsidRPr="00EE0394">
        <w:rPr>
          <w:rFonts w:ascii="Times New Roman" w:hAnsi="Times New Roman"/>
          <w:sz w:val="24"/>
          <w:szCs w:val="24"/>
        </w:rPr>
        <w:t>to be completed in thirteen minutes or less</w:t>
      </w:r>
      <w:r>
        <w:rPr>
          <w:rFonts w:ascii="Times New Roman" w:hAnsi="Times New Roman"/>
          <w:sz w:val="24"/>
          <w:szCs w:val="24"/>
        </w:rPr>
        <w:t xml:space="preserve">; </w:t>
      </w:r>
      <w:r w:rsidRPr="00EE0394">
        <w:rPr>
          <w:rFonts w:ascii="Times New Roman" w:hAnsi="Times New Roman"/>
          <w:sz w:val="24"/>
          <w:szCs w:val="24"/>
        </w:rPr>
        <w:t>at approximately 3, 400 feet above sea level, with the temperature at approximately 88 degrees Fahrenheit and relative humidity between six and seven percent.</w:t>
      </w:r>
      <w:r>
        <w:rPr>
          <w:rFonts w:ascii="Times New Roman" w:hAnsi="Times New Roman"/>
          <w:sz w:val="24"/>
          <w:szCs w:val="24"/>
        </w:rPr>
        <w:t xml:space="preserve">  The death certificate listed “Heath Illness” as cause of death. </w:t>
      </w:r>
      <w:r>
        <w:rPr>
          <w:rFonts w:ascii="Times New Roman" w:eastAsia="Times New Roman" w:hAnsi="Times New Roman"/>
          <w:sz w:val="24"/>
          <w:szCs w:val="24"/>
        </w:rPr>
        <w:t xml:space="preserve">The Court found that the </w:t>
      </w:r>
      <w:proofErr w:type="spellStart"/>
      <w:r>
        <w:rPr>
          <w:rFonts w:ascii="Times New Roman" w:eastAsia="Times New Roman" w:hAnsi="Times New Roman"/>
          <w:sz w:val="24"/>
          <w:szCs w:val="24"/>
        </w:rPr>
        <w:t>DoJ</w:t>
      </w:r>
      <w:proofErr w:type="spellEnd"/>
      <w:r>
        <w:rPr>
          <w:rFonts w:ascii="Times New Roman" w:eastAsia="Times New Roman" w:hAnsi="Times New Roman"/>
          <w:sz w:val="24"/>
          <w:szCs w:val="24"/>
        </w:rPr>
        <w:t xml:space="preserve"> Bureau of Justice Assistance </w:t>
      </w:r>
      <w:r w:rsidRPr="00EE0394">
        <w:rPr>
          <w:rFonts w:ascii="Times New Roman" w:hAnsi="Times New Roman"/>
          <w:sz w:val="24"/>
          <w:szCs w:val="24"/>
        </w:rPr>
        <w:t xml:space="preserve">failed to determine whether the climatic conditions surrounding Agent Afolayan's death were a "direct and proximate cause" of his injuries, and if climatic conditions were a cause, whether Agent Afolayan's sickle cell trait could properly be considered in evaluating alternate causation. </w:t>
      </w:r>
      <w:hyperlink r:id="rId539" w:history="1">
        <w:r w:rsidRPr="00451CC8">
          <w:rPr>
            <w:rStyle w:val="Hyperlink"/>
            <w:rFonts w:ascii="Times New Roman" w:hAnsi="Times New Roman"/>
            <w:sz w:val="24"/>
            <w:szCs w:val="24"/>
          </w:rPr>
          <w:t>https://cafc.uscourts.gov/opinions-orders/21-1452.OPINION.4-15-2022_1936831.pdf</w:t>
        </w:r>
      </w:hyperlink>
      <w:r>
        <w:rPr>
          <w:rFonts w:ascii="Times New Roman" w:hAnsi="Times New Roman"/>
          <w:sz w:val="24"/>
          <w:szCs w:val="24"/>
        </w:rPr>
        <w:t xml:space="preserve"> </w:t>
      </w:r>
    </w:p>
    <w:p w14:paraId="05F98EEB" w14:textId="77777777" w:rsidR="003F4E70" w:rsidRPr="00CA3047" w:rsidRDefault="003F4E70" w:rsidP="003F4E70">
      <w:pPr>
        <w:spacing w:before="100" w:beforeAutospacing="1" w:after="100" w:afterAutospacing="1" w:line="240" w:lineRule="auto"/>
        <w:rPr>
          <w:rFonts w:ascii="Times New Roman" w:eastAsia="Times New Roman" w:hAnsi="Times New Roman"/>
          <w:b/>
          <w:bCs/>
          <w:sz w:val="24"/>
          <w:szCs w:val="24"/>
        </w:rPr>
      </w:pPr>
      <w:r>
        <w:rPr>
          <w:rFonts w:ascii="Times New Roman" w:eastAsia="Times New Roman" w:hAnsi="Times New Roman"/>
          <w:b/>
          <w:bCs/>
          <w:sz w:val="24"/>
          <w:szCs w:val="24"/>
        </w:rPr>
        <w:t xml:space="preserve">Legal Lesson Learned: Climate conditions can qualify as a “direct and proximate cause” of death. </w:t>
      </w:r>
    </w:p>
    <w:p w14:paraId="6301AEE4" w14:textId="77777777" w:rsidR="00E97D63" w:rsidRDefault="00E97D63" w:rsidP="00EF1133">
      <w:pPr>
        <w:pStyle w:val="NoSpacing"/>
        <w:rPr>
          <w:rFonts w:ascii="Arial Black" w:hAnsi="Arial Black"/>
          <w:sz w:val="24"/>
          <w:szCs w:val="24"/>
        </w:rPr>
      </w:pPr>
    </w:p>
    <w:p w14:paraId="2500BFDD" w14:textId="77777777" w:rsidR="00E97D63" w:rsidRDefault="00E97D63" w:rsidP="00EF1133">
      <w:pPr>
        <w:pStyle w:val="NoSpacing"/>
        <w:rPr>
          <w:rFonts w:ascii="Arial Black" w:hAnsi="Arial Black"/>
          <w:sz w:val="24"/>
          <w:szCs w:val="24"/>
        </w:rPr>
      </w:pPr>
    </w:p>
    <w:p w14:paraId="66EEC629" w14:textId="77777777" w:rsidR="00E97D63" w:rsidRDefault="00E97D63" w:rsidP="00EF1133">
      <w:pPr>
        <w:pStyle w:val="NoSpacing"/>
        <w:rPr>
          <w:rFonts w:ascii="Arial Black" w:hAnsi="Arial Black"/>
          <w:sz w:val="24"/>
          <w:szCs w:val="24"/>
        </w:rPr>
      </w:pPr>
    </w:p>
    <w:p w14:paraId="645A88D2" w14:textId="28CD4C24" w:rsidR="00A20CA7" w:rsidRDefault="00A20CA7" w:rsidP="00EF1133">
      <w:pPr>
        <w:pStyle w:val="NoSpacing"/>
        <w:rPr>
          <w:rFonts w:ascii="Arial Black" w:hAnsi="Arial Black"/>
          <w:sz w:val="24"/>
          <w:szCs w:val="24"/>
        </w:rPr>
      </w:pPr>
      <w:r>
        <w:rPr>
          <w:rFonts w:ascii="Arial Black" w:hAnsi="Arial Black"/>
          <w:sz w:val="24"/>
          <w:szCs w:val="24"/>
        </w:rPr>
        <w:t>2-4</w:t>
      </w:r>
      <w:r w:rsidR="00680939">
        <w:rPr>
          <w:rFonts w:ascii="Arial Black" w:hAnsi="Arial Black"/>
          <w:sz w:val="24"/>
          <w:szCs w:val="24"/>
        </w:rPr>
        <w:t>1</w:t>
      </w:r>
    </w:p>
    <w:p w14:paraId="2594A18E" w14:textId="77777777" w:rsidR="00A20CA7" w:rsidRPr="00D42366" w:rsidRDefault="00A20CA7" w:rsidP="00A20CA7">
      <w:pPr>
        <w:spacing w:before="100" w:beforeAutospacing="1" w:after="100" w:afterAutospacing="1" w:line="240" w:lineRule="auto"/>
        <w:jc w:val="both"/>
        <w:rPr>
          <w:rFonts w:ascii="Arial Black" w:eastAsia="Times New Roman" w:hAnsi="Arial Black"/>
          <w:sz w:val="28"/>
          <w:szCs w:val="28"/>
        </w:rPr>
      </w:pPr>
      <w:r>
        <w:rPr>
          <w:rFonts w:ascii="Arial Black" w:eastAsia="Times New Roman" w:hAnsi="Arial Black"/>
          <w:b/>
          <w:bCs/>
          <w:sz w:val="28"/>
          <w:szCs w:val="28"/>
        </w:rPr>
        <w:t xml:space="preserve">LA: FF BLADDER CANCER – CLAIMS EXPOSURE AFFF FOAM - 2,000 CASES (50% FF) </w:t>
      </w:r>
      <w:r>
        <w:rPr>
          <w:rFonts w:ascii="Arial Black" w:eastAsia="Times New Roman" w:hAnsi="Arial Black"/>
          <w:sz w:val="28"/>
          <w:szCs w:val="28"/>
        </w:rPr>
        <w:t xml:space="preserve">WTH FED. JUDGE IN </w:t>
      </w:r>
      <w:r w:rsidRPr="00D42366">
        <w:rPr>
          <w:rFonts w:ascii="Arial Black" w:eastAsia="Times New Roman" w:hAnsi="Arial Black"/>
          <w:sz w:val="28"/>
          <w:szCs w:val="28"/>
        </w:rPr>
        <w:t>SOUTH CAROLINA</w:t>
      </w:r>
    </w:p>
    <w:p w14:paraId="28782E4A" w14:textId="490503B1" w:rsidR="00A20CA7" w:rsidRDefault="00A20CA7" w:rsidP="00A20CA7">
      <w:pPr>
        <w:pStyle w:val="NoSpacing"/>
        <w:rPr>
          <w:rStyle w:val="Hyperlink"/>
          <w:rFonts w:ascii="Times New Roman" w:hAnsi="Times New Roman"/>
          <w:sz w:val="24"/>
          <w:szCs w:val="24"/>
        </w:rPr>
      </w:pPr>
      <w:r w:rsidRPr="00D42366">
        <w:rPr>
          <w:rFonts w:ascii="Times New Roman" w:eastAsia="Times New Roman" w:hAnsi="Times New Roman"/>
          <w:sz w:val="24"/>
          <w:szCs w:val="24"/>
        </w:rPr>
        <w:t xml:space="preserve">On </w:t>
      </w:r>
      <w:r>
        <w:rPr>
          <w:rFonts w:ascii="Times New Roman" w:eastAsia="Times New Roman" w:hAnsi="Times New Roman"/>
          <w:sz w:val="24"/>
          <w:szCs w:val="24"/>
        </w:rPr>
        <w:t xml:space="preserve">Jan. 27, 2022, in </w:t>
      </w:r>
      <w:r w:rsidRPr="00D42366">
        <w:rPr>
          <w:rFonts w:ascii="Times New Roman" w:eastAsia="Times New Roman" w:hAnsi="Times New Roman"/>
          <w:sz w:val="24"/>
          <w:szCs w:val="24"/>
          <w:u w:val="single"/>
        </w:rPr>
        <w:t xml:space="preserve">David G. Tibbetts v. 3M Company, </w:t>
      </w:r>
      <w:r w:rsidRPr="00AE059C">
        <w:rPr>
          <w:rFonts w:ascii="Times New Roman" w:hAnsi="Times New Roman"/>
          <w:sz w:val="24"/>
          <w:szCs w:val="24"/>
        </w:rPr>
        <w:t xml:space="preserve">Tyco Fire Products LP and </w:t>
      </w:r>
      <w:proofErr w:type="spellStart"/>
      <w:r w:rsidRPr="00AE059C">
        <w:rPr>
          <w:rFonts w:ascii="Times New Roman" w:hAnsi="Times New Roman"/>
          <w:sz w:val="24"/>
          <w:szCs w:val="24"/>
        </w:rPr>
        <w:t>Chemguard</w:t>
      </w:r>
      <w:proofErr w:type="spellEnd"/>
      <w:r w:rsidRPr="00AE059C">
        <w:rPr>
          <w:rFonts w:ascii="Times New Roman" w:hAnsi="Times New Roman"/>
          <w:sz w:val="24"/>
          <w:szCs w:val="24"/>
        </w:rPr>
        <w:t>, Inc</w:t>
      </w:r>
      <w:r>
        <w:t xml:space="preserve">., </w:t>
      </w:r>
      <w:r>
        <w:rPr>
          <w:rFonts w:ascii="Times New Roman" w:eastAsia="Times New Roman" w:hAnsi="Times New Roman"/>
          <w:sz w:val="24"/>
          <w:szCs w:val="24"/>
        </w:rPr>
        <w:t xml:space="preserve">Chief U.S. District Court Judge Nannette Brown, U.S. District Court, Eastern District of Louisiana, granted defense motion to stay all discovery in this case so the Judicial Panel on </w:t>
      </w:r>
      <w:r w:rsidRPr="00AE059C">
        <w:rPr>
          <w:rFonts w:ascii="Times New Roman" w:eastAsia="Times New Roman" w:hAnsi="Times New Roman"/>
          <w:sz w:val="24"/>
          <w:szCs w:val="24"/>
        </w:rPr>
        <w:t xml:space="preserve">Multidistrict Litigation </w:t>
      </w:r>
      <w:r w:rsidRPr="00AE059C">
        <w:rPr>
          <w:rFonts w:ascii="Times New Roman" w:hAnsi="Times New Roman"/>
          <w:sz w:val="24"/>
          <w:szCs w:val="24"/>
        </w:rPr>
        <w:t xml:space="preserve">can decide </w:t>
      </w:r>
      <w:r>
        <w:rPr>
          <w:rFonts w:ascii="Times New Roman" w:hAnsi="Times New Roman"/>
          <w:sz w:val="24"/>
          <w:szCs w:val="24"/>
        </w:rPr>
        <w:t xml:space="preserve">to transfer it to </w:t>
      </w:r>
      <w:r w:rsidRPr="00843A24">
        <w:rPr>
          <w:rFonts w:ascii="Times New Roman" w:hAnsi="Times New Roman"/>
          <w:sz w:val="24"/>
          <w:szCs w:val="24"/>
        </w:rPr>
        <w:t>Judge Richard M. Gergel</w:t>
      </w:r>
      <w:r>
        <w:rPr>
          <w:rFonts w:ascii="Times New Roman" w:hAnsi="Times New Roman"/>
          <w:sz w:val="24"/>
          <w:szCs w:val="24"/>
        </w:rPr>
        <w:t xml:space="preserve">, </w:t>
      </w:r>
      <w:r w:rsidRPr="00843A24">
        <w:rPr>
          <w:rFonts w:ascii="Times New Roman" w:hAnsi="Times New Roman"/>
          <w:sz w:val="24"/>
          <w:szCs w:val="24"/>
        </w:rPr>
        <w:t>U</w:t>
      </w:r>
      <w:r>
        <w:rPr>
          <w:rFonts w:ascii="Times New Roman" w:hAnsi="Times New Roman"/>
          <w:sz w:val="24"/>
          <w:szCs w:val="24"/>
        </w:rPr>
        <w:t xml:space="preserve">.S. District Court in South Carolina, who has been presiding over similar cases since 2018 (now over 2,000 lawsuits, with more than half are firefighters with cancer).   </w:t>
      </w:r>
      <w:hyperlink r:id="rId540" w:history="1">
        <w:r w:rsidRPr="00AC2C12">
          <w:rPr>
            <w:rStyle w:val="Hyperlink"/>
            <w:rFonts w:ascii="Times New Roman" w:hAnsi="Times New Roman"/>
            <w:sz w:val="24"/>
            <w:szCs w:val="24"/>
          </w:rPr>
          <w:t>https://public.fastcase.com/9SKwsfNqTc6OieYDhNMyM9xc2pxP%2FDu9FaHS39uIywoNWZfMpeo5x%2FagXmZgtb6udFSKN2SMusDFZQbDcDfWSogmOURw4QaQEmhtdPNd1MI%3D</w:t>
        </w:r>
      </w:hyperlink>
    </w:p>
    <w:p w14:paraId="606B738B" w14:textId="153C77F6" w:rsidR="00A20CA7" w:rsidRDefault="00A20CA7" w:rsidP="00A20CA7">
      <w:pPr>
        <w:pStyle w:val="NoSpacing"/>
        <w:rPr>
          <w:rStyle w:val="Hyperlink"/>
          <w:rFonts w:ascii="Times New Roman" w:hAnsi="Times New Roman"/>
          <w:sz w:val="24"/>
          <w:szCs w:val="24"/>
        </w:rPr>
      </w:pPr>
    </w:p>
    <w:p w14:paraId="71B7A591" w14:textId="6A9810B9" w:rsidR="00A20CA7" w:rsidRDefault="00A20CA7" w:rsidP="00A20CA7">
      <w:pPr>
        <w:spacing w:before="100" w:beforeAutospacing="1" w:after="100" w:afterAutospacing="1" w:line="240" w:lineRule="auto"/>
        <w:rPr>
          <w:rFonts w:ascii="Times New Roman" w:hAnsi="Times New Roman"/>
          <w:b/>
          <w:bCs/>
          <w:sz w:val="24"/>
          <w:szCs w:val="24"/>
        </w:rPr>
      </w:pPr>
      <w:r w:rsidRPr="00843A24">
        <w:rPr>
          <w:rFonts w:ascii="Times New Roman" w:hAnsi="Times New Roman"/>
          <w:b/>
          <w:bCs/>
          <w:sz w:val="24"/>
          <w:szCs w:val="24"/>
        </w:rPr>
        <w:t xml:space="preserve">Legal Lesson Learned: </w:t>
      </w:r>
      <w:r>
        <w:rPr>
          <w:rFonts w:ascii="Times New Roman" w:hAnsi="Times New Roman"/>
          <w:b/>
          <w:bCs/>
          <w:sz w:val="24"/>
          <w:szCs w:val="24"/>
        </w:rPr>
        <w:t xml:space="preserve">AFFF should not be used at your FD. </w:t>
      </w:r>
    </w:p>
    <w:p w14:paraId="66C66DD5" w14:textId="65708268" w:rsidR="00680939" w:rsidRDefault="00680939" w:rsidP="00A20CA7">
      <w:pPr>
        <w:spacing w:before="100" w:beforeAutospacing="1" w:after="100" w:afterAutospacing="1" w:line="240" w:lineRule="auto"/>
        <w:rPr>
          <w:rFonts w:ascii="Times New Roman" w:hAnsi="Times New Roman"/>
          <w:b/>
          <w:bCs/>
          <w:sz w:val="24"/>
          <w:szCs w:val="24"/>
        </w:rPr>
      </w:pPr>
    </w:p>
    <w:p w14:paraId="2847BD8E" w14:textId="7C82A379" w:rsidR="00680939" w:rsidRDefault="00680939" w:rsidP="00A20CA7">
      <w:pPr>
        <w:spacing w:before="100" w:beforeAutospacing="1" w:after="100" w:afterAutospacing="1" w:line="240" w:lineRule="auto"/>
        <w:rPr>
          <w:rFonts w:ascii="Times New Roman" w:hAnsi="Times New Roman"/>
          <w:b/>
          <w:bCs/>
          <w:sz w:val="24"/>
          <w:szCs w:val="24"/>
        </w:rPr>
      </w:pPr>
      <w:r>
        <w:rPr>
          <w:rFonts w:ascii="Times New Roman" w:hAnsi="Times New Roman"/>
          <w:b/>
          <w:bCs/>
          <w:sz w:val="24"/>
          <w:szCs w:val="24"/>
        </w:rPr>
        <w:t>2-40 [also filed Chap. 17]</w:t>
      </w:r>
    </w:p>
    <w:p w14:paraId="4B7019A4" w14:textId="77777777" w:rsidR="00680939" w:rsidRPr="000007E3" w:rsidRDefault="00680939" w:rsidP="00680939">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NY: CBA – 5 FF MINIMUM MANNING – CHIEF CANNOT UNILATERALLY CHANGE – ARBITRATION TO PROCEED</w:t>
      </w:r>
    </w:p>
    <w:p w14:paraId="26948AA9" w14:textId="77777777" w:rsidR="00680939" w:rsidRDefault="00680939" w:rsidP="00680939">
      <w:pPr>
        <w:spacing w:before="100" w:beforeAutospacing="1" w:after="100" w:afterAutospacing="1" w:line="240" w:lineRule="auto"/>
        <w:rPr>
          <w:rFonts w:ascii="Times New Roman" w:hAnsi="Times New Roman"/>
          <w:sz w:val="24"/>
          <w:szCs w:val="24"/>
        </w:rPr>
      </w:pPr>
      <w:r>
        <w:rPr>
          <w:rFonts w:ascii="Times New Roman" w:eastAsia="Times New Roman" w:hAnsi="Times New Roman"/>
          <w:sz w:val="24"/>
          <w:szCs w:val="24"/>
        </w:rPr>
        <w:t xml:space="preserve">On Jan. 13, 2022, </w:t>
      </w:r>
      <w:r w:rsidRPr="00DA4E6C">
        <w:rPr>
          <w:rFonts w:ascii="Times New Roman" w:eastAsia="Times New Roman" w:hAnsi="Times New Roman"/>
          <w:sz w:val="24"/>
          <w:szCs w:val="24"/>
          <w:u w:val="single"/>
        </w:rPr>
        <w:t xml:space="preserve">In the Matter of the Arbitration Between </w:t>
      </w:r>
      <w:proofErr w:type="gramStart"/>
      <w:r w:rsidRPr="00DA4E6C">
        <w:rPr>
          <w:rFonts w:ascii="Times New Roman" w:eastAsia="Times New Roman" w:hAnsi="Times New Roman"/>
          <w:sz w:val="24"/>
          <w:szCs w:val="24"/>
          <w:u w:val="single"/>
        </w:rPr>
        <w:t>The</w:t>
      </w:r>
      <w:proofErr w:type="gramEnd"/>
      <w:r w:rsidRPr="00DA4E6C">
        <w:rPr>
          <w:rFonts w:ascii="Times New Roman" w:eastAsia="Times New Roman" w:hAnsi="Times New Roman"/>
          <w:sz w:val="24"/>
          <w:szCs w:val="24"/>
          <w:u w:val="single"/>
        </w:rPr>
        <w:t xml:space="preserve"> City of Ogdensburg and IAFF Local 1792</w:t>
      </w:r>
      <w:r>
        <w:rPr>
          <w:rFonts w:ascii="Times New Roman" w:eastAsia="Times New Roman" w:hAnsi="Times New Roman"/>
          <w:sz w:val="24"/>
          <w:szCs w:val="24"/>
        </w:rPr>
        <w:t xml:space="preserve">, the Superior Court of New York (Third Department), held (5 to 0) that the trial court improperly granted the City’s </w:t>
      </w:r>
      <w:proofErr w:type="gramStart"/>
      <w:r>
        <w:rPr>
          <w:rFonts w:ascii="Times New Roman" w:eastAsia="Times New Roman" w:hAnsi="Times New Roman"/>
          <w:sz w:val="24"/>
          <w:szCs w:val="24"/>
        </w:rPr>
        <w:t>motion to</w:t>
      </w:r>
      <w:proofErr w:type="gramEnd"/>
      <w:r>
        <w:rPr>
          <w:rFonts w:ascii="Times New Roman" w:eastAsia="Times New Roman" w:hAnsi="Times New Roman"/>
          <w:sz w:val="24"/>
          <w:szCs w:val="24"/>
        </w:rPr>
        <w:t xml:space="preserve"> </w:t>
      </w:r>
      <w:r w:rsidRPr="00DA4E6C">
        <w:rPr>
          <w:rFonts w:ascii="Times New Roman" w:hAnsi="Times New Roman"/>
          <w:sz w:val="24"/>
          <w:szCs w:val="24"/>
        </w:rPr>
        <w:t>permanently stay arbitration between the parties.</w:t>
      </w:r>
      <w:r>
        <w:rPr>
          <w:rFonts w:ascii="Times New Roman" w:hAnsi="Times New Roman"/>
          <w:sz w:val="24"/>
          <w:szCs w:val="24"/>
        </w:rPr>
        <w:t xml:space="preserve">  The CBA provides for arbitration, and “</w:t>
      </w:r>
      <w:r w:rsidRPr="00BA6C00">
        <w:rPr>
          <w:rFonts w:ascii="Times New Roman" w:hAnsi="Times New Roman"/>
          <w:sz w:val="24"/>
          <w:szCs w:val="24"/>
        </w:rPr>
        <w:t>having adequate personnel on hand would be essential to ensure firefighter safety as well as success in fighting the fires.</w:t>
      </w:r>
      <w:r>
        <w:rPr>
          <w:rFonts w:ascii="Times New Roman" w:hAnsi="Times New Roman"/>
          <w:sz w:val="24"/>
          <w:szCs w:val="24"/>
        </w:rPr>
        <w:t xml:space="preserve">” </w:t>
      </w:r>
      <w:hyperlink r:id="rId541" w:history="1">
        <w:r w:rsidRPr="00A83547">
          <w:rPr>
            <w:rStyle w:val="Hyperlink"/>
            <w:rFonts w:ascii="Times New Roman" w:hAnsi="Times New Roman"/>
            <w:sz w:val="24"/>
            <w:szCs w:val="24"/>
          </w:rPr>
          <w:t>https://casetext.com/case/in-re-arbitration-between-city-of-ogdensburg</w:t>
        </w:r>
      </w:hyperlink>
      <w:r>
        <w:rPr>
          <w:rFonts w:ascii="Times New Roman" w:hAnsi="Times New Roman"/>
          <w:sz w:val="24"/>
          <w:szCs w:val="24"/>
        </w:rPr>
        <w:t xml:space="preserve"> </w:t>
      </w:r>
    </w:p>
    <w:p w14:paraId="2B984652" w14:textId="77777777" w:rsidR="00680939" w:rsidRDefault="00680939" w:rsidP="00680939">
      <w:pPr>
        <w:spacing w:before="100" w:beforeAutospacing="1" w:after="100" w:afterAutospacing="1" w:line="240" w:lineRule="auto"/>
      </w:pPr>
      <w:r>
        <w:rPr>
          <w:rFonts w:ascii="Times New Roman" w:eastAsia="Times New Roman" w:hAnsi="Times New Roman"/>
          <w:b/>
          <w:bCs/>
          <w:sz w:val="24"/>
          <w:szCs w:val="24"/>
        </w:rPr>
        <w:lastRenderedPageBreak/>
        <w:t xml:space="preserve">Legal Lesson Learned:  If CBA includes provision on minimum manning per shift, it cannot be unilaterally changed. </w:t>
      </w:r>
    </w:p>
    <w:p w14:paraId="1C1E24A2" w14:textId="77777777" w:rsidR="00680939" w:rsidRPr="00843A24" w:rsidRDefault="00680939" w:rsidP="00A20CA7">
      <w:pPr>
        <w:spacing w:before="100" w:beforeAutospacing="1" w:after="100" w:afterAutospacing="1" w:line="240" w:lineRule="auto"/>
        <w:rPr>
          <w:rFonts w:ascii="Times New Roman" w:hAnsi="Times New Roman"/>
          <w:b/>
          <w:bCs/>
          <w:sz w:val="24"/>
          <w:szCs w:val="24"/>
        </w:rPr>
      </w:pPr>
    </w:p>
    <w:p w14:paraId="4BD2D163" w14:textId="5BCBAE04" w:rsidR="00A20CA7" w:rsidRDefault="00A20CA7" w:rsidP="00A20CA7">
      <w:pPr>
        <w:pStyle w:val="NoSpacing"/>
        <w:rPr>
          <w:rFonts w:ascii="Arial Black" w:hAnsi="Arial Black"/>
          <w:sz w:val="24"/>
          <w:szCs w:val="24"/>
        </w:rPr>
      </w:pPr>
    </w:p>
    <w:p w14:paraId="2FDFC8B0" w14:textId="0B184564" w:rsidR="00A20CA7" w:rsidRDefault="00A20CA7" w:rsidP="00A20CA7">
      <w:pPr>
        <w:pStyle w:val="NoSpacing"/>
        <w:rPr>
          <w:rFonts w:ascii="Arial Black" w:hAnsi="Arial Black"/>
          <w:sz w:val="24"/>
          <w:szCs w:val="24"/>
        </w:rPr>
      </w:pPr>
      <w:r>
        <w:rPr>
          <w:rFonts w:ascii="Arial Black" w:hAnsi="Arial Black"/>
          <w:sz w:val="24"/>
          <w:szCs w:val="24"/>
        </w:rPr>
        <w:t>2-39</w:t>
      </w:r>
    </w:p>
    <w:p w14:paraId="0A52E03C" w14:textId="77777777" w:rsidR="00A20CA7" w:rsidRPr="00233069" w:rsidRDefault="00A20CA7" w:rsidP="00A20CA7">
      <w:pPr>
        <w:pStyle w:val="NormalWeb"/>
        <w:rPr>
          <w:rFonts w:ascii="Arial Black" w:hAnsi="Arial Black"/>
          <w:b/>
          <w:bCs/>
          <w:sz w:val="28"/>
          <w:szCs w:val="28"/>
        </w:rPr>
      </w:pPr>
      <w:r>
        <w:rPr>
          <w:rFonts w:ascii="Arial Black" w:hAnsi="Arial Black"/>
          <w:b/>
          <w:bCs/>
          <w:sz w:val="28"/>
          <w:szCs w:val="28"/>
        </w:rPr>
        <w:t xml:space="preserve">MD: FIREFIGHTER’S RULE – DEPUTY SHERRIF CAN’T SUE MOTORIST WHO STRUCK HER MOVING CAR AT ACCIDENT </w:t>
      </w:r>
    </w:p>
    <w:p w14:paraId="28711EFC" w14:textId="77777777" w:rsidR="00A20CA7" w:rsidRPr="006B4314" w:rsidRDefault="00A20CA7" w:rsidP="00A20CA7">
      <w:pPr>
        <w:rPr>
          <w:rFonts w:ascii="Times New Roman" w:hAnsi="Times New Roman"/>
          <w:sz w:val="24"/>
          <w:szCs w:val="24"/>
        </w:rPr>
      </w:pPr>
      <w:r w:rsidRPr="006B4314">
        <w:rPr>
          <w:rFonts w:ascii="Times New Roman" w:hAnsi="Times New Roman"/>
          <w:sz w:val="24"/>
          <w:szCs w:val="24"/>
        </w:rPr>
        <w:t xml:space="preserve">On Jan. 4, 2022, in </w:t>
      </w:r>
      <w:r w:rsidRPr="006B4314">
        <w:rPr>
          <w:rFonts w:ascii="Times New Roman" w:hAnsi="Times New Roman"/>
          <w:sz w:val="24"/>
          <w:szCs w:val="24"/>
          <w:u w:val="single"/>
        </w:rPr>
        <w:t xml:space="preserve">Kassondra Topper v. John C. Thomas, As Special Administrator of the estate of </w:t>
      </w:r>
      <w:proofErr w:type="spellStart"/>
      <w:r w:rsidRPr="006B4314">
        <w:rPr>
          <w:rFonts w:ascii="Times New Roman" w:hAnsi="Times New Roman"/>
          <w:sz w:val="24"/>
          <w:szCs w:val="24"/>
          <w:u w:val="single"/>
        </w:rPr>
        <w:t>Lynwod</w:t>
      </w:r>
      <w:proofErr w:type="spellEnd"/>
      <w:r w:rsidRPr="006B4314">
        <w:rPr>
          <w:rFonts w:ascii="Times New Roman" w:hAnsi="Times New Roman"/>
          <w:sz w:val="24"/>
          <w:szCs w:val="24"/>
          <w:u w:val="single"/>
        </w:rPr>
        <w:t xml:space="preserve"> Samuel Stride</w:t>
      </w:r>
      <w:r w:rsidRPr="006B4314">
        <w:rPr>
          <w:rFonts w:ascii="Times New Roman" w:hAnsi="Times New Roman"/>
          <w:sz w:val="24"/>
          <w:szCs w:val="24"/>
        </w:rPr>
        <w:t xml:space="preserve">, the Court of Special Appeals of Maryland, held (3 to 0) that a Deputy Sheriff is barred by the Fireman’s Rule from suing a motorist (or his estate, since he is now deceased) who ran into her for damages sustained while she was performing her normal duties. “The possibility of injury from the movement of the vehicle involved in the initial accident away from the lanes of travel was reasonably foreseeable as part of Deputy Topper's occupational risk in investigating a motor vehicle collision.” </w:t>
      </w:r>
      <w:hyperlink r:id="rId542" w:history="1">
        <w:r w:rsidRPr="006B4314">
          <w:rPr>
            <w:rStyle w:val="Hyperlink"/>
            <w:rFonts w:ascii="Times New Roman" w:hAnsi="Times New Roman"/>
            <w:sz w:val="24"/>
            <w:szCs w:val="24"/>
          </w:rPr>
          <w:t>https://casetext.com/case/topper-v-thomas</w:t>
        </w:r>
      </w:hyperlink>
      <w:r w:rsidRPr="006B4314">
        <w:rPr>
          <w:rFonts w:ascii="Times New Roman" w:hAnsi="Times New Roman"/>
          <w:sz w:val="24"/>
          <w:szCs w:val="24"/>
        </w:rPr>
        <w:t xml:space="preserve"> </w:t>
      </w:r>
    </w:p>
    <w:p w14:paraId="5F4FBC4C" w14:textId="77777777" w:rsidR="00A20CA7" w:rsidRPr="00DB3B03" w:rsidRDefault="00A20CA7" w:rsidP="00A20CA7">
      <w:pPr>
        <w:pStyle w:val="NormalWeb"/>
        <w:rPr>
          <w:b/>
          <w:bCs/>
        </w:rPr>
      </w:pPr>
      <w:r w:rsidRPr="00DB3B03">
        <w:rPr>
          <w:b/>
          <w:bCs/>
        </w:rPr>
        <w:t>Legal Lesson Learned:</w:t>
      </w:r>
      <w:r>
        <w:rPr>
          <w:b/>
          <w:bCs/>
        </w:rPr>
        <w:t xml:space="preserve"> The Fireman’s Rule is still effective in MD, OH and many other states.  It </w:t>
      </w:r>
      <w:proofErr w:type="gramStart"/>
      <w:r>
        <w:rPr>
          <w:b/>
          <w:bCs/>
        </w:rPr>
        <w:t>has been</w:t>
      </w:r>
      <w:proofErr w:type="gramEnd"/>
      <w:r>
        <w:rPr>
          <w:b/>
          <w:bCs/>
        </w:rPr>
        <w:t xml:space="preserve"> abolished in FL and narrowed in NY. </w:t>
      </w:r>
    </w:p>
    <w:p w14:paraId="1743424A" w14:textId="77777777" w:rsidR="00A20CA7" w:rsidRDefault="00A20CA7" w:rsidP="00A20CA7">
      <w:pPr>
        <w:pStyle w:val="NoSpacing"/>
        <w:rPr>
          <w:rFonts w:ascii="Arial Black" w:hAnsi="Arial Black"/>
          <w:sz w:val="24"/>
          <w:szCs w:val="24"/>
        </w:rPr>
      </w:pPr>
    </w:p>
    <w:p w14:paraId="66491E95" w14:textId="77777777" w:rsidR="00A20CA7" w:rsidRDefault="00A20CA7" w:rsidP="00EF1133">
      <w:pPr>
        <w:pStyle w:val="NoSpacing"/>
        <w:rPr>
          <w:rFonts w:ascii="Arial Black" w:hAnsi="Arial Black"/>
          <w:sz w:val="24"/>
          <w:szCs w:val="24"/>
        </w:rPr>
      </w:pPr>
    </w:p>
    <w:p w14:paraId="22EDEC2A" w14:textId="21FC4754" w:rsidR="00954D68" w:rsidRDefault="00954D68" w:rsidP="00EF1133">
      <w:pPr>
        <w:pStyle w:val="NoSpacing"/>
        <w:rPr>
          <w:rFonts w:ascii="Arial Black" w:hAnsi="Arial Black"/>
          <w:sz w:val="24"/>
          <w:szCs w:val="24"/>
        </w:rPr>
      </w:pPr>
      <w:r>
        <w:rPr>
          <w:rFonts w:ascii="Arial Black" w:hAnsi="Arial Black"/>
          <w:sz w:val="24"/>
          <w:szCs w:val="24"/>
        </w:rPr>
        <w:t>2-38</w:t>
      </w:r>
    </w:p>
    <w:p w14:paraId="50ABCA28" w14:textId="77777777" w:rsidR="00954D68" w:rsidRDefault="00954D68" w:rsidP="00954D68">
      <w:pPr>
        <w:spacing w:before="100" w:beforeAutospacing="1" w:after="100" w:afterAutospacing="1" w:line="240" w:lineRule="auto"/>
        <w:rPr>
          <w:rFonts w:ascii="Arial Black" w:eastAsia="Times New Roman" w:hAnsi="Arial Black"/>
          <w:sz w:val="28"/>
          <w:szCs w:val="28"/>
        </w:rPr>
      </w:pPr>
      <w:r>
        <w:rPr>
          <w:rFonts w:ascii="Arial Black" w:eastAsia="Times New Roman" w:hAnsi="Arial Black"/>
          <w:sz w:val="28"/>
          <w:szCs w:val="28"/>
        </w:rPr>
        <w:t xml:space="preserve">NY: POST 9/11 – SINUS/ BREATH - FDNY MEDIC TRAPPED NORTH TOWER - FINALLY GETS 100% DISABILITY </w:t>
      </w:r>
    </w:p>
    <w:p w14:paraId="69773AF8" w14:textId="77777777" w:rsidR="00954D68" w:rsidRPr="0099025C" w:rsidRDefault="00954D68" w:rsidP="00954D68">
      <w:pPr>
        <w:rPr>
          <w:rFonts w:ascii="Times New Roman" w:hAnsi="Times New Roman"/>
          <w:sz w:val="24"/>
          <w:szCs w:val="24"/>
        </w:rPr>
      </w:pPr>
      <w:r w:rsidRPr="0099025C">
        <w:rPr>
          <w:rFonts w:ascii="Times New Roman" w:hAnsi="Times New Roman"/>
          <w:sz w:val="24"/>
          <w:szCs w:val="24"/>
        </w:rPr>
        <w:t xml:space="preserve">On Dec. 13, 2021, </w:t>
      </w:r>
      <w:r w:rsidRPr="0099025C">
        <w:rPr>
          <w:rFonts w:ascii="Times New Roman" w:hAnsi="Times New Roman"/>
          <w:sz w:val="24"/>
          <w:szCs w:val="24"/>
          <w:u w:val="single"/>
        </w:rPr>
        <w:t>In the Matter of the Application of Gary Smiley v. Melanie Winnery, as the Executive Director of the New York City Employee’s Retirement System</w:t>
      </w:r>
      <w:r w:rsidRPr="0099025C">
        <w:rPr>
          <w:rFonts w:ascii="Times New Roman" w:hAnsi="Times New Roman"/>
          <w:sz w:val="24"/>
          <w:szCs w:val="24"/>
        </w:rPr>
        <w:t xml:space="preserve">, Justice Loren Bailey-Schiffman, Supreme Court (Kings County) held (unpublished decision) held that the firefighter is entitled to full “Performance of Duty” (POD) disability benefits since he is no longer able to perform duties of a paramedic. The Workers’ Compensation Board in 2013 </w:t>
      </w:r>
      <w:proofErr w:type="gramStart"/>
      <w:r w:rsidRPr="0099025C">
        <w:rPr>
          <w:rFonts w:ascii="Times New Roman" w:hAnsi="Times New Roman"/>
          <w:sz w:val="24"/>
          <w:szCs w:val="24"/>
        </w:rPr>
        <w:t>had only awarded</w:t>
      </w:r>
      <w:proofErr w:type="gramEnd"/>
      <w:r w:rsidRPr="0099025C">
        <w:rPr>
          <w:rFonts w:ascii="Times New Roman" w:hAnsi="Times New Roman"/>
          <w:sz w:val="24"/>
          <w:szCs w:val="24"/>
        </w:rPr>
        <w:t xml:space="preserve"> him a 45% partial disability for reactive airway disease, eye irritation, shortness of breath, sinusitis &amp; PTSD.</w:t>
      </w:r>
    </w:p>
    <w:p w14:paraId="6FC416CE" w14:textId="1E1E1F27" w:rsidR="00954D68" w:rsidRDefault="00954D68" w:rsidP="00954D68">
      <w:pPr>
        <w:pStyle w:val="NoSpacing"/>
        <w:ind w:left="720"/>
        <w:rPr>
          <w:rFonts w:ascii="Arial Black" w:hAnsi="Arial Black"/>
          <w:sz w:val="24"/>
          <w:szCs w:val="24"/>
        </w:rPr>
      </w:pPr>
      <w:r w:rsidRPr="0099025C">
        <w:rPr>
          <w:rFonts w:ascii="Times New Roman" w:eastAsia="Times New Roman" w:hAnsi="Times New Roman"/>
          <w:sz w:val="24"/>
          <w:szCs w:val="24"/>
        </w:rPr>
        <w:t>“</w:t>
      </w:r>
      <w:r w:rsidRPr="0099025C">
        <w:rPr>
          <w:rFonts w:ascii="Times New Roman" w:hAnsi="Times New Roman"/>
          <w:sz w:val="24"/>
          <w:szCs w:val="24"/>
        </w:rPr>
        <w:t xml:space="preserve">The Board repeatedly found that Petitioner has no functional impairment despite confirmed reports that he cannot be exposed to smoke or other irritants, often has to lie down for hours at a time due to headaches and dizziness and is required to administer no less than three to four sinus rinses per day as well as two or three inhalers and possibly the nebulizer. Clearly, the standard as set forth above has not been met…. </w:t>
      </w:r>
      <w:r w:rsidRPr="0099025C">
        <w:rPr>
          <w:rFonts w:ascii="Times New Roman" w:eastAsia="Times New Roman" w:hAnsi="Times New Roman"/>
          <w:sz w:val="24"/>
          <w:szCs w:val="24"/>
        </w:rPr>
        <w:t xml:space="preserve">The reports upon which Respondents' denials are based fail to set forth any facts supporting the conclusion that Petitioner does not have a functional impairment. No less than four doctors confirmed Petitioner's </w:t>
      </w:r>
      <w:proofErr w:type="gramStart"/>
      <w:r w:rsidRPr="0099025C">
        <w:rPr>
          <w:rFonts w:ascii="Times New Roman" w:eastAsia="Times New Roman" w:hAnsi="Times New Roman"/>
          <w:sz w:val="24"/>
          <w:szCs w:val="24"/>
        </w:rPr>
        <w:t>debilitating severe</w:t>
      </w:r>
      <w:proofErr w:type="gramEnd"/>
      <w:r w:rsidRPr="0099025C">
        <w:rPr>
          <w:rFonts w:ascii="Times New Roman" w:eastAsia="Times New Roman" w:hAnsi="Times New Roman"/>
          <w:sz w:val="24"/>
          <w:szCs w:val="24"/>
        </w:rPr>
        <w:t xml:space="preserve"> and debilitating sinusitis accompanied by headaches and dizziness. Moreover, Dr. Shohet, Dr. Lin, Dr. Crane and all treating doctors have opined that Mr. Smiley cannot perform the duties of a paramedic. No reason is given why these opinions are ignored.” </w:t>
      </w:r>
      <w:hyperlink r:id="rId543" w:history="1">
        <w:r w:rsidRPr="00EC5853">
          <w:rPr>
            <w:rStyle w:val="Hyperlink"/>
            <w:rFonts w:ascii="Times New Roman" w:eastAsia="Times New Roman" w:hAnsi="Times New Roman"/>
            <w:sz w:val="24"/>
            <w:szCs w:val="24"/>
          </w:rPr>
          <w:t>https://public.fastcase.com/9SKwsfNqTc6OieYDhNMyM3GFxg7E14LGt6irGiW6D0AdOSai6WztEAqO8TQbOt2UAfcs%2Ff2iM4MWcxpFzO0W88e5H95ADB2MkHVFfrY4yKc%3D</w:t>
        </w:r>
      </w:hyperlink>
    </w:p>
    <w:p w14:paraId="2C40145E" w14:textId="77777777" w:rsidR="00954D68" w:rsidRDefault="00954D68" w:rsidP="00EF1133">
      <w:pPr>
        <w:pStyle w:val="NoSpacing"/>
        <w:rPr>
          <w:rFonts w:ascii="Arial Black" w:hAnsi="Arial Black"/>
          <w:sz w:val="24"/>
          <w:szCs w:val="24"/>
        </w:rPr>
      </w:pPr>
    </w:p>
    <w:p w14:paraId="15F530DA" w14:textId="77777777" w:rsidR="00954D68" w:rsidRPr="0099025C" w:rsidRDefault="00954D68" w:rsidP="00954D68">
      <w:pPr>
        <w:spacing w:before="100" w:beforeAutospacing="1" w:after="100" w:afterAutospacing="1" w:line="240" w:lineRule="auto"/>
        <w:rPr>
          <w:rFonts w:ascii="Times New Roman" w:hAnsi="Times New Roman"/>
          <w:b/>
          <w:bCs/>
          <w:sz w:val="24"/>
          <w:szCs w:val="24"/>
        </w:rPr>
      </w:pPr>
      <w:r w:rsidRPr="0099025C">
        <w:rPr>
          <w:rFonts w:ascii="Times New Roman" w:hAnsi="Times New Roman"/>
          <w:b/>
          <w:bCs/>
          <w:sz w:val="24"/>
          <w:szCs w:val="24"/>
        </w:rPr>
        <w:t xml:space="preserve">Legal Lesson Learned:  Helpful opinion; the Medical Board cannot “cherry pick” the evidence on disability. </w:t>
      </w:r>
    </w:p>
    <w:p w14:paraId="0AB8AF96" w14:textId="77777777" w:rsidR="00954D68" w:rsidRDefault="00954D68" w:rsidP="00EF1133">
      <w:pPr>
        <w:pStyle w:val="NoSpacing"/>
        <w:rPr>
          <w:rFonts w:ascii="Arial Black" w:hAnsi="Arial Black"/>
          <w:sz w:val="24"/>
          <w:szCs w:val="24"/>
        </w:rPr>
      </w:pPr>
    </w:p>
    <w:p w14:paraId="0731A0DF" w14:textId="77777777" w:rsidR="00954D68" w:rsidRDefault="00954D68" w:rsidP="00EF1133">
      <w:pPr>
        <w:pStyle w:val="NoSpacing"/>
        <w:rPr>
          <w:rFonts w:ascii="Arial Black" w:hAnsi="Arial Black"/>
          <w:sz w:val="24"/>
          <w:szCs w:val="24"/>
        </w:rPr>
      </w:pPr>
    </w:p>
    <w:p w14:paraId="384872EB" w14:textId="6A34D08D" w:rsidR="00365F63" w:rsidRDefault="00365F63" w:rsidP="00EF1133">
      <w:pPr>
        <w:pStyle w:val="NoSpacing"/>
        <w:rPr>
          <w:rFonts w:ascii="Arial Black" w:hAnsi="Arial Black"/>
          <w:sz w:val="24"/>
          <w:szCs w:val="24"/>
        </w:rPr>
      </w:pPr>
      <w:r>
        <w:rPr>
          <w:rFonts w:ascii="Arial Black" w:hAnsi="Arial Black"/>
          <w:sz w:val="24"/>
          <w:szCs w:val="24"/>
        </w:rPr>
        <w:t>2-37</w:t>
      </w:r>
    </w:p>
    <w:p w14:paraId="1BB1AB65" w14:textId="77777777" w:rsidR="00365F63" w:rsidRDefault="00365F63" w:rsidP="00365F63">
      <w:pPr>
        <w:pStyle w:val="NormalWeb"/>
        <w:rPr>
          <w:rFonts w:ascii="Arial Black" w:hAnsi="Arial Black"/>
          <w:sz w:val="28"/>
          <w:szCs w:val="28"/>
        </w:rPr>
      </w:pPr>
      <w:r>
        <w:rPr>
          <w:rFonts w:ascii="Arial Black" w:hAnsi="Arial Black"/>
          <w:sz w:val="28"/>
          <w:szCs w:val="28"/>
        </w:rPr>
        <w:t>KS: FIREFIGHTER HEARING LOSS – ENTITLED TO WORKER’S COMP FOR SIRENS – OTHER LOUD NOISES IN HIS CAREER</w:t>
      </w:r>
    </w:p>
    <w:p w14:paraId="0A08F2FF" w14:textId="77777777" w:rsidR="00365F63" w:rsidRDefault="00365F63" w:rsidP="00365F63">
      <w:pPr>
        <w:pStyle w:val="NormalWeb"/>
      </w:pPr>
      <w:r>
        <w:t xml:space="preserve">On Nov. 19, 2021, in </w:t>
      </w:r>
      <w:r w:rsidRPr="003E0CE5">
        <w:rPr>
          <w:u w:val="single"/>
        </w:rPr>
        <w:t>Patrick O’Neal v. City of Hutchinson</w:t>
      </w:r>
      <w:r>
        <w:t xml:space="preserve">, the Court of Appeals of Kansas, held (3 to 0) (not designated for publication) that the firefighter was entitled to worker’s comp for permanent hearing loss and tinnitus due to repetitive exposure to loud noises during his career. While his initial claim was for a single event with air horn activation inside a fire station (Feb. 23, 2009) was denied, he is entitled to medical coverage for repetitive exposure during his 1994 – 2017 career. </w:t>
      </w:r>
    </w:p>
    <w:p w14:paraId="145EE80C" w14:textId="77777777" w:rsidR="00365F63" w:rsidRDefault="00365F63" w:rsidP="00365F63">
      <w:pPr>
        <w:spacing w:before="100" w:beforeAutospacing="1" w:after="100" w:afterAutospacing="1" w:line="240" w:lineRule="auto"/>
        <w:ind w:left="720"/>
        <w:rPr>
          <w:rFonts w:ascii="Times New Roman" w:hAnsi="Times New Roman"/>
          <w:sz w:val="24"/>
          <w:szCs w:val="24"/>
        </w:rPr>
      </w:pPr>
      <w:r>
        <w:rPr>
          <w:rFonts w:ascii="Times New Roman" w:eastAsia="Times New Roman" w:hAnsi="Times New Roman"/>
          <w:sz w:val="24"/>
          <w:szCs w:val="24"/>
        </w:rPr>
        <w:t>“</w:t>
      </w:r>
      <w:r w:rsidRPr="003E0CE5">
        <w:rPr>
          <w:rFonts w:ascii="Times New Roman" w:hAnsi="Times New Roman"/>
          <w:sz w:val="24"/>
          <w:szCs w:val="24"/>
        </w:rPr>
        <w:t xml:space="preserve">The </w:t>
      </w:r>
      <w:proofErr w:type="gramStart"/>
      <w:r w:rsidRPr="003E0CE5">
        <w:rPr>
          <w:rFonts w:ascii="Times New Roman" w:hAnsi="Times New Roman"/>
          <w:sz w:val="24"/>
          <w:szCs w:val="24"/>
        </w:rPr>
        <w:t>City</w:t>
      </w:r>
      <w:proofErr w:type="gramEnd"/>
      <w:r w:rsidRPr="003E0CE5">
        <w:rPr>
          <w:rFonts w:ascii="Times New Roman" w:hAnsi="Times New Roman"/>
          <w:sz w:val="24"/>
          <w:szCs w:val="24"/>
        </w:rPr>
        <w:t xml:space="preserve"> has not met its burden to show the Board erred in granting a compensation award to O'Neal. The City's own expert from the single accident claim provided evidence in support of O'Neal's repetitive injury claim. The evidence is sufficient for a reasonable person to find it supported the Board's compensation award.</w:t>
      </w:r>
    </w:p>
    <w:p w14:paraId="17F8CBCF" w14:textId="77777777" w:rsidR="00365F63" w:rsidRPr="003E0CE5" w:rsidRDefault="00365F63" w:rsidP="00365F63">
      <w:pPr>
        <w:spacing w:before="100" w:beforeAutospacing="1" w:after="100" w:afterAutospacing="1" w:line="240" w:lineRule="auto"/>
        <w:ind w:left="720"/>
        <w:rPr>
          <w:rFonts w:ascii="Times New Roman" w:eastAsia="Times New Roman" w:hAnsi="Times New Roman"/>
          <w:b/>
          <w:bCs/>
          <w:sz w:val="24"/>
          <w:szCs w:val="24"/>
        </w:rPr>
      </w:pPr>
      <w:r>
        <w:rPr>
          <w:rFonts w:ascii="Times New Roman" w:hAnsi="Times New Roman"/>
          <w:sz w:val="24"/>
          <w:szCs w:val="24"/>
        </w:rPr>
        <w:t>***</w:t>
      </w:r>
    </w:p>
    <w:p w14:paraId="3EAF878F" w14:textId="77777777" w:rsidR="00365F63" w:rsidRDefault="00365F63" w:rsidP="00365F63">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T</w:t>
      </w:r>
      <w:r w:rsidRPr="006863C2">
        <w:rPr>
          <w:rFonts w:ascii="Times New Roman" w:hAnsi="Times New Roman"/>
          <w:sz w:val="24"/>
          <w:szCs w:val="24"/>
        </w:rPr>
        <w:t xml:space="preserve">he City's required hearing exams showed in 2002 that O'Neal sustained hearing loss. Given that it required its firefighters to undergo hearing tests every other year until age 40 and then every year thereafter, the </w:t>
      </w:r>
      <w:proofErr w:type="gramStart"/>
      <w:r w:rsidRPr="006863C2">
        <w:rPr>
          <w:rFonts w:ascii="Times New Roman" w:hAnsi="Times New Roman"/>
          <w:sz w:val="24"/>
          <w:szCs w:val="24"/>
        </w:rPr>
        <w:t>City</w:t>
      </w:r>
      <w:proofErr w:type="gramEnd"/>
      <w:r w:rsidRPr="006863C2">
        <w:rPr>
          <w:rFonts w:ascii="Times New Roman" w:hAnsi="Times New Roman"/>
          <w:sz w:val="24"/>
          <w:szCs w:val="24"/>
        </w:rPr>
        <w:t xml:space="preserve"> was aware firefighters were at risk for hearing loss from their jobs. O'Neal's 2002 audiogram showed he was sustaining hearing loss, and no alternative explanation was given, except for occasionally using firearms. Dr. Epp testified that at the time of the 2002 test, </w:t>
      </w:r>
      <w:proofErr w:type="gramStart"/>
      <w:r w:rsidRPr="006863C2">
        <w:rPr>
          <w:rFonts w:ascii="Times New Roman" w:hAnsi="Times New Roman"/>
          <w:sz w:val="24"/>
          <w:szCs w:val="24"/>
        </w:rPr>
        <w:t>O'Neal</w:t>
      </w:r>
      <w:proofErr w:type="gramEnd"/>
      <w:r w:rsidRPr="006863C2">
        <w:rPr>
          <w:rFonts w:ascii="Times New Roman" w:hAnsi="Times New Roman"/>
          <w:sz w:val="24"/>
          <w:szCs w:val="24"/>
        </w:rPr>
        <w:t xml:space="preserve"> more likely than </w:t>
      </w:r>
      <w:proofErr w:type="gramStart"/>
      <w:r w:rsidRPr="006863C2">
        <w:rPr>
          <w:rFonts w:ascii="Times New Roman" w:hAnsi="Times New Roman"/>
          <w:sz w:val="24"/>
          <w:szCs w:val="24"/>
        </w:rPr>
        <w:t>not</w:t>
      </w:r>
      <w:proofErr w:type="gramEnd"/>
      <w:r w:rsidRPr="006863C2">
        <w:rPr>
          <w:rFonts w:ascii="Times New Roman" w:hAnsi="Times New Roman"/>
          <w:sz w:val="24"/>
          <w:szCs w:val="24"/>
        </w:rPr>
        <w:t xml:space="preserve"> had sustained hearing loss from his job, which was stabilizing at the time of the test.</w:t>
      </w:r>
    </w:p>
    <w:p w14:paraId="6EF05E1A" w14:textId="77777777" w:rsidR="00365F63" w:rsidRPr="006863C2" w:rsidRDefault="00365F63" w:rsidP="00365F63">
      <w:pPr>
        <w:spacing w:before="100" w:beforeAutospacing="1" w:after="100" w:afterAutospacing="1" w:line="240" w:lineRule="auto"/>
        <w:ind w:left="720"/>
        <w:rPr>
          <w:rFonts w:ascii="Times New Roman" w:eastAsia="Times New Roman" w:hAnsi="Times New Roman"/>
        </w:rPr>
      </w:pPr>
      <w:r w:rsidRPr="006863C2">
        <w:rPr>
          <w:rFonts w:ascii="Times New Roman" w:hAnsi="Times New Roman"/>
        </w:rPr>
        <w:t xml:space="preserve">The </w:t>
      </w:r>
      <w:proofErr w:type="gramStart"/>
      <w:r w:rsidRPr="006863C2">
        <w:rPr>
          <w:rFonts w:ascii="Times New Roman" w:hAnsi="Times New Roman"/>
        </w:rPr>
        <w:t>City</w:t>
      </w:r>
      <w:proofErr w:type="gramEnd"/>
      <w:r w:rsidRPr="006863C2">
        <w:rPr>
          <w:rFonts w:ascii="Times New Roman" w:hAnsi="Times New Roman"/>
        </w:rPr>
        <w:t xml:space="preserve"> was on notice, even before the date of the injury, that O'Neal had suffered hearing loss due to repetitive trauma from his work.</w:t>
      </w:r>
      <w:r>
        <w:rPr>
          <w:rFonts w:ascii="Times New Roman" w:hAnsi="Times New Roman"/>
        </w:rPr>
        <w:t xml:space="preserve">” </w:t>
      </w:r>
      <w:hyperlink r:id="rId544" w:history="1">
        <w:r w:rsidRPr="007C6FB3">
          <w:rPr>
            <w:rStyle w:val="Hyperlink"/>
            <w:rFonts w:ascii="Times New Roman" w:hAnsi="Times New Roman"/>
          </w:rPr>
          <w:t>https://casetext.com/case/oneal-v-city-of-hutchinson</w:t>
        </w:r>
      </w:hyperlink>
      <w:r>
        <w:rPr>
          <w:rFonts w:ascii="Times New Roman" w:hAnsi="Times New Roman"/>
        </w:rPr>
        <w:t xml:space="preserve"> </w:t>
      </w:r>
    </w:p>
    <w:p w14:paraId="53516FF7" w14:textId="77777777" w:rsidR="00365F63" w:rsidRPr="0022156A" w:rsidRDefault="00365F63" w:rsidP="00365F63">
      <w:pPr>
        <w:spacing w:before="100" w:beforeAutospacing="1" w:after="100" w:afterAutospacing="1" w:line="240" w:lineRule="auto"/>
        <w:rPr>
          <w:rFonts w:ascii="Times New Roman" w:hAnsi="Times New Roman"/>
          <w:b/>
          <w:bCs/>
          <w:sz w:val="24"/>
          <w:szCs w:val="24"/>
        </w:rPr>
      </w:pPr>
      <w:r w:rsidRPr="0022156A">
        <w:rPr>
          <w:rFonts w:ascii="Times New Roman" w:hAnsi="Times New Roman"/>
          <w:b/>
          <w:bCs/>
          <w:sz w:val="24"/>
          <w:szCs w:val="24"/>
        </w:rPr>
        <w:t>Legal Lesson Learned:</w:t>
      </w:r>
      <w:r>
        <w:rPr>
          <w:rFonts w:ascii="Times New Roman" w:hAnsi="Times New Roman"/>
          <w:b/>
          <w:bCs/>
          <w:sz w:val="24"/>
          <w:szCs w:val="24"/>
        </w:rPr>
        <w:t xml:space="preserve"> Kansas workers comp statutes, like many states, </w:t>
      </w:r>
      <w:proofErr w:type="gramStart"/>
      <w:r>
        <w:rPr>
          <w:rFonts w:ascii="Times New Roman" w:hAnsi="Times New Roman"/>
          <w:b/>
          <w:bCs/>
          <w:sz w:val="24"/>
          <w:szCs w:val="24"/>
        </w:rPr>
        <w:t>provides</w:t>
      </w:r>
      <w:proofErr w:type="gramEnd"/>
      <w:r>
        <w:rPr>
          <w:rFonts w:ascii="Times New Roman" w:hAnsi="Times New Roman"/>
          <w:b/>
          <w:bCs/>
          <w:sz w:val="24"/>
          <w:szCs w:val="24"/>
        </w:rPr>
        <w:t xml:space="preserve"> medical coverage for hearing loss arising from the job.  </w:t>
      </w:r>
    </w:p>
    <w:p w14:paraId="15438586" w14:textId="77777777" w:rsidR="00365F63" w:rsidRDefault="00365F63" w:rsidP="00EF1133">
      <w:pPr>
        <w:pStyle w:val="NoSpacing"/>
        <w:rPr>
          <w:rFonts w:ascii="Arial Black" w:hAnsi="Arial Black"/>
          <w:sz w:val="24"/>
          <w:szCs w:val="24"/>
        </w:rPr>
      </w:pPr>
    </w:p>
    <w:p w14:paraId="5A308BDF" w14:textId="77777777" w:rsidR="00365F63" w:rsidRDefault="00365F63" w:rsidP="00EF1133">
      <w:pPr>
        <w:pStyle w:val="NoSpacing"/>
        <w:rPr>
          <w:rFonts w:ascii="Arial Black" w:hAnsi="Arial Black"/>
          <w:sz w:val="24"/>
          <w:szCs w:val="24"/>
        </w:rPr>
      </w:pPr>
    </w:p>
    <w:p w14:paraId="3A947F93" w14:textId="4E6D8267" w:rsidR="00243A7F" w:rsidRDefault="00243A7F" w:rsidP="00EF1133">
      <w:pPr>
        <w:pStyle w:val="NoSpacing"/>
        <w:rPr>
          <w:rFonts w:ascii="Arial Black" w:hAnsi="Arial Black"/>
          <w:sz w:val="24"/>
          <w:szCs w:val="24"/>
        </w:rPr>
      </w:pPr>
      <w:r>
        <w:rPr>
          <w:rFonts w:ascii="Arial Black" w:hAnsi="Arial Black"/>
          <w:sz w:val="24"/>
          <w:szCs w:val="24"/>
        </w:rPr>
        <w:t>2-36</w:t>
      </w:r>
    </w:p>
    <w:p w14:paraId="2F6C55B7" w14:textId="77777777" w:rsidR="00243A7F" w:rsidRPr="008F74AA" w:rsidRDefault="00243A7F" w:rsidP="00243A7F">
      <w:pPr>
        <w:pStyle w:val="Heading1"/>
        <w:rPr>
          <w:rFonts w:ascii="Arial Black" w:hAnsi="Arial Black"/>
          <w:b w:val="0"/>
          <w:bCs w:val="0"/>
          <w:sz w:val="28"/>
          <w:szCs w:val="28"/>
        </w:rPr>
      </w:pPr>
      <w:r>
        <w:rPr>
          <w:rFonts w:ascii="Arial Black" w:hAnsi="Arial Black"/>
          <w:b w:val="0"/>
          <w:bCs w:val="0"/>
          <w:sz w:val="28"/>
          <w:szCs w:val="28"/>
        </w:rPr>
        <w:t>SC: CHARLESTON – COVID-19 VACCINATIONS MANDATED FOR POLICE AND FIRE – PRELIMINARY INJUNCTION DENIED</w:t>
      </w:r>
    </w:p>
    <w:p w14:paraId="6A2123A5" w14:textId="77777777" w:rsidR="00243A7F" w:rsidRDefault="00243A7F" w:rsidP="00243A7F">
      <w:pPr>
        <w:pStyle w:val="Heading1"/>
        <w:rPr>
          <w:b w:val="0"/>
          <w:bCs w:val="0"/>
          <w:sz w:val="24"/>
          <w:szCs w:val="24"/>
        </w:rPr>
      </w:pPr>
      <w:r>
        <w:rPr>
          <w:b w:val="0"/>
          <w:bCs w:val="0"/>
          <w:sz w:val="24"/>
          <w:szCs w:val="24"/>
        </w:rPr>
        <w:t xml:space="preserve">On Oct. 21, 2021, in three combined cases, </w:t>
      </w:r>
      <w:r w:rsidRPr="008F74AA">
        <w:rPr>
          <w:b w:val="0"/>
          <w:bCs w:val="0"/>
          <w:sz w:val="24"/>
          <w:szCs w:val="24"/>
          <w:u w:val="single"/>
        </w:rPr>
        <w:t>Sean Bauer, et al. v. City of North Charleston; Aaron Gdovicak, et al. v. City of Charleston; Ashleigh Tucker v. St. John Fire District</w:t>
      </w:r>
      <w:r>
        <w:rPr>
          <w:b w:val="0"/>
          <w:bCs w:val="0"/>
          <w:sz w:val="24"/>
          <w:szCs w:val="24"/>
        </w:rPr>
        <w:t xml:space="preserve">, U.S. District Court Judge David C. Norton, U.S. District Court for District of South Caroline (Charleston Division) denied request to issue a preliminary </w:t>
      </w:r>
      <w:r>
        <w:rPr>
          <w:b w:val="0"/>
          <w:bCs w:val="0"/>
          <w:sz w:val="24"/>
          <w:szCs w:val="24"/>
        </w:rPr>
        <w:lastRenderedPageBreak/>
        <w:t xml:space="preserve">injunction against employers’ vaccination mandates, citing 1905 U.S. Supreme Court decision requiring small pox vaccinations.  </w:t>
      </w:r>
    </w:p>
    <w:p w14:paraId="14616CCD" w14:textId="77777777" w:rsidR="00243A7F" w:rsidRDefault="00243A7F" w:rsidP="00243A7F">
      <w:pPr>
        <w:pStyle w:val="Heading1"/>
        <w:ind w:left="720"/>
        <w:rPr>
          <w:b w:val="0"/>
          <w:bCs w:val="0"/>
          <w:sz w:val="24"/>
          <w:szCs w:val="24"/>
        </w:rPr>
      </w:pPr>
      <w:r>
        <w:rPr>
          <w:b w:val="0"/>
          <w:bCs w:val="0"/>
          <w:sz w:val="24"/>
          <w:szCs w:val="24"/>
        </w:rPr>
        <w:t>“</w:t>
      </w:r>
      <w:r w:rsidRPr="008F74AA">
        <w:rPr>
          <w:b w:val="0"/>
          <w:bCs w:val="0"/>
          <w:sz w:val="24"/>
          <w:szCs w:val="24"/>
        </w:rPr>
        <w:t>While plaintiffs may remain unvaccinated at their own risk, the balance of equities and public interest do not require defendants to allow plaintiffs to spread that risk in their workplace and, by extension, into the communities they serve. Reasonable minds may disagree on the public health consequences of the Policies.</w:t>
      </w:r>
    </w:p>
    <w:p w14:paraId="7897B19C" w14:textId="77777777" w:rsidR="00243A7F" w:rsidRPr="008F74AA" w:rsidRDefault="00243A7F" w:rsidP="00243A7F">
      <w:pPr>
        <w:pStyle w:val="Heading1"/>
        <w:ind w:firstLine="720"/>
        <w:rPr>
          <w:b w:val="0"/>
          <w:bCs w:val="0"/>
          <w:sz w:val="24"/>
          <w:szCs w:val="24"/>
        </w:rPr>
      </w:pPr>
      <w:r>
        <w:rPr>
          <w:b w:val="0"/>
          <w:bCs w:val="0"/>
          <w:sz w:val="24"/>
          <w:szCs w:val="24"/>
        </w:rPr>
        <w:t>***</w:t>
      </w:r>
    </w:p>
    <w:p w14:paraId="6E85B643" w14:textId="77777777" w:rsidR="00243A7F" w:rsidRDefault="00243A7F" w:rsidP="00243A7F">
      <w:pPr>
        <w:pStyle w:val="NormalWeb"/>
        <w:ind w:left="720"/>
      </w:pPr>
      <w:r>
        <w:t xml:space="preserve">Notably, the Supreme Court has expressly rejected the idea of a fundamental right to refuse vaccination. In </w:t>
      </w:r>
      <w:r>
        <w:rPr>
          <w:rStyle w:val="Emphasis"/>
        </w:rPr>
        <w:t>Jacobson v. Massachusetts</w:t>
      </w:r>
      <w:r>
        <w:t xml:space="preserve">, 197 U.S. 11, 26–27 (1905), the Supreme Court upheld a state law allowing cities and towns to implement vaccine mandates </w:t>
      </w:r>
      <w:proofErr w:type="gramStart"/>
      <w:r>
        <w:t>in order to</w:t>
      </w:r>
      <w:proofErr w:type="gramEnd"/>
      <w:r>
        <w:t xml:space="preserve"> contain smallpox outbreaks. In so holding, the Supreme Court rejected an argument that liberty interests under the Fourteenth Amendment inevitably prevail in these circumstances. Specifically, the Supreme Court stated, ‘We are unwilling to hold it to be an element in the liberty secured by the Constitution of the United States that one person, or a minority of persons, residing in any community and enjoying the benefits of its local government, should have the power thus to dominate the majority when supported in their action by the authority of the state.’</w:t>
      </w:r>
    </w:p>
    <w:p w14:paraId="1AAE2DA4" w14:textId="77777777" w:rsidR="00243A7F" w:rsidRDefault="00243A7F" w:rsidP="00243A7F">
      <w:pPr>
        <w:pStyle w:val="Heading1"/>
        <w:ind w:left="720"/>
        <w:rPr>
          <w:b w:val="0"/>
          <w:bCs w:val="0"/>
          <w:sz w:val="24"/>
          <w:szCs w:val="24"/>
        </w:rPr>
      </w:pPr>
      <w:r>
        <w:rPr>
          <w:b w:val="0"/>
          <w:bCs w:val="0"/>
          <w:sz w:val="24"/>
          <w:szCs w:val="24"/>
        </w:rPr>
        <w:t>***</w:t>
      </w:r>
    </w:p>
    <w:p w14:paraId="2719A573" w14:textId="77777777" w:rsidR="00243A7F" w:rsidRPr="008F74AA" w:rsidRDefault="00243A7F" w:rsidP="00243A7F">
      <w:pPr>
        <w:pStyle w:val="Heading1"/>
        <w:ind w:left="720"/>
        <w:rPr>
          <w:b w:val="0"/>
          <w:bCs w:val="0"/>
          <w:sz w:val="24"/>
          <w:szCs w:val="24"/>
        </w:rPr>
      </w:pPr>
      <w:proofErr w:type="gramStart"/>
      <w:r w:rsidRPr="008F74AA">
        <w:rPr>
          <w:b w:val="0"/>
          <w:bCs w:val="0"/>
          <w:sz w:val="24"/>
          <w:szCs w:val="24"/>
        </w:rPr>
        <w:t>In light of</w:t>
      </w:r>
      <w:proofErr w:type="gramEnd"/>
      <w:r w:rsidRPr="008F74AA">
        <w:rPr>
          <w:b w:val="0"/>
          <w:bCs w:val="0"/>
          <w:sz w:val="24"/>
          <w:szCs w:val="24"/>
        </w:rPr>
        <w:t xml:space="preserve"> plaintiffs’ failure to show that their claims are likely to be meritorious, the balance of hardships that weighs in defendants’ favor, and the strong public interest that weighs against enjoining the Policies, the court finds that a preliminary injunction is not appropriate in this case. In denying plaintiffs’ motions, this court is not impugning either the integrity or the sincere nature of plaintiffs’ beliefs. However, it is not the court’s role to determine and impose the employer policies that best strike the balance of the competing interests of a pandemic that has plagued not just this state or country, but the world, for almost two years. Irrespective of politics, the court has evaluated and analyzed the law and the legal arguments raised by both sides. Unfortunately for plaintiffs, they have not stated a viable legal theory in support of an injunction, as each of the factors required to be considered, individually and collectively, weigh against the grant of injunctive relief.</w:t>
      </w:r>
      <w:r>
        <w:rPr>
          <w:b w:val="0"/>
          <w:bCs w:val="0"/>
          <w:sz w:val="24"/>
          <w:szCs w:val="24"/>
        </w:rPr>
        <w:t xml:space="preserve">” </w:t>
      </w:r>
      <w:hyperlink r:id="rId545" w:history="1">
        <w:r w:rsidRPr="00BD2840">
          <w:rPr>
            <w:rStyle w:val="Hyperlink"/>
            <w:sz w:val="24"/>
            <w:szCs w:val="24"/>
          </w:rPr>
          <w:t>https://public.fastcase.com/9SKwsfNqTc6OieYDhNMyMw%2FXypC%2BGCgzOI8YVtEGVa9n7jEOxoaSK8egV%2FDY7vKxD%2FnkzijiMqV0cvRDHM3YNZxTynpkQChMaJvb9tBM2DY%3D</w:t>
        </w:r>
      </w:hyperlink>
      <w:r>
        <w:rPr>
          <w:b w:val="0"/>
          <w:bCs w:val="0"/>
          <w:sz w:val="24"/>
          <w:szCs w:val="24"/>
        </w:rPr>
        <w:t xml:space="preserve"> </w:t>
      </w:r>
    </w:p>
    <w:p w14:paraId="5532DEAC" w14:textId="77777777" w:rsidR="00243A7F" w:rsidRPr="009F2E1C" w:rsidRDefault="00243A7F" w:rsidP="00243A7F">
      <w:pPr>
        <w:pStyle w:val="Heading1"/>
        <w:rPr>
          <w:sz w:val="24"/>
          <w:szCs w:val="24"/>
        </w:rPr>
      </w:pPr>
      <w:r w:rsidRPr="009F2E1C">
        <w:rPr>
          <w:sz w:val="24"/>
          <w:szCs w:val="24"/>
        </w:rPr>
        <w:t>Legal Lesson Learned:</w:t>
      </w:r>
      <w:r>
        <w:rPr>
          <w:sz w:val="24"/>
          <w:szCs w:val="24"/>
        </w:rPr>
        <w:t xml:space="preserve"> The Court issued a very detailed decision, examining and rejecting numerous Constitutional arguments by the plaintiffs. </w:t>
      </w:r>
    </w:p>
    <w:p w14:paraId="1B954DBE" w14:textId="77777777" w:rsidR="00243A7F" w:rsidRPr="00310A49" w:rsidRDefault="00243A7F" w:rsidP="00243A7F">
      <w:pPr>
        <w:pStyle w:val="Heading1"/>
        <w:ind w:left="720"/>
        <w:rPr>
          <w:rStyle w:val="Strong"/>
          <w:rFonts w:eastAsiaTheme="majorEastAsia"/>
          <w:b/>
          <w:bCs/>
          <w:sz w:val="24"/>
          <w:szCs w:val="24"/>
        </w:rPr>
      </w:pPr>
      <w:r w:rsidRPr="00BA6F47">
        <w:rPr>
          <w:rStyle w:val="Strong"/>
          <w:rFonts w:eastAsiaTheme="majorEastAsia"/>
          <w:sz w:val="24"/>
          <w:szCs w:val="24"/>
        </w:rPr>
        <w:t xml:space="preserve">Note: </w:t>
      </w:r>
      <w:r>
        <w:rPr>
          <w:rStyle w:val="Strong"/>
          <w:rFonts w:eastAsiaTheme="majorEastAsia"/>
          <w:sz w:val="24"/>
          <w:szCs w:val="24"/>
        </w:rPr>
        <w:t xml:space="preserve">See Oct. 19, 2021 decision in </w:t>
      </w:r>
      <w:r w:rsidRPr="00310A49">
        <w:rPr>
          <w:b w:val="0"/>
          <w:bCs w:val="0"/>
          <w:sz w:val="24"/>
          <w:szCs w:val="24"/>
          <w:u w:val="single"/>
        </w:rPr>
        <w:t>JANE DOES 1-6, et al. v. Janet T. Mills, Governor of State of Maine</w:t>
      </w:r>
      <w:r w:rsidRPr="00310A49">
        <w:rPr>
          <w:b w:val="0"/>
          <w:bCs w:val="0"/>
          <w:sz w:val="24"/>
          <w:szCs w:val="24"/>
        </w:rPr>
        <w:t xml:space="preserve">, </w:t>
      </w:r>
      <w:r>
        <w:rPr>
          <w:b w:val="0"/>
          <w:bCs w:val="0"/>
          <w:sz w:val="24"/>
          <w:szCs w:val="24"/>
        </w:rPr>
        <w:t>where U.S. Court of Appeals for First Circuit (Boston) held (3 to 0) that Federal District Court Judge properly denied preliminary injunction for s</w:t>
      </w:r>
      <w:r w:rsidRPr="00310A49">
        <w:rPr>
          <w:b w:val="0"/>
          <w:bCs w:val="0"/>
          <w:sz w:val="24"/>
          <w:szCs w:val="24"/>
        </w:rPr>
        <w:t>everal Maine healthcare workers (and a healthcare provider who runs his own practice)</w:t>
      </w:r>
      <w:r>
        <w:rPr>
          <w:b w:val="0"/>
          <w:bCs w:val="0"/>
          <w:sz w:val="24"/>
          <w:szCs w:val="24"/>
        </w:rPr>
        <w:t xml:space="preserve">. </w:t>
      </w:r>
      <w:hyperlink r:id="rId546" w:history="1">
        <w:r w:rsidRPr="00764F47">
          <w:rPr>
            <w:rStyle w:val="Hyperlink"/>
            <w:sz w:val="24"/>
            <w:szCs w:val="24"/>
          </w:rPr>
          <w:t>http://media.ca1.uscourts.gov/pdf.opinions/21-1826P-01A.pdf</w:t>
        </w:r>
      </w:hyperlink>
      <w:r>
        <w:rPr>
          <w:b w:val="0"/>
          <w:bCs w:val="0"/>
          <w:sz w:val="24"/>
          <w:szCs w:val="24"/>
        </w:rPr>
        <w:t xml:space="preserve"> </w:t>
      </w:r>
    </w:p>
    <w:p w14:paraId="49D44305" w14:textId="77777777" w:rsidR="00243A7F" w:rsidRDefault="00243A7F" w:rsidP="00243A7F">
      <w:pPr>
        <w:pStyle w:val="Heading1"/>
        <w:ind w:left="720"/>
        <w:rPr>
          <w:b w:val="0"/>
          <w:bCs w:val="0"/>
          <w:sz w:val="24"/>
          <w:szCs w:val="24"/>
        </w:rPr>
      </w:pPr>
      <w:r>
        <w:rPr>
          <w:b w:val="0"/>
          <w:bCs w:val="0"/>
          <w:sz w:val="24"/>
          <w:szCs w:val="24"/>
        </w:rPr>
        <w:t xml:space="preserve">See Oct. 18, 2021 decision – </w:t>
      </w:r>
      <w:r w:rsidRPr="00B46DFE">
        <w:rPr>
          <w:b w:val="0"/>
          <w:bCs w:val="0"/>
          <w:sz w:val="24"/>
          <w:szCs w:val="24"/>
          <w:u w:val="single"/>
        </w:rPr>
        <w:t>Malcolm Johnson</w:t>
      </w:r>
      <w:r>
        <w:rPr>
          <w:b w:val="0"/>
          <w:bCs w:val="0"/>
          <w:sz w:val="24"/>
          <w:szCs w:val="24"/>
          <w:u w:val="single"/>
        </w:rPr>
        <w:t>, et al.</w:t>
      </w:r>
      <w:r w:rsidRPr="00B46DFE">
        <w:rPr>
          <w:b w:val="0"/>
          <w:bCs w:val="0"/>
          <w:sz w:val="24"/>
          <w:szCs w:val="24"/>
          <w:u w:val="single"/>
        </w:rPr>
        <w:t xml:space="preserve"> v. Brown</w:t>
      </w:r>
      <w:r>
        <w:rPr>
          <w:b w:val="0"/>
          <w:bCs w:val="0"/>
          <w:sz w:val="24"/>
          <w:szCs w:val="24"/>
        </w:rPr>
        <w:t xml:space="preserve">, where U.S. District Court Judge </w:t>
      </w:r>
      <w:r w:rsidRPr="00B46DFE">
        <w:rPr>
          <w:b w:val="0"/>
          <w:bCs w:val="0"/>
          <w:sz w:val="24"/>
          <w:szCs w:val="24"/>
        </w:rPr>
        <w:t>Michael H. Simon</w:t>
      </w:r>
      <w:r>
        <w:rPr>
          <w:b w:val="0"/>
          <w:bCs w:val="0"/>
          <w:sz w:val="24"/>
          <w:szCs w:val="24"/>
        </w:rPr>
        <w:t xml:space="preserve">, U.S. District Court, Oregon, denied temporary restraining order for </w:t>
      </w:r>
      <w:r w:rsidRPr="00B46DFE">
        <w:rPr>
          <w:b w:val="0"/>
          <w:bCs w:val="0"/>
          <w:sz w:val="24"/>
          <w:szCs w:val="24"/>
        </w:rPr>
        <w:t>42 individuals who are healthcare providers, healthcare staff, teachers, school staff, a school volunteer, and a State agency employee</w:t>
      </w:r>
      <w:r>
        <w:rPr>
          <w:b w:val="0"/>
          <w:bCs w:val="0"/>
          <w:sz w:val="24"/>
          <w:szCs w:val="24"/>
        </w:rPr>
        <w:t xml:space="preserve">.  , </w:t>
      </w:r>
      <w:hyperlink r:id="rId547" w:history="1">
        <w:r w:rsidRPr="00764F47">
          <w:rPr>
            <w:rStyle w:val="Hyperlink"/>
            <w:sz w:val="24"/>
            <w:szCs w:val="24"/>
          </w:rPr>
          <w:t>https://public.fastcase.com/9SKwsfNqTc6OieYDhNMyM3Zf%2BPwzrkIbdAwXmhTtl8LsaOGFJIHcsZBv5iyM%2B426E1WD6poza6PbNV5FFspTPxqJQS%2BqrXpJYGMVjXOs9qA%3D</w:t>
        </w:r>
      </w:hyperlink>
      <w:r>
        <w:rPr>
          <w:b w:val="0"/>
          <w:bCs w:val="0"/>
          <w:sz w:val="24"/>
          <w:szCs w:val="24"/>
        </w:rPr>
        <w:t xml:space="preserve"> </w:t>
      </w:r>
    </w:p>
    <w:p w14:paraId="6F1BFE37" w14:textId="77777777" w:rsidR="00243A7F" w:rsidRDefault="00243A7F" w:rsidP="00243A7F">
      <w:pPr>
        <w:pStyle w:val="Heading1"/>
        <w:ind w:left="720"/>
        <w:rPr>
          <w:b w:val="0"/>
          <w:bCs w:val="0"/>
          <w:sz w:val="24"/>
          <w:szCs w:val="24"/>
        </w:rPr>
      </w:pPr>
      <w:r w:rsidRPr="00BA6F47">
        <w:rPr>
          <w:b w:val="0"/>
          <w:bCs w:val="0"/>
          <w:sz w:val="24"/>
          <w:szCs w:val="24"/>
        </w:rPr>
        <w:lastRenderedPageBreak/>
        <w:t xml:space="preserve">See also Aug. 12, </w:t>
      </w:r>
      <w:proofErr w:type="gramStart"/>
      <w:r w:rsidRPr="00BA6F47">
        <w:rPr>
          <w:b w:val="0"/>
          <w:bCs w:val="0"/>
          <w:sz w:val="24"/>
          <w:szCs w:val="24"/>
        </w:rPr>
        <w:t>2021</w:t>
      </w:r>
      <w:proofErr w:type="gramEnd"/>
      <w:r w:rsidRPr="00BA6F47">
        <w:rPr>
          <w:b w:val="0"/>
          <w:bCs w:val="0"/>
          <w:sz w:val="24"/>
          <w:szCs w:val="24"/>
        </w:rPr>
        <w:t xml:space="preserve"> article, “Supreme Court won’t stop Indiana University’s COVID vaccination requirement.” </w:t>
      </w:r>
      <w:hyperlink r:id="rId548" w:history="1">
        <w:r w:rsidRPr="00BD2840">
          <w:rPr>
            <w:rStyle w:val="Hyperlink"/>
            <w:sz w:val="24"/>
            <w:szCs w:val="24"/>
          </w:rPr>
          <w:t>https://www.14news.com/2021/08/12/supreme-court-wont-stop-indiana-universitys-covid-vaccination-requirement/</w:t>
        </w:r>
      </w:hyperlink>
      <w:r>
        <w:rPr>
          <w:b w:val="0"/>
          <w:bCs w:val="0"/>
          <w:sz w:val="24"/>
          <w:szCs w:val="24"/>
        </w:rPr>
        <w:t xml:space="preserve"> “</w:t>
      </w:r>
      <w:r w:rsidRPr="00BA6F47">
        <w:rPr>
          <w:b w:val="0"/>
          <w:bCs w:val="0"/>
          <w:sz w:val="24"/>
          <w:szCs w:val="24"/>
        </w:rPr>
        <w:t>INDIANAPOLIS, Ind. (WFIE) - NBC News reports the Supreme Court refused to block Indiana University’s vaccination requirement, ruling in the first COVID vaccine case to reach the high court on Thursday.</w:t>
      </w:r>
      <w:r>
        <w:rPr>
          <w:b w:val="0"/>
          <w:bCs w:val="0"/>
          <w:sz w:val="24"/>
          <w:szCs w:val="24"/>
        </w:rPr>
        <w:t>”</w:t>
      </w:r>
    </w:p>
    <w:p w14:paraId="1FF4774C" w14:textId="77777777" w:rsidR="00243A7F" w:rsidRDefault="00243A7F" w:rsidP="00243A7F">
      <w:pPr>
        <w:pStyle w:val="Heading1"/>
        <w:ind w:left="720"/>
        <w:rPr>
          <w:b w:val="0"/>
          <w:bCs w:val="0"/>
          <w:sz w:val="24"/>
          <w:szCs w:val="24"/>
        </w:rPr>
      </w:pPr>
      <w:r>
        <w:rPr>
          <w:b w:val="0"/>
          <w:bCs w:val="0"/>
          <w:sz w:val="24"/>
          <w:szCs w:val="24"/>
        </w:rPr>
        <w:t xml:space="preserve">See July 19, </w:t>
      </w:r>
      <w:proofErr w:type="gramStart"/>
      <w:r>
        <w:rPr>
          <w:b w:val="0"/>
          <w:bCs w:val="0"/>
          <w:sz w:val="24"/>
          <w:szCs w:val="24"/>
        </w:rPr>
        <w:t>2021</w:t>
      </w:r>
      <w:proofErr w:type="gramEnd"/>
      <w:r>
        <w:rPr>
          <w:b w:val="0"/>
          <w:bCs w:val="0"/>
          <w:sz w:val="24"/>
          <w:szCs w:val="24"/>
        </w:rPr>
        <w:t xml:space="preserve"> article: </w:t>
      </w:r>
      <w:r w:rsidRPr="00BA6F47">
        <w:rPr>
          <w:rStyle w:val="Strong"/>
          <w:rFonts w:eastAsiaTheme="majorEastAsia"/>
          <w:sz w:val="24"/>
          <w:szCs w:val="24"/>
        </w:rPr>
        <w:t>“</w:t>
      </w:r>
      <w:r w:rsidRPr="00BA6F47">
        <w:rPr>
          <w:b w:val="0"/>
          <w:bCs w:val="0"/>
          <w:sz w:val="24"/>
          <w:szCs w:val="24"/>
        </w:rPr>
        <w:t xml:space="preserve">IU wins court case, can proceed with COVID-19 vaccine requirement.” </w:t>
      </w:r>
      <w:hyperlink r:id="rId549" w:history="1">
        <w:r w:rsidRPr="00BD2840">
          <w:rPr>
            <w:rStyle w:val="Hyperlink"/>
            <w:sz w:val="24"/>
            <w:szCs w:val="24"/>
          </w:rPr>
          <w:t>https://www.953mnc.com/2021/07/19/iu-wins-court-case-can-proceed-with-covid-19-vaccine-requirement/</w:t>
        </w:r>
      </w:hyperlink>
      <w:r>
        <w:rPr>
          <w:b w:val="0"/>
          <w:bCs w:val="0"/>
          <w:sz w:val="24"/>
          <w:szCs w:val="24"/>
        </w:rPr>
        <w:t xml:space="preserve"> “</w:t>
      </w:r>
      <w:r w:rsidRPr="00BA6F47">
        <w:rPr>
          <w:b w:val="0"/>
          <w:bCs w:val="0"/>
          <w:sz w:val="24"/>
          <w:szCs w:val="24"/>
        </w:rPr>
        <w:t>Indiana University has won a court case that could have stopped them from requiring the coronavirus vaccine. The U.S. District Court for the Northern District of Indiana in South Bend issued a ruling overnight that denies an injunction south by at least eight IU students</w:t>
      </w:r>
      <w:r>
        <w:rPr>
          <w:b w:val="0"/>
          <w:bCs w:val="0"/>
          <w:sz w:val="24"/>
          <w:szCs w:val="24"/>
        </w:rPr>
        <w:t>.”</w:t>
      </w:r>
    </w:p>
    <w:p w14:paraId="2B066563" w14:textId="77777777" w:rsidR="00243A7F" w:rsidRDefault="00243A7F" w:rsidP="00EF1133">
      <w:pPr>
        <w:pStyle w:val="NoSpacing"/>
        <w:rPr>
          <w:rFonts w:ascii="Arial Black" w:hAnsi="Arial Black"/>
          <w:sz w:val="24"/>
          <w:szCs w:val="24"/>
        </w:rPr>
      </w:pPr>
    </w:p>
    <w:p w14:paraId="053D934E" w14:textId="77777777" w:rsidR="00243A7F" w:rsidRDefault="00243A7F" w:rsidP="00EF1133">
      <w:pPr>
        <w:pStyle w:val="NoSpacing"/>
        <w:rPr>
          <w:rFonts w:ascii="Arial Black" w:hAnsi="Arial Black"/>
          <w:sz w:val="24"/>
          <w:szCs w:val="24"/>
        </w:rPr>
      </w:pPr>
    </w:p>
    <w:p w14:paraId="4F20FBAF" w14:textId="77777777" w:rsidR="00243A7F" w:rsidRDefault="00243A7F" w:rsidP="00EF1133">
      <w:pPr>
        <w:pStyle w:val="NoSpacing"/>
        <w:rPr>
          <w:rFonts w:ascii="Arial Black" w:hAnsi="Arial Black"/>
          <w:sz w:val="24"/>
          <w:szCs w:val="24"/>
        </w:rPr>
      </w:pPr>
    </w:p>
    <w:p w14:paraId="50EA4138" w14:textId="2648BA54" w:rsidR="00BD1702" w:rsidRDefault="00BD1702" w:rsidP="00EF1133">
      <w:pPr>
        <w:pStyle w:val="NoSpacing"/>
        <w:rPr>
          <w:rFonts w:ascii="Arial Black" w:hAnsi="Arial Black"/>
          <w:sz w:val="24"/>
          <w:szCs w:val="24"/>
        </w:rPr>
      </w:pPr>
      <w:r>
        <w:rPr>
          <w:rFonts w:ascii="Arial Black" w:hAnsi="Arial Black"/>
          <w:sz w:val="24"/>
          <w:szCs w:val="24"/>
        </w:rPr>
        <w:t>2-35</w:t>
      </w:r>
    </w:p>
    <w:p w14:paraId="66397097" w14:textId="77777777" w:rsidR="00BD1702" w:rsidRDefault="00BD1702" w:rsidP="00BD1702">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WI: AIR CARE HELICOPTER CRASH – ALL KILLED – PILOT MAY HAVE FALLEN ASLEEP – LAWSUIT MAY PROCEED</w:t>
      </w:r>
    </w:p>
    <w:p w14:paraId="44A13EA0" w14:textId="77777777" w:rsidR="00BD1702" w:rsidRDefault="00BD1702" w:rsidP="00BD1702">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On Oct. 8, 2021, in </w:t>
      </w:r>
      <w:r>
        <w:rPr>
          <w:rFonts w:ascii="Times New Roman" w:eastAsia="Times New Roman" w:hAnsi="Times New Roman"/>
          <w:sz w:val="24"/>
          <w:szCs w:val="24"/>
          <w:u w:val="single"/>
        </w:rPr>
        <w:t xml:space="preserve">Lindsey Ward, Personal </w:t>
      </w:r>
      <w:proofErr w:type="spellStart"/>
      <w:r>
        <w:rPr>
          <w:rFonts w:ascii="Times New Roman" w:eastAsia="Times New Roman" w:hAnsi="Times New Roman"/>
          <w:sz w:val="24"/>
          <w:szCs w:val="24"/>
          <w:u w:val="single"/>
        </w:rPr>
        <w:t>Pepresentative</w:t>
      </w:r>
      <w:proofErr w:type="spellEnd"/>
      <w:r>
        <w:rPr>
          <w:rFonts w:ascii="Times New Roman" w:eastAsia="Times New Roman" w:hAnsi="Times New Roman"/>
          <w:sz w:val="24"/>
          <w:szCs w:val="24"/>
          <w:u w:val="single"/>
        </w:rPr>
        <w:t xml:space="preserve"> of Estate of Klint Mitchell, et al. v. Air Methods Corporation, et al.</w:t>
      </w:r>
      <w:r>
        <w:rPr>
          <w:rFonts w:ascii="Times New Roman" w:eastAsia="Times New Roman" w:hAnsi="Times New Roman"/>
          <w:sz w:val="24"/>
          <w:szCs w:val="24"/>
        </w:rPr>
        <w:t xml:space="preserve">, U.S. District Court Judge William M. Conley, Western District of Wisconsin, denied the defense motion to dismiss, holding that there is evidence of pilot fatigue.  </w:t>
      </w:r>
    </w:p>
    <w:p w14:paraId="78EC5DEF" w14:textId="77777777" w:rsidR="00BD1702" w:rsidRDefault="00BD1702" w:rsidP="00BD1702">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w:t>
      </w:r>
      <w:r>
        <w:rPr>
          <w:rFonts w:ascii="Times New Roman" w:hAnsi="Times New Roman"/>
          <w:sz w:val="24"/>
          <w:szCs w:val="24"/>
        </w:rPr>
        <w:t xml:space="preserve">Plaintiffs allege that Air Methods knew, or should have known, that Caruso would be too fatigued to transport patients and the medical team safely, and it should now be held liable for Mr. Mitchell's death…. Accordingly, plaintiff's claim for wrongful death based on defendant's alleged negligent entrustment states a claim and will not be dismissed at the pleading stage either.” </w:t>
      </w:r>
      <w:hyperlink r:id="rId550" w:history="1">
        <w:r>
          <w:rPr>
            <w:rStyle w:val="Hyperlink"/>
            <w:sz w:val="24"/>
            <w:szCs w:val="24"/>
          </w:rPr>
          <w:t>https://public.fastcase.com/9SKwsfNqTc6OieYDhNMyM3m3eL%2Bu4x8bx%2FFPqQ706C1Bfi57%2Fsm8VTkLX0Q5d2JY3Hl0cE%2BCK3yDi%2BV1afLDAxYamaVWukse%2F0EpEJzWMdw%3D</w:t>
        </w:r>
      </w:hyperlink>
      <w:r>
        <w:rPr>
          <w:rFonts w:ascii="Times New Roman" w:hAnsi="Times New Roman"/>
          <w:sz w:val="24"/>
          <w:szCs w:val="24"/>
        </w:rPr>
        <w:t xml:space="preserve"> </w:t>
      </w:r>
    </w:p>
    <w:p w14:paraId="216F22CD" w14:textId="77777777" w:rsidR="00BD1702" w:rsidRDefault="00BD1702" w:rsidP="00BD1702">
      <w:pPr>
        <w:spacing w:before="100" w:beforeAutospacing="1" w:after="100" w:afterAutospacing="1" w:line="240" w:lineRule="auto"/>
        <w:rPr>
          <w:rFonts w:ascii="Times New Roman" w:hAnsi="Times New Roman"/>
          <w:b/>
          <w:bCs/>
          <w:sz w:val="24"/>
          <w:szCs w:val="24"/>
        </w:rPr>
      </w:pPr>
      <w:r>
        <w:rPr>
          <w:rFonts w:ascii="Times New Roman" w:hAnsi="Times New Roman"/>
          <w:b/>
          <w:bCs/>
          <w:sz w:val="24"/>
          <w:szCs w:val="24"/>
        </w:rPr>
        <w:t xml:space="preserve">Legal Lesson Learned: Fatigue can be a serious factor, not only for pilots, but also fire &amp; EMS personnel. </w:t>
      </w:r>
    </w:p>
    <w:p w14:paraId="50A50CA8" w14:textId="77777777" w:rsidR="00BD1702" w:rsidRDefault="00BD1702" w:rsidP="00EF1133">
      <w:pPr>
        <w:pStyle w:val="NoSpacing"/>
        <w:rPr>
          <w:rFonts w:ascii="Arial Black" w:hAnsi="Arial Black"/>
          <w:sz w:val="24"/>
          <w:szCs w:val="24"/>
        </w:rPr>
      </w:pPr>
    </w:p>
    <w:p w14:paraId="158CC1D9" w14:textId="77777777" w:rsidR="00BD1702" w:rsidRDefault="00BD1702" w:rsidP="00EF1133">
      <w:pPr>
        <w:pStyle w:val="NoSpacing"/>
        <w:rPr>
          <w:rFonts w:ascii="Arial Black" w:hAnsi="Arial Black"/>
          <w:sz w:val="24"/>
          <w:szCs w:val="24"/>
        </w:rPr>
      </w:pPr>
    </w:p>
    <w:p w14:paraId="3A43AE8F" w14:textId="45D4F376" w:rsidR="005217D5" w:rsidRDefault="005217D5" w:rsidP="00EF1133">
      <w:pPr>
        <w:pStyle w:val="NoSpacing"/>
        <w:rPr>
          <w:rFonts w:ascii="Arial Black" w:hAnsi="Arial Black"/>
          <w:sz w:val="24"/>
          <w:szCs w:val="24"/>
        </w:rPr>
      </w:pPr>
      <w:r>
        <w:rPr>
          <w:rFonts w:ascii="Arial Black" w:hAnsi="Arial Black"/>
          <w:sz w:val="24"/>
          <w:szCs w:val="24"/>
        </w:rPr>
        <w:t>2-34</w:t>
      </w:r>
    </w:p>
    <w:p w14:paraId="30B4EAA8" w14:textId="279AF8FD" w:rsidR="005217D5" w:rsidRDefault="005217D5" w:rsidP="00EF1133">
      <w:pPr>
        <w:pStyle w:val="NoSpacing"/>
        <w:rPr>
          <w:rFonts w:ascii="Arial Black" w:hAnsi="Arial Black"/>
          <w:sz w:val="24"/>
          <w:szCs w:val="24"/>
        </w:rPr>
      </w:pPr>
    </w:p>
    <w:p w14:paraId="0B2C7626" w14:textId="77777777" w:rsidR="005217D5" w:rsidRPr="00A05016" w:rsidRDefault="005217D5" w:rsidP="005217D5">
      <w:pPr>
        <w:spacing w:before="100" w:beforeAutospacing="1" w:after="100" w:afterAutospacing="1" w:line="240" w:lineRule="auto"/>
        <w:rPr>
          <w:rFonts w:ascii="Arial Black" w:hAnsi="Arial Black"/>
          <w:sz w:val="28"/>
          <w:szCs w:val="28"/>
        </w:rPr>
      </w:pPr>
      <w:r w:rsidRPr="00A05016">
        <w:rPr>
          <w:rFonts w:ascii="Arial Black" w:hAnsi="Arial Black"/>
          <w:sz w:val="28"/>
          <w:szCs w:val="28"/>
        </w:rPr>
        <w:t>MO</w:t>
      </w:r>
      <w:r>
        <w:rPr>
          <w:rFonts w:ascii="Arial Black" w:hAnsi="Arial Black"/>
          <w:sz w:val="28"/>
          <w:szCs w:val="28"/>
        </w:rPr>
        <w:t xml:space="preserve">: FF INJURED BY FALLING BRICKS – PTSD - BUT NOT TOTALLY &amp; PERMANENTLY DISABLED </w:t>
      </w:r>
    </w:p>
    <w:p w14:paraId="43BD350B" w14:textId="77777777" w:rsidR="005217D5" w:rsidRPr="002E654B" w:rsidRDefault="005217D5" w:rsidP="005217D5">
      <w:pPr>
        <w:spacing w:before="100" w:beforeAutospacing="1" w:after="100" w:afterAutospacing="1" w:line="240" w:lineRule="auto"/>
        <w:rPr>
          <w:rFonts w:ascii="Times New Roman" w:hAnsi="Times New Roman"/>
          <w:sz w:val="24"/>
          <w:szCs w:val="24"/>
        </w:rPr>
      </w:pPr>
      <w:r w:rsidRPr="0040016A">
        <w:rPr>
          <w:rFonts w:ascii="Times New Roman" w:hAnsi="Times New Roman"/>
          <w:sz w:val="24"/>
          <w:szCs w:val="24"/>
        </w:rPr>
        <w:t xml:space="preserve">On July 20, 2021, in </w:t>
      </w:r>
      <w:r w:rsidRPr="0040016A">
        <w:rPr>
          <w:rFonts w:ascii="Times New Roman" w:hAnsi="Times New Roman"/>
          <w:sz w:val="24"/>
          <w:szCs w:val="24"/>
          <w:u w:val="single"/>
        </w:rPr>
        <w:t>Michael Taylor v. The Board of Trustees of the Firefighters’ Retirement Plan of St. Louis</w:t>
      </w:r>
      <w:r w:rsidRPr="0040016A">
        <w:rPr>
          <w:rFonts w:ascii="Times New Roman" w:hAnsi="Times New Roman"/>
          <w:sz w:val="24"/>
          <w:szCs w:val="24"/>
        </w:rPr>
        <w:t xml:space="preserve">, </w:t>
      </w:r>
      <w:r>
        <w:rPr>
          <w:rFonts w:ascii="Times New Roman" w:hAnsi="Times New Roman"/>
          <w:sz w:val="24"/>
          <w:szCs w:val="24"/>
        </w:rPr>
        <w:t xml:space="preserve">the Missouri Court of Appeals (Eastern District – Division Four) held (3 to 0) that the Retirement Board correctly denied his claim for total and permanent disability benefits (25% of his average final compensation), with one doctor describing “symptom magnification.”  </w:t>
      </w:r>
      <w:r w:rsidRPr="0040016A">
        <w:rPr>
          <w:rFonts w:ascii="Times New Roman" w:hAnsi="Times New Roman"/>
          <w:sz w:val="24"/>
          <w:szCs w:val="24"/>
        </w:rPr>
        <w:t>Taylor testified he was working as a stationary engineer trainee for the City of St. Louis at a water purification facility and that his PTSD symptoms were not preventing him from performing that job</w:t>
      </w:r>
      <w:r>
        <w:rPr>
          <w:rFonts w:ascii="Times New Roman" w:hAnsi="Times New Roman"/>
          <w:sz w:val="24"/>
          <w:szCs w:val="24"/>
        </w:rPr>
        <w:t xml:space="preserve">. The Board found </w:t>
      </w:r>
      <w:proofErr w:type="gramStart"/>
      <w:r>
        <w:rPr>
          <w:rFonts w:ascii="Times New Roman" w:hAnsi="Times New Roman"/>
          <w:sz w:val="24"/>
          <w:szCs w:val="24"/>
        </w:rPr>
        <w:t xml:space="preserve">the </w:t>
      </w:r>
      <w:r w:rsidRPr="002E654B">
        <w:rPr>
          <w:rFonts w:ascii="Times New Roman" w:hAnsi="Times New Roman"/>
          <w:sz w:val="24"/>
          <w:szCs w:val="24"/>
        </w:rPr>
        <w:t>Taylor's</w:t>
      </w:r>
      <w:proofErr w:type="gramEnd"/>
      <w:r w:rsidRPr="002E654B">
        <w:rPr>
          <w:rFonts w:ascii="Times New Roman" w:hAnsi="Times New Roman"/>
          <w:sz w:val="24"/>
          <w:szCs w:val="24"/>
        </w:rPr>
        <w:t xml:space="preserve"> failure to return to work </w:t>
      </w:r>
      <w:r>
        <w:rPr>
          <w:rFonts w:ascii="Times New Roman" w:hAnsi="Times New Roman"/>
          <w:sz w:val="24"/>
          <w:szCs w:val="24"/>
        </w:rPr>
        <w:t xml:space="preserve">as a firefighter </w:t>
      </w:r>
      <w:r w:rsidRPr="002E654B">
        <w:rPr>
          <w:rFonts w:ascii="Times New Roman" w:hAnsi="Times New Roman"/>
          <w:sz w:val="24"/>
          <w:szCs w:val="24"/>
        </w:rPr>
        <w:t>was caused by his "unwillingness to return to work</w:t>
      </w:r>
      <w:r>
        <w:rPr>
          <w:rFonts w:ascii="Times New Roman" w:hAnsi="Times New Roman"/>
          <w:sz w:val="24"/>
          <w:szCs w:val="24"/>
        </w:rPr>
        <w:t>.</w:t>
      </w:r>
      <w:r w:rsidRPr="002E654B">
        <w:rPr>
          <w:rFonts w:ascii="Times New Roman" w:hAnsi="Times New Roman"/>
          <w:sz w:val="24"/>
          <w:szCs w:val="24"/>
        </w:rPr>
        <w:t>"</w:t>
      </w:r>
      <w:r>
        <w:rPr>
          <w:rFonts w:ascii="Times New Roman" w:hAnsi="Times New Roman"/>
          <w:sz w:val="24"/>
          <w:szCs w:val="24"/>
        </w:rPr>
        <w:t xml:space="preserve"> </w:t>
      </w:r>
    </w:p>
    <w:p w14:paraId="4CA8CB66" w14:textId="77777777" w:rsidR="005217D5" w:rsidRDefault="005217D5" w:rsidP="005217D5">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lastRenderedPageBreak/>
        <w:t>“</w:t>
      </w:r>
      <w:r w:rsidRPr="0040016A">
        <w:rPr>
          <w:rFonts w:ascii="Times New Roman" w:hAnsi="Times New Roman"/>
          <w:sz w:val="24"/>
          <w:szCs w:val="24"/>
        </w:rPr>
        <w:t xml:space="preserve">Taylor's argument is premised on the erroneous belief that the Board interpreted the </w:t>
      </w:r>
      <w:r>
        <w:rPr>
          <w:rFonts w:ascii="Times New Roman" w:hAnsi="Times New Roman"/>
          <w:sz w:val="24"/>
          <w:szCs w:val="24"/>
        </w:rPr>
        <w:t>‘</w:t>
      </w:r>
      <w:r w:rsidRPr="0040016A">
        <w:rPr>
          <w:rFonts w:ascii="Times New Roman" w:hAnsi="Times New Roman"/>
          <w:sz w:val="24"/>
          <w:szCs w:val="24"/>
        </w:rPr>
        <w:t>resulting from bodily injury</w:t>
      </w:r>
      <w:r>
        <w:rPr>
          <w:rFonts w:ascii="Times New Roman" w:hAnsi="Times New Roman"/>
          <w:sz w:val="24"/>
          <w:szCs w:val="24"/>
        </w:rPr>
        <w:t>’</w:t>
      </w:r>
      <w:r w:rsidRPr="0040016A">
        <w:rPr>
          <w:rFonts w:ascii="Times New Roman" w:hAnsi="Times New Roman"/>
          <w:sz w:val="24"/>
          <w:szCs w:val="24"/>
        </w:rPr>
        <w:t xml:space="preserve"> requirement contained in section 4.19.070(B)(2) to exclude mental disabilities. Contrary to Taylor's assertion, the Board did not deny his claim on that basis; it instead found he failed to carry his burden of proof to establish three of the requirements of section 4.19.070(b)(2)—specifically, that (1) he incurred a total and permanent disability, (2) his health condition </w:t>
      </w:r>
      <w:r>
        <w:rPr>
          <w:rFonts w:ascii="Times New Roman" w:hAnsi="Times New Roman"/>
          <w:sz w:val="24"/>
          <w:szCs w:val="24"/>
        </w:rPr>
        <w:t>‘</w:t>
      </w:r>
      <w:r w:rsidRPr="0040016A">
        <w:rPr>
          <w:rFonts w:ascii="Times New Roman" w:hAnsi="Times New Roman"/>
          <w:sz w:val="24"/>
          <w:szCs w:val="24"/>
        </w:rPr>
        <w:t>resulted from bodily injury,</w:t>
      </w:r>
      <w:r>
        <w:rPr>
          <w:rFonts w:ascii="Times New Roman" w:hAnsi="Times New Roman"/>
          <w:sz w:val="24"/>
          <w:szCs w:val="24"/>
        </w:rPr>
        <w:t>’</w:t>
      </w:r>
      <w:r w:rsidRPr="0040016A">
        <w:rPr>
          <w:rFonts w:ascii="Times New Roman" w:hAnsi="Times New Roman"/>
          <w:sz w:val="24"/>
          <w:szCs w:val="24"/>
        </w:rPr>
        <w:t xml:space="preserve"> and (3) his health condition rendered him totally and permanently disabled from working as a firefighter.</w:t>
      </w:r>
      <w:r>
        <w:rPr>
          <w:rFonts w:ascii="Times New Roman" w:hAnsi="Times New Roman"/>
          <w:sz w:val="24"/>
          <w:szCs w:val="24"/>
        </w:rPr>
        <w:t xml:space="preserve">” </w:t>
      </w:r>
      <w:hyperlink r:id="rId551" w:history="1">
        <w:r w:rsidRPr="004A379F">
          <w:rPr>
            <w:rStyle w:val="Hyperlink"/>
            <w:sz w:val="24"/>
            <w:szCs w:val="24"/>
          </w:rPr>
          <w:t>https://casetext.com/case/taylor-v-bd-of-trs-of-firefighters-ret-plan-of-st-louis</w:t>
        </w:r>
      </w:hyperlink>
      <w:r>
        <w:rPr>
          <w:rFonts w:ascii="Times New Roman" w:hAnsi="Times New Roman"/>
          <w:sz w:val="24"/>
          <w:szCs w:val="24"/>
        </w:rPr>
        <w:t xml:space="preserve"> </w:t>
      </w:r>
    </w:p>
    <w:p w14:paraId="6F863CCC" w14:textId="77777777" w:rsidR="005217D5" w:rsidRPr="002E654B" w:rsidRDefault="005217D5" w:rsidP="005217D5">
      <w:pPr>
        <w:spacing w:before="100" w:beforeAutospacing="1" w:after="100" w:afterAutospacing="1" w:line="240" w:lineRule="auto"/>
        <w:rPr>
          <w:rFonts w:ascii="Times New Roman" w:eastAsia="Times New Roman" w:hAnsi="Times New Roman"/>
          <w:b/>
          <w:bCs/>
          <w:sz w:val="24"/>
          <w:szCs w:val="24"/>
        </w:rPr>
      </w:pPr>
      <w:r w:rsidRPr="002E654B">
        <w:rPr>
          <w:rFonts w:ascii="Times New Roman" w:hAnsi="Times New Roman"/>
          <w:b/>
          <w:bCs/>
          <w:sz w:val="24"/>
          <w:szCs w:val="24"/>
        </w:rPr>
        <w:t>Legal Lesson Learned:</w:t>
      </w:r>
      <w:r>
        <w:rPr>
          <w:rFonts w:ascii="Times New Roman" w:hAnsi="Times New Roman"/>
          <w:b/>
          <w:bCs/>
          <w:sz w:val="24"/>
          <w:szCs w:val="24"/>
        </w:rPr>
        <w:t xml:space="preserve">  The firefighter failed to prove his suffered from “total and permanent” disability resulting from the </w:t>
      </w:r>
      <w:proofErr w:type="gramStart"/>
      <w:r>
        <w:rPr>
          <w:rFonts w:ascii="Times New Roman" w:hAnsi="Times New Roman"/>
          <w:b/>
          <w:bCs/>
          <w:sz w:val="24"/>
          <w:szCs w:val="24"/>
        </w:rPr>
        <w:t>on duty</w:t>
      </w:r>
      <w:proofErr w:type="gramEnd"/>
      <w:r>
        <w:rPr>
          <w:rFonts w:ascii="Times New Roman" w:hAnsi="Times New Roman"/>
          <w:b/>
          <w:bCs/>
          <w:sz w:val="24"/>
          <w:szCs w:val="24"/>
        </w:rPr>
        <w:t xml:space="preserve"> injury.</w:t>
      </w:r>
    </w:p>
    <w:p w14:paraId="7F4EC019" w14:textId="77777777" w:rsidR="005217D5" w:rsidRDefault="005217D5" w:rsidP="00EF1133">
      <w:pPr>
        <w:pStyle w:val="NoSpacing"/>
        <w:rPr>
          <w:rFonts w:ascii="Arial Black" w:hAnsi="Arial Black"/>
          <w:sz w:val="24"/>
          <w:szCs w:val="24"/>
        </w:rPr>
      </w:pPr>
    </w:p>
    <w:p w14:paraId="1466AFB5" w14:textId="77777777" w:rsidR="005217D5" w:rsidRDefault="005217D5" w:rsidP="00EF1133">
      <w:pPr>
        <w:pStyle w:val="NoSpacing"/>
        <w:rPr>
          <w:rFonts w:ascii="Arial Black" w:hAnsi="Arial Black"/>
          <w:sz w:val="24"/>
          <w:szCs w:val="24"/>
        </w:rPr>
      </w:pPr>
    </w:p>
    <w:p w14:paraId="469D9803" w14:textId="77777777" w:rsidR="005217D5" w:rsidRDefault="005217D5" w:rsidP="00EF1133">
      <w:pPr>
        <w:pStyle w:val="NoSpacing"/>
        <w:rPr>
          <w:rFonts w:ascii="Arial Black" w:hAnsi="Arial Black"/>
          <w:sz w:val="24"/>
          <w:szCs w:val="24"/>
        </w:rPr>
      </w:pPr>
    </w:p>
    <w:p w14:paraId="05EAD169" w14:textId="426F65B5" w:rsidR="0077274E" w:rsidRDefault="00A82898" w:rsidP="00EF1133">
      <w:pPr>
        <w:pStyle w:val="NoSpacing"/>
        <w:rPr>
          <w:rFonts w:ascii="Arial Black" w:hAnsi="Arial Black"/>
          <w:sz w:val="24"/>
          <w:szCs w:val="24"/>
        </w:rPr>
      </w:pPr>
      <w:r>
        <w:rPr>
          <w:rFonts w:ascii="Arial Black" w:hAnsi="Arial Black"/>
          <w:sz w:val="24"/>
          <w:szCs w:val="24"/>
        </w:rPr>
        <w:t>2-33</w:t>
      </w:r>
    </w:p>
    <w:p w14:paraId="00E27B2B" w14:textId="77777777" w:rsidR="00A82898" w:rsidRPr="000C40ED" w:rsidRDefault="00A82898" w:rsidP="00A82898">
      <w:pPr>
        <w:pStyle w:val="Heading1"/>
        <w:rPr>
          <w:rFonts w:ascii="Arial Black" w:hAnsi="Arial Black"/>
          <w:sz w:val="28"/>
          <w:szCs w:val="28"/>
        </w:rPr>
      </w:pPr>
      <w:r>
        <w:rPr>
          <w:rFonts w:ascii="Arial Black" w:hAnsi="Arial Black"/>
          <w:sz w:val="28"/>
          <w:szCs w:val="28"/>
        </w:rPr>
        <w:t>OH: SCHOOL TEACHERS CARRY FIREARMS - MUST TAKE 25-HOURS TRAINING REQUIRED FOR SECURITY GUARDS</w:t>
      </w:r>
    </w:p>
    <w:p w14:paraId="79B0221D" w14:textId="0318763E" w:rsidR="00C52D60" w:rsidRDefault="00C52D60" w:rsidP="00C52D60">
      <w:pPr>
        <w:pStyle w:val="Heading1"/>
        <w:rPr>
          <w:b w:val="0"/>
          <w:bCs w:val="0"/>
          <w:sz w:val="24"/>
          <w:szCs w:val="24"/>
        </w:rPr>
      </w:pPr>
      <w:r>
        <w:rPr>
          <w:b w:val="0"/>
          <w:bCs w:val="0"/>
          <w:sz w:val="24"/>
          <w:szCs w:val="24"/>
        </w:rPr>
        <w:t xml:space="preserve">On June 23, 2021, in </w:t>
      </w:r>
      <w:r>
        <w:rPr>
          <w:b w:val="0"/>
          <w:bCs w:val="0"/>
          <w:sz w:val="24"/>
          <w:szCs w:val="24"/>
          <w:u w:val="single"/>
        </w:rPr>
        <w:t>Erin Gabbard et al. v. Madison Local School District Board of Education</w:t>
      </w:r>
      <w:r>
        <w:rPr>
          <w:b w:val="0"/>
          <w:bCs w:val="0"/>
          <w:sz w:val="24"/>
          <w:szCs w:val="24"/>
        </w:rPr>
        <w:t xml:space="preserve">, the Ohio Supreme Court held (4 to 3) that the School Board cannot authorize 10 teachers to carry concealed firearms while on duty unless they first comply with Ohio Peace Officer Training Commission (OPATC) training requirements for armed security officers: 700 hours, instead of 24-hours, at an approved OPOTC training facility.  </w:t>
      </w:r>
    </w:p>
    <w:p w14:paraId="7172B3CA" w14:textId="3795677E" w:rsidR="00A82898" w:rsidRDefault="00A82898" w:rsidP="00A82898">
      <w:pPr>
        <w:pStyle w:val="Heading1"/>
        <w:ind w:left="720"/>
        <w:rPr>
          <w:b w:val="0"/>
          <w:bCs w:val="0"/>
          <w:sz w:val="24"/>
          <w:szCs w:val="24"/>
        </w:rPr>
      </w:pPr>
      <w:r>
        <w:rPr>
          <w:b w:val="0"/>
          <w:bCs w:val="0"/>
          <w:sz w:val="24"/>
          <w:szCs w:val="24"/>
        </w:rPr>
        <w:t>“</w:t>
      </w:r>
      <w:r w:rsidRPr="000C40ED">
        <w:rPr>
          <w:b w:val="0"/>
          <w:bCs w:val="0"/>
          <w:sz w:val="24"/>
          <w:szCs w:val="24"/>
        </w:rPr>
        <w:t>A person might be hired as a teacher, but when that person agrees to go armed while teaching, his or her duties expand to encompass additional duties akin to those normally performed by special police officers and security guards.</w:t>
      </w:r>
    </w:p>
    <w:p w14:paraId="58684F3E" w14:textId="77777777" w:rsidR="00A82898" w:rsidRDefault="00A82898" w:rsidP="00A82898">
      <w:pPr>
        <w:pStyle w:val="Heading1"/>
        <w:ind w:firstLine="720"/>
        <w:rPr>
          <w:b w:val="0"/>
          <w:bCs w:val="0"/>
          <w:sz w:val="24"/>
          <w:szCs w:val="24"/>
        </w:rPr>
      </w:pPr>
      <w:r>
        <w:rPr>
          <w:b w:val="0"/>
          <w:bCs w:val="0"/>
          <w:sz w:val="24"/>
          <w:szCs w:val="24"/>
        </w:rPr>
        <w:t>***</w:t>
      </w:r>
    </w:p>
    <w:p w14:paraId="34B4F3B0" w14:textId="77777777" w:rsidR="00A82898" w:rsidRDefault="00A82898" w:rsidP="00A82898">
      <w:pPr>
        <w:pStyle w:val="Heading1"/>
        <w:ind w:left="720"/>
        <w:rPr>
          <w:b w:val="0"/>
          <w:bCs w:val="0"/>
          <w:sz w:val="24"/>
          <w:szCs w:val="24"/>
        </w:rPr>
      </w:pPr>
      <w:r w:rsidRPr="000C40ED">
        <w:rPr>
          <w:b w:val="0"/>
          <w:bCs w:val="0"/>
          <w:sz w:val="24"/>
          <w:szCs w:val="24"/>
        </w:rPr>
        <w:t>We conclude that R.C. 2923.122(D)(1)(a) does not clearly constitute a legislative grant of power for school boards to authorize their employees to go armed so long as the employees undergo whatever training a board might deem advisable.</w:t>
      </w:r>
    </w:p>
    <w:p w14:paraId="1CF56B93" w14:textId="77777777" w:rsidR="00A82898" w:rsidRDefault="00A82898" w:rsidP="00A82898">
      <w:pPr>
        <w:pStyle w:val="Heading1"/>
        <w:ind w:firstLine="720"/>
        <w:rPr>
          <w:b w:val="0"/>
          <w:bCs w:val="0"/>
          <w:sz w:val="24"/>
          <w:szCs w:val="24"/>
        </w:rPr>
      </w:pPr>
      <w:r>
        <w:rPr>
          <w:b w:val="0"/>
          <w:bCs w:val="0"/>
          <w:sz w:val="24"/>
          <w:szCs w:val="24"/>
        </w:rPr>
        <w:t>***</w:t>
      </w:r>
    </w:p>
    <w:p w14:paraId="0E2CA891" w14:textId="77777777" w:rsidR="00A82898" w:rsidRDefault="00A82898" w:rsidP="00A82898">
      <w:pPr>
        <w:pStyle w:val="Heading1"/>
        <w:ind w:left="720"/>
        <w:rPr>
          <w:b w:val="0"/>
          <w:bCs w:val="0"/>
          <w:sz w:val="24"/>
          <w:szCs w:val="24"/>
        </w:rPr>
      </w:pPr>
      <w:r w:rsidRPr="000C40ED">
        <w:rPr>
          <w:b w:val="0"/>
          <w:bCs w:val="0"/>
          <w:sz w:val="24"/>
          <w:szCs w:val="24"/>
        </w:rPr>
        <w:t xml:space="preserve">Unlike other state legislatures that have responded to more recent calls to arm teachers and other school staff by enacting legislation that is specifically tailored to that issue, see, e.g., </w:t>
      </w:r>
      <w:proofErr w:type="spellStart"/>
      <w:r w:rsidRPr="000C40ED">
        <w:rPr>
          <w:b w:val="0"/>
          <w:bCs w:val="0"/>
          <w:sz w:val="24"/>
          <w:szCs w:val="24"/>
        </w:rPr>
        <w:t>Kan.Stat.Ann</w:t>
      </w:r>
      <w:proofErr w:type="spellEnd"/>
      <w:r w:rsidRPr="000C40ED">
        <w:rPr>
          <w:b w:val="0"/>
          <w:bCs w:val="0"/>
          <w:sz w:val="24"/>
          <w:szCs w:val="24"/>
        </w:rPr>
        <w:t xml:space="preserve">. 75-7c10(d)(1), </w:t>
      </w:r>
      <w:proofErr w:type="spellStart"/>
      <w:r w:rsidRPr="000C40ED">
        <w:rPr>
          <w:b w:val="0"/>
          <w:bCs w:val="0"/>
          <w:sz w:val="24"/>
          <w:szCs w:val="24"/>
        </w:rPr>
        <w:t>S.D.Codified</w:t>
      </w:r>
      <w:proofErr w:type="spellEnd"/>
      <w:r w:rsidRPr="000C40ED">
        <w:rPr>
          <w:b w:val="0"/>
          <w:bCs w:val="0"/>
          <w:sz w:val="24"/>
          <w:szCs w:val="24"/>
        </w:rPr>
        <w:t xml:space="preserve"> Laws 13-64-1, </w:t>
      </w:r>
      <w:proofErr w:type="spellStart"/>
      <w:r w:rsidRPr="000C40ED">
        <w:rPr>
          <w:b w:val="0"/>
          <w:bCs w:val="0"/>
          <w:sz w:val="24"/>
          <w:szCs w:val="24"/>
        </w:rPr>
        <w:t>Tenn.Code</w:t>
      </w:r>
      <w:proofErr w:type="spellEnd"/>
      <w:r w:rsidRPr="000C40ED">
        <w:rPr>
          <w:b w:val="0"/>
          <w:bCs w:val="0"/>
          <w:sz w:val="24"/>
          <w:szCs w:val="24"/>
        </w:rPr>
        <w:t xml:space="preserve"> Ann. 49-6-815, and </w:t>
      </w:r>
      <w:proofErr w:type="spellStart"/>
      <w:r w:rsidRPr="000C40ED">
        <w:rPr>
          <w:b w:val="0"/>
          <w:bCs w:val="0"/>
          <w:sz w:val="24"/>
          <w:szCs w:val="24"/>
        </w:rPr>
        <w:t>Tex.Educ.Code</w:t>
      </w:r>
      <w:proofErr w:type="spellEnd"/>
      <w:r w:rsidRPr="000C40ED">
        <w:rPr>
          <w:b w:val="0"/>
          <w:bCs w:val="0"/>
          <w:sz w:val="24"/>
          <w:szCs w:val="24"/>
        </w:rPr>
        <w:t xml:space="preserve"> Ann. 37.0811, the General Assembly has not done so.</w:t>
      </w:r>
      <w:r>
        <w:rPr>
          <w:b w:val="0"/>
          <w:bCs w:val="0"/>
          <w:sz w:val="24"/>
          <w:szCs w:val="24"/>
        </w:rPr>
        <w:t xml:space="preserve">  3.</w:t>
      </w:r>
    </w:p>
    <w:p w14:paraId="624B850F" w14:textId="77777777" w:rsidR="00A82898" w:rsidRPr="003D5D8C" w:rsidRDefault="00A82898" w:rsidP="00A82898">
      <w:pPr>
        <w:pStyle w:val="Heading1"/>
        <w:ind w:left="1440"/>
        <w:rPr>
          <w:b w:val="0"/>
          <w:bCs w:val="0"/>
          <w:sz w:val="24"/>
          <w:szCs w:val="24"/>
        </w:rPr>
      </w:pPr>
      <w:r w:rsidRPr="00DA092A">
        <w:rPr>
          <w:b w:val="0"/>
          <w:bCs w:val="0"/>
          <w:sz w:val="24"/>
          <w:szCs w:val="24"/>
        </w:rPr>
        <w:t xml:space="preserve">Footnote 3. There is currently pending in the General Assembly a bill that would exclude from R.C. 109.78(D)’s training-or-experience requirement teachers and other school employees whom a school board authorizes to carry a firearm while on duty. See 2021 H.B. No. 99. As introduced, the bill states an express intention to overrule the Twelfth District Court of Appeals’ decision below in this case.  </w:t>
      </w:r>
      <w:hyperlink r:id="rId552" w:history="1">
        <w:r w:rsidRPr="003D5D8C">
          <w:rPr>
            <w:rStyle w:val="Hyperlink"/>
            <w:sz w:val="24"/>
            <w:szCs w:val="24"/>
          </w:rPr>
          <w:t>https://www.supremecourt.ohio.gov/rod/docs/pdf/0/2021/2021-Ohio-2067.pdf</w:t>
        </w:r>
      </w:hyperlink>
      <w:r w:rsidRPr="003D5D8C">
        <w:rPr>
          <w:b w:val="0"/>
          <w:bCs w:val="0"/>
          <w:sz w:val="24"/>
          <w:szCs w:val="24"/>
        </w:rPr>
        <w:t xml:space="preserve"> </w:t>
      </w:r>
    </w:p>
    <w:p w14:paraId="063C8E1C" w14:textId="77777777" w:rsidR="00A82898" w:rsidRDefault="00A82898" w:rsidP="00A82898">
      <w:pPr>
        <w:pStyle w:val="Heading1"/>
        <w:rPr>
          <w:sz w:val="24"/>
          <w:szCs w:val="24"/>
        </w:rPr>
      </w:pPr>
      <w:r w:rsidRPr="008A7D9D">
        <w:rPr>
          <w:sz w:val="24"/>
          <w:szCs w:val="24"/>
        </w:rPr>
        <w:lastRenderedPageBreak/>
        <w:t xml:space="preserve">Legal Lesson Learned: </w:t>
      </w:r>
      <w:r>
        <w:rPr>
          <w:sz w:val="24"/>
          <w:szCs w:val="24"/>
        </w:rPr>
        <w:t xml:space="preserve">Fire &amp; EMS departments should issue a policy on </w:t>
      </w:r>
      <w:proofErr w:type="gramStart"/>
      <w:r>
        <w:rPr>
          <w:sz w:val="24"/>
          <w:szCs w:val="24"/>
        </w:rPr>
        <w:t>whether on</w:t>
      </w:r>
      <w:proofErr w:type="gramEnd"/>
      <w:r>
        <w:rPr>
          <w:sz w:val="24"/>
          <w:szCs w:val="24"/>
        </w:rPr>
        <w:t xml:space="preserve"> duty personnel may possess firearms, and minimum training required. </w:t>
      </w:r>
    </w:p>
    <w:p w14:paraId="5C246CBC" w14:textId="77777777" w:rsidR="00A82898" w:rsidRPr="00B14793" w:rsidRDefault="00A82898" w:rsidP="00A82898">
      <w:pPr>
        <w:pStyle w:val="NoSpacing"/>
        <w:ind w:left="720"/>
        <w:rPr>
          <w:rFonts w:ascii="Times New Roman" w:hAnsi="Times New Roman"/>
          <w:sz w:val="24"/>
          <w:szCs w:val="24"/>
        </w:rPr>
      </w:pPr>
      <w:r w:rsidRPr="00DA092A">
        <w:rPr>
          <w:rFonts w:ascii="Times New Roman" w:hAnsi="Times New Roman"/>
          <w:sz w:val="24"/>
          <w:szCs w:val="24"/>
        </w:rPr>
        <w:t xml:space="preserve">See this </w:t>
      </w:r>
      <w:r>
        <w:rPr>
          <w:rFonts w:ascii="Times New Roman" w:hAnsi="Times New Roman"/>
          <w:sz w:val="24"/>
          <w:szCs w:val="24"/>
        </w:rPr>
        <w:t xml:space="preserve">Dec. 1, </w:t>
      </w:r>
      <w:proofErr w:type="gramStart"/>
      <w:r>
        <w:rPr>
          <w:rFonts w:ascii="Times New Roman" w:hAnsi="Times New Roman"/>
          <w:sz w:val="24"/>
          <w:szCs w:val="24"/>
        </w:rPr>
        <w:t>2019</w:t>
      </w:r>
      <w:proofErr w:type="gramEnd"/>
      <w:r>
        <w:rPr>
          <w:rFonts w:ascii="Times New Roman" w:hAnsi="Times New Roman"/>
          <w:sz w:val="24"/>
          <w:szCs w:val="24"/>
        </w:rPr>
        <w:t xml:space="preserve"> </w:t>
      </w:r>
      <w:r w:rsidRPr="00DA092A">
        <w:rPr>
          <w:rFonts w:ascii="Times New Roman" w:hAnsi="Times New Roman"/>
          <w:sz w:val="24"/>
          <w:szCs w:val="24"/>
        </w:rPr>
        <w:t>article: “Fire Law: Should Firefighters Be Armed?” Curt Varone explains the challenges of the decision to allow members of a fire department to carry a firearm while on duty.</w:t>
      </w:r>
      <w:r>
        <w:rPr>
          <w:rFonts w:ascii="Times New Roman" w:hAnsi="Times New Roman"/>
          <w:sz w:val="24"/>
          <w:szCs w:val="24"/>
        </w:rPr>
        <w:t xml:space="preserve"> </w:t>
      </w:r>
      <w:hyperlink r:id="rId553" w:history="1">
        <w:r w:rsidRPr="00B14793">
          <w:rPr>
            <w:rStyle w:val="Hyperlink"/>
            <w:sz w:val="24"/>
            <w:szCs w:val="24"/>
          </w:rPr>
          <w:t>https://www.firehouse.com/operations-training/article/21112973/fire-law-should-firefighters-be-armed</w:t>
        </w:r>
      </w:hyperlink>
      <w:r w:rsidRPr="00B14793">
        <w:rPr>
          <w:rFonts w:ascii="Times New Roman" w:hAnsi="Times New Roman"/>
          <w:sz w:val="24"/>
          <w:szCs w:val="24"/>
        </w:rPr>
        <w:t xml:space="preserve"> </w:t>
      </w:r>
    </w:p>
    <w:p w14:paraId="7C6C5AB6" w14:textId="77777777" w:rsidR="00A82898" w:rsidRDefault="00A82898" w:rsidP="00A82898">
      <w:pPr>
        <w:pStyle w:val="NormalWeb"/>
        <w:spacing w:before="0" w:beforeAutospacing="0" w:after="0" w:afterAutospacing="0" w:line="255" w:lineRule="atLeast"/>
        <w:rPr>
          <w:rStyle w:val="markedcontent"/>
        </w:rPr>
      </w:pPr>
    </w:p>
    <w:p w14:paraId="482D9514" w14:textId="77777777" w:rsidR="00A82898" w:rsidRDefault="00A82898" w:rsidP="00EF1133">
      <w:pPr>
        <w:pStyle w:val="NoSpacing"/>
        <w:rPr>
          <w:rFonts w:ascii="Arial Black" w:hAnsi="Arial Black"/>
          <w:sz w:val="24"/>
          <w:szCs w:val="24"/>
        </w:rPr>
      </w:pPr>
    </w:p>
    <w:p w14:paraId="48B9A522" w14:textId="77777777" w:rsidR="00A82898" w:rsidRDefault="00A82898" w:rsidP="00EF1133">
      <w:pPr>
        <w:pStyle w:val="NoSpacing"/>
        <w:rPr>
          <w:rFonts w:ascii="Arial Black" w:hAnsi="Arial Black"/>
          <w:sz w:val="24"/>
          <w:szCs w:val="24"/>
        </w:rPr>
      </w:pPr>
    </w:p>
    <w:p w14:paraId="1E72C7DE" w14:textId="17BD001A" w:rsidR="0077274E" w:rsidRDefault="0077274E" w:rsidP="00EF1133">
      <w:pPr>
        <w:pStyle w:val="NoSpacing"/>
        <w:rPr>
          <w:rFonts w:ascii="Arial Black" w:hAnsi="Arial Black"/>
          <w:sz w:val="24"/>
          <w:szCs w:val="24"/>
        </w:rPr>
      </w:pPr>
      <w:r>
        <w:rPr>
          <w:rFonts w:ascii="Arial Black" w:hAnsi="Arial Black"/>
          <w:sz w:val="24"/>
          <w:szCs w:val="24"/>
        </w:rPr>
        <w:t>2-32</w:t>
      </w:r>
    </w:p>
    <w:p w14:paraId="5002D415" w14:textId="77777777" w:rsidR="0077274E" w:rsidRDefault="0077274E" w:rsidP="0077274E">
      <w:pPr>
        <w:pStyle w:val="gntarbp"/>
        <w:rPr>
          <w:rFonts w:ascii="Arial Black" w:hAnsi="Arial Black"/>
          <w:sz w:val="28"/>
          <w:szCs w:val="28"/>
        </w:rPr>
      </w:pPr>
      <w:r>
        <w:rPr>
          <w:rFonts w:ascii="Arial Black" w:hAnsi="Arial Black"/>
          <w:sz w:val="28"/>
          <w:szCs w:val="28"/>
        </w:rPr>
        <w:t>PA: ARSON CONV. SET ASIDE (3 FF LODD 1995) – ATF PAID REWARDS 2 WIT – NEW FED. CASE, NOT DOUBLE JEOPARDY</w:t>
      </w:r>
    </w:p>
    <w:p w14:paraId="178F06FE" w14:textId="77777777" w:rsidR="0077274E" w:rsidRPr="00E44388" w:rsidRDefault="0077274E" w:rsidP="0077274E">
      <w:pPr>
        <w:rPr>
          <w:rFonts w:ascii="Times New Roman" w:hAnsi="Times New Roman"/>
          <w:sz w:val="24"/>
          <w:szCs w:val="24"/>
        </w:rPr>
      </w:pPr>
      <w:r w:rsidRPr="00E44388">
        <w:rPr>
          <w:rFonts w:ascii="Times New Roman" w:hAnsi="Times New Roman"/>
          <w:sz w:val="24"/>
          <w:szCs w:val="24"/>
        </w:rPr>
        <w:t xml:space="preserve">On April 13, 2021, in </w:t>
      </w:r>
      <w:r w:rsidRPr="00E44388">
        <w:rPr>
          <w:rFonts w:ascii="Times New Roman" w:hAnsi="Times New Roman"/>
          <w:sz w:val="24"/>
          <w:szCs w:val="24"/>
          <w:u w:val="single"/>
        </w:rPr>
        <w:t>United States of America v. Gregory Brown, Jr</w:t>
      </w:r>
      <w:r w:rsidRPr="00E44388">
        <w:rPr>
          <w:rFonts w:ascii="Times New Roman" w:hAnsi="Times New Roman"/>
          <w:sz w:val="24"/>
          <w:szCs w:val="24"/>
        </w:rPr>
        <w:t xml:space="preserve">., the U.S. Court of Appeals for Third Circuit (Philadelphia) held 3-0 that the defendant, serving a life sentence for starting fire in his mother’s apartment </w:t>
      </w:r>
      <w:r>
        <w:rPr>
          <w:rFonts w:ascii="Times New Roman" w:hAnsi="Times New Roman"/>
          <w:sz w:val="24"/>
          <w:szCs w:val="24"/>
        </w:rPr>
        <w:t xml:space="preserve">on Feb. 14, </w:t>
      </w:r>
      <w:proofErr w:type="gramStart"/>
      <w:r>
        <w:rPr>
          <w:rFonts w:ascii="Times New Roman" w:hAnsi="Times New Roman"/>
          <w:sz w:val="24"/>
          <w:szCs w:val="24"/>
        </w:rPr>
        <w:t>1995</w:t>
      </w:r>
      <w:proofErr w:type="gramEnd"/>
      <w:r>
        <w:rPr>
          <w:rFonts w:ascii="Times New Roman" w:hAnsi="Times New Roman"/>
          <w:sz w:val="24"/>
          <w:szCs w:val="24"/>
        </w:rPr>
        <w:t xml:space="preserve"> </w:t>
      </w:r>
      <w:r w:rsidRPr="00E44388">
        <w:rPr>
          <w:rFonts w:ascii="Times New Roman" w:hAnsi="Times New Roman"/>
          <w:sz w:val="24"/>
          <w:szCs w:val="24"/>
        </w:rPr>
        <w:t>to collect renters</w:t>
      </w:r>
      <w:r>
        <w:rPr>
          <w:rFonts w:ascii="Times New Roman" w:hAnsi="Times New Roman"/>
          <w:sz w:val="24"/>
          <w:szCs w:val="24"/>
        </w:rPr>
        <w:t>’</w:t>
      </w:r>
      <w:r w:rsidRPr="00E44388">
        <w:rPr>
          <w:rFonts w:ascii="Times New Roman" w:hAnsi="Times New Roman"/>
          <w:sz w:val="24"/>
          <w:szCs w:val="24"/>
        </w:rPr>
        <w:t xml:space="preserve"> insurance can be re-tried</w:t>
      </w:r>
      <w:r>
        <w:rPr>
          <w:rFonts w:ascii="Times New Roman" w:hAnsi="Times New Roman"/>
          <w:sz w:val="24"/>
          <w:szCs w:val="24"/>
        </w:rPr>
        <w:t xml:space="preserve">, this time in Federal court.  Three firefighters were killed when a staircase collapsed. The state convictions were set aside 20 years after the convictions, when it was discovered that two witnesses were paid rewards by the ATF </w:t>
      </w:r>
      <w:proofErr w:type="spellStart"/>
      <w:r>
        <w:rPr>
          <w:rFonts w:ascii="Times New Roman" w:hAnsi="Times New Roman"/>
          <w:sz w:val="24"/>
          <w:szCs w:val="24"/>
        </w:rPr>
        <w:t>post trial</w:t>
      </w:r>
      <w:proofErr w:type="spellEnd"/>
      <w:r>
        <w:rPr>
          <w:rFonts w:ascii="Times New Roman" w:hAnsi="Times New Roman"/>
          <w:sz w:val="24"/>
          <w:szCs w:val="24"/>
        </w:rPr>
        <w:t xml:space="preserve"> ($10,000 and $5,000) even though they testified that no rewards were expected.  </w:t>
      </w:r>
      <w:r w:rsidRPr="00E44388">
        <w:rPr>
          <w:rFonts w:ascii="Times New Roman" w:hAnsi="Times New Roman"/>
          <w:sz w:val="24"/>
          <w:szCs w:val="24"/>
        </w:rPr>
        <w:t>This time he was indicted in Federal court destruction of property by fire resulting in death under 18 U.S.C. §844(</w:t>
      </w:r>
      <w:proofErr w:type="spellStart"/>
      <w:r w:rsidRPr="00E44388">
        <w:rPr>
          <w:rFonts w:ascii="Times New Roman" w:hAnsi="Times New Roman"/>
          <w:sz w:val="24"/>
          <w:szCs w:val="24"/>
        </w:rPr>
        <w:t>i</w:t>
      </w:r>
      <w:proofErr w:type="spellEnd"/>
      <w:r w:rsidRPr="00E44388">
        <w:rPr>
          <w:rFonts w:ascii="Times New Roman" w:hAnsi="Times New Roman"/>
          <w:sz w:val="24"/>
          <w:szCs w:val="24"/>
        </w:rPr>
        <w:t>).</w:t>
      </w:r>
      <w:r>
        <w:rPr>
          <w:rFonts w:ascii="Times New Roman" w:hAnsi="Times New Roman"/>
          <w:sz w:val="24"/>
          <w:szCs w:val="24"/>
        </w:rPr>
        <w:t xml:space="preserve"> </w:t>
      </w:r>
    </w:p>
    <w:p w14:paraId="650C09A6" w14:textId="77777777" w:rsidR="0077274E" w:rsidRPr="00A30885" w:rsidRDefault="0077274E" w:rsidP="0077274E">
      <w:pPr>
        <w:pStyle w:val="Heading1"/>
        <w:ind w:left="1440"/>
        <w:rPr>
          <w:b w:val="0"/>
          <w:bCs w:val="0"/>
          <w:sz w:val="24"/>
          <w:szCs w:val="24"/>
        </w:rPr>
      </w:pPr>
      <w:r w:rsidRPr="00A30885">
        <w:rPr>
          <w:b w:val="0"/>
          <w:bCs w:val="0"/>
          <w:sz w:val="24"/>
          <w:szCs w:val="24"/>
        </w:rPr>
        <w:t>“[R]</w:t>
      </w:r>
      <w:proofErr w:type="spellStart"/>
      <w:r w:rsidRPr="00A30885">
        <w:rPr>
          <w:b w:val="0"/>
          <w:bCs w:val="0"/>
          <w:sz w:val="24"/>
          <w:szCs w:val="24"/>
        </w:rPr>
        <w:t>etrying</w:t>
      </w:r>
      <w:proofErr w:type="spellEnd"/>
      <w:r w:rsidRPr="00A30885">
        <w:rPr>
          <w:b w:val="0"/>
          <w:bCs w:val="0"/>
          <w:sz w:val="24"/>
          <w:szCs w:val="24"/>
        </w:rPr>
        <w:t xml:space="preserve"> a defendant because the conviction was reversed for trial error is not a second jeopardy. Regardless of whether it proceeds in state or federal court, Brown’s second prosecution does not violate the Double Jeopardy Clause. The District Court did not err in denying Brown’s motion to dismiss the indictment and his motion to compel discovery on the dual-sovereignty issue, so we will affirm.</w:t>
      </w:r>
    </w:p>
    <w:p w14:paraId="19DB1B2B" w14:textId="77777777" w:rsidR="0077274E" w:rsidRDefault="0077274E" w:rsidP="0077274E">
      <w:r>
        <w:tab/>
      </w:r>
      <w:r>
        <w:tab/>
        <w:t>***</w:t>
      </w:r>
    </w:p>
    <w:p w14:paraId="05AE0FC0" w14:textId="77777777" w:rsidR="0077274E" w:rsidRPr="00E44388" w:rsidRDefault="0077274E" w:rsidP="0077274E">
      <w:pPr>
        <w:ind w:left="1440"/>
        <w:rPr>
          <w:rFonts w:ascii="Times New Roman" w:hAnsi="Times New Roman"/>
          <w:sz w:val="24"/>
          <w:szCs w:val="24"/>
        </w:rPr>
      </w:pPr>
      <w:r w:rsidRPr="00E12A9E">
        <w:rPr>
          <w:rFonts w:ascii="Times New Roman" w:hAnsi="Times New Roman"/>
          <w:sz w:val="24"/>
          <w:szCs w:val="24"/>
        </w:rPr>
        <w:t>The Double Jeopardy Clause says</w:t>
      </w:r>
      <w:r>
        <w:rPr>
          <w:rFonts w:ascii="Times New Roman" w:hAnsi="Times New Roman"/>
          <w:sz w:val="24"/>
          <w:szCs w:val="24"/>
        </w:rPr>
        <w:t xml:space="preserve"> </w:t>
      </w:r>
      <w:r w:rsidRPr="00E12A9E">
        <w:rPr>
          <w:rFonts w:ascii="Times New Roman" w:hAnsi="Times New Roman"/>
          <w:sz w:val="24"/>
          <w:szCs w:val="24"/>
        </w:rPr>
        <w:t>that no person</w:t>
      </w:r>
      <w:r>
        <w:rPr>
          <w:rFonts w:ascii="Times New Roman" w:hAnsi="Times New Roman"/>
          <w:sz w:val="24"/>
          <w:szCs w:val="24"/>
        </w:rPr>
        <w:t xml:space="preserve"> </w:t>
      </w:r>
      <w:r w:rsidRPr="00E12A9E">
        <w:rPr>
          <w:rFonts w:ascii="Times New Roman" w:hAnsi="Times New Roman"/>
          <w:sz w:val="24"/>
          <w:szCs w:val="24"/>
        </w:rPr>
        <w:t xml:space="preserve">shall </w:t>
      </w:r>
      <w:r>
        <w:rPr>
          <w:rFonts w:ascii="Times New Roman" w:hAnsi="Times New Roman"/>
          <w:sz w:val="24"/>
          <w:szCs w:val="24"/>
        </w:rPr>
        <w:t>‘</w:t>
      </w:r>
      <w:r w:rsidRPr="00E12A9E">
        <w:rPr>
          <w:rFonts w:ascii="Times New Roman" w:hAnsi="Times New Roman"/>
          <w:sz w:val="24"/>
          <w:szCs w:val="24"/>
        </w:rPr>
        <w:t xml:space="preserve">be subject </w:t>
      </w:r>
      <w:proofErr w:type="gramStart"/>
      <w:r w:rsidRPr="00E12A9E">
        <w:rPr>
          <w:rFonts w:ascii="Times New Roman" w:hAnsi="Times New Roman"/>
          <w:sz w:val="24"/>
          <w:szCs w:val="24"/>
        </w:rPr>
        <w:t>for</w:t>
      </w:r>
      <w:proofErr w:type="gramEnd"/>
      <w:r w:rsidRPr="00E12A9E">
        <w:rPr>
          <w:rFonts w:ascii="Times New Roman" w:hAnsi="Times New Roman"/>
          <w:sz w:val="24"/>
          <w:szCs w:val="24"/>
        </w:rPr>
        <w:t xml:space="preserve"> the same offence to be twice put in jeopardy of life or limb.</w:t>
      </w:r>
      <w:r>
        <w:rPr>
          <w:rFonts w:ascii="Times New Roman" w:hAnsi="Times New Roman"/>
          <w:sz w:val="24"/>
          <w:szCs w:val="24"/>
        </w:rPr>
        <w:t xml:space="preserve">’ </w:t>
      </w:r>
      <w:r w:rsidRPr="00E12A9E">
        <w:rPr>
          <w:rFonts w:ascii="Times New Roman" w:hAnsi="Times New Roman"/>
          <w:sz w:val="24"/>
          <w:szCs w:val="24"/>
        </w:rPr>
        <w:t xml:space="preserve">U.S. Const. </w:t>
      </w:r>
      <w:proofErr w:type="gramStart"/>
      <w:r w:rsidRPr="00E12A9E">
        <w:rPr>
          <w:rFonts w:ascii="Times New Roman" w:hAnsi="Times New Roman"/>
          <w:sz w:val="24"/>
          <w:szCs w:val="24"/>
        </w:rPr>
        <w:t>amend</w:t>
      </w:r>
      <w:proofErr w:type="gramEnd"/>
      <w:r w:rsidRPr="00E12A9E">
        <w:rPr>
          <w:rFonts w:ascii="Times New Roman" w:hAnsi="Times New Roman"/>
          <w:sz w:val="24"/>
          <w:szCs w:val="24"/>
        </w:rPr>
        <w:t>. V. But the clause’s prohibition against a second prosecution for the same offense is not absolute. Two examples are relevant here. First,</w:t>
      </w:r>
      <w:r>
        <w:rPr>
          <w:rFonts w:ascii="Times New Roman" w:hAnsi="Times New Roman"/>
          <w:sz w:val="24"/>
          <w:szCs w:val="24"/>
        </w:rPr>
        <w:t xml:space="preserve"> </w:t>
      </w:r>
      <w:r w:rsidRPr="00E12A9E">
        <w:rPr>
          <w:rFonts w:ascii="Times New Roman" w:hAnsi="Times New Roman"/>
          <w:sz w:val="24"/>
          <w:szCs w:val="24"/>
        </w:rPr>
        <w:t xml:space="preserve">under the trial-error rule, the Double Jeopardy Clause </w:t>
      </w:r>
      <w:r>
        <w:rPr>
          <w:rFonts w:ascii="Times New Roman" w:hAnsi="Times New Roman"/>
          <w:sz w:val="24"/>
          <w:szCs w:val="24"/>
        </w:rPr>
        <w:t>‘</w:t>
      </w:r>
      <w:r w:rsidRPr="00E12A9E">
        <w:rPr>
          <w:rFonts w:ascii="Times New Roman" w:hAnsi="Times New Roman"/>
          <w:sz w:val="24"/>
          <w:szCs w:val="24"/>
        </w:rPr>
        <w:t xml:space="preserve">does not prevent the government from retrying a defendant who succeeds in getting his first conviction set aside, through direct appeal or collateral attack, because of some error in the proceedings leading to </w:t>
      </w:r>
      <w:proofErr w:type="gramStart"/>
      <w:r w:rsidRPr="00E12A9E">
        <w:rPr>
          <w:rFonts w:ascii="Times New Roman" w:hAnsi="Times New Roman"/>
          <w:sz w:val="24"/>
          <w:szCs w:val="24"/>
        </w:rPr>
        <w:t>conviction.</w:t>
      </w:r>
      <w:r>
        <w:rPr>
          <w:rFonts w:ascii="Times New Roman" w:hAnsi="Times New Roman"/>
          <w:sz w:val="24"/>
          <w:szCs w:val="24"/>
        </w:rPr>
        <w:t>’</w:t>
      </w:r>
      <w:proofErr w:type="gramEnd"/>
      <w:r w:rsidRPr="00E12A9E">
        <w:rPr>
          <w:rFonts w:ascii="Times New Roman" w:hAnsi="Times New Roman"/>
          <w:sz w:val="24"/>
          <w:szCs w:val="24"/>
        </w:rPr>
        <w:t xml:space="preserve"> Lockhart v. Nelson, 488 U.S. 33, 38 (1988). Second,</w:t>
      </w:r>
      <w:r>
        <w:rPr>
          <w:rFonts w:ascii="Times New Roman" w:hAnsi="Times New Roman"/>
          <w:sz w:val="24"/>
          <w:szCs w:val="24"/>
        </w:rPr>
        <w:t xml:space="preserve"> </w:t>
      </w:r>
      <w:r w:rsidRPr="00E12A9E">
        <w:rPr>
          <w:rFonts w:ascii="Times New Roman" w:hAnsi="Times New Roman"/>
          <w:sz w:val="24"/>
          <w:szCs w:val="24"/>
        </w:rPr>
        <w:t>the dual-sovereignty principle allows a federal indictment for the same conduct</w:t>
      </w:r>
      <w:r>
        <w:rPr>
          <w:rFonts w:ascii="Times New Roman" w:hAnsi="Times New Roman"/>
          <w:sz w:val="24"/>
          <w:szCs w:val="24"/>
        </w:rPr>
        <w:t xml:space="preserve"> </w:t>
      </w:r>
      <w:r w:rsidRPr="00E12A9E">
        <w:rPr>
          <w:rFonts w:ascii="Times New Roman" w:hAnsi="Times New Roman"/>
          <w:sz w:val="24"/>
          <w:szCs w:val="24"/>
        </w:rPr>
        <w:t xml:space="preserve">punished under state law—and vice versa—because the two prosecutions, under different sovereigns, are not </w:t>
      </w:r>
      <w:r>
        <w:rPr>
          <w:rFonts w:ascii="Times New Roman" w:hAnsi="Times New Roman"/>
          <w:sz w:val="24"/>
          <w:szCs w:val="24"/>
        </w:rPr>
        <w:t>‘</w:t>
      </w:r>
      <w:r w:rsidRPr="00E12A9E">
        <w:rPr>
          <w:rFonts w:ascii="Times New Roman" w:hAnsi="Times New Roman"/>
          <w:sz w:val="24"/>
          <w:szCs w:val="24"/>
        </w:rPr>
        <w:t>for the same offence.</w:t>
      </w:r>
      <w:r>
        <w:rPr>
          <w:rFonts w:ascii="Times New Roman" w:hAnsi="Times New Roman"/>
          <w:sz w:val="24"/>
          <w:szCs w:val="24"/>
        </w:rPr>
        <w:t>’</w:t>
      </w:r>
      <w:r w:rsidRPr="00E12A9E">
        <w:rPr>
          <w:rFonts w:ascii="Times New Roman" w:hAnsi="Times New Roman"/>
          <w:sz w:val="24"/>
          <w:szCs w:val="24"/>
        </w:rPr>
        <w:t xml:space="preserve"> U.S. Const. </w:t>
      </w:r>
      <w:proofErr w:type="gramStart"/>
      <w:r w:rsidRPr="00E12A9E">
        <w:rPr>
          <w:rFonts w:ascii="Times New Roman" w:hAnsi="Times New Roman"/>
          <w:sz w:val="24"/>
          <w:szCs w:val="24"/>
        </w:rPr>
        <w:t>amend</w:t>
      </w:r>
      <w:proofErr w:type="gramEnd"/>
      <w:r w:rsidRPr="00E12A9E">
        <w:rPr>
          <w:rFonts w:ascii="Times New Roman" w:hAnsi="Times New Roman"/>
          <w:sz w:val="24"/>
          <w:szCs w:val="24"/>
        </w:rPr>
        <w:t>. V; Gamble, 139 S. Ct. at1965–66.</w:t>
      </w:r>
      <w:r>
        <w:rPr>
          <w:rFonts w:ascii="Times New Roman" w:hAnsi="Times New Roman"/>
          <w:sz w:val="24"/>
          <w:szCs w:val="24"/>
        </w:rPr>
        <w:t xml:space="preserve">”  </w:t>
      </w:r>
      <w:hyperlink r:id="rId554" w:history="1">
        <w:r w:rsidRPr="0041276B">
          <w:rPr>
            <w:rStyle w:val="Hyperlink"/>
            <w:rFonts w:ascii="Times New Roman" w:hAnsi="Times New Roman"/>
            <w:sz w:val="24"/>
            <w:szCs w:val="24"/>
          </w:rPr>
          <w:t>https://www2.ca3.uscourts.gov/opinarch/201734p.pdf</w:t>
        </w:r>
      </w:hyperlink>
      <w:r w:rsidRPr="00E44388">
        <w:rPr>
          <w:rFonts w:ascii="Times New Roman" w:hAnsi="Times New Roman"/>
          <w:sz w:val="24"/>
          <w:szCs w:val="24"/>
        </w:rPr>
        <w:t xml:space="preserve"> </w:t>
      </w:r>
    </w:p>
    <w:p w14:paraId="04481FBF" w14:textId="77777777" w:rsidR="0077274E" w:rsidRPr="003346FA" w:rsidRDefault="0077274E" w:rsidP="0077274E">
      <w:pPr>
        <w:rPr>
          <w:rFonts w:ascii="Times New Roman" w:hAnsi="Times New Roman"/>
          <w:b/>
          <w:bCs/>
          <w:sz w:val="24"/>
          <w:szCs w:val="24"/>
        </w:rPr>
      </w:pPr>
      <w:r w:rsidRPr="003346FA">
        <w:rPr>
          <w:rFonts w:ascii="Times New Roman" w:hAnsi="Times New Roman"/>
          <w:b/>
          <w:bCs/>
          <w:sz w:val="24"/>
          <w:szCs w:val="24"/>
        </w:rPr>
        <w:t>Legal Lesson Learned:</w:t>
      </w:r>
      <w:r>
        <w:rPr>
          <w:rFonts w:ascii="Times New Roman" w:hAnsi="Times New Roman"/>
          <w:b/>
          <w:bCs/>
          <w:sz w:val="24"/>
          <w:szCs w:val="24"/>
        </w:rPr>
        <w:t xml:space="preserve">  Double jeopardy does not apply to second charges in Federal court, after state charges were set aside. When ATF or other agency offers a reward for information on an arson, the Prosecution must disclose to defense counsel at trial whether any witnesses will be paid the reward.   </w:t>
      </w:r>
    </w:p>
    <w:p w14:paraId="5DF688D3" w14:textId="77777777" w:rsidR="0077274E" w:rsidRDefault="0077274E" w:rsidP="0077274E">
      <w:pPr>
        <w:ind w:left="720" w:firstLine="720"/>
        <w:rPr>
          <w:rFonts w:ascii="Times New Roman" w:hAnsi="Times New Roman"/>
          <w:sz w:val="24"/>
          <w:szCs w:val="24"/>
        </w:rPr>
      </w:pPr>
      <w:r>
        <w:rPr>
          <w:rFonts w:ascii="Times New Roman" w:hAnsi="Times New Roman"/>
          <w:sz w:val="24"/>
          <w:szCs w:val="24"/>
        </w:rPr>
        <w:t xml:space="preserve">Note: See article on the case: </w:t>
      </w:r>
    </w:p>
    <w:p w14:paraId="55EBE775" w14:textId="77777777" w:rsidR="0077274E" w:rsidRPr="0077274E" w:rsidRDefault="0077274E" w:rsidP="0077274E">
      <w:pPr>
        <w:pStyle w:val="Heading1"/>
        <w:ind w:left="1440"/>
        <w:rPr>
          <w:b w:val="0"/>
          <w:bCs w:val="0"/>
          <w:sz w:val="24"/>
          <w:szCs w:val="24"/>
        </w:rPr>
      </w:pPr>
      <w:r w:rsidRPr="000D6C61">
        <w:rPr>
          <w:b w:val="0"/>
          <w:bCs w:val="0"/>
          <w:sz w:val="24"/>
          <w:szCs w:val="24"/>
        </w:rPr>
        <w:lastRenderedPageBreak/>
        <w:t xml:space="preserve">“Court rules Pa. man can be re-tried for allegedly setting blaze that killed 3 firefighters. The man's previous convictions for the deaths of three Pittsburgh firefighters were overturned 20 years into his prison sentences.” (April 15, 2021): </w:t>
      </w:r>
      <w:hyperlink r:id="rId555" w:history="1">
        <w:r w:rsidRPr="0077274E">
          <w:rPr>
            <w:rStyle w:val="Hyperlink"/>
            <w:b w:val="0"/>
            <w:bCs w:val="0"/>
            <w:sz w:val="24"/>
            <w:szCs w:val="24"/>
          </w:rPr>
          <w:t>https://www.firerescue1.com/arson-investigation/articles/court-rules-pa-man-can-be-re-tried-for-allegedly-setting-blaze-that-killed-3-firefighters-lLEkejoGfuP6GGk9/?utm_source=FireRescue1+Daily&amp;utm_campaign=f787a554cb-EMAIL_CAMPAIGN_2021_04_15_07_27&amp;utm_medium=email&amp;utm_term=0_758bdbeffe-f787a554cb-41607823</w:t>
        </w:r>
      </w:hyperlink>
      <w:r w:rsidRPr="0077274E">
        <w:rPr>
          <w:b w:val="0"/>
          <w:bCs w:val="0"/>
          <w:sz w:val="24"/>
          <w:szCs w:val="24"/>
        </w:rPr>
        <w:t xml:space="preserve"> </w:t>
      </w:r>
    </w:p>
    <w:p w14:paraId="561B676B" w14:textId="77777777" w:rsidR="0077274E" w:rsidRPr="00A94994" w:rsidRDefault="0077274E" w:rsidP="0077274E">
      <w:pPr>
        <w:ind w:left="720"/>
        <w:rPr>
          <w:rFonts w:ascii="Times New Roman" w:hAnsi="Times New Roman"/>
          <w:sz w:val="24"/>
          <w:szCs w:val="24"/>
        </w:rPr>
      </w:pPr>
    </w:p>
    <w:p w14:paraId="007CD4F8" w14:textId="77777777" w:rsidR="0077274E" w:rsidRDefault="0077274E" w:rsidP="00EF1133">
      <w:pPr>
        <w:pStyle w:val="NoSpacing"/>
        <w:rPr>
          <w:rFonts w:ascii="Arial Black" w:hAnsi="Arial Black"/>
          <w:sz w:val="24"/>
          <w:szCs w:val="24"/>
        </w:rPr>
      </w:pPr>
    </w:p>
    <w:p w14:paraId="6BD771B5" w14:textId="77777777" w:rsidR="0077274E" w:rsidRDefault="0077274E" w:rsidP="00EF1133">
      <w:pPr>
        <w:pStyle w:val="NoSpacing"/>
        <w:rPr>
          <w:rFonts w:ascii="Arial Black" w:hAnsi="Arial Black"/>
          <w:sz w:val="24"/>
          <w:szCs w:val="24"/>
        </w:rPr>
      </w:pPr>
    </w:p>
    <w:p w14:paraId="2C421661" w14:textId="346A44A0" w:rsidR="00CD5950" w:rsidRDefault="00CD5950" w:rsidP="00EF1133">
      <w:pPr>
        <w:pStyle w:val="NoSpacing"/>
        <w:rPr>
          <w:rFonts w:ascii="Arial Black" w:hAnsi="Arial Black"/>
          <w:sz w:val="24"/>
          <w:szCs w:val="24"/>
        </w:rPr>
      </w:pPr>
      <w:r>
        <w:rPr>
          <w:rFonts w:ascii="Arial Black" w:hAnsi="Arial Black"/>
          <w:sz w:val="24"/>
          <w:szCs w:val="24"/>
        </w:rPr>
        <w:t>2-31</w:t>
      </w:r>
    </w:p>
    <w:p w14:paraId="514DA587" w14:textId="2AD41E3C" w:rsidR="00CD5950" w:rsidRDefault="00CD5950" w:rsidP="00EF1133">
      <w:pPr>
        <w:pStyle w:val="NoSpacing"/>
        <w:rPr>
          <w:rFonts w:ascii="Arial Black" w:hAnsi="Arial Black"/>
          <w:sz w:val="24"/>
          <w:szCs w:val="24"/>
        </w:rPr>
      </w:pPr>
    </w:p>
    <w:p w14:paraId="4BA773C9" w14:textId="77777777" w:rsidR="00CD5950" w:rsidRPr="001C50BB" w:rsidRDefault="00CD5950" w:rsidP="00CD5950">
      <w:pPr>
        <w:pStyle w:val="NoSpacing"/>
        <w:rPr>
          <w:rFonts w:ascii="Arial Black" w:hAnsi="Arial Black"/>
          <w:sz w:val="28"/>
          <w:szCs w:val="28"/>
        </w:rPr>
      </w:pPr>
      <w:r>
        <w:rPr>
          <w:rFonts w:ascii="Arial Black" w:hAnsi="Arial Black"/>
          <w:sz w:val="28"/>
          <w:szCs w:val="28"/>
        </w:rPr>
        <w:t>OH: FIRE CHIEF ALMOST HIT - THIRD-DEGEE FELONY - DRIVER SLEEPING AT GAS STATION SPEAD AWAY FROM DEPUTY SHERIFF</w:t>
      </w:r>
    </w:p>
    <w:p w14:paraId="7211BAE9" w14:textId="77777777" w:rsidR="00CD5950" w:rsidRDefault="00CD5950" w:rsidP="00CD5950">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On Feb. 22, 2021, in </w:t>
      </w:r>
      <w:r w:rsidRPr="001C50BB">
        <w:rPr>
          <w:rFonts w:ascii="Times New Roman" w:hAnsi="Times New Roman"/>
          <w:sz w:val="24"/>
          <w:szCs w:val="24"/>
          <w:u w:val="single"/>
        </w:rPr>
        <w:t>State of Ohio v. David A. Zitney</w:t>
      </w:r>
      <w:r>
        <w:rPr>
          <w:rFonts w:ascii="Times New Roman" w:hAnsi="Times New Roman"/>
          <w:sz w:val="24"/>
          <w:szCs w:val="24"/>
        </w:rPr>
        <w:t xml:space="preserve">, the Court of Appeals for Twelfth Appellate District (Clinton County), </w:t>
      </w:r>
      <w:r w:rsidRPr="003E75FA">
        <w:rPr>
          <w:rFonts w:ascii="Times New Roman" w:eastAsia="Times New Roman" w:hAnsi="Times New Roman"/>
          <w:color w:val="000000" w:themeColor="text1"/>
          <w:sz w:val="24"/>
          <w:szCs w:val="24"/>
        </w:rPr>
        <w:t xml:space="preserve">2021 Ohio </w:t>
      </w:r>
      <w:r w:rsidRPr="003E75FA">
        <w:rPr>
          <w:rFonts w:ascii="Times New Roman" w:eastAsia="Times New Roman" w:hAnsi="Times New Roman"/>
          <w:sz w:val="24"/>
          <w:szCs w:val="24"/>
        </w:rPr>
        <w:t>466</w:t>
      </w:r>
      <w:r>
        <w:rPr>
          <w:rFonts w:ascii="Times New Roman" w:eastAsia="Times New Roman" w:hAnsi="Times New Roman"/>
          <w:sz w:val="24"/>
          <w:szCs w:val="24"/>
        </w:rPr>
        <w:t xml:space="preserve">, </w:t>
      </w:r>
      <w:r>
        <w:rPr>
          <w:rFonts w:ascii="Times New Roman" w:hAnsi="Times New Roman"/>
          <w:sz w:val="24"/>
          <w:szCs w:val="24"/>
        </w:rPr>
        <w:t xml:space="preserve">held (3 to 0) that the drivers’ conduct, failing to comply with officer’s order or signal, and speeding away from the gas station caused a “substantial risk of serious physical harm to others” and was therefore a third-degree felony.  The jury conviction was affirmed; the defendant must serve 3-year sentence. </w:t>
      </w:r>
    </w:p>
    <w:p w14:paraId="2D3C7521" w14:textId="77777777" w:rsidR="00CD5950" w:rsidRPr="00E31E01" w:rsidRDefault="00CD5950" w:rsidP="00CD5950">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“T</w:t>
      </w:r>
      <w:r w:rsidRPr="00E31E01">
        <w:rPr>
          <w:rFonts w:ascii="Times New Roman" w:eastAsia="Times New Roman" w:hAnsi="Times New Roman"/>
          <w:sz w:val="24"/>
          <w:szCs w:val="24"/>
        </w:rPr>
        <w:t xml:space="preserve">estimony from Deputy Abbitt and Fugate </w:t>
      </w:r>
      <w:r>
        <w:rPr>
          <w:rFonts w:ascii="Times New Roman" w:eastAsia="Times New Roman" w:hAnsi="Times New Roman"/>
          <w:sz w:val="24"/>
          <w:szCs w:val="24"/>
        </w:rPr>
        <w:t xml:space="preserve">[Don Fugate, Fire Chief, Massie Township] </w:t>
      </w:r>
      <w:r w:rsidRPr="00E31E01">
        <w:rPr>
          <w:rFonts w:ascii="Times New Roman" w:eastAsia="Times New Roman" w:hAnsi="Times New Roman"/>
          <w:sz w:val="24"/>
          <w:szCs w:val="24"/>
        </w:rPr>
        <w:t xml:space="preserve">demonstrated that appellant's actions on October 19, </w:t>
      </w:r>
      <w:proofErr w:type="gramStart"/>
      <w:r w:rsidRPr="00E31E01">
        <w:rPr>
          <w:rFonts w:ascii="Times New Roman" w:eastAsia="Times New Roman" w:hAnsi="Times New Roman"/>
          <w:sz w:val="24"/>
          <w:szCs w:val="24"/>
        </w:rPr>
        <w:t>2019</w:t>
      </w:r>
      <w:proofErr w:type="gramEnd"/>
      <w:r w:rsidRPr="00E31E01">
        <w:rPr>
          <w:rFonts w:ascii="Times New Roman" w:eastAsia="Times New Roman" w:hAnsi="Times New Roman"/>
          <w:sz w:val="24"/>
          <w:szCs w:val="24"/>
        </w:rPr>
        <w:t xml:space="preserve"> created a strong possibility of serious physical harm to those individuals present at the Shell gas station and to those motorists traveling along State Route 73 when appellant fled from the gas station. Appellant drove through and exited the parking lot of a commercial establishment where other individuals were present at an excessive rate of speed. </w:t>
      </w:r>
      <w:proofErr w:type="gramStart"/>
      <w:r w:rsidRPr="00E31E01">
        <w:rPr>
          <w:rFonts w:ascii="Times New Roman" w:eastAsia="Times New Roman" w:hAnsi="Times New Roman"/>
          <w:sz w:val="24"/>
          <w:szCs w:val="24"/>
        </w:rPr>
        <w:t>Appellant</w:t>
      </w:r>
      <w:proofErr w:type="gramEnd"/>
      <w:r w:rsidRPr="00E31E01">
        <w:rPr>
          <w:rFonts w:ascii="Times New Roman" w:eastAsia="Times New Roman" w:hAnsi="Times New Roman"/>
          <w:sz w:val="24"/>
          <w:szCs w:val="24"/>
        </w:rPr>
        <w:t xml:space="preserve"> did not </w:t>
      </w:r>
      <w:proofErr w:type="spellStart"/>
      <w:r w:rsidRPr="00E31E01">
        <w:rPr>
          <w:rFonts w:ascii="Times New Roman" w:eastAsia="Times New Roman" w:hAnsi="Times New Roman"/>
          <w:sz w:val="24"/>
          <w:szCs w:val="24"/>
        </w:rPr>
        <w:t>brake</w:t>
      </w:r>
      <w:proofErr w:type="spellEnd"/>
      <w:r w:rsidRPr="00E31E01">
        <w:rPr>
          <w:rFonts w:ascii="Times New Roman" w:eastAsia="Times New Roman" w:hAnsi="Times New Roman"/>
          <w:sz w:val="24"/>
          <w:szCs w:val="24"/>
        </w:rPr>
        <w:t xml:space="preserve"> before entering the roadway and proceeded to drive at a high rate of speed, sometimes on the</w:t>
      </w:r>
      <w:r>
        <w:rPr>
          <w:rFonts w:ascii="Times New Roman" w:eastAsia="Times New Roman" w:hAnsi="Times New Roman"/>
          <w:sz w:val="24"/>
          <w:szCs w:val="24"/>
        </w:rPr>
        <w:t xml:space="preserve"> </w:t>
      </w:r>
      <w:r w:rsidRPr="00E31E01">
        <w:rPr>
          <w:rFonts w:ascii="Times New Roman" w:eastAsia="Times New Roman" w:hAnsi="Times New Roman"/>
          <w:sz w:val="24"/>
          <w:szCs w:val="24"/>
        </w:rPr>
        <w:t xml:space="preserve">wrong side of the road against traffic. As Fugate explained, the area where </w:t>
      </w:r>
      <w:proofErr w:type="gramStart"/>
      <w:r w:rsidRPr="00E31E01">
        <w:rPr>
          <w:rFonts w:ascii="Times New Roman" w:eastAsia="Times New Roman" w:hAnsi="Times New Roman"/>
          <w:sz w:val="24"/>
          <w:szCs w:val="24"/>
        </w:rPr>
        <w:t>appellant</w:t>
      </w:r>
      <w:proofErr w:type="gramEnd"/>
      <w:r w:rsidRPr="00E31E01">
        <w:rPr>
          <w:rFonts w:ascii="Times New Roman" w:eastAsia="Times New Roman" w:hAnsi="Times New Roman"/>
          <w:sz w:val="24"/>
          <w:szCs w:val="24"/>
        </w:rPr>
        <w:t xml:space="preserve"> entered the highway was a </w:t>
      </w:r>
      <w:r>
        <w:rPr>
          <w:rFonts w:ascii="Times New Roman" w:eastAsia="Times New Roman" w:hAnsi="Times New Roman"/>
          <w:sz w:val="24"/>
          <w:szCs w:val="24"/>
        </w:rPr>
        <w:t>‘</w:t>
      </w:r>
      <w:r w:rsidRPr="00E31E01">
        <w:rPr>
          <w:rFonts w:ascii="Times New Roman" w:eastAsia="Times New Roman" w:hAnsi="Times New Roman"/>
          <w:sz w:val="24"/>
          <w:szCs w:val="24"/>
        </w:rPr>
        <w:t>high traffic area</w:t>
      </w:r>
      <w:r>
        <w:rPr>
          <w:rFonts w:ascii="Times New Roman" w:eastAsia="Times New Roman" w:hAnsi="Times New Roman"/>
          <w:sz w:val="24"/>
          <w:szCs w:val="24"/>
        </w:rPr>
        <w:t>’</w:t>
      </w:r>
      <w:r w:rsidRPr="00E31E01">
        <w:rPr>
          <w:rFonts w:ascii="Times New Roman" w:eastAsia="Times New Roman" w:hAnsi="Times New Roman"/>
          <w:sz w:val="24"/>
          <w:szCs w:val="24"/>
        </w:rPr>
        <w:t xml:space="preserve"> and the roadway where </w:t>
      </w:r>
      <w:proofErr w:type="gramStart"/>
      <w:r w:rsidRPr="00E31E01">
        <w:rPr>
          <w:rFonts w:ascii="Times New Roman" w:eastAsia="Times New Roman" w:hAnsi="Times New Roman"/>
          <w:sz w:val="24"/>
          <w:szCs w:val="24"/>
        </w:rPr>
        <w:t>appellant</w:t>
      </w:r>
      <w:proofErr w:type="gramEnd"/>
      <w:r w:rsidRPr="00E31E01">
        <w:rPr>
          <w:rFonts w:ascii="Times New Roman" w:eastAsia="Times New Roman" w:hAnsi="Times New Roman"/>
          <w:sz w:val="24"/>
          <w:szCs w:val="24"/>
        </w:rPr>
        <w:t xml:space="preserve"> drove in the incorrect lane was curvy and hilly. In fact, the bridge appellant drove on had an inclining peak, which made it difficult to see if traffic was approaching on the other side of the bridge. Indeed, as Deputy Abbitt explained, traffic was observed traveling in both directions on State Route 73 during her pursuit of appellant. Appellant was driving at such a rapid speed that the deputy was unable to catch up to appellant, despite traveling more than 100 m.p.h.</w:t>
      </w:r>
      <w:r>
        <w:rPr>
          <w:rFonts w:ascii="Times New Roman" w:eastAsia="Times New Roman" w:hAnsi="Times New Roman"/>
          <w:sz w:val="24"/>
          <w:szCs w:val="24"/>
        </w:rPr>
        <w:t xml:space="preserve">”   </w:t>
      </w:r>
      <w:hyperlink r:id="rId556" w:history="1">
        <w:r w:rsidRPr="00EA374E">
          <w:rPr>
            <w:rStyle w:val="Hyperlink"/>
            <w:rFonts w:ascii="Times New Roman" w:eastAsia="Times New Roman" w:hAnsi="Times New Roman"/>
            <w:sz w:val="24"/>
            <w:szCs w:val="24"/>
          </w:rPr>
          <w:t>https://casetext.com/case/state-v-zitney-1</w:t>
        </w:r>
      </w:hyperlink>
      <w:r>
        <w:rPr>
          <w:rFonts w:ascii="Times New Roman" w:eastAsia="Times New Roman" w:hAnsi="Times New Roman"/>
          <w:sz w:val="24"/>
          <w:szCs w:val="24"/>
        </w:rPr>
        <w:t xml:space="preserve"> </w:t>
      </w:r>
    </w:p>
    <w:p w14:paraId="2698B6BF" w14:textId="77777777" w:rsidR="00CD5950" w:rsidRDefault="00CD5950" w:rsidP="00EF1133">
      <w:pPr>
        <w:pStyle w:val="NoSpacing"/>
        <w:rPr>
          <w:rFonts w:ascii="Arial Black" w:hAnsi="Arial Black"/>
          <w:sz w:val="24"/>
          <w:szCs w:val="24"/>
        </w:rPr>
      </w:pPr>
    </w:p>
    <w:p w14:paraId="78F5AC83" w14:textId="77777777" w:rsidR="00CD5950" w:rsidRDefault="00CD5950" w:rsidP="00EF1133">
      <w:pPr>
        <w:pStyle w:val="NoSpacing"/>
        <w:rPr>
          <w:rFonts w:ascii="Arial Black" w:hAnsi="Arial Black"/>
          <w:sz w:val="24"/>
          <w:szCs w:val="24"/>
        </w:rPr>
      </w:pPr>
    </w:p>
    <w:p w14:paraId="79B2132A" w14:textId="77777777" w:rsidR="00CD5950" w:rsidRDefault="00CD5950" w:rsidP="00EF1133">
      <w:pPr>
        <w:pStyle w:val="NoSpacing"/>
        <w:rPr>
          <w:rFonts w:ascii="Arial Black" w:hAnsi="Arial Black"/>
          <w:sz w:val="24"/>
          <w:szCs w:val="24"/>
        </w:rPr>
      </w:pPr>
    </w:p>
    <w:p w14:paraId="30B1E84B" w14:textId="03E81674" w:rsidR="00F90EE5" w:rsidRDefault="00F90EE5" w:rsidP="00EF1133">
      <w:pPr>
        <w:pStyle w:val="NoSpacing"/>
        <w:rPr>
          <w:rFonts w:ascii="Arial Black" w:hAnsi="Arial Black"/>
          <w:sz w:val="24"/>
          <w:szCs w:val="24"/>
        </w:rPr>
      </w:pPr>
      <w:r>
        <w:rPr>
          <w:rFonts w:ascii="Arial Black" w:hAnsi="Arial Black"/>
          <w:sz w:val="24"/>
          <w:szCs w:val="24"/>
        </w:rPr>
        <w:t>2-30</w:t>
      </w:r>
    </w:p>
    <w:p w14:paraId="4EF4A26E" w14:textId="1A082B15" w:rsidR="00F90EE5" w:rsidRDefault="00F90EE5" w:rsidP="00EF1133">
      <w:pPr>
        <w:pStyle w:val="NoSpacing"/>
        <w:rPr>
          <w:rFonts w:ascii="Arial Black" w:hAnsi="Arial Black"/>
          <w:sz w:val="24"/>
          <w:szCs w:val="24"/>
        </w:rPr>
      </w:pPr>
    </w:p>
    <w:p w14:paraId="592B5EB8" w14:textId="77777777" w:rsidR="00F90EE5" w:rsidRPr="00C90287" w:rsidRDefault="00F90EE5" w:rsidP="00F90EE5">
      <w:pPr>
        <w:pStyle w:val="NoSpacing"/>
        <w:rPr>
          <w:rFonts w:ascii="Arial Black" w:hAnsi="Arial Black"/>
          <w:sz w:val="28"/>
          <w:szCs w:val="28"/>
        </w:rPr>
      </w:pPr>
      <w:r>
        <w:rPr>
          <w:rFonts w:ascii="Arial Black" w:hAnsi="Arial Black"/>
          <w:sz w:val="28"/>
          <w:szCs w:val="28"/>
        </w:rPr>
        <w:t>MI: ENGINE PROTECTING MVA SITE – CIVILIAN DRIVER, TEXTING - RAN INTO ENGINE - 10-30 YEARS, DEATH OF PASSENGER</w:t>
      </w:r>
    </w:p>
    <w:p w14:paraId="6FDD95D4" w14:textId="77777777" w:rsidR="00F90EE5" w:rsidRDefault="00F90EE5" w:rsidP="00F90EE5">
      <w:pPr>
        <w:pStyle w:val="NoSpacing"/>
      </w:pPr>
    </w:p>
    <w:p w14:paraId="22C9CFD1" w14:textId="77777777" w:rsidR="00F90EE5" w:rsidRPr="002B73D2" w:rsidRDefault="00F90EE5" w:rsidP="00F90EE5">
      <w:pPr>
        <w:pStyle w:val="NoSpacing"/>
        <w:rPr>
          <w:rFonts w:ascii="Times New Roman" w:hAnsi="Times New Roman"/>
          <w:sz w:val="24"/>
          <w:szCs w:val="24"/>
        </w:rPr>
      </w:pPr>
      <w:r>
        <w:rPr>
          <w:rFonts w:ascii="Times New Roman" w:hAnsi="Times New Roman"/>
          <w:sz w:val="24"/>
          <w:szCs w:val="24"/>
        </w:rPr>
        <w:t xml:space="preserve">On Jan. 14, 2021, in </w:t>
      </w:r>
      <w:r w:rsidRPr="002B73D2">
        <w:rPr>
          <w:rFonts w:ascii="Times New Roman" w:hAnsi="Times New Roman"/>
          <w:sz w:val="24"/>
          <w:szCs w:val="24"/>
          <w:u w:val="single"/>
        </w:rPr>
        <w:t>People of the State of Michigan v. Charles Edward Horn</w:t>
      </w:r>
      <w:r>
        <w:rPr>
          <w:rFonts w:ascii="Times New Roman" w:hAnsi="Times New Roman"/>
          <w:sz w:val="24"/>
          <w:szCs w:val="24"/>
        </w:rPr>
        <w:t xml:space="preserve">, the State of Michigan Court of Appeals, held (3 to 0; unpublished opinion) that the jury properly convicted the driver of </w:t>
      </w:r>
      <w:r w:rsidRPr="002B73D2">
        <w:rPr>
          <w:rFonts w:ascii="Times New Roman" w:hAnsi="Times New Roman"/>
          <w:sz w:val="24"/>
          <w:szCs w:val="24"/>
        </w:rPr>
        <w:t xml:space="preserve">reckless driving </w:t>
      </w:r>
      <w:r w:rsidRPr="002B73D2">
        <w:rPr>
          <w:rFonts w:ascii="Times New Roman" w:hAnsi="Times New Roman"/>
          <w:sz w:val="24"/>
          <w:szCs w:val="24"/>
        </w:rPr>
        <w:lastRenderedPageBreak/>
        <w:t xml:space="preserve">causing death </w:t>
      </w:r>
      <w:r>
        <w:rPr>
          <w:rFonts w:ascii="Times New Roman" w:hAnsi="Times New Roman"/>
          <w:sz w:val="24"/>
          <w:szCs w:val="24"/>
        </w:rPr>
        <w:t xml:space="preserve">(back seat passenger) </w:t>
      </w:r>
      <w:r w:rsidRPr="002B73D2">
        <w:rPr>
          <w:rFonts w:ascii="Times New Roman" w:hAnsi="Times New Roman"/>
          <w:sz w:val="24"/>
          <w:szCs w:val="24"/>
        </w:rPr>
        <w:t>and reckless driving causing impairment of a bodily function</w:t>
      </w:r>
      <w:r>
        <w:rPr>
          <w:rFonts w:ascii="Times New Roman" w:hAnsi="Times New Roman"/>
          <w:sz w:val="24"/>
          <w:szCs w:val="24"/>
        </w:rPr>
        <w:t xml:space="preserve"> (defendant’s daughter)</w:t>
      </w:r>
      <w:r w:rsidRPr="002B73D2">
        <w:rPr>
          <w:rFonts w:ascii="Times New Roman" w:hAnsi="Times New Roman"/>
          <w:sz w:val="24"/>
          <w:szCs w:val="24"/>
        </w:rPr>
        <w:t>.</w:t>
      </w:r>
      <w:r>
        <w:rPr>
          <w:rFonts w:ascii="Times New Roman" w:hAnsi="Times New Roman"/>
          <w:sz w:val="24"/>
          <w:szCs w:val="24"/>
        </w:rPr>
        <w:t xml:space="preserve">  The driver was texting his daughter’s former boyfriend, telling him to stay away from her, when he ran into the back of the engine. </w:t>
      </w:r>
    </w:p>
    <w:p w14:paraId="33364AAF" w14:textId="77777777" w:rsidR="00F90EE5" w:rsidRPr="002B73D2" w:rsidRDefault="00F90EE5" w:rsidP="00F90EE5">
      <w:pPr>
        <w:pStyle w:val="NoSpacing"/>
        <w:rPr>
          <w:rFonts w:ascii="Times New Roman" w:hAnsi="Times New Roman"/>
          <w:sz w:val="24"/>
          <w:szCs w:val="24"/>
        </w:rPr>
      </w:pPr>
    </w:p>
    <w:p w14:paraId="44DBF989" w14:textId="77777777" w:rsidR="00F90EE5" w:rsidRPr="002B73D2" w:rsidRDefault="00F90EE5" w:rsidP="00F90EE5">
      <w:pPr>
        <w:pStyle w:val="NoSpacing"/>
        <w:ind w:left="720"/>
        <w:rPr>
          <w:rFonts w:ascii="Times New Roman" w:hAnsi="Times New Roman"/>
          <w:sz w:val="24"/>
          <w:szCs w:val="24"/>
        </w:rPr>
      </w:pPr>
      <w:r>
        <w:rPr>
          <w:rFonts w:ascii="Times New Roman" w:hAnsi="Times New Roman"/>
          <w:sz w:val="24"/>
          <w:szCs w:val="24"/>
        </w:rPr>
        <w:t>“</w:t>
      </w:r>
      <w:r w:rsidRPr="002B73D2">
        <w:rPr>
          <w:rFonts w:ascii="Times New Roman" w:hAnsi="Times New Roman"/>
          <w:sz w:val="24"/>
          <w:szCs w:val="24"/>
        </w:rPr>
        <w:t xml:space="preserve">Phone records showed that defendant's cell phone sent a text message at 11:01:34 p.m. The crash was called in at 11:02:08 p.m. The jury heard uncontested evidence that the average perception or response time is between 1.5 and 1.6 seconds and that defendant—assuming that he was proceeding at the speed limit—had 34 seconds from the time he entered onto the highway until the scene of the crash approximately .6 miles down the highway from the on-ramp, which was more than enough time to bring the vehicle to a complete stop or to change lanes. The fire truck was bright yellow, parked in a standard technique to assure the safety of emergency responders, and had its emergency lights flashing, as did at least one other emergency response vehicle. The roadway was straight, and there was good visibility that night. Despite this, there was no evidence suggesting that defendant ever perceived the fire engine or that he attempted to brake or change lanes to avoid a collision. Given this evidence, the jury could fairly conclude that the defendant was operating the vehicle </w:t>
      </w:r>
      <w:r>
        <w:rPr>
          <w:rFonts w:ascii="Times New Roman" w:hAnsi="Times New Roman"/>
          <w:sz w:val="24"/>
          <w:szCs w:val="24"/>
        </w:rPr>
        <w:t>‘</w:t>
      </w:r>
      <w:r w:rsidRPr="002B73D2">
        <w:rPr>
          <w:rFonts w:ascii="Times New Roman" w:hAnsi="Times New Roman"/>
          <w:sz w:val="24"/>
          <w:szCs w:val="24"/>
        </w:rPr>
        <w:t>with wanton disregard of the potential consequences, i.e., death and serious injury.</w:t>
      </w:r>
      <w:r>
        <w:rPr>
          <w:rFonts w:ascii="Times New Roman" w:hAnsi="Times New Roman"/>
          <w:sz w:val="24"/>
          <w:szCs w:val="24"/>
        </w:rPr>
        <w:t xml:space="preserve">’” </w:t>
      </w:r>
      <w:hyperlink r:id="rId557" w:history="1">
        <w:r w:rsidRPr="00AA6AFA">
          <w:rPr>
            <w:rStyle w:val="Hyperlink"/>
            <w:rFonts w:ascii="Times New Roman" w:hAnsi="Times New Roman"/>
            <w:sz w:val="24"/>
            <w:szCs w:val="24"/>
          </w:rPr>
          <w:t>https://law.justia.com/cases/michigan/court-of-appeals-unpublished/2021/350129.html</w:t>
        </w:r>
      </w:hyperlink>
      <w:r>
        <w:rPr>
          <w:rFonts w:ascii="Times New Roman" w:hAnsi="Times New Roman"/>
          <w:sz w:val="24"/>
          <w:szCs w:val="24"/>
        </w:rPr>
        <w:t xml:space="preserve"> </w:t>
      </w:r>
    </w:p>
    <w:p w14:paraId="064127D6" w14:textId="77777777" w:rsidR="00F90EE5" w:rsidRDefault="00F90EE5" w:rsidP="00F90EE5">
      <w:pPr>
        <w:spacing w:before="100" w:beforeAutospacing="1" w:after="100" w:afterAutospacing="1" w:line="240" w:lineRule="auto"/>
        <w:rPr>
          <w:rFonts w:ascii="Times New Roman" w:hAnsi="Times New Roman"/>
          <w:b/>
          <w:bCs/>
          <w:sz w:val="24"/>
          <w:szCs w:val="24"/>
        </w:rPr>
      </w:pPr>
      <w:r w:rsidRPr="00E86EB6">
        <w:rPr>
          <w:rFonts w:ascii="Times New Roman" w:hAnsi="Times New Roman"/>
          <w:b/>
          <w:bCs/>
          <w:sz w:val="24"/>
          <w:szCs w:val="24"/>
        </w:rPr>
        <w:t>Legal Lesson Learned:</w:t>
      </w:r>
      <w:r>
        <w:rPr>
          <w:rFonts w:ascii="Times New Roman" w:hAnsi="Times New Roman"/>
          <w:b/>
          <w:bCs/>
          <w:sz w:val="24"/>
          <w:szCs w:val="24"/>
        </w:rPr>
        <w:t xml:space="preserve"> Texting while driving can have deadly consequences.</w:t>
      </w:r>
    </w:p>
    <w:p w14:paraId="6B3C6024" w14:textId="77777777" w:rsidR="00F90EE5" w:rsidRDefault="00F90EE5" w:rsidP="00EF1133">
      <w:pPr>
        <w:pStyle w:val="NoSpacing"/>
        <w:rPr>
          <w:rFonts w:ascii="Arial Black" w:hAnsi="Arial Black"/>
          <w:sz w:val="24"/>
          <w:szCs w:val="24"/>
        </w:rPr>
      </w:pPr>
    </w:p>
    <w:p w14:paraId="2DE4B232" w14:textId="64259423" w:rsidR="00F90EE5" w:rsidRDefault="00F90EE5" w:rsidP="00EF1133">
      <w:pPr>
        <w:pStyle w:val="NoSpacing"/>
        <w:rPr>
          <w:rFonts w:ascii="Arial Black" w:hAnsi="Arial Black"/>
          <w:sz w:val="24"/>
          <w:szCs w:val="24"/>
        </w:rPr>
      </w:pPr>
      <w:r>
        <w:rPr>
          <w:rFonts w:ascii="Arial Black" w:hAnsi="Arial Black"/>
          <w:sz w:val="24"/>
          <w:szCs w:val="24"/>
        </w:rPr>
        <w:t>2-29</w:t>
      </w:r>
    </w:p>
    <w:p w14:paraId="10B0E553" w14:textId="6D5A5620" w:rsidR="00F90EE5" w:rsidRDefault="00F90EE5" w:rsidP="00EF1133">
      <w:pPr>
        <w:pStyle w:val="NoSpacing"/>
        <w:rPr>
          <w:rFonts w:ascii="Arial Black" w:hAnsi="Arial Black"/>
          <w:sz w:val="24"/>
          <w:szCs w:val="24"/>
        </w:rPr>
      </w:pPr>
    </w:p>
    <w:p w14:paraId="48DB223F" w14:textId="77777777" w:rsidR="00F90EE5" w:rsidRPr="00067B64" w:rsidRDefault="00F90EE5" w:rsidP="00F90EE5">
      <w:pPr>
        <w:spacing w:before="100" w:beforeAutospacing="1" w:after="100" w:afterAutospacing="1" w:line="240" w:lineRule="auto"/>
        <w:rPr>
          <w:rFonts w:ascii="Arial Black" w:eastAsia="Times New Roman" w:hAnsi="Arial Black"/>
          <w:sz w:val="28"/>
          <w:szCs w:val="28"/>
        </w:rPr>
      </w:pPr>
      <w:bookmarkStart w:id="93" w:name="_Hlk66941295"/>
      <w:r>
        <w:rPr>
          <w:rFonts w:ascii="Arial Black" w:eastAsia="Times New Roman" w:hAnsi="Arial Black"/>
          <w:sz w:val="28"/>
          <w:szCs w:val="28"/>
        </w:rPr>
        <w:t>DE: FIRE STATION “ROLLING BROWN OUTS” – 3 LODDs – FED. LAWSUIT DISMISSED – RISK DEATH INHERENT IN JOB</w:t>
      </w:r>
    </w:p>
    <w:p w14:paraId="19BDAE8B" w14:textId="77777777" w:rsidR="00F90EE5" w:rsidRDefault="00F90EE5" w:rsidP="00F90EE5">
      <w:pPr>
        <w:pStyle w:val="NormalWeb"/>
      </w:pPr>
      <w:r>
        <w:t xml:space="preserve">On Jan. 6, 2021, in </w:t>
      </w:r>
      <w:r w:rsidRPr="00067B64">
        <w:rPr>
          <w:u w:val="single"/>
        </w:rPr>
        <w:t>Firefighter Brad Speakman, et al. v. Dennis P. Williams, et al</w:t>
      </w:r>
      <w:r>
        <w:t xml:space="preserve">., the U.S. Court </w:t>
      </w:r>
      <w:r w:rsidRPr="00067B64">
        <w:t>of Appeals for the 3</w:t>
      </w:r>
      <w:r w:rsidRPr="00067B64">
        <w:rPr>
          <w:vertAlign w:val="superscript"/>
        </w:rPr>
        <w:t>rd</w:t>
      </w:r>
      <w:r w:rsidRPr="00067B64">
        <w:t xml:space="preserve"> Circuit, held (3 to 0</w:t>
      </w:r>
      <w:r>
        <w:t>; non precedential</w:t>
      </w:r>
      <w:r w:rsidRPr="00067B64">
        <w:t>) that the U.S. District Court judge properly granted defense motion to dismiss the lawsuit brought by the estates and survivors of the three deceased firefighters</w:t>
      </w:r>
      <w:r>
        <w:t>: L</w:t>
      </w:r>
      <w:r w:rsidRPr="00067B64">
        <w:t>ieutenant Christopher Leach, Senior Firefighter Jerry Fickes, and Senior Firefighter Ardythe Hop</w:t>
      </w:r>
      <w:r>
        <w:t>e, and the t</w:t>
      </w:r>
      <w:r w:rsidRPr="00067B64">
        <w:t>hree injured firefighters</w:t>
      </w:r>
      <w:r>
        <w:t>: F</w:t>
      </w:r>
      <w:r w:rsidRPr="00067B64">
        <w:t>irefighter Brad Speakman, Senior Firefighter Terrance Tate, and Lieutenant John Cawthray</w:t>
      </w:r>
      <w:r>
        <w:t>.  The five defendants were</w:t>
      </w:r>
      <w:r w:rsidRPr="00067B64">
        <w:t>: (1) Dennis P. Williams (who served as Mayor of Wilmington from 2013 to 2017); (2) James M. Baker (Williams's predecessor, who was Mayor from 2001 to 2013); (3) Anthony S. Goode (WFD Chief of Fire from 2013 until</w:t>
      </w:r>
      <w:r>
        <w:t xml:space="preserve"> </w:t>
      </w:r>
      <w:r w:rsidRPr="00067B64">
        <w:t>2017); (4) William Patrick, Jr. (Chief of Fire from 2007 until 2013); and (5) the City of Wilmington.</w:t>
      </w:r>
    </w:p>
    <w:bookmarkEnd w:id="93"/>
    <w:p w14:paraId="3DA6F393" w14:textId="51A2912E" w:rsidR="00F90EE5" w:rsidRDefault="00F90EE5" w:rsidP="007F3C7D">
      <w:pPr>
        <w:spacing w:before="100" w:beforeAutospacing="1" w:after="100" w:afterAutospacing="1" w:line="240" w:lineRule="auto"/>
        <w:ind w:left="720"/>
        <w:rPr>
          <w:rStyle w:val="Hyperlink"/>
          <w:rFonts w:ascii="Times New Roman" w:hAnsi="Times New Roman"/>
          <w:sz w:val="24"/>
          <w:szCs w:val="24"/>
        </w:rPr>
      </w:pPr>
      <w:r>
        <w:rPr>
          <w:rFonts w:ascii="Times New Roman" w:eastAsia="Times New Roman" w:hAnsi="Times New Roman"/>
          <w:sz w:val="24"/>
          <w:szCs w:val="24"/>
        </w:rPr>
        <w:t>“</w:t>
      </w:r>
      <w:r w:rsidRPr="005005A2">
        <w:rPr>
          <w:rFonts w:ascii="Times New Roman" w:eastAsia="Times New Roman" w:hAnsi="Times New Roman"/>
          <w:sz w:val="24"/>
          <w:szCs w:val="24"/>
        </w:rPr>
        <w:t xml:space="preserve">Applying </w:t>
      </w:r>
      <w:r w:rsidRPr="005005A2">
        <w:rPr>
          <w:rFonts w:ascii="Times New Roman" w:eastAsia="Times New Roman" w:hAnsi="Times New Roman"/>
          <w:sz w:val="24"/>
          <w:szCs w:val="24"/>
          <w:u w:val="single"/>
        </w:rPr>
        <w:t>Collins</w:t>
      </w:r>
      <w:r w:rsidRPr="005005A2">
        <w:rPr>
          <w:rFonts w:ascii="Times New Roman" w:eastAsia="Times New Roman" w:hAnsi="Times New Roman"/>
          <w:sz w:val="24"/>
          <w:szCs w:val="24"/>
        </w:rPr>
        <w:t xml:space="preserve">, </w:t>
      </w:r>
      <w:r>
        <w:rPr>
          <w:rFonts w:ascii="Times New Roman" w:eastAsia="Times New Roman" w:hAnsi="Times New Roman"/>
          <w:sz w:val="24"/>
          <w:szCs w:val="24"/>
        </w:rPr>
        <w:t xml:space="preserve">[U.S. Supreme Court decision in </w:t>
      </w:r>
      <w:r w:rsidRPr="00A6382B">
        <w:rPr>
          <w:rFonts w:ascii="Times New Roman" w:eastAsia="Times New Roman" w:hAnsi="Times New Roman"/>
          <w:sz w:val="24"/>
          <w:szCs w:val="24"/>
          <w:u w:val="single"/>
        </w:rPr>
        <w:t>Collins v. Harker Heights</w:t>
      </w:r>
      <w:r>
        <w:rPr>
          <w:rFonts w:ascii="Times New Roman" w:eastAsia="Times New Roman" w:hAnsi="Times New Roman"/>
          <w:sz w:val="24"/>
          <w:szCs w:val="24"/>
          <w:u w:val="single"/>
        </w:rPr>
        <w:t>, 503 US 115</w:t>
      </w:r>
      <w:r>
        <w:rPr>
          <w:rFonts w:ascii="Times New Roman" w:eastAsia="Times New Roman" w:hAnsi="Times New Roman"/>
          <w:sz w:val="24"/>
          <w:szCs w:val="24"/>
        </w:rPr>
        <w:t xml:space="preserve"> (1992) where sanitation worker died by fumes in manhole, and Court held that lawsuit by spouse alleging violation of U.S. Constitution, Due Process Clause was properly dismissed]  </w:t>
      </w:r>
      <w:r w:rsidRPr="005005A2">
        <w:rPr>
          <w:rFonts w:ascii="Times New Roman" w:eastAsia="Times New Roman" w:hAnsi="Times New Roman"/>
          <w:sz w:val="24"/>
          <w:szCs w:val="24"/>
        </w:rPr>
        <w:t xml:space="preserve">we have concluded that, while the Due Process Clause does not guarantee public employees certain minimal levels of safety and security, </w:t>
      </w:r>
      <w:r>
        <w:rPr>
          <w:rFonts w:ascii="Times New Roman" w:eastAsia="Times New Roman" w:hAnsi="Times New Roman"/>
          <w:sz w:val="24"/>
          <w:szCs w:val="24"/>
        </w:rPr>
        <w:t>‘</w:t>
      </w:r>
      <w:r w:rsidRPr="005005A2">
        <w:rPr>
          <w:rFonts w:ascii="Times New Roman" w:eastAsia="Times New Roman" w:hAnsi="Times New Roman"/>
          <w:sz w:val="24"/>
          <w:szCs w:val="24"/>
        </w:rPr>
        <w:t>a government employee may bring a substantive due process claim against his employer if the state compelled the employee to be exposed to a risk of harm not inherent in the workplace.</w:t>
      </w:r>
      <w:r>
        <w:rPr>
          <w:rFonts w:ascii="Times New Roman" w:eastAsia="Times New Roman" w:hAnsi="Times New Roman"/>
          <w:sz w:val="24"/>
          <w:szCs w:val="24"/>
        </w:rPr>
        <w:t>’</w:t>
      </w:r>
      <w:r w:rsidRPr="005005A2">
        <w:rPr>
          <w:rFonts w:ascii="Times New Roman" w:eastAsia="Times New Roman" w:hAnsi="Times New Roman"/>
          <w:sz w:val="24"/>
          <w:szCs w:val="24"/>
        </w:rPr>
        <w:t xml:space="preserve"> </w:t>
      </w:r>
      <w:r w:rsidRPr="005005A2">
        <w:rPr>
          <w:rFonts w:ascii="Times New Roman" w:eastAsia="Times New Roman" w:hAnsi="Times New Roman"/>
          <w:sz w:val="24"/>
          <w:szCs w:val="24"/>
          <w:u w:val="single"/>
        </w:rPr>
        <w:t>Kedra</w:t>
      </w:r>
      <w:r w:rsidRPr="005005A2">
        <w:rPr>
          <w:rFonts w:ascii="Times New Roman" w:eastAsia="Times New Roman" w:hAnsi="Times New Roman"/>
          <w:sz w:val="24"/>
          <w:szCs w:val="24"/>
        </w:rPr>
        <w:t xml:space="preserve">, 876 F.3d at 436 n.6 (citing </w:t>
      </w:r>
      <w:r w:rsidRPr="005005A2">
        <w:rPr>
          <w:rFonts w:ascii="Times New Roman" w:eastAsia="Times New Roman" w:hAnsi="Times New Roman"/>
          <w:sz w:val="24"/>
          <w:szCs w:val="24"/>
          <w:u w:val="single"/>
        </w:rPr>
        <w:t>Kaucher</w:t>
      </w:r>
      <w:r w:rsidRPr="005005A2">
        <w:rPr>
          <w:rFonts w:ascii="Times New Roman" w:eastAsia="Times New Roman" w:hAnsi="Times New Roman"/>
          <w:sz w:val="24"/>
          <w:szCs w:val="24"/>
        </w:rPr>
        <w:t xml:space="preserve">, 455 F.3d at 430-31; </w:t>
      </w:r>
      <w:r w:rsidRPr="005005A2">
        <w:rPr>
          <w:rFonts w:ascii="Times New Roman" w:eastAsia="Times New Roman" w:hAnsi="Times New Roman"/>
          <w:sz w:val="24"/>
          <w:szCs w:val="24"/>
          <w:u w:val="single"/>
        </w:rPr>
        <w:t>Eddy v. V.I. Water &amp; Power Auth.</w:t>
      </w:r>
      <w:r w:rsidRPr="005005A2">
        <w:rPr>
          <w:rFonts w:ascii="Times New Roman" w:eastAsia="Times New Roman" w:hAnsi="Times New Roman"/>
          <w:sz w:val="24"/>
          <w:szCs w:val="24"/>
        </w:rPr>
        <w:t xml:space="preserve">, 256 F.3d 204, 212-13 (3d Cir. </w:t>
      </w:r>
      <w:proofErr w:type="gramStart"/>
      <w:r w:rsidRPr="005005A2">
        <w:rPr>
          <w:rFonts w:ascii="Times New Roman" w:eastAsia="Times New Roman" w:hAnsi="Times New Roman"/>
          <w:sz w:val="24"/>
          <w:szCs w:val="24"/>
        </w:rPr>
        <w:t>2001))</w:t>
      </w:r>
      <w:proofErr w:type="gramEnd"/>
      <w:r w:rsidRPr="005005A2">
        <w:rPr>
          <w:rFonts w:ascii="Times New Roman" w:eastAsia="Times New Roman" w:hAnsi="Times New Roman"/>
          <w:sz w:val="24"/>
          <w:szCs w:val="24"/>
        </w:rPr>
        <w:t>. Weagree with the District Court</w:t>
      </w:r>
      <w:r>
        <w:rPr>
          <w:rFonts w:ascii="Times New Roman" w:eastAsia="Times New Roman" w:hAnsi="Times New Roman"/>
          <w:sz w:val="24"/>
          <w:szCs w:val="24"/>
        </w:rPr>
        <w:t xml:space="preserve"> </w:t>
      </w:r>
      <w:r w:rsidRPr="005005A2">
        <w:rPr>
          <w:rFonts w:ascii="Times New Roman" w:eastAsia="Times New Roman" w:hAnsi="Times New Roman"/>
          <w:sz w:val="24"/>
          <w:szCs w:val="24"/>
        </w:rPr>
        <w:t xml:space="preserve">that the risk of injury or death is </w:t>
      </w:r>
      <w:r w:rsidRPr="00A6382B">
        <w:rPr>
          <w:rFonts w:ascii="Times New Roman" w:eastAsia="Times New Roman" w:hAnsi="Times New Roman"/>
          <w:sz w:val="24"/>
          <w:szCs w:val="24"/>
        </w:rPr>
        <w:t xml:space="preserve">inherent to a firefighter's job and that any increase in risk on account of either the "rolling bypass" policy, the alleged understaffing, or any other alleged misconduct on the part of Defendants did not alter the fundamental nature of this inherent risk. </w:t>
      </w:r>
      <w:r w:rsidRPr="00A6382B">
        <w:rPr>
          <w:rFonts w:ascii="Times New Roman" w:hAnsi="Times New Roman"/>
          <w:sz w:val="24"/>
          <w:szCs w:val="24"/>
          <w:u w:val="single"/>
        </w:rPr>
        <w:t>See, e.g.</w:t>
      </w:r>
      <w:r w:rsidRPr="00A6382B">
        <w:rPr>
          <w:rFonts w:ascii="Times New Roman" w:hAnsi="Times New Roman"/>
          <w:sz w:val="24"/>
          <w:szCs w:val="24"/>
        </w:rPr>
        <w:t xml:space="preserve">, </w:t>
      </w:r>
      <w:r w:rsidRPr="00A6382B">
        <w:rPr>
          <w:rFonts w:ascii="Times New Roman" w:hAnsi="Times New Roman"/>
          <w:sz w:val="24"/>
          <w:szCs w:val="24"/>
          <w:u w:val="single"/>
        </w:rPr>
        <w:t>Estate of Phillips v. D.C.</w:t>
      </w:r>
      <w:r w:rsidRPr="00A6382B">
        <w:rPr>
          <w:rFonts w:ascii="Times New Roman" w:hAnsi="Times New Roman"/>
          <w:sz w:val="24"/>
          <w:szCs w:val="24"/>
        </w:rPr>
        <w:t>, 455 F.3d 397, 407 (D.C. Cir. 2006) (</w:t>
      </w:r>
      <w:r>
        <w:rPr>
          <w:rFonts w:ascii="Times New Roman" w:hAnsi="Times New Roman"/>
          <w:sz w:val="24"/>
          <w:szCs w:val="24"/>
        </w:rPr>
        <w:t>‘</w:t>
      </w:r>
      <w:r w:rsidRPr="00A6382B">
        <w:rPr>
          <w:rFonts w:ascii="Times New Roman" w:hAnsi="Times New Roman"/>
          <w:sz w:val="24"/>
          <w:szCs w:val="24"/>
        </w:rPr>
        <w:t xml:space="preserve">[The Fire Chief's] deliberate indifference may have increased the Firefighters' exposure to risk, but the </w:t>
      </w:r>
      <w:r w:rsidRPr="00A6382B">
        <w:rPr>
          <w:rFonts w:ascii="Times New Roman" w:hAnsi="Times New Roman"/>
          <w:sz w:val="24"/>
          <w:szCs w:val="24"/>
        </w:rPr>
        <w:lastRenderedPageBreak/>
        <w:t>risk itself—injury or death suffered in a fire—is inherent in their profession.</w:t>
      </w:r>
      <w:r>
        <w:rPr>
          <w:rFonts w:ascii="Times New Roman" w:hAnsi="Times New Roman"/>
          <w:sz w:val="24"/>
          <w:szCs w:val="24"/>
        </w:rPr>
        <w:t>’</w:t>
      </w:r>
      <w:r w:rsidRPr="00A6382B">
        <w:rPr>
          <w:rFonts w:ascii="Times New Roman" w:hAnsi="Times New Roman"/>
          <w:sz w:val="24"/>
          <w:szCs w:val="24"/>
        </w:rPr>
        <w:t>)</w:t>
      </w:r>
      <w:r>
        <w:rPr>
          <w:rFonts w:ascii="Times New Roman" w:hAnsi="Times New Roman"/>
          <w:sz w:val="24"/>
          <w:szCs w:val="24"/>
        </w:rPr>
        <w:t xml:space="preserve">” </w:t>
      </w:r>
      <w:bookmarkStart w:id="94" w:name="_Hlk66941320"/>
      <w:r w:rsidR="00F00958">
        <w:fldChar w:fldCharType="begin"/>
      </w:r>
      <w:r w:rsidR="00F00958">
        <w:instrText xml:space="preserve"> HYPERLINK "https://www2.ca3.uscourts.gov/opinarch/201468np.pdf" </w:instrText>
      </w:r>
      <w:r w:rsidR="00F00958">
        <w:fldChar w:fldCharType="separate"/>
      </w:r>
      <w:r w:rsidRPr="00CE47CA">
        <w:rPr>
          <w:rStyle w:val="Hyperlink"/>
          <w:rFonts w:ascii="Times New Roman" w:hAnsi="Times New Roman"/>
          <w:sz w:val="24"/>
          <w:szCs w:val="24"/>
        </w:rPr>
        <w:t>https://www2.ca3.uscourts.gov/opinarch/201468np.pdf</w:t>
      </w:r>
      <w:r w:rsidR="00F00958">
        <w:rPr>
          <w:rStyle w:val="Hyperlink"/>
          <w:rFonts w:ascii="Times New Roman" w:hAnsi="Times New Roman"/>
          <w:sz w:val="24"/>
          <w:szCs w:val="24"/>
        </w:rPr>
        <w:fldChar w:fldCharType="end"/>
      </w:r>
    </w:p>
    <w:p w14:paraId="28567487" w14:textId="77777777" w:rsidR="007F3C7D" w:rsidRDefault="007F3C7D" w:rsidP="007F3C7D">
      <w:pPr>
        <w:spacing w:before="100" w:beforeAutospacing="1" w:after="100" w:afterAutospacing="1" w:line="240" w:lineRule="auto"/>
        <w:rPr>
          <w:rFonts w:ascii="Times New Roman" w:eastAsia="Times New Roman" w:hAnsi="Times New Roman"/>
          <w:b/>
          <w:bCs/>
          <w:sz w:val="24"/>
          <w:szCs w:val="24"/>
        </w:rPr>
      </w:pPr>
      <w:r w:rsidRPr="00D07A64">
        <w:rPr>
          <w:rFonts w:ascii="Times New Roman" w:eastAsia="Times New Roman" w:hAnsi="Times New Roman"/>
          <w:b/>
          <w:bCs/>
          <w:sz w:val="24"/>
          <w:szCs w:val="24"/>
        </w:rPr>
        <w:t>Legal Lesson Learned:</w:t>
      </w:r>
      <w:r>
        <w:rPr>
          <w:rFonts w:ascii="Times New Roman" w:eastAsia="Times New Roman" w:hAnsi="Times New Roman"/>
          <w:b/>
          <w:bCs/>
          <w:sz w:val="24"/>
          <w:szCs w:val="24"/>
        </w:rPr>
        <w:t xml:space="preserve"> Station brown outs are most unfortunate, but Federal courts will not interfere with local government decisions on budgets and allocations of resources.</w:t>
      </w:r>
    </w:p>
    <w:p w14:paraId="17C12255" w14:textId="77777777" w:rsidR="007F3C7D" w:rsidRDefault="007F3C7D" w:rsidP="007F3C7D">
      <w:pPr>
        <w:spacing w:before="100" w:beforeAutospacing="1" w:after="100" w:afterAutospacing="1" w:line="240" w:lineRule="auto"/>
        <w:ind w:left="720"/>
        <w:rPr>
          <w:rFonts w:ascii="Times New Roman" w:eastAsia="Times New Roman" w:hAnsi="Times New Roman"/>
          <w:sz w:val="24"/>
          <w:szCs w:val="24"/>
        </w:rPr>
      </w:pPr>
      <w:bookmarkStart w:id="95" w:name="_Hlk66941356"/>
      <w:bookmarkEnd w:id="94"/>
      <w:r w:rsidRPr="00D07A64">
        <w:rPr>
          <w:rFonts w:ascii="Times New Roman" w:eastAsia="Times New Roman" w:hAnsi="Times New Roman"/>
          <w:sz w:val="24"/>
          <w:szCs w:val="24"/>
        </w:rPr>
        <w:t xml:space="preserve">Note: </w:t>
      </w:r>
      <w:r>
        <w:rPr>
          <w:rFonts w:ascii="Times New Roman" w:eastAsia="Times New Roman" w:hAnsi="Times New Roman"/>
          <w:sz w:val="24"/>
          <w:szCs w:val="24"/>
        </w:rPr>
        <w:t xml:space="preserve">Jan. 8, 2021: Oakland, CA has recently announced plans for browning out stations. </w:t>
      </w:r>
      <w:hyperlink r:id="rId558" w:history="1">
        <w:r w:rsidRPr="00CE47CA">
          <w:rPr>
            <w:rStyle w:val="Hyperlink"/>
            <w:rFonts w:ascii="Times New Roman" w:eastAsia="Times New Roman" w:hAnsi="Times New Roman"/>
            <w:sz w:val="24"/>
            <w:szCs w:val="24"/>
          </w:rPr>
          <w:t>https://www.radio.com/kcbsradio/news/local/oakland-fire-stations-may-close-due-to-budget-deficit</w:t>
        </w:r>
      </w:hyperlink>
      <w:r>
        <w:rPr>
          <w:rFonts w:ascii="Times New Roman" w:eastAsia="Times New Roman" w:hAnsi="Times New Roman"/>
          <w:sz w:val="24"/>
          <w:szCs w:val="24"/>
        </w:rPr>
        <w:t xml:space="preserve"> </w:t>
      </w:r>
    </w:p>
    <w:p w14:paraId="674ECEB3" w14:textId="77777777" w:rsidR="007F3C7D" w:rsidRPr="00DA1A89" w:rsidRDefault="007F3C7D" w:rsidP="007F3C7D">
      <w:pPr>
        <w:pStyle w:val="NoSpacing"/>
        <w:ind w:left="720"/>
        <w:rPr>
          <w:rFonts w:ascii="Times New Roman" w:hAnsi="Times New Roman"/>
          <w:sz w:val="24"/>
          <w:szCs w:val="24"/>
        </w:rPr>
      </w:pPr>
      <w:r w:rsidRPr="00DA1A89">
        <w:rPr>
          <w:rFonts w:ascii="Times New Roman" w:hAnsi="Times New Roman"/>
          <w:sz w:val="24"/>
          <w:szCs w:val="24"/>
        </w:rPr>
        <w:t xml:space="preserve">On Dec. 16, 2019: Woman Gets 30 Years in Arson That Killed 3 Delaware Firefighters: </w:t>
      </w:r>
      <w:hyperlink r:id="rId559" w:history="1">
        <w:r w:rsidRPr="00CE47CA">
          <w:rPr>
            <w:rStyle w:val="Hyperlink"/>
            <w:rFonts w:ascii="Times New Roman" w:hAnsi="Times New Roman"/>
            <w:sz w:val="24"/>
            <w:szCs w:val="24"/>
          </w:rPr>
          <w:t>https://www.nbcphiladelphia.com/news/local/woman-gets-30-years-in-arson-that-killed-3-delaware-firefighters/2260369/</w:t>
        </w:r>
      </w:hyperlink>
      <w:r w:rsidRPr="00DA1A89">
        <w:rPr>
          <w:rFonts w:ascii="Times New Roman" w:hAnsi="Times New Roman"/>
          <w:sz w:val="24"/>
          <w:szCs w:val="24"/>
        </w:rPr>
        <w:t xml:space="preserve"> </w:t>
      </w:r>
    </w:p>
    <w:bookmarkEnd w:id="95"/>
    <w:p w14:paraId="67364734" w14:textId="77777777" w:rsidR="007F3C7D" w:rsidRDefault="007F3C7D" w:rsidP="007F3C7D">
      <w:pPr>
        <w:spacing w:before="100" w:beforeAutospacing="1" w:after="100" w:afterAutospacing="1" w:line="240" w:lineRule="auto"/>
        <w:ind w:left="720"/>
        <w:rPr>
          <w:rFonts w:ascii="Arial Black" w:hAnsi="Arial Black"/>
          <w:sz w:val="24"/>
          <w:szCs w:val="24"/>
        </w:rPr>
      </w:pPr>
    </w:p>
    <w:p w14:paraId="253B495F" w14:textId="77777777" w:rsidR="00F90EE5" w:rsidRDefault="00F90EE5" w:rsidP="00EF1133">
      <w:pPr>
        <w:pStyle w:val="NoSpacing"/>
        <w:rPr>
          <w:rFonts w:ascii="Arial Black" w:hAnsi="Arial Black"/>
          <w:sz w:val="24"/>
          <w:szCs w:val="24"/>
        </w:rPr>
      </w:pPr>
    </w:p>
    <w:p w14:paraId="1558366A" w14:textId="39950706" w:rsidR="007D178F" w:rsidRDefault="007D178F" w:rsidP="00EF1133">
      <w:pPr>
        <w:pStyle w:val="NoSpacing"/>
        <w:rPr>
          <w:rFonts w:ascii="Arial Black" w:hAnsi="Arial Black"/>
          <w:sz w:val="24"/>
          <w:szCs w:val="24"/>
        </w:rPr>
      </w:pPr>
      <w:r>
        <w:rPr>
          <w:rFonts w:ascii="Arial Black" w:hAnsi="Arial Black"/>
          <w:sz w:val="24"/>
          <w:szCs w:val="24"/>
        </w:rPr>
        <w:t>2-28</w:t>
      </w:r>
    </w:p>
    <w:p w14:paraId="6DC0DCD1" w14:textId="1AE42EFF" w:rsidR="007D178F" w:rsidRDefault="007D178F" w:rsidP="00EF1133">
      <w:pPr>
        <w:pStyle w:val="NoSpacing"/>
        <w:rPr>
          <w:rFonts w:ascii="Arial Black" w:hAnsi="Arial Black"/>
          <w:sz w:val="24"/>
          <w:szCs w:val="24"/>
        </w:rPr>
      </w:pPr>
    </w:p>
    <w:p w14:paraId="70FA03BD" w14:textId="77777777" w:rsidR="007D178F" w:rsidRPr="007E35C0" w:rsidRDefault="007D178F" w:rsidP="007D178F">
      <w:pPr>
        <w:pStyle w:val="NoSpacing"/>
        <w:rPr>
          <w:rFonts w:ascii="Arial Black" w:hAnsi="Arial Black"/>
          <w:sz w:val="28"/>
          <w:szCs w:val="28"/>
        </w:rPr>
      </w:pPr>
      <w:r>
        <w:rPr>
          <w:rFonts w:ascii="Arial Black" w:hAnsi="Arial Black"/>
          <w:sz w:val="28"/>
          <w:szCs w:val="28"/>
        </w:rPr>
        <w:t xml:space="preserve">MI:  DEPUTY CHIEF OBTAINED PROTECTIVE ORDER – CIVILIAN NO LONGER ALLOWED 2 STATIONS - MUST FEEL THREATENED  </w:t>
      </w:r>
    </w:p>
    <w:p w14:paraId="426E5B2D" w14:textId="77777777" w:rsidR="007D178F" w:rsidRDefault="007D178F" w:rsidP="007D178F">
      <w:pPr>
        <w:pStyle w:val="NoSpacing"/>
        <w:rPr>
          <w:rFonts w:ascii="Times New Roman" w:hAnsi="Times New Roman"/>
          <w:sz w:val="24"/>
          <w:szCs w:val="24"/>
        </w:rPr>
      </w:pPr>
    </w:p>
    <w:p w14:paraId="1EACAE62" w14:textId="77777777" w:rsidR="007D178F" w:rsidRDefault="007D178F" w:rsidP="007D178F">
      <w:pPr>
        <w:pStyle w:val="NoSpacing"/>
        <w:rPr>
          <w:rFonts w:ascii="Times New Roman" w:hAnsi="Times New Roman"/>
          <w:sz w:val="24"/>
          <w:szCs w:val="24"/>
        </w:rPr>
      </w:pPr>
      <w:r>
        <w:rPr>
          <w:rFonts w:ascii="Times New Roman" w:hAnsi="Times New Roman"/>
          <w:sz w:val="24"/>
          <w:szCs w:val="24"/>
        </w:rPr>
        <w:t xml:space="preserve">On Nov. 19, 2020, in </w:t>
      </w:r>
      <w:r w:rsidRPr="00721349">
        <w:rPr>
          <w:rFonts w:ascii="Times New Roman" w:hAnsi="Times New Roman"/>
          <w:sz w:val="24"/>
          <w:szCs w:val="24"/>
          <w:u w:val="single"/>
        </w:rPr>
        <w:t>RS, Petitioner v. AH, Respondent</w:t>
      </w:r>
      <w:r w:rsidRPr="00721349">
        <w:rPr>
          <w:rFonts w:ascii="Times New Roman" w:hAnsi="Times New Roman"/>
          <w:sz w:val="24"/>
          <w:szCs w:val="24"/>
        </w:rPr>
        <w:t xml:space="preserve">, </w:t>
      </w:r>
      <w:r>
        <w:rPr>
          <w:rFonts w:ascii="Times New Roman" w:hAnsi="Times New Roman"/>
          <w:sz w:val="24"/>
          <w:szCs w:val="24"/>
        </w:rPr>
        <w:t xml:space="preserve">the State of Michigan Court of Appeals held (3 to 0) that the trial court should not have issued a Personal Protective Order for stalking against the civilian (1-year; expired July 18, 2020) because the Deputy Chief testified that he did not feel emotional distress, just wanted it the harassment stopped.   </w:t>
      </w:r>
    </w:p>
    <w:p w14:paraId="61AAA1B1" w14:textId="77777777" w:rsidR="007D178F" w:rsidRDefault="007D178F" w:rsidP="007D178F">
      <w:pPr>
        <w:pStyle w:val="NoSpacing"/>
        <w:rPr>
          <w:rFonts w:ascii="Times New Roman" w:hAnsi="Times New Roman"/>
          <w:sz w:val="24"/>
          <w:szCs w:val="24"/>
        </w:rPr>
      </w:pPr>
    </w:p>
    <w:p w14:paraId="6A09F710" w14:textId="77777777" w:rsidR="007D178F" w:rsidRDefault="007D178F" w:rsidP="007D178F">
      <w:pPr>
        <w:pStyle w:val="NoSpacing"/>
        <w:ind w:left="720"/>
        <w:rPr>
          <w:rFonts w:ascii="Times New Roman" w:hAnsi="Times New Roman"/>
          <w:sz w:val="24"/>
          <w:szCs w:val="24"/>
        </w:rPr>
      </w:pPr>
      <w:r>
        <w:rPr>
          <w:rFonts w:ascii="Times New Roman" w:hAnsi="Times New Roman"/>
          <w:sz w:val="24"/>
          <w:szCs w:val="24"/>
        </w:rPr>
        <w:t>“</w:t>
      </w:r>
      <w:r w:rsidRPr="00721349">
        <w:rPr>
          <w:rFonts w:ascii="Times New Roman" w:hAnsi="Times New Roman"/>
          <w:sz w:val="24"/>
          <w:szCs w:val="24"/>
        </w:rPr>
        <w:t xml:space="preserve">In light of the record, we conclude that petitioner failed to meet his burden of proof for obtaining the PPO. Specifically, </w:t>
      </w:r>
      <w:proofErr w:type="gramStart"/>
      <w:r w:rsidRPr="00721349">
        <w:rPr>
          <w:rFonts w:ascii="Times New Roman" w:hAnsi="Times New Roman"/>
          <w:sz w:val="24"/>
          <w:szCs w:val="24"/>
        </w:rPr>
        <w:t>in order to</w:t>
      </w:r>
      <w:proofErr w:type="gramEnd"/>
      <w:r w:rsidRPr="00721349">
        <w:rPr>
          <w:rFonts w:ascii="Times New Roman" w:hAnsi="Times New Roman"/>
          <w:sz w:val="24"/>
          <w:szCs w:val="24"/>
        </w:rPr>
        <w:t xml:space="preserve"> </w:t>
      </w:r>
      <w:proofErr w:type="gramStart"/>
      <w:r w:rsidRPr="00721349">
        <w:rPr>
          <w:rFonts w:ascii="Times New Roman" w:hAnsi="Times New Roman"/>
          <w:sz w:val="24"/>
          <w:szCs w:val="24"/>
        </w:rPr>
        <w:t>demonstrating</w:t>
      </w:r>
      <w:proofErr w:type="gramEnd"/>
      <w:r w:rsidRPr="00721349">
        <w:rPr>
          <w:rFonts w:ascii="Times New Roman" w:hAnsi="Times New Roman"/>
          <w:sz w:val="24"/>
          <w:szCs w:val="24"/>
        </w:rPr>
        <w:t xml:space="preserve"> stalking, MCL 750.411h(1)(d), petitioner had to show harassment that included </w:t>
      </w:r>
      <w:r>
        <w:rPr>
          <w:rFonts w:ascii="Times New Roman" w:hAnsi="Times New Roman"/>
          <w:sz w:val="24"/>
          <w:szCs w:val="24"/>
        </w:rPr>
        <w:t>‘</w:t>
      </w:r>
      <w:r w:rsidRPr="00721349">
        <w:rPr>
          <w:rFonts w:ascii="Times New Roman" w:hAnsi="Times New Roman"/>
          <w:sz w:val="24"/>
          <w:szCs w:val="24"/>
        </w:rPr>
        <w:t xml:space="preserve">repeated or continuing unconsented contact that would cause a reasonable individual to suffer emotional distress and that actually causes the victim emotional </w:t>
      </w:r>
      <w:proofErr w:type="gramStart"/>
      <w:r w:rsidRPr="00721349">
        <w:rPr>
          <w:rFonts w:ascii="Times New Roman" w:hAnsi="Times New Roman"/>
          <w:sz w:val="24"/>
          <w:szCs w:val="24"/>
        </w:rPr>
        <w:t>distress.</w:t>
      </w:r>
      <w:r>
        <w:rPr>
          <w:rFonts w:ascii="Times New Roman" w:hAnsi="Times New Roman"/>
          <w:sz w:val="24"/>
          <w:szCs w:val="24"/>
        </w:rPr>
        <w:t>’</w:t>
      </w:r>
      <w:proofErr w:type="gramEnd"/>
      <w:r w:rsidRPr="00721349">
        <w:rPr>
          <w:rFonts w:ascii="Times New Roman" w:hAnsi="Times New Roman"/>
          <w:sz w:val="24"/>
          <w:szCs w:val="24"/>
        </w:rPr>
        <w:t xml:space="preserve"> MCL 750.411h(1)(c). The stalking must </w:t>
      </w:r>
      <w:proofErr w:type="gramStart"/>
      <w:r w:rsidRPr="00721349">
        <w:rPr>
          <w:rFonts w:ascii="Times New Roman" w:hAnsi="Times New Roman"/>
          <w:sz w:val="24"/>
          <w:szCs w:val="24"/>
        </w:rPr>
        <w:t>actually cause</w:t>
      </w:r>
      <w:proofErr w:type="gramEnd"/>
      <w:r w:rsidRPr="00721349">
        <w:rPr>
          <w:rFonts w:ascii="Times New Roman" w:hAnsi="Times New Roman"/>
          <w:sz w:val="24"/>
          <w:szCs w:val="24"/>
        </w:rPr>
        <w:t xml:space="preserve"> the individual to feel terrorized, frightened, intimidated, threatened, harassed, or molested. MCL 750.411h(1)(d). However, when petitioner was questioned on cross-examination regarding how </w:t>
      </w:r>
      <w:proofErr w:type="gramStart"/>
      <w:r w:rsidRPr="00721349">
        <w:rPr>
          <w:rFonts w:ascii="Times New Roman" w:hAnsi="Times New Roman"/>
          <w:sz w:val="24"/>
          <w:szCs w:val="24"/>
        </w:rPr>
        <w:t>the Facebook</w:t>
      </w:r>
      <w:proofErr w:type="gramEnd"/>
      <w:r w:rsidRPr="00721349">
        <w:rPr>
          <w:rFonts w:ascii="Times New Roman" w:hAnsi="Times New Roman"/>
          <w:sz w:val="24"/>
          <w:szCs w:val="24"/>
        </w:rPr>
        <w:t xml:space="preserve"> written and video posts impacted him, he testified, </w:t>
      </w:r>
      <w:r>
        <w:rPr>
          <w:rFonts w:ascii="Times New Roman" w:hAnsi="Times New Roman"/>
          <w:sz w:val="24"/>
          <w:szCs w:val="24"/>
        </w:rPr>
        <w:t>‘</w:t>
      </w:r>
      <w:r w:rsidRPr="00721349">
        <w:rPr>
          <w:rFonts w:ascii="Times New Roman" w:hAnsi="Times New Roman"/>
          <w:sz w:val="24"/>
          <w:szCs w:val="24"/>
        </w:rPr>
        <w:t xml:space="preserve">I didn't give it much thought at all, I just know that this is very odd, and this is very concerning to me that he's posting anything about me, and </w:t>
      </w:r>
    </w:p>
    <w:p w14:paraId="1B581301" w14:textId="77777777" w:rsidR="007D178F" w:rsidRDefault="007D178F" w:rsidP="007D178F">
      <w:pPr>
        <w:pStyle w:val="NoSpacing"/>
        <w:ind w:left="720"/>
        <w:rPr>
          <w:rFonts w:ascii="Times New Roman" w:hAnsi="Times New Roman"/>
          <w:sz w:val="24"/>
          <w:szCs w:val="24"/>
        </w:rPr>
      </w:pPr>
      <w:r w:rsidRPr="00721349">
        <w:rPr>
          <w:rFonts w:ascii="Times New Roman" w:hAnsi="Times New Roman"/>
          <w:sz w:val="24"/>
          <w:szCs w:val="24"/>
        </w:rPr>
        <w:t>driving down my street." More importantly, when petitioner was expressly asked whether respondent harassed and threatened him, he replied, "No, I claimed exactly what I stated her[e].</w:t>
      </w:r>
      <w:r>
        <w:rPr>
          <w:rFonts w:ascii="Times New Roman" w:hAnsi="Times New Roman"/>
          <w:sz w:val="24"/>
          <w:szCs w:val="24"/>
        </w:rPr>
        <w:t>’”</w:t>
      </w:r>
      <w:r w:rsidRPr="00721349">
        <w:t xml:space="preserve"> </w:t>
      </w:r>
      <w:hyperlink r:id="rId560" w:history="1">
        <w:r w:rsidRPr="002F20C3">
          <w:rPr>
            <w:rStyle w:val="Hyperlink"/>
            <w:rFonts w:ascii="Times New Roman" w:hAnsi="Times New Roman"/>
            <w:sz w:val="24"/>
            <w:szCs w:val="24"/>
          </w:rPr>
          <w:t>https://www.leagle.com/decision/inmico20201120334</w:t>
        </w:r>
      </w:hyperlink>
      <w:r>
        <w:rPr>
          <w:rFonts w:ascii="Times New Roman" w:hAnsi="Times New Roman"/>
          <w:sz w:val="24"/>
          <w:szCs w:val="24"/>
        </w:rPr>
        <w:t xml:space="preserve"> </w:t>
      </w:r>
    </w:p>
    <w:p w14:paraId="1CDDE050" w14:textId="77777777" w:rsidR="007D178F" w:rsidRDefault="007D178F" w:rsidP="007D178F">
      <w:pPr>
        <w:pStyle w:val="NoSpacing"/>
        <w:ind w:left="720"/>
        <w:rPr>
          <w:rFonts w:ascii="Times New Roman" w:hAnsi="Times New Roman"/>
          <w:sz w:val="24"/>
          <w:szCs w:val="24"/>
        </w:rPr>
      </w:pPr>
    </w:p>
    <w:p w14:paraId="06F31377" w14:textId="77777777" w:rsidR="007D178F" w:rsidRDefault="007D178F" w:rsidP="007D178F">
      <w:pPr>
        <w:pStyle w:val="NoSpacing"/>
        <w:rPr>
          <w:rFonts w:ascii="Times New Roman" w:hAnsi="Times New Roman"/>
          <w:sz w:val="24"/>
          <w:szCs w:val="24"/>
        </w:rPr>
      </w:pPr>
    </w:p>
    <w:p w14:paraId="4D0EF4D0" w14:textId="77777777" w:rsidR="007D178F" w:rsidRPr="0096139A" w:rsidRDefault="007D178F" w:rsidP="007D178F">
      <w:pPr>
        <w:pStyle w:val="NoSpacing"/>
        <w:rPr>
          <w:rFonts w:ascii="Times New Roman" w:hAnsi="Times New Roman"/>
          <w:b/>
          <w:bCs/>
          <w:sz w:val="24"/>
          <w:szCs w:val="24"/>
        </w:rPr>
      </w:pPr>
      <w:r w:rsidRPr="0096139A">
        <w:rPr>
          <w:rFonts w:ascii="Times New Roman" w:hAnsi="Times New Roman"/>
          <w:b/>
          <w:bCs/>
          <w:sz w:val="24"/>
          <w:szCs w:val="24"/>
        </w:rPr>
        <w:t xml:space="preserve">Legal Lesson Learned: </w:t>
      </w:r>
      <w:r>
        <w:rPr>
          <w:rFonts w:ascii="Times New Roman" w:hAnsi="Times New Roman"/>
          <w:b/>
          <w:bCs/>
          <w:sz w:val="24"/>
          <w:szCs w:val="24"/>
        </w:rPr>
        <w:t xml:space="preserve"> The Deputy Chief could have also asked County Prosecutor to bring criminal charges against the stalker under the Michigan “cyber stalking” statute. </w:t>
      </w:r>
    </w:p>
    <w:p w14:paraId="51D2AC66" w14:textId="77777777" w:rsidR="007D178F" w:rsidRPr="00D0410F" w:rsidRDefault="007D178F" w:rsidP="007D178F">
      <w:pPr>
        <w:spacing w:after="100" w:line="240" w:lineRule="auto"/>
        <w:ind w:left="720"/>
        <w:rPr>
          <w:rFonts w:ascii="Times New Roman" w:hAnsi="Times New Roman"/>
          <w:sz w:val="24"/>
          <w:szCs w:val="24"/>
        </w:rPr>
      </w:pPr>
    </w:p>
    <w:p w14:paraId="1A2CA0EB" w14:textId="77777777" w:rsidR="007D178F" w:rsidRPr="007668F4" w:rsidRDefault="007D178F" w:rsidP="007D178F">
      <w:pPr>
        <w:spacing w:after="100" w:line="240" w:lineRule="auto"/>
        <w:ind w:left="720"/>
        <w:rPr>
          <w:rFonts w:ascii="Times New Roman" w:hAnsi="Times New Roman"/>
          <w:sz w:val="24"/>
          <w:szCs w:val="24"/>
        </w:rPr>
      </w:pPr>
      <w:r w:rsidRPr="007668F4">
        <w:rPr>
          <w:rFonts w:ascii="Times New Roman" w:eastAsia="Times New Roman" w:hAnsi="Times New Roman"/>
          <w:sz w:val="24"/>
          <w:szCs w:val="24"/>
        </w:rPr>
        <w:t xml:space="preserve">Michigan </w:t>
      </w:r>
      <w:r w:rsidRPr="007668F4">
        <w:rPr>
          <w:rFonts w:ascii="Times New Roman" w:hAnsi="Times New Roman"/>
          <w:sz w:val="24"/>
          <w:szCs w:val="24"/>
        </w:rPr>
        <w:t xml:space="preserve">750.411h:  Stalking; definitions; violation as misdemeanor; penalties; probation; conditions; evidence of continued conduct as rebuttable presumption; additional penalties. </w:t>
      </w:r>
    </w:p>
    <w:p w14:paraId="3D26255F" w14:textId="77777777" w:rsidR="007D178F" w:rsidRPr="0096139A" w:rsidRDefault="007D178F" w:rsidP="007D178F">
      <w:pPr>
        <w:spacing w:after="100" w:line="240" w:lineRule="auto"/>
        <w:ind w:left="720"/>
        <w:rPr>
          <w:rFonts w:ascii="Times New Roman" w:eastAsia="Times New Roman" w:hAnsi="Times New Roman"/>
          <w:sz w:val="24"/>
          <w:szCs w:val="24"/>
        </w:rPr>
      </w:pPr>
      <w:r w:rsidRPr="0096139A">
        <w:rPr>
          <w:rFonts w:ascii="Times New Roman" w:hAnsi="Times New Roman"/>
          <w:b/>
          <w:bCs/>
          <w:sz w:val="24"/>
          <w:szCs w:val="24"/>
        </w:rPr>
        <w:t xml:space="preserve"> </w:t>
      </w:r>
      <w:r w:rsidRPr="0096139A">
        <w:rPr>
          <w:rFonts w:ascii="Times New Roman" w:eastAsia="Times New Roman" w:hAnsi="Times New Roman"/>
          <w:sz w:val="24"/>
          <w:szCs w:val="24"/>
        </w:rPr>
        <w:t>(2) An individual who engages in stalking is guilty of a crime as follows:</w:t>
      </w:r>
    </w:p>
    <w:p w14:paraId="7B748AB8" w14:textId="77777777" w:rsidR="007D178F" w:rsidRPr="0096139A" w:rsidRDefault="007D178F" w:rsidP="007D178F">
      <w:pPr>
        <w:spacing w:after="0" w:line="240" w:lineRule="auto"/>
        <w:ind w:left="720"/>
        <w:rPr>
          <w:rFonts w:ascii="Times New Roman" w:eastAsia="Times New Roman" w:hAnsi="Times New Roman"/>
          <w:sz w:val="24"/>
          <w:szCs w:val="24"/>
        </w:rPr>
      </w:pPr>
      <w:r w:rsidRPr="0096139A">
        <w:rPr>
          <w:rFonts w:ascii="Times New Roman" w:eastAsia="Times New Roman" w:hAnsi="Times New Roman"/>
          <w:sz w:val="24"/>
          <w:szCs w:val="24"/>
        </w:rPr>
        <w:t>(a) Except as provided in subdivision (b), a misdemeanor punishable by imprisonment for not more than 1 year or a fine of not more than $1,000.00, or both.</w:t>
      </w:r>
    </w:p>
    <w:p w14:paraId="40FAB38C" w14:textId="77777777" w:rsidR="007D178F" w:rsidRPr="0096139A" w:rsidRDefault="007D178F" w:rsidP="007D178F">
      <w:pPr>
        <w:spacing w:after="0" w:line="240" w:lineRule="auto"/>
        <w:ind w:left="720"/>
        <w:rPr>
          <w:rFonts w:ascii="Times New Roman" w:eastAsia="Times New Roman" w:hAnsi="Times New Roman"/>
          <w:sz w:val="24"/>
          <w:szCs w:val="24"/>
        </w:rPr>
      </w:pPr>
      <w:r w:rsidRPr="0096139A">
        <w:rPr>
          <w:rFonts w:ascii="Times New Roman" w:eastAsia="Times New Roman" w:hAnsi="Times New Roman"/>
          <w:sz w:val="24"/>
          <w:szCs w:val="24"/>
        </w:rPr>
        <w:lastRenderedPageBreak/>
        <w:t xml:space="preserve">(b) If the victim was less than 18 years of age at any time during the individual's course of conduct and the individual is 5 or more years older than the victim, a felony punishable by imprisonment for not more than 5 years or a fine of not more than $10,000.00, or both. </w:t>
      </w:r>
    </w:p>
    <w:p w14:paraId="6CC6E1B1" w14:textId="77777777" w:rsidR="007D178F" w:rsidRPr="0096139A" w:rsidRDefault="007D178F" w:rsidP="007D178F">
      <w:pPr>
        <w:spacing w:after="0" w:line="240" w:lineRule="auto"/>
        <w:ind w:left="720" w:firstLine="120"/>
        <w:rPr>
          <w:rFonts w:ascii="Times New Roman" w:eastAsia="Times New Roman" w:hAnsi="Times New Roman"/>
          <w:sz w:val="24"/>
          <w:szCs w:val="24"/>
        </w:rPr>
      </w:pPr>
      <w:r w:rsidRPr="0096139A">
        <w:rPr>
          <w:rFonts w:ascii="Times New Roman" w:eastAsia="Times New Roman" w:hAnsi="Times New Roman"/>
          <w:sz w:val="24"/>
          <w:szCs w:val="24"/>
        </w:rPr>
        <w:t>(3) The court may place an individual convicted of violating this section on probation for a term of not more than 5 years. If a term of probation is ordered, the court may, in addition to any other lawful condition of probation, order the defendant to do any of the following:</w:t>
      </w:r>
    </w:p>
    <w:p w14:paraId="24CD295B" w14:textId="77777777" w:rsidR="007D178F" w:rsidRPr="0096139A" w:rsidRDefault="007D178F" w:rsidP="007D178F">
      <w:pPr>
        <w:spacing w:after="0" w:line="240" w:lineRule="auto"/>
        <w:rPr>
          <w:rFonts w:ascii="Times New Roman" w:eastAsia="Times New Roman" w:hAnsi="Times New Roman"/>
          <w:sz w:val="24"/>
          <w:szCs w:val="24"/>
        </w:rPr>
      </w:pPr>
      <w:r w:rsidRPr="0096139A">
        <w:rPr>
          <w:rFonts w:ascii="Times New Roman" w:eastAsia="Times New Roman" w:hAnsi="Times New Roman"/>
          <w:sz w:val="24"/>
          <w:szCs w:val="24"/>
        </w:rPr>
        <w:t>  </w:t>
      </w:r>
      <w:r>
        <w:rPr>
          <w:rFonts w:ascii="Times New Roman" w:eastAsia="Times New Roman" w:hAnsi="Times New Roman"/>
          <w:sz w:val="24"/>
          <w:szCs w:val="24"/>
        </w:rPr>
        <w:tab/>
      </w:r>
      <w:r w:rsidRPr="0096139A">
        <w:rPr>
          <w:rFonts w:ascii="Times New Roman" w:eastAsia="Times New Roman" w:hAnsi="Times New Roman"/>
          <w:sz w:val="24"/>
          <w:szCs w:val="24"/>
        </w:rPr>
        <w:t>(a) Refrain from stalking any individual during the term of probation.</w:t>
      </w:r>
    </w:p>
    <w:p w14:paraId="6DB84AD1" w14:textId="77777777" w:rsidR="007D178F" w:rsidRPr="0096139A" w:rsidRDefault="007D178F" w:rsidP="007D178F">
      <w:pPr>
        <w:spacing w:after="0" w:line="240" w:lineRule="auto"/>
        <w:rPr>
          <w:rFonts w:ascii="Times New Roman" w:eastAsia="Times New Roman" w:hAnsi="Times New Roman"/>
          <w:sz w:val="24"/>
          <w:szCs w:val="24"/>
        </w:rPr>
      </w:pPr>
      <w:r w:rsidRPr="0096139A">
        <w:rPr>
          <w:rFonts w:ascii="Times New Roman" w:eastAsia="Times New Roman" w:hAnsi="Times New Roman"/>
          <w:sz w:val="24"/>
          <w:szCs w:val="24"/>
        </w:rPr>
        <w:t> </w:t>
      </w:r>
      <w:r>
        <w:rPr>
          <w:rFonts w:ascii="Times New Roman" w:eastAsia="Times New Roman" w:hAnsi="Times New Roman"/>
          <w:sz w:val="24"/>
          <w:szCs w:val="24"/>
        </w:rPr>
        <w:tab/>
      </w:r>
      <w:r w:rsidRPr="0096139A">
        <w:rPr>
          <w:rFonts w:ascii="Times New Roman" w:eastAsia="Times New Roman" w:hAnsi="Times New Roman"/>
          <w:sz w:val="24"/>
          <w:szCs w:val="24"/>
        </w:rPr>
        <w:t> (b) Refrain from having any contact with the victim of the offense.</w:t>
      </w:r>
    </w:p>
    <w:p w14:paraId="521B2E0F" w14:textId="77777777" w:rsidR="007D178F" w:rsidRDefault="007D178F" w:rsidP="007D178F">
      <w:pPr>
        <w:spacing w:after="0" w:line="240" w:lineRule="auto"/>
        <w:ind w:left="720"/>
        <w:rPr>
          <w:rFonts w:ascii="Times New Roman" w:hAnsi="Times New Roman"/>
          <w:sz w:val="24"/>
          <w:szCs w:val="24"/>
        </w:rPr>
      </w:pPr>
      <w:r w:rsidRPr="0096139A">
        <w:rPr>
          <w:rFonts w:ascii="Times New Roman" w:eastAsia="Times New Roman" w:hAnsi="Times New Roman"/>
          <w:sz w:val="24"/>
          <w:szCs w:val="24"/>
        </w:rPr>
        <w:t xml:space="preserve"> (c) Be evaluated to determine the need for psychiatric, psychological, or social counseling and </w:t>
      </w:r>
      <w:proofErr w:type="gramStart"/>
      <w:r w:rsidRPr="0096139A">
        <w:rPr>
          <w:rFonts w:ascii="Times New Roman" w:eastAsia="Times New Roman" w:hAnsi="Times New Roman"/>
          <w:sz w:val="24"/>
          <w:szCs w:val="24"/>
        </w:rPr>
        <w:t>if,</w:t>
      </w:r>
      <w:proofErr w:type="gramEnd"/>
      <w:r w:rsidRPr="0096139A">
        <w:rPr>
          <w:rFonts w:ascii="Times New Roman" w:eastAsia="Times New Roman" w:hAnsi="Times New Roman"/>
          <w:sz w:val="24"/>
          <w:szCs w:val="24"/>
        </w:rPr>
        <w:t xml:space="preserve"> determined appropriate by the court, to receive psychiatric, psychological, or social counseling at his or her own expense.</w:t>
      </w:r>
    </w:p>
    <w:p w14:paraId="77C2D248" w14:textId="77777777" w:rsidR="007D178F" w:rsidRPr="007E35C0" w:rsidRDefault="007D178F" w:rsidP="007D178F">
      <w:pPr>
        <w:spacing w:after="100" w:line="240" w:lineRule="auto"/>
        <w:ind w:left="720"/>
        <w:rPr>
          <w:rFonts w:ascii="Times New Roman" w:eastAsia="Times New Roman" w:hAnsi="Times New Roman"/>
          <w:sz w:val="24"/>
          <w:szCs w:val="24"/>
        </w:rPr>
      </w:pPr>
      <w:hyperlink r:id="rId561" w:history="1">
        <w:r w:rsidRPr="002F20C3">
          <w:rPr>
            <w:rStyle w:val="Hyperlink"/>
            <w:rFonts w:ascii="Times New Roman" w:hAnsi="Times New Roman"/>
            <w:sz w:val="24"/>
            <w:szCs w:val="24"/>
          </w:rPr>
          <w:t>http://www.legislature.mi.gov/(S(dodu2xg2ouu1vonwqhxqy4i2))/mileg.aspx?page=getObject&amp;objectName=mcl-750-411h</w:t>
        </w:r>
      </w:hyperlink>
      <w:r w:rsidRPr="0096139A">
        <w:rPr>
          <w:rFonts w:ascii="Times New Roman" w:hAnsi="Times New Roman"/>
          <w:sz w:val="24"/>
          <w:szCs w:val="24"/>
        </w:rPr>
        <w:t xml:space="preserve"> </w:t>
      </w:r>
    </w:p>
    <w:p w14:paraId="3EEBA3DC" w14:textId="77777777" w:rsidR="007D178F" w:rsidRDefault="007D178F" w:rsidP="00EF1133">
      <w:pPr>
        <w:pStyle w:val="NoSpacing"/>
        <w:rPr>
          <w:rFonts w:ascii="Arial Black" w:hAnsi="Arial Black"/>
          <w:sz w:val="24"/>
          <w:szCs w:val="24"/>
        </w:rPr>
      </w:pPr>
    </w:p>
    <w:p w14:paraId="5D7482FF" w14:textId="77777777" w:rsidR="007D178F" w:rsidRDefault="007D178F" w:rsidP="00EF1133">
      <w:pPr>
        <w:pStyle w:val="NoSpacing"/>
        <w:rPr>
          <w:rFonts w:ascii="Arial Black" w:hAnsi="Arial Black"/>
          <w:sz w:val="24"/>
          <w:szCs w:val="24"/>
        </w:rPr>
      </w:pPr>
    </w:p>
    <w:p w14:paraId="7870C316" w14:textId="77777777" w:rsidR="007D178F" w:rsidRDefault="007D178F" w:rsidP="00EF1133">
      <w:pPr>
        <w:pStyle w:val="NoSpacing"/>
        <w:rPr>
          <w:rFonts w:ascii="Arial Black" w:hAnsi="Arial Black"/>
          <w:sz w:val="24"/>
          <w:szCs w:val="24"/>
        </w:rPr>
      </w:pPr>
    </w:p>
    <w:p w14:paraId="53DC91C8" w14:textId="59D26B71" w:rsidR="00F824FE" w:rsidRDefault="00F824FE" w:rsidP="00EF1133">
      <w:pPr>
        <w:pStyle w:val="NoSpacing"/>
        <w:rPr>
          <w:rFonts w:ascii="Arial Black" w:hAnsi="Arial Black"/>
          <w:sz w:val="24"/>
          <w:szCs w:val="24"/>
        </w:rPr>
      </w:pPr>
      <w:r>
        <w:rPr>
          <w:rFonts w:ascii="Arial Black" w:hAnsi="Arial Black"/>
          <w:sz w:val="24"/>
          <w:szCs w:val="24"/>
        </w:rPr>
        <w:t>2-37</w:t>
      </w:r>
    </w:p>
    <w:p w14:paraId="491ABD84" w14:textId="21E55F67" w:rsidR="00F824FE" w:rsidRDefault="00F824FE" w:rsidP="00EF1133">
      <w:pPr>
        <w:pStyle w:val="NoSpacing"/>
        <w:rPr>
          <w:rFonts w:ascii="Arial Black" w:hAnsi="Arial Black"/>
          <w:sz w:val="24"/>
          <w:szCs w:val="24"/>
        </w:rPr>
      </w:pPr>
    </w:p>
    <w:p w14:paraId="789F5D7D" w14:textId="77777777" w:rsidR="00F824FE" w:rsidRPr="0077130A" w:rsidRDefault="00F824FE" w:rsidP="00F824FE">
      <w:pPr>
        <w:spacing w:before="100" w:beforeAutospacing="1" w:after="100" w:afterAutospacing="1" w:line="240" w:lineRule="auto"/>
        <w:rPr>
          <w:rFonts w:ascii="Arial Black" w:eastAsia="Times New Roman" w:hAnsi="Arial Black"/>
          <w:sz w:val="28"/>
          <w:szCs w:val="28"/>
        </w:rPr>
      </w:pPr>
      <w:r w:rsidRPr="0077130A">
        <w:rPr>
          <w:rFonts w:ascii="Arial Black" w:eastAsia="Times New Roman" w:hAnsi="Arial Black"/>
          <w:sz w:val="28"/>
          <w:szCs w:val="28"/>
        </w:rPr>
        <w:t>PA:</w:t>
      </w:r>
      <w:r>
        <w:rPr>
          <w:rFonts w:ascii="Arial Black" w:eastAsia="Times New Roman" w:hAnsi="Arial Black"/>
          <w:sz w:val="28"/>
          <w:szCs w:val="28"/>
        </w:rPr>
        <w:t xml:space="preserve">  DISPATCHER TOLD MOTHER STAY 3</w:t>
      </w:r>
      <w:r w:rsidRPr="007A7322">
        <w:rPr>
          <w:rFonts w:ascii="Arial Black" w:eastAsia="Times New Roman" w:hAnsi="Arial Black"/>
          <w:sz w:val="28"/>
          <w:szCs w:val="28"/>
          <w:vertAlign w:val="superscript"/>
        </w:rPr>
        <w:t>rd</w:t>
      </w:r>
      <w:r>
        <w:rPr>
          <w:rFonts w:ascii="Arial Black" w:eastAsia="Times New Roman" w:hAnsi="Arial Black"/>
          <w:sz w:val="28"/>
          <w:szCs w:val="28"/>
        </w:rPr>
        <w:t xml:space="preserve"> FLOOR APARTMENT – 3 DEAD FIRE – NO “STATE CREATED DANGER,” LAWSUIT DISMISSED</w:t>
      </w:r>
    </w:p>
    <w:p w14:paraId="14D26DD6" w14:textId="77777777" w:rsidR="00F824FE" w:rsidRDefault="00F824FE" w:rsidP="00F824FE">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On Sept. 22, 2020, in </w:t>
      </w:r>
      <w:r w:rsidRPr="0077130A">
        <w:rPr>
          <w:rFonts w:ascii="Times New Roman" w:eastAsia="Times New Roman" w:hAnsi="Times New Roman"/>
          <w:sz w:val="24"/>
          <w:szCs w:val="24"/>
          <w:u w:val="single"/>
        </w:rPr>
        <w:t>Tamika Johnson, Administratrix of Estates of Alita Johnson, Horace McCouellem and Haashim Johnson v. City of Philadelphia</w:t>
      </w:r>
      <w:r>
        <w:rPr>
          <w:rFonts w:ascii="Times New Roman" w:eastAsia="Times New Roman" w:hAnsi="Times New Roman"/>
          <w:sz w:val="24"/>
          <w:szCs w:val="24"/>
        </w:rPr>
        <w:t xml:space="preserve">, the U.S. Court of Appeals for the Third District (Philadelphia) held (3 to 0) that the trial court properly granted the City’s motion to dismiss.  Recognizing the tragic consequences of the error by the Dispatcher, there was no prior history of similar mistaken advice by dispatchers for 911 callers to remain in the apartment;  no violation of the “State Created Danger” theory of municipal liability – no violation of “shock the conscience” test.  </w:t>
      </w:r>
    </w:p>
    <w:p w14:paraId="67CC7418" w14:textId="77777777" w:rsidR="00F824FE" w:rsidRDefault="00F824FE" w:rsidP="00F824FE">
      <w:pPr>
        <w:spacing w:before="100" w:beforeAutospacing="1" w:after="100" w:afterAutospacing="1" w:line="240" w:lineRule="auto"/>
        <w:ind w:left="720"/>
        <w:rPr>
          <w:rFonts w:ascii="Times New Roman" w:hAnsi="Times New Roman"/>
          <w:sz w:val="24"/>
          <w:szCs w:val="24"/>
        </w:rPr>
      </w:pPr>
      <w:r>
        <w:rPr>
          <w:rFonts w:ascii="Times New Roman" w:eastAsia="Times New Roman" w:hAnsi="Times New Roman"/>
          <w:sz w:val="24"/>
          <w:szCs w:val="24"/>
        </w:rPr>
        <w:t>“</w:t>
      </w:r>
      <w:r w:rsidRPr="0077130A">
        <w:rPr>
          <w:rFonts w:ascii="Times New Roman" w:hAnsi="Times New Roman"/>
          <w:sz w:val="24"/>
          <w:szCs w:val="24"/>
        </w:rPr>
        <w:t>The District Court held that, as alleged, neither the Dispatcher nor the Operator was liable for the Johnson Family's harm. Because the Dispatcher did not act affirmatively, and because the Operator's behavior did not shock the conscience, we agree.</w:t>
      </w:r>
    </w:p>
    <w:p w14:paraId="298EB641" w14:textId="77777777" w:rsidR="00F824FE" w:rsidRPr="0077130A" w:rsidRDefault="00F824FE" w:rsidP="00F824FE">
      <w:pPr>
        <w:spacing w:before="100" w:beforeAutospacing="1" w:after="100" w:afterAutospacing="1" w:line="240" w:lineRule="auto"/>
        <w:ind w:left="720"/>
        <w:rPr>
          <w:rFonts w:ascii="Times New Roman" w:eastAsia="Times New Roman" w:hAnsi="Times New Roman"/>
          <w:sz w:val="24"/>
          <w:szCs w:val="24"/>
        </w:rPr>
      </w:pPr>
      <w:r>
        <w:rPr>
          <w:rFonts w:ascii="Times New Roman" w:hAnsi="Times New Roman"/>
          <w:sz w:val="24"/>
          <w:szCs w:val="24"/>
        </w:rPr>
        <w:t>***</w:t>
      </w:r>
    </w:p>
    <w:p w14:paraId="62F2A6EA" w14:textId="77777777" w:rsidR="00F824FE" w:rsidRDefault="00F824FE" w:rsidP="00F824FE">
      <w:pPr>
        <w:spacing w:before="100" w:beforeAutospacing="1" w:after="100" w:afterAutospacing="1" w:line="240" w:lineRule="auto"/>
        <w:ind w:left="720"/>
        <w:rPr>
          <w:rFonts w:ascii="Times New Roman" w:hAnsi="Times New Roman"/>
          <w:sz w:val="24"/>
          <w:szCs w:val="24"/>
        </w:rPr>
      </w:pPr>
      <w:r w:rsidRPr="0077130A">
        <w:rPr>
          <w:rFonts w:ascii="Times New Roman" w:hAnsi="Times New Roman"/>
          <w:sz w:val="24"/>
          <w:szCs w:val="24"/>
        </w:rPr>
        <w:t xml:space="preserve">Appellant alleges that the Operator violated the Johnson Family's constitutional rights by </w:t>
      </w:r>
      <w:r>
        <w:rPr>
          <w:rFonts w:ascii="Times New Roman" w:hAnsi="Times New Roman"/>
          <w:sz w:val="24"/>
          <w:szCs w:val="24"/>
        </w:rPr>
        <w:t>‘</w:t>
      </w:r>
      <w:r w:rsidRPr="0077130A">
        <w:rPr>
          <w:rFonts w:ascii="Times New Roman" w:hAnsi="Times New Roman"/>
          <w:sz w:val="24"/>
          <w:szCs w:val="24"/>
        </w:rPr>
        <w:t>directing them to close themselves inside the burning building's 3rd floor rear room, assuring them that [f]</w:t>
      </w:r>
      <w:proofErr w:type="spellStart"/>
      <w:r w:rsidRPr="0077130A">
        <w:rPr>
          <w:rFonts w:ascii="Times New Roman" w:hAnsi="Times New Roman"/>
          <w:sz w:val="24"/>
          <w:szCs w:val="24"/>
        </w:rPr>
        <w:t>irefighters</w:t>
      </w:r>
      <w:proofErr w:type="spellEnd"/>
      <w:r w:rsidRPr="0077130A">
        <w:rPr>
          <w:rFonts w:ascii="Times New Roman" w:hAnsi="Times New Roman"/>
          <w:sz w:val="24"/>
          <w:szCs w:val="24"/>
        </w:rPr>
        <w:t xml:space="preserve"> were coming to their rescue, but then failing inexplicably to inform the [f]</w:t>
      </w:r>
      <w:proofErr w:type="spellStart"/>
      <w:r w:rsidRPr="0077130A">
        <w:rPr>
          <w:rFonts w:ascii="Times New Roman" w:hAnsi="Times New Roman"/>
          <w:sz w:val="24"/>
          <w:szCs w:val="24"/>
        </w:rPr>
        <w:t>irefighters</w:t>
      </w:r>
      <w:proofErr w:type="spellEnd"/>
      <w:r w:rsidRPr="0077130A">
        <w:rPr>
          <w:rFonts w:ascii="Times New Roman" w:hAnsi="Times New Roman"/>
          <w:sz w:val="24"/>
          <w:szCs w:val="24"/>
        </w:rPr>
        <w:t xml:space="preserve"> of [their] existence, location, or need of rescue.</w:t>
      </w:r>
      <w:r>
        <w:rPr>
          <w:rFonts w:ascii="Times New Roman" w:hAnsi="Times New Roman"/>
          <w:sz w:val="24"/>
          <w:szCs w:val="24"/>
        </w:rPr>
        <w:t xml:space="preserve">’ …. </w:t>
      </w:r>
      <w:r w:rsidRPr="0077130A">
        <w:rPr>
          <w:rFonts w:ascii="Times New Roman" w:hAnsi="Times New Roman"/>
          <w:sz w:val="24"/>
          <w:szCs w:val="24"/>
        </w:rPr>
        <w:t xml:space="preserve">The District Court held that those allegations do not </w:t>
      </w:r>
      <w:r>
        <w:rPr>
          <w:rFonts w:ascii="Times New Roman" w:hAnsi="Times New Roman"/>
          <w:sz w:val="24"/>
          <w:szCs w:val="24"/>
        </w:rPr>
        <w:t>‘</w:t>
      </w:r>
      <w:r w:rsidRPr="0077130A">
        <w:rPr>
          <w:rFonts w:ascii="Times New Roman" w:hAnsi="Times New Roman"/>
          <w:sz w:val="24"/>
          <w:szCs w:val="24"/>
        </w:rPr>
        <w:t>shock the conscience,</w:t>
      </w:r>
      <w:r>
        <w:rPr>
          <w:rFonts w:ascii="Times New Roman" w:hAnsi="Times New Roman"/>
          <w:sz w:val="24"/>
          <w:szCs w:val="24"/>
        </w:rPr>
        <w:t>’</w:t>
      </w:r>
      <w:r w:rsidRPr="0077130A">
        <w:rPr>
          <w:rFonts w:ascii="Times New Roman" w:hAnsi="Times New Roman"/>
          <w:sz w:val="24"/>
          <w:szCs w:val="24"/>
        </w:rPr>
        <w:t xml:space="preserve"> as that phrase is defined in our precedent. We agree.</w:t>
      </w:r>
    </w:p>
    <w:p w14:paraId="11FA4DE8" w14:textId="77777777" w:rsidR="00F824FE" w:rsidRPr="0077130A" w:rsidRDefault="00F824FE" w:rsidP="00F824FE">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p>
    <w:p w14:paraId="4A8B6A2A" w14:textId="77777777" w:rsidR="00F824FE" w:rsidRPr="0077130A" w:rsidRDefault="00F824FE" w:rsidP="00F824FE">
      <w:pPr>
        <w:spacing w:before="100" w:beforeAutospacing="1" w:after="100" w:afterAutospacing="1" w:line="240" w:lineRule="auto"/>
        <w:ind w:left="720"/>
        <w:rPr>
          <w:rFonts w:ascii="Times New Roman" w:hAnsi="Times New Roman"/>
          <w:sz w:val="24"/>
          <w:szCs w:val="24"/>
        </w:rPr>
      </w:pPr>
      <w:r w:rsidRPr="0077130A">
        <w:rPr>
          <w:rFonts w:ascii="Times New Roman" w:hAnsi="Times New Roman"/>
          <w:sz w:val="24"/>
          <w:szCs w:val="24"/>
        </w:rPr>
        <w:t xml:space="preserve">Finally, Appellant alleges that the </w:t>
      </w:r>
      <w:proofErr w:type="gramStart"/>
      <w:r w:rsidRPr="0077130A">
        <w:rPr>
          <w:rFonts w:ascii="Times New Roman" w:hAnsi="Times New Roman"/>
          <w:sz w:val="24"/>
          <w:szCs w:val="24"/>
        </w:rPr>
        <w:t>City</w:t>
      </w:r>
      <w:proofErr w:type="gramEnd"/>
      <w:r w:rsidRPr="0077130A">
        <w:rPr>
          <w:rFonts w:ascii="Times New Roman" w:hAnsi="Times New Roman"/>
          <w:sz w:val="24"/>
          <w:szCs w:val="24"/>
        </w:rPr>
        <w:t xml:space="preserve"> simply ignored the history of problems at the Johnson Family's residence, by failing to fix the building's fire hazards and failing to stop the building owners' practices. The District Court held that the </w:t>
      </w:r>
      <w:proofErr w:type="gramStart"/>
      <w:r w:rsidRPr="0077130A">
        <w:rPr>
          <w:rFonts w:ascii="Times New Roman" w:hAnsi="Times New Roman"/>
          <w:sz w:val="24"/>
          <w:szCs w:val="24"/>
        </w:rPr>
        <w:t>City</w:t>
      </w:r>
      <w:proofErr w:type="gramEnd"/>
      <w:r w:rsidRPr="0077130A">
        <w:rPr>
          <w:rFonts w:ascii="Times New Roman" w:hAnsi="Times New Roman"/>
          <w:sz w:val="24"/>
          <w:szCs w:val="24"/>
        </w:rPr>
        <w:t xml:space="preserve"> was immune from these negligence claims because it had insufficient control over the building. Under the relevant Commonwealth law, we agree.</w:t>
      </w:r>
      <w:r>
        <w:rPr>
          <w:rFonts w:ascii="Times New Roman" w:hAnsi="Times New Roman"/>
          <w:sz w:val="24"/>
          <w:szCs w:val="24"/>
        </w:rPr>
        <w:t xml:space="preserve">”  </w:t>
      </w:r>
      <w:hyperlink r:id="rId562" w:history="1">
        <w:r w:rsidRPr="002F1E28">
          <w:rPr>
            <w:rStyle w:val="Hyperlink"/>
            <w:rFonts w:ascii="Times New Roman" w:hAnsi="Times New Roman"/>
            <w:sz w:val="24"/>
            <w:szCs w:val="24"/>
          </w:rPr>
          <w:t>https://www2.ca3.uscourts.gov/opinarch/192938p.pdf</w:t>
        </w:r>
      </w:hyperlink>
      <w:r>
        <w:rPr>
          <w:rFonts w:ascii="Times New Roman" w:hAnsi="Times New Roman"/>
          <w:sz w:val="24"/>
          <w:szCs w:val="24"/>
        </w:rPr>
        <w:t xml:space="preserve"> </w:t>
      </w:r>
    </w:p>
    <w:p w14:paraId="789B4DA9" w14:textId="77777777" w:rsidR="00F824FE" w:rsidRPr="00D00E0A" w:rsidRDefault="00F824FE" w:rsidP="00F824FE">
      <w:pPr>
        <w:pStyle w:val="NormalWeb"/>
        <w:rPr>
          <w:b/>
          <w:bCs/>
        </w:rPr>
      </w:pPr>
      <w:r w:rsidRPr="00D00E0A">
        <w:rPr>
          <w:b/>
          <w:bCs/>
        </w:rPr>
        <w:lastRenderedPageBreak/>
        <w:t>Legal Lessons Learned:</w:t>
      </w:r>
      <w:r>
        <w:rPr>
          <w:b/>
          <w:bCs/>
        </w:rPr>
        <w:t xml:space="preserve">  Tragic set of facts; hopefully Dispatchers throughout the Nation have learned from this event.  </w:t>
      </w:r>
    </w:p>
    <w:p w14:paraId="7789B2DA" w14:textId="77777777" w:rsidR="00F824FE" w:rsidRDefault="00F824FE" w:rsidP="00EF1133">
      <w:pPr>
        <w:pStyle w:val="NoSpacing"/>
        <w:rPr>
          <w:rFonts w:ascii="Arial Black" w:hAnsi="Arial Black"/>
          <w:sz w:val="24"/>
          <w:szCs w:val="24"/>
        </w:rPr>
      </w:pPr>
    </w:p>
    <w:p w14:paraId="31B08CD9" w14:textId="77777777" w:rsidR="00F824FE" w:rsidRDefault="00F824FE" w:rsidP="00EF1133">
      <w:pPr>
        <w:pStyle w:val="NoSpacing"/>
        <w:rPr>
          <w:rFonts w:ascii="Arial Black" w:hAnsi="Arial Black"/>
          <w:sz w:val="24"/>
          <w:szCs w:val="24"/>
        </w:rPr>
      </w:pPr>
    </w:p>
    <w:p w14:paraId="2AC5C659" w14:textId="4FD17634" w:rsidR="00A672EE" w:rsidRDefault="00A672EE" w:rsidP="00EF1133">
      <w:pPr>
        <w:pStyle w:val="NoSpacing"/>
        <w:rPr>
          <w:rFonts w:ascii="Arial Black" w:hAnsi="Arial Black"/>
          <w:sz w:val="24"/>
          <w:szCs w:val="24"/>
        </w:rPr>
      </w:pPr>
      <w:r>
        <w:rPr>
          <w:rFonts w:ascii="Arial Black" w:hAnsi="Arial Black"/>
          <w:sz w:val="24"/>
          <w:szCs w:val="24"/>
        </w:rPr>
        <w:t>2-36</w:t>
      </w:r>
    </w:p>
    <w:p w14:paraId="53C5ACC0" w14:textId="61811F55" w:rsidR="00A672EE" w:rsidRDefault="00A672EE" w:rsidP="00EF1133">
      <w:pPr>
        <w:pStyle w:val="NoSpacing"/>
        <w:rPr>
          <w:rFonts w:ascii="Arial Black" w:hAnsi="Arial Black"/>
          <w:sz w:val="24"/>
          <w:szCs w:val="24"/>
        </w:rPr>
      </w:pPr>
    </w:p>
    <w:p w14:paraId="47FB5FF7" w14:textId="77777777" w:rsidR="00A672EE" w:rsidRDefault="00A672EE" w:rsidP="00A672EE">
      <w:pPr>
        <w:pStyle w:val="NoSpacing"/>
        <w:rPr>
          <w:rFonts w:ascii="Arial Black" w:hAnsi="Arial Black"/>
          <w:sz w:val="28"/>
          <w:szCs w:val="28"/>
        </w:rPr>
      </w:pPr>
      <w:r w:rsidRPr="00F34028">
        <w:rPr>
          <w:rFonts w:ascii="Arial Black" w:hAnsi="Arial Black"/>
          <w:sz w:val="28"/>
          <w:szCs w:val="28"/>
        </w:rPr>
        <w:t>KY:</w:t>
      </w:r>
      <w:r>
        <w:rPr>
          <w:rFonts w:ascii="Arial Black" w:hAnsi="Arial Black"/>
          <w:sz w:val="28"/>
          <w:szCs w:val="28"/>
        </w:rPr>
        <w:t xml:space="preserve"> ARSON – INSURANCE FRAUD – CONVICTED ARSON WITH DEATH – </w:t>
      </w:r>
    </w:p>
    <w:p w14:paraId="119D67B1" w14:textId="77777777" w:rsidR="00A672EE" w:rsidRPr="00F34028" w:rsidRDefault="00A672EE" w:rsidP="00A672EE">
      <w:pPr>
        <w:pStyle w:val="NoSpacing"/>
        <w:rPr>
          <w:rFonts w:ascii="Arial Black" w:hAnsi="Arial Black"/>
          <w:sz w:val="28"/>
          <w:szCs w:val="28"/>
        </w:rPr>
      </w:pPr>
      <w:r>
        <w:rPr>
          <w:rFonts w:ascii="Arial Black" w:hAnsi="Arial Black"/>
          <w:sz w:val="28"/>
          <w:szCs w:val="28"/>
        </w:rPr>
        <w:t>FF LODD AT SCENE, FF HAD MEDICAL HISTORY - CONV. UPHELD</w:t>
      </w:r>
    </w:p>
    <w:p w14:paraId="5E9FA66C" w14:textId="77777777" w:rsidR="00A672EE" w:rsidRDefault="00A672EE" w:rsidP="00A672EE">
      <w:pPr>
        <w:pStyle w:val="NoSpacing"/>
        <w:rPr>
          <w:rFonts w:ascii="On Times New Roman" w:hAnsi="On Times New Roman"/>
          <w:sz w:val="24"/>
          <w:szCs w:val="24"/>
        </w:rPr>
      </w:pPr>
    </w:p>
    <w:p w14:paraId="2DC0751F" w14:textId="331A721A" w:rsidR="00A672EE" w:rsidRDefault="00A672EE" w:rsidP="00A672EE">
      <w:pPr>
        <w:pStyle w:val="NoSpacing"/>
        <w:rPr>
          <w:rFonts w:ascii="Times New Roman" w:hAnsi="Times New Roman"/>
          <w:sz w:val="24"/>
          <w:szCs w:val="24"/>
        </w:rPr>
      </w:pPr>
      <w:r w:rsidRPr="00B47E18">
        <w:rPr>
          <w:rFonts w:ascii="Times New Roman" w:hAnsi="Times New Roman"/>
          <w:sz w:val="24"/>
          <w:szCs w:val="24"/>
        </w:rPr>
        <w:t xml:space="preserve">On July 7, 2020, in </w:t>
      </w:r>
      <w:r w:rsidRPr="00B47E18">
        <w:rPr>
          <w:rFonts w:ascii="Times New Roman" w:hAnsi="Times New Roman"/>
          <w:sz w:val="24"/>
          <w:szCs w:val="24"/>
          <w:u w:val="single"/>
        </w:rPr>
        <w:t>United States of America v. Steve Allen Pritchard</w:t>
      </w:r>
      <w:r w:rsidRPr="00B47E18">
        <w:rPr>
          <w:rFonts w:ascii="Times New Roman" w:hAnsi="Times New Roman"/>
          <w:sz w:val="24"/>
          <w:szCs w:val="24"/>
        </w:rPr>
        <w:t>, the U.S. Court of Appeals for Sixth Circuit (Cincinnati) affirmed (3 to 0) the conviction</w:t>
      </w:r>
      <w:r w:rsidR="00CB0898">
        <w:rPr>
          <w:rFonts w:ascii="Times New Roman" w:hAnsi="Times New Roman"/>
          <w:sz w:val="24"/>
          <w:szCs w:val="24"/>
        </w:rPr>
        <w:t xml:space="preserve"> for violation of the federal arson statute, </w:t>
      </w:r>
      <w:r w:rsidR="00CB0898" w:rsidRPr="00CB0898">
        <w:rPr>
          <w:rFonts w:ascii="Times New Roman" w:hAnsi="Times New Roman"/>
          <w:sz w:val="24"/>
          <w:szCs w:val="24"/>
        </w:rPr>
        <w:t>18 U.S.C. § 844(</w:t>
      </w:r>
      <w:proofErr w:type="spellStart"/>
      <w:r w:rsidR="00CB0898" w:rsidRPr="00CB0898">
        <w:rPr>
          <w:rFonts w:ascii="Times New Roman" w:hAnsi="Times New Roman"/>
          <w:sz w:val="24"/>
          <w:szCs w:val="24"/>
        </w:rPr>
        <w:t>i</w:t>
      </w:r>
      <w:proofErr w:type="spellEnd"/>
      <w:r w:rsidR="00CB0898" w:rsidRPr="00CB0898">
        <w:rPr>
          <w:rFonts w:ascii="Times New Roman" w:hAnsi="Times New Roman"/>
          <w:sz w:val="24"/>
          <w:szCs w:val="24"/>
        </w:rPr>
        <w:t>)</w:t>
      </w:r>
      <w:r w:rsidR="00CB0898">
        <w:rPr>
          <w:rFonts w:ascii="Times New Roman" w:hAnsi="Times New Roman"/>
          <w:sz w:val="24"/>
          <w:szCs w:val="24"/>
        </w:rPr>
        <w:t xml:space="preserve">, </w:t>
      </w:r>
      <w:r w:rsidRPr="00B47E18">
        <w:rPr>
          <w:rFonts w:ascii="Times New Roman" w:hAnsi="Times New Roman"/>
          <w:sz w:val="24"/>
          <w:szCs w:val="24"/>
        </w:rPr>
        <w:t xml:space="preserve"> and his enhanced sentence of 360 months in prison.  Court wrote: “Even though Pritchard offered evidence that Sparks’s pre-existing medical condition led to his death, the jury found an unbroken chain of causation between the fire</w:t>
      </w:r>
      <w:r w:rsidR="00CB0898">
        <w:rPr>
          <w:rFonts w:ascii="Times New Roman" w:hAnsi="Times New Roman"/>
          <w:sz w:val="24"/>
          <w:szCs w:val="24"/>
        </w:rPr>
        <w:t xml:space="preserve"> </w:t>
      </w:r>
      <w:r w:rsidRPr="00B47E18">
        <w:rPr>
          <w:rFonts w:ascii="Times New Roman" w:hAnsi="Times New Roman"/>
          <w:sz w:val="24"/>
          <w:szCs w:val="24"/>
        </w:rPr>
        <w:t xml:space="preserve">and Sparks’s heart attack. Just as we did not disturb a jury’s finding that the patient’s “actions as an addict cannot be said to break the chain of proximate causation[,]” we do not disturb the jury’s conclusion that Sparks’s medical ailments did not sever the causal link between the fire and his death.” </w:t>
      </w:r>
      <w:hyperlink r:id="rId563" w:history="1">
        <w:r w:rsidRPr="00B47E18">
          <w:rPr>
            <w:rStyle w:val="Hyperlink"/>
            <w:rFonts w:ascii="Times New Roman" w:hAnsi="Times New Roman"/>
            <w:sz w:val="24"/>
            <w:szCs w:val="24"/>
          </w:rPr>
          <w:t>https://www.opn.ca6.uscourts.gov/opinions.pdf/20a0203p-06.pdf</w:t>
        </w:r>
      </w:hyperlink>
      <w:r w:rsidRPr="00B47E18">
        <w:rPr>
          <w:rFonts w:ascii="Times New Roman" w:hAnsi="Times New Roman"/>
          <w:sz w:val="24"/>
          <w:szCs w:val="24"/>
        </w:rPr>
        <w:t xml:space="preserve"> </w:t>
      </w:r>
    </w:p>
    <w:p w14:paraId="036ED4FC" w14:textId="4DED77E0" w:rsidR="00CB0898" w:rsidRDefault="00CB0898" w:rsidP="00A672EE">
      <w:pPr>
        <w:pStyle w:val="NoSpacing"/>
        <w:rPr>
          <w:rFonts w:ascii="Times New Roman" w:hAnsi="Times New Roman"/>
          <w:sz w:val="24"/>
          <w:szCs w:val="24"/>
        </w:rPr>
      </w:pPr>
    </w:p>
    <w:p w14:paraId="2A1CAC49" w14:textId="068BCE1D" w:rsidR="00CB0898" w:rsidRPr="00CB0898" w:rsidRDefault="00CB0898" w:rsidP="00A672EE">
      <w:pPr>
        <w:pStyle w:val="NoSpacing"/>
        <w:rPr>
          <w:rFonts w:ascii="Times New Roman" w:hAnsi="Times New Roman"/>
          <w:b/>
          <w:bCs/>
          <w:sz w:val="24"/>
          <w:szCs w:val="24"/>
        </w:rPr>
      </w:pPr>
      <w:r w:rsidRPr="00CB0898">
        <w:rPr>
          <w:rFonts w:ascii="Times New Roman" w:hAnsi="Times New Roman"/>
          <w:b/>
          <w:bCs/>
          <w:sz w:val="24"/>
          <w:szCs w:val="24"/>
        </w:rPr>
        <w:t>Legal Lesson Learned: Firefighter who is killed at scene of arson, the defendant can be convicted of violation of federal arson statute</w:t>
      </w:r>
      <w:r>
        <w:rPr>
          <w:rFonts w:ascii="Times New Roman" w:hAnsi="Times New Roman"/>
          <w:b/>
          <w:bCs/>
          <w:sz w:val="24"/>
          <w:szCs w:val="24"/>
        </w:rPr>
        <w:t xml:space="preserve"> with enhanced sentence. </w:t>
      </w:r>
    </w:p>
    <w:p w14:paraId="319BFB10" w14:textId="77777777" w:rsidR="00A672EE" w:rsidRDefault="00A672EE" w:rsidP="00EF1133">
      <w:pPr>
        <w:pStyle w:val="NoSpacing"/>
        <w:rPr>
          <w:rFonts w:ascii="Arial Black" w:hAnsi="Arial Black"/>
          <w:sz w:val="24"/>
          <w:szCs w:val="24"/>
        </w:rPr>
      </w:pPr>
    </w:p>
    <w:p w14:paraId="296F6CAF" w14:textId="77777777" w:rsidR="00A672EE" w:rsidRDefault="00A672EE" w:rsidP="00EF1133">
      <w:pPr>
        <w:pStyle w:val="NoSpacing"/>
        <w:rPr>
          <w:rFonts w:ascii="Arial Black" w:hAnsi="Arial Black"/>
          <w:sz w:val="24"/>
          <w:szCs w:val="24"/>
        </w:rPr>
      </w:pPr>
    </w:p>
    <w:p w14:paraId="21927583" w14:textId="77777777" w:rsidR="00A672EE" w:rsidRDefault="00A672EE" w:rsidP="00EF1133">
      <w:pPr>
        <w:pStyle w:val="NoSpacing"/>
        <w:rPr>
          <w:rFonts w:ascii="Arial Black" w:hAnsi="Arial Black"/>
          <w:sz w:val="24"/>
          <w:szCs w:val="24"/>
        </w:rPr>
      </w:pPr>
    </w:p>
    <w:p w14:paraId="4B0D8321" w14:textId="32A93CE9" w:rsidR="0020758F" w:rsidRDefault="0020758F" w:rsidP="00EF1133">
      <w:pPr>
        <w:pStyle w:val="NoSpacing"/>
        <w:rPr>
          <w:rFonts w:ascii="Arial Black" w:hAnsi="Arial Black"/>
          <w:sz w:val="24"/>
          <w:szCs w:val="24"/>
        </w:rPr>
      </w:pPr>
      <w:r>
        <w:rPr>
          <w:rFonts w:ascii="Arial Black" w:hAnsi="Arial Black"/>
          <w:sz w:val="24"/>
          <w:szCs w:val="24"/>
        </w:rPr>
        <w:t>2-35</w:t>
      </w:r>
    </w:p>
    <w:p w14:paraId="53FB6FE1" w14:textId="6FFFF4C2" w:rsidR="0020758F" w:rsidRDefault="0020758F" w:rsidP="00EF1133">
      <w:pPr>
        <w:pStyle w:val="NoSpacing"/>
        <w:rPr>
          <w:rFonts w:ascii="Arial Black" w:hAnsi="Arial Black"/>
          <w:sz w:val="24"/>
          <w:szCs w:val="24"/>
        </w:rPr>
      </w:pPr>
    </w:p>
    <w:p w14:paraId="2B55A19D" w14:textId="77777777" w:rsidR="0020758F" w:rsidRDefault="0020758F" w:rsidP="0020758F">
      <w:pPr>
        <w:pStyle w:val="NoSpacing"/>
        <w:rPr>
          <w:rFonts w:ascii="Arial Black" w:hAnsi="Arial Black"/>
          <w:sz w:val="28"/>
          <w:szCs w:val="28"/>
        </w:rPr>
      </w:pPr>
      <w:r w:rsidRPr="005C4230">
        <w:rPr>
          <w:rFonts w:ascii="Arial Black" w:hAnsi="Arial Black"/>
          <w:sz w:val="28"/>
          <w:szCs w:val="28"/>
        </w:rPr>
        <w:t xml:space="preserve">NY: </w:t>
      </w:r>
      <w:r>
        <w:rPr>
          <w:rFonts w:ascii="Arial Black" w:hAnsi="Arial Black"/>
          <w:sz w:val="28"/>
          <w:szCs w:val="28"/>
        </w:rPr>
        <w:t>FIREMAN’S RULE – PD INJURED, FRONT EDGE STEP BROKE – OWNER DEFAULT, CAN’T SUE MORTGAGE CO.</w:t>
      </w:r>
    </w:p>
    <w:p w14:paraId="0D1405AE" w14:textId="77777777" w:rsidR="00F00958" w:rsidRDefault="00F00958" w:rsidP="0020758F">
      <w:pPr>
        <w:pStyle w:val="NoSpacing"/>
        <w:rPr>
          <w:rFonts w:ascii="Arial Black" w:hAnsi="Arial Black"/>
          <w:sz w:val="28"/>
          <w:szCs w:val="28"/>
        </w:rPr>
      </w:pPr>
    </w:p>
    <w:p w14:paraId="06985639" w14:textId="211DBE23" w:rsidR="0020758F" w:rsidRDefault="0020758F" w:rsidP="0020758F">
      <w:pPr>
        <w:pStyle w:val="NoSpacing"/>
        <w:rPr>
          <w:rFonts w:ascii="Times New Roman" w:eastAsia="Times New Roman" w:hAnsi="Times New Roman"/>
          <w:sz w:val="24"/>
          <w:szCs w:val="24"/>
        </w:rPr>
      </w:pPr>
      <w:r w:rsidRPr="00A05E71">
        <w:rPr>
          <w:rFonts w:ascii="Times New Roman" w:hAnsi="Times New Roman"/>
          <w:sz w:val="24"/>
          <w:szCs w:val="24"/>
        </w:rPr>
        <w:t xml:space="preserve">On June 10, 2020, in </w:t>
      </w:r>
      <w:r w:rsidRPr="00A05E71">
        <w:rPr>
          <w:rFonts w:ascii="Times New Roman" w:hAnsi="Times New Roman"/>
          <w:sz w:val="24"/>
          <w:szCs w:val="24"/>
          <w:u w:val="single"/>
        </w:rPr>
        <w:t>Joseph B. Maher v. Wells Fargo Financial New York, Inc., et al</w:t>
      </w:r>
      <w:r w:rsidRPr="00A05E71">
        <w:rPr>
          <w:rFonts w:ascii="Times New Roman" w:hAnsi="Times New Roman"/>
          <w:sz w:val="24"/>
          <w:szCs w:val="24"/>
        </w:rPr>
        <w:t>., 2020 NY Slip Op 03219</w:t>
      </w:r>
      <w:r>
        <w:rPr>
          <w:rFonts w:ascii="Times New Roman" w:hAnsi="Times New Roman"/>
          <w:sz w:val="24"/>
          <w:szCs w:val="24"/>
        </w:rPr>
        <w:t xml:space="preserve">, </w:t>
      </w:r>
      <w:r w:rsidRPr="00855687">
        <w:rPr>
          <w:rFonts w:ascii="Times New Roman" w:hAnsi="Times New Roman"/>
          <w:sz w:val="24"/>
          <w:szCs w:val="24"/>
        </w:rPr>
        <w:t>the Supreme Court of New York, Appellate Division (Second Judicial Department) held (5 to 0) that the trial court had properly granted summary judgment to the defendant mortgage company and its subs that maintained the property, since they</w:t>
      </w:r>
      <w:r>
        <w:rPr>
          <w:rFonts w:ascii="Times New Roman" w:hAnsi="Times New Roman"/>
          <w:sz w:val="24"/>
          <w:szCs w:val="24"/>
        </w:rPr>
        <w:t xml:space="preserve"> owed no duty of care to the police officer</w:t>
      </w:r>
      <w:r w:rsidRPr="00855687">
        <w:rPr>
          <w:rFonts w:ascii="Times New Roman" w:hAnsi="Times New Roman"/>
          <w:sz w:val="24"/>
          <w:szCs w:val="24"/>
        </w:rPr>
        <w:t xml:space="preserve">.  The Court held: </w:t>
      </w:r>
      <w:r>
        <w:rPr>
          <w:rFonts w:ascii="Times New Roman" w:hAnsi="Times New Roman"/>
          <w:sz w:val="24"/>
          <w:szCs w:val="24"/>
        </w:rPr>
        <w:t>“</w:t>
      </w:r>
      <w:r w:rsidRPr="00855687">
        <w:rPr>
          <w:rFonts w:ascii="Times New Roman" w:hAnsi="Times New Roman"/>
          <w:sz w:val="24"/>
          <w:szCs w:val="24"/>
        </w:rPr>
        <w:t xml:space="preserve">On May 26, 2011, the plaintiff, a police officer, was in the process of executing a parole arrest warrant, which required him to enter certain property in Hempstead (hereinafter the property). The plaintiff allegedly was injured when, while walking down a flight of stairs, the front edge of one step broke and he fell down the remaining stairs. At the time of the incident, the defendant Charles White owned the </w:t>
      </w:r>
      <w:proofErr w:type="gramStart"/>
      <w:r w:rsidRPr="00855687">
        <w:rPr>
          <w:rFonts w:ascii="Times New Roman" w:hAnsi="Times New Roman"/>
          <w:sz w:val="24"/>
          <w:szCs w:val="24"/>
        </w:rPr>
        <w:t>property, but</w:t>
      </w:r>
      <w:proofErr w:type="gramEnd"/>
      <w:r w:rsidRPr="00855687">
        <w:rPr>
          <w:rFonts w:ascii="Times New Roman" w:hAnsi="Times New Roman"/>
          <w:sz w:val="24"/>
          <w:szCs w:val="24"/>
        </w:rPr>
        <w:t xml:space="preserve"> had defaulted on his mortgage loan payments in April 2011</w:t>
      </w:r>
      <w:r>
        <w:rPr>
          <w:rFonts w:ascii="Times New Roman" w:eastAsia="Times New Roman" w:hAnsi="Times New Roman"/>
          <w:b/>
          <w:bCs/>
          <w:sz w:val="24"/>
          <w:szCs w:val="24"/>
        </w:rPr>
        <w:t xml:space="preserve">. ***  </w:t>
      </w:r>
      <w:r w:rsidRPr="005C4230">
        <w:rPr>
          <w:rFonts w:ascii="Times New Roman" w:eastAsia="Times New Roman" w:hAnsi="Times New Roman"/>
          <w:sz w:val="24"/>
          <w:szCs w:val="24"/>
        </w:rPr>
        <w:t xml:space="preserve">The </w:t>
      </w:r>
      <w:r>
        <w:rPr>
          <w:rFonts w:ascii="Times New Roman" w:eastAsia="Times New Roman" w:hAnsi="Times New Roman"/>
          <w:sz w:val="24"/>
          <w:szCs w:val="24"/>
        </w:rPr>
        <w:t>‘</w:t>
      </w:r>
      <w:r w:rsidRPr="005C4230">
        <w:rPr>
          <w:rFonts w:ascii="Times New Roman" w:eastAsia="Times New Roman" w:hAnsi="Times New Roman"/>
          <w:sz w:val="24"/>
          <w:szCs w:val="24"/>
        </w:rPr>
        <w:t>firefighter's rule,</w:t>
      </w:r>
      <w:r>
        <w:rPr>
          <w:rFonts w:ascii="Times New Roman" w:eastAsia="Times New Roman" w:hAnsi="Times New Roman"/>
          <w:sz w:val="24"/>
          <w:szCs w:val="24"/>
        </w:rPr>
        <w:t>’</w:t>
      </w:r>
      <w:r w:rsidRPr="005C4230">
        <w:rPr>
          <w:rFonts w:ascii="Times New Roman" w:eastAsia="Times New Roman" w:hAnsi="Times New Roman"/>
          <w:sz w:val="24"/>
          <w:szCs w:val="24"/>
        </w:rPr>
        <w:t xml:space="preserve"> which </w:t>
      </w:r>
      <w:r>
        <w:rPr>
          <w:rFonts w:ascii="Times New Roman" w:eastAsia="Times New Roman" w:hAnsi="Times New Roman"/>
          <w:sz w:val="24"/>
          <w:szCs w:val="24"/>
        </w:rPr>
        <w:t>‘</w:t>
      </w:r>
      <w:r w:rsidRPr="005C4230">
        <w:rPr>
          <w:rFonts w:ascii="Times New Roman" w:eastAsia="Times New Roman" w:hAnsi="Times New Roman"/>
          <w:sz w:val="24"/>
          <w:szCs w:val="24"/>
        </w:rPr>
        <w:t>bars recovery in negligence for injuries sustained by a firefighter [or a police officer] in the line of duty</w:t>
      </w:r>
      <w:r>
        <w:rPr>
          <w:rFonts w:ascii="Times New Roman" w:eastAsia="Times New Roman" w:hAnsi="Times New Roman"/>
          <w:sz w:val="24"/>
          <w:szCs w:val="24"/>
        </w:rPr>
        <w:t>’</w:t>
      </w:r>
      <w:r w:rsidRPr="005C4230">
        <w:rPr>
          <w:rFonts w:ascii="Times New Roman" w:eastAsia="Times New Roman" w:hAnsi="Times New Roman"/>
          <w:sz w:val="24"/>
          <w:szCs w:val="24"/>
        </w:rPr>
        <w:t xml:space="preserve"> (Giuffrida v Citibank Corp., 100 NY2d 72, 76), was abolished by General Obligations Law § 11-106, except as to actions against municipal employers and fellow police officers</w:t>
      </w:r>
      <w:r>
        <w:rPr>
          <w:rFonts w:ascii="Times New Roman" w:eastAsia="Times New Roman" w:hAnsi="Times New Roman"/>
          <w:sz w:val="24"/>
          <w:szCs w:val="24"/>
        </w:rPr>
        <w:t>….</w:t>
      </w:r>
      <w:r w:rsidRPr="005C4230">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Pr="005C4230">
        <w:rPr>
          <w:rFonts w:ascii="Times New Roman" w:eastAsia="Times New Roman" w:hAnsi="Times New Roman"/>
          <w:sz w:val="24"/>
          <w:szCs w:val="24"/>
        </w:rPr>
        <w:t xml:space="preserve">Here, the defendants established their prima facie entitlement to judgment as a matter of law dismissing the negligence cause of action </w:t>
      </w:r>
    </w:p>
    <w:p w14:paraId="1D306ACD" w14:textId="77777777" w:rsidR="0020758F" w:rsidRDefault="0020758F" w:rsidP="0020758F">
      <w:pPr>
        <w:pStyle w:val="NoSpacing"/>
        <w:rPr>
          <w:rFonts w:ascii="Times New Roman" w:eastAsia="Times New Roman" w:hAnsi="Times New Roman"/>
          <w:sz w:val="24"/>
          <w:szCs w:val="24"/>
        </w:rPr>
      </w:pPr>
      <w:r w:rsidRPr="005C4230">
        <w:rPr>
          <w:rFonts w:ascii="Times New Roman" w:eastAsia="Times New Roman" w:hAnsi="Times New Roman"/>
          <w:sz w:val="24"/>
          <w:szCs w:val="24"/>
        </w:rPr>
        <w:t xml:space="preserve">insofar as asserted against each of them by demonstrating that they did not own or control the subject premises, or assume any duty to the plaintiff, which might serve as a predicate for liability (see Pollard v Credit Suisse First </w:t>
      </w:r>
    </w:p>
    <w:p w14:paraId="495DB781" w14:textId="38B6CE39" w:rsidR="0020758F" w:rsidRDefault="0020758F" w:rsidP="0020758F">
      <w:pPr>
        <w:pStyle w:val="NoSpacing"/>
        <w:rPr>
          <w:rStyle w:val="Hyperlink"/>
          <w:rFonts w:ascii="Times New Roman" w:hAnsi="Times New Roman"/>
          <w:sz w:val="24"/>
          <w:szCs w:val="24"/>
        </w:rPr>
      </w:pPr>
      <w:r w:rsidRPr="005C4230">
        <w:rPr>
          <w:rFonts w:ascii="Times New Roman" w:eastAsia="Times New Roman" w:hAnsi="Times New Roman"/>
          <w:sz w:val="24"/>
          <w:szCs w:val="24"/>
        </w:rPr>
        <w:t>Boston Mtge. Capital, LLC, 66 AD3d at 863</w:t>
      </w:r>
      <w:r>
        <w:rPr>
          <w:rFonts w:ascii="Times New Roman" w:eastAsia="Times New Roman" w:hAnsi="Times New Roman"/>
          <w:sz w:val="24"/>
          <w:szCs w:val="24"/>
        </w:rPr>
        <w:t xml:space="preserve">).”  </w:t>
      </w:r>
      <w:hyperlink r:id="rId564" w:history="1">
        <w:r w:rsidRPr="008A2EB4">
          <w:rPr>
            <w:rStyle w:val="Hyperlink"/>
            <w:rFonts w:ascii="Times New Roman" w:hAnsi="Times New Roman"/>
            <w:sz w:val="24"/>
            <w:szCs w:val="24"/>
          </w:rPr>
          <w:t>https://law.justia.com/cases/new-york/appellate-division-second-department/2020/2016-13412.html</w:t>
        </w:r>
      </w:hyperlink>
    </w:p>
    <w:p w14:paraId="58123526" w14:textId="4D8DE7D8" w:rsidR="0020758F" w:rsidRDefault="0020758F" w:rsidP="0020758F">
      <w:pPr>
        <w:pStyle w:val="NoSpacing"/>
        <w:rPr>
          <w:rStyle w:val="Hyperlink"/>
          <w:rFonts w:ascii="Times New Roman" w:hAnsi="Times New Roman"/>
          <w:sz w:val="24"/>
          <w:szCs w:val="24"/>
        </w:rPr>
      </w:pPr>
    </w:p>
    <w:p w14:paraId="076E5BFD" w14:textId="77777777" w:rsidR="0020758F" w:rsidRDefault="0020758F" w:rsidP="0020758F">
      <w:pPr>
        <w:spacing w:before="100" w:beforeAutospacing="1" w:after="100" w:afterAutospacing="1" w:line="240" w:lineRule="auto"/>
        <w:rPr>
          <w:rFonts w:ascii="Times New Roman" w:hAnsi="Times New Roman"/>
          <w:b/>
          <w:bCs/>
          <w:sz w:val="24"/>
          <w:szCs w:val="24"/>
        </w:rPr>
      </w:pPr>
      <w:r w:rsidRPr="00855687">
        <w:rPr>
          <w:rFonts w:ascii="Times New Roman" w:hAnsi="Times New Roman"/>
          <w:b/>
          <w:bCs/>
          <w:sz w:val="24"/>
          <w:szCs w:val="24"/>
        </w:rPr>
        <w:t>Legal Lessons Learned:</w:t>
      </w:r>
      <w:r>
        <w:rPr>
          <w:rFonts w:ascii="Times New Roman" w:hAnsi="Times New Roman"/>
          <w:b/>
          <w:bCs/>
          <w:sz w:val="24"/>
          <w:szCs w:val="24"/>
        </w:rPr>
        <w:t xml:space="preserve"> The Fireman’s Rule has been abolished in New York; also abolished in Florida.  </w:t>
      </w:r>
    </w:p>
    <w:p w14:paraId="2FCBA738" w14:textId="77777777" w:rsidR="0020758F" w:rsidRDefault="0020758F" w:rsidP="0020758F">
      <w:pPr>
        <w:spacing w:before="100" w:beforeAutospacing="1" w:after="100" w:afterAutospacing="1" w:line="240" w:lineRule="auto"/>
        <w:ind w:firstLine="720"/>
        <w:rPr>
          <w:rFonts w:ascii="Times New Roman" w:eastAsia="Times New Roman" w:hAnsi="Times New Roman"/>
          <w:sz w:val="24"/>
          <w:szCs w:val="24"/>
        </w:rPr>
      </w:pPr>
      <w:r>
        <w:rPr>
          <w:rFonts w:ascii="Times New Roman" w:eastAsia="Times New Roman" w:hAnsi="Times New Roman"/>
          <w:sz w:val="24"/>
          <w:szCs w:val="24"/>
        </w:rPr>
        <w:t xml:space="preserve">Note:  New York </w:t>
      </w:r>
      <w:r w:rsidRPr="005C4230">
        <w:rPr>
          <w:rFonts w:ascii="Times New Roman" w:eastAsia="Times New Roman" w:hAnsi="Times New Roman"/>
          <w:sz w:val="24"/>
          <w:szCs w:val="24"/>
        </w:rPr>
        <w:t>General Obligations Law § 11-106</w:t>
      </w:r>
      <w:r>
        <w:rPr>
          <w:rFonts w:ascii="Times New Roman" w:eastAsia="Times New Roman" w:hAnsi="Times New Roman"/>
          <w:sz w:val="24"/>
          <w:szCs w:val="24"/>
        </w:rPr>
        <w:t xml:space="preserve"> provides in part:</w:t>
      </w:r>
    </w:p>
    <w:p w14:paraId="32DACC90" w14:textId="77777777" w:rsidR="0020758F" w:rsidRDefault="0020758F" w:rsidP="0020758F">
      <w:pPr>
        <w:pStyle w:val="NoSpacing"/>
        <w:ind w:left="720" w:hanging="720"/>
        <w:rPr>
          <w:rFonts w:ascii="Times New Roman" w:hAnsi="Times New Roman"/>
          <w:sz w:val="24"/>
          <w:szCs w:val="24"/>
        </w:rPr>
      </w:pPr>
      <w:r>
        <w:t> </w:t>
      </w:r>
      <w:r>
        <w:tab/>
        <w:t>“</w:t>
      </w:r>
      <w:r w:rsidRPr="00855687">
        <w:rPr>
          <w:rFonts w:ascii="Times New Roman" w:hAnsi="Times New Roman"/>
          <w:sz w:val="24"/>
          <w:szCs w:val="24"/>
        </w:rPr>
        <w:t>In addition to any other right of action or recovery otherwise available under law, whenever any police officer or firefighter suffers any injury, disease or death while in the lawful discharge of his official duties and that injury, disease or death is proximately caused by the neglect, willful omission, or intentional, willful or culpable conduct of any person or entity, other than that police officer's or firefighter's employer or co-employee, the police officer or firefighter suffering that injury or disease, or, in the case of death, a representative of that police officer or firefighter may seek recovery and damages from the person or entity whose neglect, willful omission, or intentional, willful or culpable conduct resulted in that injury, disease or death</w:t>
      </w:r>
      <w:r>
        <w:rPr>
          <w:rFonts w:ascii="Times New Roman" w:hAnsi="Times New Roman"/>
          <w:sz w:val="24"/>
          <w:szCs w:val="24"/>
        </w:rPr>
        <w:t xml:space="preserve">.” </w:t>
      </w:r>
      <w:hyperlink r:id="rId565" w:history="1">
        <w:r w:rsidRPr="008A2EB4">
          <w:rPr>
            <w:rStyle w:val="Hyperlink"/>
            <w:rFonts w:ascii="Times New Roman" w:hAnsi="Times New Roman"/>
            <w:sz w:val="24"/>
            <w:szCs w:val="24"/>
          </w:rPr>
          <w:t>https://codes.findlaw.com/ny/general-obligations-law/gob-sect-11-106.html</w:t>
        </w:r>
      </w:hyperlink>
      <w:r>
        <w:rPr>
          <w:rFonts w:ascii="Times New Roman" w:hAnsi="Times New Roman"/>
          <w:sz w:val="24"/>
          <w:szCs w:val="24"/>
        </w:rPr>
        <w:t xml:space="preserve">  </w:t>
      </w:r>
    </w:p>
    <w:p w14:paraId="0EE67327" w14:textId="77777777" w:rsidR="0020758F" w:rsidRDefault="0020758F" w:rsidP="0020758F">
      <w:pPr>
        <w:pStyle w:val="NoSpacing"/>
        <w:ind w:left="720" w:hanging="720"/>
        <w:rPr>
          <w:rFonts w:ascii="Times New Roman" w:hAnsi="Times New Roman"/>
          <w:sz w:val="24"/>
          <w:szCs w:val="24"/>
        </w:rPr>
      </w:pPr>
    </w:p>
    <w:p w14:paraId="39DC538B" w14:textId="77777777" w:rsidR="0020758F" w:rsidRDefault="0020758F" w:rsidP="0020758F">
      <w:pPr>
        <w:pStyle w:val="NoSpacing"/>
        <w:ind w:left="720" w:hanging="720"/>
        <w:rPr>
          <w:rFonts w:ascii="Times New Roman" w:hAnsi="Times New Roman"/>
          <w:sz w:val="24"/>
          <w:szCs w:val="24"/>
        </w:rPr>
      </w:pPr>
      <w:r>
        <w:rPr>
          <w:rFonts w:ascii="Times New Roman" w:hAnsi="Times New Roman"/>
          <w:sz w:val="24"/>
          <w:szCs w:val="24"/>
        </w:rPr>
        <w:tab/>
      </w:r>
    </w:p>
    <w:p w14:paraId="547DD40F" w14:textId="77777777" w:rsidR="0020758F" w:rsidRDefault="0020758F" w:rsidP="0020758F">
      <w:pPr>
        <w:pStyle w:val="NoSpacing"/>
        <w:ind w:left="720" w:hanging="720"/>
        <w:rPr>
          <w:rFonts w:ascii="Times New Roman" w:hAnsi="Times New Roman"/>
          <w:sz w:val="24"/>
          <w:szCs w:val="24"/>
        </w:rPr>
      </w:pPr>
      <w:r>
        <w:rPr>
          <w:rFonts w:ascii="Times New Roman" w:hAnsi="Times New Roman"/>
          <w:sz w:val="24"/>
          <w:szCs w:val="24"/>
        </w:rPr>
        <w:tab/>
        <w:t>Florida (2019)</w:t>
      </w:r>
    </w:p>
    <w:p w14:paraId="7A3D381C" w14:textId="77777777" w:rsidR="0020758F" w:rsidRPr="00A05E71" w:rsidRDefault="0020758F" w:rsidP="0020758F">
      <w:pPr>
        <w:spacing w:after="0" w:line="240" w:lineRule="auto"/>
        <w:ind w:firstLine="720"/>
        <w:rPr>
          <w:rFonts w:ascii="Verdana" w:eastAsia="Times New Roman" w:hAnsi="Verdana"/>
          <w:sz w:val="20"/>
          <w:szCs w:val="20"/>
        </w:rPr>
      </w:pPr>
      <w:r w:rsidRPr="00A05E71">
        <w:rPr>
          <w:rFonts w:ascii="Verdana" w:eastAsia="Times New Roman" w:hAnsi="Verdana"/>
          <w:sz w:val="20"/>
          <w:szCs w:val="20"/>
        </w:rPr>
        <w:t>112.182</w:t>
      </w:r>
      <w:r w:rsidRPr="00A05E71">
        <w:rPr>
          <w:rFonts w:ascii="Verdana" w:eastAsia="Times New Roman" w:hAnsi="Verdana"/>
          <w:sz w:val="20"/>
          <w:szCs w:val="20"/>
        </w:rPr>
        <w:t> </w:t>
      </w:r>
      <w:r w:rsidRPr="00A05E71">
        <w:rPr>
          <w:rFonts w:ascii="Verdana" w:eastAsia="Times New Roman" w:hAnsi="Verdana"/>
          <w:sz w:val="20"/>
          <w:szCs w:val="20"/>
        </w:rPr>
        <w:t>“Firefighter rule” abolished.—</w:t>
      </w:r>
    </w:p>
    <w:p w14:paraId="199E8342" w14:textId="77777777" w:rsidR="0020758F" w:rsidRPr="00A05E71" w:rsidRDefault="0020758F" w:rsidP="0020758F">
      <w:pPr>
        <w:spacing w:after="0" w:line="240" w:lineRule="auto"/>
        <w:ind w:left="720"/>
        <w:rPr>
          <w:rFonts w:ascii="Times New Roman" w:eastAsia="Times New Roman" w:hAnsi="Times New Roman"/>
          <w:sz w:val="24"/>
          <w:szCs w:val="24"/>
        </w:rPr>
      </w:pPr>
      <w:r w:rsidRPr="00A05E71">
        <w:rPr>
          <w:rFonts w:ascii="Verdana" w:eastAsia="Times New Roman" w:hAnsi="Verdana"/>
          <w:sz w:val="20"/>
          <w:szCs w:val="20"/>
        </w:rPr>
        <w:t>(1)</w:t>
      </w:r>
      <w:r w:rsidRPr="00A05E71">
        <w:rPr>
          <w:rFonts w:ascii="Verdana" w:eastAsia="Times New Roman" w:hAnsi="Verdana"/>
          <w:sz w:val="20"/>
          <w:szCs w:val="20"/>
        </w:rPr>
        <w:t> </w:t>
      </w:r>
      <w:r w:rsidRPr="00A05E71">
        <w:rPr>
          <w:rFonts w:ascii="Verdana" w:eastAsia="Times New Roman" w:hAnsi="Verdana"/>
          <w:sz w:val="20"/>
          <w:szCs w:val="20"/>
        </w:rPr>
        <w:t>A firefighter or properly identified law enforcement officer who lawfully enters upon the premises of another in the discharge of his or her duty occupies the status of an invitee. The common-law rule that such a firefighter or law enforcement officer occupies the status of a licensee is hereby abolished.</w:t>
      </w:r>
    </w:p>
    <w:p w14:paraId="711E42D5" w14:textId="77777777" w:rsidR="0020758F" w:rsidRPr="00A05E71" w:rsidRDefault="0020758F" w:rsidP="0020758F">
      <w:pPr>
        <w:spacing w:after="0" w:line="240" w:lineRule="auto"/>
        <w:ind w:left="720"/>
        <w:rPr>
          <w:rFonts w:ascii="Verdana" w:eastAsia="Times New Roman" w:hAnsi="Verdana"/>
          <w:sz w:val="20"/>
          <w:szCs w:val="20"/>
        </w:rPr>
      </w:pPr>
      <w:r w:rsidRPr="00A05E71">
        <w:rPr>
          <w:rFonts w:ascii="Verdana" w:eastAsia="Times New Roman" w:hAnsi="Verdana"/>
          <w:sz w:val="20"/>
          <w:szCs w:val="20"/>
        </w:rPr>
        <w:t>(2)</w:t>
      </w:r>
      <w:r w:rsidRPr="00A05E71">
        <w:rPr>
          <w:rFonts w:ascii="Verdana" w:eastAsia="Times New Roman" w:hAnsi="Verdana"/>
          <w:sz w:val="20"/>
          <w:szCs w:val="20"/>
        </w:rPr>
        <w:t> </w:t>
      </w:r>
      <w:r w:rsidRPr="00A05E71">
        <w:rPr>
          <w:rFonts w:ascii="Verdana" w:eastAsia="Times New Roman" w:hAnsi="Verdana"/>
          <w:sz w:val="20"/>
          <w:szCs w:val="20"/>
        </w:rPr>
        <w:t xml:space="preserve">It is not the intent of this section to increase or diminish the duty of care owed by property owners to </w:t>
      </w:r>
      <w:proofErr w:type="gramStart"/>
      <w:r w:rsidRPr="00A05E71">
        <w:rPr>
          <w:rFonts w:ascii="Verdana" w:eastAsia="Times New Roman" w:hAnsi="Verdana"/>
          <w:sz w:val="20"/>
          <w:szCs w:val="20"/>
        </w:rPr>
        <w:t>invitees</w:t>
      </w:r>
      <w:proofErr w:type="gramEnd"/>
      <w:r w:rsidRPr="00A05E71">
        <w:rPr>
          <w:rFonts w:ascii="Verdana" w:eastAsia="Times New Roman" w:hAnsi="Verdana"/>
          <w:sz w:val="20"/>
          <w:szCs w:val="20"/>
        </w:rPr>
        <w:t>. Property owners shall be liable to invitees pursuant to this section only when the property owner negligently fails to maintain the premises in a reasonably safe condition or negligently fails to correct a dangerous condition of which the property owner either knew or should have known by the use of reasonable care or negligently fails to warn the invitee of a dangerous condition about which the property owner had, or should have had, knowledge greater than that of the invitee.</w:t>
      </w:r>
    </w:p>
    <w:p w14:paraId="30F6C6A3" w14:textId="77777777" w:rsidR="0020758F" w:rsidRDefault="0020758F" w:rsidP="0020758F">
      <w:pPr>
        <w:spacing w:after="0" w:line="240" w:lineRule="auto"/>
        <w:ind w:firstLine="720"/>
        <w:rPr>
          <w:rFonts w:ascii="Verdana" w:eastAsia="Times New Roman" w:hAnsi="Verdana"/>
          <w:sz w:val="20"/>
          <w:szCs w:val="20"/>
        </w:rPr>
      </w:pPr>
      <w:r w:rsidRPr="00A05E71">
        <w:rPr>
          <w:rFonts w:ascii="Verdana" w:eastAsia="Times New Roman" w:hAnsi="Verdana"/>
          <w:sz w:val="20"/>
          <w:szCs w:val="20"/>
        </w:rPr>
        <w:t>History.—s. 1, ch. 90-308; s. 693, ch. 95-147.</w:t>
      </w:r>
    </w:p>
    <w:p w14:paraId="062F2C5E" w14:textId="77777777" w:rsidR="0020758F" w:rsidRPr="00A05E71" w:rsidRDefault="0020758F" w:rsidP="0020758F">
      <w:pPr>
        <w:spacing w:after="0" w:line="240" w:lineRule="auto"/>
        <w:ind w:left="720"/>
        <w:rPr>
          <w:rFonts w:ascii="Verdana" w:eastAsia="Times New Roman" w:hAnsi="Verdana"/>
          <w:sz w:val="20"/>
          <w:szCs w:val="20"/>
        </w:rPr>
      </w:pPr>
      <w:hyperlink r:id="rId566" w:history="1">
        <w:r w:rsidRPr="008A2EB4">
          <w:rPr>
            <w:rStyle w:val="Hyperlink"/>
            <w:rFonts w:ascii="Verdana" w:hAnsi="Verdana"/>
            <w:sz w:val="20"/>
            <w:szCs w:val="20"/>
          </w:rPr>
          <w:t>http://www.leg.state.fl.us/statutes/index.cfm?App_mode=Display_Statute&amp;Search_String=&amp;URL=0100-0199/0112/Sections/0112.182.html</w:t>
        </w:r>
      </w:hyperlink>
      <w:r>
        <w:rPr>
          <w:rFonts w:ascii="Verdana" w:eastAsia="Times New Roman" w:hAnsi="Verdana"/>
          <w:sz w:val="20"/>
          <w:szCs w:val="20"/>
        </w:rPr>
        <w:t xml:space="preserve"> </w:t>
      </w:r>
    </w:p>
    <w:p w14:paraId="580418AB" w14:textId="77777777" w:rsidR="0020758F" w:rsidRDefault="0020758F" w:rsidP="0020758F">
      <w:pPr>
        <w:pStyle w:val="NoSpacing"/>
        <w:rPr>
          <w:rFonts w:ascii="Arial Black" w:hAnsi="Arial Black"/>
          <w:sz w:val="24"/>
          <w:szCs w:val="24"/>
        </w:rPr>
      </w:pPr>
    </w:p>
    <w:p w14:paraId="3C260D83" w14:textId="77777777" w:rsidR="0020758F" w:rsidRDefault="0020758F" w:rsidP="00EF1133">
      <w:pPr>
        <w:pStyle w:val="NoSpacing"/>
        <w:rPr>
          <w:rFonts w:ascii="Arial Black" w:hAnsi="Arial Black"/>
          <w:sz w:val="24"/>
          <w:szCs w:val="24"/>
        </w:rPr>
      </w:pPr>
    </w:p>
    <w:p w14:paraId="39402962" w14:textId="606C7735" w:rsidR="00D94DC4" w:rsidRDefault="00D94DC4" w:rsidP="00EF1133">
      <w:pPr>
        <w:pStyle w:val="NoSpacing"/>
        <w:rPr>
          <w:rFonts w:ascii="Arial Black" w:hAnsi="Arial Black"/>
          <w:sz w:val="24"/>
          <w:szCs w:val="24"/>
        </w:rPr>
      </w:pPr>
      <w:r>
        <w:rPr>
          <w:rFonts w:ascii="Arial Black" w:hAnsi="Arial Black"/>
          <w:sz w:val="24"/>
          <w:szCs w:val="24"/>
        </w:rPr>
        <w:t>2-34</w:t>
      </w:r>
    </w:p>
    <w:p w14:paraId="0080B655" w14:textId="77777777" w:rsidR="00D94DC4" w:rsidRPr="00B205E3" w:rsidRDefault="00D94DC4" w:rsidP="00D94DC4">
      <w:pPr>
        <w:spacing w:before="100" w:beforeAutospacing="1" w:after="100" w:afterAutospacing="1" w:line="240" w:lineRule="auto"/>
        <w:jc w:val="both"/>
        <w:rPr>
          <w:rFonts w:ascii="Arial Black" w:eastAsia="Times New Roman" w:hAnsi="Arial Black"/>
          <w:b/>
          <w:bCs/>
          <w:sz w:val="28"/>
          <w:szCs w:val="28"/>
        </w:rPr>
      </w:pPr>
      <w:r w:rsidRPr="00B205E3">
        <w:rPr>
          <w:rFonts w:ascii="Arial Black" w:eastAsia="Times New Roman" w:hAnsi="Arial Black"/>
          <w:b/>
          <w:bCs/>
          <w:sz w:val="28"/>
          <w:szCs w:val="28"/>
        </w:rPr>
        <w:t>MD</w:t>
      </w:r>
      <w:r>
        <w:rPr>
          <w:rFonts w:ascii="Arial Black" w:eastAsia="Times New Roman" w:hAnsi="Arial Black"/>
          <w:b/>
          <w:bCs/>
          <w:sz w:val="28"/>
          <w:szCs w:val="28"/>
        </w:rPr>
        <w:t xml:space="preserve">:  WIFE OF DECEASED FF ENTITLED TO DEATH BENEFITS – 2-YRS PRIOR HE SETTLED WORKERS COMP FOR HEART DISEASE / HYPERTENSION – WIFE DID NOT WAIVE RIGHTS </w:t>
      </w:r>
    </w:p>
    <w:p w14:paraId="64DF9027" w14:textId="77777777" w:rsidR="00D94DC4" w:rsidRDefault="00D94DC4" w:rsidP="00D94DC4">
      <w:pPr>
        <w:spacing w:before="100" w:beforeAutospacing="1" w:after="100" w:afterAutospacing="1" w:line="240" w:lineRule="auto"/>
        <w:rPr>
          <w:rFonts w:ascii="Times New Roman" w:hAnsi="Times New Roman"/>
          <w:sz w:val="24"/>
          <w:szCs w:val="24"/>
        </w:rPr>
      </w:pPr>
      <w:r w:rsidRPr="00B205E3">
        <w:rPr>
          <w:rFonts w:ascii="Times New Roman" w:hAnsi="Times New Roman"/>
          <w:sz w:val="24"/>
          <w:szCs w:val="24"/>
        </w:rPr>
        <w:t xml:space="preserve">On </w:t>
      </w:r>
      <w:r>
        <w:rPr>
          <w:rFonts w:ascii="Times New Roman" w:hAnsi="Times New Roman"/>
          <w:sz w:val="24"/>
          <w:szCs w:val="24"/>
        </w:rPr>
        <w:t xml:space="preserve">May 26, 2020, </w:t>
      </w:r>
      <w:r w:rsidRPr="00B205E3">
        <w:rPr>
          <w:rFonts w:ascii="Times New Roman" w:hAnsi="Times New Roman"/>
          <w:sz w:val="24"/>
          <w:szCs w:val="24"/>
          <w:u w:val="single"/>
        </w:rPr>
        <w:t xml:space="preserve">In </w:t>
      </w:r>
      <w:proofErr w:type="gramStart"/>
      <w:r w:rsidRPr="00B205E3">
        <w:rPr>
          <w:rFonts w:ascii="Times New Roman" w:hAnsi="Times New Roman"/>
          <w:sz w:val="24"/>
          <w:szCs w:val="24"/>
          <w:u w:val="single"/>
        </w:rPr>
        <w:t>The</w:t>
      </w:r>
      <w:proofErr w:type="gramEnd"/>
      <w:r w:rsidRPr="00B205E3">
        <w:rPr>
          <w:rFonts w:ascii="Times New Roman" w:hAnsi="Times New Roman"/>
          <w:sz w:val="24"/>
          <w:szCs w:val="24"/>
          <w:u w:val="single"/>
        </w:rPr>
        <w:t xml:space="preserve"> Matter </w:t>
      </w:r>
      <w:proofErr w:type="gramStart"/>
      <w:r w:rsidRPr="00B205E3">
        <w:rPr>
          <w:rFonts w:ascii="Times New Roman" w:hAnsi="Times New Roman"/>
          <w:sz w:val="24"/>
          <w:szCs w:val="24"/>
          <w:u w:val="single"/>
        </w:rPr>
        <w:t>Of</w:t>
      </w:r>
      <w:proofErr w:type="gramEnd"/>
      <w:r w:rsidRPr="00B205E3">
        <w:rPr>
          <w:rFonts w:ascii="Times New Roman" w:hAnsi="Times New Roman"/>
          <w:sz w:val="24"/>
          <w:szCs w:val="24"/>
          <w:u w:val="single"/>
        </w:rPr>
        <w:t xml:space="preserve"> Bernard L. Collins</w:t>
      </w:r>
      <w:r>
        <w:rPr>
          <w:rFonts w:ascii="Times New Roman" w:hAnsi="Times New Roman"/>
          <w:sz w:val="24"/>
          <w:szCs w:val="24"/>
        </w:rPr>
        <w:t xml:space="preserve">, the Court of Appeals of Maryland held (7 to 0) that Mrs. Collins was not a party to the settlement between Mr. Collins and the workers comp insurance companies for the fire department, and the settlement did not extinguish her future claim for death benefits. </w:t>
      </w:r>
      <w:hyperlink r:id="rId567" w:history="1">
        <w:r w:rsidRPr="00082B39">
          <w:rPr>
            <w:rStyle w:val="Hyperlink"/>
            <w:sz w:val="24"/>
            <w:szCs w:val="24"/>
          </w:rPr>
          <w:t>https://mdcourts.gov/data/opinions/coa/2020/49a19.pdf</w:t>
        </w:r>
      </w:hyperlink>
      <w:r>
        <w:rPr>
          <w:rFonts w:ascii="Times New Roman" w:hAnsi="Times New Roman"/>
          <w:sz w:val="24"/>
          <w:szCs w:val="24"/>
        </w:rPr>
        <w:t xml:space="preserve"> </w:t>
      </w:r>
    </w:p>
    <w:p w14:paraId="752D5DDB" w14:textId="77777777" w:rsidR="00D94DC4" w:rsidRPr="009F4A71" w:rsidRDefault="00D94DC4" w:rsidP="00D94DC4">
      <w:pPr>
        <w:spacing w:before="100" w:beforeAutospacing="1" w:after="100" w:afterAutospacing="1" w:line="240" w:lineRule="auto"/>
        <w:jc w:val="both"/>
        <w:rPr>
          <w:rFonts w:ascii="Times New Roman" w:hAnsi="Times New Roman"/>
          <w:b/>
          <w:bCs/>
          <w:sz w:val="24"/>
          <w:szCs w:val="24"/>
        </w:rPr>
      </w:pPr>
      <w:r w:rsidRPr="009F4A71">
        <w:rPr>
          <w:rFonts w:ascii="Times New Roman" w:hAnsi="Times New Roman"/>
          <w:b/>
          <w:bCs/>
          <w:sz w:val="24"/>
          <w:szCs w:val="24"/>
        </w:rPr>
        <w:t>Legal Lessons Learned:</w:t>
      </w:r>
      <w:r>
        <w:rPr>
          <w:rFonts w:ascii="Times New Roman" w:hAnsi="Times New Roman"/>
          <w:b/>
          <w:bCs/>
          <w:sz w:val="24"/>
          <w:szCs w:val="24"/>
        </w:rPr>
        <w:t xml:space="preserve"> If the insurance companies wish to negotiate a “global settlement” with an employee, that also includes waiver of future death benefits for employee’s spouse, then invite the spouse to participate in settlement discussions and sign the settlement agreement. </w:t>
      </w:r>
    </w:p>
    <w:p w14:paraId="1D60A8AA" w14:textId="77777777" w:rsidR="00D94DC4" w:rsidRDefault="00D94DC4" w:rsidP="00EF1133">
      <w:pPr>
        <w:pStyle w:val="NoSpacing"/>
        <w:rPr>
          <w:rFonts w:ascii="Arial Black" w:hAnsi="Arial Black"/>
          <w:sz w:val="24"/>
          <w:szCs w:val="24"/>
        </w:rPr>
      </w:pPr>
    </w:p>
    <w:p w14:paraId="741F4AF3" w14:textId="77777777" w:rsidR="00D94DC4" w:rsidRDefault="00D94DC4" w:rsidP="00EF1133">
      <w:pPr>
        <w:pStyle w:val="NoSpacing"/>
        <w:rPr>
          <w:rFonts w:ascii="Arial Black" w:hAnsi="Arial Black"/>
          <w:sz w:val="24"/>
          <w:szCs w:val="24"/>
        </w:rPr>
      </w:pPr>
    </w:p>
    <w:p w14:paraId="4F3E0E34" w14:textId="77777777" w:rsidR="00D94DC4" w:rsidRDefault="00D94DC4" w:rsidP="00EF1133">
      <w:pPr>
        <w:pStyle w:val="NoSpacing"/>
        <w:rPr>
          <w:rFonts w:ascii="Arial Black" w:hAnsi="Arial Black"/>
          <w:sz w:val="24"/>
          <w:szCs w:val="24"/>
        </w:rPr>
      </w:pPr>
    </w:p>
    <w:p w14:paraId="7E1A9211" w14:textId="77777777" w:rsidR="00D94DC4" w:rsidRDefault="00D94DC4" w:rsidP="00EF1133">
      <w:pPr>
        <w:pStyle w:val="NoSpacing"/>
        <w:rPr>
          <w:rFonts w:ascii="Arial Black" w:hAnsi="Arial Black"/>
          <w:sz w:val="24"/>
          <w:szCs w:val="24"/>
        </w:rPr>
      </w:pPr>
    </w:p>
    <w:p w14:paraId="12AB5088" w14:textId="1AB3C85F" w:rsidR="00D94DC4" w:rsidRDefault="00D94DC4" w:rsidP="00EF1133">
      <w:pPr>
        <w:pStyle w:val="NoSpacing"/>
        <w:rPr>
          <w:rFonts w:ascii="Arial Black" w:hAnsi="Arial Black"/>
          <w:sz w:val="24"/>
          <w:szCs w:val="24"/>
        </w:rPr>
      </w:pPr>
      <w:r>
        <w:rPr>
          <w:rFonts w:ascii="Arial Black" w:hAnsi="Arial Black"/>
          <w:sz w:val="24"/>
          <w:szCs w:val="24"/>
        </w:rPr>
        <w:t>2-33</w:t>
      </w:r>
    </w:p>
    <w:p w14:paraId="18512926" w14:textId="7CA45332" w:rsidR="00D94DC4" w:rsidRDefault="00D94DC4" w:rsidP="00EF1133">
      <w:pPr>
        <w:pStyle w:val="NoSpacing"/>
        <w:rPr>
          <w:rFonts w:ascii="Arial Black" w:hAnsi="Arial Black"/>
          <w:sz w:val="24"/>
          <w:szCs w:val="24"/>
        </w:rPr>
      </w:pPr>
    </w:p>
    <w:p w14:paraId="2C627248" w14:textId="77777777" w:rsidR="00D94DC4" w:rsidRPr="002F309C" w:rsidRDefault="00D94DC4" w:rsidP="00D94DC4">
      <w:pPr>
        <w:spacing w:before="100" w:beforeAutospacing="1" w:after="100" w:afterAutospacing="1" w:line="240" w:lineRule="auto"/>
        <w:jc w:val="both"/>
        <w:rPr>
          <w:rFonts w:ascii="Arial Black" w:eastAsia="Times New Roman" w:hAnsi="Arial Black"/>
          <w:b/>
          <w:bCs/>
          <w:sz w:val="28"/>
          <w:szCs w:val="28"/>
        </w:rPr>
      </w:pPr>
      <w:r w:rsidRPr="002F309C">
        <w:rPr>
          <w:rFonts w:ascii="Arial Black" w:eastAsia="Times New Roman" w:hAnsi="Arial Black"/>
          <w:b/>
          <w:bCs/>
          <w:sz w:val="28"/>
          <w:szCs w:val="28"/>
        </w:rPr>
        <w:t>UT:</w:t>
      </w:r>
      <w:r>
        <w:rPr>
          <w:rFonts w:ascii="Arial Black" w:eastAsia="Times New Roman" w:hAnsi="Arial Black"/>
          <w:b/>
          <w:bCs/>
          <w:sz w:val="28"/>
          <w:szCs w:val="28"/>
        </w:rPr>
        <w:t xml:space="preserve"> STATE SUPREME COURT ALLOWS FF TO SUE TREE COMPANY FOR INJURIES – “PROFESSIONAL RESCUER RULE” MODIFIED FOR GROSS NEGLIGENCE BY BUSINESS</w:t>
      </w:r>
    </w:p>
    <w:p w14:paraId="57C703BB" w14:textId="77777777" w:rsidR="00D94DC4" w:rsidRDefault="00D94DC4" w:rsidP="00D94DC4">
      <w:pPr>
        <w:spacing w:before="100" w:beforeAutospacing="1" w:after="100" w:afterAutospacing="1" w:line="240" w:lineRule="auto"/>
        <w:rPr>
          <w:rFonts w:ascii="Times New Roman" w:eastAsia="Times New Roman" w:hAnsi="Times New Roman"/>
          <w:sz w:val="24"/>
          <w:szCs w:val="24"/>
        </w:rPr>
      </w:pPr>
      <w:r w:rsidRPr="00732CA5">
        <w:rPr>
          <w:rFonts w:ascii="Times New Roman" w:eastAsia="Times New Roman" w:hAnsi="Times New Roman"/>
          <w:sz w:val="24"/>
          <w:szCs w:val="24"/>
        </w:rPr>
        <w:t xml:space="preserve">On May 20, 2020, in </w:t>
      </w:r>
      <w:r w:rsidRPr="00732CA5">
        <w:rPr>
          <w:rFonts w:ascii="Times New Roman" w:eastAsia="Times New Roman" w:hAnsi="Times New Roman"/>
          <w:sz w:val="24"/>
          <w:szCs w:val="24"/>
          <w:u w:val="single"/>
        </w:rPr>
        <w:t>David Scott Ipsen v. Diamond Tree Experts, Inc</w:t>
      </w:r>
      <w:r>
        <w:rPr>
          <w:rFonts w:ascii="Times New Roman" w:eastAsia="Times New Roman" w:hAnsi="Times New Roman"/>
          <w:sz w:val="24"/>
          <w:szCs w:val="24"/>
        </w:rPr>
        <w:t xml:space="preserve">., the Utah Supreme Court held (3 to 2) that the injured firefighter may pursue his lawsuit for damages from injuries at a mulch fire.  </w:t>
      </w:r>
      <w:hyperlink r:id="rId568" w:history="1">
        <w:r w:rsidRPr="00E26203">
          <w:rPr>
            <w:rStyle w:val="Hyperlink"/>
            <w:sz w:val="24"/>
            <w:szCs w:val="24"/>
          </w:rPr>
          <w:t>https://www.utcourts.gov/opinions/supopin/Ipsen%20v.%20Diamond%20Tree%20Experts20200520_20181052_30.pdf</w:t>
        </w:r>
      </w:hyperlink>
      <w:r>
        <w:rPr>
          <w:rFonts w:ascii="Times New Roman" w:eastAsia="Times New Roman" w:hAnsi="Times New Roman"/>
          <w:sz w:val="24"/>
          <w:szCs w:val="24"/>
        </w:rPr>
        <w:t xml:space="preserve"> </w:t>
      </w:r>
    </w:p>
    <w:p w14:paraId="7BC51353" w14:textId="77777777" w:rsidR="00D94DC4" w:rsidRDefault="00D94DC4" w:rsidP="00D94DC4">
      <w:pPr>
        <w:spacing w:before="100" w:beforeAutospacing="1" w:after="100" w:afterAutospacing="1" w:line="240" w:lineRule="auto"/>
        <w:jc w:val="both"/>
        <w:rPr>
          <w:rFonts w:ascii="Times New Roman" w:hAnsi="Times New Roman"/>
          <w:b/>
          <w:bCs/>
          <w:sz w:val="24"/>
          <w:szCs w:val="24"/>
        </w:rPr>
      </w:pPr>
      <w:r w:rsidRPr="00732CA5">
        <w:rPr>
          <w:rFonts w:ascii="Times New Roman" w:hAnsi="Times New Roman"/>
          <w:b/>
          <w:bCs/>
          <w:sz w:val="24"/>
          <w:szCs w:val="24"/>
        </w:rPr>
        <w:t>Legal Lessons Learned:</w:t>
      </w:r>
      <w:r>
        <w:rPr>
          <w:rFonts w:ascii="Times New Roman" w:hAnsi="Times New Roman"/>
          <w:b/>
          <w:bCs/>
          <w:sz w:val="24"/>
          <w:szCs w:val="24"/>
        </w:rPr>
        <w:t xml:space="preserve"> A significant decision on behalf of all Utah emergency responders. </w:t>
      </w:r>
    </w:p>
    <w:p w14:paraId="47188E70" w14:textId="77777777" w:rsidR="00D94DC4" w:rsidRDefault="00D94DC4" w:rsidP="00EF1133">
      <w:pPr>
        <w:pStyle w:val="NoSpacing"/>
        <w:rPr>
          <w:rFonts w:ascii="Arial Black" w:hAnsi="Arial Black"/>
          <w:sz w:val="24"/>
          <w:szCs w:val="24"/>
        </w:rPr>
      </w:pPr>
    </w:p>
    <w:p w14:paraId="312A2A5F" w14:textId="77777777" w:rsidR="00D94DC4" w:rsidRDefault="00D94DC4" w:rsidP="00EF1133">
      <w:pPr>
        <w:pStyle w:val="NoSpacing"/>
        <w:rPr>
          <w:rFonts w:ascii="Arial Black" w:hAnsi="Arial Black"/>
          <w:sz w:val="24"/>
          <w:szCs w:val="24"/>
        </w:rPr>
      </w:pPr>
    </w:p>
    <w:p w14:paraId="074189AD" w14:textId="77777777" w:rsidR="00D94DC4" w:rsidRDefault="00D94DC4" w:rsidP="00EF1133">
      <w:pPr>
        <w:pStyle w:val="NoSpacing"/>
        <w:rPr>
          <w:rFonts w:ascii="Arial Black" w:hAnsi="Arial Black"/>
          <w:sz w:val="24"/>
          <w:szCs w:val="24"/>
        </w:rPr>
      </w:pPr>
    </w:p>
    <w:p w14:paraId="0A3C4C89" w14:textId="39A843E5" w:rsidR="00D94DC4" w:rsidRDefault="00D94DC4" w:rsidP="00EF1133">
      <w:pPr>
        <w:pStyle w:val="NoSpacing"/>
        <w:rPr>
          <w:rFonts w:ascii="Arial Black" w:hAnsi="Arial Black"/>
          <w:sz w:val="24"/>
          <w:szCs w:val="24"/>
        </w:rPr>
      </w:pPr>
      <w:r>
        <w:rPr>
          <w:rFonts w:ascii="Arial Black" w:hAnsi="Arial Black"/>
          <w:sz w:val="24"/>
          <w:szCs w:val="24"/>
        </w:rPr>
        <w:t>2-32</w:t>
      </w:r>
    </w:p>
    <w:p w14:paraId="47FC753C" w14:textId="77777777" w:rsidR="00D94DC4" w:rsidRPr="001C57D1" w:rsidRDefault="00D94DC4" w:rsidP="00D94DC4">
      <w:pPr>
        <w:spacing w:before="100" w:beforeAutospacing="1" w:after="100" w:afterAutospacing="1" w:line="240" w:lineRule="auto"/>
        <w:jc w:val="both"/>
        <w:rPr>
          <w:rFonts w:ascii="Arial Black" w:eastAsia="Times New Roman" w:hAnsi="Arial Black"/>
          <w:b/>
          <w:bCs/>
          <w:sz w:val="28"/>
          <w:szCs w:val="28"/>
        </w:rPr>
      </w:pPr>
      <w:r w:rsidRPr="001C57D1">
        <w:rPr>
          <w:rFonts w:ascii="Arial Black" w:eastAsia="Times New Roman" w:hAnsi="Arial Black"/>
          <w:b/>
          <w:bCs/>
          <w:sz w:val="28"/>
          <w:szCs w:val="28"/>
        </w:rPr>
        <w:t xml:space="preserve">CA: </w:t>
      </w:r>
      <w:r>
        <w:rPr>
          <w:rFonts w:ascii="Arial Black" w:eastAsia="Times New Roman" w:hAnsi="Arial Black"/>
          <w:b/>
          <w:bCs/>
          <w:sz w:val="28"/>
          <w:szCs w:val="28"/>
        </w:rPr>
        <w:t>LODD – AIR TANKER MISTAKENLY DROPPED RETARDENT 100 FEET ABOVE FF – DOUGLAS FIR TREE KILLED FF – WIFE CANNOT SUE STATE OR TANKER CO – GOV’T IMMUNITY</w:t>
      </w:r>
    </w:p>
    <w:p w14:paraId="7D2322D6" w14:textId="554B6F3A" w:rsidR="00D94DC4" w:rsidRDefault="00D94DC4" w:rsidP="00D94DC4">
      <w:pPr>
        <w:pStyle w:val="NoSpacing"/>
        <w:rPr>
          <w:rFonts w:ascii="Arial Black" w:hAnsi="Arial Black"/>
          <w:sz w:val="24"/>
          <w:szCs w:val="24"/>
        </w:rPr>
      </w:pPr>
      <w:r w:rsidRPr="002B61F4">
        <w:rPr>
          <w:rFonts w:ascii="Times New Roman" w:eastAsia="Times New Roman" w:hAnsi="Times New Roman"/>
          <w:sz w:val="24"/>
          <w:szCs w:val="24"/>
        </w:rPr>
        <w:t>On May 19, 2020, in</w:t>
      </w:r>
      <w:r>
        <w:rPr>
          <w:rFonts w:ascii="Times New Roman" w:eastAsia="Times New Roman" w:hAnsi="Times New Roman"/>
          <w:sz w:val="24"/>
          <w:szCs w:val="24"/>
        </w:rPr>
        <w:t xml:space="preserve"> </w:t>
      </w:r>
      <w:r w:rsidRPr="002B61F4">
        <w:rPr>
          <w:rFonts w:ascii="Times New Roman" w:eastAsia="Times New Roman" w:hAnsi="Times New Roman"/>
          <w:sz w:val="24"/>
          <w:szCs w:val="24"/>
          <w:u w:val="single"/>
        </w:rPr>
        <w:t xml:space="preserve">Heather Burchett v. State of California Department of Forestry </w:t>
      </w:r>
      <w:proofErr w:type="gramStart"/>
      <w:r w:rsidRPr="002B61F4">
        <w:rPr>
          <w:rFonts w:ascii="Times New Roman" w:eastAsia="Times New Roman" w:hAnsi="Times New Roman"/>
          <w:sz w:val="24"/>
          <w:szCs w:val="24"/>
          <w:u w:val="single"/>
        </w:rPr>
        <w:t>And</w:t>
      </w:r>
      <w:proofErr w:type="gramEnd"/>
      <w:r w:rsidRPr="002B61F4">
        <w:rPr>
          <w:rFonts w:ascii="Times New Roman" w:eastAsia="Times New Roman" w:hAnsi="Times New Roman"/>
          <w:sz w:val="24"/>
          <w:szCs w:val="24"/>
          <w:u w:val="single"/>
        </w:rPr>
        <w:t xml:space="preserve"> Fire Protection, et al.</w:t>
      </w:r>
      <w:r>
        <w:rPr>
          <w:rFonts w:ascii="Times New Roman" w:eastAsia="Times New Roman" w:hAnsi="Times New Roman"/>
          <w:sz w:val="24"/>
          <w:szCs w:val="24"/>
        </w:rPr>
        <w:t xml:space="preserve">, U.S. District Court Judge Morrison C. England, Jr., Eastern District of California, granted motion to dismiss by CalFire and by Global Super Tanker Service, LLC.  </w:t>
      </w:r>
      <w:hyperlink r:id="rId569" w:history="1">
        <w:r w:rsidRPr="00E74BA3">
          <w:rPr>
            <w:rStyle w:val="Hyperlink"/>
            <w:rFonts w:ascii="Times New Roman" w:eastAsia="Times New Roman" w:hAnsi="Times New Roman"/>
            <w:sz w:val="24"/>
            <w:szCs w:val="24"/>
          </w:rPr>
          <w:t>https://www.leagle.com/decision/infdco20200526m70</w:t>
        </w:r>
      </w:hyperlink>
    </w:p>
    <w:p w14:paraId="2538CC1D" w14:textId="77777777" w:rsidR="00D94DC4" w:rsidRDefault="00D94DC4" w:rsidP="00D94DC4">
      <w:pPr>
        <w:spacing w:before="100" w:beforeAutospacing="1" w:after="100" w:afterAutospacing="1" w:line="240" w:lineRule="auto"/>
        <w:jc w:val="both"/>
        <w:rPr>
          <w:rFonts w:ascii="Times New Roman" w:eastAsia="Times New Roman" w:hAnsi="Times New Roman"/>
          <w:b/>
          <w:bCs/>
          <w:sz w:val="24"/>
          <w:szCs w:val="24"/>
        </w:rPr>
      </w:pPr>
      <w:r w:rsidRPr="00424A1E">
        <w:rPr>
          <w:rFonts w:ascii="Times New Roman" w:eastAsia="Times New Roman" w:hAnsi="Times New Roman"/>
          <w:b/>
          <w:bCs/>
          <w:sz w:val="24"/>
          <w:szCs w:val="24"/>
        </w:rPr>
        <w:t xml:space="preserve">Legal Lessons Learned: </w:t>
      </w:r>
      <w:r>
        <w:rPr>
          <w:rFonts w:ascii="Times New Roman" w:eastAsia="Times New Roman" w:hAnsi="Times New Roman"/>
          <w:b/>
          <w:bCs/>
          <w:sz w:val="24"/>
          <w:szCs w:val="24"/>
        </w:rPr>
        <w:t xml:space="preserve">What a tragic loss of life. </w:t>
      </w:r>
      <w:r w:rsidRPr="00424A1E">
        <w:rPr>
          <w:rFonts w:ascii="Times New Roman" w:eastAsia="Times New Roman" w:hAnsi="Times New Roman"/>
          <w:b/>
          <w:bCs/>
          <w:sz w:val="24"/>
          <w:szCs w:val="24"/>
        </w:rPr>
        <w:t xml:space="preserve">Government and qualified immunity are important legal protections for both government employees, and private companies rendering emergency services under contract with government. </w:t>
      </w:r>
    </w:p>
    <w:p w14:paraId="0EFB4BD4" w14:textId="77777777" w:rsidR="00D94DC4" w:rsidRPr="00AA6F39" w:rsidRDefault="00D94DC4" w:rsidP="00D94DC4">
      <w:pPr>
        <w:pStyle w:val="Heading1"/>
        <w:ind w:left="720"/>
        <w:jc w:val="both"/>
        <w:rPr>
          <w:b w:val="0"/>
          <w:bCs w:val="0"/>
          <w:sz w:val="24"/>
          <w:szCs w:val="24"/>
        </w:rPr>
      </w:pPr>
      <w:r w:rsidRPr="00424A1E">
        <w:rPr>
          <w:b w:val="0"/>
          <w:bCs w:val="0"/>
          <w:sz w:val="24"/>
          <w:szCs w:val="24"/>
        </w:rPr>
        <w:t xml:space="preserve">Note: See Sept. 11, </w:t>
      </w:r>
      <w:proofErr w:type="gramStart"/>
      <w:r w:rsidRPr="00424A1E">
        <w:rPr>
          <w:b w:val="0"/>
          <w:bCs w:val="0"/>
          <w:sz w:val="24"/>
          <w:szCs w:val="24"/>
        </w:rPr>
        <w:t>2019</w:t>
      </w:r>
      <w:proofErr w:type="gramEnd"/>
      <w:r w:rsidRPr="00424A1E">
        <w:rPr>
          <w:b w:val="0"/>
          <w:bCs w:val="0"/>
          <w:sz w:val="24"/>
          <w:szCs w:val="24"/>
        </w:rPr>
        <w:t xml:space="preserve"> article: “Family of fallen Draper firefighter suing California for wrongful death,”</w:t>
      </w:r>
      <w:r>
        <w:rPr>
          <w:b w:val="0"/>
          <w:bCs w:val="0"/>
          <w:sz w:val="24"/>
          <w:szCs w:val="24"/>
        </w:rPr>
        <w:t xml:space="preserve"> </w:t>
      </w:r>
      <w:hyperlink r:id="rId570" w:history="1">
        <w:r w:rsidRPr="00AA6F39">
          <w:rPr>
            <w:rStyle w:val="Hyperlink"/>
            <w:b w:val="0"/>
            <w:bCs w:val="0"/>
            <w:sz w:val="24"/>
            <w:szCs w:val="24"/>
          </w:rPr>
          <w:t>https://fox13now.com/2019/09/11/family-of-fallen-draper-firefighter-suing-state-of-california-for-wrongful-death/</w:t>
        </w:r>
      </w:hyperlink>
      <w:r w:rsidRPr="00AA6F39">
        <w:rPr>
          <w:b w:val="0"/>
          <w:bCs w:val="0"/>
          <w:sz w:val="24"/>
          <w:szCs w:val="24"/>
        </w:rPr>
        <w:t xml:space="preserve"> </w:t>
      </w:r>
    </w:p>
    <w:p w14:paraId="4C430ABF" w14:textId="77777777" w:rsidR="00D94DC4" w:rsidRDefault="00D94DC4" w:rsidP="00EF1133">
      <w:pPr>
        <w:pStyle w:val="NoSpacing"/>
        <w:rPr>
          <w:rFonts w:ascii="Arial Black" w:hAnsi="Arial Black"/>
          <w:sz w:val="24"/>
          <w:szCs w:val="24"/>
        </w:rPr>
      </w:pPr>
    </w:p>
    <w:p w14:paraId="73EDEB16" w14:textId="77777777" w:rsidR="00D94DC4" w:rsidRDefault="00D94DC4" w:rsidP="00EF1133">
      <w:pPr>
        <w:pStyle w:val="NoSpacing"/>
        <w:rPr>
          <w:rFonts w:ascii="Arial Black" w:hAnsi="Arial Black"/>
          <w:sz w:val="24"/>
          <w:szCs w:val="24"/>
        </w:rPr>
      </w:pPr>
    </w:p>
    <w:p w14:paraId="26E8575A" w14:textId="43000C8A" w:rsidR="00D94DC4" w:rsidRDefault="00D94DC4" w:rsidP="00EF1133">
      <w:pPr>
        <w:pStyle w:val="NoSpacing"/>
        <w:rPr>
          <w:rFonts w:ascii="Arial Black" w:hAnsi="Arial Black"/>
          <w:sz w:val="24"/>
          <w:szCs w:val="24"/>
        </w:rPr>
      </w:pPr>
      <w:r>
        <w:rPr>
          <w:rFonts w:ascii="Arial Black" w:hAnsi="Arial Black"/>
          <w:sz w:val="24"/>
          <w:szCs w:val="24"/>
        </w:rPr>
        <w:t>2-31</w:t>
      </w:r>
    </w:p>
    <w:p w14:paraId="4908EBC2" w14:textId="7649605E" w:rsidR="00D94DC4" w:rsidRDefault="00D94DC4" w:rsidP="00EF1133">
      <w:pPr>
        <w:pStyle w:val="NoSpacing"/>
        <w:rPr>
          <w:rFonts w:ascii="Arial Black" w:hAnsi="Arial Black"/>
          <w:sz w:val="24"/>
          <w:szCs w:val="24"/>
        </w:rPr>
      </w:pPr>
    </w:p>
    <w:p w14:paraId="23B4B7D3" w14:textId="27FD28B4" w:rsidR="00D94DC4" w:rsidRDefault="00D94DC4" w:rsidP="00D94DC4">
      <w:pPr>
        <w:spacing w:before="100" w:beforeAutospacing="1" w:after="100" w:afterAutospacing="1" w:line="240" w:lineRule="auto"/>
        <w:rPr>
          <w:rFonts w:ascii="Arial Black" w:eastAsia="Times New Roman" w:hAnsi="Arial Black"/>
          <w:b/>
          <w:bCs/>
          <w:sz w:val="28"/>
          <w:szCs w:val="28"/>
        </w:rPr>
      </w:pPr>
      <w:bookmarkStart w:id="96" w:name="_Hlk66941515"/>
      <w:r w:rsidRPr="006B1CC1">
        <w:rPr>
          <w:rFonts w:ascii="Arial Black" w:eastAsia="Times New Roman" w:hAnsi="Arial Black"/>
          <w:b/>
          <w:bCs/>
          <w:sz w:val="28"/>
          <w:szCs w:val="28"/>
        </w:rPr>
        <w:lastRenderedPageBreak/>
        <w:t>OK:</w:t>
      </w:r>
      <w:r>
        <w:rPr>
          <w:rFonts w:ascii="Arial Black" w:eastAsia="Times New Roman" w:hAnsi="Arial Black"/>
          <w:b/>
          <w:bCs/>
          <w:sz w:val="28"/>
          <w:szCs w:val="28"/>
        </w:rPr>
        <w:t xml:space="preserve"> FF LODD – FF SUCKED INTO </w:t>
      </w:r>
      <w:proofErr w:type="gramStart"/>
      <w:r>
        <w:rPr>
          <w:rFonts w:ascii="Arial Black" w:eastAsia="Times New Roman" w:hAnsi="Arial Black"/>
          <w:b/>
          <w:bCs/>
          <w:sz w:val="28"/>
          <w:szCs w:val="28"/>
        </w:rPr>
        <w:t>DRAIN PIPE</w:t>
      </w:r>
      <w:proofErr w:type="gramEnd"/>
      <w:r>
        <w:rPr>
          <w:rFonts w:ascii="Arial Black" w:eastAsia="Times New Roman" w:hAnsi="Arial Black"/>
          <w:b/>
          <w:bCs/>
          <w:sz w:val="28"/>
          <w:szCs w:val="28"/>
        </w:rPr>
        <w:t xml:space="preserve"> / NO SAFETY GATE – WORKERS COMP IS WIDOW’S SOLE REMEDY – AMAZING THAT SECOND FF ALSO SUCKED INO PIPE BUT SURVIVED</w:t>
      </w:r>
    </w:p>
    <w:p w14:paraId="16F64622" w14:textId="456D1998" w:rsidR="00D94DC4" w:rsidRPr="006B1CC1" w:rsidRDefault="00D94DC4" w:rsidP="00D94DC4">
      <w:pPr>
        <w:spacing w:before="100" w:beforeAutospacing="1" w:after="100" w:afterAutospacing="1" w:line="240" w:lineRule="auto"/>
        <w:rPr>
          <w:rFonts w:ascii="Times New Roman" w:eastAsia="Times New Roman" w:hAnsi="Times New Roman"/>
          <w:sz w:val="24"/>
          <w:szCs w:val="24"/>
        </w:rPr>
      </w:pPr>
      <w:r w:rsidRPr="006B1CC1">
        <w:rPr>
          <w:rFonts w:ascii="Times New Roman" w:eastAsia="Times New Roman" w:hAnsi="Times New Roman"/>
          <w:sz w:val="24"/>
          <w:szCs w:val="24"/>
        </w:rPr>
        <w:t xml:space="preserve">On May 5, 2020, in </w:t>
      </w:r>
      <w:r w:rsidRPr="006B1CC1">
        <w:rPr>
          <w:rFonts w:ascii="Times New Roman" w:eastAsia="Times New Roman" w:hAnsi="Times New Roman"/>
          <w:sz w:val="24"/>
          <w:szCs w:val="24"/>
          <w:u w:val="single"/>
        </w:rPr>
        <w:t>Shelli Farley v. City of Claremore</w:t>
      </w:r>
      <w:r>
        <w:rPr>
          <w:rFonts w:ascii="Times New Roman" w:eastAsia="Times New Roman" w:hAnsi="Times New Roman"/>
          <w:sz w:val="24"/>
          <w:szCs w:val="24"/>
        </w:rPr>
        <w:t xml:space="preserve">, </w:t>
      </w:r>
      <w:r w:rsidRPr="006C380A">
        <w:rPr>
          <w:rFonts w:ascii="Times New Roman" w:eastAsia="Times New Roman" w:hAnsi="Times New Roman"/>
          <w:sz w:val="24"/>
          <w:szCs w:val="24"/>
        </w:rPr>
        <w:t>2020 OK 30</w:t>
      </w:r>
      <w:r>
        <w:rPr>
          <w:rFonts w:ascii="Times New Roman" w:eastAsia="Times New Roman" w:hAnsi="Times New Roman"/>
          <w:sz w:val="24"/>
          <w:szCs w:val="24"/>
        </w:rPr>
        <w:t xml:space="preserve">, the Oklahoma Supreme Court held (8 to 1) that the surviving spouse’s lawsuit for negligence and intentional tort was properly dismissed by the trial court.  </w:t>
      </w:r>
      <w:r w:rsidRPr="00350EDC">
        <w:rPr>
          <w:rFonts w:ascii="Times New Roman" w:eastAsia="Times New Roman" w:hAnsi="Times New Roman"/>
          <w:sz w:val="24"/>
          <w:szCs w:val="24"/>
        </w:rPr>
        <w:t>“T</w:t>
      </w:r>
      <w:r w:rsidRPr="00350EDC">
        <w:rPr>
          <w:rFonts w:ascii="Times New Roman" w:hAnsi="Times New Roman"/>
          <w:sz w:val="24"/>
          <w:szCs w:val="24"/>
        </w:rPr>
        <w:t>he wrongful death injury was adjudicated and compensated by a successful workers' compensation claim after the death of the decedent. This successful adjudication demonstrates the decedent's injury was exclusively before the Commission and not cognizable as a District Court claim at the time of dec</w:t>
      </w:r>
      <w:r>
        <w:rPr>
          <w:rFonts w:ascii="Times New Roman" w:hAnsi="Times New Roman"/>
          <w:sz w:val="24"/>
          <w:szCs w:val="24"/>
        </w:rPr>
        <w:t>e</w:t>
      </w:r>
      <w:r w:rsidRPr="00350EDC">
        <w:rPr>
          <w:rFonts w:ascii="Times New Roman" w:hAnsi="Times New Roman"/>
          <w:sz w:val="24"/>
          <w:szCs w:val="24"/>
        </w:rPr>
        <w:t>dent's death.”</w:t>
      </w:r>
      <w:r>
        <w:rPr>
          <w:rFonts w:ascii="Times New Roman" w:hAnsi="Times New Roman"/>
          <w:sz w:val="24"/>
          <w:szCs w:val="24"/>
        </w:rPr>
        <w:t xml:space="preserve"> </w:t>
      </w:r>
      <w:hyperlink r:id="rId571" w:history="1">
        <w:r w:rsidRPr="008C168C">
          <w:rPr>
            <w:rStyle w:val="Hyperlink"/>
            <w:sz w:val="24"/>
            <w:szCs w:val="24"/>
          </w:rPr>
          <w:t>https://www.oscn.net/applications/oscn/deliverdocument.asp?citeid=486529</w:t>
        </w:r>
      </w:hyperlink>
      <w:r>
        <w:rPr>
          <w:rFonts w:ascii="Times New Roman" w:eastAsia="Times New Roman" w:hAnsi="Times New Roman"/>
          <w:sz w:val="24"/>
          <w:szCs w:val="24"/>
        </w:rPr>
        <w:t xml:space="preserve"> </w:t>
      </w:r>
    </w:p>
    <w:p w14:paraId="28BA5CE4" w14:textId="77777777" w:rsidR="00D94DC4" w:rsidRPr="006C380A" w:rsidRDefault="00D94DC4" w:rsidP="00D94DC4">
      <w:pPr>
        <w:spacing w:before="100" w:beforeAutospacing="1" w:after="100" w:afterAutospacing="1" w:line="240" w:lineRule="auto"/>
        <w:jc w:val="both"/>
        <w:rPr>
          <w:rFonts w:ascii="Times New Roman" w:hAnsi="Times New Roman"/>
          <w:b/>
          <w:bCs/>
          <w:sz w:val="24"/>
          <w:szCs w:val="24"/>
        </w:rPr>
      </w:pPr>
      <w:r w:rsidRPr="006C380A">
        <w:rPr>
          <w:rFonts w:ascii="Times New Roman" w:hAnsi="Times New Roman"/>
          <w:b/>
          <w:bCs/>
          <w:sz w:val="24"/>
          <w:szCs w:val="24"/>
        </w:rPr>
        <w:t>Legal Lessons Learned:</w:t>
      </w:r>
      <w:r>
        <w:rPr>
          <w:rFonts w:ascii="Times New Roman" w:hAnsi="Times New Roman"/>
          <w:b/>
          <w:bCs/>
          <w:sz w:val="24"/>
          <w:szCs w:val="24"/>
        </w:rPr>
        <w:t xml:space="preserve"> Tragic loss of life, but workers comp is sole remedy. </w:t>
      </w:r>
    </w:p>
    <w:p w14:paraId="7802EFC1" w14:textId="108A528D" w:rsidR="00D94DC4" w:rsidRPr="00D94DC4" w:rsidRDefault="00D94DC4" w:rsidP="00D94DC4">
      <w:pPr>
        <w:pStyle w:val="NoSpacing"/>
        <w:ind w:left="720"/>
        <w:rPr>
          <w:rFonts w:ascii="Times New Roman" w:hAnsi="Times New Roman"/>
          <w:sz w:val="24"/>
          <w:szCs w:val="24"/>
        </w:rPr>
      </w:pPr>
      <w:r w:rsidRPr="00D94DC4">
        <w:rPr>
          <w:rFonts w:ascii="Times New Roman" w:hAnsi="Times New Roman"/>
          <w:sz w:val="24"/>
          <w:szCs w:val="24"/>
        </w:rPr>
        <w:t xml:space="preserve">Note: See this May 28, </w:t>
      </w:r>
      <w:proofErr w:type="gramStart"/>
      <w:r w:rsidRPr="00D94DC4">
        <w:rPr>
          <w:rFonts w:ascii="Times New Roman" w:hAnsi="Times New Roman"/>
          <w:sz w:val="24"/>
          <w:szCs w:val="24"/>
        </w:rPr>
        <w:t>2015</w:t>
      </w:r>
      <w:proofErr w:type="gramEnd"/>
      <w:r w:rsidRPr="00D94DC4">
        <w:rPr>
          <w:rFonts w:ascii="Times New Roman" w:hAnsi="Times New Roman"/>
          <w:sz w:val="24"/>
          <w:szCs w:val="24"/>
        </w:rPr>
        <w:t xml:space="preserve"> article, “Firefighter's death highlights municipal storm drain dangers.” CLAREMORE, Okla. — “The drowning of an Oklahoma firefighter and a Texas teenager in storms that swept through those states highlight the persistent dangers posed by storm drains that help protect neighborhoods during flash flooding but can suck in unsuspecting residents and rescue workers.” </w:t>
      </w:r>
      <w:hyperlink r:id="rId572" w:history="1">
        <w:r w:rsidRPr="00D94DC4">
          <w:rPr>
            <w:rStyle w:val="Hyperlink"/>
            <w:rFonts w:ascii="Times New Roman" w:hAnsi="Times New Roman"/>
            <w:sz w:val="24"/>
            <w:szCs w:val="24"/>
          </w:rPr>
          <w:t>https://www.firerescue1.com/firefighter-training/articles/firefighters-death-highlights-municipal-storm-drain-dangers-VaH0e7nB3CMWpKRS/</w:t>
        </w:r>
      </w:hyperlink>
    </w:p>
    <w:p w14:paraId="5926B190" w14:textId="77777777" w:rsidR="00D94DC4" w:rsidRPr="00D94DC4" w:rsidRDefault="00D94DC4" w:rsidP="00EF1133">
      <w:pPr>
        <w:pStyle w:val="NoSpacing"/>
        <w:rPr>
          <w:rFonts w:ascii="Times New Roman" w:hAnsi="Times New Roman"/>
          <w:sz w:val="24"/>
          <w:szCs w:val="24"/>
        </w:rPr>
      </w:pPr>
    </w:p>
    <w:p w14:paraId="334409D7" w14:textId="77777777" w:rsidR="00D94DC4" w:rsidRDefault="00D94DC4" w:rsidP="00EF1133">
      <w:pPr>
        <w:pStyle w:val="NoSpacing"/>
        <w:rPr>
          <w:rFonts w:ascii="Arial Black" w:hAnsi="Arial Black"/>
          <w:sz w:val="24"/>
          <w:szCs w:val="24"/>
        </w:rPr>
      </w:pPr>
    </w:p>
    <w:bookmarkEnd w:id="96"/>
    <w:p w14:paraId="5629E78A" w14:textId="3C76C3D8" w:rsidR="005F0E6D" w:rsidRDefault="005F0E6D" w:rsidP="00EF1133">
      <w:pPr>
        <w:pStyle w:val="NoSpacing"/>
        <w:rPr>
          <w:rFonts w:ascii="Arial Black" w:hAnsi="Arial Black"/>
          <w:sz w:val="24"/>
          <w:szCs w:val="24"/>
        </w:rPr>
      </w:pPr>
      <w:r>
        <w:rPr>
          <w:rFonts w:ascii="Arial Black" w:hAnsi="Arial Black"/>
          <w:sz w:val="24"/>
          <w:szCs w:val="24"/>
        </w:rPr>
        <w:t>2-30</w:t>
      </w:r>
    </w:p>
    <w:p w14:paraId="0EEB77F1" w14:textId="7A652234" w:rsidR="005F0E6D" w:rsidRDefault="005F0E6D" w:rsidP="00EF1133">
      <w:pPr>
        <w:pStyle w:val="NoSpacing"/>
        <w:rPr>
          <w:rFonts w:ascii="Arial Black" w:hAnsi="Arial Black"/>
          <w:sz w:val="24"/>
          <w:szCs w:val="24"/>
        </w:rPr>
      </w:pPr>
    </w:p>
    <w:p w14:paraId="26AF9928" w14:textId="77777777" w:rsidR="005F0E6D" w:rsidRDefault="005F0E6D" w:rsidP="005F0E6D">
      <w:pPr>
        <w:pStyle w:val="NoSpacing"/>
        <w:rPr>
          <w:rFonts w:ascii="Arial Black" w:hAnsi="Arial Black"/>
          <w:b/>
          <w:bCs/>
          <w:sz w:val="28"/>
          <w:szCs w:val="28"/>
        </w:rPr>
      </w:pPr>
      <w:r w:rsidRPr="00017D6B">
        <w:rPr>
          <w:rFonts w:ascii="Arial Black" w:hAnsi="Arial Black"/>
          <w:bCs/>
          <w:sz w:val="28"/>
          <w:szCs w:val="28"/>
        </w:rPr>
        <w:t xml:space="preserve">MI: </w:t>
      </w:r>
      <w:r>
        <w:rPr>
          <w:rFonts w:ascii="Arial Black" w:hAnsi="Arial Black"/>
          <w:bCs/>
          <w:sz w:val="28"/>
          <w:szCs w:val="28"/>
        </w:rPr>
        <w:t xml:space="preserve"> FF LODD – VACANT HOUSE FILE – MURDER CONV UPHELD - DEF. PAID EMPLOYEE BURN HOUSE, INSURANCE</w:t>
      </w:r>
    </w:p>
    <w:p w14:paraId="39936B7F" w14:textId="77777777" w:rsidR="005F0E6D" w:rsidRDefault="005F0E6D" w:rsidP="005F0E6D">
      <w:pPr>
        <w:pStyle w:val="NoSpacing"/>
        <w:rPr>
          <w:b/>
          <w:bCs/>
          <w:sz w:val="24"/>
          <w:szCs w:val="24"/>
        </w:rPr>
      </w:pPr>
    </w:p>
    <w:p w14:paraId="678FCA6A" w14:textId="77777777" w:rsidR="005F0E6D" w:rsidRPr="00976742" w:rsidRDefault="005F0E6D" w:rsidP="005F0E6D">
      <w:pPr>
        <w:pStyle w:val="NoSpacing"/>
        <w:rPr>
          <w:rFonts w:ascii="Times New Roman" w:hAnsi="Times New Roman"/>
          <w:b/>
          <w:bCs/>
          <w:sz w:val="24"/>
          <w:szCs w:val="24"/>
        </w:rPr>
      </w:pPr>
      <w:r w:rsidRPr="00976742">
        <w:rPr>
          <w:rFonts w:ascii="Times New Roman" w:hAnsi="Times New Roman"/>
          <w:bCs/>
          <w:sz w:val="24"/>
          <w:szCs w:val="24"/>
        </w:rPr>
        <w:t xml:space="preserve">On April 16, 2020, in </w:t>
      </w:r>
      <w:r w:rsidRPr="00976742">
        <w:rPr>
          <w:rFonts w:ascii="Times New Roman" w:hAnsi="Times New Roman"/>
          <w:bCs/>
          <w:sz w:val="24"/>
          <w:szCs w:val="24"/>
          <w:u w:val="single"/>
        </w:rPr>
        <w:t>People of State of Michigan v. Mario Willis</w:t>
      </w:r>
      <w:r w:rsidRPr="00976742">
        <w:rPr>
          <w:rFonts w:ascii="Times New Roman" w:hAnsi="Times New Roman"/>
          <w:bCs/>
          <w:sz w:val="24"/>
          <w:szCs w:val="24"/>
        </w:rPr>
        <w:t xml:space="preserve">, the State of Michigan Court of Appeals, in an unpublished opinion, held (3 to 0) that after jury convicted defendant of second-degree murder in death of Detroit Firefighter Walter Harris and arson. The defendant paid an employee to set fire to a home owned by defendant’s girlfriend. The house had been damaged in a previous fire, and defendant’s girlfriend had received insurance proceeds to repair the damage.  Court of Appeals </w:t>
      </w:r>
      <w:proofErr w:type="gramStart"/>
      <w:r w:rsidRPr="00976742">
        <w:rPr>
          <w:rFonts w:ascii="Times New Roman" w:hAnsi="Times New Roman"/>
          <w:bCs/>
          <w:sz w:val="24"/>
          <w:szCs w:val="24"/>
        </w:rPr>
        <w:t>remanded case for</w:t>
      </w:r>
      <w:proofErr w:type="gramEnd"/>
      <w:r w:rsidRPr="00976742">
        <w:rPr>
          <w:rFonts w:ascii="Times New Roman" w:hAnsi="Times New Roman"/>
          <w:bCs/>
          <w:sz w:val="24"/>
          <w:szCs w:val="24"/>
        </w:rPr>
        <w:t xml:space="preserve"> </w:t>
      </w:r>
      <w:proofErr w:type="gramStart"/>
      <w:r w:rsidRPr="00976742">
        <w:rPr>
          <w:rFonts w:ascii="Times New Roman" w:hAnsi="Times New Roman"/>
          <w:bCs/>
          <w:sz w:val="24"/>
          <w:szCs w:val="24"/>
        </w:rPr>
        <w:t>resentencing</w:t>
      </w:r>
      <w:proofErr w:type="gramEnd"/>
      <w:r w:rsidRPr="00976742">
        <w:rPr>
          <w:rFonts w:ascii="Times New Roman" w:hAnsi="Times New Roman"/>
          <w:bCs/>
          <w:sz w:val="24"/>
          <w:szCs w:val="24"/>
        </w:rPr>
        <w:t xml:space="preserve">, so trial judge can explain why he imposed an enhanced minimum sentence. The original sentence was “500 to 750 months for the second-degree murder conviction and 10 to 20 years for the arson of a dwelling-house conviction.”   </w:t>
      </w:r>
    </w:p>
    <w:p w14:paraId="12553833" w14:textId="77777777" w:rsidR="005F0E6D" w:rsidRPr="00976742" w:rsidRDefault="005F0E6D" w:rsidP="005F0E6D">
      <w:pPr>
        <w:pStyle w:val="NoSpacing"/>
        <w:rPr>
          <w:rFonts w:ascii="Times New Roman" w:hAnsi="Times New Roman"/>
          <w:b/>
          <w:bCs/>
          <w:sz w:val="24"/>
          <w:szCs w:val="24"/>
        </w:rPr>
      </w:pPr>
    </w:p>
    <w:p w14:paraId="6A59C162" w14:textId="77777777" w:rsidR="005F0E6D" w:rsidRPr="00976742" w:rsidRDefault="005F0E6D" w:rsidP="005F0E6D">
      <w:pPr>
        <w:pStyle w:val="NoSpacing"/>
        <w:ind w:left="720"/>
        <w:rPr>
          <w:rFonts w:ascii="Times New Roman" w:hAnsi="Times New Roman"/>
          <w:b/>
          <w:bCs/>
          <w:sz w:val="24"/>
          <w:szCs w:val="24"/>
        </w:rPr>
      </w:pPr>
      <w:bookmarkStart w:id="97" w:name="_Hlk39765464"/>
      <w:r w:rsidRPr="00976742">
        <w:rPr>
          <w:rFonts w:ascii="Times New Roman" w:hAnsi="Times New Roman"/>
          <w:bCs/>
          <w:sz w:val="24"/>
          <w:szCs w:val="24"/>
        </w:rPr>
        <w:t>“[J]</w:t>
      </w:r>
      <w:proofErr w:type="spellStart"/>
      <w:r w:rsidRPr="00976742">
        <w:rPr>
          <w:rFonts w:ascii="Times New Roman" w:hAnsi="Times New Roman"/>
          <w:bCs/>
          <w:sz w:val="24"/>
          <w:szCs w:val="24"/>
        </w:rPr>
        <w:t>ust</w:t>
      </w:r>
      <w:proofErr w:type="spellEnd"/>
      <w:r w:rsidRPr="00976742">
        <w:rPr>
          <w:rFonts w:ascii="Times New Roman" w:hAnsi="Times New Roman"/>
          <w:bCs/>
          <w:sz w:val="24"/>
          <w:szCs w:val="24"/>
        </w:rPr>
        <w:t xml:space="preserve"> as we are not persuaded that defendant must have wielded an instrumentality personally, we are also not persuaded that its intentionally harmful use must only be directly and immediately against a person. The jury convicted defendant of second-degree murder based on his involvement in burning the house. The jury therefore implicitly found that </w:t>
      </w:r>
      <w:proofErr w:type="gramStart"/>
      <w:r w:rsidRPr="00976742">
        <w:rPr>
          <w:rFonts w:ascii="Times New Roman" w:hAnsi="Times New Roman"/>
          <w:bCs/>
          <w:sz w:val="24"/>
          <w:szCs w:val="24"/>
        </w:rPr>
        <w:t>defendant</w:t>
      </w:r>
      <w:proofErr w:type="gramEnd"/>
      <w:r w:rsidRPr="00976742">
        <w:rPr>
          <w:rFonts w:ascii="Times New Roman" w:hAnsi="Times New Roman"/>
          <w:bCs/>
          <w:sz w:val="24"/>
          <w:szCs w:val="24"/>
        </w:rPr>
        <w:t xml:space="preserve"> did use the gasoline as an offensive instrumentality against a person, even if that use against a person was indirect and achieved by way of destroying property. Furthermore, as noted, the victim, a firefighter, was not an unforeseeable hapless bystander and did not choose to encounter the danger; rather, the victim entered the burning structure specifically because his duties required him to do so. Thus, under the circumstances, we find harmless the trial court’s failure to make an express factual finding as to defendant’s intent in using the gasoline. We therefore reject </w:t>
      </w:r>
      <w:proofErr w:type="gramStart"/>
      <w:r w:rsidRPr="00976742">
        <w:rPr>
          <w:rFonts w:ascii="Times New Roman" w:hAnsi="Times New Roman"/>
          <w:bCs/>
          <w:sz w:val="24"/>
          <w:szCs w:val="24"/>
        </w:rPr>
        <w:t>defendant’s</w:t>
      </w:r>
      <w:proofErr w:type="gramEnd"/>
      <w:r w:rsidRPr="00976742">
        <w:rPr>
          <w:rFonts w:ascii="Times New Roman" w:hAnsi="Times New Roman"/>
          <w:bCs/>
          <w:sz w:val="24"/>
          <w:szCs w:val="24"/>
        </w:rPr>
        <w:t xml:space="preserve"> argument that </w:t>
      </w:r>
      <w:proofErr w:type="gramStart"/>
      <w:r w:rsidRPr="00976742">
        <w:rPr>
          <w:rFonts w:ascii="Times New Roman" w:hAnsi="Times New Roman"/>
          <w:bCs/>
          <w:sz w:val="24"/>
          <w:szCs w:val="24"/>
        </w:rPr>
        <w:t>the gasoline</w:t>
      </w:r>
      <w:proofErr w:type="gramEnd"/>
      <w:r w:rsidRPr="00976742">
        <w:rPr>
          <w:rFonts w:ascii="Times New Roman" w:hAnsi="Times New Roman"/>
          <w:bCs/>
          <w:sz w:val="24"/>
          <w:szCs w:val="24"/>
        </w:rPr>
        <w:t xml:space="preserve"> was not a ‘weapon’ for purposes of OV 1.</w:t>
      </w:r>
    </w:p>
    <w:p w14:paraId="105CCA09" w14:textId="77777777" w:rsidR="005F0E6D" w:rsidRPr="00976742" w:rsidRDefault="005F0E6D" w:rsidP="005F0E6D">
      <w:pPr>
        <w:pStyle w:val="NoSpacing"/>
        <w:ind w:left="720"/>
        <w:rPr>
          <w:rFonts w:ascii="Times New Roman" w:hAnsi="Times New Roman"/>
          <w:b/>
          <w:bCs/>
          <w:sz w:val="24"/>
          <w:szCs w:val="24"/>
        </w:rPr>
      </w:pPr>
      <w:hyperlink r:id="rId573" w:history="1">
        <w:r w:rsidRPr="00976742">
          <w:rPr>
            <w:rStyle w:val="Hyperlink"/>
            <w:rFonts w:ascii="Times New Roman" w:hAnsi="Times New Roman"/>
            <w:b/>
            <w:sz w:val="24"/>
            <w:szCs w:val="24"/>
          </w:rPr>
          <w:t>http://publicdocs.courts.mi.gov/OPINIONS/FINAL/COA/20200416_C346057_26_346057OPNORDER.PDF</w:t>
        </w:r>
      </w:hyperlink>
      <w:bookmarkEnd w:id="97"/>
      <w:r w:rsidRPr="00976742">
        <w:rPr>
          <w:rFonts w:ascii="Times New Roman" w:hAnsi="Times New Roman"/>
          <w:bCs/>
          <w:sz w:val="24"/>
          <w:szCs w:val="24"/>
        </w:rPr>
        <w:t xml:space="preserve"> </w:t>
      </w:r>
    </w:p>
    <w:p w14:paraId="14DE13F0" w14:textId="2DFF443A" w:rsidR="005F0E6D" w:rsidRDefault="005F0E6D" w:rsidP="00EF1133">
      <w:pPr>
        <w:pStyle w:val="NoSpacing"/>
        <w:rPr>
          <w:rFonts w:ascii="Arial Black" w:hAnsi="Arial Black"/>
          <w:sz w:val="24"/>
          <w:szCs w:val="24"/>
        </w:rPr>
      </w:pPr>
    </w:p>
    <w:p w14:paraId="7050A2A5" w14:textId="77777777" w:rsidR="005F0E6D" w:rsidRPr="00976742" w:rsidRDefault="005F0E6D" w:rsidP="005F0E6D">
      <w:pPr>
        <w:pStyle w:val="NoSpacing"/>
        <w:rPr>
          <w:rFonts w:ascii="Times New Roman" w:hAnsi="Times New Roman"/>
          <w:b/>
          <w:bCs/>
          <w:sz w:val="24"/>
          <w:szCs w:val="24"/>
        </w:rPr>
      </w:pPr>
      <w:r w:rsidRPr="00976742">
        <w:rPr>
          <w:rFonts w:ascii="Times New Roman" w:hAnsi="Times New Roman"/>
          <w:b/>
          <w:bCs/>
          <w:sz w:val="24"/>
          <w:szCs w:val="24"/>
        </w:rPr>
        <w:lastRenderedPageBreak/>
        <w:t xml:space="preserve">Legal Lessons Learned: When the defendant hired his employee to </w:t>
      </w:r>
      <w:proofErr w:type="gramStart"/>
      <w:r w:rsidRPr="00976742">
        <w:rPr>
          <w:rFonts w:ascii="Times New Roman" w:hAnsi="Times New Roman"/>
          <w:b/>
          <w:bCs/>
          <w:sz w:val="24"/>
          <w:szCs w:val="24"/>
        </w:rPr>
        <w:t>burn of</w:t>
      </w:r>
      <w:proofErr w:type="gramEnd"/>
      <w:r w:rsidRPr="00976742">
        <w:rPr>
          <w:rFonts w:ascii="Times New Roman" w:hAnsi="Times New Roman"/>
          <w:b/>
          <w:bCs/>
          <w:sz w:val="24"/>
          <w:szCs w:val="24"/>
        </w:rPr>
        <w:t xml:space="preserve"> structure, both the employer and the employee can be convicted of murder and arson.   </w:t>
      </w:r>
    </w:p>
    <w:p w14:paraId="607C8E26" w14:textId="77777777" w:rsidR="005F0E6D" w:rsidRPr="00976742" w:rsidRDefault="005F0E6D" w:rsidP="005F0E6D">
      <w:pPr>
        <w:pStyle w:val="NoSpacing"/>
        <w:ind w:firstLine="720"/>
        <w:rPr>
          <w:rFonts w:ascii="Times New Roman" w:hAnsi="Times New Roman"/>
          <w:b/>
          <w:bCs/>
          <w:sz w:val="24"/>
          <w:szCs w:val="24"/>
        </w:rPr>
      </w:pPr>
    </w:p>
    <w:p w14:paraId="25662B89" w14:textId="77777777" w:rsidR="005F0E6D" w:rsidRPr="00976742" w:rsidRDefault="005F0E6D" w:rsidP="005F0E6D">
      <w:pPr>
        <w:pStyle w:val="NoSpacing"/>
        <w:ind w:left="720"/>
        <w:rPr>
          <w:rFonts w:ascii="Times New Roman" w:hAnsi="Times New Roman"/>
          <w:b/>
          <w:bCs/>
          <w:sz w:val="24"/>
          <w:szCs w:val="24"/>
        </w:rPr>
      </w:pPr>
      <w:bookmarkStart w:id="98" w:name="_Hlk39821671"/>
      <w:r w:rsidRPr="00976742">
        <w:rPr>
          <w:rFonts w:ascii="Times New Roman" w:hAnsi="Times New Roman"/>
          <w:bCs/>
          <w:sz w:val="24"/>
          <w:szCs w:val="24"/>
        </w:rPr>
        <w:t xml:space="preserve">Note: Read NIOSH Fire Fighter Fatality Investigation Report, F2008-37 Date Released: January 31, 2010: </w:t>
      </w:r>
      <w:r>
        <w:rPr>
          <w:rFonts w:ascii="Times New Roman" w:hAnsi="Times New Roman"/>
          <w:bCs/>
          <w:sz w:val="24"/>
          <w:szCs w:val="24"/>
        </w:rPr>
        <w:t>“</w:t>
      </w:r>
      <w:r w:rsidRPr="00976742">
        <w:rPr>
          <w:rFonts w:ascii="Times New Roman" w:hAnsi="Times New Roman"/>
          <w:bCs/>
          <w:sz w:val="24"/>
          <w:szCs w:val="24"/>
        </w:rPr>
        <w:t>On November 15, 2008, a 38-year-old male fire fighter (the victim) died after being crushed by a roof collapse in a vacant/abandoned building</w:t>
      </w:r>
      <w:r>
        <w:rPr>
          <w:rFonts w:ascii="Times New Roman" w:hAnsi="Times New Roman"/>
          <w:bCs/>
          <w:sz w:val="24"/>
          <w:szCs w:val="24"/>
        </w:rPr>
        <w:t xml:space="preserve">.” </w:t>
      </w:r>
      <w:hyperlink r:id="rId574" w:history="1">
        <w:r w:rsidRPr="00976742">
          <w:rPr>
            <w:rStyle w:val="Hyperlink"/>
            <w:rFonts w:ascii="Times New Roman" w:hAnsi="Times New Roman"/>
            <w:b/>
            <w:sz w:val="24"/>
            <w:szCs w:val="24"/>
          </w:rPr>
          <w:t>https://www.cdc.gov/niosh/fire/reports/face200837.html</w:t>
        </w:r>
      </w:hyperlink>
      <w:bookmarkEnd w:id="98"/>
      <w:r w:rsidRPr="00976742">
        <w:rPr>
          <w:rFonts w:ascii="Times New Roman" w:hAnsi="Times New Roman"/>
          <w:bCs/>
          <w:sz w:val="24"/>
          <w:szCs w:val="24"/>
        </w:rPr>
        <w:t xml:space="preserve"> </w:t>
      </w:r>
    </w:p>
    <w:p w14:paraId="34E92C2E" w14:textId="77777777" w:rsidR="005F0E6D" w:rsidRDefault="005F0E6D" w:rsidP="00EF1133">
      <w:pPr>
        <w:pStyle w:val="NoSpacing"/>
        <w:rPr>
          <w:rFonts w:ascii="Arial Black" w:hAnsi="Arial Black"/>
          <w:sz w:val="24"/>
          <w:szCs w:val="24"/>
        </w:rPr>
      </w:pPr>
    </w:p>
    <w:p w14:paraId="631D269F" w14:textId="77777777" w:rsidR="005F0E6D" w:rsidRDefault="005F0E6D" w:rsidP="00EF1133">
      <w:pPr>
        <w:pStyle w:val="NoSpacing"/>
        <w:rPr>
          <w:rFonts w:ascii="Arial Black" w:hAnsi="Arial Black"/>
          <w:sz w:val="24"/>
          <w:szCs w:val="24"/>
        </w:rPr>
      </w:pPr>
    </w:p>
    <w:p w14:paraId="1EE3DD45" w14:textId="77777777" w:rsidR="005F0E6D" w:rsidRDefault="005F0E6D" w:rsidP="00EF1133">
      <w:pPr>
        <w:pStyle w:val="NoSpacing"/>
        <w:rPr>
          <w:rFonts w:ascii="Arial Black" w:hAnsi="Arial Black"/>
          <w:sz w:val="24"/>
          <w:szCs w:val="24"/>
        </w:rPr>
      </w:pPr>
    </w:p>
    <w:p w14:paraId="514EFD1F" w14:textId="705F9BAB" w:rsidR="00663160" w:rsidRDefault="00663160" w:rsidP="00EF1133">
      <w:pPr>
        <w:pStyle w:val="NoSpacing"/>
        <w:rPr>
          <w:rFonts w:ascii="Arial Black" w:hAnsi="Arial Black"/>
          <w:sz w:val="24"/>
          <w:szCs w:val="24"/>
        </w:rPr>
      </w:pPr>
      <w:r>
        <w:rPr>
          <w:rFonts w:ascii="Arial Black" w:hAnsi="Arial Black"/>
          <w:sz w:val="24"/>
          <w:szCs w:val="24"/>
        </w:rPr>
        <w:t>2-29</w:t>
      </w:r>
    </w:p>
    <w:p w14:paraId="7EF02A7C" w14:textId="77777777" w:rsidR="00663160" w:rsidRDefault="00663160" w:rsidP="00663160">
      <w:pPr>
        <w:spacing w:before="100" w:beforeAutospacing="1" w:after="100" w:afterAutospacing="1" w:line="240" w:lineRule="auto"/>
        <w:rPr>
          <w:rFonts w:ascii="Arial Black" w:hAnsi="Arial Black"/>
          <w:sz w:val="28"/>
          <w:szCs w:val="28"/>
        </w:rPr>
      </w:pPr>
      <w:r w:rsidRPr="00E77377">
        <w:rPr>
          <w:rFonts w:ascii="Arial Black" w:hAnsi="Arial Black"/>
          <w:sz w:val="28"/>
          <w:szCs w:val="28"/>
        </w:rPr>
        <w:t xml:space="preserve">OH: </w:t>
      </w:r>
      <w:r>
        <w:rPr>
          <w:rFonts w:ascii="Arial Black" w:hAnsi="Arial Black"/>
          <w:sz w:val="28"/>
          <w:szCs w:val="28"/>
        </w:rPr>
        <w:t>FF INJURED KNEE STEPPING DOWN FROM ENGINE –– STEP WAS MORE 24 INCHES OFF GROUND - VSSR PENALTY</w:t>
      </w:r>
    </w:p>
    <w:p w14:paraId="5E9AC737" w14:textId="77777777" w:rsidR="00663160" w:rsidRDefault="00663160" w:rsidP="00663160">
      <w:pPr>
        <w:spacing w:before="100" w:beforeAutospacing="1" w:after="100" w:afterAutospacing="1" w:line="240" w:lineRule="auto"/>
        <w:rPr>
          <w:rFonts w:ascii="Times New Roman" w:hAnsi="Times New Roman"/>
          <w:sz w:val="24"/>
          <w:szCs w:val="24"/>
        </w:rPr>
      </w:pPr>
      <w:r>
        <w:rPr>
          <w:rFonts w:ascii="Times New Roman" w:eastAsia="Times New Roman" w:hAnsi="Times New Roman"/>
          <w:sz w:val="24"/>
          <w:szCs w:val="24"/>
        </w:rPr>
        <w:t xml:space="preserve">On Feb. 11, 2020, in </w:t>
      </w:r>
      <w:r w:rsidRPr="00E77377">
        <w:rPr>
          <w:rFonts w:ascii="Times New Roman" w:eastAsia="Times New Roman" w:hAnsi="Times New Roman"/>
          <w:sz w:val="24"/>
          <w:szCs w:val="24"/>
          <w:u w:val="single"/>
        </w:rPr>
        <w:t>The State ex rel. Madison Fire District v. Industrial Commission of Ohio</w:t>
      </w:r>
      <w:r>
        <w:rPr>
          <w:rFonts w:ascii="Times New Roman" w:eastAsia="Times New Roman" w:hAnsi="Times New Roman"/>
          <w:sz w:val="24"/>
          <w:szCs w:val="24"/>
        </w:rPr>
        <w:t xml:space="preserve">, 2020 Ohio 463, the Ohio Court of Appeals for Tenth Appellate District, held (3 to 0) that firefighter </w:t>
      </w:r>
      <w:r w:rsidRPr="00E77377">
        <w:rPr>
          <w:rFonts w:ascii="Times New Roman" w:hAnsi="Times New Roman"/>
          <w:sz w:val="24"/>
          <w:szCs w:val="24"/>
        </w:rPr>
        <w:t>Joseph P. Purcell</w:t>
      </w:r>
      <w:r>
        <w:rPr>
          <w:rFonts w:ascii="Times New Roman" w:hAnsi="Times New Roman"/>
          <w:sz w:val="24"/>
          <w:szCs w:val="24"/>
        </w:rPr>
        <w:t xml:space="preserve">, who injured his right knee stepping out of the cab of a 1995 Spartan Darley, was properly awarded his VSSR [violation of  specific safety regulation] claim; 15% to 50% of workers comp. award. </w:t>
      </w:r>
    </w:p>
    <w:p w14:paraId="6F84D8F8" w14:textId="2A311130" w:rsidR="00663160" w:rsidRDefault="00663160" w:rsidP="00DB482B">
      <w:pPr>
        <w:pStyle w:val="NoSpacing"/>
        <w:ind w:left="720"/>
        <w:rPr>
          <w:rStyle w:val="Hyperlink"/>
          <w:rFonts w:ascii="Times New Roman" w:hAnsi="Times New Roman"/>
          <w:sz w:val="24"/>
          <w:szCs w:val="24"/>
        </w:rPr>
      </w:pPr>
      <w:bookmarkStart w:id="99" w:name="_Hlk39765521"/>
      <w:r>
        <w:rPr>
          <w:rFonts w:ascii="Times New Roman" w:hAnsi="Times New Roman"/>
          <w:sz w:val="24"/>
          <w:szCs w:val="24"/>
        </w:rPr>
        <w:t>“</w:t>
      </w:r>
      <w:r w:rsidRPr="00020A40">
        <w:rPr>
          <w:rFonts w:ascii="Times New Roman" w:hAnsi="Times New Roman"/>
          <w:sz w:val="24"/>
          <w:szCs w:val="24"/>
        </w:rPr>
        <w:t>In 2009, the department commissioned a master plan evaluation by an independent third party to do a study of every aspect of the fire department. As a part of that study, the fire engines in use by the department at that time were evaluated. Engine 2124 was a part of that evaluation. The evaluation report states that the department should consider installing steps into cab for safety to engine 2124</w:t>
      </w:r>
      <w:r>
        <w:rPr>
          <w:rFonts w:ascii="Times New Roman" w:hAnsi="Times New Roman"/>
          <w:sz w:val="24"/>
          <w:szCs w:val="24"/>
        </w:rPr>
        <w:t xml:space="preserve"> [1995 Spartan Darley].”  </w:t>
      </w:r>
      <w:hyperlink r:id="rId575" w:history="1">
        <w:r w:rsidRPr="002D2C0F">
          <w:rPr>
            <w:rStyle w:val="Hyperlink"/>
            <w:rFonts w:ascii="Times New Roman" w:hAnsi="Times New Roman"/>
            <w:sz w:val="24"/>
            <w:szCs w:val="24"/>
          </w:rPr>
          <w:t>https://www.courtlistener.com/pdf/2020/02/11/state_ex_rel._madison_fire_dist._v._indus._comm..pdf</w:t>
        </w:r>
      </w:hyperlink>
    </w:p>
    <w:p w14:paraId="15B1B7F1" w14:textId="78EEF9AC" w:rsidR="00663160" w:rsidRDefault="00663160" w:rsidP="00663160">
      <w:pPr>
        <w:spacing w:before="100" w:beforeAutospacing="1" w:after="100" w:afterAutospacing="1" w:line="240" w:lineRule="auto"/>
        <w:rPr>
          <w:rFonts w:ascii="Times New Roman" w:hAnsi="Times New Roman"/>
          <w:b/>
          <w:bCs/>
          <w:sz w:val="24"/>
          <w:szCs w:val="24"/>
        </w:rPr>
      </w:pPr>
      <w:bookmarkStart w:id="100" w:name="_Hlk40508742"/>
      <w:bookmarkEnd w:id="99"/>
      <w:r w:rsidRPr="00020A40">
        <w:rPr>
          <w:rFonts w:ascii="Times New Roman" w:hAnsi="Times New Roman"/>
          <w:b/>
          <w:bCs/>
          <w:sz w:val="24"/>
          <w:szCs w:val="24"/>
        </w:rPr>
        <w:t>Legal Lessons Learned:</w:t>
      </w:r>
      <w:r>
        <w:rPr>
          <w:rFonts w:ascii="Times New Roman" w:hAnsi="Times New Roman"/>
          <w:b/>
          <w:bCs/>
          <w:sz w:val="24"/>
          <w:szCs w:val="24"/>
        </w:rPr>
        <w:t xml:space="preserve"> </w:t>
      </w:r>
      <w:r w:rsidR="009B50E8">
        <w:rPr>
          <w:rFonts w:ascii="Times New Roman" w:hAnsi="Times New Roman"/>
          <w:b/>
          <w:bCs/>
          <w:sz w:val="24"/>
          <w:szCs w:val="24"/>
        </w:rPr>
        <w:t xml:space="preserve">Ohio </w:t>
      </w:r>
      <w:r>
        <w:rPr>
          <w:rFonts w:ascii="Times New Roman" w:hAnsi="Times New Roman"/>
          <w:b/>
          <w:bCs/>
          <w:sz w:val="24"/>
          <w:szCs w:val="24"/>
        </w:rPr>
        <w:t xml:space="preserve">FDs should review the Ohio Administrative Code regulation on fire apparatus, including the height of steps. </w:t>
      </w:r>
      <w:hyperlink r:id="rId576" w:history="1">
        <w:r w:rsidRPr="002D2C0F">
          <w:rPr>
            <w:rStyle w:val="Hyperlink"/>
            <w:rFonts w:ascii="Times New Roman" w:hAnsi="Times New Roman"/>
            <w:b/>
            <w:bCs/>
            <w:sz w:val="24"/>
            <w:szCs w:val="24"/>
          </w:rPr>
          <w:t>http://codes.ohio.gov/oac/4123:1-21-04v1</w:t>
        </w:r>
      </w:hyperlink>
      <w:r>
        <w:rPr>
          <w:rFonts w:ascii="Times New Roman" w:hAnsi="Times New Roman"/>
          <w:b/>
          <w:bCs/>
          <w:sz w:val="24"/>
          <w:szCs w:val="24"/>
        </w:rPr>
        <w:t xml:space="preserve"> .   VSSR penalties can range from 15 to 50% of the maximum allowable weekly compensation rate </w:t>
      </w:r>
      <w:proofErr w:type="gramStart"/>
      <w:r>
        <w:rPr>
          <w:rFonts w:ascii="Times New Roman" w:hAnsi="Times New Roman"/>
          <w:b/>
          <w:bCs/>
          <w:sz w:val="24"/>
          <w:szCs w:val="24"/>
        </w:rPr>
        <w:t>granted</w:t>
      </w:r>
      <w:proofErr w:type="gramEnd"/>
      <w:r>
        <w:rPr>
          <w:rFonts w:ascii="Times New Roman" w:hAnsi="Times New Roman"/>
          <w:b/>
          <w:bCs/>
          <w:sz w:val="24"/>
          <w:szCs w:val="24"/>
        </w:rPr>
        <w:t xml:space="preserve"> the injured worker. </w:t>
      </w:r>
      <w:hyperlink r:id="rId577" w:history="1">
        <w:r w:rsidRPr="002D2C0F">
          <w:rPr>
            <w:rStyle w:val="Hyperlink"/>
            <w:rFonts w:ascii="Times New Roman" w:hAnsi="Times New Roman"/>
            <w:b/>
            <w:bCs/>
            <w:sz w:val="24"/>
            <w:szCs w:val="24"/>
          </w:rPr>
          <w:t>https://www.bwc.ohio.gov/downloads/blankpdf/sviu.pdf</w:t>
        </w:r>
      </w:hyperlink>
      <w:r>
        <w:rPr>
          <w:rFonts w:ascii="Times New Roman" w:hAnsi="Times New Roman"/>
          <w:b/>
          <w:bCs/>
          <w:sz w:val="24"/>
          <w:szCs w:val="24"/>
        </w:rPr>
        <w:t xml:space="preserve"> </w:t>
      </w:r>
    </w:p>
    <w:bookmarkEnd w:id="100"/>
    <w:p w14:paraId="010AC845" w14:textId="77777777" w:rsidR="00663160" w:rsidRDefault="00663160" w:rsidP="00663160">
      <w:pPr>
        <w:pStyle w:val="NoSpacing"/>
        <w:rPr>
          <w:rFonts w:ascii="Arial Black" w:hAnsi="Arial Black"/>
          <w:sz w:val="24"/>
          <w:szCs w:val="24"/>
        </w:rPr>
      </w:pPr>
    </w:p>
    <w:p w14:paraId="7244B3F0" w14:textId="77777777" w:rsidR="00663160" w:rsidRDefault="00663160" w:rsidP="00EF1133">
      <w:pPr>
        <w:pStyle w:val="NoSpacing"/>
        <w:rPr>
          <w:rFonts w:ascii="Arial Black" w:hAnsi="Arial Black"/>
          <w:sz w:val="24"/>
          <w:szCs w:val="24"/>
        </w:rPr>
      </w:pPr>
    </w:p>
    <w:p w14:paraId="39882377" w14:textId="77777777" w:rsidR="00663160" w:rsidRDefault="00663160" w:rsidP="00EF1133">
      <w:pPr>
        <w:pStyle w:val="NoSpacing"/>
        <w:rPr>
          <w:rFonts w:ascii="Arial Black" w:hAnsi="Arial Black"/>
          <w:sz w:val="24"/>
          <w:szCs w:val="24"/>
        </w:rPr>
      </w:pPr>
    </w:p>
    <w:p w14:paraId="0EB37AE2" w14:textId="50B7E2E4" w:rsidR="00663160" w:rsidRDefault="00663160" w:rsidP="00EF1133">
      <w:pPr>
        <w:pStyle w:val="NoSpacing"/>
        <w:rPr>
          <w:rFonts w:ascii="Arial Black" w:hAnsi="Arial Black"/>
          <w:sz w:val="24"/>
          <w:szCs w:val="24"/>
        </w:rPr>
      </w:pPr>
      <w:r>
        <w:rPr>
          <w:rFonts w:ascii="Arial Black" w:hAnsi="Arial Black"/>
          <w:sz w:val="24"/>
          <w:szCs w:val="24"/>
        </w:rPr>
        <w:t>2-28</w:t>
      </w:r>
    </w:p>
    <w:p w14:paraId="01FCAE85" w14:textId="55BFE594" w:rsidR="00663160" w:rsidRDefault="00663160" w:rsidP="00EF1133">
      <w:pPr>
        <w:pStyle w:val="NoSpacing"/>
        <w:rPr>
          <w:rFonts w:ascii="Arial Black" w:hAnsi="Arial Black"/>
          <w:sz w:val="24"/>
          <w:szCs w:val="24"/>
        </w:rPr>
      </w:pPr>
    </w:p>
    <w:p w14:paraId="05D70D26" w14:textId="77777777" w:rsidR="00663160" w:rsidRPr="007635E7" w:rsidRDefault="00663160" w:rsidP="00663160">
      <w:pPr>
        <w:pStyle w:val="NoSpacing"/>
        <w:rPr>
          <w:rFonts w:ascii="Arial Black" w:hAnsi="Arial Black"/>
          <w:sz w:val="28"/>
          <w:szCs w:val="28"/>
        </w:rPr>
      </w:pPr>
      <w:r w:rsidRPr="007635E7">
        <w:rPr>
          <w:rFonts w:ascii="Arial Black" w:hAnsi="Arial Black"/>
          <w:sz w:val="28"/>
          <w:szCs w:val="28"/>
        </w:rPr>
        <w:t xml:space="preserve">DE: </w:t>
      </w:r>
      <w:r>
        <w:rPr>
          <w:rFonts w:ascii="Arial Black" w:hAnsi="Arial Black"/>
          <w:sz w:val="28"/>
          <w:szCs w:val="28"/>
        </w:rPr>
        <w:t xml:space="preserve">ROLLING BLACKOUTS – THREE FF KILLED, THREE INJURED – NOT VIOLATION OF FED CONSTIT. RIGHTS </w:t>
      </w:r>
    </w:p>
    <w:p w14:paraId="2620282C" w14:textId="77777777" w:rsidR="00663160" w:rsidRPr="00465FB3" w:rsidRDefault="00663160" w:rsidP="00663160">
      <w:pPr>
        <w:spacing w:before="100" w:beforeAutospacing="1" w:after="100" w:afterAutospacing="1" w:line="240" w:lineRule="auto"/>
        <w:rPr>
          <w:rFonts w:ascii="Times New Roman" w:hAnsi="Times New Roman"/>
          <w:sz w:val="24"/>
          <w:szCs w:val="24"/>
        </w:rPr>
      </w:pPr>
      <w:r w:rsidRPr="00465FB3">
        <w:rPr>
          <w:rFonts w:ascii="Times New Roman" w:hAnsi="Times New Roman"/>
          <w:sz w:val="24"/>
          <w:szCs w:val="24"/>
        </w:rPr>
        <w:t xml:space="preserve">On </w:t>
      </w:r>
      <w:bookmarkStart w:id="101" w:name="_Hlk39822645"/>
      <w:r w:rsidRPr="00465FB3">
        <w:rPr>
          <w:rFonts w:ascii="Times New Roman" w:hAnsi="Times New Roman"/>
          <w:sz w:val="24"/>
          <w:szCs w:val="24"/>
        </w:rPr>
        <w:t xml:space="preserve">Jan. 9, 2020, in </w:t>
      </w:r>
      <w:r w:rsidRPr="00465FB3">
        <w:rPr>
          <w:rFonts w:ascii="Times New Roman" w:hAnsi="Times New Roman"/>
          <w:sz w:val="24"/>
          <w:szCs w:val="24"/>
          <w:u w:val="single"/>
        </w:rPr>
        <w:t>Firefighter Brad Speakman, et al. v. Dennis P. Williams, City of Wilmington, et al</w:t>
      </w:r>
      <w:bookmarkEnd w:id="101"/>
      <w:r w:rsidRPr="00465FB3">
        <w:rPr>
          <w:rFonts w:ascii="Times New Roman" w:hAnsi="Times New Roman"/>
          <w:sz w:val="24"/>
          <w:szCs w:val="24"/>
        </w:rPr>
        <w:t xml:space="preserve">, U.S. District Court Judge Maryellen Noreika dismissed the lawsuit by the families of the firefighters killed on Sept. 24, 2016.  The Court held that the “rolling bypass” practices may be a basis for a tort lawsuit in state court, the practice is not a violation of the substantive rights guaranteed by the Fourteenth Amendment to the U.S. Constitution. </w:t>
      </w:r>
    </w:p>
    <w:p w14:paraId="3AB1F0C2" w14:textId="77777777" w:rsidR="00663160" w:rsidRPr="00465FB3" w:rsidRDefault="00663160" w:rsidP="00663160">
      <w:pPr>
        <w:pStyle w:val="NoSpacing"/>
        <w:ind w:left="720"/>
        <w:rPr>
          <w:rFonts w:ascii="Times New Roman" w:hAnsi="Times New Roman"/>
          <w:b/>
          <w:bCs/>
          <w:sz w:val="24"/>
          <w:szCs w:val="24"/>
        </w:rPr>
      </w:pPr>
      <w:bookmarkStart w:id="102" w:name="_Hlk39765552"/>
      <w:r w:rsidRPr="00465FB3">
        <w:rPr>
          <w:rFonts w:ascii="Times New Roman" w:eastAsia="Times New Roman" w:hAnsi="Times New Roman"/>
          <w:bCs/>
          <w:sz w:val="24"/>
          <w:szCs w:val="24"/>
        </w:rPr>
        <w:t>“</w:t>
      </w:r>
      <w:r w:rsidRPr="00465FB3">
        <w:rPr>
          <w:rFonts w:ascii="Times New Roman" w:hAnsi="Times New Roman"/>
          <w:bCs/>
          <w:sz w:val="24"/>
          <w:szCs w:val="24"/>
        </w:rPr>
        <w:t xml:space="preserve">This case, like </w:t>
      </w:r>
      <w:r w:rsidRPr="00465FB3">
        <w:rPr>
          <w:rFonts w:ascii="Times New Roman" w:hAnsi="Times New Roman"/>
          <w:bCs/>
          <w:i/>
          <w:iCs/>
          <w:sz w:val="24"/>
          <w:szCs w:val="24"/>
        </w:rPr>
        <w:t>Estate of Phillips</w:t>
      </w:r>
      <w:r w:rsidRPr="00465FB3">
        <w:rPr>
          <w:rFonts w:ascii="Times New Roman" w:hAnsi="Times New Roman"/>
          <w:bCs/>
          <w:sz w:val="24"/>
          <w:szCs w:val="24"/>
        </w:rPr>
        <w:t xml:space="preserve">, Estate of Phillips, [Washington, D.C. line of duty deaths in] Estate of Phillips v. D.C., 455 F.3d 397 (D.C. Cir. 2006)], involves a tragedy. Lieutenant Christopher Leach, </w:t>
      </w:r>
      <w:r w:rsidRPr="00465FB3">
        <w:rPr>
          <w:rFonts w:ascii="Times New Roman" w:hAnsi="Times New Roman"/>
          <w:bCs/>
          <w:sz w:val="24"/>
          <w:szCs w:val="24"/>
        </w:rPr>
        <w:lastRenderedPageBreak/>
        <w:t xml:space="preserve">Senior Firefighter Jerry Fickes, and Senior Firefighter Ardythe Hope died, and Firefighter Brad Speakman, Senior Firefighter Terrance Tate, and Lieutenant John Cawthray suffered severe injuries. But as the </w:t>
      </w:r>
      <w:r w:rsidRPr="00465FB3">
        <w:rPr>
          <w:rFonts w:ascii="Times New Roman" w:hAnsi="Times New Roman"/>
          <w:bCs/>
          <w:i/>
          <w:iCs/>
          <w:sz w:val="24"/>
          <w:szCs w:val="24"/>
        </w:rPr>
        <w:t>Estate of Phillips</w:t>
      </w:r>
      <w:r w:rsidRPr="00465FB3">
        <w:rPr>
          <w:rFonts w:ascii="Times New Roman" w:hAnsi="Times New Roman"/>
          <w:bCs/>
          <w:sz w:val="24"/>
          <w:szCs w:val="24"/>
        </w:rPr>
        <w:t xml:space="preserve"> court recognized, the Constitution does not provide a basis to address all injuries…. The Court has no doubt that, as Plaintiffs argue … a relationship exists between shift staffing and firefighter safety. For the reasons articulated, however, that relationship alone does not transform Present Defendants' conduct into substantive due process violations [of the 14</w:t>
      </w:r>
      <w:r w:rsidRPr="00465FB3">
        <w:rPr>
          <w:rFonts w:ascii="Times New Roman" w:hAnsi="Times New Roman"/>
          <w:bCs/>
          <w:sz w:val="24"/>
          <w:szCs w:val="24"/>
          <w:vertAlign w:val="superscript"/>
        </w:rPr>
        <w:t>Th</w:t>
      </w:r>
      <w:r w:rsidRPr="00465FB3">
        <w:rPr>
          <w:rFonts w:ascii="Times New Roman" w:hAnsi="Times New Roman"/>
          <w:bCs/>
          <w:sz w:val="24"/>
          <w:szCs w:val="24"/>
        </w:rPr>
        <w:t xml:space="preserve"> Amendment of U.S. Constitution]….</w:t>
      </w:r>
      <w:r w:rsidRPr="00465FB3">
        <w:rPr>
          <w:rFonts w:ascii="Times New Roman" w:hAnsi="Times New Roman"/>
          <w:sz w:val="24"/>
          <w:szCs w:val="24"/>
        </w:rPr>
        <w:t xml:space="preserve"> </w:t>
      </w:r>
      <w:r w:rsidRPr="00465FB3">
        <w:rPr>
          <w:rFonts w:ascii="Times New Roman" w:hAnsi="Times New Roman"/>
          <w:bCs/>
          <w:sz w:val="24"/>
          <w:szCs w:val="24"/>
        </w:rPr>
        <w:t xml:space="preserve">In other words, like the firefighters in </w:t>
      </w:r>
      <w:r w:rsidRPr="00465FB3">
        <w:rPr>
          <w:rFonts w:ascii="Times New Roman" w:hAnsi="Times New Roman"/>
          <w:bCs/>
          <w:i/>
          <w:iCs/>
          <w:sz w:val="24"/>
          <w:szCs w:val="24"/>
        </w:rPr>
        <w:t>Estate of Phillips</w:t>
      </w:r>
      <w:r w:rsidRPr="00465FB3">
        <w:rPr>
          <w:rFonts w:ascii="Times New Roman" w:hAnsi="Times New Roman"/>
          <w:bCs/>
          <w:sz w:val="24"/>
          <w:szCs w:val="24"/>
        </w:rPr>
        <w:t xml:space="preserve">, Plaintiffs allege that Present Defendants (along with others) exposed Firefighter Plaintiffs to ‘additional risks of injury unknown to [them] when they joined’ the WFD. 455 F.3d at 407. Yet, as explained, such increased risk is not enough to establish a substantive due process violation where the underlying risk is inherent in the injured parties' profession and is not so extremely elevated that employees will almost certainly and immediately be injured if they carry out their work.”  </w:t>
      </w:r>
      <w:bookmarkStart w:id="103" w:name="_Hlk39821887"/>
      <w:r w:rsidR="00F2621E">
        <w:fldChar w:fldCharType="begin"/>
      </w:r>
      <w:r w:rsidR="00F2621E">
        <w:instrText xml:space="preserve"> HYPERLINK "https://www.ded.uscourts.gov/sites/ded/files/opinions/18-1252_1.pdf" </w:instrText>
      </w:r>
      <w:r w:rsidR="00F2621E">
        <w:fldChar w:fldCharType="separate"/>
      </w:r>
      <w:r w:rsidRPr="00465FB3">
        <w:rPr>
          <w:rStyle w:val="Hyperlink"/>
          <w:rFonts w:ascii="Times New Roman" w:hAnsi="Times New Roman"/>
          <w:bCs/>
          <w:sz w:val="24"/>
          <w:szCs w:val="24"/>
        </w:rPr>
        <w:t>https://www.ded.uscourts.gov/sites/ded/files/opinions/18-1252_1.pdf</w:t>
      </w:r>
      <w:r w:rsidR="00F2621E">
        <w:rPr>
          <w:rStyle w:val="Hyperlink"/>
          <w:rFonts w:ascii="Times New Roman" w:hAnsi="Times New Roman"/>
          <w:bCs/>
          <w:sz w:val="24"/>
          <w:szCs w:val="24"/>
        </w:rPr>
        <w:fldChar w:fldCharType="end"/>
      </w:r>
      <w:r w:rsidRPr="00465FB3">
        <w:rPr>
          <w:rFonts w:ascii="Times New Roman" w:hAnsi="Times New Roman"/>
          <w:bCs/>
          <w:sz w:val="24"/>
          <w:szCs w:val="24"/>
        </w:rPr>
        <w:t xml:space="preserve"> </w:t>
      </w:r>
      <w:bookmarkEnd w:id="103"/>
    </w:p>
    <w:bookmarkEnd w:id="102"/>
    <w:p w14:paraId="3DD740A0" w14:textId="70FF5D4F" w:rsidR="00663160" w:rsidRDefault="00663160" w:rsidP="00EF1133">
      <w:pPr>
        <w:pStyle w:val="NoSpacing"/>
        <w:rPr>
          <w:rFonts w:ascii="Arial Black" w:hAnsi="Arial Black"/>
          <w:sz w:val="24"/>
          <w:szCs w:val="24"/>
        </w:rPr>
      </w:pPr>
    </w:p>
    <w:p w14:paraId="07D6649F" w14:textId="4641FB73" w:rsidR="009B50E8" w:rsidRDefault="00663160" w:rsidP="00663160">
      <w:pPr>
        <w:pStyle w:val="NoSpacing"/>
        <w:rPr>
          <w:rFonts w:ascii="Times New Roman" w:hAnsi="Times New Roman"/>
          <w:b/>
          <w:bCs/>
          <w:sz w:val="24"/>
          <w:szCs w:val="24"/>
        </w:rPr>
      </w:pPr>
      <w:bookmarkStart w:id="104" w:name="_Hlk40508991"/>
      <w:r w:rsidRPr="00465FB3">
        <w:rPr>
          <w:rFonts w:ascii="Times New Roman" w:hAnsi="Times New Roman"/>
          <w:b/>
          <w:bCs/>
          <w:sz w:val="24"/>
          <w:szCs w:val="24"/>
        </w:rPr>
        <w:t xml:space="preserve">Legal Lessons Learned: </w:t>
      </w:r>
      <w:proofErr w:type="gramStart"/>
      <w:r w:rsidRPr="00465FB3">
        <w:rPr>
          <w:rFonts w:ascii="Times New Roman" w:hAnsi="Times New Roman"/>
          <w:b/>
          <w:bCs/>
          <w:sz w:val="24"/>
          <w:szCs w:val="24"/>
        </w:rPr>
        <w:t>Similar</w:t>
      </w:r>
      <w:r w:rsidR="009B50E8">
        <w:rPr>
          <w:rFonts w:ascii="Times New Roman" w:hAnsi="Times New Roman"/>
          <w:b/>
          <w:bCs/>
          <w:sz w:val="24"/>
          <w:szCs w:val="24"/>
        </w:rPr>
        <w:t xml:space="preserve"> </w:t>
      </w:r>
      <w:r w:rsidRPr="00465FB3">
        <w:rPr>
          <w:rFonts w:ascii="Times New Roman" w:hAnsi="Times New Roman"/>
          <w:b/>
          <w:bCs/>
          <w:sz w:val="24"/>
          <w:szCs w:val="24"/>
        </w:rPr>
        <w:t>to</w:t>
      </w:r>
      <w:proofErr w:type="gramEnd"/>
      <w:r w:rsidRPr="00465FB3">
        <w:rPr>
          <w:rFonts w:ascii="Times New Roman" w:hAnsi="Times New Roman"/>
          <w:b/>
          <w:bCs/>
          <w:sz w:val="24"/>
          <w:szCs w:val="24"/>
        </w:rPr>
        <w:t xml:space="preserve"> the Washington, D.C. line-of-duty-death case in </w:t>
      </w:r>
      <w:r w:rsidRPr="00465FB3">
        <w:rPr>
          <w:rFonts w:ascii="Times New Roman" w:hAnsi="Times New Roman"/>
          <w:b/>
          <w:bCs/>
          <w:sz w:val="24"/>
          <w:szCs w:val="24"/>
          <w:u w:val="single"/>
        </w:rPr>
        <w:t>Estate of Phillips</w:t>
      </w:r>
      <w:r w:rsidRPr="00465FB3">
        <w:rPr>
          <w:rFonts w:ascii="Times New Roman" w:hAnsi="Times New Roman"/>
          <w:b/>
          <w:bCs/>
          <w:sz w:val="24"/>
          <w:szCs w:val="24"/>
        </w:rPr>
        <w:t xml:space="preserve">, </w:t>
      </w:r>
      <w:r w:rsidR="009B50E8">
        <w:rPr>
          <w:rFonts w:ascii="Times New Roman" w:hAnsi="Times New Roman"/>
          <w:b/>
          <w:bCs/>
          <w:sz w:val="24"/>
          <w:szCs w:val="24"/>
        </w:rPr>
        <w:t xml:space="preserve"> </w:t>
      </w:r>
      <w:hyperlink r:id="rId578" w:history="1">
        <w:r w:rsidR="009B50E8" w:rsidRPr="00176D13">
          <w:rPr>
            <w:rStyle w:val="Hyperlink"/>
            <w:rFonts w:ascii="Times New Roman" w:hAnsi="Times New Roman"/>
            <w:b/>
            <w:bCs/>
            <w:sz w:val="24"/>
            <w:szCs w:val="24"/>
          </w:rPr>
          <w:t>https://caselaw.findlaw.com/us-dc-circuit/1363158.html</w:t>
        </w:r>
      </w:hyperlink>
      <w:r w:rsidR="009B50E8">
        <w:rPr>
          <w:rFonts w:ascii="Times New Roman" w:hAnsi="Times New Roman"/>
          <w:b/>
          <w:bCs/>
          <w:sz w:val="24"/>
          <w:szCs w:val="24"/>
        </w:rPr>
        <w:t xml:space="preserve"> </w:t>
      </w:r>
      <w:r w:rsidR="00D735D6">
        <w:rPr>
          <w:rFonts w:ascii="Times New Roman" w:hAnsi="Times New Roman"/>
          <w:b/>
          <w:bCs/>
          <w:sz w:val="24"/>
          <w:szCs w:val="24"/>
        </w:rPr>
        <w:t xml:space="preserve">(2006), </w:t>
      </w:r>
    </w:p>
    <w:p w14:paraId="44000B3D" w14:textId="1D19F4F0" w:rsidR="00663160" w:rsidRPr="00465FB3" w:rsidRDefault="00663160" w:rsidP="00663160">
      <w:pPr>
        <w:pStyle w:val="NoSpacing"/>
        <w:rPr>
          <w:rFonts w:ascii="Times New Roman" w:hAnsi="Times New Roman"/>
          <w:b/>
          <w:bCs/>
          <w:sz w:val="24"/>
          <w:szCs w:val="24"/>
        </w:rPr>
      </w:pPr>
      <w:proofErr w:type="gramStart"/>
      <w:r w:rsidRPr="00465FB3">
        <w:rPr>
          <w:rFonts w:ascii="Times New Roman" w:hAnsi="Times New Roman"/>
          <w:b/>
          <w:bCs/>
          <w:sz w:val="24"/>
          <w:szCs w:val="24"/>
        </w:rPr>
        <w:t>this</w:t>
      </w:r>
      <w:proofErr w:type="gramEnd"/>
      <w:r w:rsidRPr="00465FB3">
        <w:rPr>
          <w:rFonts w:ascii="Times New Roman" w:hAnsi="Times New Roman"/>
          <w:b/>
          <w:bCs/>
          <w:sz w:val="24"/>
          <w:szCs w:val="24"/>
        </w:rPr>
        <w:t xml:space="preserve"> lawsuit in Federal court has been dismissed prior to trial.  </w:t>
      </w:r>
    </w:p>
    <w:bookmarkEnd w:id="104"/>
    <w:p w14:paraId="50BBECE4" w14:textId="77777777" w:rsidR="00663160" w:rsidRPr="00465FB3" w:rsidRDefault="00663160" w:rsidP="00663160">
      <w:pPr>
        <w:pStyle w:val="NoSpacing"/>
        <w:rPr>
          <w:b/>
          <w:bCs/>
        </w:rPr>
      </w:pPr>
      <w:r w:rsidRPr="00465FB3">
        <w:rPr>
          <w:rFonts w:ascii="Times New Roman" w:hAnsi="Times New Roman"/>
          <w:b/>
          <w:bCs/>
          <w:sz w:val="24"/>
          <w:szCs w:val="24"/>
        </w:rPr>
        <w:t xml:space="preserve">Note: </w:t>
      </w:r>
      <w:bookmarkStart w:id="105" w:name="_Hlk39821714"/>
      <w:r w:rsidRPr="00465FB3">
        <w:rPr>
          <w:rFonts w:ascii="Times New Roman" w:hAnsi="Times New Roman"/>
          <w:b/>
          <w:bCs/>
          <w:sz w:val="24"/>
          <w:szCs w:val="24"/>
        </w:rPr>
        <w:t xml:space="preserve">“Woman gets </w:t>
      </w:r>
      <w:proofErr w:type="gramStart"/>
      <w:r w:rsidRPr="00465FB3">
        <w:rPr>
          <w:rFonts w:ascii="Times New Roman" w:hAnsi="Times New Roman"/>
          <w:b/>
          <w:bCs/>
          <w:sz w:val="24"/>
          <w:szCs w:val="24"/>
        </w:rPr>
        <w:t>30 year</w:t>
      </w:r>
      <w:proofErr w:type="gramEnd"/>
      <w:r w:rsidRPr="00465FB3">
        <w:rPr>
          <w:rFonts w:ascii="Times New Roman" w:hAnsi="Times New Roman"/>
          <w:b/>
          <w:bCs/>
          <w:sz w:val="24"/>
          <w:szCs w:val="24"/>
        </w:rPr>
        <w:t xml:space="preserve"> sentence in arson that killed 3 Wilmington firefighters,” (Dec. 13, 2019) </w:t>
      </w:r>
      <w:hyperlink r:id="rId579" w:history="1">
        <w:r w:rsidRPr="00465FB3">
          <w:rPr>
            <w:rStyle w:val="Hyperlink"/>
            <w:rFonts w:ascii="Times New Roman" w:hAnsi="Times New Roman"/>
            <w:b/>
            <w:bCs/>
            <w:sz w:val="24"/>
            <w:szCs w:val="24"/>
          </w:rPr>
          <w:t>https://www.fox29.com/news/woman-gets-30-year-sentence-in-arson-that-killed-3-wilmington-firefighters</w:t>
        </w:r>
      </w:hyperlink>
      <w:bookmarkEnd w:id="105"/>
      <w:r w:rsidRPr="00465FB3">
        <w:rPr>
          <w:b/>
          <w:bCs/>
        </w:rPr>
        <w:t xml:space="preserve"> </w:t>
      </w:r>
    </w:p>
    <w:p w14:paraId="547BB67A" w14:textId="77777777" w:rsidR="00663160" w:rsidRPr="0007452B" w:rsidRDefault="00663160" w:rsidP="00663160">
      <w:pPr>
        <w:pStyle w:val="NoSpacing"/>
        <w:rPr>
          <w:sz w:val="24"/>
          <w:szCs w:val="24"/>
        </w:rPr>
      </w:pPr>
    </w:p>
    <w:p w14:paraId="0FAB91AB" w14:textId="77777777" w:rsidR="00663160" w:rsidRDefault="00663160" w:rsidP="00EF1133">
      <w:pPr>
        <w:pStyle w:val="NoSpacing"/>
        <w:rPr>
          <w:rFonts w:ascii="Arial Black" w:hAnsi="Arial Black"/>
          <w:sz w:val="24"/>
          <w:szCs w:val="24"/>
        </w:rPr>
      </w:pPr>
    </w:p>
    <w:p w14:paraId="7809057E" w14:textId="77777777" w:rsidR="00663160" w:rsidRDefault="00663160" w:rsidP="00EF1133">
      <w:pPr>
        <w:pStyle w:val="NoSpacing"/>
        <w:rPr>
          <w:rFonts w:ascii="Arial Black" w:hAnsi="Arial Black"/>
          <w:sz w:val="24"/>
          <w:szCs w:val="24"/>
        </w:rPr>
      </w:pPr>
    </w:p>
    <w:p w14:paraId="5377580D" w14:textId="77777777" w:rsidR="00663160" w:rsidRDefault="00663160" w:rsidP="00EF1133">
      <w:pPr>
        <w:pStyle w:val="NoSpacing"/>
        <w:rPr>
          <w:rFonts w:ascii="Arial Black" w:hAnsi="Arial Black"/>
          <w:sz w:val="24"/>
          <w:szCs w:val="24"/>
        </w:rPr>
      </w:pPr>
    </w:p>
    <w:p w14:paraId="2EA9FFBE" w14:textId="0D24AFC2" w:rsidR="00C9355B" w:rsidRDefault="00C9355B" w:rsidP="00EF1133">
      <w:pPr>
        <w:pStyle w:val="NoSpacing"/>
        <w:rPr>
          <w:rFonts w:ascii="Arial Black" w:hAnsi="Arial Black"/>
          <w:sz w:val="24"/>
          <w:szCs w:val="24"/>
        </w:rPr>
      </w:pPr>
      <w:r>
        <w:rPr>
          <w:rFonts w:ascii="Arial Black" w:hAnsi="Arial Black"/>
          <w:sz w:val="24"/>
          <w:szCs w:val="24"/>
        </w:rPr>
        <w:t>2-27</w:t>
      </w:r>
    </w:p>
    <w:p w14:paraId="5C6FE893" w14:textId="77777777" w:rsidR="00C9355B" w:rsidRDefault="00C9355B" w:rsidP="00C9355B">
      <w:pPr>
        <w:spacing w:before="100" w:beforeAutospacing="1" w:after="100" w:afterAutospacing="1"/>
        <w:rPr>
          <w:rFonts w:ascii="Arial Black" w:eastAsia="Times New Roman" w:hAnsi="Arial Black"/>
          <w:bCs/>
          <w:sz w:val="28"/>
          <w:szCs w:val="28"/>
        </w:rPr>
      </w:pPr>
      <w:r w:rsidRPr="005E0291">
        <w:rPr>
          <w:rFonts w:ascii="Arial Black" w:eastAsia="Times New Roman" w:hAnsi="Arial Black"/>
          <w:bCs/>
          <w:sz w:val="28"/>
          <w:szCs w:val="28"/>
        </w:rPr>
        <w:t xml:space="preserve">NY: </w:t>
      </w:r>
      <w:r>
        <w:rPr>
          <w:rFonts w:ascii="Arial Black" w:eastAsia="Times New Roman" w:hAnsi="Arial Black"/>
          <w:bCs/>
          <w:sz w:val="28"/>
          <w:szCs w:val="28"/>
        </w:rPr>
        <w:t xml:space="preserve"> FF SOLICITING FUNDS - HOMEOWNER AT DOOR WTH FIREARM – ARRESTED – MALICIOUS PROS. CASE DISMISSED </w:t>
      </w:r>
    </w:p>
    <w:p w14:paraId="4C3A3587" w14:textId="77777777" w:rsidR="00C9355B" w:rsidRPr="00695030" w:rsidRDefault="00C9355B" w:rsidP="00C9355B">
      <w:pPr>
        <w:spacing w:before="100" w:beforeAutospacing="1" w:after="100" w:afterAutospacing="1"/>
        <w:rPr>
          <w:rFonts w:ascii="Times New Roman" w:eastAsia="Times New Roman" w:hAnsi="Times New Roman"/>
          <w:b/>
          <w:sz w:val="24"/>
          <w:szCs w:val="24"/>
        </w:rPr>
      </w:pPr>
      <w:r w:rsidRPr="00695030">
        <w:rPr>
          <w:rFonts w:ascii="Times New Roman" w:eastAsia="Times New Roman" w:hAnsi="Times New Roman"/>
          <w:sz w:val="24"/>
          <w:szCs w:val="24"/>
        </w:rPr>
        <w:t xml:space="preserve">On </w:t>
      </w:r>
      <w:bookmarkStart w:id="106" w:name="_Hlk39822249"/>
      <w:r w:rsidRPr="00695030">
        <w:rPr>
          <w:rFonts w:ascii="Times New Roman" w:eastAsia="Times New Roman" w:hAnsi="Times New Roman"/>
          <w:sz w:val="24"/>
          <w:szCs w:val="24"/>
        </w:rPr>
        <w:t xml:space="preserve">Jan. 28, 2020, in </w:t>
      </w:r>
      <w:r w:rsidRPr="00695030">
        <w:rPr>
          <w:rFonts w:ascii="Times New Roman" w:eastAsia="Times New Roman" w:hAnsi="Times New Roman"/>
          <w:sz w:val="24"/>
          <w:szCs w:val="24"/>
          <w:u w:val="single"/>
        </w:rPr>
        <w:t xml:space="preserve">Carl T. </w:t>
      </w:r>
      <w:proofErr w:type="spellStart"/>
      <w:r w:rsidRPr="00695030">
        <w:rPr>
          <w:rFonts w:ascii="Times New Roman" w:eastAsia="Times New Roman" w:hAnsi="Times New Roman"/>
          <w:sz w:val="24"/>
          <w:szCs w:val="24"/>
          <w:u w:val="single"/>
        </w:rPr>
        <w:t>Semencic</w:t>
      </w:r>
      <w:proofErr w:type="spellEnd"/>
      <w:r w:rsidRPr="00695030">
        <w:rPr>
          <w:rFonts w:ascii="Times New Roman" w:eastAsia="Times New Roman" w:hAnsi="Times New Roman"/>
          <w:sz w:val="24"/>
          <w:szCs w:val="24"/>
          <w:u w:val="single"/>
        </w:rPr>
        <w:t xml:space="preserve"> v. The County of Nassau, et al</w:t>
      </w:r>
      <w:bookmarkEnd w:id="106"/>
      <w:r w:rsidRPr="00695030">
        <w:rPr>
          <w:rFonts w:ascii="Times New Roman" w:eastAsia="Times New Roman" w:hAnsi="Times New Roman"/>
          <w:sz w:val="24"/>
          <w:szCs w:val="24"/>
        </w:rPr>
        <w:t xml:space="preserve">., U.S. District Court Judge Sandra J. Feuerstein granted defense motion for summary judgment, and dismissed lawsuit by the homeowner arrested for menacing the firefighters.  </w:t>
      </w:r>
    </w:p>
    <w:p w14:paraId="1BB0DD49" w14:textId="70246BFC" w:rsidR="00C9355B" w:rsidRPr="00965872" w:rsidRDefault="00C9355B" w:rsidP="00965872">
      <w:pPr>
        <w:pStyle w:val="NoSpacing"/>
        <w:ind w:left="720"/>
        <w:rPr>
          <w:rFonts w:ascii="Times New Roman" w:hAnsi="Times New Roman"/>
          <w:sz w:val="24"/>
          <w:szCs w:val="24"/>
        </w:rPr>
      </w:pPr>
      <w:r w:rsidRPr="00965872">
        <w:rPr>
          <w:rFonts w:ascii="Times New Roman" w:hAnsi="Times New Roman"/>
          <w:sz w:val="24"/>
          <w:szCs w:val="24"/>
        </w:rPr>
        <w:t xml:space="preserve">“There are no factual allegations to plausibly suggest that Defendants lacked reasonable cause to believe that </w:t>
      </w:r>
      <w:proofErr w:type="spellStart"/>
      <w:r w:rsidRPr="00965872">
        <w:rPr>
          <w:rFonts w:ascii="Times New Roman" w:hAnsi="Times New Roman"/>
          <w:sz w:val="24"/>
          <w:szCs w:val="24"/>
        </w:rPr>
        <w:t>Semencic</w:t>
      </w:r>
      <w:proofErr w:type="spellEnd"/>
      <w:r w:rsidRPr="00965872">
        <w:rPr>
          <w:rFonts w:ascii="Times New Roman" w:hAnsi="Times New Roman"/>
          <w:sz w:val="24"/>
          <w:szCs w:val="24"/>
        </w:rPr>
        <w:t xml:space="preserve"> had menaced Maloney with a weapon in violation of New York law. Plaintiff was charged by information with menacing in the second degree, which provides that ‘[a] person is guilty of menacing in the second degree when. . . He or she intentionally places or attempts to place another person in reasonable fear of physical injury, serious physical injury or death by displaying a deadly weapon, dangerous instrument or what appears to be a pistol, revolver, rifle, shotgun, machine gun or other firearm. . …’  N.Y. PENAL LAW § 120.14. </w:t>
      </w:r>
      <w:proofErr w:type="spellStart"/>
      <w:r w:rsidRPr="00965872">
        <w:rPr>
          <w:rFonts w:ascii="Times New Roman" w:hAnsi="Times New Roman"/>
          <w:sz w:val="24"/>
          <w:szCs w:val="24"/>
        </w:rPr>
        <w:t>Semencic's</w:t>
      </w:r>
      <w:proofErr w:type="spellEnd"/>
      <w:r w:rsidRPr="00965872">
        <w:rPr>
          <w:rFonts w:ascii="Times New Roman" w:hAnsi="Times New Roman"/>
          <w:sz w:val="24"/>
          <w:szCs w:val="24"/>
        </w:rPr>
        <w:t xml:space="preserve"> own version of the events, in which he concedes his display of the gun, coupled with [firefighter] Maloney's assertion in his statement that he was ‘in fear of his life,’ essentially establishes a menacing charge.  ***  </w:t>
      </w:r>
      <w:r w:rsidRPr="00965872">
        <w:rPr>
          <w:rFonts w:ascii="Times New Roman" w:hAnsi="Times New Roman"/>
          <w:bCs/>
          <w:sz w:val="24"/>
          <w:szCs w:val="24"/>
        </w:rPr>
        <w:t>[P]</w:t>
      </w:r>
      <w:proofErr w:type="spellStart"/>
      <w:r w:rsidRPr="00965872">
        <w:rPr>
          <w:rFonts w:ascii="Times New Roman" w:hAnsi="Times New Roman"/>
          <w:bCs/>
          <w:sz w:val="24"/>
          <w:szCs w:val="24"/>
        </w:rPr>
        <w:t>ointing</w:t>
      </w:r>
      <w:proofErr w:type="spellEnd"/>
      <w:r w:rsidRPr="00965872">
        <w:rPr>
          <w:rFonts w:ascii="Times New Roman" w:hAnsi="Times New Roman"/>
          <w:bCs/>
          <w:sz w:val="24"/>
          <w:szCs w:val="24"/>
        </w:rPr>
        <w:t xml:space="preserve"> a gun at and tapping that gun against a 'Do Not Knock No Peddlers' sign and saying 'Go Away' can</w:t>
      </w:r>
      <w:r w:rsidRPr="00965872">
        <w:rPr>
          <w:rFonts w:ascii="Times New Roman" w:hAnsi="Times New Roman"/>
          <w:sz w:val="24"/>
          <w:szCs w:val="24"/>
        </w:rPr>
        <w:t xml:space="preserve">, </w:t>
      </w:r>
      <w:r w:rsidRPr="00965872">
        <w:rPr>
          <w:rFonts w:ascii="Times New Roman" w:hAnsi="Times New Roman"/>
          <w:bCs/>
          <w:sz w:val="24"/>
          <w:szCs w:val="24"/>
        </w:rPr>
        <w:t>given what guns are designed to do</w:t>
      </w:r>
      <w:r w:rsidRPr="00965872">
        <w:rPr>
          <w:rFonts w:ascii="Times New Roman" w:hAnsi="Times New Roman"/>
          <w:sz w:val="24"/>
          <w:szCs w:val="24"/>
        </w:rPr>
        <w:t xml:space="preserve">, </w:t>
      </w:r>
      <w:r w:rsidRPr="00965872">
        <w:rPr>
          <w:rFonts w:ascii="Times New Roman" w:hAnsi="Times New Roman"/>
          <w:bCs/>
          <w:sz w:val="24"/>
          <w:szCs w:val="24"/>
        </w:rPr>
        <w:t xml:space="preserve">be perceived as an attempt to instill the requisite fear that injury will ensue if the sign and the command are not obeyed. [Emphasis by Judge Feuerstein.]” </w:t>
      </w:r>
      <w:bookmarkStart w:id="107" w:name="_Hlk39822186"/>
      <w:r w:rsidR="00F2621E">
        <w:fldChar w:fldCharType="begin"/>
      </w:r>
      <w:r w:rsidR="00F2621E">
        <w:instrText xml:space="preserve"> HYPERLINK "https://public.fastcase.com/Wl%2B2t%2BeVuI35%2FN70vAMFZnOfSxLvAGpuUD2VM9emafhy4fr43G9Vd6d9h%2FUBoSxo" </w:instrText>
      </w:r>
      <w:r w:rsidR="00F2621E">
        <w:fldChar w:fldCharType="separate"/>
      </w:r>
      <w:r w:rsidRPr="00965872">
        <w:rPr>
          <w:rStyle w:val="Hyperlink"/>
          <w:rFonts w:ascii="Times New Roman" w:hAnsi="Times New Roman"/>
          <w:b/>
          <w:sz w:val="24"/>
          <w:szCs w:val="24"/>
        </w:rPr>
        <w:t>https://public.fastcase.com/Wl%2B2t%2BeVuI35%2FN70vAMFZnOfSxLvAGpuUD2VM9emafhy4fr43G9Vd6d9h%2FUBoSxo</w:t>
      </w:r>
      <w:r w:rsidR="00F2621E">
        <w:rPr>
          <w:rStyle w:val="Hyperlink"/>
          <w:rFonts w:ascii="Times New Roman" w:hAnsi="Times New Roman"/>
          <w:b/>
          <w:sz w:val="24"/>
          <w:szCs w:val="24"/>
        </w:rPr>
        <w:fldChar w:fldCharType="end"/>
      </w:r>
    </w:p>
    <w:bookmarkEnd w:id="107"/>
    <w:p w14:paraId="1834C4B4" w14:textId="77777777" w:rsidR="00C9355B" w:rsidRPr="00503E8F" w:rsidRDefault="00C9355B" w:rsidP="00C9355B">
      <w:pPr>
        <w:pStyle w:val="NormalWeb"/>
        <w:rPr>
          <w:bCs/>
        </w:rPr>
      </w:pPr>
      <w:r w:rsidRPr="00695030">
        <w:rPr>
          <w:b/>
        </w:rPr>
        <w:t xml:space="preserve">Legal Lessons Learned:  Suggestion – conduct “door to door” solicitations in pairs, in uniform, and be extremely caution where the homeowner has posted Do Not Knock or similar signs.  </w:t>
      </w:r>
      <w:r>
        <w:rPr>
          <w:bCs/>
        </w:rPr>
        <w:t xml:space="preserve">See article on the </w:t>
      </w:r>
      <w:r>
        <w:rPr>
          <w:bCs/>
        </w:rPr>
        <w:lastRenderedPageBreak/>
        <w:t xml:space="preserve">arrest, </w:t>
      </w:r>
      <w:bookmarkStart w:id="108" w:name="_Hlk39822065"/>
      <w:r>
        <w:rPr>
          <w:bCs/>
        </w:rPr>
        <w:t xml:space="preserve">“West Hempstead man menaced fire volunteer with gun, police say” (July 20, 2016):  </w:t>
      </w:r>
      <w:hyperlink r:id="rId580" w:history="1">
        <w:r w:rsidRPr="0063481C">
          <w:rPr>
            <w:rStyle w:val="Hyperlink"/>
          </w:rPr>
          <w:t>https://www.newsday.com/long-island/crime/west-hempstead-man-menaced-fire-volunteer-with-gun-police-say-1.12068135</w:t>
        </w:r>
      </w:hyperlink>
      <w:bookmarkEnd w:id="108"/>
      <w:r>
        <w:rPr>
          <w:bCs/>
        </w:rPr>
        <w:t xml:space="preserve"> </w:t>
      </w:r>
    </w:p>
    <w:p w14:paraId="2C2C5FD7" w14:textId="3D658942" w:rsidR="00C9355B" w:rsidRDefault="00C9355B" w:rsidP="00EF1133">
      <w:pPr>
        <w:pStyle w:val="NoSpacing"/>
        <w:rPr>
          <w:rFonts w:ascii="Arial Black" w:hAnsi="Arial Black"/>
          <w:sz w:val="24"/>
          <w:szCs w:val="24"/>
        </w:rPr>
      </w:pPr>
    </w:p>
    <w:p w14:paraId="7B4F6DC2" w14:textId="042AFCC8" w:rsidR="00C9355B" w:rsidRDefault="00C9355B" w:rsidP="00EF1133">
      <w:pPr>
        <w:pStyle w:val="NoSpacing"/>
        <w:rPr>
          <w:rFonts w:ascii="Arial Black" w:hAnsi="Arial Black"/>
          <w:sz w:val="24"/>
          <w:szCs w:val="24"/>
        </w:rPr>
      </w:pPr>
      <w:r>
        <w:rPr>
          <w:rFonts w:ascii="Arial Black" w:hAnsi="Arial Black"/>
          <w:sz w:val="24"/>
          <w:szCs w:val="24"/>
        </w:rPr>
        <w:t>2-26</w:t>
      </w:r>
    </w:p>
    <w:p w14:paraId="181DDE5E" w14:textId="4CE88308" w:rsidR="00C9355B" w:rsidRDefault="00C9355B" w:rsidP="00EF1133">
      <w:pPr>
        <w:pStyle w:val="NoSpacing"/>
        <w:rPr>
          <w:rFonts w:ascii="Arial Black" w:hAnsi="Arial Black"/>
          <w:sz w:val="24"/>
          <w:szCs w:val="24"/>
        </w:rPr>
      </w:pPr>
    </w:p>
    <w:p w14:paraId="67BAB4E4" w14:textId="77777777" w:rsidR="00C9355B" w:rsidRDefault="00C9355B" w:rsidP="00C9355B">
      <w:pPr>
        <w:pStyle w:val="NoSpacing"/>
        <w:rPr>
          <w:rFonts w:ascii="Arial Black" w:hAnsi="Arial Black"/>
          <w:b/>
          <w:bCs/>
          <w:sz w:val="28"/>
          <w:szCs w:val="28"/>
        </w:rPr>
      </w:pPr>
      <w:r w:rsidRPr="00F90324">
        <w:rPr>
          <w:rFonts w:ascii="Arial Black" w:hAnsi="Arial Black"/>
          <w:bCs/>
          <w:sz w:val="28"/>
          <w:szCs w:val="28"/>
        </w:rPr>
        <w:t xml:space="preserve">LA: </w:t>
      </w:r>
      <w:r>
        <w:rPr>
          <w:rFonts w:ascii="Arial Black" w:hAnsi="Arial Black"/>
          <w:bCs/>
          <w:sz w:val="28"/>
          <w:szCs w:val="28"/>
        </w:rPr>
        <w:t>OFFICER INJURED - “BLACK LIVES” PROTEST – SUING PROTEST LEADER – TOUGH CASE TO WIN / FIREMAN’S RULE</w:t>
      </w:r>
    </w:p>
    <w:p w14:paraId="00BA7CE7" w14:textId="77777777" w:rsidR="00C9355B" w:rsidRDefault="00C9355B" w:rsidP="00C9355B">
      <w:pPr>
        <w:pStyle w:val="NoSpacing"/>
        <w:rPr>
          <w:b/>
          <w:bCs/>
          <w:sz w:val="24"/>
          <w:szCs w:val="24"/>
        </w:rPr>
      </w:pPr>
    </w:p>
    <w:p w14:paraId="0D5656E1" w14:textId="77777777" w:rsidR="00C9355B" w:rsidRDefault="00C9355B" w:rsidP="00C9355B">
      <w:pPr>
        <w:pStyle w:val="NoSpacing"/>
        <w:rPr>
          <w:rFonts w:ascii="Times New Roman" w:hAnsi="Times New Roman"/>
          <w:bCs/>
          <w:sz w:val="24"/>
          <w:szCs w:val="24"/>
        </w:rPr>
      </w:pPr>
      <w:r w:rsidRPr="00695030">
        <w:rPr>
          <w:rFonts w:ascii="Times New Roman" w:hAnsi="Times New Roman"/>
          <w:bCs/>
          <w:sz w:val="24"/>
          <w:szCs w:val="24"/>
        </w:rPr>
        <w:t xml:space="preserve">On Jan. 28, 2020, in </w:t>
      </w:r>
      <w:r w:rsidRPr="00695030">
        <w:rPr>
          <w:rFonts w:ascii="Times New Roman" w:hAnsi="Times New Roman"/>
          <w:bCs/>
          <w:sz w:val="24"/>
          <w:szCs w:val="24"/>
          <w:u w:val="single"/>
        </w:rPr>
        <w:t>Officer John Doe v. Deray McKesson; Black Lives Matter</w:t>
      </w:r>
      <w:r w:rsidRPr="00695030">
        <w:rPr>
          <w:rFonts w:ascii="Times New Roman" w:hAnsi="Times New Roman"/>
          <w:bCs/>
          <w:sz w:val="24"/>
          <w:szCs w:val="24"/>
        </w:rPr>
        <w:t>, the U.S. Court of Appeals for 5</w:t>
      </w:r>
      <w:r w:rsidRPr="00695030">
        <w:rPr>
          <w:rFonts w:ascii="Times New Roman" w:hAnsi="Times New Roman"/>
          <w:bCs/>
          <w:sz w:val="24"/>
          <w:szCs w:val="24"/>
          <w:vertAlign w:val="superscript"/>
        </w:rPr>
        <w:t>th</w:t>
      </w:r>
      <w:r w:rsidRPr="00695030">
        <w:rPr>
          <w:rFonts w:ascii="Times New Roman" w:hAnsi="Times New Roman"/>
          <w:bCs/>
          <w:sz w:val="24"/>
          <w:szCs w:val="24"/>
        </w:rPr>
        <w:t xml:space="preserve"> Circuit (New Orleans), declined to hear the appeal </w:t>
      </w:r>
      <w:proofErr w:type="spellStart"/>
      <w:r w:rsidRPr="00695030">
        <w:rPr>
          <w:rFonts w:ascii="Times New Roman" w:hAnsi="Times New Roman"/>
          <w:bCs/>
          <w:sz w:val="24"/>
          <w:szCs w:val="24"/>
        </w:rPr>
        <w:t>en</w:t>
      </w:r>
      <w:proofErr w:type="spellEnd"/>
      <w:r w:rsidRPr="00695030">
        <w:rPr>
          <w:rFonts w:ascii="Times New Roman" w:hAnsi="Times New Roman"/>
          <w:bCs/>
          <w:sz w:val="24"/>
          <w:szCs w:val="24"/>
        </w:rPr>
        <w:t xml:space="preserve"> banc (by all 16 Circuit Court judges (on a tie vote of 8 to 8).   Dec. 16, </w:t>
      </w:r>
      <w:proofErr w:type="gramStart"/>
      <w:r w:rsidRPr="00695030">
        <w:rPr>
          <w:rFonts w:ascii="Times New Roman" w:hAnsi="Times New Roman"/>
          <w:bCs/>
          <w:sz w:val="24"/>
          <w:szCs w:val="24"/>
        </w:rPr>
        <w:t>2019</w:t>
      </w:r>
      <w:proofErr w:type="gramEnd"/>
      <w:r w:rsidRPr="00695030">
        <w:rPr>
          <w:rFonts w:ascii="Times New Roman" w:hAnsi="Times New Roman"/>
          <w:bCs/>
          <w:sz w:val="24"/>
          <w:szCs w:val="24"/>
        </w:rPr>
        <w:t xml:space="preserve"> decision by 3-judge panel held (2 to 1) that the police officer’s lawsuit against the protest organizer, </w:t>
      </w:r>
    </w:p>
    <w:p w14:paraId="444FA89E" w14:textId="77777777" w:rsidR="00C9355B" w:rsidRDefault="00C9355B" w:rsidP="00C9355B">
      <w:pPr>
        <w:pStyle w:val="NoSpacing"/>
        <w:rPr>
          <w:rFonts w:ascii="Times New Roman" w:hAnsi="Times New Roman"/>
          <w:bCs/>
          <w:sz w:val="24"/>
          <w:szCs w:val="24"/>
        </w:rPr>
      </w:pPr>
    </w:p>
    <w:p w14:paraId="3F048130" w14:textId="77777777" w:rsidR="00C9355B" w:rsidRPr="00695030" w:rsidRDefault="00C9355B" w:rsidP="00C9355B">
      <w:pPr>
        <w:pStyle w:val="NoSpacing"/>
        <w:rPr>
          <w:rFonts w:ascii="Times New Roman" w:hAnsi="Times New Roman"/>
          <w:b/>
          <w:bCs/>
          <w:sz w:val="24"/>
          <w:szCs w:val="24"/>
        </w:rPr>
      </w:pPr>
      <w:proofErr w:type="gramStart"/>
      <w:r w:rsidRPr="00695030">
        <w:rPr>
          <w:rFonts w:ascii="Times New Roman" w:hAnsi="Times New Roman"/>
          <w:bCs/>
          <w:sz w:val="24"/>
          <w:szCs w:val="24"/>
        </w:rPr>
        <w:t>Deray McKesson,</w:t>
      </w:r>
      <w:proofErr w:type="gramEnd"/>
      <w:r w:rsidRPr="00695030">
        <w:rPr>
          <w:rFonts w:ascii="Times New Roman" w:hAnsi="Times New Roman"/>
          <w:bCs/>
          <w:sz w:val="24"/>
          <w:szCs w:val="24"/>
        </w:rPr>
        <w:t xml:space="preserve"> would be reinstated and </w:t>
      </w:r>
      <w:proofErr w:type="gramStart"/>
      <w:r w:rsidRPr="00695030">
        <w:rPr>
          <w:rFonts w:ascii="Times New Roman" w:hAnsi="Times New Roman"/>
          <w:bCs/>
          <w:sz w:val="24"/>
          <w:szCs w:val="24"/>
        </w:rPr>
        <w:t>remanded</w:t>
      </w:r>
      <w:proofErr w:type="gramEnd"/>
      <w:r w:rsidRPr="00695030">
        <w:rPr>
          <w:rFonts w:ascii="Times New Roman" w:hAnsi="Times New Roman"/>
          <w:bCs/>
          <w:sz w:val="24"/>
          <w:szCs w:val="24"/>
        </w:rPr>
        <w:t xml:space="preserve"> to trial judge.  In the Dec. 16, </w:t>
      </w:r>
      <w:proofErr w:type="gramStart"/>
      <w:r w:rsidRPr="00695030">
        <w:rPr>
          <w:rFonts w:ascii="Times New Roman" w:hAnsi="Times New Roman"/>
          <w:bCs/>
          <w:sz w:val="24"/>
          <w:szCs w:val="24"/>
        </w:rPr>
        <w:t>2020</w:t>
      </w:r>
      <w:proofErr w:type="gramEnd"/>
      <w:r w:rsidRPr="00695030">
        <w:rPr>
          <w:rFonts w:ascii="Times New Roman" w:hAnsi="Times New Roman"/>
          <w:bCs/>
          <w:sz w:val="24"/>
          <w:szCs w:val="24"/>
        </w:rPr>
        <w:t xml:space="preserve"> decision, Circuit Judge E. Grady Loll wrote:   </w:t>
      </w:r>
    </w:p>
    <w:p w14:paraId="2ADCF10B" w14:textId="77777777" w:rsidR="00C9355B" w:rsidRPr="00695030" w:rsidRDefault="00C9355B" w:rsidP="00C9355B">
      <w:pPr>
        <w:pStyle w:val="NoSpacing"/>
        <w:rPr>
          <w:rFonts w:ascii="Times New Roman" w:hAnsi="Times New Roman"/>
          <w:b/>
          <w:bCs/>
          <w:sz w:val="24"/>
          <w:szCs w:val="24"/>
        </w:rPr>
      </w:pPr>
    </w:p>
    <w:p w14:paraId="79180E55" w14:textId="77777777" w:rsidR="00C9355B" w:rsidRPr="00695030" w:rsidRDefault="00C9355B" w:rsidP="00C9355B">
      <w:pPr>
        <w:pStyle w:val="NoSpacing"/>
        <w:ind w:left="720"/>
        <w:rPr>
          <w:rFonts w:ascii="Times New Roman" w:eastAsia="Times New Roman" w:hAnsi="Times New Roman"/>
          <w:b/>
          <w:bCs/>
          <w:sz w:val="24"/>
          <w:szCs w:val="24"/>
        </w:rPr>
      </w:pPr>
      <w:r w:rsidRPr="00695030">
        <w:rPr>
          <w:rFonts w:ascii="Times New Roman" w:eastAsia="Times New Roman" w:hAnsi="Times New Roman"/>
          <w:bCs/>
          <w:sz w:val="24"/>
          <w:szCs w:val="24"/>
        </w:rPr>
        <w:t>“</w:t>
      </w:r>
      <w:r w:rsidRPr="00695030">
        <w:rPr>
          <w:rFonts w:ascii="Times New Roman" w:hAnsi="Times New Roman"/>
          <w:bCs/>
          <w:sz w:val="24"/>
          <w:szCs w:val="24"/>
        </w:rPr>
        <w:t xml:space="preserve">We first note that this case comes before us from a dismissal on the pleadings alone. In this context, we find that Officer Doe has plausibly alleged that Mckesson breached his duty of reasonable care </w:t>
      </w:r>
      <w:proofErr w:type="gramStart"/>
      <w:r w:rsidRPr="00695030">
        <w:rPr>
          <w:rFonts w:ascii="Times New Roman" w:hAnsi="Times New Roman"/>
          <w:bCs/>
          <w:sz w:val="24"/>
          <w:szCs w:val="24"/>
        </w:rPr>
        <w:t>in the course of</w:t>
      </w:r>
      <w:proofErr w:type="gramEnd"/>
      <w:r w:rsidRPr="00695030">
        <w:rPr>
          <w:rFonts w:ascii="Times New Roman" w:hAnsi="Times New Roman"/>
          <w:bCs/>
          <w:sz w:val="24"/>
          <w:szCs w:val="24"/>
        </w:rPr>
        <w:t xml:space="preserve"> organizing and leading the Baton Rouge demonstration. The complaint alleges that Mckesson planned to block a public highway as part of the protest. And the complaint specifically alleges that Mckesson </w:t>
      </w:r>
      <w:proofErr w:type="gramStart"/>
      <w:r w:rsidRPr="00695030">
        <w:rPr>
          <w:rFonts w:ascii="Times New Roman" w:hAnsi="Times New Roman"/>
          <w:bCs/>
          <w:sz w:val="24"/>
          <w:szCs w:val="24"/>
        </w:rPr>
        <w:t>was in charge of</w:t>
      </w:r>
      <w:proofErr w:type="gramEnd"/>
      <w:r w:rsidRPr="00695030">
        <w:rPr>
          <w:rFonts w:ascii="Times New Roman" w:hAnsi="Times New Roman"/>
          <w:bCs/>
          <w:sz w:val="24"/>
          <w:szCs w:val="24"/>
        </w:rPr>
        <w:t xml:space="preserve"> the protests and was seen and heard giving orders throughout the day and night of the protests. Blocking a public highway is a criminal act under Louisiana law. See La. Rev. Stat. Ann. § 14:97. Indeed, the complaint alleges that Mckesson himself was arrested during the demonstration. It was patently foreseeable that the Baton Rouge police would be required to respond to the demonstration by clearing the highway and, when necessary, making arrests. Given the intentional lawlessness of this aspect of the demonstration, Mckesson should have known that leading the demonstrators onto a busy highway was likely to provoke a confrontation between police and the mass of demonstrators, yet he ignored the foreseeable danger to officers, bystanders, and demonstrators, and notwithstanding, did so anyway.”  </w:t>
      </w:r>
      <w:hyperlink r:id="rId581" w:history="1">
        <w:r w:rsidRPr="00695030">
          <w:rPr>
            <w:rStyle w:val="Hyperlink"/>
            <w:rFonts w:ascii="Times New Roman" w:hAnsi="Times New Roman"/>
            <w:b/>
            <w:sz w:val="24"/>
            <w:szCs w:val="24"/>
          </w:rPr>
          <w:t>http://www.ca5.uscourts.gov/opinions/pub/17/17-30864-CV1.pdf</w:t>
        </w:r>
      </w:hyperlink>
      <w:r w:rsidRPr="00695030">
        <w:rPr>
          <w:rFonts w:ascii="Times New Roman" w:hAnsi="Times New Roman"/>
          <w:bCs/>
          <w:sz w:val="24"/>
          <w:szCs w:val="24"/>
        </w:rPr>
        <w:t xml:space="preserve"> </w:t>
      </w:r>
    </w:p>
    <w:p w14:paraId="070AF6AA" w14:textId="77777777" w:rsidR="00C9355B" w:rsidRDefault="00C9355B" w:rsidP="00C9355B">
      <w:pPr>
        <w:pStyle w:val="NoSpacing"/>
        <w:rPr>
          <w:rFonts w:ascii="Times New Roman" w:hAnsi="Times New Roman"/>
          <w:b/>
          <w:bCs/>
          <w:sz w:val="24"/>
          <w:szCs w:val="24"/>
        </w:rPr>
      </w:pPr>
    </w:p>
    <w:p w14:paraId="1ED0DB47" w14:textId="6417FB27" w:rsidR="00C9355B" w:rsidRPr="00695030" w:rsidRDefault="00C9355B" w:rsidP="00C9355B">
      <w:pPr>
        <w:pStyle w:val="NoSpacing"/>
        <w:rPr>
          <w:rFonts w:ascii="Times New Roman" w:hAnsi="Times New Roman"/>
          <w:sz w:val="24"/>
          <w:szCs w:val="24"/>
        </w:rPr>
      </w:pPr>
      <w:r w:rsidRPr="00695030">
        <w:rPr>
          <w:rFonts w:ascii="Times New Roman" w:hAnsi="Times New Roman"/>
          <w:b/>
          <w:bCs/>
          <w:sz w:val="24"/>
          <w:szCs w:val="24"/>
        </w:rPr>
        <w:t>Legal Lessons Learned:  On remand, the police officer has an “uphill battle” to overcome the Professional Rescuer Doctrine [also known as the Fireman’s Rule].</w:t>
      </w:r>
      <w:r w:rsidRPr="00695030">
        <w:rPr>
          <w:rFonts w:ascii="Times New Roman" w:hAnsi="Times New Roman"/>
          <w:sz w:val="24"/>
          <w:szCs w:val="24"/>
        </w:rPr>
        <w:t xml:space="preserve">   See dissent by Circuit Judge James C. Ho, in the Jan. 28, </w:t>
      </w:r>
      <w:proofErr w:type="gramStart"/>
      <w:r w:rsidRPr="00695030">
        <w:rPr>
          <w:rFonts w:ascii="Times New Roman" w:hAnsi="Times New Roman"/>
          <w:sz w:val="24"/>
          <w:szCs w:val="24"/>
        </w:rPr>
        <w:t>2020</w:t>
      </w:r>
      <w:proofErr w:type="gramEnd"/>
      <w:r w:rsidRPr="00695030">
        <w:rPr>
          <w:rFonts w:ascii="Times New Roman" w:hAnsi="Times New Roman"/>
          <w:sz w:val="24"/>
          <w:szCs w:val="24"/>
        </w:rPr>
        <w:t xml:space="preserve"> decision of 5</w:t>
      </w:r>
      <w:r w:rsidRPr="00695030">
        <w:rPr>
          <w:rFonts w:ascii="Times New Roman" w:hAnsi="Times New Roman"/>
          <w:sz w:val="24"/>
          <w:szCs w:val="24"/>
          <w:vertAlign w:val="superscript"/>
        </w:rPr>
        <w:t>th</w:t>
      </w:r>
      <w:r w:rsidRPr="00695030">
        <w:rPr>
          <w:rFonts w:ascii="Times New Roman" w:hAnsi="Times New Roman"/>
          <w:sz w:val="24"/>
          <w:szCs w:val="24"/>
        </w:rPr>
        <w:t xml:space="preserve"> Circuit (on tie vote of 8 to 8) to not rehear the case </w:t>
      </w:r>
      <w:proofErr w:type="spellStart"/>
      <w:r w:rsidRPr="00695030">
        <w:rPr>
          <w:rFonts w:ascii="Times New Roman" w:hAnsi="Times New Roman"/>
          <w:sz w:val="24"/>
          <w:szCs w:val="24"/>
        </w:rPr>
        <w:t>en</w:t>
      </w:r>
      <w:proofErr w:type="spellEnd"/>
      <w:r w:rsidRPr="00695030">
        <w:rPr>
          <w:rFonts w:ascii="Times New Roman" w:hAnsi="Times New Roman"/>
          <w:sz w:val="24"/>
          <w:szCs w:val="24"/>
        </w:rPr>
        <w:t xml:space="preserve"> banc. </w:t>
      </w:r>
    </w:p>
    <w:p w14:paraId="4D78FC86" w14:textId="77777777" w:rsidR="00C9355B" w:rsidRPr="00695030" w:rsidRDefault="00C9355B" w:rsidP="00C9355B">
      <w:pPr>
        <w:pStyle w:val="NoSpacing"/>
        <w:ind w:left="720"/>
        <w:rPr>
          <w:rFonts w:ascii="Times New Roman" w:hAnsi="Times New Roman"/>
          <w:b/>
          <w:bCs/>
          <w:sz w:val="24"/>
          <w:szCs w:val="24"/>
        </w:rPr>
      </w:pPr>
    </w:p>
    <w:p w14:paraId="357C7054" w14:textId="77777777" w:rsidR="00C9355B" w:rsidRPr="00695030" w:rsidRDefault="00C9355B" w:rsidP="00C9355B">
      <w:pPr>
        <w:pStyle w:val="NoSpacing"/>
        <w:ind w:left="720"/>
        <w:rPr>
          <w:rFonts w:ascii="Times New Roman" w:hAnsi="Times New Roman"/>
          <w:b/>
          <w:bCs/>
          <w:sz w:val="24"/>
          <w:szCs w:val="24"/>
        </w:rPr>
      </w:pPr>
      <w:r w:rsidRPr="00695030">
        <w:rPr>
          <w:rFonts w:ascii="Times New Roman" w:hAnsi="Times New Roman"/>
          <w:bCs/>
          <w:sz w:val="24"/>
          <w:szCs w:val="24"/>
        </w:rPr>
        <w:t xml:space="preserve">“Police officers and firefighters dedicate their lives to protecting others, often putting themselves in harm’s way. These are difficult and dangerous jobs, and citizens owe a debt of gratitude to those who are willing and able to perform them. What’s more, police officers and firefighters assume the risk that they may </w:t>
      </w:r>
      <w:proofErr w:type="spellStart"/>
      <w:r w:rsidRPr="00695030">
        <w:rPr>
          <w:rFonts w:ascii="Times New Roman" w:hAnsi="Times New Roman"/>
          <w:bCs/>
          <w:sz w:val="24"/>
          <w:szCs w:val="24"/>
        </w:rPr>
        <w:t>bissent</w:t>
      </w:r>
      <w:proofErr w:type="spellEnd"/>
      <w:r w:rsidRPr="00695030">
        <w:rPr>
          <w:rFonts w:ascii="Times New Roman" w:hAnsi="Times New Roman"/>
          <w:bCs/>
          <w:sz w:val="24"/>
          <w:szCs w:val="24"/>
        </w:rPr>
        <w:t xml:space="preserve"> e injured in the line of duty. </w:t>
      </w:r>
      <w:proofErr w:type="gramStart"/>
      <w:r w:rsidRPr="00695030">
        <w:rPr>
          <w:rFonts w:ascii="Times New Roman" w:hAnsi="Times New Roman"/>
          <w:bCs/>
          <w:sz w:val="24"/>
          <w:szCs w:val="24"/>
        </w:rPr>
        <w:t>So</w:t>
      </w:r>
      <w:proofErr w:type="gramEnd"/>
      <w:r w:rsidRPr="00695030">
        <w:rPr>
          <w:rFonts w:ascii="Times New Roman" w:hAnsi="Times New Roman"/>
          <w:bCs/>
          <w:sz w:val="24"/>
          <w:szCs w:val="24"/>
        </w:rPr>
        <w:t xml:space="preserve"> they are not allowed to recover damages from those responsible for their injuries, under a common law rule known as the professional rescuer doctrine.</w:t>
      </w:r>
    </w:p>
    <w:p w14:paraId="01EE2395" w14:textId="77777777" w:rsidR="00C9355B" w:rsidRPr="00695030" w:rsidRDefault="00C9355B" w:rsidP="00C9355B">
      <w:pPr>
        <w:pStyle w:val="NoSpacing"/>
        <w:ind w:left="720"/>
        <w:rPr>
          <w:rFonts w:ascii="Times New Roman" w:hAnsi="Times New Roman"/>
          <w:b/>
          <w:bCs/>
          <w:sz w:val="24"/>
          <w:szCs w:val="24"/>
        </w:rPr>
      </w:pPr>
    </w:p>
    <w:p w14:paraId="27D7AF2C" w14:textId="77777777" w:rsidR="00C9355B" w:rsidRPr="00695030" w:rsidRDefault="00C9355B" w:rsidP="00C9355B">
      <w:pPr>
        <w:pStyle w:val="NoSpacing"/>
        <w:ind w:left="720"/>
        <w:rPr>
          <w:rFonts w:ascii="Times New Roman" w:hAnsi="Times New Roman"/>
          <w:b/>
          <w:bCs/>
          <w:sz w:val="24"/>
          <w:szCs w:val="24"/>
        </w:rPr>
      </w:pPr>
      <w:r w:rsidRPr="00695030">
        <w:rPr>
          <w:rFonts w:ascii="Times New Roman" w:hAnsi="Times New Roman"/>
          <w:bCs/>
          <w:sz w:val="24"/>
          <w:szCs w:val="24"/>
        </w:rPr>
        <w:t>***</w:t>
      </w:r>
    </w:p>
    <w:p w14:paraId="1867ECA0" w14:textId="77777777" w:rsidR="00C9355B" w:rsidRPr="00695030" w:rsidRDefault="00C9355B" w:rsidP="00C9355B">
      <w:pPr>
        <w:pStyle w:val="NoSpacing"/>
        <w:ind w:left="720"/>
        <w:rPr>
          <w:rFonts w:ascii="Times New Roman" w:eastAsia="Times New Roman" w:hAnsi="Times New Roman"/>
          <w:b/>
          <w:sz w:val="24"/>
          <w:szCs w:val="24"/>
        </w:rPr>
      </w:pPr>
      <w:r w:rsidRPr="00695030">
        <w:rPr>
          <w:rFonts w:ascii="Times New Roman" w:hAnsi="Times New Roman"/>
          <w:bCs/>
          <w:sz w:val="24"/>
          <w:szCs w:val="24"/>
        </w:rPr>
        <w:t xml:space="preserve">Civil disobedience enjoys a rich tradition in our nation’s history. But there is a difference between civil disobedience—and civil disobedience without consequence…  Citizens may protest. But by protesting, the </w:t>
      </w:r>
      <w:proofErr w:type="gramStart"/>
      <w:r w:rsidRPr="00695030">
        <w:rPr>
          <w:rFonts w:ascii="Times New Roman" w:hAnsi="Times New Roman"/>
          <w:bCs/>
          <w:sz w:val="24"/>
          <w:szCs w:val="24"/>
        </w:rPr>
        <w:t>citizen does</w:t>
      </w:r>
      <w:proofErr w:type="gramEnd"/>
      <w:r w:rsidRPr="00695030">
        <w:rPr>
          <w:rFonts w:ascii="Times New Roman" w:hAnsi="Times New Roman"/>
          <w:bCs/>
          <w:sz w:val="24"/>
          <w:szCs w:val="24"/>
        </w:rPr>
        <w:t xml:space="preserve"> not suddenly gain immunity to violate traffic rules or other laws that the rest of us are required to follow. The First Amendment protects protest, not trespass. That said, this lawsuit should not proceed for an entirely different reason—the professional rescuer doctrine. I trust the district court will faithfully apply that doctrine </w:t>
      </w:r>
      <w:proofErr w:type="gramStart"/>
      <w:r w:rsidRPr="00695030">
        <w:rPr>
          <w:rFonts w:ascii="Times New Roman" w:hAnsi="Times New Roman"/>
          <w:bCs/>
          <w:sz w:val="24"/>
          <w:szCs w:val="24"/>
        </w:rPr>
        <w:t>if and when</w:t>
      </w:r>
      <w:proofErr w:type="gramEnd"/>
      <w:r w:rsidRPr="00695030">
        <w:rPr>
          <w:rFonts w:ascii="Times New Roman" w:hAnsi="Times New Roman"/>
          <w:bCs/>
          <w:sz w:val="24"/>
          <w:szCs w:val="24"/>
        </w:rPr>
        <w:t xml:space="preserve"> Mckesson invokes it, and dismiss the suit on remand, just as it did before.” </w:t>
      </w:r>
      <w:r w:rsidRPr="00695030">
        <w:rPr>
          <w:rFonts w:ascii="Times New Roman" w:eastAsia="Times New Roman" w:hAnsi="Times New Roman"/>
          <w:bCs/>
          <w:sz w:val="24"/>
          <w:szCs w:val="24"/>
        </w:rPr>
        <w:t xml:space="preserve"> </w:t>
      </w:r>
      <w:hyperlink r:id="rId582" w:history="1">
        <w:r w:rsidRPr="00695030">
          <w:rPr>
            <w:rStyle w:val="Hyperlink"/>
            <w:rFonts w:ascii="Times New Roman" w:hAnsi="Times New Roman"/>
            <w:b/>
            <w:sz w:val="24"/>
            <w:szCs w:val="24"/>
          </w:rPr>
          <w:t>http://www.ca5.uscourts.gov/opinions/pub/17/17-30864-CV2.pdf</w:t>
        </w:r>
      </w:hyperlink>
      <w:r w:rsidRPr="00695030">
        <w:rPr>
          <w:rFonts w:ascii="Times New Roman" w:eastAsia="Times New Roman" w:hAnsi="Times New Roman"/>
          <w:sz w:val="24"/>
          <w:szCs w:val="24"/>
        </w:rPr>
        <w:t xml:space="preserve"> </w:t>
      </w:r>
    </w:p>
    <w:p w14:paraId="65ED8519" w14:textId="77777777" w:rsidR="00C9355B" w:rsidRPr="00695030" w:rsidRDefault="00C9355B" w:rsidP="00C9355B">
      <w:pPr>
        <w:spacing w:before="100" w:beforeAutospacing="1" w:after="100" w:afterAutospacing="1"/>
        <w:ind w:left="720"/>
        <w:rPr>
          <w:rFonts w:ascii="Times New Roman" w:eastAsia="Times New Roman" w:hAnsi="Times New Roman"/>
          <w:b/>
          <w:bCs/>
          <w:sz w:val="24"/>
          <w:szCs w:val="24"/>
        </w:rPr>
      </w:pPr>
      <w:r w:rsidRPr="00695030">
        <w:rPr>
          <w:rFonts w:ascii="Times New Roman" w:eastAsia="Times New Roman" w:hAnsi="Times New Roman"/>
          <w:bCs/>
          <w:sz w:val="24"/>
          <w:szCs w:val="24"/>
        </w:rPr>
        <w:lastRenderedPageBreak/>
        <w:t xml:space="preserve">See also the ALCU’s petition requesting U.S. Supreme Court to hear the case:  </w:t>
      </w:r>
      <w:hyperlink r:id="rId583" w:history="1">
        <w:r w:rsidRPr="00695030">
          <w:rPr>
            <w:rStyle w:val="Hyperlink"/>
            <w:rFonts w:ascii="Times New Roman" w:hAnsi="Times New Roman"/>
            <w:b/>
            <w:sz w:val="24"/>
            <w:szCs w:val="24"/>
          </w:rPr>
          <w:t>https://www.aclu.org/sites/default/files/field_document/mckesson_v_doe_cert_petn_and_appendix.pdf</w:t>
        </w:r>
      </w:hyperlink>
      <w:r w:rsidRPr="00695030">
        <w:rPr>
          <w:rFonts w:ascii="Times New Roman" w:eastAsia="Times New Roman" w:hAnsi="Times New Roman"/>
          <w:bCs/>
          <w:sz w:val="24"/>
          <w:szCs w:val="24"/>
        </w:rPr>
        <w:t xml:space="preserve"> </w:t>
      </w:r>
    </w:p>
    <w:p w14:paraId="0EF79D4E" w14:textId="4C5A732E" w:rsidR="00C9355B" w:rsidRDefault="00C9355B" w:rsidP="00EF1133">
      <w:pPr>
        <w:pStyle w:val="NoSpacing"/>
        <w:rPr>
          <w:rFonts w:ascii="Arial Black" w:hAnsi="Arial Black"/>
          <w:sz w:val="24"/>
          <w:szCs w:val="24"/>
        </w:rPr>
      </w:pPr>
    </w:p>
    <w:p w14:paraId="45018E3E" w14:textId="0C7943D2" w:rsidR="00C9355B" w:rsidRDefault="00C9355B" w:rsidP="00EF1133">
      <w:pPr>
        <w:pStyle w:val="NoSpacing"/>
        <w:rPr>
          <w:rFonts w:ascii="Arial Black" w:hAnsi="Arial Black"/>
          <w:sz w:val="24"/>
          <w:szCs w:val="24"/>
        </w:rPr>
      </w:pPr>
      <w:r>
        <w:rPr>
          <w:rFonts w:ascii="Arial Black" w:hAnsi="Arial Black"/>
          <w:sz w:val="24"/>
          <w:szCs w:val="24"/>
        </w:rPr>
        <w:t>2-25</w:t>
      </w:r>
    </w:p>
    <w:p w14:paraId="773CEC28" w14:textId="77777777" w:rsidR="00C9355B" w:rsidRPr="00231496" w:rsidRDefault="00C9355B" w:rsidP="00C9355B">
      <w:pPr>
        <w:spacing w:before="100" w:beforeAutospacing="1" w:after="100" w:afterAutospacing="1"/>
        <w:rPr>
          <w:rFonts w:ascii="Arial Black" w:eastAsia="Times New Roman" w:hAnsi="Arial Black"/>
          <w:b/>
          <w:bCs/>
          <w:sz w:val="28"/>
          <w:szCs w:val="28"/>
        </w:rPr>
      </w:pPr>
      <w:bookmarkStart w:id="109" w:name="_Hlk39818125"/>
      <w:r w:rsidRPr="00231496">
        <w:rPr>
          <w:rFonts w:ascii="Arial Black" w:eastAsia="Times New Roman" w:hAnsi="Arial Black"/>
          <w:bCs/>
          <w:sz w:val="28"/>
          <w:szCs w:val="28"/>
        </w:rPr>
        <w:t xml:space="preserve">TX: </w:t>
      </w:r>
      <w:r>
        <w:rPr>
          <w:rFonts w:ascii="Arial Black" w:eastAsia="Times New Roman" w:hAnsi="Arial Black"/>
          <w:bCs/>
          <w:sz w:val="28"/>
          <w:szCs w:val="28"/>
        </w:rPr>
        <w:t xml:space="preserve">FF / BAPTIST MINISTER – OBJECTED TO TETANUS VACCINATION – DECLINED INSPECTOR JOB - FIRED </w:t>
      </w:r>
    </w:p>
    <w:p w14:paraId="6DEC8938" w14:textId="010A3488" w:rsidR="00C9355B" w:rsidRPr="00695030" w:rsidRDefault="00C9355B" w:rsidP="00C9355B">
      <w:pPr>
        <w:pStyle w:val="NoSpacing"/>
        <w:rPr>
          <w:rFonts w:ascii="Times New Roman" w:hAnsi="Times New Roman"/>
          <w:b/>
          <w:bCs/>
          <w:sz w:val="24"/>
          <w:szCs w:val="24"/>
        </w:rPr>
      </w:pPr>
      <w:r w:rsidRPr="00695030">
        <w:rPr>
          <w:rFonts w:ascii="Times New Roman" w:hAnsi="Times New Roman"/>
          <w:bCs/>
          <w:sz w:val="24"/>
          <w:szCs w:val="24"/>
        </w:rPr>
        <w:t xml:space="preserve">On Jan. 9, 2020, in </w:t>
      </w:r>
      <w:r w:rsidRPr="00695030">
        <w:rPr>
          <w:rFonts w:ascii="Times New Roman" w:hAnsi="Times New Roman"/>
          <w:bCs/>
          <w:sz w:val="24"/>
          <w:szCs w:val="24"/>
          <w:u w:val="single"/>
        </w:rPr>
        <w:t>Brett Horvath v. City of Leander, Texas</w:t>
      </w:r>
      <w:r w:rsidRPr="00695030">
        <w:rPr>
          <w:rFonts w:ascii="Times New Roman" w:hAnsi="Times New Roman"/>
          <w:bCs/>
          <w:sz w:val="24"/>
          <w:szCs w:val="24"/>
        </w:rPr>
        <w:t>, the U.S. Court of Appeals for the 5</w:t>
      </w:r>
      <w:r w:rsidRPr="00695030">
        <w:rPr>
          <w:rFonts w:ascii="Times New Roman" w:hAnsi="Times New Roman"/>
          <w:bCs/>
          <w:sz w:val="24"/>
          <w:szCs w:val="24"/>
          <w:vertAlign w:val="superscript"/>
        </w:rPr>
        <w:t>th</w:t>
      </w:r>
      <w:r w:rsidRPr="00695030">
        <w:rPr>
          <w:rFonts w:ascii="Times New Roman" w:hAnsi="Times New Roman"/>
          <w:bCs/>
          <w:sz w:val="24"/>
          <w:szCs w:val="24"/>
        </w:rPr>
        <w:t xml:space="preserve"> Circuit (New Orleans), held (3 to 0) that U.S. District Court properly granted the city’s motion for summary judgment.  The firefighter was offered transfer from </w:t>
      </w:r>
      <w:proofErr w:type="gramStart"/>
      <w:r w:rsidRPr="00695030">
        <w:rPr>
          <w:rFonts w:ascii="Times New Roman" w:hAnsi="Times New Roman"/>
          <w:bCs/>
          <w:sz w:val="24"/>
          <w:szCs w:val="24"/>
        </w:rPr>
        <w:t>24/48</w:t>
      </w:r>
      <w:r>
        <w:rPr>
          <w:rFonts w:ascii="Times New Roman" w:hAnsi="Times New Roman"/>
          <w:bCs/>
          <w:sz w:val="24"/>
          <w:szCs w:val="24"/>
        </w:rPr>
        <w:t xml:space="preserve"> </w:t>
      </w:r>
      <w:r w:rsidRPr="00695030">
        <w:rPr>
          <w:rFonts w:ascii="Times New Roman" w:hAnsi="Times New Roman"/>
          <w:bCs/>
          <w:sz w:val="24"/>
          <w:szCs w:val="24"/>
        </w:rPr>
        <w:t>hour</w:t>
      </w:r>
      <w:proofErr w:type="gramEnd"/>
      <w:r w:rsidRPr="00695030">
        <w:rPr>
          <w:rFonts w:ascii="Times New Roman" w:hAnsi="Times New Roman"/>
          <w:bCs/>
          <w:sz w:val="24"/>
          <w:szCs w:val="24"/>
        </w:rPr>
        <w:t xml:space="preserve"> driver / pump operator, to 40-hour code enforcement position; he rejected this since he ran construction company while off duty.  </w:t>
      </w:r>
    </w:p>
    <w:p w14:paraId="26590ECC" w14:textId="77777777" w:rsidR="00C9355B" w:rsidRPr="00695030" w:rsidRDefault="00C9355B" w:rsidP="00C9355B">
      <w:pPr>
        <w:pStyle w:val="NoSpacing"/>
        <w:rPr>
          <w:rFonts w:ascii="Times New Roman" w:hAnsi="Times New Roman"/>
          <w:b/>
          <w:bCs/>
          <w:sz w:val="24"/>
          <w:szCs w:val="24"/>
        </w:rPr>
      </w:pPr>
    </w:p>
    <w:p w14:paraId="41997FDA" w14:textId="77777777" w:rsidR="00C9355B" w:rsidRPr="00695030" w:rsidRDefault="00C9355B" w:rsidP="00C9355B">
      <w:pPr>
        <w:pStyle w:val="NoSpacing"/>
        <w:ind w:left="720"/>
        <w:rPr>
          <w:rFonts w:ascii="Times New Roman" w:hAnsi="Times New Roman"/>
          <w:b/>
          <w:bCs/>
          <w:sz w:val="24"/>
          <w:szCs w:val="24"/>
        </w:rPr>
      </w:pPr>
      <w:r w:rsidRPr="00695030">
        <w:rPr>
          <w:rFonts w:ascii="Times New Roman" w:hAnsi="Times New Roman"/>
          <w:sz w:val="24"/>
          <w:szCs w:val="24"/>
        </w:rPr>
        <w:t xml:space="preserve">“In 2016, the Fire Department began requiring TDAP [Tetanus, Diphtheria, Pertussis Vaccine] vaccinations, to which Horvath objected on religious grounds. He was given a choice between two accommodations: transfer to a code enforcement job that did not require a vaccination, or wear a respirator mask during his shifts, keep a log of his temperature, and submit to additional medical testing. </w:t>
      </w:r>
      <w:r w:rsidRPr="00695030">
        <w:rPr>
          <w:rFonts w:ascii="Times New Roman" w:hAnsi="Times New Roman"/>
          <w:bCs/>
          <w:sz w:val="24"/>
          <w:szCs w:val="24"/>
        </w:rPr>
        <w:t xml:space="preserve">He did not accept either accommodation </w:t>
      </w:r>
      <w:proofErr w:type="gramStart"/>
      <w:r w:rsidRPr="00695030">
        <w:rPr>
          <w:rFonts w:ascii="Times New Roman" w:hAnsi="Times New Roman"/>
          <w:bCs/>
          <w:sz w:val="24"/>
          <w:szCs w:val="24"/>
        </w:rPr>
        <w:t>and</w:t>
      </w:r>
      <w:proofErr w:type="gramEnd"/>
      <w:r w:rsidRPr="00695030">
        <w:rPr>
          <w:rFonts w:ascii="Times New Roman" w:hAnsi="Times New Roman"/>
          <w:bCs/>
          <w:sz w:val="24"/>
          <w:szCs w:val="24"/>
        </w:rPr>
        <w:t xml:space="preserve"> was fired by Fire Chief Bill Gardner for insubordination.</w:t>
      </w:r>
    </w:p>
    <w:p w14:paraId="38CA9C92" w14:textId="77777777" w:rsidR="00C9355B" w:rsidRPr="00695030" w:rsidRDefault="00C9355B" w:rsidP="00C9355B">
      <w:pPr>
        <w:pStyle w:val="NoSpacing"/>
        <w:ind w:left="720"/>
        <w:rPr>
          <w:rFonts w:ascii="Times New Roman" w:hAnsi="Times New Roman"/>
          <w:b/>
          <w:bCs/>
          <w:sz w:val="24"/>
          <w:szCs w:val="24"/>
        </w:rPr>
      </w:pPr>
    </w:p>
    <w:p w14:paraId="4FE566BA" w14:textId="77777777" w:rsidR="00C9355B" w:rsidRPr="00695030" w:rsidRDefault="00C9355B" w:rsidP="00C9355B">
      <w:pPr>
        <w:pStyle w:val="NoSpacing"/>
        <w:ind w:left="720"/>
        <w:rPr>
          <w:rFonts w:ascii="Times New Roman" w:hAnsi="Times New Roman"/>
          <w:b/>
          <w:bCs/>
          <w:sz w:val="24"/>
          <w:szCs w:val="24"/>
        </w:rPr>
      </w:pPr>
      <w:r w:rsidRPr="00695030">
        <w:rPr>
          <w:rFonts w:ascii="Times New Roman" w:hAnsi="Times New Roman"/>
          <w:bCs/>
          <w:sz w:val="24"/>
          <w:szCs w:val="24"/>
        </w:rPr>
        <w:t>***</w:t>
      </w:r>
    </w:p>
    <w:p w14:paraId="2EA2D7AC" w14:textId="77777777" w:rsidR="00C9355B" w:rsidRPr="00695030" w:rsidRDefault="00C9355B" w:rsidP="00C9355B">
      <w:pPr>
        <w:pStyle w:val="NoSpacing"/>
        <w:ind w:left="720"/>
        <w:rPr>
          <w:rFonts w:ascii="Times New Roman" w:hAnsi="Times New Roman"/>
          <w:b/>
          <w:bCs/>
          <w:sz w:val="24"/>
          <w:szCs w:val="24"/>
        </w:rPr>
      </w:pPr>
      <w:r w:rsidRPr="00695030">
        <w:rPr>
          <w:rFonts w:ascii="Times New Roman" w:hAnsi="Times New Roman"/>
          <w:bCs/>
          <w:sz w:val="24"/>
          <w:szCs w:val="24"/>
        </w:rPr>
        <w:t xml:space="preserve">The City argues that its legitimate, non-discriminatory reason for Horvath’s termination was his defiance of a direct order by failing to select an accommodation to the TDAP vaccine policy. The district court found that ‘Horvath was terminated not for engaging in protected activity by opposing a discriminatory practice in a letter, but for failing to comply with a directive that conflicted with his religious beliefs.’ We agree.” </w:t>
      </w:r>
      <w:hyperlink r:id="rId584" w:history="1">
        <w:r w:rsidRPr="00695030">
          <w:rPr>
            <w:rStyle w:val="Hyperlink"/>
            <w:rFonts w:ascii="Times New Roman" w:hAnsi="Times New Roman"/>
            <w:b/>
            <w:sz w:val="24"/>
            <w:szCs w:val="24"/>
          </w:rPr>
          <w:t>http://www.ca5.uscourts.gov/opinions/pub/18/18-51011-CV0.pdf</w:t>
        </w:r>
      </w:hyperlink>
      <w:r w:rsidRPr="00695030">
        <w:rPr>
          <w:rFonts w:ascii="Times New Roman" w:hAnsi="Times New Roman"/>
          <w:bCs/>
          <w:sz w:val="24"/>
          <w:szCs w:val="24"/>
        </w:rPr>
        <w:t xml:space="preserve"> </w:t>
      </w:r>
    </w:p>
    <w:p w14:paraId="496AE991" w14:textId="77777777" w:rsidR="00C9355B" w:rsidRDefault="00C9355B" w:rsidP="00C9355B">
      <w:pPr>
        <w:pStyle w:val="NoSpacing"/>
        <w:rPr>
          <w:rFonts w:ascii="Times New Roman" w:hAnsi="Times New Roman"/>
          <w:b/>
          <w:bCs/>
          <w:sz w:val="24"/>
          <w:szCs w:val="24"/>
        </w:rPr>
      </w:pPr>
    </w:p>
    <w:bookmarkEnd w:id="109"/>
    <w:p w14:paraId="6EE26596" w14:textId="7E6024A6" w:rsidR="00C9355B" w:rsidRPr="00695030" w:rsidRDefault="00C9355B" w:rsidP="00C9355B">
      <w:pPr>
        <w:pStyle w:val="NoSpacing"/>
        <w:rPr>
          <w:rFonts w:ascii="Times New Roman" w:hAnsi="Times New Roman"/>
          <w:b/>
          <w:bCs/>
          <w:sz w:val="24"/>
          <w:szCs w:val="24"/>
        </w:rPr>
      </w:pPr>
      <w:r w:rsidRPr="00695030">
        <w:rPr>
          <w:rFonts w:ascii="Times New Roman" w:hAnsi="Times New Roman"/>
          <w:b/>
          <w:bCs/>
          <w:sz w:val="24"/>
          <w:szCs w:val="24"/>
        </w:rPr>
        <w:t xml:space="preserve">Legal Lessons Learned: The FD offered </w:t>
      </w:r>
      <w:proofErr w:type="gramStart"/>
      <w:r w:rsidRPr="00695030">
        <w:rPr>
          <w:rFonts w:ascii="Times New Roman" w:hAnsi="Times New Roman"/>
          <w:b/>
          <w:bCs/>
          <w:sz w:val="24"/>
          <w:szCs w:val="24"/>
        </w:rPr>
        <w:t>a reasonable</w:t>
      </w:r>
      <w:proofErr w:type="gramEnd"/>
      <w:r w:rsidRPr="00695030">
        <w:rPr>
          <w:rFonts w:ascii="Times New Roman" w:hAnsi="Times New Roman"/>
          <w:b/>
          <w:bCs/>
          <w:sz w:val="24"/>
          <w:szCs w:val="24"/>
        </w:rPr>
        <w:t xml:space="preserve"> accommodation. </w:t>
      </w:r>
    </w:p>
    <w:p w14:paraId="232B8E15" w14:textId="77777777" w:rsidR="00C9355B" w:rsidRDefault="00C9355B" w:rsidP="00EF1133">
      <w:pPr>
        <w:pStyle w:val="NoSpacing"/>
        <w:rPr>
          <w:rFonts w:ascii="Arial Black" w:hAnsi="Arial Black"/>
          <w:sz w:val="24"/>
          <w:szCs w:val="24"/>
        </w:rPr>
      </w:pPr>
    </w:p>
    <w:p w14:paraId="7E7B54C4" w14:textId="77777777" w:rsidR="00C9355B" w:rsidRDefault="00C9355B" w:rsidP="00EF1133">
      <w:pPr>
        <w:pStyle w:val="NoSpacing"/>
        <w:rPr>
          <w:rFonts w:ascii="Arial Black" w:hAnsi="Arial Black"/>
          <w:sz w:val="24"/>
          <w:szCs w:val="24"/>
        </w:rPr>
      </w:pPr>
    </w:p>
    <w:p w14:paraId="47FC28E7" w14:textId="7F9FC087" w:rsidR="00980EAD" w:rsidRDefault="00980EAD" w:rsidP="00EF1133">
      <w:pPr>
        <w:pStyle w:val="NoSpacing"/>
        <w:rPr>
          <w:rFonts w:ascii="Arial Black" w:hAnsi="Arial Black"/>
          <w:sz w:val="24"/>
          <w:szCs w:val="24"/>
        </w:rPr>
      </w:pPr>
      <w:r>
        <w:rPr>
          <w:rFonts w:ascii="Arial Black" w:hAnsi="Arial Black"/>
          <w:sz w:val="24"/>
          <w:szCs w:val="24"/>
        </w:rPr>
        <w:t>2-24</w:t>
      </w:r>
    </w:p>
    <w:p w14:paraId="67A3FDBA" w14:textId="1949C687" w:rsidR="00980EAD" w:rsidRDefault="00980EAD" w:rsidP="00EF1133">
      <w:pPr>
        <w:pStyle w:val="NoSpacing"/>
        <w:rPr>
          <w:rFonts w:ascii="Arial Black" w:hAnsi="Arial Black"/>
          <w:sz w:val="24"/>
          <w:szCs w:val="24"/>
        </w:rPr>
      </w:pPr>
    </w:p>
    <w:p w14:paraId="6776F59D" w14:textId="77777777" w:rsidR="00980EAD" w:rsidRDefault="00980EAD" w:rsidP="00980EAD">
      <w:pPr>
        <w:pStyle w:val="NoSpacing"/>
        <w:rPr>
          <w:rFonts w:ascii="Arial Black" w:hAnsi="Arial Black" w:cstheme="minorBidi"/>
          <w:sz w:val="28"/>
          <w:szCs w:val="28"/>
        </w:rPr>
      </w:pPr>
      <w:r>
        <w:rPr>
          <w:rFonts w:ascii="Arial Black" w:hAnsi="Arial Black"/>
          <w:sz w:val="28"/>
          <w:szCs w:val="28"/>
        </w:rPr>
        <w:t>NY:  FF WORKED WTC – HEART ATTACK / DROWNING – 7-YR APPEAL - MEDICAL BOARD “BAD FAITH”, NO SANCTIONS</w:t>
      </w:r>
    </w:p>
    <w:p w14:paraId="59B97162" w14:textId="77777777" w:rsidR="00980EAD" w:rsidRDefault="00980EAD" w:rsidP="00980EAD">
      <w:pPr>
        <w:pStyle w:val="NoSpacing"/>
        <w:rPr>
          <w:rFonts w:ascii="Arial Black" w:hAnsi="Arial Black"/>
          <w:sz w:val="28"/>
          <w:szCs w:val="28"/>
        </w:rPr>
      </w:pPr>
    </w:p>
    <w:p w14:paraId="3A3FA547" w14:textId="77777777" w:rsidR="00980EAD" w:rsidRDefault="00980EAD" w:rsidP="00980EAD">
      <w:pPr>
        <w:pStyle w:val="NoSpacing"/>
        <w:rPr>
          <w:rFonts w:ascii="Times New Roman" w:hAnsi="Times New Roman"/>
          <w:sz w:val="24"/>
          <w:szCs w:val="24"/>
        </w:rPr>
      </w:pPr>
      <w:r>
        <w:rPr>
          <w:rFonts w:ascii="Times New Roman" w:hAnsi="Times New Roman"/>
          <w:sz w:val="24"/>
          <w:szCs w:val="24"/>
        </w:rPr>
        <w:t xml:space="preserve">On Dec. 4, 2019, in </w:t>
      </w:r>
      <w:r>
        <w:rPr>
          <w:rFonts w:ascii="Times New Roman" w:hAnsi="Times New Roman"/>
          <w:sz w:val="24"/>
          <w:szCs w:val="24"/>
          <w:u w:val="single"/>
        </w:rPr>
        <w:t>Fernandez v. Nigro</w:t>
      </w:r>
      <w:r>
        <w:rPr>
          <w:rFonts w:ascii="Times New Roman" w:hAnsi="Times New Roman"/>
          <w:sz w:val="24"/>
          <w:szCs w:val="24"/>
        </w:rPr>
        <w:t xml:space="preserve">, the Supreme Court of New York / Appellate Division (Second Judicial Department), 2019 NY Slip Opinion 8672, held (3 to 0) that trial judge did not have authority to impose additional sanctions against the Fire Department for “bad faith” in denying benefits for seven years. </w:t>
      </w:r>
    </w:p>
    <w:p w14:paraId="36B4651E" w14:textId="77777777" w:rsidR="00980EAD" w:rsidRDefault="00980EAD" w:rsidP="00980EAD">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 xml:space="preserve">“The conduct at issue did not constitute conduct in the proceeding before the court and, therefore, sanctions were not authorized by 22 NYCRR 130-1.1. Further, an award of costs or the imposition of sanctions may be made only after a reasonable opportunity to be heard (see 22 NYCRR 130-1.1[d]). The Supreme Court's </w:t>
      </w:r>
      <w:proofErr w:type="spellStart"/>
      <w:r>
        <w:rPr>
          <w:rFonts w:ascii="Times New Roman" w:eastAsia="Times New Roman" w:hAnsi="Times New Roman"/>
          <w:sz w:val="24"/>
          <w:szCs w:val="24"/>
        </w:rPr>
        <w:t>sua</w:t>
      </w:r>
      <w:proofErr w:type="spellEnd"/>
      <w:r>
        <w:rPr>
          <w:rFonts w:ascii="Times New Roman" w:eastAsia="Times New Roman" w:hAnsi="Times New Roman"/>
          <w:sz w:val="24"/>
          <w:szCs w:val="24"/>
        </w:rPr>
        <w:t xml:space="preserve"> sponte determination to impose sanctions here was made without notice to the parties….Accordingly, the Supreme Court was without authority to impose sanctions, and the order must be reversed insofar as appealed from.” </w:t>
      </w:r>
      <w:hyperlink r:id="rId585" w:history="1">
        <w:r>
          <w:rPr>
            <w:rStyle w:val="Hyperlink"/>
            <w:rFonts w:ascii="Times New Roman" w:eastAsia="Times New Roman" w:hAnsi="Times New Roman"/>
            <w:sz w:val="24"/>
            <w:szCs w:val="24"/>
          </w:rPr>
          <w:t>https://law.justia.com/cases/new-york/appellate-division-second-department/2019/2016-10855.html</w:t>
        </w:r>
      </w:hyperlink>
      <w:r>
        <w:rPr>
          <w:rFonts w:ascii="Times New Roman" w:eastAsia="Times New Roman" w:hAnsi="Times New Roman"/>
          <w:sz w:val="24"/>
          <w:szCs w:val="24"/>
        </w:rPr>
        <w:t xml:space="preserve"> </w:t>
      </w:r>
    </w:p>
    <w:p w14:paraId="7F1C7BF4" w14:textId="77777777" w:rsidR="00980EAD" w:rsidRDefault="00980EAD" w:rsidP="00980EAD">
      <w:pPr>
        <w:pStyle w:val="NoSpacing"/>
        <w:rPr>
          <w:rFonts w:ascii="Times New Roman" w:hAnsi="Times New Roman"/>
          <w:sz w:val="24"/>
          <w:szCs w:val="24"/>
        </w:rPr>
      </w:pPr>
      <w:r>
        <w:rPr>
          <w:rFonts w:ascii="Times New Roman" w:hAnsi="Times New Roman"/>
          <w:b/>
          <w:bCs/>
          <w:sz w:val="24"/>
          <w:szCs w:val="24"/>
        </w:rPr>
        <w:lastRenderedPageBreak/>
        <w:t xml:space="preserve">Legal Lessons Learned: It is unfortunate the NY statute does not allow sanctions, when the trial judge finds that the family of the deceased firefighter was “plainly entitled under the relevant law” to accidental death benefits.   The pension is increased from one-half his salary (taxable) to three-quarters of his salary (tax-free), retroactive to August 23, 2007. </w:t>
      </w:r>
      <w:r>
        <w:rPr>
          <w:rFonts w:ascii="Times New Roman" w:hAnsi="Times New Roman"/>
          <w:sz w:val="24"/>
          <w:szCs w:val="24"/>
        </w:rPr>
        <w:t xml:space="preserve"> </w:t>
      </w:r>
    </w:p>
    <w:p w14:paraId="3E51E97B" w14:textId="02CC2B04" w:rsidR="00980EAD" w:rsidRDefault="00980EAD" w:rsidP="00EF1133">
      <w:pPr>
        <w:pStyle w:val="NoSpacing"/>
        <w:rPr>
          <w:rFonts w:ascii="Arial Black" w:hAnsi="Arial Black"/>
          <w:sz w:val="24"/>
          <w:szCs w:val="24"/>
        </w:rPr>
      </w:pPr>
    </w:p>
    <w:p w14:paraId="01F6E5C8" w14:textId="77777777" w:rsidR="00965872" w:rsidRDefault="00965872" w:rsidP="00EF1133">
      <w:pPr>
        <w:pStyle w:val="NoSpacing"/>
        <w:rPr>
          <w:rFonts w:ascii="Arial Black" w:hAnsi="Arial Black"/>
          <w:sz w:val="24"/>
          <w:szCs w:val="24"/>
        </w:rPr>
      </w:pPr>
    </w:p>
    <w:p w14:paraId="7D3BA50E" w14:textId="77777777" w:rsidR="00965872" w:rsidRDefault="00965872" w:rsidP="00EF1133">
      <w:pPr>
        <w:pStyle w:val="NoSpacing"/>
        <w:rPr>
          <w:rFonts w:ascii="Arial Black" w:hAnsi="Arial Black"/>
          <w:sz w:val="24"/>
          <w:szCs w:val="24"/>
        </w:rPr>
      </w:pPr>
    </w:p>
    <w:p w14:paraId="0F7E83EB" w14:textId="77D9E539" w:rsidR="00A06387" w:rsidRDefault="00980EAD" w:rsidP="00EF1133">
      <w:pPr>
        <w:pStyle w:val="NoSpacing"/>
        <w:rPr>
          <w:rFonts w:ascii="Arial Black" w:hAnsi="Arial Black"/>
          <w:sz w:val="24"/>
          <w:szCs w:val="24"/>
        </w:rPr>
      </w:pPr>
      <w:r>
        <w:rPr>
          <w:rFonts w:ascii="Arial Black" w:hAnsi="Arial Black"/>
          <w:sz w:val="24"/>
          <w:szCs w:val="24"/>
        </w:rPr>
        <w:t>2-23</w:t>
      </w:r>
    </w:p>
    <w:p w14:paraId="66B4C5DE" w14:textId="4017B6AE" w:rsidR="00A52325" w:rsidRDefault="00A52325" w:rsidP="00EF1133">
      <w:pPr>
        <w:pStyle w:val="NoSpacing"/>
        <w:rPr>
          <w:rFonts w:ascii="Arial Black" w:hAnsi="Arial Black"/>
          <w:sz w:val="24"/>
          <w:szCs w:val="24"/>
        </w:rPr>
      </w:pPr>
    </w:p>
    <w:p w14:paraId="5DB6A22C" w14:textId="77777777" w:rsidR="00A52325" w:rsidRDefault="00A52325" w:rsidP="00A52325">
      <w:pPr>
        <w:rPr>
          <w:rFonts w:ascii="Arial Black" w:hAnsi="Arial Black"/>
          <w:sz w:val="28"/>
          <w:szCs w:val="28"/>
        </w:rPr>
      </w:pPr>
      <w:r>
        <w:rPr>
          <w:rFonts w:ascii="Arial Black" w:hAnsi="Arial Black"/>
          <w:sz w:val="28"/>
          <w:szCs w:val="28"/>
        </w:rPr>
        <w:t>NV: HEART ATTACK - FF ENTITLED WORKERS COMP – WAS DIETING, WORKING OUT TO LOWER WEIGHT, COLLESTEROL</w:t>
      </w:r>
    </w:p>
    <w:p w14:paraId="42784EBF" w14:textId="77777777" w:rsidR="00A52325" w:rsidRDefault="00A52325" w:rsidP="00A52325">
      <w:pPr>
        <w:pStyle w:val="Heading1"/>
        <w:rPr>
          <w:b w:val="0"/>
          <w:bCs w:val="0"/>
          <w:sz w:val="24"/>
          <w:szCs w:val="24"/>
        </w:rPr>
      </w:pPr>
      <w:r>
        <w:rPr>
          <w:b w:val="0"/>
          <w:bCs w:val="0"/>
          <w:sz w:val="24"/>
          <w:szCs w:val="24"/>
        </w:rPr>
        <w:t xml:space="preserve">On Nov. 13, 2019, in </w:t>
      </w:r>
      <w:r>
        <w:rPr>
          <w:b w:val="0"/>
          <w:bCs w:val="0"/>
          <w:sz w:val="24"/>
          <w:szCs w:val="24"/>
          <w:u w:val="single"/>
        </w:rPr>
        <w:t>City of Las Vegas v. Burns</w:t>
      </w:r>
      <w:r>
        <w:rPr>
          <w:b w:val="0"/>
          <w:bCs w:val="0"/>
          <w:sz w:val="24"/>
          <w:szCs w:val="24"/>
        </w:rPr>
        <w:t xml:space="preserve">, the Court of Appeals of Nevada, held (3 to 0) that despite the firefighter’s predisposition for a heart attack, he was entitled to workers comp coverage, upholding trial court which had overturned administrative appeals officer. </w:t>
      </w:r>
    </w:p>
    <w:p w14:paraId="014CC6A2" w14:textId="24DE4B68" w:rsidR="00A52325" w:rsidRDefault="00A52325" w:rsidP="00A52325">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 xml:space="preserve">“Moreover, there is not substantial evidence in the record to indicate that Burns </w:t>
      </w:r>
      <w:proofErr w:type="gramStart"/>
      <w:r>
        <w:rPr>
          <w:rFonts w:ascii="Times New Roman" w:eastAsia="Times New Roman" w:hAnsi="Times New Roman"/>
          <w:sz w:val="24"/>
          <w:szCs w:val="24"/>
        </w:rPr>
        <w:t>was capable of reducing</w:t>
      </w:r>
      <w:proofErr w:type="gramEnd"/>
      <w:r>
        <w:rPr>
          <w:rFonts w:ascii="Times New Roman" w:eastAsia="Times New Roman" w:hAnsi="Times New Roman"/>
          <w:sz w:val="24"/>
          <w:szCs w:val="24"/>
        </w:rPr>
        <w:t xml:space="preserve"> his cholesterol, triglycerides, or weight by dieting and exercising. To the contrary, the record indicates that, following his required annual physicals in 2010, 2011, and 2012, the physicians' assessments and recommendations indicate Burns ‘continue[s] to do an excellent job maintaining [his] health;’ that he should ‘[k]</w:t>
      </w:r>
      <w:proofErr w:type="spellStart"/>
      <w:r>
        <w:rPr>
          <w:rFonts w:ascii="Times New Roman" w:eastAsia="Times New Roman" w:hAnsi="Times New Roman"/>
          <w:sz w:val="24"/>
          <w:szCs w:val="24"/>
        </w:rPr>
        <w:t>eep</w:t>
      </w:r>
      <w:proofErr w:type="spellEnd"/>
      <w:r>
        <w:rPr>
          <w:rFonts w:ascii="Times New Roman" w:eastAsia="Times New Roman" w:hAnsi="Times New Roman"/>
          <w:sz w:val="24"/>
          <w:szCs w:val="24"/>
        </w:rPr>
        <w:t xml:space="preserve"> up [his] exercise regimen ... it's doing great for [him];’ and that he was ‘doing well maintaining [his] health.’  In 2012, the physician noted that although his ‘bad’ cholesterol and triglycerides were high, Burns was taking fish oil supplements as previously directed by his private physician and his total cholesterol was fine. Thus, the physicians' reports indicate that Burns was doing what he was instructed to do, he was exercising and taking supplements, and despite that, his predisposing factors did not change, which reflects that he </w:t>
      </w:r>
      <w:proofErr w:type="gramStart"/>
      <w:r>
        <w:rPr>
          <w:rFonts w:ascii="Times New Roman" w:eastAsia="Times New Roman" w:hAnsi="Times New Roman"/>
          <w:sz w:val="24"/>
          <w:szCs w:val="24"/>
        </w:rPr>
        <w:t>was not capable of correcting</w:t>
      </w:r>
      <w:proofErr w:type="gramEnd"/>
      <w:r>
        <w:rPr>
          <w:rFonts w:ascii="Times New Roman" w:eastAsia="Times New Roman" w:hAnsi="Times New Roman"/>
          <w:sz w:val="24"/>
          <w:szCs w:val="24"/>
        </w:rPr>
        <w:t xml:space="preserve"> his predisposing conditions. </w:t>
      </w:r>
    </w:p>
    <w:p w14:paraId="796CEA59" w14:textId="77777777" w:rsidR="00A52325" w:rsidRDefault="00A52325" w:rsidP="00A52325">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 xml:space="preserve">Because there is no evidence in the record to support the conclusion that correcting Burns' predisposing conditions was within his ability, we necessarily hold that the appeals officer's conclusion is not supported by substantial evidence. </w:t>
      </w:r>
      <w:hyperlink r:id="rId586" w:history="1">
        <w:r>
          <w:rPr>
            <w:rStyle w:val="Hyperlink"/>
            <w:rFonts w:ascii="Times New Roman" w:eastAsia="Times New Roman" w:hAnsi="Times New Roman"/>
            <w:sz w:val="24"/>
            <w:szCs w:val="24"/>
          </w:rPr>
          <w:t>https://www.leagle.com/decision/innvco20191115257</w:t>
        </w:r>
      </w:hyperlink>
      <w:r>
        <w:rPr>
          <w:rFonts w:ascii="Times New Roman" w:eastAsia="Times New Roman" w:hAnsi="Times New Roman"/>
          <w:sz w:val="24"/>
          <w:szCs w:val="24"/>
        </w:rPr>
        <w:t xml:space="preserve"> </w:t>
      </w:r>
    </w:p>
    <w:p w14:paraId="2FF6317D" w14:textId="77777777" w:rsidR="00A52325" w:rsidRDefault="00A52325" w:rsidP="00A52325">
      <w:pPr>
        <w:pStyle w:val="NormalWeb"/>
        <w:rPr>
          <w:b/>
          <w:bCs/>
        </w:rPr>
      </w:pPr>
      <w:r>
        <w:rPr>
          <w:b/>
          <w:bCs/>
        </w:rPr>
        <w:t xml:space="preserve">Legal Lessons Learned:  The statutory requirement that firefighters must seek to correct their “predisposing condition” to cardiac problems makes lots of sense. </w:t>
      </w:r>
    </w:p>
    <w:p w14:paraId="30CCA797" w14:textId="77777777" w:rsidR="00965872" w:rsidRDefault="00965872" w:rsidP="00EF1133">
      <w:pPr>
        <w:pStyle w:val="NoSpacing"/>
        <w:rPr>
          <w:rFonts w:ascii="Arial Black" w:hAnsi="Arial Black"/>
          <w:sz w:val="24"/>
          <w:szCs w:val="24"/>
        </w:rPr>
      </w:pPr>
    </w:p>
    <w:p w14:paraId="3C9F69A5" w14:textId="77777777" w:rsidR="00965872" w:rsidRDefault="00965872" w:rsidP="00EF1133">
      <w:pPr>
        <w:pStyle w:val="NoSpacing"/>
        <w:rPr>
          <w:rFonts w:ascii="Arial Black" w:hAnsi="Arial Black"/>
          <w:sz w:val="24"/>
          <w:szCs w:val="24"/>
        </w:rPr>
      </w:pPr>
    </w:p>
    <w:p w14:paraId="0512471E" w14:textId="364628FE" w:rsidR="00980EAD" w:rsidRDefault="00980EAD" w:rsidP="00EF1133">
      <w:pPr>
        <w:pStyle w:val="NoSpacing"/>
        <w:rPr>
          <w:rFonts w:ascii="Arial Black" w:hAnsi="Arial Black"/>
          <w:sz w:val="24"/>
          <w:szCs w:val="24"/>
        </w:rPr>
      </w:pPr>
      <w:r>
        <w:rPr>
          <w:rFonts w:ascii="Arial Black" w:hAnsi="Arial Black"/>
          <w:sz w:val="24"/>
          <w:szCs w:val="24"/>
        </w:rPr>
        <w:t>2-22</w:t>
      </w:r>
    </w:p>
    <w:p w14:paraId="6EA83345" w14:textId="77777777" w:rsidR="00980EAD" w:rsidRDefault="00980EAD" w:rsidP="00EF1133">
      <w:pPr>
        <w:pStyle w:val="NoSpacing"/>
        <w:rPr>
          <w:rFonts w:ascii="Arial Black" w:hAnsi="Arial Black"/>
          <w:sz w:val="24"/>
          <w:szCs w:val="24"/>
        </w:rPr>
      </w:pPr>
    </w:p>
    <w:p w14:paraId="5558B3B7" w14:textId="2570797A" w:rsidR="00A06387" w:rsidRDefault="00A06387" w:rsidP="00A06387">
      <w:pPr>
        <w:pStyle w:val="NoSpacing"/>
        <w:rPr>
          <w:rFonts w:ascii="Arial Black" w:hAnsi="Arial Black"/>
          <w:sz w:val="28"/>
          <w:szCs w:val="28"/>
        </w:rPr>
      </w:pPr>
      <w:r w:rsidRPr="003F65F5">
        <w:rPr>
          <w:rFonts w:ascii="Arial Black" w:hAnsi="Arial Black"/>
          <w:sz w:val="28"/>
          <w:szCs w:val="28"/>
        </w:rPr>
        <w:t xml:space="preserve">WA: </w:t>
      </w:r>
      <w:r>
        <w:rPr>
          <w:rFonts w:ascii="Arial Black" w:hAnsi="Arial Black"/>
          <w:sz w:val="28"/>
          <w:szCs w:val="28"/>
        </w:rPr>
        <w:t>UNION PROPOSAL INCREASE IN MINUMUM STAFFING – MANDATORY SUBJECT FOR COLLECTIVE BARGAINING</w:t>
      </w:r>
    </w:p>
    <w:p w14:paraId="46F3545D" w14:textId="77777777" w:rsidR="00A06387" w:rsidRDefault="00A06387" w:rsidP="00A06387">
      <w:pPr>
        <w:pStyle w:val="NoSpacing"/>
        <w:rPr>
          <w:rFonts w:ascii="Arial Black" w:hAnsi="Arial Black"/>
          <w:sz w:val="28"/>
          <w:szCs w:val="28"/>
        </w:rPr>
      </w:pPr>
    </w:p>
    <w:p w14:paraId="7FF8484D" w14:textId="77777777" w:rsidR="00A06387" w:rsidRDefault="00A06387" w:rsidP="00A06387">
      <w:pPr>
        <w:pStyle w:val="NoSpacing"/>
        <w:rPr>
          <w:rFonts w:ascii="On Times New Roman" w:hAnsi="On Times New Roman"/>
          <w:b/>
          <w:bCs/>
          <w:sz w:val="24"/>
          <w:szCs w:val="24"/>
        </w:rPr>
      </w:pPr>
      <w:r>
        <w:rPr>
          <w:rFonts w:ascii="On Times New Roman" w:hAnsi="On Times New Roman"/>
          <w:bCs/>
          <w:sz w:val="24"/>
          <w:szCs w:val="24"/>
        </w:rPr>
        <w:t xml:space="preserve">On Oct. 28, 2019, in </w:t>
      </w:r>
      <w:r w:rsidRPr="00BA0F0A">
        <w:rPr>
          <w:rFonts w:ascii="On Times New Roman" w:hAnsi="On Times New Roman"/>
          <w:bCs/>
          <w:sz w:val="24"/>
          <w:szCs w:val="24"/>
          <w:u w:val="single"/>
        </w:rPr>
        <w:t>City of Everett v. State of Washington Public Employment Relations Commission</w:t>
      </w:r>
      <w:r>
        <w:rPr>
          <w:rFonts w:ascii="On Times New Roman" w:hAnsi="On Times New Roman"/>
          <w:bCs/>
          <w:sz w:val="24"/>
          <w:szCs w:val="24"/>
        </w:rPr>
        <w:t xml:space="preserve">, the State of Washington Court of Appeals, held (3 to 0) that shift staffing has a direct relationship to workload and safety, and therefore is a mandatory subject of collective bargaining (union wants to increase from 28 to 35 per shift). </w:t>
      </w:r>
    </w:p>
    <w:p w14:paraId="72FAADFA" w14:textId="77777777" w:rsidR="00A06387" w:rsidRDefault="00A06387" w:rsidP="00A06387">
      <w:pPr>
        <w:pStyle w:val="NoSpacing"/>
        <w:rPr>
          <w:rFonts w:ascii="On Times New Roman" w:hAnsi="On Times New Roman"/>
          <w:b/>
          <w:bCs/>
          <w:sz w:val="24"/>
          <w:szCs w:val="24"/>
        </w:rPr>
      </w:pPr>
    </w:p>
    <w:p w14:paraId="15F14157" w14:textId="77777777" w:rsidR="00A06387" w:rsidRPr="00965872" w:rsidRDefault="00A06387" w:rsidP="00A06387">
      <w:pPr>
        <w:pStyle w:val="NoSpacing"/>
        <w:ind w:left="720"/>
        <w:rPr>
          <w:rFonts w:ascii="Times New Roman" w:hAnsi="Times New Roman"/>
          <w:b/>
          <w:bCs/>
          <w:sz w:val="24"/>
          <w:szCs w:val="24"/>
        </w:rPr>
      </w:pPr>
      <w:r w:rsidRPr="00965872">
        <w:rPr>
          <w:rFonts w:ascii="Times New Roman" w:hAnsi="Times New Roman"/>
          <w:bCs/>
          <w:sz w:val="24"/>
          <w:szCs w:val="24"/>
        </w:rPr>
        <w:lastRenderedPageBreak/>
        <w:t>“We conclude PERC did not err in balancing the strong fundamental prerogative of the City on shift staffing and the unrebutted workload and safety testimony, and substantial evidence supports PERC finding the Union demonstrated a direct relationship between the Union proposal to increase the minimum number of crew on each shift and the workload and safety of the firefighters and paramedics. We affirm the PERC decision.”</w:t>
      </w:r>
    </w:p>
    <w:p w14:paraId="63646146" w14:textId="77777777" w:rsidR="00A06387" w:rsidRPr="00965872" w:rsidRDefault="00A06387" w:rsidP="00A06387">
      <w:pPr>
        <w:pStyle w:val="NoSpacing"/>
        <w:rPr>
          <w:rFonts w:ascii="Times New Roman" w:hAnsi="Times New Roman"/>
          <w:b/>
          <w:bCs/>
          <w:sz w:val="24"/>
          <w:szCs w:val="24"/>
        </w:rPr>
      </w:pPr>
      <w:r w:rsidRPr="00965872">
        <w:rPr>
          <w:rFonts w:ascii="Times New Roman" w:hAnsi="Times New Roman"/>
          <w:bCs/>
          <w:sz w:val="24"/>
          <w:szCs w:val="24"/>
        </w:rPr>
        <w:tab/>
      </w:r>
      <w:hyperlink r:id="rId587" w:history="1">
        <w:r w:rsidRPr="00965872">
          <w:rPr>
            <w:rStyle w:val="Hyperlink"/>
            <w:rFonts w:ascii="Times New Roman" w:hAnsi="Times New Roman"/>
            <w:bCs/>
            <w:sz w:val="24"/>
            <w:szCs w:val="24"/>
          </w:rPr>
          <w:t>https://www.courts.wa.gov/opinions/pdf/778315.pdf</w:t>
        </w:r>
      </w:hyperlink>
      <w:r w:rsidRPr="00965872">
        <w:rPr>
          <w:rFonts w:ascii="Times New Roman" w:hAnsi="Times New Roman"/>
          <w:bCs/>
          <w:sz w:val="24"/>
          <w:szCs w:val="24"/>
        </w:rPr>
        <w:t xml:space="preserve"> </w:t>
      </w:r>
    </w:p>
    <w:p w14:paraId="41E8560A" w14:textId="77777777" w:rsidR="00965872" w:rsidRDefault="00965872" w:rsidP="00A06387">
      <w:pPr>
        <w:pStyle w:val="NoSpacing"/>
        <w:rPr>
          <w:b/>
          <w:bCs/>
          <w:sz w:val="24"/>
          <w:szCs w:val="24"/>
        </w:rPr>
      </w:pPr>
    </w:p>
    <w:p w14:paraId="6F337DDD" w14:textId="11B4031E" w:rsidR="00A06387" w:rsidRPr="00965872" w:rsidRDefault="00A06387" w:rsidP="00A06387">
      <w:pPr>
        <w:pStyle w:val="NoSpacing"/>
        <w:rPr>
          <w:rFonts w:ascii="Times New Roman" w:hAnsi="Times New Roman"/>
          <w:b/>
          <w:bCs/>
          <w:sz w:val="24"/>
          <w:szCs w:val="24"/>
        </w:rPr>
      </w:pPr>
      <w:r w:rsidRPr="00965872">
        <w:rPr>
          <w:rFonts w:ascii="Times New Roman" w:hAnsi="Times New Roman"/>
          <w:b/>
          <w:bCs/>
          <w:sz w:val="24"/>
          <w:szCs w:val="24"/>
        </w:rPr>
        <w:t xml:space="preserve">Legal Lessons Learned: Fire &amp; EMS officials need to consult with legal counsel in their State concerning whether minimum staffing is a </w:t>
      </w:r>
      <w:proofErr w:type="gramStart"/>
      <w:r w:rsidRPr="00965872">
        <w:rPr>
          <w:rFonts w:ascii="Times New Roman" w:hAnsi="Times New Roman"/>
          <w:b/>
          <w:bCs/>
          <w:sz w:val="24"/>
          <w:szCs w:val="24"/>
        </w:rPr>
        <w:t>subject</w:t>
      </w:r>
      <w:proofErr w:type="gramEnd"/>
      <w:r w:rsidRPr="00965872">
        <w:rPr>
          <w:rFonts w:ascii="Times New Roman" w:hAnsi="Times New Roman"/>
          <w:b/>
          <w:bCs/>
          <w:sz w:val="24"/>
          <w:szCs w:val="24"/>
        </w:rPr>
        <w:t xml:space="preserve"> mandatory bargaining.</w:t>
      </w:r>
    </w:p>
    <w:p w14:paraId="45CFF0E1" w14:textId="77777777" w:rsidR="00A06387" w:rsidRDefault="00A06387" w:rsidP="00EF1133">
      <w:pPr>
        <w:pStyle w:val="NoSpacing"/>
        <w:rPr>
          <w:rFonts w:ascii="Arial Black" w:hAnsi="Arial Black"/>
          <w:sz w:val="24"/>
          <w:szCs w:val="24"/>
        </w:rPr>
      </w:pPr>
    </w:p>
    <w:p w14:paraId="59DA41C4" w14:textId="77777777" w:rsidR="00A52325" w:rsidRDefault="00A52325" w:rsidP="00EF1133">
      <w:pPr>
        <w:pStyle w:val="NoSpacing"/>
        <w:rPr>
          <w:rFonts w:ascii="Arial Black" w:hAnsi="Arial Black"/>
          <w:sz w:val="24"/>
          <w:szCs w:val="24"/>
        </w:rPr>
      </w:pPr>
    </w:p>
    <w:p w14:paraId="6BD62E6C" w14:textId="77777777" w:rsidR="00A52325" w:rsidRDefault="00A52325" w:rsidP="00EF1133">
      <w:pPr>
        <w:pStyle w:val="NoSpacing"/>
        <w:rPr>
          <w:rFonts w:ascii="Arial Black" w:hAnsi="Arial Black"/>
          <w:sz w:val="24"/>
          <w:szCs w:val="24"/>
        </w:rPr>
      </w:pPr>
    </w:p>
    <w:p w14:paraId="66A98D3E" w14:textId="77777777" w:rsidR="00A52325" w:rsidRDefault="00A52325" w:rsidP="00EF1133">
      <w:pPr>
        <w:pStyle w:val="NoSpacing"/>
        <w:rPr>
          <w:rFonts w:ascii="Arial Black" w:hAnsi="Arial Black"/>
          <w:sz w:val="24"/>
          <w:szCs w:val="24"/>
        </w:rPr>
      </w:pPr>
    </w:p>
    <w:p w14:paraId="7FD54964" w14:textId="12BFE464" w:rsidR="00853142" w:rsidRDefault="00853142" w:rsidP="00EF1133">
      <w:pPr>
        <w:pStyle w:val="NoSpacing"/>
        <w:rPr>
          <w:rFonts w:ascii="Arial Black" w:hAnsi="Arial Black"/>
          <w:sz w:val="24"/>
          <w:szCs w:val="24"/>
        </w:rPr>
      </w:pPr>
      <w:r>
        <w:rPr>
          <w:rFonts w:ascii="Arial Black" w:hAnsi="Arial Black"/>
          <w:sz w:val="24"/>
          <w:szCs w:val="24"/>
        </w:rPr>
        <w:t>2-</w:t>
      </w:r>
      <w:r w:rsidR="00D07E6E">
        <w:rPr>
          <w:rFonts w:ascii="Arial Black" w:hAnsi="Arial Black"/>
          <w:sz w:val="24"/>
          <w:szCs w:val="24"/>
        </w:rPr>
        <w:t>2</w:t>
      </w:r>
      <w:r w:rsidR="00A52325">
        <w:rPr>
          <w:rFonts w:ascii="Arial Black" w:hAnsi="Arial Black"/>
          <w:sz w:val="24"/>
          <w:szCs w:val="24"/>
        </w:rPr>
        <w:t>1</w:t>
      </w:r>
    </w:p>
    <w:p w14:paraId="5BED5B65" w14:textId="3BD822FC" w:rsidR="00853142" w:rsidRDefault="00853142" w:rsidP="00EF1133">
      <w:pPr>
        <w:pStyle w:val="NoSpacing"/>
        <w:rPr>
          <w:rFonts w:ascii="Arial Black" w:hAnsi="Arial Black"/>
          <w:sz w:val="24"/>
          <w:szCs w:val="24"/>
        </w:rPr>
      </w:pPr>
    </w:p>
    <w:p w14:paraId="780682F7" w14:textId="77777777" w:rsidR="00853142" w:rsidRPr="007438B9" w:rsidRDefault="00853142" w:rsidP="00853142">
      <w:pPr>
        <w:pStyle w:val="NoSpacing"/>
        <w:rPr>
          <w:rFonts w:ascii="Arial Black" w:hAnsi="Arial Black"/>
          <w:sz w:val="28"/>
          <w:szCs w:val="28"/>
        </w:rPr>
      </w:pPr>
      <w:r w:rsidRPr="007438B9">
        <w:rPr>
          <w:rFonts w:ascii="Arial Black" w:hAnsi="Arial Black"/>
          <w:sz w:val="28"/>
          <w:szCs w:val="28"/>
        </w:rPr>
        <w:t xml:space="preserve">KY: </w:t>
      </w:r>
      <w:r>
        <w:rPr>
          <w:rFonts w:ascii="Arial Black" w:hAnsi="Arial Black"/>
          <w:sz w:val="28"/>
          <w:szCs w:val="28"/>
        </w:rPr>
        <w:t xml:space="preserve">FF’s STRENOUUS RETURN-TO-WORK PHYSICAL FITNESS TEST – HEART ATTACK SAME DAY – PRIOR HEALTH PROB - NOT LODD   </w:t>
      </w:r>
    </w:p>
    <w:p w14:paraId="2CDB2369" w14:textId="77777777" w:rsidR="00853142" w:rsidRDefault="00853142" w:rsidP="00853142">
      <w:pPr>
        <w:pStyle w:val="NoSpacing"/>
      </w:pPr>
    </w:p>
    <w:p w14:paraId="167A21C2" w14:textId="6533170C" w:rsidR="00853142" w:rsidRPr="00015208" w:rsidRDefault="00853142" w:rsidP="00853142">
      <w:pPr>
        <w:spacing w:after="0" w:line="240" w:lineRule="auto"/>
        <w:rPr>
          <w:rFonts w:ascii="Times New Roman" w:eastAsia="Times New Roman" w:hAnsi="Times New Roman"/>
          <w:sz w:val="24"/>
          <w:szCs w:val="24"/>
        </w:rPr>
      </w:pPr>
      <w:r w:rsidRPr="00015208">
        <w:rPr>
          <w:rFonts w:ascii="Times New Roman" w:eastAsia="Times New Roman" w:hAnsi="Times New Roman"/>
          <w:sz w:val="24"/>
          <w:szCs w:val="24"/>
        </w:rPr>
        <w:t xml:space="preserve">On </w:t>
      </w:r>
      <w:bookmarkStart w:id="110" w:name="_Hlk39822838"/>
      <w:r w:rsidRPr="00015208">
        <w:rPr>
          <w:rFonts w:ascii="Times New Roman" w:eastAsia="Times New Roman" w:hAnsi="Times New Roman"/>
          <w:sz w:val="24"/>
          <w:szCs w:val="24"/>
        </w:rPr>
        <w:t xml:space="preserve">Sept. 20, 2019, in </w:t>
      </w:r>
      <w:r w:rsidRPr="00015208">
        <w:rPr>
          <w:rFonts w:ascii="Times New Roman" w:eastAsia="Times New Roman" w:hAnsi="Times New Roman"/>
          <w:sz w:val="24"/>
          <w:szCs w:val="24"/>
          <w:u w:val="single"/>
        </w:rPr>
        <w:t>Sharon Jenkins v. Kentucky Retirement Systems</w:t>
      </w:r>
      <w:bookmarkEnd w:id="110"/>
      <w:r w:rsidRPr="00015208">
        <w:rPr>
          <w:rFonts w:ascii="Times New Roman" w:eastAsia="Times New Roman" w:hAnsi="Times New Roman"/>
          <w:sz w:val="24"/>
          <w:szCs w:val="24"/>
        </w:rPr>
        <w:t xml:space="preserve">, the Kentucky Court of Appeals held (3 to 0; unpublished opinion) that the Retirement Board properly denied wife of deceased firefighter “line-of-duty” death benefits, but she is entitled to “basic” death benefits.   LODD benefits would have include </w:t>
      </w:r>
      <w:r w:rsidRPr="00015208">
        <w:rPr>
          <w:rFonts w:ascii="Times New Roman" w:hAnsi="Times New Roman"/>
          <w:sz w:val="24"/>
          <w:szCs w:val="24"/>
        </w:rPr>
        <w:t>lump sum of $10,000 and a monthly payment equal to 10% of Malcolm’s monthly final rate of pay; “Basic” benefits were an actuarial fund, or a lump sum.</w:t>
      </w:r>
      <w:r w:rsidR="00025B22">
        <w:rPr>
          <w:rFonts w:ascii="Times New Roman" w:hAnsi="Times New Roman"/>
          <w:sz w:val="24"/>
          <w:szCs w:val="24"/>
        </w:rPr>
        <w:t xml:space="preserve"> </w:t>
      </w:r>
      <w:r w:rsidRPr="00015208">
        <w:rPr>
          <w:rFonts w:ascii="Times New Roman" w:eastAsia="Times New Roman" w:hAnsi="Times New Roman"/>
          <w:sz w:val="24"/>
          <w:szCs w:val="24"/>
        </w:rPr>
        <w:tab/>
        <w:t xml:space="preserve">Judge Kelly Thompson wrote: </w:t>
      </w:r>
    </w:p>
    <w:p w14:paraId="666DD0E3" w14:textId="77777777" w:rsidR="00853142" w:rsidRPr="00015208" w:rsidRDefault="00853142" w:rsidP="00853142">
      <w:pPr>
        <w:spacing w:after="0" w:line="240" w:lineRule="auto"/>
        <w:rPr>
          <w:rFonts w:ascii="Times New Roman" w:eastAsia="Times New Roman" w:hAnsi="Times New Roman"/>
          <w:sz w:val="24"/>
          <w:szCs w:val="24"/>
        </w:rPr>
      </w:pPr>
    </w:p>
    <w:p w14:paraId="3C772CCD" w14:textId="77777777" w:rsidR="00025B22" w:rsidRPr="00015208" w:rsidRDefault="00853142" w:rsidP="00025B22">
      <w:pPr>
        <w:spacing w:after="0" w:line="240" w:lineRule="auto"/>
        <w:ind w:left="720"/>
        <w:rPr>
          <w:rFonts w:ascii="Times New Roman" w:eastAsia="Times New Roman" w:hAnsi="Times New Roman"/>
          <w:sz w:val="24"/>
          <w:szCs w:val="24"/>
        </w:rPr>
      </w:pPr>
      <w:r w:rsidRPr="00015208">
        <w:rPr>
          <w:rFonts w:ascii="Times New Roman" w:eastAsia="Times New Roman" w:hAnsi="Times New Roman"/>
          <w:sz w:val="24"/>
          <w:szCs w:val="24"/>
        </w:rPr>
        <w:t xml:space="preserve">“Sharon [Jenkins] points out that under federal law providing death benefits to federal safety </w:t>
      </w:r>
      <w:proofErr w:type="gramStart"/>
      <w:r w:rsidRPr="00015208">
        <w:rPr>
          <w:rFonts w:ascii="Times New Roman" w:eastAsia="Times New Roman" w:hAnsi="Times New Roman"/>
          <w:sz w:val="24"/>
          <w:szCs w:val="24"/>
        </w:rPr>
        <w:t>officers,</w:t>
      </w:r>
      <w:proofErr w:type="gramEnd"/>
      <w:r w:rsidRPr="00015208">
        <w:rPr>
          <w:rFonts w:ascii="Times New Roman" w:eastAsia="Times New Roman" w:hAnsi="Times New Roman"/>
          <w:sz w:val="24"/>
          <w:szCs w:val="24"/>
        </w:rPr>
        <w:t xml:space="preserve"> it is presumed that a fatal heart attack occurring within 24 hours of a nonroutine stressful or strenuous physical activity in the line of duty is presumed to be the direct and proximate result of that activity. 34 United States Code §10281. While such a presumption might resolve some of the inherent difficulty in determining the cause of a cardiac event, that same presumption is not found in KRS16.601. ‘As administrative agencies are creatures of statute,’ this Court cannot require that such a presumption be applied to claims for in-line-of-duty death benefits. Kentucky Retirement Systems v. Bowens, 281 S.W.3d 776,784 (Ky. 2009).”</w:t>
      </w:r>
      <w:r w:rsidR="00025B22">
        <w:rPr>
          <w:rFonts w:ascii="Times New Roman" w:eastAsia="Times New Roman" w:hAnsi="Times New Roman"/>
          <w:sz w:val="24"/>
          <w:szCs w:val="24"/>
        </w:rPr>
        <w:t xml:space="preserve"> </w:t>
      </w:r>
      <w:bookmarkStart w:id="111" w:name="_Hlk39822879"/>
      <w:r w:rsidR="00025B22">
        <w:fldChar w:fldCharType="begin"/>
      </w:r>
      <w:r w:rsidR="00025B22">
        <w:instrText xml:space="preserve"> HYPERLINK "https://cases.justia.com/kentucky/court-of-appeals/2019-2018-ca-000395-mr.pdf?ts=1568988148" </w:instrText>
      </w:r>
      <w:r w:rsidR="00025B22">
        <w:fldChar w:fldCharType="separate"/>
      </w:r>
      <w:r w:rsidR="00025B22" w:rsidRPr="00015208">
        <w:rPr>
          <w:rStyle w:val="Hyperlink"/>
          <w:rFonts w:ascii="Times New Roman" w:eastAsia="Times New Roman" w:hAnsi="Times New Roman"/>
          <w:sz w:val="24"/>
          <w:szCs w:val="24"/>
        </w:rPr>
        <w:t>https://cases.justia.com/kentucky/court-of-appeals/2019-2018-ca-000395-mr.pdf?ts=1568988148</w:t>
      </w:r>
      <w:r w:rsidR="00025B22">
        <w:rPr>
          <w:rStyle w:val="Hyperlink"/>
          <w:rFonts w:ascii="Times New Roman" w:eastAsia="Times New Roman" w:hAnsi="Times New Roman"/>
          <w:sz w:val="24"/>
          <w:szCs w:val="24"/>
        </w:rPr>
        <w:fldChar w:fldCharType="end"/>
      </w:r>
      <w:r w:rsidR="00025B22" w:rsidRPr="00015208">
        <w:rPr>
          <w:rFonts w:ascii="Times New Roman" w:eastAsia="Times New Roman" w:hAnsi="Times New Roman"/>
          <w:sz w:val="24"/>
          <w:szCs w:val="24"/>
        </w:rPr>
        <w:t xml:space="preserve"> </w:t>
      </w:r>
    </w:p>
    <w:p w14:paraId="42FE7EA4" w14:textId="77777777" w:rsidR="00025B22" w:rsidRPr="00015208" w:rsidRDefault="00025B22" w:rsidP="00025B22">
      <w:pPr>
        <w:spacing w:after="0" w:line="240" w:lineRule="auto"/>
        <w:rPr>
          <w:rFonts w:ascii="Times New Roman" w:eastAsia="Times New Roman" w:hAnsi="Times New Roman"/>
          <w:sz w:val="24"/>
          <w:szCs w:val="24"/>
        </w:rPr>
      </w:pPr>
    </w:p>
    <w:bookmarkEnd w:id="111"/>
    <w:p w14:paraId="1DF38443" w14:textId="384D43C1" w:rsidR="00853142" w:rsidRPr="00015208" w:rsidRDefault="00853142" w:rsidP="00853142">
      <w:pPr>
        <w:spacing w:after="0" w:line="240" w:lineRule="auto"/>
        <w:ind w:left="720"/>
        <w:rPr>
          <w:rFonts w:ascii="Times New Roman" w:eastAsia="Times New Roman" w:hAnsi="Times New Roman"/>
          <w:sz w:val="24"/>
          <w:szCs w:val="24"/>
        </w:rPr>
      </w:pPr>
    </w:p>
    <w:p w14:paraId="2225B21E" w14:textId="77777777" w:rsidR="00853142" w:rsidRPr="00015208" w:rsidRDefault="00853142" w:rsidP="00853142">
      <w:pPr>
        <w:spacing w:after="0" w:line="240" w:lineRule="auto"/>
        <w:ind w:left="720"/>
        <w:rPr>
          <w:rFonts w:ascii="Times New Roman" w:eastAsia="Times New Roman" w:hAnsi="Times New Roman"/>
          <w:sz w:val="24"/>
          <w:szCs w:val="24"/>
        </w:rPr>
      </w:pPr>
    </w:p>
    <w:p w14:paraId="17F63B9F" w14:textId="77777777" w:rsidR="00853142" w:rsidRPr="00015208" w:rsidRDefault="00853142" w:rsidP="00853142">
      <w:pPr>
        <w:pStyle w:val="Heading1"/>
        <w:rPr>
          <w:b w:val="0"/>
          <w:bCs w:val="0"/>
          <w:sz w:val="24"/>
          <w:szCs w:val="24"/>
        </w:rPr>
      </w:pPr>
      <w:r w:rsidRPr="00015208">
        <w:rPr>
          <w:sz w:val="24"/>
          <w:szCs w:val="24"/>
        </w:rPr>
        <w:t xml:space="preserve">Legal Lessons Learned:  In cases involving a “battle of the experts,” Courts will normally not overturn findings of the Administrative Agency.   The federal death benefits statute for firefighters and other public safety officers, who die within 24 hours of "nonroutine stressful or strenuous physical" activity was written to avoid these kinds of disputes.  See </w:t>
      </w:r>
      <w:bookmarkStart w:id="112" w:name="_Hlk39822753"/>
      <w:r w:rsidRPr="00015208">
        <w:rPr>
          <w:sz w:val="24"/>
          <w:szCs w:val="24"/>
        </w:rPr>
        <w:t xml:space="preserve">May 15, </w:t>
      </w:r>
      <w:proofErr w:type="gramStart"/>
      <w:r w:rsidRPr="00015208">
        <w:rPr>
          <w:sz w:val="24"/>
          <w:szCs w:val="24"/>
        </w:rPr>
        <w:t>2018</w:t>
      </w:r>
      <w:proofErr w:type="gramEnd"/>
      <w:r w:rsidRPr="00015208">
        <w:rPr>
          <w:sz w:val="24"/>
          <w:szCs w:val="24"/>
        </w:rPr>
        <w:t xml:space="preserve"> announcement: “Justice Department Announces Improvements to Public Safety Officers’ Benefits Program.”</w:t>
      </w:r>
      <w:r w:rsidRPr="00015208">
        <w:rPr>
          <w:b w:val="0"/>
          <w:bCs w:val="0"/>
          <w:sz w:val="24"/>
          <w:szCs w:val="24"/>
        </w:rPr>
        <w:t xml:space="preserve"> </w:t>
      </w:r>
      <w:hyperlink r:id="rId588" w:history="1">
        <w:r w:rsidRPr="00015208">
          <w:rPr>
            <w:rStyle w:val="Hyperlink"/>
            <w:b w:val="0"/>
            <w:bCs w:val="0"/>
            <w:sz w:val="24"/>
            <w:szCs w:val="24"/>
          </w:rPr>
          <w:t>https://www.justice.gov/opa/pr/justice-department-announces-improvements-public-safety-officers-benefits-program</w:t>
        </w:r>
      </w:hyperlink>
      <w:r w:rsidRPr="00015208">
        <w:rPr>
          <w:b w:val="0"/>
          <w:bCs w:val="0"/>
          <w:sz w:val="24"/>
          <w:szCs w:val="24"/>
        </w:rPr>
        <w:t xml:space="preserve"> </w:t>
      </w:r>
    </w:p>
    <w:bookmarkEnd w:id="112"/>
    <w:p w14:paraId="33CDC4E0" w14:textId="0172D15C" w:rsidR="00853142" w:rsidRDefault="00853142" w:rsidP="00EF1133">
      <w:pPr>
        <w:pStyle w:val="NoSpacing"/>
        <w:rPr>
          <w:rFonts w:ascii="Arial Black" w:hAnsi="Arial Black"/>
          <w:sz w:val="24"/>
          <w:szCs w:val="24"/>
        </w:rPr>
      </w:pPr>
    </w:p>
    <w:p w14:paraId="36A36ED6" w14:textId="36DFC688" w:rsidR="00A67C57" w:rsidRDefault="00A67C57" w:rsidP="00EF1133">
      <w:pPr>
        <w:pStyle w:val="NoSpacing"/>
        <w:rPr>
          <w:rFonts w:ascii="Arial Black" w:hAnsi="Arial Black"/>
          <w:sz w:val="24"/>
          <w:szCs w:val="24"/>
        </w:rPr>
      </w:pPr>
    </w:p>
    <w:p w14:paraId="41D0317D" w14:textId="77777777" w:rsidR="00A67C57" w:rsidRDefault="00A67C57" w:rsidP="00EF1133">
      <w:pPr>
        <w:pStyle w:val="NoSpacing"/>
        <w:rPr>
          <w:rFonts w:ascii="Arial Black" w:hAnsi="Arial Black"/>
          <w:sz w:val="24"/>
          <w:szCs w:val="24"/>
        </w:rPr>
      </w:pPr>
    </w:p>
    <w:p w14:paraId="5D75C623" w14:textId="4023065D" w:rsidR="00A52325" w:rsidRDefault="00A52325" w:rsidP="00EF1133">
      <w:pPr>
        <w:pStyle w:val="NoSpacing"/>
        <w:rPr>
          <w:rFonts w:ascii="Arial Black" w:hAnsi="Arial Black"/>
          <w:sz w:val="24"/>
          <w:szCs w:val="24"/>
        </w:rPr>
      </w:pPr>
      <w:r>
        <w:rPr>
          <w:rFonts w:ascii="Arial Black" w:hAnsi="Arial Black"/>
          <w:sz w:val="24"/>
          <w:szCs w:val="24"/>
        </w:rPr>
        <w:lastRenderedPageBreak/>
        <w:t>2-20</w:t>
      </w:r>
    </w:p>
    <w:p w14:paraId="1AB7F3A8" w14:textId="1E0B2DA7" w:rsidR="00A52325" w:rsidRDefault="00A52325" w:rsidP="00EF1133">
      <w:pPr>
        <w:pStyle w:val="NoSpacing"/>
        <w:rPr>
          <w:rFonts w:ascii="Arial Black" w:hAnsi="Arial Black"/>
          <w:sz w:val="24"/>
          <w:szCs w:val="24"/>
        </w:rPr>
      </w:pPr>
    </w:p>
    <w:p w14:paraId="48367360" w14:textId="77777777" w:rsidR="00A52325" w:rsidRDefault="00A52325" w:rsidP="00A52325">
      <w:pPr>
        <w:pStyle w:val="NoSpacing"/>
        <w:rPr>
          <w:rFonts w:ascii="Arial Black" w:hAnsi="Arial Black"/>
          <w:sz w:val="28"/>
          <w:szCs w:val="28"/>
        </w:rPr>
      </w:pPr>
      <w:r>
        <w:rPr>
          <w:rFonts w:ascii="Arial Black" w:hAnsi="Arial Black"/>
          <w:sz w:val="28"/>
          <w:szCs w:val="28"/>
        </w:rPr>
        <w:t>NY: LIVER CANCER - FF WORKED AT 9/11 WORLD TRADE CENTER – ACCIDENTAL DISABILITY BENEFITS AWARDED</w:t>
      </w:r>
    </w:p>
    <w:p w14:paraId="6BF50E34" w14:textId="77777777" w:rsidR="00A52325" w:rsidRDefault="00A52325" w:rsidP="00A52325">
      <w:pPr>
        <w:pStyle w:val="NoSpacing"/>
        <w:rPr>
          <w:rFonts w:ascii="Arial Black" w:hAnsi="Arial Black"/>
          <w:sz w:val="28"/>
          <w:szCs w:val="28"/>
        </w:rPr>
      </w:pPr>
    </w:p>
    <w:p w14:paraId="332EC30C" w14:textId="77777777" w:rsidR="00A52325" w:rsidRDefault="00A52325" w:rsidP="00A52325">
      <w:pPr>
        <w:pStyle w:val="NoSpacing"/>
        <w:rPr>
          <w:rFonts w:ascii="Times New Roman" w:hAnsi="Times New Roman"/>
          <w:sz w:val="24"/>
          <w:szCs w:val="24"/>
        </w:rPr>
      </w:pPr>
      <w:r>
        <w:rPr>
          <w:rFonts w:ascii="Times New Roman" w:hAnsi="Times New Roman"/>
          <w:sz w:val="24"/>
          <w:szCs w:val="24"/>
        </w:rPr>
        <w:t xml:space="preserve">On Sept. 3, 2019, in </w:t>
      </w:r>
      <w:r>
        <w:rPr>
          <w:rFonts w:ascii="Times New Roman" w:hAnsi="Times New Roman"/>
          <w:sz w:val="24"/>
          <w:szCs w:val="24"/>
          <w:u w:val="single"/>
        </w:rPr>
        <w:t xml:space="preserve">Matter </w:t>
      </w:r>
      <w:proofErr w:type="gramStart"/>
      <w:r>
        <w:rPr>
          <w:rFonts w:ascii="Times New Roman" w:hAnsi="Times New Roman"/>
          <w:sz w:val="24"/>
          <w:szCs w:val="24"/>
          <w:u w:val="single"/>
        </w:rPr>
        <w:t>Of</w:t>
      </w:r>
      <w:proofErr w:type="gramEnd"/>
      <w:r>
        <w:rPr>
          <w:rFonts w:ascii="Times New Roman" w:hAnsi="Times New Roman"/>
          <w:sz w:val="24"/>
          <w:szCs w:val="24"/>
          <w:u w:val="single"/>
        </w:rPr>
        <w:t xml:space="preserve"> Joseph Daly v. Daniel Nigro</w:t>
      </w:r>
      <w:r>
        <w:rPr>
          <w:rFonts w:ascii="Times New Roman" w:hAnsi="Times New Roman"/>
          <w:sz w:val="24"/>
          <w:szCs w:val="24"/>
        </w:rPr>
        <w:t xml:space="preserve">, Supreme Court, Kings County (Judge Katherine A. Levine), in unpublished opinion, held that there is a statutory presumption that the firefighter ‘s liver cancer was caused by his work at the World Trade Center cleanup operation.  The firefighter’s pension is therefore increased from one-half his salary (taxable) to three-quarters of his salary (tax-free).  </w:t>
      </w:r>
    </w:p>
    <w:p w14:paraId="23FD7B67" w14:textId="77777777" w:rsidR="00A52325" w:rsidRDefault="00A52325" w:rsidP="00A52325">
      <w:pPr>
        <w:pStyle w:val="NoSpacing"/>
        <w:rPr>
          <w:rFonts w:ascii="Times New Roman" w:hAnsi="Times New Roman"/>
          <w:sz w:val="24"/>
          <w:szCs w:val="24"/>
        </w:rPr>
      </w:pPr>
    </w:p>
    <w:p w14:paraId="4E73E24D" w14:textId="77777777" w:rsidR="00A52325" w:rsidRDefault="00A52325" w:rsidP="00A52325">
      <w:pPr>
        <w:pStyle w:val="NoSpacing"/>
        <w:ind w:left="720"/>
        <w:rPr>
          <w:rFonts w:ascii="Times New Roman" w:hAnsi="Times New Roman"/>
          <w:sz w:val="24"/>
          <w:szCs w:val="24"/>
        </w:rPr>
      </w:pPr>
      <w:r>
        <w:rPr>
          <w:rFonts w:ascii="Times New Roman" w:hAnsi="Times New Roman"/>
          <w:sz w:val="24"/>
          <w:szCs w:val="24"/>
        </w:rPr>
        <w:t xml:space="preserve">“While the Pension Fund does not dispute that Daly has a qualifying physical condition, it argues that it presented competent evidence to the court which disproves that petitioner's disability was attributable to his WTC rescue, recovery and cleanup operations, and proves that it was caused by persistent ascites and abdominal distention due to alcoholic cirrhosis of the liver. This court finds that respondent failed to proffer competent evidence to rebut the presumption that petitioner's qualifying physical condition was caused by the hazards he encountered at the WTC </w:t>
      </w:r>
      <w:proofErr w:type="gramStart"/>
      <w:r>
        <w:rPr>
          <w:rFonts w:ascii="Times New Roman" w:hAnsi="Times New Roman"/>
          <w:sz w:val="24"/>
          <w:szCs w:val="24"/>
        </w:rPr>
        <w:t>site.”</w:t>
      </w:r>
      <w:proofErr w:type="gramEnd"/>
    </w:p>
    <w:p w14:paraId="4EBD938A" w14:textId="77777777" w:rsidR="00A52325" w:rsidRDefault="00A52325" w:rsidP="00A52325">
      <w:pPr>
        <w:pStyle w:val="NoSpacing"/>
        <w:ind w:left="720"/>
        <w:rPr>
          <w:rFonts w:ascii="Times New Roman" w:hAnsi="Times New Roman"/>
          <w:sz w:val="24"/>
          <w:szCs w:val="24"/>
        </w:rPr>
      </w:pPr>
      <w:hyperlink r:id="rId589" w:history="1">
        <w:r>
          <w:rPr>
            <w:rStyle w:val="Hyperlink"/>
            <w:rFonts w:ascii="Times New Roman" w:hAnsi="Times New Roman"/>
            <w:sz w:val="24"/>
            <w:szCs w:val="24"/>
          </w:rPr>
          <w:t>https://law.justia.com/cases/new-york/other-courts/2019/2019-ny-slip-op-51525-u.html</w:t>
        </w:r>
      </w:hyperlink>
      <w:r>
        <w:rPr>
          <w:rFonts w:ascii="Times New Roman" w:hAnsi="Times New Roman"/>
          <w:sz w:val="24"/>
          <w:szCs w:val="24"/>
        </w:rPr>
        <w:t xml:space="preserve"> </w:t>
      </w:r>
    </w:p>
    <w:p w14:paraId="2DE32D4C" w14:textId="4ADAAE85" w:rsidR="00A52325" w:rsidRDefault="00A52325" w:rsidP="00EF1133">
      <w:pPr>
        <w:pStyle w:val="NoSpacing"/>
        <w:rPr>
          <w:rFonts w:ascii="Arial Black" w:hAnsi="Arial Black"/>
          <w:sz w:val="24"/>
          <w:szCs w:val="24"/>
        </w:rPr>
      </w:pPr>
    </w:p>
    <w:p w14:paraId="29139C9C" w14:textId="77777777" w:rsidR="00965872" w:rsidRDefault="00A52325" w:rsidP="00A52325">
      <w:pPr>
        <w:pStyle w:val="NoSpacing"/>
        <w:rPr>
          <w:rFonts w:ascii="Times New Roman" w:hAnsi="Times New Roman"/>
          <w:b/>
          <w:bCs/>
          <w:sz w:val="24"/>
          <w:szCs w:val="24"/>
        </w:rPr>
      </w:pPr>
      <w:r>
        <w:rPr>
          <w:rFonts w:ascii="Times New Roman" w:hAnsi="Times New Roman"/>
          <w:b/>
          <w:bCs/>
          <w:sz w:val="24"/>
          <w:szCs w:val="24"/>
        </w:rPr>
        <w:t xml:space="preserve">Legal Lessons Learned: The World Trade Center legislation created a “statutory presumption” that cancer was caused by their work at the WTC.  All firefighters should keep a record of structure fires and other exposures to hazardous environments, including even if you work in a state that have enacted workers comp. statutory presumptions, such as Ohio. See the Ohio application: </w:t>
      </w:r>
    </w:p>
    <w:p w14:paraId="7471988A" w14:textId="77777777" w:rsidR="00965872" w:rsidRDefault="00965872" w:rsidP="00A52325">
      <w:pPr>
        <w:pStyle w:val="NoSpacing"/>
        <w:rPr>
          <w:rFonts w:ascii="Times New Roman" w:hAnsi="Times New Roman"/>
          <w:b/>
          <w:bCs/>
          <w:sz w:val="24"/>
          <w:szCs w:val="24"/>
        </w:rPr>
      </w:pPr>
    </w:p>
    <w:p w14:paraId="5D1EFE59" w14:textId="52969460" w:rsidR="00A52325" w:rsidRDefault="00965872" w:rsidP="00965872">
      <w:pPr>
        <w:pStyle w:val="NoSpacing"/>
        <w:ind w:firstLine="720"/>
        <w:rPr>
          <w:rFonts w:ascii="Times New Roman" w:hAnsi="Times New Roman"/>
          <w:sz w:val="24"/>
          <w:szCs w:val="24"/>
        </w:rPr>
      </w:pPr>
      <w:hyperlink r:id="rId590" w:history="1">
        <w:r w:rsidRPr="002F304C">
          <w:rPr>
            <w:rStyle w:val="Hyperlink"/>
            <w:rFonts w:ascii="Times New Roman" w:hAnsi="Times New Roman"/>
            <w:b/>
            <w:bCs/>
            <w:sz w:val="24"/>
            <w:szCs w:val="24"/>
          </w:rPr>
          <w:t>https://www.bwc.ohio.gov/downloads/blankpdf/C-265.pdf</w:t>
        </w:r>
      </w:hyperlink>
      <w:r w:rsidR="00A52325">
        <w:rPr>
          <w:rFonts w:ascii="Times New Roman" w:hAnsi="Times New Roman"/>
          <w:b/>
          <w:bCs/>
          <w:sz w:val="24"/>
          <w:szCs w:val="24"/>
        </w:rPr>
        <w:t xml:space="preserve"> </w:t>
      </w:r>
    </w:p>
    <w:p w14:paraId="0910932C" w14:textId="77777777" w:rsidR="00A52325" w:rsidRPr="00965872" w:rsidRDefault="00A52325" w:rsidP="00965872">
      <w:pPr>
        <w:pStyle w:val="NoSpacing"/>
        <w:ind w:left="720"/>
        <w:rPr>
          <w:rFonts w:ascii="Times New Roman" w:hAnsi="Times New Roman"/>
          <w:sz w:val="24"/>
          <w:szCs w:val="24"/>
        </w:rPr>
      </w:pPr>
      <w:r w:rsidRPr="00965872">
        <w:rPr>
          <w:rFonts w:ascii="Times New Roman" w:hAnsi="Times New Roman"/>
          <w:sz w:val="24"/>
          <w:szCs w:val="24"/>
        </w:rPr>
        <w:t xml:space="preserve">“Have you been assigned to at least six years of hazardous duty as a fire fighter? Yes No If yes, please provide a history of your hazardous duty as a firefighter. “Hazardous duty” means duty performed </w:t>
      </w:r>
      <w:proofErr w:type="gramStart"/>
      <w:r w:rsidRPr="00965872">
        <w:rPr>
          <w:rFonts w:ascii="Times New Roman" w:hAnsi="Times New Roman"/>
          <w:sz w:val="24"/>
          <w:szCs w:val="24"/>
        </w:rPr>
        <w:t>under circumstances in which</w:t>
      </w:r>
      <w:proofErr w:type="gramEnd"/>
      <w:r w:rsidRPr="00965872">
        <w:rPr>
          <w:rFonts w:ascii="Times New Roman" w:hAnsi="Times New Roman"/>
          <w:sz w:val="24"/>
          <w:szCs w:val="24"/>
        </w:rPr>
        <w:t xml:space="preserve"> an accident could result in serious injury or death.” </w:t>
      </w:r>
    </w:p>
    <w:p w14:paraId="5BEAB59B" w14:textId="77777777" w:rsidR="00A52325" w:rsidRDefault="00A52325" w:rsidP="00A52325">
      <w:pPr>
        <w:pStyle w:val="NoSpacing"/>
        <w:ind w:left="720"/>
        <w:rPr>
          <w:rFonts w:ascii="Arial Black" w:hAnsi="Arial Black"/>
          <w:sz w:val="28"/>
          <w:szCs w:val="28"/>
        </w:rPr>
      </w:pPr>
    </w:p>
    <w:p w14:paraId="4265F96F" w14:textId="79839627" w:rsidR="00A52325" w:rsidRPr="00A52325" w:rsidRDefault="00A52325" w:rsidP="00EF1133">
      <w:pPr>
        <w:pStyle w:val="NoSpacing"/>
        <w:rPr>
          <w:rFonts w:ascii="Times New Roman" w:hAnsi="Times New Roman"/>
          <w:sz w:val="24"/>
          <w:szCs w:val="24"/>
        </w:rPr>
      </w:pPr>
    </w:p>
    <w:p w14:paraId="33B6B009" w14:textId="77777777" w:rsidR="00A52325" w:rsidRDefault="00A52325" w:rsidP="00EF1133">
      <w:pPr>
        <w:pStyle w:val="NoSpacing"/>
        <w:rPr>
          <w:rFonts w:ascii="Arial Black" w:hAnsi="Arial Black"/>
          <w:sz w:val="24"/>
          <w:szCs w:val="24"/>
        </w:rPr>
      </w:pPr>
    </w:p>
    <w:p w14:paraId="663D651A" w14:textId="0A3F268D" w:rsidR="00853142" w:rsidRDefault="00853142" w:rsidP="00EF1133">
      <w:pPr>
        <w:pStyle w:val="NoSpacing"/>
        <w:rPr>
          <w:rFonts w:ascii="Arial Black" w:hAnsi="Arial Black"/>
          <w:sz w:val="24"/>
          <w:szCs w:val="24"/>
        </w:rPr>
      </w:pPr>
      <w:r>
        <w:rPr>
          <w:rFonts w:ascii="Arial Black" w:hAnsi="Arial Black"/>
          <w:sz w:val="24"/>
          <w:szCs w:val="24"/>
        </w:rPr>
        <w:t>2-1</w:t>
      </w:r>
      <w:r w:rsidR="00D07E6E">
        <w:rPr>
          <w:rFonts w:ascii="Arial Black" w:hAnsi="Arial Black"/>
          <w:sz w:val="24"/>
          <w:szCs w:val="24"/>
        </w:rPr>
        <w:t>9</w:t>
      </w:r>
    </w:p>
    <w:p w14:paraId="33FBEDB8" w14:textId="62DB7BDE" w:rsidR="00853142" w:rsidRDefault="00853142" w:rsidP="00EF1133">
      <w:pPr>
        <w:pStyle w:val="NoSpacing"/>
        <w:rPr>
          <w:rFonts w:ascii="Arial Black" w:hAnsi="Arial Black"/>
          <w:sz w:val="24"/>
          <w:szCs w:val="24"/>
        </w:rPr>
      </w:pPr>
    </w:p>
    <w:p w14:paraId="406B8699" w14:textId="77777777" w:rsidR="00853142" w:rsidRPr="00A57FCF" w:rsidRDefault="00853142" w:rsidP="00853142">
      <w:pPr>
        <w:pStyle w:val="NoSpacing"/>
        <w:rPr>
          <w:rFonts w:ascii="Arial Black" w:hAnsi="Arial Black"/>
          <w:sz w:val="28"/>
          <w:szCs w:val="28"/>
        </w:rPr>
      </w:pPr>
      <w:r w:rsidRPr="00A57FCF">
        <w:rPr>
          <w:rFonts w:ascii="Arial Black" w:hAnsi="Arial Black"/>
          <w:sz w:val="28"/>
          <w:szCs w:val="28"/>
        </w:rPr>
        <w:t xml:space="preserve">PA: </w:t>
      </w:r>
      <w:r>
        <w:rPr>
          <w:rFonts w:ascii="Arial Black" w:hAnsi="Arial Black"/>
          <w:sz w:val="28"/>
          <w:szCs w:val="28"/>
        </w:rPr>
        <w:t xml:space="preserve">THREE FF KILLED – ROW HOUSE STRUCTURE FIRE - MAYOR, FIRE CHIEF DENIED QUALIFIED IMMUNITY – “ROLLING BROWNOUTS”  </w:t>
      </w:r>
    </w:p>
    <w:p w14:paraId="3967A63B" w14:textId="77777777" w:rsidR="00853142" w:rsidRPr="00C8181A" w:rsidRDefault="00853142" w:rsidP="00853142">
      <w:pPr>
        <w:rPr>
          <w:rFonts w:ascii="Times New Roman" w:hAnsi="Times New Roman"/>
          <w:sz w:val="24"/>
          <w:szCs w:val="24"/>
        </w:rPr>
      </w:pPr>
      <w:r w:rsidRPr="00C8181A">
        <w:rPr>
          <w:rFonts w:ascii="Times New Roman" w:hAnsi="Times New Roman"/>
          <w:sz w:val="24"/>
          <w:szCs w:val="24"/>
        </w:rPr>
        <w:t xml:space="preserve">On Aug. 28, 2019, in </w:t>
      </w:r>
      <w:r w:rsidRPr="00C8181A">
        <w:rPr>
          <w:rFonts w:ascii="Times New Roman" w:hAnsi="Times New Roman"/>
          <w:sz w:val="24"/>
          <w:szCs w:val="24"/>
          <w:u w:val="single"/>
        </w:rPr>
        <w:t>Firefighter Brad Speakman, Ret., et. al v. Dennis P. Williams, James M. Baker, Anthony S. Goode, William Patrick, and City of Wilmington</w:t>
      </w:r>
      <w:r w:rsidRPr="00C8181A">
        <w:rPr>
          <w:rFonts w:ascii="Times New Roman" w:hAnsi="Times New Roman"/>
          <w:sz w:val="24"/>
          <w:szCs w:val="24"/>
        </w:rPr>
        <w:t xml:space="preserve">, U.S. Magistrate Judge Mary Pat Thynge, U.S. District Court for the District of Delaware, issued a Report And Recommendation to </w:t>
      </w:r>
      <w:r>
        <w:rPr>
          <w:rFonts w:ascii="Times New Roman" w:hAnsi="Times New Roman"/>
          <w:sz w:val="24"/>
          <w:szCs w:val="24"/>
        </w:rPr>
        <w:t xml:space="preserve">a U.S. District Court judge assigned to this lawsuit arising from September 24, 2016 structure fire in a row house started by an arsonist.  </w:t>
      </w:r>
      <w:r w:rsidRPr="00C8181A">
        <w:rPr>
          <w:rFonts w:ascii="Times New Roman" w:hAnsi="Times New Roman"/>
          <w:sz w:val="24"/>
          <w:szCs w:val="24"/>
        </w:rPr>
        <w:t xml:space="preserve"> </w:t>
      </w:r>
      <w:r>
        <w:rPr>
          <w:rFonts w:ascii="Times New Roman" w:hAnsi="Times New Roman"/>
          <w:sz w:val="24"/>
          <w:szCs w:val="24"/>
        </w:rPr>
        <w:t xml:space="preserve">The Magistrate recommended that </w:t>
      </w:r>
      <w:r w:rsidRPr="00C8181A">
        <w:rPr>
          <w:rFonts w:ascii="Times New Roman" w:hAnsi="Times New Roman"/>
          <w:sz w:val="24"/>
          <w:szCs w:val="24"/>
        </w:rPr>
        <w:t>Mayor Williams</w:t>
      </w:r>
      <w:r>
        <w:rPr>
          <w:rFonts w:ascii="Times New Roman" w:hAnsi="Times New Roman"/>
          <w:sz w:val="24"/>
          <w:szCs w:val="24"/>
        </w:rPr>
        <w:t xml:space="preserve">, </w:t>
      </w:r>
      <w:r w:rsidRPr="00C8181A">
        <w:rPr>
          <w:rFonts w:ascii="Times New Roman" w:hAnsi="Times New Roman"/>
          <w:sz w:val="24"/>
          <w:szCs w:val="24"/>
        </w:rPr>
        <w:t>Fire Chief Goode</w:t>
      </w:r>
      <w:r>
        <w:rPr>
          <w:rFonts w:ascii="Times New Roman" w:hAnsi="Times New Roman"/>
          <w:sz w:val="24"/>
          <w:szCs w:val="24"/>
        </w:rPr>
        <w:t xml:space="preserve"> not be granted qualified immunity at this time because of their </w:t>
      </w:r>
      <w:r w:rsidRPr="00C8181A">
        <w:rPr>
          <w:rFonts w:ascii="Times New Roman" w:hAnsi="Times New Roman"/>
          <w:sz w:val="24"/>
          <w:szCs w:val="24"/>
        </w:rPr>
        <w:t>“brownouts” of fire stations</w:t>
      </w:r>
      <w:r>
        <w:rPr>
          <w:rFonts w:ascii="Times New Roman" w:hAnsi="Times New Roman"/>
          <w:sz w:val="24"/>
          <w:szCs w:val="24"/>
        </w:rPr>
        <w:t xml:space="preserve"> – called “rolling bypass policy.” </w:t>
      </w:r>
      <w:hyperlink r:id="rId591" w:history="1">
        <w:r w:rsidRPr="00C8181A">
          <w:rPr>
            <w:rStyle w:val="Hyperlink"/>
            <w:rFonts w:ascii="Times New Roman" w:hAnsi="Times New Roman"/>
            <w:sz w:val="24"/>
            <w:szCs w:val="24"/>
          </w:rPr>
          <w:t>https://shawkeller.com/wp-content/uploads/opinions-pdf/18-1252-CMMPT.pdf</w:t>
        </w:r>
      </w:hyperlink>
      <w:r w:rsidRPr="00C8181A">
        <w:rPr>
          <w:rFonts w:ascii="Times New Roman" w:hAnsi="Times New Roman"/>
          <w:sz w:val="24"/>
          <w:szCs w:val="24"/>
        </w:rPr>
        <w:t xml:space="preserve"> </w:t>
      </w:r>
    </w:p>
    <w:p w14:paraId="5860FF45" w14:textId="77777777" w:rsidR="00853142" w:rsidRPr="006666F5" w:rsidRDefault="00853142" w:rsidP="00853142">
      <w:pPr>
        <w:rPr>
          <w:rFonts w:ascii="Times New Roman" w:hAnsi="Times New Roman"/>
          <w:sz w:val="24"/>
          <w:szCs w:val="24"/>
        </w:rPr>
      </w:pPr>
      <w:r>
        <w:rPr>
          <w:rFonts w:ascii="Times New Roman" w:hAnsi="Times New Roman"/>
          <w:sz w:val="24"/>
          <w:szCs w:val="24"/>
        </w:rPr>
        <w:tab/>
        <w:t xml:space="preserve">Magistrate Judge </w:t>
      </w:r>
      <w:proofErr w:type="spellStart"/>
      <w:r>
        <w:rPr>
          <w:rFonts w:ascii="Times New Roman" w:hAnsi="Times New Roman"/>
          <w:sz w:val="24"/>
          <w:szCs w:val="24"/>
        </w:rPr>
        <w:t>Thynge</w:t>
      </w:r>
      <w:proofErr w:type="spellEnd"/>
      <w:r>
        <w:rPr>
          <w:rFonts w:ascii="Times New Roman" w:hAnsi="Times New Roman"/>
          <w:sz w:val="24"/>
          <w:szCs w:val="24"/>
        </w:rPr>
        <w:t xml:space="preserve"> wrote: </w:t>
      </w:r>
    </w:p>
    <w:p w14:paraId="1C2DF21B" w14:textId="77777777" w:rsidR="00853142" w:rsidRDefault="00853142" w:rsidP="00853142">
      <w:pPr>
        <w:pStyle w:val="NoSpacing"/>
        <w:ind w:left="1440"/>
        <w:rPr>
          <w:rFonts w:ascii="Times New Roman" w:hAnsi="Times New Roman"/>
          <w:sz w:val="24"/>
          <w:szCs w:val="24"/>
        </w:rPr>
      </w:pPr>
      <w:r>
        <w:rPr>
          <w:rFonts w:ascii="Times New Roman" w:hAnsi="Times New Roman"/>
          <w:sz w:val="24"/>
          <w:szCs w:val="24"/>
        </w:rPr>
        <w:t>“</w:t>
      </w:r>
      <w:r w:rsidRPr="006666F5">
        <w:rPr>
          <w:rFonts w:ascii="Times New Roman" w:hAnsi="Times New Roman"/>
          <w:sz w:val="24"/>
          <w:szCs w:val="24"/>
        </w:rPr>
        <w:t>Mayor Williams and Chief Goode understood that, with fire</w:t>
      </w:r>
      <w:r>
        <w:rPr>
          <w:rFonts w:ascii="Times New Roman" w:hAnsi="Times New Roman"/>
          <w:sz w:val="24"/>
          <w:szCs w:val="24"/>
        </w:rPr>
        <w:t xml:space="preserve"> </w:t>
      </w:r>
      <w:r w:rsidRPr="006666F5">
        <w:rPr>
          <w:rFonts w:ascii="Times New Roman" w:hAnsi="Times New Roman"/>
          <w:sz w:val="24"/>
          <w:szCs w:val="24"/>
        </w:rPr>
        <w:t>houses</w:t>
      </w:r>
      <w:r>
        <w:rPr>
          <w:rFonts w:ascii="Times New Roman" w:hAnsi="Times New Roman"/>
          <w:sz w:val="24"/>
          <w:szCs w:val="24"/>
        </w:rPr>
        <w:t xml:space="preserve"> </w:t>
      </w:r>
      <w:r w:rsidRPr="006666F5">
        <w:rPr>
          <w:rFonts w:ascii="Times New Roman" w:hAnsi="Times New Roman"/>
          <w:sz w:val="24"/>
          <w:szCs w:val="24"/>
        </w:rPr>
        <w:t>closed, overtime, the main impetus for the rolling bypass policy, substantially increased</w:t>
      </w:r>
      <w:r>
        <w:rPr>
          <w:rFonts w:ascii="Times New Roman" w:hAnsi="Times New Roman"/>
          <w:sz w:val="24"/>
          <w:szCs w:val="24"/>
        </w:rPr>
        <w:t xml:space="preserve"> </w:t>
      </w:r>
      <w:r w:rsidRPr="006666F5">
        <w:rPr>
          <w:rFonts w:ascii="Times New Roman" w:hAnsi="Times New Roman"/>
          <w:sz w:val="24"/>
          <w:szCs w:val="24"/>
        </w:rPr>
        <w:t>during both the Goode and Williams’ administrations. Union Officials routinely warned</w:t>
      </w:r>
      <w:r>
        <w:rPr>
          <w:rFonts w:ascii="Times New Roman" w:hAnsi="Times New Roman"/>
          <w:sz w:val="24"/>
          <w:szCs w:val="24"/>
        </w:rPr>
        <w:t xml:space="preserve"> </w:t>
      </w:r>
      <w:r w:rsidRPr="006666F5">
        <w:rPr>
          <w:rFonts w:ascii="Times New Roman" w:hAnsi="Times New Roman"/>
          <w:sz w:val="24"/>
          <w:szCs w:val="24"/>
        </w:rPr>
        <w:t xml:space="preserve">Mayor Williams and Chief Goode </w:t>
      </w:r>
      <w:r w:rsidRPr="006666F5">
        <w:rPr>
          <w:rFonts w:ascii="Times New Roman" w:hAnsi="Times New Roman"/>
          <w:sz w:val="24"/>
          <w:szCs w:val="24"/>
        </w:rPr>
        <w:lastRenderedPageBreak/>
        <w:t>of the dangers associated with the continued use of</w:t>
      </w:r>
      <w:r>
        <w:rPr>
          <w:rFonts w:ascii="Times New Roman" w:hAnsi="Times New Roman"/>
          <w:sz w:val="24"/>
          <w:szCs w:val="24"/>
        </w:rPr>
        <w:t xml:space="preserve"> </w:t>
      </w:r>
      <w:r w:rsidRPr="006666F5">
        <w:rPr>
          <w:rFonts w:ascii="Times New Roman" w:hAnsi="Times New Roman"/>
          <w:sz w:val="24"/>
          <w:szCs w:val="24"/>
        </w:rPr>
        <w:t>rolling bypass. Despite repeated, emphatic warnings and concerns expressed by Union</w:t>
      </w:r>
      <w:r>
        <w:rPr>
          <w:rFonts w:ascii="Times New Roman" w:hAnsi="Times New Roman"/>
          <w:sz w:val="24"/>
          <w:szCs w:val="24"/>
        </w:rPr>
        <w:t xml:space="preserve"> </w:t>
      </w:r>
      <w:r w:rsidRPr="006666F5">
        <w:rPr>
          <w:rFonts w:ascii="Times New Roman" w:hAnsi="Times New Roman"/>
          <w:sz w:val="24"/>
          <w:szCs w:val="24"/>
        </w:rPr>
        <w:t>officials, firefighters, City Council, the public, and the media, Mayor Williams and Chief</w:t>
      </w:r>
      <w:r>
        <w:rPr>
          <w:rFonts w:ascii="Times New Roman" w:hAnsi="Times New Roman"/>
          <w:sz w:val="24"/>
          <w:szCs w:val="24"/>
        </w:rPr>
        <w:t xml:space="preserve"> </w:t>
      </w:r>
      <w:r w:rsidRPr="006666F5">
        <w:rPr>
          <w:rFonts w:ascii="Times New Roman" w:hAnsi="Times New Roman"/>
          <w:sz w:val="24"/>
          <w:szCs w:val="24"/>
        </w:rPr>
        <w:t>Goode maintained the rolling bypass policy. Accordingly, Plaintiffs adequately state</w:t>
      </w:r>
      <w:r>
        <w:rPr>
          <w:rFonts w:ascii="Times New Roman" w:hAnsi="Times New Roman"/>
          <w:sz w:val="24"/>
          <w:szCs w:val="24"/>
        </w:rPr>
        <w:t xml:space="preserve"> </w:t>
      </w:r>
      <w:r w:rsidRPr="006666F5">
        <w:rPr>
          <w:rFonts w:ascii="Times New Roman" w:hAnsi="Times New Roman"/>
          <w:sz w:val="24"/>
          <w:szCs w:val="24"/>
        </w:rPr>
        <w:t xml:space="preserve">facts which support conduct that </w:t>
      </w:r>
      <w:proofErr w:type="gramStart"/>
      <w:r w:rsidRPr="006666F5">
        <w:rPr>
          <w:rFonts w:ascii="Times New Roman" w:hAnsi="Times New Roman"/>
          <w:sz w:val="24"/>
          <w:szCs w:val="24"/>
        </w:rPr>
        <w:t>shocks</w:t>
      </w:r>
      <w:proofErr w:type="gramEnd"/>
      <w:r w:rsidRPr="006666F5">
        <w:rPr>
          <w:rFonts w:ascii="Times New Roman" w:hAnsi="Times New Roman"/>
          <w:sz w:val="24"/>
          <w:szCs w:val="24"/>
        </w:rPr>
        <w:t xml:space="preserve"> the conscious against Mayor Williams and</w:t>
      </w:r>
      <w:r>
        <w:rPr>
          <w:rFonts w:ascii="Times New Roman" w:hAnsi="Times New Roman"/>
          <w:sz w:val="24"/>
          <w:szCs w:val="24"/>
        </w:rPr>
        <w:t xml:space="preserve"> </w:t>
      </w:r>
      <w:r w:rsidRPr="006666F5">
        <w:rPr>
          <w:rFonts w:ascii="Times New Roman" w:hAnsi="Times New Roman"/>
          <w:sz w:val="24"/>
          <w:szCs w:val="24"/>
        </w:rPr>
        <w:t>Chief Goode</w:t>
      </w:r>
      <w:r>
        <w:rPr>
          <w:rFonts w:ascii="Times New Roman" w:hAnsi="Times New Roman"/>
          <w:sz w:val="24"/>
          <w:szCs w:val="24"/>
        </w:rPr>
        <w:t>.</w:t>
      </w:r>
    </w:p>
    <w:p w14:paraId="29ADA8D6" w14:textId="77777777" w:rsidR="00853142" w:rsidRDefault="00853142" w:rsidP="00853142">
      <w:pPr>
        <w:pStyle w:val="NoSpacing"/>
        <w:ind w:left="1440"/>
        <w:rPr>
          <w:rFonts w:ascii="Times New Roman" w:hAnsi="Times New Roman"/>
          <w:sz w:val="24"/>
          <w:szCs w:val="24"/>
        </w:rPr>
      </w:pPr>
    </w:p>
    <w:p w14:paraId="0632E7F9" w14:textId="77777777" w:rsidR="00853142" w:rsidRPr="006666F5" w:rsidRDefault="00853142" w:rsidP="00853142">
      <w:pPr>
        <w:pStyle w:val="NoSpacing"/>
        <w:ind w:left="1440"/>
        <w:rPr>
          <w:rFonts w:ascii="Times New Roman" w:hAnsi="Times New Roman"/>
          <w:sz w:val="24"/>
          <w:szCs w:val="24"/>
        </w:rPr>
      </w:pPr>
      <w:r>
        <w:rPr>
          <w:rFonts w:ascii="Times New Roman" w:hAnsi="Times New Roman"/>
          <w:sz w:val="24"/>
          <w:szCs w:val="24"/>
        </w:rPr>
        <w:t>***</w:t>
      </w:r>
    </w:p>
    <w:p w14:paraId="69F9E0D8" w14:textId="77777777" w:rsidR="00853142" w:rsidRDefault="00853142" w:rsidP="00853142">
      <w:pPr>
        <w:ind w:left="1440"/>
        <w:rPr>
          <w:rFonts w:ascii="Times New Roman" w:hAnsi="Times New Roman"/>
          <w:sz w:val="24"/>
          <w:szCs w:val="24"/>
        </w:rPr>
      </w:pPr>
      <w:r>
        <w:rPr>
          <w:rFonts w:ascii="Times New Roman" w:hAnsi="Times New Roman"/>
          <w:sz w:val="24"/>
          <w:szCs w:val="24"/>
        </w:rPr>
        <w:t>I</w:t>
      </w:r>
      <w:r w:rsidRPr="00C8181A">
        <w:rPr>
          <w:rFonts w:ascii="Times New Roman" w:hAnsi="Times New Roman"/>
          <w:sz w:val="24"/>
          <w:szCs w:val="24"/>
        </w:rPr>
        <w:t>n the instant matter, City Council enacted a statute to address its concerns of</w:t>
      </w:r>
      <w:r>
        <w:rPr>
          <w:rFonts w:ascii="Times New Roman" w:hAnsi="Times New Roman"/>
          <w:sz w:val="24"/>
          <w:szCs w:val="24"/>
        </w:rPr>
        <w:t xml:space="preserve"> </w:t>
      </w:r>
      <w:r w:rsidRPr="00C8181A">
        <w:rPr>
          <w:rFonts w:ascii="Times New Roman" w:hAnsi="Times New Roman"/>
          <w:sz w:val="24"/>
          <w:szCs w:val="24"/>
        </w:rPr>
        <w:t>under-staffing and overtime.</w:t>
      </w:r>
      <w:r>
        <w:rPr>
          <w:rFonts w:ascii="Times New Roman" w:hAnsi="Times New Roman"/>
          <w:sz w:val="24"/>
          <w:szCs w:val="24"/>
        </w:rPr>
        <w:t xml:space="preserve"> </w:t>
      </w:r>
      <w:r w:rsidRPr="00C8181A">
        <w:rPr>
          <w:rFonts w:ascii="Times New Roman" w:hAnsi="Times New Roman"/>
          <w:sz w:val="24"/>
          <w:szCs w:val="24"/>
        </w:rPr>
        <w:t>Plaintiffs contend that Mayor Williams and Chief Goode</w:t>
      </w:r>
      <w:r>
        <w:rPr>
          <w:rFonts w:ascii="Times New Roman" w:hAnsi="Times New Roman"/>
          <w:sz w:val="24"/>
          <w:szCs w:val="24"/>
        </w:rPr>
        <w:t xml:space="preserve"> </w:t>
      </w:r>
      <w:r w:rsidRPr="00C8181A">
        <w:rPr>
          <w:rFonts w:ascii="Times New Roman" w:hAnsi="Times New Roman"/>
          <w:sz w:val="24"/>
          <w:szCs w:val="24"/>
        </w:rPr>
        <w:t xml:space="preserve">failed to comply with that </w:t>
      </w:r>
      <w:proofErr w:type="gramStart"/>
      <w:r w:rsidRPr="00C8181A">
        <w:rPr>
          <w:rFonts w:ascii="Times New Roman" w:hAnsi="Times New Roman"/>
          <w:sz w:val="24"/>
          <w:szCs w:val="24"/>
        </w:rPr>
        <w:t>statute, and</w:t>
      </w:r>
      <w:proofErr w:type="gramEnd"/>
      <w:r w:rsidRPr="00C8181A">
        <w:rPr>
          <w:rFonts w:ascii="Times New Roman" w:hAnsi="Times New Roman"/>
          <w:sz w:val="24"/>
          <w:szCs w:val="24"/>
        </w:rPr>
        <w:t xml:space="preserve"> were clearly aware of the dangers concerning</w:t>
      </w:r>
      <w:r>
        <w:rPr>
          <w:rFonts w:ascii="Times New Roman" w:hAnsi="Times New Roman"/>
          <w:sz w:val="24"/>
          <w:szCs w:val="24"/>
        </w:rPr>
        <w:t xml:space="preserve"> </w:t>
      </w:r>
      <w:r w:rsidRPr="00C8181A">
        <w:rPr>
          <w:rFonts w:ascii="Times New Roman" w:hAnsi="Times New Roman"/>
          <w:sz w:val="24"/>
          <w:szCs w:val="24"/>
        </w:rPr>
        <w:t>rolling bypass.</w:t>
      </w:r>
      <w:r>
        <w:rPr>
          <w:rFonts w:ascii="Times New Roman" w:hAnsi="Times New Roman"/>
          <w:sz w:val="24"/>
          <w:szCs w:val="24"/>
        </w:rPr>
        <w:t xml:space="preserve"> </w:t>
      </w:r>
      <w:r w:rsidRPr="00C8181A">
        <w:rPr>
          <w:rFonts w:ascii="Times New Roman" w:hAnsi="Times New Roman"/>
          <w:sz w:val="24"/>
          <w:szCs w:val="24"/>
        </w:rPr>
        <w:t xml:space="preserve"> They further maintain that the </w:t>
      </w:r>
      <w:proofErr w:type="gramStart"/>
      <w:r w:rsidRPr="00C8181A">
        <w:rPr>
          <w:rFonts w:ascii="Times New Roman" w:hAnsi="Times New Roman"/>
          <w:sz w:val="24"/>
          <w:szCs w:val="24"/>
        </w:rPr>
        <w:t>City</w:t>
      </w:r>
      <w:proofErr w:type="gramEnd"/>
      <w:r w:rsidRPr="00C8181A">
        <w:rPr>
          <w:rFonts w:ascii="Times New Roman" w:hAnsi="Times New Roman"/>
          <w:sz w:val="24"/>
          <w:szCs w:val="24"/>
        </w:rPr>
        <w:t>, through its Mayors and City</w:t>
      </w:r>
      <w:r>
        <w:rPr>
          <w:rFonts w:ascii="Times New Roman" w:hAnsi="Times New Roman"/>
          <w:sz w:val="24"/>
          <w:szCs w:val="24"/>
        </w:rPr>
        <w:t xml:space="preserve"> </w:t>
      </w:r>
      <w:r w:rsidRPr="00C8181A">
        <w:rPr>
          <w:rFonts w:ascii="Times New Roman" w:hAnsi="Times New Roman"/>
          <w:sz w:val="24"/>
          <w:szCs w:val="24"/>
        </w:rPr>
        <w:t>Council, understood these dangers. Despite this awareness, neither Mayor heeded</w:t>
      </w:r>
      <w:r>
        <w:rPr>
          <w:rFonts w:ascii="Times New Roman" w:hAnsi="Times New Roman"/>
          <w:sz w:val="24"/>
          <w:szCs w:val="24"/>
        </w:rPr>
        <w:t xml:space="preserve"> </w:t>
      </w:r>
      <w:r w:rsidRPr="00C8181A">
        <w:rPr>
          <w:rFonts w:ascii="Times New Roman" w:hAnsi="Times New Roman"/>
          <w:sz w:val="24"/>
          <w:szCs w:val="24"/>
        </w:rPr>
        <w:t>these concerns. Such inaction supports Plaintiffs’ allegations. Accordingly, the court finds that Plaintiffs allege sufficient facts against the City</w:t>
      </w:r>
      <w:r>
        <w:rPr>
          <w:rFonts w:ascii="Times New Roman" w:hAnsi="Times New Roman"/>
          <w:sz w:val="24"/>
          <w:szCs w:val="24"/>
        </w:rPr>
        <w:t xml:space="preserve"> </w:t>
      </w:r>
      <w:r w:rsidRPr="00C8181A">
        <w:rPr>
          <w:rFonts w:ascii="Times New Roman" w:hAnsi="Times New Roman"/>
          <w:sz w:val="24"/>
          <w:szCs w:val="24"/>
        </w:rPr>
        <w:t>for maintaining policies, practices or customs.</w:t>
      </w:r>
      <w:r>
        <w:rPr>
          <w:rFonts w:ascii="Times New Roman" w:hAnsi="Times New Roman"/>
          <w:sz w:val="24"/>
          <w:szCs w:val="24"/>
        </w:rPr>
        <w:t>”</w:t>
      </w:r>
    </w:p>
    <w:p w14:paraId="2222B6BB" w14:textId="77777777" w:rsidR="00853142" w:rsidRDefault="00853142" w:rsidP="00853142">
      <w:pPr>
        <w:pStyle w:val="NoSpacing"/>
        <w:rPr>
          <w:rFonts w:ascii="Times New Roman" w:hAnsi="Times New Roman"/>
          <w:b/>
          <w:bCs/>
          <w:sz w:val="24"/>
          <w:szCs w:val="24"/>
        </w:rPr>
      </w:pPr>
      <w:r w:rsidRPr="00250FC7">
        <w:rPr>
          <w:rFonts w:ascii="Times New Roman" w:hAnsi="Times New Roman"/>
          <w:b/>
          <w:bCs/>
          <w:sz w:val="24"/>
          <w:szCs w:val="24"/>
        </w:rPr>
        <w:t>Legal Lessons Learned:</w:t>
      </w:r>
      <w:r>
        <w:rPr>
          <w:rFonts w:ascii="Times New Roman" w:hAnsi="Times New Roman"/>
          <w:b/>
          <w:bCs/>
          <w:sz w:val="24"/>
          <w:szCs w:val="24"/>
        </w:rPr>
        <w:t xml:space="preserve"> A tragic loss of life; “rolling brownouts” of fire stations or apparatus continue to be a very controversial issue.  </w:t>
      </w:r>
    </w:p>
    <w:p w14:paraId="28C8DDC8" w14:textId="6546B36C" w:rsidR="00853142" w:rsidRPr="00015208" w:rsidRDefault="00853142" w:rsidP="00015208">
      <w:pPr>
        <w:pStyle w:val="NoSpacing"/>
        <w:ind w:left="720"/>
        <w:rPr>
          <w:rFonts w:ascii="Times New Roman" w:hAnsi="Times New Roman"/>
          <w:sz w:val="24"/>
          <w:szCs w:val="24"/>
        </w:rPr>
      </w:pPr>
      <w:r w:rsidRPr="00015208">
        <w:rPr>
          <w:rFonts w:ascii="Times New Roman" w:hAnsi="Times New Roman"/>
          <w:sz w:val="24"/>
          <w:szCs w:val="24"/>
        </w:rPr>
        <w:t xml:space="preserve">See NIOSH Fire Fighter Fatality Investigation report F2016-18 (November 9, 2018): </w:t>
      </w:r>
      <w:hyperlink r:id="rId592" w:history="1">
        <w:r w:rsidR="00015208" w:rsidRPr="00915280">
          <w:rPr>
            <w:rStyle w:val="Hyperlink"/>
            <w:rFonts w:ascii="Times New Roman" w:hAnsi="Times New Roman"/>
            <w:sz w:val="24"/>
            <w:szCs w:val="24"/>
          </w:rPr>
          <w:t>https://www.cdc.gov/niosh/fire/pdfs/face201618.pdf</w:t>
        </w:r>
      </w:hyperlink>
      <w:r w:rsidRPr="00015208">
        <w:rPr>
          <w:rFonts w:ascii="Times New Roman" w:hAnsi="Times New Roman"/>
          <w:sz w:val="24"/>
          <w:szCs w:val="24"/>
        </w:rPr>
        <w:t xml:space="preserve"> </w:t>
      </w:r>
    </w:p>
    <w:p w14:paraId="3CF0FDD3" w14:textId="77777777" w:rsidR="00853142" w:rsidRDefault="00853142" w:rsidP="00853142">
      <w:pPr>
        <w:pStyle w:val="NoSpacing"/>
        <w:rPr>
          <w:rFonts w:ascii="Times New Roman" w:hAnsi="Times New Roman"/>
          <w:sz w:val="24"/>
          <w:szCs w:val="24"/>
        </w:rPr>
      </w:pPr>
    </w:p>
    <w:p w14:paraId="04465C07" w14:textId="77777777" w:rsidR="00853142" w:rsidRPr="00015208" w:rsidRDefault="00853142" w:rsidP="00015208">
      <w:pPr>
        <w:pStyle w:val="NoSpacing"/>
        <w:ind w:left="1440"/>
        <w:rPr>
          <w:rFonts w:ascii="Times New Roman" w:hAnsi="Times New Roman"/>
          <w:sz w:val="24"/>
          <w:szCs w:val="24"/>
        </w:rPr>
      </w:pPr>
      <w:r w:rsidRPr="00015208">
        <w:rPr>
          <w:rFonts w:ascii="Times New Roman" w:hAnsi="Times New Roman"/>
          <w:sz w:val="24"/>
          <w:szCs w:val="24"/>
        </w:rPr>
        <w:t xml:space="preserve">“Ladder 2 was 1st due at this residential structure fire. Note: The 1st due engine (Engine 6) was out of service due to budget constraints affecting overtime and daily staffing of companies. The fire department </w:t>
      </w:r>
      <w:proofErr w:type="gramStart"/>
      <w:r w:rsidRPr="00015208">
        <w:rPr>
          <w:rFonts w:ascii="Times New Roman" w:hAnsi="Times New Roman"/>
          <w:sz w:val="24"/>
          <w:szCs w:val="24"/>
        </w:rPr>
        <w:t>has to</w:t>
      </w:r>
      <w:proofErr w:type="gramEnd"/>
      <w:r w:rsidRPr="00015208">
        <w:rPr>
          <w:rFonts w:ascii="Times New Roman" w:hAnsi="Times New Roman"/>
          <w:sz w:val="24"/>
          <w:szCs w:val="24"/>
        </w:rPr>
        <w:t xml:space="preserve"> detail fire fighters throughout the city to maintain minimum staffing on a prescribed number of engine companies and ladder companies (e.g., ‘rolling brown outs’). Engine 6 was housed with Ladder 2. The impact of Engine 6 being out of service is unknown.” [Page 25.]</w:t>
      </w:r>
    </w:p>
    <w:p w14:paraId="1A4519E4" w14:textId="77777777" w:rsidR="00853142" w:rsidRPr="00015208" w:rsidRDefault="00853142" w:rsidP="00853142">
      <w:pPr>
        <w:pStyle w:val="NoSpacing"/>
        <w:rPr>
          <w:rFonts w:ascii="Times New Roman" w:hAnsi="Times New Roman"/>
          <w:sz w:val="24"/>
          <w:szCs w:val="24"/>
        </w:rPr>
      </w:pPr>
    </w:p>
    <w:p w14:paraId="67FEECC8" w14:textId="77777777" w:rsidR="00853142" w:rsidRPr="00015208" w:rsidRDefault="00853142" w:rsidP="00015208">
      <w:pPr>
        <w:pStyle w:val="NoSpacing"/>
        <w:ind w:left="720"/>
        <w:rPr>
          <w:rFonts w:ascii="Times New Roman" w:hAnsi="Times New Roman"/>
          <w:sz w:val="24"/>
          <w:szCs w:val="24"/>
        </w:rPr>
      </w:pPr>
      <w:r w:rsidRPr="00015208">
        <w:rPr>
          <w:rFonts w:ascii="Times New Roman" w:hAnsi="Times New Roman"/>
          <w:sz w:val="24"/>
          <w:szCs w:val="24"/>
        </w:rPr>
        <w:t xml:space="preserve">See also: Philadelphia Fire Department Needs to Reconsider Its Brownout and Rotation Policies (Feb. 11, 2016): </w:t>
      </w:r>
      <w:hyperlink r:id="rId593" w:history="1">
        <w:r w:rsidRPr="00015208">
          <w:rPr>
            <w:rStyle w:val="Hyperlink"/>
            <w:rFonts w:ascii="Times New Roman" w:hAnsi="Times New Roman"/>
            <w:sz w:val="24"/>
            <w:szCs w:val="24"/>
          </w:rPr>
          <w:t>https://controller.phila.gov/philadelphia-audits/philadelphia-fire-department-department-needs-to-reconsider-its-brownout-rotation-policies/</w:t>
        </w:r>
      </w:hyperlink>
      <w:r w:rsidRPr="00015208">
        <w:rPr>
          <w:rFonts w:ascii="Times New Roman" w:hAnsi="Times New Roman"/>
          <w:sz w:val="24"/>
          <w:szCs w:val="24"/>
        </w:rPr>
        <w:t xml:space="preserve">  </w:t>
      </w:r>
    </w:p>
    <w:p w14:paraId="39CEB443" w14:textId="77777777" w:rsidR="00853142" w:rsidRDefault="00853142" w:rsidP="00853142">
      <w:pPr>
        <w:pStyle w:val="NoSpacing"/>
        <w:rPr>
          <w:rFonts w:ascii="Times New Roman" w:hAnsi="Times New Roman"/>
          <w:sz w:val="24"/>
          <w:szCs w:val="24"/>
        </w:rPr>
      </w:pPr>
    </w:p>
    <w:p w14:paraId="71365E56" w14:textId="77777777" w:rsidR="00965872" w:rsidRDefault="00965872" w:rsidP="00EF1133">
      <w:pPr>
        <w:pStyle w:val="NoSpacing"/>
        <w:rPr>
          <w:rFonts w:ascii="Arial Black" w:hAnsi="Arial Black"/>
          <w:sz w:val="24"/>
          <w:szCs w:val="24"/>
        </w:rPr>
      </w:pPr>
    </w:p>
    <w:p w14:paraId="71C94921" w14:textId="77777777" w:rsidR="00965872" w:rsidRDefault="00965872" w:rsidP="00EF1133">
      <w:pPr>
        <w:pStyle w:val="NoSpacing"/>
        <w:rPr>
          <w:rFonts w:ascii="Arial Black" w:hAnsi="Arial Black"/>
          <w:sz w:val="24"/>
          <w:szCs w:val="24"/>
        </w:rPr>
      </w:pPr>
    </w:p>
    <w:p w14:paraId="2A78A715" w14:textId="4DCDF8A9" w:rsidR="00EF1133" w:rsidRDefault="00EF1133" w:rsidP="00EF1133">
      <w:pPr>
        <w:pStyle w:val="NoSpacing"/>
        <w:rPr>
          <w:rFonts w:ascii="Arial Black" w:hAnsi="Arial Black"/>
          <w:sz w:val="24"/>
          <w:szCs w:val="24"/>
        </w:rPr>
      </w:pPr>
      <w:r w:rsidRPr="00791CA3">
        <w:rPr>
          <w:rFonts w:ascii="Arial Black" w:hAnsi="Arial Black"/>
          <w:sz w:val="24"/>
          <w:szCs w:val="24"/>
        </w:rPr>
        <w:t>2-1</w:t>
      </w:r>
      <w:r w:rsidR="00D07E6E">
        <w:rPr>
          <w:rFonts w:ascii="Arial Black" w:hAnsi="Arial Black"/>
          <w:sz w:val="24"/>
          <w:szCs w:val="24"/>
        </w:rPr>
        <w:t>8</w:t>
      </w:r>
    </w:p>
    <w:p w14:paraId="29130E65" w14:textId="77777777" w:rsidR="00D07E6E" w:rsidRDefault="00D07E6E" w:rsidP="00EF1133">
      <w:pPr>
        <w:pStyle w:val="NoSpacing"/>
        <w:rPr>
          <w:rFonts w:ascii="Arial Black" w:hAnsi="Arial Black"/>
          <w:sz w:val="24"/>
          <w:szCs w:val="24"/>
        </w:rPr>
      </w:pPr>
    </w:p>
    <w:p w14:paraId="3FB90683" w14:textId="3A47A75C" w:rsidR="002B1283" w:rsidRDefault="002B1283" w:rsidP="002B1283">
      <w:pPr>
        <w:rPr>
          <w:rFonts w:ascii="Arial Black" w:hAnsi="Arial Black"/>
          <w:sz w:val="28"/>
          <w:szCs w:val="28"/>
        </w:rPr>
      </w:pPr>
      <w:r>
        <w:rPr>
          <w:rFonts w:ascii="Arial Black" w:hAnsi="Arial Black"/>
          <w:sz w:val="28"/>
          <w:szCs w:val="28"/>
        </w:rPr>
        <w:t xml:space="preserve">KY:  VOL. FF INJURED LEG &amp; KNEE ON ICE – WORKERS COMP. FOR  MEDICAL, BUT NO WAGE LOSS – FF IS SELF-EMPLOYED </w:t>
      </w:r>
    </w:p>
    <w:p w14:paraId="383BB32C" w14:textId="77777777" w:rsidR="002B1283" w:rsidRDefault="002B1283" w:rsidP="002B1283">
      <w:pPr>
        <w:pStyle w:val="NoSpacing"/>
        <w:rPr>
          <w:rFonts w:ascii="OnTimes New Roman" w:hAnsi="OnTimes New Roman"/>
          <w:sz w:val="24"/>
          <w:szCs w:val="24"/>
        </w:rPr>
      </w:pPr>
      <w:r>
        <w:rPr>
          <w:rFonts w:ascii="OnTimes New Roman" w:hAnsi="OnTimes New Roman"/>
          <w:sz w:val="24"/>
          <w:szCs w:val="24"/>
        </w:rPr>
        <w:t xml:space="preserve">On July 12, 2019, in </w:t>
      </w:r>
      <w:r w:rsidRPr="00056819">
        <w:rPr>
          <w:rFonts w:ascii="OnTimes New Roman" w:hAnsi="OnTimes New Roman"/>
          <w:sz w:val="24"/>
          <w:szCs w:val="24"/>
          <w:u w:val="single"/>
        </w:rPr>
        <w:t>Ken Lashley v. Kentucky Volunteer Fire Department, et al</w:t>
      </w:r>
      <w:r>
        <w:rPr>
          <w:rFonts w:ascii="OnTimes New Roman" w:hAnsi="OnTimes New Roman"/>
          <w:sz w:val="24"/>
          <w:szCs w:val="24"/>
        </w:rPr>
        <w:t xml:space="preserve">., the Kentucky Court of Appeals held (3 to 0; unpublished opinion) that the Administrative Law Judge correctly determined that the firefighter </w:t>
      </w:r>
    </w:p>
    <w:p w14:paraId="655561D2" w14:textId="77777777" w:rsidR="002B1283" w:rsidRDefault="002B1283" w:rsidP="002B1283">
      <w:pPr>
        <w:pStyle w:val="NoSpacing"/>
        <w:rPr>
          <w:rFonts w:ascii="OnTimes New Roman" w:hAnsi="OnTimes New Roman"/>
          <w:sz w:val="24"/>
          <w:szCs w:val="24"/>
        </w:rPr>
      </w:pPr>
      <w:r>
        <w:rPr>
          <w:rFonts w:ascii="OnTimes New Roman" w:hAnsi="OnTimes New Roman"/>
          <w:sz w:val="24"/>
          <w:szCs w:val="24"/>
        </w:rPr>
        <w:t xml:space="preserve">is not entitled to any wage loss reimbursement since he owns his own business and is self-employed without wages.  </w:t>
      </w:r>
    </w:p>
    <w:p w14:paraId="17969008" w14:textId="77777777" w:rsidR="002B1283" w:rsidRDefault="002B1283" w:rsidP="002B1283">
      <w:pPr>
        <w:pStyle w:val="NoSpacing"/>
        <w:rPr>
          <w:rFonts w:ascii="OnTimes New Roman" w:hAnsi="OnTimes New Roman"/>
          <w:sz w:val="24"/>
          <w:szCs w:val="24"/>
        </w:rPr>
      </w:pPr>
    </w:p>
    <w:p w14:paraId="0620351D" w14:textId="77777777" w:rsidR="002B1283" w:rsidRDefault="002B1283" w:rsidP="002B1283">
      <w:pPr>
        <w:pStyle w:val="NoSpacing"/>
        <w:ind w:left="720"/>
        <w:rPr>
          <w:rFonts w:ascii="Times New Roman" w:hAnsi="Times New Roman"/>
          <w:sz w:val="24"/>
          <w:szCs w:val="24"/>
        </w:rPr>
      </w:pPr>
      <w:r>
        <w:rPr>
          <w:rFonts w:ascii="Times New Roman" w:hAnsi="Times New Roman"/>
          <w:sz w:val="24"/>
          <w:szCs w:val="24"/>
        </w:rPr>
        <w:t>“</w:t>
      </w:r>
      <w:r w:rsidRPr="00056819">
        <w:rPr>
          <w:rFonts w:ascii="Times New Roman" w:hAnsi="Times New Roman"/>
          <w:sz w:val="24"/>
          <w:szCs w:val="24"/>
        </w:rPr>
        <w:t xml:space="preserve">As a volunteer firefighter, his average weekly wage is based on his other </w:t>
      </w:r>
      <w:r>
        <w:rPr>
          <w:rFonts w:ascii="Times New Roman" w:hAnsi="Times New Roman"/>
          <w:sz w:val="24"/>
          <w:szCs w:val="24"/>
        </w:rPr>
        <w:t>‘</w:t>
      </w:r>
      <w:r w:rsidRPr="00056819">
        <w:rPr>
          <w:rFonts w:ascii="Times New Roman" w:hAnsi="Times New Roman"/>
          <w:sz w:val="24"/>
          <w:szCs w:val="24"/>
        </w:rPr>
        <w:t>regular employment.</w:t>
      </w:r>
      <w:r>
        <w:rPr>
          <w:rFonts w:ascii="Times New Roman" w:hAnsi="Times New Roman"/>
          <w:sz w:val="24"/>
          <w:szCs w:val="24"/>
        </w:rPr>
        <w:t xml:space="preserve">’ </w:t>
      </w:r>
      <w:r w:rsidRPr="00056819">
        <w:rPr>
          <w:rFonts w:ascii="Times New Roman" w:hAnsi="Times New Roman"/>
          <w:sz w:val="24"/>
          <w:szCs w:val="24"/>
        </w:rPr>
        <w:t>KRS 342.140(3). In this case, Appellant is self-employed</w:t>
      </w:r>
      <w:r>
        <w:rPr>
          <w:rFonts w:ascii="Times New Roman" w:hAnsi="Times New Roman"/>
          <w:sz w:val="24"/>
          <w:szCs w:val="24"/>
        </w:rPr>
        <w:t>….</w:t>
      </w:r>
      <w:r w:rsidRPr="00056819">
        <w:rPr>
          <w:rFonts w:ascii="Times New Roman" w:hAnsi="Times New Roman"/>
          <w:sz w:val="24"/>
          <w:szCs w:val="24"/>
        </w:rPr>
        <w:t xml:space="preserve"> The ALJ held that because Appellant owned his own business, he did not have wages from regular employment. In other words, Appellant could not claim money earned as the owner of the business as wages for the purpose of calculating his average weekly wage.” </w:t>
      </w:r>
    </w:p>
    <w:p w14:paraId="1CA24179" w14:textId="77777777" w:rsidR="002B1283" w:rsidRDefault="002B1283" w:rsidP="002B1283">
      <w:pPr>
        <w:pStyle w:val="NoSpacing"/>
        <w:ind w:left="720"/>
        <w:rPr>
          <w:rFonts w:ascii="Times New Roman" w:hAnsi="Times New Roman"/>
          <w:sz w:val="24"/>
          <w:szCs w:val="24"/>
        </w:rPr>
      </w:pPr>
      <w:hyperlink r:id="rId594" w:history="1">
        <w:r w:rsidRPr="00455844">
          <w:rPr>
            <w:rStyle w:val="Hyperlink"/>
            <w:rFonts w:ascii="Times New Roman" w:hAnsi="Times New Roman"/>
            <w:sz w:val="24"/>
            <w:szCs w:val="24"/>
          </w:rPr>
          <w:t>https://cases.justia.com/kentucky/court-of-appeals/2019-2019-ca-000504-wc.pdf?ts=1562940239</w:t>
        </w:r>
      </w:hyperlink>
      <w:r>
        <w:rPr>
          <w:rFonts w:ascii="Times New Roman" w:hAnsi="Times New Roman"/>
          <w:sz w:val="24"/>
          <w:szCs w:val="24"/>
        </w:rPr>
        <w:t xml:space="preserve"> </w:t>
      </w:r>
    </w:p>
    <w:p w14:paraId="17B691AE" w14:textId="77777777" w:rsidR="002B1283" w:rsidRDefault="002B1283" w:rsidP="002B1283">
      <w:pPr>
        <w:pStyle w:val="NoSpacing"/>
        <w:rPr>
          <w:rFonts w:ascii="OnTimes New Roman" w:hAnsi="OnTimes New Roman"/>
          <w:sz w:val="24"/>
          <w:szCs w:val="24"/>
        </w:rPr>
      </w:pPr>
      <w:r>
        <w:rPr>
          <w:rFonts w:ascii="OnTimes New Roman" w:hAnsi="OnTimes New Roman"/>
          <w:sz w:val="24"/>
          <w:szCs w:val="24"/>
        </w:rPr>
        <w:t xml:space="preserve"> </w:t>
      </w:r>
    </w:p>
    <w:p w14:paraId="325265C1" w14:textId="77777777" w:rsidR="002B1283" w:rsidRDefault="002B1283" w:rsidP="002B1283">
      <w:pPr>
        <w:pStyle w:val="NoSpacing"/>
        <w:rPr>
          <w:rFonts w:ascii="Times New Roman" w:hAnsi="Times New Roman"/>
          <w:b/>
          <w:bCs/>
          <w:sz w:val="24"/>
          <w:szCs w:val="24"/>
        </w:rPr>
      </w:pPr>
      <w:r w:rsidRPr="00B81377">
        <w:rPr>
          <w:rFonts w:ascii="Times New Roman" w:hAnsi="Times New Roman"/>
          <w:b/>
          <w:bCs/>
          <w:sz w:val="24"/>
          <w:szCs w:val="24"/>
        </w:rPr>
        <w:t xml:space="preserve">Legal Lesson Learned: </w:t>
      </w:r>
      <w:r>
        <w:rPr>
          <w:rFonts w:ascii="Times New Roman" w:hAnsi="Times New Roman"/>
          <w:b/>
          <w:bCs/>
          <w:sz w:val="24"/>
          <w:szCs w:val="24"/>
        </w:rPr>
        <w:t xml:space="preserve"> Kentucky statute, like many states, will award volunteer firefighters their loss wages based on wages of their “regular employment.” This self-employed firefighter will have his medical expenses covered.  </w:t>
      </w:r>
    </w:p>
    <w:p w14:paraId="1E16657F" w14:textId="77777777" w:rsidR="002B1283" w:rsidRDefault="002B1283" w:rsidP="002B1283">
      <w:pPr>
        <w:pStyle w:val="NoSpacing"/>
        <w:rPr>
          <w:rFonts w:ascii="Times New Roman" w:hAnsi="Times New Roman"/>
          <w:b/>
          <w:bCs/>
          <w:sz w:val="24"/>
          <w:szCs w:val="24"/>
        </w:rPr>
      </w:pPr>
    </w:p>
    <w:p w14:paraId="5C407E72" w14:textId="77777777" w:rsidR="002B1283" w:rsidRPr="00965872" w:rsidRDefault="002B1283" w:rsidP="00965872">
      <w:pPr>
        <w:pStyle w:val="NoSpacing"/>
        <w:rPr>
          <w:rFonts w:ascii="Times New Roman" w:hAnsi="Times New Roman"/>
          <w:sz w:val="24"/>
          <w:szCs w:val="24"/>
        </w:rPr>
      </w:pPr>
      <w:r w:rsidRPr="00965872">
        <w:rPr>
          <w:rFonts w:ascii="Times New Roman" w:hAnsi="Times New Roman"/>
          <w:sz w:val="24"/>
          <w:szCs w:val="24"/>
        </w:rPr>
        <w:t xml:space="preserve">The Administrative Law Judge awarded “temporary total disability (‘TTD’) based upon the state minimum benefit in effect for the date of injury, medical benefits, and placed the claim in abeyance until Lashley reaches maximum medical improvement (“MMI”).  The ALJ noted Lashley has not yet reached MMI.”  </w:t>
      </w:r>
      <w:hyperlink r:id="rId595" w:history="1">
        <w:r w:rsidRPr="00965872">
          <w:rPr>
            <w:rStyle w:val="Hyperlink"/>
            <w:rFonts w:ascii="Times New Roman" w:hAnsi="Times New Roman"/>
            <w:sz w:val="24"/>
            <w:szCs w:val="24"/>
          </w:rPr>
          <w:t>https://comped.net/opinions_recentdisp.php?ID=7270</w:t>
        </w:r>
      </w:hyperlink>
      <w:r w:rsidRPr="00965872">
        <w:rPr>
          <w:rFonts w:ascii="Times New Roman" w:hAnsi="Times New Roman"/>
          <w:sz w:val="24"/>
          <w:szCs w:val="24"/>
        </w:rPr>
        <w:t xml:space="preserve"> </w:t>
      </w:r>
    </w:p>
    <w:p w14:paraId="504E78D9" w14:textId="77777777" w:rsidR="002B1283" w:rsidRPr="00965872" w:rsidRDefault="002B1283" w:rsidP="002B1283">
      <w:pPr>
        <w:pStyle w:val="NoSpacing"/>
        <w:rPr>
          <w:rFonts w:ascii="Times New Roman" w:hAnsi="Times New Roman"/>
          <w:b/>
          <w:bCs/>
          <w:sz w:val="24"/>
          <w:szCs w:val="24"/>
        </w:rPr>
      </w:pPr>
    </w:p>
    <w:p w14:paraId="06E00225" w14:textId="77777777" w:rsidR="005A414F" w:rsidRDefault="005A414F" w:rsidP="002B1283">
      <w:pPr>
        <w:pStyle w:val="NoSpacing"/>
        <w:rPr>
          <w:rFonts w:ascii="Arial Black" w:hAnsi="Arial Black"/>
          <w:sz w:val="24"/>
          <w:szCs w:val="24"/>
        </w:rPr>
      </w:pPr>
    </w:p>
    <w:p w14:paraId="6AA82951" w14:textId="77777777" w:rsidR="005A414F" w:rsidRDefault="005A414F" w:rsidP="002B1283">
      <w:pPr>
        <w:pStyle w:val="NoSpacing"/>
        <w:rPr>
          <w:rFonts w:ascii="Arial Black" w:hAnsi="Arial Black"/>
          <w:sz w:val="24"/>
          <w:szCs w:val="24"/>
        </w:rPr>
      </w:pPr>
    </w:p>
    <w:p w14:paraId="3D5398EE" w14:textId="31D5CA64" w:rsidR="002B1283" w:rsidRDefault="00EF1133" w:rsidP="002B1283">
      <w:pPr>
        <w:pStyle w:val="NoSpacing"/>
        <w:rPr>
          <w:rFonts w:ascii="MIArial Black" w:hAnsi="MIArial Black"/>
          <w:b/>
          <w:bCs/>
          <w:sz w:val="28"/>
          <w:szCs w:val="28"/>
        </w:rPr>
      </w:pPr>
      <w:r w:rsidRPr="00791CA3">
        <w:rPr>
          <w:rFonts w:ascii="Arial Black" w:hAnsi="Arial Black"/>
          <w:sz w:val="24"/>
          <w:szCs w:val="24"/>
        </w:rPr>
        <w:t>2-1</w:t>
      </w:r>
      <w:r w:rsidR="00D07E6E">
        <w:rPr>
          <w:rFonts w:ascii="Arial Black" w:hAnsi="Arial Black"/>
          <w:sz w:val="24"/>
          <w:szCs w:val="24"/>
        </w:rPr>
        <w:t>7</w:t>
      </w:r>
    </w:p>
    <w:p w14:paraId="28946251" w14:textId="77777777" w:rsidR="005A414F" w:rsidRDefault="005A414F" w:rsidP="002B1283">
      <w:pPr>
        <w:pStyle w:val="NoSpacing"/>
        <w:rPr>
          <w:rFonts w:ascii="MIArial Black" w:hAnsi="MIArial Black"/>
          <w:b/>
          <w:bCs/>
          <w:sz w:val="28"/>
          <w:szCs w:val="28"/>
        </w:rPr>
      </w:pPr>
    </w:p>
    <w:p w14:paraId="41AE04B9" w14:textId="16788509" w:rsidR="002B1283" w:rsidRPr="00965872" w:rsidRDefault="002B1283" w:rsidP="002B1283">
      <w:pPr>
        <w:pStyle w:val="NoSpacing"/>
        <w:rPr>
          <w:rFonts w:ascii="Arial Black" w:hAnsi="Arial Black"/>
          <w:b/>
          <w:bCs/>
          <w:sz w:val="28"/>
          <w:szCs w:val="28"/>
        </w:rPr>
      </w:pPr>
      <w:r w:rsidRPr="00965872">
        <w:rPr>
          <w:rFonts w:ascii="Arial Black" w:hAnsi="Arial Black"/>
          <w:b/>
          <w:bCs/>
          <w:sz w:val="28"/>
          <w:szCs w:val="28"/>
        </w:rPr>
        <w:t>MI: RESTAURANT OPERATORS CLAIM THAT “ORIGIN &amp; CAUSE” RPT.  CHANGED TO “INCENDARY” TO DEFLECT ATTENTION FD DEFICIENCIES - LODD / $3,500 OSHA FINE</w:t>
      </w:r>
    </w:p>
    <w:p w14:paraId="4BF81774" w14:textId="77777777" w:rsidR="002B1283" w:rsidRPr="00965872" w:rsidRDefault="002B1283" w:rsidP="002B1283">
      <w:pPr>
        <w:pStyle w:val="NoSpacing"/>
        <w:rPr>
          <w:rFonts w:ascii="Arial Black" w:hAnsi="Arial Black"/>
          <w:b/>
          <w:bCs/>
          <w:sz w:val="28"/>
          <w:szCs w:val="28"/>
        </w:rPr>
      </w:pPr>
    </w:p>
    <w:p w14:paraId="07A8ACB6" w14:textId="77777777" w:rsidR="002B1283" w:rsidRDefault="002B1283" w:rsidP="002B1283">
      <w:pPr>
        <w:pStyle w:val="NoSpacing"/>
      </w:pPr>
      <w:r>
        <w:rPr>
          <w:rFonts w:ascii="On Times New Roman" w:hAnsi="On Times New Roman"/>
          <w:sz w:val="24"/>
          <w:szCs w:val="24"/>
        </w:rPr>
        <w:t xml:space="preserve">On July 10, 2019, in </w:t>
      </w:r>
      <w:r w:rsidRPr="005C2640">
        <w:rPr>
          <w:rFonts w:ascii="On Times New Roman" w:hAnsi="On Times New Roman"/>
          <w:sz w:val="24"/>
          <w:szCs w:val="24"/>
          <w:u w:val="single"/>
        </w:rPr>
        <w:t>George Marvaso</w:t>
      </w:r>
      <w:r>
        <w:rPr>
          <w:rFonts w:ascii="On Times New Roman" w:hAnsi="On Times New Roman"/>
          <w:sz w:val="24"/>
          <w:szCs w:val="24"/>
          <w:u w:val="single"/>
        </w:rPr>
        <w:t xml:space="preserve"> et al. v. John Adams et </w:t>
      </w:r>
      <w:r w:rsidRPr="00BA5B0D">
        <w:rPr>
          <w:rFonts w:ascii="On Times New Roman" w:hAnsi="On Times New Roman"/>
          <w:sz w:val="24"/>
          <w:szCs w:val="24"/>
        </w:rPr>
        <w:t>al</w:t>
      </w:r>
      <w:r>
        <w:rPr>
          <w:rFonts w:ascii="On Times New Roman" w:hAnsi="On Times New Roman"/>
          <w:sz w:val="24"/>
          <w:szCs w:val="24"/>
        </w:rPr>
        <w:t xml:space="preserve">., </w:t>
      </w:r>
      <w:r w:rsidRPr="00BA5B0D">
        <w:rPr>
          <w:rFonts w:ascii="On Times New Roman" w:hAnsi="On Times New Roman"/>
          <w:sz w:val="24"/>
          <w:szCs w:val="24"/>
        </w:rPr>
        <w:t>U</w:t>
      </w:r>
      <w:r w:rsidRPr="001C27EB">
        <w:rPr>
          <w:rFonts w:ascii="On Times New Roman" w:hAnsi="On Times New Roman"/>
          <w:sz w:val="24"/>
          <w:szCs w:val="24"/>
        </w:rPr>
        <w:t>.S. District Court Judge</w:t>
      </w:r>
      <w:r>
        <w:rPr>
          <w:rFonts w:ascii="On Times New Roman" w:hAnsi="On Times New Roman"/>
          <w:sz w:val="24"/>
          <w:szCs w:val="24"/>
        </w:rPr>
        <w:t xml:space="preserve"> Linda V. Parker denied the defense motion to dismiss by the Fire Marshal, the Fire Chief, and his father, the former Fire Chief, holding the “</w:t>
      </w:r>
      <w:r w:rsidRPr="001C27EB">
        <w:rPr>
          <w:rFonts w:ascii="Times New Roman" w:hAnsi="Times New Roman"/>
          <w:sz w:val="24"/>
          <w:szCs w:val="24"/>
        </w:rPr>
        <w:t>Court concludes that Plaintiffs plead sufficient facts to support their §1983 claim against Defendants and that Defendants are not entitled to qualified immunity.</w:t>
      </w:r>
      <w:r>
        <w:rPr>
          <w:rFonts w:ascii="Times New Roman" w:hAnsi="Times New Roman"/>
          <w:sz w:val="24"/>
          <w:szCs w:val="24"/>
        </w:rPr>
        <w:t xml:space="preserve">” </w:t>
      </w:r>
      <w:hyperlink r:id="rId596" w:history="1">
        <w:r w:rsidRPr="003454A7">
          <w:rPr>
            <w:rStyle w:val="Hyperlink"/>
          </w:rPr>
          <w:t>http://41af3k34gprx4f6bg12df75i.wpengine.netdna-cdn.com/wp-content/uploads/sites/19/2019/07/Marvaso-v.-Adams_-2019-U.S.-Dist.-LEXIS-114276.pdf</w:t>
        </w:r>
      </w:hyperlink>
      <w:r>
        <w:t xml:space="preserve"> </w:t>
      </w:r>
    </w:p>
    <w:p w14:paraId="6CF68759" w14:textId="77777777" w:rsidR="002B1283" w:rsidRDefault="002B1283" w:rsidP="002B1283">
      <w:pPr>
        <w:pStyle w:val="NoSpacing"/>
      </w:pPr>
    </w:p>
    <w:p w14:paraId="4CCC586A" w14:textId="77777777" w:rsidR="002B1283" w:rsidRDefault="002B1283" w:rsidP="002B1283">
      <w:pPr>
        <w:pStyle w:val="NoSpacing"/>
        <w:rPr>
          <w:rFonts w:ascii="Times New Roman" w:hAnsi="Times New Roman"/>
          <w:b/>
          <w:bCs/>
          <w:sz w:val="24"/>
          <w:szCs w:val="24"/>
        </w:rPr>
      </w:pPr>
      <w:r w:rsidRPr="00B14CDE">
        <w:rPr>
          <w:rFonts w:ascii="Times New Roman" w:hAnsi="Times New Roman"/>
          <w:b/>
          <w:bCs/>
          <w:sz w:val="24"/>
          <w:szCs w:val="24"/>
        </w:rPr>
        <w:t>Legal Lessons Learned:</w:t>
      </w:r>
      <w:r>
        <w:rPr>
          <w:rFonts w:ascii="Times New Roman" w:hAnsi="Times New Roman"/>
          <w:b/>
          <w:bCs/>
          <w:sz w:val="24"/>
          <w:szCs w:val="24"/>
        </w:rPr>
        <w:t xml:space="preserve">  This lawsuit may now proceed to pre-trial discovery.  </w:t>
      </w:r>
    </w:p>
    <w:p w14:paraId="5668AB21" w14:textId="77777777" w:rsidR="002B1283" w:rsidRDefault="002B1283" w:rsidP="002B1283">
      <w:pPr>
        <w:pStyle w:val="NoSpacing"/>
        <w:rPr>
          <w:rFonts w:ascii="Times New Roman" w:hAnsi="Times New Roman"/>
          <w:b/>
          <w:bCs/>
          <w:sz w:val="24"/>
          <w:szCs w:val="24"/>
        </w:rPr>
      </w:pPr>
    </w:p>
    <w:p w14:paraId="0879FBEA" w14:textId="77777777" w:rsidR="002B1283" w:rsidRPr="00B14CDE" w:rsidRDefault="002B1283" w:rsidP="002B1283">
      <w:pPr>
        <w:pStyle w:val="NoSpacing"/>
        <w:ind w:left="720"/>
        <w:rPr>
          <w:b/>
          <w:bCs/>
          <w:sz w:val="24"/>
          <w:szCs w:val="24"/>
        </w:rPr>
      </w:pPr>
      <w:r>
        <w:rPr>
          <w:rFonts w:ascii="Times New Roman" w:hAnsi="Times New Roman"/>
          <w:sz w:val="24"/>
          <w:szCs w:val="24"/>
        </w:rPr>
        <w:t xml:space="preserve">Read </w:t>
      </w:r>
      <w:r w:rsidRPr="00B14CDE">
        <w:rPr>
          <w:rFonts w:ascii="Times New Roman" w:hAnsi="Times New Roman"/>
          <w:sz w:val="24"/>
          <w:szCs w:val="24"/>
        </w:rPr>
        <w:t>NIOSH Firefighter Fatality Report</w:t>
      </w:r>
      <w:r>
        <w:rPr>
          <w:rFonts w:ascii="Times New Roman" w:hAnsi="Times New Roman"/>
          <w:sz w:val="24"/>
          <w:szCs w:val="24"/>
        </w:rPr>
        <w:t xml:space="preserve"> </w:t>
      </w:r>
      <w:r w:rsidRPr="00B14CDE">
        <w:rPr>
          <w:rFonts w:ascii="Times New Roman" w:hAnsi="Times New Roman"/>
          <w:sz w:val="24"/>
          <w:szCs w:val="24"/>
        </w:rPr>
        <w:t>F2013-14: “Career Probationary Fire Fighter Runs Out of Air and Dies in Commercial Structure Fire—Michigan</w:t>
      </w:r>
      <w:r>
        <w:rPr>
          <w:rFonts w:ascii="Times New Roman" w:hAnsi="Times New Roman"/>
          <w:sz w:val="24"/>
          <w:szCs w:val="24"/>
        </w:rPr>
        <w:t>.</w:t>
      </w:r>
      <w:r w:rsidRPr="00B14CDE">
        <w:rPr>
          <w:rFonts w:ascii="Times New Roman" w:hAnsi="Times New Roman"/>
          <w:sz w:val="24"/>
          <w:szCs w:val="24"/>
        </w:rPr>
        <w:t>”</w:t>
      </w:r>
      <w:r>
        <w:rPr>
          <w:b/>
          <w:bCs/>
          <w:sz w:val="24"/>
          <w:szCs w:val="24"/>
        </w:rPr>
        <w:t xml:space="preserve"> </w:t>
      </w:r>
      <w:hyperlink r:id="rId597" w:history="1">
        <w:r w:rsidRPr="0076015A">
          <w:rPr>
            <w:rStyle w:val="Hyperlink"/>
            <w:b/>
            <w:bCs/>
            <w:sz w:val="24"/>
            <w:szCs w:val="24"/>
          </w:rPr>
          <w:t>https://www.cdc.gov/niosh/fire/pdfs/face201314.pdf</w:t>
        </w:r>
      </w:hyperlink>
      <w:r>
        <w:rPr>
          <w:b/>
          <w:bCs/>
          <w:sz w:val="24"/>
          <w:szCs w:val="24"/>
        </w:rPr>
        <w:t xml:space="preserve"> </w:t>
      </w:r>
    </w:p>
    <w:p w14:paraId="4AC1FB33" w14:textId="77777777" w:rsidR="002B1283" w:rsidRPr="00B14CDE" w:rsidRDefault="002B1283" w:rsidP="002B1283">
      <w:pPr>
        <w:pStyle w:val="NoSpacing"/>
        <w:rPr>
          <w:rFonts w:ascii="Times New Roman" w:hAnsi="Times New Roman"/>
          <w:b/>
          <w:bCs/>
          <w:sz w:val="24"/>
          <w:szCs w:val="24"/>
        </w:rPr>
      </w:pPr>
    </w:p>
    <w:p w14:paraId="0ECEC067" w14:textId="77777777" w:rsidR="002B1283" w:rsidRPr="00BA5B0D" w:rsidRDefault="002B1283" w:rsidP="002B1283">
      <w:pPr>
        <w:pStyle w:val="NoSpacing"/>
        <w:ind w:left="1440"/>
        <w:rPr>
          <w:rFonts w:ascii="Times New Roman" w:hAnsi="Times New Roman"/>
          <w:sz w:val="24"/>
          <w:szCs w:val="24"/>
        </w:rPr>
      </w:pPr>
      <w:r>
        <w:rPr>
          <w:rFonts w:ascii="Times New Roman" w:hAnsi="Times New Roman"/>
          <w:sz w:val="24"/>
          <w:szCs w:val="24"/>
        </w:rPr>
        <w:t>“</w:t>
      </w:r>
      <w:r w:rsidRPr="00BA5B0D">
        <w:rPr>
          <w:rFonts w:ascii="Times New Roman" w:hAnsi="Times New Roman"/>
          <w:sz w:val="24"/>
          <w:szCs w:val="24"/>
        </w:rPr>
        <w:t xml:space="preserve">On May 8, 2013, a 29-year-old male career probationary fire fighter died after running out of air and being trapped by a roof collapse in a commercial strip mall fire. The fire fighter was one of three fire fighters who had stretched a 1½-inch </w:t>
      </w:r>
      <w:proofErr w:type="spellStart"/>
      <w:r w:rsidRPr="00BA5B0D">
        <w:rPr>
          <w:rFonts w:ascii="Times New Roman" w:hAnsi="Times New Roman"/>
          <w:sz w:val="24"/>
          <w:szCs w:val="24"/>
        </w:rPr>
        <w:t>hoseline</w:t>
      </w:r>
      <w:proofErr w:type="spellEnd"/>
      <w:r w:rsidRPr="00BA5B0D">
        <w:rPr>
          <w:rFonts w:ascii="Times New Roman" w:hAnsi="Times New Roman"/>
          <w:sz w:val="24"/>
          <w:szCs w:val="24"/>
        </w:rPr>
        <w:t xml:space="preserve"> from Side A into a commercial strip mall fire. The hose team had stretched deep into the structure under high heat and heavy smoke conditions and was unsuccessful in locating the seat of the fire. The hose team decided to exit the structure. During the exit, the fire fighter became separated from the other two crew members. The incident commander saw the two members of the hose team exit on Side A and called over the radio for the fire fighter. The fire fighter acknowledged the incident commander and gave his location </w:t>
      </w:r>
      <w:proofErr w:type="gramStart"/>
      <w:r w:rsidRPr="00BA5B0D">
        <w:rPr>
          <w:rFonts w:ascii="Times New Roman" w:hAnsi="Times New Roman"/>
          <w:sz w:val="24"/>
          <w:szCs w:val="24"/>
        </w:rPr>
        <w:t>in</w:t>
      </w:r>
      <w:proofErr w:type="gramEnd"/>
      <w:r w:rsidRPr="00BA5B0D">
        <w:rPr>
          <w:rFonts w:ascii="Times New Roman" w:hAnsi="Times New Roman"/>
          <w:sz w:val="24"/>
          <w:szCs w:val="24"/>
        </w:rPr>
        <w:t xml:space="preserve"> the rear of the structure. The fire fighter later gave a radio </w:t>
      </w:r>
      <w:proofErr w:type="gramStart"/>
      <w:r w:rsidRPr="00BA5B0D">
        <w:rPr>
          <w:rFonts w:ascii="Times New Roman" w:hAnsi="Times New Roman"/>
          <w:sz w:val="24"/>
          <w:szCs w:val="24"/>
        </w:rPr>
        <w:t>transmission</w:t>
      </w:r>
      <w:proofErr w:type="gramEnd"/>
      <w:r w:rsidRPr="00BA5B0D">
        <w:rPr>
          <w:rFonts w:ascii="Times New Roman" w:hAnsi="Times New Roman"/>
          <w:sz w:val="24"/>
          <w:szCs w:val="24"/>
        </w:rPr>
        <w:t xml:space="preserve"> that he was out of air. A rapid intervention team was activated but was unable to locate him before a flashover occurred and the roof collapsed. He was later recovered and pronounced dead on the scene.</w:t>
      </w:r>
      <w:r>
        <w:rPr>
          <w:rFonts w:ascii="Times New Roman" w:hAnsi="Times New Roman"/>
          <w:sz w:val="24"/>
          <w:szCs w:val="24"/>
        </w:rPr>
        <w:t>”</w:t>
      </w:r>
    </w:p>
    <w:p w14:paraId="2CB7DFF9" w14:textId="77777777" w:rsidR="002B1283" w:rsidRDefault="002B1283" w:rsidP="002B1283">
      <w:pPr>
        <w:pStyle w:val="NoSpacing"/>
      </w:pPr>
    </w:p>
    <w:p w14:paraId="41354A30" w14:textId="77777777" w:rsidR="0097592D" w:rsidRDefault="0097592D" w:rsidP="00EF1133">
      <w:pPr>
        <w:pStyle w:val="NoSpacing"/>
        <w:rPr>
          <w:rFonts w:ascii="Arial Black" w:hAnsi="Arial Black"/>
          <w:sz w:val="24"/>
          <w:szCs w:val="24"/>
        </w:rPr>
      </w:pPr>
    </w:p>
    <w:p w14:paraId="2CBF5FDA" w14:textId="77777777" w:rsidR="0097592D" w:rsidRDefault="0097592D" w:rsidP="00EF1133">
      <w:pPr>
        <w:pStyle w:val="NoSpacing"/>
        <w:rPr>
          <w:rFonts w:ascii="Arial Black" w:hAnsi="Arial Black"/>
          <w:sz w:val="24"/>
          <w:szCs w:val="24"/>
        </w:rPr>
      </w:pPr>
    </w:p>
    <w:p w14:paraId="65845C87" w14:textId="346BF5BF" w:rsidR="005A414F" w:rsidRDefault="005A414F" w:rsidP="00EF1133">
      <w:pPr>
        <w:pStyle w:val="NoSpacing"/>
        <w:rPr>
          <w:rFonts w:ascii="Arial Black" w:hAnsi="Arial Black"/>
          <w:sz w:val="24"/>
          <w:szCs w:val="24"/>
        </w:rPr>
      </w:pPr>
      <w:r>
        <w:rPr>
          <w:rFonts w:ascii="Arial Black" w:hAnsi="Arial Black"/>
          <w:sz w:val="24"/>
          <w:szCs w:val="24"/>
        </w:rPr>
        <w:t>2-1</w:t>
      </w:r>
      <w:r w:rsidR="00D07E6E">
        <w:rPr>
          <w:rFonts w:ascii="Arial Black" w:hAnsi="Arial Black"/>
          <w:sz w:val="24"/>
          <w:szCs w:val="24"/>
        </w:rPr>
        <w:t>6</w:t>
      </w:r>
    </w:p>
    <w:p w14:paraId="4A0E014B" w14:textId="77777777" w:rsidR="005A414F" w:rsidRDefault="005A414F" w:rsidP="00EF1133">
      <w:pPr>
        <w:pStyle w:val="NoSpacing"/>
        <w:rPr>
          <w:rFonts w:ascii="Arial Black" w:hAnsi="Arial Black"/>
          <w:sz w:val="24"/>
          <w:szCs w:val="24"/>
        </w:rPr>
      </w:pPr>
    </w:p>
    <w:p w14:paraId="6AB56DF7" w14:textId="77777777" w:rsidR="005A414F" w:rsidRPr="000B408C" w:rsidRDefault="005A414F" w:rsidP="005A414F">
      <w:pPr>
        <w:pStyle w:val="NoSpacing"/>
        <w:rPr>
          <w:rFonts w:ascii="Arial Black" w:hAnsi="Arial Black"/>
          <w:sz w:val="28"/>
          <w:szCs w:val="28"/>
        </w:rPr>
      </w:pPr>
      <w:r w:rsidRPr="000B408C">
        <w:rPr>
          <w:rFonts w:ascii="Arial Black" w:hAnsi="Arial Black"/>
          <w:sz w:val="28"/>
          <w:szCs w:val="28"/>
        </w:rPr>
        <w:t xml:space="preserve">MO: </w:t>
      </w:r>
      <w:r>
        <w:rPr>
          <w:rFonts w:ascii="Arial Black" w:hAnsi="Arial Black"/>
          <w:sz w:val="28"/>
          <w:szCs w:val="28"/>
        </w:rPr>
        <w:t xml:space="preserve">CANCER – WIFE OF DECEASED CAPTAIN - WINS WORKERS COMP CLAIM – OCCUPATIONAL EXPOSURES TO CARCINOGENS </w:t>
      </w:r>
    </w:p>
    <w:p w14:paraId="7415A160" w14:textId="77777777" w:rsidR="005A414F" w:rsidRPr="0044213E" w:rsidRDefault="005A414F" w:rsidP="005A414F">
      <w:pPr>
        <w:rPr>
          <w:rFonts w:ascii="Times New Roman" w:hAnsi="Times New Roman"/>
          <w:sz w:val="24"/>
          <w:szCs w:val="24"/>
        </w:rPr>
      </w:pPr>
      <w:r w:rsidRPr="0044213E">
        <w:rPr>
          <w:rFonts w:ascii="Times New Roman" w:hAnsi="Times New Roman"/>
          <w:sz w:val="24"/>
          <w:szCs w:val="24"/>
        </w:rPr>
        <w:t xml:space="preserve">On June 4, 2019, in </w:t>
      </w:r>
      <w:r w:rsidRPr="0044213E">
        <w:rPr>
          <w:rFonts w:ascii="Times New Roman" w:hAnsi="Times New Roman"/>
          <w:sz w:val="24"/>
          <w:szCs w:val="24"/>
          <w:u w:val="single"/>
        </w:rPr>
        <w:t>David Cheney (Deceased), Donna Ceney (Spouse) v. City of Gladstone</w:t>
      </w:r>
      <w:r w:rsidRPr="0044213E">
        <w:rPr>
          <w:rFonts w:ascii="Times New Roman" w:hAnsi="Times New Roman"/>
          <w:sz w:val="24"/>
          <w:szCs w:val="24"/>
        </w:rPr>
        <w:t xml:space="preserve">, </w:t>
      </w:r>
      <w:r>
        <w:rPr>
          <w:rFonts w:ascii="Times New Roman" w:hAnsi="Times New Roman"/>
          <w:sz w:val="24"/>
          <w:szCs w:val="24"/>
        </w:rPr>
        <w:t xml:space="preserve">the Missouri Court of Appeals, Western District, held (3 to 0) that the cancer was work related and she is entitled to workers comp death and burial benefits.  </w:t>
      </w:r>
      <w:hyperlink r:id="rId598" w:history="1">
        <w:r w:rsidRPr="00610C09">
          <w:rPr>
            <w:rStyle w:val="Hyperlink"/>
            <w:rFonts w:ascii="Times New Roman" w:hAnsi="Times New Roman"/>
            <w:sz w:val="24"/>
            <w:szCs w:val="24"/>
          </w:rPr>
          <w:t>https://cases.justia.com/missouri/court-of-appeals/2019-wd81939.pdf?ts=1559661108</w:t>
        </w:r>
      </w:hyperlink>
      <w:r>
        <w:rPr>
          <w:rFonts w:ascii="Times New Roman" w:hAnsi="Times New Roman"/>
          <w:sz w:val="24"/>
          <w:szCs w:val="24"/>
        </w:rPr>
        <w:t xml:space="preserve"> </w:t>
      </w:r>
    </w:p>
    <w:p w14:paraId="7CDCD37C" w14:textId="77777777" w:rsidR="005A414F" w:rsidRPr="00E56A5D" w:rsidRDefault="005A414F" w:rsidP="005A414F">
      <w:pPr>
        <w:rPr>
          <w:rFonts w:ascii="Times New Roman" w:hAnsi="Times New Roman"/>
          <w:sz w:val="24"/>
          <w:szCs w:val="24"/>
        </w:rPr>
      </w:pPr>
      <w:r>
        <w:rPr>
          <w:rFonts w:ascii="Arial" w:hAnsi="Arial" w:cs="Arial"/>
          <w:sz w:val="30"/>
          <w:szCs w:val="30"/>
        </w:rPr>
        <w:tab/>
      </w:r>
      <w:r w:rsidRPr="00E56A5D">
        <w:rPr>
          <w:rFonts w:ascii="Times New Roman" w:hAnsi="Times New Roman"/>
          <w:sz w:val="24"/>
          <w:szCs w:val="24"/>
        </w:rPr>
        <w:t xml:space="preserve">Judge Edward R. Arnidi, Jr. wrote: </w:t>
      </w:r>
    </w:p>
    <w:p w14:paraId="3EAA46BD" w14:textId="77777777" w:rsidR="005A414F" w:rsidRPr="00965872" w:rsidRDefault="005A414F" w:rsidP="005A414F">
      <w:pPr>
        <w:ind w:left="1440"/>
        <w:rPr>
          <w:rFonts w:ascii="Times New Roman" w:hAnsi="Times New Roman"/>
          <w:sz w:val="24"/>
          <w:szCs w:val="24"/>
        </w:rPr>
      </w:pPr>
      <w:r w:rsidRPr="00965872">
        <w:rPr>
          <w:rFonts w:ascii="Times New Roman" w:hAnsi="Times New Roman"/>
          <w:sz w:val="24"/>
          <w:szCs w:val="24"/>
        </w:rPr>
        <w:t xml:space="preserve">“Both Drs. Lockey and Koprivica reviewed David Cheney’s medical records. Dr. Koprivica also conducted a physical examination of David Cheney before his death. Based on the information gleaned from the records and the physical examination, both doctors concluded that David Cheney’s occupational exposure to carcinogenic smoke, fumes, and particulates experienced during his employment as a firefighter for the </w:t>
      </w:r>
      <w:proofErr w:type="gramStart"/>
      <w:r w:rsidRPr="00965872">
        <w:rPr>
          <w:rFonts w:ascii="Times New Roman" w:hAnsi="Times New Roman"/>
          <w:sz w:val="24"/>
          <w:szCs w:val="24"/>
        </w:rPr>
        <w:t>City</w:t>
      </w:r>
      <w:proofErr w:type="gramEnd"/>
      <w:r w:rsidRPr="00965872">
        <w:rPr>
          <w:rFonts w:ascii="Times New Roman" w:hAnsi="Times New Roman"/>
          <w:sz w:val="24"/>
          <w:szCs w:val="24"/>
        </w:rPr>
        <w:t xml:space="preserve"> was the prevailing factor in the development of his NHL. The Commission found this evidence credible and persuasive, and we defer to this finding. *** The Commission determined that David Cheney suffered a compensable injury by occupational disease arising out of and in the course of his employment as a firefighter with the </w:t>
      </w:r>
      <w:proofErr w:type="gramStart"/>
      <w:r w:rsidRPr="00965872">
        <w:rPr>
          <w:rFonts w:ascii="Times New Roman" w:hAnsi="Times New Roman"/>
          <w:sz w:val="24"/>
          <w:szCs w:val="24"/>
        </w:rPr>
        <w:t>City</w:t>
      </w:r>
      <w:proofErr w:type="gramEnd"/>
      <w:r w:rsidRPr="00965872">
        <w:rPr>
          <w:rFonts w:ascii="Times New Roman" w:hAnsi="Times New Roman"/>
          <w:sz w:val="24"/>
          <w:szCs w:val="24"/>
        </w:rPr>
        <w:t>. We affirm.”</w:t>
      </w:r>
    </w:p>
    <w:p w14:paraId="7B39B206" w14:textId="77777777" w:rsidR="00715CF2" w:rsidRPr="00965872" w:rsidRDefault="005A414F" w:rsidP="005A414F">
      <w:pPr>
        <w:pStyle w:val="NoSpacing"/>
        <w:tabs>
          <w:tab w:val="left" w:pos="2910"/>
        </w:tabs>
        <w:rPr>
          <w:rFonts w:ascii="Times New Roman" w:hAnsi="Times New Roman"/>
          <w:b/>
          <w:bCs/>
          <w:sz w:val="24"/>
          <w:szCs w:val="24"/>
        </w:rPr>
      </w:pPr>
      <w:r w:rsidRPr="00965872">
        <w:rPr>
          <w:rFonts w:ascii="Times New Roman" w:hAnsi="Times New Roman"/>
          <w:b/>
          <w:bCs/>
          <w:sz w:val="24"/>
          <w:szCs w:val="24"/>
        </w:rPr>
        <w:t xml:space="preserve">Legal Lessons Learned: Litigation such as this case reflects the need for statutory presumption for firefighter cancer.  See 33 states with presumption statutes: </w:t>
      </w:r>
      <w:hyperlink r:id="rId599" w:history="1">
        <w:r w:rsidRPr="00965872">
          <w:rPr>
            <w:rStyle w:val="Hyperlink"/>
            <w:rFonts w:ascii="Times New Roman" w:hAnsi="Times New Roman"/>
            <w:b/>
            <w:bCs/>
            <w:sz w:val="24"/>
            <w:szCs w:val="24"/>
          </w:rPr>
          <w:t>https://www.firstrespondercenter.org/cancer/toolsresources/presumptive-legislation-firefighter-cancer-state/</w:t>
        </w:r>
      </w:hyperlink>
      <w:r w:rsidRPr="00965872">
        <w:rPr>
          <w:rFonts w:ascii="Times New Roman" w:hAnsi="Times New Roman"/>
          <w:b/>
          <w:bCs/>
          <w:sz w:val="24"/>
          <w:szCs w:val="24"/>
        </w:rPr>
        <w:t xml:space="preserve"> </w:t>
      </w:r>
    </w:p>
    <w:p w14:paraId="24D4FF01" w14:textId="77777777" w:rsidR="00715CF2" w:rsidRPr="00965872" w:rsidRDefault="00715CF2" w:rsidP="005A414F">
      <w:pPr>
        <w:pStyle w:val="NoSpacing"/>
        <w:tabs>
          <w:tab w:val="left" w:pos="2910"/>
        </w:tabs>
        <w:rPr>
          <w:rFonts w:ascii="Times New Roman" w:hAnsi="Times New Roman"/>
          <w:sz w:val="24"/>
          <w:szCs w:val="24"/>
        </w:rPr>
      </w:pPr>
    </w:p>
    <w:p w14:paraId="2568A2E5" w14:textId="58E5257F" w:rsidR="005A414F" w:rsidRPr="00965872" w:rsidRDefault="005A414F" w:rsidP="00715CF2">
      <w:pPr>
        <w:pStyle w:val="NoSpacing"/>
        <w:tabs>
          <w:tab w:val="left" w:pos="2910"/>
        </w:tabs>
        <w:ind w:left="630"/>
        <w:rPr>
          <w:rFonts w:ascii="Times New Roman" w:hAnsi="Times New Roman"/>
          <w:b/>
          <w:bCs/>
          <w:i/>
          <w:iCs/>
          <w:sz w:val="24"/>
          <w:szCs w:val="24"/>
        </w:rPr>
      </w:pPr>
      <w:r w:rsidRPr="00965872">
        <w:rPr>
          <w:rFonts w:ascii="Times New Roman" w:hAnsi="Times New Roman"/>
          <w:sz w:val="24"/>
          <w:szCs w:val="24"/>
        </w:rPr>
        <w:t xml:space="preserve">See also July 7, </w:t>
      </w:r>
      <w:proofErr w:type="gramStart"/>
      <w:r w:rsidRPr="00965872">
        <w:rPr>
          <w:rFonts w:ascii="Times New Roman" w:hAnsi="Times New Roman"/>
          <w:sz w:val="24"/>
          <w:szCs w:val="24"/>
        </w:rPr>
        <w:t>2019</w:t>
      </w:r>
      <w:proofErr w:type="gramEnd"/>
      <w:r w:rsidRPr="00965872">
        <w:rPr>
          <w:rFonts w:ascii="Times New Roman" w:hAnsi="Times New Roman"/>
          <w:sz w:val="24"/>
          <w:szCs w:val="24"/>
        </w:rPr>
        <w:t xml:space="preserve"> article about this important win: “‘Cancer is killing our firefighters’: Missouri widow’s court win may aid those at risk”:  </w:t>
      </w:r>
      <w:hyperlink r:id="rId600" w:history="1">
        <w:r w:rsidRPr="00965872">
          <w:rPr>
            <w:rStyle w:val="Hyperlink"/>
            <w:rFonts w:ascii="Times New Roman" w:hAnsi="Times New Roman"/>
            <w:sz w:val="24"/>
            <w:szCs w:val="24"/>
          </w:rPr>
          <w:t>https://www.kansascity.com/news/politics-government/article231974862.html</w:t>
        </w:r>
      </w:hyperlink>
      <w:r w:rsidRPr="00965872">
        <w:rPr>
          <w:rFonts w:ascii="Times New Roman" w:hAnsi="Times New Roman"/>
          <w:b/>
          <w:bCs/>
          <w:i/>
          <w:iCs/>
          <w:sz w:val="24"/>
          <w:szCs w:val="24"/>
        </w:rPr>
        <w:t xml:space="preserve"> </w:t>
      </w:r>
    </w:p>
    <w:p w14:paraId="427F4348" w14:textId="2744E80A" w:rsidR="00E26EA8" w:rsidRDefault="00E26EA8" w:rsidP="005A414F">
      <w:pPr>
        <w:pStyle w:val="NoSpacing"/>
        <w:tabs>
          <w:tab w:val="left" w:pos="2910"/>
        </w:tabs>
        <w:rPr>
          <w:rFonts w:ascii="Times New Roman" w:hAnsi="Times New Roman"/>
          <w:b/>
          <w:bCs/>
          <w:i/>
          <w:iCs/>
          <w:sz w:val="24"/>
          <w:szCs w:val="24"/>
        </w:rPr>
      </w:pPr>
    </w:p>
    <w:p w14:paraId="13276E0C" w14:textId="77777777" w:rsidR="005A414F" w:rsidRDefault="005A414F" w:rsidP="00EF1133">
      <w:pPr>
        <w:pStyle w:val="NoSpacing"/>
        <w:rPr>
          <w:rFonts w:ascii="Arial Black" w:hAnsi="Arial Black"/>
          <w:sz w:val="24"/>
          <w:szCs w:val="24"/>
        </w:rPr>
      </w:pPr>
    </w:p>
    <w:p w14:paraId="4A0004E5" w14:textId="77777777" w:rsidR="00965872" w:rsidRDefault="00965872" w:rsidP="00EF1133">
      <w:pPr>
        <w:pStyle w:val="NoSpacing"/>
        <w:rPr>
          <w:rFonts w:ascii="Arial Black" w:hAnsi="Arial Black"/>
          <w:sz w:val="24"/>
          <w:szCs w:val="24"/>
        </w:rPr>
      </w:pPr>
    </w:p>
    <w:p w14:paraId="4C16E320" w14:textId="14C7A48A" w:rsidR="00EF1133" w:rsidRPr="00791CA3" w:rsidRDefault="00EF1133" w:rsidP="00EF1133">
      <w:pPr>
        <w:pStyle w:val="NoSpacing"/>
        <w:rPr>
          <w:rFonts w:ascii="Arial Black" w:hAnsi="Arial Black"/>
          <w:sz w:val="24"/>
          <w:szCs w:val="24"/>
        </w:rPr>
      </w:pPr>
      <w:r w:rsidRPr="00791CA3">
        <w:rPr>
          <w:rFonts w:ascii="Arial Black" w:hAnsi="Arial Black"/>
          <w:sz w:val="24"/>
          <w:szCs w:val="24"/>
        </w:rPr>
        <w:t>2-1</w:t>
      </w:r>
      <w:r w:rsidR="00D07E6E">
        <w:rPr>
          <w:rFonts w:ascii="Arial Black" w:hAnsi="Arial Black"/>
          <w:sz w:val="24"/>
          <w:szCs w:val="24"/>
        </w:rPr>
        <w:t>5</w:t>
      </w:r>
    </w:p>
    <w:p w14:paraId="7ED759EB" w14:textId="77777777" w:rsidR="00B22CD4" w:rsidRDefault="00B22CD4" w:rsidP="00F326E5">
      <w:pPr>
        <w:rPr>
          <w:sz w:val="24"/>
          <w:szCs w:val="24"/>
        </w:rPr>
      </w:pPr>
    </w:p>
    <w:p w14:paraId="59AB6FF2" w14:textId="397E81CA" w:rsidR="00B22CD4" w:rsidRDefault="00B22CD4" w:rsidP="00B22CD4">
      <w:pPr>
        <w:pStyle w:val="NoSpacing"/>
        <w:rPr>
          <w:rFonts w:ascii="Arial Black" w:hAnsi="Arial Black"/>
          <w:sz w:val="28"/>
          <w:szCs w:val="28"/>
        </w:rPr>
      </w:pPr>
      <w:r w:rsidRPr="006F3E97">
        <w:rPr>
          <w:rFonts w:ascii="Arial Black" w:hAnsi="Arial Black"/>
          <w:sz w:val="28"/>
          <w:szCs w:val="28"/>
        </w:rPr>
        <w:t xml:space="preserve">IL: </w:t>
      </w:r>
      <w:r>
        <w:rPr>
          <w:rFonts w:ascii="Arial Black" w:hAnsi="Arial Black"/>
          <w:sz w:val="28"/>
          <w:szCs w:val="28"/>
        </w:rPr>
        <w:t xml:space="preserve"> FF PRIOR HEART ISSUES - PATIENT DROPPED ON STRETCHER – LINE-OF-DUTY PENSION, LIFETIME HEALTH INSURANCE </w:t>
      </w:r>
    </w:p>
    <w:p w14:paraId="20F2818A" w14:textId="77777777" w:rsidR="00B22CD4" w:rsidRDefault="00B22CD4" w:rsidP="00B22CD4">
      <w:pPr>
        <w:pStyle w:val="NoSpacing"/>
        <w:rPr>
          <w:rFonts w:ascii="On Times New Roman" w:hAnsi="On Times New Roman"/>
          <w:sz w:val="24"/>
          <w:szCs w:val="24"/>
        </w:rPr>
      </w:pPr>
    </w:p>
    <w:p w14:paraId="126050D2" w14:textId="77777777" w:rsidR="00B22CD4" w:rsidRDefault="00B22CD4" w:rsidP="00B22CD4">
      <w:pPr>
        <w:pStyle w:val="NoSpacing"/>
        <w:rPr>
          <w:rFonts w:ascii="On Times New Roman" w:hAnsi="On Times New Roman"/>
          <w:sz w:val="24"/>
          <w:szCs w:val="24"/>
        </w:rPr>
      </w:pPr>
      <w:r>
        <w:rPr>
          <w:rFonts w:ascii="On Times New Roman" w:hAnsi="On Times New Roman"/>
          <w:sz w:val="24"/>
          <w:szCs w:val="24"/>
        </w:rPr>
        <w:t xml:space="preserve">On May 28, 2019, in </w:t>
      </w:r>
      <w:r w:rsidRPr="00340E41">
        <w:rPr>
          <w:rFonts w:ascii="On Times New Roman" w:hAnsi="On Times New Roman"/>
          <w:sz w:val="24"/>
          <w:szCs w:val="24"/>
          <w:u w:val="single"/>
        </w:rPr>
        <w:t>Patrick Cronin v. Village of Skokie</w:t>
      </w:r>
      <w:r>
        <w:rPr>
          <w:rFonts w:ascii="On Times New Roman" w:hAnsi="On Times New Roman"/>
          <w:sz w:val="24"/>
          <w:szCs w:val="24"/>
        </w:rPr>
        <w:t>, the Appellate Court of Illinois, First District, held (3 to 0) that the retired firefighter was properly awarded lifetime health insurance.</w:t>
      </w:r>
    </w:p>
    <w:p w14:paraId="140938EC" w14:textId="77777777" w:rsidR="00B22CD4" w:rsidRDefault="00B22CD4" w:rsidP="00B22CD4">
      <w:pPr>
        <w:pStyle w:val="NoSpacing"/>
        <w:rPr>
          <w:rFonts w:ascii="On Times New Roman" w:hAnsi="On Times New Roman"/>
          <w:sz w:val="24"/>
          <w:szCs w:val="24"/>
        </w:rPr>
      </w:pPr>
    </w:p>
    <w:p w14:paraId="40D964CA" w14:textId="77777777" w:rsidR="00B22CD4" w:rsidRDefault="00B22CD4" w:rsidP="00B22CD4">
      <w:pPr>
        <w:pStyle w:val="NoSpacing"/>
        <w:ind w:left="720"/>
        <w:rPr>
          <w:rFonts w:ascii="Times New Roman" w:hAnsi="Times New Roman"/>
          <w:sz w:val="24"/>
          <w:szCs w:val="24"/>
        </w:rPr>
      </w:pPr>
      <w:r>
        <w:rPr>
          <w:rFonts w:ascii="Times New Roman" w:hAnsi="Times New Roman"/>
          <w:sz w:val="24"/>
          <w:szCs w:val="24"/>
        </w:rPr>
        <w:t>“</w:t>
      </w:r>
      <w:r w:rsidRPr="00340E41">
        <w:rPr>
          <w:rFonts w:ascii="Times New Roman" w:hAnsi="Times New Roman"/>
          <w:sz w:val="24"/>
          <w:szCs w:val="24"/>
        </w:rPr>
        <w:t>In summary, because Mr. Cronin was awarded a line-of-duty disability pension by the Pension Board, he met the requirements of section 10(a) of the Benefits Act—that he suffered a catastrophic injury in the line of duty—as a matter of law. Mr. Cronin also met the requirements of section 10(b): the only work-related incident that was presented as a cause of his injury was his act of holding the stretcher as a cardiac patient was dropped onto it and he presented uncontradicted evidence that he reasonably believed he was responding to an emergency. Accordingly, Mr. Cronin is entitled to benefits under the Act, and the circuit court properly granted summary judgment in favor of Mr. Cronin and against the Village.</w:t>
      </w:r>
      <w:r>
        <w:rPr>
          <w:rFonts w:ascii="Times New Roman" w:hAnsi="Times New Roman"/>
          <w:sz w:val="24"/>
          <w:szCs w:val="24"/>
        </w:rPr>
        <w:t>”</w:t>
      </w:r>
    </w:p>
    <w:p w14:paraId="6EFC75EB" w14:textId="77777777" w:rsidR="00B22CD4" w:rsidRDefault="00B22CD4" w:rsidP="00B22CD4">
      <w:pPr>
        <w:pStyle w:val="NoSpacing"/>
        <w:ind w:left="720"/>
        <w:rPr>
          <w:rFonts w:ascii="Times New Roman" w:hAnsi="Times New Roman"/>
          <w:sz w:val="24"/>
          <w:szCs w:val="24"/>
        </w:rPr>
      </w:pPr>
      <w:hyperlink r:id="rId601" w:history="1">
        <w:r w:rsidRPr="001602A2">
          <w:rPr>
            <w:rStyle w:val="Hyperlink"/>
            <w:rFonts w:ascii="Times New Roman" w:hAnsi="Times New Roman"/>
            <w:sz w:val="24"/>
            <w:szCs w:val="24"/>
          </w:rPr>
          <w:t>http://www.illinoiscourts.gov/Opinions/AppellateCourt/2019/1stDistrict/1181163.pdf</w:t>
        </w:r>
      </w:hyperlink>
      <w:r>
        <w:rPr>
          <w:rFonts w:ascii="Times New Roman" w:hAnsi="Times New Roman"/>
          <w:sz w:val="24"/>
          <w:szCs w:val="24"/>
        </w:rPr>
        <w:t xml:space="preserve"> </w:t>
      </w:r>
    </w:p>
    <w:p w14:paraId="02FD153C" w14:textId="77777777" w:rsidR="00527EDF" w:rsidRDefault="00527EDF" w:rsidP="00B22CD4">
      <w:pPr>
        <w:pStyle w:val="NoSpacing"/>
        <w:rPr>
          <w:rFonts w:ascii="Times New Roman" w:hAnsi="Times New Roman"/>
          <w:b/>
          <w:sz w:val="24"/>
          <w:szCs w:val="24"/>
        </w:rPr>
      </w:pPr>
      <w:bookmarkStart w:id="113" w:name="_Hlk10126765"/>
    </w:p>
    <w:p w14:paraId="7189FDD7" w14:textId="0D25ECE0" w:rsidR="00B22CD4" w:rsidRPr="004A0390" w:rsidRDefault="00B22CD4" w:rsidP="00B22CD4">
      <w:pPr>
        <w:pStyle w:val="NoSpacing"/>
        <w:rPr>
          <w:rFonts w:ascii="Times New Roman" w:hAnsi="Times New Roman"/>
          <w:b/>
          <w:sz w:val="24"/>
          <w:szCs w:val="24"/>
        </w:rPr>
      </w:pPr>
      <w:r w:rsidRPr="004A0390">
        <w:rPr>
          <w:rFonts w:ascii="Times New Roman" w:hAnsi="Times New Roman"/>
          <w:b/>
          <w:sz w:val="24"/>
          <w:szCs w:val="24"/>
        </w:rPr>
        <w:t>Legal Lessons Learned:</w:t>
      </w:r>
      <w:r>
        <w:rPr>
          <w:rFonts w:ascii="Times New Roman" w:hAnsi="Times New Roman"/>
          <w:b/>
          <w:sz w:val="24"/>
          <w:szCs w:val="24"/>
        </w:rPr>
        <w:t xml:space="preserve">  The Illinois statute applies even to firefighters with a prior heart issue.  </w:t>
      </w:r>
    </w:p>
    <w:bookmarkEnd w:id="113"/>
    <w:p w14:paraId="1E3339CF" w14:textId="67FAFC01" w:rsidR="00B22CD4" w:rsidRDefault="00B22CD4" w:rsidP="00F326E5">
      <w:pPr>
        <w:rPr>
          <w:sz w:val="24"/>
          <w:szCs w:val="24"/>
        </w:rPr>
      </w:pPr>
    </w:p>
    <w:p w14:paraId="22A2ACF3" w14:textId="77777777" w:rsidR="0097592D" w:rsidRDefault="0097592D" w:rsidP="00F326E5">
      <w:pPr>
        <w:rPr>
          <w:sz w:val="24"/>
          <w:szCs w:val="24"/>
        </w:rPr>
      </w:pPr>
    </w:p>
    <w:p w14:paraId="4D66122C" w14:textId="5650F338" w:rsidR="00D07E6E" w:rsidRPr="00D07E6E" w:rsidRDefault="00D07E6E" w:rsidP="00F326E5">
      <w:pPr>
        <w:rPr>
          <w:rFonts w:ascii="Arial Black" w:hAnsi="Arial Black"/>
          <w:sz w:val="24"/>
          <w:szCs w:val="24"/>
        </w:rPr>
      </w:pPr>
      <w:r w:rsidRPr="00D07E6E">
        <w:rPr>
          <w:rFonts w:ascii="Arial Black" w:hAnsi="Arial Black"/>
          <w:sz w:val="24"/>
          <w:szCs w:val="24"/>
        </w:rPr>
        <w:t>2-14</w:t>
      </w:r>
    </w:p>
    <w:p w14:paraId="5B34F29C" w14:textId="77777777" w:rsidR="00D07E6E" w:rsidRPr="00D07E6E" w:rsidRDefault="00D07E6E" w:rsidP="00F326E5">
      <w:pPr>
        <w:rPr>
          <w:rFonts w:ascii="Arial Black" w:hAnsi="Arial Black" w:cs="Arial"/>
          <w:sz w:val="28"/>
          <w:szCs w:val="28"/>
        </w:rPr>
      </w:pPr>
      <w:r w:rsidRPr="00D07E6E">
        <w:rPr>
          <w:rFonts w:ascii="Arial Black" w:hAnsi="Arial Black" w:cs="Arial"/>
          <w:sz w:val="28"/>
          <w:szCs w:val="28"/>
        </w:rPr>
        <w:t xml:space="preserve">CA: FFs STRUCK HELPING MOTORIST CROSS HIGHWAY – HE FIRST DELAYED CROSSING - LAWSUIT NOT BARRED BY CA “FIREMAN’S RULE” </w:t>
      </w:r>
    </w:p>
    <w:p w14:paraId="712CE6B5" w14:textId="77777777" w:rsidR="00965872" w:rsidRDefault="00D07E6E" w:rsidP="00F326E5">
      <w:pPr>
        <w:rPr>
          <w:rFonts w:ascii="Times New Roman" w:hAnsi="Times New Roman"/>
          <w:sz w:val="24"/>
          <w:szCs w:val="24"/>
        </w:rPr>
      </w:pPr>
      <w:r w:rsidRPr="00015208">
        <w:rPr>
          <w:rFonts w:ascii="Times New Roman" w:hAnsi="Times New Roman"/>
          <w:sz w:val="24"/>
          <w:szCs w:val="24"/>
        </w:rPr>
        <w:t xml:space="preserve">On April 30, 2019, in Moraga-Orinda Fire District v. Brian Favro, the Court of Appeal of California, First Appellate District, held (3 to 0) </w:t>
      </w:r>
      <w:proofErr w:type="gramStart"/>
      <w:r w:rsidRPr="00015208">
        <w:rPr>
          <w:rFonts w:ascii="Times New Roman" w:hAnsi="Times New Roman"/>
          <w:sz w:val="24"/>
          <w:szCs w:val="24"/>
        </w:rPr>
        <w:t>in</w:t>
      </w:r>
      <w:proofErr w:type="gramEnd"/>
      <w:r w:rsidRPr="00015208">
        <w:rPr>
          <w:rFonts w:ascii="Times New Roman" w:hAnsi="Times New Roman"/>
          <w:sz w:val="24"/>
          <w:szCs w:val="24"/>
        </w:rPr>
        <w:t xml:space="preserve"> unpublished decision, that trial court improperly dismissed the fire department’s lawsuit seeking to recover cost of workers compensation for injured firefighters.</w:t>
      </w:r>
    </w:p>
    <w:p w14:paraId="5C12637D" w14:textId="6B8F3D3B" w:rsidR="00D07E6E" w:rsidRPr="00015208" w:rsidRDefault="00D07E6E" w:rsidP="00965872">
      <w:pPr>
        <w:ind w:left="720"/>
        <w:rPr>
          <w:rFonts w:ascii="Times New Roman" w:hAnsi="Times New Roman"/>
          <w:sz w:val="24"/>
          <w:szCs w:val="24"/>
        </w:rPr>
      </w:pPr>
      <w:r w:rsidRPr="00015208">
        <w:rPr>
          <w:rFonts w:ascii="Times New Roman" w:hAnsi="Times New Roman"/>
          <w:sz w:val="24"/>
          <w:szCs w:val="24"/>
        </w:rPr>
        <w:t xml:space="preserve">“There is thus a triable issue of material fact as to whether Favro was negligent in failing to cooperate with the firefighters before they were struck by Briseno-Castaneda’s SUV. If that issue were to be resolved in plaintiffs’ favor, section 1714.9, subdivision (a)(1), would apply, and the firefighter’s rule would not. Because there is a triable issue of material </w:t>
      </w:r>
      <w:proofErr w:type="gramStart"/>
      <w:r w:rsidRPr="00015208">
        <w:rPr>
          <w:rFonts w:ascii="Times New Roman" w:hAnsi="Times New Roman"/>
          <w:sz w:val="24"/>
          <w:szCs w:val="24"/>
        </w:rPr>
        <w:t>fact</w:t>
      </w:r>
      <w:proofErr w:type="gramEnd"/>
      <w:r w:rsidRPr="00015208">
        <w:rPr>
          <w:rFonts w:ascii="Times New Roman" w:hAnsi="Times New Roman"/>
          <w:sz w:val="24"/>
          <w:szCs w:val="24"/>
        </w:rPr>
        <w:t xml:space="preserve">, the trial court erred in granting summary </w:t>
      </w:r>
      <w:proofErr w:type="gramStart"/>
      <w:r w:rsidRPr="00015208">
        <w:rPr>
          <w:rFonts w:ascii="Times New Roman" w:hAnsi="Times New Roman"/>
          <w:sz w:val="24"/>
          <w:szCs w:val="24"/>
        </w:rPr>
        <w:t>judgment.”</w:t>
      </w:r>
      <w:proofErr w:type="gramEnd"/>
      <w:r w:rsidR="00015208">
        <w:rPr>
          <w:rFonts w:ascii="Times New Roman" w:hAnsi="Times New Roman"/>
          <w:sz w:val="24"/>
          <w:szCs w:val="24"/>
        </w:rPr>
        <w:t xml:space="preserve"> </w:t>
      </w:r>
      <w:hyperlink r:id="rId602" w:history="1">
        <w:r w:rsidRPr="00015208">
          <w:rPr>
            <w:rStyle w:val="Hyperlink"/>
            <w:rFonts w:ascii="Times New Roman" w:hAnsi="Times New Roman"/>
            <w:sz w:val="24"/>
            <w:szCs w:val="24"/>
          </w:rPr>
          <w:t>https://www.courts.ca.gov/opinions/nonpub/A150651.PD</w:t>
        </w:r>
      </w:hyperlink>
      <w:r w:rsidRPr="00015208">
        <w:rPr>
          <w:rFonts w:ascii="Times New Roman" w:hAnsi="Times New Roman"/>
          <w:sz w:val="24"/>
          <w:szCs w:val="24"/>
        </w:rPr>
        <w:t xml:space="preserve"> </w:t>
      </w:r>
    </w:p>
    <w:p w14:paraId="05DBF511" w14:textId="05F0E23D" w:rsidR="00B22CD4" w:rsidRPr="00015208" w:rsidRDefault="00D07E6E" w:rsidP="00F326E5">
      <w:pPr>
        <w:rPr>
          <w:rFonts w:ascii="Times New Roman" w:hAnsi="Times New Roman"/>
          <w:b/>
          <w:bCs/>
          <w:sz w:val="24"/>
          <w:szCs w:val="24"/>
        </w:rPr>
      </w:pPr>
      <w:r w:rsidRPr="00015208">
        <w:rPr>
          <w:rFonts w:ascii="Times New Roman" w:hAnsi="Times New Roman"/>
          <w:b/>
          <w:bCs/>
          <w:sz w:val="24"/>
          <w:szCs w:val="24"/>
        </w:rPr>
        <w:t>Legal Lessons Learned: The California statute is a helpful exception to Fireman’s Rule – negligent conduct after individual “knows of the presence of the firefighter.</w:t>
      </w:r>
    </w:p>
    <w:p w14:paraId="0523FF47" w14:textId="2988436C" w:rsidR="00D07E6E" w:rsidRPr="00D07E6E" w:rsidRDefault="00D07E6E" w:rsidP="00F326E5">
      <w:pPr>
        <w:rPr>
          <w:rFonts w:ascii="Times New Roman" w:hAnsi="Times New Roman"/>
          <w:sz w:val="24"/>
          <w:szCs w:val="24"/>
        </w:rPr>
      </w:pPr>
    </w:p>
    <w:p w14:paraId="1308AD99" w14:textId="77777777" w:rsidR="00D07E6E" w:rsidRDefault="00D07E6E" w:rsidP="00EF1133">
      <w:pPr>
        <w:pStyle w:val="NoSpacing"/>
        <w:rPr>
          <w:rFonts w:ascii="Arial Black" w:hAnsi="Arial Black"/>
          <w:sz w:val="24"/>
          <w:szCs w:val="24"/>
        </w:rPr>
      </w:pPr>
    </w:p>
    <w:p w14:paraId="36877647" w14:textId="2FACCB86" w:rsidR="00EF1133" w:rsidRPr="00791CA3" w:rsidRDefault="00EF1133" w:rsidP="00EF1133">
      <w:pPr>
        <w:pStyle w:val="NoSpacing"/>
        <w:rPr>
          <w:rFonts w:ascii="Arial Black" w:hAnsi="Arial Black"/>
          <w:sz w:val="24"/>
          <w:szCs w:val="24"/>
        </w:rPr>
      </w:pPr>
      <w:r w:rsidRPr="00791CA3">
        <w:rPr>
          <w:rFonts w:ascii="Arial Black" w:hAnsi="Arial Black"/>
          <w:sz w:val="24"/>
          <w:szCs w:val="24"/>
        </w:rPr>
        <w:t>2-1</w:t>
      </w:r>
      <w:r>
        <w:rPr>
          <w:rFonts w:ascii="Arial Black" w:hAnsi="Arial Black"/>
          <w:sz w:val="24"/>
          <w:szCs w:val="24"/>
        </w:rPr>
        <w:t>3</w:t>
      </w:r>
    </w:p>
    <w:p w14:paraId="7B507BD4" w14:textId="77777777" w:rsidR="00B22CD4" w:rsidRDefault="00B22CD4" w:rsidP="00F326E5">
      <w:pPr>
        <w:rPr>
          <w:sz w:val="24"/>
          <w:szCs w:val="24"/>
        </w:rPr>
      </w:pPr>
    </w:p>
    <w:p w14:paraId="5E803B4C" w14:textId="4545E9A4" w:rsidR="00F326E5" w:rsidRDefault="00F326E5" w:rsidP="00F326E5">
      <w:pPr>
        <w:rPr>
          <w:rFonts w:ascii="Arial Black" w:hAnsi="Arial Black"/>
          <w:sz w:val="28"/>
          <w:szCs w:val="28"/>
        </w:rPr>
      </w:pPr>
      <w:r w:rsidRPr="00E04021">
        <w:rPr>
          <w:rFonts w:ascii="Arial Black" w:hAnsi="Arial Black"/>
          <w:sz w:val="28"/>
          <w:szCs w:val="28"/>
        </w:rPr>
        <w:t xml:space="preserve">NJ:  </w:t>
      </w:r>
      <w:r>
        <w:rPr>
          <w:rFonts w:ascii="Arial Black" w:hAnsi="Arial Black"/>
          <w:sz w:val="28"/>
          <w:szCs w:val="28"/>
        </w:rPr>
        <w:t xml:space="preserve">FF ACCIDENTAL DEATH BENEFITS - ONLY FOR THOSE WHO DIED WHILE IN “ACTIVE SERVICE” </w:t>
      </w:r>
    </w:p>
    <w:p w14:paraId="13A0F20E" w14:textId="77777777" w:rsidR="00965872" w:rsidRDefault="00F326E5" w:rsidP="00F326E5">
      <w:pPr>
        <w:pStyle w:val="NoSpacing"/>
        <w:jc w:val="both"/>
        <w:rPr>
          <w:rFonts w:ascii="Times New Roman" w:hAnsi="Times New Roman"/>
          <w:sz w:val="24"/>
          <w:szCs w:val="24"/>
        </w:rPr>
      </w:pPr>
      <w:r w:rsidRPr="00015208">
        <w:rPr>
          <w:rFonts w:ascii="Times New Roman" w:hAnsi="Times New Roman"/>
          <w:sz w:val="24"/>
          <w:szCs w:val="24"/>
        </w:rPr>
        <w:t xml:space="preserve">On March 26, 2019, in </w:t>
      </w:r>
      <w:r w:rsidRPr="00015208">
        <w:rPr>
          <w:rFonts w:ascii="Times New Roman" w:hAnsi="Times New Roman"/>
          <w:sz w:val="24"/>
          <w:szCs w:val="24"/>
          <w:u w:val="single"/>
        </w:rPr>
        <w:t xml:space="preserve">Scott Rogow (Deceased) v. Board of Trustees, Police </w:t>
      </w:r>
      <w:proofErr w:type="gramStart"/>
      <w:r w:rsidRPr="00015208">
        <w:rPr>
          <w:rFonts w:ascii="Times New Roman" w:hAnsi="Times New Roman"/>
          <w:sz w:val="24"/>
          <w:szCs w:val="24"/>
          <w:u w:val="single"/>
        </w:rPr>
        <w:t>And</w:t>
      </w:r>
      <w:proofErr w:type="gramEnd"/>
      <w:r w:rsidRPr="00015208">
        <w:rPr>
          <w:rFonts w:ascii="Times New Roman" w:hAnsi="Times New Roman"/>
          <w:sz w:val="24"/>
          <w:szCs w:val="24"/>
          <w:u w:val="single"/>
        </w:rPr>
        <w:t xml:space="preserve"> Firemen’s Retirement System</w:t>
      </w:r>
      <w:r w:rsidRPr="00015208">
        <w:rPr>
          <w:rFonts w:ascii="Times New Roman" w:hAnsi="Times New Roman"/>
          <w:sz w:val="24"/>
          <w:szCs w:val="24"/>
        </w:rPr>
        <w:t xml:space="preserve">,  the Superior Court of New Jersey / Appellate Division held (3 to 0) in an unpublished option:  </w:t>
      </w:r>
    </w:p>
    <w:p w14:paraId="6FCC1633" w14:textId="77777777" w:rsidR="00965872" w:rsidRDefault="00965872" w:rsidP="00F326E5">
      <w:pPr>
        <w:pStyle w:val="NoSpacing"/>
        <w:jc w:val="both"/>
        <w:rPr>
          <w:rFonts w:ascii="Times New Roman" w:hAnsi="Times New Roman"/>
          <w:sz w:val="24"/>
          <w:szCs w:val="24"/>
        </w:rPr>
      </w:pPr>
    </w:p>
    <w:p w14:paraId="786FB643" w14:textId="2072D117" w:rsidR="00F326E5" w:rsidRPr="00015208" w:rsidRDefault="00F326E5" w:rsidP="00965872">
      <w:pPr>
        <w:pStyle w:val="NoSpacing"/>
        <w:ind w:left="720"/>
        <w:jc w:val="both"/>
        <w:rPr>
          <w:rFonts w:ascii="Times New Roman" w:hAnsi="Times New Roman"/>
          <w:sz w:val="24"/>
          <w:szCs w:val="24"/>
        </w:rPr>
      </w:pPr>
      <w:r w:rsidRPr="00015208">
        <w:rPr>
          <w:rFonts w:ascii="Times New Roman" w:hAnsi="Times New Roman"/>
          <w:sz w:val="24"/>
          <w:szCs w:val="24"/>
        </w:rPr>
        <w:t xml:space="preserve">“Accordingly, we conclude the Board properly determined that Rogow was ineligible for accidental death benefits because he was not a member in active service at the time of his death, as required by N.J.S.A. 43:16A-10,but was retired and receiving an accidental disability retirement allowance. The legislative history supports the Board's decision.” </w:t>
      </w:r>
    </w:p>
    <w:p w14:paraId="70B01881" w14:textId="1AE3A045" w:rsidR="00F326E5" w:rsidRPr="00015208" w:rsidRDefault="00965872" w:rsidP="00965872">
      <w:pPr>
        <w:pStyle w:val="NoSpacing"/>
        <w:ind w:firstLine="720"/>
        <w:jc w:val="both"/>
        <w:rPr>
          <w:rFonts w:ascii="Times New Roman" w:hAnsi="Times New Roman"/>
          <w:b/>
          <w:sz w:val="24"/>
          <w:szCs w:val="24"/>
        </w:rPr>
      </w:pPr>
      <w:hyperlink r:id="rId603" w:history="1">
        <w:r w:rsidRPr="002F304C">
          <w:rPr>
            <w:rStyle w:val="Hyperlink"/>
            <w:rFonts w:ascii="Times New Roman" w:hAnsi="Times New Roman"/>
            <w:sz w:val="24"/>
            <w:szCs w:val="24"/>
          </w:rPr>
          <w:t>https://njcourts.gov/attorneys/assets/opinions/appellate/unpublished/a1346-17.pdf</w:t>
        </w:r>
      </w:hyperlink>
      <w:r w:rsidR="00F326E5" w:rsidRPr="00015208">
        <w:rPr>
          <w:rFonts w:ascii="Times New Roman" w:hAnsi="Times New Roman"/>
          <w:sz w:val="24"/>
          <w:szCs w:val="24"/>
        </w:rPr>
        <w:t xml:space="preserve"> </w:t>
      </w:r>
    </w:p>
    <w:p w14:paraId="4492F1C6" w14:textId="77777777" w:rsidR="00C17A9D" w:rsidRDefault="00C17A9D" w:rsidP="00F326E5">
      <w:pPr>
        <w:pStyle w:val="NoSpacing"/>
        <w:rPr>
          <w:b/>
          <w:sz w:val="24"/>
          <w:szCs w:val="24"/>
        </w:rPr>
      </w:pPr>
    </w:p>
    <w:p w14:paraId="317CAACE" w14:textId="6E52EFFB" w:rsidR="0036327D" w:rsidRPr="0036327D" w:rsidRDefault="0036327D" w:rsidP="00F326E5">
      <w:pPr>
        <w:pStyle w:val="NoSpacing"/>
        <w:rPr>
          <w:rFonts w:ascii="Times New Roman" w:hAnsi="Times New Roman"/>
          <w:b/>
          <w:bCs/>
          <w:sz w:val="24"/>
          <w:szCs w:val="24"/>
        </w:rPr>
      </w:pPr>
      <w:r w:rsidRPr="0036327D">
        <w:rPr>
          <w:rFonts w:ascii="Times New Roman" w:hAnsi="Times New Roman"/>
          <w:b/>
          <w:bCs/>
          <w:sz w:val="24"/>
          <w:szCs w:val="24"/>
        </w:rPr>
        <w:t>Legal Lesson Learned: Courts will enforce the plain language of statutes, particularly when the language is supported by the legislative history of the statute</w:t>
      </w:r>
    </w:p>
    <w:p w14:paraId="328DE714" w14:textId="77777777" w:rsidR="0036327D" w:rsidRDefault="0036327D" w:rsidP="00F326E5">
      <w:pPr>
        <w:pStyle w:val="NoSpacing"/>
        <w:rPr>
          <w:bCs/>
          <w:sz w:val="24"/>
          <w:szCs w:val="24"/>
        </w:rPr>
      </w:pPr>
    </w:p>
    <w:bookmarkEnd w:id="91"/>
    <w:p w14:paraId="25EE5C5B" w14:textId="77777777" w:rsidR="00F326E5" w:rsidRPr="00A50673" w:rsidRDefault="00F326E5" w:rsidP="00F326E5">
      <w:pPr>
        <w:pStyle w:val="NoSpacing"/>
        <w:rPr>
          <w:b/>
          <w:sz w:val="24"/>
          <w:szCs w:val="24"/>
        </w:rPr>
      </w:pPr>
    </w:p>
    <w:p w14:paraId="4459DCAF" w14:textId="77777777" w:rsidR="00F326E5" w:rsidRDefault="00F326E5" w:rsidP="00F326E5">
      <w:pPr>
        <w:rPr>
          <w:rFonts w:ascii="Times New Roman" w:hAnsi="Times New Roman"/>
          <w:sz w:val="24"/>
          <w:szCs w:val="24"/>
        </w:rPr>
      </w:pPr>
    </w:p>
    <w:p w14:paraId="4674064E" w14:textId="75180BBE" w:rsidR="00F326E5" w:rsidRDefault="00EF1133" w:rsidP="00F326E5">
      <w:pPr>
        <w:pStyle w:val="NoSpacing"/>
        <w:rPr>
          <w:sz w:val="24"/>
          <w:szCs w:val="24"/>
        </w:rPr>
      </w:pPr>
      <w:r w:rsidRPr="00791CA3">
        <w:rPr>
          <w:rFonts w:ascii="Arial Black" w:hAnsi="Arial Black"/>
          <w:sz w:val="24"/>
          <w:szCs w:val="24"/>
        </w:rPr>
        <w:t>2-1</w:t>
      </w:r>
      <w:r>
        <w:rPr>
          <w:rFonts w:ascii="Arial Black" w:hAnsi="Arial Black"/>
          <w:sz w:val="24"/>
          <w:szCs w:val="24"/>
        </w:rPr>
        <w:t>2</w:t>
      </w:r>
    </w:p>
    <w:p w14:paraId="6C22CB48" w14:textId="77777777" w:rsidR="00F326E5" w:rsidRDefault="00F326E5" w:rsidP="00F326E5">
      <w:pPr>
        <w:pStyle w:val="NoSpacing"/>
        <w:rPr>
          <w:sz w:val="24"/>
          <w:szCs w:val="24"/>
        </w:rPr>
      </w:pPr>
    </w:p>
    <w:p w14:paraId="0DDD670B" w14:textId="26210874" w:rsidR="00F326E5" w:rsidRPr="00724064" w:rsidRDefault="00F326E5" w:rsidP="00F326E5">
      <w:pPr>
        <w:pStyle w:val="NoSpacing"/>
        <w:rPr>
          <w:rFonts w:ascii="Arial Black" w:hAnsi="Arial Black"/>
          <w:b/>
          <w:sz w:val="28"/>
          <w:szCs w:val="28"/>
        </w:rPr>
      </w:pPr>
      <w:bookmarkStart w:id="114" w:name="_Hlk7340697"/>
      <w:r w:rsidRPr="00724064">
        <w:rPr>
          <w:rFonts w:ascii="Arial Black" w:hAnsi="Arial Black"/>
          <w:b/>
          <w:sz w:val="28"/>
          <w:szCs w:val="28"/>
        </w:rPr>
        <w:t>IL</w:t>
      </w:r>
      <w:r>
        <w:rPr>
          <w:rFonts w:ascii="Arial Black" w:hAnsi="Arial Black"/>
          <w:b/>
          <w:sz w:val="28"/>
          <w:szCs w:val="28"/>
        </w:rPr>
        <w:t xml:space="preserve">: </w:t>
      </w:r>
      <w:r w:rsidRPr="00724064">
        <w:rPr>
          <w:rFonts w:ascii="Arial Black" w:hAnsi="Arial Black"/>
          <w:b/>
          <w:sz w:val="28"/>
          <w:szCs w:val="28"/>
        </w:rPr>
        <w:t>FF WITH PROSTATE CANCER</w:t>
      </w:r>
      <w:r>
        <w:rPr>
          <w:rFonts w:ascii="Arial Black" w:hAnsi="Arial Black"/>
          <w:b/>
          <w:sz w:val="28"/>
          <w:szCs w:val="28"/>
        </w:rPr>
        <w:t xml:space="preserve"> - </w:t>
      </w:r>
      <w:r w:rsidRPr="00724064">
        <w:rPr>
          <w:rFonts w:ascii="Arial Black" w:hAnsi="Arial Black"/>
          <w:b/>
          <w:sz w:val="28"/>
          <w:szCs w:val="28"/>
        </w:rPr>
        <w:t>DENIED COVERAGE</w:t>
      </w:r>
    </w:p>
    <w:p w14:paraId="01C6DB67" w14:textId="77777777" w:rsidR="00F326E5" w:rsidRPr="0036327D" w:rsidRDefault="00F326E5" w:rsidP="00F326E5">
      <w:pPr>
        <w:rPr>
          <w:rFonts w:ascii="Times New Roman" w:eastAsia="Times New Roman" w:hAnsi="Times New Roman"/>
          <w:sz w:val="24"/>
          <w:szCs w:val="24"/>
        </w:rPr>
      </w:pPr>
      <w:r w:rsidRPr="0036327D">
        <w:rPr>
          <w:rFonts w:ascii="Times New Roman" w:eastAsia="Times New Roman" w:hAnsi="Times New Roman"/>
          <w:sz w:val="24"/>
          <w:szCs w:val="24"/>
        </w:rPr>
        <w:t xml:space="preserve">On Nov. 14, 2018, in </w:t>
      </w:r>
      <w:r w:rsidRPr="0036327D">
        <w:rPr>
          <w:rFonts w:ascii="Times New Roman" w:eastAsia="Times New Roman" w:hAnsi="Times New Roman"/>
          <w:sz w:val="24"/>
          <w:szCs w:val="24"/>
          <w:u w:val="single"/>
        </w:rPr>
        <w:t>Clifford A. Ekkert v. Illinois Workers Compensation Commission and Village of Oak Brook</w:t>
      </w:r>
      <w:r w:rsidRPr="0036327D">
        <w:rPr>
          <w:rFonts w:ascii="Times New Roman" w:eastAsia="Times New Roman" w:hAnsi="Times New Roman"/>
          <w:sz w:val="24"/>
          <w:szCs w:val="24"/>
        </w:rPr>
        <w:t xml:space="preserve">, the Appellate Court of Illinois, Second District, Workers Compensation Division, held (5 to 0) that firefighter Ekkert is not covered by workers comp: “claimant did not adequately set forth and develop an argument as to why the ultimate decision of the Commission was contrary to the manifest weight of the evidence.” </w:t>
      </w:r>
      <w:hyperlink r:id="rId604" w:history="1">
        <w:r w:rsidRPr="0036327D">
          <w:rPr>
            <w:rStyle w:val="Hyperlink"/>
            <w:rFonts w:ascii="Times New Roman" w:hAnsi="Times New Roman"/>
            <w:sz w:val="24"/>
            <w:szCs w:val="24"/>
          </w:rPr>
          <w:t>http://www.illinoiscourts.gov/R23_Orders/WorkersComp/2018/2170447WC_R23.pdf</w:t>
        </w:r>
      </w:hyperlink>
      <w:r w:rsidRPr="0036327D">
        <w:rPr>
          <w:rFonts w:ascii="Times New Roman" w:eastAsia="Times New Roman" w:hAnsi="Times New Roman"/>
          <w:sz w:val="24"/>
          <w:szCs w:val="24"/>
        </w:rPr>
        <w:t xml:space="preserve"> </w:t>
      </w:r>
    </w:p>
    <w:p w14:paraId="44DBC00E" w14:textId="77777777" w:rsidR="00F326E5" w:rsidRPr="0036327D" w:rsidRDefault="00F326E5" w:rsidP="00F326E5">
      <w:pPr>
        <w:pStyle w:val="ListParagraph"/>
        <w:ind w:left="0"/>
        <w:rPr>
          <w:rFonts w:ascii="Times New Roman" w:eastAsia="Times New Roman" w:hAnsi="Times New Roman" w:cs="Times New Roman"/>
          <w:b/>
          <w:sz w:val="24"/>
          <w:szCs w:val="24"/>
        </w:rPr>
      </w:pPr>
      <w:r w:rsidRPr="0036327D">
        <w:rPr>
          <w:rFonts w:ascii="Times New Roman" w:eastAsia="Times New Roman" w:hAnsi="Times New Roman" w:cs="Times New Roman"/>
          <w:b/>
          <w:sz w:val="24"/>
          <w:szCs w:val="24"/>
        </w:rPr>
        <w:t xml:space="preserve">Legal Lessons Learned:  A firefighter with prostate cancer, seeking </w:t>
      </w:r>
      <w:proofErr w:type="gramStart"/>
      <w:r w:rsidRPr="0036327D">
        <w:rPr>
          <w:rFonts w:ascii="Times New Roman" w:eastAsia="Times New Roman" w:hAnsi="Times New Roman" w:cs="Times New Roman"/>
          <w:b/>
          <w:sz w:val="24"/>
          <w:szCs w:val="24"/>
        </w:rPr>
        <w:t>workers</w:t>
      </w:r>
      <w:proofErr w:type="gramEnd"/>
      <w:r w:rsidRPr="0036327D">
        <w:rPr>
          <w:rFonts w:ascii="Times New Roman" w:eastAsia="Times New Roman" w:hAnsi="Times New Roman" w:cs="Times New Roman"/>
          <w:b/>
          <w:sz w:val="24"/>
          <w:szCs w:val="24"/>
        </w:rPr>
        <w:t xml:space="preserve"> compensation, needs to consult a board-certified expert in urology.  The statutory presumption is rebuttable by employer’s expert witness. </w:t>
      </w:r>
    </w:p>
    <w:bookmarkEnd w:id="114"/>
    <w:p w14:paraId="091725A2" w14:textId="77777777" w:rsidR="00965872" w:rsidRDefault="00965872" w:rsidP="00EF1133">
      <w:pPr>
        <w:pStyle w:val="NoSpacing"/>
        <w:rPr>
          <w:rFonts w:ascii="Arial Black" w:hAnsi="Arial Black"/>
          <w:sz w:val="24"/>
          <w:szCs w:val="24"/>
        </w:rPr>
      </w:pPr>
    </w:p>
    <w:p w14:paraId="4B630D31" w14:textId="77777777" w:rsidR="00965872" w:rsidRDefault="00965872" w:rsidP="00EF1133">
      <w:pPr>
        <w:pStyle w:val="NoSpacing"/>
        <w:rPr>
          <w:rFonts w:ascii="Arial Black" w:hAnsi="Arial Black"/>
          <w:sz w:val="24"/>
          <w:szCs w:val="24"/>
        </w:rPr>
      </w:pPr>
    </w:p>
    <w:p w14:paraId="4F3C8302" w14:textId="580B7A63" w:rsidR="00EF1133" w:rsidRPr="00791CA3" w:rsidRDefault="00EF1133" w:rsidP="00EF1133">
      <w:pPr>
        <w:pStyle w:val="NoSpacing"/>
        <w:rPr>
          <w:rFonts w:ascii="Arial Black" w:hAnsi="Arial Black"/>
          <w:sz w:val="24"/>
          <w:szCs w:val="24"/>
        </w:rPr>
      </w:pPr>
      <w:r w:rsidRPr="00791CA3">
        <w:rPr>
          <w:rFonts w:ascii="Arial Black" w:hAnsi="Arial Black"/>
          <w:sz w:val="24"/>
          <w:szCs w:val="24"/>
        </w:rPr>
        <w:t>2-1</w:t>
      </w:r>
      <w:r>
        <w:rPr>
          <w:rFonts w:ascii="Arial Black" w:hAnsi="Arial Black"/>
          <w:sz w:val="24"/>
          <w:szCs w:val="24"/>
        </w:rPr>
        <w:t>1</w:t>
      </w:r>
    </w:p>
    <w:p w14:paraId="1FFB4BB2" w14:textId="77777777" w:rsidR="00F326E5" w:rsidRDefault="00F326E5" w:rsidP="00F326E5">
      <w:pPr>
        <w:rPr>
          <w:sz w:val="24"/>
          <w:szCs w:val="24"/>
        </w:rPr>
      </w:pPr>
    </w:p>
    <w:p w14:paraId="0693AAD5" w14:textId="5C4E15BE" w:rsidR="00F326E5" w:rsidRPr="002B7386" w:rsidRDefault="00F326E5" w:rsidP="00F326E5">
      <w:pPr>
        <w:rPr>
          <w:sz w:val="24"/>
          <w:szCs w:val="24"/>
        </w:rPr>
      </w:pPr>
      <w:bookmarkStart w:id="115" w:name="_Hlk7340734"/>
      <w:r>
        <w:rPr>
          <w:rFonts w:ascii="Arial Black" w:hAnsi="Arial Black"/>
          <w:sz w:val="28"/>
          <w:szCs w:val="28"/>
        </w:rPr>
        <w:t>PA:  SKIN CANCER - FF DID NOT SHOW SCIENTIFIC EVIDENCE CONNECTING TO JOB</w:t>
      </w:r>
    </w:p>
    <w:p w14:paraId="7766ECFE" w14:textId="6A9B283F" w:rsidR="00965872" w:rsidRDefault="00F326E5" w:rsidP="00F326E5">
      <w:pPr>
        <w:pStyle w:val="NoSpacing"/>
        <w:rPr>
          <w:rFonts w:ascii="Times New Roman" w:eastAsia="Times New Roman" w:hAnsi="Times New Roman"/>
          <w:sz w:val="24"/>
          <w:szCs w:val="24"/>
        </w:rPr>
      </w:pPr>
      <w:r w:rsidRPr="0036327D">
        <w:rPr>
          <w:rFonts w:ascii="Times New Roman" w:hAnsi="Times New Roman"/>
          <w:sz w:val="24"/>
          <w:szCs w:val="24"/>
        </w:rPr>
        <w:t xml:space="preserve">On Oct. 18, 2018, in </w:t>
      </w:r>
      <w:r w:rsidRPr="0036327D">
        <w:rPr>
          <w:rFonts w:ascii="Times New Roman" w:eastAsia="Times New Roman" w:hAnsi="Times New Roman"/>
          <w:sz w:val="24"/>
          <w:szCs w:val="24"/>
          <w:u w:val="single"/>
        </w:rPr>
        <w:t>City Of Philadelphia Fire Department v. Workers’ Compensation Appeal Board (Appeal of Scott Sladek)</w:t>
      </w:r>
      <w:r w:rsidRPr="0036327D">
        <w:rPr>
          <w:rFonts w:ascii="Times New Roman" w:eastAsia="Times New Roman" w:hAnsi="Times New Roman"/>
          <w:sz w:val="24"/>
          <w:szCs w:val="24"/>
        </w:rPr>
        <w:t>, the Supreme Court of Pennsylvania (sitting in Eastern District, Philadelphia) held (4 to 3) that a firefighter with skin cancer must present scientific evidence to Workers Comp Board that his malignant melanoma is a type of cancer caused by the Group 1 carcinogens.  The City’s expert</w:t>
      </w:r>
      <w:r w:rsidR="00965872">
        <w:rPr>
          <w:rFonts w:ascii="Times New Roman" w:eastAsia="Times New Roman" w:hAnsi="Times New Roman"/>
          <w:sz w:val="24"/>
          <w:szCs w:val="24"/>
        </w:rPr>
        <w:t>:</w:t>
      </w:r>
      <w:r w:rsidRPr="0036327D">
        <w:rPr>
          <w:rFonts w:ascii="Times New Roman" w:eastAsia="Times New Roman" w:hAnsi="Times New Roman"/>
          <w:sz w:val="24"/>
          <w:szCs w:val="24"/>
        </w:rPr>
        <w:t xml:space="preserve"> </w:t>
      </w:r>
    </w:p>
    <w:p w14:paraId="622289F7" w14:textId="77777777" w:rsidR="00965872" w:rsidRDefault="00965872" w:rsidP="00F326E5">
      <w:pPr>
        <w:pStyle w:val="NoSpacing"/>
        <w:rPr>
          <w:rFonts w:ascii="Times New Roman" w:eastAsia="Times New Roman" w:hAnsi="Times New Roman"/>
          <w:sz w:val="24"/>
          <w:szCs w:val="24"/>
        </w:rPr>
      </w:pPr>
    </w:p>
    <w:p w14:paraId="6A0D6593" w14:textId="429ED372" w:rsidR="00F326E5" w:rsidRPr="0036327D" w:rsidRDefault="00F326E5" w:rsidP="00965872">
      <w:pPr>
        <w:pStyle w:val="NoSpacing"/>
        <w:ind w:left="720"/>
        <w:rPr>
          <w:rFonts w:ascii="Times New Roman" w:hAnsi="Times New Roman"/>
          <w:sz w:val="24"/>
          <w:szCs w:val="24"/>
        </w:rPr>
      </w:pPr>
      <w:r w:rsidRPr="0036327D">
        <w:rPr>
          <w:rFonts w:ascii="Times New Roman" w:eastAsia="Times New Roman" w:hAnsi="Times New Roman"/>
          <w:sz w:val="24"/>
          <w:szCs w:val="24"/>
        </w:rPr>
        <w:t xml:space="preserve">“Dr. Guidotti, testified that there is considerable epidemiological evidence to support a causative relationship between malignant melanoma of the skin and sunlight exposure (sunburn), but no similar evidence to support a causative connection between malignant melanoma and the inhalation of any substance.” </w:t>
      </w:r>
      <w:hyperlink r:id="rId605" w:anchor="search=%22SCOTT%20SLADEK%20%27Supreme%2bCourt%27%22" w:history="1">
        <w:r w:rsidRPr="0036327D">
          <w:rPr>
            <w:rStyle w:val="Hyperlink"/>
            <w:rFonts w:ascii="Times New Roman" w:hAnsi="Times New Roman"/>
            <w:sz w:val="24"/>
            <w:szCs w:val="24"/>
          </w:rPr>
          <w:t>http://www.pacourts.us/assets/opinions/Supreme/out/opinion%20announcing%20judgment%20of%20the%20court%20%20reversedremanded%20%2010373870143091493.pdf#search=%22SCOTT%20SLADEK%20%27Supreme%2bCourt%27%22</w:t>
        </w:r>
      </w:hyperlink>
    </w:p>
    <w:p w14:paraId="264DACD8" w14:textId="77777777" w:rsidR="00965872" w:rsidRDefault="00965872" w:rsidP="00F326E5">
      <w:pPr>
        <w:pStyle w:val="NoSpacing"/>
        <w:rPr>
          <w:rFonts w:ascii="Times New Roman" w:hAnsi="Times New Roman"/>
          <w:b/>
          <w:sz w:val="24"/>
          <w:szCs w:val="24"/>
        </w:rPr>
      </w:pPr>
    </w:p>
    <w:p w14:paraId="1EFE9B16" w14:textId="6213A27E" w:rsidR="00F326E5" w:rsidRPr="0036327D" w:rsidRDefault="00F326E5" w:rsidP="00F326E5">
      <w:pPr>
        <w:pStyle w:val="NoSpacing"/>
        <w:rPr>
          <w:rStyle w:val="Hyperlink"/>
          <w:rFonts w:ascii="Times New Roman" w:hAnsi="Times New Roman"/>
          <w:b/>
          <w:sz w:val="24"/>
          <w:szCs w:val="24"/>
        </w:rPr>
      </w:pPr>
      <w:r w:rsidRPr="0036327D">
        <w:rPr>
          <w:rFonts w:ascii="Times New Roman" w:hAnsi="Times New Roman"/>
          <w:b/>
          <w:sz w:val="24"/>
          <w:szCs w:val="24"/>
        </w:rPr>
        <w:t xml:space="preserve">Legal Lessons Learned:  There are statutory presumption statutes in many states; some cover specific cancers, such as leukemia, non-Hodgkin lymphoma, brain cancer, bladder cancer, and gastrointestinal cancer.   Other statutes do not specify the specific </w:t>
      </w:r>
      <w:proofErr w:type="gramStart"/>
      <w:r w:rsidRPr="0036327D">
        <w:rPr>
          <w:rFonts w:ascii="Times New Roman" w:hAnsi="Times New Roman"/>
          <w:b/>
          <w:sz w:val="24"/>
          <w:szCs w:val="24"/>
        </w:rPr>
        <w:t>cancers</w:t>
      </w:r>
      <w:proofErr w:type="gramEnd"/>
      <w:r w:rsidRPr="0036327D">
        <w:rPr>
          <w:rFonts w:ascii="Times New Roman" w:hAnsi="Times New Roman"/>
          <w:b/>
          <w:sz w:val="24"/>
          <w:szCs w:val="24"/>
        </w:rPr>
        <w:t xml:space="preserve">, and  </w:t>
      </w:r>
      <w:r w:rsidRPr="0036327D">
        <w:rPr>
          <w:rFonts w:ascii="Times New Roman" w:eastAsia="Times New Roman" w:hAnsi="Times New Roman"/>
          <w:b/>
          <w:sz w:val="24"/>
          <w:szCs w:val="24"/>
        </w:rPr>
        <w:t xml:space="preserve">epidemiological evidence may be required to win a </w:t>
      </w:r>
      <w:proofErr w:type="gramStart"/>
      <w:r w:rsidRPr="0036327D">
        <w:rPr>
          <w:rFonts w:ascii="Times New Roman" w:eastAsia="Times New Roman" w:hAnsi="Times New Roman"/>
          <w:b/>
          <w:sz w:val="24"/>
          <w:szCs w:val="24"/>
        </w:rPr>
        <w:t>workers</w:t>
      </w:r>
      <w:proofErr w:type="gramEnd"/>
      <w:r w:rsidRPr="0036327D">
        <w:rPr>
          <w:rFonts w:ascii="Times New Roman" w:eastAsia="Times New Roman" w:hAnsi="Times New Roman"/>
          <w:b/>
          <w:sz w:val="24"/>
          <w:szCs w:val="24"/>
        </w:rPr>
        <w:t xml:space="preserve"> comp claim.</w:t>
      </w:r>
      <w:r w:rsidRPr="0036327D">
        <w:rPr>
          <w:rStyle w:val="Hyperlink"/>
          <w:rFonts w:ascii="Times New Roman" w:hAnsi="Times New Roman"/>
          <w:sz w:val="24"/>
          <w:szCs w:val="24"/>
        </w:rPr>
        <w:t xml:space="preserve"> </w:t>
      </w:r>
    </w:p>
    <w:p w14:paraId="289056F0" w14:textId="77777777" w:rsidR="00F326E5" w:rsidRPr="0036327D" w:rsidRDefault="00F326E5" w:rsidP="00F326E5">
      <w:pPr>
        <w:pStyle w:val="NoSpacing"/>
        <w:rPr>
          <w:rFonts w:ascii="Times New Roman" w:hAnsi="Times New Roman"/>
          <w:b/>
          <w:sz w:val="24"/>
          <w:szCs w:val="24"/>
        </w:rPr>
      </w:pPr>
      <w:hyperlink r:id="rId606" w:history="1">
        <w:r w:rsidRPr="0036327D">
          <w:rPr>
            <w:rStyle w:val="Hyperlink"/>
            <w:rFonts w:ascii="Times New Roman" w:hAnsi="Times New Roman"/>
            <w:sz w:val="24"/>
            <w:szCs w:val="24"/>
          </w:rPr>
          <w:t>https://www.firstrespondercenter.org/cancer/toolsresources/presumptive-legislation-firefighter-cancer-state/</w:t>
        </w:r>
      </w:hyperlink>
    </w:p>
    <w:p w14:paraId="4463F4A7" w14:textId="77777777" w:rsidR="00F326E5" w:rsidRPr="0036327D" w:rsidRDefault="00F326E5" w:rsidP="00F326E5">
      <w:pPr>
        <w:pStyle w:val="NoSpacing"/>
        <w:rPr>
          <w:rFonts w:ascii="Times New Roman" w:hAnsi="Times New Roman"/>
          <w:b/>
          <w:sz w:val="24"/>
          <w:szCs w:val="24"/>
        </w:rPr>
      </w:pPr>
    </w:p>
    <w:p w14:paraId="7C687AD0" w14:textId="77777777" w:rsidR="00EF1133" w:rsidRDefault="00EF1133" w:rsidP="00EF1133">
      <w:pPr>
        <w:pStyle w:val="NoSpacing"/>
        <w:rPr>
          <w:rFonts w:ascii="Arial Black" w:hAnsi="Arial Black"/>
          <w:sz w:val="24"/>
          <w:szCs w:val="24"/>
        </w:rPr>
      </w:pPr>
    </w:p>
    <w:p w14:paraId="6E77FD57" w14:textId="66B6585B" w:rsidR="00EF1133" w:rsidRPr="00791CA3" w:rsidRDefault="00EF1133" w:rsidP="00EF1133">
      <w:pPr>
        <w:pStyle w:val="NoSpacing"/>
        <w:rPr>
          <w:rFonts w:ascii="Arial Black" w:hAnsi="Arial Black"/>
          <w:sz w:val="24"/>
          <w:szCs w:val="24"/>
        </w:rPr>
      </w:pPr>
      <w:r w:rsidRPr="00791CA3">
        <w:rPr>
          <w:rFonts w:ascii="Arial Black" w:hAnsi="Arial Black"/>
          <w:sz w:val="24"/>
          <w:szCs w:val="24"/>
        </w:rPr>
        <w:t>2-1</w:t>
      </w:r>
      <w:r>
        <w:rPr>
          <w:rFonts w:ascii="Arial Black" w:hAnsi="Arial Black"/>
          <w:sz w:val="24"/>
          <w:szCs w:val="24"/>
        </w:rPr>
        <w:t>0</w:t>
      </w:r>
    </w:p>
    <w:p w14:paraId="49AD7EBD" w14:textId="77777777" w:rsidR="00F326E5" w:rsidRDefault="00F326E5" w:rsidP="00F326E5">
      <w:pPr>
        <w:rPr>
          <w:sz w:val="24"/>
          <w:szCs w:val="24"/>
        </w:rPr>
      </w:pPr>
    </w:p>
    <w:p w14:paraId="05B5B75E" w14:textId="3AA4FE6E" w:rsidR="00F326E5" w:rsidRPr="00724064" w:rsidRDefault="00F326E5" w:rsidP="00F326E5">
      <w:pPr>
        <w:rPr>
          <w:rFonts w:ascii="Arial Black" w:hAnsi="Arial Black"/>
          <w:sz w:val="28"/>
          <w:szCs w:val="28"/>
        </w:rPr>
      </w:pPr>
      <w:bookmarkStart w:id="116" w:name="_Hlk7340805"/>
      <w:bookmarkEnd w:id="115"/>
      <w:r w:rsidRPr="00724064">
        <w:rPr>
          <w:rFonts w:ascii="Arial Black" w:hAnsi="Arial Black"/>
          <w:sz w:val="28"/>
          <w:szCs w:val="28"/>
        </w:rPr>
        <w:t>PA: Q-S</w:t>
      </w:r>
      <w:r>
        <w:rPr>
          <w:rFonts w:ascii="Arial Black" w:hAnsi="Arial Black"/>
          <w:sz w:val="28"/>
          <w:szCs w:val="28"/>
        </w:rPr>
        <w:t xml:space="preserve">IREN LAWSUIT DISMISSED – DID NOT PROVE WAS “UNREASONABLY DANGEROUS” </w:t>
      </w:r>
    </w:p>
    <w:p w14:paraId="5DC26B43" w14:textId="77777777" w:rsidR="00965872" w:rsidRDefault="00F326E5" w:rsidP="00F326E5">
      <w:pPr>
        <w:pStyle w:val="NoSpacing"/>
        <w:rPr>
          <w:rFonts w:ascii="Times New Roman" w:hAnsi="Times New Roman"/>
          <w:sz w:val="24"/>
          <w:szCs w:val="24"/>
        </w:rPr>
      </w:pPr>
      <w:r w:rsidRPr="0036327D">
        <w:rPr>
          <w:rFonts w:ascii="Times New Roman" w:hAnsi="Times New Roman"/>
          <w:sz w:val="24"/>
          <w:szCs w:val="24"/>
        </w:rPr>
        <w:lastRenderedPageBreak/>
        <w:t xml:space="preserve">On Aug. 20, 2018, in </w:t>
      </w:r>
      <w:r w:rsidRPr="0036327D">
        <w:rPr>
          <w:rFonts w:ascii="Times New Roman" w:hAnsi="Times New Roman"/>
          <w:sz w:val="24"/>
          <w:szCs w:val="24"/>
          <w:u w:val="single"/>
        </w:rPr>
        <w:t>Ronald Dunlap and Carl Roel v. Federal Signal Corporation, et al.</w:t>
      </w:r>
      <w:r w:rsidRPr="0036327D">
        <w:rPr>
          <w:rFonts w:ascii="Times New Roman" w:hAnsi="Times New Roman"/>
          <w:sz w:val="24"/>
          <w:szCs w:val="24"/>
        </w:rPr>
        <w:t xml:space="preserve">, the Superior Court of Pennsylvania, held (2 to 1) that the trial court properly granted summary judgment to the siren manufacturer.  The Court wrote: </w:t>
      </w:r>
    </w:p>
    <w:p w14:paraId="54A7E475" w14:textId="77777777" w:rsidR="00965872" w:rsidRDefault="00965872" w:rsidP="00F326E5">
      <w:pPr>
        <w:pStyle w:val="NoSpacing"/>
        <w:rPr>
          <w:rFonts w:ascii="Times New Roman" w:hAnsi="Times New Roman"/>
          <w:sz w:val="24"/>
          <w:szCs w:val="24"/>
        </w:rPr>
      </w:pPr>
    </w:p>
    <w:p w14:paraId="27484287" w14:textId="0699C85A" w:rsidR="00F326E5" w:rsidRPr="0036327D" w:rsidRDefault="00F326E5" w:rsidP="00965872">
      <w:pPr>
        <w:pStyle w:val="NoSpacing"/>
        <w:ind w:left="720"/>
        <w:rPr>
          <w:rFonts w:ascii="Times New Roman" w:hAnsi="Times New Roman"/>
          <w:sz w:val="24"/>
          <w:szCs w:val="24"/>
        </w:rPr>
      </w:pPr>
      <w:r w:rsidRPr="0036327D">
        <w:rPr>
          <w:rFonts w:ascii="Times New Roman" w:hAnsi="Times New Roman"/>
          <w:sz w:val="24"/>
          <w:szCs w:val="24"/>
        </w:rPr>
        <w:t xml:space="preserve">“Plaintiff firefighters’ acoustics expert, Mr. Struck, presented an alternative siren design that would afford greater protection for firefighters from hearing loss by adding a Bromley Shroud, which would direct the noise to the front of the fire truck and away from the cab. However, he focused solely on the benefits of the shrouded design to the firefighters occupying the cab of the firetruck; he did not opine whether that design would protect the </w:t>
      </w:r>
      <w:proofErr w:type="gramStart"/>
      <w:r w:rsidRPr="0036327D">
        <w:rPr>
          <w:rFonts w:ascii="Times New Roman" w:hAnsi="Times New Roman"/>
          <w:sz w:val="24"/>
          <w:szCs w:val="24"/>
        </w:rPr>
        <w:t>public.”</w:t>
      </w:r>
      <w:proofErr w:type="gramEnd"/>
    </w:p>
    <w:p w14:paraId="1A2D036C" w14:textId="4404788F" w:rsidR="00F326E5" w:rsidRPr="0036327D" w:rsidRDefault="00965872" w:rsidP="00965872">
      <w:pPr>
        <w:pStyle w:val="NoSpacing"/>
        <w:ind w:firstLine="720"/>
        <w:rPr>
          <w:rFonts w:ascii="Times New Roman" w:hAnsi="Times New Roman"/>
          <w:b/>
          <w:sz w:val="24"/>
          <w:szCs w:val="24"/>
        </w:rPr>
      </w:pPr>
      <w:hyperlink r:id="rId607" w:history="1">
        <w:r w:rsidRPr="002F304C">
          <w:rPr>
            <w:rStyle w:val="Hyperlink"/>
            <w:rFonts w:ascii="Times New Roman" w:hAnsi="Times New Roman"/>
            <w:sz w:val="24"/>
            <w:szCs w:val="24"/>
          </w:rPr>
          <w:t>https://cases.justia.com/pennsylvania/superior-court/2018-1747-wda-2016.pdf?ts=1534790308</w:t>
        </w:r>
      </w:hyperlink>
      <w:r w:rsidR="00F326E5" w:rsidRPr="0036327D">
        <w:rPr>
          <w:rFonts w:ascii="Times New Roman" w:hAnsi="Times New Roman"/>
          <w:b/>
          <w:sz w:val="24"/>
          <w:szCs w:val="24"/>
        </w:rPr>
        <w:t xml:space="preserve"> </w:t>
      </w:r>
    </w:p>
    <w:p w14:paraId="4809C827" w14:textId="77777777" w:rsidR="00965872" w:rsidRDefault="00965872" w:rsidP="00F326E5">
      <w:pPr>
        <w:pStyle w:val="NoSpacing"/>
        <w:rPr>
          <w:rFonts w:ascii="Times New Roman" w:hAnsi="Times New Roman"/>
          <w:b/>
          <w:sz w:val="24"/>
          <w:szCs w:val="24"/>
        </w:rPr>
      </w:pPr>
    </w:p>
    <w:p w14:paraId="4BE8F98F" w14:textId="7A91D79E" w:rsidR="00F326E5" w:rsidRPr="0036327D" w:rsidRDefault="00F326E5" w:rsidP="00F326E5">
      <w:pPr>
        <w:pStyle w:val="NoSpacing"/>
        <w:rPr>
          <w:rFonts w:ascii="Times New Roman" w:hAnsi="Times New Roman"/>
          <w:b/>
          <w:sz w:val="24"/>
          <w:szCs w:val="24"/>
        </w:rPr>
      </w:pPr>
      <w:r w:rsidRPr="0036327D">
        <w:rPr>
          <w:rFonts w:ascii="Times New Roman" w:hAnsi="Times New Roman"/>
          <w:b/>
          <w:sz w:val="24"/>
          <w:szCs w:val="24"/>
        </w:rPr>
        <w:t xml:space="preserve">Legal Lesson Learned:  Hearing loss is a serious issue in fire and EMS; hearing protection should be worn when the siren is activated. </w:t>
      </w:r>
    </w:p>
    <w:p w14:paraId="43BACD0C" w14:textId="77777777" w:rsidR="00F326E5" w:rsidRDefault="00F326E5" w:rsidP="00F326E5">
      <w:pPr>
        <w:pStyle w:val="NoSpacing"/>
        <w:rPr>
          <w:b/>
          <w:sz w:val="24"/>
          <w:szCs w:val="24"/>
        </w:rPr>
      </w:pPr>
    </w:p>
    <w:p w14:paraId="0765FBC2" w14:textId="77777777" w:rsidR="00EF1133" w:rsidRDefault="00EF1133" w:rsidP="00EF1133">
      <w:pPr>
        <w:pStyle w:val="NoSpacing"/>
        <w:rPr>
          <w:rFonts w:ascii="Arial Black" w:hAnsi="Arial Black"/>
          <w:sz w:val="24"/>
          <w:szCs w:val="24"/>
        </w:rPr>
      </w:pPr>
      <w:bookmarkStart w:id="117" w:name="_Hlk7173123"/>
      <w:bookmarkEnd w:id="116"/>
    </w:p>
    <w:p w14:paraId="4863FA47" w14:textId="2B737541" w:rsidR="00EF1133" w:rsidRPr="00791CA3" w:rsidRDefault="00EF1133" w:rsidP="00EF1133">
      <w:pPr>
        <w:pStyle w:val="NoSpacing"/>
        <w:rPr>
          <w:rFonts w:ascii="Arial Black" w:hAnsi="Arial Black"/>
          <w:sz w:val="24"/>
          <w:szCs w:val="24"/>
        </w:rPr>
      </w:pPr>
      <w:r w:rsidRPr="00791CA3">
        <w:rPr>
          <w:rFonts w:ascii="Arial Black" w:hAnsi="Arial Black"/>
          <w:sz w:val="24"/>
          <w:szCs w:val="24"/>
        </w:rPr>
        <w:t>2-</w:t>
      </w:r>
      <w:r>
        <w:rPr>
          <w:rFonts w:ascii="Arial Black" w:hAnsi="Arial Black"/>
          <w:sz w:val="24"/>
          <w:szCs w:val="24"/>
        </w:rPr>
        <w:t>9</w:t>
      </w:r>
    </w:p>
    <w:p w14:paraId="2739ABC0" w14:textId="77777777" w:rsidR="00F326E5" w:rsidRDefault="00F326E5" w:rsidP="00F326E5">
      <w:pPr>
        <w:pStyle w:val="NoSpacing"/>
        <w:rPr>
          <w:sz w:val="24"/>
          <w:szCs w:val="24"/>
        </w:rPr>
      </w:pPr>
    </w:p>
    <w:p w14:paraId="6A7EB7B1" w14:textId="66C184B8" w:rsidR="00F326E5" w:rsidRDefault="00F326E5" w:rsidP="00F326E5">
      <w:pPr>
        <w:pStyle w:val="NoSpacing"/>
        <w:rPr>
          <w:rFonts w:ascii="Arial Black" w:hAnsi="Arial Black"/>
          <w:b/>
          <w:sz w:val="24"/>
          <w:szCs w:val="24"/>
        </w:rPr>
      </w:pPr>
      <w:bookmarkStart w:id="118" w:name="_Hlk7340860"/>
      <w:r w:rsidRPr="00724064">
        <w:rPr>
          <w:rFonts w:ascii="Arial Black" w:hAnsi="Arial Black"/>
          <w:b/>
          <w:sz w:val="28"/>
          <w:szCs w:val="28"/>
        </w:rPr>
        <w:t>PA: H</w:t>
      </w:r>
      <w:r>
        <w:rPr>
          <w:rFonts w:ascii="Arial Black" w:hAnsi="Arial Black"/>
          <w:b/>
          <w:sz w:val="28"/>
          <w:szCs w:val="28"/>
        </w:rPr>
        <w:t xml:space="preserve">EARING LOSS LAWSUIT DROPPED - PLANITIFF’S ATTORNEY MUST PAY DEF. ATTORNEY FEES </w:t>
      </w:r>
    </w:p>
    <w:p w14:paraId="1A5A046E" w14:textId="77777777" w:rsidR="00F326E5" w:rsidRPr="0036327D" w:rsidRDefault="00F326E5" w:rsidP="00F326E5">
      <w:pPr>
        <w:rPr>
          <w:rFonts w:ascii="Times New Roman" w:eastAsia="Times New Roman" w:hAnsi="Times New Roman"/>
          <w:sz w:val="24"/>
          <w:szCs w:val="24"/>
        </w:rPr>
      </w:pPr>
      <w:r w:rsidRPr="0036327D">
        <w:rPr>
          <w:rFonts w:ascii="Times New Roman" w:eastAsia="Times New Roman" w:hAnsi="Times New Roman"/>
          <w:sz w:val="24"/>
          <w:szCs w:val="24"/>
        </w:rPr>
        <w:t xml:space="preserve">On June 20, 2018, in </w:t>
      </w:r>
      <w:r w:rsidRPr="0036327D">
        <w:rPr>
          <w:rFonts w:ascii="Times New Roman" w:eastAsia="Times New Roman" w:hAnsi="Times New Roman"/>
          <w:sz w:val="24"/>
          <w:szCs w:val="24"/>
          <w:u w:val="single"/>
        </w:rPr>
        <w:t>Gerald Carroll, et al. v. Federal Signal Corporation, et al</w:t>
      </w:r>
      <w:r w:rsidRPr="0036327D">
        <w:rPr>
          <w:rFonts w:ascii="Times New Roman" w:eastAsia="Times New Roman" w:hAnsi="Times New Roman"/>
          <w:sz w:val="24"/>
          <w:szCs w:val="24"/>
        </w:rPr>
        <w:t>., the U.S. Court of Appeals for the 3</w:t>
      </w:r>
      <w:r w:rsidRPr="0036327D">
        <w:rPr>
          <w:rFonts w:ascii="Times New Roman" w:eastAsia="Times New Roman" w:hAnsi="Times New Roman"/>
          <w:sz w:val="24"/>
          <w:szCs w:val="24"/>
          <w:vertAlign w:val="superscript"/>
        </w:rPr>
        <w:t>rd</w:t>
      </w:r>
      <w:r w:rsidRPr="0036327D">
        <w:rPr>
          <w:rFonts w:ascii="Times New Roman" w:eastAsia="Times New Roman" w:hAnsi="Times New Roman"/>
          <w:sz w:val="24"/>
          <w:szCs w:val="24"/>
        </w:rPr>
        <w:t xml:space="preserve"> Circuit (Philadelphia) held (3 to 0) that plaintiffs’ attorney must pay $127,823.47 in attorney fees. </w:t>
      </w:r>
    </w:p>
    <w:p w14:paraId="6A9519E4" w14:textId="35DF2451" w:rsidR="00F326E5" w:rsidRPr="0036327D" w:rsidRDefault="00F326E5" w:rsidP="00F326E5">
      <w:pPr>
        <w:ind w:left="720"/>
        <w:rPr>
          <w:rFonts w:ascii="Times New Roman" w:eastAsia="Times New Roman" w:hAnsi="Times New Roman"/>
          <w:sz w:val="24"/>
          <w:szCs w:val="24"/>
        </w:rPr>
      </w:pPr>
      <w:r w:rsidRPr="0036327D">
        <w:rPr>
          <w:rFonts w:ascii="Times New Roman" w:eastAsia="Times New Roman" w:hAnsi="Times New Roman"/>
          <w:sz w:val="24"/>
          <w:szCs w:val="24"/>
        </w:rPr>
        <w:t>“Although attorneys’ fees and costs are typically not awarded when a matter is voluntarily dismissed with prejudice, we conclude that such an award may be granted when exceptional circumstances exist. Exceptional circumstances include a litigant’s failure to perform a meaningful pre-suit investigation, as well as a repeated practice of bringing meritless claims and then dismissing them with prejudice after both the opposing party and the judicial system have incurred substantial costs.  Because such exceptional circumstances are present in this case, the District Court’s award will be affirmed.”</w:t>
      </w:r>
      <w:r w:rsidR="00965872">
        <w:rPr>
          <w:rFonts w:ascii="Times New Roman" w:eastAsia="Times New Roman" w:hAnsi="Times New Roman"/>
          <w:sz w:val="24"/>
          <w:szCs w:val="24"/>
        </w:rPr>
        <w:t xml:space="preserve"> </w:t>
      </w:r>
      <w:hyperlink r:id="rId608" w:history="1">
        <w:r w:rsidRPr="0036327D">
          <w:rPr>
            <w:rStyle w:val="Hyperlink"/>
            <w:rFonts w:ascii="Times New Roman" w:hAnsi="Times New Roman"/>
            <w:sz w:val="24"/>
            <w:szCs w:val="24"/>
          </w:rPr>
          <w:t>http://www2.ca3.uscourts.gov/opinarch/172183p.pdf</w:t>
        </w:r>
      </w:hyperlink>
      <w:r w:rsidRPr="0036327D">
        <w:rPr>
          <w:rFonts w:ascii="Times New Roman" w:eastAsia="Times New Roman" w:hAnsi="Times New Roman"/>
          <w:sz w:val="24"/>
          <w:szCs w:val="24"/>
        </w:rPr>
        <w:t xml:space="preserve"> </w:t>
      </w:r>
    </w:p>
    <w:p w14:paraId="750F4306" w14:textId="77777777" w:rsidR="00F326E5" w:rsidRPr="0036327D" w:rsidRDefault="00F326E5" w:rsidP="00F326E5">
      <w:pPr>
        <w:rPr>
          <w:rFonts w:ascii="Times New Roman" w:eastAsia="Times New Roman" w:hAnsi="Times New Roman"/>
          <w:b/>
          <w:sz w:val="24"/>
          <w:szCs w:val="24"/>
        </w:rPr>
      </w:pPr>
      <w:r w:rsidRPr="0036327D">
        <w:rPr>
          <w:rFonts w:ascii="Times New Roman" w:eastAsia="Times New Roman" w:hAnsi="Times New Roman"/>
          <w:b/>
          <w:sz w:val="24"/>
          <w:szCs w:val="24"/>
        </w:rPr>
        <w:t xml:space="preserve">Legal Lessons Learned:   Hearing loss is a real issue in fire &amp; EMS - wear hearing protection.  </w:t>
      </w:r>
    </w:p>
    <w:p w14:paraId="658B3F67" w14:textId="77777777" w:rsidR="00F326E5" w:rsidRPr="0036327D" w:rsidRDefault="00F326E5" w:rsidP="00F326E5">
      <w:pPr>
        <w:ind w:left="720"/>
        <w:rPr>
          <w:rFonts w:ascii="Times New Roman" w:eastAsia="Times New Roman" w:hAnsi="Times New Roman"/>
          <w:sz w:val="24"/>
          <w:szCs w:val="24"/>
        </w:rPr>
      </w:pPr>
      <w:r w:rsidRPr="0036327D">
        <w:rPr>
          <w:rFonts w:ascii="Times New Roman" w:eastAsia="Times New Roman" w:hAnsi="Times New Roman"/>
          <w:sz w:val="24"/>
          <w:szCs w:val="24"/>
        </w:rPr>
        <w:t xml:space="preserve">See NFPA 1582; </w:t>
      </w:r>
      <w:hyperlink r:id="rId609" w:history="1">
        <w:r w:rsidRPr="0036327D">
          <w:rPr>
            <w:rStyle w:val="Hyperlink"/>
            <w:rFonts w:ascii="Times New Roman" w:hAnsi="Times New Roman"/>
            <w:sz w:val="24"/>
            <w:szCs w:val="24"/>
          </w:rPr>
          <w:t>https://www.nfpa.org/codes-and-standards/all-codes-and-standards/list-of-codes-and-standards/detail?code=1582</w:t>
        </w:r>
      </w:hyperlink>
      <w:r w:rsidRPr="0036327D">
        <w:rPr>
          <w:rFonts w:ascii="Times New Roman" w:eastAsia="Times New Roman" w:hAnsi="Times New Roman"/>
          <w:sz w:val="24"/>
          <w:szCs w:val="24"/>
        </w:rPr>
        <w:t xml:space="preserve">  See also these research articles, “</w:t>
      </w:r>
      <w:r w:rsidRPr="0036327D">
        <w:rPr>
          <w:rFonts w:ascii="Times New Roman" w:hAnsi="Times New Roman"/>
          <w:sz w:val="24"/>
          <w:szCs w:val="24"/>
        </w:rPr>
        <w:t xml:space="preserve">Hearing Loss Prevention and a Survey of Firefighters,” </w:t>
      </w:r>
      <w:hyperlink r:id="rId610" w:history="1">
        <w:r w:rsidRPr="0036327D">
          <w:rPr>
            <w:rStyle w:val="Hyperlink"/>
            <w:rFonts w:ascii="Times New Roman" w:hAnsi="Times New Roman"/>
            <w:sz w:val="24"/>
            <w:szCs w:val="24"/>
          </w:rPr>
          <w:t>http://www.caohc.org/updatearticles/2017/Update_v29-i1.pdf</w:t>
        </w:r>
      </w:hyperlink>
      <w:r w:rsidRPr="0036327D">
        <w:rPr>
          <w:rFonts w:ascii="Times New Roman" w:hAnsi="Times New Roman"/>
          <w:sz w:val="24"/>
          <w:szCs w:val="24"/>
        </w:rPr>
        <w:t xml:space="preserve"> ;  “Hearing Conservation For Firefighters,”  Audiology Today (Nov / Dec. 2012): </w:t>
      </w:r>
      <w:r w:rsidRPr="0036327D">
        <w:rPr>
          <w:rFonts w:ascii="Times New Roman" w:eastAsia="Times New Roman" w:hAnsi="Times New Roman"/>
          <w:sz w:val="24"/>
          <w:szCs w:val="24"/>
        </w:rPr>
        <w:t xml:space="preserve">“This hearing loss is irreversible, but preventable by using hearing protection or managing the noise and noise exposure. Unfortunately, audiologists see this population only after the hearing loss has become debilitating.” </w:t>
      </w:r>
      <w:hyperlink r:id="rId611" w:history="1">
        <w:r w:rsidRPr="0036327D">
          <w:rPr>
            <w:rStyle w:val="Hyperlink"/>
            <w:rFonts w:ascii="Times New Roman" w:hAnsi="Times New Roman"/>
            <w:sz w:val="24"/>
            <w:szCs w:val="24"/>
          </w:rPr>
          <w:t>https://www.audiology.org/sites/default/files/audiologytoday/AT%2024.6%20-%20LOW.pdf</w:t>
        </w:r>
      </w:hyperlink>
    </w:p>
    <w:bookmarkEnd w:id="117"/>
    <w:bookmarkEnd w:id="118"/>
    <w:p w14:paraId="2A0C46EF" w14:textId="77777777" w:rsidR="00F326E5" w:rsidRPr="0036327D" w:rsidRDefault="00F326E5" w:rsidP="00F326E5">
      <w:pPr>
        <w:pStyle w:val="NoSpacing"/>
        <w:rPr>
          <w:rFonts w:ascii="Times New Roman" w:hAnsi="Times New Roman"/>
          <w:b/>
          <w:sz w:val="24"/>
          <w:szCs w:val="24"/>
        </w:rPr>
      </w:pPr>
    </w:p>
    <w:p w14:paraId="0F14A4C0" w14:textId="12EC2A28" w:rsidR="00EF1133" w:rsidRPr="00791CA3" w:rsidRDefault="00EF1133" w:rsidP="00EF1133">
      <w:pPr>
        <w:pStyle w:val="NoSpacing"/>
        <w:rPr>
          <w:rFonts w:ascii="Arial Black" w:hAnsi="Arial Black"/>
          <w:sz w:val="24"/>
          <w:szCs w:val="24"/>
        </w:rPr>
      </w:pPr>
      <w:r w:rsidRPr="00791CA3">
        <w:rPr>
          <w:rFonts w:ascii="Arial Black" w:hAnsi="Arial Black"/>
          <w:sz w:val="24"/>
          <w:szCs w:val="24"/>
        </w:rPr>
        <w:t>2-</w:t>
      </w:r>
      <w:r>
        <w:rPr>
          <w:rFonts w:ascii="Arial Black" w:hAnsi="Arial Black"/>
          <w:sz w:val="24"/>
          <w:szCs w:val="24"/>
        </w:rPr>
        <w:t>8</w:t>
      </w:r>
    </w:p>
    <w:p w14:paraId="340A039C" w14:textId="77777777" w:rsidR="00F326E5" w:rsidRDefault="00F326E5" w:rsidP="00F326E5">
      <w:pPr>
        <w:pStyle w:val="NoSpacing"/>
        <w:rPr>
          <w:rFonts w:ascii="Arial Black" w:hAnsi="Arial Black"/>
          <w:b/>
          <w:sz w:val="24"/>
          <w:szCs w:val="24"/>
        </w:rPr>
      </w:pPr>
    </w:p>
    <w:p w14:paraId="7F3947C4" w14:textId="290D80FB" w:rsidR="00F326E5" w:rsidRDefault="00F326E5" w:rsidP="00F326E5">
      <w:pPr>
        <w:pStyle w:val="NoSpacing"/>
        <w:rPr>
          <w:rFonts w:ascii="Arial Black" w:hAnsi="Arial Black"/>
          <w:b/>
          <w:sz w:val="28"/>
          <w:szCs w:val="28"/>
        </w:rPr>
      </w:pPr>
      <w:bookmarkStart w:id="119" w:name="_Hlk7340907"/>
      <w:r w:rsidRPr="009C2749">
        <w:rPr>
          <w:rFonts w:ascii="Arial Black" w:hAnsi="Arial Black"/>
          <w:b/>
          <w:sz w:val="28"/>
          <w:szCs w:val="28"/>
        </w:rPr>
        <w:t>MD</w:t>
      </w:r>
      <w:r>
        <w:rPr>
          <w:rFonts w:ascii="Arial Black" w:hAnsi="Arial Black"/>
          <w:b/>
          <w:sz w:val="28"/>
          <w:szCs w:val="28"/>
        </w:rPr>
        <w:t xml:space="preserve">: </w:t>
      </w:r>
      <w:r w:rsidRPr="009C2749">
        <w:rPr>
          <w:rFonts w:ascii="Arial Black" w:hAnsi="Arial Black"/>
          <w:b/>
          <w:sz w:val="28"/>
          <w:szCs w:val="28"/>
        </w:rPr>
        <w:t>P</w:t>
      </w:r>
      <w:r>
        <w:rPr>
          <w:rFonts w:ascii="Arial Black" w:hAnsi="Arial Black"/>
          <w:b/>
          <w:sz w:val="28"/>
          <w:szCs w:val="28"/>
        </w:rPr>
        <w:t xml:space="preserve">ART-TIME EMS INJURED FOOT ON DUTY – AVERAGE WEEKLY WAGE </w:t>
      </w:r>
    </w:p>
    <w:p w14:paraId="53833113" w14:textId="77777777" w:rsidR="00F326E5" w:rsidRPr="0036327D" w:rsidRDefault="00F326E5" w:rsidP="00F326E5">
      <w:pPr>
        <w:rPr>
          <w:rFonts w:ascii="Times New Roman" w:hAnsi="Times New Roman"/>
          <w:sz w:val="24"/>
          <w:szCs w:val="24"/>
        </w:rPr>
      </w:pPr>
      <w:r w:rsidRPr="0036327D">
        <w:rPr>
          <w:rFonts w:ascii="Times New Roman" w:hAnsi="Times New Roman"/>
          <w:sz w:val="24"/>
          <w:szCs w:val="24"/>
        </w:rPr>
        <w:t xml:space="preserve">On June 1, 2018, in </w:t>
      </w:r>
      <w:r w:rsidRPr="0036327D">
        <w:rPr>
          <w:rFonts w:ascii="Times New Roman" w:hAnsi="Times New Roman"/>
          <w:sz w:val="24"/>
          <w:szCs w:val="24"/>
          <w:u w:val="single"/>
        </w:rPr>
        <w:t>Justin Stine v. Montgomery County, Maryland</w:t>
      </w:r>
      <w:r w:rsidRPr="0036327D">
        <w:rPr>
          <w:rFonts w:ascii="Times New Roman" w:hAnsi="Times New Roman"/>
          <w:sz w:val="24"/>
          <w:szCs w:val="24"/>
        </w:rPr>
        <w:t xml:space="preserve">, the Court of Special Appeals of Maryland, held (3 to 0) that he is entitled to a jury trial to determine average weekly wage, which may include wages </w:t>
      </w:r>
      <w:r w:rsidRPr="0036327D">
        <w:rPr>
          <w:rFonts w:ascii="Times New Roman" w:hAnsi="Times New Roman"/>
          <w:sz w:val="24"/>
          <w:szCs w:val="24"/>
        </w:rPr>
        <w:lastRenderedPageBreak/>
        <w:t xml:space="preserve">earned working for private ambulance company rather than merely the wage he earned as a part-time EMT in the 14-weeks prior to the injury.  </w:t>
      </w:r>
      <w:hyperlink r:id="rId612" w:history="1">
        <w:r w:rsidRPr="0036327D">
          <w:rPr>
            <w:rStyle w:val="Hyperlink"/>
            <w:rFonts w:ascii="Times New Roman" w:hAnsi="Times New Roman"/>
            <w:sz w:val="24"/>
            <w:szCs w:val="24"/>
          </w:rPr>
          <w:t>https://caselaw.findlaw.com/md-court-of-special-appeals/1897275.html</w:t>
        </w:r>
      </w:hyperlink>
      <w:r w:rsidRPr="0036327D">
        <w:rPr>
          <w:rFonts w:ascii="Times New Roman" w:hAnsi="Times New Roman"/>
          <w:sz w:val="24"/>
          <w:szCs w:val="24"/>
        </w:rPr>
        <w:t xml:space="preserve"> </w:t>
      </w:r>
    </w:p>
    <w:p w14:paraId="6AFE7DF1" w14:textId="2C211E44" w:rsidR="00F326E5" w:rsidRPr="0036327D" w:rsidRDefault="00F326E5" w:rsidP="00F326E5">
      <w:pPr>
        <w:rPr>
          <w:rFonts w:ascii="Times New Roman" w:hAnsi="Times New Roman"/>
          <w:b/>
          <w:sz w:val="24"/>
          <w:szCs w:val="24"/>
        </w:rPr>
      </w:pPr>
      <w:r w:rsidRPr="0036327D">
        <w:rPr>
          <w:rFonts w:ascii="Times New Roman" w:hAnsi="Times New Roman"/>
          <w:b/>
          <w:sz w:val="24"/>
          <w:szCs w:val="24"/>
        </w:rPr>
        <w:t xml:space="preserve">Legal Lesson Learned:  helpful decision for part-time EMT, who </w:t>
      </w:r>
      <w:proofErr w:type="gramStart"/>
      <w:r w:rsidRPr="0036327D">
        <w:rPr>
          <w:rFonts w:ascii="Times New Roman" w:hAnsi="Times New Roman"/>
          <w:b/>
          <w:sz w:val="24"/>
          <w:szCs w:val="24"/>
        </w:rPr>
        <w:t>has</w:t>
      </w:r>
      <w:proofErr w:type="gramEnd"/>
      <w:r w:rsidRPr="0036327D">
        <w:rPr>
          <w:rFonts w:ascii="Times New Roman" w:hAnsi="Times New Roman"/>
          <w:b/>
          <w:sz w:val="24"/>
          <w:szCs w:val="24"/>
        </w:rPr>
        <w:t xml:space="preserve"> second part-time job while also going to school.</w:t>
      </w:r>
    </w:p>
    <w:bookmarkEnd w:id="119"/>
    <w:p w14:paraId="7AAB0CBD" w14:textId="77777777" w:rsidR="00EF1133" w:rsidRDefault="00EF1133" w:rsidP="00791CA3">
      <w:pPr>
        <w:pStyle w:val="NoSpacing"/>
        <w:rPr>
          <w:rFonts w:ascii="Arial Black" w:hAnsi="Arial Black"/>
          <w:sz w:val="24"/>
          <w:szCs w:val="24"/>
        </w:rPr>
      </w:pPr>
    </w:p>
    <w:p w14:paraId="607800F8" w14:textId="241CA9CE" w:rsidR="00791CA3" w:rsidRDefault="00791CA3" w:rsidP="00791CA3">
      <w:pPr>
        <w:pStyle w:val="NoSpacing"/>
        <w:rPr>
          <w:rFonts w:ascii="Arial Black" w:hAnsi="Arial Black"/>
          <w:sz w:val="24"/>
          <w:szCs w:val="24"/>
        </w:rPr>
      </w:pPr>
      <w:r w:rsidRPr="00791CA3">
        <w:rPr>
          <w:rFonts w:ascii="Arial Black" w:hAnsi="Arial Black"/>
          <w:sz w:val="24"/>
          <w:szCs w:val="24"/>
        </w:rPr>
        <w:t>2-</w:t>
      </w:r>
      <w:r>
        <w:rPr>
          <w:rFonts w:ascii="Arial Black" w:hAnsi="Arial Black"/>
          <w:sz w:val="24"/>
          <w:szCs w:val="24"/>
        </w:rPr>
        <w:t>7</w:t>
      </w:r>
    </w:p>
    <w:p w14:paraId="7A6C343B" w14:textId="77777777" w:rsidR="00EF1133" w:rsidRDefault="00EF1133" w:rsidP="00F326E5">
      <w:pPr>
        <w:pStyle w:val="NoSpacing"/>
        <w:rPr>
          <w:rFonts w:ascii="Arial Black" w:hAnsi="Arial Black"/>
          <w:sz w:val="28"/>
          <w:szCs w:val="28"/>
        </w:rPr>
      </w:pPr>
      <w:bookmarkStart w:id="120" w:name="_Hlk7340944"/>
    </w:p>
    <w:p w14:paraId="403270CD" w14:textId="10ED4B3E" w:rsidR="00F326E5" w:rsidRPr="00A765B5" w:rsidRDefault="00F326E5" w:rsidP="00F326E5">
      <w:pPr>
        <w:pStyle w:val="NoSpacing"/>
        <w:rPr>
          <w:rFonts w:ascii="Arial Black" w:hAnsi="Arial Black"/>
          <w:sz w:val="28"/>
          <w:szCs w:val="28"/>
        </w:rPr>
      </w:pPr>
      <w:r w:rsidRPr="00A765B5">
        <w:rPr>
          <w:rFonts w:ascii="Arial Black" w:hAnsi="Arial Black"/>
          <w:sz w:val="28"/>
          <w:szCs w:val="28"/>
        </w:rPr>
        <w:t>U.S. Department of Justice</w:t>
      </w:r>
      <w:r>
        <w:rPr>
          <w:rFonts w:ascii="Arial Black" w:hAnsi="Arial Black"/>
          <w:sz w:val="28"/>
          <w:szCs w:val="28"/>
        </w:rPr>
        <w:t xml:space="preserve">: </w:t>
      </w:r>
      <w:r w:rsidRPr="00A765B5">
        <w:rPr>
          <w:rFonts w:ascii="Arial Black" w:hAnsi="Arial Black"/>
          <w:sz w:val="28"/>
          <w:szCs w:val="28"/>
        </w:rPr>
        <w:t xml:space="preserve"> Improvements </w:t>
      </w:r>
      <w:proofErr w:type="gramStart"/>
      <w:r w:rsidRPr="00A765B5">
        <w:rPr>
          <w:rFonts w:ascii="Arial Black" w:hAnsi="Arial Black"/>
          <w:sz w:val="28"/>
          <w:szCs w:val="28"/>
        </w:rPr>
        <w:t>In</w:t>
      </w:r>
      <w:proofErr w:type="gramEnd"/>
      <w:r w:rsidRPr="00A765B5">
        <w:rPr>
          <w:rFonts w:ascii="Arial Black" w:hAnsi="Arial Black"/>
          <w:sz w:val="28"/>
          <w:szCs w:val="28"/>
        </w:rPr>
        <w:t xml:space="preserve"> Public Safety Officer Benefits Program</w:t>
      </w:r>
    </w:p>
    <w:p w14:paraId="6A1E31D3" w14:textId="77777777" w:rsidR="00F326E5" w:rsidRPr="0036327D" w:rsidRDefault="00F326E5" w:rsidP="00F326E5">
      <w:pPr>
        <w:rPr>
          <w:rFonts w:ascii="Times New Roman" w:eastAsia="Times New Roman" w:hAnsi="Times New Roman"/>
          <w:sz w:val="24"/>
          <w:szCs w:val="24"/>
        </w:rPr>
      </w:pPr>
      <w:r w:rsidRPr="0036327D">
        <w:rPr>
          <w:rFonts w:ascii="Times New Roman" w:eastAsia="Times New Roman" w:hAnsi="Times New Roman"/>
          <w:sz w:val="24"/>
          <w:szCs w:val="24"/>
        </w:rPr>
        <w:t>On May 15, 2018, the U.S. Department of Justice issued Press Release, summarizing the following improvements:</w:t>
      </w:r>
    </w:p>
    <w:p w14:paraId="236A6530" w14:textId="77777777" w:rsidR="00F326E5" w:rsidRPr="0036327D" w:rsidRDefault="00F326E5" w:rsidP="00F326E5">
      <w:pPr>
        <w:numPr>
          <w:ilvl w:val="0"/>
          <w:numId w:val="1"/>
        </w:numPr>
        <w:spacing w:before="100" w:beforeAutospacing="1" w:after="100" w:afterAutospacing="1" w:line="240" w:lineRule="auto"/>
        <w:rPr>
          <w:rFonts w:ascii="Times New Roman" w:eastAsia="Times New Roman" w:hAnsi="Times New Roman"/>
          <w:sz w:val="24"/>
          <w:szCs w:val="24"/>
        </w:rPr>
      </w:pPr>
      <w:r w:rsidRPr="0036327D">
        <w:rPr>
          <w:rFonts w:ascii="Times New Roman" w:eastAsia="Times New Roman" w:hAnsi="Times New Roman"/>
          <w:bCs/>
          <w:sz w:val="24"/>
          <w:szCs w:val="24"/>
        </w:rPr>
        <w:t>“Heart Attack, Stroke, and Vascular Rupture Claims:</w:t>
      </w:r>
      <w:r w:rsidRPr="0036327D">
        <w:rPr>
          <w:rFonts w:ascii="Times New Roman" w:eastAsia="Times New Roman" w:hAnsi="Times New Roman"/>
          <w:sz w:val="24"/>
          <w:szCs w:val="24"/>
        </w:rPr>
        <w:t xml:space="preserve"> The new rule helps implement a change in the law that reduces the need in many cases for families to submit difficult-to-find and costly medical records for their loved ones. This regulatory change alone positively impacts nearly one-third of the PSOB death claims filed each year.</w:t>
      </w:r>
    </w:p>
    <w:p w14:paraId="43B8ADBE" w14:textId="77777777" w:rsidR="00F326E5" w:rsidRPr="0036327D" w:rsidRDefault="00F326E5" w:rsidP="00F326E5">
      <w:pPr>
        <w:numPr>
          <w:ilvl w:val="0"/>
          <w:numId w:val="1"/>
        </w:numPr>
        <w:spacing w:before="100" w:beforeAutospacing="1" w:after="100" w:afterAutospacing="1" w:line="240" w:lineRule="auto"/>
        <w:rPr>
          <w:rFonts w:ascii="Times New Roman" w:eastAsia="Times New Roman" w:hAnsi="Times New Roman"/>
          <w:sz w:val="24"/>
          <w:szCs w:val="24"/>
        </w:rPr>
      </w:pPr>
      <w:r w:rsidRPr="0036327D">
        <w:rPr>
          <w:rFonts w:ascii="Times New Roman" w:eastAsia="Times New Roman" w:hAnsi="Times New Roman"/>
          <w:bCs/>
          <w:sz w:val="24"/>
          <w:szCs w:val="24"/>
        </w:rPr>
        <w:t xml:space="preserve">Filing Process:  </w:t>
      </w:r>
      <w:r w:rsidRPr="0036327D">
        <w:rPr>
          <w:rFonts w:ascii="Times New Roman" w:eastAsia="Times New Roman" w:hAnsi="Times New Roman"/>
          <w:sz w:val="24"/>
          <w:szCs w:val="24"/>
        </w:rPr>
        <w:t>The new rule includes administrative updates to make filing claims more straightforward and less burdensome for survivors and public safety agencies.</w:t>
      </w:r>
    </w:p>
    <w:p w14:paraId="1EEE1A8E" w14:textId="77777777" w:rsidR="00F326E5" w:rsidRPr="0036327D" w:rsidRDefault="00F326E5" w:rsidP="00F326E5">
      <w:pPr>
        <w:numPr>
          <w:ilvl w:val="0"/>
          <w:numId w:val="1"/>
        </w:numPr>
        <w:spacing w:before="100" w:beforeAutospacing="1" w:after="100" w:afterAutospacing="1" w:line="240" w:lineRule="auto"/>
        <w:rPr>
          <w:rFonts w:ascii="Times New Roman" w:eastAsia="Times New Roman" w:hAnsi="Times New Roman"/>
          <w:sz w:val="24"/>
          <w:szCs w:val="24"/>
        </w:rPr>
      </w:pPr>
      <w:r w:rsidRPr="0036327D">
        <w:rPr>
          <w:rFonts w:ascii="Times New Roman" w:eastAsia="Times New Roman" w:hAnsi="Times New Roman"/>
          <w:bCs/>
          <w:sz w:val="24"/>
          <w:szCs w:val="24"/>
        </w:rPr>
        <w:t xml:space="preserve">Law Enforcement and Firefighter Trainees: </w:t>
      </w:r>
      <w:r w:rsidRPr="0036327D">
        <w:rPr>
          <w:rFonts w:ascii="Times New Roman" w:eastAsia="Times New Roman" w:hAnsi="Times New Roman"/>
          <w:sz w:val="24"/>
          <w:szCs w:val="24"/>
        </w:rPr>
        <w:t>Recognizing the dangerous nature of law enforcement and fire suppression, and the rigorous training required to help keep communities safe, the new rule clarifies the coverage of certain individuals fatally or catastrophically injured during formal training provided by law enforcement and fire academies.</w:t>
      </w:r>
    </w:p>
    <w:p w14:paraId="2F7D8CD5" w14:textId="77777777" w:rsidR="00F326E5" w:rsidRPr="0036327D" w:rsidRDefault="00F326E5" w:rsidP="00F326E5">
      <w:pPr>
        <w:numPr>
          <w:ilvl w:val="0"/>
          <w:numId w:val="1"/>
        </w:numPr>
        <w:spacing w:before="100" w:beforeAutospacing="1" w:after="100" w:afterAutospacing="1" w:line="240" w:lineRule="auto"/>
        <w:rPr>
          <w:rFonts w:ascii="Times New Roman" w:eastAsia="Times New Roman" w:hAnsi="Times New Roman"/>
          <w:sz w:val="24"/>
          <w:szCs w:val="24"/>
        </w:rPr>
      </w:pPr>
      <w:r w:rsidRPr="0036327D">
        <w:rPr>
          <w:rFonts w:ascii="Times New Roman" w:eastAsia="Times New Roman" w:hAnsi="Times New Roman"/>
          <w:bCs/>
          <w:sz w:val="24"/>
          <w:szCs w:val="24"/>
        </w:rPr>
        <w:t>September 11th Exposure Claims:</w:t>
      </w:r>
      <w:r w:rsidRPr="0036327D">
        <w:rPr>
          <w:rFonts w:ascii="Times New Roman" w:eastAsia="Times New Roman" w:hAnsi="Times New Roman"/>
          <w:sz w:val="24"/>
          <w:szCs w:val="24"/>
        </w:rPr>
        <w:t xml:space="preserve"> The new rule facilitates the PSOB Program’s medical examiners’ review of the nearly 150 claims pending for certain public safety officers who responded to the September 11th attacks to assist in rescue, recovery, and clean-up efforts, and who were exposed to hazards and toxins resulting from the attacks.”</w:t>
      </w:r>
    </w:p>
    <w:p w14:paraId="7E9099A6" w14:textId="4EAB6944" w:rsidR="00F326E5" w:rsidRPr="0036327D" w:rsidRDefault="00965872" w:rsidP="00965872">
      <w:pPr>
        <w:ind w:left="360"/>
        <w:rPr>
          <w:rFonts w:ascii="Times New Roman" w:eastAsia="Times New Roman" w:hAnsi="Times New Roman"/>
          <w:sz w:val="24"/>
          <w:szCs w:val="24"/>
        </w:rPr>
      </w:pPr>
      <w:hyperlink r:id="rId613" w:history="1">
        <w:r w:rsidRPr="002F304C">
          <w:rPr>
            <w:rStyle w:val="Hyperlink"/>
            <w:rFonts w:ascii="Times New Roman" w:hAnsi="Times New Roman"/>
            <w:sz w:val="24"/>
            <w:szCs w:val="24"/>
          </w:rPr>
          <w:t>https://www.justice.gov/opa/pr/justice-department-announces-improvements-public-safety-officers-benefits-program</w:t>
        </w:r>
      </w:hyperlink>
      <w:r w:rsidR="00F326E5" w:rsidRPr="0036327D">
        <w:rPr>
          <w:rFonts w:ascii="Times New Roman" w:eastAsia="Times New Roman" w:hAnsi="Times New Roman"/>
          <w:sz w:val="24"/>
          <w:szCs w:val="24"/>
        </w:rPr>
        <w:t xml:space="preserve"> </w:t>
      </w:r>
    </w:p>
    <w:p w14:paraId="0C636015" w14:textId="77777777" w:rsidR="00F326E5" w:rsidRPr="0036327D" w:rsidRDefault="00F326E5" w:rsidP="00F326E5">
      <w:pPr>
        <w:rPr>
          <w:rFonts w:ascii="Times New Roman" w:eastAsia="Times New Roman" w:hAnsi="Times New Roman"/>
          <w:b/>
          <w:sz w:val="24"/>
          <w:szCs w:val="24"/>
        </w:rPr>
      </w:pPr>
      <w:r w:rsidRPr="0036327D">
        <w:rPr>
          <w:rFonts w:ascii="Times New Roman" w:eastAsia="Times New Roman" w:hAnsi="Times New Roman"/>
          <w:b/>
          <w:sz w:val="24"/>
          <w:szCs w:val="24"/>
        </w:rPr>
        <w:t xml:space="preserve">Legal Lessons Learned: Hopefully these new rules will expedite review of pending claims, including claims by public safety officers who responded to the Sept. 11 terrorist attacks and were exposed to toxins. </w:t>
      </w:r>
    </w:p>
    <w:p w14:paraId="5B69B2F6" w14:textId="77777777" w:rsidR="00F326E5" w:rsidRDefault="00F326E5" w:rsidP="00F326E5">
      <w:pPr>
        <w:rPr>
          <w:rFonts w:eastAsia="Times New Roman"/>
          <w:sz w:val="24"/>
          <w:szCs w:val="24"/>
        </w:rPr>
      </w:pPr>
    </w:p>
    <w:bookmarkEnd w:id="120"/>
    <w:p w14:paraId="01035D17" w14:textId="734B5C41" w:rsidR="00F326E5" w:rsidRDefault="00791CA3" w:rsidP="00791CA3">
      <w:pPr>
        <w:pStyle w:val="NoSpacing"/>
        <w:rPr>
          <w:rFonts w:ascii="Arial Black" w:hAnsi="Arial Black"/>
          <w:sz w:val="24"/>
          <w:szCs w:val="24"/>
        </w:rPr>
      </w:pPr>
      <w:r w:rsidRPr="00791CA3">
        <w:rPr>
          <w:rFonts w:ascii="Arial Black" w:hAnsi="Arial Black"/>
          <w:sz w:val="24"/>
          <w:szCs w:val="24"/>
        </w:rPr>
        <w:t>2-</w:t>
      </w:r>
      <w:r>
        <w:rPr>
          <w:rFonts w:ascii="Arial Black" w:hAnsi="Arial Black"/>
          <w:sz w:val="24"/>
          <w:szCs w:val="24"/>
        </w:rPr>
        <w:t>6</w:t>
      </w:r>
    </w:p>
    <w:p w14:paraId="2D1F1EE1" w14:textId="77777777" w:rsidR="00791CA3" w:rsidRDefault="00791CA3" w:rsidP="00791CA3">
      <w:pPr>
        <w:pStyle w:val="NoSpacing"/>
        <w:rPr>
          <w:sz w:val="24"/>
          <w:szCs w:val="24"/>
        </w:rPr>
      </w:pPr>
    </w:p>
    <w:p w14:paraId="7916E709" w14:textId="27D3F027" w:rsidR="00F326E5" w:rsidRDefault="00F326E5" w:rsidP="00F326E5">
      <w:pPr>
        <w:rPr>
          <w:rFonts w:ascii="Arial Black" w:hAnsi="Arial Black"/>
          <w:b/>
          <w:sz w:val="28"/>
          <w:szCs w:val="28"/>
        </w:rPr>
      </w:pPr>
      <w:bookmarkStart w:id="121" w:name="_Hlk7340980"/>
      <w:r w:rsidRPr="002E3997">
        <w:rPr>
          <w:rFonts w:ascii="Arial Black" w:hAnsi="Arial Black"/>
          <w:sz w:val="28"/>
          <w:szCs w:val="28"/>
        </w:rPr>
        <w:t xml:space="preserve">KY: </w:t>
      </w:r>
      <w:r>
        <w:rPr>
          <w:rFonts w:ascii="Arial Black" w:hAnsi="Arial Black"/>
          <w:sz w:val="28"/>
          <w:szCs w:val="28"/>
        </w:rPr>
        <w:t>LINE OF DUTY DEATH – “</w:t>
      </w:r>
      <w:proofErr w:type="gramStart"/>
      <w:r>
        <w:rPr>
          <w:rFonts w:ascii="Arial Black" w:hAnsi="Arial Black"/>
          <w:sz w:val="28"/>
          <w:szCs w:val="28"/>
        </w:rPr>
        <w:t>STEP CHILD</w:t>
      </w:r>
      <w:proofErr w:type="gramEnd"/>
      <w:r>
        <w:rPr>
          <w:rFonts w:ascii="Arial Black" w:hAnsi="Arial Black"/>
          <w:sz w:val="28"/>
          <w:szCs w:val="28"/>
        </w:rPr>
        <w:t xml:space="preserve">” ENTITLED TO FREE TUITION AT STATE COLLEGES  </w:t>
      </w:r>
    </w:p>
    <w:p w14:paraId="7EAA4080" w14:textId="77777777" w:rsidR="00F326E5" w:rsidRPr="0036327D" w:rsidRDefault="00F326E5" w:rsidP="00F326E5">
      <w:pPr>
        <w:rPr>
          <w:rFonts w:ascii="Times New Roman" w:eastAsia="Times New Roman" w:hAnsi="Times New Roman"/>
          <w:sz w:val="24"/>
          <w:szCs w:val="24"/>
        </w:rPr>
      </w:pPr>
      <w:r w:rsidRPr="0036327D">
        <w:rPr>
          <w:rFonts w:ascii="Times New Roman" w:hAnsi="Times New Roman"/>
          <w:sz w:val="24"/>
          <w:szCs w:val="24"/>
        </w:rPr>
        <w:t xml:space="preserve">On June 1, 2018, in </w:t>
      </w:r>
      <w:r w:rsidRPr="0036327D">
        <w:rPr>
          <w:rFonts w:ascii="Times New Roman" w:hAnsi="Times New Roman"/>
          <w:sz w:val="24"/>
          <w:szCs w:val="24"/>
          <w:u w:val="single"/>
        </w:rPr>
        <w:t>Miles Devon Skeens v. University of Louisville</w:t>
      </w:r>
      <w:r w:rsidRPr="0036327D">
        <w:rPr>
          <w:rFonts w:ascii="Times New Roman" w:hAnsi="Times New Roman"/>
          <w:sz w:val="24"/>
          <w:szCs w:val="24"/>
        </w:rPr>
        <w:t xml:space="preserve">, the Commonwealth of Kentucky Court of Appeals (3 to 0) held that </w:t>
      </w:r>
      <w:r w:rsidRPr="0036327D">
        <w:rPr>
          <w:rFonts w:ascii="Times New Roman" w:eastAsia="Times New Roman" w:hAnsi="Times New Roman"/>
          <w:sz w:val="24"/>
          <w:szCs w:val="24"/>
        </w:rPr>
        <w:t xml:space="preserve">a stepchild qualifies as a “child” under Kentucky Revised Statutes (“KRS”) 164.2841 which grants free tuition at state-supported schools for survivors of firefighters killed in the line of duty. </w:t>
      </w:r>
      <w:hyperlink r:id="rId614" w:history="1">
        <w:r w:rsidRPr="0036327D">
          <w:rPr>
            <w:rStyle w:val="Hyperlink"/>
            <w:rFonts w:ascii="Times New Roman" w:hAnsi="Times New Roman"/>
            <w:sz w:val="24"/>
            <w:szCs w:val="24"/>
          </w:rPr>
          <w:t>https://cases.justia.com/kentucky/court-of-appeals/2018-2016-ca-001534-mr.pdf?ts=1527861797</w:t>
        </w:r>
      </w:hyperlink>
      <w:r w:rsidRPr="0036327D">
        <w:rPr>
          <w:rFonts w:ascii="Times New Roman" w:eastAsia="Times New Roman" w:hAnsi="Times New Roman"/>
          <w:sz w:val="24"/>
          <w:szCs w:val="24"/>
        </w:rPr>
        <w:t xml:space="preserve"> </w:t>
      </w:r>
    </w:p>
    <w:p w14:paraId="64795A05" w14:textId="77777777" w:rsidR="00F326E5" w:rsidRPr="00724064" w:rsidRDefault="00F326E5" w:rsidP="00F326E5">
      <w:pPr>
        <w:rPr>
          <w:rFonts w:eastAsia="Times New Roman"/>
          <w:b/>
          <w:sz w:val="24"/>
          <w:szCs w:val="24"/>
        </w:rPr>
      </w:pPr>
      <w:r w:rsidRPr="0036327D">
        <w:rPr>
          <w:rFonts w:ascii="Times New Roman" w:eastAsia="Times New Roman" w:hAnsi="Times New Roman"/>
          <w:b/>
          <w:sz w:val="24"/>
          <w:szCs w:val="24"/>
        </w:rPr>
        <w:lastRenderedPageBreak/>
        <w:t>Legal Lesson Learned: Great decision; what was University of Louisville thinking?</w:t>
      </w:r>
    </w:p>
    <w:bookmarkEnd w:id="121"/>
    <w:p w14:paraId="1E7F64D5" w14:textId="77777777" w:rsidR="00F326E5" w:rsidRPr="001521C4" w:rsidRDefault="00F326E5" w:rsidP="00F326E5">
      <w:pPr>
        <w:rPr>
          <w:rFonts w:eastAsia="Times New Roman"/>
          <w:b/>
          <w:sz w:val="24"/>
          <w:szCs w:val="24"/>
        </w:rPr>
      </w:pPr>
      <w:r>
        <w:rPr>
          <w:rFonts w:eastAsia="Times New Roman"/>
          <w:b/>
          <w:sz w:val="24"/>
          <w:szCs w:val="24"/>
        </w:rPr>
        <w:t xml:space="preserve"> </w:t>
      </w:r>
    </w:p>
    <w:p w14:paraId="184C1241" w14:textId="77777777" w:rsidR="00F326E5" w:rsidRDefault="00F326E5" w:rsidP="00F326E5">
      <w:pPr>
        <w:pStyle w:val="NoSpacing"/>
        <w:rPr>
          <w:rFonts w:ascii="Arial Black" w:hAnsi="Arial Black"/>
          <w:b/>
          <w:sz w:val="24"/>
          <w:szCs w:val="24"/>
        </w:rPr>
      </w:pPr>
    </w:p>
    <w:p w14:paraId="717BCCD9" w14:textId="385AF2FE" w:rsidR="00791CA3" w:rsidRDefault="00791CA3" w:rsidP="00791CA3">
      <w:pPr>
        <w:pStyle w:val="NoSpacing"/>
        <w:rPr>
          <w:rFonts w:ascii="Arial Black" w:hAnsi="Arial Black"/>
          <w:sz w:val="28"/>
          <w:szCs w:val="28"/>
        </w:rPr>
      </w:pPr>
      <w:bookmarkStart w:id="122" w:name="_Hlk515115051"/>
      <w:bookmarkStart w:id="123" w:name="_Hlk7341042"/>
      <w:r w:rsidRPr="00791CA3">
        <w:rPr>
          <w:rFonts w:ascii="Arial Black" w:hAnsi="Arial Black"/>
          <w:sz w:val="24"/>
          <w:szCs w:val="24"/>
        </w:rPr>
        <w:t>2-</w:t>
      </w:r>
      <w:r>
        <w:rPr>
          <w:rFonts w:ascii="Arial Black" w:hAnsi="Arial Black"/>
          <w:sz w:val="24"/>
          <w:szCs w:val="24"/>
        </w:rPr>
        <w:t>5</w:t>
      </w:r>
    </w:p>
    <w:p w14:paraId="3964F70B" w14:textId="498AEB90" w:rsidR="00F326E5" w:rsidRPr="0026507F" w:rsidRDefault="00F326E5" w:rsidP="00F326E5">
      <w:pPr>
        <w:rPr>
          <w:rFonts w:ascii="Arial Black" w:hAnsi="Arial Black"/>
          <w:b/>
          <w:sz w:val="28"/>
          <w:szCs w:val="28"/>
        </w:rPr>
      </w:pPr>
      <w:r w:rsidRPr="0026507F">
        <w:rPr>
          <w:rFonts w:ascii="Arial Black" w:hAnsi="Arial Black"/>
          <w:sz w:val="28"/>
          <w:szCs w:val="28"/>
        </w:rPr>
        <w:t xml:space="preserve">VA: FIREMAN’S RULE – REFRIGERATOR EXPLODED </w:t>
      </w:r>
      <w:r>
        <w:rPr>
          <w:rFonts w:ascii="Arial Black" w:hAnsi="Arial Black"/>
          <w:sz w:val="28"/>
          <w:szCs w:val="28"/>
        </w:rPr>
        <w:t>–</w:t>
      </w:r>
      <w:r w:rsidRPr="0026507F">
        <w:rPr>
          <w:rFonts w:ascii="Arial Black" w:hAnsi="Arial Black"/>
          <w:sz w:val="28"/>
          <w:szCs w:val="28"/>
        </w:rPr>
        <w:t xml:space="preserve"> </w:t>
      </w:r>
      <w:r>
        <w:rPr>
          <w:rFonts w:ascii="Arial Black" w:hAnsi="Arial Black"/>
          <w:sz w:val="28"/>
          <w:szCs w:val="28"/>
        </w:rPr>
        <w:t xml:space="preserve">PD </w:t>
      </w:r>
      <w:r w:rsidRPr="0026507F">
        <w:rPr>
          <w:rFonts w:ascii="Arial Black" w:hAnsi="Arial Black"/>
          <w:sz w:val="28"/>
          <w:szCs w:val="28"/>
        </w:rPr>
        <w:t>/ VOL. FF CAN</w:t>
      </w:r>
      <w:r>
        <w:rPr>
          <w:rFonts w:ascii="Arial Black" w:hAnsi="Arial Black"/>
          <w:sz w:val="28"/>
          <w:szCs w:val="28"/>
        </w:rPr>
        <w:t xml:space="preserve">’T </w:t>
      </w:r>
      <w:r w:rsidRPr="0026507F">
        <w:rPr>
          <w:rFonts w:ascii="Arial Black" w:hAnsi="Arial Black"/>
          <w:sz w:val="28"/>
          <w:szCs w:val="28"/>
        </w:rPr>
        <w:t xml:space="preserve">SUE MANUFACTURER </w:t>
      </w:r>
    </w:p>
    <w:bookmarkEnd w:id="122"/>
    <w:p w14:paraId="71663A02" w14:textId="77777777" w:rsidR="00F326E5" w:rsidRPr="0036327D" w:rsidRDefault="00F326E5" w:rsidP="00F326E5">
      <w:pPr>
        <w:rPr>
          <w:rFonts w:ascii="Times New Roman" w:eastAsia="Times New Roman" w:hAnsi="Times New Roman"/>
          <w:sz w:val="24"/>
          <w:szCs w:val="24"/>
        </w:rPr>
      </w:pPr>
      <w:r w:rsidRPr="0036327D">
        <w:rPr>
          <w:rFonts w:ascii="Times New Roman" w:hAnsi="Times New Roman"/>
          <w:sz w:val="24"/>
          <w:szCs w:val="24"/>
        </w:rPr>
        <w:t xml:space="preserve">On April 13, 2018, in </w:t>
      </w:r>
      <w:r w:rsidRPr="0036327D">
        <w:rPr>
          <w:rFonts w:ascii="Times New Roman" w:hAnsi="Times New Roman"/>
          <w:sz w:val="24"/>
          <w:szCs w:val="24"/>
          <w:u w:val="single"/>
        </w:rPr>
        <w:t xml:space="preserve">Brian Colbert v. </w:t>
      </w:r>
      <w:proofErr w:type="spellStart"/>
      <w:r w:rsidRPr="0036327D">
        <w:rPr>
          <w:rFonts w:ascii="Times New Roman" w:hAnsi="Times New Roman"/>
          <w:sz w:val="24"/>
          <w:szCs w:val="24"/>
          <w:u w:val="single"/>
        </w:rPr>
        <w:t>Norcold</w:t>
      </w:r>
      <w:proofErr w:type="spellEnd"/>
      <w:r w:rsidRPr="0036327D">
        <w:rPr>
          <w:rFonts w:ascii="Times New Roman" w:hAnsi="Times New Roman"/>
          <w:sz w:val="24"/>
          <w:szCs w:val="24"/>
          <w:u w:val="single"/>
        </w:rPr>
        <w:t>, Inc</w:t>
      </w:r>
      <w:r w:rsidRPr="0036327D">
        <w:rPr>
          <w:rFonts w:ascii="Times New Roman" w:hAnsi="Times New Roman"/>
          <w:sz w:val="24"/>
          <w:szCs w:val="24"/>
        </w:rPr>
        <w:t>., the U.S. Court of Appeals for the 4</w:t>
      </w:r>
      <w:r w:rsidRPr="0036327D">
        <w:rPr>
          <w:rFonts w:ascii="Times New Roman" w:hAnsi="Times New Roman"/>
          <w:sz w:val="24"/>
          <w:szCs w:val="24"/>
          <w:vertAlign w:val="superscript"/>
        </w:rPr>
        <w:t>th</w:t>
      </w:r>
      <w:r w:rsidRPr="0036327D">
        <w:rPr>
          <w:rFonts w:ascii="Times New Roman" w:hAnsi="Times New Roman"/>
          <w:sz w:val="24"/>
          <w:szCs w:val="24"/>
        </w:rPr>
        <w:t xml:space="preserve"> Circuit held (3 to 0; unpublished opinion): “</w:t>
      </w:r>
      <w:r w:rsidRPr="0036327D">
        <w:rPr>
          <w:rFonts w:ascii="Times New Roman" w:eastAsia="Times New Roman" w:hAnsi="Times New Roman"/>
          <w:sz w:val="24"/>
          <w:szCs w:val="24"/>
        </w:rPr>
        <w:t xml:space="preserve">we agree with the district court: the Fireman’s Rule applies to products liability claims, and </w:t>
      </w:r>
      <w:proofErr w:type="spellStart"/>
      <w:r w:rsidRPr="0036327D">
        <w:rPr>
          <w:rFonts w:ascii="Times New Roman" w:eastAsia="Times New Roman" w:hAnsi="Times New Roman"/>
          <w:sz w:val="24"/>
          <w:szCs w:val="24"/>
        </w:rPr>
        <w:t>Norcold’s</w:t>
      </w:r>
      <w:proofErr w:type="spellEnd"/>
      <w:r w:rsidRPr="0036327D">
        <w:rPr>
          <w:rFonts w:ascii="Times New Roman" w:eastAsia="Times New Roman" w:hAnsi="Times New Roman"/>
          <w:sz w:val="24"/>
          <w:szCs w:val="24"/>
        </w:rPr>
        <w:t xml:space="preserve"> conduct was not willful or wanton.” </w:t>
      </w:r>
      <w:hyperlink r:id="rId615" w:history="1">
        <w:r w:rsidRPr="0036327D">
          <w:rPr>
            <w:rStyle w:val="Hyperlink"/>
            <w:rFonts w:ascii="Times New Roman" w:hAnsi="Times New Roman"/>
            <w:sz w:val="24"/>
            <w:szCs w:val="24"/>
          </w:rPr>
          <w:t>http://www.ca4.uscourts.gov/Opinions/171419.U.pdf</w:t>
        </w:r>
      </w:hyperlink>
      <w:r w:rsidRPr="0036327D">
        <w:rPr>
          <w:rFonts w:ascii="Times New Roman" w:eastAsia="Times New Roman" w:hAnsi="Times New Roman"/>
          <w:sz w:val="24"/>
          <w:szCs w:val="24"/>
        </w:rPr>
        <w:t xml:space="preserve"> </w:t>
      </w:r>
    </w:p>
    <w:p w14:paraId="79CC56D5" w14:textId="77777777" w:rsidR="00F326E5" w:rsidRPr="0036327D" w:rsidRDefault="00F326E5" w:rsidP="00F326E5">
      <w:pPr>
        <w:rPr>
          <w:rFonts w:ascii="Times New Roman" w:eastAsia="Times New Roman" w:hAnsi="Times New Roman"/>
          <w:b/>
          <w:sz w:val="24"/>
          <w:szCs w:val="24"/>
        </w:rPr>
      </w:pPr>
      <w:r w:rsidRPr="0036327D">
        <w:rPr>
          <w:rFonts w:ascii="Times New Roman" w:eastAsia="Times New Roman" w:hAnsi="Times New Roman"/>
          <w:b/>
          <w:sz w:val="24"/>
          <w:szCs w:val="24"/>
        </w:rPr>
        <w:t xml:space="preserve">LEGAL LESSONS LEARNED:  Police officers and firefighters in Virginia can only seek workers comp (no damages for pain &amp; injury, loss of consortium, etc.) unless proof of willful or wanton misconduct, or gross negligence, by the product manufacturer.  </w:t>
      </w:r>
    </w:p>
    <w:p w14:paraId="2F2C302D" w14:textId="77777777" w:rsidR="00F326E5" w:rsidRPr="0036327D" w:rsidRDefault="00F326E5" w:rsidP="00F326E5">
      <w:pPr>
        <w:ind w:left="720"/>
        <w:rPr>
          <w:rFonts w:ascii="Times New Roman" w:eastAsia="Times New Roman" w:hAnsi="Times New Roman"/>
          <w:sz w:val="24"/>
          <w:szCs w:val="24"/>
        </w:rPr>
      </w:pPr>
      <w:r w:rsidRPr="0036327D">
        <w:rPr>
          <w:rFonts w:ascii="Times New Roman" w:eastAsia="Times New Roman" w:hAnsi="Times New Roman"/>
          <w:sz w:val="24"/>
          <w:szCs w:val="24"/>
        </w:rPr>
        <w:t>See also March 12, 2015 decision of 10</w:t>
      </w:r>
      <w:r w:rsidRPr="0036327D">
        <w:rPr>
          <w:rFonts w:ascii="Times New Roman" w:eastAsia="Times New Roman" w:hAnsi="Times New Roman"/>
          <w:sz w:val="24"/>
          <w:szCs w:val="24"/>
          <w:vertAlign w:val="superscript"/>
        </w:rPr>
        <w:t>th</w:t>
      </w:r>
      <w:r w:rsidRPr="0036327D">
        <w:rPr>
          <w:rFonts w:ascii="Times New Roman" w:eastAsia="Times New Roman" w:hAnsi="Times New Roman"/>
          <w:sz w:val="24"/>
          <w:szCs w:val="24"/>
        </w:rPr>
        <w:t xml:space="preserve"> Circuit in Chester W. Peake v. Central Tank Coatings, where several Kansas firefighters were injured by exploding box of paint thinner: “The undisputed material facts are that several hours after Central Tank completed its work on the roof [of the city’s water tower] and left the site, the wooden members of the tower caught fire, fell to the ground, caught the surrounding grass on fire and eventually spread to the tires of the trailer.  This domino chain of events was unforeseeable. *** A large, unmarked metal container box was mounted to the wood deck of the trailer.  It was used by the crew to store various tools, oxygen/acetylene tanks, and other materials, including paint thinner.”  The Court held that the firefighters could not sue the company for damages, since here is “no evidence that Central Tank knew that the storage of paint thinner was dangerous.” </w:t>
      </w:r>
      <w:hyperlink r:id="rId616" w:history="1">
        <w:r w:rsidRPr="0036327D">
          <w:rPr>
            <w:rStyle w:val="Hyperlink"/>
            <w:rFonts w:ascii="Times New Roman" w:hAnsi="Times New Roman"/>
            <w:sz w:val="24"/>
            <w:szCs w:val="24"/>
          </w:rPr>
          <w:t>https://www.ca10.uscourts.gov/opinions/14/14-3157.pdf</w:t>
        </w:r>
      </w:hyperlink>
      <w:r w:rsidRPr="0036327D">
        <w:rPr>
          <w:rFonts w:ascii="Times New Roman" w:eastAsia="Times New Roman" w:hAnsi="Times New Roman"/>
          <w:sz w:val="24"/>
          <w:szCs w:val="24"/>
        </w:rPr>
        <w:t xml:space="preserve"> </w:t>
      </w:r>
    </w:p>
    <w:p w14:paraId="4D40FF7F" w14:textId="33C5CFBF" w:rsidR="00F326E5" w:rsidRPr="0036327D" w:rsidRDefault="00F326E5" w:rsidP="00F326E5">
      <w:pPr>
        <w:ind w:left="720"/>
        <w:rPr>
          <w:rFonts w:ascii="Times New Roman" w:eastAsia="Times New Roman" w:hAnsi="Times New Roman"/>
          <w:sz w:val="24"/>
          <w:szCs w:val="24"/>
        </w:rPr>
      </w:pPr>
      <w:r w:rsidRPr="0036327D">
        <w:rPr>
          <w:rFonts w:ascii="Times New Roman" w:eastAsia="Times New Roman" w:hAnsi="Times New Roman"/>
          <w:sz w:val="24"/>
          <w:szCs w:val="24"/>
        </w:rPr>
        <w:t xml:space="preserve">See also this article about the Kansas case: “Notably, a sizable minority of states (18) do not currently apply the Fireman’s Rule… and have either explicitly declined to adopt, rejected, limited, or failed to address it…. These states are Alabama, Colorado, Florida, Maine, Massachusetts, Michigan, Minnesota, Montana, New Jersey, New York, North Carolina, North Dakota, Oregon, Pennsylvania, South Carolina, Vermont, West Virginia, and Wyoming.” </w:t>
      </w:r>
      <w:hyperlink r:id="rId617" w:history="1">
        <w:r w:rsidRPr="0036327D">
          <w:rPr>
            <w:rStyle w:val="Hyperlink"/>
            <w:rFonts w:ascii="Times New Roman" w:hAnsi="Times New Roman"/>
            <w:sz w:val="24"/>
            <w:szCs w:val="24"/>
          </w:rPr>
          <w:t>file:///C:/Users/lawre/AppData/Local/Temp/0182139.PDF</w:t>
        </w:r>
      </w:hyperlink>
      <w:r w:rsidRPr="0036327D">
        <w:rPr>
          <w:rFonts w:ascii="Times New Roman" w:eastAsia="Times New Roman" w:hAnsi="Times New Roman"/>
          <w:sz w:val="24"/>
          <w:szCs w:val="24"/>
        </w:rPr>
        <w:t xml:space="preserve"> </w:t>
      </w:r>
    </w:p>
    <w:p w14:paraId="51967A1C" w14:textId="77777777" w:rsidR="00F326E5" w:rsidRPr="0036327D" w:rsidRDefault="00F326E5" w:rsidP="00F326E5">
      <w:pPr>
        <w:rPr>
          <w:rFonts w:ascii="Times New Roman" w:hAnsi="Times New Roman"/>
          <w:sz w:val="24"/>
          <w:szCs w:val="24"/>
        </w:rPr>
      </w:pPr>
    </w:p>
    <w:bookmarkEnd w:id="123"/>
    <w:p w14:paraId="355BE2B8" w14:textId="4EC07D12" w:rsidR="00791CA3" w:rsidRPr="00791CA3" w:rsidRDefault="00791CA3" w:rsidP="00791CA3">
      <w:pPr>
        <w:pStyle w:val="NoSpacing"/>
        <w:rPr>
          <w:rFonts w:ascii="Arial Black" w:hAnsi="Arial Black"/>
          <w:sz w:val="24"/>
          <w:szCs w:val="24"/>
        </w:rPr>
      </w:pPr>
      <w:r w:rsidRPr="00791CA3">
        <w:rPr>
          <w:rFonts w:ascii="Arial Black" w:hAnsi="Arial Black"/>
          <w:sz w:val="24"/>
          <w:szCs w:val="24"/>
        </w:rPr>
        <w:t>2-</w:t>
      </w:r>
      <w:r>
        <w:rPr>
          <w:rFonts w:ascii="Arial Black" w:hAnsi="Arial Black"/>
          <w:sz w:val="24"/>
          <w:szCs w:val="24"/>
        </w:rPr>
        <w:t>4</w:t>
      </w:r>
    </w:p>
    <w:p w14:paraId="14D76F3F" w14:textId="77777777" w:rsidR="00F326E5" w:rsidRPr="001521C4" w:rsidRDefault="00F326E5" w:rsidP="00F326E5">
      <w:pPr>
        <w:rPr>
          <w:b/>
          <w:sz w:val="24"/>
          <w:szCs w:val="24"/>
        </w:rPr>
      </w:pPr>
    </w:p>
    <w:p w14:paraId="27D38D05" w14:textId="04513E9C" w:rsidR="00F326E5" w:rsidRPr="00BA3B84" w:rsidRDefault="00F326E5" w:rsidP="00F326E5">
      <w:pPr>
        <w:pStyle w:val="NoSpacing"/>
        <w:rPr>
          <w:rFonts w:ascii="Arial Black" w:hAnsi="Arial Black"/>
          <w:sz w:val="24"/>
          <w:szCs w:val="24"/>
        </w:rPr>
      </w:pPr>
      <w:bookmarkStart w:id="124" w:name="_Hlk7341084"/>
      <w:r w:rsidRPr="0010462B">
        <w:rPr>
          <w:rFonts w:ascii="Arial Black" w:hAnsi="Arial Black"/>
          <w:sz w:val="28"/>
          <w:szCs w:val="28"/>
        </w:rPr>
        <w:t>NY:  FDNY RECRUIT DIED DURING PHYSICAL EXERCISES –</w:t>
      </w:r>
      <w:r>
        <w:rPr>
          <w:rFonts w:ascii="Arial Black" w:hAnsi="Arial Black"/>
          <w:sz w:val="28"/>
          <w:szCs w:val="28"/>
        </w:rPr>
        <w:t xml:space="preserve"> LAWSUIT DISMISSED - </w:t>
      </w:r>
      <w:r w:rsidRPr="0010462B">
        <w:rPr>
          <w:rFonts w:ascii="Arial Black" w:hAnsi="Arial Black"/>
          <w:sz w:val="28"/>
          <w:szCs w:val="28"/>
        </w:rPr>
        <w:t>HEART CONDITION</w:t>
      </w:r>
      <w:r w:rsidRPr="00CB3546">
        <w:t xml:space="preserve"> </w:t>
      </w:r>
    </w:p>
    <w:p w14:paraId="79D5B714" w14:textId="77777777" w:rsidR="00F326E5" w:rsidRPr="0036327D" w:rsidRDefault="00F326E5" w:rsidP="00F326E5">
      <w:pPr>
        <w:pStyle w:val="NormalWeb"/>
      </w:pPr>
      <w:r w:rsidRPr="0036327D">
        <w:t xml:space="preserve">On April 10, 2018, in </w:t>
      </w:r>
      <w:r w:rsidRPr="0036327D">
        <w:rPr>
          <w:u w:val="single"/>
        </w:rPr>
        <w:t>Sherita Sears v. The City of New York</w:t>
      </w:r>
      <w:r w:rsidRPr="0036327D">
        <w:t>, the Appellate Division of the Supreme Court of State of New York (5 to 0) denied the death claim, holding: “Plaintiff is not entitled to recover under GML §</w:t>
      </w:r>
      <w:r w:rsidRPr="0036327D">
        <w:t> </w:t>
      </w:r>
      <w:r w:rsidRPr="0036327D">
        <w:t>205–a, as the injuries decedent sustained were not the type of occupational injury that Labor Law §</w:t>
      </w:r>
      <w:r w:rsidRPr="0036327D">
        <w:t> </w:t>
      </w:r>
      <w:r w:rsidRPr="0036327D">
        <w:t xml:space="preserve">27–a was designed to protect, but rather, arose from risks unique to firefighting work (Williams v. City of New York, 2 </w:t>
      </w:r>
      <w:r w:rsidRPr="0036327D">
        <w:lastRenderedPageBreak/>
        <w:t xml:space="preserve">N.Y.3d 352, 368, 779 N.Y.S.2d 449, 811 N.E.2d 1103 [2004] ).”  </w:t>
      </w:r>
      <w:hyperlink r:id="rId618" w:history="1">
        <w:r w:rsidRPr="0036327D">
          <w:rPr>
            <w:rStyle w:val="Hyperlink"/>
          </w:rPr>
          <w:t>https://caselaw.findlaw.com/ny-supreme-court-appellate-division/1893546.html</w:t>
        </w:r>
      </w:hyperlink>
      <w:r w:rsidRPr="0036327D">
        <w:t xml:space="preserve"> </w:t>
      </w:r>
    </w:p>
    <w:p w14:paraId="16DD784C" w14:textId="77777777" w:rsidR="00F326E5" w:rsidRPr="0036327D" w:rsidRDefault="00F326E5" w:rsidP="00F326E5">
      <w:pPr>
        <w:pStyle w:val="NormalWeb"/>
        <w:rPr>
          <w:b/>
          <w:bCs/>
          <w:kern w:val="36"/>
        </w:rPr>
      </w:pPr>
      <w:r w:rsidRPr="0036327D">
        <w:rPr>
          <w:b/>
        </w:rPr>
        <w:t xml:space="preserve">Legal Lessons Learned: The New York statute requires proof of “neglect, omission, willful or culpable negligence.” </w:t>
      </w:r>
    </w:p>
    <w:p w14:paraId="495CC32A" w14:textId="77777777" w:rsidR="00F326E5" w:rsidRPr="0036327D" w:rsidRDefault="00F326E5" w:rsidP="00F326E5">
      <w:pPr>
        <w:spacing w:before="100" w:beforeAutospacing="1" w:after="100" w:afterAutospacing="1"/>
        <w:ind w:firstLine="720"/>
        <w:outlineLvl w:val="0"/>
        <w:rPr>
          <w:rFonts w:ascii="Times New Roman" w:eastAsia="Times New Roman" w:hAnsi="Times New Roman"/>
          <w:bCs/>
          <w:kern w:val="36"/>
          <w:sz w:val="24"/>
          <w:szCs w:val="24"/>
        </w:rPr>
      </w:pPr>
      <w:hyperlink r:id="rId619" w:history="1">
        <w:r w:rsidRPr="0036327D">
          <w:rPr>
            <w:rStyle w:val="Hyperlink"/>
            <w:rFonts w:ascii="Times New Roman" w:hAnsi="Times New Roman"/>
            <w:sz w:val="24"/>
            <w:szCs w:val="24"/>
          </w:rPr>
          <w:t>https://codes.findlaw.com/ny/general-municipal-law/gmu-sect-205-a.html</w:t>
        </w:r>
      </w:hyperlink>
      <w:r w:rsidRPr="0036327D">
        <w:rPr>
          <w:rFonts w:ascii="Times New Roman" w:eastAsia="Times New Roman" w:hAnsi="Times New Roman"/>
          <w:bCs/>
          <w:kern w:val="36"/>
          <w:sz w:val="24"/>
          <w:szCs w:val="24"/>
        </w:rPr>
        <w:t xml:space="preserve"> </w:t>
      </w:r>
    </w:p>
    <w:p w14:paraId="06B80E02" w14:textId="77777777" w:rsidR="00F326E5" w:rsidRPr="0036327D" w:rsidRDefault="00F326E5" w:rsidP="00F326E5">
      <w:pPr>
        <w:spacing w:before="100" w:beforeAutospacing="1" w:after="100" w:afterAutospacing="1"/>
        <w:ind w:left="720"/>
        <w:outlineLvl w:val="0"/>
        <w:rPr>
          <w:rFonts w:ascii="Times New Roman" w:eastAsia="Times New Roman" w:hAnsi="Times New Roman"/>
          <w:bCs/>
          <w:kern w:val="36"/>
          <w:sz w:val="24"/>
          <w:szCs w:val="24"/>
        </w:rPr>
      </w:pPr>
      <w:r w:rsidRPr="0036327D">
        <w:rPr>
          <w:rFonts w:ascii="Times New Roman" w:eastAsia="Times New Roman" w:hAnsi="Times New Roman"/>
          <w:bCs/>
          <w:kern w:val="36"/>
          <w:sz w:val="24"/>
          <w:szCs w:val="24"/>
        </w:rPr>
        <w:t xml:space="preserve">New York Consolidated Laws, General Municipal Law - GMU § 205-a. Additional right of action to certain injured or representatives of certain deceased firefighters </w:t>
      </w:r>
    </w:p>
    <w:p w14:paraId="5DFE1DD8" w14:textId="77777777" w:rsidR="00F326E5" w:rsidRPr="0036327D" w:rsidRDefault="00F326E5" w:rsidP="00F326E5">
      <w:pPr>
        <w:spacing w:before="100" w:beforeAutospacing="1" w:after="100" w:afterAutospacing="1"/>
        <w:ind w:left="720"/>
        <w:outlineLvl w:val="0"/>
        <w:rPr>
          <w:rFonts w:ascii="Times New Roman" w:hAnsi="Times New Roman"/>
          <w:sz w:val="24"/>
          <w:szCs w:val="24"/>
        </w:rPr>
      </w:pPr>
      <w:r w:rsidRPr="0036327D">
        <w:rPr>
          <w:rFonts w:ascii="Times New Roman" w:hAnsi="Times New Roman"/>
          <w:sz w:val="24"/>
          <w:szCs w:val="24"/>
        </w:rPr>
        <w:t>“In addition to any other right of action or recovery under any other provision of law, in the event any accident, causing injury, death or a disease which results in death, occurs directly or indirectly as a result of any neglect, omission, willful or culpable negligence of any person or persons in failing to comply with the requirements of any of the statutes, ordinances, rules, orders and requirements of the federal, state, county, village, town or city governments or of any and all their departments, divisions and bureaus, the person or persons guilty of said neglect, omission, willful or culpable negligence at the time of such injury or death shall be liable to pay any officer, member, agent or employee of any fire department injured, or whose life may be lost while in the discharge or performance at any time or place of any duty imposed by the fire commissioner, fire chief or other superior officer of the fire department, or to pay to the wife and children, or to pay to the parents, or to pay to the brothers and sisters, being the surviving heirs-at-law of any deceased person thus having lost his life, a sum of money, in case of injury to person, not less than ten thousand dollars, and in case of death not less than forty thousand dollars, such liability to be determined and such sums recovered in an action to be instituted by any person injured or the family or relatives of any person killed as aforesaid.”</w:t>
      </w:r>
    </w:p>
    <w:p w14:paraId="78CBCD5E" w14:textId="77777777" w:rsidR="00F326E5" w:rsidRPr="0036327D" w:rsidRDefault="00F326E5" w:rsidP="00F326E5">
      <w:pPr>
        <w:pStyle w:val="NormalWeb"/>
        <w:rPr>
          <w:b/>
        </w:rPr>
      </w:pPr>
    </w:p>
    <w:bookmarkEnd w:id="124"/>
    <w:p w14:paraId="33BFB6A0" w14:textId="77777777" w:rsidR="0036327D" w:rsidRDefault="0036327D" w:rsidP="00791CA3">
      <w:pPr>
        <w:pStyle w:val="NoSpacing"/>
        <w:rPr>
          <w:rFonts w:ascii="Arial Black" w:hAnsi="Arial Black"/>
          <w:sz w:val="24"/>
          <w:szCs w:val="24"/>
        </w:rPr>
      </w:pPr>
    </w:p>
    <w:p w14:paraId="60C6050F" w14:textId="77777777" w:rsidR="0036327D" w:rsidRDefault="0036327D" w:rsidP="00791CA3">
      <w:pPr>
        <w:pStyle w:val="NoSpacing"/>
        <w:rPr>
          <w:rFonts w:ascii="Arial Black" w:hAnsi="Arial Black"/>
          <w:sz w:val="24"/>
          <w:szCs w:val="24"/>
        </w:rPr>
      </w:pPr>
    </w:p>
    <w:p w14:paraId="5F235C50" w14:textId="5CCDDDE2" w:rsidR="00791CA3" w:rsidRPr="00791CA3" w:rsidRDefault="00791CA3" w:rsidP="00791CA3">
      <w:pPr>
        <w:pStyle w:val="NoSpacing"/>
        <w:rPr>
          <w:rFonts w:ascii="Arial Black" w:hAnsi="Arial Black"/>
          <w:sz w:val="24"/>
          <w:szCs w:val="24"/>
        </w:rPr>
      </w:pPr>
      <w:r w:rsidRPr="00791CA3">
        <w:rPr>
          <w:rFonts w:ascii="Arial Black" w:hAnsi="Arial Black"/>
          <w:sz w:val="24"/>
          <w:szCs w:val="24"/>
        </w:rPr>
        <w:t>2-</w:t>
      </w:r>
      <w:r>
        <w:rPr>
          <w:rFonts w:ascii="Arial Black" w:hAnsi="Arial Black"/>
          <w:sz w:val="24"/>
          <w:szCs w:val="24"/>
        </w:rPr>
        <w:t>3</w:t>
      </w:r>
    </w:p>
    <w:p w14:paraId="3D92908D" w14:textId="77777777" w:rsidR="00F326E5" w:rsidRDefault="00F326E5" w:rsidP="00F326E5">
      <w:pPr>
        <w:rPr>
          <w:rFonts w:ascii="AATimes New Roman" w:hAnsi="AATimes New Roman"/>
          <w:color w:val="4A4A4A"/>
          <w:sz w:val="24"/>
          <w:szCs w:val="24"/>
          <w:lang w:val="en"/>
        </w:rPr>
      </w:pPr>
    </w:p>
    <w:p w14:paraId="3AC03F60" w14:textId="0C7D3125" w:rsidR="00F326E5" w:rsidRPr="0026507F" w:rsidRDefault="00F326E5" w:rsidP="00F326E5">
      <w:pPr>
        <w:rPr>
          <w:rFonts w:ascii="Times New Roman" w:hAnsi="Times New Roman"/>
          <w:b/>
          <w:color w:val="4A4A4A"/>
          <w:sz w:val="24"/>
          <w:szCs w:val="24"/>
          <w:lang w:val="en"/>
        </w:rPr>
      </w:pPr>
      <w:bookmarkStart w:id="125" w:name="_Hlk7341127"/>
      <w:r w:rsidRPr="00B87096">
        <w:rPr>
          <w:rFonts w:ascii="Arial Black" w:hAnsi="Arial Black"/>
          <w:color w:val="4A4A4A"/>
          <w:sz w:val="28"/>
          <w:szCs w:val="28"/>
          <w:lang w:val="en"/>
        </w:rPr>
        <w:t>U.S. SUPREME COURT</w:t>
      </w:r>
      <w:r>
        <w:rPr>
          <w:rFonts w:ascii="Arial Black" w:hAnsi="Arial Black"/>
          <w:color w:val="4A4A4A"/>
          <w:sz w:val="28"/>
          <w:szCs w:val="28"/>
          <w:lang w:val="en"/>
        </w:rPr>
        <w:t xml:space="preserve">: LANDMARK DECISION ON </w:t>
      </w:r>
      <w:r w:rsidRPr="00B87096">
        <w:rPr>
          <w:rFonts w:ascii="Arial Black" w:hAnsi="Arial Black"/>
          <w:color w:val="4A4A4A"/>
          <w:sz w:val="28"/>
          <w:szCs w:val="28"/>
          <w:lang w:val="en"/>
        </w:rPr>
        <w:t>QUALIFIED IMMUNITY</w:t>
      </w:r>
      <w:r>
        <w:rPr>
          <w:rFonts w:ascii="Arial Black" w:hAnsi="Arial Black"/>
          <w:color w:val="4A4A4A"/>
          <w:sz w:val="28"/>
          <w:szCs w:val="28"/>
          <w:lang w:val="en"/>
        </w:rPr>
        <w:t xml:space="preserve"> – ONLY IF CLEAR CONSTIT</w:t>
      </w:r>
      <w:r w:rsidR="0036327D">
        <w:rPr>
          <w:rFonts w:ascii="Arial Black" w:hAnsi="Arial Black"/>
          <w:color w:val="4A4A4A"/>
          <w:sz w:val="28"/>
          <w:szCs w:val="28"/>
          <w:lang w:val="en"/>
        </w:rPr>
        <w:t xml:space="preserve">UTIONAL VIOLATION </w:t>
      </w:r>
      <w:r>
        <w:rPr>
          <w:rFonts w:ascii="Times New Roman" w:hAnsi="Times New Roman"/>
          <w:color w:val="4A4A4A"/>
          <w:sz w:val="24"/>
          <w:szCs w:val="24"/>
          <w:lang w:val="en"/>
        </w:rPr>
        <w:t>[also filed, Chap. 1]</w:t>
      </w:r>
    </w:p>
    <w:p w14:paraId="7766F5F8" w14:textId="77777777" w:rsidR="00965872" w:rsidRDefault="00F326E5" w:rsidP="00F326E5">
      <w:pPr>
        <w:rPr>
          <w:rFonts w:ascii="Times New Roman" w:hAnsi="Times New Roman"/>
          <w:color w:val="4A4A4A"/>
          <w:sz w:val="24"/>
          <w:szCs w:val="24"/>
          <w:lang w:val="en"/>
        </w:rPr>
      </w:pPr>
      <w:bookmarkStart w:id="126" w:name="_Hlk1065203"/>
      <w:r w:rsidRPr="0036327D">
        <w:rPr>
          <w:rFonts w:ascii="Times New Roman" w:hAnsi="Times New Roman"/>
          <w:color w:val="4A4A4A"/>
          <w:sz w:val="24"/>
          <w:szCs w:val="24"/>
          <w:lang w:val="en"/>
        </w:rPr>
        <w:t xml:space="preserve">On April 2, 2018, in </w:t>
      </w:r>
      <w:r w:rsidRPr="0036327D">
        <w:rPr>
          <w:rFonts w:ascii="Times New Roman" w:hAnsi="Times New Roman"/>
          <w:color w:val="4A4A4A"/>
          <w:sz w:val="24"/>
          <w:szCs w:val="24"/>
          <w:u w:val="single"/>
          <w:lang w:val="en"/>
        </w:rPr>
        <w:t>Andrew Kisela v. Amy Hughes</w:t>
      </w:r>
      <w:r w:rsidRPr="0036327D">
        <w:rPr>
          <w:rFonts w:ascii="Times New Roman" w:hAnsi="Times New Roman"/>
          <w:color w:val="4A4A4A"/>
          <w:sz w:val="24"/>
          <w:szCs w:val="24"/>
          <w:lang w:val="en"/>
        </w:rPr>
        <w:t>, the U.S. Supreme Court reversed the 9</w:t>
      </w:r>
      <w:r w:rsidRPr="0036327D">
        <w:rPr>
          <w:rFonts w:ascii="Times New Roman" w:hAnsi="Times New Roman"/>
          <w:color w:val="4A4A4A"/>
          <w:sz w:val="24"/>
          <w:szCs w:val="24"/>
          <w:vertAlign w:val="superscript"/>
          <w:lang w:val="en"/>
        </w:rPr>
        <w:t>th</w:t>
      </w:r>
      <w:r w:rsidRPr="0036327D">
        <w:rPr>
          <w:rFonts w:ascii="Times New Roman" w:hAnsi="Times New Roman"/>
          <w:color w:val="4A4A4A"/>
          <w:sz w:val="24"/>
          <w:szCs w:val="24"/>
          <w:lang w:val="en"/>
        </w:rPr>
        <w:t xml:space="preserve"> Circuit and held (7 to 2) the police officer who shot Amy Hughes should have been dismissed from the lawsuit: </w:t>
      </w:r>
    </w:p>
    <w:p w14:paraId="7C4C0AA8" w14:textId="1859A998" w:rsidR="00F326E5" w:rsidRPr="0036327D" w:rsidRDefault="00F326E5" w:rsidP="00965872">
      <w:pPr>
        <w:ind w:left="720"/>
        <w:rPr>
          <w:rFonts w:ascii="Times New Roman" w:hAnsi="Times New Roman"/>
          <w:color w:val="4A4A4A"/>
          <w:sz w:val="24"/>
          <w:szCs w:val="24"/>
          <w:lang w:val="en"/>
        </w:rPr>
      </w:pPr>
      <w:r w:rsidRPr="0036327D">
        <w:rPr>
          <w:rFonts w:ascii="Times New Roman" w:hAnsi="Times New Roman"/>
          <w:color w:val="4A4A4A"/>
          <w:sz w:val="24"/>
          <w:szCs w:val="24"/>
          <w:lang w:val="en"/>
        </w:rPr>
        <w:t>“Here, the Court need not, and does not, decide whether Kisela violated the Fourth Amendment when he used deadly force against Hughes.  For even assuming a Fourth Amendment violation occurred—a proposition that is not at all evident—on these facts Kisela was at least entitled to qualified immunity. ‘Qualified immunity attaches when an official’s conduct does not violate clearly established statutory or constitutional rights of which a reasonable person would have known.”</w:t>
      </w:r>
      <w:r w:rsidRPr="0036327D">
        <w:rPr>
          <w:rFonts w:ascii="Times New Roman" w:hAnsi="Times New Roman"/>
          <w:sz w:val="24"/>
          <w:szCs w:val="24"/>
        </w:rPr>
        <w:t xml:space="preserve"> </w:t>
      </w:r>
      <w:hyperlink r:id="rId620" w:history="1">
        <w:r w:rsidRPr="0036327D">
          <w:rPr>
            <w:rStyle w:val="Hyperlink"/>
            <w:rFonts w:ascii="Times New Roman" w:hAnsi="Times New Roman"/>
            <w:sz w:val="24"/>
            <w:szCs w:val="24"/>
            <w:lang w:val="en"/>
          </w:rPr>
          <w:t>file:///C:/Users/lawre/AppData/Local/Microsoft/Windows/INetCache/IE/CTCRXJ99/17-467_bqm1.pdf</w:t>
        </w:r>
      </w:hyperlink>
      <w:bookmarkEnd w:id="126"/>
      <w:r w:rsidRPr="0036327D">
        <w:rPr>
          <w:rFonts w:ascii="Times New Roman" w:hAnsi="Times New Roman"/>
          <w:color w:val="4A4A4A"/>
          <w:sz w:val="24"/>
          <w:szCs w:val="24"/>
          <w:lang w:val="en"/>
        </w:rPr>
        <w:t xml:space="preserve"> </w:t>
      </w:r>
    </w:p>
    <w:p w14:paraId="0C41C57F" w14:textId="77777777" w:rsidR="00F326E5" w:rsidRPr="0036327D" w:rsidRDefault="00F326E5" w:rsidP="00F326E5">
      <w:pPr>
        <w:rPr>
          <w:rFonts w:ascii="Times New Roman" w:hAnsi="Times New Roman"/>
          <w:b/>
          <w:color w:val="4A4A4A"/>
          <w:sz w:val="24"/>
          <w:szCs w:val="24"/>
          <w:lang w:val="en"/>
        </w:rPr>
      </w:pPr>
      <w:r w:rsidRPr="0036327D">
        <w:rPr>
          <w:rFonts w:ascii="Times New Roman" w:hAnsi="Times New Roman"/>
          <w:b/>
          <w:color w:val="4A4A4A"/>
          <w:sz w:val="24"/>
          <w:szCs w:val="24"/>
          <w:lang w:val="en"/>
        </w:rPr>
        <w:lastRenderedPageBreak/>
        <w:t>LEGAL LESSONS LEARNED:  Very helpful decision, not only for police officers, but for all emergency responders who may be sued arising out of split-second decisions.  The 7-</w:t>
      </w:r>
      <w:bookmarkStart w:id="127" w:name="_Hlk1065258"/>
      <w:r w:rsidRPr="0036327D">
        <w:rPr>
          <w:rFonts w:ascii="Times New Roman" w:hAnsi="Times New Roman"/>
          <w:b/>
          <w:color w:val="4A4A4A"/>
          <w:sz w:val="24"/>
          <w:szCs w:val="24"/>
          <w:lang w:val="en"/>
        </w:rPr>
        <w:t xml:space="preserve">Justices sent a message that qualified immunity protects police officers from personal liability unless conduct clearly unjustified.  </w:t>
      </w:r>
    </w:p>
    <w:p w14:paraId="5242535B" w14:textId="77777777" w:rsidR="00F326E5" w:rsidRPr="0036327D" w:rsidRDefault="00F326E5" w:rsidP="00F326E5">
      <w:pPr>
        <w:ind w:left="720"/>
        <w:rPr>
          <w:rFonts w:ascii="Times New Roman" w:hAnsi="Times New Roman"/>
          <w:b/>
          <w:color w:val="4A4A4A"/>
          <w:sz w:val="24"/>
          <w:szCs w:val="24"/>
          <w:lang w:val="en"/>
        </w:rPr>
      </w:pPr>
      <w:r w:rsidRPr="0036327D">
        <w:rPr>
          <w:rFonts w:ascii="Times New Roman" w:hAnsi="Times New Roman"/>
          <w:color w:val="4A4A4A"/>
          <w:sz w:val="24"/>
          <w:szCs w:val="24"/>
          <w:lang w:val="en"/>
        </w:rPr>
        <w:t>See New York Times article on this decision: “</w:t>
      </w:r>
      <w:r w:rsidRPr="0036327D">
        <w:rPr>
          <w:rFonts w:ascii="Times New Roman" w:hAnsi="Times New Roman"/>
          <w:sz w:val="24"/>
          <w:szCs w:val="24"/>
          <w:lang w:val="en"/>
        </w:rPr>
        <w:t>The court’s decision was unsigned and issued without full briefing and oral argument, an indication that the majority found the case to be easy.”</w:t>
      </w:r>
      <w:r w:rsidRPr="0036327D">
        <w:rPr>
          <w:rFonts w:ascii="Times New Roman" w:hAnsi="Times New Roman"/>
          <w:color w:val="4A4A4A"/>
          <w:sz w:val="24"/>
          <w:szCs w:val="24"/>
          <w:lang w:val="en"/>
        </w:rPr>
        <w:t xml:space="preserve"> </w:t>
      </w:r>
      <w:hyperlink r:id="rId621" w:history="1">
        <w:r w:rsidRPr="0036327D">
          <w:rPr>
            <w:rStyle w:val="Hyperlink"/>
            <w:rFonts w:ascii="Times New Roman" w:hAnsi="Times New Roman"/>
            <w:sz w:val="24"/>
            <w:szCs w:val="24"/>
            <w:lang w:val="en"/>
          </w:rPr>
          <w:t>https://www.nytimes.com/2018/04/02/us/politics/supreme-court-rules-for-police-officer-in-excessive-force-case.html</w:t>
        </w:r>
      </w:hyperlink>
      <w:r w:rsidRPr="0036327D">
        <w:rPr>
          <w:rFonts w:ascii="Times New Roman" w:hAnsi="Times New Roman"/>
          <w:b/>
          <w:color w:val="4A4A4A"/>
          <w:sz w:val="24"/>
          <w:szCs w:val="24"/>
          <w:lang w:val="en"/>
        </w:rPr>
        <w:t xml:space="preserve"> </w:t>
      </w:r>
      <w:bookmarkEnd w:id="127"/>
    </w:p>
    <w:p w14:paraId="5584A911" w14:textId="77777777" w:rsidR="00F326E5" w:rsidRPr="0036327D" w:rsidRDefault="00F326E5" w:rsidP="00F326E5">
      <w:pPr>
        <w:ind w:left="720"/>
        <w:rPr>
          <w:rFonts w:ascii="Times New Roman" w:hAnsi="Times New Roman"/>
          <w:b/>
          <w:color w:val="4A4A4A"/>
          <w:sz w:val="24"/>
          <w:szCs w:val="24"/>
          <w:lang w:val="en"/>
        </w:rPr>
      </w:pPr>
    </w:p>
    <w:bookmarkEnd w:id="125"/>
    <w:p w14:paraId="793CC0DF" w14:textId="25783A7F" w:rsidR="00791CA3" w:rsidRPr="00791CA3" w:rsidRDefault="00791CA3" w:rsidP="00791CA3">
      <w:pPr>
        <w:pStyle w:val="NoSpacing"/>
        <w:rPr>
          <w:rFonts w:ascii="Arial Black" w:hAnsi="Arial Black"/>
          <w:sz w:val="24"/>
          <w:szCs w:val="24"/>
        </w:rPr>
      </w:pPr>
      <w:r w:rsidRPr="00791CA3">
        <w:rPr>
          <w:rFonts w:ascii="Arial Black" w:hAnsi="Arial Black"/>
          <w:sz w:val="24"/>
          <w:szCs w:val="24"/>
        </w:rPr>
        <w:t>2-</w:t>
      </w:r>
      <w:r>
        <w:rPr>
          <w:rFonts w:ascii="Arial Black" w:hAnsi="Arial Black"/>
          <w:sz w:val="24"/>
          <w:szCs w:val="24"/>
        </w:rPr>
        <w:t>2</w:t>
      </w:r>
    </w:p>
    <w:p w14:paraId="5D56D74D" w14:textId="77777777" w:rsidR="00F326E5" w:rsidRDefault="00F326E5" w:rsidP="00F326E5">
      <w:pPr>
        <w:rPr>
          <w:sz w:val="24"/>
          <w:szCs w:val="24"/>
        </w:rPr>
      </w:pPr>
    </w:p>
    <w:p w14:paraId="678E94EA" w14:textId="738A2BE7" w:rsidR="00F326E5" w:rsidRPr="004445C3" w:rsidRDefault="00F326E5" w:rsidP="00F326E5">
      <w:pPr>
        <w:rPr>
          <w:rFonts w:ascii="[" w:hAnsi="["/>
          <w:color w:val="4A4A4A"/>
          <w:sz w:val="24"/>
          <w:szCs w:val="24"/>
          <w:lang w:val="en"/>
        </w:rPr>
      </w:pPr>
      <w:bookmarkStart w:id="128" w:name="_Hlk7341158"/>
      <w:r>
        <w:rPr>
          <w:rFonts w:ascii="Arial Black" w:hAnsi="Arial Black" w:cs="Arial"/>
          <w:color w:val="4A4A4A"/>
          <w:sz w:val="28"/>
          <w:szCs w:val="28"/>
          <w:lang w:val="en"/>
        </w:rPr>
        <w:t xml:space="preserve">TX: </w:t>
      </w:r>
      <w:r w:rsidRPr="00992190">
        <w:rPr>
          <w:rFonts w:ascii="Arial Black" w:hAnsi="Arial Black" w:cs="Arial"/>
          <w:color w:val="4A4A4A"/>
          <w:sz w:val="28"/>
          <w:szCs w:val="28"/>
          <w:lang w:val="en"/>
        </w:rPr>
        <w:t xml:space="preserve">MURDER TRIAL </w:t>
      </w:r>
      <w:r>
        <w:rPr>
          <w:rFonts w:ascii="Arial Black" w:hAnsi="Arial Black" w:cs="Arial"/>
          <w:color w:val="4A4A4A"/>
          <w:sz w:val="28"/>
          <w:szCs w:val="28"/>
          <w:lang w:val="en"/>
        </w:rPr>
        <w:t xml:space="preserve">FOR KILLING A POLICE OFFICER – PD MAY BE AT TRIAL IN UNIFORM </w:t>
      </w:r>
      <w:r>
        <w:rPr>
          <w:rFonts w:ascii="[" w:hAnsi="["/>
          <w:color w:val="4A4A4A"/>
          <w:sz w:val="24"/>
          <w:szCs w:val="24"/>
          <w:lang w:val="en"/>
        </w:rPr>
        <w:t>[also filed, Chap. 1]</w:t>
      </w:r>
    </w:p>
    <w:p w14:paraId="63F3BD15" w14:textId="33E5A73A" w:rsidR="00F326E5" w:rsidRPr="0036327D" w:rsidRDefault="00F326E5" w:rsidP="00F326E5">
      <w:pPr>
        <w:rPr>
          <w:rStyle w:val="Hyperlink"/>
          <w:rFonts w:ascii="Times New Roman" w:hAnsi="Times New Roman"/>
          <w:sz w:val="24"/>
          <w:szCs w:val="24"/>
          <w:lang w:val="en"/>
        </w:rPr>
      </w:pPr>
      <w:r w:rsidRPr="0036327D">
        <w:rPr>
          <w:rFonts w:ascii="Times New Roman" w:hAnsi="Times New Roman"/>
          <w:color w:val="4A4A4A"/>
          <w:sz w:val="24"/>
          <w:szCs w:val="24"/>
          <w:lang w:val="en"/>
        </w:rPr>
        <w:t xml:space="preserve">On March 27, 2018, in </w:t>
      </w:r>
      <w:r w:rsidRPr="0036327D">
        <w:rPr>
          <w:rFonts w:ascii="Times New Roman" w:hAnsi="Times New Roman"/>
          <w:color w:val="4A4A4A"/>
          <w:sz w:val="24"/>
          <w:szCs w:val="24"/>
          <w:u w:val="single"/>
          <w:lang w:val="en"/>
        </w:rPr>
        <w:t xml:space="preserve">Shelton </w:t>
      </w:r>
      <w:proofErr w:type="spellStart"/>
      <w:r w:rsidRPr="0036327D">
        <w:rPr>
          <w:rFonts w:ascii="Times New Roman" w:hAnsi="Times New Roman"/>
          <w:color w:val="4A4A4A"/>
          <w:sz w:val="24"/>
          <w:szCs w:val="24"/>
          <w:u w:val="single"/>
          <w:lang w:val="en"/>
        </w:rPr>
        <w:t>Denoria</w:t>
      </w:r>
      <w:proofErr w:type="spellEnd"/>
      <w:r w:rsidRPr="0036327D">
        <w:rPr>
          <w:rFonts w:ascii="Times New Roman" w:hAnsi="Times New Roman"/>
          <w:color w:val="4A4A4A"/>
          <w:sz w:val="24"/>
          <w:szCs w:val="24"/>
          <w:u w:val="single"/>
          <w:lang w:val="en"/>
        </w:rPr>
        <w:t xml:space="preserve"> Jones v. Lorie Davis, Director, Texas Department of Criminal Justice</w:t>
      </w:r>
      <w:r w:rsidRPr="0036327D">
        <w:rPr>
          <w:rFonts w:ascii="Times New Roman" w:hAnsi="Times New Roman"/>
          <w:color w:val="4A4A4A"/>
          <w:sz w:val="24"/>
          <w:szCs w:val="24"/>
          <w:lang w:val="en"/>
        </w:rPr>
        <w:t>, the U.S. Court of Appeals for 5</w:t>
      </w:r>
      <w:r w:rsidRPr="0036327D">
        <w:rPr>
          <w:rFonts w:ascii="Times New Roman" w:hAnsi="Times New Roman"/>
          <w:color w:val="4A4A4A"/>
          <w:sz w:val="24"/>
          <w:szCs w:val="24"/>
          <w:vertAlign w:val="superscript"/>
          <w:lang w:val="en"/>
        </w:rPr>
        <w:t>th</w:t>
      </w:r>
      <w:r w:rsidRPr="0036327D">
        <w:rPr>
          <w:rFonts w:ascii="Times New Roman" w:hAnsi="Times New Roman"/>
          <w:color w:val="4A4A4A"/>
          <w:sz w:val="24"/>
          <w:szCs w:val="24"/>
          <w:lang w:val="en"/>
        </w:rPr>
        <w:t xml:space="preserve"> Circuit, held (3 to 0) that the defendant was not deprived of a fair trial in state court: “the record before us does not suggest the police presence intimidated the jury or disrupted the factfinding process in any way.” </w:t>
      </w:r>
      <w:hyperlink r:id="rId622" w:history="1">
        <w:r w:rsidRPr="0036327D">
          <w:rPr>
            <w:rStyle w:val="Hyperlink"/>
            <w:rFonts w:ascii="Times New Roman" w:hAnsi="Times New Roman"/>
            <w:sz w:val="24"/>
            <w:szCs w:val="24"/>
            <w:lang w:val="en"/>
          </w:rPr>
          <w:t>file:///C:/Users/lawre/AppData/Local/Microsoft/Windows/INetCache/IE/XO250S7T/15-70040-CV0.pdf</w:t>
        </w:r>
      </w:hyperlink>
    </w:p>
    <w:p w14:paraId="18A9B3EF" w14:textId="77777777" w:rsidR="00F326E5" w:rsidRPr="0036327D" w:rsidRDefault="00F326E5" w:rsidP="00F326E5">
      <w:pPr>
        <w:rPr>
          <w:rFonts w:ascii="Times New Roman" w:hAnsi="Times New Roman"/>
          <w:b/>
          <w:color w:val="4A4A4A"/>
          <w:sz w:val="24"/>
          <w:szCs w:val="24"/>
          <w:lang w:val="en"/>
        </w:rPr>
      </w:pPr>
      <w:bookmarkStart w:id="129" w:name="_Hlk1065353"/>
      <w:r w:rsidRPr="0036327D">
        <w:rPr>
          <w:rFonts w:ascii="Times New Roman" w:hAnsi="Times New Roman"/>
          <w:b/>
          <w:color w:val="4A4A4A"/>
          <w:sz w:val="24"/>
          <w:szCs w:val="24"/>
          <w:lang w:val="en"/>
        </w:rPr>
        <w:t xml:space="preserve">LEGAL LESSONS LEARNED:  Helpful decision – no evidence of jury intimidation by having emergency responders in uniform, watching a jury trial.  Before showing up in uniform, please discuss with your Chief and the prosecutor, who may want to review with trial judge, prior to start of trial. </w:t>
      </w:r>
    </w:p>
    <w:p w14:paraId="5EB00F6E" w14:textId="77777777" w:rsidR="00D46F1E" w:rsidRPr="0036327D" w:rsidRDefault="00D46F1E" w:rsidP="00F326E5">
      <w:pPr>
        <w:pStyle w:val="NoSpacing"/>
        <w:rPr>
          <w:rFonts w:ascii="Times New Roman" w:hAnsi="Times New Roman"/>
          <w:sz w:val="24"/>
          <w:szCs w:val="24"/>
        </w:rPr>
      </w:pPr>
      <w:bookmarkStart w:id="130" w:name="_Hlk515115331"/>
      <w:bookmarkEnd w:id="128"/>
      <w:bookmarkEnd w:id="129"/>
    </w:p>
    <w:p w14:paraId="5327D8FF" w14:textId="77777777" w:rsidR="00D46F1E" w:rsidRDefault="00D46F1E" w:rsidP="00F326E5">
      <w:pPr>
        <w:pStyle w:val="NoSpacing"/>
        <w:rPr>
          <w:sz w:val="24"/>
          <w:szCs w:val="24"/>
        </w:rPr>
      </w:pPr>
    </w:p>
    <w:p w14:paraId="71B7B4DB" w14:textId="24ADCB6B" w:rsidR="00D46F1E" w:rsidRPr="00791CA3" w:rsidRDefault="00791CA3" w:rsidP="00F326E5">
      <w:pPr>
        <w:pStyle w:val="NoSpacing"/>
        <w:rPr>
          <w:rFonts w:ascii="Arial Black" w:hAnsi="Arial Black"/>
          <w:sz w:val="24"/>
          <w:szCs w:val="24"/>
        </w:rPr>
      </w:pPr>
      <w:r w:rsidRPr="00791CA3">
        <w:rPr>
          <w:rFonts w:ascii="Arial Black" w:hAnsi="Arial Black"/>
          <w:sz w:val="24"/>
          <w:szCs w:val="24"/>
        </w:rPr>
        <w:t>2-1</w:t>
      </w:r>
    </w:p>
    <w:p w14:paraId="7A128CE5" w14:textId="77777777" w:rsidR="00D46F1E" w:rsidRDefault="00D46F1E" w:rsidP="00F326E5">
      <w:pPr>
        <w:pStyle w:val="NoSpacing"/>
        <w:rPr>
          <w:sz w:val="24"/>
          <w:szCs w:val="24"/>
        </w:rPr>
      </w:pPr>
    </w:p>
    <w:p w14:paraId="6607B45D" w14:textId="16C33E9F" w:rsidR="00F326E5" w:rsidRDefault="00F326E5" w:rsidP="00F326E5">
      <w:pPr>
        <w:pStyle w:val="NoSpacing"/>
        <w:rPr>
          <w:rFonts w:ascii="Arial Black" w:hAnsi="Arial Black"/>
          <w:b/>
          <w:sz w:val="28"/>
          <w:szCs w:val="28"/>
        </w:rPr>
      </w:pPr>
      <w:bookmarkStart w:id="131" w:name="_Hlk7341195"/>
      <w:r>
        <w:rPr>
          <w:rFonts w:ascii="Arial Black" w:hAnsi="Arial Black"/>
          <w:b/>
          <w:sz w:val="28"/>
          <w:szCs w:val="28"/>
        </w:rPr>
        <w:t>PA: SEAGRAVE FIRE APPARATUS – INSURANCE COMPANIES MUST DEFEND ON HEARING LOSS CLAIMS</w:t>
      </w:r>
    </w:p>
    <w:bookmarkEnd w:id="130"/>
    <w:p w14:paraId="509F34F7" w14:textId="14F36BFA" w:rsidR="00F326E5" w:rsidRPr="0036327D" w:rsidRDefault="00F326E5" w:rsidP="00F326E5">
      <w:pPr>
        <w:rPr>
          <w:rFonts w:ascii="Times New Roman" w:hAnsi="Times New Roman"/>
          <w:sz w:val="24"/>
          <w:szCs w:val="24"/>
        </w:rPr>
      </w:pPr>
      <w:r w:rsidRPr="0036327D">
        <w:rPr>
          <w:rFonts w:ascii="Times New Roman" w:hAnsi="Times New Roman"/>
          <w:sz w:val="24"/>
          <w:szCs w:val="24"/>
        </w:rPr>
        <w:t xml:space="preserve">On March 26, 2018, in </w:t>
      </w:r>
      <w:r w:rsidRPr="0036327D">
        <w:rPr>
          <w:rFonts w:ascii="Times New Roman" w:hAnsi="Times New Roman"/>
          <w:sz w:val="24"/>
          <w:szCs w:val="24"/>
          <w:u w:val="single"/>
        </w:rPr>
        <w:t>Seagrave Fire Apparatus, LLC v. CAN D/B/A Continental Casualty Company, et al.</w:t>
      </w:r>
      <w:r w:rsidRPr="0036327D">
        <w:rPr>
          <w:rFonts w:ascii="Times New Roman" w:hAnsi="Times New Roman"/>
          <w:sz w:val="24"/>
          <w:szCs w:val="24"/>
        </w:rPr>
        <w:t xml:space="preserve">, the Superior Court of Pennsylvania held (3 to 1) that several insurance companies that insured Seagrave must defend Seagrave under their contracts for firefighter hearing loss claims.  </w:t>
      </w:r>
      <w:hyperlink r:id="rId623" w:history="1">
        <w:r w:rsidRPr="0036327D">
          <w:rPr>
            <w:rStyle w:val="Hyperlink"/>
            <w:rFonts w:ascii="Times New Roman" w:hAnsi="Times New Roman"/>
            <w:sz w:val="24"/>
            <w:szCs w:val="24"/>
          </w:rPr>
          <w:t>file:///C:/Users/lawre/AppData/Local/Microsoft/Windows/INetCache/IE/XO250S7T/memorandum%20%20affirmed%20%2010347948434547371.pdf</w:t>
        </w:r>
      </w:hyperlink>
      <w:r w:rsidRPr="0036327D">
        <w:rPr>
          <w:rFonts w:ascii="Times New Roman" w:hAnsi="Times New Roman"/>
          <w:sz w:val="24"/>
          <w:szCs w:val="24"/>
        </w:rPr>
        <w:t xml:space="preserve"> </w:t>
      </w:r>
    </w:p>
    <w:p w14:paraId="06BFD820" w14:textId="7EAF05C7" w:rsidR="00F326E5" w:rsidRPr="0036327D" w:rsidRDefault="00F326E5" w:rsidP="00F326E5">
      <w:pPr>
        <w:rPr>
          <w:rFonts w:ascii="Times New Roman" w:hAnsi="Times New Roman"/>
          <w:b/>
          <w:sz w:val="24"/>
          <w:szCs w:val="24"/>
        </w:rPr>
      </w:pPr>
      <w:r w:rsidRPr="0036327D">
        <w:rPr>
          <w:rFonts w:ascii="Times New Roman" w:hAnsi="Times New Roman"/>
          <w:b/>
          <w:sz w:val="24"/>
          <w:szCs w:val="24"/>
        </w:rPr>
        <w:t>L</w:t>
      </w:r>
      <w:r w:rsidR="00965872">
        <w:rPr>
          <w:rFonts w:ascii="Times New Roman" w:hAnsi="Times New Roman"/>
          <w:b/>
          <w:sz w:val="24"/>
          <w:szCs w:val="24"/>
        </w:rPr>
        <w:t xml:space="preserve">egal Lessons Learned: </w:t>
      </w:r>
      <w:r w:rsidRPr="0036327D">
        <w:rPr>
          <w:rFonts w:ascii="Times New Roman" w:hAnsi="Times New Roman"/>
          <w:b/>
          <w:sz w:val="24"/>
          <w:szCs w:val="24"/>
        </w:rPr>
        <w:t xml:space="preserve">Insurance companies are obligated </w:t>
      </w:r>
      <w:proofErr w:type="gramStart"/>
      <w:r w:rsidRPr="0036327D">
        <w:rPr>
          <w:rFonts w:ascii="Times New Roman" w:hAnsi="Times New Roman"/>
          <w:b/>
          <w:sz w:val="24"/>
          <w:szCs w:val="24"/>
        </w:rPr>
        <w:t>per</w:t>
      </w:r>
      <w:proofErr w:type="gramEnd"/>
      <w:r w:rsidRPr="0036327D">
        <w:rPr>
          <w:rFonts w:ascii="Times New Roman" w:hAnsi="Times New Roman"/>
          <w:b/>
          <w:sz w:val="24"/>
          <w:szCs w:val="24"/>
        </w:rPr>
        <w:t xml:space="preserve"> terms of their contracts to defend Seagrave against the many pending claims. </w:t>
      </w:r>
    </w:p>
    <w:p w14:paraId="08D308CA" w14:textId="46B858FD" w:rsidR="00F326E5" w:rsidRPr="0036327D" w:rsidRDefault="00F326E5" w:rsidP="00F326E5">
      <w:pPr>
        <w:ind w:left="720"/>
        <w:rPr>
          <w:rFonts w:ascii="Times New Roman" w:hAnsi="Times New Roman"/>
          <w:sz w:val="24"/>
          <w:szCs w:val="24"/>
        </w:rPr>
      </w:pPr>
      <w:r w:rsidRPr="0036327D">
        <w:rPr>
          <w:rFonts w:ascii="Times New Roman" w:hAnsi="Times New Roman"/>
          <w:sz w:val="24"/>
          <w:szCs w:val="24"/>
        </w:rPr>
        <w:t xml:space="preserve">See, for example, this 2015 lawsuit filed on behalf of 34 New Jersey firefighters: </w:t>
      </w:r>
      <w:hyperlink r:id="rId624" w:history="1">
        <w:r w:rsidRPr="0036327D">
          <w:rPr>
            <w:rStyle w:val="Hyperlink"/>
            <w:rFonts w:ascii="Times New Roman" w:hAnsi="Times New Roman"/>
            <w:sz w:val="24"/>
            <w:szCs w:val="24"/>
          </w:rPr>
          <w:t>file:///C:/Users/lawre/AppData/Local/Microsoft/Windows/INetCache/IE/CTCRXJ99/Alvarez-v-American-LaFrance.pdf</w:t>
        </w:r>
      </w:hyperlink>
    </w:p>
    <w:bookmarkEnd w:id="131"/>
    <w:p w14:paraId="2304D399" w14:textId="77777777" w:rsidR="00F326E5" w:rsidRPr="008F54C5" w:rsidRDefault="00F326E5" w:rsidP="00F326E5">
      <w:pPr>
        <w:rPr>
          <w:b/>
          <w:sz w:val="24"/>
          <w:szCs w:val="24"/>
        </w:rPr>
      </w:pPr>
    </w:p>
    <w:p w14:paraId="0B36607D" w14:textId="77777777" w:rsidR="00F326E5" w:rsidRPr="008F54C5" w:rsidRDefault="00F326E5" w:rsidP="00F326E5">
      <w:pPr>
        <w:pStyle w:val="NoSpacing"/>
        <w:rPr>
          <w:b/>
          <w:sz w:val="24"/>
          <w:szCs w:val="24"/>
        </w:rPr>
      </w:pPr>
      <w:r w:rsidRPr="008F54C5">
        <w:rPr>
          <w:b/>
          <w:sz w:val="24"/>
          <w:szCs w:val="24"/>
        </w:rPr>
        <w:lastRenderedPageBreak/>
        <w:t xml:space="preserve"> </w:t>
      </w:r>
    </w:p>
    <w:p w14:paraId="40204EF6" w14:textId="77777777" w:rsidR="00F326E5" w:rsidRDefault="00F326E5" w:rsidP="00F326E5">
      <w:pPr>
        <w:rPr>
          <w:rStyle w:val="Hyperlink"/>
          <w:b/>
          <w:sz w:val="24"/>
          <w:szCs w:val="24"/>
          <w:lang w:val="en"/>
        </w:rPr>
      </w:pPr>
      <w:r>
        <w:rPr>
          <w:rStyle w:val="Hyperlink"/>
          <w:sz w:val="24"/>
          <w:szCs w:val="24"/>
          <w:lang w:val="en"/>
        </w:rPr>
        <w:br w:type="page"/>
      </w:r>
    </w:p>
    <w:p w14:paraId="1A70740B" w14:textId="0ED3A3BB" w:rsidR="007F56D6" w:rsidRDefault="007F56D6">
      <w:pPr>
        <w:spacing w:after="0" w:line="240" w:lineRule="auto"/>
        <w:rPr>
          <w:rFonts w:ascii="Arial Black" w:hAnsi="Arial Black"/>
          <w:sz w:val="40"/>
          <w:szCs w:val="40"/>
        </w:rPr>
      </w:pPr>
      <w:r>
        <w:rPr>
          <w:rFonts w:ascii="Arial Black" w:hAnsi="Arial Black"/>
          <w:sz w:val="40"/>
          <w:szCs w:val="40"/>
        </w:rPr>
        <w:lastRenderedPageBreak/>
        <w:br w:type="page"/>
      </w:r>
    </w:p>
    <w:p w14:paraId="32820C02" w14:textId="0B8B2CC9" w:rsidR="00F326E5" w:rsidRDefault="00F326E5" w:rsidP="00F326E5">
      <w:pPr>
        <w:pStyle w:val="NoSpacing"/>
        <w:rPr>
          <w:rFonts w:ascii="Arial Black" w:hAnsi="Arial Black"/>
          <w:sz w:val="40"/>
          <w:szCs w:val="40"/>
        </w:rPr>
      </w:pPr>
      <w:r w:rsidRPr="007732FA">
        <w:rPr>
          <w:rFonts w:ascii="Arial Black" w:hAnsi="Arial Black"/>
          <w:sz w:val="40"/>
          <w:szCs w:val="40"/>
        </w:rPr>
        <w:lastRenderedPageBreak/>
        <w:t>Chap. 3</w:t>
      </w:r>
      <w:r w:rsidRPr="007732FA">
        <w:rPr>
          <w:rFonts w:ascii="Arial Black" w:hAnsi="Arial Black"/>
          <w:sz w:val="40"/>
          <w:szCs w:val="40"/>
        </w:rPr>
        <w:tab/>
        <w:t>Homeland Security</w:t>
      </w:r>
      <w:r w:rsidR="003F660F">
        <w:rPr>
          <w:rFonts w:ascii="Arial Black" w:hAnsi="Arial Black"/>
          <w:sz w:val="40"/>
          <w:szCs w:val="40"/>
        </w:rPr>
        <w:t xml:space="preserve">, including </w:t>
      </w:r>
      <w:r w:rsidRPr="007732FA">
        <w:rPr>
          <w:rFonts w:ascii="Arial Black" w:hAnsi="Arial Black"/>
          <w:sz w:val="40"/>
          <w:szCs w:val="40"/>
        </w:rPr>
        <w:t>Active Shooter</w:t>
      </w:r>
      <w:r w:rsidR="003F660F">
        <w:rPr>
          <w:rFonts w:ascii="Arial Black" w:hAnsi="Arial Black"/>
          <w:sz w:val="40"/>
          <w:szCs w:val="40"/>
        </w:rPr>
        <w:t xml:space="preserve">, </w:t>
      </w:r>
      <w:r w:rsidR="00636395">
        <w:rPr>
          <w:rFonts w:ascii="Arial Black" w:hAnsi="Arial Black"/>
          <w:sz w:val="40"/>
          <w:szCs w:val="40"/>
        </w:rPr>
        <w:t>Cybersecurity</w:t>
      </w:r>
      <w:r w:rsidR="00BC5936">
        <w:rPr>
          <w:rFonts w:ascii="Arial Black" w:hAnsi="Arial Black"/>
          <w:sz w:val="40"/>
          <w:szCs w:val="40"/>
        </w:rPr>
        <w:t>, Immigration</w:t>
      </w:r>
    </w:p>
    <w:p w14:paraId="42137DFF" w14:textId="77777777" w:rsidR="00F326E5" w:rsidRDefault="00F326E5" w:rsidP="00F326E5">
      <w:pPr>
        <w:pStyle w:val="NoSpacing"/>
        <w:rPr>
          <w:sz w:val="24"/>
          <w:szCs w:val="24"/>
        </w:rPr>
      </w:pPr>
    </w:p>
    <w:p w14:paraId="49989F29" w14:textId="0254C483" w:rsidR="00835773" w:rsidRDefault="0093712E" w:rsidP="006B4271">
      <w:pPr>
        <w:pStyle w:val="NoSpacing"/>
        <w:rPr>
          <w:rFonts w:ascii="Arial Black" w:hAnsi="Arial Black"/>
          <w:sz w:val="28"/>
          <w:szCs w:val="28"/>
        </w:rPr>
      </w:pPr>
      <w:bookmarkStart w:id="132" w:name="_Hlk7341375"/>
      <w:r>
        <w:rPr>
          <w:rFonts w:ascii="Arial Black" w:hAnsi="Arial Black"/>
          <w:sz w:val="28"/>
          <w:szCs w:val="28"/>
        </w:rPr>
        <w:t>3-95</w:t>
      </w:r>
    </w:p>
    <w:p w14:paraId="69B94B4F" w14:textId="77777777" w:rsidR="0093712E" w:rsidRDefault="0093712E" w:rsidP="006B4271">
      <w:pPr>
        <w:pStyle w:val="NoSpacing"/>
        <w:rPr>
          <w:rFonts w:ascii="Arial Black" w:hAnsi="Arial Black"/>
          <w:sz w:val="28"/>
          <w:szCs w:val="28"/>
        </w:rPr>
      </w:pPr>
    </w:p>
    <w:p w14:paraId="28CAE2B9" w14:textId="77777777" w:rsidR="00835773" w:rsidRDefault="00835773" w:rsidP="00835773">
      <w:pPr>
        <w:pStyle w:val="NoSpacing"/>
        <w:rPr>
          <w:rFonts w:ascii="Arial Black" w:hAnsi="Arial Black"/>
          <w:b/>
          <w:sz w:val="28"/>
          <w:szCs w:val="28"/>
        </w:rPr>
      </w:pPr>
      <w:r>
        <w:rPr>
          <w:rFonts w:ascii="Arial Black" w:hAnsi="Arial Black"/>
          <w:b/>
          <w:sz w:val="28"/>
          <w:szCs w:val="28"/>
        </w:rPr>
        <w:t>MA: GRANTS – “DOGE” CUTS - 20 STATES / INJUNCTION</w:t>
      </w:r>
    </w:p>
    <w:p w14:paraId="0A68A51B" w14:textId="77777777" w:rsidR="00835773" w:rsidRDefault="00835773" w:rsidP="00835773">
      <w:pPr>
        <w:pStyle w:val="NoSpacing"/>
        <w:rPr>
          <w:rFonts w:ascii="Arial Black" w:hAnsi="Arial Black"/>
          <w:b/>
          <w:sz w:val="28"/>
          <w:szCs w:val="28"/>
        </w:rPr>
      </w:pPr>
    </w:p>
    <w:p w14:paraId="6B92C4BD" w14:textId="77777777" w:rsidR="00835773" w:rsidRDefault="00835773" w:rsidP="00835773">
      <w:pPr>
        <w:pStyle w:val="NoSpacing"/>
      </w:pPr>
      <w:r w:rsidRPr="003F55F4">
        <w:t xml:space="preserve">On July 21, 2026, in </w:t>
      </w:r>
      <w:r w:rsidRPr="003F55F4">
        <w:rPr>
          <w:u w:val="single"/>
        </w:rPr>
        <w:t>State of New Jersey, et al. v. United States Office of Management &amp; Budget</w:t>
      </w:r>
      <w:r w:rsidRPr="003F55F4">
        <w:t xml:space="preserve">, </w:t>
      </w:r>
      <w:r>
        <w:t xml:space="preserve">U.S. District Court Judge Indira Talwan, United States District Court for the District of Massachusetts, granted the States’ motion for summary judgment; this impacts billions of federal dollars. The court declared that federal regulations do not allow </w:t>
      </w:r>
      <w:proofErr w:type="gramStart"/>
      <w:r>
        <w:t>terminations</w:t>
      </w:r>
      <w:proofErr w:type="gramEnd"/>
      <w:r>
        <w:t xml:space="preserve"> of awards based on new program goals or agency priorities that an agency identifies after granting the award. On January 20, 2025, President Trump issued an Executive Order creating the United States Department of Government Efficiency (‘DOGE’). Establishing and Implementing the President’s ‘‘Department of Government </w:t>
      </w:r>
      <w:proofErr w:type="gramStart"/>
      <w:r>
        <w:t>Efficiency,’</w:t>
      </w:r>
      <w:proofErr w:type="gramEnd"/>
      <w:r>
        <w:t>’ Exec. Order No. 14158, 90 Fed. Reg.</w:t>
      </w:r>
      <w:r w:rsidRPr="000D4AC5">
        <w:t xml:space="preserve"> 8441 (Jan. 20, 2025).</w:t>
      </w:r>
    </w:p>
    <w:p w14:paraId="78926EE2" w14:textId="77777777" w:rsidR="00835773" w:rsidRDefault="00835773" w:rsidP="00835773">
      <w:pPr>
        <w:pStyle w:val="NoSpacing"/>
      </w:pPr>
      <w:hyperlink r:id="rId625" w:history="1">
        <w:r w:rsidRPr="00BB72FB">
          <w:rPr>
            <w:rStyle w:val="Hyperlink"/>
          </w:rPr>
          <w:t>https://www.doj.state.or.us/wp-content/uploads/2026/07/ECF-122-Memorandum-and-Order-on-Ps-MSJ-and-Ds-MTD.pdf</w:t>
        </w:r>
      </w:hyperlink>
      <w:r>
        <w:t xml:space="preserve"> </w:t>
      </w:r>
    </w:p>
    <w:p w14:paraId="24B4C76B" w14:textId="77777777" w:rsidR="00835773" w:rsidRDefault="00835773" w:rsidP="00835773">
      <w:pPr>
        <w:pStyle w:val="NoSpacing"/>
      </w:pPr>
    </w:p>
    <w:p w14:paraId="46531C54" w14:textId="77777777" w:rsidR="00835773" w:rsidRDefault="00835773" w:rsidP="00835773">
      <w:pPr>
        <w:pStyle w:val="NoSpacing"/>
      </w:pPr>
      <w:r>
        <w:t>THE COURT WROTE:</w:t>
      </w:r>
    </w:p>
    <w:p w14:paraId="7D728ECA" w14:textId="77777777" w:rsidR="00835773" w:rsidRPr="003F55F4" w:rsidRDefault="00835773" w:rsidP="00835773">
      <w:pPr>
        <w:pStyle w:val="NoSpacing"/>
        <w:rPr>
          <w:bCs/>
        </w:rPr>
      </w:pPr>
    </w:p>
    <w:p w14:paraId="2EDCD824" w14:textId="77777777" w:rsidR="00835773" w:rsidRPr="00F84E4F" w:rsidRDefault="00835773" w:rsidP="00835773">
      <w:pPr>
        <w:pStyle w:val="NoSpacing"/>
      </w:pPr>
      <w:r>
        <w:t>“</w:t>
      </w:r>
      <w:r w:rsidRPr="00F84E4F">
        <w:t>Plaintiffs allege that, since January 2025, federal agencies have terminated billions of</w:t>
      </w:r>
    </w:p>
    <w:p w14:paraId="695CA130" w14:textId="77777777" w:rsidR="00835773" w:rsidRPr="00F84E4F" w:rsidRDefault="00835773" w:rsidP="00835773">
      <w:pPr>
        <w:pStyle w:val="NoSpacing"/>
      </w:pPr>
      <w:r w:rsidRPr="00F84E4F">
        <w:t>dollars in federal grant funding awarded to Plaintiffs. These terminations have affected grants for</w:t>
      </w:r>
    </w:p>
    <w:p w14:paraId="21A08C8D" w14:textId="77777777" w:rsidR="00835773" w:rsidRPr="00F84E4F" w:rsidRDefault="00835773" w:rsidP="00835773">
      <w:pPr>
        <w:pStyle w:val="NoSpacing"/>
      </w:pPr>
      <w:r w:rsidRPr="00F84E4F">
        <w:t>universities, initiatives to combat violent crime and hate crimes, and school lunch programs,</w:t>
      </w:r>
    </w:p>
    <w:p w14:paraId="273CB618" w14:textId="77777777" w:rsidR="00835773" w:rsidRDefault="00835773" w:rsidP="00835773">
      <w:pPr>
        <w:pStyle w:val="NoSpacing"/>
      </w:pPr>
      <w:r w:rsidRPr="00F84E4F">
        <w:t>among other programs</w:t>
      </w:r>
      <w:r>
        <w:t>… Defendants argue that Plaintiffs’ claims must wait until ‘a termination actually happens” to challenge grant terminations…. The ripeness doctrine imposes no</w:t>
      </w:r>
    </w:p>
    <w:p w14:paraId="5F228B63" w14:textId="77777777" w:rsidR="00835773" w:rsidRDefault="00835773" w:rsidP="00835773">
      <w:pPr>
        <w:pStyle w:val="NoSpacing"/>
      </w:pPr>
      <w:r>
        <w:t xml:space="preserve">such requirement. It is sufficient that the potential harm be imminent…. The Implementation of the President’s Vision As discussed above, Defendants’ interpretation of the Termination Clause is not clearly supported by the text of the provision, runs counter to the regulatory scheme, receives no support in the rulemaking history, and would violate the Spending Clause’s requirement that conditions be imposed unambiguously. Defendants insist, however, the Plaintiffs’ interpretation of the Termination Clause would be contrary to the function of the OMB: supporting each President in implementing ‘his or her vision across the Executive Branch.’ … (internal quotation omitted). </w:t>
      </w:r>
    </w:p>
    <w:p w14:paraId="4B4A388B" w14:textId="77777777" w:rsidR="00835773" w:rsidRDefault="00835773" w:rsidP="00835773">
      <w:pPr>
        <w:pStyle w:val="NoSpacing"/>
      </w:pPr>
    </w:p>
    <w:p w14:paraId="796815B1" w14:textId="77777777" w:rsidR="00835773" w:rsidRDefault="00835773" w:rsidP="00835773">
      <w:pPr>
        <w:pStyle w:val="NoSpacing"/>
      </w:pPr>
      <w:r>
        <w:t>***</w:t>
      </w:r>
    </w:p>
    <w:p w14:paraId="29152867" w14:textId="77777777" w:rsidR="00835773" w:rsidRDefault="00835773" w:rsidP="00835773">
      <w:pPr>
        <w:pStyle w:val="NoSpacing"/>
      </w:pPr>
    </w:p>
    <w:p w14:paraId="2BBBD00F" w14:textId="77777777" w:rsidR="00835773" w:rsidRDefault="00835773" w:rsidP="00835773">
      <w:pPr>
        <w:pStyle w:val="NoSpacing"/>
      </w:pPr>
      <w:r>
        <w:t xml:space="preserve">Nothing in this interpretation of the Termination Clause limits the President or Agencies from setting program goals and agency priorities before awarding new grants. The regulation, as declared by this court, demands only that grantees be apprised of those goals and priorities before grants are awarded…. </w:t>
      </w:r>
      <w:r w:rsidRPr="00711FAB">
        <w:t>Accordingly, the court finds that the Termination Clause does not permit the termination</w:t>
      </w:r>
      <w:r>
        <w:t xml:space="preserve"> </w:t>
      </w:r>
      <w:r w:rsidRPr="00711FAB">
        <w:t>of grants based on their inability to effectuate program goals and agency priorities identified after</w:t>
      </w:r>
      <w:r>
        <w:t xml:space="preserve"> </w:t>
      </w:r>
      <w:r w:rsidRPr="00711FAB">
        <w:t>the award was made</w:t>
      </w:r>
      <w:r>
        <w:t>.”</w:t>
      </w:r>
    </w:p>
    <w:p w14:paraId="5F29A4B7" w14:textId="77777777" w:rsidR="00835773" w:rsidRDefault="00835773" w:rsidP="00835773">
      <w:pPr>
        <w:pStyle w:val="NoSpacing"/>
      </w:pPr>
    </w:p>
    <w:p w14:paraId="5BA0F571" w14:textId="77777777" w:rsidR="00835773" w:rsidRPr="00A738B5" w:rsidRDefault="00835773" w:rsidP="00835773">
      <w:pPr>
        <w:pStyle w:val="NoSpacing"/>
        <w:rPr>
          <w:b/>
          <w:bCs/>
        </w:rPr>
      </w:pPr>
      <w:r w:rsidRPr="00A738B5">
        <w:rPr>
          <w:b/>
        </w:rPr>
        <w:t xml:space="preserve">Legal lesson learned: </w:t>
      </w:r>
      <w:r>
        <w:rPr>
          <w:b/>
        </w:rPr>
        <w:t xml:space="preserve">Important decision impacting billions of dollars in federal grants </w:t>
      </w:r>
    </w:p>
    <w:p w14:paraId="48F4DEA5" w14:textId="77777777" w:rsidR="00835773" w:rsidRDefault="00835773" w:rsidP="00835773">
      <w:pPr>
        <w:pStyle w:val="NoSpacing"/>
      </w:pPr>
    </w:p>
    <w:p w14:paraId="750E3DAC" w14:textId="77777777" w:rsidR="00835773" w:rsidRDefault="00835773" w:rsidP="00835773">
      <w:pPr>
        <w:pStyle w:val="NoSpacing"/>
        <w:rPr>
          <w:bCs/>
        </w:rPr>
      </w:pPr>
      <w:r>
        <w:rPr>
          <w:b/>
        </w:rPr>
        <w:tab/>
      </w:r>
      <w:r w:rsidRPr="00883AAF">
        <w:t xml:space="preserve">Note: See articles about this decision. </w:t>
      </w:r>
    </w:p>
    <w:p w14:paraId="3E60F89B" w14:textId="77777777" w:rsidR="00835773" w:rsidRDefault="00835773" w:rsidP="00835773">
      <w:pPr>
        <w:pStyle w:val="NoSpacing"/>
        <w:rPr>
          <w:bCs/>
        </w:rPr>
      </w:pPr>
    </w:p>
    <w:p w14:paraId="292E155F" w14:textId="77777777" w:rsidR="00835773" w:rsidRPr="00112671" w:rsidRDefault="00835773" w:rsidP="00835773">
      <w:pPr>
        <w:pStyle w:val="NoSpacing"/>
        <w:ind w:left="720"/>
        <w:rPr>
          <w:b/>
        </w:rPr>
      </w:pPr>
      <w:r>
        <w:t xml:space="preserve">July 19, 2026: </w:t>
      </w:r>
      <w:r w:rsidRPr="00081BF7">
        <w:t xml:space="preserve">Boston judge rejects US administration’s use of agency priorities clause in funding cuts. </w:t>
      </w:r>
      <w:hyperlink r:id="rId626" w:history="1">
        <w:r w:rsidRPr="00081BF7">
          <w:rPr>
            <w:rStyle w:val="Hyperlink"/>
          </w:rPr>
          <w:t>https://www.canadianlawyermag.com/news/international/boston-judge-rejects-us-administrations-use-of-agency-priorities-clause-in-funding-cuts/394386</w:t>
        </w:r>
      </w:hyperlink>
      <w:r>
        <w:rPr>
          <w:b/>
        </w:rPr>
        <w:t xml:space="preserve"> </w:t>
      </w:r>
    </w:p>
    <w:p w14:paraId="67F6A6CA" w14:textId="77777777" w:rsidR="00835773" w:rsidRDefault="00835773" w:rsidP="00835773">
      <w:pPr>
        <w:pStyle w:val="NoSpacing"/>
        <w:ind w:left="720"/>
        <w:rPr>
          <w:bCs/>
        </w:rPr>
      </w:pPr>
    </w:p>
    <w:p w14:paraId="7C6985F2" w14:textId="77777777" w:rsidR="00835773" w:rsidRDefault="00835773" w:rsidP="00835773">
      <w:pPr>
        <w:pStyle w:val="NoSpacing"/>
        <w:ind w:left="720"/>
        <w:rPr>
          <w:bCs/>
        </w:rPr>
      </w:pPr>
    </w:p>
    <w:p w14:paraId="77448AB3" w14:textId="77777777" w:rsidR="00835773" w:rsidRDefault="00835773" w:rsidP="00835773">
      <w:pPr>
        <w:pStyle w:val="NoSpacing"/>
        <w:ind w:left="720"/>
        <w:rPr>
          <w:bCs/>
        </w:rPr>
      </w:pPr>
      <w:r>
        <w:lastRenderedPageBreak/>
        <w:t xml:space="preserve">July 18, 2026; </w:t>
      </w:r>
      <w:r w:rsidRPr="00DA6096">
        <w:t xml:space="preserve">Federal judge bars Trump administration from using obscure clause to make huge funding cuts. </w:t>
      </w:r>
      <w:hyperlink r:id="rId627" w:history="1">
        <w:r w:rsidRPr="00DA6096">
          <w:rPr>
            <w:rStyle w:val="Hyperlink"/>
          </w:rPr>
          <w:t>https://www.kltv.com/2026/07/19/federal-judge-bars-trump-administration-using-obscure-clause-make-huge-funding-cuts/</w:t>
        </w:r>
      </w:hyperlink>
      <w:r w:rsidRPr="00DA6096">
        <w:t xml:space="preserve"> </w:t>
      </w:r>
    </w:p>
    <w:p w14:paraId="1B89E38D" w14:textId="77777777" w:rsidR="00835773" w:rsidRDefault="00835773" w:rsidP="00835773">
      <w:pPr>
        <w:pStyle w:val="NoSpacing"/>
        <w:ind w:left="720"/>
        <w:rPr>
          <w:bCs/>
        </w:rPr>
      </w:pPr>
    </w:p>
    <w:p w14:paraId="13EB48B4" w14:textId="77777777" w:rsidR="00835773" w:rsidRDefault="00835773" w:rsidP="00835773">
      <w:pPr>
        <w:pStyle w:val="NoSpacing"/>
        <w:ind w:left="720"/>
        <w:rPr>
          <w:b/>
        </w:rPr>
      </w:pPr>
      <w:r>
        <w:t xml:space="preserve">July 17, 2026: </w:t>
      </w:r>
      <w:r w:rsidRPr="0056229D">
        <w:t xml:space="preserve">Boston federal judge bars Trump administration from using obscure clause to make huge funding cuts. </w:t>
      </w:r>
      <w:hyperlink r:id="rId628" w:history="1">
        <w:r w:rsidRPr="0056229D">
          <w:rPr>
            <w:rStyle w:val="Hyperlink"/>
          </w:rPr>
          <w:t>https://www.boston.com/news/national-news/2026/07/17/boston-federal-judge-bars-trump-administration-from-using-obscure-clause-to-make-huge-funding-cuts/</w:t>
        </w:r>
      </w:hyperlink>
      <w:r>
        <w:rPr>
          <w:b/>
        </w:rPr>
        <w:t xml:space="preserve"> </w:t>
      </w:r>
    </w:p>
    <w:p w14:paraId="4450E8DF" w14:textId="77777777" w:rsidR="00835773" w:rsidRDefault="00835773" w:rsidP="00835773">
      <w:pPr>
        <w:pStyle w:val="NoSpacing"/>
        <w:ind w:left="720"/>
        <w:rPr>
          <w:b/>
        </w:rPr>
      </w:pPr>
    </w:p>
    <w:p w14:paraId="6F0297CA" w14:textId="77777777" w:rsidR="00835773" w:rsidRDefault="00835773" w:rsidP="00835773">
      <w:pPr>
        <w:pStyle w:val="NoSpacing"/>
        <w:ind w:left="720"/>
        <w:rPr>
          <w:bCs/>
        </w:rPr>
      </w:pPr>
      <w:r w:rsidRPr="0027475F">
        <w:t xml:space="preserve">July 16, 2026: Hundreds of NIH grant terminations are ‘void and illegal,’ federal judge rules.  </w:t>
      </w:r>
      <w:hyperlink r:id="rId629" w:history="1">
        <w:r w:rsidRPr="0027475F">
          <w:rPr>
            <w:rStyle w:val="Hyperlink"/>
          </w:rPr>
          <w:t>https://www.statnews.com/2025/06/16/nih-research-cuts-ruled-illegal-by-federal-judge-william-young/</w:t>
        </w:r>
      </w:hyperlink>
      <w:r w:rsidRPr="0027475F">
        <w:t xml:space="preserve"> </w:t>
      </w:r>
    </w:p>
    <w:p w14:paraId="518605FC" w14:textId="77777777" w:rsidR="00835773" w:rsidRDefault="00835773" w:rsidP="00835773">
      <w:pPr>
        <w:pStyle w:val="NoSpacing"/>
        <w:ind w:left="720"/>
        <w:rPr>
          <w:bCs/>
        </w:rPr>
      </w:pPr>
    </w:p>
    <w:p w14:paraId="1DA07A14" w14:textId="77777777" w:rsidR="00835773" w:rsidRPr="00401426" w:rsidRDefault="00835773" w:rsidP="00835773">
      <w:pPr>
        <w:pStyle w:val="NoSpacing"/>
        <w:jc w:val="center"/>
        <w:rPr>
          <w:rFonts w:ascii="Arial Black" w:hAnsi="Arial Black"/>
          <w:sz w:val="40"/>
          <w:szCs w:val="40"/>
        </w:rPr>
      </w:pPr>
    </w:p>
    <w:p w14:paraId="080FD68D" w14:textId="0BA21BA8" w:rsidR="00835773" w:rsidRPr="00835773" w:rsidRDefault="00835773" w:rsidP="00835773">
      <w:pPr>
        <w:pStyle w:val="NoSpacing"/>
        <w:rPr>
          <w:rFonts w:ascii="Arial Black" w:hAnsi="Arial Black"/>
          <w:b/>
          <w:sz w:val="24"/>
          <w:szCs w:val="24"/>
        </w:rPr>
      </w:pPr>
      <w:r w:rsidRPr="00835773">
        <w:rPr>
          <w:rFonts w:ascii="Arial Black" w:hAnsi="Arial Black"/>
          <w:b/>
          <w:sz w:val="24"/>
          <w:szCs w:val="24"/>
        </w:rPr>
        <w:t>3-94</w:t>
      </w:r>
    </w:p>
    <w:p w14:paraId="62A69B2A" w14:textId="77777777" w:rsidR="00835773" w:rsidRPr="00835773" w:rsidRDefault="00835773" w:rsidP="00835773">
      <w:pPr>
        <w:pStyle w:val="NoSpacing"/>
        <w:rPr>
          <w:rFonts w:ascii="Arial Black" w:hAnsi="Arial Black"/>
          <w:sz w:val="24"/>
          <w:szCs w:val="24"/>
        </w:rPr>
      </w:pPr>
    </w:p>
    <w:p w14:paraId="2C9B8016" w14:textId="77777777" w:rsidR="00835773" w:rsidRPr="0088501B" w:rsidRDefault="00835773" w:rsidP="00835773">
      <w:pPr>
        <w:pStyle w:val="NoSpacing"/>
        <w:rPr>
          <w:rFonts w:ascii="Arial Black" w:hAnsi="Arial Black"/>
          <w:sz w:val="28"/>
          <w:szCs w:val="28"/>
        </w:rPr>
      </w:pPr>
      <w:r w:rsidRPr="0088501B">
        <w:rPr>
          <w:rFonts w:ascii="Arial Black" w:hAnsi="Arial Black"/>
          <w:sz w:val="28"/>
          <w:szCs w:val="28"/>
        </w:rPr>
        <w:t xml:space="preserve">CA: PUBLIC SAFETY GRANTS – INJUNCTION TRUMP DEI </w:t>
      </w:r>
    </w:p>
    <w:p w14:paraId="648DA00F" w14:textId="77777777" w:rsidR="00835773" w:rsidRPr="0088501B" w:rsidRDefault="00835773" w:rsidP="00835773">
      <w:pPr>
        <w:pStyle w:val="NoSpacing"/>
        <w:rPr>
          <w:rFonts w:ascii="Arial Black" w:hAnsi="Arial Black"/>
          <w:sz w:val="28"/>
          <w:szCs w:val="28"/>
        </w:rPr>
      </w:pPr>
    </w:p>
    <w:p w14:paraId="28425803" w14:textId="77777777" w:rsidR="00835773" w:rsidRPr="0088501B" w:rsidRDefault="00835773" w:rsidP="00835773">
      <w:pPr>
        <w:pStyle w:val="NoSpacing"/>
      </w:pPr>
      <w:r w:rsidRPr="0088501B">
        <w:t xml:space="preserve">On July 9, 2026, in </w:t>
      </w:r>
      <w:r w:rsidRPr="0088501B">
        <w:rPr>
          <w:u w:val="single"/>
        </w:rPr>
        <w:t>City of Fresno, et al. v. Markwayne Mullin, et al</w:t>
      </w:r>
      <w:r w:rsidRPr="0088501B">
        <w:t>., U.S. District Court Judge William H. Orrick, United States District Court for the Northern District of California, granted the motions by eleven cities and counties to enjoin enforcement of DEI “Challenged Conditions” at DHS, DOJ, and DOI in grants for which plaintiffs have applied or intend to apply.  In 2025, Judge Orrick likewise issued a preliminary injunction for County of Santa Clara preventing the Trump Administration from withholding federal funding to Plaintiff cities and counties unless they assist the federal government with its civil immigration enforcement responsibilities.</w:t>
      </w:r>
    </w:p>
    <w:p w14:paraId="14372889" w14:textId="77777777" w:rsidR="00835773" w:rsidRPr="0088501B" w:rsidRDefault="00835773" w:rsidP="00835773">
      <w:pPr>
        <w:pStyle w:val="NoSpacing"/>
      </w:pPr>
      <w:hyperlink r:id="rId630" w:history="1">
        <w:r w:rsidRPr="0088501B">
          <w:rPr>
            <w:rStyle w:val="Hyperlink"/>
            <w:b/>
          </w:rPr>
          <w:t>https://www.courthousenews.com/wp-content/uploads/2026/07/fresno-prelim-grants.pdf</w:t>
        </w:r>
      </w:hyperlink>
      <w:r w:rsidRPr="0088501B">
        <w:t xml:space="preserve"> </w:t>
      </w:r>
    </w:p>
    <w:p w14:paraId="231AC126" w14:textId="77777777" w:rsidR="00835773" w:rsidRPr="0088501B" w:rsidRDefault="00835773" w:rsidP="00835773">
      <w:pPr>
        <w:pStyle w:val="NoSpacing"/>
      </w:pPr>
    </w:p>
    <w:p w14:paraId="54709D2E" w14:textId="77777777" w:rsidR="00835773" w:rsidRPr="0088501B" w:rsidRDefault="00835773" w:rsidP="00835773">
      <w:pPr>
        <w:pStyle w:val="NoSpacing"/>
      </w:pPr>
      <w:r w:rsidRPr="0088501B">
        <w:t>THE COURT WROTE: “The result of their imposition of the Challenged Conditions would irreparably injure plaintiffs and their ability to provide critical services, as well as would threaten public safety…. Since taking office in January 2025, President Trump has issued numerous executive orders that impose conditions on federal funding that plaintiffs believe ‘bear little or no</w:t>
      </w:r>
    </w:p>
    <w:p w14:paraId="7F4AC766" w14:textId="77777777" w:rsidR="00835773" w:rsidRPr="0088501B" w:rsidRDefault="00835773" w:rsidP="00835773">
      <w:pPr>
        <w:pStyle w:val="NoSpacing"/>
      </w:pPr>
      <w:r w:rsidRPr="0088501B">
        <w:t>connection to the purposes of the grant programs Congress established, lack statutory authorization, conflict with the law as interpreted by the courts, and are even at odds with the</w:t>
      </w:r>
    </w:p>
    <w:p w14:paraId="72D07E26" w14:textId="77777777" w:rsidR="00835773" w:rsidRPr="0088501B" w:rsidRDefault="00835773" w:rsidP="00835773">
      <w:pPr>
        <w:pStyle w:val="NoSpacing"/>
      </w:pPr>
      <w:r w:rsidRPr="0088501B">
        <w:t>purposes of the grants they purport to amend.’ … These orders particularly attack</w:t>
      </w:r>
    </w:p>
    <w:p w14:paraId="43847FCD" w14:textId="77777777" w:rsidR="00835773" w:rsidRPr="0088501B" w:rsidRDefault="00835773" w:rsidP="00835773">
      <w:pPr>
        <w:pStyle w:val="NoSpacing"/>
      </w:pPr>
      <w:r w:rsidRPr="0088501B">
        <w:t>‘</w:t>
      </w:r>
      <w:proofErr w:type="gramStart"/>
      <w:r w:rsidRPr="0088501B">
        <w:t>diversity</w:t>
      </w:r>
      <w:proofErr w:type="gramEnd"/>
      <w:r w:rsidRPr="0088501B">
        <w:t>, equity, and inclusion</w:t>
      </w:r>
      <w:proofErr w:type="gramStart"/>
      <w:r w:rsidRPr="0088501B">
        <w:t>’ (‘</w:t>
      </w:r>
      <w:proofErr w:type="gramEnd"/>
      <w:r w:rsidRPr="0088501B">
        <w:t>DEI’) and ‘diversity, equity, inclusion, and accessibility’</w:t>
      </w:r>
    </w:p>
    <w:p w14:paraId="4D27A906" w14:textId="77777777" w:rsidR="00835773" w:rsidRDefault="00835773" w:rsidP="00835773">
      <w:pPr>
        <w:pStyle w:val="NoSpacing"/>
      </w:pPr>
      <w:r w:rsidRPr="0088501B">
        <w:t>(‘DEIA’) programs and policies that many government entities have adopted, as well as states and governments who, in their view, fail to comply with federal immigration and anti-discrimination law</w:t>
      </w:r>
      <w:r>
        <w:t>s.</w:t>
      </w:r>
    </w:p>
    <w:p w14:paraId="058C24F3" w14:textId="77777777" w:rsidR="00835773" w:rsidRDefault="00835773" w:rsidP="00835773">
      <w:pPr>
        <w:pStyle w:val="NoSpacing"/>
      </w:pPr>
    </w:p>
    <w:p w14:paraId="6C72229D" w14:textId="77777777" w:rsidR="00835773" w:rsidRDefault="00835773" w:rsidP="00835773">
      <w:pPr>
        <w:pStyle w:val="NoSpacing"/>
      </w:pPr>
      <w:r>
        <w:t>***</w:t>
      </w:r>
    </w:p>
    <w:p w14:paraId="71A6E4E8" w14:textId="77777777" w:rsidR="00835773" w:rsidRDefault="00835773" w:rsidP="00835773">
      <w:pPr>
        <w:pStyle w:val="NoSpacing"/>
      </w:pPr>
    </w:p>
    <w:p w14:paraId="2AA88C7F" w14:textId="77777777" w:rsidR="00835773" w:rsidRPr="0088501B" w:rsidRDefault="00835773" w:rsidP="00835773">
      <w:pPr>
        <w:pStyle w:val="NoSpacing"/>
      </w:pPr>
      <w:r w:rsidRPr="0088501B">
        <w:t xml:space="preserve">At present, plaintiffs are forced to make a Hobson’s choice—accept funding with potentially unconstitutional or harmful conditions or forego funding altogether. I have previously found this scenario to constitute irreparable harm and do so again here. See </w:t>
      </w:r>
      <w:r w:rsidRPr="0088501B">
        <w:rPr>
          <w:i/>
          <w:iCs/>
        </w:rPr>
        <w:t>Santa Clara</w:t>
      </w:r>
      <w:r w:rsidRPr="0088501B">
        <w:t xml:space="preserve">, 815 F. Supp. 3d at 1041; City &amp; </w:t>
      </w:r>
      <w:proofErr w:type="spellStart"/>
      <w:r w:rsidRPr="0088501B">
        <w:t>Cnty</w:t>
      </w:r>
      <w:proofErr w:type="spellEnd"/>
      <w:r w:rsidRPr="0088501B">
        <w:t xml:space="preserve">. of S.F. v. Trump, 779 F. Supp. 3d 1077, 1082 (N.D. Cal. 2025) (finding ‘irreparable injury in the form of budgetary uncertainty, deprivation of constitutional rights, and undermining trust between the Cities and Counties and the communities they serve’). I find that each plaintiff has established that it is likely to suffer both short- and long-term negative consequences and injury unless I grant a preliminary injunction in their favor for programs to which it has applied or intends to apply…. As in </w:t>
      </w:r>
      <w:r w:rsidRPr="0088501B">
        <w:rPr>
          <w:i/>
          <w:iCs/>
        </w:rPr>
        <w:t>Santa Clara</w:t>
      </w:r>
      <w:r w:rsidRPr="0088501B">
        <w:t xml:space="preserve">, plaintiffs’ interest in ensuring that their communities receive funding for critical infrastructure, public safety, harm reduction, victim assistance, and emergency response programs far </w:t>
      </w:r>
      <w:proofErr w:type="gramStart"/>
      <w:r w:rsidRPr="0088501B">
        <w:t>exceeds</w:t>
      </w:r>
      <w:proofErr w:type="gramEnd"/>
      <w:r w:rsidRPr="0088501B">
        <w:t xml:space="preserve"> defendants’ interests. Plaintiffs represent the interests of millions of individuals, and many plaintiffs are unable </w:t>
      </w:r>
      <w:proofErr w:type="gramStart"/>
      <w:r w:rsidRPr="0088501B">
        <w:t>to otherwise</w:t>
      </w:r>
      <w:proofErr w:type="gramEnd"/>
      <w:r w:rsidRPr="0088501B">
        <w:t xml:space="preserve"> fund critical programs without these grants. They have a compelling interest in </w:t>
      </w:r>
      <w:proofErr w:type="gramStart"/>
      <w:r w:rsidRPr="0088501B">
        <w:t>a preliminary injunction</w:t>
      </w:r>
      <w:proofErr w:type="gramEnd"/>
      <w:r w:rsidRPr="0088501B">
        <w:t xml:space="preserve">. So does the </w:t>
      </w:r>
      <w:proofErr w:type="gramStart"/>
      <w:r w:rsidRPr="0088501B">
        <w:t>general public</w:t>
      </w:r>
      <w:proofErr w:type="gramEnd"/>
      <w:r w:rsidRPr="0088501B">
        <w:t xml:space="preserve">, which is interested in seeing its communities receive funding for critical infrastructure and public safety initiatives—funding that is paid for by their federal tax dollars. It is also </w:t>
      </w:r>
      <w:proofErr w:type="gramStart"/>
      <w:r w:rsidRPr="0088501B">
        <w:t>interested</w:t>
      </w:r>
      <w:proofErr w:type="gramEnd"/>
      <w:r w:rsidRPr="0088501B">
        <w:t xml:space="preserve"> in seeing that regulations passed by Congress are properly implemented; </w:t>
      </w:r>
      <w:r w:rsidRPr="0088501B">
        <w:lastRenderedPageBreak/>
        <w:t>should relief not be granted, many grant programs will be contradicted or impermissibly overridden by the President's Executive Orders. These interests also strongly weigh in favor of granting a preliminary injunction.”</w:t>
      </w:r>
    </w:p>
    <w:p w14:paraId="1F22B37D" w14:textId="77777777" w:rsidR="00835773" w:rsidRPr="005B19A3" w:rsidRDefault="00835773" w:rsidP="00835773">
      <w:pPr>
        <w:pStyle w:val="NoSpacing"/>
        <w:rPr>
          <w:b/>
          <w:bCs/>
        </w:rPr>
      </w:pPr>
    </w:p>
    <w:p w14:paraId="114C839A" w14:textId="77777777" w:rsidR="00835773" w:rsidRPr="005B19A3" w:rsidRDefault="00835773" w:rsidP="00835773">
      <w:pPr>
        <w:pStyle w:val="NoSpacing"/>
        <w:rPr>
          <w:b/>
          <w:bCs/>
        </w:rPr>
      </w:pPr>
      <w:r w:rsidRPr="005B19A3">
        <w:rPr>
          <w:b/>
        </w:rPr>
        <w:t xml:space="preserve">Legal lesson learned: These California cities and counties, like others nationwide, have a critical interest in receiving public safety grants that do not include unclear provisions regarding DEI. </w:t>
      </w:r>
    </w:p>
    <w:p w14:paraId="3F615F78" w14:textId="77777777" w:rsidR="00835773" w:rsidRPr="0088501B" w:rsidRDefault="00835773" w:rsidP="00835773">
      <w:pPr>
        <w:pStyle w:val="NoSpacing"/>
      </w:pPr>
    </w:p>
    <w:p w14:paraId="15986519" w14:textId="77777777" w:rsidR="00835773" w:rsidRPr="005B19A3" w:rsidRDefault="00835773" w:rsidP="00835773">
      <w:pPr>
        <w:pStyle w:val="NoSpacing"/>
        <w:ind w:left="720"/>
      </w:pPr>
      <w:r>
        <w:t xml:space="preserve">Note: </w:t>
      </w:r>
      <w:r w:rsidRPr="0088501B">
        <w:t xml:space="preserve">See April 24, </w:t>
      </w:r>
      <w:proofErr w:type="gramStart"/>
      <w:r w:rsidRPr="0088501B">
        <w:t>2025</w:t>
      </w:r>
      <w:proofErr w:type="gramEnd"/>
      <w:r w:rsidRPr="0088501B">
        <w:t xml:space="preserve"> Press Release by Santa Clara County Attorney after Judge Orrick issued a preliminary injunction in the </w:t>
      </w:r>
      <w:r w:rsidRPr="0088501B">
        <w:rPr>
          <w:i/>
          <w:iCs/>
        </w:rPr>
        <w:t xml:space="preserve">Santa Clara, </w:t>
      </w:r>
      <w:r w:rsidRPr="0088501B">
        <w:t xml:space="preserve">preventing the Trump Administration from withholding federal funding to Plaintiff cities and counties unless they assist the federal government with its civil immigration enforcement responsibilities. </w:t>
      </w:r>
      <w:hyperlink r:id="rId631" w:history="1">
        <w:r w:rsidRPr="005B19A3">
          <w:rPr>
            <w:rStyle w:val="Hyperlink"/>
            <w:b/>
          </w:rPr>
          <w:t>https://www.sf.gov/news-federal-court-blocks-trump-administration-from-withholding-funds-to-sanctuary-jurisdictions</w:t>
        </w:r>
      </w:hyperlink>
      <w:r w:rsidRPr="005B19A3">
        <w:t xml:space="preserve"> </w:t>
      </w:r>
    </w:p>
    <w:p w14:paraId="126B3625" w14:textId="77777777" w:rsidR="00835773" w:rsidRDefault="00835773" w:rsidP="00835773">
      <w:pPr>
        <w:pStyle w:val="NoSpacing"/>
        <w:rPr>
          <w:b/>
          <w:sz w:val="20"/>
          <w:szCs w:val="20"/>
        </w:rPr>
      </w:pPr>
    </w:p>
    <w:p w14:paraId="599F1F1B" w14:textId="77777777" w:rsidR="00835773" w:rsidRDefault="00835773" w:rsidP="006B4271">
      <w:pPr>
        <w:pStyle w:val="NoSpacing"/>
        <w:rPr>
          <w:rFonts w:ascii="Arial Black" w:hAnsi="Arial Black"/>
          <w:sz w:val="28"/>
          <w:szCs w:val="28"/>
        </w:rPr>
      </w:pPr>
    </w:p>
    <w:p w14:paraId="6D919D86" w14:textId="77777777" w:rsidR="00835773" w:rsidRDefault="00835773" w:rsidP="006B4271">
      <w:pPr>
        <w:pStyle w:val="NoSpacing"/>
        <w:rPr>
          <w:rFonts w:ascii="Arial Black" w:hAnsi="Arial Black"/>
          <w:sz w:val="28"/>
          <w:szCs w:val="28"/>
        </w:rPr>
      </w:pPr>
    </w:p>
    <w:p w14:paraId="06B3A388" w14:textId="77777777" w:rsidR="00835773" w:rsidRDefault="00835773" w:rsidP="006B4271">
      <w:pPr>
        <w:pStyle w:val="NoSpacing"/>
        <w:rPr>
          <w:rFonts w:ascii="Arial Black" w:hAnsi="Arial Black"/>
          <w:sz w:val="28"/>
          <w:szCs w:val="28"/>
        </w:rPr>
      </w:pPr>
    </w:p>
    <w:p w14:paraId="6ED851BA" w14:textId="5FAAB332" w:rsidR="006B4271" w:rsidRDefault="006B4271" w:rsidP="006B4271">
      <w:pPr>
        <w:pStyle w:val="NoSpacing"/>
        <w:rPr>
          <w:rFonts w:ascii="Arial Black" w:hAnsi="Arial Black"/>
          <w:sz w:val="28"/>
          <w:szCs w:val="28"/>
        </w:rPr>
      </w:pPr>
      <w:r>
        <w:rPr>
          <w:rFonts w:ascii="Arial Black" w:hAnsi="Arial Black"/>
          <w:sz w:val="28"/>
          <w:szCs w:val="28"/>
        </w:rPr>
        <w:t>3-93</w:t>
      </w:r>
    </w:p>
    <w:p w14:paraId="3A44BDAD" w14:textId="77777777" w:rsidR="00811255" w:rsidRDefault="00811255" w:rsidP="00440B47">
      <w:pPr>
        <w:pStyle w:val="NoSpacing"/>
        <w:rPr>
          <w:rFonts w:ascii="Arial Black" w:hAnsi="Arial Black"/>
          <w:sz w:val="28"/>
          <w:szCs w:val="28"/>
        </w:rPr>
      </w:pPr>
    </w:p>
    <w:p w14:paraId="5B33BD33" w14:textId="77777777" w:rsidR="00811255" w:rsidRPr="00BB4213" w:rsidRDefault="00811255" w:rsidP="00811255">
      <w:pPr>
        <w:pStyle w:val="NoSpacing"/>
        <w:rPr>
          <w:rFonts w:ascii="Arial Black" w:hAnsi="Arial Black"/>
          <w:bCs/>
          <w:sz w:val="28"/>
          <w:szCs w:val="28"/>
        </w:rPr>
      </w:pPr>
      <w:r>
        <w:rPr>
          <w:rFonts w:ascii="Arial Black" w:hAnsi="Arial Black"/>
          <w:sz w:val="28"/>
          <w:szCs w:val="28"/>
        </w:rPr>
        <w:t>U.S. SUP. CT – HAITI / SYRIA – TEMP STATUS</w:t>
      </w:r>
      <w:r>
        <w:rPr>
          <w:rFonts w:ascii="Arial Black" w:hAnsi="Arial Black"/>
          <w:bCs/>
          <w:sz w:val="28"/>
          <w:szCs w:val="28"/>
        </w:rPr>
        <w:t xml:space="preserve"> REVOKED</w:t>
      </w:r>
      <w:r>
        <w:rPr>
          <w:rFonts w:ascii="Arial Black" w:hAnsi="Arial Black"/>
          <w:sz w:val="28"/>
          <w:szCs w:val="28"/>
        </w:rPr>
        <w:t xml:space="preserve"> </w:t>
      </w:r>
    </w:p>
    <w:p w14:paraId="6AEE43C3" w14:textId="77777777" w:rsidR="00811255" w:rsidRDefault="00811255" w:rsidP="00811255">
      <w:pPr>
        <w:pStyle w:val="NoSpacing"/>
        <w:rPr>
          <w:bCs/>
        </w:rPr>
      </w:pPr>
    </w:p>
    <w:p w14:paraId="51AA81CE" w14:textId="77777777" w:rsidR="00811255" w:rsidRDefault="00811255" w:rsidP="00811255">
      <w:pPr>
        <w:pStyle w:val="NoSpacing"/>
        <w:rPr>
          <w:bCs/>
        </w:rPr>
      </w:pPr>
      <w:r>
        <w:t xml:space="preserve">On June 25, 2026, in </w:t>
      </w:r>
      <w:r w:rsidRPr="00950991">
        <w:rPr>
          <w:u w:val="single"/>
        </w:rPr>
        <w:t>Mullin, Secretary, Department of Homeland Security, et al. v. Doe, et al</w:t>
      </w:r>
      <w:r>
        <w:t>., the United States Supreme Court held (6 to 3) that Congress has empowered the President and Secretary of State to end “Temporary Protected Status” (thereby revoking work permits) for Haiti (2010 TPS due to earthquake) and Syrians (2012 TPS due to violence) and others. Justice Samuel Alito, writing for the Majority, wrote that Trump’s anti-Haitian comments were not “</w:t>
      </w:r>
      <w:r w:rsidRPr="009F2B4E">
        <w:t xml:space="preserve">overtly racial” </w:t>
      </w:r>
      <w:r>
        <w:t xml:space="preserve">and plaintiffs failed to prove the TPS revocation was because of race.  The Court reversed injunctions issues by U.S. District Court judges in D.C. (Haiti case) and in Southern District of New York (Syria case). The Court wrote: “In support of their claim that the termination of Haiti’s TPS designation was based on race, respondents cite statements made by the President and former Secretary Noem…. None of the cited statements by either the President or the Secretary was overtly racial, and in substance all expressed policy views that could rest on race-neutral justifications.” </w:t>
      </w:r>
    </w:p>
    <w:p w14:paraId="1542A051" w14:textId="77777777" w:rsidR="00811255" w:rsidRDefault="00811255" w:rsidP="00811255">
      <w:pPr>
        <w:pStyle w:val="NoSpacing"/>
        <w:rPr>
          <w:bCs/>
        </w:rPr>
      </w:pPr>
      <w:r>
        <w:t xml:space="preserve"> </w:t>
      </w:r>
      <w:hyperlink r:id="rId632" w:history="1">
        <w:r w:rsidRPr="005431AD">
          <w:rPr>
            <w:rStyle w:val="Hyperlink"/>
          </w:rPr>
          <w:t>https://www.supremecourt.gov/opinions/25pdf/25-1083_f204.pdf</w:t>
        </w:r>
      </w:hyperlink>
      <w:r>
        <w:t xml:space="preserve"> </w:t>
      </w:r>
    </w:p>
    <w:p w14:paraId="380D0D28" w14:textId="77777777" w:rsidR="00811255" w:rsidRDefault="00811255" w:rsidP="00811255">
      <w:pPr>
        <w:pStyle w:val="NoSpacing"/>
        <w:rPr>
          <w:b/>
        </w:rPr>
      </w:pPr>
    </w:p>
    <w:p w14:paraId="67BE872E" w14:textId="77777777" w:rsidR="00811255" w:rsidRDefault="00811255" w:rsidP="00811255">
      <w:pPr>
        <w:pStyle w:val="NoSpacing"/>
        <w:rPr>
          <w:b/>
        </w:rPr>
      </w:pPr>
      <w:r>
        <w:rPr>
          <w:b/>
        </w:rPr>
        <w:t xml:space="preserve">FACTS: </w:t>
      </w:r>
    </w:p>
    <w:p w14:paraId="1354CCC6" w14:textId="77777777" w:rsidR="00811255" w:rsidRDefault="00811255" w:rsidP="00811255">
      <w:pPr>
        <w:pStyle w:val="NoSpacing"/>
        <w:rPr>
          <w:b/>
        </w:rPr>
      </w:pPr>
    </w:p>
    <w:p w14:paraId="37409256" w14:textId="77777777" w:rsidR="00811255" w:rsidRDefault="00811255" w:rsidP="00811255">
      <w:pPr>
        <w:pStyle w:val="NoSpacing"/>
      </w:pPr>
      <w:r>
        <w:t>“</w:t>
      </w:r>
      <w:r w:rsidRPr="00681B06">
        <w:t xml:space="preserve">Congress created TPS </w:t>
      </w:r>
      <w:r>
        <w:t>[</w:t>
      </w:r>
      <w:r w:rsidRPr="00F96230">
        <w:t>Temporary Protected Status</w:t>
      </w:r>
      <w:r>
        <w:t xml:space="preserve">] </w:t>
      </w:r>
      <w:r w:rsidRPr="00681B06">
        <w:t>in 1990 to provide short-term humanitarian relief for aliens who cannot safely return to</w:t>
      </w:r>
      <w:r>
        <w:t xml:space="preserve"> </w:t>
      </w:r>
      <w:r w:rsidRPr="00681B06">
        <w:t>their home countries due to events such as armed conflict</w:t>
      </w:r>
      <w:r>
        <w:t xml:space="preserve"> </w:t>
      </w:r>
      <w:r w:rsidRPr="00681B06">
        <w:t>or natural disaster</w:t>
      </w:r>
      <w:r>
        <w:t>…. The Secretary [of State] is instructed to review each TPS designation at least every 18 months. §§1254a(b)(2)–(3)…. Although designed to afford ‘temporary’ relief, TPS designations in practice have often lasted for decades. For example, the Secretary designated Somalia in 1991, and that designation remains in effect 35 years later.</w:t>
      </w:r>
    </w:p>
    <w:p w14:paraId="433AAEE1" w14:textId="77777777" w:rsidR="00811255" w:rsidRDefault="00811255" w:rsidP="00811255">
      <w:pPr>
        <w:pStyle w:val="NoSpacing"/>
      </w:pPr>
    </w:p>
    <w:p w14:paraId="3D53CC13" w14:textId="77777777" w:rsidR="00811255" w:rsidRDefault="00811255" w:rsidP="00811255">
      <w:pPr>
        <w:pStyle w:val="NoSpacing"/>
      </w:pPr>
      <w:r>
        <w:t>***</w:t>
      </w:r>
    </w:p>
    <w:p w14:paraId="52C8C2AD" w14:textId="77777777" w:rsidR="00811255" w:rsidRPr="00AD363E" w:rsidRDefault="00811255" w:rsidP="00811255">
      <w:pPr>
        <w:pStyle w:val="NoSpacing"/>
      </w:pPr>
      <w:r w:rsidRPr="00AD363E">
        <w:t>Haiti received a TPS designation in 2010 after a devastating earthquake killed or injured hundreds of thousands</w:t>
      </w:r>
      <w:r>
        <w:t xml:space="preserve"> </w:t>
      </w:r>
      <w:r w:rsidRPr="00AD363E">
        <w:t>of residents, caused massive property damage, and severely</w:t>
      </w:r>
    </w:p>
    <w:p w14:paraId="7AE15583" w14:textId="77777777" w:rsidR="00811255" w:rsidRPr="00AD363E" w:rsidRDefault="00811255" w:rsidP="00811255">
      <w:pPr>
        <w:pStyle w:val="NoSpacing"/>
      </w:pPr>
      <w:r w:rsidRPr="00AD363E">
        <w:t>worsened living conditions. 75 Fed. Reg. 3477 (2010). The</w:t>
      </w:r>
      <w:r>
        <w:t xml:space="preserve"> </w:t>
      </w:r>
      <w:r w:rsidRPr="00AD363E">
        <w:t>Government re-designated Haiti for TPS and extended that</w:t>
      </w:r>
      <w:r>
        <w:t xml:space="preserve"> </w:t>
      </w:r>
      <w:r w:rsidRPr="00AD363E">
        <w:t>designation several times.</w:t>
      </w:r>
    </w:p>
    <w:p w14:paraId="319A8DA8" w14:textId="77777777" w:rsidR="00811255" w:rsidRPr="00AD363E" w:rsidRDefault="00811255" w:rsidP="00811255">
      <w:pPr>
        <w:pStyle w:val="NoSpacing"/>
      </w:pPr>
    </w:p>
    <w:p w14:paraId="113944AB" w14:textId="77777777" w:rsidR="00811255" w:rsidRDefault="00811255" w:rsidP="00811255">
      <w:pPr>
        <w:pStyle w:val="NoSpacing"/>
      </w:pPr>
      <w:r>
        <w:t>***</w:t>
      </w:r>
    </w:p>
    <w:p w14:paraId="5D0C1768" w14:textId="77777777" w:rsidR="00811255" w:rsidRDefault="00811255" w:rsidP="00811255">
      <w:pPr>
        <w:pStyle w:val="NoSpacing"/>
      </w:pPr>
      <w:r>
        <w:t xml:space="preserve">The current administration objects to lengthy TPS designations and adopted a new, restricted approach shortly after the beginning of President Trump’s second term in office….Under this approach, the Secretary of Homeland Security has terminated every TPS designation that has come up for renewal, 13 in all. </w:t>
      </w:r>
    </w:p>
    <w:p w14:paraId="33EACEF8" w14:textId="77777777" w:rsidR="00811255" w:rsidRDefault="00811255" w:rsidP="00811255">
      <w:pPr>
        <w:pStyle w:val="NoSpacing"/>
      </w:pPr>
    </w:p>
    <w:p w14:paraId="5212BFEF" w14:textId="77777777" w:rsidR="00811255" w:rsidRDefault="00811255" w:rsidP="00811255">
      <w:pPr>
        <w:pStyle w:val="NoSpacing"/>
      </w:pPr>
      <w:r w:rsidRPr="00356DAA">
        <w:lastRenderedPageBreak/>
        <w:t>Included are nations in</w:t>
      </w:r>
      <w:r>
        <w:t xml:space="preserve"> East Asia (Nepal and Burma), Central Asia (Afghanistan), the Middle East (Syria and Yemen), Africa (Somalia, Ethiopia, South Sudan, and Cameroon), Central America (Nicaragua and Honduras), South America (Venezuela), and the Caribbean (Haiti)…. Only one European nation—Ukraine—had a TPS designation when the President began his second term, and that country’s TPS designation has not yet come up for review. See 90 Fed. Reg. 5936 (2025) (extending Ukraine TPS designation through October 19, 2026).</w:t>
      </w:r>
    </w:p>
    <w:p w14:paraId="345A0460" w14:textId="77777777" w:rsidR="00811255" w:rsidRDefault="00811255" w:rsidP="00811255">
      <w:pPr>
        <w:pStyle w:val="NoSpacing"/>
      </w:pPr>
    </w:p>
    <w:p w14:paraId="7C669476" w14:textId="77777777" w:rsidR="00811255" w:rsidRPr="0095300B" w:rsidRDefault="00811255" w:rsidP="00811255">
      <w:pPr>
        <w:pStyle w:val="NoSpacing"/>
        <w:rPr>
          <w:b/>
          <w:bCs/>
        </w:rPr>
      </w:pPr>
      <w:r w:rsidRPr="0095300B">
        <w:rPr>
          <w:b/>
        </w:rPr>
        <w:t xml:space="preserve">COURT HELD: </w:t>
      </w:r>
    </w:p>
    <w:p w14:paraId="065A7EE9" w14:textId="77777777" w:rsidR="00811255" w:rsidRDefault="00811255" w:rsidP="00811255">
      <w:pPr>
        <w:pStyle w:val="NoSpacing"/>
      </w:pPr>
    </w:p>
    <w:p w14:paraId="58C376DA" w14:textId="77777777" w:rsidR="00811255" w:rsidRDefault="00811255" w:rsidP="00811255">
      <w:pPr>
        <w:pStyle w:val="NoSpacing"/>
      </w:pPr>
      <w:r>
        <w:t>“In these cases, we consider whether respondents, who challenge the termination of Temporary Protected Status (TPS) for aliens from Syria and Haiti, are entitled to orders postponing the terminations during litigation. We hold that they are not. The TPS statute plainly bars consideration of respondents’ non-constitutional claims. It allows “no judicial review of any determination . . . with respect to the . . . termination” of a TPS designation. 8 U. S. C. §1254a(b)(5)(A).</w:t>
      </w:r>
    </w:p>
    <w:p w14:paraId="5DB36A9A" w14:textId="77777777" w:rsidR="00811255" w:rsidRDefault="00811255" w:rsidP="00811255">
      <w:pPr>
        <w:pStyle w:val="NoSpacing"/>
      </w:pPr>
    </w:p>
    <w:p w14:paraId="470D74E1" w14:textId="77777777" w:rsidR="00811255" w:rsidRDefault="00811255" w:rsidP="00811255">
      <w:pPr>
        <w:pStyle w:val="NoSpacing"/>
      </w:pPr>
      <w:r>
        <w:t>***</w:t>
      </w:r>
    </w:p>
    <w:p w14:paraId="6A49BAE5" w14:textId="77777777" w:rsidR="00811255" w:rsidRDefault="00811255" w:rsidP="00811255">
      <w:pPr>
        <w:pStyle w:val="NoSpacing"/>
      </w:pPr>
      <w:r>
        <w:t>Footnote 3: 3 Not all TPS designations have lasted so long. Presidents Clinton, George W. Bush, and Obama terminated some TPS designations much more promptly. See, e.g., 58 Fed. Reg. 7582 (1993) (Lebanon, terminated two years after initial designation); 62 Fed. Reg. 33442 (1997) (Rwanda, terminated three years after initial designation); 69 Fed. Reg. 40643</w:t>
      </w:r>
    </w:p>
    <w:p w14:paraId="2993D742" w14:textId="77777777" w:rsidR="00811255" w:rsidRDefault="00811255" w:rsidP="00811255">
      <w:pPr>
        <w:pStyle w:val="NoSpacing"/>
      </w:pPr>
      <w:r>
        <w:t>(2004) (Montserrat, terminated less than eight years after initial designation); 81 Fed. Reg. 66064 (2016) (Guinea, terminated less than three years after initial designation). None of these terminations were challenged in court.</w:t>
      </w:r>
    </w:p>
    <w:p w14:paraId="27B5C051" w14:textId="77777777" w:rsidR="00811255" w:rsidRDefault="00811255" w:rsidP="00811255">
      <w:pPr>
        <w:pStyle w:val="NoSpacing"/>
      </w:pPr>
    </w:p>
    <w:p w14:paraId="029FA5E4" w14:textId="77777777" w:rsidR="00811255" w:rsidRDefault="00811255" w:rsidP="00811255">
      <w:pPr>
        <w:pStyle w:val="NoSpacing"/>
      </w:pPr>
      <w:r>
        <w:t>***</w:t>
      </w:r>
    </w:p>
    <w:p w14:paraId="41ABD3BA" w14:textId="77777777" w:rsidR="00811255" w:rsidRDefault="00811255" w:rsidP="00811255">
      <w:pPr>
        <w:pStyle w:val="NoSpacing"/>
      </w:pPr>
    </w:p>
    <w:p w14:paraId="77E64D60" w14:textId="77777777" w:rsidR="00811255" w:rsidRDefault="00811255" w:rsidP="00811255">
      <w:pPr>
        <w:pStyle w:val="NoSpacing"/>
      </w:pPr>
      <w:r>
        <w:t>In support of their claim that the termination of Haiti’s TPS designation was based on race, respondents cite statements made by the President and former Secretary Noem…. None of the cited statements by either the President or the Secretary was overtly racial, and in substance all expressed policy views that could rest on race-neutral justifications. For example, one may oppose TPS and favor tighter restrictions on immigration for economic or other reasons that have nothing to do with race. And a person without racial bias can provide a harshly unfavorable description of living conditions in some of the countries with TPS designations. The criteria for TPS designations guarantee that many, if not most, designated countries have such characteristics.</w:t>
      </w:r>
    </w:p>
    <w:p w14:paraId="593365AB" w14:textId="77777777" w:rsidR="00811255" w:rsidRDefault="00811255" w:rsidP="00811255">
      <w:pPr>
        <w:pStyle w:val="NoSpacing"/>
      </w:pPr>
    </w:p>
    <w:p w14:paraId="23D02C76" w14:textId="77777777" w:rsidR="00811255" w:rsidRDefault="00811255" w:rsidP="00811255">
      <w:pPr>
        <w:pStyle w:val="NoSpacing"/>
      </w:pPr>
      <w:r>
        <w:t>***</w:t>
      </w:r>
    </w:p>
    <w:p w14:paraId="04466E75" w14:textId="77777777" w:rsidR="00811255" w:rsidRDefault="00811255" w:rsidP="00811255">
      <w:pPr>
        <w:pStyle w:val="NoSpacing"/>
      </w:pPr>
      <w:r>
        <w:t>In offering the cited statements as proof that the termination of Haiti’s TPS termination was motivated by race, Miot respondents seek to capitalize on the statements’ heated language. Political discourse by prominent public figures is increasingly couched in terms that would have</w:t>
      </w:r>
    </w:p>
    <w:p w14:paraId="1D082BD7" w14:textId="77777777" w:rsidR="00811255" w:rsidRDefault="00811255" w:rsidP="00811255">
      <w:pPr>
        <w:pStyle w:val="NoSpacing"/>
      </w:pPr>
      <w:r>
        <w:t>scandalized the public just a short time ago, and the statements cited by Miot respondents—especially those concerning Haiti and Haitian immigrants to this country—exemplify this development. But whatever one may think of the cited statements, they are insufficient to show that the termination of Haiti’s TPS designation was based on the race of the Haitian people.</w:t>
      </w:r>
    </w:p>
    <w:p w14:paraId="5D868675" w14:textId="77777777" w:rsidR="00811255" w:rsidRDefault="00811255" w:rsidP="00811255">
      <w:pPr>
        <w:pStyle w:val="NoSpacing"/>
      </w:pPr>
    </w:p>
    <w:p w14:paraId="0CE12EEB" w14:textId="77777777" w:rsidR="00811255" w:rsidRDefault="00811255" w:rsidP="00811255">
      <w:pPr>
        <w:pStyle w:val="NoSpacing"/>
      </w:pPr>
      <w:r>
        <w:t>***</w:t>
      </w:r>
    </w:p>
    <w:p w14:paraId="35D19CE0" w14:textId="77777777" w:rsidR="00811255" w:rsidRDefault="00811255" w:rsidP="00811255">
      <w:pPr>
        <w:pStyle w:val="NoSpacing"/>
      </w:pPr>
      <w:r>
        <w:t>The judgments of the United States District Courts for the Southern District of New York and the District of Columbia are reversed. The cases are remanded for further proceedings consistent with this opinion.”</w:t>
      </w:r>
    </w:p>
    <w:p w14:paraId="457C1D5C" w14:textId="77777777" w:rsidR="00811255" w:rsidRDefault="00811255" w:rsidP="00811255">
      <w:pPr>
        <w:pStyle w:val="NoSpacing"/>
      </w:pPr>
    </w:p>
    <w:p w14:paraId="457F200C" w14:textId="77777777" w:rsidR="00811255" w:rsidRPr="007D170B" w:rsidRDefault="00811255" w:rsidP="00811255">
      <w:pPr>
        <w:pStyle w:val="NoSpacing"/>
        <w:rPr>
          <w:b/>
          <w:bCs/>
        </w:rPr>
      </w:pPr>
      <w:r>
        <w:rPr>
          <w:b/>
        </w:rPr>
        <w:t xml:space="preserve">Legal lesson learned: Congress enacted a statute that prohibits judicial review of revocation of TPS status.  Racial comments, including from President, must be avoided in modern society. </w:t>
      </w:r>
    </w:p>
    <w:p w14:paraId="3BE90732" w14:textId="77777777" w:rsidR="00811255" w:rsidRDefault="00811255" w:rsidP="00440B47">
      <w:pPr>
        <w:pStyle w:val="NoSpacing"/>
        <w:rPr>
          <w:rFonts w:ascii="Arial Black" w:hAnsi="Arial Black"/>
          <w:sz w:val="28"/>
          <w:szCs w:val="28"/>
        </w:rPr>
      </w:pPr>
    </w:p>
    <w:p w14:paraId="447165B9" w14:textId="77777777" w:rsidR="00811255" w:rsidRDefault="00811255" w:rsidP="00440B47">
      <w:pPr>
        <w:pStyle w:val="NoSpacing"/>
        <w:rPr>
          <w:rFonts w:ascii="Arial Black" w:hAnsi="Arial Black"/>
          <w:sz w:val="28"/>
          <w:szCs w:val="28"/>
        </w:rPr>
      </w:pPr>
    </w:p>
    <w:p w14:paraId="4FB2C0F6" w14:textId="77777777" w:rsidR="00811255" w:rsidRDefault="00811255" w:rsidP="00440B47">
      <w:pPr>
        <w:pStyle w:val="NoSpacing"/>
        <w:rPr>
          <w:rFonts w:ascii="Arial Black" w:hAnsi="Arial Black"/>
          <w:sz w:val="28"/>
          <w:szCs w:val="28"/>
        </w:rPr>
      </w:pPr>
    </w:p>
    <w:p w14:paraId="274D4A9A" w14:textId="77777777" w:rsidR="00811255" w:rsidRDefault="00811255" w:rsidP="00440B47">
      <w:pPr>
        <w:pStyle w:val="NoSpacing"/>
        <w:rPr>
          <w:rFonts w:ascii="Arial Black" w:hAnsi="Arial Black"/>
          <w:sz w:val="28"/>
          <w:szCs w:val="28"/>
        </w:rPr>
      </w:pPr>
    </w:p>
    <w:p w14:paraId="22D19220" w14:textId="17A16FDE" w:rsidR="00E575E6" w:rsidRDefault="008D250F" w:rsidP="00440B47">
      <w:pPr>
        <w:pStyle w:val="NoSpacing"/>
        <w:rPr>
          <w:rFonts w:ascii="Arial Black" w:hAnsi="Arial Black"/>
          <w:sz w:val="28"/>
          <w:szCs w:val="28"/>
        </w:rPr>
      </w:pPr>
      <w:r>
        <w:rPr>
          <w:rFonts w:ascii="Arial Black" w:hAnsi="Arial Black"/>
          <w:sz w:val="28"/>
          <w:szCs w:val="28"/>
        </w:rPr>
        <w:t>3-92</w:t>
      </w:r>
    </w:p>
    <w:p w14:paraId="3301F3A0" w14:textId="77777777" w:rsidR="008D250F" w:rsidRDefault="008D250F" w:rsidP="00440B47">
      <w:pPr>
        <w:pStyle w:val="NoSpacing"/>
        <w:rPr>
          <w:rFonts w:ascii="Arial Black" w:hAnsi="Arial Black"/>
          <w:sz w:val="28"/>
          <w:szCs w:val="28"/>
        </w:rPr>
      </w:pPr>
    </w:p>
    <w:p w14:paraId="3B82B478" w14:textId="77777777" w:rsidR="008D250F" w:rsidRDefault="008D250F" w:rsidP="008D250F">
      <w:pPr>
        <w:pStyle w:val="NoSpacing"/>
        <w:rPr>
          <w:rFonts w:ascii="Arial Black" w:hAnsi="Arial Black"/>
          <w:sz w:val="28"/>
          <w:szCs w:val="28"/>
        </w:rPr>
      </w:pPr>
      <w:r>
        <w:rPr>
          <w:rFonts w:ascii="Arial Black" w:hAnsi="Arial Black"/>
          <w:sz w:val="28"/>
          <w:szCs w:val="28"/>
        </w:rPr>
        <w:t xml:space="preserve">KY: FED JUDGE ORDERED TO INCREASE SENTENCE – ISIS </w:t>
      </w:r>
    </w:p>
    <w:p w14:paraId="205223A2" w14:textId="77777777" w:rsidR="008D250F" w:rsidRDefault="008D250F" w:rsidP="008D250F">
      <w:pPr>
        <w:pStyle w:val="NoSpacing"/>
        <w:rPr>
          <w:rFonts w:ascii="Arial Black" w:hAnsi="Arial Black"/>
          <w:sz w:val="28"/>
          <w:szCs w:val="28"/>
        </w:rPr>
      </w:pPr>
    </w:p>
    <w:p w14:paraId="0A2DAEA2" w14:textId="77777777" w:rsidR="008D250F" w:rsidRDefault="008D250F" w:rsidP="008D250F">
      <w:pPr>
        <w:pStyle w:val="NoSpacing"/>
      </w:pPr>
      <w:r>
        <w:t xml:space="preserve">On May 13, 2026, in </w:t>
      </w:r>
      <w:r w:rsidRPr="00236973">
        <w:rPr>
          <w:u w:val="single"/>
        </w:rPr>
        <w:t>United States of America v. Mirsad Ramic</w:t>
      </w:r>
      <w:r>
        <w:t xml:space="preserve">, the United States Court of Appeals for the Sixth Circuit (Cincinnati) held (3 to 0) that the Federal District Court judge who presided over his jury trial must resentence the defendant.  Mirsad Ramic, born in Bonia, but moved with his family to Bowling Green, Kentucky, became naturalized U.S. citizen. Less than a year later, he became radicalized; online posts included he hoped President Obama’s teenage daughters would one day be sold as ISIS slaves. He reached out to ISIS, took ISIS training, then traveled to Syria, where he participated in </w:t>
      </w:r>
      <w:r w:rsidRPr="00723923">
        <w:t>the siege of Kobane</w:t>
      </w:r>
      <w:r>
        <w:t xml:space="preserve"> (2014 – 2015) which was being defended by U.S. military – the siege claimed over 100,000 lives. A jury convicted him of providing material support to a terrorist group and receiving military-type training from ISIS. THE COURT WROTE: “</w:t>
      </w:r>
      <w:r w:rsidRPr="005C5091">
        <w:t>For those crimes, Ramic faced an advisory sentence of 360 to 600</w:t>
      </w:r>
      <w:r>
        <w:t xml:space="preserve"> </w:t>
      </w:r>
      <w:r w:rsidRPr="005C5091">
        <w:t xml:space="preserve">months’ imprisonment under the Sentencing Guidelines. But the district court </w:t>
      </w:r>
      <w:r>
        <w:t xml:space="preserve">[Judge </w:t>
      </w:r>
      <w:r w:rsidRPr="00E273CF">
        <w:t>Gregory N. Stivers</w:t>
      </w:r>
      <w:r>
        <w:t xml:space="preserve">] </w:t>
      </w:r>
      <w:r w:rsidRPr="005C5091">
        <w:t>sentenced Ramic</w:t>
      </w:r>
      <w:r>
        <w:t xml:space="preserve"> </w:t>
      </w:r>
      <w:r w:rsidRPr="005C5091">
        <w:t>to only 101 months in prison. Because the district court’s substantial variance is substantively</w:t>
      </w:r>
      <w:r>
        <w:t xml:space="preserve"> </w:t>
      </w:r>
      <w:r w:rsidRPr="005C5091">
        <w:t xml:space="preserve">unreasonable, we vacate his sentence and remand for </w:t>
      </w:r>
      <w:proofErr w:type="gramStart"/>
      <w:r w:rsidRPr="005C5091">
        <w:t>resentencing.</w:t>
      </w:r>
      <w:r>
        <w:t>”</w:t>
      </w:r>
      <w:proofErr w:type="gramEnd"/>
      <w:r>
        <w:t xml:space="preserve">  </w:t>
      </w:r>
      <w:hyperlink r:id="rId633" w:history="1">
        <w:r w:rsidRPr="001B1071">
          <w:rPr>
            <w:rStyle w:val="Hyperlink"/>
          </w:rPr>
          <w:t>https://cases.justia.com/federal/appellate-courts/ca6/25-5471/25-5471-2026-05-13.pdf?ts=1778702434</w:t>
        </w:r>
      </w:hyperlink>
    </w:p>
    <w:p w14:paraId="159139D9" w14:textId="77777777" w:rsidR="008D250F" w:rsidRDefault="008D250F" w:rsidP="008D250F">
      <w:pPr>
        <w:pStyle w:val="NoSpacing"/>
      </w:pPr>
      <w:r>
        <w:t xml:space="preserve"> </w:t>
      </w:r>
    </w:p>
    <w:p w14:paraId="7F64E7C2" w14:textId="77777777" w:rsidR="008D250F" w:rsidRDefault="008D250F" w:rsidP="008D250F">
      <w:pPr>
        <w:pStyle w:val="NoSpacing"/>
      </w:pPr>
      <w:r>
        <w:t xml:space="preserve">THE COURT HELD: </w:t>
      </w:r>
    </w:p>
    <w:p w14:paraId="5D1C0AF1" w14:textId="77777777" w:rsidR="008D250F" w:rsidRDefault="008D250F" w:rsidP="008D250F">
      <w:pPr>
        <w:pStyle w:val="NoSpacing"/>
      </w:pPr>
    </w:p>
    <w:p w14:paraId="17DC96FF" w14:textId="77777777" w:rsidR="008D250F" w:rsidRDefault="008D250F" w:rsidP="008D250F">
      <w:pPr>
        <w:pStyle w:val="NoSpacing"/>
        <w:ind w:left="720"/>
      </w:pPr>
      <w:r>
        <w:t>“Here, the district court didn’t adequately weigh the seriousness of Ramic’s crime, potential sentencing disparities, and the need to protect the public…. Because the district court’s rationale here didn’t justify such a drastic downward variance, we conclude that Ramic’s sentence is substantively unreasonable.</w:t>
      </w:r>
    </w:p>
    <w:p w14:paraId="04996724" w14:textId="77777777" w:rsidR="008D250F" w:rsidRDefault="008D250F" w:rsidP="008D250F">
      <w:pPr>
        <w:pStyle w:val="NoSpacing"/>
      </w:pPr>
    </w:p>
    <w:p w14:paraId="0C1693E4" w14:textId="77777777" w:rsidR="008D250F" w:rsidRDefault="008D250F" w:rsidP="008D250F">
      <w:pPr>
        <w:pStyle w:val="NoSpacing"/>
      </w:pPr>
      <w:r>
        <w:tab/>
        <w:t>***</w:t>
      </w:r>
    </w:p>
    <w:p w14:paraId="59345410" w14:textId="77777777" w:rsidR="008D250F" w:rsidRDefault="008D250F" w:rsidP="008D250F">
      <w:pPr>
        <w:pStyle w:val="NoSpacing"/>
        <w:ind w:firstLine="720"/>
      </w:pPr>
      <w:r>
        <w:t>The district court attempted to justify its sentence in two primary ways. First, it stated</w:t>
      </w:r>
    </w:p>
    <w:p w14:paraId="4789D988" w14:textId="77777777" w:rsidR="008D250F" w:rsidRDefault="008D250F" w:rsidP="008D250F">
      <w:pPr>
        <w:pStyle w:val="NoSpacing"/>
        <w:ind w:firstLine="720"/>
      </w:pPr>
      <w:r>
        <w:t>that Ramic didn’t engage ‘in any acts of terrorism as . . . in a more common sense’</w:t>
      </w:r>
    </w:p>
    <w:p w14:paraId="0E6B0994" w14:textId="77777777" w:rsidR="008D250F" w:rsidRDefault="008D250F" w:rsidP="008D250F">
      <w:pPr>
        <w:pStyle w:val="NoSpacing"/>
        <w:ind w:firstLine="720"/>
      </w:pPr>
      <w:r>
        <w:t>understanding of the term…. It explained, for example, that Ramic hadn’t</w:t>
      </w:r>
    </w:p>
    <w:p w14:paraId="3B5B3E12" w14:textId="77777777" w:rsidR="008D250F" w:rsidRDefault="008D250F" w:rsidP="008D250F">
      <w:pPr>
        <w:pStyle w:val="NoSpacing"/>
        <w:ind w:firstLine="720"/>
      </w:pPr>
      <w:r>
        <w:t>engaged in any ‘random acts of violence directed at innocent populations,’ detonated any</w:t>
      </w:r>
    </w:p>
    <w:p w14:paraId="36690112" w14:textId="77777777" w:rsidR="008D250F" w:rsidRDefault="008D250F" w:rsidP="008D250F">
      <w:pPr>
        <w:pStyle w:val="NoSpacing"/>
        <w:ind w:left="720"/>
      </w:pPr>
      <w:r>
        <w:t>‘</w:t>
      </w:r>
      <w:proofErr w:type="gramStart"/>
      <w:r>
        <w:t>bombs</w:t>
      </w:r>
      <w:proofErr w:type="gramEnd"/>
      <w:r>
        <w:t>,’ or inflicted any ‘horrible incidents of gun violence against crowds.’ … Instead, the district court concluded that Ramic was merely a ‘fighter’ and a ‘soldier’ who joined ‘a standard army’ that wanted to ‘require strict adherence to [Islamic] law.’ …  Second, the district court noted that the median sentence for terrorism defendants with the same offense level and criminal-history category was only 168 months’ imprisonment. Using that median sentence as a starting point, the district court subtracted the 67 months that Ramic spent in Turkish custody and arrived at a final sentence of 101 months.</w:t>
      </w:r>
    </w:p>
    <w:p w14:paraId="755AE2C8" w14:textId="77777777" w:rsidR="008D250F" w:rsidRDefault="008D250F" w:rsidP="008D250F">
      <w:pPr>
        <w:pStyle w:val="NoSpacing"/>
        <w:ind w:left="720"/>
      </w:pPr>
    </w:p>
    <w:p w14:paraId="3ABB0B4B" w14:textId="77777777" w:rsidR="008D250F" w:rsidRDefault="008D250F" w:rsidP="008D250F">
      <w:pPr>
        <w:pStyle w:val="NoSpacing"/>
        <w:ind w:left="720"/>
      </w:pPr>
      <w:r>
        <w:t>***</w:t>
      </w:r>
    </w:p>
    <w:p w14:paraId="34AD00CE" w14:textId="77777777" w:rsidR="008D250F" w:rsidRDefault="008D250F" w:rsidP="008D250F">
      <w:pPr>
        <w:pStyle w:val="NoSpacing"/>
        <w:ind w:firstLine="720"/>
      </w:pPr>
      <w:r>
        <w:t>In fact, Ramic openly embraced ISIS’s mission to target the United States. For example,</w:t>
      </w:r>
    </w:p>
    <w:p w14:paraId="6C04C064" w14:textId="77777777" w:rsidR="008D250F" w:rsidRDefault="008D250F" w:rsidP="008D250F">
      <w:pPr>
        <w:pStyle w:val="NoSpacing"/>
        <w:ind w:left="720"/>
      </w:pPr>
      <w:r>
        <w:t>he posted on social media that he hoped President Obama’s teenage daughters would one day be sold as ISIS slaves.</w:t>
      </w:r>
    </w:p>
    <w:p w14:paraId="0D55A934" w14:textId="77777777" w:rsidR="008D250F" w:rsidRDefault="008D250F" w:rsidP="008D250F">
      <w:pPr>
        <w:pStyle w:val="NoSpacing"/>
        <w:ind w:left="720"/>
      </w:pPr>
    </w:p>
    <w:p w14:paraId="2A48E085" w14:textId="77777777" w:rsidR="008D250F" w:rsidRDefault="008D250F" w:rsidP="008D250F">
      <w:pPr>
        <w:pStyle w:val="NoSpacing"/>
        <w:ind w:left="720"/>
      </w:pPr>
      <w:r>
        <w:t>***</w:t>
      </w:r>
    </w:p>
    <w:p w14:paraId="48DA23BC" w14:textId="77777777" w:rsidR="008D250F" w:rsidRDefault="008D250F" w:rsidP="008D250F">
      <w:pPr>
        <w:pStyle w:val="NoSpacing"/>
        <w:ind w:left="720"/>
      </w:pPr>
    </w:p>
    <w:p w14:paraId="7399BFD5" w14:textId="77777777" w:rsidR="008D250F" w:rsidRDefault="008D250F" w:rsidP="008D250F">
      <w:pPr>
        <w:pStyle w:val="NoSpacing"/>
        <w:ind w:firstLine="720"/>
      </w:pPr>
      <w:r>
        <w:t>What’s more, the evidence at trial indicated that Ramic fought against American forces in</w:t>
      </w:r>
    </w:p>
    <w:p w14:paraId="6C6134BB" w14:textId="77777777" w:rsidR="008D250F" w:rsidRDefault="008D250F" w:rsidP="008D250F">
      <w:pPr>
        <w:pStyle w:val="NoSpacing"/>
        <w:ind w:firstLine="720"/>
      </w:pPr>
      <w:r>
        <w:t>the siege of Kobane.”</w:t>
      </w:r>
    </w:p>
    <w:p w14:paraId="6830C891" w14:textId="77777777" w:rsidR="008D250F" w:rsidRDefault="008D250F" w:rsidP="008D250F">
      <w:pPr>
        <w:pStyle w:val="NoSpacing"/>
        <w:ind w:firstLine="720"/>
      </w:pPr>
    </w:p>
    <w:p w14:paraId="328B4C67" w14:textId="77777777" w:rsidR="008D250F" w:rsidRPr="0065553D" w:rsidRDefault="008D250F" w:rsidP="008D250F">
      <w:pPr>
        <w:rPr>
          <w:b/>
          <w:bCs/>
        </w:rPr>
      </w:pPr>
      <w:r>
        <w:rPr>
          <w:b/>
        </w:rPr>
        <w:t>Legal lesson learned: 6</w:t>
      </w:r>
      <w:r w:rsidRPr="0024026A">
        <w:rPr>
          <w:b/>
          <w:vertAlign w:val="superscript"/>
        </w:rPr>
        <w:t>th</w:t>
      </w:r>
      <w:r>
        <w:rPr>
          <w:b/>
        </w:rPr>
        <w:t xml:space="preserve"> Circuit decision very helpful great precedence for other courts reviewing U.S. Government appeals of short sentences of terrorists. </w:t>
      </w:r>
    </w:p>
    <w:p w14:paraId="2F625A47" w14:textId="77777777" w:rsidR="008D250F" w:rsidRDefault="008D250F" w:rsidP="002A66F2">
      <w:pPr>
        <w:pStyle w:val="NoSpacing"/>
        <w:rPr>
          <w:rFonts w:ascii="Arial Black" w:hAnsi="Arial Black"/>
          <w:sz w:val="28"/>
          <w:szCs w:val="28"/>
        </w:rPr>
      </w:pPr>
    </w:p>
    <w:p w14:paraId="638A86AE" w14:textId="77777777" w:rsidR="008D250F" w:rsidRDefault="008D250F" w:rsidP="002A66F2">
      <w:pPr>
        <w:pStyle w:val="NoSpacing"/>
        <w:rPr>
          <w:rFonts w:ascii="Arial Black" w:hAnsi="Arial Black"/>
          <w:sz w:val="28"/>
          <w:szCs w:val="28"/>
        </w:rPr>
      </w:pPr>
    </w:p>
    <w:p w14:paraId="2936EF2F" w14:textId="77777777" w:rsidR="008D250F" w:rsidRDefault="008D250F" w:rsidP="002A66F2">
      <w:pPr>
        <w:pStyle w:val="NoSpacing"/>
        <w:rPr>
          <w:rFonts w:ascii="Arial Black" w:hAnsi="Arial Black"/>
          <w:sz w:val="28"/>
          <w:szCs w:val="28"/>
        </w:rPr>
      </w:pPr>
    </w:p>
    <w:p w14:paraId="1EFEDF44" w14:textId="545DB007" w:rsidR="002A66F2" w:rsidRDefault="002A66F2" w:rsidP="002A66F2">
      <w:pPr>
        <w:pStyle w:val="NoSpacing"/>
        <w:rPr>
          <w:rFonts w:ascii="Arial Black" w:hAnsi="Arial Black"/>
          <w:sz w:val="28"/>
          <w:szCs w:val="28"/>
        </w:rPr>
      </w:pPr>
      <w:r>
        <w:rPr>
          <w:rFonts w:ascii="Arial Black" w:hAnsi="Arial Black"/>
          <w:sz w:val="28"/>
          <w:szCs w:val="28"/>
        </w:rPr>
        <w:lastRenderedPageBreak/>
        <w:t>3-</w:t>
      </w:r>
      <w:r w:rsidR="00094264">
        <w:rPr>
          <w:rFonts w:ascii="Arial Black" w:hAnsi="Arial Black"/>
          <w:sz w:val="28"/>
          <w:szCs w:val="28"/>
        </w:rPr>
        <w:t>91</w:t>
      </w:r>
    </w:p>
    <w:p w14:paraId="60BF1E6B" w14:textId="77777777" w:rsidR="002A66F2" w:rsidRDefault="002A66F2" w:rsidP="00440B47">
      <w:pPr>
        <w:pStyle w:val="NoSpacing"/>
        <w:rPr>
          <w:rFonts w:ascii="Arial Black" w:hAnsi="Arial Black"/>
          <w:sz w:val="28"/>
          <w:szCs w:val="28"/>
        </w:rPr>
      </w:pPr>
    </w:p>
    <w:p w14:paraId="64CAF135" w14:textId="77777777" w:rsidR="007328CD" w:rsidRDefault="007328CD" w:rsidP="007328CD">
      <w:pPr>
        <w:pStyle w:val="NoSpacing"/>
        <w:rPr>
          <w:rFonts w:ascii="Arial Black" w:hAnsi="Arial Black"/>
          <w:b/>
          <w:sz w:val="28"/>
          <w:szCs w:val="28"/>
        </w:rPr>
      </w:pPr>
      <w:r>
        <w:rPr>
          <w:rFonts w:ascii="Arial Black" w:hAnsi="Arial Black"/>
          <w:b/>
          <w:sz w:val="28"/>
          <w:szCs w:val="28"/>
        </w:rPr>
        <w:t>U.S. SUP. CT – TALIBAN BOMB - SOLDIER SUE CONTRACTOR</w:t>
      </w:r>
    </w:p>
    <w:p w14:paraId="58945B9D" w14:textId="77777777" w:rsidR="007328CD" w:rsidRDefault="007328CD" w:rsidP="007328CD">
      <w:pPr>
        <w:pStyle w:val="NoSpacing"/>
        <w:rPr>
          <w:rFonts w:ascii="Arial Black" w:hAnsi="Arial Black"/>
          <w:b/>
          <w:sz w:val="28"/>
          <w:szCs w:val="28"/>
        </w:rPr>
      </w:pPr>
    </w:p>
    <w:p w14:paraId="4E8B7C50" w14:textId="77777777" w:rsidR="007328CD" w:rsidRDefault="007328CD" w:rsidP="007328CD">
      <w:pPr>
        <w:pStyle w:val="NoSpacing"/>
        <w:rPr>
          <w:bCs/>
        </w:rPr>
      </w:pPr>
      <w:r>
        <w:t xml:space="preserve">On April 22, 2026, in </w:t>
      </w:r>
      <w:r w:rsidRPr="004241FD">
        <w:rPr>
          <w:u w:val="single"/>
        </w:rPr>
        <w:t xml:space="preserve">Winston T. </w:t>
      </w:r>
      <w:proofErr w:type="spellStart"/>
      <w:r w:rsidRPr="004241FD">
        <w:rPr>
          <w:u w:val="single"/>
        </w:rPr>
        <w:t>Hencely</w:t>
      </w:r>
      <w:proofErr w:type="spellEnd"/>
      <w:r w:rsidRPr="004241FD">
        <w:rPr>
          <w:u w:val="single"/>
        </w:rPr>
        <w:t xml:space="preserve"> v. Fluor Corp, et al</w:t>
      </w:r>
      <w:r>
        <w:t xml:space="preserve">., the U.S. Supreme Court held (6 to 3) that former U.S. Army </w:t>
      </w:r>
      <w:r w:rsidRPr="000A48D2">
        <w:t xml:space="preserve">specialist Winston T. </w:t>
      </w:r>
      <w:proofErr w:type="spellStart"/>
      <w:r w:rsidRPr="000A48D2">
        <w:t>Hencely</w:t>
      </w:r>
      <w:proofErr w:type="spellEnd"/>
      <w:r w:rsidRPr="000A48D2">
        <w:t xml:space="preserve">, </w:t>
      </w:r>
      <w:r>
        <w:t xml:space="preserve">can sue a military contractor under South Carolina state law for negligent supervision of an Afghanistan employee at Bagram Airbase.  </w:t>
      </w:r>
      <w:proofErr w:type="spellStart"/>
      <w:r>
        <w:t>Hencely</w:t>
      </w:r>
      <w:proofErr w:type="spellEnd"/>
      <w:r>
        <w:t xml:space="preserve">, age 20, </w:t>
      </w:r>
      <w:r w:rsidRPr="000A48D2">
        <w:t>suffered a fractured skull and brain</w:t>
      </w:r>
      <w:r>
        <w:t xml:space="preserve"> </w:t>
      </w:r>
      <w:r w:rsidRPr="000A48D2">
        <w:t xml:space="preserve">injuries </w:t>
      </w:r>
      <w:r w:rsidRPr="00074997">
        <w:t xml:space="preserve">on Veteran’s Day 2016 </w:t>
      </w:r>
      <w:r>
        <w:t xml:space="preserve">when the Afghan activated a suicide vest, which </w:t>
      </w:r>
      <w:r w:rsidRPr="00C41DBA">
        <w:t>killed 5 and</w:t>
      </w:r>
      <w:r>
        <w:t xml:space="preserve"> </w:t>
      </w:r>
      <w:r w:rsidRPr="00C41DBA">
        <w:t>wounded 17</w:t>
      </w:r>
      <w:r>
        <w:t xml:space="preserve">. </w:t>
      </w:r>
      <w:proofErr w:type="spellStart"/>
      <w:r>
        <w:t>Hencely</w:t>
      </w:r>
      <w:proofErr w:type="spellEnd"/>
      <w:r>
        <w:t xml:space="preserve"> heroically saved many more because the Afghan employee was trying to reach a large crowd at </w:t>
      </w:r>
      <w:r w:rsidRPr="00DE617A">
        <w:t>Veteran’s Day</w:t>
      </w:r>
      <w:r>
        <w:t xml:space="preserve"> </w:t>
      </w:r>
      <w:r w:rsidRPr="00DE617A">
        <w:t>5K race</w:t>
      </w:r>
      <w:r>
        <w:t xml:space="preserve"> at the airfield</w:t>
      </w:r>
      <w:r w:rsidRPr="00DE617A">
        <w:t>.</w:t>
      </w:r>
      <w:r>
        <w:t xml:space="preserve"> The Federal Government has sovereign immunity, so </w:t>
      </w:r>
      <w:proofErr w:type="spellStart"/>
      <w:r>
        <w:t>Hencely</w:t>
      </w:r>
      <w:proofErr w:type="spellEnd"/>
      <w:r>
        <w:t xml:space="preserve"> cannot sue the government for alleged negligence in conducting background checks under its </w:t>
      </w:r>
      <w:r w:rsidRPr="008575E7">
        <w:t>“Afghan First” program</w:t>
      </w:r>
      <w:r>
        <w:t xml:space="preserve"> at the base where military contractors like Fluor were directed to hire Afghan employees (government knew he was former Taliban).  Fluor hired him to work in n</w:t>
      </w:r>
      <w:r w:rsidRPr="001E5CDD">
        <w:t>ontactical vehicle yard</w:t>
      </w:r>
      <w:r>
        <w:t xml:space="preserve">, and plaintiff alleges in a lawsuit brought in Federal court in South Carolina that under state law Fluor was negligent in supervising and managing the Afghan’s movements around the base. The U.S. District Court judge in South Carolina dismissed the lawsuit; </w:t>
      </w:r>
      <w:r w:rsidRPr="00703F6D">
        <w:t xml:space="preserve">military contractors </w:t>
      </w:r>
      <w:r>
        <w:t xml:space="preserve">under prior case law have immunity </w:t>
      </w:r>
      <w:r w:rsidRPr="00703F6D">
        <w:t>arising out of combatant</w:t>
      </w:r>
      <w:r>
        <w:t>.  The U.S. Court of Appeals for 4</w:t>
      </w:r>
      <w:r w:rsidRPr="00726AA2">
        <w:rPr>
          <w:vertAlign w:val="superscript"/>
        </w:rPr>
        <w:t>th</w:t>
      </w:r>
      <w:r>
        <w:t xml:space="preserve"> Circuit (Richmond, VA) agreed. </w:t>
      </w:r>
      <w:hyperlink r:id="rId634" w:history="1">
        <w:r w:rsidRPr="00595B37">
          <w:rPr>
            <w:rStyle w:val="Hyperlink"/>
            <w:b/>
          </w:rPr>
          <w:t>https://www.supremecourt.gov/opinions/25pdf/24-924_3d9g.pdf</w:t>
        </w:r>
      </w:hyperlink>
    </w:p>
    <w:p w14:paraId="582CE094" w14:textId="77777777" w:rsidR="007328CD" w:rsidRDefault="007328CD" w:rsidP="007328CD">
      <w:pPr>
        <w:pStyle w:val="NoSpacing"/>
        <w:rPr>
          <w:bCs/>
        </w:rPr>
      </w:pPr>
    </w:p>
    <w:p w14:paraId="4CB06D99" w14:textId="77777777" w:rsidR="007328CD" w:rsidRDefault="007328CD" w:rsidP="007328CD">
      <w:pPr>
        <w:pStyle w:val="NoSpacing"/>
        <w:rPr>
          <w:bCs/>
        </w:rPr>
      </w:pPr>
    </w:p>
    <w:p w14:paraId="27696CA3" w14:textId="77777777" w:rsidR="007328CD" w:rsidRDefault="007328CD" w:rsidP="007328CD">
      <w:pPr>
        <w:pStyle w:val="NoSpacing"/>
        <w:rPr>
          <w:bCs/>
        </w:rPr>
      </w:pPr>
      <w:r w:rsidRPr="00703F6D">
        <w:t xml:space="preserve"> </w:t>
      </w:r>
      <w:r>
        <w:t>THE COURT HELD (opinion by Justice Clarence Thomas):</w:t>
      </w:r>
    </w:p>
    <w:p w14:paraId="12796BD4" w14:textId="77777777" w:rsidR="007328CD" w:rsidRDefault="007328CD" w:rsidP="007328CD">
      <w:pPr>
        <w:pStyle w:val="NoSpacing"/>
        <w:rPr>
          <w:bCs/>
        </w:rPr>
      </w:pPr>
    </w:p>
    <w:p w14:paraId="572A69D9" w14:textId="77777777" w:rsidR="007328CD" w:rsidRDefault="007328CD" w:rsidP="007328CD">
      <w:pPr>
        <w:pStyle w:val="NoSpacing"/>
        <w:ind w:left="720"/>
        <w:rPr>
          <w:bCs/>
        </w:rPr>
      </w:pPr>
      <w:r>
        <w:t>“</w:t>
      </w:r>
      <w:r w:rsidRPr="001E25D7">
        <w:t xml:space="preserve">Nayeb </w:t>
      </w:r>
      <w:r>
        <w:t xml:space="preserve">[the bomber] </w:t>
      </w:r>
      <w:r w:rsidRPr="001E25D7">
        <w:t xml:space="preserve">worked as a </w:t>
      </w:r>
      <w:r>
        <w:t>‘</w:t>
      </w:r>
      <w:r w:rsidRPr="001E25D7">
        <w:t>Local National</w:t>
      </w:r>
      <w:r>
        <w:t>’</w:t>
      </w:r>
      <w:r w:rsidRPr="001E25D7">
        <w:t xml:space="preserve"> contractor at</w:t>
      </w:r>
      <w:r>
        <w:t xml:space="preserve"> </w:t>
      </w:r>
      <w:r w:rsidRPr="001E25D7">
        <w:t xml:space="preserve">Bagram as part of the military’s </w:t>
      </w:r>
      <w:r>
        <w:t>‘</w:t>
      </w:r>
      <w:r w:rsidRPr="001E25D7">
        <w:t>Afghan First</w:t>
      </w:r>
      <w:r>
        <w:t>’</w:t>
      </w:r>
      <w:r w:rsidRPr="001E25D7">
        <w:t xml:space="preserve"> program</w:t>
      </w:r>
      <w:r>
        <w:t xml:space="preserve">…. </w:t>
      </w:r>
      <w:r w:rsidRPr="001E25D7">
        <w:t xml:space="preserve"> That program sought to stimulate the</w:t>
      </w:r>
      <w:r>
        <w:t xml:space="preserve"> </w:t>
      </w:r>
      <w:r w:rsidRPr="001E25D7">
        <w:t>local economy and stabilize the Afghan Government by requiring contractors to hire Afghans “‘to the maximum extent possible.’</w:t>
      </w:r>
      <w:r>
        <w:t xml:space="preserve"> … </w:t>
      </w:r>
      <w:r w:rsidRPr="001E25D7">
        <w:t>The military interviewed and</w:t>
      </w:r>
      <w:r>
        <w:t xml:space="preserve"> </w:t>
      </w:r>
      <w:r w:rsidRPr="001E25D7">
        <w:t>screened potential employees. During this process, it</w:t>
      </w:r>
      <w:r>
        <w:t xml:space="preserve"> </w:t>
      </w:r>
      <w:r w:rsidRPr="001E25D7">
        <w:t>learned that Nayeb had been involved with the Taliban in</w:t>
      </w:r>
      <w:r>
        <w:t xml:space="preserve"> </w:t>
      </w:r>
      <w:r w:rsidRPr="001E25D7">
        <w:t>the past. Nonetheless, it approved him for employment.</w:t>
      </w:r>
    </w:p>
    <w:p w14:paraId="112B8EC3" w14:textId="77777777" w:rsidR="007328CD" w:rsidRDefault="007328CD" w:rsidP="007328CD">
      <w:pPr>
        <w:pStyle w:val="NoSpacing"/>
        <w:ind w:left="720"/>
        <w:rPr>
          <w:bCs/>
        </w:rPr>
      </w:pPr>
    </w:p>
    <w:p w14:paraId="4F109C04" w14:textId="77777777" w:rsidR="007328CD" w:rsidRDefault="007328CD" w:rsidP="007328CD">
      <w:pPr>
        <w:pStyle w:val="NoSpacing"/>
        <w:ind w:left="720"/>
        <w:rPr>
          <w:bCs/>
        </w:rPr>
      </w:pPr>
      <w:r>
        <w:t>***</w:t>
      </w:r>
    </w:p>
    <w:p w14:paraId="4B3E22BD" w14:textId="77777777" w:rsidR="007328CD" w:rsidRPr="006A68DB" w:rsidRDefault="007328CD" w:rsidP="007328CD">
      <w:pPr>
        <w:pStyle w:val="NoSpacing"/>
        <w:ind w:left="720"/>
        <w:rPr>
          <w:bCs/>
        </w:rPr>
      </w:pPr>
      <w:r w:rsidRPr="006A68DB">
        <w:t xml:space="preserve">The Army’s investigation found Fluor primarily responsible for the attack. Interviews of Fluor personnel </w:t>
      </w:r>
      <w:r>
        <w:t>‘</w:t>
      </w:r>
      <w:r w:rsidRPr="006A68DB">
        <w:t>reveal[ed] a poor understanding by Fluor supervisors as to</w:t>
      </w:r>
      <w:r>
        <w:t xml:space="preserve"> </w:t>
      </w:r>
      <w:r w:rsidRPr="006A68DB">
        <w:t>who was responsible for Nayeb’s supervision</w:t>
      </w:r>
      <w:r>
        <w:t>’</w:t>
      </w:r>
      <w:r w:rsidRPr="006A68DB">
        <w:t xml:space="preserve"> and </w:t>
      </w:r>
      <w:r>
        <w:t>‘</w:t>
      </w:r>
      <w:r w:rsidRPr="006A68DB">
        <w:t>an unreasonable complacency by Fluor to ensure Local National</w:t>
      </w:r>
      <w:r>
        <w:t xml:space="preserve"> </w:t>
      </w:r>
      <w:r w:rsidRPr="006A68DB">
        <w:t xml:space="preserve">employees were properly </w:t>
      </w:r>
      <w:proofErr w:type="gramStart"/>
      <w:r w:rsidRPr="006A68DB">
        <w:t>supervised at all times</w:t>
      </w:r>
      <w:proofErr w:type="gramEnd"/>
      <w:r w:rsidRPr="006A68DB">
        <w:t>, as re-</w:t>
      </w:r>
    </w:p>
    <w:p w14:paraId="29C78BF8" w14:textId="77777777" w:rsidR="007328CD" w:rsidRDefault="007328CD" w:rsidP="007328CD">
      <w:pPr>
        <w:pStyle w:val="NoSpacing"/>
        <w:ind w:left="720"/>
        <w:rPr>
          <w:bCs/>
        </w:rPr>
      </w:pPr>
      <w:r w:rsidRPr="006A68DB">
        <w:t>quired by their contract.</w:t>
      </w:r>
      <w:r>
        <w:t>’</w:t>
      </w:r>
    </w:p>
    <w:p w14:paraId="675184BB" w14:textId="77777777" w:rsidR="007328CD" w:rsidRDefault="007328CD" w:rsidP="007328CD">
      <w:pPr>
        <w:pStyle w:val="NoSpacing"/>
        <w:ind w:left="720"/>
        <w:rPr>
          <w:bCs/>
        </w:rPr>
      </w:pPr>
    </w:p>
    <w:p w14:paraId="3D5DD965" w14:textId="77777777" w:rsidR="007328CD" w:rsidRDefault="007328CD" w:rsidP="007328CD">
      <w:pPr>
        <w:pStyle w:val="NoSpacing"/>
        <w:ind w:left="720"/>
        <w:rPr>
          <w:bCs/>
        </w:rPr>
      </w:pPr>
      <w:r>
        <w:t>***</w:t>
      </w:r>
    </w:p>
    <w:p w14:paraId="5469BAE7" w14:textId="77777777" w:rsidR="007328CD" w:rsidRDefault="007328CD" w:rsidP="007328CD">
      <w:pPr>
        <w:pStyle w:val="NoSpacing"/>
        <w:rPr>
          <w:bCs/>
        </w:rPr>
      </w:pPr>
    </w:p>
    <w:p w14:paraId="77340722" w14:textId="77777777" w:rsidR="007328CD" w:rsidRDefault="007328CD" w:rsidP="007328CD">
      <w:pPr>
        <w:pStyle w:val="NoSpacing"/>
        <w:ind w:left="720"/>
        <w:rPr>
          <w:bCs/>
        </w:rPr>
      </w:pPr>
      <w:r w:rsidRPr="00C8739E">
        <w:t xml:space="preserve">The Fourth Circuit’s decision held </w:t>
      </w:r>
      <w:proofErr w:type="spellStart"/>
      <w:r w:rsidRPr="00C8739E">
        <w:t>Hencely’s</w:t>
      </w:r>
      <w:proofErr w:type="spellEnd"/>
      <w:r w:rsidRPr="00C8739E">
        <w:t xml:space="preserve"> claims</w:t>
      </w:r>
      <w:r>
        <w:t xml:space="preserve"> </w:t>
      </w:r>
      <w:r w:rsidRPr="00C8739E">
        <w:t>preempted even though the conduct complained of was neither ordered nor authorized by the Federal Government.</w:t>
      </w:r>
      <w:r>
        <w:t xml:space="preserve"> </w:t>
      </w:r>
      <w:r w:rsidRPr="00C8739E">
        <w:t xml:space="preserve">No provision of the Constitution and no federal statute </w:t>
      </w:r>
      <w:proofErr w:type="gramStart"/>
      <w:r w:rsidRPr="00C8739E">
        <w:t>justifies</w:t>
      </w:r>
      <w:proofErr w:type="gramEnd"/>
      <w:r w:rsidRPr="00C8739E">
        <w:t xml:space="preserve"> that preemption of the State’s ordinary authority over</w:t>
      </w:r>
      <w:r>
        <w:t xml:space="preserve"> </w:t>
      </w:r>
      <w:r w:rsidRPr="00C8739E">
        <w:t>tort suits. Nor does any precedent of this Court command</w:t>
      </w:r>
      <w:r>
        <w:t xml:space="preserve"> </w:t>
      </w:r>
      <w:r w:rsidRPr="00C8739E">
        <w:t>such a result. Therefore, we vacate the judgment of the</w:t>
      </w:r>
      <w:r>
        <w:t xml:space="preserve"> </w:t>
      </w:r>
      <w:r w:rsidRPr="00C8739E">
        <w:t xml:space="preserve">Fourth Circuit and </w:t>
      </w:r>
      <w:proofErr w:type="gramStart"/>
      <w:r w:rsidRPr="00C8739E">
        <w:t>remand</w:t>
      </w:r>
      <w:proofErr w:type="gramEnd"/>
      <w:r w:rsidRPr="00C8739E">
        <w:t xml:space="preserve"> the case for further proceedings</w:t>
      </w:r>
      <w:r>
        <w:t xml:space="preserve"> </w:t>
      </w:r>
      <w:r w:rsidRPr="00C8739E">
        <w:t>consistent with this opinion.</w:t>
      </w:r>
    </w:p>
    <w:p w14:paraId="22028DAD" w14:textId="77777777" w:rsidR="007328CD" w:rsidRDefault="007328CD" w:rsidP="007328CD">
      <w:pPr>
        <w:pStyle w:val="NoSpacing"/>
        <w:rPr>
          <w:bCs/>
        </w:rPr>
      </w:pPr>
    </w:p>
    <w:p w14:paraId="5701F618" w14:textId="77777777" w:rsidR="007328CD" w:rsidRDefault="007328CD" w:rsidP="007328CD">
      <w:pPr>
        <w:pStyle w:val="NoSpacing"/>
        <w:rPr>
          <w:b/>
        </w:rPr>
      </w:pPr>
    </w:p>
    <w:p w14:paraId="014AE52B" w14:textId="77777777" w:rsidR="007328CD" w:rsidRDefault="007328CD" w:rsidP="007328CD">
      <w:pPr>
        <w:pStyle w:val="NoSpacing"/>
      </w:pPr>
      <w:r w:rsidRPr="00927246">
        <w:t>ALITO, J., dissenting</w:t>
      </w:r>
    </w:p>
    <w:p w14:paraId="31464C0F" w14:textId="77777777" w:rsidR="007328CD" w:rsidRPr="00637A04" w:rsidRDefault="007328CD" w:rsidP="007328CD">
      <w:pPr>
        <w:pStyle w:val="NoSpacing"/>
      </w:pPr>
    </w:p>
    <w:p w14:paraId="70E0A015" w14:textId="77777777" w:rsidR="007328CD" w:rsidRDefault="007328CD" w:rsidP="007328CD">
      <w:pPr>
        <w:pStyle w:val="NoSpacing"/>
        <w:ind w:left="720"/>
      </w:pPr>
      <w:r>
        <w:t>“</w:t>
      </w:r>
      <w:r w:rsidRPr="00637A04">
        <w:t>Among those injured when Nayeb detonated his bomb</w:t>
      </w:r>
      <w:r>
        <w:t xml:space="preserve"> </w:t>
      </w:r>
      <w:r w:rsidRPr="00637A04">
        <w:t>was petitioner, former Army Specialist Winston Tyler</w:t>
      </w:r>
      <w:r>
        <w:t xml:space="preserve"> </w:t>
      </w:r>
      <w:r w:rsidRPr="00637A04">
        <w:t>Hencely, who suffered severe and permanent injuries.</w:t>
      </w:r>
      <w:r>
        <w:t xml:space="preserve"> </w:t>
      </w:r>
      <w:r w:rsidRPr="00637A04">
        <w:t>Barred by sovereign immunity from suing the Federal Government, petitioner brought this diversity suit against</w:t>
      </w:r>
      <w:r>
        <w:t xml:space="preserve"> </w:t>
      </w:r>
      <w:r w:rsidRPr="00637A04">
        <w:t>Fluor and asserted tort claims under South Carolina law.</w:t>
      </w:r>
      <w:r>
        <w:t xml:space="preserve"> </w:t>
      </w:r>
      <w:r w:rsidRPr="00637A04">
        <w:t>Like all members of the military wounded in the service of</w:t>
      </w:r>
      <w:r>
        <w:t xml:space="preserve"> </w:t>
      </w:r>
      <w:r w:rsidRPr="00637A04">
        <w:t>our country, petitioner deserves a full measure of support</w:t>
      </w:r>
      <w:r>
        <w:t xml:space="preserve"> </w:t>
      </w:r>
      <w:r w:rsidRPr="00637A04">
        <w:t>from the American people, who owe him a debt that can</w:t>
      </w:r>
      <w:r>
        <w:t xml:space="preserve"> </w:t>
      </w:r>
      <w:r w:rsidRPr="00637A04">
        <w:t>never be fully repaid. But this state-law tort suit is not the</w:t>
      </w:r>
      <w:r>
        <w:t xml:space="preserve"> </w:t>
      </w:r>
      <w:r w:rsidRPr="00637A04">
        <w:t>way to give petitioner what he is due</w:t>
      </w:r>
      <w:r>
        <w:t>.</w:t>
      </w:r>
    </w:p>
    <w:p w14:paraId="746A39A7" w14:textId="77777777" w:rsidR="007328CD" w:rsidRDefault="007328CD" w:rsidP="007328CD">
      <w:pPr>
        <w:pStyle w:val="NoSpacing"/>
        <w:ind w:left="720"/>
      </w:pPr>
    </w:p>
    <w:p w14:paraId="2A32B32E" w14:textId="77777777" w:rsidR="007328CD" w:rsidRDefault="007328CD" w:rsidP="007328CD">
      <w:pPr>
        <w:pStyle w:val="NoSpacing"/>
      </w:pPr>
    </w:p>
    <w:p w14:paraId="7610BAC2" w14:textId="77777777" w:rsidR="007328CD" w:rsidRDefault="007328CD" w:rsidP="007328CD">
      <w:pPr>
        <w:pStyle w:val="NoSpacing"/>
        <w:ind w:left="720"/>
      </w:pPr>
      <w:r>
        <w:t>***</w:t>
      </w:r>
    </w:p>
    <w:p w14:paraId="7AD99684" w14:textId="77777777" w:rsidR="007328CD" w:rsidRDefault="007328CD" w:rsidP="007328CD">
      <w:pPr>
        <w:pStyle w:val="NoSpacing"/>
        <w:ind w:left="720"/>
      </w:pPr>
    </w:p>
    <w:p w14:paraId="0870317B" w14:textId="77777777" w:rsidR="007328CD" w:rsidRDefault="007328CD" w:rsidP="007328CD">
      <w:pPr>
        <w:pStyle w:val="NoSpacing"/>
        <w:ind w:left="720"/>
      </w:pPr>
      <w:r>
        <w:t>In sum, we have long recognized that the Constitution itself may demand preemption when a state law intrudes upon an area of exclusive federal authority. And because the Constitution gives the Federal Government exclusive authority over foreign affairs and the conduct of wars, federal law preempts all state law that substantially interferes with the Government’s exercise of those powers.”</w:t>
      </w:r>
    </w:p>
    <w:p w14:paraId="5326E1F9" w14:textId="77777777" w:rsidR="007328CD" w:rsidRDefault="007328CD" w:rsidP="007328CD">
      <w:pPr>
        <w:pStyle w:val="NoSpacing"/>
        <w:ind w:left="720"/>
      </w:pPr>
    </w:p>
    <w:p w14:paraId="15B7E055" w14:textId="77777777" w:rsidR="007328CD" w:rsidRPr="00137F48" w:rsidRDefault="007328CD" w:rsidP="007328CD">
      <w:pPr>
        <w:pStyle w:val="NoSpacing"/>
        <w:rPr>
          <w:b/>
          <w:bCs/>
        </w:rPr>
      </w:pPr>
      <w:r>
        <w:rPr>
          <w:b/>
        </w:rPr>
        <w:t xml:space="preserve">Legal lesson learned:  The plaintiff suffered terrible, </w:t>
      </w:r>
      <w:proofErr w:type="spellStart"/>
      <w:proofErr w:type="gramStart"/>
      <w:r>
        <w:rPr>
          <w:b/>
        </w:rPr>
        <w:t>life long</w:t>
      </w:r>
      <w:proofErr w:type="spellEnd"/>
      <w:proofErr w:type="gramEnd"/>
      <w:r>
        <w:rPr>
          <w:b/>
        </w:rPr>
        <w:t xml:space="preserve"> injuries; he has now been given opportunity to seek damages from a military contractor. </w:t>
      </w:r>
    </w:p>
    <w:p w14:paraId="4A25CC4F" w14:textId="77777777" w:rsidR="007328CD" w:rsidRDefault="007328CD" w:rsidP="007328CD">
      <w:pPr>
        <w:pStyle w:val="NoSpacing"/>
      </w:pPr>
    </w:p>
    <w:p w14:paraId="271BCBB7" w14:textId="77777777" w:rsidR="007328CD" w:rsidRDefault="007328CD" w:rsidP="007328CD">
      <w:pPr>
        <w:pStyle w:val="NoSpacing"/>
        <w:rPr>
          <w:bCs/>
        </w:rPr>
      </w:pPr>
      <w:r>
        <w:rPr>
          <w:b/>
        </w:rPr>
        <w:tab/>
        <w:t xml:space="preserve">Note: </w:t>
      </w:r>
      <w:r>
        <w:t xml:space="preserve">Bagram Airbase was a very dangerous place [from Dissenting Opinion]: </w:t>
      </w:r>
    </w:p>
    <w:p w14:paraId="7062FD39" w14:textId="77777777" w:rsidR="007328CD" w:rsidRDefault="007328CD" w:rsidP="007328CD">
      <w:pPr>
        <w:pStyle w:val="NoSpacing"/>
        <w:ind w:left="720"/>
        <w:rPr>
          <w:b/>
        </w:rPr>
      </w:pPr>
      <w:r>
        <w:t>“In February 2007, a suicide bombing on the base killed 23 and injured 20 more. A June 2009 rocket attack killed two soldiers and injured at least six others. In May 2010, insurgents wearing U. S. Army uniforms killed an American contractor and wounded nine servicemembers. A November 2013 rocket attack killed two civilian contractors, and a December 2015 suicide bombing killed six American service-members.”</w:t>
      </w:r>
    </w:p>
    <w:p w14:paraId="20997A6E" w14:textId="77777777" w:rsidR="007328CD" w:rsidRDefault="007328CD" w:rsidP="007328CD">
      <w:pPr>
        <w:pStyle w:val="NoSpacing"/>
        <w:rPr>
          <w:bCs/>
        </w:rPr>
      </w:pPr>
    </w:p>
    <w:p w14:paraId="46E1DE58" w14:textId="77777777" w:rsidR="007328CD" w:rsidRDefault="007328CD" w:rsidP="00CC37FA">
      <w:pPr>
        <w:pStyle w:val="NoSpacing"/>
        <w:rPr>
          <w:rFonts w:ascii="Arial Black" w:hAnsi="Arial Black"/>
          <w:sz w:val="28"/>
          <w:szCs w:val="28"/>
        </w:rPr>
      </w:pPr>
    </w:p>
    <w:p w14:paraId="6F1BE1CE" w14:textId="0322CA85" w:rsidR="002A66F2" w:rsidRDefault="002A66F2" w:rsidP="002A66F2">
      <w:pPr>
        <w:pStyle w:val="NoSpacing"/>
        <w:rPr>
          <w:rFonts w:ascii="Arial Black" w:hAnsi="Arial Black"/>
          <w:sz w:val="28"/>
          <w:szCs w:val="28"/>
        </w:rPr>
      </w:pPr>
      <w:r>
        <w:rPr>
          <w:rFonts w:ascii="Arial Black" w:hAnsi="Arial Black"/>
          <w:sz w:val="28"/>
          <w:szCs w:val="28"/>
        </w:rPr>
        <w:t>3-90</w:t>
      </w:r>
    </w:p>
    <w:p w14:paraId="7CEB6F5B" w14:textId="77777777" w:rsidR="002A66F2" w:rsidRDefault="002A66F2" w:rsidP="002A66F2">
      <w:pPr>
        <w:pStyle w:val="NoSpacing"/>
        <w:rPr>
          <w:rFonts w:ascii="Arial Black" w:hAnsi="Arial Black"/>
          <w:b/>
          <w:sz w:val="28"/>
          <w:szCs w:val="28"/>
        </w:rPr>
      </w:pPr>
    </w:p>
    <w:p w14:paraId="35914F7F" w14:textId="531F9030" w:rsidR="002A66F2" w:rsidRPr="00DD0E3B" w:rsidRDefault="002A66F2" w:rsidP="002A66F2">
      <w:pPr>
        <w:pStyle w:val="NoSpacing"/>
        <w:rPr>
          <w:rFonts w:ascii="Arial Black" w:hAnsi="Arial Black"/>
          <w:b/>
          <w:sz w:val="28"/>
          <w:szCs w:val="28"/>
        </w:rPr>
      </w:pPr>
      <w:r>
        <w:rPr>
          <w:rFonts w:ascii="Arial Black" w:hAnsi="Arial Black"/>
          <w:b/>
          <w:sz w:val="28"/>
          <w:szCs w:val="28"/>
        </w:rPr>
        <w:t>NY: IRAN LIABLE - FF DIED CANCER - 9/11 – $7 MILLION</w:t>
      </w:r>
    </w:p>
    <w:p w14:paraId="22A39461" w14:textId="77777777" w:rsidR="002A66F2" w:rsidRDefault="002A66F2" w:rsidP="002A66F2">
      <w:pPr>
        <w:pStyle w:val="NoSpacing"/>
        <w:rPr>
          <w:b/>
        </w:rPr>
      </w:pPr>
    </w:p>
    <w:p w14:paraId="78800D86" w14:textId="77777777" w:rsidR="002A66F2" w:rsidRDefault="002A66F2" w:rsidP="002A66F2">
      <w:r>
        <w:t xml:space="preserve">On March 17, 2026, </w:t>
      </w:r>
      <w:r w:rsidRPr="00C777B2">
        <w:rPr>
          <w:u w:val="single"/>
        </w:rPr>
        <w:t xml:space="preserve">In </w:t>
      </w:r>
      <w:r>
        <w:rPr>
          <w:u w:val="single"/>
        </w:rPr>
        <w:t>R</w:t>
      </w:r>
      <w:r w:rsidRPr="00C777B2">
        <w:rPr>
          <w:u w:val="single"/>
        </w:rPr>
        <w:t>e Terrorist Attacks on September 11, 2001; Knight et al v. Islamic Republic of Iran</w:t>
      </w:r>
      <w:r w:rsidRPr="00C777B2">
        <w:t xml:space="preserve">, </w:t>
      </w:r>
      <w:r>
        <w:t xml:space="preserve">U.S. District Court Judge George B. Daniels, United States District Court for the Southern District of New York, held that plaintiffs </w:t>
      </w:r>
      <w:r w:rsidRPr="002240F5">
        <w:t>who developed fatal medical conditions after 9/11-related environmental exposure</w:t>
      </w:r>
      <w:r>
        <w:t>s are entitled to a default judgment against the Iran (which has never replied to any of the plaintiffs’ lawsuits).  Iran is liable under the  2016 terrorism exception to the F</w:t>
      </w:r>
      <w:r w:rsidRPr="007F3DB7">
        <w:t xml:space="preserve">oreign Sovereign Immunities Act [FSIA]; 28 U.S. Code § 1605A - Terrorism exception to the jurisdictional immunity of a foreign state. </w:t>
      </w:r>
      <w:hyperlink r:id="rId635" w:history="1">
        <w:r w:rsidRPr="007F3DB7">
          <w:rPr>
            <w:rStyle w:val="Hyperlink"/>
          </w:rPr>
          <w:t>https://www.law.cornell.edu/uscode/text/28/1605A</w:t>
        </w:r>
      </w:hyperlink>
      <w:r>
        <w:t xml:space="preserve">. One of the plaintiffs is the Estate of Albert Filosa, FDN, seeking recovery for his </w:t>
      </w:r>
      <w:r w:rsidRPr="009C1F1C">
        <w:t>latent injuries and subsequent death</w:t>
      </w:r>
      <w:r>
        <w:t xml:space="preserve"> at age 70.  The Judge held that U.S. </w:t>
      </w:r>
      <w:r w:rsidRPr="00CF1F22">
        <w:t>Magistrate Judge Netburn correctly determined that the Filosa Estate</w:t>
      </w:r>
      <w:r>
        <w:t xml:space="preserve"> is </w:t>
      </w:r>
      <w:r w:rsidRPr="00CF1F22">
        <w:t xml:space="preserve"> entitled to a baseline award of $7,000,000 in damages based on “severe” injuries stemming from </w:t>
      </w:r>
      <w:r>
        <w:t xml:space="preserve">his </w:t>
      </w:r>
      <w:r w:rsidRPr="00CF1F22">
        <w:t>role as</w:t>
      </w:r>
      <w:r>
        <w:t xml:space="preserve"> a</w:t>
      </w:r>
      <w:r w:rsidRPr="00CF1F22">
        <w:t xml:space="preserve"> first responder to the 9/11 </w:t>
      </w:r>
      <w:r>
        <w:t>a</w:t>
      </w:r>
      <w:r w:rsidRPr="00CF1F22">
        <w:t>ttacks.</w:t>
      </w:r>
      <w:r>
        <w:t xml:space="preserve"> Family has no way to collect unless can find Iran assets. </w:t>
      </w:r>
      <w:hyperlink r:id="rId636" w:history="1">
        <w:r w:rsidRPr="009500C1">
          <w:rPr>
            <w:rStyle w:val="Hyperlink"/>
          </w:rPr>
          <w:t>https://public.fastcase.com/Jhe1Qn%2BmJndQYQU6z%2FeNm525CuDWbNdyVkYCPMsZ0T5YpmzSSkpneXijYslIbSF5OmudrAoxw3Ae8PMhEMNZsP67fNH%2FZ%2FwnrBtLVmm5SAU%3D?utm_medium=email&amp;_hsenc=p2ANqtz-9semzM2ZQJ5MEhp_UWNRAg9Ejc_wupFqaRucLy6fQyzUPCHHSZ-OwHACqIjxggJtdwV9jTjO8a6Rf4TL88Oco6y4mJgQ&amp;_hsmi=226712652&amp;utm_content=226712652&amp;utm_source=hs_email</w:t>
        </w:r>
      </w:hyperlink>
      <w:r>
        <w:t xml:space="preserve"> </w:t>
      </w:r>
    </w:p>
    <w:p w14:paraId="6393C809" w14:textId="77777777" w:rsidR="002A66F2" w:rsidRDefault="002A66F2" w:rsidP="002A66F2"/>
    <w:p w14:paraId="376DF2F0" w14:textId="77777777" w:rsidR="002A66F2" w:rsidRDefault="002A66F2" w:rsidP="002A66F2">
      <w:r>
        <w:t>THE COURT HELD:</w:t>
      </w:r>
    </w:p>
    <w:p w14:paraId="100DA9B9" w14:textId="77777777" w:rsidR="002A66F2" w:rsidRDefault="002A66F2" w:rsidP="002A66F2">
      <w:pPr>
        <w:ind w:left="720"/>
      </w:pPr>
      <w:r>
        <w:t>“</w:t>
      </w:r>
      <w:r w:rsidRPr="00F7319E">
        <w:t>This Court has previously granted partial default judgment motions for plaintiffs who developed fatal medical conditions after 9/11-related environmental exposures</w:t>
      </w:r>
      <w:r>
        <w:t xml:space="preserve">…. </w:t>
      </w:r>
      <w:r w:rsidRPr="00F7319E">
        <w:t>This Court has not yet, however, addressed recovery for claims by living plaintiffs who developed non-fatal latent conditions after 9/11-related environmental exposures.</w:t>
      </w:r>
    </w:p>
    <w:p w14:paraId="7734CB16" w14:textId="77777777" w:rsidR="002A66F2" w:rsidRDefault="002A66F2" w:rsidP="002A66F2">
      <w:pPr>
        <w:ind w:left="720"/>
      </w:pPr>
      <w:r w:rsidRPr="003F5009">
        <w:t xml:space="preserve">Before this Court are two Reports and Recommendations issued by Magistrate Judge Netburn recommending that this Court grant the </w:t>
      </w:r>
      <w:r w:rsidRPr="003F5009">
        <w:rPr>
          <w:i/>
          <w:iCs/>
        </w:rPr>
        <w:t>Knight, Rodriguez, Johnson,</w:t>
      </w:r>
      <w:r w:rsidRPr="003F5009">
        <w:t xml:space="preserve"> and </w:t>
      </w:r>
      <w:r w:rsidRPr="003F5009">
        <w:rPr>
          <w:i/>
          <w:iCs/>
        </w:rPr>
        <w:t>Gaston</w:t>
      </w:r>
      <w:r w:rsidRPr="003F5009">
        <w:t xml:space="preserve"> Plaintiffs' motions for non-fatal latent injuries, </w:t>
      </w:r>
      <w:r w:rsidRPr="003F5009">
        <w:lastRenderedPageBreak/>
        <w:t>and recommending the amounts in which each Plaintiff should be awarded pain and suffering damages</w:t>
      </w:r>
      <w:r>
        <w:t xml:space="preserve">…. </w:t>
      </w:r>
      <w:r w:rsidRPr="003F5009">
        <w:t>No party objected to the Nonfatal Latent Injury Reports. This Court ADOPTS the Non-fatal Latent Injury Reports in full.</w:t>
      </w:r>
    </w:p>
    <w:p w14:paraId="3F6003A1" w14:textId="77777777" w:rsidR="002A66F2" w:rsidRDefault="002A66F2" w:rsidP="002A66F2">
      <w:pPr>
        <w:ind w:left="720"/>
      </w:pPr>
      <w:r>
        <w:t>***</w:t>
      </w:r>
    </w:p>
    <w:p w14:paraId="6177FC0C" w14:textId="77777777" w:rsidR="002A66F2" w:rsidRDefault="002A66F2" w:rsidP="002A66F2">
      <w:pPr>
        <w:ind w:left="720"/>
      </w:pPr>
      <w:r w:rsidRPr="00D9141E">
        <w:t>It is immaterial that some Plaintiffs were only present at the World Trade Center (</w:t>
      </w:r>
      <w:r>
        <w:t>‘</w:t>
      </w:r>
      <w:r w:rsidRPr="00D9141E">
        <w:t>WTC</w:t>
      </w:r>
      <w:r>
        <w:t>’</w:t>
      </w:r>
      <w:r w:rsidRPr="00D9141E">
        <w:t>) after September 11, 2001, or that some Plaintiffs participated in processing debris from the WTC site in a different borough</w:t>
      </w:r>
      <w:r>
        <w:t xml:space="preserve">…. </w:t>
      </w:r>
      <w:r w:rsidRPr="00D9141E">
        <w:t xml:space="preserve">Because the Plaintiffs were exposed to the toxins, carcinogens, and debris </w:t>
      </w:r>
      <w:proofErr w:type="gramStart"/>
      <w:r w:rsidRPr="00D9141E">
        <w:t>as a result of</w:t>
      </w:r>
      <w:proofErr w:type="gramEnd"/>
      <w:r w:rsidRPr="00D9141E">
        <w:t xml:space="preserve"> the 9/11 Attacks, Magistrate Judge Netburn properly concluded that the Plaintiffs are entitled to recovery.</w:t>
      </w:r>
    </w:p>
    <w:p w14:paraId="530D39EA" w14:textId="77777777" w:rsidR="002A66F2" w:rsidRDefault="002A66F2" w:rsidP="002A66F2">
      <w:pPr>
        <w:ind w:left="720"/>
      </w:pPr>
      <w:r>
        <w:t>***</w:t>
      </w:r>
    </w:p>
    <w:p w14:paraId="3D73B2E1" w14:textId="77777777" w:rsidR="002A66F2" w:rsidRDefault="002A66F2" w:rsidP="002A66F2">
      <w:pPr>
        <w:ind w:left="720"/>
      </w:pPr>
      <w:r w:rsidRPr="00B25119">
        <w:t xml:space="preserve">The Filosa Estate seeks recovery for the latent injuries and subsequent death suffered by firefighter and first-responder </w:t>
      </w:r>
      <w:proofErr w:type="gramStart"/>
      <w:r w:rsidRPr="00B25119">
        <w:t>Albert Filosa, and</w:t>
      </w:r>
      <w:proofErr w:type="gramEnd"/>
      <w:r w:rsidRPr="00B25119">
        <w:t xml:space="preserve"> provides to the Court a VCF eligibility letter that reflects the agency's conclusion that Filosa's injuries were a </w:t>
      </w:r>
      <w:r>
        <w:t>‘</w:t>
      </w:r>
      <w:r w:rsidRPr="00B25119">
        <w:t>direct result of the 9/11 Attacks.</w:t>
      </w:r>
      <w:r>
        <w:t xml:space="preserve">’ … </w:t>
      </w:r>
      <w:r w:rsidRPr="00B25119">
        <w:t>Based on the evidence provided by the Filosa Estate, Magistrate Judge Netburn properly concluded that the Filosa Estate sufficiently establishes causation.</w:t>
      </w:r>
      <w:r>
        <w:t>”</w:t>
      </w:r>
    </w:p>
    <w:p w14:paraId="1AA238A8" w14:textId="77777777" w:rsidR="002A66F2" w:rsidRDefault="002A66F2" w:rsidP="002A66F2">
      <w:pPr>
        <w:rPr>
          <w:b/>
          <w:bCs/>
        </w:rPr>
      </w:pPr>
      <w:r>
        <w:rPr>
          <w:b/>
        </w:rPr>
        <w:t xml:space="preserve">Legal lesson learned:  Unless family can locate Iran assets, they will not be able to collect this judgment. </w:t>
      </w:r>
    </w:p>
    <w:p w14:paraId="5C64537B" w14:textId="77777777" w:rsidR="002A66F2" w:rsidRDefault="002A66F2" w:rsidP="002A66F2">
      <w:pPr>
        <w:pStyle w:val="NoSpacing"/>
        <w:ind w:left="720"/>
        <w:rPr>
          <w:b/>
        </w:rPr>
      </w:pPr>
      <w:r>
        <w:t xml:space="preserve">Note: See the </w:t>
      </w:r>
      <w:r w:rsidRPr="0046685C">
        <w:t xml:space="preserve">National Fallen Firefighters Foundation Roll of Honor for </w:t>
      </w:r>
      <w:proofErr w:type="gramStart"/>
      <w:r w:rsidRPr="0046685C">
        <w:t>firefighter</w:t>
      </w:r>
      <w:proofErr w:type="gramEnd"/>
      <w:r w:rsidRPr="0046685C">
        <w:t xml:space="preserve"> Albert Filosa: </w:t>
      </w:r>
      <w:r>
        <w:t xml:space="preserve"> “</w:t>
      </w:r>
      <w:hyperlink r:id="rId637" w:history="1"/>
      <w:r w:rsidRPr="006A1EEB">
        <w:t xml:space="preserve">He died of cancer, a cancer caused from digging through the rubble in the days following 9/11, searching for remains. He died at 70 years old, and in his last year of life he was painfully sick, which was difficult to witness. The cancer had </w:t>
      </w:r>
      <w:proofErr w:type="gramStart"/>
      <w:r w:rsidRPr="006A1EEB">
        <w:t>metastasized to</w:t>
      </w:r>
      <w:proofErr w:type="gramEnd"/>
      <w:r w:rsidRPr="006A1EEB">
        <w:t xml:space="preserve"> his lungs. He required constant care; he couldn’t breathe. He died at home the way that he wished, surrounded by his family.</w:t>
      </w:r>
      <w:r>
        <w:t>”</w:t>
      </w:r>
      <w:r w:rsidRPr="006A1EEB">
        <w:t xml:space="preserve"> </w:t>
      </w:r>
      <w:hyperlink r:id="rId638" w:history="1">
        <w:r w:rsidRPr="002B6C59">
          <w:rPr>
            <w:rStyle w:val="Hyperlink"/>
            <w:b/>
          </w:rPr>
          <w:t>https://www.firehero.org/fallen-firefighter/albert-a-filosa/</w:t>
        </w:r>
      </w:hyperlink>
      <w:r>
        <w:rPr>
          <w:b/>
        </w:rPr>
        <w:t xml:space="preserve"> </w:t>
      </w:r>
    </w:p>
    <w:p w14:paraId="0FE37658" w14:textId="77777777" w:rsidR="002A66F2" w:rsidRDefault="002A66F2" w:rsidP="002A66F2">
      <w:pPr>
        <w:pStyle w:val="NoSpacing"/>
        <w:ind w:left="720"/>
        <w:rPr>
          <w:b/>
        </w:rPr>
      </w:pPr>
    </w:p>
    <w:p w14:paraId="7A8AB010" w14:textId="243FCD96" w:rsidR="002A66F2" w:rsidRDefault="002A66F2" w:rsidP="002A66F2">
      <w:pPr>
        <w:pStyle w:val="NoSpacing"/>
        <w:rPr>
          <w:rFonts w:ascii="Arial Black" w:hAnsi="Arial Black"/>
          <w:sz w:val="28"/>
          <w:szCs w:val="28"/>
        </w:rPr>
      </w:pPr>
      <w:r w:rsidRPr="0052375E">
        <w:t xml:space="preserve">See my article about this decision, and another decision </w:t>
      </w:r>
      <w:r>
        <w:t xml:space="preserve">allowing lawsuits to proceed against </w:t>
      </w:r>
      <w:r w:rsidRPr="0052375E">
        <w:t xml:space="preserve">Saudi Arabia. April 20, 2026: 9/11 Litigation Is Building </w:t>
      </w:r>
      <w:proofErr w:type="gramStart"/>
      <w:r w:rsidRPr="0052375E">
        <w:t>A</w:t>
      </w:r>
      <w:proofErr w:type="gramEnd"/>
      <w:r w:rsidRPr="0052375E">
        <w:t xml:space="preserve"> New Legal Framework </w:t>
      </w:r>
      <w:proofErr w:type="gramStart"/>
      <w:r w:rsidRPr="0052375E">
        <w:t>For</w:t>
      </w:r>
      <w:proofErr w:type="gramEnd"/>
      <w:r w:rsidRPr="0052375E">
        <w:t xml:space="preserve"> Foreign Terrorist Accountability </w:t>
      </w:r>
      <w:hyperlink r:id="rId639" w:history="1">
        <w:r w:rsidRPr="0052375E">
          <w:rPr>
            <w:rStyle w:val="Hyperlink"/>
          </w:rPr>
          <w:t>https://www.hstoday.us/subject-matter-areas/counterterrorism/9-11-litigation-is-building-a-new-legal-framework-for-foreign-terrorist-accountability/</w:t>
        </w:r>
      </w:hyperlink>
    </w:p>
    <w:p w14:paraId="5D4848F3" w14:textId="77777777" w:rsidR="007328CD" w:rsidRDefault="007328CD" w:rsidP="00CC37FA">
      <w:pPr>
        <w:pStyle w:val="NoSpacing"/>
        <w:rPr>
          <w:rFonts w:ascii="Arial Black" w:hAnsi="Arial Black"/>
          <w:sz w:val="28"/>
          <w:szCs w:val="28"/>
        </w:rPr>
      </w:pPr>
    </w:p>
    <w:p w14:paraId="1E455497" w14:textId="77777777" w:rsidR="007328CD" w:rsidRDefault="007328CD" w:rsidP="00CC37FA">
      <w:pPr>
        <w:pStyle w:val="NoSpacing"/>
        <w:rPr>
          <w:rFonts w:ascii="Arial Black" w:hAnsi="Arial Black"/>
          <w:sz w:val="28"/>
          <w:szCs w:val="28"/>
        </w:rPr>
      </w:pPr>
    </w:p>
    <w:p w14:paraId="52C89594" w14:textId="39236779" w:rsidR="00BE7AC1" w:rsidRDefault="00BE7AC1" w:rsidP="00CC37FA">
      <w:pPr>
        <w:pStyle w:val="NoSpacing"/>
        <w:rPr>
          <w:rFonts w:ascii="Arial Black" w:hAnsi="Arial Black"/>
          <w:sz w:val="28"/>
          <w:szCs w:val="28"/>
        </w:rPr>
      </w:pPr>
      <w:r>
        <w:rPr>
          <w:rFonts w:ascii="Arial Black" w:hAnsi="Arial Black"/>
          <w:sz w:val="28"/>
          <w:szCs w:val="28"/>
        </w:rPr>
        <w:t>3-89</w:t>
      </w:r>
    </w:p>
    <w:p w14:paraId="76FC1B0D" w14:textId="77777777" w:rsidR="00BE7AC1" w:rsidRDefault="00BE7AC1" w:rsidP="00CC37FA">
      <w:pPr>
        <w:pStyle w:val="NoSpacing"/>
        <w:rPr>
          <w:rFonts w:ascii="Arial Black" w:hAnsi="Arial Black"/>
          <w:sz w:val="28"/>
          <w:szCs w:val="28"/>
        </w:rPr>
      </w:pPr>
    </w:p>
    <w:p w14:paraId="1552BB92" w14:textId="77777777" w:rsidR="000B47B1" w:rsidRPr="00B1344C" w:rsidRDefault="000B47B1" w:rsidP="000B47B1">
      <w:pPr>
        <w:pStyle w:val="NoSpacing"/>
        <w:rPr>
          <w:rFonts w:ascii="Arial Black" w:hAnsi="Arial Black"/>
          <w:sz w:val="28"/>
          <w:szCs w:val="28"/>
        </w:rPr>
      </w:pPr>
      <w:r>
        <w:rPr>
          <w:rFonts w:ascii="Arial Black" w:hAnsi="Arial Black"/>
          <w:sz w:val="28"/>
          <w:szCs w:val="28"/>
        </w:rPr>
        <w:t>PA: WEAPON MASS DESTRUCTION – TANNERITE - EMT HURT</w:t>
      </w:r>
    </w:p>
    <w:p w14:paraId="21F27C06" w14:textId="77777777" w:rsidR="000B47B1" w:rsidRDefault="000B47B1" w:rsidP="000B47B1">
      <w:pPr>
        <w:pStyle w:val="NoSpacing"/>
      </w:pPr>
    </w:p>
    <w:p w14:paraId="6E8CBD8E" w14:textId="77777777" w:rsidR="000B47B1" w:rsidRDefault="000B47B1" w:rsidP="000B47B1">
      <w:pPr>
        <w:pStyle w:val="NoSpacing"/>
        <w:rPr>
          <w:b/>
        </w:rPr>
      </w:pPr>
      <w:r w:rsidRPr="00072212">
        <w:t xml:space="preserve">On February 19, 2026, in </w:t>
      </w:r>
      <w:r w:rsidRPr="008B14E8">
        <w:rPr>
          <w:u w:val="single"/>
        </w:rPr>
        <w:t>Commonwealth of Pennsylvania v. Ladell Emery Hannon</w:t>
      </w:r>
      <w:r w:rsidRPr="00072212">
        <w:t>, the Superior Court of Pennsylvania</w:t>
      </w:r>
      <w:r>
        <w:t>, held (3 to 0; unpublished decision) that jury properly convicted a former  police officer of use of a weapon of mass destruction [Tannerite], and stalking an EMT [</w:t>
      </w:r>
      <w:r w:rsidRPr="00B10086">
        <w:t>Harrison Jordan</w:t>
      </w:r>
      <w:r>
        <w:t xml:space="preserve">] who was dating his former wife [also an EMT].  </w:t>
      </w:r>
      <w:r w:rsidRPr="007E0B7E">
        <w:t>Tannerite</w:t>
      </w:r>
      <w:r>
        <w:t xml:space="preserve"> </w:t>
      </w:r>
      <w:r w:rsidRPr="007E0B7E">
        <w:t>is used to produce exploding targets for long-range shooting practice.</w:t>
      </w:r>
      <w:r>
        <w:t xml:space="preserve"> The police officer put tracers on his former wife’s vehicle and on Mr. Jordan’s vehicle. On December 21, 2021, Jordan was injured by an explosion outside his apartment - a five-gallon bucket of Tannerite exploded injuring Jordan; he suffered ruptured eardrums, wounds caused by shrapnel and cement, and burns; the explosion also damaged the apartment building.  The defendant  was sentenced on November 22, </w:t>
      </w:r>
      <w:proofErr w:type="gramStart"/>
      <w:r>
        <w:t>2024</w:t>
      </w:r>
      <w:proofErr w:type="gramEnd"/>
      <w:r>
        <w:t xml:space="preserve"> to an aggregate term of 17½ to 35 years of incarceration.  </w:t>
      </w:r>
      <w:hyperlink r:id="rId640" w:history="1">
        <w:r w:rsidRPr="00A9331C">
          <w:rPr>
            <w:rStyle w:val="Hyperlink"/>
            <w:b/>
          </w:rPr>
          <w:t>https://www.pacourts.us/assets/opinions/Superior/out/J-S42019-25m%20-%20106685903347676413.pdf?cb=1</w:t>
        </w:r>
      </w:hyperlink>
      <w:r>
        <w:rPr>
          <w:b/>
        </w:rPr>
        <w:t xml:space="preserve"> </w:t>
      </w:r>
    </w:p>
    <w:p w14:paraId="2850E673" w14:textId="77777777" w:rsidR="000B47B1" w:rsidRDefault="000B47B1" w:rsidP="000B47B1">
      <w:pPr>
        <w:pStyle w:val="NoSpacing"/>
      </w:pPr>
    </w:p>
    <w:p w14:paraId="42A598FA" w14:textId="77777777" w:rsidR="000B47B1" w:rsidRDefault="000B47B1" w:rsidP="000B47B1">
      <w:pPr>
        <w:pStyle w:val="NoSpacing"/>
      </w:pPr>
    </w:p>
    <w:p w14:paraId="65EA886F" w14:textId="77777777" w:rsidR="000B47B1" w:rsidRDefault="000B47B1" w:rsidP="000B47B1">
      <w:pPr>
        <w:pStyle w:val="NoSpacing"/>
      </w:pPr>
      <w:r>
        <w:t>THE COURT HELD: “Early in the morning on December 21, 2021, Mr. Jordan left his</w:t>
      </w:r>
    </w:p>
    <w:p w14:paraId="7180ED74" w14:textId="77777777" w:rsidR="000B47B1" w:rsidRDefault="000B47B1" w:rsidP="000B47B1">
      <w:pPr>
        <w:pStyle w:val="NoSpacing"/>
      </w:pPr>
      <w:r>
        <w:t xml:space="preserve">apartment. However, he noticed a smoking five-gallon bucket outside of his residence. Mr. Jordan attempted to run but did not get far before the bucket exploded. The explosion caused extensive damage to the apartment building, a vacant </w:t>
      </w:r>
      <w:r>
        <w:lastRenderedPageBreak/>
        <w:t>church opposite the building, and vehicles parked along the street. The explosion also shattered the window of [another resident’s] apartment, cut his finger and damaged his car, and damaged the apartment building itself, which</w:t>
      </w:r>
    </w:p>
    <w:p w14:paraId="7A2260E4" w14:textId="77777777" w:rsidR="000B47B1" w:rsidRDefault="000B47B1" w:rsidP="000B47B1">
      <w:pPr>
        <w:pStyle w:val="NoSpacing"/>
      </w:pPr>
      <w:r>
        <w:t>was owned by D. Agostino. Mr. Jordan suffered ruptured eardrums, wounds caused by shrapnel and cement, and burns. He was taken by ambulance to a local hospital but eventually airlifted to a larger facility in Allentown.</w:t>
      </w:r>
    </w:p>
    <w:p w14:paraId="13EBFE72" w14:textId="77777777" w:rsidR="000B47B1" w:rsidRDefault="000B47B1" w:rsidP="000B47B1">
      <w:pPr>
        <w:pStyle w:val="NoSpacing"/>
      </w:pPr>
    </w:p>
    <w:p w14:paraId="5F8D1961" w14:textId="77777777" w:rsidR="000B47B1" w:rsidRDefault="000B47B1" w:rsidP="000B47B1">
      <w:pPr>
        <w:pStyle w:val="NoSpacing"/>
      </w:pPr>
      <w:r>
        <w:t>***</w:t>
      </w:r>
    </w:p>
    <w:p w14:paraId="43138065" w14:textId="77777777" w:rsidR="000B47B1" w:rsidRDefault="000B47B1" w:rsidP="000B47B1">
      <w:pPr>
        <w:pStyle w:val="NoSpacing"/>
      </w:pPr>
      <w:r>
        <w:t xml:space="preserve">During the subsequent investigation, police officers discovered a tracker installed under Ms. Hannon’s vehicle. Officers determined that Appellant had purchased six total trackers, including one placed on Mr. Jordan’s car, and had obtained subscriptions for electronic receipt of the tracking information. Officers also tracked the locations of Appellant’s two cell phones leading up to the </w:t>
      </w:r>
      <w:proofErr w:type="gramStart"/>
      <w:r>
        <w:t>explosion, and</w:t>
      </w:r>
      <w:proofErr w:type="gramEnd"/>
      <w:r>
        <w:t xml:space="preserve"> determined that either one or both of Appellant’s phones were near or at Mr. Jordan’s home frequently at various times of the day and evening in October and November, including the day Mr. Jordan’s camera was stolen.</w:t>
      </w:r>
    </w:p>
    <w:p w14:paraId="5E317A95" w14:textId="77777777" w:rsidR="000B47B1" w:rsidRDefault="000B47B1" w:rsidP="000B47B1">
      <w:pPr>
        <w:pStyle w:val="NoSpacing"/>
      </w:pPr>
    </w:p>
    <w:p w14:paraId="2B388271" w14:textId="77777777" w:rsidR="000B47B1" w:rsidRDefault="000B47B1" w:rsidP="000B47B1">
      <w:pPr>
        <w:pStyle w:val="NoSpacing"/>
      </w:pPr>
      <w:r>
        <w:t>***</w:t>
      </w:r>
    </w:p>
    <w:p w14:paraId="31F0FA80" w14:textId="77777777" w:rsidR="000B47B1" w:rsidRDefault="000B47B1" w:rsidP="000B47B1">
      <w:pPr>
        <w:pStyle w:val="NoSpacing"/>
      </w:pPr>
    </w:p>
    <w:p w14:paraId="04C6C4FD" w14:textId="77777777" w:rsidR="000B47B1" w:rsidRDefault="000B47B1" w:rsidP="000B47B1">
      <w:pPr>
        <w:pStyle w:val="NoSpacing"/>
      </w:pPr>
      <w:r>
        <w:t xml:space="preserve">Further, police officers tracked Appellant’s purchases and discovered that he had made purchases at fireworks stores that coincided with the costs of hobby fuses, a book called The Art of Lockpicking, and reports on Mr. Jordan from various data aggregator sites such as Spokeo and </w:t>
      </w:r>
      <w:proofErr w:type="spellStart"/>
      <w:r>
        <w:t>Peoplefinders</w:t>
      </w:r>
      <w:proofErr w:type="spellEnd"/>
      <w:r>
        <w:t xml:space="preserve">. </w:t>
      </w:r>
      <w:proofErr w:type="gramStart"/>
      <w:r>
        <w:t>Appellant</w:t>
      </w:r>
      <w:proofErr w:type="gramEnd"/>
      <w:r>
        <w:t xml:space="preserve"> also made suspicious searches from September through December,</w:t>
      </w:r>
    </w:p>
    <w:p w14:paraId="587FD222" w14:textId="77777777" w:rsidR="000B47B1" w:rsidRDefault="000B47B1" w:rsidP="000B47B1">
      <w:pPr>
        <w:pStyle w:val="NoSpacing"/>
      </w:pPr>
      <w:r>
        <w:t xml:space="preserve">which included inquiries about Spokeo, Mr. Jordan, lockpicking sets, fireworks, ‘how many pounds of [Tannerite] is deadly’ and ‘10 </w:t>
      </w:r>
      <w:proofErr w:type="spellStart"/>
      <w:r>
        <w:t>lbs</w:t>
      </w:r>
      <w:proofErr w:type="spellEnd"/>
      <w:r>
        <w:t xml:space="preserve"> of </w:t>
      </w:r>
      <w:proofErr w:type="spellStart"/>
      <w:r>
        <w:t>tannerite</w:t>
      </w:r>
      <w:proofErr w:type="spellEnd"/>
      <w:r>
        <w:t xml:space="preserve"> vs. car,’ homemade detonators, and how many foot-pounds of energy were required to kill a human being or penetrate a human skull.”</w:t>
      </w:r>
    </w:p>
    <w:p w14:paraId="3AAD5358" w14:textId="77777777" w:rsidR="000B47B1" w:rsidRDefault="000B47B1" w:rsidP="000B47B1">
      <w:pPr>
        <w:pStyle w:val="NoSpacing"/>
      </w:pPr>
    </w:p>
    <w:p w14:paraId="26632D83" w14:textId="77777777" w:rsidR="000B47B1" w:rsidRDefault="000B47B1" w:rsidP="000B47B1">
      <w:pPr>
        <w:pStyle w:val="NoSpacing"/>
        <w:rPr>
          <w:b/>
          <w:bCs/>
        </w:rPr>
      </w:pPr>
      <w:r w:rsidRPr="00E23CB9">
        <w:rPr>
          <w:b/>
        </w:rPr>
        <w:t xml:space="preserve">Legal lesson learned: </w:t>
      </w:r>
      <w:r>
        <w:rPr>
          <w:b/>
        </w:rPr>
        <w:t xml:space="preserve">Circumstantial evidence proved the defendant was the bomber. </w:t>
      </w:r>
    </w:p>
    <w:p w14:paraId="45D5CC90" w14:textId="77777777" w:rsidR="000B47B1" w:rsidRDefault="000B47B1" w:rsidP="000B47B1">
      <w:pPr>
        <w:pStyle w:val="NoSpacing"/>
        <w:ind w:left="720"/>
      </w:pPr>
    </w:p>
    <w:p w14:paraId="36157F37" w14:textId="77777777" w:rsidR="000B47B1" w:rsidRPr="004E5F9F" w:rsidRDefault="000B47B1" w:rsidP="000B47B1">
      <w:pPr>
        <w:pStyle w:val="NoSpacing"/>
        <w:ind w:left="720"/>
      </w:pPr>
      <w:r w:rsidRPr="004E5F9F">
        <w:t xml:space="preserve">Note: See this article: September 26, 2016: “Explosives used in New York bombing.” </w:t>
      </w:r>
      <w:hyperlink r:id="rId641" w:history="1">
        <w:r w:rsidRPr="0045422A">
          <w:rPr>
            <w:rStyle w:val="Hyperlink"/>
          </w:rPr>
          <w:t>https://pubs.acs.org/doi/10.1021/cen-09438-notw2</w:t>
        </w:r>
      </w:hyperlink>
      <w:r w:rsidRPr="004E5F9F">
        <w:t xml:space="preserve"> </w:t>
      </w:r>
    </w:p>
    <w:p w14:paraId="71BE1EB8" w14:textId="77777777" w:rsidR="000B47B1" w:rsidRDefault="000B47B1" w:rsidP="000B47B1">
      <w:pPr>
        <w:pStyle w:val="NoSpacing"/>
        <w:rPr>
          <w:b/>
          <w:bCs/>
        </w:rPr>
      </w:pPr>
    </w:p>
    <w:p w14:paraId="25AD6C76" w14:textId="77777777" w:rsidR="000B47B1" w:rsidRDefault="000B47B1" w:rsidP="000B47B1">
      <w:pPr>
        <w:pStyle w:val="NoSpacing"/>
        <w:ind w:left="720"/>
      </w:pPr>
      <w:r>
        <w:t>“</w:t>
      </w:r>
      <w:r w:rsidRPr="007E0B7E">
        <w:t xml:space="preserve">Tannerite, made and sold by Tannerite Sports, is used to produce exploding targets for long-range shooting practice. The targets explode when hit by a bullet, allowing shooters to hear and see that they’ve successfully made the shot. According to the </w:t>
      </w:r>
      <w:hyperlink r:id="rId642" w:tgtFrame="_blank" w:history="1">
        <w:r w:rsidRPr="007E0B7E">
          <w:rPr>
            <w:rStyle w:val="Hyperlink"/>
            <w:color w:val="auto"/>
          </w:rPr>
          <w:t>Tannerite patent</w:t>
        </w:r>
      </w:hyperlink>
      <w:r w:rsidRPr="007E0B7E">
        <w:t>, the explosive consists of an 8:1 ratio of two mixtures: a so-called oxidizer component containing 85% ammonium nitrate powder by weight, and 15% ammonium perchlorate; and a “catalyst” component that is 90% explosive grade aluminum powder—which serves as the fuel—along with 5% titanium sponge and 5% zirconium hydride</w:t>
      </w:r>
      <w:r>
        <w:t>.”</w:t>
      </w:r>
    </w:p>
    <w:p w14:paraId="576D7E39" w14:textId="77777777" w:rsidR="00BE7AC1" w:rsidRDefault="00BE7AC1" w:rsidP="00CC37FA">
      <w:pPr>
        <w:pStyle w:val="NoSpacing"/>
        <w:rPr>
          <w:rFonts w:ascii="Arial Black" w:hAnsi="Arial Black"/>
          <w:sz w:val="28"/>
          <w:szCs w:val="28"/>
        </w:rPr>
      </w:pPr>
    </w:p>
    <w:p w14:paraId="6D79308B" w14:textId="77777777" w:rsidR="00BE7AC1" w:rsidRDefault="00BE7AC1" w:rsidP="00CC37FA">
      <w:pPr>
        <w:pStyle w:val="NoSpacing"/>
        <w:rPr>
          <w:rFonts w:ascii="Arial Black" w:hAnsi="Arial Black"/>
          <w:sz w:val="28"/>
          <w:szCs w:val="28"/>
        </w:rPr>
      </w:pPr>
    </w:p>
    <w:p w14:paraId="35F0F643" w14:textId="77777777" w:rsidR="00BE7AC1" w:rsidRDefault="00BE7AC1" w:rsidP="00CC37FA">
      <w:pPr>
        <w:pStyle w:val="NoSpacing"/>
        <w:rPr>
          <w:rFonts w:ascii="Arial Black" w:hAnsi="Arial Black"/>
          <w:sz w:val="28"/>
          <w:szCs w:val="28"/>
        </w:rPr>
      </w:pPr>
    </w:p>
    <w:p w14:paraId="365B8F72" w14:textId="5D48339D" w:rsidR="008963C8" w:rsidRDefault="008963C8" w:rsidP="00CC37FA">
      <w:pPr>
        <w:pStyle w:val="NoSpacing"/>
        <w:rPr>
          <w:rFonts w:ascii="Arial Black" w:hAnsi="Arial Black"/>
          <w:sz w:val="28"/>
          <w:szCs w:val="28"/>
        </w:rPr>
      </w:pPr>
      <w:r>
        <w:rPr>
          <w:rFonts w:ascii="Arial Black" w:hAnsi="Arial Black"/>
          <w:sz w:val="28"/>
          <w:szCs w:val="28"/>
        </w:rPr>
        <w:t>3-</w:t>
      </w:r>
      <w:r w:rsidR="00493A6B">
        <w:rPr>
          <w:rFonts w:ascii="Arial Black" w:hAnsi="Arial Black"/>
          <w:sz w:val="28"/>
          <w:szCs w:val="28"/>
        </w:rPr>
        <w:t>88</w:t>
      </w:r>
    </w:p>
    <w:p w14:paraId="3382E598" w14:textId="77777777" w:rsidR="000F1A96" w:rsidRDefault="000F1A96" w:rsidP="00520B72">
      <w:pPr>
        <w:pStyle w:val="NoSpacing"/>
        <w:rPr>
          <w:rFonts w:ascii="Arial Black" w:hAnsi="Arial Black"/>
          <w:sz w:val="28"/>
          <w:szCs w:val="28"/>
        </w:rPr>
      </w:pPr>
    </w:p>
    <w:p w14:paraId="42897F37" w14:textId="2D731895" w:rsidR="00520B72" w:rsidRPr="00A20616" w:rsidRDefault="00520B72" w:rsidP="00520B72">
      <w:pPr>
        <w:pStyle w:val="NoSpacing"/>
        <w:rPr>
          <w:rFonts w:ascii="Arial Black" w:hAnsi="Arial Black"/>
          <w:sz w:val="28"/>
          <w:szCs w:val="28"/>
        </w:rPr>
      </w:pPr>
      <w:r>
        <w:rPr>
          <w:rFonts w:ascii="Arial Black" w:hAnsi="Arial Black"/>
          <w:sz w:val="28"/>
          <w:szCs w:val="28"/>
        </w:rPr>
        <w:t>U.S. SUP. CT. – NAT. GUARD IN CHICAGO – NO DEPLOYMENT</w:t>
      </w:r>
    </w:p>
    <w:p w14:paraId="2FE23234" w14:textId="77777777" w:rsidR="00520B72" w:rsidRDefault="00520B72" w:rsidP="00520B72">
      <w:pPr>
        <w:pStyle w:val="NoSpacing"/>
      </w:pPr>
    </w:p>
    <w:p w14:paraId="13ACCAD6" w14:textId="77777777" w:rsidR="00520B72" w:rsidRDefault="00520B72" w:rsidP="00520B72">
      <w:pPr>
        <w:pStyle w:val="NoSpacing"/>
      </w:pPr>
      <w:r>
        <w:t xml:space="preserve">On December 23, 2025, in </w:t>
      </w:r>
      <w:r w:rsidRPr="00850CDB">
        <w:rPr>
          <w:u w:val="single"/>
        </w:rPr>
        <w:t>Donald J. Trump, President of the United States, et al. v. Illinois, et al</w:t>
      </w:r>
      <w:r>
        <w:t>., the United States Supreme Court (6 to 3) issued on its “emergency docket” an Order denying the U.S. Government’s application for a stay of temporary injunction issued by U.S. District Court in Chicago.  In a lawsuit brought by the State of Illinois, the District Court judge (upheld by 3-judge panel of 7</w:t>
      </w:r>
      <w:r w:rsidRPr="005B4A64">
        <w:rPr>
          <w:vertAlign w:val="superscript"/>
        </w:rPr>
        <w:t>th</w:t>
      </w:r>
      <w:r>
        <w:t xml:space="preserve"> Circuit) stopped deployment of Illinois and Texas National Guard members. </w:t>
      </w:r>
      <w:r w:rsidRPr="00453684">
        <w:t>On October 4, 2025, the President called 300 members of</w:t>
      </w:r>
      <w:r>
        <w:t xml:space="preserve"> </w:t>
      </w:r>
      <w:r w:rsidRPr="00453684">
        <w:t xml:space="preserve">the Illinois National Guard into active federal service </w:t>
      </w:r>
      <w:r>
        <w:t xml:space="preserve">under Title 10 </w:t>
      </w:r>
      <w:r w:rsidRPr="00453684">
        <w:t>to</w:t>
      </w:r>
      <w:r>
        <w:t xml:space="preserve"> </w:t>
      </w:r>
      <w:r w:rsidRPr="00453684">
        <w:t xml:space="preserve">protect federal personnel and property </w:t>
      </w:r>
      <w:r>
        <w:t xml:space="preserve">in and near Chicago, and the next day called up Texas National Guard.  Guard members sign up for duty under a dual-enlistment structure, with three different active operational statuses: state active duty, federal active duty under Title 10 of the U.S. Code, and full-time duty under Title 32 of the U.S. Code.  Guard members in Title 32 status have performed missions such as disaster relief, border security operations, airport </w:t>
      </w:r>
      <w:r>
        <w:lastRenderedPageBreak/>
        <w:t xml:space="preserve">security after the September 11th attacks, and COVID-19 response efforts.  </w:t>
      </w:r>
      <w:hyperlink r:id="rId643" w:history="1">
        <w:r w:rsidRPr="00B51DCA">
          <w:rPr>
            <w:rStyle w:val="Hyperlink"/>
          </w:rPr>
          <w:t>https://www.supremecourt.gov/opinions/25pdf/25a443_ba7d.pdf</w:t>
        </w:r>
      </w:hyperlink>
    </w:p>
    <w:p w14:paraId="66EE3454" w14:textId="77777777" w:rsidR="00520B72" w:rsidRDefault="00520B72" w:rsidP="00520B72">
      <w:pPr>
        <w:pStyle w:val="NoSpacing"/>
      </w:pPr>
    </w:p>
    <w:p w14:paraId="5B5A6A62" w14:textId="77777777" w:rsidR="00520B72" w:rsidRDefault="00520B72" w:rsidP="00520B72">
      <w:pPr>
        <w:pStyle w:val="NoSpacing"/>
      </w:pPr>
      <w:r>
        <w:t xml:space="preserve">THE COURT HELD: </w:t>
      </w:r>
    </w:p>
    <w:p w14:paraId="36B012B6" w14:textId="77777777" w:rsidR="00520B72" w:rsidRDefault="00520B72" w:rsidP="00520B72">
      <w:pPr>
        <w:pStyle w:val="NoSpacing"/>
      </w:pPr>
    </w:p>
    <w:p w14:paraId="1BCA932E" w14:textId="77777777" w:rsidR="00520B72" w:rsidRDefault="00520B72" w:rsidP="00520B72">
      <w:pPr>
        <w:pStyle w:val="NoSpacing"/>
        <w:ind w:left="720"/>
      </w:pPr>
      <w:r>
        <w:t>“We conclude that the term “regular forces” in §12406(3) likely refers to the regular forces of the United States military. This interpretation means that to call the Guard into</w:t>
      </w:r>
    </w:p>
    <w:p w14:paraId="457D14FE" w14:textId="77777777" w:rsidR="00520B72" w:rsidRDefault="00520B72" w:rsidP="00520B72">
      <w:pPr>
        <w:pStyle w:val="NoSpacing"/>
        <w:ind w:left="720"/>
      </w:pPr>
      <w:r>
        <w:t xml:space="preserve">active federal service under §12406(3), the President must be ‘unable’ with the regular military ‘to execute the laws of the United States.’ Because the statute requires an </w:t>
      </w:r>
    </w:p>
    <w:p w14:paraId="6A9B2079" w14:textId="77777777" w:rsidR="00520B72" w:rsidRDefault="00520B72" w:rsidP="00520B72">
      <w:pPr>
        <w:pStyle w:val="NoSpacing"/>
        <w:ind w:left="720"/>
      </w:pPr>
      <w:r>
        <w:t>assessment of the military’s ability to execute the laws, it likely applies only where the military could legally execute the laws. Such circumstances are exceptional: Under the Posse Comitatus Act, the military is prohibited from ‘</w:t>
      </w:r>
      <w:proofErr w:type="spellStart"/>
      <w:r>
        <w:t>execut</w:t>
      </w:r>
      <w:proofErr w:type="spellEnd"/>
      <w:r>
        <w:t>[</w:t>
      </w:r>
      <w:proofErr w:type="spellStart"/>
      <w:r>
        <w:t>ing</w:t>
      </w:r>
      <w:proofErr w:type="spellEnd"/>
      <w:r>
        <w:t xml:space="preserve">] the laws’ ‘except in cases and under circumstances expressly authorized by the Constitution or Act of Congress.’ 18 U. S. C. §1385. </w:t>
      </w:r>
      <w:proofErr w:type="gramStart"/>
      <w:r>
        <w:t>So</w:t>
      </w:r>
      <w:proofErr w:type="gramEnd"/>
      <w:r>
        <w:t xml:space="preserve"> before the President can federalize the Guard under §12406(3), he likely must have statutory or constitutional authority to execute the laws with the regular military and must be ‘unable’ with those forces to perform that function.’”  </w:t>
      </w:r>
    </w:p>
    <w:p w14:paraId="5C39B7BE" w14:textId="77777777" w:rsidR="00520B72" w:rsidRDefault="00520B72" w:rsidP="00520B72">
      <w:pPr>
        <w:pStyle w:val="NoSpacing"/>
        <w:ind w:left="720"/>
      </w:pPr>
      <w:r>
        <w:t xml:space="preserve"> </w:t>
      </w:r>
    </w:p>
    <w:p w14:paraId="2D4AE28B" w14:textId="77777777" w:rsidR="00520B72" w:rsidRDefault="00520B72" w:rsidP="00520B72">
      <w:pPr>
        <w:pStyle w:val="NoSpacing"/>
        <w:rPr>
          <w:b/>
          <w:bCs/>
        </w:rPr>
      </w:pPr>
      <w:r>
        <w:rPr>
          <w:b/>
        </w:rPr>
        <w:t xml:space="preserve">Legal lessons learned: Federal District Court judges in LA and Portland, Oregon have issued injunctions </w:t>
      </w:r>
      <w:proofErr w:type="gramStart"/>
      <w:r>
        <w:rPr>
          <w:b/>
        </w:rPr>
        <w:t>similar to</w:t>
      </w:r>
      <w:proofErr w:type="gramEnd"/>
      <w:r>
        <w:rPr>
          <w:b/>
        </w:rPr>
        <w:t xml:space="preserve"> Chicago. </w:t>
      </w:r>
    </w:p>
    <w:p w14:paraId="2CE1C544" w14:textId="77777777" w:rsidR="00520B72" w:rsidRDefault="00520B72" w:rsidP="00520B72">
      <w:pPr>
        <w:pStyle w:val="NoSpacing"/>
        <w:rPr>
          <w:b/>
          <w:bCs/>
        </w:rPr>
      </w:pPr>
    </w:p>
    <w:p w14:paraId="6C598237" w14:textId="77777777" w:rsidR="00520B72" w:rsidRDefault="00520B72" w:rsidP="00520B72">
      <w:pPr>
        <w:pStyle w:val="NoSpacing"/>
        <w:ind w:left="720"/>
      </w:pPr>
      <w:r w:rsidRPr="00194EC1">
        <w:t xml:space="preserve">Note:  In Washington, D.C., the Guard from several states were activated </w:t>
      </w:r>
      <w:r>
        <w:t xml:space="preserve">under </w:t>
      </w:r>
      <w:r w:rsidRPr="00194EC1">
        <w:t xml:space="preserve">Title 32; a District Court judge’s injunction was stayed by the D.C. Circuit on Dec. 17, 2025.  </w:t>
      </w:r>
      <w:hyperlink r:id="rId644" w:history="1">
        <w:r w:rsidRPr="00194EC1">
          <w:rPr>
            <w:rStyle w:val="Hyperlink"/>
          </w:rPr>
          <w:t>https://storage.courtlistener.com/recap/gov.uscourts.cadc.42631/gov.uscourts.cadc.42631.1208806141.0.pdf</w:t>
        </w:r>
      </w:hyperlink>
      <w:r w:rsidRPr="00194EC1">
        <w:t xml:space="preserve"> </w:t>
      </w:r>
    </w:p>
    <w:p w14:paraId="40E560E1" w14:textId="77777777" w:rsidR="00520B72" w:rsidRDefault="00520B72" w:rsidP="00520B72">
      <w:pPr>
        <w:pStyle w:val="NoSpacing"/>
        <w:ind w:left="720"/>
      </w:pPr>
    </w:p>
    <w:p w14:paraId="11997CAA" w14:textId="77777777" w:rsidR="008963C8" w:rsidRDefault="008963C8" w:rsidP="00CC37FA">
      <w:pPr>
        <w:pStyle w:val="NoSpacing"/>
        <w:rPr>
          <w:rFonts w:ascii="Arial Black" w:hAnsi="Arial Black"/>
          <w:sz w:val="28"/>
          <w:szCs w:val="28"/>
        </w:rPr>
      </w:pPr>
    </w:p>
    <w:p w14:paraId="2E17979F" w14:textId="6B9CEBDC" w:rsidR="00520B72" w:rsidRDefault="00520B72" w:rsidP="00CC37FA">
      <w:pPr>
        <w:pStyle w:val="NoSpacing"/>
        <w:rPr>
          <w:rFonts w:ascii="Arial Black" w:hAnsi="Arial Black"/>
          <w:sz w:val="28"/>
          <w:szCs w:val="28"/>
        </w:rPr>
      </w:pPr>
      <w:r>
        <w:rPr>
          <w:rFonts w:ascii="Arial Black" w:hAnsi="Arial Black"/>
          <w:sz w:val="28"/>
          <w:szCs w:val="28"/>
        </w:rPr>
        <w:t>3-</w:t>
      </w:r>
      <w:r w:rsidR="00493A6B">
        <w:rPr>
          <w:rFonts w:ascii="Arial Black" w:hAnsi="Arial Black"/>
          <w:sz w:val="28"/>
          <w:szCs w:val="28"/>
        </w:rPr>
        <w:t>87</w:t>
      </w:r>
    </w:p>
    <w:p w14:paraId="18C7A65F" w14:textId="77777777" w:rsidR="00063A86" w:rsidRDefault="00063A86" w:rsidP="00CC37FA">
      <w:pPr>
        <w:pStyle w:val="NoSpacing"/>
        <w:rPr>
          <w:rFonts w:ascii="Arial Black" w:hAnsi="Arial Black"/>
          <w:sz w:val="28"/>
          <w:szCs w:val="28"/>
        </w:rPr>
      </w:pPr>
    </w:p>
    <w:p w14:paraId="5E92EC7F" w14:textId="77777777" w:rsidR="00063A86" w:rsidRPr="00DD37B9" w:rsidRDefault="00063A86" w:rsidP="00063A86">
      <w:pPr>
        <w:pStyle w:val="NoSpacing"/>
        <w:rPr>
          <w:rFonts w:ascii="Arial Black" w:hAnsi="Arial Black"/>
          <w:sz w:val="28"/>
          <w:szCs w:val="28"/>
        </w:rPr>
      </w:pPr>
      <w:r>
        <w:rPr>
          <w:rFonts w:ascii="Arial Black" w:hAnsi="Arial Black"/>
          <w:sz w:val="28"/>
          <w:szCs w:val="28"/>
        </w:rPr>
        <w:t>DC: VENEZUELANS - DUE PROCESS HEARING - ONLINE</w:t>
      </w:r>
    </w:p>
    <w:p w14:paraId="4587B6C7" w14:textId="77777777" w:rsidR="00063A86" w:rsidRDefault="00063A86" w:rsidP="00063A86">
      <w:pPr>
        <w:pStyle w:val="NoSpacing"/>
        <w:ind w:left="720"/>
      </w:pPr>
    </w:p>
    <w:p w14:paraId="027BC6B0" w14:textId="77777777" w:rsidR="00063A86" w:rsidRDefault="00063A86" w:rsidP="00063A86">
      <w:pPr>
        <w:pStyle w:val="NoSpacing"/>
      </w:pPr>
      <w:r>
        <w:t xml:space="preserve">On December 22, 2025, </w:t>
      </w:r>
      <w:r w:rsidRPr="006B7B9B">
        <w:t xml:space="preserve">in </w:t>
      </w:r>
      <w:r w:rsidRPr="006B7B9B">
        <w:rPr>
          <w:u w:val="single"/>
        </w:rPr>
        <w:t>J.G.G., et al. v, Donald Trump</w:t>
      </w:r>
      <w:r w:rsidRPr="006B7B9B">
        <w:t>,</w:t>
      </w:r>
      <w:r>
        <w:t xml:space="preserve"> U.S. Chief District Court Judge James E. Boasberg issued a preliminary injunction so that 252 Venezuelans who were flown to El Salvador on March 15, 2025, and then on July 18 released to Venezuela, can have a habeas corpus hearing. </w:t>
      </w:r>
      <w:r w:rsidRPr="001B3292">
        <w:t>In exchange, Venezuela released ten U.S. nationals, as well as eighty Venezuelan political prisoners</w:t>
      </w:r>
      <w:r>
        <w:t xml:space="preserve">.  </w:t>
      </w:r>
      <w:hyperlink r:id="rId645" w:history="1">
        <w:r w:rsidRPr="001402A1">
          <w:rPr>
            <w:rStyle w:val="Hyperlink"/>
          </w:rPr>
          <w:t>https://www.casemine.com/judgement/us/694a977ac92f54bb3c63226d</w:t>
        </w:r>
      </w:hyperlink>
      <w:r>
        <w:t xml:space="preserve"> </w:t>
      </w:r>
    </w:p>
    <w:p w14:paraId="618211F8" w14:textId="77777777" w:rsidR="00063A86" w:rsidRDefault="00063A86" w:rsidP="00063A86">
      <w:pPr>
        <w:pStyle w:val="NoSpacing"/>
      </w:pPr>
    </w:p>
    <w:p w14:paraId="55F8549A" w14:textId="77777777" w:rsidR="00063A86" w:rsidRDefault="00063A86" w:rsidP="00063A86">
      <w:pPr>
        <w:pStyle w:val="NoSpacing"/>
      </w:pPr>
      <w:r>
        <w:t>THE COURT HELD:</w:t>
      </w:r>
    </w:p>
    <w:p w14:paraId="32D26BF1" w14:textId="77777777" w:rsidR="00063A86" w:rsidRDefault="00063A86" w:rsidP="00063A86">
      <w:pPr>
        <w:pStyle w:val="NoSpacing"/>
      </w:pPr>
    </w:p>
    <w:p w14:paraId="4D83C7C7" w14:textId="77777777" w:rsidR="00063A86" w:rsidRDefault="00063A86" w:rsidP="00063A86">
      <w:pPr>
        <w:pStyle w:val="NoSpacing"/>
      </w:pPr>
      <w:r>
        <w:t>“</w:t>
      </w:r>
      <w:r w:rsidRPr="00E759D0">
        <w:t>The Government could also theoretically offer Plaintiffs a hearing without returning them to the United States so long as such hearing satisfied the requirements of due process.</w:t>
      </w:r>
      <w:r>
        <w:t xml:space="preserve">” </w:t>
      </w:r>
    </w:p>
    <w:p w14:paraId="53940538" w14:textId="77777777" w:rsidR="00063A86" w:rsidRDefault="00063A86" w:rsidP="00063A86">
      <w:pPr>
        <w:pStyle w:val="NoSpacing"/>
      </w:pPr>
    </w:p>
    <w:p w14:paraId="70990CB5" w14:textId="77777777" w:rsidR="00063A86" w:rsidRDefault="00063A86" w:rsidP="00063A86">
      <w:pPr>
        <w:pStyle w:val="NoSpacing"/>
        <w:rPr>
          <w:b/>
          <w:bCs/>
        </w:rPr>
      </w:pPr>
      <w:r w:rsidRPr="00754926">
        <w:rPr>
          <w:b/>
        </w:rPr>
        <w:t xml:space="preserve">Legal Lesson Learned: </w:t>
      </w:r>
      <w:r>
        <w:rPr>
          <w:b/>
        </w:rPr>
        <w:t xml:space="preserve">The District Court is following the important “emergency docket” ruling by U.S. Supreme Court on April 7, 2025.  </w:t>
      </w:r>
    </w:p>
    <w:p w14:paraId="3A897404" w14:textId="77777777" w:rsidR="00063A86" w:rsidRDefault="00063A86" w:rsidP="00063A86">
      <w:pPr>
        <w:pStyle w:val="NoSpacing"/>
        <w:rPr>
          <w:b/>
          <w:bCs/>
        </w:rPr>
      </w:pPr>
    </w:p>
    <w:p w14:paraId="46348576" w14:textId="77777777" w:rsidR="00063A86" w:rsidRDefault="00063A86" w:rsidP="00063A86">
      <w:pPr>
        <w:pStyle w:val="NoSpacing"/>
      </w:pPr>
      <w:r>
        <w:rPr>
          <w:b/>
        </w:rPr>
        <w:tab/>
      </w:r>
      <w:r w:rsidRPr="002D7D14">
        <w:t xml:space="preserve">Note:  The U.S, Supreme Court held: </w:t>
      </w:r>
    </w:p>
    <w:p w14:paraId="67F0C8B2" w14:textId="77777777" w:rsidR="00063A86" w:rsidRDefault="00063A86" w:rsidP="00063A86">
      <w:pPr>
        <w:pStyle w:val="NoSpacing"/>
        <w:ind w:left="720"/>
      </w:pPr>
      <w:r>
        <w:t>“AEA  [</w:t>
      </w:r>
      <w:r w:rsidRPr="00B40D6F">
        <w:t>Alien Enemies Act</w:t>
      </w:r>
      <w:r>
        <w:t xml:space="preserve">] detainees must receive notice after the date of this order that they are subject to removal under the Act. The notice must be afforded within a reasonable time and in such a manner as will allow them to </w:t>
      </w:r>
      <w:proofErr w:type="gramStart"/>
      <w:r>
        <w:t>actually seek</w:t>
      </w:r>
      <w:proofErr w:type="gramEnd"/>
      <w:r>
        <w:t xml:space="preserve"> habeas relief in the proper venue before such removal occurs.”  </w:t>
      </w:r>
      <w:hyperlink r:id="rId646" w:history="1">
        <w:r w:rsidRPr="00BB12E7">
          <w:rPr>
            <w:rStyle w:val="Hyperlink"/>
          </w:rPr>
          <w:t>https://www.supremecourt.gov/opinions/24pdf/24a931_2c83.pdf</w:t>
        </w:r>
      </w:hyperlink>
    </w:p>
    <w:p w14:paraId="2B28FD87" w14:textId="77777777" w:rsidR="00063A86" w:rsidRDefault="00063A86" w:rsidP="00CC37FA">
      <w:pPr>
        <w:pStyle w:val="NoSpacing"/>
        <w:rPr>
          <w:rFonts w:ascii="Arial Black" w:hAnsi="Arial Black"/>
          <w:sz w:val="28"/>
          <w:szCs w:val="28"/>
        </w:rPr>
      </w:pPr>
    </w:p>
    <w:p w14:paraId="1E7CA3F0" w14:textId="77777777" w:rsidR="00520B72" w:rsidRDefault="00520B72" w:rsidP="00CC37FA">
      <w:pPr>
        <w:pStyle w:val="NoSpacing"/>
        <w:rPr>
          <w:rFonts w:ascii="Arial Black" w:hAnsi="Arial Black"/>
          <w:sz w:val="28"/>
          <w:szCs w:val="28"/>
        </w:rPr>
      </w:pPr>
    </w:p>
    <w:p w14:paraId="4828D293" w14:textId="77777777" w:rsidR="00520B72" w:rsidRDefault="00520B72" w:rsidP="00CC37FA">
      <w:pPr>
        <w:pStyle w:val="NoSpacing"/>
        <w:rPr>
          <w:rFonts w:ascii="Arial Black" w:hAnsi="Arial Black"/>
          <w:sz w:val="28"/>
          <w:szCs w:val="28"/>
        </w:rPr>
      </w:pPr>
    </w:p>
    <w:p w14:paraId="5CD2B5B3" w14:textId="2887BFB8" w:rsidR="008963C8" w:rsidRDefault="00063A86" w:rsidP="00CC37FA">
      <w:pPr>
        <w:pStyle w:val="NoSpacing"/>
        <w:rPr>
          <w:rFonts w:ascii="Arial Black" w:hAnsi="Arial Black"/>
          <w:sz w:val="28"/>
          <w:szCs w:val="28"/>
        </w:rPr>
      </w:pPr>
      <w:r>
        <w:rPr>
          <w:rFonts w:ascii="Arial Black" w:hAnsi="Arial Black"/>
          <w:sz w:val="28"/>
          <w:szCs w:val="28"/>
        </w:rPr>
        <w:lastRenderedPageBreak/>
        <w:t>3-</w:t>
      </w:r>
      <w:r w:rsidR="00493A6B">
        <w:rPr>
          <w:rFonts w:ascii="Arial Black" w:hAnsi="Arial Black"/>
          <w:sz w:val="28"/>
          <w:szCs w:val="28"/>
        </w:rPr>
        <w:t>86</w:t>
      </w:r>
    </w:p>
    <w:p w14:paraId="033FCC38" w14:textId="77777777" w:rsidR="00493A6B" w:rsidRDefault="00493A6B" w:rsidP="00CC37FA">
      <w:pPr>
        <w:pStyle w:val="NoSpacing"/>
        <w:rPr>
          <w:rFonts w:ascii="Arial Black" w:hAnsi="Arial Black"/>
          <w:sz w:val="28"/>
          <w:szCs w:val="28"/>
        </w:rPr>
      </w:pPr>
    </w:p>
    <w:p w14:paraId="2137E37A" w14:textId="77777777" w:rsidR="00366097" w:rsidRPr="00DF5463" w:rsidRDefault="00366097" w:rsidP="00366097">
      <w:pPr>
        <w:rPr>
          <w:rFonts w:ascii="Arial Black" w:hAnsi="Arial Black"/>
          <w:b/>
          <w:sz w:val="28"/>
          <w:szCs w:val="28"/>
        </w:rPr>
      </w:pPr>
      <w:r w:rsidRPr="00975A49">
        <w:rPr>
          <w:rFonts w:ascii="Arial Black" w:hAnsi="Arial Black"/>
          <w:b/>
          <w:sz w:val="28"/>
          <w:szCs w:val="28"/>
        </w:rPr>
        <w:t>RI:</w:t>
      </w:r>
      <w:r w:rsidRPr="00DF5463">
        <w:rPr>
          <w:rFonts w:ascii="Arial Black" w:hAnsi="Arial Black"/>
          <w:b/>
          <w:sz w:val="28"/>
          <w:szCs w:val="28"/>
        </w:rPr>
        <w:t xml:space="preserve"> </w:t>
      </w:r>
      <w:r>
        <w:rPr>
          <w:rFonts w:ascii="Arial Black" w:hAnsi="Arial Black"/>
          <w:b/>
          <w:sz w:val="28"/>
          <w:szCs w:val="28"/>
        </w:rPr>
        <w:t>DHS GRANTS – “SANCTUARY” STATES GET INJUNCTION</w:t>
      </w:r>
    </w:p>
    <w:p w14:paraId="781E81C7" w14:textId="77777777" w:rsidR="00366097" w:rsidRDefault="00366097" w:rsidP="00366097">
      <w:pPr>
        <w:pStyle w:val="NoSpacing"/>
      </w:pPr>
      <w:r>
        <w:t xml:space="preserve">On December 22, 2025, in </w:t>
      </w:r>
      <w:r w:rsidRPr="00944810">
        <w:rPr>
          <w:u w:val="single"/>
        </w:rPr>
        <w:t>State of Illinois, et al. v. Kristi Noem, Secretary of the Department of Homeland Security</w:t>
      </w:r>
      <w:r>
        <w:t>, U.S. District Court Judge M</w:t>
      </w:r>
      <w:r w:rsidRPr="00975A49">
        <w:t xml:space="preserve">ary S. McElroy, United States District </w:t>
      </w:r>
      <w:r>
        <w:t xml:space="preserve">Court for District of Rhode Island, granted the plaintiff states’ motion for summary judgment, finding violation of the </w:t>
      </w:r>
      <w:r w:rsidRPr="002A7598">
        <w:t>Administrative Procedure Act</w:t>
      </w:r>
      <w:r>
        <w:t xml:space="preserve">.  DHS in September 2025 issued award letters to state governments indicating that hundreds of millions of dollars of anticipated awards to so-called “sanctuary jurisdictions” were being reallocated to other jurisdictions. Twelve States and the District of Columbia sued, challenging both that reallocation itself and related decisions by DHS. </w:t>
      </w:r>
      <w:hyperlink r:id="rId647" w:history="1">
        <w:r w:rsidRPr="000E235D">
          <w:rPr>
            <w:rStyle w:val="Hyperlink"/>
            <w:b/>
          </w:rPr>
          <w:t>https://ecf.rid.uscourts.gov/cgi-bin/show_public_doc?2025cv0495-53</w:t>
        </w:r>
      </w:hyperlink>
    </w:p>
    <w:p w14:paraId="4565B3EB" w14:textId="77777777" w:rsidR="00366097" w:rsidRDefault="00366097" w:rsidP="00366097">
      <w:pPr>
        <w:pStyle w:val="NoSpacing"/>
      </w:pPr>
    </w:p>
    <w:p w14:paraId="69B40553" w14:textId="77777777" w:rsidR="00366097" w:rsidRDefault="00366097" w:rsidP="00366097">
      <w:pPr>
        <w:pStyle w:val="NoSpacing"/>
      </w:pPr>
      <w:r>
        <w:t>THE COURT HELD:</w:t>
      </w:r>
    </w:p>
    <w:p w14:paraId="3A3D41E1" w14:textId="77777777" w:rsidR="00366097" w:rsidRDefault="00366097" w:rsidP="00366097">
      <w:pPr>
        <w:pStyle w:val="NoSpacing"/>
      </w:pPr>
    </w:p>
    <w:p w14:paraId="5B1530D3" w14:textId="77777777" w:rsidR="00366097" w:rsidRDefault="00366097" w:rsidP="00366097">
      <w:pPr>
        <w:pStyle w:val="NoSpacing"/>
        <w:ind w:firstLine="720"/>
      </w:pPr>
      <w:r>
        <w:t xml:space="preserve">“In the wake of the September 11 terrorist attacks, Congress authorized the </w:t>
      </w:r>
    </w:p>
    <w:p w14:paraId="56FEF18E" w14:textId="77777777" w:rsidR="00366097" w:rsidRDefault="00366097" w:rsidP="00366097">
      <w:pPr>
        <w:pStyle w:val="NoSpacing"/>
        <w:ind w:firstLine="720"/>
      </w:pPr>
      <w:r>
        <w:t xml:space="preserve">Homeland Security Grant </w:t>
      </w:r>
      <w:proofErr w:type="gramStart"/>
      <w:r>
        <w:t>Program (‘</w:t>
      </w:r>
      <w:proofErr w:type="gramEnd"/>
      <w:r>
        <w:t>HSGP’) to strengthen national security through</w:t>
      </w:r>
    </w:p>
    <w:p w14:paraId="0D85CBCD" w14:textId="77777777" w:rsidR="00366097" w:rsidRDefault="00366097" w:rsidP="00366097">
      <w:pPr>
        <w:pStyle w:val="NoSpacing"/>
        <w:ind w:left="720"/>
      </w:pPr>
      <w:r>
        <w:t xml:space="preserve">grant funding to state, local, tribal, and territorial governments…. HSGP includes three grant programs: the State Homeland Security Grant </w:t>
      </w:r>
      <w:proofErr w:type="gramStart"/>
      <w:r>
        <w:t>Program (‘</w:t>
      </w:r>
      <w:proofErr w:type="gramEnd"/>
      <w:r>
        <w:t>SHSP’), the Urban Area</w:t>
      </w:r>
    </w:p>
    <w:p w14:paraId="60E82A92" w14:textId="77777777" w:rsidR="00366097" w:rsidRDefault="00366097" w:rsidP="00366097">
      <w:pPr>
        <w:pStyle w:val="NoSpacing"/>
        <w:ind w:left="720"/>
      </w:pPr>
      <w:r>
        <w:t xml:space="preserve">Security Initiative (‘UASI’), and Operation </w:t>
      </w:r>
      <w:proofErr w:type="spellStart"/>
      <w:r>
        <w:t>Stonegarden</w:t>
      </w:r>
      <w:proofErr w:type="spellEnd"/>
      <w:r>
        <w:t xml:space="preserve"> [Border response]…. Since the beginning of the current administration, the executive branch has repeatedly sought to tie federal grant funding for programs like HSGP to state and local governments’ assistance with federal immigration enforcement. On January 20, 2025, President Trump issued an executive order directing DHS to ‘ensure that so-called ‘sanctuary’ jurisdictions . . . do not receive access to Federal funds.’ Exec. Order No. 14159, § 17, 90 Fed. Reg. 8443, 8446 (Jan. 20, 2025)…. On September 27, Defendants sent States HSGP final award letters reflecting</w:t>
      </w:r>
    </w:p>
    <w:p w14:paraId="45B61E99" w14:textId="77777777" w:rsidR="00366097" w:rsidRDefault="00366097" w:rsidP="00366097">
      <w:pPr>
        <w:ind w:left="720"/>
        <w:rPr>
          <w:b/>
        </w:rPr>
      </w:pPr>
      <w:r>
        <w:t>massive funding reallocations from Plaintiffs to other jurisdictions…. In total, the difference in target allocations from the August 1 NOFO [</w:t>
      </w:r>
      <w:r w:rsidRPr="001A02E9">
        <w:t>notice of funding opportunity</w:t>
      </w:r>
      <w:r>
        <w:t>]</w:t>
      </w:r>
      <w:r w:rsidRPr="001A02E9">
        <w:t xml:space="preserve"> </w:t>
      </w:r>
      <w:r>
        <w:t xml:space="preserve">and the final awards amounted to cuts of over $240 million to Plaintiffs…. And Defendants provide no substantive, contemporaneous justification whatsoever for the funding changes that took place between the DHS Directive and the final award letters, i.e., the round-number increases in awards to favored jurisdictions. Defendants’ failure to do so further renders the Reallocation Decision arbitrary and capricious.” </w:t>
      </w:r>
    </w:p>
    <w:p w14:paraId="76C09B36" w14:textId="77777777" w:rsidR="00366097" w:rsidRDefault="00366097" w:rsidP="00366097">
      <w:pPr>
        <w:rPr>
          <w:b/>
        </w:rPr>
      </w:pPr>
      <w:r>
        <w:rPr>
          <w:b/>
        </w:rPr>
        <w:t xml:space="preserve">Legal lesson learned: Can’t punish sanctuary states and cities by reducing DHS grants. </w:t>
      </w:r>
    </w:p>
    <w:p w14:paraId="7D82E27D" w14:textId="77777777" w:rsidR="00366097" w:rsidRDefault="00366097" w:rsidP="00CC37FA">
      <w:pPr>
        <w:pStyle w:val="NoSpacing"/>
        <w:rPr>
          <w:rFonts w:ascii="Arial Black" w:hAnsi="Arial Black"/>
          <w:sz w:val="28"/>
          <w:szCs w:val="28"/>
        </w:rPr>
      </w:pPr>
    </w:p>
    <w:p w14:paraId="59F11B25" w14:textId="7711B178" w:rsidR="008963C8" w:rsidRDefault="00366097" w:rsidP="00CC37FA">
      <w:pPr>
        <w:pStyle w:val="NoSpacing"/>
        <w:rPr>
          <w:rFonts w:ascii="Arial Black" w:hAnsi="Arial Black"/>
          <w:sz w:val="28"/>
          <w:szCs w:val="28"/>
        </w:rPr>
      </w:pPr>
      <w:r>
        <w:rPr>
          <w:rFonts w:ascii="Arial Black" w:hAnsi="Arial Black"/>
          <w:sz w:val="28"/>
          <w:szCs w:val="28"/>
        </w:rPr>
        <w:t>3-</w:t>
      </w:r>
      <w:r w:rsidR="00493A6B">
        <w:rPr>
          <w:rFonts w:ascii="Arial Black" w:hAnsi="Arial Black"/>
          <w:sz w:val="28"/>
          <w:szCs w:val="28"/>
        </w:rPr>
        <w:t>85</w:t>
      </w:r>
    </w:p>
    <w:p w14:paraId="16F9EBF2" w14:textId="77777777" w:rsidR="00366097" w:rsidRDefault="00366097" w:rsidP="00CC37FA">
      <w:pPr>
        <w:pStyle w:val="NoSpacing"/>
        <w:rPr>
          <w:rFonts w:ascii="Arial Black" w:hAnsi="Arial Black"/>
          <w:sz w:val="28"/>
          <w:szCs w:val="28"/>
        </w:rPr>
      </w:pPr>
    </w:p>
    <w:p w14:paraId="67AD2625" w14:textId="77777777" w:rsidR="00493A6B" w:rsidRPr="00174162" w:rsidRDefault="00493A6B" w:rsidP="00493A6B">
      <w:pPr>
        <w:rPr>
          <w:rFonts w:ascii="Arial Black" w:hAnsi="Arial Black"/>
          <w:b/>
          <w:sz w:val="28"/>
          <w:szCs w:val="28"/>
        </w:rPr>
      </w:pPr>
      <w:r>
        <w:rPr>
          <w:rFonts w:ascii="Arial Black" w:hAnsi="Arial Black"/>
          <w:b/>
          <w:sz w:val="28"/>
          <w:szCs w:val="28"/>
        </w:rPr>
        <w:t>NJ: ACTING U.S. ATTY NOT CONFIRMED - DISQUALIFIED</w:t>
      </w:r>
    </w:p>
    <w:p w14:paraId="789D3A78" w14:textId="77777777" w:rsidR="00493A6B" w:rsidRDefault="00493A6B" w:rsidP="00493A6B">
      <w:pPr>
        <w:pStyle w:val="NoSpacing"/>
      </w:pPr>
      <w:r>
        <w:t xml:space="preserve">On December 1, 2025, in </w:t>
      </w:r>
      <w:r w:rsidRPr="00C07203">
        <w:rPr>
          <w:u w:val="single"/>
        </w:rPr>
        <w:t>United States v. Julien Giraud, Jr. et al.</w:t>
      </w:r>
      <w:r>
        <w:t xml:space="preserve"> the U.S. Court of Appeals for Third Circuit (Philadelphia) held that </w:t>
      </w:r>
      <w:r w:rsidRPr="00C07203">
        <w:t>Alina Habba</w:t>
      </w:r>
      <w:r>
        <w:t xml:space="preserve">, who was appointed Acting U.S. Attorney for the District of New Jersey, was properly removed by order of U.S. District Court since she was not confirmed by the Senate within 120 days of replacing the resigned U.S. Attorney.   Two indicted criminal defendants were denied motions to dismiss their indictments.  </w:t>
      </w:r>
      <w:hyperlink r:id="rId648" w:history="1">
        <w:r w:rsidRPr="006358C5">
          <w:rPr>
            <w:rStyle w:val="Hyperlink"/>
          </w:rPr>
          <w:t>https://cases.justia.com/federal/appellate-courts/ca3/25-2635/25-2635-2025-12-01.pdf?ts=1764612050</w:t>
        </w:r>
      </w:hyperlink>
      <w:r>
        <w:t xml:space="preserve"> </w:t>
      </w:r>
    </w:p>
    <w:p w14:paraId="42D9166A" w14:textId="77777777" w:rsidR="00493A6B" w:rsidRDefault="00493A6B" w:rsidP="00493A6B">
      <w:pPr>
        <w:pStyle w:val="NoSpacing"/>
      </w:pPr>
    </w:p>
    <w:p w14:paraId="1D3DAE10" w14:textId="77777777" w:rsidR="00493A6B" w:rsidRDefault="00493A6B" w:rsidP="00493A6B">
      <w:pPr>
        <w:pStyle w:val="NoSpacing"/>
      </w:pPr>
      <w:r>
        <w:t>THE COURT HELD:</w:t>
      </w:r>
    </w:p>
    <w:p w14:paraId="624B4F36" w14:textId="77777777" w:rsidR="00493A6B" w:rsidRDefault="00493A6B" w:rsidP="00493A6B">
      <w:pPr>
        <w:pStyle w:val="NoSpacing"/>
      </w:pPr>
    </w:p>
    <w:p w14:paraId="7E2ABBAE" w14:textId="77777777" w:rsidR="00493A6B" w:rsidRDefault="00493A6B" w:rsidP="00493A6B">
      <w:pPr>
        <w:pStyle w:val="NoSpacing"/>
        <w:ind w:left="720"/>
      </w:pPr>
      <w:r>
        <w:t xml:space="preserve">“On March 3, under the new presidential administration, Attorney General Pamela Bondi appointed John Giordano as Interim U.S. Attorney for New Jersey pursuant to 28 U.S.C. § 546(a). Giordano resigned three weeks later, at which time the Attorney General appointed Alina Habba as Interim U.S. Attorney, also pursuant to § </w:t>
      </w:r>
      <w:r>
        <w:lastRenderedPageBreak/>
        <w:t xml:space="preserve">546(a). Habba was sworn in on March 28. On June 30, President Donald Trump nominated her for the permanent role. The Senate never acted on the nomination. </w:t>
      </w:r>
    </w:p>
    <w:p w14:paraId="486F0616" w14:textId="77777777" w:rsidR="00493A6B" w:rsidRDefault="00493A6B" w:rsidP="00493A6B">
      <w:pPr>
        <w:pStyle w:val="NoSpacing"/>
        <w:ind w:left="720"/>
      </w:pPr>
    </w:p>
    <w:p w14:paraId="664947D7" w14:textId="77777777" w:rsidR="00493A6B" w:rsidRDefault="00493A6B" w:rsidP="00493A6B">
      <w:pPr>
        <w:pStyle w:val="NoSpacing"/>
        <w:ind w:left="720"/>
      </w:pPr>
      <w:r>
        <w:t>As § 546’s 120-day deadline approached, the United States District Court for the District of New Jersey issued a standing order pursuant to 28 U.S.C. § 546(d) providing that</w:t>
      </w:r>
    </w:p>
    <w:p w14:paraId="2455F8BF" w14:textId="77777777" w:rsidR="00493A6B" w:rsidRDefault="00493A6B" w:rsidP="00493A6B">
      <w:pPr>
        <w:pStyle w:val="NoSpacing"/>
        <w:ind w:left="720"/>
      </w:pPr>
      <w:r>
        <w:t xml:space="preserve">Desiree Grace—the First Assistant U.S. Attorney at the time— would be Interim U.S. Attorney effective upon the expiration of Habba’s 120-day term under § 546.1 In response, the Department of Justice terminated Grace’s employment…. </w:t>
      </w:r>
    </w:p>
    <w:p w14:paraId="1134719C" w14:textId="77777777" w:rsidR="00493A6B" w:rsidRDefault="00493A6B" w:rsidP="00493A6B">
      <w:pPr>
        <w:pStyle w:val="NoSpacing"/>
        <w:ind w:left="720"/>
      </w:pPr>
    </w:p>
    <w:p w14:paraId="23F72652" w14:textId="77777777" w:rsidR="00493A6B" w:rsidRDefault="00493A6B" w:rsidP="00493A6B">
      <w:pPr>
        <w:pStyle w:val="NoSpacing"/>
        <w:ind w:left="720"/>
      </w:pPr>
      <w:r>
        <w:t xml:space="preserve">Then on July 2, </w:t>
      </w:r>
      <w:r w:rsidRPr="007A501B">
        <w:t>the Trump administration took several steps:</w:t>
      </w:r>
      <w:r>
        <w:t xml:space="preserve"> (1) the President withdrew Habba’s nomination for U.S. Attorney; (2) Habba resigned as Interim U.S. Attorney; (3) the Attorney General issued an order appointing Habba as ‘Special Attorney’ to the Attorney General, accompanied by a letter authorizing Habba to conduct ‘any kind of legal proceedings … which United States Attorneys are authorized to conduct’ pursuant to 28 U.S.C. § 515, App. 161–62, 165; and (4) in the same order, the Attorney General also designated Habba as First Assistant U.S. Attorney, which purported to mean that Habba automatically became Acting U.S. Attorney pursuant to the FVRA [Federal Vacancies Reform Act], 5 U.S.C. § 3345(a)(1)….</w:t>
      </w:r>
    </w:p>
    <w:p w14:paraId="5B85D78D" w14:textId="77777777" w:rsidR="00493A6B" w:rsidRDefault="00493A6B" w:rsidP="00493A6B">
      <w:pPr>
        <w:pStyle w:val="NoSpacing"/>
        <w:ind w:left="720"/>
      </w:pPr>
    </w:p>
    <w:p w14:paraId="38AB2C2B" w14:textId="77777777" w:rsidR="00493A6B" w:rsidRDefault="00493A6B" w:rsidP="00493A6B">
      <w:pPr>
        <w:pStyle w:val="NoSpacing"/>
        <w:ind w:left="720"/>
      </w:pPr>
      <w:r>
        <w:t>Habba is not the Acting U.S. Attorney for the District of New Jersey by virtue of her appointment as First Assistant U.S. Attorney because only the first assistant in place at the time the vacancy arises automatically assumes the functions and duties of the office under the FVRA. Additionally, because Habba was nominated for the vacant U.S. Attorney position, the FVRA’s nomination bar prevents her from assuming the role of Acting U.S. Attorney. Finally, the Attorney General’s delegation of all the powers of a U.S. Attorney to Habba is prohibited by the FVRA’s exclusivity provision. Therefore, we</w:t>
      </w:r>
    </w:p>
    <w:p w14:paraId="19CA2F56" w14:textId="77777777" w:rsidR="00493A6B" w:rsidRDefault="00493A6B" w:rsidP="00493A6B">
      <w:pPr>
        <w:pStyle w:val="NoSpacing"/>
        <w:ind w:left="720"/>
      </w:pPr>
      <w:r>
        <w:t xml:space="preserve">will affirm the District Court’s disqualification order.” </w:t>
      </w:r>
    </w:p>
    <w:p w14:paraId="7C86B52E" w14:textId="77777777" w:rsidR="00493A6B" w:rsidRDefault="00493A6B" w:rsidP="00493A6B">
      <w:pPr>
        <w:pStyle w:val="NoSpacing"/>
        <w:ind w:left="720"/>
      </w:pPr>
    </w:p>
    <w:p w14:paraId="56E195BA" w14:textId="77777777" w:rsidR="00493A6B" w:rsidRPr="00114BAB" w:rsidRDefault="00493A6B" w:rsidP="00493A6B">
      <w:pPr>
        <w:pStyle w:val="NoSpacing"/>
        <w:rPr>
          <w:b/>
          <w:bCs/>
        </w:rPr>
      </w:pPr>
      <w:r>
        <w:rPr>
          <w:b/>
        </w:rPr>
        <w:t>Legal lesson learned:  The U.S. Attorney for New Jersey has a critical responsibility, thereby requiring Senate confirmation – the District Court and the 3</w:t>
      </w:r>
      <w:r w:rsidRPr="00AF3F47">
        <w:rPr>
          <w:b/>
          <w:vertAlign w:val="superscript"/>
        </w:rPr>
        <w:t>rd</w:t>
      </w:r>
      <w:r>
        <w:rPr>
          <w:b/>
        </w:rPr>
        <w:t xml:space="preserve"> Circuit had no patience with breaches of the appointment process. </w:t>
      </w:r>
    </w:p>
    <w:p w14:paraId="2739EFB1" w14:textId="77777777" w:rsidR="00493A6B" w:rsidRDefault="00493A6B" w:rsidP="00493A6B">
      <w:pPr>
        <w:pStyle w:val="NoSpacing"/>
      </w:pPr>
    </w:p>
    <w:p w14:paraId="23815DE8" w14:textId="77777777" w:rsidR="00366097" w:rsidRDefault="00366097" w:rsidP="00CC37FA">
      <w:pPr>
        <w:pStyle w:val="NoSpacing"/>
        <w:rPr>
          <w:rFonts w:ascii="Arial Black" w:hAnsi="Arial Black"/>
          <w:sz w:val="28"/>
          <w:szCs w:val="28"/>
        </w:rPr>
      </w:pPr>
    </w:p>
    <w:p w14:paraId="7154B091" w14:textId="77777777" w:rsidR="008963C8" w:rsidRDefault="008963C8" w:rsidP="00CC37FA">
      <w:pPr>
        <w:pStyle w:val="NoSpacing"/>
        <w:rPr>
          <w:rFonts w:ascii="Arial Black" w:hAnsi="Arial Black"/>
          <w:sz w:val="28"/>
          <w:szCs w:val="28"/>
        </w:rPr>
      </w:pPr>
    </w:p>
    <w:p w14:paraId="2AF7CAA4" w14:textId="11AB3D20" w:rsidR="003E3554" w:rsidRDefault="00CC37FA" w:rsidP="00CC37FA">
      <w:pPr>
        <w:pStyle w:val="NoSpacing"/>
        <w:rPr>
          <w:rFonts w:ascii="Arial Black" w:hAnsi="Arial Black"/>
          <w:sz w:val="28"/>
          <w:szCs w:val="28"/>
        </w:rPr>
      </w:pPr>
      <w:r>
        <w:rPr>
          <w:rFonts w:ascii="Arial Black" w:hAnsi="Arial Black"/>
          <w:sz w:val="28"/>
          <w:szCs w:val="28"/>
        </w:rPr>
        <w:t xml:space="preserve">3-84 </w:t>
      </w:r>
    </w:p>
    <w:p w14:paraId="67E0D58F" w14:textId="77777777" w:rsidR="003E3554" w:rsidRDefault="003E3554" w:rsidP="00CC37FA">
      <w:pPr>
        <w:pStyle w:val="NoSpacing"/>
        <w:rPr>
          <w:rFonts w:ascii="Arial Black" w:hAnsi="Arial Black"/>
          <w:sz w:val="28"/>
          <w:szCs w:val="28"/>
        </w:rPr>
      </w:pPr>
    </w:p>
    <w:p w14:paraId="1008CAB1" w14:textId="7F25CAC5" w:rsidR="00CC37FA" w:rsidRPr="003E3554" w:rsidRDefault="00CC37FA" w:rsidP="00CC37FA">
      <w:pPr>
        <w:pStyle w:val="NoSpacing"/>
        <w:rPr>
          <w:rFonts w:ascii="Times New Roman" w:hAnsi="Times New Roman"/>
          <w:b/>
          <w:sz w:val="24"/>
          <w:szCs w:val="24"/>
        </w:rPr>
      </w:pPr>
      <w:r w:rsidRPr="00CC37FA">
        <w:rPr>
          <w:rFonts w:ascii="Times New Roman" w:hAnsi="Times New Roman"/>
          <w:b/>
          <w:sz w:val="24"/>
          <w:szCs w:val="24"/>
        </w:rPr>
        <w:t>Professor Bennett’s articles in Homeland Security Today:</w:t>
      </w:r>
      <w:r w:rsidR="004B2E70" w:rsidRPr="003E3554">
        <w:rPr>
          <w:rFonts w:ascii="Times New Roman" w:hAnsi="Times New Roman"/>
          <w:b/>
          <w:sz w:val="24"/>
          <w:szCs w:val="24"/>
        </w:rPr>
        <w:t xml:space="preserve"> </w:t>
      </w:r>
    </w:p>
    <w:p w14:paraId="2E543E07" w14:textId="185500B4" w:rsidR="00CC37FA" w:rsidRPr="00CC37FA" w:rsidRDefault="00CC37FA" w:rsidP="00CC37FA">
      <w:pPr>
        <w:pStyle w:val="NoSpacing"/>
        <w:rPr>
          <w:rFonts w:ascii="Arial Black" w:hAnsi="Arial Black"/>
          <w:b/>
          <w:bCs/>
          <w:sz w:val="28"/>
          <w:szCs w:val="28"/>
        </w:rPr>
      </w:pPr>
      <w:r w:rsidRPr="00CC37FA">
        <w:rPr>
          <w:rFonts w:ascii="Times New Roman" w:hAnsi="Times New Roman"/>
          <w:b/>
          <w:sz w:val="24"/>
          <w:szCs w:val="24"/>
        </w:rPr>
        <w:t xml:space="preserve">Dec. 28, 1995: Supreme Court Blocks National Guard Deployment to Chicago, Restricts Presidential Power Under Title 10. Landmark ruling reshapes federal authority and strengthens governors’ control over National Guard deployments. </w:t>
      </w:r>
      <w:hyperlink r:id="rId649" w:history="1">
        <w:r w:rsidRPr="00CC37FA">
          <w:rPr>
            <w:rStyle w:val="Hyperlink"/>
            <w:rFonts w:ascii="Times New Roman" w:hAnsi="Times New Roman"/>
            <w:b/>
            <w:sz w:val="24"/>
            <w:szCs w:val="24"/>
          </w:rPr>
          <w:t>https://www.hstoday.us/us-national-guard/column-supreme-court-blocks-national-guard-deployment-to-chicago-restricts-presidential-power-under-title-10/</w:t>
        </w:r>
      </w:hyperlink>
      <w:r w:rsidRPr="00CC37FA">
        <w:rPr>
          <w:rFonts w:ascii="Arial Black" w:hAnsi="Arial Black"/>
          <w:b/>
          <w:bCs/>
          <w:sz w:val="28"/>
          <w:szCs w:val="28"/>
        </w:rPr>
        <w:t xml:space="preserve"> </w:t>
      </w:r>
    </w:p>
    <w:p w14:paraId="5E02F121" w14:textId="6059B6B9" w:rsidR="00CC37FA" w:rsidRPr="00CC37FA" w:rsidRDefault="00CC37FA" w:rsidP="00CC37FA">
      <w:pPr>
        <w:pStyle w:val="NoSpacing"/>
        <w:rPr>
          <w:rFonts w:ascii="Arial Black" w:hAnsi="Arial Black"/>
          <w:b/>
          <w:sz w:val="24"/>
          <w:szCs w:val="24"/>
        </w:rPr>
      </w:pPr>
      <w:r w:rsidRPr="00CC37FA">
        <w:rPr>
          <w:rFonts w:ascii="Arial Black" w:hAnsi="Arial Black"/>
          <w:b/>
          <w:sz w:val="24"/>
          <w:szCs w:val="24"/>
        </w:rPr>
        <w:t xml:space="preserve"> </w:t>
      </w:r>
    </w:p>
    <w:p w14:paraId="552A59B3" w14:textId="77777777" w:rsidR="004B2E70" w:rsidRPr="003E3554" w:rsidRDefault="004B2E70" w:rsidP="004B2E70">
      <w:pPr>
        <w:pStyle w:val="NoSpacing"/>
        <w:ind w:left="720"/>
        <w:rPr>
          <w:rFonts w:ascii="Times New Roman" w:hAnsi="Times New Roman"/>
          <w:b/>
          <w:sz w:val="24"/>
          <w:szCs w:val="24"/>
        </w:rPr>
      </w:pPr>
      <w:proofErr w:type="gramStart"/>
      <w:r w:rsidRPr="003E3554">
        <w:rPr>
          <w:rFonts w:ascii="Times New Roman" w:hAnsi="Times New Roman"/>
          <w:b/>
          <w:sz w:val="24"/>
          <w:szCs w:val="24"/>
        </w:rPr>
        <w:t>See</w:t>
      </w:r>
      <w:proofErr w:type="gramEnd"/>
      <w:r w:rsidRPr="003E3554">
        <w:rPr>
          <w:rFonts w:ascii="Times New Roman" w:hAnsi="Times New Roman"/>
          <w:b/>
          <w:sz w:val="24"/>
          <w:szCs w:val="24"/>
        </w:rPr>
        <w:t xml:space="preserve"> also: </w:t>
      </w:r>
    </w:p>
    <w:p w14:paraId="2D43BD63" w14:textId="77777777" w:rsidR="004B2E70" w:rsidRDefault="004B2E70" w:rsidP="004B2E70">
      <w:pPr>
        <w:pStyle w:val="NoSpacing"/>
        <w:ind w:left="720"/>
        <w:rPr>
          <w:rFonts w:ascii="Arial Black" w:hAnsi="Arial Black"/>
          <w:b/>
          <w:sz w:val="24"/>
          <w:szCs w:val="24"/>
        </w:rPr>
      </w:pPr>
    </w:p>
    <w:p w14:paraId="2E25BF97" w14:textId="77777777" w:rsidR="004B2E70" w:rsidRPr="00CC37FA" w:rsidRDefault="004B2E70" w:rsidP="004B2E70">
      <w:pPr>
        <w:pStyle w:val="NoSpacing"/>
        <w:ind w:left="720"/>
        <w:rPr>
          <w:rFonts w:ascii="Arial Black" w:hAnsi="Arial Black"/>
          <w:b/>
          <w:bCs/>
          <w:sz w:val="24"/>
          <w:szCs w:val="24"/>
        </w:rPr>
      </w:pPr>
      <w:r w:rsidRPr="00CC37FA">
        <w:rPr>
          <w:rFonts w:ascii="Arial Black" w:hAnsi="Arial Black"/>
          <w:b/>
          <w:sz w:val="24"/>
          <w:szCs w:val="24"/>
        </w:rPr>
        <w:t xml:space="preserve">Dec. 19, 2025: </w:t>
      </w:r>
      <w:r w:rsidRPr="00CC37FA">
        <w:rPr>
          <w:rFonts w:ascii="Arial Black" w:hAnsi="Arial Black"/>
          <w:b/>
          <w:bCs/>
          <w:sz w:val="24"/>
          <w:szCs w:val="24"/>
        </w:rPr>
        <w:t xml:space="preserve">Federal Courts Continue to Block DHS and FEMA DEI Grant Conditions. </w:t>
      </w:r>
      <w:r w:rsidRPr="00CC37FA">
        <w:rPr>
          <w:rFonts w:ascii="Times New Roman" w:hAnsi="Times New Roman"/>
          <w:sz w:val="24"/>
          <w:szCs w:val="24"/>
        </w:rPr>
        <w:t xml:space="preserve">Twin injunctions protect billions in emergency preparedness funding from diversity program compliance mandates.  </w:t>
      </w:r>
      <w:hyperlink r:id="rId650" w:history="1">
        <w:r w:rsidRPr="00CC37FA">
          <w:rPr>
            <w:rStyle w:val="Hyperlink"/>
            <w:rFonts w:ascii="Times New Roman" w:hAnsi="Times New Roman"/>
            <w:sz w:val="24"/>
            <w:szCs w:val="24"/>
          </w:rPr>
          <w:t>https://www.hstoday.us/fema-dhs-federal-pages/column-federal-courts-block-dhs-and-fema-dei-grant-conditions/</w:t>
        </w:r>
      </w:hyperlink>
      <w:r w:rsidRPr="00CC37FA">
        <w:rPr>
          <w:rFonts w:ascii="Arial Black" w:hAnsi="Arial Black"/>
          <w:b/>
          <w:bCs/>
          <w:sz w:val="24"/>
          <w:szCs w:val="24"/>
        </w:rPr>
        <w:t xml:space="preserve"> </w:t>
      </w:r>
    </w:p>
    <w:p w14:paraId="1CF2EAC8" w14:textId="77777777" w:rsidR="004B2E70" w:rsidRDefault="004B2E70" w:rsidP="004B2E70">
      <w:pPr>
        <w:pStyle w:val="NoSpacing"/>
        <w:ind w:left="720"/>
        <w:rPr>
          <w:rFonts w:ascii="Arial Black" w:hAnsi="Arial Black"/>
          <w:b/>
          <w:sz w:val="24"/>
          <w:szCs w:val="24"/>
        </w:rPr>
      </w:pPr>
    </w:p>
    <w:p w14:paraId="6A9A61CE" w14:textId="77777777" w:rsidR="004B2E70" w:rsidRPr="00CC37FA" w:rsidRDefault="004B2E70" w:rsidP="004B2E70">
      <w:pPr>
        <w:pStyle w:val="NoSpacing"/>
        <w:ind w:left="720"/>
        <w:rPr>
          <w:rFonts w:ascii="Arial Black" w:hAnsi="Arial Black"/>
          <w:b/>
          <w:sz w:val="24"/>
          <w:szCs w:val="24"/>
        </w:rPr>
      </w:pPr>
      <w:r w:rsidRPr="00CC37FA">
        <w:rPr>
          <w:rFonts w:ascii="Arial Black" w:hAnsi="Arial Black"/>
          <w:b/>
          <w:sz w:val="24"/>
          <w:szCs w:val="24"/>
        </w:rPr>
        <w:t xml:space="preserve">Oct. 7, 2025: Federal Courts Block FEMA &amp; DHS Immigration Grant Conditions, Safeguarding Billions in Emergency Preparedness Funds. </w:t>
      </w:r>
      <w:r w:rsidRPr="00CC37FA">
        <w:rPr>
          <w:rFonts w:ascii="Times New Roman" w:hAnsi="Times New Roman"/>
          <w:bCs/>
          <w:sz w:val="24"/>
          <w:szCs w:val="24"/>
        </w:rPr>
        <w:t xml:space="preserve">Decisions impact disaster relief, firefighter assistance, cybersecurity, and counterterrorism grants administered </w:t>
      </w:r>
      <w:r w:rsidRPr="00CC37FA">
        <w:rPr>
          <w:rFonts w:ascii="Times New Roman" w:hAnsi="Times New Roman"/>
          <w:bCs/>
          <w:sz w:val="24"/>
          <w:szCs w:val="24"/>
        </w:rPr>
        <w:lastRenderedPageBreak/>
        <w:t xml:space="preserve">through FEMA and DHS.    </w:t>
      </w:r>
      <w:hyperlink r:id="rId651" w:history="1">
        <w:r w:rsidRPr="00CC37FA">
          <w:rPr>
            <w:rStyle w:val="Hyperlink"/>
            <w:rFonts w:ascii="Times New Roman" w:hAnsi="Times New Roman"/>
            <w:bCs/>
            <w:sz w:val="24"/>
            <w:szCs w:val="24"/>
          </w:rPr>
          <w:t>https://www.hstoday.us/perspective/eyes-on-preparedness-federal-courts-block-fema-dhs-immigration-grant-conditions-safeguarding-billions-in-emergency-preparedness-funds/</w:t>
        </w:r>
      </w:hyperlink>
      <w:r w:rsidRPr="00CC37FA">
        <w:rPr>
          <w:rFonts w:ascii="Arial Black" w:hAnsi="Arial Black"/>
          <w:b/>
          <w:sz w:val="24"/>
          <w:szCs w:val="24"/>
        </w:rPr>
        <w:t xml:space="preserve"> </w:t>
      </w:r>
    </w:p>
    <w:p w14:paraId="3FA70E40" w14:textId="77777777" w:rsidR="004B2E70" w:rsidRPr="00CC37FA" w:rsidRDefault="004B2E70" w:rsidP="004B2E70">
      <w:pPr>
        <w:pStyle w:val="NoSpacing"/>
        <w:ind w:left="720"/>
        <w:rPr>
          <w:rFonts w:ascii="Arial Black" w:hAnsi="Arial Black"/>
          <w:b/>
          <w:sz w:val="24"/>
          <w:szCs w:val="24"/>
        </w:rPr>
      </w:pPr>
    </w:p>
    <w:p w14:paraId="64BBB83D" w14:textId="411EA589" w:rsidR="00CC37FA" w:rsidRPr="00CC37FA" w:rsidRDefault="00CC37FA" w:rsidP="004B2E70">
      <w:pPr>
        <w:pStyle w:val="NoSpacing"/>
        <w:ind w:left="720"/>
        <w:rPr>
          <w:rFonts w:ascii="Arial Black" w:hAnsi="Arial Black"/>
          <w:b/>
          <w:bCs/>
          <w:sz w:val="24"/>
          <w:szCs w:val="24"/>
        </w:rPr>
      </w:pPr>
      <w:r w:rsidRPr="00CC37FA">
        <w:rPr>
          <w:rFonts w:ascii="Arial Black" w:hAnsi="Arial Black"/>
          <w:b/>
          <w:sz w:val="24"/>
          <w:szCs w:val="24"/>
        </w:rPr>
        <w:t xml:space="preserve">September 24, 2025: </w:t>
      </w:r>
      <w:r w:rsidRPr="00CC37FA">
        <w:rPr>
          <w:rFonts w:ascii="Arial Black" w:hAnsi="Arial Black"/>
          <w:b/>
          <w:bCs/>
          <w:sz w:val="24"/>
          <w:szCs w:val="24"/>
        </w:rPr>
        <w:t>EYES IN THE SKY: Do Cities Need Warrants for Drones?</w:t>
      </w:r>
    </w:p>
    <w:p w14:paraId="1097F34D" w14:textId="77777777" w:rsidR="00CC37FA" w:rsidRPr="00CC37FA" w:rsidRDefault="00CC37FA" w:rsidP="004B2E70">
      <w:pPr>
        <w:pStyle w:val="NoSpacing"/>
        <w:ind w:left="720"/>
        <w:rPr>
          <w:rFonts w:ascii="Times New Roman" w:hAnsi="Times New Roman"/>
          <w:sz w:val="24"/>
          <w:szCs w:val="24"/>
        </w:rPr>
      </w:pPr>
      <w:proofErr w:type="gramStart"/>
      <w:r w:rsidRPr="00CC37FA">
        <w:rPr>
          <w:rFonts w:ascii="Times New Roman" w:hAnsi="Times New Roman"/>
          <w:sz w:val="24"/>
          <w:szCs w:val="24"/>
        </w:rPr>
        <w:t>How</w:t>
      </w:r>
      <w:proofErr w:type="gramEnd"/>
      <w:r w:rsidRPr="00CC37FA">
        <w:rPr>
          <w:rFonts w:ascii="Times New Roman" w:hAnsi="Times New Roman"/>
          <w:sz w:val="24"/>
          <w:szCs w:val="24"/>
        </w:rPr>
        <w:t xml:space="preserve"> recent federal court decisions are reshaping municipal drone enforcement for cannabis enforcement and illegal land use investigations</w:t>
      </w:r>
    </w:p>
    <w:p w14:paraId="305D7D1B" w14:textId="77777777" w:rsidR="00CC37FA" w:rsidRPr="00CC37FA" w:rsidRDefault="00CC37FA" w:rsidP="004B2E70">
      <w:pPr>
        <w:pStyle w:val="NoSpacing"/>
        <w:ind w:left="720"/>
        <w:rPr>
          <w:rFonts w:ascii="Arial Black" w:hAnsi="Arial Black"/>
          <w:b/>
          <w:sz w:val="24"/>
          <w:szCs w:val="24"/>
        </w:rPr>
      </w:pPr>
      <w:hyperlink r:id="rId652" w:history="1">
        <w:r w:rsidRPr="00CC37FA">
          <w:rPr>
            <w:rStyle w:val="Hyperlink"/>
            <w:rFonts w:ascii="Times New Roman" w:hAnsi="Times New Roman"/>
            <w:sz w:val="24"/>
            <w:szCs w:val="24"/>
          </w:rPr>
          <w:t>https://www.hstoday.us/subject-matter-areas/unmanned-vehicles/eyes-in-the-sky-do-cities-need-warrants-for-drones/</w:t>
        </w:r>
      </w:hyperlink>
      <w:r w:rsidRPr="00CC37FA">
        <w:rPr>
          <w:rFonts w:ascii="Arial Black" w:hAnsi="Arial Black"/>
          <w:b/>
          <w:sz w:val="24"/>
          <w:szCs w:val="24"/>
        </w:rPr>
        <w:t xml:space="preserve"> </w:t>
      </w:r>
    </w:p>
    <w:p w14:paraId="0D954E20" w14:textId="77777777" w:rsidR="00CC37FA" w:rsidRPr="00CC37FA" w:rsidRDefault="00CC37FA" w:rsidP="004B2E70">
      <w:pPr>
        <w:pStyle w:val="NoSpacing"/>
        <w:ind w:left="720"/>
        <w:rPr>
          <w:rFonts w:ascii="Arial Black" w:hAnsi="Arial Black"/>
          <w:b/>
          <w:sz w:val="24"/>
          <w:szCs w:val="24"/>
        </w:rPr>
      </w:pPr>
    </w:p>
    <w:p w14:paraId="54B60363" w14:textId="77777777" w:rsidR="00CC37FA" w:rsidRDefault="00CC37FA" w:rsidP="00440B47">
      <w:pPr>
        <w:pStyle w:val="NoSpacing"/>
        <w:rPr>
          <w:rFonts w:ascii="Arial Black" w:hAnsi="Arial Black"/>
          <w:sz w:val="28"/>
          <w:szCs w:val="28"/>
        </w:rPr>
      </w:pPr>
    </w:p>
    <w:p w14:paraId="0B52C5CE" w14:textId="1E16332D" w:rsidR="00E575E6" w:rsidRDefault="00E575E6" w:rsidP="00440B47">
      <w:pPr>
        <w:pStyle w:val="NoSpacing"/>
        <w:rPr>
          <w:rFonts w:ascii="Arial Black" w:hAnsi="Arial Black"/>
          <w:sz w:val="28"/>
          <w:szCs w:val="28"/>
        </w:rPr>
      </w:pPr>
      <w:r>
        <w:rPr>
          <w:rFonts w:ascii="Arial Black" w:hAnsi="Arial Black"/>
          <w:sz w:val="28"/>
          <w:szCs w:val="28"/>
        </w:rPr>
        <w:t>3-83</w:t>
      </w:r>
    </w:p>
    <w:p w14:paraId="470EBD94" w14:textId="77777777" w:rsidR="00E575E6" w:rsidRPr="00830137" w:rsidRDefault="00E575E6" w:rsidP="00E575E6">
      <w:pPr>
        <w:rPr>
          <w:rFonts w:ascii="Arial Black" w:hAnsi="Arial Black"/>
          <w:sz w:val="28"/>
          <w:szCs w:val="28"/>
        </w:rPr>
      </w:pPr>
      <w:r>
        <w:rPr>
          <w:rFonts w:ascii="Arial Black" w:hAnsi="Arial Black"/>
          <w:sz w:val="28"/>
          <w:szCs w:val="28"/>
        </w:rPr>
        <w:t>IL: FEMA GRANTS – 2 FED. INJUNCTIONS / DEI CLAUSES</w:t>
      </w:r>
    </w:p>
    <w:p w14:paraId="1B8BB34E" w14:textId="77777777" w:rsidR="00E575E6" w:rsidRDefault="00E575E6" w:rsidP="00E575E6">
      <w:pPr>
        <w:pStyle w:val="NoSpacing"/>
      </w:pPr>
      <w:r>
        <w:t xml:space="preserve">On November 21, 2025, in </w:t>
      </w:r>
      <w:r w:rsidRPr="001A3435">
        <w:rPr>
          <w:u w:val="single"/>
        </w:rPr>
        <w:t xml:space="preserve">City of Chicago, </w:t>
      </w:r>
      <w:r>
        <w:rPr>
          <w:u w:val="single"/>
        </w:rPr>
        <w:t xml:space="preserve">et al. </w:t>
      </w:r>
      <w:r w:rsidRPr="001A3435">
        <w:rPr>
          <w:u w:val="single"/>
        </w:rPr>
        <w:t>v. Kristi Noem, et al</w:t>
      </w:r>
      <w:r>
        <w:t>., U.S. District Court Judge Manish S. Shah, United States District Court for the Northern District of Illinois, Eastern Division, issued an injunction prohibiting U.S. Government from enforcing DEI {</w:t>
      </w:r>
      <w:r w:rsidRPr="007B7867">
        <w:t>Diversity, Equity and Inclusion</w:t>
      </w:r>
      <w:r>
        <w:t>] prohibitions in 2025 DHS Standard Terms and Conditions. Plaintiffs include</w:t>
      </w:r>
      <w:r w:rsidRPr="00E9616E">
        <w:t xml:space="preserve"> City of Boston, City of New York, Mayor and City Council of Baltimore, City and County of Denver, City of Minneapolis, City of New Haven, City of Saint Paul and Ramsey County</w:t>
      </w:r>
      <w:r>
        <w:t>.  On Noc. 21, 2025, a Federal judge in California issued a similar injunct. THE COURT WROTE:  “The Secretary cannot pursue the policy objectives of the executive branch through the power of the purse…. Defendants are enjoined from imposing Part C.XVII(2)(a)(</w:t>
      </w:r>
      <w:proofErr w:type="spellStart"/>
      <w:r>
        <w:t>i</w:t>
      </w:r>
      <w:proofErr w:type="spellEnd"/>
      <w:r>
        <w:t xml:space="preserve">)–(ii) &amp; XXXI  [DEI conditions] of the 2025 DHS Standard Terms and Conditions on any plaintiff as a requirement for accepting a grant award issued under any of the statutory programs referenced in the complaint. Defendants cannot require plaintiffs to certify that they do not advance or promote DEI, DEIA, or ‘discriminatory equity ideology’ in violation of Federal anti-discrimination laws, or that they do not engage discriminatory prohibited boycotts when they accept funds pursuant to DHS Standard Terms and Conditions. Defendants cannot demand compliance with unspecified and unknown (at the time of contracting) Executive Orders as a condition of funding.” </w:t>
      </w:r>
      <w:hyperlink r:id="rId653" w:history="1">
        <w:r w:rsidRPr="00743732">
          <w:rPr>
            <w:rStyle w:val="Hyperlink"/>
          </w:rPr>
          <w:t>https://cases.justia.com/federal/district-courts/illinois/ilndce/1:2025cv12765/488308/72/0.pdf?ts=1763809095</w:t>
        </w:r>
      </w:hyperlink>
      <w:r>
        <w:t xml:space="preserve"> </w:t>
      </w:r>
    </w:p>
    <w:p w14:paraId="596A7753" w14:textId="77777777" w:rsidR="00E575E6" w:rsidRDefault="00E575E6" w:rsidP="00E575E6">
      <w:pPr>
        <w:pStyle w:val="NoSpacing"/>
      </w:pPr>
    </w:p>
    <w:p w14:paraId="647089A3" w14:textId="77777777" w:rsidR="00E575E6" w:rsidRDefault="00E575E6" w:rsidP="00E575E6">
      <w:pPr>
        <w:pStyle w:val="NoSpacing"/>
      </w:pPr>
      <w:r>
        <w:t>THE COURT HELD:</w:t>
      </w:r>
    </w:p>
    <w:p w14:paraId="4C5D0DED" w14:textId="77777777" w:rsidR="00E575E6" w:rsidRDefault="00E575E6" w:rsidP="00E575E6">
      <w:pPr>
        <w:pStyle w:val="NoSpacing"/>
      </w:pPr>
    </w:p>
    <w:p w14:paraId="28EC2387" w14:textId="77777777" w:rsidR="00E575E6" w:rsidRDefault="00E575E6" w:rsidP="00E575E6">
      <w:pPr>
        <w:pStyle w:val="NoSpacing"/>
        <w:ind w:firstLine="720"/>
      </w:pPr>
      <w:r>
        <w:t>“The Department of Homeland Security and its agencies administer grant</w:t>
      </w:r>
    </w:p>
    <w:p w14:paraId="061BB123" w14:textId="77777777" w:rsidR="00E575E6" w:rsidRDefault="00E575E6" w:rsidP="00E575E6">
      <w:pPr>
        <w:pStyle w:val="NoSpacing"/>
        <w:ind w:firstLine="720"/>
      </w:pPr>
      <w:r>
        <w:t>programs pursuant to statutory authority and funded by congressional</w:t>
      </w:r>
    </w:p>
    <w:p w14:paraId="6F673CF1" w14:textId="77777777" w:rsidR="00E575E6" w:rsidRDefault="00E575E6" w:rsidP="00E575E6">
      <w:pPr>
        <w:pStyle w:val="NoSpacing"/>
        <w:ind w:firstLine="720"/>
      </w:pPr>
      <w:r>
        <w:t xml:space="preserve">appropriations. The grants cover everything from transit safety to nuclear </w:t>
      </w:r>
      <w:proofErr w:type="gramStart"/>
      <w:r>
        <w:t>weapon</w:t>
      </w:r>
      <w:proofErr w:type="gramEnd"/>
    </w:p>
    <w:p w14:paraId="6699D05A" w14:textId="77777777" w:rsidR="00E575E6" w:rsidRDefault="00E575E6" w:rsidP="00E575E6">
      <w:pPr>
        <w:pStyle w:val="NoSpacing"/>
        <w:ind w:firstLine="720"/>
      </w:pPr>
      <w:r>
        <w:t xml:space="preserve">detection. </w:t>
      </w:r>
    </w:p>
    <w:p w14:paraId="35DAEEA1" w14:textId="77777777" w:rsidR="00E575E6" w:rsidRDefault="00E575E6" w:rsidP="00E575E6">
      <w:pPr>
        <w:pStyle w:val="NoSpacing"/>
        <w:ind w:firstLine="720"/>
      </w:pPr>
    </w:p>
    <w:p w14:paraId="2B01597A" w14:textId="77777777" w:rsidR="00E575E6" w:rsidRDefault="00E575E6" w:rsidP="00E575E6">
      <w:pPr>
        <w:pStyle w:val="NoSpacing"/>
        <w:ind w:firstLine="720"/>
      </w:pPr>
      <w:r>
        <w:t>***</w:t>
      </w:r>
    </w:p>
    <w:p w14:paraId="6DD25FA1" w14:textId="77777777" w:rsidR="00E575E6" w:rsidRDefault="00E575E6" w:rsidP="00E575E6">
      <w:pPr>
        <w:pStyle w:val="NoSpacing"/>
        <w:ind w:left="720"/>
      </w:pPr>
      <w:r>
        <w:t>The Secretary cannot pursue the policy objectives of the executive branch through the power of the purse.</w:t>
      </w:r>
    </w:p>
    <w:p w14:paraId="3AAB9A2D" w14:textId="77777777" w:rsidR="00E575E6" w:rsidRDefault="00E575E6" w:rsidP="00E575E6">
      <w:pPr>
        <w:pStyle w:val="NoSpacing"/>
        <w:ind w:left="720"/>
      </w:pPr>
    </w:p>
    <w:p w14:paraId="64467F65" w14:textId="77777777" w:rsidR="00E575E6" w:rsidRDefault="00E575E6" w:rsidP="00E575E6">
      <w:pPr>
        <w:pStyle w:val="NoSpacing"/>
        <w:ind w:left="720"/>
      </w:pPr>
      <w:r>
        <w:t>***</w:t>
      </w:r>
    </w:p>
    <w:p w14:paraId="7F9237BB" w14:textId="77777777" w:rsidR="00E575E6" w:rsidRDefault="00E575E6" w:rsidP="00E575E6">
      <w:pPr>
        <w:pStyle w:val="NoSpacing"/>
      </w:pPr>
    </w:p>
    <w:p w14:paraId="2770EC4F" w14:textId="77777777" w:rsidR="00E575E6" w:rsidRDefault="00E575E6" w:rsidP="00E575E6">
      <w:pPr>
        <w:pStyle w:val="NoSpacing"/>
        <w:ind w:firstLine="720"/>
      </w:pPr>
      <w:r>
        <w:t>The loss of money is ordinarily a tangible harm. But here, the ripple effects on</w:t>
      </w:r>
    </w:p>
    <w:p w14:paraId="3226516A" w14:textId="77777777" w:rsidR="00E575E6" w:rsidRDefault="00E575E6" w:rsidP="00E575E6">
      <w:pPr>
        <w:pStyle w:val="NoSpacing"/>
        <w:ind w:firstLine="720"/>
      </w:pPr>
      <w:r>
        <w:t>budget plans, services to residents, and efforts to mitigate the harm from terrorism</w:t>
      </w:r>
    </w:p>
    <w:p w14:paraId="030E2AA0" w14:textId="77777777" w:rsidR="00E575E6" w:rsidRDefault="00E575E6" w:rsidP="00E575E6">
      <w:pPr>
        <w:pStyle w:val="NoSpacing"/>
        <w:ind w:left="720"/>
      </w:pPr>
      <w:r>
        <w:t xml:space="preserve">or natural disasters are not quantifiable. The point of funding for disaster preparedness, infrastructure security, and firefighting is that the money is an investment that generates intangible dividends in public safety and security. Losing this funding in the interim would lead to budget cuts that directly inhibit the missions of the law enforcement and fire departments that these grants were intended to support. See, e.g., [47] ¶¶ 9–12 (Assistance for Firefights Grant Program funding already awarded to the Chicago Fire Department is needed to replace end-of-life and non-compliant self-contained breathing apparatus cylinders and provide training on hazardous material safety); [53] ¶ 10 (the City of New Haven Office of Emergency Management relies on </w:t>
      </w:r>
      <w:r>
        <w:lastRenderedPageBreak/>
        <w:t>Emergency Management Performance Grant funding for 100% of its non-salary operating budget). While going without money is not an irreparable harm, going without firefighters is.”</w:t>
      </w:r>
    </w:p>
    <w:p w14:paraId="5185EACE" w14:textId="77777777" w:rsidR="00E575E6" w:rsidRDefault="00E575E6" w:rsidP="00E575E6">
      <w:pPr>
        <w:pStyle w:val="NoSpacing"/>
        <w:ind w:left="720"/>
      </w:pPr>
    </w:p>
    <w:p w14:paraId="198DC0E6" w14:textId="77777777" w:rsidR="00E575E6" w:rsidRPr="004319FA" w:rsidRDefault="00E575E6" w:rsidP="00E575E6">
      <w:pPr>
        <w:pStyle w:val="NoSpacing"/>
        <w:rPr>
          <w:b/>
          <w:bCs/>
        </w:rPr>
      </w:pPr>
      <w:r>
        <w:rPr>
          <w:b/>
        </w:rPr>
        <w:t xml:space="preserve">Legal lesson learned: The new “DEI” provisions have also led to litigation elsewhere.  </w:t>
      </w:r>
    </w:p>
    <w:p w14:paraId="6E2DFCC9" w14:textId="77777777" w:rsidR="00E575E6" w:rsidRDefault="00E575E6" w:rsidP="00E575E6">
      <w:pPr>
        <w:pStyle w:val="NoSpacing"/>
        <w:ind w:left="720"/>
      </w:pPr>
    </w:p>
    <w:p w14:paraId="7547A4ED" w14:textId="77777777" w:rsidR="00E575E6" w:rsidRDefault="00E575E6" w:rsidP="00E575E6">
      <w:pPr>
        <w:pStyle w:val="NoSpacing"/>
        <w:ind w:left="720"/>
        <w:rPr>
          <w:u w:val="single"/>
        </w:rPr>
      </w:pPr>
      <w:r>
        <w:t xml:space="preserve">Note: See November 21, </w:t>
      </w:r>
      <w:proofErr w:type="gramStart"/>
      <w:r>
        <w:t>2025</w:t>
      </w:r>
      <w:proofErr w:type="gramEnd"/>
      <w:r>
        <w:t xml:space="preserve"> injunction in </w:t>
      </w:r>
      <w:r w:rsidRPr="00197C44">
        <w:rPr>
          <w:u w:val="single"/>
        </w:rPr>
        <w:t xml:space="preserve">County of Sata Clara, et al. v. Kristi Noem, et al., </w:t>
      </w:r>
      <w:r w:rsidRPr="00AC1129">
        <w:t>by U.S. District Court Judge US District Judge William Orrick</w:t>
      </w:r>
      <w:r>
        <w:t xml:space="preserve"> in San Jose. </w:t>
      </w:r>
    </w:p>
    <w:p w14:paraId="588F0651" w14:textId="77777777" w:rsidR="00E575E6" w:rsidRDefault="00E575E6" w:rsidP="00E575E6">
      <w:pPr>
        <w:pStyle w:val="NoSpacing"/>
        <w:ind w:left="720"/>
        <w:rPr>
          <w:u w:val="single"/>
        </w:rPr>
      </w:pPr>
      <w:hyperlink r:id="rId654" w:history="1">
        <w:r w:rsidRPr="00743732">
          <w:rPr>
            <w:rStyle w:val="Hyperlink"/>
          </w:rPr>
          <w:t>https://www.courthousenews.com/wp-content/uploads/2025/11/santa-clara-v-noem-preliminary-injunction.pdf</w:t>
        </w:r>
      </w:hyperlink>
      <w:r>
        <w:rPr>
          <w:u w:val="single"/>
        </w:rPr>
        <w:t xml:space="preserve"> </w:t>
      </w:r>
    </w:p>
    <w:p w14:paraId="01F232C3" w14:textId="77777777" w:rsidR="00E575E6" w:rsidRPr="007924A1" w:rsidRDefault="00E575E6" w:rsidP="00E575E6">
      <w:pPr>
        <w:pStyle w:val="NoSpacing"/>
        <w:ind w:firstLine="720"/>
      </w:pPr>
      <w:r w:rsidRPr="00D36677">
        <w:t>“</w:t>
      </w:r>
      <w:r w:rsidRPr="007924A1">
        <w:t>Defendants’ arguments here have been soundly rejected by courts around the country,</w:t>
      </w:r>
    </w:p>
    <w:p w14:paraId="43921471" w14:textId="77777777" w:rsidR="00E575E6" w:rsidRDefault="00E575E6" w:rsidP="00E575E6">
      <w:pPr>
        <w:pStyle w:val="NoSpacing"/>
        <w:ind w:left="720"/>
      </w:pPr>
      <w:r w:rsidRPr="007924A1">
        <w:t>which have found similar agency conditional funding schemes to be unconstitutional.  The</w:t>
      </w:r>
      <w:r>
        <w:t xml:space="preserve"> </w:t>
      </w:r>
      <w:r w:rsidRPr="007924A1">
        <w:t>message to the Executive Branch in these cases is consistent: no one is above the law, and the</w:t>
      </w:r>
      <w:r>
        <w:t xml:space="preserve"> </w:t>
      </w:r>
      <w:r w:rsidRPr="007924A1">
        <w:t xml:space="preserve">separation of powers between the three branches must be </w:t>
      </w:r>
      <w:proofErr w:type="gramStart"/>
      <w:r w:rsidRPr="007924A1">
        <w:t>respected.</w:t>
      </w:r>
      <w:r>
        <w:t>”</w:t>
      </w:r>
      <w:proofErr w:type="gramEnd"/>
    </w:p>
    <w:p w14:paraId="56271655" w14:textId="77777777" w:rsidR="00E575E6" w:rsidRDefault="00E575E6" w:rsidP="00E575E6">
      <w:pPr>
        <w:pStyle w:val="NoSpacing"/>
        <w:ind w:left="720"/>
      </w:pPr>
    </w:p>
    <w:p w14:paraId="34909F35" w14:textId="77777777" w:rsidR="00E575E6" w:rsidRPr="007924A1" w:rsidRDefault="00E575E6" w:rsidP="00E575E6">
      <w:pPr>
        <w:pStyle w:val="NoSpacing"/>
        <w:ind w:left="720"/>
      </w:pPr>
      <w:r>
        <w:t>***</w:t>
      </w:r>
    </w:p>
    <w:p w14:paraId="2B389669" w14:textId="77777777" w:rsidR="00E575E6" w:rsidRDefault="00E575E6" w:rsidP="00E575E6">
      <w:pPr>
        <w:pStyle w:val="NoSpacing"/>
        <w:ind w:left="720"/>
        <w:rPr>
          <w:u w:val="single"/>
        </w:rPr>
      </w:pPr>
    </w:p>
    <w:p w14:paraId="34EF1209" w14:textId="77777777" w:rsidR="00E575E6" w:rsidRPr="006610CA" w:rsidRDefault="00E575E6" w:rsidP="00E575E6">
      <w:pPr>
        <w:pStyle w:val="NoSpacing"/>
        <w:ind w:left="720"/>
      </w:pPr>
      <w:r w:rsidRPr="006610CA">
        <w:t xml:space="preserve">Plaintiffs are the County of Santa Clara </w:t>
      </w:r>
      <w:r>
        <w:t xml:space="preserve">, </w:t>
      </w:r>
      <w:r w:rsidRPr="006610CA">
        <w:t>City and County of San Francisco</w:t>
      </w:r>
      <w:r>
        <w:t xml:space="preserve">, </w:t>
      </w:r>
      <w:r w:rsidRPr="006610CA">
        <w:t>City of Alameda</w:t>
      </w:r>
      <w:r>
        <w:t xml:space="preserve">, </w:t>
      </w:r>
      <w:r w:rsidRPr="006610CA">
        <w:t>City of Bellingham</w:t>
      </w:r>
      <w:r>
        <w:t xml:space="preserve">, </w:t>
      </w:r>
      <w:r w:rsidRPr="006610CA">
        <w:t>City of Berkeley</w:t>
      </w:r>
      <w:r>
        <w:t xml:space="preserve">, </w:t>
      </w:r>
      <w:r w:rsidRPr="006610CA">
        <w:t>City of Culver City</w:t>
      </w:r>
      <w:r>
        <w:t xml:space="preserve">, </w:t>
      </w:r>
      <w:r w:rsidRPr="006610CA">
        <w:t>City of Los Angeles</w:t>
      </w:r>
      <w:r>
        <w:t>,</w:t>
      </w:r>
      <w:r w:rsidRPr="006610CA">
        <w:t xml:space="preserve"> County</w:t>
      </w:r>
      <w:r>
        <w:t xml:space="preserve"> </w:t>
      </w:r>
      <w:r w:rsidRPr="006610CA">
        <w:t>of Los Angeles</w:t>
      </w:r>
      <w:r>
        <w:t xml:space="preserve">, </w:t>
      </w:r>
      <w:r w:rsidRPr="006610CA">
        <w:t>Los Angeles County Consolidated Fire Protection</w:t>
      </w:r>
      <w:r>
        <w:t xml:space="preserve"> </w:t>
      </w:r>
      <w:r w:rsidRPr="006610CA">
        <w:t>District</w:t>
      </w:r>
      <w:r>
        <w:t xml:space="preserve">, </w:t>
      </w:r>
      <w:r w:rsidRPr="006610CA">
        <w:t>Martin Luther King, Jr. County</w:t>
      </w:r>
      <w:r>
        <w:t xml:space="preserve">, </w:t>
      </w:r>
      <w:r w:rsidRPr="006610CA">
        <w:t>County of Marin</w:t>
      </w:r>
      <w:r>
        <w:t>, C</w:t>
      </w:r>
      <w:r w:rsidRPr="006610CA">
        <w:t>ity of Oakland</w:t>
      </w:r>
      <w:r>
        <w:t xml:space="preserve">, </w:t>
      </w:r>
      <w:r w:rsidRPr="006610CA">
        <w:t>City of Palo Alto</w:t>
      </w:r>
      <w:r>
        <w:t xml:space="preserve">, </w:t>
      </w:r>
      <w:r w:rsidRPr="006610CA">
        <w:t xml:space="preserve"> City of Pasadena</w:t>
      </w:r>
      <w:r>
        <w:t xml:space="preserve">, </w:t>
      </w:r>
      <w:r w:rsidRPr="006610CA">
        <w:t>City of Petaluma</w:t>
      </w:r>
      <w:r>
        <w:t xml:space="preserve">, </w:t>
      </w:r>
      <w:r w:rsidRPr="006610CA">
        <w:t>Pierce County, City of Sacramento</w:t>
      </w:r>
      <w:r>
        <w:t xml:space="preserve">, </w:t>
      </w:r>
      <w:r w:rsidRPr="006610CA">
        <w:t>City of San Diego</w:t>
      </w:r>
      <w:r>
        <w:t xml:space="preserve">, </w:t>
      </w:r>
      <w:r w:rsidRPr="006610CA">
        <w:t>County of San Diego</w:t>
      </w:r>
      <w:r>
        <w:t xml:space="preserve">, </w:t>
      </w:r>
      <w:r w:rsidRPr="006610CA">
        <w:t>City of San José</w:t>
      </w:r>
      <w:r>
        <w:t xml:space="preserve"> </w:t>
      </w:r>
      <w:r w:rsidRPr="006610CA">
        <w:t>(“San José”), County of San Mateo (“San Mateo County”), City of Santa Monica</w:t>
      </w:r>
      <w:r>
        <w:t xml:space="preserve">, </w:t>
      </w:r>
      <w:r w:rsidRPr="006610CA">
        <w:t>City of Santa Rosa</w:t>
      </w:r>
      <w:r>
        <w:t xml:space="preserve">, </w:t>
      </w:r>
      <w:r w:rsidRPr="006610CA">
        <w:t>Snohomish County, County of Sonoma</w:t>
      </w:r>
      <w:r>
        <w:t xml:space="preserve">, </w:t>
      </w:r>
      <w:r w:rsidRPr="006610CA">
        <w:t>Sonoma County Community Development Commission</w:t>
      </w:r>
      <w:r>
        <w:t xml:space="preserve">, </w:t>
      </w:r>
      <w:r w:rsidRPr="006610CA">
        <w:t>Sonoma County</w:t>
      </w:r>
      <w:r>
        <w:t xml:space="preserve"> </w:t>
      </w:r>
      <w:r w:rsidRPr="006610CA">
        <w:t>Water Agency</w:t>
      </w:r>
      <w:r>
        <w:t xml:space="preserve">, </w:t>
      </w:r>
      <w:r w:rsidRPr="006610CA">
        <w:t>Sonoma Valley County Sanitation District</w:t>
      </w:r>
      <w:r>
        <w:t xml:space="preserve">. </w:t>
      </w:r>
      <w:r w:rsidRPr="006610CA">
        <w:t>and the</w:t>
      </w:r>
      <w:r>
        <w:t xml:space="preserve"> </w:t>
      </w:r>
      <w:r w:rsidRPr="006610CA">
        <w:t>City of Tucson</w:t>
      </w:r>
      <w:r>
        <w:t>.</w:t>
      </w:r>
      <w:r w:rsidRPr="006610CA">
        <w:t xml:space="preserve"> </w:t>
      </w:r>
    </w:p>
    <w:p w14:paraId="5293BF95" w14:textId="77777777" w:rsidR="00E575E6" w:rsidRDefault="00E575E6" w:rsidP="00E575E6">
      <w:pPr>
        <w:pStyle w:val="NoSpacing"/>
        <w:ind w:left="720"/>
        <w:rPr>
          <w:u w:val="single"/>
        </w:rPr>
      </w:pPr>
    </w:p>
    <w:p w14:paraId="09298894" w14:textId="77777777" w:rsidR="00E575E6" w:rsidRDefault="00E575E6" w:rsidP="00E575E6">
      <w:pPr>
        <w:pStyle w:val="NoSpacing"/>
        <w:ind w:left="720"/>
      </w:pPr>
      <w:r w:rsidRPr="007924A1">
        <w:t xml:space="preserve">Note:  </w:t>
      </w:r>
      <w:r>
        <w:t xml:space="preserve">See these articles. </w:t>
      </w:r>
    </w:p>
    <w:p w14:paraId="19695A41" w14:textId="77777777" w:rsidR="00E575E6" w:rsidRDefault="00E575E6" w:rsidP="00E575E6">
      <w:pPr>
        <w:pStyle w:val="NoSpacing"/>
        <w:ind w:left="720"/>
      </w:pPr>
    </w:p>
    <w:p w14:paraId="79B823D6" w14:textId="77777777" w:rsidR="00E575E6" w:rsidRPr="008B165C" w:rsidRDefault="00E575E6" w:rsidP="00E575E6">
      <w:pPr>
        <w:pStyle w:val="NoSpacing"/>
        <w:numPr>
          <w:ilvl w:val="0"/>
          <w:numId w:val="36"/>
        </w:numPr>
        <w:rPr>
          <w:bCs/>
        </w:rPr>
      </w:pPr>
      <w:r>
        <w:t xml:space="preserve">Nov. 24, 2025: </w:t>
      </w:r>
      <w:r w:rsidRPr="008B165C">
        <w:t>Local Governments Win Injunction Against Trump Administration, Restoring Access to DHS Grants</w:t>
      </w:r>
      <w:r>
        <w:t xml:space="preserve">.  </w:t>
      </w:r>
      <w:hyperlink r:id="rId655" w:history="1">
        <w:r w:rsidRPr="00743732">
          <w:rPr>
            <w:rStyle w:val="Hyperlink"/>
          </w:rPr>
          <w:t>https://www.californiacountynews.org/news/2025/11/local-governments-win-injunction-against-trump-administration-restoring-access-dhs</w:t>
        </w:r>
      </w:hyperlink>
      <w:r>
        <w:t xml:space="preserve"> </w:t>
      </w:r>
    </w:p>
    <w:p w14:paraId="2843B9BC" w14:textId="77777777" w:rsidR="00E575E6" w:rsidRDefault="00E575E6" w:rsidP="00E575E6">
      <w:pPr>
        <w:pStyle w:val="NoSpacing"/>
        <w:ind w:left="720"/>
      </w:pPr>
    </w:p>
    <w:p w14:paraId="493937D7" w14:textId="77777777" w:rsidR="00E575E6" w:rsidRDefault="00E575E6" w:rsidP="00E575E6">
      <w:pPr>
        <w:pStyle w:val="NoSpacing"/>
        <w:ind w:left="720"/>
      </w:pPr>
    </w:p>
    <w:p w14:paraId="33200514" w14:textId="77777777" w:rsidR="00E575E6" w:rsidRDefault="00E575E6" w:rsidP="00E575E6">
      <w:pPr>
        <w:pStyle w:val="NoSpacing"/>
        <w:numPr>
          <w:ilvl w:val="0"/>
          <w:numId w:val="36"/>
        </w:numPr>
        <w:rPr>
          <w:b/>
        </w:rPr>
      </w:pPr>
      <w:r>
        <w:t xml:space="preserve">Nov. 22, 2025: </w:t>
      </w:r>
      <w:r w:rsidRPr="00BE145F">
        <w:t>Judges block Trump from cutting hundreds of millions in grants to cities, counties.</w:t>
      </w:r>
      <w:r>
        <w:rPr>
          <w:b/>
        </w:rPr>
        <w:t xml:space="preserve">   </w:t>
      </w:r>
      <w:hyperlink r:id="rId656" w:history="1">
        <w:r w:rsidRPr="00743732">
          <w:rPr>
            <w:rStyle w:val="Hyperlink"/>
            <w:b/>
          </w:rPr>
          <w:t>https://edition.cnn.com/2025/11/22/politics/judges-block-trump-cutting-grants-cities-counties-hnk</w:t>
        </w:r>
      </w:hyperlink>
      <w:r>
        <w:rPr>
          <w:b/>
        </w:rPr>
        <w:t xml:space="preserve"> </w:t>
      </w:r>
    </w:p>
    <w:p w14:paraId="6E6F9F2A" w14:textId="77777777" w:rsidR="00E575E6" w:rsidRDefault="00E575E6" w:rsidP="00E575E6"/>
    <w:p w14:paraId="1A47943E" w14:textId="77777777" w:rsidR="00E575E6" w:rsidRDefault="00E575E6" w:rsidP="00440B47">
      <w:pPr>
        <w:pStyle w:val="NoSpacing"/>
        <w:rPr>
          <w:rFonts w:ascii="Arial Black" w:hAnsi="Arial Black"/>
          <w:sz w:val="28"/>
          <w:szCs w:val="28"/>
        </w:rPr>
      </w:pPr>
    </w:p>
    <w:p w14:paraId="6B48CE44" w14:textId="77777777" w:rsidR="00E575E6" w:rsidRDefault="00E575E6" w:rsidP="00440B47">
      <w:pPr>
        <w:pStyle w:val="NoSpacing"/>
        <w:rPr>
          <w:rFonts w:ascii="Arial Black" w:hAnsi="Arial Black"/>
          <w:sz w:val="28"/>
          <w:szCs w:val="28"/>
        </w:rPr>
      </w:pPr>
    </w:p>
    <w:p w14:paraId="67D02A67" w14:textId="017B1E5F" w:rsidR="00C27E37" w:rsidRDefault="00374C8E" w:rsidP="00440B47">
      <w:pPr>
        <w:pStyle w:val="NoSpacing"/>
        <w:rPr>
          <w:rFonts w:ascii="Arial Black" w:hAnsi="Arial Black"/>
          <w:sz w:val="28"/>
          <w:szCs w:val="28"/>
        </w:rPr>
      </w:pPr>
      <w:r>
        <w:rPr>
          <w:rFonts w:ascii="Arial Black" w:hAnsi="Arial Black"/>
          <w:sz w:val="28"/>
          <w:szCs w:val="28"/>
        </w:rPr>
        <w:t>3-82</w:t>
      </w:r>
    </w:p>
    <w:p w14:paraId="5680A694" w14:textId="77777777" w:rsidR="00374C8E" w:rsidRDefault="00374C8E" w:rsidP="00440B47">
      <w:pPr>
        <w:pStyle w:val="NoSpacing"/>
        <w:rPr>
          <w:rFonts w:ascii="Arial Black" w:hAnsi="Arial Black"/>
          <w:sz w:val="28"/>
          <w:szCs w:val="28"/>
        </w:rPr>
      </w:pPr>
    </w:p>
    <w:p w14:paraId="4CDE2C22" w14:textId="77777777" w:rsidR="00374C8E" w:rsidRDefault="00374C8E" w:rsidP="00374C8E">
      <w:pPr>
        <w:pStyle w:val="NoSpacing"/>
        <w:rPr>
          <w:b/>
        </w:rPr>
      </w:pPr>
      <w:r>
        <w:rPr>
          <w:rFonts w:ascii="Arial Black" w:hAnsi="Arial Black"/>
          <w:b/>
          <w:sz w:val="28"/>
          <w:szCs w:val="28"/>
        </w:rPr>
        <w:t>IL: NAT. GUARD – CHICAGO - 7</w:t>
      </w:r>
      <w:r w:rsidRPr="00293775">
        <w:rPr>
          <w:rFonts w:ascii="Arial Black" w:hAnsi="Arial Black"/>
          <w:b/>
          <w:sz w:val="28"/>
          <w:szCs w:val="28"/>
          <w:vertAlign w:val="superscript"/>
        </w:rPr>
        <w:t>th</w:t>
      </w:r>
      <w:r>
        <w:rPr>
          <w:rFonts w:ascii="Arial Black" w:hAnsi="Arial Black"/>
          <w:b/>
          <w:sz w:val="28"/>
          <w:szCs w:val="28"/>
        </w:rPr>
        <w:t xml:space="preserve"> CIR. TEMP INJUNCTION</w:t>
      </w:r>
    </w:p>
    <w:p w14:paraId="024FE0EF" w14:textId="77777777" w:rsidR="00374C8E" w:rsidRDefault="00374C8E" w:rsidP="00374C8E">
      <w:pPr>
        <w:pStyle w:val="NoSpacing"/>
        <w:rPr>
          <w:b/>
        </w:rPr>
      </w:pPr>
    </w:p>
    <w:p w14:paraId="4D74D65D" w14:textId="77777777" w:rsidR="00374C8E" w:rsidRDefault="00374C8E" w:rsidP="00374C8E">
      <w:pPr>
        <w:pStyle w:val="NoSpacing"/>
        <w:rPr>
          <w:bCs/>
        </w:rPr>
      </w:pPr>
      <w:r>
        <w:t xml:space="preserve">On Oct. 16, 2025, in </w:t>
      </w:r>
      <w:r w:rsidRPr="0089383A">
        <w:rPr>
          <w:u w:val="single"/>
        </w:rPr>
        <w:t>State of Illinois and City of Chicago v. Donald J. Trump, et al</w:t>
      </w:r>
      <w:r>
        <w:t>., the U.S. Court of Appeals for 7</w:t>
      </w:r>
      <w:r w:rsidRPr="0089383A">
        <w:rPr>
          <w:vertAlign w:val="superscript"/>
        </w:rPr>
        <w:t>th</w:t>
      </w:r>
      <w:r>
        <w:t xml:space="preserve"> Circuit (Chicago) held (3 to 0) that temporary injunction by U.S. District Court Judge April M. Perry, </w:t>
      </w:r>
      <w:r w:rsidRPr="00DB3FA5">
        <w:t>enjoining the administration from federalizing and deploying the Guard within Illinois</w:t>
      </w:r>
      <w:r>
        <w:t xml:space="preserve">, will remain in place while the administration appeals.   </w:t>
      </w:r>
      <w:r w:rsidRPr="00923D30">
        <w:t>On September 8, 2025, the Trump administration announced</w:t>
      </w:r>
      <w:r>
        <w:t xml:space="preserve"> </w:t>
      </w:r>
      <w:r w:rsidRPr="00923D30">
        <w:t>“Operation Midway Blitz”</w:t>
      </w:r>
      <w:r>
        <w:t xml:space="preserve"> - </w:t>
      </w:r>
      <w:r w:rsidRPr="008800B0">
        <w:t xml:space="preserve">Illinois state officials opposed the deployment of the National Guard. The same day, the National Guard Bureau </w:t>
      </w:r>
    </w:p>
    <w:p w14:paraId="165087B4" w14:textId="77777777" w:rsidR="00374C8E" w:rsidRDefault="00374C8E" w:rsidP="00374C8E">
      <w:pPr>
        <w:pStyle w:val="NoSpacing"/>
        <w:rPr>
          <w:bCs/>
        </w:rPr>
      </w:pPr>
      <w:r w:rsidRPr="008800B0">
        <w:t>notified the Adjutant General of the Illinois National Guard that</w:t>
      </w:r>
      <w:r>
        <w:t xml:space="preserve"> </w:t>
      </w:r>
      <w:r w:rsidRPr="008800B0">
        <w:t>the President had authorized the mobilization of at least 300</w:t>
      </w:r>
      <w:r>
        <w:t xml:space="preserve"> </w:t>
      </w:r>
      <w:r w:rsidRPr="008800B0">
        <w:t>members of the Illinois National Guard and directed that Illinois mobilize the Guard under 32 U.S.C. § 502(f) within 2</w:t>
      </w:r>
      <w:r>
        <w:t xml:space="preserve"> </w:t>
      </w:r>
      <w:r w:rsidRPr="008800B0">
        <w:t>hours, or the Secretary of Defense would do so under Title 10.</w:t>
      </w:r>
      <w:r>
        <w:t xml:space="preserve"> </w:t>
      </w:r>
      <w:r w:rsidRPr="008127E8">
        <w:t>On October 6, 2025, plaintiffs—the State of Illinois and the</w:t>
      </w:r>
      <w:r>
        <w:t xml:space="preserve"> </w:t>
      </w:r>
      <w:r w:rsidRPr="008127E8">
        <w:t>City of Chicago—filed this lawsuit, arguing that the Trump</w:t>
      </w:r>
      <w:r>
        <w:t xml:space="preserve"> </w:t>
      </w:r>
      <w:r w:rsidRPr="008127E8">
        <w:t>administration’s orders federalizing National Guard troops in</w:t>
      </w:r>
      <w:r>
        <w:t xml:space="preserve"> </w:t>
      </w:r>
      <w:r w:rsidRPr="008127E8">
        <w:t>Illinois under 10 U.S.C. § 12406 were unlawful.</w:t>
      </w:r>
      <w:r>
        <w:t xml:space="preserve"> </w:t>
      </w:r>
      <w:hyperlink r:id="rId657" w:history="1">
        <w:r w:rsidRPr="00D86B5D">
          <w:rPr>
            <w:rStyle w:val="Hyperlink"/>
          </w:rPr>
          <w:t>https://media.ca7.uscourts.gov/cgi-</w:t>
        </w:r>
        <w:r w:rsidRPr="00D86B5D">
          <w:rPr>
            <w:rStyle w:val="Hyperlink"/>
          </w:rPr>
          <w:lastRenderedPageBreak/>
          <w:t>bin/OpinionsWeb/processWebInputExternal.pl?Submit=Display&amp;Path=Y2025/D10-16/C:25-2798:J:PerCuriam:aut:T:op:N:3439487:S:0</w:t>
        </w:r>
      </w:hyperlink>
      <w:r>
        <w:t xml:space="preserve"> </w:t>
      </w:r>
    </w:p>
    <w:p w14:paraId="2A72CDAC" w14:textId="77777777" w:rsidR="00374C8E" w:rsidRDefault="00374C8E" w:rsidP="00374C8E">
      <w:pPr>
        <w:pStyle w:val="NoSpacing"/>
        <w:rPr>
          <w:b/>
        </w:rPr>
      </w:pPr>
    </w:p>
    <w:p w14:paraId="11490BB1" w14:textId="77777777" w:rsidR="00374C8E" w:rsidRPr="008127E8" w:rsidRDefault="00374C8E" w:rsidP="00374C8E">
      <w:pPr>
        <w:pStyle w:val="NoSpacing"/>
        <w:rPr>
          <w:bCs/>
        </w:rPr>
      </w:pPr>
      <w:r w:rsidRPr="008127E8">
        <w:t>THE COURT HELD:</w:t>
      </w:r>
    </w:p>
    <w:p w14:paraId="3A522E5D" w14:textId="77777777" w:rsidR="00374C8E" w:rsidRDefault="00374C8E" w:rsidP="00374C8E">
      <w:pPr>
        <w:pStyle w:val="NoSpacing"/>
        <w:rPr>
          <w:b/>
        </w:rPr>
      </w:pPr>
    </w:p>
    <w:p w14:paraId="7DC96DF0" w14:textId="77777777" w:rsidR="00374C8E" w:rsidRDefault="00374C8E" w:rsidP="00374C8E">
      <w:pPr>
        <w:pStyle w:val="NoSpacing"/>
        <w:ind w:left="720"/>
      </w:pPr>
      <w:r>
        <w:t>“</w:t>
      </w:r>
      <w:r w:rsidRPr="00E43F32">
        <w:t>Plaintiffs argued that there is no rebellion or danger of rebellion in Illinois</w:t>
      </w:r>
      <w:r>
        <w:t xml:space="preserve"> </w:t>
      </w:r>
      <w:r w:rsidRPr="00E43F32">
        <w:t>nor is the President unable with the regular</w:t>
      </w:r>
      <w:r>
        <w:t xml:space="preserve"> </w:t>
      </w:r>
      <w:r w:rsidRPr="00E43F32">
        <w:t>forces to execute the laws of the United States</w:t>
      </w:r>
      <w:r>
        <w:t xml:space="preserve"> [10 USC 12406]. </w:t>
      </w:r>
      <w:r w:rsidRPr="00E43F32">
        <w:t xml:space="preserve"> They further</w:t>
      </w:r>
      <w:r>
        <w:t xml:space="preserve"> </w:t>
      </w:r>
      <w:r w:rsidRPr="00E43F32">
        <w:t>contended that the federalization orders violate the Posse</w:t>
      </w:r>
      <w:r>
        <w:t xml:space="preserve"> </w:t>
      </w:r>
      <w:r w:rsidRPr="00E43F32">
        <w:t>Comitatus Act, 18 U.S.C. § 1385, and the Tenth Amendment.</w:t>
      </w:r>
      <w:r>
        <w:t xml:space="preserve"> </w:t>
      </w:r>
      <w:r w:rsidRPr="00E43F32">
        <w:t>Plaintiffs sought emergency injunctive relief preventing the</w:t>
      </w:r>
      <w:r>
        <w:t xml:space="preserve"> </w:t>
      </w:r>
      <w:r w:rsidRPr="00E43F32">
        <w:t>Trump administration from federalizing and deploying National Guard troops in Illinois.</w:t>
      </w:r>
    </w:p>
    <w:p w14:paraId="338B8D52" w14:textId="77777777" w:rsidR="00374C8E" w:rsidRDefault="00374C8E" w:rsidP="00374C8E">
      <w:pPr>
        <w:pStyle w:val="NoSpacing"/>
        <w:ind w:left="720"/>
      </w:pPr>
    </w:p>
    <w:p w14:paraId="0BB94375" w14:textId="77777777" w:rsidR="00374C8E" w:rsidRPr="00E43F32" w:rsidRDefault="00374C8E" w:rsidP="00374C8E">
      <w:pPr>
        <w:pStyle w:val="NoSpacing"/>
        <w:ind w:left="720"/>
      </w:pPr>
      <w:r>
        <w:t>***</w:t>
      </w:r>
    </w:p>
    <w:p w14:paraId="5D5D899D" w14:textId="77777777" w:rsidR="00374C8E" w:rsidRPr="00E43F32" w:rsidRDefault="00374C8E" w:rsidP="00374C8E">
      <w:pPr>
        <w:pStyle w:val="NoSpacing"/>
      </w:pPr>
    </w:p>
    <w:p w14:paraId="68752905" w14:textId="77777777" w:rsidR="00374C8E" w:rsidRDefault="00374C8E" w:rsidP="00374C8E">
      <w:pPr>
        <w:pStyle w:val="NoSpacing"/>
        <w:ind w:left="720"/>
      </w:pPr>
      <w:r w:rsidRPr="00BA5389">
        <w:t xml:space="preserve">After holding a hearing and assessing the preliminary record, the </w:t>
      </w:r>
      <w:r>
        <w:t>[</w:t>
      </w:r>
      <w:proofErr w:type="spellStart"/>
      <w:r>
        <w:t>distri</w:t>
      </w:r>
      <w:proofErr w:type="spellEnd"/>
      <w:r>
        <w:t xml:space="preserve"> court on Oct. 9, 2025] </w:t>
      </w:r>
      <w:r w:rsidRPr="00BA5389">
        <w:t>granted in part plaintiffs’ request for a temporary restraining order and enjoined the federalization and deployment of the National Guard for 14 days.</w:t>
      </w:r>
    </w:p>
    <w:p w14:paraId="71B38E9D" w14:textId="77777777" w:rsidR="00374C8E" w:rsidRDefault="00374C8E" w:rsidP="00374C8E">
      <w:pPr>
        <w:pStyle w:val="NoSpacing"/>
        <w:ind w:left="720"/>
      </w:pPr>
    </w:p>
    <w:p w14:paraId="10730929" w14:textId="77777777" w:rsidR="00374C8E" w:rsidRDefault="00374C8E" w:rsidP="00374C8E">
      <w:pPr>
        <w:pStyle w:val="NoSpacing"/>
        <w:ind w:left="720"/>
      </w:pPr>
      <w:r>
        <w:t>***</w:t>
      </w:r>
    </w:p>
    <w:p w14:paraId="28332191" w14:textId="77777777" w:rsidR="00374C8E" w:rsidRDefault="00374C8E" w:rsidP="00374C8E">
      <w:pPr>
        <w:pStyle w:val="NoSpacing"/>
        <w:ind w:left="720"/>
      </w:pPr>
      <w:r>
        <w:t>The Trump administration promptly appealed. It also moved for a stay pending appeal and for an emergency administrative stay. We granted the motion for an administrative stay in part, allowing the Guard members in Illinois to remain under federal control but blocking their deployment while we considered the motion for a stay.</w:t>
      </w:r>
    </w:p>
    <w:p w14:paraId="4C9B8FF1" w14:textId="77777777" w:rsidR="00374C8E" w:rsidRDefault="00374C8E" w:rsidP="00374C8E">
      <w:pPr>
        <w:pStyle w:val="NoSpacing"/>
        <w:ind w:left="720"/>
      </w:pPr>
    </w:p>
    <w:p w14:paraId="06EDE958" w14:textId="77777777" w:rsidR="00374C8E" w:rsidRPr="00BA5389" w:rsidRDefault="00374C8E" w:rsidP="00374C8E">
      <w:pPr>
        <w:pStyle w:val="NoSpacing"/>
        <w:ind w:left="720"/>
      </w:pPr>
      <w:r>
        <w:t>***</w:t>
      </w:r>
    </w:p>
    <w:p w14:paraId="701D91CF" w14:textId="77777777" w:rsidR="00374C8E" w:rsidRDefault="00374C8E" w:rsidP="00374C8E">
      <w:pPr>
        <w:pStyle w:val="NoSpacing"/>
        <w:ind w:left="720"/>
      </w:pPr>
      <w:r w:rsidRPr="00960DC7">
        <w:t>We continue to STAY the district court’s</w:t>
      </w:r>
      <w:r>
        <w:t xml:space="preserve"> </w:t>
      </w:r>
      <w:r w:rsidRPr="00960DC7">
        <w:t>October 9, 2025, order only to the extent it enjoined the federalization of the National Guard within the state. The administration remains barred from deploying the National Guard</w:t>
      </w:r>
      <w:r>
        <w:t xml:space="preserve"> </w:t>
      </w:r>
      <w:r w:rsidRPr="00960DC7">
        <w:t>of the United States within Illinois.</w:t>
      </w:r>
      <w:r>
        <w:t>”</w:t>
      </w:r>
    </w:p>
    <w:p w14:paraId="396F9EEC" w14:textId="77777777" w:rsidR="00374C8E" w:rsidRDefault="00374C8E" w:rsidP="00374C8E">
      <w:pPr>
        <w:pStyle w:val="NoSpacing"/>
        <w:ind w:left="720"/>
      </w:pPr>
    </w:p>
    <w:p w14:paraId="0A308CCB" w14:textId="30E49ECF" w:rsidR="00374C8E" w:rsidRPr="00960DC7" w:rsidRDefault="00374C8E" w:rsidP="00374C8E">
      <w:pPr>
        <w:pStyle w:val="NoSpacing"/>
        <w:rPr>
          <w:b/>
          <w:bCs/>
        </w:rPr>
      </w:pPr>
      <w:r>
        <w:rPr>
          <w:b/>
        </w:rPr>
        <w:t xml:space="preserve">Lesson learned: Litigation over President’s authority to deploy National Guard where there is no “rebellion” will probably be finally settled by U.S. Supreme Court. </w:t>
      </w:r>
    </w:p>
    <w:p w14:paraId="0395FF0C" w14:textId="77777777" w:rsidR="00374C8E" w:rsidRPr="00960DC7" w:rsidRDefault="00374C8E" w:rsidP="00374C8E">
      <w:pPr>
        <w:pStyle w:val="NoSpacing"/>
      </w:pPr>
    </w:p>
    <w:p w14:paraId="04DD919C" w14:textId="77777777" w:rsidR="002511FF" w:rsidRDefault="002511FF" w:rsidP="00374C8E">
      <w:pPr>
        <w:pStyle w:val="NoSpacing"/>
        <w:ind w:left="720"/>
      </w:pPr>
    </w:p>
    <w:p w14:paraId="670CE1C5" w14:textId="77777777" w:rsidR="002511FF" w:rsidRDefault="002511FF" w:rsidP="00374C8E">
      <w:pPr>
        <w:pStyle w:val="NoSpacing"/>
        <w:ind w:left="720"/>
      </w:pPr>
    </w:p>
    <w:p w14:paraId="0E308F51" w14:textId="77777777" w:rsidR="002511FF" w:rsidRDefault="002511FF" w:rsidP="00374C8E">
      <w:pPr>
        <w:pStyle w:val="NoSpacing"/>
        <w:ind w:left="720"/>
      </w:pPr>
    </w:p>
    <w:p w14:paraId="78424A68" w14:textId="77777777" w:rsidR="002511FF" w:rsidRPr="005A2D83" w:rsidRDefault="002511FF" w:rsidP="002511FF">
      <w:pPr>
        <w:pStyle w:val="NoSpacing"/>
        <w:ind w:left="720"/>
        <w:rPr>
          <w:bCs/>
        </w:rPr>
      </w:pPr>
      <w:r>
        <w:t xml:space="preserve">See Oct. 16, </w:t>
      </w:r>
      <w:proofErr w:type="gramStart"/>
      <w:r>
        <w:t>2025</w:t>
      </w:r>
      <w:proofErr w:type="gramEnd"/>
      <w:r>
        <w:t xml:space="preserve"> article: </w:t>
      </w:r>
      <w:r w:rsidRPr="005A2D83">
        <w:t xml:space="preserve">Appeals Court Upholds Federal Judge’s Temporary Order Blocking National Guard Deployment in Chicago Area </w:t>
      </w:r>
    </w:p>
    <w:p w14:paraId="54DCCFDC" w14:textId="222D6255" w:rsidR="002511FF" w:rsidRDefault="002511FF" w:rsidP="002511FF">
      <w:pPr>
        <w:pStyle w:val="NoSpacing"/>
        <w:ind w:left="720"/>
      </w:pPr>
      <w:hyperlink r:id="rId658" w:history="1">
        <w:r w:rsidRPr="00B5246F">
          <w:rPr>
            <w:rStyle w:val="Hyperlink"/>
          </w:rPr>
          <w:t>https://news.wttw.com/2025/10/16/appeals-court-upholds-federal-judge-s-temporary-order-blocking-national-guard-deployment</w:t>
        </w:r>
      </w:hyperlink>
    </w:p>
    <w:p w14:paraId="61CF5E70" w14:textId="77777777" w:rsidR="002511FF" w:rsidRDefault="002511FF" w:rsidP="00374C8E">
      <w:pPr>
        <w:pStyle w:val="NoSpacing"/>
        <w:ind w:left="720"/>
      </w:pPr>
    </w:p>
    <w:p w14:paraId="63275DB1" w14:textId="77777777" w:rsidR="002511FF" w:rsidRDefault="002511FF" w:rsidP="00374C8E">
      <w:pPr>
        <w:pStyle w:val="NoSpacing"/>
        <w:ind w:left="720"/>
      </w:pPr>
    </w:p>
    <w:p w14:paraId="2C6624C9" w14:textId="6B66D5DD" w:rsidR="00374C8E" w:rsidRDefault="00374C8E" w:rsidP="00374C8E">
      <w:pPr>
        <w:pStyle w:val="NoSpacing"/>
        <w:ind w:left="720"/>
        <w:rPr>
          <w:b/>
        </w:rPr>
      </w:pPr>
      <w:r w:rsidRPr="00913BE0">
        <w:t>See</w:t>
      </w:r>
      <w:r>
        <w:t xml:space="preserve"> the</w:t>
      </w:r>
      <w:r w:rsidRPr="00913BE0">
        <w:t xml:space="preserve"> Port</w:t>
      </w:r>
      <w:r>
        <w:t>l</w:t>
      </w:r>
      <w:r w:rsidRPr="00913BE0">
        <w:t xml:space="preserve">and, Oregon </w:t>
      </w:r>
      <w:r>
        <w:t xml:space="preserve">Oct. 4, </w:t>
      </w:r>
      <w:proofErr w:type="gramStart"/>
      <w:r>
        <w:t>2025</w:t>
      </w:r>
      <w:proofErr w:type="gramEnd"/>
      <w:r>
        <w:t xml:space="preserve"> </w:t>
      </w:r>
      <w:r w:rsidRPr="00913BE0">
        <w:t>temporary restraining order</w:t>
      </w:r>
      <w:r>
        <w:rPr>
          <w:b/>
        </w:rPr>
        <w:t xml:space="preserve">:  </w:t>
      </w:r>
      <w:hyperlink r:id="rId659" w:history="1">
        <w:r w:rsidRPr="00F13728">
          <w:rPr>
            <w:rStyle w:val="Hyperlink"/>
            <w:b/>
          </w:rPr>
          <w:t>https://www.portland.gov/federal/documents/10-4-2025-state-city-v-trump-temporary-restraining-order-granted/download</w:t>
        </w:r>
      </w:hyperlink>
      <w:r>
        <w:rPr>
          <w:b/>
        </w:rPr>
        <w:t xml:space="preserve"> </w:t>
      </w:r>
    </w:p>
    <w:p w14:paraId="659DFA0D" w14:textId="77777777" w:rsidR="00374C8E" w:rsidRDefault="00374C8E" w:rsidP="00374C8E">
      <w:pPr>
        <w:pStyle w:val="NoSpacing"/>
        <w:ind w:left="720"/>
        <w:rPr>
          <w:bCs/>
        </w:rPr>
      </w:pPr>
    </w:p>
    <w:p w14:paraId="6B9FD426" w14:textId="788EA60D" w:rsidR="00374C8E" w:rsidRDefault="00374C8E" w:rsidP="002511FF">
      <w:pPr>
        <w:pStyle w:val="NoSpacing"/>
        <w:ind w:firstLine="720"/>
        <w:rPr>
          <w:rFonts w:ascii="Arial Black" w:hAnsi="Arial Black"/>
          <w:sz w:val="28"/>
          <w:szCs w:val="28"/>
        </w:rPr>
      </w:pPr>
      <w:r w:rsidRPr="002C508F">
        <w:t xml:space="preserve">9th Circuit </w:t>
      </w:r>
      <w:r>
        <w:t xml:space="preserve">Oct. 30, </w:t>
      </w:r>
      <w:proofErr w:type="gramStart"/>
      <w:r>
        <w:t>2025</w:t>
      </w:r>
      <w:proofErr w:type="gramEnd"/>
      <w:r>
        <w:t xml:space="preserve"> </w:t>
      </w:r>
      <w:r w:rsidRPr="002C508F">
        <w:t xml:space="preserve">stay: </w:t>
      </w:r>
      <w:hyperlink r:id="rId660" w:history="1">
        <w:r w:rsidRPr="002C508F">
          <w:rPr>
            <w:rStyle w:val="Hyperlink"/>
          </w:rPr>
          <w:t>https://cdn.ca9.uscourts.gov/datastore/opinions/2025/10/30/25-6268.pdf</w:t>
        </w:r>
      </w:hyperlink>
    </w:p>
    <w:p w14:paraId="5F9C26A2" w14:textId="77777777" w:rsidR="00374C8E" w:rsidRDefault="00374C8E" w:rsidP="00440B47">
      <w:pPr>
        <w:pStyle w:val="NoSpacing"/>
        <w:rPr>
          <w:rFonts w:ascii="Arial Black" w:hAnsi="Arial Black"/>
          <w:sz w:val="28"/>
          <w:szCs w:val="28"/>
        </w:rPr>
      </w:pPr>
    </w:p>
    <w:p w14:paraId="2F25814D" w14:textId="77777777" w:rsidR="00374C8E" w:rsidRDefault="00374C8E" w:rsidP="00440B47">
      <w:pPr>
        <w:pStyle w:val="NoSpacing"/>
        <w:rPr>
          <w:rFonts w:ascii="Arial Black" w:hAnsi="Arial Black"/>
          <w:sz w:val="28"/>
          <w:szCs w:val="28"/>
        </w:rPr>
      </w:pPr>
    </w:p>
    <w:p w14:paraId="2FE5464B" w14:textId="521877B1" w:rsidR="00C27E37" w:rsidRDefault="004D0741" w:rsidP="00440B47">
      <w:pPr>
        <w:pStyle w:val="NoSpacing"/>
        <w:rPr>
          <w:rFonts w:ascii="Arial Black" w:hAnsi="Arial Black"/>
          <w:sz w:val="28"/>
          <w:szCs w:val="28"/>
        </w:rPr>
      </w:pPr>
      <w:r>
        <w:rPr>
          <w:rFonts w:ascii="Arial Black" w:hAnsi="Arial Black"/>
          <w:sz w:val="28"/>
          <w:szCs w:val="28"/>
        </w:rPr>
        <w:t>3-81</w:t>
      </w:r>
    </w:p>
    <w:p w14:paraId="204B4A66" w14:textId="77777777" w:rsidR="00C27E37" w:rsidRDefault="00C27E37" w:rsidP="00440B47">
      <w:pPr>
        <w:pStyle w:val="NoSpacing"/>
        <w:rPr>
          <w:rFonts w:ascii="Arial Black" w:hAnsi="Arial Black"/>
          <w:sz w:val="28"/>
          <w:szCs w:val="28"/>
        </w:rPr>
      </w:pPr>
    </w:p>
    <w:p w14:paraId="273EC7A4" w14:textId="28553262" w:rsidR="00440B47" w:rsidRDefault="00440B47" w:rsidP="00440B47">
      <w:pPr>
        <w:pStyle w:val="NoSpacing"/>
        <w:rPr>
          <w:rFonts w:ascii="Arial Black" w:hAnsi="Arial Black"/>
          <w:bCs/>
          <w:sz w:val="28"/>
          <w:szCs w:val="28"/>
        </w:rPr>
      </w:pPr>
      <w:r>
        <w:rPr>
          <w:rFonts w:ascii="Arial Black" w:hAnsi="Arial Black"/>
          <w:sz w:val="28"/>
          <w:szCs w:val="28"/>
        </w:rPr>
        <w:t>RI: FEMA – DISASTER GRANTS – SANCTUARY STATES INJUN</w:t>
      </w:r>
      <w:r w:rsidR="005262E1">
        <w:rPr>
          <w:rFonts w:ascii="Arial Black" w:hAnsi="Arial Black"/>
          <w:sz w:val="28"/>
          <w:szCs w:val="28"/>
        </w:rPr>
        <w:t>CTION</w:t>
      </w:r>
    </w:p>
    <w:p w14:paraId="2E7DB45F" w14:textId="77777777" w:rsidR="00440B47" w:rsidRDefault="00440B47" w:rsidP="00440B47">
      <w:pPr>
        <w:pStyle w:val="NoSpacing"/>
        <w:rPr>
          <w:bCs/>
        </w:rPr>
      </w:pPr>
    </w:p>
    <w:p w14:paraId="277D7987" w14:textId="77777777" w:rsidR="00440B47" w:rsidRDefault="00440B47" w:rsidP="00440B47">
      <w:pPr>
        <w:pStyle w:val="NoSpacing"/>
        <w:rPr>
          <w:bCs/>
        </w:rPr>
      </w:pPr>
      <w:r>
        <w:lastRenderedPageBreak/>
        <w:t xml:space="preserve">On September 24, 2025, in </w:t>
      </w:r>
      <w:r w:rsidRPr="00317F99">
        <w:rPr>
          <w:u w:val="single"/>
        </w:rPr>
        <w:t>State of Illinois, et al. v. Federal Emergency Management Agency</w:t>
      </w:r>
      <w:r>
        <w:t xml:space="preserve">, Senior U.S. District Court Judge William E. Smith, United States District Court for the District of Rhode Island, granted permanent injunction; 20 states and the District of Columbia challenged President Trump’s Jan. 30, 2025 Executive Order that directed DHS </w:t>
      </w:r>
      <w:r w:rsidRPr="00B939B2">
        <w:t>to “ensure that so-called ‘sanctuary’ jurisdictions</w:t>
      </w:r>
      <w:r>
        <w:t xml:space="preserve"> </w:t>
      </w:r>
      <w:r w:rsidRPr="00B939B2">
        <w:t>do not receive access to federal funds</w:t>
      </w:r>
      <w:r>
        <w:t xml:space="preserve">.”  On July 23, </w:t>
      </w:r>
      <w:proofErr w:type="gramStart"/>
      <w:r>
        <w:t>2025</w:t>
      </w:r>
      <w:proofErr w:type="gramEnd"/>
      <w:r>
        <w:t xml:space="preserve"> FEMA advised the Court </w:t>
      </w:r>
      <w:r w:rsidRPr="009F7CB3">
        <w:t>that DHS</w:t>
      </w:r>
      <w:r>
        <w:t xml:space="preserve"> </w:t>
      </w:r>
      <w:r w:rsidRPr="009F7CB3">
        <w:t xml:space="preserve">had made a </w:t>
      </w:r>
      <w:r>
        <w:t>“</w:t>
      </w:r>
      <w:r w:rsidRPr="009F7CB3">
        <w:t>final determination</w:t>
      </w:r>
      <w:r>
        <w:t>”</w:t>
      </w:r>
      <w:r w:rsidRPr="009F7CB3">
        <w:t xml:space="preserve"> that the contested conditions</w:t>
      </w:r>
      <w:r>
        <w:t xml:space="preserve"> </w:t>
      </w:r>
      <w:r w:rsidRPr="009F7CB3">
        <w:t>would not apply to forty of the grants listed in the Amended</w:t>
      </w:r>
      <w:r>
        <w:t xml:space="preserve"> </w:t>
      </w:r>
      <w:r w:rsidRPr="009F7CB3">
        <w:t>Complaint</w:t>
      </w:r>
      <w:r>
        <w:t xml:space="preserve"> related is disaster relief</w:t>
      </w:r>
      <w:r w:rsidRPr="009F7CB3">
        <w:t>.</w:t>
      </w:r>
      <w:r>
        <w:t xml:space="preserve">  </w:t>
      </w:r>
    </w:p>
    <w:p w14:paraId="13AC01CB" w14:textId="77777777" w:rsidR="00440B47" w:rsidRDefault="00440B47" w:rsidP="00440B47">
      <w:pPr>
        <w:pStyle w:val="NoSpacing"/>
        <w:rPr>
          <w:bCs/>
        </w:rPr>
      </w:pPr>
    </w:p>
    <w:p w14:paraId="48CD82BE" w14:textId="77777777" w:rsidR="00440B47" w:rsidRPr="00F8047E" w:rsidRDefault="00440B47" w:rsidP="00440B47">
      <w:pPr>
        <w:pStyle w:val="NoSpacing"/>
        <w:rPr>
          <w:bCs/>
        </w:rPr>
      </w:pPr>
      <w:r w:rsidRPr="00B939B2">
        <w:rPr>
          <w:b/>
        </w:rPr>
        <w:t>THE COURT HELD</w:t>
      </w:r>
      <w:r>
        <w:t>: “[T]</w:t>
      </w:r>
      <w:r w:rsidRPr="00E033D4">
        <w:t>he grants at issue fund programs</w:t>
      </w:r>
      <w:r>
        <w:t xml:space="preserve"> </w:t>
      </w:r>
      <w:r w:rsidRPr="00E033D4">
        <w:t>such as disaster relief, fire safety, dam safety, and emergency</w:t>
      </w:r>
      <w:r>
        <w:t xml:space="preserve"> </w:t>
      </w:r>
      <w:r w:rsidRPr="00E033D4">
        <w:t>preparedness</w:t>
      </w:r>
      <w:r>
        <w:t xml:space="preserve">…. </w:t>
      </w:r>
      <w:r w:rsidRPr="00456A91">
        <w:t>The record shows that states rely on these grants for billions of</w:t>
      </w:r>
      <w:r>
        <w:t xml:space="preserve"> </w:t>
      </w:r>
      <w:r w:rsidRPr="00456A91">
        <w:t>dollars annually in disaster relief and public safety funds that</w:t>
      </w:r>
      <w:r>
        <w:t xml:space="preserve"> </w:t>
      </w:r>
      <w:r w:rsidRPr="00456A91">
        <w:t>cannot be replaced by state revenues. Denying such funding if</w:t>
      </w:r>
      <w:r>
        <w:t xml:space="preserve"> </w:t>
      </w:r>
      <w:r w:rsidRPr="00456A91">
        <w:t>states refuse to comply with vague immigration requirements leaves</w:t>
      </w:r>
      <w:r>
        <w:t xml:space="preserve"> </w:t>
      </w:r>
      <w:r w:rsidRPr="00456A91">
        <w:t>them with no meaningful choice, particularly where state budgets</w:t>
      </w:r>
      <w:r>
        <w:t xml:space="preserve"> </w:t>
      </w:r>
      <w:r w:rsidRPr="00456A91">
        <w:t>are already committed</w:t>
      </w:r>
      <w:r>
        <w:t xml:space="preserve">…. </w:t>
      </w:r>
      <w:r w:rsidRPr="00316405">
        <w:t xml:space="preserve">Here, DHS </w:t>
      </w:r>
      <w:proofErr w:type="gramStart"/>
      <w:r w:rsidRPr="00316405">
        <w:t>required</w:t>
      </w:r>
      <w:proofErr w:type="gramEnd"/>
      <w:r w:rsidRPr="00316405">
        <w:t xml:space="preserve"> states to</w:t>
      </w:r>
      <w:r>
        <w:t xml:space="preserve"> </w:t>
      </w:r>
      <w:r w:rsidRPr="00316405">
        <w:t xml:space="preserve">provide </w:t>
      </w:r>
      <w:r>
        <w:t>‘</w:t>
      </w:r>
      <w:r w:rsidRPr="00316405">
        <w:t>cooperation</w:t>
      </w:r>
      <w:r>
        <w:t>’</w:t>
      </w:r>
      <w:r w:rsidRPr="00316405">
        <w:t xml:space="preserve"> and participate in </w:t>
      </w:r>
      <w:r>
        <w:t>‘</w:t>
      </w:r>
      <w:r w:rsidRPr="00316405">
        <w:t xml:space="preserve">joint </w:t>
      </w:r>
      <w:proofErr w:type="gramStart"/>
      <w:r w:rsidRPr="00316405">
        <w:t>operations</w:t>
      </w:r>
      <w:r>
        <w:t>’</w:t>
      </w:r>
      <w:r w:rsidRPr="00316405">
        <w:t xml:space="preserve"> and</w:t>
      </w:r>
      <w:r>
        <w:t xml:space="preserve"> ‘</w:t>
      </w:r>
      <w:proofErr w:type="gramEnd"/>
      <w:r w:rsidRPr="00316405">
        <w:t xml:space="preserve">information </w:t>
      </w:r>
      <w:proofErr w:type="gramStart"/>
      <w:r w:rsidRPr="00316405">
        <w:t>sharing,</w:t>
      </w:r>
      <w:r>
        <w:t>’</w:t>
      </w:r>
      <w:proofErr w:type="gramEnd"/>
      <w:r w:rsidRPr="00316405">
        <w:t xml:space="preserve"> but without defining what compliance</w:t>
      </w:r>
      <w:r>
        <w:t xml:space="preserve"> </w:t>
      </w:r>
      <w:r w:rsidRPr="00316405">
        <w:t>entails. Likewise, the prohibition on operating programs that</w:t>
      </w:r>
      <w:r>
        <w:t xml:space="preserve"> ‘</w:t>
      </w:r>
      <w:r w:rsidRPr="00316405">
        <w:t>benefit illegal immigrants</w:t>
      </w:r>
      <w:r>
        <w:t>’</w:t>
      </w:r>
      <w:r w:rsidRPr="00316405">
        <w:t xml:space="preserve"> or </w:t>
      </w:r>
      <w:r>
        <w:t>‘</w:t>
      </w:r>
      <w:r w:rsidRPr="00316405">
        <w:t>incentivize illegal immigration</w:t>
      </w:r>
      <w:r>
        <w:t xml:space="preserve">’ </w:t>
      </w:r>
      <w:r w:rsidRPr="00316405">
        <w:t>provides no meaningful standards and is hopelessly vague</w:t>
      </w:r>
      <w:r>
        <w:t xml:space="preserve">…. </w:t>
      </w:r>
      <w:r w:rsidRPr="00F8047E">
        <w:t xml:space="preserve">The holding in </w:t>
      </w:r>
      <w:r w:rsidRPr="00F8047E">
        <w:rPr>
          <w:i/>
          <w:iCs/>
        </w:rPr>
        <w:t>Trump v. Casa</w:t>
      </w:r>
      <w:r w:rsidRPr="00F8047E">
        <w:t xml:space="preserve"> restricted universal</w:t>
      </w:r>
      <w:r>
        <w:t xml:space="preserve"> </w:t>
      </w:r>
      <w:r w:rsidRPr="00F8047E">
        <w:t>injunctions, but the Court expressly left unaffected the APA’s</w:t>
      </w:r>
    </w:p>
    <w:p w14:paraId="0F1D7D21" w14:textId="77777777" w:rsidR="00440B47" w:rsidRPr="000518C3" w:rsidRDefault="00440B47" w:rsidP="00440B47">
      <w:pPr>
        <w:pStyle w:val="NoSpacing"/>
        <w:rPr>
          <w:bCs/>
        </w:rPr>
      </w:pPr>
      <w:r w:rsidRPr="00F8047E">
        <w:t xml:space="preserve">command to </w:t>
      </w:r>
      <w:r>
        <w:t>‘</w:t>
      </w:r>
      <w:r w:rsidRPr="00F8047E">
        <w:t>set aside</w:t>
      </w:r>
      <w:r>
        <w:t>’</w:t>
      </w:r>
      <w:r w:rsidRPr="00F8047E">
        <w:t xml:space="preserve"> unlawful agency action. 606 U.S. 831, 847</w:t>
      </w:r>
      <w:r>
        <w:t xml:space="preserve"> </w:t>
      </w:r>
      <w:r w:rsidRPr="00F8047E">
        <w:t>n.10 (2025) (</w:t>
      </w:r>
      <w:r>
        <w:t>‘</w:t>
      </w:r>
      <w:r w:rsidRPr="00F8047E">
        <w:t>Nothing we say today resolves the distinct question</w:t>
      </w:r>
      <w:r>
        <w:t xml:space="preserve"> </w:t>
      </w:r>
      <w:r w:rsidRPr="00F8047E">
        <w:t>whether the Administrative Procedure Act authorizes federal courts</w:t>
      </w:r>
      <w:r>
        <w:t xml:space="preserve"> </w:t>
      </w:r>
      <w:r w:rsidRPr="00F8047E">
        <w:t>to vacate agency action.</w:t>
      </w:r>
      <w:r>
        <w:t>’</w:t>
      </w:r>
      <w:r w:rsidRPr="00F8047E">
        <w:t>).</w:t>
      </w:r>
      <w:r>
        <w:t xml:space="preserve"> </w:t>
      </w:r>
      <w:r w:rsidRPr="000518C3">
        <w:t>vacatur under the APA remains, for now, a valid remedy.</w:t>
      </w:r>
    </w:p>
    <w:p w14:paraId="7956271D" w14:textId="77777777" w:rsidR="00440B47" w:rsidRPr="000518C3" w:rsidRDefault="00440B47" w:rsidP="00440B47">
      <w:pPr>
        <w:pStyle w:val="NoSpacing"/>
        <w:rPr>
          <w:bCs/>
        </w:rPr>
      </w:pPr>
      <w:r w:rsidRPr="000518C3">
        <w:t>Based on its findings above, the Court declares that the</w:t>
      </w:r>
      <w:r>
        <w:t xml:space="preserve"> </w:t>
      </w:r>
      <w:r w:rsidRPr="000518C3">
        <w:t>contested conditions are both arbitrary and capricious under the</w:t>
      </w:r>
      <w:r>
        <w:t xml:space="preserve"> </w:t>
      </w:r>
      <w:r w:rsidRPr="000518C3">
        <w:t>APA and unconstitutional under the Spending Clause. As such, the</w:t>
      </w:r>
    </w:p>
    <w:p w14:paraId="7927725A" w14:textId="77777777" w:rsidR="00440B47" w:rsidRPr="000518C3" w:rsidRDefault="00440B47" w:rsidP="00440B47">
      <w:pPr>
        <w:pStyle w:val="NoSpacing"/>
        <w:rPr>
          <w:bCs/>
        </w:rPr>
      </w:pPr>
      <w:r w:rsidRPr="000518C3">
        <w:t>contested conditions are vacated.</w:t>
      </w:r>
      <w:r>
        <w:t xml:space="preserve"> </w:t>
      </w:r>
      <w:proofErr w:type="gramStart"/>
      <w:r w:rsidRPr="000518C3">
        <w:t>In light of</w:t>
      </w:r>
      <w:proofErr w:type="gramEnd"/>
      <w:r w:rsidRPr="000518C3">
        <w:t xml:space="preserve"> this holding, a permanent injunction enjoining</w:t>
      </w:r>
    </w:p>
    <w:p w14:paraId="795AD968" w14:textId="77777777" w:rsidR="00440B47" w:rsidRDefault="00440B47" w:rsidP="00440B47">
      <w:pPr>
        <w:pStyle w:val="NoSpacing"/>
        <w:rPr>
          <w:bCs/>
        </w:rPr>
      </w:pPr>
      <w:r w:rsidRPr="000518C3">
        <w:t>Defendants from enforcing the contested conditions against</w:t>
      </w:r>
      <w:r>
        <w:t xml:space="preserve"> </w:t>
      </w:r>
      <w:r w:rsidRPr="000518C3">
        <w:t>Plaintiff States is also appropriate.</w:t>
      </w:r>
      <w:r>
        <w:t>”</w:t>
      </w:r>
      <w:r w:rsidRPr="00546A34">
        <w:t xml:space="preserve"> </w:t>
      </w:r>
      <w:hyperlink r:id="rId661" w:history="1">
        <w:r w:rsidRPr="00CC0A54">
          <w:rPr>
            <w:rStyle w:val="Hyperlink"/>
          </w:rPr>
          <w:t>https://rhodeislandcurrent.com/wp-content/uploads/2025/09/IL-v.-FEMA-1.pdf</w:t>
        </w:r>
      </w:hyperlink>
      <w:r>
        <w:t xml:space="preserve"> </w:t>
      </w:r>
    </w:p>
    <w:p w14:paraId="2D536E95" w14:textId="77777777" w:rsidR="00440B47" w:rsidRDefault="00440B47" w:rsidP="00440B47">
      <w:pPr>
        <w:pStyle w:val="NoSpacing"/>
        <w:rPr>
          <w:bCs/>
        </w:rPr>
      </w:pPr>
    </w:p>
    <w:p w14:paraId="74C61115" w14:textId="77777777" w:rsidR="00440B47" w:rsidRPr="0039608F" w:rsidRDefault="00440B47" w:rsidP="00440B47">
      <w:pPr>
        <w:pStyle w:val="NoSpacing"/>
        <w:rPr>
          <w:b/>
        </w:rPr>
      </w:pPr>
      <w:r w:rsidRPr="0039608F">
        <w:rPr>
          <w:b/>
        </w:rPr>
        <w:t>KEY FACTS:</w:t>
      </w:r>
    </w:p>
    <w:p w14:paraId="6D8A535A" w14:textId="77777777" w:rsidR="00440B47" w:rsidRDefault="00440B47" w:rsidP="00440B47">
      <w:pPr>
        <w:pStyle w:val="NoSpacing"/>
        <w:rPr>
          <w:bCs/>
        </w:rPr>
      </w:pPr>
    </w:p>
    <w:p w14:paraId="6EACA64B" w14:textId="77777777" w:rsidR="00440B47" w:rsidRDefault="00440B47" w:rsidP="00440B47">
      <w:pPr>
        <w:pStyle w:val="NoSpacing"/>
        <w:ind w:left="720"/>
        <w:rPr>
          <w:bCs/>
        </w:rPr>
      </w:pPr>
      <w:r>
        <w:t>“</w:t>
      </w:r>
      <w:r w:rsidRPr="004E1E96">
        <w:t>DHS</w:t>
      </w:r>
      <w:r>
        <w:t xml:space="preserve"> </w:t>
      </w:r>
      <w:r w:rsidRPr="004E1E96">
        <w:t>Secretary Kristi Noem issued a memorandum on February 19 titled</w:t>
      </w:r>
      <w:r>
        <w:t xml:space="preserve"> ‘</w:t>
      </w:r>
      <w:r w:rsidRPr="004E1E96">
        <w:t>Restricting Grant Funding for Sanctuary Jurisdictions.</w:t>
      </w:r>
      <w:r>
        <w:t>’ …  T</w:t>
      </w:r>
      <w:r w:rsidRPr="00905FE2">
        <w:t>his memorandum instructed DHS’s sub-agencies to</w:t>
      </w:r>
      <w:r>
        <w:t xml:space="preserve"> </w:t>
      </w:r>
      <w:r w:rsidRPr="00905FE2">
        <w:t>“review all federal financial assistance awards” to identify funds</w:t>
      </w:r>
      <w:r>
        <w:t xml:space="preserve"> </w:t>
      </w:r>
      <w:r w:rsidRPr="00905FE2">
        <w:t>being distributed to sanctuary jurisdictions, and report</w:t>
      </w:r>
      <w:r>
        <w:t xml:space="preserve"> </w:t>
      </w:r>
      <w:r w:rsidRPr="00905FE2">
        <w:t>compliance within thirty days</w:t>
      </w:r>
      <w:r>
        <w:t>…. C</w:t>
      </w:r>
      <w:r w:rsidRPr="00C046DF">
        <w:t>ameron Hamilton, then serving as the Senior Official</w:t>
      </w:r>
      <w:r>
        <w:t xml:space="preserve"> P</w:t>
      </w:r>
      <w:r w:rsidRPr="00C046DF">
        <w:t>erforming the Duties of FEMA Administrator</w:t>
      </w:r>
      <w:r>
        <w:t xml:space="preserve"> </w:t>
      </w:r>
      <w:r w:rsidRPr="002440B3">
        <w:t>subsequently sent a</w:t>
      </w:r>
      <w:r>
        <w:t xml:space="preserve"> </w:t>
      </w:r>
      <w:r w:rsidRPr="002440B3">
        <w:t>memorandum to Secretary Noem identifying twelve FEMA programs</w:t>
      </w:r>
      <w:r>
        <w:t xml:space="preserve"> </w:t>
      </w:r>
      <w:r w:rsidRPr="002440B3">
        <w:t>that, in his view, could lawfully be withheld from sanctuary</w:t>
      </w:r>
      <w:r>
        <w:t xml:space="preserve"> </w:t>
      </w:r>
      <w:r w:rsidRPr="002440B3">
        <w:t xml:space="preserve">states. He </w:t>
      </w:r>
      <w:proofErr w:type="gramStart"/>
      <w:r w:rsidRPr="002440B3">
        <w:t>recommended against</w:t>
      </w:r>
      <w:proofErr w:type="gramEnd"/>
      <w:r w:rsidRPr="002440B3">
        <w:t xml:space="preserve"> applying limiting conditions to</w:t>
      </w:r>
      <w:r>
        <w:t xml:space="preserve"> </w:t>
      </w:r>
      <w:r w:rsidRPr="002440B3">
        <w:t>disaster grants, non-disaster mitigation grants, fire departments,</w:t>
      </w:r>
      <w:r>
        <w:t xml:space="preserve"> </w:t>
      </w:r>
      <w:r w:rsidRPr="002440B3">
        <w:t>and similar organizations.</w:t>
      </w:r>
    </w:p>
    <w:p w14:paraId="70747C29" w14:textId="77777777" w:rsidR="00440B47" w:rsidRDefault="00440B47" w:rsidP="00440B47">
      <w:pPr>
        <w:pStyle w:val="NoSpacing"/>
        <w:ind w:left="720"/>
        <w:rPr>
          <w:bCs/>
        </w:rPr>
      </w:pPr>
    </w:p>
    <w:p w14:paraId="3FCC26E8" w14:textId="77777777" w:rsidR="00440B47" w:rsidRDefault="00440B47" w:rsidP="00440B47">
      <w:pPr>
        <w:pStyle w:val="NoSpacing"/>
        <w:ind w:left="720"/>
        <w:rPr>
          <w:bCs/>
        </w:rPr>
      </w:pPr>
      <w:r w:rsidRPr="002167E9">
        <w:t>On March 27, DHS revised the standard terms and conditions</w:t>
      </w:r>
      <w:r>
        <w:t xml:space="preserve"> </w:t>
      </w:r>
      <w:r w:rsidRPr="002167E9">
        <w:t>governing all federal grants it oversees, adding provisions</w:t>
      </w:r>
      <w:r>
        <w:t xml:space="preserve"> </w:t>
      </w:r>
      <w:r w:rsidRPr="002167E9">
        <w:t>requiring state and local recipients to certify that they will</w:t>
      </w:r>
      <w:r>
        <w:t xml:space="preserve"> </w:t>
      </w:r>
      <w:r w:rsidRPr="002167E9">
        <w:t>assist in enforcing federal immigration law</w:t>
      </w:r>
      <w:r>
        <w:t xml:space="preserve">…. </w:t>
      </w:r>
      <w:r w:rsidRPr="00280317">
        <w:t>A revised version of these terms and conditions was issued</w:t>
      </w:r>
      <w:r>
        <w:t xml:space="preserve"> </w:t>
      </w:r>
      <w:r w:rsidRPr="00280317">
        <w:t>on April 18; that version remains in effect today</w:t>
      </w:r>
      <w:r>
        <w:t xml:space="preserve">…. </w:t>
      </w:r>
      <w:r w:rsidRPr="00D11607">
        <w:t>Plaintiff States filed this action on May 13, seeking</w:t>
      </w:r>
      <w:r>
        <w:t xml:space="preserve"> </w:t>
      </w:r>
      <w:r w:rsidRPr="00145D8E">
        <w:t>declaratory and injunctive relief on the grounds that the contested</w:t>
      </w:r>
      <w:r>
        <w:t xml:space="preserve"> </w:t>
      </w:r>
      <w:r w:rsidRPr="00145D8E">
        <w:t>conditions are unlawful</w:t>
      </w:r>
      <w:r>
        <w:t xml:space="preserve">…. </w:t>
      </w:r>
    </w:p>
    <w:p w14:paraId="15FD6F6C" w14:textId="77777777" w:rsidR="00440B47" w:rsidRDefault="00440B47" w:rsidP="00440B47">
      <w:pPr>
        <w:pStyle w:val="NoSpacing"/>
        <w:ind w:left="720"/>
        <w:rPr>
          <w:bCs/>
        </w:rPr>
      </w:pPr>
    </w:p>
    <w:p w14:paraId="36A82D3E" w14:textId="77777777" w:rsidR="00440B47" w:rsidRPr="004100BA" w:rsidRDefault="00440B47" w:rsidP="00440B47">
      <w:pPr>
        <w:pStyle w:val="NoSpacing"/>
        <w:ind w:left="720"/>
        <w:rPr>
          <w:bCs/>
        </w:rPr>
      </w:pPr>
      <w:r w:rsidRPr="004100BA">
        <w:t>Shortly thereafter, on June 6, Defendants submitted an</w:t>
      </w:r>
      <w:r>
        <w:t xml:space="preserve"> </w:t>
      </w:r>
      <w:r w:rsidRPr="004100BA">
        <w:t>affidavit from David E. Richardson, Senior Official Performing the</w:t>
      </w:r>
      <w:r>
        <w:t xml:space="preserve"> </w:t>
      </w:r>
      <w:r w:rsidRPr="004100BA">
        <w:t>Duties of Administrator for FEMA, declaring that DHS had decided</w:t>
      </w:r>
      <w:r>
        <w:t xml:space="preserve"> </w:t>
      </w:r>
      <w:r w:rsidRPr="004100BA">
        <w:t>the contested conditions would not apply to twelve of the grants</w:t>
      </w:r>
    </w:p>
    <w:p w14:paraId="6CDC8767" w14:textId="77777777" w:rsidR="00440B47" w:rsidRDefault="00440B47" w:rsidP="00440B47">
      <w:pPr>
        <w:pStyle w:val="NoSpacing"/>
        <w:ind w:left="720"/>
        <w:rPr>
          <w:bCs/>
        </w:rPr>
      </w:pPr>
      <w:r w:rsidRPr="004100BA">
        <w:t xml:space="preserve">identified in </w:t>
      </w:r>
      <w:proofErr w:type="gramStart"/>
      <w:r w:rsidRPr="004100BA">
        <w:t>the Complaint,</w:t>
      </w:r>
      <w:proofErr w:type="gramEnd"/>
      <w:r>
        <w:t xml:space="preserve"> </w:t>
      </w:r>
      <w:r w:rsidRPr="004100BA">
        <w:t>3 and that the applicability of the</w:t>
      </w:r>
      <w:r>
        <w:t xml:space="preserve"> </w:t>
      </w:r>
      <w:r w:rsidRPr="004100BA">
        <w:t>conditions to other grants remained under review.</w:t>
      </w:r>
      <w:r>
        <w:t xml:space="preserve"> </w:t>
      </w:r>
    </w:p>
    <w:p w14:paraId="63435920" w14:textId="77777777" w:rsidR="00440B47" w:rsidRDefault="00440B47" w:rsidP="00440B47">
      <w:pPr>
        <w:pStyle w:val="NoSpacing"/>
        <w:ind w:left="720"/>
        <w:rPr>
          <w:bCs/>
        </w:rPr>
      </w:pPr>
    </w:p>
    <w:p w14:paraId="29BF113E" w14:textId="77777777" w:rsidR="00440B47" w:rsidRDefault="00440B47" w:rsidP="00440B47">
      <w:pPr>
        <w:pStyle w:val="NoSpacing"/>
        <w:ind w:left="1440"/>
        <w:rPr>
          <w:bCs/>
        </w:rPr>
      </w:pPr>
      <w:r>
        <w:t xml:space="preserve">[Footnote 3]: </w:t>
      </w:r>
      <w:r w:rsidRPr="009F7CB3">
        <w:t>A second declaration by Richardson filed on July 23, in</w:t>
      </w:r>
      <w:r>
        <w:t xml:space="preserve"> </w:t>
      </w:r>
      <w:r w:rsidRPr="009F7CB3">
        <w:t>support of Defendants’ Motion for Summary Judgment, noted that DHS</w:t>
      </w:r>
      <w:r>
        <w:t xml:space="preserve"> </w:t>
      </w:r>
      <w:r w:rsidRPr="009F7CB3">
        <w:t xml:space="preserve">had made a </w:t>
      </w:r>
      <w:r>
        <w:t>‘</w:t>
      </w:r>
      <w:r w:rsidRPr="009F7CB3">
        <w:t>final determination</w:t>
      </w:r>
      <w:r>
        <w:t>’</w:t>
      </w:r>
      <w:r w:rsidRPr="009F7CB3">
        <w:t xml:space="preserve"> that the contested conditions</w:t>
      </w:r>
      <w:r>
        <w:t xml:space="preserve"> </w:t>
      </w:r>
      <w:r w:rsidRPr="009F7CB3">
        <w:t>would not apply to forty of the grants listed in the Amended</w:t>
      </w:r>
      <w:r>
        <w:t xml:space="preserve"> </w:t>
      </w:r>
      <w:r w:rsidRPr="009F7CB3">
        <w:t>Complaint.</w:t>
      </w:r>
      <w:r>
        <w:t xml:space="preserve">  </w:t>
      </w:r>
    </w:p>
    <w:p w14:paraId="22055197" w14:textId="77777777" w:rsidR="00440B47" w:rsidRDefault="00440B47" w:rsidP="00440B47">
      <w:pPr>
        <w:pStyle w:val="NoSpacing"/>
        <w:ind w:left="720"/>
        <w:rPr>
          <w:bCs/>
        </w:rPr>
      </w:pPr>
    </w:p>
    <w:p w14:paraId="4117CE12" w14:textId="77777777" w:rsidR="00440B47" w:rsidRDefault="00440B47" w:rsidP="00440B47">
      <w:pPr>
        <w:pStyle w:val="NoSpacing"/>
        <w:ind w:left="720"/>
        <w:rPr>
          <w:bCs/>
        </w:rPr>
      </w:pPr>
      <w:r w:rsidRPr="0003565F">
        <w:t>At a June 9 status hearing,</w:t>
      </w:r>
      <w:r>
        <w:t xml:space="preserve"> </w:t>
      </w:r>
      <w:r w:rsidRPr="0003565F">
        <w:t>Plaintiff States raised concerns that this change in position had</w:t>
      </w:r>
      <w:r>
        <w:t xml:space="preserve"> </w:t>
      </w:r>
      <w:r w:rsidRPr="0003565F">
        <w:t>not been formally reflected in DHS’s standard terms and conditions</w:t>
      </w:r>
      <w:r>
        <w:t xml:space="preserve">, </w:t>
      </w:r>
      <w:r w:rsidRPr="00F55966">
        <w:t>which continued to state that the contested conditions applied to</w:t>
      </w:r>
      <w:r>
        <w:t xml:space="preserve"> </w:t>
      </w:r>
      <w:r w:rsidRPr="00F55966">
        <w:t xml:space="preserve">all new grants in Fiscal </w:t>
      </w:r>
      <w:proofErr w:type="gramStart"/>
      <w:r w:rsidRPr="00F55966">
        <w:t>Year (</w:t>
      </w:r>
      <w:r>
        <w:t>‘</w:t>
      </w:r>
      <w:proofErr w:type="gramEnd"/>
      <w:r w:rsidRPr="00F55966">
        <w:t>FY</w:t>
      </w:r>
      <w:r>
        <w:t>’</w:t>
      </w:r>
      <w:r w:rsidRPr="00F55966">
        <w:t>) 2025.</w:t>
      </w:r>
    </w:p>
    <w:p w14:paraId="49495591" w14:textId="77777777" w:rsidR="00440B47" w:rsidRDefault="00440B47" w:rsidP="00440B47">
      <w:pPr>
        <w:pStyle w:val="NoSpacing"/>
        <w:rPr>
          <w:bCs/>
        </w:rPr>
      </w:pPr>
    </w:p>
    <w:p w14:paraId="1D646B07" w14:textId="77777777" w:rsidR="00440B47" w:rsidRDefault="00440B47" w:rsidP="00440B47">
      <w:pPr>
        <w:pStyle w:val="NoSpacing"/>
        <w:ind w:left="720"/>
        <w:rPr>
          <w:bCs/>
        </w:rPr>
      </w:pPr>
      <w:r w:rsidRPr="008D1DE1">
        <w:lastRenderedPageBreak/>
        <w:t>After that hearing, DHS amended its website to state that</w:t>
      </w:r>
      <w:r>
        <w:t xml:space="preserve"> ‘</w:t>
      </w:r>
      <w:r w:rsidRPr="008D1DE1">
        <w:t>not all of DHS’s Standard Terms and Conditions apply to every DHS</w:t>
      </w:r>
      <w:r>
        <w:t xml:space="preserve"> </w:t>
      </w:r>
      <w:r w:rsidRPr="008D1DE1">
        <w:t>grant program,</w:t>
      </w:r>
      <w:r>
        <w:t xml:space="preserve">’ </w:t>
      </w:r>
      <w:r w:rsidRPr="008D1DE1">
        <w:t>directing applicants to review program Notices of</w:t>
      </w:r>
      <w:r>
        <w:t xml:space="preserve"> </w:t>
      </w:r>
      <w:r w:rsidRPr="008D1DE1">
        <w:t>Funding Opportunity (NOFOs) to determine which conditions applied</w:t>
      </w:r>
      <w:r>
        <w:t xml:space="preserve">…. </w:t>
      </w:r>
      <w:r w:rsidRPr="00AC5F47">
        <w:t>In subsequent filings,</w:t>
      </w:r>
      <w:r>
        <w:t xml:space="preserve"> </w:t>
      </w:r>
      <w:r w:rsidRPr="00AC5F47">
        <w:t xml:space="preserve">Defendants asserted they had made a </w:t>
      </w:r>
      <w:r>
        <w:t>‘</w:t>
      </w:r>
      <w:r w:rsidRPr="00AC5F47">
        <w:t>final determination</w:t>
      </w:r>
      <w:r>
        <w:t>’</w:t>
      </w:r>
      <w:r w:rsidRPr="00AC5F47">
        <w:t xml:space="preserve"> that the</w:t>
      </w:r>
      <w:r>
        <w:t xml:space="preserve"> </w:t>
      </w:r>
      <w:r w:rsidRPr="00AC5F47">
        <w:t>contested conditions would not apply to forty of the grant programs</w:t>
      </w:r>
      <w:r>
        <w:t xml:space="preserve"> </w:t>
      </w:r>
      <w:r w:rsidRPr="00AC5F47">
        <w:t>identified in the Amended Complaint.</w:t>
      </w:r>
    </w:p>
    <w:p w14:paraId="306AACBB" w14:textId="77777777" w:rsidR="00440B47" w:rsidRDefault="00440B47" w:rsidP="00440B47">
      <w:pPr>
        <w:pStyle w:val="NoSpacing"/>
        <w:rPr>
          <w:bCs/>
        </w:rPr>
      </w:pPr>
    </w:p>
    <w:p w14:paraId="07715CD3" w14:textId="77777777" w:rsidR="00440B47" w:rsidRDefault="00440B47" w:rsidP="00440B47">
      <w:pPr>
        <w:pStyle w:val="NoSpacing"/>
        <w:ind w:left="720"/>
        <w:rPr>
          <w:bCs/>
        </w:rPr>
      </w:pPr>
      <w:r w:rsidRPr="0023706A">
        <w:t>According to Plaintiff</w:t>
      </w:r>
      <w:r>
        <w:t xml:space="preserve"> </w:t>
      </w:r>
      <w:r w:rsidRPr="0023706A">
        <w:t>States, Between July 25 and August 1, DHS issued twenty-four NOFOs,</w:t>
      </w:r>
      <w:r>
        <w:t xml:space="preserve"> </w:t>
      </w:r>
      <w:r w:rsidRPr="0023706A">
        <w:t>all of which included the standard terms and conditions, and six</w:t>
      </w:r>
      <w:r>
        <w:t xml:space="preserve"> </w:t>
      </w:r>
      <w:r w:rsidRPr="0023706A">
        <w:t xml:space="preserve">of which expressly warned that </w:t>
      </w:r>
      <w:r>
        <w:t>‘</w:t>
      </w:r>
      <w:r w:rsidRPr="0023706A">
        <w:t>an immigration term and condition</w:t>
      </w:r>
      <w:r>
        <w:t xml:space="preserve"> </w:t>
      </w:r>
      <w:r w:rsidRPr="0023706A">
        <w:t>may be material</w:t>
      </w:r>
      <w:r>
        <w:t>’</w:t>
      </w:r>
      <w:r w:rsidRPr="0023706A">
        <w:t xml:space="preserve"> and DHS </w:t>
      </w:r>
      <w:r>
        <w:t>‘</w:t>
      </w:r>
      <w:r w:rsidRPr="0023706A">
        <w:t>may take any remedy for noncompliance</w:t>
      </w:r>
      <w:r>
        <w:t xml:space="preserve">’ </w:t>
      </w:r>
      <w:r w:rsidRPr="0023706A">
        <w:t xml:space="preserve">including </w:t>
      </w:r>
      <w:r>
        <w:t>‘</w:t>
      </w:r>
      <w:r w:rsidRPr="0023706A">
        <w:t>termination.</w:t>
      </w:r>
      <w:r>
        <w:t>’”</w:t>
      </w:r>
    </w:p>
    <w:p w14:paraId="2302CACB" w14:textId="77777777" w:rsidR="00440B47" w:rsidRDefault="00440B47" w:rsidP="00440B47">
      <w:pPr>
        <w:pStyle w:val="NoSpacing"/>
        <w:ind w:left="720"/>
        <w:rPr>
          <w:bCs/>
        </w:rPr>
      </w:pPr>
    </w:p>
    <w:p w14:paraId="3D2A93CE" w14:textId="77777777" w:rsidR="00440B47" w:rsidRPr="009314E0" w:rsidRDefault="00440B47" w:rsidP="00440B47">
      <w:pPr>
        <w:pStyle w:val="NoSpacing"/>
        <w:rPr>
          <w:b/>
        </w:rPr>
      </w:pPr>
      <w:r w:rsidRPr="009314E0">
        <w:rPr>
          <w:b/>
        </w:rPr>
        <w:t xml:space="preserve">Legal lesson learned: </w:t>
      </w:r>
      <w:r>
        <w:rPr>
          <w:b/>
        </w:rPr>
        <w:t xml:space="preserve">The Government will likely appeal this decision to the First Circuit Court of Appeals, and if </w:t>
      </w:r>
      <w:proofErr w:type="gramStart"/>
      <w:r>
        <w:rPr>
          <w:b/>
        </w:rPr>
        <w:t>necessary</w:t>
      </w:r>
      <w:proofErr w:type="gramEnd"/>
      <w:r>
        <w:rPr>
          <w:b/>
        </w:rPr>
        <w:t xml:space="preserve"> seek review by the U.S. Supreme Court. </w:t>
      </w:r>
    </w:p>
    <w:p w14:paraId="46A62A1D" w14:textId="77777777" w:rsidR="00440B47" w:rsidRDefault="00440B47" w:rsidP="00607129">
      <w:pPr>
        <w:pStyle w:val="NoSpacing"/>
        <w:rPr>
          <w:rFonts w:ascii="Arial Black" w:hAnsi="Arial Black"/>
          <w:sz w:val="28"/>
          <w:szCs w:val="28"/>
        </w:rPr>
      </w:pPr>
    </w:p>
    <w:p w14:paraId="32ED0DFE" w14:textId="76F903CB" w:rsidR="00C27E37" w:rsidRDefault="00C27E37" w:rsidP="00C27E37">
      <w:pPr>
        <w:pStyle w:val="NoSpacing"/>
        <w:rPr>
          <w:rFonts w:ascii="Arial Black" w:hAnsi="Arial Black"/>
          <w:sz w:val="28"/>
          <w:szCs w:val="28"/>
        </w:rPr>
      </w:pPr>
      <w:r>
        <w:rPr>
          <w:rFonts w:ascii="Arial Black" w:hAnsi="Arial Black"/>
          <w:sz w:val="28"/>
          <w:szCs w:val="28"/>
        </w:rPr>
        <w:t>3-80</w:t>
      </w:r>
    </w:p>
    <w:p w14:paraId="7FEF00EA" w14:textId="77777777" w:rsidR="00A85CFB" w:rsidRDefault="00A85CFB" w:rsidP="00607129">
      <w:pPr>
        <w:pStyle w:val="NoSpacing"/>
        <w:rPr>
          <w:rFonts w:ascii="Arial Black" w:hAnsi="Arial Black"/>
          <w:sz w:val="28"/>
          <w:szCs w:val="28"/>
        </w:rPr>
      </w:pPr>
    </w:p>
    <w:p w14:paraId="34BD7114" w14:textId="77777777" w:rsidR="00A85CFB" w:rsidRPr="00CB3FA1" w:rsidRDefault="00A85CFB" w:rsidP="00A85CFB">
      <w:pPr>
        <w:pStyle w:val="NoSpacing"/>
        <w:rPr>
          <w:rFonts w:ascii="Arial Black" w:hAnsi="Arial Black"/>
          <w:bCs/>
          <w:sz w:val="28"/>
          <w:szCs w:val="28"/>
        </w:rPr>
      </w:pPr>
      <w:r>
        <w:rPr>
          <w:rFonts w:ascii="Arial Black" w:hAnsi="Arial Black"/>
          <w:sz w:val="28"/>
          <w:szCs w:val="28"/>
        </w:rPr>
        <w:t>PA: “GEOFENCE” WARRANT – CELL PHONES AT SHOOTING</w:t>
      </w:r>
    </w:p>
    <w:p w14:paraId="62A7D745" w14:textId="77777777" w:rsidR="00A85CFB" w:rsidRDefault="00A85CFB" w:rsidP="00A85CFB">
      <w:pPr>
        <w:pStyle w:val="NoSpacing"/>
        <w:rPr>
          <w:bCs/>
        </w:rPr>
      </w:pPr>
    </w:p>
    <w:p w14:paraId="5BFA5C17" w14:textId="77777777" w:rsidR="00A85CFB" w:rsidRDefault="00A85CFB" w:rsidP="00A85CFB">
      <w:pPr>
        <w:pStyle w:val="NoSpacing"/>
        <w:rPr>
          <w:bCs/>
        </w:rPr>
      </w:pPr>
      <w:r>
        <w:t xml:space="preserve">On September 18, 2024, in </w:t>
      </w:r>
      <w:r w:rsidRPr="00AC3603">
        <w:rPr>
          <w:u w:val="single"/>
        </w:rPr>
        <w:t>Commonwealth of Pennsylvania v. Keith Anthony Choice</w:t>
      </w:r>
      <w:r>
        <w:t>, the Superior Court of Pennsylvania held (3 to 0) that trial court properly denied motion to suppress the cell phone information from Google, obtained by PA State Police through court ordered search warrants for “geofence” cell phone location history; a road rage incident where one motorist shot another motorist.  Search warrants obtained for cell phones used at “R</w:t>
      </w:r>
      <w:r w:rsidRPr="009A0209">
        <w:t>oute 309,</w:t>
      </w:r>
      <w:r>
        <w:t xml:space="preserve"> </w:t>
      </w:r>
      <w:r w:rsidRPr="009A0209">
        <w:t>between 9:20 p.m. to 9:27 p.m. on January 23, 2019.</w:t>
      </w:r>
      <w:r>
        <w:t xml:space="preserve">”  The defendant was convicted in bench trial </w:t>
      </w:r>
      <w:r w:rsidRPr="009B16FC">
        <w:t>of aggravated assault</w:t>
      </w:r>
      <w:r>
        <w:t xml:space="preserve">, and </w:t>
      </w:r>
      <w:r w:rsidRPr="003C35AC">
        <w:t>sentenced to 6 to 23 months’</w:t>
      </w:r>
      <w:r>
        <w:t xml:space="preserve"> </w:t>
      </w:r>
      <w:r w:rsidRPr="003C35AC">
        <w:t>incarceration, followed by two years’ probation.</w:t>
      </w:r>
      <w:r>
        <w:t xml:space="preserve"> </w:t>
      </w:r>
    </w:p>
    <w:p w14:paraId="2EABB905" w14:textId="77777777" w:rsidR="00A85CFB" w:rsidRDefault="00A85CFB" w:rsidP="00A85CFB">
      <w:pPr>
        <w:pStyle w:val="NoSpacing"/>
        <w:rPr>
          <w:bCs/>
        </w:rPr>
      </w:pPr>
    </w:p>
    <w:p w14:paraId="0CE5C66B" w14:textId="77777777" w:rsidR="00A85CFB" w:rsidRDefault="00A85CFB" w:rsidP="00A85CFB">
      <w:pPr>
        <w:pStyle w:val="NoSpacing"/>
        <w:rPr>
          <w:bCs/>
        </w:rPr>
      </w:pPr>
      <w:r w:rsidRPr="00913B5B">
        <w:rPr>
          <w:b/>
        </w:rPr>
        <w:t>THE COURT HELD</w:t>
      </w:r>
      <w:r>
        <w:t>: “</w:t>
      </w:r>
      <w:r w:rsidRPr="00722038">
        <w:t>Because pervasive cell phone</w:t>
      </w:r>
      <w:r>
        <w:t xml:space="preserve"> </w:t>
      </w:r>
      <w:r w:rsidRPr="00722038">
        <w:t>possession and cell phone service usage is a matter of common knowledge,</w:t>
      </w:r>
      <w:r>
        <w:t xml:space="preserve"> </w:t>
      </w:r>
      <w:r w:rsidRPr="00722038">
        <w:t>and because law enforcement combined this common knowledge with specific</w:t>
      </w:r>
      <w:r>
        <w:t xml:space="preserve"> </w:t>
      </w:r>
      <w:r w:rsidRPr="00722038">
        <w:t>factual circumstances regarding the time and place of the crime, we reject</w:t>
      </w:r>
      <w:r>
        <w:t xml:space="preserve"> </w:t>
      </w:r>
      <w:r w:rsidRPr="00722038">
        <w:t>Appellant’s argument that the December 2020 search warrant relied upon</w:t>
      </w:r>
      <w:r>
        <w:t xml:space="preserve"> ‘</w:t>
      </w:r>
      <w:r w:rsidRPr="00722038">
        <w:t>categorical assumptions.</w:t>
      </w:r>
      <w:r>
        <w:t xml:space="preserve">” </w:t>
      </w:r>
      <w:hyperlink r:id="rId662" w:history="1">
        <w:r w:rsidRPr="004673F3">
          <w:rPr>
            <w:rStyle w:val="Hyperlink"/>
          </w:rPr>
          <w:t>https://cases.justia.com/pennsylvania/superior-court/2025-1252-eda-2024.pdf?ts=1758220361</w:t>
        </w:r>
      </w:hyperlink>
      <w:r>
        <w:t xml:space="preserve"> </w:t>
      </w:r>
    </w:p>
    <w:p w14:paraId="65F9A2ED" w14:textId="77777777" w:rsidR="00A85CFB" w:rsidRDefault="00A85CFB" w:rsidP="00A85CFB">
      <w:pPr>
        <w:pStyle w:val="NoSpacing"/>
        <w:rPr>
          <w:bCs/>
        </w:rPr>
      </w:pPr>
    </w:p>
    <w:p w14:paraId="34EC56CF" w14:textId="77777777" w:rsidR="00A85CFB" w:rsidRDefault="00A85CFB" w:rsidP="00A85CFB">
      <w:pPr>
        <w:pStyle w:val="NoSpacing"/>
        <w:ind w:left="720"/>
        <w:rPr>
          <w:bCs/>
        </w:rPr>
      </w:pPr>
    </w:p>
    <w:p w14:paraId="69CB0E93" w14:textId="77777777" w:rsidR="00A85CFB" w:rsidRPr="00913B5B" w:rsidRDefault="00A85CFB" w:rsidP="00A85CFB">
      <w:pPr>
        <w:pStyle w:val="NoSpacing"/>
        <w:rPr>
          <w:b/>
        </w:rPr>
      </w:pPr>
      <w:r w:rsidRPr="00913B5B">
        <w:rPr>
          <w:b/>
        </w:rPr>
        <w:t>KEY FACTS:</w:t>
      </w:r>
    </w:p>
    <w:p w14:paraId="2DFB1344" w14:textId="77777777" w:rsidR="00A85CFB" w:rsidRDefault="00A85CFB" w:rsidP="00A85CFB">
      <w:pPr>
        <w:pStyle w:val="NoSpacing"/>
        <w:rPr>
          <w:bCs/>
        </w:rPr>
      </w:pPr>
    </w:p>
    <w:p w14:paraId="141EE6D5" w14:textId="77777777" w:rsidR="00A85CFB" w:rsidRPr="003F40C4" w:rsidRDefault="00A85CFB" w:rsidP="00A85CFB">
      <w:pPr>
        <w:pStyle w:val="NoSpacing"/>
        <w:ind w:firstLine="720"/>
        <w:rPr>
          <w:bCs/>
        </w:rPr>
      </w:pPr>
      <w:r>
        <w:t>“</w:t>
      </w:r>
      <w:r w:rsidRPr="003F40C4">
        <w:t>The trial court summarized the facts underlying this appeal:</w:t>
      </w:r>
    </w:p>
    <w:p w14:paraId="008A25AA" w14:textId="77777777" w:rsidR="00A85CFB" w:rsidRDefault="00A85CFB" w:rsidP="00A85CFB">
      <w:pPr>
        <w:pStyle w:val="NoSpacing"/>
        <w:rPr>
          <w:bCs/>
        </w:rPr>
      </w:pPr>
    </w:p>
    <w:p w14:paraId="4ED3ABA5" w14:textId="77777777" w:rsidR="00A85CFB" w:rsidRPr="003F40C4" w:rsidRDefault="00A85CFB" w:rsidP="00A85CFB">
      <w:pPr>
        <w:pStyle w:val="NoSpacing"/>
        <w:ind w:left="720" w:firstLine="720"/>
        <w:rPr>
          <w:bCs/>
        </w:rPr>
      </w:pPr>
      <w:r w:rsidRPr="003F40C4">
        <w:t>At approximately 9:58 p.m. on</w:t>
      </w:r>
      <w:r>
        <w:t xml:space="preserve"> </w:t>
      </w:r>
      <w:r w:rsidRPr="003F40C4">
        <w:t>January 23, 2019, Pennsylvania</w:t>
      </w:r>
    </w:p>
    <w:p w14:paraId="296CBE52" w14:textId="77777777" w:rsidR="00A85CFB" w:rsidRPr="003F40C4" w:rsidRDefault="00A85CFB" w:rsidP="00A85CFB">
      <w:pPr>
        <w:pStyle w:val="NoSpacing"/>
        <w:ind w:left="1440"/>
        <w:rPr>
          <w:bCs/>
        </w:rPr>
      </w:pPr>
      <w:r w:rsidRPr="003F40C4">
        <w:t>State Police (PSP) troopers] responded to a call into Montgomery County 911 dispatch center of a possible shooting on</w:t>
      </w:r>
      <w:r>
        <w:t xml:space="preserve"> </w:t>
      </w:r>
      <w:r w:rsidRPr="003F40C4">
        <w:t>northbound State Route 309 (</w:t>
      </w:r>
      <w:r>
        <w:t>‘</w:t>
      </w:r>
      <w:r w:rsidRPr="003F40C4">
        <w:t>[Route] 309</w:t>
      </w:r>
      <w:r>
        <w:t>’</w:t>
      </w:r>
      <w:r w:rsidRPr="003F40C4">
        <w:t>). The troopers were</w:t>
      </w:r>
      <w:r>
        <w:t xml:space="preserve"> </w:t>
      </w:r>
      <w:r w:rsidRPr="003F40C4">
        <w:t>dispatched to the Fort Washington Toll Plaza on the Pennsylvania</w:t>
      </w:r>
      <w:r>
        <w:t xml:space="preserve"> </w:t>
      </w:r>
      <w:r w:rsidRPr="003F40C4">
        <w:t>Turnpike, Upper Dublin Township in Montgomery County. There</w:t>
      </w:r>
      <w:r>
        <w:t xml:space="preserve"> </w:t>
      </w:r>
      <w:r w:rsidRPr="003F40C4">
        <w:t>they met with [the victim, John Cramer (Cramer),] and Upper</w:t>
      </w:r>
      <w:r>
        <w:t xml:space="preserve"> </w:t>
      </w:r>
      <w:r w:rsidRPr="003F40C4">
        <w:t>Dublin Township [police] officers who were securing the scene</w:t>
      </w:r>
      <w:r>
        <w:t xml:space="preserve"> </w:t>
      </w:r>
      <w:r w:rsidRPr="003F40C4">
        <w:t>while [emergency medical services (EMS) personnel] provided</w:t>
      </w:r>
      <w:r>
        <w:t xml:space="preserve"> </w:t>
      </w:r>
      <w:r w:rsidRPr="003F40C4">
        <w:t>aid</w:t>
      </w:r>
      <w:r>
        <w:t xml:space="preserve"> </w:t>
      </w:r>
      <w:r w:rsidRPr="003F40C4">
        <w:t>[EMS personnel] determined that Cramer had a graze wound</w:t>
      </w:r>
      <w:r>
        <w:t xml:space="preserve"> </w:t>
      </w:r>
      <w:r w:rsidRPr="003F40C4">
        <w:t>on his upper right arm[,] after having been shot with a firearm.</w:t>
      </w:r>
      <w:r>
        <w:t xml:space="preserve"> </w:t>
      </w:r>
      <w:r w:rsidRPr="003F40C4">
        <w:t xml:space="preserve">When Cramer exited his silver 2014 Toyota </w:t>
      </w:r>
      <w:proofErr w:type="gramStart"/>
      <w:r w:rsidRPr="003F40C4">
        <w:t>Tundra [(</w:t>
      </w:r>
      <w:proofErr w:type="gramEnd"/>
      <w:r w:rsidRPr="003F40C4">
        <w:t>Tundra)], a</w:t>
      </w:r>
    </w:p>
    <w:p w14:paraId="4BCE2BE0" w14:textId="77777777" w:rsidR="00A85CFB" w:rsidRDefault="00A85CFB" w:rsidP="00A85CFB">
      <w:pPr>
        <w:pStyle w:val="NoSpacing"/>
        <w:ind w:left="1440"/>
        <w:rPr>
          <w:bCs/>
        </w:rPr>
      </w:pPr>
      <w:r w:rsidRPr="003F40C4">
        <w:t>single copper-jacketed bullet fell to the ground and was recovered</w:t>
      </w:r>
      <w:r>
        <w:t xml:space="preserve"> </w:t>
      </w:r>
      <w:r w:rsidRPr="003F40C4">
        <w:t>by a [t]</w:t>
      </w:r>
      <w:proofErr w:type="spellStart"/>
      <w:r w:rsidRPr="003F40C4">
        <w:t>rooper</w:t>
      </w:r>
      <w:proofErr w:type="spellEnd"/>
      <w:r w:rsidRPr="003F40C4">
        <w:t>. ([Search Warrant] Affidavit of Probable Cause</w:t>
      </w:r>
      <w:r>
        <w:t xml:space="preserve"> </w:t>
      </w:r>
      <w:r w:rsidRPr="003F40C4">
        <w:t>presented to the Honorable William R. Carpenter[</w:t>
      </w:r>
      <w:r>
        <w:t xml:space="preserve">… </w:t>
      </w:r>
      <w:r w:rsidRPr="003F40C4">
        <w:t xml:space="preserve"> </w:t>
      </w:r>
      <w:r>
        <w:t>T</w:t>
      </w:r>
      <w:r w:rsidRPr="003F40C4">
        <w:t xml:space="preserve">rooper Eugene J. Tray </w:t>
      </w:r>
      <w:r>
        <w:t>…</w:t>
      </w:r>
      <w:r w:rsidRPr="003F40C4">
        <w:t>was assigned as</w:t>
      </w:r>
      <w:r>
        <w:t xml:space="preserve"> </w:t>
      </w:r>
      <w:r w:rsidRPr="003F40C4">
        <w:t>the primary investigator [after] the [Upper Dublin Township Police</w:t>
      </w:r>
      <w:r>
        <w:t xml:space="preserve"> </w:t>
      </w:r>
      <w:r w:rsidRPr="003F40C4">
        <w:t>Department] requested [the PSP] to assume the primary role in</w:t>
      </w:r>
      <w:r>
        <w:t xml:space="preserve"> </w:t>
      </w:r>
      <w:r w:rsidRPr="003F40C4">
        <w:t>this investigation</w:t>
      </w:r>
      <w:r>
        <w:t>.</w:t>
      </w:r>
    </w:p>
    <w:p w14:paraId="3F761348" w14:textId="77777777" w:rsidR="00A85CFB" w:rsidRDefault="00A85CFB" w:rsidP="00A85CFB">
      <w:pPr>
        <w:pStyle w:val="NoSpacing"/>
        <w:ind w:left="720" w:firstLine="720"/>
        <w:rPr>
          <w:bCs/>
        </w:rPr>
      </w:pPr>
    </w:p>
    <w:p w14:paraId="2FCE8201" w14:textId="77777777" w:rsidR="00A85CFB" w:rsidRDefault="00A85CFB" w:rsidP="00A85CFB">
      <w:pPr>
        <w:pStyle w:val="NoSpacing"/>
        <w:ind w:left="720" w:firstLine="720"/>
        <w:rPr>
          <w:bCs/>
        </w:rPr>
      </w:pPr>
      <w:r>
        <w:t>***</w:t>
      </w:r>
    </w:p>
    <w:p w14:paraId="205E39D4" w14:textId="77777777" w:rsidR="00A85CFB" w:rsidRPr="00D671B5" w:rsidRDefault="00A85CFB" w:rsidP="00A85CFB">
      <w:pPr>
        <w:pStyle w:val="NoSpacing"/>
        <w:ind w:left="720" w:firstLine="720"/>
        <w:rPr>
          <w:bCs/>
        </w:rPr>
      </w:pPr>
      <w:r w:rsidRPr="00D671B5">
        <w:t>After conducting additional investigation not relevant to this appeal,</w:t>
      </w:r>
    </w:p>
    <w:p w14:paraId="59DD4F35" w14:textId="77777777" w:rsidR="00A85CFB" w:rsidRPr="00D671B5" w:rsidRDefault="00A85CFB" w:rsidP="00A85CFB">
      <w:pPr>
        <w:pStyle w:val="NoSpacing"/>
        <w:ind w:left="720" w:firstLine="720"/>
        <w:rPr>
          <w:bCs/>
        </w:rPr>
      </w:pPr>
      <w:r w:rsidRPr="00D671B5">
        <w:t>Trooper Tray applied for the December 2020 search warrant, seeking solely</w:t>
      </w:r>
    </w:p>
    <w:p w14:paraId="1A349240" w14:textId="77777777" w:rsidR="00A85CFB" w:rsidRPr="002D3238" w:rsidRDefault="00A85CFB" w:rsidP="00A85CFB">
      <w:pPr>
        <w:pStyle w:val="NoSpacing"/>
        <w:ind w:left="1440"/>
        <w:rPr>
          <w:bCs/>
        </w:rPr>
      </w:pPr>
      <w:r w:rsidRPr="00D671B5">
        <w:lastRenderedPageBreak/>
        <w:t xml:space="preserve">LH </w:t>
      </w:r>
      <w:r>
        <w:t>‘</w:t>
      </w:r>
      <w:r w:rsidRPr="00D671B5">
        <w:t>data generated from devices [] report[</w:t>
      </w:r>
      <w:proofErr w:type="spellStart"/>
      <w:r w:rsidRPr="00D671B5">
        <w:t>ing</w:t>
      </w:r>
      <w:proofErr w:type="spellEnd"/>
      <w:r w:rsidRPr="00D671B5">
        <w:t>] a location with a geographical</w:t>
      </w:r>
      <w:r>
        <w:t xml:space="preserve"> </w:t>
      </w:r>
      <w:r w:rsidRPr="002D3238">
        <w:t xml:space="preserve">region </w:t>
      </w:r>
      <w:proofErr w:type="gramStart"/>
      <w:r w:rsidRPr="002D3238">
        <w:t>bounded</w:t>
      </w:r>
      <w:r>
        <w:t>’</w:t>
      </w:r>
      <w:proofErr w:type="gramEnd"/>
      <w:r w:rsidRPr="002D3238">
        <w:t xml:space="preserve"> by latitude/longitude coordinates, and within dates and</w:t>
      </w:r>
    </w:p>
    <w:p w14:paraId="6DDB6D99" w14:textId="77777777" w:rsidR="00A85CFB" w:rsidRDefault="00A85CFB" w:rsidP="00A85CFB">
      <w:pPr>
        <w:pStyle w:val="NoSpacing"/>
        <w:ind w:left="720" w:firstLine="720"/>
        <w:rPr>
          <w:bCs/>
        </w:rPr>
      </w:pPr>
      <w:r w:rsidRPr="002D3238">
        <w:t>times, set forth in the affidavit.</w:t>
      </w:r>
    </w:p>
    <w:p w14:paraId="16088A4F" w14:textId="77777777" w:rsidR="00A85CFB" w:rsidRDefault="00A85CFB" w:rsidP="00A85CFB">
      <w:pPr>
        <w:pStyle w:val="NoSpacing"/>
        <w:ind w:left="720" w:firstLine="720"/>
        <w:rPr>
          <w:bCs/>
        </w:rPr>
      </w:pPr>
    </w:p>
    <w:p w14:paraId="60AEB8C3" w14:textId="77777777" w:rsidR="00A85CFB" w:rsidRDefault="00A85CFB" w:rsidP="00A85CFB">
      <w:pPr>
        <w:pStyle w:val="NoSpacing"/>
        <w:ind w:left="720" w:firstLine="720"/>
        <w:rPr>
          <w:bCs/>
        </w:rPr>
      </w:pPr>
      <w:r>
        <w:t>***</w:t>
      </w:r>
    </w:p>
    <w:p w14:paraId="29F2F64B" w14:textId="77777777" w:rsidR="00A85CFB" w:rsidRPr="007025EB" w:rsidRDefault="00A85CFB" w:rsidP="00A85CFB">
      <w:pPr>
        <w:pStyle w:val="NoSpacing"/>
        <w:ind w:left="720" w:firstLine="720"/>
        <w:rPr>
          <w:bCs/>
        </w:rPr>
      </w:pPr>
      <w:r w:rsidRPr="007025EB">
        <w:t>After execution of the December 2020 search warrant, on February 9,</w:t>
      </w:r>
    </w:p>
    <w:p w14:paraId="68DF72D6" w14:textId="77777777" w:rsidR="00A85CFB" w:rsidRPr="007025EB" w:rsidRDefault="00A85CFB" w:rsidP="00A85CFB">
      <w:pPr>
        <w:pStyle w:val="NoSpacing"/>
        <w:ind w:left="720" w:firstLine="720"/>
        <w:rPr>
          <w:bCs/>
        </w:rPr>
      </w:pPr>
      <w:r w:rsidRPr="007025EB">
        <w:t>2021, Trooper Tray received email correspondence from Google’s “law</w:t>
      </w:r>
    </w:p>
    <w:p w14:paraId="5F45628B" w14:textId="77777777" w:rsidR="00A85CFB" w:rsidRPr="007025EB" w:rsidRDefault="00A85CFB" w:rsidP="00A85CFB">
      <w:pPr>
        <w:pStyle w:val="NoSpacing"/>
        <w:ind w:left="720" w:firstLine="720"/>
        <w:rPr>
          <w:bCs/>
        </w:rPr>
      </w:pPr>
      <w:r w:rsidRPr="007025EB">
        <w:t>enforcement portal” providing the requested anonymized list of device IDs.</w:t>
      </w:r>
    </w:p>
    <w:p w14:paraId="03E2506E" w14:textId="77777777" w:rsidR="00A85CFB" w:rsidRPr="007025EB" w:rsidRDefault="00A85CFB" w:rsidP="00A85CFB">
      <w:pPr>
        <w:pStyle w:val="NoSpacing"/>
        <w:ind w:left="720" w:firstLine="720"/>
        <w:rPr>
          <w:bCs/>
        </w:rPr>
      </w:pPr>
      <w:r w:rsidRPr="007025EB">
        <w:t>N.T., 10/5/23, at 10. At the suppression hearing, Trooper Tray testified that</w:t>
      </w:r>
    </w:p>
    <w:p w14:paraId="1C344EF3" w14:textId="77777777" w:rsidR="00A85CFB" w:rsidRPr="007025EB" w:rsidRDefault="00A85CFB" w:rsidP="00A85CFB">
      <w:pPr>
        <w:pStyle w:val="NoSpacing"/>
        <w:ind w:left="720" w:firstLine="720"/>
        <w:rPr>
          <w:bCs/>
        </w:rPr>
      </w:pPr>
      <w:proofErr w:type="gramStart"/>
      <w:r w:rsidRPr="007025EB">
        <w:t>he</w:t>
      </w:r>
      <w:proofErr w:type="gramEnd"/>
      <w:r w:rsidRPr="007025EB">
        <w:t xml:space="preserve"> identified only one device ID within the anonymized list that was relevant</w:t>
      </w:r>
    </w:p>
    <w:p w14:paraId="1DC58297" w14:textId="77777777" w:rsidR="00A85CFB" w:rsidRPr="007025EB" w:rsidRDefault="00A85CFB" w:rsidP="00A85CFB">
      <w:pPr>
        <w:pStyle w:val="NoSpacing"/>
        <w:ind w:left="720" w:firstLine="720"/>
        <w:rPr>
          <w:bCs/>
        </w:rPr>
      </w:pPr>
      <w:r w:rsidRPr="007025EB">
        <w:t>to his investigation. Id. at 11. Trooper Tray explained that, upon his request,</w:t>
      </w:r>
    </w:p>
    <w:p w14:paraId="3D2FAB2E" w14:textId="77777777" w:rsidR="00A85CFB" w:rsidRPr="007025EB" w:rsidRDefault="00A85CFB" w:rsidP="00A85CFB">
      <w:pPr>
        <w:pStyle w:val="NoSpacing"/>
        <w:ind w:left="720" w:firstLine="720"/>
        <w:rPr>
          <w:bCs/>
        </w:rPr>
      </w:pPr>
      <w:r w:rsidRPr="007025EB">
        <w:t>Google “provided more descriptive location information for that particular</w:t>
      </w:r>
    </w:p>
    <w:p w14:paraId="68C6D2C2" w14:textId="77777777" w:rsidR="00A85CFB" w:rsidRDefault="00A85CFB" w:rsidP="00A85CFB">
      <w:pPr>
        <w:pStyle w:val="NoSpacing"/>
        <w:ind w:left="720" w:firstLine="720"/>
        <w:rPr>
          <w:bCs/>
        </w:rPr>
      </w:pPr>
      <w:r w:rsidRPr="007025EB">
        <w:t>device that I found to be pertinent to my investigation.” Id. at 12.</w:t>
      </w:r>
    </w:p>
    <w:p w14:paraId="2E904E85" w14:textId="77777777" w:rsidR="00A85CFB" w:rsidRDefault="00A85CFB" w:rsidP="00A85CFB">
      <w:pPr>
        <w:pStyle w:val="NoSpacing"/>
        <w:ind w:left="720" w:firstLine="720"/>
        <w:rPr>
          <w:bCs/>
        </w:rPr>
      </w:pPr>
    </w:p>
    <w:p w14:paraId="71210953" w14:textId="77777777" w:rsidR="00A85CFB" w:rsidRDefault="00A85CFB" w:rsidP="00A85CFB">
      <w:pPr>
        <w:pStyle w:val="NoSpacing"/>
        <w:ind w:left="720" w:firstLine="720"/>
        <w:rPr>
          <w:bCs/>
        </w:rPr>
      </w:pPr>
      <w:r>
        <w:t>***</w:t>
      </w:r>
    </w:p>
    <w:p w14:paraId="1B6F9A29" w14:textId="77777777" w:rsidR="00A85CFB" w:rsidRPr="00D12DB5" w:rsidRDefault="00A85CFB" w:rsidP="00A85CFB">
      <w:pPr>
        <w:pStyle w:val="NoSpacing"/>
        <w:ind w:left="720" w:firstLine="720"/>
        <w:rPr>
          <w:bCs/>
        </w:rPr>
      </w:pPr>
      <w:r w:rsidRPr="00D12DB5">
        <w:t>On February 16, 2021, utilizing the anonymized information provided by</w:t>
      </w:r>
    </w:p>
    <w:p w14:paraId="2379C4AE" w14:textId="77777777" w:rsidR="00A85CFB" w:rsidRPr="00D12DB5" w:rsidRDefault="00A85CFB" w:rsidP="00A85CFB">
      <w:pPr>
        <w:pStyle w:val="NoSpacing"/>
        <w:ind w:left="720" w:firstLine="720"/>
        <w:rPr>
          <w:bCs/>
        </w:rPr>
      </w:pPr>
      <w:r w:rsidRPr="00D12DB5">
        <w:t>Google, Trooper Tray prepared a second search warrant, admitted into</w:t>
      </w:r>
    </w:p>
    <w:p w14:paraId="117AFA04" w14:textId="77777777" w:rsidR="00A85CFB" w:rsidRPr="00D12DB5" w:rsidRDefault="00A85CFB" w:rsidP="00A85CFB">
      <w:pPr>
        <w:pStyle w:val="NoSpacing"/>
        <w:ind w:left="720" w:firstLine="720"/>
        <w:rPr>
          <w:bCs/>
        </w:rPr>
      </w:pPr>
      <w:r w:rsidRPr="00D12DB5">
        <w:t>evidence at the suppression hearing as Commonwealth Exhibit C-2 (Exhibit C-</w:t>
      </w:r>
    </w:p>
    <w:p w14:paraId="35D624C6" w14:textId="77777777" w:rsidR="00A85CFB" w:rsidRPr="00D12DB5" w:rsidRDefault="00A85CFB" w:rsidP="00A85CFB">
      <w:pPr>
        <w:pStyle w:val="NoSpacing"/>
        <w:ind w:left="720" w:firstLine="720"/>
        <w:rPr>
          <w:bCs/>
        </w:rPr>
      </w:pPr>
      <w:r w:rsidRPr="00D12DB5">
        <w:t>2 or the February 2021 search warrant), seeking the identity of “the user or</w:t>
      </w:r>
    </w:p>
    <w:p w14:paraId="734D980B" w14:textId="77777777" w:rsidR="00A85CFB" w:rsidRPr="00D12DB5" w:rsidRDefault="00A85CFB" w:rsidP="00A85CFB">
      <w:pPr>
        <w:pStyle w:val="NoSpacing"/>
        <w:ind w:left="720" w:firstLine="720"/>
        <w:rPr>
          <w:bCs/>
        </w:rPr>
      </w:pPr>
      <w:r w:rsidRPr="00D12DB5">
        <w:t xml:space="preserve">subscriber of that </w:t>
      </w:r>
      <w:proofErr w:type="gramStart"/>
      <w:r w:rsidRPr="00D12DB5">
        <w:t>particular device</w:t>
      </w:r>
      <w:proofErr w:type="gramEnd"/>
      <w:r w:rsidRPr="00D12DB5">
        <w:t xml:space="preserve"> ID.” Id. at 12. On November 3, 2021,</w:t>
      </w:r>
    </w:p>
    <w:p w14:paraId="02CECF38" w14:textId="77777777" w:rsidR="00A85CFB" w:rsidRPr="00121CE3" w:rsidRDefault="00A85CFB" w:rsidP="00A85CFB">
      <w:pPr>
        <w:pStyle w:val="NoSpacing"/>
        <w:ind w:left="1440"/>
        <w:rPr>
          <w:bCs/>
        </w:rPr>
      </w:pPr>
      <w:r w:rsidRPr="00D12DB5">
        <w:t>Google responded to the February 2021 search warrant by providing Trooper</w:t>
      </w:r>
      <w:r>
        <w:t xml:space="preserve"> </w:t>
      </w:r>
      <w:r w:rsidRPr="00121CE3">
        <w:t xml:space="preserve">Tray with a </w:t>
      </w:r>
      <w:r>
        <w:t>‘</w:t>
      </w:r>
      <w:r w:rsidRPr="00121CE3">
        <w:t>one-page subscriber identity document that stated the G[]mail</w:t>
      </w:r>
    </w:p>
    <w:p w14:paraId="52F03623" w14:textId="77777777" w:rsidR="00A85CFB" w:rsidRPr="00121CE3" w:rsidRDefault="00A85CFB" w:rsidP="00A85CFB">
      <w:pPr>
        <w:pStyle w:val="NoSpacing"/>
        <w:ind w:left="720" w:firstLine="720"/>
        <w:rPr>
          <w:bCs/>
        </w:rPr>
      </w:pPr>
      <w:r w:rsidRPr="00121CE3">
        <w:t>account associated with that device ID, a phone number associated with the</w:t>
      </w:r>
    </w:p>
    <w:p w14:paraId="6459CFA8" w14:textId="77777777" w:rsidR="00A85CFB" w:rsidRPr="00121CE3" w:rsidRDefault="00A85CFB" w:rsidP="00A85CFB">
      <w:pPr>
        <w:pStyle w:val="NoSpacing"/>
        <w:ind w:left="720" w:firstLine="720"/>
        <w:rPr>
          <w:bCs/>
        </w:rPr>
      </w:pPr>
      <w:r w:rsidRPr="00121CE3">
        <w:t xml:space="preserve">device ID, and a name and </w:t>
      </w:r>
      <w:proofErr w:type="gramStart"/>
      <w:r w:rsidRPr="00121CE3">
        <w:t>a date</w:t>
      </w:r>
      <w:proofErr w:type="gramEnd"/>
      <w:r w:rsidRPr="00121CE3">
        <w:t xml:space="preserve"> of birth inputted by the user at the time of</w:t>
      </w:r>
    </w:p>
    <w:p w14:paraId="648042EF" w14:textId="77777777" w:rsidR="00A85CFB" w:rsidRPr="00121CE3" w:rsidRDefault="00A85CFB" w:rsidP="00A85CFB">
      <w:pPr>
        <w:pStyle w:val="NoSpacing"/>
        <w:ind w:left="720" w:firstLine="720"/>
        <w:rPr>
          <w:bCs/>
        </w:rPr>
      </w:pPr>
      <w:r w:rsidRPr="00121CE3">
        <w:t>their Google account creation[.]</w:t>
      </w:r>
      <w:r>
        <w:t>’</w:t>
      </w:r>
      <w:r w:rsidRPr="00121CE3">
        <w:t xml:space="preserve"> Id. at 13. Using this deanonymized</w:t>
      </w:r>
    </w:p>
    <w:p w14:paraId="2794C209" w14:textId="77777777" w:rsidR="00A85CFB" w:rsidRPr="00121CE3" w:rsidRDefault="00A85CFB" w:rsidP="00A85CFB">
      <w:pPr>
        <w:pStyle w:val="NoSpacing"/>
        <w:ind w:left="720" w:firstLine="720"/>
        <w:rPr>
          <w:bCs/>
        </w:rPr>
      </w:pPr>
      <w:r w:rsidRPr="00121CE3">
        <w:t>information, Trooper Tray conducted additional investigation</w:t>
      </w:r>
      <w:r>
        <w:t xml:space="preserve"> </w:t>
      </w:r>
      <w:r w:rsidRPr="00121CE3">
        <w:t>that led him to</w:t>
      </w:r>
    </w:p>
    <w:p w14:paraId="10E4ACBD" w14:textId="77777777" w:rsidR="00A85CFB" w:rsidRDefault="00A85CFB" w:rsidP="00A85CFB">
      <w:pPr>
        <w:pStyle w:val="NoSpacing"/>
        <w:ind w:left="720" w:firstLine="720"/>
        <w:rPr>
          <w:bCs/>
        </w:rPr>
      </w:pPr>
      <w:r w:rsidRPr="00121CE3">
        <w:t>charge Appellant with terroristic threats and aggravated assault.</w:t>
      </w:r>
      <w:r>
        <w:t>”</w:t>
      </w:r>
    </w:p>
    <w:p w14:paraId="2FC37D7E" w14:textId="77777777" w:rsidR="00A85CFB" w:rsidRDefault="00A85CFB" w:rsidP="00A85CFB">
      <w:pPr>
        <w:pStyle w:val="NoSpacing"/>
        <w:rPr>
          <w:bCs/>
        </w:rPr>
      </w:pPr>
    </w:p>
    <w:p w14:paraId="79B21267" w14:textId="77777777" w:rsidR="00A85CFB" w:rsidRPr="005D0E17" w:rsidRDefault="00A85CFB" w:rsidP="00A85CFB">
      <w:pPr>
        <w:pStyle w:val="NoSpacing"/>
        <w:rPr>
          <w:b/>
        </w:rPr>
      </w:pPr>
      <w:r>
        <w:rPr>
          <w:b/>
        </w:rPr>
        <w:t xml:space="preserve">Legal lesson learned: This is the first appeals court in PA to review “geofence” search warrants for cell phone location history.  Arson investigators could likewise use search warrants to locate an arsonist. </w:t>
      </w:r>
    </w:p>
    <w:p w14:paraId="3F78EC22" w14:textId="77777777" w:rsidR="00A85CFB" w:rsidRDefault="00A85CFB" w:rsidP="00A85CFB">
      <w:pPr>
        <w:pStyle w:val="NoSpacing"/>
        <w:rPr>
          <w:bCs/>
        </w:rPr>
      </w:pPr>
      <w:r>
        <w:tab/>
      </w:r>
    </w:p>
    <w:p w14:paraId="1D07B1CA" w14:textId="77777777" w:rsidR="00A85CFB" w:rsidRDefault="00A85CFB" w:rsidP="00A85CFB">
      <w:pPr>
        <w:pStyle w:val="NoSpacing"/>
        <w:ind w:left="1440"/>
        <w:rPr>
          <w:bCs/>
        </w:rPr>
      </w:pPr>
      <w:r>
        <w:t xml:space="preserve">Note:  The Court reviewed Google’s </w:t>
      </w:r>
      <w:r w:rsidRPr="00ED3CFB">
        <w:t>three-step process when</w:t>
      </w:r>
      <w:r>
        <w:t xml:space="preserve"> </w:t>
      </w:r>
      <w:r w:rsidRPr="00ED3CFB">
        <w:t xml:space="preserve">it </w:t>
      </w:r>
      <w:r>
        <w:t xml:space="preserve">receives a </w:t>
      </w:r>
      <w:r w:rsidRPr="00ED3CFB">
        <w:t xml:space="preserve">geofence </w:t>
      </w:r>
      <w:r>
        <w:t xml:space="preserve">search </w:t>
      </w:r>
      <w:r w:rsidRPr="00ED3CFB">
        <w:t>warrant</w:t>
      </w:r>
      <w:r>
        <w:t xml:space="preserve">. </w:t>
      </w:r>
    </w:p>
    <w:p w14:paraId="4B3C5944" w14:textId="77777777" w:rsidR="00A85CFB" w:rsidRDefault="00A85CFB" w:rsidP="00A85CFB">
      <w:pPr>
        <w:pStyle w:val="NoSpacing"/>
        <w:ind w:left="1440"/>
        <w:rPr>
          <w:bCs/>
        </w:rPr>
      </w:pPr>
      <w:r>
        <w:t>“</w:t>
      </w:r>
      <w:r w:rsidRPr="00ED3CFB">
        <w:t>The first step of the geofence process, whenever law enforcement</w:t>
      </w:r>
      <w:r>
        <w:t xml:space="preserve"> </w:t>
      </w:r>
      <w:r w:rsidRPr="00ED3CFB">
        <w:t xml:space="preserve">submits a [search warrant] to us, we take it, we analyze it, </w:t>
      </w:r>
      <w:proofErr w:type="spellStart"/>
      <w:r w:rsidRPr="00ED3CFB">
        <w:t>wepack</w:t>
      </w:r>
      <w:proofErr w:type="spellEnd"/>
      <w:r w:rsidRPr="00ED3CFB">
        <w:t xml:space="preserve"> it, extract the data, and then package it together, and submit</w:t>
      </w:r>
      <w:r>
        <w:t xml:space="preserve"> </w:t>
      </w:r>
      <w:r w:rsidRPr="00ED3CFB">
        <w:t>it. [We a]</w:t>
      </w:r>
      <w:proofErr w:type="spellStart"/>
      <w:r w:rsidRPr="00ED3CFB">
        <w:t>nonymize</w:t>
      </w:r>
      <w:proofErr w:type="spellEnd"/>
      <w:r w:rsidRPr="00ED3CFB">
        <w:t xml:space="preserve"> the data</w:t>
      </w:r>
      <w:r>
        <w:t xml:space="preserve"> </w:t>
      </w:r>
      <w:r w:rsidRPr="00ED3CFB">
        <w:t>and then submit it back over to</w:t>
      </w:r>
      <w:r>
        <w:t xml:space="preserve"> </w:t>
      </w:r>
      <w:r w:rsidRPr="001D1304">
        <w:t>law enforcement through our law enforcement respondent</w:t>
      </w:r>
      <w:r>
        <w:t xml:space="preserve"> </w:t>
      </w:r>
      <w:r w:rsidRPr="001D1304">
        <w:t>coordinator (Step 1)</w:t>
      </w:r>
      <w:r>
        <w:t xml:space="preserve">. </w:t>
      </w:r>
      <w:r w:rsidRPr="001D1304">
        <w:t>The next step is Step 2, and this is additional contextual</w:t>
      </w:r>
      <w:r>
        <w:t xml:space="preserve"> </w:t>
      </w:r>
      <w:r w:rsidRPr="001D1304">
        <w:t>[LH] data. …. This is data that is anonymized still, and it just</w:t>
      </w:r>
      <w:r>
        <w:t xml:space="preserve"> </w:t>
      </w:r>
      <w:r w:rsidRPr="001D1304">
        <w:t>provides a little more contex</w:t>
      </w:r>
      <w:r>
        <w:t xml:space="preserve">t </w:t>
      </w:r>
      <w:r w:rsidRPr="001D1304">
        <w:t>to the original Step 1 data (Step</w:t>
      </w:r>
      <w:r>
        <w:t xml:space="preserve"> </w:t>
      </w:r>
      <w:r w:rsidRPr="001D1304">
        <w:t>2)</w:t>
      </w:r>
      <w:r>
        <w:t xml:space="preserve">, </w:t>
      </w:r>
      <w:r w:rsidRPr="001D1304">
        <w:t xml:space="preserve">The third step is when we </w:t>
      </w:r>
      <w:proofErr w:type="gramStart"/>
      <w:r w:rsidRPr="001D1304">
        <w:t>actually unmask</w:t>
      </w:r>
      <w:proofErr w:type="gramEnd"/>
      <w:r w:rsidRPr="001D1304">
        <w:t xml:space="preserve"> and identify this</w:t>
      </w:r>
      <w:r>
        <w:t xml:space="preserve"> </w:t>
      </w:r>
      <w:r w:rsidRPr="001D1304">
        <w:t>data and produce that to law enforcement[ (Step 3)</w:t>
      </w:r>
      <w:r>
        <w:t>.”</w:t>
      </w:r>
    </w:p>
    <w:p w14:paraId="0298A34D" w14:textId="77777777" w:rsidR="00A85CFB" w:rsidRDefault="00A85CFB" w:rsidP="00607129">
      <w:pPr>
        <w:pStyle w:val="NoSpacing"/>
        <w:rPr>
          <w:rFonts w:ascii="Arial Black" w:hAnsi="Arial Black"/>
          <w:sz w:val="28"/>
          <w:szCs w:val="28"/>
        </w:rPr>
      </w:pPr>
    </w:p>
    <w:p w14:paraId="5AEA7FE3" w14:textId="230EDA17" w:rsidR="004F7489" w:rsidRDefault="004F7489" w:rsidP="004F7489">
      <w:pPr>
        <w:pStyle w:val="NoSpacing"/>
        <w:rPr>
          <w:rFonts w:ascii="Arial Black" w:hAnsi="Arial Black"/>
          <w:sz w:val="28"/>
          <w:szCs w:val="28"/>
        </w:rPr>
      </w:pPr>
      <w:r>
        <w:rPr>
          <w:rFonts w:ascii="Arial Black" w:hAnsi="Arial Black"/>
          <w:sz w:val="28"/>
          <w:szCs w:val="28"/>
        </w:rPr>
        <w:t>3-79</w:t>
      </w:r>
    </w:p>
    <w:p w14:paraId="639B6124" w14:textId="77777777" w:rsidR="004F7489" w:rsidRDefault="004F7489" w:rsidP="00607129">
      <w:pPr>
        <w:pStyle w:val="NoSpacing"/>
        <w:rPr>
          <w:rFonts w:ascii="Arial Black" w:hAnsi="Arial Black"/>
          <w:sz w:val="28"/>
          <w:szCs w:val="28"/>
        </w:rPr>
      </w:pPr>
    </w:p>
    <w:p w14:paraId="3F0F3B8C" w14:textId="77777777" w:rsidR="000946BC" w:rsidRPr="00D21228" w:rsidRDefault="000946BC" w:rsidP="000946BC">
      <w:pPr>
        <w:pStyle w:val="NoSpacing"/>
        <w:rPr>
          <w:rFonts w:ascii="Arial Black" w:hAnsi="Arial Black"/>
          <w:sz w:val="28"/>
          <w:szCs w:val="28"/>
        </w:rPr>
      </w:pPr>
      <w:r>
        <w:rPr>
          <w:rFonts w:ascii="Arial Black" w:hAnsi="Arial Black"/>
          <w:sz w:val="28"/>
          <w:szCs w:val="28"/>
        </w:rPr>
        <w:t xml:space="preserve">NJ: NO FIREAMS “SENSITIVE PLACES” – LAW UPHELD </w:t>
      </w:r>
    </w:p>
    <w:p w14:paraId="466C2D5F" w14:textId="77777777" w:rsidR="000946BC" w:rsidRDefault="000946BC" w:rsidP="000946BC">
      <w:pPr>
        <w:pStyle w:val="NoSpacing"/>
      </w:pPr>
    </w:p>
    <w:p w14:paraId="3F15623D" w14:textId="77777777" w:rsidR="000946BC" w:rsidRDefault="000946BC" w:rsidP="000946BC">
      <w:pPr>
        <w:pStyle w:val="NoSpacing"/>
      </w:pPr>
      <w:r>
        <w:t xml:space="preserve">On September 10, 2025, in </w:t>
      </w:r>
      <w:r w:rsidRPr="006D2E60">
        <w:rPr>
          <w:u w:val="single"/>
        </w:rPr>
        <w:t>Ronald Koons, Second Amendment Foundation Inc., et al. v. Attorney General of New Jersey, et al</w:t>
      </w:r>
      <w:r>
        <w:t xml:space="preserve">., the United States Court of Appeals for Third Circuit (Philadelphia) held (2 to 1) that the trial court judge improperly issued a preliminary injunction for most provisions of the 2022 New Jersey law.  Subject to minor exceptions, carrying a firearm in of these sensitive places (including bars, medical facilities, public parks, schools) constitutes a crime of the third degree, which carries a maximum sentence of five years’ imprisonment and a presumptive sentence of four years’ imprisonment. There is also a </w:t>
      </w:r>
      <w:r w:rsidRPr="00433FBF">
        <w:t>$300,000 liability insurance requirement</w:t>
      </w:r>
      <w:r>
        <w:t xml:space="preserve">.   The Court did, however, agree with District Court injunction against the requirement that those who transport guns in their private </w:t>
      </w:r>
      <w:proofErr w:type="gramStart"/>
      <w:r>
        <w:t>vehicles must</w:t>
      </w:r>
      <w:proofErr w:type="gramEnd"/>
      <w:r>
        <w:t xml:space="preserve"> unload their </w:t>
      </w:r>
      <w:r>
        <w:lastRenderedPageBreak/>
        <w:t xml:space="preserve">firearms and keep them locked in a secured container or the vehicle’s trunk.  “Because § 2C:58-4.6(b)(1)’s requirement as to private vehicles contradicts our Nation’s history and tradition, Plaintiffs are likely to succeed on the merits of their challenge to that particular restriction.”  </w:t>
      </w:r>
    </w:p>
    <w:p w14:paraId="32669800" w14:textId="77777777" w:rsidR="000946BC" w:rsidRDefault="000946BC" w:rsidP="000946BC">
      <w:pPr>
        <w:pStyle w:val="NoSpacing"/>
      </w:pPr>
    </w:p>
    <w:p w14:paraId="24E209AC" w14:textId="77777777" w:rsidR="000946BC" w:rsidRDefault="000946BC" w:rsidP="000946BC">
      <w:pPr>
        <w:pStyle w:val="NoSpacing"/>
      </w:pPr>
      <w:r w:rsidRPr="00693533">
        <w:rPr>
          <w:b/>
        </w:rPr>
        <w:t>THE COURT HELD</w:t>
      </w:r>
      <w:r>
        <w:t xml:space="preserve">: “Today, we must decide a question of immense public importance: whether it is likely that provisions of New Jersey Public Law 2022, Chapter 131, which impose certain firearms-permitting requirements and prohibit the carrying of firearms in certain ‘sensitive places,’ passes constitutional muster. For the most part, we agree with New Jersey and join our sister circuits that have upheld similar sensitive-places laws. *** Two terms ago, in </w:t>
      </w:r>
      <w:r w:rsidRPr="00960ADD">
        <w:rPr>
          <w:i/>
          <w:iCs/>
        </w:rPr>
        <w:t>United States v. Rahimi</w:t>
      </w:r>
      <w:r>
        <w:t xml:space="preserve">, the Supreme Court elaborated on Bruen. 602 U.S. 680 (2024). There, the Court rejected a challenge to the constitutionality of 18 U.S.C. § 922(g)(8), which bars a person subject to a domestic violence restraining order from possessing a firearm if he is found to pose a credible threat to his partner. *** </w:t>
      </w:r>
      <w:r w:rsidRPr="00B511E1">
        <w:t>[BARS]</w:t>
      </w:r>
      <w:r>
        <w:rPr>
          <w:b/>
        </w:rPr>
        <w:t xml:space="preserve">  </w:t>
      </w:r>
      <w:r>
        <w:t xml:space="preserve">Plaintiffs’ challenge to N.J. Stat. Ann. § 2C:58-4.6(a)(15) (proscribing firearms in ‘a bar or restaurant where alcohol is served, and any other site or facility where alcohol is sold for consumption on the premises’) fares no better…. Just as the Second and Ninth Circuits concluded in evaluating nearly identical laws, we hold that New Jersey’s statute is entirely consistent with the principle that legislatures may prohibit the carry of firearms in locations where they may be especially susceptible to misuse. *** </w:t>
      </w:r>
      <w:r w:rsidRPr="00B511E1">
        <w:t>[HEALTH CARE FACILITIES]</w:t>
      </w:r>
      <w:r>
        <w:rPr>
          <w:b/>
        </w:rPr>
        <w:t xml:space="preserve">  </w:t>
      </w:r>
      <w:r>
        <w:t xml:space="preserve">We next turn to Plaintiffs’ challenge to N.J. Stat. Ann. § 2C:58-4.6(a)(21)’s prohibition on carrying firearms at any ‘health care facility[.]’… As the Second Circuit recently concluded, ‘statutes of Maine, Massachusetts, and Rhode Island, which prohibited those with mental illness, intellectual disabilities, and alcohol addiction from serving in militias,’ which ‘were aimed at protecting vulnerable populations from either misusing arms or having arms used against them,’ embody a longstanding tradition of firearm regulation in locations where vulnerable populations are present.’ Id. at 1010–11. We agree and join our sister circuit in recognizing this principle of our Nation’s regulatory </w:t>
      </w:r>
      <w:proofErr w:type="gramStart"/>
      <w:r>
        <w:t>tradition.”</w:t>
      </w:r>
      <w:proofErr w:type="gramEnd"/>
      <w:r>
        <w:t xml:space="preserve"> </w:t>
      </w:r>
      <w:hyperlink r:id="rId663" w:history="1">
        <w:r w:rsidRPr="001E16A5">
          <w:rPr>
            <w:rStyle w:val="Hyperlink"/>
          </w:rPr>
          <w:t>https://www2.ca3.uscourts.gov/opinarch/231900p.pdf</w:t>
        </w:r>
      </w:hyperlink>
      <w:r>
        <w:t xml:space="preserve"> </w:t>
      </w:r>
    </w:p>
    <w:p w14:paraId="0E99E4E1" w14:textId="77777777" w:rsidR="000946BC" w:rsidRDefault="000946BC" w:rsidP="000946BC">
      <w:pPr>
        <w:pStyle w:val="NoSpacing"/>
      </w:pPr>
    </w:p>
    <w:p w14:paraId="40EE339A" w14:textId="77777777" w:rsidR="000946BC" w:rsidRDefault="000946BC" w:rsidP="000946BC">
      <w:pPr>
        <w:pStyle w:val="NoSpacing"/>
      </w:pPr>
    </w:p>
    <w:p w14:paraId="0D3E66B4" w14:textId="77777777" w:rsidR="000946BC" w:rsidRPr="005A464F" w:rsidRDefault="000946BC" w:rsidP="000946BC">
      <w:pPr>
        <w:pStyle w:val="NoSpacing"/>
        <w:rPr>
          <w:b/>
          <w:bCs/>
        </w:rPr>
      </w:pPr>
      <w:r w:rsidRPr="005A464F">
        <w:rPr>
          <w:b/>
        </w:rPr>
        <w:t>KEY FACTS:</w:t>
      </w:r>
    </w:p>
    <w:p w14:paraId="2DF6AD02" w14:textId="77777777" w:rsidR="000946BC" w:rsidRDefault="000946BC" w:rsidP="000946BC">
      <w:pPr>
        <w:pStyle w:val="NoSpacing"/>
      </w:pPr>
    </w:p>
    <w:p w14:paraId="6B57E03E" w14:textId="77777777" w:rsidR="000946BC" w:rsidRDefault="000946BC" w:rsidP="000946BC">
      <w:pPr>
        <w:pStyle w:val="NoSpacing"/>
        <w:ind w:left="360"/>
      </w:pPr>
      <w:r>
        <w:t xml:space="preserve">“For many decades, New Jersey required anyone who wanted to carry a handgun in public to show a ‘justifiable need’ for self-protection. In 2022, the Supreme Court held in </w:t>
      </w:r>
      <w:r w:rsidRPr="00AC3A70">
        <w:rPr>
          <w:i/>
          <w:iCs/>
        </w:rPr>
        <w:t>New York State Rifle &amp; Pistol Association v.</w:t>
      </w:r>
      <w:r>
        <w:rPr>
          <w:i/>
          <w:iCs/>
        </w:rPr>
        <w:t xml:space="preserve"> </w:t>
      </w:r>
      <w:r w:rsidRPr="00AC3A70">
        <w:rPr>
          <w:i/>
          <w:iCs/>
        </w:rPr>
        <w:t>Bruen, 597 U.S. 1 (2022),</w:t>
      </w:r>
      <w:r>
        <w:rPr>
          <w:i/>
          <w:iCs/>
        </w:rPr>
        <w:t xml:space="preserve"> </w:t>
      </w:r>
      <w:r>
        <w:t xml:space="preserve">that a similar New York law violated the Second Amendment of the U.S. Constitution. In response, the New Jersey legislature in 2022 enacted a measure known as Chapter 131, which excised the “justifiable need” requirement and added new licensing provisions and locational restrictions.  N.J. Stat. Ann. § 2C:58-4.6(a), prohibits carrying a firearm in twenty-five “sensitive places,” including: </w:t>
      </w:r>
    </w:p>
    <w:p w14:paraId="2542A568" w14:textId="77777777" w:rsidR="000946BC" w:rsidRDefault="000946BC" w:rsidP="000946BC">
      <w:pPr>
        <w:pStyle w:val="NoSpacing"/>
        <w:numPr>
          <w:ilvl w:val="0"/>
          <w:numId w:val="31"/>
        </w:numPr>
      </w:pPr>
      <w:r>
        <w:t>within 100 feet of a place where a public gathering, demonstration or event is held</w:t>
      </w:r>
    </w:p>
    <w:p w14:paraId="08D05C6E" w14:textId="77777777" w:rsidR="000946BC" w:rsidRDefault="000946BC" w:rsidP="000946BC">
      <w:pPr>
        <w:pStyle w:val="NoSpacing"/>
        <w:ind w:left="720"/>
      </w:pPr>
      <w:r>
        <w:t>for which a government permit is required, during the conduct of such gathering, demonstration or event;</w:t>
      </w:r>
    </w:p>
    <w:p w14:paraId="3C768CAD" w14:textId="77777777" w:rsidR="000946BC" w:rsidRDefault="000946BC" w:rsidP="000946BC">
      <w:pPr>
        <w:pStyle w:val="NoSpacing"/>
        <w:numPr>
          <w:ilvl w:val="0"/>
          <w:numId w:val="31"/>
        </w:numPr>
      </w:pPr>
      <w:r>
        <w:t>a school, college, university or other educational institution, and on any school</w:t>
      </w:r>
    </w:p>
    <w:p w14:paraId="2AFFA2D7" w14:textId="77777777" w:rsidR="000946BC" w:rsidRDefault="000946BC" w:rsidP="000946BC">
      <w:pPr>
        <w:pStyle w:val="NoSpacing"/>
        <w:ind w:firstLine="720"/>
      </w:pPr>
      <w:r>
        <w:t>bus;</w:t>
      </w:r>
    </w:p>
    <w:p w14:paraId="2C16CB5A" w14:textId="77777777" w:rsidR="000946BC" w:rsidRPr="00375A0E" w:rsidRDefault="000946BC" w:rsidP="000946BC">
      <w:pPr>
        <w:pStyle w:val="NoSpacing"/>
        <w:numPr>
          <w:ilvl w:val="0"/>
          <w:numId w:val="31"/>
        </w:numPr>
      </w:pPr>
      <w:r w:rsidRPr="00375A0E">
        <w:t>a bar or restaurant where alcohol is</w:t>
      </w:r>
      <w:r>
        <w:t xml:space="preserve"> </w:t>
      </w:r>
      <w:r w:rsidRPr="00375A0E">
        <w:t xml:space="preserve">served, and any other site or facility </w:t>
      </w:r>
      <w:proofErr w:type="gramStart"/>
      <w:r w:rsidRPr="00375A0E">
        <w:t>where</w:t>
      </w:r>
      <w:proofErr w:type="gramEnd"/>
    </w:p>
    <w:p w14:paraId="01840CD9" w14:textId="77777777" w:rsidR="000946BC" w:rsidRDefault="000946BC" w:rsidP="000946BC">
      <w:pPr>
        <w:pStyle w:val="NoSpacing"/>
        <w:ind w:firstLine="720"/>
      </w:pPr>
      <w:r w:rsidRPr="00375A0E">
        <w:t>alcohol is sold for consumption on the</w:t>
      </w:r>
      <w:r>
        <w:t xml:space="preserve"> </w:t>
      </w:r>
      <w:r w:rsidRPr="00375A0E">
        <w:t>premises</w:t>
      </w:r>
      <w:r>
        <w:t>.</w:t>
      </w:r>
    </w:p>
    <w:p w14:paraId="41ED8972" w14:textId="77777777" w:rsidR="000946BC" w:rsidRDefault="000946BC" w:rsidP="000946BC">
      <w:pPr>
        <w:pStyle w:val="NoSpacing"/>
        <w:numPr>
          <w:ilvl w:val="0"/>
          <w:numId w:val="32"/>
        </w:numPr>
      </w:pPr>
      <w:r>
        <w:t>a health care facility, including but not limited to a general hospital, special</w:t>
      </w:r>
    </w:p>
    <w:p w14:paraId="50BE9F20" w14:textId="77777777" w:rsidR="000946BC" w:rsidRDefault="000946BC" w:rsidP="000946BC">
      <w:pPr>
        <w:pStyle w:val="NoSpacing"/>
        <w:ind w:firstLine="720"/>
      </w:pPr>
      <w:r>
        <w:t>hospital, psychiatric hospital, public health center, diagnostic center, treatment</w:t>
      </w:r>
    </w:p>
    <w:p w14:paraId="3BEB6338" w14:textId="77777777" w:rsidR="000946BC" w:rsidRDefault="000946BC" w:rsidP="000946BC">
      <w:pPr>
        <w:pStyle w:val="NoSpacing"/>
        <w:ind w:left="720"/>
      </w:pPr>
      <w:r>
        <w:t>center, rehabilitation center, extended care facility, skilled nursing home, nursing home, intermediate care facility, tuberculosis hospital, chronic disease hospital, maternity hospital, outpatient clinic, dispensary, assisted living center, home health care agency, residential treatment facility, residential health care facility, medical office, or ambulatory</w:t>
      </w:r>
    </w:p>
    <w:p w14:paraId="504A37F4" w14:textId="77777777" w:rsidR="000946BC" w:rsidRDefault="000946BC" w:rsidP="000946BC">
      <w:pPr>
        <w:pStyle w:val="NoSpacing"/>
        <w:ind w:firstLine="720"/>
      </w:pPr>
      <w:r>
        <w:t>care facility.”</w:t>
      </w:r>
    </w:p>
    <w:p w14:paraId="4A5178F6" w14:textId="77777777" w:rsidR="000946BC" w:rsidRDefault="000946BC" w:rsidP="000946BC">
      <w:pPr>
        <w:pStyle w:val="NoSpacing"/>
      </w:pPr>
    </w:p>
    <w:p w14:paraId="329A4FBB" w14:textId="77777777" w:rsidR="000946BC" w:rsidRDefault="000946BC" w:rsidP="000946BC">
      <w:pPr>
        <w:pStyle w:val="NoSpacing"/>
        <w:rPr>
          <w:b/>
          <w:bCs/>
        </w:rPr>
      </w:pPr>
      <w:r>
        <w:rPr>
          <w:b/>
        </w:rPr>
        <w:t>Legal lesson learned:  This case does indeed involve a “</w:t>
      </w:r>
      <w:r w:rsidRPr="00BC287F">
        <w:rPr>
          <w:b/>
        </w:rPr>
        <w:t>question of immense public</w:t>
      </w:r>
      <w:r>
        <w:rPr>
          <w:b/>
        </w:rPr>
        <w:t xml:space="preserve"> </w:t>
      </w:r>
      <w:r w:rsidRPr="00BC287F">
        <w:rPr>
          <w:b/>
        </w:rPr>
        <w:t>importance</w:t>
      </w:r>
      <w:r>
        <w:rPr>
          <w:b/>
        </w:rPr>
        <w:t>.”  The dissenting Circuit Judge, however, described the impact on law abiding citizens, including EMS who wish to carry firearms off duty.</w:t>
      </w:r>
    </w:p>
    <w:p w14:paraId="64F19505" w14:textId="77777777" w:rsidR="000946BC" w:rsidRDefault="000946BC" w:rsidP="000946BC">
      <w:pPr>
        <w:pStyle w:val="NoSpacing"/>
        <w:rPr>
          <w:b/>
          <w:bCs/>
        </w:rPr>
      </w:pPr>
    </w:p>
    <w:p w14:paraId="22EEC3B9" w14:textId="77777777" w:rsidR="000946BC" w:rsidRDefault="000946BC" w:rsidP="000946BC">
      <w:pPr>
        <w:pStyle w:val="NoSpacing"/>
        <w:ind w:left="720"/>
      </w:pPr>
      <w:r w:rsidRPr="0094749A">
        <w:t xml:space="preserve">Note: The dissenting Circuit Judge, David J. Porter, discussed impact of the statute on a </w:t>
      </w:r>
      <w:r>
        <w:t>former EMT and current Medical Reserve Corps volunteer.</w:t>
      </w:r>
    </w:p>
    <w:p w14:paraId="3CD7610E" w14:textId="77777777" w:rsidR="000946BC" w:rsidRDefault="000946BC" w:rsidP="000946BC">
      <w:pPr>
        <w:pStyle w:val="NoSpacing"/>
        <w:ind w:left="720"/>
      </w:pPr>
    </w:p>
    <w:p w14:paraId="2DB32F8D" w14:textId="77777777" w:rsidR="000946BC" w:rsidRDefault="000946BC" w:rsidP="000946BC">
      <w:pPr>
        <w:ind w:left="720"/>
        <w:rPr>
          <w:bCs/>
        </w:rPr>
      </w:pPr>
      <w:r>
        <w:lastRenderedPageBreak/>
        <w:t>“</w:t>
      </w:r>
      <w:r w:rsidRPr="00D5033F">
        <w:t>This case is different because Plaintiffs are already experiencing harm. Siegel, a former Emergency Medical Technician and current New Jersey Medical Reserve Corps volunteer</w:t>
      </w:r>
      <w:r>
        <w:t xml:space="preserve"> … </w:t>
      </w:r>
      <w:r w:rsidRPr="00D5033F">
        <w:t>often carried his handgun, lawfully, for self-defense in his medical work. Now he doesn't carry out of fear of arrest and prosecution</w:t>
      </w:r>
      <w:r>
        <w:t xml:space="preserve">…. </w:t>
      </w:r>
      <w:r w:rsidRPr="00D5033F">
        <w:t>Like most people, Siegel frequents strip malls, museums, zoos, libraries, public parks, movie theaters, concerts, sporting events, and restaurants where alcohol is served. He rides public transportation. He sometimes visits casinos to gamble and attend shows. He takes continuing education courses, sometimes in hospitals and training centers. In these and other places where Siegel normally goes, he would ordinarily carry a handgun, but now he refrains from doing so out of fear of arrest and</w:t>
      </w:r>
      <w:r>
        <w:t xml:space="preserve"> </w:t>
      </w:r>
      <w:proofErr w:type="gramStart"/>
      <w:r w:rsidRPr="00D5033F">
        <w:t>prosecution</w:t>
      </w:r>
      <w:r>
        <w:t>.”</w:t>
      </w:r>
      <w:proofErr w:type="gramEnd"/>
      <w:r w:rsidRPr="00D5033F">
        <w:t> </w:t>
      </w:r>
      <w:r>
        <w:t xml:space="preserve"> </w:t>
      </w:r>
    </w:p>
    <w:p w14:paraId="4E34096A" w14:textId="77777777" w:rsidR="000946BC" w:rsidRDefault="000946BC" w:rsidP="000946BC">
      <w:hyperlink r:id="rId664" w:history="1">
        <w:r w:rsidRPr="001E16A5">
          <w:rPr>
            <w:rStyle w:val="Hyperlink"/>
          </w:rPr>
          <w:t>https://www2.ca3.uscourts.gov/opinarch/231900p.pdf</w:t>
        </w:r>
      </w:hyperlink>
    </w:p>
    <w:p w14:paraId="4C425189" w14:textId="77777777" w:rsidR="00440B47" w:rsidRDefault="00440B47" w:rsidP="00607129">
      <w:pPr>
        <w:pStyle w:val="NoSpacing"/>
        <w:rPr>
          <w:rFonts w:ascii="Arial Black" w:hAnsi="Arial Black"/>
          <w:sz w:val="28"/>
          <w:szCs w:val="28"/>
        </w:rPr>
      </w:pPr>
    </w:p>
    <w:p w14:paraId="4EF55C4E" w14:textId="5C914649" w:rsidR="00E24913" w:rsidRDefault="00E24913" w:rsidP="00607129">
      <w:pPr>
        <w:pStyle w:val="NoSpacing"/>
        <w:rPr>
          <w:rFonts w:ascii="Arial Black" w:hAnsi="Arial Black"/>
          <w:sz w:val="28"/>
          <w:szCs w:val="28"/>
        </w:rPr>
      </w:pPr>
      <w:r>
        <w:rPr>
          <w:rFonts w:ascii="Arial Black" w:hAnsi="Arial Black"/>
          <w:sz w:val="28"/>
          <w:szCs w:val="28"/>
        </w:rPr>
        <w:t>3-78</w:t>
      </w:r>
    </w:p>
    <w:p w14:paraId="5EAF607E" w14:textId="77777777" w:rsidR="00E24913" w:rsidRDefault="00E24913" w:rsidP="00607129">
      <w:pPr>
        <w:pStyle w:val="NoSpacing"/>
        <w:rPr>
          <w:rFonts w:ascii="Arial Black" w:hAnsi="Arial Black"/>
          <w:sz w:val="28"/>
          <w:szCs w:val="28"/>
        </w:rPr>
      </w:pPr>
    </w:p>
    <w:p w14:paraId="55F40204" w14:textId="77777777" w:rsidR="00E64DE3" w:rsidRDefault="00E64DE3" w:rsidP="00E64DE3">
      <w:pPr>
        <w:pStyle w:val="NoSpacing"/>
        <w:rPr>
          <w:rFonts w:ascii="Arial Black" w:hAnsi="Arial Black"/>
          <w:sz w:val="28"/>
          <w:szCs w:val="28"/>
        </w:rPr>
      </w:pPr>
      <w:r>
        <w:rPr>
          <w:rFonts w:ascii="Arial Black" w:hAnsi="Arial Black"/>
          <w:sz w:val="28"/>
          <w:szCs w:val="28"/>
        </w:rPr>
        <w:t xml:space="preserve">CA: AMMO PURCHASES – CA BACKGROUND CHECKS </w:t>
      </w:r>
    </w:p>
    <w:p w14:paraId="0CFE3816" w14:textId="77777777" w:rsidR="00E64DE3" w:rsidRDefault="00E64DE3" w:rsidP="00E64DE3">
      <w:pPr>
        <w:pStyle w:val="NoSpacing"/>
      </w:pPr>
    </w:p>
    <w:p w14:paraId="0FBA554C" w14:textId="77777777" w:rsidR="00E64DE3" w:rsidRPr="00B5776F" w:rsidRDefault="00E64DE3" w:rsidP="00E64DE3">
      <w:pPr>
        <w:pStyle w:val="NoSpacing"/>
        <w:rPr>
          <w:rFonts w:ascii="Times New Roman" w:hAnsi="Times New Roman"/>
          <w:sz w:val="24"/>
          <w:szCs w:val="24"/>
        </w:rPr>
      </w:pPr>
      <w:r w:rsidRPr="00B5776F">
        <w:rPr>
          <w:rFonts w:ascii="Times New Roman" w:hAnsi="Times New Roman"/>
          <w:sz w:val="24"/>
          <w:szCs w:val="24"/>
        </w:rPr>
        <w:t xml:space="preserve">On July 24, 2025, in </w:t>
      </w:r>
      <w:r w:rsidRPr="00B5776F">
        <w:rPr>
          <w:rFonts w:ascii="Times New Roman" w:hAnsi="Times New Roman"/>
          <w:sz w:val="24"/>
          <w:szCs w:val="24"/>
          <w:u w:val="single"/>
        </w:rPr>
        <w:t>Kim Rhode, et al. v. Rob Bonta, in his official capacity as Attorney General of the State of California</w:t>
      </w:r>
      <w:r w:rsidRPr="00B5776F">
        <w:rPr>
          <w:rFonts w:ascii="Times New Roman" w:hAnsi="Times New Roman"/>
          <w:sz w:val="24"/>
          <w:szCs w:val="24"/>
        </w:rPr>
        <w:t>, the U.S. Court of Appeals for 9</w:t>
      </w:r>
      <w:r w:rsidRPr="00B5776F">
        <w:rPr>
          <w:rFonts w:ascii="Times New Roman" w:hAnsi="Times New Roman"/>
          <w:sz w:val="24"/>
          <w:szCs w:val="24"/>
          <w:vertAlign w:val="superscript"/>
        </w:rPr>
        <w:t>th</w:t>
      </w:r>
      <w:r w:rsidRPr="00B5776F">
        <w:rPr>
          <w:rFonts w:ascii="Times New Roman" w:hAnsi="Times New Roman"/>
          <w:sz w:val="24"/>
          <w:szCs w:val="24"/>
        </w:rPr>
        <w:t xml:space="preserve"> Circuit (San Francisco) held (2 to 1) that California’s “first-of-its-find” ammunition background checks before each ammo purchase violates the Second Amendment. THE COURT HELD: “We hold that California’s ammunition</w:t>
      </w:r>
    </w:p>
    <w:p w14:paraId="70BE774F" w14:textId="7A670C03" w:rsidR="00E64DE3" w:rsidRPr="00B5776F" w:rsidRDefault="00E64DE3" w:rsidP="00E64DE3">
      <w:pPr>
        <w:pStyle w:val="NoSpacing"/>
        <w:rPr>
          <w:rFonts w:ascii="Times New Roman" w:hAnsi="Times New Roman"/>
          <w:sz w:val="24"/>
          <w:szCs w:val="24"/>
        </w:rPr>
      </w:pPr>
      <w:r w:rsidRPr="00B5776F">
        <w:rPr>
          <w:rFonts w:ascii="Times New Roman" w:hAnsi="Times New Roman"/>
          <w:sz w:val="24"/>
          <w:szCs w:val="24"/>
        </w:rPr>
        <w:t xml:space="preserve">background check regime is unconstitutional, and we affirm the district court’s grant of a permanent injunction.”  </w:t>
      </w:r>
      <w:hyperlink r:id="rId665" w:history="1">
        <w:r w:rsidRPr="00B5776F">
          <w:rPr>
            <w:rStyle w:val="Hyperlink"/>
            <w:rFonts w:ascii="Times New Roman" w:hAnsi="Times New Roman"/>
            <w:sz w:val="24"/>
            <w:szCs w:val="24"/>
          </w:rPr>
          <w:t>https://cdn.ca9.uscourts.gov/datastore/opinions/2025/07/24/24-542.pdf</w:t>
        </w:r>
      </w:hyperlink>
    </w:p>
    <w:p w14:paraId="2EA8CC5D" w14:textId="77777777" w:rsidR="00B5776F" w:rsidRPr="00B5776F" w:rsidRDefault="00B5776F" w:rsidP="00B5776F">
      <w:pPr>
        <w:pStyle w:val="NoSpacing"/>
        <w:rPr>
          <w:rFonts w:ascii="Times New Roman" w:hAnsi="Times New Roman"/>
          <w:bCs/>
          <w:sz w:val="24"/>
          <w:szCs w:val="24"/>
        </w:rPr>
      </w:pPr>
      <w:r w:rsidRPr="00B5776F">
        <w:rPr>
          <w:rFonts w:ascii="Times New Roman" w:hAnsi="Times New Roman"/>
          <w:sz w:val="24"/>
          <w:szCs w:val="24"/>
        </w:rPr>
        <w:t xml:space="preserve">Dissent:  </w:t>
      </w:r>
    </w:p>
    <w:p w14:paraId="1CB4CB67" w14:textId="77777777" w:rsidR="00B5776F" w:rsidRPr="00B5776F" w:rsidRDefault="00B5776F" w:rsidP="00B5776F">
      <w:pPr>
        <w:pStyle w:val="NoSpacing"/>
        <w:rPr>
          <w:rFonts w:ascii="Times New Roman" w:hAnsi="Times New Roman"/>
          <w:bCs/>
          <w:sz w:val="24"/>
          <w:szCs w:val="24"/>
        </w:rPr>
      </w:pPr>
    </w:p>
    <w:p w14:paraId="5EEBEA0F" w14:textId="77777777" w:rsidR="00B5776F" w:rsidRPr="00B5776F" w:rsidRDefault="00B5776F" w:rsidP="00B5776F">
      <w:pPr>
        <w:pStyle w:val="NoSpacing"/>
        <w:ind w:left="720"/>
        <w:rPr>
          <w:rFonts w:ascii="Times New Roman" w:hAnsi="Times New Roman"/>
          <w:bCs/>
          <w:sz w:val="24"/>
          <w:szCs w:val="24"/>
        </w:rPr>
      </w:pPr>
      <w:r w:rsidRPr="00B5776F">
        <w:rPr>
          <w:rFonts w:ascii="Times New Roman" w:hAnsi="Times New Roman"/>
          <w:sz w:val="24"/>
          <w:szCs w:val="24"/>
        </w:rPr>
        <w:t>“California, which has administered the scheme since 2019, has shown that the vast majority of its checks cost one dollar and impose less than one minute of delay.”</w:t>
      </w:r>
    </w:p>
    <w:p w14:paraId="1B7F31C5" w14:textId="77777777" w:rsidR="00B5776F" w:rsidRPr="00B5776F" w:rsidRDefault="00B5776F" w:rsidP="00B5776F">
      <w:pPr>
        <w:pStyle w:val="NoSpacing"/>
        <w:ind w:left="720"/>
        <w:rPr>
          <w:rFonts w:ascii="Times New Roman" w:hAnsi="Times New Roman"/>
          <w:bCs/>
          <w:sz w:val="24"/>
          <w:szCs w:val="24"/>
        </w:rPr>
      </w:pPr>
    </w:p>
    <w:p w14:paraId="79A510C1" w14:textId="77777777" w:rsidR="00B5776F" w:rsidRPr="00B5776F" w:rsidRDefault="00B5776F" w:rsidP="00B5776F">
      <w:pPr>
        <w:pStyle w:val="NoSpacing"/>
        <w:rPr>
          <w:rFonts w:ascii="Times New Roman" w:hAnsi="Times New Roman"/>
          <w:b/>
          <w:sz w:val="24"/>
          <w:szCs w:val="24"/>
        </w:rPr>
      </w:pPr>
      <w:r w:rsidRPr="00B5776F">
        <w:rPr>
          <w:rFonts w:ascii="Times New Roman" w:hAnsi="Times New Roman"/>
          <w:b/>
          <w:sz w:val="24"/>
          <w:szCs w:val="24"/>
        </w:rPr>
        <w:t xml:space="preserve">Legal lesson learned:  California may appeal to U.S. Supreme Court (but this requires 4 Justices to agree to hear the appeal).  It’s time for Congress to close “loopholes” in firearm laws; quick background checks to buy ammo seems like an excellent law. </w:t>
      </w:r>
    </w:p>
    <w:p w14:paraId="63E6F744" w14:textId="77777777" w:rsidR="00B5776F" w:rsidRDefault="00B5776F" w:rsidP="00E64DE3">
      <w:pPr>
        <w:pStyle w:val="NoSpacing"/>
        <w:rPr>
          <w:rFonts w:ascii="Arial Black" w:hAnsi="Arial Black"/>
          <w:sz w:val="28"/>
          <w:szCs w:val="28"/>
        </w:rPr>
      </w:pPr>
    </w:p>
    <w:p w14:paraId="60B17B02" w14:textId="77777777" w:rsidR="00E24913" w:rsidRDefault="00E24913" w:rsidP="00607129">
      <w:pPr>
        <w:pStyle w:val="NoSpacing"/>
        <w:rPr>
          <w:rFonts w:ascii="Arial Black" w:hAnsi="Arial Black"/>
          <w:sz w:val="28"/>
          <w:szCs w:val="28"/>
        </w:rPr>
      </w:pPr>
    </w:p>
    <w:p w14:paraId="1BD8404A" w14:textId="77777777" w:rsidR="00E24913" w:rsidRDefault="00E24913" w:rsidP="00607129">
      <w:pPr>
        <w:pStyle w:val="NoSpacing"/>
        <w:rPr>
          <w:rFonts w:ascii="Arial Black" w:hAnsi="Arial Black"/>
          <w:sz w:val="28"/>
          <w:szCs w:val="28"/>
        </w:rPr>
      </w:pPr>
    </w:p>
    <w:p w14:paraId="3F9153E9" w14:textId="77777777" w:rsidR="00E24913" w:rsidRDefault="00E24913" w:rsidP="00607129">
      <w:pPr>
        <w:pStyle w:val="NoSpacing"/>
        <w:rPr>
          <w:rFonts w:ascii="Arial Black" w:hAnsi="Arial Black"/>
          <w:sz w:val="28"/>
          <w:szCs w:val="28"/>
        </w:rPr>
      </w:pPr>
    </w:p>
    <w:p w14:paraId="2DB361C3" w14:textId="52270FAD" w:rsidR="00607129" w:rsidRDefault="00607129" w:rsidP="00607129">
      <w:pPr>
        <w:pStyle w:val="NoSpacing"/>
        <w:rPr>
          <w:rFonts w:ascii="Arial Black" w:hAnsi="Arial Black"/>
          <w:sz w:val="28"/>
          <w:szCs w:val="28"/>
        </w:rPr>
      </w:pPr>
      <w:r>
        <w:rPr>
          <w:rFonts w:ascii="Arial Black" w:hAnsi="Arial Black"/>
          <w:sz w:val="28"/>
          <w:szCs w:val="28"/>
        </w:rPr>
        <w:t>3-7</w:t>
      </w:r>
      <w:r w:rsidR="00680234">
        <w:rPr>
          <w:rFonts w:ascii="Arial Black" w:hAnsi="Arial Black"/>
          <w:sz w:val="28"/>
          <w:szCs w:val="28"/>
        </w:rPr>
        <w:t>7</w:t>
      </w:r>
    </w:p>
    <w:p w14:paraId="72868543" w14:textId="77777777" w:rsidR="00607129" w:rsidRDefault="00607129" w:rsidP="00F326E5">
      <w:pPr>
        <w:pStyle w:val="NoSpacing"/>
        <w:rPr>
          <w:rFonts w:ascii="Arial Black" w:hAnsi="Arial Black"/>
          <w:sz w:val="28"/>
          <w:szCs w:val="28"/>
        </w:rPr>
      </w:pPr>
    </w:p>
    <w:p w14:paraId="1AB4EDF9" w14:textId="33BCA391" w:rsidR="002333BA" w:rsidRDefault="002333BA" w:rsidP="002333BA">
      <w:pPr>
        <w:rPr>
          <w:rFonts w:ascii="Arial Black" w:hAnsi="Arial Black"/>
          <w:b/>
          <w:sz w:val="28"/>
          <w:szCs w:val="28"/>
        </w:rPr>
      </w:pPr>
      <w:r>
        <w:rPr>
          <w:rFonts w:ascii="Arial Black" w:hAnsi="Arial Black"/>
          <w:b/>
          <w:sz w:val="28"/>
          <w:szCs w:val="28"/>
        </w:rPr>
        <w:t>U.S. SUP. CT – DEPORTATION 3</w:t>
      </w:r>
      <w:r w:rsidRPr="00995B6B">
        <w:rPr>
          <w:rFonts w:ascii="Arial Black" w:hAnsi="Arial Black"/>
          <w:b/>
          <w:sz w:val="28"/>
          <w:szCs w:val="28"/>
          <w:vertAlign w:val="superscript"/>
        </w:rPr>
        <w:t>rd</w:t>
      </w:r>
      <w:r>
        <w:rPr>
          <w:rFonts w:ascii="Arial Black" w:hAnsi="Arial Black"/>
          <w:b/>
          <w:sz w:val="28"/>
          <w:szCs w:val="28"/>
        </w:rPr>
        <w:t xml:space="preserve"> COUNTRIES – NO INJUCT</w:t>
      </w:r>
      <w:r w:rsidR="00064669">
        <w:rPr>
          <w:rFonts w:ascii="Arial Black" w:hAnsi="Arial Black"/>
          <w:b/>
          <w:sz w:val="28"/>
          <w:szCs w:val="28"/>
        </w:rPr>
        <w:t>ION</w:t>
      </w:r>
    </w:p>
    <w:p w14:paraId="2A1A1E82" w14:textId="77777777" w:rsidR="002333BA" w:rsidRPr="00B5776F" w:rsidRDefault="002333BA" w:rsidP="002333BA">
      <w:pPr>
        <w:pStyle w:val="NoSpacing"/>
        <w:rPr>
          <w:rFonts w:ascii="Times New Roman" w:hAnsi="Times New Roman"/>
          <w:bCs/>
          <w:sz w:val="24"/>
          <w:szCs w:val="24"/>
        </w:rPr>
      </w:pPr>
      <w:r w:rsidRPr="00B5776F">
        <w:rPr>
          <w:rFonts w:ascii="Times New Roman" w:hAnsi="Times New Roman"/>
          <w:sz w:val="24"/>
          <w:szCs w:val="24"/>
        </w:rPr>
        <w:t xml:space="preserve">On June 23, 2025, in </w:t>
      </w:r>
      <w:r w:rsidRPr="00B5776F">
        <w:rPr>
          <w:rFonts w:ascii="Times New Roman" w:hAnsi="Times New Roman"/>
          <w:sz w:val="24"/>
          <w:szCs w:val="24"/>
          <w:u w:val="single"/>
        </w:rPr>
        <w:t>Department of Homeland Security, et al. v. D.V.D., et al</w:t>
      </w:r>
      <w:r w:rsidRPr="00B5776F">
        <w:rPr>
          <w:rFonts w:ascii="Times New Roman" w:hAnsi="Times New Roman"/>
          <w:sz w:val="24"/>
          <w:szCs w:val="24"/>
        </w:rPr>
        <w:t xml:space="preserve">, the U.S. Supreme Court (7 to 2; Court Order – no Opinion) has set aside orders by U.S. District Court Judge Brian E. Murphy, Boston, of March 28, 2025 (temporary restraining order) and April 18, 2025 (preliminary injunction) against deporting some illegal aliens to South Sedan, since their home countries refused to accept them.  THE COURT HELD: “The April 18,2025, preliminary injunction of the United States District Court for the District of Massachusetts, case No. 25–cv–10676, is stayed pending the disposition of the appeal in the United States Court of Appeals for the First Circuit and disposition of a petition for a writ of certiorari, if such writ is timely sought. Should certiorari be denied, this stay shall terminate automatically. In the event certiorari is granted, the stay shall terminate upon </w:t>
      </w:r>
      <w:r w:rsidRPr="00B5776F">
        <w:rPr>
          <w:rFonts w:ascii="Times New Roman" w:hAnsi="Times New Roman"/>
          <w:sz w:val="24"/>
          <w:szCs w:val="24"/>
        </w:rPr>
        <w:lastRenderedPageBreak/>
        <w:t xml:space="preserve">the sending down of the judgment of the Court.”   </w:t>
      </w:r>
      <w:hyperlink r:id="rId666" w:history="1">
        <w:r w:rsidRPr="00B5776F">
          <w:rPr>
            <w:rStyle w:val="Hyperlink"/>
            <w:rFonts w:ascii="Times New Roman" w:hAnsi="Times New Roman"/>
            <w:sz w:val="24"/>
            <w:szCs w:val="24"/>
          </w:rPr>
          <w:t>https://www.supremecourt.gov/opinions/24pdf/24a1153_l5gm.pdf</w:t>
        </w:r>
      </w:hyperlink>
      <w:r w:rsidRPr="00B5776F">
        <w:rPr>
          <w:rFonts w:ascii="Times New Roman" w:hAnsi="Times New Roman"/>
          <w:sz w:val="24"/>
          <w:szCs w:val="24"/>
        </w:rPr>
        <w:t xml:space="preserve"> </w:t>
      </w:r>
    </w:p>
    <w:p w14:paraId="48DC864F" w14:textId="77777777" w:rsidR="00646EE3" w:rsidRPr="00B5776F" w:rsidRDefault="00646EE3" w:rsidP="00F326E5">
      <w:pPr>
        <w:pStyle w:val="NoSpacing"/>
        <w:rPr>
          <w:rFonts w:ascii="Times New Roman" w:hAnsi="Times New Roman"/>
          <w:sz w:val="24"/>
          <w:szCs w:val="24"/>
        </w:rPr>
      </w:pPr>
    </w:p>
    <w:p w14:paraId="3C93226A" w14:textId="77777777" w:rsidR="00230904" w:rsidRPr="00230904" w:rsidRDefault="00230904" w:rsidP="00230904">
      <w:pPr>
        <w:rPr>
          <w:rFonts w:ascii="Times New Roman" w:hAnsi="Times New Roman"/>
          <w:b/>
          <w:sz w:val="24"/>
          <w:szCs w:val="24"/>
        </w:rPr>
      </w:pPr>
      <w:r w:rsidRPr="00230904">
        <w:rPr>
          <w:rFonts w:ascii="Times New Roman" w:hAnsi="Times New Roman"/>
          <w:b/>
          <w:sz w:val="24"/>
          <w:szCs w:val="24"/>
        </w:rPr>
        <w:t xml:space="preserve">Legal lesson learned: </w:t>
      </w:r>
      <w:proofErr w:type="gramStart"/>
      <w:r w:rsidRPr="00230904">
        <w:rPr>
          <w:rFonts w:ascii="Times New Roman" w:hAnsi="Times New Roman"/>
          <w:b/>
          <w:sz w:val="24"/>
          <w:szCs w:val="24"/>
        </w:rPr>
        <w:t>The majority of</w:t>
      </w:r>
      <w:proofErr w:type="gramEnd"/>
      <w:r w:rsidRPr="00230904">
        <w:rPr>
          <w:rFonts w:ascii="Times New Roman" w:hAnsi="Times New Roman"/>
          <w:b/>
          <w:sz w:val="24"/>
          <w:szCs w:val="24"/>
        </w:rPr>
        <w:t xml:space="preserve"> the Justices have now, at least temporarily, allowed deportation to third countries; at least until the 1</w:t>
      </w:r>
      <w:r w:rsidRPr="00230904">
        <w:rPr>
          <w:rFonts w:ascii="Times New Roman" w:hAnsi="Times New Roman"/>
          <w:b/>
          <w:sz w:val="24"/>
          <w:szCs w:val="24"/>
          <w:vertAlign w:val="superscript"/>
        </w:rPr>
        <w:t>st</w:t>
      </w:r>
      <w:r w:rsidRPr="00230904">
        <w:rPr>
          <w:rFonts w:ascii="Times New Roman" w:hAnsi="Times New Roman"/>
          <w:b/>
          <w:sz w:val="24"/>
          <w:szCs w:val="24"/>
        </w:rPr>
        <w:t xml:space="preserve"> Circuit decides the case. </w:t>
      </w:r>
    </w:p>
    <w:p w14:paraId="739C0E8D" w14:textId="77777777" w:rsidR="00230904" w:rsidRPr="00230904" w:rsidRDefault="00230904" w:rsidP="00230904">
      <w:pPr>
        <w:pStyle w:val="NoSpacing"/>
        <w:ind w:left="720"/>
        <w:rPr>
          <w:rFonts w:ascii="Times New Roman" w:hAnsi="Times New Roman"/>
          <w:bCs/>
          <w:sz w:val="24"/>
          <w:szCs w:val="24"/>
        </w:rPr>
      </w:pPr>
      <w:r w:rsidRPr="00230904">
        <w:rPr>
          <w:rFonts w:ascii="Times New Roman" w:hAnsi="Times New Roman"/>
          <w:sz w:val="24"/>
          <w:szCs w:val="24"/>
        </w:rPr>
        <w:t xml:space="preserve">Note: </w:t>
      </w:r>
    </w:p>
    <w:p w14:paraId="44E73374" w14:textId="77777777" w:rsidR="00230904" w:rsidRPr="00230904" w:rsidRDefault="00230904" w:rsidP="00230904">
      <w:pPr>
        <w:pStyle w:val="NoSpacing"/>
        <w:ind w:left="720"/>
        <w:rPr>
          <w:rFonts w:ascii="Times New Roman" w:hAnsi="Times New Roman"/>
          <w:bCs/>
          <w:sz w:val="24"/>
          <w:szCs w:val="24"/>
        </w:rPr>
      </w:pPr>
    </w:p>
    <w:p w14:paraId="74ADC945" w14:textId="77777777" w:rsidR="00230904" w:rsidRPr="00230904" w:rsidRDefault="00230904" w:rsidP="00230904">
      <w:pPr>
        <w:pStyle w:val="NoSpacing"/>
        <w:ind w:left="720"/>
        <w:rPr>
          <w:rFonts w:ascii="Times New Roman" w:hAnsi="Times New Roman"/>
          <w:bCs/>
          <w:sz w:val="24"/>
          <w:szCs w:val="24"/>
        </w:rPr>
      </w:pPr>
      <w:r w:rsidRPr="00230904">
        <w:rPr>
          <w:rFonts w:ascii="Times New Roman" w:hAnsi="Times New Roman"/>
          <w:bCs/>
          <w:sz w:val="24"/>
          <w:szCs w:val="24"/>
        </w:rPr>
        <w:t xml:space="preserve">Here is the Injunction that was set aside in this case.  </w:t>
      </w:r>
      <w:r w:rsidRPr="00230904">
        <w:rPr>
          <w:rFonts w:ascii="Times New Roman" w:hAnsi="Times New Roman"/>
          <w:sz w:val="24"/>
          <w:szCs w:val="24"/>
        </w:rPr>
        <w:t>On May 21, 2025, Judge Murphy issued an ORDER ON REMEDY FOR VIOLATION OF PRELIMINARY INJUNCTION.</w:t>
      </w:r>
    </w:p>
    <w:p w14:paraId="4A0F5DFE" w14:textId="77777777" w:rsidR="00230904" w:rsidRPr="00230904" w:rsidRDefault="00230904" w:rsidP="00230904">
      <w:pPr>
        <w:pStyle w:val="NoSpacing"/>
        <w:rPr>
          <w:rFonts w:ascii="Times New Roman" w:hAnsi="Times New Roman"/>
          <w:bCs/>
          <w:sz w:val="24"/>
          <w:szCs w:val="24"/>
        </w:rPr>
      </w:pPr>
    </w:p>
    <w:p w14:paraId="4A95B1EA" w14:textId="77777777" w:rsidR="00230904" w:rsidRPr="00230904" w:rsidRDefault="00230904" w:rsidP="00230904">
      <w:pPr>
        <w:ind w:left="1440"/>
        <w:rPr>
          <w:rFonts w:ascii="Times New Roman" w:hAnsi="Times New Roman"/>
          <w:sz w:val="24"/>
          <w:szCs w:val="24"/>
        </w:rPr>
      </w:pPr>
      <w:r w:rsidRPr="00230904">
        <w:rPr>
          <w:rFonts w:ascii="Times New Roman" w:hAnsi="Times New Roman"/>
          <w:sz w:val="24"/>
          <w:szCs w:val="24"/>
        </w:rPr>
        <w:t xml:space="preserve">“Each of the six individuals must be given a reasonable fear interview in private, with the opportunity for the individual to have counsel of their choosing present during the interview, either in-person or remotely, at the individual’s choosing. </w:t>
      </w:r>
      <w:proofErr w:type="gramStart"/>
      <w:r w:rsidRPr="00230904">
        <w:rPr>
          <w:rFonts w:ascii="Times New Roman" w:hAnsi="Times New Roman"/>
          <w:sz w:val="24"/>
          <w:szCs w:val="24"/>
        </w:rPr>
        <w:t>Each individual</w:t>
      </w:r>
      <w:proofErr w:type="gramEnd"/>
      <w:r w:rsidRPr="00230904">
        <w:rPr>
          <w:rFonts w:ascii="Times New Roman" w:hAnsi="Times New Roman"/>
          <w:sz w:val="24"/>
          <w:szCs w:val="24"/>
        </w:rPr>
        <w:t xml:space="preserve"> must be afforded access to counsel that is commensurate with the access that they would have received had these procedures occurred within the United States prior to their deportation, including remote access where in-person access would otherwise be available. </w:t>
      </w:r>
      <w:proofErr w:type="gramStart"/>
      <w:r w:rsidRPr="00230904">
        <w:rPr>
          <w:rFonts w:ascii="Times New Roman" w:hAnsi="Times New Roman"/>
          <w:sz w:val="24"/>
          <w:szCs w:val="24"/>
        </w:rPr>
        <w:t>Each individual</w:t>
      </w:r>
      <w:proofErr w:type="gramEnd"/>
      <w:r w:rsidRPr="00230904">
        <w:rPr>
          <w:rFonts w:ascii="Times New Roman" w:hAnsi="Times New Roman"/>
          <w:sz w:val="24"/>
          <w:szCs w:val="24"/>
        </w:rPr>
        <w:t xml:space="preserve"> must also be afforded the name and telephone number of class counsel, as well as access to a phone, interpreter, and technology for the confidential transfer of documents that is commensurate with the access they would receive were they in DHS custody within United States borders.” </w:t>
      </w:r>
      <w:hyperlink r:id="rId667" w:history="1">
        <w:r w:rsidRPr="00230904">
          <w:rPr>
            <w:rStyle w:val="Hyperlink"/>
            <w:rFonts w:ascii="Times New Roman" w:hAnsi="Times New Roman"/>
            <w:sz w:val="24"/>
            <w:szCs w:val="24"/>
          </w:rPr>
          <w:t>https://storage.courtlistener.com/recap/gov.uscourts.mad.282404/gov.uscourts.mad.282404.119.0_1.pdf</w:t>
        </w:r>
      </w:hyperlink>
    </w:p>
    <w:p w14:paraId="6BD73346" w14:textId="77777777" w:rsidR="00230904" w:rsidRPr="00230904" w:rsidRDefault="00230904" w:rsidP="00230904">
      <w:pPr>
        <w:pStyle w:val="NoSpacing"/>
        <w:ind w:left="720"/>
        <w:rPr>
          <w:rFonts w:ascii="Times New Roman" w:hAnsi="Times New Roman"/>
          <w:bCs/>
          <w:sz w:val="24"/>
          <w:szCs w:val="24"/>
        </w:rPr>
      </w:pPr>
    </w:p>
    <w:p w14:paraId="39D6F965" w14:textId="77777777" w:rsidR="00230904" w:rsidRPr="00230904" w:rsidRDefault="00230904" w:rsidP="00230904">
      <w:pPr>
        <w:pStyle w:val="NoSpacing"/>
        <w:ind w:left="720"/>
        <w:rPr>
          <w:rFonts w:ascii="Times New Roman" w:hAnsi="Times New Roman"/>
          <w:bCs/>
          <w:sz w:val="24"/>
          <w:szCs w:val="24"/>
        </w:rPr>
      </w:pPr>
      <w:r w:rsidRPr="00230904">
        <w:rPr>
          <w:rFonts w:ascii="Times New Roman" w:hAnsi="Times New Roman"/>
          <w:sz w:val="24"/>
          <w:szCs w:val="24"/>
        </w:rPr>
        <w:t xml:space="preserve">See also the June 23, </w:t>
      </w:r>
      <w:proofErr w:type="gramStart"/>
      <w:r w:rsidRPr="00230904">
        <w:rPr>
          <w:rFonts w:ascii="Times New Roman" w:hAnsi="Times New Roman"/>
          <w:sz w:val="24"/>
          <w:szCs w:val="24"/>
        </w:rPr>
        <w:t>2025</w:t>
      </w:r>
      <w:proofErr w:type="gramEnd"/>
      <w:r w:rsidRPr="00230904">
        <w:rPr>
          <w:rFonts w:ascii="Times New Roman" w:hAnsi="Times New Roman"/>
          <w:sz w:val="24"/>
          <w:szCs w:val="24"/>
        </w:rPr>
        <w:t xml:space="preserve"> Press Release: The U.S. Department of Homeland Security announcement it will immediately resume deportation flights – “</w:t>
      </w:r>
      <w:r w:rsidRPr="00230904">
        <w:rPr>
          <w:rFonts w:ascii="Times New Roman" w:hAnsi="Times New Roman"/>
          <w:i/>
          <w:iCs/>
          <w:sz w:val="24"/>
          <w:szCs w:val="24"/>
        </w:rPr>
        <w:t>Fire up the deportation planes.”</w:t>
      </w:r>
      <w:r w:rsidRPr="00230904">
        <w:rPr>
          <w:rFonts w:ascii="Times New Roman" w:hAnsi="Times New Roman"/>
          <w:sz w:val="24"/>
          <w:szCs w:val="24"/>
        </w:rPr>
        <w:t xml:space="preserve"> </w:t>
      </w:r>
      <w:hyperlink r:id="rId668" w:history="1">
        <w:r w:rsidRPr="00230904">
          <w:rPr>
            <w:rStyle w:val="Hyperlink"/>
            <w:rFonts w:ascii="Times New Roman" w:hAnsi="Times New Roman"/>
            <w:sz w:val="24"/>
            <w:szCs w:val="24"/>
          </w:rPr>
          <w:t>https://www.supremecourt.gov/opinions/24pdf/24a1153_l5gm.pdf</w:t>
        </w:r>
      </w:hyperlink>
      <w:r w:rsidRPr="00230904">
        <w:rPr>
          <w:rFonts w:ascii="Times New Roman" w:hAnsi="Times New Roman"/>
          <w:sz w:val="24"/>
          <w:szCs w:val="24"/>
        </w:rPr>
        <w:t xml:space="preserve"> </w:t>
      </w:r>
    </w:p>
    <w:p w14:paraId="072A6000" w14:textId="77777777" w:rsidR="00230904" w:rsidRPr="00230904" w:rsidRDefault="00230904" w:rsidP="00230904">
      <w:pPr>
        <w:pStyle w:val="NoSpacing"/>
        <w:ind w:left="720"/>
        <w:rPr>
          <w:rFonts w:ascii="Times New Roman" w:hAnsi="Times New Roman"/>
          <w:bCs/>
          <w:sz w:val="24"/>
          <w:szCs w:val="24"/>
        </w:rPr>
      </w:pPr>
    </w:p>
    <w:p w14:paraId="7FB19E56" w14:textId="77777777" w:rsidR="00230904" w:rsidRPr="00230904" w:rsidRDefault="00230904" w:rsidP="00230904">
      <w:pPr>
        <w:pStyle w:val="NoSpacing"/>
        <w:ind w:left="720"/>
        <w:rPr>
          <w:rFonts w:ascii="Times New Roman" w:hAnsi="Times New Roman"/>
          <w:bCs/>
          <w:sz w:val="24"/>
          <w:szCs w:val="24"/>
        </w:rPr>
      </w:pPr>
    </w:p>
    <w:p w14:paraId="5C144E3D" w14:textId="7188FB9E" w:rsidR="00230904" w:rsidRPr="00230904" w:rsidRDefault="004F69EA" w:rsidP="00230904">
      <w:pPr>
        <w:pStyle w:val="NoSpacing"/>
        <w:ind w:left="720"/>
        <w:rPr>
          <w:rFonts w:ascii="Times New Roman" w:hAnsi="Times New Roman"/>
          <w:bCs/>
          <w:sz w:val="24"/>
          <w:szCs w:val="24"/>
        </w:rPr>
      </w:pPr>
      <w:r>
        <w:rPr>
          <w:rFonts w:ascii="Times New Roman" w:hAnsi="Times New Roman"/>
          <w:bCs/>
          <w:sz w:val="24"/>
          <w:szCs w:val="24"/>
        </w:rPr>
        <w:t xml:space="preserve">BREAKING NEWS:  </w:t>
      </w:r>
      <w:r w:rsidR="00230904" w:rsidRPr="00230904">
        <w:rPr>
          <w:rFonts w:ascii="Times New Roman" w:hAnsi="Times New Roman"/>
          <w:bCs/>
          <w:sz w:val="24"/>
          <w:szCs w:val="24"/>
        </w:rPr>
        <w:t xml:space="preserve">“Universal injunctions” by Federal District Court judges have now been struck down by U.S. Supreme Court. </w:t>
      </w:r>
      <w:r w:rsidR="00230904" w:rsidRPr="00230904">
        <w:rPr>
          <w:rFonts w:ascii="Times New Roman" w:hAnsi="Times New Roman"/>
          <w:sz w:val="24"/>
          <w:szCs w:val="24"/>
        </w:rPr>
        <w:t xml:space="preserve">The U.S. Supreme Court on June 26, </w:t>
      </w:r>
      <w:proofErr w:type="gramStart"/>
      <w:r w:rsidR="00230904" w:rsidRPr="00230904">
        <w:rPr>
          <w:rFonts w:ascii="Times New Roman" w:hAnsi="Times New Roman"/>
          <w:sz w:val="24"/>
          <w:szCs w:val="24"/>
        </w:rPr>
        <w:t>2025</w:t>
      </w:r>
      <w:proofErr w:type="gramEnd"/>
      <w:r w:rsidR="00230904" w:rsidRPr="00230904">
        <w:rPr>
          <w:rFonts w:ascii="Times New Roman" w:hAnsi="Times New Roman"/>
          <w:sz w:val="24"/>
          <w:szCs w:val="24"/>
        </w:rPr>
        <w:t xml:space="preserve"> stayed</w:t>
      </w:r>
      <w:r w:rsidR="00230904" w:rsidRPr="00230904">
        <w:rPr>
          <w:rFonts w:ascii="Times New Roman" w:hAnsi="Times New Roman"/>
          <w:bCs/>
          <w:sz w:val="24"/>
          <w:szCs w:val="24"/>
        </w:rPr>
        <w:t xml:space="preserve"> national-wide so-called </w:t>
      </w:r>
      <w:r w:rsidR="00230904" w:rsidRPr="00230904">
        <w:rPr>
          <w:rFonts w:ascii="Times New Roman" w:hAnsi="Times New Roman"/>
          <w:sz w:val="24"/>
          <w:szCs w:val="24"/>
        </w:rPr>
        <w:t>“universal injunctions</w:t>
      </w:r>
      <w:r w:rsidR="00230904" w:rsidRPr="00230904">
        <w:rPr>
          <w:rFonts w:ascii="Times New Roman" w:hAnsi="Times New Roman"/>
          <w:bCs/>
          <w:sz w:val="24"/>
          <w:szCs w:val="24"/>
        </w:rPr>
        <w:t xml:space="preserve"> by </w:t>
      </w:r>
      <w:r w:rsidR="00230904" w:rsidRPr="00230904">
        <w:rPr>
          <w:rFonts w:ascii="Times New Roman" w:hAnsi="Times New Roman"/>
          <w:sz w:val="24"/>
          <w:szCs w:val="24"/>
        </w:rPr>
        <w:t>three Federal District Court</w:t>
      </w:r>
      <w:r w:rsidR="00230904" w:rsidRPr="00230904">
        <w:rPr>
          <w:rFonts w:ascii="Times New Roman" w:hAnsi="Times New Roman"/>
          <w:bCs/>
          <w:sz w:val="24"/>
          <w:szCs w:val="24"/>
        </w:rPr>
        <w:t xml:space="preserve"> judges</w:t>
      </w:r>
      <w:r w:rsidR="00230904" w:rsidRPr="00230904">
        <w:rPr>
          <w:rFonts w:ascii="Times New Roman" w:hAnsi="Times New Roman"/>
          <w:sz w:val="24"/>
          <w:szCs w:val="24"/>
        </w:rPr>
        <w:t xml:space="preserve"> in MA, WA, MA </w:t>
      </w:r>
      <w:r w:rsidR="00230904" w:rsidRPr="00230904">
        <w:rPr>
          <w:rFonts w:ascii="Times New Roman" w:hAnsi="Times New Roman"/>
          <w:bCs/>
          <w:sz w:val="24"/>
          <w:szCs w:val="24"/>
        </w:rPr>
        <w:t xml:space="preserve">in a case challenging President Trump’s executive order on </w:t>
      </w:r>
      <w:r w:rsidR="00230904" w:rsidRPr="00230904">
        <w:rPr>
          <w:rFonts w:ascii="Times New Roman" w:hAnsi="Times New Roman"/>
          <w:sz w:val="24"/>
          <w:szCs w:val="24"/>
        </w:rPr>
        <w:t xml:space="preserve">citizenship by birth in United States.  TRUMP, PRESIDENT OF THE UNITED STATES, ET AL. v. CASA, INC., ET AL. The Court (6 to 3) held that “These injunctions—known as ‘universal injunctions’—likely exceed the equitable authority that Congress has granted to federal courts. We therefore grant the Government’s applications to partially stay the injunctions entered below.”  </w:t>
      </w:r>
      <w:hyperlink r:id="rId669" w:history="1">
        <w:r w:rsidR="00230904" w:rsidRPr="00230904">
          <w:rPr>
            <w:rStyle w:val="Hyperlink"/>
            <w:rFonts w:ascii="Times New Roman" w:hAnsi="Times New Roman"/>
            <w:sz w:val="24"/>
            <w:szCs w:val="24"/>
          </w:rPr>
          <w:t>https://www.supremecourt.gov/opinions/24pdf/24a884_8n59.pdf</w:t>
        </w:r>
      </w:hyperlink>
    </w:p>
    <w:p w14:paraId="242F105A" w14:textId="77777777" w:rsidR="00230904" w:rsidRDefault="00230904" w:rsidP="00F326E5">
      <w:pPr>
        <w:pStyle w:val="NoSpacing"/>
        <w:rPr>
          <w:rFonts w:ascii="Arial Black" w:hAnsi="Arial Black"/>
          <w:sz w:val="28"/>
          <w:szCs w:val="28"/>
        </w:rPr>
      </w:pPr>
    </w:p>
    <w:p w14:paraId="1DF25F69" w14:textId="6A1B0F40" w:rsidR="00607129" w:rsidRDefault="00607129" w:rsidP="00607129">
      <w:pPr>
        <w:pStyle w:val="NoSpacing"/>
        <w:rPr>
          <w:rFonts w:ascii="Arial Black" w:hAnsi="Arial Black"/>
          <w:sz w:val="28"/>
          <w:szCs w:val="28"/>
        </w:rPr>
      </w:pPr>
      <w:r>
        <w:rPr>
          <w:rFonts w:ascii="Arial Black" w:hAnsi="Arial Black"/>
          <w:sz w:val="28"/>
          <w:szCs w:val="28"/>
        </w:rPr>
        <w:t>3-76</w:t>
      </w:r>
    </w:p>
    <w:p w14:paraId="1938DDBC" w14:textId="77777777" w:rsidR="00646EE3" w:rsidRDefault="00646EE3" w:rsidP="00F326E5">
      <w:pPr>
        <w:pStyle w:val="NoSpacing"/>
        <w:rPr>
          <w:rFonts w:ascii="Arial Black" w:hAnsi="Arial Black"/>
          <w:sz w:val="28"/>
          <w:szCs w:val="28"/>
        </w:rPr>
      </w:pPr>
    </w:p>
    <w:p w14:paraId="4CCFD00B" w14:textId="77777777" w:rsidR="00BA3C9D" w:rsidRPr="00780C34" w:rsidRDefault="00BA3C9D" w:rsidP="00BA3C9D">
      <w:pPr>
        <w:rPr>
          <w:rFonts w:ascii="Arial Black" w:hAnsi="Arial Black"/>
          <w:b/>
          <w:sz w:val="28"/>
          <w:szCs w:val="28"/>
        </w:rPr>
      </w:pPr>
      <w:r>
        <w:rPr>
          <w:rFonts w:ascii="Arial Black" w:hAnsi="Arial Black"/>
          <w:b/>
          <w:sz w:val="28"/>
          <w:szCs w:val="28"/>
        </w:rPr>
        <w:t>U.S. SUP. CT. – PLO CAN BE SUED USA – DEATHS IN ISRAEL</w:t>
      </w:r>
    </w:p>
    <w:p w14:paraId="5B6D10E2" w14:textId="77777777" w:rsidR="00BA3C9D" w:rsidRPr="008D0D51" w:rsidRDefault="00BA3C9D" w:rsidP="00BA3C9D">
      <w:pPr>
        <w:pStyle w:val="NoSpacing"/>
        <w:rPr>
          <w:rFonts w:ascii="Times New Roman" w:hAnsi="Times New Roman"/>
          <w:sz w:val="24"/>
          <w:szCs w:val="24"/>
        </w:rPr>
      </w:pPr>
      <w:r w:rsidRPr="008D0D51">
        <w:rPr>
          <w:rFonts w:ascii="Times New Roman" w:hAnsi="Times New Roman"/>
          <w:sz w:val="24"/>
          <w:szCs w:val="24"/>
        </w:rPr>
        <w:t xml:space="preserve">On June 20, 2025, in </w:t>
      </w:r>
      <w:r w:rsidRPr="008D0D51">
        <w:rPr>
          <w:rFonts w:ascii="Times New Roman" w:hAnsi="Times New Roman"/>
          <w:sz w:val="24"/>
          <w:szCs w:val="24"/>
          <w:u w:val="single"/>
        </w:rPr>
        <w:t>Miriam Fuld, et al. v. Palestine Liberation Organization, et al</w:t>
      </w:r>
      <w:r w:rsidRPr="008D0D51">
        <w:rPr>
          <w:rFonts w:ascii="Times New Roman" w:hAnsi="Times New Roman"/>
          <w:sz w:val="24"/>
          <w:szCs w:val="24"/>
        </w:rPr>
        <w:t>., the U.S. Supreme Court held (9 to 0) that Congress did not violate 5</w:t>
      </w:r>
      <w:r w:rsidRPr="008D0D51">
        <w:rPr>
          <w:rFonts w:ascii="Times New Roman" w:hAnsi="Times New Roman"/>
          <w:sz w:val="24"/>
          <w:szCs w:val="24"/>
          <w:vertAlign w:val="superscript"/>
        </w:rPr>
        <w:t>th</w:t>
      </w:r>
      <w:r w:rsidRPr="008D0D51">
        <w:rPr>
          <w:rFonts w:ascii="Times New Roman" w:hAnsi="Times New Roman"/>
          <w:sz w:val="24"/>
          <w:szCs w:val="24"/>
        </w:rPr>
        <w:t xml:space="preserve"> or 14</w:t>
      </w:r>
      <w:r w:rsidRPr="008D0D51">
        <w:rPr>
          <w:rFonts w:ascii="Times New Roman" w:hAnsi="Times New Roman"/>
          <w:sz w:val="24"/>
          <w:szCs w:val="24"/>
          <w:vertAlign w:val="superscript"/>
        </w:rPr>
        <w:t>th</w:t>
      </w:r>
      <w:r w:rsidRPr="008D0D51">
        <w:rPr>
          <w:rFonts w:ascii="Times New Roman" w:hAnsi="Times New Roman"/>
          <w:sz w:val="24"/>
          <w:szCs w:val="24"/>
        </w:rPr>
        <w:t xml:space="preserve"> Amendments when enacting statutes giving American citizens injured or killed in Israel the right to sue PLO in U.S. District Courts, with triple damages. The Court reinstated two lawsuits, both of which were dismissed by lower federal courts for “lack of personal jurisdiction” because the killings occurred in Israel, not in the United States.  THE COURT HELD: “Of </w:t>
      </w:r>
      <w:proofErr w:type="gramStart"/>
      <w:r w:rsidRPr="008D0D51">
        <w:rPr>
          <w:rFonts w:ascii="Times New Roman" w:hAnsi="Times New Roman"/>
          <w:sz w:val="24"/>
          <w:szCs w:val="24"/>
        </w:rPr>
        <w:t>particular salience</w:t>
      </w:r>
      <w:proofErr w:type="gramEnd"/>
      <w:r w:rsidRPr="008D0D51">
        <w:rPr>
          <w:rFonts w:ascii="Times New Roman" w:hAnsi="Times New Roman"/>
          <w:sz w:val="24"/>
          <w:szCs w:val="24"/>
        </w:rPr>
        <w:t xml:space="preserve"> here, we have also recognized the National Government’s interest in holding accountable those who perpetrate </w:t>
      </w:r>
      <w:r w:rsidRPr="008D0D51">
        <w:rPr>
          <w:rFonts w:ascii="Times New Roman" w:hAnsi="Times New Roman"/>
          <w:sz w:val="24"/>
          <w:szCs w:val="24"/>
        </w:rPr>
        <w:lastRenderedPageBreak/>
        <w:t xml:space="preserve">an ‘act of violence against’ U. S. nationals—who, even when physically outside our borders, remain ‘under the particular protection’ of American law.”  </w:t>
      </w:r>
      <w:hyperlink r:id="rId670" w:history="1">
        <w:r w:rsidRPr="008D0D51">
          <w:rPr>
            <w:rStyle w:val="Hyperlink"/>
            <w:rFonts w:ascii="Times New Roman" w:hAnsi="Times New Roman"/>
            <w:sz w:val="24"/>
            <w:szCs w:val="24"/>
          </w:rPr>
          <w:t>https://www.supremecourt.gov/opinions/24pdf/24-20_f2bh.pdf</w:t>
        </w:r>
      </w:hyperlink>
      <w:r w:rsidRPr="008D0D51">
        <w:rPr>
          <w:rFonts w:ascii="Times New Roman" w:hAnsi="Times New Roman"/>
          <w:sz w:val="24"/>
          <w:szCs w:val="24"/>
        </w:rPr>
        <w:t xml:space="preserve"> </w:t>
      </w:r>
    </w:p>
    <w:p w14:paraId="351FEEC9" w14:textId="77777777" w:rsidR="00646EE3" w:rsidRPr="008D0D51" w:rsidRDefault="00646EE3" w:rsidP="00F326E5">
      <w:pPr>
        <w:pStyle w:val="NoSpacing"/>
        <w:rPr>
          <w:rFonts w:ascii="Times New Roman" w:hAnsi="Times New Roman"/>
          <w:sz w:val="24"/>
          <w:szCs w:val="24"/>
        </w:rPr>
      </w:pPr>
    </w:p>
    <w:p w14:paraId="1C0C78CB" w14:textId="77777777" w:rsidR="008D0D51" w:rsidRPr="008D0D51" w:rsidRDefault="008D0D51" w:rsidP="008D0D51">
      <w:pPr>
        <w:pStyle w:val="NoSpacing"/>
        <w:rPr>
          <w:rFonts w:ascii="Times New Roman" w:hAnsi="Times New Roman"/>
          <w:b/>
          <w:bCs/>
          <w:sz w:val="24"/>
          <w:szCs w:val="24"/>
        </w:rPr>
      </w:pPr>
      <w:r w:rsidRPr="008D0D51">
        <w:rPr>
          <w:rFonts w:ascii="Times New Roman" w:hAnsi="Times New Roman"/>
          <w:b/>
          <w:sz w:val="24"/>
          <w:szCs w:val="24"/>
        </w:rPr>
        <w:t xml:space="preserve">Legal lesson learned:  </w:t>
      </w:r>
      <w:r w:rsidRPr="008D0D51">
        <w:rPr>
          <w:rFonts w:ascii="Times New Roman" w:hAnsi="Times New Roman"/>
          <w:b/>
          <w:bCs/>
          <w:sz w:val="24"/>
          <w:szCs w:val="24"/>
        </w:rPr>
        <w:t>C</w:t>
      </w:r>
      <w:r w:rsidRPr="008D0D51">
        <w:rPr>
          <w:rFonts w:ascii="Times New Roman" w:hAnsi="Times New Roman"/>
          <w:b/>
          <w:sz w:val="24"/>
          <w:szCs w:val="24"/>
        </w:rPr>
        <w:t>ollecting the damages</w:t>
      </w:r>
      <w:r w:rsidRPr="008D0D51">
        <w:rPr>
          <w:rFonts w:ascii="Times New Roman" w:hAnsi="Times New Roman"/>
          <w:b/>
          <w:bCs/>
          <w:sz w:val="24"/>
          <w:szCs w:val="24"/>
        </w:rPr>
        <w:t xml:space="preserve"> against PLO </w:t>
      </w:r>
      <w:r w:rsidRPr="008D0D51">
        <w:rPr>
          <w:rFonts w:ascii="Times New Roman" w:hAnsi="Times New Roman"/>
          <w:b/>
          <w:sz w:val="24"/>
          <w:szCs w:val="24"/>
        </w:rPr>
        <w:t xml:space="preserve">will still be a challenge unless PLO assets can be found in USA.  </w:t>
      </w:r>
    </w:p>
    <w:p w14:paraId="02373C2F" w14:textId="77777777" w:rsidR="008D0D51" w:rsidRDefault="008D0D51" w:rsidP="00F326E5">
      <w:pPr>
        <w:pStyle w:val="NoSpacing"/>
        <w:rPr>
          <w:rFonts w:ascii="Arial Black" w:hAnsi="Arial Black"/>
          <w:sz w:val="28"/>
          <w:szCs w:val="28"/>
        </w:rPr>
      </w:pPr>
    </w:p>
    <w:p w14:paraId="332B7912" w14:textId="77777777" w:rsidR="00646EE3" w:rsidRDefault="00646EE3" w:rsidP="00F326E5">
      <w:pPr>
        <w:pStyle w:val="NoSpacing"/>
        <w:rPr>
          <w:rFonts w:ascii="Arial Black" w:hAnsi="Arial Black"/>
          <w:sz w:val="28"/>
          <w:szCs w:val="28"/>
        </w:rPr>
      </w:pPr>
    </w:p>
    <w:p w14:paraId="116752D3" w14:textId="2518601A" w:rsidR="00F30E91" w:rsidRDefault="00043E2B" w:rsidP="00F326E5">
      <w:pPr>
        <w:pStyle w:val="NoSpacing"/>
        <w:rPr>
          <w:rFonts w:ascii="Arial Black" w:hAnsi="Arial Black"/>
          <w:sz w:val="28"/>
          <w:szCs w:val="28"/>
        </w:rPr>
      </w:pPr>
      <w:r>
        <w:rPr>
          <w:rFonts w:ascii="Arial Black" w:hAnsi="Arial Black"/>
          <w:sz w:val="28"/>
          <w:szCs w:val="28"/>
        </w:rPr>
        <w:t>3-75</w:t>
      </w:r>
    </w:p>
    <w:p w14:paraId="0BF8DDB4" w14:textId="77777777" w:rsidR="00043E2B" w:rsidRDefault="00043E2B" w:rsidP="00F326E5">
      <w:pPr>
        <w:pStyle w:val="NoSpacing"/>
        <w:rPr>
          <w:rFonts w:ascii="Arial Black" w:hAnsi="Arial Black"/>
          <w:sz w:val="28"/>
          <w:szCs w:val="28"/>
        </w:rPr>
      </w:pPr>
    </w:p>
    <w:p w14:paraId="66CEB8BC" w14:textId="77777777" w:rsidR="00043E2B" w:rsidRPr="006F2B87" w:rsidRDefault="00043E2B" w:rsidP="00043E2B">
      <w:pPr>
        <w:pStyle w:val="NoSpacing"/>
        <w:rPr>
          <w:rFonts w:ascii="Arial Black" w:hAnsi="Arial Black"/>
          <w:bCs/>
          <w:sz w:val="28"/>
          <w:szCs w:val="28"/>
        </w:rPr>
      </w:pPr>
      <w:r w:rsidRPr="006F2B87">
        <w:rPr>
          <w:rFonts w:ascii="Arial Black" w:hAnsi="Arial Black"/>
          <w:sz w:val="28"/>
          <w:szCs w:val="28"/>
        </w:rPr>
        <w:t>RI: 20 STATES – FEMA GRANTS</w:t>
      </w:r>
      <w:r>
        <w:rPr>
          <w:rFonts w:ascii="Arial Black" w:hAnsi="Arial Black"/>
          <w:bCs/>
          <w:sz w:val="28"/>
          <w:szCs w:val="28"/>
        </w:rPr>
        <w:t xml:space="preserve"> -</w:t>
      </w:r>
      <w:r w:rsidRPr="006F2B87">
        <w:rPr>
          <w:rFonts w:ascii="Arial Black" w:hAnsi="Arial Black"/>
          <w:sz w:val="28"/>
          <w:szCs w:val="28"/>
        </w:rPr>
        <w:t xml:space="preserve"> “HOSTAGE” </w:t>
      </w:r>
      <w:r>
        <w:rPr>
          <w:rFonts w:ascii="Arial Black" w:hAnsi="Arial Black"/>
          <w:bCs/>
          <w:sz w:val="28"/>
          <w:szCs w:val="28"/>
        </w:rPr>
        <w:t>IMMIGRATION</w:t>
      </w:r>
    </w:p>
    <w:p w14:paraId="616EAEA7" w14:textId="185FF7E7" w:rsidR="00043E2B" w:rsidRPr="00C8032B" w:rsidRDefault="00C8032B" w:rsidP="00F326E5">
      <w:pPr>
        <w:pStyle w:val="NoSpacing"/>
        <w:rPr>
          <w:rFonts w:ascii="Times New Roman" w:hAnsi="Times New Roman"/>
          <w:sz w:val="24"/>
          <w:szCs w:val="24"/>
        </w:rPr>
      </w:pPr>
      <w:r w:rsidRPr="00C8032B">
        <w:rPr>
          <w:rFonts w:ascii="Times New Roman" w:hAnsi="Times New Roman"/>
          <w:sz w:val="24"/>
          <w:szCs w:val="24"/>
        </w:rPr>
        <w:t xml:space="preserve">On May 13, 2025, in </w:t>
      </w:r>
      <w:r w:rsidRPr="00C8032B">
        <w:rPr>
          <w:rFonts w:ascii="Times New Roman" w:hAnsi="Times New Roman"/>
          <w:sz w:val="24"/>
          <w:szCs w:val="24"/>
          <w:u w:val="single"/>
        </w:rPr>
        <w:t>State of Illinois, et al. v. FEMA, et al</w:t>
      </w:r>
      <w:r w:rsidRPr="00C8032B">
        <w:rPr>
          <w:rFonts w:ascii="Times New Roman" w:hAnsi="Times New Roman"/>
          <w:sz w:val="24"/>
          <w:szCs w:val="24"/>
        </w:rPr>
        <w:t xml:space="preserve">., twenty states filed a lawsuit in the United States District Court for District of Rhode Island, seeking a declaratory judgment that U.S. Department of Homeland Security cannot deny FEMA grants unless states agree to “Civil Immigration Conditions.” The states allege: “they seek to require many States to abandon well-considered policies that advance public safety by promoting trust between law enforcement and immigrant communities as a condition on continued funding of emergency management programs unrelated to immigration enforcement.” </w:t>
      </w:r>
      <w:hyperlink r:id="rId671" w:history="1">
        <w:r w:rsidRPr="00C8032B">
          <w:rPr>
            <w:rStyle w:val="Hyperlink"/>
            <w:rFonts w:ascii="Times New Roman" w:hAnsi="Times New Roman"/>
            <w:sz w:val="24"/>
            <w:szCs w:val="24"/>
          </w:rPr>
          <w:t>file:///C:/Users/lawre/AppData/Local/Microsoft/Windows/INetCache/Content.Outlook/PSWGR3E2/state-of-illinois-et-al-v-federal-emergency-management-agency-et-al-complaint-2025.pdf</w:t>
        </w:r>
      </w:hyperlink>
    </w:p>
    <w:p w14:paraId="240B7686" w14:textId="77777777" w:rsidR="00043E2B" w:rsidRPr="00C8032B" w:rsidRDefault="00043E2B" w:rsidP="00F326E5">
      <w:pPr>
        <w:pStyle w:val="NoSpacing"/>
        <w:rPr>
          <w:rFonts w:ascii="Times New Roman" w:hAnsi="Times New Roman"/>
          <w:sz w:val="24"/>
          <w:szCs w:val="24"/>
        </w:rPr>
      </w:pPr>
    </w:p>
    <w:p w14:paraId="555FF66F" w14:textId="77777777" w:rsidR="00D17755" w:rsidRPr="00D17755" w:rsidRDefault="00D17755" w:rsidP="00D17755">
      <w:pPr>
        <w:pStyle w:val="NoSpacing"/>
        <w:rPr>
          <w:rFonts w:ascii="Times New Roman" w:hAnsi="Times New Roman"/>
          <w:b/>
          <w:bCs/>
          <w:sz w:val="24"/>
          <w:szCs w:val="24"/>
        </w:rPr>
      </w:pPr>
      <w:r w:rsidRPr="00D17755">
        <w:rPr>
          <w:rFonts w:ascii="Times New Roman" w:hAnsi="Times New Roman"/>
          <w:b/>
          <w:sz w:val="24"/>
          <w:szCs w:val="24"/>
        </w:rPr>
        <w:t xml:space="preserve">Legal Lesson Learned: The case should be closely followed by all those seeking FEMA grants. </w:t>
      </w:r>
    </w:p>
    <w:p w14:paraId="72F07C95" w14:textId="77777777" w:rsidR="00C8032B" w:rsidRPr="00D17755" w:rsidRDefault="00C8032B" w:rsidP="00F326E5">
      <w:pPr>
        <w:pStyle w:val="NoSpacing"/>
        <w:rPr>
          <w:rFonts w:ascii="Times New Roman" w:hAnsi="Times New Roman"/>
          <w:sz w:val="24"/>
          <w:szCs w:val="24"/>
        </w:rPr>
      </w:pPr>
    </w:p>
    <w:p w14:paraId="025FFEAB" w14:textId="77777777" w:rsidR="00C8032B" w:rsidRDefault="00C8032B" w:rsidP="00F326E5">
      <w:pPr>
        <w:pStyle w:val="NoSpacing"/>
        <w:rPr>
          <w:rFonts w:ascii="Arial Black" w:hAnsi="Arial Black"/>
          <w:sz w:val="28"/>
          <w:szCs w:val="28"/>
        </w:rPr>
      </w:pPr>
    </w:p>
    <w:p w14:paraId="7EB68F6D" w14:textId="0EE8570B" w:rsidR="006E3103" w:rsidRDefault="006E3103" w:rsidP="00F326E5">
      <w:pPr>
        <w:pStyle w:val="NoSpacing"/>
        <w:rPr>
          <w:rFonts w:ascii="Arial Black" w:hAnsi="Arial Black"/>
          <w:sz w:val="28"/>
          <w:szCs w:val="28"/>
        </w:rPr>
      </w:pPr>
      <w:r>
        <w:rPr>
          <w:rFonts w:ascii="Arial Black" w:hAnsi="Arial Black"/>
          <w:sz w:val="28"/>
          <w:szCs w:val="28"/>
        </w:rPr>
        <w:t>3-74</w:t>
      </w:r>
    </w:p>
    <w:p w14:paraId="49957BD5" w14:textId="77777777" w:rsidR="006E3103" w:rsidRDefault="006E3103" w:rsidP="00F326E5">
      <w:pPr>
        <w:pStyle w:val="NoSpacing"/>
        <w:rPr>
          <w:rFonts w:ascii="Arial Black" w:hAnsi="Arial Black"/>
          <w:sz w:val="28"/>
          <w:szCs w:val="28"/>
        </w:rPr>
      </w:pPr>
    </w:p>
    <w:p w14:paraId="4AE51849" w14:textId="77777777" w:rsidR="008D4905" w:rsidRDefault="008D4905" w:rsidP="008D4905">
      <w:pPr>
        <w:rPr>
          <w:b/>
        </w:rPr>
      </w:pPr>
      <w:r>
        <w:rPr>
          <w:rFonts w:ascii="Arial Black" w:hAnsi="Arial Black"/>
          <w:b/>
          <w:sz w:val="28"/>
          <w:szCs w:val="28"/>
        </w:rPr>
        <w:t>TX: VENEZUELAN ALIENS - DEPORTATIONS INJUNCTION</w:t>
      </w:r>
    </w:p>
    <w:p w14:paraId="51E19264" w14:textId="77777777" w:rsidR="008D4905" w:rsidRPr="008D4905" w:rsidRDefault="008D4905" w:rsidP="008D4905">
      <w:pPr>
        <w:pStyle w:val="NoSpacing"/>
        <w:rPr>
          <w:rFonts w:ascii="Times New Roman" w:hAnsi="Times New Roman"/>
          <w:sz w:val="24"/>
          <w:szCs w:val="24"/>
        </w:rPr>
      </w:pPr>
      <w:r w:rsidRPr="008D4905">
        <w:rPr>
          <w:rFonts w:ascii="Times New Roman" w:hAnsi="Times New Roman"/>
          <w:sz w:val="24"/>
          <w:szCs w:val="24"/>
        </w:rPr>
        <w:t xml:space="preserve">On May 1, 2025, in </w:t>
      </w:r>
      <w:r w:rsidRPr="008D4905">
        <w:rPr>
          <w:rFonts w:ascii="Times New Roman" w:hAnsi="Times New Roman"/>
          <w:sz w:val="24"/>
          <w:szCs w:val="24"/>
          <w:u w:val="single"/>
        </w:rPr>
        <w:t>J.A.V., et al. v. Donal J. Trump, et al.</w:t>
      </w:r>
      <w:r w:rsidRPr="008D4905">
        <w:rPr>
          <w:rFonts w:ascii="Times New Roman" w:hAnsi="Times New Roman"/>
          <w:sz w:val="24"/>
          <w:szCs w:val="24"/>
        </w:rPr>
        <w:t xml:space="preserve">, U. S. District Court Judge Fernando Rodriguez, Jr., United States District Court for Southern District of Texas, Brownsville Division, held that President does not have the lawful authority under the 1798 Alien Enemies Act (“AEA”) to deport Venezuelan aliens without a hearing and order by an Immigration judge.  </w:t>
      </w:r>
      <w:hyperlink r:id="rId672" w:history="1">
        <w:r w:rsidRPr="008D4905">
          <w:rPr>
            <w:rStyle w:val="Hyperlink"/>
            <w:rFonts w:ascii="Times New Roman" w:hAnsi="Times New Roman"/>
            <w:sz w:val="24"/>
            <w:szCs w:val="24"/>
          </w:rPr>
          <w:t>https://d3i6fh83elv35t.cloudfront.net/static/2025/05/gov.uscourts.txsd_.2000771.58.0_1.pdf</w:t>
        </w:r>
      </w:hyperlink>
      <w:r w:rsidRPr="008D4905">
        <w:rPr>
          <w:rFonts w:ascii="Times New Roman" w:hAnsi="Times New Roman"/>
          <w:sz w:val="24"/>
          <w:szCs w:val="24"/>
        </w:rPr>
        <w:t xml:space="preserve"> </w:t>
      </w:r>
    </w:p>
    <w:p w14:paraId="55B9F96B" w14:textId="77777777" w:rsidR="008D4905" w:rsidRPr="008D4905" w:rsidRDefault="008D4905" w:rsidP="008D4905">
      <w:pPr>
        <w:pStyle w:val="NoSpacing"/>
        <w:rPr>
          <w:rFonts w:ascii="Times New Roman" w:hAnsi="Times New Roman"/>
          <w:sz w:val="24"/>
          <w:szCs w:val="24"/>
        </w:rPr>
      </w:pPr>
    </w:p>
    <w:p w14:paraId="4392730C" w14:textId="77777777" w:rsidR="002450F2" w:rsidRPr="002450F2" w:rsidRDefault="002450F2" w:rsidP="002450F2">
      <w:pPr>
        <w:rPr>
          <w:rFonts w:ascii="Times New Roman" w:hAnsi="Times New Roman"/>
          <w:b/>
          <w:bCs/>
          <w:sz w:val="24"/>
          <w:szCs w:val="24"/>
        </w:rPr>
      </w:pPr>
      <w:r w:rsidRPr="002450F2">
        <w:rPr>
          <w:rFonts w:ascii="Times New Roman" w:hAnsi="Times New Roman"/>
          <w:b/>
          <w:sz w:val="24"/>
          <w:szCs w:val="24"/>
        </w:rPr>
        <w:t>Legal Lesson Learned: The Trump Administration will likely appeal this decision to the 5</w:t>
      </w:r>
      <w:r w:rsidRPr="002450F2">
        <w:rPr>
          <w:rFonts w:ascii="Times New Roman" w:hAnsi="Times New Roman"/>
          <w:b/>
          <w:sz w:val="24"/>
          <w:szCs w:val="24"/>
          <w:vertAlign w:val="superscript"/>
        </w:rPr>
        <w:t>th</w:t>
      </w:r>
      <w:r w:rsidRPr="002450F2">
        <w:rPr>
          <w:rFonts w:ascii="Times New Roman" w:hAnsi="Times New Roman"/>
          <w:b/>
          <w:sz w:val="24"/>
          <w:szCs w:val="24"/>
        </w:rPr>
        <w:t xml:space="preserve"> Circuit Court of Appeals in New Orleans</w:t>
      </w:r>
      <w:r w:rsidRPr="002450F2">
        <w:rPr>
          <w:rFonts w:ascii="Times New Roman" w:hAnsi="Times New Roman"/>
          <w:b/>
          <w:bCs/>
          <w:sz w:val="24"/>
          <w:szCs w:val="24"/>
        </w:rPr>
        <w:t xml:space="preserve"> </w:t>
      </w:r>
      <w:r w:rsidRPr="002450F2">
        <w:rPr>
          <w:rFonts w:ascii="Times New Roman" w:hAnsi="Times New Roman"/>
          <w:b/>
          <w:sz w:val="24"/>
          <w:szCs w:val="24"/>
        </w:rPr>
        <w:t xml:space="preserve">and ultimately </w:t>
      </w:r>
      <w:r w:rsidRPr="002450F2">
        <w:rPr>
          <w:rFonts w:ascii="Times New Roman" w:hAnsi="Times New Roman"/>
          <w:b/>
          <w:bCs/>
          <w:sz w:val="24"/>
          <w:szCs w:val="24"/>
        </w:rPr>
        <w:t xml:space="preserve">may </w:t>
      </w:r>
      <w:r w:rsidRPr="002450F2">
        <w:rPr>
          <w:rFonts w:ascii="Times New Roman" w:hAnsi="Times New Roman"/>
          <w:b/>
          <w:sz w:val="24"/>
          <w:szCs w:val="24"/>
        </w:rPr>
        <w:t xml:space="preserve">seek review by the U.S. Supreme Court.  </w:t>
      </w:r>
    </w:p>
    <w:p w14:paraId="645459B7" w14:textId="77777777" w:rsidR="002450F2" w:rsidRPr="002450F2" w:rsidRDefault="002450F2" w:rsidP="002450F2">
      <w:pPr>
        <w:pStyle w:val="NoSpacing"/>
        <w:ind w:left="720"/>
        <w:rPr>
          <w:rFonts w:ascii="Times New Roman" w:hAnsi="Times New Roman"/>
          <w:sz w:val="24"/>
          <w:szCs w:val="24"/>
        </w:rPr>
      </w:pPr>
      <w:r w:rsidRPr="002450F2">
        <w:rPr>
          <w:rFonts w:ascii="Times New Roman" w:hAnsi="Times New Roman"/>
          <w:sz w:val="24"/>
          <w:szCs w:val="24"/>
        </w:rPr>
        <w:t xml:space="preserve">Note: </w:t>
      </w:r>
    </w:p>
    <w:p w14:paraId="1302B0D4" w14:textId="77777777" w:rsidR="002450F2" w:rsidRPr="002450F2" w:rsidRDefault="002450F2" w:rsidP="002450F2">
      <w:pPr>
        <w:pStyle w:val="NoSpacing"/>
        <w:ind w:left="720"/>
        <w:rPr>
          <w:rFonts w:ascii="Times New Roman" w:hAnsi="Times New Roman"/>
          <w:sz w:val="24"/>
          <w:szCs w:val="24"/>
        </w:rPr>
      </w:pPr>
    </w:p>
    <w:p w14:paraId="69466558" w14:textId="77777777" w:rsidR="002450F2" w:rsidRPr="002450F2" w:rsidRDefault="002450F2" w:rsidP="002450F2">
      <w:pPr>
        <w:pStyle w:val="NoSpacing"/>
        <w:numPr>
          <w:ilvl w:val="0"/>
          <w:numId w:val="26"/>
        </w:numPr>
        <w:rPr>
          <w:rFonts w:ascii="Times New Roman" w:hAnsi="Times New Roman"/>
          <w:sz w:val="24"/>
          <w:szCs w:val="24"/>
        </w:rPr>
      </w:pPr>
      <w:r w:rsidRPr="002450F2">
        <w:rPr>
          <w:rFonts w:ascii="Times New Roman" w:hAnsi="Times New Roman"/>
          <w:sz w:val="24"/>
          <w:szCs w:val="24"/>
        </w:rPr>
        <w:t xml:space="preserve">Judge Rodriguez confirmed that deportations can continue under the Immigration and Nationality Act, after a hearing and order by an Immigration judge.  Judge Rodriguez wrote: “To the extent that J.A.V., J.G.G., and W.G.H., or any member of the certified class, have been detained or are detained in the future pursuant to the Immigration and Nationality Act, they have not sought and do not obtain any relief. In addition, the conclusions of the Court do not affect Respondents’ ability to continue removal proceedings or enforcement of any final orders of removal issued against J.A.V., J.G.G., and W.G.H, or against any member of the certified class, under the Immigration and Nationality Act.” Read this article: </w:t>
      </w:r>
      <w:hyperlink r:id="rId673" w:history="1">
        <w:r w:rsidRPr="002450F2">
          <w:rPr>
            <w:rStyle w:val="Hyperlink"/>
            <w:rFonts w:ascii="Times New Roman" w:hAnsi="Times New Roman"/>
            <w:sz w:val="24"/>
            <w:szCs w:val="24"/>
          </w:rPr>
          <w:t>https://www.pbs.org/newshour/politics/what-is-the-legal-process-for-deporting-u-s-green-card-and-visa-holders</w:t>
        </w:r>
      </w:hyperlink>
      <w:r w:rsidRPr="002450F2">
        <w:rPr>
          <w:rFonts w:ascii="Times New Roman" w:hAnsi="Times New Roman"/>
          <w:sz w:val="24"/>
          <w:szCs w:val="24"/>
        </w:rPr>
        <w:t xml:space="preserve"> </w:t>
      </w:r>
    </w:p>
    <w:p w14:paraId="4CAAC0E0" w14:textId="77777777" w:rsidR="002450F2" w:rsidRPr="002450F2" w:rsidRDefault="002450F2" w:rsidP="002450F2">
      <w:pPr>
        <w:pStyle w:val="ListParagraph"/>
        <w:rPr>
          <w:rFonts w:ascii="Times New Roman" w:hAnsi="Times New Roman" w:cs="Times New Roman"/>
          <w:sz w:val="24"/>
          <w:szCs w:val="24"/>
        </w:rPr>
      </w:pPr>
    </w:p>
    <w:p w14:paraId="4DB63E65" w14:textId="77777777" w:rsidR="002450F2" w:rsidRPr="002450F2" w:rsidRDefault="002450F2" w:rsidP="002450F2">
      <w:pPr>
        <w:pStyle w:val="NoSpacing"/>
        <w:numPr>
          <w:ilvl w:val="0"/>
          <w:numId w:val="26"/>
        </w:numPr>
        <w:rPr>
          <w:rFonts w:ascii="Times New Roman" w:hAnsi="Times New Roman"/>
          <w:sz w:val="24"/>
          <w:szCs w:val="24"/>
        </w:rPr>
      </w:pPr>
      <w:r w:rsidRPr="002450F2">
        <w:rPr>
          <w:rFonts w:ascii="Times New Roman" w:hAnsi="Times New Roman"/>
          <w:sz w:val="24"/>
          <w:szCs w:val="24"/>
        </w:rPr>
        <w:lastRenderedPageBreak/>
        <w:t xml:space="preserve">See April 10, </w:t>
      </w:r>
      <w:proofErr w:type="gramStart"/>
      <w:r w:rsidRPr="002450F2">
        <w:rPr>
          <w:rFonts w:ascii="Times New Roman" w:hAnsi="Times New Roman"/>
          <w:sz w:val="24"/>
          <w:szCs w:val="24"/>
        </w:rPr>
        <w:t>2025</w:t>
      </w:r>
      <w:proofErr w:type="gramEnd"/>
      <w:r w:rsidRPr="002450F2">
        <w:rPr>
          <w:rFonts w:ascii="Times New Roman" w:hAnsi="Times New Roman"/>
          <w:sz w:val="24"/>
          <w:szCs w:val="24"/>
        </w:rPr>
        <w:t xml:space="preserve"> Statement by U.S. Supreme Court Justice Sonia Sotomayor in another case challenging removal of alien: </w:t>
      </w:r>
      <w:proofErr w:type="spellStart"/>
      <w:r w:rsidRPr="002450F2">
        <w:rPr>
          <w:rFonts w:ascii="Times New Roman" w:hAnsi="Times New Roman"/>
          <w:sz w:val="24"/>
          <w:szCs w:val="24"/>
        </w:rPr>
        <w:t>Kilmar</w:t>
      </w:r>
      <w:proofErr w:type="spellEnd"/>
      <w:r w:rsidRPr="002450F2">
        <w:rPr>
          <w:rFonts w:ascii="Times New Roman" w:hAnsi="Times New Roman"/>
          <w:sz w:val="24"/>
          <w:szCs w:val="24"/>
        </w:rPr>
        <w:t xml:space="preserve"> Armando Abrego Garcia.  “United States removed </w:t>
      </w:r>
      <w:proofErr w:type="spellStart"/>
      <w:r w:rsidRPr="002450F2">
        <w:rPr>
          <w:rFonts w:ascii="Times New Roman" w:hAnsi="Times New Roman"/>
          <w:sz w:val="24"/>
          <w:szCs w:val="24"/>
        </w:rPr>
        <w:t>Kilmar</w:t>
      </w:r>
      <w:proofErr w:type="spellEnd"/>
      <w:r w:rsidRPr="002450F2">
        <w:rPr>
          <w:rFonts w:ascii="Times New Roman" w:hAnsi="Times New Roman"/>
          <w:sz w:val="24"/>
          <w:szCs w:val="24"/>
        </w:rPr>
        <w:t xml:space="preserve"> Armando Abrego Garcia from the United States to El Salvador, where he is currently detained in the Center for Terrorism Confinement (CECOT). The United States acknowledges that Abrego Garcia was subject to a withholding order forbidding his removal to El Salvador, and that the removal to El Salvador was therefore illegal. *** In the proceedings on remand, the District Court should continue to ensure that the Government lives up to its obligations to follow the law.” </w:t>
      </w:r>
      <w:hyperlink r:id="rId674" w:history="1">
        <w:r w:rsidRPr="002450F2">
          <w:rPr>
            <w:rStyle w:val="Hyperlink"/>
            <w:rFonts w:ascii="Times New Roman" w:hAnsi="Times New Roman"/>
            <w:sz w:val="24"/>
            <w:szCs w:val="24"/>
          </w:rPr>
          <w:t>https://www.supremecourt.gov/opinions/24pdf/24a949_lkhn.pdf</w:t>
        </w:r>
      </w:hyperlink>
      <w:r w:rsidRPr="002450F2">
        <w:rPr>
          <w:rFonts w:ascii="Times New Roman" w:hAnsi="Times New Roman"/>
          <w:sz w:val="24"/>
          <w:szCs w:val="24"/>
        </w:rPr>
        <w:t xml:space="preserve"> </w:t>
      </w:r>
    </w:p>
    <w:p w14:paraId="63848D8B" w14:textId="77777777" w:rsidR="002450F2" w:rsidRPr="002450F2" w:rsidRDefault="002450F2" w:rsidP="002450F2">
      <w:pPr>
        <w:pStyle w:val="NoSpacing"/>
        <w:rPr>
          <w:rFonts w:ascii="Times New Roman" w:hAnsi="Times New Roman"/>
          <w:sz w:val="24"/>
          <w:szCs w:val="24"/>
        </w:rPr>
      </w:pPr>
    </w:p>
    <w:p w14:paraId="6F36FA11" w14:textId="77777777" w:rsidR="002450F2" w:rsidRPr="002450F2" w:rsidRDefault="002450F2" w:rsidP="002450F2">
      <w:pPr>
        <w:pStyle w:val="NoSpacing"/>
        <w:numPr>
          <w:ilvl w:val="0"/>
          <w:numId w:val="26"/>
        </w:numPr>
        <w:rPr>
          <w:rFonts w:ascii="Times New Roman" w:hAnsi="Times New Roman"/>
          <w:sz w:val="24"/>
          <w:szCs w:val="24"/>
        </w:rPr>
      </w:pPr>
      <w:r w:rsidRPr="002450F2">
        <w:rPr>
          <w:rFonts w:ascii="Times New Roman" w:hAnsi="Times New Roman"/>
          <w:sz w:val="24"/>
          <w:szCs w:val="24"/>
        </w:rPr>
        <w:t>Judge Rodriguez was appointed by President Trump during his first Term and assumed office on June 12, 2018.</w:t>
      </w:r>
    </w:p>
    <w:p w14:paraId="058A081E" w14:textId="77777777" w:rsidR="006E3103" w:rsidRDefault="006E3103" w:rsidP="00F326E5">
      <w:pPr>
        <w:pStyle w:val="NoSpacing"/>
        <w:rPr>
          <w:rFonts w:ascii="Arial Black" w:hAnsi="Arial Black"/>
          <w:sz w:val="28"/>
          <w:szCs w:val="28"/>
        </w:rPr>
      </w:pPr>
    </w:p>
    <w:p w14:paraId="425E149F" w14:textId="77777777" w:rsidR="006E3103" w:rsidRDefault="006E3103" w:rsidP="00F326E5">
      <w:pPr>
        <w:pStyle w:val="NoSpacing"/>
        <w:rPr>
          <w:rFonts w:ascii="Arial Black" w:hAnsi="Arial Black"/>
          <w:sz w:val="28"/>
          <w:szCs w:val="28"/>
        </w:rPr>
      </w:pPr>
    </w:p>
    <w:p w14:paraId="5C147FC4" w14:textId="3CA934DF" w:rsidR="00FB7D37" w:rsidRDefault="00032BF1" w:rsidP="00F326E5">
      <w:pPr>
        <w:pStyle w:val="NoSpacing"/>
        <w:rPr>
          <w:rFonts w:ascii="Arial Black" w:hAnsi="Arial Black"/>
          <w:sz w:val="28"/>
          <w:szCs w:val="28"/>
        </w:rPr>
      </w:pPr>
      <w:r>
        <w:rPr>
          <w:rFonts w:ascii="Arial Black" w:hAnsi="Arial Black"/>
          <w:sz w:val="28"/>
          <w:szCs w:val="28"/>
        </w:rPr>
        <w:t>3-73</w:t>
      </w:r>
    </w:p>
    <w:p w14:paraId="57CD5303" w14:textId="77777777" w:rsidR="00032BF1" w:rsidRDefault="00032BF1" w:rsidP="00F326E5">
      <w:pPr>
        <w:pStyle w:val="NoSpacing"/>
        <w:rPr>
          <w:rFonts w:ascii="Arial Black" w:hAnsi="Arial Black"/>
          <w:sz w:val="28"/>
          <w:szCs w:val="28"/>
        </w:rPr>
      </w:pPr>
    </w:p>
    <w:p w14:paraId="7ADF4968" w14:textId="77777777" w:rsidR="00DD3267" w:rsidRDefault="00DD3267" w:rsidP="00DD3267">
      <w:pPr>
        <w:pStyle w:val="NoSpacing"/>
        <w:rPr>
          <w:rFonts w:ascii="Arial Black" w:hAnsi="Arial Black"/>
          <w:bCs/>
          <w:sz w:val="28"/>
          <w:szCs w:val="28"/>
        </w:rPr>
      </w:pPr>
      <w:r>
        <w:rPr>
          <w:rFonts w:ascii="Arial Black" w:hAnsi="Arial Black"/>
          <w:sz w:val="28"/>
          <w:szCs w:val="28"/>
        </w:rPr>
        <w:t>U.S. SUP. CT:  “GHOST GUNS” – FRAMES / SERIAL NUMBERS</w:t>
      </w:r>
    </w:p>
    <w:p w14:paraId="63102279" w14:textId="77777777" w:rsidR="00DD3267" w:rsidRDefault="00DD3267" w:rsidP="00DD3267">
      <w:pPr>
        <w:pStyle w:val="NoSpacing"/>
        <w:rPr>
          <w:bCs/>
        </w:rPr>
      </w:pPr>
    </w:p>
    <w:p w14:paraId="7D077A5C" w14:textId="77777777" w:rsidR="00DD3267" w:rsidRPr="005A324A" w:rsidRDefault="00DD3267" w:rsidP="00DD3267">
      <w:pPr>
        <w:pStyle w:val="NoSpacing"/>
        <w:rPr>
          <w:rFonts w:ascii="Times New Roman" w:hAnsi="Times New Roman"/>
          <w:bCs/>
          <w:sz w:val="24"/>
          <w:szCs w:val="24"/>
        </w:rPr>
      </w:pPr>
      <w:r w:rsidRPr="005A324A">
        <w:rPr>
          <w:rFonts w:ascii="Times New Roman" w:hAnsi="Times New Roman"/>
          <w:sz w:val="24"/>
          <w:szCs w:val="24"/>
        </w:rPr>
        <w:t xml:space="preserve">On March 26, 2025, in </w:t>
      </w:r>
      <w:r w:rsidRPr="005A324A">
        <w:rPr>
          <w:rFonts w:ascii="Times New Roman" w:hAnsi="Times New Roman"/>
          <w:sz w:val="24"/>
          <w:szCs w:val="24"/>
          <w:u w:val="single"/>
        </w:rPr>
        <w:t xml:space="preserve">Bondi, Attorney General v. </w:t>
      </w:r>
      <w:proofErr w:type="spellStart"/>
      <w:r w:rsidRPr="005A324A">
        <w:rPr>
          <w:rFonts w:ascii="Times New Roman" w:hAnsi="Times New Roman"/>
          <w:sz w:val="24"/>
          <w:szCs w:val="24"/>
          <w:u w:val="single"/>
        </w:rPr>
        <w:t>Vanderstok</w:t>
      </w:r>
      <w:proofErr w:type="spellEnd"/>
      <w:r w:rsidRPr="005A324A">
        <w:rPr>
          <w:rFonts w:ascii="Times New Roman" w:hAnsi="Times New Roman"/>
          <w:sz w:val="24"/>
          <w:szCs w:val="24"/>
          <w:u w:val="single"/>
        </w:rPr>
        <w:t>, et al</w:t>
      </w:r>
      <w:r w:rsidRPr="005A324A">
        <w:rPr>
          <w:rFonts w:ascii="Times New Roman" w:hAnsi="Times New Roman"/>
          <w:sz w:val="24"/>
          <w:szCs w:val="24"/>
        </w:rPr>
        <w:t xml:space="preserve">., the U.S. Supreme Court held (7 to 2) that the ATF may regulate the sale of parts of manufactured firearms (“ghost guns”).  </w:t>
      </w:r>
    </w:p>
    <w:p w14:paraId="22EE05AC" w14:textId="77777777" w:rsidR="00DD3267" w:rsidRPr="005A324A" w:rsidRDefault="00DD3267" w:rsidP="00DD3267">
      <w:pPr>
        <w:pStyle w:val="NoSpacing"/>
        <w:rPr>
          <w:rFonts w:ascii="Times New Roman" w:hAnsi="Times New Roman"/>
          <w:bCs/>
          <w:sz w:val="24"/>
          <w:szCs w:val="24"/>
        </w:rPr>
      </w:pPr>
      <w:r w:rsidRPr="005A324A">
        <w:rPr>
          <w:rFonts w:ascii="Times New Roman" w:hAnsi="Times New Roman"/>
          <w:sz w:val="24"/>
          <w:szCs w:val="24"/>
        </w:rPr>
        <w:t>“In 2022, the Bureau of Alcohol, Tobacco, Firearms and Explosives adopted a new rule designed to combat the proliferation of ghost guns…. The second relevant aspect of the agency’s new rule concerns a key building block of almost any firearm: its frame or receiver. Under subsection (B) of §921(a)(3</w:t>
      </w:r>
      <w:proofErr w:type="gramStart"/>
      <w:r w:rsidRPr="005A324A">
        <w:rPr>
          <w:rFonts w:ascii="Times New Roman" w:hAnsi="Times New Roman"/>
          <w:sz w:val="24"/>
          <w:szCs w:val="24"/>
        </w:rPr>
        <w:t>), ‘</w:t>
      </w:r>
      <w:proofErr w:type="gramEnd"/>
      <w:r w:rsidRPr="005A324A">
        <w:rPr>
          <w:rFonts w:ascii="Times New Roman" w:hAnsi="Times New Roman"/>
          <w:sz w:val="24"/>
          <w:szCs w:val="24"/>
        </w:rPr>
        <w:t xml:space="preserve">the frame or receiver of any such weapon” covered by subsection (A) is itself treated as a ‘firearm.’ … The GCA [Gun Control Act of 1968] embraces, and thus permits ATF to regulate, some weapon parts kits and unfinished frames or receivers, including those we have discussed. Because the court of appeals held otherwise, its judgment is reversed, and the case is remanded for further proceedings consistent with this </w:t>
      </w:r>
      <w:proofErr w:type="gramStart"/>
      <w:r w:rsidRPr="005A324A">
        <w:rPr>
          <w:rFonts w:ascii="Times New Roman" w:hAnsi="Times New Roman"/>
          <w:sz w:val="24"/>
          <w:szCs w:val="24"/>
        </w:rPr>
        <w:t>opinion</w:t>
      </w:r>
      <w:r w:rsidRPr="005A324A">
        <w:rPr>
          <w:rFonts w:ascii="Times New Roman" w:hAnsi="Times New Roman"/>
          <w:bCs/>
          <w:sz w:val="24"/>
          <w:szCs w:val="24"/>
        </w:rPr>
        <w:t>.</w:t>
      </w:r>
      <w:r w:rsidRPr="005A324A">
        <w:rPr>
          <w:rFonts w:ascii="Times New Roman" w:hAnsi="Times New Roman"/>
          <w:sz w:val="24"/>
          <w:szCs w:val="24"/>
        </w:rPr>
        <w:t>”</w:t>
      </w:r>
      <w:proofErr w:type="gramEnd"/>
      <w:r w:rsidRPr="005A324A">
        <w:rPr>
          <w:rFonts w:ascii="Times New Roman" w:hAnsi="Times New Roman"/>
          <w:sz w:val="24"/>
          <w:szCs w:val="24"/>
        </w:rPr>
        <w:t xml:space="preserve"> </w:t>
      </w:r>
      <w:hyperlink r:id="rId675" w:history="1">
        <w:r w:rsidRPr="005A324A">
          <w:rPr>
            <w:rStyle w:val="Hyperlink"/>
            <w:rFonts w:ascii="Times New Roman" w:hAnsi="Times New Roman"/>
            <w:sz w:val="24"/>
            <w:szCs w:val="24"/>
          </w:rPr>
          <w:t>https://www.supremecourt.gov/opinions/24pdf/23-852_c07d.pdf</w:t>
        </w:r>
      </w:hyperlink>
      <w:r w:rsidRPr="005A324A">
        <w:rPr>
          <w:rFonts w:ascii="Times New Roman" w:hAnsi="Times New Roman"/>
          <w:sz w:val="24"/>
          <w:szCs w:val="24"/>
        </w:rPr>
        <w:t xml:space="preserve"> </w:t>
      </w:r>
    </w:p>
    <w:p w14:paraId="205C60D7" w14:textId="77777777" w:rsidR="00DD3267" w:rsidRPr="005A324A" w:rsidRDefault="00DD3267" w:rsidP="00DD3267">
      <w:pPr>
        <w:pStyle w:val="NoSpacing"/>
        <w:rPr>
          <w:rFonts w:ascii="Times New Roman" w:hAnsi="Times New Roman"/>
          <w:bCs/>
          <w:sz w:val="24"/>
          <w:szCs w:val="24"/>
        </w:rPr>
      </w:pPr>
    </w:p>
    <w:p w14:paraId="7F30D731" w14:textId="77777777" w:rsidR="00746DF3" w:rsidRPr="00746DF3" w:rsidRDefault="00746DF3" w:rsidP="00746DF3">
      <w:pPr>
        <w:pStyle w:val="NoSpacing"/>
        <w:rPr>
          <w:rFonts w:ascii="Times New Roman" w:hAnsi="Times New Roman"/>
          <w:b/>
          <w:sz w:val="24"/>
          <w:szCs w:val="24"/>
        </w:rPr>
      </w:pPr>
      <w:r w:rsidRPr="00746DF3">
        <w:rPr>
          <w:rFonts w:ascii="Times New Roman" w:hAnsi="Times New Roman"/>
          <w:b/>
          <w:sz w:val="24"/>
          <w:szCs w:val="24"/>
        </w:rPr>
        <w:t xml:space="preserve">Legal Lesson Learned: Hopefully this decision will greatly increase the serial numbers placed on Ghost Guns.  </w:t>
      </w:r>
    </w:p>
    <w:p w14:paraId="0FBC67EB" w14:textId="77777777" w:rsidR="00746DF3" w:rsidRDefault="00746DF3" w:rsidP="00746DF3">
      <w:pPr>
        <w:pStyle w:val="NoSpacing"/>
        <w:rPr>
          <w:b/>
        </w:rPr>
      </w:pPr>
    </w:p>
    <w:p w14:paraId="298E974A" w14:textId="77777777" w:rsidR="005A324A" w:rsidRPr="005A324A" w:rsidRDefault="005A324A" w:rsidP="005A324A">
      <w:pPr>
        <w:pStyle w:val="NoSpacing"/>
        <w:ind w:left="720"/>
        <w:rPr>
          <w:rFonts w:ascii="Times New Roman" w:hAnsi="Times New Roman"/>
          <w:bCs/>
          <w:sz w:val="24"/>
          <w:szCs w:val="24"/>
        </w:rPr>
      </w:pPr>
      <w:r w:rsidRPr="005A324A">
        <w:rPr>
          <w:rFonts w:ascii="Times New Roman" w:hAnsi="Times New Roman"/>
          <w:sz w:val="24"/>
          <w:szCs w:val="24"/>
        </w:rPr>
        <w:t xml:space="preserve">Note: Dissenting opinion by Justice Clearance Thompson (Justice Samuel Alit also dissented): “Congress could have authorized ATF to regulate any part of a firearm or any object readily convertible into one. </w:t>
      </w:r>
      <w:proofErr w:type="gramStart"/>
      <w:r w:rsidRPr="005A324A">
        <w:rPr>
          <w:rFonts w:ascii="Times New Roman" w:hAnsi="Times New Roman"/>
          <w:sz w:val="24"/>
          <w:szCs w:val="24"/>
        </w:rPr>
        <w:t>But,</w:t>
      </w:r>
      <w:proofErr w:type="gramEnd"/>
      <w:r w:rsidRPr="005A324A">
        <w:rPr>
          <w:rFonts w:ascii="Times New Roman" w:hAnsi="Times New Roman"/>
          <w:sz w:val="24"/>
          <w:szCs w:val="24"/>
        </w:rPr>
        <w:t xml:space="preserve"> it did not.”</w:t>
      </w:r>
    </w:p>
    <w:p w14:paraId="5E4ECBA5" w14:textId="77777777" w:rsidR="005A324A" w:rsidRPr="005A324A" w:rsidRDefault="005A324A" w:rsidP="005A324A">
      <w:pPr>
        <w:pStyle w:val="NoSpacing"/>
        <w:ind w:left="720"/>
        <w:rPr>
          <w:rFonts w:ascii="Times New Roman" w:hAnsi="Times New Roman"/>
          <w:bCs/>
          <w:sz w:val="24"/>
          <w:szCs w:val="24"/>
        </w:rPr>
      </w:pPr>
    </w:p>
    <w:p w14:paraId="0FE76A03" w14:textId="77777777" w:rsidR="005A324A" w:rsidRPr="005A324A" w:rsidRDefault="005A324A" w:rsidP="005A324A">
      <w:pPr>
        <w:pStyle w:val="NoSpacing"/>
        <w:ind w:left="720"/>
        <w:rPr>
          <w:rFonts w:ascii="Times New Roman" w:hAnsi="Times New Roman"/>
          <w:bCs/>
          <w:sz w:val="24"/>
          <w:szCs w:val="24"/>
        </w:rPr>
      </w:pPr>
      <w:r w:rsidRPr="005A324A">
        <w:rPr>
          <w:rFonts w:ascii="Times New Roman" w:hAnsi="Times New Roman"/>
          <w:sz w:val="24"/>
          <w:szCs w:val="24"/>
        </w:rPr>
        <w:t xml:space="preserve">Want to know more about gun parts?  Watch the YouTube video by dissenting Judge Lawrence VanDyke [believe it is first time a federal judge made a video instead of writing an opinion]. </w:t>
      </w:r>
      <w:hyperlink r:id="rId676" w:history="1">
        <w:r w:rsidRPr="005A324A">
          <w:rPr>
            <w:rStyle w:val="Hyperlink"/>
            <w:rFonts w:ascii="Times New Roman" w:hAnsi="Times New Roman"/>
            <w:b/>
            <w:sz w:val="24"/>
            <w:szCs w:val="24"/>
          </w:rPr>
          <w:t>https://www.youtube.com/watch?v=DMC7Ntd4d4c</w:t>
        </w:r>
      </w:hyperlink>
      <w:r w:rsidRPr="005A324A">
        <w:rPr>
          <w:rFonts w:ascii="Times New Roman" w:hAnsi="Times New Roman"/>
          <w:b/>
          <w:sz w:val="24"/>
          <w:szCs w:val="24"/>
        </w:rPr>
        <w:t xml:space="preserve"> .  </w:t>
      </w:r>
      <w:r w:rsidRPr="005A324A">
        <w:rPr>
          <w:rFonts w:ascii="Times New Roman" w:hAnsi="Times New Roman"/>
          <w:sz w:val="24"/>
          <w:szCs w:val="24"/>
        </w:rPr>
        <w:t>The judge on the U.S. Court of Appeals for 9</w:t>
      </w:r>
      <w:r w:rsidRPr="005A324A">
        <w:rPr>
          <w:rFonts w:ascii="Times New Roman" w:hAnsi="Times New Roman"/>
          <w:sz w:val="24"/>
          <w:szCs w:val="24"/>
          <w:vertAlign w:val="superscript"/>
        </w:rPr>
        <w:t>th</w:t>
      </w:r>
      <w:r w:rsidRPr="005A324A">
        <w:rPr>
          <w:rFonts w:ascii="Times New Roman" w:hAnsi="Times New Roman"/>
          <w:sz w:val="24"/>
          <w:szCs w:val="24"/>
        </w:rPr>
        <w:t xml:space="preserve"> Circuit (San Francisco) posted a YouTube video about firearms, dissenting </w:t>
      </w:r>
      <w:proofErr w:type="gramStart"/>
      <w:r w:rsidRPr="005A324A">
        <w:rPr>
          <w:rFonts w:ascii="Times New Roman" w:hAnsi="Times New Roman"/>
          <w:sz w:val="24"/>
          <w:szCs w:val="24"/>
        </w:rPr>
        <w:t>in</w:t>
      </w:r>
      <w:proofErr w:type="gramEnd"/>
      <w:r w:rsidRPr="005A324A">
        <w:rPr>
          <w:rFonts w:ascii="Times New Roman" w:hAnsi="Times New Roman"/>
          <w:sz w:val="24"/>
          <w:szCs w:val="24"/>
        </w:rPr>
        <w:t xml:space="preserve"> March 20, </w:t>
      </w:r>
      <w:proofErr w:type="gramStart"/>
      <w:r w:rsidRPr="005A324A">
        <w:rPr>
          <w:rFonts w:ascii="Times New Roman" w:hAnsi="Times New Roman"/>
          <w:sz w:val="24"/>
          <w:szCs w:val="24"/>
        </w:rPr>
        <w:t>2025</w:t>
      </w:r>
      <w:proofErr w:type="gramEnd"/>
      <w:r w:rsidRPr="005A324A">
        <w:rPr>
          <w:rFonts w:ascii="Times New Roman" w:hAnsi="Times New Roman"/>
          <w:sz w:val="24"/>
          <w:szCs w:val="24"/>
        </w:rPr>
        <w:t xml:space="preserve"> </w:t>
      </w:r>
      <w:proofErr w:type="spellStart"/>
      <w:r w:rsidRPr="005A324A">
        <w:rPr>
          <w:rFonts w:ascii="Times New Roman" w:hAnsi="Times New Roman"/>
          <w:sz w:val="24"/>
          <w:szCs w:val="24"/>
        </w:rPr>
        <w:t>en</w:t>
      </w:r>
      <w:proofErr w:type="spellEnd"/>
      <w:r w:rsidRPr="005A324A">
        <w:rPr>
          <w:rFonts w:ascii="Times New Roman" w:hAnsi="Times New Roman"/>
          <w:sz w:val="24"/>
          <w:szCs w:val="24"/>
        </w:rPr>
        <w:t xml:space="preserve"> banc (all judges on the Circuit) decision in </w:t>
      </w:r>
      <w:r w:rsidRPr="005A324A">
        <w:rPr>
          <w:rFonts w:ascii="Times New Roman" w:hAnsi="Times New Roman"/>
          <w:sz w:val="24"/>
          <w:szCs w:val="24"/>
          <w:u w:val="single"/>
        </w:rPr>
        <w:t>Duncan v. Bonita</w:t>
      </w:r>
      <w:r w:rsidRPr="005A324A">
        <w:rPr>
          <w:rFonts w:ascii="Times New Roman" w:hAnsi="Times New Roman"/>
          <w:sz w:val="24"/>
          <w:szCs w:val="24"/>
        </w:rPr>
        <w:t>, upholding the California law banning the possession of large-capacity magazines comports with the</w:t>
      </w:r>
    </w:p>
    <w:p w14:paraId="3BDAAC3D" w14:textId="77777777" w:rsidR="005A324A" w:rsidRPr="005A324A" w:rsidRDefault="005A324A" w:rsidP="005A324A">
      <w:pPr>
        <w:pStyle w:val="NoSpacing"/>
        <w:ind w:left="720"/>
        <w:rPr>
          <w:rFonts w:ascii="Times New Roman" w:hAnsi="Times New Roman"/>
          <w:bCs/>
          <w:sz w:val="24"/>
          <w:szCs w:val="24"/>
        </w:rPr>
      </w:pPr>
      <w:r w:rsidRPr="005A324A">
        <w:rPr>
          <w:rFonts w:ascii="Times New Roman" w:hAnsi="Times New Roman"/>
          <w:sz w:val="24"/>
          <w:szCs w:val="24"/>
        </w:rPr>
        <w:t xml:space="preserve">Second Amendment. </w:t>
      </w:r>
      <w:hyperlink r:id="rId677" w:history="1">
        <w:r w:rsidRPr="005A324A">
          <w:rPr>
            <w:rStyle w:val="Hyperlink"/>
            <w:rFonts w:ascii="Times New Roman" w:hAnsi="Times New Roman"/>
            <w:sz w:val="24"/>
            <w:szCs w:val="24"/>
          </w:rPr>
          <w:t>https://cdn.ca9.uscourts.gov/datastore/opinions/2025/03/20/23-55805.pdf</w:t>
        </w:r>
      </w:hyperlink>
      <w:r w:rsidRPr="005A324A">
        <w:rPr>
          <w:rFonts w:ascii="Times New Roman" w:hAnsi="Times New Roman"/>
          <w:sz w:val="24"/>
          <w:szCs w:val="24"/>
        </w:rPr>
        <w:t xml:space="preserve">  </w:t>
      </w:r>
    </w:p>
    <w:p w14:paraId="794583D4" w14:textId="77777777" w:rsidR="00DD3267" w:rsidRDefault="00DD3267" w:rsidP="00F326E5">
      <w:pPr>
        <w:pStyle w:val="NoSpacing"/>
        <w:rPr>
          <w:rFonts w:ascii="Arial Black" w:hAnsi="Arial Black"/>
          <w:sz w:val="28"/>
          <w:szCs w:val="28"/>
        </w:rPr>
      </w:pPr>
    </w:p>
    <w:p w14:paraId="6F39C6B2" w14:textId="77777777" w:rsidR="00FB7D37" w:rsidRDefault="00FB7D37" w:rsidP="00F326E5">
      <w:pPr>
        <w:pStyle w:val="NoSpacing"/>
        <w:rPr>
          <w:rFonts w:ascii="Arial Black" w:hAnsi="Arial Black"/>
          <w:sz w:val="28"/>
          <w:szCs w:val="28"/>
        </w:rPr>
      </w:pPr>
    </w:p>
    <w:p w14:paraId="113CCD50" w14:textId="77777777" w:rsidR="00FB7D37" w:rsidRDefault="00FB7D37" w:rsidP="00F326E5">
      <w:pPr>
        <w:pStyle w:val="NoSpacing"/>
        <w:rPr>
          <w:rFonts w:ascii="Arial Black" w:hAnsi="Arial Black"/>
          <w:sz w:val="28"/>
          <w:szCs w:val="28"/>
        </w:rPr>
      </w:pPr>
    </w:p>
    <w:p w14:paraId="2D65B6A5" w14:textId="16889806" w:rsidR="00F30E91" w:rsidRDefault="00F30E91" w:rsidP="00F326E5">
      <w:pPr>
        <w:pStyle w:val="NoSpacing"/>
        <w:rPr>
          <w:rFonts w:ascii="Arial Black" w:hAnsi="Arial Black"/>
          <w:sz w:val="28"/>
          <w:szCs w:val="28"/>
        </w:rPr>
      </w:pPr>
      <w:r>
        <w:rPr>
          <w:rFonts w:ascii="Arial Black" w:hAnsi="Arial Black"/>
          <w:sz w:val="28"/>
          <w:szCs w:val="28"/>
        </w:rPr>
        <w:t>3-72</w:t>
      </w:r>
    </w:p>
    <w:p w14:paraId="6AAE6BCF" w14:textId="77777777" w:rsidR="00FB7D37" w:rsidRDefault="00FB7D37" w:rsidP="009048F3">
      <w:pPr>
        <w:pStyle w:val="NoSpacing"/>
        <w:rPr>
          <w:rFonts w:ascii="Arial Black" w:hAnsi="Arial Black"/>
          <w:sz w:val="28"/>
          <w:szCs w:val="28"/>
        </w:rPr>
      </w:pPr>
    </w:p>
    <w:p w14:paraId="6F4040D0" w14:textId="5C48A9FE" w:rsidR="009048F3" w:rsidRDefault="009048F3" w:rsidP="009048F3">
      <w:pPr>
        <w:pStyle w:val="NoSpacing"/>
        <w:rPr>
          <w:rFonts w:ascii="Arial Black" w:hAnsi="Arial Black"/>
          <w:bCs/>
          <w:sz w:val="28"/>
          <w:szCs w:val="28"/>
        </w:rPr>
      </w:pPr>
      <w:r>
        <w:rPr>
          <w:rFonts w:ascii="Arial Black" w:hAnsi="Arial Black"/>
          <w:sz w:val="28"/>
          <w:szCs w:val="28"/>
        </w:rPr>
        <w:lastRenderedPageBreak/>
        <w:t xml:space="preserve">NY: GROUND ZERO - $90K CAP NON-ECON DAMAGES </w:t>
      </w:r>
    </w:p>
    <w:p w14:paraId="0F034CBF" w14:textId="77777777" w:rsidR="009048F3" w:rsidRDefault="009048F3" w:rsidP="009048F3">
      <w:pPr>
        <w:pStyle w:val="NoSpacing"/>
        <w:rPr>
          <w:rFonts w:ascii="Arial Black" w:hAnsi="Arial Black"/>
          <w:bCs/>
          <w:sz w:val="28"/>
          <w:szCs w:val="28"/>
        </w:rPr>
      </w:pPr>
    </w:p>
    <w:p w14:paraId="0CA4057F" w14:textId="77777777" w:rsidR="009048F3" w:rsidRPr="00FB7D37" w:rsidRDefault="009048F3" w:rsidP="009048F3">
      <w:pPr>
        <w:pStyle w:val="NoSpacing"/>
        <w:rPr>
          <w:rFonts w:ascii="Times New Roman" w:hAnsi="Times New Roman"/>
          <w:bCs/>
          <w:sz w:val="24"/>
          <w:szCs w:val="24"/>
        </w:rPr>
      </w:pPr>
      <w:r w:rsidRPr="00FB7D37">
        <w:rPr>
          <w:rFonts w:ascii="Times New Roman" w:hAnsi="Times New Roman"/>
          <w:sz w:val="24"/>
          <w:szCs w:val="24"/>
        </w:rPr>
        <w:t>On March 4, 2025</w:t>
      </w:r>
      <w:proofErr w:type="gramStart"/>
      <w:r w:rsidRPr="00FB7D37">
        <w:rPr>
          <w:rFonts w:ascii="Times New Roman" w:hAnsi="Times New Roman"/>
          <w:sz w:val="24"/>
          <w:szCs w:val="24"/>
        </w:rPr>
        <w:t>, in</w:t>
      </w:r>
      <w:proofErr w:type="gramEnd"/>
      <w:r w:rsidRPr="00FB7D37">
        <w:rPr>
          <w:rFonts w:ascii="Times New Roman" w:hAnsi="Times New Roman"/>
          <w:sz w:val="24"/>
          <w:szCs w:val="24"/>
        </w:rPr>
        <w:t xml:space="preserve"> </w:t>
      </w:r>
      <w:r w:rsidRPr="00FB7D37">
        <w:rPr>
          <w:rFonts w:ascii="Times New Roman" w:hAnsi="Times New Roman"/>
          <w:sz w:val="24"/>
          <w:szCs w:val="24"/>
          <w:u w:val="single"/>
        </w:rPr>
        <w:t>Michael White v. The United States</w:t>
      </w:r>
      <w:r w:rsidRPr="00FB7D37">
        <w:rPr>
          <w:rFonts w:ascii="Times New Roman" w:hAnsi="Times New Roman"/>
          <w:sz w:val="24"/>
          <w:szCs w:val="24"/>
        </w:rPr>
        <w:t xml:space="preserve">, Judge Molly R. Silfen, U.S. Court of Federal Claims, held that former Philadelphia firefighter and U.S. Navy submariner, is entitled to uncapped compensation for non-economic damages, such as intangible losses like pain, suffering, emotional distress, and loss of enjoyment of life. He volunteered at Ground Zero site for six days without respiratory protection, developed respiratory issues and now undergoes regular respiratory therapy and has been hospitalized multiple times.  In Jan. 2017, the 911 Special Master ruled that Congress in 2016 amended the initial compensation schedule, and imposed the new $90,000 cap.  Judge Silfen denied the government’s motion to dismiss: (1) lawsuit was timely filed with six years of the denial of his claim, and (2) this is a breach of a “contract” that provided claimants could file under the original compensation schedule. </w:t>
      </w:r>
      <w:hyperlink r:id="rId678" w:history="1">
        <w:r w:rsidRPr="00FB7D37">
          <w:rPr>
            <w:rStyle w:val="Hyperlink"/>
            <w:rFonts w:ascii="Times New Roman" w:hAnsi="Times New Roman"/>
            <w:sz w:val="24"/>
            <w:szCs w:val="24"/>
          </w:rPr>
          <w:t>https://www.govinfo.gov/content/pkg/USCOURTS-cofc-1_23-cv-00383/pdf/USCOURTS-cofc-1_23-cv-00383-0.pdf</w:t>
        </w:r>
      </w:hyperlink>
      <w:r w:rsidRPr="00FB7D37">
        <w:rPr>
          <w:rFonts w:ascii="Times New Roman" w:hAnsi="Times New Roman"/>
          <w:sz w:val="24"/>
          <w:szCs w:val="24"/>
        </w:rPr>
        <w:t xml:space="preserve"> </w:t>
      </w:r>
    </w:p>
    <w:p w14:paraId="0B737EE7" w14:textId="77777777" w:rsidR="009048F3" w:rsidRPr="00FB7D37" w:rsidRDefault="009048F3" w:rsidP="009048F3">
      <w:pPr>
        <w:pStyle w:val="NoSpacing"/>
        <w:rPr>
          <w:rFonts w:ascii="Times New Roman" w:hAnsi="Times New Roman"/>
          <w:bCs/>
          <w:sz w:val="24"/>
          <w:szCs w:val="24"/>
        </w:rPr>
      </w:pPr>
    </w:p>
    <w:p w14:paraId="2EF8116B" w14:textId="77777777" w:rsidR="00555E2A" w:rsidRPr="00555E2A" w:rsidRDefault="00555E2A" w:rsidP="00555E2A">
      <w:pPr>
        <w:pStyle w:val="NoSpacing"/>
        <w:rPr>
          <w:rFonts w:ascii="Times New Roman" w:hAnsi="Times New Roman"/>
          <w:b/>
          <w:sz w:val="24"/>
          <w:szCs w:val="24"/>
        </w:rPr>
      </w:pPr>
      <w:r w:rsidRPr="00555E2A">
        <w:rPr>
          <w:rFonts w:ascii="Times New Roman" w:hAnsi="Times New Roman"/>
          <w:b/>
          <w:sz w:val="24"/>
          <w:szCs w:val="24"/>
        </w:rPr>
        <w:t>Legal Lesson Learned: The government breached the contract; firefighter entitled to uncapped non-economic damages.</w:t>
      </w:r>
    </w:p>
    <w:p w14:paraId="7DC10A3D" w14:textId="77777777" w:rsidR="00555E2A" w:rsidRPr="00555E2A" w:rsidRDefault="00555E2A" w:rsidP="00555E2A">
      <w:pPr>
        <w:rPr>
          <w:rFonts w:ascii="Times New Roman" w:hAnsi="Times New Roman"/>
          <w:sz w:val="24"/>
          <w:szCs w:val="24"/>
        </w:rPr>
      </w:pPr>
    </w:p>
    <w:p w14:paraId="68A20F43" w14:textId="77777777" w:rsidR="00FB7D37" w:rsidRPr="00FB7D37" w:rsidRDefault="00FB7D37" w:rsidP="00FB7D37">
      <w:pPr>
        <w:rPr>
          <w:rFonts w:ascii="Times New Roman" w:hAnsi="Times New Roman"/>
          <w:sz w:val="24"/>
          <w:szCs w:val="24"/>
        </w:rPr>
      </w:pPr>
    </w:p>
    <w:p w14:paraId="1FD9528A" w14:textId="77777777" w:rsidR="009048F3" w:rsidRPr="00FB7D37" w:rsidRDefault="009048F3" w:rsidP="00F326E5">
      <w:pPr>
        <w:pStyle w:val="NoSpacing"/>
        <w:rPr>
          <w:rFonts w:ascii="Times New Roman" w:hAnsi="Times New Roman"/>
          <w:sz w:val="24"/>
          <w:szCs w:val="24"/>
        </w:rPr>
      </w:pPr>
    </w:p>
    <w:p w14:paraId="10A6A54C" w14:textId="77777777" w:rsidR="00F30E91" w:rsidRDefault="00F30E91" w:rsidP="00F326E5">
      <w:pPr>
        <w:pStyle w:val="NoSpacing"/>
        <w:rPr>
          <w:rFonts w:ascii="Arial Black" w:hAnsi="Arial Black"/>
          <w:sz w:val="28"/>
          <w:szCs w:val="28"/>
        </w:rPr>
      </w:pPr>
    </w:p>
    <w:p w14:paraId="3F471E9C" w14:textId="77777777" w:rsidR="00F30E91" w:rsidRDefault="00F30E91" w:rsidP="00F326E5">
      <w:pPr>
        <w:pStyle w:val="NoSpacing"/>
        <w:rPr>
          <w:rFonts w:ascii="Arial Black" w:hAnsi="Arial Black"/>
          <w:sz w:val="28"/>
          <w:szCs w:val="28"/>
        </w:rPr>
      </w:pPr>
    </w:p>
    <w:p w14:paraId="18536455" w14:textId="64201EB6" w:rsidR="00CD461F" w:rsidRDefault="00CD461F" w:rsidP="00F326E5">
      <w:pPr>
        <w:pStyle w:val="NoSpacing"/>
        <w:rPr>
          <w:rFonts w:ascii="Arial Black" w:hAnsi="Arial Black"/>
          <w:sz w:val="28"/>
          <w:szCs w:val="28"/>
        </w:rPr>
      </w:pPr>
      <w:r>
        <w:rPr>
          <w:rFonts w:ascii="Arial Black" w:hAnsi="Arial Black"/>
          <w:sz w:val="28"/>
          <w:szCs w:val="28"/>
        </w:rPr>
        <w:t>3-71</w:t>
      </w:r>
    </w:p>
    <w:p w14:paraId="5989895F" w14:textId="77777777" w:rsidR="00CD461F" w:rsidRDefault="00CD461F" w:rsidP="00F326E5">
      <w:pPr>
        <w:pStyle w:val="NoSpacing"/>
        <w:rPr>
          <w:rFonts w:ascii="Arial Black" w:hAnsi="Arial Black"/>
          <w:sz w:val="28"/>
          <w:szCs w:val="28"/>
        </w:rPr>
      </w:pPr>
    </w:p>
    <w:p w14:paraId="0CB8B884" w14:textId="77777777" w:rsidR="00CD461F" w:rsidRPr="00C562E1" w:rsidRDefault="00CD461F" w:rsidP="00CD461F">
      <w:pPr>
        <w:pStyle w:val="NoSpacing"/>
        <w:rPr>
          <w:rFonts w:ascii="Arial Black" w:hAnsi="Arial Black"/>
          <w:sz w:val="28"/>
          <w:szCs w:val="28"/>
        </w:rPr>
      </w:pPr>
      <w:r w:rsidRPr="00C562E1">
        <w:rPr>
          <w:rFonts w:ascii="Arial Black" w:hAnsi="Arial Black"/>
          <w:sz w:val="28"/>
          <w:szCs w:val="28"/>
        </w:rPr>
        <w:t xml:space="preserve">DC: </w:t>
      </w:r>
      <w:r>
        <w:rPr>
          <w:rFonts w:ascii="Arial Black" w:hAnsi="Arial Black"/>
          <w:sz w:val="28"/>
          <w:szCs w:val="28"/>
        </w:rPr>
        <w:t xml:space="preserve">CAPITAL – POLICE INJURED </w:t>
      </w:r>
      <w:r w:rsidRPr="00C562E1">
        <w:rPr>
          <w:rFonts w:ascii="Arial Black" w:hAnsi="Arial Black"/>
          <w:sz w:val="28"/>
          <w:szCs w:val="28"/>
        </w:rPr>
        <w:t xml:space="preserve">PEPPER </w:t>
      </w:r>
      <w:r>
        <w:rPr>
          <w:rFonts w:ascii="Arial Black" w:hAnsi="Arial Black"/>
          <w:sz w:val="28"/>
          <w:szCs w:val="28"/>
        </w:rPr>
        <w:t>SPRAY - PARDONS</w:t>
      </w:r>
    </w:p>
    <w:p w14:paraId="258B4AAA" w14:textId="77777777" w:rsidR="00CD461F" w:rsidRPr="00C562E1" w:rsidRDefault="00CD461F" w:rsidP="00CD461F">
      <w:pPr>
        <w:pStyle w:val="NoSpacing"/>
      </w:pPr>
    </w:p>
    <w:p w14:paraId="6BBC23C3" w14:textId="77777777" w:rsidR="00CD461F" w:rsidRPr="00CD461F" w:rsidRDefault="00CD461F" w:rsidP="00CD461F">
      <w:pPr>
        <w:pStyle w:val="NoSpacing"/>
        <w:rPr>
          <w:rFonts w:ascii="Times New Roman" w:hAnsi="Times New Roman"/>
          <w:sz w:val="24"/>
          <w:szCs w:val="24"/>
        </w:rPr>
      </w:pPr>
      <w:r w:rsidRPr="00CD461F">
        <w:rPr>
          <w:rFonts w:ascii="Times New Roman" w:hAnsi="Times New Roman"/>
          <w:sz w:val="24"/>
          <w:szCs w:val="24"/>
        </w:rPr>
        <w:t xml:space="preserve">On Jan. 17, 2024, in </w:t>
      </w:r>
      <w:r w:rsidRPr="00CD461F">
        <w:rPr>
          <w:rFonts w:ascii="Times New Roman" w:hAnsi="Times New Roman"/>
          <w:sz w:val="24"/>
          <w:szCs w:val="24"/>
          <w:u w:val="single"/>
        </w:rPr>
        <w:t>United States of America v. Jeffrey Scott Brown</w:t>
      </w:r>
      <w:r w:rsidRPr="00CD461F">
        <w:rPr>
          <w:rFonts w:ascii="Times New Roman" w:hAnsi="Times New Roman"/>
          <w:sz w:val="24"/>
          <w:szCs w:val="24"/>
        </w:rPr>
        <w:t xml:space="preserve">,  the U.S. Court of Appeals for the D.C. Circuit (3 to 0) upheld the conviction of Brown (and two others) for violation of federal law – use of a “dangerous or deadly weapon” - by spraying police officers with pepper spray during the attack on the U.S. Capitol on Jan. 6, 2021.  Brown was sentenced to 54 months in prison [now pardoned by President Trump].  </w:t>
      </w:r>
      <w:hyperlink r:id="rId679" w:history="1">
        <w:r w:rsidRPr="00CD461F">
          <w:rPr>
            <w:rStyle w:val="Hyperlink"/>
            <w:rFonts w:ascii="Times New Roman" w:hAnsi="Times New Roman"/>
            <w:sz w:val="24"/>
            <w:szCs w:val="24"/>
          </w:rPr>
          <w:t>https://media.cadc.uscourts.gov/opinions/docs/2025/01/23-3074-2094718.pdf</w:t>
        </w:r>
      </w:hyperlink>
      <w:r w:rsidRPr="00CD461F">
        <w:rPr>
          <w:rFonts w:ascii="Times New Roman" w:hAnsi="Times New Roman"/>
          <w:sz w:val="24"/>
          <w:szCs w:val="24"/>
        </w:rPr>
        <w:t xml:space="preserve">  </w:t>
      </w:r>
    </w:p>
    <w:p w14:paraId="2BB4DF09" w14:textId="77777777" w:rsidR="00CD461F" w:rsidRPr="00CD461F" w:rsidRDefault="00CD461F" w:rsidP="00CD461F">
      <w:pPr>
        <w:pStyle w:val="NoSpacing"/>
        <w:rPr>
          <w:rFonts w:ascii="Times New Roman" w:hAnsi="Times New Roman"/>
          <w:sz w:val="24"/>
          <w:szCs w:val="24"/>
        </w:rPr>
      </w:pPr>
    </w:p>
    <w:p w14:paraId="54DD2506" w14:textId="77777777" w:rsidR="00CD461F" w:rsidRPr="00CD461F" w:rsidRDefault="00CD461F" w:rsidP="00CD461F">
      <w:pPr>
        <w:pStyle w:val="NoSpacing"/>
        <w:rPr>
          <w:rFonts w:ascii="Times New Roman" w:hAnsi="Times New Roman"/>
          <w:sz w:val="24"/>
          <w:szCs w:val="24"/>
        </w:rPr>
      </w:pPr>
      <w:r w:rsidRPr="00CD461F">
        <w:rPr>
          <w:rFonts w:ascii="Times New Roman" w:hAnsi="Times New Roman"/>
          <w:sz w:val="24"/>
          <w:szCs w:val="24"/>
        </w:rPr>
        <w:t>The Court held:</w:t>
      </w:r>
    </w:p>
    <w:p w14:paraId="42E23F55" w14:textId="77777777" w:rsidR="00CD461F" w:rsidRPr="00CD461F" w:rsidRDefault="00CD461F" w:rsidP="00CD461F">
      <w:pPr>
        <w:pStyle w:val="NoSpacing"/>
        <w:rPr>
          <w:rFonts w:ascii="Times New Roman" w:hAnsi="Times New Roman"/>
          <w:sz w:val="24"/>
          <w:szCs w:val="24"/>
        </w:rPr>
      </w:pPr>
    </w:p>
    <w:p w14:paraId="7CA465C9" w14:textId="77777777" w:rsidR="00CD461F" w:rsidRPr="00CD461F" w:rsidRDefault="00CD461F" w:rsidP="00CD461F">
      <w:pPr>
        <w:pStyle w:val="NoSpacing"/>
        <w:ind w:left="720"/>
        <w:rPr>
          <w:rFonts w:ascii="Times New Roman" w:hAnsi="Times New Roman"/>
          <w:sz w:val="24"/>
          <w:szCs w:val="24"/>
        </w:rPr>
      </w:pPr>
      <w:r w:rsidRPr="00CD461F">
        <w:rPr>
          <w:rFonts w:ascii="Times New Roman" w:hAnsi="Times New Roman"/>
          <w:sz w:val="24"/>
          <w:szCs w:val="24"/>
        </w:rPr>
        <w:t>“Given the record in this case, sufficient evidence supported the jury’s finding that Schwartz, Brown, and Maly each used pepper spray as a deadly or dangerous weapon, and that Schwartz also used a chair as a deadly or dangerous weapon.</w:t>
      </w:r>
    </w:p>
    <w:p w14:paraId="49E1BBEA" w14:textId="77777777" w:rsidR="00CD461F" w:rsidRPr="00CD461F" w:rsidRDefault="00CD461F" w:rsidP="00CD461F">
      <w:pPr>
        <w:pStyle w:val="NoSpacing"/>
        <w:rPr>
          <w:rFonts w:ascii="Times New Roman" w:hAnsi="Times New Roman"/>
          <w:sz w:val="24"/>
          <w:szCs w:val="24"/>
        </w:rPr>
      </w:pPr>
    </w:p>
    <w:p w14:paraId="73F2EF6C" w14:textId="77777777" w:rsidR="00CD461F" w:rsidRPr="00CD461F" w:rsidRDefault="00CD461F" w:rsidP="00CD461F">
      <w:pPr>
        <w:pStyle w:val="NoSpacing"/>
        <w:ind w:firstLine="720"/>
        <w:rPr>
          <w:rFonts w:ascii="Times New Roman" w:hAnsi="Times New Roman"/>
          <w:sz w:val="24"/>
          <w:szCs w:val="24"/>
        </w:rPr>
      </w:pPr>
      <w:r w:rsidRPr="00CD461F">
        <w:rPr>
          <w:rFonts w:ascii="Times New Roman" w:hAnsi="Times New Roman"/>
          <w:sz w:val="24"/>
          <w:szCs w:val="24"/>
        </w:rPr>
        <w:t>***</w:t>
      </w:r>
    </w:p>
    <w:p w14:paraId="49D80642" w14:textId="77777777" w:rsidR="00CD461F" w:rsidRPr="00CD461F" w:rsidRDefault="00CD461F" w:rsidP="00CD461F">
      <w:pPr>
        <w:pStyle w:val="NoSpacing"/>
        <w:ind w:left="720"/>
        <w:rPr>
          <w:rFonts w:ascii="Times New Roman" w:hAnsi="Times New Roman"/>
          <w:sz w:val="24"/>
          <w:szCs w:val="24"/>
        </w:rPr>
      </w:pPr>
      <w:r w:rsidRPr="00CD461F">
        <w:rPr>
          <w:rFonts w:ascii="Times New Roman" w:hAnsi="Times New Roman"/>
          <w:sz w:val="24"/>
          <w:szCs w:val="24"/>
        </w:rPr>
        <w:t xml:space="preserve">Officers testified that they felt such intense pain when sprayed on January 6th. For example, Officer Christopher Boyle stated that he felt a ‘9 or 10 out of 10’ level of pain when he was pepper sprayed on the Lower West Terrace…. Sergeant Jason Mastony testified that chemical irritants absorbed through his uniform so his ‘legs and [his] arms [we]re on fire.’ …The effects of the chemical irritants, including ‘burning’ ‘skin irritation[,]’ lingered for about a week, and he felt </w:t>
      </w:r>
      <w:proofErr w:type="gramStart"/>
      <w:r w:rsidRPr="00CD461F">
        <w:rPr>
          <w:rFonts w:ascii="Times New Roman" w:hAnsi="Times New Roman"/>
          <w:sz w:val="24"/>
          <w:szCs w:val="24"/>
        </w:rPr>
        <w:t>particular pain</w:t>
      </w:r>
      <w:proofErr w:type="gramEnd"/>
      <w:r w:rsidRPr="00CD461F">
        <w:rPr>
          <w:rFonts w:ascii="Times New Roman" w:hAnsi="Times New Roman"/>
          <w:sz w:val="24"/>
          <w:szCs w:val="24"/>
        </w:rPr>
        <w:t xml:space="preserve"> when he showered or tried to change his contact lenses…. That is because pepper spray is water-based and ‘reactivates with water.’ …  Officer David Pitt testified that he had ‘severe burning for the following three days in [his] hands’ and ‘in various places’ from ‘when [he] was sprayed with various sprays in the tunnel.’  … Finally, Sergeant </w:t>
      </w:r>
      <w:proofErr w:type="spellStart"/>
      <w:r w:rsidRPr="00CD461F">
        <w:rPr>
          <w:rFonts w:ascii="Times New Roman" w:hAnsi="Times New Roman"/>
          <w:sz w:val="24"/>
          <w:szCs w:val="24"/>
        </w:rPr>
        <w:t>Phuson</w:t>
      </w:r>
      <w:proofErr w:type="spellEnd"/>
      <w:r w:rsidRPr="00CD461F">
        <w:rPr>
          <w:rFonts w:ascii="Times New Roman" w:hAnsi="Times New Roman"/>
          <w:sz w:val="24"/>
          <w:szCs w:val="24"/>
        </w:rPr>
        <w:t xml:space="preserve"> Nguyen described that, when he showered the night of the 6th, ‘the </w:t>
      </w:r>
      <w:r w:rsidRPr="00CD461F">
        <w:rPr>
          <w:rFonts w:ascii="Times New Roman" w:hAnsi="Times New Roman"/>
          <w:sz w:val="24"/>
          <w:szCs w:val="24"/>
        </w:rPr>
        <w:lastRenderedPageBreak/>
        <w:t>chemical[s] [from the spray] soak[ed] through [his] pore[s] and it start[ed] burning, and basically [his] whole body</w:t>
      </w:r>
    </w:p>
    <w:p w14:paraId="7F74EDE9" w14:textId="77777777" w:rsidR="00CD461F" w:rsidRPr="00CD461F" w:rsidRDefault="00CD461F" w:rsidP="00CD461F">
      <w:pPr>
        <w:pStyle w:val="NoSpacing"/>
        <w:ind w:left="720"/>
        <w:rPr>
          <w:rFonts w:ascii="Times New Roman" w:hAnsi="Times New Roman"/>
          <w:sz w:val="24"/>
          <w:szCs w:val="24"/>
        </w:rPr>
      </w:pPr>
      <w:r w:rsidRPr="00CD461F">
        <w:rPr>
          <w:rFonts w:ascii="Times New Roman" w:hAnsi="Times New Roman"/>
          <w:sz w:val="24"/>
          <w:szCs w:val="24"/>
        </w:rPr>
        <w:t>was burning.’ … That evidence provided a sufficient basis for a rational jury to find that the pepper spray Schwartz, Brown, and Maly used was capable of causing extreme pain, especially given the officers’ testimony that they felt a ‘9 or 10 out of 10’ on a pain scale and that their limbs were ‘on fire’ and ‘burning.’ Considering the intensely factual nature of an inquiry into the extent of pain caused by violent conduct, the evidence in this case, and the credibility judgments involved, there is no basis for this court to overturn the jury’s verdict by finding as a matter of law that the evidence came up short.”</w:t>
      </w:r>
    </w:p>
    <w:p w14:paraId="43D7FEFA" w14:textId="77777777" w:rsidR="00CD461F" w:rsidRPr="00CD461F" w:rsidRDefault="00CD461F" w:rsidP="00CD461F">
      <w:pPr>
        <w:pStyle w:val="NoSpacing"/>
        <w:rPr>
          <w:rFonts w:ascii="Times New Roman" w:hAnsi="Times New Roman"/>
          <w:sz w:val="24"/>
          <w:szCs w:val="24"/>
        </w:rPr>
      </w:pPr>
    </w:p>
    <w:p w14:paraId="505D960F" w14:textId="77777777" w:rsidR="00CD461F" w:rsidRPr="00CD461F" w:rsidRDefault="00CD461F" w:rsidP="00CD461F">
      <w:pPr>
        <w:pStyle w:val="NoSpacing"/>
        <w:rPr>
          <w:rFonts w:ascii="Times New Roman" w:hAnsi="Times New Roman"/>
          <w:b/>
          <w:bCs/>
          <w:sz w:val="24"/>
          <w:szCs w:val="24"/>
        </w:rPr>
      </w:pPr>
      <w:r w:rsidRPr="00CD461F">
        <w:rPr>
          <w:rFonts w:ascii="Times New Roman" w:hAnsi="Times New Roman"/>
          <w:b/>
          <w:sz w:val="24"/>
          <w:szCs w:val="24"/>
        </w:rPr>
        <w:t>Legal Lesson Learned:  Fire &amp; EMS should review their protocol on treating patients who have been pepper sprayed, remembering that it “reactivates with water.”</w:t>
      </w:r>
    </w:p>
    <w:p w14:paraId="3152A41A" w14:textId="77777777" w:rsidR="00CD461F" w:rsidRPr="00CD461F" w:rsidRDefault="00CD461F" w:rsidP="00CD461F">
      <w:pPr>
        <w:pStyle w:val="NoSpacing"/>
        <w:rPr>
          <w:rFonts w:ascii="Times New Roman" w:hAnsi="Times New Roman"/>
          <w:sz w:val="24"/>
          <w:szCs w:val="24"/>
        </w:rPr>
      </w:pPr>
    </w:p>
    <w:p w14:paraId="4A6E4D71" w14:textId="77777777" w:rsidR="00CD461F" w:rsidRPr="00CD461F" w:rsidRDefault="00CD461F" w:rsidP="00CD461F">
      <w:pPr>
        <w:pStyle w:val="NoSpacing"/>
        <w:ind w:left="720"/>
        <w:rPr>
          <w:rFonts w:ascii="Times New Roman" w:hAnsi="Times New Roman"/>
          <w:sz w:val="24"/>
          <w:szCs w:val="24"/>
        </w:rPr>
      </w:pPr>
      <w:r w:rsidRPr="00CD461F">
        <w:rPr>
          <w:rFonts w:ascii="Times New Roman" w:hAnsi="Times New Roman"/>
          <w:sz w:val="24"/>
          <w:szCs w:val="24"/>
        </w:rPr>
        <w:t xml:space="preserve">Note:  See article on this case. “DC Circuit side-eyes Capitol rioter’s argument that pepper spray is not a dangerous weapon.” </w:t>
      </w:r>
    </w:p>
    <w:p w14:paraId="08930F25" w14:textId="5E84AAF5" w:rsidR="00CD461F" w:rsidRPr="00CD461F" w:rsidRDefault="00AB3819" w:rsidP="00CD461F">
      <w:pPr>
        <w:pStyle w:val="NoSpacing"/>
        <w:ind w:left="720"/>
        <w:rPr>
          <w:rFonts w:ascii="Times New Roman" w:hAnsi="Times New Roman"/>
          <w:sz w:val="24"/>
          <w:szCs w:val="24"/>
        </w:rPr>
      </w:pPr>
      <w:hyperlink r:id="rId680" w:history="1">
        <w:r w:rsidRPr="009B5658">
          <w:rPr>
            <w:rStyle w:val="Hyperlink"/>
            <w:rFonts w:ascii="Times New Roman" w:hAnsi="Times New Roman"/>
            <w:sz w:val="24"/>
            <w:szCs w:val="24"/>
          </w:rPr>
          <w:t>https://www.courthousenews.com/dc-circuit-side-eyes-capitol-rioters-argument-that-pepper-spray-is-not-a-dangerous-weapon/</w:t>
        </w:r>
      </w:hyperlink>
    </w:p>
    <w:p w14:paraId="04B7F585" w14:textId="77777777" w:rsidR="00CD461F" w:rsidRPr="00CD461F" w:rsidRDefault="00CD461F" w:rsidP="00F326E5">
      <w:pPr>
        <w:pStyle w:val="NoSpacing"/>
        <w:rPr>
          <w:rFonts w:ascii="Times New Roman" w:hAnsi="Times New Roman"/>
          <w:sz w:val="24"/>
          <w:szCs w:val="24"/>
        </w:rPr>
      </w:pPr>
    </w:p>
    <w:p w14:paraId="1FD139AD" w14:textId="77777777" w:rsidR="00CD461F" w:rsidRDefault="00CD461F" w:rsidP="00F326E5">
      <w:pPr>
        <w:pStyle w:val="NoSpacing"/>
        <w:rPr>
          <w:rFonts w:ascii="Arial Black" w:hAnsi="Arial Black"/>
          <w:sz w:val="28"/>
          <w:szCs w:val="28"/>
        </w:rPr>
      </w:pPr>
    </w:p>
    <w:p w14:paraId="3F459932" w14:textId="2052B407" w:rsidR="00FE0B61" w:rsidRDefault="00FE0B61" w:rsidP="00F326E5">
      <w:pPr>
        <w:pStyle w:val="NoSpacing"/>
        <w:rPr>
          <w:rFonts w:ascii="Arial Black" w:hAnsi="Arial Black"/>
          <w:sz w:val="28"/>
          <w:szCs w:val="28"/>
        </w:rPr>
      </w:pPr>
      <w:r>
        <w:rPr>
          <w:rFonts w:ascii="Arial Black" w:hAnsi="Arial Black"/>
          <w:sz w:val="28"/>
          <w:szCs w:val="28"/>
        </w:rPr>
        <w:t>3-70</w:t>
      </w:r>
    </w:p>
    <w:p w14:paraId="32D83997" w14:textId="77777777" w:rsidR="004433DA" w:rsidRDefault="004433DA" w:rsidP="00BD564D">
      <w:pPr>
        <w:pStyle w:val="NoSpacing"/>
        <w:rPr>
          <w:rFonts w:ascii="Arial Black" w:hAnsi="Arial Black"/>
          <w:sz w:val="28"/>
          <w:szCs w:val="28"/>
        </w:rPr>
      </w:pPr>
    </w:p>
    <w:p w14:paraId="404379A6" w14:textId="778B375F" w:rsidR="00BD564D" w:rsidRPr="00C90077" w:rsidRDefault="00BD564D" w:rsidP="00BD564D">
      <w:pPr>
        <w:pStyle w:val="NoSpacing"/>
        <w:rPr>
          <w:rFonts w:ascii="Arial Black" w:hAnsi="Arial Black"/>
          <w:sz w:val="28"/>
          <w:szCs w:val="28"/>
        </w:rPr>
      </w:pPr>
      <w:r>
        <w:rPr>
          <w:rFonts w:ascii="Arial Black" w:hAnsi="Arial Black"/>
          <w:sz w:val="28"/>
          <w:szCs w:val="28"/>
        </w:rPr>
        <w:t>CA:  STARTED FIRES</w:t>
      </w:r>
      <w:r w:rsidR="004433DA">
        <w:rPr>
          <w:rFonts w:ascii="Arial Black" w:hAnsi="Arial Black"/>
          <w:sz w:val="28"/>
          <w:szCs w:val="28"/>
        </w:rPr>
        <w:t xml:space="preserve"> – CA </w:t>
      </w:r>
      <w:r>
        <w:rPr>
          <w:rFonts w:ascii="Arial Black" w:hAnsi="Arial Black"/>
          <w:sz w:val="28"/>
          <w:szCs w:val="28"/>
        </w:rPr>
        <w:t xml:space="preserve">EMERGENCY </w:t>
      </w:r>
      <w:r w:rsidR="00C32C23">
        <w:rPr>
          <w:rFonts w:ascii="Arial Black" w:hAnsi="Arial Black"/>
          <w:sz w:val="28"/>
          <w:szCs w:val="28"/>
        </w:rPr>
        <w:t>– 200 BLDG</w:t>
      </w:r>
      <w:r w:rsidR="004433DA">
        <w:rPr>
          <w:rFonts w:ascii="Arial Black" w:hAnsi="Arial Black"/>
          <w:sz w:val="28"/>
          <w:szCs w:val="28"/>
        </w:rPr>
        <w:t>S</w:t>
      </w:r>
    </w:p>
    <w:p w14:paraId="779EB6B5" w14:textId="77777777" w:rsidR="00BD564D" w:rsidRDefault="00BD564D" w:rsidP="00BD564D">
      <w:pPr>
        <w:pStyle w:val="NoSpacing"/>
      </w:pPr>
    </w:p>
    <w:p w14:paraId="7E519E77" w14:textId="77777777" w:rsidR="00A25359" w:rsidRPr="00A25359" w:rsidRDefault="00A25359" w:rsidP="00A25359">
      <w:pPr>
        <w:rPr>
          <w:rFonts w:ascii="Times New Roman" w:hAnsi="Times New Roman"/>
          <w:sz w:val="24"/>
          <w:szCs w:val="24"/>
        </w:rPr>
      </w:pPr>
      <w:r w:rsidRPr="00A25359">
        <w:rPr>
          <w:rFonts w:ascii="Times New Roman" w:hAnsi="Times New Roman"/>
          <w:sz w:val="24"/>
          <w:szCs w:val="24"/>
        </w:rPr>
        <w:t xml:space="preserve">On Dec. 9, 2024, in </w:t>
      </w:r>
      <w:r w:rsidRPr="00A25359">
        <w:rPr>
          <w:rFonts w:ascii="Times New Roman" w:hAnsi="Times New Roman"/>
          <w:sz w:val="24"/>
          <w:szCs w:val="24"/>
          <w:u w:val="single"/>
        </w:rPr>
        <w:t xml:space="preserve">Alexandria A. </w:t>
      </w:r>
      <w:proofErr w:type="spellStart"/>
      <w:r w:rsidRPr="00A25359">
        <w:rPr>
          <w:rFonts w:ascii="Times New Roman" w:hAnsi="Times New Roman"/>
          <w:sz w:val="24"/>
          <w:szCs w:val="24"/>
          <w:u w:val="single"/>
        </w:rPr>
        <w:t>Souverneva</w:t>
      </w:r>
      <w:proofErr w:type="spellEnd"/>
      <w:r w:rsidRPr="00A25359">
        <w:rPr>
          <w:rFonts w:ascii="Times New Roman" w:hAnsi="Times New Roman"/>
          <w:sz w:val="24"/>
          <w:szCs w:val="24"/>
          <w:u w:val="single"/>
        </w:rPr>
        <w:t xml:space="preserve"> v. The Superior Court of California</w:t>
      </w:r>
      <w:r w:rsidRPr="00A25359">
        <w:rPr>
          <w:rFonts w:ascii="Times New Roman" w:hAnsi="Times New Roman"/>
          <w:sz w:val="24"/>
          <w:szCs w:val="24"/>
        </w:rPr>
        <w:t xml:space="preserve">, the California Court of Appeals, Third Circuit, Shasta, held (3 to 0; unpublished decision) that the trial court, upon being informed she was competent to stand trial, revoked her bond (after two years being out on bond) given risk of further fires.  She started six fires in rural area on September 22, 2021, burning 200 structures and nearly 9,000 acres; she told a CAL FIRE Captain that she had bombs – they were actually  CO2 cartridges. The Court of Appeals reviewed her history of drug abuse and mental </w:t>
      </w:r>
      <w:proofErr w:type="gramStart"/>
      <w:r w:rsidRPr="00A25359">
        <w:rPr>
          <w:rFonts w:ascii="Times New Roman" w:hAnsi="Times New Roman"/>
          <w:sz w:val="24"/>
          <w:szCs w:val="24"/>
        </w:rPr>
        <w:t>illness, and</w:t>
      </w:r>
      <w:proofErr w:type="gramEnd"/>
      <w:r w:rsidRPr="00A25359">
        <w:rPr>
          <w:rFonts w:ascii="Times New Roman" w:hAnsi="Times New Roman"/>
          <w:sz w:val="24"/>
          <w:szCs w:val="24"/>
        </w:rPr>
        <w:t xml:space="preserve"> upheld the trial court. </w:t>
      </w:r>
      <w:hyperlink r:id="rId681" w:history="1">
        <w:r w:rsidRPr="00A25359">
          <w:rPr>
            <w:rStyle w:val="Hyperlink"/>
            <w:rFonts w:ascii="Times New Roman" w:hAnsi="Times New Roman"/>
            <w:sz w:val="24"/>
            <w:szCs w:val="24"/>
          </w:rPr>
          <w:t>https://casetext.com/case/souverneva-v-the-superior-court</w:t>
        </w:r>
      </w:hyperlink>
    </w:p>
    <w:p w14:paraId="1ED4430E" w14:textId="693396B5" w:rsidR="00BD564D" w:rsidRDefault="00BD564D" w:rsidP="00BD564D">
      <w:pPr>
        <w:pStyle w:val="NoSpacing"/>
        <w:rPr>
          <w:rFonts w:ascii="Times New Roman" w:hAnsi="Times New Roman"/>
          <w:sz w:val="24"/>
          <w:szCs w:val="24"/>
        </w:rPr>
      </w:pPr>
      <w:r w:rsidRPr="00BD564D">
        <w:rPr>
          <w:rFonts w:ascii="Times New Roman" w:hAnsi="Times New Roman"/>
          <w:sz w:val="24"/>
          <w:szCs w:val="24"/>
        </w:rPr>
        <w:t>The Court wrote:</w:t>
      </w:r>
    </w:p>
    <w:p w14:paraId="432E87E7" w14:textId="77777777" w:rsidR="007E2EC4" w:rsidRDefault="007E2EC4" w:rsidP="00BD564D">
      <w:pPr>
        <w:pStyle w:val="NoSpacing"/>
        <w:rPr>
          <w:rFonts w:ascii="Times New Roman" w:hAnsi="Times New Roman"/>
          <w:sz w:val="24"/>
          <w:szCs w:val="24"/>
        </w:rPr>
      </w:pPr>
    </w:p>
    <w:p w14:paraId="10A1E5B8" w14:textId="447699E1" w:rsidR="007E2EC4" w:rsidRPr="007E2EC4" w:rsidRDefault="007E2EC4" w:rsidP="007E2EC4">
      <w:pPr>
        <w:pStyle w:val="NoSpacing"/>
        <w:ind w:left="720"/>
        <w:rPr>
          <w:rFonts w:ascii="Times New Roman" w:hAnsi="Times New Roman"/>
          <w:sz w:val="24"/>
          <w:szCs w:val="24"/>
        </w:rPr>
      </w:pPr>
      <w:r w:rsidRPr="007E2EC4">
        <w:rPr>
          <w:rFonts w:ascii="Times New Roman" w:hAnsi="Times New Roman"/>
          <w:sz w:val="24"/>
          <w:szCs w:val="24"/>
        </w:rPr>
        <w:t>“</w:t>
      </w:r>
      <w:proofErr w:type="spellStart"/>
      <w:r w:rsidRPr="007E2EC4">
        <w:rPr>
          <w:rFonts w:ascii="Times New Roman" w:hAnsi="Times New Roman"/>
          <w:sz w:val="24"/>
          <w:szCs w:val="24"/>
        </w:rPr>
        <w:t>Souverneva</w:t>
      </w:r>
      <w:proofErr w:type="spellEnd"/>
      <w:r w:rsidRPr="007E2EC4">
        <w:rPr>
          <w:rFonts w:ascii="Times New Roman" w:hAnsi="Times New Roman"/>
          <w:sz w:val="24"/>
          <w:szCs w:val="24"/>
        </w:rPr>
        <w:t xml:space="preserve"> was charged with arson of forest land, and it was alleged the arson was committed during a state of emergency…. The record indicates that at the time of the hearing, </w:t>
      </w:r>
      <w:proofErr w:type="spellStart"/>
      <w:r w:rsidRPr="007E2EC4">
        <w:rPr>
          <w:rFonts w:ascii="Times New Roman" w:hAnsi="Times New Roman"/>
          <w:sz w:val="24"/>
          <w:szCs w:val="24"/>
        </w:rPr>
        <w:t>Souverneva</w:t>
      </w:r>
      <w:proofErr w:type="spellEnd"/>
      <w:r w:rsidRPr="007E2EC4">
        <w:rPr>
          <w:rFonts w:ascii="Times New Roman" w:hAnsi="Times New Roman"/>
          <w:sz w:val="24"/>
          <w:szCs w:val="24"/>
        </w:rPr>
        <w:t xml:space="preserve"> had been out of custody on bond for over two years, apparently without incident, and had sought treatment for her bipolar disorder. Nevertheless, substantial evidence supports the trial court's finding of an unreasonable risk to public </w:t>
      </w:r>
      <w:proofErr w:type="gramStart"/>
      <w:r w:rsidRPr="007E2EC4">
        <w:rPr>
          <w:rFonts w:ascii="Times New Roman" w:hAnsi="Times New Roman"/>
          <w:sz w:val="24"/>
          <w:szCs w:val="24"/>
        </w:rPr>
        <w:t>safety.”</w:t>
      </w:r>
      <w:proofErr w:type="gramEnd"/>
      <w:r w:rsidRPr="007E2EC4">
        <w:rPr>
          <w:rFonts w:ascii="Times New Roman" w:hAnsi="Times New Roman"/>
          <w:sz w:val="24"/>
          <w:szCs w:val="24"/>
        </w:rPr>
        <w:t xml:space="preserve">  </w:t>
      </w:r>
      <w:hyperlink r:id="rId682" w:history="1">
        <w:r w:rsidRPr="007E2EC4">
          <w:rPr>
            <w:rStyle w:val="Hyperlink"/>
            <w:rFonts w:ascii="Times New Roman" w:hAnsi="Times New Roman"/>
            <w:sz w:val="24"/>
            <w:szCs w:val="24"/>
          </w:rPr>
          <w:t>t</w:t>
        </w:r>
      </w:hyperlink>
      <w:r w:rsidRPr="007E2EC4">
        <w:rPr>
          <w:rFonts w:ascii="Times New Roman" w:hAnsi="Times New Roman"/>
          <w:sz w:val="24"/>
          <w:szCs w:val="24"/>
        </w:rPr>
        <w:t xml:space="preserve"> </w:t>
      </w:r>
    </w:p>
    <w:p w14:paraId="58D22352" w14:textId="77777777" w:rsidR="007E2EC4" w:rsidRPr="00BD564D" w:rsidRDefault="007E2EC4" w:rsidP="00BD564D">
      <w:pPr>
        <w:pStyle w:val="NoSpacing"/>
        <w:rPr>
          <w:rFonts w:ascii="Times New Roman" w:hAnsi="Times New Roman"/>
          <w:sz w:val="24"/>
          <w:szCs w:val="24"/>
        </w:rPr>
      </w:pPr>
    </w:p>
    <w:p w14:paraId="1AB254E3" w14:textId="77777777" w:rsidR="00C32C23" w:rsidRDefault="00C32C23" w:rsidP="00C32C23">
      <w:pPr>
        <w:pStyle w:val="NoSpacing"/>
      </w:pPr>
      <w:r>
        <w:t>HOLDING:</w:t>
      </w:r>
    </w:p>
    <w:p w14:paraId="466F4947" w14:textId="77777777" w:rsidR="00C32C23" w:rsidRDefault="00C32C23" w:rsidP="00C32C23">
      <w:pPr>
        <w:pStyle w:val="NoSpacing"/>
      </w:pPr>
    </w:p>
    <w:p w14:paraId="365B0734" w14:textId="77777777" w:rsidR="00C32C23" w:rsidRPr="00C32C23" w:rsidRDefault="00C32C23" w:rsidP="00C32C23">
      <w:pPr>
        <w:pStyle w:val="NoSpacing"/>
        <w:ind w:left="720"/>
        <w:rPr>
          <w:rFonts w:ascii="Times New Roman" w:hAnsi="Times New Roman"/>
          <w:bCs/>
          <w:sz w:val="24"/>
          <w:szCs w:val="24"/>
        </w:rPr>
      </w:pPr>
      <w:r w:rsidRPr="00C32C23">
        <w:rPr>
          <w:rFonts w:ascii="Times New Roman" w:hAnsi="Times New Roman"/>
          <w:sz w:val="24"/>
          <w:szCs w:val="24"/>
        </w:rPr>
        <w:t>“A trial court may consider the defendant's treatment plan and criminal history in assessing the defendant's suitability for pretrial diversion. (</w:t>
      </w:r>
      <w:hyperlink r:id="rId683" w:history="1">
        <w:r w:rsidRPr="00C32C23">
          <w:rPr>
            <w:rStyle w:val="Hyperlink"/>
            <w:rFonts w:ascii="Times New Roman" w:hAnsi="Times New Roman"/>
            <w:sz w:val="24"/>
            <w:szCs w:val="24"/>
          </w:rPr>
          <w:t>§ 1001.36, subd. (c)(4)</w:t>
        </w:r>
      </w:hyperlink>
      <w:r w:rsidRPr="00C32C23">
        <w:rPr>
          <w:rFonts w:ascii="Times New Roman" w:hAnsi="Times New Roman"/>
          <w:sz w:val="24"/>
          <w:szCs w:val="24"/>
        </w:rPr>
        <w:t xml:space="preserve">.) Here, </w:t>
      </w:r>
      <w:proofErr w:type="spellStart"/>
      <w:r w:rsidRPr="00C32C23">
        <w:rPr>
          <w:rFonts w:ascii="Times New Roman" w:hAnsi="Times New Roman"/>
          <w:sz w:val="24"/>
          <w:szCs w:val="24"/>
        </w:rPr>
        <w:t>Souverneva's</w:t>
      </w:r>
      <w:proofErr w:type="spellEnd"/>
      <w:r w:rsidRPr="00C32C23">
        <w:rPr>
          <w:rFonts w:ascii="Times New Roman" w:hAnsi="Times New Roman"/>
          <w:sz w:val="24"/>
          <w:szCs w:val="24"/>
        </w:rPr>
        <w:t xml:space="preserve"> treatment plan did not address her alcohol, cannabis, and hallucinogen use disorders. </w:t>
      </w:r>
      <w:proofErr w:type="spellStart"/>
      <w:r w:rsidRPr="00C32C23">
        <w:rPr>
          <w:rFonts w:ascii="Times New Roman" w:hAnsi="Times New Roman"/>
          <w:sz w:val="24"/>
          <w:szCs w:val="24"/>
        </w:rPr>
        <w:t>Souverneva</w:t>
      </w:r>
      <w:proofErr w:type="spellEnd"/>
      <w:r w:rsidRPr="00C32C23">
        <w:rPr>
          <w:rFonts w:ascii="Times New Roman" w:hAnsi="Times New Roman"/>
          <w:sz w:val="24"/>
          <w:szCs w:val="24"/>
        </w:rPr>
        <w:t xml:space="preserve"> started drinking alcohol and smoking marijuana as a teenager. She drank alcohol excessively by age 18, drinking less while in college, but drinking heavily after her psychiatric hospitalization in 2015 and until 2018. She smoked marijuana daily during graduate school and when she was part of a </w:t>
      </w:r>
      <w:proofErr w:type="gramStart"/>
      <w:r w:rsidRPr="00C32C23">
        <w:rPr>
          <w:rFonts w:ascii="Times New Roman" w:hAnsi="Times New Roman"/>
          <w:sz w:val="24"/>
          <w:szCs w:val="24"/>
        </w:rPr>
        <w:t>group</w:t>
      </w:r>
      <w:proofErr w:type="gramEnd"/>
      <w:r w:rsidRPr="00C32C23">
        <w:rPr>
          <w:rFonts w:ascii="Times New Roman" w:hAnsi="Times New Roman"/>
          <w:sz w:val="24"/>
          <w:szCs w:val="24"/>
        </w:rPr>
        <w:t xml:space="preserve"> she </w:t>
      </w:r>
      <w:proofErr w:type="gramStart"/>
      <w:r w:rsidRPr="00C32C23">
        <w:rPr>
          <w:rFonts w:ascii="Times New Roman" w:hAnsi="Times New Roman"/>
          <w:sz w:val="24"/>
          <w:szCs w:val="24"/>
        </w:rPr>
        <w:t>labeled</w:t>
      </w:r>
      <w:proofErr w:type="gramEnd"/>
      <w:r w:rsidRPr="00C32C23">
        <w:rPr>
          <w:rFonts w:ascii="Times New Roman" w:hAnsi="Times New Roman"/>
          <w:sz w:val="24"/>
          <w:szCs w:val="24"/>
        </w:rPr>
        <w:t xml:space="preserve"> a "cult." She was part of that group from October 2020 to July 2021. During that period, she also occasionally ingested psychedelic mushrooms and peyote. </w:t>
      </w:r>
      <w:proofErr w:type="spellStart"/>
      <w:r w:rsidRPr="00C32C23">
        <w:rPr>
          <w:rFonts w:ascii="Times New Roman" w:hAnsi="Times New Roman"/>
          <w:sz w:val="24"/>
          <w:szCs w:val="24"/>
        </w:rPr>
        <w:t>Souverneva</w:t>
      </w:r>
      <w:proofErr w:type="spellEnd"/>
      <w:r w:rsidRPr="00C32C23">
        <w:rPr>
          <w:rFonts w:ascii="Times New Roman" w:hAnsi="Times New Roman"/>
          <w:sz w:val="24"/>
          <w:szCs w:val="24"/>
        </w:rPr>
        <w:t xml:space="preserve"> argues that inferring future dangerousness based on past marijuana use is error, and there was no evidence of violent conduct. But </w:t>
      </w:r>
      <w:proofErr w:type="spellStart"/>
      <w:r w:rsidRPr="00C32C23">
        <w:rPr>
          <w:rFonts w:ascii="Times New Roman" w:hAnsi="Times New Roman"/>
          <w:sz w:val="24"/>
          <w:szCs w:val="24"/>
        </w:rPr>
        <w:t>Souverneva's</w:t>
      </w:r>
      <w:proofErr w:type="spellEnd"/>
      <w:r w:rsidRPr="00C32C23">
        <w:rPr>
          <w:rFonts w:ascii="Times New Roman" w:hAnsi="Times New Roman"/>
          <w:sz w:val="24"/>
          <w:szCs w:val="24"/>
        </w:rPr>
        <w:t xml:space="preserve"> use </w:t>
      </w:r>
      <w:r w:rsidRPr="00C32C23">
        <w:rPr>
          <w:rFonts w:ascii="Times New Roman" w:hAnsi="Times New Roman"/>
          <w:sz w:val="24"/>
          <w:szCs w:val="24"/>
        </w:rPr>
        <w:lastRenderedPageBreak/>
        <w:t>of alcohol and marijuana resulted in her 2017 arrest for driving under the influence of alcohol and hit and run, and four years later, her arrest for driving under the influence of marijuana, offenses that endangered the lives of others.</w:t>
      </w:r>
    </w:p>
    <w:p w14:paraId="5D302AA2" w14:textId="77777777" w:rsidR="00C32C23" w:rsidRPr="00C32C23" w:rsidRDefault="00C32C23" w:rsidP="00C32C23">
      <w:pPr>
        <w:pStyle w:val="NoSpacing"/>
        <w:ind w:left="720"/>
        <w:rPr>
          <w:rFonts w:ascii="Times New Roman" w:hAnsi="Times New Roman"/>
          <w:bCs/>
          <w:sz w:val="24"/>
          <w:szCs w:val="24"/>
        </w:rPr>
      </w:pPr>
    </w:p>
    <w:p w14:paraId="1BE07367" w14:textId="77777777" w:rsidR="00C32C23" w:rsidRPr="00C32C23" w:rsidRDefault="00C32C23" w:rsidP="00C32C23">
      <w:pPr>
        <w:pStyle w:val="NoSpacing"/>
        <w:ind w:left="720"/>
        <w:rPr>
          <w:rFonts w:ascii="Times New Roman" w:hAnsi="Times New Roman"/>
          <w:bCs/>
          <w:sz w:val="24"/>
          <w:szCs w:val="24"/>
        </w:rPr>
      </w:pPr>
      <w:r w:rsidRPr="00C32C23">
        <w:rPr>
          <w:rFonts w:ascii="Times New Roman" w:hAnsi="Times New Roman"/>
          <w:sz w:val="24"/>
          <w:szCs w:val="24"/>
        </w:rPr>
        <w:t>***</w:t>
      </w:r>
    </w:p>
    <w:p w14:paraId="0CB7F523" w14:textId="77777777" w:rsidR="00C32C23" w:rsidRPr="00C32C23" w:rsidRDefault="00C32C23" w:rsidP="00C32C23">
      <w:pPr>
        <w:pStyle w:val="NoSpacing"/>
        <w:rPr>
          <w:rFonts w:ascii="Times New Roman" w:hAnsi="Times New Roman"/>
          <w:bCs/>
          <w:sz w:val="24"/>
          <w:szCs w:val="24"/>
        </w:rPr>
      </w:pPr>
    </w:p>
    <w:p w14:paraId="0843F478" w14:textId="77777777" w:rsidR="00C32C23" w:rsidRPr="00C32C23" w:rsidRDefault="00C32C23" w:rsidP="00C32C23">
      <w:pPr>
        <w:pStyle w:val="NoSpacing"/>
        <w:ind w:left="720"/>
        <w:rPr>
          <w:rFonts w:ascii="Times New Roman" w:hAnsi="Times New Roman"/>
          <w:bCs/>
          <w:sz w:val="24"/>
          <w:szCs w:val="24"/>
        </w:rPr>
      </w:pPr>
      <w:proofErr w:type="spellStart"/>
      <w:r w:rsidRPr="00C32C23">
        <w:rPr>
          <w:rFonts w:ascii="Times New Roman" w:hAnsi="Times New Roman"/>
          <w:sz w:val="24"/>
          <w:szCs w:val="24"/>
        </w:rPr>
        <w:t>Souverneva</w:t>
      </w:r>
      <w:proofErr w:type="spellEnd"/>
      <w:r w:rsidRPr="00C32C23">
        <w:rPr>
          <w:rFonts w:ascii="Times New Roman" w:hAnsi="Times New Roman"/>
          <w:sz w:val="24"/>
          <w:szCs w:val="24"/>
        </w:rPr>
        <w:t xml:space="preserve"> told Fire Captain </w:t>
      </w:r>
      <w:proofErr w:type="spellStart"/>
      <w:r w:rsidRPr="00C32C23">
        <w:rPr>
          <w:rFonts w:ascii="Times New Roman" w:hAnsi="Times New Roman"/>
          <w:sz w:val="24"/>
          <w:szCs w:val="24"/>
        </w:rPr>
        <w:t>Boic</w:t>
      </w:r>
      <w:proofErr w:type="spellEnd"/>
      <w:r w:rsidRPr="00C32C23">
        <w:rPr>
          <w:rFonts w:ascii="Times New Roman" w:hAnsi="Times New Roman"/>
          <w:sz w:val="24"/>
          <w:szCs w:val="24"/>
        </w:rPr>
        <w:t xml:space="preserve"> fires were good for the environment, and she was found walking </w:t>
      </w:r>
      <w:proofErr w:type="gramStart"/>
      <w:r w:rsidRPr="00C32C23">
        <w:rPr>
          <w:rFonts w:ascii="Times New Roman" w:hAnsi="Times New Roman"/>
          <w:sz w:val="24"/>
          <w:szCs w:val="24"/>
        </w:rPr>
        <w:t>in the area of</w:t>
      </w:r>
      <w:proofErr w:type="gramEnd"/>
      <w:r w:rsidRPr="00C32C23">
        <w:rPr>
          <w:rFonts w:ascii="Times New Roman" w:hAnsi="Times New Roman"/>
          <w:sz w:val="24"/>
          <w:szCs w:val="24"/>
        </w:rPr>
        <w:t xml:space="preserve"> the fires and possessed a working lighter and items she identified as a bomb and an incendiary device. </w:t>
      </w:r>
      <w:proofErr w:type="spellStart"/>
      <w:r w:rsidRPr="00C32C23">
        <w:rPr>
          <w:rFonts w:ascii="Times New Roman" w:hAnsi="Times New Roman"/>
          <w:sz w:val="24"/>
          <w:szCs w:val="24"/>
        </w:rPr>
        <w:t>Souverneva</w:t>
      </w:r>
      <w:proofErr w:type="spellEnd"/>
      <w:r w:rsidRPr="00C32C23">
        <w:rPr>
          <w:rFonts w:ascii="Times New Roman" w:hAnsi="Times New Roman"/>
          <w:sz w:val="24"/>
          <w:szCs w:val="24"/>
        </w:rPr>
        <w:t xml:space="preserve"> acknowledged that wildfires can cause loss of life. (</w:t>
      </w:r>
      <w:r w:rsidRPr="00C32C23">
        <w:rPr>
          <w:rFonts w:ascii="Times New Roman" w:hAnsi="Times New Roman"/>
          <w:i/>
          <w:iCs/>
          <w:sz w:val="24"/>
          <w:szCs w:val="24"/>
        </w:rPr>
        <w:t>Association of California Ins. Companies v. Jones</w:t>
      </w:r>
      <w:r w:rsidRPr="00C32C23">
        <w:rPr>
          <w:rFonts w:ascii="Times New Roman" w:hAnsi="Times New Roman"/>
          <w:sz w:val="24"/>
          <w:szCs w:val="24"/>
        </w:rPr>
        <w:t xml:space="preserve"> (2017) </w:t>
      </w:r>
      <w:hyperlink r:id="rId684" w:anchor="p382" w:history="1">
        <w:r w:rsidRPr="00C32C23">
          <w:rPr>
            <w:rStyle w:val="Hyperlink"/>
            <w:rFonts w:ascii="Times New Roman" w:hAnsi="Times New Roman"/>
            <w:sz w:val="24"/>
            <w:szCs w:val="24"/>
          </w:rPr>
          <w:t>2 Cal.5th 376, 382</w:t>
        </w:r>
      </w:hyperlink>
      <w:r w:rsidRPr="00C32C23">
        <w:rPr>
          <w:rFonts w:ascii="Times New Roman" w:hAnsi="Times New Roman"/>
          <w:sz w:val="24"/>
          <w:szCs w:val="24"/>
        </w:rPr>
        <w:t xml:space="preserve"> ["Wildfires are a fact of life in California, and so, too, are the threats they pose to people and property."]; </w:t>
      </w:r>
      <w:r w:rsidRPr="00C32C23">
        <w:rPr>
          <w:rFonts w:ascii="Times New Roman" w:hAnsi="Times New Roman"/>
          <w:i/>
          <w:iCs/>
          <w:sz w:val="24"/>
          <w:szCs w:val="24"/>
        </w:rPr>
        <w:t>Pacheco, supra</w:t>
      </w:r>
      <w:r w:rsidRPr="00C32C23">
        <w:rPr>
          <w:rFonts w:ascii="Times New Roman" w:hAnsi="Times New Roman"/>
          <w:sz w:val="24"/>
          <w:szCs w:val="24"/>
        </w:rPr>
        <w:t xml:space="preserve">, </w:t>
      </w:r>
      <w:hyperlink r:id="rId685" w:anchor="p209" w:history="1">
        <w:r w:rsidRPr="00C32C23">
          <w:rPr>
            <w:rStyle w:val="Hyperlink"/>
            <w:rFonts w:ascii="Times New Roman" w:hAnsi="Times New Roman"/>
            <w:sz w:val="24"/>
            <w:szCs w:val="24"/>
          </w:rPr>
          <w:t>75 Cal.App.5th at p. 209</w:t>
        </w:r>
      </w:hyperlink>
      <w:r w:rsidRPr="00C32C23">
        <w:rPr>
          <w:rFonts w:ascii="Times New Roman" w:hAnsi="Times New Roman"/>
          <w:sz w:val="24"/>
          <w:szCs w:val="24"/>
        </w:rPr>
        <w:t xml:space="preserve">.) In light of the severe potential consequences of starting wildfires, </w:t>
      </w:r>
      <w:proofErr w:type="spellStart"/>
      <w:r w:rsidRPr="00C32C23">
        <w:rPr>
          <w:rFonts w:ascii="Times New Roman" w:hAnsi="Times New Roman"/>
          <w:sz w:val="24"/>
          <w:szCs w:val="24"/>
        </w:rPr>
        <w:t>Souverneva's</w:t>
      </w:r>
      <w:proofErr w:type="spellEnd"/>
      <w:r w:rsidRPr="00C32C23">
        <w:rPr>
          <w:rFonts w:ascii="Times New Roman" w:hAnsi="Times New Roman"/>
          <w:sz w:val="24"/>
          <w:szCs w:val="24"/>
        </w:rPr>
        <w:t xml:space="preserve"> statement to the fire captain, </w:t>
      </w:r>
      <w:proofErr w:type="spellStart"/>
      <w:r w:rsidRPr="00C32C23">
        <w:rPr>
          <w:rFonts w:ascii="Times New Roman" w:hAnsi="Times New Roman"/>
          <w:sz w:val="24"/>
          <w:szCs w:val="24"/>
        </w:rPr>
        <w:t>Souverneva's</w:t>
      </w:r>
      <w:proofErr w:type="spellEnd"/>
      <w:r w:rsidRPr="00C32C23">
        <w:rPr>
          <w:rFonts w:ascii="Times New Roman" w:hAnsi="Times New Roman"/>
          <w:sz w:val="24"/>
          <w:szCs w:val="24"/>
        </w:rPr>
        <w:t xml:space="preserve"> failure to address her substance abuse, Dr. Caruso's opinion that marijuana use would likely cause </w:t>
      </w:r>
      <w:proofErr w:type="spellStart"/>
      <w:r w:rsidRPr="00C32C23">
        <w:rPr>
          <w:rFonts w:ascii="Times New Roman" w:hAnsi="Times New Roman"/>
          <w:sz w:val="24"/>
          <w:szCs w:val="24"/>
        </w:rPr>
        <w:t>Souverneva</w:t>
      </w:r>
      <w:proofErr w:type="spellEnd"/>
      <w:r w:rsidRPr="00C32C23">
        <w:rPr>
          <w:rFonts w:ascii="Times New Roman" w:hAnsi="Times New Roman"/>
          <w:sz w:val="24"/>
          <w:szCs w:val="24"/>
        </w:rPr>
        <w:t xml:space="preserve"> to detach from reality, and </w:t>
      </w:r>
      <w:proofErr w:type="spellStart"/>
      <w:r w:rsidRPr="00C32C23">
        <w:rPr>
          <w:rFonts w:ascii="Times New Roman" w:hAnsi="Times New Roman"/>
          <w:sz w:val="24"/>
          <w:szCs w:val="24"/>
        </w:rPr>
        <w:t>Souverneva's</w:t>
      </w:r>
      <w:proofErr w:type="spellEnd"/>
      <w:r w:rsidRPr="00C32C23">
        <w:rPr>
          <w:rFonts w:ascii="Times New Roman" w:hAnsi="Times New Roman"/>
          <w:sz w:val="24"/>
          <w:szCs w:val="24"/>
        </w:rPr>
        <w:t xml:space="preserve"> history of not complying with treatment, the trial court did not abuse its discretion in finding that granting </w:t>
      </w:r>
      <w:proofErr w:type="spellStart"/>
      <w:r w:rsidRPr="00C32C23">
        <w:rPr>
          <w:rFonts w:ascii="Times New Roman" w:hAnsi="Times New Roman"/>
          <w:sz w:val="24"/>
          <w:szCs w:val="24"/>
        </w:rPr>
        <w:t>Souverneva</w:t>
      </w:r>
      <w:proofErr w:type="spellEnd"/>
      <w:r w:rsidRPr="00C32C23">
        <w:rPr>
          <w:rFonts w:ascii="Times New Roman" w:hAnsi="Times New Roman"/>
          <w:sz w:val="24"/>
          <w:szCs w:val="24"/>
        </w:rPr>
        <w:t xml:space="preserve"> pretrial diversion would pose an unreasonable risk that she would start a wildfire and cause loss of life.”</w:t>
      </w:r>
    </w:p>
    <w:p w14:paraId="32064E46" w14:textId="77777777" w:rsidR="00C32C23" w:rsidRPr="00C32C23" w:rsidRDefault="00C32C23" w:rsidP="00C32C23">
      <w:pPr>
        <w:pStyle w:val="NoSpacing"/>
        <w:ind w:left="720"/>
        <w:rPr>
          <w:rFonts w:ascii="Times New Roman" w:hAnsi="Times New Roman"/>
          <w:bCs/>
          <w:sz w:val="24"/>
          <w:szCs w:val="24"/>
        </w:rPr>
      </w:pPr>
    </w:p>
    <w:p w14:paraId="36F5B37D" w14:textId="77777777" w:rsidR="00C32C23" w:rsidRPr="00C32C23" w:rsidRDefault="00C32C23" w:rsidP="00C32C23">
      <w:pPr>
        <w:pStyle w:val="NoSpacing"/>
        <w:rPr>
          <w:rFonts w:ascii="Times New Roman" w:hAnsi="Times New Roman"/>
          <w:b/>
          <w:sz w:val="24"/>
          <w:szCs w:val="24"/>
        </w:rPr>
      </w:pPr>
      <w:r w:rsidRPr="00C32C23">
        <w:rPr>
          <w:rFonts w:ascii="Times New Roman" w:hAnsi="Times New Roman"/>
          <w:b/>
          <w:sz w:val="24"/>
          <w:szCs w:val="24"/>
        </w:rPr>
        <w:t xml:space="preserve">Legal Lesson Learned:  The trial court properly found that during a fire risk emergency, a defendant who </w:t>
      </w:r>
      <w:proofErr w:type="gramStart"/>
      <w:r w:rsidRPr="00C32C23">
        <w:rPr>
          <w:rFonts w:ascii="Times New Roman" w:hAnsi="Times New Roman"/>
          <w:b/>
          <w:sz w:val="24"/>
          <w:szCs w:val="24"/>
        </w:rPr>
        <w:t>starting</w:t>
      </w:r>
      <w:proofErr w:type="gramEnd"/>
      <w:r w:rsidRPr="00C32C23">
        <w:rPr>
          <w:rFonts w:ascii="Times New Roman" w:hAnsi="Times New Roman"/>
          <w:b/>
          <w:sz w:val="24"/>
          <w:szCs w:val="24"/>
        </w:rPr>
        <w:t xml:space="preserve"> six fires with mental health and drug abuse, is a risk to the public. </w:t>
      </w:r>
    </w:p>
    <w:p w14:paraId="0AF39702" w14:textId="77777777" w:rsidR="00C32C23" w:rsidRPr="00C32C23" w:rsidRDefault="00C32C23" w:rsidP="00C32C23">
      <w:pPr>
        <w:pStyle w:val="NoSpacing"/>
        <w:rPr>
          <w:rFonts w:ascii="Times New Roman" w:hAnsi="Times New Roman"/>
          <w:bCs/>
          <w:sz w:val="24"/>
          <w:szCs w:val="24"/>
        </w:rPr>
      </w:pPr>
    </w:p>
    <w:p w14:paraId="3DF4DDFA" w14:textId="77777777" w:rsidR="00C32C23" w:rsidRPr="00C32C23" w:rsidRDefault="00C32C23" w:rsidP="00C32C23">
      <w:pPr>
        <w:pStyle w:val="NoSpacing"/>
        <w:ind w:left="720"/>
        <w:rPr>
          <w:rFonts w:ascii="Times New Roman" w:hAnsi="Times New Roman"/>
          <w:bCs/>
          <w:sz w:val="24"/>
          <w:szCs w:val="24"/>
        </w:rPr>
      </w:pPr>
      <w:r w:rsidRPr="00C32C23">
        <w:rPr>
          <w:rFonts w:ascii="Times New Roman" w:hAnsi="Times New Roman"/>
          <w:sz w:val="24"/>
          <w:szCs w:val="24"/>
        </w:rPr>
        <w:t>See Feb. 27, 2024, article  [TV VIDEO], “Fawn fire trial delayed again, Shasta County DA responds.” REDDING, Calif. — The</w:t>
      </w:r>
      <w:hyperlink r:id="rId686" w:tgtFrame="_blank" w:tooltip="https://krcrtv.com/news/local/long-awaited-settlement-conference-in-fawn-fire-arson-case-brings-hope-to-victims#" w:history="1">
        <w:r w:rsidRPr="00C32C23">
          <w:rPr>
            <w:rStyle w:val="Hyperlink"/>
            <w:rFonts w:ascii="Times New Roman" w:hAnsi="Times New Roman"/>
            <w:sz w:val="24"/>
            <w:szCs w:val="24"/>
          </w:rPr>
          <w:t xml:space="preserve"> Fawn Fire trial </w:t>
        </w:r>
      </w:hyperlink>
      <w:r w:rsidRPr="00C32C23">
        <w:rPr>
          <w:rFonts w:ascii="Times New Roman" w:hAnsi="Times New Roman"/>
          <w:sz w:val="24"/>
          <w:szCs w:val="24"/>
        </w:rPr>
        <w:t xml:space="preserve">has been postponed again. Alleged arsonist </w:t>
      </w:r>
      <w:hyperlink r:id="rId687" w:tgtFrame="_blank" w:tooltip="https://krcrtv.com/news/local/long-awaited-settlement-conference-in-fawn-fire-arson-case-brings-hope-to-victims#" w:history="1">
        <w:r w:rsidRPr="00C32C23">
          <w:rPr>
            <w:rStyle w:val="Hyperlink"/>
            <w:rFonts w:ascii="Times New Roman" w:hAnsi="Times New Roman"/>
            <w:sz w:val="24"/>
            <w:szCs w:val="24"/>
          </w:rPr>
          <w:t>Alexandra Souverneva</w:t>
        </w:r>
      </w:hyperlink>
      <w:r w:rsidRPr="00C32C23">
        <w:rPr>
          <w:rFonts w:ascii="Times New Roman" w:hAnsi="Times New Roman"/>
          <w:sz w:val="24"/>
          <w:szCs w:val="24"/>
        </w:rPr>
        <w:t xml:space="preserve"> will no longer be starting trial on March 1.</w:t>
      </w:r>
    </w:p>
    <w:p w14:paraId="75F486C6" w14:textId="77777777" w:rsidR="00C32C23" w:rsidRPr="00C32C23" w:rsidRDefault="00C32C23" w:rsidP="00C32C23">
      <w:pPr>
        <w:pStyle w:val="NoSpacing"/>
        <w:ind w:left="720"/>
        <w:rPr>
          <w:rFonts w:ascii="Times New Roman" w:hAnsi="Times New Roman"/>
          <w:bCs/>
          <w:sz w:val="24"/>
          <w:szCs w:val="24"/>
        </w:rPr>
      </w:pPr>
      <w:r w:rsidRPr="00C32C23">
        <w:rPr>
          <w:rFonts w:ascii="Times New Roman" w:hAnsi="Times New Roman"/>
          <w:sz w:val="24"/>
          <w:szCs w:val="24"/>
        </w:rPr>
        <w:t>Shasta County District Attorney Stephanie Bridgett says this was discussed in court Monday, where her attorney once again filed for a mental health diversion. It's been 2.5 years since the fire took place, burning homes and land in north Redding for 10 days, destroying nearly 200 structures and burning nearly 9,000 acres. Bridgett says that trials can be a lengthy process, especially when they involve felonies.</w:t>
      </w:r>
    </w:p>
    <w:p w14:paraId="501D28F5" w14:textId="77777777" w:rsidR="00BD564D" w:rsidRPr="00C32C23" w:rsidRDefault="00BD564D" w:rsidP="00BD564D">
      <w:pPr>
        <w:pStyle w:val="NoSpacing"/>
        <w:rPr>
          <w:rFonts w:ascii="Times New Roman" w:hAnsi="Times New Roman"/>
          <w:sz w:val="24"/>
          <w:szCs w:val="24"/>
        </w:rPr>
      </w:pPr>
    </w:p>
    <w:p w14:paraId="1A5AACB2" w14:textId="77777777" w:rsidR="00FE0B61" w:rsidRDefault="00FE0B61" w:rsidP="00F326E5">
      <w:pPr>
        <w:pStyle w:val="NoSpacing"/>
        <w:rPr>
          <w:rFonts w:ascii="Arial Black" w:hAnsi="Arial Black"/>
          <w:sz w:val="28"/>
          <w:szCs w:val="28"/>
        </w:rPr>
      </w:pPr>
    </w:p>
    <w:p w14:paraId="13C7DB7C" w14:textId="2DF49090" w:rsidR="00CB0F04" w:rsidRDefault="00A0601A" w:rsidP="00F326E5">
      <w:pPr>
        <w:pStyle w:val="NoSpacing"/>
        <w:rPr>
          <w:rFonts w:ascii="Arial Black" w:hAnsi="Arial Black"/>
          <w:sz w:val="28"/>
          <w:szCs w:val="28"/>
        </w:rPr>
      </w:pPr>
      <w:r>
        <w:rPr>
          <w:rFonts w:ascii="Arial Black" w:hAnsi="Arial Black"/>
          <w:sz w:val="28"/>
          <w:szCs w:val="28"/>
        </w:rPr>
        <w:t>3-69</w:t>
      </w:r>
    </w:p>
    <w:p w14:paraId="04185549" w14:textId="77777777" w:rsidR="00A0601A" w:rsidRDefault="00A0601A" w:rsidP="00F326E5">
      <w:pPr>
        <w:pStyle w:val="NoSpacing"/>
        <w:rPr>
          <w:rFonts w:ascii="Arial Black" w:hAnsi="Arial Black"/>
          <w:sz w:val="28"/>
          <w:szCs w:val="28"/>
        </w:rPr>
      </w:pPr>
    </w:p>
    <w:p w14:paraId="6D798485" w14:textId="77777777" w:rsidR="00A0601A" w:rsidRDefault="00A0601A" w:rsidP="00A0601A">
      <w:pPr>
        <w:pStyle w:val="NoSpacing"/>
        <w:rPr>
          <w:b/>
        </w:rPr>
      </w:pPr>
      <w:r>
        <w:rPr>
          <w:rFonts w:ascii="Arial Black" w:hAnsi="Arial Black"/>
          <w:b/>
          <w:sz w:val="28"/>
          <w:szCs w:val="28"/>
        </w:rPr>
        <w:t xml:space="preserve">IL: PELLET GUN - MIDDLE SCHOOL STUDENT LOCKER – SAME DAY UVALDE, TX MASS SHOOTING – 1-YR SUSP. </w:t>
      </w:r>
    </w:p>
    <w:p w14:paraId="69DDD6FA" w14:textId="77777777" w:rsidR="00A0601A" w:rsidRDefault="00A0601A" w:rsidP="00A0601A">
      <w:pPr>
        <w:pStyle w:val="NoSpacing"/>
        <w:ind w:firstLine="720"/>
        <w:rPr>
          <w:b/>
        </w:rPr>
      </w:pPr>
    </w:p>
    <w:p w14:paraId="7E8D2DFA" w14:textId="77777777" w:rsidR="00A0601A" w:rsidRPr="00301E8E" w:rsidRDefault="00A0601A" w:rsidP="00A0601A">
      <w:pPr>
        <w:pStyle w:val="NoSpacing"/>
        <w:rPr>
          <w:rFonts w:ascii="Times New Roman" w:hAnsi="Times New Roman"/>
          <w:b/>
          <w:sz w:val="24"/>
          <w:szCs w:val="24"/>
        </w:rPr>
      </w:pPr>
      <w:r w:rsidRPr="00301E8E">
        <w:rPr>
          <w:rFonts w:ascii="Times New Roman" w:hAnsi="Times New Roman"/>
          <w:sz w:val="24"/>
          <w:szCs w:val="24"/>
        </w:rPr>
        <w:t xml:space="preserve">On Nov. 27, 2024, in </w:t>
      </w:r>
      <w:r w:rsidRPr="00301E8E">
        <w:rPr>
          <w:rFonts w:ascii="Times New Roman" w:hAnsi="Times New Roman"/>
          <w:sz w:val="24"/>
          <w:szCs w:val="24"/>
          <w:u w:val="single"/>
        </w:rPr>
        <w:t>A.A., a minor, by and through his next friend and parent, Elizabeth Pasillas v. Board of Education, Summit School District No. 104</w:t>
      </w:r>
      <w:r w:rsidRPr="00301E8E">
        <w:rPr>
          <w:rFonts w:ascii="Times New Roman" w:hAnsi="Times New Roman"/>
          <w:sz w:val="24"/>
          <w:szCs w:val="24"/>
        </w:rPr>
        <w:t xml:space="preserve">, the Appellate Court of Illinois, First District, held (2 to 1), that the School Board properly suspended the 13-year-old for one-year, overturning decision by trial court judge. The pellet gun was discovered on May 24, 2022, the same day that a mass shooter murdered 19 fourth graders and two teachers at an elementary school in Uvalde, Texas. The Court wrote: “However, it is entirely reasonable for the school officials to have taken the national school shooting landscape into consideration when deciding A.A.’s discipline. One of the determinations that the officials had to make under subsection (b-20) was whether A.A.’s ongoing presence would ‘substantially disrupt, impede, or interfere with the operation of the school.’ That analysis would logically include a consideration of the effect of A.A.’s presence on his classmates and their educational environment. Given the prevalence of school shootings in this country, it would be natural for A.A.’s fellow students to be wary and concerned about the presence of someone who brought a lookalike gun to school.” </w:t>
      </w:r>
      <w:hyperlink r:id="rId688" w:history="1">
        <w:r w:rsidRPr="00301E8E">
          <w:rPr>
            <w:rStyle w:val="Hyperlink"/>
            <w:rFonts w:ascii="Times New Roman" w:hAnsi="Times New Roman"/>
            <w:sz w:val="24"/>
            <w:szCs w:val="24"/>
          </w:rPr>
          <w:t>https://ilcourtsaudio.blob.core.windows.net/antilles-resources/resources/aa9ece1f-338b-4d77-9d21-fd7bfa316d8e/A.A.%20%20v.%20Board%20of%20Education%20of%20Summit%20School%20District%20No.%20104,%202024%20IL%20App%20(1st)%20232451.pdf</w:t>
        </w:r>
      </w:hyperlink>
      <w:r w:rsidRPr="00301E8E">
        <w:rPr>
          <w:rFonts w:ascii="Times New Roman" w:hAnsi="Times New Roman"/>
          <w:sz w:val="24"/>
          <w:szCs w:val="24"/>
        </w:rPr>
        <w:t xml:space="preserve"> </w:t>
      </w:r>
    </w:p>
    <w:p w14:paraId="0929C503" w14:textId="77777777" w:rsidR="00A0601A" w:rsidRPr="00301E8E" w:rsidRDefault="00A0601A" w:rsidP="00A0601A">
      <w:pPr>
        <w:pStyle w:val="NoSpacing"/>
        <w:ind w:firstLine="720"/>
        <w:rPr>
          <w:rFonts w:ascii="Times New Roman" w:hAnsi="Times New Roman"/>
          <w:b/>
          <w:sz w:val="24"/>
          <w:szCs w:val="24"/>
        </w:rPr>
      </w:pPr>
    </w:p>
    <w:p w14:paraId="43C81279" w14:textId="4C34B2AE" w:rsidR="00A0601A" w:rsidRPr="00301E8E" w:rsidRDefault="00301E8E" w:rsidP="00F326E5">
      <w:pPr>
        <w:pStyle w:val="NoSpacing"/>
        <w:rPr>
          <w:rFonts w:ascii="Times New Roman" w:hAnsi="Times New Roman"/>
          <w:sz w:val="24"/>
          <w:szCs w:val="24"/>
        </w:rPr>
      </w:pPr>
      <w:r w:rsidRPr="00301E8E">
        <w:rPr>
          <w:rFonts w:ascii="Times New Roman" w:hAnsi="Times New Roman"/>
          <w:sz w:val="24"/>
          <w:szCs w:val="24"/>
        </w:rPr>
        <w:lastRenderedPageBreak/>
        <w:t>See Dissent</w:t>
      </w:r>
    </w:p>
    <w:p w14:paraId="483F1582" w14:textId="77777777" w:rsidR="00301E8E" w:rsidRPr="00301E8E" w:rsidRDefault="00301E8E" w:rsidP="00F326E5">
      <w:pPr>
        <w:pStyle w:val="NoSpacing"/>
        <w:rPr>
          <w:rFonts w:ascii="Times New Roman" w:hAnsi="Times New Roman"/>
          <w:sz w:val="24"/>
          <w:szCs w:val="24"/>
        </w:rPr>
      </w:pPr>
    </w:p>
    <w:p w14:paraId="22ACFF37" w14:textId="77777777" w:rsidR="00301E8E" w:rsidRPr="00301E8E" w:rsidRDefault="00301E8E" w:rsidP="00301E8E">
      <w:pPr>
        <w:pStyle w:val="NoSpacing"/>
        <w:rPr>
          <w:rFonts w:ascii="Times New Roman" w:hAnsi="Times New Roman"/>
          <w:b/>
          <w:bCs/>
          <w:sz w:val="24"/>
          <w:szCs w:val="24"/>
        </w:rPr>
      </w:pPr>
      <w:r w:rsidRPr="00301E8E">
        <w:rPr>
          <w:rFonts w:ascii="Times New Roman" w:hAnsi="Times New Roman"/>
          <w:b/>
          <w:sz w:val="24"/>
          <w:szCs w:val="24"/>
        </w:rPr>
        <w:t xml:space="preserve">Legal Lesson Learned:  The 1-year suspension certainly sends a message to all students in the school; nice to read about State statute mandating 2-year expulsion for bringing firearm to school. </w:t>
      </w:r>
    </w:p>
    <w:p w14:paraId="61C7A709" w14:textId="77777777" w:rsidR="00301E8E" w:rsidRPr="00301E8E" w:rsidRDefault="00301E8E" w:rsidP="00301E8E">
      <w:pPr>
        <w:pStyle w:val="NoSpacing"/>
        <w:rPr>
          <w:rFonts w:ascii="Times New Roman" w:hAnsi="Times New Roman"/>
          <w:sz w:val="24"/>
          <w:szCs w:val="24"/>
        </w:rPr>
      </w:pPr>
    </w:p>
    <w:p w14:paraId="3B82C42E" w14:textId="77777777" w:rsidR="00301E8E" w:rsidRDefault="00301E8E" w:rsidP="00F326E5">
      <w:pPr>
        <w:pStyle w:val="NoSpacing"/>
        <w:rPr>
          <w:rFonts w:ascii="Arial Black" w:hAnsi="Arial Black"/>
          <w:sz w:val="28"/>
          <w:szCs w:val="28"/>
        </w:rPr>
      </w:pPr>
    </w:p>
    <w:p w14:paraId="0C83CB93" w14:textId="77777777" w:rsidR="00A0601A" w:rsidRDefault="00A0601A" w:rsidP="00F326E5">
      <w:pPr>
        <w:pStyle w:val="NoSpacing"/>
        <w:rPr>
          <w:rFonts w:ascii="Arial Black" w:hAnsi="Arial Black"/>
          <w:sz w:val="28"/>
          <w:szCs w:val="28"/>
        </w:rPr>
      </w:pPr>
    </w:p>
    <w:p w14:paraId="31D314A8" w14:textId="77777777" w:rsidR="00A0601A" w:rsidRDefault="00A0601A" w:rsidP="00F326E5">
      <w:pPr>
        <w:pStyle w:val="NoSpacing"/>
        <w:rPr>
          <w:rFonts w:ascii="Arial Black" w:hAnsi="Arial Black"/>
          <w:sz w:val="28"/>
          <w:szCs w:val="28"/>
        </w:rPr>
      </w:pPr>
    </w:p>
    <w:p w14:paraId="7A4D821E" w14:textId="77777777" w:rsidR="00A0601A" w:rsidRDefault="00A0601A" w:rsidP="00F326E5">
      <w:pPr>
        <w:pStyle w:val="NoSpacing"/>
        <w:rPr>
          <w:rFonts w:ascii="Arial Black" w:hAnsi="Arial Black"/>
          <w:sz w:val="28"/>
          <w:szCs w:val="28"/>
        </w:rPr>
      </w:pPr>
    </w:p>
    <w:p w14:paraId="27D66F02" w14:textId="176A6070" w:rsidR="00110AE2" w:rsidRDefault="0098663B" w:rsidP="00F326E5">
      <w:pPr>
        <w:pStyle w:val="NoSpacing"/>
        <w:rPr>
          <w:rFonts w:ascii="Arial Black" w:hAnsi="Arial Black"/>
          <w:sz w:val="28"/>
          <w:szCs w:val="28"/>
        </w:rPr>
      </w:pPr>
      <w:r>
        <w:rPr>
          <w:rFonts w:ascii="Arial Black" w:hAnsi="Arial Black"/>
          <w:sz w:val="28"/>
          <w:szCs w:val="28"/>
        </w:rPr>
        <w:t>3-68</w:t>
      </w:r>
    </w:p>
    <w:p w14:paraId="62B8B05B" w14:textId="77777777" w:rsidR="0098663B" w:rsidRDefault="0098663B" w:rsidP="00F326E5">
      <w:pPr>
        <w:pStyle w:val="NoSpacing"/>
        <w:rPr>
          <w:rFonts w:ascii="Arial Black" w:hAnsi="Arial Black"/>
          <w:sz w:val="28"/>
          <w:szCs w:val="28"/>
        </w:rPr>
      </w:pPr>
    </w:p>
    <w:p w14:paraId="2EFBF4EA" w14:textId="77777777" w:rsidR="00452CAA" w:rsidRPr="00AF49D1" w:rsidRDefault="00452CAA" w:rsidP="00452CAA">
      <w:pPr>
        <w:rPr>
          <w:rFonts w:ascii="Times New Roman" w:hAnsi="Times New Roman"/>
          <w:b/>
          <w:bCs/>
          <w:sz w:val="24"/>
          <w:szCs w:val="24"/>
        </w:rPr>
      </w:pPr>
      <w:r w:rsidRPr="00AF49D1">
        <w:rPr>
          <w:rFonts w:ascii="Times New Roman" w:hAnsi="Times New Roman"/>
          <w:b/>
          <w:bCs/>
          <w:sz w:val="24"/>
          <w:szCs w:val="24"/>
        </w:rPr>
        <w:t>DC: SECRET SERVICE PROTECTION – NO ENTERING RESTRICTED ZONE – CAPITOL INVASION – 14 DAYS JAIL</w:t>
      </w:r>
    </w:p>
    <w:p w14:paraId="12EF7FB7" w14:textId="77777777" w:rsidR="00452CAA" w:rsidRPr="00AF49D1" w:rsidRDefault="00452CAA" w:rsidP="00452CAA">
      <w:pPr>
        <w:rPr>
          <w:rFonts w:ascii="Times New Roman" w:hAnsi="Times New Roman"/>
          <w:sz w:val="24"/>
          <w:szCs w:val="24"/>
        </w:rPr>
      </w:pPr>
      <w:r w:rsidRPr="00AF49D1">
        <w:rPr>
          <w:rFonts w:ascii="Times New Roman" w:hAnsi="Times New Roman"/>
          <w:sz w:val="24"/>
          <w:szCs w:val="24"/>
        </w:rPr>
        <w:t xml:space="preserve">On Oct. 22, </w:t>
      </w:r>
      <w:proofErr w:type="gramStart"/>
      <w:r w:rsidRPr="00AF49D1">
        <w:rPr>
          <w:rFonts w:ascii="Times New Roman" w:hAnsi="Times New Roman"/>
          <w:sz w:val="24"/>
          <w:szCs w:val="24"/>
        </w:rPr>
        <w:t>2024</w:t>
      </w:r>
      <w:proofErr w:type="gramEnd"/>
      <w:r w:rsidRPr="00AF49D1">
        <w:rPr>
          <w:rFonts w:ascii="Times New Roman" w:hAnsi="Times New Roman"/>
          <w:sz w:val="24"/>
          <w:szCs w:val="24"/>
        </w:rPr>
        <w:t xml:space="preserve"> in </w:t>
      </w:r>
      <w:r w:rsidRPr="00AF49D1">
        <w:rPr>
          <w:rFonts w:ascii="Times New Roman" w:hAnsi="Times New Roman"/>
          <w:sz w:val="24"/>
          <w:szCs w:val="24"/>
          <w:u w:val="single"/>
        </w:rPr>
        <w:t xml:space="preserve">United States </w:t>
      </w:r>
      <w:proofErr w:type="spellStart"/>
      <w:r w:rsidRPr="00AF49D1">
        <w:rPr>
          <w:rFonts w:ascii="Times New Roman" w:hAnsi="Times New Roman"/>
          <w:sz w:val="24"/>
          <w:szCs w:val="24"/>
          <w:u w:val="single"/>
        </w:rPr>
        <w:t>o</w:t>
      </w:r>
      <w:proofErr w:type="spellEnd"/>
      <w:r w:rsidRPr="00AF49D1">
        <w:rPr>
          <w:rFonts w:ascii="Times New Roman" w:hAnsi="Times New Roman"/>
          <w:sz w:val="24"/>
          <w:szCs w:val="24"/>
          <w:u w:val="single"/>
        </w:rPr>
        <w:t xml:space="preserve"> America v. Couy Griffin</w:t>
      </w:r>
      <w:r w:rsidRPr="00AF49D1">
        <w:rPr>
          <w:rFonts w:ascii="Times New Roman" w:hAnsi="Times New Roman"/>
          <w:sz w:val="24"/>
          <w:szCs w:val="24"/>
        </w:rPr>
        <w:t xml:space="preserve">, the U.S. Court of Appeals for the District of Columbia Circuit, held (3 to 0): “This appeal turns on interpretation of a federal law enacted to better protect the President and other national leaders from assassination, kidnapping, and assault. The law creates a narrow domain of federal trespass authority to prevent unauthorized members of the public from getting too close to a person under Secret Service protection.*** The defendant says a person ‘knowingly enters’ the restricted safety zone only if he knows that the basis of the restriction is to safeguard a Secret Service </w:t>
      </w:r>
      <w:proofErr w:type="spellStart"/>
      <w:r w:rsidRPr="00AF49D1">
        <w:rPr>
          <w:rFonts w:ascii="Times New Roman" w:hAnsi="Times New Roman"/>
          <w:sz w:val="24"/>
          <w:szCs w:val="24"/>
        </w:rPr>
        <w:t>protectee</w:t>
      </w:r>
      <w:proofErr w:type="spellEnd"/>
      <w:r w:rsidRPr="00AF49D1">
        <w:rPr>
          <w:rFonts w:ascii="Times New Roman" w:hAnsi="Times New Roman"/>
          <w:sz w:val="24"/>
          <w:szCs w:val="24"/>
        </w:rPr>
        <w:t xml:space="preserve">. Id. § 1752(a)(1). We hold that knowingly breaching the restricted area suffices, even without knowing the basis of the restriction—here, the presence of Vice President Pence at the Capitol on January 6—which merely confirms that such trespasses are within Congress’s legislative authority.” </w:t>
      </w:r>
      <w:hyperlink r:id="rId689" w:history="1">
        <w:r w:rsidRPr="00AF49D1">
          <w:rPr>
            <w:rStyle w:val="Hyperlink"/>
            <w:rFonts w:ascii="Times New Roman" w:hAnsi="Times New Roman"/>
            <w:sz w:val="24"/>
            <w:szCs w:val="24"/>
          </w:rPr>
          <w:t>https://media.cadc.uscourts.gov/opinions/docs/2024/10/22-3042-2081254.pdf</w:t>
        </w:r>
      </w:hyperlink>
      <w:r w:rsidRPr="00AF49D1">
        <w:rPr>
          <w:rFonts w:ascii="Times New Roman" w:hAnsi="Times New Roman"/>
          <w:sz w:val="24"/>
          <w:szCs w:val="24"/>
        </w:rPr>
        <w:t xml:space="preserve"> </w:t>
      </w:r>
    </w:p>
    <w:p w14:paraId="0A96FF24" w14:textId="77777777" w:rsidR="00AF49D1" w:rsidRPr="00AF49D1" w:rsidRDefault="00AF49D1" w:rsidP="00AF49D1">
      <w:pPr>
        <w:rPr>
          <w:rFonts w:ascii="Times New Roman" w:hAnsi="Times New Roman"/>
          <w:b/>
          <w:sz w:val="24"/>
          <w:szCs w:val="24"/>
        </w:rPr>
      </w:pPr>
      <w:r w:rsidRPr="00AF49D1">
        <w:rPr>
          <w:rFonts w:ascii="Times New Roman" w:hAnsi="Times New Roman"/>
          <w:b/>
          <w:sz w:val="24"/>
          <w:szCs w:val="24"/>
        </w:rPr>
        <w:t>Legal Lesson Learned: May not enter a Secret Service restricted area.</w:t>
      </w:r>
    </w:p>
    <w:p w14:paraId="45AA9D3A" w14:textId="77777777" w:rsidR="00110AE2" w:rsidRDefault="00110AE2" w:rsidP="00F326E5">
      <w:pPr>
        <w:pStyle w:val="NoSpacing"/>
        <w:rPr>
          <w:rFonts w:ascii="Arial Black" w:hAnsi="Arial Black"/>
          <w:sz w:val="28"/>
          <w:szCs w:val="28"/>
        </w:rPr>
      </w:pPr>
    </w:p>
    <w:p w14:paraId="03FC858C" w14:textId="686D56DF" w:rsidR="00110AE2" w:rsidRDefault="00110AE2" w:rsidP="00F326E5">
      <w:pPr>
        <w:pStyle w:val="NoSpacing"/>
        <w:rPr>
          <w:rFonts w:ascii="Arial Black" w:hAnsi="Arial Black"/>
          <w:sz w:val="28"/>
          <w:szCs w:val="28"/>
        </w:rPr>
      </w:pPr>
      <w:r>
        <w:rPr>
          <w:rFonts w:ascii="Arial Black" w:hAnsi="Arial Black"/>
          <w:sz w:val="28"/>
          <w:szCs w:val="28"/>
        </w:rPr>
        <w:t>3-67</w:t>
      </w:r>
    </w:p>
    <w:p w14:paraId="42B61BAD" w14:textId="77777777" w:rsidR="000F2630" w:rsidRDefault="000F2630" w:rsidP="00F326E5">
      <w:pPr>
        <w:pStyle w:val="NoSpacing"/>
        <w:rPr>
          <w:rFonts w:ascii="Arial Black" w:hAnsi="Arial Black"/>
          <w:sz w:val="28"/>
          <w:szCs w:val="28"/>
        </w:rPr>
      </w:pPr>
    </w:p>
    <w:p w14:paraId="0ADB3C0D" w14:textId="77777777" w:rsidR="0037347A" w:rsidRPr="00A56F69" w:rsidRDefault="0037347A" w:rsidP="0037347A">
      <w:pPr>
        <w:pStyle w:val="NoSpacing"/>
        <w:rPr>
          <w:rFonts w:ascii="Times New Roman" w:hAnsi="Times New Roman"/>
          <w:b/>
          <w:bCs/>
          <w:sz w:val="24"/>
          <w:szCs w:val="24"/>
        </w:rPr>
      </w:pPr>
      <w:r w:rsidRPr="00A56F69">
        <w:rPr>
          <w:rFonts w:ascii="Times New Roman" w:hAnsi="Times New Roman"/>
          <w:b/>
          <w:bCs/>
          <w:sz w:val="24"/>
          <w:szCs w:val="24"/>
        </w:rPr>
        <w:t>U.S. SUPREME CT - DOMESTIC RESTRAINING ORDER – BOYFRIEND FIREARM, VIOL. FED. LAW - CONSTITUTIONAL</w:t>
      </w:r>
    </w:p>
    <w:p w14:paraId="179B63BD" w14:textId="77777777" w:rsidR="0037347A" w:rsidRPr="00A56F69" w:rsidRDefault="0037347A" w:rsidP="0037347A">
      <w:pPr>
        <w:pStyle w:val="NoSpacing"/>
        <w:rPr>
          <w:rFonts w:ascii="Times New Roman" w:hAnsi="Times New Roman"/>
          <w:sz w:val="24"/>
          <w:szCs w:val="24"/>
        </w:rPr>
      </w:pPr>
    </w:p>
    <w:p w14:paraId="3F4E1929" w14:textId="77777777" w:rsidR="0037347A" w:rsidRPr="00A56F69" w:rsidRDefault="0037347A" w:rsidP="0037347A">
      <w:pPr>
        <w:pStyle w:val="NoSpacing"/>
        <w:rPr>
          <w:rFonts w:ascii="Times New Roman" w:hAnsi="Times New Roman"/>
          <w:sz w:val="24"/>
          <w:szCs w:val="24"/>
        </w:rPr>
      </w:pPr>
      <w:r w:rsidRPr="00A56F69">
        <w:rPr>
          <w:rFonts w:ascii="Times New Roman" w:hAnsi="Times New Roman"/>
          <w:sz w:val="24"/>
          <w:szCs w:val="24"/>
        </w:rPr>
        <w:t xml:space="preserve">On June 21, 2024, in </w:t>
      </w:r>
      <w:r w:rsidRPr="00A56F69">
        <w:rPr>
          <w:rFonts w:ascii="Times New Roman" w:hAnsi="Times New Roman"/>
          <w:sz w:val="24"/>
          <w:szCs w:val="24"/>
          <w:u w:val="single"/>
        </w:rPr>
        <w:t>United States v. Zackey Rahimi</w:t>
      </w:r>
      <w:r w:rsidRPr="00A56F69">
        <w:rPr>
          <w:rFonts w:ascii="Times New Roman" w:hAnsi="Times New Roman"/>
          <w:sz w:val="24"/>
          <w:szCs w:val="24"/>
        </w:rPr>
        <w:t>, the U.S. Supreme Court held (8 to 1): “A federal statute prohibits an individual subject to a domestic violence restraining order from possessing a firearm if that order includes a finding that he ‘represents a credible threat to the physical safety of [an] intimate partner,’ or a child of the partner or individual. 18 U. S. C.</w:t>
      </w:r>
    </w:p>
    <w:p w14:paraId="32280905" w14:textId="77777777" w:rsidR="0037347A" w:rsidRPr="00A56F69" w:rsidRDefault="0037347A" w:rsidP="0037347A">
      <w:pPr>
        <w:pStyle w:val="NoSpacing"/>
        <w:rPr>
          <w:rFonts w:ascii="Times New Roman" w:hAnsi="Times New Roman"/>
          <w:sz w:val="24"/>
          <w:szCs w:val="24"/>
        </w:rPr>
      </w:pPr>
      <w:r w:rsidRPr="00A56F69">
        <w:rPr>
          <w:rFonts w:ascii="Times New Roman" w:hAnsi="Times New Roman"/>
          <w:sz w:val="24"/>
          <w:szCs w:val="24"/>
        </w:rPr>
        <w:t xml:space="preserve">§922(g)(8). Respondent Zackey Rahimi is subject to such an order. The question is whether this provision may be enforced against him </w:t>
      </w:r>
      <w:proofErr w:type="gramStart"/>
      <w:r w:rsidRPr="00A56F69">
        <w:rPr>
          <w:rFonts w:ascii="Times New Roman" w:hAnsi="Times New Roman"/>
          <w:sz w:val="24"/>
          <w:szCs w:val="24"/>
        </w:rPr>
        <w:t>consistent</w:t>
      </w:r>
      <w:proofErr w:type="gramEnd"/>
      <w:r w:rsidRPr="00A56F69">
        <w:rPr>
          <w:rFonts w:ascii="Times New Roman" w:hAnsi="Times New Roman"/>
          <w:sz w:val="24"/>
          <w:szCs w:val="24"/>
        </w:rPr>
        <w:t xml:space="preserve"> with the Second Amendment. *** In Heller, McDonald, and Bruen, this Court did not ‘undertake an exhaustive historical analysis . . . of the full scope of the Second Amendment.’ Bruen, 597 U. S., at 31. Nor do we do so today. Rather, we conclude only this: An individual found by a court </w:t>
      </w:r>
      <w:proofErr w:type="gramStart"/>
      <w:r w:rsidRPr="00A56F69">
        <w:rPr>
          <w:rFonts w:ascii="Times New Roman" w:hAnsi="Times New Roman"/>
          <w:sz w:val="24"/>
          <w:szCs w:val="24"/>
        </w:rPr>
        <w:t>to pose</w:t>
      </w:r>
      <w:proofErr w:type="gramEnd"/>
      <w:r w:rsidRPr="00A56F69">
        <w:rPr>
          <w:rFonts w:ascii="Times New Roman" w:hAnsi="Times New Roman"/>
          <w:sz w:val="24"/>
          <w:szCs w:val="24"/>
        </w:rPr>
        <w:t xml:space="preserve"> a credible threat to the</w:t>
      </w:r>
    </w:p>
    <w:p w14:paraId="44EED776" w14:textId="77777777" w:rsidR="0037347A" w:rsidRPr="00A56F69" w:rsidRDefault="0037347A" w:rsidP="0037347A">
      <w:pPr>
        <w:pStyle w:val="NoSpacing"/>
        <w:rPr>
          <w:rFonts w:ascii="Times New Roman" w:hAnsi="Times New Roman"/>
          <w:sz w:val="24"/>
          <w:szCs w:val="24"/>
        </w:rPr>
      </w:pPr>
      <w:r w:rsidRPr="00A56F69">
        <w:rPr>
          <w:rFonts w:ascii="Times New Roman" w:hAnsi="Times New Roman"/>
          <w:sz w:val="24"/>
          <w:szCs w:val="24"/>
        </w:rPr>
        <w:t>physical safety of another may be temporarily disarmed consistent with the Second Amendment.”</w:t>
      </w:r>
    </w:p>
    <w:p w14:paraId="19CCB11F" w14:textId="77777777" w:rsidR="0037347A" w:rsidRPr="00A56F69" w:rsidRDefault="0037347A" w:rsidP="0037347A">
      <w:pPr>
        <w:pStyle w:val="NoSpacing"/>
        <w:rPr>
          <w:rFonts w:ascii="Times New Roman" w:hAnsi="Times New Roman"/>
          <w:sz w:val="24"/>
          <w:szCs w:val="24"/>
        </w:rPr>
      </w:pPr>
      <w:r w:rsidRPr="00A56F69">
        <w:rPr>
          <w:rFonts w:ascii="Times New Roman" w:hAnsi="Times New Roman"/>
          <w:sz w:val="24"/>
          <w:szCs w:val="24"/>
        </w:rPr>
        <w:t xml:space="preserve"> </w:t>
      </w:r>
      <w:hyperlink r:id="rId690" w:history="1">
        <w:r w:rsidRPr="00A56F69">
          <w:rPr>
            <w:rStyle w:val="Hyperlink"/>
            <w:rFonts w:ascii="Times New Roman" w:hAnsi="Times New Roman"/>
            <w:sz w:val="24"/>
            <w:szCs w:val="24"/>
          </w:rPr>
          <w:t>https://www.supremecourt.gov/opinions/23pdf/22-915_8o6b.pdf</w:t>
        </w:r>
      </w:hyperlink>
    </w:p>
    <w:p w14:paraId="32F86230" w14:textId="77777777" w:rsidR="000F2630" w:rsidRPr="00A56F69" w:rsidRDefault="000F2630" w:rsidP="00F326E5">
      <w:pPr>
        <w:pStyle w:val="NoSpacing"/>
        <w:rPr>
          <w:rFonts w:ascii="Times New Roman" w:hAnsi="Times New Roman"/>
          <w:sz w:val="24"/>
          <w:szCs w:val="24"/>
        </w:rPr>
      </w:pPr>
    </w:p>
    <w:p w14:paraId="74BC7125" w14:textId="77777777" w:rsidR="00A56F69" w:rsidRPr="00A56F69" w:rsidRDefault="00A56F69" w:rsidP="00A56F69">
      <w:pPr>
        <w:pStyle w:val="NoSpacing"/>
        <w:rPr>
          <w:rFonts w:ascii="Times New Roman" w:hAnsi="Times New Roman"/>
          <w:b/>
          <w:bCs/>
          <w:sz w:val="24"/>
          <w:szCs w:val="24"/>
        </w:rPr>
      </w:pPr>
      <w:r w:rsidRPr="00A56F69">
        <w:rPr>
          <w:rFonts w:ascii="Times New Roman" w:hAnsi="Times New Roman"/>
          <w:b/>
          <w:sz w:val="24"/>
          <w:szCs w:val="24"/>
        </w:rPr>
        <w:t>Legal Lesson Learned: This decision will hopefully help reduce gun violence involving domestic partners.</w:t>
      </w:r>
    </w:p>
    <w:p w14:paraId="52BE973A" w14:textId="77777777" w:rsidR="00A56F69" w:rsidRPr="00A56F69" w:rsidRDefault="00A56F69" w:rsidP="00F326E5">
      <w:pPr>
        <w:pStyle w:val="NoSpacing"/>
        <w:rPr>
          <w:rFonts w:ascii="Times New Roman" w:hAnsi="Times New Roman"/>
          <w:sz w:val="24"/>
          <w:szCs w:val="24"/>
        </w:rPr>
      </w:pPr>
    </w:p>
    <w:p w14:paraId="42E11DEB" w14:textId="77777777" w:rsidR="00110AE2" w:rsidRDefault="00110AE2" w:rsidP="00F326E5">
      <w:pPr>
        <w:pStyle w:val="NoSpacing"/>
        <w:rPr>
          <w:rFonts w:ascii="Arial Black" w:hAnsi="Arial Black"/>
          <w:sz w:val="28"/>
          <w:szCs w:val="28"/>
        </w:rPr>
      </w:pPr>
    </w:p>
    <w:p w14:paraId="6BBA7B66" w14:textId="099C0E66" w:rsidR="0015698F" w:rsidRDefault="0015698F" w:rsidP="00F326E5">
      <w:pPr>
        <w:pStyle w:val="NoSpacing"/>
        <w:rPr>
          <w:rFonts w:ascii="Arial Black" w:hAnsi="Arial Black"/>
          <w:sz w:val="28"/>
          <w:szCs w:val="28"/>
        </w:rPr>
      </w:pPr>
      <w:r>
        <w:rPr>
          <w:rFonts w:ascii="Arial Black" w:hAnsi="Arial Black"/>
          <w:sz w:val="28"/>
          <w:szCs w:val="28"/>
        </w:rPr>
        <w:t>3-6</w:t>
      </w:r>
      <w:r w:rsidR="00ED4EAF">
        <w:rPr>
          <w:rFonts w:ascii="Arial Black" w:hAnsi="Arial Black"/>
          <w:sz w:val="28"/>
          <w:szCs w:val="28"/>
        </w:rPr>
        <w:t>6</w:t>
      </w:r>
    </w:p>
    <w:p w14:paraId="6B52C21B" w14:textId="77777777" w:rsidR="0015698F" w:rsidRDefault="0015698F" w:rsidP="00F326E5">
      <w:pPr>
        <w:pStyle w:val="NoSpacing"/>
        <w:rPr>
          <w:rFonts w:ascii="Arial Black" w:hAnsi="Arial Black"/>
          <w:sz w:val="28"/>
          <w:szCs w:val="28"/>
        </w:rPr>
      </w:pPr>
    </w:p>
    <w:p w14:paraId="64DBD312" w14:textId="77777777" w:rsidR="00F46BC0" w:rsidRPr="006C4A6E" w:rsidRDefault="00F46BC0" w:rsidP="00F46BC0">
      <w:pPr>
        <w:pStyle w:val="NoSpacing"/>
        <w:rPr>
          <w:rFonts w:ascii="Arial Black" w:hAnsi="Arial Black"/>
          <w:sz w:val="28"/>
        </w:rPr>
      </w:pPr>
      <w:r>
        <w:rPr>
          <w:rFonts w:ascii="Arial Black" w:hAnsi="Arial Black"/>
          <w:sz w:val="28"/>
        </w:rPr>
        <w:t>NY: NY CITY 2020 CURFEWS UPHELD – GEORGE FLOYD DEMONSTRATIONS - VIOLENCE FOR SIX NIGHTS</w:t>
      </w:r>
    </w:p>
    <w:p w14:paraId="603D5013" w14:textId="77777777" w:rsidR="00F46BC0" w:rsidRDefault="00F46BC0" w:rsidP="00F46BC0">
      <w:pPr>
        <w:pStyle w:val="NoSpacing"/>
        <w:rPr>
          <w:szCs w:val="24"/>
        </w:rPr>
      </w:pPr>
    </w:p>
    <w:p w14:paraId="2B35D061" w14:textId="77777777" w:rsidR="00F46BC0" w:rsidRPr="00F46BC0" w:rsidRDefault="00F46BC0" w:rsidP="00F46BC0">
      <w:pPr>
        <w:pStyle w:val="NoSpacing"/>
        <w:rPr>
          <w:rFonts w:ascii="Times New Roman" w:hAnsi="Times New Roman"/>
          <w:sz w:val="24"/>
          <w:szCs w:val="24"/>
        </w:rPr>
      </w:pPr>
      <w:r w:rsidRPr="00F46BC0">
        <w:rPr>
          <w:rFonts w:ascii="Times New Roman" w:hAnsi="Times New Roman"/>
          <w:sz w:val="24"/>
          <w:szCs w:val="24"/>
        </w:rPr>
        <w:t xml:space="preserve">On August 16, 2024, in </w:t>
      </w:r>
      <w:r w:rsidRPr="00F46BC0">
        <w:rPr>
          <w:rFonts w:ascii="Times New Roman" w:hAnsi="Times New Roman"/>
          <w:sz w:val="24"/>
          <w:szCs w:val="24"/>
          <w:u w:val="single"/>
        </w:rPr>
        <w:t>Lamel Jeffery, et al. v. City of New York, et al</w:t>
      </w:r>
      <w:r w:rsidRPr="00F46BC0">
        <w:rPr>
          <w:rFonts w:ascii="Times New Roman" w:hAnsi="Times New Roman"/>
          <w:sz w:val="24"/>
          <w:szCs w:val="24"/>
        </w:rPr>
        <w:t>., the U.S. Court of Appeal for the 2</w:t>
      </w:r>
      <w:r w:rsidRPr="00F46BC0">
        <w:rPr>
          <w:rFonts w:ascii="Times New Roman" w:hAnsi="Times New Roman"/>
          <w:sz w:val="24"/>
          <w:szCs w:val="24"/>
          <w:vertAlign w:val="superscript"/>
        </w:rPr>
        <w:t>nd</w:t>
      </w:r>
      <w:r w:rsidRPr="00F46BC0">
        <w:rPr>
          <w:rFonts w:ascii="Times New Roman" w:hAnsi="Times New Roman"/>
          <w:sz w:val="24"/>
          <w:szCs w:val="24"/>
        </w:rPr>
        <w:t xml:space="preserve"> Circuit (New York City) held (3 to 0) that the nighttime curfew restrictions were lawful. The Court wrote: “At issue on this appeal is a constitutional challenge to a nighttime curfew imposed throughout New York City (‘City’) for the one-week period between June 1 and June 7, 2020, in response to violence and destruction attending certain public demonstrations protesting the May 25, 2020 death of George Floyd at the hands of Minneapolis police (‘Floyd demonstrations’). *** “The curfew here … was imposed in response to documented violence, destruction, and looting ‘across multiple areas’ of a large, densely populated city….  The curfew here… was imposed in response to criminality ‘border[</w:t>
      </w:r>
      <w:proofErr w:type="spellStart"/>
      <w:r w:rsidRPr="00F46BC0">
        <w:rPr>
          <w:rFonts w:ascii="Times New Roman" w:hAnsi="Times New Roman"/>
          <w:sz w:val="24"/>
          <w:szCs w:val="24"/>
        </w:rPr>
        <w:t>ing</w:t>
      </w:r>
      <w:proofErr w:type="spellEnd"/>
      <w:r w:rsidRPr="00F46BC0">
        <w:rPr>
          <w:rFonts w:ascii="Times New Roman" w:hAnsi="Times New Roman"/>
          <w:sz w:val="24"/>
          <w:szCs w:val="24"/>
        </w:rPr>
        <w:t xml:space="preserve">] on chaos….’ Further … the </w:t>
      </w:r>
      <w:proofErr w:type="gramStart"/>
      <w:r w:rsidRPr="00F46BC0">
        <w:rPr>
          <w:rFonts w:ascii="Times New Roman" w:hAnsi="Times New Roman"/>
          <w:sz w:val="24"/>
          <w:szCs w:val="24"/>
        </w:rPr>
        <w:t>City</w:t>
      </w:r>
      <w:proofErr w:type="gramEnd"/>
      <w:r w:rsidRPr="00F46BC0">
        <w:rPr>
          <w:rFonts w:ascii="Times New Roman" w:hAnsi="Times New Roman"/>
          <w:sz w:val="24"/>
          <w:szCs w:val="24"/>
        </w:rPr>
        <w:t xml:space="preserve"> here employed a ‘measured approach’ to curb criminal activity…. It first relied on traditional policing; then, when criminality escalated, it supplemented traditional policing with a one-night curfew; then, when criminality continued to escalate, it extended the curfew for an additional six nights; and finally, when conditions improved and stabilized, the City ended the curfew one night early…. In these circumstances, even on strict scrutiny, we conclude as a matter of law that the extended curfew was narrowly tailored to employ the least restrictive means to serve the City's compelling public interest in curbing escalating crime and restoring order.”  </w:t>
      </w:r>
    </w:p>
    <w:p w14:paraId="4A87ED28" w14:textId="77777777" w:rsidR="00F46BC0" w:rsidRPr="00F46BC0" w:rsidRDefault="00F46BC0" w:rsidP="00F46BC0">
      <w:pPr>
        <w:pStyle w:val="NoSpacing"/>
        <w:rPr>
          <w:rFonts w:ascii="Times New Roman" w:hAnsi="Times New Roman"/>
          <w:sz w:val="24"/>
          <w:szCs w:val="24"/>
        </w:rPr>
      </w:pPr>
      <w:hyperlink r:id="rId691" w:anchor="xml=https://ww3.ca2.uscourts.gov/decisions/isysquery/c68b6681-8ae3-446b-8305-2841de8ec224/1/hilite/" w:history="1">
        <w:r w:rsidRPr="00F46BC0">
          <w:rPr>
            <w:rStyle w:val="Hyperlink"/>
            <w:rFonts w:ascii="Times New Roman" w:hAnsi="Times New Roman"/>
            <w:sz w:val="24"/>
            <w:szCs w:val="24"/>
          </w:rPr>
          <w:t>https://ww3.ca2.uscourts.gov/decisions/isysquery/c68b6681-8ae3-446b-8305-2841de8ec224/1/doc/22-2745_opn.pdf#xml=https://ww3.ca2.uscourts.gov/decisions/isysquery/c68b6681-8ae3-446b-8305-2841de8ec224/1/hilite/</w:t>
        </w:r>
      </w:hyperlink>
      <w:r w:rsidRPr="00F46BC0">
        <w:rPr>
          <w:rFonts w:ascii="Times New Roman" w:hAnsi="Times New Roman"/>
          <w:sz w:val="24"/>
          <w:szCs w:val="24"/>
        </w:rPr>
        <w:t xml:space="preserve"> </w:t>
      </w:r>
    </w:p>
    <w:p w14:paraId="5BA20227" w14:textId="77777777" w:rsidR="00F46BC0" w:rsidRPr="00F46BC0" w:rsidRDefault="00F46BC0" w:rsidP="00F46BC0">
      <w:pPr>
        <w:pStyle w:val="NoSpacing"/>
        <w:rPr>
          <w:rFonts w:ascii="Times New Roman" w:hAnsi="Times New Roman"/>
          <w:sz w:val="24"/>
          <w:szCs w:val="24"/>
        </w:rPr>
      </w:pPr>
    </w:p>
    <w:p w14:paraId="71397E36" w14:textId="77777777" w:rsidR="00F46BC0" w:rsidRPr="00F46BC0" w:rsidRDefault="00F46BC0" w:rsidP="00F46BC0">
      <w:pPr>
        <w:pStyle w:val="NoSpacing"/>
        <w:rPr>
          <w:rFonts w:ascii="Times New Roman" w:hAnsi="Times New Roman"/>
          <w:sz w:val="24"/>
          <w:szCs w:val="24"/>
        </w:rPr>
      </w:pPr>
      <w:r w:rsidRPr="00F46BC0">
        <w:rPr>
          <w:rFonts w:ascii="Times New Roman" w:hAnsi="Times New Roman"/>
          <w:sz w:val="24"/>
          <w:szCs w:val="24"/>
        </w:rPr>
        <w:t xml:space="preserve">THE COURT HELD: </w:t>
      </w:r>
    </w:p>
    <w:p w14:paraId="45ABDAF9" w14:textId="77777777" w:rsidR="00F46BC0" w:rsidRPr="00F46BC0" w:rsidRDefault="00F46BC0" w:rsidP="00F46BC0">
      <w:pPr>
        <w:pStyle w:val="NoSpacing"/>
        <w:rPr>
          <w:rFonts w:ascii="Times New Roman" w:hAnsi="Times New Roman"/>
          <w:sz w:val="24"/>
          <w:szCs w:val="24"/>
        </w:rPr>
      </w:pPr>
    </w:p>
    <w:p w14:paraId="6CFC57F3" w14:textId="77777777" w:rsidR="00F46BC0" w:rsidRPr="00F46BC0" w:rsidRDefault="00F46BC0" w:rsidP="00F46BC0">
      <w:pPr>
        <w:pStyle w:val="NoSpacing"/>
        <w:ind w:left="720"/>
        <w:rPr>
          <w:rFonts w:ascii="Times New Roman" w:hAnsi="Times New Roman"/>
          <w:sz w:val="24"/>
          <w:szCs w:val="24"/>
        </w:rPr>
      </w:pPr>
      <w:r w:rsidRPr="00F46BC0">
        <w:rPr>
          <w:rFonts w:ascii="Times New Roman" w:hAnsi="Times New Roman"/>
          <w:sz w:val="24"/>
          <w:szCs w:val="24"/>
        </w:rPr>
        <w:t>“Even when viewed ‘in the light most favorable to plaintiffs,” the facts alleged in plaintiffs’ complaint … admit a single conclusion, i.e., that the challenged curfew—implemented against the highly unusual and well-documented confluence of a deadly global pandemic and nationwide Floyd demonstrations—(1) served compelling governmental interests in curbing escalating crime and restoring public order, and (2) was narrowly tailored to those interests….  Accordingly, we affirm the challenged judgment of dismissal.”</w:t>
      </w:r>
    </w:p>
    <w:p w14:paraId="27C6E8C9" w14:textId="77777777" w:rsidR="00F46BC0" w:rsidRPr="00F46BC0" w:rsidRDefault="00F46BC0" w:rsidP="00F46BC0">
      <w:pPr>
        <w:pStyle w:val="NoSpacing"/>
        <w:rPr>
          <w:rFonts w:ascii="Times New Roman" w:hAnsi="Times New Roman"/>
          <w:sz w:val="24"/>
          <w:szCs w:val="24"/>
        </w:rPr>
      </w:pPr>
    </w:p>
    <w:p w14:paraId="14DD22E4" w14:textId="77777777" w:rsidR="00F46BC0" w:rsidRPr="00F46BC0" w:rsidRDefault="00F46BC0" w:rsidP="00F46BC0">
      <w:pPr>
        <w:pStyle w:val="NoSpacing"/>
        <w:ind w:left="720"/>
        <w:rPr>
          <w:rFonts w:ascii="Times New Roman" w:hAnsi="Times New Roman"/>
          <w:sz w:val="24"/>
          <w:szCs w:val="24"/>
        </w:rPr>
      </w:pPr>
      <w:r w:rsidRPr="00F46BC0">
        <w:rPr>
          <w:rFonts w:ascii="Times New Roman" w:hAnsi="Times New Roman"/>
          <w:sz w:val="24"/>
          <w:szCs w:val="24"/>
        </w:rPr>
        <w:t>“The curfew here … was imposed in response to documented violence, destruction, and looting ‘across multiple areas’ of a large, densely populated city….  The curfew here… was imposed in response to criminality ‘border[</w:t>
      </w:r>
      <w:proofErr w:type="spellStart"/>
      <w:r w:rsidRPr="00F46BC0">
        <w:rPr>
          <w:rFonts w:ascii="Times New Roman" w:hAnsi="Times New Roman"/>
          <w:sz w:val="24"/>
          <w:szCs w:val="24"/>
        </w:rPr>
        <w:t>ing</w:t>
      </w:r>
      <w:proofErr w:type="spellEnd"/>
      <w:r w:rsidRPr="00F46BC0">
        <w:rPr>
          <w:rFonts w:ascii="Times New Roman" w:hAnsi="Times New Roman"/>
          <w:sz w:val="24"/>
          <w:szCs w:val="24"/>
        </w:rPr>
        <w:t xml:space="preserve">] on chaos….’ Further … the </w:t>
      </w:r>
      <w:proofErr w:type="gramStart"/>
      <w:r w:rsidRPr="00F46BC0">
        <w:rPr>
          <w:rFonts w:ascii="Times New Roman" w:hAnsi="Times New Roman"/>
          <w:sz w:val="24"/>
          <w:szCs w:val="24"/>
        </w:rPr>
        <w:t>City</w:t>
      </w:r>
      <w:proofErr w:type="gramEnd"/>
      <w:r w:rsidRPr="00F46BC0">
        <w:rPr>
          <w:rFonts w:ascii="Times New Roman" w:hAnsi="Times New Roman"/>
          <w:sz w:val="24"/>
          <w:szCs w:val="24"/>
        </w:rPr>
        <w:t xml:space="preserve"> here employed a ‘measured approach’ to curb criminal activity…. It first relied on traditional policing; then, when criminality escalated, it supplemented traditional policing with a one-night curfew; then, when criminality continued to escalate, it extended the curfew for an additional six nights; and finally, when conditions improved and stabilized, the City ended the curfew one night early…. In these circumstances, even on strict scrutiny, we conclude as a matter of law that the extended curfew was narrowly tailored to employ the least restrictive means to serve the City's compelling public interest in curbing escalating crime and restoring order.”  </w:t>
      </w:r>
    </w:p>
    <w:p w14:paraId="2F95AB6A" w14:textId="77777777" w:rsidR="00F46BC0" w:rsidRPr="00F46BC0" w:rsidRDefault="00F46BC0" w:rsidP="00F46BC0">
      <w:pPr>
        <w:pStyle w:val="NoSpacing"/>
        <w:ind w:left="720"/>
        <w:rPr>
          <w:rFonts w:ascii="Times New Roman" w:hAnsi="Times New Roman"/>
          <w:sz w:val="24"/>
          <w:szCs w:val="24"/>
        </w:rPr>
      </w:pPr>
    </w:p>
    <w:p w14:paraId="1BDDD521" w14:textId="77777777" w:rsidR="00F46BC0" w:rsidRPr="00F46BC0" w:rsidRDefault="00F46BC0" w:rsidP="00F46BC0">
      <w:pPr>
        <w:pStyle w:val="NoSpacing"/>
        <w:rPr>
          <w:rFonts w:ascii="Times New Roman" w:hAnsi="Times New Roman"/>
          <w:b/>
          <w:bCs/>
          <w:sz w:val="24"/>
          <w:szCs w:val="24"/>
        </w:rPr>
      </w:pPr>
      <w:r w:rsidRPr="00F46BC0">
        <w:rPr>
          <w:rFonts w:ascii="Times New Roman" w:hAnsi="Times New Roman"/>
          <w:b/>
          <w:bCs/>
          <w:sz w:val="24"/>
          <w:szCs w:val="24"/>
        </w:rPr>
        <w:t xml:space="preserve">Legal Lesson Learned: Curfews are a lawful response to widespread violence. </w:t>
      </w:r>
    </w:p>
    <w:p w14:paraId="284621BD" w14:textId="77777777" w:rsidR="00F46BC0" w:rsidRPr="00F46BC0" w:rsidRDefault="00F46BC0" w:rsidP="00F46BC0">
      <w:pPr>
        <w:pStyle w:val="NoSpacing"/>
        <w:rPr>
          <w:rFonts w:ascii="Times New Roman" w:hAnsi="Times New Roman"/>
          <w:sz w:val="24"/>
          <w:szCs w:val="24"/>
        </w:rPr>
      </w:pPr>
    </w:p>
    <w:p w14:paraId="34FF1458" w14:textId="77777777" w:rsidR="00780B64" w:rsidRDefault="00780B64" w:rsidP="00F326E5">
      <w:pPr>
        <w:pStyle w:val="NoSpacing"/>
        <w:rPr>
          <w:rFonts w:ascii="Arial Black" w:hAnsi="Arial Black"/>
          <w:sz w:val="28"/>
          <w:szCs w:val="28"/>
        </w:rPr>
      </w:pPr>
    </w:p>
    <w:p w14:paraId="2CF15ECC" w14:textId="77777777" w:rsidR="0015698F" w:rsidRDefault="0015698F" w:rsidP="00F326E5">
      <w:pPr>
        <w:pStyle w:val="NoSpacing"/>
        <w:rPr>
          <w:rFonts w:ascii="Arial Black" w:hAnsi="Arial Black"/>
          <w:sz w:val="28"/>
          <w:szCs w:val="28"/>
        </w:rPr>
      </w:pPr>
    </w:p>
    <w:p w14:paraId="362ECEB9" w14:textId="07FA00FC" w:rsidR="00A755CA" w:rsidRDefault="00A755CA" w:rsidP="00F326E5">
      <w:pPr>
        <w:pStyle w:val="NoSpacing"/>
        <w:rPr>
          <w:rFonts w:ascii="Arial Black" w:hAnsi="Arial Black"/>
          <w:sz w:val="28"/>
          <w:szCs w:val="28"/>
        </w:rPr>
      </w:pPr>
      <w:r>
        <w:rPr>
          <w:rFonts w:ascii="Arial Black" w:hAnsi="Arial Black"/>
          <w:sz w:val="28"/>
          <w:szCs w:val="28"/>
        </w:rPr>
        <w:lastRenderedPageBreak/>
        <w:t>3-6</w:t>
      </w:r>
      <w:r w:rsidR="00ED4EAF">
        <w:rPr>
          <w:rFonts w:ascii="Arial Black" w:hAnsi="Arial Black"/>
          <w:sz w:val="28"/>
          <w:szCs w:val="28"/>
        </w:rPr>
        <w:t>5</w:t>
      </w:r>
    </w:p>
    <w:p w14:paraId="457DBF89" w14:textId="77777777" w:rsidR="00A755CA" w:rsidRDefault="00A755CA" w:rsidP="00F326E5">
      <w:pPr>
        <w:pStyle w:val="NoSpacing"/>
        <w:rPr>
          <w:rFonts w:ascii="Arial Black" w:hAnsi="Arial Black"/>
          <w:sz w:val="28"/>
          <w:szCs w:val="28"/>
        </w:rPr>
      </w:pPr>
    </w:p>
    <w:p w14:paraId="6644BEEB" w14:textId="4C7245C7" w:rsidR="00A755CA" w:rsidRPr="005634B1" w:rsidRDefault="00A755CA" w:rsidP="00A755CA">
      <w:pPr>
        <w:pStyle w:val="NoSpacing"/>
        <w:rPr>
          <w:rFonts w:ascii="Arial Black" w:hAnsi="Arial Black"/>
          <w:sz w:val="28"/>
          <w:szCs w:val="28"/>
          <w:shd w:val="clear" w:color="auto" w:fill="FFFFFF"/>
        </w:rPr>
      </w:pPr>
      <w:r>
        <w:rPr>
          <w:rFonts w:ascii="Arial Black" w:hAnsi="Arial Black"/>
          <w:sz w:val="28"/>
          <w:szCs w:val="28"/>
          <w:shd w:val="clear" w:color="auto" w:fill="FFFFFF"/>
        </w:rPr>
        <w:t xml:space="preserve">IL: DEMOCRATIC NATIONAL CONVENTION - SECURITY ORDINANCE – </w:t>
      </w:r>
      <w:r w:rsidR="00FB156D">
        <w:rPr>
          <w:rFonts w:ascii="Arial Black" w:hAnsi="Arial Black"/>
          <w:sz w:val="28"/>
          <w:szCs w:val="28"/>
          <w:shd w:val="clear" w:color="auto" w:fill="FFFFFF"/>
        </w:rPr>
        <w:t xml:space="preserve">PROHIBITED </w:t>
      </w:r>
      <w:r>
        <w:rPr>
          <w:rFonts w:ascii="Arial Black" w:hAnsi="Arial Black"/>
          <w:sz w:val="28"/>
          <w:szCs w:val="28"/>
          <w:shd w:val="clear" w:color="auto" w:fill="FFFFFF"/>
        </w:rPr>
        <w:t xml:space="preserve">OBJECTS “SAFETY HAZARD” - LAWFUL </w:t>
      </w:r>
    </w:p>
    <w:p w14:paraId="765D3375" w14:textId="77777777" w:rsidR="00A755CA" w:rsidRDefault="00A755CA" w:rsidP="00A755CA">
      <w:pPr>
        <w:pStyle w:val="NoSpacing"/>
        <w:rPr>
          <w:rFonts w:ascii="Times New Roman" w:hAnsi="Times New Roman"/>
          <w:sz w:val="24"/>
          <w:szCs w:val="24"/>
          <w:shd w:val="clear" w:color="auto" w:fill="FFFFFF"/>
        </w:rPr>
      </w:pPr>
    </w:p>
    <w:p w14:paraId="708BF388" w14:textId="77777777" w:rsidR="00A755CA" w:rsidRDefault="00A755CA" w:rsidP="00A755CA">
      <w:pPr>
        <w:pStyle w:val="NoSpacing"/>
        <w:rPr>
          <w:rFonts w:ascii="Times New Roman" w:hAnsi="Times New Roman"/>
          <w:color w:val="454545"/>
          <w:sz w:val="24"/>
          <w:szCs w:val="24"/>
          <w:shd w:val="clear" w:color="auto" w:fill="FFFFFF"/>
        </w:rPr>
      </w:pPr>
      <w:r>
        <w:rPr>
          <w:rFonts w:ascii="Times New Roman" w:hAnsi="Times New Roman"/>
          <w:sz w:val="24"/>
          <w:szCs w:val="24"/>
          <w:shd w:val="clear" w:color="auto" w:fill="FFFFFF"/>
        </w:rPr>
        <w:t xml:space="preserve">On July 19, 2024. </w:t>
      </w:r>
      <w:r w:rsidRPr="0080280F">
        <w:rPr>
          <w:rFonts w:ascii="Times New Roman" w:hAnsi="Times New Roman"/>
          <w:sz w:val="24"/>
          <w:szCs w:val="24"/>
          <w:shd w:val="clear" w:color="auto" w:fill="FFFFFF"/>
        </w:rPr>
        <w:t xml:space="preserve">in </w:t>
      </w:r>
      <w:r w:rsidRPr="0080280F">
        <w:rPr>
          <w:rFonts w:ascii="Times New Roman" w:hAnsi="Times New Roman"/>
          <w:color w:val="454545"/>
          <w:sz w:val="24"/>
          <w:szCs w:val="24"/>
          <w:u w:val="single"/>
          <w:shd w:val="clear" w:color="auto" w:fill="FFFFFF"/>
        </w:rPr>
        <w:t>Coalition for Reproductive Justice &amp; LGBTQ+ Liberation, et al., Plaintiffs, v. City of Chicago</w:t>
      </w:r>
      <w:r>
        <w:rPr>
          <w:rFonts w:ascii="Times New Roman" w:hAnsi="Times New Roman"/>
          <w:b/>
          <w:bCs/>
          <w:color w:val="454545"/>
          <w:sz w:val="24"/>
          <w:szCs w:val="24"/>
          <w:shd w:val="clear" w:color="auto" w:fill="FFFFFF"/>
        </w:rPr>
        <w:t xml:space="preserve">, </w:t>
      </w:r>
      <w:r>
        <w:rPr>
          <w:rFonts w:ascii="Times New Roman" w:hAnsi="Times New Roman"/>
          <w:color w:val="454545"/>
          <w:sz w:val="24"/>
          <w:szCs w:val="24"/>
          <w:shd w:val="clear" w:color="auto" w:fill="FFFFFF"/>
        </w:rPr>
        <w:t xml:space="preserve">U.S. District Court Judge Thomas M. Durkin denied an injunction sought by a group that plans to hold demonstrations at the Convention.  On April 17, 2024, the </w:t>
      </w:r>
      <w:proofErr w:type="gramStart"/>
      <w:r>
        <w:rPr>
          <w:rFonts w:ascii="Times New Roman" w:hAnsi="Times New Roman"/>
          <w:color w:val="454545"/>
          <w:sz w:val="24"/>
          <w:szCs w:val="24"/>
          <w:shd w:val="clear" w:color="auto" w:fill="FFFFFF"/>
        </w:rPr>
        <w:t>City</w:t>
      </w:r>
      <w:proofErr w:type="gramEnd"/>
      <w:r>
        <w:rPr>
          <w:rFonts w:ascii="Times New Roman" w:hAnsi="Times New Roman"/>
          <w:color w:val="454545"/>
          <w:sz w:val="24"/>
          <w:szCs w:val="24"/>
          <w:shd w:val="clear" w:color="auto" w:fill="FFFFFF"/>
        </w:rPr>
        <w:t xml:space="preserve"> enacted an ordinance that listed items prohibited in the “Security Footprint” including </w:t>
      </w:r>
      <w:r w:rsidRPr="0091585B">
        <w:rPr>
          <w:rFonts w:ascii="Times New Roman" w:hAnsi="Times New Roman"/>
          <w:color w:val="454545"/>
          <w:sz w:val="24"/>
          <w:szCs w:val="24"/>
          <w:shd w:val="clear" w:color="auto" w:fill="FFFFFF"/>
        </w:rPr>
        <w:t>laptops, sealed packages, drones, firearms,</w:t>
      </w:r>
      <w:r>
        <w:rPr>
          <w:rFonts w:ascii="Times New Roman" w:hAnsi="Times New Roman"/>
          <w:color w:val="454545"/>
          <w:sz w:val="24"/>
          <w:szCs w:val="24"/>
          <w:shd w:val="clear" w:color="auto" w:fill="FFFFFF"/>
        </w:rPr>
        <w:t xml:space="preserve"> </w:t>
      </w:r>
      <w:r w:rsidRPr="0091585B">
        <w:rPr>
          <w:rFonts w:ascii="Times New Roman" w:hAnsi="Times New Roman"/>
          <w:color w:val="454545"/>
          <w:sz w:val="24"/>
          <w:szCs w:val="24"/>
          <w:shd w:val="clear" w:color="auto" w:fill="FFFFFF"/>
        </w:rPr>
        <w:t>ammunition, tents, “[a]</w:t>
      </w:r>
      <w:proofErr w:type="spellStart"/>
      <w:r w:rsidRPr="0091585B">
        <w:rPr>
          <w:rFonts w:ascii="Times New Roman" w:hAnsi="Times New Roman"/>
          <w:color w:val="454545"/>
          <w:sz w:val="24"/>
          <w:szCs w:val="24"/>
          <w:shd w:val="clear" w:color="auto" w:fill="FFFFFF"/>
        </w:rPr>
        <w:t>ny</w:t>
      </w:r>
      <w:proofErr w:type="spellEnd"/>
      <w:r w:rsidRPr="0091585B">
        <w:rPr>
          <w:rFonts w:ascii="Times New Roman" w:hAnsi="Times New Roman"/>
          <w:color w:val="454545"/>
          <w:sz w:val="24"/>
          <w:szCs w:val="24"/>
          <w:shd w:val="clear" w:color="auto" w:fill="FFFFFF"/>
        </w:rPr>
        <w:t xml:space="preserve"> pointed object(s) including knives of any kind</w:t>
      </w:r>
      <w:r>
        <w:rPr>
          <w:rFonts w:ascii="Times New Roman" w:hAnsi="Times New Roman"/>
          <w:color w:val="454545"/>
          <w:sz w:val="24"/>
          <w:szCs w:val="24"/>
          <w:shd w:val="clear" w:color="auto" w:fill="FFFFFF"/>
        </w:rPr>
        <w:t>” and other items that are a “</w:t>
      </w:r>
      <w:r w:rsidRPr="00763162">
        <w:rPr>
          <w:rFonts w:ascii="Times New Roman" w:hAnsi="Times New Roman"/>
          <w:sz w:val="24"/>
          <w:szCs w:val="24"/>
          <w:shd w:val="clear" w:color="auto" w:fill="FFFFFF"/>
        </w:rPr>
        <w:t>potential safety hazard</w:t>
      </w:r>
      <w:r>
        <w:rPr>
          <w:rFonts w:ascii="Times New Roman" w:hAnsi="Times New Roman"/>
          <w:sz w:val="24"/>
          <w:szCs w:val="24"/>
          <w:shd w:val="clear" w:color="auto" w:fill="FFFFFF"/>
        </w:rPr>
        <w:t xml:space="preserve">.” </w:t>
      </w:r>
      <w:r w:rsidRPr="00763162">
        <w:rPr>
          <w:rFonts w:ascii="Times New Roman" w:hAnsi="Times New Roman"/>
          <w:sz w:val="24"/>
          <w:szCs w:val="24"/>
          <w:shd w:val="clear" w:color="auto" w:fill="FFFFFF"/>
        </w:rPr>
        <w:t xml:space="preserve"> </w:t>
      </w:r>
      <w:r w:rsidRPr="00515584">
        <w:rPr>
          <w:rFonts w:ascii="Times New Roman" w:hAnsi="Times New Roman"/>
          <w:color w:val="454545"/>
          <w:sz w:val="24"/>
          <w:szCs w:val="24"/>
          <w:shd w:val="clear" w:color="auto" w:fill="FFFFFF"/>
        </w:rPr>
        <w:t>Plaintiffs provide affidavits stating, for example, that they intend to bring</w:t>
      </w:r>
      <w:r>
        <w:rPr>
          <w:rFonts w:ascii="Times New Roman" w:hAnsi="Times New Roman"/>
          <w:color w:val="454545"/>
          <w:sz w:val="24"/>
          <w:szCs w:val="24"/>
          <w:shd w:val="clear" w:color="auto" w:fill="FFFFFF"/>
        </w:rPr>
        <w:t xml:space="preserve"> </w:t>
      </w:r>
      <w:r w:rsidRPr="00515584">
        <w:rPr>
          <w:rFonts w:ascii="Times New Roman" w:hAnsi="Times New Roman"/>
          <w:color w:val="454545"/>
          <w:sz w:val="24"/>
          <w:szCs w:val="24"/>
          <w:shd w:val="clear" w:color="auto" w:fill="FFFFFF"/>
        </w:rPr>
        <w:t xml:space="preserve">pens, first aid kits containing scissors, and </w:t>
      </w:r>
      <w:r>
        <w:rPr>
          <w:rFonts w:ascii="Times New Roman" w:hAnsi="Times New Roman"/>
          <w:color w:val="454545"/>
          <w:sz w:val="24"/>
          <w:szCs w:val="24"/>
          <w:shd w:val="clear" w:color="auto" w:fill="FFFFFF"/>
        </w:rPr>
        <w:t>‘</w:t>
      </w:r>
      <w:r w:rsidRPr="00515584">
        <w:rPr>
          <w:rFonts w:ascii="Times New Roman" w:hAnsi="Times New Roman"/>
          <w:color w:val="454545"/>
          <w:sz w:val="24"/>
          <w:szCs w:val="24"/>
          <w:shd w:val="clear" w:color="auto" w:fill="FFFFFF"/>
        </w:rPr>
        <w:t>protest buttons that attach with a pin in</w:t>
      </w:r>
      <w:r>
        <w:rPr>
          <w:rFonts w:ascii="Times New Roman" w:hAnsi="Times New Roman"/>
          <w:color w:val="454545"/>
          <w:sz w:val="24"/>
          <w:szCs w:val="24"/>
          <w:shd w:val="clear" w:color="auto" w:fill="FFFFFF"/>
        </w:rPr>
        <w:t xml:space="preserve"> </w:t>
      </w:r>
      <w:r w:rsidRPr="00515584">
        <w:rPr>
          <w:rFonts w:ascii="Times New Roman" w:hAnsi="Times New Roman"/>
          <w:color w:val="454545"/>
          <w:sz w:val="24"/>
          <w:szCs w:val="24"/>
          <w:shd w:val="clear" w:color="auto" w:fill="FFFFFF"/>
        </w:rPr>
        <w:t>the back</w:t>
      </w:r>
      <w:r>
        <w:rPr>
          <w:rFonts w:ascii="Times New Roman" w:hAnsi="Times New Roman"/>
          <w:color w:val="454545"/>
          <w:sz w:val="24"/>
          <w:szCs w:val="24"/>
          <w:shd w:val="clear" w:color="auto" w:fill="FFFFFF"/>
        </w:rPr>
        <w:t xml:space="preserve">’ </w:t>
      </w:r>
      <w:r w:rsidRPr="00515584">
        <w:rPr>
          <w:rFonts w:ascii="Times New Roman" w:hAnsi="Times New Roman"/>
          <w:color w:val="454545"/>
          <w:sz w:val="24"/>
          <w:szCs w:val="24"/>
          <w:shd w:val="clear" w:color="auto" w:fill="FFFFFF"/>
        </w:rPr>
        <w:t>into the Security Footprint.</w:t>
      </w:r>
      <w:r>
        <w:rPr>
          <w:rFonts w:ascii="Times New Roman" w:hAnsi="Times New Roman"/>
          <w:color w:val="454545"/>
          <w:sz w:val="24"/>
          <w:szCs w:val="24"/>
          <w:shd w:val="clear" w:color="auto" w:fill="FFFFFF"/>
        </w:rPr>
        <w:t xml:space="preserve"> Judge concluded. “</w:t>
      </w:r>
      <w:r w:rsidRPr="000430B3">
        <w:rPr>
          <w:rFonts w:ascii="Times New Roman" w:hAnsi="Times New Roman"/>
          <w:color w:val="454545"/>
          <w:sz w:val="24"/>
          <w:szCs w:val="24"/>
          <w:shd w:val="clear" w:color="auto" w:fill="FFFFFF"/>
        </w:rPr>
        <w:t>It is likely that Plaintiffs will be asked</w:t>
      </w:r>
      <w:r>
        <w:rPr>
          <w:rFonts w:ascii="Times New Roman" w:hAnsi="Times New Roman"/>
          <w:color w:val="454545"/>
          <w:sz w:val="24"/>
          <w:szCs w:val="24"/>
          <w:shd w:val="clear" w:color="auto" w:fill="FFFFFF"/>
        </w:rPr>
        <w:t xml:space="preserve"> </w:t>
      </w:r>
      <w:r w:rsidRPr="000430B3">
        <w:rPr>
          <w:rFonts w:ascii="Times New Roman" w:hAnsi="Times New Roman"/>
          <w:color w:val="454545"/>
          <w:sz w:val="24"/>
          <w:szCs w:val="24"/>
          <w:shd w:val="clear" w:color="auto" w:fill="FFFFFF"/>
        </w:rPr>
        <w:t>to discard certain items (such as the scissors) before they are allowed entry into the</w:t>
      </w:r>
      <w:r>
        <w:rPr>
          <w:rFonts w:ascii="Times New Roman" w:hAnsi="Times New Roman"/>
          <w:color w:val="454545"/>
          <w:sz w:val="24"/>
          <w:szCs w:val="24"/>
          <w:shd w:val="clear" w:color="auto" w:fill="FFFFFF"/>
        </w:rPr>
        <w:t xml:space="preserve"> </w:t>
      </w:r>
      <w:r w:rsidRPr="000430B3">
        <w:rPr>
          <w:rFonts w:ascii="Times New Roman" w:hAnsi="Times New Roman"/>
          <w:color w:val="454545"/>
          <w:sz w:val="24"/>
          <w:szCs w:val="24"/>
          <w:shd w:val="clear" w:color="auto" w:fill="FFFFFF"/>
        </w:rPr>
        <w:t xml:space="preserve">Security Footprint, just as happens at airports </w:t>
      </w:r>
      <w:proofErr w:type="gramStart"/>
      <w:r w:rsidRPr="000430B3">
        <w:rPr>
          <w:rFonts w:ascii="Times New Roman" w:hAnsi="Times New Roman"/>
          <w:color w:val="454545"/>
          <w:sz w:val="24"/>
          <w:szCs w:val="24"/>
          <w:shd w:val="clear" w:color="auto" w:fill="FFFFFF"/>
        </w:rPr>
        <w:t>on a daily basis</w:t>
      </w:r>
      <w:proofErr w:type="gramEnd"/>
      <w:r w:rsidRPr="000430B3">
        <w:rPr>
          <w:rFonts w:ascii="Times New Roman" w:hAnsi="Times New Roman"/>
          <w:color w:val="454545"/>
          <w:sz w:val="24"/>
          <w:szCs w:val="24"/>
          <w:shd w:val="clear" w:color="auto" w:fill="FFFFFF"/>
        </w:rPr>
        <w:t>. This would not</w:t>
      </w:r>
      <w:r>
        <w:rPr>
          <w:rFonts w:ascii="Times New Roman" w:hAnsi="Times New Roman"/>
          <w:color w:val="454545"/>
          <w:sz w:val="24"/>
          <w:szCs w:val="24"/>
          <w:shd w:val="clear" w:color="auto" w:fill="FFFFFF"/>
        </w:rPr>
        <w:t xml:space="preserve"> </w:t>
      </w:r>
      <w:r w:rsidRPr="000430B3">
        <w:rPr>
          <w:rFonts w:ascii="Times New Roman" w:hAnsi="Times New Roman"/>
          <w:color w:val="454545"/>
          <w:sz w:val="24"/>
          <w:szCs w:val="24"/>
          <w:shd w:val="clear" w:color="auto" w:fill="FFFFFF"/>
        </w:rPr>
        <w:t>constitute a First Amendment injury as Plaintiffs would, upon discarding such</w:t>
      </w:r>
      <w:r>
        <w:rPr>
          <w:rFonts w:ascii="Times New Roman" w:hAnsi="Times New Roman"/>
          <w:color w:val="454545"/>
          <w:sz w:val="24"/>
          <w:szCs w:val="24"/>
          <w:shd w:val="clear" w:color="auto" w:fill="FFFFFF"/>
        </w:rPr>
        <w:t xml:space="preserve"> </w:t>
      </w:r>
      <w:r w:rsidRPr="000430B3">
        <w:rPr>
          <w:rFonts w:ascii="Times New Roman" w:hAnsi="Times New Roman"/>
          <w:color w:val="454545"/>
          <w:sz w:val="24"/>
          <w:szCs w:val="24"/>
          <w:shd w:val="clear" w:color="auto" w:fill="FFFFFF"/>
        </w:rPr>
        <w:t>innocuous items, likely be allowed entry into the Security Footprint with the</w:t>
      </w:r>
      <w:r>
        <w:rPr>
          <w:rFonts w:ascii="Times New Roman" w:hAnsi="Times New Roman"/>
          <w:color w:val="454545"/>
          <w:sz w:val="24"/>
          <w:szCs w:val="24"/>
          <w:shd w:val="clear" w:color="auto" w:fill="FFFFFF"/>
        </w:rPr>
        <w:t xml:space="preserve"> </w:t>
      </w:r>
      <w:r w:rsidRPr="000430B3">
        <w:rPr>
          <w:rFonts w:ascii="Times New Roman" w:hAnsi="Times New Roman"/>
          <w:color w:val="454545"/>
          <w:sz w:val="24"/>
          <w:szCs w:val="24"/>
          <w:shd w:val="clear" w:color="auto" w:fill="FFFFFF"/>
        </w:rPr>
        <w:t>subsequent ability to exercise their First Amendment rights.</w:t>
      </w:r>
      <w:r>
        <w:rPr>
          <w:rFonts w:ascii="Times New Roman" w:hAnsi="Times New Roman"/>
          <w:color w:val="454545"/>
          <w:sz w:val="24"/>
          <w:szCs w:val="24"/>
          <w:shd w:val="clear" w:color="auto" w:fill="FFFFFF"/>
        </w:rPr>
        <w:t xml:space="preserve"> </w:t>
      </w:r>
      <w:hyperlink r:id="rId692" w:history="1">
        <w:r w:rsidRPr="004C2534">
          <w:rPr>
            <w:rStyle w:val="Hyperlink"/>
            <w:rFonts w:ascii="Times New Roman" w:hAnsi="Times New Roman"/>
            <w:sz w:val="24"/>
            <w:szCs w:val="24"/>
            <w:shd w:val="clear" w:color="auto" w:fill="FFFFFF"/>
          </w:rPr>
          <w:t>https://www.courthousenews.com/wp-content/uploads/2024/07/LGBTQ-DNC-ordinance-block-denial.pdf</w:t>
        </w:r>
      </w:hyperlink>
      <w:r>
        <w:rPr>
          <w:rFonts w:ascii="Times New Roman" w:hAnsi="Times New Roman"/>
          <w:color w:val="454545"/>
          <w:sz w:val="24"/>
          <w:szCs w:val="24"/>
          <w:shd w:val="clear" w:color="auto" w:fill="FFFFFF"/>
        </w:rPr>
        <w:t xml:space="preserve"> </w:t>
      </w:r>
    </w:p>
    <w:p w14:paraId="440A9521" w14:textId="77777777" w:rsidR="00A755CA" w:rsidRDefault="00A755CA" w:rsidP="00A755CA">
      <w:pPr>
        <w:pStyle w:val="NoSpacing"/>
        <w:rPr>
          <w:rFonts w:ascii="Times New Roman" w:hAnsi="Times New Roman"/>
          <w:color w:val="454545"/>
          <w:sz w:val="24"/>
          <w:szCs w:val="24"/>
          <w:shd w:val="clear" w:color="auto" w:fill="FFFFFF"/>
        </w:rPr>
      </w:pPr>
    </w:p>
    <w:p w14:paraId="6507DC0B" w14:textId="77777777" w:rsidR="00A755CA" w:rsidRDefault="00A755CA" w:rsidP="00A755CA">
      <w:pPr>
        <w:pStyle w:val="NoSpacing"/>
        <w:rPr>
          <w:rFonts w:ascii="Times New Roman" w:hAnsi="Times New Roman"/>
          <w:color w:val="454545"/>
          <w:sz w:val="24"/>
          <w:szCs w:val="24"/>
          <w:shd w:val="clear" w:color="auto" w:fill="FFFFFF"/>
        </w:rPr>
      </w:pPr>
      <w:r>
        <w:rPr>
          <w:rFonts w:ascii="Times New Roman" w:hAnsi="Times New Roman"/>
          <w:color w:val="454545"/>
          <w:sz w:val="24"/>
          <w:szCs w:val="24"/>
          <w:shd w:val="clear" w:color="auto" w:fill="FFFFFF"/>
        </w:rPr>
        <w:t>THE COURT HELD:</w:t>
      </w:r>
    </w:p>
    <w:p w14:paraId="79916FA7" w14:textId="77777777" w:rsidR="00A755CA" w:rsidRDefault="00A755CA" w:rsidP="00A755CA">
      <w:pPr>
        <w:pStyle w:val="NoSpacing"/>
        <w:rPr>
          <w:rFonts w:ascii="Times New Roman" w:hAnsi="Times New Roman"/>
          <w:color w:val="454545"/>
          <w:sz w:val="24"/>
          <w:szCs w:val="24"/>
          <w:shd w:val="clear" w:color="auto" w:fill="FFFFFF"/>
        </w:rPr>
      </w:pPr>
    </w:p>
    <w:p w14:paraId="5B755BD1" w14:textId="77777777" w:rsidR="00A755CA" w:rsidRDefault="00A755CA" w:rsidP="00A755CA">
      <w:pPr>
        <w:pStyle w:val="NoSpacing"/>
        <w:ind w:left="720"/>
        <w:rPr>
          <w:rFonts w:ascii="Times New Roman" w:hAnsi="Times New Roman"/>
          <w:sz w:val="24"/>
          <w:szCs w:val="24"/>
          <w:shd w:val="clear" w:color="auto" w:fill="FFFFFF"/>
        </w:rPr>
      </w:pPr>
      <w:r>
        <w:rPr>
          <w:rFonts w:ascii="Times New Roman" w:hAnsi="Times New Roman"/>
          <w:sz w:val="24"/>
          <w:szCs w:val="24"/>
          <w:shd w:val="clear" w:color="auto" w:fill="FFFFFF"/>
        </w:rPr>
        <w:t>“</w:t>
      </w:r>
      <w:r w:rsidRPr="00F06650">
        <w:rPr>
          <w:rFonts w:ascii="Times New Roman" w:hAnsi="Times New Roman"/>
          <w:sz w:val="24"/>
          <w:szCs w:val="24"/>
          <w:shd w:val="clear" w:color="auto" w:fill="FFFFFF"/>
        </w:rPr>
        <w:t xml:space="preserve">Plaintiffs take issue with the phrase </w:t>
      </w:r>
      <w:r>
        <w:rPr>
          <w:rFonts w:ascii="Times New Roman" w:hAnsi="Times New Roman"/>
          <w:sz w:val="24"/>
          <w:szCs w:val="24"/>
          <w:shd w:val="clear" w:color="auto" w:fill="FFFFFF"/>
        </w:rPr>
        <w:t>‘</w:t>
      </w:r>
      <w:r w:rsidRPr="00F06650">
        <w:rPr>
          <w:rFonts w:ascii="Times New Roman" w:hAnsi="Times New Roman"/>
          <w:sz w:val="24"/>
          <w:szCs w:val="24"/>
          <w:shd w:val="clear" w:color="auto" w:fill="FFFFFF"/>
        </w:rPr>
        <w:t>potential safety hazard</w:t>
      </w:r>
      <w:r>
        <w:rPr>
          <w:rFonts w:ascii="Times New Roman" w:hAnsi="Times New Roman"/>
          <w:sz w:val="24"/>
          <w:szCs w:val="24"/>
          <w:shd w:val="clear" w:color="auto" w:fill="FFFFFF"/>
        </w:rPr>
        <w:t xml:space="preserve">’ </w:t>
      </w:r>
      <w:r w:rsidRPr="00F06650">
        <w:rPr>
          <w:rFonts w:ascii="Times New Roman" w:hAnsi="Times New Roman"/>
          <w:sz w:val="24"/>
          <w:szCs w:val="24"/>
          <w:shd w:val="clear" w:color="auto" w:fill="FFFFFF"/>
        </w:rPr>
        <w:t>and argue that</w:t>
      </w:r>
      <w:r>
        <w:rPr>
          <w:rFonts w:ascii="Times New Roman" w:hAnsi="Times New Roman"/>
          <w:sz w:val="24"/>
          <w:szCs w:val="24"/>
          <w:shd w:val="clear" w:color="auto" w:fill="FFFFFF"/>
        </w:rPr>
        <w:t xml:space="preserve"> </w:t>
      </w:r>
      <w:r w:rsidRPr="00F06650">
        <w:rPr>
          <w:rFonts w:ascii="Times New Roman" w:hAnsi="Times New Roman"/>
          <w:sz w:val="24"/>
          <w:szCs w:val="24"/>
          <w:shd w:val="clear" w:color="auto" w:fill="FFFFFF"/>
        </w:rPr>
        <w:t xml:space="preserve">the word </w:t>
      </w:r>
      <w:r>
        <w:rPr>
          <w:rFonts w:ascii="Times New Roman" w:hAnsi="Times New Roman"/>
          <w:sz w:val="24"/>
          <w:szCs w:val="24"/>
          <w:shd w:val="clear" w:color="auto" w:fill="FFFFFF"/>
        </w:rPr>
        <w:t>‘</w:t>
      </w:r>
      <w:r w:rsidRPr="00F06650">
        <w:rPr>
          <w:rFonts w:ascii="Times New Roman" w:hAnsi="Times New Roman"/>
          <w:sz w:val="24"/>
          <w:szCs w:val="24"/>
          <w:shd w:val="clear" w:color="auto" w:fill="FFFFFF"/>
        </w:rPr>
        <w:t>hazard</w:t>
      </w:r>
      <w:r>
        <w:rPr>
          <w:rFonts w:ascii="Times New Roman" w:hAnsi="Times New Roman"/>
          <w:sz w:val="24"/>
          <w:szCs w:val="24"/>
          <w:shd w:val="clear" w:color="auto" w:fill="FFFFFF"/>
        </w:rPr>
        <w:t>’</w:t>
      </w:r>
      <w:r w:rsidRPr="00F06650">
        <w:rPr>
          <w:rFonts w:ascii="Times New Roman" w:hAnsi="Times New Roman"/>
          <w:sz w:val="24"/>
          <w:szCs w:val="24"/>
          <w:shd w:val="clear" w:color="auto" w:fill="FFFFFF"/>
        </w:rPr>
        <w:t xml:space="preserve"> is not sufficiently defined</w:t>
      </w:r>
      <w:r>
        <w:rPr>
          <w:rFonts w:ascii="Times New Roman" w:hAnsi="Times New Roman"/>
          <w:sz w:val="24"/>
          <w:szCs w:val="24"/>
          <w:shd w:val="clear" w:color="auto" w:fill="FFFFFF"/>
        </w:rPr>
        <w:t>….</w:t>
      </w:r>
      <w:r w:rsidRPr="00F06650">
        <w:rPr>
          <w:rFonts w:ascii="Times New Roman" w:hAnsi="Times New Roman"/>
          <w:sz w:val="24"/>
          <w:szCs w:val="24"/>
          <w:shd w:val="clear" w:color="auto" w:fill="FFFFFF"/>
        </w:rPr>
        <w:t xml:space="preserve"> But words are sufficiently</w:t>
      </w:r>
      <w:r>
        <w:rPr>
          <w:rFonts w:ascii="Times New Roman" w:hAnsi="Times New Roman"/>
          <w:sz w:val="24"/>
          <w:szCs w:val="24"/>
          <w:shd w:val="clear" w:color="auto" w:fill="FFFFFF"/>
        </w:rPr>
        <w:t xml:space="preserve"> </w:t>
      </w:r>
      <w:r w:rsidRPr="00F06650">
        <w:rPr>
          <w:rFonts w:ascii="Times New Roman" w:hAnsi="Times New Roman"/>
          <w:sz w:val="24"/>
          <w:szCs w:val="24"/>
          <w:shd w:val="clear" w:color="auto" w:fill="FFFFFF"/>
        </w:rPr>
        <w:t xml:space="preserve">defined where an ordinary person would </w:t>
      </w:r>
      <w:r>
        <w:rPr>
          <w:rFonts w:ascii="Times New Roman" w:hAnsi="Times New Roman"/>
          <w:sz w:val="24"/>
          <w:szCs w:val="24"/>
          <w:shd w:val="clear" w:color="auto" w:fill="FFFFFF"/>
        </w:rPr>
        <w:t>‘</w:t>
      </w:r>
      <w:r w:rsidRPr="00F06650">
        <w:rPr>
          <w:rFonts w:ascii="Times New Roman" w:hAnsi="Times New Roman"/>
          <w:sz w:val="24"/>
          <w:szCs w:val="24"/>
          <w:shd w:val="clear" w:color="auto" w:fill="FFFFFF"/>
        </w:rPr>
        <w:t>use and understand</w:t>
      </w:r>
      <w:r>
        <w:rPr>
          <w:rFonts w:ascii="Times New Roman" w:hAnsi="Times New Roman"/>
          <w:sz w:val="24"/>
          <w:szCs w:val="24"/>
          <w:shd w:val="clear" w:color="auto" w:fill="FFFFFF"/>
        </w:rPr>
        <w:t>’</w:t>
      </w:r>
      <w:r w:rsidRPr="00F06650">
        <w:rPr>
          <w:rFonts w:ascii="Times New Roman" w:hAnsi="Times New Roman"/>
          <w:sz w:val="24"/>
          <w:szCs w:val="24"/>
          <w:shd w:val="clear" w:color="auto" w:fill="FFFFFF"/>
        </w:rPr>
        <w:t xml:space="preserve"> those words in</w:t>
      </w:r>
      <w:r>
        <w:rPr>
          <w:rFonts w:ascii="Times New Roman" w:hAnsi="Times New Roman"/>
          <w:sz w:val="24"/>
          <w:szCs w:val="24"/>
          <w:shd w:val="clear" w:color="auto" w:fill="FFFFFF"/>
        </w:rPr>
        <w:t xml:space="preserve"> ‘</w:t>
      </w:r>
      <w:r w:rsidRPr="00F06650">
        <w:rPr>
          <w:rFonts w:ascii="Times New Roman" w:hAnsi="Times New Roman"/>
          <w:sz w:val="24"/>
          <w:szCs w:val="24"/>
          <w:shd w:val="clear" w:color="auto" w:fill="FFFFFF"/>
        </w:rPr>
        <w:t>normal life.</w:t>
      </w:r>
      <w:r>
        <w:rPr>
          <w:rFonts w:ascii="Times New Roman" w:hAnsi="Times New Roman"/>
          <w:sz w:val="24"/>
          <w:szCs w:val="24"/>
          <w:shd w:val="clear" w:color="auto" w:fill="FFFFFF"/>
        </w:rPr>
        <w:t>’</w:t>
      </w:r>
      <w:r w:rsidRPr="00F06650">
        <w:rPr>
          <w:rFonts w:ascii="Times New Roman" w:hAnsi="Times New Roman"/>
          <w:sz w:val="24"/>
          <w:szCs w:val="24"/>
          <w:shd w:val="clear" w:color="auto" w:fill="FFFFFF"/>
        </w:rPr>
        <w:t xml:space="preserve"> Curry, 918 F.3d at </w:t>
      </w:r>
      <w:proofErr w:type="gramStart"/>
      <w:r w:rsidRPr="00F06650">
        <w:rPr>
          <w:rFonts w:ascii="Times New Roman" w:hAnsi="Times New Roman"/>
          <w:sz w:val="24"/>
          <w:szCs w:val="24"/>
          <w:shd w:val="clear" w:color="auto" w:fill="FFFFFF"/>
        </w:rPr>
        <w:t>540 (</w:t>
      </w:r>
      <w:r>
        <w:rPr>
          <w:rFonts w:ascii="Times New Roman" w:hAnsi="Times New Roman"/>
          <w:sz w:val="24"/>
          <w:szCs w:val="24"/>
          <w:shd w:val="clear" w:color="auto" w:fill="FFFFFF"/>
        </w:rPr>
        <w:t>‘</w:t>
      </w:r>
      <w:proofErr w:type="gramEnd"/>
      <w:r w:rsidRPr="00F06650">
        <w:rPr>
          <w:rFonts w:ascii="Times New Roman" w:hAnsi="Times New Roman"/>
          <w:sz w:val="24"/>
          <w:szCs w:val="24"/>
          <w:shd w:val="clear" w:color="auto" w:fill="FFFFFF"/>
        </w:rPr>
        <w:t xml:space="preserve">Even a </w:t>
      </w:r>
      <w:proofErr w:type="gramStart"/>
      <w:r w:rsidRPr="00F06650">
        <w:rPr>
          <w:rFonts w:ascii="Times New Roman" w:hAnsi="Times New Roman"/>
          <w:sz w:val="24"/>
          <w:szCs w:val="24"/>
          <w:shd w:val="clear" w:color="auto" w:fill="FFFFFF"/>
        </w:rPr>
        <w:t>protean word</w:t>
      </w:r>
      <w:proofErr w:type="gramEnd"/>
      <w:r w:rsidRPr="00F06650">
        <w:rPr>
          <w:rFonts w:ascii="Times New Roman" w:hAnsi="Times New Roman"/>
          <w:sz w:val="24"/>
          <w:szCs w:val="24"/>
          <w:shd w:val="clear" w:color="auto" w:fill="FFFFFF"/>
        </w:rPr>
        <w:t xml:space="preserve"> such as ‘reasonable’ has</w:t>
      </w:r>
      <w:r>
        <w:rPr>
          <w:rFonts w:ascii="Times New Roman" w:hAnsi="Times New Roman"/>
          <w:sz w:val="24"/>
          <w:szCs w:val="24"/>
          <w:shd w:val="clear" w:color="auto" w:fill="FFFFFF"/>
        </w:rPr>
        <w:t xml:space="preserve"> </w:t>
      </w:r>
      <w:r w:rsidRPr="00F06650">
        <w:rPr>
          <w:rFonts w:ascii="Times New Roman" w:hAnsi="Times New Roman"/>
          <w:sz w:val="24"/>
          <w:szCs w:val="24"/>
          <w:shd w:val="clear" w:color="auto" w:fill="FFFFFF"/>
        </w:rPr>
        <w:t>enough of a core to allow its use in situations where rights to speak are at issue</w:t>
      </w:r>
      <w:r>
        <w:rPr>
          <w:rFonts w:ascii="Times New Roman" w:hAnsi="Times New Roman"/>
          <w:sz w:val="24"/>
          <w:szCs w:val="24"/>
          <w:shd w:val="clear" w:color="auto" w:fill="FFFFFF"/>
        </w:rPr>
        <w:t>.’</w:t>
      </w:r>
      <w:r w:rsidRPr="00F06650">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So</w:t>
      </w:r>
      <w:r w:rsidRPr="008F6138">
        <w:rPr>
          <w:rFonts w:ascii="Times New Roman" w:hAnsi="Times New Roman"/>
          <w:sz w:val="24"/>
          <w:szCs w:val="24"/>
          <w:shd w:val="clear" w:color="auto" w:fill="FFFFFF"/>
        </w:rPr>
        <w:t>o here, an ordinary person understands what a “hazard” is in the context of their</w:t>
      </w:r>
      <w:r>
        <w:rPr>
          <w:rFonts w:ascii="Times New Roman" w:hAnsi="Times New Roman"/>
          <w:sz w:val="24"/>
          <w:szCs w:val="24"/>
          <w:shd w:val="clear" w:color="auto" w:fill="FFFFFF"/>
        </w:rPr>
        <w:t xml:space="preserve"> </w:t>
      </w:r>
      <w:r w:rsidRPr="008F6138">
        <w:rPr>
          <w:rFonts w:ascii="Times New Roman" w:hAnsi="Times New Roman"/>
          <w:sz w:val="24"/>
          <w:szCs w:val="24"/>
          <w:shd w:val="clear" w:color="auto" w:fill="FFFFFF"/>
        </w:rPr>
        <w:t>everyday life. What’s more, the Ordinance supplements and clarifies the phrase</w:t>
      </w:r>
      <w:r>
        <w:rPr>
          <w:rFonts w:ascii="Times New Roman" w:hAnsi="Times New Roman"/>
          <w:sz w:val="24"/>
          <w:szCs w:val="24"/>
          <w:shd w:val="clear" w:color="auto" w:fill="FFFFFF"/>
        </w:rPr>
        <w:t xml:space="preserve"> ‘</w:t>
      </w:r>
      <w:r w:rsidRPr="008F6138">
        <w:rPr>
          <w:rFonts w:ascii="Times New Roman" w:hAnsi="Times New Roman"/>
          <w:sz w:val="24"/>
          <w:szCs w:val="24"/>
          <w:shd w:val="clear" w:color="auto" w:fill="FFFFFF"/>
        </w:rPr>
        <w:t>potential safety hazard</w:t>
      </w:r>
      <w:r>
        <w:rPr>
          <w:rFonts w:ascii="Times New Roman" w:hAnsi="Times New Roman"/>
          <w:sz w:val="24"/>
          <w:szCs w:val="24"/>
          <w:shd w:val="clear" w:color="auto" w:fill="FFFFFF"/>
        </w:rPr>
        <w:t>’</w:t>
      </w:r>
      <w:r w:rsidRPr="008F6138">
        <w:rPr>
          <w:rFonts w:ascii="Times New Roman" w:hAnsi="Times New Roman"/>
          <w:sz w:val="24"/>
          <w:szCs w:val="24"/>
          <w:shd w:val="clear" w:color="auto" w:fill="FFFFFF"/>
        </w:rPr>
        <w:t xml:space="preserve"> with a detailed list of prohibited items set forth in Exhibit</w:t>
      </w:r>
      <w:r>
        <w:rPr>
          <w:rFonts w:ascii="Times New Roman" w:hAnsi="Times New Roman"/>
          <w:sz w:val="24"/>
          <w:szCs w:val="24"/>
          <w:shd w:val="clear" w:color="auto" w:fill="FFFFFF"/>
        </w:rPr>
        <w:t xml:space="preserve"> </w:t>
      </w:r>
      <w:r w:rsidRPr="008F6138">
        <w:rPr>
          <w:rFonts w:ascii="Times New Roman" w:hAnsi="Times New Roman"/>
          <w:sz w:val="24"/>
          <w:szCs w:val="24"/>
          <w:shd w:val="clear" w:color="auto" w:fill="FFFFFF"/>
        </w:rPr>
        <w:t>A.</w:t>
      </w:r>
      <w:r>
        <w:rPr>
          <w:rFonts w:ascii="Times New Roman" w:hAnsi="Times New Roman"/>
          <w:sz w:val="24"/>
          <w:szCs w:val="24"/>
          <w:shd w:val="clear" w:color="auto" w:fill="FFFFFF"/>
        </w:rPr>
        <w:t>”</w:t>
      </w:r>
    </w:p>
    <w:p w14:paraId="5173E5D3" w14:textId="77777777" w:rsidR="00A755CA" w:rsidRDefault="00A755CA" w:rsidP="00F326E5">
      <w:pPr>
        <w:pStyle w:val="NoSpacing"/>
        <w:rPr>
          <w:rFonts w:ascii="Arial Black" w:hAnsi="Arial Black"/>
          <w:sz w:val="28"/>
          <w:szCs w:val="28"/>
        </w:rPr>
      </w:pPr>
    </w:p>
    <w:p w14:paraId="4A5F5EF6" w14:textId="77777777" w:rsidR="00557000" w:rsidRPr="009E73BB" w:rsidRDefault="00557000" w:rsidP="00557000">
      <w:pPr>
        <w:pStyle w:val="NoSpacing"/>
        <w:rPr>
          <w:rFonts w:ascii="Times New Roman" w:hAnsi="Times New Roman"/>
          <w:b/>
          <w:bCs/>
          <w:color w:val="454545"/>
          <w:sz w:val="24"/>
          <w:szCs w:val="24"/>
          <w:shd w:val="clear" w:color="auto" w:fill="FFFFFF"/>
        </w:rPr>
      </w:pPr>
      <w:r>
        <w:rPr>
          <w:rFonts w:ascii="Times New Roman" w:hAnsi="Times New Roman"/>
          <w:b/>
          <w:bCs/>
          <w:color w:val="454545"/>
          <w:sz w:val="24"/>
          <w:szCs w:val="24"/>
          <w:shd w:val="clear" w:color="auto" w:fill="FFFFFF"/>
        </w:rPr>
        <w:t xml:space="preserve">Legal Lesson Learned: Security ordinance is lawful, and necessary to protect all attending the Convention.  </w:t>
      </w:r>
    </w:p>
    <w:p w14:paraId="47CAD03E" w14:textId="77777777" w:rsidR="00557000" w:rsidRPr="00D30702" w:rsidRDefault="00557000" w:rsidP="00557000">
      <w:pPr>
        <w:rPr>
          <w:rFonts w:ascii="Times New Roman" w:hAnsi="Times New Roman"/>
          <w:bCs/>
          <w:sz w:val="20"/>
          <w:szCs w:val="20"/>
        </w:rPr>
      </w:pPr>
    </w:p>
    <w:p w14:paraId="4973C308" w14:textId="147AE023" w:rsidR="00A755CA" w:rsidRDefault="00557000" w:rsidP="00F326E5">
      <w:pPr>
        <w:pStyle w:val="NoSpacing"/>
        <w:rPr>
          <w:rFonts w:ascii="Arial Black" w:hAnsi="Arial Black"/>
          <w:sz w:val="28"/>
          <w:szCs w:val="28"/>
        </w:rPr>
      </w:pPr>
      <w:r>
        <w:rPr>
          <w:rFonts w:ascii="Arial Black" w:hAnsi="Arial Black"/>
          <w:sz w:val="28"/>
          <w:szCs w:val="28"/>
        </w:rPr>
        <w:t>3-6</w:t>
      </w:r>
      <w:r w:rsidR="00ED4EAF">
        <w:rPr>
          <w:rFonts w:ascii="Arial Black" w:hAnsi="Arial Black"/>
          <w:sz w:val="28"/>
          <w:szCs w:val="28"/>
        </w:rPr>
        <w:t>4</w:t>
      </w:r>
    </w:p>
    <w:p w14:paraId="4DEC2107" w14:textId="77777777" w:rsidR="00557000" w:rsidRDefault="00557000" w:rsidP="00F326E5">
      <w:pPr>
        <w:pStyle w:val="NoSpacing"/>
        <w:rPr>
          <w:rFonts w:ascii="Arial Black" w:hAnsi="Arial Black"/>
          <w:sz w:val="28"/>
          <w:szCs w:val="28"/>
        </w:rPr>
      </w:pPr>
    </w:p>
    <w:p w14:paraId="6B37BC1A" w14:textId="77777777" w:rsidR="00816740" w:rsidRPr="00574A8F" w:rsidRDefault="00816740" w:rsidP="00816740">
      <w:pPr>
        <w:pStyle w:val="NoSpacing"/>
        <w:rPr>
          <w:rFonts w:ascii="Arial Black" w:hAnsi="Arial Black"/>
          <w:sz w:val="28"/>
          <w:szCs w:val="28"/>
          <w:u w:val="single"/>
          <w:shd w:val="clear" w:color="auto" w:fill="FFFFFF"/>
        </w:rPr>
      </w:pPr>
      <w:r>
        <w:rPr>
          <w:rFonts w:ascii="Arial Black" w:hAnsi="Arial Black"/>
          <w:sz w:val="28"/>
          <w:szCs w:val="28"/>
          <w:shd w:val="clear" w:color="auto" w:fill="FFFFFF"/>
        </w:rPr>
        <w:t xml:space="preserve">LA: PD INJURED BY ROCK THROWER - “BLACK LIVES” PROTEST - MAY SUE PROTEST ORGANIZER NEGLIGENCE </w:t>
      </w:r>
    </w:p>
    <w:p w14:paraId="543815B3" w14:textId="77777777" w:rsidR="00816740" w:rsidRDefault="00816740" w:rsidP="00816740">
      <w:pPr>
        <w:pStyle w:val="NoSpacing"/>
        <w:rPr>
          <w:rFonts w:ascii="Times New Roman" w:hAnsi="Times New Roman"/>
          <w:sz w:val="24"/>
          <w:szCs w:val="24"/>
          <w:shd w:val="clear" w:color="auto" w:fill="FFFFFF"/>
        </w:rPr>
      </w:pPr>
      <w:r w:rsidRPr="00574A8F">
        <w:rPr>
          <w:rFonts w:ascii="Times New Roman" w:hAnsi="Times New Roman"/>
          <w:sz w:val="24"/>
          <w:szCs w:val="24"/>
          <w:shd w:val="clear" w:color="auto" w:fill="FFFFFF"/>
        </w:rPr>
        <w:t>On June 16, 2024, in</w:t>
      </w:r>
      <w:r>
        <w:rPr>
          <w:rFonts w:ascii="Times New Roman" w:hAnsi="Times New Roman"/>
          <w:sz w:val="24"/>
          <w:szCs w:val="24"/>
          <w:shd w:val="clear" w:color="auto" w:fill="FFFFFF"/>
        </w:rPr>
        <w:t xml:space="preserve"> </w:t>
      </w:r>
      <w:r w:rsidRPr="00574A8F">
        <w:rPr>
          <w:rFonts w:ascii="Times New Roman" w:hAnsi="Times New Roman"/>
          <w:sz w:val="24"/>
          <w:szCs w:val="24"/>
          <w:u w:val="single"/>
          <w:shd w:val="clear" w:color="auto" w:fill="FFFFFF"/>
        </w:rPr>
        <w:t>Officer John Doe, Police Officer v. DeRay Mckesson; Black Lives Matter</w:t>
      </w:r>
      <w:r w:rsidRPr="00574A8F">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the U.S. Court of Appeals for 5</w:t>
      </w:r>
      <w:r w:rsidRPr="00574A8F">
        <w:rPr>
          <w:rFonts w:ascii="Times New Roman" w:hAnsi="Times New Roman"/>
          <w:sz w:val="24"/>
          <w:szCs w:val="24"/>
          <w:shd w:val="clear" w:color="auto" w:fill="FFFFFF"/>
          <w:vertAlign w:val="superscript"/>
        </w:rPr>
        <w:t>th</w:t>
      </w:r>
      <w:r>
        <w:rPr>
          <w:rFonts w:ascii="Times New Roman" w:hAnsi="Times New Roman"/>
          <w:sz w:val="24"/>
          <w:szCs w:val="24"/>
          <w:shd w:val="clear" w:color="auto" w:fill="FFFFFF"/>
        </w:rPr>
        <w:t xml:space="preserve"> Circuit (New Orleans), held (2 to 1) that a Baton Rouge police officer, who suffered </w:t>
      </w:r>
      <w:r w:rsidRPr="00A5718C">
        <w:rPr>
          <w:rFonts w:ascii="Times New Roman" w:hAnsi="Times New Roman"/>
          <w:sz w:val="24"/>
          <w:szCs w:val="24"/>
          <w:shd w:val="clear" w:color="auto" w:fill="FFFFFF"/>
        </w:rPr>
        <w:t>“loss of teeth, injury to jaw, [and] injury to brain and head</w:t>
      </w:r>
      <w:r>
        <w:rPr>
          <w:rFonts w:ascii="Times New Roman" w:hAnsi="Times New Roman"/>
          <w:sz w:val="24"/>
          <w:szCs w:val="24"/>
          <w:shd w:val="clear" w:color="auto" w:fill="FFFFFF"/>
        </w:rPr>
        <w:t xml:space="preserve">,” when an unknown </w:t>
      </w:r>
      <w:r w:rsidRPr="00A5718C">
        <w:rPr>
          <w:rFonts w:ascii="Times New Roman" w:hAnsi="Times New Roman"/>
          <w:sz w:val="24"/>
          <w:szCs w:val="24"/>
          <w:shd w:val="clear" w:color="auto" w:fill="FFFFFF"/>
        </w:rPr>
        <w:t>protestor</w:t>
      </w:r>
      <w:r>
        <w:rPr>
          <w:rFonts w:ascii="Times New Roman" w:hAnsi="Times New Roman"/>
          <w:sz w:val="24"/>
          <w:szCs w:val="24"/>
          <w:shd w:val="clear" w:color="auto" w:fill="FFFFFF"/>
        </w:rPr>
        <w:t xml:space="preserve"> threw an object during a July 9, 2016 demonstration, may proceed with his negligence lawsuit against the protest organizer (but can’t sue the Black Lives organization). The state Supreme Court confirmed to the 5</w:t>
      </w:r>
      <w:r w:rsidRPr="00252FD2">
        <w:rPr>
          <w:rFonts w:ascii="Times New Roman" w:hAnsi="Times New Roman"/>
          <w:sz w:val="24"/>
          <w:szCs w:val="24"/>
          <w:shd w:val="clear" w:color="auto" w:fill="FFFFFF"/>
          <w:vertAlign w:val="superscript"/>
        </w:rPr>
        <w:t>th</w:t>
      </w:r>
      <w:r>
        <w:rPr>
          <w:rFonts w:ascii="Times New Roman" w:hAnsi="Times New Roman"/>
          <w:sz w:val="24"/>
          <w:szCs w:val="24"/>
          <w:shd w:val="clear" w:color="auto" w:fill="FFFFFF"/>
        </w:rPr>
        <w:t xml:space="preserve"> Circuit that the “Fireman’s Rule” (or professional rescuer doctrine) no longer state law, so police of firefighters can sue for on duty injuries. </w:t>
      </w:r>
      <w:hyperlink r:id="rId693" w:history="1">
        <w:r w:rsidRPr="00E93E28">
          <w:rPr>
            <w:rStyle w:val="Hyperlink"/>
            <w:rFonts w:ascii="Times New Roman" w:hAnsi="Times New Roman"/>
            <w:sz w:val="24"/>
            <w:szCs w:val="24"/>
            <w:shd w:val="clear" w:color="auto" w:fill="FFFFFF"/>
          </w:rPr>
          <w:t>https://www.ca5.uscourts.gov/opinions/pub/17/17-30864-CV4.pdf</w:t>
        </w:r>
      </w:hyperlink>
      <w:r>
        <w:rPr>
          <w:rFonts w:ascii="Times New Roman" w:hAnsi="Times New Roman"/>
          <w:sz w:val="24"/>
          <w:szCs w:val="24"/>
          <w:shd w:val="clear" w:color="auto" w:fill="FFFFFF"/>
        </w:rPr>
        <w:t xml:space="preserve"> </w:t>
      </w:r>
    </w:p>
    <w:p w14:paraId="06A54F5E" w14:textId="77777777" w:rsidR="00816740" w:rsidRDefault="00816740" w:rsidP="00816740">
      <w:pPr>
        <w:pStyle w:val="NoSpacing"/>
        <w:rPr>
          <w:rFonts w:ascii="Times New Roman" w:hAnsi="Times New Roman"/>
          <w:sz w:val="24"/>
          <w:szCs w:val="24"/>
          <w:shd w:val="clear" w:color="auto" w:fill="FFFFFF"/>
        </w:rPr>
      </w:pPr>
    </w:p>
    <w:p w14:paraId="0EE28CBD" w14:textId="77777777" w:rsidR="00816740" w:rsidRDefault="00816740" w:rsidP="00816740">
      <w:pPr>
        <w:pStyle w:val="NoSpacing"/>
        <w:rPr>
          <w:rFonts w:ascii="Times New Roman" w:hAnsi="Times New Roman"/>
          <w:sz w:val="24"/>
          <w:szCs w:val="24"/>
          <w:shd w:val="clear" w:color="auto" w:fill="FFFFFF"/>
        </w:rPr>
      </w:pPr>
      <w:r>
        <w:rPr>
          <w:rFonts w:ascii="Times New Roman" w:hAnsi="Times New Roman"/>
          <w:sz w:val="24"/>
          <w:szCs w:val="24"/>
          <w:shd w:val="clear" w:color="auto" w:fill="FFFFFF"/>
        </w:rPr>
        <w:t>THE COURT HELD:</w:t>
      </w:r>
    </w:p>
    <w:p w14:paraId="243DDBFE" w14:textId="77777777" w:rsidR="00816740" w:rsidRDefault="00816740" w:rsidP="00816740">
      <w:pPr>
        <w:pStyle w:val="NoSpacing"/>
        <w:rPr>
          <w:rFonts w:ascii="Times New Roman" w:hAnsi="Times New Roman"/>
          <w:sz w:val="24"/>
          <w:szCs w:val="24"/>
          <w:shd w:val="clear" w:color="auto" w:fill="FFFFFF"/>
        </w:rPr>
      </w:pPr>
    </w:p>
    <w:p w14:paraId="742D74FD" w14:textId="77777777" w:rsidR="00816740" w:rsidRDefault="00816740" w:rsidP="00816740">
      <w:pPr>
        <w:pStyle w:val="NoSpacing"/>
        <w:ind w:left="720"/>
        <w:rPr>
          <w:rFonts w:ascii="Times New Roman" w:hAnsi="Times New Roman"/>
          <w:sz w:val="24"/>
          <w:szCs w:val="24"/>
          <w:shd w:val="clear" w:color="auto" w:fill="FFFFFF"/>
        </w:rPr>
      </w:pPr>
      <w:r>
        <w:rPr>
          <w:rFonts w:ascii="Times New Roman" w:hAnsi="Times New Roman"/>
          <w:sz w:val="24"/>
          <w:szCs w:val="24"/>
          <w:shd w:val="clear" w:color="auto" w:fill="FFFFFF"/>
        </w:rPr>
        <w:t>“</w:t>
      </w:r>
      <w:r w:rsidRPr="005615B8">
        <w:rPr>
          <w:rFonts w:ascii="Times New Roman" w:hAnsi="Times New Roman"/>
          <w:sz w:val="24"/>
          <w:szCs w:val="24"/>
          <w:shd w:val="clear" w:color="auto" w:fill="FFFFFF"/>
        </w:rPr>
        <w:t>This case returns to us after remand from the Supreme Court and certification to the Supreme Court of Louisiana. The controversy concerns a</w:t>
      </w:r>
      <w:r>
        <w:rPr>
          <w:rFonts w:ascii="Times New Roman" w:hAnsi="Times New Roman"/>
          <w:sz w:val="24"/>
          <w:szCs w:val="24"/>
          <w:shd w:val="clear" w:color="auto" w:fill="FFFFFF"/>
        </w:rPr>
        <w:t xml:space="preserve"> </w:t>
      </w:r>
      <w:r w:rsidRPr="005615B8">
        <w:rPr>
          <w:rFonts w:ascii="Times New Roman" w:hAnsi="Times New Roman"/>
          <w:sz w:val="24"/>
          <w:szCs w:val="24"/>
          <w:shd w:val="clear" w:color="auto" w:fill="FFFFFF"/>
        </w:rPr>
        <w:t xml:space="preserve">Black Lives Matter protest organized and led by Appellee DeRay </w:t>
      </w:r>
      <w:r w:rsidRPr="005615B8">
        <w:rPr>
          <w:rFonts w:ascii="Times New Roman" w:hAnsi="Times New Roman"/>
          <w:sz w:val="24"/>
          <w:szCs w:val="24"/>
          <w:shd w:val="clear" w:color="auto" w:fill="FFFFFF"/>
        </w:rPr>
        <w:lastRenderedPageBreak/>
        <w:t>Mckesson.</w:t>
      </w:r>
      <w:r>
        <w:rPr>
          <w:rFonts w:ascii="Times New Roman" w:hAnsi="Times New Roman"/>
          <w:sz w:val="24"/>
          <w:szCs w:val="24"/>
          <w:shd w:val="clear" w:color="auto" w:fill="FFFFFF"/>
        </w:rPr>
        <w:t xml:space="preserve"> </w:t>
      </w:r>
      <w:r w:rsidRPr="005615B8">
        <w:rPr>
          <w:rFonts w:ascii="Times New Roman" w:hAnsi="Times New Roman"/>
          <w:sz w:val="24"/>
          <w:szCs w:val="24"/>
          <w:shd w:val="clear" w:color="auto" w:fill="FFFFFF"/>
        </w:rPr>
        <w:t>During that protest, an unidentified demonstrator struck Appellant John</w:t>
      </w:r>
      <w:r>
        <w:rPr>
          <w:rFonts w:ascii="Times New Roman" w:hAnsi="Times New Roman"/>
          <w:sz w:val="24"/>
          <w:szCs w:val="24"/>
          <w:shd w:val="clear" w:color="auto" w:fill="FFFFFF"/>
        </w:rPr>
        <w:t xml:space="preserve"> </w:t>
      </w:r>
      <w:r w:rsidRPr="005615B8">
        <w:rPr>
          <w:rFonts w:ascii="Times New Roman" w:hAnsi="Times New Roman"/>
          <w:sz w:val="24"/>
          <w:szCs w:val="24"/>
          <w:shd w:val="clear" w:color="auto" w:fill="FFFFFF"/>
        </w:rPr>
        <w:t>Doe, a police officer in the Baton Rouge Police Department, with a heavy</w:t>
      </w:r>
      <w:r>
        <w:rPr>
          <w:rFonts w:ascii="Times New Roman" w:hAnsi="Times New Roman"/>
          <w:sz w:val="24"/>
          <w:szCs w:val="24"/>
          <w:shd w:val="clear" w:color="auto" w:fill="FFFFFF"/>
        </w:rPr>
        <w:t xml:space="preserve"> </w:t>
      </w:r>
      <w:r w:rsidRPr="005615B8">
        <w:rPr>
          <w:rFonts w:ascii="Times New Roman" w:hAnsi="Times New Roman"/>
          <w:sz w:val="24"/>
          <w:szCs w:val="24"/>
          <w:shd w:val="clear" w:color="auto" w:fill="FFFFFF"/>
        </w:rPr>
        <w:t>object, causing him to sustain severe injuries.</w:t>
      </w:r>
      <w:r>
        <w:rPr>
          <w:rFonts w:ascii="Times New Roman" w:hAnsi="Times New Roman"/>
          <w:sz w:val="24"/>
          <w:szCs w:val="24"/>
          <w:shd w:val="clear" w:color="auto" w:fill="FFFFFF"/>
        </w:rPr>
        <w:t xml:space="preserve"> </w:t>
      </w:r>
    </w:p>
    <w:p w14:paraId="0EEE0653" w14:textId="77777777" w:rsidR="00816740" w:rsidRDefault="00816740" w:rsidP="00816740">
      <w:pPr>
        <w:pStyle w:val="NoSpacing"/>
        <w:ind w:left="720"/>
        <w:rPr>
          <w:rFonts w:ascii="Times New Roman" w:hAnsi="Times New Roman"/>
          <w:sz w:val="24"/>
          <w:szCs w:val="24"/>
          <w:shd w:val="clear" w:color="auto" w:fill="FFFFFF"/>
        </w:rPr>
      </w:pPr>
    </w:p>
    <w:p w14:paraId="5C754DBB" w14:textId="77777777" w:rsidR="00816740" w:rsidRDefault="00816740" w:rsidP="00816740">
      <w:pPr>
        <w:pStyle w:val="NoSpacing"/>
        <w:ind w:left="720"/>
        <w:rPr>
          <w:rFonts w:ascii="Times New Roman" w:hAnsi="Times New Roman"/>
          <w:sz w:val="24"/>
          <w:szCs w:val="24"/>
          <w:shd w:val="clear" w:color="auto" w:fill="FFFFFF"/>
        </w:rPr>
      </w:pPr>
      <w:r>
        <w:rPr>
          <w:rFonts w:ascii="Times New Roman" w:hAnsi="Times New Roman"/>
          <w:sz w:val="24"/>
          <w:szCs w:val="24"/>
          <w:shd w:val="clear" w:color="auto" w:fill="FFFFFF"/>
        </w:rPr>
        <w:t>***</w:t>
      </w:r>
    </w:p>
    <w:p w14:paraId="1B33E5E3" w14:textId="77777777" w:rsidR="00816740" w:rsidRPr="00C9029A" w:rsidRDefault="00816740" w:rsidP="00816740">
      <w:pPr>
        <w:pStyle w:val="NoSpacing"/>
        <w:ind w:left="720"/>
        <w:rPr>
          <w:rFonts w:ascii="Times New Roman" w:hAnsi="Times New Roman"/>
          <w:sz w:val="24"/>
          <w:szCs w:val="24"/>
          <w:shd w:val="clear" w:color="auto" w:fill="FFFFFF"/>
        </w:rPr>
      </w:pPr>
      <w:r>
        <w:rPr>
          <w:rFonts w:ascii="Times New Roman" w:hAnsi="Times New Roman"/>
          <w:sz w:val="24"/>
          <w:szCs w:val="24"/>
          <w:shd w:val="clear" w:color="auto" w:fill="FFFFFF"/>
        </w:rPr>
        <w:t>“</w:t>
      </w:r>
      <w:r w:rsidRPr="00C9029A">
        <w:rPr>
          <w:rFonts w:ascii="Times New Roman" w:hAnsi="Times New Roman"/>
          <w:sz w:val="24"/>
          <w:szCs w:val="24"/>
          <w:shd w:val="clear" w:color="auto" w:fill="FFFFFF"/>
        </w:rPr>
        <w:t xml:space="preserve">Our limited holding guarantees only that Doe may proceed to discovery on his negligence claim. It does not guarantee that he will prevail </w:t>
      </w:r>
      <w:proofErr w:type="gramStart"/>
      <w:r w:rsidRPr="00C9029A">
        <w:rPr>
          <w:rFonts w:ascii="Times New Roman" w:hAnsi="Times New Roman"/>
          <w:sz w:val="24"/>
          <w:szCs w:val="24"/>
          <w:shd w:val="clear" w:color="auto" w:fill="FFFFFF"/>
        </w:rPr>
        <w:t>on</w:t>
      </w:r>
      <w:proofErr w:type="gramEnd"/>
      <w:r w:rsidRPr="00C9029A">
        <w:rPr>
          <w:rFonts w:ascii="Times New Roman" w:hAnsi="Times New Roman"/>
          <w:sz w:val="24"/>
          <w:szCs w:val="24"/>
          <w:shd w:val="clear" w:color="auto" w:fill="FFFFFF"/>
        </w:rPr>
        <w:t xml:space="preserve"> that</w:t>
      </w:r>
      <w:r>
        <w:rPr>
          <w:rFonts w:ascii="Times New Roman" w:hAnsi="Times New Roman"/>
          <w:sz w:val="24"/>
          <w:szCs w:val="24"/>
          <w:shd w:val="clear" w:color="auto" w:fill="FFFFFF"/>
        </w:rPr>
        <w:t xml:space="preserve"> </w:t>
      </w:r>
      <w:r w:rsidRPr="00C9029A">
        <w:rPr>
          <w:rFonts w:ascii="Times New Roman" w:hAnsi="Times New Roman"/>
          <w:sz w:val="24"/>
          <w:szCs w:val="24"/>
          <w:shd w:val="clear" w:color="auto" w:fill="FFFFFF"/>
        </w:rPr>
        <w:t>claim. Mckesson will have every opportunity to discover and offer evidence</w:t>
      </w:r>
      <w:r>
        <w:rPr>
          <w:rFonts w:ascii="Times New Roman" w:hAnsi="Times New Roman"/>
          <w:sz w:val="24"/>
          <w:szCs w:val="24"/>
          <w:shd w:val="clear" w:color="auto" w:fill="FFFFFF"/>
        </w:rPr>
        <w:t xml:space="preserve"> </w:t>
      </w:r>
      <w:r w:rsidRPr="00C9029A">
        <w:rPr>
          <w:rFonts w:ascii="Times New Roman" w:hAnsi="Times New Roman"/>
          <w:sz w:val="24"/>
          <w:szCs w:val="24"/>
          <w:shd w:val="clear" w:color="auto" w:fill="FFFFFF"/>
        </w:rPr>
        <w:t>disproving Doe’s allegations that Mckesson breached his duty of care, and</w:t>
      </w:r>
      <w:r>
        <w:rPr>
          <w:rFonts w:ascii="Times New Roman" w:hAnsi="Times New Roman"/>
          <w:sz w:val="24"/>
          <w:szCs w:val="24"/>
          <w:shd w:val="clear" w:color="auto" w:fill="FFFFFF"/>
        </w:rPr>
        <w:t xml:space="preserve"> </w:t>
      </w:r>
      <w:r w:rsidRPr="00C9029A">
        <w:rPr>
          <w:rFonts w:ascii="Times New Roman" w:hAnsi="Times New Roman"/>
          <w:sz w:val="24"/>
          <w:szCs w:val="24"/>
          <w:shd w:val="clear" w:color="auto" w:fill="FFFFFF"/>
        </w:rPr>
        <w:t xml:space="preserve">that the breach was a </w:t>
      </w:r>
      <w:proofErr w:type="spellStart"/>
      <w:proofErr w:type="gramStart"/>
      <w:r w:rsidRPr="00C9029A">
        <w:rPr>
          <w:rFonts w:ascii="Times New Roman" w:hAnsi="Times New Roman"/>
          <w:sz w:val="24"/>
          <w:szCs w:val="24"/>
          <w:shd w:val="clear" w:color="auto" w:fill="FFFFFF"/>
        </w:rPr>
        <w:t>but</w:t>
      </w:r>
      <w:proofErr w:type="spellEnd"/>
      <w:proofErr w:type="gramEnd"/>
      <w:r w:rsidRPr="00C9029A">
        <w:rPr>
          <w:rFonts w:ascii="Times New Roman" w:hAnsi="Times New Roman"/>
          <w:sz w:val="24"/>
          <w:szCs w:val="24"/>
          <w:shd w:val="clear" w:color="auto" w:fill="FFFFFF"/>
        </w:rPr>
        <w:t xml:space="preserve">-for cause of Doe’s injuries. Likewise, and </w:t>
      </w:r>
      <w:proofErr w:type="gramStart"/>
      <w:r w:rsidRPr="00C9029A">
        <w:rPr>
          <w:rFonts w:ascii="Times New Roman" w:hAnsi="Times New Roman"/>
          <w:sz w:val="24"/>
          <w:szCs w:val="24"/>
          <w:shd w:val="clear" w:color="auto" w:fill="FFFFFF"/>
        </w:rPr>
        <w:t>in light</w:t>
      </w:r>
      <w:r>
        <w:rPr>
          <w:rFonts w:ascii="Times New Roman" w:hAnsi="Times New Roman"/>
          <w:sz w:val="24"/>
          <w:szCs w:val="24"/>
          <w:shd w:val="clear" w:color="auto" w:fill="FFFFFF"/>
        </w:rPr>
        <w:t xml:space="preserve"> </w:t>
      </w:r>
      <w:r w:rsidRPr="00C9029A">
        <w:rPr>
          <w:rFonts w:ascii="Times New Roman" w:hAnsi="Times New Roman"/>
          <w:sz w:val="24"/>
          <w:szCs w:val="24"/>
          <w:shd w:val="clear" w:color="auto" w:fill="FFFFFF"/>
        </w:rPr>
        <w:t>of the fact that</w:t>
      </w:r>
      <w:proofErr w:type="gramEnd"/>
      <w:r w:rsidRPr="00C9029A">
        <w:rPr>
          <w:rFonts w:ascii="Times New Roman" w:hAnsi="Times New Roman"/>
          <w:sz w:val="24"/>
          <w:szCs w:val="24"/>
          <w:shd w:val="clear" w:color="auto" w:fill="FFFFFF"/>
        </w:rPr>
        <w:t xml:space="preserve"> Doe seeks to avail himself of Louisiana tort law, Mckesson is</w:t>
      </w:r>
      <w:r>
        <w:rPr>
          <w:rFonts w:ascii="Times New Roman" w:hAnsi="Times New Roman"/>
          <w:sz w:val="24"/>
          <w:szCs w:val="24"/>
          <w:shd w:val="clear" w:color="auto" w:fill="FFFFFF"/>
        </w:rPr>
        <w:t xml:space="preserve"> </w:t>
      </w:r>
      <w:r w:rsidRPr="00C9029A">
        <w:rPr>
          <w:rFonts w:ascii="Times New Roman" w:hAnsi="Times New Roman"/>
          <w:sz w:val="24"/>
          <w:szCs w:val="24"/>
          <w:shd w:val="clear" w:color="auto" w:fill="FFFFFF"/>
        </w:rPr>
        <w:t>entitled to seek to avail himself of traditional tort defenses. These defenses</w:t>
      </w:r>
      <w:r>
        <w:rPr>
          <w:rFonts w:ascii="Times New Roman" w:hAnsi="Times New Roman"/>
          <w:sz w:val="24"/>
          <w:szCs w:val="24"/>
          <w:shd w:val="clear" w:color="auto" w:fill="FFFFFF"/>
        </w:rPr>
        <w:t xml:space="preserve"> </w:t>
      </w:r>
      <w:r w:rsidRPr="00C9029A">
        <w:rPr>
          <w:rFonts w:ascii="Times New Roman" w:hAnsi="Times New Roman"/>
          <w:sz w:val="24"/>
          <w:szCs w:val="24"/>
          <w:shd w:val="clear" w:color="auto" w:fill="FFFFFF"/>
        </w:rPr>
        <w:t>would of course be available to future defendants in future cases. For exam-</w:t>
      </w:r>
    </w:p>
    <w:p w14:paraId="3106FEF9" w14:textId="77777777" w:rsidR="00816740" w:rsidRDefault="00816740" w:rsidP="00816740">
      <w:pPr>
        <w:pStyle w:val="NoSpacing"/>
        <w:ind w:left="720"/>
        <w:rPr>
          <w:rFonts w:ascii="Times New Roman" w:hAnsi="Times New Roman"/>
          <w:sz w:val="24"/>
          <w:szCs w:val="24"/>
          <w:shd w:val="clear" w:color="auto" w:fill="FFFFFF"/>
        </w:rPr>
      </w:pPr>
      <w:proofErr w:type="spellStart"/>
      <w:r w:rsidRPr="00C9029A">
        <w:rPr>
          <w:rFonts w:ascii="Times New Roman" w:hAnsi="Times New Roman"/>
          <w:sz w:val="24"/>
          <w:szCs w:val="24"/>
          <w:shd w:val="clear" w:color="auto" w:fill="FFFFFF"/>
        </w:rPr>
        <w:t>ple</w:t>
      </w:r>
      <w:proofErr w:type="spellEnd"/>
      <w:r w:rsidRPr="00C9029A">
        <w:rPr>
          <w:rFonts w:ascii="Times New Roman" w:hAnsi="Times New Roman"/>
          <w:sz w:val="24"/>
          <w:szCs w:val="24"/>
          <w:shd w:val="clear" w:color="auto" w:fill="FFFFFF"/>
        </w:rPr>
        <w:t>, if a defendant could show that a police officer improperly provoked a</w:t>
      </w:r>
      <w:r>
        <w:rPr>
          <w:rFonts w:ascii="Times New Roman" w:hAnsi="Times New Roman"/>
          <w:sz w:val="24"/>
          <w:szCs w:val="24"/>
          <w:shd w:val="clear" w:color="auto" w:fill="FFFFFF"/>
        </w:rPr>
        <w:t xml:space="preserve"> </w:t>
      </w:r>
      <w:r w:rsidRPr="00C9029A">
        <w:rPr>
          <w:rFonts w:ascii="Times New Roman" w:hAnsi="Times New Roman"/>
          <w:sz w:val="24"/>
          <w:szCs w:val="24"/>
          <w:shd w:val="clear" w:color="auto" w:fill="FFFFFF"/>
        </w:rPr>
        <w:t>confrontation with a protestor, the defendant might assert the defense of</w:t>
      </w:r>
      <w:r>
        <w:rPr>
          <w:rFonts w:ascii="Times New Roman" w:hAnsi="Times New Roman"/>
          <w:sz w:val="24"/>
          <w:szCs w:val="24"/>
          <w:shd w:val="clear" w:color="auto" w:fill="FFFFFF"/>
        </w:rPr>
        <w:t xml:space="preserve"> </w:t>
      </w:r>
      <w:r w:rsidRPr="00C9029A">
        <w:rPr>
          <w:rFonts w:ascii="Times New Roman" w:hAnsi="Times New Roman"/>
          <w:sz w:val="24"/>
          <w:szCs w:val="24"/>
          <w:shd w:val="clear" w:color="auto" w:fill="FFFFFF"/>
        </w:rPr>
        <w:t>comparative negligence, which remains available to assign proportional fault,</w:t>
      </w:r>
      <w:r>
        <w:rPr>
          <w:rFonts w:ascii="Times New Roman" w:hAnsi="Times New Roman"/>
          <w:sz w:val="24"/>
          <w:szCs w:val="24"/>
          <w:shd w:val="clear" w:color="auto" w:fill="FFFFFF"/>
        </w:rPr>
        <w:t xml:space="preserve"> </w:t>
      </w:r>
      <w:r w:rsidRPr="00C9029A">
        <w:rPr>
          <w:rFonts w:ascii="Times New Roman" w:hAnsi="Times New Roman"/>
          <w:sz w:val="24"/>
          <w:szCs w:val="24"/>
          <w:shd w:val="clear" w:color="auto" w:fill="FFFFFF"/>
        </w:rPr>
        <w:t>as the Supreme Court of Louisiana explained on certification.</w:t>
      </w:r>
      <w:r>
        <w:rPr>
          <w:rFonts w:ascii="Times New Roman" w:hAnsi="Times New Roman"/>
          <w:sz w:val="24"/>
          <w:szCs w:val="24"/>
          <w:shd w:val="clear" w:color="auto" w:fill="FFFFFF"/>
        </w:rPr>
        <w:t>”</w:t>
      </w:r>
    </w:p>
    <w:p w14:paraId="44701D31" w14:textId="77777777" w:rsidR="00075B1D" w:rsidRDefault="00075B1D" w:rsidP="00F326E5">
      <w:pPr>
        <w:pStyle w:val="NoSpacing"/>
        <w:rPr>
          <w:rFonts w:ascii="Arial Black" w:hAnsi="Arial Black"/>
          <w:sz w:val="28"/>
          <w:szCs w:val="28"/>
        </w:rPr>
      </w:pPr>
    </w:p>
    <w:p w14:paraId="63659004" w14:textId="77777777" w:rsidR="009C2555" w:rsidRDefault="009C2555" w:rsidP="009C2555">
      <w:pPr>
        <w:pStyle w:val="NoSpacing"/>
        <w:rPr>
          <w:rFonts w:ascii="Times New Roman" w:hAnsi="Times New Roman"/>
          <w:sz w:val="24"/>
          <w:szCs w:val="24"/>
          <w:shd w:val="clear" w:color="auto" w:fill="FFFFFF"/>
        </w:rPr>
      </w:pPr>
      <w:r>
        <w:rPr>
          <w:rFonts w:ascii="Times New Roman" w:hAnsi="Times New Roman"/>
          <w:sz w:val="24"/>
          <w:szCs w:val="24"/>
          <w:shd w:val="clear" w:color="auto" w:fill="FFFFFF"/>
        </w:rPr>
        <w:t>DISSENT:</w:t>
      </w:r>
    </w:p>
    <w:p w14:paraId="4A52D713" w14:textId="77777777" w:rsidR="009C2555" w:rsidRDefault="009C2555" w:rsidP="009C2555">
      <w:pPr>
        <w:pStyle w:val="NoSpacing"/>
        <w:rPr>
          <w:rFonts w:ascii="Times New Roman" w:hAnsi="Times New Roman"/>
          <w:sz w:val="24"/>
          <w:szCs w:val="24"/>
          <w:shd w:val="clear" w:color="auto" w:fill="FFFFFF"/>
        </w:rPr>
      </w:pPr>
    </w:p>
    <w:p w14:paraId="6711C3C6" w14:textId="77777777" w:rsidR="009C2555" w:rsidRPr="002D5F98" w:rsidRDefault="009C2555" w:rsidP="009C2555">
      <w:pPr>
        <w:pStyle w:val="NoSpacing"/>
        <w:ind w:left="720"/>
        <w:rPr>
          <w:rFonts w:ascii="Times New Roman" w:hAnsi="Times New Roman"/>
          <w:sz w:val="24"/>
          <w:szCs w:val="24"/>
          <w:shd w:val="clear" w:color="auto" w:fill="FFFFFF"/>
        </w:rPr>
      </w:pPr>
      <w:r>
        <w:rPr>
          <w:rFonts w:ascii="Times New Roman" w:hAnsi="Times New Roman"/>
          <w:sz w:val="24"/>
          <w:szCs w:val="24"/>
          <w:shd w:val="clear" w:color="auto" w:fill="FFFFFF"/>
        </w:rPr>
        <w:t>“</w:t>
      </w:r>
      <w:r w:rsidRPr="002D5F98">
        <w:rPr>
          <w:rFonts w:ascii="Times New Roman" w:hAnsi="Times New Roman"/>
          <w:sz w:val="24"/>
          <w:szCs w:val="24"/>
          <w:shd w:val="clear" w:color="auto" w:fill="FFFFFF"/>
        </w:rPr>
        <w:t>Officer John Doe was honoring his oath to serve and protect the</w:t>
      </w:r>
      <w:r>
        <w:rPr>
          <w:rFonts w:ascii="Times New Roman" w:hAnsi="Times New Roman"/>
          <w:sz w:val="24"/>
          <w:szCs w:val="24"/>
          <w:shd w:val="clear" w:color="auto" w:fill="FFFFFF"/>
        </w:rPr>
        <w:t xml:space="preserve"> </w:t>
      </w:r>
      <w:r w:rsidRPr="002D5F98">
        <w:rPr>
          <w:rFonts w:ascii="Times New Roman" w:hAnsi="Times New Roman"/>
          <w:sz w:val="24"/>
          <w:szCs w:val="24"/>
          <w:shd w:val="clear" w:color="auto" w:fill="FFFFFF"/>
        </w:rPr>
        <w:t>people of Baton Rouge when an unidentified violent protestor hurled a rock</w:t>
      </w:r>
      <w:r>
        <w:rPr>
          <w:rFonts w:ascii="Times New Roman" w:hAnsi="Times New Roman"/>
          <w:sz w:val="24"/>
          <w:szCs w:val="24"/>
          <w:shd w:val="clear" w:color="auto" w:fill="FFFFFF"/>
        </w:rPr>
        <w:t xml:space="preserve"> </w:t>
      </w:r>
      <w:r w:rsidRPr="002D5F98">
        <w:rPr>
          <w:rFonts w:ascii="Times New Roman" w:hAnsi="Times New Roman"/>
          <w:sz w:val="24"/>
          <w:szCs w:val="24"/>
          <w:shd w:val="clear" w:color="auto" w:fill="FFFFFF"/>
        </w:rPr>
        <w:t>or something like it, striking Doe in the face and inflicting devastating</w:t>
      </w:r>
      <w:r>
        <w:rPr>
          <w:rFonts w:ascii="Times New Roman" w:hAnsi="Times New Roman"/>
          <w:sz w:val="24"/>
          <w:szCs w:val="24"/>
          <w:shd w:val="clear" w:color="auto" w:fill="FFFFFF"/>
        </w:rPr>
        <w:t xml:space="preserve"> </w:t>
      </w:r>
      <w:r w:rsidRPr="002D5F98">
        <w:rPr>
          <w:rFonts w:ascii="Times New Roman" w:hAnsi="Times New Roman"/>
          <w:sz w:val="24"/>
          <w:szCs w:val="24"/>
          <w:shd w:val="clear" w:color="auto" w:fill="FFFFFF"/>
        </w:rPr>
        <w:t xml:space="preserve">injuries. Officer Doe risked his life to keep his city safe that </w:t>
      </w:r>
      <w:proofErr w:type="gramStart"/>
      <w:r w:rsidRPr="002D5F98">
        <w:rPr>
          <w:rFonts w:ascii="Times New Roman" w:hAnsi="Times New Roman"/>
          <w:sz w:val="24"/>
          <w:szCs w:val="24"/>
          <w:shd w:val="clear" w:color="auto" w:fill="FFFFFF"/>
        </w:rPr>
        <w:t>day—same</w:t>
      </w:r>
      <w:proofErr w:type="gramEnd"/>
      <w:r w:rsidRPr="002D5F98">
        <w:rPr>
          <w:rFonts w:ascii="Times New Roman" w:hAnsi="Times New Roman"/>
          <w:sz w:val="24"/>
          <w:szCs w:val="24"/>
          <w:shd w:val="clear" w:color="auto" w:fill="FFFFFF"/>
        </w:rPr>
        <w:t xml:space="preserve"> as</w:t>
      </w:r>
      <w:r>
        <w:rPr>
          <w:rFonts w:ascii="Times New Roman" w:hAnsi="Times New Roman"/>
          <w:sz w:val="24"/>
          <w:szCs w:val="24"/>
          <w:shd w:val="clear" w:color="auto" w:fill="FFFFFF"/>
        </w:rPr>
        <w:t xml:space="preserve"> </w:t>
      </w:r>
      <w:r w:rsidRPr="002D5F98">
        <w:rPr>
          <w:rFonts w:ascii="Times New Roman" w:hAnsi="Times New Roman"/>
          <w:sz w:val="24"/>
          <w:szCs w:val="24"/>
          <w:shd w:val="clear" w:color="auto" w:fill="FFFFFF"/>
        </w:rPr>
        <w:t>every other day he put on the uniform. He deserves justice. Unquestionably,</w:t>
      </w:r>
      <w:r>
        <w:rPr>
          <w:rFonts w:ascii="Times New Roman" w:hAnsi="Times New Roman"/>
          <w:sz w:val="24"/>
          <w:szCs w:val="24"/>
          <w:shd w:val="clear" w:color="auto" w:fill="FFFFFF"/>
        </w:rPr>
        <w:t xml:space="preserve"> </w:t>
      </w:r>
      <w:r w:rsidRPr="002D5F98">
        <w:rPr>
          <w:rFonts w:ascii="Times New Roman" w:hAnsi="Times New Roman"/>
          <w:sz w:val="24"/>
          <w:szCs w:val="24"/>
          <w:shd w:val="clear" w:color="auto" w:fill="FFFFFF"/>
        </w:rPr>
        <w:t>Officer Doe can sue the rock-thrower. But I disagree that he can sue</w:t>
      </w:r>
      <w:r>
        <w:rPr>
          <w:rFonts w:ascii="Times New Roman" w:hAnsi="Times New Roman"/>
          <w:sz w:val="24"/>
          <w:szCs w:val="24"/>
          <w:shd w:val="clear" w:color="auto" w:fill="FFFFFF"/>
        </w:rPr>
        <w:t xml:space="preserve"> </w:t>
      </w:r>
      <w:r w:rsidRPr="002D5F98">
        <w:rPr>
          <w:rFonts w:ascii="Times New Roman" w:hAnsi="Times New Roman"/>
          <w:sz w:val="24"/>
          <w:szCs w:val="24"/>
          <w:shd w:val="clear" w:color="auto" w:fill="FFFFFF"/>
        </w:rPr>
        <w:t>Mckesson as the protest leader. The Constitution that Officer Doe swore to</w:t>
      </w:r>
      <w:r>
        <w:rPr>
          <w:rFonts w:ascii="Times New Roman" w:hAnsi="Times New Roman"/>
          <w:sz w:val="24"/>
          <w:szCs w:val="24"/>
          <w:shd w:val="clear" w:color="auto" w:fill="FFFFFF"/>
        </w:rPr>
        <w:t xml:space="preserve"> </w:t>
      </w:r>
      <w:r w:rsidRPr="002D5F98">
        <w:rPr>
          <w:rFonts w:ascii="Times New Roman" w:hAnsi="Times New Roman"/>
          <w:sz w:val="24"/>
          <w:szCs w:val="24"/>
          <w:shd w:val="clear" w:color="auto" w:fill="FFFFFF"/>
        </w:rPr>
        <w:t>protect itself protects Mckesson’s rights to speak, assemble, associate, and</w:t>
      </w:r>
      <w:r>
        <w:rPr>
          <w:rFonts w:ascii="Times New Roman" w:hAnsi="Times New Roman"/>
          <w:sz w:val="24"/>
          <w:szCs w:val="24"/>
          <w:shd w:val="clear" w:color="auto" w:fill="FFFFFF"/>
        </w:rPr>
        <w:t xml:space="preserve"> </w:t>
      </w:r>
      <w:r w:rsidRPr="002D5F98">
        <w:rPr>
          <w:rFonts w:ascii="Times New Roman" w:hAnsi="Times New Roman"/>
          <w:sz w:val="24"/>
          <w:szCs w:val="24"/>
          <w:shd w:val="clear" w:color="auto" w:fill="FFFFFF"/>
        </w:rPr>
        <w:t>petition. First Amendment freedoms are not absolute—but there’s the rub:</w:t>
      </w:r>
      <w:r>
        <w:rPr>
          <w:rFonts w:ascii="Times New Roman" w:hAnsi="Times New Roman"/>
          <w:sz w:val="24"/>
          <w:szCs w:val="24"/>
          <w:shd w:val="clear" w:color="auto" w:fill="FFFFFF"/>
        </w:rPr>
        <w:t xml:space="preserve"> </w:t>
      </w:r>
      <w:r w:rsidRPr="002D5F98">
        <w:rPr>
          <w:rFonts w:ascii="Times New Roman" w:hAnsi="Times New Roman"/>
          <w:sz w:val="24"/>
          <w:szCs w:val="24"/>
          <w:shd w:val="clear" w:color="auto" w:fill="FFFFFF"/>
        </w:rPr>
        <w:t>Did Mckesson stray from lawfully exercising his own rights to unlawfully</w:t>
      </w:r>
      <w:r>
        <w:rPr>
          <w:rFonts w:ascii="Times New Roman" w:hAnsi="Times New Roman"/>
          <w:sz w:val="24"/>
          <w:szCs w:val="24"/>
          <w:shd w:val="clear" w:color="auto" w:fill="FFFFFF"/>
        </w:rPr>
        <w:t xml:space="preserve"> </w:t>
      </w:r>
      <w:r w:rsidRPr="002D5F98">
        <w:rPr>
          <w:rFonts w:ascii="Times New Roman" w:hAnsi="Times New Roman"/>
          <w:sz w:val="24"/>
          <w:szCs w:val="24"/>
          <w:shd w:val="clear" w:color="auto" w:fill="FFFFFF"/>
        </w:rPr>
        <w:t>exorcising Doe’s? I don’t believe he did.</w:t>
      </w:r>
      <w:r>
        <w:rPr>
          <w:rFonts w:ascii="Times New Roman" w:hAnsi="Times New Roman"/>
          <w:sz w:val="24"/>
          <w:szCs w:val="24"/>
          <w:shd w:val="clear" w:color="auto" w:fill="FFFFFF"/>
        </w:rPr>
        <w:t>”</w:t>
      </w:r>
    </w:p>
    <w:p w14:paraId="42D43E44" w14:textId="77777777" w:rsidR="009C2555" w:rsidRDefault="009C2555" w:rsidP="00F326E5">
      <w:pPr>
        <w:pStyle w:val="NoSpacing"/>
        <w:rPr>
          <w:rFonts w:ascii="Arial Black" w:hAnsi="Arial Black"/>
          <w:sz w:val="28"/>
          <w:szCs w:val="28"/>
        </w:rPr>
      </w:pPr>
    </w:p>
    <w:p w14:paraId="4A6CFF9F" w14:textId="77777777" w:rsidR="00FC09B8" w:rsidRPr="0076259E" w:rsidRDefault="00FC09B8" w:rsidP="00FC09B8">
      <w:pPr>
        <w:pStyle w:val="NoSpacing"/>
        <w:rPr>
          <w:rFonts w:ascii="Times New Roman" w:hAnsi="Times New Roman"/>
          <w:b/>
          <w:bCs/>
          <w:sz w:val="24"/>
          <w:szCs w:val="24"/>
          <w:shd w:val="clear" w:color="auto" w:fill="FFFFFF"/>
        </w:rPr>
      </w:pPr>
      <w:r w:rsidRPr="0076259E">
        <w:rPr>
          <w:rFonts w:ascii="Times New Roman" w:hAnsi="Times New Roman"/>
          <w:b/>
          <w:bCs/>
          <w:sz w:val="24"/>
          <w:szCs w:val="24"/>
          <w:shd w:val="clear" w:color="auto" w:fill="FFFFFF"/>
        </w:rPr>
        <w:t>Legal Lesson Learned:</w:t>
      </w:r>
      <w:r>
        <w:rPr>
          <w:rFonts w:ascii="Times New Roman" w:hAnsi="Times New Roman"/>
          <w:b/>
          <w:bCs/>
          <w:sz w:val="24"/>
          <w:szCs w:val="24"/>
          <w:shd w:val="clear" w:color="auto" w:fill="FFFFFF"/>
        </w:rPr>
        <w:t xml:space="preserve"> Protests can quickly get ugly; this is an important decision on potential liability of a protest leader. </w:t>
      </w:r>
    </w:p>
    <w:p w14:paraId="52976248" w14:textId="77777777" w:rsidR="00FC09B8" w:rsidRPr="00F00C70" w:rsidRDefault="00FC09B8" w:rsidP="00FC09B8">
      <w:pPr>
        <w:pStyle w:val="NormalWeb"/>
        <w:ind w:left="720"/>
        <w:rPr>
          <w:shd w:val="clear" w:color="auto" w:fill="FFFFFF"/>
        </w:rPr>
      </w:pPr>
      <w:r w:rsidRPr="00F00C70">
        <w:rPr>
          <w:color w:val="454545"/>
          <w:shd w:val="clear" w:color="auto" w:fill="FFFFFF"/>
        </w:rPr>
        <w:t>Note:</w:t>
      </w:r>
      <w:r w:rsidRPr="00F00C70">
        <w:rPr>
          <w:b/>
          <w:bCs/>
          <w:color w:val="454545"/>
          <w:shd w:val="clear" w:color="auto" w:fill="FFFFFF"/>
        </w:rPr>
        <w:t xml:space="preserve">  </w:t>
      </w:r>
      <w:r w:rsidRPr="00F00C70">
        <w:rPr>
          <w:color w:val="454545"/>
          <w:shd w:val="clear" w:color="auto" w:fill="FFFFFF"/>
        </w:rPr>
        <w:t xml:space="preserve">Louisiana </w:t>
      </w:r>
      <w:r>
        <w:rPr>
          <w:color w:val="454545"/>
          <w:shd w:val="clear" w:color="auto" w:fill="FFFFFF"/>
        </w:rPr>
        <w:t xml:space="preserve">has abolished </w:t>
      </w:r>
      <w:r w:rsidRPr="00F00C70">
        <w:rPr>
          <w:color w:val="454545"/>
          <w:shd w:val="clear" w:color="auto" w:fill="FFFFFF"/>
        </w:rPr>
        <w:t>the “Fireman’s Rule</w:t>
      </w:r>
      <w:r>
        <w:rPr>
          <w:color w:val="454545"/>
          <w:shd w:val="clear" w:color="auto" w:fill="FFFFFF"/>
        </w:rPr>
        <w:t>.</w:t>
      </w:r>
      <w:r w:rsidRPr="00F00C70">
        <w:rPr>
          <w:color w:val="454545"/>
          <w:shd w:val="clear" w:color="auto" w:fill="FFFFFF"/>
        </w:rPr>
        <w:t>”</w:t>
      </w:r>
      <w:r w:rsidRPr="00F00C70">
        <w:rPr>
          <w:b/>
          <w:bCs/>
          <w:color w:val="454545"/>
          <w:shd w:val="clear" w:color="auto" w:fill="FFFFFF"/>
        </w:rPr>
        <w:t xml:space="preserve"> </w:t>
      </w:r>
      <w:r w:rsidRPr="00F00C70">
        <w:rPr>
          <w:color w:val="454545"/>
          <w:shd w:val="clear" w:color="auto" w:fill="FFFFFF"/>
        </w:rPr>
        <w:t xml:space="preserve">See </w:t>
      </w:r>
      <w:r w:rsidRPr="00F00C70">
        <w:rPr>
          <w:shd w:val="clear" w:color="auto" w:fill="FFFFFF"/>
        </w:rPr>
        <w:t>Footnote 6: “As noted above, we previously apprehended that Louisiana’s professional rescuer’s doctrine might apply here and bar Doe’s negligence claim….  But on certification, the Supreme Court of Louisiana held that the doctrine has been ‘abrogated in Louisiana both legislatively and jurisprudentially’ … As such, the doctrine poses no bar to Doe’s recovery here.”</w:t>
      </w:r>
    </w:p>
    <w:p w14:paraId="47EF8278" w14:textId="77777777" w:rsidR="00FC09B8" w:rsidRDefault="00FC09B8" w:rsidP="00F326E5">
      <w:pPr>
        <w:pStyle w:val="NoSpacing"/>
        <w:rPr>
          <w:rFonts w:ascii="Arial Black" w:hAnsi="Arial Black"/>
          <w:sz w:val="28"/>
          <w:szCs w:val="28"/>
        </w:rPr>
      </w:pPr>
    </w:p>
    <w:p w14:paraId="24D5A8D6" w14:textId="77777777" w:rsidR="00A755CA" w:rsidRDefault="00A755CA" w:rsidP="00F326E5">
      <w:pPr>
        <w:pStyle w:val="NoSpacing"/>
        <w:rPr>
          <w:rFonts w:ascii="Arial Black" w:hAnsi="Arial Black"/>
          <w:sz w:val="28"/>
          <w:szCs w:val="28"/>
        </w:rPr>
      </w:pPr>
    </w:p>
    <w:p w14:paraId="61108D85" w14:textId="17F4DDD5" w:rsidR="00E858DE" w:rsidRDefault="00E858DE" w:rsidP="00F326E5">
      <w:pPr>
        <w:pStyle w:val="NoSpacing"/>
        <w:rPr>
          <w:rFonts w:ascii="Arial Black" w:hAnsi="Arial Black"/>
          <w:sz w:val="28"/>
          <w:szCs w:val="28"/>
        </w:rPr>
      </w:pPr>
      <w:r>
        <w:rPr>
          <w:rFonts w:ascii="Arial Black" w:hAnsi="Arial Black"/>
          <w:sz w:val="28"/>
          <w:szCs w:val="28"/>
        </w:rPr>
        <w:t>3-6</w:t>
      </w:r>
      <w:r w:rsidR="00ED4EAF">
        <w:rPr>
          <w:rFonts w:ascii="Arial Black" w:hAnsi="Arial Black"/>
          <w:sz w:val="28"/>
          <w:szCs w:val="28"/>
        </w:rPr>
        <w:t>3</w:t>
      </w:r>
    </w:p>
    <w:p w14:paraId="1D109C5F" w14:textId="77777777" w:rsidR="00E75F2A" w:rsidRDefault="00E75F2A" w:rsidP="00E75F2A">
      <w:pPr>
        <w:pStyle w:val="NormalWeb"/>
        <w:rPr>
          <w:rFonts w:ascii="Arial Black" w:hAnsi="Arial Black"/>
          <w:sz w:val="28"/>
          <w:szCs w:val="28"/>
        </w:rPr>
      </w:pPr>
      <w:r>
        <w:rPr>
          <w:rFonts w:ascii="Arial Black" w:hAnsi="Arial Black"/>
          <w:sz w:val="28"/>
          <w:szCs w:val="28"/>
        </w:rPr>
        <w:t>U.S. SUP. CT:  PARKLAND SHOOTING – NRA CAN SUE STATE OF NY – 1</w:t>
      </w:r>
      <w:r w:rsidRPr="00EC6994">
        <w:rPr>
          <w:rFonts w:ascii="Arial Black" w:hAnsi="Arial Black"/>
          <w:sz w:val="28"/>
          <w:szCs w:val="28"/>
          <w:vertAlign w:val="superscript"/>
        </w:rPr>
        <w:t>st</w:t>
      </w:r>
      <w:r>
        <w:rPr>
          <w:rFonts w:ascii="Arial Black" w:hAnsi="Arial Black"/>
          <w:sz w:val="28"/>
          <w:szCs w:val="28"/>
        </w:rPr>
        <w:t xml:space="preserve"> AMEND – TOLD INSUR. COMPANYS DROP NRA </w:t>
      </w:r>
    </w:p>
    <w:p w14:paraId="5657AEBD" w14:textId="77777777" w:rsidR="009334CD" w:rsidRDefault="00E75F2A" w:rsidP="00E75F2A">
      <w:pPr>
        <w:pStyle w:val="NormalWeb"/>
      </w:pPr>
      <w:r>
        <w:t xml:space="preserve">On May 30, 2024, </w:t>
      </w:r>
      <w:r w:rsidRPr="0021798A">
        <w:rPr>
          <w:u w:val="single"/>
        </w:rPr>
        <w:t>in National Rifle Association v.  Vullo</w:t>
      </w:r>
      <w:r>
        <w:t xml:space="preserve"> (Maria Vullo, former Superintendent of the New York Department of Financial Services), the U.S. Supreme Court held (9 to 0) that NRA’s lawsuit for alleged violation of First Amendment shall be reinstated and proceed to pre-trial discovery, thereby reversing U.S. Court of Appeals for 2</w:t>
      </w:r>
      <w:r w:rsidRPr="008820A5">
        <w:rPr>
          <w:vertAlign w:val="superscript"/>
        </w:rPr>
        <w:t>nd</w:t>
      </w:r>
      <w:r>
        <w:t xml:space="preserve"> Circuit which had ordered case dismissed.  In 2017, a gun-control advocacy group had advised Vullo that insurance companies in New York were illegally insuring NRA members who purchased “Carry Guard” that they would be insured even for intentional criminal acts; Vullo opened an investigation of two insurance companies (who were fined and cancelled their policies).  On Feb. 14, 2018, February 14, 2018, a gunman opened fire at Marjory Stoneman Douglas High School, murdering 17 students and staff members.  The </w:t>
      </w:r>
      <w:r>
        <w:lastRenderedPageBreak/>
        <w:t xml:space="preserve">Governor and Vullo then started warning NY insurance companies to not insure NRA, including a “private meeting” by Vullo with insurance executives.  </w:t>
      </w:r>
    </w:p>
    <w:p w14:paraId="6CB42823" w14:textId="68350D17" w:rsidR="009334CD" w:rsidRDefault="009334CD" w:rsidP="00E75F2A">
      <w:pPr>
        <w:pStyle w:val="NormalWeb"/>
      </w:pPr>
      <w:r>
        <w:t xml:space="preserve">THE COURT HELD: </w:t>
      </w:r>
    </w:p>
    <w:p w14:paraId="7032A1F9" w14:textId="77777777" w:rsidR="00E75F2A" w:rsidRDefault="00E75F2A" w:rsidP="00E75F2A">
      <w:pPr>
        <w:pStyle w:val="NoSpacing"/>
        <w:ind w:left="720"/>
        <w:rPr>
          <w:rFonts w:ascii="Times New Roman" w:hAnsi="Times New Roman"/>
          <w:sz w:val="24"/>
          <w:szCs w:val="24"/>
          <w:shd w:val="clear" w:color="auto" w:fill="FFFFFF"/>
        </w:rPr>
      </w:pPr>
      <w:r>
        <w:rPr>
          <w:rFonts w:ascii="Times New Roman" w:hAnsi="Times New Roman"/>
          <w:sz w:val="24"/>
          <w:szCs w:val="24"/>
          <w:shd w:val="clear" w:color="auto" w:fill="FFFFFF"/>
        </w:rPr>
        <w:t>“</w:t>
      </w:r>
      <w:r w:rsidRPr="00506708">
        <w:rPr>
          <w:rFonts w:ascii="Times New Roman" w:hAnsi="Times New Roman"/>
          <w:sz w:val="24"/>
          <w:szCs w:val="24"/>
          <w:shd w:val="clear" w:color="auto" w:fill="FFFFFF"/>
        </w:rPr>
        <w:t>As discussed below, Vullo was free to criticize the NRA</w:t>
      </w:r>
      <w:r>
        <w:rPr>
          <w:rFonts w:ascii="Times New Roman" w:hAnsi="Times New Roman"/>
          <w:sz w:val="24"/>
          <w:szCs w:val="24"/>
          <w:shd w:val="clear" w:color="auto" w:fill="FFFFFF"/>
        </w:rPr>
        <w:t xml:space="preserve"> </w:t>
      </w:r>
      <w:r w:rsidRPr="00506708">
        <w:rPr>
          <w:rFonts w:ascii="Times New Roman" w:hAnsi="Times New Roman"/>
          <w:sz w:val="24"/>
          <w:szCs w:val="24"/>
          <w:shd w:val="clear" w:color="auto" w:fill="FFFFFF"/>
        </w:rPr>
        <w:t>and pursue the conceded violations of New York insurance</w:t>
      </w:r>
      <w:r>
        <w:rPr>
          <w:rFonts w:ascii="Times New Roman" w:hAnsi="Times New Roman"/>
          <w:sz w:val="24"/>
          <w:szCs w:val="24"/>
          <w:shd w:val="clear" w:color="auto" w:fill="FFFFFF"/>
        </w:rPr>
        <w:t xml:space="preserve"> </w:t>
      </w:r>
      <w:r w:rsidRPr="00506708">
        <w:rPr>
          <w:rFonts w:ascii="Times New Roman" w:hAnsi="Times New Roman"/>
          <w:sz w:val="24"/>
          <w:szCs w:val="24"/>
          <w:shd w:val="clear" w:color="auto" w:fill="FFFFFF"/>
        </w:rPr>
        <w:t>law. She could not wield her power, however, to threaten</w:t>
      </w:r>
      <w:r>
        <w:rPr>
          <w:rFonts w:ascii="Times New Roman" w:hAnsi="Times New Roman"/>
          <w:sz w:val="24"/>
          <w:szCs w:val="24"/>
          <w:shd w:val="clear" w:color="auto" w:fill="FFFFFF"/>
        </w:rPr>
        <w:t xml:space="preserve"> </w:t>
      </w:r>
      <w:r w:rsidRPr="00506708">
        <w:rPr>
          <w:rFonts w:ascii="Times New Roman" w:hAnsi="Times New Roman"/>
          <w:sz w:val="24"/>
          <w:szCs w:val="24"/>
          <w:shd w:val="clear" w:color="auto" w:fill="FFFFFF"/>
        </w:rPr>
        <w:t xml:space="preserve">enforcement actions against DFS-regulated entities </w:t>
      </w:r>
      <w:proofErr w:type="gramStart"/>
      <w:r w:rsidRPr="00506708">
        <w:rPr>
          <w:rFonts w:ascii="Times New Roman" w:hAnsi="Times New Roman"/>
          <w:sz w:val="24"/>
          <w:szCs w:val="24"/>
          <w:shd w:val="clear" w:color="auto" w:fill="FFFFFF"/>
        </w:rPr>
        <w:t>in order to</w:t>
      </w:r>
      <w:proofErr w:type="gramEnd"/>
      <w:r w:rsidRPr="00506708">
        <w:rPr>
          <w:rFonts w:ascii="Times New Roman" w:hAnsi="Times New Roman"/>
          <w:sz w:val="24"/>
          <w:szCs w:val="24"/>
          <w:shd w:val="clear" w:color="auto" w:fill="FFFFFF"/>
        </w:rPr>
        <w:t xml:space="preserve"> punish or suppress the NRA’s gun-promotion advocacy. Because the complaint plausibly alleges that Vullo</w:t>
      </w:r>
      <w:r>
        <w:rPr>
          <w:rFonts w:ascii="Times New Roman" w:hAnsi="Times New Roman"/>
          <w:sz w:val="24"/>
          <w:szCs w:val="24"/>
          <w:shd w:val="clear" w:color="auto" w:fill="FFFFFF"/>
        </w:rPr>
        <w:t xml:space="preserve"> </w:t>
      </w:r>
      <w:r w:rsidRPr="00506708">
        <w:rPr>
          <w:rFonts w:ascii="Times New Roman" w:hAnsi="Times New Roman"/>
          <w:sz w:val="24"/>
          <w:szCs w:val="24"/>
          <w:shd w:val="clear" w:color="auto" w:fill="FFFFFF"/>
        </w:rPr>
        <w:t>did just that, the Court holds that the NRA stated a First</w:t>
      </w:r>
      <w:r>
        <w:rPr>
          <w:rFonts w:ascii="Times New Roman" w:hAnsi="Times New Roman"/>
          <w:sz w:val="24"/>
          <w:szCs w:val="24"/>
          <w:shd w:val="clear" w:color="auto" w:fill="FFFFFF"/>
        </w:rPr>
        <w:t xml:space="preserve"> </w:t>
      </w:r>
      <w:r w:rsidRPr="00506708">
        <w:rPr>
          <w:rFonts w:ascii="Times New Roman" w:hAnsi="Times New Roman"/>
          <w:sz w:val="24"/>
          <w:szCs w:val="24"/>
          <w:shd w:val="clear" w:color="auto" w:fill="FFFFFF"/>
        </w:rPr>
        <w:t>Amendment violation.</w:t>
      </w:r>
    </w:p>
    <w:p w14:paraId="617CB12F" w14:textId="77777777" w:rsidR="00E75F2A" w:rsidRDefault="00E75F2A" w:rsidP="00E75F2A">
      <w:pPr>
        <w:pStyle w:val="NoSpacing"/>
        <w:rPr>
          <w:rFonts w:ascii="Times New Roman" w:hAnsi="Times New Roman"/>
          <w:sz w:val="24"/>
          <w:szCs w:val="24"/>
          <w:shd w:val="clear" w:color="auto" w:fill="FFFFFF"/>
        </w:rPr>
      </w:pPr>
    </w:p>
    <w:p w14:paraId="07A64F4A" w14:textId="77777777" w:rsidR="00E75F2A" w:rsidRDefault="00E75F2A" w:rsidP="00E75F2A">
      <w:pPr>
        <w:pStyle w:val="NoSpacing"/>
        <w:ind w:firstLine="720"/>
        <w:rPr>
          <w:rFonts w:ascii="Times New Roman" w:hAnsi="Times New Roman"/>
          <w:sz w:val="24"/>
          <w:szCs w:val="24"/>
          <w:shd w:val="clear" w:color="auto" w:fill="FFFFFF"/>
        </w:rPr>
      </w:pPr>
      <w:r>
        <w:rPr>
          <w:rFonts w:ascii="Times New Roman" w:hAnsi="Times New Roman"/>
          <w:sz w:val="24"/>
          <w:szCs w:val="24"/>
          <w:shd w:val="clear" w:color="auto" w:fill="FFFFFF"/>
        </w:rPr>
        <w:t>***</w:t>
      </w:r>
    </w:p>
    <w:p w14:paraId="123C7CFD" w14:textId="77777777" w:rsidR="00E75F2A" w:rsidRPr="00DC0294" w:rsidRDefault="00E75F2A" w:rsidP="00E75F2A">
      <w:pPr>
        <w:pStyle w:val="NoSpacing"/>
        <w:ind w:left="720"/>
        <w:rPr>
          <w:rFonts w:ascii="Times New Roman" w:hAnsi="Times New Roman"/>
          <w:sz w:val="24"/>
          <w:szCs w:val="24"/>
          <w:shd w:val="clear" w:color="auto" w:fill="FFFFFF"/>
        </w:rPr>
      </w:pPr>
      <w:r w:rsidRPr="00DC0294">
        <w:rPr>
          <w:rFonts w:ascii="Times New Roman" w:hAnsi="Times New Roman"/>
          <w:sz w:val="24"/>
          <w:szCs w:val="24"/>
          <w:shd w:val="clear" w:color="auto" w:fill="FFFFFF"/>
        </w:rPr>
        <w:t>For the reasons discussed above, the Court holds that the</w:t>
      </w:r>
      <w:r>
        <w:rPr>
          <w:rFonts w:ascii="Times New Roman" w:hAnsi="Times New Roman"/>
          <w:sz w:val="24"/>
          <w:szCs w:val="24"/>
          <w:shd w:val="clear" w:color="auto" w:fill="FFFFFF"/>
        </w:rPr>
        <w:t xml:space="preserve"> </w:t>
      </w:r>
      <w:r w:rsidRPr="00DC0294">
        <w:rPr>
          <w:rFonts w:ascii="Times New Roman" w:hAnsi="Times New Roman"/>
          <w:sz w:val="24"/>
          <w:szCs w:val="24"/>
          <w:shd w:val="clear" w:color="auto" w:fill="FFFFFF"/>
        </w:rPr>
        <w:t xml:space="preserve">NRA plausibly alleged that Vullo violated the First Amendment by coercing DFS-regulated entities to terminate </w:t>
      </w:r>
      <w:proofErr w:type="gramStart"/>
      <w:r w:rsidRPr="00DC0294">
        <w:rPr>
          <w:rFonts w:ascii="Times New Roman" w:hAnsi="Times New Roman"/>
          <w:sz w:val="24"/>
          <w:szCs w:val="24"/>
          <w:shd w:val="clear" w:color="auto" w:fill="FFFFFF"/>
        </w:rPr>
        <w:t>their</w:t>
      </w:r>
      <w:proofErr w:type="gramEnd"/>
    </w:p>
    <w:p w14:paraId="3593A4BE" w14:textId="77777777" w:rsidR="00E75F2A" w:rsidRDefault="00E75F2A" w:rsidP="00E75F2A">
      <w:pPr>
        <w:pStyle w:val="NoSpacing"/>
        <w:ind w:left="720"/>
        <w:rPr>
          <w:rFonts w:ascii="Times New Roman" w:hAnsi="Times New Roman"/>
          <w:sz w:val="24"/>
          <w:szCs w:val="24"/>
          <w:shd w:val="clear" w:color="auto" w:fill="FFFFFF"/>
        </w:rPr>
      </w:pPr>
      <w:r w:rsidRPr="00DC0294">
        <w:rPr>
          <w:rFonts w:ascii="Times New Roman" w:hAnsi="Times New Roman"/>
          <w:sz w:val="24"/>
          <w:szCs w:val="24"/>
          <w:shd w:val="clear" w:color="auto" w:fill="FFFFFF"/>
        </w:rPr>
        <w:t xml:space="preserve">business relationships with the NRA </w:t>
      </w:r>
      <w:proofErr w:type="gramStart"/>
      <w:r w:rsidRPr="00DC0294">
        <w:rPr>
          <w:rFonts w:ascii="Times New Roman" w:hAnsi="Times New Roman"/>
          <w:sz w:val="24"/>
          <w:szCs w:val="24"/>
          <w:shd w:val="clear" w:color="auto" w:fill="FFFFFF"/>
        </w:rPr>
        <w:t>in order to</w:t>
      </w:r>
      <w:proofErr w:type="gramEnd"/>
      <w:r w:rsidRPr="00DC0294">
        <w:rPr>
          <w:rFonts w:ascii="Times New Roman" w:hAnsi="Times New Roman"/>
          <w:sz w:val="24"/>
          <w:szCs w:val="24"/>
          <w:shd w:val="clear" w:color="auto" w:fill="FFFFFF"/>
        </w:rPr>
        <w:t xml:space="preserve"> punish or</w:t>
      </w:r>
      <w:r>
        <w:rPr>
          <w:rFonts w:ascii="Times New Roman" w:hAnsi="Times New Roman"/>
          <w:sz w:val="24"/>
          <w:szCs w:val="24"/>
          <w:shd w:val="clear" w:color="auto" w:fill="FFFFFF"/>
        </w:rPr>
        <w:t xml:space="preserve"> </w:t>
      </w:r>
      <w:r w:rsidRPr="00DC0294">
        <w:rPr>
          <w:rFonts w:ascii="Times New Roman" w:hAnsi="Times New Roman"/>
          <w:sz w:val="24"/>
          <w:szCs w:val="24"/>
          <w:shd w:val="clear" w:color="auto" w:fill="FFFFFF"/>
        </w:rPr>
        <w:t>suppress the NRA’s advocacy.</w:t>
      </w:r>
      <w:r>
        <w:rPr>
          <w:rFonts w:ascii="Times New Roman" w:hAnsi="Times New Roman"/>
          <w:sz w:val="24"/>
          <w:szCs w:val="24"/>
          <w:shd w:val="clear" w:color="auto" w:fill="FFFFFF"/>
        </w:rPr>
        <w:t>”</w:t>
      </w:r>
      <w:r w:rsidRPr="00B8727E">
        <w:t xml:space="preserve"> </w:t>
      </w:r>
      <w:hyperlink r:id="rId694" w:history="1">
        <w:r w:rsidRPr="00220336">
          <w:rPr>
            <w:rStyle w:val="Hyperlink"/>
            <w:rFonts w:ascii="Times New Roman" w:hAnsi="Times New Roman"/>
            <w:sz w:val="24"/>
            <w:szCs w:val="24"/>
            <w:shd w:val="clear" w:color="auto" w:fill="FFFFFF"/>
          </w:rPr>
          <w:t>https://www.supremecourt.gov/opinions/23pdf/22-842_6kg7.pdf</w:t>
        </w:r>
      </w:hyperlink>
      <w:r>
        <w:rPr>
          <w:rFonts w:ascii="Times New Roman" w:hAnsi="Times New Roman"/>
          <w:sz w:val="24"/>
          <w:szCs w:val="24"/>
          <w:shd w:val="clear" w:color="auto" w:fill="FFFFFF"/>
        </w:rPr>
        <w:t xml:space="preserve"> </w:t>
      </w:r>
    </w:p>
    <w:p w14:paraId="047BD114" w14:textId="77777777" w:rsidR="00E75F2A" w:rsidRDefault="00E75F2A" w:rsidP="00F326E5">
      <w:pPr>
        <w:pStyle w:val="NoSpacing"/>
        <w:rPr>
          <w:rFonts w:ascii="Arial Black" w:hAnsi="Arial Black"/>
          <w:sz w:val="28"/>
          <w:szCs w:val="28"/>
        </w:rPr>
      </w:pPr>
    </w:p>
    <w:p w14:paraId="099758B6" w14:textId="77777777" w:rsidR="003F14B8" w:rsidRPr="00A63606" w:rsidRDefault="003F14B8" w:rsidP="003F14B8">
      <w:pPr>
        <w:pStyle w:val="NoSpacing"/>
        <w:rPr>
          <w:rFonts w:ascii="Times New Roman" w:hAnsi="Times New Roman"/>
          <w:b/>
          <w:bCs/>
          <w:sz w:val="24"/>
          <w:szCs w:val="24"/>
          <w:shd w:val="clear" w:color="auto" w:fill="FFFFFF"/>
        </w:rPr>
      </w:pPr>
      <w:r w:rsidRPr="00A63606">
        <w:rPr>
          <w:rFonts w:ascii="Times New Roman" w:hAnsi="Times New Roman"/>
          <w:b/>
          <w:bCs/>
          <w:sz w:val="24"/>
          <w:szCs w:val="24"/>
          <w:shd w:val="clear" w:color="auto" w:fill="FFFFFF"/>
        </w:rPr>
        <w:t>Legal Lesson Learned:</w:t>
      </w:r>
      <w:r>
        <w:rPr>
          <w:rFonts w:ascii="Times New Roman" w:hAnsi="Times New Roman"/>
          <w:b/>
          <w:bCs/>
          <w:sz w:val="24"/>
          <w:szCs w:val="24"/>
          <w:shd w:val="clear" w:color="auto" w:fill="FFFFFF"/>
        </w:rPr>
        <w:t xml:space="preserve"> This unanimous First Amendment decision will undoubtedly lead to other cases against government officials; fire code enforcers should use great care in publicly discussing targets of investigation. </w:t>
      </w:r>
    </w:p>
    <w:p w14:paraId="79271AA2" w14:textId="77777777" w:rsidR="00E858DE" w:rsidRDefault="00E858DE" w:rsidP="00F326E5">
      <w:pPr>
        <w:pStyle w:val="NoSpacing"/>
        <w:rPr>
          <w:rFonts w:ascii="Arial Black" w:hAnsi="Arial Black"/>
          <w:sz w:val="28"/>
          <w:szCs w:val="28"/>
        </w:rPr>
      </w:pPr>
    </w:p>
    <w:p w14:paraId="63F500A9" w14:textId="77777777" w:rsidR="00E858DE" w:rsidRDefault="00E858DE" w:rsidP="00F326E5">
      <w:pPr>
        <w:pStyle w:val="NoSpacing"/>
        <w:rPr>
          <w:rFonts w:ascii="Arial Black" w:hAnsi="Arial Black"/>
          <w:sz w:val="28"/>
          <w:szCs w:val="28"/>
        </w:rPr>
      </w:pPr>
    </w:p>
    <w:p w14:paraId="03437754" w14:textId="77777777" w:rsidR="00E858DE" w:rsidRDefault="00E858DE" w:rsidP="00F326E5">
      <w:pPr>
        <w:pStyle w:val="NoSpacing"/>
        <w:rPr>
          <w:rFonts w:ascii="Arial Black" w:hAnsi="Arial Black"/>
          <w:sz w:val="28"/>
          <w:szCs w:val="28"/>
        </w:rPr>
      </w:pPr>
    </w:p>
    <w:p w14:paraId="29BCA901" w14:textId="742F2452" w:rsidR="00683F2A" w:rsidRDefault="00683F2A" w:rsidP="00F326E5">
      <w:pPr>
        <w:pStyle w:val="NoSpacing"/>
        <w:rPr>
          <w:rFonts w:ascii="Arial Black" w:hAnsi="Arial Black"/>
          <w:sz w:val="28"/>
          <w:szCs w:val="28"/>
        </w:rPr>
      </w:pPr>
      <w:r>
        <w:rPr>
          <w:rFonts w:ascii="Arial Black" w:hAnsi="Arial Black"/>
          <w:sz w:val="28"/>
          <w:szCs w:val="28"/>
        </w:rPr>
        <w:t>3-6</w:t>
      </w:r>
      <w:r w:rsidR="00ED4EAF">
        <w:rPr>
          <w:rFonts w:ascii="Arial Black" w:hAnsi="Arial Black"/>
          <w:sz w:val="28"/>
          <w:szCs w:val="28"/>
        </w:rPr>
        <w:t>2</w:t>
      </w:r>
    </w:p>
    <w:p w14:paraId="780A2029" w14:textId="77777777" w:rsidR="00E858DE" w:rsidRDefault="00E858DE" w:rsidP="00683F2A">
      <w:pPr>
        <w:pStyle w:val="NormalWeb"/>
        <w:spacing w:before="0" w:beforeAutospacing="0"/>
        <w:rPr>
          <w:rFonts w:ascii="Arial Black" w:hAnsi="Arial Black"/>
          <w:b/>
          <w:bCs/>
          <w:color w:val="454545"/>
          <w:sz w:val="28"/>
          <w:szCs w:val="28"/>
          <w:shd w:val="clear" w:color="auto" w:fill="FFFFFF"/>
        </w:rPr>
      </w:pPr>
    </w:p>
    <w:p w14:paraId="68C07340" w14:textId="54FFE53C" w:rsidR="00683F2A" w:rsidRDefault="00683F2A" w:rsidP="00683F2A">
      <w:pPr>
        <w:pStyle w:val="NormalWeb"/>
        <w:spacing w:before="0" w:beforeAutospacing="0"/>
        <w:rPr>
          <w:rFonts w:ascii="Arial Black" w:hAnsi="Arial Black"/>
          <w:b/>
          <w:bCs/>
          <w:color w:val="454545"/>
          <w:sz w:val="28"/>
          <w:szCs w:val="28"/>
          <w:shd w:val="clear" w:color="auto" w:fill="FFFFFF"/>
        </w:rPr>
      </w:pPr>
      <w:r>
        <w:rPr>
          <w:rFonts w:ascii="Arial Black" w:hAnsi="Arial Black"/>
          <w:b/>
          <w:bCs/>
          <w:color w:val="454545"/>
          <w:sz w:val="28"/>
          <w:szCs w:val="28"/>
          <w:shd w:val="clear" w:color="auto" w:fill="FFFFFF"/>
        </w:rPr>
        <w:t xml:space="preserve">DC:  RETIRED NY COP - TRUMP RALLY /  U.S. CAPITOL - ATTACKED PD – WORE BODY ARMOR - 10-YRS PRISON </w:t>
      </w:r>
    </w:p>
    <w:p w14:paraId="3A124D12" w14:textId="77777777" w:rsidR="00683F2A" w:rsidRDefault="00683F2A" w:rsidP="00683F2A">
      <w:pPr>
        <w:pStyle w:val="NormalWeb"/>
        <w:spacing w:before="0" w:beforeAutospacing="0"/>
        <w:rPr>
          <w:color w:val="454545"/>
          <w:shd w:val="clear" w:color="auto" w:fill="FFFFFF"/>
        </w:rPr>
      </w:pPr>
      <w:r w:rsidRPr="00C01682">
        <w:rPr>
          <w:color w:val="454545"/>
          <w:shd w:val="clear" w:color="auto" w:fill="FFFFFF"/>
        </w:rPr>
        <w:t xml:space="preserve">On May 28, 2024, in </w:t>
      </w:r>
      <w:r w:rsidRPr="00C01682">
        <w:rPr>
          <w:color w:val="454545"/>
          <w:u w:val="single"/>
          <w:shd w:val="clear" w:color="auto" w:fill="FFFFFF"/>
        </w:rPr>
        <w:t>United States of America v. Thomas Webster</w:t>
      </w:r>
      <w:r w:rsidRPr="00C01682">
        <w:rPr>
          <w:color w:val="454545"/>
          <w:shd w:val="clear" w:color="auto" w:fill="FFFFFF"/>
        </w:rPr>
        <w:t xml:space="preserve">, </w:t>
      </w:r>
      <w:r>
        <w:rPr>
          <w:color w:val="454545"/>
          <w:shd w:val="clear" w:color="auto" w:fill="FFFFFF"/>
        </w:rPr>
        <w:t>the U.S. Court of Appeals for the District of Columbia Circuit held (3 to 0) that jury conviction of five felonies, and judge’s sentence of 10 years in prison, is confirmed. The Court held:</w:t>
      </w:r>
    </w:p>
    <w:p w14:paraId="6B2377D0" w14:textId="77777777" w:rsidR="00683F2A" w:rsidRDefault="00683F2A" w:rsidP="00683F2A">
      <w:pPr>
        <w:pStyle w:val="NormalWeb"/>
        <w:spacing w:before="0" w:beforeAutospacing="0"/>
        <w:ind w:left="720" w:firstLine="60"/>
      </w:pPr>
      <w:r>
        <w:rPr>
          <w:color w:val="454545"/>
          <w:shd w:val="clear" w:color="auto" w:fill="FFFFFF"/>
        </w:rPr>
        <w:t>“</w:t>
      </w:r>
      <w:r>
        <w:t xml:space="preserve">Thomas Webster attended former-President Trump's rally on January 6, 2021, and then went to the Capitol. Upon arriving, Webster confronted a line of police officers and violently assaulted Officer Rathbun of the Metropolitan Police Department. A jury convicted Webster of five felonies and one misdemeanor offense. The district court imposed a ten-year prison sentence. Webster appeals, raising challenges both to his convictions and his sentence. We have considered each of Webster's challenges and, because none of them succeed, we affirm his convictions and sentence. … Turning to Webster's sentence, he challenges the district court's inclusion of a four-level, use-of-body-armor enhancement. He also argues that the length of his sentence was substantively unreasonable as compared to other January 6th defendants. Neither of those arguments succeeds.” </w:t>
      </w:r>
      <w:hyperlink r:id="rId695" w:history="1">
        <w:r w:rsidRPr="00F80308">
          <w:rPr>
            <w:rStyle w:val="Hyperlink"/>
          </w:rPr>
          <w:t>https://cases.justia.com/federal/appellate-courts/cadc/22-3064/22-3064-2024-05-28.pdf?ts=1716910338</w:t>
        </w:r>
      </w:hyperlink>
      <w:r>
        <w:t xml:space="preserve"> </w:t>
      </w:r>
    </w:p>
    <w:p w14:paraId="3E8B7F5C" w14:textId="77777777" w:rsidR="00E858DE" w:rsidRPr="00A474FA" w:rsidRDefault="00E858DE" w:rsidP="00E858DE">
      <w:pPr>
        <w:pStyle w:val="NormalWeb"/>
        <w:rPr>
          <w:b/>
          <w:bCs/>
        </w:rPr>
      </w:pPr>
      <w:r>
        <w:rPr>
          <w:b/>
          <w:bCs/>
        </w:rPr>
        <w:t xml:space="preserve">Legal Lesson Learned:  Federal Sentencing Guidelines authorizes an enhanced sentence for defendants who wear body armor. </w:t>
      </w:r>
    </w:p>
    <w:p w14:paraId="04A16425" w14:textId="77777777" w:rsidR="00E858DE" w:rsidRDefault="00E858DE" w:rsidP="00683F2A">
      <w:pPr>
        <w:pStyle w:val="NormalWeb"/>
        <w:spacing w:before="0" w:beforeAutospacing="0"/>
        <w:ind w:left="720" w:firstLine="60"/>
      </w:pPr>
    </w:p>
    <w:p w14:paraId="60C9C348" w14:textId="77777777" w:rsidR="00683F2A" w:rsidRDefault="00683F2A" w:rsidP="00F326E5">
      <w:pPr>
        <w:pStyle w:val="NoSpacing"/>
        <w:rPr>
          <w:rFonts w:ascii="Arial Black" w:hAnsi="Arial Black"/>
          <w:sz w:val="28"/>
          <w:szCs w:val="28"/>
        </w:rPr>
      </w:pPr>
    </w:p>
    <w:p w14:paraId="7EE4ADE4" w14:textId="77777777" w:rsidR="00683F2A" w:rsidRDefault="00683F2A" w:rsidP="00F326E5">
      <w:pPr>
        <w:pStyle w:val="NoSpacing"/>
        <w:rPr>
          <w:rFonts w:ascii="Arial Black" w:hAnsi="Arial Black"/>
          <w:sz w:val="28"/>
          <w:szCs w:val="28"/>
        </w:rPr>
      </w:pPr>
    </w:p>
    <w:p w14:paraId="02F18301" w14:textId="77777777" w:rsidR="00683F2A" w:rsidRDefault="00683F2A" w:rsidP="00F326E5">
      <w:pPr>
        <w:pStyle w:val="NoSpacing"/>
        <w:rPr>
          <w:rFonts w:ascii="Arial Black" w:hAnsi="Arial Black"/>
          <w:sz w:val="28"/>
          <w:szCs w:val="28"/>
        </w:rPr>
      </w:pPr>
    </w:p>
    <w:p w14:paraId="3008E96E" w14:textId="77777777" w:rsidR="00683F2A" w:rsidRDefault="00683F2A" w:rsidP="00F326E5">
      <w:pPr>
        <w:pStyle w:val="NoSpacing"/>
        <w:rPr>
          <w:rFonts w:ascii="Arial Black" w:hAnsi="Arial Black"/>
          <w:sz w:val="28"/>
          <w:szCs w:val="28"/>
        </w:rPr>
      </w:pPr>
    </w:p>
    <w:p w14:paraId="3F7C0957" w14:textId="06AB0F98" w:rsidR="005B72EF" w:rsidRDefault="005B72EF" w:rsidP="00F326E5">
      <w:pPr>
        <w:pStyle w:val="NoSpacing"/>
        <w:rPr>
          <w:rFonts w:ascii="Arial Black" w:hAnsi="Arial Black"/>
          <w:sz w:val="28"/>
          <w:szCs w:val="28"/>
        </w:rPr>
      </w:pPr>
      <w:r>
        <w:rPr>
          <w:rFonts w:ascii="Arial Black" w:hAnsi="Arial Black"/>
          <w:sz w:val="28"/>
          <w:szCs w:val="28"/>
        </w:rPr>
        <w:t>3-6</w:t>
      </w:r>
      <w:r w:rsidR="00ED4EAF">
        <w:rPr>
          <w:rFonts w:ascii="Arial Black" w:hAnsi="Arial Black"/>
          <w:sz w:val="28"/>
          <w:szCs w:val="28"/>
        </w:rPr>
        <w:t>1</w:t>
      </w:r>
    </w:p>
    <w:p w14:paraId="42D5DB61" w14:textId="77777777" w:rsidR="005B72EF" w:rsidRDefault="005B72EF" w:rsidP="00F326E5">
      <w:pPr>
        <w:pStyle w:val="NoSpacing"/>
        <w:rPr>
          <w:rFonts w:ascii="Arial Black" w:hAnsi="Arial Black"/>
          <w:sz w:val="28"/>
          <w:szCs w:val="28"/>
        </w:rPr>
      </w:pPr>
    </w:p>
    <w:p w14:paraId="38428E1A" w14:textId="77777777" w:rsidR="00C2103A" w:rsidRPr="005E3F54" w:rsidRDefault="00C2103A" w:rsidP="00C2103A">
      <w:pPr>
        <w:rPr>
          <w:rFonts w:ascii="Arial Black" w:hAnsi="Arial Black"/>
          <w:sz w:val="28"/>
          <w:szCs w:val="28"/>
        </w:rPr>
      </w:pPr>
      <w:r>
        <w:rPr>
          <w:rFonts w:ascii="Arial Black" w:hAnsi="Arial Black"/>
          <w:sz w:val="28"/>
          <w:szCs w:val="28"/>
        </w:rPr>
        <w:t>MA: FIREBOMB – CO</w:t>
      </w:r>
      <w:r>
        <w:rPr>
          <w:rFonts w:ascii="Arial Black" w:hAnsi="Arial Black"/>
          <w:sz w:val="28"/>
        </w:rPr>
        <w:t>N</w:t>
      </w:r>
      <w:r>
        <w:rPr>
          <w:rFonts w:ascii="Arial Black" w:hAnsi="Arial Black"/>
          <w:sz w:val="28"/>
          <w:szCs w:val="28"/>
        </w:rPr>
        <w:t>VICTION - GAS CAN NEAR JEWISH CENTER – BLOOD ON CAN / WICK / CHRISTIAN PAMPHLET</w:t>
      </w:r>
    </w:p>
    <w:p w14:paraId="40C36554" w14:textId="65CD2541" w:rsidR="005B72EF" w:rsidRDefault="005B72EF" w:rsidP="005B72EF">
      <w:pPr>
        <w:pStyle w:val="NormalWeb"/>
        <w:spacing w:before="0" w:beforeAutospacing="0"/>
      </w:pPr>
      <w:r>
        <w:t xml:space="preserve">On April 5, 2024, in </w:t>
      </w:r>
      <w:r w:rsidRPr="003E6799">
        <w:rPr>
          <w:u w:val="single"/>
        </w:rPr>
        <w:t>United States of America v. John Michael Rathbun</w:t>
      </w:r>
      <w:r>
        <w:t>, the U.S. Court of Appeals for the 1</w:t>
      </w:r>
      <w:r w:rsidRPr="003E6799">
        <w:rPr>
          <w:vertAlign w:val="superscript"/>
        </w:rPr>
        <w:t>st</w:t>
      </w:r>
      <w:r>
        <w:t xml:space="preserve"> District (Boston) held (3 to 0) reject his appeal from jury convictions, after two separate trials arising out of the bomb's discovery.  The defendant took the stand and testified – jury rejected his alibi. </w:t>
      </w:r>
      <w:hyperlink r:id="rId696" w:history="1">
        <w:r w:rsidRPr="0076603B">
          <w:rPr>
            <w:rStyle w:val="Hyperlink"/>
          </w:rPr>
          <w:t>https://caselaw.findlaw.com/court/us-1st-circuit/116020600.html</w:t>
        </w:r>
      </w:hyperlink>
      <w:r>
        <w:t xml:space="preserve"> </w:t>
      </w:r>
    </w:p>
    <w:p w14:paraId="23131478" w14:textId="77777777" w:rsidR="005B72EF" w:rsidRDefault="005B72EF" w:rsidP="005B72EF">
      <w:pPr>
        <w:pStyle w:val="NormalWeb"/>
        <w:spacing w:before="0" w:beforeAutospacing="0"/>
      </w:pPr>
      <w:r>
        <w:t>THE COURT HELD:</w:t>
      </w:r>
    </w:p>
    <w:p w14:paraId="2E0507FA" w14:textId="77777777" w:rsidR="005B72EF" w:rsidRDefault="005B72EF" w:rsidP="005B72EF">
      <w:pPr>
        <w:pStyle w:val="NormalWeb"/>
        <w:ind w:left="720"/>
      </w:pPr>
      <w:r>
        <w:t xml:space="preserve">“Contrary to Rathbun's protestations, the record shows that abundant evidence incriminated him, making the government's case against Rathbun quite strong. The government presented evidence, inter alia, about the fuel container itself and the recorded incriminating statements Rathbun made to his mother acknowledging his possession of it, Rathbun's cell phone location data on the date of the incident, Rathbun's DNA evidence from the fuel container and wick, and Rathbun's inculpatory admissions to investigators. The government also presented circumstantial evidence demonstrating Rathbun's access to the Steps to Peace with God tract and evidence that contradicted multiple statements Rathbun made during his interview with Agent McGonigle. Therefore, taking ‘the strength </w:t>
      </w:r>
      <w:r>
        <w:rPr>
          <w:rFonts w:ascii="Cambria Math" w:hAnsi="Cambria Math" w:cs="Cambria Math"/>
        </w:rPr>
        <w:t>․</w:t>
      </w:r>
      <w:r>
        <w:t xml:space="preserve"> of the government's evidence of guilt’ less the evidence of Rathbun's behavior at the Motel, we conclude that the admission of the evidence, even if error, was harmless.”</w:t>
      </w:r>
    </w:p>
    <w:p w14:paraId="622D7386" w14:textId="77777777" w:rsidR="005B72EF" w:rsidRDefault="005B72EF" w:rsidP="005B72EF">
      <w:pPr>
        <w:pStyle w:val="NormalWeb"/>
        <w:rPr>
          <w:b/>
          <w:bCs/>
        </w:rPr>
      </w:pPr>
      <w:r w:rsidRPr="00E9724E">
        <w:rPr>
          <w:b/>
          <w:bCs/>
        </w:rPr>
        <w:t>Legal Lesson Learned:</w:t>
      </w:r>
      <w:r>
        <w:rPr>
          <w:b/>
          <w:bCs/>
        </w:rPr>
        <w:t xml:space="preserve"> DNA evidence is very persuasive to a jury.</w:t>
      </w:r>
    </w:p>
    <w:p w14:paraId="04B5B659" w14:textId="77777777" w:rsidR="005B72EF" w:rsidRPr="00B80913" w:rsidRDefault="005B72EF" w:rsidP="005B72EF">
      <w:pPr>
        <w:pStyle w:val="NormalWeb"/>
      </w:pPr>
      <w:r>
        <w:rPr>
          <w:b/>
          <w:bCs/>
        </w:rPr>
        <w:tab/>
      </w:r>
      <w:r>
        <w:t xml:space="preserve">Note: The jury rejected the defendant’s alibi.  </w:t>
      </w:r>
    </w:p>
    <w:p w14:paraId="4A213691" w14:textId="77777777" w:rsidR="005B72EF" w:rsidRDefault="005B72EF" w:rsidP="005B72EF">
      <w:pPr>
        <w:pStyle w:val="NormalWeb"/>
        <w:ind w:left="720"/>
      </w:pPr>
      <w:r>
        <w:t>“Footnote 24: When opting to testify, in his own defense, Rathbun eventually acknowledged that he had earlier and likely found the yellow canister used to make the bomb at a job ‘cleanout’ in Chicopee, Massachusetts. At that job site, he had cut his hand on a metal shard, which explains the presence of his blood on the container. He contended that he (and an acquaintance) had illegally dumped the cleanout debris at a dumpster on Converse Street some days before the bomb was found. As for the bloody tract, he theorized that blood from his cut must have somehow transferred to a pamphlet he speculates his mother must have had in her car's cup holder, and that the pamphlet must have gotten jettisoned to the dumpster along with the fuel canister and other random debris. Continuing, he postulates some random third person -- someone very careful not to leave fingerprints, but crafty enough to leave incriminating blood evidence -- must have come along and fished the canister and the pamphlet out of the dumpster and used it to craft the destructive firebomb at the heart of this prosecution. As we said, this alternative explanation was seemingly a non-starter for the jury.”</w:t>
      </w:r>
    </w:p>
    <w:p w14:paraId="439AD9FA" w14:textId="77777777" w:rsidR="005B72EF" w:rsidRDefault="005B72EF" w:rsidP="00F326E5">
      <w:pPr>
        <w:pStyle w:val="NoSpacing"/>
        <w:rPr>
          <w:rFonts w:ascii="Arial Black" w:hAnsi="Arial Black"/>
          <w:sz w:val="28"/>
          <w:szCs w:val="28"/>
        </w:rPr>
      </w:pPr>
    </w:p>
    <w:p w14:paraId="6B4B4596" w14:textId="77777777" w:rsidR="005B72EF" w:rsidRDefault="005B72EF" w:rsidP="00F326E5">
      <w:pPr>
        <w:pStyle w:val="NoSpacing"/>
        <w:rPr>
          <w:rFonts w:ascii="Arial Black" w:hAnsi="Arial Black"/>
          <w:sz w:val="28"/>
          <w:szCs w:val="28"/>
        </w:rPr>
      </w:pPr>
    </w:p>
    <w:p w14:paraId="133B27B1" w14:textId="7FC16D0A" w:rsidR="00CB0F04" w:rsidRDefault="00CB0F04" w:rsidP="00F326E5">
      <w:pPr>
        <w:pStyle w:val="NoSpacing"/>
        <w:rPr>
          <w:rFonts w:ascii="Arial Black" w:hAnsi="Arial Black"/>
          <w:sz w:val="28"/>
          <w:szCs w:val="28"/>
        </w:rPr>
      </w:pPr>
      <w:r>
        <w:rPr>
          <w:rFonts w:ascii="Arial Black" w:hAnsi="Arial Black"/>
          <w:sz w:val="28"/>
          <w:szCs w:val="28"/>
        </w:rPr>
        <w:t>3-6</w:t>
      </w:r>
      <w:r w:rsidR="00ED4EAF">
        <w:rPr>
          <w:rFonts w:ascii="Arial Black" w:hAnsi="Arial Black"/>
          <w:sz w:val="28"/>
          <w:szCs w:val="28"/>
        </w:rPr>
        <w:t>0</w:t>
      </w:r>
    </w:p>
    <w:p w14:paraId="2C9A0879" w14:textId="77777777" w:rsidR="005B72EF" w:rsidRDefault="005B72EF" w:rsidP="00CB0F04">
      <w:pPr>
        <w:pStyle w:val="NormalWeb"/>
        <w:spacing w:before="0" w:beforeAutospacing="0"/>
        <w:rPr>
          <w:rFonts w:ascii="Arial Black" w:hAnsi="Arial Black"/>
          <w:b/>
          <w:bCs/>
          <w:color w:val="454545"/>
          <w:sz w:val="28"/>
          <w:szCs w:val="28"/>
          <w:shd w:val="clear" w:color="auto" w:fill="FFFFFF"/>
        </w:rPr>
      </w:pPr>
    </w:p>
    <w:p w14:paraId="3DFCB24E" w14:textId="35A240BB" w:rsidR="00CB0F04" w:rsidRDefault="00CB0F04" w:rsidP="00CB0F04">
      <w:pPr>
        <w:pStyle w:val="NormalWeb"/>
        <w:spacing w:before="0" w:beforeAutospacing="0"/>
        <w:rPr>
          <w:shd w:val="clear" w:color="auto" w:fill="FFFFFF"/>
        </w:rPr>
      </w:pPr>
      <w:r>
        <w:rPr>
          <w:rFonts w:ascii="Arial Black" w:hAnsi="Arial Black"/>
          <w:b/>
          <w:bCs/>
          <w:color w:val="454545"/>
          <w:sz w:val="28"/>
          <w:szCs w:val="28"/>
          <w:shd w:val="clear" w:color="auto" w:fill="FFFFFF"/>
        </w:rPr>
        <w:t xml:space="preserve">U.S. SUP. CT: MUSLIM REFUSED TO BE FBI INFORMANT – PLACED ON “NO-FLY LIST” – CASE MAY PROCEED </w:t>
      </w:r>
    </w:p>
    <w:p w14:paraId="565DEF49" w14:textId="77777777" w:rsidR="000A2B47" w:rsidRDefault="00CB0F04" w:rsidP="000A2B47">
      <w:pPr>
        <w:pStyle w:val="NoSpacing"/>
        <w:rPr>
          <w:rFonts w:ascii="Times New Roman" w:hAnsi="Times New Roman"/>
          <w:sz w:val="24"/>
          <w:szCs w:val="24"/>
          <w:shd w:val="clear" w:color="auto" w:fill="FFFFFF"/>
        </w:rPr>
      </w:pPr>
      <w:r>
        <w:rPr>
          <w:rFonts w:ascii="Times New Roman" w:hAnsi="Times New Roman"/>
          <w:sz w:val="24"/>
          <w:szCs w:val="24"/>
          <w:shd w:val="clear" w:color="auto" w:fill="FFFFFF"/>
        </w:rPr>
        <w:t xml:space="preserve">On March 19, 2024, in </w:t>
      </w:r>
      <w:r w:rsidRPr="006177DC">
        <w:rPr>
          <w:rFonts w:ascii="Times New Roman" w:hAnsi="Times New Roman"/>
          <w:sz w:val="24"/>
          <w:szCs w:val="24"/>
          <w:u w:val="single"/>
          <w:shd w:val="clear" w:color="auto" w:fill="FFFFFF"/>
        </w:rPr>
        <w:t>Federal Bureau of Investigations v. Yonas Fikre</w:t>
      </w:r>
      <w:r>
        <w:rPr>
          <w:rFonts w:ascii="Times New Roman" w:hAnsi="Times New Roman"/>
          <w:sz w:val="24"/>
          <w:szCs w:val="24"/>
          <w:shd w:val="clear" w:color="auto" w:fill="FFFFFF"/>
        </w:rPr>
        <w:t xml:space="preserve">, the U.S. Supreme Court held (9 to 0) that case is not moot just because he has been removed from No-Fly List; he still risks being placed back on the list at any time. </w:t>
      </w:r>
      <w:hyperlink r:id="rId697" w:history="1">
        <w:r w:rsidR="000A2B47" w:rsidRPr="00CD1DB0">
          <w:rPr>
            <w:rStyle w:val="Hyperlink"/>
            <w:rFonts w:ascii="Times New Roman" w:hAnsi="Times New Roman"/>
            <w:sz w:val="24"/>
            <w:szCs w:val="24"/>
            <w:shd w:val="clear" w:color="auto" w:fill="FFFFFF"/>
          </w:rPr>
          <w:t>https://www.supremecourt.gov/opinions/23pdf/22-1178_p8k0.pdf</w:t>
        </w:r>
      </w:hyperlink>
      <w:r w:rsidR="000A2B47">
        <w:rPr>
          <w:rFonts w:ascii="Times New Roman" w:hAnsi="Times New Roman"/>
          <w:sz w:val="24"/>
          <w:szCs w:val="24"/>
          <w:shd w:val="clear" w:color="auto" w:fill="FFFFFF"/>
        </w:rPr>
        <w:t xml:space="preserve"> </w:t>
      </w:r>
    </w:p>
    <w:p w14:paraId="225126C4" w14:textId="6CB1A573" w:rsidR="00CB0F04" w:rsidRDefault="00CB0F04" w:rsidP="00CB0F04">
      <w:pPr>
        <w:pStyle w:val="NoSpacing"/>
        <w:rPr>
          <w:rFonts w:ascii="Times New Roman" w:hAnsi="Times New Roman"/>
          <w:sz w:val="24"/>
          <w:szCs w:val="24"/>
          <w:shd w:val="clear" w:color="auto" w:fill="FFFFFF"/>
        </w:rPr>
      </w:pPr>
    </w:p>
    <w:p w14:paraId="0742F3A0" w14:textId="77777777" w:rsidR="003956F7" w:rsidRDefault="003956F7" w:rsidP="003956F7">
      <w:pPr>
        <w:pStyle w:val="NoSpacing"/>
        <w:rPr>
          <w:rFonts w:ascii="Times New Roman" w:hAnsi="Times New Roman"/>
          <w:sz w:val="24"/>
          <w:szCs w:val="24"/>
          <w:shd w:val="clear" w:color="auto" w:fill="FFFFFF"/>
        </w:rPr>
      </w:pPr>
    </w:p>
    <w:p w14:paraId="70BE32CB" w14:textId="0B0CDB3A" w:rsidR="003956F7" w:rsidRPr="004C0299" w:rsidRDefault="003956F7" w:rsidP="003956F7">
      <w:pPr>
        <w:pStyle w:val="NoSpacing"/>
        <w:rPr>
          <w:rFonts w:ascii="Times New Roman" w:hAnsi="Times New Roman"/>
          <w:sz w:val="24"/>
          <w:szCs w:val="24"/>
        </w:rPr>
      </w:pPr>
      <w:r>
        <w:rPr>
          <w:rFonts w:ascii="Times New Roman" w:hAnsi="Times New Roman"/>
          <w:sz w:val="24"/>
          <w:szCs w:val="24"/>
          <w:shd w:val="clear" w:color="auto" w:fill="FFFFFF"/>
        </w:rPr>
        <w:t>THE COURT HELD:</w:t>
      </w:r>
    </w:p>
    <w:p w14:paraId="408CB310" w14:textId="77777777" w:rsidR="003956F7" w:rsidRDefault="003956F7" w:rsidP="00CB0F04">
      <w:pPr>
        <w:pStyle w:val="NoSpacing"/>
        <w:rPr>
          <w:rFonts w:ascii="Times New Roman" w:hAnsi="Times New Roman"/>
          <w:sz w:val="24"/>
          <w:szCs w:val="24"/>
          <w:shd w:val="clear" w:color="auto" w:fill="FFFFFF"/>
        </w:rPr>
      </w:pPr>
    </w:p>
    <w:p w14:paraId="6E72B2C6" w14:textId="2E77E526" w:rsidR="00CB0F04" w:rsidRDefault="00CB0F04" w:rsidP="00CB0F04">
      <w:pPr>
        <w:pStyle w:val="NoSpacing"/>
        <w:ind w:left="720"/>
        <w:rPr>
          <w:rFonts w:ascii="Times New Roman" w:hAnsi="Times New Roman"/>
          <w:sz w:val="24"/>
          <w:szCs w:val="24"/>
          <w:shd w:val="clear" w:color="auto" w:fill="FFFFFF"/>
        </w:rPr>
      </w:pPr>
      <w:r>
        <w:rPr>
          <w:rFonts w:ascii="Times New Roman" w:hAnsi="Times New Roman"/>
          <w:sz w:val="24"/>
          <w:szCs w:val="24"/>
          <w:shd w:val="clear" w:color="auto" w:fill="FFFFFF"/>
        </w:rPr>
        <w:t>Justice Gorsuch wrote opinion:  “</w:t>
      </w:r>
      <w:r w:rsidRPr="002D2359">
        <w:rPr>
          <w:rFonts w:ascii="Times New Roman" w:hAnsi="Times New Roman"/>
          <w:sz w:val="24"/>
          <w:szCs w:val="24"/>
          <w:shd w:val="clear" w:color="auto" w:fill="FFFFFF"/>
        </w:rPr>
        <w:t xml:space="preserve">Yonas Fikre, a U. S. citizen, </w:t>
      </w:r>
      <w:proofErr w:type="gramStart"/>
      <w:r w:rsidRPr="002D2359">
        <w:rPr>
          <w:rFonts w:ascii="Times New Roman" w:hAnsi="Times New Roman"/>
          <w:sz w:val="24"/>
          <w:szCs w:val="24"/>
          <w:shd w:val="clear" w:color="auto" w:fill="FFFFFF"/>
        </w:rPr>
        <w:t>brought</w:t>
      </w:r>
      <w:r w:rsidR="007E2431">
        <w:rPr>
          <w:rFonts w:ascii="Times New Roman" w:hAnsi="Times New Roman"/>
          <w:sz w:val="24"/>
          <w:szCs w:val="24"/>
          <w:shd w:val="clear" w:color="auto" w:fill="FFFFFF"/>
        </w:rPr>
        <w:t xml:space="preserve"> </w:t>
      </w:r>
      <w:r w:rsidRPr="002D2359">
        <w:rPr>
          <w:rFonts w:ascii="Times New Roman" w:hAnsi="Times New Roman"/>
          <w:sz w:val="24"/>
          <w:szCs w:val="24"/>
          <w:shd w:val="clear" w:color="auto" w:fill="FFFFFF"/>
        </w:rPr>
        <w:t>suit</w:t>
      </w:r>
      <w:proofErr w:type="gramEnd"/>
      <w:r w:rsidRPr="002D2359">
        <w:rPr>
          <w:rFonts w:ascii="Times New Roman" w:hAnsi="Times New Roman"/>
          <w:sz w:val="24"/>
          <w:szCs w:val="24"/>
          <w:shd w:val="clear" w:color="auto" w:fill="FFFFFF"/>
        </w:rPr>
        <w:t xml:space="preserve"> alleging that the</w:t>
      </w:r>
      <w:r>
        <w:rPr>
          <w:rFonts w:ascii="Times New Roman" w:hAnsi="Times New Roman"/>
          <w:sz w:val="24"/>
          <w:szCs w:val="24"/>
          <w:shd w:val="clear" w:color="auto" w:fill="FFFFFF"/>
        </w:rPr>
        <w:t xml:space="preserve"> </w:t>
      </w:r>
      <w:r w:rsidRPr="002D2359">
        <w:rPr>
          <w:rFonts w:ascii="Times New Roman" w:hAnsi="Times New Roman"/>
          <w:sz w:val="24"/>
          <w:szCs w:val="24"/>
          <w:shd w:val="clear" w:color="auto" w:fill="FFFFFF"/>
        </w:rPr>
        <w:t>government placed him on the No</w:t>
      </w:r>
      <w:r>
        <w:rPr>
          <w:rFonts w:ascii="Times New Roman" w:hAnsi="Times New Roman"/>
          <w:sz w:val="24"/>
          <w:szCs w:val="24"/>
          <w:shd w:val="clear" w:color="auto" w:fill="FFFFFF"/>
        </w:rPr>
        <w:t>-</w:t>
      </w:r>
      <w:r w:rsidRPr="002D2359">
        <w:rPr>
          <w:rFonts w:ascii="Times New Roman" w:hAnsi="Times New Roman"/>
          <w:sz w:val="24"/>
          <w:szCs w:val="24"/>
          <w:shd w:val="clear" w:color="auto" w:fill="FFFFFF"/>
        </w:rPr>
        <w:t>Fly List unlawfully.</w:t>
      </w:r>
      <w:r>
        <w:rPr>
          <w:rFonts w:ascii="Times New Roman" w:hAnsi="Times New Roman"/>
          <w:sz w:val="24"/>
          <w:szCs w:val="24"/>
          <w:shd w:val="clear" w:color="auto" w:fill="FFFFFF"/>
        </w:rPr>
        <w:t xml:space="preserve"> </w:t>
      </w:r>
      <w:r w:rsidRPr="002D2359">
        <w:rPr>
          <w:rFonts w:ascii="Times New Roman" w:hAnsi="Times New Roman"/>
          <w:sz w:val="24"/>
          <w:szCs w:val="24"/>
          <w:shd w:val="clear" w:color="auto" w:fill="FFFFFF"/>
        </w:rPr>
        <w:t>Later, the government removed him from the list. The only</w:t>
      </w:r>
      <w:r>
        <w:rPr>
          <w:rFonts w:ascii="Times New Roman" w:hAnsi="Times New Roman"/>
          <w:sz w:val="24"/>
          <w:szCs w:val="24"/>
          <w:shd w:val="clear" w:color="auto" w:fill="FFFFFF"/>
        </w:rPr>
        <w:t xml:space="preserve"> </w:t>
      </w:r>
      <w:r w:rsidRPr="002D2359">
        <w:rPr>
          <w:rFonts w:ascii="Times New Roman" w:hAnsi="Times New Roman"/>
          <w:sz w:val="24"/>
          <w:szCs w:val="24"/>
          <w:shd w:val="clear" w:color="auto" w:fill="FFFFFF"/>
        </w:rPr>
        <w:t>question we are asked to decide is whether the government’s action suffices to render Mr. Fikre’s claims moot</w:t>
      </w:r>
      <w:r>
        <w:rPr>
          <w:rFonts w:ascii="Times New Roman" w:hAnsi="Times New Roman"/>
          <w:sz w:val="24"/>
          <w:szCs w:val="24"/>
          <w:shd w:val="clear" w:color="auto" w:fill="FFFFFF"/>
        </w:rPr>
        <w:t xml:space="preserve">. </w:t>
      </w:r>
    </w:p>
    <w:p w14:paraId="4141542F" w14:textId="77777777" w:rsidR="00CB0F04" w:rsidRDefault="00CB0F04" w:rsidP="00CB0F04">
      <w:pPr>
        <w:pStyle w:val="NoSpacing"/>
        <w:ind w:left="720"/>
        <w:rPr>
          <w:rFonts w:ascii="Times New Roman" w:hAnsi="Times New Roman"/>
          <w:sz w:val="24"/>
          <w:szCs w:val="24"/>
          <w:shd w:val="clear" w:color="auto" w:fill="FFFFFF"/>
        </w:rPr>
      </w:pPr>
    </w:p>
    <w:p w14:paraId="02476B77" w14:textId="77777777" w:rsidR="00CB0F04" w:rsidRDefault="00CB0F04" w:rsidP="00CB0F04">
      <w:pPr>
        <w:pStyle w:val="NoSpacing"/>
        <w:ind w:left="720"/>
        <w:rPr>
          <w:rFonts w:ascii="Times New Roman" w:hAnsi="Times New Roman"/>
          <w:sz w:val="24"/>
          <w:szCs w:val="24"/>
          <w:shd w:val="clear" w:color="auto" w:fill="FFFFFF"/>
        </w:rPr>
      </w:pPr>
      <w:r>
        <w:rPr>
          <w:rFonts w:ascii="Times New Roman" w:hAnsi="Times New Roman"/>
          <w:sz w:val="24"/>
          <w:szCs w:val="24"/>
          <w:shd w:val="clear" w:color="auto" w:fill="FFFFFF"/>
        </w:rPr>
        <w:t>***</w:t>
      </w:r>
    </w:p>
    <w:p w14:paraId="08F26649" w14:textId="77777777" w:rsidR="00CB0F04" w:rsidRPr="00174C60" w:rsidRDefault="00CB0F04" w:rsidP="00CB0F04">
      <w:pPr>
        <w:pStyle w:val="NoSpacing"/>
        <w:ind w:left="720"/>
        <w:rPr>
          <w:rFonts w:ascii="Times New Roman" w:hAnsi="Times New Roman"/>
          <w:sz w:val="24"/>
          <w:szCs w:val="24"/>
          <w:shd w:val="clear" w:color="auto" w:fill="FFFFFF"/>
        </w:rPr>
      </w:pPr>
      <w:r w:rsidRPr="00174C60">
        <w:rPr>
          <w:rFonts w:ascii="Times New Roman" w:hAnsi="Times New Roman"/>
          <w:sz w:val="24"/>
          <w:szCs w:val="24"/>
          <w:shd w:val="clear" w:color="auto" w:fill="FFFFFF"/>
        </w:rPr>
        <w:t>Viewed in that light, this case is not moot. To appreciate</w:t>
      </w:r>
      <w:r>
        <w:rPr>
          <w:rFonts w:ascii="Times New Roman" w:hAnsi="Times New Roman"/>
          <w:sz w:val="24"/>
          <w:szCs w:val="24"/>
          <w:shd w:val="clear" w:color="auto" w:fill="FFFFFF"/>
        </w:rPr>
        <w:t xml:space="preserve"> </w:t>
      </w:r>
      <w:r w:rsidRPr="00174C60">
        <w:rPr>
          <w:rFonts w:ascii="Times New Roman" w:hAnsi="Times New Roman"/>
          <w:sz w:val="24"/>
          <w:szCs w:val="24"/>
          <w:shd w:val="clear" w:color="auto" w:fill="FFFFFF"/>
        </w:rPr>
        <w:t>why, it is enough to consider one aspect of Mr. Fikre’s complaint. He contends that the government placed him on the</w:t>
      </w:r>
    </w:p>
    <w:p w14:paraId="564ABEE2" w14:textId="77777777" w:rsidR="00CB0F04" w:rsidRDefault="00CB0F04" w:rsidP="00CB0F04">
      <w:pPr>
        <w:pStyle w:val="NoSpacing"/>
        <w:ind w:left="720"/>
        <w:rPr>
          <w:rFonts w:ascii="Times New Roman" w:hAnsi="Times New Roman"/>
          <w:sz w:val="24"/>
          <w:szCs w:val="24"/>
          <w:shd w:val="clear" w:color="auto" w:fill="FFFFFF"/>
        </w:rPr>
      </w:pPr>
      <w:r w:rsidRPr="00174C60">
        <w:rPr>
          <w:rFonts w:ascii="Times New Roman" w:hAnsi="Times New Roman"/>
          <w:sz w:val="24"/>
          <w:szCs w:val="24"/>
          <w:shd w:val="clear" w:color="auto" w:fill="FFFFFF"/>
        </w:rPr>
        <w:t xml:space="preserve">No Fly List for constitutionally impermissible reasons, including his religious beliefs. In support of his claim, </w:t>
      </w:r>
      <w:proofErr w:type="spellStart"/>
      <w:r w:rsidRPr="00174C60">
        <w:rPr>
          <w:rFonts w:ascii="Times New Roman" w:hAnsi="Times New Roman"/>
          <w:sz w:val="24"/>
          <w:szCs w:val="24"/>
          <w:shd w:val="clear" w:color="auto" w:fill="FFFFFF"/>
        </w:rPr>
        <w:t>Mr.Fikre</w:t>
      </w:r>
      <w:proofErr w:type="spellEnd"/>
      <w:r w:rsidRPr="00174C60">
        <w:rPr>
          <w:rFonts w:ascii="Times New Roman" w:hAnsi="Times New Roman"/>
          <w:sz w:val="24"/>
          <w:szCs w:val="24"/>
          <w:shd w:val="clear" w:color="auto" w:fill="FFFFFF"/>
        </w:rPr>
        <w:t xml:space="preserve"> alleges (among other things) that FBI agents interrogated him about a mosque in Portland he once attended and</w:t>
      </w:r>
      <w:r>
        <w:rPr>
          <w:rFonts w:ascii="Times New Roman" w:hAnsi="Times New Roman"/>
          <w:sz w:val="24"/>
          <w:szCs w:val="24"/>
          <w:shd w:val="clear" w:color="auto" w:fill="FFFFFF"/>
        </w:rPr>
        <w:t xml:space="preserve"> </w:t>
      </w:r>
      <w:r w:rsidRPr="00174C60">
        <w:rPr>
          <w:rFonts w:ascii="Times New Roman" w:hAnsi="Times New Roman"/>
          <w:sz w:val="24"/>
          <w:szCs w:val="24"/>
          <w:shd w:val="clear" w:color="auto" w:fill="FFFFFF"/>
        </w:rPr>
        <w:t xml:space="preserve">threatened to keep him on the </w:t>
      </w:r>
      <w:proofErr w:type="gramStart"/>
      <w:r w:rsidRPr="00174C60">
        <w:rPr>
          <w:rFonts w:ascii="Times New Roman" w:hAnsi="Times New Roman"/>
          <w:sz w:val="24"/>
          <w:szCs w:val="24"/>
          <w:shd w:val="clear" w:color="auto" w:fill="FFFFFF"/>
        </w:rPr>
        <w:t>No Fly</w:t>
      </w:r>
      <w:proofErr w:type="gramEnd"/>
      <w:r w:rsidRPr="00174C60">
        <w:rPr>
          <w:rFonts w:ascii="Times New Roman" w:hAnsi="Times New Roman"/>
          <w:sz w:val="24"/>
          <w:szCs w:val="24"/>
          <w:shd w:val="clear" w:color="auto" w:fill="FFFFFF"/>
        </w:rPr>
        <w:t xml:space="preserve"> List unless he agreed</w:t>
      </w:r>
      <w:r>
        <w:rPr>
          <w:rFonts w:ascii="Times New Roman" w:hAnsi="Times New Roman"/>
          <w:sz w:val="24"/>
          <w:szCs w:val="24"/>
          <w:shd w:val="clear" w:color="auto" w:fill="FFFFFF"/>
        </w:rPr>
        <w:t xml:space="preserve"> </w:t>
      </w:r>
      <w:r w:rsidRPr="00174C60">
        <w:rPr>
          <w:rFonts w:ascii="Times New Roman" w:hAnsi="Times New Roman"/>
          <w:sz w:val="24"/>
          <w:szCs w:val="24"/>
          <w:shd w:val="clear" w:color="auto" w:fill="FFFFFF"/>
        </w:rPr>
        <w:t>to serve as an informant against his co-religionists. Accepting these as-yet uncontested allegations, the government’s</w:t>
      </w:r>
      <w:r>
        <w:rPr>
          <w:rFonts w:ascii="Times New Roman" w:hAnsi="Times New Roman"/>
          <w:sz w:val="24"/>
          <w:szCs w:val="24"/>
          <w:shd w:val="clear" w:color="auto" w:fill="FFFFFF"/>
        </w:rPr>
        <w:t xml:space="preserve"> </w:t>
      </w:r>
      <w:r w:rsidRPr="00174C60">
        <w:rPr>
          <w:rFonts w:ascii="Times New Roman" w:hAnsi="Times New Roman"/>
          <w:sz w:val="24"/>
          <w:szCs w:val="24"/>
          <w:shd w:val="clear" w:color="auto" w:fill="FFFFFF"/>
        </w:rPr>
        <w:t xml:space="preserve">representation that it will not </w:t>
      </w:r>
      <w:proofErr w:type="gramStart"/>
      <w:r w:rsidRPr="00174C60">
        <w:rPr>
          <w:rFonts w:ascii="Times New Roman" w:hAnsi="Times New Roman"/>
          <w:sz w:val="24"/>
          <w:szCs w:val="24"/>
          <w:shd w:val="clear" w:color="auto" w:fill="FFFFFF"/>
        </w:rPr>
        <w:t>relist</w:t>
      </w:r>
      <w:proofErr w:type="gramEnd"/>
      <w:r w:rsidRPr="00174C60">
        <w:rPr>
          <w:rFonts w:ascii="Times New Roman" w:hAnsi="Times New Roman"/>
          <w:sz w:val="24"/>
          <w:szCs w:val="24"/>
          <w:shd w:val="clear" w:color="auto" w:fill="FFFFFF"/>
        </w:rPr>
        <w:t xml:space="preserve"> Mr. Fikre based on</w:t>
      </w:r>
      <w:r>
        <w:rPr>
          <w:rFonts w:ascii="Times New Roman" w:hAnsi="Times New Roman"/>
          <w:sz w:val="24"/>
          <w:szCs w:val="24"/>
          <w:shd w:val="clear" w:color="auto" w:fill="FFFFFF"/>
        </w:rPr>
        <w:t xml:space="preserve"> ‘</w:t>
      </w:r>
      <w:r w:rsidRPr="00174C60">
        <w:rPr>
          <w:rFonts w:ascii="Times New Roman" w:hAnsi="Times New Roman"/>
          <w:sz w:val="24"/>
          <w:szCs w:val="24"/>
          <w:shd w:val="clear" w:color="auto" w:fill="FFFFFF"/>
        </w:rPr>
        <w:t>currently available information</w:t>
      </w:r>
      <w:r>
        <w:rPr>
          <w:rFonts w:ascii="Times New Roman" w:hAnsi="Times New Roman"/>
          <w:sz w:val="24"/>
          <w:szCs w:val="24"/>
          <w:shd w:val="clear" w:color="auto" w:fill="FFFFFF"/>
        </w:rPr>
        <w:t>’</w:t>
      </w:r>
      <w:r w:rsidRPr="00174C60">
        <w:rPr>
          <w:rFonts w:ascii="Times New Roman" w:hAnsi="Times New Roman"/>
          <w:sz w:val="24"/>
          <w:szCs w:val="24"/>
          <w:shd w:val="clear" w:color="auto" w:fill="FFFFFF"/>
        </w:rPr>
        <w:t xml:space="preserve"> may mean that his past</w:t>
      </w:r>
      <w:r>
        <w:rPr>
          <w:rFonts w:ascii="Times New Roman" w:hAnsi="Times New Roman"/>
          <w:sz w:val="24"/>
          <w:szCs w:val="24"/>
          <w:shd w:val="clear" w:color="auto" w:fill="FFFFFF"/>
        </w:rPr>
        <w:t xml:space="preserve"> </w:t>
      </w:r>
      <w:r w:rsidRPr="00174C60">
        <w:rPr>
          <w:rFonts w:ascii="Times New Roman" w:hAnsi="Times New Roman"/>
          <w:sz w:val="24"/>
          <w:szCs w:val="24"/>
          <w:shd w:val="clear" w:color="auto" w:fill="FFFFFF"/>
        </w:rPr>
        <w:t>actions are not enough to warrant his relisting. But, as the</w:t>
      </w:r>
      <w:r>
        <w:rPr>
          <w:rFonts w:ascii="Times New Roman" w:hAnsi="Times New Roman"/>
          <w:sz w:val="24"/>
          <w:szCs w:val="24"/>
          <w:shd w:val="clear" w:color="auto" w:fill="FFFFFF"/>
        </w:rPr>
        <w:t xml:space="preserve"> </w:t>
      </w:r>
      <w:r w:rsidRPr="00174C60">
        <w:rPr>
          <w:rFonts w:ascii="Times New Roman" w:hAnsi="Times New Roman"/>
          <w:sz w:val="24"/>
          <w:szCs w:val="24"/>
          <w:shd w:val="clear" w:color="auto" w:fill="FFFFFF"/>
        </w:rPr>
        <w:t>court of appeals observed, none of that speaks to whether</w:t>
      </w:r>
      <w:r>
        <w:rPr>
          <w:rFonts w:ascii="Times New Roman" w:hAnsi="Times New Roman"/>
          <w:sz w:val="24"/>
          <w:szCs w:val="24"/>
          <w:shd w:val="clear" w:color="auto" w:fill="FFFFFF"/>
        </w:rPr>
        <w:t xml:space="preserve"> </w:t>
      </w:r>
      <w:r w:rsidRPr="00174C60">
        <w:rPr>
          <w:rFonts w:ascii="Times New Roman" w:hAnsi="Times New Roman"/>
          <w:sz w:val="24"/>
          <w:szCs w:val="24"/>
          <w:shd w:val="clear" w:color="auto" w:fill="FFFFFF"/>
        </w:rPr>
        <w:t>the government might relist him if he does the same or similar things in the future—say, attend a particular mosque</w:t>
      </w:r>
      <w:r>
        <w:rPr>
          <w:rFonts w:ascii="Times New Roman" w:hAnsi="Times New Roman"/>
          <w:sz w:val="24"/>
          <w:szCs w:val="24"/>
          <w:shd w:val="clear" w:color="auto" w:fill="FFFFFF"/>
        </w:rPr>
        <w:t xml:space="preserve"> </w:t>
      </w:r>
      <w:r w:rsidRPr="00174C60">
        <w:rPr>
          <w:rFonts w:ascii="Times New Roman" w:hAnsi="Times New Roman"/>
          <w:sz w:val="24"/>
          <w:szCs w:val="24"/>
          <w:shd w:val="clear" w:color="auto" w:fill="FFFFFF"/>
        </w:rPr>
        <w:t>or refuse renewed overtures to serve as an informant</w:t>
      </w:r>
      <w:r>
        <w:rPr>
          <w:rFonts w:ascii="Times New Roman" w:hAnsi="Times New Roman"/>
          <w:sz w:val="24"/>
          <w:szCs w:val="24"/>
          <w:shd w:val="clear" w:color="auto" w:fill="FFFFFF"/>
        </w:rPr>
        <w:t xml:space="preserve">.” </w:t>
      </w:r>
      <w:hyperlink r:id="rId698" w:history="1">
        <w:r w:rsidRPr="00CD1DB0">
          <w:rPr>
            <w:rStyle w:val="Hyperlink"/>
            <w:rFonts w:ascii="Times New Roman" w:hAnsi="Times New Roman"/>
            <w:sz w:val="24"/>
            <w:szCs w:val="24"/>
            <w:shd w:val="clear" w:color="auto" w:fill="FFFFFF"/>
          </w:rPr>
          <w:t>https://www.supremecourt.gov/opinions/23pdf/22-1178_p8k0.pdf</w:t>
        </w:r>
      </w:hyperlink>
      <w:r>
        <w:rPr>
          <w:rFonts w:ascii="Times New Roman" w:hAnsi="Times New Roman"/>
          <w:sz w:val="24"/>
          <w:szCs w:val="24"/>
          <w:shd w:val="clear" w:color="auto" w:fill="FFFFFF"/>
        </w:rPr>
        <w:t xml:space="preserve"> </w:t>
      </w:r>
    </w:p>
    <w:p w14:paraId="0C89D610" w14:textId="77777777" w:rsidR="00CB0F04" w:rsidRDefault="00CB0F04" w:rsidP="00CB0F04">
      <w:pPr>
        <w:pStyle w:val="NoSpacing"/>
        <w:jc w:val="center"/>
      </w:pPr>
    </w:p>
    <w:p w14:paraId="63A0CD0F" w14:textId="77777777" w:rsidR="00CB0F04" w:rsidRDefault="00CB0F04" w:rsidP="00CB0F04">
      <w:pPr>
        <w:pStyle w:val="NoSpacing"/>
        <w:ind w:left="720"/>
        <w:rPr>
          <w:rFonts w:ascii="Times New Roman" w:hAnsi="Times New Roman"/>
          <w:sz w:val="24"/>
          <w:szCs w:val="24"/>
        </w:rPr>
      </w:pPr>
    </w:p>
    <w:p w14:paraId="2AE79297" w14:textId="70895D52" w:rsidR="00CB0F04" w:rsidRPr="00760B23" w:rsidRDefault="00CB0F04" w:rsidP="00CB0F04">
      <w:pPr>
        <w:pStyle w:val="NoSpacing"/>
        <w:rPr>
          <w:rFonts w:ascii="Times New Roman" w:hAnsi="Times New Roman"/>
          <w:b/>
          <w:bCs/>
          <w:sz w:val="24"/>
          <w:szCs w:val="24"/>
        </w:rPr>
      </w:pPr>
      <w:r w:rsidRPr="00760B23">
        <w:rPr>
          <w:rFonts w:ascii="Times New Roman" w:hAnsi="Times New Roman"/>
          <w:b/>
          <w:bCs/>
          <w:sz w:val="24"/>
          <w:szCs w:val="24"/>
        </w:rPr>
        <w:t xml:space="preserve">Legal Lesson Learned: </w:t>
      </w:r>
      <w:r w:rsidR="004C1440">
        <w:rPr>
          <w:rFonts w:ascii="Times New Roman" w:hAnsi="Times New Roman"/>
          <w:b/>
          <w:bCs/>
          <w:sz w:val="24"/>
          <w:szCs w:val="24"/>
        </w:rPr>
        <w:t>Lawsuit may now proceed; c</w:t>
      </w:r>
      <w:r>
        <w:rPr>
          <w:rFonts w:ascii="Times New Roman" w:hAnsi="Times New Roman"/>
          <w:b/>
          <w:bCs/>
          <w:sz w:val="24"/>
          <w:szCs w:val="24"/>
        </w:rPr>
        <w:t xml:space="preserve">ase is not moot since he risks being placed back on </w:t>
      </w:r>
      <w:proofErr w:type="gramStart"/>
      <w:r>
        <w:rPr>
          <w:rFonts w:ascii="Times New Roman" w:hAnsi="Times New Roman"/>
          <w:b/>
          <w:bCs/>
          <w:sz w:val="24"/>
          <w:szCs w:val="24"/>
        </w:rPr>
        <w:t>No Fly</w:t>
      </w:r>
      <w:proofErr w:type="gramEnd"/>
      <w:r>
        <w:rPr>
          <w:rFonts w:ascii="Times New Roman" w:hAnsi="Times New Roman"/>
          <w:b/>
          <w:bCs/>
          <w:sz w:val="24"/>
          <w:szCs w:val="24"/>
        </w:rPr>
        <w:t xml:space="preserve"> List. </w:t>
      </w:r>
    </w:p>
    <w:p w14:paraId="02D665DA" w14:textId="77777777" w:rsidR="00CB0F04" w:rsidRDefault="00CB0F04" w:rsidP="00F326E5">
      <w:pPr>
        <w:pStyle w:val="NoSpacing"/>
        <w:rPr>
          <w:rFonts w:ascii="Arial Black" w:hAnsi="Arial Black"/>
          <w:sz w:val="28"/>
          <w:szCs w:val="28"/>
        </w:rPr>
      </w:pPr>
    </w:p>
    <w:p w14:paraId="12C15F14" w14:textId="77777777" w:rsidR="00CB0F04" w:rsidRDefault="00CB0F04" w:rsidP="00F326E5">
      <w:pPr>
        <w:pStyle w:val="NoSpacing"/>
        <w:rPr>
          <w:rFonts w:ascii="Arial Black" w:hAnsi="Arial Black"/>
          <w:sz w:val="28"/>
          <w:szCs w:val="28"/>
        </w:rPr>
      </w:pPr>
    </w:p>
    <w:p w14:paraId="7A228738" w14:textId="69091567" w:rsidR="002E2535" w:rsidRDefault="002E2535" w:rsidP="00F326E5">
      <w:pPr>
        <w:pStyle w:val="NoSpacing"/>
        <w:rPr>
          <w:rFonts w:ascii="Arial Black" w:hAnsi="Arial Black"/>
          <w:sz w:val="28"/>
          <w:szCs w:val="28"/>
        </w:rPr>
      </w:pPr>
      <w:r>
        <w:rPr>
          <w:rFonts w:ascii="Arial Black" w:hAnsi="Arial Black"/>
          <w:sz w:val="28"/>
          <w:szCs w:val="28"/>
        </w:rPr>
        <w:t>3-</w:t>
      </w:r>
      <w:r w:rsidR="00ED4EAF">
        <w:rPr>
          <w:rFonts w:ascii="Arial Black" w:hAnsi="Arial Black"/>
          <w:sz w:val="28"/>
          <w:szCs w:val="28"/>
        </w:rPr>
        <w:t>59</w:t>
      </w:r>
    </w:p>
    <w:p w14:paraId="26053B3B" w14:textId="730D153B" w:rsidR="00274E82" w:rsidRPr="00D10261" w:rsidRDefault="00274E82" w:rsidP="00274E82">
      <w:pPr>
        <w:pStyle w:val="NormalWeb"/>
        <w:rPr>
          <w:rFonts w:ascii="Arial Black" w:hAnsi="Arial Black"/>
          <w:sz w:val="28"/>
          <w:szCs w:val="28"/>
        </w:rPr>
      </w:pPr>
      <w:r>
        <w:rPr>
          <w:rFonts w:ascii="Arial Black" w:hAnsi="Arial Black"/>
          <w:sz w:val="28"/>
          <w:szCs w:val="28"/>
        </w:rPr>
        <w:t>DC: U.S. CAPITOL INVASION - RET. AIR FORCE LT. COL.  2 YRS PRISON – MUST BE RESENTENCED, IMPACT OTHERS</w:t>
      </w:r>
    </w:p>
    <w:p w14:paraId="31BE1423" w14:textId="77777777" w:rsidR="00274E82" w:rsidRDefault="00274E82" w:rsidP="00274E82">
      <w:pPr>
        <w:pStyle w:val="NormalWeb"/>
      </w:pPr>
      <w:r w:rsidRPr="007E58D8">
        <w:t xml:space="preserve">On </w:t>
      </w:r>
      <w:r>
        <w:t xml:space="preserve">March 1, 2024, in </w:t>
      </w:r>
      <w:r w:rsidRPr="00E834B6">
        <w:rPr>
          <w:u w:val="single"/>
        </w:rPr>
        <w:t>United States of America v. Larry Rendall Brock</w:t>
      </w:r>
      <w:r>
        <w:t xml:space="preserve">, the U.S. Court of Appeals for the District of Columbia upheld his </w:t>
      </w:r>
      <w:proofErr w:type="gramStart"/>
      <w:r>
        <w:t>conviction, but</w:t>
      </w:r>
      <w:proofErr w:type="gramEnd"/>
      <w:r>
        <w:t xml:space="preserve"> required him to be re-sentenced since he received more prison time for interference with </w:t>
      </w:r>
      <w:r w:rsidRPr="00D11362">
        <w:t xml:space="preserve">“administration of justice” </w:t>
      </w:r>
      <w:r>
        <w:t xml:space="preserve">which does </w:t>
      </w:r>
      <w:r w:rsidRPr="00D11362">
        <w:t>not</w:t>
      </w:r>
      <w:r>
        <w:t xml:space="preserve"> </w:t>
      </w:r>
      <w:r w:rsidRPr="00D11362">
        <w:t>apply to interference with the legislative process of certifying</w:t>
      </w:r>
      <w:r>
        <w:t xml:space="preserve"> </w:t>
      </w:r>
      <w:r w:rsidRPr="00D11362">
        <w:t>electoral votes.</w:t>
      </w:r>
      <w:r>
        <w:t xml:space="preserve">  He is from </w:t>
      </w:r>
      <w:proofErr w:type="gramStart"/>
      <w:r>
        <w:t>Texas, and</w:t>
      </w:r>
      <w:proofErr w:type="gramEnd"/>
      <w:r>
        <w:t xml:space="preserve"> is now serving his 2-year sentence in a federal facility in Missouri. </w:t>
      </w:r>
    </w:p>
    <w:p w14:paraId="6417440D" w14:textId="77777777" w:rsidR="00274E82" w:rsidRDefault="00274E82" w:rsidP="00274E82">
      <w:pPr>
        <w:pStyle w:val="NoSpacing"/>
        <w:rPr>
          <w:rFonts w:ascii="Times New Roman" w:hAnsi="Times New Roman"/>
          <w:sz w:val="24"/>
          <w:szCs w:val="24"/>
        </w:rPr>
      </w:pPr>
      <w:r>
        <w:rPr>
          <w:rFonts w:ascii="Times New Roman" w:hAnsi="Times New Roman"/>
          <w:sz w:val="24"/>
          <w:szCs w:val="24"/>
        </w:rPr>
        <w:t xml:space="preserve">Court held (3 to 1): </w:t>
      </w:r>
    </w:p>
    <w:p w14:paraId="6B9A8F8C" w14:textId="77777777" w:rsidR="00274E82" w:rsidRDefault="00274E82" w:rsidP="00274E82">
      <w:pPr>
        <w:pStyle w:val="NoSpacing"/>
        <w:rPr>
          <w:rFonts w:ascii="Times New Roman" w:hAnsi="Times New Roman"/>
          <w:sz w:val="24"/>
          <w:szCs w:val="24"/>
        </w:rPr>
      </w:pPr>
    </w:p>
    <w:p w14:paraId="2381CC1F" w14:textId="77777777" w:rsidR="00274E82" w:rsidRPr="00D11362" w:rsidRDefault="00274E82" w:rsidP="00274E82">
      <w:pPr>
        <w:pStyle w:val="NoSpacing"/>
        <w:ind w:left="720"/>
        <w:rPr>
          <w:rFonts w:ascii="Times New Roman" w:hAnsi="Times New Roman"/>
          <w:sz w:val="24"/>
          <w:szCs w:val="24"/>
        </w:rPr>
      </w:pPr>
      <w:r>
        <w:rPr>
          <w:rFonts w:ascii="Times New Roman" w:hAnsi="Times New Roman"/>
          <w:sz w:val="24"/>
          <w:szCs w:val="24"/>
        </w:rPr>
        <w:lastRenderedPageBreak/>
        <w:t>“</w:t>
      </w:r>
      <w:r w:rsidRPr="00D11362">
        <w:rPr>
          <w:rFonts w:ascii="Times New Roman" w:hAnsi="Times New Roman"/>
          <w:sz w:val="24"/>
          <w:szCs w:val="24"/>
        </w:rPr>
        <w:t>Because the law and the record in this case foreclose</w:t>
      </w:r>
      <w:r>
        <w:rPr>
          <w:rFonts w:ascii="Times New Roman" w:hAnsi="Times New Roman"/>
          <w:sz w:val="24"/>
          <w:szCs w:val="24"/>
        </w:rPr>
        <w:t xml:space="preserve"> </w:t>
      </w:r>
      <w:r w:rsidRPr="00D11362">
        <w:rPr>
          <w:rFonts w:ascii="Times New Roman" w:hAnsi="Times New Roman"/>
          <w:sz w:val="24"/>
          <w:szCs w:val="24"/>
        </w:rPr>
        <w:t>Brock’s legal and sufficiency challenges, we affirm Brock’s</w:t>
      </w:r>
      <w:r>
        <w:rPr>
          <w:rFonts w:ascii="Times New Roman" w:hAnsi="Times New Roman"/>
          <w:sz w:val="24"/>
          <w:szCs w:val="24"/>
        </w:rPr>
        <w:t xml:space="preserve"> </w:t>
      </w:r>
      <w:r w:rsidRPr="00D11362">
        <w:rPr>
          <w:rFonts w:ascii="Times New Roman" w:hAnsi="Times New Roman"/>
          <w:sz w:val="24"/>
          <w:szCs w:val="24"/>
        </w:rPr>
        <w:t>Section 1512(c)(2) conviction. As for Brock’s sentence, we</w:t>
      </w:r>
      <w:r>
        <w:rPr>
          <w:rFonts w:ascii="Times New Roman" w:hAnsi="Times New Roman"/>
          <w:sz w:val="24"/>
          <w:szCs w:val="24"/>
        </w:rPr>
        <w:t xml:space="preserve"> </w:t>
      </w:r>
      <w:r w:rsidRPr="00D11362">
        <w:rPr>
          <w:rFonts w:ascii="Times New Roman" w:hAnsi="Times New Roman"/>
          <w:sz w:val="24"/>
          <w:szCs w:val="24"/>
        </w:rPr>
        <w:t>hold that the “administration of justice” enhancement does not</w:t>
      </w:r>
      <w:r>
        <w:rPr>
          <w:rFonts w:ascii="Times New Roman" w:hAnsi="Times New Roman"/>
          <w:sz w:val="24"/>
          <w:szCs w:val="24"/>
        </w:rPr>
        <w:t xml:space="preserve"> </w:t>
      </w:r>
      <w:r w:rsidRPr="00D11362">
        <w:rPr>
          <w:rFonts w:ascii="Times New Roman" w:hAnsi="Times New Roman"/>
          <w:sz w:val="24"/>
          <w:szCs w:val="24"/>
        </w:rPr>
        <w:t>apply to interference with the legislative process of certifying</w:t>
      </w:r>
      <w:r>
        <w:rPr>
          <w:rFonts w:ascii="Times New Roman" w:hAnsi="Times New Roman"/>
          <w:sz w:val="24"/>
          <w:szCs w:val="24"/>
        </w:rPr>
        <w:t xml:space="preserve"> </w:t>
      </w:r>
      <w:r w:rsidRPr="00D11362">
        <w:rPr>
          <w:rFonts w:ascii="Times New Roman" w:hAnsi="Times New Roman"/>
          <w:sz w:val="24"/>
          <w:szCs w:val="24"/>
        </w:rPr>
        <w:t>electoral votes. For that reason, we vacate Brock’s sentence</w:t>
      </w:r>
      <w:r>
        <w:rPr>
          <w:rFonts w:ascii="Times New Roman" w:hAnsi="Times New Roman"/>
          <w:sz w:val="24"/>
          <w:szCs w:val="24"/>
        </w:rPr>
        <w:t xml:space="preserve"> </w:t>
      </w:r>
      <w:r w:rsidRPr="00D11362">
        <w:rPr>
          <w:rFonts w:ascii="Times New Roman" w:hAnsi="Times New Roman"/>
          <w:sz w:val="24"/>
          <w:szCs w:val="24"/>
        </w:rPr>
        <w:t>for his Section 1512(c)(2) conviction and remand to the district</w:t>
      </w:r>
      <w:r>
        <w:rPr>
          <w:rFonts w:ascii="Times New Roman" w:hAnsi="Times New Roman"/>
          <w:sz w:val="24"/>
          <w:szCs w:val="24"/>
        </w:rPr>
        <w:t xml:space="preserve"> </w:t>
      </w:r>
      <w:r w:rsidRPr="00D11362">
        <w:rPr>
          <w:rFonts w:ascii="Times New Roman" w:hAnsi="Times New Roman"/>
          <w:sz w:val="24"/>
          <w:szCs w:val="24"/>
        </w:rPr>
        <w:t>court for resentencing.</w:t>
      </w:r>
      <w:r>
        <w:rPr>
          <w:rFonts w:ascii="Times New Roman" w:hAnsi="Times New Roman"/>
          <w:sz w:val="24"/>
          <w:szCs w:val="24"/>
        </w:rPr>
        <w:t xml:space="preserve">” </w:t>
      </w:r>
      <w:hyperlink r:id="rId699" w:history="1">
        <w:r w:rsidRPr="00E64ED3">
          <w:rPr>
            <w:rStyle w:val="Hyperlink"/>
            <w:rFonts w:ascii="Times New Roman" w:hAnsi="Times New Roman"/>
            <w:sz w:val="24"/>
            <w:szCs w:val="24"/>
          </w:rPr>
          <w:t>https://storage.courtlistener.com/recap/gov.uscourts.cadc.39605/gov.uscourts.cadc.39605.1208600933.0.pdf</w:t>
        </w:r>
      </w:hyperlink>
      <w:r>
        <w:rPr>
          <w:rFonts w:ascii="Times New Roman" w:hAnsi="Times New Roman"/>
          <w:sz w:val="24"/>
          <w:szCs w:val="24"/>
        </w:rPr>
        <w:t xml:space="preserve"> </w:t>
      </w:r>
    </w:p>
    <w:p w14:paraId="076649D8" w14:textId="77777777" w:rsidR="00274E82" w:rsidRDefault="00274E82" w:rsidP="00274E82">
      <w:pPr>
        <w:pStyle w:val="NoSpacing"/>
        <w:ind w:left="720"/>
        <w:rPr>
          <w:rFonts w:ascii="Times New Roman" w:hAnsi="Times New Roman"/>
          <w:sz w:val="24"/>
          <w:szCs w:val="24"/>
        </w:rPr>
      </w:pPr>
    </w:p>
    <w:p w14:paraId="7A2BA015" w14:textId="77777777" w:rsidR="00274E82" w:rsidRPr="008900C4" w:rsidRDefault="00274E82" w:rsidP="00274E82">
      <w:pPr>
        <w:pStyle w:val="NoSpacing"/>
        <w:ind w:left="360"/>
        <w:rPr>
          <w:rFonts w:ascii="Times New Roman" w:hAnsi="Times New Roman"/>
          <w:b/>
          <w:bCs/>
          <w:sz w:val="24"/>
          <w:szCs w:val="24"/>
        </w:rPr>
      </w:pPr>
      <w:r w:rsidRPr="008900C4">
        <w:rPr>
          <w:rFonts w:ascii="Times New Roman" w:hAnsi="Times New Roman"/>
          <w:b/>
          <w:bCs/>
          <w:sz w:val="24"/>
          <w:szCs w:val="24"/>
        </w:rPr>
        <w:t>Legal Lesson Learned:</w:t>
      </w:r>
      <w:r>
        <w:rPr>
          <w:rFonts w:ascii="Times New Roman" w:hAnsi="Times New Roman"/>
          <w:b/>
          <w:bCs/>
          <w:sz w:val="24"/>
          <w:szCs w:val="24"/>
        </w:rPr>
        <w:t xml:space="preserve"> Over 100 other convicted for attack on U.S. Capitol on Jan. 6, </w:t>
      </w:r>
      <w:proofErr w:type="gramStart"/>
      <w:r>
        <w:rPr>
          <w:rFonts w:ascii="Times New Roman" w:hAnsi="Times New Roman"/>
          <w:b/>
          <w:bCs/>
          <w:sz w:val="24"/>
          <w:szCs w:val="24"/>
        </w:rPr>
        <w:t>2021</w:t>
      </w:r>
      <w:proofErr w:type="gramEnd"/>
      <w:r>
        <w:rPr>
          <w:rFonts w:ascii="Times New Roman" w:hAnsi="Times New Roman"/>
          <w:b/>
          <w:bCs/>
          <w:sz w:val="24"/>
          <w:szCs w:val="24"/>
        </w:rPr>
        <w:t xml:space="preserve">  may need to be re-sentenced. </w:t>
      </w:r>
    </w:p>
    <w:p w14:paraId="76A943CE" w14:textId="77777777" w:rsidR="00274E82" w:rsidRPr="00134B1F" w:rsidRDefault="00274E82" w:rsidP="00274E82">
      <w:pPr>
        <w:pStyle w:val="Heading1"/>
        <w:ind w:left="720"/>
        <w:rPr>
          <w:b w:val="0"/>
          <w:bCs w:val="0"/>
          <w:sz w:val="24"/>
          <w:szCs w:val="24"/>
        </w:rPr>
      </w:pPr>
      <w:r w:rsidRPr="00134B1F">
        <w:rPr>
          <w:b w:val="0"/>
          <w:bCs w:val="0"/>
          <w:sz w:val="24"/>
          <w:szCs w:val="24"/>
        </w:rPr>
        <w:t xml:space="preserve">Note: See photo of Brock in green army helmet and vest on Senate floor. “Appeals court ruling vacating Capitol rioter’s sentence could impact dozens of Jan. 6 cases.” </w:t>
      </w:r>
      <w:hyperlink r:id="rId700" w:history="1">
        <w:r w:rsidRPr="00134B1F">
          <w:rPr>
            <w:rStyle w:val="Hyperlink"/>
            <w:b w:val="0"/>
            <w:bCs w:val="0"/>
            <w:sz w:val="24"/>
            <w:szCs w:val="24"/>
          </w:rPr>
          <w:t>https://www.newsandsentinel.com/news/local-news/2024/03/appeals-court-ruling-vacating-capitol-rioters-sentence-could-impact-dozens-of-jan-6-cases/</w:t>
        </w:r>
      </w:hyperlink>
      <w:r w:rsidRPr="00134B1F">
        <w:rPr>
          <w:b w:val="0"/>
          <w:bCs w:val="0"/>
          <w:sz w:val="24"/>
          <w:szCs w:val="24"/>
        </w:rPr>
        <w:t xml:space="preserve"> </w:t>
      </w:r>
    </w:p>
    <w:p w14:paraId="3747650F" w14:textId="77777777" w:rsidR="002E2535" w:rsidRDefault="002E2535" w:rsidP="00F326E5">
      <w:pPr>
        <w:pStyle w:val="NoSpacing"/>
        <w:rPr>
          <w:rFonts w:ascii="Arial Black" w:hAnsi="Arial Black"/>
          <w:sz w:val="28"/>
          <w:szCs w:val="28"/>
        </w:rPr>
      </w:pPr>
    </w:p>
    <w:p w14:paraId="21711285" w14:textId="77777777" w:rsidR="002E2535" w:rsidRDefault="002E2535" w:rsidP="00F326E5">
      <w:pPr>
        <w:pStyle w:val="NoSpacing"/>
        <w:rPr>
          <w:rFonts w:ascii="Arial Black" w:hAnsi="Arial Black"/>
          <w:sz w:val="28"/>
          <w:szCs w:val="28"/>
        </w:rPr>
      </w:pPr>
    </w:p>
    <w:p w14:paraId="79083063" w14:textId="77777777" w:rsidR="002E2535" w:rsidRDefault="002E2535" w:rsidP="00F326E5">
      <w:pPr>
        <w:pStyle w:val="NoSpacing"/>
        <w:rPr>
          <w:rFonts w:ascii="Arial Black" w:hAnsi="Arial Black"/>
          <w:sz w:val="28"/>
          <w:szCs w:val="28"/>
        </w:rPr>
      </w:pPr>
    </w:p>
    <w:p w14:paraId="70E2E64E" w14:textId="03BD400C" w:rsidR="001B3B5F" w:rsidRDefault="001B3B5F" w:rsidP="00F326E5">
      <w:pPr>
        <w:pStyle w:val="NoSpacing"/>
        <w:rPr>
          <w:rFonts w:ascii="Arial Black" w:hAnsi="Arial Black"/>
          <w:sz w:val="28"/>
          <w:szCs w:val="28"/>
        </w:rPr>
      </w:pPr>
      <w:r>
        <w:rPr>
          <w:rFonts w:ascii="Arial Black" w:hAnsi="Arial Black"/>
          <w:sz w:val="28"/>
          <w:szCs w:val="28"/>
        </w:rPr>
        <w:t>3-5</w:t>
      </w:r>
      <w:r w:rsidR="00ED4EAF">
        <w:rPr>
          <w:rFonts w:ascii="Arial Black" w:hAnsi="Arial Black"/>
          <w:sz w:val="28"/>
          <w:szCs w:val="28"/>
        </w:rPr>
        <w:t>8</w:t>
      </w:r>
    </w:p>
    <w:p w14:paraId="494AEDD8" w14:textId="77777777" w:rsidR="00231839" w:rsidRDefault="00231839" w:rsidP="00231839">
      <w:pPr>
        <w:pStyle w:val="NormalWeb"/>
        <w:rPr>
          <w:rFonts w:ascii="Arial Black" w:hAnsi="Arial Black"/>
          <w:b/>
          <w:bCs/>
          <w:sz w:val="28"/>
          <w:szCs w:val="28"/>
        </w:rPr>
      </w:pPr>
      <w:r>
        <w:rPr>
          <w:rFonts w:ascii="Arial Black" w:hAnsi="Arial Black"/>
          <w:b/>
          <w:bCs/>
          <w:sz w:val="28"/>
          <w:szCs w:val="28"/>
        </w:rPr>
        <w:t>NY: WORLD TRADE CENTER “PRESUMPTION” STATUTE – FF OVERDOSE AFTER KNEE REPLACEMENT – LODD PENSION</w:t>
      </w:r>
    </w:p>
    <w:p w14:paraId="5A935E0B" w14:textId="2DBF6894" w:rsidR="00231839" w:rsidRDefault="00231839" w:rsidP="00231839">
      <w:pPr>
        <w:pStyle w:val="NormalWeb"/>
      </w:pPr>
      <w:r w:rsidRPr="006B064A">
        <w:t xml:space="preserve">On </w:t>
      </w:r>
      <w:r>
        <w:t xml:space="preserve">Jan. 3, 2024, in </w:t>
      </w:r>
      <w:r w:rsidRPr="001A09E1">
        <w:rPr>
          <w:u w:val="single"/>
        </w:rPr>
        <w:t>Michelle Quinn v. The Board of Trustees of the Fire Department of the City of New York Pension Fund</w:t>
      </w:r>
      <w:r>
        <w:t xml:space="preserve">, Justice Arthur F. Engoron, Superior Court of New York, New York County, held (unpublished decision) that the wife of late Peter A. Quinn is entitled to line-of-duty death benefits, overruling the Pension Fund’s Oct. 26, </w:t>
      </w:r>
      <w:proofErr w:type="gramStart"/>
      <w:r>
        <w:t>2022</w:t>
      </w:r>
      <w:proofErr w:type="gramEnd"/>
      <w:r>
        <w:t xml:space="preserve"> denial of benefits.  He di</w:t>
      </w:r>
      <w:r w:rsidR="008749CD">
        <w:t>e</w:t>
      </w:r>
      <w:r>
        <w:t>d of drug overdose on Jan. 21, 2019 (prescribed morphine and oxycodone), two days after being released from hospital for left knee replacement. The wife provided a report from Dr. Richard Stripp, Ph.D, who had found it was not suicide, but an accidental overdose due to poor health status and previous history of respiratory disease and sleep apnea which “</w:t>
      </w:r>
      <w:r>
        <w:rPr>
          <w:rStyle w:val="Emphasis"/>
        </w:rPr>
        <w:t>greatly</w:t>
      </w:r>
      <w:r>
        <w:t xml:space="preserve"> increased the risk of a fatal accidental overdose from opioid analgesics."  </w:t>
      </w:r>
    </w:p>
    <w:p w14:paraId="628BBF62" w14:textId="77777777" w:rsidR="00231839" w:rsidRDefault="00231839" w:rsidP="00231839">
      <w:pPr>
        <w:ind w:left="720"/>
        <w:rPr>
          <w:rFonts w:ascii="Times New Roman" w:hAnsi="Times New Roman"/>
          <w:sz w:val="24"/>
          <w:szCs w:val="24"/>
        </w:rPr>
      </w:pPr>
      <w:r>
        <w:rPr>
          <w:rFonts w:ascii="Times New Roman" w:hAnsi="Times New Roman"/>
          <w:sz w:val="24"/>
          <w:szCs w:val="24"/>
        </w:rPr>
        <w:t>“</w:t>
      </w:r>
      <w:r w:rsidRPr="00C66254">
        <w:rPr>
          <w:rFonts w:ascii="Times New Roman" w:hAnsi="Times New Roman"/>
          <w:sz w:val="24"/>
          <w:szCs w:val="24"/>
        </w:rPr>
        <w:t xml:space="preserve">Pursuant to the WTC Bill, an eligible firefighter's disability or death as a result of a qualifying WTC condition, as defined in Retirement and Social Security Law § 2 (36), is </w:t>
      </w:r>
      <w:r>
        <w:rPr>
          <w:rFonts w:ascii="Times New Roman" w:hAnsi="Times New Roman"/>
          <w:sz w:val="24"/>
          <w:szCs w:val="24"/>
        </w:rPr>
        <w:t>‘</w:t>
      </w:r>
      <w:r w:rsidRPr="00C66254">
        <w:rPr>
          <w:rFonts w:ascii="Times New Roman" w:hAnsi="Times New Roman"/>
          <w:sz w:val="24"/>
          <w:szCs w:val="24"/>
        </w:rPr>
        <w:t>presumptive evidence that it was incurred in the performance and discharge of duty and the natural and proximate result of an accident not caused by such member's own willful negligence, unless the contrary be proved by competent evidence</w:t>
      </w:r>
      <w:r>
        <w:rPr>
          <w:rFonts w:ascii="Times New Roman" w:hAnsi="Times New Roman"/>
          <w:sz w:val="24"/>
          <w:szCs w:val="24"/>
        </w:rPr>
        <w:t>’</w:t>
      </w:r>
      <w:r w:rsidRPr="00C66254">
        <w:rPr>
          <w:rFonts w:ascii="Times New Roman" w:hAnsi="Times New Roman"/>
          <w:sz w:val="24"/>
          <w:szCs w:val="24"/>
        </w:rPr>
        <w:t xml:space="preserve"> (the </w:t>
      </w:r>
      <w:r>
        <w:rPr>
          <w:rFonts w:ascii="Times New Roman" w:hAnsi="Times New Roman"/>
          <w:sz w:val="24"/>
          <w:szCs w:val="24"/>
        </w:rPr>
        <w:t>‘</w:t>
      </w:r>
      <w:r w:rsidRPr="00C66254">
        <w:rPr>
          <w:rFonts w:ascii="Times New Roman" w:hAnsi="Times New Roman"/>
          <w:sz w:val="24"/>
          <w:szCs w:val="24"/>
        </w:rPr>
        <w:t>WTC Presumption</w:t>
      </w:r>
      <w:r>
        <w:rPr>
          <w:rFonts w:ascii="Times New Roman" w:hAnsi="Times New Roman"/>
          <w:sz w:val="24"/>
          <w:szCs w:val="24"/>
        </w:rPr>
        <w:t>’</w:t>
      </w:r>
      <w:r w:rsidRPr="00C66254">
        <w:rPr>
          <w:rFonts w:ascii="Times New Roman" w:hAnsi="Times New Roman"/>
          <w:sz w:val="24"/>
          <w:szCs w:val="24"/>
        </w:rPr>
        <w:t>).</w:t>
      </w:r>
    </w:p>
    <w:p w14:paraId="263A0851" w14:textId="77777777" w:rsidR="00231839" w:rsidRDefault="00231839" w:rsidP="00231839">
      <w:pPr>
        <w:ind w:firstLine="720"/>
        <w:rPr>
          <w:rFonts w:ascii="Times New Roman" w:hAnsi="Times New Roman"/>
          <w:sz w:val="24"/>
          <w:szCs w:val="24"/>
        </w:rPr>
      </w:pPr>
      <w:r>
        <w:rPr>
          <w:rFonts w:ascii="Times New Roman" w:hAnsi="Times New Roman"/>
          <w:sz w:val="24"/>
          <w:szCs w:val="24"/>
        </w:rPr>
        <w:t>***</w:t>
      </w:r>
    </w:p>
    <w:p w14:paraId="13449669" w14:textId="1B5DCC9E" w:rsidR="00231839" w:rsidRDefault="00231839" w:rsidP="00231839">
      <w:pPr>
        <w:pStyle w:val="NoSpacing"/>
        <w:rPr>
          <w:rStyle w:val="Hyperlink"/>
          <w:rFonts w:ascii="Times New Roman" w:hAnsi="Times New Roman"/>
          <w:sz w:val="24"/>
          <w:szCs w:val="24"/>
        </w:rPr>
      </w:pPr>
      <w:r w:rsidRPr="006F1EC0">
        <w:rPr>
          <w:rFonts w:ascii="Times New Roman" w:hAnsi="Times New Roman"/>
          <w:sz w:val="24"/>
          <w:szCs w:val="24"/>
        </w:rPr>
        <w:t>Here, there is no question that Quinn was at the WTC site and disabled as the proximate result of his line-of-duty exposure</w:t>
      </w:r>
      <w:r w:rsidRPr="00297192">
        <w:rPr>
          <w:rFonts w:ascii="Times New Roman" w:hAnsi="Times New Roman"/>
          <w:sz w:val="24"/>
          <w:szCs w:val="24"/>
        </w:rPr>
        <w:t>…. Petitioner, through the report of Dr. Stripp, has made a credible argument supporting the proposition that the accidental overdose cause of death listed on Quinn's autopsy was, in turn, a result of his WTC injuries</w:t>
      </w:r>
      <w:r w:rsidRPr="00744825">
        <w:rPr>
          <w:rFonts w:ascii="Times New Roman" w:hAnsi="Times New Roman"/>
          <w:sz w:val="24"/>
          <w:szCs w:val="24"/>
        </w:rPr>
        <w:t>… That Quinn's qualifying conditions specifically made him susceptible to an accidental overdose is further supported by the HSS doctor's notes and the fact that he was prescribed anti-overdose medications. ***  It</w:t>
      </w:r>
      <w:r w:rsidRPr="0076344F">
        <w:rPr>
          <w:rFonts w:ascii="Times New Roman" w:hAnsi="Times New Roman"/>
          <w:sz w:val="24"/>
          <w:szCs w:val="24"/>
        </w:rPr>
        <w:t xml:space="preserve"> was arbitrary and capricious for respondents to find that Quinn was not entitled to the WTC Presumption, and, therefore, they must rebut that presumption with "credible evidence," which they failed to do. Respondent's conjecture and unsupported suspicion that Quinn's accidental overdose was not ultimately caused </w:t>
      </w:r>
      <w:r w:rsidRPr="0076344F">
        <w:rPr>
          <w:rFonts w:ascii="Times New Roman" w:hAnsi="Times New Roman"/>
          <w:sz w:val="24"/>
          <w:szCs w:val="24"/>
        </w:rPr>
        <w:lastRenderedPageBreak/>
        <w:t>by a qualifying WTC condition is insufficient.</w:t>
      </w:r>
      <w:r>
        <w:rPr>
          <w:rFonts w:ascii="Times New Roman" w:hAnsi="Times New Roman"/>
          <w:sz w:val="24"/>
          <w:szCs w:val="24"/>
        </w:rPr>
        <w:t xml:space="preserve"> … </w:t>
      </w:r>
      <w:r w:rsidRPr="00F6495A">
        <w:rPr>
          <w:rFonts w:ascii="Times New Roman" w:hAnsi="Times New Roman"/>
          <w:sz w:val="24"/>
          <w:szCs w:val="24"/>
        </w:rPr>
        <w:t>Therefore, this Court will direct respondent to vacate its prior determination, denying petitioner's application for a line-of-duty death benefit pension pursuant to the WTC Bill</w:t>
      </w:r>
      <w:r>
        <w:rPr>
          <w:rFonts w:ascii="Times New Roman" w:hAnsi="Times New Roman"/>
          <w:sz w:val="24"/>
          <w:szCs w:val="24"/>
        </w:rPr>
        <w:t xml:space="preserve">.” </w:t>
      </w:r>
      <w:hyperlink r:id="rId701" w:history="1">
        <w:r w:rsidRPr="00A46316">
          <w:rPr>
            <w:rStyle w:val="Hyperlink"/>
            <w:rFonts w:ascii="Times New Roman" w:hAnsi="Times New Roman"/>
            <w:sz w:val="24"/>
            <w:szCs w:val="24"/>
          </w:rPr>
          <w:t>https://casetext.com/case/quinn-v-the-bd-of-trs-of-fire-dept-of-city-of-ny-pension-fund</w:t>
        </w:r>
      </w:hyperlink>
    </w:p>
    <w:p w14:paraId="6223B862" w14:textId="77777777" w:rsidR="00233F5D" w:rsidRPr="00B86616" w:rsidRDefault="00233F5D" w:rsidP="00233F5D">
      <w:pPr>
        <w:pStyle w:val="NormalWeb"/>
        <w:rPr>
          <w:b/>
          <w:bCs/>
        </w:rPr>
      </w:pPr>
      <w:r w:rsidRPr="00B86616">
        <w:rPr>
          <w:b/>
          <w:bCs/>
        </w:rPr>
        <w:t>Legal Lesson Learned:</w:t>
      </w:r>
      <w:r>
        <w:rPr>
          <w:b/>
          <w:bCs/>
        </w:rPr>
        <w:t xml:space="preserve"> Excellent decision based on World Trade Center “presumption” law. </w:t>
      </w:r>
    </w:p>
    <w:p w14:paraId="253AF708" w14:textId="77777777" w:rsidR="00233F5D" w:rsidRDefault="00233F5D" w:rsidP="00231839">
      <w:pPr>
        <w:pStyle w:val="NoSpacing"/>
        <w:rPr>
          <w:rFonts w:ascii="Arial Black" w:hAnsi="Arial Black"/>
          <w:sz w:val="28"/>
          <w:szCs w:val="28"/>
        </w:rPr>
      </w:pPr>
    </w:p>
    <w:p w14:paraId="5AE96001" w14:textId="77777777" w:rsidR="001B3B5F" w:rsidRDefault="001B3B5F" w:rsidP="00F326E5">
      <w:pPr>
        <w:pStyle w:val="NoSpacing"/>
        <w:rPr>
          <w:rFonts w:ascii="Arial Black" w:hAnsi="Arial Black"/>
          <w:sz w:val="28"/>
          <w:szCs w:val="28"/>
        </w:rPr>
      </w:pPr>
    </w:p>
    <w:p w14:paraId="2929653B" w14:textId="77777777" w:rsidR="001B3B5F" w:rsidRDefault="001B3B5F" w:rsidP="00F326E5">
      <w:pPr>
        <w:pStyle w:val="NoSpacing"/>
        <w:rPr>
          <w:rFonts w:ascii="Arial Black" w:hAnsi="Arial Black"/>
          <w:sz w:val="28"/>
          <w:szCs w:val="28"/>
        </w:rPr>
      </w:pPr>
    </w:p>
    <w:p w14:paraId="61A13F07" w14:textId="77777777" w:rsidR="001B3B5F" w:rsidRDefault="001B3B5F" w:rsidP="00F326E5">
      <w:pPr>
        <w:pStyle w:val="NoSpacing"/>
        <w:rPr>
          <w:rFonts w:ascii="Arial Black" w:hAnsi="Arial Black"/>
          <w:sz w:val="28"/>
          <w:szCs w:val="28"/>
        </w:rPr>
      </w:pPr>
    </w:p>
    <w:p w14:paraId="243D6616" w14:textId="74D7A948" w:rsidR="009B0593" w:rsidRDefault="0074687D" w:rsidP="00F326E5">
      <w:pPr>
        <w:pStyle w:val="NoSpacing"/>
        <w:rPr>
          <w:rFonts w:ascii="Arial Black" w:hAnsi="Arial Black"/>
          <w:sz w:val="28"/>
          <w:szCs w:val="28"/>
        </w:rPr>
      </w:pPr>
      <w:r>
        <w:rPr>
          <w:rFonts w:ascii="Arial Black" w:hAnsi="Arial Black"/>
          <w:sz w:val="28"/>
          <w:szCs w:val="28"/>
        </w:rPr>
        <w:t>3-5</w:t>
      </w:r>
      <w:r w:rsidR="00ED4EAF">
        <w:rPr>
          <w:rFonts w:ascii="Arial Black" w:hAnsi="Arial Black"/>
          <w:sz w:val="28"/>
          <w:szCs w:val="28"/>
        </w:rPr>
        <w:t>7</w:t>
      </w:r>
    </w:p>
    <w:p w14:paraId="7A162F75" w14:textId="77777777" w:rsidR="005D6C9F" w:rsidRPr="005D6C9F" w:rsidRDefault="005D6C9F" w:rsidP="005D6C9F">
      <w:pPr>
        <w:pStyle w:val="Heading2"/>
        <w:rPr>
          <w:rFonts w:ascii="Arial Black" w:hAnsi="Arial Black"/>
          <w:b w:val="0"/>
          <w:bCs w:val="0"/>
          <w:i w:val="0"/>
          <w:iCs w:val="0"/>
        </w:rPr>
      </w:pPr>
      <w:r w:rsidRPr="005D6C9F">
        <w:rPr>
          <w:rFonts w:ascii="Arial Black" w:hAnsi="Arial Black"/>
          <w:b w:val="0"/>
          <w:bCs w:val="0"/>
          <w:i w:val="0"/>
          <w:iCs w:val="0"/>
        </w:rPr>
        <w:t>TX: TIK TOK - GOVERNOR MAY LIMIT USE ON STATE / UNIVERSITY DEVICES – COMPANY BASED IN CHINA</w:t>
      </w:r>
    </w:p>
    <w:p w14:paraId="4790A2E7" w14:textId="77777777" w:rsidR="005D6C9F" w:rsidRDefault="005D6C9F" w:rsidP="005D6C9F">
      <w:pPr>
        <w:pStyle w:val="Heading2"/>
        <w:rPr>
          <w:rFonts w:ascii="Times New Roman" w:hAnsi="Times New Roman"/>
          <w:sz w:val="24"/>
          <w:szCs w:val="24"/>
        </w:rPr>
      </w:pPr>
      <w:r w:rsidRPr="005D6C9F">
        <w:rPr>
          <w:rFonts w:ascii="Times New Roman" w:hAnsi="Times New Roman"/>
          <w:b w:val="0"/>
          <w:bCs w:val="0"/>
          <w:i w:val="0"/>
          <w:iCs w:val="0"/>
          <w:sz w:val="24"/>
          <w:szCs w:val="24"/>
        </w:rPr>
        <w:t xml:space="preserve">On Dec. 11, 2023, in </w:t>
      </w:r>
      <w:r w:rsidRPr="005D6C9F">
        <w:rPr>
          <w:rFonts w:ascii="Times New Roman" w:hAnsi="Times New Roman"/>
          <w:b w:val="0"/>
          <w:bCs w:val="0"/>
          <w:i w:val="0"/>
          <w:iCs w:val="0"/>
          <w:sz w:val="24"/>
          <w:szCs w:val="24"/>
          <w:u w:val="single"/>
        </w:rPr>
        <w:t xml:space="preserve">Coalition </w:t>
      </w:r>
      <w:proofErr w:type="gramStart"/>
      <w:r w:rsidRPr="005D6C9F">
        <w:rPr>
          <w:rFonts w:ascii="Times New Roman" w:hAnsi="Times New Roman"/>
          <w:b w:val="0"/>
          <w:bCs w:val="0"/>
          <w:i w:val="0"/>
          <w:iCs w:val="0"/>
          <w:sz w:val="24"/>
          <w:szCs w:val="24"/>
          <w:u w:val="single"/>
        </w:rPr>
        <w:t>For</w:t>
      </w:r>
      <w:proofErr w:type="gramEnd"/>
      <w:r w:rsidRPr="005D6C9F">
        <w:rPr>
          <w:rFonts w:ascii="Times New Roman" w:hAnsi="Times New Roman"/>
          <w:b w:val="0"/>
          <w:bCs w:val="0"/>
          <w:i w:val="0"/>
          <w:iCs w:val="0"/>
          <w:sz w:val="24"/>
          <w:szCs w:val="24"/>
          <w:u w:val="single"/>
        </w:rPr>
        <w:t xml:space="preserve"> Independent Technology Research v. Gregg Abbott, et al</w:t>
      </w:r>
      <w:r w:rsidRPr="005D6C9F">
        <w:rPr>
          <w:rFonts w:ascii="Times New Roman" w:hAnsi="Times New Roman"/>
          <w:b w:val="0"/>
          <w:bCs w:val="0"/>
          <w:i w:val="0"/>
          <w:iCs w:val="0"/>
          <w:sz w:val="24"/>
          <w:szCs w:val="24"/>
        </w:rPr>
        <w:t>., U.S. District Court judge Robert Pitman, U.S. District Court for Western District of Texas, granted defense motion to dismiss the lawsuit.  TikTok is banned in over 30 states in USA; owned by ByteDance Ltd., Beijing, China. The Court wrote: “While the Court recognizes the importance both of protecting academic freedom and supporting public employees' right to free speech, the Court finds that these important ideals do not dictate the appropriate framework for this case. Texas's TikTok ban is not a restraint on public employee speech. Even as applied to public university faculty, who are entitled to special considerations under the law, the Court finds that the ban is not a restraint on speech in a public forum, but rather a restriction on a nonpublic forum motivated by Texas's data protection concerns regarding TikTok, an app owned by a company based in China. (</w:t>
      </w:r>
      <w:proofErr w:type="spellStart"/>
      <w:r w:rsidRPr="005D6C9F">
        <w:rPr>
          <w:rFonts w:ascii="Times New Roman" w:hAnsi="Times New Roman"/>
          <w:b w:val="0"/>
          <w:bCs w:val="0"/>
          <w:i w:val="0"/>
          <w:iCs w:val="0"/>
          <w:sz w:val="24"/>
          <w:szCs w:val="24"/>
        </w:rPr>
        <w:t>Compl</w:t>
      </w:r>
      <w:proofErr w:type="spellEnd"/>
      <w:r w:rsidRPr="005D6C9F">
        <w:rPr>
          <w:rFonts w:ascii="Times New Roman" w:hAnsi="Times New Roman"/>
          <w:b w:val="0"/>
          <w:bCs w:val="0"/>
          <w:i w:val="0"/>
          <w:iCs w:val="0"/>
          <w:sz w:val="24"/>
          <w:szCs w:val="24"/>
        </w:rPr>
        <w:t xml:space="preserve">., </w:t>
      </w:r>
      <w:proofErr w:type="spellStart"/>
      <w:r w:rsidRPr="005D6C9F">
        <w:rPr>
          <w:rFonts w:ascii="Times New Roman" w:hAnsi="Times New Roman"/>
          <w:b w:val="0"/>
          <w:bCs w:val="0"/>
          <w:i w:val="0"/>
          <w:iCs w:val="0"/>
          <w:sz w:val="24"/>
          <w:szCs w:val="24"/>
        </w:rPr>
        <w:t>Dkt</w:t>
      </w:r>
      <w:proofErr w:type="spellEnd"/>
      <w:r w:rsidRPr="005D6C9F">
        <w:rPr>
          <w:rFonts w:ascii="Times New Roman" w:hAnsi="Times New Roman"/>
          <w:b w:val="0"/>
          <w:bCs w:val="0"/>
          <w:i w:val="0"/>
          <w:iCs w:val="0"/>
          <w:sz w:val="24"/>
          <w:szCs w:val="24"/>
        </w:rPr>
        <w:t>. 1, at 2). Texas's TikTok ban is limiting the use of an app on state-provided devices and networks, which is not a blanket prohibition. Public university faculty-and all public employees-are free to use TikTok on their personal devices (</w:t>
      </w:r>
      <w:proofErr w:type="gramStart"/>
      <w:r w:rsidRPr="005D6C9F">
        <w:rPr>
          <w:rFonts w:ascii="Times New Roman" w:hAnsi="Times New Roman"/>
          <w:b w:val="0"/>
          <w:bCs w:val="0"/>
          <w:i w:val="0"/>
          <w:iCs w:val="0"/>
          <w:sz w:val="24"/>
          <w:szCs w:val="24"/>
        </w:rPr>
        <w:t>as long as</w:t>
      </w:r>
      <w:proofErr w:type="gramEnd"/>
      <w:r w:rsidRPr="005D6C9F">
        <w:rPr>
          <w:rFonts w:ascii="Times New Roman" w:hAnsi="Times New Roman"/>
          <w:b w:val="0"/>
          <w:bCs w:val="0"/>
          <w:i w:val="0"/>
          <w:iCs w:val="0"/>
          <w:sz w:val="24"/>
          <w:szCs w:val="24"/>
        </w:rPr>
        <w:t xml:space="preserve"> such devices are not used to access state networks). Therefore, the Court disagrees with Plaintiff's characterization of the ban as falling under the category of public employee speech. The Court finds nonpublic forum analysis to be the proper framework for Plaintiff's challenge, as the ban relates to Texas's regulation of its own governmental </w:t>
      </w:r>
      <w:proofErr w:type="gramStart"/>
      <w:r w:rsidRPr="005D6C9F">
        <w:rPr>
          <w:rFonts w:ascii="Times New Roman" w:hAnsi="Times New Roman"/>
          <w:b w:val="0"/>
          <w:bCs w:val="0"/>
          <w:i w:val="0"/>
          <w:iCs w:val="0"/>
          <w:sz w:val="24"/>
          <w:szCs w:val="24"/>
        </w:rPr>
        <w:t>property.”</w:t>
      </w:r>
      <w:proofErr w:type="gramEnd"/>
      <w:r w:rsidRPr="005D6C9F">
        <w:rPr>
          <w:rFonts w:ascii="Times New Roman" w:hAnsi="Times New Roman"/>
          <w:b w:val="0"/>
          <w:bCs w:val="0"/>
          <w:i w:val="0"/>
          <w:iCs w:val="0"/>
          <w:sz w:val="24"/>
          <w:szCs w:val="24"/>
        </w:rPr>
        <w:t xml:space="preserve"> </w:t>
      </w:r>
      <w:hyperlink r:id="rId702" w:history="1">
        <w:r w:rsidRPr="005D6C9F">
          <w:rPr>
            <w:rStyle w:val="Hyperlink"/>
            <w:rFonts w:ascii="Times New Roman" w:hAnsi="Times New Roman"/>
            <w:b w:val="0"/>
            <w:bCs w:val="0"/>
            <w:i w:val="0"/>
            <w:iCs w:val="0"/>
            <w:sz w:val="24"/>
            <w:szCs w:val="24"/>
          </w:rPr>
          <w:t>https://casetext.com/case/coal-for-indep-tech-research-v-abbott</w:t>
        </w:r>
      </w:hyperlink>
      <w:r>
        <w:rPr>
          <w:rFonts w:ascii="Times New Roman" w:hAnsi="Times New Roman"/>
          <w:sz w:val="24"/>
          <w:szCs w:val="24"/>
        </w:rPr>
        <w:t xml:space="preserve"> </w:t>
      </w:r>
    </w:p>
    <w:p w14:paraId="1EB0DAA1" w14:textId="77777777" w:rsidR="00E66493" w:rsidRPr="002C2A9E" w:rsidRDefault="00E66493" w:rsidP="00E66493">
      <w:pPr>
        <w:pStyle w:val="NormalWeb"/>
        <w:rPr>
          <w:b/>
          <w:bCs/>
        </w:rPr>
      </w:pPr>
      <w:r w:rsidRPr="002C2A9E">
        <w:rPr>
          <w:b/>
          <w:bCs/>
        </w:rPr>
        <w:t>Legal Lesson Learned:</w:t>
      </w:r>
      <w:r>
        <w:rPr>
          <w:b/>
          <w:bCs/>
        </w:rPr>
        <w:t xml:space="preserve"> State employees, including university professors, may still use TikTok on their personal devices. </w:t>
      </w:r>
    </w:p>
    <w:p w14:paraId="01C00B83" w14:textId="77777777" w:rsidR="00E66493" w:rsidRDefault="00E66493" w:rsidP="00E66493">
      <w:pPr>
        <w:pStyle w:val="NormalWeb"/>
        <w:ind w:left="720"/>
        <w:rPr>
          <w:b/>
          <w:bCs/>
        </w:rPr>
      </w:pPr>
      <w:r w:rsidRPr="00186EE2">
        <w:t xml:space="preserve">Note: “Federal interim rule implements TikTok ban on devices used in the performance of </w:t>
      </w:r>
      <w:r>
        <w:t xml:space="preserve"> f</w:t>
      </w:r>
      <w:r w:rsidRPr="00186EE2">
        <w:t xml:space="preserve">ederal contracts. ”July 13, 2023). </w:t>
      </w:r>
      <w:hyperlink r:id="rId703" w:history="1">
        <w:r w:rsidRPr="00186EE2">
          <w:rPr>
            <w:rStyle w:val="Hyperlink"/>
          </w:rPr>
          <w:t>https://research.wisc.edu/uncategorized/2023/07/13/federal-interim-rule-implements-tiktok-ban-on-devices-used-in-the-performance-of-federal-contracts/</w:t>
        </w:r>
      </w:hyperlink>
    </w:p>
    <w:p w14:paraId="0F468033" w14:textId="77777777" w:rsidR="00E66493" w:rsidRPr="00E66493" w:rsidRDefault="00E66493" w:rsidP="00E66493"/>
    <w:p w14:paraId="02DA7725" w14:textId="77777777" w:rsidR="005D6C9F" w:rsidRDefault="005D6C9F" w:rsidP="00F326E5">
      <w:pPr>
        <w:pStyle w:val="NoSpacing"/>
        <w:rPr>
          <w:rFonts w:ascii="Arial Black" w:hAnsi="Arial Black"/>
          <w:sz w:val="28"/>
          <w:szCs w:val="28"/>
        </w:rPr>
      </w:pPr>
    </w:p>
    <w:p w14:paraId="3843676F" w14:textId="77777777" w:rsidR="0074687D" w:rsidRDefault="0074687D" w:rsidP="00F326E5">
      <w:pPr>
        <w:pStyle w:val="NoSpacing"/>
        <w:rPr>
          <w:rFonts w:ascii="Arial Black" w:hAnsi="Arial Black"/>
          <w:sz w:val="28"/>
          <w:szCs w:val="28"/>
        </w:rPr>
      </w:pPr>
    </w:p>
    <w:p w14:paraId="21663E1D" w14:textId="767EF945" w:rsidR="00622D53" w:rsidRDefault="00622D53" w:rsidP="00F326E5">
      <w:pPr>
        <w:pStyle w:val="NoSpacing"/>
        <w:rPr>
          <w:rFonts w:ascii="Arial Black" w:hAnsi="Arial Black"/>
          <w:sz w:val="28"/>
          <w:szCs w:val="28"/>
        </w:rPr>
      </w:pPr>
      <w:r>
        <w:rPr>
          <w:rFonts w:ascii="Arial Black" w:hAnsi="Arial Black"/>
          <w:sz w:val="28"/>
          <w:szCs w:val="28"/>
        </w:rPr>
        <w:t>3-5</w:t>
      </w:r>
      <w:r w:rsidR="00ED4EAF">
        <w:rPr>
          <w:rFonts w:ascii="Arial Black" w:hAnsi="Arial Black"/>
          <w:sz w:val="28"/>
          <w:szCs w:val="28"/>
        </w:rPr>
        <w:t>6</w:t>
      </w:r>
    </w:p>
    <w:p w14:paraId="06310C24" w14:textId="77777777" w:rsidR="00622D53" w:rsidRDefault="00622D53" w:rsidP="00622D53">
      <w:pPr>
        <w:spacing w:before="100" w:beforeAutospacing="1" w:after="100" w:afterAutospacing="1" w:line="240" w:lineRule="auto"/>
        <w:outlineLvl w:val="0"/>
        <w:rPr>
          <w:rFonts w:ascii="Arial Black" w:eastAsia="Times New Roman" w:hAnsi="Arial Black"/>
          <w:b/>
          <w:bCs/>
          <w:kern w:val="36"/>
          <w:sz w:val="28"/>
          <w:szCs w:val="28"/>
        </w:rPr>
      </w:pPr>
      <w:r>
        <w:rPr>
          <w:rFonts w:ascii="Arial Black" w:eastAsia="Times New Roman" w:hAnsi="Arial Black"/>
          <w:b/>
          <w:bCs/>
          <w:kern w:val="36"/>
          <w:sz w:val="28"/>
          <w:szCs w:val="28"/>
        </w:rPr>
        <w:lastRenderedPageBreak/>
        <w:t>CA: DEPORTATION – HELD FOR 2-YRS BY ICE – GETS BOND HEARING – WAS CA INMATE “FIRE CAMP” FIREFIGHTER</w:t>
      </w:r>
    </w:p>
    <w:p w14:paraId="22AB7C33" w14:textId="77777777" w:rsidR="00622D53" w:rsidRDefault="00622D53" w:rsidP="00622D53">
      <w:pPr>
        <w:pStyle w:val="Heading3"/>
        <w:rPr>
          <w:rFonts w:ascii="Times New Roman" w:hAnsi="Times New Roman" w:cs="Times New Roman"/>
          <w:color w:val="auto"/>
        </w:rPr>
      </w:pPr>
      <w:r w:rsidRPr="007A756D">
        <w:rPr>
          <w:rFonts w:ascii="Times New Roman" w:eastAsia="Times New Roman" w:hAnsi="Times New Roman" w:cs="Times New Roman"/>
          <w:color w:val="auto"/>
          <w:kern w:val="36"/>
        </w:rPr>
        <w:t xml:space="preserve">On Dec. 1, 2023, in </w:t>
      </w:r>
      <w:r w:rsidRPr="007A756D">
        <w:rPr>
          <w:rFonts w:ascii="Times New Roman" w:eastAsia="Times New Roman" w:hAnsi="Times New Roman" w:cs="Times New Roman"/>
          <w:color w:val="auto"/>
          <w:kern w:val="36"/>
          <w:u w:val="single"/>
        </w:rPr>
        <w:t xml:space="preserve">John Doe v. </w:t>
      </w:r>
      <w:r w:rsidRPr="007A756D">
        <w:rPr>
          <w:rFonts w:ascii="Times New Roman" w:hAnsi="Times New Roman" w:cs="Times New Roman"/>
          <w:color w:val="auto"/>
          <w:u w:val="single"/>
        </w:rPr>
        <w:t>Moises</w:t>
      </w:r>
      <w:r w:rsidRPr="007A756D">
        <w:rPr>
          <w:rFonts w:ascii="Times New Roman" w:hAnsi="Times New Roman" w:cs="Times New Roman"/>
          <w:color w:val="auto"/>
        </w:rPr>
        <w:t xml:space="preserve"> </w:t>
      </w:r>
      <w:r w:rsidRPr="007A756D">
        <w:rPr>
          <w:rFonts w:ascii="Times New Roman" w:eastAsia="Times New Roman" w:hAnsi="Times New Roman" w:cs="Times New Roman"/>
          <w:color w:val="auto"/>
          <w:kern w:val="36"/>
          <w:u w:val="single"/>
        </w:rPr>
        <w:t>Becerra</w:t>
      </w:r>
      <w:r w:rsidRPr="007A756D">
        <w:rPr>
          <w:rFonts w:ascii="Times New Roman" w:eastAsia="Times New Roman" w:hAnsi="Times New Roman" w:cs="Times New Roman"/>
          <w:color w:val="auto"/>
          <w:kern w:val="36"/>
        </w:rPr>
        <w:t xml:space="preserve">, U.S. District Court Judge P [Patrick] Casey Pitts, U.S. District Court Judge for Northern District of California (San Jose) ordered </w:t>
      </w:r>
      <w:r w:rsidRPr="007A756D">
        <w:rPr>
          <w:rFonts w:ascii="Times New Roman" w:hAnsi="Times New Roman" w:cs="Times New Roman"/>
          <w:color w:val="auto"/>
        </w:rPr>
        <w:t xml:space="preserve">U.S. Immigration and Customs Enforcement (ICE) to give the </w:t>
      </w:r>
      <w:r>
        <w:rPr>
          <w:rFonts w:ascii="Times New Roman" w:hAnsi="Times New Roman" w:cs="Times New Roman"/>
          <w:color w:val="auto"/>
        </w:rPr>
        <w:t xml:space="preserve">detainee (“John Doe” </w:t>
      </w:r>
      <w:r w:rsidRPr="005B43B2">
        <w:rPr>
          <w:rFonts w:ascii="Times New Roman" w:hAnsi="Times New Roman" w:cs="Times New Roman"/>
          <w:color w:val="auto"/>
        </w:rPr>
        <w:t xml:space="preserve">- </w:t>
      </w:r>
      <w:r w:rsidRPr="005B43B2">
        <w:rPr>
          <w:rFonts w:ascii="Times New Roman" w:hAnsi="Times New Roman" w:cs="Times New Roman"/>
        </w:rPr>
        <w:t>proceeding under a pseudonym)</w:t>
      </w:r>
      <w:r>
        <w:rPr>
          <w:rFonts w:ascii="Times New Roman" w:hAnsi="Times New Roman" w:cs="Times New Roman"/>
          <w:color w:val="auto"/>
        </w:rPr>
        <w:t xml:space="preserve"> awaiting deportation to Mexico (2 years in ICE custody) a bond hearing before an Immigration judge. </w:t>
      </w:r>
      <w:r w:rsidRPr="007A756D">
        <w:rPr>
          <w:rFonts w:ascii="Times New Roman" w:hAnsi="Times New Roman" w:cs="Times New Roman"/>
          <w:color w:val="auto"/>
        </w:rPr>
        <w:t xml:space="preserve">The Court wrote: “While in state custody, Mr. Doe joined the California Department of Corrections and Rehabilitation Fire Camp program and spent the last three years of his incarceration working as a firefighter. He completed his sentence in September 2021 and is on state parole until September 2024. If he </w:t>
      </w:r>
      <w:proofErr w:type="gramStart"/>
      <w:r w:rsidRPr="007A756D">
        <w:rPr>
          <w:rFonts w:ascii="Times New Roman" w:hAnsi="Times New Roman" w:cs="Times New Roman"/>
          <w:color w:val="auto"/>
        </w:rPr>
        <w:t>is able to</w:t>
      </w:r>
      <w:proofErr w:type="gramEnd"/>
      <w:r w:rsidRPr="007A756D">
        <w:rPr>
          <w:rFonts w:ascii="Times New Roman" w:hAnsi="Times New Roman" w:cs="Times New Roman"/>
          <w:color w:val="auto"/>
        </w:rPr>
        <w:t xml:space="preserve"> remain in the United States, Mr. Doe hopes to take advantage of a new law that enables Fire Camp participants like him to become professional firefighters upon release. *** On September 30, 2021, following his release from state detention, ICE took Mr. Doe into custody and detained him at the Golden State Annex (GSA) in McFarland, California. GSA is a private immigration detention facility operated for profit by GEO under contract with ICE. It is located outside the Northern District.</w:t>
      </w:r>
      <w:r w:rsidRPr="007A756D">
        <w:rPr>
          <w:color w:val="auto"/>
        </w:rPr>
        <w:t xml:space="preserve"> </w:t>
      </w:r>
      <w:r w:rsidRPr="007A756D">
        <w:rPr>
          <w:rFonts w:ascii="Times New Roman" w:hAnsi="Times New Roman" w:cs="Times New Roman"/>
          <w:color w:val="auto"/>
        </w:rPr>
        <w:t xml:space="preserve"> </w:t>
      </w:r>
      <w:hyperlink r:id="rId704" w:history="1">
        <w:r w:rsidRPr="00E359E2">
          <w:rPr>
            <w:rStyle w:val="Hyperlink"/>
            <w:rFonts w:ascii="Times New Roman" w:hAnsi="Times New Roman" w:cs="Times New Roman"/>
          </w:rPr>
          <w:t>https://caselaw.findlaw.com/court/us-dis-crt-n-d-cal/115575640.html</w:t>
        </w:r>
      </w:hyperlink>
      <w:r>
        <w:rPr>
          <w:rFonts w:ascii="Times New Roman" w:hAnsi="Times New Roman" w:cs="Times New Roman"/>
          <w:color w:val="auto"/>
        </w:rPr>
        <w:t xml:space="preserve"> </w:t>
      </w:r>
    </w:p>
    <w:p w14:paraId="70C92F5E" w14:textId="77777777" w:rsidR="0074687D" w:rsidRDefault="0074687D" w:rsidP="0074687D">
      <w:pPr>
        <w:spacing w:before="100" w:beforeAutospacing="1" w:after="100" w:afterAutospacing="1" w:line="240" w:lineRule="auto"/>
        <w:outlineLvl w:val="0"/>
        <w:rPr>
          <w:rFonts w:ascii="Times New Roman" w:hAnsi="Times New Roman"/>
          <w:b/>
          <w:bCs/>
          <w:sz w:val="24"/>
          <w:szCs w:val="24"/>
        </w:rPr>
      </w:pPr>
      <w:r w:rsidRPr="00FC093A">
        <w:rPr>
          <w:rFonts w:ascii="Times New Roman" w:hAnsi="Times New Roman"/>
          <w:b/>
          <w:bCs/>
          <w:sz w:val="24"/>
          <w:szCs w:val="24"/>
        </w:rPr>
        <w:t xml:space="preserve">Legal Lesson Learned: </w:t>
      </w:r>
      <w:r>
        <w:rPr>
          <w:rFonts w:ascii="Times New Roman" w:hAnsi="Times New Roman"/>
          <w:b/>
          <w:bCs/>
          <w:sz w:val="24"/>
          <w:szCs w:val="24"/>
        </w:rPr>
        <w:t xml:space="preserve">Even immigrants in custody for two years awaiting deportation have due process rights to a bond hearing. </w:t>
      </w:r>
    </w:p>
    <w:p w14:paraId="712B0B60" w14:textId="77777777" w:rsidR="0074687D" w:rsidRDefault="0074687D" w:rsidP="0074687D">
      <w:pPr>
        <w:pStyle w:val="Heading1"/>
        <w:ind w:left="720"/>
        <w:rPr>
          <w:b w:val="0"/>
          <w:bCs w:val="0"/>
          <w:kern w:val="0"/>
          <w:sz w:val="24"/>
          <w:szCs w:val="24"/>
        </w:rPr>
      </w:pPr>
      <w:r w:rsidRPr="00824AA4">
        <w:rPr>
          <w:b w:val="0"/>
          <w:bCs w:val="0"/>
          <w:sz w:val="24"/>
          <w:szCs w:val="24"/>
        </w:rPr>
        <w:t xml:space="preserve">Note: </w:t>
      </w:r>
      <w:r>
        <w:rPr>
          <w:b w:val="0"/>
          <w:bCs w:val="0"/>
          <w:sz w:val="24"/>
          <w:szCs w:val="24"/>
        </w:rPr>
        <w:t>“</w:t>
      </w:r>
      <w:r w:rsidRPr="00824AA4">
        <w:rPr>
          <w:b w:val="0"/>
          <w:bCs w:val="0"/>
          <w:sz w:val="24"/>
          <w:szCs w:val="24"/>
        </w:rPr>
        <w:t xml:space="preserve">The History of California’s Inmate Firefighter Program; </w:t>
      </w:r>
      <w:r w:rsidRPr="00824AA4">
        <w:rPr>
          <w:b w:val="0"/>
          <w:bCs w:val="0"/>
          <w:kern w:val="0"/>
          <w:sz w:val="24"/>
          <w:szCs w:val="24"/>
        </w:rPr>
        <w:t>The initiative, which finds prisoners working as first responders and rescuers, dates back to the 1940s</w:t>
      </w:r>
      <w:r>
        <w:rPr>
          <w:b w:val="0"/>
          <w:bCs w:val="0"/>
          <w:kern w:val="0"/>
          <w:sz w:val="24"/>
          <w:szCs w:val="24"/>
        </w:rPr>
        <w:t xml:space="preserve">.”  </w:t>
      </w:r>
      <w:hyperlink r:id="rId705" w:history="1">
        <w:r w:rsidRPr="001075D9">
          <w:rPr>
            <w:rStyle w:val="Hyperlink"/>
            <w:b w:val="0"/>
            <w:bCs w:val="0"/>
            <w:kern w:val="0"/>
            <w:sz w:val="24"/>
            <w:szCs w:val="24"/>
          </w:rPr>
          <w:t>https://www.smithsonianmag.com/history/the-history-of-californias-inmate-firefighter-program-180980662/</w:t>
        </w:r>
      </w:hyperlink>
      <w:r>
        <w:rPr>
          <w:b w:val="0"/>
          <w:bCs w:val="0"/>
          <w:kern w:val="0"/>
          <w:sz w:val="24"/>
          <w:szCs w:val="24"/>
        </w:rPr>
        <w:t xml:space="preserve"> </w:t>
      </w:r>
    </w:p>
    <w:p w14:paraId="1B60672D" w14:textId="77777777" w:rsidR="0074687D" w:rsidRPr="00824AA4" w:rsidRDefault="0074687D" w:rsidP="0074687D">
      <w:pPr>
        <w:pStyle w:val="Heading1"/>
        <w:ind w:left="1440"/>
        <w:rPr>
          <w:b w:val="0"/>
          <w:bCs w:val="0"/>
          <w:kern w:val="0"/>
          <w:sz w:val="24"/>
          <w:szCs w:val="24"/>
        </w:rPr>
      </w:pPr>
      <w:r>
        <w:rPr>
          <w:b w:val="0"/>
          <w:bCs w:val="0"/>
          <w:sz w:val="24"/>
          <w:szCs w:val="24"/>
        </w:rPr>
        <w:t>“</w:t>
      </w:r>
      <w:r w:rsidRPr="001907F8">
        <w:rPr>
          <w:b w:val="0"/>
          <w:bCs w:val="0"/>
          <w:sz w:val="24"/>
          <w:szCs w:val="24"/>
        </w:rPr>
        <w:t xml:space="preserve">Since World War II, California has relied on a unique group of firefighters to battle its conflagrations: </w:t>
      </w:r>
      <w:hyperlink r:id="rId706" w:tgtFrame="_blank" w:history="1">
        <w:r w:rsidRPr="001907F8">
          <w:rPr>
            <w:rStyle w:val="Hyperlink"/>
            <w:b w:val="0"/>
            <w:bCs w:val="0"/>
            <w:sz w:val="24"/>
            <w:szCs w:val="24"/>
          </w:rPr>
          <w:t>inmates</w:t>
        </w:r>
      </w:hyperlink>
      <w:r w:rsidRPr="001907F8">
        <w:rPr>
          <w:b w:val="0"/>
          <w:bCs w:val="0"/>
          <w:sz w:val="24"/>
          <w:szCs w:val="24"/>
        </w:rPr>
        <w:t xml:space="preserve">. Prisoners who want to enter the </w:t>
      </w:r>
      <w:hyperlink r:id="rId707" w:tgtFrame="_blank" w:history="1">
        <w:r w:rsidRPr="001907F8">
          <w:rPr>
            <w:rStyle w:val="Hyperlink"/>
            <w:b w:val="0"/>
            <w:bCs w:val="0"/>
            <w:sz w:val="24"/>
            <w:szCs w:val="24"/>
          </w:rPr>
          <w:t>Conservation Camp Program</w:t>
        </w:r>
      </w:hyperlink>
      <w:r w:rsidRPr="001907F8">
        <w:rPr>
          <w:b w:val="0"/>
          <w:bCs w:val="0"/>
          <w:sz w:val="24"/>
          <w:szCs w:val="24"/>
        </w:rPr>
        <w:t xml:space="preserve"> must meet security requirements and undergo two weeks of training. The all-inmate crews live in so-called </w:t>
      </w:r>
      <w:hyperlink r:id="rId708" w:tgtFrame="_blank" w:history="1">
        <w:r w:rsidRPr="001907F8">
          <w:rPr>
            <w:rStyle w:val="Hyperlink"/>
            <w:b w:val="0"/>
            <w:bCs w:val="0"/>
            <w:sz w:val="24"/>
            <w:szCs w:val="24"/>
          </w:rPr>
          <w:t>fire camps</w:t>
        </w:r>
      </w:hyperlink>
      <w:r w:rsidRPr="001907F8">
        <w:rPr>
          <w:b w:val="0"/>
          <w:bCs w:val="0"/>
          <w:sz w:val="24"/>
          <w:szCs w:val="24"/>
        </w:rPr>
        <w:t xml:space="preserve"> and are led by personnel from the California Department of Forestry and Fire Protection, or Cal Fire. They earn between </w:t>
      </w:r>
      <w:hyperlink r:id="rId709" w:tgtFrame="_blank" w:history="1">
        <w:r w:rsidRPr="001907F8">
          <w:rPr>
            <w:rStyle w:val="Hyperlink"/>
            <w:b w:val="0"/>
            <w:bCs w:val="0"/>
            <w:sz w:val="24"/>
            <w:szCs w:val="24"/>
          </w:rPr>
          <w:t>$2.90</w:t>
        </w:r>
      </w:hyperlink>
      <w:r w:rsidRPr="001907F8">
        <w:rPr>
          <w:b w:val="0"/>
          <w:bCs w:val="0"/>
          <w:sz w:val="24"/>
          <w:szCs w:val="24"/>
        </w:rPr>
        <w:t xml:space="preserve"> and $5 a day depending on their duties—and </w:t>
      </w:r>
      <w:hyperlink r:id="rId710" w:tgtFrame="_blank" w:history="1">
        <w:r w:rsidRPr="001907F8">
          <w:rPr>
            <w:rStyle w:val="Hyperlink"/>
            <w:b w:val="0"/>
            <w:bCs w:val="0"/>
            <w:sz w:val="24"/>
            <w:szCs w:val="24"/>
          </w:rPr>
          <w:t>slightly more</w:t>
        </w:r>
      </w:hyperlink>
      <w:r w:rsidRPr="001907F8">
        <w:rPr>
          <w:b w:val="0"/>
          <w:bCs w:val="0"/>
          <w:sz w:val="24"/>
          <w:szCs w:val="24"/>
        </w:rPr>
        <w:t xml:space="preserve"> when actively fighting a fire. Though their numbers have fluctuated over the years, they have often comprised </w:t>
      </w:r>
      <w:hyperlink r:id="rId711" w:tgtFrame="_blank" w:history="1">
        <w:r w:rsidRPr="001907F8">
          <w:rPr>
            <w:rStyle w:val="Hyperlink"/>
            <w:b w:val="0"/>
            <w:bCs w:val="0"/>
            <w:sz w:val="24"/>
            <w:szCs w:val="24"/>
          </w:rPr>
          <w:t>approximately one-third</w:t>
        </w:r>
      </w:hyperlink>
      <w:r w:rsidRPr="001907F8">
        <w:rPr>
          <w:b w:val="0"/>
          <w:bCs w:val="0"/>
          <w:sz w:val="24"/>
          <w:szCs w:val="24"/>
        </w:rPr>
        <w:t xml:space="preserve"> of California’s firefighting force.</w:t>
      </w:r>
      <w:r>
        <w:rPr>
          <w:b w:val="0"/>
          <w:bCs w:val="0"/>
          <w:sz w:val="24"/>
          <w:szCs w:val="24"/>
        </w:rPr>
        <w:t>”</w:t>
      </w:r>
    </w:p>
    <w:p w14:paraId="5C62E238" w14:textId="77777777" w:rsidR="0074687D" w:rsidRDefault="0074687D" w:rsidP="0074687D">
      <w:pPr>
        <w:pStyle w:val="NormalWeb"/>
        <w:jc w:val="center"/>
        <w:rPr>
          <w:b/>
          <w:bCs/>
        </w:rPr>
      </w:pPr>
    </w:p>
    <w:p w14:paraId="6EEF6381" w14:textId="77777777" w:rsidR="0074687D" w:rsidRPr="0074687D" w:rsidRDefault="0074687D" w:rsidP="0074687D"/>
    <w:p w14:paraId="1D6D53B5" w14:textId="77777777" w:rsidR="00622D53" w:rsidRDefault="00622D53" w:rsidP="00F326E5">
      <w:pPr>
        <w:pStyle w:val="NoSpacing"/>
        <w:rPr>
          <w:rFonts w:ascii="Arial Black" w:hAnsi="Arial Black"/>
          <w:sz w:val="28"/>
          <w:szCs w:val="28"/>
        </w:rPr>
      </w:pPr>
    </w:p>
    <w:p w14:paraId="6F584BA8" w14:textId="77777777" w:rsidR="00622D53" w:rsidRDefault="00622D53" w:rsidP="00F326E5">
      <w:pPr>
        <w:pStyle w:val="NoSpacing"/>
        <w:rPr>
          <w:rFonts w:ascii="Arial Black" w:hAnsi="Arial Black"/>
          <w:sz w:val="28"/>
          <w:szCs w:val="28"/>
        </w:rPr>
      </w:pPr>
    </w:p>
    <w:p w14:paraId="4B68C931" w14:textId="3F74168E" w:rsidR="00BB49C5" w:rsidRDefault="00BB49C5" w:rsidP="00F326E5">
      <w:pPr>
        <w:pStyle w:val="NoSpacing"/>
        <w:rPr>
          <w:rFonts w:ascii="Arial Black" w:hAnsi="Arial Black"/>
          <w:sz w:val="28"/>
          <w:szCs w:val="28"/>
        </w:rPr>
      </w:pPr>
      <w:r>
        <w:rPr>
          <w:rFonts w:ascii="Arial Black" w:hAnsi="Arial Black"/>
          <w:sz w:val="28"/>
          <w:szCs w:val="28"/>
        </w:rPr>
        <w:t>3-5</w:t>
      </w:r>
      <w:r w:rsidR="00ED4EAF">
        <w:rPr>
          <w:rFonts w:ascii="Arial Black" w:hAnsi="Arial Black"/>
          <w:sz w:val="28"/>
          <w:szCs w:val="28"/>
        </w:rPr>
        <w:t>5</w:t>
      </w:r>
    </w:p>
    <w:p w14:paraId="0053C179" w14:textId="77777777" w:rsidR="00BB49C5" w:rsidRPr="004735F4" w:rsidRDefault="00BB49C5" w:rsidP="00BB49C5">
      <w:pPr>
        <w:pStyle w:val="NormalWeb"/>
        <w:rPr>
          <w:rFonts w:ascii="Arial Black" w:hAnsi="Arial Black"/>
          <w:b/>
          <w:bCs/>
          <w:sz w:val="28"/>
          <w:szCs w:val="28"/>
        </w:rPr>
      </w:pPr>
      <w:r>
        <w:rPr>
          <w:rFonts w:ascii="Arial Black" w:hAnsi="Arial Black"/>
          <w:b/>
          <w:bCs/>
          <w:sz w:val="28"/>
          <w:szCs w:val="28"/>
        </w:rPr>
        <w:t>TX: TEXAS GOV. ORDER - MIGRANTS NOT BE GIVEN RIDES - IMMIGRANT ADVOCATES CAN’T SUE – FED. INJUNCTION</w:t>
      </w:r>
    </w:p>
    <w:p w14:paraId="2831E47F" w14:textId="77777777" w:rsidR="00BB49C5" w:rsidRDefault="00BB49C5" w:rsidP="00BB49C5">
      <w:pPr>
        <w:pStyle w:val="NormalWeb"/>
      </w:pPr>
      <w:r>
        <w:t xml:space="preserve">On Oct. 27, 2023, in </w:t>
      </w:r>
      <w:r w:rsidRPr="004735F4">
        <w:rPr>
          <w:u w:val="single"/>
        </w:rPr>
        <w:t>United States of America v. Greg Abbott, et al</w:t>
      </w:r>
      <w:r>
        <w:t xml:space="preserve">., the U.S. Court of Appeals for the Fifth Circuit (New Orleans) held (2 to 1) that the U.S. District Court improperly denied the Governor’s motion to dismiss the three non-profits immigration advocates’ Fourth Amendment claims, since the Governor enjoys sovereign immunity from private party lawsuits.  Sovereign immunity forbids suits against a State and its officers in their official capacities. The Court held: “We agree with the Governor that sovereign immunity bars </w:t>
      </w:r>
      <w:r>
        <w:lastRenderedPageBreak/>
        <w:t xml:space="preserve">the lawsuit brought by the private plaintiffs. We reverse and remand with instructions to dismiss the suit against the Governor.” However, the Federal Government sued and in Aug. 2021 obtained an injunction against the Governor’s order and that injunction remains in place. </w:t>
      </w:r>
      <w:hyperlink r:id="rId712" w:history="1">
        <w:r w:rsidRPr="0097451D">
          <w:rPr>
            <w:rStyle w:val="Hyperlink"/>
            <w:rFonts w:eastAsiaTheme="majorEastAsia"/>
          </w:rPr>
          <w:t>https://cases.justia.com/federal/appellate-courts/ca5/22-50212/22-50212-2023-10-27.pdf?ts=1698427826</w:t>
        </w:r>
      </w:hyperlink>
      <w:r>
        <w:t xml:space="preserve"> </w:t>
      </w:r>
    </w:p>
    <w:p w14:paraId="40EE6571" w14:textId="77777777" w:rsidR="00BB49C5" w:rsidRPr="00D77256" w:rsidRDefault="00BB49C5" w:rsidP="00BB49C5">
      <w:pPr>
        <w:pStyle w:val="NormalWeb"/>
        <w:rPr>
          <w:b/>
          <w:bCs/>
        </w:rPr>
      </w:pPr>
      <w:r w:rsidRPr="00D77256">
        <w:rPr>
          <w:b/>
          <w:bCs/>
        </w:rPr>
        <w:t xml:space="preserve">Legal Lesson Learned: </w:t>
      </w:r>
      <w:r>
        <w:rPr>
          <w:b/>
          <w:bCs/>
        </w:rPr>
        <w:t xml:space="preserve">The lawsuit by USA will proceed. </w:t>
      </w:r>
    </w:p>
    <w:p w14:paraId="14B67253" w14:textId="77777777" w:rsidR="00BB49C5" w:rsidRPr="003402EF" w:rsidRDefault="00BB49C5" w:rsidP="00BB49C5">
      <w:pPr>
        <w:pStyle w:val="Heading1"/>
        <w:ind w:left="720"/>
        <w:rPr>
          <w:b w:val="0"/>
          <w:bCs w:val="0"/>
          <w:sz w:val="24"/>
          <w:szCs w:val="24"/>
        </w:rPr>
      </w:pPr>
      <w:r w:rsidRPr="003402EF">
        <w:rPr>
          <w:b w:val="0"/>
          <w:bCs w:val="0"/>
          <w:sz w:val="24"/>
          <w:szCs w:val="24"/>
        </w:rPr>
        <w:t xml:space="preserve">Note: The ruling does not affect a similar legal challenge brought by the Biden administration, leaving an August 2021 lower court’s injunction in place. See Oct. 27, </w:t>
      </w:r>
      <w:proofErr w:type="gramStart"/>
      <w:r w:rsidRPr="003402EF">
        <w:rPr>
          <w:b w:val="0"/>
          <w:bCs w:val="0"/>
          <w:sz w:val="24"/>
          <w:szCs w:val="24"/>
        </w:rPr>
        <w:t>2023</w:t>
      </w:r>
      <w:proofErr w:type="gramEnd"/>
      <w:r w:rsidRPr="003402EF">
        <w:rPr>
          <w:b w:val="0"/>
          <w:bCs w:val="0"/>
          <w:sz w:val="24"/>
          <w:szCs w:val="24"/>
        </w:rPr>
        <w:t xml:space="preserve"> article, </w:t>
      </w:r>
      <w:r>
        <w:rPr>
          <w:b w:val="0"/>
          <w:bCs w:val="0"/>
          <w:sz w:val="24"/>
          <w:szCs w:val="24"/>
        </w:rPr>
        <w:t>“</w:t>
      </w:r>
      <w:r w:rsidRPr="003402EF">
        <w:rPr>
          <w:b w:val="0"/>
          <w:bCs w:val="0"/>
          <w:sz w:val="24"/>
          <w:szCs w:val="24"/>
        </w:rPr>
        <w:t>US appeals court tosses lawsuit over Texas migrant transportation restrictions</w:t>
      </w:r>
      <w:r>
        <w:rPr>
          <w:b w:val="0"/>
          <w:bCs w:val="0"/>
          <w:sz w:val="24"/>
          <w:szCs w:val="24"/>
        </w:rPr>
        <w:t xml:space="preserve">.” </w:t>
      </w:r>
      <w:hyperlink r:id="rId713" w:history="1">
        <w:r w:rsidRPr="00956CFD">
          <w:rPr>
            <w:rStyle w:val="Hyperlink"/>
            <w:rFonts w:eastAsiaTheme="majorEastAsia"/>
            <w:b w:val="0"/>
            <w:bCs w:val="0"/>
            <w:sz w:val="24"/>
            <w:szCs w:val="24"/>
          </w:rPr>
          <w:t>https://www.theguardian.com/us-news/2023/oct/27/lawsuit-dismissed-texas-greg-abbott-transport-immigration</w:t>
        </w:r>
      </w:hyperlink>
      <w:r>
        <w:rPr>
          <w:b w:val="0"/>
          <w:bCs w:val="0"/>
          <w:sz w:val="24"/>
          <w:szCs w:val="24"/>
        </w:rPr>
        <w:t xml:space="preserve"> </w:t>
      </w:r>
    </w:p>
    <w:p w14:paraId="56B53233" w14:textId="77777777" w:rsidR="00BB49C5" w:rsidRDefault="00BB49C5" w:rsidP="00F326E5">
      <w:pPr>
        <w:pStyle w:val="NoSpacing"/>
        <w:rPr>
          <w:rFonts w:ascii="Arial Black" w:hAnsi="Arial Black"/>
          <w:sz w:val="28"/>
          <w:szCs w:val="28"/>
        </w:rPr>
      </w:pPr>
    </w:p>
    <w:p w14:paraId="7CBBFD18" w14:textId="77777777" w:rsidR="00BB49C5" w:rsidRDefault="00BB49C5" w:rsidP="00F326E5">
      <w:pPr>
        <w:pStyle w:val="NoSpacing"/>
        <w:rPr>
          <w:rFonts w:ascii="Arial Black" w:hAnsi="Arial Black"/>
          <w:sz w:val="28"/>
          <w:szCs w:val="28"/>
        </w:rPr>
      </w:pPr>
    </w:p>
    <w:p w14:paraId="33A196E0" w14:textId="4363ED55" w:rsidR="009B0593" w:rsidRDefault="009B0593" w:rsidP="00F326E5">
      <w:pPr>
        <w:pStyle w:val="NoSpacing"/>
        <w:rPr>
          <w:rFonts w:ascii="Arial Black" w:hAnsi="Arial Black"/>
          <w:sz w:val="28"/>
          <w:szCs w:val="28"/>
        </w:rPr>
      </w:pPr>
      <w:r>
        <w:rPr>
          <w:rFonts w:ascii="Arial Black" w:hAnsi="Arial Black"/>
          <w:sz w:val="28"/>
          <w:szCs w:val="28"/>
        </w:rPr>
        <w:t>3-5</w:t>
      </w:r>
      <w:r w:rsidR="00ED4EAF">
        <w:rPr>
          <w:rFonts w:ascii="Arial Black" w:hAnsi="Arial Black"/>
          <w:sz w:val="28"/>
          <w:szCs w:val="28"/>
        </w:rPr>
        <w:t>4</w:t>
      </w:r>
    </w:p>
    <w:p w14:paraId="36E218C9" w14:textId="77777777" w:rsidR="009B0593" w:rsidRPr="004C7E57" w:rsidRDefault="009B0593" w:rsidP="009B0593">
      <w:pPr>
        <w:pStyle w:val="NormalWeb"/>
        <w:rPr>
          <w:rFonts w:ascii="Arial Black" w:hAnsi="Arial Black"/>
          <w:sz w:val="28"/>
          <w:szCs w:val="28"/>
        </w:rPr>
      </w:pPr>
      <w:r>
        <w:rPr>
          <w:rFonts w:ascii="Arial Black" w:hAnsi="Arial Black"/>
          <w:sz w:val="28"/>
          <w:szCs w:val="28"/>
        </w:rPr>
        <w:t>IL: AFTER TRIAL FBI PAID CONFIDENTIAL SOURCE $50,000 BONUS – COURT HEARING - NO REVERSAL CONVICTIONS</w:t>
      </w:r>
    </w:p>
    <w:p w14:paraId="1ADDBA74" w14:textId="77777777" w:rsidR="009B0593" w:rsidRDefault="009B0593" w:rsidP="009B0593">
      <w:pPr>
        <w:pStyle w:val="NormalWeb"/>
      </w:pPr>
      <w:r>
        <w:t xml:space="preserve">On Aug. 18, 2023, in </w:t>
      </w:r>
      <w:r w:rsidRPr="004C7E57">
        <w:rPr>
          <w:u w:val="single"/>
        </w:rPr>
        <w:t>United States of America v, Joseph D. Jones and Edward Schimenti</w:t>
      </w:r>
      <w:r>
        <w:t>, the U.S. Court of Appeals for 7</w:t>
      </w:r>
      <w:r w:rsidRPr="004C7E57">
        <w:rPr>
          <w:vertAlign w:val="superscript"/>
        </w:rPr>
        <w:t>th</w:t>
      </w:r>
      <w:r>
        <w:t xml:space="preserve"> Circuit (Chicago) held (3 to 0) that trial court properly denied defense motion for a new trial.  The evidence providing material support to the terrorist organization ISIS by two defendants was so strong, the 7th Circuit concluded that the disclosure at trial of the planned or contemplated post-trial bonus payment would not have resulted in the jury acquitting the defendants. </w:t>
      </w:r>
    </w:p>
    <w:p w14:paraId="4746A90A" w14:textId="77777777" w:rsidR="009B0593" w:rsidRDefault="009B0593" w:rsidP="009B0593">
      <w:pPr>
        <w:pStyle w:val="NormalWeb"/>
        <w:ind w:left="720"/>
      </w:pPr>
      <w:r>
        <w:t>The Court of Appeals held: “We likewise agree with the district court's denial of Jones and Schimenti's motion for a new trial based on a revelation that emerged after trial regarding a substantial payment the government made to a confidential source shortly after the jury convicted both defendants. What happened raises many questions, but, like the district court, we cannot conclude an earlier disclosure of a planned or contemplated post-trial payment would have resulted in the jury acquitting Jones or Schimenti. All of this leads us to affirm.”</w:t>
      </w:r>
      <w:hyperlink r:id="rId714" w:history="1">
        <w:r w:rsidRPr="00955A98">
          <w:rPr>
            <w:rStyle w:val="Hyperlink"/>
            <w:rFonts w:eastAsiaTheme="majorEastAsia"/>
          </w:rPr>
          <w:t>https://caselaw.findlaw.com/court/us-7th-circuit/114903686.html</w:t>
        </w:r>
      </w:hyperlink>
      <w:r>
        <w:t xml:space="preserve"> </w:t>
      </w:r>
    </w:p>
    <w:p w14:paraId="3E0D15B0" w14:textId="77777777" w:rsidR="009B0593" w:rsidRPr="006B6BC8" w:rsidRDefault="009B0593" w:rsidP="009B0593">
      <w:pPr>
        <w:pStyle w:val="NormalWeb"/>
        <w:rPr>
          <w:b/>
          <w:bCs/>
        </w:rPr>
      </w:pPr>
      <w:r w:rsidRPr="006B6BC8">
        <w:rPr>
          <w:b/>
          <w:bCs/>
        </w:rPr>
        <w:t xml:space="preserve">Legal Lesson Learned: </w:t>
      </w:r>
      <w:r>
        <w:rPr>
          <w:b/>
          <w:bCs/>
        </w:rPr>
        <w:t xml:space="preserve">Bonus payments to a confidential source after trial can lead to post-trial hearings. </w:t>
      </w:r>
    </w:p>
    <w:p w14:paraId="10F234D9" w14:textId="77777777" w:rsidR="009B0593" w:rsidRDefault="009B0593" w:rsidP="00F326E5">
      <w:pPr>
        <w:pStyle w:val="NoSpacing"/>
        <w:rPr>
          <w:rFonts w:ascii="Arial Black" w:hAnsi="Arial Black"/>
          <w:sz w:val="28"/>
          <w:szCs w:val="28"/>
        </w:rPr>
      </w:pPr>
    </w:p>
    <w:p w14:paraId="1F9E8713" w14:textId="77777777" w:rsidR="009B0593" w:rsidRDefault="009B0593" w:rsidP="00F326E5">
      <w:pPr>
        <w:pStyle w:val="NoSpacing"/>
        <w:rPr>
          <w:rFonts w:ascii="Arial Black" w:hAnsi="Arial Black"/>
          <w:sz w:val="28"/>
          <w:szCs w:val="28"/>
        </w:rPr>
      </w:pPr>
    </w:p>
    <w:p w14:paraId="24E41B73" w14:textId="1B847B0B" w:rsidR="00DC17BF" w:rsidRDefault="00FE60DA" w:rsidP="00F326E5">
      <w:pPr>
        <w:pStyle w:val="NoSpacing"/>
        <w:rPr>
          <w:rFonts w:ascii="Arial Black" w:hAnsi="Arial Black"/>
          <w:sz w:val="28"/>
          <w:szCs w:val="28"/>
        </w:rPr>
      </w:pPr>
      <w:r>
        <w:rPr>
          <w:rFonts w:ascii="Arial Black" w:hAnsi="Arial Black"/>
          <w:sz w:val="28"/>
          <w:szCs w:val="28"/>
        </w:rPr>
        <w:t>3-5</w:t>
      </w:r>
      <w:r w:rsidR="00ED4EAF">
        <w:rPr>
          <w:rFonts w:ascii="Arial Black" w:hAnsi="Arial Black"/>
          <w:sz w:val="28"/>
          <w:szCs w:val="28"/>
        </w:rPr>
        <w:t>3</w:t>
      </w:r>
    </w:p>
    <w:p w14:paraId="4CF61886" w14:textId="6E6B7568" w:rsidR="00FE60DA" w:rsidRPr="00DB3ABA" w:rsidRDefault="00FE60DA" w:rsidP="00FE60DA">
      <w:pPr>
        <w:pStyle w:val="NormalWeb"/>
        <w:rPr>
          <w:rFonts w:ascii="Arial Black" w:hAnsi="Arial Black"/>
          <w:sz w:val="28"/>
          <w:szCs w:val="28"/>
        </w:rPr>
      </w:pPr>
      <w:r>
        <w:rPr>
          <w:rFonts w:ascii="Arial Black" w:hAnsi="Arial Black"/>
          <w:sz w:val="28"/>
          <w:szCs w:val="28"/>
        </w:rPr>
        <w:t xml:space="preserve">LA: FED. JUDGE INJUNCTION – FED. GOV’T TRYING </w:t>
      </w:r>
      <w:r w:rsidR="00735F6B">
        <w:rPr>
          <w:rFonts w:ascii="Arial Black" w:hAnsi="Arial Black"/>
          <w:sz w:val="28"/>
          <w:szCs w:val="28"/>
        </w:rPr>
        <w:t xml:space="preserve">GET </w:t>
      </w:r>
      <w:r>
        <w:rPr>
          <w:rFonts w:ascii="Arial Black" w:hAnsi="Arial Black"/>
          <w:sz w:val="28"/>
          <w:szCs w:val="28"/>
        </w:rPr>
        <w:t xml:space="preserve">FACEBOOK, TWITTER TO DELETE POSTS - DOJ APPEALS </w:t>
      </w:r>
    </w:p>
    <w:p w14:paraId="1817A0C1" w14:textId="342A70FD" w:rsidR="00FE60DA" w:rsidRDefault="00FE60DA" w:rsidP="00FE60DA">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On July 4, 2023, in </w:t>
      </w:r>
      <w:r w:rsidRPr="00E83DE8">
        <w:rPr>
          <w:rFonts w:ascii="Times New Roman" w:hAnsi="Times New Roman"/>
          <w:sz w:val="24"/>
          <w:szCs w:val="24"/>
          <w:u w:val="single"/>
        </w:rPr>
        <w:t>State of Missouri, et al. v. Joseph R. Biden, Jr., et al</w:t>
      </w:r>
      <w:r>
        <w:rPr>
          <w:rFonts w:ascii="Times New Roman" w:hAnsi="Times New Roman"/>
          <w:sz w:val="24"/>
          <w:szCs w:val="24"/>
        </w:rPr>
        <w:t xml:space="preserve">, U.S. District Court Judge Terry A. Doughty, U.S. District Court for Western District of Louisiana, Monroe Division, granted State of Missouri, State of Louisiana, and five individuals a preliminary injunction (but denied class action) concerning Whitehouse efforts to get social media companies to delete posts that opposed Covid-19 vaccinations, and other “hot” topics.  The judge’s 155-page opinion has drawn national attention and promptly appealed by U.S. </w:t>
      </w:r>
      <w:r>
        <w:rPr>
          <w:rFonts w:ascii="Times New Roman" w:hAnsi="Times New Roman"/>
          <w:sz w:val="24"/>
          <w:szCs w:val="24"/>
        </w:rPr>
        <w:lastRenderedPageBreak/>
        <w:t>Department of Justice to the U.S. Court of Appeals for 5</w:t>
      </w:r>
      <w:r w:rsidRPr="00E83DE8">
        <w:rPr>
          <w:rFonts w:ascii="Times New Roman" w:hAnsi="Times New Roman"/>
          <w:sz w:val="24"/>
          <w:szCs w:val="24"/>
          <w:vertAlign w:val="superscript"/>
        </w:rPr>
        <w:t>th</w:t>
      </w:r>
      <w:r>
        <w:rPr>
          <w:rFonts w:ascii="Times New Roman" w:hAnsi="Times New Roman"/>
          <w:sz w:val="24"/>
          <w:szCs w:val="24"/>
        </w:rPr>
        <w:t xml:space="preserve"> Circuit (New Orleans).  </w:t>
      </w:r>
      <w:hyperlink r:id="rId715" w:history="1">
        <w:r w:rsidR="0062739C" w:rsidRPr="00812663">
          <w:rPr>
            <w:rStyle w:val="Hyperlink"/>
          </w:rPr>
          <w:t>https://casetext.com/case/baarbe-v-the-syrian-arab-republic</w:t>
        </w:r>
      </w:hyperlink>
    </w:p>
    <w:p w14:paraId="5D7EB7F2" w14:textId="77777777" w:rsidR="00FE60DA" w:rsidRDefault="00FE60DA" w:rsidP="00FE60DA">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Judge Doughty (nominated by President Trump in 2017) wrote: “</w:t>
      </w:r>
      <w:r w:rsidRPr="00DB3ABA">
        <w:rPr>
          <w:rFonts w:ascii="Times New Roman" w:hAnsi="Times New Roman"/>
          <w:sz w:val="24"/>
          <w:szCs w:val="24"/>
        </w:rPr>
        <w:t>The Plaintiffs are likely to succeed on the merits in establishing that the Government has</w:t>
      </w:r>
      <w:r>
        <w:rPr>
          <w:rFonts w:ascii="Times New Roman" w:hAnsi="Times New Roman"/>
          <w:sz w:val="24"/>
          <w:szCs w:val="24"/>
        </w:rPr>
        <w:t xml:space="preserve"> </w:t>
      </w:r>
      <w:r w:rsidRPr="00DB3ABA">
        <w:rPr>
          <w:rFonts w:ascii="Times New Roman" w:hAnsi="Times New Roman"/>
          <w:sz w:val="24"/>
          <w:szCs w:val="24"/>
        </w:rPr>
        <w:t>used its power to silence the opposition. Opposition to COVID-19 vaccines; opposition to</w:t>
      </w:r>
      <w:r>
        <w:rPr>
          <w:rFonts w:ascii="Times New Roman" w:hAnsi="Times New Roman"/>
          <w:sz w:val="24"/>
          <w:szCs w:val="24"/>
        </w:rPr>
        <w:t xml:space="preserve"> </w:t>
      </w:r>
      <w:r w:rsidRPr="00DB3ABA">
        <w:rPr>
          <w:rFonts w:ascii="Times New Roman" w:hAnsi="Times New Roman"/>
          <w:sz w:val="24"/>
          <w:szCs w:val="24"/>
        </w:rPr>
        <w:t>COVID-19 masking and lockdowns; opposition to the lab-leak theory of COVID-19; opposition</w:t>
      </w:r>
      <w:r>
        <w:rPr>
          <w:rFonts w:ascii="Times New Roman" w:hAnsi="Times New Roman"/>
          <w:sz w:val="24"/>
          <w:szCs w:val="24"/>
        </w:rPr>
        <w:t xml:space="preserve"> </w:t>
      </w:r>
      <w:r w:rsidRPr="00DB3ABA">
        <w:rPr>
          <w:rFonts w:ascii="Times New Roman" w:hAnsi="Times New Roman"/>
          <w:sz w:val="24"/>
          <w:szCs w:val="24"/>
        </w:rPr>
        <w:t>to the validity of the 2020 election; opposition to President Biden’s policies; statements that the</w:t>
      </w:r>
      <w:r>
        <w:rPr>
          <w:rFonts w:ascii="Times New Roman" w:hAnsi="Times New Roman"/>
          <w:sz w:val="24"/>
          <w:szCs w:val="24"/>
        </w:rPr>
        <w:t xml:space="preserve"> </w:t>
      </w:r>
      <w:r w:rsidRPr="00DB3ABA">
        <w:rPr>
          <w:rFonts w:ascii="Times New Roman" w:hAnsi="Times New Roman"/>
          <w:sz w:val="24"/>
          <w:szCs w:val="24"/>
        </w:rPr>
        <w:t>Hunter Biden laptop story was true; and opposition to policies of the government officials in</w:t>
      </w:r>
      <w:r>
        <w:rPr>
          <w:rFonts w:ascii="Times New Roman" w:hAnsi="Times New Roman"/>
          <w:sz w:val="24"/>
          <w:szCs w:val="24"/>
        </w:rPr>
        <w:t xml:space="preserve"> </w:t>
      </w:r>
      <w:r w:rsidRPr="00DB3ABA">
        <w:rPr>
          <w:rFonts w:ascii="Times New Roman" w:hAnsi="Times New Roman"/>
          <w:sz w:val="24"/>
          <w:szCs w:val="24"/>
        </w:rPr>
        <w:t>power. All were suppressed. It is quite telling that each example or category of suppressed speech</w:t>
      </w:r>
      <w:r>
        <w:rPr>
          <w:rFonts w:ascii="Times New Roman" w:hAnsi="Times New Roman"/>
          <w:sz w:val="24"/>
          <w:szCs w:val="24"/>
        </w:rPr>
        <w:t xml:space="preserve"> </w:t>
      </w:r>
      <w:r w:rsidRPr="00DB3ABA">
        <w:rPr>
          <w:rFonts w:ascii="Times New Roman" w:hAnsi="Times New Roman"/>
          <w:sz w:val="24"/>
          <w:szCs w:val="24"/>
        </w:rPr>
        <w:t>was conservative in nature. This targeted suppression of conservative ideas is a perfect example</w:t>
      </w:r>
      <w:r>
        <w:rPr>
          <w:rFonts w:ascii="Times New Roman" w:hAnsi="Times New Roman"/>
          <w:sz w:val="24"/>
          <w:szCs w:val="24"/>
        </w:rPr>
        <w:t xml:space="preserve"> </w:t>
      </w:r>
      <w:r w:rsidRPr="00DB3ABA">
        <w:rPr>
          <w:rFonts w:ascii="Times New Roman" w:hAnsi="Times New Roman"/>
          <w:sz w:val="24"/>
          <w:szCs w:val="24"/>
        </w:rPr>
        <w:t xml:space="preserve">of viewpoint discrimination </w:t>
      </w:r>
      <w:proofErr w:type="gramStart"/>
      <w:r w:rsidRPr="00DB3ABA">
        <w:rPr>
          <w:rFonts w:ascii="Times New Roman" w:hAnsi="Times New Roman"/>
          <w:sz w:val="24"/>
          <w:szCs w:val="24"/>
        </w:rPr>
        <w:t>of</w:t>
      </w:r>
      <w:proofErr w:type="gramEnd"/>
      <w:r w:rsidRPr="00DB3ABA">
        <w:rPr>
          <w:rFonts w:ascii="Times New Roman" w:hAnsi="Times New Roman"/>
          <w:sz w:val="24"/>
          <w:szCs w:val="24"/>
        </w:rPr>
        <w:t xml:space="preserve"> political speech. American citizens have the right to engage in free</w:t>
      </w:r>
      <w:r>
        <w:rPr>
          <w:rFonts w:ascii="Times New Roman" w:hAnsi="Times New Roman"/>
          <w:sz w:val="24"/>
          <w:szCs w:val="24"/>
        </w:rPr>
        <w:t xml:space="preserve"> </w:t>
      </w:r>
      <w:r w:rsidRPr="00DB3ABA">
        <w:rPr>
          <w:rFonts w:ascii="Times New Roman" w:hAnsi="Times New Roman"/>
          <w:sz w:val="24"/>
          <w:szCs w:val="24"/>
        </w:rPr>
        <w:t>debate about the significant issues affecting the country.</w:t>
      </w:r>
      <w:r>
        <w:rPr>
          <w:rFonts w:ascii="Times New Roman" w:hAnsi="Times New Roman"/>
          <w:sz w:val="24"/>
          <w:szCs w:val="24"/>
        </w:rPr>
        <w:t xml:space="preserve">” </w:t>
      </w:r>
      <w:hyperlink r:id="rId716" w:history="1">
        <w:r w:rsidRPr="00812663">
          <w:rPr>
            <w:rStyle w:val="Hyperlink"/>
            <w:sz w:val="24"/>
            <w:szCs w:val="24"/>
          </w:rPr>
          <w:t>https://ago.mo.gov/docs/default-source/press-releases/missouri-v-biden-ruling.pdf</w:t>
        </w:r>
      </w:hyperlink>
      <w:r>
        <w:rPr>
          <w:rFonts w:ascii="Times New Roman" w:hAnsi="Times New Roman"/>
          <w:sz w:val="24"/>
          <w:szCs w:val="24"/>
        </w:rPr>
        <w:t xml:space="preserve"> </w:t>
      </w:r>
    </w:p>
    <w:p w14:paraId="1C2406DB" w14:textId="77777777" w:rsidR="00523A11" w:rsidRDefault="00FE60DA" w:rsidP="00FE60DA">
      <w:pPr>
        <w:spacing w:before="100" w:beforeAutospacing="1" w:after="100" w:afterAutospacing="1" w:line="240" w:lineRule="auto"/>
        <w:rPr>
          <w:rFonts w:ascii="Times New Roman" w:hAnsi="Times New Roman"/>
          <w:b/>
          <w:bCs/>
          <w:sz w:val="24"/>
          <w:szCs w:val="24"/>
        </w:rPr>
      </w:pPr>
      <w:r w:rsidRPr="00793A6E">
        <w:rPr>
          <w:rFonts w:ascii="Times New Roman" w:hAnsi="Times New Roman"/>
          <w:b/>
          <w:bCs/>
          <w:sz w:val="24"/>
          <w:szCs w:val="24"/>
        </w:rPr>
        <w:t xml:space="preserve">Legal Lesson Learned: </w:t>
      </w:r>
      <w:r>
        <w:rPr>
          <w:rFonts w:ascii="Times New Roman" w:hAnsi="Times New Roman"/>
          <w:b/>
          <w:bCs/>
          <w:sz w:val="24"/>
          <w:szCs w:val="24"/>
        </w:rPr>
        <w:t>U.S. Department of Justice has already filed an appeal with 5</w:t>
      </w:r>
      <w:r w:rsidRPr="001D1578">
        <w:rPr>
          <w:rFonts w:ascii="Times New Roman" w:hAnsi="Times New Roman"/>
          <w:b/>
          <w:bCs/>
          <w:sz w:val="24"/>
          <w:szCs w:val="24"/>
          <w:vertAlign w:val="superscript"/>
        </w:rPr>
        <w:t>th</w:t>
      </w:r>
      <w:r>
        <w:rPr>
          <w:rFonts w:ascii="Times New Roman" w:hAnsi="Times New Roman"/>
          <w:b/>
          <w:bCs/>
          <w:sz w:val="24"/>
          <w:szCs w:val="24"/>
        </w:rPr>
        <w:t xml:space="preserve"> Circuit.</w:t>
      </w:r>
      <w:r w:rsidR="00735F6B">
        <w:rPr>
          <w:rFonts w:ascii="Times New Roman" w:hAnsi="Times New Roman"/>
          <w:b/>
          <w:bCs/>
          <w:sz w:val="24"/>
          <w:szCs w:val="24"/>
        </w:rPr>
        <w:t xml:space="preserve"> </w:t>
      </w:r>
    </w:p>
    <w:p w14:paraId="66401B1F" w14:textId="77777777" w:rsidR="00523A11" w:rsidRDefault="00523A11" w:rsidP="00FE60DA">
      <w:pPr>
        <w:spacing w:before="100" w:beforeAutospacing="1" w:after="100" w:afterAutospacing="1" w:line="240" w:lineRule="auto"/>
        <w:rPr>
          <w:rFonts w:ascii="Times New Roman" w:hAnsi="Times New Roman"/>
          <w:b/>
          <w:bCs/>
          <w:sz w:val="24"/>
          <w:szCs w:val="24"/>
        </w:rPr>
      </w:pPr>
    </w:p>
    <w:p w14:paraId="3B5D4EC9" w14:textId="2D27ADB7" w:rsidR="00FE60DA" w:rsidRDefault="00735F6B" w:rsidP="00FE60DA">
      <w:pPr>
        <w:spacing w:before="100" w:beforeAutospacing="1" w:after="100" w:afterAutospacing="1" w:line="240" w:lineRule="auto"/>
        <w:rPr>
          <w:rFonts w:ascii="Times New Roman" w:hAnsi="Times New Roman"/>
          <w:b/>
          <w:bCs/>
          <w:sz w:val="24"/>
          <w:szCs w:val="24"/>
        </w:rPr>
      </w:pPr>
      <w:r>
        <w:rPr>
          <w:rFonts w:ascii="Times New Roman" w:hAnsi="Times New Roman"/>
          <w:b/>
          <w:bCs/>
          <w:sz w:val="24"/>
          <w:szCs w:val="24"/>
        </w:rPr>
        <w:t xml:space="preserve">Here is </w:t>
      </w:r>
      <w:proofErr w:type="gramStart"/>
      <w:r>
        <w:rPr>
          <w:rFonts w:ascii="Times New Roman" w:hAnsi="Times New Roman"/>
          <w:b/>
          <w:bCs/>
          <w:sz w:val="24"/>
          <w:szCs w:val="24"/>
        </w:rPr>
        <w:t>there</w:t>
      </w:r>
      <w:proofErr w:type="gramEnd"/>
      <w:r>
        <w:rPr>
          <w:rFonts w:ascii="Times New Roman" w:hAnsi="Times New Roman"/>
          <w:b/>
          <w:bCs/>
          <w:sz w:val="24"/>
          <w:szCs w:val="24"/>
        </w:rPr>
        <w:t xml:space="preserve"> appeal, </w:t>
      </w:r>
      <w:hyperlink r:id="rId717" w:history="1">
        <w:r w:rsidRPr="00066234">
          <w:rPr>
            <w:rStyle w:val="Hyperlink"/>
            <w:rFonts w:ascii="Times New Roman" w:hAnsi="Times New Roman"/>
            <w:b/>
            <w:bCs/>
            <w:sz w:val="24"/>
            <w:szCs w:val="24"/>
          </w:rPr>
          <w:t>https://www.washingtonpost.com/documents/738465b3-8221-4ba6-8a91-92171f73482b.pdf?itid=lk_interstitial_manual_10</w:t>
        </w:r>
      </w:hyperlink>
    </w:p>
    <w:p w14:paraId="59632E5A" w14:textId="05A439F5" w:rsidR="00FE60DA" w:rsidRPr="00735F6B" w:rsidRDefault="00FE60DA" w:rsidP="00735F6B">
      <w:pPr>
        <w:pStyle w:val="NoSpacing"/>
        <w:ind w:left="720"/>
        <w:rPr>
          <w:rFonts w:ascii="Times New Roman" w:hAnsi="Times New Roman"/>
          <w:sz w:val="24"/>
          <w:szCs w:val="24"/>
        </w:rPr>
      </w:pPr>
      <w:r w:rsidRPr="00735F6B">
        <w:rPr>
          <w:rFonts w:ascii="Times New Roman" w:hAnsi="Times New Roman"/>
          <w:sz w:val="24"/>
          <w:szCs w:val="24"/>
        </w:rPr>
        <w:t xml:space="preserve">Note: See this July 4, </w:t>
      </w:r>
      <w:proofErr w:type="gramStart"/>
      <w:r w:rsidRPr="00735F6B">
        <w:rPr>
          <w:rFonts w:ascii="Times New Roman" w:hAnsi="Times New Roman"/>
          <w:sz w:val="24"/>
          <w:szCs w:val="24"/>
        </w:rPr>
        <w:t>2023</w:t>
      </w:r>
      <w:proofErr w:type="gramEnd"/>
      <w:r w:rsidRPr="00735F6B">
        <w:rPr>
          <w:rFonts w:ascii="Times New Roman" w:hAnsi="Times New Roman"/>
          <w:sz w:val="24"/>
          <w:szCs w:val="24"/>
        </w:rPr>
        <w:t xml:space="preserve"> article on the case. Federal Judge Limits Biden Officials’ Contacts </w:t>
      </w:r>
      <w:proofErr w:type="gramStart"/>
      <w:r w:rsidRPr="00735F6B">
        <w:rPr>
          <w:rFonts w:ascii="Times New Roman" w:hAnsi="Times New Roman"/>
          <w:sz w:val="24"/>
          <w:szCs w:val="24"/>
        </w:rPr>
        <w:t>With</w:t>
      </w:r>
      <w:proofErr w:type="gramEnd"/>
      <w:r w:rsidRPr="00735F6B">
        <w:rPr>
          <w:rFonts w:ascii="Times New Roman" w:hAnsi="Times New Roman"/>
          <w:sz w:val="24"/>
          <w:szCs w:val="24"/>
        </w:rPr>
        <w:t xml:space="preserve"> Social Media Sites. </w:t>
      </w:r>
      <w:hyperlink r:id="rId718" w:history="1">
        <w:r w:rsidRPr="00735F6B">
          <w:rPr>
            <w:rStyle w:val="Hyperlink"/>
            <w:rFonts w:ascii="Times New Roman" w:hAnsi="Times New Roman"/>
            <w:sz w:val="24"/>
            <w:szCs w:val="24"/>
          </w:rPr>
          <w:t>https://www.nytimes.com/2023/07/04/business/federal-judge-biden-social-media.html?campaign_id=60&amp;emc=edit_na_20230704&amp;instance_id=0&amp;nl=breaking-news&amp;ref=cta&amp;regi_id=215376166&amp;segment_id=138360&amp;user_id=c17b05e2b990d0f39049334bb5d3c889</w:t>
        </w:r>
      </w:hyperlink>
    </w:p>
    <w:p w14:paraId="48F030E4" w14:textId="77777777" w:rsidR="00FE60DA" w:rsidRDefault="00FE60DA" w:rsidP="00F326E5">
      <w:pPr>
        <w:pStyle w:val="NoSpacing"/>
        <w:rPr>
          <w:rFonts w:ascii="Arial Black" w:hAnsi="Arial Black"/>
          <w:sz w:val="28"/>
          <w:szCs w:val="28"/>
        </w:rPr>
      </w:pPr>
    </w:p>
    <w:p w14:paraId="5F0C27F4" w14:textId="5578C3C9" w:rsidR="00FE60DA" w:rsidRDefault="00FE60DA" w:rsidP="00F326E5">
      <w:pPr>
        <w:pStyle w:val="NoSpacing"/>
        <w:rPr>
          <w:rFonts w:ascii="Arial Black" w:hAnsi="Arial Black"/>
          <w:sz w:val="28"/>
          <w:szCs w:val="28"/>
        </w:rPr>
      </w:pPr>
      <w:r>
        <w:rPr>
          <w:rFonts w:ascii="Arial Black" w:hAnsi="Arial Black"/>
          <w:sz w:val="28"/>
          <w:szCs w:val="28"/>
        </w:rPr>
        <w:t>3-5</w:t>
      </w:r>
      <w:r w:rsidR="00ED4EAF">
        <w:rPr>
          <w:rFonts w:ascii="Arial Black" w:hAnsi="Arial Black"/>
          <w:sz w:val="28"/>
          <w:szCs w:val="28"/>
        </w:rPr>
        <w:t>2</w:t>
      </w:r>
    </w:p>
    <w:p w14:paraId="5E26B22F" w14:textId="77777777" w:rsidR="00FE60DA" w:rsidRDefault="00FE60DA" w:rsidP="00F326E5">
      <w:pPr>
        <w:pStyle w:val="NoSpacing"/>
        <w:rPr>
          <w:rFonts w:ascii="Arial Black" w:hAnsi="Arial Black"/>
          <w:sz w:val="28"/>
          <w:szCs w:val="28"/>
        </w:rPr>
      </w:pPr>
    </w:p>
    <w:p w14:paraId="33100188" w14:textId="77777777" w:rsidR="00FE60DA" w:rsidRDefault="00FE60DA" w:rsidP="00F326E5">
      <w:pPr>
        <w:pStyle w:val="NoSpacing"/>
        <w:rPr>
          <w:rFonts w:ascii="Arial Black" w:hAnsi="Arial Black"/>
          <w:sz w:val="28"/>
          <w:szCs w:val="28"/>
        </w:rPr>
      </w:pPr>
    </w:p>
    <w:p w14:paraId="39DD2D4B" w14:textId="77777777" w:rsidR="00FE60DA" w:rsidRDefault="00FE60DA" w:rsidP="00FE60DA">
      <w:pPr>
        <w:pStyle w:val="NormalWeb"/>
        <w:rPr>
          <w:rFonts w:ascii="Arial Black" w:hAnsi="Arial Black"/>
          <w:sz w:val="28"/>
          <w:szCs w:val="28"/>
        </w:rPr>
      </w:pPr>
      <w:r>
        <w:rPr>
          <w:rFonts w:ascii="Arial Black" w:hAnsi="Arial Black"/>
          <w:sz w:val="28"/>
          <w:szCs w:val="28"/>
        </w:rPr>
        <w:t>NC: SYRIA IS LIABLE IN U.S. TERRORIST MURDERS / INJURIES US CITIZENS - NO SOVEREIGN IMMUNITY</w:t>
      </w:r>
    </w:p>
    <w:p w14:paraId="3758C1FB" w14:textId="77777777" w:rsidR="00523A11" w:rsidRDefault="00FE60DA" w:rsidP="00523A11">
      <w:pPr>
        <w:pStyle w:val="NormalWeb"/>
      </w:pPr>
      <w:r>
        <w:t xml:space="preserve">On May 30, 2023, in </w:t>
      </w:r>
      <w:r w:rsidRPr="00594187">
        <w:rPr>
          <w:u w:val="single"/>
        </w:rPr>
        <w:t xml:space="preserve">Cameron Cain </w:t>
      </w:r>
      <w:proofErr w:type="spellStart"/>
      <w:r w:rsidRPr="00594187">
        <w:rPr>
          <w:u w:val="single"/>
        </w:rPr>
        <w:t>Baarbe</w:t>
      </w:r>
      <w:proofErr w:type="spellEnd"/>
      <w:r w:rsidRPr="00594187">
        <w:rPr>
          <w:u w:val="single"/>
        </w:rPr>
        <w:t>, et al. v. The Syrian Arab Republic</w:t>
      </w:r>
      <w:r>
        <w:t xml:space="preserve">, U.S. District Court Judge Terrence M. Boyle, U.S. District Court for Eastern District of North Carolina, Western Division, held that Syria is liable in damages in this default judgment case for the deaths of four U.S. citizens, and injury to four others in ISIS terrorist attacks </w:t>
      </w:r>
      <w:r w:rsidRPr="00A92E97">
        <w:t>in Istanbul, Paris and Brussels</w:t>
      </w:r>
      <w:r>
        <w:t xml:space="preserve">. </w:t>
      </w:r>
      <w:r w:rsidR="00523A11">
        <w:t xml:space="preserve"> </w:t>
      </w:r>
      <w:hyperlink r:id="rId719" w:history="1">
        <w:r w:rsidR="00523A11" w:rsidRPr="00812663">
          <w:rPr>
            <w:rStyle w:val="Hyperlink"/>
          </w:rPr>
          <w:t>https://casetext.com/case/baarbe-v-the-syrian-arab-republic</w:t>
        </w:r>
      </w:hyperlink>
      <w:r w:rsidR="00523A11">
        <w:t xml:space="preserve"> </w:t>
      </w:r>
    </w:p>
    <w:p w14:paraId="4E3C1A48" w14:textId="77777777" w:rsidR="00FE60DA" w:rsidRDefault="00FE60DA" w:rsidP="00FE60DA">
      <w:pPr>
        <w:pStyle w:val="NormalWeb"/>
      </w:pPr>
      <w:r>
        <w:t>The Court held: “</w:t>
      </w:r>
      <w:r w:rsidRPr="00594187">
        <w:t xml:space="preserve">This is a civil action for damages pursuant to the Foreign Sovereign Immunities Act (“FSIA”) 28 U.S.C. § 1602 </w:t>
      </w:r>
      <w:r w:rsidRPr="00594187">
        <w:rPr>
          <w:rStyle w:val="Emphasis"/>
          <w:rFonts w:eastAsiaTheme="majorEastAsia"/>
        </w:rPr>
        <w:t>et seq</w:t>
      </w:r>
      <w:r w:rsidRPr="00594187">
        <w:t xml:space="preserve">. Plaintiffs are the estate and family of U.S. national Nohemi Gonzalez murdered in a terror attack on November 13, 2015, the family and estate of U.S. national </w:t>
      </w:r>
      <w:proofErr w:type="spellStart"/>
      <w:r w:rsidRPr="00594187">
        <w:t>Abvraham</w:t>
      </w:r>
      <w:proofErr w:type="spellEnd"/>
      <w:r>
        <w:rPr>
          <w:vertAlign w:val="superscript"/>
        </w:rPr>
        <w:t xml:space="preserve"> </w:t>
      </w:r>
      <w:r w:rsidRPr="00594187">
        <w:t xml:space="preserve">Goldman murdered in a terror attack on March 19, 2016, the estate and family of Alexander Pinczowski murdered in a terror attack on March 22, 2016, and the estate and family of U.S. national Erez Orbach murdered in a terror attack on January 8, 2017. Plaintiffs are also the survivors of the terror attacks on March 19, </w:t>
      </w:r>
      <w:proofErr w:type="gramStart"/>
      <w:r w:rsidRPr="00594187">
        <w:t>2016</w:t>
      </w:r>
      <w:proofErr w:type="gramEnd"/>
      <w:r w:rsidRPr="00594187">
        <w:t xml:space="preserve"> and January 8, </w:t>
      </w:r>
      <w:proofErr w:type="gramStart"/>
      <w:r w:rsidRPr="00594187">
        <w:t>2017</w:t>
      </w:r>
      <w:proofErr w:type="gramEnd"/>
      <w:r w:rsidRPr="00594187">
        <w:t xml:space="preserve"> and their families. Plaintiffs filed this action on June 2, </w:t>
      </w:r>
      <w:proofErr w:type="gramStart"/>
      <w:r w:rsidRPr="00594187">
        <w:t>2020</w:t>
      </w:r>
      <w:proofErr w:type="gramEnd"/>
      <w:r w:rsidRPr="00594187">
        <w:t xml:space="preserve"> against Syria. (</w:t>
      </w:r>
      <w:proofErr w:type="spellStart"/>
      <w:r w:rsidRPr="00594187">
        <w:t>Dkt</w:t>
      </w:r>
      <w:proofErr w:type="spellEnd"/>
      <w:r w:rsidRPr="00594187">
        <w:t xml:space="preserve">. 1). </w:t>
      </w:r>
      <w:r>
        <w:t xml:space="preserve">*** </w:t>
      </w:r>
      <w:r w:rsidRPr="00594187">
        <w:t xml:space="preserve">When a state such as Syria chooses to use terror as a policy tool that state forfeits its sovereign immunity and deserves unadorned condemnation. Barbaric acts like those alleged in this action have no place in civilized society and represent a moral depravity that knows no bounds. In stark contrast to the terrorist thugs and their Syrian sponsors stand the </w:t>
      </w:r>
      <w:r w:rsidRPr="00594187">
        <w:lastRenderedPageBreak/>
        <w:t>courageous Plaintiffs in this action, who have resolved to fight injustice with whatever tools are at their disposal, and their patient determination in this case is a credit to both them and to the memory of their decedents. This Court hopes that the Plaintiffs may take some measure of solace in this Court's final judgment.</w:t>
      </w:r>
      <w:r>
        <w:t xml:space="preserve">” </w:t>
      </w:r>
      <w:hyperlink r:id="rId720" w:history="1">
        <w:r w:rsidRPr="00812663">
          <w:rPr>
            <w:rStyle w:val="Hyperlink"/>
          </w:rPr>
          <w:t>https://casetext.com/case/baarbe-v-the-syrian-arab-republic</w:t>
        </w:r>
      </w:hyperlink>
      <w:r>
        <w:t xml:space="preserve"> </w:t>
      </w:r>
    </w:p>
    <w:p w14:paraId="7D2BF74B" w14:textId="77777777" w:rsidR="00FE60DA" w:rsidRPr="00A92E97" w:rsidRDefault="00FE60DA" w:rsidP="00FE60DA">
      <w:pPr>
        <w:pStyle w:val="NormalWeb"/>
        <w:rPr>
          <w:b/>
          <w:bCs/>
        </w:rPr>
      </w:pPr>
      <w:r w:rsidRPr="00A92E97">
        <w:rPr>
          <w:b/>
          <w:bCs/>
        </w:rPr>
        <w:t>Legal Lesson Learned: This judgment will then allow plaintiffs to find Syria assets in US that can be seized.</w:t>
      </w:r>
    </w:p>
    <w:p w14:paraId="0AD6EA78" w14:textId="77777777" w:rsidR="00FE60DA" w:rsidRDefault="00FE60DA" w:rsidP="00F326E5">
      <w:pPr>
        <w:pStyle w:val="NoSpacing"/>
        <w:rPr>
          <w:rFonts w:ascii="Arial Black" w:hAnsi="Arial Black"/>
          <w:sz w:val="28"/>
          <w:szCs w:val="28"/>
        </w:rPr>
      </w:pPr>
    </w:p>
    <w:p w14:paraId="06FBA0A4" w14:textId="77777777" w:rsidR="00FE60DA" w:rsidRDefault="00FE60DA" w:rsidP="00F326E5">
      <w:pPr>
        <w:pStyle w:val="NoSpacing"/>
        <w:rPr>
          <w:rFonts w:ascii="Arial Black" w:hAnsi="Arial Black"/>
          <w:sz w:val="28"/>
          <w:szCs w:val="28"/>
        </w:rPr>
      </w:pPr>
    </w:p>
    <w:p w14:paraId="6DD12EBE" w14:textId="52D80842" w:rsidR="00DC17BF" w:rsidRDefault="00DC17BF" w:rsidP="00F326E5">
      <w:pPr>
        <w:pStyle w:val="NoSpacing"/>
        <w:rPr>
          <w:rFonts w:ascii="Arial Black" w:hAnsi="Arial Black"/>
          <w:sz w:val="28"/>
          <w:szCs w:val="28"/>
        </w:rPr>
      </w:pPr>
      <w:r>
        <w:rPr>
          <w:rFonts w:ascii="Arial Black" w:hAnsi="Arial Black"/>
          <w:sz w:val="28"/>
          <w:szCs w:val="28"/>
        </w:rPr>
        <w:t>3-5</w:t>
      </w:r>
      <w:r w:rsidR="00ED4EAF">
        <w:rPr>
          <w:rFonts w:ascii="Arial Black" w:hAnsi="Arial Black"/>
          <w:sz w:val="28"/>
          <w:szCs w:val="28"/>
        </w:rPr>
        <w:t>1</w:t>
      </w:r>
    </w:p>
    <w:p w14:paraId="4B79781C" w14:textId="77777777" w:rsidR="00DC17BF" w:rsidRDefault="00DC17BF" w:rsidP="00F326E5">
      <w:pPr>
        <w:pStyle w:val="NoSpacing"/>
        <w:rPr>
          <w:rFonts w:ascii="Arial Black" w:hAnsi="Arial Black"/>
          <w:sz w:val="28"/>
          <w:szCs w:val="28"/>
        </w:rPr>
      </w:pPr>
    </w:p>
    <w:p w14:paraId="72022F65" w14:textId="067E36E9" w:rsidR="00DC17BF" w:rsidRPr="00A10866" w:rsidRDefault="00DC17BF" w:rsidP="00DC17BF">
      <w:pPr>
        <w:pStyle w:val="NormalWeb"/>
        <w:rPr>
          <w:rFonts w:ascii="Arial Black" w:hAnsi="Arial Black"/>
          <w:sz w:val="28"/>
          <w:szCs w:val="28"/>
        </w:rPr>
      </w:pPr>
      <w:bookmarkStart w:id="133" w:name="_Hlk136858863"/>
      <w:r w:rsidRPr="00A10866">
        <w:rPr>
          <w:rFonts w:ascii="Arial Black" w:hAnsi="Arial Black"/>
          <w:sz w:val="28"/>
          <w:szCs w:val="28"/>
        </w:rPr>
        <w:t xml:space="preserve">DC: </w:t>
      </w:r>
      <w:r>
        <w:rPr>
          <w:rFonts w:ascii="Arial Black" w:hAnsi="Arial Black"/>
          <w:sz w:val="28"/>
          <w:szCs w:val="28"/>
        </w:rPr>
        <w:t>U.S. S</w:t>
      </w:r>
      <w:r w:rsidR="00ED4EAF">
        <w:rPr>
          <w:rFonts w:ascii="Arial Black" w:hAnsi="Arial Black"/>
          <w:sz w:val="28"/>
          <w:szCs w:val="28"/>
        </w:rPr>
        <w:t xml:space="preserve">UP. </w:t>
      </w:r>
      <w:r>
        <w:rPr>
          <w:rFonts w:ascii="Arial Black" w:hAnsi="Arial Black"/>
          <w:sz w:val="28"/>
          <w:szCs w:val="28"/>
        </w:rPr>
        <w:t>CT - NIGHTCLUB BOMBING IN TURKEY BY ISIS – FAMILIES CAN’T SUE FACEBOOK, TWITTER, OR GOOGLE</w:t>
      </w:r>
    </w:p>
    <w:bookmarkEnd w:id="133"/>
    <w:p w14:paraId="0FB1B25A" w14:textId="77777777" w:rsidR="00523A11" w:rsidRDefault="00DC17BF" w:rsidP="00523A11">
      <w:pPr>
        <w:pStyle w:val="NormalWeb"/>
        <w:rPr>
          <w:rStyle w:val="markedcontent"/>
        </w:rPr>
      </w:pPr>
      <w:r>
        <w:rPr>
          <w:rStyle w:val="markedcontent"/>
        </w:rPr>
        <w:t xml:space="preserve">On May 18, 2023, in </w:t>
      </w:r>
      <w:r w:rsidRPr="00021EE1">
        <w:rPr>
          <w:rStyle w:val="markedcontent"/>
          <w:u w:val="single"/>
        </w:rPr>
        <w:t xml:space="preserve">Twitter, Inc. v. </w:t>
      </w:r>
      <w:proofErr w:type="spellStart"/>
      <w:r w:rsidRPr="00021EE1">
        <w:rPr>
          <w:rStyle w:val="markedcontent"/>
          <w:u w:val="single"/>
        </w:rPr>
        <w:t>Taamneh</w:t>
      </w:r>
      <w:proofErr w:type="spellEnd"/>
      <w:r w:rsidRPr="00021EE1">
        <w:rPr>
          <w:rStyle w:val="markedcontent"/>
          <w:u w:val="single"/>
        </w:rPr>
        <w:t xml:space="preserve"> et al</w:t>
      </w:r>
      <w:r>
        <w:rPr>
          <w:rStyle w:val="markedcontent"/>
        </w:rPr>
        <w:t>., the U.S. Supreme Court held (9 to 0) in an opinion by Justice Clarence Thomas, that Plaintiffs’ allegations that these social-media companies aided and abetted ISIS in its terrorist attack on the Reina nightclub fail to state</w:t>
      </w:r>
      <w:r w:rsidR="00523A11">
        <w:rPr>
          <w:rStyle w:val="markedcontent"/>
        </w:rPr>
        <w:t xml:space="preserve"> </w:t>
      </w:r>
      <w:r>
        <w:rPr>
          <w:rStyle w:val="markedcontent"/>
        </w:rPr>
        <w:t xml:space="preserve">a claim under 18 U. S. C. §2333(d)(2). </w:t>
      </w:r>
      <w:hyperlink r:id="rId721" w:history="1">
        <w:r w:rsidR="00523A11" w:rsidRPr="00B908DF">
          <w:rPr>
            <w:rStyle w:val="Hyperlink"/>
            <w:rFonts w:eastAsiaTheme="majorEastAsia"/>
          </w:rPr>
          <w:t>https://www.supremecourt.gov/opinions/22pdf/21-1496_d18f.pdf</w:t>
        </w:r>
      </w:hyperlink>
      <w:r w:rsidR="00523A11">
        <w:rPr>
          <w:rStyle w:val="markedcontent"/>
        </w:rPr>
        <w:t xml:space="preserve"> </w:t>
      </w:r>
    </w:p>
    <w:p w14:paraId="58E120EA" w14:textId="679A19EB" w:rsidR="00DC17BF" w:rsidRDefault="00DC17BF" w:rsidP="00DC17BF">
      <w:pPr>
        <w:pStyle w:val="NormalWeb"/>
        <w:rPr>
          <w:rStyle w:val="markedcontent"/>
        </w:rPr>
      </w:pPr>
      <w:r>
        <w:rPr>
          <w:rStyle w:val="markedcontent"/>
        </w:rPr>
        <w:t xml:space="preserve">Justice Thomas wrote: </w:t>
      </w:r>
    </w:p>
    <w:p w14:paraId="4FB88826" w14:textId="77777777" w:rsidR="00DC17BF" w:rsidRDefault="00DC17BF" w:rsidP="00DC17BF">
      <w:pPr>
        <w:pStyle w:val="NormalWeb"/>
        <w:ind w:left="720"/>
        <w:rPr>
          <w:rStyle w:val="markedcontent"/>
        </w:rPr>
      </w:pPr>
      <w:r>
        <w:rPr>
          <w:rStyle w:val="markedcontent"/>
        </w:rPr>
        <w:t xml:space="preserve">“First, the relationship between defendants and the Reina attack is highly attenuated. As noted above, defendants’ platforms are global in scale and allow hundreds of millions (or billions) of people to upload vast quantities of information </w:t>
      </w:r>
      <w:proofErr w:type="gramStart"/>
      <w:r>
        <w:rPr>
          <w:rStyle w:val="markedcontent"/>
        </w:rPr>
        <w:t>on a daily basis</w:t>
      </w:r>
      <w:proofErr w:type="gramEnd"/>
      <w:r>
        <w:rPr>
          <w:rStyle w:val="markedcontent"/>
        </w:rPr>
        <w:t>. Yet, there are no allegations that defendants treated ISIS any differently from anyone else. Rather, defendants’ relationship with ISIS and its supporters appears to have been the same as their relationship with their billion-plus other users: arm’s length, passive, and largely indifferent…. Second, because of the distance between defendants’ acts (or failures to act) and the Reina attack, plaintiffs would need some other very good reason to think that defendants were consciously trying to help or otherwise ‘participate in’ the Reina attack.”</w:t>
      </w:r>
      <w:r w:rsidRPr="00E46EAE">
        <w:t xml:space="preserve"> </w:t>
      </w:r>
      <w:hyperlink r:id="rId722" w:history="1">
        <w:r w:rsidRPr="00B908DF">
          <w:rPr>
            <w:rStyle w:val="Hyperlink"/>
            <w:rFonts w:eastAsiaTheme="majorEastAsia"/>
          </w:rPr>
          <w:t>https://www.supremecourt.gov/opinions/22pdf/21-1496_d18f.pdf</w:t>
        </w:r>
      </w:hyperlink>
      <w:r>
        <w:rPr>
          <w:rStyle w:val="markedcontent"/>
        </w:rPr>
        <w:t xml:space="preserve"> </w:t>
      </w:r>
    </w:p>
    <w:p w14:paraId="3D65002C" w14:textId="77777777" w:rsidR="00DC17BF" w:rsidRPr="00B17836" w:rsidRDefault="00DC17BF" w:rsidP="00DC17BF">
      <w:pPr>
        <w:pStyle w:val="NormalWeb"/>
        <w:rPr>
          <w:rStyle w:val="markedcontent"/>
          <w:b/>
          <w:bCs/>
        </w:rPr>
      </w:pPr>
      <w:r w:rsidRPr="00B17836">
        <w:rPr>
          <w:rStyle w:val="markedcontent"/>
          <w:b/>
          <w:bCs/>
        </w:rPr>
        <w:t xml:space="preserve">Legal Lesson Learned: By unanimous decision, the U.S. Supreme Court held that the social media companies conduct did not constitute aiding or abetting ISIS. </w:t>
      </w:r>
    </w:p>
    <w:p w14:paraId="66C46CA7" w14:textId="77777777" w:rsidR="00DC17BF" w:rsidRDefault="00DC17BF" w:rsidP="00DC17BF">
      <w:pPr>
        <w:pStyle w:val="NormalWeb"/>
        <w:rPr>
          <w:rStyle w:val="markedcontent"/>
        </w:rPr>
      </w:pPr>
    </w:p>
    <w:p w14:paraId="1B2D175F" w14:textId="77777777" w:rsidR="00DC17BF" w:rsidRDefault="00DC17BF" w:rsidP="00F326E5">
      <w:pPr>
        <w:pStyle w:val="NoSpacing"/>
        <w:rPr>
          <w:rFonts w:ascii="Arial Black" w:hAnsi="Arial Black"/>
          <w:sz w:val="28"/>
          <w:szCs w:val="28"/>
        </w:rPr>
      </w:pPr>
    </w:p>
    <w:p w14:paraId="06E5F72F" w14:textId="292C25F4" w:rsidR="003F788B" w:rsidRDefault="003F788B" w:rsidP="00F326E5">
      <w:pPr>
        <w:pStyle w:val="NoSpacing"/>
        <w:rPr>
          <w:rFonts w:ascii="Arial Black" w:hAnsi="Arial Black"/>
          <w:sz w:val="28"/>
          <w:szCs w:val="28"/>
        </w:rPr>
      </w:pPr>
      <w:r>
        <w:rPr>
          <w:rFonts w:ascii="Arial Black" w:hAnsi="Arial Black"/>
          <w:sz w:val="28"/>
          <w:szCs w:val="28"/>
        </w:rPr>
        <w:t>3-5</w:t>
      </w:r>
      <w:r w:rsidR="00ED4EAF">
        <w:rPr>
          <w:rFonts w:ascii="Arial Black" w:hAnsi="Arial Black"/>
          <w:sz w:val="28"/>
          <w:szCs w:val="28"/>
        </w:rPr>
        <w:t>0</w:t>
      </w:r>
    </w:p>
    <w:p w14:paraId="631FF00C" w14:textId="77777777" w:rsidR="003F788B" w:rsidRDefault="003F788B" w:rsidP="003F788B">
      <w:pPr>
        <w:pStyle w:val="NormalWeb"/>
        <w:rPr>
          <w:rFonts w:ascii="Arial Black" w:hAnsi="Arial Black"/>
          <w:sz w:val="28"/>
          <w:szCs w:val="28"/>
        </w:rPr>
      </w:pPr>
      <w:r>
        <w:rPr>
          <w:rFonts w:ascii="Arial Black" w:hAnsi="Arial Black"/>
          <w:sz w:val="28"/>
          <w:szCs w:val="28"/>
        </w:rPr>
        <w:t xml:space="preserve">NY: FDNY FF KILLED ON 9/11 – FAMILY GETS $8.5 MILLION DEFAULT JUDGMENT - ISLAMIC REPUBLIC OF IRAN </w:t>
      </w:r>
    </w:p>
    <w:p w14:paraId="5B48EAF4" w14:textId="77777777" w:rsidR="003F788B" w:rsidRDefault="003F788B" w:rsidP="003F788B">
      <w:pPr>
        <w:pStyle w:val="NormalWeb"/>
      </w:pPr>
      <w:r>
        <w:t xml:space="preserve">On March 28, 2023, in the multidistrict litigation - </w:t>
      </w:r>
      <w:r>
        <w:rPr>
          <w:u w:val="single"/>
        </w:rPr>
        <w:t>In re Terrorist Attacks on September 11, 2001</w:t>
      </w:r>
      <w:r>
        <w:t xml:space="preserve">, in case of </w:t>
      </w:r>
      <w:proofErr w:type="spellStart"/>
      <w:r>
        <w:rPr>
          <w:u w:val="single"/>
        </w:rPr>
        <w:t>Chairnoff</w:t>
      </w:r>
      <w:proofErr w:type="spellEnd"/>
      <w:r>
        <w:rPr>
          <w:u w:val="single"/>
        </w:rPr>
        <w:t xml:space="preserve"> v. Islamic Republic of Iran</w:t>
      </w:r>
      <w:r>
        <w:t xml:space="preserve">, U.S. District Court George B. Daniels, U.S. District Court, Southern </w:t>
      </w:r>
      <w:r>
        <w:lastRenderedPageBreak/>
        <w:t xml:space="preserve">District of New York, awarded partial final default judgment to the family of Geoffrey E. Guja, a New York City firefighter who was killed in the terrorist attacks on September 11, 2001. </w:t>
      </w:r>
    </w:p>
    <w:p w14:paraId="176A7061" w14:textId="77777777" w:rsidR="003F788B" w:rsidRDefault="003F788B" w:rsidP="003F788B">
      <w:pPr>
        <w:pStyle w:val="NormalWeb"/>
        <w:ind w:left="720" w:firstLine="60"/>
      </w:pPr>
      <w:r>
        <w:t xml:space="preserve">“Plaintiff now moves for solatium damages on the ground that her close relationship with her stepfather Geoffrey E. Guja, who was killed in the September 11, </w:t>
      </w:r>
      <w:proofErr w:type="gramStart"/>
      <w:r>
        <w:t>2001</w:t>
      </w:r>
      <w:proofErr w:type="gramEnd"/>
      <w:r>
        <w:t xml:space="preserve"> terrorist attacks (‘9/11 Attacks’), merits a finding that she is a functionally equivalent family member of the victim…. Court grant Plaintiffs motion and award Plaintiff $8,500,000 in solatium damages.” </w:t>
      </w:r>
      <w:hyperlink r:id="rId723" w:history="1">
        <w:r>
          <w:rPr>
            <w:rStyle w:val="Hyperlink"/>
          </w:rPr>
          <w:t>https://casetext.com/case/chairnoff-v-islamic-republic-of-iran-in-re-terrorist-attacks</w:t>
        </w:r>
      </w:hyperlink>
      <w:r>
        <w:t xml:space="preserve"> </w:t>
      </w:r>
    </w:p>
    <w:p w14:paraId="6965F5A1" w14:textId="77777777" w:rsidR="003F788B" w:rsidRDefault="003F788B" w:rsidP="003F788B">
      <w:pPr>
        <w:pStyle w:val="paragraph"/>
        <w:ind w:left="720"/>
      </w:pPr>
      <w:r>
        <w:rPr>
          <w:b/>
          <w:bCs/>
        </w:rPr>
        <w:t>“ORDERED</w:t>
      </w:r>
      <w:r>
        <w:t xml:space="preserve"> that Plaintiff Jamie K. Hawkins be awarded $8,500,000 for solatium damages; and it is </w:t>
      </w:r>
    </w:p>
    <w:p w14:paraId="078D0AC4" w14:textId="77777777" w:rsidR="003F788B" w:rsidRDefault="003F788B" w:rsidP="003F788B">
      <w:pPr>
        <w:pStyle w:val="paragraph"/>
        <w:ind w:left="720"/>
      </w:pPr>
      <w:r>
        <w:rPr>
          <w:b/>
          <w:bCs/>
        </w:rPr>
        <w:t>ORDERED</w:t>
      </w:r>
      <w:r>
        <w:t xml:space="preserve"> that prejudgment interest is awarded at a rate of 4.96 percent per annum, all interest compounded annually for the period from September 11, </w:t>
      </w:r>
      <w:proofErr w:type="gramStart"/>
      <w:r>
        <w:t>2001</w:t>
      </w:r>
      <w:proofErr w:type="gramEnd"/>
      <w:r>
        <w:t xml:space="preserve"> until the date of the judgment for damages; and it is </w:t>
      </w:r>
    </w:p>
    <w:p w14:paraId="48E2BC8C" w14:textId="77777777" w:rsidR="003F788B" w:rsidRDefault="003F788B" w:rsidP="003F788B">
      <w:pPr>
        <w:pStyle w:val="paragraph"/>
        <w:ind w:left="720"/>
      </w:pPr>
      <w:r>
        <w:rPr>
          <w:b/>
          <w:bCs/>
        </w:rPr>
        <w:t>ORDERED</w:t>
      </w:r>
      <w:r>
        <w:t xml:space="preserve"> that Plaintiffs not appearing on this motion and who were not previously awarded damages may submit in later stages applications for punitive, economic, and/or other damages awards that may be approved on the same basis as currently approved for this Plaintiff or in prior filings.” </w:t>
      </w:r>
    </w:p>
    <w:p w14:paraId="3D681B4E" w14:textId="77777777" w:rsidR="003F788B" w:rsidRPr="004C17A1" w:rsidRDefault="003F788B" w:rsidP="003F788B">
      <w:pPr>
        <w:pStyle w:val="NormalWeb"/>
        <w:rPr>
          <w:b/>
          <w:bCs/>
        </w:rPr>
      </w:pPr>
      <w:r>
        <w:rPr>
          <w:b/>
          <w:bCs/>
        </w:rPr>
        <w:t xml:space="preserve">Legal Lesson Learned:  Hopefully the family of this fallen firefighter can now find assets of the Islamic Republic of Iran which can be seized to pay off this judgment. </w:t>
      </w:r>
    </w:p>
    <w:p w14:paraId="2D424A0F" w14:textId="77777777" w:rsidR="003F788B" w:rsidRDefault="003F788B" w:rsidP="00F326E5">
      <w:pPr>
        <w:pStyle w:val="NoSpacing"/>
        <w:rPr>
          <w:rFonts w:ascii="Arial Black" w:hAnsi="Arial Black"/>
          <w:sz w:val="28"/>
          <w:szCs w:val="28"/>
        </w:rPr>
      </w:pPr>
    </w:p>
    <w:p w14:paraId="57AE8773" w14:textId="77777777" w:rsidR="003F788B" w:rsidRDefault="003F788B" w:rsidP="00F326E5">
      <w:pPr>
        <w:pStyle w:val="NoSpacing"/>
        <w:rPr>
          <w:rFonts w:ascii="Arial Black" w:hAnsi="Arial Black"/>
          <w:sz w:val="28"/>
          <w:szCs w:val="28"/>
        </w:rPr>
      </w:pPr>
    </w:p>
    <w:p w14:paraId="580851E1" w14:textId="77777777" w:rsidR="003F788B" w:rsidRDefault="003F788B" w:rsidP="00F326E5">
      <w:pPr>
        <w:pStyle w:val="NoSpacing"/>
        <w:rPr>
          <w:rFonts w:ascii="Arial Black" w:hAnsi="Arial Black"/>
          <w:sz w:val="28"/>
          <w:szCs w:val="28"/>
        </w:rPr>
      </w:pPr>
    </w:p>
    <w:p w14:paraId="1616435F" w14:textId="77777777" w:rsidR="003F788B" w:rsidRDefault="003F788B" w:rsidP="00F326E5">
      <w:pPr>
        <w:pStyle w:val="NoSpacing"/>
        <w:rPr>
          <w:rFonts w:ascii="Arial Black" w:hAnsi="Arial Black"/>
          <w:sz w:val="28"/>
          <w:szCs w:val="28"/>
        </w:rPr>
      </w:pPr>
    </w:p>
    <w:p w14:paraId="27DBB88B" w14:textId="16B94DD3" w:rsidR="00AE32D3" w:rsidRDefault="00AB637D" w:rsidP="00F326E5">
      <w:pPr>
        <w:pStyle w:val="NoSpacing"/>
        <w:rPr>
          <w:rFonts w:ascii="Arial Black" w:hAnsi="Arial Black"/>
          <w:sz w:val="28"/>
          <w:szCs w:val="28"/>
        </w:rPr>
      </w:pPr>
      <w:r>
        <w:rPr>
          <w:rFonts w:ascii="Arial Black" w:hAnsi="Arial Black"/>
          <w:sz w:val="28"/>
          <w:szCs w:val="28"/>
        </w:rPr>
        <w:t>3-</w:t>
      </w:r>
      <w:r w:rsidR="00ED4EAF">
        <w:rPr>
          <w:rFonts w:ascii="Arial Black" w:hAnsi="Arial Black"/>
          <w:sz w:val="28"/>
          <w:szCs w:val="28"/>
        </w:rPr>
        <w:t>49</w:t>
      </w:r>
    </w:p>
    <w:p w14:paraId="1B102B84" w14:textId="77777777" w:rsidR="00AB637D" w:rsidRDefault="00AB637D" w:rsidP="00AB637D">
      <w:pPr>
        <w:pStyle w:val="NormalWeb"/>
        <w:rPr>
          <w:rFonts w:ascii="Arial Black" w:hAnsi="Arial Black"/>
          <w:sz w:val="28"/>
          <w:szCs w:val="28"/>
        </w:rPr>
      </w:pPr>
      <w:r>
        <w:rPr>
          <w:rFonts w:ascii="Arial Black" w:hAnsi="Arial Black"/>
          <w:sz w:val="28"/>
          <w:szCs w:val="28"/>
        </w:rPr>
        <w:t>MD: ACTIVE SHOOTER - TEMP EMPLOYEE KILLED 3, INJURED 3 - WAREHOUSE &amp; TEMP CO. NO PRIOR WARNING</w:t>
      </w:r>
    </w:p>
    <w:p w14:paraId="56622F42" w14:textId="77777777" w:rsidR="00AB637D" w:rsidRDefault="00AB637D" w:rsidP="00AB637D">
      <w:pPr>
        <w:pStyle w:val="NormalWeb"/>
      </w:pPr>
      <w:r>
        <w:t xml:space="preserve">On March 2, 2023, in </w:t>
      </w:r>
      <w:proofErr w:type="spellStart"/>
      <w:r w:rsidRPr="00E84230">
        <w:rPr>
          <w:u w:val="single"/>
        </w:rPr>
        <w:t>Haissaun</w:t>
      </w:r>
      <w:proofErr w:type="spellEnd"/>
      <w:r w:rsidRPr="00E84230">
        <w:rPr>
          <w:u w:val="single"/>
        </w:rPr>
        <w:t xml:space="preserve"> Mitchell. </w:t>
      </w:r>
      <w:r>
        <w:rPr>
          <w:u w:val="single"/>
        </w:rPr>
        <w:t>e</w:t>
      </w:r>
      <w:r w:rsidRPr="00E84230">
        <w:rPr>
          <w:u w:val="single"/>
        </w:rPr>
        <w:t>t al. v. Rite Aid of Maryland, et al</w:t>
      </w:r>
      <w:r>
        <w:t>., Court of Special Appeals of Maryland held (3 to 0) that the Rite Aid Distribution Center and the Temp company that hired her had no prior warning that the temp employee, who had only worked eight shifts, was going to be an active shooter when she tried to cut in line to clock in and fellow workers stopped her.  Three co-workers who survived the shooting (all from Mitchell family) were all covered by workers comp. and then sued for damages.  Court ruled: “</w:t>
      </w:r>
      <w:r w:rsidRPr="00D81AE3">
        <w:rPr>
          <w:rStyle w:val="markedcontent"/>
        </w:rPr>
        <w:t xml:space="preserve">It is a somber and sobering fact that the steady increase in the number of </w:t>
      </w:r>
      <w:proofErr w:type="gramStart"/>
      <w:r w:rsidRPr="00D81AE3">
        <w:rPr>
          <w:rStyle w:val="markedcontent"/>
        </w:rPr>
        <w:t>mass</w:t>
      </w:r>
      <w:proofErr w:type="gramEnd"/>
      <w:r>
        <w:rPr>
          <w:rStyle w:val="markedcontent"/>
        </w:rPr>
        <w:t xml:space="preserve"> </w:t>
      </w:r>
      <w:r w:rsidRPr="00D81AE3">
        <w:rPr>
          <w:rStyle w:val="markedcontent"/>
        </w:rPr>
        <w:t>shootings1 has impelled both public and private organizations to begin considering security</w:t>
      </w:r>
      <w:r>
        <w:rPr>
          <w:rStyle w:val="markedcontent"/>
        </w:rPr>
        <w:t xml:space="preserve"> </w:t>
      </w:r>
      <w:r w:rsidRPr="00D81AE3">
        <w:rPr>
          <w:rStyle w:val="markedcontent"/>
        </w:rPr>
        <w:t>measures responsive to that risk.</w:t>
      </w:r>
      <w:r>
        <w:rPr>
          <w:rStyle w:val="markedcontent"/>
        </w:rPr>
        <w:t xml:space="preserve"> </w:t>
      </w:r>
      <w:r w:rsidRPr="00D81AE3">
        <w:rPr>
          <w:rStyle w:val="markedcontent"/>
        </w:rPr>
        <w:t>This appeal arises out of the tragic mass shooting that</w:t>
      </w:r>
      <w:r>
        <w:rPr>
          <w:rStyle w:val="markedcontent"/>
        </w:rPr>
        <w:t xml:space="preserve"> </w:t>
      </w:r>
      <w:r w:rsidRPr="00D81AE3">
        <w:rPr>
          <w:rStyle w:val="markedcontent"/>
        </w:rPr>
        <w:t>occurred on September 20, 2018, at a warehouse facility leased by appellee, Rite Aid of</w:t>
      </w:r>
      <w:r>
        <w:rPr>
          <w:rStyle w:val="markedcontent"/>
        </w:rPr>
        <w:t xml:space="preserve"> </w:t>
      </w:r>
      <w:r w:rsidRPr="00D81AE3">
        <w:rPr>
          <w:rStyle w:val="markedcontent"/>
        </w:rPr>
        <w:t>Maryland, Inc. (</w:t>
      </w:r>
      <w:r>
        <w:rPr>
          <w:rStyle w:val="markedcontent"/>
        </w:rPr>
        <w:t>‘</w:t>
      </w:r>
      <w:r w:rsidRPr="00D81AE3">
        <w:rPr>
          <w:rStyle w:val="markedcontent"/>
        </w:rPr>
        <w:t>Rite Aid</w:t>
      </w:r>
      <w:r>
        <w:rPr>
          <w:rStyle w:val="markedcontent"/>
        </w:rPr>
        <w:t>’</w:t>
      </w:r>
      <w:r w:rsidRPr="00D81AE3">
        <w:rPr>
          <w:rStyle w:val="markedcontent"/>
        </w:rPr>
        <w:t xml:space="preserve">) in Aberdeen, Maryland. The shooter, </w:t>
      </w:r>
      <w:proofErr w:type="spellStart"/>
      <w:r w:rsidRPr="00D81AE3">
        <w:rPr>
          <w:rStyle w:val="markedcontent"/>
        </w:rPr>
        <w:t>Snochia</w:t>
      </w:r>
      <w:proofErr w:type="spellEnd"/>
      <w:r w:rsidRPr="00D81AE3">
        <w:rPr>
          <w:rStyle w:val="markedcontent"/>
        </w:rPr>
        <w:t xml:space="preserve"> </w:t>
      </w:r>
      <w:proofErr w:type="gramStart"/>
      <w:r w:rsidRPr="00D81AE3">
        <w:rPr>
          <w:rStyle w:val="markedcontent"/>
        </w:rPr>
        <w:t>Moseley</w:t>
      </w:r>
      <w:r>
        <w:rPr>
          <w:rStyle w:val="markedcontent"/>
        </w:rPr>
        <w:t xml:space="preserve"> </w:t>
      </w:r>
      <w:r w:rsidRPr="00D81AE3">
        <w:rPr>
          <w:rStyle w:val="markedcontent"/>
        </w:rPr>
        <w:t>(</w:t>
      </w:r>
      <w:r>
        <w:rPr>
          <w:rStyle w:val="markedcontent"/>
        </w:rPr>
        <w:t>‘</w:t>
      </w:r>
      <w:proofErr w:type="gramEnd"/>
      <w:r w:rsidRPr="00D81AE3">
        <w:rPr>
          <w:rStyle w:val="markedcontent"/>
        </w:rPr>
        <w:t>Moseley</w:t>
      </w:r>
      <w:r>
        <w:rPr>
          <w:rStyle w:val="markedcontent"/>
        </w:rPr>
        <w:t>’</w:t>
      </w:r>
      <w:r w:rsidRPr="00D81AE3">
        <w:rPr>
          <w:rStyle w:val="markedcontent"/>
        </w:rPr>
        <w:t xml:space="preserve">), was an employee of appellee, Abacus </w:t>
      </w:r>
      <w:proofErr w:type="gramStart"/>
      <w:r w:rsidRPr="00D81AE3">
        <w:rPr>
          <w:rStyle w:val="markedcontent"/>
        </w:rPr>
        <w:t>Corporation (</w:t>
      </w:r>
      <w:r>
        <w:rPr>
          <w:rStyle w:val="markedcontent"/>
        </w:rPr>
        <w:t>‘</w:t>
      </w:r>
      <w:proofErr w:type="gramEnd"/>
      <w:r w:rsidRPr="00D81AE3">
        <w:rPr>
          <w:rStyle w:val="markedcontent"/>
        </w:rPr>
        <w:t>Abacus</w:t>
      </w:r>
      <w:r>
        <w:rPr>
          <w:rStyle w:val="markedcontent"/>
        </w:rPr>
        <w:t>’</w:t>
      </w:r>
      <w:r w:rsidRPr="00D81AE3">
        <w:rPr>
          <w:rStyle w:val="markedcontent"/>
        </w:rPr>
        <w:t>), temporarily</w:t>
      </w:r>
      <w:r>
        <w:rPr>
          <w:rStyle w:val="markedcontent"/>
        </w:rPr>
        <w:t xml:space="preserve"> </w:t>
      </w:r>
      <w:r w:rsidRPr="00D81AE3">
        <w:rPr>
          <w:rStyle w:val="markedcontent"/>
        </w:rPr>
        <w:t>assigned to work in Rite Aid’s facility. On the day in question, Moseley gained access to the facility using her ID badge and proceeded to open fire on her coworkers, killing three</w:t>
      </w:r>
      <w:r>
        <w:rPr>
          <w:rStyle w:val="markedcontent"/>
        </w:rPr>
        <w:t xml:space="preserve"> </w:t>
      </w:r>
      <w:r w:rsidRPr="00D81AE3">
        <w:rPr>
          <w:rStyle w:val="markedcontent"/>
        </w:rPr>
        <w:t>and wounding three more.</w:t>
      </w:r>
      <w:r>
        <w:rPr>
          <w:rStyle w:val="markedcontent"/>
        </w:rPr>
        <w:t xml:space="preserve"> *** </w:t>
      </w:r>
      <w:r w:rsidRPr="00D81AE3">
        <w:rPr>
          <w:rStyle w:val="markedcontent"/>
        </w:rPr>
        <w:t>We affirm</w:t>
      </w:r>
      <w:r>
        <w:rPr>
          <w:rStyle w:val="markedcontent"/>
        </w:rPr>
        <w:t xml:space="preserve"> … </w:t>
      </w:r>
      <w:r w:rsidRPr="00D81AE3">
        <w:rPr>
          <w:rStyle w:val="markedcontent"/>
        </w:rPr>
        <w:t>the circuit court’s alternative grant of summary judgment in</w:t>
      </w:r>
      <w:r>
        <w:rPr>
          <w:rStyle w:val="markedcontent"/>
        </w:rPr>
        <w:t xml:space="preserve"> </w:t>
      </w:r>
      <w:r w:rsidRPr="00D81AE3">
        <w:rPr>
          <w:rStyle w:val="markedcontent"/>
        </w:rPr>
        <w:t>favor of Rite Aid on the Mitchells’ premises liability claim because the Mitchells failed to present any admissible evidence establishing that Moseley’s tragic shooting spree was</w:t>
      </w:r>
      <w:r>
        <w:rPr>
          <w:rStyle w:val="markedcontent"/>
        </w:rPr>
        <w:t xml:space="preserve"> </w:t>
      </w:r>
      <w:r w:rsidRPr="00D81AE3">
        <w:rPr>
          <w:rStyle w:val="markedcontent"/>
        </w:rPr>
        <w:t>foreseeable.</w:t>
      </w:r>
      <w:r>
        <w:rPr>
          <w:rStyle w:val="markedcontent"/>
        </w:rPr>
        <w:t xml:space="preserve"> *** </w:t>
      </w:r>
      <w:r w:rsidRPr="00F014DB">
        <w:rPr>
          <w:rStyle w:val="markedcontent"/>
        </w:rPr>
        <w:t>We caution that this opinion should not be read to suggest that mass shootings are</w:t>
      </w:r>
      <w:r>
        <w:rPr>
          <w:rStyle w:val="markedcontent"/>
        </w:rPr>
        <w:t xml:space="preserve"> </w:t>
      </w:r>
      <w:r w:rsidRPr="00F014DB">
        <w:rPr>
          <w:rStyle w:val="markedcontent"/>
        </w:rPr>
        <w:t>unforeseeable as a matter of law. As grim statistics and the development of the law in our</w:t>
      </w:r>
      <w:r>
        <w:rPr>
          <w:rStyle w:val="markedcontent"/>
        </w:rPr>
        <w:t xml:space="preserve"> </w:t>
      </w:r>
      <w:r w:rsidRPr="00F014DB">
        <w:rPr>
          <w:rStyle w:val="markedcontent"/>
        </w:rPr>
        <w:t>sister states foreshadow, the standards of care surrounding a business owner’s duty to</w:t>
      </w:r>
      <w:r>
        <w:rPr>
          <w:rStyle w:val="markedcontent"/>
        </w:rPr>
        <w:t xml:space="preserve"> </w:t>
      </w:r>
      <w:r w:rsidRPr="00F014DB">
        <w:rPr>
          <w:rStyle w:val="markedcontent"/>
        </w:rPr>
        <w:t xml:space="preserve">protect invitees from gun violence are not static and will continue to evolve </w:t>
      </w:r>
      <w:proofErr w:type="gramStart"/>
      <w:r w:rsidRPr="00F014DB">
        <w:rPr>
          <w:rStyle w:val="markedcontent"/>
        </w:rPr>
        <w:t>in light of</w:t>
      </w:r>
      <w:proofErr w:type="gramEnd"/>
      <w:r>
        <w:rPr>
          <w:rStyle w:val="markedcontent"/>
        </w:rPr>
        <w:t xml:space="preserve"> ‘</w:t>
      </w:r>
      <w:r w:rsidRPr="00F014DB">
        <w:rPr>
          <w:rStyle w:val="markedcontent"/>
        </w:rPr>
        <w:t>common sense perceptions of the risks created by various conditions and circumstances.</w:t>
      </w:r>
      <w:r>
        <w:rPr>
          <w:rStyle w:val="markedcontent"/>
        </w:rPr>
        <w:t xml:space="preserve">’ </w:t>
      </w:r>
      <w:r w:rsidRPr="00F014DB">
        <w:rPr>
          <w:rStyle w:val="markedcontent"/>
        </w:rPr>
        <w:lastRenderedPageBreak/>
        <w:t>Axelrod v. Cinemark Holdings, Inc., 65 F. Supp. 3d 1093, 1100 (D. Colo. 2014) (quoting</w:t>
      </w:r>
      <w:r>
        <w:rPr>
          <w:rStyle w:val="markedcontent"/>
        </w:rPr>
        <w:t xml:space="preserve"> </w:t>
      </w:r>
      <w:r w:rsidRPr="00F014DB">
        <w:rPr>
          <w:rStyle w:val="markedcontent"/>
        </w:rPr>
        <w:t>Taco Bell, Inc. v. Lannon, 744 P.2d 43, 48 (Colo. 1987)).</w:t>
      </w:r>
      <w:r>
        <w:rPr>
          <w:rStyle w:val="markedcontent"/>
        </w:rPr>
        <w:t xml:space="preserve">” </w:t>
      </w:r>
      <w:hyperlink r:id="rId724" w:history="1">
        <w:r w:rsidRPr="006D212A">
          <w:rPr>
            <w:rStyle w:val="Hyperlink"/>
            <w:rFonts w:eastAsiaTheme="majorEastAsia"/>
          </w:rPr>
          <w:t>https://mdcourts.gov/data/opinions/cosa/2023/0021s22.pdf</w:t>
        </w:r>
      </w:hyperlink>
      <w:r>
        <w:t xml:space="preserve"> </w:t>
      </w:r>
    </w:p>
    <w:p w14:paraId="0FBBDBAF" w14:textId="77777777" w:rsidR="00AB637D" w:rsidRPr="00F014DB" w:rsidRDefault="00AB637D" w:rsidP="00AB637D">
      <w:pPr>
        <w:pStyle w:val="NormalWeb"/>
        <w:ind w:left="720"/>
      </w:pPr>
      <w:r>
        <w:rPr>
          <w:rStyle w:val="markedcontent"/>
        </w:rPr>
        <w:t>“</w:t>
      </w:r>
      <w:proofErr w:type="spellStart"/>
      <w:r w:rsidRPr="00F014DB">
        <w:rPr>
          <w:rStyle w:val="markedcontent"/>
        </w:rPr>
        <w:t>Snochia</w:t>
      </w:r>
      <w:proofErr w:type="spellEnd"/>
      <w:r w:rsidRPr="00F014DB">
        <w:rPr>
          <w:rStyle w:val="markedcontent"/>
        </w:rPr>
        <w:t xml:space="preserve"> Moseley was a temporary worker at the Rite Aid Distribution Center in</w:t>
      </w:r>
      <w:r w:rsidRPr="00F014DB">
        <w:br/>
      </w:r>
      <w:r w:rsidRPr="00F014DB">
        <w:rPr>
          <w:rStyle w:val="markedcontent"/>
        </w:rPr>
        <w:t>Aberdeen, Maryland. Prior to September 20, 2018, she had only worked approximately</w:t>
      </w:r>
      <w:r w:rsidRPr="00F014DB">
        <w:br/>
      </w:r>
      <w:r w:rsidRPr="00F014DB">
        <w:rPr>
          <w:rStyle w:val="markedcontent"/>
        </w:rPr>
        <w:t>eight shifts at the facility. On that fateful September morning, Moseley reportedly agitated</w:t>
      </w:r>
      <w:r>
        <w:rPr>
          <w:rStyle w:val="markedcontent"/>
        </w:rPr>
        <w:t xml:space="preserve"> </w:t>
      </w:r>
      <w:r w:rsidRPr="00F014DB">
        <w:rPr>
          <w:rStyle w:val="markedcontent"/>
        </w:rPr>
        <w:t>other workers when she cut in front of them to check into work. She then left the facility</w:t>
      </w:r>
      <w:r>
        <w:rPr>
          <w:rStyle w:val="markedcontent"/>
        </w:rPr>
        <w:t xml:space="preserve"> </w:t>
      </w:r>
      <w:r w:rsidRPr="00F014DB">
        <w:rPr>
          <w:rStyle w:val="markedcontent"/>
        </w:rPr>
        <w:t>for a brief period and returned with a handgun.</w:t>
      </w:r>
      <w:r>
        <w:rPr>
          <w:rStyle w:val="markedcontent"/>
        </w:rPr>
        <w:t xml:space="preserve"> </w:t>
      </w:r>
      <w:r w:rsidRPr="00F014DB">
        <w:rPr>
          <w:rStyle w:val="markedcontent"/>
        </w:rPr>
        <w:t>At approximately 9:00 a.m., Moseley re-entered the Rite Aid Distribution Center’s</w:t>
      </w:r>
      <w:r>
        <w:rPr>
          <w:rStyle w:val="markedcontent"/>
        </w:rPr>
        <w:t xml:space="preserve"> </w:t>
      </w:r>
      <w:r w:rsidRPr="00F014DB">
        <w:rPr>
          <w:rStyle w:val="markedcontent"/>
        </w:rPr>
        <w:t>perimeter gate using her access badge. After parking her car, she got out and opened fire</w:t>
      </w:r>
      <w:r>
        <w:rPr>
          <w:rStyle w:val="markedcontent"/>
        </w:rPr>
        <w:t xml:space="preserve"> </w:t>
      </w:r>
      <w:r w:rsidRPr="00F014DB">
        <w:rPr>
          <w:rStyle w:val="markedcontent"/>
        </w:rPr>
        <w:t>on a group of workers congregated outside the building. Moseley proceeded to enter the</w:t>
      </w:r>
      <w:r>
        <w:rPr>
          <w:rStyle w:val="markedcontent"/>
        </w:rPr>
        <w:t xml:space="preserve"> </w:t>
      </w:r>
      <w:r w:rsidRPr="00F014DB">
        <w:rPr>
          <w:rStyle w:val="markedcontent"/>
        </w:rPr>
        <w:t xml:space="preserve">building through the front entrance and into the break room, where </w:t>
      </w:r>
      <w:proofErr w:type="spellStart"/>
      <w:r w:rsidRPr="00F014DB">
        <w:rPr>
          <w:rStyle w:val="markedcontent"/>
        </w:rPr>
        <w:t>Haissaun</w:t>
      </w:r>
      <w:proofErr w:type="spellEnd"/>
      <w:r w:rsidRPr="00F014DB">
        <w:rPr>
          <w:rStyle w:val="markedcontent"/>
        </w:rPr>
        <w:t xml:space="preserve"> and Shyheim</w:t>
      </w:r>
      <w:r>
        <w:rPr>
          <w:rStyle w:val="markedcontent"/>
        </w:rPr>
        <w:t xml:space="preserve"> [Mitchell] </w:t>
      </w:r>
      <w:r w:rsidRPr="00F014DB">
        <w:rPr>
          <w:rStyle w:val="markedcontent"/>
        </w:rPr>
        <w:t>were taking their break. *** Moseley’s deadly assault occurred within a span of five minutes. Harford County</w:t>
      </w:r>
      <w:r>
        <w:rPr>
          <w:rStyle w:val="markedcontent"/>
        </w:rPr>
        <w:t xml:space="preserve"> </w:t>
      </w:r>
      <w:r w:rsidRPr="00F014DB">
        <w:rPr>
          <w:rStyle w:val="markedcontent"/>
        </w:rPr>
        <w:t>Sheriff’s Office deputies, Maryland State Police, and EMS personnel began responding to</w:t>
      </w:r>
      <w:r>
        <w:rPr>
          <w:rStyle w:val="markedcontent"/>
        </w:rPr>
        <w:t xml:space="preserve"> </w:t>
      </w:r>
      <w:r w:rsidRPr="00F014DB">
        <w:rPr>
          <w:rStyle w:val="markedcontent"/>
        </w:rPr>
        <w:t>the active shooter situation at 9:11 a.m., but by that time six victims had been shot by</w:t>
      </w:r>
      <w:r>
        <w:rPr>
          <w:rStyle w:val="markedcontent"/>
        </w:rPr>
        <w:t xml:space="preserve"> </w:t>
      </w:r>
      <w:r w:rsidRPr="00F014DB">
        <w:rPr>
          <w:rStyle w:val="markedcontent"/>
        </w:rPr>
        <w:t>Moseley, three of whom ultimately died. Moseley was found at the scene by Harford</w:t>
      </w:r>
      <w:r>
        <w:rPr>
          <w:rStyle w:val="markedcontent"/>
        </w:rPr>
        <w:t xml:space="preserve"> </w:t>
      </w:r>
      <w:r w:rsidRPr="00F014DB">
        <w:rPr>
          <w:rStyle w:val="markedcontent"/>
        </w:rPr>
        <w:t>County law enforcement officers with a self-inflicted gunshot wound to the head.</w:t>
      </w:r>
      <w:r>
        <w:rPr>
          <w:rStyle w:val="markedcontent"/>
        </w:rPr>
        <w:t>”</w:t>
      </w:r>
    </w:p>
    <w:p w14:paraId="34E780D9" w14:textId="77777777" w:rsidR="00AB637D" w:rsidRPr="00CD32F9" w:rsidRDefault="00AB637D" w:rsidP="00AB637D">
      <w:pPr>
        <w:pStyle w:val="NormalWeb"/>
        <w:rPr>
          <w:b/>
          <w:bCs/>
        </w:rPr>
      </w:pPr>
      <w:r w:rsidRPr="00CD32F9">
        <w:rPr>
          <w:b/>
          <w:bCs/>
        </w:rPr>
        <w:t>Legal Lesson Learned:</w:t>
      </w:r>
      <w:r>
        <w:rPr>
          <w:b/>
          <w:bCs/>
        </w:rPr>
        <w:t xml:space="preserve"> The Temp company that hired the shooter wisely had conducted a state &amp; federal criminal history and administered a drug test. </w:t>
      </w:r>
    </w:p>
    <w:p w14:paraId="1541DEE1" w14:textId="77777777" w:rsidR="00AB637D" w:rsidRDefault="00AB637D" w:rsidP="00F326E5">
      <w:pPr>
        <w:pStyle w:val="NoSpacing"/>
        <w:rPr>
          <w:rFonts w:ascii="Arial Black" w:hAnsi="Arial Black"/>
          <w:sz w:val="28"/>
          <w:szCs w:val="28"/>
        </w:rPr>
      </w:pPr>
    </w:p>
    <w:p w14:paraId="42A60440" w14:textId="77777777" w:rsidR="00AB637D" w:rsidRDefault="00AB637D" w:rsidP="00F326E5">
      <w:pPr>
        <w:pStyle w:val="NoSpacing"/>
        <w:rPr>
          <w:rFonts w:ascii="Arial Black" w:hAnsi="Arial Black"/>
          <w:sz w:val="28"/>
          <w:szCs w:val="28"/>
        </w:rPr>
      </w:pPr>
    </w:p>
    <w:p w14:paraId="29362A6D" w14:textId="77777777" w:rsidR="00AB637D" w:rsidRDefault="00AB637D" w:rsidP="00F326E5">
      <w:pPr>
        <w:pStyle w:val="NoSpacing"/>
        <w:rPr>
          <w:rFonts w:ascii="Arial Black" w:hAnsi="Arial Black"/>
          <w:sz w:val="28"/>
          <w:szCs w:val="28"/>
        </w:rPr>
      </w:pPr>
    </w:p>
    <w:p w14:paraId="4A796064" w14:textId="77777777" w:rsidR="007959C9" w:rsidRDefault="007959C9" w:rsidP="00F326E5">
      <w:pPr>
        <w:pStyle w:val="NoSpacing"/>
        <w:rPr>
          <w:rFonts w:ascii="Arial Black" w:hAnsi="Arial Black"/>
          <w:sz w:val="28"/>
          <w:szCs w:val="28"/>
        </w:rPr>
      </w:pPr>
    </w:p>
    <w:p w14:paraId="2BECF44C" w14:textId="3C64D396" w:rsidR="007959C9" w:rsidRDefault="007959C9" w:rsidP="00F326E5">
      <w:pPr>
        <w:pStyle w:val="NoSpacing"/>
        <w:rPr>
          <w:rFonts w:ascii="Arial Black" w:hAnsi="Arial Black"/>
          <w:sz w:val="28"/>
          <w:szCs w:val="28"/>
        </w:rPr>
      </w:pPr>
    </w:p>
    <w:p w14:paraId="03160261" w14:textId="7D073F12" w:rsidR="007959C9" w:rsidRDefault="007959C9" w:rsidP="00F326E5">
      <w:pPr>
        <w:pStyle w:val="NoSpacing"/>
        <w:rPr>
          <w:rFonts w:ascii="Arial Black" w:hAnsi="Arial Black"/>
          <w:sz w:val="28"/>
          <w:szCs w:val="28"/>
        </w:rPr>
      </w:pPr>
      <w:r>
        <w:rPr>
          <w:rFonts w:ascii="Arial Black" w:hAnsi="Arial Black"/>
          <w:sz w:val="28"/>
          <w:szCs w:val="28"/>
        </w:rPr>
        <w:t>3-48</w:t>
      </w:r>
    </w:p>
    <w:p w14:paraId="7D0B38BC" w14:textId="77777777" w:rsidR="007959C9" w:rsidRDefault="007959C9" w:rsidP="00F326E5">
      <w:pPr>
        <w:pStyle w:val="NoSpacing"/>
        <w:rPr>
          <w:rFonts w:ascii="Arial Black" w:hAnsi="Arial Black"/>
          <w:sz w:val="28"/>
          <w:szCs w:val="28"/>
        </w:rPr>
      </w:pPr>
    </w:p>
    <w:p w14:paraId="79D92486" w14:textId="77777777" w:rsidR="007959C9" w:rsidRDefault="007959C9" w:rsidP="007959C9">
      <w:pPr>
        <w:pStyle w:val="Heading1"/>
        <w:rPr>
          <w:rFonts w:ascii="Arial Black" w:hAnsi="Arial Black"/>
          <w:sz w:val="28"/>
          <w:szCs w:val="28"/>
        </w:rPr>
      </w:pPr>
      <w:r>
        <w:rPr>
          <w:rFonts w:ascii="Arial Black" w:hAnsi="Arial Black"/>
          <w:sz w:val="28"/>
          <w:szCs w:val="28"/>
        </w:rPr>
        <w:t>NY: NEW CONCEALED CARRY LAW – U.S. SUP. COURT TEMP. NOT BLOCKING – AWAIT 2</w:t>
      </w:r>
      <w:r w:rsidRPr="00150F15">
        <w:rPr>
          <w:rFonts w:ascii="Arial Black" w:hAnsi="Arial Black"/>
          <w:sz w:val="28"/>
          <w:szCs w:val="28"/>
          <w:vertAlign w:val="superscript"/>
        </w:rPr>
        <w:t>nd</w:t>
      </w:r>
      <w:r>
        <w:rPr>
          <w:rFonts w:ascii="Arial Black" w:hAnsi="Arial Black"/>
          <w:sz w:val="28"/>
          <w:szCs w:val="28"/>
        </w:rPr>
        <w:t xml:space="preserve"> CIRCUIT DECISION</w:t>
      </w:r>
    </w:p>
    <w:p w14:paraId="1A5B0ECF" w14:textId="77777777" w:rsidR="007959C9" w:rsidRDefault="007959C9" w:rsidP="007959C9">
      <w:pPr>
        <w:pStyle w:val="Heading1"/>
        <w:rPr>
          <w:b w:val="0"/>
          <w:bCs w:val="0"/>
          <w:sz w:val="24"/>
          <w:szCs w:val="24"/>
        </w:rPr>
      </w:pPr>
      <w:r w:rsidRPr="00327308">
        <w:rPr>
          <w:b w:val="0"/>
          <w:bCs w:val="0"/>
          <w:sz w:val="24"/>
          <w:szCs w:val="24"/>
        </w:rPr>
        <w:t xml:space="preserve">On </w:t>
      </w:r>
      <w:r>
        <w:rPr>
          <w:b w:val="0"/>
          <w:bCs w:val="0"/>
          <w:sz w:val="24"/>
          <w:szCs w:val="24"/>
        </w:rPr>
        <w:t xml:space="preserve">Jan. 11, 2023, in </w:t>
      </w:r>
      <w:r w:rsidRPr="00327308">
        <w:rPr>
          <w:b w:val="0"/>
          <w:bCs w:val="0"/>
          <w:sz w:val="24"/>
          <w:szCs w:val="24"/>
          <w:u w:val="single"/>
        </w:rPr>
        <w:t>Ivan Antonyuk, et al. v. Steven Nigrelli, In His Official Capacity As Acting Superintendent of New York State Police, et al</w:t>
      </w:r>
      <w:r>
        <w:rPr>
          <w:b w:val="0"/>
          <w:bCs w:val="0"/>
          <w:sz w:val="24"/>
          <w:szCs w:val="24"/>
        </w:rPr>
        <w:t>., the U.S. Supreme Court issued an order that keeps State of New York’s new “Concealed Carry Improvement Act” (July 1, 2022) in effect while the U.S. Court of Appeals for 2</w:t>
      </w:r>
      <w:r w:rsidRPr="00327308">
        <w:rPr>
          <w:b w:val="0"/>
          <w:bCs w:val="0"/>
          <w:sz w:val="24"/>
          <w:szCs w:val="24"/>
          <w:vertAlign w:val="superscript"/>
        </w:rPr>
        <w:t>nd</w:t>
      </w:r>
      <w:r>
        <w:rPr>
          <w:b w:val="0"/>
          <w:bCs w:val="0"/>
          <w:sz w:val="24"/>
          <w:szCs w:val="24"/>
        </w:rPr>
        <w:t xml:space="preserve"> Circuit hears oral argument and issues their opinion. Two Supreme Court Justices have urged the 2</w:t>
      </w:r>
      <w:r w:rsidRPr="00C35467">
        <w:rPr>
          <w:b w:val="0"/>
          <w:bCs w:val="0"/>
          <w:sz w:val="24"/>
          <w:szCs w:val="24"/>
          <w:vertAlign w:val="superscript"/>
        </w:rPr>
        <w:t>nd</w:t>
      </w:r>
      <w:r>
        <w:rPr>
          <w:b w:val="0"/>
          <w:bCs w:val="0"/>
          <w:sz w:val="24"/>
          <w:szCs w:val="24"/>
        </w:rPr>
        <w:t xml:space="preserve"> Circuit to decide the case on an expedited basis; see statement by Justice Samuel Alito, joined by Justice Clarence Thomas. </w:t>
      </w:r>
    </w:p>
    <w:p w14:paraId="3253E4DB" w14:textId="77777777" w:rsidR="007959C9" w:rsidRPr="00AA18FA" w:rsidRDefault="007959C9" w:rsidP="007959C9">
      <w:pPr>
        <w:pStyle w:val="Heading1"/>
        <w:ind w:left="720"/>
        <w:rPr>
          <w:rStyle w:val="markedcontent"/>
          <w:rFonts w:eastAsiaTheme="majorEastAsia"/>
          <w:b w:val="0"/>
          <w:bCs w:val="0"/>
          <w:sz w:val="24"/>
          <w:szCs w:val="24"/>
        </w:rPr>
      </w:pPr>
      <w:r>
        <w:rPr>
          <w:b w:val="0"/>
          <w:bCs w:val="0"/>
          <w:sz w:val="24"/>
          <w:szCs w:val="24"/>
        </w:rPr>
        <w:t>“</w:t>
      </w:r>
      <w:r w:rsidRPr="00AA18FA">
        <w:rPr>
          <w:rStyle w:val="markedcontent"/>
          <w:rFonts w:eastAsiaTheme="majorEastAsia"/>
          <w:b w:val="0"/>
          <w:bCs w:val="0"/>
          <w:sz w:val="24"/>
          <w:szCs w:val="24"/>
        </w:rPr>
        <w:t xml:space="preserve">The New York law at issue in this application presents novel and serious questions under both the First and the Second Amendments. The District Court found, in a thorough opinion, that the applicants were likely to succeed </w:t>
      </w:r>
      <w:proofErr w:type="gramStart"/>
      <w:r w:rsidRPr="00AA18FA">
        <w:rPr>
          <w:rStyle w:val="markedcontent"/>
          <w:rFonts w:eastAsiaTheme="majorEastAsia"/>
          <w:b w:val="0"/>
          <w:bCs w:val="0"/>
          <w:sz w:val="24"/>
          <w:szCs w:val="24"/>
        </w:rPr>
        <w:t>on</w:t>
      </w:r>
      <w:proofErr w:type="gramEnd"/>
      <w:r w:rsidRPr="00AA18FA">
        <w:rPr>
          <w:rStyle w:val="markedcontent"/>
          <w:rFonts w:eastAsiaTheme="majorEastAsia"/>
          <w:b w:val="0"/>
          <w:bCs w:val="0"/>
          <w:sz w:val="24"/>
          <w:szCs w:val="24"/>
        </w:rPr>
        <w:t xml:space="preserve"> </w:t>
      </w:r>
      <w:proofErr w:type="gramStart"/>
      <w:r w:rsidRPr="00AA18FA">
        <w:rPr>
          <w:rStyle w:val="markedcontent"/>
          <w:rFonts w:eastAsiaTheme="majorEastAsia"/>
          <w:b w:val="0"/>
          <w:bCs w:val="0"/>
          <w:sz w:val="24"/>
          <w:szCs w:val="24"/>
        </w:rPr>
        <w:t>a number of</w:t>
      </w:r>
      <w:proofErr w:type="gramEnd"/>
      <w:r w:rsidRPr="00AA18FA">
        <w:rPr>
          <w:rStyle w:val="markedcontent"/>
          <w:rFonts w:eastAsiaTheme="majorEastAsia"/>
          <w:b w:val="0"/>
          <w:bCs w:val="0"/>
          <w:sz w:val="24"/>
          <w:szCs w:val="24"/>
        </w:rPr>
        <w:t xml:space="preserve"> their claims, and it issued a preliminary injunction as to twelve provisions of the challenged law. With</w:t>
      </w:r>
      <w:r w:rsidRPr="00AA18FA">
        <w:rPr>
          <w:b w:val="0"/>
          <w:bCs w:val="0"/>
          <w:sz w:val="24"/>
          <w:szCs w:val="24"/>
        </w:rPr>
        <w:br/>
      </w:r>
      <w:r w:rsidRPr="00AA18FA">
        <w:rPr>
          <w:rStyle w:val="markedcontent"/>
          <w:rFonts w:eastAsiaTheme="majorEastAsia"/>
          <w:b w:val="0"/>
          <w:bCs w:val="0"/>
          <w:sz w:val="24"/>
          <w:szCs w:val="24"/>
        </w:rPr>
        <w:t xml:space="preserve">one exception, the Second Circuit issued a stay of the injunction in full, and in doing so did not provide any explanation for its ruling…. I understand the Court’s denial today to reflect respect for the Second Circuit’s procedures in managing its own docket, rather than expressing any view on the merits of the case. Applicants should not be deterred by today’s order from again seeking relief if the Second Circuit does not, within a reasonable time, provide an explanation for its stay order or expedite consideration of the </w:t>
      </w:r>
      <w:proofErr w:type="gramStart"/>
      <w:r w:rsidRPr="00AA18FA">
        <w:rPr>
          <w:rStyle w:val="markedcontent"/>
          <w:rFonts w:eastAsiaTheme="majorEastAsia"/>
          <w:b w:val="0"/>
          <w:bCs w:val="0"/>
          <w:sz w:val="24"/>
          <w:szCs w:val="24"/>
        </w:rPr>
        <w:t>appeal.”</w:t>
      </w:r>
      <w:proofErr w:type="gramEnd"/>
      <w:r w:rsidRPr="00AA18FA">
        <w:rPr>
          <w:rStyle w:val="markedcontent"/>
          <w:rFonts w:eastAsiaTheme="majorEastAsia"/>
          <w:b w:val="0"/>
          <w:bCs w:val="0"/>
          <w:sz w:val="24"/>
          <w:szCs w:val="24"/>
        </w:rPr>
        <w:t xml:space="preserve"> </w:t>
      </w:r>
      <w:hyperlink r:id="rId725" w:history="1">
        <w:r w:rsidRPr="00AA18FA">
          <w:rPr>
            <w:rStyle w:val="Hyperlink"/>
            <w:sz w:val="24"/>
            <w:szCs w:val="24"/>
          </w:rPr>
          <w:t>https://www.supremecourt.gov/opinions/22pdf/22a557_0pm1.pdf</w:t>
        </w:r>
      </w:hyperlink>
      <w:r w:rsidRPr="00AA18FA">
        <w:rPr>
          <w:rStyle w:val="markedcontent"/>
          <w:rFonts w:eastAsiaTheme="majorEastAsia"/>
          <w:b w:val="0"/>
          <w:bCs w:val="0"/>
          <w:sz w:val="24"/>
          <w:szCs w:val="24"/>
        </w:rPr>
        <w:t xml:space="preserve"> </w:t>
      </w:r>
    </w:p>
    <w:p w14:paraId="577F6E3D" w14:textId="77777777" w:rsidR="007959C9" w:rsidRDefault="007959C9" w:rsidP="007959C9">
      <w:pPr>
        <w:pStyle w:val="Heading1"/>
        <w:rPr>
          <w:b w:val="0"/>
          <w:bCs w:val="0"/>
          <w:sz w:val="24"/>
          <w:szCs w:val="24"/>
        </w:rPr>
      </w:pPr>
      <w:r>
        <w:rPr>
          <w:b w:val="0"/>
          <w:bCs w:val="0"/>
          <w:sz w:val="24"/>
          <w:szCs w:val="24"/>
        </w:rPr>
        <w:lastRenderedPageBreak/>
        <w:t>On Jan. 17, 2023, the City of New York has filed a brief with the 2</w:t>
      </w:r>
      <w:r w:rsidRPr="00761B43">
        <w:rPr>
          <w:b w:val="0"/>
          <w:bCs w:val="0"/>
          <w:sz w:val="24"/>
          <w:szCs w:val="24"/>
          <w:vertAlign w:val="superscript"/>
        </w:rPr>
        <w:t>nd</w:t>
      </w:r>
      <w:r>
        <w:rPr>
          <w:b w:val="0"/>
          <w:bCs w:val="0"/>
          <w:sz w:val="24"/>
          <w:szCs w:val="24"/>
        </w:rPr>
        <w:t xml:space="preserve"> Circuit describing the importance of the State of New York’s new concealed carry law, that prohibits firearms in “sensitive areas” like Times Square and allows licensing officials to consider the mental and criminal history of the applicant. </w:t>
      </w:r>
    </w:p>
    <w:p w14:paraId="4EB4FB57" w14:textId="77777777" w:rsidR="007959C9" w:rsidRPr="00AA18FA" w:rsidRDefault="007959C9" w:rsidP="007959C9">
      <w:pPr>
        <w:pStyle w:val="Heading1"/>
        <w:ind w:left="720"/>
        <w:rPr>
          <w:b w:val="0"/>
          <w:bCs w:val="0"/>
          <w:sz w:val="24"/>
          <w:szCs w:val="24"/>
        </w:rPr>
      </w:pPr>
      <w:r w:rsidRPr="00AA18FA">
        <w:rPr>
          <w:rStyle w:val="markedcontent"/>
          <w:rFonts w:eastAsiaTheme="majorEastAsia"/>
          <w:b w:val="0"/>
          <w:bCs w:val="0"/>
          <w:sz w:val="24"/>
          <w:szCs w:val="24"/>
        </w:rPr>
        <w:t xml:space="preserve">“The CCIA’s licensing standard, which requires an applicant to have the ‘essential temperament’ to possess and carry a firearm safely, is squarely in line with ‘shall-issue’ licensure standards that the Supreme Court said in </w:t>
      </w:r>
      <w:r w:rsidRPr="00AA18FA">
        <w:rPr>
          <w:rStyle w:val="markedcontent"/>
          <w:rFonts w:eastAsiaTheme="majorEastAsia"/>
          <w:b w:val="0"/>
          <w:bCs w:val="0"/>
          <w:sz w:val="24"/>
          <w:szCs w:val="24"/>
          <w:u w:val="single"/>
        </w:rPr>
        <w:t>Bruen [</w:t>
      </w:r>
      <w:r w:rsidRPr="00AA18FA">
        <w:rPr>
          <w:rStyle w:val="markedcontent"/>
          <w:rFonts w:eastAsiaTheme="majorEastAsia"/>
          <w:b w:val="0"/>
          <w:bCs w:val="0"/>
          <w:sz w:val="24"/>
          <w:szCs w:val="24"/>
        </w:rPr>
        <w:t>New York State Rifle &amp;</w:t>
      </w:r>
      <w:r w:rsidRPr="00AA18FA">
        <w:rPr>
          <w:b w:val="0"/>
          <w:bCs w:val="0"/>
          <w:sz w:val="24"/>
          <w:szCs w:val="24"/>
        </w:rPr>
        <w:br/>
      </w:r>
      <w:r w:rsidRPr="00AA18FA">
        <w:rPr>
          <w:rStyle w:val="markedcontent"/>
          <w:rFonts w:eastAsiaTheme="majorEastAsia"/>
          <w:b w:val="0"/>
          <w:bCs w:val="0"/>
          <w:sz w:val="24"/>
          <w:szCs w:val="24"/>
        </w:rPr>
        <w:t xml:space="preserve">Pistol </w:t>
      </w:r>
      <w:proofErr w:type="spellStart"/>
      <w:r w:rsidRPr="00AA18FA">
        <w:rPr>
          <w:rStyle w:val="markedcontent"/>
          <w:rFonts w:eastAsiaTheme="majorEastAsia"/>
          <w:b w:val="0"/>
          <w:bCs w:val="0"/>
          <w:sz w:val="24"/>
          <w:szCs w:val="24"/>
        </w:rPr>
        <w:t>Ass’n</w:t>
      </w:r>
      <w:proofErr w:type="spellEnd"/>
      <w:r w:rsidRPr="00AA18FA">
        <w:rPr>
          <w:rStyle w:val="markedcontent"/>
          <w:rFonts w:eastAsiaTheme="majorEastAsia"/>
          <w:b w:val="0"/>
          <w:bCs w:val="0"/>
          <w:sz w:val="24"/>
          <w:szCs w:val="24"/>
        </w:rPr>
        <w:t>, Inc. v. Bruen, 142 S. Ct. 2111 (2022)] appropriately ensure that only</w:t>
      </w:r>
      <w:r w:rsidRPr="00AA18FA">
        <w:rPr>
          <w:b w:val="0"/>
          <w:bCs w:val="0"/>
          <w:sz w:val="24"/>
          <w:szCs w:val="24"/>
        </w:rPr>
        <w:br/>
      </w:r>
      <w:r w:rsidRPr="00AA18FA">
        <w:rPr>
          <w:rStyle w:val="markedcontent"/>
          <w:rFonts w:eastAsiaTheme="majorEastAsia"/>
          <w:b w:val="0"/>
          <w:bCs w:val="0"/>
          <w:sz w:val="24"/>
          <w:szCs w:val="24"/>
        </w:rPr>
        <w:t xml:space="preserve">such citizens are authorized to carry firearms.” </w:t>
      </w:r>
      <w:hyperlink r:id="rId726" w:history="1">
        <w:r w:rsidRPr="00AA18FA">
          <w:rPr>
            <w:rStyle w:val="Hyperlink"/>
            <w:sz w:val="24"/>
            <w:szCs w:val="24"/>
          </w:rPr>
          <w:t>https://www.nyc.gov/assets/home/downloads/pdf/press-releases/2023/Antonyuk_Amicus_Brief.pdf</w:t>
        </w:r>
      </w:hyperlink>
      <w:r w:rsidRPr="00AA18FA">
        <w:rPr>
          <w:rStyle w:val="markedcontent"/>
          <w:rFonts w:eastAsiaTheme="majorEastAsia"/>
          <w:b w:val="0"/>
          <w:bCs w:val="0"/>
          <w:sz w:val="24"/>
          <w:szCs w:val="24"/>
        </w:rPr>
        <w:t xml:space="preserve"> </w:t>
      </w:r>
    </w:p>
    <w:p w14:paraId="101B2900" w14:textId="77777777" w:rsidR="007959C9" w:rsidRDefault="007959C9" w:rsidP="007959C9">
      <w:pPr>
        <w:pStyle w:val="Heading1"/>
        <w:rPr>
          <w:rStyle w:val="markedcontent"/>
          <w:rFonts w:eastAsiaTheme="majorEastAsia"/>
          <w:b w:val="0"/>
          <w:bCs w:val="0"/>
        </w:rPr>
      </w:pPr>
      <w:r>
        <w:rPr>
          <w:b w:val="0"/>
          <w:bCs w:val="0"/>
          <w:sz w:val="24"/>
          <w:szCs w:val="24"/>
        </w:rPr>
        <w:t xml:space="preserve">In the </w:t>
      </w:r>
      <w:r w:rsidRPr="00761B43">
        <w:rPr>
          <w:b w:val="0"/>
          <w:bCs w:val="0"/>
          <w:sz w:val="24"/>
          <w:szCs w:val="24"/>
          <w:u w:val="single"/>
        </w:rPr>
        <w:t>Bruen</w:t>
      </w:r>
      <w:r>
        <w:rPr>
          <w:b w:val="0"/>
          <w:bCs w:val="0"/>
          <w:sz w:val="24"/>
          <w:szCs w:val="24"/>
        </w:rPr>
        <w:t xml:space="preserve"> case, U.S. Supreme Court on June 23, </w:t>
      </w:r>
      <w:proofErr w:type="gramStart"/>
      <w:r>
        <w:rPr>
          <w:b w:val="0"/>
          <w:bCs w:val="0"/>
          <w:sz w:val="24"/>
          <w:szCs w:val="24"/>
        </w:rPr>
        <w:t>2022</w:t>
      </w:r>
      <w:proofErr w:type="gramEnd"/>
      <w:r>
        <w:rPr>
          <w:b w:val="0"/>
          <w:bCs w:val="0"/>
          <w:sz w:val="24"/>
          <w:szCs w:val="24"/>
        </w:rPr>
        <w:t xml:space="preserve"> declared unconstitutional a prior version of the New York law, that prohibited residents from carrying a handgun in public unless they could prove a “special need for self-protection.”  </w:t>
      </w:r>
      <w:hyperlink r:id="rId727" w:history="1">
        <w:r w:rsidRPr="0090655A">
          <w:rPr>
            <w:rStyle w:val="Hyperlink"/>
            <w:sz w:val="24"/>
            <w:szCs w:val="24"/>
          </w:rPr>
          <w:t>https://www.supremecourt.gov/opinions/21pdf/20-843_7j80.pdf</w:t>
        </w:r>
      </w:hyperlink>
      <w:r>
        <w:rPr>
          <w:b w:val="0"/>
          <w:bCs w:val="0"/>
          <w:sz w:val="24"/>
          <w:szCs w:val="24"/>
        </w:rPr>
        <w:t xml:space="preserve">.  </w:t>
      </w:r>
    </w:p>
    <w:p w14:paraId="7D00AA28" w14:textId="77777777" w:rsidR="007959C9" w:rsidRPr="00AA18FA" w:rsidRDefault="007959C9" w:rsidP="007959C9">
      <w:pPr>
        <w:pStyle w:val="Heading1"/>
        <w:rPr>
          <w:b w:val="0"/>
          <w:bCs w:val="0"/>
          <w:sz w:val="24"/>
          <w:szCs w:val="24"/>
        </w:rPr>
      </w:pPr>
      <w:r w:rsidRPr="00AA18FA">
        <w:rPr>
          <w:b w:val="0"/>
          <w:bCs w:val="0"/>
          <w:sz w:val="24"/>
          <w:szCs w:val="24"/>
        </w:rPr>
        <w:t xml:space="preserve">On Oct. 6, 2022, U.S. District Court </w:t>
      </w:r>
      <w:r w:rsidRPr="00AA18FA">
        <w:rPr>
          <w:rStyle w:val="markedcontent"/>
          <w:rFonts w:eastAsiaTheme="majorEastAsia"/>
          <w:b w:val="0"/>
          <w:bCs w:val="0"/>
          <w:sz w:val="24"/>
          <w:szCs w:val="24"/>
        </w:rPr>
        <w:t xml:space="preserve">Judge Suddaby, Southern District of New York, issued a preliminary injunction against the new State of New York law, focusing on its “good moral character” provision. </w:t>
      </w:r>
    </w:p>
    <w:p w14:paraId="1D8CB379" w14:textId="77777777" w:rsidR="007959C9" w:rsidRPr="00AA18FA" w:rsidRDefault="007959C9" w:rsidP="007959C9">
      <w:pPr>
        <w:pStyle w:val="Heading1"/>
        <w:ind w:left="720"/>
        <w:rPr>
          <w:rStyle w:val="markedcontent"/>
          <w:rFonts w:eastAsiaTheme="majorEastAsia"/>
          <w:b w:val="0"/>
          <w:bCs w:val="0"/>
          <w:sz w:val="24"/>
          <w:szCs w:val="24"/>
        </w:rPr>
      </w:pPr>
      <w:r w:rsidRPr="00AA18FA">
        <w:rPr>
          <w:rStyle w:val="markedcontent"/>
          <w:rFonts w:eastAsiaTheme="majorEastAsia"/>
          <w:b w:val="0"/>
          <w:bCs w:val="0"/>
          <w:sz w:val="24"/>
          <w:szCs w:val="24"/>
        </w:rPr>
        <w:t>“In essence, New York State has replaced its requirement that an applicant show a special need for self-protection with its requirement that the applicant rebut the presumption that he or she is a danger to himself or herself, while retaining (and even expanding) the open-ended discretion afforded to its licensing officers.</w:t>
      </w:r>
    </w:p>
    <w:p w14:paraId="39CDF503" w14:textId="77777777" w:rsidR="007959C9" w:rsidRDefault="007959C9" w:rsidP="007959C9">
      <w:pPr>
        <w:pStyle w:val="Heading1"/>
        <w:ind w:left="720"/>
        <w:rPr>
          <w:rStyle w:val="markedcontent"/>
          <w:rFonts w:eastAsiaTheme="majorEastAsia"/>
          <w:b w:val="0"/>
          <w:bCs w:val="0"/>
        </w:rPr>
      </w:pPr>
      <w:r w:rsidRPr="00AA18FA">
        <w:rPr>
          <w:rStyle w:val="markedcontent"/>
          <w:rFonts w:eastAsiaTheme="majorEastAsia"/>
          <w:b w:val="0"/>
          <w:bCs w:val="0"/>
          <w:sz w:val="24"/>
          <w:szCs w:val="24"/>
        </w:rPr>
        <w:t>Simply stated, instead of moving toward becoming a shall-issue jurisdiction, New York</w:t>
      </w:r>
      <w:r w:rsidRPr="00AA18FA">
        <w:rPr>
          <w:b w:val="0"/>
          <w:bCs w:val="0"/>
          <w:sz w:val="24"/>
          <w:szCs w:val="24"/>
        </w:rPr>
        <w:br/>
      </w:r>
      <w:r w:rsidRPr="00AA18FA">
        <w:rPr>
          <w:rStyle w:val="markedcontent"/>
          <w:rFonts w:eastAsiaTheme="majorEastAsia"/>
          <w:b w:val="0"/>
          <w:bCs w:val="0"/>
          <w:sz w:val="24"/>
          <w:szCs w:val="24"/>
        </w:rPr>
        <w:t xml:space="preserve">State has further entrenched itself as a shall-not-issue jurisdiction. And, by doing so, it has further reduced a first-class constitutional right to bear arms in public for self-defense (which, during the 19th and 18th centuries in America, generally came with an assumption that law-abiding responsible citizens were not a danger to themselves or others unless there was specific ground for a contrary finding) into a mere request (which is burdened with a presumption of dangerousness and the need to show ‘good moral character’).” </w:t>
      </w:r>
      <w:hyperlink r:id="rId728" w:history="1">
        <w:r w:rsidRPr="00AA18FA">
          <w:rPr>
            <w:rStyle w:val="Hyperlink"/>
            <w:sz w:val="24"/>
            <w:szCs w:val="24"/>
          </w:rPr>
          <w:t>https://storage.courtlistener.com/recap/gov.uscourts.nynd.134829/gov.uscourts.nynd.134829.27.0_1.pdf</w:t>
        </w:r>
      </w:hyperlink>
      <w:r>
        <w:rPr>
          <w:rStyle w:val="markedcontent"/>
          <w:rFonts w:eastAsiaTheme="majorEastAsia"/>
          <w:b w:val="0"/>
          <w:bCs w:val="0"/>
        </w:rPr>
        <w:t xml:space="preserve"> </w:t>
      </w:r>
    </w:p>
    <w:p w14:paraId="2D3D3594" w14:textId="77777777" w:rsidR="007959C9" w:rsidRDefault="007959C9" w:rsidP="007959C9">
      <w:pPr>
        <w:pStyle w:val="Heading1"/>
        <w:rPr>
          <w:sz w:val="24"/>
          <w:szCs w:val="24"/>
        </w:rPr>
      </w:pPr>
      <w:r w:rsidRPr="00C35467">
        <w:rPr>
          <w:sz w:val="24"/>
          <w:szCs w:val="24"/>
        </w:rPr>
        <w:t xml:space="preserve">Legal Lesson Learned: </w:t>
      </w:r>
      <w:r>
        <w:rPr>
          <w:sz w:val="24"/>
          <w:szCs w:val="24"/>
        </w:rPr>
        <w:t xml:space="preserve">Gun violence is a growing problem in our Nation, and States and cities are seeking to enact laws that face legal challenges.  </w:t>
      </w:r>
    </w:p>
    <w:p w14:paraId="203D3F2A" w14:textId="77777777" w:rsidR="007959C9" w:rsidRPr="00AA18FA" w:rsidRDefault="007959C9" w:rsidP="007959C9">
      <w:pPr>
        <w:pStyle w:val="Heading1"/>
        <w:ind w:left="720"/>
        <w:rPr>
          <w:b w:val="0"/>
          <w:bCs w:val="0"/>
          <w:sz w:val="24"/>
          <w:szCs w:val="24"/>
        </w:rPr>
      </w:pPr>
      <w:r w:rsidRPr="00C35467">
        <w:rPr>
          <w:b w:val="0"/>
          <w:bCs w:val="0"/>
          <w:sz w:val="24"/>
          <w:szCs w:val="24"/>
        </w:rPr>
        <w:t>Note</w:t>
      </w:r>
      <w:r>
        <w:rPr>
          <w:b w:val="0"/>
          <w:bCs w:val="0"/>
          <w:sz w:val="24"/>
          <w:szCs w:val="24"/>
        </w:rPr>
        <w:t xml:space="preserve">: </w:t>
      </w:r>
      <w:r w:rsidRPr="00AA18FA">
        <w:rPr>
          <w:rStyle w:val="markedcontent"/>
          <w:rFonts w:eastAsiaTheme="majorEastAsia"/>
          <w:b w:val="0"/>
          <w:bCs w:val="0"/>
          <w:sz w:val="24"/>
          <w:szCs w:val="24"/>
        </w:rPr>
        <w:t>Jan. 20, 2023: “</w:t>
      </w:r>
      <w:r w:rsidRPr="00AA18FA">
        <w:rPr>
          <w:b w:val="0"/>
          <w:bCs w:val="0"/>
          <w:sz w:val="24"/>
          <w:szCs w:val="24"/>
        </w:rPr>
        <w:t xml:space="preserve">Columbus gun laws dodge block on enforcement, going into effect soon.” </w:t>
      </w:r>
      <w:hyperlink r:id="rId729" w:history="1">
        <w:r w:rsidRPr="00AA18FA">
          <w:rPr>
            <w:rStyle w:val="Hyperlink"/>
            <w:sz w:val="24"/>
            <w:szCs w:val="24"/>
          </w:rPr>
          <w:t>https://www.nbc4i.com/news/local-news/columbus/columbus-gun-laws-dodge-block-on-enforcement-going-into-effect-soon/</w:t>
        </w:r>
      </w:hyperlink>
      <w:r w:rsidRPr="00AA18FA">
        <w:rPr>
          <w:b w:val="0"/>
          <w:bCs w:val="0"/>
          <w:sz w:val="24"/>
          <w:szCs w:val="24"/>
        </w:rPr>
        <w:t xml:space="preserve"> .“A Fairfield County judge on Friday opened an opportunity for the City of Columbus to enforce its recently passed gun limitations that have been embattled by a lawsuit.”</w:t>
      </w:r>
    </w:p>
    <w:p w14:paraId="68AD0446" w14:textId="77777777" w:rsidR="007959C9" w:rsidRPr="00AA18FA" w:rsidRDefault="007959C9" w:rsidP="007959C9">
      <w:pPr>
        <w:pStyle w:val="Heading1"/>
        <w:ind w:left="720"/>
        <w:rPr>
          <w:b w:val="0"/>
          <w:bCs w:val="0"/>
          <w:sz w:val="24"/>
          <w:szCs w:val="24"/>
        </w:rPr>
      </w:pPr>
      <w:r w:rsidRPr="00AA18FA">
        <w:rPr>
          <w:b w:val="0"/>
          <w:bCs w:val="0"/>
          <w:sz w:val="24"/>
          <w:szCs w:val="24"/>
        </w:rPr>
        <w:t xml:space="preserve">See also: Jan. 20, 2023 - Remarks by Deputy Attorney General of United States, Lisa O. Monaco, at the ATF Academy Graduation, </w:t>
      </w:r>
      <w:proofErr w:type="spellStart"/>
      <w:r w:rsidRPr="00AA18FA">
        <w:rPr>
          <w:b w:val="0"/>
          <w:bCs w:val="0"/>
          <w:sz w:val="24"/>
          <w:szCs w:val="24"/>
        </w:rPr>
        <w:t>Glynco</w:t>
      </w:r>
      <w:proofErr w:type="spellEnd"/>
      <w:r w:rsidRPr="00AA18FA">
        <w:rPr>
          <w:b w:val="0"/>
          <w:bCs w:val="0"/>
          <w:sz w:val="24"/>
          <w:szCs w:val="24"/>
        </w:rPr>
        <w:t xml:space="preserve">, GA. </w:t>
      </w:r>
      <w:hyperlink r:id="rId730" w:history="1">
        <w:r w:rsidRPr="00AA18FA">
          <w:rPr>
            <w:rStyle w:val="Hyperlink"/>
            <w:sz w:val="24"/>
            <w:szCs w:val="24"/>
          </w:rPr>
          <w:t>https://www.justice.gov/opa/speech/deputy-attorney-general-lisa-o-monaco-delivers-remarks-atf-academy-graduation</w:t>
        </w:r>
      </w:hyperlink>
      <w:r w:rsidRPr="00AA18FA">
        <w:rPr>
          <w:b w:val="0"/>
          <w:bCs w:val="0"/>
          <w:sz w:val="24"/>
          <w:szCs w:val="24"/>
        </w:rPr>
        <w:t xml:space="preserve"> </w:t>
      </w:r>
    </w:p>
    <w:p w14:paraId="5089DF59" w14:textId="77777777" w:rsidR="007959C9" w:rsidRDefault="007959C9" w:rsidP="007959C9">
      <w:pPr>
        <w:pStyle w:val="NormalWeb"/>
        <w:ind w:left="1440"/>
        <w:rPr>
          <w:rStyle w:val="markedcontent"/>
          <w:rFonts w:eastAsiaTheme="majorEastAsia"/>
        </w:rPr>
      </w:pPr>
      <w:r>
        <w:t xml:space="preserve">“Just last week, ATF took an important step to enhance public safety when it issued the Stabilizing Brace Rule. This is a rule that ensures all short-barreled rifles, including those created when a qualifying brace is added to a pistol, are subject to applicable law. The rule makes clear that short-barreled rifles must be registered and subject to a background check before any </w:t>
      </w:r>
      <w:proofErr w:type="gramStart"/>
      <w:r>
        <w:t>transfer</w:t>
      </w:r>
      <w:proofErr w:type="gramEnd"/>
      <w:r>
        <w:t xml:space="preserve"> so they don’t end up in the hands of prohibited </w:t>
      </w:r>
      <w:proofErr w:type="gramStart"/>
      <w:r>
        <w:t>persons</w:t>
      </w:r>
      <w:proofErr w:type="gramEnd"/>
      <w:r>
        <w:t xml:space="preserve">. This rule is about safety. In </w:t>
      </w:r>
      <w:r>
        <w:lastRenderedPageBreak/>
        <w:t>recent years, mass shootings in Dayton, Ohio, and Boulder, Colorado, were carried out with firearms outfitted with stabilizing braces.”</w:t>
      </w:r>
    </w:p>
    <w:p w14:paraId="544A4514" w14:textId="77777777" w:rsidR="007959C9" w:rsidRDefault="007959C9" w:rsidP="007959C9">
      <w:pPr>
        <w:pStyle w:val="NormalWeb"/>
        <w:jc w:val="center"/>
        <w:rPr>
          <w:b/>
          <w:bCs/>
        </w:rPr>
      </w:pPr>
    </w:p>
    <w:p w14:paraId="76857B53" w14:textId="77777777" w:rsidR="007959C9" w:rsidRDefault="007959C9" w:rsidP="00F326E5">
      <w:pPr>
        <w:pStyle w:val="NoSpacing"/>
        <w:rPr>
          <w:rFonts w:ascii="Arial Black" w:hAnsi="Arial Black"/>
          <w:sz w:val="28"/>
          <w:szCs w:val="28"/>
        </w:rPr>
      </w:pPr>
    </w:p>
    <w:p w14:paraId="09A1CB44" w14:textId="328C8C71" w:rsidR="006C79BE" w:rsidRDefault="006C79BE" w:rsidP="00F326E5">
      <w:pPr>
        <w:pStyle w:val="NoSpacing"/>
        <w:rPr>
          <w:rFonts w:ascii="Arial Black" w:hAnsi="Arial Black"/>
          <w:sz w:val="28"/>
          <w:szCs w:val="28"/>
        </w:rPr>
      </w:pPr>
      <w:r>
        <w:rPr>
          <w:rFonts w:ascii="Arial Black" w:hAnsi="Arial Black"/>
          <w:sz w:val="28"/>
          <w:szCs w:val="28"/>
        </w:rPr>
        <w:t>3-47</w:t>
      </w:r>
    </w:p>
    <w:p w14:paraId="5833C98F" w14:textId="55C85A46" w:rsidR="006C79BE" w:rsidRDefault="006C79BE" w:rsidP="00F326E5">
      <w:pPr>
        <w:pStyle w:val="NoSpacing"/>
        <w:rPr>
          <w:rFonts w:ascii="Arial Black" w:hAnsi="Arial Black"/>
          <w:sz w:val="28"/>
          <w:szCs w:val="28"/>
        </w:rPr>
      </w:pPr>
    </w:p>
    <w:p w14:paraId="7AD973B8" w14:textId="77777777" w:rsidR="006C79BE" w:rsidRPr="00536BE5" w:rsidRDefault="006C79BE" w:rsidP="006C79BE">
      <w:pPr>
        <w:pStyle w:val="NormalWeb"/>
        <w:rPr>
          <w:rFonts w:ascii="Arial Black" w:hAnsi="Arial Black"/>
          <w:b/>
          <w:bCs/>
          <w:sz w:val="28"/>
          <w:szCs w:val="28"/>
        </w:rPr>
      </w:pPr>
      <w:r>
        <w:rPr>
          <w:rFonts w:ascii="Arial Black" w:hAnsi="Arial Black"/>
          <w:b/>
          <w:bCs/>
          <w:sz w:val="28"/>
          <w:szCs w:val="28"/>
        </w:rPr>
        <w:t>U.S. SUP. CT: TITLE 42 PUBLIC HEALTH ORDER REMAIN – IMMIGRANTS SENT BACK - FEB. 2023 ORAL ARGUMENT</w:t>
      </w:r>
    </w:p>
    <w:p w14:paraId="033960DE" w14:textId="77777777" w:rsidR="006C79BE" w:rsidRDefault="006C79BE" w:rsidP="006C79BE">
      <w:pPr>
        <w:pStyle w:val="NormalWeb"/>
        <w:rPr>
          <w:rStyle w:val="markedcontent"/>
        </w:rPr>
      </w:pPr>
      <w:r>
        <w:rPr>
          <w:rStyle w:val="markedcontent"/>
        </w:rPr>
        <w:t xml:space="preserve">On Dec. 27, 2022, in </w:t>
      </w:r>
      <w:r w:rsidRPr="00CE3E6C">
        <w:rPr>
          <w:rStyle w:val="markedcontent"/>
          <w:u w:val="single"/>
        </w:rPr>
        <w:t>Arizona, et al. v. Alejandro Mayorkas, Secretary of Homeland Security</w:t>
      </w:r>
      <w:r>
        <w:rPr>
          <w:rStyle w:val="markedcontent"/>
        </w:rPr>
        <w:t xml:space="preserve">, the Court held (5 to 4) that the Title 42 public health order issued in March 2020 by U.S. Department under President Trump will temporarily remain in place until oral arguments in </w:t>
      </w:r>
      <w:proofErr w:type="gramStart"/>
      <w:r>
        <w:rPr>
          <w:rStyle w:val="markedcontent"/>
        </w:rPr>
        <w:t>February,</w:t>
      </w:r>
      <w:proofErr w:type="gramEnd"/>
      <w:r>
        <w:rPr>
          <w:rStyle w:val="markedcontent"/>
        </w:rPr>
        <w:t xml:space="preserve"> 2023 and full Court decision thereafter.  The Court stayed the Nov. 22, </w:t>
      </w:r>
      <w:proofErr w:type="gramStart"/>
      <w:r>
        <w:rPr>
          <w:rStyle w:val="markedcontent"/>
        </w:rPr>
        <w:t>2022</w:t>
      </w:r>
      <w:proofErr w:type="gramEnd"/>
      <w:r>
        <w:rPr>
          <w:rStyle w:val="markedcontent"/>
        </w:rPr>
        <w:t xml:space="preserve"> decision by U.S. District Court Judge Emmet G. Sullivan, District of Columbia, who ruled that the 2020 public health order (issued under 1893 Federal public health statute) cannot be enforced since it did not consider vaccinations as restrictive measure to protect the public from COVID-19.  Five conservative Supreme Court Justices granted the stay sought by 19 states, including Arizona and Texas.  Therefore, currently migrants can continue to be returned to Mexico or their home nation.  To date the 2020 public health order has been used to expel more than 2 million migrants.  </w:t>
      </w:r>
    </w:p>
    <w:p w14:paraId="4B45E469" w14:textId="77777777" w:rsidR="006C79BE" w:rsidRPr="001D6C7D" w:rsidRDefault="006C79BE" w:rsidP="006C79BE">
      <w:pPr>
        <w:pStyle w:val="NormalWeb"/>
        <w:ind w:left="720"/>
        <w:rPr>
          <w:rStyle w:val="markedcontent"/>
        </w:rPr>
      </w:pPr>
      <w:r w:rsidRPr="001D6C7D">
        <w:rPr>
          <w:rStyle w:val="markedcontent"/>
        </w:rPr>
        <w:t xml:space="preserve">“This stay precludes giving effect to the District Court order setting aside and vacating the Title 42 policy; the stay itself does not prevent the federal government from taking any action with respect to that policy.” </w:t>
      </w:r>
      <w:hyperlink r:id="rId731" w:history="1">
        <w:r w:rsidRPr="001D6C7D">
          <w:rPr>
            <w:rStyle w:val="Hyperlink"/>
            <w:rFonts w:eastAsiaTheme="majorEastAsia"/>
          </w:rPr>
          <w:t>https://www.supremecourt.gov/opinions/22pdf/22a544_n758.pdf</w:t>
        </w:r>
      </w:hyperlink>
      <w:r w:rsidRPr="001D6C7D">
        <w:rPr>
          <w:rStyle w:val="markedcontent"/>
        </w:rPr>
        <w:t xml:space="preserve"> </w:t>
      </w:r>
    </w:p>
    <w:p w14:paraId="53588017" w14:textId="77777777" w:rsidR="006C79BE" w:rsidRDefault="006C79BE" w:rsidP="006C79BE">
      <w:pPr>
        <w:pStyle w:val="NormalWeb"/>
        <w:rPr>
          <w:rStyle w:val="markedcontent"/>
        </w:rPr>
      </w:pPr>
      <w:r>
        <w:rPr>
          <w:rStyle w:val="markedcontent"/>
        </w:rPr>
        <w:t xml:space="preserve">Three liberal justices, plus Justice Neil Gorsuch (nominated by President Trump) dissented.  Justice Gorsuch wrote: </w:t>
      </w:r>
    </w:p>
    <w:p w14:paraId="0536CB13" w14:textId="77777777" w:rsidR="006C79BE" w:rsidRPr="004901C1" w:rsidRDefault="006C79BE" w:rsidP="006C79BE">
      <w:pPr>
        <w:pStyle w:val="NormalWeb"/>
        <w:ind w:left="720"/>
        <w:rPr>
          <w:rStyle w:val="markedcontent"/>
        </w:rPr>
      </w:pPr>
      <w:r w:rsidRPr="004901C1">
        <w:rPr>
          <w:rStyle w:val="markedcontent"/>
        </w:rPr>
        <w:t>“But the current border crisis is not a COVID crisis. And courts should not be in the business of perpetuating administrative edicts designed for one emergency only because elected officials have failed to address a different emergency. We are a court of law, not policymakers of last resort.”</w:t>
      </w:r>
    </w:p>
    <w:p w14:paraId="22194DC7" w14:textId="77777777" w:rsidR="006C79BE" w:rsidRPr="001D6C7D" w:rsidRDefault="006C79BE" w:rsidP="006C79BE">
      <w:pPr>
        <w:pStyle w:val="NormalWeb"/>
        <w:rPr>
          <w:rStyle w:val="markedcontent"/>
          <w:b/>
          <w:bCs/>
        </w:rPr>
      </w:pPr>
      <w:r w:rsidRPr="001D6C7D">
        <w:rPr>
          <w:rStyle w:val="markedcontent"/>
          <w:b/>
          <w:bCs/>
        </w:rPr>
        <w:t>Legal lesson learned: The border crisis demands reform of our immigration laws.</w:t>
      </w:r>
    </w:p>
    <w:tbl>
      <w:tblPr>
        <w:tblW w:w="5000" w:type="pct"/>
        <w:jc w:val="center"/>
        <w:shd w:val="clear" w:color="auto" w:fill="FFFFFF"/>
        <w:tblCellMar>
          <w:left w:w="0" w:type="dxa"/>
          <w:right w:w="0" w:type="dxa"/>
        </w:tblCellMar>
        <w:tblLook w:val="04A0" w:firstRow="1" w:lastRow="0" w:firstColumn="1" w:lastColumn="0" w:noHBand="0" w:noVBand="1"/>
      </w:tblPr>
      <w:tblGrid>
        <w:gridCol w:w="10800"/>
      </w:tblGrid>
      <w:tr w:rsidR="006C79BE" w14:paraId="6BD856CF" w14:textId="77777777" w:rsidTr="006901FD">
        <w:trPr>
          <w:jc w:val="center"/>
        </w:trPr>
        <w:tc>
          <w:tcPr>
            <w:tcW w:w="5000" w:type="pct"/>
            <w:shd w:val="clear" w:color="auto" w:fill="FFFFFF"/>
            <w:tcMar>
              <w:top w:w="75" w:type="dxa"/>
              <w:left w:w="75" w:type="dxa"/>
              <w:bottom w:w="0" w:type="dxa"/>
              <w:right w:w="75" w:type="dxa"/>
            </w:tcMar>
            <w:vAlign w:val="center"/>
          </w:tcPr>
          <w:p w14:paraId="3FC995C6" w14:textId="77777777" w:rsidR="006C79BE" w:rsidRDefault="006C79BE" w:rsidP="006901FD">
            <w:pPr>
              <w:pStyle w:val="paragraph"/>
              <w:spacing w:before="0" w:beforeAutospacing="0" w:after="0" w:afterAutospacing="0"/>
              <w:ind w:left="720"/>
              <w:textAlignment w:val="baseline"/>
              <w:rPr>
                <w:rFonts w:ascii="Book Antiqua" w:hAnsi="Book Antiqua"/>
                <w:color w:val="000000"/>
                <w:sz w:val="23"/>
                <w:szCs w:val="23"/>
              </w:rPr>
            </w:pPr>
            <w:r w:rsidRPr="001D6C7D">
              <w:rPr>
                <w:rStyle w:val="markedcontent"/>
              </w:rPr>
              <w:t>Note:  U.S. Department of Homeland Security issued following Press Release</w:t>
            </w:r>
            <w:r>
              <w:rPr>
                <w:rStyle w:val="markedcontent"/>
              </w:rPr>
              <w:t xml:space="preserve">: </w:t>
            </w:r>
            <w:r>
              <w:rPr>
                <w:rStyle w:val="normaltextrun"/>
                <w:color w:val="000000"/>
              </w:rPr>
              <w:t>“As required by today’s Supreme Court order, the Title 42 public health order will remain in effect and individuals who attempt to enter the United States unlawfully will continue to be expelled to Mexico</w:t>
            </w:r>
            <w:r>
              <w:rPr>
                <w:color w:val="000000"/>
              </w:rPr>
              <w:t xml:space="preserve"> or their home country.  </w:t>
            </w:r>
            <w:r>
              <w:rPr>
                <w:rStyle w:val="normaltextrun"/>
                <w:color w:val="000000"/>
              </w:rPr>
              <w:t>People should not listen to the lies of smugglers who take advantage of vulnerable migrants, putting lives at risk. The border is not open, and we will continue to fully enforce our immigration laws. </w:t>
            </w:r>
            <w:r>
              <w:rPr>
                <w:rStyle w:val="normaltextrun"/>
              </w:rPr>
              <w:t> </w:t>
            </w:r>
            <w:r>
              <w:rPr>
                <w:color w:val="000000"/>
              </w:rPr>
              <w:t> </w:t>
            </w:r>
          </w:p>
          <w:p w14:paraId="33839589" w14:textId="77777777" w:rsidR="006C79BE" w:rsidRDefault="006C79BE" w:rsidP="006901FD">
            <w:pPr>
              <w:pStyle w:val="paragraph"/>
              <w:spacing w:before="0" w:beforeAutospacing="0" w:after="0" w:afterAutospacing="0"/>
              <w:ind w:left="720"/>
              <w:textAlignment w:val="baseline"/>
              <w:rPr>
                <w:rFonts w:ascii="Book Antiqua" w:hAnsi="Book Antiqua"/>
                <w:color w:val="000000"/>
                <w:sz w:val="23"/>
                <w:szCs w:val="23"/>
              </w:rPr>
            </w:pPr>
            <w:r>
              <w:rPr>
                <w:rStyle w:val="normaltextrun"/>
                <w:color w:val="000000"/>
              </w:rPr>
              <w:t xml:space="preserve">We will continue to manage the border, but we do so within the constraints of a decades-old immigration system that everyone agrees is broken. We need Congress to pass the comprehensive immigration reform legislation President Biden proposed the day he took office.” </w:t>
            </w:r>
            <w:hyperlink r:id="rId732" w:history="1">
              <w:r w:rsidRPr="008B2F4A">
                <w:rPr>
                  <w:rStyle w:val="Hyperlink"/>
                  <w:rFonts w:ascii="Book Antiqua" w:eastAsiaTheme="majorEastAsia" w:hAnsi="Book Antiqua"/>
                  <w:sz w:val="23"/>
                  <w:szCs w:val="23"/>
                </w:rPr>
                <w:t>departmentofhomelandsecurity@messages.dhs.gov</w:t>
              </w:r>
            </w:hyperlink>
          </w:p>
          <w:p w14:paraId="5A0C82FB" w14:textId="77777777" w:rsidR="006C79BE" w:rsidRDefault="006C79BE" w:rsidP="006901FD">
            <w:pPr>
              <w:ind w:left="720"/>
              <w:rPr>
                <w:rFonts w:ascii="Times New Roman" w:eastAsia="Times New Roman" w:hAnsi="Times New Roman"/>
                <w:sz w:val="24"/>
                <w:szCs w:val="24"/>
              </w:rPr>
            </w:pPr>
          </w:p>
          <w:p w14:paraId="2D09CBB3" w14:textId="77777777" w:rsidR="006C79BE" w:rsidRPr="008550EA" w:rsidRDefault="006C79BE" w:rsidP="006901FD">
            <w:pPr>
              <w:ind w:left="720"/>
              <w:rPr>
                <w:rFonts w:ascii="Times New Roman" w:eastAsia="Times New Roman" w:hAnsi="Times New Roman"/>
                <w:sz w:val="24"/>
                <w:szCs w:val="24"/>
              </w:rPr>
            </w:pPr>
            <w:r w:rsidRPr="00557022">
              <w:rPr>
                <w:rStyle w:val="markedcontent"/>
                <w:rFonts w:ascii="Times New Roman" w:hAnsi="Times New Roman"/>
                <w:sz w:val="24"/>
                <w:szCs w:val="24"/>
              </w:rPr>
              <w:t xml:space="preserve">Read the Nov. 22, </w:t>
            </w:r>
            <w:proofErr w:type="gramStart"/>
            <w:r w:rsidRPr="00557022">
              <w:rPr>
                <w:rStyle w:val="markedcontent"/>
                <w:rFonts w:ascii="Times New Roman" w:hAnsi="Times New Roman"/>
                <w:sz w:val="24"/>
                <w:szCs w:val="24"/>
              </w:rPr>
              <w:t>2022</w:t>
            </w:r>
            <w:proofErr w:type="gramEnd"/>
            <w:r w:rsidRPr="00557022">
              <w:rPr>
                <w:rStyle w:val="markedcontent"/>
                <w:rFonts w:ascii="Times New Roman" w:hAnsi="Times New Roman"/>
                <w:sz w:val="24"/>
                <w:szCs w:val="24"/>
              </w:rPr>
              <w:t xml:space="preserve"> decision by U.S. District Court Judge Emmet G. Sullivan, District of Columbia, who ruled Title 42 order was illegal and cannot be enforced.  </w:t>
            </w:r>
            <w:hyperlink r:id="rId733" w:history="1">
              <w:r w:rsidRPr="00557022">
                <w:rPr>
                  <w:rStyle w:val="Hyperlink"/>
                  <w:rFonts w:ascii="Times New Roman" w:hAnsi="Times New Roman"/>
                  <w:sz w:val="24"/>
                  <w:szCs w:val="24"/>
                </w:rPr>
                <w:t>https://ecf.dcd.uscourts.gov/cgi-bin/show_public_doc?2021cv0100-165</w:t>
              </w:r>
            </w:hyperlink>
            <w:r>
              <w:rPr>
                <w:rStyle w:val="markedcontent"/>
              </w:rPr>
              <w:t xml:space="preserve">. </w:t>
            </w:r>
            <w:r w:rsidRPr="008550EA">
              <w:rPr>
                <w:rStyle w:val="markedcontent"/>
                <w:rFonts w:ascii="Times New Roman" w:hAnsi="Times New Roman"/>
                <w:sz w:val="24"/>
                <w:szCs w:val="24"/>
              </w:rPr>
              <w:t>“The Court concludes that CDC failed to appropriately</w:t>
            </w:r>
            <w:r>
              <w:rPr>
                <w:rStyle w:val="markedcontent"/>
                <w:rFonts w:ascii="Times New Roman" w:hAnsi="Times New Roman"/>
                <w:sz w:val="24"/>
                <w:szCs w:val="24"/>
              </w:rPr>
              <w:t xml:space="preserve"> </w:t>
            </w:r>
            <w:r w:rsidRPr="008550EA">
              <w:rPr>
                <w:rStyle w:val="markedcontent"/>
                <w:rFonts w:ascii="Times New Roman" w:hAnsi="Times New Roman"/>
                <w:sz w:val="24"/>
                <w:szCs w:val="24"/>
              </w:rPr>
              <w:t>consider the availability of effective therapeutics that</w:t>
            </w:r>
            <w:r>
              <w:rPr>
                <w:rStyle w:val="markedcontent"/>
                <w:rFonts w:ascii="Times New Roman" w:hAnsi="Times New Roman"/>
                <w:sz w:val="24"/>
                <w:szCs w:val="24"/>
              </w:rPr>
              <w:t xml:space="preserve"> </w:t>
            </w:r>
            <w:r w:rsidRPr="008550EA">
              <w:rPr>
                <w:rStyle w:val="markedcontent"/>
                <w:rFonts w:ascii="Times New Roman" w:hAnsi="Times New Roman"/>
                <w:sz w:val="24"/>
                <w:szCs w:val="24"/>
              </w:rPr>
              <w:t>‘reduce[d] the risk of hospitalization’ by approximately 70</w:t>
            </w:r>
            <w:r w:rsidRPr="008550EA">
              <w:rPr>
                <w:rFonts w:ascii="Times New Roman" w:hAnsi="Times New Roman"/>
                <w:sz w:val="24"/>
                <w:szCs w:val="24"/>
              </w:rPr>
              <w:br/>
            </w:r>
            <w:r w:rsidRPr="008550EA">
              <w:rPr>
                <w:rStyle w:val="markedcontent"/>
                <w:rFonts w:ascii="Times New Roman" w:hAnsi="Times New Roman"/>
                <w:sz w:val="24"/>
                <w:szCs w:val="24"/>
              </w:rPr>
              <w:t>percent in its August 2021 Order.”</w:t>
            </w:r>
          </w:p>
        </w:tc>
      </w:tr>
    </w:tbl>
    <w:p w14:paraId="023C1BC8" w14:textId="77777777" w:rsidR="006C79BE" w:rsidRDefault="006C79BE" w:rsidP="00F326E5">
      <w:pPr>
        <w:pStyle w:val="NoSpacing"/>
        <w:rPr>
          <w:rFonts w:ascii="Arial Black" w:hAnsi="Arial Black"/>
          <w:sz w:val="28"/>
          <w:szCs w:val="28"/>
        </w:rPr>
      </w:pPr>
    </w:p>
    <w:p w14:paraId="4E7A8086" w14:textId="77777777" w:rsidR="006C79BE" w:rsidRDefault="006C79BE" w:rsidP="00F326E5">
      <w:pPr>
        <w:pStyle w:val="NoSpacing"/>
        <w:rPr>
          <w:rFonts w:ascii="Arial Black" w:hAnsi="Arial Black"/>
          <w:sz w:val="28"/>
          <w:szCs w:val="28"/>
        </w:rPr>
      </w:pPr>
    </w:p>
    <w:p w14:paraId="3FCD6B31" w14:textId="1EFF9818" w:rsidR="00AE32D3" w:rsidRDefault="00AE32D3" w:rsidP="00F326E5">
      <w:pPr>
        <w:pStyle w:val="NoSpacing"/>
        <w:rPr>
          <w:rFonts w:ascii="Arial Black" w:hAnsi="Arial Black"/>
          <w:sz w:val="28"/>
          <w:szCs w:val="28"/>
        </w:rPr>
      </w:pPr>
      <w:r>
        <w:rPr>
          <w:rFonts w:ascii="Arial Black" w:hAnsi="Arial Black"/>
          <w:sz w:val="28"/>
          <w:szCs w:val="28"/>
        </w:rPr>
        <w:t>3-46</w:t>
      </w:r>
    </w:p>
    <w:p w14:paraId="1A1A31C2" w14:textId="79F3AFF2" w:rsidR="00AE32D3" w:rsidRDefault="00AE32D3" w:rsidP="00F326E5">
      <w:pPr>
        <w:pStyle w:val="NoSpacing"/>
        <w:rPr>
          <w:rFonts w:ascii="Arial Black" w:hAnsi="Arial Black"/>
          <w:sz w:val="28"/>
          <w:szCs w:val="28"/>
        </w:rPr>
      </w:pPr>
    </w:p>
    <w:p w14:paraId="060F2638" w14:textId="77777777" w:rsidR="00AE32D3" w:rsidRPr="00B1155B" w:rsidRDefault="00AE32D3" w:rsidP="00AE32D3">
      <w:pPr>
        <w:pStyle w:val="NoSpacing"/>
        <w:rPr>
          <w:rFonts w:ascii="Arial Black" w:hAnsi="Arial Black"/>
          <w:sz w:val="28"/>
          <w:szCs w:val="28"/>
        </w:rPr>
      </w:pPr>
      <w:r>
        <w:rPr>
          <w:rFonts w:ascii="Arial Black" w:hAnsi="Arial Black"/>
          <w:sz w:val="28"/>
          <w:szCs w:val="28"/>
        </w:rPr>
        <w:t>GA:  11</w:t>
      </w:r>
      <w:r w:rsidRPr="00B1155B">
        <w:rPr>
          <w:rFonts w:ascii="Arial Black" w:hAnsi="Arial Black"/>
          <w:sz w:val="28"/>
          <w:szCs w:val="28"/>
          <w:vertAlign w:val="superscript"/>
        </w:rPr>
        <w:t>th</w:t>
      </w:r>
      <w:r>
        <w:rPr>
          <w:rFonts w:ascii="Arial Black" w:hAnsi="Arial Black"/>
          <w:sz w:val="28"/>
          <w:szCs w:val="28"/>
        </w:rPr>
        <w:t xml:space="preserve"> CIR. – FBI SEIZED DOCS. PRES. TRUMP’S MAR-A-LARGO SEARCH WARRANT – “SPECIAL MASTER” SET ASIDE</w:t>
      </w:r>
    </w:p>
    <w:p w14:paraId="0E39D8B6" w14:textId="77777777" w:rsidR="00AE32D3" w:rsidRDefault="00AE32D3" w:rsidP="00AE32D3">
      <w:pPr>
        <w:pStyle w:val="NoSpacing"/>
        <w:rPr>
          <w:rFonts w:ascii="Times New Roman" w:hAnsi="Times New Roman"/>
          <w:sz w:val="24"/>
          <w:szCs w:val="24"/>
        </w:rPr>
      </w:pPr>
    </w:p>
    <w:p w14:paraId="5C3B7197" w14:textId="77777777" w:rsidR="00AE32D3" w:rsidRDefault="00AE32D3" w:rsidP="00AE32D3">
      <w:pPr>
        <w:pStyle w:val="NoSpacing"/>
        <w:rPr>
          <w:rFonts w:ascii="Times New Roman" w:hAnsi="Times New Roman"/>
          <w:sz w:val="24"/>
          <w:szCs w:val="24"/>
        </w:rPr>
      </w:pPr>
      <w:r>
        <w:rPr>
          <w:rFonts w:ascii="Times New Roman" w:hAnsi="Times New Roman"/>
          <w:sz w:val="24"/>
          <w:szCs w:val="24"/>
        </w:rPr>
        <w:t xml:space="preserve">On Dec. 1, 2022, in </w:t>
      </w:r>
      <w:r w:rsidRPr="00B1155B">
        <w:rPr>
          <w:rFonts w:ascii="Times New Roman" w:hAnsi="Times New Roman"/>
          <w:sz w:val="24"/>
          <w:szCs w:val="24"/>
          <w:u w:val="single"/>
        </w:rPr>
        <w:t>Donald J. Trump v. United States of America</w:t>
      </w:r>
      <w:r>
        <w:rPr>
          <w:rFonts w:ascii="Times New Roman" w:hAnsi="Times New Roman"/>
          <w:sz w:val="24"/>
          <w:szCs w:val="24"/>
        </w:rPr>
        <w:t>, the U.S. Court of Appeals for the 11</w:t>
      </w:r>
      <w:r w:rsidRPr="00B1155B">
        <w:rPr>
          <w:rFonts w:ascii="Times New Roman" w:hAnsi="Times New Roman"/>
          <w:sz w:val="24"/>
          <w:szCs w:val="24"/>
          <w:vertAlign w:val="superscript"/>
        </w:rPr>
        <w:t>th</w:t>
      </w:r>
      <w:r>
        <w:rPr>
          <w:rFonts w:ascii="Times New Roman" w:hAnsi="Times New Roman"/>
          <w:sz w:val="24"/>
          <w:szCs w:val="24"/>
        </w:rPr>
        <w:t xml:space="preserve"> Circuit (Atlanta) held (3 to 0) that U.S. District Court Judge Aileen M. Cannon of Florida had no authority to appoint Judge Raymond J. Dearie of Brooklyn (retired) as a special master to review the documents seized by FBI pursuant to a search warrant by a U.S. Magistrate Judge. President Trump’s arguments are “a sideshow.”</w:t>
      </w:r>
    </w:p>
    <w:p w14:paraId="6F81A5E3" w14:textId="77777777" w:rsidR="00AE32D3" w:rsidRDefault="00AE32D3" w:rsidP="00AE32D3">
      <w:pPr>
        <w:pStyle w:val="NoSpacing"/>
        <w:rPr>
          <w:rFonts w:ascii="Times New Roman" w:hAnsi="Times New Roman"/>
          <w:sz w:val="24"/>
          <w:szCs w:val="24"/>
        </w:rPr>
      </w:pPr>
    </w:p>
    <w:p w14:paraId="5BC5F537" w14:textId="77777777" w:rsidR="00AE32D3" w:rsidRPr="00570272" w:rsidRDefault="00AE32D3" w:rsidP="00AE32D3">
      <w:pPr>
        <w:pStyle w:val="NoSpacing"/>
        <w:ind w:left="720"/>
        <w:rPr>
          <w:rFonts w:ascii="Times New Roman" w:hAnsi="Times New Roman"/>
          <w:sz w:val="24"/>
          <w:szCs w:val="24"/>
        </w:rPr>
      </w:pPr>
      <w:r w:rsidRPr="00570272">
        <w:rPr>
          <w:rFonts w:ascii="Times New Roman" w:hAnsi="Times New Roman"/>
          <w:sz w:val="24"/>
          <w:szCs w:val="24"/>
        </w:rPr>
        <w:t>“This appeal requires us to consider whether the district court had jurisdiction to block the United States from using lawfully seized records in a criminal investigation. The answer is no.</w:t>
      </w:r>
    </w:p>
    <w:p w14:paraId="545D33A5" w14:textId="77777777" w:rsidR="00AE32D3" w:rsidRPr="00570272" w:rsidRDefault="00AE32D3" w:rsidP="00AE32D3">
      <w:pPr>
        <w:pStyle w:val="NoSpacing"/>
        <w:rPr>
          <w:rFonts w:ascii="Times New Roman" w:hAnsi="Times New Roman"/>
          <w:sz w:val="24"/>
          <w:szCs w:val="24"/>
        </w:rPr>
      </w:pPr>
    </w:p>
    <w:p w14:paraId="169313AA" w14:textId="77777777" w:rsidR="00AE32D3" w:rsidRPr="00570272" w:rsidRDefault="00AE32D3" w:rsidP="00AE32D3">
      <w:pPr>
        <w:pStyle w:val="NoSpacing"/>
        <w:ind w:left="720"/>
        <w:rPr>
          <w:rFonts w:ascii="Times New Roman" w:hAnsi="Times New Roman"/>
          <w:sz w:val="24"/>
          <w:szCs w:val="24"/>
        </w:rPr>
      </w:pPr>
      <w:r w:rsidRPr="00570272">
        <w:rPr>
          <w:rFonts w:ascii="Times New Roman" w:hAnsi="Times New Roman"/>
          <w:sz w:val="24"/>
          <w:szCs w:val="24"/>
        </w:rPr>
        <w:t>Former President Donald J. Trump brought a civil action seeking an injunction against the government after it executed a search warrant at his Mar-a-Lago residence. He argues that a court-mandated special master review process is necessary because the government's Privilege Review Team protocols were inadequate, because various seized documents are protected by executive or attorney-client privilege, because he could have declassified documents or designated them as personal rather than presidential records, and—if all that fails—because the government’s appeal was procedurally deficient. The government disagrees with each</w:t>
      </w:r>
      <w:r w:rsidRPr="00570272">
        <w:rPr>
          <w:rFonts w:ascii="Times New Roman" w:hAnsi="Times New Roman"/>
          <w:sz w:val="24"/>
          <w:szCs w:val="24"/>
        </w:rPr>
        <w:br/>
        <w:t>contention.</w:t>
      </w:r>
    </w:p>
    <w:p w14:paraId="2366289E" w14:textId="77777777" w:rsidR="00AE32D3" w:rsidRPr="00570272" w:rsidRDefault="00AE32D3" w:rsidP="00AE32D3">
      <w:pPr>
        <w:rPr>
          <w:rFonts w:ascii="Times New Roman" w:hAnsi="Times New Roman"/>
          <w:sz w:val="24"/>
          <w:szCs w:val="24"/>
        </w:rPr>
      </w:pPr>
    </w:p>
    <w:p w14:paraId="2130F04B" w14:textId="77777777" w:rsidR="00AE32D3" w:rsidRPr="00570272" w:rsidRDefault="00AE32D3" w:rsidP="00AE32D3">
      <w:pPr>
        <w:ind w:firstLine="720"/>
        <w:rPr>
          <w:rFonts w:ascii="Times New Roman" w:hAnsi="Times New Roman"/>
          <w:sz w:val="24"/>
          <w:szCs w:val="24"/>
        </w:rPr>
      </w:pPr>
      <w:r w:rsidRPr="00570272">
        <w:rPr>
          <w:rFonts w:ascii="Times New Roman" w:hAnsi="Times New Roman"/>
          <w:sz w:val="24"/>
          <w:szCs w:val="24"/>
        </w:rPr>
        <w:t>***</w:t>
      </w:r>
    </w:p>
    <w:p w14:paraId="6D7F3E3E" w14:textId="77777777" w:rsidR="00AE32D3" w:rsidRPr="00570272" w:rsidRDefault="00AE32D3" w:rsidP="00AE32D3">
      <w:pPr>
        <w:pStyle w:val="NoSpacing"/>
        <w:ind w:left="720"/>
        <w:rPr>
          <w:rFonts w:ascii="Times New Roman" w:hAnsi="Times New Roman"/>
          <w:sz w:val="24"/>
          <w:szCs w:val="24"/>
        </w:rPr>
      </w:pPr>
      <w:r w:rsidRPr="00570272">
        <w:rPr>
          <w:rFonts w:ascii="Times New Roman" w:hAnsi="Times New Roman"/>
          <w:sz w:val="24"/>
          <w:szCs w:val="24"/>
        </w:rPr>
        <w:t>In considering these arguments, we are faced with a choice: apply our usual test; drastically expand the availability of equitable jurisdiction for every subject of a search warrant; or carve out an unprecedented exception in our law for former presidents. We</w:t>
      </w:r>
      <w:r w:rsidRPr="00570272">
        <w:rPr>
          <w:rFonts w:ascii="Times New Roman" w:hAnsi="Times New Roman"/>
          <w:sz w:val="24"/>
          <w:szCs w:val="24"/>
        </w:rPr>
        <w:br/>
        <w:t xml:space="preserve">choose the first option. </w:t>
      </w:r>
      <w:proofErr w:type="gramStart"/>
      <w:r w:rsidRPr="00570272">
        <w:rPr>
          <w:rFonts w:ascii="Times New Roman" w:hAnsi="Times New Roman"/>
          <w:sz w:val="24"/>
          <w:szCs w:val="24"/>
        </w:rPr>
        <w:t>So</w:t>
      </w:r>
      <w:proofErr w:type="gramEnd"/>
      <w:r w:rsidRPr="00570272">
        <w:rPr>
          <w:rFonts w:ascii="Times New Roman" w:hAnsi="Times New Roman"/>
          <w:sz w:val="24"/>
          <w:szCs w:val="24"/>
        </w:rPr>
        <w:t xml:space="preserve"> the case must be dismissed.</w:t>
      </w:r>
    </w:p>
    <w:p w14:paraId="4583B7ED" w14:textId="77777777" w:rsidR="00AE32D3" w:rsidRPr="00570272" w:rsidRDefault="00AE32D3" w:rsidP="00AE32D3">
      <w:pPr>
        <w:pStyle w:val="NoSpacing"/>
        <w:ind w:left="720"/>
        <w:rPr>
          <w:rFonts w:ascii="Times New Roman" w:hAnsi="Times New Roman"/>
          <w:sz w:val="24"/>
          <w:szCs w:val="24"/>
        </w:rPr>
      </w:pPr>
    </w:p>
    <w:p w14:paraId="6933CC0C" w14:textId="77777777" w:rsidR="00AE32D3" w:rsidRPr="00570272" w:rsidRDefault="00AE32D3" w:rsidP="00AE32D3">
      <w:pPr>
        <w:pStyle w:val="NoSpacing"/>
        <w:ind w:left="720"/>
        <w:rPr>
          <w:rFonts w:ascii="Times New Roman" w:hAnsi="Times New Roman"/>
          <w:sz w:val="24"/>
          <w:szCs w:val="24"/>
        </w:rPr>
      </w:pPr>
      <w:r w:rsidRPr="00570272">
        <w:rPr>
          <w:rFonts w:ascii="Times New Roman" w:hAnsi="Times New Roman"/>
          <w:sz w:val="24"/>
          <w:szCs w:val="24"/>
        </w:rPr>
        <w:t>***</w:t>
      </w:r>
    </w:p>
    <w:p w14:paraId="0327D71C" w14:textId="77777777" w:rsidR="00AE32D3" w:rsidRPr="00570272" w:rsidRDefault="00AE32D3" w:rsidP="00AE32D3">
      <w:pPr>
        <w:pStyle w:val="NoSpacing"/>
        <w:ind w:firstLine="720"/>
        <w:rPr>
          <w:rFonts w:ascii="Times New Roman" w:hAnsi="Times New Roman"/>
          <w:sz w:val="24"/>
          <w:szCs w:val="24"/>
        </w:rPr>
      </w:pPr>
    </w:p>
    <w:p w14:paraId="2A73EC1E" w14:textId="77777777" w:rsidR="00AE32D3" w:rsidRPr="00570272" w:rsidRDefault="00AE32D3" w:rsidP="00AE32D3">
      <w:pPr>
        <w:pStyle w:val="NoSpacing"/>
        <w:ind w:left="720"/>
        <w:rPr>
          <w:rFonts w:ascii="Times New Roman" w:hAnsi="Times New Roman"/>
          <w:sz w:val="24"/>
          <w:szCs w:val="24"/>
        </w:rPr>
      </w:pPr>
      <w:r w:rsidRPr="00570272">
        <w:rPr>
          <w:rFonts w:ascii="Times New Roman" w:hAnsi="Times New Roman"/>
          <w:sz w:val="24"/>
          <w:szCs w:val="24"/>
        </w:rPr>
        <w:t xml:space="preserve">The magistrate judge decided that issue when approving the </w:t>
      </w:r>
      <w:proofErr w:type="gramStart"/>
      <w:r w:rsidRPr="00570272">
        <w:rPr>
          <w:rFonts w:ascii="Times New Roman" w:hAnsi="Times New Roman"/>
          <w:sz w:val="24"/>
          <w:szCs w:val="24"/>
        </w:rPr>
        <w:t>warrant</w:t>
      </w:r>
      <w:proofErr w:type="gramEnd"/>
      <w:r w:rsidRPr="00570272">
        <w:rPr>
          <w:rFonts w:ascii="Times New Roman" w:hAnsi="Times New Roman"/>
          <w:sz w:val="24"/>
          <w:szCs w:val="24"/>
        </w:rPr>
        <w:t>. To the extent that the categorization of these documents has legal relevance in future proceedings, the issue can be raised at that time… All these arguments are a sideshow.</w:t>
      </w:r>
    </w:p>
    <w:p w14:paraId="14B1DA44" w14:textId="6908E85D" w:rsidR="00AE32D3" w:rsidRDefault="00AE32D3" w:rsidP="00AE32D3">
      <w:pPr>
        <w:pStyle w:val="NoSpacing"/>
        <w:ind w:left="720"/>
        <w:rPr>
          <w:rFonts w:ascii="Arial Black" w:hAnsi="Arial Black"/>
          <w:sz w:val="28"/>
          <w:szCs w:val="28"/>
        </w:rPr>
      </w:pPr>
      <w:hyperlink r:id="rId734" w:history="1">
        <w:r w:rsidRPr="00E01337">
          <w:rPr>
            <w:rStyle w:val="Hyperlink"/>
            <w:rFonts w:ascii="Times New Roman" w:hAnsi="Times New Roman"/>
            <w:sz w:val="24"/>
            <w:szCs w:val="24"/>
          </w:rPr>
          <w:t>https://docs-cdn-prod.news-engineering.aws.wapo.pub/publish_document/5c87d9b8-631f-41c7-92e8-129f412d0e0f/published/5c87d9b8-631f-41c7-92e8-129f412d0e0f.pdf</w:t>
        </w:r>
      </w:hyperlink>
    </w:p>
    <w:p w14:paraId="053FFE4F" w14:textId="686110CB" w:rsidR="00AE32D3" w:rsidRDefault="00AE32D3" w:rsidP="00F326E5">
      <w:pPr>
        <w:pStyle w:val="NoSpacing"/>
        <w:rPr>
          <w:rFonts w:ascii="Arial Black" w:hAnsi="Arial Black"/>
          <w:sz w:val="28"/>
          <w:szCs w:val="28"/>
        </w:rPr>
      </w:pPr>
    </w:p>
    <w:p w14:paraId="6ECE34C1" w14:textId="77CAB75D" w:rsidR="00AE32D3" w:rsidRDefault="00AE32D3" w:rsidP="00F326E5">
      <w:pPr>
        <w:pStyle w:val="NoSpacing"/>
        <w:rPr>
          <w:rFonts w:ascii="Arial Black" w:hAnsi="Arial Black"/>
          <w:sz w:val="28"/>
          <w:szCs w:val="28"/>
        </w:rPr>
      </w:pPr>
      <w:r w:rsidRPr="00E664A5">
        <w:rPr>
          <w:rFonts w:ascii="Times New Roman" w:hAnsi="Times New Roman"/>
          <w:b/>
          <w:bCs/>
          <w:sz w:val="24"/>
          <w:szCs w:val="24"/>
        </w:rPr>
        <w:t>Legal Lesson Learned:</w:t>
      </w:r>
      <w:r>
        <w:rPr>
          <w:rFonts w:ascii="Times New Roman" w:hAnsi="Times New Roman"/>
          <w:b/>
          <w:bCs/>
          <w:sz w:val="24"/>
          <w:szCs w:val="24"/>
        </w:rPr>
        <w:t xml:space="preserve"> Documents were seized pursuant to a search warrant issued with probably cause.  Nice to see the 11</w:t>
      </w:r>
      <w:r w:rsidRPr="008033B3">
        <w:rPr>
          <w:rFonts w:ascii="Times New Roman" w:hAnsi="Times New Roman"/>
          <w:b/>
          <w:bCs/>
          <w:sz w:val="24"/>
          <w:szCs w:val="24"/>
          <w:vertAlign w:val="superscript"/>
        </w:rPr>
        <w:t>th</w:t>
      </w:r>
      <w:r>
        <w:rPr>
          <w:rFonts w:ascii="Times New Roman" w:hAnsi="Times New Roman"/>
          <w:b/>
          <w:bCs/>
          <w:sz w:val="24"/>
          <w:szCs w:val="24"/>
        </w:rPr>
        <w:t xml:space="preserve"> Circuit stop the “sideshow.”</w:t>
      </w:r>
    </w:p>
    <w:p w14:paraId="7469C09B" w14:textId="77777777" w:rsidR="00AE32D3" w:rsidRDefault="00AE32D3" w:rsidP="00F326E5">
      <w:pPr>
        <w:pStyle w:val="NoSpacing"/>
        <w:rPr>
          <w:rFonts w:ascii="Arial Black" w:hAnsi="Arial Black"/>
          <w:sz w:val="28"/>
          <w:szCs w:val="28"/>
        </w:rPr>
      </w:pPr>
    </w:p>
    <w:p w14:paraId="7D799E7D" w14:textId="030BBD4C" w:rsidR="006D2C51" w:rsidRDefault="006D2C51" w:rsidP="00F326E5">
      <w:pPr>
        <w:pStyle w:val="NoSpacing"/>
        <w:rPr>
          <w:rFonts w:ascii="Arial Black" w:hAnsi="Arial Black"/>
          <w:sz w:val="28"/>
          <w:szCs w:val="28"/>
        </w:rPr>
      </w:pPr>
      <w:r>
        <w:rPr>
          <w:rFonts w:ascii="Arial Black" w:hAnsi="Arial Black"/>
          <w:sz w:val="28"/>
          <w:szCs w:val="28"/>
        </w:rPr>
        <w:lastRenderedPageBreak/>
        <w:t>3-45</w:t>
      </w:r>
    </w:p>
    <w:p w14:paraId="73FF36D1" w14:textId="77777777" w:rsidR="006D2C51" w:rsidRPr="00A4481C" w:rsidRDefault="006D2C51" w:rsidP="006D2C51">
      <w:pPr>
        <w:spacing w:before="100" w:beforeAutospacing="1" w:after="100" w:afterAutospacing="1" w:line="240" w:lineRule="auto"/>
        <w:rPr>
          <w:rFonts w:ascii="Arial Black" w:eastAsia="Times New Roman" w:hAnsi="Arial Black"/>
          <w:sz w:val="28"/>
          <w:szCs w:val="28"/>
        </w:rPr>
      </w:pPr>
      <w:r>
        <w:rPr>
          <w:rFonts w:ascii="Arial Black" w:eastAsia="Times New Roman" w:hAnsi="Arial Black"/>
          <w:sz w:val="28"/>
          <w:szCs w:val="28"/>
        </w:rPr>
        <w:t>DC: DRONES – FAA REQUIRES DRONES TO ADMIT SIGNAL – “REMOTE ID” – NOT GOVT “WARRANTLESS SURVEILLANCE”</w:t>
      </w:r>
    </w:p>
    <w:p w14:paraId="20E6E198" w14:textId="77777777" w:rsidR="006D2C51" w:rsidRPr="00A4481C" w:rsidRDefault="006D2C51" w:rsidP="006D2C51">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On July 29, 2022, in </w:t>
      </w:r>
      <w:r w:rsidRPr="006C1D0D">
        <w:rPr>
          <w:rFonts w:ascii="Times New Roman" w:eastAsia="Times New Roman" w:hAnsi="Times New Roman"/>
          <w:sz w:val="24"/>
          <w:szCs w:val="24"/>
          <w:u w:val="single"/>
        </w:rPr>
        <w:t xml:space="preserve">Tyler Brennan and </w:t>
      </w:r>
      <w:proofErr w:type="spellStart"/>
      <w:r w:rsidRPr="006C1D0D">
        <w:rPr>
          <w:rFonts w:ascii="Times New Roman" w:eastAsia="Times New Roman" w:hAnsi="Times New Roman"/>
          <w:sz w:val="24"/>
          <w:szCs w:val="24"/>
          <w:u w:val="single"/>
        </w:rPr>
        <w:t>ReaceDayQuads</w:t>
      </w:r>
      <w:proofErr w:type="spellEnd"/>
      <w:r w:rsidRPr="006C1D0D">
        <w:rPr>
          <w:rFonts w:ascii="Times New Roman" w:eastAsia="Times New Roman" w:hAnsi="Times New Roman"/>
          <w:sz w:val="24"/>
          <w:szCs w:val="24"/>
          <w:u w:val="single"/>
        </w:rPr>
        <w:t xml:space="preserve"> LLC v. Stephen Dickson, Administrator and Federal Aviation Administration</w:t>
      </w:r>
      <w:r>
        <w:rPr>
          <w:rFonts w:ascii="Times New Roman" w:eastAsia="Times New Roman" w:hAnsi="Times New Roman"/>
          <w:sz w:val="24"/>
          <w:szCs w:val="24"/>
        </w:rPr>
        <w:t>, the U.S. Court of Appeals for the District of Columbia held (3 to 0) that FAA regulations are lawful. “</w:t>
      </w:r>
      <w:r w:rsidRPr="00A4481C">
        <w:rPr>
          <w:rFonts w:ascii="Times New Roman" w:eastAsia="Times New Roman" w:hAnsi="Times New Roman"/>
          <w:sz w:val="24"/>
          <w:szCs w:val="24"/>
        </w:rPr>
        <w:t xml:space="preserve">Petitioners Tyler Brennan, a drone user, and </w:t>
      </w:r>
      <w:proofErr w:type="spellStart"/>
      <w:r w:rsidRPr="00A4481C">
        <w:rPr>
          <w:rFonts w:ascii="Times New Roman" w:eastAsia="Times New Roman" w:hAnsi="Times New Roman"/>
          <w:sz w:val="24"/>
          <w:szCs w:val="24"/>
        </w:rPr>
        <w:t>RaceDayQuads</w:t>
      </w:r>
      <w:proofErr w:type="spellEnd"/>
      <w:r>
        <w:rPr>
          <w:rFonts w:ascii="Times New Roman" w:eastAsia="Times New Roman" w:hAnsi="Times New Roman"/>
          <w:sz w:val="24"/>
          <w:szCs w:val="24"/>
        </w:rPr>
        <w:t xml:space="preserve"> [</w:t>
      </w:r>
      <w:hyperlink r:id="rId735" w:history="1">
        <w:r w:rsidRPr="00272AA8">
          <w:rPr>
            <w:rStyle w:val="Hyperlink"/>
            <w:rFonts w:ascii="Times New Roman" w:eastAsia="Times New Roman" w:hAnsi="Times New Roman"/>
            <w:sz w:val="24"/>
            <w:szCs w:val="24"/>
          </w:rPr>
          <w:t>https://middlemarketgrowth.org/podcast-tyler-brennan-racedayquads/</w:t>
        </w:r>
      </w:hyperlink>
      <w:r>
        <w:rPr>
          <w:rFonts w:ascii="Times New Roman" w:eastAsia="Times New Roman" w:hAnsi="Times New Roman"/>
          <w:sz w:val="24"/>
          <w:szCs w:val="24"/>
        </w:rPr>
        <w:t xml:space="preserve"> ] </w:t>
      </w:r>
      <w:r w:rsidRPr="00A4481C">
        <w:rPr>
          <w:rFonts w:ascii="Times New Roman" w:eastAsia="Times New Roman" w:hAnsi="Times New Roman"/>
          <w:sz w:val="24"/>
          <w:szCs w:val="24"/>
        </w:rPr>
        <w:t>the drone retailer Brennan owns (referred to jointly as Brennan), want the Rule vacated</w:t>
      </w:r>
      <w:r>
        <w:rPr>
          <w:rFonts w:ascii="Times New Roman" w:eastAsia="Times New Roman" w:hAnsi="Times New Roman"/>
          <w:sz w:val="24"/>
          <w:szCs w:val="24"/>
        </w:rPr>
        <w:t xml:space="preserve">…. </w:t>
      </w:r>
      <w:r w:rsidRPr="00A4481C">
        <w:rPr>
          <w:rFonts w:ascii="Times New Roman" w:eastAsia="Times New Roman" w:hAnsi="Times New Roman"/>
          <w:sz w:val="24"/>
          <w:szCs w:val="24"/>
        </w:rPr>
        <w:t>Brennan asserts that the Rule's Remote ID requirement amounts to constant, warrantless governmental surveillance in violation of the Fourth Amendment.</w:t>
      </w:r>
      <w:r>
        <w:rPr>
          <w:rFonts w:ascii="Times New Roman" w:eastAsia="Times New Roman" w:hAnsi="Times New Roman"/>
          <w:sz w:val="24"/>
          <w:szCs w:val="24"/>
        </w:rPr>
        <w:t xml:space="preserve"> </w:t>
      </w:r>
      <w:r w:rsidRPr="00A4481C">
        <w:rPr>
          <w:rFonts w:ascii="Times New Roman" w:hAnsi="Times New Roman"/>
          <w:sz w:val="24"/>
          <w:szCs w:val="24"/>
        </w:rPr>
        <w:t>His request for vacatur of the Rule, amounting to a facial challenge, must fail because drones are virtually always flown in public. Requiring a drone to show its location and that of its operator while the drone is aloft in the open air violates no reasonable expectation of privacy. Brennan hypothesizes that law enforcement authorities could use Remote ID to carry out continuous surveillance of drone pilots' public locations amounting to a constitutionally cognizable search, or that the Rule could be applied in ways that would reveal an operator's identity and location at a home or in an otherwise private place. But he has not shown that any such uses of Remote ID have either harmed him or imminently will do so, thus he presents no currently justiciable, as-applied challenge.</w:t>
      </w:r>
      <w:r>
        <w:rPr>
          <w:rFonts w:ascii="Times New Roman" w:hAnsi="Times New Roman"/>
          <w:sz w:val="24"/>
          <w:szCs w:val="24"/>
        </w:rPr>
        <w:t xml:space="preserve">” </w:t>
      </w:r>
      <w:hyperlink r:id="rId736" w:history="1">
        <w:r w:rsidRPr="00A4481C">
          <w:rPr>
            <w:rStyle w:val="Hyperlink"/>
            <w:rFonts w:ascii="Times New Roman" w:eastAsia="Times New Roman" w:hAnsi="Times New Roman"/>
            <w:sz w:val="24"/>
            <w:szCs w:val="24"/>
          </w:rPr>
          <w:t>https://www.cadc.uscourts.gov/internet/opinions.nsf/55807FB471B60BB08525888E0051AEA6/$file/21-1087-1956978.pdf</w:t>
        </w:r>
      </w:hyperlink>
      <w:r w:rsidRPr="00A4481C">
        <w:rPr>
          <w:rFonts w:ascii="Times New Roman" w:eastAsia="Times New Roman" w:hAnsi="Times New Roman"/>
          <w:sz w:val="24"/>
          <w:szCs w:val="24"/>
        </w:rPr>
        <w:t xml:space="preserve"> </w:t>
      </w:r>
    </w:p>
    <w:p w14:paraId="1AC96945" w14:textId="77777777" w:rsidR="006D2C51" w:rsidRPr="00C73817" w:rsidRDefault="006D2C51" w:rsidP="006D2C51">
      <w:pPr>
        <w:pStyle w:val="NormalWeb"/>
        <w:rPr>
          <w:b/>
          <w:bCs/>
        </w:rPr>
      </w:pPr>
      <w:r w:rsidRPr="00C73817">
        <w:rPr>
          <w:b/>
          <w:bCs/>
        </w:rPr>
        <w:t xml:space="preserve">Legal Lesson Learned: </w:t>
      </w:r>
      <w:r>
        <w:rPr>
          <w:b/>
          <w:bCs/>
        </w:rPr>
        <w:t xml:space="preserve">Drones can be potential terrorist weapon; Remote ID provides important protection.  </w:t>
      </w:r>
    </w:p>
    <w:p w14:paraId="3BD8310B" w14:textId="77777777" w:rsidR="006D2C51" w:rsidRDefault="006D2C51" w:rsidP="006D2C51">
      <w:pPr>
        <w:pStyle w:val="NormalWeb"/>
        <w:ind w:left="720"/>
      </w:pPr>
      <w:r>
        <w:t xml:space="preserve">Note: The Court referenced terrorist events with drones. </w:t>
      </w:r>
    </w:p>
    <w:p w14:paraId="6FDE3694" w14:textId="77777777" w:rsidR="006D2C51" w:rsidRDefault="006D2C51" w:rsidP="006D2C51">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r w:rsidRPr="00C73817">
        <w:rPr>
          <w:rFonts w:ascii="Times New Roman" w:hAnsi="Times New Roman"/>
          <w:sz w:val="24"/>
          <w:szCs w:val="24"/>
        </w:rPr>
        <w:t>Extremists have increasingly sought to use drones to carry out violent attacks: Terrorists killed several people by detonating a bomb carried by a drone that flew above a military parade in Yemen…. The Islamic State and other terrorist organizations have reportedly modified commercially available drones so they can carry and release munitions and explosives</w:t>
      </w:r>
      <w:r>
        <w:rPr>
          <w:rFonts w:ascii="Times New Roman" w:hAnsi="Times New Roman"/>
          <w:sz w:val="24"/>
          <w:szCs w:val="24"/>
        </w:rPr>
        <w:t xml:space="preserve">…. </w:t>
      </w:r>
      <w:r w:rsidRPr="00C73817">
        <w:rPr>
          <w:rFonts w:ascii="Times New Roman" w:hAnsi="Times New Roman"/>
          <w:sz w:val="24"/>
          <w:szCs w:val="24"/>
        </w:rPr>
        <w:t>A would-be assassin used a drone to target then-President Nicolas Maduro in Venezuela….And British intelligence agencies uncovered a terrorist plan to fly drones into the engines of commercial airplanes as they took off from airports in the United Kingdom….</w:t>
      </w:r>
    </w:p>
    <w:p w14:paraId="3AE0C5D3" w14:textId="77777777" w:rsidR="006D2C51" w:rsidRPr="001911A7" w:rsidRDefault="006D2C51" w:rsidP="006D2C51">
      <w:pPr>
        <w:pStyle w:val="NormalWeb"/>
        <w:ind w:left="720"/>
      </w:pPr>
      <w:r w:rsidRPr="001911A7">
        <w:t xml:space="preserve">Footnote 1: Citing Scott Gleeson, </w:t>
      </w:r>
      <w:r w:rsidRPr="001911A7">
        <w:rPr>
          <w:rStyle w:val="Emphasis"/>
        </w:rPr>
        <w:t>Juvenile Was Operating the Drone that Flew Over Fenway Park in Red Sox Game, Police Say</w:t>
      </w:r>
      <w:r w:rsidRPr="001911A7">
        <w:t>, USA TODAY (Apr. 13, 2019), https://www.usatoday.com/story/sports/mlb/redsox/2019/04/13/dro ne-</w:t>
      </w:r>
      <w:proofErr w:type="spellStart"/>
      <w:r w:rsidRPr="001911A7">
        <w:t>fenway</w:t>
      </w:r>
      <w:proofErr w:type="spellEnd"/>
      <w:r w:rsidRPr="001911A7">
        <w:t xml:space="preserve">-park-juvenile/3457190002/; Lori Aratani, </w:t>
      </w:r>
      <w:r w:rsidRPr="001911A7">
        <w:rPr>
          <w:rStyle w:val="Emphasis"/>
        </w:rPr>
        <w:t>Drone Activity Halts Air Traffic at Newark Liberty International Airport</w:t>
      </w:r>
      <w:r w:rsidRPr="001911A7">
        <w:t>, WASH. POST (Jan. 22, 2019), https://www.washingtonpost.com/transportation/2019/01/22/drone-activity-halts-air-traffic-newark-liberty-international-airport/.</w:t>
      </w:r>
    </w:p>
    <w:p w14:paraId="5C120572" w14:textId="77777777" w:rsidR="006D2C51" w:rsidRPr="001911A7" w:rsidRDefault="006D2C51" w:rsidP="006D2C51">
      <w:pPr>
        <w:pStyle w:val="NormalWeb"/>
        <w:ind w:left="720"/>
      </w:pPr>
      <w:r w:rsidRPr="001911A7">
        <w:t xml:space="preserve">Footnote 2: Citing </w:t>
      </w:r>
      <w:r w:rsidRPr="001911A7">
        <w:rPr>
          <w:rStyle w:val="Emphasis"/>
        </w:rPr>
        <w:t>Houthi Drones Kill Several at Yemeni Military Parade</w:t>
      </w:r>
      <w:r w:rsidRPr="001911A7">
        <w:t xml:space="preserve">, REUTERS (Jan. 10, 2019), https://www.reuters.com/article/us-yemen-security/houthi-drones-kill-several-at-yemei-military-parade-idUSKCN1P40N9. </w:t>
      </w:r>
    </w:p>
    <w:p w14:paraId="3A67BF6E" w14:textId="77777777" w:rsidR="006D2C51" w:rsidRPr="001911A7" w:rsidRDefault="006D2C51" w:rsidP="006D2C51">
      <w:pPr>
        <w:pStyle w:val="NormalWeb"/>
        <w:ind w:left="720"/>
      </w:pPr>
      <w:r w:rsidRPr="001911A7">
        <w:t xml:space="preserve">Footnote </w:t>
      </w:r>
      <w:r>
        <w:t xml:space="preserve">3: </w:t>
      </w:r>
      <w:r w:rsidRPr="001911A7">
        <w:t xml:space="preserve">Citing Don Rassler, </w:t>
      </w:r>
      <w:r w:rsidRPr="001911A7">
        <w:rPr>
          <w:rStyle w:val="Emphasis"/>
        </w:rPr>
        <w:t>The Islamic State and Drones: Supply, Scale, and Future Threats</w:t>
      </w:r>
      <w:r w:rsidRPr="001911A7">
        <w:t xml:space="preserve">, COMBATING TERRORISM CTR. AT WEST POINT, at iv (July 2018), https://ctc.usma.edu/wp-content/uploads/2018/07/Islamic-State-and-Drones-Release-Version.pdf. </w:t>
      </w:r>
    </w:p>
    <w:p w14:paraId="3927B0B5" w14:textId="77777777" w:rsidR="006D2C51" w:rsidRPr="001911A7" w:rsidRDefault="006D2C51" w:rsidP="006D2C51">
      <w:pPr>
        <w:pStyle w:val="NormalWeb"/>
        <w:ind w:left="720"/>
      </w:pPr>
      <w:r w:rsidRPr="001911A7">
        <w:lastRenderedPageBreak/>
        <w:t xml:space="preserve">Footnote </w:t>
      </w:r>
      <w:r>
        <w:t>4:</w:t>
      </w:r>
      <w:r w:rsidRPr="001911A7">
        <w:rPr>
          <w:vertAlign w:val="superscript"/>
        </w:rPr>
        <w:t xml:space="preserve"> </w:t>
      </w:r>
      <w:r w:rsidRPr="001911A7">
        <w:t xml:space="preserve">Citing </w:t>
      </w:r>
      <w:r w:rsidRPr="001911A7">
        <w:rPr>
          <w:rStyle w:val="Emphasis"/>
        </w:rPr>
        <w:t>Venezuela President Maduro Survives 'Drone Assassination Attempt'</w:t>
      </w:r>
      <w:r w:rsidRPr="001911A7">
        <w:t xml:space="preserve">, BBC (Aug. 5, 2018), https://www.bbc.com/news/world-latin-america-45073385. </w:t>
      </w:r>
    </w:p>
    <w:p w14:paraId="42B2F01D" w14:textId="77777777" w:rsidR="006D2C51" w:rsidRPr="00C73817" w:rsidRDefault="006D2C51" w:rsidP="006D2C51">
      <w:pPr>
        <w:spacing w:before="100" w:beforeAutospacing="1" w:after="100" w:afterAutospacing="1" w:line="240" w:lineRule="auto"/>
        <w:ind w:left="720"/>
        <w:rPr>
          <w:rFonts w:ascii="Times New Roman" w:eastAsia="Times New Roman" w:hAnsi="Times New Roman"/>
          <w:sz w:val="24"/>
          <w:szCs w:val="24"/>
        </w:rPr>
      </w:pPr>
      <w:r w:rsidRPr="001911A7">
        <w:t xml:space="preserve">Footnote </w:t>
      </w:r>
      <w:r>
        <w:t xml:space="preserve">5: </w:t>
      </w:r>
      <w:r w:rsidRPr="001911A7">
        <w:t xml:space="preserve">Citing Patrick Williams, </w:t>
      </w:r>
      <w:r w:rsidRPr="001911A7">
        <w:rPr>
          <w:rStyle w:val="Emphasis"/>
          <w:rFonts w:ascii="Times New Roman" w:hAnsi="Times New Roman"/>
        </w:rPr>
        <w:t>Terror Drone Plot FOILED: Brit Spies Stop Plan to Bring Down AIRLINER</w:t>
      </w:r>
      <w:r w:rsidRPr="001911A7">
        <w:t xml:space="preserve">, DAILY STAR (Aug. 19, 2018), https://www.dailystar.co.uk/news/latest-news/terror-drone-plot-britain-uk-16886096. </w:t>
      </w:r>
      <w:hyperlink r:id="rId737" w:history="1">
        <w:r w:rsidRPr="00272AA8">
          <w:rPr>
            <w:rStyle w:val="Hyperlink"/>
            <w:rFonts w:ascii="Times New Roman" w:eastAsia="Times New Roman" w:hAnsi="Times New Roman"/>
            <w:sz w:val="24"/>
            <w:szCs w:val="24"/>
          </w:rPr>
          <w:t>https://www.cadc.uscourts.gov/internet/opinions.nsf/55807FB471B60BB08525888E0051AEA6/$file/21-1087-1956978.pdf</w:t>
        </w:r>
      </w:hyperlink>
      <w:r w:rsidRPr="00C73817">
        <w:rPr>
          <w:rFonts w:ascii="Times New Roman" w:eastAsia="Times New Roman" w:hAnsi="Times New Roman"/>
          <w:sz w:val="24"/>
          <w:szCs w:val="24"/>
        </w:rPr>
        <w:t xml:space="preserve"> </w:t>
      </w:r>
    </w:p>
    <w:p w14:paraId="65B252A3" w14:textId="77777777" w:rsidR="006D2C51" w:rsidRPr="001911A7" w:rsidRDefault="006D2C51" w:rsidP="006D2C51">
      <w:pPr>
        <w:pStyle w:val="NormalWeb"/>
        <w:ind w:left="720"/>
      </w:pPr>
    </w:p>
    <w:p w14:paraId="46E5ABDE" w14:textId="77777777" w:rsidR="006D2C51" w:rsidRDefault="006D2C51" w:rsidP="00F326E5">
      <w:pPr>
        <w:pStyle w:val="NoSpacing"/>
        <w:rPr>
          <w:rFonts w:ascii="Arial Black" w:hAnsi="Arial Black"/>
          <w:sz w:val="28"/>
          <w:szCs w:val="28"/>
        </w:rPr>
      </w:pPr>
    </w:p>
    <w:p w14:paraId="5BC6F366" w14:textId="77777777" w:rsidR="006D2C51" w:rsidRDefault="006D2C51" w:rsidP="00F326E5">
      <w:pPr>
        <w:pStyle w:val="NoSpacing"/>
        <w:rPr>
          <w:rFonts w:ascii="Arial Black" w:hAnsi="Arial Black"/>
          <w:sz w:val="28"/>
          <w:szCs w:val="28"/>
        </w:rPr>
      </w:pPr>
    </w:p>
    <w:p w14:paraId="73CB57DE" w14:textId="3DC22309" w:rsidR="00AE6CF5" w:rsidRDefault="009A0402" w:rsidP="00F326E5">
      <w:pPr>
        <w:pStyle w:val="NoSpacing"/>
        <w:rPr>
          <w:rFonts w:ascii="Arial Black" w:hAnsi="Arial Black"/>
          <w:sz w:val="28"/>
          <w:szCs w:val="28"/>
        </w:rPr>
      </w:pPr>
      <w:r>
        <w:rPr>
          <w:rFonts w:ascii="Arial Black" w:hAnsi="Arial Black"/>
          <w:sz w:val="28"/>
          <w:szCs w:val="28"/>
        </w:rPr>
        <w:t>3-4</w:t>
      </w:r>
      <w:r w:rsidR="007F3F5A">
        <w:rPr>
          <w:rFonts w:ascii="Arial Black" w:hAnsi="Arial Black"/>
          <w:sz w:val="28"/>
          <w:szCs w:val="28"/>
        </w:rPr>
        <w:t>4</w:t>
      </w:r>
    </w:p>
    <w:p w14:paraId="28100947" w14:textId="77777777" w:rsidR="009A0402" w:rsidRDefault="009A0402" w:rsidP="009A0402">
      <w:pPr>
        <w:spacing w:before="100" w:beforeAutospacing="1" w:after="100" w:afterAutospacing="1" w:line="240" w:lineRule="auto"/>
        <w:rPr>
          <w:rStyle w:val="markedcontent"/>
          <w:rFonts w:ascii="Arial Black" w:hAnsi="Arial Black"/>
          <w:sz w:val="28"/>
          <w:szCs w:val="28"/>
        </w:rPr>
      </w:pPr>
      <w:r>
        <w:rPr>
          <w:rStyle w:val="markedcontent"/>
          <w:rFonts w:ascii="Arial Black" w:hAnsi="Arial Black"/>
          <w:sz w:val="28"/>
          <w:szCs w:val="28"/>
        </w:rPr>
        <w:t>U.S. SUPREME COURT: IMMIGRATION - PRES. BIDEN CAN CANCEL PRES. TRUMP “REMAIN IN MEXICO” PROTOCOLS</w:t>
      </w:r>
    </w:p>
    <w:p w14:paraId="0A40B633" w14:textId="77777777" w:rsidR="009A0402" w:rsidRDefault="009A0402" w:rsidP="009A0402">
      <w:pPr>
        <w:spacing w:before="100" w:beforeAutospacing="1" w:after="100" w:afterAutospacing="1" w:line="240" w:lineRule="auto"/>
        <w:rPr>
          <w:rStyle w:val="markedcontent"/>
          <w:rFonts w:ascii="Times New Roman" w:hAnsi="Times New Roman"/>
          <w:sz w:val="24"/>
          <w:szCs w:val="24"/>
        </w:rPr>
      </w:pPr>
      <w:r>
        <w:rPr>
          <w:rStyle w:val="markedcontent"/>
          <w:rFonts w:ascii="Times New Roman" w:hAnsi="Times New Roman"/>
          <w:sz w:val="24"/>
          <w:szCs w:val="24"/>
        </w:rPr>
        <w:t xml:space="preserve">On June 30, 2022, in </w:t>
      </w:r>
      <w:r>
        <w:rPr>
          <w:rStyle w:val="markedcontent"/>
          <w:rFonts w:ascii="Times New Roman" w:hAnsi="Times New Roman"/>
          <w:sz w:val="24"/>
          <w:szCs w:val="24"/>
          <w:u w:val="single"/>
        </w:rPr>
        <w:t>Biden et al. v. Texas, et al</w:t>
      </w:r>
      <w:r>
        <w:rPr>
          <w:rStyle w:val="markedcontent"/>
          <w:rFonts w:ascii="Times New Roman" w:hAnsi="Times New Roman"/>
          <w:sz w:val="24"/>
          <w:szCs w:val="24"/>
        </w:rPr>
        <w:t>., the U.S. Supreme Court held (5 to 4) that President Biden has the “discretionary” authority from Congress to end President’s Trump’s Migrant Protection Protocols (MPP). where because of the “immigration crisis” at the border some non-Mexican immigrants were immediately returned to Mexico to await later processing.  The State of Texas and Missouri filed lawsuit in Federal Court in Dallas and won a nationwide injunction against shutting down the MPP protocols. since the DHS did not issue adequate explanation for their cancellation of MPP as required by the Administrative Procedures Act.  For example, in</w:t>
      </w:r>
      <w:r>
        <w:rPr>
          <w:rFonts w:ascii="Times New Roman" w:hAnsi="Times New Roman"/>
          <w:sz w:val="24"/>
          <w:szCs w:val="24"/>
        </w:rPr>
        <w:t xml:space="preserve"> </w:t>
      </w:r>
      <w:proofErr w:type="gramStart"/>
      <w:r>
        <w:rPr>
          <w:rFonts w:ascii="Times New Roman" w:hAnsi="Times New Roman"/>
          <w:sz w:val="24"/>
          <w:szCs w:val="24"/>
        </w:rPr>
        <w:t>May,</w:t>
      </w:r>
      <w:proofErr w:type="gramEnd"/>
      <w:r>
        <w:rPr>
          <w:rFonts w:ascii="Times New Roman" w:hAnsi="Times New Roman"/>
          <w:sz w:val="24"/>
          <w:szCs w:val="24"/>
        </w:rPr>
        <w:t xml:space="preserve"> 2022, 1,460 migrants were returned to Mexico through MPP, according to DHS figures. [Note: During that same month, more than 100,000 migrants were expelled using Title 42; emergency action to stop communicable diseases, such as Covid.] </w:t>
      </w:r>
      <w:r>
        <w:rPr>
          <w:rStyle w:val="markedcontent"/>
          <w:rFonts w:ascii="Times New Roman" w:hAnsi="Times New Roman"/>
          <w:sz w:val="24"/>
          <w:szCs w:val="24"/>
        </w:rPr>
        <w:t>To comply with APA, on June 1, 2021, DHS Secretary Mayorkas issued a memorandum officially terminating MPP, but the Dallas Federal judge and the Court of Appeals for 5</w:t>
      </w:r>
      <w:r>
        <w:rPr>
          <w:rStyle w:val="markedcontent"/>
          <w:rFonts w:ascii="Times New Roman" w:hAnsi="Times New Roman"/>
          <w:sz w:val="24"/>
          <w:szCs w:val="24"/>
          <w:vertAlign w:val="superscript"/>
        </w:rPr>
        <w:t>th</w:t>
      </w:r>
      <w:r>
        <w:rPr>
          <w:rStyle w:val="markedcontent"/>
          <w:rFonts w:ascii="Times New Roman" w:hAnsi="Times New Roman"/>
          <w:sz w:val="24"/>
          <w:szCs w:val="24"/>
        </w:rPr>
        <w:t xml:space="preserve"> Circuit found it also was inadequate explanation. On October 29, the Secretary of DHS released a four-page memorandum that again announced the termination of MPP, along with a 39-page addendum explaining his reasons for doing so (the October 29 Memoranda).  The Court of Appeals denied government’s appeal, and the U.S. Supreme Court heard the case on an expedited basis.  </w:t>
      </w:r>
      <w:hyperlink r:id="rId738" w:history="1">
        <w:r>
          <w:rPr>
            <w:rStyle w:val="Hyperlink"/>
            <w:sz w:val="24"/>
            <w:szCs w:val="24"/>
          </w:rPr>
          <w:t>https://www.supremecourt.gov/opinions/21pdf/21-954_7l48.pdf</w:t>
        </w:r>
      </w:hyperlink>
      <w:r>
        <w:rPr>
          <w:rStyle w:val="markedcontent"/>
          <w:rFonts w:ascii="Times New Roman" w:hAnsi="Times New Roman"/>
          <w:sz w:val="24"/>
          <w:szCs w:val="24"/>
        </w:rPr>
        <w:t xml:space="preserve"> </w:t>
      </w:r>
    </w:p>
    <w:p w14:paraId="67940738" w14:textId="77777777" w:rsidR="009A0402" w:rsidRDefault="009A0402" w:rsidP="009A0402">
      <w:pPr>
        <w:spacing w:before="100" w:beforeAutospacing="1" w:after="100" w:afterAutospacing="1" w:line="240" w:lineRule="auto"/>
        <w:rPr>
          <w:rStyle w:val="markedcontent"/>
          <w:rFonts w:ascii="Times New Roman" w:hAnsi="Times New Roman"/>
          <w:b/>
          <w:bCs/>
          <w:sz w:val="24"/>
          <w:szCs w:val="24"/>
        </w:rPr>
      </w:pPr>
      <w:r>
        <w:rPr>
          <w:rStyle w:val="markedcontent"/>
          <w:rFonts w:ascii="Times New Roman" w:hAnsi="Times New Roman"/>
          <w:b/>
          <w:bCs/>
          <w:sz w:val="24"/>
          <w:szCs w:val="24"/>
        </w:rPr>
        <w:t xml:space="preserve">Legal Lesson Learned: Immigration and release of immigrants into our nation prior to review by an Immigration administrative law judge is a “hot topic” for the U.S. Supreme Court and our Nation. </w:t>
      </w:r>
    </w:p>
    <w:p w14:paraId="34E5CA88" w14:textId="77777777" w:rsidR="009A0402" w:rsidRPr="009A0402" w:rsidRDefault="009A0402" w:rsidP="009A0402">
      <w:pPr>
        <w:pStyle w:val="Heading2"/>
        <w:ind w:left="720"/>
        <w:rPr>
          <w:rFonts w:ascii="Times New Roman" w:hAnsi="Times New Roman"/>
          <w:b w:val="0"/>
          <w:bCs w:val="0"/>
          <w:i w:val="0"/>
          <w:iCs w:val="0"/>
          <w:sz w:val="24"/>
          <w:szCs w:val="24"/>
        </w:rPr>
      </w:pPr>
      <w:r w:rsidRPr="009A0402">
        <w:rPr>
          <w:rStyle w:val="markedcontent"/>
          <w:rFonts w:ascii="Times New Roman" w:hAnsi="Times New Roman"/>
          <w:b w:val="0"/>
          <w:bCs w:val="0"/>
          <w:i w:val="0"/>
          <w:iCs w:val="0"/>
          <w:sz w:val="24"/>
          <w:szCs w:val="24"/>
        </w:rPr>
        <w:t>Note: See article, “</w:t>
      </w:r>
      <w:r w:rsidRPr="009A0402">
        <w:rPr>
          <w:rFonts w:ascii="Times New Roman" w:hAnsi="Times New Roman"/>
          <w:b w:val="0"/>
          <w:bCs w:val="0"/>
          <w:i w:val="0"/>
          <w:iCs w:val="0"/>
          <w:sz w:val="24"/>
          <w:szCs w:val="24"/>
        </w:rPr>
        <w:t xml:space="preserve">Biden handed big immigration win by Supreme </w:t>
      </w:r>
      <w:proofErr w:type="gramStart"/>
      <w:r w:rsidRPr="009A0402">
        <w:rPr>
          <w:rFonts w:ascii="Times New Roman" w:hAnsi="Times New Roman"/>
          <w:b w:val="0"/>
          <w:bCs w:val="0"/>
          <w:i w:val="0"/>
          <w:iCs w:val="0"/>
          <w:sz w:val="24"/>
          <w:szCs w:val="24"/>
        </w:rPr>
        <w:t>Court</w:t>
      </w:r>
      <w:proofErr w:type="gramEnd"/>
      <w:r w:rsidRPr="009A0402">
        <w:rPr>
          <w:rFonts w:ascii="Times New Roman" w:hAnsi="Times New Roman"/>
          <w:b w:val="0"/>
          <w:bCs w:val="0"/>
          <w:i w:val="0"/>
          <w:iCs w:val="0"/>
          <w:sz w:val="24"/>
          <w:szCs w:val="24"/>
        </w:rPr>
        <w:t xml:space="preserve"> but challenges remain” (June 30, 2022); </w:t>
      </w:r>
      <w:hyperlink r:id="rId739" w:history="1">
        <w:r w:rsidRPr="009A0402">
          <w:rPr>
            <w:rStyle w:val="Hyperlink"/>
            <w:rFonts w:ascii="Times New Roman" w:hAnsi="Times New Roman"/>
            <w:b w:val="0"/>
            <w:bCs w:val="0"/>
            <w:i w:val="0"/>
            <w:iCs w:val="0"/>
            <w:sz w:val="24"/>
            <w:szCs w:val="24"/>
          </w:rPr>
          <w:t>https://www.politico.com/news/2022/06/30/white-house-immigration-supreme-court-win-00043667</w:t>
        </w:r>
      </w:hyperlink>
      <w:r w:rsidRPr="009A0402">
        <w:rPr>
          <w:rFonts w:ascii="Times New Roman" w:hAnsi="Times New Roman"/>
          <w:b w:val="0"/>
          <w:bCs w:val="0"/>
          <w:i w:val="0"/>
          <w:iCs w:val="0"/>
          <w:sz w:val="24"/>
          <w:szCs w:val="24"/>
        </w:rPr>
        <w:t xml:space="preserve"> . </w:t>
      </w:r>
    </w:p>
    <w:p w14:paraId="6E979F6A" w14:textId="77777777" w:rsidR="009A0402" w:rsidRPr="009A0402" w:rsidRDefault="009A0402" w:rsidP="009A0402">
      <w:pPr>
        <w:pStyle w:val="Heading2"/>
        <w:ind w:left="720"/>
        <w:rPr>
          <w:rFonts w:ascii="Times New Roman" w:hAnsi="Times New Roman"/>
          <w:b w:val="0"/>
          <w:bCs w:val="0"/>
          <w:i w:val="0"/>
          <w:iCs w:val="0"/>
          <w:sz w:val="24"/>
          <w:szCs w:val="24"/>
        </w:rPr>
      </w:pPr>
      <w:r w:rsidRPr="009A0402">
        <w:rPr>
          <w:rFonts w:ascii="Times New Roman" w:hAnsi="Times New Roman"/>
          <w:b w:val="0"/>
          <w:bCs w:val="0"/>
          <w:i w:val="0"/>
          <w:iCs w:val="0"/>
          <w:sz w:val="24"/>
          <w:szCs w:val="24"/>
        </w:rPr>
        <w:t>See also: “The Trump Administration used Title 42 to designate hundreds of thousands of migrants for “expulsion,” arguing that allowing these migrants to enter the U.S. may increase the spread of COVID-19.” </w:t>
      </w:r>
      <w:hyperlink r:id="rId740" w:history="1">
        <w:r w:rsidRPr="009A0402">
          <w:rPr>
            <w:rStyle w:val="Hyperlink"/>
            <w:rFonts w:ascii="Times New Roman" w:hAnsi="Times New Roman"/>
            <w:b w:val="0"/>
            <w:bCs w:val="0"/>
            <w:i w:val="0"/>
            <w:iCs w:val="0"/>
            <w:sz w:val="24"/>
            <w:szCs w:val="24"/>
          </w:rPr>
          <w:t>https://puenteaz.org/title42/</w:t>
        </w:r>
      </w:hyperlink>
      <w:r w:rsidRPr="009A0402">
        <w:rPr>
          <w:rFonts w:ascii="Times New Roman" w:hAnsi="Times New Roman"/>
          <w:b w:val="0"/>
          <w:bCs w:val="0"/>
          <w:i w:val="0"/>
          <w:iCs w:val="0"/>
          <w:sz w:val="24"/>
          <w:szCs w:val="24"/>
        </w:rPr>
        <w:t xml:space="preserve"> </w:t>
      </w:r>
    </w:p>
    <w:p w14:paraId="611970FA" w14:textId="77777777" w:rsidR="009A0402" w:rsidRDefault="009A0402" w:rsidP="00F326E5">
      <w:pPr>
        <w:pStyle w:val="NoSpacing"/>
        <w:rPr>
          <w:rFonts w:ascii="Arial Black" w:hAnsi="Arial Black"/>
          <w:sz w:val="28"/>
          <w:szCs w:val="28"/>
        </w:rPr>
      </w:pPr>
    </w:p>
    <w:p w14:paraId="426174DB" w14:textId="258A2217" w:rsidR="009A0402" w:rsidRDefault="007F3F5A" w:rsidP="00F326E5">
      <w:pPr>
        <w:pStyle w:val="NoSpacing"/>
        <w:rPr>
          <w:rFonts w:ascii="Arial Black" w:hAnsi="Arial Black"/>
          <w:sz w:val="28"/>
          <w:szCs w:val="28"/>
        </w:rPr>
      </w:pPr>
      <w:r>
        <w:rPr>
          <w:rFonts w:ascii="Arial Black" w:hAnsi="Arial Black"/>
          <w:sz w:val="28"/>
          <w:szCs w:val="28"/>
        </w:rPr>
        <w:t>3-43</w:t>
      </w:r>
    </w:p>
    <w:p w14:paraId="3F4AA11A" w14:textId="2D1326A2" w:rsidR="007F3F5A" w:rsidRDefault="007F3F5A" w:rsidP="00F326E5">
      <w:pPr>
        <w:pStyle w:val="NoSpacing"/>
        <w:rPr>
          <w:rFonts w:ascii="Arial Black" w:hAnsi="Arial Black"/>
          <w:sz w:val="28"/>
          <w:szCs w:val="28"/>
        </w:rPr>
      </w:pPr>
    </w:p>
    <w:p w14:paraId="576A3CCA" w14:textId="77777777" w:rsidR="007F3F5A" w:rsidRDefault="007F3F5A" w:rsidP="007F3F5A">
      <w:pPr>
        <w:spacing w:before="100" w:beforeAutospacing="1" w:after="100" w:afterAutospacing="1" w:line="240" w:lineRule="auto"/>
        <w:rPr>
          <w:rFonts w:ascii="Arial Black" w:eastAsia="Times New Roman" w:hAnsi="Arial Black"/>
          <w:sz w:val="28"/>
          <w:szCs w:val="28"/>
        </w:rPr>
      </w:pPr>
      <w:r>
        <w:rPr>
          <w:rFonts w:ascii="Arial Black" w:eastAsia="Times New Roman" w:hAnsi="Arial Black"/>
          <w:sz w:val="28"/>
          <w:szCs w:val="28"/>
        </w:rPr>
        <w:lastRenderedPageBreak/>
        <w:t xml:space="preserve">DC: JAN. 6, </w:t>
      </w:r>
      <w:proofErr w:type="gramStart"/>
      <w:r>
        <w:rPr>
          <w:rFonts w:ascii="Arial Black" w:eastAsia="Times New Roman" w:hAnsi="Arial Black"/>
          <w:sz w:val="28"/>
          <w:szCs w:val="28"/>
        </w:rPr>
        <w:t>2021</w:t>
      </w:r>
      <w:proofErr w:type="gramEnd"/>
      <w:r>
        <w:rPr>
          <w:rFonts w:ascii="Arial Black" w:eastAsia="Times New Roman" w:hAnsi="Arial Black"/>
          <w:sz w:val="28"/>
          <w:szCs w:val="28"/>
        </w:rPr>
        <w:t xml:space="preserve"> ATTACK ON CAPITOL – DEF. STAND TRIAL “OBSTRUCT, IMPEDED, INTERFERE” WITH POLICE</w:t>
      </w:r>
    </w:p>
    <w:p w14:paraId="21AAE66E" w14:textId="77777777" w:rsidR="007F3F5A" w:rsidRDefault="007F3F5A" w:rsidP="007F3F5A">
      <w:pPr>
        <w:spacing w:before="100" w:beforeAutospacing="1" w:after="100" w:afterAutospacing="1" w:line="240" w:lineRule="auto"/>
        <w:rPr>
          <w:rFonts w:ascii="Times New Roman" w:hAnsi="Times New Roman"/>
          <w:sz w:val="24"/>
          <w:szCs w:val="24"/>
        </w:rPr>
      </w:pPr>
      <w:r>
        <w:rPr>
          <w:rFonts w:ascii="Times New Roman" w:eastAsia="Times New Roman" w:hAnsi="Times New Roman"/>
          <w:sz w:val="24"/>
          <w:szCs w:val="24"/>
        </w:rPr>
        <w:t xml:space="preserve">On June 22, 2022, in </w:t>
      </w:r>
      <w:r>
        <w:rPr>
          <w:rFonts w:ascii="Times New Roman" w:eastAsia="Times New Roman" w:hAnsi="Times New Roman"/>
          <w:sz w:val="24"/>
          <w:szCs w:val="24"/>
          <w:u w:val="single"/>
        </w:rPr>
        <w:t>United States of America v. Riley June Williams</w:t>
      </w:r>
      <w:r>
        <w:rPr>
          <w:rFonts w:ascii="Times New Roman" w:eastAsia="Times New Roman" w:hAnsi="Times New Roman"/>
          <w:sz w:val="24"/>
          <w:szCs w:val="24"/>
        </w:rPr>
        <w:t>, U.S. District Court Judge Amy Berman Jackson, U.S. District Court, District of Columbia, denied the defendant’s motion her eight-count indictment, including charge of obstructing law enforcement officers. “</w:t>
      </w:r>
      <w:r>
        <w:rPr>
          <w:rFonts w:ascii="Times New Roman" w:hAnsi="Times New Roman"/>
          <w:sz w:val="24"/>
          <w:szCs w:val="24"/>
        </w:rPr>
        <w:t xml:space="preserve">This case is one of many arising out of the events at the United States Capitol on January 6, 2021, and all of the legal challenges Williams raises in her motions have been considered and rejected by other courts in this district.”  </w:t>
      </w:r>
      <w:hyperlink r:id="rId741" w:history="1">
        <w:r>
          <w:rPr>
            <w:rStyle w:val="Hyperlink"/>
            <w:sz w:val="24"/>
            <w:szCs w:val="24"/>
          </w:rPr>
          <w:t>https://casetext.com/case/united-states-v-williams-3941</w:t>
        </w:r>
      </w:hyperlink>
      <w:r>
        <w:rPr>
          <w:rFonts w:ascii="Times New Roman" w:hAnsi="Times New Roman"/>
          <w:sz w:val="24"/>
          <w:szCs w:val="24"/>
        </w:rPr>
        <w:t xml:space="preserve"> </w:t>
      </w:r>
    </w:p>
    <w:p w14:paraId="2693A588" w14:textId="77777777" w:rsidR="007F3F5A" w:rsidRDefault="007F3F5A" w:rsidP="007F3F5A">
      <w:pPr>
        <w:spacing w:before="100" w:beforeAutospacing="1" w:after="100" w:afterAutospacing="1" w:line="240" w:lineRule="auto"/>
        <w:rPr>
          <w:rFonts w:ascii="Times New Roman" w:eastAsia="Times New Roman" w:hAnsi="Times New Roman"/>
          <w:b/>
          <w:bCs/>
          <w:sz w:val="24"/>
          <w:szCs w:val="24"/>
        </w:rPr>
      </w:pPr>
      <w:r>
        <w:rPr>
          <w:rFonts w:ascii="Times New Roman" w:eastAsia="Times New Roman" w:hAnsi="Times New Roman"/>
          <w:b/>
          <w:bCs/>
          <w:sz w:val="24"/>
          <w:szCs w:val="24"/>
        </w:rPr>
        <w:t xml:space="preserve">Legal Lesson Learned: The defendant will now either go to trial or take a plea agreement. </w:t>
      </w:r>
    </w:p>
    <w:p w14:paraId="0942207C" w14:textId="77777777" w:rsidR="007F3F5A" w:rsidRDefault="007F3F5A" w:rsidP="007F3F5A">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Note: Defendant has been in news recently (Jan. 18, 2022): “</w:t>
      </w:r>
      <w:r>
        <w:rPr>
          <w:rFonts w:ascii="Times New Roman" w:hAnsi="Times New Roman"/>
          <w:sz w:val="24"/>
          <w:szCs w:val="24"/>
        </w:rPr>
        <w:t xml:space="preserve">January 6 defendant denies boyfriend plotted to shoot up synagogue. Lawyers for Riley Williams, who is accused of stealing Pelosi’s laptop, submit filing acknowledging her partner served prison time but deny it was for alleged mass shooting plan.” </w:t>
      </w:r>
      <w:hyperlink r:id="rId742" w:history="1">
        <w:r>
          <w:rPr>
            <w:rStyle w:val="Hyperlink"/>
            <w:sz w:val="24"/>
            <w:szCs w:val="24"/>
          </w:rPr>
          <w:t>https://www.timesofisrael.com/january-6-defendant-denies-boyfriend-plotted-to-shoot-up-synagogue/</w:t>
        </w:r>
      </w:hyperlink>
      <w:r>
        <w:rPr>
          <w:rFonts w:ascii="Times New Roman" w:eastAsia="Times New Roman" w:hAnsi="Times New Roman"/>
          <w:sz w:val="24"/>
          <w:szCs w:val="24"/>
        </w:rPr>
        <w:t xml:space="preserve"> </w:t>
      </w:r>
    </w:p>
    <w:p w14:paraId="52BDD391" w14:textId="77777777" w:rsidR="007F3F5A" w:rsidRDefault="007F3F5A" w:rsidP="00F326E5">
      <w:pPr>
        <w:pStyle w:val="NoSpacing"/>
        <w:rPr>
          <w:rFonts w:ascii="Arial Black" w:hAnsi="Arial Black"/>
          <w:sz w:val="28"/>
          <w:szCs w:val="28"/>
        </w:rPr>
      </w:pPr>
    </w:p>
    <w:p w14:paraId="61D26FFB" w14:textId="77777777" w:rsidR="009A0402" w:rsidRDefault="009A0402" w:rsidP="00F326E5">
      <w:pPr>
        <w:pStyle w:val="NoSpacing"/>
        <w:rPr>
          <w:rFonts w:ascii="Arial Black" w:hAnsi="Arial Black"/>
          <w:sz w:val="28"/>
          <w:szCs w:val="28"/>
        </w:rPr>
      </w:pPr>
    </w:p>
    <w:p w14:paraId="31314228" w14:textId="2FCCE0A2" w:rsidR="00AE6CF5" w:rsidRDefault="00AE6CF5" w:rsidP="00F326E5">
      <w:pPr>
        <w:pStyle w:val="NoSpacing"/>
        <w:rPr>
          <w:rFonts w:ascii="Arial Black" w:hAnsi="Arial Black"/>
          <w:sz w:val="28"/>
          <w:szCs w:val="28"/>
        </w:rPr>
      </w:pPr>
      <w:r>
        <w:rPr>
          <w:rFonts w:ascii="Arial Black" w:hAnsi="Arial Black"/>
          <w:sz w:val="28"/>
          <w:szCs w:val="28"/>
        </w:rPr>
        <w:t>3-42</w:t>
      </w:r>
    </w:p>
    <w:p w14:paraId="7660F2CA" w14:textId="66809F33" w:rsidR="00AE6CF5" w:rsidRDefault="00AE6CF5" w:rsidP="00AE6CF5">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LA: CIVIL UNREST – OFFICER HIT HEAD WITH CONCRETE -</w:t>
      </w:r>
      <w:r w:rsidR="005F75CC">
        <w:rPr>
          <w:rFonts w:ascii="Arial Black" w:eastAsia="Times New Roman" w:hAnsi="Arial Black"/>
          <w:b/>
          <w:bCs/>
          <w:sz w:val="28"/>
          <w:szCs w:val="28"/>
        </w:rPr>
        <w:t xml:space="preserve"> </w:t>
      </w:r>
      <w:r>
        <w:rPr>
          <w:rFonts w:ascii="Arial Black" w:eastAsia="Times New Roman" w:hAnsi="Arial Black"/>
          <w:b/>
          <w:bCs/>
          <w:sz w:val="28"/>
          <w:szCs w:val="28"/>
        </w:rPr>
        <w:t>CAN SUE “BLM” PROTEST ORGANIZER UNDER STATE LAW</w:t>
      </w:r>
    </w:p>
    <w:p w14:paraId="004F277F" w14:textId="77777777" w:rsidR="00AE6CF5" w:rsidRDefault="00AE6CF5" w:rsidP="00AE6CF5">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On March 25, 2022, in </w:t>
      </w:r>
      <w:r w:rsidRPr="006D72A3">
        <w:rPr>
          <w:rFonts w:ascii="Times New Roman" w:eastAsia="Times New Roman" w:hAnsi="Times New Roman"/>
          <w:sz w:val="24"/>
          <w:szCs w:val="24"/>
          <w:u w:val="single"/>
        </w:rPr>
        <w:t>Officer John Doe v. De</w:t>
      </w:r>
      <w:r>
        <w:rPr>
          <w:rFonts w:ascii="Times New Roman" w:eastAsia="Times New Roman" w:hAnsi="Times New Roman"/>
          <w:sz w:val="24"/>
          <w:szCs w:val="24"/>
          <w:u w:val="single"/>
        </w:rPr>
        <w:t>R</w:t>
      </w:r>
      <w:r w:rsidRPr="006D72A3">
        <w:rPr>
          <w:rFonts w:ascii="Times New Roman" w:eastAsia="Times New Roman" w:hAnsi="Times New Roman"/>
          <w:sz w:val="24"/>
          <w:szCs w:val="24"/>
          <w:u w:val="single"/>
        </w:rPr>
        <w:t>ay Mc</w:t>
      </w:r>
      <w:r>
        <w:rPr>
          <w:rFonts w:ascii="Times New Roman" w:eastAsia="Times New Roman" w:hAnsi="Times New Roman"/>
          <w:sz w:val="24"/>
          <w:szCs w:val="24"/>
          <w:u w:val="single"/>
        </w:rPr>
        <w:t>k</w:t>
      </w:r>
      <w:r w:rsidRPr="006D72A3">
        <w:rPr>
          <w:rFonts w:ascii="Times New Roman" w:eastAsia="Times New Roman" w:hAnsi="Times New Roman"/>
          <w:sz w:val="24"/>
          <w:szCs w:val="24"/>
          <w:u w:val="single"/>
        </w:rPr>
        <w:t>esson, et al.</w:t>
      </w:r>
      <w:r>
        <w:rPr>
          <w:rFonts w:ascii="Times New Roman" w:eastAsia="Times New Roman" w:hAnsi="Times New Roman"/>
          <w:sz w:val="24"/>
          <w:szCs w:val="24"/>
        </w:rPr>
        <w:t>, the Louisiana Supreme Court issued an opinion (6 to 1) answering two “Certified Questions” from the U.S. Court of Appeals for the 5</w:t>
      </w:r>
      <w:r w:rsidRPr="006D72A3">
        <w:rPr>
          <w:rFonts w:ascii="Times New Roman" w:eastAsia="Times New Roman" w:hAnsi="Times New Roman"/>
          <w:sz w:val="24"/>
          <w:szCs w:val="24"/>
          <w:vertAlign w:val="superscript"/>
        </w:rPr>
        <w:t>th</w:t>
      </w:r>
      <w:r>
        <w:rPr>
          <w:rFonts w:ascii="Times New Roman" w:eastAsia="Times New Roman" w:hAnsi="Times New Roman"/>
          <w:sz w:val="24"/>
          <w:szCs w:val="24"/>
        </w:rPr>
        <w:t xml:space="preserve"> Circuit [New Orleans]. First, under state law a City of Baton Rouge police officer who was struck in the head in July, 2016 by a piece of concrete, lost teeth and suffered brain trauma, may sue DeRay Mckesson, co-founder of Black Lives Matter [BLM] who organized the protest, even though the concrete thrower was never identified. Second, the “Professional Rescuer’s Doctrine” [also known as the “Fireman’s Rule”] prohibiting emergency responders from suing for injuries on the job, was set aside by LA Legislature in 1996 and subsequent court decisions.  The 5</w:t>
      </w:r>
      <w:r w:rsidRPr="00816DF1">
        <w:rPr>
          <w:rFonts w:ascii="Times New Roman" w:eastAsia="Times New Roman" w:hAnsi="Times New Roman"/>
          <w:sz w:val="24"/>
          <w:szCs w:val="24"/>
          <w:vertAlign w:val="superscript"/>
        </w:rPr>
        <w:t>th</w:t>
      </w:r>
      <w:r>
        <w:rPr>
          <w:rFonts w:ascii="Times New Roman" w:eastAsia="Times New Roman" w:hAnsi="Times New Roman"/>
          <w:sz w:val="24"/>
          <w:szCs w:val="24"/>
        </w:rPr>
        <w:t xml:space="preserve"> Circuit must now decide if lawsuit in Federal court may be reinstated and pre-trial discovery commenced. </w:t>
      </w:r>
      <w:hyperlink r:id="rId743" w:history="1">
        <w:r w:rsidRPr="00B25BE6">
          <w:rPr>
            <w:rStyle w:val="Hyperlink"/>
            <w:rFonts w:ascii="Times New Roman" w:eastAsia="Times New Roman" w:hAnsi="Times New Roman"/>
            <w:sz w:val="24"/>
            <w:szCs w:val="24"/>
          </w:rPr>
          <w:t>https://www.lasc.org/opinions/2022/21-0929.CQ.OPN.pdf</w:t>
        </w:r>
      </w:hyperlink>
    </w:p>
    <w:p w14:paraId="77AAED34" w14:textId="77777777" w:rsidR="00AE6CF5" w:rsidRDefault="00AE6CF5" w:rsidP="00AE6CF5">
      <w:pPr>
        <w:pStyle w:val="NormalWeb"/>
        <w:ind w:left="720"/>
      </w:pPr>
      <w:r>
        <w:t>“Accordingly, we answer the Fifth Circuit Court of Appeals' second certified question: In view of the current directive of La. C.C. art. 2323 that ‘[</w:t>
      </w:r>
      <w:proofErr w:type="spellStart"/>
      <w:r>
        <w:t>i</w:t>
      </w:r>
      <w:proofErr w:type="spellEnd"/>
      <w:r>
        <w:t xml:space="preserve">]n </w:t>
      </w:r>
      <w:r>
        <w:rPr>
          <w:rStyle w:val="Emphasis"/>
        </w:rPr>
        <w:t>any</w:t>
      </w:r>
      <w:r>
        <w:t xml:space="preserve"> action for damages where a person suffers injury, death, or loss, the degree or percentage of fault of </w:t>
      </w:r>
      <w:r>
        <w:rPr>
          <w:rStyle w:val="Emphasis"/>
        </w:rPr>
        <w:t>all</w:t>
      </w:r>
      <w:r>
        <w:t xml:space="preserve"> persons </w:t>
      </w:r>
      <w:r>
        <w:rPr>
          <w:rStyle w:val="Emphasis"/>
        </w:rPr>
        <w:t>causing or contributing</w:t>
      </w:r>
      <w:r>
        <w:t xml:space="preserve"> to the injury, death, or loss </w:t>
      </w:r>
      <w:r>
        <w:rPr>
          <w:rStyle w:val="Emphasis"/>
        </w:rPr>
        <w:t>shall</w:t>
      </w:r>
      <w:r>
        <w:t xml:space="preserve"> be determined…’ (emphasis added) and this court's holding in </w:t>
      </w:r>
      <w:r>
        <w:rPr>
          <w:rStyle w:val="Emphasis"/>
        </w:rPr>
        <w:t>Murray v. Ramada Inns, Inc.</w:t>
      </w:r>
      <w:r>
        <w:t xml:space="preserve">, 521 So.2d 1123, 1132 (La. 1988), abrogating assumption of risk, we conclude that the Professional Rescuer's Doctrine has likewise been abrogated in Louisiana both legislatively and jurisprudentially.’” </w:t>
      </w:r>
      <w:hyperlink r:id="rId744" w:history="1">
        <w:r w:rsidRPr="00B25BE6">
          <w:rPr>
            <w:rStyle w:val="Hyperlink"/>
            <w:rFonts w:eastAsiaTheme="majorEastAsia"/>
          </w:rPr>
          <w:t>https://www.lasc.org/opinions/2022/21-0929.CQ.OPN.pdf</w:t>
        </w:r>
      </w:hyperlink>
      <w:r>
        <w:t xml:space="preserve"> </w:t>
      </w:r>
    </w:p>
    <w:p w14:paraId="64F4A14F" w14:textId="33F74D3C" w:rsidR="00AE6CF5" w:rsidRDefault="00AE6CF5" w:rsidP="00AE6CF5">
      <w:pPr>
        <w:spacing w:before="100" w:beforeAutospacing="1" w:after="100" w:afterAutospacing="1" w:line="240" w:lineRule="auto"/>
        <w:rPr>
          <w:rFonts w:ascii="Times New Roman" w:hAnsi="Times New Roman"/>
          <w:b/>
          <w:bCs/>
          <w:sz w:val="24"/>
          <w:szCs w:val="24"/>
        </w:rPr>
      </w:pPr>
      <w:r w:rsidRPr="00B4453F">
        <w:rPr>
          <w:rFonts w:ascii="Times New Roman" w:hAnsi="Times New Roman"/>
          <w:b/>
          <w:bCs/>
          <w:sz w:val="24"/>
          <w:szCs w:val="24"/>
        </w:rPr>
        <w:t>Legal Lesson Learned:</w:t>
      </w:r>
      <w:r>
        <w:rPr>
          <w:rFonts w:ascii="Times New Roman" w:hAnsi="Times New Roman"/>
          <w:b/>
          <w:bCs/>
          <w:sz w:val="24"/>
          <w:szCs w:val="24"/>
        </w:rPr>
        <w:t xml:space="preserve"> 5</w:t>
      </w:r>
      <w:r w:rsidRPr="00B4453F">
        <w:rPr>
          <w:rFonts w:ascii="Times New Roman" w:hAnsi="Times New Roman"/>
          <w:b/>
          <w:bCs/>
          <w:sz w:val="24"/>
          <w:szCs w:val="24"/>
          <w:vertAlign w:val="superscript"/>
        </w:rPr>
        <w:t>th</w:t>
      </w:r>
      <w:r>
        <w:rPr>
          <w:rFonts w:ascii="Times New Roman" w:hAnsi="Times New Roman"/>
          <w:b/>
          <w:bCs/>
          <w:sz w:val="24"/>
          <w:szCs w:val="24"/>
        </w:rPr>
        <w:t xml:space="preserve"> Circuit </w:t>
      </w:r>
      <w:r w:rsidR="00BA2C39">
        <w:rPr>
          <w:rFonts w:ascii="Times New Roman" w:hAnsi="Times New Roman"/>
          <w:b/>
          <w:bCs/>
          <w:sz w:val="24"/>
          <w:szCs w:val="24"/>
        </w:rPr>
        <w:t xml:space="preserve">may </w:t>
      </w:r>
      <w:r>
        <w:rPr>
          <w:rFonts w:ascii="Times New Roman" w:hAnsi="Times New Roman"/>
          <w:b/>
          <w:bCs/>
          <w:sz w:val="24"/>
          <w:szCs w:val="24"/>
        </w:rPr>
        <w:t xml:space="preserve">now remand the case to the U.S. District Court judge and allow pre-trial discovery to be held.  </w:t>
      </w:r>
    </w:p>
    <w:p w14:paraId="17DD4704" w14:textId="77777777" w:rsidR="00AE6CF5" w:rsidRPr="00C665DD" w:rsidRDefault="00AE6CF5" w:rsidP="00AE6CF5">
      <w:pPr>
        <w:spacing w:before="100" w:beforeAutospacing="1" w:after="100" w:afterAutospacing="1" w:line="240" w:lineRule="auto"/>
        <w:ind w:left="720"/>
        <w:rPr>
          <w:rFonts w:ascii="Times New Roman" w:eastAsia="Times New Roman" w:hAnsi="Times New Roman"/>
          <w:sz w:val="24"/>
          <w:szCs w:val="24"/>
        </w:rPr>
      </w:pPr>
      <w:r w:rsidRPr="00C665DD">
        <w:rPr>
          <w:rFonts w:ascii="Times New Roman" w:hAnsi="Times New Roman"/>
          <w:sz w:val="24"/>
          <w:szCs w:val="24"/>
        </w:rPr>
        <w:t xml:space="preserve">Note: </w:t>
      </w:r>
      <w:r>
        <w:rPr>
          <w:rFonts w:ascii="Times New Roman" w:hAnsi="Times New Roman"/>
          <w:sz w:val="24"/>
          <w:szCs w:val="24"/>
        </w:rPr>
        <w:t xml:space="preserve">Lots of judges have now reviewed this case; unclear if it will ever be tried.  </w:t>
      </w:r>
      <w:r w:rsidRPr="00C665DD">
        <w:rPr>
          <w:rFonts w:ascii="Times New Roman" w:eastAsia="Times New Roman" w:hAnsi="Times New Roman"/>
          <w:sz w:val="24"/>
          <w:szCs w:val="24"/>
        </w:rPr>
        <w:t xml:space="preserve">The lawsuit was originally dismissed by a U.S. District Court judge prior to any discovery based on the First Amendment </w:t>
      </w:r>
      <w:r w:rsidRPr="00C665DD">
        <w:rPr>
          <w:rFonts w:ascii="Times New Roman" w:eastAsia="Times New Roman" w:hAnsi="Times New Roman"/>
          <w:sz w:val="24"/>
          <w:szCs w:val="24"/>
        </w:rPr>
        <w:lastRenderedPageBreak/>
        <w:t>right to organize protests; the 5</w:t>
      </w:r>
      <w:r w:rsidRPr="00C665DD">
        <w:rPr>
          <w:rFonts w:ascii="Times New Roman" w:eastAsia="Times New Roman" w:hAnsi="Times New Roman"/>
          <w:sz w:val="24"/>
          <w:szCs w:val="24"/>
          <w:vertAlign w:val="superscript"/>
        </w:rPr>
        <w:t>th</w:t>
      </w:r>
      <w:r w:rsidRPr="00C665DD">
        <w:rPr>
          <w:rFonts w:ascii="Times New Roman" w:eastAsia="Times New Roman" w:hAnsi="Times New Roman"/>
          <w:sz w:val="24"/>
          <w:szCs w:val="24"/>
        </w:rPr>
        <w:t xml:space="preserve"> Circuit (2 to 1) reversed, </w:t>
      </w:r>
      <w:r w:rsidRPr="00C665DD">
        <w:rPr>
          <w:rStyle w:val="Emphasis"/>
          <w:rFonts w:ascii="Times New Roman" w:hAnsi="Times New Roman"/>
          <w:sz w:val="24"/>
          <w:szCs w:val="24"/>
        </w:rPr>
        <w:t>Doe v. Mckesson</w:t>
      </w:r>
      <w:r w:rsidRPr="00C665DD">
        <w:rPr>
          <w:rFonts w:ascii="Times New Roman" w:hAnsi="Times New Roman"/>
          <w:sz w:val="24"/>
          <w:szCs w:val="24"/>
        </w:rPr>
        <w:t xml:space="preserve">, 945 F.3d 818 (5th Cir. 2019) </w:t>
      </w:r>
      <w:r>
        <w:rPr>
          <w:rFonts w:ascii="Times New Roman" w:hAnsi="Times New Roman"/>
          <w:sz w:val="24"/>
          <w:szCs w:val="24"/>
        </w:rPr>
        <w:t xml:space="preserve">holding that </w:t>
      </w:r>
      <w:r w:rsidRPr="00C665DD">
        <w:rPr>
          <w:rFonts w:ascii="Times New Roman" w:hAnsi="Times New Roman"/>
          <w:sz w:val="24"/>
          <w:szCs w:val="24"/>
        </w:rPr>
        <w:t>a j</w:t>
      </w:r>
      <w:r w:rsidRPr="00C665DD">
        <w:rPr>
          <w:rStyle w:val="markedcontent"/>
          <w:sz w:val="24"/>
          <w:szCs w:val="24"/>
        </w:rPr>
        <w:t>ury could plausibly find that Mckesson breached his “duty not to negligently precipitate the crime</w:t>
      </w:r>
      <w:r w:rsidRPr="00C665DD">
        <w:rPr>
          <w:rFonts w:ascii="Times New Roman" w:hAnsi="Times New Roman"/>
          <w:sz w:val="24"/>
          <w:szCs w:val="24"/>
        </w:rPr>
        <w:br/>
      </w:r>
      <w:r w:rsidRPr="00C665DD">
        <w:rPr>
          <w:rStyle w:val="markedcontent"/>
          <w:sz w:val="24"/>
          <w:szCs w:val="24"/>
        </w:rPr>
        <w:t>of a third party” because “a violent confrontation with a police officer was a foreseeable effect of negligently directing a protest” onto the highway. 945 F. 3d, at 82. The Fifth Circuit subsequently deadlocked 8 to 8 on</w:t>
      </w:r>
      <w:r>
        <w:rPr>
          <w:rStyle w:val="markedcontent"/>
          <w:sz w:val="24"/>
          <w:szCs w:val="24"/>
        </w:rPr>
        <w:t xml:space="preserve"> </w:t>
      </w:r>
      <w:r w:rsidRPr="00C665DD">
        <w:rPr>
          <w:rStyle w:val="markedcontent"/>
          <w:sz w:val="24"/>
          <w:szCs w:val="24"/>
        </w:rPr>
        <w:t xml:space="preserve">Mckesson’s petition for rehearing </w:t>
      </w:r>
      <w:proofErr w:type="spellStart"/>
      <w:r w:rsidRPr="00C665DD">
        <w:rPr>
          <w:rStyle w:val="markedcontent"/>
          <w:sz w:val="24"/>
          <w:szCs w:val="24"/>
        </w:rPr>
        <w:t>en</w:t>
      </w:r>
      <w:proofErr w:type="spellEnd"/>
      <w:r w:rsidRPr="00C665DD">
        <w:rPr>
          <w:rStyle w:val="markedcontent"/>
          <w:sz w:val="24"/>
          <w:szCs w:val="24"/>
        </w:rPr>
        <w:t xml:space="preserve"> banc [all the active judges on the 5</w:t>
      </w:r>
      <w:r w:rsidRPr="00C665DD">
        <w:rPr>
          <w:rStyle w:val="markedcontent"/>
          <w:sz w:val="24"/>
          <w:szCs w:val="24"/>
          <w:vertAlign w:val="superscript"/>
        </w:rPr>
        <w:t>th</w:t>
      </w:r>
      <w:r w:rsidRPr="00C665DD">
        <w:rPr>
          <w:rStyle w:val="markedcontent"/>
          <w:sz w:val="24"/>
          <w:szCs w:val="24"/>
        </w:rPr>
        <w:t xml:space="preserve"> Circuit]. 947 F. 3d 874, 875 (2020) (per curiam). T</w:t>
      </w:r>
      <w:r w:rsidRPr="00C665DD">
        <w:rPr>
          <w:rFonts w:ascii="Times New Roman" w:eastAsia="Times New Roman" w:hAnsi="Times New Roman"/>
          <w:sz w:val="24"/>
          <w:szCs w:val="24"/>
        </w:rPr>
        <w:t xml:space="preserve">he U.S. Supreme Court </w:t>
      </w:r>
      <w:r>
        <w:rPr>
          <w:rFonts w:ascii="Times New Roman" w:eastAsia="Times New Roman" w:hAnsi="Times New Roman"/>
          <w:sz w:val="24"/>
          <w:szCs w:val="24"/>
        </w:rPr>
        <w:t xml:space="preserve">agreed to review the case, </w:t>
      </w:r>
      <w:r w:rsidRPr="00C665DD">
        <w:rPr>
          <w:rFonts w:ascii="Times New Roman" w:eastAsia="Times New Roman" w:hAnsi="Times New Roman"/>
          <w:sz w:val="24"/>
          <w:szCs w:val="24"/>
        </w:rPr>
        <w:t xml:space="preserve">and in 2020 </w:t>
      </w:r>
      <w:r>
        <w:rPr>
          <w:rFonts w:ascii="Times New Roman" w:eastAsia="Times New Roman" w:hAnsi="Times New Roman"/>
          <w:sz w:val="24"/>
          <w:szCs w:val="24"/>
        </w:rPr>
        <w:t xml:space="preserve">in a Per Curiam order [not a decision issued by a particular Justice) and </w:t>
      </w:r>
      <w:r w:rsidRPr="00C665DD">
        <w:rPr>
          <w:rFonts w:ascii="Times New Roman" w:eastAsia="Times New Roman" w:hAnsi="Times New Roman"/>
          <w:sz w:val="24"/>
          <w:szCs w:val="24"/>
        </w:rPr>
        <w:t xml:space="preserve">vacated </w:t>
      </w:r>
      <w:r>
        <w:rPr>
          <w:rFonts w:ascii="Times New Roman" w:eastAsia="Times New Roman" w:hAnsi="Times New Roman"/>
          <w:sz w:val="24"/>
          <w:szCs w:val="24"/>
        </w:rPr>
        <w:t>5</w:t>
      </w:r>
      <w:r w:rsidRPr="00C665DD">
        <w:rPr>
          <w:rFonts w:ascii="Times New Roman" w:eastAsia="Times New Roman" w:hAnsi="Times New Roman"/>
          <w:sz w:val="24"/>
          <w:szCs w:val="24"/>
          <w:vertAlign w:val="superscript"/>
        </w:rPr>
        <w:t>th</w:t>
      </w:r>
      <w:r>
        <w:rPr>
          <w:rFonts w:ascii="Times New Roman" w:eastAsia="Times New Roman" w:hAnsi="Times New Roman"/>
          <w:sz w:val="24"/>
          <w:szCs w:val="24"/>
        </w:rPr>
        <w:t xml:space="preserve"> Circuit (3-judge panel) decision, </w:t>
      </w:r>
      <w:r w:rsidRPr="00C665DD">
        <w:rPr>
          <w:rFonts w:ascii="Times New Roman" w:eastAsia="Times New Roman" w:hAnsi="Times New Roman"/>
          <w:sz w:val="24"/>
          <w:szCs w:val="24"/>
        </w:rPr>
        <w:t>remanded case back to 5</w:t>
      </w:r>
      <w:r w:rsidRPr="00C665DD">
        <w:rPr>
          <w:rFonts w:ascii="Times New Roman" w:eastAsia="Times New Roman" w:hAnsi="Times New Roman"/>
          <w:sz w:val="24"/>
          <w:szCs w:val="24"/>
          <w:vertAlign w:val="superscript"/>
        </w:rPr>
        <w:t>th</w:t>
      </w:r>
      <w:r w:rsidRPr="00C665DD">
        <w:rPr>
          <w:rFonts w:ascii="Times New Roman" w:eastAsia="Times New Roman" w:hAnsi="Times New Roman"/>
          <w:sz w:val="24"/>
          <w:szCs w:val="24"/>
        </w:rPr>
        <w:t xml:space="preserve"> Circuit</w:t>
      </w:r>
      <w:r>
        <w:rPr>
          <w:rFonts w:ascii="Times New Roman" w:eastAsia="Times New Roman" w:hAnsi="Times New Roman"/>
          <w:sz w:val="24"/>
          <w:szCs w:val="24"/>
        </w:rPr>
        <w:t xml:space="preserve">. </w:t>
      </w:r>
      <w:r w:rsidRPr="00C665DD">
        <w:rPr>
          <w:rFonts w:ascii="Times New Roman" w:eastAsia="Times New Roman" w:hAnsi="Times New Roman"/>
          <w:sz w:val="24"/>
          <w:szCs w:val="24"/>
        </w:rPr>
        <w:t xml:space="preserve"> </w:t>
      </w:r>
    </w:p>
    <w:p w14:paraId="1EFA2CD6" w14:textId="77777777" w:rsidR="00AE6CF5" w:rsidRPr="00816DF1" w:rsidRDefault="00AE6CF5" w:rsidP="00AE6CF5">
      <w:pPr>
        <w:spacing w:before="100" w:beforeAutospacing="1" w:after="100" w:afterAutospacing="1" w:line="240" w:lineRule="auto"/>
        <w:ind w:left="1440"/>
        <w:rPr>
          <w:rFonts w:ascii="Times New Roman" w:eastAsia="Times New Roman" w:hAnsi="Times New Roman"/>
          <w:sz w:val="24"/>
          <w:szCs w:val="24"/>
        </w:rPr>
      </w:pPr>
      <w:r>
        <w:rPr>
          <w:rStyle w:val="markedcontent"/>
          <w:sz w:val="24"/>
          <w:szCs w:val="24"/>
        </w:rPr>
        <w:t>“</w:t>
      </w:r>
      <w:r w:rsidRPr="00C665DD">
        <w:rPr>
          <w:rStyle w:val="markedcontent"/>
          <w:sz w:val="24"/>
          <w:szCs w:val="24"/>
        </w:rPr>
        <w:t>We think that the Fifth Circuit’s interpretation of state</w:t>
      </w:r>
      <w:r>
        <w:rPr>
          <w:rStyle w:val="markedcontent"/>
          <w:sz w:val="24"/>
          <w:szCs w:val="24"/>
        </w:rPr>
        <w:t xml:space="preserve"> </w:t>
      </w:r>
      <w:r w:rsidRPr="00C665DD">
        <w:rPr>
          <w:rStyle w:val="markedcontent"/>
          <w:sz w:val="24"/>
          <w:szCs w:val="24"/>
        </w:rPr>
        <w:t xml:space="preserve">law is too uncertain a premise on which to address the </w:t>
      </w:r>
      <w:proofErr w:type="spellStart"/>
      <w:r w:rsidRPr="00C665DD">
        <w:rPr>
          <w:rStyle w:val="markedcontent"/>
          <w:sz w:val="24"/>
          <w:szCs w:val="24"/>
        </w:rPr>
        <w:t>ques</w:t>
      </w:r>
      <w:proofErr w:type="spellEnd"/>
      <w:r>
        <w:rPr>
          <w:rStyle w:val="markedcontent"/>
          <w:sz w:val="24"/>
          <w:szCs w:val="24"/>
        </w:rPr>
        <w:t xml:space="preserve"> </w:t>
      </w:r>
      <w:proofErr w:type="spellStart"/>
      <w:r w:rsidRPr="00C665DD">
        <w:rPr>
          <w:rStyle w:val="markedcontent"/>
          <w:sz w:val="24"/>
          <w:szCs w:val="24"/>
        </w:rPr>
        <w:t>tion</w:t>
      </w:r>
      <w:proofErr w:type="spellEnd"/>
      <w:r w:rsidRPr="00C665DD">
        <w:rPr>
          <w:rStyle w:val="markedcontent"/>
          <w:sz w:val="24"/>
          <w:szCs w:val="24"/>
        </w:rPr>
        <w:t xml:space="preserve"> presented. The constitutional issue, though undeniably important, is implicated only if Louisiana law permits</w:t>
      </w:r>
      <w:r w:rsidRPr="00C665DD">
        <w:rPr>
          <w:rFonts w:ascii="Times New Roman" w:hAnsi="Times New Roman"/>
          <w:sz w:val="24"/>
          <w:szCs w:val="24"/>
        </w:rPr>
        <w:br/>
      </w:r>
      <w:r w:rsidRPr="00C665DD">
        <w:rPr>
          <w:rStyle w:val="markedcontent"/>
          <w:sz w:val="24"/>
          <w:szCs w:val="24"/>
        </w:rPr>
        <w:t>recovery under these circumstances in the first place. The</w:t>
      </w:r>
      <w:r>
        <w:rPr>
          <w:rStyle w:val="markedcontent"/>
          <w:sz w:val="24"/>
          <w:szCs w:val="24"/>
        </w:rPr>
        <w:t xml:space="preserve"> </w:t>
      </w:r>
      <w:r w:rsidRPr="00C665DD">
        <w:rPr>
          <w:rStyle w:val="markedcontent"/>
          <w:sz w:val="24"/>
          <w:szCs w:val="24"/>
        </w:rPr>
        <w:t xml:space="preserve">dispute thus could be </w:t>
      </w:r>
      <w:r>
        <w:rPr>
          <w:rStyle w:val="markedcontent"/>
          <w:sz w:val="24"/>
          <w:szCs w:val="24"/>
        </w:rPr>
        <w:t>‘</w:t>
      </w:r>
      <w:r w:rsidRPr="00C665DD">
        <w:rPr>
          <w:rStyle w:val="markedcontent"/>
          <w:sz w:val="24"/>
          <w:szCs w:val="24"/>
        </w:rPr>
        <w:t xml:space="preserve">greatly </w:t>
      </w:r>
      <w:proofErr w:type="spellStart"/>
      <w:proofErr w:type="gramStart"/>
      <w:r w:rsidRPr="00C665DD">
        <w:rPr>
          <w:rStyle w:val="markedcontent"/>
          <w:sz w:val="24"/>
          <w:szCs w:val="24"/>
        </w:rPr>
        <w:t>simplifie</w:t>
      </w:r>
      <w:proofErr w:type="spellEnd"/>
      <w:r w:rsidRPr="00C665DD">
        <w:rPr>
          <w:rStyle w:val="markedcontent"/>
          <w:sz w:val="24"/>
          <w:szCs w:val="24"/>
        </w:rPr>
        <w:t>[d]</w:t>
      </w:r>
      <w:r>
        <w:rPr>
          <w:rStyle w:val="markedcontent"/>
          <w:sz w:val="24"/>
          <w:szCs w:val="24"/>
        </w:rPr>
        <w:t>’</w:t>
      </w:r>
      <w:proofErr w:type="gramEnd"/>
      <w:r w:rsidRPr="00C665DD">
        <w:rPr>
          <w:rStyle w:val="markedcontent"/>
          <w:sz w:val="24"/>
          <w:szCs w:val="24"/>
        </w:rPr>
        <w:t xml:space="preserve"> by guidance</w:t>
      </w:r>
      <w:r>
        <w:rPr>
          <w:rStyle w:val="markedcontent"/>
          <w:sz w:val="24"/>
          <w:szCs w:val="24"/>
        </w:rPr>
        <w:t xml:space="preserve"> </w:t>
      </w:r>
      <w:r w:rsidRPr="00C665DD">
        <w:rPr>
          <w:rStyle w:val="markedcontent"/>
          <w:sz w:val="24"/>
          <w:szCs w:val="24"/>
        </w:rPr>
        <w:t xml:space="preserve">from the Louisiana Supreme Court on the meaning of Louisiana </w:t>
      </w:r>
      <w:proofErr w:type="gramStart"/>
      <w:r w:rsidRPr="00C665DD">
        <w:rPr>
          <w:rStyle w:val="markedcontent"/>
          <w:sz w:val="24"/>
          <w:szCs w:val="24"/>
        </w:rPr>
        <w:t>law.</w:t>
      </w:r>
      <w:r>
        <w:rPr>
          <w:rStyle w:val="markedcontent"/>
          <w:sz w:val="24"/>
          <w:szCs w:val="24"/>
        </w:rPr>
        <w:t>”</w:t>
      </w:r>
      <w:proofErr w:type="gramEnd"/>
      <w:r>
        <w:rPr>
          <w:rFonts w:ascii="Times New Roman" w:eastAsia="Times New Roman" w:hAnsi="Times New Roman"/>
          <w:sz w:val="24"/>
          <w:szCs w:val="24"/>
        </w:rPr>
        <w:t xml:space="preserve"> </w:t>
      </w:r>
      <w:hyperlink r:id="rId745" w:history="1">
        <w:r w:rsidRPr="00CD0640">
          <w:rPr>
            <w:rStyle w:val="Hyperlink"/>
            <w:rFonts w:ascii="Times New Roman" w:hAnsi="Times New Roman"/>
            <w:sz w:val="24"/>
            <w:szCs w:val="24"/>
          </w:rPr>
          <w:t>https://www.supremecourt.gov/opinions/20pdf/19-1108_8n5a.pdf</w:t>
        </w:r>
      </w:hyperlink>
      <w:r w:rsidRPr="00816DF1">
        <w:rPr>
          <w:rStyle w:val="markedcontent"/>
          <w:sz w:val="24"/>
          <w:szCs w:val="24"/>
        </w:rPr>
        <w:t xml:space="preserve"> </w:t>
      </w:r>
    </w:p>
    <w:p w14:paraId="77FA3D39" w14:textId="77777777" w:rsidR="00AE6CF5" w:rsidRDefault="00AE6CF5" w:rsidP="00F326E5">
      <w:pPr>
        <w:pStyle w:val="NoSpacing"/>
        <w:rPr>
          <w:rFonts w:ascii="Arial Black" w:hAnsi="Arial Black"/>
          <w:sz w:val="28"/>
          <w:szCs w:val="28"/>
        </w:rPr>
      </w:pPr>
    </w:p>
    <w:p w14:paraId="1B0757B3" w14:textId="77777777" w:rsidR="00AE6CF5" w:rsidRDefault="00AE6CF5" w:rsidP="00F326E5">
      <w:pPr>
        <w:pStyle w:val="NoSpacing"/>
        <w:rPr>
          <w:rFonts w:ascii="Arial Black" w:hAnsi="Arial Black"/>
          <w:sz w:val="28"/>
          <w:szCs w:val="28"/>
        </w:rPr>
      </w:pPr>
    </w:p>
    <w:p w14:paraId="4A94EFC6" w14:textId="560BBABA" w:rsidR="00AE6CF5" w:rsidRDefault="00AE6CF5" w:rsidP="00F326E5">
      <w:pPr>
        <w:pStyle w:val="NoSpacing"/>
        <w:rPr>
          <w:rFonts w:ascii="Arial Black" w:hAnsi="Arial Black"/>
          <w:sz w:val="28"/>
          <w:szCs w:val="28"/>
        </w:rPr>
      </w:pPr>
      <w:r>
        <w:rPr>
          <w:rFonts w:ascii="Arial Black" w:hAnsi="Arial Black"/>
          <w:sz w:val="28"/>
          <w:szCs w:val="28"/>
        </w:rPr>
        <w:t>3-41</w:t>
      </w:r>
    </w:p>
    <w:p w14:paraId="6CEAC9C7" w14:textId="064BCC1C" w:rsidR="00AE6CF5" w:rsidRDefault="00AE6CF5" w:rsidP="00F326E5">
      <w:pPr>
        <w:pStyle w:val="NoSpacing"/>
        <w:rPr>
          <w:rFonts w:ascii="Arial Black" w:hAnsi="Arial Black"/>
          <w:sz w:val="28"/>
          <w:szCs w:val="28"/>
        </w:rPr>
      </w:pPr>
    </w:p>
    <w:p w14:paraId="28AE1371" w14:textId="77777777" w:rsidR="00AE6CF5" w:rsidRPr="003564FE" w:rsidRDefault="00AE6CF5" w:rsidP="00AE6CF5">
      <w:pPr>
        <w:pStyle w:val="Heading1"/>
        <w:rPr>
          <w:rFonts w:ascii="Arial Black" w:hAnsi="Arial Black"/>
          <w:b w:val="0"/>
          <w:bCs w:val="0"/>
          <w:sz w:val="28"/>
          <w:szCs w:val="28"/>
        </w:rPr>
      </w:pPr>
      <w:r>
        <w:rPr>
          <w:rFonts w:ascii="Arial Black" w:hAnsi="Arial Black"/>
          <w:b w:val="0"/>
          <w:bCs w:val="0"/>
          <w:sz w:val="28"/>
          <w:szCs w:val="28"/>
        </w:rPr>
        <w:t>U.S. SUP. COURT: NAVY SEALS MUST GET COVID VACCINATED – MILITARY OPERATIONAL DECISION</w:t>
      </w:r>
    </w:p>
    <w:p w14:paraId="392CA7F3" w14:textId="77777777" w:rsidR="00AE6CF5" w:rsidRDefault="00AE6CF5" w:rsidP="00AE6CF5">
      <w:pPr>
        <w:pStyle w:val="Heading1"/>
        <w:rPr>
          <w:rStyle w:val="Hyperlink"/>
          <w:rFonts w:eastAsiaTheme="majorEastAsia"/>
          <w:b w:val="0"/>
          <w:bCs w:val="0"/>
          <w:sz w:val="24"/>
          <w:szCs w:val="24"/>
        </w:rPr>
      </w:pPr>
      <w:r>
        <w:rPr>
          <w:b w:val="0"/>
          <w:bCs w:val="0"/>
          <w:sz w:val="24"/>
          <w:szCs w:val="24"/>
        </w:rPr>
        <w:t xml:space="preserve">On March 25, 2022, in </w:t>
      </w:r>
      <w:r w:rsidRPr="003564FE">
        <w:rPr>
          <w:b w:val="0"/>
          <w:bCs w:val="0"/>
          <w:sz w:val="24"/>
          <w:szCs w:val="24"/>
          <w:u w:val="single"/>
        </w:rPr>
        <w:t>Lloyd J. Austin, II, Secretary of Defense v. U.S. Navy Seals, et al.,</w:t>
      </w:r>
      <w:r>
        <w:rPr>
          <w:b w:val="0"/>
          <w:bCs w:val="0"/>
          <w:sz w:val="24"/>
          <w:szCs w:val="24"/>
        </w:rPr>
        <w:t xml:space="preserve">  the U.S. Supreme Court issued order (6 to 3) granting the U.S. Government’s motion for a partial stay of the decisions by both the 5</w:t>
      </w:r>
      <w:r w:rsidRPr="00677D67">
        <w:rPr>
          <w:b w:val="0"/>
          <w:bCs w:val="0"/>
          <w:sz w:val="24"/>
          <w:szCs w:val="24"/>
          <w:vertAlign w:val="superscript"/>
        </w:rPr>
        <w:t>th</w:t>
      </w:r>
      <w:r>
        <w:rPr>
          <w:b w:val="0"/>
          <w:bCs w:val="0"/>
          <w:sz w:val="24"/>
          <w:szCs w:val="24"/>
        </w:rPr>
        <w:t xml:space="preserve"> Circuit and a U.S. District Court judge in Texas regarding 35 Navy seals.  </w:t>
      </w:r>
      <w:hyperlink r:id="rId746" w:history="1">
        <w:r w:rsidRPr="00EF2641">
          <w:rPr>
            <w:rStyle w:val="Hyperlink"/>
            <w:rFonts w:eastAsiaTheme="majorEastAsia"/>
            <w:b w:val="0"/>
            <w:bCs w:val="0"/>
            <w:sz w:val="24"/>
            <w:szCs w:val="24"/>
          </w:rPr>
          <w:t>https://www.supremecourt.gov/opinions/21pdf/21a477_1bo2.pdf</w:t>
        </w:r>
      </w:hyperlink>
    </w:p>
    <w:p w14:paraId="0133DD36" w14:textId="77777777" w:rsidR="00AE6CF5" w:rsidRPr="005925FA" w:rsidRDefault="00AE6CF5" w:rsidP="00AE6CF5">
      <w:pPr>
        <w:pStyle w:val="Heading1"/>
        <w:ind w:left="720"/>
        <w:rPr>
          <w:rStyle w:val="Hyperlink"/>
          <w:rFonts w:eastAsiaTheme="majorEastAsia"/>
          <w:b w:val="0"/>
          <w:bCs w:val="0"/>
          <w:sz w:val="24"/>
          <w:szCs w:val="24"/>
        </w:rPr>
      </w:pPr>
      <w:r w:rsidRPr="005925FA">
        <w:rPr>
          <w:rStyle w:val="markedcontent"/>
          <w:b w:val="0"/>
          <w:bCs w:val="0"/>
          <w:sz w:val="24"/>
          <w:szCs w:val="24"/>
        </w:rPr>
        <w:t xml:space="preserve">“The district court’s January 3, 2022 order, insofar as it precludes the Navy from considering respondents’ vaccination status in making deployment, assignment, and other operational decisions, is stayed pending disposition of the appeal in the United States Court of Appeals for the Fifth Circuit and disposition of the petition for a writ of certiorari, if such writ is timely sought.” </w:t>
      </w:r>
      <w:hyperlink r:id="rId747" w:history="1">
        <w:r w:rsidRPr="005925FA">
          <w:rPr>
            <w:rStyle w:val="Hyperlink"/>
            <w:rFonts w:eastAsiaTheme="majorEastAsia"/>
            <w:b w:val="0"/>
            <w:bCs w:val="0"/>
            <w:sz w:val="24"/>
            <w:szCs w:val="24"/>
          </w:rPr>
          <w:t>https://www.supremecourt.gov/opinions/21pdf/21a477_1bo2.pdf</w:t>
        </w:r>
      </w:hyperlink>
    </w:p>
    <w:p w14:paraId="3DBA227B" w14:textId="77777777" w:rsidR="00AE6CF5" w:rsidRPr="005925FA" w:rsidRDefault="00AE6CF5" w:rsidP="00AE6CF5">
      <w:pPr>
        <w:pStyle w:val="Heading1"/>
        <w:rPr>
          <w:rStyle w:val="markedcontent"/>
          <w:b w:val="0"/>
          <w:bCs w:val="0"/>
          <w:sz w:val="24"/>
          <w:szCs w:val="24"/>
        </w:rPr>
      </w:pPr>
      <w:r w:rsidRPr="005925FA">
        <w:rPr>
          <w:rStyle w:val="markedcontent"/>
          <w:b w:val="0"/>
          <w:bCs w:val="0"/>
          <w:sz w:val="24"/>
          <w:szCs w:val="24"/>
        </w:rPr>
        <w:t>Concurring Opinion:</w:t>
      </w:r>
    </w:p>
    <w:p w14:paraId="28C99590" w14:textId="77777777" w:rsidR="00AE6CF5" w:rsidRPr="005925FA" w:rsidRDefault="00AE6CF5" w:rsidP="00AE6CF5">
      <w:pPr>
        <w:pStyle w:val="Heading1"/>
        <w:ind w:left="720"/>
        <w:rPr>
          <w:rStyle w:val="markedcontent"/>
          <w:b w:val="0"/>
          <w:bCs w:val="0"/>
          <w:sz w:val="24"/>
          <w:szCs w:val="24"/>
        </w:rPr>
      </w:pPr>
      <w:r w:rsidRPr="005925FA">
        <w:rPr>
          <w:rStyle w:val="markedcontent"/>
          <w:b w:val="0"/>
          <w:bCs w:val="0"/>
          <w:sz w:val="24"/>
          <w:szCs w:val="24"/>
        </w:rPr>
        <w:t xml:space="preserve">Justice Kavanaugh in a concurring decision wrote: </w:t>
      </w:r>
    </w:p>
    <w:p w14:paraId="587B8230" w14:textId="77777777" w:rsidR="00AE6CF5" w:rsidRPr="005925FA" w:rsidRDefault="00AE6CF5" w:rsidP="00AE6CF5">
      <w:pPr>
        <w:pStyle w:val="Heading1"/>
        <w:ind w:left="1440"/>
        <w:rPr>
          <w:rStyle w:val="markedcontent"/>
          <w:b w:val="0"/>
          <w:bCs w:val="0"/>
          <w:sz w:val="24"/>
          <w:szCs w:val="24"/>
        </w:rPr>
      </w:pPr>
      <w:r w:rsidRPr="005925FA">
        <w:rPr>
          <w:rStyle w:val="markedcontent"/>
          <w:b w:val="0"/>
          <w:bCs w:val="0"/>
          <w:sz w:val="24"/>
          <w:szCs w:val="24"/>
        </w:rPr>
        <w:t>“As the Court has long emphasized, moreover, the ‘complex, subtle, and professional decisions as to the composition, training, equipping, and control of a</w:t>
      </w:r>
      <w:r w:rsidRPr="005925FA">
        <w:rPr>
          <w:b w:val="0"/>
          <w:bCs w:val="0"/>
          <w:sz w:val="24"/>
          <w:szCs w:val="24"/>
        </w:rPr>
        <w:br/>
      </w:r>
      <w:r w:rsidRPr="005925FA">
        <w:rPr>
          <w:rStyle w:val="markedcontent"/>
          <w:b w:val="0"/>
          <w:bCs w:val="0"/>
          <w:sz w:val="24"/>
          <w:szCs w:val="24"/>
        </w:rPr>
        <w:t>military force are essentially professional military judgments.’ Gilligan v. Morgan, 413 U. S. 1, 10 (1973). Therefore, it is ‘difficult to conceive of an area of governmental activity in which the courts have less competence.’</w:t>
      </w:r>
    </w:p>
    <w:p w14:paraId="153E5337" w14:textId="77777777" w:rsidR="00AE6CF5" w:rsidRPr="005925FA" w:rsidRDefault="00AE6CF5" w:rsidP="00AE6CF5">
      <w:pPr>
        <w:pStyle w:val="Heading1"/>
        <w:ind w:left="1440"/>
        <w:rPr>
          <w:rStyle w:val="markedcontent"/>
          <w:b w:val="0"/>
          <w:bCs w:val="0"/>
          <w:sz w:val="24"/>
          <w:szCs w:val="24"/>
        </w:rPr>
      </w:pPr>
      <w:r w:rsidRPr="005925FA">
        <w:rPr>
          <w:rStyle w:val="markedcontent"/>
          <w:b w:val="0"/>
          <w:bCs w:val="0"/>
          <w:sz w:val="24"/>
          <w:szCs w:val="24"/>
        </w:rPr>
        <w:t>***</w:t>
      </w:r>
    </w:p>
    <w:p w14:paraId="130B2E6A" w14:textId="77777777" w:rsidR="00AE6CF5" w:rsidRPr="005925FA" w:rsidRDefault="00AE6CF5" w:rsidP="00AE6CF5">
      <w:pPr>
        <w:pStyle w:val="Heading1"/>
        <w:ind w:left="1440"/>
        <w:rPr>
          <w:rStyle w:val="markedcontent"/>
          <w:b w:val="0"/>
          <w:bCs w:val="0"/>
          <w:sz w:val="24"/>
          <w:szCs w:val="24"/>
        </w:rPr>
      </w:pPr>
      <w:r w:rsidRPr="005925FA">
        <w:rPr>
          <w:rStyle w:val="markedcontent"/>
          <w:b w:val="0"/>
          <w:bCs w:val="0"/>
          <w:sz w:val="24"/>
          <w:szCs w:val="24"/>
        </w:rPr>
        <w:lastRenderedPageBreak/>
        <w:t xml:space="preserve">As Admiral William Lescher, Vice Chief of Naval Operations, explained: ‘Sending ships into combat without maximizing the crew’s odds of success, such as would be the case with ship deficiencies in ordnance, radar, working weapons or the means to reliably accomplish the mission, is dereliction of duty. The same applies to ordering unvaccinated personnel into an environment in which they endanger their lives, the lives of others and compromise accomplishment of </w:t>
      </w:r>
      <w:r w:rsidRPr="005925FA">
        <w:rPr>
          <w:b w:val="0"/>
          <w:bCs w:val="0"/>
          <w:sz w:val="24"/>
          <w:szCs w:val="24"/>
        </w:rPr>
        <w:br/>
      </w:r>
      <w:r w:rsidRPr="005925FA">
        <w:rPr>
          <w:rStyle w:val="markedcontent"/>
          <w:b w:val="0"/>
          <w:bCs w:val="0"/>
          <w:sz w:val="24"/>
          <w:szCs w:val="24"/>
        </w:rPr>
        <w:t>essential missions.”</w:t>
      </w:r>
    </w:p>
    <w:p w14:paraId="2F004C49" w14:textId="77777777" w:rsidR="00AE6CF5" w:rsidRPr="0088598C" w:rsidRDefault="00AE6CF5" w:rsidP="00AE6CF5">
      <w:pPr>
        <w:pStyle w:val="Heading1"/>
        <w:rPr>
          <w:rStyle w:val="markedcontent"/>
          <w:b w:val="0"/>
          <w:bCs w:val="0"/>
          <w:sz w:val="24"/>
          <w:szCs w:val="24"/>
        </w:rPr>
      </w:pPr>
      <w:r w:rsidRPr="00EF2641">
        <w:rPr>
          <w:rStyle w:val="markedcontent"/>
          <w:sz w:val="24"/>
          <w:szCs w:val="24"/>
        </w:rPr>
        <w:t xml:space="preserve">Legal Lesson Learned: </w:t>
      </w:r>
      <w:r>
        <w:rPr>
          <w:rStyle w:val="markedcontent"/>
          <w:sz w:val="24"/>
          <w:szCs w:val="24"/>
        </w:rPr>
        <w:t xml:space="preserve"> The U.S. Supreme Court majority clearly decided to not interfere with U.S. military command decisions regarding deployment eligibility of personnel. </w:t>
      </w:r>
    </w:p>
    <w:p w14:paraId="397B53B4" w14:textId="77777777" w:rsidR="00AE6CF5" w:rsidRPr="00ED08CC" w:rsidRDefault="00AE6CF5" w:rsidP="00AE6CF5">
      <w:pPr>
        <w:pStyle w:val="Heading1"/>
        <w:ind w:left="720"/>
        <w:rPr>
          <w:rStyle w:val="markedcontent"/>
          <w:b w:val="0"/>
          <w:bCs w:val="0"/>
          <w:sz w:val="24"/>
          <w:szCs w:val="24"/>
        </w:rPr>
      </w:pPr>
      <w:r>
        <w:rPr>
          <w:b w:val="0"/>
          <w:bCs w:val="0"/>
          <w:sz w:val="24"/>
          <w:szCs w:val="24"/>
        </w:rPr>
        <w:t>Note: On Feb. 26, 2022, the 5</w:t>
      </w:r>
      <w:r w:rsidRPr="00822DF0">
        <w:rPr>
          <w:b w:val="0"/>
          <w:bCs w:val="0"/>
          <w:sz w:val="24"/>
          <w:szCs w:val="24"/>
          <w:vertAlign w:val="superscript"/>
        </w:rPr>
        <w:t>th</w:t>
      </w:r>
      <w:r>
        <w:rPr>
          <w:b w:val="0"/>
          <w:bCs w:val="0"/>
          <w:sz w:val="24"/>
          <w:szCs w:val="24"/>
        </w:rPr>
        <w:t xml:space="preserve"> Circuit (New Orleans) upheld the District Court judge, holding (3 to 0):</w:t>
      </w:r>
      <w:r w:rsidRPr="0088598C">
        <w:t xml:space="preserve"> </w:t>
      </w:r>
      <w:hyperlink r:id="rId748" w:history="1">
        <w:r w:rsidRPr="005C3AB1">
          <w:rPr>
            <w:rStyle w:val="Hyperlink"/>
            <w:rFonts w:eastAsiaTheme="majorEastAsia"/>
            <w:b w:val="0"/>
            <w:bCs w:val="0"/>
            <w:sz w:val="24"/>
            <w:szCs w:val="24"/>
          </w:rPr>
          <w:t>https://www.ca5.uscourts.gov/opinions/pub/22/22-10077-CV0.pdf</w:t>
        </w:r>
      </w:hyperlink>
    </w:p>
    <w:p w14:paraId="4B46E94C" w14:textId="77777777" w:rsidR="00AE6CF5" w:rsidRPr="00B81AFF" w:rsidRDefault="00AE6CF5" w:rsidP="00AE6CF5">
      <w:pPr>
        <w:pStyle w:val="Heading1"/>
        <w:ind w:left="1440"/>
        <w:rPr>
          <w:rStyle w:val="markedcontent"/>
          <w:b w:val="0"/>
          <w:bCs w:val="0"/>
          <w:sz w:val="24"/>
          <w:szCs w:val="24"/>
        </w:rPr>
      </w:pPr>
      <w:r w:rsidRPr="00B81AFF">
        <w:rPr>
          <w:rStyle w:val="markedcontent"/>
          <w:b w:val="0"/>
          <w:bCs w:val="0"/>
          <w:sz w:val="24"/>
          <w:szCs w:val="24"/>
        </w:rPr>
        <w:t>“The Navy has granted hundreds of medical exemptions from vaccination requirements, allowing those service members to seek medical waivers and become deployable. But it has not accommodated any religious objection to any vaccine in seven years, preventing those seeking such accommodations from even being considered for medical waivers. We DENY Defendants’ motion.”</w:t>
      </w:r>
    </w:p>
    <w:p w14:paraId="24E2088B" w14:textId="77777777" w:rsidR="00AE6CF5" w:rsidRDefault="00AE6CF5" w:rsidP="00F326E5">
      <w:pPr>
        <w:pStyle w:val="NoSpacing"/>
        <w:rPr>
          <w:rFonts w:ascii="Arial Black" w:hAnsi="Arial Black"/>
          <w:sz w:val="28"/>
          <w:szCs w:val="28"/>
        </w:rPr>
      </w:pPr>
    </w:p>
    <w:p w14:paraId="1EE561EC" w14:textId="77777777" w:rsidR="00AE6CF5" w:rsidRDefault="00AE6CF5" w:rsidP="00F326E5">
      <w:pPr>
        <w:pStyle w:val="NoSpacing"/>
        <w:rPr>
          <w:rFonts w:ascii="Arial Black" w:hAnsi="Arial Black"/>
          <w:sz w:val="28"/>
          <w:szCs w:val="28"/>
        </w:rPr>
      </w:pPr>
    </w:p>
    <w:p w14:paraId="17572456" w14:textId="77777777" w:rsidR="00AE6CF5" w:rsidRDefault="00AE6CF5" w:rsidP="00F326E5">
      <w:pPr>
        <w:pStyle w:val="NoSpacing"/>
        <w:rPr>
          <w:rFonts w:ascii="Arial Black" w:hAnsi="Arial Black"/>
          <w:sz w:val="28"/>
          <w:szCs w:val="28"/>
        </w:rPr>
      </w:pPr>
    </w:p>
    <w:p w14:paraId="16FA83F2" w14:textId="60EA4B49" w:rsidR="0082055F" w:rsidRDefault="00A20CA7" w:rsidP="00F326E5">
      <w:pPr>
        <w:pStyle w:val="NoSpacing"/>
        <w:rPr>
          <w:rFonts w:ascii="Arial Black" w:hAnsi="Arial Black"/>
          <w:sz w:val="28"/>
          <w:szCs w:val="28"/>
        </w:rPr>
      </w:pPr>
      <w:r>
        <w:rPr>
          <w:rFonts w:ascii="Arial Black" w:hAnsi="Arial Black"/>
          <w:sz w:val="28"/>
          <w:szCs w:val="28"/>
        </w:rPr>
        <w:t>3-40</w:t>
      </w:r>
    </w:p>
    <w:p w14:paraId="1519126D" w14:textId="77777777" w:rsidR="00A20CA7" w:rsidRDefault="00A20CA7" w:rsidP="00A20CA7">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PA: TREE OF LIFE SYNAGOGUE – SHOOTER’S STATEMENTS TO SWAT ADMISSIBLE – PUBLIC SAFETY EXCEPTION</w:t>
      </w:r>
    </w:p>
    <w:p w14:paraId="7DE491CC" w14:textId="77777777" w:rsidR="00A20CA7" w:rsidRDefault="00A20CA7" w:rsidP="00A20CA7">
      <w:pPr>
        <w:pStyle w:val="NormalWeb"/>
      </w:pPr>
      <w:r>
        <w:t xml:space="preserve">On Jan. 20, 2022, in </w:t>
      </w:r>
      <w:r w:rsidRPr="00904325">
        <w:rPr>
          <w:u w:val="single"/>
        </w:rPr>
        <w:t>United States of America v. Robert Bowers</w:t>
      </w:r>
      <w:r>
        <w:t>, Senior U.S. District Court Judge D</w:t>
      </w:r>
      <w:r w:rsidRPr="00904325">
        <w:t>onetta</w:t>
      </w:r>
      <w:r>
        <w:t xml:space="preserve"> Ambrose, U.S. District Court for Western District of Pennsylvania, denied the defendant’s motion to suppress statements made to police at that scene prior to being given Miranda warning, based on the “public safety exception.”  The defendant was armed </w:t>
      </w:r>
      <w:r w:rsidRPr="002A0ACB">
        <w:t xml:space="preserve">with an AR-15-style assault rifle and at least three handguns, </w:t>
      </w:r>
      <w:r>
        <w:t xml:space="preserve">shouted </w:t>
      </w:r>
      <w:r w:rsidRPr="002A0ACB">
        <w:t xml:space="preserve">anti-Semitic slurs </w:t>
      </w:r>
      <w:r>
        <w:t xml:space="preserve">and killed </w:t>
      </w:r>
      <w:r w:rsidRPr="002A0ACB">
        <w:t>11 congregants and wound</w:t>
      </w:r>
      <w:r>
        <w:t>ed</w:t>
      </w:r>
      <w:r w:rsidRPr="002A0ACB">
        <w:t xml:space="preserve"> four police officers</w:t>
      </w:r>
      <w:r>
        <w:t xml:space="preserve">.  </w:t>
      </w:r>
      <w:hyperlink r:id="rId749" w:history="1">
        <w:r w:rsidRPr="00A07B51">
          <w:rPr>
            <w:rStyle w:val="Hyperlink"/>
            <w:rFonts w:eastAsiaTheme="majorEastAsia"/>
          </w:rPr>
          <w:t>https://public.fastcase.com/9SKwsfNqTc6OieYDhNMyMwgnH2rEWQiRpx4SwB8tOsl9D8EiwJnekd530roHqTrENez3wWnOYZMVTxSfKTsOEtbG3zaICMf20ttzqQEEaDo</w:t>
        </w:r>
      </w:hyperlink>
    </w:p>
    <w:p w14:paraId="1C0AB4BE" w14:textId="77777777" w:rsidR="009A3D9F" w:rsidRPr="00F35AD1" w:rsidRDefault="009A3D9F" w:rsidP="009A3D9F">
      <w:pPr>
        <w:pStyle w:val="NormalWeb"/>
        <w:rPr>
          <w:b/>
          <w:bCs/>
        </w:rPr>
      </w:pPr>
      <w:r w:rsidRPr="00BA5395">
        <w:rPr>
          <w:b/>
          <w:bCs/>
        </w:rPr>
        <w:t>Legal Lesson Learned:</w:t>
      </w:r>
      <w:r>
        <w:rPr>
          <w:b/>
          <w:bCs/>
        </w:rPr>
        <w:t xml:space="preserve"> The “public safety exception” to Miranda ruling allows into evidence statements of defendants in response to police questioning in situations where there is a threat to public safety. </w:t>
      </w:r>
    </w:p>
    <w:p w14:paraId="07925D7C" w14:textId="77777777" w:rsidR="00A20CA7" w:rsidRDefault="00A20CA7" w:rsidP="00F326E5">
      <w:pPr>
        <w:pStyle w:val="NoSpacing"/>
        <w:rPr>
          <w:rFonts w:ascii="Arial Black" w:hAnsi="Arial Black"/>
          <w:sz w:val="28"/>
          <w:szCs w:val="28"/>
        </w:rPr>
      </w:pPr>
    </w:p>
    <w:p w14:paraId="78DAC4EE" w14:textId="77777777" w:rsidR="00A20CA7" w:rsidRDefault="00A20CA7" w:rsidP="00F326E5">
      <w:pPr>
        <w:pStyle w:val="NoSpacing"/>
        <w:rPr>
          <w:rFonts w:ascii="Arial Black" w:hAnsi="Arial Black"/>
          <w:sz w:val="28"/>
          <w:szCs w:val="28"/>
        </w:rPr>
      </w:pPr>
    </w:p>
    <w:p w14:paraId="6B4EA7EA" w14:textId="4941B572" w:rsidR="00954D68" w:rsidRDefault="00954D68" w:rsidP="00F326E5">
      <w:pPr>
        <w:pStyle w:val="NoSpacing"/>
        <w:rPr>
          <w:rFonts w:ascii="Arial Black" w:hAnsi="Arial Black"/>
          <w:sz w:val="28"/>
          <w:szCs w:val="28"/>
        </w:rPr>
      </w:pPr>
      <w:r>
        <w:rPr>
          <w:rFonts w:ascii="Arial Black" w:hAnsi="Arial Black"/>
          <w:sz w:val="28"/>
          <w:szCs w:val="28"/>
        </w:rPr>
        <w:t>3-39</w:t>
      </w:r>
    </w:p>
    <w:p w14:paraId="02170FAF" w14:textId="77777777" w:rsidR="00954D68" w:rsidRDefault="00954D68" w:rsidP="00954D68">
      <w:pPr>
        <w:spacing w:before="100" w:beforeAutospacing="1" w:after="100" w:afterAutospacing="1" w:line="240" w:lineRule="auto"/>
        <w:rPr>
          <w:rFonts w:ascii="Arial Black" w:eastAsia="Times New Roman" w:hAnsi="Arial Black"/>
          <w:b/>
          <w:bCs/>
          <w:sz w:val="28"/>
          <w:szCs w:val="28"/>
        </w:rPr>
      </w:pPr>
      <w:bookmarkStart w:id="134" w:name="_Hlk92113429"/>
      <w:r>
        <w:rPr>
          <w:rFonts w:ascii="Arial Black" w:eastAsia="Times New Roman" w:hAnsi="Arial Black"/>
          <w:b/>
          <w:bCs/>
          <w:sz w:val="28"/>
          <w:szCs w:val="28"/>
        </w:rPr>
        <w:t>MI: TERRORIST CONFESSION TO FBI - MIRANDA WARNINGS GIVEN BY FBI DURING C-17 FLIGHT TO U.S. - ADMISSIBLE</w:t>
      </w:r>
    </w:p>
    <w:bookmarkEnd w:id="134"/>
    <w:p w14:paraId="49C16A3D" w14:textId="77777777" w:rsidR="00954D68" w:rsidRDefault="00954D68" w:rsidP="00954D68">
      <w:pPr>
        <w:spacing w:before="100" w:beforeAutospacing="1" w:after="100" w:afterAutospacing="1" w:line="240" w:lineRule="auto"/>
        <w:rPr>
          <w:rFonts w:ascii="Times New Roman" w:eastAsia="Times New Roman" w:hAnsi="Times New Roman"/>
          <w:sz w:val="24"/>
          <w:szCs w:val="24"/>
        </w:rPr>
      </w:pPr>
      <w:r w:rsidRPr="000B5148">
        <w:rPr>
          <w:rFonts w:ascii="Times New Roman" w:eastAsia="Times New Roman" w:hAnsi="Times New Roman"/>
          <w:sz w:val="24"/>
          <w:szCs w:val="24"/>
        </w:rPr>
        <w:lastRenderedPageBreak/>
        <w:t xml:space="preserve">On </w:t>
      </w:r>
      <w:r>
        <w:rPr>
          <w:rFonts w:ascii="Times New Roman" w:eastAsia="Times New Roman" w:hAnsi="Times New Roman"/>
          <w:sz w:val="24"/>
          <w:szCs w:val="24"/>
        </w:rPr>
        <w:t xml:space="preserve">Dec. 13, 2021, in </w:t>
      </w:r>
      <w:r w:rsidRPr="000B5148">
        <w:rPr>
          <w:rFonts w:ascii="Times New Roman" w:eastAsia="Times New Roman" w:hAnsi="Times New Roman"/>
          <w:sz w:val="24"/>
          <w:szCs w:val="24"/>
          <w:u w:val="single"/>
        </w:rPr>
        <w:t>United States of America v. Ibraheem Izzy Musaibi</w:t>
      </w:r>
      <w:r>
        <w:rPr>
          <w:rFonts w:ascii="Times New Roman" w:eastAsia="Times New Roman" w:hAnsi="Times New Roman"/>
          <w:sz w:val="24"/>
          <w:szCs w:val="24"/>
        </w:rPr>
        <w:t xml:space="preserve">, U.S. District Court Judge David Lawson, U.S. District Court for Eastern District of Michigan (Southern Division) denied the defense motion to suppress his statements; the FBI gave him clear </w:t>
      </w:r>
      <w:r w:rsidRPr="000B5148">
        <w:rPr>
          <w:rFonts w:ascii="Times New Roman" w:eastAsia="Times New Roman" w:hAnsi="Times New Roman"/>
          <w:i/>
          <w:iCs/>
          <w:sz w:val="24"/>
          <w:szCs w:val="24"/>
        </w:rPr>
        <w:t>Miranda</w:t>
      </w:r>
      <w:r>
        <w:rPr>
          <w:rFonts w:ascii="Times New Roman" w:eastAsia="Times New Roman" w:hAnsi="Times New Roman"/>
          <w:sz w:val="24"/>
          <w:szCs w:val="24"/>
        </w:rPr>
        <w:t xml:space="preserve"> warnings. </w:t>
      </w:r>
    </w:p>
    <w:p w14:paraId="1C1592D0" w14:textId="77777777" w:rsidR="00954D68" w:rsidRPr="006A0973" w:rsidRDefault="00954D68" w:rsidP="00954D68">
      <w:pPr>
        <w:spacing w:before="100" w:beforeAutospacing="1" w:after="100" w:afterAutospacing="1" w:line="240" w:lineRule="auto"/>
        <w:ind w:left="720"/>
        <w:rPr>
          <w:rFonts w:ascii="Times New Roman" w:eastAsia="Times New Roman" w:hAnsi="Times New Roman"/>
          <w:sz w:val="24"/>
          <w:szCs w:val="24"/>
        </w:rPr>
      </w:pPr>
      <w:r>
        <w:rPr>
          <w:rFonts w:ascii="Times New Roman" w:hAnsi="Times New Roman"/>
          <w:sz w:val="24"/>
          <w:szCs w:val="24"/>
        </w:rPr>
        <w:t>“</w:t>
      </w:r>
      <w:r w:rsidRPr="00623CC0">
        <w:rPr>
          <w:rFonts w:ascii="Times New Roman" w:hAnsi="Times New Roman"/>
          <w:sz w:val="24"/>
          <w:szCs w:val="24"/>
        </w:rPr>
        <w:t>The evidence adduced at the evidentiary hearing establishes that the statements the defendant made while in the custody of the agents on the flight from the Middle East to the United States were voluntary and preceded by the appropriate advice of constitutional rights and warnings, and the defendant's waiver of those rights was knowing and voluntary. The statements the defendant made in text messages with FBI agent Kerner were voluntary and not the product of coercion by the government agent. There is no valid reason to suppress the statements or the text messages.</w:t>
      </w:r>
      <w:r>
        <w:rPr>
          <w:rFonts w:ascii="Times New Roman" w:hAnsi="Times New Roman"/>
          <w:sz w:val="24"/>
          <w:szCs w:val="24"/>
        </w:rPr>
        <w:t>”</w:t>
      </w:r>
      <w:r w:rsidRPr="00623CC0">
        <w:rPr>
          <w:rFonts w:ascii="Times New Roman" w:eastAsia="Times New Roman" w:hAnsi="Times New Roman"/>
          <w:sz w:val="24"/>
          <w:szCs w:val="24"/>
        </w:rPr>
        <w:t xml:space="preserve"> </w:t>
      </w:r>
      <w:hyperlink r:id="rId750" w:history="1">
        <w:r w:rsidRPr="00EC5853">
          <w:rPr>
            <w:rStyle w:val="Hyperlink"/>
            <w:rFonts w:ascii="Times New Roman" w:eastAsia="Times New Roman" w:hAnsi="Times New Roman"/>
            <w:sz w:val="24"/>
            <w:szCs w:val="24"/>
          </w:rPr>
          <w:t>https://casetext.com/case/united-states-v-musaibli-1</w:t>
        </w:r>
      </w:hyperlink>
      <w:r>
        <w:rPr>
          <w:rFonts w:ascii="Times New Roman" w:eastAsia="Times New Roman" w:hAnsi="Times New Roman"/>
          <w:sz w:val="24"/>
          <w:szCs w:val="24"/>
        </w:rPr>
        <w:t xml:space="preserve"> </w:t>
      </w:r>
    </w:p>
    <w:p w14:paraId="28993D92" w14:textId="77777777" w:rsidR="00954D68" w:rsidRPr="00623CC0" w:rsidRDefault="00954D68" w:rsidP="00954D68">
      <w:pPr>
        <w:spacing w:before="100" w:beforeAutospacing="1" w:after="100" w:afterAutospacing="1" w:line="240" w:lineRule="auto"/>
        <w:rPr>
          <w:rFonts w:ascii="Times New Roman" w:hAnsi="Times New Roman"/>
          <w:b/>
          <w:bCs/>
          <w:sz w:val="24"/>
          <w:szCs w:val="24"/>
        </w:rPr>
      </w:pPr>
      <w:r w:rsidRPr="00623CC0">
        <w:rPr>
          <w:rFonts w:ascii="Times New Roman" w:hAnsi="Times New Roman"/>
          <w:b/>
          <w:bCs/>
          <w:sz w:val="24"/>
          <w:szCs w:val="24"/>
        </w:rPr>
        <w:t>Legal Lesson Learned:</w:t>
      </w:r>
      <w:r>
        <w:rPr>
          <w:rFonts w:ascii="Times New Roman" w:hAnsi="Times New Roman"/>
          <w:b/>
          <w:bCs/>
          <w:sz w:val="24"/>
          <w:szCs w:val="24"/>
        </w:rPr>
        <w:t xml:space="preserve"> The post-Miranda warning 5-hour interrogation during C-17 flight, and 2-hours upon arrival in U.S. were lawful.  </w:t>
      </w:r>
    </w:p>
    <w:p w14:paraId="080661FD" w14:textId="77777777" w:rsidR="00954D68" w:rsidRPr="00954D68" w:rsidRDefault="00954D68" w:rsidP="00F326E5">
      <w:pPr>
        <w:pStyle w:val="NoSpacing"/>
      </w:pPr>
    </w:p>
    <w:p w14:paraId="2908668C" w14:textId="77777777" w:rsidR="00954D68" w:rsidRDefault="00954D68" w:rsidP="00F326E5">
      <w:pPr>
        <w:pStyle w:val="NoSpacing"/>
        <w:rPr>
          <w:rFonts w:ascii="Arial Black" w:hAnsi="Arial Black"/>
          <w:sz w:val="28"/>
          <w:szCs w:val="28"/>
        </w:rPr>
      </w:pPr>
    </w:p>
    <w:p w14:paraId="7F58718F" w14:textId="76D373A5" w:rsidR="0082055F" w:rsidRDefault="0082055F" w:rsidP="00F326E5">
      <w:pPr>
        <w:pStyle w:val="NoSpacing"/>
        <w:rPr>
          <w:rFonts w:ascii="Arial Black" w:hAnsi="Arial Black"/>
          <w:sz w:val="28"/>
          <w:szCs w:val="28"/>
        </w:rPr>
      </w:pPr>
      <w:r>
        <w:rPr>
          <w:rFonts w:ascii="Arial Black" w:hAnsi="Arial Black"/>
          <w:sz w:val="28"/>
          <w:szCs w:val="28"/>
        </w:rPr>
        <w:t>3-38</w:t>
      </w:r>
    </w:p>
    <w:p w14:paraId="1860943B" w14:textId="77777777" w:rsidR="0082055F" w:rsidRPr="00964118" w:rsidRDefault="0082055F" w:rsidP="0082055F">
      <w:pPr>
        <w:pStyle w:val="Heading1"/>
        <w:rPr>
          <w:rFonts w:ascii="Arial Black" w:hAnsi="Arial Black"/>
          <w:sz w:val="28"/>
          <w:szCs w:val="28"/>
        </w:rPr>
      </w:pPr>
      <w:r>
        <w:rPr>
          <w:rFonts w:ascii="Arial Black" w:hAnsi="Arial Black"/>
          <w:sz w:val="28"/>
          <w:szCs w:val="28"/>
        </w:rPr>
        <w:t>MD: ISIS SENTENCED 20 YEARS – OBTAINED FUNDS MAKE “ATTACK IN USA” – PLEA DEAL, JUDGE SET THE SENTENCE</w:t>
      </w:r>
    </w:p>
    <w:p w14:paraId="4C236ADB" w14:textId="77777777" w:rsidR="0082055F" w:rsidRPr="00284B77" w:rsidRDefault="0082055F" w:rsidP="0082055F">
      <w:pPr>
        <w:pStyle w:val="Heading1"/>
        <w:rPr>
          <w:b w:val="0"/>
          <w:bCs w:val="0"/>
          <w:sz w:val="24"/>
          <w:szCs w:val="24"/>
        </w:rPr>
      </w:pPr>
      <w:r>
        <w:rPr>
          <w:b w:val="0"/>
          <w:bCs w:val="0"/>
          <w:sz w:val="24"/>
          <w:szCs w:val="24"/>
        </w:rPr>
        <w:t xml:space="preserve">On Oct. 14, 2021, in </w:t>
      </w:r>
      <w:r w:rsidRPr="00964118">
        <w:rPr>
          <w:b w:val="0"/>
          <w:bCs w:val="0"/>
          <w:sz w:val="24"/>
          <w:szCs w:val="24"/>
          <w:u w:val="single"/>
        </w:rPr>
        <w:t xml:space="preserve">Mohamed Y. </w:t>
      </w:r>
      <w:proofErr w:type="spellStart"/>
      <w:r w:rsidRPr="00964118">
        <w:rPr>
          <w:b w:val="0"/>
          <w:bCs w:val="0"/>
          <w:sz w:val="24"/>
          <w:szCs w:val="24"/>
          <w:u w:val="single"/>
        </w:rPr>
        <w:t>Elshinawy</w:t>
      </w:r>
      <w:proofErr w:type="spellEnd"/>
      <w:r w:rsidRPr="00964118">
        <w:rPr>
          <w:b w:val="0"/>
          <w:bCs w:val="0"/>
          <w:sz w:val="24"/>
          <w:szCs w:val="24"/>
          <w:u w:val="single"/>
        </w:rPr>
        <w:t xml:space="preserve"> v. United States of America</w:t>
      </w:r>
      <w:r>
        <w:rPr>
          <w:b w:val="0"/>
          <w:bCs w:val="0"/>
          <w:sz w:val="24"/>
          <w:szCs w:val="24"/>
        </w:rPr>
        <w:t>, U.S. District Court Judge Ellen L. Hollander, U.S. District Court for District of Maryland, denied the defendant’s post-conviction petition to be given a trial; when he was sentenced the Judge informed him of maximum possible sentence of 68 years.  Serious charges, including: “</w:t>
      </w:r>
      <w:r w:rsidRPr="00284B77">
        <w:rPr>
          <w:b w:val="0"/>
          <w:bCs w:val="0"/>
          <w:sz w:val="24"/>
          <w:szCs w:val="24"/>
        </w:rPr>
        <w:t>Beginning in March 2015, Petitioner received money transfers from a foreign entity based in Wales, United Kingdom, and Dhaka, Bangladesh</w:t>
      </w:r>
      <w:r>
        <w:rPr>
          <w:b w:val="0"/>
          <w:bCs w:val="0"/>
          <w:sz w:val="24"/>
          <w:szCs w:val="24"/>
        </w:rPr>
        <w:t>…</w:t>
      </w:r>
      <w:r w:rsidRPr="00284B77">
        <w:rPr>
          <w:rStyle w:val="Emphasis"/>
          <w:b w:val="0"/>
          <w:bCs w:val="0"/>
          <w:sz w:val="24"/>
          <w:szCs w:val="24"/>
        </w:rPr>
        <w:t>.</w:t>
      </w:r>
      <w:r w:rsidRPr="00284B77">
        <w:rPr>
          <w:b w:val="0"/>
          <w:bCs w:val="0"/>
          <w:sz w:val="24"/>
          <w:szCs w:val="24"/>
        </w:rPr>
        <w:t xml:space="preserve"> The funds were “to be used to fund a terrorist attack in the United States.” </w:t>
      </w:r>
    </w:p>
    <w:p w14:paraId="05C74215" w14:textId="77777777" w:rsidR="0082055F" w:rsidRDefault="0082055F" w:rsidP="0082055F">
      <w:pPr>
        <w:pStyle w:val="Heading1"/>
        <w:ind w:left="720"/>
        <w:rPr>
          <w:b w:val="0"/>
          <w:bCs w:val="0"/>
          <w:sz w:val="24"/>
          <w:szCs w:val="24"/>
        </w:rPr>
      </w:pPr>
      <w:r w:rsidRPr="00964118">
        <w:rPr>
          <w:b w:val="0"/>
          <w:bCs w:val="0"/>
          <w:sz w:val="24"/>
          <w:szCs w:val="24"/>
        </w:rPr>
        <w:t>“Petitioner also alleges that he would have gone to trial if he knew that he would be exposed to a sentence of sixty-eight years in the Plea Agreement</w:t>
      </w:r>
      <w:r>
        <w:rPr>
          <w:b w:val="0"/>
          <w:bCs w:val="0"/>
          <w:sz w:val="24"/>
          <w:szCs w:val="24"/>
        </w:rPr>
        <w:t xml:space="preserve">…. </w:t>
      </w:r>
      <w:r w:rsidRPr="00964118">
        <w:rPr>
          <w:b w:val="0"/>
          <w:bCs w:val="0"/>
          <w:sz w:val="24"/>
          <w:szCs w:val="24"/>
        </w:rPr>
        <w:t>There is no merit to this claim, as the Plea Agreement explicitly outlines the maximum sentence available</w:t>
      </w:r>
      <w:r>
        <w:rPr>
          <w:b w:val="0"/>
          <w:bCs w:val="0"/>
          <w:sz w:val="24"/>
          <w:szCs w:val="24"/>
        </w:rPr>
        <w:t>….</w:t>
      </w:r>
      <w:r w:rsidRPr="00964118">
        <w:rPr>
          <w:b w:val="0"/>
          <w:bCs w:val="0"/>
          <w:sz w:val="24"/>
          <w:szCs w:val="24"/>
        </w:rPr>
        <w:t xml:space="preserve"> Furthermore, petitioner explicitly acknowledged on the record that he had read and understood the Agreement</w:t>
      </w:r>
      <w:r>
        <w:rPr>
          <w:b w:val="0"/>
          <w:bCs w:val="0"/>
          <w:sz w:val="24"/>
          <w:szCs w:val="24"/>
        </w:rPr>
        <w:t xml:space="preserve">…. </w:t>
      </w:r>
      <w:r w:rsidRPr="00964118">
        <w:rPr>
          <w:b w:val="0"/>
          <w:bCs w:val="0"/>
          <w:sz w:val="24"/>
          <w:szCs w:val="24"/>
        </w:rPr>
        <w:t xml:space="preserve">And, the Supreme Court has explained that a reviewing court may presume that competent counsel explained a plea and its consequences to a defendant. </w:t>
      </w:r>
      <w:r w:rsidRPr="00964118">
        <w:rPr>
          <w:rStyle w:val="Emphasis"/>
          <w:b w:val="0"/>
          <w:bCs w:val="0"/>
          <w:sz w:val="24"/>
          <w:szCs w:val="24"/>
        </w:rPr>
        <w:t>Marshall</w:t>
      </w:r>
      <w:r w:rsidRPr="00964118">
        <w:rPr>
          <w:b w:val="0"/>
          <w:bCs w:val="0"/>
          <w:sz w:val="24"/>
          <w:szCs w:val="24"/>
        </w:rPr>
        <w:t xml:space="preserve">, 459 U.S. at 436 (quoting </w:t>
      </w:r>
      <w:r w:rsidRPr="00964118">
        <w:rPr>
          <w:rStyle w:val="Emphasis"/>
          <w:b w:val="0"/>
          <w:bCs w:val="0"/>
          <w:sz w:val="24"/>
          <w:szCs w:val="24"/>
        </w:rPr>
        <w:t>Henderson</w:t>
      </w:r>
      <w:r w:rsidRPr="00964118">
        <w:rPr>
          <w:b w:val="0"/>
          <w:bCs w:val="0"/>
          <w:sz w:val="24"/>
          <w:szCs w:val="24"/>
        </w:rPr>
        <w:t>, 426 U.S. at 647).</w:t>
      </w:r>
      <w:r>
        <w:rPr>
          <w:b w:val="0"/>
          <w:bCs w:val="0"/>
          <w:sz w:val="24"/>
          <w:szCs w:val="24"/>
        </w:rPr>
        <w:t xml:space="preserve">” </w:t>
      </w:r>
    </w:p>
    <w:p w14:paraId="483ED008" w14:textId="77777777" w:rsidR="0082055F" w:rsidRDefault="0082055F" w:rsidP="0082055F">
      <w:pPr>
        <w:pStyle w:val="Heading1"/>
        <w:ind w:left="240" w:firstLine="480"/>
        <w:rPr>
          <w:b w:val="0"/>
          <w:bCs w:val="0"/>
          <w:sz w:val="24"/>
          <w:szCs w:val="24"/>
        </w:rPr>
      </w:pPr>
      <w:r>
        <w:rPr>
          <w:b w:val="0"/>
          <w:bCs w:val="0"/>
          <w:sz w:val="24"/>
          <w:szCs w:val="24"/>
        </w:rPr>
        <w:t>***</w:t>
      </w:r>
    </w:p>
    <w:p w14:paraId="2CBFA9C9" w14:textId="77777777" w:rsidR="0082055F" w:rsidRPr="00964118" w:rsidRDefault="0082055F" w:rsidP="0082055F">
      <w:pPr>
        <w:pStyle w:val="Heading1"/>
        <w:ind w:left="720"/>
        <w:rPr>
          <w:b w:val="0"/>
          <w:bCs w:val="0"/>
          <w:sz w:val="24"/>
          <w:szCs w:val="24"/>
        </w:rPr>
      </w:pPr>
      <w:r w:rsidRPr="00964118">
        <w:rPr>
          <w:b w:val="0"/>
          <w:bCs w:val="0"/>
          <w:sz w:val="24"/>
          <w:szCs w:val="24"/>
        </w:rPr>
        <w:t>Perhaps most telling here is that petitioner voluntarily and knowingly pled guilty on all counts, which renders baseless his claim of ineffective assistance of counsel claim based on the waiver of preliminary hearing</w:t>
      </w:r>
      <w:r>
        <w:rPr>
          <w:b w:val="0"/>
          <w:bCs w:val="0"/>
          <w:sz w:val="24"/>
          <w:szCs w:val="24"/>
        </w:rPr>
        <w:t xml:space="preserve">…. </w:t>
      </w:r>
      <w:r w:rsidRPr="00964118">
        <w:rPr>
          <w:b w:val="0"/>
          <w:bCs w:val="0"/>
          <w:sz w:val="24"/>
          <w:szCs w:val="24"/>
        </w:rPr>
        <w:t xml:space="preserve">Moreover, the government notes that the facts establishing probable cause were clearly outlined in the criminal complaint, suggesting that it was reasonable for counsel to waive the preliminary </w:t>
      </w:r>
      <w:proofErr w:type="gramStart"/>
      <w:r w:rsidRPr="00964118">
        <w:rPr>
          <w:b w:val="0"/>
          <w:bCs w:val="0"/>
          <w:sz w:val="24"/>
          <w:szCs w:val="24"/>
        </w:rPr>
        <w:t>hearin</w:t>
      </w:r>
      <w:r>
        <w:rPr>
          <w:b w:val="0"/>
          <w:bCs w:val="0"/>
          <w:sz w:val="24"/>
          <w:szCs w:val="24"/>
        </w:rPr>
        <w:t>g.”</w:t>
      </w:r>
      <w:proofErr w:type="gramEnd"/>
      <w:r>
        <w:rPr>
          <w:b w:val="0"/>
          <w:bCs w:val="0"/>
          <w:sz w:val="24"/>
          <w:szCs w:val="24"/>
        </w:rPr>
        <w:t xml:space="preserve"> </w:t>
      </w:r>
      <w:hyperlink r:id="rId751" w:history="1">
        <w:r w:rsidRPr="00203260">
          <w:rPr>
            <w:rStyle w:val="Hyperlink"/>
            <w:sz w:val="24"/>
            <w:szCs w:val="24"/>
          </w:rPr>
          <w:t>https://casetext.com/case/elshinawy-v-united-states-1</w:t>
        </w:r>
      </w:hyperlink>
      <w:r>
        <w:rPr>
          <w:b w:val="0"/>
          <w:bCs w:val="0"/>
          <w:sz w:val="24"/>
          <w:szCs w:val="24"/>
        </w:rPr>
        <w:t xml:space="preserve"> </w:t>
      </w:r>
    </w:p>
    <w:p w14:paraId="218681D7" w14:textId="77777777" w:rsidR="0082055F" w:rsidRPr="000A14D9" w:rsidRDefault="0082055F" w:rsidP="0082055F">
      <w:pPr>
        <w:spacing w:before="100" w:beforeAutospacing="1" w:after="100" w:afterAutospacing="1" w:line="240" w:lineRule="auto"/>
        <w:rPr>
          <w:rFonts w:ascii="Times New Roman" w:eastAsia="Times New Roman" w:hAnsi="Times New Roman"/>
          <w:b/>
          <w:bCs/>
          <w:sz w:val="24"/>
          <w:szCs w:val="24"/>
        </w:rPr>
      </w:pPr>
      <w:r w:rsidRPr="00284B77">
        <w:rPr>
          <w:rFonts w:ascii="Times New Roman" w:eastAsia="Times New Roman" w:hAnsi="Times New Roman"/>
          <w:b/>
          <w:bCs/>
          <w:sz w:val="24"/>
          <w:szCs w:val="24"/>
        </w:rPr>
        <w:t>Legal Lesson Learned:</w:t>
      </w:r>
      <w:r>
        <w:rPr>
          <w:rFonts w:ascii="Times New Roman" w:eastAsia="Times New Roman" w:hAnsi="Times New Roman"/>
          <w:b/>
          <w:bCs/>
          <w:sz w:val="24"/>
          <w:szCs w:val="24"/>
        </w:rPr>
        <w:t xml:space="preserve"> Plea Agreement with this terrorist clearly left the sentencing decision to the judge, and he was informed by the judge that his maximum sentence of sixty-eight years. </w:t>
      </w:r>
    </w:p>
    <w:p w14:paraId="580379B2" w14:textId="77777777" w:rsidR="0082055F" w:rsidRDefault="0082055F" w:rsidP="00F326E5">
      <w:pPr>
        <w:pStyle w:val="NoSpacing"/>
        <w:rPr>
          <w:rFonts w:ascii="Arial Black" w:hAnsi="Arial Black"/>
          <w:sz w:val="28"/>
          <w:szCs w:val="28"/>
        </w:rPr>
      </w:pPr>
    </w:p>
    <w:p w14:paraId="2A5052B5" w14:textId="77777777" w:rsidR="0082055F" w:rsidRDefault="0082055F" w:rsidP="00F326E5">
      <w:pPr>
        <w:pStyle w:val="NoSpacing"/>
        <w:rPr>
          <w:rFonts w:ascii="Arial Black" w:hAnsi="Arial Black"/>
          <w:sz w:val="28"/>
          <w:szCs w:val="28"/>
        </w:rPr>
      </w:pPr>
    </w:p>
    <w:p w14:paraId="1B506EDC" w14:textId="77777777" w:rsidR="0082055F" w:rsidRDefault="0082055F" w:rsidP="00F326E5">
      <w:pPr>
        <w:pStyle w:val="NoSpacing"/>
        <w:rPr>
          <w:rFonts w:ascii="Arial Black" w:hAnsi="Arial Black"/>
          <w:sz w:val="28"/>
          <w:szCs w:val="28"/>
        </w:rPr>
      </w:pPr>
    </w:p>
    <w:p w14:paraId="282F4F31" w14:textId="77777777" w:rsidR="0082055F" w:rsidRDefault="0082055F" w:rsidP="00F326E5">
      <w:pPr>
        <w:pStyle w:val="NoSpacing"/>
        <w:rPr>
          <w:rFonts w:ascii="Arial Black" w:hAnsi="Arial Black"/>
          <w:sz w:val="28"/>
          <w:szCs w:val="28"/>
        </w:rPr>
      </w:pPr>
    </w:p>
    <w:p w14:paraId="77D2D010" w14:textId="77B9A657" w:rsidR="00382F02" w:rsidRDefault="00382F02" w:rsidP="00F326E5">
      <w:pPr>
        <w:pStyle w:val="NoSpacing"/>
        <w:rPr>
          <w:rFonts w:ascii="Arial Black" w:hAnsi="Arial Black"/>
          <w:sz w:val="28"/>
          <w:szCs w:val="28"/>
        </w:rPr>
      </w:pPr>
      <w:r>
        <w:rPr>
          <w:rFonts w:ascii="Arial Black" w:hAnsi="Arial Black"/>
          <w:sz w:val="28"/>
          <w:szCs w:val="28"/>
        </w:rPr>
        <w:t>3-37</w:t>
      </w:r>
    </w:p>
    <w:p w14:paraId="413B0D5A" w14:textId="77777777" w:rsidR="00382F02" w:rsidRPr="00E65FCE" w:rsidRDefault="00382F02" w:rsidP="00382F02">
      <w:pPr>
        <w:pStyle w:val="Heading1"/>
        <w:rPr>
          <w:rFonts w:ascii="Arial Black" w:hAnsi="Arial Black"/>
          <w:sz w:val="28"/>
          <w:szCs w:val="28"/>
        </w:rPr>
      </w:pPr>
      <w:bookmarkStart w:id="135" w:name="_Hlk81841424"/>
      <w:r w:rsidRPr="00E65FCE">
        <w:rPr>
          <w:rFonts w:ascii="Arial Black" w:hAnsi="Arial Black"/>
          <w:sz w:val="28"/>
          <w:szCs w:val="28"/>
        </w:rPr>
        <w:t>SC</w:t>
      </w:r>
      <w:r>
        <w:rPr>
          <w:rFonts w:ascii="Arial Black" w:hAnsi="Arial Black"/>
          <w:sz w:val="28"/>
          <w:szCs w:val="28"/>
        </w:rPr>
        <w:t>: MASS KILLING OF 9 AT CHARLESTON CHURCH – DEATH PENALTY – DOMESTIC TERROIST- NO INSANITY DEFENSE</w:t>
      </w:r>
    </w:p>
    <w:bookmarkEnd w:id="135"/>
    <w:p w14:paraId="5E72B7B1" w14:textId="5DDD8EA0" w:rsidR="00382F02" w:rsidRPr="00FA5F45" w:rsidRDefault="00382F02" w:rsidP="00A62433">
      <w:pPr>
        <w:pStyle w:val="Heading1"/>
        <w:rPr>
          <w:b w:val="0"/>
          <w:bCs w:val="0"/>
          <w:sz w:val="24"/>
          <w:szCs w:val="24"/>
        </w:rPr>
      </w:pPr>
      <w:r>
        <w:rPr>
          <w:b w:val="0"/>
          <w:bCs w:val="0"/>
          <w:sz w:val="24"/>
          <w:szCs w:val="24"/>
        </w:rPr>
        <w:t xml:space="preserve">On Aug. 25, 2021, in </w:t>
      </w:r>
      <w:r w:rsidRPr="00FA5F45">
        <w:rPr>
          <w:b w:val="0"/>
          <w:bCs w:val="0"/>
          <w:sz w:val="24"/>
          <w:szCs w:val="24"/>
          <w:u w:val="single"/>
        </w:rPr>
        <w:t>United States of America v. Dylann Storm Roof</w:t>
      </w:r>
      <w:r>
        <w:rPr>
          <w:b w:val="0"/>
          <w:bCs w:val="0"/>
          <w:sz w:val="24"/>
          <w:szCs w:val="24"/>
        </w:rPr>
        <w:t>, three judges sitting on 4</w:t>
      </w:r>
      <w:r w:rsidRPr="00FA5F45">
        <w:rPr>
          <w:b w:val="0"/>
          <w:bCs w:val="0"/>
          <w:sz w:val="24"/>
          <w:szCs w:val="24"/>
          <w:vertAlign w:val="superscript"/>
        </w:rPr>
        <w:t>th</w:t>
      </w:r>
      <w:r>
        <w:rPr>
          <w:b w:val="0"/>
          <w:bCs w:val="0"/>
          <w:sz w:val="24"/>
          <w:szCs w:val="24"/>
        </w:rPr>
        <w:t xml:space="preserve"> Circuit panel </w:t>
      </w:r>
      <w:r w:rsidRPr="00FA5F45">
        <w:rPr>
          <w:b w:val="0"/>
          <w:bCs w:val="0"/>
          <w:sz w:val="24"/>
          <w:szCs w:val="24"/>
        </w:rPr>
        <w:t>[</w:t>
      </w:r>
      <w:r>
        <w:rPr>
          <w:b w:val="0"/>
          <w:bCs w:val="0"/>
          <w:sz w:val="24"/>
          <w:szCs w:val="24"/>
        </w:rPr>
        <w:t>lead prosecutor in case is now 4</w:t>
      </w:r>
      <w:r w:rsidRPr="00FA5F45">
        <w:rPr>
          <w:b w:val="0"/>
          <w:bCs w:val="0"/>
          <w:sz w:val="24"/>
          <w:szCs w:val="24"/>
          <w:vertAlign w:val="superscript"/>
        </w:rPr>
        <w:t>th</w:t>
      </w:r>
      <w:r>
        <w:rPr>
          <w:b w:val="0"/>
          <w:bCs w:val="0"/>
          <w:sz w:val="24"/>
          <w:szCs w:val="24"/>
        </w:rPr>
        <w:t xml:space="preserve"> Circuit judge, so judges from three other Circuit heard the appeal: </w:t>
      </w:r>
      <w:r w:rsidRPr="00E65FCE">
        <w:rPr>
          <w:b w:val="0"/>
          <w:bCs w:val="0"/>
          <w:sz w:val="24"/>
          <w:szCs w:val="24"/>
        </w:rPr>
        <w:t>8th Circuit Judge Duane Benton, Sixth Circuit Judge Ronald Lee Gilman and Third Circuit Judge Kent Jordan</w:t>
      </w:r>
      <w:r w:rsidRPr="00FA5F45">
        <w:rPr>
          <w:b w:val="0"/>
          <w:bCs w:val="0"/>
          <w:sz w:val="24"/>
          <w:szCs w:val="24"/>
        </w:rPr>
        <w:t>]</w:t>
      </w:r>
      <w:r>
        <w:rPr>
          <w:b w:val="0"/>
          <w:bCs w:val="0"/>
          <w:sz w:val="24"/>
          <w:szCs w:val="24"/>
        </w:rPr>
        <w:t xml:space="preserve"> held 3 to 0 (Per Curiam 149-page decision; not signed by one judge) that his conviction and death sentence is affirmed. </w:t>
      </w:r>
      <w:r w:rsidRPr="00E42CB0">
        <w:rPr>
          <w:rStyle w:val="markedcontent"/>
          <w:b w:val="0"/>
          <w:bCs w:val="0"/>
          <w:sz w:val="24"/>
          <w:szCs w:val="24"/>
        </w:rPr>
        <w:t>Dr.</w:t>
      </w:r>
      <w:r>
        <w:rPr>
          <w:rStyle w:val="markedcontent"/>
          <w:b w:val="0"/>
          <w:bCs w:val="0"/>
          <w:sz w:val="24"/>
          <w:szCs w:val="24"/>
        </w:rPr>
        <w:t xml:space="preserve"> </w:t>
      </w:r>
      <w:r w:rsidRPr="00E42CB0">
        <w:rPr>
          <w:rStyle w:val="markedcontent"/>
          <w:b w:val="0"/>
          <w:bCs w:val="0"/>
          <w:sz w:val="24"/>
          <w:szCs w:val="24"/>
        </w:rPr>
        <w:t xml:space="preserve">Ballenger </w:t>
      </w:r>
      <w:r w:rsidRPr="00E42CB0">
        <w:rPr>
          <w:b w:val="0"/>
          <w:bCs w:val="0"/>
          <w:sz w:val="24"/>
          <w:szCs w:val="24"/>
        </w:rPr>
        <w:t xml:space="preserve">[Court appointed psychiatrist] </w:t>
      </w:r>
      <w:r w:rsidRPr="00E42CB0">
        <w:rPr>
          <w:rStyle w:val="markedcontent"/>
          <w:b w:val="0"/>
          <w:bCs w:val="0"/>
          <w:sz w:val="24"/>
          <w:szCs w:val="24"/>
        </w:rPr>
        <w:t xml:space="preserve">noted that Roof compared himself to a terrorist who successfully murdered people as a </w:t>
      </w:r>
      <w:r>
        <w:rPr>
          <w:rStyle w:val="markedcontent"/>
          <w:b w:val="0"/>
          <w:bCs w:val="0"/>
          <w:sz w:val="24"/>
          <w:szCs w:val="24"/>
        </w:rPr>
        <w:t>‘</w:t>
      </w:r>
      <w:r w:rsidRPr="00E42CB0">
        <w:rPr>
          <w:rStyle w:val="markedcontent"/>
          <w:b w:val="0"/>
          <w:bCs w:val="0"/>
          <w:sz w:val="24"/>
          <w:szCs w:val="24"/>
        </w:rPr>
        <w:t>purely political act.”</w:t>
      </w:r>
      <w:r>
        <w:rPr>
          <w:rStyle w:val="markedcontent"/>
          <w:b w:val="0"/>
          <w:bCs w:val="0"/>
          <w:sz w:val="24"/>
          <w:szCs w:val="24"/>
        </w:rPr>
        <w:t xml:space="preserve">  </w:t>
      </w:r>
      <w:r>
        <w:rPr>
          <w:b w:val="0"/>
          <w:bCs w:val="0"/>
          <w:sz w:val="24"/>
          <w:szCs w:val="24"/>
        </w:rPr>
        <w:t xml:space="preserve">The psychiatrist found that Roof was competent to stand trial [with full IQ of 125] even if he did have some level of autism.  Roof fired his court-appointed attorneys and represented himself at the trial and at the sentencing hearing. </w:t>
      </w:r>
      <w:r w:rsidR="0049457B">
        <w:rPr>
          <w:b w:val="0"/>
          <w:bCs w:val="0"/>
          <w:sz w:val="24"/>
          <w:szCs w:val="24"/>
        </w:rPr>
        <w:t xml:space="preserve">The Court held: </w:t>
      </w:r>
      <w:r w:rsidRPr="00A62433">
        <w:rPr>
          <w:rStyle w:val="markedcontent"/>
          <w:b w:val="0"/>
          <w:bCs w:val="0"/>
          <w:sz w:val="24"/>
          <w:szCs w:val="24"/>
        </w:rPr>
        <w:t xml:space="preserve">“No cold record or careful parsing of statutes and precedents can capture the full horror of what Roof did. His crimes qualify him for the harshest penalty that a just society can impose. We have reached that conclusion not as a product of emotion but through a thorough analytical process, which we have endeavored to detail here. In this, we have followed the example of the trial judge, who managed this difficult case with skill and compassion for all concerned, including Roof himself. For the reasons given, we will affirm.”  </w:t>
      </w:r>
      <w:hyperlink r:id="rId752" w:history="1">
        <w:r w:rsidRPr="00A62433">
          <w:rPr>
            <w:rStyle w:val="Hyperlink"/>
            <w:b w:val="0"/>
            <w:bCs w:val="0"/>
            <w:sz w:val="24"/>
            <w:szCs w:val="24"/>
          </w:rPr>
          <w:t>https://www.ca4.uscourts.gov/opinions/173.P.pdf</w:t>
        </w:r>
      </w:hyperlink>
      <w:r>
        <w:rPr>
          <w:rStyle w:val="markedcontent"/>
          <w:sz w:val="24"/>
          <w:szCs w:val="24"/>
        </w:rPr>
        <w:t xml:space="preserve"> </w:t>
      </w:r>
    </w:p>
    <w:p w14:paraId="38561F96" w14:textId="77777777" w:rsidR="00382F02" w:rsidRDefault="00382F02" w:rsidP="00382F02">
      <w:pPr>
        <w:pStyle w:val="Heading1"/>
        <w:rPr>
          <w:rStyle w:val="markedcontent"/>
          <w:sz w:val="24"/>
          <w:szCs w:val="24"/>
        </w:rPr>
      </w:pPr>
      <w:r w:rsidRPr="001D2B6C">
        <w:rPr>
          <w:rStyle w:val="markedcontent"/>
          <w:sz w:val="24"/>
          <w:szCs w:val="24"/>
        </w:rPr>
        <w:t>Legal Lesson Learned:</w:t>
      </w:r>
      <w:r>
        <w:rPr>
          <w:rStyle w:val="markedcontent"/>
          <w:sz w:val="24"/>
          <w:szCs w:val="24"/>
        </w:rPr>
        <w:t xml:space="preserve"> The defendant is first person in U.S. ever sentenced to death by a federal jury for a federal hate crime. </w:t>
      </w:r>
    </w:p>
    <w:p w14:paraId="5B0682F3" w14:textId="77777777" w:rsidR="00382F02" w:rsidRDefault="00382F02" w:rsidP="00382F02">
      <w:pPr>
        <w:ind w:left="720"/>
        <w:rPr>
          <w:rFonts w:ascii="Times New Roman" w:hAnsi="Times New Roman"/>
          <w:sz w:val="24"/>
          <w:szCs w:val="24"/>
        </w:rPr>
      </w:pPr>
      <w:r w:rsidRPr="000B0403">
        <w:rPr>
          <w:rStyle w:val="markedcontent"/>
          <w:rFonts w:ascii="Times New Roman" w:hAnsi="Times New Roman"/>
          <w:sz w:val="24"/>
          <w:szCs w:val="24"/>
        </w:rPr>
        <w:t xml:space="preserve">Note:  </w:t>
      </w:r>
      <w:r w:rsidRPr="000B0403">
        <w:rPr>
          <w:rFonts w:ascii="Times New Roman" w:hAnsi="Times New Roman"/>
          <w:sz w:val="24"/>
          <w:szCs w:val="24"/>
        </w:rPr>
        <w:t xml:space="preserve">Watch his videotaped confession to FBI agents (6/18/2015): </w:t>
      </w:r>
      <w:hyperlink r:id="rId753" w:history="1">
        <w:r w:rsidRPr="007529FC">
          <w:rPr>
            <w:rStyle w:val="Hyperlink"/>
            <w:sz w:val="24"/>
            <w:szCs w:val="24"/>
          </w:rPr>
          <w:t>https://www.thestate.com/news/local/crime/article120075733.html</w:t>
        </w:r>
      </w:hyperlink>
    </w:p>
    <w:p w14:paraId="23DA8CBB" w14:textId="77777777" w:rsidR="00382F02" w:rsidRPr="00466756" w:rsidRDefault="00382F02" w:rsidP="00382F02">
      <w:pPr>
        <w:pStyle w:val="Heading1"/>
        <w:ind w:left="720"/>
        <w:rPr>
          <w:b w:val="0"/>
          <w:bCs w:val="0"/>
          <w:sz w:val="24"/>
          <w:szCs w:val="24"/>
        </w:rPr>
      </w:pPr>
      <w:r w:rsidRPr="00466756">
        <w:rPr>
          <w:b w:val="0"/>
          <w:bCs w:val="0"/>
          <w:sz w:val="24"/>
          <w:szCs w:val="24"/>
        </w:rPr>
        <w:t xml:space="preserve">See Aug. 26, </w:t>
      </w:r>
      <w:proofErr w:type="gramStart"/>
      <w:r w:rsidRPr="00466756">
        <w:rPr>
          <w:b w:val="0"/>
          <w:bCs w:val="0"/>
          <w:sz w:val="24"/>
          <w:szCs w:val="24"/>
        </w:rPr>
        <w:t>2021</w:t>
      </w:r>
      <w:proofErr w:type="gramEnd"/>
      <w:r w:rsidRPr="00466756">
        <w:rPr>
          <w:b w:val="0"/>
          <w:bCs w:val="0"/>
          <w:sz w:val="24"/>
          <w:szCs w:val="24"/>
        </w:rPr>
        <w:t xml:space="preserve"> article on the decision: “Charleston killer Dylann Roof’s death penalty upheld by federal appeals court.” </w:t>
      </w:r>
      <w:hyperlink r:id="rId754" w:history="1">
        <w:r w:rsidRPr="00466756">
          <w:rPr>
            <w:rStyle w:val="Hyperlink"/>
            <w:sz w:val="24"/>
            <w:szCs w:val="24"/>
          </w:rPr>
          <w:t>https://www.thestate.com/news/local/crime/article253733108.html</w:t>
        </w:r>
      </w:hyperlink>
      <w:r w:rsidRPr="00466756">
        <w:rPr>
          <w:b w:val="0"/>
          <w:bCs w:val="0"/>
          <w:sz w:val="24"/>
          <w:szCs w:val="24"/>
        </w:rPr>
        <w:t xml:space="preserve"> </w:t>
      </w:r>
    </w:p>
    <w:p w14:paraId="12559D5B" w14:textId="77777777" w:rsidR="00382F02" w:rsidRDefault="00382F02" w:rsidP="00382F02">
      <w:pPr>
        <w:ind w:left="720"/>
        <w:rPr>
          <w:rStyle w:val="markedcontent"/>
          <w:rFonts w:ascii="Times New Roman" w:hAnsi="Times New Roman"/>
          <w:sz w:val="24"/>
          <w:szCs w:val="24"/>
        </w:rPr>
      </w:pPr>
      <w:r>
        <w:rPr>
          <w:rFonts w:ascii="Arial" w:hAnsi="Arial" w:cs="Arial"/>
          <w:color w:val="000000"/>
          <w:sz w:val="20"/>
          <w:szCs w:val="20"/>
        </w:rPr>
        <w:br/>
      </w:r>
      <w:r>
        <w:rPr>
          <w:rStyle w:val="markedcontent"/>
          <w:rFonts w:ascii="Times New Roman" w:hAnsi="Times New Roman"/>
          <w:sz w:val="24"/>
          <w:szCs w:val="24"/>
        </w:rPr>
        <w:t xml:space="preserve">Federal Hate Crime: </w:t>
      </w:r>
      <w:r w:rsidRPr="000B0403">
        <w:rPr>
          <w:rStyle w:val="markedcontent"/>
          <w:rFonts w:ascii="Times New Roman" w:hAnsi="Times New Roman"/>
          <w:sz w:val="24"/>
          <w:szCs w:val="24"/>
        </w:rPr>
        <w:t>18 U.S.C. § 249(a)(1) provides:</w:t>
      </w:r>
    </w:p>
    <w:p w14:paraId="7982611B" w14:textId="77777777" w:rsidR="00382F02" w:rsidRPr="000B0403" w:rsidRDefault="00382F02" w:rsidP="00382F02">
      <w:pPr>
        <w:ind w:left="720" w:firstLine="60"/>
        <w:rPr>
          <w:rFonts w:ascii="Times New Roman" w:hAnsi="Times New Roman"/>
          <w:sz w:val="24"/>
          <w:szCs w:val="24"/>
        </w:rPr>
      </w:pPr>
      <w:r w:rsidRPr="000B0403">
        <w:rPr>
          <w:rStyle w:val="num"/>
          <w:rFonts w:ascii="Times New Roman" w:hAnsi="Times New Roman"/>
          <w:sz w:val="24"/>
          <w:szCs w:val="24"/>
        </w:rPr>
        <w:t>(1)</w:t>
      </w:r>
      <w:r w:rsidRPr="000B0403">
        <w:rPr>
          <w:rStyle w:val="heading"/>
          <w:rFonts w:ascii="Times New Roman" w:hAnsi="Times New Roman"/>
          <w:sz w:val="24"/>
          <w:szCs w:val="24"/>
        </w:rPr>
        <w:t xml:space="preserve"> Offenses involving actual or perceived race, color, religion, or national origin.—</w:t>
      </w:r>
      <w:r w:rsidRPr="000B0403">
        <w:rPr>
          <w:rStyle w:val="chapeau"/>
          <w:rFonts w:ascii="Times New Roman" w:hAnsi="Times New Roman"/>
          <w:sz w:val="24"/>
          <w:szCs w:val="24"/>
        </w:rPr>
        <w:t xml:space="preserve">Whoever, whether or not acting under color of law, willfully causes </w:t>
      </w:r>
      <w:hyperlink r:id="rId755" w:history="1">
        <w:r w:rsidRPr="000B0403">
          <w:rPr>
            <w:rStyle w:val="Hyperlink"/>
            <w:sz w:val="24"/>
            <w:szCs w:val="24"/>
          </w:rPr>
          <w:t>bodily injury</w:t>
        </w:r>
      </w:hyperlink>
      <w:r w:rsidRPr="000B0403">
        <w:rPr>
          <w:rStyle w:val="chapeau"/>
          <w:rFonts w:ascii="Times New Roman" w:hAnsi="Times New Roman"/>
          <w:sz w:val="24"/>
          <w:szCs w:val="24"/>
        </w:rPr>
        <w:t xml:space="preserve"> to any person or, through the use of fire, a</w:t>
      </w:r>
      <w:hyperlink r:id="rId756" w:history="1">
        <w:r w:rsidRPr="000B0403">
          <w:rPr>
            <w:rStyle w:val="Hyperlink"/>
            <w:sz w:val="24"/>
            <w:szCs w:val="24"/>
          </w:rPr>
          <w:t xml:space="preserve"> firearm,</w:t>
        </w:r>
      </w:hyperlink>
      <w:r w:rsidRPr="000B0403">
        <w:rPr>
          <w:rStyle w:val="chapeau"/>
          <w:rFonts w:ascii="Times New Roman" w:hAnsi="Times New Roman"/>
          <w:sz w:val="24"/>
          <w:szCs w:val="24"/>
        </w:rPr>
        <w:t xml:space="preserve"> a dangerous weapon, or an </w:t>
      </w:r>
      <w:hyperlink r:id="rId757" w:history="1">
        <w:r w:rsidRPr="000B0403">
          <w:rPr>
            <w:rStyle w:val="Hyperlink"/>
            <w:sz w:val="24"/>
            <w:szCs w:val="24"/>
          </w:rPr>
          <w:t>explosive or incendiary device</w:t>
        </w:r>
      </w:hyperlink>
      <w:r w:rsidRPr="000B0403">
        <w:rPr>
          <w:rStyle w:val="chapeau"/>
          <w:rFonts w:ascii="Times New Roman" w:hAnsi="Times New Roman"/>
          <w:sz w:val="24"/>
          <w:szCs w:val="24"/>
        </w:rPr>
        <w:t>, attempts to cause</w:t>
      </w:r>
      <w:hyperlink r:id="rId758" w:history="1">
        <w:r w:rsidRPr="000B0403">
          <w:rPr>
            <w:rStyle w:val="Hyperlink"/>
            <w:sz w:val="24"/>
            <w:szCs w:val="24"/>
          </w:rPr>
          <w:t xml:space="preserve"> bodily injury </w:t>
        </w:r>
      </w:hyperlink>
      <w:r w:rsidRPr="000B0403">
        <w:rPr>
          <w:rStyle w:val="chapeau"/>
          <w:rFonts w:ascii="Times New Roman" w:hAnsi="Times New Roman"/>
          <w:sz w:val="24"/>
          <w:szCs w:val="24"/>
        </w:rPr>
        <w:t>to any person, because of the actual or perceived race, color, religion, or national origin of any person—</w:t>
      </w:r>
      <w:r w:rsidRPr="000B0403">
        <w:rPr>
          <w:rFonts w:ascii="Times New Roman" w:hAnsi="Times New Roman"/>
          <w:sz w:val="24"/>
          <w:szCs w:val="24"/>
        </w:rPr>
        <w:t xml:space="preserve"> </w:t>
      </w:r>
    </w:p>
    <w:p w14:paraId="19D439BA" w14:textId="77777777" w:rsidR="00382F02" w:rsidRPr="000B0403" w:rsidRDefault="00382F02" w:rsidP="00382F02">
      <w:pPr>
        <w:ind w:firstLine="720"/>
        <w:rPr>
          <w:rFonts w:ascii="Times New Roman" w:hAnsi="Times New Roman"/>
          <w:sz w:val="24"/>
          <w:szCs w:val="24"/>
        </w:rPr>
      </w:pPr>
      <w:bookmarkStart w:id="136" w:name="a_1_A"/>
      <w:bookmarkEnd w:id="136"/>
      <w:r w:rsidRPr="000B0403">
        <w:rPr>
          <w:rStyle w:val="num"/>
          <w:rFonts w:ascii="Times New Roman" w:hAnsi="Times New Roman"/>
          <w:sz w:val="24"/>
          <w:szCs w:val="24"/>
        </w:rPr>
        <w:t>(A)</w:t>
      </w:r>
      <w:r w:rsidRPr="000B0403">
        <w:rPr>
          <w:rFonts w:ascii="Times New Roman" w:hAnsi="Times New Roman"/>
          <w:sz w:val="24"/>
          <w:szCs w:val="24"/>
        </w:rPr>
        <w:t xml:space="preserve"> </w:t>
      </w:r>
    </w:p>
    <w:p w14:paraId="7DB76437" w14:textId="77777777" w:rsidR="00382F02" w:rsidRPr="000B0403" w:rsidRDefault="00382F02" w:rsidP="00382F02">
      <w:pPr>
        <w:ind w:left="720"/>
        <w:rPr>
          <w:rFonts w:ascii="Times New Roman" w:hAnsi="Times New Roman"/>
          <w:sz w:val="24"/>
          <w:szCs w:val="24"/>
        </w:rPr>
      </w:pPr>
      <w:r w:rsidRPr="000B0403">
        <w:rPr>
          <w:rFonts w:ascii="Times New Roman" w:hAnsi="Times New Roman"/>
          <w:sz w:val="24"/>
          <w:szCs w:val="24"/>
        </w:rPr>
        <w:t>shall be imprisoned not more than 10 years, fined in accordance with this title, or both; and</w:t>
      </w:r>
    </w:p>
    <w:p w14:paraId="7F8C9567" w14:textId="77777777" w:rsidR="00382F02" w:rsidRPr="000B0403" w:rsidRDefault="00382F02" w:rsidP="00382F02">
      <w:pPr>
        <w:ind w:left="720"/>
        <w:rPr>
          <w:rFonts w:ascii="Times New Roman" w:hAnsi="Times New Roman"/>
          <w:sz w:val="24"/>
          <w:szCs w:val="24"/>
        </w:rPr>
      </w:pPr>
      <w:bookmarkStart w:id="137" w:name="a_1_B"/>
      <w:bookmarkEnd w:id="137"/>
      <w:r w:rsidRPr="000B0403">
        <w:rPr>
          <w:rStyle w:val="num"/>
          <w:rFonts w:ascii="Times New Roman" w:hAnsi="Times New Roman"/>
          <w:sz w:val="24"/>
          <w:szCs w:val="24"/>
        </w:rPr>
        <w:t>(B)</w:t>
      </w:r>
      <w:r w:rsidRPr="000B0403">
        <w:rPr>
          <w:rStyle w:val="chapeau"/>
          <w:rFonts w:ascii="Times New Roman" w:hAnsi="Times New Roman"/>
          <w:sz w:val="24"/>
          <w:szCs w:val="24"/>
        </w:rPr>
        <w:t xml:space="preserve"> shall be imprisoned for any term of </w:t>
      </w:r>
      <w:proofErr w:type="gramStart"/>
      <w:r w:rsidRPr="000B0403">
        <w:rPr>
          <w:rStyle w:val="chapeau"/>
          <w:rFonts w:ascii="Times New Roman" w:hAnsi="Times New Roman"/>
          <w:sz w:val="24"/>
          <w:szCs w:val="24"/>
        </w:rPr>
        <w:t>years</w:t>
      </w:r>
      <w:proofErr w:type="gramEnd"/>
      <w:r w:rsidRPr="000B0403">
        <w:rPr>
          <w:rStyle w:val="chapeau"/>
          <w:rFonts w:ascii="Times New Roman" w:hAnsi="Times New Roman"/>
          <w:sz w:val="24"/>
          <w:szCs w:val="24"/>
        </w:rPr>
        <w:t xml:space="preserve"> or for life, fined in accordance with this title, or both, if—</w:t>
      </w:r>
      <w:r w:rsidRPr="000B0403">
        <w:rPr>
          <w:rFonts w:ascii="Times New Roman" w:hAnsi="Times New Roman"/>
          <w:sz w:val="24"/>
          <w:szCs w:val="24"/>
        </w:rPr>
        <w:t xml:space="preserve"> </w:t>
      </w:r>
    </w:p>
    <w:p w14:paraId="4F4C8156" w14:textId="77777777" w:rsidR="00382F02" w:rsidRPr="000B0403" w:rsidRDefault="00382F02" w:rsidP="00382F02">
      <w:pPr>
        <w:ind w:firstLine="720"/>
        <w:rPr>
          <w:rFonts w:ascii="Times New Roman" w:hAnsi="Times New Roman"/>
          <w:sz w:val="24"/>
          <w:szCs w:val="24"/>
        </w:rPr>
      </w:pPr>
      <w:bookmarkStart w:id="138" w:name="a_1_B_i"/>
      <w:bookmarkEnd w:id="138"/>
      <w:r w:rsidRPr="000B0403">
        <w:rPr>
          <w:rStyle w:val="num"/>
          <w:rFonts w:ascii="Times New Roman" w:hAnsi="Times New Roman"/>
          <w:sz w:val="24"/>
          <w:szCs w:val="24"/>
        </w:rPr>
        <w:t>(</w:t>
      </w:r>
      <w:proofErr w:type="spellStart"/>
      <w:r w:rsidRPr="000B0403">
        <w:rPr>
          <w:rStyle w:val="num"/>
          <w:rFonts w:ascii="Times New Roman" w:hAnsi="Times New Roman"/>
          <w:sz w:val="24"/>
          <w:szCs w:val="24"/>
        </w:rPr>
        <w:t>i</w:t>
      </w:r>
      <w:proofErr w:type="spellEnd"/>
      <w:r w:rsidRPr="000B0403">
        <w:rPr>
          <w:rStyle w:val="num"/>
          <w:rFonts w:ascii="Times New Roman" w:hAnsi="Times New Roman"/>
          <w:sz w:val="24"/>
          <w:szCs w:val="24"/>
        </w:rPr>
        <w:t>)</w:t>
      </w:r>
      <w:r w:rsidRPr="000B0403">
        <w:rPr>
          <w:rFonts w:ascii="Times New Roman" w:hAnsi="Times New Roman"/>
          <w:sz w:val="24"/>
          <w:szCs w:val="24"/>
        </w:rPr>
        <w:t xml:space="preserve"> </w:t>
      </w:r>
    </w:p>
    <w:p w14:paraId="450A8FE4" w14:textId="77777777" w:rsidR="00382F02" w:rsidRPr="000B0403" w:rsidRDefault="00382F02" w:rsidP="00382F02">
      <w:pPr>
        <w:ind w:firstLine="720"/>
        <w:rPr>
          <w:rFonts w:ascii="Times New Roman" w:hAnsi="Times New Roman"/>
          <w:sz w:val="24"/>
          <w:szCs w:val="24"/>
        </w:rPr>
      </w:pPr>
      <w:r w:rsidRPr="000B0403">
        <w:rPr>
          <w:rFonts w:ascii="Times New Roman" w:hAnsi="Times New Roman"/>
          <w:sz w:val="24"/>
          <w:szCs w:val="24"/>
        </w:rPr>
        <w:t>death results from the offense; or</w:t>
      </w:r>
    </w:p>
    <w:p w14:paraId="413EFAE4" w14:textId="77777777" w:rsidR="00382F02" w:rsidRPr="000B0403" w:rsidRDefault="00382F02" w:rsidP="00382F02">
      <w:pPr>
        <w:ind w:firstLine="720"/>
        <w:rPr>
          <w:rFonts w:ascii="Times New Roman" w:hAnsi="Times New Roman"/>
          <w:sz w:val="24"/>
          <w:szCs w:val="24"/>
        </w:rPr>
      </w:pPr>
      <w:bookmarkStart w:id="139" w:name="a_1_B_ii"/>
      <w:bookmarkEnd w:id="139"/>
      <w:r w:rsidRPr="000B0403">
        <w:rPr>
          <w:rStyle w:val="num"/>
          <w:rFonts w:ascii="Times New Roman" w:hAnsi="Times New Roman"/>
          <w:sz w:val="24"/>
          <w:szCs w:val="24"/>
        </w:rPr>
        <w:t>(ii)</w:t>
      </w:r>
      <w:r w:rsidRPr="000B0403">
        <w:rPr>
          <w:rFonts w:ascii="Times New Roman" w:hAnsi="Times New Roman"/>
          <w:sz w:val="24"/>
          <w:szCs w:val="24"/>
        </w:rPr>
        <w:t xml:space="preserve"> </w:t>
      </w:r>
    </w:p>
    <w:p w14:paraId="282BC73C" w14:textId="77777777" w:rsidR="00382F02" w:rsidRPr="000B0403" w:rsidRDefault="00382F02" w:rsidP="00382F02">
      <w:pPr>
        <w:ind w:left="720"/>
        <w:rPr>
          <w:rFonts w:ascii="Times New Roman" w:hAnsi="Times New Roman"/>
          <w:sz w:val="24"/>
          <w:szCs w:val="24"/>
        </w:rPr>
      </w:pPr>
      <w:r w:rsidRPr="000B0403">
        <w:rPr>
          <w:rFonts w:ascii="Times New Roman" w:hAnsi="Times New Roman"/>
          <w:sz w:val="24"/>
          <w:szCs w:val="24"/>
        </w:rPr>
        <w:lastRenderedPageBreak/>
        <w:t>the offense includes kidnapping or an attempt to kidnap, aggravated sexual abuse or an attempt to commit aggravated sexual abuse, or an attempt to kill.</w:t>
      </w:r>
      <w:r>
        <w:rPr>
          <w:rFonts w:ascii="Times New Roman" w:hAnsi="Times New Roman"/>
          <w:sz w:val="24"/>
          <w:szCs w:val="24"/>
        </w:rPr>
        <w:t xml:space="preserve"> </w:t>
      </w:r>
      <w:hyperlink r:id="rId759" w:history="1">
        <w:r w:rsidRPr="007529FC">
          <w:rPr>
            <w:rStyle w:val="Hyperlink"/>
            <w:sz w:val="24"/>
            <w:szCs w:val="24"/>
          </w:rPr>
          <w:t>https://www.law.cornell.edu/uscode/text/18/249</w:t>
        </w:r>
      </w:hyperlink>
      <w:r>
        <w:rPr>
          <w:rFonts w:ascii="Times New Roman" w:hAnsi="Times New Roman"/>
          <w:sz w:val="24"/>
          <w:szCs w:val="24"/>
        </w:rPr>
        <w:t xml:space="preserve"> </w:t>
      </w:r>
    </w:p>
    <w:p w14:paraId="2174427A" w14:textId="77777777" w:rsidR="00382F02" w:rsidRDefault="00382F02" w:rsidP="00F326E5">
      <w:pPr>
        <w:pStyle w:val="NoSpacing"/>
        <w:rPr>
          <w:rFonts w:ascii="Arial Black" w:hAnsi="Arial Black"/>
          <w:sz w:val="28"/>
          <w:szCs w:val="28"/>
        </w:rPr>
      </w:pPr>
    </w:p>
    <w:p w14:paraId="690EBDFB" w14:textId="77777777" w:rsidR="00382F02" w:rsidRDefault="00382F02" w:rsidP="00F326E5">
      <w:pPr>
        <w:pStyle w:val="NoSpacing"/>
        <w:rPr>
          <w:rFonts w:ascii="Arial Black" w:hAnsi="Arial Black"/>
          <w:sz w:val="28"/>
          <w:szCs w:val="28"/>
        </w:rPr>
      </w:pPr>
    </w:p>
    <w:p w14:paraId="72E98395" w14:textId="04270C47" w:rsidR="005217D5" w:rsidRDefault="005217D5" w:rsidP="00F326E5">
      <w:pPr>
        <w:pStyle w:val="NoSpacing"/>
        <w:rPr>
          <w:rFonts w:ascii="Arial Black" w:hAnsi="Arial Black"/>
          <w:sz w:val="28"/>
          <w:szCs w:val="28"/>
        </w:rPr>
      </w:pPr>
      <w:r>
        <w:rPr>
          <w:rFonts w:ascii="Arial Black" w:hAnsi="Arial Black"/>
          <w:sz w:val="28"/>
          <w:szCs w:val="28"/>
        </w:rPr>
        <w:t>3-36</w:t>
      </w:r>
    </w:p>
    <w:p w14:paraId="2B61566C" w14:textId="503D3491" w:rsidR="005217D5" w:rsidRDefault="005217D5" w:rsidP="00F326E5">
      <w:pPr>
        <w:pStyle w:val="NoSpacing"/>
        <w:rPr>
          <w:rFonts w:ascii="Arial Black" w:hAnsi="Arial Black"/>
          <w:sz w:val="28"/>
          <w:szCs w:val="28"/>
        </w:rPr>
      </w:pPr>
    </w:p>
    <w:p w14:paraId="13A736CD" w14:textId="77777777" w:rsidR="005217D5" w:rsidRPr="00C04DE5" w:rsidRDefault="005217D5" w:rsidP="005217D5">
      <w:pPr>
        <w:rPr>
          <w:rStyle w:val="markedcontent"/>
          <w:rFonts w:ascii="Arial Black" w:hAnsi="Arial Black"/>
          <w:sz w:val="28"/>
          <w:szCs w:val="28"/>
        </w:rPr>
      </w:pPr>
      <w:r>
        <w:rPr>
          <w:rStyle w:val="markedcontent"/>
          <w:rFonts w:ascii="Arial Black" w:hAnsi="Arial Black"/>
          <w:sz w:val="28"/>
          <w:szCs w:val="28"/>
        </w:rPr>
        <w:t>VA: GUN CONTROL - 4</w:t>
      </w:r>
      <w:r w:rsidRPr="002E2552">
        <w:rPr>
          <w:rStyle w:val="markedcontent"/>
          <w:rFonts w:ascii="Arial Black" w:hAnsi="Arial Black"/>
          <w:sz w:val="28"/>
          <w:szCs w:val="28"/>
          <w:vertAlign w:val="superscript"/>
        </w:rPr>
        <w:t>th</w:t>
      </w:r>
      <w:r>
        <w:rPr>
          <w:rStyle w:val="markedcontent"/>
          <w:rFonts w:ascii="Arial Black" w:hAnsi="Arial Black"/>
          <w:sz w:val="28"/>
          <w:szCs w:val="28"/>
        </w:rPr>
        <w:t xml:space="preserve"> CIRCUIT - 18-20 YEAR OLDS HAVE RIGHT TO BUY HANDGUNS FROM LICENSED GUN DEALERS</w:t>
      </w:r>
    </w:p>
    <w:p w14:paraId="10EE14E4" w14:textId="77777777" w:rsidR="005217D5" w:rsidRPr="007921A4" w:rsidRDefault="005217D5" w:rsidP="005217D5">
      <w:pPr>
        <w:spacing w:before="100" w:beforeAutospacing="1" w:after="100" w:afterAutospacing="1" w:line="240" w:lineRule="auto"/>
        <w:rPr>
          <w:rStyle w:val="markedcontent"/>
          <w:rFonts w:ascii="Times New Roman" w:hAnsi="Times New Roman"/>
          <w:sz w:val="24"/>
          <w:szCs w:val="24"/>
        </w:rPr>
      </w:pPr>
      <w:r>
        <w:rPr>
          <w:rStyle w:val="markedcontent"/>
          <w:rFonts w:ascii="Times New Roman" w:hAnsi="Times New Roman"/>
          <w:sz w:val="24"/>
          <w:szCs w:val="24"/>
        </w:rPr>
        <w:t xml:space="preserve">On July 15, 2021, in </w:t>
      </w:r>
      <w:r w:rsidRPr="00FD0DBE">
        <w:rPr>
          <w:rStyle w:val="markedcontent"/>
          <w:rFonts w:ascii="Times New Roman" w:hAnsi="Times New Roman"/>
          <w:sz w:val="24"/>
          <w:szCs w:val="24"/>
          <w:u w:val="single"/>
        </w:rPr>
        <w:t>Tanner Hirschfeld; Natalia Marshall v. Bureau of Alcohol, Firearms, Tobacco &amp; Explosives</w:t>
      </w:r>
      <w:r>
        <w:rPr>
          <w:rStyle w:val="markedcontent"/>
          <w:rFonts w:ascii="Times New Roman" w:hAnsi="Times New Roman"/>
          <w:sz w:val="24"/>
          <w:szCs w:val="24"/>
        </w:rPr>
        <w:t>, the U.S. Court of Appeals for the 4</w:t>
      </w:r>
      <w:r w:rsidRPr="00FD0DBE">
        <w:rPr>
          <w:rStyle w:val="markedcontent"/>
          <w:rFonts w:ascii="Times New Roman" w:hAnsi="Times New Roman"/>
          <w:sz w:val="24"/>
          <w:szCs w:val="24"/>
          <w:vertAlign w:val="superscript"/>
        </w:rPr>
        <w:t>th</w:t>
      </w:r>
      <w:r>
        <w:rPr>
          <w:rStyle w:val="markedcontent"/>
          <w:rFonts w:ascii="Times New Roman" w:hAnsi="Times New Roman"/>
          <w:sz w:val="24"/>
          <w:szCs w:val="24"/>
        </w:rPr>
        <w:t xml:space="preserve"> Circuit (Richmond, VA) held (2 to 1) that Congress in passing the </w:t>
      </w:r>
      <w:r w:rsidRPr="00FD0DBE">
        <w:rPr>
          <w:rStyle w:val="markedcontent"/>
          <w:rFonts w:ascii="Times New Roman" w:hAnsi="Times New Roman"/>
          <w:sz w:val="24"/>
          <w:szCs w:val="24"/>
        </w:rPr>
        <w:t>Omnibus Crime Control and Safe Streets Act of 1968</w:t>
      </w:r>
      <w:r>
        <w:rPr>
          <w:rStyle w:val="markedcontent"/>
          <w:rFonts w:ascii="Times New Roman" w:hAnsi="Times New Roman"/>
          <w:sz w:val="24"/>
          <w:szCs w:val="24"/>
        </w:rPr>
        <w:t xml:space="preserve"> violated the 2</w:t>
      </w:r>
      <w:r w:rsidRPr="002A4D97">
        <w:rPr>
          <w:rStyle w:val="markedcontent"/>
          <w:rFonts w:ascii="Times New Roman" w:hAnsi="Times New Roman"/>
          <w:sz w:val="24"/>
          <w:szCs w:val="24"/>
          <w:vertAlign w:val="superscript"/>
        </w:rPr>
        <w:t>nd</w:t>
      </w:r>
      <w:r>
        <w:rPr>
          <w:rStyle w:val="markedcontent"/>
          <w:rFonts w:ascii="Times New Roman" w:hAnsi="Times New Roman"/>
          <w:sz w:val="24"/>
          <w:szCs w:val="24"/>
        </w:rPr>
        <w:t xml:space="preserve"> Amendment rights of 18-20 year olds to purchase handguns or ammunition from federally licensed gun dealers.  The Court reviewed the history of the Bill of Rights; in 1791 when the first 10 Amendments were ratified by </w:t>
      </w:r>
      <w:proofErr w:type="gramStart"/>
      <w:r>
        <w:rPr>
          <w:rStyle w:val="markedcontent"/>
          <w:rFonts w:ascii="Times New Roman" w:hAnsi="Times New Roman"/>
          <w:sz w:val="24"/>
          <w:szCs w:val="24"/>
        </w:rPr>
        <w:t>states,</w:t>
      </w:r>
      <w:proofErr w:type="gramEnd"/>
      <w:r>
        <w:rPr>
          <w:rStyle w:val="markedcontent"/>
          <w:rFonts w:ascii="Times New Roman" w:hAnsi="Times New Roman"/>
          <w:sz w:val="24"/>
          <w:szCs w:val="24"/>
        </w:rPr>
        <w:t xml:space="preserve"> all 14 states </w:t>
      </w:r>
      <w:r w:rsidRPr="00595382">
        <w:rPr>
          <w:rStyle w:val="markedcontent"/>
          <w:rFonts w:ascii="Times New Roman" w:hAnsi="Times New Roman"/>
          <w:sz w:val="24"/>
          <w:szCs w:val="24"/>
        </w:rPr>
        <w:t xml:space="preserve">uniformly required </w:t>
      </w:r>
      <w:r>
        <w:rPr>
          <w:rStyle w:val="markedcontent"/>
          <w:rFonts w:ascii="Times New Roman" w:hAnsi="Times New Roman"/>
          <w:sz w:val="24"/>
          <w:szCs w:val="24"/>
        </w:rPr>
        <w:t>all males 1</w:t>
      </w:r>
      <w:r w:rsidRPr="00595382">
        <w:rPr>
          <w:rStyle w:val="markedcontent"/>
          <w:rFonts w:ascii="Times New Roman" w:hAnsi="Times New Roman"/>
          <w:sz w:val="24"/>
          <w:szCs w:val="24"/>
        </w:rPr>
        <w:t xml:space="preserve">8 and older to join the </w:t>
      </w:r>
      <w:r>
        <w:rPr>
          <w:rStyle w:val="markedcontent"/>
          <w:rFonts w:ascii="Times New Roman" w:hAnsi="Times New Roman"/>
          <w:sz w:val="24"/>
          <w:szCs w:val="24"/>
        </w:rPr>
        <w:t xml:space="preserve">state </w:t>
      </w:r>
      <w:r w:rsidRPr="00595382">
        <w:rPr>
          <w:rStyle w:val="markedcontent"/>
          <w:rFonts w:ascii="Times New Roman" w:hAnsi="Times New Roman"/>
          <w:sz w:val="24"/>
          <w:szCs w:val="24"/>
        </w:rPr>
        <w:t xml:space="preserve">militia </w:t>
      </w:r>
      <w:r>
        <w:rPr>
          <w:rStyle w:val="markedcontent"/>
          <w:rFonts w:ascii="Times New Roman" w:hAnsi="Times New Roman"/>
          <w:sz w:val="24"/>
          <w:szCs w:val="24"/>
        </w:rPr>
        <w:t xml:space="preserve">and to have </w:t>
      </w:r>
      <w:r w:rsidRPr="00595382">
        <w:rPr>
          <w:rStyle w:val="markedcontent"/>
          <w:rFonts w:ascii="Times New Roman" w:hAnsi="Times New Roman"/>
          <w:sz w:val="24"/>
          <w:szCs w:val="24"/>
        </w:rPr>
        <w:t xml:space="preserve">their own </w:t>
      </w:r>
      <w:r>
        <w:rPr>
          <w:rStyle w:val="markedcontent"/>
          <w:rFonts w:ascii="Times New Roman" w:hAnsi="Times New Roman"/>
          <w:sz w:val="24"/>
          <w:szCs w:val="24"/>
        </w:rPr>
        <w:t>fire</w:t>
      </w:r>
      <w:r w:rsidRPr="00595382">
        <w:rPr>
          <w:rStyle w:val="markedcontent"/>
          <w:rFonts w:ascii="Times New Roman" w:hAnsi="Times New Roman"/>
          <w:sz w:val="24"/>
          <w:szCs w:val="24"/>
        </w:rPr>
        <w:t>arms.</w:t>
      </w:r>
      <w:r>
        <w:rPr>
          <w:rStyle w:val="markedcontent"/>
          <w:rFonts w:ascii="Times New Roman" w:hAnsi="Times New Roman"/>
          <w:sz w:val="24"/>
          <w:szCs w:val="24"/>
        </w:rPr>
        <w:t xml:space="preserve"> Recognizing violent crime by youth is an important societal issue, </w:t>
      </w:r>
      <w:r>
        <w:rPr>
          <w:rFonts w:ascii="Times New Roman" w:hAnsi="Times New Roman"/>
          <w:sz w:val="24"/>
          <w:szCs w:val="24"/>
        </w:rPr>
        <w:t xml:space="preserve">less than </w:t>
      </w:r>
      <w:r w:rsidRPr="007921A4">
        <w:rPr>
          <w:rFonts w:ascii="Times New Roman" w:hAnsi="Times New Roman"/>
          <w:sz w:val="24"/>
          <w:szCs w:val="24"/>
        </w:rPr>
        <w:t xml:space="preserve">1% </w:t>
      </w:r>
      <w:r>
        <w:rPr>
          <w:rFonts w:ascii="Times New Roman" w:hAnsi="Times New Roman"/>
          <w:sz w:val="24"/>
          <w:szCs w:val="24"/>
        </w:rPr>
        <w:t xml:space="preserve">of those under 21 </w:t>
      </w:r>
      <w:r w:rsidRPr="007921A4">
        <w:rPr>
          <w:rFonts w:ascii="Times New Roman" w:hAnsi="Times New Roman"/>
          <w:sz w:val="24"/>
          <w:szCs w:val="24"/>
        </w:rPr>
        <w:t>commit violent crime</w:t>
      </w:r>
      <w:r>
        <w:rPr>
          <w:rFonts w:ascii="Times New Roman" w:hAnsi="Times New Roman"/>
          <w:sz w:val="24"/>
          <w:szCs w:val="24"/>
        </w:rPr>
        <w:t xml:space="preserve">s. </w:t>
      </w:r>
    </w:p>
    <w:p w14:paraId="18A42E12" w14:textId="77777777" w:rsidR="005217D5" w:rsidRDefault="005217D5" w:rsidP="005217D5">
      <w:pPr>
        <w:spacing w:before="100" w:beforeAutospacing="1" w:after="100" w:afterAutospacing="1" w:line="240" w:lineRule="auto"/>
        <w:rPr>
          <w:rStyle w:val="markedcontent"/>
          <w:rFonts w:ascii="Times New Roman" w:hAnsi="Times New Roman"/>
          <w:sz w:val="24"/>
          <w:szCs w:val="24"/>
        </w:rPr>
      </w:pPr>
      <w:r>
        <w:rPr>
          <w:rStyle w:val="markedcontent"/>
          <w:rFonts w:ascii="Times New Roman" w:hAnsi="Times New Roman"/>
          <w:sz w:val="24"/>
          <w:szCs w:val="24"/>
        </w:rPr>
        <w:t>4</w:t>
      </w:r>
      <w:r w:rsidRPr="0086321E">
        <w:rPr>
          <w:rStyle w:val="markedcontent"/>
          <w:rFonts w:ascii="Times New Roman" w:hAnsi="Times New Roman"/>
          <w:sz w:val="24"/>
          <w:szCs w:val="24"/>
          <w:vertAlign w:val="superscript"/>
        </w:rPr>
        <w:t>th</w:t>
      </w:r>
      <w:r>
        <w:rPr>
          <w:rStyle w:val="markedcontent"/>
          <w:rFonts w:ascii="Times New Roman" w:hAnsi="Times New Roman"/>
          <w:sz w:val="24"/>
          <w:szCs w:val="24"/>
        </w:rPr>
        <w:t xml:space="preserve"> Circuit [opinion by Circuit Judge Julus N. Richardson].</w:t>
      </w:r>
    </w:p>
    <w:p w14:paraId="6D8827B3" w14:textId="77777777" w:rsidR="005217D5" w:rsidRDefault="005217D5" w:rsidP="005217D5">
      <w:pPr>
        <w:spacing w:before="100" w:beforeAutospacing="1" w:after="100" w:afterAutospacing="1" w:line="240" w:lineRule="auto"/>
        <w:ind w:left="720"/>
        <w:rPr>
          <w:rStyle w:val="markedcontent"/>
          <w:rFonts w:ascii="Times New Roman" w:hAnsi="Times New Roman"/>
          <w:sz w:val="24"/>
          <w:szCs w:val="24"/>
        </w:rPr>
      </w:pPr>
      <w:r>
        <w:rPr>
          <w:rStyle w:val="markedcontent"/>
          <w:rFonts w:ascii="Times New Roman" w:hAnsi="Times New Roman"/>
          <w:sz w:val="24"/>
          <w:szCs w:val="24"/>
        </w:rPr>
        <w:t>“</w:t>
      </w:r>
      <w:r w:rsidRPr="002E2552">
        <w:rPr>
          <w:rStyle w:val="markedcontent"/>
          <w:rFonts w:ascii="Times New Roman" w:hAnsi="Times New Roman"/>
          <w:sz w:val="24"/>
          <w:szCs w:val="24"/>
        </w:rPr>
        <w:t>Despite the weighty interest in reducing crime and violence, we refuse to relegate either the Second Amendment or 18- to 20-year-olds to a second-class statu</w:t>
      </w:r>
      <w:r>
        <w:rPr>
          <w:rStyle w:val="markedcontent"/>
          <w:rFonts w:ascii="Times New Roman" w:hAnsi="Times New Roman"/>
          <w:sz w:val="24"/>
          <w:szCs w:val="24"/>
        </w:rPr>
        <w:t>s.</w:t>
      </w:r>
    </w:p>
    <w:p w14:paraId="1B6802F4" w14:textId="77777777" w:rsidR="005217D5" w:rsidRDefault="005217D5" w:rsidP="005217D5">
      <w:pPr>
        <w:spacing w:before="100" w:beforeAutospacing="1" w:after="100" w:afterAutospacing="1" w:line="240" w:lineRule="auto"/>
        <w:ind w:left="720"/>
        <w:rPr>
          <w:rStyle w:val="markedcontent"/>
          <w:rFonts w:ascii="Times New Roman" w:hAnsi="Times New Roman"/>
          <w:sz w:val="24"/>
          <w:szCs w:val="24"/>
        </w:rPr>
      </w:pPr>
      <w:r>
        <w:rPr>
          <w:rStyle w:val="markedcontent"/>
          <w:rFonts w:ascii="Times New Roman" w:hAnsi="Times New Roman"/>
          <w:sz w:val="24"/>
          <w:szCs w:val="24"/>
        </w:rPr>
        <w:t>***</w:t>
      </w:r>
    </w:p>
    <w:p w14:paraId="0046071D" w14:textId="77777777" w:rsidR="005217D5" w:rsidRDefault="005217D5" w:rsidP="005217D5">
      <w:pPr>
        <w:spacing w:before="100" w:beforeAutospacing="1" w:after="100" w:afterAutospacing="1" w:line="240" w:lineRule="auto"/>
        <w:ind w:left="720"/>
        <w:rPr>
          <w:rStyle w:val="markedcontent"/>
          <w:rFonts w:ascii="Times New Roman" w:hAnsi="Times New Roman"/>
          <w:sz w:val="24"/>
          <w:szCs w:val="24"/>
        </w:rPr>
      </w:pPr>
      <w:proofErr w:type="gramStart"/>
      <w:r w:rsidRPr="00420E30">
        <w:rPr>
          <w:rStyle w:val="markedcontent"/>
          <w:rFonts w:ascii="Times New Roman" w:hAnsi="Times New Roman"/>
          <w:sz w:val="24"/>
          <w:szCs w:val="24"/>
        </w:rPr>
        <w:t>So</w:t>
      </w:r>
      <w:proofErr w:type="gramEnd"/>
      <w:r w:rsidRPr="00420E30">
        <w:rPr>
          <w:rStyle w:val="markedcontent"/>
          <w:rFonts w:ascii="Times New Roman" w:hAnsi="Times New Roman"/>
          <w:sz w:val="24"/>
          <w:szCs w:val="24"/>
        </w:rPr>
        <w:t xml:space="preserve"> while 18- to 20-year-olds may commit a disproportionate share of violent crime, an exceedingly small percentage, around 0.3% and definitely </w:t>
      </w:r>
      <w:proofErr w:type="gramStart"/>
      <w:r w:rsidRPr="00420E30">
        <w:rPr>
          <w:rStyle w:val="markedcontent"/>
          <w:rFonts w:ascii="Times New Roman" w:hAnsi="Times New Roman"/>
          <w:sz w:val="24"/>
          <w:szCs w:val="24"/>
        </w:rPr>
        <w:t>less than 1%,</w:t>
      </w:r>
      <w:proofErr w:type="gramEnd"/>
      <w:r w:rsidRPr="00420E30">
        <w:rPr>
          <w:rStyle w:val="markedcontent"/>
          <w:rFonts w:ascii="Times New Roman" w:hAnsi="Times New Roman"/>
          <w:sz w:val="24"/>
          <w:szCs w:val="24"/>
        </w:rPr>
        <w:t xml:space="preserve"> of the 13 million young adults in this group commit those crimes.</w:t>
      </w:r>
      <w:r>
        <w:rPr>
          <w:rStyle w:val="markedcontent"/>
          <w:rFonts w:ascii="Times New Roman" w:hAnsi="Times New Roman"/>
          <w:sz w:val="24"/>
          <w:szCs w:val="24"/>
        </w:rPr>
        <w:t xml:space="preserve"> </w:t>
      </w:r>
      <w:r w:rsidRPr="00420E30">
        <w:rPr>
          <w:rStyle w:val="markedcontent"/>
          <w:rFonts w:ascii="Times New Roman" w:hAnsi="Times New Roman"/>
          <w:sz w:val="24"/>
          <w:szCs w:val="24"/>
        </w:rPr>
        <w:t>This alone cannot justify restricting the entire group’s rights.</w:t>
      </w:r>
    </w:p>
    <w:p w14:paraId="198B870E" w14:textId="77777777" w:rsidR="005217D5" w:rsidRDefault="005217D5" w:rsidP="005217D5">
      <w:pPr>
        <w:spacing w:before="100" w:beforeAutospacing="1" w:after="100" w:afterAutospacing="1" w:line="240" w:lineRule="auto"/>
        <w:ind w:left="720"/>
        <w:rPr>
          <w:rStyle w:val="markedcontent"/>
          <w:rFonts w:ascii="Times New Roman" w:hAnsi="Times New Roman"/>
          <w:sz w:val="24"/>
          <w:szCs w:val="24"/>
        </w:rPr>
      </w:pPr>
      <w:r>
        <w:rPr>
          <w:rStyle w:val="markedcontent"/>
          <w:rFonts w:ascii="Times New Roman" w:hAnsi="Times New Roman"/>
          <w:sz w:val="24"/>
          <w:szCs w:val="24"/>
        </w:rPr>
        <w:t>***</w:t>
      </w:r>
    </w:p>
    <w:p w14:paraId="18C8DB50" w14:textId="77777777" w:rsidR="005217D5" w:rsidRDefault="005217D5" w:rsidP="005217D5">
      <w:pPr>
        <w:spacing w:before="100" w:beforeAutospacing="1" w:after="100" w:afterAutospacing="1" w:line="240" w:lineRule="auto"/>
        <w:ind w:left="720"/>
        <w:rPr>
          <w:rFonts w:ascii="Times New Roman" w:eastAsia="Times New Roman" w:hAnsi="Times New Roman"/>
          <w:b/>
          <w:bCs/>
          <w:sz w:val="24"/>
          <w:szCs w:val="24"/>
        </w:rPr>
      </w:pPr>
      <w:r w:rsidRPr="002A4D97">
        <w:rPr>
          <w:rStyle w:val="markedcontent"/>
          <w:rFonts w:ascii="Times New Roman" w:hAnsi="Times New Roman"/>
          <w:sz w:val="24"/>
          <w:szCs w:val="24"/>
        </w:rPr>
        <w:t xml:space="preserve">The </w:t>
      </w:r>
      <w:r>
        <w:rPr>
          <w:rStyle w:val="markedcontent"/>
          <w:rFonts w:ascii="Times New Roman" w:hAnsi="Times New Roman"/>
          <w:sz w:val="24"/>
          <w:szCs w:val="24"/>
        </w:rPr>
        <w:t xml:space="preserve">[Founding] </w:t>
      </w:r>
      <w:r w:rsidRPr="002A4D97">
        <w:rPr>
          <w:rStyle w:val="markedcontent"/>
          <w:rFonts w:ascii="Times New Roman" w:hAnsi="Times New Roman"/>
          <w:sz w:val="24"/>
          <w:szCs w:val="24"/>
        </w:rPr>
        <w:t>Founders set age requirements for Congress and the Presidency, but they did not limit any rights protected by the Bill of Rights to those of a certain age. See U.S. Const. art. I, § 2 (age 25 for the House); id. art. I, § 3 (age 30 for the Senate); id. art. II, § 1 (age 35 for the President); cf. id. amend. XXVI (setting voting age at 18). In other words, the Founders considered age and knew how to set age requirements but placed no such restrictions on rights, including those protected by the Second Amendment.</w:t>
      </w:r>
      <w:r>
        <w:rPr>
          <w:rStyle w:val="markedcontent"/>
          <w:rFonts w:ascii="Times New Roman" w:hAnsi="Times New Roman"/>
          <w:sz w:val="24"/>
          <w:szCs w:val="24"/>
        </w:rPr>
        <w:t xml:space="preserve">” </w:t>
      </w:r>
      <w:hyperlink r:id="rId760" w:history="1">
        <w:r w:rsidRPr="00814A02">
          <w:rPr>
            <w:rStyle w:val="Hyperlink"/>
            <w:sz w:val="24"/>
            <w:szCs w:val="24"/>
          </w:rPr>
          <w:t>https://www.ca4.uscourts.gov/opinions/192250.P.pdf</w:t>
        </w:r>
      </w:hyperlink>
      <w:r w:rsidRPr="002E2552">
        <w:rPr>
          <w:rFonts w:ascii="Times New Roman" w:eastAsia="Times New Roman" w:hAnsi="Times New Roman"/>
          <w:sz w:val="24"/>
          <w:szCs w:val="24"/>
        </w:rPr>
        <w:t xml:space="preserve"> </w:t>
      </w:r>
    </w:p>
    <w:p w14:paraId="4F991733" w14:textId="77777777" w:rsidR="005217D5" w:rsidRDefault="005217D5" w:rsidP="005217D5">
      <w:pPr>
        <w:spacing w:before="100" w:beforeAutospacing="1" w:after="100" w:afterAutospacing="1" w:line="240" w:lineRule="auto"/>
        <w:rPr>
          <w:rStyle w:val="markedcontent"/>
          <w:rFonts w:ascii="Times New Roman" w:hAnsi="Times New Roman"/>
          <w:b/>
          <w:bCs/>
          <w:sz w:val="24"/>
          <w:szCs w:val="24"/>
        </w:rPr>
      </w:pPr>
      <w:r w:rsidRPr="002A4D97">
        <w:rPr>
          <w:rStyle w:val="markedcontent"/>
          <w:rFonts w:ascii="Times New Roman" w:hAnsi="Times New Roman"/>
          <w:b/>
          <w:bCs/>
          <w:sz w:val="24"/>
          <w:szCs w:val="24"/>
        </w:rPr>
        <w:t xml:space="preserve">Legal Lesson Learned: </w:t>
      </w:r>
      <w:r>
        <w:rPr>
          <w:rStyle w:val="markedcontent"/>
          <w:rFonts w:ascii="Times New Roman" w:hAnsi="Times New Roman"/>
          <w:b/>
          <w:bCs/>
          <w:sz w:val="24"/>
          <w:szCs w:val="24"/>
        </w:rPr>
        <w:t xml:space="preserve"> This decision does not restrict Fire &amp; EMS Departments from banning firearms on their property or apparatus. </w:t>
      </w:r>
      <w:r w:rsidRPr="002A4D97">
        <w:rPr>
          <w:rStyle w:val="markedcontent"/>
          <w:rFonts w:ascii="Times New Roman" w:hAnsi="Times New Roman"/>
          <w:b/>
          <w:bCs/>
          <w:sz w:val="24"/>
          <w:szCs w:val="24"/>
        </w:rPr>
        <w:t xml:space="preserve">It is highly likely the U.S. Department of Justice will ask all </w:t>
      </w:r>
      <w:r>
        <w:rPr>
          <w:rStyle w:val="markedcontent"/>
          <w:rFonts w:ascii="Times New Roman" w:hAnsi="Times New Roman"/>
          <w:b/>
          <w:bCs/>
          <w:sz w:val="24"/>
          <w:szCs w:val="24"/>
        </w:rPr>
        <w:t xml:space="preserve">15 of </w:t>
      </w:r>
      <w:r w:rsidRPr="002A4D97">
        <w:rPr>
          <w:rStyle w:val="markedcontent"/>
          <w:rFonts w:ascii="Times New Roman" w:hAnsi="Times New Roman"/>
          <w:b/>
          <w:bCs/>
          <w:sz w:val="24"/>
          <w:szCs w:val="24"/>
        </w:rPr>
        <w:t>the judges</w:t>
      </w:r>
      <w:r>
        <w:rPr>
          <w:rStyle w:val="markedcontent"/>
          <w:rFonts w:ascii="Times New Roman" w:hAnsi="Times New Roman"/>
          <w:b/>
          <w:bCs/>
          <w:sz w:val="24"/>
          <w:szCs w:val="24"/>
        </w:rPr>
        <w:t xml:space="preserve"> </w:t>
      </w:r>
      <w:r w:rsidRPr="002A4D97">
        <w:rPr>
          <w:rStyle w:val="markedcontent"/>
          <w:rFonts w:ascii="Times New Roman" w:hAnsi="Times New Roman"/>
          <w:b/>
          <w:bCs/>
          <w:sz w:val="24"/>
          <w:szCs w:val="24"/>
        </w:rPr>
        <w:t>on the 4</w:t>
      </w:r>
      <w:r w:rsidRPr="002A4D97">
        <w:rPr>
          <w:rStyle w:val="markedcontent"/>
          <w:rFonts w:ascii="Times New Roman" w:hAnsi="Times New Roman"/>
          <w:b/>
          <w:bCs/>
          <w:sz w:val="24"/>
          <w:szCs w:val="24"/>
          <w:vertAlign w:val="superscript"/>
        </w:rPr>
        <w:t>th</w:t>
      </w:r>
      <w:r w:rsidRPr="002A4D97">
        <w:rPr>
          <w:rStyle w:val="markedcontent"/>
          <w:rFonts w:ascii="Times New Roman" w:hAnsi="Times New Roman"/>
          <w:b/>
          <w:bCs/>
          <w:sz w:val="24"/>
          <w:szCs w:val="24"/>
        </w:rPr>
        <w:t xml:space="preserve"> Circuit to reconsider the decision </w:t>
      </w:r>
      <w:r>
        <w:rPr>
          <w:rStyle w:val="markedcontent"/>
          <w:rFonts w:ascii="Times New Roman" w:hAnsi="Times New Roman"/>
          <w:b/>
          <w:bCs/>
          <w:sz w:val="24"/>
          <w:szCs w:val="24"/>
        </w:rPr>
        <w:t>(</w:t>
      </w:r>
      <w:proofErr w:type="spellStart"/>
      <w:r>
        <w:rPr>
          <w:rStyle w:val="markedcontent"/>
          <w:rFonts w:ascii="Times New Roman" w:hAnsi="Times New Roman"/>
          <w:b/>
          <w:bCs/>
          <w:sz w:val="24"/>
          <w:szCs w:val="24"/>
        </w:rPr>
        <w:t>en</w:t>
      </w:r>
      <w:proofErr w:type="spellEnd"/>
      <w:r>
        <w:rPr>
          <w:rStyle w:val="markedcontent"/>
          <w:rFonts w:ascii="Times New Roman" w:hAnsi="Times New Roman"/>
          <w:b/>
          <w:bCs/>
          <w:sz w:val="24"/>
          <w:szCs w:val="24"/>
        </w:rPr>
        <w:t xml:space="preserve"> banc decision)</w:t>
      </w:r>
      <w:r w:rsidRPr="002A4D97">
        <w:rPr>
          <w:rStyle w:val="markedcontent"/>
          <w:rFonts w:ascii="Times New Roman" w:hAnsi="Times New Roman"/>
          <w:b/>
          <w:bCs/>
          <w:sz w:val="24"/>
          <w:szCs w:val="24"/>
        </w:rPr>
        <w:t xml:space="preserve"> </w:t>
      </w:r>
      <w:r>
        <w:rPr>
          <w:rStyle w:val="markedcontent"/>
          <w:rFonts w:ascii="Times New Roman" w:hAnsi="Times New Roman"/>
          <w:b/>
          <w:bCs/>
          <w:sz w:val="24"/>
          <w:szCs w:val="24"/>
        </w:rPr>
        <w:t>since the 5</w:t>
      </w:r>
      <w:r w:rsidRPr="00111EF6">
        <w:rPr>
          <w:rStyle w:val="markedcontent"/>
          <w:rFonts w:ascii="Times New Roman" w:hAnsi="Times New Roman"/>
          <w:b/>
          <w:bCs/>
          <w:sz w:val="24"/>
          <w:szCs w:val="24"/>
          <w:vertAlign w:val="superscript"/>
        </w:rPr>
        <w:t>th</w:t>
      </w:r>
      <w:r>
        <w:rPr>
          <w:rStyle w:val="markedcontent"/>
          <w:rFonts w:ascii="Times New Roman" w:hAnsi="Times New Roman"/>
          <w:b/>
          <w:bCs/>
          <w:sz w:val="24"/>
          <w:szCs w:val="24"/>
        </w:rPr>
        <w:t xml:space="preserve"> Circuit and lower courts have upheld the ban. </w:t>
      </w:r>
    </w:p>
    <w:p w14:paraId="3F1BF04B" w14:textId="77777777" w:rsidR="005217D5" w:rsidRDefault="005217D5" w:rsidP="005217D5">
      <w:pPr>
        <w:spacing w:before="100" w:beforeAutospacing="1" w:after="100" w:afterAutospacing="1" w:line="240" w:lineRule="auto"/>
        <w:ind w:left="720"/>
        <w:rPr>
          <w:rFonts w:ascii="Times New Roman" w:hAnsi="Times New Roman"/>
          <w:sz w:val="24"/>
          <w:szCs w:val="24"/>
        </w:rPr>
      </w:pPr>
      <w:r w:rsidRPr="007921A4">
        <w:rPr>
          <w:rStyle w:val="markedcontent"/>
          <w:rFonts w:ascii="Times New Roman" w:hAnsi="Times New Roman"/>
          <w:sz w:val="24"/>
          <w:szCs w:val="24"/>
        </w:rPr>
        <w:t>Note: See article on the decision: “</w:t>
      </w:r>
      <w:r w:rsidRPr="007921A4">
        <w:rPr>
          <w:rFonts w:ascii="Times New Roman" w:hAnsi="Times New Roman"/>
          <w:sz w:val="24"/>
          <w:szCs w:val="24"/>
        </w:rPr>
        <w:t>Handgun sale ban to under 21-year-olds is unconstitutional, appeals court says</w:t>
      </w:r>
      <w:r>
        <w:rPr>
          <w:rFonts w:ascii="Times New Roman" w:hAnsi="Times New Roman"/>
          <w:sz w:val="24"/>
          <w:szCs w:val="24"/>
        </w:rPr>
        <w:t xml:space="preserve">.”  (July 13, 2021.)  </w:t>
      </w:r>
    </w:p>
    <w:p w14:paraId="2DDE553F" w14:textId="77777777" w:rsidR="005217D5" w:rsidRDefault="005217D5" w:rsidP="005217D5">
      <w:pPr>
        <w:spacing w:before="100" w:beforeAutospacing="1" w:after="100" w:afterAutospacing="1" w:line="240" w:lineRule="auto"/>
        <w:ind w:left="1440"/>
        <w:rPr>
          <w:rFonts w:ascii="Times New Roman" w:hAnsi="Times New Roman"/>
          <w:sz w:val="24"/>
          <w:szCs w:val="24"/>
        </w:rPr>
      </w:pPr>
      <w:r>
        <w:rPr>
          <w:rFonts w:ascii="Times New Roman" w:hAnsi="Times New Roman"/>
          <w:sz w:val="24"/>
          <w:szCs w:val="24"/>
        </w:rPr>
        <w:lastRenderedPageBreak/>
        <w:t>“</w:t>
      </w:r>
      <w:r w:rsidRPr="00111EF6">
        <w:rPr>
          <w:rFonts w:ascii="Times New Roman" w:hAnsi="Times New Roman"/>
          <w:sz w:val="24"/>
          <w:szCs w:val="24"/>
        </w:rPr>
        <w:t>Other courts had previously upheld the federal age minimums, as well as more expansive age limits that have been passed by states. Just last month, a federal judge upheld Florida's ban on firearm sales to those under 21.”</w:t>
      </w:r>
      <w:r>
        <w:rPr>
          <w:rFonts w:ascii="Times New Roman" w:hAnsi="Times New Roman"/>
          <w:sz w:val="24"/>
          <w:szCs w:val="24"/>
        </w:rPr>
        <w:t xml:space="preserve"> </w:t>
      </w:r>
      <w:hyperlink r:id="rId761" w:history="1">
        <w:r w:rsidRPr="00814A02">
          <w:rPr>
            <w:rStyle w:val="Hyperlink"/>
            <w:sz w:val="24"/>
            <w:szCs w:val="24"/>
          </w:rPr>
          <w:t>https://www.cnn.com/2021/07/13/politics/handgun-appeals-court/index.html?utm_term=link&amp;utm_content=2021-07-13T19%3A12%3A10&amp;utm_source=twcnnbrk&amp;utm_medium=social</w:t>
        </w:r>
      </w:hyperlink>
      <w:r>
        <w:rPr>
          <w:rFonts w:ascii="Times New Roman" w:hAnsi="Times New Roman"/>
          <w:sz w:val="24"/>
          <w:szCs w:val="24"/>
        </w:rPr>
        <w:t xml:space="preserve"> </w:t>
      </w:r>
    </w:p>
    <w:p w14:paraId="45793039" w14:textId="77777777" w:rsidR="005217D5" w:rsidRPr="00150169" w:rsidRDefault="005217D5" w:rsidP="005217D5">
      <w:pPr>
        <w:spacing w:before="100" w:beforeAutospacing="1" w:after="100" w:afterAutospacing="1" w:line="240" w:lineRule="auto"/>
        <w:jc w:val="center"/>
        <w:rPr>
          <w:rFonts w:ascii="Times New Roman" w:eastAsia="Times New Roman" w:hAnsi="Times New Roman"/>
          <w:sz w:val="24"/>
          <w:szCs w:val="24"/>
        </w:rPr>
      </w:pPr>
    </w:p>
    <w:p w14:paraId="553BC87B" w14:textId="77777777" w:rsidR="005217D5" w:rsidRDefault="005217D5" w:rsidP="005217D5">
      <w:pPr>
        <w:pStyle w:val="Heading1"/>
        <w:ind w:left="720"/>
        <w:rPr>
          <w:b w:val="0"/>
          <w:bCs w:val="0"/>
          <w:sz w:val="24"/>
          <w:szCs w:val="24"/>
        </w:rPr>
      </w:pPr>
      <w:r w:rsidRPr="00150169">
        <w:rPr>
          <w:b w:val="0"/>
          <w:bCs w:val="0"/>
          <w:sz w:val="24"/>
          <w:szCs w:val="24"/>
        </w:rPr>
        <w:t>July 18, 2021: “</w:t>
      </w:r>
      <w:r w:rsidRPr="00150169">
        <w:rPr>
          <w:rStyle w:val="gold"/>
          <w:rFonts w:eastAsiaTheme="majorEastAsia"/>
          <w:b w:val="0"/>
          <w:bCs w:val="0"/>
          <w:sz w:val="24"/>
          <w:szCs w:val="24"/>
        </w:rPr>
        <w:t xml:space="preserve">Opinion: </w:t>
      </w:r>
      <w:r w:rsidRPr="00150169">
        <w:rPr>
          <w:b w:val="0"/>
          <w:bCs w:val="0"/>
          <w:sz w:val="24"/>
          <w:szCs w:val="24"/>
        </w:rPr>
        <w:t xml:space="preserve">A federal appeals court decision on handguns opens the door to more violence.” </w:t>
      </w:r>
    </w:p>
    <w:p w14:paraId="7187055A" w14:textId="77777777" w:rsidR="005217D5" w:rsidRDefault="005217D5" w:rsidP="005217D5">
      <w:pPr>
        <w:pStyle w:val="Heading1"/>
        <w:ind w:left="1440"/>
        <w:rPr>
          <w:b w:val="0"/>
          <w:bCs w:val="0"/>
          <w:sz w:val="24"/>
          <w:szCs w:val="24"/>
        </w:rPr>
      </w:pPr>
      <w:r>
        <w:rPr>
          <w:b w:val="0"/>
          <w:bCs w:val="0"/>
          <w:sz w:val="24"/>
          <w:szCs w:val="24"/>
        </w:rPr>
        <w:t>“</w:t>
      </w:r>
      <w:r w:rsidRPr="0053535C">
        <w:rPr>
          <w:b w:val="0"/>
          <w:bCs w:val="0"/>
          <w:sz w:val="24"/>
          <w:szCs w:val="24"/>
        </w:rPr>
        <w:t>That act of judicial arrogance, if affirmed on appeal, would likely accelerate the current spike in homicides, many of them committed with handguns by individuals under the age of 21. And it comes as Americans are embarked on a record-setting</w:t>
      </w:r>
      <w:hyperlink r:id="rId762" w:tgtFrame="_blank" w:history="1">
        <w:r w:rsidRPr="0053535C">
          <w:rPr>
            <w:rStyle w:val="Hyperlink"/>
            <w:sz w:val="24"/>
            <w:szCs w:val="24"/>
          </w:rPr>
          <w:t xml:space="preserve"> gun-buying spree</w:t>
        </w:r>
      </w:hyperlink>
      <w:r w:rsidRPr="0053535C">
        <w:rPr>
          <w:b w:val="0"/>
          <w:bCs w:val="0"/>
          <w:sz w:val="24"/>
          <w:szCs w:val="24"/>
        </w:rPr>
        <w:t>, which began during the pandemic and shows no sign of waning.</w:t>
      </w:r>
      <w:r>
        <w:rPr>
          <w:b w:val="0"/>
          <w:bCs w:val="0"/>
          <w:sz w:val="24"/>
          <w:szCs w:val="24"/>
        </w:rPr>
        <w:t xml:space="preserve">” </w:t>
      </w:r>
      <w:hyperlink r:id="rId763" w:history="1">
        <w:r w:rsidRPr="004A379F">
          <w:rPr>
            <w:rStyle w:val="Hyperlink"/>
            <w:sz w:val="24"/>
            <w:szCs w:val="24"/>
          </w:rPr>
          <w:t>https://www.washingtonpost.com/opinions/2021/07/18/federal-appeals-court-decisions-handguns-opens-door-more-violence/?utm_campaign=wp_todays_headlines&amp;utm_medium=email&amp;utm_source=newsletter&amp;wpisrc=nl_headlines&amp;carta-url=https%3A%2F%2Fs2.washingtonpost.com%2Fcar-ln-tr%2F342e6a3%2F60f54d379d2fda945a0c336b%2F59731235ade4e21a848a56ed%2F42%2F67%2F60f54d379d2fda945a0c336b</w:t>
        </w:r>
      </w:hyperlink>
      <w:r w:rsidRPr="00150169">
        <w:rPr>
          <w:b w:val="0"/>
          <w:bCs w:val="0"/>
          <w:sz w:val="24"/>
          <w:szCs w:val="24"/>
        </w:rPr>
        <w:t xml:space="preserve"> </w:t>
      </w:r>
    </w:p>
    <w:p w14:paraId="63E53266" w14:textId="77777777" w:rsidR="005217D5" w:rsidRPr="00231A9A" w:rsidRDefault="005217D5" w:rsidP="005217D5">
      <w:pPr>
        <w:pStyle w:val="Heading1"/>
        <w:ind w:left="720"/>
        <w:rPr>
          <w:b w:val="0"/>
          <w:bCs w:val="0"/>
          <w:sz w:val="24"/>
          <w:szCs w:val="24"/>
        </w:rPr>
      </w:pPr>
      <w:r w:rsidRPr="00231A9A">
        <w:rPr>
          <w:b w:val="0"/>
          <w:bCs w:val="0"/>
          <w:sz w:val="24"/>
          <w:szCs w:val="24"/>
        </w:rPr>
        <w:t>Aug. 2, 2021:   'Something has to be done.' Lawsuit filed against maker of 100-round magazine used in Dayton mass shooting</w:t>
      </w:r>
      <w:r>
        <w:rPr>
          <w:b w:val="0"/>
          <w:bCs w:val="0"/>
          <w:sz w:val="24"/>
          <w:szCs w:val="24"/>
        </w:rPr>
        <w:t xml:space="preserve">.” </w:t>
      </w:r>
    </w:p>
    <w:p w14:paraId="6ACB51B0" w14:textId="77777777" w:rsidR="005217D5" w:rsidRPr="0053535C" w:rsidRDefault="005217D5" w:rsidP="005217D5">
      <w:pPr>
        <w:pStyle w:val="Heading1"/>
        <w:ind w:left="1440"/>
        <w:rPr>
          <w:b w:val="0"/>
          <w:bCs w:val="0"/>
          <w:sz w:val="24"/>
          <w:szCs w:val="24"/>
        </w:rPr>
      </w:pPr>
      <w:r w:rsidRPr="0053535C">
        <w:rPr>
          <w:b w:val="0"/>
          <w:bCs w:val="0"/>
          <w:sz w:val="24"/>
          <w:szCs w:val="24"/>
        </w:rPr>
        <w:t xml:space="preserve">“Two years ago, Connor Betts used a high-powered rifle </w:t>
      </w:r>
      <w:hyperlink r:id="rId764" w:tgtFrame="_blank" w:history="1">
        <w:r w:rsidRPr="0053535C">
          <w:rPr>
            <w:rStyle w:val="Hyperlink"/>
            <w:sz w:val="24"/>
            <w:szCs w:val="24"/>
          </w:rPr>
          <w:t>to kill nine people and wound many others</w:t>
        </w:r>
      </w:hyperlink>
      <w:r w:rsidRPr="0053535C">
        <w:rPr>
          <w:b w:val="0"/>
          <w:bCs w:val="0"/>
          <w:sz w:val="24"/>
          <w:szCs w:val="24"/>
        </w:rPr>
        <w:t xml:space="preserve"> in a crowded entertainment district in Dayton, Ohio. </w:t>
      </w:r>
      <w:hyperlink r:id="rId765" w:tgtFrame="_blank" w:history="1">
        <w:r w:rsidRPr="0053535C">
          <w:rPr>
            <w:rStyle w:val="Hyperlink"/>
            <w:sz w:val="24"/>
            <w:szCs w:val="24"/>
          </w:rPr>
          <w:t>The tragedy unfolded in about 30 seconds</w:t>
        </w:r>
      </w:hyperlink>
      <w:r w:rsidRPr="0053535C">
        <w:rPr>
          <w:b w:val="0"/>
          <w:bCs w:val="0"/>
          <w:sz w:val="24"/>
          <w:szCs w:val="24"/>
        </w:rPr>
        <w:t>. The 24-year-old used an assault-style rifle that had a 100-round, double-drum magazine attached, allowing him to fire multiple rounds without reloading. Attorneys for several of the families of those killed are suing the company that manufactured the double-drum magazine, saying it has no real protocols or oversight in place to ensure that its product isn't used in a mass shooting. *** The lawsuit was filed in Nevada state court against Nevada-based Kyung Chang Industry USA and its related South Korean company.”  </w:t>
      </w:r>
      <w:hyperlink r:id="rId766" w:history="1">
        <w:r w:rsidRPr="0053535C">
          <w:rPr>
            <w:rStyle w:val="Hyperlink"/>
            <w:sz w:val="24"/>
            <w:szCs w:val="24"/>
          </w:rPr>
          <w:t>https://www.cincinnati.com/story/news/2021/08/02/attorney-maker-double-drum-magazine-enabled-dayton-mass-shooting/5455812001/</w:t>
        </w:r>
      </w:hyperlink>
    </w:p>
    <w:p w14:paraId="57167584" w14:textId="77777777" w:rsidR="005217D5" w:rsidRDefault="005217D5" w:rsidP="00F326E5">
      <w:pPr>
        <w:pStyle w:val="NoSpacing"/>
        <w:rPr>
          <w:rFonts w:ascii="Arial Black" w:hAnsi="Arial Black"/>
          <w:sz w:val="28"/>
          <w:szCs w:val="28"/>
        </w:rPr>
      </w:pPr>
    </w:p>
    <w:p w14:paraId="0E84CF83" w14:textId="77777777" w:rsidR="005217D5" w:rsidRDefault="005217D5" w:rsidP="00F326E5">
      <w:pPr>
        <w:pStyle w:val="NoSpacing"/>
        <w:rPr>
          <w:rFonts w:ascii="Arial Black" w:hAnsi="Arial Black"/>
          <w:sz w:val="28"/>
          <w:szCs w:val="28"/>
        </w:rPr>
      </w:pPr>
    </w:p>
    <w:p w14:paraId="28549107" w14:textId="77777777" w:rsidR="005217D5" w:rsidRDefault="005217D5" w:rsidP="00F326E5">
      <w:pPr>
        <w:pStyle w:val="NoSpacing"/>
        <w:rPr>
          <w:rFonts w:ascii="Arial Black" w:hAnsi="Arial Black"/>
          <w:sz w:val="28"/>
          <w:szCs w:val="28"/>
        </w:rPr>
      </w:pPr>
    </w:p>
    <w:p w14:paraId="0B1F9D61" w14:textId="18199422" w:rsidR="000915C1" w:rsidRDefault="00A82898" w:rsidP="00F326E5">
      <w:pPr>
        <w:pStyle w:val="NoSpacing"/>
        <w:rPr>
          <w:rFonts w:ascii="Arial Black" w:hAnsi="Arial Black"/>
          <w:sz w:val="28"/>
          <w:szCs w:val="28"/>
        </w:rPr>
      </w:pPr>
      <w:r>
        <w:rPr>
          <w:rFonts w:ascii="Arial Black" w:hAnsi="Arial Black"/>
          <w:sz w:val="28"/>
          <w:szCs w:val="28"/>
        </w:rPr>
        <w:t>3-35</w:t>
      </w:r>
    </w:p>
    <w:p w14:paraId="2634E8EF" w14:textId="56D8D3B7" w:rsidR="00A82898" w:rsidRDefault="00A82898" w:rsidP="00F326E5">
      <w:pPr>
        <w:pStyle w:val="NoSpacing"/>
        <w:rPr>
          <w:rFonts w:ascii="Arial Black" w:hAnsi="Arial Black"/>
          <w:sz w:val="28"/>
          <w:szCs w:val="28"/>
        </w:rPr>
      </w:pPr>
    </w:p>
    <w:p w14:paraId="288FC182" w14:textId="77777777" w:rsidR="00A82898" w:rsidRDefault="00A82898" w:rsidP="00A82898">
      <w:pPr>
        <w:pStyle w:val="NormalWeb"/>
        <w:spacing w:before="0" w:beforeAutospacing="0" w:after="0" w:afterAutospacing="0" w:line="255" w:lineRule="atLeast"/>
        <w:rPr>
          <w:rStyle w:val="markedcontent"/>
          <w:rFonts w:ascii="Arial Black" w:hAnsi="Arial Black"/>
          <w:sz w:val="28"/>
          <w:szCs w:val="28"/>
        </w:rPr>
      </w:pPr>
      <w:r>
        <w:rPr>
          <w:rStyle w:val="markedcontent"/>
          <w:rFonts w:ascii="Arial Black" w:hAnsi="Arial Black"/>
          <w:sz w:val="28"/>
          <w:szCs w:val="28"/>
        </w:rPr>
        <w:t xml:space="preserve">CA: FALSE CREDIT RECORDS – AFTER 9/11, CO. OFFERED “POTENTIAL MATCH” U.S. TREASURY LIST TERRORISTS </w:t>
      </w:r>
    </w:p>
    <w:p w14:paraId="2DFF652E" w14:textId="77777777" w:rsidR="00A82898" w:rsidRDefault="00A82898" w:rsidP="00A82898">
      <w:pPr>
        <w:pStyle w:val="NormalWeb"/>
        <w:spacing w:before="0" w:beforeAutospacing="0" w:after="0" w:afterAutospacing="0" w:line="255" w:lineRule="atLeast"/>
        <w:rPr>
          <w:rStyle w:val="markedcontent"/>
          <w:rFonts w:ascii="Arial Black" w:hAnsi="Arial Black"/>
          <w:sz w:val="28"/>
          <w:szCs w:val="28"/>
        </w:rPr>
      </w:pPr>
    </w:p>
    <w:p w14:paraId="39D95E18" w14:textId="77777777" w:rsidR="00A82898" w:rsidRDefault="00A82898" w:rsidP="00A82898">
      <w:pPr>
        <w:pStyle w:val="NormalWeb"/>
        <w:spacing w:before="0" w:beforeAutospacing="0" w:after="0" w:afterAutospacing="0" w:line="255" w:lineRule="atLeast"/>
        <w:rPr>
          <w:rStyle w:val="markedcontent"/>
        </w:rPr>
      </w:pPr>
      <w:r w:rsidRPr="00130D09">
        <w:rPr>
          <w:rStyle w:val="markedcontent"/>
        </w:rPr>
        <w:t xml:space="preserve">On June 25, 2021, in </w:t>
      </w:r>
      <w:r w:rsidRPr="00130D09">
        <w:rPr>
          <w:rStyle w:val="markedcontent"/>
          <w:u w:val="single"/>
        </w:rPr>
        <w:t>TransUnion LLC v. Sergio Ramirez, et al</w:t>
      </w:r>
      <w:r w:rsidRPr="00130D09">
        <w:rPr>
          <w:rStyle w:val="markedcontent"/>
        </w:rPr>
        <w:t xml:space="preserve">., the U.S. Supreme Court held (5 to 4) that </w:t>
      </w:r>
      <w:r>
        <w:rPr>
          <w:rStyle w:val="markedcontent"/>
        </w:rPr>
        <w:t xml:space="preserve">only individuals who could prove they </w:t>
      </w:r>
      <w:r w:rsidRPr="00130D09">
        <w:rPr>
          <w:rStyle w:val="markedcontent"/>
        </w:rPr>
        <w:t xml:space="preserve">suffered “concrete harm” </w:t>
      </w:r>
      <w:r>
        <w:rPr>
          <w:rStyle w:val="markedcontent"/>
        </w:rPr>
        <w:t xml:space="preserve">can sue TransUnion for violation of federal Fair Credit Reporting Act when they are falsely identified as matching someone with same fire &amp; last name on U.S. </w:t>
      </w:r>
      <w:r>
        <w:rPr>
          <w:rStyle w:val="markedcontent"/>
        </w:rPr>
        <w:lastRenderedPageBreak/>
        <w:t>Treasury “Specially Designated Nationals” list of terrorists, and narcotics traffickers.  After the attacks on 9/11, TransUnion began selling to banks, auto dealers and other businesses a “potential match” to a name on the U.S. Treasury’s</w:t>
      </w:r>
      <w:r>
        <w:t xml:space="preserve"> list. </w:t>
      </w:r>
      <w:r w:rsidRPr="00A53168">
        <w:rPr>
          <w:rStyle w:val="markedcontent"/>
        </w:rPr>
        <w:t>TransUnion did not compare birth dates, middle initials, Social Security numbers, or any other available identifier routinely used to collect and verify credit-report data.</w:t>
      </w:r>
      <w:r>
        <w:rPr>
          <w:rStyle w:val="markedcontent"/>
        </w:rPr>
        <w:t xml:space="preserve">  After 6-day trial, the jury found a willful violation of Fair Credit Reporting Act and </w:t>
      </w:r>
      <w:r w:rsidRPr="00D61134">
        <w:rPr>
          <w:rStyle w:val="markedcontent"/>
        </w:rPr>
        <w:t>awarded each class</w:t>
      </w:r>
      <w:r>
        <w:rPr>
          <w:rStyle w:val="markedcontent"/>
        </w:rPr>
        <w:t xml:space="preserve"> </w:t>
      </w:r>
      <w:r w:rsidRPr="00D61134">
        <w:rPr>
          <w:rStyle w:val="markedcontent"/>
        </w:rPr>
        <w:t>member</w:t>
      </w:r>
      <w:r>
        <w:rPr>
          <w:rStyle w:val="markedcontent"/>
        </w:rPr>
        <w:t xml:space="preserve"> (</w:t>
      </w:r>
      <w:r>
        <w:rPr>
          <w:rStyle w:val="markedcontent"/>
          <w:sz w:val="27"/>
          <w:szCs w:val="27"/>
        </w:rPr>
        <w:t xml:space="preserve">8,185 </w:t>
      </w:r>
      <w:r>
        <w:rPr>
          <w:rStyle w:val="markedcontent"/>
        </w:rPr>
        <w:t xml:space="preserve">class members), </w:t>
      </w:r>
      <w:r w:rsidRPr="00D61134">
        <w:rPr>
          <w:rStyle w:val="markedcontent"/>
        </w:rPr>
        <w:t>$984.22 in statutory damages (about $8 million total) and $6,353.08 in punitive damages (about $52 million</w:t>
      </w:r>
      <w:r>
        <w:rPr>
          <w:rStyle w:val="markedcontent"/>
        </w:rPr>
        <w:t xml:space="preserve"> </w:t>
      </w:r>
      <w:r w:rsidRPr="00D61134">
        <w:rPr>
          <w:rStyle w:val="markedcontent"/>
        </w:rPr>
        <w:t>total).</w:t>
      </w:r>
      <w:r>
        <w:rPr>
          <w:rStyle w:val="markedcontent"/>
        </w:rPr>
        <w:t xml:space="preserve">  The Court majority set aside the verdict, and remanded case – only Plaintiff, who was denied an auto loan, and others who can prove a “concrete harm” are entitled to damages.  </w:t>
      </w:r>
    </w:p>
    <w:p w14:paraId="62FB8407" w14:textId="77777777" w:rsidR="00A82898" w:rsidRDefault="00A82898" w:rsidP="00A82898">
      <w:pPr>
        <w:pStyle w:val="NormalWeb"/>
        <w:spacing w:before="0" w:beforeAutospacing="0" w:after="0" w:afterAutospacing="0" w:line="255" w:lineRule="atLeast"/>
        <w:rPr>
          <w:rStyle w:val="markedcontent"/>
        </w:rPr>
      </w:pPr>
    </w:p>
    <w:p w14:paraId="6604DB0E" w14:textId="77777777" w:rsidR="00A82898" w:rsidRDefault="00A82898" w:rsidP="00A82898">
      <w:pPr>
        <w:pStyle w:val="NormalWeb"/>
        <w:spacing w:before="0" w:beforeAutospacing="0" w:after="0" w:afterAutospacing="0" w:line="255" w:lineRule="atLeast"/>
        <w:rPr>
          <w:rStyle w:val="markedcontent"/>
        </w:rPr>
      </w:pPr>
      <w:r>
        <w:rPr>
          <w:rStyle w:val="markedcontent"/>
        </w:rPr>
        <w:t xml:space="preserve">Note: This case was reviewed since employers, including Fire &amp; EMS conducting background checks on applicants, must be cautious of credit reports and give applicants time to correct errors. </w:t>
      </w:r>
    </w:p>
    <w:p w14:paraId="6354921C" w14:textId="77777777" w:rsidR="00A82898" w:rsidRDefault="00A82898" w:rsidP="00A82898">
      <w:pPr>
        <w:pStyle w:val="NormalWeb"/>
        <w:spacing w:before="0" w:beforeAutospacing="0" w:after="0" w:afterAutospacing="0" w:line="255" w:lineRule="atLeast"/>
        <w:rPr>
          <w:rStyle w:val="markedcontent"/>
        </w:rPr>
      </w:pPr>
    </w:p>
    <w:p w14:paraId="3E7616D6" w14:textId="77777777" w:rsidR="00A82898" w:rsidRDefault="00A82898" w:rsidP="00A82898">
      <w:pPr>
        <w:pStyle w:val="NormalWeb"/>
        <w:spacing w:before="0" w:beforeAutospacing="0" w:after="0" w:afterAutospacing="0" w:line="255" w:lineRule="atLeast"/>
        <w:rPr>
          <w:rStyle w:val="markedcontent"/>
        </w:rPr>
      </w:pPr>
    </w:p>
    <w:p w14:paraId="5356E157" w14:textId="77777777" w:rsidR="00A82898" w:rsidRDefault="00A82898" w:rsidP="00A82898">
      <w:pPr>
        <w:pStyle w:val="NormalWeb"/>
        <w:spacing w:before="0" w:beforeAutospacing="0" w:after="0" w:afterAutospacing="0" w:line="255" w:lineRule="atLeast"/>
        <w:rPr>
          <w:rStyle w:val="markedcontent"/>
        </w:rPr>
      </w:pPr>
      <w:r>
        <w:rPr>
          <w:rStyle w:val="markedcontent"/>
        </w:rPr>
        <w:t xml:space="preserve">Justice Brett Kavanaugh wrote the majority opinion: </w:t>
      </w:r>
    </w:p>
    <w:p w14:paraId="470F9907" w14:textId="77777777" w:rsidR="00A82898" w:rsidRDefault="00A82898" w:rsidP="00A82898">
      <w:pPr>
        <w:pStyle w:val="NormalWeb"/>
        <w:spacing w:before="0" w:beforeAutospacing="0" w:after="0" w:afterAutospacing="0" w:line="255" w:lineRule="atLeast"/>
        <w:rPr>
          <w:rStyle w:val="markedcontent"/>
        </w:rPr>
      </w:pPr>
    </w:p>
    <w:p w14:paraId="3C6E73E4" w14:textId="77777777" w:rsidR="00A82898" w:rsidRPr="00B92CD8" w:rsidRDefault="00A82898" w:rsidP="00A82898">
      <w:pPr>
        <w:pStyle w:val="NormalWeb"/>
        <w:spacing w:before="0" w:beforeAutospacing="0" w:after="0" w:afterAutospacing="0" w:line="255" w:lineRule="atLeast"/>
        <w:ind w:left="720"/>
        <w:rPr>
          <w:rStyle w:val="markedcontent"/>
        </w:rPr>
      </w:pPr>
      <w:r w:rsidRPr="00B92CD8">
        <w:rPr>
          <w:rStyle w:val="markedcontent"/>
        </w:rPr>
        <w:t>“When this litigation arose, Name Screen worked in the following way: When a business opted into the Name Screen service, TransUnion would conduct its ordinary credit check of the consumer, and it would also use third-party software to compare the consumer’s name against the OFAC [U.S. Treasury’s Office of Foreign Assets Control] list. If the consumer’s first and last name matched the first and last name of an individual on OFAC’s list, then TransUnion would place an alert on the credit report indicating that the consumer’s name was a “potential match” to a name on the OFAC list. TransUnion did not compare any data other than first and last names. Unsurprisingly, TransUnion’s Name Screen product generated many false positives. Thousands of law-abiding Americans happen to share a first and last name with one of the terrorists, drug traffickers, or serious criminals on OFAC’s list of specially designated nationals.</w:t>
      </w:r>
    </w:p>
    <w:p w14:paraId="7460BD34" w14:textId="77777777" w:rsidR="00A82898" w:rsidRPr="00B92CD8" w:rsidRDefault="00A82898" w:rsidP="00A82898">
      <w:pPr>
        <w:pStyle w:val="NormalWeb"/>
        <w:spacing w:before="0" w:beforeAutospacing="0" w:after="0" w:afterAutospacing="0" w:line="255" w:lineRule="atLeast"/>
        <w:ind w:left="720"/>
        <w:rPr>
          <w:rStyle w:val="markedcontent"/>
        </w:rPr>
      </w:pPr>
    </w:p>
    <w:p w14:paraId="3E4769C1" w14:textId="77777777" w:rsidR="00A82898" w:rsidRPr="00B92CD8" w:rsidRDefault="00A82898" w:rsidP="00A82898">
      <w:pPr>
        <w:pStyle w:val="NormalWeb"/>
        <w:spacing w:before="0" w:beforeAutospacing="0" w:after="0" w:afterAutospacing="0" w:line="255" w:lineRule="atLeast"/>
        <w:ind w:left="720"/>
        <w:rPr>
          <w:rStyle w:val="markedcontent"/>
        </w:rPr>
      </w:pPr>
      <w:r w:rsidRPr="00B92CD8">
        <w:rPr>
          <w:rStyle w:val="markedcontent"/>
        </w:rPr>
        <w:t>***</w:t>
      </w:r>
    </w:p>
    <w:p w14:paraId="54B0E050" w14:textId="77777777" w:rsidR="00A82898" w:rsidRPr="00B92CD8" w:rsidRDefault="00A82898" w:rsidP="00A82898">
      <w:pPr>
        <w:pStyle w:val="NormalWeb"/>
        <w:spacing w:before="0" w:beforeAutospacing="0" w:after="0" w:afterAutospacing="0" w:line="255" w:lineRule="atLeast"/>
        <w:ind w:left="720"/>
        <w:rPr>
          <w:rStyle w:val="markedcontent"/>
        </w:rPr>
      </w:pPr>
    </w:p>
    <w:p w14:paraId="209A36AE" w14:textId="77777777" w:rsidR="00A82898" w:rsidRPr="00581681" w:rsidRDefault="00A82898" w:rsidP="00A82898">
      <w:pPr>
        <w:pStyle w:val="NormalWeb"/>
        <w:spacing w:before="0" w:beforeAutospacing="0" w:after="0" w:afterAutospacing="0" w:line="255" w:lineRule="atLeast"/>
        <w:ind w:left="720"/>
        <w:rPr>
          <w:rStyle w:val="markedcontent"/>
        </w:rPr>
      </w:pPr>
      <w:r w:rsidRPr="00581681">
        <w:rPr>
          <w:rStyle w:val="markedcontent"/>
        </w:rPr>
        <w:t xml:space="preserve">Sergio Ramirez learned the hard way that he is one such individual. On February 27, 2011, Ramirez visited a Nissan dealership in Dublin, California, seeking to buy a Nissan Maxima. Ramirez was accompanied by his wife and his father-in-law. After Ramirez and his wife selected a color and negotiated a price, the dealership ran a credit check on both Ramirez and his wife. Ramirez’s credit report, produced by TransUnion, contained the following </w:t>
      </w:r>
      <w:proofErr w:type="gramStart"/>
      <w:r w:rsidRPr="00581681">
        <w:rPr>
          <w:rStyle w:val="markedcontent"/>
        </w:rPr>
        <w:t xml:space="preserve">alert: </w:t>
      </w:r>
      <w:r>
        <w:rPr>
          <w:rStyle w:val="markedcontent"/>
        </w:rPr>
        <w:t>‘</w:t>
      </w:r>
      <w:proofErr w:type="gramEnd"/>
      <w:r w:rsidRPr="00581681">
        <w:rPr>
          <w:rStyle w:val="markedcontent"/>
        </w:rPr>
        <w:t>***OFAC ADVISOR ALERT - INPUT NAME MATCHES NAME ON THE OFAC DATABASE.</w:t>
      </w:r>
      <w:r>
        <w:rPr>
          <w:rStyle w:val="markedcontent"/>
        </w:rPr>
        <w:t xml:space="preserve">’ </w:t>
      </w:r>
      <w:r w:rsidRPr="00581681">
        <w:rPr>
          <w:rStyle w:val="markedcontent"/>
        </w:rPr>
        <w:t xml:space="preserve">App. 84. A Nissan salesman told Ramirez that Nissan would not sell the car to him because his name was on a </w:t>
      </w:r>
      <w:r>
        <w:rPr>
          <w:rStyle w:val="markedcontent"/>
        </w:rPr>
        <w:t>‘</w:t>
      </w:r>
      <w:r w:rsidRPr="00581681">
        <w:rPr>
          <w:rStyle w:val="markedcontent"/>
        </w:rPr>
        <w:t xml:space="preserve">terrorist </w:t>
      </w:r>
      <w:proofErr w:type="spellStart"/>
      <w:r w:rsidRPr="00581681">
        <w:rPr>
          <w:rStyle w:val="markedcontent"/>
        </w:rPr>
        <w:t>list.</w:t>
      </w:r>
      <w:r>
        <w:rPr>
          <w:rStyle w:val="markedcontent"/>
        </w:rPr>
        <w:t>’</w:t>
      </w:r>
      <w:r w:rsidRPr="00581681">
        <w:rPr>
          <w:rStyle w:val="markedcontent"/>
        </w:rPr>
        <w:t>Id</w:t>
      </w:r>
      <w:proofErr w:type="spellEnd"/>
      <w:r w:rsidRPr="00581681">
        <w:rPr>
          <w:rStyle w:val="markedcontent"/>
        </w:rPr>
        <w:t xml:space="preserve">., at 333. Ramirez’s wife had to purchase the car </w:t>
      </w:r>
      <w:proofErr w:type="gramStart"/>
      <w:r w:rsidRPr="00581681">
        <w:rPr>
          <w:rStyle w:val="markedcontent"/>
        </w:rPr>
        <w:t>in</w:t>
      </w:r>
      <w:proofErr w:type="gramEnd"/>
      <w:r w:rsidRPr="00581681">
        <w:rPr>
          <w:rStyle w:val="markedcontent"/>
        </w:rPr>
        <w:t xml:space="preserve"> her own name.</w:t>
      </w:r>
    </w:p>
    <w:p w14:paraId="57306DFA" w14:textId="77777777" w:rsidR="00A82898" w:rsidRDefault="00A82898" w:rsidP="00A82898">
      <w:pPr>
        <w:pStyle w:val="NormalWeb"/>
        <w:spacing w:before="0" w:beforeAutospacing="0" w:after="0" w:afterAutospacing="0" w:line="255" w:lineRule="atLeast"/>
        <w:ind w:left="720"/>
        <w:rPr>
          <w:rStyle w:val="markedcontent"/>
        </w:rPr>
      </w:pPr>
    </w:p>
    <w:p w14:paraId="77F7F592" w14:textId="77777777" w:rsidR="00A82898" w:rsidRDefault="00A82898" w:rsidP="00A82898">
      <w:pPr>
        <w:pStyle w:val="NormalWeb"/>
        <w:spacing w:before="0" w:beforeAutospacing="0" w:after="0" w:afterAutospacing="0" w:line="255" w:lineRule="atLeast"/>
        <w:ind w:left="720"/>
        <w:rPr>
          <w:rStyle w:val="markedcontent"/>
        </w:rPr>
      </w:pPr>
      <w:r>
        <w:rPr>
          <w:rStyle w:val="markedcontent"/>
        </w:rPr>
        <w:t>***</w:t>
      </w:r>
    </w:p>
    <w:p w14:paraId="7E94D580" w14:textId="77777777" w:rsidR="00A82898" w:rsidRPr="00B92CD8" w:rsidRDefault="00A82898" w:rsidP="00A82898">
      <w:pPr>
        <w:pStyle w:val="NormalWeb"/>
        <w:spacing w:before="0" w:beforeAutospacing="0" w:after="0" w:afterAutospacing="0" w:line="255" w:lineRule="atLeast"/>
        <w:ind w:left="720"/>
        <w:rPr>
          <w:rStyle w:val="markedcontent"/>
        </w:rPr>
      </w:pPr>
      <w:r w:rsidRPr="00B92CD8">
        <w:rPr>
          <w:rStyle w:val="markedcontent"/>
        </w:rPr>
        <w:t>For 1,853 of the class members, TransUnion provided misleading credit reports to third-party businesses. We conclude that those 1,853 class members have demonstrated concrete reputational harm and thus have Article III standing to sue on the reasonable-procedures claim</w:t>
      </w:r>
      <w:r>
        <w:rPr>
          <w:rStyle w:val="markedcontent"/>
        </w:rPr>
        <w:t xml:space="preserve">. </w:t>
      </w:r>
      <w:r w:rsidRPr="00B92CD8">
        <w:rPr>
          <w:rStyle w:val="markedcontent"/>
        </w:rPr>
        <w:t xml:space="preserve"> The internal credit files of the other 6,332 class members were not provided to third-party businesses during the relevant </w:t>
      </w:r>
      <w:proofErr w:type="gramStart"/>
      <w:r w:rsidRPr="00B92CD8">
        <w:rPr>
          <w:rStyle w:val="markedcontent"/>
        </w:rPr>
        <w:t>time period</w:t>
      </w:r>
      <w:proofErr w:type="gramEnd"/>
      <w:r w:rsidRPr="00B92CD8">
        <w:rPr>
          <w:rStyle w:val="markedcontent"/>
        </w:rPr>
        <w:t>. We conclude that those 6,332 class members have not demonstrated concrete harm and thus lack Article III standing to sue on the reasonable-procedures claim.”</w:t>
      </w:r>
    </w:p>
    <w:p w14:paraId="2ECF8C42" w14:textId="77777777" w:rsidR="00A82898" w:rsidRPr="00B92CD8" w:rsidRDefault="00A82898" w:rsidP="00A82898">
      <w:pPr>
        <w:pStyle w:val="NormalWeb"/>
        <w:spacing w:before="0" w:beforeAutospacing="0" w:after="0" w:afterAutospacing="0" w:line="255" w:lineRule="atLeast"/>
        <w:ind w:firstLine="720"/>
        <w:rPr>
          <w:rStyle w:val="markedcontent"/>
        </w:rPr>
      </w:pPr>
      <w:hyperlink r:id="rId767" w:history="1">
        <w:r w:rsidRPr="00B92CD8">
          <w:rPr>
            <w:rStyle w:val="Hyperlink"/>
          </w:rPr>
          <w:t>https://www.supremecourt.gov/opinions/20pdf/20-297_4g25.pdf</w:t>
        </w:r>
      </w:hyperlink>
      <w:r w:rsidRPr="00B92CD8">
        <w:rPr>
          <w:rStyle w:val="markedcontent"/>
        </w:rPr>
        <w:t xml:space="preserve"> </w:t>
      </w:r>
    </w:p>
    <w:p w14:paraId="573F0AD7" w14:textId="3EC47492" w:rsidR="00A82898" w:rsidRDefault="00A82898" w:rsidP="00F326E5">
      <w:pPr>
        <w:pStyle w:val="NoSpacing"/>
        <w:rPr>
          <w:rFonts w:ascii="Arial Black" w:hAnsi="Arial Black"/>
          <w:sz w:val="28"/>
          <w:szCs w:val="28"/>
        </w:rPr>
      </w:pPr>
    </w:p>
    <w:p w14:paraId="7AB021E7" w14:textId="77777777" w:rsidR="00A82898" w:rsidRPr="008F342C" w:rsidRDefault="00A82898" w:rsidP="00A82898">
      <w:pPr>
        <w:pStyle w:val="NormalWeb"/>
        <w:spacing w:before="0" w:beforeAutospacing="0" w:after="0" w:afterAutospacing="0" w:line="255" w:lineRule="atLeast"/>
        <w:rPr>
          <w:rStyle w:val="markedcontent"/>
          <w:b/>
          <w:bCs/>
        </w:rPr>
      </w:pPr>
      <w:r w:rsidRPr="008F342C">
        <w:rPr>
          <w:rStyle w:val="markedcontent"/>
          <w:b/>
          <w:bCs/>
        </w:rPr>
        <w:t xml:space="preserve">Legal Lesson Learned: </w:t>
      </w:r>
      <w:r>
        <w:rPr>
          <w:rStyle w:val="markedcontent"/>
          <w:b/>
          <w:bCs/>
        </w:rPr>
        <w:t xml:space="preserve">Credit reporting companies need to improve their process of confirming that an individual is the same person as U.S. Treasury list.  Likewise, Fire &amp; EMS should give applicants adequate opportunity to correct any false information on their credit records. </w:t>
      </w:r>
    </w:p>
    <w:p w14:paraId="5211822B" w14:textId="77777777" w:rsidR="00A82898" w:rsidRDefault="00A82898" w:rsidP="00A82898">
      <w:pPr>
        <w:pStyle w:val="NormalWeb"/>
        <w:spacing w:before="0" w:beforeAutospacing="0" w:after="0" w:afterAutospacing="0" w:line="255" w:lineRule="atLeast"/>
        <w:rPr>
          <w:rStyle w:val="markedcontent"/>
        </w:rPr>
      </w:pPr>
    </w:p>
    <w:p w14:paraId="04BB9127" w14:textId="77777777" w:rsidR="00A82898" w:rsidRDefault="00A82898" w:rsidP="00A82898">
      <w:pPr>
        <w:pStyle w:val="NormalWeb"/>
        <w:spacing w:before="0" w:beforeAutospacing="0" w:after="0" w:afterAutospacing="0" w:line="255" w:lineRule="atLeast"/>
        <w:rPr>
          <w:rStyle w:val="markedcontent"/>
        </w:rPr>
      </w:pPr>
    </w:p>
    <w:p w14:paraId="2ABC3D5E" w14:textId="77777777" w:rsidR="00A82898" w:rsidRDefault="00A82898" w:rsidP="00A82898">
      <w:pPr>
        <w:pStyle w:val="NormalWeb"/>
        <w:spacing w:before="0" w:beforeAutospacing="0" w:after="0" w:afterAutospacing="0" w:line="255" w:lineRule="atLeast"/>
        <w:ind w:left="720"/>
        <w:rPr>
          <w:rStyle w:val="markedcontent"/>
        </w:rPr>
      </w:pPr>
      <w:r>
        <w:rPr>
          <w:rStyle w:val="markedcontent"/>
        </w:rPr>
        <w:lastRenderedPageBreak/>
        <w:t xml:space="preserve">See U.S. Treasury list: </w:t>
      </w:r>
      <w:hyperlink r:id="rId768" w:history="1">
        <w:r w:rsidRPr="0071610B">
          <w:rPr>
            <w:rStyle w:val="Hyperlink"/>
          </w:rPr>
          <w:t>https://home.treasury.gov/policy-issues/financial-sanctions/specially-designated-nationals-and-blocked-persons-list-sdn-human-readable-lists</w:t>
        </w:r>
      </w:hyperlink>
      <w:r>
        <w:rPr>
          <w:rStyle w:val="markedcontent"/>
        </w:rPr>
        <w:t xml:space="preserve"> </w:t>
      </w:r>
    </w:p>
    <w:p w14:paraId="128AFB78" w14:textId="77777777" w:rsidR="00A82898" w:rsidRDefault="00A82898" w:rsidP="00A82898">
      <w:pPr>
        <w:pStyle w:val="NormalWeb"/>
        <w:spacing w:before="0" w:beforeAutospacing="0" w:after="0" w:afterAutospacing="0" w:line="255" w:lineRule="atLeast"/>
        <w:ind w:left="720"/>
      </w:pPr>
    </w:p>
    <w:p w14:paraId="78DDE689" w14:textId="77777777" w:rsidR="00A82898" w:rsidRDefault="00A82898" w:rsidP="00A82898">
      <w:pPr>
        <w:pStyle w:val="NormalWeb"/>
        <w:spacing w:before="0" w:beforeAutospacing="0" w:after="0" w:afterAutospacing="0" w:line="255" w:lineRule="atLeast"/>
        <w:ind w:left="720"/>
      </w:pPr>
      <w:r>
        <w:t xml:space="preserve">“As part of its enforcement efforts, OFAC publishes a list of individuals and companies owned or controlled by, or acting for or on behalf of, targeted countries. It also lists individuals, groups, and entities, such as terrorists and narcotics traffickers designated under programs that are not </w:t>
      </w:r>
      <w:proofErr w:type="gramStart"/>
      <w:r>
        <w:t>country-specific</w:t>
      </w:r>
      <w:proofErr w:type="gramEnd"/>
      <w:r>
        <w:t xml:space="preserve">. Collectively, such individuals and companies are called "Specially Designated Nationals" or "SDNs." Their assets are blocked and U.S. persons are generally prohibited from dealing with them.  View more information on </w:t>
      </w:r>
      <w:hyperlink r:id="rId769" w:history="1">
        <w:r>
          <w:rPr>
            <w:rStyle w:val="Hyperlink"/>
          </w:rPr>
          <w:t>Treasury's Sanctions Programs</w:t>
        </w:r>
      </w:hyperlink>
      <w:r>
        <w:t>. </w:t>
      </w:r>
    </w:p>
    <w:p w14:paraId="73E1FB98" w14:textId="77777777" w:rsidR="00A82898" w:rsidRDefault="00A82898" w:rsidP="00A82898">
      <w:pPr>
        <w:pStyle w:val="NormalWeb"/>
        <w:spacing w:before="0" w:beforeAutospacing="0" w:after="0" w:afterAutospacing="0" w:line="255" w:lineRule="atLeast"/>
        <w:ind w:left="720"/>
      </w:pPr>
    </w:p>
    <w:p w14:paraId="3F7DF0BA" w14:textId="77777777" w:rsidR="00A82898" w:rsidRDefault="00A82898" w:rsidP="00A82898">
      <w:pPr>
        <w:ind w:firstLine="720"/>
      </w:pPr>
      <w:r>
        <w:rPr>
          <w:rStyle w:val="Strong"/>
        </w:rPr>
        <w:t xml:space="preserve">71. How Can I Get </w:t>
      </w:r>
      <w:proofErr w:type="gramStart"/>
      <w:r>
        <w:rPr>
          <w:rStyle w:val="Strong"/>
        </w:rPr>
        <w:t>The</w:t>
      </w:r>
      <w:proofErr w:type="gramEnd"/>
      <w:r>
        <w:rPr>
          <w:rStyle w:val="Strong"/>
        </w:rPr>
        <w:t xml:space="preserve"> OFAC Alert Off My Credit Report? </w:t>
      </w:r>
    </w:p>
    <w:p w14:paraId="5D88E8CF" w14:textId="77777777" w:rsidR="00A82898" w:rsidRDefault="00A82898" w:rsidP="00A82898">
      <w:pPr>
        <w:ind w:firstLine="720"/>
      </w:pPr>
      <w:r>
        <w:t>Answer</w:t>
      </w:r>
    </w:p>
    <w:p w14:paraId="685833D9" w14:textId="77777777" w:rsidR="00A82898" w:rsidRDefault="00A82898" w:rsidP="00A82898">
      <w:pPr>
        <w:pStyle w:val="NormalWeb"/>
        <w:ind w:left="720"/>
      </w:pPr>
      <w:r>
        <w:t xml:space="preserve">A consumer has the right under the Fair Credit Reporting Act (FCRA), 15 U.S.C. 1681 et seq., to request the removal of incorrect information on his/her credit report. To accomplish this, consumers should contact the credit reporting agency or bureau that issued the credit report. For more information on consumers' rights under the FCRA, visit the </w:t>
      </w:r>
      <w:hyperlink r:id="rId770" w:history="1">
        <w:r>
          <w:rPr>
            <w:rStyle w:val="Hyperlink"/>
          </w:rPr>
          <w:t>Federal Trade Commission's website</w:t>
        </w:r>
      </w:hyperlink>
      <w:r>
        <w:t xml:space="preserve"> or the Consumer Financial Protection Bureau at 855-411-2372.</w:t>
      </w:r>
    </w:p>
    <w:p w14:paraId="1ACA0631" w14:textId="77777777" w:rsidR="00A82898" w:rsidRDefault="00A82898" w:rsidP="00A82898">
      <w:pPr>
        <w:pStyle w:val="NormalWeb"/>
        <w:spacing w:before="0" w:beforeAutospacing="0" w:after="0" w:afterAutospacing="0" w:line="255" w:lineRule="atLeast"/>
        <w:rPr>
          <w:rStyle w:val="markedcontent"/>
        </w:rPr>
      </w:pPr>
    </w:p>
    <w:p w14:paraId="535C5107" w14:textId="77777777" w:rsidR="00A82898" w:rsidRDefault="00A82898" w:rsidP="00A82898">
      <w:pPr>
        <w:pStyle w:val="NormalWeb"/>
        <w:spacing w:before="0" w:beforeAutospacing="0" w:after="0" w:afterAutospacing="0" w:line="255" w:lineRule="atLeast"/>
        <w:rPr>
          <w:rStyle w:val="markedcontent"/>
        </w:rPr>
      </w:pPr>
    </w:p>
    <w:p w14:paraId="11B8D42B" w14:textId="77777777" w:rsidR="00A82898" w:rsidRDefault="00A82898" w:rsidP="00F326E5">
      <w:pPr>
        <w:pStyle w:val="NoSpacing"/>
        <w:rPr>
          <w:rFonts w:ascii="Arial Black" w:hAnsi="Arial Black"/>
          <w:sz w:val="28"/>
          <w:szCs w:val="28"/>
        </w:rPr>
      </w:pPr>
    </w:p>
    <w:p w14:paraId="71EAA3F8" w14:textId="77777777" w:rsidR="00A82898" w:rsidRDefault="00A82898" w:rsidP="00F326E5">
      <w:pPr>
        <w:pStyle w:val="NoSpacing"/>
        <w:rPr>
          <w:rFonts w:ascii="Arial Black" w:hAnsi="Arial Black"/>
          <w:sz w:val="28"/>
          <w:szCs w:val="28"/>
        </w:rPr>
      </w:pPr>
    </w:p>
    <w:p w14:paraId="33F6B6C6" w14:textId="77777777" w:rsidR="00A82898" w:rsidRDefault="00A82898" w:rsidP="00F326E5">
      <w:pPr>
        <w:pStyle w:val="NoSpacing"/>
        <w:rPr>
          <w:rFonts w:ascii="Arial Black" w:hAnsi="Arial Black"/>
          <w:sz w:val="28"/>
          <w:szCs w:val="28"/>
        </w:rPr>
      </w:pPr>
    </w:p>
    <w:p w14:paraId="7DB6B032" w14:textId="51A14C3E" w:rsidR="00F27CD5" w:rsidRDefault="00F27CD5" w:rsidP="00F326E5">
      <w:pPr>
        <w:pStyle w:val="NoSpacing"/>
        <w:rPr>
          <w:rFonts w:ascii="Arial Black" w:hAnsi="Arial Black"/>
          <w:sz w:val="28"/>
          <w:szCs w:val="28"/>
        </w:rPr>
      </w:pPr>
      <w:r>
        <w:rPr>
          <w:rFonts w:ascii="Arial Black" w:hAnsi="Arial Black"/>
          <w:sz w:val="28"/>
          <w:szCs w:val="28"/>
        </w:rPr>
        <w:t>3-34</w:t>
      </w:r>
    </w:p>
    <w:p w14:paraId="69554B1C" w14:textId="77777777" w:rsidR="00F27CD5" w:rsidRDefault="00F27CD5" w:rsidP="00F27CD5">
      <w:pPr>
        <w:pStyle w:val="Heading1"/>
        <w:rPr>
          <w:rFonts w:ascii="Arial Black" w:hAnsi="Arial Black"/>
          <w:sz w:val="28"/>
          <w:szCs w:val="28"/>
        </w:rPr>
      </w:pPr>
      <w:r>
        <w:rPr>
          <w:rFonts w:ascii="Arial Black" w:hAnsi="Arial Black"/>
          <w:sz w:val="28"/>
          <w:szCs w:val="28"/>
        </w:rPr>
        <w:t xml:space="preserve">U.S. SUP. CT – ALIEN IN US 8 YEARS, 3 KIDS – INS “STOP THE CLOCK” 10-YR STAT. – SINGLE NOTICE, HEARING DATE </w:t>
      </w:r>
    </w:p>
    <w:p w14:paraId="082F5B20" w14:textId="77777777" w:rsidR="00F27CD5" w:rsidRPr="000E0414" w:rsidRDefault="00F27CD5" w:rsidP="00F27CD5">
      <w:pPr>
        <w:pStyle w:val="Heading1"/>
        <w:rPr>
          <w:b w:val="0"/>
          <w:bCs w:val="0"/>
          <w:sz w:val="24"/>
          <w:szCs w:val="24"/>
        </w:rPr>
      </w:pPr>
      <w:r w:rsidRPr="000E0414">
        <w:rPr>
          <w:b w:val="0"/>
          <w:bCs w:val="0"/>
          <w:sz w:val="24"/>
          <w:szCs w:val="24"/>
        </w:rPr>
        <w:t xml:space="preserve">On April 29, 2021, in </w:t>
      </w:r>
      <w:r w:rsidRPr="000E0414">
        <w:rPr>
          <w:b w:val="0"/>
          <w:bCs w:val="0"/>
          <w:sz w:val="24"/>
          <w:szCs w:val="24"/>
          <w:u w:val="single"/>
        </w:rPr>
        <w:t>Agusto Niz-Chavez v. Garland, Attorney General</w:t>
      </w:r>
      <w:r w:rsidRPr="000E0414">
        <w:rPr>
          <w:b w:val="0"/>
          <w:bCs w:val="0"/>
          <w:sz w:val="24"/>
          <w:szCs w:val="24"/>
        </w:rPr>
        <w:t xml:space="preserve">, the U.S. Supreme Court (6 to 3; majority opinion by Justice Neil Gorsuch), held that the Immigration and Naturalization Service is required by statute to issue a </w:t>
      </w:r>
      <w:r w:rsidRPr="000E0414">
        <w:rPr>
          <w:b w:val="0"/>
          <w:bCs w:val="0"/>
          <w:sz w:val="24"/>
          <w:szCs w:val="24"/>
          <w:u w:val="single"/>
        </w:rPr>
        <w:t>single</w:t>
      </w:r>
      <w:r w:rsidRPr="000E0414">
        <w:rPr>
          <w:b w:val="0"/>
          <w:bCs w:val="0"/>
          <w:sz w:val="24"/>
          <w:szCs w:val="24"/>
        </w:rPr>
        <w:t xml:space="preserve"> Notice of Removal that includes date / location of removal hearing before an Immigration Judge.  Mr. Niz-Chavez </w:t>
      </w:r>
      <w:proofErr w:type="gramStart"/>
      <w:r w:rsidRPr="000E0414">
        <w:rPr>
          <w:b w:val="0"/>
          <w:bCs w:val="0"/>
          <w:sz w:val="24"/>
          <w:szCs w:val="24"/>
        </w:rPr>
        <w:t>deportation cancelled</w:t>
      </w:r>
      <w:proofErr w:type="gramEnd"/>
      <w:r w:rsidRPr="000E0414">
        <w:rPr>
          <w:b w:val="0"/>
          <w:bCs w:val="0"/>
          <w:sz w:val="24"/>
          <w:szCs w:val="24"/>
        </w:rPr>
        <w:t xml:space="preserve">; now has another hearing before Immigration Judge.  Aliens residing in U.S. for 10 or more years may seek “Cancellation of removal” under 8 U.S. Code 1229b, if they have been of good moral character and they can establishes that removal would result in exceptional and extremely unusual hardship to the </w:t>
      </w:r>
      <w:hyperlink r:id="rId771" w:history="1">
        <w:r w:rsidRPr="000E0414">
          <w:rPr>
            <w:rStyle w:val="Hyperlink"/>
            <w:sz w:val="24"/>
            <w:szCs w:val="24"/>
          </w:rPr>
          <w:t>alien</w:t>
        </w:r>
      </w:hyperlink>
      <w:r w:rsidRPr="000E0414">
        <w:rPr>
          <w:b w:val="0"/>
          <w:bCs w:val="0"/>
          <w:sz w:val="24"/>
          <w:szCs w:val="24"/>
        </w:rPr>
        <w:t xml:space="preserve">’s spouse, parent, or child, who is a citizen of the </w:t>
      </w:r>
      <w:hyperlink r:id="rId772" w:history="1">
        <w:r w:rsidRPr="000E0414">
          <w:rPr>
            <w:rStyle w:val="Hyperlink"/>
            <w:sz w:val="24"/>
            <w:szCs w:val="24"/>
          </w:rPr>
          <w:t>United States</w:t>
        </w:r>
      </w:hyperlink>
      <w:r w:rsidRPr="000E0414">
        <w:rPr>
          <w:b w:val="0"/>
          <w:bCs w:val="0"/>
          <w:sz w:val="24"/>
          <w:szCs w:val="24"/>
        </w:rPr>
        <w:t xml:space="preserve"> or an</w:t>
      </w:r>
      <w:hyperlink r:id="rId773" w:history="1">
        <w:r w:rsidRPr="000E0414">
          <w:rPr>
            <w:rStyle w:val="Hyperlink"/>
            <w:sz w:val="24"/>
            <w:szCs w:val="24"/>
          </w:rPr>
          <w:t xml:space="preserve"> alien </w:t>
        </w:r>
      </w:hyperlink>
      <w:hyperlink r:id="rId774" w:history="1">
        <w:r w:rsidRPr="000E0414">
          <w:rPr>
            <w:rStyle w:val="Hyperlink"/>
            <w:sz w:val="24"/>
            <w:szCs w:val="24"/>
          </w:rPr>
          <w:t>lawfully admitted for permanent residence</w:t>
        </w:r>
      </w:hyperlink>
      <w:r w:rsidRPr="000E0414">
        <w:rPr>
          <w:rStyle w:val="Hyperlink"/>
          <w:sz w:val="24"/>
          <w:szCs w:val="24"/>
        </w:rPr>
        <w:t>.  Mr. Niz-Chavez</w:t>
      </w:r>
      <w:r w:rsidRPr="000E0414">
        <w:rPr>
          <w:b w:val="0"/>
          <w:bCs w:val="0"/>
          <w:sz w:val="24"/>
          <w:szCs w:val="24"/>
        </w:rPr>
        <w:t xml:space="preserve"> is a citizen of Guatemala who in 2005 unlawfully entered the United States through the southern </w:t>
      </w:r>
      <w:proofErr w:type="gramStart"/>
      <w:r w:rsidRPr="000E0414">
        <w:rPr>
          <w:b w:val="0"/>
          <w:bCs w:val="0"/>
          <w:sz w:val="24"/>
          <w:szCs w:val="24"/>
        </w:rPr>
        <w:t>border, and</w:t>
      </w:r>
      <w:proofErr w:type="gramEnd"/>
      <w:r w:rsidRPr="000E0414">
        <w:rPr>
          <w:b w:val="0"/>
          <w:bCs w:val="0"/>
          <w:sz w:val="24"/>
          <w:szCs w:val="24"/>
        </w:rPr>
        <w:t xml:space="preserve"> eventually settled in Detroit. INS sent him two Notices of Removal - first notice of Removal, 8 years after he arrived in U.S. (March 26, 2013) did not specify the date of his removal hearing in Detroit.  The second Notice (May 29, 2013) did specify the hearing date (June 25, 2013; then rescheduled 4 years later, Sept. 13, 2017; ordered deported Nov. 8, 2017). </w:t>
      </w:r>
    </w:p>
    <w:p w14:paraId="1BC787F6" w14:textId="77777777" w:rsidR="00F27CD5" w:rsidRDefault="00F27CD5" w:rsidP="00F27CD5">
      <w:pPr>
        <w:ind w:left="720"/>
        <w:rPr>
          <w:rFonts w:ascii="Times New Roman" w:hAnsi="Times New Roman"/>
          <w:sz w:val="24"/>
          <w:szCs w:val="24"/>
        </w:rPr>
      </w:pPr>
      <w:r>
        <w:rPr>
          <w:rFonts w:ascii="Times New Roman" w:hAnsi="Times New Roman"/>
          <w:sz w:val="24"/>
          <w:szCs w:val="24"/>
        </w:rPr>
        <w:t>“</w:t>
      </w:r>
      <w:r w:rsidRPr="002E6393">
        <w:rPr>
          <w:rFonts w:ascii="Times New Roman" w:hAnsi="Times New Roman"/>
          <w:sz w:val="24"/>
          <w:szCs w:val="24"/>
        </w:rPr>
        <w:t>Anyone who has applied for a passport, filed for Social Security benefits, or sought a license understands the government’s affinity for forms. Make a mistake or skip a</w:t>
      </w:r>
      <w:r>
        <w:rPr>
          <w:rFonts w:ascii="Times New Roman" w:hAnsi="Times New Roman"/>
          <w:sz w:val="24"/>
          <w:szCs w:val="24"/>
        </w:rPr>
        <w:t xml:space="preserve"> </w:t>
      </w:r>
      <w:r w:rsidRPr="002E6393">
        <w:rPr>
          <w:rFonts w:ascii="Times New Roman" w:hAnsi="Times New Roman"/>
          <w:sz w:val="24"/>
          <w:szCs w:val="24"/>
        </w:rPr>
        <w:t>page? Go back and try again, sometimes with a penalty for the trouble. But it turns out the federal government finds</w:t>
      </w:r>
      <w:r>
        <w:rPr>
          <w:rFonts w:ascii="Times New Roman" w:hAnsi="Times New Roman"/>
          <w:sz w:val="24"/>
          <w:szCs w:val="24"/>
        </w:rPr>
        <w:t xml:space="preserve"> </w:t>
      </w:r>
      <w:r w:rsidRPr="002E6393">
        <w:rPr>
          <w:rFonts w:ascii="Times New Roman" w:hAnsi="Times New Roman"/>
          <w:sz w:val="24"/>
          <w:szCs w:val="24"/>
        </w:rPr>
        <w:t>some of its forms frustrating too. The Illegal Immigration</w:t>
      </w:r>
      <w:r>
        <w:rPr>
          <w:rFonts w:ascii="Times New Roman" w:hAnsi="Times New Roman"/>
          <w:sz w:val="24"/>
          <w:szCs w:val="24"/>
        </w:rPr>
        <w:t xml:space="preserve"> </w:t>
      </w:r>
      <w:r w:rsidRPr="002E6393">
        <w:rPr>
          <w:rFonts w:ascii="Times New Roman" w:hAnsi="Times New Roman"/>
          <w:sz w:val="24"/>
          <w:szCs w:val="24"/>
        </w:rPr>
        <w:t xml:space="preserve">Reform and Immigrant Responsibility Act of 1996 (IIRIRA),110 Stat. 3009–546, requires the government to serve </w:t>
      </w:r>
      <w:r>
        <w:rPr>
          <w:rFonts w:ascii="Times New Roman" w:hAnsi="Times New Roman"/>
          <w:sz w:val="24"/>
          <w:szCs w:val="24"/>
        </w:rPr>
        <w:t>‘</w:t>
      </w:r>
      <w:r w:rsidRPr="002E6393">
        <w:rPr>
          <w:rFonts w:ascii="Times New Roman" w:hAnsi="Times New Roman"/>
          <w:sz w:val="24"/>
          <w:szCs w:val="24"/>
        </w:rPr>
        <w:t>a notice to appear</w:t>
      </w:r>
      <w:r>
        <w:rPr>
          <w:rFonts w:ascii="Times New Roman" w:hAnsi="Times New Roman"/>
          <w:sz w:val="24"/>
          <w:szCs w:val="24"/>
        </w:rPr>
        <w:t>’</w:t>
      </w:r>
      <w:r w:rsidRPr="002E6393">
        <w:rPr>
          <w:rFonts w:ascii="Times New Roman" w:hAnsi="Times New Roman"/>
          <w:sz w:val="24"/>
          <w:szCs w:val="24"/>
        </w:rPr>
        <w:t xml:space="preserve"> on individuals it </w:t>
      </w:r>
      <w:r w:rsidRPr="002E6393">
        <w:rPr>
          <w:rFonts w:ascii="Times New Roman" w:hAnsi="Times New Roman"/>
          <w:sz w:val="24"/>
          <w:szCs w:val="24"/>
        </w:rPr>
        <w:lastRenderedPageBreak/>
        <w:t xml:space="preserve">wishes to remove from this country. At first blush, a notice </w:t>
      </w:r>
      <w:proofErr w:type="gramStart"/>
      <w:r w:rsidRPr="002E6393">
        <w:rPr>
          <w:rFonts w:ascii="Times New Roman" w:hAnsi="Times New Roman"/>
          <w:sz w:val="24"/>
          <w:szCs w:val="24"/>
        </w:rPr>
        <w:t>to appear</w:t>
      </w:r>
      <w:proofErr w:type="gramEnd"/>
      <w:r w:rsidRPr="002E6393">
        <w:rPr>
          <w:rFonts w:ascii="Times New Roman" w:hAnsi="Times New Roman"/>
          <w:sz w:val="24"/>
          <w:szCs w:val="24"/>
        </w:rPr>
        <w:t xml:space="preserve"> might seem to be just that—a single document containing all the information an individual needs to know about his removal hearing.</w:t>
      </w:r>
      <w:r>
        <w:rPr>
          <w:rFonts w:ascii="Times New Roman" w:hAnsi="Times New Roman"/>
          <w:sz w:val="24"/>
          <w:szCs w:val="24"/>
        </w:rPr>
        <w:t xml:space="preserve"> </w:t>
      </w:r>
      <w:r w:rsidRPr="002E6393">
        <w:rPr>
          <w:rFonts w:ascii="Times New Roman" w:hAnsi="Times New Roman"/>
          <w:sz w:val="24"/>
          <w:szCs w:val="24"/>
        </w:rPr>
        <w:t>But, the government says, supplying so much information</w:t>
      </w:r>
      <w:r>
        <w:rPr>
          <w:rFonts w:ascii="Times New Roman" w:hAnsi="Times New Roman"/>
          <w:sz w:val="24"/>
          <w:szCs w:val="24"/>
        </w:rPr>
        <w:t xml:space="preserve"> </w:t>
      </w:r>
      <w:r w:rsidRPr="002E6393">
        <w:rPr>
          <w:rFonts w:ascii="Times New Roman" w:hAnsi="Times New Roman"/>
          <w:sz w:val="24"/>
          <w:szCs w:val="24"/>
        </w:rPr>
        <w:t>in a single form is too taxing. It needs more flexibility, allowing its officials to provide information in separate mailings (as many as they wish) over time (</w:t>
      </w:r>
      <w:proofErr w:type="gramStart"/>
      <w:r w:rsidRPr="002E6393">
        <w:rPr>
          <w:rFonts w:ascii="Times New Roman" w:hAnsi="Times New Roman"/>
          <w:sz w:val="24"/>
          <w:szCs w:val="24"/>
        </w:rPr>
        <w:t>as long as</w:t>
      </w:r>
      <w:proofErr w:type="gramEnd"/>
      <w:r w:rsidRPr="002E6393">
        <w:rPr>
          <w:rFonts w:ascii="Times New Roman" w:hAnsi="Times New Roman"/>
          <w:sz w:val="24"/>
          <w:szCs w:val="24"/>
        </w:rPr>
        <w:t xml:space="preserve"> they </w:t>
      </w:r>
      <w:proofErr w:type="gramStart"/>
      <w:r w:rsidRPr="002E6393">
        <w:rPr>
          <w:rFonts w:ascii="Times New Roman" w:hAnsi="Times New Roman"/>
          <w:sz w:val="24"/>
          <w:szCs w:val="24"/>
        </w:rPr>
        <w:t>find</w:t>
      </w:r>
      <w:proofErr w:type="gramEnd"/>
      <w:r w:rsidRPr="002E6393">
        <w:rPr>
          <w:rFonts w:ascii="Times New Roman" w:hAnsi="Times New Roman"/>
          <w:sz w:val="24"/>
          <w:szCs w:val="24"/>
        </w:rPr>
        <w:t xml:space="preserve"> convenient). The question for us is whether the law Congress adopted tolerates the government’s preferred practice.</w:t>
      </w:r>
    </w:p>
    <w:p w14:paraId="50B797B9" w14:textId="77777777" w:rsidR="00F27CD5" w:rsidRDefault="00F27CD5" w:rsidP="00F27CD5">
      <w:pPr>
        <w:ind w:left="720"/>
        <w:rPr>
          <w:rFonts w:ascii="Times New Roman" w:hAnsi="Times New Roman"/>
          <w:sz w:val="24"/>
          <w:szCs w:val="24"/>
        </w:rPr>
      </w:pPr>
    </w:p>
    <w:p w14:paraId="2E446641" w14:textId="77777777" w:rsidR="00F27CD5" w:rsidRDefault="00F27CD5" w:rsidP="00F27CD5">
      <w:pPr>
        <w:ind w:left="720"/>
        <w:rPr>
          <w:rFonts w:ascii="Times New Roman" w:hAnsi="Times New Roman"/>
          <w:sz w:val="24"/>
          <w:szCs w:val="24"/>
        </w:rPr>
      </w:pPr>
      <w:r>
        <w:rPr>
          <w:rFonts w:ascii="Times New Roman" w:hAnsi="Times New Roman"/>
          <w:sz w:val="24"/>
          <w:szCs w:val="24"/>
        </w:rPr>
        <w:t>***</w:t>
      </w:r>
    </w:p>
    <w:p w14:paraId="1113A17C" w14:textId="77777777" w:rsidR="00F27CD5" w:rsidRPr="00892BE0" w:rsidRDefault="00F27CD5" w:rsidP="00F27CD5">
      <w:pPr>
        <w:ind w:left="720"/>
        <w:rPr>
          <w:rFonts w:ascii="Times New Roman" w:hAnsi="Times New Roman"/>
          <w:sz w:val="24"/>
          <w:szCs w:val="24"/>
        </w:rPr>
      </w:pPr>
      <w:r w:rsidRPr="00892BE0">
        <w:rPr>
          <w:rFonts w:ascii="Times New Roman" w:hAnsi="Times New Roman"/>
          <w:sz w:val="24"/>
          <w:szCs w:val="24"/>
        </w:rPr>
        <w:t>Our only job today is to give</w:t>
      </w:r>
      <w:r>
        <w:rPr>
          <w:rFonts w:ascii="Times New Roman" w:hAnsi="Times New Roman"/>
          <w:sz w:val="24"/>
          <w:szCs w:val="24"/>
        </w:rPr>
        <w:t xml:space="preserve"> </w:t>
      </w:r>
      <w:r w:rsidRPr="00892BE0">
        <w:rPr>
          <w:rFonts w:ascii="Times New Roman" w:hAnsi="Times New Roman"/>
          <w:sz w:val="24"/>
          <w:szCs w:val="24"/>
        </w:rPr>
        <w:t xml:space="preserve">the law’s terms their ordinary meaning and, in that small way, ensure the federal government does not exceed its statutory license. Interpreting the phrase </w:t>
      </w:r>
      <w:r>
        <w:rPr>
          <w:rFonts w:ascii="Times New Roman" w:hAnsi="Times New Roman"/>
          <w:sz w:val="24"/>
          <w:szCs w:val="24"/>
        </w:rPr>
        <w:t>‘</w:t>
      </w:r>
      <w:r w:rsidRPr="00892BE0">
        <w:rPr>
          <w:rFonts w:ascii="Times New Roman" w:hAnsi="Times New Roman"/>
          <w:sz w:val="24"/>
          <w:szCs w:val="24"/>
        </w:rPr>
        <w:t>a notice to appear</w:t>
      </w:r>
      <w:r>
        <w:rPr>
          <w:rFonts w:ascii="Times New Roman" w:hAnsi="Times New Roman"/>
          <w:sz w:val="24"/>
          <w:szCs w:val="24"/>
        </w:rPr>
        <w:t>’</w:t>
      </w:r>
      <w:r w:rsidRPr="00892BE0">
        <w:rPr>
          <w:rFonts w:ascii="Times New Roman" w:hAnsi="Times New Roman"/>
          <w:sz w:val="24"/>
          <w:szCs w:val="24"/>
        </w:rPr>
        <w:t xml:space="preserve"> to require a single notice—rather than 2 or 20 documents—does just that</w:t>
      </w:r>
      <w:r>
        <w:rPr>
          <w:rFonts w:ascii="Times New Roman" w:hAnsi="Times New Roman"/>
          <w:sz w:val="24"/>
          <w:szCs w:val="24"/>
        </w:rPr>
        <w:t xml:space="preserve">…. </w:t>
      </w:r>
      <w:r w:rsidRPr="00892BE0">
        <w:rPr>
          <w:rFonts w:ascii="Times New Roman" w:hAnsi="Times New Roman"/>
          <w:sz w:val="24"/>
          <w:szCs w:val="24"/>
        </w:rPr>
        <w:t>At one level, today’s dispute may seem semantic, focused on a single word, a small one at that. But words are how the law constrains power. In this case, the law’s terms ensure that, when the federal government seeks a procedural advantage against an individual, it will at least supply him with a single and reasonably comprehensive statement of the nature of the proceedings against him. If men must turn square corners when they deal with the government, it cannot be too much to expect the government to turn square corners when it deals with them.</w:t>
      </w:r>
      <w:r>
        <w:rPr>
          <w:rFonts w:ascii="Times New Roman" w:hAnsi="Times New Roman"/>
          <w:sz w:val="24"/>
          <w:szCs w:val="24"/>
        </w:rPr>
        <w:t xml:space="preserve">” </w:t>
      </w:r>
      <w:hyperlink r:id="rId775" w:history="1">
        <w:r w:rsidRPr="001969BB">
          <w:rPr>
            <w:rStyle w:val="Hyperlink"/>
            <w:sz w:val="24"/>
            <w:szCs w:val="24"/>
          </w:rPr>
          <w:t>https://www.supremecourt.gov/opinions/20pdf/19-863_6jgm.pdf</w:t>
        </w:r>
      </w:hyperlink>
      <w:r>
        <w:rPr>
          <w:rFonts w:ascii="Times New Roman" w:hAnsi="Times New Roman"/>
          <w:sz w:val="24"/>
          <w:szCs w:val="24"/>
        </w:rPr>
        <w:t xml:space="preserve"> </w:t>
      </w:r>
    </w:p>
    <w:p w14:paraId="20716139" w14:textId="77777777" w:rsidR="00F27CD5" w:rsidRPr="00CB33A6" w:rsidRDefault="00F27CD5" w:rsidP="00F27CD5">
      <w:pPr>
        <w:rPr>
          <w:rFonts w:ascii="Times New Roman" w:hAnsi="Times New Roman"/>
          <w:b/>
          <w:bCs/>
          <w:sz w:val="24"/>
          <w:szCs w:val="24"/>
        </w:rPr>
      </w:pPr>
      <w:r w:rsidRPr="00CB33A6">
        <w:rPr>
          <w:rFonts w:ascii="Times New Roman" w:hAnsi="Times New Roman"/>
          <w:b/>
          <w:bCs/>
          <w:sz w:val="24"/>
          <w:szCs w:val="24"/>
        </w:rPr>
        <w:t xml:space="preserve">Legal Lesson Learned: </w:t>
      </w:r>
      <w:r>
        <w:rPr>
          <w:rFonts w:ascii="Times New Roman" w:hAnsi="Times New Roman"/>
          <w:b/>
          <w:bCs/>
          <w:sz w:val="24"/>
          <w:szCs w:val="24"/>
        </w:rPr>
        <w:t xml:space="preserve">The majority opinion is now the law of the land; INS can  “stop the clock” on the 10-year “Cancellation of Removal” statute, only when they provide a single Notice that includes the date / place of removal hearing. </w:t>
      </w:r>
    </w:p>
    <w:p w14:paraId="38AB7FAE" w14:textId="77777777" w:rsidR="00F27CD5" w:rsidRDefault="00F27CD5" w:rsidP="00F27CD5">
      <w:pPr>
        <w:ind w:left="720"/>
        <w:rPr>
          <w:rFonts w:ascii="Times New Roman" w:hAnsi="Times New Roman"/>
          <w:sz w:val="24"/>
          <w:szCs w:val="24"/>
        </w:rPr>
      </w:pPr>
    </w:p>
    <w:p w14:paraId="264E03FD" w14:textId="77777777" w:rsidR="00F27CD5" w:rsidRPr="00BC2B99" w:rsidRDefault="00F27CD5" w:rsidP="00F27CD5">
      <w:pPr>
        <w:pStyle w:val="NoSpacing"/>
        <w:ind w:left="720"/>
        <w:rPr>
          <w:rFonts w:ascii="Times New Roman" w:hAnsi="Times New Roman"/>
          <w:sz w:val="24"/>
          <w:szCs w:val="24"/>
        </w:rPr>
      </w:pPr>
      <w:r w:rsidRPr="00BC2B99">
        <w:rPr>
          <w:rFonts w:ascii="Times New Roman" w:hAnsi="Times New Roman"/>
          <w:sz w:val="24"/>
          <w:szCs w:val="24"/>
        </w:rPr>
        <w:t xml:space="preserve">Note:  </w:t>
      </w:r>
    </w:p>
    <w:p w14:paraId="19FBC938" w14:textId="77777777" w:rsidR="00F27CD5" w:rsidRPr="004D18E0" w:rsidRDefault="00F27CD5" w:rsidP="00F27CD5">
      <w:pPr>
        <w:pStyle w:val="Heading1"/>
        <w:ind w:left="720"/>
        <w:rPr>
          <w:b w:val="0"/>
          <w:bCs w:val="0"/>
          <w:sz w:val="24"/>
          <w:szCs w:val="24"/>
        </w:rPr>
      </w:pPr>
      <w:r w:rsidRPr="004D18E0">
        <w:rPr>
          <w:sz w:val="24"/>
          <w:szCs w:val="24"/>
        </w:rPr>
        <w:t>8 U.S. Code § 1229b - Cancellation of removal; adjustment of status</w:t>
      </w:r>
      <w:r>
        <w:rPr>
          <w:sz w:val="24"/>
          <w:szCs w:val="24"/>
        </w:rPr>
        <w:t xml:space="preserve">: </w:t>
      </w:r>
      <w:hyperlink r:id="rId776" w:history="1">
        <w:r w:rsidRPr="001969BB">
          <w:rPr>
            <w:rStyle w:val="Hyperlink"/>
            <w:sz w:val="24"/>
            <w:szCs w:val="24"/>
          </w:rPr>
          <w:t>https://www.law.cornell.edu/uscode/text/8/1229b</w:t>
        </w:r>
      </w:hyperlink>
      <w:r>
        <w:rPr>
          <w:sz w:val="24"/>
          <w:szCs w:val="24"/>
        </w:rPr>
        <w:t xml:space="preserve"> </w:t>
      </w:r>
    </w:p>
    <w:p w14:paraId="6B6327AF" w14:textId="77777777" w:rsidR="00F27CD5" w:rsidRPr="004D18E0" w:rsidRDefault="00F27CD5" w:rsidP="00F27CD5">
      <w:pPr>
        <w:ind w:left="1440"/>
        <w:rPr>
          <w:rFonts w:ascii="Times New Roman" w:hAnsi="Times New Roman"/>
          <w:sz w:val="24"/>
          <w:szCs w:val="24"/>
        </w:rPr>
      </w:pPr>
      <w:r w:rsidRPr="004D18E0">
        <w:rPr>
          <w:rStyle w:val="num"/>
          <w:rFonts w:ascii="Times New Roman" w:hAnsi="Times New Roman"/>
          <w:sz w:val="24"/>
          <w:szCs w:val="24"/>
        </w:rPr>
        <w:t>(b)</w:t>
      </w:r>
      <w:r w:rsidRPr="004D18E0">
        <w:rPr>
          <w:rStyle w:val="heading"/>
          <w:rFonts w:ascii="Times New Roman" w:hAnsi="Times New Roman"/>
          <w:sz w:val="24"/>
          <w:szCs w:val="24"/>
        </w:rPr>
        <w:t xml:space="preserve"> Cancellation of removal and adjustment of status for certain nonpermanent residents</w:t>
      </w:r>
      <w:r w:rsidRPr="004D18E0">
        <w:rPr>
          <w:rFonts w:ascii="Times New Roman" w:hAnsi="Times New Roman"/>
          <w:sz w:val="24"/>
          <w:szCs w:val="24"/>
        </w:rPr>
        <w:t xml:space="preserve"> </w:t>
      </w:r>
    </w:p>
    <w:p w14:paraId="55F64335" w14:textId="77777777" w:rsidR="00F27CD5" w:rsidRDefault="00F27CD5" w:rsidP="00F27CD5">
      <w:pPr>
        <w:ind w:left="720" w:firstLine="720"/>
        <w:rPr>
          <w:rStyle w:val="heading"/>
          <w:rFonts w:ascii="Times New Roman" w:hAnsi="Times New Roman"/>
          <w:sz w:val="24"/>
          <w:szCs w:val="24"/>
        </w:rPr>
      </w:pPr>
      <w:r w:rsidRPr="004D18E0">
        <w:rPr>
          <w:rStyle w:val="num"/>
          <w:rFonts w:ascii="Times New Roman" w:hAnsi="Times New Roman"/>
          <w:sz w:val="24"/>
          <w:szCs w:val="24"/>
        </w:rPr>
        <w:t>(1)</w:t>
      </w:r>
      <w:r w:rsidRPr="004D18E0">
        <w:rPr>
          <w:rStyle w:val="heading"/>
          <w:rFonts w:ascii="Times New Roman" w:hAnsi="Times New Roman"/>
          <w:sz w:val="24"/>
          <w:szCs w:val="24"/>
        </w:rPr>
        <w:t xml:space="preserve"> In general</w:t>
      </w:r>
    </w:p>
    <w:p w14:paraId="637D31FA" w14:textId="77777777" w:rsidR="00F27CD5" w:rsidRPr="004D18E0" w:rsidRDefault="00F27CD5" w:rsidP="00F27CD5">
      <w:pPr>
        <w:ind w:left="1440"/>
        <w:rPr>
          <w:rFonts w:ascii="Times New Roman" w:hAnsi="Times New Roman"/>
          <w:sz w:val="24"/>
          <w:szCs w:val="24"/>
        </w:rPr>
      </w:pPr>
      <w:r w:rsidRPr="004D18E0">
        <w:rPr>
          <w:rStyle w:val="chapeau"/>
          <w:rFonts w:ascii="Times New Roman" w:hAnsi="Times New Roman"/>
          <w:sz w:val="24"/>
          <w:szCs w:val="24"/>
        </w:rPr>
        <w:t xml:space="preserve">The </w:t>
      </w:r>
      <w:hyperlink r:id="rId777" w:history="1">
        <w:r w:rsidRPr="004D18E0">
          <w:rPr>
            <w:rStyle w:val="Hyperlink"/>
            <w:sz w:val="24"/>
            <w:szCs w:val="24"/>
          </w:rPr>
          <w:t>Attorney General</w:t>
        </w:r>
      </w:hyperlink>
      <w:r w:rsidRPr="004D18E0">
        <w:rPr>
          <w:rStyle w:val="chapeau"/>
          <w:rFonts w:ascii="Times New Roman" w:hAnsi="Times New Roman"/>
          <w:sz w:val="24"/>
          <w:szCs w:val="24"/>
        </w:rPr>
        <w:t xml:space="preserve"> may cancel removal of, and adjust to the status of an</w:t>
      </w:r>
      <w:hyperlink r:id="rId778" w:history="1">
        <w:r w:rsidRPr="004D18E0">
          <w:rPr>
            <w:rStyle w:val="Hyperlink"/>
            <w:sz w:val="24"/>
            <w:szCs w:val="24"/>
          </w:rPr>
          <w:t xml:space="preserve"> alien </w:t>
        </w:r>
      </w:hyperlink>
      <w:hyperlink r:id="rId779" w:history="1">
        <w:r w:rsidRPr="004D18E0">
          <w:rPr>
            <w:rStyle w:val="Hyperlink"/>
            <w:sz w:val="24"/>
            <w:szCs w:val="24"/>
          </w:rPr>
          <w:t>lawfully admitted for permanent residence</w:t>
        </w:r>
      </w:hyperlink>
      <w:r w:rsidRPr="004D18E0">
        <w:rPr>
          <w:rStyle w:val="chapeau"/>
          <w:rFonts w:ascii="Times New Roman" w:hAnsi="Times New Roman"/>
          <w:sz w:val="24"/>
          <w:szCs w:val="24"/>
        </w:rPr>
        <w:t>, an</w:t>
      </w:r>
      <w:hyperlink r:id="rId780" w:history="1">
        <w:r w:rsidRPr="004D18E0">
          <w:rPr>
            <w:rStyle w:val="Hyperlink"/>
            <w:sz w:val="24"/>
            <w:szCs w:val="24"/>
          </w:rPr>
          <w:t xml:space="preserve"> alien </w:t>
        </w:r>
      </w:hyperlink>
      <w:r w:rsidRPr="004D18E0">
        <w:rPr>
          <w:rStyle w:val="chapeau"/>
          <w:rFonts w:ascii="Times New Roman" w:hAnsi="Times New Roman"/>
          <w:sz w:val="24"/>
          <w:szCs w:val="24"/>
        </w:rPr>
        <w:t>who is inadmissible or deportable from the</w:t>
      </w:r>
      <w:hyperlink r:id="rId781" w:history="1">
        <w:r w:rsidRPr="004D18E0">
          <w:rPr>
            <w:rStyle w:val="Hyperlink"/>
            <w:sz w:val="24"/>
            <w:szCs w:val="24"/>
          </w:rPr>
          <w:t xml:space="preserve"> United States </w:t>
        </w:r>
      </w:hyperlink>
      <w:r w:rsidRPr="004D18E0">
        <w:rPr>
          <w:rStyle w:val="chapeau"/>
          <w:rFonts w:ascii="Times New Roman" w:hAnsi="Times New Roman"/>
          <w:sz w:val="24"/>
          <w:szCs w:val="24"/>
        </w:rPr>
        <w:t>if the</w:t>
      </w:r>
      <w:hyperlink r:id="rId782" w:history="1">
        <w:r w:rsidRPr="004D18E0">
          <w:rPr>
            <w:rStyle w:val="Hyperlink"/>
            <w:sz w:val="24"/>
            <w:szCs w:val="24"/>
          </w:rPr>
          <w:t xml:space="preserve"> alien—</w:t>
        </w:r>
      </w:hyperlink>
      <w:r w:rsidRPr="004D18E0">
        <w:rPr>
          <w:rFonts w:ascii="Times New Roman" w:hAnsi="Times New Roman"/>
          <w:sz w:val="24"/>
          <w:szCs w:val="24"/>
        </w:rPr>
        <w:t xml:space="preserve"> </w:t>
      </w:r>
    </w:p>
    <w:p w14:paraId="54F328F9" w14:textId="77777777" w:rsidR="00F27CD5" w:rsidRPr="004D18E0" w:rsidRDefault="00F27CD5" w:rsidP="00F27CD5">
      <w:pPr>
        <w:ind w:left="720" w:firstLine="720"/>
        <w:rPr>
          <w:rFonts w:ascii="Times New Roman" w:hAnsi="Times New Roman"/>
          <w:sz w:val="24"/>
          <w:szCs w:val="24"/>
        </w:rPr>
      </w:pPr>
      <w:r w:rsidRPr="004D18E0">
        <w:rPr>
          <w:rStyle w:val="num"/>
          <w:rFonts w:ascii="Times New Roman" w:hAnsi="Times New Roman"/>
          <w:sz w:val="24"/>
          <w:szCs w:val="24"/>
        </w:rPr>
        <w:t>(A)</w:t>
      </w:r>
    </w:p>
    <w:p w14:paraId="0F77BA8B" w14:textId="77777777" w:rsidR="00F27CD5" w:rsidRPr="004D18E0" w:rsidRDefault="00F27CD5" w:rsidP="00F27CD5">
      <w:pPr>
        <w:ind w:left="1440"/>
        <w:rPr>
          <w:rFonts w:ascii="Times New Roman" w:hAnsi="Times New Roman"/>
          <w:sz w:val="24"/>
          <w:szCs w:val="24"/>
        </w:rPr>
      </w:pPr>
      <w:r w:rsidRPr="004D18E0">
        <w:rPr>
          <w:rFonts w:ascii="Times New Roman" w:hAnsi="Times New Roman"/>
          <w:sz w:val="24"/>
          <w:szCs w:val="24"/>
        </w:rPr>
        <w:t xml:space="preserve">has been physically present in the </w:t>
      </w:r>
      <w:hyperlink r:id="rId783" w:history="1">
        <w:r w:rsidRPr="004D18E0">
          <w:rPr>
            <w:rStyle w:val="Hyperlink"/>
            <w:sz w:val="24"/>
            <w:szCs w:val="24"/>
          </w:rPr>
          <w:t>United States</w:t>
        </w:r>
      </w:hyperlink>
      <w:r w:rsidRPr="004D18E0">
        <w:rPr>
          <w:rFonts w:ascii="Times New Roman" w:hAnsi="Times New Roman"/>
          <w:sz w:val="24"/>
          <w:szCs w:val="24"/>
        </w:rPr>
        <w:t xml:space="preserve"> for a continuous period of not less than 10 years immediately preceding the date of such application;</w:t>
      </w:r>
    </w:p>
    <w:p w14:paraId="7F3C110D" w14:textId="77777777" w:rsidR="00F27CD5" w:rsidRPr="004D18E0" w:rsidRDefault="00F27CD5" w:rsidP="00F27CD5">
      <w:pPr>
        <w:ind w:left="720" w:firstLine="720"/>
        <w:rPr>
          <w:rFonts w:ascii="Times New Roman" w:hAnsi="Times New Roman"/>
          <w:sz w:val="24"/>
          <w:szCs w:val="24"/>
        </w:rPr>
      </w:pPr>
      <w:r w:rsidRPr="004D18E0">
        <w:rPr>
          <w:rStyle w:val="num"/>
          <w:rFonts w:ascii="Times New Roman" w:hAnsi="Times New Roman"/>
          <w:sz w:val="24"/>
          <w:szCs w:val="24"/>
        </w:rPr>
        <w:t>(B)</w:t>
      </w:r>
      <w:r w:rsidRPr="004D18E0">
        <w:rPr>
          <w:rFonts w:ascii="Times New Roman" w:hAnsi="Times New Roman"/>
          <w:sz w:val="24"/>
          <w:szCs w:val="24"/>
        </w:rPr>
        <w:t xml:space="preserve"> </w:t>
      </w:r>
    </w:p>
    <w:p w14:paraId="3E672685" w14:textId="77777777" w:rsidR="00F27CD5" w:rsidRPr="004D18E0" w:rsidRDefault="00F27CD5" w:rsidP="00F27CD5">
      <w:pPr>
        <w:ind w:left="720" w:firstLine="720"/>
        <w:rPr>
          <w:rFonts w:ascii="Times New Roman" w:hAnsi="Times New Roman"/>
          <w:sz w:val="24"/>
          <w:szCs w:val="24"/>
        </w:rPr>
      </w:pPr>
      <w:r w:rsidRPr="004D18E0">
        <w:rPr>
          <w:rFonts w:ascii="Times New Roman" w:hAnsi="Times New Roman"/>
          <w:sz w:val="24"/>
          <w:szCs w:val="24"/>
        </w:rPr>
        <w:t>has been a person of good moral character during such period;</w:t>
      </w:r>
    </w:p>
    <w:p w14:paraId="163D8D77" w14:textId="77777777" w:rsidR="00F27CD5" w:rsidRPr="004D18E0" w:rsidRDefault="00F27CD5" w:rsidP="00F27CD5">
      <w:pPr>
        <w:ind w:left="720" w:firstLine="720"/>
        <w:rPr>
          <w:rFonts w:ascii="Times New Roman" w:hAnsi="Times New Roman"/>
          <w:sz w:val="24"/>
          <w:szCs w:val="24"/>
        </w:rPr>
      </w:pPr>
      <w:r w:rsidRPr="004D18E0">
        <w:rPr>
          <w:rStyle w:val="num"/>
          <w:rFonts w:ascii="Times New Roman" w:hAnsi="Times New Roman"/>
          <w:sz w:val="24"/>
          <w:szCs w:val="24"/>
        </w:rPr>
        <w:t>(C)</w:t>
      </w:r>
    </w:p>
    <w:p w14:paraId="5268DD34" w14:textId="77777777" w:rsidR="00F27CD5" w:rsidRPr="004D18E0" w:rsidRDefault="00F27CD5" w:rsidP="00F27CD5">
      <w:pPr>
        <w:ind w:left="1440"/>
        <w:rPr>
          <w:rFonts w:ascii="Times New Roman" w:hAnsi="Times New Roman"/>
          <w:sz w:val="24"/>
          <w:szCs w:val="24"/>
        </w:rPr>
      </w:pPr>
      <w:r w:rsidRPr="004D18E0">
        <w:rPr>
          <w:rFonts w:ascii="Times New Roman" w:hAnsi="Times New Roman"/>
          <w:sz w:val="24"/>
          <w:szCs w:val="24"/>
        </w:rPr>
        <w:lastRenderedPageBreak/>
        <w:t xml:space="preserve">has not been convicted of an offense under section </w:t>
      </w:r>
      <w:hyperlink r:id="rId784" w:anchor="a_2" w:history="1">
        <w:r w:rsidRPr="004D18E0">
          <w:rPr>
            <w:rStyle w:val="Hyperlink"/>
            <w:sz w:val="24"/>
            <w:szCs w:val="24"/>
          </w:rPr>
          <w:t>1182(a)(2)</w:t>
        </w:r>
      </w:hyperlink>
      <w:r w:rsidRPr="004D18E0">
        <w:rPr>
          <w:rFonts w:ascii="Times New Roman" w:hAnsi="Times New Roman"/>
          <w:sz w:val="24"/>
          <w:szCs w:val="24"/>
        </w:rPr>
        <w:t xml:space="preserve">, </w:t>
      </w:r>
      <w:hyperlink r:id="rId785" w:anchor="a_2" w:history="1">
        <w:r w:rsidRPr="004D18E0">
          <w:rPr>
            <w:rStyle w:val="Hyperlink"/>
            <w:sz w:val="24"/>
            <w:szCs w:val="24"/>
          </w:rPr>
          <w:t>1227(a)(2)</w:t>
        </w:r>
      </w:hyperlink>
      <w:r w:rsidRPr="004D18E0">
        <w:rPr>
          <w:rFonts w:ascii="Times New Roman" w:hAnsi="Times New Roman"/>
          <w:sz w:val="24"/>
          <w:szCs w:val="24"/>
        </w:rPr>
        <w:t xml:space="preserve">, or </w:t>
      </w:r>
      <w:hyperlink r:id="rId786" w:anchor="a_3" w:history="1">
        <w:r w:rsidRPr="004D18E0">
          <w:rPr>
            <w:rStyle w:val="Hyperlink"/>
            <w:sz w:val="24"/>
            <w:szCs w:val="24"/>
          </w:rPr>
          <w:t>1227(a)(3)</w:t>
        </w:r>
      </w:hyperlink>
      <w:r w:rsidRPr="004D18E0">
        <w:rPr>
          <w:rFonts w:ascii="Times New Roman" w:hAnsi="Times New Roman"/>
          <w:sz w:val="24"/>
          <w:szCs w:val="24"/>
        </w:rPr>
        <w:t xml:space="preserve"> of this title, subject to paragraph (5); and</w:t>
      </w:r>
    </w:p>
    <w:p w14:paraId="1BFAFEF7" w14:textId="77777777" w:rsidR="00F27CD5" w:rsidRDefault="00F27CD5" w:rsidP="00F27CD5">
      <w:pPr>
        <w:ind w:left="720" w:firstLine="720"/>
        <w:rPr>
          <w:rFonts w:ascii="Times New Roman" w:hAnsi="Times New Roman"/>
          <w:sz w:val="24"/>
          <w:szCs w:val="24"/>
        </w:rPr>
      </w:pPr>
      <w:r w:rsidRPr="004D18E0">
        <w:rPr>
          <w:rStyle w:val="num"/>
          <w:rFonts w:ascii="Times New Roman" w:hAnsi="Times New Roman"/>
          <w:sz w:val="24"/>
          <w:szCs w:val="24"/>
        </w:rPr>
        <w:t>(D)</w:t>
      </w:r>
      <w:r w:rsidRPr="004D18E0">
        <w:rPr>
          <w:rFonts w:ascii="Times New Roman" w:hAnsi="Times New Roman"/>
          <w:sz w:val="24"/>
          <w:szCs w:val="24"/>
        </w:rPr>
        <w:t xml:space="preserve"> </w:t>
      </w:r>
    </w:p>
    <w:p w14:paraId="071412DD" w14:textId="77777777" w:rsidR="00F27CD5" w:rsidRPr="004D18E0" w:rsidRDefault="00F27CD5" w:rsidP="00F27CD5">
      <w:pPr>
        <w:ind w:left="1440"/>
        <w:rPr>
          <w:rFonts w:ascii="Times New Roman" w:hAnsi="Times New Roman"/>
          <w:sz w:val="24"/>
          <w:szCs w:val="24"/>
        </w:rPr>
      </w:pPr>
      <w:r w:rsidRPr="004D18E0">
        <w:rPr>
          <w:rFonts w:ascii="Times New Roman" w:hAnsi="Times New Roman"/>
          <w:sz w:val="24"/>
          <w:szCs w:val="24"/>
        </w:rPr>
        <w:t xml:space="preserve">establishes that removal would result in exceptional and extremely unusual hardship to the </w:t>
      </w:r>
      <w:hyperlink r:id="rId787" w:history="1">
        <w:r w:rsidRPr="004D18E0">
          <w:rPr>
            <w:rStyle w:val="Hyperlink"/>
            <w:sz w:val="24"/>
            <w:szCs w:val="24"/>
          </w:rPr>
          <w:t>alien</w:t>
        </w:r>
      </w:hyperlink>
      <w:r w:rsidRPr="004D18E0">
        <w:rPr>
          <w:rFonts w:ascii="Times New Roman" w:hAnsi="Times New Roman"/>
          <w:sz w:val="24"/>
          <w:szCs w:val="24"/>
        </w:rPr>
        <w:t xml:space="preserve">’s spouse, parent, or child, who is a citizen of the </w:t>
      </w:r>
      <w:hyperlink r:id="rId788" w:history="1">
        <w:r w:rsidRPr="004D18E0">
          <w:rPr>
            <w:rStyle w:val="Hyperlink"/>
            <w:sz w:val="24"/>
            <w:szCs w:val="24"/>
          </w:rPr>
          <w:t>United States</w:t>
        </w:r>
      </w:hyperlink>
      <w:r w:rsidRPr="004D18E0">
        <w:rPr>
          <w:rFonts w:ascii="Times New Roman" w:hAnsi="Times New Roman"/>
          <w:sz w:val="24"/>
          <w:szCs w:val="24"/>
        </w:rPr>
        <w:t xml:space="preserve"> or an</w:t>
      </w:r>
      <w:hyperlink r:id="rId789" w:history="1">
        <w:r w:rsidRPr="004D18E0">
          <w:rPr>
            <w:rStyle w:val="Hyperlink"/>
            <w:sz w:val="24"/>
            <w:szCs w:val="24"/>
          </w:rPr>
          <w:t xml:space="preserve"> alien </w:t>
        </w:r>
      </w:hyperlink>
      <w:hyperlink r:id="rId790" w:history="1">
        <w:r w:rsidRPr="004D18E0">
          <w:rPr>
            <w:rStyle w:val="Hyperlink"/>
            <w:sz w:val="24"/>
            <w:szCs w:val="24"/>
          </w:rPr>
          <w:t>lawfully admitted for permanent residence</w:t>
        </w:r>
      </w:hyperlink>
      <w:r w:rsidRPr="004D18E0">
        <w:rPr>
          <w:rFonts w:ascii="Times New Roman" w:hAnsi="Times New Roman"/>
          <w:sz w:val="24"/>
          <w:szCs w:val="24"/>
        </w:rPr>
        <w:t>.</w:t>
      </w:r>
    </w:p>
    <w:p w14:paraId="2824668D" w14:textId="77777777" w:rsidR="00F27CD5" w:rsidRDefault="00F27CD5" w:rsidP="00F27CD5">
      <w:pPr>
        <w:pStyle w:val="NoSpacing"/>
        <w:ind w:left="720"/>
        <w:rPr>
          <w:rFonts w:ascii="Times New Roman" w:hAnsi="Times New Roman"/>
          <w:sz w:val="24"/>
          <w:szCs w:val="24"/>
        </w:rPr>
      </w:pPr>
    </w:p>
    <w:p w14:paraId="177F06E4" w14:textId="77777777" w:rsidR="00F27CD5" w:rsidRPr="00CB33A6" w:rsidRDefault="00F27CD5" w:rsidP="00F27CD5">
      <w:pPr>
        <w:pStyle w:val="NoSpacing"/>
        <w:ind w:left="720"/>
        <w:rPr>
          <w:rFonts w:ascii="Times New Roman" w:hAnsi="Times New Roman"/>
          <w:b/>
          <w:bCs/>
          <w:sz w:val="24"/>
          <w:szCs w:val="24"/>
        </w:rPr>
      </w:pPr>
      <w:r w:rsidRPr="00CB33A6">
        <w:rPr>
          <w:rFonts w:ascii="Times New Roman" w:hAnsi="Times New Roman"/>
          <w:b/>
          <w:bCs/>
          <w:sz w:val="24"/>
          <w:szCs w:val="24"/>
        </w:rPr>
        <w:t>Convention Against Torture:</w:t>
      </w:r>
    </w:p>
    <w:p w14:paraId="7F38203B" w14:textId="77777777" w:rsidR="00F27CD5" w:rsidRDefault="00F27CD5" w:rsidP="00F27CD5">
      <w:pPr>
        <w:pStyle w:val="NoSpacing"/>
        <w:ind w:left="720"/>
        <w:rPr>
          <w:rFonts w:ascii="Times New Roman" w:hAnsi="Times New Roman"/>
          <w:sz w:val="24"/>
          <w:szCs w:val="24"/>
        </w:rPr>
      </w:pPr>
    </w:p>
    <w:p w14:paraId="27397B9C" w14:textId="77777777" w:rsidR="00F27CD5" w:rsidRPr="002E6393" w:rsidRDefault="00F27CD5" w:rsidP="00F27CD5">
      <w:pPr>
        <w:pStyle w:val="NoSpacing"/>
        <w:ind w:left="1440"/>
        <w:rPr>
          <w:rFonts w:ascii="Times New Roman" w:hAnsi="Times New Roman"/>
          <w:sz w:val="24"/>
          <w:szCs w:val="24"/>
        </w:rPr>
      </w:pPr>
      <w:r w:rsidRPr="002E6393">
        <w:rPr>
          <w:rFonts w:ascii="Times New Roman" w:hAnsi="Times New Roman"/>
          <w:sz w:val="24"/>
          <w:szCs w:val="24"/>
        </w:rPr>
        <w:t>1984 – UN Convention against Torture and Other Cruel,</w:t>
      </w:r>
      <w:r>
        <w:rPr>
          <w:rFonts w:ascii="Times New Roman" w:hAnsi="Times New Roman"/>
          <w:sz w:val="24"/>
          <w:szCs w:val="24"/>
        </w:rPr>
        <w:t xml:space="preserve"> </w:t>
      </w:r>
      <w:r w:rsidRPr="002E6393">
        <w:rPr>
          <w:rFonts w:ascii="Times New Roman" w:hAnsi="Times New Roman"/>
          <w:sz w:val="24"/>
          <w:szCs w:val="24"/>
        </w:rPr>
        <w:t>Inhuman or Degrading Treatment or Punishment</w:t>
      </w:r>
      <w:r>
        <w:rPr>
          <w:rFonts w:ascii="Times New Roman" w:hAnsi="Times New Roman"/>
          <w:sz w:val="24"/>
          <w:szCs w:val="24"/>
        </w:rPr>
        <w:t>:</w:t>
      </w:r>
      <w:r w:rsidRPr="002E6393">
        <w:rPr>
          <w:rFonts w:ascii="Times New Roman" w:hAnsi="Times New Roman"/>
          <w:sz w:val="24"/>
          <w:szCs w:val="24"/>
        </w:rPr>
        <w:t xml:space="preserve"> </w:t>
      </w:r>
      <w:hyperlink r:id="rId791" w:history="1">
        <w:r w:rsidRPr="001969BB">
          <w:rPr>
            <w:rStyle w:val="Hyperlink"/>
            <w:sz w:val="24"/>
            <w:szCs w:val="24"/>
          </w:rPr>
          <w:t>https://www.ohchr.org/en/professionalinterest/pages/cat.aspx</w:t>
        </w:r>
      </w:hyperlink>
      <w:r w:rsidRPr="002E6393">
        <w:rPr>
          <w:rFonts w:ascii="Times New Roman" w:hAnsi="Times New Roman"/>
          <w:sz w:val="24"/>
          <w:szCs w:val="24"/>
        </w:rPr>
        <w:t xml:space="preserve"> </w:t>
      </w:r>
      <w:r>
        <w:rPr>
          <w:rFonts w:ascii="Times New Roman" w:hAnsi="Times New Roman"/>
          <w:sz w:val="24"/>
          <w:szCs w:val="24"/>
        </w:rPr>
        <w:t>Ratified by U.S. in 1994.</w:t>
      </w:r>
      <w:r w:rsidRPr="002E6393">
        <w:t xml:space="preserve"> </w:t>
      </w:r>
      <w:hyperlink r:id="rId792" w:history="1">
        <w:r w:rsidRPr="001969BB">
          <w:rPr>
            <w:rStyle w:val="Hyperlink"/>
            <w:sz w:val="24"/>
            <w:szCs w:val="24"/>
          </w:rPr>
          <w:t>https://fas.org/sgp/crs/intel/RL32276.pdf</w:t>
        </w:r>
      </w:hyperlink>
    </w:p>
    <w:p w14:paraId="6347D308" w14:textId="77777777" w:rsidR="00F27CD5" w:rsidRDefault="00F27CD5" w:rsidP="00F27CD5">
      <w:pPr>
        <w:pStyle w:val="Heading2"/>
        <w:rPr>
          <w:rFonts w:ascii="Times New Roman" w:hAnsi="Times New Roman"/>
          <w:sz w:val="24"/>
          <w:szCs w:val="24"/>
        </w:rPr>
      </w:pPr>
    </w:p>
    <w:p w14:paraId="5577BF0F" w14:textId="5BEE1921" w:rsidR="00F27CD5" w:rsidRPr="00F27CD5" w:rsidRDefault="00F27CD5" w:rsidP="00F27CD5">
      <w:pPr>
        <w:pStyle w:val="Heading2"/>
        <w:ind w:left="720"/>
        <w:rPr>
          <w:rFonts w:ascii="Times New Roman" w:hAnsi="Times New Roman"/>
          <w:i w:val="0"/>
          <w:iCs w:val="0"/>
          <w:sz w:val="24"/>
          <w:szCs w:val="24"/>
        </w:rPr>
      </w:pPr>
      <w:r w:rsidRPr="00F27CD5">
        <w:rPr>
          <w:rFonts w:ascii="Times New Roman" w:hAnsi="Times New Roman"/>
          <w:i w:val="0"/>
          <w:iCs w:val="0"/>
          <w:sz w:val="24"/>
          <w:szCs w:val="24"/>
        </w:rPr>
        <w:t xml:space="preserve">Asylum Manual - Relief Under CAT: </w:t>
      </w:r>
      <w:hyperlink r:id="rId793" w:history="1">
        <w:r w:rsidRPr="008B44BD">
          <w:rPr>
            <w:rStyle w:val="Hyperlink"/>
            <w:rFonts w:ascii="Times New Roman" w:hAnsi="Times New Roman"/>
            <w:i w:val="0"/>
            <w:iCs w:val="0"/>
            <w:sz w:val="24"/>
            <w:szCs w:val="24"/>
          </w:rPr>
          <w:t>https://immigrationequality.org/asylum/asylum-manual/immigration-basics-relief-under-cat/</w:t>
        </w:r>
      </w:hyperlink>
      <w:r w:rsidRPr="00F27CD5">
        <w:rPr>
          <w:rFonts w:ascii="Times New Roman" w:hAnsi="Times New Roman"/>
          <w:i w:val="0"/>
          <w:iCs w:val="0"/>
          <w:sz w:val="24"/>
          <w:szCs w:val="24"/>
        </w:rPr>
        <w:t xml:space="preserve"> </w:t>
      </w:r>
    </w:p>
    <w:p w14:paraId="6DE98487" w14:textId="77777777" w:rsidR="00F27CD5" w:rsidRPr="00BC2B99" w:rsidRDefault="00F27CD5" w:rsidP="00F27CD5">
      <w:pPr>
        <w:pStyle w:val="NormalWeb"/>
        <w:ind w:left="1440"/>
      </w:pPr>
      <w:r>
        <w:t>“</w:t>
      </w:r>
      <w:r w:rsidRPr="00BC2B99">
        <w:t>Relief under the Convention Against Torture (CAT) is the third form of relief an individual fearing persecution can seek. Like withholding of removal, it can only be granted by an Immigration Judge (IJ), and not by an Asylum Officer.</w:t>
      </w:r>
    </w:p>
    <w:p w14:paraId="328E2654" w14:textId="77777777" w:rsidR="00F27CD5" w:rsidRPr="00BC2B99" w:rsidRDefault="00F27CD5" w:rsidP="00F27CD5">
      <w:pPr>
        <w:pStyle w:val="NormalWeb"/>
        <w:ind w:left="1440"/>
      </w:pPr>
      <w:r w:rsidRPr="00BC2B99">
        <w:t xml:space="preserve">An applicant bears the burden of demonstrating that it is more likely than not that they will be tortured if removed to their country of origin.  The Board of Immigration Appeals (BIA) has found that torture </w:t>
      </w:r>
      <w:r>
        <w:t>‘</w:t>
      </w:r>
      <w:r w:rsidRPr="00BC2B99">
        <w:t>must be an extreme form of cruel and inhuman punishment</w:t>
      </w:r>
      <w:r>
        <w:t>’</w:t>
      </w:r>
      <w:r w:rsidRPr="00BC2B99">
        <w:t xml:space="preserve"> that </w:t>
      </w:r>
      <w:r>
        <w:t>‘</w:t>
      </w:r>
      <w:r w:rsidRPr="00BC2B99">
        <w:t>must cause severe pain or suffering.</w:t>
      </w:r>
      <w:r>
        <w:t>’</w:t>
      </w:r>
      <w:r w:rsidRPr="00BC2B99">
        <w:t> There are no bars to eligibility for relief under CAT.</w:t>
      </w:r>
    </w:p>
    <w:p w14:paraId="126144F4" w14:textId="77777777" w:rsidR="00F27CD5" w:rsidRDefault="00F27CD5" w:rsidP="00F27CD5">
      <w:pPr>
        <w:pStyle w:val="NormalWeb"/>
        <w:ind w:left="1440"/>
        <w:rPr>
          <w:b/>
          <w:sz w:val="20"/>
          <w:szCs w:val="20"/>
        </w:rPr>
      </w:pPr>
      <w:r w:rsidRPr="00BC2B99">
        <w:t>The advantage of CAT is that there are no bars to eligibility. Therefore, since the treaty itself does not contain any bars to its mandate of non-return, aggravated felons can make claims for relief if they fear torture. Additionally, applicants are not required to establish that their fear of torture is on account of race, religion, nationality, political opinion, or membership in a particular social group.</w:t>
      </w:r>
      <w:r>
        <w:t>”</w:t>
      </w:r>
    </w:p>
    <w:p w14:paraId="62D6E67E" w14:textId="77777777" w:rsidR="00F27CD5" w:rsidRDefault="00F27CD5" w:rsidP="00F326E5">
      <w:pPr>
        <w:pStyle w:val="NoSpacing"/>
        <w:rPr>
          <w:rFonts w:ascii="Arial Black" w:hAnsi="Arial Black"/>
          <w:sz w:val="28"/>
          <w:szCs w:val="28"/>
        </w:rPr>
      </w:pPr>
    </w:p>
    <w:p w14:paraId="61CEB03D" w14:textId="77777777" w:rsidR="00F27CD5" w:rsidRDefault="00F27CD5" w:rsidP="00F326E5">
      <w:pPr>
        <w:pStyle w:val="NoSpacing"/>
        <w:rPr>
          <w:rFonts w:ascii="Arial Black" w:hAnsi="Arial Black"/>
          <w:sz w:val="28"/>
          <w:szCs w:val="28"/>
        </w:rPr>
      </w:pPr>
    </w:p>
    <w:p w14:paraId="67DFC7B6" w14:textId="6492763B" w:rsidR="000915C1" w:rsidRDefault="000915C1" w:rsidP="00F326E5">
      <w:pPr>
        <w:pStyle w:val="NoSpacing"/>
        <w:rPr>
          <w:rFonts w:ascii="Arial Black" w:hAnsi="Arial Black"/>
          <w:sz w:val="28"/>
          <w:szCs w:val="28"/>
        </w:rPr>
      </w:pPr>
      <w:r>
        <w:rPr>
          <w:rFonts w:ascii="Arial Black" w:hAnsi="Arial Black"/>
          <w:sz w:val="28"/>
          <w:szCs w:val="28"/>
        </w:rPr>
        <w:t>3-33</w:t>
      </w:r>
    </w:p>
    <w:p w14:paraId="49E60C43" w14:textId="19713F22" w:rsidR="000915C1" w:rsidRDefault="000915C1" w:rsidP="00F326E5">
      <w:pPr>
        <w:pStyle w:val="NoSpacing"/>
        <w:rPr>
          <w:rFonts w:ascii="Arial Black" w:hAnsi="Arial Black"/>
          <w:sz w:val="28"/>
          <w:szCs w:val="28"/>
        </w:rPr>
      </w:pPr>
    </w:p>
    <w:p w14:paraId="2C9A1C86" w14:textId="77777777" w:rsidR="000915C1" w:rsidRPr="001563B3" w:rsidRDefault="000915C1" w:rsidP="000915C1">
      <w:pPr>
        <w:pStyle w:val="NoSpacing"/>
        <w:rPr>
          <w:rFonts w:ascii="Times New Roman" w:eastAsia="Times New Roman" w:hAnsi="Times New Roman"/>
          <w:sz w:val="24"/>
          <w:szCs w:val="24"/>
          <w:u w:val="single"/>
        </w:rPr>
      </w:pPr>
      <w:r>
        <w:rPr>
          <w:rFonts w:ascii="Arial Black" w:hAnsi="Arial Black"/>
          <w:sz w:val="28"/>
          <w:szCs w:val="28"/>
        </w:rPr>
        <w:t xml:space="preserve">NY:  TERRORIST 1993 WORLD TRADE - HUNGER STRIKE FED. MAX PRISON, FORCED FEEDING – EMPLOYEE PRIVACY </w:t>
      </w:r>
    </w:p>
    <w:p w14:paraId="2F4509A9" w14:textId="77777777" w:rsidR="000915C1" w:rsidRDefault="000915C1" w:rsidP="000915C1">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u w:val="single"/>
        </w:rPr>
        <w:t xml:space="preserve">Aviva Stahl v. Department of Justice and Federal Bureau </w:t>
      </w:r>
      <w:r w:rsidRPr="001563B3">
        <w:rPr>
          <w:rFonts w:ascii="Times New Roman" w:eastAsia="Times New Roman" w:hAnsi="Times New Roman"/>
          <w:sz w:val="24"/>
          <w:szCs w:val="24"/>
          <w:u w:val="single"/>
        </w:rPr>
        <w:t>of Prisons</w:t>
      </w:r>
      <w:r>
        <w:rPr>
          <w:rFonts w:ascii="Times New Roman" w:eastAsia="Times New Roman" w:hAnsi="Times New Roman"/>
          <w:sz w:val="24"/>
          <w:szCs w:val="24"/>
        </w:rPr>
        <w:t xml:space="preserve">, U.S. District Court Judge Brian M. Cogan, U.S. District Court for the Eastern District of New York (Brooklyn), an investigative journalist, Aviva Stahl, filed a Freedom of Information Act lawsuit for the videotaped of the “forced feedings.”  Judge Cogan held that segments of the video are protected from disclosure under FOIA, including the names / faces of the medical staff who participated in the procedures.   </w:t>
      </w:r>
    </w:p>
    <w:p w14:paraId="06906F17" w14:textId="77777777" w:rsidR="000915C1" w:rsidRPr="001563B3" w:rsidRDefault="000915C1" w:rsidP="000915C1">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lastRenderedPageBreak/>
        <w:t>“</w:t>
      </w:r>
      <w:r w:rsidRPr="001563B3">
        <w:rPr>
          <w:rFonts w:ascii="Times New Roman" w:eastAsia="Times New Roman" w:hAnsi="Times New Roman"/>
          <w:sz w:val="24"/>
          <w:szCs w:val="24"/>
        </w:rPr>
        <w:t>Convicted for his role in the 1993 terrorist attacks on the World Trade Center, Mohammad Salameh was incarcerated at the United States Penitentiary, Administrative Maximum Facility in Florence, Colorado ("Florence ADX"). During his time there, Salameh went on several hunger strikes. The last one ended in procedures whereby Salameh received food and rehydration through intravenous therapy and a nasogastric tube. An investigative journalist, plaintiff Aviva Stahl, now seeks access to those videos under the Freedom of Information Act. She has sued the Bureau of Prisons and the Department of Justice, and before me are the parties' cross-motions for summary judgment.</w:t>
      </w:r>
    </w:p>
    <w:p w14:paraId="6E027EE6" w14:textId="77777777" w:rsidR="000915C1" w:rsidRDefault="000915C1" w:rsidP="000915C1">
      <w:pPr>
        <w:spacing w:before="100" w:beforeAutospacing="1" w:after="100" w:afterAutospacing="1" w:line="240" w:lineRule="auto"/>
        <w:ind w:left="720"/>
        <w:rPr>
          <w:rFonts w:ascii="Times New Roman" w:eastAsia="Times New Roman" w:hAnsi="Times New Roman"/>
          <w:sz w:val="24"/>
          <w:szCs w:val="24"/>
        </w:rPr>
      </w:pPr>
      <w:r w:rsidRPr="001563B3">
        <w:rPr>
          <w:rFonts w:ascii="Times New Roman" w:eastAsia="Times New Roman" w:hAnsi="Times New Roman"/>
          <w:sz w:val="24"/>
          <w:szCs w:val="24"/>
        </w:rPr>
        <w:t>I conclude that certain segments of the videos fall within FOIA exemptions. As to these segments, defendants' motion is granted and plaintiff's motion is denied. For the remainder of the videos, however, the record lacks sufficient information to show whether the exempt information is reasonably segregable from the non-exempt information. As to these segments, I reserve judgment on the parties' motions. The parties shall submit supplemental memoranda and evidence addressing the remaining portion of the videos as set forth below.</w:t>
      </w:r>
    </w:p>
    <w:p w14:paraId="70CB2A93" w14:textId="77777777" w:rsidR="000915C1" w:rsidRDefault="000915C1" w:rsidP="000915C1">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w:t>
      </w:r>
    </w:p>
    <w:p w14:paraId="3D2D2E55" w14:textId="77777777" w:rsidR="000915C1" w:rsidRDefault="000915C1" w:rsidP="000915C1">
      <w:pPr>
        <w:pStyle w:val="NoSpacing"/>
        <w:ind w:left="720"/>
        <w:rPr>
          <w:rFonts w:ascii="Times New Roman" w:hAnsi="Times New Roman"/>
          <w:sz w:val="24"/>
          <w:szCs w:val="24"/>
        </w:rPr>
      </w:pPr>
      <w:r w:rsidRPr="00613B5B">
        <w:rPr>
          <w:rFonts w:ascii="Times New Roman" w:hAnsi="Times New Roman"/>
          <w:sz w:val="24"/>
          <w:szCs w:val="24"/>
        </w:rPr>
        <w:t>Although plaintiff stresses that defendants disclosed the names of the medical staff who participated in the procedures when defendants released Salameh's medical records, I conclude that the staff still have a privacy interest in the visual depictions of them performing the procedures.</w:t>
      </w:r>
      <w:r>
        <w:rPr>
          <w:rFonts w:ascii="Times New Roman" w:hAnsi="Times New Roman"/>
          <w:sz w:val="24"/>
          <w:szCs w:val="24"/>
        </w:rPr>
        <w:t xml:space="preserve">”  </w:t>
      </w:r>
      <w:hyperlink r:id="rId794" w:history="1">
        <w:r w:rsidRPr="00B568EC">
          <w:rPr>
            <w:rStyle w:val="Hyperlink"/>
            <w:rFonts w:ascii="Times New Roman" w:hAnsi="Times New Roman"/>
            <w:sz w:val="24"/>
            <w:szCs w:val="24"/>
          </w:rPr>
          <w:t>https://casetext.com/case/stahl-v-dept-of-justice</w:t>
        </w:r>
      </w:hyperlink>
      <w:r>
        <w:rPr>
          <w:rFonts w:ascii="Times New Roman" w:hAnsi="Times New Roman"/>
          <w:sz w:val="24"/>
          <w:szCs w:val="24"/>
        </w:rPr>
        <w:t xml:space="preserve"> </w:t>
      </w:r>
    </w:p>
    <w:p w14:paraId="3C7F4FFC" w14:textId="77777777" w:rsidR="000915C1" w:rsidRPr="00E44EF4" w:rsidRDefault="000915C1" w:rsidP="000915C1">
      <w:pPr>
        <w:spacing w:before="100" w:beforeAutospacing="1" w:after="100" w:afterAutospacing="1" w:line="240" w:lineRule="auto"/>
        <w:rPr>
          <w:rFonts w:ascii="Times New Roman" w:eastAsia="Times New Roman" w:hAnsi="Times New Roman"/>
          <w:b/>
          <w:bCs/>
          <w:sz w:val="24"/>
          <w:szCs w:val="24"/>
        </w:rPr>
      </w:pPr>
      <w:r w:rsidRPr="00E44EF4">
        <w:rPr>
          <w:rFonts w:ascii="Times New Roman" w:eastAsia="Times New Roman" w:hAnsi="Times New Roman"/>
          <w:b/>
          <w:bCs/>
          <w:sz w:val="24"/>
          <w:szCs w:val="24"/>
        </w:rPr>
        <w:t>Legal Lesson Learned:</w:t>
      </w:r>
      <w:r>
        <w:rPr>
          <w:rFonts w:ascii="Times New Roman" w:eastAsia="Times New Roman" w:hAnsi="Times New Roman"/>
          <w:b/>
          <w:bCs/>
          <w:sz w:val="24"/>
          <w:szCs w:val="24"/>
        </w:rPr>
        <w:t xml:space="preserve"> The privacy of </w:t>
      </w:r>
      <w:proofErr w:type="gramStart"/>
      <w:r>
        <w:rPr>
          <w:rFonts w:ascii="Times New Roman" w:eastAsia="Times New Roman" w:hAnsi="Times New Roman"/>
          <w:b/>
          <w:bCs/>
          <w:sz w:val="24"/>
          <w:szCs w:val="24"/>
        </w:rPr>
        <w:t>Medical</w:t>
      </w:r>
      <w:proofErr w:type="gramEnd"/>
      <w:r>
        <w:rPr>
          <w:rFonts w:ascii="Times New Roman" w:eastAsia="Times New Roman" w:hAnsi="Times New Roman"/>
          <w:b/>
          <w:bCs/>
          <w:sz w:val="24"/>
          <w:szCs w:val="24"/>
        </w:rPr>
        <w:t xml:space="preserve"> personnel participating in the videotaped “forced feedings” has been protected. </w:t>
      </w:r>
    </w:p>
    <w:p w14:paraId="6A398A66" w14:textId="77777777" w:rsidR="000915C1" w:rsidRDefault="000915C1" w:rsidP="00F326E5">
      <w:pPr>
        <w:pStyle w:val="NoSpacing"/>
        <w:rPr>
          <w:rFonts w:ascii="Arial Black" w:hAnsi="Arial Black"/>
          <w:sz w:val="28"/>
          <w:szCs w:val="28"/>
        </w:rPr>
      </w:pPr>
    </w:p>
    <w:p w14:paraId="2BC9217F" w14:textId="77777777" w:rsidR="000915C1" w:rsidRDefault="000915C1" w:rsidP="00F326E5">
      <w:pPr>
        <w:pStyle w:val="NoSpacing"/>
        <w:rPr>
          <w:rFonts w:ascii="Arial Black" w:hAnsi="Arial Black"/>
          <w:sz w:val="28"/>
          <w:szCs w:val="28"/>
        </w:rPr>
      </w:pPr>
    </w:p>
    <w:p w14:paraId="2AC8F8C9" w14:textId="77777777" w:rsidR="000915C1" w:rsidRDefault="000915C1" w:rsidP="00F326E5">
      <w:pPr>
        <w:pStyle w:val="NoSpacing"/>
        <w:rPr>
          <w:rFonts w:ascii="Arial Black" w:hAnsi="Arial Black"/>
          <w:sz w:val="28"/>
          <w:szCs w:val="28"/>
        </w:rPr>
      </w:pPr>
    </w:p>
    <w:p w14:paraId="5F563CF0" w14:textId="5E16C679" w:rsidR="000915C1" w:rsidRDefault="000915C1" w:rsidP="00F326E5">
      <w:pPr>
        <w:pStyle w:val="NoSpacing"/>
        <w:rPr>
          <w:rFonts w:ascii="Arial Black" w:hAnsi="Arial Black"/>
          <w:sz w:val="28"/>
          <w:szCs w:val="28"/>
        </w:rPr>
      </w:pPr>
      <w:r>
        <w:rPr>
          <w:rFonts w:ascii="Arial Black" w:hAnsi="Arial Black"/>
          <w:sz w:val="28"/>
          <w:szCs w:val="28"/>
        </w:rPr>
        <w:t>3-32</w:t>
      </w:r>
    </w:p>
    <w:p w14:paraId="68755BAB" w14:textId="794AAE45" w:rsidR="000915C1" w:rsidRDefault="000915C1" w:rsidP="00F326E5">
      <w:pPr>
        <w:pStyle w:val="NoSpacing"/>
        <w:rPr>
          <w:rFonts w:ascii="Arial Black" w:hAnsi="Arial Black"/>
          <w:sz w:val="28"/>
          <w:szCs w:val="28"/>
        </w:rPr>
      </w:pPr>
    </w:p>
    <w:p w14:paraId="231D26E8" w14:textId="53834A67" w:rsidR="000915C1" w:rsidRPr="00BE2CAC" w:rsidRDefault="000915C1" w:rsidP="000915C1">
      <w:pPr>
        <w:pStyle w:val="NoSpacing"/>
        <w:rPr>
          <w:rFonts w:ascii="Arial Black" w:hAnsi="Arial Black"/>
          <w:sz w:val="28"/>
          <w:szCs w:val="28"/>
        </w:rPr>
      </w:pPr>
      <w:r>
        <w:rPr>
          <w:rFonts w:ascii="Arial Black" w:hAnsi="Arial Black"/>
          <w:sz w:val="28"/>
          <w:szCs w:val="28"/>
        </w:rPr>
        <w:t>VA: 4</w:t>
      </w:r>
      <w:r w:rsidRPr="00BE2CAC">
        <w:rPr>
          <w:rFonts w:ascii="Arial Black" w:hAnsi="Arial Black"/>
          <w:sz w:val="28"/>
          <w:szCs w:val="28"/>
          <w:vertAlign w:val="superscript"/>
        </w:rPr>
        <w:t>th</w:t>
      </w:r>
      <w:r>
        <w:rPr>
          <w:rFonts w:ascii="Arial Black" w:hAnsi="Arial Black"/>
          <w:sz w:val="28"/>
          <w:szCs w:val="28"/>
        </w:rPr>
        <w:t xml:space="preserve"> CIRCUIT UPHOLDS FBI TERRORIST “WATCHLIST” -</w:t>
      </w:r>
      <w:r w:rsidR="00F82922">
        <w:rPr>
          <w:rFonts w:ascii="Arial Black" w:hAnsi="Arial Black"/>
          <w:sz w:val="28"/>
          <w:szCs w:val="28"/>
        </w:rPr>
        <w:t xml:space="preserve"> </w:t>
      </w:r>
      <w:r>
        <w:rPr>
          <w:rFonts w:ascii="Arial Black" w:hAnsi="Arial Black"/>
          <w:sz w:val="28"/>
          <w:szCs w:val="28"/>
        </w:rPr>
        <w:t>DUE PROCESS, SEEK REMOVAL BY FBI OR GO TO COURT</w:t>
      </w:r>
    </w:p>
    <w:p w14:paraId="306A56B1" w14:textId="77777777" w:rsidR="000915C1" w:rsidRDefault="000915C1" w:rsidP="000915C1">
      <w:pPr>
        <w:pStyle w:val="NoSpacing"/>
        <w:rPr>
          <w:rFonts w:ascii="Times New Roman" w:hAnsi="Times New Roman"/>
          <w:sz w:val="24"/>
          <w:szCs w:val="24"/>
        </w:rPr>
      </w:pPr>
    </w:p>
    <w:p w14:paraId="7A8C97EB" w14:textId="77777777" w:rsidR="000915C1" w:rsidRDefault="000915C1" w:rsidP="000915C1">
      <w:pPr>
        <w:pStyle w:val="NoSpacing"/>
        <w:rPr>
          <w:rFonts w:ascii="Times New Roman" w:hAnsi="Times New Roman"/>
          <w:sz w:val="24"/>
          <w:szCs w:val="24"/>
        </w:rPr>
      </w:pPr>
      <w:r>
        <w:rPr>
          <w:rFonts w:ascii="Times New Roman" w:hAnsi="Times New Roman"/>
          <w:sz w:val="24"/>
          <w:szCs w:val="24"/>
        </w:rPr>
        <w:t xml:space="preserve">On March 30, 2021, in </w:t>
      </w:r>
      <w:r w:rsidRPr="00BE2CAC">
        <w:rPr>
          <w:rFonts w:ascii="Times New Roman" w:hAnsi="Times New Roman"/>
          <w:sz w:val="24"/>
          <w:szCs w:val="24"/>
          <w:u w:val="single"/>
        </w:rPr>
        <w:t>Anas Elhady, et al. v. Charles H. Kable, Director of the Terrorist Screen Center, et al</w:t>
      </w:r>
      <w:r>
        <w:rPr>
          <w:rFonts w:ascii="Times New Roman" w:hAnsi="Times New Roman"/>
          <w:sz w:val="24"/>
          <w:szCs w:val="24"/>
        </w:rPr>
        <w:t>., the U.S. Court of Appeals for the 4</w:t>
      </w:r>
      <w:r w:rsidRPr="00BE2CAC">
        <w:rPr>
          <w:rFonts w:ascii="Times New Roman" w:hAnsi="Times New Roman"/>
          <w:sz w:val="24"/>
          <w:szCs w:val="24"/>
          <w:vertAlign w:val="superscript"/>
        </w:rPr>
        <w:t>th</w:t>
      </w:r>
      <w:r>
        <w:rPr>
          <w:rFonts w:ascii="Times New Roman" w:hAnsi="Times New Roman"/>
          <w:sz w:val="24"/>
          <w:szCs w:val="24"/>
        </w:rPr>
        <w:t xml:space="preserve"> Circuit (Richmond, VA), held (3 to 0) that the Terrorist Screening Database provides adequate due process protection for those seeking to get removed from the list. There are 1,160,000 individuals currently on the list, including about 4,600 U.S. citizens. Plaintiffs are 23 individuals complaining about their disruptions at airports; none have been barred from taking flights [not therefore are on the </w:t>
      </w:r>
      <w:proofErr w:type="gramStart"/>
      <w:r>
        <w:rPr>
          <w:rFonts w:ascii="Times New Roman" w:hAnsi="Times New Roman"/>
          <w:sz w:val="24"/>
          <w:szCs w:val="24"/>
        </w:rPr>
        <w:t>No Fly</w:t>
      </w:r>
      <w:proofErr w:type="gramEnd"/>
      <w:r>
        <w:rPr>
          <w:rFonts w:ascii="Times New Roman" w:hAnsi="Times New Roman"/>
          <w:sz w:val="24"/>
          <w:szCs w:val="24"/>
        </w:rPr>
        <w:t xml:space="preserve"> List] or when crossing the border into Mexico or Canada.  The Court reversed a U.S. District Court judge; two other Circuits have also upheld the watchlist due process procedures.</w:t>
      </w:r>
    </w:p>
    <w:p w14:paraId="7EAD077B" w14:textId="77777777" w:rsidR="000915C1" w:rsidRDefault="000915C1" w:rsidP="000915C1">
      <w:pPr>
        <w:pStyle w:val="NoSpacing"/>
        <w:rPr>
          <w:rFonts w:ascii="Times New Roman" w:hAnsi="Times New Roman"/>
          <w:sz w:val="24"/>
          <w:szCs w:val="24"/>
        </w:rPr>
      </w:pPr>
    </w:p>
    <w:p w14:paraId="4F04F64A" w14:textId="77777777" w:rsidR="000915C1" w:rsidRPr="00BE2CAC" w:rsidRDefault="000915C1" w:rsidP="000915C1">
      <w:pPr>
        <w:pStyle w:val="NoSpacing"/>
        <w:ind w:left="720"/>
        <w:rPr>
          <w:rFonts w:ascii="Times New Roman" w:eastAsia="Times New Roman" w:hAnsi="Times New Roman"/>
          <w:b/>
          <w:bCs/>
          <w:sz w:val="24"/>
          <w:szCs w:val="24"/>
        </w:rPr>
      </w:pPr>
      <w:r>
        <w:rPr>
          <w:rFonts w:ascii="Times New Roman" w:hAnsi="Times New Roman"/>
          <w:sz w:val="24"/>
          <w:szCs w:val="24"/>
        </w:rPr>
        <w:t>“</w:t>
      </w:r>
      <w:r w:rsidRPr="00BE2CAC">
        <w:rPr>
          <w:rFonts w:ascii="Times New Roman" w:hAnsi="Times New Roman"/>
          <w:sz w:val="24"/>
          <w:szCs w:val="24"/>
        </w:rPr>
        <w:t xml:space="preserve">The term </w:t>
      </w:r>
      <w:r>
        <w:rPr>
          <w:rFonts w:ascii="Times New Roman" w:hAnsi="Times New Roman"/>
          <w:sz w:val="24"/>
          <w:szCs w:val="24"/>
        </w:rPr>
        <w:t>‘</w:t>
      </w:r>
      <w:r w:rsidRPr="00BE2CAC">
        <w:rPr>
          <w:rFonts w:ascii="Times New Roman" w:hAnsi="Times New Roman"/>
          <w:sz w:val="24"/>
          <w:szCs w:val="24"/>
        </w:rPr>
        <w:t>national security</w:t>
      </w:r>
      <w:r>
        <w:rPr>
          <w:rFonts w:ascii="Times New Roman" w:hAnsi="Times New Roman"/>
          <w:sz w:val="24"/>
          <w:szCs w:val="24"/>
        </w:rPr>
        <w:t>’</w:t>
      </w:r>
      <w:r w:rsidRPr="00BE2CAC">
        <w:rPr>
          <w:rFonts w:ascii="Times New Roman" w:hAnsi="Times New Roman"/>
          <w:sz w:val="24"/>
          <w:szCs w:val="24"/>
        </w:rPr>
        <w:t xml:space="preserve"> is too often bandied loosely and carelessly about, but this is no program of marginal consequence. It lies at the very heart of our country’s effort to identify those who would inflict upon the public irretrievable loss and irreparable mass </w:t>
      </w:r>
      <w:proofErr w:type="gramStart"/>
      <w:r w:rsidRPr="00BE2CAC">
        <w:rPr>
          <w:rFonts w:ascii="Times New Roman" w:hAnsi="Times New Roman"/>
          <w:sz w:val="24"/>
          <w:szCs w:val="24"/>
        </w:rPr>
        <w:t>harms</w:t>
      </w:r>
      <w:proofErr w:type="gramEnd"/>
      <w:r w:rsidRPr="00BE2CAC">
        <w:rPr>
          <w:rFonts w:ascii="Times New Roman" w:hAnsi="Times New Roman"/>
          <w:sz w:val="24"/>
          <w:szCs w:val="24"/>
        </w:rPr>
        <w:t>. By bringing this across-the-board attack on a system vital to public safety—rather</w:t>
      </w:r>
      <w:r>
        <w:rPr>
          <w:rFonts w:ascii="Times New Roman" w:hAnsi="Times New Roman"/>
          <w:sz w:val="24"/>
          <w:szCs w:val="24"/>
        </w:rPr>
        <w:t xml:space="preserve"> </w:t>
      </w:r>
      <w:r w:rsidRPr="00BE2CAC">
        <w:rPr>
          <w:rFonts w:ascii="Times New Roman" w:hAnsi="Times New Roman"/>
          <w:sz w:val="24"/>
          <w:szCs w:val="24"/>
        </w:rPr>
        <w:t xml:space="preserve">than more focused individual challenges to </w:t>
      </w:r>
      <w:proofErr w:type="gramStart"/>
      <w:r w:rsidRPr="00BE2CAC">
        <w:rPr>
          <w:rFonts w:ascii="Times New Roman" w:hAnsi="Times New Roman"/>
          <w:sz w:val="24"/>
          <w:szCs w:val="24"/>
        </w:rPr>
        <w:t>particular law</w:t>
      </w:r>
      <w:proofErr w:type="gramEnd"/>
      <w:r w:rsidRPr="00BE2CAC">
        <w:rPr>
          <w:rFonts w:ascii="Times New Roman" w:hAnsi="Times New Roman"/>
          <w:sz w:val="24"/>
          <w:szCs w:val="24"/>
        </w:rPr>
        <w:t xml:space="preserve"> enforcement actions—plaintiffs</w:t>
      </w:r>
      <w:r>
        <w:rPr>
          <w:rFonts w:ascii="Times New Roman" w:hAnsi="Times New Roman"/>
          <w:sz w:val="24"/>
          <w:szCs w:val="24"/>
        </w:rPr>
        <w:t xml:space="preserve"> </w:t>
      </w:r>
      <w:r w:rsidRPr="00BE2CAC">
        <w:rPr>
          <w:rFonts w:ascii="Times New Roman" w:hAnsi="Times New Roman"/>
          <w:sz w:val="24"/>
          <w:szCs w:val="24"/>
        </w:rPr>
        <w:t xml:space="preserve">face a demanding legal standard. Procedural due process claims require showing that the government violated constitutionally protected liberty interests. Plaintiffs cannot meet that burden. The government has had authority to regulate travel and control the border since the beginning of the nation. Indeed, this authority is a core attribute of sovereignty. The delays and burdens </w:t>
      </w:r>
      <w:r w:rsidRPr="00BE2CAC">
        <w:rPr>
          <w:rFonts w:ascii="Times New Roman" w:hAnsi="Times New Roman"/>
          <w:sz w:val="24"/>
          <w:szCs w:val="24"/>
        </w:rPr>
        <w:lastRenderedPageBreak/>
        <w:t>experienced by plaintiffs at the border and in airports, although regrettable, do not mandate a complete overhaul of the TSDB.</w:t>
      </w:r>
      <w:r>
        <w:rPr>
          <w:rFonts w:ascii="Times New Roman" w:hAnsi="Times New Roman"/>
          <w:sz w:val="24"/>
          <w:szCs w:val="24"/>
        </w:rPr>
        <w:t xml:space="preserve">” </w:t>
      </w:r>
      <w:hyperlink r:id="rId795" w:history="1">
        <w:r w:rsidRPr="001A09F3">
          <w:rPr>
            <w:rStyle w:val="Hyperlink"/>
            <w:rFonts w:ascii="Times New Roman" w:hAnsi="Times New Roman"/>
            <w:sz w:val="24"/>
            <w:szCs w:val="24"/>
          </w:rPr>
          <w:t>https://www.ca4.uscourts.gov/opinions/201119.P.pdf</w:t>
        </w:r>
      </w:hyperlink>
      <w:r>
        <w:rPr>
          <w:rFonts w:ascii="Times New Roman" w:hAnsi="Times New Roman"/>
          <w:sz w:val="24"/>
          <w:szCs w:val="24"/>
        </w:rPr>
        <w:t xml:space="preserve"> </w:t>
      </w:r>
    </w:p>
    <w:p w14:paraId="410C96A3" w14:textId="5B6B2959" w:rsidR="000915C1" w:rsidRDefault="000915C1" w:rsidP="00F326E5">
      <w:pPr>
        <w:pStyle w:val="NoSpacing"/>
        <w:rPr>
          <w:rFonts w:ascii="Arial Black" w:hAnsi="Arial Black"/>
          <w:sz w:val="28"/>
          <w:szCs w:val="28"/>
        </w:rPr>
      </w:pPr>
    </w:p>
    <w:p w14:paraId="535B3C6E" w14:textId="620EEB3B" w:rsidR="000915C1" w:rsidRPr="008C2C03" w:rsidRDefault="000915C1" w:rsidP="000915C1">
      <w:pPr>
        <w:pStyle w:val="NoSpacing"/>
        <w:rPr>
          <w:rFonts w:ascii="Times New Roman" w:hAnsi="Times New Roman"/>
          <w:b/>
          <w:bCs/>
          <w:sz w:val="24"/>
          <w:szCs w:val="24"/>
        </w:rPr>
      </w:pPr>
      <w:r w:rsidRPr="008C2C03">
        <w:rPr>
          <w:rFonts w:ascii="Times New Roman" w:hAnsi="Times New Roman"/>
          <w:b/>
          <w:bCs/>
          <w:sz w:val="24"/>
          <w:szCs w:val="24"/>
        </w:rPr>
        <w:t>Legal Lesson Learned:</w:t>
      </w:r>
      <w:r>
        <w:rPr>
          <w:rFonts w:ascii="Times New Roman" w:hAnsi="Times New Roman"/>
          <w:b/>
          <w:bCs/>
          <w:sz w:val="24"/>
          <w:szCs w:val="24"/>
        </w:rPr>
        <w:t xml:space="preserve">  The 4</w:t>
      </w:r>
      <w:r w:rsidRPr="008C2C03">
        <w:rPr>
          <w:rFonts w:ascii="Times New Roman" w:hAnsi="Times New Roman"/>
          <w:b/>
          <w:bCs/>
          <w:sz w:val="24"/>
          <w:szCs w:val="24"/>
          <w:vertAlign w:val="superscript"/>
        </w:rPr>
        <w:t>th</w:t>
      </w:r>
      <w:r>
        <w:rPr>
          <w:rFonts w:ascii="Times New Roman" w:hAnsi="Times New Roman"/>
          <w:b/>
          <w:bCs/>
          <w:sz w:val="24"/>
          <w:szCs w:val="24"/>
        </w:rPr>
        <w:t xml:space="preserve"> Circuit, like the 6</w:t>
      </w:r>
      <w:r w:rsidRPr="008C2C03">
        <w:rPr>
          <w:rFonts w:ascii="Times New Roman" w:hAnsi="Times New Roman"/>
          <w:b/>
          <w:bCs/>
          <w:sz w:val="24"/>
          <w:szCs w:val="24"/>
          <w:vertAlign w:val="superscript"/>
        </w:rPr>
        <w:t>th</w:t>
      </w:r>
      <w:r>
        <w:rPr>
          <w:rFonts w:ascii="Times New Roman" w:hAnsi="Times New Roman"/>
          <w:b/>
          <w:bCs/>
          <w:sz w:val="24"/>
          <w:szCs w:val="24"/>
        </w:rPr>
        <w:t xml:space="preserve"> and 10</w:t>
      </w:r>
      <w:r w:rsidRPr="008C2C03">
        <w:rPr>
          <w:rFonts w:ascii="Times New Roman" w:hAnsi="Times New Roman"/>
          <w:b/>
          <w:bCs/>
          <w:sz w:val="24"/>
          <w:szCs w:val="24"/>
          <w:vertAlign w:val="superscript"/>
        </w:rPr>
        <w:t>th</w:t>
      </w:r>
      <w:r>
        <w:rPr>
          <w:rFonts w:ascii="Times New Roman" w:hAnsi="Times New Roman"/>
          <w:b/>
          <w:bCs/>
          <w:sz w:val="24"/>
          <w:szCs w:val="24"/>
        </w:rPr>
        <w:t xml:space="preserve"> Circuits, has upheld the watchlist program to protect our nation’s security. </w:t>
      </w:r>
    </w:p>
    <w:p w14:paraId="391E1D6A" w14:textId="77777777" w:rsidR="000915C1" w:rsidRDefault="000915C1" w:rsidP="00F326E5">
      <w:pPr>
        <w:pStyle w:val="NoSpacing"/>
        <w:rPr>
          <w:rFonts w:ascii="Arial Black" w:hAnsi="Arial Black"/>
          <w:sz w:val="28"/>
          <w:szCs w:val="28"/>
        </w:rPr>
      </w:pPr>
    </w:p>
    <w:p w14:paraId="0391AA10" w14:textId="77777777" w:rsidR="000915C1" w:rsidRDefault="000915C1" w:rsidP="00F326E5">
      <w:pPr>
        <w:pStyle w:val="NoSpacing"/>
        <w:rPr>
          <w:rFonts w:ascii="Arial Black" w:hAnsi="Arial Black"/>
          <w:sz w:val="28"/>
          <w:szCs w:val="28"/>
        </w:rPr>
      </w:pPr>
    </w:p>
    <w:p w14:paraId="34403432" w14:textId="0A6C9B62" w:rsidR="000915C1" w:rsidRDefault="000915C1" w:rsidP="00F326E5">
      <w:pPr>
        <w:pStyle w:val="NoSpacing"/>
        <w:rPr>
          <w:rFonts w:ascii="Arial Black" w:hAnsi="Arial Black"/>
          <w:sz w:val="28"/>
          <w:szCs w:val="28"/>
        </w:rPr>
      </w:pPr>
      <w:r>
        <w:rPr>
          <w:rFonts w:ascii="Arial Black" w:hAnsi="Arial Black"/>
          <w:sz w:val="28"/>
          <w:szCs w:val="28"/>
        </w:rPr>
        <w:t>3-31</w:t>
      </w:r>
    </w:p>
    <w:p w14:paraId="4FCEACC7" w14:textId="46C731CC" w:rsidR="000915C1" w:rsidRDefault="000915C1" w:rsidP="00F326E5">
      <w:pPr>
        <w:pStyle w:val="NoSpacing"/>
        <w:rPr>
          <w:rFonts w:ascii="Arial Black" w:hAnsi="Arial Black"/>
          <w:sz w:val="28"/>
          <w:szCs w:val="28"/>
        </w:rPr>
      </w:pPr>
    </w:p>
    <w:p w14:paraId="2F8EC9CC" w14:textId="77777777" w:rsidR="000915C1" w:rsidRPr="002F56FE" w:rsidRDefault="000915C1" w:rsidP="000915C1">
      <w:pPr>
        <w:pStyle w:val="NoSpacing"/>
        <w:rPr>
          <w:rFonts w:ascii="Arial Black" w:hAnsi="Arial Black"/>
          <w:sz w:val="28"/>
          <w:szCs w:val="28"/>
        </w:rPr>
      </w:pPr>
      <w:r>
        <w:rPr>
          <w:rFonts w:ascii="Arial Black" w:hAnsi="Arial Black"/>
          <w:sz w:val="28"/>
          <w:szCs w:val="28"/>
        </w:rPr>
        <w:t>U.S. SUPREME COURT: MEXICAN CITIZEN IN U.S. 25 YEARS – CAN BE DEPORTED – USED FAKE SOCIAL SECURITY CARD</w:t>
      </w:r>
    </w:p>
    <w:p w14:paraId="13E06B1B" w14:textId="12D54FA8" w:rsidR="000915C1" w:rsidRDefault="000915C1" w:rsidP="000915C1">
      <w:pPr>
        <w:spacing w:before="100" w:beforeAutospacing="1" w:after="100" w:afterAutospacing="1" w:line="240" w:lineRule="auto"/>
        <w:rPr>
          <w:rFonts w:ascii="Times New Roman" w:hAnsi="Times New Roman"/>
          <w:sz w:val="24"/>
          <w:szCs w:val="24"/>
        </w:rPr>
      </w:pPr>
      <w:r w:rsidRPr="002F56FE">
        <w:rPr>
          <w:rFonts w:ascii="Times New Roman" w:hAnsi="Times New Roman"/>
          <w:sz w:val="24"/>
          <w:szCs w:val="24"/>
        </w:rPr>
        <w:t xml:space="preserve">On March 4, 2021, in </w:t>
      </w:r>
      <w:r w:rsidRPr="00F3033E">
        <w:rPr>
          <w:rFonts w:ascii="Times New Roman" w:hAnsi="Times New Roman"/>
          <w:sz w:val="24"/>
          <w:szCs w:val="24"/>
          <w:u w:val="single"/>
        </w:rPr>
        <w:t>Avelino Pereida v. Monty Wilkinson, Acting Attorney General</w:t>
      </w:r>
      <w:r w:rsidRPr="002F56FE">
        <w:rPr>
          <w:rFonts w:ascii="Times New Roman" w:hAnsi="Times New Roman"/>
          <w:sz w:val="24"/>
          <w:szCs w:val="24"/>
        </w:rPr>
        <w:t xml:space="preserve">, </w:t>
      </w:r>
      <w:r>
        <w:rPr>
          <w:rFonts w:ascii="Times New Roman" w:hAnsi="Times New Roman"/>
          <w:sz w:val="24"/>
          <w:szCs w:val="24"/>
        </w:rPr>
        <w:t xml:space="preserve">the U.S. Supreme Court held (5 to 3) that Mr. Pereida, a </w:t>
      </w:r>
      <w:r w:rsidRPr="00F3033E">
        <w:rPr>
          <w:rFonts w:ascii="Times New Roman" w:hAnsi="Times New Roman"/>
          <w:sz w:val="24"/>
          <w:szCs w:val="24"/>
        </w:rPr>
        <w:t xml:space="preserve">nonpermanent alien </w:t>
      </w:r>
      <w:r>
        <w:rPr>
          <w:rFonts w:ascii="Times New Roman" w:hAnsi="Times New Roman"/>
          <w:sz w:val="24"/>
          <w:szCs w:val="24"/>
        </w:rPr>
        <w:t xml:space="preserve">in the U.S. for 25 years, and he and his wife raised three children, sought </w:t>
      </w:r>
      <w:r w:rsidRPr="00F3033E">
        <w:rPr>
          <w:rFonts w:ascii="Times New Roman" w:hAnsi="Times New Roman"/>
          <w:sz w:val="24"/>
          <w:szCs w:val="24"/>
        </w:rPr>
        <w:t>to cancel a lawful removal order must prove that they have not been convicted of a disqualifying crime</w:t>
      </w:r>
      <w:r>
        <w:rPr>
          <w:rFonts w:ascii="Times New Roman" w:hAnsi="Times New Roman"/>
          <w:sz w:val="24"/>
          <w:szCs w:val="24"/>
        </w:rPr>
        <w:t xml:space="preserve"> (crime of “moral turpitude”)</w:t>
      </w:r>
      <w:r w:rsidRPr="00F3033E">
        <w:rPr>
          <w:rFonts w:ascii="Times New Roman" w:hAnsi="Times New Roman"/>
          <w:sz w:val="24"/>
          <w:szCs w:val="24"/>
        </w:rPr>
        <w:t xml:space="preserve">. </w:t>
      </w:r>
      <w:r>
        <w:rPr>
          <w:rFonts w:ascii="Times New Roman" w:hAnsi="Times New Roman"/>
          <w:sz w:val="24"/>
          <w:szCs w:val="24"/>
        </w:rPr>
        <w:t xml:space="preserve"> In 2010, he was charge</w:t>
      </w:r>
      <w:r w:rsidR="006F4E6C">
        <w:rPr>
          <w:rFonts w:ascii="Times New Roman" w:hAnsi="Times New Roman"/>
          <w:sz w:val="24"/>
          <w:szCs w:val="24"/>
        </w:rPr>
        <w:t>d</w:t>
      </w:r>
      <w:r>
        <w:rPr>
          <w:rFonts w:ascii="Times New Roman" w:hAnsi="Times New Roman"/>
          <w:sz w:val="24"/>
          <w:szCs w:val="24"/>
        </w:rPr>
        <w:t xml:space="preserve"> in Nebraska with the crime of using a false Social Security Card to get employment as a janitor, plead nolo </w:t>
      </w:r>
      <w:r w:rsidRPr="00F3033E">
        <w:rPr>
          <w:rFonts w:ascii="Times New Roman" w:hAnsi="Times New Roman"/>
          <w:sz w:val="24"/>
          <w:szCs w:val="24"/>
        </w:rPr>
        <w:t>contendere</w:t>
      </w:r>
      <w:r>
        <w:rPr>
          <w:rFonts w:ascii="Times New Roman" w:hAnsi="Times New Roman"/>
          <w:sz w:val="24"/>
          <w:szCs w:val="24"/>
        </w:rPr>
        <w:t xml:space="preserve"> [no contest] and was fined $100. </w:t>
      </w:r>
    </w:p>
    <w:p w14:paraId="2379B60A" w14:textId="1C5D92C3" w:rsidR="000915C1" w:rsidRPr="000915C1" w:rsidRDefault="000915C1" w:rsidP="000915C1">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r w:rsidRPr="00F3033E">
        <w:rPr>
          <w:rFonts w:ascii="Times New Roman" w:hAnsi="Times New Roman"/>
          <w:sz w:val="24"/>
          <w:szCs w:val="24"/>
        </w:rPr>
        <w:t>Under the INA</w:t>
      </w:r>
      <w:r>
        <w:rPr>
          <w:rFonts w:ascii="Times New Roman" w:hAnsi="Times New Roman"/>
          <w:sz w:val="24"/>
          <w:szCs w:val="24"/>
        </w:rPr>
        <w:t xml:space="preserve"> </w:t>
      </w:r>
      <w:r w:rsidRPr="00BD63A2">
        <w:rPr>
          <w:rFonts w:ascii="Times New Roman" w:hAnsi="Times New Roman"/>
          <w:sz w:val="24"/>
          <w:szCs w:val="24"/>
        </w:rPr>
        <w:t>[Immigration and Nationality Act]</w:t>
      </w:r>
      <w:r>
        <w:rPr>
          <w:rFonts w:ascii="Times New Roman" w:hAnsi="Times New Roman"/>
          <w:sz w:val="24"/>
          <w:szCs w:val="24"/>
        </w:rPr>
        <w:t xml:space="preserve">, </w:t>
      </w:r>
      <w:r w:rsidRPr="00F3033E">
        <w:rPr>
          <w:rFonts w:ascii="Times New Roman" w:hAnsi="Times New Roman"/>
          <w:sz w:val="24"/>
          <w:szCs w:val="24"/>
        </w:rPr>
        <w:t>certain nonpermanent aliens seeking to</w:t>
      </w:r>
      <w:r w:rsidR="006F4E6C">
        <w:rPr>
          <w:rFonts w:ascii="Times New Roman" w:hAnsi="Times New Roman"/>
          <w:sz w:val="24"/>
          <w:szCs w:val="24"/>
        </w:rPr>
        <w:t xml:space="preserve"> </w:t>
      </w:r>
      <w:r w:rsidRPr="00F3033E">
        <w:rPr>
          <w:rFonts w:ascii="Times New Roman" w:hAnsi="Times New Roman"/>
          <w:sz w:val="24"/>
          <w:szCs w:val="24"/>
        </w:rPr>
        <w:t>cancel a lawful removal order must prove that they have</w:t>
      </w:r>
      <w:r>
        <w:rPr>
          <w:rFonts w:ascii="Times New Roman" w:hAnsi="Times New Roman"/>
          <w:sz w:val="24"/>
          <w:szCs w:val="24"/>
        </w:rPr>
        <w:t xml:space="preserve"> </w:t>
      </w:r>
      <w:r w:rsidRPr="00F3033E">
        <w:rPr>
          <w:rFonts w:ascii="Times New Roman" w:hAnsi="Times New Roman"/>
          <w:sz w:val="24"/>
          <w:szCs w:val="24"/>
        </w:rPr>
        <w:t>not been convicted of a disqualifying crime. The Eighth Circuit correctly held that Mr. Pereida failed to carry this burden. Its judgment is Affirmed</w:t>
      </w:r>
      <w:r>
        <w:rPr>
          <w:rFonts w:ascii="Times New Roman" w:hAnsi="Times New Roman"/>
          <w:sz w:val="24"/>
          <w:szCs w:val="24"/>
        </w:rPr>
        <w:t xml:space="preserve">.” </w:t>
      </w:r>
      <w:hyperlink r:id="rId796" w:history="1">
        <w:r w:rsidRPr="000915C1">
          <w:rPr>
            <w:rStyle w:val="Hyperlink"/>
            <w:rFonts w:ascii="Times New Roman" w:hAnsi="Times New Roman"/>
            <w:sz w:val="24"/>
            <w:szCs w:val="24"/>
          </w:rPr>
          <w:t>https://www.supremecourt.gov/opinions/20pdf/19-438_j4el.pdf</w:t>
        </w:r>
      </w:hyperlink>
      <w:r w:rsidRPr="000915C1">
        <w:rPr>
          <w:rFonts w:ascii="Times New Roman" w:hAnsi="Times New Roman"/>
          <w:sz w:val="24"/>
          <w:szCs w:val="24"/>
        </w:rPr>
        <w:t xml:space="preserve"> </w:t>
      </w:r>
    </w:p>
    <w:p w14:paraId="266D7F92" w14:textId="77777777" w:rsidR="000915C1" w:rsidRPr="00BD63A2" w:rsidRDefault="000915C1" w:rsidP="000915C1">
      <w:pPr>
        <w:spacing w:before="100" w:beforeAutospacing="1" w:after="100" w:afterAutospacing="1" w:line="240" w:lineRule="auto"/>
        <w:rPr>
          <w:rFonts w:ascii="Times New Roman" w:hAnsi="Times New Roman"/>
          <w:b/>
          <w:bCs/>
          <w:sz w:val="24"/>
          <w:szCs w:val="24"/>
        </w:rPr>
      </w:pPr>
      <w:r w:rsidRPr="00BD63A2">
        <w:rPr>
          <w:rFonts w:ascii="Times New Roman" w:hAnsi="Times New Roman"/>
          <w:b/>
          <w:bCs/>
          <w:sz w:val="24"/>
          <w:szCs w:val="24"/>
        </w:rPr>
        <w:t>Legal Lesson Learned:</w:t>
      </w:r>
      <w:r>
        <w:rPr>
          <w:rFonts w:ascii="Times New Roman" w:hAnsi="Times New Roman"/>
          <w:b/>
          <w:bCs/>
          <w:sz w:val="24"/>
          <w:szCs w:val="24"/>
        </w:rPr>
        <w:t xml:space="preserve"> This U.S. Supreme Court decision sets precedence for other deportation cases.  </w:t>
      </w:r>
    </w:p>
    <w:p w14:paraId="51C3B8A3" w14:textId="77777777" w:rsidR="000915C1" w:rsidRDefault="000915C1" w:rsidP="000915C1">
      <w:pPr>
        <w:spacing w:before="100" w:beforeAutospacing="1" w:after="100" w:afterAutospacing="1" w:line="240" w:lineRule="auto"/>
        <w:ind w:left="720"/>
        <w:rPr>
          <w:rFonts w:ascii="Times New Roman" w:eastAsia="Times New Roman" w:hAnsi="Times New Roman"/>
          <w:kern w:val="36"/>
          <w:sz w:val="24"/>
          <w:szCs w:val="24"/>
        </w:rPr>
      </w:pPr>
      <w:r>
        <w:rPr>
          <w:rFonts w:ascii="Times New Roman" w:hAnsi="Times New Roman"/>
          <w:sz w:val="24"/>
          <w:szCs w:val="24"/>
        </w:rPr>
        <w:t>Note: See article – “</w:t>
      </w:r>
      <w:r w:rsidRPr="00BD63A2">
        <w:rPr>
          <w:rFonts w:ascii="Times New Roman" w:eastAsia="Times New Roman" w:hAnsi="Times New Roman"/>
          <w:kern w:val="36"/>
          <w:sz w:val="24"/>
          <w:szCs w:val="24"/>
        </w:rPr>
        <w:t xml:space="preserve">Supreme Court Makes It Harder </w:t>
      </w:r>
      <w:proofErr w:type="gramStart"/>
      <w:r w:rsidRPr="00BD63A2">
        <w:rPr>
          <w:rFonts w:ascii="Times New Roman" w:eastAsia="Times New Roman" w:hAnsi="Times New Roman"/>
          <w:kern w:val="36"/>
          <w:sz w:val="24"/>
          <w:szCs w:val="24"/>
        </w:rPr>
        <w:t>For</w:t>
      </w:r>
      <w:proofErr w:type="gramEnd"/>
      <w:r w:rsidRPr="00BD63A2">
        <w:rPr>
          <w:rFonts w:ascii="Times New Roman" w:eastAsia="Times New Roman" w:hAnsi="Times New Roman"/>
          <w:kern w:val="36"/>
          <w:sz w:val="24"/>
          <w:szCs w:val="24"/>
        </w:rPr>
        <w:t xml:space="preserve"> Undocumented Immigrants </w:t>
      </w:r>
      <w:proofErr w:type="gramStart"/>
      <w:r w:rsidRPr="00BD63A2">
        <w:rPr>
          <w:rFonts w:ascii="Times New Roman" w:eastAsia="Times New Roman" w:hAnsi="Times New Roman"/>
          <w:kern w:val="36"/>
          <w:sz w:val="24"/>
          <w:szCs w:val="24"/>
        </w:rPr>
        <w:t>To</w:t>
      </w:r>
      <w:proofErr w:type="gramEnd"/>
      <w:r w:rsidRPr="00BD63A2">
        <w:rPr>
          <w:rFonts w:ascii="Times New Roman" w:eastAsia="Times New Roman" w:hAnsi="Times New Roman"/>
          <w:kern w:val="36"/>
          <w:sz w:val="24"/>
          <w:szCs w:val="24"/>
        </w:rPr>
        <w:t xml:space="preserve"> Fight Deportation</w:t>
      </w:r>
      <w:r>
        <w:rPr>
          <w:rFonts w:ascii="Times New Roman" w:eastAsia="Times New Roman" w:hAnsi="Times New Roman"/>
          <w:kern w:val="36"/>
          <w:sz w:val="24"/>
          <w:szCs w:val="24"/>
        </w:rPr>
        <w:t xml:space="preserve">,” March 4, 2021: </w:t>
      </w:r>
      <w:hyperlink r:id="rId797" w:history="1">
        <w:r w:rsidRPr="00916B19">
          <w:rPr>
            <w:rStyle w:val="Hyperlink"/>
            <w:sz w:val="24"/>
            <w:szCs w:val="24"/>
          </w:rPr>
          <w:t>https://www.npr.org/2021/03/04/973658292/supreme-court-makes-it-harder-for-undocumented-immigrants-to-fight-deportation</w:t>
        </w:r>
      </w:hyperlink>
      <w:r>
        <w:rPr>
          <w:rFonts w:ascii="Times New Roman" w:eastAsia="Times New Roman" w:hAnsi="Times New Roman"/>
          <w:kern w:val="36"/>
          <w:sz w:val="24"/>
          <w:szCs w:val="24"/>
        </w:rPr>
        <w:t xml:space="preserve"> </w:t>
      </w:r>
    </w:p>
    <w:p w14:paraId="30535845" w14:textId="4F25AA40" w:rsidR="000915C1" w:rsidRDefault="000915C1" w:rsidP="00F326E5">
      <w:pPr>
        <w:pStyle w:val="NoSpacing"/>
        <w:rPr>
          <w:rFonts w:ascii="Arial Black" w:hAnsi="Arial Black"/>
          <w:sz w:val="28"/>
          <w:szCs w:val="28"/>
        </w:rPr>
      </w:pPr>
    </w:p>
    <w:p w14:paraId="73014751" w14:textId="1319E81D" w:rsidR="000915C1" w:rsidRDefault="000915C1" w:rsidP="00F326E5">
      <w:pPr>
        <w:pStyle w:val="NoSpacing"/>
        <w:rPr>
          <w:rFonts w:ascii="Arial Black" w:hAnsi="Arial Black"/>
          <w:sz w:val="28"/>
          <w:szCs w:val="28"/>
        </w:rPr>
      </w:pPr>
    </w:p>
    <w:p w14:paraId="63EA5369" w14:textId="77777777" w:rsidR="000915C1" w:rsidRDefault="000915C1" w:rsidP="00F326E5">
      <w:pPr>
        <w:pStyle w:val="NoSpacing"/>
        <w:rPr>
          <w:rFonts w:ascii="Arial Black" w:hAnsi="Arial Black"/>
          <w:sz w:val="28"/>
          <w:szCs w:val="28"/>
        </w:rPr>
      </w:pPr>
    </w:p>
    <w:p w14:paraId="0843707D" w14:textId="1E1F42D3" w:rsidR="005E132A" w:rsidRDefault="00CD5950" w:rsidP="00F326E5">
      <w:pPr>
        <w:pStyle w:val="NoSpacing"/>
        <w:rPr>
          <w:rFonts w:ascii="Arial Black" w:hAnsi="Arial Black"/>
          <w:sz w:val="28"/>
          <w:szCs w:val="28"/>
        </w:rPr>
      </w:pPr>
      <w:r>
        <w:rPr>
          <w:rFonts w:ascii="Arial Black" w:hAnsi="Arial Black"/>
          <w:sz w:val="28"/>
          <w:szCs w:val="28"/>
        </w:rPr>
        <w:t>3-30</w:t>
      </w:r>
    </w:p>
    <w:p w14:paraId="386C35F8" w14:textId="77777777" w:rsidR="00CD5950" w:rsidRDefault="00CD5950" w:rsidP="00CD5950">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 xml:space="preserve">IL: FBI 2-YEAR INVESTIGATION – USED “CONFIDENTIAL HUMAN SOURCE” – JURY CONVICTION </w:t>
      </w:r>
    </w:p>
    <w:p w14:paraId="31756B32" w14:textId="32FCE251" w:rsidR="00CD5950" w:rsidRDefault="00CD5950" w:rsidP="00CD5950">
      <w:pPr>
        <w:spacing w:before="100" w:beforeAutospacing="1" w:after="100" w:afterAutospacing="1" w:line="240" w:lineRule="auto"/>
        <w:rPr>
          <w:rFonts w:ascii="Times New Roman" w:hAnsi="Times New Roman"/>
          <w:sz w:val="24"/>
          <w:szCs w:val="24"/>
        </w:rPr>
      </w:pPr>
      <w:r w:rsidRPr="00BC6E6A">
        <w:rPr>
          <w:rFonts w:ascii="Times New Roman" w:eastAsia="Times New Roman" w:hAnsi="Times New Roman"/>
          <w:sz w:val="24"/>
          <w:szCs w:val="24"/>
        </w:rPr>
        <w:t xml:space="preserve">On Feb. 18, 2021, in </w:t>
      </w:r>
      <w:r w:rsidRPr="00D2057B">
        <w:rPr>
          <w:rFonts w:ascii="Times New Roman" w:eastAsia="Times New Roman" w:hAnsi="Times New Roman"/>
          <w:sz w:val="24"/>
          <w:szCs w:val="24"/>
          <w:u w:val="single"/>
        </w:rPr>
        <w:t>United States of America v. Joseph D. Jones and Edward Schimenti</w:t>
      </w:r>
      <w:r>
        <w:rPr>
          <w:rFonts w:ascii="Times New Roman" w:eastAsia="Times New Roman" w:hAnsi="Times New Roman"/>
          <w:sz w:val="24"/>
          <w:szCs w:val="24"/>
        </w:rPr>
        <w:t xml:space="preserve">, U.S. District Court Judge </w:t>
      </w:r>
      <w:r w:rsidRPr="00D2057B">
        <w:rPr>
          <w:rFonts w:ascii="Times New Roman" w:hAnsi="Times New Roman"/>
          <w:sz w:val="24"/>
          <w:szCs w:val="24"/>
        </w:rPr>
        <w:t>Andrea R. Wood</w:t>
      </w:r>
      <w:r>
        <w:rPr>
          <w:rFonts w:ascii="Times New Roman" w:hAnsi="Times New Roman"/>
          <w:sz w:val="24"/>
          <w:szCs w:val="24"/>
        </w:rPr>
        <w:t xml:space="preserve">, U.S. District Court for the Northern District of Illinois (Eastern Division) denied the defendants’ motion for judgment of acquittal or alternatively for a new trial.  The FBI investigation started based on internet posts by the two defendants and lasted for two years with both undercover FBI agents and a “confidential human source” tape recording their conversations with the defendants.  The FBI paid the source for expenses, and after the trial obtained FBI Headquarters permission to pay him $50,000.  </w:t>
      </w:r>
    </w:p>
    <w:p w14:paraId="009E22ED" w14:textId="77777777" w:rsidR="00CD5950" w:rsidRDefault="00CD5950" w:rsidP="00CD5950">
      <w:pPr>
        <w:pStyle w:val="NormalWeb"/>
        <w:ind w:left="1440"/>
      </w:pPr>
      <w:r>
        <w:lastRenderedPageBreak/>
        <w:t xml:space="preserve">“Muhamed [the confidential </w:t>
      </w:r>
      <w:proofErr w:type="spellStart"/>
      <w:r>
        <w:t>himan</w:t>
      </w:r>
      <w:proofErr w:type="spellEnd"/>
      <w:r>
        <w:t xml:space="preserve"> source] also testified at trial. He explained that he was born in Iraq and had worked for the United States Department of Defense in Iraq between 2004 and 2009. (Tr. 1220-22.) He moved to the United States in 2014 as a refugee. (Tr. 1221.) Muhamed testified that he first spoke to the FBI in the summer of 2016 when FBI agents came to his home to interview him about a report that he had an ISIS flag on his car. (Tr. 1223.) Subsequently, Muhamed followed up with the FBI, told an FBI supervisor that he loved to work with the government and was a law enforcement supporter, interviewed with the FBI, and began working as a confidential human source. (Tr. 1224-25.) Muhamed further testified that he never asked the FBI for anything in exchange for his cooperation, the FBI never offered him anything in exchange for his cooperation, and he did not expect to get anything for his cooperation. (Tr. 1225.) According to Muhamed, the FBI had given him some money but only for fuel, a cheap car, parking, and moving out from his old apartment after the case. (Tr. 1226.)</w:t>
      </w:r>
    </w:p>
    <w:p w14:paraId="4DAE95B2" w14:textId="77777777" w:rsidR="00CD5950" w:rsidRDefault="00CD5950" w:rsidP="00CD5950">
      <w:pPr>
        <w:pStyle w:val="NormalWeb"/>
        <w:ind w:left="1440"/>
      </w:pPr>
      <w:r>
        <w:t>***</w:t>
      </w:r>
    </w:p>
    <w:p w14:paraId="3DB19EF7" w14:textId="77777777" w:rsidR="00CD5950" w:rsidRPr="00E41266" w:rsidRDefault="00CD5950" w:rsidP="00CD5950">
      <w:pPr>
        <w:spacing w:before="100" w:beforeAutospacing="1" w:after="100" w:afterAutospacing="1" w:line="240" w:lineRule="auto"/>
        <w:ind w:left="1440"/>
        <w:rPr>
          <w:rFonts w:ascii="Times New Roman" w:eastAsia="Times New Roman" w:hAnsi="Times New Roman"/>
          <w:sz w:val="24"/>
          <w:szCs w:val="24"/>
        </w:rPr>
      </w:pPr>
      <w:r w:rsidRPr="00E41266">
        <w:rPr>
          <w:rFonts w:ascii="Times New Roman" w:eastAsia="Times New Roman" w:hAnsi="Times New Roman"/>
          <w:sz w:val="24"/>
          <w:szCs w:val="24"/>
        </w:rPr>
        <w:t xml:space="preserve">But Defendants have not identified any </w:t>
      </w:r>
      <w:proofErr w:type="gramStart"/>
      <w:r w:rsidRPr="00E41266">
        <w:rPr>
          <w:rFonts w:ascii="Times New Roman" w:eastAsia="Times New Roman" w:hAnsi="Times New Roman"/>
          <w:sz w:val="24"/>
          <w:szCs w:val="24"/>
        </w:rPr>
        <w:t>particular testimony</w:t>
      </w:r>
      <w:proofErr w:type="gramEnd"/>
      <w:r w:rsidRPr="00E41266">
        <w:rPr>
          <w:rFonts w:ascii="Times New Roman" w:eastAsia="Times New Roman" w:hAnsi="Times New Roman"/>
          <w:sz w:val="24"/>
          <w:szCs w:val="24"/>
        </w:rPr>
        <w:t xml:space="preserve"> given by Muhamed that they claim was exaggerated or outright false—other than his motives for testifying. Given that the jury did hear evidence regarding pretrial payments to Muhamed, even if some of the detail may have been omitted to inaccurate, and the speculative nature at least at the time of trial, of any post-trial request for payment to Muhamed, the Court cannot conclude that the additional information would have been material and not cumulative.</w:t>
      </w:r>
      <w:r>
        <w:t xml:space="preserve"> </w:t>
      </w:r>
      <w:hyperlink r:id="rId798" w:history="1">
        <w:r w:rsidRPr="002A3A0C">
          <w:rPr>
            <w:rStyle w:val="Hyperlink"/>
            <w:rFonts w:ascii="Times New Roman" w:eastAsia="Times New Roman" w:hAnsi="Times New Roman"/>
            <w:sz w:val="24"/>
            <w:szCs w:val="24"/>
          </w:rPr>
          <w:t>https://public.fastcase.com/Wl%2B2t%2BeVuI35%2FN70vAMFZt9ItawWnHyT6tQhkduyZ%2FXLPY%2FAAJ%2BlLBDJZfxklyiH</w:t>
        </w:r>
      </w:hyperlink>
      <w:r>
        <w:rPr>
          <w:rFonts w:ascii="Times New Roman" w:eastAsia="Times New Roman" w:hAnsi="Times New Roman"/>
          <w:sz w:val="24"/>
          <w:szCs w:val="24"/>
        </w:rPr>
        <w:t xml:space="preserve"> </w:t>
      </w:r>
    </w:p>
    <w:p w14:paraId="451BAF8D" w14:textId="77777777" w:rsidR="00CD5950" w:rsidRPr="00E73800" w:rsidRDefault="00CD5950" w:rsidP="00CD5950">
      <w:pPr>
        <w:spacing w:before="100" w:beforeAutospacing="1" w:after="100" w:afterAutospacing="1" w:line="240" w:lineRule="auto"/>
        <w:rPr>
          <w:rFonts w:ascii="Times New Roman" w:eastAsia="Times New Roman" w:hAnsi="Times New Roman"/>
          <w:b/>
          <w:bCs/>
          <w:sz w:val="24"/>
          <w:szCs w:val="24"/>
        </w:rPr>
      </w:pPr>
      <w:r w:rsidRPr="00E73800">
        <w:rPr>
          <w:rFonts w:ascii="Times New Roman" w:hAnsi="Times New Roman"/>
          <w:b/>
          <w:bCs/>
          <w:sz w:val="24"/>
          <w:szCs w:val="24"/>
        </w:rPr>
        <w:t>Legal Lesson Learned:</w:t>
      </w:r>
      <w:r>
        <w:rPr>
          <w:rFonts w:ascii="Times New Roman" w:hAnsi="Times New Roman"/>
          <w:b/>
          <w:bCs/>
          <w:sz w:val="24"/>
          <w:szCs w:val="24"/>
        </w:rPr>
        <w:t xml:space="preserve"> The Court’s decision gives great insight </w:t>
      </w:r>
      <w:proofErr w:type="gramStart"/>
      <w:r>
        <w:rPr>
          <w:rFonts w:ascii="Times New Roman" w:hAnsi="Times New Roman"/>
          <w:b/>
          <w:bCs/>
          <w:sz w:val="24"/>
          <w:szCs w:val="24"/>
        </w:rPr>
        <w:t>on</w:t>
      </w:r>
      <w:proofErr w:type="gramEnd"/>
      <w:r>
        <w:rPr>
          <w:rFonts w:ascii="Times New Roman" w:hAnsi="Times New Roman"/>
          <w:b/>
          <w:bCs/>
          <w:sz w:val="24"/>
          <w:szCs w:val="24"/>
        </w:rPr>
        <w:t xml:space="preserve"> how FBI conducted their two year </w:t>
      </w:r>
      <w:proofErr w:type="gramStart"/>
      <w:r>
        <w:rPr>
          <w:rFonts w:ascii="Times New Roman" w:hAnsi="Times New Roman"/>
          <w:b/>
          <w:bCs/>
          <w:sz w:val="24"/>
          <w:szCs w:val="24"/>
        </w:rPr>
        <w:t>investigation, and</w:t>
      </w:r>
      <w:proofErr w:type="gramEnd"/>
      <w:r>
        <w:rPr>
          <w:rFonts w:ascii="Times New Roman" w:hAnsi="Times New Roman"/>
          <w:b/>
          <w:bCs/>
          <w:sz w:val="24"/>
          <w:szCs w:val="24"/>
        </w:rPr>
        <w:t xml:space="preserve"> used a confidential human source.</w:t>
      </w:r>
    </w:p>
    <w:p w14:paraId="522A9EEB" w14:textId="77777777" w:rsidR="00CD5950" w:rsidRPr="00771E4E" w:rsidRDefault="00CD5950" w:rsidP="00CD5950">
      <w:pPr>
        <w:spacing w:before="100" w:beforeAutospacing="1" w:after="100" w:afterAutospacing="1" w:line="240" w:lineRule="auto"/>
        <w:ind w:left="720"/>
        <w:rPr>
          <w:rFonts w:ascii="Times New Roman" w:hAnsi="Times New Roman"/>
          <w:sz w:val="24"/>
          <w:szCs w:val="24"/>
        </w:rPr>
      </w:pPr>
      <w:r w:rsidRPr="00771E4E">
        <w:rPr>
          <w:rFonts w:ascii="Times New Roman" w:hAnsi="Times New Roman"/>
          <w:sz w:val="24"/>
          <w:szCs w:val="24"/>
        </w:rPr>
        <w:t xml:space="preserve">Note: See </w:t>
      </w:r>
      <w:proofErr w:type="spellStart"/>
      <w:r w:rsidRPr="00771E4E">
        <w:rPr>
          <w:rFonts w:ascii="Times New Roman" w:hAnsi="Times New Roman"/>
          <w:sz w:val="24"/>
          <w:szCs w:val="24"/>
        </w:rPr>
        <w:t>DoJ</w:t>
      </w:r>
      <w:proofErr w:type="spellEnd"/>
      <w:r w:rsidRPr="00771E4E">
        <w:rPr>
          <w:rFonts w:ascii="Times New Roman" w:hAnsi="Times New Roman"/>
          <w:sz w:val="24"/>
          <w:szCs w:val="24"/>
        </w:rPr>
        <w:t xml:space="preserve"> Press Release after jury conviction (June 21, 2019): “Two Suburban Chicago Men Convicted of Conspiring to Provide Material Support to ISIS.” </w:t>
      </w:r>
      <w:hyperlink r:id="rId799" w:history="1">
        <w:r w:rsidRPr="00771E4E">
          <w:rPr>
            <w:rStyle w:val="Hyperlink"/>
            <w:rFonts w:ascii="Times New Roman" w:hAnsi="Times New Roman"/>
            <w:sz w:val="24"/>
            <w:szCs w:val="24"/>
          </w:rPr>
          <w:t>https://www.justice.gov/opa/pr/two-suburban-chicago-men-convicted-conspiring-provide-material-support-isis</w:t>
        </w:r>
      </w:hyperlink>
      <w:r w:rsidRPr="00771E4E">
        <w:rPr>
          <w:rFonts w:ascii="Times New Roman" w:hAnsi="Times New Roman"/>
          <w:sz w:val="24"/>
          <w:szCs w:val="24"/>
        </w:rPr>
        <w:t xml:space="preserve"> </w:t>
      </w:r>
    </w:p>
    <w:p w14:paraId="3B968CFD" w14:textId="19ABA034" w:rsidR="00CD5950" w:rsidRDefault="00CD5950" w:rsidP="00F326E5">
      <w:pPr>
        <w:pStyle w:val="NoSpacing"/>
        <w:rPr>
          <w:rFonts w:ascii="Arial Black" w:hAnsi="Arial Black"/>
          <w:sz w:val="28"/>
          <w:szCs w:val="28"/>
        </w:rPr>
      </w:pPr>
    </w:p>
    <w:p w14:paraId="682D99A5" w14:textId="77777777" w:rsidR="00CD5950" w:rsidRDefault="00CD5950" w:rsidP="00F326E5">
      <w:pPr>
        <w:pStyle w:val="NoSpacing"/>
        <w:rPr>
          <w:rFonts w:ascii="Arial Black" w:hAnsi="Arial Black"/>
          <w:sz w:val="28"/>
          <w:szCs w:val="28"/>
        </w:rPr>
      </w:pPr>
    </w:p>
    <w:p w14:paraId="79A458B3" w14:textId="269C570A" w:rsidR="005E132A" w:rsidRDefault="005E132A" w:rsidP="00F326E5">
      <w:pPr>
        <w:pStyle w:val="NoSpacing"/>
        <w:rPr>
          <w:rFonts w:ascii="Arial Black" w:hAnsi="Arial Black"/>
          <w:sz w:val="28"/>
          <w:szCs w:val="28"/>
        </w:rPr>
      </w:pPr>
      <w:r>
        <w:rPr>
          <w:rFonts w:ascii="Arial Black" w:hAnsi="Arial Black"/>
          <w:sz w:val="28"/>
          <w:szCs w:val="28"/>
        </w:rPr>
        <w:t>3-29</w:t>
      </w:r>
    </w:p>
    <w:p w14:paraId="6B1DEB7C" w14:textId="77777777" w:rsidR="005E132A" w:rsidRDefault="005E132A" w:rsidP="005E132A">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DC: FEDERAL GRANT RECEPIENTS – SOME CHINESE TELECOMMUNICATION EQUIPMENT PROHIBITED</w:t>
      </w:r>
    </w:p>
    <w:p w14:paraId="75DFD753" w14:textId="7CF58C14" w:rsidR="005E132A" w:rsidRDefault="005E132A" w:rsidP="005E132A">
      <w:pPr>
        <w:pStyle w:val="xxxxmsonormal"/>
        <w:rPr>
          <w:rFonts w:ascii="Times New Roman" w:hAnsi="Times New Roman" w:cs="Times New Roman"/>
          <w:sz w:val="24"/>
          <w:szCs w:val="24"/>
        </w:rPr>
      </w:pPr>
      <w:r>
        <w:rPr>
          <w:rFonts w:ascii="Times New Roman" w:hAnsi="Times New Roman" w:cs="Times New Roman"/>
          <w:sz w:val="24"/>
          <w:szCs w:val="24"/>
        </w:rPr>
        <w:t xml:space="preserve">Jan. 2021 Newsletter:  On Aug. 13, 2020, the Office of Management </w:t>
      </w:r>
      <w:proofErr w:type="gramStart"/>
      <w:r>
        <w:rPr>
          <w:rFonts w:ascii="Times New Roman" w:hAnsi="Times New Roman" w:cs="Times New Roman"/>
          <w:sz w:val="24"/>
          <w:szCs w:val="24"/>
        </w:rPr>
        <w:t>And</w:t>
      </w:r>
      <w:proofErr w:type="gramEnd"/>
      <w:r>
        <w:rPr>
          <w:rFonts w:ascii="Times New Roman" w:hAnsi="Times New Roman" w:cs="Times New Roman"/>
          <w:sz w:val="24"/>
          <w:szCs w:val="24"/>
        </w:rPr>
        <w:t xml:space="preserve"> Budget issued its Guidance for Grants and Agreements, </w:t>
      </w:r>
      <w:proofErr w:type="gramStart"/>
      <w:r>
        <w:rPr>
          <w:rFonts w:ascii="Times New Roman" w:hAnsi="Times New Roman" w:cs="Times New Roman"/>
          <w:sz w:val="24"/>
          <w:szCs w:val="24"/>
        </w:rPr>
        <w:t>implement</w:t>
      </w:r>
      <w:proofErr w:type="gramEnd"/>
      <w:r>
        <w:rPr>
          <w:rFonts w:ascii="Times New Roman" w:hAnsi="Times New Roman" w:cs="Times New Roman"/>
          <w:sz w:val="24"/>
          <w:szCs w:val="24"/>
        </w:rPr>
        <w:t xml:space="preserve"> new Federal Acquisition Regulations (FAR). </w:t>
      </w:r>
      <w:hyperlink r:id="rId800" w:history="1">
        <w:r>
          <w:rPr>
            <w:rStyle w:val="Hyperlink"/>
          </w:rPr>
          <w:t>https://www.govinfo.gov/content/pkg/FR-2020-08-13/pdf/2020-17468.pd</w:t>
        </w:r>
      </w:hyperlink>
      <w:r>
        <w:rPr>
          <w:rFonts w:ascii="Times New Roman" w:hAnsi="Times New Roman" w:cs="Times New Roman"/>
          <w:sz w:val="24"/>
          <w:szCs w:val="24"/>
        </w:rPr>
        <w:t xml:space="preserve"> Federal grant recipients, including Fire &amp; EMS Departments, need to follow these new Federal Acquisition Regulations.   </w:t>
      </w:r>
    </w:p>
    <w:p w14:paraId="27547EEB" w14:textId="77777777" w:rsidR="005E132A" w:rsidRDefault="005E132A" w:rsidP="005E132A">
      <w:pPr>
        <w:pStyle w:val="xxxxmsonormal"/>
        <w:rPr>
          <w:rFonts w:ascii="Times New Roman" w:hAnsi="Times New Roman" w:cs="Times New Roman"/>
          <w:sz w:val="24"/>
          <w:szCs w:val="24"/>
        </w:rPr>
      </w:pPr>
      <w:r>
        <w:rPr>
          <w:rFonts w:ascii="Times New Roman" w:hAnsi="Times New Roman" w:cs="Times New Roman"/>
          <w:sz w:val="24"/>
          <w:szCs w:val="24"/>
        </w:rPr>
        <w:t xml:space="preserve">For example, a </w:t>
      </w:r>
      <w:proofErr w:type="gramStart"/>
      <w:r>
        <w:rPr>
          <w:rFonts w:ascii="Times New Roman" w:hAnsi="Times New Roman" w:cs="Times New Roman"/>
          <w:sz w:val="24"/>
          <w:szCs w:val="24"/>
        </w:rPr>
        <w:t>University</w:t>
      </w:r>
      <w:proofErr w:type="gramEnd"/>
      <w:r>
        <w:rPr>
          <w:rFonts w:ascii="Times New Roman" w:hAnsi="Times New Roman" w:cs="Times New Roman"/>
          <w:sz w:val="24"/>
          <w:szCs w:val="24"/>
        </w:rPr>
        <w:t xml:space="preserve"> recently sent out this notice:    </w:t>
      </w:r>
    </w:p>
    <w:p w14:paraId="6F95C945" w14:textId="77777777" w:rsidR="005E132A" w:rsidRDefault="005E132A" w:rsidP="005E132A">
      <w:pPr>
        <w:pStyle w:val="xxxxmsonormal"/>
        <w:ind w:firstLine="360"/>
        <w:rPr>
          <w:rFonts w:ascii="Times New Roman" w:hAnsi="Times New Roman" w:cs="Times New Roman"/>
          <w:sz w:val="24"/>
          <w:szCs w:val="24"/>
        </w:rPr>
      </w:pPr>
      <w:r>
        <w:rPr>
          <w:rFonts w:ascii="Times New Roman" w:hAnsi="Times New Roman" w:cs="Times New Roman"/>
          <w:sz w:val="24"/>
          <w:szCs w:val="24"/>
        </w:rPr>
        <w:t>Re:  Prohibited Equipment</w:t>
      </w:r>
    </w:p>
    <w:p w14:paraId="60575C58" w14:textId="77777777" w:rsidR="005E132A" w:rsidRDefault="005E132A" w:rsidP="005E132A">
      <w:pPr>
        <w:pStyle w:val="xxxxxmsonormal"/>
        <w:ind w:left="360"/>
        <w:rPr>
          <w:rFonts w:ascii="Times New Roman" w:hAnsi="Times New Roman" w:cs="Times New Roman"/>
          <w:sz w:val="24"/>
          <w:szCs w:val="24"/>
        </w:rPr>
      </w:pPr>
      <w:hyperlink r:id="rId801" w:history="1">
        <w:r w:rsidRPr="006B1421">
          <w:rPr>
            <w:rStyle w:val="Hyperlink"/>
            <w:rFonts w:ascii="Times New Roman" w:hAnsi="Times New Roman" w:cs="Times New Roman"/>
            <w:sz w:val="24"/>
            <w:szCs w:val="24"/>
          </w:rPr>
          <w:t>Federal law</w:t>
        </w:r>
      </w:hyperlink>
      <w:r w:rsidRPr="006B1421">
        <w:rPr>
          <w:rFonts w:ascii="Times New Roman" w:hAnsi="Times New Roman" w:cs="Times New Roman"/>
          <w:sz w:val="24"/>
          <w:szCs w:val="24"/>
        </w:rPr>
        <w:t xml:space="preserve"> * n</w:t>
      </w:r>
      <w:r>
        <w:rPr>
          <w:rFonts w:ascii="Times New Roman" w:hAnsi="Times New Roman" w:cs="Times New Roman"/>
          <w:sz w:val="24"/>
          <w:szCs w:val="24"/>
        </w:rPr>
        <w:t xml:space="preserve">ow prohibits [University] from purchasing, using or supporting certain telecommunications and video surveillance services or equipment as a condition of receiving federal funds.  Specifically, </w:t>
      </w:r>
      <w:r>
        <w:rPr>
          <w:rFonts w:ascii="Times New Roman" w:hAnsi="Times New Roman" w:cs="Times New Roman"/>
          <w:sz w:val="24"/>
          <w:szCs w:val="24"/>
        </w:rPr>
        <w:lastRenderedPageBreak/>
        <w:t>[University] cannot purchase or use such services or equipment from the following companies (or their associated subsidiaries and affiliates:</w:t>
      </w:r>
    </w:p>
    <w:p w14:paraId="127E749D" w14:textId="77777777" w:rsidR="005E132A" w:rsidRDefault="005E132A" w:rsidP="005E132A">
      <w:pPr>
        <w:pStyle w:val="xxxxmsonormal"/>
        <w:numPr>
          <w:ilvl w:val="0"/>
          <w:numId w:val="7"/>
        </w:numPr>
        <w:spacing w:before="0" w:beforeAutospacing="0" w:after="0" w:afterAutospacing="0"/>
        <w:rPr>
          <w:rFonts w:ascii="Times New Roman" w:eastAsia="Times New Roman" w:hAnsi="Times New Roman" w:cs="Times New Roman"/>
          <w:sz w:val="24"/>
          <w:szCs w:val="24"/>
        </w:rPr>
      </w:pPr>
      <w:r>
        <w:rPr>
          <w:rFonts w:ascii="Times New Roman" w:eastAsia="Times New Roman" w:hAnsi="Times New Roman" w:cs="Times New Roman"/>
          <w:sz w:val="24"/>
          <w:szCs w:val="24"/>
        </w:rPr>
        <w:t>Huawei Technologies Company</w:t>
      </w:r>
    </w:p>
    <w:p w14:paraId="184C59F1" w14:textId="77777777" w:rsidR="005E132A" w:rsidRDefault="005E132A" w:rsidP="005E132A">
      <w:pPr>
        <w:pStyle w:val="xxxxmsonormal"/>
        <w:numPr>
          <w:ilvl w:val="0"/>
          <w:numId w:val="7"/>
        </w:numPr>
        <w:spacing w:before="0" w:beforeAutospacing="0" w:after="0" w:afterAutospacing="0"/>
        <w:rPr>
          <w:rFonts w:ascii="Times New Roman" w:eastAsia="Times New Roman" w:hAnsi="Times New Roman" w:cs="Times New Roman"/>
          <w:sz w:val="24"/>
          <w:szCs w:val="24"/>
        </w:rPr>
      </w:pPr>
      <w:r>
        <w:rPr>
          <w:rFonts w:ascii="Times New Roman" w:eastAsia="Times New Roman" w:hAnsi="Times New Roman" w:cs="Times New Roman"/>
          <w:sz w:val="24"/>
          <w:szCs w:val="24"/>
        </w:rPr>
        <w:t>ZTE Corporation</w:t>
      </w:r>
    </w:p>
    <w:p w14:paraId="44234127" w14:textId="77777777" w:rsidR="005E132A" w:rsidRDefault="005E132A" w:rsidP="005E132A">
      <w:pPr>
        <w:pStyle w:val="xxxxmsonormal"/>
        <w:numPr>
          <w:ilvl w:val="0"/>
          <w:numId w:val="7"/>
        </w:numPr>
        <w:spacing w:before="0" w:beforeAutospacing="0" w:after="0" w:afterAutospacing="0"/>
        <w:rPr>
          <w:rFonts w:ascii="Times New Roman" w:eastAsia="Times New Roman" w:hAnsi="Times New Roman" w:cs="Times New Roman"/>
          <w:sz w:val="24"/>
          <w:szCs w:val="24"/>
        </w:rPr>
      </w:pPr>
      <w:r>
        <w:rPr>
          <w:rFonts w:ascii="Times New Roman" w:eastAsia="Times New Roman" w:hAnsi="Times New Roman" w:cs="Times New Roman"/>
          <w:sz w:val="24"/>
          <w:szCs w:val="24"/>
        </w:rPr>
        <w:t>Hytera Communications Corporation for security or public safety</w:t>
      </w:r>
    </w:p>
    <w:p w14:paraId="17873D67" w14:textId="77777777" w:rsidR="005E132A" w:rsidRDefault="005E132A" w:rsidP="005E132A">
      <w:pPr>
        <w:pStyle w:val="xxxxmsonormal"/>
        <w:numPr>
          <w:ilvl w:val="0"/>
          <w:numId w:val="7"/>
        </w:numPr>
        <w:spacing w:before="0" w:beforeAutospacing="0" w:after="0" w:afterAutospacing="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Hangzhou </w:t>
      </w:r>
      <w:proofErr w:type="spellStart"/>
      <w:r>
        <w:rPr>
          <w:rFonts w:ascii="Times New Roman" w:eastAsia="Times New Roman" w:hAnsi="Times New Roman" w:cs="Times New Roman"/>
          <w:sz w:val="24"/>
          <w:szCs w:val="24"/>
        </w:rPr>
        <w:t>Hikivision</w:t>
      </w:r>
      <w:proofErr w:type="spellEnd"/>
      <w:r>
        <w:rPr>
          <w:rFonts w:ascii="Times New Roman" w:eastAsia="Times New Roman" w:hAnsi="Times New Roman" w:cs="Times New Roman"/>
          <w:sz w:val="24"/>
          <w:szCs w:val="24"/>
        </w:rPr>
        <w:t xml:space="preserve"> Digital Technology Company for security or public safety</w:t>
      </w:r>
    </w:p>
    <w:p w14:paraId="3A4B4FCA" w14:textId="77777777" w:rsidR="005E132A" w:rsidRDefault="005E132A" w:rsidP="005E132A">
      <w:pPr>
        <w:pStyle w:val="xxxxmsonormal"/>
        <w:numPr>
          <w:ilvl w:val="0"/>
          <w:numId w:val="7"/>
        </w:numPr>
        <w:spacing w:before="0" w:beforeAutospacing="0" w:after="0" w:afterAutospacing="0"/>
        <w:rPr>
          <w:rFonts w:ascii="Times New Roman" w:eastAsia="Times New Roman" w:hAnsi="Times New Roman" w:cs="Times New Roman"/>
          <w:sz w:val="24"/>
          <w:szCs w:val="24"/>
        </w:rPr>
      </w:pPr>
      <w:r>
        <w:rPr>
          <w:rFonts w:ascii="Times New Roman" w:eastAsia="Times New Roman" w:hAnsi="Times New Roman" w:cs="Times New Roman"/>
          <w:sz w:val="24"/>
          <w:szCs w:val="24"/>
        </w:rPr>
        <w:t>Dahua Technology Company for security or public safety</w:t>
      </w:r>
    </w:p>
    <w:p w14:paraId="7640DB23" w14:textId="77777777" w:rsidR="005E132A" w:rsidRDefault="005E132A" w:rsidP="005E132A">
      <w:pPr>
        <w:pStyle w:val="xxxxmsonormal"/>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 </w:t>
      </w:r>
    </w:p>
    <w:p w14:paraId="3123B6FE" w14:textId="77777777" w:rsidR="005E132A" w:rsidRDefault="005E132A" w:rsidP="005E132A">
      <w:pPr>
        <w:pStyle w:val="xxxxmsonormal"/>
        <w:spacing w:before="0" w:beforeAutospacing="0" w:after="0" w:afterAutospacing="0"/>
        <w:ind w:left="360"/>
        <w:rPr>
          <w:rFonts w:ascii="Times New Roman" w:hAnsi="Times New Roman" w:cs="Times New Roman"/>
          <w:sz w:val="24"/>
          <w:szCs w:val="24"/>
        </w:rPr>
      </w:pPr>
      <w:r>
        <w:rPr>
          <w:rFonts w:ascii="Times New Roman" w:hAnsi="Times New Roman" w:cs="Times New Roman"/>
          <w:sz w:val="24"/>
          <w:szCs w:val="24"/>
        </w:rPr>
        <w:t>Further, these technologies may not be connected to [University] network.  If you have personally purchased goods or services from these vendors, you may not use them to do [university] business, regardless of your location, including internationally. You should cease use of these services or equipment immediately.</w:t>
      </w:r>
    </w:p>
    <w:p w14:paraId="422FE9B1" w14:textId="77777777" w:rsidR="005E132A" w:rsidRDefault="005E132A" w:rsidP="005E132A">
      <w:pPr>
        <w:spacing w:before="100" w:beforeAutospacing="1" w:after="100" w:afterAutospacing="1" w:line="240" w:lineRule="auto"/>
        <w:rPr>
          <w:rFonts w:ascii="Times New Roman" w:eastAsia="Times New Roman" w:hAnsi="Times New Roman"/>
          <w:b/>
          <w:bCs/>
          <w:sz w:val="24"/>
          <w:szCs w:val="24"/>
        </w:rPr>
      </w:pPr>
      <w:r>
        <w:rPr>
          <w:rFonts w:ascii="Times New Roman" w:eastAsia="Times New Roman" w:hAnsi="Times New Roman"/>
          <w:b/>
          <w:bCs/>
          <w:sz w:val="24"/>
          <w:szCs w:val="24"/>
        </w:rPr>
        <w:t>*</w:t>
      </w:r>
      <w:hyperlink r:id="rId802" w:history="1">
        <w:r w:rsidRPr="006B1421">
          <w:rPr>
            <w:rStyle w:val="Hyperlink"/>
            <w:rFonts w:ascii="Times New Roman" w:hAnsi="Times New Roman"/>
            <w:sz w:val="24"/>
            <w:szCs w:val="24"/>
          </w:rPr>
          <w:t>https://www.govinfo.gov/content/pkg/FR-2020-08-13/pdf/2020-17468.pdf</w:t>
        </w:r>
      </w:hyperlink>
      <w:r>
        <w:rPr>
          <w:rFonts w:ascii="Times New Roman" w:eastAsia="Times New Roman" w:hAnsi="Times New Roman"/>
          <w:b/>
          <w:bCs/>
          <w:sz w:val="24"/>
          <w:szCs w:val="24"/>
        </w:rPr>
        <w:t xml:space="preserve"> </w:t>
      </w:r>
    </w:p>
    <w:p w14:paraId="432506B7" w14:textId="77777777" w:rsidR="005E132A" w:rsidRDefault="005E132A" w:rsidP="005E132A">
      <w:pPr>
        <w:pStyle w:val="xxxxmsonormal"/>
        <w:rPr>
          <w:rFonts w:ascii="Times New Roman" w:hAnsi="Times New Roman" w:cs="Times New Roman"/>
          <w:sz w:val="24"/>
          <w:szCs w:val="24"/>
        </w:rPr>
      </w:pPr>
      <w:r>
        <w:rPr>
          <w:rFonts w:ascii="Times New Roman" w:hAnsi="Times New Roman" w:cs="Times New Roman"/>
          <w:sz w:val="24"/>
          <w:szCs w:val="24"/>
        </w:rPr>
        <w:t xml:space="preserve">On Aug. 13, 2018, Congress passed the John S. McCain National Defense Authorization Act </w:t>
      </w:r>
      <w:proofErr w:type="gramStart"/>
      <w:r>
        <w:rPr>
          <w:rFonts w:ascii="Times New Roman" w:hAnsi="Times New Roman" w:cs="Times New Roman"/>
          <w:sz w:val="24"/>
          <w:szCs w:val="24"/>
        </w:rPr>
        <w:t>For</w:t>
      </w:r>
      <w:proofErr w:type="gramEnd"/>
      <w:r>
        <w:rPr>
          <w:rFonts w:ascii="Times New Roman" w:hAnsi="Times New Roman" w:cs="Times New Roman"/>
          <w:sz w:val="24"/>
          <w:szCs w:val="24"/>
        </w:rPr>
        <w:t xml:space="preserve"> Fiscal 2019, </w:t>
      </w:r>
      <w:hyperlink r:id="rId803" w:history="1">
        <w:r w:rsidRPr="006B1421">
          <w:rPr>
            <w:rStyle w:val="Hyperlink"/>
            <w:rFonts w:ascii="Times New Roman" w:hAnsi="Times New Roman" w:cs="Times New Roman"/>
            <w:sz w:val="24"/>
            <w:szCs w:val="24"/>
          </w:rPr>
          <w:t>https://www.congress.gov/115/plaws/publ232/PLAW-115publ232.pdf</w:t>
        </w:r>
      </w:hyperlink>
      <w:r w:rsidRPr="006B1421">
        <w:rPr>
          <w:rFonts w:ascii="Times New Roman" w:hAnsi="Times New Roman" w:cs="Times New Roman"/>
          <w:sz w:val="24"/>
          <w:szCs w:val="24"/>
        </w:rPr>
        <w:t xml:space="preserve">.  </w:t>
      </w:r>
    </w:p>
    <w:p w14:paraId="7E7F6508" w14:textId="77777777" w:rsidR="005E132A" w:rsidRDefault="005E132A" w:rsidP="005E132A">
      <w:pPr>
        <w:pStyle w:val="xxxxmsonormal"/>
        <w:rPr>
          <w:rFonts w:ascii="Times New Roman" w:hAnsi="Times New Roman" w:cs="Times New Roman"/>
          <w:b/>
          <w:bCs/>
          <w:sz w:val="24"/>
          <w:szCs w:val="24"/>
        </w:rPr>
      </w:pPr>
      <w:r w:rsidRPr="006B1421">
        <w:rPr>
          <w:rFonts w:ascii="Times New Roman" w:hAnsi="Times New Roman" w:cs="Times New Roman"/>
          <w:sz w:val="24"/>
          <w:szCs w:val="24"/>
        </w:rPr>
        <w:t>Section 889</w:t>
      </w:r>
      <w:r>
        <w:rPr>
          <w:rFonts w:ascii="Times New Roman" w:hAnsi="Times New Roman" w:cs="Times New Roman"/>
          <w:sz w:val="24"/>
          <w:szCs w:val="24"/>
        </w:rPr>
        <w:t xml:space="preserve">: </w:t>
      </w:r>
      <w:r>
        <w:rPr>
          <w:rFonts w:ascii="Times New Roman" w:hAnsi="Times New Roman" w:cs="Times New Roman"/>
          <w:b/>
          <w:bCs/>
          <w:sz w:val="24"/>
          <w:szCs w:val="24"/>
        </w:rPr>
        <w:t xml:space="preserve">PROHIBITION ON CERTAIN TELECOMMUNICATIONS AND VIDEO SURVEILLANCE SERVICES OR EQUIPMENT.  </w:t>
      </w:r>
      <w:r>
        <w:rPr>
          <w:rFonts w:ascii="Times New Roman" w:hAnsi="Times New Roman" w:cs="Times New Roman"/>
          <w:sz w:val="24"/>
          <w:szCs w:val="24"/>
        </w:rPr>
        <w:t>The statute includes following:</w:t>
      </w:r>
    </w:p>
    <w:p w14:paraId="7853D9D7" w14:textId="77777777" w:rsidR="005E132A" w:rsidRDefault="005E132A" w:rsidP="005E132A">
      <w:pPr>
        <w:pStyle w:val="xxxxmsonormal"/>
        <w:ind w:left="720"/>
        <w:rPr>
          <w:rFonts w:ascii="Times New Roman" w:hAnsi="Times New Roman" w:cs="Times New Roman"/>
          <w:sz w:val="24"/>
          <w:szCs w:val="24"/>
        </w:rPr>
      </w:pPr>
      <w:r>
        <w:rPr>
          <w:rFonts w:ascii="Times New Roman" w:hAnsi="Times New Roman" w:cs="Times New Roman"/>
          <w:sz w:val="24"/>
          <w:szCs w:val="24"/>
        </w:rPr>
        <w:t>(b) PROHIBITION ONLOAN AND GRANT FUNDS. — (1) The head of an executive agency may not obligate or expend loan or grant funds to procure or obtain, extend or renew a contract to procure or obtain, or enter into a contract (or extend or renew a contract) to procure or obtain the equipment, services, or systems described in subsection (a).</w:t>
      </w:r>
    </w:p>
    <w:p w14:paraId="43D909B6" w14:textId="77777777" w:rsidR="005E132A" w:rsidRDefault="005E132A" w:rsidP="005E132A">
      <w:pPr>
        <w:pStyle w:val="xxxxmsonormal"/>
        <w:ind w:firstLine="720"/>
        <w:rPr>
          <w:rFonts w:ascii="Times New Roman" w:hAnsi="Times New Roman" w:cs="Times New Roman"/>
          <w:b/>
          <w:bCs/>
          <w:sz w:val="24"/>
          <w:szCs w:val="24"/>
        </w:rPr>
      </w:pPr>
      <w:r>
        <w:rPr>
          <w:rFonts w:ascii="Times New Roman" w:hAnsi="Times New Roman" w:cs="Times New Roman"/>
          <w:sz w:val="24"/>
          <w:szCs w:val="24"/>
        </w:rPr>
        <w:t xml:space="preserve">*** </w:t>
      </w:r>
    </w:p>
    <w:p w14:paraId="785667A7" w14:textId="77777777" w:rsidR="005E132A" w:rsidRDefault="005E132A" w:rsidP="005E132A">
      <w:pPr>
        <w:pStyle w:val="xxxxmsonormal"/>
        <w:ind w:firstLine="720"/>
        <w:rPr>
          <w:rFonts w:ascii="Times New Roman" w:hAnsi="Times New Roman" w:cs="Times New Roman"/>
          <w:sz w:val="24"/>
          <w:szCs w:val="24"/>
        </w:rPr>
      </w:pPr>
      <w:r>
        <w:rPr>
          <w:rFonts w:ascii="Times New Roman" w:hAnsi="Times New Roman" w:cs="Times New Roman"/>
          <w:sz w:val="24"/>
          <w:szCs w:val="24"/>
        </w:rPr>
        <w:t xml:space="preserve">(3) COVERED TELECOMMUNICATIONS EQUIPMENT OR SERVICES </w:t>
      </w:r>
    </w:p>
    <w:p w14:paraId="25D35806" w14:textId="77777777" w:rsidR="005E132A" w:rsidRDefault="005E132A" w:rsidP="005E132A">
      <w:pPr>
        <w:pStyle w:val="xxxxmsonormal"/>
        <w:ind w:left="720"/>
        <w:rPr>
          <w:rFonts w:ascii="Times New Roman" w:hAnsi="Times New Roman" w:cs="Times New Roman"/>
          <w:sz w:val="24"/>
          <w:szCs w:val="24"/>
        </w:rPr>
      </w:pPr>
      <w:r>
        <w:rPr>
          <w:rFonts w:ascii="Times New Roman" w:hAnsi="Times New Roman" w:cs="Times New Roman"/>
          <w:sz w:val="24"/>
          <w:szCs w:val="24"/>
        </w:rPr>
        <w:t>“The term ‘’covered telecommunications equipment or services’’ means any of the following: (A) Telecommunications equipment produced by Huawei Technologies Company or ZTE Corporation (or any subsidiary or affiliate of such entities). (B) For the purpose of public safety, security of government facilities, physical security surveillance of critical infrastructure, and other national security purposes, video surveillance and telecommunications equipment produced by Hytera Communications Corporation, Hangzhou Hikvision Digital Technology Company, or Dahua Technology Company (or any subsidiary or affiliate of such entities). (C) Telecommunications or video surveillance services provided by such entities or using such equipment. (D) Telecommunications or video surveillance equipment or services produced or provided by an entity that the Secretary of Defense, in consultation with the Director of the National Intelligence or the Director of the Federal Bureau of Investigation, reasonably believes to be an entity owned or controlled by, or otherwise connected to, the government of a covered foreign country.”</w:t>
      </w:r>
    </w:p>
    <w:p w14:paraId="37E49674" w14:textId="77777777" w:rsidR="005E132A" w:rsidRDefault="005E132A" w:rsidP="005E132A">
      <w:pPr>
        <w:pStyle w:val="xxxxmsonormal"/>
        <w:tabs>
          <w:tab w:val="left" w:pos="2800"/>
        </w:tabs>
        <w:rPr>
          <w:rFonts w:ascii="Times New Roman" w:hAnsi="Times New Roman" w:cs="Times New Roman"/>
          <w:b/>
          <w:bCs/>
          <w:sz w:val="24"/>
          <w:szCs w:val="24"/>
        </w:rPr>
      </w:pPr>
      <w:r>
        <w:rPr>
          <w:rFonts w:ascii="Times New Roman" w:hAnsi="Times New Roman" w:cs="Times New Roman"/>
          <w:b/>
          <w:bCs/>
          <w:sz w:val="24"/>
          <w:szCs w:val="24"/>
        </w:rPr>
        <w:t xml:space="preserve">Legal Lesson Learned: Fire &amp; EMS Department who receive federal grant recipients need to follow these new regulations.  </w:t>
      </w:r>
    </w:p>
    <w:p w14:paraId="576CA36D" w14:textId="77777777" w:rsidR="005E132A" w:rsidRDefault="005E132A" w:rsidP="005E132A">
      <w:pPr>
        <w:pStyle w:val="Heading1"/>
        <w:ind w:left="720"/>
      </w:pPr>
      <w:r>
        <w:rPr>
          <w:b w:val="0"/>
          <w:bCs w:val="0"/>
          <w:sz w:val="24"/>
          <w:szCs w:val="24"/>
        </w:rPr>
        <w:t xml:space="preserve">Note: See this Aug. 13, </w:t>
      </w:r>
      <w:proofErr w:type="gramStart"/>
      <w:r>
        <w:rPr>
          <w:b w:val="0"/>
          <w:bCs w:val="0"/>
          <w:sz w:val="24"/>
          <w:szCs w:val="24"/>
        </w:rPr>
        <w:t>2020</w:t>
      </w:r>
      <w:proofErr w:type="gramEnd"/>
      <w:r>
        <w:rPr>
          <w:b w:val="0"/>
          <w:bCs w:val="0"/>
          <w:sz w:val="24"/>
          <w:szCs w:val="24"/>
        </w:rPr>
        <w:t xml:space="preserve"> article, “Here’s What NDAA Section 889 Really Means for Federal Grants.” </w:t>
      </w:r>
      <w:hyperlink r:id="rId804" w:history="1">
        <w:r w:rsidRPr="00437CD5">
          <w:rPr>
            <w:rStyle w:val="Hyperlink"/>
            <w:b w:val="0"/>
            <w:bCs w:val="0"/>
            <w:sz w:val="24"/>
            <w:szCs w:val="24"/>
          </w:rPr>
          <w:t>https://www.securityindustry.org/2020/08/13/heres-what-ndaa-section-889-really-means-for-federal-grants/</w:t>
        </w:r>
      </w:hyperlink>
      <w:r w:rsidRPr="00437CD5">
        <w:rPr>
          <w:b w:val="0"/>
          <w:bCs w:val="0"/>
          <w:sz w:val="24"/>
          <w:szCs w:val="24"/>
        </w:rPr>
        <w:t xml:space="preserve"> </w:t>
      </w:r>
      <w:r>
        <w:t xml:space="preserve"> </w:t>
      </w:r>
    </w:p>
    <w:p w14:paraId="25167F49" w14:textId="77777777" w:rsidR="005E132A" w:rsidRDefault="005E132A" w:rsidP="00F326E5">
      <w:pPr>
        <w:pStyle w:val="NoSpacing"/>
        <w:rPr>
          <w:rFonts w:ascii="Arial Black" w:hAnsi="Arial Black"/>
          <w:sz w:val="28"/>
          <w:szCs w:val="28"/>
        </w:rPr>
      </w:pPr>
    </w:p>
    <w:p w14:paraId="5E5105AA" w14:textId="307E6E5D" w:rsidR="005E132A" w:rsidRDefault="005E132A" w:rsidP="00F326E5">
      <w:pPr>
        <w:pStyle w:val="NoSpacing"/>
        <w:rPr>
          <w:rFonts w:ascii="Arial Black" w:hAnsi="Arial Black"/>
          <w:sz w:val="28"/>
          <w:szCs w:val="28"/>
        </w:rPr>
      </w:pPr>
      <w:r>
        <w:rPr>
          <w:rFonts w:ascii="Arial Black" w:hAnsi="Arial Black"/>
          <w:sz w:val="28"/>
          <w:szCs w:val="28"/>
        </w:rPr>
        <w:lastRenderedPageBreak/>
        <w:t>3-28</w:t>
      </w:r>
    </w:p>
    <w:p w14:paraId="7D5CA612" w14:textId="665BFAE5" w:rsidR="005E132A" w:rsidRDefault="005E132A" w:rsidP="00F326E5">
      <w:pPr>
        <w:pStyle w:val="NoSpacing"/>
        <w:rPr>
          <w:rFonts w:ascii="Arial Black" w:hAnsi="Arial Black"/>
          <w:sz w:val="28"/>
          <w:szCs w:val="28"/>
        </w:rPr>
      </w:pPr>
    </w:p>
    <w:p w14:paraId="0D07CF05" w14:textId="77777777" w:rsidR="005E132A" w:rsidRDefault="005E132A" w:rsidP="005E132A">
      <w:pPr>
        <w:rPr>
          <w:rFonts w:ascii="Arial Black" w:hAnsi="Arial Black" w:cstheme="minorBidi"/>
          <w:sz w:val="28"/>
          <w:szCs w:val="28"/>
        </w:rPr>
      </w:pPr>
      <w:r>
        <w:rPr>
          <w:rFonts w:ascii="Arial Black" w:hAnsi="Arial Black"/>
          <w:sz w:val="28"/>
          <w:szCs w:val="28"/>
        </w:rPr>
        <w:t>FL: INDICTMENT NOT DISMISSED - 23-YR OLD AMERICAN – WEAPONS, DRONE, CASING FBI OFFICE - “I WANT TO JOIN ISIS”</w:t>
      </w:r>
    </w:p>
    <w:p w14:paraId="7F9D9E7F" w14:textId="77777777" w:rsidR="005E132A" w:rsidRDefault="005E132A" w:rsidP="005E132A">
      <w:pPr>
        <w:rPr>
          <w:rFonts w:ascii="Times New Roman" w:hAnsi="Times New Roman"/>
          <w:sz w:val="24"/>
          <w:szCs w:val="24"/>
        </w:rPr>
      </w:pPr>
      <w:r>
        <w:rPr>
          <w:rFonts w:ascii="Times New Roman" w:hAnsi="Times New Roman"/>
          <w:sz w:val="24"/>
          <w:szCs w:val="24"/>
        </w:rPr>
        <w:t xml:space="preserve">On Dec. 15, 2020, in </w:t>
      </w:r>
      <w:r>
        <w:rPr>
          <w:rFonts w:ascii="Times New Roman" w:hAnsi="Times New Roman"/>
          <w:sz w:val="24"/>
          <w:szCs w:val="24"/>
          <w:u w:val="single"/>
        </w:rPr>
        <w:t>United States of America v. Muhammed Momtaz Al-Azhari</w:t>
      </w:r>
      <w:r>
        <w:rPr>
          <w:rFonts w:ascii="Times New Roman" w:hAnsi="Times New Roman"/>
          <w:sz w:val="24"/>
          <w:szCs w:val="24"/>
        </w:rPr>
        <w:t xml:space="preserve">, U.S. District Court Judge Tom Barber, U.S. District Court, Middle District of Florida (Tampa Division), denied defense motion to dismiss the indictment.  The indictment adequately charged that he was attempting to provide support to Foreign Terrorist Organization </w:t>
      </w:r>
    </w:p>
    <w:p w14:paraId="5CD66A5E" w14:textId="77777777" w:rsidR="005E132A" w:rsidRDefault="005E132A" w:rsidP="005E132A">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 “In his motion to dismiss the indictment, Defendant argues that Count One fails to state an offense because it does not allege that Defendant attempted to place himself under the FTO's direction and control, which he contends is an essential fact required by 18 U.S.C. § 2339B(h).</w:t>
      </w:r>
    </w:p>
    <w:p w14:paraId="28BB7848" w14:textId="77777777" w:rsidR="005E132A" w:rsidRDefault="005E132A" w:rsidP="005E132A">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p>
    <w:p w14:paraId="3B023DB8" w14:textId="77777777" w:rsidR="005E132A" w:rsidRDefault="005E132A" w:rsidP="005E132A">
      <w:pPr>
        <w:spacing w:before="100" w:beforeAutospacing="1" w:after="100" w:afterAutospacing="1" w:line="240" w:lineRule="auto"/>
        <w:ind w:left="720"/>
        <w:rPr>
          <w:rFonts w:ascii="Times New Roman" w:eastAsia="Times New Roman" w:hAnsi="Times New Roman"/>
          <w:b/>
          <w:bCs/>
          <w:sz w:val="24"/>
          <w:szCs w:val="24"/>
        </w:rPr>
      </w:pPr>
      <w:r>
        <w:rPr>
          <w:rFonts w:ascii="Times New Roman" w:hAnsi="Times New Roman"/>
          <w:sz w:val="24"/>
          <w:szCs w:val="24"/>
        </w:rPr>
        <w:t xml:space="preserve">At least three district courts have considered this issue and have ruled that § 2339B(h) is a definition that is not required to be pled in the indictment. </w:t>
      </w:r>
      <w:r>
        <w:rPr>
          <w:rFonts w:ascii="Times New Roman" w:hAnsi="Times New Roman"/>
          <w:i/>
          <w:iCs/>
          <w:sz w:val="24"/>
          <w:szCs w:val="24"/>
        </w:rPr>
        <w:t>See United States v</w:t>
      </w:r>
      <w:r>
        <w:rPr>
          <w:rFonts w:ascii="Times New Roman" w:hAnsi="Times New Roman"/>
          <w:sz w:val="24"/>
          <w:szCs w:val="24"/>
        </w:rPr>
        <w:t xml:space="preserve">. </w:t>
      </w:r>
      <w:r>
        <w:rPr>
          <w:rFonts w:ascii="Times New Roman" w:hAnsi="Times New Roman"/>
          <w:i/>
          <w:iCs/>
          <w:sz w:val="24"/>
          <w:szCs w:val="24"/>
        </w:rPr>
        <w:t>Ludke</w:t>
      </w:r>
      <w:r>
        <w:rPr>
          <w:rFonts w:ascii="Times New Roman" w:hAnsi="Times New Roman"/>
          <w:sz w:val="24"/>
          <w:szCs w:val="24"/>
        </w:rPr>
        <w:t xml:space="preserve">, No. 16-CR-175, 2018 WL 2059556, at *2 (E.D. Wis. May 2, 2018); </w:t>
      </w:r>
      <w:r>
        <w:rPr>
          <w:rFonts w:ascii="Times New Roman" w:hAnsi="Times New Roman"/>
          <w:i/>
          <w:iCs/>
          <w:sz w:val="24"/>
          <w:szCs w:val="24"/>
        </w:rPr>
        <w:t>United States v</w:t>
      </w:r>
      <w:r>
        <w:rPr>
          <w:rFonts w:ascii="Times New Roman" w:hAnsi="Times New Roman"/>
          <w:sz w:val="24"/>
          <w:szCs w:val="24"/>
        </w:rPr>
        <w:t xml:space="preserve">. </w:t>
      </w:r>
      <w:r>
        <w:rPr>
          <w:rFonts w:ascii="Times New Roman" w:hAnsi="Times New Roman"/>
          <w:i/>
          <w:iCs/>
          <w:sz w:val="24"/>
          <w:szCs w:val="24"/>
        </w:rPr>
        <w:t>Shafi</w:t>
      </w:r>
      <w:r>
        <w:rPr>
          <w:rFonts w:ascii="Times New Roman" w:hAnsi="Times New Roman"/>
          <w:sz w:val="24"/>
          <w:szCs w:val="24"/>
        </w:rPr>
        <w:t xml:space="preserve">, 252 F. Supp. 3d 787, 795 (N.D. Cal. 2017); </w:t>
      </w:r>
      <w:r>
        <w:rPr>
          <w:rFonts w:ascii="Times New Roman" w:hAnsi="Times New Roman"/>
          <w:i/>
          <w:iCs/>
          <w:sz w:val="24"/>
          <w:szCs w:val="24"/>
        </w:rPr>
        <w:t>United States v</w:t>
      </w:r>
      <w:r>
        <w:rPr>
          <w:rFonts w:ascii="Times New Roman" w:hAnsi="Times New Roman"/>
          <w:sz w:val="24"/>
          <w:szCs w:val="24"/>
        </w:rPr>
        <w:t xml:space="preserve">. </w:t>
      </w:r>
      <w:r>
        <w:rPr>
          <w:rFonts w:ascii="Times New Roman" w:hAnsi="Times New Roman"/>
          <w:i/>
          <w:iCs/>
          <w:sz w:val="24"/>
          <w:szCs w:val="24"/>
        </w:rPr>
        <w:t>Pugh</w:t>
      </w:r>
      <w:r>
        <w:rPr>
          <w:rFonts w:ascii="Times New Roman" w:hAnsi="Times New Roman"/>
          <w:sz w:val="24"/>
          <w:szCs w:val="24"/>
        </w:rPr>
        <w:t xml:space="preserve">, No. 15-CR-116 (NGG), 2015 WL 9450598, at *8 (E.D.N.Y. Dec. 21, 2015). Another district court ruled that it is an affirmative defense, which does not need to be pled. </w:t>
      </w:r>
      <w:r>
        <w:rPr>
          <w:rFonts w:ascii="Times New Roman" w:hAnsi="Times New Roman"/>
          <w:i/>
          <w:iCs/>
          <w:sz w:val="24"/>
          <w:szCs w:val="24"/>
        </w:rPr>
        <w:t>See United States v</w:t>
      </w:r>
      <w:r>
        <w:rPr>
          <w:rFonts w:ascii="Times New Roman" w:hAnsi="Times New Roman"/>
          <w:sz w:val="24"/>
          <w:szCs w:val="24"/>
        </w:rPr>
        <w:t xml:space="preserve">. </w:t>
      </w:r>
      <w:r>
        <w:rPr>
          <w:rFonts w:ascii="Times New Roman" w:hAnsi="Times New Roman"/>
          <w:i/>
          <w:iCs/>
          <w:sz w:val="24"/>
          <w:szCs w:val="24"/>
        </w:rPr>
        <w:t>Ahmed</w:t>
      </w:r>
      <w:r>
        <w:rPr>
          <w:rFonts w:ascii="Times New Roman" w:hAnsi="Times New Roman"/>
          <w:sz w:val="24"/>
          <w:szCs w:val="24"/>
        </w:rPr>
        <w:t xml:space="preserve">, No. 15-49 (MJD/FLN), 2015 U.S. Dist. LEXIS 171561 (D. Minn. Sept. 1, 2015). The Court is unaware of any binding or persuasive authority that would require the Government to plead § 2339B(h) as an element of the offense. As such, the motion to dismiss is denied as to this ground.” </w:t>
      </w:r>
      <w:hyperlink r:id="rId805" w:history="1">
        <w:r>
          <w:rPr>
            <w:rStyle w:val="Hyperlink"/>
          </w:rPr>
          <w:t>https://casetext.com/case/united-states-v-al-azhari-2</w:t>
        </w:r>
      </w:hyperlink>
      <w:r>
        <w:rPr>
          <w:rFonts w:ascii="Times New Roman" w:hAnsi="Times New Roman"/>
          <w:sz w:val="24"/>
          <w:szCs w:val="24"/>
        </w:rPr>
        <w:t xml:space="preserve"> </w:t>
      </w:r>
    </w:p>
    <w:p w14:paraId="12194BBB" w14:textId="77777777" w:rsidR="005E132A" w:rsidRDefault="005E132A" w:rsidP="005E132A">
      <w:pPr>
        <w:spacing w:before="100" w:beforeAutospacing="1" w:after="100" w:afterAutospacing="1" w:line="240" w:lineRule="auto"/>
        <w:rPr>
          <w:rFonts w:ascii="Times New Roman" w:hAnsi="Times New Roman"/>
          <w:b/>
          <w:bCs/>
          <w:sz w:val="24"/>
          <w:szCs w:val="24"/>
        </w:rPr>
      </w:pPr>
      <w:r>
        <w:rPr>
          <w:rFonts w:ascii="Times New Roman" w:hAnsi="Times New Roman"/>
          <w:b/>
          <w:bCs/>
          <w:sz w:val="24"/>
          <w:szCs w:val="24"/>
        </w:rPr>
        <w:t>Legal Lesson Learned: Lone-wolf terrorists may be indicted for attempting to provide material support to ISIS.</w:t>
      </w:r>
    </w:p>
    <w:p w14:paraId="6F7AF124" w14:textId="77777777" w:rsidR="005E132A" w:rsidRDefault="005E132A" w:rsidP="005E132A">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Note: See May 27, 2020, U.S. Department of Justice Press Release on defendant’s arrest. “</w:t>
      </w:r>
      <w:r>
        <w:rPr>
          <w:rFonts w:ascii="Times New Roman" w:eastAsia="Times New Roman" w:hAnsi="Times New Roman"/>
          <w:sz w:val="24"/>
          <w:szCs w:val="24"/>
        </w:rPr>
        <w:t xml:space="preserve">Al-Azhari, who has a criminal history that includes prior terrorism charges in Saudi Arabia, attempted to purchase multiple firearms over the course of the investigation, before acquiring a Glock pistol and a silencer.  He also expressed admiration for Pulse nightclub shooter Omar Mateen and spoke of his desire to carry out a similar mass casualty shooting.  Additionally, Al-Azhari researched and scouted potential targets in the Tampa area, including Honeymoon Island.  He also rehearsed portions of an attack and the statements that he would make during or in connection with such an attack. FBI agents arrested Al-Azhari on May 24, 2020, after he took possession of weapons to be used in an attack.”  </w:t>
      </w:r>
      <w:hyperlink r:id="rId806" w:history="1">
        <w:r>
          <w:rPr>
            <w:rStyle w:val="Hyperlink"/>
          </w:rPr>
          <w:t>https://www.justice.gov/opa/pr/tampa-man-charged-attempting-provide-material-support-isis</w:t>
        </w:r>
      </w:hyperlink>
      <w:r>
        <w:rPr>
          <w:rFonts w:ascii="Times New Roman" w:hAnsi="Times New Roman"/>
          <w:sz w:val="24"/>
          <w:szCs w:val="24"/>
        </w:rPr>
        <w:t xml:space="preserve"> </w:t>
      </w:r>
    </w:p>
    <w:p w14:paraId="71B514DB" w14:textId="77777777" w:rsidR="005E132A" w:rsidRDefault="005E132A" w:rsidP="00F326E5">
      <w:pPr>
        <w:pStyle w:val="NoSpacing"/>
        <w:rPr>
          <w:rFonts w:ascii="Arial Black" w:hAnsi="Arial Black"/>
          <w:sz w:val="28"/>
          <w:szCs w:val="28"/>
        </w:rPr>
      </w:pPr>
    </w:p>
    <w:p w14:paraId="457E476A" w14:textId="77777777" w:rsidR="005E132A" w:rsidRDefault="005E132A" w:rsidP="00F326E5">
      <w:pPr>
        <w:pStyle w:val="NoSpacing"/>
        <w:rPr>
          <w:rFonts w:ascii="Arial Black" w:hAnsi="Arial Black"/>
          <w:sz w:val="28"/>
          <w:szCs w:val="28"/>
        </w:rPr>
      </w:pPr>
    </w:p>
    <w:p w14:paraId="331C7FF5" w14:textId="65533DFF" w:rsidR="00A06387" w:rsidRDefault="007D178F" w:rsidP="00F326E5">
      <w:pPr>
        <w:pStyle w:val="NoSpacing"/>
        <w:rPr>
          <w:rFonts w:ascii="Arial Black" w:hAnsi="Arial Black"/>
          <w:sz w:val="28"/>
          <w:szCs w:val="28"/>
        </w:rPr>
      </w:pPr>
      <w:r>
        <w:rPr>
          <w:rFonts w:ascii="Arial Black" w:hAnsi="Arial Black"/>
          <w:sz w:val="28"/>
          <w:szCs w:val="28"/>
        </w:rPr>
        <w:t>3-27</w:t>
      </w:r>
    </w:p>
    <w:p w14:paraId="020CEDF7" w14:textId="77777777" w:rsidR="007D178F" w:rsidRPr="00D82E7C" w:rsidRDefault="007D178F" w:rsidP="007D178F">
      <w:pPr>
        <w:pStyle w:val="NoSpacing"/>
        <w:rPr>
          <w:rFonts w:ascii="Arial Black" w:hAnsi="Arial Black"/>
          <w:sz w:val="28"/>
          <w:szCs w:val="28"/>
        </w:rPr>
      </w:pPr>
      <w:r>
        <w:rPr>
          <w:rFonts w:ascii="Arial Black" w:hAnsi="Arial Black"/>
          <w:sz w:val="28"/>
          <w:szCs w:val="28"/>
        </w:rPr>
        <w:t xml:space="preserve">IL:  EXTRADICTION - U.S. CITIZEN TO BE RETURNED TO IRELAND – LEFT IRISH BAR, CRASHED LEXUS KILLED TWO </w:t>
      </w:r>
    </w:p>
    <w:p w14:paraId="4511D633" w14:textId="77777777" w:rsidR="007D178F" w:rsidRDefault="007D178F" w:rsidP="007D178F">
      <w:pPr>
        <w:pStyle w:val="NoSpacing"/>
        <w:rPr>
          <w:rFonts w:ascii="Times New Roman" w:hAnsi="Times New Roman"/>
          <w:sz w:val="24"/>
          <w:szCs w:val="24"/>
        </w:rPr>
      </w:pPr>
    </w:p>
    <w:p w14:paraId="58534895" w14:textId="77777777" w:rsidR="007D178F" w:rsidRDefault="007D178F" w:rsidP="007D178F">
      <w:pPr>
        <w:pStyle w:val="NoSpacing"/>
        <w:rPr>
          <w:rFonts w:ascii="Times New Roman" w:hAnsi="Times New Roman"/>
          <w:sz w:val="24"/>
          <w:szCs w:val="24"/>
        </w:rPr>
      </w:pPr>
      <w:r>
        <w:rPr>
          <w:rFonts w:ascii="Times New Roman" w:hAnsi="Times New Roman"/>
          <w:sz w:val="24"/>
          <w:szCs w:val="24"/>
        </w:rPr>
        <w:t>On Nov. 3, 2020</w:t>
      </w:r>
      <w:r w:rsidRPr="00566D06">
        <w:rPr>
          <w:rFonts w:ascii="Times New Roman" w:hAnsi="Times New Roman"/>
          <w:sz w:val="24"/>
          <w:szCs w:val="24"/>
          <w:u w:val="single"/>
        </w:rPr>
        <w:t>,</w:t>
      </w:r>
      <w:r w:rsidRPr="003B0090">
        <w:rPr>
          <w:rFonts w:ascii="Times New Roman" w:hAnsi="Times New Roman"/>
          <w:sz w:val="24"/>
          <w:szCs w:val="24"/>
        </w:rPr>
        <w:t xml:space="preserve"> </w:t>
      </w:r>
      <w:r w:rsidRPr="00566D06">
        <w:rPr>
          <w:rFonts w:ascii="Times New Roman" w:hAnsi="Times New Roman"/>
          <w:sz w:val="24"/>
          <w:szCs w:val="24"/>
          <w:u w:val="single"/>
        </w:rPr>
        <w:t xml:space="preserve">In </w:t>
      </w:r>
      <w:proofErr w:type="gramStart"/>
      <w:r w:rsidRPr="00566D06">
        <w:rPr>
          <w:rFonts w:ascii="Times New Roman" w:hAnsi="Times New Roman"/>
          <w:sz w:val="24"/>
          <w:szCs w:val="24"/>
          <w:u w:val="single"/>
        </w:rPr>
        <w:t>The</w:t>
      </w:r>
      <w:proofErr w:type="gramEnd"/>
      <w:r w:rsidRPr="00566D06">
        <w:rPr>
          <w:rFonts w:ascii="Times New Roman" w:hAnsi="Times New Roman"/>
          <w:sz w:val="24"/>
          <w:szCs w:val="24"/>
          <w:u w:val="single"/>
        </w:rPr>
        <w:t xml:space="preserve"> Matter </w:t>
      </w:r>
      <w:proofErr w:type="gramStart"/>
      <w:r w:rsidRPr="00566D06">
        <w:rPr>
          <w:rFonts w:ascii="Times New Roman" w:hAnsi="Times New Roman"/>
          <w:sz w:val="24"/>
          <w:szCs w:val="24"/>
          <w:u w:val="single"/>
        </w:rPr>
        <w:t>Of</w:t>
      </w:r>
      <w:proofErr w:type="gramEnd"/>
      <w:r w:rsidRPr="00566D06">
        <w:rPr>
          <w:rFonts w:ascii="Times New Roman" w:hAnsi="Times New Roman"/>
          <w:sz w:val="24"/>
          <w:szCs w:val="24"/>
          <w:u w:val="single"/>
        </w:rPr>
        <w:t xml:space="preserve"> </w:t>
      </w:r>
      <w:proofErr w:type="gramStart"/>
      <w:r w:rsidRPr="00566D06">
        <w:rPr>
          <w:rFonts w:ascii="Times New Roman" w:hAnsi="Times New Roman"/>
          <w:sz w:val="24"/>
          <w:szCs w:val="24"/>
          <w:u w:val="single"/>
        </w:rPr>
        <w:t>The</w:t>
      </w:r>
      <w:proofErr w:type="gramEnd"/>
      <w:r w:rsidRPr="00566D06">
        <w:rPr>
          <w:rFonts w:ascii="Times New Roman" w:hAnsi="Times New Roman"/>
          <w:sz w:val="24"/>
          <w:szCs w:val="24"/>
          <w:u w:val="single"/>
        </w:rPr>
        <w:t xml:space="preserve"> Extradition </w:t>
      </w:r>
      <w:proofErr w:type="gramStart"/>
      <w:r w:rsidRPr="00566D06">
        <w:rPr>
          <w:rFonts w:ascii="Times New Roman" w:hAnsi="Times New Roman"/>
          <w:sz w:val="24"/>
          <w:szCs w:val="24"/>
          <w:u w:val="single"/>
        </w:rPr>
        <w:t>Of</w:t>
      </w:r>
      <w:proofErr w:type="gramEnd"/>
      <w:r w:rsidRPr="00566D06">
        <w:rPr>
          <w:rFonts w:ascii="Times New Roman" w:hAnsi="Times New Roman"/>
          <w:sz w:val="24"/>
          <w:szCs w:val="24"/>
          <w:u w:val="single"/>
        </w:rPr>
        <w:t xml:space="preserve"> Francis Carr</w:t>
      </w:r>
      <w:r>
        <w:rPr>
          <w:rFonts w:ascii="Times New Roman" w:hAnsi="Times New Roman"/>
          <w:sz w:val="24"/>
          <w:szCs w:val="24"/>
        </w:rPr>
        <w:t xml:space="preserve">, U.S. Magistrate Judge Beth W. Zantz, orders that Mr. Carr, who is held without bail in Chicago jail, may be extradited back to Ireland to face felony </w:t>
      </w:r>
      <w:r>
        <w:rPr>
          <w:rFonts w:ascii="Times New Roman" w:hAnsi="Times New Roman"/>
          <w:sz w:val="24"/>
          <w:szCs w:val="24"/>
        </w:rPr>
        <w:lastRenderedPageBreak/>
        <w:t xml:space="preserve">charges.   The 1984 treaty between US and Ireland allows for extradition if the conduct is a felony [punishable more than one year] in both countries, even if in U.S. there must be proof of “gross negligence” for involuntary manslaughter or reckless homicide and in Ireland just ordinary negligence. </w:t>
      </w:r>
    </w:p>
    <w:p w14:paraId="0E1455BF" w14:textId="77777777" w:rsidR="007D178F" w:rsidRDefault="007D178F" w:rsidP="007D178F">
      <w:pPr>
        <w:pStyle w:val="NoSpacing"/>
        <w:ind w:left="720"/>
        <w:rPr>
          <w:rFonts w:ascii="Times New Roman" w:hAnsi="Times New Roman"/>
          <w:sz w:val="24"/>
          <w:szCs w:val="24"/>
        </w:rPr>
      </w:pPr>
      <w:r>
        <w:rPr>
          <w:rFonts w:ascii="Times New Roman" w:hAnsi="Times New Roman"/>
          <w:sz w:val="24"/>
          <w:szCs w:val="24"/>
        </w:rPr>
        <w:br/>
        <w:t>“</w:t>
      </w:r>
      <w:r w:rsidRPr="00566D06">
        <w:rPr>
          <w:rFonts w:ascii="Times New Roman" w:hAnsi="Times New Roman"/>
          <w:sz w:val="24"/>
          <w:szCs w:val="24"/>
        </w:rPr>
        <w:t xml:space="preserve">For </w:t>
      </w:r>
      <w:proofErr w:type="gramStart"/>
      <w:r w:rsidRPr="00566D06">
        <w:rPr>
          <w:rFonts w:ascii="Times New Roman" w:hAnsi="Times New Roman"/>
          <w:sz w:val="24"/>
          <w:szCs w:val="24"/>
        </w:rPr>
        <w:t>all of</w:t>
      </w:r>
      <w:proofErr w:type="gramEnd"/>
      <w:r w:rsidRPr="00566D06">
        <w:rPr>
          <w:rFonts w:ascii="Times New Roman" w:hAnsi="Times New Roman"/>
          <w:sz w:val="24"/>
          <w:szCs w:val="24"/>
        </w:rPr>
        <w:t xml:space="preserve"> the reasons above, the Court therefore determines that the United States-Ireland treaty requires only dual criminality for an offense to be extraditable, meaning that just the </w:t>
      </w:r>
      <w:r w:rsidRPr="00566D06">
        <w:rPr>
          <w:rFonts w:ascii="Times New Roman" w:hAnsi="Times New Roman"/>
          <w:b/>
          <w:bCs/>
          <w:i/>
          <w:iCs/>
          <w:sz w:val="24"/>
          <w:szCs w:val="24"/>
        </w:rPr>
        <w:t>charged conduct</w:t>
      </w:r>
      <w:r w:rsidRPr="00566D06">
        <w:rPr>
          <w:rFonts w:ascii="Times New Roman" w:hAnsi="Times New Roman"/>
          <w:sz w:val="24"/>
          <w:szCs w:val="24"/>
        </w:rPr>
        <w:t xml:space="preserve"> must be criminal and punishable by a year or more in prison in both jurisdictions.</w:t>
      </w:r>
    </w:p>
    <w:p w14:paraId="3D2A3D27" w14:textId="77777777" w:rsidR="007D178F" w:rsidRPr="00566D06" w:rsidRDefault="007D178F" w:rsidP="007D178F">
      <w:pPr>
        <w:pStyle w:val="NoSpacing"/>
        <w:ind w:left="720"/>
        <w:rPr>
          <w:rFonts w:ascii="Times New Roman" w:hAnsi="Times New Roman"/>
          <w:sz w:val="24"/>
          <w:szCs w:val="24"/>
        </w:rPr>
      </w:pPr>
    </w:p>
    <w:p w14:paraId="1878E6EC" w14:textId="77777777" w:rsidR="007D178F" w:rsidRDefault="007D178F" w:rsidP="007D178F">
      <w:pPr>
        <w:pStyle w:val="NoSpacing"/>
        <w:ind w:left="720"/>
        <w:rPr>
          <w:rFonts w:ascii="Times New Roman" w:hAnsi="Times New Roman"/>
          <w:sz w:val="24"/>
          <w:szCs w:val="24"/>
        </w:rPr>
      </w:pPr>
      <w:r w:rsidRPr="00566D06">
        <w:rPr>
          <w:rFonts w:ascii="Times New Roman" w:hAnsi="Times New Roman"/>
          <w:sz w:val="24"/>
          <w:szCs w:val="24"/>
        </w:rPr>
        <w:t>Here, that requirement is met, as Carr concedes</w:t>
      </w:r>
      <w:r>
        <w:rPr>
          <w:rFonts w:ascii="Times New Roman" w:hAnsi="Times New Roman"/>
          <w:sz w:val="24"/>
          <w:szCs w:val="24"/>
        </w:rPr>
        <w:t xml:space="preserve"> ….</w:t>
      </w:r>
      <w:r w:rsidRPr="00566D06">
        <w:rPr>
          <w:rFonts w:ascii="Times New Roman" w:hAnsi="Times New Roman"/>
          <w:sz w:val="24"/>
          <w:szCs w:val="24"/>
        </w:rPr>
        <w:t xml:space="preserve"> Carr allegedly drove in such a grossly negligent manner—at a high rate of speed and doing donuts—that he caused a crash and the deaths of his two passengers</w:t>
      </w:r>
      <w:r>
        <w:rPr>
          <w:rFonts w:ascii="Times New Roman" w:hAnsi="Times New Roman"/>
          <w:sz w:val="24"/>
          <w:szCs w:val="24"/>
        </w:rPr>
        <w:t>….</w:t>
      </w:r>
      <w:r w:rsidRPr="00566D06">
        <w:rPr>
          <w:rFonts w:ascii="Times New Roman" w:hAnsi="Times New Roman"/>
          <w:sz w:val="24"/>
          <w:szCs w:val="24"/>
        </w:rPr>
        <w:t xml:space="preserve"> In Ireland, the offense of dangerous driving causing death of two victims is punishable by up to 10 years in prison</w:t>
      </w:r>
      <w:r>
        <w:rPr>
          <w:rFonts w:ascii="Times New Roman" w:hAnsi="Times New Roman"/>
          <w:sz w:val="24"/>
          <w:szCs w:val="24"/>
        </w:rPr>
        <w:t>….</w:t>
      </w:r>
      <w:r w:rsidRPr="00566D06">
        <w:rPr>
          <w:rFonts w:ascii="Times New Roman" w:hAnsi="Times New Roman"/>
          <w:sz w:val="24"/>
          <w:szCs w:val="24"/>
        </w:rPr>
        <w:t xml:space="preserve"> And in the United States, Carr's conduct could be charged as a felony under United States federal or Illinois state law, as involuntary manslaughter under 18 U.S.C. §1112 (maximum penalty of </w:t>
      </w:r>
    </w:p>
    <w:p w14:paraId="713FB8D5" w14:textId="77777777" w:rsidR="007D178F" w:rsidRDefault="007D178F" w:rsidP="007D178F">
      <w:pPr>
        <w:pStyle w:val="NoSpacing"/>
        <w:ind w:left="720"/>
        <w:rPr>
          <w:rFonts w:ascii="Times New Roman" w:hAnsi="Times New Roman"/>
          <w:sz w:val="24"/>
          <w:szCs w:val="24"/>
        </w:rPr>
      </w:pPr>
      <w:r w:rsidRPr="00566D06">
        <w:rPr>
          <w:rFonts w:ascii="Times New Roman" w:hAnsi="Times New Roman"/>
          <w:sz w:val="24"/>
          <w:szCs w:val="24"/>
        </w:rPr>
        <w:t>8 years in prison), or as reckless homicide while driving a motor vehicle, 720 ILCS 5/9-3(a); 730 ILCS 5/5-4.5-40(a) (maximum penalty of 5 years in prison), respectively.</w:t>
      </w:r>
      <w:r>
        <w:rPr>
          <w:rFonts w:ascii="Times New Roman" w:hAnsi="Times New Roman"/>
          <w:sz w:val="24"/>
          <w:szCs w:val="24"/>
        </w:rPr>
        <w:t>”</w:t>
      </w:r>
    </w:p>
    <w:p w14:paraId="34A2C010" w14:textId="77777777" w:rsidR="007D178F" w:rsidRPr="00566D06" w:rsidRDefault="007D178F" w:rsidP="007D178F">
      <w:pPr>
        <w:pStyle w:val="NoSpacing"/>
        <w:ind w:firstLine="720"/>
        <w:rPr>
          <w:rFonts w:ascii="Times New Roman" w:hAnsi="Times New Roman"/>
          <w:sz w:val="24"/>
          <w:szCs w:val="24"/>
        </w:rPr>
      </w:pPr>
      <w:hyperlink r:id="rId807" w:history="1">
        <w:r w:rsidRPr="00BA14DC">
          <w:rPr>
            <w:rStyle w:val="Hyperlink"/>
            <w:rFonts w:ascii="Times New Roman" w:hAnsi="Times New Roman"/>
            <w:sz w:val="24"/>
            <w:szCs w:val="24"/>
          </w:rPr>
          <w:t>https://www.casemine.com/judgement/us/5fa3a7514653d0732d5bedb1</w:t>
        </w:r>
      </w:hyperlink>
      <w:r>
        <w:rPr>
          <w:rFonts w:ascii="Times New Roman" w:hAnsi="Times New Roman"/>
          <w:sz w:val="24"/>
          <w:szCs w:val="24"/>
        </w:rPr>
        <w:t xml:space="preserve"> </w:t>
      </w:r>
    </w:p>
    <w:p w14:paraId="62AEE2E1" w14:textId="77777777" w:rsidR="007D178F" w:rsidRDefault="007D178F" w:rsidP="007D178F">
      <w:pPr>
        <w:pStyle w:val="NoSpacing"/>
      </w:pPr>
    </w:p>
    <w:p w14:paraId="2274161C" w14:textId="77777777" w:rsidR="007D178F" w:rsidRPr="003B0090" w:rsidRDefault="007D178F" w:rsidP="007D178F">
      <w:pPr>
        <w:spacing w:before="100" w:beforeAutospacing="1" w:after="100" w:afterAutospacing="1" w:line="240" w:lineRule="auto"/>
        <w:rPr>
          <w:rFonts w:ascii="Times New Roman" w:eastAsia="Times New Roman" w:hAnsi="Times New Roman"/>
          <w:b/>
          <w:bCs/>
          <w:sz w:val="24"/>
          <w:szCs w:val="24"/>
        </w:rPr>
      </w:pPr>
      <w:r w:rsidRPr="003B0090">
        <w:rPr>
          <w:rFonts w:ascii="Times New Roman" w:eastAsia="Times New Roman" w:hAnsi="Times New Roman"/>
          <w:b/>
          <w:bCs/>
          <w:sz w:val="24"/>
          <w:szCs w:val="24"/>
        </w:rPr>
        <w:t>Legal Lesson Learned</w:t>
      </w:r>
      <w:r>
        <w:rPr>
          <w:rFonts w:ascii="Times New Roman" w:eastAsia="Times New Roman" w:hAnsi="Times New Roman"/>
          <w:b/>
          <w:bCs/>
          <w:sz w:val="24"/>
          <w:szCs w:val="24"/>
        </w:rPr>
        <w:t xml:space="preserve">: Treaties are to be interpreted liberally; defendant remains in jail until extradited back to Ireland. </w:t>
      </w:r>
    </w:p>
    <w:p w14:paraId="56A7E51A" w14:textId="77777777" w:rsidR="007D178F" w:rsidRDefault="007D178F" w:rsidP="00F326E5">
      <w:pPr>
        <w:pStyle w:val="NoSpacing"/>
        <w:rPr>
          <w:rFonts w:ascii="Arial Black" w:hAnsi="Arial Black"/>
          <w:sz w:val="28"/>
          <w:szCs w:val="28"/>
        </w:rPr>
      </w:pPr>
    </w:p>
    <w:p w14:paraId="0024B941" w14:textId="77777777" w:rsidR="007D178F" w:rsidRDefault="007D178F" w:rsidP="00F326E5">
      <w:pPr>
        <w:pStyle w:val="NoSpacing"/>
        <w:rPr>
          <w:rFonts w:ascii="Arial Black" w:hAnsi="Arial Black"/>
          <w:sz w:val="28"/>
          <w:szCs w:val="28"/>
        </w:rPr>
      </w:pPr>
    </w:p>
    <w:p w14:paraId="0881455C" w14:textId="77777777" w:rsidR="007D178F" w:rsidRDefault="007D178F" w:rsidP="00F326E5">
      <w:pPr>
        <w:pStyle w:val="NoSpacing"/>
        <w:rPr>
          <w:rFonts w:ascii="Arial Black" w:hAnsi="Arial Black"/>
          <w:sz w:val="28"/>
          <w:szCs w:val="28"/>
        </w:rPr>
      </w:pPr>
    </w:p>
    <w:p w14:paraId="79B50D16" w14:textId="77777777" w:rsidR="007D178F" w:rsidRDefault="007D178F" w:rsidP="00F326E5">
      <w:pPr>
        <w:pStyle w:val="NoSpacing"/>
        <w:rPr>
          <w:rFonts w:ascii="Arial Black" w:hAnsi="Arial Black"/>
          <w:sz w:val="28"/>
          <w:szCs w:val="28"/>
        </w:rPr>
      </w:pPr>
    </w:p>
    <w:p w14:paraId="269799DA" w14:textId="624E879A" w:rsidR="00F824FE" w:rsidRDefault="00F824FE" w:rsidP="00F326E5">
      <w:pPr>
        <w:pStyle w:val="NoSpacing"/>
        <w:rPr>
          <w:rFonts w:ascii="Arial Black" w:hAnsi="Arial Black"/>
          <w:sz w:val="28"/>
          <w:szCs w:val="28"/>
        </w:rPr>
      </w:pPr>
      <w:r>
        <w:rPr>
          <w:rFonts w:ascii="Arial Black" w:hAnsi="Arial Black"/>
          <w:sz w:val="28"/>
          <w:szCs w:val="28"/>
        </w:rPr>
        <w:t>3-26</w:t>
      </w:r>
    </w:p>
    <w:p w14:paraId="1B5094F9" w14:textId="7D6FE78D" w:rsidR="00F824FE" w:rsidRDefault="00F824FE" w:rsidP="00F326E5">
      <w:pPr>
        <w:pStyle w:val="NoSpacing"/>
        <w:rPr>
          <w:rFonts w:ascii="Arial Black" w:hAnsi="Arial Black"/>
          <w:sz w:val="28"/>
          <w:szCs w:val="28"/>
        </w:rPr>
      </w:pPr>
    </w:p>
    <w:p w14:paraId="77978862" w14:textId="77777777" w:rsidR="00F824FE" w:rsidRPr="00207F8D" w:rsidRDefault="00F824FE" w:rsidP="00F824FE">
      <w:pPr>
        <w:pStyle w:val="Heading1"/>
        <w:rPr>
          <w:rFonts w:ascii="Arial Black" w:hAnsi="Arial Black"/>
          <w:sz w:val="28"/>
          <w:szCs w:val="28"/>
        </w:rPr>
      </w:pPr>
      <w:r>
        <w:rPr>
          <w:rFonts w:ascii="Arial Black" w:hAnsi="Arial Black"/>
          <w:sz w:val="28"/>
          <w:szCs w:val="28"/>
        </w:rPr>
        <w:t>NY:  911 CLEAN UP - 124 WORKERS CLEANUP AT STUYVESANT HIGH – LAWSUIT PROPERLY DISMISSED, ACCEPTED PRIOR SETTLEMENT</w:t>
      </w:r>
    </w:p>
    <w:p w14:paraId="0B5810D7" w14:textId="77777777" w:rsidR="00F824FE" w:rsidRPr="004D26C3" w:rsidRDefault="00F824FE" w:rsidP="00F824FE">
      <w:pPr>
        <w:rPr>
          <w:rFonts w:ascii="Times New Roman" w:hAnsi="Times New Roman"/>
          <w:sz w:val="24"/>
          <w:szCs w:val="24"/>
        </w:rPr>
      </w:pPr>
      <w:r w:rsidRPr="00E15C67">
        <w:rPr>
          <w:rFonts w:ascii="Times New Roman" w:hAnsi="Times New Roman"/>
          <w:sz w:val="24"/>
          <w:szCs w:val="24"/>
        </w:rPr>
        <w:t xml:space="preserve">On Sept. 28, 2020, in </w:t>
      </w:r>
      <w:r w:rsidRPr="00E15C67">
        <w:rPr>
          <w:rFonts w:ascii="Times New Roman" w:hAnsi="Times New Roman"/>
          <w:sz w:val="24"/>
          <w:szCs w:val="24"/>
          <w:u w:val="single"/>
        </w:rPr>
        <w:t>In</w:t>
      </w:r>
      <w:r w:rsidRPr="004D26C3">
        <w:rPr>
          <w:rFonts w:ascii="Times New Roman" w:hAnsi="Times New Roman"/>
          <w:sz w:val="24"/>
          <w:szCs w:val="24"/>
          <w:u w:val="single"/>
        </w:rPr>
        <w:t xml:space="preserve"> re: World Trade Center Lower Manhattan Disaster Site Litigation</w:t>
      </w:r>
      <w:r w:rsidRPr="004D26C3">
        <w:rPr>
          <w:rFonts w:ascii="Times New Roman" w:hAnsi="Times New Roman"/>
          <w:sz w:val="24"/>
          <w:szCs w:val="24"/>
        </w:rPr>
        <w:t xml:space="preserve">, the U.S. Court of Appeals for Second District (New York City) held in a Summary Order (3 to 0) that U.S. District Court Judge Alvin K. Hellerstein properly dismissed their lawsuit in 2019 since it was moot; they are covered by settlement agreements with the City of New York and the WTC Captive by entering into the 2010 Final Settlement Agreement ("FSA").  Judge Hellerstein on Aug. 30, </w:t>
      </w:r>
      <w:proofErr w:type="gramStart"/>
      <w:r w:rsidRPr="004D26C3">
        <w:rPr>
          <w:rFonts w:ascii="Times New Roman" w:hAnsi="Times New Roman"/>
          <w:sz w:val="24"/>
          <w:szCs w:val="24"/>
        </w:rPr>
        <w:t>2019</w:t>
      </w:r>
      <w:proofErr w:type="gramEnd"/>
      <w:r w:rsidRPr="004D26C3">
        <w:rPr>
          <w:rFonts w:ascii="Times New Roman" w:hAnsi="Times New Roman"/>
          <w:sz w:val="24"/>
          <w:szCs w:val="24"/>
        </w:rPr>
        <w:t xml:space="preserve"> held that “All of the present plaintiffs, among a group of plaintiffs that at one time numbered around 11,000, had settled previously with the WTC Captive and its insureds, including the City of New York.” </w:t>
      </w:r>
      <w:hyperlink r:id="rId808" w:history="1">
        <w:r w:rsidRPr="004D26C3">
          <w:rPr>
            <w:rStyle w:val="Hyperlink"/>
            <w:rFonts w:ascii="Times New Roman" w:hAnsi="Times New Roman"/>
            <w:sz w:val="24"/>
            <w:szCs w:val="24"/>
          </w:rPr>
          <w:t>https://casetext.com/case/in-re-world-trade-ctr-lower-manhattan-disaster-site-litig-8</w:t>
        </w:r>
      </w:hyperlink>
      <w:r w:rsidRPr="004D26C3">
        <w:rPr>
          <w:rFonts w:ascii="Times New Roman" w:hAnsi="Times New Roman"/>
          <w:sz w:val="24"/>
          <w:szCs w:val="24"/>
        </w:rPr>
        <w:t xml:space="preserve"> </w:t>
      </w:r>
    </w:p>
    <w:p w14:paraId="4C8AB7AF" w14:textId="77777777" w:rsidR="00F824FE" w:rsidRPr="00482AE8" w:rsidRDefault="00F824FE" w:rsidP="00F824FE">
      <w:pPr>
        <w:pStyle w:val="Heading1"/>
        <w:ind w:left="720"/>
        <w:rPr>
          <w:b w:val="0"/>
          <w:bCs w:val="0"/>
          <w:sz w:val="24"/>
          <w:szCs w:val="24"/>
        </w:rPr>
      </w:pPr>
      <w:r>
        <w:rPr>
          <w:b w:val="0"/>
          <w:bCs w:val="0"/>
          <w:sz w:val="24"/>
          <w:szCs w:val="24"/>
        </w:rPr>
        <w:t>“</w:t>
      </w:r>
      <w:r w:rsidRPr="00482AE8">
        <w:rPr>
          <w:b w:val="0"/>
          <w:bCs w:val="0"/>
          <w:sz w:val="24"/>
          <w:szCs w:val="24"/>
        </w:rPr>
        <w:t xml:space="preserve">Here, the district court properly held that Appellants’ 2010 settlement agreement with the WTC Captive and its insureds (the World Trade Center Litigation Final Settlement Agreement, or </w:t>
      </w:r>
      <w:r>
        <w:rPr>
          <w:b w:val="0"/>
          <w:bCs w:val="0"/>
          <w:sz w:val="24"/>
          <w:szCs w:val="24"/>
        </w:rPr>
        <w:t>‘</w:t>
      </w:r>
      <w:r w:rsidRPr="00482AE8">
        <w:rPr>
          <w:b w:val="0"/>
          <w:bCs w:val="0"/>
          <w:sz w:val="24"/>
          <w:szCs w:val="24"/>
        </w:rPr>
        <w:t>FSA</w:t>
      </w:r>
      <w:r>
        <w:rPr>
          <w:b w:val="0"/>
          <w:bCs w:val="0"/>
          <w:sz w:val="24"/>
          <w:szCs w:val="24"/>
        </w:rPr>
        <w:t>’</w:t>
      </w:r>
      <w:r w:rsidRPr="00482AE8">
        <w:rPr>
          <w:b w:val="0"/>
          <w:bCs w:val="0"/>
          <w:sz w:val="24"/>
          <w:szCs w:val="24"/>
        </w:rPr>
        <w:t>) reduced their potential recovery in these proceedings to zero, and that, accordingly, their claims are moot.</w:t>
      </w:r>
      <w:r>
        <w:rPr>
          <w:b w:val="0"/>
          <w:bCs w:val="0"/>
          <w:sz w:val="24"/>
          <w:szCs w:val="24"/>
        </w:rPr>
        <w:t xml:space="preserve">” </w:t>
      </w:r>
      <w:hyperlink r:id="rId809" w:anchor="xml=https://www.ca2.uscourts.gov/decisions/isysquery/d1288cae-9c73-4842-93cb-329cdd38edc3/3/hilite/" w:history="1">
        <w:r w:rsidRPr="009A4D3D">
          <w:rPr>
            <w:rStyle w:val="Hyperlink"/>
            <w:b w:val="0"/>
            <w:bCs w:val="0"/>
            <w:sz w:val="24"/>
            <w:szCs w:val="24"/>
          </w:rPr>
          <w:t>https://www.ca2.uscourts.gov/decisions/isysquery/d1288cae-9c73-4842-93cb-329cdd38edc3/3/doc/19-</w:t>
        </w:r>
        <w:r w:rsidRPr="009A4D3D">
          <w:rPr>
            <w:rStyle w:val="Hyperlink"/>
            <w:b w:val="0"/>
            <w:bCs w:val="0"/>
            <w:sz w:val="24"/>
            <w:szCs w:val="24"/>
          </w:rPr>
          <w:lastRenderedPageBreak/>
          <w:t>2934_so.pdf#xml=https://www.ca2.uscourts.gov/decisions/isysquery/d1288cae-9c73-4842-93cb-329cdd38edc3/3/hilite/</w:t>
        </w:r>
      </w:hyperlink>
      <w:r>
        <w:rPr>
          <w:b w:val="0"/>
          <w:bCs w:val="0"/>
          <w:sz w:val="24"/>
          <w:szCs w:val="24"/>
        </w:rPr>
        <w:t xml:space="preserve"> </w:t>
      </w:r>
    </w:p>
    <w:p w14:paraId="3336A63A" w14:textId="77777777" w:rsidR="00F824FE" w:rsidRDefault="00F824FE" w:rsidP="00F824FE">
      <w:pPr>
        <w:pStyle w:val="Heading1"/>
        <w:rPr>
          <w:sz w:val="24"/>
          <w:szCs w:val="24"/>
        </w:rPr>
      </w:pPr>
      <w:r w:rsidRPr="007042F0">
        <w:rPr>
          <w:sz w:val="24"/>
          <w:szCs w:val="24"/>
        </w:rPr>
        <w:t>Legal Lessons Learned:</w:t>
      </w:r>
      <w:r>
        <w:rPr>
          <w:sz w:val="24"/>
          <w:szCs w:val="24"/>
        </w:rPr>
        <w:t xml:space="preserve"> When you </w:t>
      </w:r>
      <w:proofErr w:type="gramStart"/>
      <w:r>
        <w:rPr>
          <w:sz w:val="24"/>
          <w:szCs w:val="24"/>
        </w:rPr>
        <w:t>enter into</w:t>
      </w:r>
      <w:proofErr w:type="gramEnd"/>
      <w:r>
        <w:rPr>
          <w:sz w:val="24"/>
          <w:szCs w:val="24"/>
        </w:rPr>
        <w:t xml:space="preserve"> a “global settlement” and accept the settlement money, it is designed to avoid future litigation such as this case.  </w:t>
      </w:r>
    </w:p>
    <w:p w14:paraId="4912F6EC" w14:textId="5293D5C3" w:rsidR="00F824FE" w:rsidRDefault="00F824FE" w:rsidP="00F824FE">
      <w:pPr>
        <w:pStyle w:val="NoSpacing"/>
        <w:ind w:left="720"/>
        <w:rPr>
          <w:rFonts w:ascii="Arial Black" w:hAnsi="Arial Black"/>
          <w:sz w:val="28"/>
          <w:szCs w:val="28"/>
        </w:rPr>
      </w:pPr>
      <w:r w:rsidRPr="007042F0">
        <w:rPr>
          <w:sz w:val="24"/>
          <w:szCs w:val="24"/>
        </w:rPr>
        <w:t>Note</w:t>
      </w:r>
      <w:r>
        <w:rPr>
          <w:sz w:val="24"/>
          <w:szCs w:val="24"/>
        </w:rPr>
        <w:t xml:space="preserve">:   See </w:t>
      </w:r>
      <w:r w:rsidRPr="007042F0">
        <w:rPr>
          <w:sz w:val="24"/>
          <w:szCs w:val="24"/>
        </w:rPr>
        <w:t xml:space="preserve">Nov. 19, </w:t>
      </w:r>
      <w:proofErr w:type="gramStart"/>
      <w:r w:rsidRPr="007042F0">
        <w:rPr>
          <w:sz w:val="24"/>
          <w:szCs w:val="24"/>
        </w:rPr>
        <w:t>2010</w:t>
      </w:r>
      <w:proofErr w:type="gramEnd"/>
      <w:r>
        <w:rPr>
          <w:sz w:val="24"/>
          <w:szCs w:val="24"/>
        </w:rPr>
        <w:t xml:space="preserve"> article,</w:t>
      </w:r>
      <w:r w:rsidRPr="007042F0">
        <w:rPr>
          <w:sz w:val="24"/>
          <w:szCs w:val="24"/>
        </w:rPr>
        <w:t xml:space="preserve"> “Over 95% of Plaintiffs Accept World Trade Center Settlement.” </w:t>
      </w:r>
      <w:r>
        <w:rPr>
          <w:sz w:val="24"/>
          <w:szCs w:val="24"/>
        </w:rPr>
        <w:t>“</w:t>
      </w:r>
      <w:r w:rsidRPr="007042F0">
        <w:rPr>
          <w:sz w:val="24"/>
          <w:szCs w:val="24"/>
        </w:rPr>
        <w:t>10,043 plaintiffs signed releases accepting settlement terms, according to the Allocation Neutral's report to the Court, with 98% of those claiming some of the most severe injuries signing on.</w:t>
      </w:r>
      <w:r>
        <w:rPr>
          <w:sz w:val="24"/>
          <w:szCs w:val="24"/>
        </w:rPr>
        <w:t xml:space="preserve"> *** </w:t>
      </w:r>
      <w:r w:rsidRPr="004D26C3">
        <w:rPr>
          <w:sz w:val="24"/>
          <w:szCs w:val="24"/>
        </w:rPr>
        <w:t>The WTC Captive Insurance Company confirms the 95% participation threshold of eligible plaintiffs has been reached.</w:t>
      </w:r>
      <w:r>
        <w:rPr>
          <w:sz w:val="24"/>
          <w:szCs w:val="24"/>
        </w:rPr>
        <w:t xml:space="preserve">” </w:t>
      </w:r>
      <w:r w:rsidRPr="004D26C3">
        <w:rPr>
          <w:sz w:val="24"/>
          <w:szCs w:val="24"/>
        </w:rPr>
        <w:t xml:space="preserve"> </w:t>
      </w:r>
      <w:hyperlink r:id="rId810" w:history="1">
        <w:r w:rsidRPr="004D26C3">
          <w:rPr>
            <w:rStyle w:val="Hyperlink"/>
            <w:sz w:val="24"/>
            <w:szCs w:val="24"/>
          </w:rPr>
          <w:t>https://www.prnewswire.com/news-releases/over-95-of-plaintiffs-accept-world-trade-center-settlement-109252704.html</w:t>
        </w:r>
      </w:hyperlink>
    </w:p>
    <w:p w14:paraId="1C5D1C6D" w14:textId="77777777" w:rsidR="00F824FE" w:rsidRDefault="00F824FE" w:rsidP="00F326E5">
      <w:pPr>
        <w:pStyle w:val="NoSpacing"/>
        <w:rPr>
          <w:rFonts w:ascii="Arial Black" w:hAnsi="Arial Black"/>
          <w:sz w:val="28"/>
          <w:szCs w:val="28"/>
        </w:rPr>
      </w:pPr>
    </w:p>
    <w:p w14:paraId="2DEF0697" w14:textId="77777777" w:rsidR="00F824FE" w:rsidRDefault="00F824FE" w:rsidP="00F326E5">
      <w:pPr>
        <w:pStyle w:val="NoSpacing"/>
        <w:rPr>
          <w:rFonts w:ascii="Arial Black" w:hAnsi="Arial Black"/>
          <w:sz w:val="28"/>
          <w:szCs w:val="28"/>
        </w:rPr>
      </w:pPr>
    </w:p>
    <w:p w14:paraId="16BAF71E" w14:textId="3B184A81" w:rsidR="00A672EE" w:rsidRDefault="00A672EE" w:rsidP="00F326E5">
      <w:pPr>
        <w:pStyle w:val="NoSpacing"/>
        <w:rPr>
          <w:rFonts w:ascii="Arial Black" w:hAnsi="Arial Black"/>
          <w:sz w:val="28"/>
          <w:szCs w:val="28"/>
        </w:rPr>
      </w:pPr>
      <w:r>
        <w:rPr>
          <w:rFonts w:ascii="Arial Black" w:hAnsi="Arial Black"/>
          <w:sz w:val="28"/>
          <w:szCs w:val="28"/>
        </w:rPr>
        <w:t>3-25</w:t>
      </w:r>
    </w:p>
    <w:p w14:paraId="1D7675DA" w14:textId="6493E5AA" w:rsidR="00A672EE" w:rsidRDefault="00A672EE" w:rsidP="00F326E5">
      <w:pPr>
        <w:pStyle w:val="NoSpacing"/>
        <w:rPr>
          <w:rFonts w:ascii="Arial Black" w:hAnsi="Arial Black"/>
          <w:sz w:val="28"/>
          <w:szCs w:val="28"/>
        </w:rPr>
      </w:pPr>
    </w:p>
    <w:p w14:paraId="2D663E2D" w14:textId="4A1D7A14" w:rsidR="00A672EE" w:rsidRPr="0043496E" w:rsidRDefault="00A672EE" w:rsidP="00A672EE">
      <w:pPr>
        <w:pStyle w:val="NoSpacing"/>
        <w:rPr>
          <w:rFonts w:ascii="Arial Black" w:hAnsi="Arial Black"/>
          <w:sz w:val="28"/>
          <w:szCs w:val="28"/>
        </w:rPr>
      </w:pPr>
      <w:bookmarkStart w:id="140" w:name="_Hlk66942447"/>
      <w:r w:rsidRPr="0043496E">
        <w:rPr>
          <w:rFonts w:ascii="Arial Black" w:hAnsi="Arial Black"/>
          <w:sz w:val="28"/>
          <w:szCs w:val="28"/>
        </w:rPr>
        <w:t xml:space="preserve">FL: </w:t>
      </w:r>
      <w:r>
        <w:rPr>
          <w:rFonts w:ascii="Arial Black" w:hAnsi="Arial Black"/>
          <w:sz w:val="28"/>
          <w:szCs w:val="28"/>
        </w:rPr>
        <w:t xml:space="preserve">“LONE WOLF” DEFENDANT HELD WITHOUT BOND - 23-YR-OLD – PISTOL, SILENCER, DRONE - WANTED TO KILL AT LEAST 50  </w:t>
      </w:r>
    </w:p>
    <w:p w14:paraId="466C0A2E" w14:textId="1E9ED013" w:rsidR="00A672EE" w:rsidRDefault="00A672EE" w:rsidP="00A672EE">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On July 1, 2020, in </w:t>
      </w:r>
      <w:r w:rsidRPr="00A95773">
        <w:rPr>
          <w:rFonts w:ascii="Times New Roman" w:eastAsia="Times New Roman" w:hAnsi="Times New Roman"/>
          <w:sz w:val="24"/>
          <w:szCs w:val="24"/>
          <w:u w:val="single"/>
        </w:rPr>
        <w:t>United States of America v. Muhammed Momtaz Al-Azhari</w:t>
      </w:r>
      <w:r>
        <w:rPr>
          <w:rFonts w:ascii="Times New Roman" w:eastAsia="Times New Roman" w:hAnsi="Times New Roman"/>
          <w:sz w:val="24"/>
          <w:szCs w:val="24"/>
        </w:rPr>
        <w:t>, U.S. District Court Judge Tom Barber, Middle District of Florida (Tampa Division), upheld the decision of U.S. Magistrate Judge denying defendant’s motion to revoke detention order. The Court wrote: “</w:t>
      </w:r>
      <w:r w:rsidRPr="0043496E">
        <w:rPr>
          <w:rFonts w:ascii="Times New Roman" w:eastAsia="Times New Roman" w:hAnsi="Times New Roman"/>
          <w:sz w:val="24"/>
          <w:szCs w:val="24"/>
        </w:rPr>
        <w:t xml:space="preserve">According to the </w:t>
      </w:r>
      <w:r>
        <w:rPr>
          <w:rFonts w:ascii="Times New Roman" w:eastAsia="Times New Roman" w:hAnsi="Times New Roman"/>
          <w:sz w:val="24"/>
          <w:szCs w:val="24"/>
        </w:rPr>
        <w:t xml:space="preserve">[FBI] </w:t>
      </w:r>
      <w:r w:rsidRPr="0043496E">
        <w:rPr>
          <w:rFonts w:ascii="Times New Roman" w:eastAsia="Times New Roman" w:hAnsi="Times New Roman"/>
          <w:sz w:val="24"/>
          <w:szCs w:val="24"/>
        </w:rPr>
        <w:t>complaint, Defendant was preparing himself for a deadly attack in support of ISIS by obtaining weapons and tactical gear. He scouted potential targets, including a local beach and law enforcement buildings. He told a confidential</w:t>
      </w:r>
      <w:r>
        <w:rPr>
          <w:rFonts w:ascii="Times New Roman" w:eastAsia="Times New Roman" w:hAnsi="Times New Roman"/>
          <w:sz w:val="24"/>
          <w:szCs w:val="24"/>
        </w:rPr>
        <w:t xml:space="preserve"> </w:t>
      </w:r>
      <w:r w:rsidRPr="0043496E">
        <w:rPr>
          <w:rFonts w:ascii="Times New Roman" w:eastAsia="Times New Roman" w:hAnsi="Times New Roman"/>
          <w:sz w:val="24"/>
          <w:szCs w:val="24"/>
        </w:rPr>
        <w:t xml:space="preserve">informant that he did not want to kill just four or five people, but at least fifty. These allegations, and the evidence supporting the allegations, weigh heavily in favor of </w:t>
      </w:r>
      <w:proofErr w:type="gramStart"/>
      <w:r w:rsidRPr="0043496E">
        <w:rPr>
          <w:rFonts w:ascii="Times New Roman" w:eastAsia="Times New Roman" w:hAnsi="Times New Roman"/>
          <w:sz w:val="24"/>
          <w:szCs w:val="24"/>
        </w:rPr>
        <w:t>detention.</w:t>
      </w:r>
      <w:r>
        <w:rPr>
          <w:rFonts w:ascii="Times New Roman" w:eastAsia="Times New Roman" w:hAnsi="Times New Roman"/>
          <w:sz w:val="24"/>
          <w:szCs w:val="24"/>
        </w:rPr>
        <w:t>”</w:t>
      </w:r>
      <w:proofErr w:type="gramEnd"/>
      <w:r>
        <w:rPr>
          <w:rFonts w:ascii="Times New Roman" w:eastAsia="Times New Roman" w:hAnsi="Times New Roman"/>
          <w:sz w:val="24"/>
          <w:szCs w:val="24"/>
        </w:rPr>
        <w:t xml:space="preserve"> </w:t>
      </w:r>
      <w:hyperlink r:id="rId811" w:history="1">
        <w:r w:rsidRPr="00DE6B93">
          <w:rPr>
            <w:rStyle w:val="Hyperlink"/>
            <w:rFonts w:ascii="Times New Roman" w:eastAsia="Times New Roman" w:hAnsi="Times New Roman"/>
            <w:sz w:val="24"/>
            <w:szCs w:val="24"/>
          </w:rPr>
          <w:t>https://public.fastcase.com/Wl%2B2t%2BeVuI35%2FN70vAMFZjEZMJsNZYCv20xfss0VwbYGceb09nWBJue7evWvO5N%2B</w:t>
        </w:r>
      </w:hyperlink>
      <w:bookmarkEnd w:id="140"/>
      <w:r>
        <w:rPr>
          <w:rFonts w:ascii="Times New Roman" w:eastAsia="Times New Roman" w:hAnsi="Times New Roman"/>
          <w:sz w:val="24"/>
          <w:szCs w:val="24"/>
        </w:rPr>
        <w:t xml:space="preserve"> </w:t>
      </w:r>
    </w:p>
    <w:p w14:paraId="4DA133E8" w14:textId="45A4616E" w:rsidR="00823634" w:rsidRPr="00823634" w:rsidRDefault="00823634" w:rsidP="00A672EE">
      <w:pPr>
        <w:spacing w:before="100" w:beforeAutospacing="1" w:after="100" w:afterAutospacing="1" w:line="240" w:lineRule="auto"/>
        <w:rPr>
          <w:rFonts w:ascii="Times New Roman" w:eastAsia="Times New Roman" w:hAnsi="Times New Roman"/>
          <w:b/>
          <w:bCs/>
          <w:sz w:val="24"/>
          <w:szCs w:val="24"/>
        </w:rPr>
      </w:pPr>
      <w:bookmarkStart w:id="141" w:name="_Hlk66942546"/>
      <w:r w:rsidRPr="00823634">
        <w:rPr>
          <w:rFonts w:ascii="Times New Roman" w:eastAsia="Times New Roman" w:hAnsi="Times New Roman"/>
          <w:b/>
          <w:bCs/>
          <w:sz w:val="24"/>
          <w:szCs w:val="24"/>
        </w:rPr>
        <w:t xml:space="preserve">Legal Lesson Learned: “Lone Wolf” domestic terrorist is a growing problem. </w:t>
      </w:r>
    </w:p>
    <w:bookmarkEnd w:id="141"/>
    <w:p w14:paraId="18DE90D0" w14:textId="77777777" w:rsidR="00A672EE" w:rsidRDefault="00A672EE" w:rsidP="00F326E5">
      <w:pPr>
        <w:pStyle w:val="NoSpacing"/>
        <w:rPr>
          <w:rFonts w:ascii="Arial Black" w:hAnsi="Arial Black"/>
          <w:sz w:val="28"/>
          <w:szCs w:val="28"/>
        </w:rPr>
      </w:pPr>
    </w:p>
    <w:p w14:paraId="48957C28" w14:textId="1DA6ED01" w:rsidR="0020758F" w:rsidRDefault="00A672EE" w:rsidP="00F326E5">
      <w:pPr>
        <w:pStyle w:val="NoSpacing"/>
        <w:rPr>
          <w:rFonts w:ascii="Arial Black" w:hAnsi="Arial Black"/>
          <w:sz w:val="28"/>
          <w:szCs w:val="28"/>
        </w:rPr>
      </w:pPr>
      <w:r>
        <w:rPr>
          <w:rFonts w:ascii="Arial Black" w:hAnsi="Arial Black"/>
          <w:sz w:val="28"/>
          <w:szCs w:val="28"/>
        </w:rPr>
        <w:br/>
      </w:r>
      <w:r w:rsidR="0020758F">
        <w:rPr>
          <w:rFonts w:ascii="Arial Black" w:hAnsi="Arial Black"/>
          <w:sz w:val="28"/>
          <w:szCs w:val="28"/>
        </w:rPr>
        <w:t>3-24</w:t>
      </w:r>
    </w:p>
    <w:p w14:paraId="1713C62A" w14:textId="6CA5F426" w:rsidR="0020758F" w:rsidRDefault="0020758F" w:rsidP="00F326E5">
      <w:pPr>
        <w:pStyle w:val="NoSpacing"/>
        <w:rPr>
          <w:rFonts w:ascii="Arial Black" w:hAnsi="Arial Black"/>
          <w:sz w:val="28"/>
          <w:szCs w:val="28"/>
        </w:rPr>
      </w:pPr>
    </w:p>
    <w:p w14:paraId="6C1CB65A" w14:textId="77777777" w:rsidR="007105B3" w:rsidRPr="008932A8" w:rsidRDefault="007105B3" w:rsidP="007105B3">
      <w:pPr>
        <w:rPr>
          <w:rFonts w:ascii="Arial Black" w:eastAsia="Times New Roman" w:hAnsi="Arial Black" w:cs="Tahoma"/>
          <w:b/>
          <w:bCs/>
          <w:sz w:val="28"/>
          <w:szCs w:val="28"/>
        </w:rPr>
      </w:pPr>
      <w:r w:rsidRPr="008932A8">
        <w:rPr>
          <w:rFonts w:ascii="Arial Black" w:eastAsia="Times New Roman" w:hAnsi="Arial Black" w:cs="Tahoma"/>
          <w:b/>
          <w:bCs/>
          <w:sz w:val="28"/>
          <w:szCs w:val="28"/>
        </w:rPr>
        <w:t>U.S. SUPREME COURT: FAST-TRACK DEPORTATION OF IMMIGRANTS CROSSING BORDER UPHELD</w:t>
      </w:r>
    </w:p>
    <w:p w14:paraId="248C798E" w14:textId="77777777" w:rsidR="007105B3" w:rsidRPr="00851091" w:rsidRDefault="007105B3" w:rsidP="007105B3">
      <w:pPr>
        <w:rPr>
          <w:rFonts w:ascii="Times New Roman" w:hAnsi="Times New Roman"/>
          <w:sz w:val="24"/>
          <w:szCs w:val="24"/>
        </w:rPr>
      </w:pPr>
      <w:r w:rsidRPr="002730DF">
        <w:rPr>
          <w:rFonts w:ascii="Times New Roman" w:eastAsia="Times New Roman" w:hAnsi="Times New Roman"/>
          <w:color w:val="36495F"/>
          <w:sz w:val="24"/>
          <w:szCs w:val="24"/>
        </w:rPr>
        <w:t>On June 25, 2020, in</w:t>
      </w:r>
      <w:r>
        <w:rPr>
          <w:rFonts w:ascii="Times New Roman" w:eastAsia="Times New Roman" w:hAnsi="Times New Roman"/>
          <w:color w:val="36495F"/>
          <w:sz w:val="24"/>
          <w:szCs w:val="24"/>
        </w:rPr>
        <w:t xml:space="preserve"> </w:t>
      </w:r>
      <w:r w:rsidRPr="002730DF">
        <w:rPr>
          <w:rFonts w:ascii="Times New Roman" w:eastAsia="Times New Roman" w:hAnsi="Times New Roman"/>
          <w:color w:val="36495F"/>
          <w:sz w:val="24"/>
          <w:szCs w:val="24"/>
          <w:u w:val="single"/>
        </w:rPr>
        <w:t xml:space="preserve">Department of Homeland Security, et al. v. </w:t>
      </w:r>
      <w:r w:rsidRPr="002730DF">
        <w:rPr>
          <w:rFonts w:ascii="Times New Roman" w:hAnsi="Times New Roman"/>
          <w:sz w:val="24"/>
          <w:szCs w:val="24"/>
          <w:u w:val="single"/>
        </w:rPr>
        <w:t>Vijayakumar Thuraissigiam</w:t>
      </w:r>
      <w:r>
        <w:rPr>
          <w:rFonts w:ascii="Times New Roman" w:hAnsi="Times New Roman"/>
          <w:sz w:val="24"/>
          <w:szCs w:val="24"/>
        </w:rPr>
        <w:t xml:space="preserve">, the U.S. Supreme Court held (7 to 2) that Congress properly established a system of rapid deportation of aliens caught at the border, unless they can convince an immigration judge they had credible fear of persecution if returned to their home country. In this case, a Sri Lanka farmer was caught by Border Patrol crossing the border at 11 pm; he claimed he had been abducted and beaten in Sri Lanka by unknown men in a white van while working in his fields. One month after his arrest at the border he had a 13-minute hearing before an immigration judge and was ordered deported.  He sought a writ of habeas corpus and hearing before a U.S. District Court Judge, which was </w:t>
      </w:r>
      <w:r>
        <w:rPr>
          <w:rFonts w:ascii="Times New Roman" w:hAnsi="Times New Roman"/>
          <w:sz w:val="24"/>
          <w:szCs w:val="24"/>
        </w:rPr>
        <w:lastRenderedPageBreak/>
        <w:t>denied, but U.S. Court of Appeals for 9</w:t>
      </w:r>
      <w:r w:rsidRPr="003E07F5">
        <w:rPr>
          <w:rFonts w:ascii="Times New Roman" w:hAnsi="Times New Roman"/>
          <w:sz w:val="24"/>
          <w:szCs w:val="24"/>
          <w:vertAlign w:val="superscript"/>
        </w:rPr>
        <w:t>th</w:t>
      </w:r>
      <w:r>
        <w:rPr>
          <w:rFonts w:ascii="Times New Roman" w:hAnsi="Times New Roman"/>
          <w:sz w:val="24"/>
          <w:szCs w:val="24"/>
        </w:rPr>
        <w:t xml:space="preserve"> Circuit (San Francisco) reversed.   </w:t>
      </w:r>
      <w:r w:rsidRPr="00476D74">
        <w:rPr>
          <w:rFonts w:ascii="Times New Roman" w:hAnsi="Times New Roman"/>
          <w:sz w:val="24"/>
          <w:szCs w:val="24"/>
        </w:rPr>
        <w:t xml:space="preserve">Justice Samuel Alito </w:t>
      </w:r>
      <w:r>
        <w:rPr>
          <w:rFonts w:ascii="Times New Roman" w:hAnsi="Times New Roman"/>
          <w:sz w:val="24"/>
          <w:szCs w:val="24"/>
        </w:rPr>
        <w:t xml:space="preserve">wrote majority opinion: </w:t>
      </w:r>
      <w:r>
        <w:rPr>
          <w:rFonts w:ascii="&quot;Times New Roman" w:eastAsia="Times New Roman" w:hAnsi="&quot;Times New Roman"/>
          <w:color w:val="36495F"/>
          <w:sz w:val="24"/>
          <w:szCs w:val="24"/>
        </w:rPr>
        <w:t>“</w:t>
      </w:r>
      <w:r w:rsidRPr="00476D74">
        <w:rPr>
          <w:rFonts w:ascii="Times New Roman" w:hAnsi="Times New Roman"/>
          <w:sz w:val="24"/>
          <w:szCs w:val="24"/>
        </w:rPr>
        <w:t xml:space="preserve">Every year, hundreds of thousands of aliens are apprehended at or near the border attempting to enter this country illegally. Many ask for asylum, claiming that they would be persecuted if returned to their home countries. Some of these claims are valid, and by granting asylum, the United States lives up to its ideals and its treaty obligations. </w:t>
      </w:r>
      <w:r>
        <w:rPr>
          <w:rFonts w:ascii="Times New Roman" w:hAnsi="Times New Roman"/>
          <w:sz w:val="24"/>
          <w:szCs w:val="24"/>
        </w:rPr>
        <w:t xml:space="preserve"> </w:t>
      </w:r>
      <w:r w:rsidRPr="00476D74">
        <w:rPr>
          <w:rFonts w:ascii="Times New Roman" w:hAnsi="Times New Roman"/>
          <w:sz w:val="24"/>
          <w:szCs w:val="24"/>
        </w:rPr>
        <w:t>Most asylum claims, however, ultimately fail, and some are fraudulent. In 1996, when Congress enacted the</w:t>
      </w:r>
      <w:r>
        <w:rPr>
          <w:rFonts w:ascii="Times New Roman" w:hAnsi="Times New Roman"/>
          <w:sz w:val="24"/>
          <w:szCs w:val="24"/>
        </w:rPr>
        <w:t xml:space="preserve"> </w:t>
      </w:r>
      <w:r w:rsidRPr="00476D74">
        <w:rPr>
          <w:rFonts w:ascii="Times New Roman" w:hAnsi="Times New Roman"/>
          <w:sz w:val="24"/>
          <w:szCs w:val="24"/>
        </w:rPr>
        <w:t>Illegal Immigration Reform and Immigrant Responsibility Act (IIRIRA), 110 Stat. 3009–546, it crafted a system for weeding out patently meritless claims and expeditiously removing the aliens making such claims from the country. It was Congress’s judgment that detaining all asylum seekers</w:t>
      </w:r>
      <w:r>
        <w:rPr>
          <w:rFonts w:ascii="Times New Roman" w:hAnsi="Times New Roman"/>
          <w:sz w:val="24"/>
          <w:szCs w:val="24"/>
        </w:rPr>
        <w:t xml:space="preserve"> </w:t>
      </w:r>
      <w:r w:rsidRPr="00476D74">
        <w:rPr>
          <w:rFonts w:ascii="Times New Roman" w:hAnsi="Times New Roman"/>
          <w:sz w:val="24"/>
          <w:szCs w:val="24"/>
        </w:rPr>
        <w:t>until the full-blown removal process is completed would</w:t>
      </w:r>
      <w:r>
        <w:rPr>
          <w:rFonts w:ascii="Times New Roman" w:hAnsi="Times New Roman"/>
          <w:sz w:val="24"/>
          <w:szCs w:val="24"/>
        </w:rPr>
        <w:t xml:space="preserve"> </w:t>
      </w:r>
      <w:r w:rsidRPr="00476D74">
        <w:rPr>
          <w:rFonts w:ascii="Times New Roman" w:hAnsi="Times New Roman"/>
          <w:sz w:val="24"/>
          <w:szCs w:val="24"/>
        </w:rPr>
        <w:t>place an unacceptable burden on our immigration system and that releasing them would present an undue risk that they would fail to appear for removal proceedings.</w:t>
      </w:r>
      <w:r>
        <w:rPr>
          <w:rFonts w:ascii="Times New Roman" w:hAnsi="Times New Roman"/>
          <w:sz w:val="24"/>
          <w:szCs w:val="24"/>
        </w:rPr>
        <w:t xml:space="preserve"> </w:t>
      </w:r>
      <w:hyperlink r:id="rId812" w:history="1">
        <w:r w:rsidRPr="00476D74">
          <w:rPr>
            <w:rStyle w:val="Hyperlink"/>
            <w:rFonts w:ascii="Times New Roman" w:hAnsi="Times New Roman"/>
            <w:sz w:val="24"/>
            <w:szCs w:val="24"/>
          </w:rPr>
          <w:t>https://www.supremecourt.gov/opinions/19pdf/19-161_g314.pdf</w:t>
        </w:r>
      </w:hyperlink>
      <w:r>
        <w:rPr>
          <w:rFonts w:ascii="Times New Roman" w:hAnsi="Times New Roman"/>
          <w:sz w:val="24"/>
          <w:szCs w:val="24"/>
        </w:rPr>
        <w:t xml:space="preserve"> </w:t>
      </w:r>
    </w:p>
    <w:p w14:paraId="022FC5CE" w14:textId="77777777" w:rsidR="007105B3" w:rsidRPr="00851091" w:rsidRDefault="007105B3" w:rsidP="007105B3">
      <w:pPr>
        <w:pStyle w:val="NoSpacing"/>
        <w:rPr>
          <w:rFonts w:ascii="Times New Roman" w:hAnsi="Times New Roman"/>
          <w:sz w:val="24"/>
          <w:szCs w:val="24"/>
        </w:rPr>
      </w:pPr>
      <w:r w:rsidRPr="00C0046A">
        <w:rPr>
          <w:rFonts w:ascii="Times New Roman" w:hAnsi="Times New Roman"/>
          <w:b/>
          <w:bCs/>
          <w:sz w:val="24"/>
          <w:szCs w:val="24"/>
        </w:rPr>
        <w:t xml:space="preserve">Legal Lessons Learned: </w:t>
      </w:r>
      <w:r>
        <w:rPr>
          <w:rFonts w:ascii="Times New Roman" w:hAnsi="Times New Roman"/>
          <w:b/>
          <w:bCs/>
          <w:sz w:val="24"/>
          <w:szCs w:val="24"/>
        </w:rPr>
        <w:t xml:space="preserve">The seven Justices found that the current system of immigration judges provides due process.  </w:t>
      </w:r>
    </w:p>
    <w:p w14:paraId="7DC424E2" w14:textId="77777777" w:rsidR="007105B3" w:rsidRPr="00C0046A" w:rsidRDefault="007105B3" w:rsidP="007105B3">
      <w:pPr>
        <w:pStyle w:val="NoSpacing"/>
        <w:rPr>
          <w:rFonts w:ascii="Times New Roman" w:hAnsi="Times New Roman"/>
          <w:b/>
          <w:bCs/>
          <w:sz w:val="24"/>
          <w:szCs w:val="24"/>
        </w:rPr>
      </w:pPr>
    </w:p>
    <w:p w14:paraId="68C7E305" w14:textId="77777777" w:rsidR="007105B3" w:rsidRPr="00C0046A" w:rsidRDefault="007105B3" w:rsidP="007105B3">
      <w:pPr>
        <w:pStyle w:val="NoSpacing"/>
        <w:ind w:left="720"/>
        <w:rPr>
          <w:rFonts w:ascii="Times New Roman" w:hAnsi="Times New Roman"/>
          <w:sz w:val="24"/>
          <w:szCs w:val="24"/>
        </w:rPr>
      </w:pPr>
      <w:r w:rsidRPr="00C0046A">
        <w:rPr>
          <w:rFonts w:ascii="Times New Roman" w:hAnsi="Times New Roman"/>
          <w:sz w:val="24"/>
          <w:szCs w:val="24"/>
        </w:rPr>
        <w:t xml:space="preserve">Note: See June 25, </w:t>
      </w:r>
      <w:proofErr w:type="gramStart"/>
      <w:r w:rsidRPr="00C0046A">
        <w:rPr>
          <w:rFonts w:ascii="Times New Roman" w:hAnsi="Times New Roman"/>
          <w:sz w:val="24"/>
          <w:szCs w:val="24"/>
        </w:rPr>
        <w:t>2019</w:t>
      </w:r>
      <w:proofErr w:type="gramEnd"/>
      <w:r w:rsidRPr="00C0046A">
        <w:rPr>
          <w:rFonts w:ascii="Times New Roman" w:hAnsi="Times New Roman"/>
          <w:sz w:val="24"/>
          <w:szCs w:val="24"/>
        </w:rPr>
        <w:t xml:space="preserve"> article, “Supreme Court Sides </w:t>
      </w:r>
      <w:proofErr w:type="gramStart"/>
      <w:r w:rsidRPr="00C0046A">
        <w:rPr>
          <w:rFonts w:ascii="Times New Roman" w:hAnsi="Times New Roman"/>
          <w:sz w:val="24"/>
          <w:szCs w:val="24"/>
        </w:rPr>
        <w:t>With</w:t>
      </w:r>
      <w:proofErr w:type="gramEnd"/>
      <w:r w:rsidRPr="00C0046A">
        <w:rPr>
          <w:rFonts w:ascii="Times New Roman" w:hAnsi="Times New Roman"/>
          <w:sz w:val="24"/>
          <w:szCs w:val="24"/>
        </w:rPr>
        <w:t xml:space="preserve"> Trump Administration </w:t>
      </w:r>
      <w:proofErr w:type="gramStart"/>
      <w:r w:rsidRPr="00C0046A">
        <w:rPr>
          <w:rFonts w:ascii="Times New Roman" w:hAnsi="Times New Roman"/>
          <w:sz w:val="24"/>
          <w:szCs w:val="24"/>
        </w:rPr>
        <w:t>In</w:t>
      </w:r>
      <w:proofErr w:type="gramEnd"/>
      <w:r w:rsidRPr="00C0046A">
        <w:rPr>
          <w:rFonts w:ascii="Times New Roman" w:hAnsi="Times New Roman"/>
          <w:sz w:val="24"/>
          <w:szCs w:val="24"/>
        </w:rPr>
        <w:t xml:space="preserve"> Asylum Cases,” </w:t>
      </w:r>
      <w:hyperlink r:id="rId813" w:history="1">
        <w:r w:rsidRPr="00C0046A">
          <w:rPr>
            <w:rStyle w:val="Hyperlink"/>
            <w:rFonts w:ascii="Times New Roman" w:hAnsi="Times New Roman"/>
            <w:sz w:val="24"/>
            <w:szCs w:val="24"/>
          </w:rPr>
          <w:t>https://www.npr.org/2020/06/25/883312496/supreme-court-sides-with-trump-administration-in-deportation-case</w:t>
        </w:r>
      </w:hyperlink>
      <w:r w:rsidRPr="00C0046A">
        <w:rPr>
          <w:rFonts w:ascii="Times New Roman" w:hAnsi="Times New Roman"/>
          <w:sz w:val="24"/>
          <w:szCs w:val="24"/>
        </w:rPr>
        <w:t xml:space="preserve"> </w:t>
      </w:r>
    </w:p>
    <w:p w14:paraId="575D1D64" w14:textId="77777777" w:rsidR="007105B3" w:rsidRPr="00C0046A" w:rsidRDefault="007105B3" w:rsidP="007105B3">
      <w:pPr>
        <w:pStyle w:val="NoSpacing"/>
        <w:rPr>
          <w:rFonts w:ascii="Times New Roman" w:hAnsi="Times New Roman"/>
          <w:sz w:val="24"/>
          <w:szCs w:val="24"/>
        </w:rPr>
      </w:pPr>
    </w:p>
    <w:p w14:paraId="35944D2B" w14:textId="77777777" w:rsidR="0020758F" w:rsidRDefault="0020758F" w:rsidP="00F326E5">
      <w:pPr>
        <w:pStyle w:val="NoSpacing"/>
        <w:rPr>
          <w:rFonts w:ascii="Arial Black" w:hAnsi="Arial Black"/>
          <w:sz w:val="28"/>
          <w:szCs w:val="28"/>
        </w:rPr>
      </w:pPr>
    </w:p>
    <w:p w14:paraId="1B91BAD1" w14:textId="77777777" w:rsidR="0020758F" w:rsidRDefault="0020758F" w:rsidP="00F326E5">
      <w:pPr>
        <w:pStyle w:val="NoSpacing"/>
        <w:rPr>
          <w:rFonts w:ascii="Arial Black" w:hAnsi="Arial Black"/>
          <w:sz w:val="28"/>
          <w:szCs w:val="28"/>
        </w:rPr>
      </w:pPr>
    </w:p>
    <w:p w14:paraId="03CEC504" w14:textId="77777777" w:rsidR="0020758F" w:rsidRDefault="0020758F" w:rsidP="00F326E5">
      <w:pPr>
        <w:pStyle w:val="NoSpacing"/>
        <w:rPr>
          <w:rFonts w:ascii="Arial Black" w:hAnsi="Arial Black"/>
          <w:sz w:val="28"/>
          <w:szCs w:val="28"/>
        </w:rPr>
      </w:pPr>
    </w:p>
    <w:p w14:paraId="146984B3" w14:textId="40B8923B" w:rsidR="0020758F" w:rsidRDefault="0020758F" w:rsidP="00F326E5">
      <w:pPr>
        <w:pStyle w:val="NoSpacing"/>
        <w:rPr>
          <w:rFonts w:ascii="Arial Black" w:hAnsi="Arial Black"/>
          <w:sz w:val="28"/>
          <w:szCs w:val="28"/>
        </w:rPr>
      </w:pPr>
      <w:r>
        <w:rPr>
          <w:rFonts w:ascii="Arial Black" w:hAnsi="Arial Black"/>
          <w:sz w:val="28"/>
          <w:szCs w:val="28"/>
        </w:rPr>
        <w:t>3-23</w:t>
      </w:r>
    </w:p>
    <w:p w14:paraId="1E6F770F" w14:textId="77777777" w:rsidR="0020758F" w:rsidRPr="008900B0" w:rsidRDefault="0020758F" w:rsidP="0020758F">
      <w:pPr>
        <w:pStyle w:val="NormalWeb"/>
        <w:tabs>
          <w:tab w:val="left" w:pos="4200"/>
        </w:tabs>
        <w:rPr>
          <w:rFonts w:ascii="Arial Black" w:hAnsi="Arial Black"/>
          <w:sz w:val="28"/>
          <w:szCs w:val="28"/>
        </w:rPr>
      </w:pPr>
      <w:r w:rsidRPr="008900B0">
        <w:rPr>
          <w:rFonts w:ascii="Arial Black" w:hAnsi="Arial Black"/>
          <w:sz w:val="28"/>
          <w:szCs w:val="28"/>
        </w:rPr>
        <w:t xml:space="preserve">U.S. SUPREME COURT: </w:t>
      </w:r>
      <w:r>
        <w:rPr>
          <w:rFonts w:ascii="Arial Black" w:hAnsi="Arial Black"/>
          <w:sz w:val="28"/>
          <w:szCs w:val="28"/>
        </w:rPr>
        <w:t xml:space="preserve"> DACA PROGRAM MAY NOT BE TERMINATED UNTIL DHS FOLLOWS APA – 700,000 ALIENS</w:t>
      </w:r>
    </w:p>
    <w:p w14:paraId="353737F7" w14:textId="77777777" w:rsidR="0020758F" w:rsidRDefault="0020758F" w:rsidP="0020758F">
      <w:pPr>
        <w:pStyle w:val="NormalWeb"/>
      </w:pPr>
      <w:r>
        <w:rPr>
          <w:sz w:val="27"/>
          <w:szCs w:val="27"/>
        </w:rPr>
        <w:t xml:space="preserve">On June 18, 2020, in </w:t>
      </w:r>
      <w:r w:rsidRPr="008900B0">
        <w:rPr>
          <w:u w:val="single"/>
        </w:rPr>
        <w:t>Department of Homeland Security v. Regents of the University of California, et al.</w:t>
      </w:r>
      <w:r>
        <w:rPr>
          <w:sz w:val="27"/>
          <w:szCs w:val="27"/>
        </w:rPr>
        <w:t xml:space="preserve">, the U.S. Supreme Court held (5 to 4) in an opinion by Chief Justice John Roberts, that the Trump Administration has not complied with the Administrative Procedures Act [notice of planned action, administrative hearings] in terminating the 2012 U.S. Department of Homeland Security program, established by President Obama.  DACA [Deferred Action for Childhood Arrivals] has allowed 700,000 children of aliens to remain in the United States, request work authorization and be eligible for Social Security and Medicare.   Chief Justice Roberts wrote: “We do not decide whether DACA or its rescission are sound policies…. We address only whether the agency complied with the procedural requirement that it provide a reasoned explanation for its action. Here the agency failed to consider the conspicuous issues of whether to retain forbearance and what if anything to do about the hardship to DACA recipients. That dual failure raises doubts about whether the agency appreciated the scope of its discretion or exercised that discretion in a reasonable manner. The appropriate recourse is therefore to remand to DHS so that it may consider the problem </w:t>
      </w:r>
      <w:proofErr w:type="gramStart"/>
      <w:r>
        <w:rPr>
          <w:sz w:val="27"/>
          <w:szCs w:val="27"/>
        </w:rPr>
        <w:t>anew.”</w:t>
      </w:r>
      <w:proofErr w:type="gramEnd"/>
      <w:r w:rsidRPr="00120207">
        <w:t xml:space="preserve"> </w:t>
      </w:r>
      <w:hyperlink r:id="rId814" w:history="1">
        <w:r w:rsidRPr="0037669D">
          <w:rPr>
            <w:rStyle w:val="Hyperlink"/>
            <w:sz w:val="27"/>
            <w:szCs w:val="27"/>
          </w:rPr>
          <w:t>https://www.supremecourt.gov/opinions/19pdf/18-587_5ifl.pdf</w:t>
        </w:r>
      </w:hyperlink>
      <w:r>
        <w:rPr>
          <w:sz w:val="27"/>
          <w:szCs w:val="27"/>
        </w:rPr>
        <w:t xml:space="preserve"> </w:t>
      </w:r>
    </w:p>
    <w:p w14:paraId="2B5E8E50" w14:textId="77777777" w:rsidR="0020758F" w:rsidRDefault="0020758F" w:rsidP="0020758F">
      <w:pPr>
        <w:pStyle w:val="NormalWeb"/>
        <w:rPr>
          <w:b/>
          <w:bCs/>
        </w:rPr>
      </w:pPr>
      <w:r w:rsidRPr="00120207">
        <w:rPr>
          <w:b/>
          <w:bCs/>
        </w:rPr>
        <w:t>Legal Lessons Learned:</w:t>
      </w:r>
      <w:r>
        <w:rPr>
          <w:b/>
          <w:bCs/>
        </w:rPr>
        <w:t xml:space="preserve">  This is a very “hot topic” that may in the future again be reviewed by the U.S. Supreme Court. </w:t>
      </w:r>
    </w:p>
    <w:p w14:paraId="6586675B" w14:textId="77777777" w:rsidR="0020758F" w:rsidRDefault="0020758F" w:rsidP="0020758F">
      <w:pPr>
        <w:pStyle w:val="NormalWeb"/>
        <w:ind w:left="720"/>
      </w:pPr>
      <w:r w:rsidRPr="004F5401">
        <w:t xml:space="preserve">Note: </w:t>
      </w:r>
      <w:r>
        <w:t xml:space="preserve"> See June 18, </w:t>
      </w:r>
      <w:proofErr w:type="gramStart"/>
      <w:r>
        <w:t>2020</w:t>
      </w:r>
      <w:proofErr w:type="gramEnd"/>
      <w:r>
        <w:t xml:space="preserve"> DHS statement: </w:t>
      </w:r>
    </w:p>
    <w:tbl>
      <w:tblPr>
        <w:tblW w:w="0" w:type="auto"/>
        <w:tblCellSpacing w:w="15" w:type="dxa"/>
        <w:tblLook w:val="04A0" w:firstRow="1" w:lastRow="0" w:firstColumn="1" w:lastColumn="0" w:noHBand="0" w:noVBand="1"/>
      </w:tblPr>
      <w:tblGrid>
        <w:gridCol w:w="96"/>
      </w:tblGrid>
      <w:tr w:rsidR="0020758F" w14:paraId="2DC4FD56" w14:textId="77777777" w:rsidTr="0020758F">
        <w:trPr>
          <w:tblCellSpacing w:w="15" w:type="dxa"/>
        </w:trPr>
        <w:tc>
          <w:tcPr>
            <w:tcW w:w="0" w:type="auto"/>
            <w:tcMar>
              <w:top w:w="15" w:type="dxa"/>
              <w:left w:w="15" w:type="dxa"/>
              <w:bottom w:w="15" w:type="dxa"/>
              <w:right w:w="15" w:type="dxa"/>
            </w:tcMar>
            <w:vAlign w:val="center"/>
            <w:hideMark/>
          </w:tcPr>
          <w:p w14:paraId="7037F528" w14:textId="77777777" w:rsidR="0020758F" w:rsidRDefault="0020758F" w:rsidP="0020758F">
            <w:bookmarkStart w:id="142" w:name="gd_top"/>
          </w:p>
        </w:tc>
      </w:tr>
      <w:bookmarkEnd w:id="142"/>
    </w:tbl>
    <w:p w14:paraId="7937A52E" w14:textId="77777777" w:rsidR="0020758F" w:rsidRDefault="0020758F" w:rsidP="0020758F">
      <w:pPr>
        <w:rPr>
          <w:rFonts w:eastAsia="Times New Roman" w:cs="Calibri"/>
          <w:vanish/>
          <w:lang w:val="en"/>
        </w:rPr>
      </w:pPr>
    </w:p>
    <w:tbl>
      <w:tblPr>
        <w:tblW w:w="5000" w:type="pct"/>
        <w:jc w:val="center"/>
        <w:shd w:val="clear" w:color="auto" w:fill="FFFFFF"/>
        <w:tblCellMar>
          <w:left w:w="0" w:type="dxa"/>
          <w:right w:w="0" w:type="dxa"/>
        </w:tblCellMar>
        <w:tblLook w:val="04A0" w:firstRow="1" w:lastRow="0" w:firstColumn="1" w:lastColumn="0" w:noHBand="0" w:noVBand="1"/>
      </w:tblPr>
      <w:tblGrid>
        <w:gridCol w:w="10800"/>
      </w:tblGrid>
      <w:tr w:rsidR="0020758F" w14:paraId="6E5EAE02" w14:textId="77777777" w:rsidTr="0020758F">
        <w:trPr>
          <w:jc w:val="center"/>
        </w:trPr>
        <w:tc>
          <w:tcPr>
            <w:tcW w:w="5000" w:type="pct"/>
            <w:shd w:val="clear" w:color="auto" w:fill="FFFFFF"/>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20758F" w14:paraId="64C728E2" w14:textId="77777777" w:rsidTr="0020758F">
              <w:trPr>
                <w:jc w:val="center"/>
              </w:trPr>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9000"/>
                  </w:tblGrid>
                  <w:tr w:rsidR="0020758F" w14:paraId="0FDAF4DB" w14:textId="77777777" w:rsidTr="0020758F">
                    <w:trPr>
                      <w:jc w:val="center"/>
                    </w:trPr>
                    <w:tc>
                      <w:tcPr>
                        <w:tcW w:w="0" w:type="auto"/>
                        <w:vAlign w:val="center"/>
                        <w:hideMark/>
                      </w:tcPr>
                      <w:tbl>
                        <w:tblPr>
                          <w:tblW w:w="5000" w:type="pct"/>
                          <w:jc w:val="center"/>
                          <w:shd w:val="clear" w:color="auto" w:fill="FFFFFF"/>
                          <w:tblCellMar>
                            <w:left w:w="0" w:type="dxa"/>
                            <w:right w:w="0" w:type="dxa"/>
                          </w:tblCellMar>
                          <w:tblLook w:val="04A0" w:firstRow="1" w:lastRow="0" w:firstColumn="1" w:lastColumn="0" w:noHBand="0" w:noVBand="1"/>
                        </w:tblPr>
                        <w:tblGrid>
                          <w:gridCol w:w="9000"/>
                        </w:tblGrid>
                        <w:tr w:rsidR="0020758F" w14:paraId="4CB81432" w14:textId="77777777" w:rsidTr="0020758F">
                          <w:trPr>
                            <w:jc w:val="center"/>
                          </w:trPr>
                          <w:tc>
                            <w:tcPr>
                              <w:tcW w:w="5000" w:type="pct"/>
                              <w:shd w:val="clear" w:color="auto" w:fill="FFFFFF"/>
                              <w:tcMar>
                                <w:top w:w="75" w:type="dxa"/>
                                <w:left w:w="75" w:type="dxa"/>
                                <w:bottom w:w="0" w:type="dxa"/>
                                <w:right w:w="75" w:type="dxa"/>
                              </w:tcMar>
                              <w:vAlign w:val="center"/>
                              <w:hideMark/>
                            </w:tcPr>
                            <w:p w14:paraId="66C8C6DA" w14:textId="77777777" w:rsidR="0020758F" w:rsidRDefault="0020758F" w:rsidP="0020758F">
                              <w:pPr>
                                <w:pStyle w:val="gdp"/>
                                <w:spacing w:before="150" w:beforeAutospacing="0" w:after="150" w:afterAutospacing="0"/>
                                <w:jc w:val="center"/>
                                <w:rPr>
                                  <w:rFonts w:ascii="Book Antiqua" w:hAnsi="Book Antiqua"/>
                                  <w:color w:val="000000"/>
                                  <w:sz w:val="23"/>
                                  <w:szCs w:val="23"/>
                                </w:rPr>
                              </w:pPr>
                              <w:r>
                                <w:rPr>
                                  <w:rFonts w:ascii="Book Antiqua" w:hAnsi="Book Antiqua"/>
                                  <w:color w:val="000000"/>
                                  <w:sz w:val="23"/>
                                  <w:szCs w:val="23"/>
                                </w:rPr>
                                <w:t>U.S. DEPARTMENT OF HOMELAND SECURITY</w:t>
                              </w:r>
                            </w:p>
                            <w:p w14:paraId="3F817DD3" w14:textId="77777777" w:rsidR="0020758F" w:rsidRDefault="0020758F" w:rsidP="0020758F">
                              <w:pPr>
                                <w:pStyle w:val="gdp"/>
                                <w:spacing w:before="150" w:beforeAutospacing="0" w:after="150" w:afterAutospacing="0"/>
                                <w:jc w:val="center"/>
                                <w:rPr>
                                  <w:rFonts w:ascii="Book Antiqua" w:hAnsi="Book Antiqua"/>
                                  <w:color w:val="000000"/>
                                  <w:sz w:val="23"/>
                                  <w:szCs w:val="23"/>
                                </w:rPr>
                              </w:pPr>
                              <w:r>
                                <w:rPr>
                                  <w:rFonts w:ascii="Book Antiqua" w:hAnsi="Book Antiqua"/>
                                  <w:color w:val="000000"/>
                                  <w:sz w:val="23"/>
                                  <w:szCs w:val="23"/>
                                </w:rPr>
                                <w:t>Office of Public Affairs</w:t>
                              </w:r>
                            </w:p>
                            <w:p w14:paraId="65C4DF51" w14:textId="77777777" w:rsidR="0020758F" w:rsidRDefault="00373EF8" w:rsidP="0020758F">
                              <w:pPr>
                                <w:jc w:val="center"/>
                                <w:rPr>
                                  <w:rFonts w:eastAsia="Times New Roman"/>
                                </w:rPr>
                              </w:pPr>
                              <w:r>
                                <w:rPr>
                                  <w:rFonts w:eastAsia="Times New Roman"/>
                                </w:rPr>
                                <w:pict w14:anchorId="4F131D79">
                                  <v:rect id="_x0000_i1025" style="width:468pt;height:1pt" o:hralign="center" o:hrstd="t" o:hr="t" fillcolor="#a0a0a0" stroked="f"/>
                                </w:pict>
                              </w:r>
                            </w:p>
                          </w:tc>
                        </w:tr>
                        <w:tr w:rsidR="0020758F" w14:paraId="0664FD2F" w14:textId="77777777" w:rsidTr="0020758F">
                          <w:trPr>
                            <w:jc w:val="center"/>
                          </w:trPr>
                          <w:tc>
                            <w:tcPr>
                              <w:tcW w:w="5000" w:type="pct"/>
                              <w:shd w:val="clear" w:color="auto" w:fill="FFFFFF"/>
                              <w:tcMar>
                                <w:top w:w="0" w:type="dxa"/>
                                <w:left w:w="75" w:type="dxa"/>
                                <w:bottom w:w="75" w:type="dxa"/>
                                <w:right w:w="75" w:type="dxa"/>
                              </w:tcMar>
                              <w:vAlign w:val="center"/>
                              <w:hideMark/>
                            </w:tcPr>
                            <w:p w14:paraId="4CEB9FF9" w14:textId="77777777" w:rsidR="0020758F" w:rsidRDefault="0020758F" w:rsidP="0020758F">
                              <w:pPr>
                                <w:pStyle w:val="NormalWeb"/>
                                <w:spacing w:before="0" w:beforeAutospacing="0" w:after="0" w:afterAutospacing="0"/>
                                <w:jc w:val="center"/>
                                <w:rPr>
                                  <w:rFonts w:eastAsiaTheme="minorHAnsi"/>
                                </w:rPr>
                              </w:pPr>
                              <w:r>
                                <w:rPr>
                                  <w:rStyle w:val="Strong"/>
                                </w:rPr>
                                <w:t xml:space="preserve">DHS Statement </w:t>
                              </w:r>
                              <w:proofErr w:type="gramStart"/>
                              <w:r>
                                <w:rPr>
                                  <w:rStyle w:val="Strong"/>
                                </w:rPr>
                                <w:t>On</w:t>
                              </w:r>
                              <w:proofErr w:type="gramEnd"/>
                              <w:r>
                                <w:rPr>
                                  <w:rStyle w:val="Strong"/>
                                </w:rPr>
                                <w:t xml:space="preserve"> Supreme Court Decision on DACA</w:t>
                              </w:r>
                            </w:p>
                          </w:tc>
                        </w:tr>
                        <w:tr w:rsidR="0020758F" w14:paraId="447CB144" w14:textId="77777777" w:rsidTr="0020758F">
                          <w:trPr>
                            <w:jc w:val="center"/>
                          </w:trPr>
                          <w:tc>
                            <w:tcPr>
                              <w:tcW w:w="5000" w:type="pct"/>
                              <w:shd w:val="clear" w:color="auto" w:fill="FFFFFF"/>
                              <w:tcMar>
                                <w:top w:w="75" w:type="dxa"/>
                                <w:left w:w="75" w:type="dxa"/>
                                <w:bottom w:w="75" w:type="dxa"/>
                                <w:right w:w="75" w:type="dxa"/>
                              </w:tcMar>
                              <w:vAlign w:val="center"/>
                              <w:hideMark/>
                            </w:tcPr>
                            <w:p w14:paraId="6B51B2DD" w14:textId="77777777" w:rsidR="0020758F" w:rsidRDefault="0020758F" w:rsidP="0020758F">
                              <w:pPr>
                                <w:pStyle w:val="NormalWeb"/>
                                <w:spacing w:before="0" w:beforeAutospacing="0" w:after="0" w:afterAutospacing="0"/>
                                <w:rPr>
                                  <w:rFonts w:ascii="Book Antiqua" w:hAnsi="Book Antiqua"/>
                                  <w:color w:val="000000"/>
                                  <w:sz w:val="23"/>
                                  <w:szCs w:val="23"/>
                                </w:rPr>
                              </w:pPr>
                              <w:r>
                                <w:rPr>
                                  <w:color w:val="000000"/>
                                </w:rPr>
                                <w:t>WASHINGTON- The Department of Homeland Security released the following statements regarding the Supreme Court decision on DACA.</w:t>
                              </w:r>
                            </w:p>
                            <w:p w14:paraId="3847AA5E" w14:textId="77777777" w:rsidR="0020758F" w:rsidRDefault="0020758F" w:rsidP="0020758F">
                              <w:pPr>
                                <w:pStyle w:val="NormalWeb"/>
                                <w:spacing w:before="0" w:beforeAutospacing="0" w:after="0" w:afterAutospacing="0"/>
                                <w:rPr>
                                  <w:rFonts w:ascii="Book Antiqua" w:hAnsi="Book Antiqua"/>
                                  <w:color w:val="000000"/>
                                  <w:sz w:val="23"/>
                                  <w:szCs w:val="23"/>
                                </w:rPr>
                              </w:pPr>
                              <w:r>
                                <w:rPr>
                                  <w:color w:val="000000"/>
                                </w:rPr>
                                <w:t> </w:t>
                              </w:r>
                            </w:p>
                            <w:p w14:paraId="305FA926" w14:textId="77777777" w:rsidR="0020758F" w:rsidRDefault="0020758F" w:rsidP="0020758F">
                              <w:pPr>
                                <w:pStyle w:val="NormalWeb"/>
                                <w:spacing w:before="0" w:beforeAutospacing="0" w:after="0" w:afterAutospacing="0"/>
                                <w:rPr>
                                  <w:rFonts w:ascii="Book Antiqua" w:hAnsi="Book Antiqua"/>
                                  <w:color w:val="000000"/>
                                  <w:sz w:val="23"/>
                                  <w:szCs w:val="23"/>
                                </w:rPr>
                              </w:pPr>
                              <w:r>
                                <w:rPr>
                                  <w:color w:val="000000"/>
                                </w:rPr>
                                <w:t xml:space="preserve">Acting Secretary Chad Wolf: “DACA recipients deserve closure and finality surrounding their status here in the U.S. Unfortunately, today’s Supreme Court decision fails to provide that certainty. The DACA program was created out of thin air and implemented illegally. The American people deserve to have the Nation’s laws faithfully executed as written by their representatives in Congress—not based on the arbitrary decisions of a past Administration. This ruling usurps the clear authority of the Executive Branch to end unlawful programs.” </w:t>
                              </w:r>
                            </w:p>
                            <w:p w14:paraId="60E8D7D7" w14:textId="77777777" w:rsidR="0020758F" w:rsidRDefault="0020758F" w:rsidP="0020758F">
                              <w:pPr>
                                <w:pStyle w:val="NormalWeb"/>
                                <w:spacing w:before="0" w:beforeAutospacing="0" w:after="0" w:afterAutospacing="0"/>
                                <w:rPr>
                                  <w:rFonts w:ascii="Book Antiqua" w:hAnsi="Book Antiqua"/>
                                  <w:color w:val="000000"/>
                                  <w:sz w:val="23"/>
                                  <w:szCs w:val="23"/>
                                </w:rPr>
                              </w:pPr>
                              <w:r>
                                <w:rPr>
                                  <w:color w:val="000000"/>
                                </w:rPr>
                                <w:t> </w:t>
                              </w:r>
                            </w:p>
                            <w:p w14:paraId="5FAD466B" w14:textId="77777777" w:rsidR="0020758F" w:rsidRDefault="0020758F" w:rsidP="0020758F">
                              <w:pPr>
                                <w:pStyle w:val="NormalWeb"/>
                                <w:spacing w:before="0" w:beforeAutospacing="0" w:after="0" w:afterAutospacing="0"/>
                                <w:rPr>
                                  <w:color w:val="000000"/>
                                </w:rPr>
                              </w:pPr>
                              <w:r>
                                <w:rPr>
                                  <w:color w:val="000000"/>
                                </w:rPr>
                                <w:t xml:space="preserve">Acting Deputy Secretary Ken Cuccinelli: “The Supreme Court’s decision is an affront to the rule of law and gives </w:t>
                              </w:r>
                              <w:proofErr w:type="gramStart"/>
                              <w:r>
                                <w:rPr>
                                  <w:color w:val="000000"/>
                                </w:rPr>
                                <w:t>Presidents</w:t>
                              </w:r>
                              <w:proofErr w:type="gramEnd"/>
                              <w:r>
                                <w:rPr>
                                  <w:color w:val="000000"/>
                                </w:rPr>
                                <w:t xml:space="preserve"> power to extend discretionary policies into future Administrations. No Justice will say that the DACA program is lawful, and that should be enough reason to end it.  Justice Clarence Thomas had it right in dissent: ‘Such timidity [by SCOTUS] forsakes the Court’s duty to apply the law according to neutral principles and the ripple effects of the majority’s error will be felt throughout our system of self-government.’”</w:t>
                              </w:r>
                            </w:p>
                            <w:p w14:paraId="1573659E" w14:textId="77777777" w:rsidR="0020758F" w:rsidRDefault="0020758F" w:rsidP="0020758F">
                              <w:pPr>
                                <w:pStyle w:val="NormalWeb"/>
                                <w:spacing w:before="0" w:beforeAutospacing="0" w:after="0" w:afterAutospacing="0"/>
                                <w:rPr>
                                  <w:color w:val="000000"/>
                                </w:rPr>
                              </w:pPr>
                            </w:p>
                            <w:p w14:paraId="070E23B6" w14:textId="77777777" w:rsidR="0020758F" w:rsidRDefault="0020758F" w:rsidP="0020758F">
                              <w:pPr>
                                <w:pStyle w:val="NormalWeb"/>
                                <w:spacing w:before="0" w:beforeAutospacing="0" w:after="0" w:afterAutospacing="0"/>
                                <w:rPr>
                                  <w:rFonts w:ascii="Book Antiqua" w:hAnsi="Book Antiqua"/>
                                  <w:color w:val="000000"/>
                                  <w:sz w:val="23"/>
                                  <w:szCs w:val="23"/>
                                </w:rPr>
                              </w:pPr>
                              <w:hyperlink r:id="rId815" w:history="1">
                                <w:r w:rsidRPr="0037669D">
                                  <w:rPr>
                                    <w:rStyle w:val="Hyperlink"/>
                                  </w:rPr>
                                  <w:t>https://www.dhs.gov/news/2020/06/18/dhs-statement-supreme-court-decision-daca</w:t>
                                </w:r>
                              </w:hyperlink>
                            </w:p>
                          </w:tc>
                        </w:tr>
                        <w:tr w:rsidR="0020758F" w14:paraId="43FD253C" w14:textId="77777777" w:rsidTr="0020758F">
                          <w:trPr>
                            <w:jc w:val="center"/>
                          </w:trPr>
                          <w:tc>
                            <w:tcPr>
                              <w:tcW w:w="5000" w:type="pct"/>
                              <w:shd w:val="clear" w:color="auto" w:fill="FFFFFF"/>
                              <w:vAlign w:val="center"/>
                              <w:hideMark/>
                            </w:tcPr>
                            <w:p w14:paraId="7EA967B9" w14:textId="77777777" w:rsidR="0020758F" w:rsidRDefault="0020758F" w:rsidP="0020758F">
                              <w:pPr>
                                <w:pStyle w:val="gdp"/>
                                <w:spacing w:before="150" w:beforeAutospacing="0" w:after="150" w:afterAutospacing="0"/>
                                <w:jc w:val="center"/>
                                <w:rPr>
                                  <w:rFonts w:ascii="Book Antiqua" w:hAnsi="Book Antiqua"/>
                                  <w:sz w:val="23"/>
                                  <w:szCs w:val="23"/>
                                </w:rPr>
                              </w:pPr>
                            </w:p>
                          </w:tc>
                        </w:tr>
                      </w:tbl>
                      <w:p w14:paraId="618A408B" w14:textId="77777777" w:rsidR="0020758F" w:rsidRDefault="0020758F" w:rsidP="0020758F">
                        <w:pPr>
                          <w:jc w:val="center"/>
                          <w:rPr>
                            <w:rFonts w:ascii="Times New Roman" w:eastAsia="Times New Roman" w:hAnsi="Times New Roman"/>
                            <w:sz w:val="20"/>
                            <w:szCs w:val="20"/>
                          </w:rPr>
                        </w:pPr>
                      </w:p>
                    </w:tc>
                  </w:tr>
                </w:tbl>
                <w:p w14:paraId="5DF03FA9" w14:textId="77777777" w:rsidR="0020758F" w:rsidRDefault="0020758F" w:rsidP="0020758F">
                  <w:pPr>
                    <w:jc w:val="center"/>
                    <w:rPr>
                      <w:rFonts w:ascii="Times New Roman" w:eastAsia="Times New Roman" w:hAnsi="Times New Roman"/>
                      <w:sz w:val="20"/>
                      <w:szCs w:val="20"/>
                    </w:rPr>
                  </w:pPr>
                </w:p>
              </w:tc>
            </w:tr>
          </w:tbl>
          <w:p w14:paraId="477854EC" w14:textId="77777777" w:rsidR="0020758F" w:rsidRDefault="0020758F" w:rsidP="0020758F">
            <w:pPr>
              <w:jc w:val="center"/>
              <w:rPr>
                <w:rFonts w:ascii="Times New Roman" w:eastAsia="Times New Roman" w:hAnsi="Times New Roman"/>
                <w:sz w:val="20"/>
                <w:szCs w:val="20"/>
              </w:rPr>
            </w:pPr>
          </w:p>
        </w:tc>
      </w:tr>
    </w:tbl>
    <w:p w14:paraId="423FA37B" w14:textId="77777777" w:rsidR="0020758F" w:rsidRDefault="0020758F" w:rsidP="00F326E5">
      <w:pPr>
        <w:pStyle w:val="NoSpacing"/>
        <w:rPr>
          <w:rFonts w:ascii="Arial Black" w:hAnsi="Arial Black"/>
          <w:sz w:val="28"/>
          <w:szCs w:val="28"/>
        </w:rPr>
      </w:pPr>
    </w:p>
    <w:p w14:paraId="4044D1AE" w14:textId="77777777" w:rsidR="0020758F" w:rsidRDefault="0020758F" w:rsidP="00F326E5">
      <w:pPr>
        <w:pStyle w:val="NoSpacing"/>
        <w:rPr>
          <w:rFonts w:ascii="Arial Black" w:hAnsi="Arial Black"/>
          <w:sz w:val="28"/>
          <w:szCs w:val="28"/>
        </w:rPr>
      </w:pPr>
    </w:p>
    <w:p w14:paraId="746802DD" w14:textId="77777777" w:rsidR="0020758F" w:rsidRDefault="0020758F" w:rsidP="00F326E5">
      <w:pPr>
        <w:pStyle w:val="NoSpacing"/>
        <w:rPr>
          <w:rFonts w:ascii="Arial Black" w:hAnsi="Arial Black"/>
          <w:sz w:val="28"/>
          <w:szCs w:val="28"/>
        </w:rPr>
      </w:pPr>
    </w:p>
    <w:p w14:paraId="7F21F478" w14:textId="77777777" w:rsidR="0020758F" w:rsidRDefault="0020758F" w:rsidP="00F326E5">
      <w:pPr>
        <w:pStyle w:val="NoSpacing"/>
        <w:rPr>
          <w:rFonts w:ascii="Arial Black" w:hAnsi="Arial Black"/>
          <w:sz w:val="28"/>
          <w:szCs w:val="28"/>
        </w:rPr>
      </w:pPr>
    </w:p>
    <w:p w14:paraId="7A1B8250" w14:textId="5542CF92" w:rsidR="005F0E6D" w:rsidRDefault="005F0E6D" w:rsidP="00F326E5">
      <w:pPr>
        <w:pStyle w:val="NoSpacing"/>
        <w:rPr>
          <w:rFonts w:ascii="Arial Black" w:hAnsi="Arial Black"/>
          <w:sz w:val="28"/>
          <w:szCs w:val="28"/>
        </w:rPr>
      </w:pPr>
      <w:r>
        <w:rPr>
          <w:rFonts w:ascii="Arial Black" w:hAnsi="Arial Black"/>
          <w:sz w:val="28"/>
          <w:szCs w:val="28"/>
        </w:rPr>
        <w:t>3-22</w:t>
      </w:r>
    </w:p>
    <w:p w14:paraId="51F0840B" w14:textId="25D069EA" w:rsidR="005F0E6D" w:rsidRDefault="005F0E6D" w:rsidP="00F326E5">
      <w:pPr>
        <w:pStyle w:val="NoSpacing"/>
        <w:rPr>
          <w:rFonts w:ascii="Arial Black" w:hAnsi="Arial Black"/>
          <w:sz w:val="28"/>
          <w:szCs w:val="28"/>
        </w:rPr>
      </w:pPr>
    </w:p>
    <w:p w14:paraId="7CDAB09D" w14:textId="77777777" w:rsidR="005F0E6D" w:rsidRPr="00F366B7" w:rsidRDefault="005F0E6D" w:rsidP="005F0E6D">
      <w:pPr>
        <w:pStyle w:val="NoSpacing"/>
        <w:rPr>
          <w:rFonts w:ascii="Arial Black" w:hAnsi="Arial Black"/>
          <w:b/>
          <w:bCs/>
          <w:sz w:val="28"/>
          <w:szCs w:val="28"/>
        </w:rPr>
      </w:pPr>
      <w:r w:rsidRPr="00F366B7">
        <w:rPr>
          <w:rFonts w:ascii="Arial Black" w:hAnsi="Arial Black"/>
          <w:bCs/>
          <w:sz w:val="28"/>
          <w:szCs w:val="28"/>
        </w:rPr>
        <w:t>NY:</w:t>
      </w:r>
      <w:r>
        <w:rPr>
          <w:rFonts w:ascii="Arial Black" w:hAnsi="Arial Black"/>
          <w:bCs/>
          <w:sz w:val="28"/>
          <w:szCs w:val="28"/>
        </w:rPr>
        <w:t xml:space="preserve"> TERRORIST – FINGERPRINTS ON BOMB’S PACKING TAPE – CROSS EXAM. FBI EXAMINER NOT ON SPAIN CASE</w:t>
      </w:r>
    </w:p>
    <w:p w14:paraId="6CB67344" w14:textId="77777777" w:rsidR="005F0E6D" w:rsidRPr="00F366B7" w:rsidRDefault="005F0E6D" w:rsidP="005F0E6D">
      <w:pPr>
        <w:pStyle w:val="NoSpacing"/>
        <w:ind w:left="720"/>
        <w:rPr>
          <w:rFonts w:ascii="NYArial Black" w:hAnsi="NYArial Black"/>
          <w:b/>
          <w:bCs/>
          <w:sz w:val="28"/>
          <w:szCs w:val="28"/>
        </w:rPr>
      </w:pPr>
    </w:p>
    <w:p w14:paraId="53EF50B2" w14:textId="23365003" w:rsidR="005F0E6D" w:rsidRDefault="005F0E6D" w:rsidP="005F0E6D">
      <w:pPr>
        <w:pStyle w:val="NoSpacing"/>
        <w:rPr>
          <w:rFonts w:ascii="Times New Roman" w:hAnsi="Times New Roman"/>
          <w:bCs/>
          <w:sz w:val="24"/>
          <w:szCs w:val="24"/>
        </w:rPr>
      </w:pPr>
      <w:r w:rsidRPr="000A5D76">
        <w:rPr>
          <w:rFonts w:ascii="Times New Roman" w:hAnsi="Times New Roman"/>
          <w:bCs/>
          <w:sz w:val="24"/>
          <w:szCs w:val="24"/>
        </w:rPr>
        <w:t xml:space="preserve">On April 16, 2020, in </w:t>
      </w:r>
      <w:r w:rsidRPr="000A5D76">
        <w:rPr>
          <w:rFonts w:ascii="Times New Roman" w:hAnsi="Times New Roman"/>
          <w:bCs/>
          <w:sz w:val="24"/>
          <w:szCs w:val="24"/>
          <w:u w:val="single"/>
        </w:rPr>
        <w:t>United States of America v. Muhanad Mahmoud Al Farekh</w:t>
      </w:r>
      <w:r w:rsidRPr="000A5D76">
        <w:rPr>
          <w:rFonts w:ascii="Times New Roman" w:hAnsi="Times New Roman"/>
          <w:bCs/>
          <w:sz w:val="24"/>
          <w:szCs w:val="24"/>
        </w:rPr>
        <w:t xml:space="preserve">, the U.S. Court of Appeals for Second Circuit (New York) held (3 to 0) that trial judge properly reviewed FBI classified documents </w:t>
      </w:r>
      <w:r w:rsidRPr="000A5D76">
        <w:rPr>
          <w:rFonts w:ascii="Times New Roman" w:hAnsi="Times New Roman"/>
          <w:bCs/>
          <w:i/>
          <w:iCs/>
          <w:sz w:val="24"/>
          <w:szCs w:val="24"/>
        </w:rPr>
        <w:t xml:space="preserve">ex </w:t>
      </w:r>
      <w:proofErr w:type="spellStart"/>
      <w:r w:rsidRPr="000A5D76">
        <w:rPr>
          <w:rFonts w:ascii="Times New Roman" w:hAnsi="Times New Roman"/>
          <w:bCs/>
          <w:i/>
          <w:iCs/>
          <w:sz w:val="24"/>
          <w:szCs w:val="24"/>
        </w:rPr>
        <w:t>parte</w:t>
      </w:r>
      <w:proofErr w:type="spellEnd"/>
      <w:r w:rsidRPr="000A5D76">
        <w:rPr>
          <w:rFonts w:ascii="Times New Roman" w:hAnsi="Times New Roman"/>
          <w:bCs/>
          <w:sz w:val="24"/>
          <w:szCs w:val="24"/>
        </w:rPr>
        <w:t xml:space="preserve"> (without defense counsel), and properly prohibited defense counsel to cross-examination of FBI fingerprint examiner about another FBI fingerprint case 16 years earlier involving attacks on commuter trains in Madrid, Spain.   [Note: In </w:t>
      </w:r>
      <w:proofErr w:type="gramStart"/>
      <w:r w:rsidRPr="000A5D76">
        <w:rPr>
          <w:rFonts w:ascii="Times New Roman" w:hAnsi="Times New Roman"/>
          <w:bCs/>
          <w:sz w:val="24"/>
          <w:szCs w:val="24"/>
        </w:rPr>
        <w:t>May,</w:t>
      </w:r>
      <w:proofErr w:type="gramEnd"/>
      <w:r w:rsidRPr="000A5D76">
        <w:rPr>
          <w:rFonts w:ascii="Times New Roman" w:hAnsi="Times New Roman"/>
          <w:bCs/>
          <w:sz w:val="24"/>
          <w:szCs w:val="24"/>
        </w:rPr>
        <w:t xml:space="preserve"> 2004, the FBI arrested Brandon Mayfield, </w:t>
      </w:r>
      <w:proofErr w:type="gramStart"/>
      <w:r w:rsidRPr="000A5D76">
        <w:rPr>
          <w:rFonts w:ascii="Times New Roman" w:hAnsi="Times New Roman"/>
          <w:bCs/>
          <w:sz w:val="24"/>
          <w:szCs w:val="24"/>
        </w:rPr>
        <w:t>a</w:t>
      </w:r>
      <w:proofErr w:type="gramEnd"/>
      <w:r w:rsidRPr="000A5D76">
        <w:rPr>
          <w:rFonts w:ascii="Times New Roman" w:hAnsi="Times New Roman"/>
          <w:bCs/>
          <w:sz w:val="24"/>
          <w:szCs w:val="24"/>
        </w:rPr>
        <w:t xml:space="preserve"> Oregon attorney, as a material witness in an investigation of the terrorist attacks on commuter trains in Madrid, Spain in </w:t>
      </w:r>
      <w:proofErr w:type="gramStart"/>
      <w:r w:rsidRPr="000A5D76">
        <w:rPr>
          <w:rFonts w:ascii="Times New Roman" w:hAnsi="Times New Roman"/>
          <w:bCs/>
          <w:sz w:val="24"/>
          <w:szCs w:val="24"/>
        </w:rPr>
        <w:t>March,</w:t>
      </w:r>
      <w:proofErr w:type="gramEnd"/>
      <w:r w:rsidRPr="000A5D76">
        <w:rPr>
          <w:rFonts w:ascii="Times New Roman" w:hAnsi="Times New Roman"/>
          <w:bCs/>
          <w:sz w:val="24"/>
          <w:szCs w:val="24"/>
        </w:rPr>
        <w:t xml:space="preserve"> 2004.  The FBI Laboratory </w:t>
      </w:r>
    </w:p>
    <w:p w14:paraId="1EF7A63E" w14:textId="77777777" w:rsidR="005F0E6D" w:rsidRPr="000A5D76" w:rsidRDefault="005F0E6D" w:rsidP="005F0E6D">
      <w:pPr>
        <w:pStyle w:val="NoSpacing"/>
        <w:rPr>
          <w:rFonts w:ascii="Times New Roman" w:hAnsi="Times New Roman"/>
          <w:b/>
          <w:bCs/>
          <w:sz w:val="24"/>
          <w:szCs w:val="24"/>
        </w:rPr>
      </w:pPr>
      <w:proofErr w:type="gramStart"/>
      <w:r w:rsidRPr="000A5D76">
        <w:rPr>
          <w:rFonts w:ascii="Times New Roman" w:hAnsi="Times New Roman"/>
          <w:bCs/>
          <w:sz w:val="24"/>
          <w:szCs w:val="24"/>
        </w:rPr>
        <w:t>identified Mayfield’s</w:t>
      </w:r>
      <w:proofErr w:type="gramEnd"/>
      <w:r w:rsidRPr="000A5D76">
        <w:rPr>
          <w:rFonts w:ascii="Times New Roman" w:hAnsi="Times New Roman"/>
          <w:bCs/>
          <w:sz w:val="24"/>
          <w:szCs w:val="24"/>
        </w:rPr>
        <w:t xml:space="preserve"> </w:t>
      </w:r>
      <w:proofErr w:type="gramStart"/>
      <w:r w:rsidRPr="000A5D76">
        <w:rPr>
          <w:rFonts w:ascii="Times New Roman" w:hAnsi="Times New Roman"/>
          <w:bCs/>
          <w:sz w:val="24"/>
          <w:szCs w:val="24"/>
        </w:rPr>
        <w:t>fingerprint</w:t>
      </w:r>
      <w:proofErr w:type="gramEnd"/>
      <w:r w:rsidRPr="000A5D76">
        <w:rPr>
          <w:rFonts w:ascii="Times New Roman" w:hAnsi="Times New Roman"/>
          <w:bCs/>
          <w:sz w:val="24"/>
          <w:szCs w:val="24"/>
        </w:rPr>
        <w:t xml:space="preserve"> on a bag of detonators in Madrid.  Two weeks after Mayfield’s arrest, the Spanish National Police identified an Algerian as the source of the fingerprint, and Mayfield was released from custody.]</w:t>
      </w:r>
    </w:p>
    <w:p w14:paraId="1DB14961" w14:textId="77777777" w:rsidR="005F0E6D" w:rsidRPr="000A5D76" w:rsidRDefault="005F0E6D" w:rsidP="005F0E6D">
      <w:pPr>
        <w:pStyle w:val="NoSpacing"/>
        <w:ind w:left="720"/>
        <w:rPr>
          <w:rFonts w:ascii="Times New Roman" w:hAnsi="Times New Roman"/>
          <w:b/>
          <w:bCs/>
          <w:sz w:val="24"/>
          <w:szCs w:val="24"/>
        </w:rPr>
      </w:pPr>
    </w:p>
    <w:p w14:paraId="477C0BBA" w14:textId="3558D233" w:rsidR="005F0E6D" w:rsidRDefault="005F0E6D" w:rsidP="005F0E6D">
      <w:pPr>
        <w:pStyle w:val="NoSpacing"/>
        <w:ind w:left="720"/>
        <w:rPr>
          <w:rFonts w:ascii="Arial Black" w:hAnsi="Arial Black"/>
          <w:sz w:val="28"/>
          <w:szCs w:val="28"/>
        </w:rPr>
      </w:pPr>
      <w:r w:rsidRPr="000A5D76">
        <w:rPr>
          <w:rFonts w:ascii="Times New Roman" w:hAnsi="Times New Roman"/>
          <w:bCs/>
          <w:sz w:val="24"/>
          <w:szCs w:val="24"/>
        </w:rPr>
        <w:lastRenderedPageBreak/>
        <w:t>“[T]he District Court did not preclude Al-</w:t>
      </w:r>
      <w:proofErr w:type="spellStart"/>
      <w:r w:rsidRPr="000A5D76">
        <w:rPr>
          <w:rFonts w:ascii="Times New Roman" w:hAnsi="Times New Roman"/>
          <w:bCs/>
          <w:sz w:val="24"/>
          <w:szCs w:val="24"/>
        </w:rPr>
        <w:t>Farekh</w:t>
      </w:r>
      <w:proofErr w:type="spellEnd"/>
      <w:r w:rsidRPr="000A5D76">
        <w:rPr>
          <w:rFonts w:ascii="Times New Roman" w:hAnsi="Times New Roman"/>
          <w:bCs/>
          <w:sz w:val="24"/>
          <w:szCs w:val="24"/>
        </w:rPr>
        <w:t xml:space="preserve"> from highlighting the possible subjectivity of, and potential flaws in, fingerprint evidence through his cross-examination of Sibley. </w:t>
      </w:r>
      <w:proofErr w:type="gramStart"/>
      <w:r w:rsidRPr="000A5D76">
        <w:rPr>
          <w:rFonts w:ascii="Times New Roman" w:hAnsi="Times New Roman"/>
          <w:bCs/>
          <w:sz w:val="24"/>
          <w:szCs w:val="24"/>
        </w:rPr>
        <w:t>To</w:t>
      </w:r>
      <w:proofErr w:type="gramEnd"/>
      <w:r w:rsidRPr="000A5D76">
        <w:rPr>
          <w:rFonts w:ascii="Times New Roman" w:hAnsi="Times New Roman"/>
          <w:bCs/>
          <w:sz w:val="24"/>
          <w:szCs w:val="24"/>
        </w:rPr>
        <w:t xml:space="preserve"> the contrary, Al-</w:t>
      </w:r>
      <w:proofErr w:type="spellStart"/>
      <w:r w:rsidRPr="000A5D76">
        <w:rPr>
          <w:rFonts w:ascii="Times New Roman" w:hAnsi="Times New Roman"/>
          <w:bCs/>
          <w:sz w:val="24"/>
          <w:szCs w:val="24"/>
        </w:rPr>
        <w:t>Farekh</w:t>
      </w:r>
      <w:proofErr w:type="spellEnd"/>
      <w:r w:rsidRPr="000A5D76">
        <w:rPr>
          <w:rFonts w:ascii="Times New Roman" w:hAnsi="Times New Roman"/>
          <w:bCs/>
          <w:sz w:val="24"/>
          <w:szCs w:val="24"/>
        </w:rPr>
        <w:t xml:space="preserve"> had the opportunity to do just that. Sibley testified, for example, about the ‘level of subjectivity in latent print comparisons’ and about the potential for mistakes by examiners in making false positive identifications. Other than being unable to rely on the Mayfield case and the report of the Department of Justice’s Office of Inspector General prepared on that case, Al-</w:t>
      </w:r>
      <w:proofErr w:type="spellStart"/>
      <w:r w:rsidRPr="000A5D76">
        <w:rPr>
          <w:rFonts w:ascii="Times New Roman" w:hAnsi="Times New Roman"/>
          <w:bCs/>
          <w:sz w:val="24"/>
          <w:szCs w:val="24"/>
        </w:rPr>
        <w:t>Farekh</w:t>
      </w:r>
      <w:proofErr w:type="spellEnd"/>
      <w:r w:rsidRPr="000A5D76">
        <w:rPr>
          <w:rFonts w:ascii="Times New Roman" w:hAnsi="Times New Roman"/>
          <w:bCs/>
          <w:sz w:val="24"/>
          <w:szCs w:val="24"/>
        </w:rPr>
        <w:t xml:space="preserve"> was free to attack Sibley’s methodology and fingerprint examinations as a type of evidence.” </w:t>
      </w:r>
      <w:hyperlink r:id="rId816" w:anchor="xml=http://www.ca2.uscourts.gov/decisions/isysquery/d136f88b-cd40-4720-ac80-979ab5d9e37d/2/hilite/" w:history="1">
        <w:r w:rsidRPr="000A5D76">
          <w:rPr>
            <w:rStyle w:val="Hyperlink"/>
            <w:rFonts w:ascii="Times New Roman" w:hAnsi="Times New Roman"/>
            <w:b/>
            <w:sz w:val="24"/>
            <w:szCs w:val="24"/>
          </w:rPr>
          <w:t>http://www.ca2.uscourts.gov/decisions/isysquery/d136f88b-cd40-4720-ac80-979ab5d9e37d/2/doc/18-943_opn.pdf#xml=http://www.ca2.uscourts.gov/decisions/isysquery/d136f88b-cd40-4720-ac80-979ab5d9e37d/2/hilite/</w:t>
        </w:r>
      </w:hyperlink>
    </w:p>
    <w:p w14:paraId="7A34C34C" w14:textId="73447424" w:rsidR="005F0E6D" w:rsidRDefault="005F0E6D" w:rsidP="00F326E5">
      <w:pPr>
        <w:pStyle w:val="NoSpacing"/>
        <w:rPr>
          <w:rFonts w:ascii="Arial Black" w:hAnsi="Arial Black"/>
          <w:sz w:val="28"/>
          <w:szCs w:val="28"/>
        </w:rPr>
      </w:pPr>
    </w:p>
    <w:p w14:paraId="4FC37C09" w14:textId="77777777" w:rsidR="005F0E6D" w:rsidRPr="000A5D76" w:rsidRDefault="005F0E6D" w:rsidP="005F0E6D">
      <w:pPr>
        <w:pStyle w:val="NoSpacing"/>
        <w:rPr>
          <w:rFonts w:ascii="Times New Roman" w:hAnsi="Times New Roman"/>
          <w:b/>
          <w:bCs/>
          <w:sz w:val="24"/>
          <w:szCs w:val="24"/>
        </w:rPr>
      </w:pPr>
      <w:bookmarkStart w:id="143" w:name="_Hlk40509099"/>
      <w:r w:rsidRPr="000A5D76">
        <w:rPr>
          <w:rFonts w:ascii="Times New Roman" w:hAnsi="Times New Roman"/>
          <w:b/>
          <w:bCs/>
          <w:sz w:val="24"/>
          <w:szCs w:val="24"/>
        </w:rPr>
        <w:t>Legal Lessons Learned:  Congress enacted the Classified Information Procedures Act to authorize federal judges to protect from public disclosure classified information. Regarding fingerprint examination, defense counsel may vigorously cross-exam expert witnesses, but not on a mistake by other FBI examiners that occurred 16 years prior.</w:t>
      </w:r>
    </w:p>
    <w:p w14:paraId="197A4BA0" w14:textId="77777777" w:rsidR="005F0E6D" w:rsidRPr="000A5D76" w:rsidRDefault="005F0E6D" w:rsidP="005F0E6D">
      <w:pPr>
        <w:pStyle w:val="NoSpacing"/>
        <w:rPr>
          <w:rFonts w:ascii="Times New Roman" w:hAnsi="Times New Roman"/>
          <w:sz w:val="24"/>
          <w:szCs w:val="24"/>
        </w:rPr>
      </w:pPr>
    </w:p>
    <w:p w14:paraId="03B3F140" w14:textId="77777777" w:rsidR="005F0E6D" w:rsidRPr="000A5D76" w:rsidRDefault="005F0E6D" w:rsidP="005F0E6D">
      <w:pPr>
        <w:pStyle w:val="NoSpacing"/>
        <w:ind w:left="720"/>
        <w:rPr>
          <w:rFonts w:ascii="Times New Roman" w:hAnsi="Times New Roman"/>
          <w:b/>
          <w:bCs/>
          <w:sz w:val="24"/>
          <w:szCs w:val="24"/>
        </w:rPr>
      </w:pPr>
      <w:r w:rsidRPr="000A5D76">
        <w:rPr>
          <w:rFonts w:ascii="Times New Roman" w:hAnsi="Times New Roman"/>
          <w:bCs/>
          <w:sz w:val="24"/>
          <w:szCs w:val="24"/>
        </w:rPr>
        <w:t xml:space="preserve">Note:  See  </w:t>
      </w:r>
      <w:proofErr w:type="spellStart"/>
      <w:r w:rsidRPr="000A5D76">
        <w:rPr>
          <w:rFonts w:ascii="Times New Roman" w:hAnsi="Times New Roman"/>
          <w:bCs/>
          <w:sz w:val="24"/>
          <w:szCs w:val="24"/>
        </w:rPr>
        <w:t>DoJ</w:t>
      </w:r>
      <w:proofErr w:type="spellEnd"/>
      <w:r w:rsidRPr="000A5D76">
        <w:rPr>
          <w:rFonts w:ascii="Times New Roman" w:hAnsi="Times New Roman"/>
          <w:bCs/>
          <w:sz w:val="24"/>
          <w:szCs w:val="24"/>
        </w:rPr>
        <w:t xml:space="preserve">, Inspector General report on the Spanish investigation: </w:t>
      </w:r>
      <w:hyperlink r:id="rId817" w:history="1">
        <w:r w:rsidRPr="000A5D76">
          <w:rPr>
            <w:rStyle w:val="Hyperlink"/>
            <w:rFonts w:ascii="Times New Roman" w:hAnsi="Times New Roman"/>
            <w:b/>
            <w:sz w:val="24"/>
            <w:szCs w:val="24"/>
          </w:rPr>
          <w:t>https://oig.justice.gov/special/s0601/final.pdf</w:t>
        </w:r>
      </w:hyperlink>
      <w:r w:rsidRPr="000A5D76">
        <w:rPr>
          <w:rFonts w:ascii="Times New Roman" w:hAnsi="Times New Roman"/>
          <w:bCs/>
          <w:sz w:val="24"/>
          <w:szCs w:val="24"/>
        </w:rPr>
        <w:t xml:space="preserve"> </w:t>
      </w:r>
    </w:p>
    <w:bookmarkEnd w:id="143"/>
    <w:p w14:paraId="293AD99A" w14:textId="77777777" w:rsidR="005F0E6D" w:rsidRPr="000A5D76" w:rsidRDefault="005F0E6D" w:rsidP="005F0E6D">
      <w:pPr>
        <w:pStyle w:val="NoSpacing"/>
        <w:rPr>
          <w:rFonts w:ascii="Times New Roman" w:hAnsi="Times New Roman"/>
          <w:sz w:val="24"/>
          <w:szCs w:val="24"/>
        </w:rPr>
      </w:pPr>
    </w:p>
    <w:p w14:paraId="24286BB0" w14:textId="3DB7F3EA" w:rsidR="005F0E6D" w:rsidRDefault="005F0E6D" w:rsidP="00F326E5">
      <w:pPr>
        <w:pStyle w:val="NoSpacing"/>
        <w:rPr>
          <w:rFonts w:ascii="Arial Black" w:hAnsi="Arial Black"/>
          <w:sz w:val="28"/>
          <w:szCs w:val="28"/>
        </w:rPr>
      </w:pPr>
    </w:p>
    <w:p w14:paraId="55151B98" w14:textId="77777777" w:rsidR="005F0E6D" w:rsidRDefault="005F0E6D" w:rsidP="00F326E5">
      <w:pPr>
        <w:pStyle w:val="NoSpacing"/>
        <w:rPr>
          <w:rFonts w:ascii="Arial Black" w:hAnsi="Arial Black"/>
          <w:sz w:val="28"/>
          <w:szCs w:val="28"/>
        </w:rPr>
      </w:pPr>
    </w:p>
    <w:p w14:paraId="5BD6C40F" w14:textId="130677F6" w:rsidR="005F0E6D" w:rsidRDefault="005F0E6D" w:rsidP="00F326E5">
      <w:pPr>
        <w:pStyle w:val="NoSpacing"/>
        <w:rPr>
          <w:rFonts w:ascii="Arial Black" w:hAnsi="Arial Black"/>
          <w:sz w:val="28"/>
          <w:szCs w:val="28"/>
        </w:rPr>
      </w:pPr>
      <w:r>
        <w:rPr>
          <w:rFonts w:ascii="Arial Black" w:hAnsi="Arial Black"/>
          <w:sz w:val="28"/>
          <w:szCs w:val="28"/>
        </w:rPr>
        <w:t>3-21</w:t>
      </w:r>
    </w:p>
    <w:p w14:paraId="66090080" w14:textId="026526EA" w:rsidR="005F0E6D" w:rsidRDefault="005F0E6D" w:rsidP="00F326E5">
      <w:pPr>
        <w:pStyle w:val="NoSpacing"/>
        <w:rPr>
          <w:rFonts w:ascii="Arial Black" w:hAnsi="Arial Black"/>
          <w:sz w:val="28"/>
          <w:szCs w:val="28"/>
        </w:rPr>
      </w:pPr>
    </w:p>
    <w:p w14:paraId="7A721792" w14:textId="77777777" w:rsidR="005F0E6D" w:rsidRPr="00817615" w:rsidRDefault="005F0E6D" w:rsidP="005F0E6D">
      <w:pPr>
        <w:pStyle w:val="NoSpacing"/>
        <w:rPr>
          <w:rFonts w:ascii="Arial Black" w:hAnsi="Arial Black"/>
          <w:b/>
          <w:bCs/>
          <w:sz w:val="28"/>
          <w:szCs w:val="28"/>
        </w:rPr>
      </w:pPr>
      <w:r>
        <w:rPr>
          <w:rFonts w:ascii="Arial Black" w:hAnsi="Arial Black"/>
          <w:bCs/>
          <w:sz w:val="28"/>
          <w:szCs w:val="28"/>
        </w:rPr>
        <w:t>MD: CIA / DOD – FORMER EMPLOYEES MUST HAVE “PRE-PUBLICATION REVIEWS” – LAWFUL, EVEN IF SLOW</w:t>
      </w:r>
    </w:p>
    <w:p w14:paraId="05FF4709" w14:textId="77777777" w:rsidR="005F0E6D" w:rsidRDefault="005F0E6D" w:rsidP="005F0E6D">
      <w:pPr>
        <w:pStyle w:val="NoSpacing"/>
        <w:ind w:left="720"/>
        <w:rPr>
          <w:b/>
          <w:bCs/>
          <w:sz w:val="24"/>
          <w:szCs w:val="24"/>
        </w:rPr>
      </w:pPr>
    </w:p>
    <w:p w14:paraId="2D54D5A6" w14:textId="77777777" w:rsidR="005F0E6D" w:rsidRPr="000A5D76" w:rsidRDefault="005F0E6D" w:rsidP="005F0E6D">
      <w:pPr>
        <w:pStyle w:val="NoSpacing"/>
        <w:rPr>
          <w:rStyle w:val="headertext"/>
          <w:rFonts w:ascii="Times New Roman" w:hAnsi="Times New Roman"/>
          <w:b/>
          <w:bCs/>
          <w:sz w:val="24"/>
          <w:szCs w:val="24"/>
        </w:rPr>
      </w:pPr>
      <w:r w:rsidRPr="000A5D76">
        <w:rPr>
          <w:rFonts w:ascii="Times New Roman" w:hAnsi="Times New Roman"/>
          <w:bCs/>
          <w:sz w:val="24"/>
          <w:szCs w:val="24"/>
        </w:rPr>
        <w:t xml:space="preserve">On April 15, 2020, in </w:t>
      </w:r>
      <w:r w:rsidRPr="000A5D76">
        <w:rPr>
          <w:rFonts w:ascii="Times New Roman" w:hAnsi="Times New Roman"/>
          <w:bCs/>
          <w:sz w:val="24"/>
          <w:szCs w:val="24"/>
          <w:u w:val="single"/>
        </w:rPr>
        <w:t>Timothy H. Edgar, et al. v. Daniel Coats, et al</w:t>
      </w:r>
      <w:r w:rsidRPr="000A5D76">
        <w:rPr>
          <w:rFonts w:ascii="Times New Roman" w:hAnsi="Times New Roman"/>
          <w:bCs/>
          <w:sz w:val="24"/>
          <w:szCs w:val="24"/>
        </w:rPr>
        <w:t xml:space="preserve">., U.S. District Court Judge George J. Hazel, in a 57-page decision, granted the U.S. Government’s motion to dismiss.  Each the five plaintiffs signed agency security agreements, requiring when the left government a prepublication review (“PRR”) of their books and other future publications.  They each complained that CIA and other agencies took too long to conduct the </w:t>
      </w:r>
      <w:proofErr w:type="gramStart"/>
      <w:r w:rsidRPr="000A5D76">
        <w:rPr>
          <w:rFonts w:ascii="Times New Roman" w:hAnsi="Times New Roman"/>
          <w:bCs/>
          <w:sz w:val="24"/>
          <w:szCs w:val="24"/>
        </w:rPr>
        <w:t>reviews, and</w:t>
      </w:r>
      <w:proofErr w:type="gramEnd"/>
      <w:r w:rsidRPr="000A5D76">
        <w:rPr>
          <w:rFonts w:ascii="Times New Roman" w:hAnsi="Times New Roman"/>
          <w:bCs/>
          <w:sz w:val="24"/>
          <w:szCs w:val="24"/>
        </w:rPr>
        <w:t xml:space="preserve"> deleted too much information that may have been embarrassing to the government but was not classified.   Judge Hazel followed the U.S. Supreme Court’s precedent in </w:t>
      </w:r>
      <w:proofErr w:type="spellStart"/>
      <w:r w:rsidRPr="000A5D76">
        <w:rPr>
          <w:rFonts w:ascii="Times New Roman" w:hAnsi="Times New Roman"/>
          <w:bCs/>
          <w:sz w:val="24"/>
          <w:szCs w:val="24"/>
          <w:u w:val="single"/>
        </w:rPr>
        <w:t>Snepp</w:t>
      </w:r>
      <w:proofErr w:type="spellEnd"/>
      <w:r w:rsidRPr="000A5D76">
        <w:rPr>
          <w:rFonts w:ascii="Times New Roman" w:hAnsi="Times New Roman"/>
          <w:bCs/>
          <w:sz w:val="24"/>
          <w:szCs w:val="24"/>
          <w:u w:val="single"/>
        </w:rPr>
        <w:t xml:space="preserve"> v. United States</w:t>
      </w:r>
      <w:r w:rsidRPr="000A5D76">
        <w:rPr>
          <w:rFonts w:ascii="Times New Roman" w:hAnsi="Times New Roman"/>
          <w:bCs/>
          <w:sz w:val="24"/>
          <w:szCs w:val="24"/>
        </w:rPr>
        <w:t xml:space="preserve">, 444 U.S. 507 (1980), where Frank Sneep, a former CIA analyst in Saigon wrote a book in 1977 about the fall of Saigon, “Decent Interval” without getting prior clearance, and was ordered to turn over all proceeds from the book. </w:t>
      </w:r>
    </w:p>
    <w:p w14:paraId="2A950FAE" w14:textId="77777777" w:rsidR="005F0E6D" w:rsidRPr="000A5D76" w:rsidRDefault="005F0E6D" w:rsidP="005F0E6D">
      <w:pPr>
        <w:pStyle w:val="NoSpacing"/>
        <w:ind w:left="720"/>
        <w:rPr>
          <w:rStyle w:val="headertext"/>
          <w:rFonts w:ascii="Times New Roman" w:hAnsi="Times New Roman"/>
          <w:b/>
          <w:bCs/>
          <w:sz w:val="24"/>
          <w:szCs w:val="24"/>
        </w:rPr>
      </w:pPr>
    </w:p>
    <w:p w14:paraId="33875FE7" w14:textId="77777777" w:rsidR="005F0E6D" w:rsidRPr="000A5D76" w:rsidRDefault="005F0E6D" w:rsidP="005F0E6D">
      <w:pPr>
        <w:pStyle w:val="NoSpacing"/>
        <w:ind w:left="720"/>
        <w:rPr>
          <w:rFonts w:ascii="Times New Roman" w:hAnsi="Times New Roman"/>
          <w:b/>
          <w:bCs/>
          <w:sz w:val="24"/>
          <w:szCs w:val="24"/>
          <w:vertAlign w:val="superscript"/>
        </w:rPr>
      </w:pPr>
      <w:r w:rsidRPr="000A5D76">
        <w:rPr>
          <w:rFonts w:ascii="Times New Roman" w:hAnsi="Times New Roman"/>
          <w:bCs/>
          <w:sz w:val="24"/>
          <w:szCs w:val="24"/>
        </w:rPr>
        <w:t xml:space="preserve">“While the allegations Plaintiffs have made about the inadequacies and breadth of the challenged PPR regimes do not appear inaccurate or implausible, </w:t>
      </w:r>
      <w:proofErr w:type="spellStart"/>
      <w:r w:rsidRPr="000A5D76">
        <w:rPr>
          <w:rFonts w:ascii="Times New Roman" w:hAnsi="Times New Roman"/>
          <w:bCs/>
          <w:i/>
          <w:iCs/>
          <w:sz w:val="24"/>
          <w:szCs w:val="24"/>
        </w:rPr>
        <w:t>Snepp</w:t>
      </w:r>
      <w:proofErr w:type="spellEnd"/>
      <w:r w:rsidRPr="000A5D76">
        <w:rPr>
          <w:rFonts w:ascii="Times New Roman" w:hAnsi="Times New Roman"/>
          <w:bCs/>
          <w:sz w:val="24"/>
          <w:szCs w:val="24"/>
        </w:rPr>
        <w:t xml:space="preserve"> remains the precedent governing the Court's evaluation of Plaintiffs' First Amendment claim, and Plaintiffs have failed to demonstrate that the regimes do not meet its low threshold of reasonableness. Accordingly, Plaintiffs' First Amendment claim will be dismissed.</w:t>
      </w:r>
      <w:r w:rsidRPr="000A5D76">
        <w:rPr>
          <w:rFonts w:ascii="Times New Roman" w:hAnsi="Times New Roman"/>
          <w:bCs/>
          <w:sz w:val="24"/>
          <w:szCs w:val="24"/>
          <w:vertAlign w:val="superscript"/>
        </w:rPr>
        <w:t>10</w:t>
      </w:r>
    </w:p>
    <w:p w14:paraId="6B76E4A7" w14:textId="77777777" w:rsidR="005F0E6D" w:rsidRPr="000A5D76" w:rsidRDefault="005F0E6D" w:rsidP="005F0E6D">
      <w:pPr>
        <w:pStyle w:val="NoSpacing"/>
        <w:ind w:left="720"/>
        <w:rPr>
          <w:rFonts w:ascii="Times New Roman" w:hAnsi="Times New Roman"/>
          <w:b/>
          <w:bCs/>
          <w:sz w:val="24"/>
          <w:szCs w:val="24"/>
        </w:rPr>
      </w:pPr>
      <w:bookmarkStart w:id="144" w:name="fr10"/>
      <w:r w:rsidRPr="000A5D76">
        <w:rPr>
          <w:rFonts w:ascii="Times New Roman" w:hAnsi="Times New Roman"/>
          <w:bCs/>
          <w:sz w:val="24"/>
          <w:szCs w:val="24"/>
        </w:rPr>
        <w:t xml:space="preserve">***   Footnote 10. </w:t>
      </w:r>
      <w:bookmarkEnd w:id="144"/>
      <w:r w:rsidRPr="000A5D76">
        <w:rPr>
          <w:rFonts w:ascii="Times New Roman" w:hAnsi="Times New Roman"/>
          <w:bCs/>
          <w:sz w:val="24"/>
          <w:szCs w:val="24"/>
        </w:rPr>
        <w:t xml:space="preserve">It also bears mention that the wholesale reforms to PPR that Plaintiffs seek to obtain from the Court in this claim strain at the limits of the judiciary's role, particularly given the national security context. See Egan, 484 U.S. at 530 (1988). Both that concern and the Court's inability to sidestep </w:t>
      </w:r>
      <w:proofErr w:type="spellStart"/>
      <w:r w:rsidRPr="000A5D76">
        <w:rPr>
          <w:rFonts w:ascii="Times New Roman" w:hAnsi="Times New Roman"/>
          <w:bCs/>
          <w:i/>
          <w:iCs/>
          <w:sz w:val="24"/>
          <w:szCs w:val="24"/>
        </w:rPr>
        <w:t>Snepp</w:t>
      </w:r>
      <w:proofErr w:type="spellEnd"/>
      <w:r w:rsidRPr="000A5D76">
        <w:rPr>
          <w:rFonts w:ascii="Times New Roman" w:hAnsi="Times New Roman"/>
          <w:bCs/>
          <w:i/>
          <w:iCs/>
          <w:sz w:val="24"/>
          <w:szCs w:val="24"/>
        </w:rPr>
        <w:t xml:space="preserve"> </w:t>
      </w:r>
      <w:r w:rsidRPr="000A5D76">
        <w:rPr>
          <w:rFonts w:ascii="Times New Roman" w:hAnsi="Times New Roman"/>
          <w:bCs/>
          <w:sz w:val="24"/>
          <w:szCs w:val="24"/>
        </w:rPr>
        <w:t xml:space="preserve">limit the force of arguments made in the amicus brief submitted by CERL, which describes how lengthy PPR delays chill contributions to public discourse by former officials and discourage national security experts from entering the government…. Whatever the merits of these assertions, they are more properly directed to the branches of government empowered to create and execute public policy rather than to simply evaluate its consistency with the Constitution.” </w:t>
      </w:r>
      <w:hyperlink r:id="rId818" w:history="1">
        <w:r w:rsidRPr="000A5D76">
          <w:rPr>
            <w:rStyle w:val="Hyperlink"/>
            <w:rFonts w:ascii="Times New Roman" w:hAnsi="Times New Roman"/>
            <w:b/>
            <w:sz w:val="24"/>
            <w:szCs w:val="24"/>
          </w:rPr>
          <w:t>https://public.fastcase.com/Wl%2B2t%2BeVuI35%2FN70vAMFZkKd%2BuUeGYT9r22oA9ty28Exj1jRAAAURPUljfVU2169</w:t>
        </w:r>
      </w:hyperlink>
      <w:r w:rsidRPr="000A5D76">
        <w:rPr>
          <w:rFonts w:ascii="Times New Roman" w:hAnsi="Times New Roman"/>
          <w:bCs/>
          <w:sz w:val="24"/>
          <w:szCs w:val="24"/>
        </w:rPr>
        <w:t xml:space="preserve"> </w:t>
      </w:r>
    </w:p>
    <w:p w14:paraId="1C489BE7" w14:textId="77777777" w:rsidR="005F0E6D" w:rsidRDefault="005F0E6D" w:rsidP="005F0E6D">
      <w:pPr>
        <w:pStyle w:val="NoSpacing"/>
        <w:rPr>
          <w:rFonts w:ascii="Times New Roman" w:hAnsi="Times New Roman"/>
          <w:b/>
          <w:bCs/>
          <w:sz w:val="24"/>
          <w:szCs w:val="24"/>
        </w:rPr>
      </w:pPr>
    </w:p>
    <w:p w14:paraId="01F9C96A" w14:textId="52297A60" w:rsidR="005F0E6D" w:rsidRPr="000A5D76" w:rsidRDefault="005F0E6D" w:rsidP="005F0E6D">
      <w:pPr>
        <w:pStyle w:val="NoSpacing"/>
        <w:rPr>
          <w:rFonts w:ascii="Times New Roman" w:hAnsi="Times New Roman"/>
          <w:b/>
          <w:bCs/>
          <w:sz w:val="24"/>
          <w:szCs w:val="24"/>
        </w:rPr>
      </w:pPr>
      <w:r w:rsidRPr="000A5D76">
        <w:rPr>
          <w:rFonts w:ascii="Times New Roman" w:hAnsi="Times New Roman"/>
          <w:b/>
          <w:bCs/>
          <w:sz w:val="24"/>
          <w:szCs w:val="24"/>
        </w:rPr>
        <w:t xml:space="preserve">Legal Lessons Learned:  Prepublication reviews are enforceable. per U.S. Supreme Court’s decision in in </w:t>
      </w:r>
      <w:proofErr w:type="spellStart"/>
      <w:r w:rsidRPr="000A5D76">
        <w:rPr>
          <w:rFonts w:ascii="Times New Roman" w:hAnsi="Times New Roman"/>
          <w:b/>
          <w:bCs/>
          <w:sz w:val="24"/>
          <w:szCs w:val="24"/>
          <w:u w:val="single"/>
        </w:rPr>
        <w:t>Snepp</w:t>
      </w:r>
      <w:proofErr w:type="spellEnd"/>
      <w:r w:rsidRPr="000A5D76">
        <w:rPr>
          <w:rFonts w:ascii="Times New Roman" w:hAnsi="Times New Roman"/>
          <w:b/>
          <w:bCs/>
          <w:sz w:val="24"/>
          <w:szCs w:val="24"/>
          <w:u w:val="single"/>
        </w:rPr>
        <w:t xml:space="preserve"> v. United States</w:t>
      </w:r>
      <w:r w:rsidRPr="000A5D76">
        <w:rPr>
          <w:rFonts w:ascii="Times New Roman" w:hAnsi="Times New Roman"/>
          <w:b/>
          <w:bCs/>
          <w:sz w:val="24"/>
          <w:szCs w:val="24"/>
        </w:rPr>
        <w:t xml:space="preserve">, 444 U.S. 507 (1980). </w:t>
      </w:r>
    </w:p>
    <w:p w14:paraId="66B08EFE" w14:textId="77777777" w:rsidR="005F0E6D" w:rsidRPr="000A5D76" w:rsidRDefault="005F0E6D" w:rsidP="005F0E6D">
      <w:pPr>
        <w:pStyle w:val="NoSpacing"/>
        <w:ind w:left="720"/>
        <w:rPr>
          <w:rFonts w:ascii="Times New Roman" w:hAnsi="Times New Roman"/>
          <w:b/>
          <w:bCs/>
          <w:sz w:val="24"/>
          <w:szCs w:val="24"/>
        </w:rPr>
      </w:pPr>
    </w:p>
    <w:p w14:paraId="1E6A9BEA" w14:textId="77777777" w:rsidR="005F0E6D" w:rsidRPr="000A5D76" w:rsidRDefault="005F0E6D" w:rsidP="005F0E6D">
      <w:pPr>
        <w:pStyle w:val="NoSpacing"/>
        <w:ind w:left="720"/>
        <w:rPr>
          <w:rFonts w:ascii="Times New Roman" w:hAnsi="Times New Roman"/>
          <w:sz w:val="24"/>
          <w:szCs w:val="24"/>
        </w:rPr>
      </w:pPr>
      <w:r w:rsidRPr="000A5D76">
        <w:rPr>
          <w:rFonts w:ascii="Times New Roman" w:hAnsi="Times New Roman"/>
          <w:bCs/>
          <w:sz w:val="24"/>
          <w:szCs w:val="24"/>
        </w:rPr>
        <w:t>Note:</w:t>
      </w:r>
      <w:r w:rsidRPr="000A5D76">
        <w:rPr>
          <w:rFonts w:ascii="Times New Roman" w:hAnsi="Times New Roman"/>
          <w:sz w:val="24"/>
          <w:szCs w:val="24"/>
        </w:rPr>
        <w:t xml:space="preserve"> </w:t>
      </w:r>
      <w:r w:rsidRPr="000A5D76">
        <w:rPr>
          <w:rFonts w:ascii="Times New Roman" w:hAnsi="Times New Roman"/>
          <w:bCs/>
          <w:sz w:val="24"/>
          <w:szCs w:val="24"/>
        </w:rPr>
        <w:t>When Frank Snepp was sued, he had already received about $60,000 in advance payments from his publisher.  The U.S. Supreme Court held (6 to 3), “</w:t>
      </w:r>
      <w:r w:rsidRPr="000A5D76">
        <w:rPr>
          <w:rStyle w:val="headertext"/>
          <w:rFonts w:ascii="Times New Roman" w:hAnsi="Times New Roman"/>
          <w:bCs/>
          <w:sz w:val="24"/>
          <w:szCs w:val="24"/>
        </w:rPr>
        <w:t xml:space="preserve">We agree with the Court of Appeals that </w:t>
      </w:r>
      <w:proofErr w:type="spellStart"/>
      <w:r w:rsidRPr="000A5D76">
        <w:rPr>
          <w:rStyle w:val="headertext"/>
          <w:rFonts w:ascii="Times New Roman" w:hAnsi="Times New Roman"/>
          <w:bCs/>
          <w:sz w:val="24"/>
          <w:szCs w:val="24"/>
        </w:rPr>
        <w:t>Snepp's</w:t>
      </w:r>
      <w:proofErr w:type="spellEnd"/>
      <w:r w:rsidRPr="000A5D76">
        <w:rPr>
          <w:rStyle w:val="headertext"/>
          <w:rFonts w:ascii="Times New Roman" w:hAnsi="Times New Roman"/>
          <w:bCs/>
          <w:sz w:val="24"/>
          <w:szCs w:val="24"/>
        </w:rPr>
        <w:t xml:space="preserve"> agreement is an ‘entirely appropriate’ exercise of the CIA Director's statutory mandate to ‘</w:t>
      </w:r>
      <w:proofErr w:type="spellStart"/>
      <w:r w:rsidRPr="000A5D76">
        <w:rPr>
          <w:rStyle w:val="headertext"/>
          <w:rFonts w:ascii="Times New Roman" w:hAnsi="Times New Roman"/>
          <w:bCs/>
          <w:sz w:val="24"/>
          <w:szCs w:val="24"/>
        </w:rPr>
        <w:t>protec</w:t>
      </w:r>
      <w:proofErr w:type="spellEnd"/>
      <w:r w:rsidRPr="000A5D76">
        <w:rPr>
          <w:rStyle w:val="headertext"/>
          <w:rFonts w:ascii="Times New Roman" w:hAnsi="Times New Roman"/>
          <w:bCs/>
          <w:sz w:val="24"/>
          <w:szCs w:val="24"/>
        </w:rPr>
        <w:t xml:space="preserve">[t] intelligence sources and methods from unauthorized disclosure,’ 50 U.S.C. § 403(d)(3). 595 F.2d at 932.” </w:t>
      </w:r>
      <w:hyperlink r:id="rId819" w:anchor="tab-opinion-1953393" w:history="1">
        <w:r w:rsidRPr="000A5D76">
          <w:rPr>
            <w:rStyle w:val="Hyperlink"/>
            <w:rFonts w:ascii="Times New Roman" w:hAnsi="Times New Roman"/>
            <w:sz w:val="24"/>
            <w:szCs w:val="24"/>
          </w:rPr>
          <w:t>https://supreme.justia.com/cases/federal/us/444/507/#tab-opinion-1953393</w:t>
        </w:r>
      </w:hyperlink>
      <w:r w:rsidRPr="000A5D76">
        <w:rPr>
          <w:rFonts w:ascii="Times New Roman" w:hAnsi="Times New Roman"/>
          <w:sz w:val="24"/>
          <w:szCs w:val="24"/>
        </w:rPr>
        <w:t xml:space="preserve"> </w:t>
      </w:r>
    </w:p>
    <w:p w14:paraId="7AEC313A" w14:textId="77777777" w:rsidR="005F0E6D" w:rsidRPr="000A5D76" w:rsidRDefault="005F0E6D" w:rsidP="005F0E6D">
      <w:pPr>
        <w:spacing w:before="100" w:beforeAutospacing="1" w:after="100" w:afterAutospacing="1" w:line="240" w:lineRule="auto"/>
        <w:jc w:val="center"/>
        <w:rPr>
          <w:rFonts w:ascii="Times New Roman" w:eastAsia="Times New Roman" w:hAnsi="Times New Roman"/>
          <w:b/>
          <w:bCs/>
          <w:sz w:val="24"/>
          <w:szCs w:val="24"/>
        </w:rPr>
      </w:pPr>
    </w:p>
    <w:p w14:paraId="7D928E82" w14:textId="77777777" w:rsidR="005F0E6D" w:rsidRDefault="005F0E6D" w:rsidP="00F326E5">
      <w:pPr>
        <w:pStyle w:val="NoSpacing"/>
        <w:rPr>
          <w:rFonts w:ascii="Arial Black" w:hAnsi="Arial Black"/>
          <w:sz w:val="28"/>
          <w:szCs w:val="28"/>
        </w:rPr>
      </w:pPr>
    </w:p>
    <w:p w14:paraId="16C2BD59" w14:textId="77777777" w:rsidR="005F0E6D" w:rsidRDefault="005F0E6D" w:rsidP="00F326E5">
      <w:pPr>
        <w:pStyle w:val="NoSpacing"/>
        <w:rPr>
          <w:rFonts w:ascii="Arial Black" w:hAnsi="Arial Black"/>
          <w:sz w:val="28"/>
          <w:szCs w:val="28"/>
        </w:rPr>
      </w:pPr>
    </w:p>
    <w:p w14:paraId="77E246D1" w14:textId="77777777" w:rsidR="005F0E6D" w:rsidRDefault="005F0E6D" w:rsidP="00F326E5">
      <w:pPr>
        <w:pStyle w:val="NoSpacing"/>
        <w:rPr>
          <w:rFonts w:ascii="Arial Black" w:hAnsi="Arial Black"/>
          <w:sz w:val="28"/>
          <w:szCs w:val="28"/>
        </w:rPr>
      </w:pPr>
    </w:p>
    <w:p w14:paraId="48E89B53" w14:textId="47E6AF5C" w:rsidR="005F0E6D" w:rsidRDefault="005F0E6D" w:rsidP="00F326E5">
      <w:pPr>
        <w:pStyle w:val="NoSpacing"/>
        <w:rPr>
          <w:rFonts w:ascii="Arial Black" w:hAnsi="Arial Black"/>
          <w:sz w:val="28"/>
          <w:szCs w:val="28"/>
        </w:rPr>
      </w:pPr>
      <w:r>
        <w:rPr>
          <w:rFonts w:ascii="Arial Black" w:hAnsi="Arial Black"/>
          <w:sz w:val="28"/>
          <w:szCs w:val="28"/>
        </w:rPr>
        <w:t>3-20</w:t>
      </w:r>
    </w:p>
    <w:p w14:paraId="78FF3ECA" w14:textId="77777777" w:rsidR="00823634" w:rsidRDefault="00823634" w:rsidP="005F0E6D">
      <w:pPr>
        <w:pStyle w:val="NoSpacing"/>
        <w:rPr>
          <w:rFonts w:ascii="Arial Black" w:hAnsi="Arial Black"/>
          <w:sz w:val="28"/>
          <w:szCs w:val="28"/>
        </w:rPr>
      </w:pPr>
    </w:p>
    <w:p w14:paraId="1FA5F140" w14:textId="64785FC7" w:rsidR="005F0E6D" w:rsidRPr="00B2674B" w:rsidRDefault="005F0E6D" w:rsidP="005F0E6D">
      <w:pPr>
        <w:pStyle w:val="NoSpacing"/>
        <w:rPr>
          <w:rFonts w:ascii="Arial Black" w:hAnsi="Arial Black"/>
          <w:b/>
          <w:bCs/>
          <w:sz w:val="28"/>
          <w:szCs w:val="28"/>
        </w:rPr>
      </w:pPr>
      <w:bookmarkStart w:id="145" w:name="_Hlk66942614"/>
      <w:r w:rsidRPr="00E9037E">
        <w:rPr>
          <w:rFonts w:ascii="Arial Black" w:hAnsi="Arial Black"/>
          <w:sz w:val="28"/>
          <w:szCs w:val="28"/>
        </w:rPr>
        <w:t>FL</w:t>
      </w:r>
      <w:r>
        <w:rPr>
          <w:rFonts w:ascii="Arial Black" w:hAnsi="Arial Black"/>
          <w:bCs/>
          <w:sz w:val="28"/>
          <w:szCs w:val="28"/>
        </w:rPr>
        <w:t xml:space="preserve">: ACTIVE SHOOTER - PULSE NIGHTCLUB – 49 KILLED, 53 INJURED – CAN’T SUE THE SECURITY GUARD COMPANY WHERE HE WORKED </w:t>
      </w:r>
    </w:p>
    <w:p w14:paraId="7AF91925" w14:textId="1153C1EC" w:rsidR="00587311" w:rsidRPr="00823634" w:rsidRDefault="005F0E6D" w:rsidP="00881475">
      <w:pPr>
        <w:pStyle w:val="Heading1"/>
        <w:rPr>
          <w:b w:val="0"/>
          <w:bCs w:val="0"/>
          <w:sz w:val="24"/>
          <w:szCs w:val="24"/>
        </w:rPr>
      </w:pPr>
      <w:r w:rsidRPr="000A5D76">
        <w:rPr>
          <w:b w:val="0"/>
          <w:bCs w:val="0"/>
          <w:sz w:val="24"/>
          <w:szCs w:val="24"/>
        </w:rPr>
        <w:t xml:space="preserve">On </w:t>
      </w:r>
      <w:bookmarkStart w:id="146" w:name="_Hlk39823138"/>
      <w:r w:rsidRPr="000A5D76">
        <w:rPr>
          <w:b w:val="0"/>
          <w:bCs w:val="0"/>
          <w:sz w:val="24"/>
          <w:szCs w:val="24"/>
        </w:rPr>
        <w:t xml:space="preserve">April 1, 2020, in </w:t>
      </w:r>
      <w:r w:rsidRPr="000A5D76">
        <w:rPr>
          <w:b w:val="0"/>
          <w:bCs w:val="0"/>
          <w:sz w:val="24"/>
          <w:szCs w:val="24"/>
          <w:u w:val="single"/>
        </w:rPr>
        <w:t>Asael Abrad, et al. v. G4S Secure Solution (USA), Inc.</w:t>
      </w:r>
      <w:r w:rsidRPr="000A5D76">
        <w:rPr>
          <w:b w:val="0"/>
          <w:bCs w:val="0"/>
          <w:sz w:val="24"/>
          <w:szCs w:val="24"/>
        </w:rPr>
        <w:t xml:space="preserve">, </w:t>
      </w:r>
      <w:bookmarkEnd w:id="146"/>
      <w:r w:rsidRPr="000A5D76">
        <w:rPr>
          <w:b w:val="0"/>
          <w:bCs w:val="0"/>
          <w:sz w:val="24"/>
          <w:szCs w:val="24"/>
        </w:rPr>
        <w:t xml:space="preserve">the District Court of Appeal of Florida (Fourth District), held (3 to 0) that the trial court properly granted the security company’s motion to dismiss; the shooter worked for the security company for 10 years, and plaintiffs alleged that the company knew he expressed a desire to commit acts of mass murder against members of the general public, particularly against members of the lesbian, gay, bisexual and transgender community.  The lawsuit was dismissed since plaintiffs did not “sufficiently allege a legal duty owed by G4S.” </w:t>
      </w:r>
      <w:r w:rsidR="00587311">
        <w:rPr>
          <w:b w:val="0"/>
          <w:bCs w:val="0"/>
          <w:sz w:val="24"/>
          <w:szCs w:val="24"/>
        </w:rPr>
        <w:t xml:space="preserve"> </w:t>
      </w:r>
      <w:hyperlink r:id="rId820" w:history="1">
        <w:r w:rsidR="00587311" w:rsidRPr="00823634">
          <w:rPr>
            <w:rStyle w:val="Hyperlink"/>
            <w:sz w:val="24"/>
            <w:szCs w:val="24"/>
          </w:rPr>
          <w:t>https://www.courthousenews.com/wp-content/uploads/2020/04/G4S.pdf</w:t>
        </w:r>
      </w:hyperlink>
      <w:r w:rsidR="00587311" w:rsidRPr="00823634">
        <w:rPr>
          <w:sz w:val="24"/>
          <w:szCs w:val="24"/>
        </w:rPr>
        <w:t xml:space="preserve"> </w:t>
      </w:r>
    </w:p>
    <w:p w14:paraId="182DC31B" w14:textId="77777777" w:rsidR="00587311" w:rsidRPr="000A5D76" w:rsidRDefault="00587311" w:rsidP="005F0E6D">
      <w:pPr>
        <w:pStyle w:val="Heading1"/>
        <w:rPr>
          <w:b w:val="0"/>
          <w:bCs w:val="0"/>
          <w:sz w:val="24"/>
          <w:szCs w:val="24"/>
        </w:rPr>
      </w:pPr>
    </w:p>
    <w:bookmarkEnd w:id="145"/>
    <w:p w14:paraId="75AE0834" w14:textId="7BDDB217" w:rsidR="005F0E6D" w:rsidRDefault="005F0E6D" w:rsidP="005F0E6D">
      <w:pPr>
        <w:pStyle w:val="NoSpacing"/>
        <w:ind w:left="720"/>
        <w:rPr>
          <w:rFonts w:ascii="Times New Roman" w:hAnsi="Times New Roman"/>
          <w:bCs/>
          <w:sz w:val="24"/>
          <w:szCs w:val="24"/>
        </w:rPr>
      </w:pPr>
      <w:r w:rsidRPr="000A5D76">
        <w:rPr>
          <w:rFonts w:ascii="Times New Roman" w:hAnsi="Times New Roman"/>
          <w:bCs/>
          <w:sz w:val="24"/>
          <w:szCs w:val="24"/>
        </w:rPr>
        <w:t xml:space="preserve">“Appellants also concede that Mateen did not use weapons owned or controlled by G4S, but instead, weapons purchased by him on his private time. Appellants’ argument that by fraudulently assisting Mateen in obtaining a Class G license—which in turn was helpful in purchasing the weapons used—is legally irrelevant…. Finally, Appellants’ duty arguments fail for one more important reason: Appellants fail to provide any sort of limitation on the legal duty they seek to impose. Failing to provide any sort of boundary for the employer would have severe public policy implications. As both G4S and the trial court noted, Appellants’ failure to provide any sort of spatial or temporal limits in the articulation of their concept of duty would essentially result in G4S </w:t>
      </w:r>
      <w:proofErr w:type="gramStart"/>
      <w:r w:rsidRPr="000A5D76">
        <w:rPr>
          <w:rFonts w:ascii="Times New Roman" w:hAnsi="Times New Roman"/>
          <w:bCs/>
          <w:sz w:val="24"/>
          <w:szCs w:val="24"/>
        </w:rPr>
        <w:t>being strictly liable and an absolute guarantor of Mateen’s behavior while off duty at all times</w:t>
      </w:r>
      <w:proofErr w:type="gramEnd"/>
      <w:r w:rsidRPr="000A5D76">
        <w:rPr>
          <w:rFonts w:ascii="Times New Roman" w:hAnsi="Times New Roman"/>
          <w:bCs/>
          <w:sz w:val="24"/>
          <w:szCs w:val="24"/>
        </w:rPr>
        <w:t xml:space="preserve">. See Garcia v. Duffy, 492 So. 2d 435, 439 (Fla. 2d DCA 1986) (‘Once liability began to be imposed on employers for acts of their employees outside the scope of employment, the courts were faced with the necessity of finding some rational basis for limiting the boundaries of that liability; otherwise, an employer would be an absolute guarantor and strictly liable for any acts committed by his employee against </w:t>
      </w:r>
    </w:p>
    <w:p w14:paraId="307DAEC0" w14:textId="77777777" w:rsidR="005F0E6D" w:rsidRPr="000A5D76" w:rsidRDefault="005F0E6D" w:rsidP="005F0E6D">
      <w:pPr>
        <w:pStyle w:val="NoSpacing"/>
        <w:ind w:left="720"/>
        <w:rPr>
          <w:rFonts w:ascii="Times New Roman" w:hAnsi="Times New Roman"/>
          <w:b/>
          <w:bCs/>
          <w:sz w:val="24"/>
          <w:szCs w:val="24"/>
        </w:rPr>
      </w:pPr>
      <w:r w:rsidRPr="000A5D76">
        <w:rPr>
          <w:rFonts w:ascii="Times New Roman" w:hAnsi="Times New Roman"/>
          <w:bCs/>
          <w:sz w:val="24"/>
          <w:szCs w:val="24"/>
        </w:rPr>
        <w:t xml:space="preserve">any person under any circumstances. Such unrestricted liability would be an intolerable and unfair burden on employers.’). </w:t>
      </w:r>
    </w:p>
    <w:bookmarkStart w:id="147" w:name="_Hlk39823157"/>
    <w:bookmarkStart w:id="148" w:name="_Hlk66942680"/>
    <w:p w14:paraId="60A5B8F7" w14:textId="77777777" w:rsidR="005F0E6D" w:rsidRPr="00823634" w:rsidRDefault="00F2621E" w:rsidP="005F0E6D">
      <w:pPr>
        <w:pStyle w:val="NoSpacing"/>
        <w:ind w:left="720"/>
        <w:rPr>
          <w:rFonts w:ascii="Times New Roman" w:hAnsi="Times New Roman"/>
          <w:b/>
          <w:bCs/>
          <w:sz w:val="24"/>
          <w:szCs w:val="24"/>
        </w:rPr>
      </w:pPr>
      <w:r w:rsidRPr="00823634">
        <w:fldChar w:fldCharType="begin"/>
      </w:r>
      <w:r w:rsidRPr="00823634">
        <w:rPr>
          <w:rFonts w:ascii="Times New Roman" w:hAnsi="Times New Roman"/>
          <w:sz w:val="24"/>
          <w:szCs w:val="24"/>
        </w:rPr>
        <w:instrText xml:space="preserve"> HYPERLINK "https://www.courthousenews.com/wp-content/uploads/2020/04/G4S.pdf" </w:instrText>
      </w:r>
      <w:r w:rsidRPr="00823634">
        <w:fldChar w:fldCharType="separate"/>
      </w:r>
      <w:r w:rsidR="005F0E6D" w:rsidRPr="00823634">
        <w:rPr>
          <w:rStyle w:val="Hyperlink"/>
          <w:rFonts w:ascii="Times New Roman" w:hAnsi="Times New Roman"/>
          <w:b/>
          <w:sz w:val="24"/>
          <w:szCs w:val="24"/>
        </w:rPr>
        <w:t>https://www.courthousenews.com/wp-content/uploads/2020/04/G4S.pdf</w:t>
      </w:r>
      <w:r w:rsidRPr="00823634">
        <w:rPr>
          <w:rStyle w:val="Hyperlink"/>
          <w:rFonts w:ascii="Times New Roman" w:hAnsi="Times New Roman"/>
          <w:b/>
          <w:sz w:val="24"/>
          <w:szCs w:val="24"/>
        </w:rPr>
        <w:fldChar w:fldCharType="end"/>
      </w:r>
      <w:r w:rsidR="005F0E6D" w:rsidRPr="00823634">
        <w:rPr>
          <w:rFonts w:ascii="Times New Roman" w:hAnsi="Times New Roman"/>
          <w:bCs/>
          <w:sz w:val="24"/>
          <w:szCs w:val="24"/>
        </w:rPr>
        <w:t xml:space="preserve"> </w:t>
      </w:r>
    </w:p>
    <w:p w14:paraId="1AC7BF9D" w14:textId="77777777" w:rsidR="005F0E6D" w:rsidRPr="000A5D76" w:rsidRDefault="005F0E6D" w:rsidP="005F0E6D">
      <w:pPr>
        <w:pStyle w:val="Heading1"/>
        <w:rPr>
          <w:sz w:val="24"/>
          <w:szCs w:val="24"/>
        </w:rPr>
      </w:pPr>
      <w:bookmarkStart w:id="149" w:name="_Hlk40509204"/>
      <w:bookmarkEnd w:id="147"/>
      <w:r w:rsidRPr="000A5D76">
        <w:rPr>
          <w:sz w:val="24"/>
          <w:szCs w:val="24"/>
        </w:rPr>
        <w:lastRenderedPageBreak/>
        <w:t>Legal Lessons Learned: Tragic event, but very difficult to hold employer liable for off-duty conduct of shooter.</w:t>
      </w:r>
    </w:p>
    <w:bookmarkEnd w:id="148"/>
    <w:bookmarkEnd w:id="149"/>
    <w:p w14:paraId="5082EE61" w14:textId="77777777" w:rsidR="005F0E6D" w:rsidRDefault="005F0E6D" w:rsidP="00F326E5">
      <w:pPr>
        <w:pStyle w:val="NoSpacing"/>
        <w:rPr>
          <w:rFonts w:ascii="Arial Black" w:hAnsi="Arial Black"/>
          <w:sz w:val="28"/>
          <w:szCs w:val="28"/>
        </w:rPr>
      </w:pPr>
    </w:p>
    <w:p w14:paraId="76FE2885" w14:textId="77777777" w:rsidR="005F0E6D" w:rsidRDefault="005F0E6D" w:rsidP="00F326E5">
      <w:pPr>
        <w:pStyle w:val="NoSpacing"/>
        <w:rPr>
          <w:rFonts w:ascii="Arial Black" w:hAnsi="Arial Black"/>
          <w:sz w:val="28"/>
          <w:szCs w:val="28"/>
        </w:rPr>
      </w:pPr>
    </w:p>
    <w:p w14:paraId="5CDDCB1E" w14:textId="49FFD794" w:rsidR="00663160" w:rsidRDefault="00663160" w:rsidP="00F326E5">
      <w:pPr>
        <w:pStyle w:val="NoSpacing"/>
        <w:rPr>
          <w:rFonts w:ascii="Arial Black" w:hAnsi="Arial Black"/>
          <w:sz w:val="28"/>
          <w:szCs w:val="28"/>
        </w:rPr>
      </w:pPr>
      <w:r>
        <w:rPr>
          <w:rFonts w:ascii="Arial Black" w:hAnsi="Arial Black"/>
          <w:sz w:val="28"/>
          <w:szCs w:val="28"/>
        </w:rPr>
        <w:t>3-19</w:t>
      </w:r>
    </w:p>
    <w:p w14:paraId="1F7D701C" w14:textId="2A42A1B6" w:rsidR="00663160" w:rsidRDefault="00663160" w:rsidP="00F326E5">
      <w:pPr>
        <w:pStyle w:val="NoSpacing"/>
        <w:rPr>
          <w:rFonts w:ascii="Arial Black" w:hAnsi="Arial Black"/>
          <w:sz w:val="28"/>
          <w:szCs w:val="28"/>
        </w:rPr>
      </w:pPr>
    </w:p>
    <w:p w14:paraId="29F24EA5" w14:textId="77777777" w:rsidR="00663160" w:rsidRPr="00D31CF5" w:rsidRDefault="00663160" w:rsidP="00663160">
      <w:pPr>
        <w:pStyle w:val="NoSpacing"/>
        <w:rPr>
          <w:rFonts w:ascii="Arial Black" w:hAnsi="Arial Black"/>
          <w:sz w:val="28"/>
          <w:szCs w:val="28"/>
        </w:rPr>
      </w:pPr>
      <w:r w:rsidRPr="00D31CF5">
        <w:rPr>
          <w:rFonts w:ascii="Arial Black" w:hAnsi="Arial Black"/>
          <w:sz w:val="28"/>
          <w:szCs w:val="28"/>
        </w:rPr>
        <w:t>CA:</w:t>
      </w:r>
      <w:r>
        <w:rPr>
          <w:rFonts w:ascii="Arial Black" w:hAnsi="Arial Black"/>
          <w:sz w:val="28"/>
          <w:szCs w:val="28"/>
        </w:rPr>
        <w:t xml:space="preserve"> ILLEGAL IMMIGRANTS CROSSING US BORDER - SENT BACK TO MEXICO – INJUNCTION AGAINST FED. PROGRAM UPHELD BY 9</w:t>
      </w:r>
      <w:r w:rsidRPr="00EB465E">
        <w:rPr>
          <w:rFonts w:ascii="Arial Black" w:hAnsi="Arial Black"/>
          <w:sz w:val="28"/>
          <w:szCs w:val="28"/>
          <w:vertAlign w:val="superscript"/>
        </w:rPr>
        <w:t>th</w:t>
      </w:r>
      <w:r>
        <w:rPr>
          <w:rFonts w:ascii="Arial Black" w:hAnsi="Arial Black"/>
          <w:sz w:val="28"/>
          <w:szCs w:val="28"/>
        </w:rPr>
        <w:t xml:space="preserve"> CIR. </w:t>
      </w:r>
    </w:p>
    <w:p w14:paraId="4FBFD241" w14:textId="77777777" w:rsidR="00663160" w:rsidRDefault="00663160" w:rsidP="00663160">
      <w:pPr>
        <w:spacing w:after="0" w:line="240" w:lineRule="auto"/>
        <w:rPr>
          <w:sz w:val="30"/>
          <w:szCs w:val="30"/>
        </w:rPr>
      </w:pPr>
    </w:p>
    <w:p w14:paraId="0CF1D7F1" w14:textId="77777777" w:rsidR="00663160" w:rsidRPr="00465FB3" w:rsidRDefault="00663160" w:rsidP="00663160">
      <w:pPr>
        <w:spacing w:after="0" w:line="240" w:lineRule="auto"/>
        <w:rPr>
          <w:rFonts w:ascii="Times New Roman" w:hAnsi="Times New Roman"/>
          <w:sz w:val="24"/>
          <w:szCs w:val="24"/>
        </w:rPr>
      </w:pPr>
      <w:r w:rsidRPr="00465FB3">
        <w:rPr>
          <w:rFonts w:ascii="Times New Roman" w:hAnsi="Times New Roman"/>
          <w:sz w:val="24"/>
          <w:szCs w:val="24"/>
        </w:rPr>
        <w:t xml:space="preserve">On Feb. 28, 2020, in </w:t>
      </w:r>
      <w:r w:rsidRPr="00465FB3">
        <w:rPr>
          <w:rFonts w:ascii="Times New Roman" w:hAnsi="Times New Roman"/>
          <w:sz w:val="24"/>
          <w:szCs w:val="24"/>
          <w:u w:val="single"/>
        </w:rPr>
        <w:t>Innovation Law Lab v. Chad Wolf, Acting Secretary of Homeland Security</w:t>
      </w:r>
      <w:r w:rsidRPr="00465FB3">
        <w:rPr>
          <w:rFonts w:ascii="Times New Roman" w:hAnsi="Times New Roman"/>
          <w:sz w:val="24"/>
          <w:szCs w:val="24"/>
        </w:rPr>
        <w:t>, the U.S. Court of Appeals for the 9</w:t>
      </w:r>
      <w:r w:rsidRPr="00465FB3">
        <w:rPr>
          <w:rFonts w:ascii="Times New Roman" w:hAnsi="Times New Roman"/>
          <w:sz w:val="24"/>
          <w:szCs w:val="24"/>
          <w:vertAlign w:val="superscript"/>
        </w:rPr>
        <w:t>th</w:t>
      </w:r>
      <w:r w:rsidRPr="00465FB3">
        <w:rPr>
          <w:rFonts w:ascii="Times New Roman" w:hAnsi="Times New Roman"/>
          <w:sz w:val="24"/>
          <w:szCs w:val="24"/>
        </w:rPr>
        <w:t xml:space="preserve"> Circuit (San Francisco) held (2 to 1) that the nationwide preliminary injunction issued by a U.S. District Court judge, against the Federal Government’s new Migrant Protection Protocols (“MPP”), will remain in place. </w:t>
      </w:r>
    </w:p>
    <w:p w14:paraId="34F5E13D" w14:textId="77777777" w:rsidR="00663160" w:rsidRPr="00465FB3" w:rsidRDefault="00663160" w:rsidP="00663160">
      <w:pPr>
        <w:spacing w:after="0" w:line="240" w:lineRule="auto"/>
        <w:rPr>
          <w:rFonts w:ascii="Times New Roman" w:hAnsi="Times New Roman"/>
          <w:sz w:val="24"/>
          <w:szCs w:val="24"/>
        </w:rPr>
      </w:pPr>
    </w:p>
    <w:p w14:paraId="57CEACD6" w14:textId="77777777" w:rsidR="00663160" w:rsidRPr="00465FB3" w:rsidRDefault="00663160" w:rsidP="00663160">
      <w:pPr>
        <w:spacing w:after="0" w:line="240" w:lineRule="auto"/>
        <w:ind w:left="720"/>
        <w:rPr>
          <w:rFonts w:ascii="Times New Roman" w:hAnsi="Times New Roman"/>
          <w:sz w:val="24"/>
          <w:szCs w:val="24"/>
        </w:rPr>
      </w:pPr>
      <w:r w:rsidRPr="00465FB3">
        <w:rPr>
          <w:rFonts w:ascii="Times New Roman" w:hAnsi="Times New Roman"/>
          <w:sz w:val="24"/>
          <w:szCs w:val="24"/>
        </w:rPr>
        <w:t xml:space="preserve">“The MPP has had serious adverse consequences for the individual plaintiffs. Plaintiffs presented evidence in the district court that they, as well as others returned to Mexico under the MPP, face targeted discrimination, physical violence, sexual assault, overwhelmed and corrupt law enforcement, lack of food and shelter, and practical obstacles to participation in court proceedings in the United States. The hardship and danger to individuals returned to Mexico under the MPP have been repeatedly confirmed by reliable news reports.” </w:t>
      </w:r>
      <w:hyperlink r:id="rId821" w:history="1">
        <w:r w:rsidRPr="00465FB3">
          <w:rPr>
            <w:rStyle w:val="Hyperlink"/>
            <w:rFonts w:ascii="Times New Roman" w:hAnsi="Times New Roman"/>
            <w:sz w:val="24"/>
            <w:szCs w:val="24"/>
          </w:rPr>
          <w:t>https://cdn.ca9.uscourts.gov/datastore/opinions/2020/02/28/19-15716.pdf</w:t>
        </w:r>
      </w:hyperlink>
      <w:r w:rsidRPr="00465FB3">
        <w:rPr>
          <w:rFonts w:ascii="Times New Roman" w:hAnsi="Times New Roman"/>
          <w:sz w:val="24"/>
          <w:szCs w:val="24"/>
        </w:rPr>
        <w:t xml:space="preserve"> </w:t>
      </w:r>
    </w:p>
    <w:p w14:paraId="2EC9791E" w14:textId="77777777" w:rsidR="00663160" w:rsidRPr="00465FB3" w:rsidRDefault="00663160" w:rsidP="00663160">
      <w:pPr>
        <w:spacing w:after="0" w:line="240" w:lineRule="auto"/>
        <w:rPr>
          <w:rFonts w:ascii="Times New Roman" w:hAnsi="Times New Roman"/>
          <w:sz w:val="24"/>
          <w:szCs w:val="24"/>
        </w:rPr>
      </w:pPr>
    </w:p>
    <w:p w14:paraId="7898F8F5" w14:textId="68CF51D2" w:rsidR="00663160" w:rsidRPr="00465FB3" w:rsidRDefault="00663160" w:rsidP="00663160">
      <w:pPr>
        <w:spacing w:after="0" w:line="240" w:lineRule="auto"/>
        <w:rPr>
          <w:rFonts w:ascii="Times New Roman" w:hAnsi="Times New Roman"/>
          <w:b/>
          <w:bCs/>
          <w:sz w:val="24"/>
          <w:szCs w:val="24"/>
        </w:rPr>
      </w:pPr>
      <w:r w:rsidRPr="00465FB3">
        <w:rPr>
          <w:rFonts w:ascii="Times New Roman" w:hAnsi="Times New Roman"/>
          <w:b/>
          <w:bCs/>
          <w:sz w:val="24"/>
          <w:szCs w:val="24"/>
        </w:rPr>
        <w:t>Legal Lessons Learned:  The Federal Government may now ask for all the judges on the 9</w:t>
      </w:r>
      <w:r w:rsidRPr="00465FB3">
        <w:rPr>
          <w:rFonts w:ascii="Times New Roman" w:hAnsi="Times New Roman"/>
          <w:b/>
          <w:bCs/>
          <w:sz w:val="24"/>
          <w:szCs w:val="24"/>
          <w:vertAlign w:val="superscript"/>
        </w:rPr>
        <w:t>th</w:t>
      </w:r>
      <w:r w:rsidRPr="00465FB3">
        <w:rPr>
          <w:rFonts w:ascii="Times New Roman" w:hAnsi="Times New Roman"/>
          <w:b/>
          <w:bCs/>
          <w:sz w:val="24"/>
          <w:szCs w:val="24"/>
        </w:rPr>
        <w:t xml:space="preserve"> Circuit (“</w:t>
      </w:r>
      <w:proofErr w:type="spellStart"/>
      <w:r w:rsidRPr="00465FB3">
        <w:rPr>
          <w:rFonts w:ascii="Times New Roman" w:hAnsi="Times New Roman"/>
          <w:b/>
          <w:bCs/>
          <w:sz w:val="24"/>
          <w:szCs w:val="24"/>
        </w:rPr>
        <w:t>en</w:t>
      </w:r>
      <w:proofErr w:type="spellEnd"/>
      <w:r w:rsidRPr="00465FB3">
        <w:rPr>
          <w:rFonts w:ascii="Times New Roman" w:hAnsi="Times New Roman"/>
          <w:b/>
          <w:bCs/>
          <w:sz w:val="24"/>
          <w:szCs w:val="24"/>
        </w:rPr>
        <w:t xml:space="preserve"> banc”) </w:t>
      </w:r>
      <w:r w:rsidR="00965872">
        <w:rPr>
          <w:rFonts w:ascii="Times New Roman" w:hAnsi="Times New Roman"/>
          <w:b/>
          <w:bCs/>
          <w:sz w:val="24"/>
          <w:szCs w:val="24"/>
        </w:rPr>
        <w:t xml:space="preserve">to hear </w:t>
      </w:r>
      <w:r w:rsidRPr="00465FB3">
        <w:rPr>
          <w:rFonts w:ascii="Times New Roman" w:hAnsi="Times New Roman"/>
          <w:b/>
          <w:bCs/>
          <w:sz w:val="24"/>
          <w:szCs w:val="24"/>
        </w:rPr>
        <w:t xml:space="preserve">their </w:t>
      </w:r>
      <w:proofErr w:type="gramStart"/>
      <w:r w:rsidRPr="00465FB3">
        <w:rPr>
          <w:rFonts w:ascii="Times New Roman" w:hAnsi="Times New Roman"/>
          <w:b/>
          <w:bCs/>
          <w:sz w:val="24"/>
          <w:szCs w:val="24"/>
        </w:rPr>
        <w:t>appeal, or</w:t>
      </w:r>
      <w:proofErr w:type="gramEnd"/>
      <w:r w:rsidRPr="00465FB3">
        <w:rPr>
          <w:rFonts w:ascii="Times New Roman" w:hAnsi="Times New Roman"/>
          <w:b/>
          <w:bCs/>
          <w:sz w:val="24"/>
          <w:szCs w:val="24"/>
        </w:rPr>
        <w:t xml:space="preserve"> seek an appeal to the U.S. Supreme Court (requires vote of 4 of 9 Justices to take the case).  </w:t>
      </w:r>
    </w:p>
    <w:p w14:paraId="59429E27" w14:textId="77777777" w:rsidR="00663160" w:rsidRDefault="00663160" w:rsidP="00F326E5">
      <w:pPr>
        <w:pStyle w:val="NoSpacing"/>
        <w:rPr>
          <w:rFonts w:ascii="Arial Black" w:hAnsi="Arial Black"/>
          <w:sz w:val="28"/>
          <w:szCs w:val="28"/>
        </w:rPr>
      </w:pPr>
    </w:p>
    <w:p w14:paraId="247D7D52" w14:textId="77777777" w:rsidR="00663160" w:rsidRDefault="00663160" w:rsidP="00F326E5">
      <w:pPr>
        <w:pStyle w:val="NoSpacing"/>
        <w:rPr>
          <w:rFonts w:ascii="Arial Black" w:hAnsi="Arial Black"/>
          <w:sz w:val="28"/>
          <w:szCs w:val="28"/>
        </w:rPr>
      </w:pPr>
    </w:p>
    <w:p w14:paraId="3BC4BF9F" w14:textId="77777777" w:rsidR="00663160" w:rsidRDefault="00663160" w:rsidP="00F326E5">
      <w:pPr>
        <w:pStyle w:val="NoSpacing"/>
        <w:rPr>
          <w:rFonts w:ascii="Arial Black" w:hAnsi="Arial Black"/>
          <w:sz w:val="28"/>
          <w:szCs w:val="28"/>
        </w:rPr>
      </w:pPr>
    </w:p>
    <w:p w14:paraId="15B6573F" w14:textId="77777777" w:rsidR="00663160" w:rsidRDefault="00663160" w:rsidP="00F326E5">
      <w:pPr>
        <w:pStyle w:val="NoSpacing"/>
        <w:rPr>
          <w:rFonts w:ascii="Arial Black" w:hAnsi="Arial Black"/>
          <w:sz w:val="28"/>
          <w:szCs w:val="28"/>
        </w:rPr>
      </w:pPr>
    </w:p>
    <w:p w14:paraId="092CA3D7" w14:textId="05F7FD20" w:rsidR="00663160" w:rsidRDefault="00663160" w:rsidP="00F326E5">
      <w:pPr>
        <w:pStyle w:val="NoSpacing"/>
        <w:rPr>
          <w:rFonts w:ascii="Arial Black" w:hAnsi="Arial Black"/>
          <w:sz w:val="28"/>
          <w:szCs w:val="28"/>
        </w:rPr>
      </w:pPr>
      <w:r>
        <w:rPr>
          <w:rFonts w:ascii="Arial Black" w:hAnsi="Arial Black"/>
          <w:sz w:val="28"/>
          <w:szCs w:val="28"/>
        </w:rPr>
        <w:t>3-18</w:t>
      </w:r>
    </w:p>
    <w:p w14:paraId="171DDD7B" w14:textId="6FC67F50" w:rsidR="00663160" w:rsidRDefault="00663160" w:rsidP="00F326E5">
      <w:pPr>
        <w:pStyle w:val="NoSpacing"/>
        <w:rPr>
          <w:rFonts w:ascii="Arial Black" w:hAnsi="Arial Black"/>
          <w:sz w:val="28"/>
          <w:szCs w:val="28"/>
        </w:rPr>
      </w:pPr>
    </w:p>
    <w:p w14:paraId="365039BB" w14:textId="77777777" w:rsidR="00663160" w:rsidRPr="00625E48" w:rsidRDefault="00663160" w:rsidP="00663160">
      <w:pPr>
        <w:rPr>
          <w:rFonts w:ascii="Arial Black" w:hAnsi="Arial Black"/>
          <w:sz w:val="28"/>
          <w:szCs w:val="28"/>
        </w:rPr>
      </w:pPr>
      <w:bookmarkStart w:id="150" w:name="_Hlk39818246"/>
      <w:r w:rsidRPr="00625E48">
        <w:rPr>
          <w:rFonts w:ascii="Arial Black" w:hAnsi="Arial Black"/>
          <w:sz w:val="28"/>
          <w:szCs w:val="28"/>
        </w:rPr>
        <w:t xml:space="preserve">NY: </w:t>
      </w:r>
      <w:r>
        <w:rPr>
          <w:rFonts w:ascii="Arial Black" w:hAnsi="Arial Black"/>
          <w:sz w:val="28"/>
          <w:szCs w:val="28"/>
        </w:rPr>
        <w:t>SANCTUARY CITIES –- 2</w:t>
      </w:r>
      <w:r w:rsidRPr="00FD157C">
        <w:rPr>
          <w:rFonts w:ascii="Arial Black" w:hAnsi="Arial Black"/>
          <w:sz w:val="28"/>
          <w:szCs w:val="28"/>
          <w:vertAlign w:val="superscript"/>
        </w:rPr>
        <w:t>nd</w:t>
      </w:r>
      <w:r>
        <w:rPr>
          <w:rFonts w:ascii="Arial Black" w:hAnsi="Arial Black"/>
          <w:sz w:val="28"/>
          <w:szCs w:val="28"/>
        </w:rPr>
        <w:t xml:space="preserve"> CIRCUIT UPHOLDS FED. GOV’T RIGHT TO DENY GRANTS TO STATES / CITIES </w:t>
      </w:r>
    </w:p>
    <w:p w14:paraId="3EC381D1" w14:textId="77777777" w:rsidR="00663160" w:rsidRPr="00465FB3" w:rsidRDefault="00663160" w:rsidP="00663160">
      <w:pPr>
        <w:pStyle w:val="NoSpacing"/>
        <w:rPr>
          <w:rFonts w:ascii="Times New Roman" w:hAnsi="Times New Roman"/>
          <w:b/>
          <w:bCs/>
          <w:sz w:val="24"/>
          <w:szCs w:val="24"/>
        </w:rPr>
      </w:pPr>
      <w:r w:rsidRPr="00465FB3">
        <w:rPr>
          <w:rFonts w:ascii="Times New Roman" w:hAnsi="Times New Roman"/>
          <w:bCs/>
          <w:sz w:val="24"/>
          <w:szCs w:val="24"/>
        </w:rPr>
        <w:t xml:space="preserve">On Feb. 26, 2020, in </w:t>
      </w:r>
      <w:bookmarkStart w:id="151" w:name="_Hlk39823423"/>
      <w:r w:rsidRPr="00465FB3">
        <w:rPr>
          <w:rFonts w:ascii="Times New Roman" w:hAnsi="Times New Roman"/>
          <w:bCs/>
          <w:sz w:val="24"/>
          <w:szCs w:val="24"/>
          <w:u w:val="single"/>
        </w:rPr>
        <w:t>The State of New York, Connecticut, New Jersey, Washington, Massachusetts, Virginia, Rhode Island, and City of New York v. United States Department of Justice</w:t>
      </w:r>
      <w:r w:rsidRPr="00465FB3">
        <w:rPr>
          <w:rFonts w:ascii="Times New Roman" w:hAnsi="Times New Roman"/>
          <w:bCs/>
          <w:sz w:val="24"/>
          <w:szCs w:val="24"/>
        </w:rPr>
        <w:t xml:space="preserve">, the U.S. Court of Appeals for the Second Circuit (New York), </w:t>
      </w:r>
      <w:bookmarkEnd w:id="151"/>
      <w:r w:rsidRPr="00465FB3">
        <w:rPr>
          <w:rFonts w:ascii="Times New Roman" w:hAnsi="Times New Roman"/>
          <w:bCs/>
          <w:sz w:val="24"/>
          <w:szCs w:val="24"/>
        </w:rPr>
        <w:t xml:space="preserve">held (3 to 0) that the Federal Government has the statutory right to withhold Edward Byrne Memorial Program* Criminal Justice Assistance grants from sanctuary states and municipalities, setting aside an injunction issued in 2018 by a U.S. District Court judge.  [*Court in its decision, Footnote 2: “The Byrne Program is named for New York City Police Officer Edward Byrne who, at age 22, was shot to death [Feb. 26, 1988] while guarding the home of a Guyanese immigrant cooperating with authorities investigating drug trafficking. </w:t>
      </w:r>
      <w:proofErr w:type="gramStart"/>
      <w:r w:rsidRPr="00465FB3">
        <w:rPr>
          <w:rFonts w:ascii="Times New Roman" w:hAnsi="Times New Roman"/>
          <w:bCs/>
          <w:sz w:val="24"/>
          <w:szCs w:val="24"/>
        </w:rPr>
        <w:t>The</w:t>
      </w:r>
      <w:proofErr w:type="gramEnd"/>
      <w:r w:rsidRPr="00465FB3">
        <w:rPr>
          <w:rFonts w:ascii="Times New Roman" w:hAnsi="Times New Roman"/>
          <w:bCs/>
          <w:sz w:val="24"/>
          <w:szCs w:val="24"/>
        </w:rPr>
        <w:t xml:space="preserve"> case is well known in this circuit, where five </w:t>
      </w:r>
      <w:proofErr w:type="gramStart"/>
      <w:r w:rsidRPr="00465FB3">
        <w:rPr>
          <w:rFonts w:ascii="Times New Roman" w:hAnsi="Times New Roman"/>
          <w:bCs/>
          <w:sz w:val="24"/>
          <w:szCs w:val="24"/>
        </w:rPr>
        <w:t>persons</w:t>
      </w:r>
      <w:proofErr w:type="gramEnd"/>
      <w:r w:rsidRPr="00465FB3">
        <w:rPr>
          <w:rFonts w:ascii="Times New Roman" w:hAnsi="Times New Roman"/>
          <w:bCs/>
          <w:sz w:val="24"/>
          <w:szCs w:val="24"/>
        </w:rPr>
        <w:t xml:space="preserve"> were convicted in the Eastern District of New York for their roles in Byrne’s murder. Among these was Howard ‘Pappy’ Mason, a drug dealer who, from his New York State prison cell, ordered subordinates to kill a police officer in retaliation for Mason’s own incarceration.”]</w:t>
      </w:r>
    </w:p>
    <w:p w14:paraId="6D580252" w14:textId="77777777" w:rsidR="00663160" w:rsidRPr="00465FB3" w:rsidRDefault="00663160" w:rsidP="00663160">
      <w:pPr>
        <w:pStyle w:val="NoSpacing"/>
        <w:rPr>
          <w:rFonts w:ascii="Times New Roman" w:hAnsi="Times New Roman"/>
          <w:b/>
          <w:bCs/>
          <w:sz w:val="24"/>
          <w:szCs w:val="24"/>
        </w:rPr>
      </w:pPr>
    </w:p>
    <w:p w14:paraId="2D0F12C7" w14:textId="0DA795FE" w:rsidR="00663160" w:rsidRDefault="00663160" w:rsidP="00965872">
      <w:pPr>
        <w:pStyle w:val="NoSpacing"/>
        <w:ind w:left="720"/>
        <w:rPr>
          <w:rStyle w:val="Hyperlink"/>
          <w:rFonts w:ascii="Times New Roman" w:hAnsi="Times New Roman"/>
          <w:bCs/>
          <w:sz w:val="24"/>
          <w:szCs w:val="24"/>
        </w:rPr>
      </w:pPr>
      <w:r w:rsidRPr="00465FB3">
        <w:rPr>
          <w:rFonts w:ascii="Times New Roman" w:hAnsi="Times New Roman"/>
          <w:bCs/>
          <w:sz w:val="24"/>
          <w:szCs w:val="24"/>
        </w:rPr>
        <w:t xml:space="preserve">“The principal legal question presented in this appeal is whether the federal government may deny grants of money to State and local governments that would be eligible for such awards but for their refusal to comply with three immigration‐related conditions imposed by the Attorney General of the United States. Those conditions require grant applicants to certify that they will (1) comply with federal law prohibiting any restrictions on the communication of citizenship and alien status information with federal immigration authorities, see 8U.S.C.§1373; (2) provide federal authorities, upon request, with the release dates of incarcerated illegal aliens; and (3) afford federal immigration officers access to incarcerated illegal aliens. *** For reasons explained in this opinion, we conclude that the plain language of the relevant statutes authorizes the Attorney General to impose the challenged conditions.  </w:t>
      </w:r>
      <w:bookmarkStart w:id="152" w:name="_Hlk39823517"/>
      <w:r w:rsidR="00F2621E">
        <w:fldChar w:fldCharType="begin"/>
      </w:r>
      <w:r w:rsidR="00F2621E">
        <w:instrText xml:space="preserve"> HYPERLINK "http://www.ca2.uscourts.gov/decisions/isysquery/77aa9bb2-f2fe-443d-984f-9afcae6dd25e/1/doc/19-267_opn.pdf" \l "xml=http://www.ca2.uscourts.gov/decisions/isysquery/77aa9bb2-f2fe-443d-984f-9afcae6dd25e/1/hilite/" </w:instrText>
      </w:r>
      <w:r w:rsidR="00F2621E">
        <w:fldChar w:fldCharType="separate"/>
      </w:r>
      <w:r w:rsidRPr="00465FB3">
        <w:rPr>
          <w:rStyle w:val="Hyperlink"/>
          <w:rFonts w:ascii="Times New Roman" w:hAnsi="Times New Roman"/>
          <w:bCs/>
          <w:sz w:val="24"/>
          <w:szCs w:val="24"/>
        </w:rPr>
        <w:t>http://www.ca2.uscourts.gov/decisions/isysquery/77aa9bb2-f2fe-443d-984f-9afcae6dd25e/1/doc/19-267_opn.pdf#xml=http://www.ca2.uscourts.gov/decisions/isysquery/77aa9bb2-f2fe-443d-984f-9afcae6dd25e/1/hilite/</w:t>
      </w:r>
      <w:r w:rsidR="00F2621E">
        <w:rPr>
          <w:rStyle w:val="Hyperlink"/>
          <w:rFonts w:ascii="Times New Roman" w:hAnsi="Times New Roman"/>
          <w:bCs/>
          <w:sz w:val="24"/>
          <w:szCs w:val="24"/>
        </w:rPr>
        <w:fldChar w:fldCharType="end"/>
      </w:r>
      <w:bookmarkEnd w:id="152"/>
    </w:p>
    <w:bookmarkEnd w:id="150"/>
    <w:p w14:paraId="7131F8FA" w14:textId="0421C127" w:rsidR="00663160" w:rsidRDefault="00663160" w:rsidP="00663160">
      <w:pPr>
        <w:pStyle w:val="NoSpacing"/>
        <w:rPr>
          <w:rFonts w:ascii="Arial Black" w:hAnsi="Arial Black"/>
          <w:sz w:val="28"/>
          <w:szCs w:val="28"/>
        </w:rPr>
      </w:pPr>
    </w:p>
    <w:p w14:paraId="57D29285" w14:textId="77777777" w:rsidR="00663160" w:rsidRPr="00465FB3" w:rsidRDefault="00663160" w:rsidP="00663160">
      <w:pPr>
        <w:pStyle w:val="NoSpacing"/>
        <w:tabs>
          <w:tab w:val="left" w:pos="2890"/>
        </w:tabs>
        <w:rPr>
          <w:rFonts w:ascii="Times New Roman" w:hAnsi="Times New Roman"/>
          <w:b/>
          <w:bCs/>
          <w:sz w:val="24"/>
          <w:szCs w:val="24"/>
        </w:rPr>
      </w:pPr>
      <w:bookmarkStart w:id="153" w:name="_Hlk40509288"/>
      <w:r w:rsidRPr="00465FB3">
        <w:rPr>
          <w:rFonts w:ascii="Times New Roman" w:hAnsi="Times New Roman"/>
          <w:b/>
          <w:bCs/>
          <w:sz w:val="24"/>
          <w:szCs w:val="24"/>
        </w:rPr>
        <w:t xml:space="preserve">Legal Lessons Learned: Sanctuary cities are a “hot” political issue; the states who brought this lawsuit may now request U.S. Supreme Court to hear their appeal (requires vote of 4 of 9 justices for the Court to hear an appeal).   Federal appeals courts in Philadelphia, Chicago and San Francisco have upheld injunctions against these federal restrictions. </w:t>
      </w:r>
    </w:p>
    <w:p w14:paraId="6345F829" w14:textId="7729104C" w:rsidR="00025B22" w:rsidRDefault="00663160" w:rsidP="009E7672">
      <w:pPr>
        <w:pStyle w:val="NoSpacing"/>
        <w:rPr>
          <w:rFonts w:ascii="Times New Roman" w:hAnsi="Times New Roman"/>
          <w:b/>
          <w:bCs/>
          <w:sz w:val="24"/>
          <w:szCs w:val="24"/>
        </w:rPr>
      </w:pPr>
      <w:bookmarkStart w:id="154" w:name="_Hlk39823343"/>
      <w:r w:rsidRPr="00025B22">
        <w:rPr>
          <w:rFonts w:ascii="Times New Roman" w:hAnsi="Times New Roman"/>
          <w:sz w:val="24"/>
          <w:szCs w:val="24"/>
        </w:rPr>
        <w:t xml:space="preserve">See </w:t>
      </w:r>
      <w:r w:rsidR="00025B22" w:rsidRPr="00025B22">
        <w:rPr>
          <w:rFonts w:ascii="Times New Roman" w:hAnsi="Times New Roman"/>
          <w:sz w:val="24"/>
          <w:szCs w:val="24"/>
        </w:rPr>
        <w:t xml:space="preserve">Feb. 26, </w:t>
      </w:r>
      <w:proofErr w:type="gramStart"/>
      <w:r w:rsidR="00025B22" w:rsidRPr="00025B22">
        <w:rPr>
          <w:rFonts w:ascii="Times New Roman" w:hAnsi="Times New Roman"/>
          <w:sz w:val="24"/>
          <w:szCs w:val="24"/>
        </w:rPr>
        <w:t>2020</w:t>
      </w:r>
      <w:proofErr w:type="gramEnd"/>
      <w:r w:rsidR="00025B22" w:rsidRPr="00025B22">
        <w:rPr>
          <w:rFonts w:ascii="Times New Roman" w:hAnsi="Times New Roman"/>
          <w:sz w:val="24"/>
          <w:szCs w:val="24"/>
        </w:rPr>
        <w:t xml:space="preserve"> </w:t>
      </w:r>
      <w:r w:rsidRPr="00025B22">
        <w:rPr>
          <w:rFonts w:ascii="Times New Roman" w:hAnsi="Times New Roman"/>
          <w:sz w:val="24"/>
          <w:szCs w:val="24"/>
        </w:rPr>
        <w:t>article on the decision:</w:t>
      </w:r>
      <w:r w:rsidRPr="00465FB3">
        <w:rPr>
          <w:rFonts w:ascii="Times New Roman" w:hAnsi="Times New Roman"/>
          <w:b/>
          <w:bCs/>
          <w:sz w:val="24"/>
          <w:szCs w:val="24"/>
        </w:rPr>
        <w:t xml:space="preserve"> </w:t>
      </w:r>
      <w:r w:rsidR="00025B22" w:rsidRPr="00025B22">
        <w:rPr>
          <w:rFonts w:ascii="Times New Roman" w:hAnsi="Times New Roman"/>
          <w:sz w:val="24"/>
          <w:szCs w:val="24"/>
        </w:rPr>
        <w:t>Trump Administration May Withhold Federal Grants Over Sanctuary Policies, 2nd Circuit Rules</w:t>
      </w:r>
      <w:r w:rsidR="00025B22">
        <w:rPr>
          <w:rFonts w:ascii="Times New Roman" w:hAnsi="Times New Roman"/>
          <w:sz w:val="24"/>
          <w:szCs w:val="24"/>
        </w:rPr>
        <w:t xml:space="preserve">,” </w:t>
      </w:r>
    </w:p>
    <w:p w14:paraId="444BEB8E" w14:textId="05A41F0F" w:rsidR="00663160" w:rsidRPr="00465FB3" w:rsidRDefault="00025B22" w:rsidP="00663160">
      <w:pPr>
        <w:pStyle w:val="NoSpacing"/>
        <w:tabs>
          <w:tab w:val="left" w:pos="2890"/>
        </w:tabs>
        <w:rPr>
          <w:rFonts w:ascii="Times New Roman" w:hAnsi="Times New Roman"/>
          <w:sz w:val="24"/>
          <w:szCs w:val="24"/>
        </w:rPr>
      </w:pPr>
      <w:hyperlink r:id="rId822" w:history="1">
        <w:r w:rsidRPr="00751ACF">
          <w:rPr>
            <w:rStyle w:val="Hyperlink"/>
            <w:rFonts w:ascii="Times New Roman" w:hAnsi="Times New Roman"/>
            <w:b/>
            <w:bCs/>
            <w:sz w:val="24"/>
            <w:szCs w:val="24"/>
          </w:rPr>
          <w:t>https://www.law.com/newyorklawjournal/2020/02/26/trump-administration-may-withhold-federal-grants-over-sanctuary-policies-2nd-circuit-rules/</w:t>
        </w:r>
      </w:hyperlink>
      <w:r w:rsidR="00663160" w:rsidRPr="00465FB3">
        <w:rPr>
          <w:rFonts w:ascii="Times New Roman" w:hAnsi="Times New Roman"/>
          <w:sz w:val="24"/>
          <w:szCs w:val="24"/>
        </w:rPr>
        <w:t xml:space="preserve"> </w:t>
      </w:r>
      <w:bookmarkEnd w:id="153"/>
    </w:p>
    <w:bookmarkEnd w:id="154"/>
    <w:p w14:paraId="1DFB96BD" w14:textId="2F988E5D" w:rsidR="00663160" w:rsidRDefault="00663160" w:rsidP="00663160">
      <w:pPr>
        <w:pStyle w:val="NoSpacing"/>
        <w:rPr>
          <w:rFonts w:ascii="Arial Black" w:hAnsi="Arial Black"/>
          <w:sz w:val="28"/>
          <w:szCs w:val="28"/>
        </w:rPr>
      </w:pPr>
      <w:r>
        <w:rPr>
          <w:rFonts w:ascii="Arial Black" w:hAnsi="Arial Black"/>
          <w:sz w:val="28"/>
          <w:szCs w:val="28"/>
        </w:rPr>
        <w:t xml:space="preserve"> </w:t>
      </w:r>
    </w:p>
    <w:p w14:paraId="6AF8BCF4" w14:textId="77777777" w:rsidR="00663160" w:rsidRDefault="00663160" w:rsidP="00F326E5">
      <w:pPr>
        <w:pStyle w:val="NoSpacing"/>
        <w:rPr>
          <w:rFonts w:ascii="Arial Black" w:hAnsi="Arial Black"/>
          <w:sz w:val="28"/>
          <w:szCs w:val="28"/>
        </w:rPr>
      </w:pPr>
    </w:p>
    <w:p w14:paraId="397E350C" w14:textId="77777777" w:rsidR="00663160" w:rsidRDefault="00663160" w:rsidP="00F326E5">
      <w:pPr>
        <w:pStyle w:val="NoSpacing"/>
        <w:rPr>
          <w:rFonts w:ascii="Arial Black" w:hAnsi="Arial Black"/>
          <w:sz w:val="28"/>
          <w:szCs w:val="28"/>
        </w:rPr>
      </w:pPr>
    </w:p>
    <w:p w14:paraId="3BF95380" w14:textId="6375CE74" w:rsidR="007C6FEF" w:rsidRDefault="007C6FEF" w:rsidP="00F326E5">
      <w:pPr>
        <w:pStyle w:val="NoSpacing"/>
        <w:rPr>
          <w:rFonts w:ascii="Arial Black" w:hAnsi="Arial Black"/>
          <w:sz w:val="28"/>
          <w:szCs w:val="28"/>
        </w:rPr>
      </w:pPr>
      <w:r>
        <w:rPr>
          <w:rFonts w:ascii="Arial Black" w:hAnsi="Arial Black"/>
          <w:sz w:val="28"/>
          <w:szCs w:val="28"/>
        </w:rPr>
        <w:t>3-17</w:t>
      </w:r>
    </w:p>
    <w:p w14:paraId="7B72F072" w14:textId="31E31B1A" w:rsidR="007C6FEF" w:rsidRDefault="007C6FEF" w:rsidP="007C6FEF">
      <w:pPr>
        <w:spacing w:before="100" w:beforeAutospacing="1" w:after="100" w:afterAutospacing="1" w:line="240" w:lineRule="auto"/>
        <w:rPr>
          <w:rFonts w:ascii="Arial Black" w:hAnsi="Arial Black"/>
          <w:sz w:val="28"/>
          <w:szCs w:val="28"/>
        </w:rPr>
      </w:pPr>
      <w:r w:rsidRPr="00E0167A">
        <w:rPr>
          <w:rFonts w:ascii="Arial Black" w:hAnsi="Arial Black"/>
          <w:sz w:val="28"/>
          <w:szCs w:val="28"/>
        </w:rPr>
        <w:t>NY:</w:t>
      </w:r>
      <w:r>
        <w:rPr>
          <w:rFonts w:ascii="Arial Black" w:hAnsi="Arial Black"/>
          <w:sz w:val="28"/>
          <w:szCs w:val="28"/>
        </w:rPr>
        <w:t xml:space="preserve">  TERRORIST – ATTACKED FBI AGENT, 8-INCH KNIFE – PLED GUITY – 2</w:t>
      </w:r>
      <w:r w:rsidRPr="00E62FA3">
        <w:rPr>
          <w:rFonts w:ascii="Arial Black" w:hAnsi="Arial Black"/>
          <w:sz w:val="28"/>
          <w:szCs w:val="28"/>
          <w:vertAlign w:val="superscript"/>
        </w:rPr>
        <w:t>nd</w:t>
      </w:r>
      <w:r>
        <w:rPr>
          <w:rFonts w:ascii="Arial Black" w:hAnsi="Arial Black"/>
          <w:sz w:val="28"/>
          <w:szCs w:val="28"/>
        </w:rPr>
        <w:t xml:space="preserve"> Cir: 17 YRS IN PRISON NOT ENOUGH </w:t>
      </w:r>
    </w:p>
    <w:p w14:paraId="037F3549" w14:textId="77777777" w:rsidR="007C6FEF" w:rsidRDefault="007C6FEF" w:rsidP="007C6FEF">
      <w:pPr>
        <w:spacing w:before="100" w:beforeAutospacing="1" w:after="100" w:afterAutospacing="1" w:line="240" w:lineRule="auto"/>
        <w:rPr>
          <w:rFonts w:ascii="OnTimes New Roman" w:hAnsi="OnTimes New Roman"/>
          <w:sz w:val="24"/>
          <w:szCs w:val="24"/>
        </w:rPr>
      </w:pPr>
      <w:r>
        <w:rPr>
          <w:rFonts w:ascii="OnTimes New Roman" w:hAnsi="OnTimes New Roman"/>
          <w:sz w:val="24"/>
          <w:szCs w:val="24"/>
        </w:rPr>
        <w:t xml:space="preserve">On Dec. 27, 2019, in </w:t>
      </w:r>
      <w:r w:rsidRPr="00E0167A">
        <w:rPr>
          <w:rFonts w:ascii="Times New Roman" w:hAnsi="Times New Roman"/>
          <w:sz w:val="24"/>
          <w:szCs w:val="24"/>
          <w:u w:val="single"/>
        </w:rPr>
        <w:t>United States of America v. Fareed Mumuni</w:t>
      </w:r>
      <w:r>
        <w:rPr>
          <w:rFonts w:ascii="OnTimes New Roman" w:hAnsi="OnTimes New Roman"/>
          <w:sz w:val="24"/>
          <w:szCs w:val="24"/>
        </w:rPr>
        <w:t xml:space="preserve">, the U.S. Court of Appeals for Second Circuit (NYC), held 2 to 1 that U.S. District Court judge must re-sentence the convicted terrorist. </w:t>
      </w:r>
    </w:p>
    <w:p w14:paraId="422BEC57" w14:textId="77777777" w:rsidR="007C6FEF" w:rsidRDefault="007C6FEF" w:rsidP="007C6FEF">
      <w:pPr>
        <w:spacing w:before="100" w:beforeAutospacing="1" w:after="100" w:afterAutospacing="1" w:line="240" w:lineRule="auto"/>
        <w:ind w:left="720"/>
        <w:rPr>
          <w:rFonts w:ascii="Times New Roman" w:hAnsi="Times New Roman"/>
          <w:sz w:val="24"/>
          <w:szCs w:val="24"/>
        </w:rPr>
      </w:pPr>
      <w:r w:rsidRPr="00E0167A">
        <w:rPr>
          <w:rFonts w:ascii="Times New Roman" w:hAnsi="Times New Roman"/>
          <w:sz w:val="24"/>
          <w:szCs w:val="24"/>
        </w:rPr>
        <w:t>“In</w:t>
      </w:r>
      <w:r>
        <w:rPr>
          <w:rFonts w:ascii="Times New Roman" w:hAnsi="Times New Roman"/>
          <w:sz w:val="24"/>
          <w:szCs w:val="24"/>
        </w:rPr>
        <w:t xml:space="preserve"> </w:t>
      </w:r>
      <w:r w:rsidRPr="00E0167A">
        <w:rPr>
          <w:rFonts w:ascii="Times New Roman" w:hAnsi="Times New Roman"/>
          <w:sz w:val="24"/>
          <w:szCs w:val="24"/>
        </w:rPr>
        <w:t>this</w:t>
      </w:r>
      <w:r>
        <w:rPr>
          <w:rFonts w:ascii="Times New Roman" w:hAnsi="Times New Roman"/>
          <w:sz w:val="24"/>
          <w:szCs w:val="24"/>
        </w:rPr>
        <w:t xml:space="preserve"> </w:t>
      </w:r>
      <w:r w:rsidRPr="00E0167A">
        <w:rPr>
          <w:rFonts w:ascii="Times New Roman" w:hAnsi="Times New Roman"/>
          <w:sz w:val="24"/>
          <w:szCs w:val="24"/>
        </w:rPr>
        <w:t>terrorism</w:t>
      </w:r>
      <w:r>
        <w:rPr>
          <w:rFonts w:ascii="Times New Roman" w:hAnsi="Times New Roman"/>
          <w:sz w:val="24"/>
          <w:szCs w:val="24"/>
        </w:rPr>
        <w:t xml:space="preserve"> </w:t>
      </w:r>
      <w:r w:rsidRPr="00E0167A">
        <w:rPr>
          <w:rFonts w:ascii="Times New Roman" w:hAnsi="Times New Roman"/>
          <w:sz w:val="24"/>
          <w:szCs w:val="24"/>
        </w:rPr>
        <w:t>case,</w:t>
      </w:r>
      <w:r>
        <w:rPr>
          <w:rFonts w:ascii="Times New Roman" w:hAnsi="Times New Roman"/>
          <w:sz w:val="24"/>
          <w:szCs w:val="24"/>
        </w:rPr>
        <w:t xml:space="preserve"> </w:t>
      </w:r>
      <w:r w:rsidRPr="00E0167A">
        <w:rPr>
          <w:rFonts w:ascii="Times New Roman" w:hAnsi="Times New Roman"/>
          <w:sz w:val="24"/>
          <w:szCs w:val="24"/>
        </w:rPr>
        <w:t>the</w:t>
      </w:r>
      <w:r>
        <w:rPr>
          <w:rFonts w:ascii="Times New Roman" w:hAnsi="Times New Roman"/>
          <w:sz w:val="24"/>
          <w:szCs w:val="24"/>
        </w:rPr>
        <w:t xml:space="preserve"> </w:t>
      </w:r>
      <w:r w:rsidRPr="00E0167A">
        <w:rPr>
          <w:rFonts w:ascii="Times New Roman" w:hAnsi="Times New Roman"/>
          <w:sz w:val="24"/>
          <w:szCs w:val="24"/>
        </w:rPr>
        <w:t>Government</w:t>
      </w:r>
      <w:r>
        <w:rPr>
          <w:rFonts w:ascii="Times New Roman" w:hAnsi="Times New Roman"/>
          <w:sz w:val="24"/>
          <w:szCs w:val="24"/>
        </w:rPr>
        <w:t xml:space="preserve"> </w:t>
      </w:r>
      <w:r w:rsidRPr="00E0167A">
        <w:rPr>
          <w:rFonts w:ascii="Times New Roman" w:hAnsi="Times New Roman"/>
          <w:sz w:val="24"/>
          <w:szCs w:val="24"/>
        </w:rPr>
        <w:t>appeals</w:t>
      </w:r>
      <w:r>
        <w:rPr>
          <w:rFonts w:ascii="Times New Roman" w:hAnsi="Times New Roman"/>
          <w:sz w:val="24"/>
          <w:szCs w:val="24"/>
        </w:rPr>
        <w:t xml:space="preserve"> </w:t>
      </w:r>
      <w:r w:rsidRPr="00E0167A">
        <w:rPr>
          <w:rFonts w:ascii="Times New Roman" w:hAnsi="Times New Roman"/>
          <w:sz w:val="24"/>
          <w:szCs w:val="24"/>
        </w:rPr>
        <w:t>the</w:t>
      </w:r>
      <w:r>
        <w:rPr>
          <w:rFonts w:ascii="Times New Roman" w:hAnsi="Times New Roman"/>
          <w:sz w:val="24"/>
          <w:szCs w:val="24"/>
        </w:rPr>
        <w:t xml:space="preserve"> substantive </w:t>
      </w:r>
      <w:r w:rsidRPr="00E0167A">
        <w:rPr>
          <w:rFonts w:ascii="Times New Roman" w:hAnsi="Times New Roman"/>
          <w:sz w:val="24"/>
          <w:szCs w:val="24"/>
        </w:rPr>
        <w:t>reasonableness</w:t>
      </w:r>
      <w:r>
        <w:rPr>
          <w:rFonts w:ascii="Times New Roman" w:hAnsi="Times New Roman"/>
          <w:sz w:val="24"/>
          <w:szCs w:val="24"/>
        </w:rPr>
        <w:t xml:space="preserve"> </w:t>
      </w:r>
      <w:r w:rsidRPr="00E0167A">
        <w:rPr>
          <w:rFonts w:ascii="Times New Roman" w:hAnsi="Times New Roman"/>
          <w:sz w:val="24"/>
          <w:szCs w:val="24"/>
        </w:rPr>
        <w:t>of</w:t>
      </w:r>
      <w:r>
        <w:rPr>
          <w:rFonts w:ascii="Times New Roman" w:hAnsi="Times New Roman"/>
          <w:sz w:val="24"/>
          <w:szCs w:val="24"/>
        </w:rPr>
        <w:t xml:space="preserve"> </w:t>
      </w:r>
      <w:r w:rsidRPr="00E0167A">
        <w:rPr>
          <w:rFonts w:ascii="Times New Roman" w:hAnsi="Times New Roman"/>
          <w:sz w:val="24"/>
          <w:szCs w:val="24"/>
        </w:rPr>
        <w:t>the</w:t>
      </w:r>
      <w:r>
        <w:rPr>
          <w:rFonts w:ascii="Times New Roman" w:hAnsi="Times New Roman"/>
          <w:sz w:val="24"/>
          <w:szCs w:val="24"/>
        </w:rPr>
        <w:t xml:space="preserve"> </w:t>
      </w:r>
      <w:r w:rsidRPr="00E0167A">
        <w:rPr>
          <w:rFonts w:ascii="Times New Roman" w:hAnsi="Times New Roman"/>
          <w:sz w:val="24"/>
          <w:szCs w:val="24"/>
        </w:rPr>
        <w:t>sentence</w:t>
      </w:r>
      <w:r>
        <w:rPr>
          <w:rFonts w:ascii="Times New Roman" w:hAnsi="Times New Roman"/>
          <w:sz w:val="24"/>
          <w:szCs w:val="24"/>
        </w:rPr>
        <w:t xml:space="preserve"> </w:t>
      </w:r>
      <w:r w:rsidRPr="00E0167A">
        <w:rPr>
          <w:rFonts w:ascii="Times New Roman" w:hAnsi="Times New Roman"/>
          <w:sz w:val="24"/>
          <w:szCs w:val="24"/>
        </w:rPr>
        <w:t>imposed</w:t>
      </w:r>
      <w:r>
        <w:rPr>
          <w:rFonts w:ascii="Times New Roman" w:hAnsi="Times New Roman"/>
          <w:sz w:val="24"/>
          <w:szCs w:val="24"/>
        </w:rPr>
        <w:t xml:space="preserve"> </w:t>
      </w:r>
      <w:r w:rsidRPr="00E0167A">
        <w:rPr>
          <w:rFonts w:ascii="Times New Roman" w:hAnsi="Times New Roman"/>
          <w:sz w:val="24"/>
          <w:szCs w:val="24"/>
        </w:rPr>
        <w:t>on</w:t>
      </w:r>
      <w:r>
        <w:rPr>
          <w:rFonts w:ascii="Times New Roman" w:hAnsi="Times New Roman"/>
          <w:sz w:val="24"/>
          <w:szCs w:val="24"/>
        </w:rPr>
        <w:t xml:space="preserve"> </w:t>
      </w:r>
      <w:r w:rsidRPr="00E0167A">
        <w:rPr>
          <w:rFonts w:ascii="Times New Roman" w:hAnsi="Times New Roman"/>
          <w:sz w:val="24"/>
          <w:szCs w:val="24"/>
        </w:rPr>
        <w:t>Defendant‐</w:t>
      </w:r>
      <w:r>
        <w:rPr>
          <w:rFonts w:ascii="Times New Roman" w:hAnsi="Times New Roman"/>
          <w:sz w:val="24"/>
          <w:szCs w:val="24"/>
        </w:rPr>
        <w:t>A</w:t>
      </w:r>
      <w:r w:rsidRPr="00E0167A">
        <w:rPr>
          <w:rFonts w:ascii="Times New Roman" w:hAnsi="Times New Roman"/>
          <w:sz w:val="24"/>
          <w:szCs w:val="24"/>
        </w:rPr>
        <w:t>ppellee</w:t>
      </w:r>
      <w:r>
        <w:rPr>
          <w:rFonts w:ascii="Times New Roman" w:hAnsi="Times New Roman"/>
          <w:sz w:val="24"/>
          <w:szCs w:val="24"/>
        </w:rPr>
        <w:t xml:space="preserve"> </w:t>
      </w:r>
      <w:r w:rsidRPr="00E0167A">
        <w:rPr>
          <w:rFonts w:ascii="Times New Roman" w:hAnsi="Times New Roman"/>
          <w:sz w:val="24"/>
          <w:szCs w:val="24"/>
        </w:rPr>
        <w:t>Fareed</w:t>
      </w:r>
      <w:r>
        <w:rPr>
          <w:rFonts w:ascii="Times New Roman" w:hAnsi="Times New Roman"/>
          <w:sz w:val="24"/>
          <w:szCs w:val="24"/>
        </w:rPr>
        <w:t xml:space="preserve"> </w:t>
      </w:r>
      <w:r w:rsidRPr="00E0167A">
        <w:rPr>
          <w:rFonts w:ascii="Times New Roman" w:hAnsi="Times New Roman"/>
          <w:sz w:val="24"/>
          <w:szCs w:val="24"/>
        </w:rPr>
        <w:t>Mumuni</w:t>
      </w:r>
      <w:r>
        <w:rPr>
          <w:rFonts w:ascii="Times New Roman" w:hAnsi="Times New Roman"/>
          <w:sz w:val="24"/>
          <w:szCs w:val="24"/>
        </w:rPr>
        <w:t xml:space="preserve"> </w:t>
      </w:r>
      <w:r w:rsidRPr="00E0167A">
        <w:rPr>
          <w:rFonts w:ascii="Times New Roman" w:hAnsi="Times New Roman"/>
          <w:sz w:val="24"/>
          <w:szCs w:val="24"/>
        </w:rPr>
        <w:t>(</w:t>
      </w:r>
      <w:r>
        <w:rPr>
          <w:rFonts w:ascii="Times New Roman" w:hAnsi="Times New Roman"/>
          <w:sz w:val="24"/>
          <w:szCs w:val="24"/>
        </w:rPr>
        <w:t>‘</w:t>
      </w:r>
      <w:r w:rsidRPr="00E0167A">
        <w:rPr>
          <w:rFonts w:ascii="Times New Roman" w:hAnsi="Times New Roman"/>
          <w:sz w:val="24"/>
          <w:szCs w:val="24"/>
        </w:rPr>
        <w:t>Mumuni</w:t>
      </w:r>
      <w:r>
        <w:rPr>
          <w:rFonts w:ascii="Times New Roman" w:hAnsi="Times New Roman"/>
          <w:sz w:val="24"/>
          <w:szCs w:val="24"/>
        </w:rPr>
        <w:t>’</w:t>
      </w:r>
      <w:r w:rsidRPr="00E0167A">
        <w:rPr>
          <w:rFonts w:ascii="Times New Roman" w:hAnsi="Times New Roman"/>
          <w:sz w:val="24"/>
          <w:szCs w:val="24"/>
        </w:rPr>
        <w:t>).</w:t>
      </w:r>
      <w:r>
        <w:rPr>
          <w:rFonts w:ascii="Times New Roman" w:hAnsi="Times New Roman"/>
          <w:sz w:val="24"/>
          <w:szCs w:val="24"/>
        </w:rPr>
        <w:t xml:space="preserve"> </w:t>
      </w:r>
      <w:r w:rsidRPr="00E0167A">
        <w:rPr>
          <w:rFonts w:ascii="Times New Roman" w:hAnsi="Times New Roman"/>
          <w:sz w:val="24"/>
          <w:szCs w:val="24"/>
        </w:rPr>
        <w:t>He</w:t>
      </w:r>
      <w:r>
        <w:rPr>
          <w:rFonts w:ascii="Times New Roman" w:hAnsi="Times New Roman"/>
          <w:sz w:val="24"/>
          <w:szCs w:val="24"/>
        </w:rPr>
        <w:t xml:space="preserve"> </w:t>
      </w:r>
      <w:r w:rsidRPr="00E0167A">
        <w:rPr>
          <w:rFonts w:ascii="Times New Roman" w:hAnsi="Times New Roman"/>
          <w:sz w:val="24"/>
          <w:szCs w:val="24"/>
        </w:rPr>
        <w:t>was</w:t>
      </w:r>
      <w:r>
        <w:rPr>
          <w:rFonts w:ascii="Times New Roman" w:hAnsi="Times New Roman"/>
          <w:sz w:val="24"/>
          <w:szCs w:val="24"/>
        </w:rPr>
        <w:t xml:space="preserve"> </w:t>
      </w:r>
      <w:r w:rsidRPr="00E0167A">
        <w:rPr>
          <w:rFonts w:ascii="Times New Roman" w:hAnsi="Times New Roman"/>
          <w:sz w:val="24"/>
          <w:szCs w:val="24"/>
        </w:rPr>
        <w:t>convicted</w:t>
      </w:r>
      <w:r>
        <w:rPr>
          <w:rFonts w:ascii="Times New Roman" w:hAnsi="Times New Roman"/>
          <w:sz w:val="24"/>
          <w:szCs w:val="24"/>
        </w:rPr>
        <w:t xml:space="preserve"> </w:t>
      </w:r>
      <w:r w:rsidRPr="00E0167A">
        <w:rPr>
          <w:rFonts w:ascii="Times New Roman" w:hAnsi="Times New Roman"/>
          <w:sz w:val="24"/>
          <w:szCs w:val="24"/>
        </w:rPr>
        <w:t>of,</w:t>
      </w:r>
      <w:r>
        <w:rPr>
          <w:rFonts w:ascii="Times New Roman" w:hAnsi="Times New Roman"/>
          <w:sz w:val="24"/>
          <w:szCs w:val="24"/>
        </w:rPr>
        <w:t xml:space="preserve"> </w:t>
      </w:r>
      <w:r w:rsidRPr="00E0167A">
        <w:rPr>
          <w:rFonts w:ascii="Times New Roman" w:hAnsi="Times New Roman"/>
          <w:sz w:val="24"/>
          <w:szCs w:val="24"/>
        </w:rPr>
        <w:t>inter</w:t>
      </w:r>
      <w:r>
        <w:rPr>
          <w:rFonts w:ascii="Times New Roman" w:hAnsi="Times New Roman"/>
          <w:sz w:val="24"/>
          <w:szCs w:val="24"/>
        </w:rPr>
        <w:t xml:space="preserve"> </w:t>
      </w:r>
      <w:r w:rsidRPr="00E0167A">
        <w:rPr>
          <w:rFonts w:ascii="Times New Roman" w:hAnsi="Times New Roman"/>
          <w:sz w:val="24"/>
          <w:szCs w:val="24"/>
        </w:rPr>
        <w:t>alia,</w:t>
      </w:r>
      <w:r>
        <w:rPr>
          <w:rFonts w:ascii="Times New Roman" w:hAnsi="Times New Roman"/>
          <w:sz w:val="24"/>
          <w:szCs w:val="24"/>
        </w:rPr>
        <w:t xml:space="preserve"> </w:t>
      </w:r>
      <w:r w:rsidRPr="00E0167A">
        <w:rPr>
          <w:rFonts w:ascii="Times New Roman" w:hAnsi="Times New Roman"/>
          <w:sz w:val="24"/>
          <w:szCs w:val="24"/>
        </w:rPr>
        <w:t>conspiring</w:t>
      </w:r>
      <w:r>
        <w:rPr>
          <w:rFonts w:ascii="Times New Roman" w:hAnsi="Times New Roman"/>
          <w:sz w:val="24"/>
          <w:szCs w:val="24"/>
        </w:rPr>
        <w:t xml:space="preserve"> </w:t>
      </w:r>
      <w:r w:rsidRPr="00E0167A">
        <w:rPr>
          <w:rFonts w:ascii="Times New Roman" w:hAnsi="Times New Roman"/>
          <w:sz w:val="24"/>
          <w:szCs w:val="24"/>
        </w:rPr>
        <w:t>to</w:t>
      </w:r>
      <w:r>
        <w:rPr>
          <w:rFonts w:ascii="Times New Roman" w:hAnsi="Times New Roman"/>
          <w:sz w:val="24"/>
          <w:szCs w:val="24"/>
        </w:rPr>
        <w:t xml:space="preserve"> </w:t>
      </w:r>
      <w:r w:rsidRPr="00E0167A">
        <w:rPr>
          <w:rFonts w:ascii="Times New Roman" w:hAnsi="Times New Roman"/>
          <w:sz w:val="24"/>
          <w:szCs w:val="24"/>
        </w:rPr>
        <w:t>provide</w:t>
      </w:r>
      <w:r>
        <w:rPr>
          <w:rFonts w:ascii="Times New Roman" w:hAnsi="Times New Roman"/>
          <w:sz w:val="24"/>
          <w:szCs w:val="24"/>
        </w:rPr>
        <w:t xml:space="preserve"> </w:t>
      </w:r>
      <w:r w:rsidRPr="00E0167A">
        <w:rPr>
          <w:rFonts w:ascii="Times New Roman" w:hAnsi="Times New Roman"/>
          <w:sz w:val="24"/>
          <w:szCs w:val="24"/>
        </w:rPr>
        <w:t>material</w:t>
      </w:r>
      <w:r>
        <w:rPr>
          <w:rFonts w:ascii="Times New Roman" w:hAnsi="Times New Roman"/>
          <w:sz w:val="24"/>
          <w:szCs w:val="24"/>
        </w:rPr>
        <w:t xml:space="preserve"> </w:t>
      </w:r>
      <w:r w:rsidRPr="00E0167A">
        <w:rPr>
          <w:rFonts w:ascii="Times New Roman" w:hAnsi="Times New Roman"/>
          <w:sz w:val="24"/>
          <w:szCs w:val="24"/>
        </w:rPr>
        <w:t>support</w:t>
      </w:r>
      <w:r>
        <w:rPr>
          <w:rFonts w:ascii="Times New Roman" w:hAnsi="Times New Roman"/>
          <w:sz w:val="24"/>
          <w:szCs w:val="24"/>
        </w:rPr>
        <w:t xml:space="preserve"> </w:t>
      </w:r>
      <w:r w:rsidRPr="00E0167A">
        <w:rPr>
          <w:rFonts w:ascii="Times New Roman" w:hAnsi="Times New Roman"/>
          <w:sz w:val="24"/>
          <w:szCs w:val="24"/>
        </w:rPr>
        <w:t>to</w:t>
      </w:r>
      <w:r>
        <w:rPr>
          <w:rFonts w:ascii="Times New Roman" w:hAnsi="Times New Roman"/>
          <w:sz w:val="24"/>
          <w:szCs w:val="24"/>
        </w:rPr>
        <w:t xml:space="preserve"> </w:t>
      </w:r>
      <w:r w:rsidRPr="00E0167A">
        <w:rPr>
          <w:rFonts w:ascii="Times New Roman" w:hAnsi="Times New Roman"/>
          <w:sz w:val="24"/>
          <w:szCs w:val="24"/>
        </w:rPr>
        <w:t>the</w:t>
      </w:r>
      <w:r>
        <w:rPr>
          <w:rFonts w:ascii="Times New Roman" w:hAnsi="Times New Roman"/>
          <w:sz w:val="24"/>
          <w:szCs w:val="24"/>
        </w:rPr>
        <w:t xml:space="preserve"> </w:t>
      </w:r>
      <w:r w:rsidRPr="00E0167A">
        <w:rPr>
          <w:rFonts w:ascii="Times New Roman" w:hAnsi="Times New Roman"/>
          <w:sz w:val="24"/>
          <w:szCs w:val="24"/>
        </w:rPr>
        <w:t>Islamic</w:t>
      </w:r>
      <w:r>
        <w:rPr>
          <w:rFonts w:ascii="Times New Roman" w:hAnsi="Times New Roman"/>
          <w:sz w:val="24"/>
          <w:szCs w:val="24"/>
        </w:rPr>
        <w:t xml:space="preserve"> </w:t>
      </w:r>
      <w:r w:rsidRPr="00E0167A">
        <w:rPr>
          <w:rFonts w:ascii="Times New Roman" w:hAnsi="Times New Roman"/>
          <w:sz w:val="24"/>
          <w:szCs w:val="24"/>
        </w:rPr>
        <w:t>State</w:t>
      </w:r>
      <w:r>
        <w:rPr>
          <w:rFonts w:ascii="Times New Roman" w:hAnsi="Times New Roman"/>
          <w:sz w:val="24"/>
          <w:szCs w:val="24"/>
        </w:rPr>
        <w:t xml:space="preserve"> </w:t>
      </w:r>
      <w:r w:rsidRPr="00E0167A">
        <w:rPr>
          <w:rFonts w:ascii="Times New Roman" w:hAnsi="Times New Roman"/>
          <w:sz w:val="24"/>
          <w:szCs w:val="24"/>
        </w:rPr>
        <w:t>of</w:t>
      </w:r>
      <w:r>
        <w:rPr>
          <w:rFonts w:ascii="Times New Roman" w:hAnsi="Times New Roman"/>
          <w:sz w:val="24"/>
          <w:szCs w:val="24"/>
        </w:rPr>
        <w:t xml:space="preserve"> </w:t>
      </w:r>
      <w:r w:rsidRPr="00E0167A">
        <w:rPr>
          <w:rFonts w:ascii="Times New Roman" w:hAnsi="Times New Roman"/>
          <w:sz w:val="24"/>
          <w:szCs w:val="24"/>
        </w:rPr>
        <w:t>Iraq</w:t>
      </w:r>
      <w:r>
        <w:rPr>
          <w:rFonts w:ascii="Times New Roman" w:hAnsi="Times New Roman"/>
          <w:sz w:val="24"/>
          <w:szCs w:val="24"/>
        </w:rPr>
        <w:t xml:space="preserve"> </w:t>
      </w:r>
      <w:r w:rsidRPr="00E0167A">
        <w:rPr>
          <w:rFonts w:ascii="Times New Roman" w:hAnsi="Times New Roman"/>
          <w:sz w:val="24"/>
          <w:szCs w:val="24"/>
        </w:rPr>
        <w:t>and</w:t>
      </w:r>
      <w:r>
        <w:rPr>
          <w:rFonts w:ascii="Times New Roman" w:hAnsi="Times New Roman"/>
          <w:sz w:val="24"/>
          <w:szCs w:val="24"/>
        </w:rPr>
        <w:t xml:space="preserve"> </w:t>
      </w:r>
      <w:r w:rsidRPr="00E0167A">
        <w:rPr>
          <w:rFonts w:ascii="Times New Roman" w:hAnsi="Times New Roman"/>
          <w:sz w:val="24"/>
          <w:szCs w:val="24"/>
        </w:rPr>
        <w:t>al‐Sham</w:t>
      </w:r>
      <w:r>
        <w:rPr>
          <w:rFonts w:ascii="Times New Roman" w:hAnsi="Times New Roman"/>
          <w:sz w:val="24"/>
          <w:szCs w:val="24"/>
        </w:rPr>
        <w:t xml:space="preserve"> </w:t>
      </w:r>
      <w:r w:rsidRPr="00E0167A">
        <w:rPr>
          <w:rFonts w:ascii="Times New Roman" w:hAnsi="Times New Roman"/>
          <w:sz w:val="24"/>
          <w:szCs w:val="24"/>
        </w:rPr>
        <w:t>(</w:t>
      </w:r>
      <w:r>
        <w:rPr>
          <w:rFonts w:ascii="Times New Roman" w:hAnsi="Times New Roman"/>
          <w:sz w:val="24"/>
          <w:szCs w:val="24"/>
        </w:rPr>
        <w:t>‘</w:t>
      </w:r>
      <w:r w:rsidRPr="00E0167A">
        <w:rPr>
          <w:rFonts w:ascii="Times New Roman" w:hAnsi="Times New Roman"/>
          <w:sz w:val="24"/>
          <w:szCs w:val="24"/>
        </w:rPr>
        <w:t>ISIS</w:t>
      </w:r>
      <w:r>
        <w:rPr>
          <w:rFonts w:ascii="Times New Roman" w:hAnsi="Times New Roman"/>
          <w:sz w:val="24"/>
          <w:szCs w:val="24"/>
        </w:rPr>
        <w:t>’</w:t>
      </w:r>
      <w:r w:rsidRPr="00E0167A">
        <w:rPr>
          <w:rFonts w:ascii="Times New Roman" w:hAnsi="Times New Roman"/>
          <w:sz w:val="24"/>
          <w:szCs w:val="24"/>
        </w:rPr>
        <w:t>)</w:t>
      </w:r>
      <w:r>
        <w:rPr>
          <w:rFonts w:ascii="Times New Roman" w:hAnsi="Times New Roman"/>
          <w:sz w:val="24"/>
          <w:szCs w:val="24"/>
        </w:rPr>
        <w:t xml:space="preserve"> </w:t>
      </w:r>
      <w:r w:rsidRPr="00E0167A">
        <w:rPr>
          <w:rFonts w:ascii="Times New Roman" w:hAnsi="Times New Roman"/>
          <w:sz w:val="24"/>
          <w:szCs w:val="24"/>
        </w:rPr>
        <w:t>and</w:t>
      </w:r>
      <w:r>
        <w:rPr>
          <w:rFonts w:ascii="Times New Roman" w:hAnsi="Times New Roman"/>
          <w:sz w:val="24"/>
          <w:szCs w:val="24"/>
        </w:rPr>
        <w:t xml:space="preserve"> </w:t>
      </w:r>
      <w:r w:rsidRPr="00E0167A">
        <w:rPr>
          <w:rFonts w:ascii="Times New Roman" w:hAnsi="Times New Roman"/>
          <w:sz w:val="24"/>
          <w:szCs w:val="24"/>
        </w:rPr>
        <w:t>attempting</w:t>
      </w:r>
      <w:r>
        <w:rPr>
          <w:rFonts w:ascii="Times New Roman" w:hAnsi="Times New Roman"/>
          <w:sz w:val="24"/>
          <w:szCs w:val="24"/>
        </w:rPr>
        <w:t xml:space="preserve"> </w:t>
      </w:r>
      <w:r w:rsidRPr="00E0167A">
        <w:rPr>
          <w:rFonts w:ascii="Times New Roman" w:hAnsi="Times New Roman"/>
          <w:sz w:val="24"/>
          <w:szCs w:val="24"/>
        </w:rPr>
        <w:t>to</w:t>
      </w:r>
      <w:r>
        <w:rPr>
          <w:rFonts w:ascii="Times New Roman" w:hAnsi="Times New Roman"/>
          <w:sz w:val="24"/>
          <w:szCs w:val="24"/>
        </w:rPr>
        <w:t xml:space="preserve"> </w:t>
      </w:r>
      <w:r w:rsidRPr="00E0167A">
        <w:rPr>
          <w:rFonts w:ascii="Times New Roman" w:hAnsi="Times New Roman"/>
          <w:sz w:val="24"/>
          <w:szCs w:val="24"/>
        </w:rPr>
        <w:t>murder</w:t>
      </w:r>
      <w:r>
        <w:rPr>
          <w:rFonts w:ascii="Times New Roman" w:hAnsi="Times New Roman"/>
          <w:sz w:val="24"/>
          <w:szCs w:val="24"/>
        </w:rPr>
        <w:t xml:space="preserve"> </w:t>
      </w:r>
      <w:r w:rsidRPr="00E0167A">
        <w:rPr>
          <w:rFonts w:ascii="Times New Roman" w:hAnsi="Times New Roman"/>
          <w:sz w:val="24"/>
          <w:szCs w:val="24"/>
        </w:rPr>
        <w:t>a</w:t>
      </w:r>
      <w:r>
        <w:rPr>
          <w:rFonts w:ascii="Times New Roman" w:hAnsi="Times New Roman"/>
          <w:sz w:val="24"/>
          <w:szCs w:val="24"/>
        </w:rPr>
        <w:t xml:space="preserve"> </w:t>
      </w:r>
      <w:r w:rsidRPr="00E0167A">
        <w:rPr>
          <w:rFonts w:ascii="Times New Roman" w:hAnsi="Times New Roman"/>
          <w:sz w:val="24"/>
          <w:szCs w:val="24"/>
        </w:rPr>
        <w:t>federal</w:t>
      </w:r>
      <w:r>
        <w:rPr>
          <w:rFonts w:ascii="Times New Roman" w:hAnsi="Times New Roman"/>
          <w:sz w:val="24"/>
          <w:szCs w:val="24"/>
        </w:rPr>
        <w:t xml:space="preserve"> </w:t>
      </w:r>
      <w:r w:rsidRPr="00E0167A">
        <w:rPr>
          <w:rFonts w:ascii="Times New Roman" w:hAnsi="Times New Roman"/>
          <w:sz w:val="24"/>
          <w:szCs w:val="24"/>
        </w:rPr>
        <w:t>agent</w:t>
      </w:r>
      <w:r>
        <w:rPr>
          <w:rFonts w:ascii="Times New Roman" w:hAnsi="Times New Roman"/>
          <w:sz w:val="24"/>
          <w:szCs w:val="24"/>
        </w:rPr>
        <w:t xml:space="preserve"> </w:t>
      </w:r>
      <w:r w:rsidRPr="00E0167A">
        <w:rPr>
          <w:rFonts w:ascii="Times New Roman" w:hAnsi="Times New Roman"/>
          <w:sz w:val="24"/>
          <w:szCs w:val="24"/>
        </w:rPr>
        <w:t>in</w:t>
      </w:r>
      <w:r>
        <w:rPr>
          <w:rFonts w:ascii="Times New Roman" w:hAnsi="Times New Roman"/>
          <w:sz w:val="24"/>
          <w:szCs w:val="24"/>
        </w:rPr>
        <w:t xml:space="preserve"> </w:t>
      </w:r>
      <w:r w:rsidRPr="00E0167A">
        <w:rPr>
          <w:rFonts w:ascii="Times New Roman" w:hAnsi="Times New Roman"/>
          <w:sz w:val="24"/>
          <w:szCs w:val="24"/>
        </w:rPr>
        <w:t>the</w:t>
      </w:r>
      <w:r>
        <w:rPr>
          <w:rFonts w:ascii="Times New Roman" w:hAnsi="Times New Roman"/>
          <w:sz w:val="24"/>
          <w:szCs w:val="24"/>
        </w:rPr>
        <w:t xml:space="preserve"> </w:t>
      </w:r>
      <w:r w:rsidRPr="00E0167A">
        <w:rPr>
          <w:rFonts w:ascii="Times New Roman" w:hAnsi="Times New Roman"/>
          <w:sz w:val="24"/>
          <w:szCs w:val="24"/>
        </w:rPr>
        <w:t>name</w:t>
      </w:r>
      <w:r>
        <w:rPr>
          <w:rFonts w:ascii="Times New Roman" w:hAnsi="Times New Roman"/>
          <w:sz w:val="24"/>
          <w:szCs w:val="24"/>
        </w:rPr>
        <w:t xml:space="preserve"> </w:t>
      </w:r>
      <w:r w:rsidRPr="00E0167A">
        <w:rPr>
          <w:rFonts w:ascii="Times New Roman" w:hAnsi="Times New Roman"/>
          <w:sz w:val="24"/>
          <w:szCs w:val="24"/>
        </w:rPr>
        <w:t>of</w:t>
      </w:r>
      <w:r>
        <w:rPr>
          <w:rFonts w:ascii="Times New Roman" w:hAnsi="Times New Roman"/>
          <w:sz w:val="24"/>
          <w:szCs w:val="24"/>
        </w:rPr>
        <w:t xml:space="preserve"> </w:t>
      </w:r>
      <w:r w:rsidRPr="00E0167A">
        <w:rPr>
          <w:rFonts w:ascii="Times New Roman" w:hAnsi="Times New Roman"/>
          <w:sz w:val="24"/>
          <w:szCs w:val="24"/>
        </w:rPr>
        <w:t>ISIS.</w:t>
      </w:r>
      <w:r>
        <w:rPr>
          <w:rFonts w:ascii="Times New Roman" w:hAnsi="Times New Roman"/>
          <w:sz w:val="24"/>
          <w:szCs w:val="24"/>
        </w:rPr>
        <w:t xml:space="preserve"> </w:t>
      </w:r>
      <w:r w:rsidRPr="00E0167A">
        <w:rPr>
          <w:rFonts w:ascii="Times New Roman" w:hAnsi="Times New Roman"/>
          <w:sz w:val="24"/>
          <w:szCs w:val="24"/>
        </w:rPr>
        <w:t>His</w:t>
      </w:r>
      <w:r>
        <w:rPr>
          <w:rFonts w:ascii="Times New Roman" w:hAnsi="Times New Roman"/>
          <w:sz w:val="24"/>
          <w:szCs w:val="24"/>
        </w:rPr>
        <w:t xml:space="preserve"> </w:t>
      </w:r>
      <w:r w:rsidRPr="00E0167A">
        <w:rPr>
          <w:rFonts w:ascii="Times New Roman" w:hAnsi="Times New Roman"/>
          <w:sz w:val="24"/>
          <w:szCs w:val="24"/>
        </w:rPr>
        <w:t>advisory</w:t>
      </w:r>
      <w:r>
        <w:rPr>
          <w:rFonts w:ascii="Times New Roman" w:hAnsi="Times New Roman"/>
          <w:sz w:val="24"/>
          <w:szCs w:val="24"/>
        </w:rPr>
        <w:t xml:space="preserve"> </w:t>
      </w:r>
      <w:r w:rsidRPr="00E0167A">
        <w:rPr>
          <w:rFonts w:ascii="Times New Roman" w:hAnsi="Times New Roman"/>
          <w:sz w:val="24"/>
          <w:szCs w:val="24"/>
        </w:rPr>
        <w:t>sentence</w:t>
      </w:r>
      <w:r>
        <w:rPr>
          <w:rFonts w:ascii="Times New Roman" w:hAnsi="Times New Roman"/>
          <w:sz w:val="24"/>
          <w:szCs w:val="24"/>
        </w:rPr>
        <w:t xml:space="preserve"> </w:t>
      </w:r>
      <w:r w:rsidRPr="00E0167A">
        <w:rPr>
          <w:rFonts w:ascii="Times New Roman" w:hAnsi="Times New Roman"/>
          <w:sz w:val="24"/>
          <w:szCs w:val="24"/>
        </w:rPr>
        <w:t>under</w:t>
      </w:r>
      <w:r>
        <w:rPr>
          <w:rFonts w:ascii="Times New Roman" w:hAnsi="Times New Roman"/>
          <w:sz w:val="24"/>
          <w:szCs w:val="24"/>
        </w:rPr>
        <w:t xml:space="preserve"> </w:t>
      </w:r>
      <w:r w:rsidRPr="00E0167A">
        <w:rPr>
          <w:rFonts w:ascii="Times New Roman" w:hAnsi="Times New Roman"/>
          <w:sz w:val="24"/>
          <w:szCs w:val="24"/>
        </w:rPr>
        <w:t>the</w:t>
      </w:r>
      <w:r>
        <w:rPr>
          <w:rFonts w:ascii="Times New Roman" w:hAnsi="Times New Roman"/>
          <w:sz w:val="24"/>
          <w:szCs w:val="24"/>
        </w:rPr>
        <w:t xml:space="preserve"> </w:t>
      </w:r>
      <w:r w:rsidRPr="00E0167A">
        <w:rPr>
          <w:rFonts w:ascii="Times New Roman" w:hAnsi="Times New Roman"/>
          <w:sz w:val="24"/>
          <w:szCs w:val="24"/>
        </w:rPr>
        <w:t>United</w:t>
      </w:r>
      <w:r>
        <w:rPr>
          <w:rFonts w:ascii="Times New Roman" w:hAnsi="Times New Roman"/>
          <w:sz w:val="24"/>
          <w:szCs w:val="24"/>
        </w:rPr>
        <w:t xml:space="preserve"> </w:t>
      </w:r>
      <w:r w:rsidRPr="00E0167A">
        <w:rPr>
          <w:rFonts w:ascii="Times New Roman" w:hAnsi="Times New Roman"/>
          <w:sz w:val="24"/>
          <w:szCs w:val="24"/>
        </w:rPr>
        <w:t>States</w:t>
      </w:r>
      <w:r>
        <w:rPr>
          <w:rFonts w:ascii="Times New Roman" w:hAnsi="Times New Roman"/>
          <w:sz w:val="24"/>
          <w:szCs w:val="24"/>
        </w:rPr>
        <w:t xml:space="preserve"> </w:t>
      </w:r>
      <w:r w:rsidRPr="00E0167A">
        <w:rPr>
          <w:rFonts w:ascii="Times New Roman" w:hAnsi="Times New Roman"/>
          <w:sz w:val="24"/>
          <w:szCs w:val="24"/>
        </w:rPr>
        <w:t>Sentencing</w:t>
      </w:r>
      <w:r>
        <w:rPr>
          <w:rFonts w:ascii="Times New Roman" w:hAnsi="Times New Roman"/>
          <w:sz w:val="24"/>
          <w:szCs w:val="24"/>
        </w:rPr>
        <w:t xml:space="preserve"> </w:t>
      </w:r>
      <w:r w:rsidRPr="00E0167A">
        <w:rPr>
          <w:rFonts w:ascii="Times New Roman" w:hAnsi="Times New Roman"/>
          <w:sz w:val="24"/>
          <w:szCs w:val="24"/>
        </w:rPr>
        <w:t>Guidelines</w:t>
      </w:r>
      <w:r>
        <w:rPr>
          <w:rFonts w:ascii="Times New Roman" w:hAnsi="Times New Roman"/>
          <w:sz w:val="24"/>
          <w:szCs w:val="24"/>
        </w:rPr>
        <w:t xml:space="preserve"> </w:t>
      </w:r>
      <w:r w:rsidRPr="00E0167A">
        <w:rPr>
          <w:rFonts w:ascii="Times New Roman" w:hAnsi="Times New Roman"/>
          <w:sz w:val="24"/>
          <w:szCs w:val="24"/>
        </w:rPr>
        <w:t>(</w:t>
      </w:r>
      <w:r>
        <w:rPr>
          <w:rFonts w:ascii="Times New Roman" w:hAnsi="Times New Roman"/>
          <w:sz w:val="24"/>
          <w:szCs w:val="24"/>
        </w:rPr>
        <w:t>‘</w:t>
      </w:r>
      <w:r w:rsidRPr="00E0167A">
        <w:rPr>
          <w:rFonts w:ascii="Times New Roman" w:hAnsi="Times New Roman"/>
          <w:sz w:val="24"/>
          <w:szCs w:val="24"/>
        </w:rPr>
        <w:t>Guidelines</w:t>
      </w:r>
      <w:r>
        <w:rPr>
          <w:rFonts w:ascii="Times New Roman" w:hAnsi="Times New Roman"/>
          <w:sz w:val="24"/>
          <w:szCs w:val="24"/>
        </w:rPr>
        <w:t xml:space="preserve">’ </w:t>
      </w:r>
      <w:r w:rsidRPr="00E0167A">
        <w:rPr>
          <w:rFonts w:ascii="Times New Roman" w:hAnsi="Times New Roman"/>
          <w:sz w:val="24"/>
          <w:szCs w:val="24"/>
        </w:rPr>
        <w:t>or</w:t>
      </w:r>
      <w:r>
        <w:rPr>
          <w:rFonts w:ascii="Times New Roman" w:hAnsi="Times New Roman"/>
          <w:sz w:val="24"/>
          <w:szCs w:val="24"/>
        </w:rPr>
        <w:t xml:space="preserve"> ‘</w:t>
      </w:r>
      <w:r w:rsidRPr="00E0167A">
        <w:rPr>
          <w:rFonts w:ascii="Times New Roman" w:hAnsi="Times New Roman"/>
          <w:sz w:val="24"/>
          <w:szCs w:val="24"/>
        </w:rPr>
        <w:t>U.S.S.G.</w:t>
      </w:r>
      <w:r>
        <w:rPr>
          <w:rFonts w:ascii="Times New Roman" w:hAnsi="Times New Roman"/>
          <w:sz w:val="24"/>
          <w:szCs w:val="24"/>
        </w:rPr>
        <w:t>’</w:t>
      </w:r>
      <w:r w:rsidRPr="00E0167A">
        <w:rPr>
          <w:rFonts w:ascii="Times New Roman" w:hAnsi="Times New Roman"/>
          <w:sz w:val="24"/>
          <w:szCs w:val="24"/>
        </w:rPr>
        <w:t>)</w:t>
      </w:r>
      <w:r>
        <w:rPr>
          <w:rFonts w:ascii="Times New Roman" w:hAnsi="Times New Roman"/>
          <w:sz w:val="24"/>
          <w:szCs w:val="24"/>
        </w:rPr>
        <w:t xml:space="preserve"> </w:t>
      </w:r>
      <w:r w:rsidRPr="00E0167A">
        <w:rPr>
          <w:rFonts w:ascii="Times New Roman" w:hAnsi="Times New Roman"/>
          <w:sz w:val="24"/>
          <w:szCs w:val="24"/>
        </w:rPr>
        <w:t>was</w:t>
      </w:r>
      <w:r>
        <w:rPr>
          <w:rFonts w:ascii="Times New Roman" w:hAnsi="Times New Roman"/>
          <w:sz w:val="24"/>
          <w:szCs w:val="24"/>
        </w:rPr>
        <w:t xml:space="preserve"> </w:t>
      </w:r>
      <w:r w:rsidRPr="00E0167A">
        <w:rPr>
          <w:rFonts w:ascii="Times New Roman" w:hAnsi="Times New Roman"/>
          <w:sz w:val="24"/>
          <w:szCs w:val="24"/>
        </w:rPr>
        <w:t>85</w:t>
      </w:r>
      <w:r>
        <w:rPr>
          <w:rFonts w:ascii="Times New Roman" w:hAnsi="Times New Roman"/>
          <w:sz w:val="24"/>
          <w:szCs w:val="24"/>
        </w:rPr>
        <w:t xml:space="preserve"> </w:t>
      </w:r>
      <w:r w:rsidRPr="00E0167A">
        <w:rPr>
          <w:rFonts w:ascii="Times New Roman" w:hAnsi="Times New Roman"/>
          <w:sz w:val="24"/>
          <w:szCs w:val="24"/>
        </w:rPr>
        <w:t>years’</w:t>
      </w:r>
      <w:r>
        <w:rPr>
          <w:rFonts w:ascii="Times New Roman" w:hAnsi="Times New Roman"/>
          <w:sz w:val="24"/>
          <w:szCs w:val="24"/>
        </w:rPr>
        <w:t xml:space="preserve"> </w:t>
      </w:r>
      <w:r w:rsidRPr="00E0167A">
        <w:rPr>
          <w:rFonts w:ascii="Times New Roman" w:hAnsi="Times New Roman"/>
          <w:sz w:val="24"/>
          <w:szCs w:val="24"/>
        </w:rPr>
        <w:t>imprisonment.</w:t>
      </w:r>
      <w:r>
        <w:rPr>
          <w:rFonts w:ascii="Times New Roman" w:hAnsi="Times New Roman"/>
          <w:sz w:val="24"/>
          <w:szCs w:val="24"/>
        </w:rPr>
        <w:t xml:space="preserve"> </w:t>
      </w:r>
      <w:r w:rsidRPr="00E0167A">
        <w:rPr>
          <w:rFonts w:ascii="Times New Roman" w:hAnsi="Times New Roman"/>
          <w:sz w:val="24"/>
          <w:szCs w:val="24"/>
        </w:rPr>
        <w:t>The</w:t>
      </w:r>
      <w:r>
        <w:rPr>
          <w:rFonts w:ascii="Times New Roman" w:hAnsi="Times New Roman"/>
          <w:sz w:val="24"/>
          <w:szCs w:val="24"/>
        </w:rPr>
        <w:t xml:space="preserve"> </w:t>
      </w:r>
      <w:r w:rsidRPr="00E0167A">
        <w:rPr>
          <w:rFonts w:ascii="Times New Roman" w:hAnsi="Times New Roman"/>
          <w:sz w:val="24"/>
          <w:szCs w:val="24"/>
        </w:rPr>
        <w:t>sole</w:t>
      </w:r>
      <w:r>
        <w:rPr>
          <w:rFonts w:ascii="Times New Roman" w:hAnsi="Times New Roman"/>
          <w:sz w:val="24"/>
          <w:szCs w:val="24"/>
        </w:rPr>
        <w:t xml:space="preserve"> </w:t>
      </w:r>
      <w:r w:rsidRPr="00E0167A">
        <w:rPr>
          <w:rFonts w:ascii="Times New Roman" w:hAnsi="Times New Roman"/>
          <w:sz w:val="24"/>
          <w:szCs w:val="24"/>
        </w:rPr>
        <w:t>question</w:t>
      </w:r>
      <w:r>
        <w:rPr>
          <w:rFonts w:ascii="Times New Roman" w:hAnsi="Times New Roman"/>
          <w:sz w:val="24"/>
          <w:szCs w:val="24"/>
        </w:rPr>
        <w:t xml:space="preserve"> </w:t>
      </w:r>
      <w:r w:rsidRPr="00E0167A">
        <w:rPr>
          <w:rFonts w:ascii="Times New Roman" w:hAnsi="Times New Roman"/>
          <w:sz w:val="24"/>
          <w:szCs w:val="24"/>
        </w:rPr>
        <w:t>on</w:t>
      </w:r>
      <w:r>
        <w:rPr>
          <w:rFonts w:ascii="Times New Roman" w:hAnsi="Times New Roman"/>
          <w:sz w:val="24"/>
          <w:szCs w:val="24"/>
        </w:rPr>
        <w:t xml:space="preserve"> </w:t>
      </w:r>
      <w:r w:rsidRPr="00E0167A">
        <w:rPr>
          <w:rFonts w:ascii="Times New Roman" w:hAnsi="Times New Roman"/>
          <w:sz w:val="24"/>
          <w:szCs w:val="24"/>
        </w:rPr>
        <w:t>appeal</w:t>
      </w:r>
      <w:r>
        <w:rPr>
          <w:rFonts w:ascii="Times New Roman" w:hAnsi="Times New Roman"/>
          <w:sz w:val="24"/>
          <w:szCs w:val="24"/>
        </w:rPr>
        <w:t xml:space="preserve"> </w:t>
      </w:r>
      <w:r w:rsidRPr="00E0167A">
        <w:rPr>
          <w:rFonts w:ascii="Times New Roman" w:hAnsi="Times New Roman"/>
          <w:sz w:val="24"/>
          <w:szCs w:val="24"/>
        </w:rPr>
        <w:t>is</w:t>
      </w:r>
      <w:r>
        <w:rPr>
          <w:rFonts w:ascii="Times New Roman" w:hAnsi="Times New Roman"/>
          <w:sz w:val="24"/>
          <w:szCs w:val="24"/>
        </w:rPr>
        <w:t xml:space="preserve"> </w:t>
      </w:r>
      <w:r w:rsidRPr="00E0167A">
        <w:rPr>
          <w:rFonts w:ascii="Times New Roman" w:hAnsi="Times New Roman"/>
          <w:sz w:val="24"/>
          <w:szCs w:val="24"/>
        </w:rPr>
        <w:t>whether</w:t>
      </w:r>
      <w:r>
        <w:rPr>
          <w:rFonts w:ascii="Times New Roman" w:hAnsi="Times New Roman"/>
          <w:sz w:val="24"/>
          <w:szCs w:val="24"/>
        </w:rPr>
        <w:t xml:space="preserve"> </w:t>
      </w:r>
      <w:r w:rsidRPr="00E0167A">
        <w:rPr>
          <w:rFonts w:ascii="Times New Roman" w:hAnsi="Times New Roman"/>
          <w:sz w:val="24"/>
          <w:szCs w:val="24"/>
        </w:rPr>
        <w:t>the</w:t>
      </w:r>
      <w:r>
        <w:rPr>
          <w:rFonts w:ascii="Times New Roman" w:hAnsi="Times New Roman"/>
          <w:sz w:val="24"/>
          <w:szCs w:val="24"/>
        </w:rPr>
        <w:t xml:space="preserve"> </w:t>
      </w:r>
      <w:r w:rsidRPr="00E0167A">
        <w:rPr>
          <w:rFonts w:ascii="Times New Roman" w:hAnsi="Times New Roman"/>
          <w:sz w:val="24"/>
          <w:szCs w:val="24"/>
        </w:rPr>
        <w:t>United</w:t>
      </w:r>
      <w:r>
        <w:rPr>
          <w:rFonts w:ascii="Times New Roman" w:hAnsi="Times New Roman"/>
          <w:sz w:val="24"/>
          <w:szCs w:val="24"/>
        </w:rPr>
        <w:t xml:space="preserve"> </w:t>
      </w:r>
      <w:r w:rsidRPr="00E0167A">
        <w:rPr>
          <w:rFonts w:ascii="Times New Roman" w:hAnsi="Times New Roman"/>
          <w:sz w:val="24"/>
          <w:szCs w:val="24"/>
        </w:rPr>
        <w:t>States</w:t>
      </w:r>
      <w:r>
        <w:rPr>
          <w:rFonts w:ascii="Times New Roman" w:hAnsi="Times New Roman"/>
          <w:sz w:val="24"/>
          <w:szCs w:val="24"/>
        </w:rPr>
        <w:t xml:space="preserve"> </w:t>
      </w:r>
      <w:r w:rsidRPr="00E0167A">
        <w:rPr>
          <w:rFonts w:ascii="Times New Roman" w:hAnsi="Times New Roman"/>
          <w:sz w:val="24"/>
          <w:szCs w:val="24"/>
        </w:rPr>
        <w:t>District</w:t>
      </w:r>
      <w:r>
        <w:rPr>
          <w:rFonts w:ascii="Times New Roman" w:hAnsi="Times New Roman"/>
          <w:sz w:val="24"/>
          <w:szCs w:val="24"/>
        </w:rPr>
        <w:t xml:space="preserve"> </w:t>
      </w:r>
      <w:r w:rsidRPr="00E0167A">
        <w:rPr>
          <w:rFonts w:ascii="Times New Roman" w:hAnsi="Times New Roman"/>
          <w:sz w:val="24"/>
          <w:szCs w:val="24"/>
        </w:rPr>
        <w:t>Court</w:t>
      </w:r>
      <w:r>
        <w:rPr>
          <w:rFonts w:ascii="Times New Roman" w:hAnsi="Times New Roman"/>
          <w:sz w:val="24"/>
          <w:szCs w:val="24"/>
        </w:rPr>
        <w:t xml:space="preserve"> </w:t>
      </w:r>
      <w:r w:rsidRPr="00E0167A">
        <w:rPr>
          <w:rFonts w:ascii="Times New Roman" w:hAnsi="Times New Roman"/>
          <w:sz w:val="24"/>
          <w:szCs w:val="24"/>
        </w:rPr>
        <w:t>for</w:t>
      </w:r>
      <w:r>
        <w:rPr>
          <w:rFonts w:ascii="Times New Roman" w:hAnsi="Times New Roman"/>
          <w:sz w:val="24"/>
          <w:szCs w:val="24"/>
        </w:rPr>
        <w:t xml:space="preserve"> </w:t>
      </w:r>
      <w:r w:rsidRPr="00E0167A">
        <w:rPr>
          <w:rFonts w:ascii="Times New Roman" w:hAnsi="Times New Roman"/>
          <w:sz w:val="24"/>
          <w:szCs w:val="24"/>
        </w:rPr>
        <w:t>the</w:t>
      </w:r>
      <w:r>
        <w:rPr>
          <w:rFonts w:ascii="Times New Roman" w:hAnsi="Times New Roman"/>
          <w:sz w:val="24"/>
          <w:szCs w:val="24"/>
        </w:rPr>
        <w:t xml:space="preserve"> </w:t>
      </w:r>
      <w:r w:rsidRPr="00E0167A">
        <w:rPr>
          <w:rFonts w:ascii="Times New Roman" w:hAnsi="Times New Roman"/>
          <w:sz w:val="24"/>
          <w:szCs w:val="24"/>
        </w:rPr>
        <w:t>Eastern</w:t>
      </w:r>
      <w:r>
        <w:rPr>
          <w:rFonts w:ascii="Times New Roman" w:hAnsi="Times New Roman"/>
          <w:sz w:val="24"/>
          <w:szCs w:val="24"/>
        </w:rPr>
        <w:t xml:space="preserve"> </w:t>
      </w:r>
      <w:r w:rsidRPr="00E0167A">
        <w:rPr>
          <w:rFonts w:ascii="Times New Roman" w:hAnsi="Times New Roman"/>
          <w:sz w:val="24"/>
          <w:szCs w:val="24"/>
        </w:rPr>
        <w:t>District</w:t>
      </w:r>
      <w:r>
        <w:rPr>
          <w:rFonts w:ascii="Times New Roman" w:hAnsi="Times New Roman"/>
          <w:sz w:val="24"/>
          <w:szCs w:val="24"/>
        </w:rPr>
        <w:t xml:space="preserve"> </w:t>
      </w:r>
      <w:r w:rsidRPr="00E0167A">
        <w:rPr>
          <w:rFonts w:ascii="Times New Roman" w:hAnsi="Times New Roman"/>
          <w:sz w:val="24"/>
          <w:szCs w:val="24"/>
        </w:rPr>
        <w:t>of</w:t>
      </w:r>
      <w:r>
        <w:rPr>
          <w:rFonts w:ascii="Times New Roman" w:hAnsi="Times New Roman"/>
          <w:sz w:val="24"/>
          <w:szCs w:val="24"/>
        </w:rPr>
        <w:t xml:space="preserve"> </w:t>
      </w:r>
      <w:r w:rsidRPr="00E0167A">
        <w:rPr>
          <w:rFonts w:ascii="Times New Roman" w:hAnsi="Times New Roman"/>
          <w:sz w:val="24"/>
          <w:szCs w:val="24"/>
        </w:rPr>
        <w:t>New</w:t>
      </w:r>
      <w:r>
        <w:rPr>
          <w:rFonts w:ascii="Times New Roman" w:hAnsi="Times New Roman"/>
          <w:sz w:val="24"/>
          <w:szCs w:val="24"/>
        </w:rPr>
        <w:t xml:space="preserve"> </w:t>
      </w:r>
      <w:r w:rsidRPr="00E0167A">
        <w:rPr>
          <w:rFonts w:ascii="Times New Roman" w:hAnsi="Times New Roman"/>
          <w:sz w:val="24"/>
          <w:szCs w:val="24"/>
        </w:rPr>
        <w:t>York</w:t>
      </w:r>
      <w:r>
        <w:rPr>
          <w:rFonts w:ascii="Times New Roman" w:hAnsi="Times New Roman"/>
          <w:sz w:val="24"/>
          <w:szCs w:val="24"/>
        </w:rPr>
        <w:t xml:space="preserve"> </w:t>
      </w:r>
      <w:r w:rsidRPr="00E0167A">
        <w:rPr>
          <w:rFonts w:ascii="Times New Roman" w:hAnsi="Times New Roman"/>
          <w:sz w:val="24"/>
          <w:szCs w:val="24"/>
        </w:rPr>
        <w:t>(Margo</w:t>
      </w:r>
      <w:r>
        <w:rPr>
          <w:rFonts w:ascii="Times New Roman" w:hAnsi="Times New Roman"/>
          <w:sz w:val="24"/>
          <w:szCs w:val="24"/>
        </w:rPr>
        <w:t xml:space="preserve"> </w:t>
      </w:r>
      <w:r w:rsidRPr="00E0167A">
        <w:rPr>
          <w:rFonts w:ascii="Times New Roman" w:hAnsi="Times New Roman"/>
          <w:sz w:val="24"/>
          <w:szCs w:val="24"/>
        </w:rPr>
        <w:t>K.</w:t>
      </w:r>
      <w:r>
        <w:rPr>
          <w:rFonts w:ascii="Times New Roman" w:hAnsi="Times New Roman"/>
          <w:sz w:val="24"/>
          <w:szCs w:val="24"/>
        </w:rPr>
        <w:t xml:space="preserve"> </w:t>
      </w:r>
      <w:r w:rsidRPr="00E0167A">
        <w:rPr>
          <w:rFonts w:ascii="Times New Roman" w:hAnsi="Times New Roman"/>
          <w:sz w:val="24"/>
          <w:szCs w:val="24"/>
        </w:rPr>
        <w:t>Brodie,</w:t>
      </w:r>
      <w:r>
        <w:rPr>
          <w:rFonts w:ascii="Times New Roman" w:hAnsi="Times New Roman"/>
          <w:sz w:val="24"/>
          <w:szCs w:val="24"/>
        </w:rPr>
        <w:t xml:space="preserve"> </w:t>
      </w:r>
      <w:r w:rsidRPr="00E0167A">
        <w:rPr>
          <w:rFonts w:ascii="Times New Roman" w:hAnsi="Times New Roman"/>
          <w:sz w:val="24"/>
          <w:szCs w:val="24"/>
        </w:rPr>
        <w:t>Judge)</w:t>
      </w:r>
      <w:r>
        <w:rPr>
          <w:rFonts w:ascii="Times New Roman" w:hAnsi="Times New Roman"/>
          <w:sz w:val="24"/>
          <w:szCs w:val="24"/>
        </w:rPr>
        <w:t xml:space="preserve"> </w:t>
      </w:r>
      <w:r w:rsidRPr="00E0167A">
        <w:rPr>
          <w:rFonts w:ascii="Times New Roman" w:hAnsi="Times New Roman"/>
          <w:sz w:val="24"/>
          <w:szCs w:val="24"/>
        </w:rPr>
        <w:t>erred—or</w:t>
      </w:r>
      <w:r>
        <w:rPr>
          <w:rFonts w:ascii="Times New Roman" w:hAnsi="Times New Roman"/>
          <w:sz w:val="24"/>
          <w:szCs w:val="24"/>
        </w:rPr>
        <w:t xml:space="preserve"> ‘</w:t>
      </w:r>
      <w:r w:rsidRPr="00E0167A">
        <w:rPr>
          <w:rFonts w:ascii="Times New Roman" w:hAnsi="Times New Roman"/>
          <w:sz w:val="24"/>
          <w:szCs w:val="24"/>
        </w:rPr>
        <w:t>abuse</w:t>
      </w:r>
      <w:r>
        <w:rPr>
          <w:rFonts w:ascii="Times New Roman" w:hAnsi="Times New Roman"/>
          <w:sz w:val="24"/>
          <w:szCs w:val="24"/>
        </w:rPr>
        <w:t xml:space="preserve">d its </w:t>
      </w:r>
      <w:r w:rsidRPr="00E0167A">
        <w:rPr>
          <w:rFonts w:ascii="Times New Roman" w:hAnsi="Times New Roman"/>
          <w:sz w:val="24"/>
          <w:szCs w:val="24"/>
        </w:rPr>
        <w:t>discretion</w:t>
      </w:r>
      <w:r>
        <w:rPr>
          <w:rFonts w:ascii="Times New Roman" w:hAnsi="Times New Roman"/>
          <w:sz w:val="24"/>
          <w:szCs w:val="24"/>
        </w:rPr>
        <w:t>’</w:t>
      </w:r>
      <w:r w:rsidRPr="00E0167A">
        <w:rPr>
          <w:rFonts w:ascii="Times New Roman" w:hAnsi="Times New Roman"/>
          <w:sz w:val="24"/>
          <w:szCs w:val="24"/>
        </w:rPr>
        <w:t>—by</w:t>
      </w:r>
      <w:r>
        <w:rPr>
          <w:rFonts w:ascii="Times New Roman" w:hAnsi="Times New Roman"/>
          <w:sz w:val="24"/>
          <w:szCs w:val="24"/>
        </w:rPr>
        <w:t xml:space="preserve"> </w:t>
      </w:r>
      <w:r w:rsidRPr="00E0167A">
        <w:rPr>
          <w:rFonts w:ascii="Times New Roman" w:hAnsi="Times New Roman"/>
          <w:sz w:val="24"/>
          <w:szCs w:val="24"/>
        </w:rPr>
        <w:t>imposing</w:t>
      </w:r>
      <w:r>
        <w:rPr>
          <w:rFonts w:ascii="Times New Roman" w:hAnsi="Times New Roman"/>
          <w:sz w:val="24"/>
          <w:szCs w:val="24"/>
        </w:rPr>
        <w:t xml:space="preserve"> </w:t>
      </w:r>
      <w:r w:rsidRPr="00E0167A">
        <w:rPr>
          <w:rFonts w:ascii="Times New Roman" w:hAnsi="Times New Roman"/>
          <w:sz w:val="24"/>
          <w:szCs w:val="24"/>
        </w:rPr>
        <w:t>a17‐</w:t>
      </w:r>
      <w:r>
        <w:rPr>
          <w:rFonts w:ascii="Times New Roman" w:hAnsi="Times New Roman"/>
          <w:sz w:val="24"/>
          <w:szCs w:val="24"/>
        </w:rPr>
        <w:t>y</w:t>
      </w:r>
      <w:r w:rsidRPr="00E0167A">
        <w:rPr>
          <w:rFonts w:ascii="Times New Roman" w:hAnsi="Times New Roman"/>
          <w:sz w:val="24"/>
          <w:szCs w:val="24"/>
        </w:rPr>
        <w:t>ear</w:t>
      </w:r>
      <w:r>
        <w:rPr>
          <w:rFonts w:ascii="Times New Roman" w:hAnsi="Times New Roman"/>
          <w:sz w:val="24"/>
          <w:szCs w:val="24"/>
        </w:rPr>
        <w:t xml:space="preserve"> </w:t>
      </w:r>
      <w:r w:rsidRPr="00E0167A">
        <w:rPr>
          <w:rFonts w:ascii="Times New Roman" w:hAnsi="Times New Roman"/>
          <w:sz w:val="24"/>
          <w:szCs w:val="24"/>
        </w:rPr>
        <w:t>sentence,</w:t>
      </w:r>
      <w:r>
        <w:rPr>
          <w:rFonts w:ascii="Times New Roman" w:hAnsi="Times New Roman"/>
          <w:sz w:val="24"/>
          <w:szCs w:val="24"/>
        </w:rPr>
        <w:t xml:space="preserve"> </w:t>
      </w:r>
      <w:r w:rsidRPr="00E0167A">
        <w:rPr>
          <w:rFonts w:ascii="Times New Roman" w:hAnsi="Times New Roman"/>
          <w:sz w:val="24"/>
          <w:szCs w:val="24"/>
        </w:rPr>
        <w:t>which</w:t>
      </w:r>
      <w:r>
        <w:rPr>
          <w:rFonts w:ascii="Times New Roman" w:hAnsi="Times New Roman"/>
          <w:sz w:val="24"/>
          <w:szCs w:val="24"/>
        </w:rPr>
        <w:t xml:space="preserve"> </w:t>
      </w:r>
      <w:r w:rsidRPr="00E0167A">
        <w:rPr>
          <w:rFonts w:ascii="Times New Roman" w:hAnsi="Times New Roman"/>
          <w:sz w:val="24"/>
          <w:szCs w:val="24"/>
        </w:rPr>
        <w:t>constitutes</w:t>
      </w:r>
      <w:r>
        <w:rPr>
          <w:rFonts w:ascii="Times New Roman" w:hAnsi="Times New Roman"/>
          <w:sz w:val="24"/>
          <w:szCs w:val="24"/>
        </w:rPr>
        <w:t xml:space="preserve"> </w:t>
      </w:r>
      <w:r w:rsidRPr="00E0167A">
        <w:rPr>
          <w:rFonts w:ascii="Times New Roman" w:hAnsi="Times New Roman"/>
          <w:sz w:val="24"/>
          <w:szCs w:val="24"/>
        </w:rPr>
        <w:t>an</w:t>
      </w:r>
      <w:r>
        <w:rPr>
          <w:rFonts w:ascii="Times New Roman" w:hAnsi="Times New Roman"/>
          <w:sz w:val="24"/>
          <w:szCs w:val="24"/>
        </w:rPr>
        <w:t xml:space="preserve"> </w:t>
      </w:r>
      <w:r w:rsidRPr="00E0167A">
        <w:rPr>
          <w:rFonts w:ascii="Times New Roman" w:hAnsi="Times New Roman"/>
          <w:sz w:val="24"/>
          <w:szCs w:val="24"/>
        </w:rPr>
        <w:t>80%</w:t>
      </w:r>
      <w:r>
        <w:rPr>
          <w:rFonts w:ascii="Times New Roman" w:hAnsi="Times New Roman"/>
          <w:sz w:val="24"/>
          <w:szCs w:val="24"/>
        </w:rPr>
        <w:t xml:space="preserve"> </w:t>
      </w:r>
      <w:r w:rsidRPr="00E0167A">
        <w:rPr>
          <w:rFonts w:ascii="Times New Roman" w:hAnsi="Times New Roman"/>
          <w:sz w:val="24"/>
          <w:szCs w:val="24"/>
        </w:rPr>
        <w:t>downward</w:t>
      </w:r>
      <w:r>
        <w:rPr>
          <w:rFonts w:ascii="Times New Roman" w:hAnsi="Times New Roman"/>
          <w:sz w:val="24"/>
          <w:szCs w:val="24"/>
        </w:rPr>
        <w:t xml:space="preserve"> </w:t>
      </w:r>
      <w:r w:rsidRPr="00E0167A">
        <w:rPr>
          <w:rFonts w:ascii="Times New Roman" w:hAnsi="Times New Roman"/>
          <w:sz w:val="24"/>
          <w:szCs w:val="24"/>
        </w:rPr>
        <w:t>variance</w:t>
      </w:r>
      <w:r>
        <w:rPr>
          <w:rFonts w:ascii="Times New Roman" w:hAnsi="Times New Roman"/>
          <w:sz w:val="24"/>
          <w:szCs w:val="24"/>
        </w:rPr>
        <w:t xml:space="preserve"> </w:t>
      </w:r>
      <w:r w:rsidRPr="00E0167A">
        <w:rPr>
          <w:rFonts w:ascii="Times New Roman" w:hAnsi="Times New Roman"/>
          <w:sz w:val="24"/>
          <w:szCs w:val="24"/>
        </w:rPr>
        <w:t>from</w:t>
      </w:r>
      <w:r>
        <w:rPr>
          <w:rFonts w:ascii="Times New Roman" w:hAnsi="Times New Roman"/>
          <w:sz w:val="24"/>
          <w:szCs w:val="24"/>
        </w:rPr>
        <w:t xml:space="preserve"> </w:t>
      </w:r>
      <w:r w:rsidRPr="00E0167A">
        <w:rPr>
          <w:rFonts w:ascii="Times New Roman" w:hAnsi="Times New Roman"/>
          <w:sz w:val="24"/>
          <w:szCs w:val="24"/>
        </w:rPr>
        <w:t>Mumuni’s</w:t>
      </w:r>
      <w:r>
        <w:rPr>
          <w:rFonts w:ascii="Times New Roman" w:hAnsi="Times New Roman"/>
          <w:sz w:val="24"/>
          <w:szCs w:val="24"/>
        </w:rPr>
        <w:t xml:space="preserve"> </w:t>
      </w:r>
      <w:r w:rsidRPr="00E0167A">
        <w:rPr>
          <w:rFonts w:ascii="Times New Roman" w:hAnsi="Times New Roman"/>
          <w:sz w:val="24"/>
          <w:szCs w:val="24"/>
        </w:rPr>
        <w:t>advisory</w:t>
      </w:r>
      <w:r>
        <w:rPr>
          <w:rFonts w:ascii="Times New Roman" w:hAnsi="Times New Roman"/>
          <w:sz w:val="24"/>
          <w:szCs w:val="24"/>
        </w:rPr>
        <w:t xml:space="preserve"> </w:t>
      </w:r>
      <w:r w:rsidRPr="00E0167A">
        <w:rPr>
          <w:rFonts w:ascii="Times New Roman" w:hAnsi="Times New Roman"/>
          <w:sz w:val="24"/>
          <w:szCs w:val="24"/>
        </w:rPr>
        <w:t>Guidelines</w:t>
      </w:r>
      <w:r>
        <w:rPr>
          <w:rFonts w:ascii="Times New Roman" w:hAnsi="Times New Roman"/>
          <w:sz w:val="24"/>
          <w:szCs w:val="24"/>
        </w:rPr>
        <w:t xml:space="preserve"> </w:t>
      </w:r>
      <w:r w:rsidRPr="00E0167A">
        <w:rPr>
          <w:rFonts w:ascii="Times New Roman" w:hAnsi="Times New Roman"/>
          <w:sz w:val="24"/>
          <w:szCs w:val="24"/>
        </w:rPr>
        <w:t>range.</w:t>
      </w:r>
      <w:r>
        <w:rPr>
          <w:rFonts w:ascii="Times New Roman" w:hAnsi="Times New Roman"/>
          <w:sz w:val="24"/>
          <w:szCs w:val="24"/>
        </w:rPr>
        <w:t xml:space="preserve"> </w:t>
      </w:r>
      <w:r w:rsidRPr="00E0167A">
        <w:rPr>
          <w:rFonts w:ascii="Times New Roman" w:hAnsi="Times New Roman"/>
          <w:sz w:val="24"/>
          <w:szCs w:val="24"/>
        </w:rPr>
        <w:t>We</w:t>
      </w:r>
      <w:r>
        <w:rPr>
          <w:rFonts w:ascii="Times New Roman" w:hAnsi="Times New Roman"/>
          <w:sz w:val="24"/>
          <w:szCs w:val="24"/>
        </w:rPr>
        <w:t xml:space="preserve"> </w:t>
      </w:r>
      <w:r w:rsidRPr="00E0167A">
        <w:rPr>
          <w:rFonts w:ascii="Times New Roman" w:hAnsi="Times New Roman"/>
          <w:sz w:val="24"/>
          <w:szCs w:val="24"/>
        </w:rPr>
        <w:t>conclude</w:t>
      </w:r>
      <w:r>
        <w:rPr>
          <w:rFonts w:ascii="Times New Roman" w:hAnsi="Times New Roman"/>
          <w:sz w:val="24"/>
          <w:szCs w:val="24"/>
        </w:rPr>
        <w:t xml:space="preserve"> </w:t>
      </w:r>
      <w:r w:rsidRPr="00E0167A">
        <w:rPr>
          <w:rFonts w:ascii="Times New Roman" w:hAnsi="Times New Roman"/>
          <w:sz w:val="24"/>
          <w:szCs w:val="24"/>
        </w:rPr>
        <w:t>that</w:t>
      </w:r>
      <w:r>
        <w:rPr>
          <w:rFonts w:ascii="Times New Roman" w:hAnsi="Times New Roman"/>
          <w:sz w:val="24"/>
          <w:szCs w:val="24"/>
        </w:rPr>
        <w:t xml:space="preserve"> </w:t>
      </w:r>
      <w:r w:rsidRPr="00E0167A">
        <w:rPr>
          <w:rFonts w:ascii="Times New Roman" w:hAnsi="Times New Roman"/>
          <w:sz w:val="24"/>
          <w:szCs w:val="24"/>
        </w:rPr>
        <w:t>it</w:t>
      </w:r>
      <w:r>
        <w:rPr>
          <w:rFonts w:ascii="Times New Roman" w:hAnsi="Times New Roman"/>
          <w:sz w:val="24"/>
          <w:szCs w:val="24"/>
        </w:rPr>
        <w:t xml:space="preserve"> </w:t>
      </w:r>
      <w:r w:rsidRPr="00E0167A">
        <w:rPr>
          <w:rFonts w:ascii="Times New Roman" w:hAnsi="Times New Roman"/>
          <w:sz w:val="24"/>
          <w:szCs w:val="24"/>
        </w:rPr>
        <w:t>did.</w:t>
      </w:r>
      <w:r>
        <w:rPr>
          <w:rFonts w:ascii="Times New Roman" w:hAnsi="Times New Roman"/>
          <w:sz w:val="24"/>
          <w:szCs w:val="24"/>
        </w:rPr>
        <w:t xml:space="preserve"> </w:t>
      </w:r>
      <w:r w:rsidRPr="00E0167A">
        <w:rPr>
          <w:rFonts w:ascii="Times New Roman" w:hAnsi="Times New Roman"/>
          <w:sz w:val="24"/>
          <w:szCs w:val="24"/>
        </w:rPr>
        <w:t>Accordingly,</w:t>
      </w:r>
      <w:r>
        <w:rPr>
          <w:rFonts w:ascii="Times New Roman" w:hAnsi="Times New Roman"/>
          <w:sz w:val="24"/>
          <w:szCs w:val="24"/>
        </w:rPr>
        <w:t xml:space="preserve"> </w:t>
      </w:r>
      <w:r w:rsidRPr="00E0167A">
        <w:rPr>
          <w:rFonts w:ascii="Times New Roman" w:hAnsi="Times New Roman"/>
          <w:sz w:val="24"/>
          <w:szCs w:val="24"/>
        </w:rPr>
        <w:t>we</w:t>
      </w:r>
      <w:r>
        <w:rPr>
          <w:rFonts w:ascii="Times New Roman" w:hAnsi="Times New Roman"/>
          <w:sz w:val="24"/>
          <w:szCs w:val="24"/>
        </w:rPr>
        <w:t xml:space="preserve"> </w:t>
      </w:r>
      <w:r w:rsidRPr="00E0167A">
        <w:rPr>
          <w:rFonts w:ascii="Times New Roman" w:hAnsi="Times New Roman"/>
          <w:sz w:val="24"/>
          <w:szCs w:val="24"/>
        </w:rPr>
        <w:t>REMAND</w:t>
      </w:r>
      <w:r>
        <w:rPr>
          <w:rFonts w:ascii="Times New Roman" w:hAnsi="Times New Roman"/>
          <w:sz w:val="24"/>
          <w:szCs w:val="24"/>
        </w:rPr>
        <w:t xml:space="preserve"> </w:t>
      </w:r>
      <w:r w:rsidRPr="00E0167A">
        <w:rPr>
          <w:rFonts w:ascii="Times New Roman" w:hAnsi="Times New Roman"/>
          <w:sz w:val="24"/>
          <w:szCs w:val="24"/>
        </w:rPr>
        <w:t>the</w:t>
      </w:r>
      <w:r>
        <w:rPr>
          <w:rFonts w:ascii="Times New Roman" w:hAnsi="Times New Roman"/>
          <w:sz w:val="24"/>
          <w:szCs w:val="24"/>
        </w:rPr>
        <w:t xml:space="preserve"> </w:t>
      </w:r>
      <w:r w:rsidRPr="00E0167A">
        <w:rPr>
          <w:rFonts w:ascii="Times New Roman" w:hAnsi="Times New Roman"/>
          <w:sz w:val="24"/>
          <w:szCs w:val="24"/>
        </w:rPr>
        <w:t>cause</w:t>
      </w:r>
      <w:r>
        <w:rPr>
          <w:rFonts w:ascii="Times New Roman" w:hAnsi="Times New Roman"/>
          <w:sz w:val="24"/>
          <w:szCs w:val="24"/>
        </w:rPr>
        <w:t xml:space="preserve"> </w:t>
      </w:r>
      <w:r w:rsidRPr="00E0167A">
        <w:rPr>
          <w:rFonts w:ascii="Times New Roman" w:hAnsi="Times New Roman"/>
          <w:sz w:val="24"/>
          <w:szCs w:val="24"/>
        </w:rPr>
        <w:t>for</w:t>
      </w:r>
      <w:r>
        <w:rPr>
          <w:rFonts w:ascii="Times New Roman" w:hAnsi="Times New Roman"/>
          <w:sz w:val="24"/>
          <w:szCs w:val="24"/>
        </w:rPr>
        <w:t xml:space="preserve"> </w:t>
      </w:r>
      <w:r w:rsidRPr="00E0167A">
        <w:rPr>
          <w:rFonts w:ascii="Times New Roman" w:hAnsi="Times New Roman"/>
          <w:sz w:val="24"/>
          <w:szCs w:val="24"/>
        </w:rPr>
        <w:t>resentencing</w:t>
      </w:r>
      <w:r>
        <w:rPr>
          <w:rFonts w:ascii="Times New Roman" w:hAnsi="Times New Roman"/>
          <w:sz w:val="24"/>
          <w:szCs w:val="24"/>
        </w:rPr>
        <w:t xml:space="preserve"> </w:t>
      </w:r>
      <w:r w:rsidRPr="00E0167A">
        <w:rPr>
          <w:rFonts w:ascii="Times New Roman" w:hAnsi="Times New Roman"/>
          <w:sz w:val="24"/>
          <w:szCs w:val="24"/>
        </w:rPr>
        <w:t>consistent</w:t>
      </w:r>
      <w:r>
        <w:rPr>
          <w:rFonts w:ascii="Times New Roman" w:hAnsi="Times New Roman"/>
          <w:sz w:val="24"/>
          <w:szCs w:val="24"/>
        </w:rPr>
        <w:t xml:space="preserve"> </w:t>
      </w:r>
      <w:r w:rsidRPr="00E0167A">
        <w:rPr>
          <w:rFonts w:ascii="Times New Roman" w:hAnsi="Times New Roman"/>
          <w:sz w:val="24"/>
          <w:szCs w:val="24"/>
        </w:rPr>
        <w:t>with</w:t>
      </w:r>
      <w:r>
        <w:rPr>
          <w:rFonts w:ascii="Times New Roman" w:hAnsi="Times New Roman"/>
          <w:sz w:val="24"/>
          <w:szCs w:val="24"/>
        </w:rPr>
        <w:t xml:space="preserve"> </w:t>
      </w:r>
      <w:r w:rsidRPr="00E0167A">
        <w:rPr>
          <w:rFonts w:ascii="Times New Roman" w:hAnsi="Times New Roman"/>
          <w:sz w:val="24"/>
          <w:szCs w:val="24"/>
        </w:rPr>
        <w:t>this</w:t>
      </w:r>
      <w:r>
        <w:rPr>
          <w:rFonts w:ascii="Times New Roman" w:hAnsi="Times New Roman"/>
          <w:sz w:val="24"/>
          <w:szCs w:val="24"/>
        </w:rPr>
        <w:t xml:space="preserve"> </w:t>
      </w:r>
      <w:r w:rsidRPr="00E0167A">
        <w:rPr>
          <w:rFonts w:ascii="Times New Roman" w:hAnsi="Times New Roman"/>
          <w:sz w:val="24"/>
          <w:szCs w:val="24"/>
        </w:rPr>
        <w:t>opinion.</w:t>
      </w:r>
      <w:r>
        <w:rPr>
          <w:rFonts w:ascii="Times New Roman" w:hAnsi="Times New Roman"/>
          <w:sz w:val="24"/>
          <w:szCs w:val="24"/>
        </w:rPr>
        <w:t>”</w:t>
      </w:r>
      <w:r w:rsidRPr="003F74E4">
        <w:t xml:space="preserve"> </w:t>
      </w:r>
      <w:hyperlink r:id="rId823" w:anchor="xml=http://www.ca2.uscourts.gov/decisions/isysquery/67a05b34-20ad-4c39-bc1a-260008502d15/1/hilite/" w:history="1">
        <w:r w:rsidRPr="00F25DB3">
          <w:rPr>
            <w:rStyle w:val="Hyperlink"/>
            <w:rFonts w:ascii="Times New Roman" w:hAnsi="Times New Roman"/>
            <w:sz w:val="24"/>
            <w:szCs w:val="24"/>
          </w:rPr>
          <w:t>http://www.ca2.uscourts.gov/decisions/isysquery/67a05b34-20ad-4c39-bc1a-260008502d15/1/doc/18-1604_complete_opn.pdf#xml=http://www.ca2.uscourts.gov/decisions/isysquery/67a05b34-20ad-4c39-bc1a-260008502d15/1/hilite/</w:t>
        </w:r>
      </w:hyperlink>
      <w:r>
        <w:rPr>
          <w:rFonts w:ascii="Times New Roman" w:hAnsi="Times New Roman"/>
          <w:sz w:val="24"/>
          <w:szCs w:val="24"/>
        </w:rPr>
        <w:t xml:space="preserve"> </w:t>
      </w:r>
    </w:p>
    <w:p w14:paraId="4AB9FF04" w14:textId="0C05CC1E" w:rsidR="007C6FEF" w:rsidRPr="009C4A80" w:rsidRDefault="009C4A80" w:rsidP="00F326E5">
      <w:pPr>
        <w:pStyle w:val="NoSpacing"/>
        <w:rPr>
          <w:rFonts w:ascii="Times New Roman" w:hAnsi="Times New Roman"/>
          <w:b/>
          <w:bCs/>
          <w:sz w:val="24"/>
          <w:szCs w:val="24"/>
        </w:rPr>
      </w:pPr>
      <w:r w:rsidRPr="009C4A80">
        <w:rPr>
          <w:rFonts w:ascii="Times New Roman" w:hAnsi="Times New Roman"/>
          <w:b/>
          <w:bCs/>
          <w:sz w:val="24"/>
          <w:szCs w:val="24"/>
        </w:rPr>
        <w:t>Legal Lessons Learned: Very important decision that will hopefully influence other Federal sentencing judges nationwide.</w:t>
      </w:r>
    </w:p>
    <w:p w14:paraId="5B4B0045" w14:textId="77777777" w:rsidR="007C6FEF" w:rsidRDefault="007C6FEF" w:rsidP="00F326E5">
      <w:pPr>
        <w:pStyle w:val="NoSpacing"/>
        <w:rPr>
          <w:rFonts w:ascii="Arial Black" w:hAnsi="Arial Black"/>
          <w:sz w:val="28"/>
          <w:szCs w:val="28"/>
        </w:rPr>
      </w:pPr>
    </w:p>
    <w:p w14:paraId="70AA856F" w14:textId="77777777" w:rsidR="007C6FEF" w:rsidRDefault="007C6FEF" w:rsidP="00F326E5">
      <w:pPr>
        <w:pStyle w:val="NoSpacing"/>
        <w:rPr>
          <w:rFonts w:ascii="Arial Black" w:hAnsi="Arial Black"/>
          <w:sz w:val="28"/>
          <w:szCs w:val="28"/>
        </w:rPr>
      </w:pPr>
    </w:p>
    <w:p w14:paraId="3F5A8901" w14:textId="77777777" w:rsidR="00980EAD" w:rsidRDefault="00980EAD" w:rsidP="00F326E5">
      <w:pPr>
        <w:pStyle w:val="NoSpacing"/>
        <w:rPr>
          <w:rFonts w:ascii="Arial Black" w:hAnsi="Arial Black"/>
          <w:sz w:val="28"/>
          <w:szCs w:val="28"/>
        </w:rPr>
      </w:pPr>
    </w:p>
    <w:p w14:paraId="447A6E16" w14:textId="5EDE9938" w:rsidR="00A06387" w:rsidRDefault="00A06387" w:rsidP="00F326E5">
      <w:pPr>
        <w:pStyle w:val="NoSpacing"/>
        <w:rPr>
          <w:rFonts w:ascii="Arial Black" w:hAnsi="Arial Black"/>
          <w:sz w:val="28"/>
          <w:szCs w:val="28"/>
        </w:rPr>
      </w:pPr>
      <w:r>
        <w:rPr>
          <w:rFonts w:ascii="Arial Black" w:hAnsi="Arial Black"/>
          <w:sz w:val="28"/>
          <w:szCs w:val="28"/>
        </w:rPr>
        <w:t>3-1</w:t>
      </w:r>
      <w:r w:rsidR="00A247E4">
        <w:rPr>
          <w:rFonts w:ascii="Arial Black" w:hAnsi="Arial Black"/>
          <w:sz w:val="28"/>
          <w:szCs w:val="28"/>
        </w:rPr>
        <w:t>6</w:t>
      </w:r>
    </w:p>
    <w:p w14:paraId="0FF14E6D" w14:textId="375A6CDC" w:rsidR="00A06387" w:rsidRDefault="00A06387" w:rsidP="00F326E5">
      <w:pPr>
        <w:pStyle w:val="NoSpacing"/>
        <w:rPr>
          <w:rFonts w:ascii="Arial Black" w:hAnsi="Arial Black"/>
          <w:sz w:val="28"/>
          <w:szCs w:val="28"/>
        </w:rPr>
      </w:pPr>
    </w:p>
    <w:p w14:paraId="14C355AD" w14:textId="77777777" w:rsidR="00A06387" w:rsidRPr="00656FC7" w:rsidRDefault="00A06387" w:rsidP="00A06387">
      <w:pPr>
        <w:pStyle w:val="NoSpacing"/>
        <w:rPr>
          <w:rFonts w:ascii="Arial Black" w:hAnsi="Arial Black"/>
          <w:sz w:val="28"/>
          <w:szCs w:val="28"/>
        </w:rPr>
      </w:pPr>
      <w:r w:rsidRPr="00656FC7">
        <w:rPr>
          <w:rFonts w:ascii="Arial Black" w:hAnsi="Arial Black"/>
          <w:sz w:val="28"/>
          <w:szCs w:val="28"/>
        </w:rPr>
        <w:t>CA: NO FLY LIST – FOUR U.S. CITIZENS ON THE LIST -  TSA’s ANTI-TERRORIST PROGRAM PROVIDES DUE PROCESS RIGHTS</w:t>
      </w:r>
    </w:p>
    <w:p w14:paraId="24BA9448" w14:textId="77777777" w:rsidR="00A06387" w:rsidRPr="00A301F0" w:rsidRDefault="00A06387" w:rsidP="00A06387">
      <w:pPr>
        <w:pStyle w:val="NoSpacing"/>
        <w:rPr>
          <w:b/>
          <w:bCs/>
          <w:sz w:val="28"/>
          <w:szCs w:val="28"/>
        </w:rPr>
      </w:pPr>
    </w:p>
    <w:p w14:paraId="24D75E1B" w14:textId="77777777" w:rsidR="00A06387" w:rsidRPr="009C4A80" w:rsidRDefault="00A06387" w:rsidP="00A06387">
      <w:pPr>
        <w:pStyle w:val="NoSpacing"/>
        <w:rPr>
          <w:rFonts w:ascii="Times New Roman" w:hAnsi="Times New Roman"/>
          <w:b/>
          <w:bCs/>
          <w:sz w:val="24"/>
          <w:szCs w:val="24"/>
        </w:rPr>
      </w:pPr>
      <w:r w:rsidRPr="009C4A80">
        <w:rPr>
          <w:rFonts w:ascii="Times New Roman" w:hAnsi="Times New Roman"/>
          <w:bCs/>
          <w:sz w:val="24"/>
          <w:szCs w:val="24"/>
        </w:rPr>
        <w:t xml:space="preserve">On Oct. 21, 2019, in </w:t>
      </w:r>
      <w:r w:rsidRPr="009C4A80">
        <w:rPr>
          <w:rFonts w:ascii="Times New Roman" w:hAnsi="Times New Roman"/>
          <w:bCs/>
          <w:sz w:val="24"/>
          <w:szCs w:val="24"/>
          <w:u w:val="single"/>
        </w:rPr>
        <w:t>Faisal Nabin Kashem; Raymond Earl Knaeble IV; Amir Meshal; Stephen Durga Persuad v. William Barr, Attorney General</w:t>
      </w:r>
      <w:r w:rsidRPr="009C4A80">
        <w:rPr>
          <w:rFonts w:ascii="Times New Roman" w:hAnsi="Times New Roman"/>
          <w:bCs/>
          <w:sz w:val="24"/>
          <w:szCs w:val="24"/>
        </w:rPr>
        <w:t>, the U.S. Court of Appeals for the 9</w:t>
      </w:r>
      <w:r w:rsidRPr="009C4A80">
        <w:rPr>
          <w:rFonts w:ascii="Times New Roman" w:hAnsi="Times New Roman"/>
          <w:bCs/>
          <w:sz w:val="24"/>
          <w:szCs w:val="24"/>
          <w:vertAlign w:val="superscript"/>
        </w:rPr>
        <w:t>th</w:t>
      </w:r>
      <w:r w:rsidRPr="009C4A80">
        <w:rPr>
          <w:rFonts w:ascii="Times New Roman" w:hAnsi="Times New Roman"/>
          <w:bCs/>
          <w:sz w:val="24"/>
          <w:szCs w:val="24"/>
        </w:rPr>
        <w:t xml:space="preserve"> Circuit (San Francisco), upheld (3 to 0) the </w:t>
      </w:r>
      <w:proofErr w:type="gramStart"/>
      <w:r w:rsidRPr="009C4A80">
        <w:rPr>
          <w:rFonts w:ascii="Times New Roman" w:hAnsi="Times New Roman"/>
          <w:bCs/>
          <w:sz w:val="24"/>
          <w:szCs w:val="24"/>
        </w:rPr>
        <w:t>No Fly</w:t>
      </w:r>
      <w:proofErr w:type="gramEnd"/>
      <w:r w:rsidRPr="009C4A80">
        <w:rPr>
          <w:rFonts w:ascii="Times New Roman" w:hAnsi="Times New Roman"/>
          <w:bCs/>
          <w:sz w:val="24"/>
          <w:szCs w:val="24"/>
        </w:rPr>
        <w:t xml:space="preserve"> List. </w:t>
      </w:r>
    </w:p>
    <w:p w14:paraId="75420460" w14:textId="77777777" w:rsidR="00A06387" w:rsidRPr="009C4A80" w:rsidRDefault="00A06387" w:rsidP="00A06387">
      <w:pPr>
        <w:pStyle w:val="NoSpacing"/>
        <w:rPr>
          <w:rFonts w:ascii="Times New Roman" w:hAnsi="Times New Roman"/>
          <w:b/>
          <w:bCs/>
          <w:sz w:val="24"/>
          <w:szCs w:val="24"/>
        </w:rPr>
      </w:pPr>
    </w:p>
    <w:p w14:paraId="00AEDD86" w14:textId="77777777" w:rsidR="00A06387" w:rsidRPr="009C4A80" w:rsidRDefault="00A06387" w:rsidP="00A06387">
      <w:pPr>
        <w:pStyle w:val="NoSpacing"/>
        <w:ind w:left="720"/>
        <w:rPr>
          <w:rFonts w:ascii="Times New Roman" w:hAnsi="Times New Roman"/>
          <w:b/>
          <w:bCs/>
          <w:sz w:val="24"/>
          <w:szCs w:val="24"/>
        </w:rPr>
      </w:pPr>
      <w:r w:rsidRPr="009C4A80">
        <w:rPr>
          <w:rFonts w:ascii="Times New Roman" w:hAnsi="Times New Roman"/>
          <w:bCs/>
          <w:sz w:val="24"/>
          <w:szCs w:val="24"/>
        </w:rPr>
        <w:t xml:space="preserve">“The plaintiffs are on the </w:t>
      </w:r>
      <w:proofErr w:type="gramStart"/>
      <w:r w:rsidRPr="009C4A80">
        <w:rPr>
          <w:rFonts w:ascii="Times New Roman" w:hAnsi="Times New Roman"/>
          <w:bCs/>
          <w:sz w:val="24"/>
          <w:szCs w:val="24"/>
        </w:rPr>
        <w:t>No Fly</w:t>
      </w:r>
      <w:proofErr w:type="gramEnd"/>
      <w:r w:rsidRPr="009C4A80">
        <w:rPr>
          <w:rFonts w:ascii="Times New Roman" w:hAnsi="Times New Roman"/>
          <w:bCs/>
          <w:sz w:val="24"/>
          <w:szCs w:val="24"/>
        </w:rPr>
        <w:t xml:space="preserve"> List, which prohibits them from boarding commercial aircraft flying to, from or within the United States or through United States airspace. They challenge, under the Due Process Clause of the Fifth Amendment to the United States Constitution, both their inclusion on the </w:t>
      </w:r>
      <w:proofErr w:type="gramStart"/>
      <w:r w:rsidRPr="009C4A80">
        <w:rPr>
          <w:rFonts w:ascii="Times New Roman" w:hAnsi="Times New Roman"/>
          <w:bCs/>
          <w:sz w:val="24"/>
          <w:szCs w:val="24"/>
        </w:rPr>
        <w:t>No Fly</w:t>
      </w:r>
      <w:proofErr w:type="gramEnd"/>
      <w:r w:rsidRPr="009C4A80">
        <w:rPr>
          <w:rFonts w:ascii="Times New Roman" w:hAnsi="Times New Roman"/>
          <w:bCs/>
          <w:sz w:val="24"/>
          <w:szCs w:val="24"/>
        </w:rPr>
        <w:t xml:space="preserve"> List and the sufficiency of the procedures available for contesting their inclusion on the list. Specifically, the plaintiffs argue (1) the criteria for inclusion on the </w:t>
      </w:r>
      <w:proofErr w:type="gramStart"/>
      <w:r w:rsidRPr="009C4A80">
        <w:rPr>
          <w:rFonts w:ascii="Times New Roman" w:hAnsi="Times New Roman"/>
          <w:bCs/>
          <w:sz w:val="24"/>
          <w:szCs w:val="24"/>
        </w:rPr>
        <w:t>No Fly</w:t>
      </w:r>
      <w:proofErr w:type="gramEnd"/>
      <w:r w:rsidRPr="009C4A80">
        <w:rPr>
          <w:rFonts w:ascii="Times New Roman" w:hAnsi="Times New Roman"/>
          <w:bCs/>
          <w:sz w:val="24"/>
          <w:szCs w:val="24"/>
        </w:rPr>
        <w:t xml:space="preserve"> List are unconstitutionally vague; (2) the procedures for challenging inclusion on the list fail to satisfy procedural due process; and (3) their inclusion on the list violates their substantive due process rights. The district court granted summary judgment to the government on the vagueness and procedural due process claims and dismissed the substantive due process claims for lack of jurisdiction under 49 U.S.C. § 46110. We affirm.”</w:t>
      </w:r>
    </w:p>
    <w:p w14:paraId="4F7520E4" w14:textId="77777777" w:rsidR="00A06387" w:rsidRPr="009C4A80" w:rsidRDefault="00A06387" w:rsidP="00A06387">
      <w:pPr>
        <w:pStyle w:val="NoSpacing"/>
        <w:ind w:left="720"/>
        <w:rPr>
          <w:rFonts w:ascii="Times New Roman" w:hAnsi="Times New Roman"/>
          <w:b/>
          <w:bCs/>
          <w:sz w:val="24"/>
          <w:szCs w:val="24"/>
        </w:rPr>
      </w:pPr>
      <w:hyperlink r:id="rId824" w:history="1">
        <w:r w:rsidRPr="009C4A80">
          <w:rPr>
            <w:rStyle w:val="Hyperlink"/>
            <w:rFonts w:ascii="Times New Roman" w:hAnsi="Times New Roman"/>
            <w:bCs/>
            <w:sz w:val="24"/>
            <w:szCs w:val="24"/>
          </w:rPr>
          <w:t>https://cases.justia.com/federal/appellate-courts/ca9/17-35634/17-35634-2019-10-21.pdf?ts=1571677280</w:t>
        </w:r>
      </w:hyperlink>
      <w:r w:rsidRPr="009C4A80">
        <w:rPr>
          <w:rFonts w:ascii="Times New Roman" w:hAnsi="Times New Roman"/>
          <w:bCs/>
          <w:sz w:val="24"/>
          <w:szCs w:val="24"/>
        </w:rPr>
        <w:t xml:space="preserve"> </w:t>
      </w:r>
    </w:p>
    <w:p w14:paraId="5B7BA20B" w14:textId="77777777" w:rsidR="00A06387" w:rsidRPr="009C4A80" w:rsidRDefault="00A06387" w:rsidP="00A06387">
      <w:pPr>
        <w:pStyle w:val="NoSpacing"/>
        <w:ind w:left="720"/>
        <w:rPr>
          <w:rFonts w:ascii="Times New Roman" w:hAnsi="Times New Roman"/>
          <w:b/>
          <w:bCs/>
          <w:sz w:val="24"/>
          <w:szCs w:val="24"/>
        </w:rPr>
      </w:pPr>
    </w:p>
    <w:p w14:paraId="1327682E" w14:textId="77777777" w:rsidR="00A06387" w:rsidRPr="009C4A80" w:rsidRDefault="00A06387" w:rsidP="00A06387">
      <w:pPr>
        <w:pStyle w:val="NoSpacing"/>
        <w:rPr>
          <w:rFonts w:ascii="Times New Roman" w:hAnsi="Times New Roman"/>
          <w:b/>
          <w:bCs/>
          <w:sz w:val="24"/>
          <w:szCs w:val="24"/>
        </w:rPr>
      </w:pPr>
      <w:r w:rsidRPr="009C4A80">
        <w:rPr>
          <w:rFonts w:ascii="Times New Roman" w:hAnsi="Times New Roman"/>
          <w:b/>
          <w:bCs/>
          <w:sz w:val="24"/>
          <w:szCs w:val="24"/>
        </w:rPr>
        <w:t xml:space="preserve">Legal Lessons Learned: The TSA program provides written notice to individuals why they are on the </w:t>
      </w:r>
      <w:proofErr w:type="gramStart"/>
      <w:r w:rsidRPr="009C4A80">
        <w:rPr>
          <w:rFonts w:ascii="Times New Roman" w:hAnsi="Times New Roman"/>
          <w:b/>
          <w:bCs/>
          <w:sz w:val="24"/>
          <w:szCs w:val="24"/>
        </w:rPr>
        <w:t>No Fly</w:t>
      </w:r>
      <w:proofErr w:type="gramEnd"/>
      <w:r w:rsidRPr="009C4A80">
        <w:rPr>
          <w:rFonts w:ascii="Times New Roman" w:hAnsi="Times New Roman"/>
          <w:b/>
          <w:bCs/>
          <w:sz w:val="24"/>
          <w:szCs w:val="24"/>
        </w:rPr>
        <w:t xml:space="preserve"> list, and an administrative and judicial appeal process. </w:t>
      </w:r>
    </w:p>
    <w:p w14:paraId="230F15C8" w14:textId="36E61BD6" w:rsidR="00A06387" w:rsidRDefault="00A06387" w:rsidP="00F326E5">
      <w:pPr>
        <w:pStyle w:val="NoSpacing"/>
        <w:rPr>
          <w:rFonts w:ascii="Arial Black" w:hAnsi="Arial Black"/>
          <w:sz w:val="28"/>
          <w:szCs w:val="28"/>
        </w:rPr>
      </w:pPr>
    </w:p>
    <w:p w14:paraId="11906D04" w14:textId="77777777" w:rsidR="00A06387" w:rsidRDefault="00A06387" w:rsidP="00F326E5">
      <w:pPr>
        <w:pStyle w:val="NoSpacing"/>
        <w:rPr>
          <w:rFonts w:ascii="Arial Black" w:hAnsi="Arial Black"/>
          <w:sz w:val="28"/>
          <w:szCs w:val="28"/>
        </w:rPr>
      </w:pPr>
    </w:p>
    <w:p w14:paraId="36298768" w14:textId="77777777" w:rsidR="009C4A80" w:rsidRDefault="009C4A80" w:rsidP="00F326E5">
      <w:pPr>
        <w:pStyle w:val="NoSpacing"/>
        <w:rPr>
          <w:rFonts w:ascii="Arial Black" w:hAnsi="Arial Black"/>
          <w:sz w:val="28"/>
          <w:szCs w:val="28"/>
        </w:rPr>
      </w:pPr>
    </w:p>
    <w:p w14:paraId="167DC8D3" w14:textId="77777777" w:rsidR="009C4A80" w:rsidRDefault="009C4A80" w:rsidP="00F326E5">
      <w:pPr>
        <w:pStyle w:val="NoSpacing"/>
        <w:rPr>
          <w:rFonts w:ascii="Arial Black" w:hAnsi="Arial Black"/>
          <w:sz w:val="28"/>
          <w:szCs w:val="28"/>
        </w:rPr>
      </w:pPr>
    </w:p>
    <w:p w14:paraId="4E7F6CDC" w14:textId="7FE5C9DE" w:rsidR="00EF1133" w:rsidRDefault="00853142" w:rsidP="00F326E5">
      <w:pPr>
        <w:pStyle w:val="NoSpacing"/>
        <w:rPr>
          <w:rFonts w:ascii="Arial Black" w:hAnsi="Arial Black"/>
          <w:sz w:val="28"/>
          <w:szCs w:val="28"/>
        </w:rPr>
      </w:pPr>
      <w:r>
        <w:rPr>
          <w:rFonts w:ascii="Arial Black" w:hAnsi="Arial Black"/>
          <w:sz w:val="28"/>
          <w:szCs w:val="28"/>
        </w:rPr>
        <w:t>3-1</w:t>
      </w:r>
      <w:r w:rsidR="00A247E4">
        <w:rPr>
          <w:rFonts w:ascii="Arial Black" w:hAnsi="Arial Black"/>
          <w:sz w:val="28"/>
          <w:szCs w:val="28"/>
        </w:rPr>
        <w:t>5</w:t>
      </w:r>
    </w:p>
    <w:p w14:paraId="2774FCBA" w14:textId="77777777" w:rsidR="00853142" w:rsidRDefault="00853142" w:rsidP="00F326E5">
      <w:pPr>
        <w:pStyle w:val="NoSpacing"/>
        <w:rPr>
          <w:rFonts w:ascii="Arial Black" w:hAnsi="Arial Black"/>
          <w:sz w:val="28"/>
          <w:szCs w:val="28"/>
        </w:rPr>
      </w:pPr>
    </w:p>
    <w:p w14:paraId="63576EDC" w14:textId="77777777" w:rsidR="00853142" w:rsidRPr="00E7448E" w:rsidRDefault="00853142" w:rsidP="00853142">
      <w:pPr>
        <w:pStyle w:val="NoSpacing"/>
        <w:rPr>
          <w:rFonts w:ascii="Arial Black" w:hAnsi="Arial Black"/>
          <w:sz w:val="28"/>
          <w:szCs w:val="28"/>
        </w:rPr>
      </w:pPr>
      <w:r w:rsidRPr="00E7448E">
        <w:rPr>
          <w:rFonts w:ascii="Arial Black" w:hAnsi="Arial Black"/>
          <w:sz w:val="28"/>
          <w:szCs w:val="28"/>
        </w:rPr>
        <w:t>CO:</w:t>
      </w:r>
      <w:r>
        <w:rPr>
          <w:rFonts w:ascii="Arial Black" w:hAnsi="Arial Black"/>
          <w:sz w:val="28"/>
          <w:szCs w:val="28"/>
        </w:rPr>
        <w:t xml:space="preserve">  TERRORIST SENTENCED LIFE FED. MAX PRISON – TRIED BLOW UP PLANE IN DETROIT – COMPLAINTS ABOUT PRISON DISMISSED</w:t>
      </w:r>
    </w:p>
    <w:p w14:paraId="2C44DD91" w14:textId="77777777" w:rsidR="00853142" w:rsidRDefault="00853142" w:rsidP="00853142">
      <w:pPr>
        <w:pStyle w:val="NoSpacing"/>
        <w:rPr>
          <w:rFonts w:ascii="Times New Roman" w:hAnsi="Times New Roman"/>
          <w:sz w:val="24"/>
          <w:szCs w:val="24"/>
        </w:rPr>
      </w:pPr>
    </w:p>
    <w:p w14:paraId="68F4CFE0" w14:textId="77777777" w:rsidR="00853142" w:rsidRPr="00314B5D" w:rsidRDefault="00853142" w:rsidP="00853142">
      <w:pPr>
        <w:pStyle w:val="NoSpacing"/>
        <w:rPr>
          <w:rFonts w:ascii="Times New Roman" w:hAnsi="Times New Roman"/>
          <w:sz w:val="24"/>
          <w:szCs w:val="24"/>
        </w:rPr>
      </w:pPr>
      <w:r w:rsidRPr="00314B5D">
        <w:rPr>
          <w:rFonts w:ascii="Times New Roman" w:hAnsi="Times New Roman"/>
          <w:sz w:val="24"/>
          <w:szCs w:val="24"/>
        </w:rPr>
        <w:t xml:space="preserve">On Sept. 18, 2019, in </w:t>
      </w:r>
      <w:r w:rsidRPr="00314B5D">
        <w:rPr>
          <w:rFonts w:ascii="Times New Roman" w:hAnsi="Times New Roman"/>
          <w:sz w:val="24"/>
          <w:szCs w:val="24"/>
          <w:u w:val="single"/>
        </w:rPr>
        <w:t>Umar Farouk Abdulmutallab v. William Barr, Attorney General of the United States</w:t>
      </w:r>
      <w:r w:rsidRPr="00314B5D">
        <w:rPr>
          <w:rFonts w:ascii="Times New Roman" w:hAnsi="Times New Roman"/>
          <w:sz w:val="24"/>
          <w:szCs w:val="24"/>
        </w:rPr>
        <w:t xml:space="preserve">, </w:t>
      </w:r>
      <w:r>
        <w:rPr>
          <w:rFonts w:ascii="Times New Roman" w:hAnsi="Times New Roman"/>
          <w:sz w:val="24"/>
          <w:szCs w:val="24"/>
        </w:rPr>
        <w:t xml:space="preserve">U.S. District Court Judge Raymond P. Moore, United States District Court of Colorado, upheld the recommendations of U.S. Magistrate Judge that the prisoner’s claims should be dismissed for failure to exhaust his U.S. Bureau of Prisons administrative remedies.  </w:t>
      </w:r>
      <w:hyperlink r:id="rId825" w:history="1">
        <w:r w:rsidRPr="00DB571D">
          <w:rPr>
            <w:rStyle w:val="Hyperlink"/>
            <w:rFonts w:ascii="Times New Roman" w:hAnsi="Times New Roman"/>
            <w:sz w:val="24"/>
            <w:szCs w:val="24"/>
          </w:rPr>
          <w:t>https://www.leagle.com/decision/infdco20190919804</w:t>
        </w:r>
      </w:hyperlink>
      <w:r>
        <w:rPr>
          <w:rFonts w:ascii="Times New Roman" w:hAnsi="Times New Roman"/>
          <w:sz w:val="24"/>
          <w:szCs w:val="24"/>
        </w:rPr>
        <w:t xml:space="preserve"> </w:t>
      </w:r>
    </w:p>
    <w:p w14:paraId="12D7BA2A" w14:textId="77777777" w:rsidR="00853142" w:rsidRDefault="00853142" w:rsidP="00853142">
      <w:pPr>
        <w:pStyle w:val="NoSpacing"/>
      </w:pPr>
    </w:p>
    <w:p w14:paraId="790DA569" w14:textId="77777777" w:rsidR="00853142" w:rsidRPr="00314B5D" w:rsidRDefault="00853142" w:rsidP="00853142">
      <w:pPr>
        <w:pStyle w:val="NoSpacing"/>
        <w:rPr>
          <w:rFonts w:ascii="Times New Roman" w:hAnsi="Times New Roman"/>
          <w:sz w:val="24"/>
          <w:szCs w:val="24"/>
        </w:rPr>
      </w:pPr>
      <w:r>
        <w:tab/>
      </w:r>
      <w:r w:rsidRPr="00314B5D">
        <w:rPr>
          <w:rFonts w:ascii="Times New Roman" w:hAnsi="Times New Roman"/>
          <w:sz w:val="24"/>
          <w:szCs w:val="24"/>
        </w:rPr>
        <w:t>Judge Moore wrote:</w:t>
      </w:r>
    </w:p>
    <w:p w14:paraId="1B8FAA47" w14:textId="77777777" w:rsidR="00853142" w:rsidRDefault="00853142" w:rsidP="00853142">
      <w:pPr>
        <w:pStyle w:val="NoSpacing"/>
      </w:pPr>
    </w:p>
    <w:p w14:paraId="71842674" w14:textId="77777777" w:rsidR="00853142" w:rsidRDefault="00853142" w:rsidP="00853142">
      <w:pPr>
        <w:pStyle w:val="NoSpacing"/>
        <w:ind w:left="720"/>
        <w:rPr>
          <w:rFonts w:ascii="Times New Roman" w:hAnsi="Times New Roman"/>
          <w:sz w:val="24"/>
          <w:szCs w:val="24"/>
        </w:rPr>
      </w:pPr>
      <w:r>
        <w:rPr>
          <w:rFonts w:ascii="Times New Roman" w:hAnsi="Times New Roman"/>
          <w:sz w:val="24"/>
          <w:szCs w:val="24"/>
        </w:rPr>
        <w:t>“</w:t>
      </w:r>
      <w:r w:rsidRPr="00314B5D">
        <w:rPr>
          <w:rFonts w:ascii="Times New Roman" w:hAnsi="Times New Roman"/>
          <w:sz w:val="24"/>
          <w:szCs w:val="24"/>
        </w:rPr>
        <w:t xml:space="preserve">Plaintiff was convicted for the attempted use of a weapon of mass destruction on a commercial airliner that landed in Detroit, Michigan, and the attempted murder of the 289 people on board. Plaintiff is from </w:t>
      </w:r>
      <w:r w:rsidRPr="00314B5D">
        <w:rPr>
          <w:rFonts w:ascii="Times New Roman" w:hAnsi="Times New Roman"/>
          <w:sz w:val="24"/>
          <w:szCs w:val="24"/>
        </w:rPr>
        <w:lastRenderedPageBreak/>
        <w:t>Nigeria and a Muslim. Plaintiff is housed at the United States Penitentiary-Administrative Maximum (</w:t>
      </w:r>
      <w:r>
        <w:rPr>
          <w:rFonts w:ascii="Times New Roman" w:hAnsi="Times New Roman"/>
          <w:sz w:val="24"/>
          <w:szCs w:val="24"/>
        </w:rPr>
        <w:t>‘</w:t>
      </w:r>
      <w:r w:rsidRPr="00314B5D">
        <w:rPr>
          <w:rFonts w:ascii="Times New Roman" w:hAnsi="Times New Roman"/>
          <w:sz w:val="24"/>
          <w:szCs w:val="24"/>
        </w:rPr>
        <w:t>ADX</w:t>
      </w:r>
      <w:r>
        <w:rPr>
          <w:rFonts w:ascii="Times New Roman" w:hAnsi="Times New Roman"/>
          <w:sz w:val="24"/>
          <w:szCs w:val="24"/>
        </w:rPr>
        <w:t>’</w:t>
      </w:r>
      <w:r w:rsidRPr="00314B5D">
        <w:rPr>
          <w:rFonts w:ascii="Times New Roman" w:hAnsi="Times New Roman"/>
          <w:sz w:val="24"/>
          <w:szCs w:val="24"/>
        </w:rPr>
        <w:t>) in Florence, Colorado, and serving four terms of life imprisonment plus 50 years for his convictions. Prior to Plaintiff's transfer to ADX, in March 2012, the United States government placed Plaintiff under Special Administrative Measures (</w:t>
      </w:r>
      <w:r>
        <w:rPr>
          <w:rFonts w:ascii="Times New Roman" w:hAnsi="Times New Roman"/>
          <w:sz w:val="24"/>
          <w:szCs w:val="24"/>
        </w:rPr>
        <w:t>‘</w:t>
      </w:r>
      <w:r w:rsidRPr="00314B5D">
        <w:rPr>
          <w:rFonts w:ascii="Times New Roman" w:hAnsi="Times New Roman"/>
          <w:sz w:val="24"/>
          <w:szCs w:val="24"/>
        </w:rPr>
        <w:t>SAMs</w:t>
      </w:r>
      <w:r>
        <w:rPr>
          <w:rFonts w:ascii="Times New Roman" w:hAnsi="Times New Roman"/>
          <w:sz w:val="24"/>
          <w:szCs w:val="24"/>
        </w:rPr>
        <w:t>’</w:t>
      </w:r>
      <w:r w:rsidRPr="00314B5D">
        <w:rPr>
          <w:rFonts w:ascii="Times New Roman" w:hAnsi="Times New Roman"/>
          <w:sz w:val="24"/>
          <w:szCs w:val="24"/>
        </w:rPr>
        <w:t>). The SAMs have been renewed every year, with some modifications.</w:t>
      </w:r>
    </w:p>
    <w:p w14:paraId="75C426F9" w14:textId="77777777" w:rsidR="00853142" w:rsidRDefault="00853142" w:rsidP="00853142">
      <w:pPr>
        <w:pStyle w:val="NoSpacing"/>
        <w:ind w:left="720"/>
        <w:rPr>
          <w:rFonts w:ascii="Times New Roman" w:hAnsi="Times New Roman"/>
          <w:sz w:val="24"/>
          <w:szCs w:val="24"/>
        </w:rPr>
      </w:pPr>
    </w:p>
    <w:p w14:paraId="219B77A1" w14:textId="77777777" w:rsidR="00853142" w:rsidRPr="00314B5D" w:rsidRDefault="00853142" w:rsidP="00853142">
      <w:pPr>
        <w:pStyle w:val="NoSpacing"/>
        <w:ind w:left="720"/>
        <w:rPr>
          <w:rFonts w:ascii="Times New Roman" w:hAnsi="Times New Roman"/>
          <w:sz w:val="24"/>
          <w:szCs w:val="24"/>
        </w:rPr>
      </w:pPr>
      <w:r>
        <w:rPr>
          <w:rFonts w:ascii="Times New Roman" w:hAnsi="Times New Roman"/>
          <w:sz w:val="24"/>
          <w:szCs w:val="24"/>
        </w:rPr>
        <w:t>***</w:t>
      </w:r>
    </w:p>
    <w:p w14:paraId="64491B37" w14:textId="77777777" w:rsidR="00853142" w:rsidRPr="00314B5D" w:rsidRDefault="00853142" w:rsidP="00853142">
      <w:pPr>
        <w:pStyle w:val="NoSpacing"/>
        <w:rPr>
          <w:rFonts w:ascii="Times New Roman" w:hAnsi="Times New Roman"/>
          <w:sz w:val="24"/>
          <w:szCs w:val="24"/>
        </w:rPr>
      </w:pPr>
    </w:p>
    <w:p w14:paraId="1CE33610" w14:textId="131D1F38" w:rsidR="00853142" w:rsidRDefault="00853142" w:rsidP="00853142">
      <w:pPr>
        <w:pStyle w:val="NoSpacing"/>
        <w:ind w:left="720"/>
        <w:rPr>
          <w:rFonts w:ascii="Times New Roman" w:hAnsi="Times New Roman"/>
          <w:sz w:val="24"/>
          <w:szCs w:val="24"/>
        </w:rPr>
      </w:pPr>
      <w:r>
        <w:rPr>
          <w:rFonts w:ascii="Times New Roman" w:hAnsi="Times New Roman"/>
          <w:sz w:val="24"/>
          <w:szCs w:val="24"/>
        </w:rPr>
        <w:t>“</w:t>
      </w:r>
      <w:r w:rsidRPr="00314B5D">
        <w:rPr>
          <w:rFonts w:ascii="Times New Roman" w:hAnsi="Times New Roman"/>
          <w:sz w:val="24"/>
          <w:szCs w:val="24"/>
        </w:rPr>
        <w:t xml:space="preserve">As Plaintiff acknowledges, </w:t>
      </w:r>
      <w:r>
        <w:rPr>
          <w:rFonts w:ascii="Times New Roman" w:hAnsi="Times New Roman"/>
          <w:sz w:val="24"/>
          <w:szCs w:val="24"/>
        </w:rPr>
        <w:t>‘</w:t>
      </w:r>
      <w:r w:rsidRPr="00314B5D">
        <w:rPr>
          <w:rFonts w:ascii="Times New Roman" w:hAnsi="Times New Roman"/>
          <w:sz w:val="24"/>
          <w:szCs w:val="24"/>
        </w:rPr>
        <w:t>[t]he primary purpose of a grievance is to alert the prison to a problem and facilitate its resolution.'</w:t>
      </w:r>
      <w:r>
        <w:rPr>
          <w:rFonts w:ascii="Times New Roman" w:hAnsi="Times New Roman"/>
          <w:sz w:val="24"/>
          <w:szCs w:val="24"/>
        </w:rPr>
        <w:t xml:space="preserve"> </w:t>
      </w:r>
      <w:r w:rsidRPr="00314B5D">
        <w:rPr>
          <w:rFonts w:ascii="Times New Roman" w:hAnsi="Times New Roman"/>
          <w:sz w:val="24"/>
          <w:szCs w:val="24"/>
        </w:rPr>
        <w:t xml:space="preserve">(ECF No. 128, p. 5 (quoting </w:t>
      </w:r>
      <w:r w:rsidRPr="00314B5D">
        <w:rPr>
          <w:rFonts w:ascii="Times New Roman" w:hAnsi="Times New Roman"/>
          <w:i/>
          <w:iCs/>
          <w:sz w:val="24"/>
          <w:szCs w:val="24"/>
        </w:rPr>
        <w:t>Griffin v. Arpaio,</w:t>
      </w:r>
      <w:r w:rsidRPr="00314B5D">
        <w:rPr>
          <w:rFonts w:ascii="Times New Roman" w:hAnsi="Times New Roman"/>
          <w:sz w:val="24"/>
          <w:szCs w:val="24"/>
        </w:rPr>
        <w:t> </w:t>
      </w:r>
      <w:hyperlink r:id="rId826" w:history="1">
        <w:r w:rsidRPr="00314B5D">
          <w:rPr>
            <w:rStyle w:val="Hyperlink"/>
            <w:rFonts w:ascii="Times New Roman" w:hAnsi="Times New Roman"/>
            <w:sz w:val="24"/>
            <w:szCs w:val="24"/>
          </w:rPr>
          <w:t>557 F.3d 1117</w:t>
        </w:r>
      </w:hyperlink>
      <w:r w:rsidRPr="00314B5D">
        <w:rPr>
          <w:rFonts w:ascii="Times New Roman" w:hAnsi="Times New Roman"/>
          <w:sz w:val="24"/>
          <w:szCs w:val="24"/>
        </w:rPr>
        <w:t xml:space="preserve">, 1120 (9th Cir. 2009).) Thus, in the absence of a prisoner alerting a prison of the problem which he alleges in his complaint, such allegation is not exhausted and cannot serve to support the prisoner's claim or claims. As applied to the recommendation of dismissal here, this objection is </w:t>
      </w:r>
      <w:proofErr w:type="gramStart"/>
      <w:r w:rsidRPr="00314B5D">
        <w:rPr>
          <w:rFonts w:ascii="Times New Roman" w:hAnsi="Times New Roman"/>
          <w:sz w:val="24"/>
          <w:szCs w:val="24"/>
        </w:rPr>
        <w:t>overruled.</w:t>
      </w:r>
      <w:r>
        <w:rPr>
          <w:rFonts w:ascii="Times New Roman" w:hAnsi="Times New Roman"/>
          <w:sz w:val="24"/>
          <w:szCs w:val="24"/>
        </w:rPr>
        <w:t>”</w:t>
      </w:r>
      <w:proofErr w:type="gramEnd"/>
    </w:p>
    <w:p w14:paraId="26B84FA6" w14:textId="77777777" w:rsidR="00853142" w:rsidRDefault="00853142" w:rsidP="00853142">
      <w:pPr>
        <w:pStyle w:val="NoSpacing"/>
        <w:ind w:left="720"/>
        <w:rPr>
          <w:rFonts w:ascii="Times New Roman" w:hAnsi="Times New Roman"/>
          <w:sz w:val="24"/>
          <w:szCs w:val="24"/>
        </w:rPr>
      </w:pPr>
    </w:p>
    <w:p w14:paraId="539DCA3F" w14:textId="3602DBD5" w:rsidR="00853142" w:rsidRDefault="00853142" w:rsidP="00853142">
      <w:pPr>
        <w:pStyle w:val="NoSpacing"/>
        <w:ind w:left="90"/>
        <w:rPr>
          <w:rFonts w:ascii="Times New Roman" w:hAnsi="Times New Roman"/>
          <w:b/>
          <w:bCs/>
          <w:sz w:val="24"/>
          <w:szCs w:val="24"/>
        </w:rPr>
      </w:pPr>
      <w:r w:rsidRPr="008F1B21">
        <w:rPr>
          <w:rFonts w:ascii="Times New Roman" w:hAnsi="Times New Roman"/>
          <w:b/>
          <w:bCs/>
          <w:sz w:val="24"/>
          <w:szCs w:val="24"/>
        </w:rPr>
        <w:t>Legal Lessons Learned:</w:t>
      </w:r>
      <w:r>
        <w:rPr>
          <w:rFonts w:ascii="Times New Roman" w:hAnsi="Times New Roman"/>
          <w:b/>
          <w:bCs/>
          <w:sz w:val="24"/>
          <w:szCs w:val="24"/>
        </w:rPr>
        <w:t xml:space="preserve">  Nice to read about a life sentence of this terrorist to the Federal max prison. </w:t>
      </w:r>
    </w:p>
    <w:p w14:paraId="6764A2D5" w14:textId="77777777" w:rsidR="00853142" w:rsidRDefault="00853142" w:rsidP="00853142">
      <w:pPr>
        <w:pStyle w:val="NoSpacing"/>
        <w:ind w:left="720"/>
        <w:rPr>
          <w:rFonts w:ascii="Times New Roman" w:hAnsi="Times New Roman"/>
          <w:b/>
          <w:bCs/>
          <w:sz w:val="24"/>
          <w:szCs w:val="24"/>
        </w:rPr>
      </w:pPr>
    </w:p>
    <w:p w14:paraId="1AC7BE51" w14:textId="77777777" w:rsidR="00853142" w:rsidRDefault="00853142" w:rsidP="00853142">
      <w:pPr>
        <w:spacing w:after="0" w:line="240" w:lineRule="auto"/>
        <w:rPr>
          <w:rFonts w:ascii="Times New Roman" w:hAnsi="Times New Roman"/>
          <w:sz w:val="24"/>
          <w:szCs w:val="24"/>
        </w:rPr>
      </w:pPr>
    </w:p>
    <w:p w14:paraId="4AE71F7D" w14:textId="77777777" w:rsidR="009C4A80" w:rsidRDefault="009C4A80" w:rsidP="00EF1133">
      <w:pPr>
        <w:rPr>
          <w:rFonts w:ascii="Arial Black" w:hAnsi="Arial Black"/>
          <w:color w:val="4A4A4A"/>
          <w:sz w:val="24"/>
          <w:szCs w:val="24"/>
          <w:lang w:val="en"/>
        </w:rPr>
      </w:pPr>
    </w:p>
    <w:p w14:paraId="432F9342" w14:textId="372A8A85" w:rsidR="009F0F05" w:rsidRDefault="009F0F05" w:rsidP="00EF1133">
      <w:pPr>
        <w:rPr>
          <w:rFonts w:ascii="Arial Black" w:hAnsi="Arial Black"/>
          <w:color w:val="4A4A4A"/>
          <w:sz w:val="24"/>
          <w:szCs w:val="24"/>
          <w:lang w:val="en"/>
        </w:rPr>
      </w:pPr>
      <w:r>
        <w:rPr>
          <w:rFonts w:ascii="Arial Black" w:hAnsi="Arial Black"/>
          <w:color w:val="4A4A4A"/>
          <w:sz w:val="24"/>
          <w:szCs w:val="24"/>
          <w:lang w:val="en"/>
        </w:rPr>
        <w:t>3-1</w:t>
      </w:r>
      <w:r w:rsidR="00A247E4">
        <w:rPr>
          <w:rFonts w:ascii="Arial Black" w:hAnsi="Arial Black"/>
          <w:color w:val="4A4A4A"/>
          <w:sz w:val="24"/>
          <w:szCs w:val="24"/>
          <w:lang w:val="en"/>
        </w:rPr>
        <w:t>4</w:t>
      </w:r>
    </w:p>
    <w:p w14:paraId="406BB252" w14:textId="7D63196F" w:rsidR="009F0F05" w:rsidRDefault="000010F2" w:rsidP="009F0F05">
      <w:pPr>
        <w:rPr>
          <w:rFonts w:ascii="Arial Black" w:hAnsi="Arial Black"/>
          <w:sz w:val="28"/>
          <w:szCs w:val="28"/>
        </w:rPr>
      </w:pPr>
      <w:r>
        <w:rPr>
          <w:rFonts w:ascii="Arial Black" w:hAnsi="Arial Black"/>
          <w:sz w:val="28"/>
          <w:szCs w:val="28"/>
        </w:rPr>
        <w:t>U.S. SUPREME CT:  NEW U.S. GOV’T ASYLUM RULES REMAIN IN EFFECT – REFUGES FIRST APPLY TO MEXICO</w:t>
      </w:r>
      <w:r w:rsidR="009C4A80">
        <w:rPr>
          <w:rFonts w:ascii="Arial Black" w:hAnsi="Arial Black"/>
          <w:sz w:val="28"/>
          <w:szCs w:val="28"/>
        </w:rPr>
        <w:t xml:space="preserve"> </w:t>
      </w:r>
      <w:r>
        <w:rPr>
          <w:rFonts w:ascii="Arial Black" w:hAnsi="Arial Black"/>
          <w:sz w:val="28"/>
          <w:szCs w:val="28"/>
        </w:rPr>
        <w:t xml:space="preserve">– NO INJUNCTION </w:t>
      </w:r>
    </w:p>
    <w:p w14:paraId="7EA4B918" w14:textId="77777777" w:rsidR="009F0F05" w:rsidRDefault="009F0F05" w:rsidP="009F0F05">
      <w:pPr>
        <w:rPr>
          <w:rFonts w:ascii="Times New Roman" w:hAnsi="Times New Roman"/>
          <w:sz w:val="24"/>
          <w:szCs w:val="24"/>
        </w:rPr>
      </w:pPr>
      <w:r>
        <w:rPr>
          <w:rFonts w:ascii="Times New Roman" w:hAnsi="Times New Roman"/>
          <w:sz w:val="24"/>
          <w:szCs w:val="24"/>
        </w:rPr>
        <w:t xml:space="preserve">On Sept. 11, 2019, in </w:t>
      </w:r>
      <w:bookmarkStart w:id="155" w:name="_Hlk39823785"/>
      <w:r w:rsidRPr="00DF0E56">
        <w:rPr>
          <w:rFonts w:ascii="Times New Roman" w:hAnsi="Times New Roman"/>
          <w:sz w:val="24"/>
          <w:szCs w:val="24"/>
          <w:u w:val="single"/>
        </w:rPr>
        <w:t>William Barr, Attorney General v. East Bay Sanctuary Covenant</w:t>
      </w:r>
      <w:bookmarkEnd w:id="155"/>
      <w:r>
        <w:rPr>
          <w:rFonts w:ascii="Times New Roman" w:hAnsi="Times New Roman"/>
          <w:sz w:val="24"/>
          <w:szCs w:val="24"/>
        </w:rPr>
        <w:t xml:space="preserve">, the majority of Justices (7 to 2) issued an Order granting U.S. Government’s request for a stay of a nationwide injunction issued by U.S. District Court judge </w:t>
      </w:r>
      <w:r w:rsidRPr="004161DB">
        <w:rPr>
          <w:rFonts w:ascii="Times New Roman" w:hAnsi="Times New Roman"/>
          <w:sz w:val="24"/>
          <w:szCs w:val="24"/>
        </w:rPr>
        <w:t>Jon Tigar</w:t>
      </w:r>
      <w:r>
        <w:rPr>
          <w:rFonts w:ascii="Times New Roman" w:hAnsi="Times New Roman"/>
          <w:sz w:val="24"/>
          <w:szCs w:val="24"/>
        </w:rPr>
        <w:t xml:space="preserve"> </w:t>
      </w:r>
      <w:r w:rsidRPr="004161DB">
        <w:rPr>
          <w:rFonts w:ascii="Times New Roman" w:hAnsi="Times New Roman"/>
          <w:sz w:val="24"/>
          <w:szCs w:val="24"/>
        </w:rPr>
        <w:t>in</w:t>
      </w:r>
      <w:r>
        <w:rPr>
          <w:rFonts w:ascii="Times New Roman" w:hAnsi="Times New Roman"/>
          <w:sz w:val="24"/>
          <w:szCs w:val="24"/>
        </w:rPr>
        <w:t xml:space="preserve"> San Francisco, after the injunction was modified to only apply to California &amp; Arizona, by a 3-judge panel the U.S. Court of Appeals for 9</w:t>
      </w:r>
      <w:r w:rsidRPr="008E1D0B">
        <w:rPr>
          <w:rFonts w:ascii="Times New Roman" w:hAnsi="Times New Roman"/>
          <w:sz w:val="24"/>
          <w:szCs w:val="24"/>
          <w:vertAlign w:val="superscript"/>
        </w:rPr>
        <w:t>th</w:t>
      </w:r>
      <w:r>
        <w:rPr>
          <w:rFonts w:ascii="Times New Roman" w:hAnsi="Times New Roman"/>
          <w:sz w:val="24"/>
          <w:szCs w:val="24"/>
        </w:rPr>
        <w:t xml:space="preserve"> Circuit (San Francisco).  </w:t>
      </w:r>
      <w:bookmarkStart w:id="156" w:name="_Hlk39823820"/>
      <w:r w:rsidR="00F2621E">
        <w:fldChar w:fldCharType="begin"/>
      </w:r>
      <w:r w:rsidR="00F2621E">
        <w:instrText xml:space="preserve"> HYPERLINK "https://www.supremecourt.gov/opinions/18pdf/19a230_k53l.pdf" </w:instrText>
      </w:r>
      <w:r w:rsidR="00F2621E">
        <w:fldChar w:fldCharType="separate"/>
      </w:r>
      <w:r w:rsidRPr="00DD407F">
        <w:rPr>
          <w:rStyle w:val="Hyperlink"/>
          <w:rFonts w:ascii="Times New Roman" w:hAnsi="Times New Roman"/>
          <w:sz w:val="24"/>
          <w:szCs w:val="24"/>
        </w:rPr>
        <w:t>https://www.supremecourt.gov/opinions/18pdf/19a230_k53l.pdf</w:t>
      </w:r>
      <w:r w:rsidR="00F2621E">
        <w:rPr>
          <w:rStyle w:val="Hyperlink"/>
          <w:rFonts w:ascii="Times New Roman" w:hAnsi="Times New Roman"/>
          <w:sz w:val="24"/>
          <w:szCs w:val="24"/>
        </w:rPr>
        <w:fldChar w:fldCharType="end"/>
      </w:r>
      <w:r>
        <w:rPr>
          <w:rFonts w:ascii="Times New Roman" w:hAnsi="Times New Roman"/>
          <w:sz w:val="24"/>
          <w:szCs w:val="24"/>
        </w:rPr>
        <w:t xml:space="preserve"> </w:t>
      </w:r>
    </w:p>
    <w:bookmarkEnd w:id="156"/>
    <w:p w14:paraId="105DCE99" w14:textId="77777777" w:rsidR="009F0F05" w:rsidRDefault="009F0F05" w:rsidP="009F0F05">
      <w:pPr>
        <w:pStyle w:val="NoSpacing"/>
        <w:ind w:left="720"/>
        <w:rPr>
          <w:rFonts w:ascii="Times New Roman" w:hAnsi="Times New Roman"/>
          <w:sz w:val="24"/>
          <w:szCs w:val="24"/>
        </w:rPr>
      </w:pPr>
      <w:r w:rsidRPr="000C52EB">
        <w:rPr>
          <w:rFonts w:ascii="Times New Roman" w:hAnsi="Times New Roman"/>
          <w:sz w:val="24"/>
          <w:szCs w:val="24"/>
        </w:rPr>
        <w:t>“The district court’s July 24, 2019 order granting a preliminary injunction and</w:t>
      </w:r>
      <w:r>
        <w:rPr>
          <w:rFonts w:ascii="Times New Roman" w:hAnsi="Times New Roman"/>
          <w:sz w:val="24"/>
          <w:szCs w:val="24"/>
        </w:rPr>
        <w:t xml:space="preserve"> </w:t>
      </w:r>
      <w:r w:rsidRPr="000C52EB">
        <w:rPr>
          <w:rFonts w:ascii="Times New Roman" w:hAnsi="Times New Roman"/>
          <w:sz w:val="24"/>
          <w:szCs w:val="24"/>
        </w:rPr>
        <w:t>September 9, 2019 order restoring the nationwide scope of the injunction are stayed in full pending disposition of the Government’s appeal in the United States Court of Appeals for the Ninth Circuit and disposition of the Government’s</w:t>
      </w:r>
      <w:r>
        <w:rPr>
          <w:rFonts w:ascii="Times New Roman" w:hAnsi="Times New Roman"/>
          <w:sz w:val="24"/>
          <w:szCs w:val="24"/>
        </w:rPr>
        <w:t xml:space="preserve"> </w:t>
      </w:r>
      <w:r w:rsidRPr="000C52EB">
        <w:rPr>
          <w:rFonts w:ascii="Times New Roman" w:hAnsi="Times New Roman"/>
          <w:sz w:val="24"/>
          <w:szCs w:val="24"/>
        </w:rPr>
        <w:t>petition for a writ of certiorari, if such writ is sought</w:t>
      </w:r>
      <w:r>
        <w:rPr>
          <w:rFonts w:ascii="Times New Roman" w:hAnsi="Times New Roman"/>
          <w:sz w:val="24"/>
          <w:szCs w:val="24"/>
        </w:rPr>
        <w:t>.”</w:t>
      </w:r>
    </w:p>
    <w:p w14:paraId="79CB873D" w14:textId="77777777" w:rsidR="009F0F05" w:rsidRDefault="009F0F05" w:rsidP="009F0F05">
      <w:pPr>
        <w:pStyle w:val="NoSpacing"/>
        <w:ind w:left="720"/>
        <w:rPr>
          <w:rFonts w:ascii="Times New Roman" w:hAnsi="Times New Roman"/>
          <w:sz w:val="24"/>
          <w:szCs w:val="24"/>
        </w:rPr>
      </w:pPr>
    </w:p>
    <w:p w14:paraId="623B4616" w14:textId="77777777" w:rsidR="009F0F05" w:rsidRDefault="009F0F05" w:rsidP="009F0F05">
      <w:pPr>
        <w:pStyle w:val="NoSpacing"/>
        <w:rPr>
          <w:rFonts w:ascii="Times New Roman" w:hAnsi="Times New Roman"/>
          <w:b/>
          <w:bCs/>
          <w:sz w:val="24"/>
          <w:szCs w:val="24"/>
        </w:rPr>
      </w:pPr>
      <w:r w:rsidRPr="004A1236">
        <w:rPr>
          <w:rFonts w:ascii="Times New Roman" w:hAnsi="Times New Roman"/>
          <w:b/>
          <w:bCs/>
          <w:sz w:val="24"/>
          <w:szCs w:val="24"/>
        </w:rPr>
        <w:t xml:space="preserve">Legal Lessons Learned: </w:t>
      </w:r>
      <w:r>
        <w:rPr>
          <w:rFonts w:ascii="Times New Roman" w:hAnsi="Times New Roman"/>
          <w:b/>
          <w:bCs/>
          <w:sz w:val="24"/>
          <w:szCs w:val="24"/>
        </w:rPr>
        <w:t>The case, now pending before a Federal Judge in California, will most likely then go to the 9</w:t>
      </w:r>
      <w:r w:rsidRPr="00273073">
        <w:rPr>
          <w:rFonts w:ascii="Times New Roman" w:hAnsi="Times New Roman"/>
          <w:b/>
          <w:bCs/>
          <w:sz w:val="24"/>
          <w:szCs w:val="24"/>
          <w:vertAlign w:val="superscript"/>
        </w:rPr>
        <w:t>th</w:t>
      </w:r>
      <w:r>
        <w:rPr>
          <w:rFonts w:ascii="Times New Roman" w:hAnsi="Times New Roman"/>
          <w:b/>
          <w:bCs/>
          <w:sz w:val="24"/>
          <w:szCs w:val="24"/>
        </w:rPr>
        <w:t xml:space="preserve"> Circuit, and eventually then reach the U.S. Supreme Court. </w:t>
      </w:r>
    </w:p>
    <w:p w14:paraId="16FCA8D0" w14:textId="77777777" w:rsidR="009F0F05" w:rsidRDefault="009F0F05" w:rsidP="009F0F05">
      <w:pPr>
        <w:pStyle w:val="NoSpacing"/>
        <w:rPr>
          <w:rFonts w:ascii="Times New Roman" w:hAnsi="Times New Roman"/>
          <w:sz w:val="24"/>
          <w:szCs w:val="24"/>
        </w:rPr>
      </w:pPr>
    </w:p>
    <w:p w14:paraId="75E4FFD6" w14:textId="4FF75B48" w:rsidR="009F0F05" w:rsidRPr="00715CF2" w:rsidRDefault="009F0F05" w:rsidP="00715CF2">
      <w:pPr>
        <w:pStyle w:val="NoSpacing"/>
        <w:ind w:left="720"/>
        <w:rPr>
          <w:rFonts w:ascii="Times New Roman" w:hAnsi="Times New Roman"/>
          <w:sz w:val="24"/>
          <w:szCs w:val="24"/>
        </w:rPr>
      </w:pPr>
      <w:bookmarkStart w:id="157" w:name="_Hlk39823692"/>
      <w:r w:rsidRPr="00715CF2">
        <w:rPr>
          <w:rFonts w:ascii="Times New Roman" w:hAnsi="Times New Roman"/>
          <w:sz w:val="24"/>
          <w:szCs w:val="24"/>
        </w:rPr>
        <w:t xml:space="preserve">See </w:t>
      </w:r>
      <w:r w:rsidR="009E7672">
        <w:rPr>
          <w:rFonts w:ascii="Times New Roman" w:hAnsi="Times New Roman"/>
          <w:sz w:val="24"/>
          <w:szCs w:val="24"/>
        </w:rPr>
        <w:t xml:space="preserve">Sept. 11, </w:t>
      </w:r>
      <w:proofErr w:type="gramStart"/>
      <w:r w:rsidR="009E7672">
        <w:rPr>
          <w:rFonts w:ascii="Times New Roman" w:hAnsi="Times New Roman"/>
          <w:sz w:val="24"/>
          <w:szCs w:val="24"/>
        </w:rPr>
        <w:t>2019</w:t>
      </w:r>
      <w:proofErr w:type="gramEnd"/>
      <w:r w:rsidR="009E7672">
        <w:rPr>
          <w:rFonts w:ascii="Times New Roman" w:hAnsi="Times New Roman"/>
          <w:sz w:val="24"/>
          <w:szCs w:val="24"/>
        </w:rPr>
        <w:t xml:space="preserve"> article: </w:t>
      </w:r>
      <w:r w:rsidRPr="00715CF2">
        <w:rPr>
          <w:rFonts w:ascii="Times New Roman" w:hAnsi="Times New Roman"/>
          <w:sz w:val="24"/>
          <w:szCs w:val="24"/>
        </w:rPr>
        <w:t xml:space="preserve">“President Trump tweeted that the ruling was a "BIG United States Supreme Court WIN for the Border on Asylum!" The administration </w:t>
      </w:r>
      <w:hyperlink r:id="rId827" w:tgtFrame="_blank" w:history="1">
        <w:r w:rsidRPr="00715CF2">
          <w:rPr>
            <w:rStyle w:val="Hyperlink"/>
            <w:rFonts w:ascii="Times New Roman" w:hAnsi="Times New Roman"/>
            <w:sz w:val="24"/>
            <w:szCs w:val="24"/>
          </w:rPr>
          <w:t>had argued in a brief to the Supreme Court</w:t>
        </w:r>
      </w:hyperlink>
      <w:r w:rsidRPr="00715CF2">
        <w:rPr>
          <w:rFonts w:ascii="Times New Roman" w:hAnsi="Times New Roman"/>
          <w:sz w:val="24"/>
          <w:szCs w:val="24"/>
        </w:rPr>
        <w:t xml:space="preserve"> that unless the injunctions were totally lifted everywhere, it ‘would severely disrupt the orderly administration of an already overburdened asylum system.’”  </w:t>
      </w:r>
      <w:hyperlink r:id="rId828" w:history="1">
        <w:r w:rsidRPr="00715CF2">
          <w:rPr>
            <w:rStyle w:val="Hyperlink"/>
            <w:rFonts w:ascii="Times New Roman" w:hAnsi="Times New Roman"/>
            <w:sz w:val="24"/>
            <w:szCs w:val="24"/>
          </w:rPr>
          <w:t>https://www.foxnews.com/politics/supreme-court-green-lights-trumps-immigration-asylum-ban</w:t>
        </w:r>
      </w:hyperlink>
      <w:r w:rsidRPr="00715CF2">
        <w:rPr>
          <w:rFonts w:ascii="Times New Roman" w:hAnsi="Times New Roman"/>
          <w:sz w:val="24"/>
          <w:szCs w:val="24"/>
        </w:rPr>
        <w:t xml:space="preserve"> </w:t>
      </w:r>
    </w:p>
    <w:bookmarkEnd w:id="157"/>
    <w:p w14:paraId="2B0CF987" w14:textId="2BCD77C0" w:rsidR="00E26EA8" w:rsidRDefault="00E26EA8" w:rsidP="009F0F05">
      <w:pPr>
        <w:pStyle w:val="NoSpacing"/>
        <w:rPr>
          <w:rFonts w:ascii="Times New Roman" w:hAnsi="Times New Roman"/>
          <w:b/>
          <w:bCs/>
          <w:sz w:val="24"/>
          <w:szCs w:val="24"/>
        </w:rPr>
      </w:pPr>
    </w:p>
    <w:p w14:paraId="17B60ABE" w14:textId="77777777" w:rsidR="00715CF2" w:rsidRDefault="00715CF2" w:rsidP="00EF1133">
      <w:pPr>
        <w:rPr>
          <w:rFonts w:ascii="Arial Black" w:hAnsi="Arial Black"/>
          <w:color w:val="4A4A4A"/>
          <w:sz w:val="24"/>
          <w:szCs w:val="24"/>
          <w:lang w:val="en"/>
        </w:rPr>
      </w:pPr>
    </w:p>
    <w:p w14:paraId="2E12D163" w14:textId="2257860F" w:rsidR="00715CF2" w:rsidRDefault="00715CF2" w:rsidP="00EF1133">
      <w:pPr>
        <w:rPr>
          <w:rFonts w:ascii="Arial Black" w:hAnsi="Arial Black"/>
          <w:color w:val="4A4A4A"/>
          <w:sz w:val="24"/>
          <w:szCs w:val="24"/>
          <w:lang w:val="en"/>
        </w:rPr>
      </w:pPr>
      <w:r>
        <w:rPr>
          <w:rFonts w:ascii="Arial Black" w:hAnsi="Arial Black"/>
          <w:color w:val="4A4A4A"/>
          <w:sz w:val="24"/>
          <w:szCs w:val="24"/>
          <w:lang w:val="en"/>
        </w:rPr>
        <w:t>3-1</w:t>
      </w:r>
      <w:r w:rsidR="00A247E4">
        <w:rPr>
          <w:rFonts w:ascii="Arial Black" w:hAnsi="Arial Black"/>
          <w:color w:val="4A4A4A"/>
          <w:sz w:val="24"/>
          <w:szCs w:val="24"/>
          <w:lang w:val="en"/>
        </w:rPr>
        <w:t>3</w:t>
      </w:r>
    </w:p>
    <w:p w14:paraId="105D5C86" w14:textId="77777777" w:rsidR="00715CF2" w:rsidRPr="0022436C" w:rsidRDefault="00715CF2" w:rsidP="00715CF2">
      <w:pPr>
        <w:rPr>
          <w:rFonts w:ascii="Arial Black" w:hAnsi="Arial Black"/>
          <w:sz w:val="28"/>
          <w:szCs w:val="28"/>
        </w:rPr>
      </w:pPr>
      <w:bookmarkStart w:id="158" w:name="_Hlk25925471"/>
      <w:r w:rsidRPr="0022436C">
        <w:rPr>
          <w:rFonts w:ascii="Arial Black" w:hAnsi="Arial Black"/>
          <w:sz w:val="28"/>
          <w:szCs w:val="28"/>
        </w:rPr>
        <w:lastRenderedPageBreak/>
        <w:t xml:space="preserve">PA: </w:t>
      </w:r>
      <w:r>
        <w:rPr>
          <w:rFonts w:ascii="Arial Black" w:hAnsi="Arial Black"/>
          <w:sz w:val="28"/>
          <w:szCs w:val="28"/>
        </w:rPr>
        <w:t>HIGH SCHOOL STUDENT EXPELLED – THREATING COMMENT – “BEAT RECORD OF 19” OF PARKLAND, FL</w:t>
      </w:r>
    </w:p>
    <w:p w14:paraId="68B34862" w14:textId="2765649B" w:rsidR="00715CF2" w:rsidRDefault="00715CF2" w:rsidP="00715CF2">
      <w:pPr>
        <w:rPr>
          <w:rFonts w:ascii="Times New Roman" w:hAnsi="Times New Roman"/>
          <w:sz w:val="24"/>
          <w:szCs w:val="24"/>
        </w:rPr>
      </w:pPr>
      <w:r w:rsidRPr="007B6BCD">
        <w:rPr>
          <w:rFonts w:ascii="Times New Roman" w:hAnsi="Times New Roman"/>
          <w:sz w:val="24"/>
          <w:szCs w:val="24"/>
        </w:rPr>
        <w:t xml:space="preserve">On Sept. 10, 2019, in </w:t>
      </w:r>
      <w:r w:rsidRPr="007B6BCD">
        <w:rPr>
          <w:rFonts w:ascii="Times New Roman" w:hAnsi="Times New Roman"/>
          <w:sz w:val="24"/>
          <w:szCs w:val="24"/>
          <w:u w:val="single"/>
        </w:rPr>
        <w:t xml:space="preserve">In </w:t>
      </w:r>
      <w:proofErr w:type="gramStart"/>
      <w:r w:rsidRPr="007B6BCD">
        <w:rPr>
          <w:rFonts w:ascii="Times New Roman" w:hAnsi="Times New Roman"/>
          <w:sz w:val="24"/>
          <w:szCs w:val="24"/>
          <w:u w:val="single"/>
        </w:rPr>
        <w:t>The</w:t>
      </w:r>
      <w:proofErr w:type="gramEnd"/>
      <w:r>
        <w:rPr>
          <w:rFonts w:ascii="Times New Roman" w:hAnsi="Times New Roman"/>
          <w:sz w:val="24"/>
          <w:szCs w:val="24"/>
          <w:u w:val="single"/>
        </w:rPr>
        <w:t xml:space="preserve"> </w:t>
      </w:r>
      <w:r w:rsidRPr="007B6BCD">
        <w:rPr>
          <w:rFonts w:ascii="Times New Roman" w:hAnsi="Times New Roman"/>
          <w:sz w:val="24"/>
          <w:szCs w:val="24"/>
          <w:u w:val="single"/>
        </w:rPr>
        <w:t>Interest Of: J.J.M, A Minor</w:t>
      </w:r>
      <w:r w:rsidRPr="007B6BCD">
        <w:rPr>
          <w:rFonts w:ascii="Times New Roman" w:hAnsi="Times New Roman"/>
          <w:sz w:val="24"/>
          <w:szCs w:val="24"/>
        </w:rPr>
        <w:t xml:space="preserve">, </w:t>
      </w:r>
      <w:r>
        <w:rPr>
          <w:rFonts w:ascii="Times New Roman" w:hAnsi="Times New Roman"/>
          <w:sz w:val="24"/>
          <w:szCs w:val="24"/>
        </w:rPr>
        <w:t xml:space="preserve">the Superior Court of Pennsylvania, </w:t>
      </w:r>
      <w:r w:rsidRPr="007B6BCD">
        <w:rPr>
          <w:rFonts w:ascii="Times New Roman" w:hAnsi="Times New Roman"/>
          <w:sz w:val="24"/>
          <w:szCs w:val="24"/>
        </w:rPr>
        <w:t>2019 PA Super 277</w:t>
      </w:r>
      <w:r>
        <w:rPr>
          <w:rFonts w:ascii="Times New Roman" w:hAnsi="Times New Roman"/>
          <w:sz w:val="24"/>
          <w:szCs w:val="24"/>
        </w:rPr>
        <w:t xml:space="preserve">, upheld (3 to 0) the Juvenile Court judge’s finding of “delinquency adjudication for terrorist threats.”  </w:t>
      </w:r>
    </w:p>
    <w:p w14:paraId="40ECD149" w14:textId="77777777" w:rsidR="00715CF2" w:rsidRPr="007B6BCD" w:rsidRDefault="00715CF2" w:rsidP="00715CF2">
      <w:pPr>
        <w:rPr>
          <w:rFonts w:ascii="Times New Roman" w:hAnsi="Times New Roman"/>
          <w:sz w:val="24"/>
          <w:szCs w:val="24"/>
        </w:rPr>
      </w:pPr>
      <w:r>
        <w:tab/>
      </w:r>
      <w:r w:rsidRPr="007B6BCD">
        <w:rPr>
          <w:rFonts w:ascii="Times New Roman" w:hAnsi="Times New Roman"/>
          <w:sz w:val="24"/>
          <w:szCs w:val="24"/>
        </w:rPr>
        <w:t xml:space="preserve">Judge Mary Jane Bowles wrote: </w:t>
      </w:r>
    </w:p>
    <w:p w14:paraId="3692971E" w14:textId="0665E884" w:rsidR="00A247E4" w:rsidRPr="007B6BCD" w:rsidRDefault="00715CF2" w:rsidP="00715CF2">
      <w:pPr>
        <w:ind w:left="1440"/>
        <w:rPr>
          <w:rFonts w:ascii="Times New Roman" w:hAnsi="Times New Roman"/>
          <w:sz w:val="24"/>
          <w:szCs w:val="24"/>
        </w:rPr>
      </w:pPr>
      <w:r>
        <w:rPr>
          <w:rFonts w:ascii="Times New Roman" w:hAnsi="Times New Roman"/>
          <w:sz w:val="24"/>
          <w:szCs w:val="24"/>
        </w:rPr>
        <w:t>“</w:t>
      </w:r>
      <w:r w:rsidRPr="007B6BCD">
        <w:rPr>
          <w:rFonts w:ascii="Times New Roman" w:hAnsi="Times New Roman"/>
          <w:sz w:val="24"/>
          <w:szCs w:val="24"/>
        </w:rPr>
        <w:t xml:space="preserve">Appellant’s statement was uttered six days after seventeen victims were killed at Marjory Stoneman Douglas High School in Parkland, Florida, eclipsing the Columbine High School shooting as the </w:t>
      </w:r>
      <w:proofErr w:type="gramStart"/>
      <w:r w:rsidRPr="007B6BCD">
        <w:rPr>
          <w:rFonts w:ascii="Times New Roman" w:hAnsi="Times New Roman"/>
          <w:sz w:val="24"/>
          <w:szCs w:val="24"/>
        </w:rPr>
        <w:t>most</w:t>
      </w:r>
      <w:r>
        <w:rPr>
          <w:rFonts w:ascii="Times New Roman" w:hAnsi="Times New Roman"/>
          <w:sz w:val="24"/>
          <w:szCs w:val="24"/>
        </w:rPr>
        <w:t xml:space="preserve"> </w:t>
      </w:r>
      <w:r w:rsidRPr="007B6BCD">
        <w:rPr>
          <w:rFonts w:ascii="Times New Roman" w:hAnsi="Times New Roman"/>
          <w:sz w:val="24"/>
          <w:szCs w:val="24"/>
        </w:rPr>
        <w:t>deadly</w:t>
      </w:r>
      <w:proofErr w:type="gramEnd"/>
      <w:r w:rsidRPr="007B6BCD">
        <w:rPr>
          <w:rFonts w:ascii="Times New Roman" w:hAnsi="Times New Roman"/>
          <w:sz w:val="24"/>
          <w:szCs w:val="24"/>
        </w:rPr>
        <w:t xml:space="preserve"> high school shooting in United States history.</w:t>
      </w:r>
      <w:r w:rsidR="00A247E4">
        <w:rPr>
          <w:rFonts w:ascii="Times New Roman" w:hAnsi="Times New Roman"/>
          <w:sz w:val="24"/>
          <w:szCs w:val="24"/>
        </w:rPr>
        <w:t xml:space="preserve"> *** </w:t>
      </w:r>
      <w:r w:rsidRPr="007B6BCD">
        <w:rPr>
          <w:rFonts w:ascii="Times New Roman" w:hAnsi="Times New Roman"/>
          <w:sz w:val="24"/>
          <w:szCs w:val="24"/>
        </w:rPr>
        <w:t>Further, we conclude that the evidence sufficiently established that Appellant made his threat with reckless disregard for the risk that it would cause</w:t>
      </w:r>
      <w:r>
        <w:rPr>
          <w:rFonts w:ascii="Times New Roman" w:hAnsi="Times New Roman"/>
          <w:sz w:val="24"/>
          <w:szCs w:val="24"/>
        </w:rPr>
        <w:t xml:space="preserve"> </w:t>
      </w:r>
      <w:r w:rsidRPr="007B6BCD">
        <w:rPr>
          <w:rFonts w:ascii="Times New Roman" w:hAnsi="Times New Roman"/>
          <w:sz w:val="24"/>
          <w:szCs w:val="24"/>
        </w:rPr>
        <w:t>terror. Again, the facts are that, while the news was dominated by the deadliest high</w:t>
      </w:r>
      <w:r>
        <w:rPr>
          <w:rFonts w:ascii="Times New Roman" w:hAnsi="Times New Roman"/>
          <w:sz w:val="24"/>
          <w:szCs w:val="24"/>
        </w:rPr>
        <w:t xml:space="preserve"> </w:t>
      </w:r>
      <w:r w:rsidRPr="007B6BCD">
        <w:rPr>
          <w:rFonts w:ascii="Times New Roman" w:hAnsi="Times New Roman"/>
          <w:sz w:val="24"/>
          <w:szCs w:val="24"/>
        </w:rPr>
        <w:t>school shooting in this country’s history, Appellant proclaimed</w:t>
      </w:r>
      <w:r>
        <w:rPr>
          <w:rFonts w:ascii="Times New Roman" w:hAnsi="Times New Roman"/>
          <w:sz w:val="24"/>
          <w:szCs w:val="24"/>
        </w:rPr>
        <w:t xml:space="preserve"> </w:t>
      </w:r>
      <w:r w:rsidRPr="007B6BCD">
        <w:rPr>
          <w:rFonts w:ascii="Times New Roman" w:hAnsi="Times New Roman"/>
          <w:sz w:val="24"/>
          <w:szCs w:val="24"/>
        </w:rPr>
        <w:t xml:space="preserve">in a high school hallway, between classes, loud enough for other students to hear, that he wanted to </w:t>
      </w:r>
      <w:r>
        <w:rPr>
          <w:rFonts w:ascii="Times New Roman" w:hAnsi="Times New Roman"/>
          <w:sz w:val="24"/>
          <w:szCs w:val="24"/>
        </w:rPr>
        <w:t>‘</w:t>
      </w:r>
      <w:r w:rsidRPr="007B6BCD">
        <w:rPr>
          <w:rFonts w:ascii="Times New Roman" w:hAnsi="Times New Roman"/>
          <w:sz w:val="24"/>
          <w:szCs w:val="24"/>
        </w:rPr>
        <w:t xml:space="preserve">beat the record </w:t>
      </w:r>
      <w:r w:rsidRPr="007B6BCD">
        <w:rPr>
          <w:rStyle w:val="highlight"/>
          <w:rFonts w:ascii="Times New Roman" w:hAnsi="Times New Roman"/>
          <w:sz w:val="24"/>
          <w:szCs w:val="24"/>
        </w:rPr>
        <w:t>of</w:t>
      </w:r>
      <w:r w:rsidRPr="007B6BCD">
        <w:rPr>
          <w:rFonts w:ascii="Times New Roman" w:hAnsi="Times New Roman"/>
          <w:sz w:val="24"/>
          <w:szCs w:val="24"/>
        </w:rPr>
        <w:t xml:space="preserve"> 19.</w:t>
      </w:r>
      <w:r>
        <w:rPr>
          <w:rFonts w:ascii="Times New Roman" w:hAnsi="Times New Roman"/>
          <w:sz w:val="24"/>
          <w:szCs w:val="24"/>
        </w:rPr>
        <w:t xml:space="preserve">’ </w:t>
      </w:r>
      <w:r w:rsidRPr="007B6BCD">
        <w:rPr>
          <w:rFonts w:ascii="Times New Roman" w:hAnsi="Times New Roman"/>
          <w:sz w:val="24"/>
          <w:szCs w:val="24"/>
        </w:rPr>
        <w:t xml:space="preserve">We do not hesitate to conclude that Appellant consciously disregarded a substantial and unjustifiable risk that his threat would terrorize his fellow students. See18 </w:t>
      </w:r>
      <w:proofErr w:type="spellStart"/>
      <w:r w:rsidRPr="007B6BCD">
        <w:rPr>
          <w:rFonts w:ascii="Times New Roman" w:hAnsi="Times New Roman"/>
          <w:sz w:val="24"/>
          <w:szCs w:val="24"/>
        </w:rPr>
        <w:t>Pa.C.S</w:t>
      </w:r>
      <w:proofErr w:type="spellEnd"/>
      <w:r w:rsidRPr="007B6BCD">
        <w:rPr>
          <w:rFonts w:ascii="Times New Roman" w:hAnsi="Times New Roman"/>
          <w:sz w:val="24"/>
          <w:szCs w:val="24"/>
        </w:rPr>
        <w:t>. §302(a)(3) (defining recklessness).</w:t>
      </w:r>
      <w:r>
        <w:rPr>
          <w:rFonts w:ascii="Times New Roman" w:hAnsi="Times New Roman"/>
          <w:sz w:val="24"/>
          <w:szCs w:val="24"/>
        </w:rPr>
        <w:t>”</w:t>
      </w:r>
      <w:r w:rsidR="00A247E4">
        <w:rPr>
          <w:rFonts w:ascii="Times New Roman" w:hAnsi="Times New Roman"/>
          <w:sz w:val="24"/>
          <w:szCs w:val="24"/>
        </w:rPr>
        <w:t xml:space="preserve"> </w:t>
      </w:r>
      <w:hyperlink r:id="rId829" w:anchor="search=%22Interest%20of%20J.M.%22" w:history="1">
        <w:r w:rsidR="00A247E4" w:rsidRPr="00231BDB">
          <w:rPr>
            <w:rStyle w:val="Hyperlink"/>
            <w:rFonts w:ascii="Times New Roman" w:hAnsi="Times New Roman"/>
            <w:sz w:val="24"/>
            <w:szCs w:val="24"/>
          </w:rPr>
          <w:t>http://www.pacourts.us/assets/opinions/Superior/out/j-s12006-19o%20-%2010413599977313050.pdf#search=%22Interest%20of%20J.M.%22</w:t>
        </w:r>
      </w:hyperlink>
    </w:p>
    <w:p w14:paraId="485E49DB" w14:textId="77777777" w:rsidR="00715CF2" w:rsidRPr="007B6BCD" w:rsidRDefault="00715CF2" w:rsidP="00715CF2">
      <w:pPr>
        <w:pStyle w:val="NoSpacing"/>
        <w:rPr>
          <w:rFonts w:ascii="Times New Roman" w:hAnsi="Times New Roman"/>
          <w:sz w:val="24"/>
          <w:szCs w:val="24"/>
        </w:rPr>
      </w:pPr>
    </w:p>
    <w:p w14:paraId="64442DEC" w14:textId="77777777" w:rsidR="00715CF2" w:rsidRPr="009D3D13" w:rsidRDefault="00715CF2" w:rsidP="00715CF2">
      <w:pPr>
        <w:pStyle w:val="NoSpacing"/>
      </w:pPr>
      <w:r w:rsidRPr="00CA0C9B">
        <w:rPr>
          <w:rFonts w:ascii="Times New Roman" w:hAnsi="Times New Roman"/>
          <w:b/>
          <w:bCs/>
          <w:sz w:val="24"/>
          <w:szCs w:val="24"/>
        </w:rPr>
        <w:t xml:space="preserve">Legal Lessons Learned:  Great decision – school administrators need to repeatedly remind students to report any threatening behavior.  See 9/12.2019 article on this case: “Court: Student's Claim to Want to 'Beat the Record' Following Parkland Shooting Was Terroristic Threat.” </w:t>
      </w:r>
      <w:hyperlink r:id="rId830" w:history="1">
        <w:r w:rsidRPr="00C512BA">
          <w:rPr>
            <w:rStyle w:val="Hyperlink"/>
          </w:rPr>
          <w:t>https://www.law.com/thelegalintelligencer/2019/09/12/court-students-claim-to-want-to-beat-the-record-following-parkland-shooting-was-terroristic-threat/</w:t>
        </w:r>
      </w:hyperlink>
    </w:p>
    <w:p w14:paraId="26A2AEFF" w14:textId="77777777" w:rsidR="00715CF2" w:rsidRDefault="00715CF2" w:rsidP="00715CF2">
      <w:pPr>
        <w:rPr>
          <w:rFonts w:ascii="Arial Black" w:hAnsi="Arial Black"/>
          <w:color w:val="4A4A4A"/>
          <w:sz w:val="24"/>
          <w:szCs w:val="24"/>
          <w:lang w:val="en"/>
        </w:rPr>
      </w:pPr>
    </w:p>
    <w:bookmarkEnd w:id="158"/>
    <w:p w14:paraId="1AE2F854" w14:textId="77777777" w:rsidR="00715CF2" w:rsidRDefault="00715CF2" w:rsidP="00EF1133">
      <w:pPr>
        <w:rPr>
          <w:rFonts w:ascii="Arial Black" w:hAnsi="Arial Black"/>
          <w:color w:val="4A4A4A"/>
          <w:sz w:val="24"/>
          <w:szCs w:val="24"/>
          <w:lang w:val="en"/>
        </w:rPr>
      </w:pPr>
    </w:p>
    <w:p w14:paraId="5F193AB3" w14:textId="41CC64B7" w:rsidR="009F0F05" w:rsidRDefault="00D07E6E" w:rsidP="00EF1133">
      <w:pPr>
        <w:rPr>
          <w:rFonts w:ascii="Arial Black" w:hAnsi="Arial Black"/>
          <w:color w:val="4A4A4A"/>
          <w:sz w:val="24"/>
          <w:szCs w:val="24"/>
          <w:lang w:val="en"/>
        </w:rPr>
      </w:pPr>
      <w:r>
        <w:rPr>
          <w:rFonts w:ascii="Arial Black" w:hAnsi="Arial Black"/>
          <w:color w:val="4A4A4A"/>
          <w:sz w:val="24"/>
          <w:szCs w:val="24"/>
          <w:lang w:val="en"/>
        </w:rPr>
        <w:t>3-1</w:t>
      </w:r>
      <w:r w:rsidR="00A247E4">
        <w:rPr>
          <w:rFonts w:ascii="Arial Black" w:hAnsi="Arial Black"/>
          <w:color w:val="4A4A4A"/>
          <w:sz w:val="24"/>
          <w:szCs w:val="24"/>
          <w:lang w:val="en"/>
        </w:rPr>
        <w:t>2</w:t>
      </w:r>
    </w:p>
    <w:p w14:paraId="0F46A8EB" w14:textId="77777777" w:rsidR="00660046" w:rsidRPr="00660046" w:rsidRDefault="00660046" w:rsidP="00EF1133">
      <w:pPr>
        <w:rPr>
          <w:rFonts w:ascii="Arial Black" w:hAnsi="Arial Black" w:cs="Arial"/>
          <w:sz w:val="28"/>
          <w:szCs w:val="28"/>
        </w:rPr>
      </w:pPr>
      <w:bookmarkStart w:id="159" w:name="_Hlk25925579"/>
      <w:r w:rsidRPr="00660046">
        <w:rPr>
          <w:rFonts w:ascii="Arial Black" w:hAnsi="Arial Black" w:cs="Arial"/>
          <w:sz w:val="28"/>
          <w:szCs w:val="28"/>
        </w:rPr>
        <w:t>NY: 2nd CIRCUIT – DEPORTATION OF OUTSPOKEN ACTIVIST SUSPENDED - “OUTRAGEOUS COMMENTS” BY ICE DIRECTOR</w:t>
      </w:r>
    </w:p>
    <w:p w14:paraId="7001B6D0" w14:textId="01E95A19" w:rsidR="009F0F05" w:rsidRPr="0036327D" w:rsidRDefault="00660046" w:rsidP="00EF1133">
      <w:pPr>
        <w:rPr>
          <w:rFonts w:ascii="Times New Roman" w:hAnsi="Times New Roman"/>
          <w:color w:val="4A4A4A"/>
          <w:sz w:val="24"/>
          <w:szCs w:val="24"/>
          <w:lang w:val="en"/>
        </w:rPr>
      </w:pPr>
      <w:r w:rsidRPr="0036327D">
        <w:rPr>
          <w:rFonts w:ascii="Times New Roman" w:hAnsi="Times New Roman"/>
          <w:sz w:val="24"/>
          <w:szCs w:val="24"/>
        </w:rPr>
        <w:t xml:space="preserve">On April 25, 2019, in </w:t>
      </w:r>
      <w:proofErr w:type="spellStart"/>
      <w:r w:rsidRPr="0036327D">
        <w:rPr>
          <w:rFonts w:ascii="Times New Roman" w:hAnsi="Times New Roman"/>
          <w:sz w:val="24"/>
          <w:szCs w:val="24"/>
        </w:rPr>
        <w:t>Ravidath</w:t>
      </w:r>
      <w:proofErr w:type="spellEnd"/>
      <w:r w:rsidRPr="0036327D">
        <w:rPr>
          <w:rFonts w:ascii="Times New Roman" w:hAnsi="Times New Roman"/>
          <w:sz w:val="24"/>
          <w:szCs w:val="24"/>
        </w:rPr>
        <w:t xml:space="preserve"> Ragbir v. Thomas D. Homan, Director of ICE, the U.S. Court of Appeals for 2ndCircuit, held (2 to 1) that deportation order is suspended of the outspoken Executive Director of the New Sanctuary Coalition (which works to protect New York immigrant families from deportation). Congress cannot deprive federal courts of power to hold habeas corpus hearings when there is alleged violation of free speech under First Amendment. “To allow this retaliatory conduct to proceed would broadly chill protected speech, among not only activists subject to final orders of deportation but also those citizens and other residents who would fear retaliation against others. In short, the Government’s alleged conduct plausibly fits within the ‘outrageous [ness]’ exception to AADC.” </w:t>
      </w:r>
      <w:hyperlink r:id="rId831" w:history="1">
        <w:r w:rsidRPr="0036327D">
          <w:rPr>
            <w:rStyle w:val="Hyperlink"/>
            <w:rFonts w:ascii="Times New Roman" w:hAnsi="Times New Roman"/>
            <w:sz w:val="24"/>
            <w:szCs w:val="24"/>
          </w:rPr>
          <w:t>https://cases.justia.com/federal/appellate-courts/ca2/18-1597/18-1597-2019-04-25.pdf?ts=1556202606</w:t>
        </w:r>
      </w:hyperlink>
      <w:r w:rsidRPr="0036327D">
        <w:rPr>
          <w:rFonts w:ascii="Times New Roman" w:hAnsi="Times New Roman"/>
          <w:sz w:val="24"/>
          <w:szCs w:val="24"/>
        </w:rPr>
        <w:t xml:space="preserve"> </w:t>
      </w:r>
    </w:p>
    <w:p w14:paraId="2D3B4CAA" w14:textId="77777777" w:rsidR="00660046" w:rsidRPr="0036327D" w:rsidRDefault="00660046" w:rsidP="00EF1133">
      <w:pPr>
        <w:rPr>
          <w:rFonts w:ascii="Times New Roman" w:hAnsi="Times New Roman"/>
          <w:b/>
          <w:bCs/>
          <w:sz w:val="24"/>
          <w:szCs w:val="24"/>
        </w:rPr>
      </w:pPr>
      <w:r w:rsidRPr="0036327D">
        <w:rPr>
          <w:rFonts w:ascii="Times New Roman" w:hAnsi="Times New Roman"/>
          <w:b/>
          <w:bCs/>
          <w:sz w:val="24"/>
          <w:szCs w:val="24"/>
        </w:rPr>
        <w:lastRenderedPageBreak/>
        <w:t xml:space="preserve">Legal Lessons Learned: Inappropriate comments by governmental officials can be viewed as deprivation of Constitutional rights of individuals. </w:t>
      </w:r>
    </w:p>
    <w:p w14:paraId="6FDE3292" w14:textId="619011AE" w:rsidR="00660046" w:rsidRPr="0036327D" w:rsidRDefault="00660046" w:rsidP="00715CF2">
      <w:pPr>
        <w:ind w:left="720"/>
        <w:rPr>
          <w:rFonts w:ascii="Times New Roman" w:hAnsi="Times New Roman"/>
          <w:color w:val="4A4A4A"/>
          <w:sz w:val="24"/>
          <w:szCs w:val="24"/>
          <w:lang w:val="en"/>
        </w:rPr>
      </w:pPr>
      <w:r w:rsidRPr="0036327D">
        <w:rPr>
          <w:rFonts w:ascii="Times New Roman" w:hAnsi="Times New Roman"/>
          <w:sz w:val="24"/>
          <w:szCs w:val="24"/>
        </w:rPr>
        <w:t xml:space="preserve">See article about the decision: “Split 2nd Circuit Panel Finds ‘Outrageous’ ICE Conduct Revives Activist’s Removal Suit.” </w:t>
      </w:r>
      <w:hyperlink r:id="rId832" w:history="1">
        <w:r w:rsidRPr="0036327D">
          <w:rPr>
            <w:rStyle w:val="Hyperlink"/>
            <w:rFonts w:ascii="Times New Roman" w:hAnsi="Times New Roman"/>
            <w:sz w:val="24"/>
            <w:szCs w:val="24"/>
          </w:rPr>
          <w:t>https://www.law.com/newyorklawjournal/2019/04/25/split-2nd-circuit-panel-finds-outrageous-ice-conduct-revives-activists-removal-suit/</w:t>
        </w:r>
      </w:hyperlink>
      <w:r w:rsidRPr="0036327D">
        <w:rPr>
          <w:rFonts w:ascii="Times New Roman" w:hAnsi="Times New Roman"/>
          <w:sz w:val="24"/>
          <w:szCs w:val="24"/>
        </w:rPr>
        <w:t xml:space="preserve"> </w:t>
      </w:r>
    </w:p>
    <w:bookmarkEnd w:id="159"/>
    <w:p w14:paraId="28D7E50B" w14:textId="77777777" w:rsidR="00660046" w:rsidRDefault="00660046" w:rsidP="00EF1133">
      <w:pPr>
        <w:rPr>
          <w:rFonts w:ascii="Arial Black" w:hAnsi="Arial Black"/>
          <w:color w:val="4A4A4A"/>
          <w:sz w:val="24"/>
          <w:szCs w:val="24"/>
          <w:lang w:val="en"/>
        </w:rPr>
      </w:pPr>
    </w:p>
    <w:p w14:paraId="3B4CB980" w14:textId="58F5464E" w:rsidR="00660046" w:rsidRDefault="00660046" w:rsidP="00EF1133">
      <w:pPr>
        <w:rPr>
          <w:rFonts w:ascii="Arial Black" w:hAnsi="Arial Black"/>
          <w:color w:val="4A4A4A"/>
          <w:sz w:val="24"/>
          <w:szCs w:val="24"/>
          <w:lang w:val="en"/>
        </w:rPr>
      </w:pPr>
      <w:r>
        <w:rPr>
          <w:rFonts w:ascii="Arial Black" w:hAnsi="Arial Black"/>
          <w:color w:val="4A4A4A"/>
          <w:sz w:val="24"/>
          <w:szCs w:val="24"/>
          <w:lang w:val="en"/>
        </w:rPr>
        <w:t>3-1</w:t>
      </w:r>
      <w:r w:rsidR="00A247E4">
        <w:rPr>
          <w:rFonts w:ascii="Arial Black" w:hAnsi="Arial Black"/>
          <w:color w:val="4A4A4A"/>
          <w:sz w:val="24"/>
          <w:szCs w:val="24"/>
          <w:lang w:val="en"/>
        </w:rPr>
        <w:t>1</w:t>
      </w:r>
    </w:p>
    <w:p w14:paraId="7D02F5E3" w14:textId="77777777" w:rsidR="00660046" w:rsidRPr="00660046" w:rsidRDefault="00660046" w:rsidP="00EF1133">
      <w:pPr>
        <w:rPr>
          <w:rFonts w:ascii="Arial Black" w:hAnsi="Arial Black" w:cs="Arial"/>
          <w:sz w:val="28"/>
          <w:szCs w:val="28"/>
        </w:rPr>
      </w:pPr>
      <w:bookmarkStart w:id="160" w:name="_Hlk25925648"/>
      <w:r w:rsidRPr="00660046">
        <w:rPr>
          <w:rFonts w:ascii="Arial Black" w:hAnsi="Arial Black" w:cs="Arial"/>
          <w:sz w:val="28"/>
          <w:szCs w:val="28"/>
        </w:rPr>
        <w:t xml:space="preserve">CT: WIDOW OF 9/11 VICTIM AT WORLD TRADE CENTER – $1.2 MILLIONFED. FUNDS DAUGHTER – WIDOW CONTROLS – NOT PROBATE COURT </w:t>
      </w:r>
    </w:p>
    <w:p w14:paraId="6E102EB2" w14:textId="7ECC8D92" w:rsidR="00660046" w:rsidRPr="0036327D" w:rsidRDefault="00660046" w:rsidP="00EF1133">
      <w:pPr>
        <w:rPr>
          <w:rFonts w:ascii="Times New Roman" w:hAnsi="Times New Roman"/>
          <w:color w:val="4A4A4A"/>
          <w:sz w:val="24"/>
          <w:szCs w:val="24"/>
          <w:lang w:val="en"/>
        </w:rPr>
      </w:pPr>
      <w:r w:rsidRPr="0036327D">
        <w:rPr>
          <w:rFonts w:ascii="Times New Roman" w:hAnsi="Times New Roman"/>
          <w:sz w:val="24"/>
          <w:szCs w:val="24"/>
        </w:rPr>
        <w:t xml:space="preserve">On April 16, 2019, in Carolyne Y. Hynes v. Sharon M. Jones, the Connecticut Supreme Court (7 to 0) held that the widow had full control of the federal dollars paid to her daughter, and did not need Probate Court guardian ad litem approval for spending of these </w:t>
      </w:r>
      <w:proofErr w:type="spellStart"/>
      <w:r w:rsidRPr="0036327D">
        <w:rPr>
          <w:rFonts w:ascii="Times New Roman" w:hAnsi="Times New Roman"/>
          <w:sz w:val="24"/>
          <w:szCs w:val="24"/>
        </w:rPr>
        <w:t>funds.“We</w:t>
      </w:r>
      <w:proofErr w:type="spellEnd"/>
      <w:r w:rsidRPr="0036327D">
        <w:rPr>
          <w:rFonts w:ascii="Times New Roman" w:hAnsi="Times New Roman"/>
          <w:sz w:val="24"/>
          <w:szCs w:val="24"/>
        </w:rPr>
        <w:t xml:space="preserve"> conclude that our state statutes did not grant the Probate Court jurisdiction to monitor the plaintiff’s use of the fund award or to prohibit the plaintiff from using that award in the absence of that court’s approval.” </w:t>
      </w:r>
      <w:hyperlink r:id="rId833" w:history="1">
        <w:r w:rsidRPr="0036327D">
          <w:rPr>
            <w:rStyle w:val="Hyperlink"/>
            <w:rFonts w:ascii="Times New Roman" w:hAnsi="Times New Roman"/>
            <w:sz w:val="24"/>
            <w:szCs w:val="24"/>
          </w:rPr>
          <w:t>https://cases.justia.com/connecticut/supreme-court/2019-sc20009.pdf?ts=1554984045</w:t>
        </w:r>
      </w:hyperlink>
      <w:r w:rsidRPr="0036327D">
        <w:rPr>
          <w:rFonts w:ascii="Times New Roman" w:hAnsi="Times New Roman"/>
          <w:sz w:val="24"/>
          <w:szCs w:val="24"/>
        </w:rPr>
        <w:t xml:space="preserve"> </w:t>
      </w:r>
    </w:p>
    <w:p w14:paraId="20CBFBC7" w14:textId="6D5D11AA" w:rsidR="00660046" w:rsidRPr="0036327D" w:rsidRDefault="00660046" w:rsidP="00EF1133">
      <w:pPr>
        <w:rPr>
          <w:rFonts w:ascii="Times New Roman" w:hAnsi="Times New Roman"/>
          <w:b/>
          <w:bCs/>
          <w:color w:val="4A4A4A"/>
          <w:sz w:val="24"/>
          <w:szCs w:val="24"/>
          <w:lang w:val="en"/>
        </w:rPr>
      </w:pPr>
      <w:r w:rsidRPr="0036327D">
        <w:rPr>
          <w:rFonts w:ascii="Times New Roman" w:hAnsi="Times New Roman"/>
          <w:b/>
          <w:bCs/>
          <w:sz w:val="24"/>
          <w:szCs w:val="24"/>
        </w:rPr>
        <w:t xml:space="preserve">Legal Lessons Learned: Widow now has full discretion on how to spend funds granted to her minor child. </w:t>
      </w:r>
    </w:p>
    <w:bookmarkEnd w:id="160"/>
    <w:p w14:paraId="7F20CE4D" w14:textId="0C047440" w:rsidR="00660046" w:rsidRDefault="00660046" w:rsidP="00EF1133">
      <w:pPr>
        <w:rPr>
          <w:rFonts w:ascii="Arial Black" w:hAnsi="Arial Black"/>
          <w:color w:val="4A4A4A"/>
          <w:sz w:val="24"/>
          <w:szCs w:val="24"/>
          <w:lang w:val="en"/>
        </w:rPr>
      </w:pPr>
    </w:p>
    <w:p w14:paraId="21EC686F" w14:textId="77777777" w:rsidR="009C4A80" w:rsidRDefault="009C4A80" w:rsidP="00EF1133">
      <w:pPr>
        <w:rPr>
          <w:rFonts w:ascii="Arial Black" w:hAnsi="Arial Black"/>
          <w:color w:val="4A4A4A"/>
          <w:sz w:val="24"/>
          <w:szCs w:val="24"/>
          <w:lang w:val="en"/>
        </w:rPr>
      </w:pPr>
    </w:p>
    <w:p w14:paraId="0F29F433" w14:textId="43058EAB" w:rsidR="00EF1133" w:rsidRDefault="00EF1133" w:rsidP="00EF1133">
      <w:pPr>
        <w:rPr>
          <w:rFonts w:ascii="Arial Black" w:hAnsi="Arial Black"/>
          <w:sz w:val="28"/>
          <w:szCs w:val="28"/>
        </w:rPr>
      </w:pPr>
      <w:r w:rsidRPr="00EF1133">
        <w:rPr>
          <w:rFonts w:ascii="Arial Black" w:hAnsi="Arial Black"/>
          <w:color w:val="4A4A4A"/>
          <w:sz w:val="24"/>
          <w:szCs w:val="24"/>
          <w:lang w:val="en"/>
        </w:rPr>
        <w:t>3-</w:t>
      </w:r>
      <w:r w:rsidR="00A247E4">
        <w:rPr>
          <w:rFonts w:ascii="Arial Black" w:hAnsi="Arial Black"/>
          <w:color w:val="4A4A4A"/>
          <w:sz w:val="24"/>
          <w:szCs w:val="24"/>
          <w:lang w:val="en"/>
        </w:rPr>
        <w:t>10</w:t>
      </w:r>
    </w:p>
    <w:p w14:paraId="00D56E3E" w14:textId="09800419" w:rsidR="00F326E5" w:rsidRDefault="00F326E5" w:rsidP="00F326E5">
      <w:pPr>
        <w:pStyle w:val="NoSpacing"/>
        <w:rPr>
          <w:rFonts w:ascii="OnTimes New Roman" w:hAnsi="OnTimes New Roman"/>
          <w:sz w:val="24"/>
          <w:szCs w:val="24"/>
        </w:rPr>
      </w:pPr>
      <w:bookmarkStart w:id="161" w:name="_Hlk25926365"/>
      <w:r w:rsidRPr="00CA1140">
        <w:rPr>
          <w:rFonts w:ascii="Arial Black" w:hAnsi="Arial Black"/>
          <w:sz w:val="28"/>
          <w:szCs w:val="28"/>
        </w:rPr>
        <w:t xml:space="preserve">CT: </w:t>
      </w:r>
      <w:r>
        <w:rPr>
          <w:rFonts w:ascii="Arial Black" w:hAnsi="Arial Black"/>
          <w:sz w:val="28"/>
          <w:szCs w:val="28"/>
        </w:rPr>
        <w:t xml:space="preserve">SANDY HOOK ELEMENTARY SCHOOL - LAWSUITS MAY PROCEED / VIOLENT ADS BY GUN MFG. </w:t>
      </w:r>
    </w:p>
    <w:p w14:paraId="6A60DF8D" w14:textId="77777777" w:rsidR="009C4A80" w:rsidRDefault="00F326E5" w:rsidP="00F326E5">
      <w:pPr>
        <w:pStyle w:val="NoSpacing"/>
        <w:rPr>
          <w:rFonts w:ascii="Times New Roman" w:hAnsi="Times New Roman"/>
          <w:sz w:val="24"/>
          <w:szCs w:val="24"/>
        </w:rPr>
      </w:pPr>
      <w:r w:rsidRPr="0036327D">
        <w:rPr>
          <w:rFonts w:ascii="Times New Roman" w:hAnsi="Times New Roman"/>
          <w:sz w:val="24"/>
          <w:szCs w:val="24"/>
        </w:rPr>
        <w:t xml:space="preserve">On March 14, </w:t>
      </w:r>
      <w:proofErr w:type="gramStart"/>
      <w:r w:rsidRPr="0036327D">
        <w:rPr>
          <w:rFonts w:ascii="Times New Roman" w:hAnsi="Times New Roman"/>
          <w:sz w:val="24"/>
          <w:szCs w:val="24"/>
        </w:rPr>
        <w:t>2019</w:t>
      </w:r>
      <w:proofErr w:type="gramEnd"/>
      <w:r w:rsidRPr="0036327D">
        <w:rPr>
          <w:rFonts w:ascii="Times New Roman" w:hAnsi="Times New Roman"/>
          <w:sz w:val="24"/>
          <w:szCs w:val="24"/>
        </w:rPr>
        <w:t xml:space="preserve"> in </w:t>
      </w:r>
      <w:r w:rsidRPr="0036327D">
        <w:rPr>
          <w:rFonts w:ascii="Times New Roman" w:hAnsi="Times New Roman"/>
          <w:sz w:val="24"/>
          <w:szCs w:val="24"/>
          <w:u w:val="single"/>
        </w:rPr>
        <w:t>Donna L. Soto, Administratrix (Estate of Victoria L. Soto), et al. v. Bushmaster Firearms International, et al</w:t>
      </w:r>
      <w:r w:rsidRPr="0036327D">
        <w:rPr>
          <w:rFonts w:ascii="Times New Roman" w:hAnsi="Times New Roman"/>
          <w:sz w:val="24"/>
          <w:szCs w:val="24"/>
        </w:rPr>
        <w:t xml:space="preserve">., the Connecticut Supreme Court (4 to 3) reinstated the lawsuit brought by families of nine of the 20 children and six adults killed in the elementary school.  The Court held: </w:t>
      </w:r>
    </w:p>
    <w:p w14:paraId="71B3EB6F" w14:textId="77777777" w:rsidR="009C4A80" w:rsidRDefault="009C4A80" w:rsidP="00F326E5">
      <w:pPr>
        <w:pStyle w:val="NoSpacing"/>
        <w:rPr>
          <w:rFonts w:ascii="Times New Roman" w:hAnsi="Times New Roman"/>
          <w:sz w:val="24"/>
          <w:szCs w:val="24"/>
        </w:rPr>
      </w:pPr>
    </w:p>
    <w:p w14:paraId="7EE3F410" w14:textId="7674AA65" w:rsidR="00F326E5" w:rsidRPr="0036327D" w:rsidRDefault="00F326E5" w:rsidP="009C4A80">
      <w:pPr>
        <w:pStyle w:val="NoSpacing"/>
        <w:ind w:left="720"/>
        <w:rPr>
          <w:rStyle w:val="Hyperlink"/>
          <w:rFonts w:ascii="Times New Roman" w:hAnsi="Times New Roman"/>
          <w:sz w:val="24"/>
          <w:szCs w:val="24"/>
        </w:rPr>
      </w:pPr>
      <w:r w:rsidRPr="0036327D">
        <w:rPr>
          <w:rFonts w:ascii="Times New Roman" w:hAnsi="Times New Roman"/>
          <w:sz w:val="24"/>
          <w:szCs w:val="24"/>
        </w:rPr>
        <w:t xml:space="preserve">“The plaintiffs have offered one narrow legal theory, however, that is recognized under established Connecticut law. Specifically, they allege that the defendants knowingly marketed, advertised, and promoted the XM15-E2S for </w:t>
      </w:r>
      <w:proofErr w:type="gramStart"/>
      <w:r w:rsidRPr="0036327D">
        <w:rPr>
          <w:rFonts w:ascii="Times New Roman" w:hAnsi="Times New Roman"/>
          <w:sz w:val="24"/>
          <w:szCs w:val="24"/>
        </w:rPr>
        <w:t>civilians to use</w:t>
      </w:r>
      <w:proofErr w:type="gramEnd"/>
      <w:r w:rsidRPr="0036327D">
        <w:rPr>
          <w:rFonts w:ascii="Times New Roman" w:hAnsi="Times New Roman"/>
          <w:sz w:val="24"/>
          <w:szCs w:val="24"/>
        </w:rPr>
        <w:t xml:space="preserve"> to carry out offensive, military style combat missions against their perceived enemies. Such use of the XM15-E2S, or any weapon for that matter, would be illegal, and Connecticut law does not permit advertisements that promote or encourage violent, criminal </w:t>
      </w:r>
      <w:proofErr w:type="gramStart"/>
      <w:r w:rsidRPr="0036327D">
        <w:rPr>
          <w:rFonts w:ascii="Times New Roman" w:hAnsi="Times New Roman"/>
          <w:sz w:val="24"/>
          <w:szCs w:val="24"/>
        </w:rPr>
        <w:t>behavior.”</w:t>
      </w:r>
      <w:proofErr w:type="gramEnd"/>
      <w:r w:rsidRPr="0036327D">
        <w:rPr>
          <w:rFonts w:ascii="Times New Roman" w:hAnsi="Times New Roman"/>
          <w:sz w:val="24"/>
          <w:szCs w:val="24"/>
        </w:rPr>
        <w:t xml:space="preserve"> </w:t>
      </w:r>
      <w:hyperlink r:id="rId834" w:history="1">
        <w:r w:rsidRPr="0036327D">
          <w:rPr>
            <w:rStyle w:val="Hyperlink"/>
            <w:rFonts w:ascii="Times New Roman" w:hAnsi="Times New Roman"/>
            <w:sz w:val="24"/>
            <w:szCs w:val="24"/>
          </w:rPr>
          <w:t>file:///C:/Users/lawre/AppData/Local/Microsoft/Windows/INetCache/Content.Outlook/YEHISW7P/331CR865.pdf</w:t>
        </w:r>
      </w:hyperlink>
    </w:p>
    <w:p w14:paraId="13ADBD91" w14:textId="77777777" w:rsidR="009C4A80" w:rsidRDefault="009C4A80" w:rsidP="00F326E5">
      <w:pPr>
        <w:pStyle w:val="NoSpacing"/>
        <w:rPr>
          <w:rFonts w:ascii="Times New Roman" w:hAnsi="Times New Roman"/>
          <w:b/>
          <w:bCs/>
          <w:sz w:val="24"/>
          <w:szCs w:val="24"/>
        </w:rPr>
      </w:pPr>
    </w:p>
    <w:p w14:paraId="2013B689" w14:textId="4757F062" w:rsidR="005F7D6B" w:rsidRPr="0036327D" w:rsidRDefault="005F7D6B" w:rsidP="00F326E5">
      <w:pPr>
        <w:pStyle w:val="NoSpacing"/>
        <w:rPr>
          <w:rFonts w:ascii="Times New Roman" w:hAnsi="Times New Roman"/>
          <w:b/>
          <w:bCs/>
          <w:sz w:val="24"/>
          <w:szCs w:val="24"/>
        </w:rPr>
      </w:pPr>
      <w:r w:rsidRPr="0036327D">
        <w:rPr>
          <w:rFonts w:ascii="Times New Roman" w:hAnsi="Times New Roman"/>
          <w:b/>
          <w:bCs/>
          <w:sz w:val="24"/>
          <w:szCs w:val="24"/>
        </w:rPr>
        <w:t>Legal Lessons Learned: The case will not be sent back for trial or settlement by Remington Arms Co. LLC and its “daughter company” Bushmaster Firearms International LLC.</w:t>
      </w:r>
    </w:p>
    <w:p w14:paraId="6DF31E56" w14:textId="77777777" w:rsidR="005F7D6B" w:rsidRPr="0036327D" w:rsidRDefault="005F7D6B" w:rsidP="00F326E5">
      <w:pPr>
        <w:pStyle w:val="NoSpacing"/>
        <w:rPr>
          <w:rFonts w:ascii="Times New Roman" w:hAnsi="Times New Roman"/>
          <w:bCs/>
          <w:sz w:val="24"/>
          <w:szCs w:val="24"/>
        </w:rPr>
      </w:pPr>
    </w:p>
    <w:bookmarkEnd w:id="132"/>
    <w:bookmarkEnd w:id="161"/>
    <w:p w14:paraId="0A16F813" w14:textId="0B4E0E9D" w:rsidR="00F326E5" w:rsidRPr="0036327D" w:rsidRDefault="00F326E5" w:rsidP="00F326E5">
      <w:pPr>
        <w:pStyle w:val="NoSpacing"/>
        <w:rPr>
          <w:rFonts w:ascii="Times New Roman" w:hAnsi="Times New Roman"/>
          <w:bCs/>
          <w:sz w:val="24"/>
          <w:szCs w:val="24"/>
        </w:rPr>
      </w:pPr>
    </w:p>
    <w:p w14:paraId="2E379C23" w14:textId="4680C237" w:rsidR="00F326E5" w:rsidRPr="0036327D" w:rsidRDefault="00F326E5" w:rsidP="00F326E5">
      <w:pPr>
        <w:rPr>
          <w:rFonts w:ascii="Times New Roman" w:hAnsi="Times New Roman"/>
          <w:sz w:val="24"/>
          <w:szCs w:val="24"/>
        </w:rPr>
      </w:pPr>
    </w:p>
    <w:p w14:paraId="54A79544" w14:textId="3B5271B1" w:rsidR="00EF1133" w:rsidRDefault="00EF1133" w:rsidP="00F326E5">
      <w:pPr>
        <w:rPr>
          <w:rFonts w:ascii="Arial Black" w:hAnsi="Arial Black"/>
          <w:sz w:val="40"/>
          <w:szCs w:val="40"/>
        </w:rPr>
      </w:pPr>
      <w:r w:rsidRPr="00EF1133">
        <w:rPr>
          <w:rFonts w:ascii="Arial Black" w:hAnsi="Arial Black"/>
          <w:color w:val="4A4A4A"/>
          <w:sz w:val="24"/>
          <w:szCs w:val="24"/>
          <w:lang w:val="en"/>
        </w:rPr>
        <w:t>3-</w:t>
      </w:r>
      <w:r w:rsidR="00A247E4">
        <w:rPr>
          <w:rFonts w:ascii="Arial Black" w:hAnsi="Arial Black"/>
          <w:color w:val="4A4A4A"/>
          <w:sz w:val="24"/>
          <w:szCs w:val="24"/>
          <w:lang w:val="en"/>
        </w:rPr>
        <w:t>9</w:t>
      </w:r>
    </w:p>
    <w:p w14:paraId="266DBD23" w14:textId="54875327" w:rsidR="00F326E5" w:rsidRDefault="00F326E5" w:rsidP="00F326E5">
      <w:pPr>
        <w:pStyle w:val="NoSpacing"/>
        <w:rPr>
          <w:rFonts w:ascii="Arial Black" w:hAnsi="Arial Black"/>
          <w:sz w:val="28"/>
          <w:szCs w:val="28"/>
        </w:rPr>
      </w:pPr>
      <w:bookmarkStart w:id="162" w:name="_Hlk25926509"/>
      <w:bookmarkStart w:id="163" w:name="_Hlk7341421"/>
      <w:r w:rsidRPr="000561E4">
        <w:rPr>
          <w:rFonts w:ascii="Arial Black" w:hAnsi="Arial Black"/>
          <w:sz w:val="28"/>
          <w:szCs w:val="28"/>
        </w:rPr>
        <w:t xml:space="preserve">PA: </w:t>
      </w:r>
      <w:r>
        <w:rPr>
          <w:rFonts w:ascii="Arial Black" w:hAnsi="Arial Black"/>
          <w:sz w:val="28"/>
          <w:szCs w:val="28"/>
        </w:rPr>
        <w:t>SANCTUARY CITY / ICE - 3</w:t>
      </w:r>
      <w:r w:rsidRPr="000561E4">
        <w:rPr>
          <w:rFonts w:ascii="Arial Black" w:hAnsi="Arial Black"/>
          <w:sz w:val="28"/>
          <w:szCs w:val="28"/>
          <w:vertAlign w:val="superscript"/>
        </w:rPr>
        <w:t>rd</w:t>
      </w:r>
      <w:r>
        <w:rPr>
          <w:rFonts w:ascii="Arial Black" w:hAnsi="Arial Black"/>
          <w:sz w:val="28"/>
          <w:szCs w:val="28"/>
        </w:rPr>
        <w:t xml:space="preserve"> CIRCUIT HOLDS FED. GOVT CANNOT WITHHOLD FORMULA GRANT </w:t>
      </w:r>
    </w:p>
    <w:p w14:paraId="7325FE78" w14:textId="77777777" w:rsidR="009C4A80" w:rsidRDefault="00F326E5" w:rsidP="00F326E5">
      <w:pPr>
        <w:pStyle w:val="NoSpacing"/>
        <w:rPr>
          <w:rFonts w:ascii="Times New Roman" w:hAnsi="Times New Roman"/>
          <w:sz w:val="24"/>
          <w:szCs w:val="24"/>
        </w:rPr>
      </w:pPr>
      <w:r w:rsidRPr="0036327D">
        <w:rPr>
          <w:rFonts w:ascii="Times New Roman" w:hAnsi="Times New Roman"/>
          <w:sz w:val="24"/>
          <w:szCs w:val="24"/>
        </w:rPr>
        <w:t xml:space="preserve">On Feb. 15, 2019, in </w:t>
      </w:r>
      <w:r w:rsidRPr="0036327D">
        <w:rPr>
          <w:rFonts w:ascii="Times New Roman" w:hAnsi="Times New Roman"/>
          <w:sz w:val="24"/>
          <w:szCs w:val="24"/>
          <w:u w:val="single"/>
        </w:rPr>
        <w:t xml:space="preserve">City of Philadelphia v. Attorney General </w:t>
      </w:r>
      <w:proofErr w:type="gramStart"/>
      <w:r w:rsidRPr="0036327D">
        <w:rPr>
          <w:rFonts w:ascii="Times New Roman" w:hAnsi="Times New Roman"/>
          <w:sz w:val="24"/>
          <w:szCs w:val="24"/>
          <w:u w:val="single"/>
        </w:rPr>
        <w:t>Of</w:t>
      </w:r>
      <w:proofErr w:type="gramEnd"/>
      <w:r w:rsidRPr="0036327D">
        <w:rPr>
          <w:rFonts w:ascii="Times New Roman" w:hAnsi="Times New Roman"/>
          <w:sz w:val="24"/>
          <w:szCs w:val="24"/>
          <w:u w:val="single"/>
        </w:rPr>
        <w:t xml:space="preserve"> </w:t>
      </w:r>
      <w:proofErr w:type="gramStart"/>
      <w:r w:rsidRPr="0036327D">
        <w:rPr>
          <w:rFonts w:ascii="Times New Roman" w:hAnsi="Times New Roman"/>
          <w:sz w:val="24"/>
          <w:szCs w:val="24"/>
          <w:u w:val="single"/>
        </w:rPr>
        <w:t>The</w:t>
      </w:r>
      <w:proofErr w:type="gramEnd"/>
      <w:r w:rsidRPr="0036327D">
        <w:rPr>
          <w:rFonts w:ascii="Times New Roman" w:hAnsi="Times New Roman"/>
          <w:sz w:val="24"/>
          <w:szCs w:val="24"/>
          <w:u w:val="single"/>
        </w:rPr>
        <w:t xml:space="preserve"> United States </w:t>
      </w:r>
      <w:proofErr w:type="gramStart"/>
      <w:r w:rsidRPr="0036327D">
        <w:rPr>
          <w:rFonts w:ascii="Times New Roman" w:hAnsi="Times New Roman"/>
          <w:sz w:val="24"/>
          <w:szCs w:val="24"/>
          <w:u w:val="single"/>
        </w:rPr>
        <w:t>Of</w:t>
      </w:r>
      <w:proofErr w:type="gramEnd"/>
      <w:r w:rsidRPr="0036327D">
        <w:rPr>
          <w:rFonts w:ascii="Times New Roman" w:hAnsi="Times New Roman"/>
          <w:sz w:val="24"/>
          <w:szCs w:val="24"/>
          <w:u w:val="single"/>
        </w:rPr>
        <w:t xml:space="preserve"> America</w:t>
      </w:r>
      <w:r w:rsidRPr="0036327D">
        <w:rPr>
          <w:rFonts w:ascii="Times New Roman" w:hAnsi="Times New Roman"/>
          <w:sz w:val="24"/>
          <w:szCs w:val="24"/>
        </w:rPr>
        <w:t xml:space="preserve">, the U.S. Court of Appeals held (3 to 0), </w:t>
      </w:r>
    </w:p>
    <w:p w14:paraId="05488087" w14:textId="77777777" w:rsidR="009C4A80" w:rsidRDefault="009C4A80" w:rsidP="00F326E5">
      <w:pPr>
        <w:pStyle w:val="NoSpacing"/>
        <w:rPr>
          <w:rFonts w:ascii="Times New Roman" w:hAnsi="Times New Roman"/>
          <w:sz w:val="24"/>
          <w:szCs w:val="24"/>
        </w:rPr>
      </w:pPr>
    </w:p>
    <w:p w14:paraId="5AFDBA0F" w14:textId="13A03CC8" w:rsidR="00F326E5" w:rsidRPr="0036327D" w:rsidRDefault="00F326E5" w:rsidP="009C4A80">
      <w:pPr>
        <w:pStyle w:val="NoSpacing"/>
        <w:ind w:left="720"/>
        <w:rPr>
          <w:rFonts w:ascii="Times New Roman" w:hAnsi="Times New Roman"/>
          <w:sz w:val="24"/>
          <w:szCs w:val="24"/>
        </w:rPr>
      </w:pPr>
      <w:r w:rsidRPr="0036327D">
        <w:rPr>
          <w:rFonts w:ascii="Times New Roman" w:hAnsi="Times New Roman"/>
          <w:sz w:val="24"/>
          <w:szCs w:val="24"/>
        </w:rPr>
        <w:t xml:space="preserve">“Concluding that Congress did not grant the Attorney General this authority, we hold that the Challenged Conditions were unlawfully imposed.  Therefore, we will affirm the District Court’s order to the extent that it enjoins enforcement of the Challenged Conditions against the City of Philadelphia.  We will vacate part of the order, however, to the extent that it exceeds the bounds of this </w:t>
      </w:r>
      <w:proofErr w:type="gramStart"/>
      <w:r w:rsidRPr="0036327D">
        <w:rPr>
          <w:rFonts w:ascii="Times New Roman" w:hAnsi="Times New Roman"/>
          <w:sz w:val="24"/>
          <w:szCs w:val="24"/>
        </w:rPr>
        <w:t>controversy.”</w:t>
      </w:r>
      <w:proofErr w:type="gramEnd"/>
      <w:r w:rsidRPr="0036327D">
        <w:rPr>
          <w:rFonts w:ascii="Times New Roman" w:hAnsi="Times New Roman"/>
          <w:sz w:val="24"/>
          <w:szCs w:val="24"/>
        </w:rPr>
        <w:t xml:space="preserve"> </w:t>
      </w:r>
      <w:hyperlink r:id="rId835" w:history="1">
        <w:r w:rsidRPr="0036327D">
          <w:rPr>
            <w:rStyle w:val="Hyperlink"/>
            <w:rFonts w:ascii="Times New Roman" w:hAnsi="Times New Roman"/>
            <w:sz w:val="24"/>
            <w:szCs w:val="24"/>
          </w:rPr>
          <w:t>https://www2.ca3.uscourts.gov/opinarch/182648p.pdf</w:t>
        </w:r>
      </w:hyperlink>
      <w:r w:rsidRPr="0036327D">
        <w:rPr>
          <w:rFonts w:ascii="Times New Roman" w:hAnsi="Times New Roman"/>
          <w:sz w:val="24"/>
          <w:szCs w:val="24"/>
        </w:rPr>
        <w:t xml:space="preserve"> </w:t>
      </w:r>
    </w:p>
    <w:p w14:paraId="4AFA5DF5" w14:textId="77777777" w:rsidR="009C4A80" w:rsidRDefault="009C4A80" w:rsidP="00F326E5">
      <w:pPr>
        <w:pStyle w:val="NoSpacing"/>
        <w:rPr>
          <w:rFonts w:ascii="Times New Roman" w:hAnsi="Times New Roman"/>
          <w:b/>
          <w:sz w:val="24"/>
          <w:szCs w:val="24"/>
        </w:rPr>
      </w:pPr>
      <w:bookmarkStart w:id="164" w:name="_Hlk7174020"/>
    </w:p>
    <w:p w14:paraId="52D7C331" w14:textId="4C935395" w:rsidR="00F326E5" w:rsidRPr="0036327D" w:rsidRDefault="00F326E5" w:rsidP="00F326E5">
      <w:pPr>
        <w:pStyle w:val="NoSpacing"/>
        <w:rPr>
          <w:rFonts w:ascii="Times New Roman" w:hAnsi="Times New Roman"/>
          <w:b/>
          <w:sz w:val="24"/>
          <w:szCs w:val="24"/>
        </w:rPr>
      </w:pPr>
      <w:r w:rsidRPr="0036327D">
        <w:rPr>
          <w:rFonts w:ascii="Times New Roman" w:hAnsi="Times New Roman"/>
          <w:b/>
          <w:sz w:val="24"/>
          <w:szCs w:val="24"/>
        </w:rPr>
        <w:t xml:space="preserve">Legal Lessons Learned: The </w:t>
      </w:r>
      <w:proofErr w:type="spellStart"/>
      <w:r w:rsidRPr="0036327D">
        <w:rPr>
          <w:rFonts w:ascii="Times New Roman" w:hAnsi="Times New Roman"/>
          <w:b/>
          <w:sz w:val="24"/>
          <w:szCs w:val="24"/>
        </w:rPr>
        <w:t>DoJ</w:t>
      </w:r>
      <w:proofErr w:type="spellEnd"/>
      <w:r w:rsidRPr="0036327D">
        <w:rPr>
          <w:rFonts w:ascii="Times New Roman" w:hAnsi="Times New Roman"/>
          <w:b/>
          <w:sz w:val="24"/>
          <w:szCs w:val="24"/>
        </w:rPr>
        <w:t xml:space="preserve"> is likely to seek review by U.S. Supreme Court. </w:t>
      </w:r>
    </w:p>
    <w:bookmarkEnd w:id="162"/>
    <w:bookmarkEnd w:id="164"/>
    <w:p w14:paraId="3A67FE4D" w14:textId="4977738A" w:rsidR="00F326E5" w:rsidRPr="00AF41DF" w:rsidRDefault="00F326E5" w:rsidP="00F326E5">
      <w:pPr>
        <w:pStyle w:val="NoSpacing"/>
        <w:rPr>
          <w:b/>
          <w:sz w:val="24"/>
          <w:szCs w:val="24"/>
        </w:rPr>
      </w:pPr>
    </w:p>
    <w:bookmarkEnd w:id="163"/>
    <w:p w14:paraId="42939F19" w14:textId="77777777" w:rsidR="00F326E5" w:rsidRDefault="00F326E5" w:rsidP="00F326E5">
      <w:pPr>
        <w:rPr>
          <w:rFonts w:ascii="Arial Black" w:hAnsi="Arial Black"/>
          <w:sz w:val="40"/>
          <w:szCs w:val="40"/>
        </w:rPr>
      </w:pPr>
    </w:p>
    <w:p w14:paraId="1B7A0EAB" w14:textId="119D5F5A" w:rsidR="00EF1133" w:rsidRPr="00EF1133" w:rsidRDefault="00EF1133" w:rsidP="00EF1133">
      <w:pPr>
        <w:rPr>
          <w:rFonts w:ascii="Arial Black" w:hAnsi="Arial Black"/>
          <w:color w:val="4A4A4A"/>
          <w:sz w:val="24"/>
          <w:szCs w:val="24"/>
          <w:lang w:val="en"/>
        </w:rPr>
      </w:pPr>
      <w:r w:rsidRPr="00EF1133">
        <w:rPr>
          <w:rFonts w:ascii="Arial Black" w:hAnsi="Arial Black"/>
          <w:color w:val="4A4A4A"/>
          <w:sz w:val="24"/>
          <w:szCs w:val="24"/>
          <w:lang w:val="en"/>
        </w:rPr>
        <w:t>3-</w:t>
      </w:r>
      <w:r w:rsidR="00A247E4">
        <w:rPr>
          <w:rFonts w:ascii="Arial Black" w:hAnsi="Arial Black"/>
          <w:color w:val="4A4A4A"/>
          <w:sz w:val="24"/>
          <w:szCs w:val="24"/>
          <w:lang w:val="en"/>
        </w:rPr>
        <w:t>8</w:t>
      </w:r>
    </w:p>
    <w:p w14:paraId="48FE4AD2" w14:textId="77777777" w:rsidR="00F326E5" w:rsidRDefault="00F326E5" w:rsidP="00F326E5">
      <w:pPr>
        <w:pStyle w:val="NoSpacing"/>
        <w:rPr>
          <w:bCs/>
          <w:sz w:val="24"/>
          <w:szCs w:val="24"/>
        </w:rPr>
      </w:pPr>
    </w:p>
    <w:p w14:paraId="5E893FAA" w14:textId="668DD196" w:rsidR="00F326E5" w:rsidRDefault="00F326E5" w:rsidP="00F326E5">
      <w:pPr>
        <w:pStyle w:val="NoSpacing"/>
        <w:rPr>
          <w:rFonts w:ascii="Arial Black" w:hAnsi="Arial Black"/>
          <w:b/>
          <w:bCs/>
          <w:sz w:val="24"/>
          <w:szCs w:val="24"/>
        </w:rPr>
      </w:pPr>
      <w:bookmarkStart w:id="165" w:name="_Hlk7341624"/>
      <w:r w:rsidRPr="004445C3">
        <w:rPr>
          <w:rFonts w:ascii="Arial Black" w:hAnsi="Arial Black"/>
          <w:b/>
          <w:bCs/>
          <w:sz w:val="28"/>
          <w:szCs w:val="28"/>
        </w:rPr>
        <w:t xml:space="preserve">NY: </w:t>
      </w:r>
      <w:r>
        <w:rPr>
          <w:rFonts w:ascii="Arial Black" w:hAnsi="Arial Black"/>
          <w:b/>
          <w:bCs/>
          <w:sz w:val="28"/>
          <w:szCs w:val="28"/>
        </w:rPr>
        <w:t>JUVENILE TERRORIST – CAN’T DEPORT, BECAME U.S. CITIZEN WHEN FATHER BECAME CITIZEN</w:t>
      </w:r>
    </w:p>
    <w:p w14:paraId="525C53BE" w14:textId="77777777" w:rsidR="00F326E5" w:rsidRPr="0036327D" w:rsidRDefault="00F326E5" w:rsidP="00F326E5">
      <w:pPr>
        <w:rPr>
          <w:rFonts w:ascii="Times New Roman" w:eastAsia="Times New Roman" w:hAnsi="Times New Roman"/>
          <w:sz w:val="24"/>
          <w:szCs w:val="24"/>
        </w:rPr>
      </w:pPr>
      <w:r w:rsidRPr="0036327D">
        <w:rPr>
          <w:rFonts w:ascii="Times New Roman" w:eastAsia="Times New Roman" w:hAnsi="Times New Roman"/>
          <w:sz w:val="24"/>
          <w:szCs w:val="24"/>
        </w:rPr>
        <w:t xml:space="preserve">On Sept. 13, 2018, in </w:t>
      </w:r>
      <w:r w:rsidRPr="0036327D">
        <w:rPr>
          <w:rFonts w:ascii="Times New Roman" w:eastAsia="Times New Roman" w:hAnsi="Times New Roman"/>
          <w:sz w:val="24"/>
          <w:szCs w:val="24"/>
          <w:u w:val="single"/>
        </w:rPr>
        <w:t>Mohammed Khalid v. Jefferson Sessions, U.S. Attorney General</w:t>
      </w:r>
      <w:r w:rsidRPr="0036327D">
        <w:rPr>
          <w:rFonts w:ascii="Times New Roman" w:eastAsia="Times New Roman" w:hAnsi="Times New Roman"/>
          <w:sz w:val="24"/>
          <w:szCs w:val="24"/>
        </w:rPr>
        <w:t xml:space="preserve">, the U.S. Court of Appeals for Second Circuit [N.Y.], held (3 to 0): “We hold that the short, temporary physical separation caused by Khalid’s time in federal pretrial juvenile detention did not strip Khalid’s father of his ‘physical custody’ of Khalid as that term is used in 8 U.S.C. §1431(a), and that consequently, Khalid is a U.S. citizen. </w:t>
      </w:r>
      <w:hyperlink r:id="rId836" w:history="1">
        <w:r w:rsidRPr="0036327D">
          <w:rPr>
            <w:rStyle w:val="Hyperlink"/>
            <w:rFonts w:ascii="Times New Roman" w:hAnsi="Times New Roman"/>
            <w:sz w:val="24"/>
            <w:szCs w:val="24"/>
          </w:rPr>
          <w:t>https://ij.org/wp-content/uploads/2018/09/16-3480_complete_opn.pdf</w:t>
        </w:r>
      </w:hyperlink>
      <w:r w:rsidRPr="0036327D">
        <w:rPr>
          <w:rFonts w:ascii="Times New Roman" w:eastAsia="Times New Roman" w:hAnsi="Times New Roman"/>
          <w:sz w:val="24"/>
          <w:szCs w:val="24"/>
        </w:rPr>
        <w:t xml:space="preserve"> </w:t>
      </w:r>
    </w:p>
    <w:p w14:paraId="3B058AF2" w14:textId="77777777" w:rsidR="00F326E5" w:rsidRPr="0036327D" w:rsidRDefault="00F326E5" w:rsidP="00F326E5">
      <w:pPr>
        <w:rPr>
          <w:rFonts w:ascii="Times New Roman" w:eastAsia="Times New Roman" w:hAnsi="Times New Roman"/>
          <w:b/>
          <w:sz w:val="24"/>
          <w:szCs w:val="24"/>
        </w:rPr>
      </w:pPr>
      <w:r w:rsidRPr="0036327D">
        <w:rPr>
          <w:rFonts w:ascii="Times New Roman" w:eastAsia="Times New Roman" w:hAnsi="Times New Roman"/>
          <w:b/>
          <w:sz w:val="24"/>
          <w:szCs w:val="24"/>
        </w:rPr>
        <w:t xml:space="preserve">Legal Lessons Learned:  Citizenship is a great privilege.  Congress needs to consider revising the Immigration laws so that those convicted of terrorism are not automatically granted citizenship when their parent becomes a citizen. </w:t>
      </w:r>
    </w:p>
    <w:p w14:paraId="5EB04778" w14:textId="77777777" w:rsidR="00F326E5" w:rsidRPr="0036327D" w:rsidRDefault="00F326E5" w:rsidP="00F326E5">
      <w:pPr>
        <w:ind w:left="720"/>
        <w:rPr>
          <w:rFonts w:ascii="Times New Roman" w:eastAsia="Times New Roman" w:hAnsi="Times New Roman"/>
          <w:sz w:val="24"/>
          <w:szCs w:val="24"/>
        </w:rPr>
      </w:pPr>
      <w:r w:rsidRPr="0036327D">
        <w:rPr>
          <w:rFonts w:ascii="Times New Roman" w:eastAsia="Times New Roman" w:hAnsi="Times New Roman"/>
          <w:sz w:val="24"/>
          <w:szCs w:val="24"/>
        </w:rPr>
        <w:t>See article, “</w:t>
      </w:r>
      <w:r w:rsidRPr="0036327D">
        <w:rPr>
          <w:rFonts w:ascii="Times New Roman" w:hAnsi="Times New Roman"/>
          <w:sz w:val="24"/>
          <w:szCs w:val="24"/>
        </w:rPr>
        <w:t xml:space="preserve">Mohammad Hassan Khalid given five years in jail for his part in jihadist plot,” Khalid, the youngest person at 15 to be prosecuted for terrorism in the US, found guilty of involvement in conspiracy by 'Jihad Jane' to kill Swedish artist.  Khalid, a Pakistani migrant living in Maryland, was 15 years old when he first began chatting on the internet with Colleen LaRose, the Philadelphia housewife who called herself “Jihad Jane”. LaRose, who is serving a 10-year prison sentence for her part in the conspiracy, drew him into a plan to kill the Swedish artist Lars Vilks, who had drawn the head of the prophet Muhammad on the body of a dog. </w:t>
      </w:r>
      <w:hyperlink r:id="rId837" w:history="1">
        <w:r w:rsidRPr="0036327D">
          <w:rPr>
            <w:rStyle w:val="Hyperlink"/>
            <w:rFonts w:ascii="Times New Roman" w:hAnsi="Times New Roman"/>
            <w:sz w:val="24"/>
            <w:szCs w:val="24"/>
          </w:rPr>
          <w:t>https://www.theguardian.com/world/2014/apr/17/mohammad-hassan-khalid-sentence-five-years-jail-jihad-jane-plot</w:t>
        </w:r>
      </w:hyperlink>
      <w:r w:rsidRPr="0036327D">
        <w:rPr>
          <w:rFonts w:ascii="Times New Roman" w:hAnsi="Times New Roman"/>
          <w:sz w:val="24"/>
          <w:szCs w:val="24"/>
        </w:rPr>
        <w:t xml:space="preserve"> </w:t>
      </w:r>
    </w:p>
    <w:bookmarkEnd w:id="165"/>
    <w:p w14:paraId="26F2E2C0" w14:textId="75AFD2C1" w:rsidR="00EF1133" w:rsidRPr="00EF1133" w:rsidRDefault="00EF1133" w:rsidP="00EF1133">
      <w:pPr>
        <w:rPr>
          <w:rFonts w:ascii="Arial Black" w:hAnsi="Arial Black"/>
          <w:color w:val="4A4A4A"/>
          <w:sz w:val="24"/>
          <w:szCs w:val="24"/>
          <w:lang w:val="en"/>
        </w:rPr>
      </w:pPr>
      <w:r w:rsidRPr="00EF1133">
        <w:rPr>
          <w:rFonts w:ascii="Arial Black" w:hAnsi="Arial Black"/>
          <w:color w:val="4A4A4A"/>
          <w:sz w:val="24"/>
          <w:szCs w:val="24"/>
          <w:lang w:val="en"/>
        </w:rPr>
        <w:t>3-</w:t>
      </w:r>
      <w:r w:rsidR="00A247E4">
        <w:rPr>
          <w:rFonts w:ascii="Arial Black" w:hAnsi="Arial Black"/>
          <w:color w:val="4A4A4A"/>
          <w:sz w:val="24"/>
          <w:szCs w:val="24"/>
          <w:lang w:val="en"/>
        </w:rPr>
        <w:t>7</w:t>
      </w:r>
    </w:p>
    <w:p w14:paraId="019BB327" w14:textId="69AE6033" w:rsidR="00F326E5" w:rsidRPr="004445C3" w:rsidRDefault="00F326E5" w:rsidP="00F326E5">
      <w:pPr>
        <w:pStyle w:val="NoSpacing"/>
        <w:rPr>
          <w:rFonts w:ascii="Arial Black" w:hAnsi="Arial Black"/>
          <w:b/>
          <w:sz w:val="28"/>
          <w:szCs w:val="28"/>
        </w:rPr>
      </w:pPr>
      <w:bookmarkStart w:id="166" w:name="_Hlk7341723"/>
      <w:r w:rsidRPr="004445C3">
        <w:rPr>
          <w:rFonts w:ascii="Arial Black" w:hAnsi="Arial Black"/>
          <w:b/>
          <w:sz w:val="28"/>
          <w:szCs w:val="28"/>
        </w:rPr>
        <w:lastRenderedPageBreak/>
        <w:t>U.S. S</w:t>
      </w:r>
      <w:r>
        <w:rPr>
          <w:rFonts w:ascii="Arial Black" w:hAnsi="Arial Black"/>
          <w:b/>
          <w:sz w:val="28"/>
          <w:szCs w:val="28"/>
        </w:rPr>
        <w:t xml:space="preserve">UPREME COURT: PRESIDENT TRUMP’S “TRAVEL BAN” ON 8 NATIONS LAWFUL </w:t>
      </w:r>
    </w:p>
    <w:p w14:paraId="4D348741" w14:textId="77777777" w:rsidR="00F326E5" w:rsidRPr="0036327D" w:rsidRDefault="00F326E5" w:rsidP="00F326E5">
      <w:pPr>
        <w:rPr>
          <w:rFonts w:ascii="Times New Roman" w:eastAsia="Times New Roman" w:hAnsi="Times New Roman"/>
          <w:b/>
          <w:sz w:val="24"/>
          <w:szCs w:val="24"/>
        </w:rPr>
      </w:pPr>
      <w:r w:rsidRPr="0036327D">
        <w:rPr>
          <w:rFonts w:ascii="Times New Roman" w:hAnsi="Times New Roman"/>
          <w:sz w:val="24"/>
          <w:szCs w:val="24"/>
        </w:rPr>
        <w:t xml:space="preserve">On June 26, 2018, in </w:t>
      </w:r>
      <w:r w:rsidRPr="0036327D">
        <w:rPr>
          <w:rFonts w:ascii="Times New Roman" w:hAnsi="Times New Roman"/>
          <w:sz w:val="24"/>
          <w:szCs w:val="24"/>
          <w:u w:val="single"/>
        </w:rPr>
        <w:t>Trump, President Of The United States v. Hawaii, et al</w:t>
      </w:r>
      <w:r w:rsidRPr="0036327D">
        <w:rPr>
          <w:rFonts w:ascii="Times New Roman" w:hAnsi="Times New Roman"/>
          <w:sz w:val="24"/>
          <w:szCs w:val="24"/>
        </w:rPr>
        <w:t xml:space="preserve">., the U.S. Supreme Court (5 to 4), in decision by Chief Justice Roberts, held that President has the authority under federal statutes to ban travel to USA of citizens from 8 countries with weak travel clearance processes: </w:t>
      </w:r>
      <w:r w:rsidRPr="0036327D">
        <w:rPr>
          <w:rFonts w:ascii="Times New Roman" w:eastAsia="Times New Roman" w:hAnsi="Times New Roman"/>
          <w:sz w:val="24"/>
          <w:szCs w:val="24"/>
        </w:rPr>
        <w:t>Chad, Iran, Iraq, Libya, North Korea, Syria, Venezuela, and Yemen.</w:t>
      </w:r>
    </w:p>
    <w:p w14:paraId="6CABAD81" w14:textId="1BDB3AFA" w:rsidR="00F326E5" w:rsidRPr="0036327D" w:rsidRDefault="00F326E5" w:rsidP="00F326E5">
      <w:pPr>
        <w:ind w:left="720"/>
        <w:rPr>
          <w:rFonts w:ascii="Times New Roman" w:eastAsia="Times New Roman" w:hAnsi="Times New Roman"/>
          <w:sz w:val="24"/>
          <w:szCs w:val="24"/>
          <w:u w:val="single"/>
        </w:rPr>
      </w:pPr>
      <w:r w:rsidRPr="0036327D">
        <w:rPr>
          <w:rFonts w:ascii="Times New Roman" w:eastAsia="Times New Roman" w:hAnsi="Times New Roman"/>
          <w:b/>
          <w:sz w:val="24"/>
          <w:szCs w:val="24"/>
        </w:rPr>
        <w:t>“</w:t>
      </w:r>
      <w:r w:rsidRPr="0036327D">
        <w:rPr>
          <w:rFonts w:ascii="Times New Roman" w:eastAsia="Times New Roman" w:hAnsi="Times New Roman"/>
          <w:sz w:val="24"/>
          <w:szCs w:val="24"/>
        </w:rPr>
        <w:t xml:space="preserve">By its plain language, §1182(f) grants the President broad discretion to suspend the entry of aliens into the United States. The President lawfully exercised that discretion based on his findings—following a worldwide, multi-agency review—that entry of the covered aliens would be detrimental to the national interest. And plaintiffs’ attempts to identify a conflict with other provisions in the INA, and their appeal to the statute’s purposes and legislative history, fail to overcome the clear statutory </w:t>
      </w:r>
      <w:proofErr w:type="gramStart"/>
      <w:r w:rsidRPr="0036327D">
        <w:rPr>
          <w:rFonts w:ascii="Times New Roman" w:eastAsia="Times New Roman" w:hAnsi="Times New Roman"/>
          <w:sz w:val="24"/>
          <w:szCs w:val="24"/>
        </w:rPr>
        <w:t>language.”</w:t>
      </w:r>
      <w:proofErr w:type="gramEnd"/>
      <w:r w:rsidR="009C4A80">
        <w:rPr>
          <w:rFonts w:ascii="Times New Roman" w:eastAsia="Times New Roman" w:hAnsi="Times New Roman"/>
          <w:sz w:val="24"/>
          <w:szCs w:val="24"/>
        </w:rPr>
        <w:t xml:space="preserve"> </w:t>
      </w:r>
      <w:hyperlink r:id="rId838" w:history="1">
        <w:r w:rsidRPr="0036327D">
          <w:rPr>
            <w:rStyle w:val="Hyperlink"/>
            <w:rFonts w:ascii="Times New Roman" w:hAnsi="Times New Roman"/>
            <w:sz w:val="24"/>
            <w:szCs w:val="24"/>
          </w:rPr>
          <w:t>https://www.supremecourt.gov/opinions/17pdf/17-965_h315.pdf</w:t>
        </w:r>
      </w:hyperlink>
      <w:r w:rsidRPr="0036327D">
        <w:rPr>
          <w:rFonts w:ascii="Times New Roman" w:eastAsia="Times New Roman" w:hAnsi="Times New Roman"/>
          <w:sz w:val="24"/>
          <w:szCs w:val="24"/>
          <w:u w:val="single"/>
        </w:rPr>
        <w:t xml:space="preserve"> </w:t>
      </w:r>
    </w:p>
    <w:p w14:paraId="112C2E5E" w14:textId="77777777" w:rsidR="00F326E5" w:rsidRPr="0036327D" w:rsidRDefault="00F326E5" w:rsidP="00F326E5">
      <w:pPr>
        <w:rPr>
          <w:rFonts w:ascii="Times New Roman" w:eastAsia="Times New Roman" w:hAnsi="Times New Roman"/>
          <w:b/>
          <w:sz w:val="24"/>
          <w:szCs w:val="24"/>
        </w:rPr>
      </w:pPr>
      <w:r w:rsidRPr="0036327D">
        <w:rPr>
          <w:rFonts w:ascii="Times New Roman" w:eastAsia="Times New Roman" w:hAnsi="Times New Roman"/>
          <w:b/>
          <w:sz w:val="24"/>
          <w:szCs w:val="24"/>
        </w:rPr>
        <w:t>Legal Lessons Learned:  The Congress has granted President great powers to protect our national security.</w:t>
      </w:r>
    </w:p>
    <w:bookmarkEnd w:id="166"/>
    <w:p w14:paraId="0AD9C211" w14:textId="11FA162C" w:rsidR="007A61C9" w:rsidRDefault="007A61C9" w:rsidP="00F326E5">
      <w:pPr>
        <w:rPr>
          <w:rFonts w:ascii="Arial Black" w:hAnsi="Arial Black"/>
          <w:color w:val="4A4A4A"/>
          <w:sz w:val="24"/>
          <w:szCs w:val="24"/>
          <w:lang w:val="en"/>
        </w:rPr>
      </w:pPr>
      <w:r>
        <w:rPr>
          <w:rFonts w:ascii="Arial Black" w:hAnsi="Arial Black"/>
          <w:color w:val="4A4A4A"/>
          <w:sz w:val="24"/>
          <w:szCs w:val="24"/>
          <w:lang w:val="en"/>
        </w:rPr>
        <w:t>3-6</w:t>
      </w:r>
    </w:p>
    <w:p w14:paraId="68C80CA1" w14:textId="58FC1CFB" w:rsidR="007A61C9" w:rsidRPr="007A61C9" w:rsidRDefault="007A61C9" w:rsidP="007A61C9">
      <w:pPr>
        <w:pStyle w:val="NoSpacing"/>
        <w:rPr>
          <w:rFonts w:ascii="Arial Black" w:hAnsi="Arial Black"/>
          <w:sz w:val="28"/>
          <w:szCs w:val="28"/>
        </w:rPr>
      </w:pPr>
      <w:r w:rsidRPr="007A61C9">
        <w:rPr>
          <w:rFonts w:ascii="Arial Black" w:hAnsi="Arial Black"/>
          <w:sz w:val="28"/>
          <w:szCs w:val="28"/>
        </w:rPr>
        <w:t xml:space="preserve">U.S. SUPREME COURT </w:t>
      </w:r>
      <w:r>
        <w:rPr>
          <w:rFonts w:ascii="Arial Black" w:hAnsi="Arial Black"/>
          <w:sz w:val="28"/>
          <w:szCs w:val="28"/>
        </w:rPr>
        <w:t>–</w:t>
      </w:r>
      <w:r w:rsidRPr="007A61C9">
        <w:rPr>
          <w:rFonts w:ascii="Arial Black" w:hAnsi="Arial Black"/>
          <w:sz w:val="28"/>
          <w:szCs w:val="28"/>
        </w:rPr>
        <w:t xml:space="preserve"> </w:t>
      </w:r>
      <w:r>
        <w:rPr>
          <w:rFonts w:ascii="Arial Black" w:hAnsi="Arial Black"/>
          <w:sz w:val="28"/>
          <w:szCs w:val="28"/>
        </w:rPr>
        <w:t xml:space="preserve">TO </w:t>
      </w:r>
      <w:r w:rsidR="00E63D2F">
        <w:rPr>
          <w:rFonts w:ascii="Arial Black" w:hAnsi="Arial Black"/>
          <w:sz w:val="28"/>
          <w:szCs w:val="28"/>
        </w:rPr>
        <w:t>OBTAIN CELL PHONE DATA ON SUSPECT, NEED “PROBABLE CAUSE” – EXCEPTION FOR EMERGENCIES</w:t>
      </w:r>
    </w:p>
    <w:p w14:paraId="3613110F" w14:textId="77777777" w:rsidR="00E63D2F" w:rsidRDefault="00E63D2F" w:rsidP="007A61C9">
      <w:pPr>
        <w:pStyle w:val="NoSpacing"/>
        <w:rPr>
          <w:rFonts w:ascii="Times New Roman" w:hAnsi="Times New Roman"/>
          <w:sz w:val="24"/>
          <w:szCs w:val="24"/>
        </w:rPr>
      </w:pPr>
    </w:p>
    <w:p w14:paraId="641226D1" w14:textId="6DD97E8B" w:rsidR="007A61C9" w:rsidRPr="00563EC5" w:rsidRDefault="00E63D2F" w:rsidP="007A61C9">
      <w:pPr>
        <w:pStyle w:val="NoSpacing"/>
        <w:rPr>
          <w:rFonts w:ascii="Times New Roman" w:hAnsi="Times New Roman"/>
          <w:sz w:val="24"/>
          <w:szCs w:val="24"/>
        </w:rPr>
      </w:pPr>
      <w:r>
        <w:rPr>
          <w:rFonts w:ascii="Times New Roman" w:hAnsi="Times New Roman"/>
          <w:sz w:val="24"/>
          <w:szCs w:val="24"/>
        </w:rPr>
        <w:t xml:space="preserve">On June 22, 2018, in </w:t>
      </w:r>
      <w:r w:rsidRPr="00E63D2F">
        <w:rPr>
          <w:rFonts w:ascii="Times New Roman" w:hAnsi="Times New Roman"/>
          <w:sz w:val="24"/>
          <w:szCs w:val="24"/>
          <w:u w:val="single"/>
        </w:rPr>
        <w:t>Timothy Carpenter v. United States</w:t>
      </w:r>
      <w:r>
        <w:rPr>
          <w:rFonts w:ascii="Times New Roman" w:hAnsi="Times New Roman"/>
          <w:sz w:val="24"/>
          <w:szCs w:val="24"/>
        </w:rPr>
        <w:t xml:space="preserve">, the U.S. Supreme Court (5 to 4) held that </w:t>
      </w:r>
      <w:r w:rsidR="00563EC5">
        <w:rPr>
          <w:rFonts w:ascii="Times New Roman" w:hAnsi="Times New Roman"/>
          <w:sz w:val="24"/>
          <w:szCs w:val="24"/>
        </w:rPr>
        <w:t xml:space="preserve">a </w:t>
      </w:r>
      <w:r>
        <w:rPr>
          <w:rFonts w:ascii="Times New Roman" w:hAnsi="Times New Roman"/>
          <w:sz w:val="24"/>
          <w:szCs w:val="24"/>
        </w:rPr>
        <w:t>U.S. Magistrate improperly issued a</w:t>
      </w:r>
      <w:r w:rsidR="00563EC5">
        <w:rPr>
          <w:rFonts w:ascii="Times New Roman" w:hAnsi="Times New Roman"/>
          <w:sz w:val="24"/>
          <w:szCs w:val="24"/>
        </w:rPr>
        <w:t xml:space="preserve">n order to two cell phone companies under the </w:t>
      </w:r>
      <w:r w:rsidR="00563EC5" w:rsidRPr="007A61C9">
        <w:rPr>
          <w:rFonts w:ascii="Times New Roman" w:hAnsi="Times New Roman"/>
          <w:sz w:val="24"/>
          <w:szCs w:val="24"/>
        </w:rPr>
        <w:t>Stored Communications Act</w:t>
      </w:r>
      <w:r w:rsidR="00563EC5">
        <w:rPr>
          <w:rFonts w:ascii="Times New Roman" w:hAnsi="Times New Roman"/>
          <w:sz w:val="24"/>
          <w:szCs w:val="24"/>
        </w:rPr>
        <w:t>;</w:t>
      </w:r>
      <w:r>
        <w:rPr>
          <w:rFonts w:ascii="Times New Roman" w:hAnsi="Times New Roman"/>
          <w:sz w:val="24"/>
          <w:szCs w:val="24"/>
        </w:rPr>
        <w:t xml:space="preserve"> </w:t>
      </w:r>
      <w:r w:rsidR="00563EC5">
        <w:rPr>
          <w:rFonts w:ascii="Times New Roman" w:hAnsi="Times New Roman"/>
          <w:sz w:val="24"/>
          <w:szCs w:val="24"/>
        </w:rPr>
        <w:t xml:space="preserve">the FBI was investigating a series of armed robberies in Michigan and Ohio, and </w:t>
      </w:r>
      <w:r w:rsidR="00EC7466">
        <w:rPr>
          <w:rFonts w:ascii="Times New Roman" w:hAnsi="Times New Roman"/>
          <w:sz w:val="24"/>
          <w:szCs w:val="24"/>
        </w:rPr>
        <w:t>obtained 127 days of</w:t>
      </w:r>
      <w:r w:rsidR="00563EC5">
        <w:rPr>
          <w:rFonts w:ascii="Times New Roman" w:hAnsi="Times New Roman"/>
          <w:sz w:val="24"/>
          <w:szCs w:val="24"/>
        </w:rPr>
        <w:t xml:space="preserve"> cell-site location information (C</w:t>
      </w:r>
      <w:r w:rsidR="00EC7466">
        <w:rPr>
          <w:rFonts w:ascii="Times New Roman" w:hAnsi="Times New Roman"/>
          <w:sz w:val="24"/>
          <w:szCs w:val="24"/>
        </w:rPr>
        <w:t xml:space="preserve">SLI) </w:t>
      </w:r>
      <w:r w:rsidR="00563EC5">
        <w:rPr>
          <w:rFonts w:ascii="Times New Roman" w:hAnsi="Times New Roman"/>
          <w:sz w:val="24"/>
          <w:szCs w:val="24"/>
        </w:rPr>
        <w:t xml:space="preserve">on the lead suspect.  </w:t>
      </w:r>
      <w:r w:rsidR="00EC7466">
        <w:rPr>
          <w:rFonts w:ascii="Times New Roman" w:hAnsi="Times New Roman"/>
          <w:sz w:val="24"/>
          <w:szCs w:val="24"/>
        </w:rPr>
        <w:t xml:space="preserve">Court majority held that the FBI agents should have sought a search warrant, which </w:t>
      </w:r>
      <w:proofErr w:type="gramStart"/>
      <w:r w:rsidR="00EC7466">
        <w:rPr>
          <w:rFonts w:ascii="Times New Roman" w:hAnsi="Times New Roman"/>
          <w:sz w:val="24"/>
          <w:szCs w:val="24"/>
        </w:rPr>
        <w:t>have required</w:t>
      </w:r>
      <w:proofErr w:type="gramEnd"/>
      <w:r w:rsidR="00EC7466">
        <w:rPr>
          <w:rFonts w:ascii="Times New Roman" w:hAnsi="Times New Roman"/>
          <w:sz w:val="24"/>
          <w:szCs w:val="24"/>
        </w:rPr>
        <w:t xml:space="preserve"> an affidavit showing probable cause. “</w:t>
      </w:r>
      <w:r w:rsidR="00EC7466" w:rsidRPr="00EC7466">
        <w:rPr>
          <w:rFonts w:ascii="Times New Roman" w:hAnsi="Times New Roman"/>
          <w:sz w:val="24"/>
          <w:szCs w:val="24"/>
        </w:rPr>
        <w:t>Having found that the acquisition of Carpenter’s CSLI</w:t>
      </w:r>
      <w:r w:rsidR="00EC7466">
        <w:rPr>
          <w:rFonts w:ascii="Times New Roman" w:hAnsi="Times New Roman"/>
          <w:sz w:val="24"/>
          <w:szCs w:val="24"/>
        </w:rPr>
        <w:t xml:space="preserve"> </w:t>
      </w:r>
      <w:r w:rsidR="00EC7466" w:rsidRPr="00EC7466">
        <w:rPr>
          <w:rFonts w:ascii="Times New Roman" w:hAnsi="Times New Roman"/>
          <w:sz w:val="24"/>
          <w:szCs w:val="24"/>
        </w:rPr>
        <w:t>was a search, we also conclude that the Government must generally obtain a warrant supported by probable cause before acquiring such records.</w:t>
      </w:r>
      <w:r w:rsidR="00EC7466">
        <w:rPr>
          <w:rFonts w:ascii="Times New Roman" w:hAnsi="Times New Roman"/>
          <w:sz w:val="24"/>
          <w:szCs w:val="24"/>
        </w:rPr>
        <w:t xml:space="preserve">” </w:t>
      </w:r>
      <w:r w:rsidR="00563EC5" w:rsidRPr="00563EC5">
        <w:rPr>
          <w:rFonts w:ascii="Times New Roman" w:hAnsi="Times New Roman"/>
          <w:sz w:val="24"/>
          <w:szCs w:val="24"/>
        </w:rPr>
        <w:t>Carpenter was convicted on all</w:t>
      </w:r>
      <w:r w:rsidR="00563EC5">
        <w:rPr>
          <w:rFonts w:ascii="Times New Roman" w:hAnsi="Times New Roman"/>
          <w:sz w:val="24"/>
          <w:szCs w:val="24"/>
        </w:rPr>
        <w:t xml:space="preserve"> </w:t>
      </w:r>
      <w:r w:rsidR="00563EC5" w:rsidRPr="00563EC5">
        <w:rPr>
          <w:rFonts w:ascii="Times New Roman" w:hAnsi="Times New Roman"/>
          <w:sz w:val="24"/>
          <w:szCs w:val="24"/>
        </w:rPr>
        <w:t xml:space="preserve">but one of the </w:t>
      </w:r>
      <w:proofErr w:type="gramStart"/>
      <w:r w:rsidR="00563EC5" w:rsidRPr="00563EC5">
        <w:rPr>
          <w:rFonts w:ascii="Times New Roman" w:hAnsi="Times New Roman"/>
          <w:sz w:val="24"/>
          <w:szCs w:val="24"/>
        </w:rPr>
        <w:t>firearm</w:t>
      </w:r>
      <w:proofErr w:type="gramEnd"/>
      <w:r w:rsidR="00563EC5" w:rsidRPr="00563EC5">
        <w:rPr>
          <w:rFonts w:ascii="Times New Roman" w:hAnsi="Times New Roman"/>
          <w:sz w:val="24"/>
          <w:szCs w:val="24"/>
        </w:rPr>
        <w:t xml:space="preserve"> counts and sentenced to more than 100 years in prison.</w:t>
      </w:r>
      <w:r w:rsidR="00563EC5">
        <w:rPr>
          <w:rFonts w:ascii="Times New Roman" w:hAnsi="Times New Roman"/>
          <w:sz w:val="24"/>
          <w:szCs w:val="24"/>
        </w:rPr>
        <w:t xml:space="preserve"> [Conviction reversed.]</w:t>
      </w:r>
    </w:p>
    <w:p w14:paraId="5D123938" w14:textId="1F29F6C8" w:rsidR="00E63D2F" w:rsidRDefault="00E63D2F" w:rsidP="007A61C9">
      <w:pPr>
        <w:pStyle w:val="NoSpacing"/>
        <w:rPr>
          <w:rFonts w:ascii="Times New Roman" w:hAnsi="Times New Roman"/>
          <w:sz w:val="24"/>
          <w:szCs w:val="24"/>
        </w:rPr>
      </w:pPr>
    </w:p>
    <w:p w14:paraId="27ED1D8A" w14:textId="77777777" w:rsidR="00E63D2F" w:rsidRDefault="00E63D2F" w:rsidP="007A61C9">
      <w:pPr>
        <w:pStyle w:val="NoSpacing"/>
        <w:rPr>
          <w:rFonts w:ascii="Times New Roman" w:hAnsi="Times New Roman"/>
          <w:sz w:val="24"/>
          <w:szCs w:val="24"/>
        </w:rPr>
      </w:pPr>
    </w:p>
    <w:p w14:paraId="3AEFB889" w14:textId="540EAD2A" w:rsidR="00563EC5" w:rsidRPr="00563EC5" w:rsidRDefault="00E63D2F" w:rsidP="00E63D2F">
      <w:pPr>
        <w:pStyle w:val="NoSpacing"/>
        <w:ind w:left="720"/>
        <w:rPr>
          <w:rFonts w:ascii="Times New Roman" w:hAnsi="Times New Roman"/>
          <w:sz w:val="24"/>
          <w:szCs w:val="24"/>
        </w:rPr>
      </w:pPr>
      <w:r>
        <w:rPr>
          <w:rFonts w:ascii="Times New Roman" w:hAnsi="Times New Roman"/>
          <w:sz w:val="24"/>
          <w:szCs w:val="24"/>
        </w:rPr>
        <w:t>“</w:t>
      </w:r>
      <w:r w:rsidR="007A61C9" w:rsidRPr="007A61C9">
        <w:rPr>
          <w:rFonts w:ascii="Times New Roman" w:hAnsi="Times New Roman"/>
          <w:sz w:val="24"/>
          <w:szCs w:val="24"/>
        </w:rPr>
        <w:t>In 2011, police officers arrested four men suspected of</w:t>
      </w:r>
      <w:r>
        <w:rPr>
          <w:rFonts w:ascii="Times New Roman" w:hAnsi="Times New Roman"/>
          <w:sz w:val="24"/>
          <w:szCs w:val="24"/>
        </w:rPr>
        <w:t xml:space="preserve"> </w:t>
      </w:r>
      <w:r w:rsidR="007A61C9" w:rsidRPr="007A61C9">
        <w:rPr>
          <w:rFonts w:ascii="Times New Roman" w:hAnsi="Times New Roman"/>
          <w:sz w:val="24"/>
          <w:szCs w:val="24"/>
        </w:rPr>
        <w:t>robbing a series of Radio Shack and (ironically enough) T-Mobile stores in Detroit. One of the men confessed that, over the previous four months, the group (along with a rotating cast of getaway drivers and lookouts) had robbed</w:t>
      </w:r>
      <w:r>
        <w:rPr>
          <w:rFonts w:ascii="Times New Roman" w:hAnsi="Times New Roman"/>
          <w:sz w:val="24"/>
          <w:szCs w:val="24"/>
        </w:rPr>
        <w:t xml:space="preserve"> </w:t>
      </w:r>
      <w:r w:rsidR="007A61C9" w:rsidRPr="007A61C9">
        <w:rPr>
          <w:rFonts w:ascii="Times New Roman" w:hAnsi="Times New Roman"/>
          <w:sz w:val="24"/>
          <w:szCs w:val="24"/>
        </w:rPr>
        <w:t>nine different stores in Michigan and Ohio. The suspect</w:t>
      </w:r>
      <w:r>
        <w:rPr>
          <w:rFonts w:ascii="Times New Roman" w:hAnsi="Times New Roman"/>
          <w:sz w:val="24"/>
          <w:szCs w:val="24"/>
        </w:rPr>
        <w:t xml:space="preserve"> </w:t>
      </w:r>
      <w:r w:rsidR="007A61C9" w:rsidRPr="007A61C9">
        <w:rPr>
          <w:rFonts w:ascii="Times New Roman" w:hAnsi="Times New Roman"/>
          <w:sz w:val="24"/>
          <w:szCs w:val="24"/>
        </w:rPr>
        <w:t>identified 15 accomplices who had participated in the heists and gave the FBI some of their cell phone numbers;</w:t>
      </w:r>
      <w:r>
        <w:rPr>
          <w:rFonts w:ascii="Times New Roman" w:hAnsi="Times New Roman"/>
          <w:sz w:val="24"/>
          <w:szCs w:val="24"/>
        </w:rPr>
        <w:t xml:space="preserve"> </w:t>
      </w:r>
      <w:r w:rsidR="007A61C9" w:rsidRPr="007A61C9">
        <w:rPr>
          <w:rFonts w:ascii="Times New Roman" w:hAnsi="Times New Roman"/>
          <w:sz w:val="24"/>
          <w:szCs w:val="24"/>
        </w:rPr>
        <w:t>the FBI then reviewed his call records to identify additional numbers that he had called around the time of the robberies. *** Federal Magistrate Judges issued two</w:t>
      </w:r>
      <w:r>
        <w:rPr>
          <w:rFonts w:ascii="Times New Roman" w:hAnsi="Times New Roman"/>
          <w:sz w:val="24"/>
          <w:szCs w:val="24"/>
        </w:rPr>
        <w:t xml:space="preserve"> </w:t>
      </w:r>
      <w:r w:rsidR="007A61C9" w:rsidRPr="007A61C9">
        <w:rPr>
          <w:rFonts w:ascii="Times New Roman" w:hAnsi="Times New Roman"/>
          <w:sz w:val="24"/>
          <w:szCs w:val="24"/>
        </w:rPr>
        <w:t>orders directing Carpenter’s wireless carriers—Metro</w:t>
      </w:r>
      <w:r w:rsidR="00563EC5">
        <w:rPr>
          <w:rFonts w:ascii="Times New Roman" w:hAnsi="Times New Roman"/>
          <w:sz w:val="24"/>
          <w:szCs w:val="24"/>
        </w:rPr>
        <w:t xml:space="preserve"> </w:t>
      </w:r>
      <w:r w:rsidR="007A61C9" w:rsidRPr="007A61C9">
        <w:rPr>
          <w:rFonts w:ascii="Times New Roman" w:hAnsi="Times New Roman"/>
          <w:sz w:val="24"/>
          <w:szCs w:val="24"/>
        </w:rPr>
        <w:t>PCS</w:t>
      </w:r>
      <w:r w:rsidR="00563EC5">
        <w:rPr>
          <w:rFonts w:ascii="Times New Roman" w:hAnsi="Times New Roman"/>
          <w:sz w:val="24"/>
          <w:szCs w:val="24"/>
        </w:rPr>
        <w:t xml:space="preserve"> </w:t>
      </w:r>
      <w:r w:rsidR="007A61C9" w:rsidRPr="007A61C9">
        <w:rPr>
          <w:rFonts w:ascii="Times New Roman" w:hAnsi="Times New Roman"/>
          <w:sz w:val="24"/>
          <w:szCs w:val="24"/>
        </w:rPr>
        <w:t xml:space="preserve">and Sprint—to disclose </w:t>
      </w:r>
      <w:r w:rsidR="00563EC5">
        <w:rPr>
          <w:rFonts w:ascii="Times New Roman" w:hAnsi="Times New Roman"/>
          <w:sz w:val="24"/>
          <w:szCs w:val="24"/>
        </w:rPr>
        <w:t>‘</w:t>
      </w:r>
      <w:r w:rsidR="007A61C9" w:rsidRPr="007A61C9">
        <w:rPr>
          <w:rFonts w:ascii="Times New Roman" w:hAnsi="Times New Roman"/>
          <w:sz w:val="24"/>
          <w:szCs w:val="24"/>
        </w:rPr>
        <w:t>cell/site sector [information] for [Carpenter’s] telephone[ ] at call origination and at call</w:t>
      </w:r>
      <w:r w:rsidR="00563EC5">
        <w:rPr>
          <w:rFonts w:ascii="Times New Roman" w:hAnsi="Times New Roman"/>
          <w:sz w:val="24"/>
          <w:szCs w:val="24"/>
        </w:rPr>
        <w:t xml:space="preserve"> </w:t>
      </w:r>
      <w:r w:rsidR="007A61C9" w:rsidRPr="007A61C9">
        <w:rPr>
          <w:rFonts w:ascii="Times New Roman" w:hAnsi="Times New Roman"/>
          <w:sz w:val="24"/>
          <w:szCs w:val="24"/>
        </w:rPr>
        <w:t>termination for incoming and outgoing calls</w:t>
      </w:r>
      <w:r w:rsidR="00563EC5">
        <w:rPr>
          <w:rFonts w:ascii="Times New Roman" w:hAnsi="Times New Roman"/>
          <w:sz w:val="24"/>
          <w:szCs w:val="24"/>
        </w:rPr>
        <w:t>’</w:t>
      </w:r>
      <w:r w:rsidR="007A61C9" w:rsidRPr="007A61C9">
        <w:rPr>
          <w:rFonts w:ascii="Times New Roman" w:hAnsi="Times New Roman"/>
          <w:sz w:val="24"/>
          <w:szCs w:val="24"/>
        </w:rPr>
        <w:t xml:space="preserve"> during the</w:t>
      </w:r>
      <w:r w:rsidR="00563EC5">
        <w:rPr>
          <w:rFonts w:ascii="Times New Roman" w:hAnsi="Times New Roman"/>
          <w:sz w:val="24"/>
          <w:szCs w:val="24"/>
        </w:rPr>
        <w:t xml:space="preserve"> </w:t>
      </w:r>
      <w:r w:rsidR="007A61C9" w:rsidRPr="007A61C9">
        <w:rPr>
          <w:rFonts w:ascii="Times New Roman" w:hAnsi="Times New Roman"/>
          <w:sz w:val="24"/>
          <w:szCs w:val="24"/>
        </w:rPr>
        <w:t>four-month period when the string of robberies occurred</w:t>
      </w:r>
      <w:r w:rsidR="00563EC5">
        <w:rPr>
          <w:rFonts w:ascii="Times New Roman" w:hAnsi="Times New Roman"/>
          <w:sz w:val="24"/>
          <w:szCs w:val="24"/>
        </w:rPr>
        <w:t xml:space="preserve">…. </w:t>
      </w:r>
      <w:r w:rsidR="007A61C9" w:rsidRPr="007A61C9">
        <w:rPr>
          <w:rFonts w:ascii="Times New Roman" w:hAnsi="Times New Roman"/>
          <w:sz w:val="24"/>
          <w:szCs w:val="24"/>
        </w:rPr>
        <w:t>The first order sought 152days of cell-site records from MetroPCS, which produced</w:t>
      </w:r>
      <w:r w:rsidR="00563EC5">
        <w:rPr>
          <w:rFonts w:ascii="Times New Roman" w:hAnsi="Times New Roman"/>
          <w:sz w:val="24"/>
          <w:szCs w:val="24"/>
        </w:rPr>
        <w:t xml:space="preserve"> </w:t>
      </w:r>
      <w:r w:rsidR="007A61C9" w:rsidRPr="007A61C9">
        <w:rPr>
          <w:rFonts w:ascii="Times New Roman" w:hAnsi="Times New Roman"/>
          <w:sz w:val="24"/>
          <w:szCs w:val="24"/>
        </w:rPr>
        <w:t>records spanning 127 days. The second order requested seven days of CSLI from Sprint, which produced two days</w:t>
      </w:r>
      <w:r w:rsidR="00563EC5">
        <w:rPr>
          <w:rFonts w:ascii="Times New Roman" w:hAnsi="Times New Roman"/>
          <w:sz w:val="24"/>
          <w:szCs w:val="24"/>
        </w:rPr>
        <w:t xml:space="preserve"> </w:t>
      </w:r>
      <w:r w:rsidR="007A61C9" w:rsidRPr="007A61C9">
        <w:rPr>
          <w:rFonts w:ascii="Times New Roman" w:hAnsi="Times New Roman"/>
          <w:sz w:val="24"/>
          <w:szCs w:val="24"/>
        </w:rPr>
        <w:t xml:space="preserve">of records covering the period when Carpenter’s phone was </w:t>
      </w:r>
      <w:r w:rsidR="00563EC5">
        <w:rPr>
          <w:rFonts w:ascii="Times New Roman" w:hAnsi="Times New Roman"/>
          <w:sz w:val="24"/>
          <w:szCs w:val="24"/>
        </w:rPr>
        <w:t>‘</w:t>
      </w:r>
      <w:r w:rsidR="007A61C9" w:rsidRPr="007A61C9">
        <w:rPr>
          <w:rFonts w:ascii="Times New Roman" w:hAnsi="Times New Roman"/>
          <w:sz w:val="24"/>
          <w:szCs w:val="24"/>
        </w:rPr>
        <w:t>roaming</w:t>
      </w:r>
      <w:r w:rsidR="00563EC5">
        <w:rPr>
          <w:rFonts w:ascii="Times New Roman" w:hAnsi="Times New Roman"/>
          <w:sz w:val="24"/>
          <w:szCs w:val="24"/>
        </w:rPr>
        <w:t>’</w:t>
      </w:r>
      <w:r w:rsidR="007A61C9" w:rsidRPr="007A61C9">
        <w:rPr>
          <w:rFonts w:ascii="Times New Roman" w:hAnsi="Times New Roman"/>
          <w:sz w:val="24"/>
          <w:szCs w:val="24"/>
        </w:rPr>
        <w:t xml:space="preserve"> in northeastern Ohio. Altogether the Government obtained 12,898 location points cataloging Carpenter’s </w:t>
      </w:r>
      <w:proofErr w:type="gramStart"/>
      <w:r w:rsidR="007A61C9" w:rsidRPr="007A61C9">
        <w:rPr>
          <w:rFonts w:ascii="Times New Roman" w:hAnsi="Times New Roman"/>
          <w:sz w:val="24"/>
          <w:szCs w:val="24"/>
        </w:rPr>
        <w:t>movements—</w:t>
      </w:r>
      <w:proofErr w:type="gramEnd"/>
      <w:r w:rsidR="007A61C9" w:rsidRPr="007A61C9">
        <w:rPr>
          <w:rFonts w:ascii="Times New Roman" w:hAnsi="Times New Roman"/>
          <w:sz w:val="24"/>
          <w:szCs w:val="24"/>
        </w:rPr>
        <w:t>an average of 101 data points per day. *** The Government acquired the cell-site records pursuant</w:t>
      </w:r>
      <w:r w:rsidR="00563EC5">
        <w:rPr>
          <w:rFonts w:ascii="Times New Roman" w:hAnsi="Times New Roman"/>
          <w:sz w:val="24"/>
          <w:szCs w:val="24"/>
        </w:rPr>
        <w:t xml:space="preserve"> </w:t>
      </w:r>
      <w:r w:rsidR="007A61C9" w:rsidRPr="007A61C9">
        <w:rPr>
          <w:rFonts w:ascii="Times New Roman" w:hAnsi="Times New Roman"/>
          <w:sz w:val="24"/>
          <w:szCs w:val="24"/>
        </w:rPr>
        <w:t xml:space="preserve">to a court order issued under the Stored Communications Act, which required the Government to show </w:t>
      </w:r>
      <w:r w:rsidR="00563EC5">
        <w:rPr>
          <w:rFonts w:ascii="Times New Roman" w:hAnsi="Times New Roman"/>
          <w:sz w:val="24"/>
          <w:szCs w:val="24"/>
        </w:rPr>
        <w:t>‘</w:t>
      </w:r>
      <w:r w:rsidR="007A61C9" w:rsidRPr="007A61C9">
        <w:rPr>
          <w:rFonts w:ascii="Times New Roman" w:hAnsi="Times New Roman"/>
          <w:sz w:val="24"/>
          <w:szCs w:val="24"/>
        </w:rPr>
        <w:t>reasonable grounds</w:t>
      </w:r>
      <w:r w:rsidR="00563EC5">
        <w:rPr>
          <w:rFonts w:ascii="Times New Roman" w:hAnsi="Times New Roman"/>
          <w:sz w:val="24"/>
          <w:szCs w:val="24"/>
        </w:rPr>
        <w:t>’</w:t>
      </w:r>
      <w:r w:rsidR="007A61C9" w:rsidRPr="007A61C9">
        <w:rPr>
          <w:rFonts w:ascii="Times New Roman" w:hAnsi="Times New Roman"/>
          <w:sz w:val="24"/>
          <w:szCs w:val="24"/>
        </w:rPr>
        <w:t xml:space="preserve"> for believing that the records were “relevant and material to an ongoing investigation.” 18 U. S. C. §2703(d). That showing falls well short of the probable cause required for a warrant.</w:t>
      </w:r>
      <w:r w:rsidR="00563EC5">
        <w:rPr>
          <w:rFonts w:ascii="Times New Roman" w:hAnsi="Times New Roman"/>
          <w:sz w:val="24"/>
          <w:szCs w:val="24"/>
        </w:rPr>
        <w:t xml:space="preserve"> *** </w:t>
      </w:r>
      <w:r w:rsidR="00563EC5" w:rsidRPr="00563EC5">
        <w:rPr>
          <w:rFonts w:ascii="Times New Roman" w:hAnsi="Times New Roman"/>
          <w:sz w:val="24"/>
          <w:szCs w:val="24"/>
        </w:rPr>
        <w:t xml:space="preserve">Consequently, an order issued </w:t>
      </w:r>
      <w:r w:rsidR="00563EC5" w:rsidRPr="00563EC5">
        <w:rPr>
          <w:rFonts w:ascii="Times New Roman" w:hAnsi="Times New Roman"/>
          <w:sz w:val="24"/>
          <w:szCs w:val="24"/>
        </w:rPr>
        <w:lastRenderedPageBreak/>
        <w:t>under Section 2703(d) of the Act is not a</w:t>
      </w:r>
      <w:r w:rsidR="00563EC5">
        <w:rPr>
          <w:rFonts w:ascii="Times New Roman" w:hAnsi="Times New Roman"/>
          <w:sz w:val="24"/>
          <w:szCs w:val="24"/>
        </w:rPr>
        <w:t xml:space="preserve"> </w:t>
      </w:r>
      <w:r w:rsidR="00563EC5" w:rsidRPr="00563EC5">
        <w:rPr>
          <w:rFonts w:ascii="Times New Roman" w:hAnsi="Times New Roman"/>
          <w:sz w:val="24"/>
          <w:szCs w:val="24"/>
        </w:rPr>
        <w:t>permissible mechanism for accessing historical cell-site</w:t>
      </w:r>
      <w:r w:rsidR="00563EC5">
        <w:rPr>
          <w:rFonts w:ascii="Times New Roman" w:hAnsi="Times New Roman"/>
          <w:sz w:val="24"/>
          <w:szCs w:val="24"/>
        </w:rPr>
        <w:t xml:space="preserve"> </w:t>
      </w:r>
      <w:r w:rsidR="00563EC5" w:rsidRPr="00563EC5">
        <w:rPr>
          <w:rFonts w:ascii="Times New Roman" w:hAnsi="Times New Roman"/>
          <w:sz w:val="24"/>
          <w:szCs w:val="24"/>
        </w:rPr>
        <w:t>records. Before compelling a wireless carrier to turn over</w:t>
      </w:r>
      <w:r w:rsidR="00563EC5">
        <w:rPr>
          <w:rFonts w:ascii="Times New Roman" w:hAnsi="Times New Roman"/>
          <w:sz w:val="24"/>
          <w:szCs w:val="24"/>
        </w:rPr>
        <w:t xml:space="preserve"> </w:t>
      </w:r>
      <w:r w:rsidR="00563EC5" w:rsidRPr="00563EC5">
        <w:rPr>
          <w:rFonts w:ascii="Times New Roman" w:hAnsi="Times New Roman"/>
          <w:sz w:val="24"/>
          <w:szCs w:val="24"/>
        </w:rPr>
        <w:t>a subscriber’s CSLI, the Government’s obligation is a familiar one—get a warrant.</w:t>
      </w:r>
      <w:r w:rsidR="00563EC5">
        <w:rPr>
          <w:rFonts w:ascii="Times New Roman" w:hAnsi="Times New Roman"/>
          <w:sz w:val="24"/>
          <w:szCs w:val="24"/>
        </w:rPr>
        <w:t>”</w:t>
      </w:r>
    </w:p>
    <w:p w14:paraId="0AC10B06" w14:textId="2BBE3478" w:rsidR="007A61C9" w:rsidRPr="007A61C9" w:rsidRDefault="00563EC5" w:rsidP="00E63D2F">
      <w:pPr>
        <w:pStyle w:val="NoSpacing"/>
        <w:ind w:left="720"/>
        <w:rPr>
          <w:rFonts w:ascii="Times New Roman" w:hAnsi="Times New Roman"/>
          <w:sz w:val="24"/>
          <w:szCs w:val="24"/>
        </w:rPr>
      </w:pPr>
      <w:r>
        <w:rPr>
          <w:rFonts w:ascii="Times New Roman" w:hAnsi="Times New Roman"/>
          <w:sz w:val="24"/>
          <w:szCs w:val="24"/>
        </w:rPr>
        <w:t xml:space="preserve"> </w:t>
      </w:r>
      <w:hyperlink r:id="rId839" w:history="1">
        <w:r w:rsidRPr="00CE69EB">
          <w:rPr>
            <w:rStyle w:val="Hyperlink"/>
            <w:rFonts w:ascii="Times New Roman" w:hAnsi="Times New Roman"/>
            <w:sz w:val="24"/>
            <w:szCs w:val="24"/>
          </w:rPr>
          <w:t>https://www.supremecourt.gov/opinions/17pdf/16-402_h315.pdf</w:t>
        </w:r>
      </w:hyperlink>
      <w:r>
        <w:rPr>
          <w:rFonts w:ascii="Times New Roman" w:hAnsi="Times New Roman"/>
          <w:sz w:val="24"/>
          <w:szCs w:val="24"/>
        </w:rPr>
        <w:t xml:space="preserve"> </w:t>
      </w:r>
    </w:p>
    <w:p w14:paraId="1E5B8DEC" w14:textId="3960500E" w:rsidR="007A61C9" w:rsidRPr="007A61C9" w:rsidRDefault="007A61C9" w:rsidP="007A61C9">
      <w:pPr>
        <w:pStyle w:val="NoSpacing"/>
        <w:rPr>
          <w:rFonts w:ascii="Times New Roman" w:hAnsi="Times New Roman"/>
          <w:sz w:val="24"/>
          <w:szCs w:val="24"/>
        </w:rPr>
      </w:pPr>
    </w:p>
    <w:p w14:paraId="62CB4E78" w14:textId="41AF97EA" w:rsidR="007A61C9" w:rsidRPr="00563EC5" w:rsidRDefault="00563EC5" w:rsidP="007A61C9">
      <w:pPr>
        <w:pStyle w:val="NoSpacing"/>
        <w:rPr>
          <w:rFonts w:ascii="Times New Roman" w:hAnsi="Times New Roman"/>
          <w:b/>
          <w:bCs/>
          <w:sz w:val="24"/>
          <w:szCs w:val="24"/>
        </w:rPr>
      </w:pPr>
      <w:r w:rsidRPr="00563EC5">
        <w:rPr>
          <w:rFonts w:ascii="Times New Roman" w:hAnsi="Times New Roman"/>
          <w:b/>
          <w:bCs/>
          <w:sz w:val="24"/>
          <w:szCs w:val="24"/>
        </w:rPr>
        <w:t>Legal Lessons Learned: The Court recognized an exception for emergencies</w:t>
      </w:r>
      <w:r w:rsidR="00EC7466">
        <w:rPr>
          <w:rFonts w:ascii="Times New Roman" w:hAnsi="Times New Roman"/>
          <w:b/>
          <w:bCs/>
          <w:sz w:val="24"/>
          <w:szCs w:val="24"/>
        </w:rPr>
        <w:t>; bomb threats</w:t>
      </w:r>
      <w:r w:rsidR="00A247E4">
        <w:rPr>
          <w:rFonts w:ascii="Times New Roman" w:hAnsi="Times New Roman"/>
          <w:b/>
          <w:bCs/>
          <w:sz w:val="24"/>
          <w:szCs w:val="24"/>
        </w:rPr>
        <w:t xml:space="preserve">; active shootings; child abductions. </w:t>
      </w:r>
      <w:r w:rsidRPr="00563EC5">
        <w:rPr>
          <w:rFonts w:ascii="Times New Roman" w:hAnsi="Times New Roman"/>
          <w:b/>
          <w:bCs/>
          <w:sz w:val="24"/>
          <w:szCs w:val="24"/>
        </w:rPr>
        <w:t>“</w:t>
      </w:r>
      <w:r w:rsidR="007A61C9" w:rsidRPr="00563EC5">
        <w:rPr>
          <w:rFonts w:ascii="Times New Roman" w:hAnsi="Times New Roman"/>
          <w:b/>
          <w:bCs/>
          <w:sz w:val="24"/>
          <w:szCs w:val="24"/>
        </w:rPr>
        <w:t>As a result, if law enforcement is confronted with an urgent situation, such fact-specific threats will likely justify the warrantless collection of CSLI. Lower courts, for instance, have approved warrantless searches related to bomb threats, active shootings, and child abductions. Our decision today does not call into doubt warrantless access to CSLI in such circumstances. While police must</w:t>
      </w:r>
      <w:r w:rsidRPr="00563EC5">
        <w:rPr>
          <w:rFonts w:ascii="Times New Roman" w:hAnsi="Times New Roman"/>
          <w:b/>
          <w:bCs/>
          <w:sz w:val="24"/>
          <w:szCs w:val="24"/>
        </w:rPr>
        <w:t xml:space="preserve"> </w:t>
      </w:r>
      <w:r w:rsidR="007A61C9" w:rsidRPr="00563EC5">
        <w:rPr>
          <w:rFonts w:ascii="Times New Roman" w:hAnsi="Times New Roman"/>
          <w:b/>
          <w:bCs/>
          <w:sz w:val="24"/>
          <w:szCs w:val="24"/>
        </w:rPr>
        <w:t>get a warrant when collecting CSLI to assist in the mine</w:t>
      </w:r>
      <w:r w:rsidRPr="00563EC5">
        <w:rPr>
          <w:rFonts w:ascii="Times New Roman" w:hAnsi="Times New Roman"/>
          <w:b/>
          <w:bCs/>
          <w:sz w:val="24"/>
          <w:szCs w:val="24"/>
        </w:rPr>
        <w:t>-</w:t>
      </w:r>
      <w:r w:rsidR="007A61C9" w:rsidRPr="00563EC5">
        <w:rPr>
          <w:rFonts w:ascii="Times New Roman" w:hAnsi="Times New Roman"/>
          <w:b/>
          <w:bCs/>
          <w:sz w:val="24"/>
          <w:szCs w:val="24"/>
        </w:rPr>
        <w:t>run criminal investigation, the rule we set forth does not</w:t>
      </w:r>
      <w:r w:rsidRPr="00563EC5">
        <w:rPr>
          <w:rFonts w:ascii="Times New Roman" w:hAnsi="Times New Roman"/>
          <w:b/>
          <w:bCs/>
          <w:sz w:val="24"/>
          <w:szCs w:val="24"/>
        </w:rPr>
        <w:t xml:space="preserve"> </w:t>
      </w:r>
      <w:r w:rsidR="007A61C9" w:rsidRPr="00563EC5">
        <w:rPr>
          <w:rFonts w:ascii="Times New Roman" w:hAnsi="Times New Roman"/>
          <w:b/>
          <w:bCs/>
          <w:sz w:val="24"/>
          <w:szCs w:val="24"/>
        </w:rPr>
        <w:t>limit their ability to respond to an ongoing emergency.</w:t>
      </w:r>
      <w:r w:rsidRPr="00563EC5">
        <w:rPr>
          <w:rFonts w:ascii="Times New Roman" w:hAnsi="Times New Roman"/>
          <w:b/>
          <w:bCs/>
          <w:sz w:val="24"/>
          <w:szCs w:val="24"/>
        </w:rPr>
        <w:t>”</w:t>
      </w:r>
    </w:p>
    <w:p w14:paraId="62CAEAA1" w14:textId="77777777" w:rsidR="00A247E4" w:rsidRDefault="00A247E4" w:rsidP="00A247E4">
      <w:pPr>
        <w:pStyle w:val="NoSpacing"/>
        <w:rPr>
          <w:rFonts w:ascii="Times New Roman" w:hAnsi="Times New Roman"/>
          <w:color w:val="4A4A4A"/>
          <w:sz w:val="24"/>
          <w:szCs w:val="24"/>
          <w:lang w:val="en"/>
        </w:rPr>
      </w:pPr>
    </w:p>
    <w:p w14:paraId="63844815" w14:textId="5C983E81" w:rsidR="00A247E4" w:rsidRPr="00A247E4" w:rsidRDefault="00A247E4" w:rsidP="00A247E4">
      <w:pPr>
        <w:pStyle w:val="NoSpacing"/>
        <w:ind w:left="720"/>
        <w:rPr>
          <w:rFonts w:ascii="Times New Roman" w:hAnsi="Times New Roman"/>
          <w:sz w:val="24"/>
          <w:szCs w:val="24"/>
        </w:rPr>
      </w:pPr>
      <w:r w:rsidRPr="00A247E4">
        <w:rPr>
          <w:rFonts w:ascii="Times New Roman" w:hAnsi="Times New Roman"/>
          <w:color w:val="4A4A4A"/>
          <w:sz w:val="24"/>
          <w:szCs w:val="24"/>
          <w:lang w:val="en"/>
        </w:rPr>
        <w:t xml:space="preserve">See article on this “landmark” case: </w:t>
      </w:r>
      <w:r>
        <w:rPr>
          <w:rFonts w:ascii="Times New Roman" w:hAnsi="Times New Roman"/>
          <w:color w:val="4A4A4A"/>
          <w:sz w:val="24"/>
          <w:szCs w:val="24"/>
          <w:lang w:val="en"/>
        </w:rPr>
        <w:t>“</w:t>
      </w:r>
      <w:r w:rsidRPr="00A247E4">
        <w:rPr>
          <w:rStyle w:val="balancedheadline"/>
          <w:rFonts w:ascii="Times New Roman" w:hAnsi="Times New Roman"/>
          <w:sz w:val="24"/>
          <w:szCs w:val="24"/>
        </w:rPr>
        <w:t>In Ruling on Cellphone Location Data, Supreme Court Makes Statement on Digital Privacy</w:t>
      </w:r>
      <w:r>
        <w:rPr>
          <w:rStyle w:val="balancedheadline"/>
          <w:rFonts w:ascii="Times New Roman" w:hAnsi="Times New Roman"/>
          <w:sz w:val="24"/>
          <w:szCs w:val="24"/>
        </w:rPr>
        <w:t>”;</w:t>
      </w:r>
      <w:r w:rsidRPr="00A247E4">
        <w:rPr>
          <w:rStyle w:val="balancedheadline"/>
          <w:rFonts w:ascii="Times New Roman" w:hAnsi="Times New Roman"/>
          <w:sz w:val="24"/>
          <w:szCs w:val="24"/>
        </w:rPr>
        <w:t xml:space="preserve"> </w:t>
      </w:r>
      <w:hyperlink r:id="rId840" w:history="1">
        <w:r w:rsidRPr="00A247E4">
          <w:rPr>
            <w:rStyle w:val="Hyperlink"/>
            <w:rFonts w:ascii="Times New Roman" w:hAnsi="Times New Roman"/>
            <w:sz w:val="24"/>
            <w:szCs w:val="24"/>
          </w:rPr>
          <w:t>https://www.nytimes.com/2018/06/22/us/politics/supreme-court-warrants-cell-phone-privacy.html</w:t>
        </w:r>
      </w:hyperlink>
      <w:r w:rsidRPr="00A247E4">
        <w:rPr>
          <w:rStyle w:val="balancedheadline"/>
          <w:rFonts w:ascii="Times New Roman" w:hAnsi="Times New Roman"/>
          <w:sz w:val="24"/>
          <w:szCs w:val="24"/>
        </w:rPr>
        <w:t xml:space="preserve"> </w:t>
      </w:r>
    </w:p>
    <w:p w14:paraId="10D2DDFF" w14:textId="64CE3D58" w:rsidR="007A61C9" w:rsidRPr="00A247E4" w:rsidRDefault="007A61C9" w:rsidP="00A247E4">
      <w:pPr>
        <w:ind w:left="720"/>
        <w:rPr>
          <w:rFonts w:ascii="SeeTimes New Roman" w:hAnsi="SeeTimes New Roman"/>
          <w:color w:val="4A4A4A"/>
          <w:sz w:val="24"/>
          <w:szCs w:val="24"/>
          <w:lang w:val="en"/>
        </w:rPr>
      </w:pPr>
    </w:p>
    <w:p w14:paraId="1FA30891" w14:textId="77777777" w:rsidR="007A61C9" w:rsidRDefault="007A61C9" w:rsidP="00F326E5">
      <w:pPr>
        <w:rPr>
          <w:rFonts w:ascii="Arial Black" w:hAnsi="Arial Black"/>
          <w:color w:val="4A4A4A"/>
          <w:sz w:val="24"/>
          <w:szCs w:val="24"/>
          <w:lang w:val="en"/>
        </w:rPr>
      </w:pPr>
    </w:p>
    <w:p w14:paraId="5C52CCA7" w14:textId="4AFE7A34" w:rsidR="00F326E5" w:rsidRPr="00573BE0" w:rsidRDefault="00EF1133" w:rsidP="00F326E5">
      <w:pPr>
        <w:rPr>
          <w:rFonts w:eastAsia="Times New Roman"/>
        </w:rPr>
      </w:pPr>
      <w:r w:rsidRPr="00EF1133">
        <w:rPr>
          <w:rFonts w:ascii="Arial Black" w:hAnsi="Arial Black"/>
          <w:color w:val="4A4A4A"/>
          <w:sz w:val="24"/>
          <w:szCs w:val="24"/>
          <w:lang w:val="en"/>
        </w:rPr>
        <w:t>3-</w:t>
      </w:r>
      <w:r>
        <w:rPr>
          <w:rFonts w:ascii="Arial Black" w:hAnsi="Arial Black"/>
          <w:color w:val="4A4A4A"/>
          <w:sz w:val="24"/>
          <w:szCs w:val="24"/>
          <w:lang w:val="en"/>
        </w:rPr>
        <w:t>5</w:t>
      </w:r>
    </w:p>
    <w:p w14:paraId="6F8214A2" w14:textId="61AD7644" w:rsidR="00F326E5" w:rsidRDefault="00F326E5" w:rsidP="00F326E5">
      <w:pPr>
        <w:pStyle w:val="NoSpacing"/>
        <w:rPr>
          <w:rFonts w:ascii="Arial Black" w:hAnsi="Arial Black"/>
          <w:b/>
          <w:sz w:val="28"/>
          <w:szCs w:val="28"/>
        </w:rPr>
      </w:pPr>
      <w:bookmarkStart w:id="167" w:name="_Hlk7341789"/>
      <w:r w:rsidRPr="009C2749">
        <w:rPr>
          <w:rFonts w:ascii="Arial Black" w:hAnsi="Arial Black"/>
          <w:b/>
          <w:sz w:val="28"/>
          <w:szCs w:val="28"/>
        </w:rPr>
        <w:t>NY</w:t>
      </w:r>
      <w:r>
        <w:rPr>
          <w:rFonts w:ascii="Arial Black" w:hAnsi="Arial Black"/>
          <w:b/>
          <w:sz w:val="28"/>
          <w:szCs w:val="28"/>
        </w:rPr>
        <w:t xml:space="preserve">: EMPLOYEES OF BATTERY PARK CITY AUTHORITY MAY SUE BUILDING OWNER FOR </w:t>
      </w:r>
      <w:r w:rsidRPr="009C2749">
        <w:rPr>
          <w:rFonts w:ascii="Arial Black" w:hAnsi="Arial Black"/>
          <w:b/>
          <w:sz w:val="28"/>
          <w:szCs w:val="28"/>
        </w:rPr>
        <w:t xml:space="preserve">9/11 </w:t>
      </w:r>
      <w:r>
        <w:rPr>
          <w:rFonts w:ascii="Arial Black" w:hAnsi="Arial Black"/>
          <w:b/>
          <w:sz w:val="28"/>
          <w:szCs w:val="28"/>
        </w:rPr>
        <w:t xml:space="preserve">INJURIES </w:t>
      </w:r>
    </w:p>
    <w:p w14:paraId="6C5E6F41" w14:textId="77777777" w:rsidR="00F326E5" w:rsidRPr="0036327D" w:rsidRDefault="00F326E5" w:rsidP="00F326E5">
      <w:pPr>
        <w:pStyle w:val="NoSpacing"/>
        <w:rPr>
          <w:rFonts w:ascii="Times New Roman" w:hAnsi="Times New Roman"/>
          <w:sz w:val="24"/>
          <w:szCs w:val="24"/>
        </w:rPr>
      </w:pPr>
      <w:r w:rsidRPr="0036327D">
        <w:rPr>
          <w:rFonts w:ascii="Times New Roman" w:hAnsi="Times New Roman"/>
          <w:sz w:val="24"/>
          <w:szCs w:val="24"/>
        </w:rPr>
        <w:t xml:space="preserve">On June 6, 2018, in </w:t>
      </w:r>
      <w:r w:rsidRPr="0036327D">
        <w:rPr>
          <w:rFonts w:ascii="Times New Roman" w:hAnsi="Times New Roman"/>
          <w:sz w:val="24"/>
          <w:szCs w:val="24"/>
          <w:u w:val="single"/>
        </w:rPr>
        <w:t>In Re: World Trade Center, Lower Manhattan Disaster Site Litigation</w:t>
      </w:r>
      <w:r w:rsidRPr="0036327D">
        <w:rPr>
          <w:rFonts w:ascii="Times New Roman" w:hAnsi="Times New Roman"/>
          <w:sz w:val="24"/>
          <w:szCs w:val="24"/>
        </w:rPr>
        <w:t>, the U.S. Court of Appeals for Second Circuit held (3 to 0) that 18 workers who became sick as a result of working in lower Manhattan after the Sept. 11 terrorist attacks may proceed with their lawsuit against building owner, the public benefit corporation Battery Park City Authority. The 2</w:t>
      </w:r>
      <w:r w:rsidRPr="0036327D">
        <w:rPr>
          <w:rFonts w:ascii="Times New Roman" w:hAnsi="Times New Roman"/>
          <w:sz w:val="24"/>
          <w:szCs w:val="24"/>
          <w:vertAlign w:val="superscript"/>
        </w:rPr>
        <w:t>nd</w:t>
      </w:r>
      <w:r w:rsidRPr="0036327D">
        <w:rPr>
          <w:rFonts w:ascii="Times New Roman" w:hAnsi="Times New Roman"/>
          <w:sz w:val="24"/>
          <w:szCs w:val="24"/>
        </w:rPr>
        <w:t xml:space="preserve"> Circuit decision followed confirmation by State of New York’s highest court (NY Court of Appeals) that the 2009 “Jimmy Nolan” statute (named after recovery worker) allowing time-barred lawsuits for one additional year against public benefit corporations was lawful. </w:t>
      </w:r>
      <w:hyperlink r:id="rId841" w:anchor="xml=http://www.ca2.uscourts.gov/decisions/isysquery/8c537d01-8133-4435-b4f6-e87aa585d8e4/1/hilite/" w:history="1">
        <w:r w:rsidRPr="0036327D">
          <w:rPr>
            <w:rStyle w:val="Hyperlink"/>
            <w:rFonts w:ascii="Times New Roman" w:hAnsi="Times New Roman"/>
            <w:sz w:val="24"/>
            <w:szCs w:val="24"/>
          </w:rPr>
          <w:t>http://www.ca2.uscourts.gov/decisions/isysquery/8c537d01-8133-4435-b4f6-e87aa585d8e4/1/doc/15-2181_opn_2.pdf#xml=http://www.ca2.uscourts.gov/decisions/isysquery/8c537d01-8133-4435-b4f6-e87aa585d8e4/1/hilite/</w:t>
        </w:r>
      </w:hyperlink>
    </w:p>
    <w:p w14:paraId="6F856A00" w14:textId="77777777" w:rsidR="009C4A80" w:rsidRDefault="009C4A80" w:rsidP="00F326E5">
      <w:pPr>
        <w:rPr>
          <w:rFonts w:ascii="Times New Roman" w:eastAsia="Times New Roman" w:hAnsi="Times New Roman"/>
          <w:b/>
          <w:sz w:val="24"/>
          <w:szCs w:val="24"/>
        </w:rPr>
      </w:pPr>
    </w:p>
    <w:p w14:paraId="7DDEF9BC" w14:textId="70746B1B" w:rsidR="00F326E5" w:rsidRPr="0036327D" w:rsidRDefault="00F326E5" w:rsidP="00F326E5">
      <w:pPr>
        <w:rPr>
          <w:rFonts w:ascii="Times New Roman" w:eastAsia="Times New Roman" w:hAnsi="Times New Roman"/>
          <w:b/>
          <w:sz w:val="24"/>
          <w:szCs w:val="24"/>
        </w:rPr>
      </w:pPr>
      <w:r w:rsidRPr="0036327D">
        <w:rPr>
          <w:rFonts w:ascii="Times New Roman" w:eastAsia="Times New Roman" w:hAnsi="Times New Roman"/>
          <w:b/>
          <w:sz w:val="24"/>
          <w:szCs w:val="24"/>
        </w:rPr>
        <w:t xml:space="preserve">Legal Lessons Learned: The 18 workers will finally get their day in </w:t>
      </w:r>
      <w:proofErr w:type="gramStart"/>
      <w:r w:rsidRPr="0036327D">
        <w:rPr>
          <w:rFonts w:ascii="Times New Roman" w:eastAsia="Times New Roman" w:hAnsi="Times New Roman"/>
          <w:b/>
          <w:sz w:val="24"/>
          <w:szCs w:val="24"/>
        </w:rPr>
        <w:t>court,</w:t>
      </w:r>
      <w:r w:rsidR="009C4A80">
        <w:rPr>
          <w:rFonts w:ascii="Times New Roman" w:eastAsia="Times New Roman" w:hAnsi="Times New Roman"/>
          <w:b/>
          <w:sz w:val="24"/>
          <w:szCs w:val="24"/>
        </w:rPr>
        <w:t xml:space="preserve"> </w:t>
      </w:r>
      <w:r w:rsidRPr="0036327D">
        <w:rPr>
          <w:rFonts w:ascii="Times New Roman" w:eastAsia="Times New Roman" w:hAnsi="Times New Roman"/>
          <w:b/>
          <w:sz w:val="24"/>
          <w:szCs w:val="24"/>
        </w:rPr>
        <w:t>or</w:t>
      </w:r>
      <w:proofErr w:type="gramEnd"/>
      <w:r w:rsidRPr="0036327D">
        <w:rPr>
          <w:rFonts w:ascii="Times New Roman" w:eastAsia="Times New Roman" w:hAnsi="Times New Roman"/>
          <w:b/>
          <w:sz w:val="24"/>
          <w:szCs w:val="24"/>
        </w:rPr>
        <w:t xml:space="preserve"> will negotiate a settlement.  There reportedly have been 12,000 claims settled against various defendants.</w:t>
      </w:r>
      <w:r w:rsidRPr="0036327D">
        <w:rPr>
          <w:rFonts w:ascii="Times New Roman" w:eastAsia="Times New Roman" w:hAnsi="Times New Roman"/>
          <w:sz w:val="24"/>
          <w:szCs w:val="24"/>
        </w:rPr>
        <w:t xml:space="preserve">  </w:t>
      </w:r>
      <w:hyperlink r:id="rId842" w:history="1">
        <w:r w:rsidRPr="0036327D">
          <w:rPr>
            <w:rStyle w:val="Hyperlink"/>
            <w:rFonts w:ascii="Times New Roman" w:hAnsi="Times New Roman"/>
            <w:sz w:val="24"/>
            <w:szCs w:val="24"/>
          </w:rPr>
          <w:t>https://www.law.com/newyorklawjournal/2018/06/06/2nd-circuit-revives-911-workers-suit-against-battery-park-city-authority/</w:t>
        </w:r>
      </w:hyperlink>
      <w:r w:rsidRPr="0036327D">
        <w:rPr>
          <w:rFonts w:ascii="Times New Roman" w:eastAsia="Times New Roman" w:hAnsi="Times New Roman"/>
          <w:sz w:val="24"/>
          <w:szCs w:val="24"/>
        </w:rPr>
        <w:t xml:space="preserve"> </w:t>
      </w:r>
    </w:p>
    <w:bookmarkEnd w:id="167"/>
    <w:p w14:paraId="6E1F9B81" w14:textId="72FE1C19" w:rsidR="00F326E5" w:rsidRDefault="00F326E5" w:rsidP="00F326E5">
      <w:pPr>
        <w:rPr>
          <w:rFonts w:eastAsia="Times New Roman"/>
          <w:b/>
          <w:sz w:val="24"/>
          <w:szCs w:val="24"/>
        </w:rPr>
      </w:pPr>
    </w:p>
    <w:p w14:paraId="4D9D8798" w14:textId="448A57F0" w:rsidR="00F326E5" w:rsidRDefault="00EF1133" w:rsidP="00EF1133">
      <w:pPr>
        <w:rPr>
          <w:rFonts w:ascii="Arial Black" w:hAnsi="Arial Black"/>
          <w:b/>
          <w:sz w:val="24"/>
          <w:szCs w:val="24"/>
        </w:rPr>
      </w:pPr>
      <w:r w:rsidRPr="00EF1133">
        <w:rPr>
          <w:rFonts w:ascii="Arial Black" w:hAnsi="Arial Black"/>
          <w:color w:val="4A4A4A"/>
          <w:sz w:val="24"/>
          <w:szCs w:val="24"/>
          <w:lang w:val="en"/>
        </w:rPr>
        <w:t>3-</w:t>
      </w:r>
      <w:r>
        <w:rPr>
          <w:rFonts w:ascii="Arial Black" w:hAnsi="Arial Black"/>
          <w:color w:val="4A4A4A"/>
          <w:sz w:val="24"/>
          <w:szCs w:val="24"/>
          <w:lang w:val="en"/>
        </w:rPr>
        <w:t>4</w:t>
      </w:r>
    </w:p>
    <w:p w14:paraId="2F67A311" w14:textId="569F0490" w:rsidR="00F326E5" w:rsidRDefault="00F326E5" w:rsidP="00F326E5">
      <w:pPr>
        <w:pStyle w:val="NoSpacing"/>
        <w:rPr>
          <w:rFonts w:ascii="Arial Black" w:hAnsi="Arial Black"/>
          <w:b/>
          <w:sz w:val="28"/>
          <w:szCs w:val="28"/>
        </w:rPr>
      </w:pPr>
      <w:bookmarkStart w:id="168" w:name="_Hlk7341912"/>
      <w:r w:rsidRPr="009C2749">
        <w:rPr>
          <w:rFonts w:ascii="Arial Black" w:hAnsi="Arial Black"/>
          <w:b/>
          <w:sz w:val="28"/>
          <w:szCs w:val="28"/>
        </w:rPr>
        <w:t>PA</w:t>
      </w:r>
      <w:r>
        <w:rPr>
          <w:rFonts w:ascii="Arial Black" w:hAnsi="Arial Black"/>
          <w:b/>
          <w:sz w:val="28"/>
          <w:szCs w:val="28"/>
        </w:rPr>
        <w:t xml:space="preserve">: PHILADELPHIA IS “SANTUARY CITY” - WINS INJUNCTION – ENTITLED FED. POLICE GRANT </w:t>
      </w:r>
    </w:p>
    <w:p w14:paraId="35E79CA4" w14:textId="77777777" w:rsidR="00F326E5" w:rsidRPr="0036327D" w:rsidRDefault="00F326E5" w:rsidP="00F326E5">
      <w:pPr>
        <w:rPr>
          <w:rFonts w:ascii="Times New Roman" w:eastAsia="Times New Roman" w:hAnsi="Times New Roman"/>
          <w:sz w:val="24"/>
          <w:szCs w:val="24"/>
        </w:rPr>
      </w:pPr>
      <w:r w:rsidRPr="0036327D">
        <w:rPr>
          <w:rFonts w:ascii="Times New Roman" w:eastAsia="Times New Roman" w:hAnsi="Times New Roman"/>
          <w:sz w:val="24"/>
          <w:szCs w:val="24"/>
        </w:rPr>
        <w:t xml:space="preserve">On June 6, 2018, in </w:t>
      </w:r>
      <w:r w:rsidRPr="0036327D">
        <w:rPr>
          <w:rFonts w:ascii="Times New Roman" w:eastAsia="Times New Roman" w:hAnsi="Times New Roman"/>
          <w:sz w:val="24"/>
          <w:szCs w:val="24"/>
          <w:u w:val="single"/>
        </w:rPr>
        <w:t>The City of Philadelphia v. Attorney General of United States</w:t>
      </w:r>
      <w:r w:rsidRPr="0036327D">
        <w:rPr>
          <w:rFonts w:ascii="Times New Roman" w:eastAsia="Times New Roman" w:hAnsi="Times New Roman"/>
          <w:sz w:val="24"/>
          <w:szCs w:val="24"/>
        </w:rPr>
        <w:t xml:space="preserve">, a federal judge has issued an 89-page opinion holding that $1.6 million in police grant funds may not be withheld.  </w:t>
      </w:r>
      <w:hyperlink r:id="rId843" w:history="1">
        <w:r w:rsidRPr="0036327D">
          <w:rPr>
            <w:rStyle w:val="Hyperlink"/>
            <w:rFonts w:ascii="Times New Roman" w:hAnsi="Times New Roman"/>
            <w:sz w:val="24"/>
            <w:szCs w:val="24"/>
          </w:rPr>
          <w:t>http://www.paed.uscourts.gov/documents/opinions/18D0391P.pdf</w:t>
        </w:r>
      </w:hyperlink>
      <w:r w:rsidRPr="0036327D">
        <w:rPr>
          <w:rFonts w:ascii="Times New Roman" w:eastAsia="Times New Roman" w:hAnsi="Times New Roman"/>
          <w:sz w:val="24"/>
          <w:szCs w:val="24"/>
        </w:rPr>
        <w:t xml:space="preserve"> </w:t>
      </w:r>
    </w:p>
    <w:p w14:paraId="117114C6" w14:textId="77777777" w:rsidR="00F326E5" w:rsidRPr="0036327D" w:rsidRDefault="00F326E5" w:rsidP="00F326E5">
      <w:pPr>
        <w:rPr>
          <w:rFonts w:ascii="Times New Roman" w:eastAsia="Times New Roman" w:hAnsi="Times New Roman"/>
          <w:b/>
          <w:sz w:val="24"/>
          <w:szCs w:val="24"/>
        </w:rPr>
      </w:pPr>
      <w:r w:rsidRPr="0036327D">
        <w:rPr>
          <w:rFonts w:ascii="Times New Roman" w:eastAsia="Times New Roman" w:hAnsi="Times New Roman"/>
          <w:b/>
          <w:sz w:val="24"/>
          <w:szCs w:val="24"/>
        </w:rPr>
        <w:lastRenderedPageBreak/>
        <w:t>Legal Lessons Learned:  The U.S. Department of Justice will likely appeal this decision to the 3</w:t>
      </w:r>
      <w:r w:rsidRPr="0036327D">
        <w:rPr>
          <w:rFonts w:ascii="Times New Roman" w:eastAsia="Times New Roman" w:hAnsi="Times New Roman"/>
          <w:b/>
          <w:sz w:val="24"/>
          <w:szCs w:val="24"/>
          <w:vertAlign w:val="superscript"/>
        </w:rPr>
        <w:t>rd</w:t>
      </w:r>
      <w:r w:rsidRPr="0036327D">
        <w:rPr>
          <w:rFonts w:ascii="Times New Roman" w:eastAsia="Times New Roman" w:hAnsi="Times New Roman"/>
          <w:b/>
          <w:sz w:val="24"/>
          <w:szCs w:val="24"/>
        </w:rPr>
        <w:t xml:space="preserve"> Circuit.   Fire &amp; EMS must likewise deal with aliens, and Congress needs to enact legislation concerning 11 million undocumented aliens.</w:t>
      </w:r>
    </w:p>
    <w:bookmarkEnd w:id="168"/>
    <w:p w14:paraId="3A36B790" w14:textId="77777777" w:rsidR="00F326E5" w:rsidRDefault="00F326E5" w:rsidP="00F326E5">
      <w:pPr>
        <w:rPr>
          <w:rFonts w:eastAsia="Times New Roman"/>
          <w:b/>
          <w:sz w:val="24"/>
          <w:szCs w:val="24"/>
        </w:rPr>
      </w:pPr>
    </w:p>
    <w:p w14:paraId="602CDBAA" w14:textId="77777777" w:rsidR="00F326E5" w:rsidRDefault="00F326E5" w:rsidP="00F326E5">
      <w:pPr>
        <w:pStyle w:val="NoSpacing"/>
        <w:rPr>
          <w:sz w:val="24"/>
          <w:szCs w:val="24"/>
        </w:rPr>
      </w:pPr>
      <w:bookmarkStart w:id="169" w:name="_Hlk7189409"/>
    </w:p>
    <w:p w14:paraId="33F3E61F" w14:textId="4F61B8DF" w:rsidR="00F326E5" w:rsidRDefault="00EF1133" w:rsidP="00EF1133">
      <w:pPr>
        <w:rPr>
          <w:sz w:val="24"/>
          <w:szCs w:val="24"/>
        </w:rPr>
      </w:pPr>
      <w:r w:rsidRPr="00EF1133">
        <w:rPr>
          <w:rFonts w:ascii="Arial Black" w:hAnsi="Arial Black"/>
          <w:color w:val="4A4A4A"/>
          <w:sz w:val="24"/>
          <w:szCs w:val="24"/>
          <w:lang w:val="en"/>
        </w:rPr>
        <w:t>3-</w:t>
      </w:r>
      <w:r>
        <w:rPr>
          <w:rFonts w:ascii="Arial Black" w:hAnsi="Arial Black"/>
          <w:color w:val="4A4A4A"/>
          <w:sz w:val="24"/>
          <w:szCs w:val="24"/>
          <w:lang w:val="en"/>
        </w:rPr>
        <w:t>3</w:t>
      </w:r>
    </w:p>
    <w:p w14:paraId="2ECFF32D" w14:textId="77777777" w:rsidR="00F326E5" w:rsidRDefault="00F326E5" w:rsidP="00F326E5">
      <w:pPr>
        <w:pStyle w:val="NoSpacing"/>
        <w:rPr>
          <w:sz w:val="24"/>
          <w:szCs w:val="24"/>
        </w:rPr>
      </w:pPr>
    </w:p>
    <w:p w14:paraId="7AB0DCDC" w14:textId="2D7EFDCD" w:rsidR="00F326E5" w:rsidRDefault="00F326E5" w:rsidP="00F326E5">
      <w:pPr>
        <w:pStyle w:val="NoSpacing"/>
        <w:rPr>
          <w:rFonts w:ascii="Arial Black" w:hAnsi="Arial Black"/>
          <w:b/>
          <w:sz w:val="28"/>
          <w:szCs w:val="28"/>
        </w:rPr>
      </w:pPr>
      <w:bookmarkStart w:id="170" w:name="_Hlk7341970"/>
      <w:r>
        <w:rPr>
          <w:rFonts w:ascii="Arial Black" w:hAnsi="Arial Black"/>
          <w:b/>
          <w:sz w:val="28"/>
          <w:szCs w:val="28"/>
        </w:rPr>
        <w:t>U.S. SUP. COURT: DRUG DEALER E-MAILS STORED BY MICROSOFT IN IRELAND – CASE MOOT</w:t>
      </w:r>
    </w:p>
    <w:p w14:paraId="6E15EA1E" w14:textId="77777777" w:rsidR="00F326E5" w:rsidRPr="0036327D" w:rsidRDefault="00F326E5" w:rsidP="00F326E5">
      <w:pPr>
        <w:rPr>
          <w:rFonts w:ascii="Times New Roman" w:hAnsi="Times New Roman"/>
          <w:sz w:val="24"/>
          <w:szCs w:val="24"/>
          <w:lang w:val="en"/>
        </w:rPr>
      </w:pPr>
      <w:r w:rsidRPr="0036327D">
        <w:rPr>
          <w:rFonts w:ascii="Times New Roman" w:hAnsi="Times New Roman"/>
          <w:sz w:val="24"/>
          <w:szCs w:val="24"/>
          <w:lang w:val="en"/>
        </w:rPr>
        <w:t xml:space="preserve">On March 30, 2018, in </w:t>
      </w:r>
      <w:r w:rsidRPr="0036327D">
        <w:rPr>
          <w:rFonts w:ascii="Times New Roman" w:hAnsi="Times New Roman"/>
          <w:sz w:val="24"/>
          <w:szCs w:val="24"/>
          <w:u w:val="single"/>
          <w:lang w:val="en"/>
        </w:rPr>
        <w:t>Microsoft Corp. v. United States</w:t>
      </w:r>
      <w:r w:rsidRPr="0036327D">
        <w:rPr>
          <w:rFonts w:ascii="Times New Roman" w:hAnsi="Times New Roman"/>
          <w:sz w:val="24"/>
          <w:szCs w:val="24"/>
          <w:lang w:val="en"/>
        </w:rPr>
        <w:t xml:space="preserve">, the U.S. Solicitor General has filed a motion asking the Court to dismiss the case as </w:t>
      </w:r>
      <w:proofErr w:type="gramStart"/>
      <w:r w:rsidRPr="0036327D">
        <w:rPr>
          <w:rFonts w:ascii="Times New Roman" w:hAnsi="Times New Roman"/>
          <w:sz w:val="24"/>
          <w:szCs w:val="24"/>
          <w:lang w:val="en"/>
        </w:rPr>
        <w:t>moot,  and</w:t>
      </w:r>
      <w:proofErr w:type="gramEnd"/>
      <w:r w:rsidRPr="0036327D">
        <w:rPr>
          <w:rFonts w:ascii="Times New Roman" w:hAnsi="Times New Roman"/>
          <w:sz w:val="24"/>
          <w:szCs w:val="24"/>
          <w:lang w:val="en"/>
        </w:rPr>
        <w:t xml:space="preserve"> advised the Court that </w:t>
      </w:r>
      <w:proofErr w:type="spellStart"/>
      <w:r w:rsidRPr="0036327D">
        <w:rPr>
          <w:rFonts w:ascii="Times New Roman" w:hAnsi="Times New Roman"/>
          <w:sz w:val="24"/>
          <w:szCs w:val="24"/>
          <w:lang w:val="en"/>
        </w:rPr>
        <w:t>DoJ</w:t>
      </w:r>
      <w:proofErr w:type="spellEnd"/>
      <w:r w:rsidRPr="0036327D">
        <w:rPr>
          <w:rFonts w:ascii="Times New Roman" w:hAnsi="Times New Roman"/>
          <w:sz w:val="24"/>
          <w:szCs w:val="24"/>
          <w:lang w:val="en"/>
        </w:rPr>
        <w:t xml:space="preserve"> has obtained a new search warrant against Microsoft for e-mails stored in their facility in Ireland under the new “Cloud Act.”  The Solicitor General wrote, “The CLOUD Act resolves the question presented by specifying that a service provider responding to a Section 2703 order must produce information within its ‘possession, custody, or control, regardless of whether such  * * *  information is located within or outside of the United States.’  CLOUD Act § 103(a).  The United States has obtained a new warrant under the CLOUD Act, and Microsoft’s sole objection—that the prior warrant was impermissibly extraterritorial—no longer applies. The United States respectfully submits that this case is now moot.”</w:t>
      </w:r>
    </w:p>
    <w:p w14:paraId="59C36706" w14:textId="77777777" w:rsidR="00F326E5" w:rsidRPr="0036327D" w:rsidRDefault="00F326E5" w:rsidP="00F326E5">
      <w:pPr>
        <w:rPr>
          <w:rFonts w:ascii="Times New Roman" w:hAnsi="Times New Roman"/>
          <w:sz w:val="24"/>
          <w:szCs w:val="24"/>
          <w:lang w:val="en"/>
        </w:rPr>
      </w:pPr>
      <w:hyperlink r:id="rId844" w:history="1">
        <w:r w:rsidRPr="0036327D">
          <w:rPr>
            <w:rStyle w:val="Hyperlink"/>
            <w:rFonts w:ascii="Times New Roman" w:hAnsi="Times New Roman"/>
            <w:color w:val="auto"/>
            <w:sz w:val="24"/>
            <w:szCs w:val="24"/>
            <w:lang w:val="en"/>
          </w:rPr>
          <w:t>https://supreme.justia.com/cases/federal/us/584/17-2/</w:t>
        </w:r>
      </w:hyperlink>
      <w:r w:rsidRPr="0036327D">
        <w:rPr>
          <w:rFonts w:ascii="Times New Roman" w:hAnsi="Times New Roman"/>
          <w:sz w:val="24"/>
          <w:szCs w:val="24"/>
          <w:lang w:val="en"/>
        </w:rPr>
        <w:t xml:space="preserve"> </w:t>
      </w:r>
    </w:p>
    <w:p w14:paraId="38544133" w14:textId="77777777" w:rsidR="00F326E5" w:rsidRPr="00BA3B84" w:rsidRDefault="00F326E5" w:rsidP="00F326E5">
      <w:pPr>
        <w:rPr>
          <w:b/>
          <w:color w:val="4A4A4A"/>
          <w:sz w:val="24"/>
          <w:szCs w:val="24"/>
          <w:lang w:val="en"/>
        </w:rPr>
      </w:pPr>
      <w:r w:rsidRPr="0036327D">
        <w:rPr>
          <w:rFonts w:ascii="Times New Roman" w:hAnsi="Times New Roman"/>
          <w:b/>
          <w:sz w:val="24"/>
          <w:szCs w:val="24"/>
          <w:lang w:val="en"/>
        </w:rPr>
        <w:t xml:space="preserve">LEGAL LESSONS LEARNED:  Congress has enacted the “Cloud Act” so that search warrants on Microsoft and other companies must be honored, even if the e-mail information is stored in a facility outside the USA.   In some </w:t>
      </w:r>
      <w:proofErr w:type="gramStart"/>
      <w:r w:rsidRPr="0036327D">
        <w:rPr>
          <w:rFonts w:ascii="Times New Roman" w:hAnsi="Times New Roman"/>
          <w:b/>
          <w:sz w:val="24"/>
          <w:szCs w:val="24"/>
          <w:lang w:val="en"/>
        </w:rPr>
        <w:t>case</w:t>
      </w:r>
      <w:proofErr w:type="gramEnd"/>
      <w:r w:rsidRPr="0036327D">
        <w:rPr>
          <w:rFonts w:ascii="Times New Roman" w:hAnsi="Times New Roman"/>
          <w:b/>
          <w:sz w:val="24"/>
          <w:szCs w:val="24"/>
          <w:lang w:val="en"/>
        </w:rPr>
        <w:t>, our national security demands access to this information</w:t>
      </w:r>
      <w:r w:rsidRPr="00BA3B84">
        <w:rPr>
          <w:b/>
          <w:color w:val="4A4A4A"/>
          <w:sz w:val="24"/>
          <w:szCs w:val="24"/>
          <w:lang w:val="en"/>
        </w:rPr>
        <w:t xml:space="preserve">. </w:t>
      </w:r>
    </w:p>
    <w:bookmarkEnd w:id="169"/>
    <w:bookmarkEnd w:id="170"/>
    <w:p w14:paraId="13560A36" w14:textId="77777777" w:rsidR="00F326E5" w:rsidRDefault="00F326E5" w:rsidP="00F326E5">
      <w:pPr>
        <w:rPr>
          <w:rFonts w:ascii="Arial Black" w:hAnsi="Arial Black"/>
          <w:b/>
          <w:sz w:val="40"/>
          <w:szCs w:val="40"/>
        </w:rPr>
      </w:pPr>
    </w:p>
    <w:p w14:paraId="218F04BD" w14:textId="01005CD8" w:rsidR="00EF1133" w:rsidRDefault="00EF1133" w:rsidP="00EF1133">
      <w:pPr>
        <w:rPr>
          <w:rFonts w:ascii="Arial Black" w:hAnsi="Arial Black"/>
          <w:b/>
          <w:sz w:val="28"/>
          <w:szCs w:val="28"/>
        </w:rPr>
      </w:pPr>
      <w:bookmarkStart w:id="171" w:name="_Hlk7342019"/>
      <w:r w:rsidRPr="00EF1133">
        <w:rPr>
          <w:rFonts w:ascii="Arial Black" w:hAnsi="Arial Black"/>
          <w:color w:val="4A4A4A"/>
          <w:sz w:val="24"/>
          <w:szCs w:val="24"/>
          <w:lang w:val="en"/>
        </w:rPr>
        <w:t>3-</w:t>
      </w:r>
      <w:r>
        <w:rPr>
          <w:rFonts w:ascii="Arial Black" w:hAnsi="Arial Black"/>
          <w:color w:val="4A4A4A"/>
          <w:sz w:val="24"/>
          <w:szCs w:val="24"/>
          <w:lang w:val="en"/>
        </w:rPr>
        <w:t>2</w:t>
      </w:r>
    </w:p>
    <w:p w14:paraId="66D2746F" w14:textId="39E1ABF7" w:rsidR="00F326E5" w:rsidRDefault="00F326E5" w:rsidP="00F326E5">
      <w:pPr>
        <w:pStyle w:val="NoSpacing"/>
        <w:rPr>
          <w:rFonts w:ascii="Arial Black" w:hAnsi="Arial Black"/>
          <w:b/>
          <w:sz w:val="28"/>
          <w:szCs w:val="28"/>
        </w:rPr>
      </w:pPr>
      <w:r>
        <w:rPr>
          <w:rFonts w:ascii="Arial Black" w:hAnsi="Arial Black"/>
          <w:b/>
          <w:sz w:val="28"/>
          <w:szCs w:val="28"/>
        </w:rPr>
        <w:t>NY: NYPD SURVEILLANCE OF MUSLIMS – FOIA - DO NOT NEED TO EVEN DISCLOSE RECORDS EXIST</w:t>
      </w:r>
    </w:p>
    <w:p w14:paraId="0BA16183" w14:textId="77777777" w:rsidR="009C4A80" w:rsidRDefault="00F326E5" w:rsidP="00F326E5">
      <w:pPr>
        <w:rPr>
          <w:rFonts w:ascii="Times New Roman" w:hAnsi="Times New Roman"/>
          <w:sz w:val="24"/>
          <w:szCs w:val="24"/>
        </w:rPr>
      </w:pPr>
      <w:r w:rsidRPr="0036327D">
        <w:rPr>
          <w:rFonts w:ascii="Times New Roman" w:hAnsi="Times New Roman"/>
          <w:sz w:val="24"/>
          <w:szCs w:val="24"/>
        </w:rPr>
        <w:t xml:space="preserve">On March 29, 2018, In the </w:t>
      </w:r>
      <w:r w:rsidRPr="0036327D">
        <w:rPr>
          <w:rFonts w:ascii="Times New Roman" w:hAnsi="Times New Roman"/>
          <w:sz w:val="24"/>
          <w:szCs w:val="24"/>
          <w:u w:val="single"/>
        </w:rPr>
        <w:t>Matter of Talib W.  Abdur-Rashid and Samir Hashmi v. New York City Police Department, et al.</w:t>
      </w:r>
      <w:r w:rsidRPr="0036327D">
        <w:rPr>
          <w:rFonts w:ascii="Times New Roman" w:hAnsi="Times New Roman"/>
          <w:sz w:val="24"/>
          <w:szCs w:val="24"/>
        </w:rPr>
        <w:t xml:space="preserve">, the State of New York Court of Appeals held (4 to 3): </w:t>
      </w:r>
    </w:p>
    <w:p w14:paraId="32C9B6B8" w14:textId="6D8E5139" w:rsidR="00F326E5" w:rsidRPr="0036327D" w:rsidRDefault="00F326E5" w:rsidP="009C4A80">
      <w:pPr>
        <w:ind w:left="720"/>
        <w:rPr>
          <w:rFonts w:ascii="Times New Roman" w:hAnsi="Times New Roman"/>
          <w:sz w:val="24"/>
          <w:szCs w:val="24"/>
        </w:rPr>
      </w:pPr>
      <w:r w:rsidRPr="0036327D">
        <w:rPr>
          <w:rFonts w:ascii="Times New Roman" w:hAnsi="Times New Roman"/>
          <w:sz w:val="24"/>
          <w:szCs w:val="24"/>
        </w:rPr>
        <w:t xml:space="preserve">“The issue presented is whether an agency may decline to acknowledge that requested records exist in response to a Freedom of Information Law request … when necessary to safeguard statutorily exempted information.  Under these circumstances, we hold that it may and therefore affirm the Appellate Division order, which reached the same conclusion.” </w:t>
      </w:r>
      <w:hyperlink r:id="rId845" w:history="1">
        <w:r w:rsidRPr="0036327D">
          <w:rPr>
            <w:rStyle w:val="Hyperlink"/>
            <w:rFonts w:ascii="Times New Roman" w:hAnsi="Times New Roman"/>
            <w:sz w:val="24"/>
            <w:szCs w:val="24"/>
          </w:rPr>
          <w:t>file:///C:/Users/lawre/AppData/Local/Microsoft/Windows/INetCache/IE/XO250S7T/Glomar-decision.pdf</w:t>
        </w:r>
      </w:hyperlink>
      <w:r w:rsidRPr="0036327D">
        <w:rPr>
          <w:rFonts w:ascii="Times New Roman" w:hAnsi="Times New Roman"/>
          <w:sz w:val="24"/>
          <w:szCs w:val="24"/>
        </w:rPr>
        <w:t xml:space="preserve">      </w:t>
      </w:r>
    </w:p>
    <w:p w14:paraId="7F737600" w14:textId="77777777" w:rsidR="00F326E5" w:rsidRPr="0036327D" w:rsidRDefault="00F326E5" w:rsidP="00F326E5">
      <w:pPr>
        <w:rPr>
          <w:rFonts w:ascii="Times New Roman" w:hAnsi="Times New Roman"/>
          <w:b/>
          <w:sz w:val="24"/>
          <w:szCs w:val="24"/>
        </w:rPr>
      </w:pPr>
      <w:r w:rsidRPr="0036327D">
        <w:rPr>
          <w:rFonts w:ascii="Times New Roman" w:hAnsi="Times New Roman"/>
          <w:b/>
          <w:sz w:val="24"/>
          <w:szCs w:val="24"/>
        </w:rPr>
        <w:t xml:space="preserve">LEGAL LESSONS LEARNED:  Surveillance records are protected from disclosure; don’t need to even confirm existence of intelligence records. </w:t>
      </w:r>
    </w:p>
    <w:p w14:paraId="0B82D0F2" w14:textId="77777777" w:rsidR="00F326E5" w:rsidRPr="0036327D" w:rsidRDefault="00F326E5" w:rsidP="00F326E5">
      <w:pPr>
        <w:ind w:left="720"/>
        <w:rPr>
          <w:rFonts w:ascii="Times New Roman" w:hAnsi="Times New Roman"/>
          <w:sz w:val="24"/>
          <w:szCs w:val="24"/>
        </w:rPr>
      </w:pPr>
      <w:r w:rsidRPr="0036327D">
        <w:rPr>
          <w:rFonts w:ascii="Times New Roman" w:hAnsi="Times New Roman"/>
          <w:sz w:val="24"/>
          <w:szCs w:val="24"/>
        </w:rPr>
        <w:lastRenderedPageBreak/>
        <w:t xml:space="preserve">See article on this decision: </w:t>
      </w:r>
      <w:hyperlink r:id="rId846" w:history="1">
        <w:r w:rsidRPr="0036327D">
          <w:rPr>
            <w:rStyle w:val="Hyperlink"/>
            <w:rFonts w:ascii="Times New Roman" w:hAnsi="Times New Roman"/>
            <w:sz w:val="24"/>
            <w:szCs w:val="24"/>
          </w:rPr>
          <w:t>https://www.law.com/newyorklawjournal/2018/03/29/ny-high-court-allows-nypd-to-evade-giving-foil-requested-information-about-muslim-surveillance/</w:t>
        </w:r>
      </w:hyperlink>
    </w:p>
    <w:bookmarkEnd w:id="171"/>
    <w:p w14:paraId="3496799B" w14:textId="77777777" w:rsidR="00F326E5" w:rsidRPr="00150349" w:rsidRDefault="00F326E5" w:rsidP="00F326E5">
      <w:pPr>
        <w:pStyle w:val="NoSpacing"/>
        <w:rPr>
          <w:b/>
          <w:sz w:val="24"/>
          <w:szCs w:val="24"/>
        </w:rPr>
      </w:pPr>
    </w:p>
    <w:p w14:paraId="0BC3F0CD" w14:textId="48C4A3B5" w:rsidR="00F326E5" w:rsidRPr="00EF1133" w:rsidRDefault="00EF1133" w:rsidP="00F326E5">
      <w:pPr>
        <w:rPr>
          <w:rFonts w:ascii="Arial Black" w:hAnsi="Arial Black"/>
          <w:color w:val="4A4A4A"/>
          <w:sz w:val="24"/>
          <w:szCs w:val="24"/>
          <w:lang w:val="en"/>
        </w:rPr>
      </w:pPr>
      <w:r w:rsidRPr="00EF1133">
        <w:rPr>
          <w:rFonts w:ascii="Arial Black" w:hAnsi="Arial Black"/>
          <w:color w:val="4A4A4A"/>
          <w:sz w:val="24"/>
          <w:szCs w:val="24"/>
          <w:lang w:val="en"/>
        </w:rPr>
        <w:t>3-1</w:t>
      </w:r>
    </w:p>
    <w:p w14:paraId="76F99281" w14:textId="2D028A27" w:rsidR="00F326E5" w:rsidRDefault="00F326E5" w:rsidP="00F326E5">
      <w:pPr>
        <w:rPr>
          <w:rFonts w:ascii="Arial Black" w:hAnsi="Arial Black"/>
          <w:b/>
          <w:color w:val="4A4A4A"/>
          <w:sz w:val="28"/>
          <w:szCs w:val="28"/>
          <w:lang w:val="en"/>
        </w:rPr>
      </w:pPr>
      <w:bookmarkStart w:id="172" w:name="_Hlk7342091"/>
      <w:r w:rsidRPr="00391684">
        <w:rPr>
          <w:rFonts w:ascii="Arial Black" w:hAnsi="Arial Black"/>
          <w:b/>
          <w:color w:val="4A4A4A"/>
          <w:sz w:val="28"/>
          <w:szCs w:val="28"/>
          <w:lang w:val="en"/>
        </w:rPr>
        <w:t>U.S. SUP</w:t>
      </w:r>
      <w:r>
        <w:rPr>
          <w:rFonts w:ascii="Arial Black" w:hAnsi="Arial Black"/>
          <w:b/>
          <w:color w:val="4A4A4A"/>
          <w:sz w:val="28"/>
          <w:szCs w:val="28"/>
          <w:lang w:val="en"/>
        </w:rPr>
        <w:t>. C</w:t>
      </w:r>
      <w:r w:rsidRPr="00391684">
        <w:rPr>
          <w:rFonts w:ascii="Arial Black" w:hAnsi="Arial Black"/>
          <w:b/>
          <w:color w:val="4A4A4A"/>
          <w:sz w:val="28"/>
          <w:szCs w:val="28"/>
          <w:lang w:val="en"/>
        </w:rPr>
        <w:t>OURT</w:t>
      </w:r>
      <w:r>
        <w:rPr>
          <w:rFonts w:ascii="Arial Black" w:hAnsi="Arial Black"/>
          <w:b/>
          <w:color w:val="4A4A4A"/>
          <w:sz w:val="28"/>
          <w:szCs w:val="28"/>
          <w:lang w:val="en"/>
        </w:rPr>
        <w:t>: HAMAS BOMBINGS IN ISRAEL – CAN’T SEIZE ANCIENT IRANIAN TABLETS IN CHICAGO</w:t>
      </w:r>
    </w:p>
    <w:p w14:paraId="691A3832" w14:textId="77777777" w:rsidR="009C4A80" w:rsidRDefault="00F326E5" w:rsidP="00F326E5">
      <w:pPr>
        <w:rPr>
          <w:rFonts w:ascii="Times New Roman" w:hAnsi="Times New Roman"/>
          <w:color w:val="4A4A4A"/>
          <w:sz w:val="24"/>
          <w:szCs w:val="24"/>
          <w:lang w:val="en"/>
        </w:rPr>
      </w:pPr>
      <w:r w:rsidRPr="0036327D">
        <w:rPr>
          <w:rFonts w:ascii="Times New Roman" w:hAnsi="Times New Roman"/>
          <w:color w:val="4A4A4A"/>
          <w:sz w:val="24"/>
          <w:szCs w:val="24"/>
          <w:lang w:val="en"/>
        </w:rPr>
        <w:t xml:space="preserve">On Feb. 21, 2018, in </w:t>
      </w:r>
      <w:r w:rsidRPr="0036327D">
        <w:rPr>
          <w:rFonts w:ascii="Times New Roman" w:hAnsi="Times New Roman"/>
          <w:color w:val="4A4A4A"/>
          <w:sz w:val="24"/>
          <w:szCs w:val="24"/>
          <w:u w:val="single"/>
          <w:lang w:val="en"/>
        </w:rPr>
        <w:t>Rubin v. Islamic Republic of Iran</w:t>
      </w:r>
      <w:r w:rsidRPr="0036327D">
        <w:rPr>
          <w:rFonts w:ascii="Times New Roman" w:hAnsi="Times New Roman"/>
          <w:color w:val="4A4A4A"/>
          <w:sz w:val="24"/>
          <w:szCs w:val="24"/>
          <w:lang w:val="en"/>
        </w:rPr>
        <w:t xml:space="preserve">, the U.S. Supreme Court held (8 to 0; Justice Kegan did not participate) that 30,000 ancient clay tablets held at University of Chicago cannot be seized to pay $71.5 million judgement against Iran.  Justice Sotomayor wrote, </w:t>
      </w:r>
    </w:p>
    <w:p w14:paraId="5F765B3E" w14:textId="5AC1A1AD" w:rsidR="00F326E5" w:rsidRPr="0036327D" w:rsidRDefault="00F326E5" w:rsidP="009C4A80">
      <w:pPr>
        <w:ind w:left="720"/>
        <w:rPr>
          <w:rFonts w:ascii="Times New Roman" w:hAnsi="Times New Roman"/>
          <w:color w:val="4A4A4A"/>
          <w:sz w:val="24"/>
          <w:szCs w:val="24"/>
          <w:lang w:val="en"/>
        </w:rPr>
      </w:pPr>
      <w:r w:rsidRPr="0036327D">
        <w:rPr>
          <w:rFonts w:ascii="Times New Roman" w:hAnsi="Times New Roman"/>
          <w:color w:val="4A4A4A"/>
          <w:sz w:val="24"/>
          <w:szCs w:val="24"/>
          <w:lang w:val="en"/>
        </w:rPr>
        <w:t xml:space="preserve">“Where the FSIA goes so far as to divest a foreign state or property of immunity in relation to terrorism related judgments, however, it does so expressly.  See §§1605A, 1610(a)(7), (b)(3), (f)(1)(A); §201(a) of the TRIA. Out of respect for the delicate balance that Congress struck in enacting the FSIA, we decline to read into the statute a blanket abrogation of attachment and execution immunity for §1605A judgment holders absent a clearer indication of Congress’ intent.” </w:t>
      </w:r>
      <w:hyperlink r:id="rId847" w:history="1">
        <w:r w:rsidRPr="0036327D">
          <w:rPr>
            <w:rStyle w:val="Hyperlink"/>
            <w:rFonts w:ascii="Times New Roman" w:hAnsi="Times New Roman"/>
            <w:sz w:val="24"/>
            <w:szCs w:val="24"/>
            <w:lang w:val="en"/>
          </w:rPr>
          <w:t>file:///C:/Users/lawre/AppData/Local/Microsoft/Windows/INetCache/IE/XO250S7T/16-534_6jfm.pdf</w:t>
        </w:r>
      </w:hyperlink>
      <w:r w:rsidRPr="0036327D">
        <w:rPr>
          <w:rFonts w:ascii="Times New Roman" w:hAnsi="Times New Roman"/>
          <w:color w:val="4A4A4A"/>
          <w:sz w:val="24"/>
          <w:szCs w:val="24"/>
          <w:lang w:val="en"/>
        </w:rPr>
        <w:t xml:space="preserve"> </w:t>
      </w:r>
    </w:p>
    <w:p w14:paraId="5A974771" w14:textId="77777777" w:rsidR="00F326E5" w:rsidRPr="0036327D" w:rsidRDefault="00F326E5" w:rsidP="00F326E5">
      <w:pPr>
        <w:rPr>
          <w:rFonts w:ascii="Times New Roman" w:hAnsi="Times New Roman"/>
          <w:b/>
          <w:color w:val="4A4A4A"/>
          <w:sz w:val="24"/>
          <w:szCs w:val="24"/>
          <w:lang w:val="en"/>
        </w:rPr>
      </w:pPr>
      <w:r w:rsidRPr="0036327D">
        <w:rPr>
          <w:rFonts w:ascii="Times New Roman" w:hAnsi="Times New Roman"/>
          <w:b/>
          <w:color w:val="4A4A4A"/>
          <w:sz w:val="24"/>
          <w:szCs w:val="24"/>
          <w:lang w:val="en"/>
        </w:rPr>
        <w:t xml:space="preserve">LEGAL LESSONS LEARNED: Congress can amend FSIA to clarify that Iran is a sponsor of terrorists, and their property in USA can be subject to seizure.  </w:t>
      </w:r>
    </w:p>
    <w:p w14:paraId="60CCDAD5" w14:textId="3148EDBF" w:rsidR="00F326E5" w:rsidRDefault="00F326E5" w:rsidP="0005503D">
      <w:pPr>
        <w:ind w:left="720"/>
        <w:rPr>
          <w:rFonts w:ascii="Arial Black" w:hAnsi="Arial Black"/>
          <w:b/>
          <w:sz w:val="40"/>
          <w:szCs w:val="40"/>
        </w:rPr>
      </w:pPr>
      <w:r w:rsidRPr="0036327D">
        <w:rPr>
          <w:rFonts w:ascii="Times New Roman" w:hAnsi="Times New Roman"/>
          <w:color w:val="4A4A4A"/>
          <w:sz w:val="24"/>
          <w:szCs w:val="24"/>
          <w:lang w:val="en"/>
        </w:rPr>
        <w:t>See article on the decision:  “</w:t>
      </w:r>
      <w:r w:rsidRPr="0036327D">
        <w:rPr>
          <w:rFonts w:ascii="Times New Roman" w:hAnsi="Times New Roman"/>
          <w:sz w:val="24"/>
          <w:szCs w:val="24"/>
          <w:lang w:val="en"/>
        </w:rPr>
        <w:t xml:space="preserve">Wednesday’s ruling is also likely to dictate the outcome of a similar dispute pending before the justices in which four different groups of plaintiffs representing those injured in other allegedly Iran-backed attacks are seeking to enforce court judgments by seizing $17.6 million in assets held by Iranian government-owned Bank Melli.” </w:t>
      </w:r>
      <w:hyperlink r:id="rId848" w:history="1">
        <w:r w:rsidRPr="0036327D">
          <w:rPr>
            <w:rStyle w:val="Hyperlink"/>
            <w:rFonts w:ascii="Times New Roman" w:hAnsi="Times New Roman"/>
            <w:sz w:val="24"/>
            <w:szCs w:val="24"/>
            <w:lang w:val="en"/>
          </w:rPr>
          <w:t>https://in.reuters.com/article/usa-court-iran/u-s-top-court-forbids-seizure-of-ancient-persian-artifacts-idINKCN1G51ZY</w:t>
        </w:r>
      </w:hyperlink>
      <w:r w:rsidRPr="0036327D">
        <w:rPr>
          <w:rFonts w:ascii="Times New Roman" w:hAnsi="Times New Roman"/>
          <w:color w:val="4A4A4A"/>
          <w:sz w:val="24"/>
          <w:szCs w:val="24"/>
          <w:lang w:val="en"/>
        </w:rPr>
        <w:t xml:space="preserve"> </w:t>
      </w:r>
      <w:bookmarkEnd w:id="172"/>
      <w:r>
        <w:rPr>
          <w:rFonts w:ascii="Arial Black" w:hAnsi="Arial Black"/>
          <w:b/>
          <w:sz w:val="40"/>
          <w:szCs w:val="40"/>
        </w:rPr>
        <w:br w:type="page"/>
      </w:r>
    </w:p>
    <w:p w14:paraId="234826B4" w14:textId="77777777" w:rsidR="00680234" w:rsidRDefault="00680234" w:rsidP="00F326E5">
      <w:pPr>
        <w:pStyle w:val="NoSpacing"/>
        <w:rPr>
          <w:rFonts w:ascii="Arial Black" w:hAnsi="Arial Black"/>
          <w:sz w:val="40"/>
          <w:szCs w:val="40"/>
        </w:rPr>
      </w:pPr>
    </w:p>
    <w:p w14:paraId="31A4BC5A" w14:textId="77777777" w:rsidR="00680234" w:rsidRDefault="00680234" w:rsidP="00F326E5">
      <w:pPr>
        <w:pStyle w:val="NoSpacing"/>
        <w:rPr>
          <w:rFonts w:ascii="Arial Black" w:hAnsi="Arial Black"/>
          <w:sz w:val="40"/>
          <w:szCs w:val="40"/>
        </w:rPr>
      </w:pPr>
    </w:p>
    <w:p w14:paraId="368696E1" w14:textId="77777777" w:rsidR="00680234" w:rsidRDefault="00680234" w:rsidP="00F326E5">
      <w:pPr>
        <w:pStyle w:val="NoSpacing"/>
        <w:rPr>
          <w:rFonts w:ascii="Arial Black" w:hAnsi="Arial Black"/>
          <w:sz w:val="40"/>
          <w:szCs w:val="40"/>
        </w:rPr>
      </w:pPr>
    </w:p>
    <w:p w14:paraId="77AA98B7" w14:textId="77777777" w:rsidR="00680234" w:rsidRDefault="00680234" w:rsidP="00F326E5">
      <w:pPr>
        <w:pStyle w:val="NoSpacing"/>
        <w:rPr>
          <w:rFonts w:ascii="Arial Black" w:hAnsi="Arial Black"/>
          <w:sz w:val="40"/>
          <w:szCs w:val="40"/>
        </w:rPr>
      </w:pPr>
    </w:p>
    <w:p w14:paraId="46CB6D8C" w14:textId="77777777" w:rsidR="00680234" w:rsidRDefault="00680234" w:rsidP="00F326E5">
      <w:pPr>
        <w:pStyle w:val="NoSpacing"/>
        <w:rPr>
          <w:rFonts w:ascii="Arial Black" w:hAnsi="Arial Black"/>
          <w:sz w:val="40"/>
          <w:szCs w:val="40"/>
        </w:rPr>
      </w:pPr>
    </w:p>
    <w:p w14:paraId="14071E9C" w14:textId="77777777" w:rsidR="00680234" w:rsidRDefault="00680234" w:rsidP="00F326E5">
      <w:pPr>
        <w:pStyle w:val="NoSpacing"/>
        <w:rPr>
          <w:rFonts w:ascii="Arial Black" w:hAnsi="Arial Black"/>
          <w:sz w:val="40"/>
          <w:szCs w:val="40"/>
        </w:rPr>
      </w:pPr>
    </w:p>
    <w:p w14:paraId="2D6406AE" w14:textId="77777777" w:rsidR="00680234" w:rsidRDefault="00680234" w:rsidP="00F326E5">
      <w:pPr>
        <w:pStyle w:val="NoSpacing"/>
        <w:rPr>
          <w:rFonts w:ascii="Arial Black" w:hAnsi="Arial Black"/>
          <w:sz w:val="40"/>
          <w:szCs w:val="40"/>
        </w:rPr>
      </w:pPr>
    </w:p>
    <w:p w14:paraId="3130033F" w14:textId="77777777" w:rsidR="00680234" w:rsidRDefault="00680234" w:rsidP="00F326E5">
      <w:pPr>
        <w:pStyle w:val="NoSpacing"/>
        <w:rPr>
          <w:rFonts w:ascii="Arial Black" w:hAnsi="Arial Black"/>
          <w:sz w:val="40"/>
          <w:szCs w:val="40"/>
        </w:rPr>
      </w:pPr>
    </w:p>
    <w:p w14:paraId="0D9FFFD5" w14:textId="77777777" w:rsidR="00680234" w:rsidRDefault="00680234" w:rsidP="00F326E5">
      <w:pPr>
        <w:pStyle w:val="NoSpacing"/>
        <w:rPr>
          <w:rFonts w:ascii="Arial Black" w:hAnsi="Arial Black"/>
          <w:sz w:val="40"/>
          <w:szCs w:val="40"/>
        </w:rPr>
      </w:pPr>
    </w:p>
    <w:p w14:paraId="3028D8A8" w14:textId="77777777" w:rsidR="00680234" w:rsidRDefault="00680234" w:rsidP="00F326E5">
      <w:pPr>
        <w:pStyle w:val="NoSpacing"/>
        <w:rPr>
          <w:rFonts w:ascii="Arial Black" w:hAnsi="Arial Black"/>
          <w:sz w:val="40"/>
          <w:szCs w:val="40"/>
        </w:rPr>
      </w:pPr>
    </w:p>
    <w:p w14:paraId="3D187AED" w14:textId="77777777" w:rsidR="00680234" w:rsidRDefault="00680234" w:rsidP="00F326E5">
      <w:pPr>
        <w:pStyle w:val="NoSpacing"/>
        <w:rPr>
          <w:rFonts w:ascii="Arial Black" w:hAnsi="Arial Black"/>
          <w:sz w:val="40"/>
          <w:szCs w:val="40"/>
        </w:rPr>
      </w:pPr>
    </w:p>
    <w:p w14:paraId="3739BA1F" w14:textId="77777777" w:rsidR="00680234" w:rsidRDefault="00680234" w:rsidP="00F326E5">
      <w:pPr>
        <w:pStyle w:val="NoSpacing"/>
        <w:rPr>
          <w:rFonts w:ascii="Arial Black" w:hAnsi="Arial Black"/>
          <w:sz w:val="40"/>
          <w:szCs w:val="40"/>
        </w:rPr>
      </w:pPr>
    </w:p>
    <w:p w14:paraId="4AA2DBD7" w14:textId="77777777" w:rsidR="00680234" w:rsidRDefault="00680234" w:rsidP="00F326E5">
      <w:pPr>
        <w:pStyle w:val="NoSpacing"/>
        <w:rPr>
          <w:rFonts w:ascii="Arial Black" w:hAnsi="Arial Black"/>
          <w:sz w:val="40"/>
          <w:szCs w:val="40"/>
        </w:rPr>
      </w:pPr>
    </w:p>
    <w:p w14:paraId="6649EE15" w14:textId="77777777" w:rsidR="00680234" w:rsidRDefault="00680234" w:rsidP="00F326E5">
      <w:pPr>
        <w:pStyle w:val="NoSpacing"/>
        <w:rPr>
          <w:rFonts w:ascii="Arial Black" w:hAnsi="Arial Black"/>
          <w:sz w:val="40"/>
          <w:szCs w:val="40"/>
        </w:rPr>
      </w:pPr>
    </w:p>
    <w:p w14:paraId="4AE59C16" w14:textId="77777777" w:rsidR="00680234" w:rsidRDefault="00680234" w:rsidP="00F326E5">
      <w:pPr>
        <w:pStyle w:val="NoSpacing"/>
        <w:rPr>
          <w:rFonts w:ascii="Arial Black" w:hAnsi="Arial Black"/>
          <w:sz w:val="40"/>
          <w:szCs w:val="40"/>
        </w:rPr>
      </w:pPr>
    </w:p>
    <w:p w14:paraId="0DC1D59F" w14:textId="77777777" w:rsidR="00680234" w:rsidRDefault="00680234" w:rsidP="00F326E5">
      <w:pPr>
        <w:pStyle w:val="NoSpacing"/>
        <w:rPr>
          <w:rFonts w:ascii="Arial Black" w:hAnsi="Arial Black"/>
          <w:sz w:val="40"/>
          <w:szCs w:val="40"/>
        </w:rPr>
      </w:pPr>
    </w:p>
    <w:p w14:paraId="35ED3CCC" w14:textId="77777777" w:rsidR="00680234" w:rsidRDefault="00680234" w:rsidP="00F326E5">
      <w:pPr>
        <w:pStyle w:val="NoSpacing"/>
        <w:rPr>
          <w:rFonts w:ascii="Arial Black" w:hAnsi="Arial Black"/>
          <w:sz w:val="40"/>
          <w:szCs w:val="40"/>
        </w:rPr>
      </w:pPr>
    </w:p>
    <w:p w14:paraId="2D26EE6A" w14:textId="77777777" w:rsidR="00680234" w:rsidRDefault="00680234" w:rsidP="00F326E5">
      <w:pPr>
        <w:pStyle w:val="NoSpacing"/>
        <w:rPr>
          <w:rFonts w:ascii="Arial Black" w:hAnsi="Arial Black"/>
          <w:sz w:val="40"/>
          <w:szCs w:val="40"/>
        </w:rPr>
      </w:pPr>
    </w:p>
    <w:p w14:paraId="7B23D8BA" w14:textId="77777777" w:rsidR="00680234" w:rsidRDefault="00680234" w:rsidP="00F326E5">
      <w:pPr>
        <w:pStyle w:val="NoSpacing"/>
        <w:rPr>
          <w:rFonts w:ascii="Arial Black" w:hAnsi="Arial Black"/>
          <w:sz w:val="40"/>
          <w:szCs w:val="40"/>
        </w:rPr>
      </w:pPr>
    </w:p>
    <w:p w14:paraId="554774DE" w14:textId="77777777" w:rsidR="00680234" w:rsidRDefault="00680234" w:rsidP="00F326E5">
      <w:pPr>
        <w:pStyle w:val="NoSpacing"/>
        <w:rPr>
          <w:rFonts w:ascii="Arial Black" w:hAnsi="Arial Black"/>
          <w:sz w:val="40"/>
          <w:szCs w:val="40"/>
        </w:rPr>
      </w:pPr>
    </w:p>
    <w:p w14:paraId="1873C028" w14:textId="77777777" w:rsidR="00680234" w:rsidRDefault="00680234" w:rsidP="00F326E5">
      <w:pPr>
        <w:pStyle w:val="NoSpacing"/>
        <w:rPr>
          <w:rFonts w:ascii="Arial Black" w:hAnsi="Arial Black"/>
          <w:sz w:val="40"/>
          <w:szCs w:val="40"/>
        </w:rPr>
      </w:pPr>
    </w:p>
    <w:p w14:paraId="22A87D14" w14:textId="77777777" w:rsidR="00680234" w:rsidRDefault="00680234" w:rsidP="00F326E5">
      <w:pPr>
        <w:pStyle w:val="NoSpacing"/>
        <w:rPr>
          <w:rFonts w:ascii="Arial Black" w:hAnsi="Arial Black"/>
          <w:sz w:val="40"/>
          <w:szCs w:val="40"/>
        </w:rPr>
      </w:pPr>
    </w:p>
    <w:p w14:paraId="21DEF991" w14:textId="77777777" w:rsidR="00680234" w:rsidRDefault="00680234" w:rsidP="00F326E5">
      <w:pPr>
        <w:pStyle w:val="NoSpacing"/>
        <w:rPr>
          <w:rFonts w:ascii="Arial Black" w:hAnsi="Arial Black"/>
          <w:sz w:val="40"/>
          <w:szCs w:val="40"/>
        </w:rPr>
      </w:pPr>
    </w:p>
    <w:p w14:paraId="14DF8684" w14:textId="77777777" w:rsidR="00680234" w:rsidRDefault="00680234" w:rsidP="00F326E5">
      <w:pPr>
        <w:pStyle w:val="NoSpacing"/>
        <w:rPr>
          <w:rFonts w:ascii="Arial Black" w:hAnsi="Arial Black"/>
          <w:sz w:val="40"/>
          <w:szCs w:val="40"/>
        </w:rPr>
      </w:pPr>
    </w:p>
    <w:p w14:paraId="2EB685D0" w14:textId="77777777" w:rsidR="00680234" w:rsidRDefault="00680234" w:rsidP="00F326E5">
      <w:pPr>
        <w:pStyle w:val="NoSpacing"/>
        <w:rPr>
          <w:rFonts w:ascii="Arial Black" w:hAnsi="Arial Black"/>
          <w:sz w:val="40"/>
          <w:szCs w:val="40"/>
        </w:rPr>
      </w:pPr>
    </w:p>
    <w:p w14:paraId="2DF3FF63" w14:textId="5E383E2F" w:rsidR="00F326E5" w:rsidRDefault="00F326E5" w:rsidP="00F326E5">
      <w:pPr>
        <w:pStyle w:val="NoSpacing"/>
        <w:rPr>
          <w:rFonts w:ascii="Arial Black" w:hAnsi="Arial Black"/>
          <w:sz w:val="40"/>
          <w:szCs w:val="40"/>
        </w:rPr>
      </w:pPr>
      <w:r w:rsidRPr="007732FA">
        <w:rPr>
          <w:rFonts w:ascii="Arial Black" w:hAnsi="Arial Black"/>
          <w:sz w:val="40"/>
          <w:szCs w:val="40"/>
        </w:rPr>
        <w:lastRenderedPageBreak/>
        <w:t>Chap. 4</w:t>
      </w:r>
      <w:r w:rsidRPr="007732FA">
        <w:rPr>
          <w:rFonts w:ascii="Arial Black" w:hAnsi="Arial Black"/>
          <w:sz w:val="40"/>
          <w:szCs w:val="40"/>
        </w:rPr>
        <w:tab/>
        <w:t>Incident Command</w:t>
      </w:r>
      <w:r w:rsidR="003F660F">
        <w:rPr>
          <w:rFonts w:ascii="Arial Black" w:hAnsi="Arial Black"/>
          <w:sz w:val="40"/>
          <w:szCs w:val="40"/>
        </w:rPr>
        <w:t>, including T</w:t>
      </w:r>
      <w:r w:rsidRPr="007732FA">
        <w:rPr>
          <w:rFonts w:ascii="Arial Black" w:hAnsi="Arial Black"/>
          <w:sz w:val="40"/>
          <w:szCs w:val="40"/>
        </w:rPr>
        <w:t>raining</w:t>
      </w:r>
      <w:r w:rsidR="003F660F">
        <w:rPr>
          <w:rFonts w:ascii="Arial Black" w:hAnsi="Arial Black"/>
          <w:sz w:val="40"/>
          <w:szCs w:val="40"/>
        </w:rPr>
        <w:t xml:space="preserve">, </w:t>
      </w:r>
      <w:r w:rsidRPr="007732FA">
        <w:rPr>
          <w:rFonts w:ascii="Arial Black" w:hAnsi="Arial Black"/>
          <w:sz w:val="40"/>
          <w:szCs w:val="40"/>
        </w:rPr>
        <w:t>Drones</w:t>
      </w:r>
    </w:p>
    <w:p w14:paraId="049942EC" w14:textId="77777777" w:rsidR="00F326E5" w:rsidRDefault="00F326E5" w:rsidP="00F326E5">
      <w:pPr>
        <w:pStyle w:val="NoSpacing"/>
        <w:rPr>
          <w:b/>
          <w:sz w:val="24"/>
          <w:szCs w:val="24"/>
        </w:rPr>
      </w:pPr>
    </w:p>
    <w:p w14:paraId="15EA55E9" w14:textId="20A7796A" w:rsidR="003E2FC8" w:rsidRDefault="003E2FC8" w:rsidP="000636AB">
      <w:pPr>
        <w:rPr>
          <w:rStyle w:val="Hyperlink"/>
          <w:rFonts w:ascii="Arial Black" w:hAnsi="Arial Black"/>
          <w:b/>
          <w:color w:val="auto"/>
          <w:sz w:val="24"/>
          <w:szCs w:val="24"/>
          <w:u w:val="none"/>
        </w:rPr>
      </w:pPr>
      <w:bookmarkStart w:id="173" w:name="_Hlk7342420"/>
      <w:r>
        <w:rPr>
          <w:rStyle w:val="Hyperlink"/>
          <w:rFonts w:ascii="Arial Black" w:hAnsi="Arial Black"/>
          <w:b/>
          <w:color w:val="auto"/>
          <w:sz w:val="24"/>
          <w:szCs w:val="24"/>
          <w:u w:val="none"/>
        </w:rPr>
        <w:t>4-57</w:t>
      </w:r>
    </w:p>
    <w:p w14:paraId="315DFCB0" w14:textId="77777777" w:rsidR="003E2FC8" w:rsidRPr="00E51C17" w:rsidRDefault="003E2FC8" w:rsidP="003E2FC8">
      <w:pPr>
        <w:pStyle w:val="NoSpacing"/>
        <w:rPr>
          <w:rFonts w:ascii="Arial Black" w:hAnsi="Arial Black"/>
          <w:b/>
          <w:sz w:val="28"/>
          <w:szCs w:val="28"/>
        </w:rPr>
      </w:pPr>
      <w:r>
        <w:rPr>
          <w:rFonts w:ascii="Arial Black" w:hAnsi="Arial Black"/>
          <w:b/>
          <w:sz w:val="28"/>
          <w:szCs w:val="28"/>
        </w:rPr>
        <w:t>NJ: PROM EXAM QUEST - 2</w:t>
      </w:r>
      <w:r w:rsidRPr="009E1C40">
        <w:rPr>
          <w:rFonts w:ascii="Arial Black" w:hAnsi="Arial Black"/>
          <w:b/>
          <w:sz w:val="28"/>
          <w:szCs w:val="28"/>
          <w:vertAlign w:val="superscript"/>
        </w:rPr>
        <w:t>nd</w:t>
      </w:r>
      <w:r>
        <w:rPr>
          <w:rFonts w:ascii="Arial Black" w:hAnsi="Arial Black"/>
          <w:b/>
          <w:sz w:val="28"/>
          <w:szCs w:val="28"/>
        </w:rPr>
        <w:t xml:space="preserve"> FL DORM FIRE – GRADED FAIR</w:t>
      </w:r>
    </w:p>
    <w:p w14:paraId="7DB3ADCC" w14:textId="77777777" w:rsidR="003E2FC8" w:rsidRDefault="003E2FC8" w:rsidP="003E2FC8">
      <w:pPr>
        <w:pStyle w:val="NoSpacing"/>
        <w:rPr>
          <w:b/>
        </w:rPr>
      </w:pPr>
    </w:p>
    <w:p w14:paraId="711F5E59" w14:textId="77777777" w:rsidR="003E2FC8" w:rsidRDefault="003E2FC8" w:rsidP="003E2FC8">
      <w:pPr>
        <w:pStyle w:val="NoSpacing"/>
        <w:rPr>
          <w:bCs/>
        </w:rPr>
      </w:pPr>
      <w:r>
        <w:t xml:space="preserve">On July 21, 2026, </w:t>
      </w:r>
      <w:r w:rsidRPr="00E86F11">
        <w:rPr>
          <w:u w:val="single"/>
        </w:rPr>
        <w:t xml:space="preserve">In </w:t>
      </w:r>
      <w:proofErr w:type="gramStart"/>
      <w:r w:rsidRPr="00E86F11">
        <w:rPr>
          <w:u w:val="single"/>
        </w:rPr>
        <w:t>The</w:t>
      </w:r>
      <w:proofErr w:type="gramEnd"/>
      <w:r w:rsidRPr="00E86F11">
        <w:rPr>
          <w:u w:val="single"/>
        </w:rPr>
        <w:t xml:space="preserve"> Matter </w:t>
      </w:r>
      <w:proofErr w:type="gramStart"/>
      <w:r w:rsidRPr="00E86F11">
        <w:rPr>
          <w:u w:val="single"/>
        </w:rPr>
        <w:t>Of</w:t>
      </w:r>
      <w:proofErr w:type="gramEnd"/>
      <w:r w:rsidRPr="00E86F11">
        <w:rPr>
          <w:u w:val="single"/>
        </w:rPr>
        <w:t xml:space="preserve"> Brian S. Morton, Fire Officer, North Hudson Fire </w:t>
      </w:r>
      <w:proofErr w:type="gramStart"/>
      <w:r w:rsidRPr="00E86F11">
        <w:rPr>
          <w:u w:val="single"/>
        </w:rPr>
        <w:t>And</w:t>
      </w:r>
      <w:proofErr w:type="gramEnd"/>
      <w:r w:rsidRPr="00E86F11">
        <w:rPr>
          <w:u w:val="single"/>
        </w:rPr>
        <w:t xml:space="preserve"> Rescue</w:t>
      </w:r>
      <w:r>
        <w:t xml:space="preserve">, the Superior Court of New Jersey, Appellate Division, held (2 to 0; unpublished opinion) that court upholds the New Jersey Civil Service Commission ruling denying the fire fighters appeal about the scoring of his promotional examination. </w:t>
      </w:r>
      <w:r w:rsidRPr="00FC44A7">
        <w:t>In 2022, Morton completed the promotional examination for Fire Officer 1,</w:t>
      </w:r>
      <w:r>
        <w:t xml:space="preserve"> </w:t>
      </w:r>
      <w:r w:rsidRPr="00FC44A7">
        <w:t>which consisted of a written and oral examination. Morton passed with a</w:t>
      </w:r>
      <w:r>
        <w:t xml:space="preserve"> </w:t>
      </w:r>
      <w:r w:rsidRPr="00FC44A7">
        <w:t>combined score of 87.680, ranking thirty-first on the promotion list.</w:t>
      </w:r>
      <w:r>
        <w:t xml:space="preserve"> </w:t>
      </w:r>
      <w:r w:rsidRPr="00627C17">
        <w:t>Morton argued he received an erroneous score of two on</w:t>
      </w:r>
      <w:r>
        <w:t xml:space="preserve"> </w:t>
      </w:r>
      <w:r w:rsidRPr="00627C17">
        <w:t>the technical component of the "evolving scenario" section of the oral</w:t>
      </w:r>
      <w:r>
        <w:t xml:space="preserve"> </w:t>
      </w:r>
      <w:r w:rsidRPr="00627C17">
        <w:t>examination</w:t>
      </w:r>
      <w:r>
        <w:t xml:space="preserve"> - </w:t>
      </w:r>
      <w:r w:rsidRPr="00EB490C">
        <w:t>hypothetical fire on the second floor of a college dormitory with the candidate</w:t>
      </w:r>
      <w:r>
        <w:t xml:space="preserve"> </w:t>
      </w:r>
      <w:r w:rsidRPr="00EB490C">
        <w:t>serving as the first-level supervisor of the first arriving engine company</w:t>
      </w:r>
      <w:r>
        <w:t xml:space="preserve">.   </w:t>
      </w:r>
      <w:hyperlink r:id="rId849" w:history="1">
        <w:r w:rsidRPr="0044034D">
          <w:rPr>
            <w:rStyle w:val="Hyperlink"/>
          </w:rPr>
          <w:t>https://www.njcourts.gov/system/files/court-opinions/2026/a0803-24.pdf</w:t>
        </w:r>
      </w:hyperlink>
      <w:r>
        <w:t xml:space="preserve"> </w:t>
      </w:r>
    </w:p>
    <w:p w14:paraId="5B736442" w14:textId="77777777" w:rsidR="003E2FC8" w:rsidRDefault="003E2FC8" w:rsidP="003E2FC8">
      <w:pPr>
        <w:pStyle w:val="NoSpacing"/>
        <w:rPr>
          <w:bCs/>
        </w:rPr>
      </w:pPr>
    </w:p>
    <w:p w14:paraId="74DA0F6A" w14:textId="77777777" w:rsidR="003E2FC8" w:rsidRDefault="003E2FC8" w:rsidP="003E2FC8">
      <w:pPr>
        <w:pStyle w:val="NoSpacing"/>
        <w:rPr>
          <w:bCs/>
        </w:rPr>
      </w:pPr>
      <w:r>
        <w:t>THE COURT WROTE:</w:t>
      </w:r>
    </w:p>
    <w:p w14:paraId="6C8E54BC" w14:textId="77777777" w:rsidR="003E2FC8" w:rsidRDefault="003E2FC8" w:rsidP="003E2FC8">
      <w:pPr>
        <w:pStyle w:val="NoSpacing"/>
        <w:rPr>
          <w:bCs/>
        </w:rPr>
      </w:pPr>
    </w:p>
    <w:p w14:paraId="2B559A9F" w14:textId="77777777" w:rsidR="003E2FC8" w:rsidRPr="002D4B7E" w:rsidRDefault="003E2FC8" w:rsidP="003E2FC8">
      <w:pPr>
        <w:pStyle w:val="NoSpacing"/>
        <w:rPr>
          <w:bCs/>
        </w:rPr>
      </w:pPr>
      <w:r>
        <w:t>“</w:t>
      </w:r>
      <w:r w:rsidRPr="001A4039">
        <w:t xml:space="preserve">The SME awarded Morton a two for </w:t>
      </w:r>
      <w:r>
        <w:t>‘</w:t>
      </w:r>
      <w:r w:rsidRPr="001A4039">
        <w:t>fail[</w:t>
      </w:r>
      <w:proofErr w:type="spellStart"/>
      <w:r w:rsidRPr="001A4039">
        <w:t>ing</w:t>
      </w:r>
      <w:proofErr w:type="spellEnd"/>
      <w:r w:rsidRPr="001A4039">
        <w:t>] to perform the mandatory</w:t>
      </w:r>
      <w:r>
        <w:t xml:space="preserve"> </w:t>
      </w:r>
      <w:r w:rsidRPr="001A4039">
        <w:t>action of ordering the fire department connection (FDC) standpipe/sprinklers to</w:t>
      </w:r>
      <w:r>
        <w:t xml:space="preserve"> </w:t>
      </w:r>
      <w:r w:rsidRPr="001A4039">
        <w:t>be fed and miss[</w:t>
      </w:r>
      <w:proofErr w:type="spellStart"/>
      <w:r w:rsidRPr="001A4039">
        <w:t>ing</w:t>
      </w:r>
      <w:proofErr w:type="spellEnd"/>
      <w:r w:rsidRPr="001A4039">
        <w:t>] a number of additional opportunities, including, in part, the</w:t>
      </w:r>
      <w:r>
        <w:t xml:space="preserve"> </w:t>
      </w:r>
      <w:r w:rsidRPr="001A4039">
        <w:t>opportunity to ensure fire doors are properly controlled.</w:t>
      </w:r>
      <w:r>
        <w:t xml:space="preserve">’ … </w:t>
      </w:r>
      <w:r w:rsidRPr="002D4B7E">
        <w:t xml:space="preserve">In challenging his score, Morton disputed the validity of </w:t>
      </w:r>
      <w:r>
        <w:t>‘</w:t>
      </w:r>
      <w:r w:rsidRPr="002D4B7E">
        <w:t>requiring the</w:t>
      </w:r>
    </w:p>
    <w:p w14:paraId="0E199603" w14:textId="77777777" w:rsidR="003E2FC8" w:rsidRDefault="003E2FC8" w:rsidP="003E2FC8">
      <w:pPr>
        <w:pStyle w:val="NoSpacing"/>
        <w:rPr>
          <w:bCs/>
        </w:rPr>
      </w:pPr>
      <w:r w:rsidRPr="002D4B7E">
        <w:t>first due engine to always feed the FDC as a mandatory response.</w:t>
      </w:r>
      <w:r>
        <w:t xml:space="preserve">’ … </w:t>
      </w:r>
      <w:r w:rsidRPr="00227F13">
        <w:t>We discern no due process violation in the</w:t>
      </w:r>
      <w:r>
        <w:t xml:space="preserve"> </w:t>
      </w:r>
      <w:r w:rsidRPr="00227F13">
        <w:t>Commission's not entertaining oral argument</w:t>
      </w:r>
      <w:r>
        <w:t xml:space="preserve">…. </w:t>
      </w:r>
      <w:r w:rsidRPr="003120EB">
        <w:t>Here, Morton does not dispute he had the ability to review his oral</w:t>
      </w:r>
      <w:r>
        <w:t xml:space="preserve"> </w:t>
      </w:r>
      <w:r w:rsidRPr="003120EB">
        <w:t>examination. Additionally, both Morton's merits brief and the Commission's</w:t>
      </w:r>
      <w:r>
        <w:t xml:space="preserve"> </w:t>
      </w:r>
      <w:r w:rsidRPr="003120EB">
        <w:t>written decision refer extensively to Morton's responses and the PCAs he</w:t>
      </w:r>
      <w:r>
        <w:t xml:space="preserve"> </w:t>
      </w:r>
      <w:r w:rsidRPr="003120EB">
        <w:t>missed. We perceive no basis to conclude Morton was denied adequate</w:t>
      </w:r>
      <w:r>
        <w:t xml:space="preserve"> </w:t>
      </w:r>
      <w:r w:rsidRPr="003120EB">
        <w:t>opportunity to review his oral examination results prior to his appeal.</w:t>
      </w:r>
      <w:r>
        <w:t>”</w:t>
      </w:r>
    </w:p>
    <w:p w14:paraId="069CB92D" w14:textId="77777777" w:rsidR="003E2FC8" w:rsidRDefault="003E2FC8" w:rsidP="003E2FC8">
      <w:pPr>
        <w:pStyle w:val="NoSpacing"/>
        <w:rPr>
          <w:bCs/>
        </w:rPr>
      </w:pPr>
    </w:p>
    <w:p w14:paraId="45789CC8" w14:textId="77777777" w:rsidR="003E2FC8" w:rsidRPr="00B022EF" w:rsidRDefault="003E2FC8" w:rsidP="003E2FC8">
      <w:pPr>
        <w:pStyle w:val="NoSpacing"/>
        <w:rPr>
          <w:b/>
        </w:rPr>
      </w:pPr>
      <w:r w:rsidRPr="00B022EF">
        <w:rPr>
          <w:b/>
        </w:rPr>
        <w:t xml:space="preserve">Legal lesson learned: </w:t>
      </w:r>
      <w:r>
        <w:rPr>
          <w:b/>
        </w:rPr>
        <w:t xml:space="preserve">The Civil Service Commission can </w:t>
      </w:r>
      <w:proofErr w:type="gramStart"/>
      <w:r>
        <w:rPr>
          <w:b/>
        </w:rPr>
        <w:t>decided</w:t>
      </w:r>
      <w:proofErr w:type="gramEnd"/>
      <w:r>
        <w:rPr>
          <w:b/>
        </w:rPr>
        <w:t xml:space="preserve"> an appeal based on the administrative record; no right to appear before the Commission for oral argument. </w:t>
      </w:r>
    </w:p>
    <w:p w14:paraId="3F238FA7" w14:textId="77777777" w:rsidR="003E2FC8" w:rsidRDefault="003E2FC8" w:rsidP="003E2FC8">
      <w:pPr>
        <w:pStyle w:val="NoSpacing"/>
        <w:rPr>
          <w:b/>
          <w:sz w:val="20"/>
          <w:szCs w:val="20"/>
        </w:rPr>
      </w:pPr>
    </w:p>
    <w:p w14:paraId="524AE231" w14:textId="77777777" w:rsidR="003E2FC8" w:rsidRDefault="003E2FC8" w:rsidP="003E2FC8">
      <w:pPr>
        <w:pStyle w:val="NoSpacing"/>
        <w:rPr>
          <w:b/>
          <w:sz w:val="20"/>
          <w:szCs w:val="20"/>
        </w:rPr>
      </w:pPr>
    </w:p>
    <w:p w14:paraId="2F7B23D2" w14:textId="77777777" w:rsidR="003E2FC8" w:rsidRDefault="003E2FC8" w:rsidP="000636AB">
      <w:pPr>
        <w:rPr>
          <w:rStyle w:val="Hyperlink"/>
          <w:rFonts w:ascii="Arial Black" w:hAnsi="Arial Black"/>
          <w:b/>
          <w:color w:val="auto"/>
          <w:sz w:val="24"/>
          <w:szCs w:val="24"/>
          <w:u w:val="none"/>
        </w:rPr>
      </w:pPr>
    </w:p>
    <w:p w14:paraId="59AC81E1" w14:textId="77777777" w:rsidR="003E2FC8" w:rsidRDefault="003E2FC8" w:rsidP="000636AB">
      <w:pPr>
        <w:rPr>
          <w:rStyle w:val="Hyperlink"/>
          <w:rFonts w:ascii="Arial Black" w:hAnsi="Arial Black"/>
          <w:b/>
          <w:color w:val="auto"/>
          <w:sz w:val="24"/>
          <w:szCs w:val="24"/>
          <w:u w:val="none"/>
        </w:rPr>
      </w:pPr>
    </w:p>
    <w:p w14:paraId="66E319B4" w14:textId="77777777" w:rsidR="003E2FC8" w:rsidRDefault="003E2FC8" w:rsidP="000636AB">
      <w:pPr>
        <w:rPr>
          <w:rStyle w:val="Hyperlink"/>
          <w:rFonts w:ascii="Arial Black" w:hAnsi="Arial Black"/>
          <w:b/>
          <w:color w:val="auto"/>
          <w:sz w:val="24"/>
          <w:szCs w:val="24"/>
          <w:u w:val="none"/>
        </w:rPr>
      </w:pPr>
    </w:p>
    <w:p w14:paraId="0CF9B3D9" w14:textId="49FF6C1B" w:rsidR="009851F6" w:rsidRDefault="00B77E9E" w:rsidP="000636AB">
      <w:pPr>
        <w:rPr>
          <w:rStyle w:val="Hyperlink"/>
          <w:rFonts w:ascii="Arial Black" w:hAnsi="Arial Black"/>
          <w:b/>
          <w:color w:val="auto"/>
          <w:sz w:val="24"/>
          <w:szCs w:val="24"/>
          <w:u w:val="none"/>
        </w:rPr>
      </w:pPr>
      <w:r>
        <w:rPr>
          <w:rStyle w:val="Hyperlink"/>
          <w:rFonts w:ascii="Arial Black" w:hAnsi="Arial Black"/>
          <w:b/>
          <w:color w:val="auto"/>
          <w:sz w:val="24"/>
          <w:szCs w:val="24"/>
          <w:u w:val="none"/>
        </w:rPr>
        <w:t>4-56</w:t>
      </w:r>
    </w:p>
    <w:p w14:paraId="740D796D" w14:textId="77777777" w:rsidR="009851F6" w:rsidRDefault="009851F6" w:rsidP="009851F6">
      <w:pPr>
        <w:pStyle w:val="NoSpacing"/>
        <w:rPr>
          <w:rFonts w:ascii="Arial Black" w:hAnsi="Arial Black"/>
          <w:bCs/>
          <w:sz w:val="28"/>
          <w:szCs w:val="28"/>
        </w:rPr>
      </w:pPr>
      <w:r>
        <w:rPr>
          <w:rFonts w:ascii="Arial Black" w:hAnsi="Arial Black"/>
          <w:sz w:val="28"/>
          <w:szCs w:val="28"/>
        </w:rPr>
        <w:t>WA: 911 DISPATCH – DELAYED NOTIFYING PD</w:t>
      </w:r>
      <w:r>
        <w:rPr>
          <w:rFonts w:ascii="Arial Black" w:hAnsi="Arial Black"/>
          <w:bCs/>
          <w:sz w:val="28"/>
          <w:szCs w:val="28"/>
        </w:rPr>
        <w:t xml:space="preserve"> / VICTIM DIED </w:t>
      </w:r>
    </w:p>
    <w:p w14:paraId="43F83585" w14:textId="77777777" w:rsidR="009851F6" w:rsidRDefault="009851F6" w:rsidP="009851F6">
      <w:pPr>
        <w:pStyle w:val="NoSpacing"/>
        <w:rPr>
          <w:bCs/>
        </w:rPr>
      </w:pPr>
    </w:p>
    <w:p w14:paraId="242A10F3" w14:textId="77777777" w:rsidR="009851F6" w:rsidRDefault="009851F6" w:rsidP="009851F6">
      <w:r>
        <w:t xml:space="preserve">On June 1, 2026, in </w:t>
      </w:r>
      <w:r w:rsidRPr="00DF323C">
        <w:rPr>
          <w:u w:val="single"/>
        </w:rPr>
        <w:t>Tricia Keith Bartlett, as the Personal Representative of the Estate of Amber Mary Keith Tricia v. Valley Communications Center</w:t>
      </w:r>
      <w:r>
        <w:t>, the Court of Appeals of Washington, Division 1 held (3 to 0) that trial court improperly dismissed the estate’s lawsuit. The Court wrote: “</w:t>
      </w:r>
      <w:r w:rsidRPr="00B5497E">
        <w:t>Because the allegations in the complaint are legally sufficient to establish that the special relationship exception to the public duty doctrine applied, the trial court erred in dismissing the Estate's negligence claim.</w:t>
      </w:r>
      <w:r>
        <w:t xml:space="preserve">” </w:t>
      </w:r>
      <w:hyperlink r:id="rId850" w:history="1">
        <w:r w:rsidRPr="00971037">
          <w:rPr>
            <w:rStyle w:val="Hyperlink"/>
          </w:rPr>
          <w:t>https://cases.justia.com/washington/court-of-appeals-division-i/2026-87600-7.pdf?ts=1780339477</w:t>
        </w:r>
      </w:hyperlink>
      <w:r>
        <w:t xml:space="preserve"> </w:t>
      </w:r>
    </w:p>
    <w:p w14:paraId="7CD907C0" w14:textId="77777777" w:rsidR="009851F6" w:rsidRDefault="009851F6" w:rsidP="009851F6">
      <w:pPr>
        <w:rPr>
          <w:b/>
          <w:bCs/>
        </w:rPr>
      </w:pPr>
      <w:r w:rsidRPr="00B5497E">
        <w:rPr>
          <w:b/>
        </w:rPr>
        <w:lastRenderedPageBreak/>
        <w:t>FACTS:</w:t>
      </w:r>
    </w:p>
    <w:p w14:paraId="2D0B49E9" w14:textId="77777777" w:rsidR="009851F6" w:rsidRPr="00B5497E" w:rsidRDefault="009851F6" w:rsidP="009851F6">
      <w:pPr>
        <w:pStyle w:val="NoSpacing"/>
        <w:rPr>
          <w:bCs/>
        </w:rPr>
      </w:pPr>
      <w:r>
        <w:t>“</w:t>
      </w:r>
      <w:r w:rsidRPr="00B5497E">
        <w:t xml:space="preserve">Tricia Keith Bartlett, individually and as the personal representative of Amber Keith's estate, Dean Bartlett, and Jesse Keith (collectively, the Estate) sued Valley Communications Center (VCC) alleging that VCC employees negligently classified the 911 calls from the Ramada Inn, which reported sounds of murder and a violent struggle as a lower priority, placing the call into a </w:t>
      </w:r>
      <w:r>
        <w:t>‘</w:t>
      </w:r>
      <w:r w:rsidRPr="00B5497E">
        <w:t>hold</w:t>
      </w:r>
      <w:r>
        <w:t>’</w:t>
      </w:r>
      <w:r w:rsidRPr="00B5497E">
        <w:t xml:space="preserve"> status and resulting in a delayed emergency response and Keith's death. The Estate asserted a negligence claim and a negligent supervision and training claim. The trial court dismissed the complaint under CR 12(b)(6), and the Estate appeals. </w:t>
      </w:r>
    </w:p>
    <w:p w14:paraId="251F3E8C" w14:textId="77777777" w:rsidR="009851F6" w:rsidRDefault="009851F6" w:rsidP="009851F6">
      <w:pPr>
        <w:pStyle w:val="NoSpacing"/>
        <w:rPr>
          <w:bCs/>
        </w:rPr>
      </w:pPr>
    </w:p>
    <w:p w14:paraId="3AAF3E9A" w14:textId="77777777" w:rsidR="009851F6" w:rsidRDefault="009851F6" w:rsidP="009851F6">
      <w:pPr>
        <w:pStyle w:val="NoSpacing"/>
        <w:rPr>
          <w:bCs/>
        </w:rPr>
      </w:pPr>
      <w:r>
        <w:t>***</w:t>
      </w:r>
    </w:p>
    <w:p w14:paraId="70016732" w14:textId="77777777" w:rsidR="009851F6" w:rsidRPr="00AE62E6" w:rsidRDefault="009851F6" w:rsidP="009851F6">
      <w:pPr>
        <w:pStyle w:val="NoSpacing"/>
        <w:rPr>
          <w:bCs/>
        </w:rPr>
      </w:pPr>
      <w:r w:rsidRPr="00AE62E6">
        <w:t xml:space="preserve">On June 14, 2021, Keith was the sole registered occupant in room 214 at the Ramada Inn in Kent, Washington. At around 10:30 a.m., the hotel's housekeeper Rosa Yolanda Diaz Pacheco was cleaning room 212 when she heard sounds of a violent struggle from room 214. Other occupants on the floor also heard disturbing and violent sounds coming from room 214. </w:t>
      </w:r>
    </w:p>
    <w:p w14:paraId="00E0CD6C" w14:textId="77777777" w:rsidR="009851F6" w:rsidRDefault="009851F6" w:rsidP="009851F6">
      <w:pPr>
        <w:pStyle w:val="NoSpacing"/>
        <w:rPr>
          <w:bCs/>
        </w:rPr>
      </w:pPr>
      <w:r w:rsidRPr="00AE62E6">
        <w:t>         </w:t>
      </w:r>
    </w:p>
    <w:p w14:paraId="4B355D35" w14:textId="77777777" w:rsidR="009851F6" w:rsidRPr="00AE62E6" w:rsidRDefault="009851F6" w:rsidP="009851F6">
      <w:pPr>
        <w:pStyle w:val="NoSpacing"/>
        <w:rPr>
          <w:bCs/>
        </w:rPr>
      </w:pPr>
      <w:r w:rsidRPr="00AE62E6">
        <w:t xml:space="preserve">Pacheco ran to the front desk to alert security officer Phillip Eugene Roush. Roush's job was to provide security services for the employees and guests at the Ramada Inn. The area had been plagued with violence and crime. </w:t>
      </w:r>
    </w:p>
    <w:p w14:paraId="5945A434" w14:textId="77777777" w:rsidR="009851F6" w:rsidRDefault="009851F6" w:rsidP="009851F6">
      <w:pPr>
        <w:pStyle w:val="NoSpacing"/>
        <w:rPr>
          <w:bCs/>
        </w:rPr>
      </w:pPr>
      <w:r w:rsidRPr="00AE62E6">
        <w:t>        </w:t>
      </w:r>
    </w:p>
    <w:p w14:paraId="5FB93E0C" w14:textId="77777777" w:rsidR="009851F6" w:rsidRDefault="009851F6" w:rsidP="009851F6">
      <w:pPr>
        <w:pStyle w:val="NoSpacing"/>
        <w:rPr>
          <w:bCs/>
        </w:rPr>
      </w:pPr>
      <w:r w:rsidRPr="00AE62E6">
        <w:t xml:space="preserve"> Roush arrived </w:t>
      </w:r>
      <w:proofErr w:type="gramStart"/>
      <w:r w:rsidRPr="00AE62E6">
        <w:t>at</w:t>
      </w:r>
      <w:proofErr w:type="gramEnd"/>
      <w:r w:rsidRPr="00AE62E6">
        <w:t xml:space="preserve"> room 214 and heard screaming and things breaking. Roush heard a female in the room screaming </w:t>
      </w:r>
      <w:r>
        <w:t>‘</w:t>
      </w:r>
      <w:r w:rsidRPr="00AE62E6">
        <w:t>stop choking me,</w:t>
      </w:r>
      <w:r>
        <w:t>’</w:t>
      </w:r>
      <w:r w:rsidRPr="00AE62E6">
        <w:t xml:space="preserve"> </w:t>
      </w:r>
      <w:r>
        <w:t>‘</w:t>
      </w:r>
      <w:r w:rsidRPr="00AE62E6">
        <w:t>stop pushing me,</w:t>
      </w:r>
      <w:r>
        <w:t>’</w:t>
      </w:r>
      <w:r w:rsidRPr="00AE62E6">
        <w:t xml:space="preserve"> and </w:t>
      </w:r>
      <w:r>
        <w:t>‘</w:t>
      </w:r>
      <w:r w:rsidRPr="00AE62E6">
        <w:t>leave me alone.</w:t>
      </w:r>
    </w:p>
    <w:p w14:paraId="608E466C" w14:textId="77777777" w:rsidR="009851F6" w:rsidRPr="00AE62E6" w:rsidRDefault="009851F6" w:rsidP="009851F6">
      <w:pPr>
        <w:pStyle w:val="NoSpacing"/>
        <w:rPr>
          <w:bCs/>
        </w:rPr>
      </w:pPr>
      <w:r w:rsidRPr="00AE62E6">
        <w:t xml:space="preserve"> </w:t>
      </w:r>
    </w:p>
    <w:p w14:paraId="4D3084EF" w14:textId="77777777" w:rsidR="009851F6" w:rsidRDefault="009851F6" w:rsidP="009851F6">
      <w:pPr>
        <w:pStyle w:val="NoSpacing"/>
        <w:rPr>
          <w:bCs/>
        </w:rPr>
      </w:pPr>
      <w:r w:rsidRPr="00AE62E6">
        <w:t xml:space="preserve">After a few minutes, at 10:56 a.m., Roush called the Kent </w:t>
      </w:r>
      <w:proofErr w:type="gramStart"/>
      <w:r w:rsidRPr="00AE62E6">
        <w:t>police</w:t>
      </w:r>
      <w:proofErr w:type="gramEnd"/>
      <w:r w:rsidRPr="00AE62E6">
        <w:t xml:space="preserve"> nonemergency phone number. This connected him with an employee of VCC (VCC Employee 1). Roush told VCC Employee 1 that it sounded like someone </w:t>
      </w:r>
      <w:proofErr w:type="gramStart"/>
      <w:r w:rsidRPr="00AE62E6">
        <w:t>was getting</w:t>
      </w:r>
      <w:proofErr w:type="gramEnd"/>
      <w:r w:rsidRPr="00AE62E6">
        <w:t xml:space="preserve"> murdered in room 214, and he provided the address. Roush said it was violent, like a 911 situation, and said, </w:t>
      </w:r>
      <w:r>
        <w:t>‘</w:t>
      </w:r>
      <w:r w:rsidRPr="00AE62E6">
        <w:t>ASAP</w:t>
      </w:r>
      <w:proofErr w:type="gramStart"/>
      <w:r w:rsidRPr="00AE62E6">
        <w:t>.</w:t>
      </w:r>
      <w:proofErr w:type="gramEnd"/>
      <w:r w:rsidRPr="00AE62E6">
        <w:t xml:space="preserve"> ASAP. Cause somebody's getting murdered over here.</w:t>
      </w:r>
      <w:r>
        <w:t>’</w:t>
      </w:r>
      <w:r w:rsidRPr="00AE62E6">
        <w:t xml:space="preserve"> Roush stated that he did not know who was in the room, but there had been a </w:t>
      </w:r>
      <w:r>
        <w:t>‘</w:t>
      </w:r>
      <w:r w:rsidRPr="00AE62E6">
        <w:t xml:space="preserve">bunch of </w:t>
      </w:r>
      <w:proofErr w:type="gramStart"/>
      <w:r w:rsidRPr="00AE62E6">
        <w:t>transients</w:t>
      </w:r>
      <w:r>
        <w:t>’</w:t>
      </w:r>
      <w:proofErr w:type="gramEnd"/>
      <w:r w:rsidRPr="00AE62E6">
        <w:t xml:space="preserve"> coming into the hotel. </w:t>
      </w:r>
    </w:p>
    <w:p w14:paraId="5968ADA6" w14:textId="77777777" w:rsidR="009851F6" w:rsidRDefault="009851F6" w:rsidP="009851F6">
      <w:pPr>
        <w:pStyle w:val="NoSpacing"/>
        <w:rPr>
          <w:bCs/>
        </w:rPr>
      </w:pPr>
    </w:p>
    <w:p w14:paraId="1FDA9791" w14:textId="77777777" w:rsidR="009851F6" w:rsidRPr="00135DF5" w:rsidRDefault="009851F6" w:rsidP="009851F6">
      <w:pPr>
        <w:pStyle w:val="NoSpacing"/>
        <w:rPr>
          <w:bCs/>
        </w:rPr>
      </w:pPr>
      <w:r w:rsidRPr="00135DF5">
        <w:t xml:space="preserve">VCC Employee 1 said that they were dispatching help and that they would get there as quickly as they can. VCC Employee 1 </w:t>
      </w:r>
      <w:proofErr w:type="gramStart"/>
      <w:r w:rsidRPr="00135DF5">
        <w:t>entered into</w:t>
      </w:r>
      <w:proofErr w:type="gramEnd"/>
      <w:r w:rsidRPr="00135DF5">
        <w:t xml:space="preserve"> CAD that Roush reported sounds of domestic violence, assigned it a priority level 2, and noted that Roush thinks transients are in the room and that there were no weapons. Unknown to Roush, the call was placed into a </w:t>
      </w:r>
      <w:r>
        <w:t>‘</w:t>
      </w:r>
      <w:r w:rsidRPr="00135DF5">
        <w:t>hold</w:t>
      </w:r>
      <w:r>
        <w:t>’</w:t>
      </w:r>
      <w:r w:rsidRPr="00135DF5">
        <w:t xml:space="preserve"> status. </w:t>
      </w:r>
    </w:p>
    <w:p w14:paraId="1FF55C7C" w14:textId="77777777" w:rsidR="009851F6" w:rsidRDefault="009851F6" w:rsidP="009851F6">
      <w:pPr>
        <w:pStyle w:val="NoSpacing"/>
        <w:rPr>
          <w:bCs/>
        </w:rPr>
      </w:pPr>
      <w:r w:rsidRPr="00135DF5">
        <w:t>        </w:t>
      </w:r>
    </w:p>
    <w:p w14:paraId="22E9CD7A" w14:textId="77777777" w:rsidR="009851F6" w:rsidRPr="00135DF5" w:rsidRDefault="009851F6" w:rsidP="009851F6">
      <w:pPr>
        <w:pStyle w:val="NoSpacing"/>
        <w:rPr>
          <w:bCs/>
        </w:rPr>
      </w:pPr>
      <w:r w:rsidRPr="00135DF5">
        <w:t xml:space="preserve">At 11:16 a.m., Roush called the nonemergency line once again, but it never connected, so he hung up. At 11:26 a.m., Roush heard more concerning noises and called the nonemergency line for a third time. </w:t>
      </w:r>
    </w:p>
    <w:p w14:paraId="7E7C7F48" w14:textId="77777777" w:rsidR="009851F6" w:rsidRDefault="009851F6" w:rsidP="009851F6">
      <w:pPr>
        <w:pStyle w:val="NoSpacing"/>
        <w:rPr>
          <w:bCs/>
        </w:rPr>
      </w:pPr>
      <w:r w:rsidRPr="00135DF5">
        <w:t>         </w:t>
      </w:r>
    </w:p>
    <w:p w14:paraId="092BF5AE" w14:textId="77777777" w:rsidR="009851F6" w:rsidRPr="00135DF5" w:rsidRDefault="009851F6" w:rsidP="009851F6">
      <w:pPr>
        <w:pStyle w:val="NoSpacing"/>
        <w:rPr>
          <w:bCs/>
        </w:rPr>
      </w:pPr>
      <w:r w:rsidRPr="00135DF5">
        <w:t xml:space="preserve">The third call was answered by another employee (VCC Employee 2). Roush referred to the incident as domestic violence and said he heard heavy breathing and that it was very bad and that he never heard anything like it. VCC Employee 2 said she would let them know that he called back about the time delay and </w:t>
      </w:r>
      <w:proofErr w:type="gramStart"/>
      <w:r w:rsidRPr="00135DF5">
        <w:t>provide</w:t>
      </w:r>
      <w:proofErr w:type="gramEnd"/>
      <w:r w:rsidRPr="00135DF5">
        <w:t xml:space="preserve"> an update. </w:t>
      </w:r>
    </w:p>
    <w:p w14:paraId="767CC5E3" w14:textId="77777777" w:rsidR="009851F6" w:rsidRDefault="009851F6" w:rsidP="009851F6">
      <w:pPr>
        <w:pStyle w:val="NoSpacing"/>
        <w:rPr>
          <w:bCs/>
        </w:rPr>
      </w:pPr>
      <w:r w:rsidRPr="00135DF5">
        <w:t>        </w:t>
      </w:r>
    </w:p>
    <w:p w14:paraId="2BC07FB7" w14:textId="77777777" w:rsidR="009851F6" w:rsidRDefault="009851F6" w:rsidP="009851F6">
      <w:pPr>
        <w:pStyle w:val="NoSpacing"/>
        <w:rPr>
          <w:bCs/>
        </w:rPr>
      </w:pPr>
      <w:r w:rsidRPr="00135DF5">
        <w:t xml:space="preserve"> A VCC employee then contacted the Kent police over radio requesting that they </w:t>
      </w:r>
      <w:proofErr w:type="gramStart"/>
      <w:r w:rsidRPr="00135DF5">
        <w:t>look into</w:t>
      </w:r>
      <w:proofErr w:type="gramEnd"/>
      <w:r w:rsidRPr="00135DF5">
        <w:t xml:space="preserve"> the holding calls to see if they could provide an anticipated reporting time. This employee told the officer that Roush reported domestic violence among transients in the room. The officer asked if the room was vacant, and the employee said it sounds like it. Meanwhile, Roush heard shallow breathing and then silence. </w:t>
      </w:r>
    </w:p>
    <w:p w14:paraId="12F058D7" w14:textId="77777777" w:rsidR="009851F6" w:rsidRDefault="009851F6" w:rsidP="009851F6">
      <w:pPr>
        <w:pStyle w:val="NoSpacing"/>
        <w:rPr>
          <w:bCs/>
        </w:rPr>
      </w:pPr>
    </w:p>
    <w:p w14:paraId="298CDCEA" w14:textId="77777777" w:rsidR="009851F6" w:rsidRDefault="009851F6" w:rsidP="009851F6">
      <w:pPr>
        <w:pStyle w:val="NoSpacing"/>
        <w:rPr>
          <w:bCs/>
        </w:rPr>
      </w:pPr>
      <w:r w:rsidRPr="001F622F">
        <w:t xml:space="preserve">At 11:43 a.m., Philip Lopez placed a call to 911 and was connected to VCC. Lopez was the one in the room with Keith. Lopez stated that he needed an ambulance because his fiancé overdosed on drugs and was not breathing. VCC placed this call into CAD as priority 1. </w:t>
      </w:r>
    </w:p>
    <w:p w14:paraId="1C03C850" w14:textId="77777777" w:rsidR="009851F6" w:rsidRDefault="009851F6" w:rsidP="009851F6">
      <w:pPr>
        <w:pStyle w:val="NoSpacing"/>
        <w:rPr>
          <w:bCs/>
        </w:rPr>
      </w:pPr>
    </w:p>
    <w:p w14:paraId="58286D98" w14:textId="77777777" w:rsidR="009851F6" w:rsidRDefault="009851F6" w:rsidP="009851F6">
      <w:pPr>
        <w:pStyle w:val="NoSpacing"/>
      </w:pPr>
      <w:r w:rsidRPr="007A7AC0">
        <w:t> Within minutes, emergency personnel and officers arrived on the scene and began life saving measures. Keith was pronounced dead. Lopez was arrested and charged with the assault and murder of Keith.</w:t>
      </w:r>
      <w:r>
        <w:t>”</w:t>
      </w:r>
    </w:p>
    <w:p w14:paraId="22013377" w14:textId="77777777" w:rsidR="009851F6" w:rsidRDefault="009851F6" w:rsidP="009851F6">
      <w:pPr>
        <w:pStyle w:val="NoSpacing"/>
      </w:pPr>
    </w:p>
    <w:p w14:paraId="23202E81" w14:textId="77777777" w:rsidR="009851F6" w:rsidRDefault="009851F6" w:rsidP="009851F6">
      <w:pPr>
        <w:pStyle w:val="NoSpacing"/>
        <w:rPr>
          <w:b/>
          <w:bCs/>
        </w:rPr>
      </w:pPr>
      <w:r w:rsidRPr="007A7AC0">
        <w:rPr>
          <w:b/>
        </w:rPr>
        <w:t>COURT HELD:</w:t>
      </w:r>
    </w:p>
    <w:p w14:paraId="24A4CF46" w14:textId="77777777" w:rsidR="009851F6" w:rsidRDefault="009851F6" w:rsidP="009851F6">
      <w:pPr>
        <w:pStyle w:val="NoSpacing"/>
        <w:rPr>
          <w:b/>
          <w:bCs/>
        </w:rPr>
      </w:pPr>
    </w:p>
    <w:p w14:paraId="61B0840C" w14:textId="77777777" w:rsidR="009851F6" w:rsidRDefault="009851F6" w:rsidP="009851F6">
      <w:pPr>
        <w:pStyle w:val="NoSpacing"/>
      </w:pPr>
      <w:r>
        <w:lastRenderedPageBreak/>
        <w:t>“</w:t>
      </w:r>
      <w:r w:rsidRPr="00B966F3">
        <w:t>The Estate argues that it pleaded sufficient facts to establish that the special relationship exception is applicable and met. We agree.</w:t>
      </w:r>
    </w:p>
    <w:p w14:paraId="4BC6B579" w14:textId="77777777" w:rsidR="009851F6" w:rsidRDefault="009851F6" w:rsidP="009851F6">
      <w:pPr>
        <w:pStyle w:val="NoSpacing"/>
      </w:pPr>
    </w:p>
    <w:p w14:paraId="212CB920" w14:textId="77777777" w:rsidR="009851F6" w:rsidRDefault="009851F6" w:rsidP="009851F6">
      <w:pPr>
        <w:pStyle w:val="NoSpacing"/>
      </w:pPr>
      <w:r w:rsidRPr="00857E0B">
        <w:t xml:space="preserve">The special relationship exception allows tort actions for the negligent performance of public duties if the plaintiff can prove that there are circumstances setting their relationship with the government apart from the </w:t>
      </w:r>
      <w:proofErr w:type="gramStart"/>
      <w:r w:rsidRPr="00857E0B">
        <w:t>general public</w:t>
      </w:r>
      <w:proofErr w:type="gramEnd"/>
      <w:r w:rsidRPr="00857E0B">
        <w:t xml:space="preserve">. </w:t>
      </w:r>
      <w:r w:rsidRPr="00857E0B">
        <w:rPr>
          <w:i/>
          <w:iCs/>
        </w:rPr>
        <w:t>Cummins v. Lewis County</w:t>
      </w:r>
      <w:r w:rsidRPr="00857E0B">
        <w:t xml:space="preserve">, 156 Wn.2d 844, 854, 133 P.3d 458 (2006). A special relationship imposing an actionable duty to perform arises between the plaintiff and a government entity when "'(1) there is a direct contact or privity between the public official and the injured plaintiff which sets the latter apart from the general public, and (2) there are express assurances given by a public official, which (3) gives rise to justifiable reliance on the part of the plaintiff.'" </w:t>
      </w:r>
      <w:r w:rsidRPr="00857E0B">
        <w:rPr>
          <w:i/>
          <w:iCs/>
        </w:rPr>
        <w:t>Cummins</w:t>
      </w:r>
      <w:r w:rsidRPr="00857E0B">
        <w:t xml:space="preserve">, 156 Wn.2d at 854 (internal quotation marks omitted) (quoting </w:t>
      </w:r>
      <w:r w:rsidRPr="00857E0B">
        <w:rPr>
          <w:i/>
          <w:iCs/>
        </w:rPr>
        <w:t>Beal v. City of Seattle</w:t>
      </w:r>
      <w:r w:rsidRPr="00857E0B">
        <w:t>, 134 Wn.2d 769, 785, 954 P.2d 237 (1998)).</w:t>
      </w:r>
    </w:p>
    <w:p w14:paraId="4BC6D61E" w14:textId="77777777" w:rsidR="009851F6" w:rsidRDefault="009851F6" w:rsidP="009851F6">
      <w:pPr>
        <w:pStyle w:val="NoSpacing"/>
      </w:pPr>
    </w:p>
    <w:p w14:paraId="26112068" w14:textId="77777777" w:rsidR="009851F6" w:rsidRDefault="009851F6" w:rsidP="009851F6">
      <w:pPr>
        <w:pStyle w:val="NoSpacing"/>
      </w:pPr>
      <w:r>
        <w:t>***</w:t>
      </w:r>
    </w:p>
    <w:p w14:paraId="7A14F1A5" w14:textId="77777777" w:rsidR="009851F6" w:rsidRPr="00933C46" w:rsidRDefault="009851F6" w:rsidP="009851F6">
      <w:pPr>
        <w:pStyle w:val="NoSpacing"/>
      </w:pPr>
      <w:r w:rsidRPr="00933C46">
        <w:t xml:space="preserve">Here, Roush called VCC two times after the first call when police still had not arrived and he still heard violent sounds from the room. Roush kept his ear up against the door because </w:t>
      </w:r>
      <w:r>
        <w:t>‘</w:t>
      </w:r>
      <w:r w:rsidRPr="00933C46">
        <w:t>he was trying to save Ms. Keith's life.</w:t>
      </w:r>
      <w:r>
        <w:t>’</w:t>
      </w:r>
      <w:r w:rsidRPr="00933C46">
        <w:t xml:space="preserve"> It is also hypothetically conceivable that Roush did not take other action because he believed that emergency assistance was on the way or that Roush informed Keith that help was coming or induced other people not to call 911 because they were on the way. We hold that a plaintiff must prove that justifiable reliance existed by the person to whom the express assurance was given. Therefore, in this case, it was sufficient for the Estate to demonstrate that Roush relied on VCC's express assurance. </w:t>
      </w:r>
    </w:p>
    <w:p w14:paraId="10874C2B" w14:textId="77777777" w:rsidR="009851F6" w:rsidRDefault="009851F6" w:rsidP="009851F6">
      <w:pPr>
        <w:pStyle w:val="NoSpacing"/>
      </w:pPr>
      <w:r w:rsidRPr="00933C46">
        <w:t>         </w:t>
      </w:r>
    </w:p>
    <w:p w14:paraId="3181BF99" w14:textId="77777777" w:rsidR="009851F6" w:rsidRDefault="009851F6" w:rsidP="009851F6">
      <w:pPr>
        <w:pStyle w:val="NoSpacing"/>
      </w:pPr>
      <w:r w:rsidRPr="00933C46">
        <w:t>For these reasons, we reverse the trial court's dismissal of the Estate's negligence claim.</w:t>
      </w:r>
      <w:r>
        <w:t>”</w:t>
      </w:r>
    </w:p>
    <w:p w14:paraId="59A03057" w14:textId="77777777" w:rsidR="009851F6" w:rsidRDefault="009851F6" w:rsidP="009851F6">
      <w:pPr>
        <w:pStyle w:val="NoSpacing"/>
      </w:pPr>
    </w:p>
    <w:p w14:paraId="716B58B0" w14:textId="77777777" w:rsidR="009851F6" w:rsidRPr="00C34465" w:rsidRDefault="009851F6" w:rsidP="009851F6">
      <w:pPr>
        <w:pStyle w:val="NoSpacing"/>
        <w:rPr>
          <w:b/>
          <w:bCs/>
        </w:rPr>
      </w:pPr>
      <w:r w:rsidRPr="00C34465">
        <w:rPr>
          <w:b/>
        </w:rPr>
        <w:t xml:space="preserve">Legal lesson learned: </w:t>
      </w:r>
      <w:r>
        <w:rPr>
          <w:b/>
        </w:rPr>
        <w:t xml:space="preserve">The case will now proceed; unfortunate dispatch error. </w:t>
      </w:r>
    </w:p>
    <w:p w14:paraId="3E364509" w14:textId="77777777" w:rsidR="009851F6" w:rsidRPr="00B966F3" w:rsidRDefault="009851F6" w:rsidP="009851F6">
      <w:pPr>
        <w:pStyle w:val="NoSpacing"/>
      </w:pPr>
    </w:p>
    <w:p w14:paraId="456F7DDD" w14:textId="77777777" w:rsidR="009851F6" w:rsidRDefault="009851F6" w:rsidP="000636AB">
      <w:pPr>
        <w:rPr>
          <w:rStyle w:val="Hyperlink"/>
          <w:rFonts w:ascii="Arial Black" w:hAnsi="Arial Black"/>
          <w:b/>
          <w:color w:val="auto"/>
          <w:sz w:val="24"/>
          <w:szCs w:val="24"/>
          <w:u w:val="none"/>
        </w:rPr>
      </w:pPr>
    </w:p>
    <w:p w14:paraId="66696325" w14:textId="77777777" w:rsidR="009851F6" w:rsidRDefault="009851F6" w:rsidP="000636AB">
      <w:pPr>
        <w:rPr>
          <w:rStyle w:val="Hyperlink"/>
          <w:rFonts w:ascii="Arial Black" w:hAnsi="Arial Black"/>
          <w:b/>
          <w:color w:val="auto"/>
          <w:sz w:val="24"/>
          <w:szCs w:val="24"/>
          <w:u w:val="none"/>
        </w:rPr>
      </w:pPr>
    </w:p>
    <w:p w14:paraId="096A9889" w14:textId="613C6E89" w:rsidR="001E2F50" w:rsidRDefault="00460471" w:rsidP="000636AB">
      <w:pPr>
        <w:rPr>
          <w:rStyle w:val="Hyperlink"/>
          <w:rFonts w:ascii="Arial Black" w:hAnsi="Arial Black"/>
          <w:b/>
          <w:color w:val="auto"/>
          <w:sz w:val="24"/>
          <w:szCs w:val="24"/>
          <w:u w:val="none"/>
        </w:rPr>
      </w:pPr>
      <w:r>
        <w:rPr>
          <w:rStyle w:val="Hyperlink"/>
          <w:rFonts w:ascii="Arial Black" w:hAnsi="Arial Black"/>
          <w:b/>
          <w:color w:val="auto"/>
          <w:sz w:val="24"/>
          <w:szCs w:val="24"/>
          <w:u w:val="none"/>
        </w:rPr>
        <w:t>4-55</w:t>
      </w:r>
    </w:p>
    <w:p w14:paraId="1FB97022" w14:textId="77777777" w:rsidR="001E2F50" w:rsidRPr="00EA06B7" w:rsidRDefault="001E2F50" w:rsidP="001E2F50">
      <w:pPr>
        <w:rPr>
          <w:rFonts w:ascii="Arial Black" w:hAnsi="Arial Black"/>
          <w:b/>
          <w:sz w:val="28"/>
          <w:szCs w:val="28"/>
        </w:rPr>
      </w:pPr>
      <w:r>
        <w:rPr>
          <w:rFonts w:ascii="Arial Black" w:hAnsi="Arial Black"/>
          <w:b/>
          <w:sz w:val="28"/>
          <w:szCs w:val="28"/>
        </w:rPr>
        <w:t xml:space="preserve">CT: WIRES CAR – STATE: ELEC. CO. 1-HR RESP TOO SLOW </w:t>
      </w:r>
    </w:p>
    <w:p w14:paraId="280F8B30" w14:textId="77777777" w:rsidR="001E2F50" w:rsidRDefault="001E2F50" w:rsidP="001E2F50">
      <w:pPr>
        <w:pStyle w:val="NoSpacing"/>
      </w:pPr>
      <w:r>
        <w:t xml:space="preserve">On April 28, 2026, in </w:t>
      </w:r>
      <w:r w:rsidRPr="00750929">
        <w:rPr>
          <w:u w:val="single"/>
        </w:rPr>
        <w:t>The Connecticut Light and Power Company v. Public Utilities Regulatory</w:t>
      </w:r>
      <w:r w:rsidRPr="00E1278D">
        <w:rPr>
          <w:u w:val="single"/>
        </w:rPr>
        <w:t xml:space="preserve"> Authority</w:t>
      </w:r>
      <w:r>
        <w:t xml:space="preserve">, the Supreme Court of Connecticut held (7 to 0) that trial court properly dismissed the </w:t>
      </w:r>
    </w:p>
    <w:p w14:paraId="775B8B2C" w14:textId="77777777" w:rsidR="001E2F50" w:rsidRDefault="001E2F50" w:rsidP="001E2F50">
      <w:pPr>
        <w:pStyle w:val="NoSpacing"/>
        <w:rPr>
          <w:b/>
        </w:rPr>
      </w:pPr>
      <w:r>
        <w:t xml:space="preserve">Power Company’s appeal from PURA order that when responding to Priority 1 calls to shut off power, they must shorten response target time from 60 minutes to 30 minutes.  Jan. 17, </w:t>
      </w:r>
      <w:proofErr w:type="gramStart"/>
      <w:r>
        <w:t>2021</w:t>
      </w:r>
      <w:proofErr w:type="gramEnd"/>
      <w:r>
        <w:t xml:space="preserve"> entrapment;  power company notified at </w:t>
      </w:r>
      <w:r w:rsidRPr="008B23AE">
        <w:t xml:space="preserve">2:21 </w:t>
      </w:r>
      <w:proofErr w:type="spellStart"/>
      <w:r w:rsidRPr="008B23AE">
        <w:t>p.m</w:t>
      </w:r>
      <w:proofErr w:type="spellEnd"/>
      <w:r>
        <w:t xml:space="preserve">; power de-energized at 3:31 pm, and two elderly extricated and transported to trauma center. THE COURT WROTE: “In the present case, PURA exercised its supervisory authority under § 16-11 after determining that changes to the plaintiff’s operational practices were necessary in the public interest. In imposing the directive, PURA concluded that the plaintiff’s existing, </w:t>
      </w:r>
      <w:proofErr w:type="gramStart"/>
      <w:r>
        <w:t>sixty minute</w:t>
      </w:r>
      <w:proofErr w:type="gramEnd"/>
      <w:r>
        <w:t xml:space="preserve"> response target was insufficient, reasoning that, although it ‘understands the [plaintiff’s] hesitation with imposing response deadlines, [p]</w:t>
      </w:r>
      <w:proofErr w:type="spellStart"/>
      <w:r>
        <w:t>riority</w:t>
      </w:r>
      <w:proofErr w:type="spellEnd"/>
      <w:r>
        <w:t xml:space="preserve"> 1 events are life-threatening events that require the [plaintiff’s] immediate response . . . .’ Based on the evidence in the record, including the plaintiff’s response time data and the timeline of its response to the Norfolk accident, PURA determined that a response time target of thirty minutes for priority 1 calls was ‘reasonable and appropriate to better protect public safety.’” </w:t>
      </w:r>
    </w:p>
    <w:p w14:paraId="0DF715EB" w14:textId="77777777" w:rsidR="001E2F50" w:rsidRDefault="001E2F50" w:rsidP="001E2F50">
      <w:pPr>
        <w:pStyle w:val="NoSpacing"/>
      </w:pPr>
      <w:r>
        <w:t xml:space="preserve"> </w:t>
      </w:r>
      <w:hyperlink r:id="rId851" w:history="1">
        <w:r w:rsidRPr="007E383F">
          <w:rPr>
            <w:rStyle w:val="Hyperlink"/>
          </w:rPr>
          <w:t>https://www.jud.ct.gov/external/supapp/Cases/AROcr/CR354/CR354.35.pdf</w:t>
        </w:r>
      </w:hyperlink>
    </w:p>
    <w:p w14:paraId="5B108075" w14:textId="77777777" w:rsidR="001E2F50" w:rsidRDefault="001E2F50" w:rsidP="001E2F50">
      <w:pPr>
        <w:pStyle w:val="NoSpacing"/>
      </w:pPr>
    </w:p>
    <w:p w14:paraId="231CE92A" w14:textId="77777777" w:rsidR="001E2F50" w:rsidRDefault="001E2F50" w:rsidP="001E2F50">
      <w:pPr>
        <w:pStyle w:val="NoSpacing"/>
      </w:pPr>
      <w:r>
        <w:t>THE COURT HELD:</w:t>
      </w:r>
    </w:p>
    <w:p w14:paraId="2729AFE0" w14:textId="77777777" w:rsidR="001E2F50" w:rsidRDefault="001E2F50" w:rsidP="001E2F50">
      <w:pPr>
        <w:pStyle w:val="NoSpacing"/>
      </w:pPr>
    </w:p>
    <w:p w14:paraId="054CE006" w14:textId="77777777" w:rsidR="001E2F50" w:rsidRDefault="001E2F50" w:rsidP="001E2F50">
      <w:pPr>
        <w:pStyle w:val="NoSpacing"/>
        <w:ind w:left="720"/>
      </w:pPr>
      <w:r>
        <w:t>“</w:t>
      </w:r>
      <w:r w:rsidRPr="008B23AE">
        <w:t>The record reveals the following relevant facts and procedural history. On January 17, 2023, at approximately</w:t>
      </w:r>
      <w:r>
        <w:t xml:space="preserve"> </w:t>
      </w:r>
      <w:r w:rsidRPr="008B23AE">
        <w:t>2:21 p.m., municipal first responders were dispatched</w:t>
      </w:r>
      <w:r>
        <w:t xml:space="preserve"> </w:t>
      </w:r>
      <w:r w:rsidRPr="008B23AE">
        <w:t>to 599 East Greenwoods Road in Norfolk to respond to</w:t>
      </w:r>
      <w:r>
        <w:t xml:space="preserve"> </w:t>
      </w:r>
      <w:r w:rsidRPr="008B23AE">
        <w:t>a motor vehicle accident (Norfolk accident). The motor</w:t>
      </w:r>
      <w:r>
        <w:t xml:space="preserve"> </w:t>
      </w:r>
      <w:r w:rsidRPr="008B23AE">
        <w:t>vehicle left the roadway and struck a utility pole owned</w:t>
      </w:r>
      <w:r>
        <w:t xml:space="preserve"> </w:t>
      </w:r>
      <w:r w:rsidRPr="008B23AE">
        <w:lastRenderedPageBreak/>
        <w:t>and maintained by the plaintiff. The collision caused the</w:t>
      </w:r>
      <w:r>
        <w:t xml:space="preserve"> </w:t>
      </w:r>
      <w:r w:rsidRPr="008B23AE">
        <w:t>utility pole to break and resulted in downed electrical</w:t>
      </w:r>
      <w:r>
        <w:t xml:space="preserve"> </w:t>
      </w:r>
      <w:r w:rsidRPr="008B23AE">
        <w:t>conductors in the vicinity of the vehicle, entrapping the</w:t>
      </w:r>
      <w:r>
        <w:t xml:space="preserve"> </w:t>
      </w:r>
      <w:r w:rsidRPr="008B23AE">
        <w:t>two elderly occupants of the vehicle. First responders</w:t>
      </w:r>
      <w:r>
        <w:t xml:space="preserve"> arrived at the scene but did not approach the vehicle to extricate the occupants due to the fallen electrical wires. At approximately 2:23 p.m., the plaintiff’s System Operations Center (SOC) received a call on the E-911 municipal emergency line from Litchfield County dispatch notifying the SOC about the accident. This call was designated a priority 1 call and lasted approximately seven minutes. During and immediately after the call, an SOC operator worked to de-energize the area through</w:t>
      </w:r>
    </w:p>
    <w:p w14:paraId="713AE9C5" w14:textId="77777777" w:rsidR="001E2F50" w:rsidRDefault="001E2F50" w:rsidP="001E2F50">
      <w:pPr>
        <w:pStyle w:val="NoSpacing"/>
        <w:ind w:left="720"/>
      </w:pPr>
      <w:r>
        <w:t>remote operation. Once remote de-energization was achieved, the SOC notified Litchfield County dispatch that the area should be de-energized but must nevertheless be treated as energized until one of the plaintiff’s response specialists arrived at the scene and manually tested the wires.</w:t>
      </w:r>
    </w:p>
    <w:p w14:paraId="7C270F1E" w14:textId="77777777" w:rsidR="001E2F50" w:rsidRDefault="001E2F50" w:rsidP="001E2F50">
      <w:pPr>
        <w:pStyle w:val="NoSpacing"/>
      </w:pPr>
    </w:p>
    <w:p w14:paraId="017BE91D" w14:textId="77777777" w:rsidR="001E2F50" w:rsidRDefault="001E2F50" w:rsidP="001E2F50">
      <w:pPr>
        <w:pStyle w:val="NoSpacing"/>
        <w:ind w:left="720"/>
      </w:pPr>
      <w:r>
        <w:t>At the time of the priority 1 call, the plaintiff had four response specialists on duty in its zone encompassing the town of Norfolk. At 2:31 p.m., SOC assigned a response specialist who was located approximately twenty-six miles away from the accident. That specialist acknowledged the dispatch at 2:32 p.m., departed for Norfolk, and arrived at the scene of the accident at 3:17 p.m.  Between 3:17 and 3:30 p.m., the specialist worked with the SOC to successfully identify and de-energize the involved wires. At  approximately 3:31 p.m., the Norfolk Volunteer Fire Department, Inc., began extrication efforts and removed the occupants from the vehicle at approximately 3:44 and 3:47 p.m., respectively. The occupants were then transported to trauma centers.</w:t>
      </w:r>
    </w:p>
    <w:p w14:paraId="09AAB0B7" w14:textId="77777777" w:rsidR="001E2F50" w:rsidRDefault="001E2F50" w:rsidP="001E2F50">
      <w:pPr>
        <w:pStyle w:val="NoSpacing"/>
        <w:ind w:left="720"/>
      </w:pPr>
    </w:p>
    <w:p w14:paraId="744A1247" w14:textId="77777777" w:rsidR="001E2F50" w:rsidRDefault="001E2F50" w:rsidP="001E2F50">
      <w:pPr>
        <w:pStyle w:val="NoSpacing"/>
        <w:ind w:left="720"/>
      </w:pPr>
      <w:r>
        <w:t>***</w:t>
      </w:r>
    </w:p>
    <w:p w14:paraId="58AC232B" w14:textId="77777777" w:rsidR="001E2F50" w:rsidRDefault="001E2F50" w:rsidP="001E2F50">
      <w:pPr>
        <w:pStyle w:val="NoSpacing"/>
        <w:ind w:left="720"/>
      </w:pPr>
      <w:r w:rsidRPr="00027FAC">
        <w:t>Subsequently, on April 6, 2023, PURA conducted a</w:t>
      </w:r>
      <w:r>
        <w:t xml:space="preserve"> </w:t>
      </w:r>
      <w:r w:rsidRPr="00027FAC">
        <w:t>remote evidentiary hearing in which the plaintiff participated</w:t>
      </w:r>
      <w:r>
        <w:t xml:space="preserve">…. On August 9, 2023, PURA issued its final decision, finding that the plaintiff’s actions in response to the Norfolk accident were ‘imprudent’ and resulted in a delayed response. As a result of these findings, PURA directed the plaintiff to adopt a response time target of thirty minutes for all priority 1 calls and to review and revise its accident response and reporting procedures to ensure compliance with state </w:t>
      </w:r>
      <w:proofErr w:type="gramStart"/>
      <w:r>
        <w:t>law.”</w:t>
      </w:r>
      <w:proofErr w:type="gramEnd"/>
    </w:p>
    <w:p w14:paraId="5ECE041B" w14:textId="77777777" w:rsidR="001E2F50" w:rsidRDefault="001E2F50" w:rsidP="001E2F50">
      <w:pPr>
        <w:pStyle w:val="NoSpacing"/>
        <w:ind w:left="720"/>
      </w:pPr>
    </w:p>
    <w:p w14:paraId="208077B2" w14:textId="77777777" w:rsidR="001E2F50" w:rsidRDefault="001E2F50" w:rsidP="001E2F50">
      <w:pPr>
        <w:pStyle w:val="NoSpacing"/>
        <w:rPr>
          <w:b/>
          <w:bCs/>
        </w:rPr>
      </w:pPr>
      <w:r>
        <w:rPr>
          <w:b/>
        </w:rPr>
        <w:t xml:space="preserve">Legal lesson learned: If your local power company has slow response to Priority 1 calls, invite them to present at meeting of FDs; if </w:t>
      </w:r>
      <w:proofErr w:type="gramStart"/>
      <w:r>
        <w:rPr>
          <w:b/>
        </w:rPr>
        <w:t>no</w:t>
      </w:r>
      <w:proofErr w:type="gramEnd"/>
      <w:r>
        <w:rPr>
          <w:b/>
        </w:rPr>
        <w:t xml:space="preserve"> improvement, consider contacting your state utility agency.</w:t>
      </w:r>
    </w:p>
    <w:p w14:paraId="7B7CB31D" w14:textId="77777777" w:rsidR="001E2F50" w:rsidRDefault="001E2F50" w:rsidP="001E2F50">
      <w:pPr>
        <w:pStyle w:val="NoSpacing"/>
        <w:rPr>
          <w:b/>
          <w:bCs/>
        </w:rPr>
      </w:pPr>
    </w:p>
    <w:p w14:paraId="63279151" w14:textId="77777777" w:rsidR="001E2F50" w:rsidRDefault="001E2F50" w:rsidP="000636AB">
      <w:pPr>
        <w:rPr>
          <w:rStyle w:val="Hyperlink"/>
          <w:rFonts w:ascii="Arial Black" w:hAnsi="Arial Black"/>
          <w:b/>
          <w:color w:val="auto"/>
          <w:sz w:val="24"/>
          <w:szCs w:val="24"/>
          <w:u w:val="none"/>
        </w:rPr>
      </w:pPr>
    </w:p>
    <w:p w14:paraId="6A54E7AA" w14:textId="77777777" w:rsidR="001E2F50" w:rsidRDefault="001E2F50" w:rsidP="000636AB">
      <w:pPr>
        <w:rPr>
          <w:rStyle w:val="Hyperlink"/>
          <w:rFonts w:ascii="Arial Black" w:hAnsi="Arial Black"/>
          <w:b/>
          <w:color w:val="auto"/>
          <w:sz w:val="24"/>
          <w:szCs w:val="24"/>
          <w:u w:val="none"/>
        </w:rPr>
      </w:pPr>
    </w:p>
    <w:p w14:paraId="2D653BF2" w14:textId="77777777" w:rsidR="001E2F50" w:rsidRDefault="001E2F50" w:rsidP="000636AB">
      <w:pPr>
        <w:rPr>
          <w:rStyle w:val="Hyperlink"/>
          <w:rFonts w:ascii="Arial Black" w:hAnsi="Arial Black"/>
          <w:b/>
          <w:color w:val="auto"/>
          <w:sz w:val="24"/>
          <w:szCs w:val="24"/>
          <w:u w:val="none"/>
        </w:rPr>
      </w:pPr>
    </w:p>
    <w:p w14:paraId="5AE6CCA6" w14:textId="564843FE" w:rsidR="00440081" w:rsidRDefault="00440081" w:rsidP="000636AB">
      <w:pPr>
        <w:rPr>
          <w:rStyle w:val="Hyperlink"/>
          <w:rFonts w:ascii="Arial Black" w:hAnsi="Arial Black"/>
          <w:b/>
          <w:color w:val="auto"/>
          <w:sz w:val="24"/>
          <w:szCs w:val="24"/>
          <w:u w:val="none"/>
        </w:rPr>
      </w:pPr>
      <w:r>
        <w:rPr>
          <w:rStyle w:val="Hyperlink"/>
          <w:rFonts w:ascii="Arial Black" w:hAnsi="Arial Black"/>
          <w:b/>
          <w:color w:val="auto"/>
          <w:sz w:val="24"/>
          <w:szCs w:val="24"/>
          <w:u w:val="none"/>
        </w:rPr>
        <w:t>4-54</w:t>
      </w:r>
    </w:p>
    <w:p w14:paraId="4B965CEA" w14:textId="77777777" w:rsidR="00CA14CD" w:rsidRDefault="00CA14CD" w:rsidP="00CA14CD">
      <w:pPr>
        <w:pStyle w:val="NoSpacing"/>
        <w:rPr>
          <w:rFonts w:ascii="Arial Black" w:hAnsi="Arial Black"/>
          <w:sz w:val="28"/>
          <w:szCs w:val="28"/>
        </w:rPr>
      </w:pPr>
      <w:r>
        <w:rPr>
          <w:rFonts w:ascii="Arial Black" w:hAnsi="Arial Black"/>
          <w:sz w:val="28"/>
          <w:szCs w:val="28"/>
        </w:rPr>
        <w:t xml:space="preserve">NC: DIESEL SPILL – TRUCKING CO. NOT TOLD TO CLEAN UP </w:t>
      </w:r>
    </w:p>
    <w:p w14:paraId="627760F6" w14:textId="77777777" w:rsidR="00CA14CD" w:rsidRDefault="00CA14CD" w:rsidP="00CA14CD">
      <w:pPr>
        <w:pStyle w:val="NoSpacing"/>
      </w:pPr>
    </w:p>
    <w:p w14:paraId="18CFA30C" w14:textId="77777777" w:rsidR="00CA14CD" w:rsidRDefault="00CA14CD" w:rsidP="00CA14CD">
      <w:pPr>
        <w:pStyle w:val="NoSpacing"/>
      </w:pPr>
      <w:r>
        <w:t xml:space="preserve">On March 18, 2026, in </w:t>
      </w:r>
      <w:r w:rsidRPr="00C80146">
        <w:rPr>
          <w:u w:val="single"/>
        </w:rPr>
        <w:t>William Fulp Wrecker Service, Inc. v. Fishline Trucking, L.L.C</w:t>
      </w:r>
      <w:r>
        <w:t xml:space="preserve">., the </w:t>
      </w:r>
      <w:r w:rsidRPr="001B06FF">
        <w:t>Court of Appeals of North Carolina</w:t>
      </w:r>
      <w:r>
        <w:t xml:space="preserve"> held (3 to 0) that trial court judge properly granted summary judgment to the trucking company; they were billed </w:t>
      </w:r>
      <w:r w:rsidRPr="00DA0AA4">
        <w:t>$289,707.00</w:t>
      </w:r>
      <w:r>
        <w:t xml:space="preserve">by the wrecker service for the </w:t>
      </w:r>
      <w:proofErr w:type="spellStart"/>
      <w:r>
        <w:t>clean up</w:t>
      </w:r>
      <w:proofErr w:type="spellEnd"/>
      <w:r>
        <w:t>, but the plaintiff “performed the remediation at the direction of government agencies,</w:t>
      </w:r>
    </w:p>
    <w:p w14:paraId="70AEC97D" w14:textId="77777777" w:rsidR="00CA14CD" w:rsidRDefault="00CA14CD" w:rsidP="00CA14CD">
      <w:pPr>
        <w:pStyle w:val="NoSpacing"/>
      </w:pPr>
      <w:r>
        <w:t>and the evidence does not indicate defendant requested, authorized, or knowingly accepted the benefit” and the County’s attempts to impose liability for hazardous material spills</w:t>
      </w:r>
    </w:p>
    <w:p w14:paraId="7C74C135" w14:textId="77777777" w:rsidR="00CA14CD" w:rsidRDefault="00CA14CD" w:rsidP="00CA14CD">
      <w:pPr>
        <w:pStyle w:val="NoSpacing"/>
        <w:rPr>
          <w:b/>
        </w:rPr>
      </w:pPr>
      <w:r>
        <w:t xml:space="preserve">from transportation accidents, it exceeds the county’s regulatory authority (only regulates “nonhazardous solid waste”).  </w:t>
      </w:r>
      <w:hyperlink r:id="rId852" w:history="1">
        <w:r w:rsidRPr="001F11D0">
          <w:rPr>
            <w:rStyle w:val="Hyperlink"/>
            <w:b/>
          </w:rPr>
          <w:t>https://appellate.nccourts.org/opinions/?c=2&amp;pdf=44475</w:t>
        </w:r>
      </w:hyperlink>
      <w:r>
        <w:rPr>
          <w:b/>
        </w:rPr>
        <w:t xml:space="preserve"> </w:t>
      </w:r>
    </w:p>
    <w:p w14:paraId="262517C0" w14:textId="77777777" w:rsidR="00CA14CD" w:rsidRDefault="00CA14CD" w:rsidP="00CA14CD">
      <w:pPr>
        <w:pStyle w:val="NoSpacing"/>
      </w:pPr>
    </w:p>
    <w:p w14:paraId="780CE036" w14:textId="77777777" w:rsidR="00CA14CD" w:rsidRPr="00250277" w:rsidRDefault="00CA14CD" w:rsidP="00CA14CD">
      <w:pPr>
        <w:pStyle w:val="NoSpacing"/>
      </w:pPr>
      <w:r>
        <w:t>THE COURT HELD:  “</w:t>
      </w:r>
      <w:r w:rsidRPr="00250277">
        <w:t xml:space="preserve">On 22 August 2017, a tractor-trailer owned by defendant </w:t>
      </w:r>
      <w:proofErr w:type="spellStart"/>
      <w:r w:rsidRPr="00250277">
        <w:t>Finishline</w:t>
      </w:r>
      <w:proofErr w:type="spellEnd"/>
      <w:r w:rsidRPr="00250277">
        <w:t xml:space="preserve"> Trucking,</w:t>
      </w:r>
      <w:r>
        <w:t xml:space="preserve"> </w:t>
      </w:r>
      <w:r w:rsidRPr="00250277">
        <w:t>L.L.C., overturned in Davie County, North Carolina, resulting in a fire and the</w:t>
      </w:r>
    </w:p>
    <w:p w14:paraId="2102720D" w14:textId="77777777" w:rsidR="00CA14CD" w:rsidRPr="00250277" w:rsidRDefault="00CA14CD" w:rsidP="00CA14CD">
      <w:pPr>
        <w:pStyle w:val="NoSpacing"/>
      </w:pPr>
      <w:r w:rsidRPr="00250277">
        <w:t>release of diesel fuel and other automotive fluids. Emergency responders, including</w:t>
      </w:r>
    </w:p>
    <w:p w14:paraId="75DE2F11" w14:textId="77777777" w:rsidR="00CA14CD" w:rsidRDefault="00CA14CD" w:rsidP="00CA14CD">
      <w:pPr>
        <w:pStyle w:val="NoSpacing"/>
      </w:pPr>
      <w:r w:rsidRPr="00250277">
        <w:lastRenderedPageBreak/>
        <w:t xml:space="preserve">the Davie County Fire Marshal’s Office and Emergency Management </w:t>
      </w:r>
      <w:proofErr w:type="gramStart"/>
      <w:r w:rsidRPr="00250277">
        <w:t>Services</w:t>
      </w:r>
      <w:r>
        <w:t xml:space="preserve"> </w:t>
      </w:r>
      <w:r w:rsidRPr="00250277">
        <w:t>(</w:t>
      </w:r>
      <w:r>
        <w:t>‘</w:t>
      </w:r>
      <w:r w:rsidRPr="00250277">
        <w:t>EMS</w:t>
      </w:r>
      <w:r>
        <w:t>’</w:t>
      </w:r>
      <w:r w:rsidRPr="00250277">
        <w:t>)</w:t>
      </w:r>
      <w:proofErr w:type="gramEnd"/>
      <w:r w:rsidRPr="00250277">
        <w:t>, arrived at the scene. Fire Marshal Jerry Myers determined a cleanup was</w:t>
      </w:r>
      <w:r>
        <w:t xml:space="preserve"> </w:t>
      </w:r>
      <w:r w:rsidRPr="00250277">
        <w:t>necessary and contacted plaintiff William Fulp Wrecker Service, Inc. to assist in</w:t>
      </w:r>
      <w:r>
        <w:t xml:space="preserve"> </w:t>
      </w:r>
      <w:r w:rsidRPr="00250277">
        <w:t>containing and remediating the spill. Plaintiff’s work spanned nine days, involving</w:t>
      </w:r>
      <w:r>
        <w:t xml:space="preserve"> </w:t>
      </w:r>
      <w:r w:rsidRPr="00250277">
        <w:t>personnel, equipment, and oversight from the North Carolina Department of</w:t>
      </w:r>
      <w:r>
        <w:t xml:space="preserve"> </w:t>
      </w:r>
      <w:r w:rsidRPr="00250277">
        <w:t xml:space="preserve">Environmental </w:t>
      </w:r>
      <w:proofErr w:type="gramStart"/>
      <w:r w:rsidRPr="00250277">
        <w:t>Quality</w:t>
      </w:r>
      <w:r>
        <w:t xml:space="preserve"> </w:t>
      </w:r>
      <w:r w:rsidRPr="00250277">
        <w:t>(</w:t>
      </w:r>
      <w:r>
        <w:t>‘</w:t>
      </w:r>
      <w:proofErr w:type="gramEnd"/>
      <w:r w:rsidRPr="00250277">
        <w:t>NCDEQ</w:t>
      </w:r>
      <w:r>
        <w:t>’</w:t>
      </w:r>
      <w:r w:rsidRPr="00250277">
        <w:t>) and a geologist who conducted soil and water</w:t>
      </w:r>
      <w:r>
        <w:t xml:space="preserve"> t</w:t>
      </w:r>
      <w:r w:rsidRPr="00250277">
        <w:t>esting</w:t>
      </w:r>
      <w:r>
        <w:t>.</w:t>
      </w:r>
    </w:p>
    <w:p w14:paraId="67C090EA" w14:textId="77777777" w:rsidR="00CA14CD" w:rsidRDefault="00CA14CD" w:rsidP="00CA14CD">
      <w:pPr>
        <w:pStyle w:val="NoSpacing"/>
      </w:pPr>
    </w:p>
    <w:p w14:paraId="61845705" w14:textId="77777777" w:rsidR="00CA14CD" w:rsidRDefault="00CA14CD" w:rsidP="00CA14CD">
      <w:pPr>
        <w:pStyle w:val="NoSpacing"/>
      </w:pPr>
      <w:r>
        <w:t>***</w:t>
      </w:r>
    </w:p>
    <w:p w14:paraId="2D0B37E1" w14:textId="77777777" w:rsidR="00CA14CD" w:rsidRDefault="00CA14CD" w:rsidP="00CA14CD">
      <w:pPr>
        <w:pStyle w:val="NoSpacing"/>
      </w:pPr>
    </w:p>
    <w:p w14:paraId="226B7D25" w14:textId="77777777" w:rsidR="00CA14CD" w:rsidRDefault="00CA14CD" w:rsidP="00CA14CD">
      <w:pPr>
        <w:pStyle w:val="NoSpacing"/>
      </w:pPr>
      <w:r>
        <w:t xml:space="preserve">Plaintiff contends defendant was aware of and accepted the benefit of the cleanup, citing communications between Kent Fulp, plaintiff’s vice president, and an individual he believed to be Edward Garcia, </w:t>
      </w:r>
      <w:proofErr w:type="spellStart"/>
      <w:r>
        <w:t>Finishline’s</w:t>
      </w:r>
      <w:proofErr w:type="spellEnd"/>
      <w:r>
        <w:t xml:space="preserve"> owner. Plaintiff further states defendant’s representative provided insurance details, indicating an expectation that coverage would apply. Plaintiff sent defendant an invoice for </w:t>
      </w:r>
      <w:r w:rsidRPr="0058656B">
        <w:t xml:space="preserve">$289,707.00 on 14 September 2017 but received no </w:t>
      </w:r>
      <w:proofErr w:type="gramStart"/>
      <w:r w:rsidRPr="0058656B">
        <w:t>payment.</w:t>
      </w:r>
      <w:r>
        <w:t>”</w:t>
      </w:r>
      <w:proofErr w:type="gramEnd"/>
    </w:p>
    <w:p w14:paraId="10ACB615" w14:textId="77777777" w:rsidR="00CA14CD" w:rsidRDefault="00CA14CD" w:rsidP="00CA14CD">
      <w:pPr>
        <w:pStyle w:val="NoSpacing"/>
      </w:pPr>
    </w:p>
    <w:p w14:paraId="4CD1FB9A" w14:textId="77777777" w:rsidR="00CA14CD" w:rsidRPr="003A2413" w:rsidRDefault="00CA14CD" w:rsidP="00CA14CD">
      <w:pPr>
        <w:pStyle w:val="NoSpacing"/>
        <w:rPr>
          <w:b/>
          <w:bCs/>
        </w:rPr>
      </w:pPr>
      <w:r w:rsidRPr="003A2413">
        <w:rPr>
          <w:b/>
        </w:rPr>
        <w:t xml:space="preserve">Legal </w:t>
      </w:r>
      <w:proofErr w:type="gramStart"/>
      <w:r w:rsidRPr="003A2413">
        <w:rPr>
          <w:b/>
        </w:rPr>
        <w:t>lesson</w:t>
      </w:r>
      <w:proofErr w:type="gramEnd"/>
      <w:r w:rsidRPr="003A2413">
        <w:rPr>
          <w:b/>
        </w:rPr>
        <w:t xml:space="preserve"> learned: </w:t>
      </w:r>
      <w:r>
        <w:rPr>
          <w:b/>
        </w:rPr>
        <w:t xml:space="preserve">Incident Commander or other government official should directly contact trucking </w:t>
      </w:r>
      <w:proofErr w:type="gramStart"/>
      <w:r>
        <w:rPr>
          <w:b/>
        </w:rPr>
        <w:t>company</w:t>
      </w:r>
      <w:proofErr w:type="gramEnd"/>
      <w:r>
        <w:rPr>
          <w:b/>
        </w:rPr>
        <w:t xml:space="preserve"> and direct them to start clean-up immediately, with the </w:t>
      </w:r>
      <w:r>
        <w:rPr>
          <w:b/>
          <w:bCs/>
        </w:rPr>
        <w:t xml:space="preserve">certified </w:t>
      </w:r>
      <w:r>
        <w:rPr>
          <w:b/>
        </w:rPr>
        <w:t xml:space="preserve">clean-up company of their choice. </w:t>
      </w:r>
    </w:p>
    <w:p w14:paraId="2EAE10B9" w14:textId="77777777" w:rsidR="00CA14CD" w:rsidRDefault="00CA14CD" w:rsidP="00CA14CD">
      <w:pPr>
        <w:pStyle w:val="NoSpacing"/>
        <w:rPr>
          <w:b/>
        </w:rPr>
      </w:pPr>
    </w:p>
    <w:p w14:paraId="2C02F98D" w14:textId="77777777" w:rsidR="00440081" w:rsidRDefault="00440081" w:rsidP="000636AB">
      <w:pPr>
        <w:rPr>
          <w:rStyle w:val="Hyperlink"/>
          <w:rFonts w:ascii="Arial Black" w:hAnsi="Arial Black"/>
          <w:b/>
          <w:color w:val="auto"/>
          <w:sz w:val="24"/>
          <w:szCs w:val="24"/>
          <w:u w:val="none"/>
        </w:rPr>
      </w:pPr>
    </w:p>
    <w:p w14:paraId="0854E534" w14:textId="77777777" w:rsidR="00440081" w:rsidRDefault="00440081" w:rsidP="000636AB">
      <w:pPr>
        <w:rPr>
          <w:rStyle w:val="Hyperlink"/>
          <w:rFonts w:ascii="Arial Black" w:hAnsi="Arial Black"/>
          <w:b/>
          <w:color w:val="auto"/>
          <w:sz w:val="24"/>
          <w:szCs w:val="24"/>
          <w:u w:val="none"/>
        </w:rPr>
      </w:pPr>
    </w:p>
    <w:p w14:paraId="1115E283" w14:textId="77777777" w:rsidR="00440081" w:rsidRDefault="00440081" w:rsidP="000636AB">
      <w:pPr>
        <w:rPr>
          <w:rStyle w:val="Hyperlink"/>
          <w:rFonts w:ascii="Arial Black" w:hAnsi="Arial Black"/>
          <w:b/>
          <w:color w:val="auto"/>
          <w:sz w:val="24"/>
          <w:szCs w:val="24"/>
          <w:u w:val="none"/>
        </w:rPr>
      </w:pPr>
    </w:p>
    <w:p w14:paraId="3332DC0D" w14:textId="3BE9BD74" w:rsidR="00A221FA" w:rsidRDefault="00A221FA" w:rsidP="000636AB">
      <w:pPr>
        <w:rPr>
          <w:rStyle w:val="Hyperlink"/>
          <w:rFonts w:ascii="Arial Black" w:hAnsi="Arial Black"/>
          <w:b/>
          <w:color w:val="auto"/>
          <w:sz w:val="24"/>
          <w:szCs w:val="24"/>
          <w:u w:val="none"/>
        </w:rPr>
      </w:pPr>
      <w:r>
        <w:rPr>
          <w:rStyle w:val="Hyperlink"/>
          <w:rFonts w:ascii="Arial Black" w:hAnsi="Arial Black"/>
          <w:b/>
          <w:color w:val="auto"/>
          <w:sz w:val="24"/>
          <w:szCs w:val="24"/>
          <w:u w:val="none"/>
        </w:rPr>
        <w:t>4-53</w:t>
      </w:r>
    </w:p>
    <w:p w14:paraId="7EEEADF6" w14:textId="77777777" w:rsidR="00A221FA" w:rsidRPr="00627240" w:rsidRDefault="00A221FA" w:rsidP="00A221FA">
      <w:pPr>
        <w:pStyle w:val="NoSpacing"/>
        <w:rPr>
          <w:rFonts w:ascii="Arial Black" w:hAnsi="Arial Black"/>
          <w:b/>
          <w:sz w:val="28"/>
          <w:szCs w:val="28"/>
        </w:rPr>
      </w:pPr>
      <w:r>
        <w:rPr>
          <w:rFonts w:ascii="Arial Black" w:hAnsi="Arial Black"/>
          <w:b/>
          <w:sz w:val="28"/>
          <w:szCs w:val="28"/>
        </w:rPr>
        <w:t>OR: BEACHIE CREEK FIRE – HELICOPTERS – GOV IMMUNITY</w:t>
      </w:r>
    </w:p>
    <w:p w14:paraId="2594C568" w14:textId="77777777" w:rsidR="00A221FA" w:rsidRDefault="00A221FA" w:rsidP="00A221FA">
      <w:pPr>
        <w:pStyle w:val="NoSpacing"/>
        <w:rPr>
          <w:b/>
        </w:rPr>
      </w:pPr>
    </w:p>
    <w:p w14:paraId="5765F72E" w14:textId="77777777" w:rsidR="00A221FA" w:rsidRDefault="00A221FA" w:rsidP="00A221FA">
      <w:pPr>
        <w:pStyle w:val="NoSpacing"/>
        <w:rPr>
          <w:b/>
        </w:rPr>
      </w:pPr>
      <w:r w:rsidRPr="00AC25BF">
        <w:t xml:space="preserve">On February 9, 2026, in </w:t>
      </w:r>
      <w:r w:rsidRPr="00935D72">
        <w:rPr>
          <w:u w:val="single"/>
        </w:rPr>
        <w:t>Freres Timber, Inc., et al. v. United States of America</w:t>
      </w:r>
      <w:r>
        <w:t xml:space="preserve">, </w:t>
      </w:r>
      <w:r w:rsidRPr="00935D72">
        <w:t>United States Court of Appeals for the Ninth Circuit (San Francisco) held (3 to 0</w:t>
      </w:r>
      <w:r>
        <w:t>; unpublished opinion</w:t>
      </w:r>
      <w:r w:rsidRPr="00935D72">
        <w:t>)</w:t>
      </w:r>
      <w:r>
        <w:t xml:space="preserve"> the Forest Service incident commanders have discretion </w:t>
      </w:r>
      <w:r w:rsidRPr="0016057A">
        <w:t>regarding how to use helicopters and how to mount an attack to fight the Beachie Creek fire</w:t>
      </w:r>
      <w:r>
        <w:t xml:space="preserve"> and Forest Service is immune from liability.  </w:t>
      </w:r>
    </w:p>
    <w:p w14:paraId="7DC875BA" w14:textId="77777777" w:rsidR="00A221FA" w:rsidRDefault="00A221FA" w:rsidP="00A221FA">
      <w:pPr>
        <w:pStyle w:val="NoSpacing"/>
        <w:rPr>
          <w:bCs/>
        </w:rPr>
      </w:pPr>
      <w:r w:rsidRPr="00627240">
        <w:t xml:space="preserve">The Beachie Creek Fire began Aug. 16, </w:t>
      </w:r>
      <w:proofErr w:type="gramStart"/>
      <w:r w:rsidRPr="00627240">
        <w:t>2020</w:t>
      </w:r>
      <w:proofErr w:type="gramEnd"/>
      <w:r>
        <w:t xml:space="preserve"> in the</w:t>
      </w:r>
      <w:r w:rsidRPr="00627240">
        <w:t xml:space="preserve"> Willamette National Forest</w:t>
      </w:r>
      <w:r>
        <w:t>, and a “</w:t>
      </w:r>
      <w:r w:rsidRPr="00627240">
        <w:t>historic windstorm</w:t>
      </w:r>
      <w:r>
        <w:t>”</w:t>
      </w:r>
      <w:r w:rsidRPr="00627240">
        <w:t xml:space="preserve"> on Monday, Sept. 7 caused rapid spread west through the Willamette and Mt. Hood National Forests, and adjacent private lands and communities. </w:t>
      </w:r>
      <w:hyperlink r:id="rId853" w:history="1">
        <w:r w:rsidRPr="00627240">
          <w:rPr>
            <w:rStyle w:val="Hyperlink"/>
          </w:rPr>
          <w:t>https://www.fs.usda.gov/r06/willamette/fire/info/beachie-creek-fire</w:t>
        </w:r>
      </w:hyperlink>
      <w:r w:rsidRPr="00627240">
        <w:t xml:space="preserve"> </w:t>
      </w:r>
    </w:p>
    <w:p w14:paraId="0E594E7E" w14:textId="77777777" w:rsidR="00A221FA" w:rsidRDefault="00A221FA" w:rsidP="00A221FA">
      <w:pPr>
        <w:pStyle w:val="NoSpacing"/>
        <w:rPr>
          <w:bCs/>
        </w:rPr>
      </w:pPr>
    </w:p>
    <w:p w14:paraId="1324FD3C" w14:textId="77777777" w:rsidR="00A221FA" w:rsidRDefault="00A221FA" w:rsidP="00A221FA">
      <w:pPr>
        <w:pStyle w:val="NoSpacing"/>
      </w:pPr>
      <w:r>
        <w:t>THE COURT HELD:  “</w:t>
      </w:r>
      <w:r w:rsidRPr="00CA4832">
        <w:t>Freres Timber, Inc. and Freres Lumber Co., Inc. (</w:t>
      </w:r>
      <w:r>
        <w:t>‘</w:t>
      </w:r>
      <w:r w:rsidRPr="00CA4832">
        <w:t>Freres</w:t>
      </w:r>
      <w:r>
        <w:t>’</w:t>
      </w:r>
      <w:r w:rsidRPr="00CA4832">
        <w:t>) appeal the district court's dismissal of their lawsuit asserting Federal Tort Claims Act (</w:t>
      </w:r>
      <w:r>
        <w:t>‘</w:t>
      </w:r>
      <w:r w:rsidRPr="00CA4832">
        <w:t>FTCA</w:t>
      </w:r>
      <w:r>
        <w:t>’</w:t>
      </w:r>
      <w:r w:rsidRPr="00CA4832">
        <w:t>) claims against the United States Forest Service (</w:t>
      </w:r>
      <w:r>
        <w:t>‘</w:t>
      </w:r>
      <w:r w:rsidRPr="00CA4832">
        <w:t>Forest Service</w:t>
      </w:r>
      <w:r>
        <w:t>’</w:t>
      </w:r>
      <w:r w:rsidRPr="00CA4832">
        <w:t xml:space="preserve">) for its negligent handling of the Beachie Creek fire. Freres also appeals the district court's denial of </w:t>
      </w:r>
      <w:proofErr w:type="spellStart"/>
      <w:r w:rsidRPr="00CA4832">
        <w:t>Freres's</w:t>
      </w:r>
      <w:proofErr w:type="spellEnd"/>
      <w:r w:rsidRPr="00CA4832">
        <w:t xml:space="preserve"> request for jurisdictional discovery. We have jurisdiction under 28 U.S.C. § 1291. We affirm.</w:t>
      </w:r>
      <w:r>
        <w:t xml:space="preserve"> ***  [T]he </w:t>
      </w:r>
    </w:p>
    <w:p w14:paraId="0D13A8E3" w14:textId="77777777" w:rsidR="00A221FA" w:rsidRDefault="00A221FA" w:rsidP="00A221FA">
      <w:pPr>
        <w:pStyle w:val="NoSpacing"/>
      </w:pPr>
      <w:r w:rsidRPr="0016057A">
        <w:t xml:space="preserve">Forest Service's decisions regarding how to use helicopters and how to mount an attack to fight the Beachie Creek fire were discretionary because they involved </w:t>
      </w:r>
      <w:r>
        <w:t>‘</w:t>
      </w:r>
      <w:r w:rsidRPr="0016057A">
        <w:t>an element of judgment or choice.</w:t>
      </w:r>
      <w:r>
        <w:t xml:space="preserve">’ … </w:t>
      </w:r>
      <w:r w:rsidRPr="0016057A">
        <w:t xml:space="preserve">The Forest Service Manual gives broad discretion to the Forest Service to make decisions based on the circumstances of each fire. And Freres does not point to any </w:t>
      </w:r>
      <w:r>
        <w:t>‘</w:t>
      </w:r>
      <w:r w:rsidRPr="0016057A">
        <w:t>federal statute, regulation, or policy [that] specifically prescribes a course of action</w:t>
      </w:r>
      <w:r>
        <w:t>’</w:t>
      </w:r>
      <w:r w:rsidRPr="0016057A">
        <w:t xml:space="preserve"> that the Forest Service must adhere to when fighting a forest fire</w:t>
      </w:r>
      <w:r>
        <w:t xml:space="preserve">…. </w:t>
      </w:r>
      <w:r w:rsidRPr="0016057A">
        <w:t xml:space="preserve">Therefore, determining a fire suppression plan and utilizing available resources inherently involves </w:t>
      </w:r>
      <w:proofErr w:type="gramStart"/>
      <w:r w:rsidRPr="0016057A">
        <w:t>discretion.</w:t>
      </w:r>
      <w:r>
        <w:t>”</w:t>
      </w:r>
      <w:proofErr w:type="gramEnd"/>
    </w:p>
    <w:p w14:paraId="4642C7E2" w14:textId="77777777" w:rsidR="00A221FA" w:rsidRDefault="00A221FA" w:rsidP="00A221FA">
      <w:pPr>
        <w:pStyle w:val="NoSpacing"/>
      </w:pPr>
    </w:p>
    <w:p w14:paraId="0AFB0485" w14:textId="77777777" w:rsidR="00A221FA" w:rsidRPr="00836C0E" w:rsidRDefault="00A221FA" w:rsidP="00A221FA">
      <w:pPr>
        <w:pStyle w:val="NoSpacing"/>
        <w:rPr>
          <w:b/>
          <w:bCs/>
        </w:rPr>
      </w:pPr>
      <w:r>
        <w:rPr>
          <w:b/>
        </w:rPr>
        <w:t>Legal lesson learned: Governmental immunity for discretionary decisions by Forest Service incident commanders.</w:t>
      </w:r>
    </w:p>
    <w:p w14:paraId="5AE90681" w14:textId="77777777" w:rsidR="00A221FA" w:rsidRDefault="00A221FA" w:rsidP="00A221FA">
      <w:pPr>
        <w:pStyle w:val="NoSpacing"/>
        <w:rPr>
          <w:b/>
        </w:rPr>
      </w:pPr>
    </w:p>
    <w:p w14:paraId="38AB78CD" w14:textId="77777777" w:rsidR="00A221FA" w:rsidRDefault="00A221FA" w:rsidP="00A221FA">
      <w:pPr>
        <w:pStyle w:val="NoSpacing"/>
        <w:ind w:left="720"/>
        <w:rPr>
          <w:b/>
        </w:rPr>
      </w:pPr>
      <w:r w:rsidRPr="00E838D0">
        <w:t xml:space="preserve">Note: See </w:t>
      </w:r>
      <w:r>
        <w:t xml:space="preserve">Forest Service </w:t>
      </w:r>
      <w:r w:rsidRPr="00E838D0">
        <w:t>pictures of the fire.</w:t>
      </w:r>
      <w:r>
        <w:rPr>
          <w:b/>
        </w:rPr>
        <w:t xml:space="preserve"> </w:t>
      </w:r>
      <w:hyperlink r:id="rId854" w:history="1">
        <w:r w:rsidRPr="00C72C21">
          <w:rPr>
            <w:rStyle w:val="Hyperlink"/>
            <w:b/>
          </w:rPr>
          <w:t>https://www.fs.usda.gov/r06/willamette/fire/info/beachie-creek-fire</w:t>
        </w:r>
      </w:hyperlink>
      <w:r>
        <w:rPr>
          <w:b/>
        </w:rPr>
        <w:t xml:space="preserve"> </w:t>
      </w:r>
    </w:p>
    <w:p w14:paraId="06AB9137" w14:textId="77777777" w:rsidR="00A221FA" w:rsidRDefault="00A221FA" w:rsidP="000636AB">
      <w:pPr>
        <w:rPr>
          <w:rStyle w:val="Hyperlink"/>
          <w:rFonts w:ascii="Arial Black" w:hAnsi="Arial Black"/>
          <w:b/>
          <w:color w:val="auto"/>
          <w:sz w:val="24"/>
          <w:szCs w:val="24"/>
          <w:u w:val="none"/>
        </w:rPr>
      </w:pPr>
    </w:p>
    <w:p w14:paraId="03E06C9A" w14:textId="77777777" w:rsidR="00A221FA" w:rsidRDefault="00A221FA" w:rsidP="000636AB">
      <w:pPr>
        <w:rPr>
          <w:rStyle w:val="Hyperlink"/>
          <w:rFonts w:ascii="Arial Black" w:hAnsi="Arial Black"/>
          <w:b/>
          <w:color w:val="auto"/>
          <w:sz w:val="24"/>
          <w:szCs w:val="24"/>
          <w:u w:val="none"/>
        </w:rPr>
      </w:pPr>
    </w:p>
    <w:p w14:paraId="1651EF81" w14:textId="77777777" w:rsidR="00A221FA" w:rsidRDefault="00A221FA" w:rsidP="000636AB">
      <w:pPr>
        <w:rPr>
          <w:rStyle w:val="Hyperlink"/>
          <w:rFonts w:ascii="Arial Black" w:hAnsi="Arial Black"/>
          <w:b/>
          <w:color w:val="auto"/>
          <w:sz w:val="24"/>
          <w:szCs w:val="24"/>
          <w:u w:val="none"/>
        </w:rPr>
      </w:pPr>
    </w:p>
    <w:p w14:paraId="787A6B5C" w14:textId="53B3084A" w:rsidR="00EE4CA4" w:rsidRDefault="00EE4CA4" w:rsidP="000636AB">
      <w:pPr>
        <w:rPr>
          <w:rStyle w:val="Hyperlink"/>
          <w:rFonts w:ascii="Arial Black" w:hAnsi="Arial Black"/>
          <w:b/>
          <w:color w:val="auto"/>
          <w:sz w:val="24"/>
          <w:szCs w:val="24"/>
          <w:u w:val="none"/>
        </w:rPr>
      </w:pPr>
      <w:r>
        <w:rPr>
          <w:rStyle w:val="Hyperlink"/>
          <w:rFonts w:ascii="Arial Black" w:hAnsi="Arial Black"/>
          <w:b/>
          <w:color w:val="auto"/>
          <w:sz w:val="24"/>
          <w:szCs w:val="24"/>
          <w:u w:val="none"/>
        </w:rPr>
        <w:t>4-52</w:t>
      </w:r>
    </w:p>
    <w:p w14:paraId="24AF8A65" w14:textId="77777777" w:rsidR="00EE4CA4" w:rsidRPr="00456B6D" w:rsidRDefault="00EE4CA4" w:rsidP="00EE4CA4">
      <w:pPr>
        <w:rPr>
          <w:rFonts w:ascii="Arial Black" w:hAnsi="Arial Black"/>
          <w:sz w:val="28"/>
          <w:szCs w:val="28"/>
        </w:rPr>
      </w:pPr>
      <w:r>
        <w:rPr>
          <w:rFonts w:ascii="Arial Black" w:hAnsi="Arial Black"/>
          <w:sz w:val="28"/>
          <w:szCs w:val="28"/>
        </w:rPr>
        <w:t>MA: CPT NOT PROMOTED – POOR INTERVIEW / DECK GUN</w:t>
      </w:r>
    </w:p>
    <w:p w14:paraId="7D5D031A" w14:textId="77777777" w:rsidR="00EE4CA4" w:rsidRPr="008024F1" w:rsidRDefault="00EE4CA4" w:rsidP="00EE4CA4">
      <w:pPr>
        <w:rPr>
          <w:bCs/>
        </w:rPr>
      </w:pPr>
      <w:r>
        <w:t xml:space="preserve">On November 25, 2025, in </w:t>
      </w:r>
      <w:r w:rsidRPr="002E05C9">
        <w:rPr>
          <w:u w:val="single"/>
        </w:rPr>
        <w:t>Pierre Grenier v. City of Springfield, et al</w:t>
      </w:r>
      <w:r>
        <w:t xml:space="preserve">., U.S. Magistrate Judge Katherine A. Robertson, United State District Court for the District of Massachusetts, granted summary judgment to the City and Fire Commissioner.  Captain Grenier was one of 6 candidates for 5 District Chief positions – promotion interview panel on Jan. 7, </w:t>
      </w:r>
      <w:proofErr w:type="gramStart"/>
      <w:r>
        <w:t>2020</w:t>
      </w:r>
      <w:proofErr w:type="gramEnd"/>
      <w:r>
        <w:t xml:space="preserve">  rated him lowest. The </w:t>
      </w:r>
      <w:proofErr w:type="gramStart"/>
      <w:r>
        <w:t>Captain</w:t>
      </w:r>
      <w:proofErr w:type="gramEnd"/>
      <w:r>
        <w:t xml:space="preserve"> claimed he was not promoted because of his PTSD from three Marine Corps deployments and because of his age (55). THE COURT WROTE: “</w:t>
      </w:r>
      <w:r w:rsidRPr="00107A41">
        <w:t xml:space="preserve">Plaintiff has not pointed to evidence from which a reasonable jury could infer that Plaintiff's disability was a determinative factor in </w:t>
      </w:r>
      <w:r>
        <w:t xml:space="preserve">[Fire Commissioner] </w:t>
      </w:r>
      <w:r w:rsidRPr="00107A41">
        <w:t>Calvi's decision to bypass him for promotion.</w:t>
      </w:r>
      <w:r>
        <w:t xml:space="preserve"> *** </w:t>
      </w:r>
      <w:r w:rsidRPr="00201B47">
        <w:t>Of the six candidates who were interviewed</w:t>
      </w:r>
      <w:r>
        <w:t xml:space="preserve">. </w:t>
      </w:r>
      <w:r w:rsidRPr="00201B47">
        <w:t xml:space="preserve"> Plaintiff received the lowest numerical score (204). </w:t>
      </w:r>
      <w:r>
        <w:t xml:space="preserve"> </w:t>
      </w:r>
      <w:r w:rsidRPr="00201B47">
        <w:t>All the interviewers were consistent in this judgment</w:t>
      </w:r>
      <w:proofErr w:type="gramStart"/>
      <w:r w:rsidRPr="00201B47">
        <w:t>.</w:t>
      </w:r>
      <w:r>
        <w:t>…</w:t>
      </w:r>
      <w:proofErr w:type="gramEnd"/>
      <w:r>
        <w:t xml:space="preserve"> </w:t>
      </w:r>
      <w:r w:rsidRPr="00201B47">
        <w:t>As to the hypothetical fire scene, Plaintiff's answer received a low score from</w:t>
      </w:r>
      <w:r>
        <w:t xml:space="preserve"> [Fire Commissioner]</w:t>
      </w:r>
      <w:r w:rsidRPr="00201B47">
        <w:t xml:space="preserve"> Calvi and the other firefighters on the interview panel</w:t>
      </w:r>
      <w:r>
        <w:t xml:space="preserve">. *** </w:t>
      </w:r>
      <w:r w:rsidRPr="00415CE8">
        <w:t>Plaintiff answered that he would order a deck gun (mainstream) attack from outside the building, a search inside the building from the B and C sides, and the use of hand lines while searching the interior</w:t>
      </w:r>
      <w:r>
        <w:t xml:space="preserve">. </w:t>
      </w:r>
      <w:r w:rsidRPr="00415CE8">
        <w:t>Plaintiff's proposal to use the mainstream repeated the scenario that Calvi had countermanded when he arrived at the Crystal Avenue fire scene</w:t>
      </w:r>
      <w:r>
        <w:t xml:space="preserve"> [</w:t>
      </w:r>
      <w:r w:rsidRPr="00BE736A">
        <w:t>November 5, 2019</w:t>
      </w:r>
      <w:r>
        <w:t xml:space="preserve">]…. </w:t>
      </w:r>
      <w:r w:rsidRPr="00201B47">
        <w:t>Calvi was concerned because Plaintiff's response described the same scenario that worried Calvi when Calvi arrived at the Crystal Avenue fire. Calvi was particularly troubled by Plaintiff's repetition of the dangerous mistake he made at the Crystal Avenue fire, his failure to learn from the coaching that Calvi provided, and the lack of critical thinking skills Plaintiff had displayed during his interview</w:t>
      </w:r>
      <w:r>
        <w:t>….”</w:t>
      </w:r>
      <w:r w:rsidRPr="00201B47">
        <w:t xml:space="preserve"> </w:t>
      </w:r>
      <w:hyperlink r:id="rId855" w:history="1">
        <w:r w:rsidRPr="008024F1">
          <w:rPr>
            <w:rStyle w:val="Hyperlink"/>
          </w:rPr>
          <w:t>https://app.midpage.ai/document/pierre-grenier-v-city-of-11209117?refG=true</w:t>
        </w:r>
      </w:hyperlink>
      <w:r w:rsidRPr="008024F1">
        <w:t xml:space="preserve"> </w:t>
      </w:r>
    </w:p>
    <w:p w14:paraId="744D0869" w14:textId="77777777" w:rsidR="00EE4CA4" w:rsidRDefault="00EE4CA4" w:rsidP="00EE4CA4">
      <w:r>
        <w:t xml:space="preserve"> THE COURT HELD:</w:t>
      </w:r>
    </w:p>
    <w:p w14:paraId="4A4889AC" w14:textId="77777777" w:rsidR="00EE4CA4" w:rsidRDefault="00EE4CA4" w:rsidP="00EE4CA4">
      <w:pPr>
        <w:ind w:left="720"/>
      </w:pPr>
      <w:r>
        <w:t>“</w:t>
      </w:r>
      <w:r w:rsidRPr="0073126F">
        <w:t>Plaintiff appealed Calvi's bypass decision to the Civil Service Commission (</w:t>
      </w:r>
      <w:r>
        <w:t>‘</w:t>
      </w:r>
      <w:r w:rsidRPr="0073126F">
        <w:t>CSC</w:t>
      </w:r>
      <w:r>
        <w:t>’</w:t>
      </w:r>
      <w:r w:rsidRPr="0073126F">
        <w:t>)</w:t>
      </w:r>
      <w:r>
        <w:t xml:space="preserve"> ….</w:t>
      </w:r>
      <w:r w:rsidRPr="0073126F">
        <w:t xml:space="preserve"> The CSC upheld Calvi's decision</w:t>
      </w:r>
      <w:r>
        <w:t xml:space="preserve"> … </w:t>
      </w:r>
      <w:r w:rsidRPr="0073126F">
        <w:t>The Hampden County Superior Court affirmed the CSC's decision; in turn, the Massachusetts Appeals Court affirmed the Superior Court decision</w:t>
      </w:r>
      <w:r>
        <w:t>.</w:t>
      </w:r>
    </w:p>
    <w:p w14:paraId="5BD66A1E" w14:textId="77777777" w:rsidR="00EE4CA4" w:rsidRDefault="00EE4CA4" w:rsidP="00EE4CA4">
      <w:pPr>
        <w:ind w:left="720"/>
      </w:pPr>
      <w:r>
        <w:t>***</w:t>
      </w:r>
    </w:p>
    <w:p w14:paraId="4BB1EA8C" w14:textId="77777777" w:rsidR="00EE4CA4" w:rsidRDefault="00EE4CA4" w:rsidP="00EE4CA4">
      <w:pPr>
        <w:ind w:left="720"/>
      </w:pPr>
      <w:r w:rsidRPr="008A1F2A">
        <w:t>Three candidates who ranked lower than Plaintiff on the Civil Service list - Daley, Marcellin, and Tetreault - bypassed Plaintiff and were promoted</w:t>
      </w:r>
      <w:r>
        <w:t xml:space="preserve">… </w:t>
      </w:r>
      <w:r w:rsidRPr="008A1F2A">
        <w:t>Calvi's January 29, 2020, letter to Plaintiff gave three reasons for the bypass</w:t>
      </w:r>
      <w:r>
        <w:t xml:space="preserve"> … </w:t>
      </w:r>
      <w:r w:rsidRPr="008A1F2A">
        <w:t>that Plaintiff's continuing education was limited to furthering his side job as an electrician</w:t>
      </w:r>
      <w:r>
        <w:t xml:space="preserve"> …</w:t>
      </w:r>
      <w:r w:rsidRPr="008A1F2A">
        <w:t>; that his answer to the hypothetical fire scenario showed his failure to apply his real life experience and the coaching Calvi gave him at the Crystal Avenue fire</w:t>
      </w:r>
      <w:r>
        <w:t xml:space="preserve"> … </w:t>
      </w:r>
      <w:r w:rsidRPr="008A1F2A">
        <w:t>and that Plaintiff's vision for the future of the SFD - no changes necessary - showed a lack of understanding of the department and the ever-changing fire industry</w:t>
      </w:r>
      <w:r>
        <w:t>.”</w:t>
      </w:r>
    </w:p>
    <w:p w14:paraId="037FDB0C" w14:textId="77777777" w:rsidR="00EE4CA4" w:rsidRDefault="00EE4CA4" w:rsidP="00EE4CA4">
      <w:pPr>
        <w:ind w:left="720"/>
      </w:pPr>
      <w:r>
        <w:t>***</w:t>
      </w:r>
    </w:p>
    <w:p w14:paraId="5B031B32" w14:textId="77777777" w:rsidR="00EE4CA4" w:rsidRDefault="00EE4CA4" w:rsidP="00EE4CA4">
      <w:pPr>
        <w:ind w:left="720"/>
      </w:pPr>
      <w:r>
        <w:t>[</w:t>
      </w:r>
      <w:r w:rsidRPr="00415CE8">
        <w:t>C</w:t>
      </w:r>
      <w:r>
        <w:t xml:space="preserve">RYSTAL AVENUE FIRE.] </w:t>
      </w:r>
      <w:r w:rsidRPr="00487D3F">
        <w:t>On November 5, 2019, Plaintiff was acting as a district fire chief when the SFD responded to a house fire at 51 Crystal Avenue</w:t>
      </w:r>
      <w:r>
        <w:t xml:space="preserve">…. </w:t>
      </w:r>
      <w:r w:rsidRPr="00487D3F">
        <w:t>Captain Brian Tetreault, the first ranking officer to arrive at the scene, was in command when Plaintiff arrived</w:t>
      </w:r>
      <w:r>
        <w:t xml:space="preserve"> … </w:t>
      </w:r>
      <w:r w:rsidRPr="00487D3F">
        <w:t xml:space="preserve"> SFD policy directed that an officer who intended to assume command of a fire scene first have a radio or face-to-face conversation with the officer he was relieving before announcing over the radio that he was assuming command</w:t>
      </w:r>
      <w:r>
        <w:t xml:space="preserve"> …. </w:t>
      </w:r>
      <w:r w:rsidRPr="00487D3F">
        <w:t>Plaintiff broadcast that he was in command without speaking to Tetreault in person</w:t>
      </w:r>
      <w:r>
        <w:t xml:space="preserve"> …. </w:t>
      </w:r>
      <w:r w:rsidRPr="00487D3F">
        <w:t xml:space="preserve">As a result, Plaintiff was confused as to whether he or Tetreault was </w:t>
      </w:r>
      <w:r w:rsidRPr="00487D3F">
        <w:lastRenderedPageBreak/>
        <w:t>in command</w:t>
      </w:r>
      <w:r>
        <w:t xml:space="preserve"> …. </w:t>
      </w:r>
      <w:r w:rsidRPr="00487D3F">
        <w:t> Calvi heard about the fire on the radio and responded to Crystal Avenue</w:t>
      </w:r>
      <w:r>
        <w:t xml:space="preserve"> …. </w:t>
      </w:r>
      <w:r w:rsidRPr="00487D3F">
        <w:t xml:space="preserve"> While </w:t>
      </w:r>
      <w:proofErr w:type="spellStart"/>
      <w:r w:rsidRPr="00487D3F">
        <w:t>en</w:t>
      </w:r>
      <w:proofErr w:type="spellEnd"/>
      <w:r w:rsidRPr="00487D3F">
        <w:t xml:space="preserve"> route, Calvi heard Plaintiff's radio announcement that he was at the scene and was taking command</w:t>
      </w:r>
      <w:r>
        <w:t>….</w:t>
      </w:r>
      <w:r w:rsidRPr="00487D3F">
        <w:t xml:space="preserve"> When Calvi arrived, he observed water from the mainstream being sprayed on the fire from outside</w:t>
      </w:r>
      <w:r>
        <w:t xml:space="preserve"> …. </w:t>
      </w:r>
      <w:r w:rsidRPr="00487D3F">
        <w:t xml:space="preserve"> The mainstream water spray posed a danger to firefighters who were entering the building </w:t>
      </w:r>
      <w:r>
        <w:t>….</w:t>
      </w:r>
      <w:r w:rsidRPr="00487D3F">
        <w:t xml:space="preserve"> Calvi approached Plaintiff, asked why the mainstream was being used while firefighters were entering the building, and ordered the mainstream to be shut off</w:t>
      </w:r>
      <w:r>
        <w:t>.</w:t>
      </w:r>
    </w:p>
    <w:p w14:paraId="21374414" w14:textId="77777777" w:rsidR="00EE4CA4" w:rsidRDefault="00EE4CA4" w:rsidP="00EE4CA4">
      <w:pPr>
        <w:ind w:left="720"/>
      </w:pPr>
      <w:r>
        <w:t>***</w:t>
      </w:r>
    </w:p>
    <w:p w14:paraId="603B70DB" w14:textId="77777777" w:rsidR="00EE4CA4" w:rsidRDefault="00EE4CA4" w:rsidP="00EE4CA4">
      <w:pPr>
        <w:ind w:left="720"/>
      </w:pPr>
      <w:r>
        <w:t>[No Age Discrimination.] “</w:t>
      </w:r>
      <w:r w:rsidRPr="00833E05">
        <w:t xml:space="preserve">The </w:t>
      </w:r>
      <w:proofErr w:type="gramStart"/>
      <w:r w:rsidRPr="00833E05">
        <w:t>City</w:t>
      </w:r>
      <w:proofErr w:type="gramEnd"/>
      <w:r w:rsidRPr="00833E05">
        <w:t xml:space="preserve"> argues that it did not fill the position with a younger person because two of the five candidates who were promoted are older than Plaintiff</w:t>
      </w:r>
      <w:r>
        <w:t xml:space="preserve">.… </w:t>
      </w:r>
      <w:r w:rsidRPr="00990CF9">
        <w:t xml:space="preserve">The </w:t>
      </w:r>
      <w:proofErr w:type="gramStart"/>
      <w:r w:rsidRPr="00990CF9">
        <w:t>City</w:t>
      </w:r>
      <w:proofErr w:type="gramEnd"/>
      <w:r w:rsidRPr="00990CF9">
        <w:t xml:space="preserve"> has proffered indicia of admissible evidence showing that Plaintiff's interview performance was a legitimate, nondiscriminatory reason for bypassing him for promotion to district fire chief. Plaintiff has failed to marshal evidence that would justify a reasonable jury in concluding that the City's stated reasons for bypassing him were a pretext for age discrimination.</w:t>
      </w:r>
      <w:r>
        <w:t>”</w:t>
      </w:r>
    </w:p>
    <w:p w14:paraId="6365673C" w14:textId="77777777" w:rsidR="00EE4CA4" w:rsidRDefault="00EE4CA4" w:rsidP="00EE4CA4">
      <w:pPr>
        <w:rPr>
          <w:b/>
          <w:bCs/>
        </w:rPr>
      </w:pPr>
      <w:r>
        <w:rPr>
          <w:b/>
        </w:rPr>
        <w:t xml:space="preserve">Legal lesson learned: The City articulated legitimate nondiscriminatory reasons for not promoting the </w:t>
      </w:r>
      <w:proofErr w:type="gramStart"/>
      <w:r>
        <w:rPr>
          <w:b/>
        </w:rPr>
        <w:t>Captain</w:t>
      </w:r>
      <w:proofErr w:type="gramEnd"/>
      <w:r>
        <w:rPr>
          <w:b/>
        </w:rPr>
        <w:t xml:space="preserve">; and the Fire Commissioner documented those reasons in a timely letter to the </w:t>
      </w:r>
      <w:proofErr w:type="gramStart"/>
      <w:r>
        <w:rPr>
          <w:b/>
        </w:rPr>
        <w:t>Captain</w:t>
      </w:r>
      <w:proofErr w:type="gramEnd"/>
      <w:r>
        <w:rPr>
          <w:b/>
        </w:rPr>
        <w:t xml:space="preserve">. </w:t>
      </w:r>
    </w:p>
    <w:p w14:paraId="1FB443A7" w14:textId="77777777" w:rsidR="00EE4CA4" w:rsidRDefault="00EE4CA4" w:rsidP="000636AB">
      <w:pPr>
        <w:rPr>
          <w:rStyle w:val="Hyperlink"/>
          <w:rFonts w:ascii="Arial Black" w:hAnsi="Arial Black"/>
          <w:b/>
          <w:color w:val="auto"/>
          <w:sz w:val="24"/>
          <w:szCs w:val="24"/>
          <w:u w:val="none"/>
        </w:rPr>
      </w:pPr>
    </w:p>
    <w:p w14:paraId="08A4A724" w14:textId="77777777" w:rsidR="00EE4CA4" w:rsidRDefault="00EE4CA4" w:rsidP="000636AB">
      <w:pPr>
        <w:rPr>
          <w:rStyle w:val="Hyperlink"/>
          <w:rFonts w:ascii="Arial Black" w:hAnsi="Arial Black"/>
          <w:b/>
          <w:color w:val="auto"/>
          <w:sz w:val="24"/>
          <w:szCs w:val="24"/>
          <w:u w:val="none"/>
        </w:rPr>
      </w:pPr>
    </w:p>
    <w:p w14:paraId="670FF0AE" w14:textId="2137E5DF" w:rsidR="00BF588C" w:rsidRDefault="00BF588C" w:rsidP="000636AB">
      <w:pPr>
        <w:rPr>
          <w:rStyle w:val="Hyperlink"/>
          <w:rFonts w:ascii="Arial Black" w:hAnsi="Arial Black"/>
          <w:b/>
          <w:color w:val="auto"/>
          <w:sz w:val="24"/>
          <w:szCs w:val="24"/>
          <w:u w:val="none"/>
        </w:rPr>
      </w:pPr>
      <w:r>
        <w:rPr>
          <w:rStyle w:val="Hyperlink"/>
          <w:rFonts w:ascii="Arial Black" w:hAnsi="Arial Black"/>
          <w:b/>
          <w:color w:val="auto"/>
          <w:sz w:val="24"/>
          <w:szCs w:val="24"/>
          <w:u w:val="none"/>
        </w:rPr>
        <w:t>4-51</w:t>
      </w:r>
    </w:p>
    <w:p w14:paraId="5BD3C4D9" w14:textId="77777777" w:rsidR="00BF588C" w:rsidRPr="00CD4E8D" w:rsidRDefault="00BF588C" w:rsidP="00BF588C">
      <w:pPr>
        <w:rPr>
          <w:rFonts w:ascii="Arial Black" w:hAnsi="Arial Black"/>
          <w:b/>
          <w:sz w:val="28"/>
          <w:szCs w:val="28"/>
        </w:rPr>
      </w:pPr>
      <w:r>
        <w:rPr>
          <w:rFonts w:ascii="Arial Black" w:hAnsi="Arial Black"/>
          <w:b/>
          <w:sz w:val="28"/>
          <w:szCs w:val="28"/>
        </w:rPr>
        <w:t xml:space="preserve">MT: INCIDENT COMM – WILDFIRE – HOMES AT RISK  </w:t>
      </w:r>
    </w:p>
    <w:p w14:paraId="66338D46" w14:textId="77777777" w:rsidR="00BF588C" w:rsidRDefault="00BF588C" w:rsidP="00BF588C">
      <w:pPr>
        <w:pStyle w:val="NoSpacing"/>
        <w:rPr>
          <w:bCs/>
        </w:rPr>
      </w:pPr>
      <w:r>
        <w:t xml:space="preserve">On Sept. 11, 2025, in </w:t>
      </w:r>
      <w:r w:rsidRPr="009F457C">
        <w:rPr>
          <w:u w:val="single"/>
        </w:rPr>
        <w:t>McDonough Family Land, LP, et al. v. The United States of America</w:t>
      </w:r>
      <w:r>
        <w:t>, Judge Elaine D. Kaplan, United States Court of Federal Claims held, after a</w:t>
      </w:r>
      <w:r w:rsidRPr="000A78CF">
        <w:t xml:space="preserve"> four-day trial on liability in Missoula, Montana in December 2024</w:t>
      </w:r>
      <w:r>
        <w:t xml:space="preserve">, that the government not liable to ranchers for loss of timber and other property.  Massive fire; could not allow it to just burn. </w:t>
      </w:r>
    </w:p>
    <w:p w14:paraId="62BFAB77" w14:textId="77777777" w:rsidR="00BF588C" w:rsidRDefault="00BF588C" w:rsidP="00BF588C">
      <w:pPr>
        <w:pStyle w:val="NoSpacing"/>
        <w:rPr>
          <w:bCs/>
        </w:rPr>
      </w:pPr>
    </w:p>
    <w:p w14:paraId="6E21E9CA" w14:textId="77777777" w:rsidR="00BF588C" w:rsidRDefault="00BF588C" w:rsidP="00BF588C">
      <w:pPr>
        <w:pStyle w:val="NoSpacing"/>
      </w:pPr>
      <w:r w:rsidRPr="007056A2">
        <w:rPr>
          <w:b/>
        </w:rPr>
        <w:t>THE COURT HELD:</w:t>
      </w:r>
      <w:r>
        <w:t xml:space="preserve"> “</w:t>
      </w:r>
      <w:r w:rsidRPr="00CD4E8D">
        <w:t>The Court concludes that the Ranches failed to show that had the government just allowed the fire to take its natural course, their property would not have burned. In fact, both the evidence and common sense are to the contrary.</w:t>
      </w:r>
      <w:r>
        <w:t xml:space="preserve"> </w:t>
      </w:r>
      <w:r w:rsidRPr="00D0042C">
        <w:t xml:space="preserve">The Alice Creek Fire was ignited by a lightning strike. It is indisputable that had there been no firefighting response at all, it would have spread naturally based on the available fuel, weather conditions, and topography. The evidence shows that at the end of August and beginning of September 2017, Montana was experiencing extreme drought conditions. It further shows that the </w:t>
      </w:r>
      <w:proofErr w:type="gramStart"/>
      <w:r w:rsidRPr="00D0042C">
        <w:t>fuels</w:t>
      </w:r>
      <w:proofErr w:type="gramEnd"/>
      <w:r w:rsidRPr="00D0042C">
        <w:t xml:space="preserve"> in the area were dry. There were a series of red flag warning days marked by gusty winds. There were reasons to fear that the winds would cause the fire to spread to the east toward homes and infrastructure, threatening the community of Augusta, Montana</w:t>
      </w:r>
      <w:r>
        <w:t xml:space="preserve">…. </w:t>
      </w:r>
      <w:r w:rsidRPr="00D86C0B">
        <w:t> </w:t>
      </w:r>
      <w:proofErr w:type="gramStart"/>
      <w:r w:rsidRPr="00D86C0B">
        <w:t>On the basis of</w:t>
      </w:r>
      <w:proofErr w:type="gramEnd"/>
      <w:r w:rsidRPr="00D86C0B">
        <w:t xml:space="preserve"> the foregoing, the Clerk is directed to enter judgment for the government.</w:t>
      </w:r>
      <w:r>
        <w:t xml:space="preserve">” </w:t>
      </w:r>
      <w:hyperlink r:id="rId856" w:history="1">
        <w:r w:rsidRPr="008D04E3">
          <w:rPr>
            <w:rStyle w:val="Hyperlink"/>
          </w:rPr>
          <w:t>https://cases.justia.com/federal/district-courts/federal-claims/cofce/1:2020cv00368/40658/107/0.pdf?ts=1757681305</w:t>
        </w:r>
      </w:hyperlink>
      <w:r>
        <w:t xml:space="preserve"> </w:t>
      </w:r>
    </w:p>
    <w:p w14:paraId="2612EA5D" w14:textId="77777777" w:rsidR="00BF588C" w:rsidRDefault="00BF588C" w:rsidP="00BF588C">
      <w:pPr>
        <w:rPr>
          <w:bCs/>
        </w:rPr>
      </w:pPr>
    </w:p>
    <w:p w14:paraId="3EB5AE8D" w14:textId="77777777" w:rsidR="00BF588C" w:rsidRDefault="00BF588C" w:rsidP="00BF588C">
      <w:pPr>
        <w:rPr>
          <w:b/>
        </w:rPr>
      </w:pPr>
      <w:r w:rsidRPr="007056A2">
        <w:rPr>
          <w:b/>
        </w:rPr>
        <w:t xml:space="preserve">KEY FACTS: </w:t>
      </w:r>
    </w:p>
    <w:p w14:paraId="5AF63CF9" w14:textId="77777777" w:rsidR="00BF588C" w:rsidRDefault="00BF588C" w:rsidP="00BF588C">
      <w:pPr>
        <w:pStyle w:val="NoSpacing"/>
        <w:ind w:left="720"/>
      </w:pPr>
      <w:r>
        <w:t>“</w:t>
      </w:r>
      <w:r w:rsidRPr="00AD7913">
        <w:t>Plaintiffs, McDonough Family Land, LP, and Ingersoll Ranch, FLP, (“the Ranches”) own</w:t>
      </w:r>
      <w:r>
        <w:t xml:space="preserve"> </w:t>
      </w:r>
      <w:r w:rsidRPr="00AD7913">
        <w:t>real and personal property in Wolf Creek, Montana. They brought this action under the Fifth</w:t>
      </w:r>
      <w:r>
        <w:t xml:space="preserve"> </w:t>
      </w:r>
      <w:r w:rsidRPr="00AD7913">
        <w:t>Amendment’s Takings Clause to secure compensation for the appropriation of certain range</w:t>
      </w:r>
      <w:r>
        <w:t xml:space="preserve"> </w:t>
      </w:r>
      <w:r w:rsidRPr="00AD7913">
        <w:t>forage and timber, which the government used as fuel to conduct firing operations in response to</w:t>
      </w:r>
      <w:r>
        <w:t xml:space="preserve"> </w:t>
      </w:r>
      <w:r w:rsidRPr="00AD7913">
        <w:t xml:space="preserve">the 2017 Alice Creek Fire. See generally Am. </w:t>
      </w:r>
      <w:proofErr w:type="spellStart"/>
      <w:r w:rsidRPr="00AD7913">
        <w:t>Compl</w:t>
      </w:r>
      <w:proofErr w:type="spellEnd"/>
      <w:r w:rsidRPr="00AD7913">
        <w:t>., ECF No. 36.</w:t>
      </w:r>
    </w:p>
    <w:p w14:paraId="338E0FEC" w14:textId="77777777" w:rsidR="00BF588C" w:rsidRDefault="00BF588C" w:rsidP="00BF588C">
      <w:pPr>
        <w:rPr>
          <w:b/>
        </w:rPr>
      </w:pPr>
    </w:p>
    <w:p w14:paraId="6C05A70D" w14:textId="77777777" w:rsidR="00BF588C" w:rsidRPr="0053239C" w:rsidRDefault="00BF588C" w:rsidP="00BF588C">
      <w:pPr>
        <w:pStyle w:val="NoSpacing"/>
      </w:pPr>
      <w:r>
        <w:lastRenderedPageBreak/>
        <w:tab/>
      </w:r>
      <w:r w:rsidRPr="0053239C">
        <w:t>The firing operations (“intentional burns”) were conducted by the Silver City Hotshots</w:t>
      </w:r>
    </w:p>
    <w:p w14:paraId="2FE68127" w14:textId="77777777" w:rsidR="00BF588C" w:rsidRDefault="00BF588C" w:rsidP="00BF588C">
      <w:pPr>
        <w:pStyle w:val="NoSpacing"/>
        <w:ind w:left="720"/>
      </w:pPr>
      <w:r>
        <w:t>(‘</w:t>
      </w:r>
      <w:r w:rsidRPr="0053239C">
        <w:t>the Hotshots</w:t>
      </w:r>
      <w:r>
        <w:t>’</w:t>
      </w:r>
      <w:r w:rsidRPr="0053239C">
        <w:t>), a highly trained and experienced hand crew that uses intentional burns, among</w:t>
      </w:r>
      <w:r>
        <w:t xml:space="preserve"> </w:t>
      </w:r>
      <w:r w:rsidRPr="0053239C">
        <w:t>other techniques, to suppress the spread of wildfires. The Hotshots were called on to the scene at</w:t>
      </w:r>
      <w:r>
        <w:t xml:space="preserve"> </w:t>
      </w:r>
      <w:r w:rsidRPr="0053239C">
        <w:t>the direction of an incident management team led by Russell (</w:t>
      </w:r>
      <w:r>
        <w:t>‘</w:t>
      </w:r>
      <w:r w:rsidRPr="0053239C">
        <w:t>Russ</w:t>
      </w:r>
      <w:r>
        <w:t>’</w:t>
      </w:r>
      <w:r w:rsidRPr="0053239C">
        <w:t>) Bird, an employee of the</w:t>
      </w:r>
      <w:r>
        <w:t xml:space="preserve"> </w:t>
      </w:r>
      <w:r w:rsidRPr="0053239C">
        <w:t>United States Forest Service (</w:t>
      </w:r>
      <w:r>
        <w:t>‘</w:t>
      </w:r>
      <w:r w:rsidRPr="0053239C">
        <w:t>USFS</w:t>
      </w:r>
      <w:r>
        <w:t>’</w:t>
      </w:r>
      <w:r w:rsidRPr="0053239C">
        <w:t>). See McDonough Fam. Land, LP v. United States, 172</w:t>
      </w:r>
      <w:r>
        <w:t xml:space="preserve"> </w:t>
      </w:r>
      <w:r w:rsidRPr="0053239C">
        <w:t>Fed. Cl. 414, 421 (2024) (</w:t>
      </w:r>
      <w:r>
        <w:t>‘</w:t>
      </w:r>
      <w:r w:rsidRPr="0053239C">
        <w:t>McDonough I</w:t>
      </w:r>
      <w:r>
        <w:t>’</w:t>
      </w:r>
      <w:r w:rsidRPr="0053239C">
        <w:t>) (describing role of incident management team and</w:t>
      </w:r>
      <w:r>
        <w:t xml:space="preserve"> </w:t>
      </w:r>
      <w:r w:rsidRPr="0053239C">
        <w:t>USFS in directing the actions alleged to constitute a taking in this case).</w:t>
      </w:r>
    </w:p>
    <w:p w14:paraId="38F59082" w14:textId="77777777" w:rsidR="00BF588C" w:rsidRDefault="00BF588C" w:rsidP="00BF588C">
      <w:pPr>
        <w:pStyle w:val="NoSpacing"/>
        <w:ind w:left="720"/>
      </w:pPr>
    </w:p>
    <w:p w14:paraId="3FB58ED0" w14:textId="77777777" w:rsidR="00BF588C" w:rsidRDefault="00BF588C" w:rsidP="00BF588C">
      <w:pPr>
        <w:pStyle w:val="NoSpacing"/>
        <w:ind w:left="720"/>
      </w:pPr>
      <w:r>
        <w:t>***</w:t>
      </w:r>
    </w:p>
    <w:p w14:paraId="33349542" w14:textId="77777777" w:rsidR="00BF588C" w:rsidRDefault="00BF588C" w:rsidP="00BF588C">
      <w:pPr>
        <w:pStyle w:val="NoSpacing"/>
        <w:ind w:left="720"/>
      </w:pPr>
      <w:r>
        <w:t>On or around July 22, 2017, a lightning strike ignited the Alice Creek Fire in the Helena-</w:t>
      </w:r>
    </w:p>
    <w:p w14:paraId="034EDAB3" w14:textId="77777777" w:rsidR="00BF588C" w:rsidRDefault="00BF588C" w:rsidP="00BF588C">
      <w:pPr>
        <w:pStyle w:val="NoSpacing"/>
        <w:ind w:left="720"/>
      </w:pPr>
      <w:r>
        <w:t xml:space="preserve">Lewis and Clark National Forest, sixteen miles northeast of Lincoln, Montana. Am. Joint Stip. Of </w:t>
      </w:r>
      <w:proofErr w:type="gramStart"/>
      <w:r>
        <w:t>Facts (‘</w:t>
      </w:r>
      <w:proofErr w:type="gramEnd"/>
      <w:r>
        <w:t>SOF’) ¶ 1, ECF No. 79. The fire was fueled by the severe drought conditions that prevailed in the region that summer. There were also ‘[s]</w:t>
      </w:r>
      <w:proofErr w:type="spellStart"/>
      <w:r>
        <w:t>ignificant</w:t>
      </w:r>
      <w:proofErr w:type="spellEnd"/>
      <w:r>
        <w:t xml:space="preserve"> fuel accumulations from dead </w:t>
      </w:r>
      <w:proofErr w:type="gramStart"/>
      <w:r>
        <w:t>trees’</w:t>
      </w:r>
      <w:proofErr w:type="gramEnd"/>
      <w:r>
        <w:t xml:space="preserve"> which were ‘drier than normal for [that] time of year.’ JX29, at 9, ECF No. 99-27 (Wildland Fire Decision Support System (“WFDSS”) Incident Decision, August 25, 2017).</w:t>
      </w:r>
    </w:p>
    <w:p w14:paraId="0328B0B7" w14:textId="77777777" w:rsidR="00BF588C" w:rsidRDefault="00BF588C" w:rsidP="00BF588C">
      <w:pPr>
        <w:pStyle w:val="NoSpacing"/>
        <w:ind w:left="720"/>
      </w:pPr>
    </w:p>
    <w:p w14:paraId="4B100BFD" w14:textId="77777777" w:rsidR="00BF588C" w:rsidRDefault="00BF588C" w:rsidP="00BF588C">
      <w:pPr>
        <w:pStyle w:val="NoSpacing"/>
        <w:ind w:left="720"/>
      </w:pPr>
      <w:r>
        <w:t>***</w:t>
      </w:r>
    </w:p>
    <w:p w14:paraId="41A8B987" w14:textId="77777777" w:rsidR="00BF588C" w:rsidRDefault="00BF588C" w:rsidP="00BF588C">
      <w:pPr>
        <w:pStyle w:val="NoSpacing"/>
        <w:ind w:left="720"/>
      </w:pPr>
      <w:r>
        <w:t>By September 2, the fire had grown to 11,500 acres, with fire and weather conditions</w:t>
      </w:r>
    </w:p>
    <w:p w14:paraId="00E25354" w14:textId="77777777" w:rsidR="00BF588C" w:rsidRDefault="00BF588C" w:rsidP="00BF588C">
      <w:pPr>
        <w:pStyle w:val="NoSpacing"/>
        <w:ind w:left="720"/>
      </w:pPr>
      <w:r>
        <w:t xml:space="preserve">producing an increased risk of fire danger. SOF ¶¶ 23, 24. Dry strong winds from the west were expected to move the main fire east, JX11, at 5, ECF No. 99-11; spot fires persisted as a concern for additional spread, Tr. 767:22–768:2 (Cornwell). The fire behavior forecast predicted even ‘more active’ fire behavior, with ‘stronger </w:t>
      </w:r>
      <w:proofErr w:type="gramStart"/>
      <w:r>
        <w:t>winds’</w:t>
      </w:r>
      <w:proofErr w:type="gramEnd"/>
      <w:r>
        <w:t xml:space="preserve"> potentially driving even farther spot fire ignitions. JX11, at 5.”</w:t>
      </w:r>
    </w:p>
    <w:p w14:paraId="05A3647B" w14:textId="77777777" w:rsidR="00BF588C" w:rsidRPr="007056A2" w:rsidRDefault="00BF588C" w:rsidP="00BF588C">
      <w:pPr>
        <w:rPr>
          <w:b/>
        </w:rPr>
      </w:pPr>
    </w:p>
    <w:p w14:paraId="6852878B" w14:textId="77777777" w:rsidR="00BF588C" w:rsidRPr="00781F8D" w:rsidRDefault="00BF588C" w:rsidP="00BF588C">
      <w:pPr>
        <w:pStyle w:val="NoSpacing"/>
        <w:rPr>
          <w:b/>
          <w:bCs/>
        </w:rPr>
      </w:pPr>
      <w:r>
        <w:rPr>
          <w:b/>
        </w:rPr>
        <w:t>Legal lesson learned:  Incident commanders with U.S. Forest Service kept detailed records of fire growth, and their efforts to save property.</w:t>
      </w:r>
    </w:p>
    <w:p w14:paraId="4126C20F" w14:textId="77777777" w:rsidR="00BF588C" w:rsidRDefault="00BF588C" w:rsidP="00BF588C">
      <w:pPr>
        <w:rPr>
          <w:b/>
        </w:rPr>
      </w:pPr>
    </w:p>
    <w:p w14:paraId="67D05838" w14:textId="170E8675" w:rsidR="008843BB" w:rsidRDefault="008843BB" w:rsidP="000636AB">
      <w:pPr>
        <w:rPr>
          <w:rStyle w:val="Hyperlink"/>
          <w:rFonts w:ascii="Arial Black" w:hAnsi="Arial Black"/>
          <w:b/>
          <w:color w:val="auto"/>
          <w:sz w:val="24"/>
          <w:szCs w:val="24"/>
          <w:u w:val="none"/>
        </w:rPr>
      </w:pPr>
      <w:r>
        <w:rPr>
          <w:rStyle w:val="Hyperlink"/>
          <w:rFonts w:ascii="Arial Black" w:hAnsi="Arial Black"/>
          <w:b/>
          <w:color w:val="auto"/>
          <w:sz w:val="24"/>
          <w:szCs w:val="24"/>
          <w:u w:val="none"/>
        </w:rPr>
        <w:t>4-50</w:t>
      </w:r>
    </w:p>
    <w:p w14:paraId="03E261C2" w14:textId="77777777" w:rsidR="008843BB" w:rsidRPr="000E3803" w:rsidRDefault="008843BB" w:rsidP="008843BB">
      <w:pPr>
        <w:pStyle w:val="NoSpacing"/>
        <w:rPr>
          <w:rFonts w:ascii="Arial Black" w:hAnsi="Arial Black"/>
          <w:bCs/>
          <w:sz w:val="28"/>
          <w:szCs w:val="28"/>
        </w:rPr>
      </w:pPr>
      <w:r>
        <w:rPr>
          <w:rFonts w:ascii="Arial Black" w:hAnsi="Arial Black"/>
          <w:sz w:val="28"/>
          <w:szCs w:val="28"/>
        </w:rPr>
        <w:t xml:space="preserve">MO:  CHIMNEY FIRE – FF RIGHT TO ENTER / CUT THE ROOF </w:t>
      </w:r>
    </w:p>
    <w:p w14:paraId="1ECCFBE9" w14:textId="77777777" w:rsidR="008843BB" w:rsidRDefault="008843BB" w:rsidP="008843BB">
      <w:pPr>
        <w:pStyle w:val="NoSpacing"/>
        <w:rPr>
          <w:bCs/>
        </w:rPr>
      </w:pPr>
    </w:p>
    <w:p w14:paraId="38E8E878" w14:textId="77777777" w:rsidR="008843BB" w:rsidRPr="003F3B30" w:rsidRDefault="008843BB" w:rsidP="008843BB">
      <w:pPr>
        <w:pStyle w:val="NoSpacing"/>
        <w:rPr>
          <w:rFonts w:ascii="Times New Roman" w:hAnsi="Times New Roman"/>
          <w:bCs/>
          <w:sz w:val="24"/>
          <w:szCs w:val="24"/>
        </w:rPr>
      </w:pPr>
      <w:r w:rsidRPr="003F3B30">
        <w:rPr>
          <w:rFonts w:ascii="Times New Roman" w:hAnsi="Times New Roman"/>
          <w:sz w:val="24"/>
          <w:szCs w:val="24"/>
        </w:rPr>
        <w:t xml:space="preserve">On July 25, 2025, in </w:t>
      </w:r>
      <w:r w:rsidRPr="003F3B30">
        <w:rPr>
          <w:rFonts w:ascii="Times New Roman" w:hAnsi="Times New Roman"/>
          <w:sz w:val="24"/>
          <w:szCs w:val="24"/>
          <w:u w:val="single"/>
        </w:rPr>
        <w:t>Gary Gibbs v. City of Sikeston, et al</w:t>
      </w:r>
      <w:r w:rsidRPr="003F3B30">
        <w:rPr>
          <w:rFonts w:ascii="Times New Roman" w:hAnsi="Times New Roman"/>
          <w:sz w:val="24"/>
          <w:szCs w:val="24"/>
        </w:rPr>
        <w:t xml:space="preserve">., Senior U.S. District Court Judge Stephen N. Limbach, Jr., United States District Court for Eastern District of Missouri, granted defense motion to dismiss the lawsuit filed pro se 9no attorney) by the homeowner.  During the morning of Jan. 8, 2021, the homeowner lit a fire in his fireplace and tan began a Zoom call with his employer.  An hour later a neighbor told him his chimney was smoking; Gibbs got a water hose and extinguished fire.  Someone called 911; he told police officer to cancel the fire department and leave his property; the officer refused, ordered him out of his home and fire department made entry over his objections.  THE COURT HELD: “Even if there was no ‘visible’ fire when the first responders arrived after the 911 call, they had a duty to investigate for the public's safety.” </w:t>
      </w:r>
      <w:hyperlink r:id="rId857" w:history="1">
        <w:r w:rsidRPr="003F3B30">
          <w:rPr>
            <w:rStyle w:val="Hyperlink"/>
            <w:rFonts w:ascii="Times New Roman" w:hAnsi="Times New Roman"/>
            <w:sz w:val="24"/>
            <w:szCs w:val="24"/>
          </w:rPr>
          <w:t>https://public.fastcase.com/jaEE2PXzRXmZ99jOLMt1IjaUc7vARjVQ5RdI8he5wvr8CafQJWJ892rNp3h%2B5maD?utm_medium=email&amp;_hsenc=p2ANqtz-9yeYIX9OvUysaWxw5S4NvX23y7n2bM1DKt1TGid5472BDGnDkJHyEbdkJMIqnakyd6KQCi4nGEAs4FOkTAkAKzxnAO3A&amp;_hsmi=226712652&amp;utm_content=226712652&amp;utm_source=hs_email</w:t>
        </w:r>
      </w:hyperlink>
      <w:r w:rsidRPr="003F3B30">
        <w:rPr>
          <w:rFonts w:ascii="Times New Roman" w:hAnsi="Times New Roman"/>
          <w:sz w:val="24"/>
          <w:szCs w:val="24"/>
        </w:rPr>
        <w:t xml:space="preserve"> </w:t>
      </w:r>
    </w:p>
    <w:p w14:paraId="755836D8" w14:textId="77777777" w:rsidR="00D77D85" w:rsidRDefault="00D77D85" w:rsidP="003F3B30">
      <w:pPr>
        <w:pStyle w:val="NoSpacing"/>
        <w:rPr>
          <w:rFonts w:ascii="Times New Roman" w:hAnsi="Times New Roman"/>
          <w:b/>
          <w:sz w:val="24"/>
          <w:szCs w:val="24"/>
        </w:rPr>
      </w:pPr>
    </w:p>
    <w:p w14:paraId="70382C54" w14:textId="27940A34" w:rsidR="003F3B30" w:rsidRPr="003F3B30" w:rsidRDefault="003F3B30" w:rsidP="003F3B30">
      <w:pPr>
        <w:pStyle w:val="NoSpacing"/>
        <w:rPr>
          <w:rFonts w:ascii="Times New Roman" w:hAnsi="Times New Roman"/>
          <w:b/>
          <w:sz w:val="24"/>
          <w:szCs w:val="24"/>
        </w:rPr>
      </w:pPr>
      <w:r w:rsidRPr="003F3B30">
        <w:rPr>
          <w:rFonts w:ascii="Times New Roman" w:hAnsi="Times New Roman"/>
          <w:b/>
          <w:sz w:val="24"/>
          <w:szCs w:val="24"/>
        </w:rPr>
        <w:t xml:space="preserve">Legal lesson learned:  Fire Department had lawful right to enter property, cut roof looking for extension of fire and prevent rekindle. </w:t>
      </w:r>
    </w:p>
    <w:p w14:paraId="36097A71" w14:textId="77777777" w:rsidR="003F3B30" w:rsidRPr="003F3B30" w:rsidRDefault="003F3B30" w:rsidP="003F3B30">
      <w:pPr>
        <w:pStyle w:val="NoSpacing"/>
        <w:rPr>
          <w:rFonts w:ascii="Times New Roman" w:hAnsi="Times New Roman"/>
          <w:b/>
          <w:sz w:val="24"/>
          <w:szCs w:val="24"/>
        </w:rPr>
      </w:pPr>
    </w:p>
    <w:p w14:paraId="24AB187E" w14:textId="77777777" w:rsidR="003F3B30" w:rsidRPr="003F3B30" w:rsidRDefault="003F3B30" w:rsidP="003F3B30">
      <w:pPr>
        <w:pStyle w:val="NoSpacing"/>
        <w:ind w:left="720"/>
        <w:rPr>
          <w:rFonts w:ascii="Times New Roman" w:hAnsi="Times New Roman"/>
          <w:bCs/>
          <w:sz w:val="24"/>
          <w:szCs w:val="24"/>
        </w:rPr>
      </w:pPr>
      <w:r w:rsidRPr="003F3B30">
        <w:rPr>
          <w:rFonts w:ascii="Times New Roman" w:hAnsi="Times New Roman"/>
          <w:sz w:val="24"/>
          <w:szCs w:val="24"/>
        </w:rPr>
        <w:t xml:space="preserve">Note:  Read the U.S. Supreme Court decision in </w:t>
      </w:r>
      <w:r w:rsidRPr="003F3B30">
        <w:rPr>
          <w:rFonts w:ascii="Times New Roman" w:hAnsi="Times New Roman"/>
          <w:sz w:val="24"/>
          <w:szCs w:val="24"/>
          <w:u w:val="single"/>
        </w:rPr>
        <w:t>Michigan v. Clifford</w:t>
      </w:r>
      <w:r w:rsidRPr="003F3B30">
        <w:rPr>
          <w:rFonts w:ascii="Times New Roman" w:hAnsi="Times New Roman"/>
          <w:sz w:val="24"/>
          <w:szCs w:val="24"/>
        </w:rPr>
        <w:t xml:space="preserve"> (1984).  </w:t>
      </w:r>
      <w:hyperlink r:id="rId858" w:history="1">
        <w:r w:rsidRPr="003F3B30">
          <w:rPr>
            <w:rStyle w:val="Hyperlink"/>
            <w:rFonts w:ascii="Times New Roman" w:hAnsi="Times New Roman"/>
            <w:sz w:val="24"/>
            <w:szCs w:val="24"/>
          </w:rPr>
          <w:t>https://supreme.justia.com/cases/federal/us/464/287/</w:t>
        </w:r>
      </w:hyperlink>
      <w:r w:rsidRPr="003F3B30">
        <w:rPr>
          <w:rFonts w:ascii="Times New Roman" w:hAnsi="Times New Roman"/>
          <w:sz w:val="24"/>
          <w:szCs w:val="24"/>
        </w:rPr>
        <w:t xml:space="preserve"> </w:t>
      </w:r>
    </w:p>
    <w:p w14:paraId="52D772A3" w14:textId="77777777" w:rsidR="003F3B30" w:rsidRPr="003F3B30" w:rsidRDefault="003F3B30" w:rsidP="003F3B30">
      <w:pPr>
        <w:pStyle w:val="NoSpacing"/>
        <w:ind w:left="720"/>
        <w:rPr>
          <w:rFonts w:ascii="Times New Roman" w:hAnsi="Times New Roman"/>
          <w:bCs/>
          <w:sz w:val="24"/>
          <w:szCs w:val="24"/>
        </w:rPr>
      </w:pPr>
    </w:p>
    <w:p w14:paraId="2E55C164" w14:textId="77777777" w:rsidR="003F3B30" w:rsidRPr="003F3B30" w:rsidRDefault="003F3B30" w:rsidP="003F3B30">
      <w:pPr>
        <w:pStyle w:val="NoSpacing"/>
        <w:ind w:left="720"/>
        <w:rPr>
          <w:rFonts w:ascii="Times New Roman" w:hAnsi="Times New Roman"/>
          <w:sz w:val="24"/>
          <w:szCs w:val="24"/>
        </w:rPr>
      </w:pPr>
      <w:r w:rsidRPr="003F3B30">
        <w:rPr>
          <w:rFonts w:ascii="Times New Roman" w:hAnsi="Times New Roman"/>
          <w:sz w:val="24"/>
          <w:szCs w:val="24"/>
        </w:rPr>
        <w:t xml:space="preserve">“A burning building of course creates an exigency that justifies a warrantless entry by fire officials to fight the blaze. Moreover, in </w:t>
      </w:r>
      <w:r w:rsidRPr="003F3B30">
        <w:rPr>
          <w:rFonts w:ascii="Times New Roman" w:hAnsi="Times New Roman"/>
          <w:i/>
          <w:iCs/>
          <w:sz w:val="24"/>
          <w:szCs w:val="24"/>
        </w:rPr>
        <w:t>Tyler,</w:t>
      </w:r>
      <w:r w:rsidRPr="003F3B30">
        <w:rPr>
          <w:rFonts w:ascii="Times New Roman" w:hAnsi="Times New Roman"/>
          <w:sz w:val="24"/>
          <w:szCs w:val="24"/>
        </w:rPr>
        <w:t xml:space="preserve"> we held that, once in the building, officials need no warrant to </w:t>
      </w:r>
      <w:r w:rsidRPr="003F3B30">
        <w:rPr>
          <w:rFonts w:ascii="Times New Roman" w:hAnsi="Times New Roman"/>
          <w:sz w:val="24"/>
          <w:szCs w:val="24"/>
        </w:rPr>
        <w:lastRenderedPageBreak/>
        <w:t>remain …for ‘a reasonable time to investigate the cause of a blaze after it has been extinguished.’ … however, reasonable expectations of privacy remain in the fire-damaged property, additional investigations begun after the fire has been extinguished and fire and police officials have left the scene generally must be made pursuant to a warrant or the identification of some new exigency. The aftermath of a fire often presents exigencies that will not tolerate the delay necessary to obtain a warrant or to secure the owner's consent to inspect fire-damaged premises….Because determining the cause and origin of a fire serves a compelling public interest, the warrant requirement does not apply in such cases.</w:t>
      </w:r>
    </w:p>
    <w:p w14:paraId="2AE8DB91" w14:textId="77777777" w:rsidR="003F3B30" w:rsidRDefault="003F3B30" w:rsidP="003F3B30">
      <w:pPr>
        <w:pStyle w:val="NoSpacing"/>
      </w:pPr>
    </w:p>
    <w:p w14:paraId="72ACC0F3" w14:textId="77777777" w:rsidR="008843BB" w:rsidRDefault="008843BB" w:rsidP="000636AB">
      <w:pPr>
        <w:rPr>
          <w:rStyle w:val="Hyperlink"/>
          <w:rFonts w:ascii="Arial Black" w:hAnsi="Arial Black"/>
          <w:b/>
          <w:color w:val="auto"/>
          <w:sz w:val="24"/>
          <w:szCs w:val="24"/>
          <w:u w:val="none"/>
        </w:rPr>
      </w:pPr>
    </w:p>
    <w:p w14:paraId="5F6B1779" w14:textId="114A83BE" w:rsidR="000636AB" w:rsidRDefault="000636AB" w:rsidP="000636AB">
      <w:pPr>
        <w:rPr>
          <w:rStyle w:val="Hyperlink"/>
          <w:rFonts w:ascii="Arial Black" w:hAnsi="Arial Black"/>
          <w:b/>
          <w:color w:val="auto"/>
          <w:sz w:val="24"/>
          <w:szCs w:val="24"/>
          <w:u w:val="none"/>
        </w:rPr>
      </w:pPr>
      <w:r>
        <w:rPr>
          <w:rStyle w:val="Hyperlink"/>
          <w:rFonts w:ascii="Arial Black" w:hAnsi="Arial Black"/>
          <w:b/>
          <w:color w:val="auto"/>
          <w:sz w:val="24"/>
          <w:szCs w:val="24"/>
          <w:u w:val="none"/>
        </w:rPr>
        <w:t>4-49</w:t>
      </w:r>
    </w:p>
    <w:p w14:paraId="08856BD0" w14:textId="4C008D2C" w:rsidR="000B78DC" w:rsidRDefault="000B78DC" w:rsidP="000B78DC">
      <w:pPr>
        <w:pStyle w:val="NoSpacing"/>
        <w:rPr>
          <w:rFonts w:ascii="Arial Black" w:hAnsi="Arial Black"/>
          <w:sz w:val="28"/>
          <w:szCs w:val="28"/>
        </w:rPr>
      </w:pPr>
      <w:r>
        <w:rPr>
          <w:rFonts w:ascii="Arial Black" w:hAnsi="Arial Black"/>
          <w:sz w:val="28"/>
          <w:szCs w:val="28"/>
        </w:rPr>
        <w:t xml:space="preserve">U.S. SUP. CT: FBI SWAT / WRONG HOUSE – NO </w:t>
      </w:r>
      <w:r w:rsidR="00064669">
        <w:rPr>
          <w:rFonts w:ascii="Arial Black" w:hAnsi="Arial Black"/>
          <w:sz w:val="28"/>
          <w:szCs w:val="28"/>
        </w:rPr>
        <w:t xml:space="preserve">QUAL. </w:t>
      </w:r>
      <w:r>
        <w:rPr>
          <w:rFonts w:ascii="Arial Black" w:hAnsi="Arial Black"/>
          <w:sz w:val="28"/>
          <w:szCs w:val="28"/>
        </w:rPr>
        <w:t xml:space="preserve">IMMUNITY </w:t>
      </w:r>
    </w:p>
    <w:p w14:paraId="665E5BF1" w14:textId="77777777" w:rsidR="00FB1248" w:rsidRDefault="00FB1248" w:rsidP="000B78DC">
      <w:pPr>
        <w:pStyle w:val="NoSpacing"/>
        <w:rPr>
          <w:rFonts w:ascii="Times New Roman" w:hAnsi="Times New Roman"/>
          <w:sz w:val="24"/>
          <w:szCs w:val="24"/>
        </w:rPr>
      </w:pPr>
    </w:p>
    <w:p w14:paraId="0143098B" w14:textId="16D0E142" w:rsidR="000B78DC" w:rsidRPr="00597590" w:rsidRDefault="000B78DC" w:rsidP="000B78DC">
      <w:pPr>
        <w:pStyle w:val="NoSpacing"/>
        <w:rPr>
          <w:rFonts w:ascii="Times New Roman" w:hAnsi="Times New Roman"/>
          <w:sz w:val="24"/>
          <w:szCs w:val="24"/>
        </w:rPr>
      </w:pPr>
      <w:r w:rsidRPr="00597590">
        <w:rPr>
          <w:rFonts w:ascii="Times New Roman" w:hAnsi="Times New Roman"/>
          <w:sz w:val="24"/>
          <w:szCs w:val="24"/>
        </w:rPr>
        <w:t xml:space="preserve">On June 12, 2025, in </w:t>
      </w:r>
      <w:r w:rsidRPr="00597590">
        <w:rPr>
          <w:rFonts w:ascii="Times New Roman" w:hAnsi="Times New Roman"/>
          <w:sz w:val="24"/>
          <w:szCs w:val="24"/>
          <w:u w:val="single"/>
        </w:rPr>
        <w:t>Curtina Martin, individually and next friend of G.W., a minor, et al. v. United States, et al.,</w:t>
      </w:r>
      <w:r w:rsidRPr="00597590">
        <w:rPr>
          <w:rFonts w:ascii="Times New Roman" w:hAnsi="Times New Roman"/>
          <w:sz w:val="24"/>
          <w:szCs w:val="24"/>
        </w:rPr>
        <w:t xml:space="preserve"> the United States Supreme Court held (9 to 0) that lawsuit should be reinstated to allow plaintiffs to sue the Federal government if there is proof of “intentional tort” by the FBI in the October 18, 2017 FBI / SWAT Team raid on wrong house.  The U.S. District Court judge and the 11</w:t>
      </w:r>
      <w:r w:rsidRPr="00597590">
        <w:rPr>
          <w:rFonts w:ascii="Times New Roman" w:hAnsi="Times New Roman"/>
          <w:sz w:val="24"/>
          <w:szCs w:val="24"/>
          <w:vertAlign w:val="superscript"/>
        </w:rPr>
        <w:t>th</w:t>
      </w:r>
      <w:r w:rsidRPr="00597590">
        <w:rPr>
          <w:rFonts w:ascii="Times New Roman" w:hAnsi="Times New Roman"/>
          <w:sz w:val="24"/>
          <w:szCs w:val="24"/>
        </w:rPr>
        <w:t xml:space="preserve"> Circuit (Atlanta) dismissed the lawsuit on basis of the immunity doctrine of “discretionary function.” The U.S. Supreme Court reviewed legislative history of the Federal Tort Claims Act where Congress in 1974 amended the FTCA because of another “wrong address” raid – April 1973, Herbert and Evelyn Giglotto awoke in their Collinsville, Illinois, townhouse 15 state and federal officers.  The Federal Tort Claims Act was amended by Congress</w:t>
      </w:r>
    </w:p>
    <w:p w14:paraId="03D1D226" w14:textId="77777777" w:rsidR="000B78DC" w:rsidRPr="00597590" w:rsidRDefault="000B78DC" w:rsidP="000B78DC">
      <w:pPr>
        <w:pStyle w:val="NoSpacing"/>
        <w:rPr>
          <w:rFonts w:ascii="Times New Roman" w:hAnsi="Times New Roman"/>
          <w:sz w:val="24"/>
          <w:szCs w:val="24"/>
        </w:rPr>
      </w:pPr>
      <w:r w:rsidRPr="00597590">
        <w:rPr>
          <w:rFonts w:ascii="Times New Roman" w:hAnsi="Times New Roman"/>
          <w:sz w:val="24"/>
          <w:szCs w:val="24"/>
        </w:rPr>
        <w:t xml:space="preserve">by adding the “law enforcement proviso” allowing lawsuits for Federal investigative or law enforcement agents who commit any of six intentional torts, including:  assault, battery, false imprisonment, and false arrest, abuse of process, malicious prosecution.  So long as the officer is acting within the scope of his or her employment at the time the tort arises, the waiver of sovereign immunity applies.  THE COURT HELD: “Where does all that leave the case before us? We can say this much: The plaintiffs’ intentional-tort claims survive their encounter with subsection (h) thanks to the law enforcement proviso, as the Eleventh Circuit recognized. But it remains for that court on remand to consider whether subsection (a)’s discretionary-function exception bars either the plaintiffs’ negligent- or intentional-tort claims.” </w:t>
      </w:r>
      <w:hyperlink r:id="rId859" w:history="1">
        <w:r w:rsidRPr="00597590">
          <w:rPr>
            <w:rStyle w:val="Hyperlink"/>
            <w:rFonts w:ascii="Times New Roman" w:hAnsi="Times New Roman"/>
            <w:sz w:val="24"/>
            <w:szCs w:val="24"/>
          </w:rPr>
          <w:t>https://www.supremecourt.gov/opinions/24pdf/24-362_mjn0.pdf</w:t>
        </w:r>
      </w:hyperlink>
      <w:r w:rsidRPr="00597590">
        <w:rPr>
          <w:rFonts w:ascii="Times New Roman" w:hAnsi="Times New Roman"/>
          <w:sz w:val="24"/>
          <w:szCs w:val="24"/>
        </w:rPr>
        <w:t xml:space="preserve"> </w:t>
      </w:r>
    </w:p>
    <w:p w14:paraId="2377A0B5" w14:textId="77777777" w:rsidR="000B78DC" w:rsidRPr="00597590" w:rsidRDefault="000B78DC" w:rsidP="000B78DC">
      <w:pPr>
        <w:pStyle w:val="NoSpacing"/>
        <w:rPr>
          <w:rFonts w:ascii="Times New Roman" w:hAnsi="Times New Roman"/>
          <w:sz w:val="24"/>
          <w:szCs w:val="24"/>
        </w:rPr>
      </w:pPr>
    </w:p>
    <w:p w14:paraId="1655167C" w14:textId="77777777" w:rsidR="00597590" w:rsidRPr="00597590" w:rsidRDefault="00597590" w:rsidP="00597590">
      <w:pPr>
        <w:pStyle w:val="NoSpacing"/>
        <w:rPr>
          <w:rFonts w:ascii="Times New Roman" w:hAnsi="Times New Roman"/>
          <w:b/>
          <w:bCs/>
          <w:sz w:val="24"/>
          <w:szCs w:val="24"/>
        </w:rPr>
      </w:pPr>
      <w:r w:rsidRPr="00597590">
        <w:rPr>
          <w:rFonts w:ascii="Times New Roman" w:hAnsi="Times New Roman"/>
          <w:b/>
          <w:sz w:val="24"/>
          <w:szCs w:val="24"/>
        </w:rPr>
        <w:t>Legal lesson learned:  Similar to FTCA, many states have statutes waiving their sovereign immunity for “intentional torts” by law enforcement and other public employees.</w:t>
      </w:r>
    </w:p>
    <w:p w14:paraId="594C5B80" w14:textId="77777777" w:rsidR="00597590" w:rsidRPr="00597590" w:rsidRDefault="00597590" w:rsidP="00597590">
      <w:pPr>
        <w:pStyle w:val="NoSpacing"/>
        <w:rPr>
          <w:rFonts w:ascii="Times New Roman" w:hAnsi="Times New Roman"/>
          <w:b/>
          <w:bCs/>
          <w:sz w:val="24"/>
          <w:szCs w:val="24"/>
        </w:rPr>
      </w:pPr>
    </w:p>
    <w:p w14:paraId="615F3023" w14:textId="77777777" w:rsidR="00597590" w:rsidRPr="00597590" w:rsidRDefault="00597590" w:rsidP="00597590">
      <w:pPr>
        <w:pStyle w:val="NoSpacing"/>
        <w:ind w:left="720"/>
        <w:rPr>
          <w:rFonts w:ascii="Times New Roman" w:hAnsi="Times New Roman"/>
          <w:sz w:val="24"/>
          <w:szCs w:val="24"/>
        </w:rPr>
      </w:pPr>
      <w:r w:rsidRPr="00597590">
        <w:rPr>
          <w:rFonts w:ascii="Times New Roman" w:hAnsi="Times New Roman"/>
          <w:sz w:val="24"/>
          <w:szCs w:val="24"/>
        </w:rPr>
        <w:t xml:space="preserve">Note:  See more on the “law enforcement proviso” – “The Federal Tort Claims Act (FTCA): A Legal Overview.” </w:t>
      </w:r>
      <w:hyperlink r:id="rId860" w:history="1">
        <w:r w:rsidRPr="00597590">
          <w:rPr>
            <w:rStyle w:val="Hyperlink"/>
            <w:rFonts w:ascii="Times New Roman" w:hAnsi="Times New Roman"/>
            <w:sz w:val="24"/>
            <w:szCs w:val="24"/>
          </w:rPr>
          <w:t>https://www.congress.gov/crs-product/R45732</w:t>
        </w:r>
      </w:hyperlink>
      <w:r w:rsidRPr="00597590">
        <w:rPr>
          <w:rFonts w:ascii="Times New Roman" w:hAnsi="Times New Roman"/>
          <w:sz w:val="24"/>
          <w:szCs w:val="24"/>
        </w:rPr>
        <w:t xml:space="preserve"> </w:t>
      </w:r>
    </w:p>
    <w:p w14:paraId="2E43B196" w14:textId="77777777" w:rsidR="000B78DC" w:rsidRPr="00597590" w:rsidRDefault="000B78DC" w:rsidP="006528FB">
      <w:pPr>
        <w:rPr>
          <w:rFonts w:ascii="Times New Roman" w:hAnsi="Times New Roman"/>
          <w:b/>
          <w:sz w:val="24"/>
          <w:szCs w:val="24"/>
        </w:rPr>
      </w:pPr>
    </w:p>
    <w:p w14:paraId="0CED1D16" w14:textId="77777777" w:rsidR="000B78DC" w:rsidRDefault="000B78DC" w:rsidP="006528FB">
      <w:pPr>
        <w:rPr>
          <w:rFonts w:ascii="Arial Black" w:hAnsi="Arial Black"/>
          <w:b/>
          <w:sz w:val="28"/>
          <w:szCs w:val="28"/>
        </w:rPr>
      </w:pPr>
    </w:p>
    <w:p w14:paraId="2820AC79" w14:textId="58A86CE7" w:rsidR="000B78DC" w:rsidRDefault="000636AB" w:rsidP="006528FB">
      <w:pPr>
        <w:rPr>
          <w:rFonts w:ascii="Arial Black" w:hAnsi="Arial Black"/>
          <w:b/>
          <w:sz w:val="28"/>
          <w:szCs w:val="28"/>
        </w:rPr>
      </w:pPr>
      <w:r>
        <w:rPr>
          <w:rStyle w:val="Hyperlink"/>
          <w:rFonts w:ascii="Arial Black" w:hAnsi="Arial Black"/>
          <w:b/>
          <w:color w:val="auto"/>
          <w:sz w:val="24"/>
          <w:szCs w:val="24"/>
          <w:u w:val="none"/>
        </w:rPr>
        <w:t>4-48</w:t>
      </w:r>
    </w:p>
    <w:p w14:paraId="2FEEE3D2" w14:textId="7F818D8F" w:rsidR="006528FB" w:rsidRPr="009E79D4" w:rsidRDefault="006528FB" w:rsidP="006528FB">
      <w:pPr>
        <w:rPr>
          <w:rFonts w:ascii="Arial Black" w:hAnsi="Arial Black"/>
          <w:b/>
          <w:sz w:val="28"/>
          <w:szCs w:val="28"/>
        </w:rPr>
      </w:pPr>
      <w:r>
        <w:rPr>
          <w:rFonts w:ascii="Arial Black" w:hAnsi="Arial Black"/>
          <w:b/>
          <w:sz w:val="28"/>
          <w:szCs w:val="28"/>
        </w:rPr>
        <w:t xml:space="preserve">TX: LASER BLINDED POLICE COPTER – 37-MO IN PRISON </w:t>
      </w:r>
    </w:p>
    <w:p w14:paraId="7AA6CCA5" w14:textId="77777777" w:rsidR="006528FB" w:rsidRPr="00C342C1" w:rsidRDefault="006528FB" w:rsidP="006528FB">
      <w:pPr>
        <w:pStyle w:val="NoSpacing"/>
        <w:rPr>
          <w:rFonts w:ascii="Times New Roman" w:hAnsi="Times New Roman"/>
          <w:bCs/>
          <w:sz w:val="24"/>
          <w:szCs w:val="24"/>
        </w:rPr>
      </w:pPr>
      <w:r w:rsidRPr="00C342C1">
        <w:rPr>
          <w:rFonts w:ascii="Times New Roman" w:hAnsi="Times New Roman"/>
          <w:sz w:val="24"/>
          <w:szCs w:val="24"/>
        </w:rPr>
        <w:t xml:space="preserve">On June 5, 2025, in </w:t>
      </w:r>
      <w:r w:rsidRPr="00C342C1">
        <w:rPr>
          <w:rFonts w:ascii="Times New Roman" w:hAnsi="Times New Roman"/>
          <w:sz w:val="24"/>
          <w:szCs w:val="24"/>
          <w:u w:val="single"/>
        </w:rPr>
        <w:t>United States of America v. Sandra Roberson</w:t>
      </w:r>
      <w:r w:rsidRPr="00C342C1">
        <w:rPr>
          <w:rFonts w:ascii="Times New Roman" w:hAnsi="Times New Roman"/>
          <w:sz w:val="24"/>
          <w:szCs w:val="24"/>
        </w:rPr>
        <w:t>, the United States Court of Appeals for the Fifth Circuit (New Orleans) held (3 to 0) that sentence was appropriate; the defendant had plead guilty to Federal offense.  On November 3, 2023, at approximately 10:20 p.m., two San Antonio Police Department officers were travelling via police helicopter</w:t>
      </w:r>
    </w:p>
    <w:p w14:paraId="6C05E294" w14:textId="77777777" w:rsidR="006528FB" w:rsidRPr="00C342C1" w:rsidRDefault="006528FB" w:rsidP="006528FB">
      <w:pPr>
        <w:pStyle w:val="NoSpacing"/>
        <w:rPr>
          <w:rFonts w:ascii="Times New Roman" w:hAnsi="Times New Roman"/>
          <w:bCs/>
          <w:sz w:val="24"/>
          <w:szCs w:val="24"/>
        </w:rPr>
      </w:pPr>
      <w:r w:rsidRPr="00C342C1">
        <w:rPr>
          <w:rFonts w:ascii="Times New Roman" w:hAnsi="Times New Roman"/>
          <w:sz w:val="24"/>
          <w:szCs w:val="24"/>
        </w:rPr>
        <w:lastRenderedPageBreak/>
        <w:t xml:space="preserve">to support other officers responding to a shooting call. In the police helicopter, when an intense green laser began persistently striking the helicopter causing temporary flash blindness.  THE COURT HELD: “In sum, because her arguments are entirely contradicted by the record evidence, we are unconvinced that Roberson was not subjectively aware of the risk posed to the police helicopter when she continuously struck it with a laser for at least five minutes, forcing it to abruptly divert its path.” </w:t>
      </w:r>
      <w:hyperlink r:id="rId861" w:history="1">
        <w:r w:rsidRPr="00C342C1">
          <w:rPr>
            <w:rStyle w:val="Hyperlink"/>
            <w:rFonts w:ascii="Times New Roman" w:hAnsi="Times New Roman"/>
            <w:sz w:val="24"/>
            <w:szCs w:val="24"/>
          </w:rPr>
          <w:t>https://cases.justia.com/federal/appellate-courts/ca5/24-50970/24-50970-2025-06-05.pdf?ts=1749144644</w:t>
        </w:r>
      </w:hyperlink>
      <w:r w:rsidRPr="00C342C1">
        <w:rPr>
          <w:rFonts w:ascii="Times New Roman" w:hAnsi="Times New Roman"/>
          <w:sz w:val="24"/>
          <w:szCs w:val="24"/>
        </w:rPr>
        <w:t xml:space="preserve"> </w:t>
      </w:r>
    </w:p>
    <w:p w14:paraId="38D245B9" w14:textId="77777777" w:rsidR="006528FB" w:rsidRPr="00C342C1" w:rsidRDefault="006528FB" w:rsidP="006528FB">
      <w:pPr>
        <w:pStyle w:val="NoSpacing"/>
        <w:rPr>
          <w:rFonts w:ascii="Times New Roman" w:hAnsi="Times New Roman"/>
          <w:bCs/>
          <w:sz w:val="24"/>
          <w:szCs w:val="24"/>
        </w:rPr>
      </w:pPr>
    </w:p>
    <w:p w14:paraId="75C98AB8" w14:textId="77777777" w:rsidR="006528FB" w:rsidRPr="00C342C1" w:rsidRDefault="006528FB" w:rsidP="006528FB">
      <w:pPr>
        <w:pStyle w:val="NoSpacing"/>
        <w:rPr>
          <w:rFonts w:ascii="Times New Roman" w:hAnsi="Times New Roman"/>
          <w:b/>
          <w:bCs/>
          <w:sz w:val="24"/>
          <w:szCs w:val="24"/>
        </w:rPr>
      </w:pPr>
      <w:r w:rsidRPr="00C342C1">
        <w:rPr>
          <w:rFonts w:ascii="Times New Roman" w:hAnsi="Times New Roman"/>
          <w:b/>
          <w:sz w:val="24"/>
          <w:szCs w:val="24"/>
        </w:rPr>
        <w:t xml:space="preserve">Legal lesson learned: Pointing a laser at a helicopter or other aircraft is incredibly dangerous. </w:t>
      </w:r>
    </w:p>
    <w:p w14:paraId="4FDB9DBE" w14:textId="77777777" w:rsidR="006528FB" w:rsidRPr="00C342C1" w:rsidRDefault="006528FB" w:rsidP="006528FB">
      <w:pPr>
        <w:pStyle w:val="NoSpacing"/>
        <w:rPr>
          <w:rFonts w:ascii="Times New Roman" w:hAnsi="Times New Roman"/>
          <w:b/>
          <w:bCs/>
          <w:sz w:val="24"/>
          <w:szCs w:val="24"/>
        </w:rPr>
      </w:pPr>
    </w:p>
    <w:p w14:paraId="373F6741" w14:textId="77777777" w:rsidR="006528FB" w:rsidRPr="00C342C1" w:rsidRDefault="006528FB" w:rsidP="006528FB">
      <w:pPr>
        <w:pStyle w:val="NoSpacing"/>
        <w:ind w:left="720"/>
        <w:rPr>
          <w:rFonts w:ascii="Times New Roman" w:hAnsi="Times New Roman"/>
          <w:sz w:val="24"/>
          <w:szCs w:val="24"/>
        </w:rPr>
      </w:pPr>
      <w:r w:rsidRPr="00C342C1">
        <w:rPr>
          <w:rFonts w:ascii="Times New Roman" w:hAnsi="Times New Roman"/>
          <w:sz w:val="24"/>
          <w:szCs w:val="24"/>
        </w:rPr>
        <w:t xml:space="preserve">Note: The Court noted that the defendant, </w:t>
      </w:r>
      <w:proofErr w:type="gramStart"/>
      <w:r w:rsidRPr="00C342C1">
        <w:rPr>
          <w:rFonts w:ascii="Times New Roman" w:hAnsi="Times New Roman"/>
          <w:sz w:val="24"/>
          <w:szCs w:val="24"/>
        </w:rPr>
        <w:t>age</w:t>
      </w:r>
      <w:proofErr w:type="gramEnd"/>
      <w:r w:rsidRPr="00C342C1">
        <w:rPr>
          <w:rFonts w:ascii="Times New Roman" w:hAnsi="Times New Roman"/>
          <w:sz w:val="24"/>
          <w:szCs w:val="24"/>
        </w:rPr>
        <w:t xml:space="preserve"> 60 at the time of the offense, had quite a criminal record. </w:t>
      </w:r>
    </w:p>
    <w:p w14:paraId="1668EB4D" w14:textId="77777777" w:rsidR="006528FB" w:rsidRPr="00C342C1" w:rsidRDefault="006528FB" w:rsidP="006528FB">
      <w:pPr>
        <w:pStyle w:val="NoSpacing"/>
        <w:ind w:left="720"/>
        <w:rPr>
          <w:rFonts w:ascii="Times New Roman" w:hAnsi="Times New Roman"/>
          <w:sz w:val="24"/>
          <w:szCs w:val="24"/>
        </w:rPr>
      </w:pPr>
      <w:r w:rsidRPr="00C342C1">
        <w:rPr>
          <w:rFonts w:ascii="Times New Roman" w:hAnsi="Times New Roman"/>
          <w:sz w:val="24"/>
          <w:szCs w:val="24"/>
        </w:rPr>
        <w:t>“As her PSR [</w:t>
      </w:r>
      <w:proofErr w:type="spellStart"/>
      <w:r w:rsidRPr="00C342C1">
        <w:rPr>
          <w:rFonts w:ascii="Times New Roman" w:hAnsi="Times New Roman"/>
          <w:sz w:val="24"/>
          <w:szCs w:val="24"/>
        </w:rPr>
        <w:t>Pre Sentence</w:t>
      </w:r>
      <w:proofErr w:type="spellEnd"/>
      <w:r w:rsidRPr="00C342C1">
        <w:rPr>
          <w:rFonts w:ascii="Times New Roman" w:hAnsi="Times New Roman"/>
          <w:sz w:val="24"/>
          <w:szCs w:val="24"/>
        </w:rPr>
        <w:t xml:space="preserve"> Report] plainly indicates, she has an extensive record of nearly three dozen prior arrests and/or convictions (33 total) spanning four decades (1983–2024), resulting in a staggering criminal history category of V—the second highest available under the Guidelines.”</w:t>
      </w:r>
    </w:p>
    <w:p w14:paraId="5217B5C6" w14:textId="77777777" w:rsidR="006528FB" w:rsidRPr="00C342C1" w:rsidRDefault="006528FB" w:rsidP="006528FB">
      <w:pPr>
        <w:pStyle w:val="NoSpacing"/>
        <w:rPr>
          <w:rFonts w:ascii="Times New Roman" w:hAnsi="Times New Roman"/>
          <w:b/>
          <w:bCs/>
          <w:sz w:val="24"/>
          <w:szCs w:val="24"/>
        </w:rPr>
      </w:pPr>
      <w:r w:rsidRPr="00C342C1">
        <w:rPr>
          <w:rFonts w:ascii="Times New Roman" w:hAnsi="Times New Roman"/>
          <w:b/>
          <w:sz w:val="24"/>
          <w:szCs w:val="24"/>
        </w:rPr>
        <w:t xml:space="preserve">  </w:t>
      </w:r>
    </w:p>
    <w:p w14:paraId="3613C335" w14:textId="72A54DBC" w:rsidR="00680234" w:rsidRDefault="006528FB" w:rsidP="006528FB">
      <w:pPr>
        <w:rPr>
          <w:rStyle w:val="Hyperlink"/>
          <w:rFonts w:ascii="Arial Black" w:hAnsi="Arial Black"/>
          <w:b/>
          <w:color w:val="auto"/>
          <w:sz w:val="24"/>
          <w:szCs w:val="24"/>
          <w:u w:val="none"/>
        </w:rPr>
      </w:pPr>
      <w:r w:rsidRPr="00C342C1">
        <w:rPr>
          <w:rFonts w:ascii="Times New Roman" w:hAnsi="Times New Roman"/>
          <w:sz w:val="24"/>
          <w:szCs w:val="24"/>
        </w:rPr>
        <w:t xml:space="preserve">See also the U.S. Department of Justice Press Release; “San Antonio Woman Sentenced to Prison for Endangering SAPD Helicopter with Laser. </w:t>
      </w:r>
      <w:hyperlink r:id="rId862" w:history="1">
        <w:r w:rsidRPr="00C342C1">
          <w:rPr>
            <w:rStyle w:val="Hyperlink"/>
            <w:rFonts w:ascii="Times New Roman" w:hAnsi="Times New Roman"/>
            <w:sz w:val="24"/>
            <w:szCs w:val="24"/>
          </w:rPr>
          <w:t>https://www.justice.gov/usao-wdtx/pr/san-antonio-woman-sentenced-prison-endangering-sapd-helicopter-laser</w:t>
        </w:r>
      </w:hyperlink>
    </w:p>
    <w:p w14:paraId="1032D04B" w14:textId="77777777" w:rsidR="00680234" w:rsidRDefault="00680234" w:rsidP="002B1283">
      <w:pPr>
        <w:rPr>
          <w:rStyle w:val="Hyperlink"/>
          <w:rFonts w:ascii="Arial Black" w:hAnsi="Arial Black"/>
          <w:b/>
          <w:color w:val="auto"/>
          <w:sz w:val="24"/>
          <w:szCs w:val="24"/>
          <w:u w:val="none"/>
        </w:rPr>
      </w:pPr>
    </w:p>
    <w:p w14:paraId="44FD9D3E" w14:textId="135E85FF" w:rsidR="000636AB" w:rsidRDefault="000636AB" w:rsidP="000636AB">
      <w:pPr>
        <w:rPr>
          <w:rStyle w:val="Hyperlink"/>
          <w:rFonts w:ascii="Arial Black" w:hAnsi="Arial Black"/>
          <w:b/>
          <w:color w:val="auto"/>
          <w:sz w:val="24"/>
          <w:szCs w:val="24"/>
          <w:u w:val="none"/>
        </w:rPr>
      </w:pPr>
      <w:r>
        <w:rPr>
          <w:rStyle w:val="Hyperlink"/>
          <w:rFonts w:ascii="Arial Black" w:hAnsi="Arial Black"/>
          <w:b/>
          <w:color w:val="auto"/>
          <w:sz w:val="24"/>
          <w:szCs w:val="24"/>
          <w:u w:val="none"/>
        </w:rPr>
        <w:t>4-47</w:t>
      </w:r>
    </w:p>
    <w:p w14:paraId="233E432D" w14:textId="77777777" w:rsidR="009B2566" w:rsidRDefault="009B2566" w:rsidP="002B1283">
      <w:pPr>
        <w:rPr>
          <w:rStyle w:val="Hyperlink"/>
          <w:rFonts w:ascii="Arial Black" w:hAnsi="Arial Black"/>
          <w:b/>
          <w:color w:val="auto"/>
          <w:sz w:val="24"/>
          <w:szCs w:val="24"/>
          <w:u w:val="none"/>
        </w:rPr>
      </w:pPr>
    </w:p>
    <w:p w14:paraId="74718506" w14:textId="77777777" w:rsidR="009B2566" w:rsidRDefault="009B2566" w:rsidP="009B2566">
      <w:pPr>
        <w:rPr>
          <w:rFonts w:ascii="Arial Black" w:hAnsi="Arial Black"/>
          <w:b/>
          <w:sz w:val="28"/>
          <w:szCs w:val="28"/>
        </w:rPr>
      </w:pPr>
      <w:r>
        <w:rPr>
          <w:rFonts w:ascii="Arial Black" w:hAnsi="Arial Black"/>
          <w:b/>
          <w:sz w:val="28"/>
          <w:szCs w:val="28"/>
        </w:rPr>
        <w:t>CA: TRAINING CAPT MOVED - $450K / ATTY FEES CUT 30%</w:t>
      </w:r>
    </w:p>
    <w:p w14:paraId="42093463" w14:textId="77777777" w:rsidR="009B2566" w:rsidRPr="000636AB" w:rsidRDefault="009B2566" w:rsidP="009B2566">
      <w:pPr>
        <w:rPr>
          <w:rFonts w:ascii="Times New Roman" w:hAnsi="Times New Roman"/>
          <w:sz w:val="24"/>
          <w:szCs w:val="24"/>
        </w:rPr>
      </w:pPr>
      <w:r w:rsidRPr="000636AB">
        <w:rPr>
          <w:rFonts w:ascii="Times New Roman" w:hAnsi="Times New Roman"/>
          <w:sz w:val="24"/>
          <w:szCs w:val="24"/>
        </w:rPr>
        <w:t xml:space="preserve">On May 30, 2025, in </w:t>
      </w:r>
      <w:r w:rsidRPr="000636AB">
        <w:rPr>
          <w:rFonts w:ascii="Times New Roman" w:hAnsi="Times New Roman"/>
          <w:sz w:val="24"/>
          <w:szCs w:val="24"/>
          <w:u w:val="single"/>
        </w:rPr>
        <w:t>Michael Cash v. County of Los Angeles</w:t>
      </w:r>
      <w:r w:rsidRPr="000636AB">
        <w:rPr>
          <w:rFonts w:ascii="Times New Roman" w:hAnsi="Times New Roman"/>
          <w:sz w:val="24"/>
          <w:szCs w:val="24"/>
        </w:rPr>
        <w:t xml:space="preserve">, the Court of Appeal, Second District, California, held (3 to 0) that after a jury awarded Captain $450,000 when he was removed from the LA County training academy after complaining about female recruit not being terminated, the trial court judge also properly awarded the Captain attorney fees, reduced by 30% when County asserted that the attorneys’ hours were padded.  It took 5 years of litigation, and 20-day jury trial to get to a jury verdict ($705,730 fee request; $455,546 awarded).  THE COURT HELD: “Before a hearing to consider the amount of attorney fees to award, the trial court issued a tentative ruling adopting wholesale the County's across-the-board 30 percent reduction. The trial court did not abuse its discretion in doing so. Under the traditional California standard, across-the-board, percentage-based reductions to a lodestar figure are appropriate so long as the trial court articulates a justifiable reason for the reduction. (Morris, supra, 41 Cal.App.5th at p. 35, fn. 6, 253 Cal.Rptr.3d 592.) Here, the trial court imposed the 30-percent reduction due to padding </w:t>
      </w:r>
      <w:proofErr w:type="gramStart"/>
      <w:r w:rsidRPr="000636AB">
        <w:rPr>
          <w:rFonts w:ascii="Times New Roman" w:hAnsi="Times New Roman"/>
          <w:sz w:val="24"/>
          <w:szCs w:val="24"/>
        </w:rPr>
        <w:t>as a result of</w:t>
      </w:r>
      <w:proofErr w:type="gramEnd"/>
      <w:r w:rsidRPr="000636AB">
        <w:rPr>
          <w:rFonts w:ascii="Times New Roman" w:hAnsi="Times New Roman"/>
          <w:sz w:val="24"/>
          <w:szCs w:val="24"/>
        </w:rPr>
        <w:t xml:space="preserve"> the attorneys’ excessive and duplicative billing.” </w:t>
      </w:r>
      <w:hyperlink r:id="rId863" w:history="1">
        <w:r w:rsidRPr="000636AB">
          <w:rPr>
            <w:rStyle w:val="Hyperlink"/>
            <w:rFonts w:ascii="Times New Roman" w:hAnsi="Times New Roman"/>
            <w:sz w:val="24"/>
            <w:szCs w:val="24"/>
          </w:rPr>
          <w:t>https://caselaw.findlaw.com/court/crt-app-sec-dis-cal-div-fiv/117326152.html</w:t>
        </w:r>
      </w:hyperlink>
      <w:r w:rsidRPr="000636AB">
        <w:rPr>
          <w:rFonts w:ascii="Times New Roman" w:hAnsi="Times New Roman"/>
          <w:sz w:val="24"/>
          <w:szCs w:val="24"/>
        </w:rPr>
        <w:t xml:space="preserve"> </w:t>
      </w:r>
    </w:p>
    <w:p w14:paraId="1804E859" w14:textId="77777777" w:rsidR="00F1458A" w:rsidRPr="000636AB" w:rsidRDefault="00F1458A" w:rsidP="00F1458A">
      <w:pPr>
        <w:pStyle w:val="NoSpacing"/>
        <w:rPr>
          <w:rFonts w:ascii="Times New Roman" w:hAnsi="Times New Roman"/>
          <w:b/>
          <w:sz w:val="24"/>
          <w:szCs w:val="24"/>
        </w:rPr>
      </w:pPr>
      <w:r w:rsidRPr="000636AB">
        <w:rPr>
          <w:rFonts w:ascii="Times New Roman" w:hAnsi="Times New Roman"/>
          <w:b/>
          <w:sz w:val="24"/>
          <w:szCs w:val="24"/>
        </w:rPr>
        <w:t xml:space="preserve">Legal lesson learned: Many states have enacted civil rights statutes allowing courts to award reasonable attorney fees to the winning plaintiff; it is an “incentive” for employment attorneys to pursue often difficult, lengthy cases. </w:t>
      </w:r>
    </w:p>
    <w:p w14:paraId="0F524EF7" w14:textId="77777777" w:rsidR="00F1458A" w:rsidRDefault="00F1458A" w:rsidP="00F1458A">
      <w:pPr>
        <w:pStyle w:val="NoSpacing"/>
        <w:rPr>
          <w:b/>
        </w:rPr>
      </w:pPr>
    </w:p>
    <w:p w14:paraId="10EE10BD" w14:textId="77777777" w:rsidR="00F1458A" w:rsidRDefault="00F1458A" w:rsidP="009B2566">
      <w:pPr>
        <w:rPr>
          <w:bCs/>
        </w:rPr>
      </w:pPr>
    </w:p>
    <w:p w14:paraId="10A18197" w14:textId="086D7BC8" w:rsidR="00B12A0F" w:rsidRDefault="00B12A0F" w:rsidP="002B1283">
      <w:pPr>
        <w:rPr>
          <w:rStyle w:val="Hyperlink"/>
          <w:rFonts w:ascii="Arial Black" w:hAnsi="Arial Black"/>
          <w:b/>
          <w:color w:val="auto"/>
          <w:sz w:val="24"/>
          <w:szCs w:val="24"/>
          <w:u w:val="none"/>
        </w:rPr>
      </w:pPr>
      <w:r>
        <w:rPr>
          <w:rStyle w:val="Hyperlink"/>
          <w:rFonts w:ascii="Arial Black" w:hAnsi="Arial Black"/>
          <w:b/>
          <w:color w:val="auto"/>
          <w:sz w:val="24"/>
          <w:szCs w:val="24"/>
          <w:u w:val="none"/>
        </w:rPr>
        <w:t>4-46</w:t>
      </w:r>
    </w:p>
    <w:p w14:paraId="742CB67C" w14:textId="77777777" w:rsidR="00B12A0F" w:rsidRPr="006F2B87" w:rsidRDefault="00B12A0F" w:rsidP="00B12A0F">
      <w:pPr>
        <w:pStyle w:val="NoSpacing"/>
        <w:rPr>
          <w:rFonts w:ascii="Arial Black" w:hAnsi="Arial Black"/>
          <w:sz w:val="28"/>
          <w:szCs w:val="28"/>
        </w:rPr>
      </w:pPr>
      <w:r w:rsidRPr="006F2B87">
        <w:rPr>
          <w:rFonts w:ascii="Arial Black" w:hAnsi="Arial Black"/>
          <w:sz w:val="28"/>
          <w:szCs w:val="28"/>
        </w:rPr>
        <w:t xml:space="preserve">MI: HOUSE FIRE – 2 BOYS DEAD </w:t>
      </w:r>
      <w:r>
        <w:rPr>
          <w:rFonts w:ascii="Arial Black" w:hAnsi="Arial Black"/>
          <w:sz w:val="28"/>
          <w:szCs w:val="28"/>
        </w:rPr>
        <w:t>–</w:t>
      </w:r>
      <w:r w:rsidRPr="006F2B87">
        <w:rPr>
          <w:rFonts w:ascii="Arial Black" w:hAnsi="Arial Black"/>
          <w:sz w:val="28"/>
          <w:szCs w:val="28"/>
        </w:rPr>
        <w:t xml:space="preserve"> </w:t>
      </w:r>
      <w:r>
        <w:rPr>
          <w:rFonts w:ascii="Arial Black" w:hAnsi="Arial Black"/>
          <w:sz w:val="28"/>
          <w:szCs w:val="28"/>
        </w:rPr>
        <w:t xml:space="preserve">2 </w:t>
      </w:r>
      <w:r w:rsidRPr="006F2B87">
        <w:rPr>
          <w:rFonts w:ascii="Arial Black" w:hAnsi="Arial Black"/>
          <w:sz w:val="28"/>
          <w:szCs w:val="28"/>
        </w:rPr>
        <w:t>FF GROSS NEG.</w:t>
      </w:r>
      <w:r>
        <w:rPr>
          <w:rFonts w:ascii="Arial Black" w:hAnsi="Arial Black"/>
          <w:sz w:val="28"/>
          <w:szCs w:val="28"/>
        </w:rPr>
        <w:t xml:space="preserve"> CASE</w:t>
      </w:r>
    </w:p>
    <w:p w14:paraId="72619C3E" w14:textId="77777777" w:rsidR="00B12A0F" w:rsidRPr="006F2B87" w:rsidRDefault="00B12A0F" w:rsidP="00B12A0F">
      <w:pPr>
        <w:pStyle w:val="NoSpacing"/>
      </w:pPr>
    </w:p>
    <w:p w14:paraId="25B3F7A0" w14:textId="77777777" w:rsidR="00B12A0F" w:rsidRPr="00795A89" w:rsidRDefault="00B12A0F" w:rsidP="00B12A0F">
      <w:pPr>
        <w:pStyle w:val="NoSpacing"/>
        <w:rPr>
          <w:rFonts w:ascii="Times New Roman" w:hAnsi="Times New Roman"/>
          <w:sz w:val="24"/>
          <w:szCs w:val="24"/>
        </w:rPr>
      </w:pPr>
      <w:r w:rsidRPr="00795A89">
        <w:rPr>
          <w:rFonts w:ascii="Times New Roman" w:hAnsi="Times New Roman"/>
          <w:sz w:val="24"/>
          <w:szCs w:val="24"/>
        </w:rPr>
        <w:lastRenderedPageBreak/>
        <w:t xml:space="preserve">On May 14, 2025, in </w:t>
      </w:r>
      <w:r w:rsidRPr="00795A89">
        <w:rPr>
          <w:rFonts w:ascii="Times New Roman" w:hAnsi="Times New Roman"/>
          <w:sz w:val="24"/>
          <w:szCs w:val="24"/>
          <w:u w:val="single"/>
        </w:rPr>
        <w:t>Crystal Cooper, individually and as personal representative of the Estate of Lamar D. Mitchell and the Estate of Zyaire Mitchell v. City of Flint, and Flint Fire Department, and Sergeant Daniel Sniegocki and Firefighter Michael Zlotek</w:t>
      </w:r>
      <w:r w:rsidRPr="00795A89">
        <w:rPr>
          <w:rFonts w:ascii="Times New Roman" w:hAnsi="Times New Roman"/>
          <w:sz w:val="24"/>
          <w:szCs w:val="24"/>
        </w:rPr>
        <w:t xml:space="preserve">, the State of Michigan Court of Appeals held (3 to 0; unpublished decision) that trial court properly refused to dismiss the lawsuit against the two firefighters since there is sufficient evidence for a jury to find gross negligence by two firefighters in their primary search of the house (City and fire department did not part of this appeal).  </w:t>
      </w:r>
    </w:p>
    <w:p w14:paraId="042F8DC5" w14:textId="77777777" w:rsidR="00B12A0F" w:rsidRPr="00795A89" w:rsidRDefault="00B12A0F" w:rsidP="00B12A0F">
      <w:pPr>
        <w:pStyle w:val="NoSpacing"/>
        <w:rPr>
          <w:rFonts w:ascii="Times New Roman" w:hAnsi="Times New Roman"/>
          <w:sz w:val="24"/>
          <w:szCs w:val="24"/>
        </w:rPr>
      </w:pPr>
    </w:p>
    <w:p w14:paraId="549A898E" w14:textId="30FC49AC" w:rsidR="00B12A0F" w:rsidRPr="00795A89" w:rsidRDefault="00B12A0F" w:rsidP="00B12A0F">
      <w:pPr>
        <w:pStyle w:val="NoSpacing"/>
        <w:rPr>
          <w:rFonts w:ascii="Times New Roman" w:hAnsi="Times New Roman"/>
          <w:sz w:val="24"/>
          <w:szCs w:val="24"/>
        </w:rPr>
      </w:pPr>
      <w:r w:rsidRPr="00795A89">
        <w:rPr>
          <w:rFonts w:ascii="Times New Roman" w:hAnsi="Times New Roman"/>
          <w:sz w:val="24"/>
          <w:szCs w:val="24"/>
        </w:rPr>
        <w:t xml:space="preserve">The Court wrote: “This case arose from a house fire that took place in May 2022. Defendants were among the first firefighters who responded to the scene, and they were ordered to perform a primary search of the house. Defendants stated in their respective postfire reports that, before searching the house, they had been informed that there might be </w:t>
      </w:r>
      <w:proofErr w:type="gramStart"/>
      <w:r w:rsidRPr="00795A89">
        <w:rPr>
          <w:rFonts w:ascii="Times New Roman" w:hAnsi="Times New Roman"/>
          <w:sz w:val="24"/>
          <w:szCs w:val="24"/>
        </w:rPr>
        <w:t>persons</w:t>
      </w:r>
      <w:proofErr w:type="gramEnd"/>
      <w:r w:rsidRPr="00795A89">
        <w:rPr>
          <w:rFonts w:ascii="Times New Roman" w:hAnsi="Times New Roman"/>
          <w:sz w:val="24"/>
          <w:szCs w:val="24"/>
        </w:rPr>
        <w:t xml:space="preserve"> trapped inside, but they found no entrapped victims after they searched the first and second floors of the house. Approximately seven minutes after defendants’ search, a second crew was ordered to go</w:t>
      </w:r>
      <w:r w:rsidR="00795A89">
        <w:rPr>
          <w:rFonts w:ascii="Times New Roman" w:hAnsi="Times New Roman"/>
          <w:sz w:val="24"/>
          <w:szCs w:val="24"/>
        </w:rPr>
        <w:t xml:space="preserve"> </w:t>
      </w:r>
      <w:r w:rsidRPr="00795A89">
        <w:rPr>
          <w:rFonts w:ascii="Times New Roman" w:hAnsi="Times New Roman"/>
          <w:sz w:val="24"/>
          <w:szCs w:val="24"/>
        </w:rPr>
        <w:t>to the second floor and open windows, remove an air-conditioning unit, and conduct secondary</w:t>
      </w:r>
    </w:p>
    <w:p w14:paraId="479BFB2E" w14:textId="77777777" w:rsidR="00B12A0F" w:rsidRPr="00795A89" w:rsidRDefault="00B12A0F" w:rsidP="00B12A0F">
      <w:pPr>
        <w:pStyle w:val="NoSpacing"/>
        <w:rPr>
          <w:rFonts w:ascii="Times New Roman" w:hAnsi="Times New Roman"/>
          <w:sz w:val="24"/>
          <w:szCs w:val="24"/>
        </w:rPr>
      </w:pPr>
      <w:r w:rsidRPr="00795A89">
        <w:rPr>
          <w:rFonts w:ascii="Times New Roman" w:hAnsi="Times New Roman"/>
          <w:sz w:val="24"/>
          <w:szCs w:val="24"/>
        </w:rPr>
        <w:t>searches. This crew located Lamar and Zyaire in one of the second-floor bedrooms. Lamar was</w:t>
      </w:r>
    </w:p>
    <w:p w14:paraId="45FFF172" w14:textId="77777777" w:rsidR="00B12A0F" w:rsidRPr="00795A89" w:rsidRDefault="00B12A0F" w:rsidP="00B12A0F">
      <w:pPr>
        <w:pStyle w:val="NoSpacing"/>
        <w:rPr>
          <w:rFonts w:ascii="Times New Roman" w:hAnsi="Times New Roman"/>
          <w:sz w:val="24"/>
          <w:szCs w:val="24"/>
        </w:rPr>
      </w:pPr>
      <w:r w:rsidRPr="00795A89">
        <w:rPr>
          <w:rFonts w:ascii="Times New Roman" w:hAnsi="Times New Roman"/>
          <w:sz w:val="24"/>
          <w:szCs w:val="24"/>
        </w:rPr>
        <w:t>face-down on the floor, and Zyaire was face-down with his body half on a bed. Lamar and Zyaire</w:t>
      </w:r>
    </w:p>
    <w:p w14:paraId="06DE852C" w14:textId="77777777" w:rsidR="00B12A0F" w:rsidRPr="00795A89" w:rsidRDefault="00B12A0F" w:rsidP="00B12A0F">
      <w:pPr>
        <w:pStyle w:val="NoSpacing"/>
        <w:rPr>
          <w:rFonts w:ascii="Times New Roman" w:hAnsi="Times New Roman"/>
          <w:sz w:val="24"/>
          <w:szCs w:val="24"/>
        </w:rPr>
      </w:pPr>
      <w:r w:rsidRPr="00795A89">
        <w:rPr>
          <w:rFonts w:ascii="Times New Roman" w:hAnsi="Times New Roman"/>
          <w:sz w:val="24"/>
          <w:szCs w:val="24"/>
        </w:rPr>
        <w:t xml:space="preserve">were immediately taken to Henry Ford Hospital, where they both died a few days later. The chief of the Flint Fire Department, Raymond Barton, investigated the fire with emphasis on defendants’ performance. He prepared a report that included a statement from the lieutenant who led the crew that discovered the decedents during the secondary search. The lieutenant concluded that defendants could not have entered the bedroom where the decedents were found and missed </w:t>
      </w:r>
      <w:proofErr w:type="gramStart"/>
      <w:r w:rsidRPr="00795A89">
        <w:rPr>
          <w:rFonts w:ascii="Times New Roman" w:hAnsi="Times New Roman"/>
          <w:sz w:val="24"/>
          <w:szCs w:val="24"/>
        </w:rPr>
        <w:t>them, and</w:t>
      </w:r>
      <w:proofErr w:type="gramEnd"/>
      <w:r w:rsidRPr="00795A89">
        <w:rPr>
          <w:rFonts w:ascii="Times New Roman" w:hAnsi="Times New Roman"/>
          <w:sz w:val="24"/>
          <w:szCs w:val="24"/>
        </w:rPr>
        <w:t xml:space="preserve"> determined that defendants provided false statements about their search. After conducting his own independent investigation at the site of the fire and reviewing defendants’ incident write-up reports, Chief Barton likewise concluded that defendants made false</w:t>
      </w:r>
    </w:p>
    <w:p w14:paraId="394BD30C" w14:textId="02FD0C88" w:rsidR="00B12A0F" w:rsidRPr="00795A89" w:rsidRDefault="00B12A0F" w:rsidP="00B12A0F">
      <w:pPr>
        <w:pStyle w:val="NoSpacing"/>
        <w:rPr>
          <w:rFonts w:ascii="Times New Roman" w:hAnsi="Times New Roman"/>
          <w:sz w:val="24"/>
          <w:szCs w:val="24"/>
        </w:rPr>
      </w:pPr>
      <w:r w:rsidRPr="00795A89">
        <w:rPr>
          <w:rFonts w:ascii="Times New Roman" w:hAnsi="Times New Roman"/>
          <w:sz w:val="24"/>
          <w:szCs w:val="24"/>
        </w:rPr>
        <w:t>statements in their reports because, if defendants had searched the second floor in the way they</w:t>
      </w:r>
      <w:r w:rsidR="00795A89">
        <w:rPr>
          <w:rFonts w:ascii="Times New Roman" w:hAnsi="Times New Roman"/>
          <w:sz w:val="24"/>
          <w:szCs w:val="24"/>
        </w:rPr>
        <w:t xml:space="preserve"> </w:t>
      </w:r>
      <w:r w:rsidRPr="00795A89">
        <w:rPr>
          <w:rFonts w:ascii="Times New Roman" w:hAnsi="Times New Roman"/>
          <w:sz w:val="24"/>
          <w:szCs w:val="24"/>
        </w:rPr>
        <w:t>described, they would have found the decedents. The chief determined that, contrary to</w:t>
      </w:r>
      <w:r w:rsidR="00795A89">
        <w:rPr>
          <w:rFonts w:ascii="Times New Roman" w:hAnsi="Times New Roman"/>
          <w:sz w:val="24"/>
          <w:szCs w:val="24"/>
        </w:rPr>
        <w:t xml:space="preserve"> </w:t>
      </w:r>
      <w:r w:rsidRPr="00795A89">
        <w:rPr>
          <w:rFonts w:ascii="Times New Roman" w:hAnsi="Times New Roman"/>
          <w:sz w:val="24"/>
          <w:szCs w:val="24"/>
        </w:rPr>
        <w:t>defendants’ representations, they “neglected to perform the tasks of completing a sweep of the</w:t>
      </w:r>
      <w:r w:rsidR="00795A89">
        <w:rPr>
          <w:rFonts w:ascii="Times New Roman" w:hAnsi="Times New Roman"/>
          <w:sz w:val="24"/>
          <w:szCs w:val="24"/>
        </w:rPr>
        <w:t xml:space="preserve"> </w:t>
      </w:r>
      <w:r w:rsidRPr="00795A89">
        <w:rPr>
          <w:rFonts w:ascii="Times New Roman" w:hAnsi="Times New Roman"/>
          <w:sz w:val="24"/>
          <w:szCs w:val="24"/>
        </w:rPr>
        <w:t xml:space="preserve">second floor,” which led to a delay in finding the decedents. </w:t>
      </w:r>
      <w:proofErr w:type="gramStart"/>
      <w:r w:rsidRPr="00795A89">
        <w:rPr>
          <w:rFonts w:ascii="Times New Roman" w:hAnsi="Times New Roman"/>
          <w:sz w:val="24"/>
          <w:szCs w:val="24"/>
        </w:rPr>
        <w:t>On the basis of</w:t>
      </w:r>
      <w:proofErr w:type="gramEnd"/>
      <w:r w:rsidRPr="00795A89">
        <w:rPr>
          <w:rFonts w:ascii="Times New Roman" w:hAnsi="Times New Roman"/>
          <w:sz w:val="24"/>
          <w:szCs w:val="24"/>
        </w:rPr>
        <w:t xml:space="preserve"> his findings, Chief</w:t>
      </w:r>
      <w:r w:rsidR="00795A89">
        <w:rPr>
          <w:rFonts w:ascii="Times New Roman" w:hAnsi="Times New Roman"/>
          <w:sz w:val="24"/>
          <w:szCs w:val="24"/>
        </w:rPr>
        <w:t xml:space="preserve"> </w:t>
      </w:r>
      <w:r w:rsidRPr="00795A89">
        <w:rPr>
          <w:rFonts w:ascii="Times New Roman" w:hAnsi="Times New Roman"/>
          <w:sz w:val="24"/>
          <w:szCs w:val="24"/>
        </w:rPr>
        <w:t xml:space="preserve">Barton terminated defendants’ employment with the Flint Fire Department. *** Plaintiff’s amended complaint does not allege that defendants had an affirmative duty to protect the decedents from harm but that defendants had a duty to use due care when conducting their search of the second floor of plaintiff’s home. Accordingly, the lack of a special relationship between defendants and the decedents is not dispositive to whether defendants owed a duty to the decedents. Instead, for the reasons explained, we conclude that defendants had a duty to conduct their search of the decedents’ home in a manner that was not grossly negligent. Plaintiff’s amended complaint alleges that defendants breached this duty, and that is sufficient to survive defendants’ motion for summary disposition at this early stage in the litigation.” </w:t>
      </w:r>
      <w:hyperlink r:id="rId864" w:history="1">
        <w:r w:rsidRPr="00795A89">
          <w:rPr>
            <w:rStyle w:val="Hyperlink"/>
            <w:rFonts w:ascii="Times New Roman" w:hAnsi="Times New Roman"/>
            <w:sz w:val="24"/>
            <w:szCs w:val="24"/>
          </w:rPr>
          <w:t>https://cases.justia.com/michigan/court-of-appeals-unpublished/2025-368583.pdf?ts=1747314007</w:t>
        </w:r>
      </w:hyperlink>
      <w:r w:rsidRPr="00795A89">
        <w:rPr>
          <w:rFonts w:ascii="Times New Roman" w:hAnsi="Times New Roman"/>
          <w:sz w:val="24"/>
          <w:szCs w:val="24"/>
        </w:rPr>
        <w:t xml:space="preserve"> </w:t>
      </w:r>
    </w:p>
    <w:p w14:paraId="2CEC4CFA" w14:textId="77777777" w:rsidR="00B12A0F" w:rsidRPr="00795A89" w:rsidRDefault="00B12A0F" w:rsidP="00B12A0F">
      <w:pPr>
        <w:pStyle w:val="NoSpacing"/>
        <w:rPr>
          <w:rFonts w:ascii="Times New Roman" w:hAnsi="Times New Roman"/>
          <w:sz w:val="24"/>
          <w:szCs w:val="24"/>
        </w:rPr>
      </w:pPr>
    </w:p>
    <w:p w14:paraId="762B9C97" w14:textId="77777777" w:rsidR="00744788" w:rsidRPr="00744788" w:rsidRDefault="00744788" w:rsidP="00744788">
      <w:pPr>
        <w:pStyle w:val="NoSpacing"/>
        <w:rPr>
          <w:rFonts w:ascii="Times New Roman" w:hAnsi="Times New Roman"/>
          <w:sz w:val="24"/>
          <w:szCs w:val="24"/>
        </w:rPr>
      </w:pPr>
      <w:r w:rsidRPr="00744788">
        <w:rPr>
          <w:rFonts w:ascii="Times New Roman" w:hAnsi="Times New Roman"/>
          <w:b/>
          <w:sz w:val="24"/>
          <w:szCs w:val="24"/>
        </w:rPr>
        <w:t xml:space="preserve">Legal Lesson Learned: Immunity denied; sufficient evidence of gross negligence for case to go to a jury.  </w:t>
      </w:r>
    </w:p>
    <w:p w14:paraId="022348A4" w14:textId="77777777" w:rsidR="00744788" w:rsidRPr="00744788" w:rsidRDefault="00744788" w:rsidP="00744788">
      <w:pPr>
        <w:pStyle w:val="NoSpacing"/>
        <w:rPr>
          <w:rFonts w:ascii="Times New Roman" w:hAnsi="Times New Roman"/>
          <w:sz w:val="24"/>
          <w:szCs w:val="24"/>
        </w:rPr>
      </w:pPr>
    </w:p>
    <w:p w14:paraId="1EA671C1" w14:textId="77777777" w:rsidR="00744788" w:rsidRPr="00744788" w:rsidRDefault="00744788" w:rsidP="00744788">
      <w:pPr>
        <w:pStyle w:val="NoSpacing"/>
        <w:ind w:left="720"/>
        <w:rPr>
          <w:rFonts w:ascii="Times New Roman" w:hAnsi="Times New Roman"/>
          <w:b/>
          <w:bCs/>
          <w:sz w:val="24"/>
          <w:szCs w:val="24"/>
        </w:rPr>
      </w:pPr>
      <w:r w:rsidRPr="00744788">
        <w:rPr>
          <w:rFonts w:ascii="Times New Roman" w:hAnsi="Times New Roman"/>
          <w:sz w:val="24"/>
          <w:szCs w:val="24"/>
        </w:rPr>
        <w:t xml:space="preserve">Note: See May 15, </w:t>
      </w:r>
      <w:proofErr w:type="gramStart"/>
      <w:r w:rsidRPr="00744788">
        <w:rPr>
          <w:rFonts w:ascii="Times New Roman" w:hAnsi="Times New Roman"/>
          <w:sz w:val="24"/>
          <w:szCs w:val="24"/>
        </w:rPr>
        <w:t>2025</w:t>
      </w:r>
      <w:proofErr w:type="gramEnd"/>
      <w:r w:rsidRPr="00744788">
        <w:rPr>
          <w:rFonts w:ascii="Times New Roman" w:hAnsi="Times New Roman"/>
          <w:sz w:val="24"/>
          <w:szCs w:val="24"/>
        </w:rPr>
        <w:t xml:space="preserve"> article, “Lawsuit Against MI Firefighters Who Issued All-Clear at Fatal Fire Can Continue.” </w:t>
      </w:r>
      <w:hyperlink r:id="rId865" w:history="1">
        <w:r w:rsidRPr="00744788">
          <w:rPr>
            <w:rStyle w:val="Hyperlink"/>
            <w:rFonts w:ascii="Times New Roman" w:hAnsi="Times New Roman"/>
            <w:sz w:val="24"/>
            <w:szCs w:val="24"/>
          </w:rPr>
          <w:t>https://www.fireengineering.com/firefighting/lawsuit-against-mi-firefighters-who-issued-all-clear-at-fatal-fire-can-continue/?utm_source=fe_daily_newsletter&amp;utm_medium=email&amp;utm_campaign</w:t>
        </w:r>
      </w:hyperlink>
    </w:p>
    <w:p w14:paraId="7266B91A" w14:textId="77777777" w:rsidR="00744788" w:rsidRPr="00744788" w:rsidRDefault="00744788" w:rsidP="00744788">
      <w:pPr>
        <w:pStyle w:val="NoSpacing"/>
        <w:rPr>
          <w:rFonts w:ascii="Times New Roman" w:hAnsi="Times New Roman"/>
          <w:bCs/>
          <w:sz w:val="24"/>
          <w:szCs w:val="24"/>
        </w:rPr>
      </w:pPr>
    </w:p>
    <w:p w14:paraId="5A6F2008" w14:textId="77777777" w:rsidR="00B12A0F" w:rsidRDefault="00B12A0F" w:rsidP="002B1283">
      <w:pPr>
        <w:rPr>
          <w:rStyle w:val="Hyperlink"/>
          <w:rFonts w:ascii="Arial Black" w:hAnsi="Arial Black"/>
          <w:b/>
          <w:color w:val="auto"/>
          <w:sz w:val="24"/>
          <w:szCs w:val="24"/>
          <w:u w:val="none"/>
        </w:rPr>
      </w:pPr>
    </w:p>
    <w:p w14:paraId="40E24AFF" w14:textId="77777777" w:rsidR="00B12A0F" w:rsidRDefault="00B12A0F" w:rsidP="002B1283">
      <w:pPr>
        <w:rPr>
          <w:rStyle w:val="Hyperlink"/>
          <w:rFonts w:ascii="Arial Black" w:hAnsi="Arial Black"/>
          <w:b/>
          <w:color w:val="auto"/>
          <w:sz w:val="24"/>
          <w:szCs w:val="24"/>
          <w:u w:val="none"/>
        </w:rPr>
      </w:pPr>
    </w:p>
    <w:p w14:paraId="21C60F9B" w14:textId="1EF53AED" w:rsidR="009B5296" w:rsidRDefault="009B5296" w:rsidP="002B1283">
      <w:pPr>
        <w:rPr>
          <w:rStyle w:val="Hyperlink"/>
          <w:rFonts w:ascii="Arial Black" w:hAnsi="Arial Black"/>
          <w:b/>
          <w:color w:val="auto"/>
          <w:sz w:val="24"/>
          <w:szCs w:val="24"/>
          <w:u w:val="none"/>
        </w:rPr>
      </w:pPr>
      <w:r>
        <w:rPr>
          <w:rStyle w:val="Hyperlink"/>
          <w:rFonts w:ascii="Arial Black" w:hAnsi="Arial Black"/>
          <w:b/>
          <w:color w:val="auto"/>
          <w:sz w:val="24"/>
          <w:szCs w:val="24"/>
          <w:u w:val="none"/>
        </w:rPr>
        <w:t>4-45</w:t>
      </w:r>
    </w:p>
    <w:p w14:paraId="77F8E79C" w14:textId="77777777" w:rsidR="005035FF" w:rsidRPr="00CE29BB" w:rsidRDefault="005035FF" w:rsidP="005035FF">
      <w:pPr>
        <w:rPr>
          <w:rFonts w:ascii="Arial Black" w:hAnsi="Arial Black"/>
          <w:b/>
          <w:sz w:val="28"/>
          <w:szCs w:val="28"/>
        </w:rPr>
      </w:pPr>
      <w:r>
        <w:rPr>
          <w:rFonts w:ascii="Arial Black" w:hAnsi="Arial Black"/>
          <w:b/>
          <w:sz w:val="28"/>
          <w:szCs w:val="28"/>
        </w:rPr>
        <w:t>U.S. SUP. CT: NOT HEAR HOMEOWNER’S APPEAL - SWAT $50K DAMAGE - 5</w:t>
      </w:r>
      <w:r w:rsidRPr="00C05043">
        <w:rPr>
          <w:rFonts w:ascii="Arial Black" w:hAnsi="Arial Black"/>
          <w:b/>
          <w:sz w:val="28"/>
          <w:szCs w:val="28"/>
          <w:vertAlign w:val="superscript"/>
        </w:rPr>
        <w:t>th</w:t>
      </w:r>
      <w:r>
        <w:rPr>
          <w:rFonts w:ascii="Arial Black" w:hAnsi="Arial Black"/>
          <w:b/>
          <w:sz w:val="28"/>
          <w:szCs w:val="28"/>
        </w:rPr>
        <w:t xml:space="preserve"> CIR: CITY NOT LIABLE / “EMERGENCY” </w:t>
      </w:r>
    </w:p>
    <w:p w14:paraId="3B2E8E5D" w14:textId="22DA3FD0" w:rsidR="009B5296" w:rsidRPr="00965945" w:rsidRDefault="005035FF" w:rsidP="005035FF">
      <w:pPr>
        <w:rPr>
          <w:rStyle w:val="Hyperlink"/>
          <w:rFonts w:ascii="Times New Roman" w:hAnsi="Times New Roman"/>
          <w:sz w:val="24"/>
          <w:szCs w:val="24"/>
        </w:rPr>
      </w:pPr>
      <w:r w:rsidRPr="00965945">
        <w:rPr>
          <w:rFonts w:ascii="Times New Roman" w:hAnsi="Times New Roman"/>
          <w:sz w:val="24"/>
          <w:szCs w:val="24"/>
        </w:rPr>
        <w:lastRenderedPageBreak/>
        <w:t xml:space="preserve">On Nov. 25, 2024, in </w:t>
      </w:r>
      <w:r w:rsidRPr="00965945">
        <w:rPr>
          <w:rFonts w:ascii="Times New Roman" w:hAnsi="Times New Roman"/>
          <w:sz w:val="24"/>
          <w:szCs w:val="24"/>
          <w:u w:val="single"/>
        </w:rPr>
        <w:t>Vicki Baker v. City of McKinley, Texas</w:t>
      </w:r>
      <w:r w:rsidRPr="00965945">
        <w:rPr>
          <w:rFonts w:ascii="Times New Roman" w:hAnsi="Times New Roman"/>
          <w:sz w:val="24"/>
          <w:szCs w:val="24"/>
        </w:rPr>
        <w:t>, the U.S. Supreme Court declined to hear the appeal of the homeowner (need at least 4 or 9 Justices to agree to hear case by issuing a Writ of Certiorari).  The homeowner won a jury verdict of about $60,000, but this was reversed by the 5</w:t>
      </w:r>
      <w:r w:rsidRPr="00965945">
        <w:rPr>
          <w:rFonts w:ascii="Times New Roman" w:hAnsi="Times New Roman"/>
          <w:sz w:val="24"/>
          <w:szCs w:val="24"/>
          <w:vertAlign w:val="superscript"/>
        </w:rPr>
        <w:t>th</w:t>
      </w:r>
      <w:r w:rsidRPr="00965945">
        <w:rPr>
          <w:rFonts w:ascii="Times New Roman" w:hAnsi="Times New Roman"/>
          <w:sz w:val="24"/>
          <w:szCs w:val="24"/>
        </w:rPr>
        <w:t xml:space="preserve"> Circuit.  U.S. Supreme Court Justice Sonia Maria Sotomayor, joined by Justice Neil Gorsuch, filed a statement urging the Court to hear the appeal.  The Justice wrote: “By the time the officers gained entry, </w:t>
      </w:r>
      <w:proofErr w:type="gramStart"/>
      <w:r w:rsidRPr="00965945">
        <w:rPr>
          <w:rFonts w:ascii="Times New Roman" w:hAnsi="Times New Roman"/>
          <w:sz w:val="24"/>
          <w:szCs w:val="24"/>
        </w:rPr>
        <w:t>Little</w:t>
      </w:r>
      <w:proofErr w:type="gramEnd"/>
      <w:r w:rsidRPr="00965945">
        <w:rPr>
          <w:rFonts w:ascii="Times New Roman" w:hAnsi="Times New Roman"/>
          <w:sz w:val="24"/>
          <w:szCs w:val="24"/>
        </w:rPr>
        <w:t xml:space="preserve"> had taken his own life.  [Little was a fugitive who had kidnapped 15-year-old girl; he had previously done some construction work at house before Baker fired him.] All agree that the McKinney police acted properly that day and that their actions were necessary to prevent harm to themselves and the public. *** The Court’s denial of certiorari expresses no view on the merits of the decision below. I write separately to emphasize that petitioner raises a serious question: whether the Takings Clause permits the government to destroy private property without paying just compensation, </w:t>
      </w:r>
      <w:proofErr w:type="gramStart"/>
      <w:r w:rsidRPr="00965945">
        <w:rPr>
          <w:rFonts w:ascii="Times New Roman" w:hAnsi="Times New Roman"/>
          <w:sz w:val="24"/>
          <w:szCs w:val="24"/>
        </w:rPr>
        <w:t>as long as</w:t>
      </w:r>
      <w:proofErr w:type="gramEnd"/>
      <w:r w:rsidRPr="00965945">
        <w:rPr>
          <w:rFonts w:ascii="Times New Roman" w:hAnsi="Times New Roman"/>
          <w:sz w:val="24"/>
          <w:szCs w:val="24"/>
        </w:rPr>
        <w:t xml:space="preserve"> the government had no choice but to do so.”  </w:t>
      </w:r>
      <w:hyperlink r:id="rId866" w:history="1">
        <w:r w:rsidRPr="00965945">
          <w:rPr>
            <w:rStyle w:val="Hyperlink"/>
            <w:rFonts w:ascii="Times New Roman" w:hAnsi="Times New Roman"/>
            <w:sz w:val="24"/>
            <w:szCs w:val="24"/>
          </w:rPr>
          <w:t>https://www.supremecourt.gov/opinions/24pdf/23-1363_d1o3.pdf</w:t>
        </w:r>
      </w:hyperlink>
    </w:p>
    <w:p w14:paraId="7E88F895" w14:textId="77777777" w:rsidR="00965945" w:rsidRPr="00965945" w:rsidRDefault="00965945" w:rsidP="00965945">
      <w:pPr>
        <w:pStyle w:val="NoSpacing"/>
        <w:rPr>
          <w:rFonts w:ascii="Times New Roman" w:hAnsi="Times New Roman"/>
          <w:b/>
          <w:bCs/>
          <w:sz w:val="24"/>
          <w:szCs w:val="24"/>
        </w:rPr>
      </w:pPr>
      <w:r w:rsidRPr="00965945">
        <w:rPr>
          <w:rFonts w:ascii="Times New Roman" w:hAnsi="Times New Roman"/>
          <w:b/>
          <w:sz w:val="24"/>
          <w:szCs w:val="24"/>
        </w:rPr>
        <w:t>Legal Lesson Learned: Fire &amp; EMS on occasion may need to force their way into a home.  The 5</w:t>
      </w:r>
      <w:r w:rsidRPr="00965945">
        <w:rPr>
          <w:rFonts w:ascii="Times New Roman" w:hAnsi="Times New Roman"/>
          <w:b/>
          <w:sz w:val="24"/>
          <w:szCs w:val="24"/>
          <w:vertAlign w:val="superscript"/>
        </w:rPr>
        <w:t>th</w:t>
      </w:r>
      <w:r w:rsidRPr="00965945">
        <w:rPr>
          <w:rFonts w:ascii="Times New Roman" w:hAnsi="Times New Roman"/>
          <w:b/>
          <w:sz w:val="24"/>
          <w:szCs w:val="24"/>
        </w:rPr>
        <w:t xml:space="preserve"> Circuit standard of “objectively necessary” may be a precedent that a municipality can cite in refusing to pay for the damage.</w:t>
      </w:r>
    </w:p>
    <w:p w14:paraId="67B55E78" w14:textId="77777777" w:rsidR="00965945" w:rsidRPr="00965945" w:rsidRDefault="00965945" w:rsidP="00965945">
      <w:pPr>
        <w:ind w:left="720"/>
        <w:rPr>
          <w:rFonts w:ascii="Times New Roman" w:hAnsi="Times New Roman"/>
          <w:sz w:val="24"/>
          <w:szCs w:val="24"/>
        </w:rPr>
      </w:pPr>
    </w:p>
    <w:p w14:paraId="33F602A0" w14:textId="77777777" w:rsidR="00965945" w:rsidRPr="00965945" w:rsidRDefault="00965945" w:rsidP="00965945">
      <w:pPr>
        <w:ind w:left="720"/>
        <w:rPr>
          <w:rFonts w:ascii="Times New Roman" w:hAnsi="Times New Roman"/>
          <w:b/>
          <w:sz w:val="24"/>
          <w:szCs w:val="24"/>
        </w:rPr>
      </w:pPr>
      <w:r w:rsidRPr="00965945">
        <w:rPr>
          <w:rFonts w:ascii="Times New Roman" w:hAnsi="Times New Roman"/>
          <w:sz w:val="24"/>
          <w:szCs w:val="24"/>
        </w:rPr>
        <w:t xml:space="preserve">Note: See Nov. 25, </w:t>
      </w:r>
      <w:proofErr w:type="gramStart"/>
      <w:r w:rsidRPr="00965945">
        <w:rPr>
          <w:rFonts w:ascii="Times New Roman" w:hAnsi="Times New Roman"/>
          <w:sz w:val="24"/>
          <w:szCs w:val="24"/>
        </w:rPr>
        <w:t>2024</w:t>
      </w:r>
      <w:proofErr w:type="gramEnd"/>
      <w:r w:rsidRPr="00965945">
        <w:rPr>
          <w:rFonts w:ascii="Times New Roman" w:hAnsi="Times New Roman"/>
          <w:sz w:val="24"/>
          <w:szCs w:val="24"/>
        </w:rPr>
        <w:t xml:space="preserve"> article and photo of house. </w:t>
      </w:r>
      <w:r w:rsidRPr="00965945">
        <w:rPr>
          <w:rFonts w:ascii="Times New Roman" w:hAnsi="Times New Roman"/>
          <w:bCs/>
          <w:sz w:val="24"/>
          <w:szCs w:val="24"/>
        </w:rPr>
        <w:t xml:space="preserve">“Supreme Court won't hear case of woman whose former McKinney home was 'destroyed' by SWAT team during hostage standoff.” </w:t>
      </w:r>
      <w:hyperlink r:id="rId867" w:history="1">
        <w:r w:rsidRPr="00965945">
          <w:rPr>
            <w:rStyle w:val="Hyperlink"/>
            <w:rFonts w:ascii="Times New Roman" w:hAnsi="Times New Roman"/>
            <w:bCs/>
            <w:sz w:val="24"/>
            <w:szCs w:val="24"/>
          </w:rPr>
          <w:t>https://www.wfaa.com/article/news/local/collin-county/supreme-court-declines-case-swat-team-mckinney-hostage-standoff/287-73f00e4e-b131-4285-b541-236c48ef79d0</w:t>
        </w:r>
      </w:hyperlink>
      <w:r w:rsidRPr="00965945">
        <w:rPr>
          <w:rFonts w:ascii="Times New Roman" w:hAnsi="Times New Roman"/>
          <w:b/>
          <w:sz w:val="24"/>
          <w:szCs w:val="24"/>
        </w:rPr>
        <w:t xml:space="preserve"> </w:t>
      </w:r>
    </w:p>
    <w:p w14:paraId="7FCF9694" w14:textId="77777777" w:rsidR="00965945" w:rsidRPr="00965945" w:rsidRDefault="00965945" w:rsidP="00965945">
      <w:pPr>
        <w:pStyle w:val="NoSpacing"/>
        <w:ind w:left="720"/>
        <w:rPr>
          <w:rFonts w:ascii="Times New Roman" w:hAnsi="Times New Roman"/>
          <w:sz w:val="24"/>
          <w:szCs w:val="24"/>
        </w:rPr>
      </w:pPr>
    </w:p>
    <w:p w14:paraId="59D09F87" w14:textId="77777777" w:rsidR="00965945" w:rsidRPr="00965945" w:rsidRDefault="00965945" w:rsidP="00965945">
      <w:pPr>
        <w:pStyle w:val="NoSpacing"/>
        <w:ind w:left="720"/>
        <w:rPr>
          <w:rFonts w:ascii="Times New Roman" w:hAnsi="Times New Roman"/>
          <w:sz w:val="24"/>
          <w:szCs w:val="24"/>
        </w:rPr>
      </w:pPr>
      <w:r w:rsidRPr="00965945">
        <w:rPr>
          <w:rFonts w:ascii="Times New Roman" w:hAnsi="Times New Roman"/>
          <w:sz w:val="24"/>
          <w:szCs w:val="24"/>
        </w:rPr>
        <w:t>See the 5</w:t>
      </w:r>
      <w:r w:rsidRPr="00965945">
        <w:rPr>
          <w:rFonts w:ascii="Times New Roman" w:hAnsi="Times New Roman"/>
          <w:sz w:val="24"/>
          <w:szCs w:val="24"/>
          <w:vertAlign w:val="superscript"/>
        </w:rPr>
        <w:t>th</w:t>
      </w:r>
      <w:r w:rsidRPr="00965945">
        <w:rPr>
          <w:rFonts w:ascii="Times New Roman" w:hAnsi="Times New Roman"/>
          <w:sz w:val="24"/>
          <w:szCs w:val="24"/>
        </w:rPr>
        <w:t xml:space="preserve"> Circuit’s decision, Oct. 11, 2023. </w:t>
      </w:r>
      <w:hyperlink r:id="rId868" w:history="1">
        <w:r w:rsidRPr="00965945">
          <w:rPr>
            <w:rStyle w:val="Hyperlink"/>
            <w:rFonts w:ascii="Times New Roman" w:hAnsi="Times New Roman"/>
            <w:sz w:val="24"/>
            <w:szCs w:val="24"/>
          </w:rPr>
          <w:t>https://www.ca5.uscourts.gov/opinions/pub/22/22-40644-CV0.pdf</w:t>
        </w:r>
      </w:hyperlink>
      <w:r w:rsidRPr="00965945">
        <w:rPr>
          <w:rFonts w:ascii="Times New Roman" w:hAnsi="Times New Roman"/>
          <w:sz w:val="24"/>
          <w:szCs w:val="24"/>
        </w:rPr>
        <w:t xml:space="preserve">  </w:t>
      </w:r>
    </w:p>
    <w:p w14:paraId="3384F04F" w14:textId="77777777" w:rsidR="00965945" w:rsidRPr="00965945" w:rsidRDefault="00965945" w:rsidP="00965945">
      <w:pPr>
        <w:pStyle w:val="NoSpacing"/>
        <w:ind w:left="720"/>
        <w:rPr>
          <w:rFonts w:ascii="Times New Roman" w:hAnsi="Times New Roman"/>
          <w:sz w:val="24"/>
          <w:szCs w:val="24"/>
        </w:rPr>
      </w:pPr>
      <w:r w:rsidRPr="00965945">
        <w:rPr>
          <w:rFonts w:ascii="Times New Roman" w:hAnsi="Times New Roman"/>
          <w:sz w:val="24"/>
          <w:szCs w:val="24"/>
        </w:rPr>
        <w:t xml:space="preserve">“Little somehow ‘communicated to’ police that he ‘had terminal cancer, wasn’t going back to prison, knew he was going to die, was going to shoot it out with the police.’ Police proceeded to use explosive devices, the </w:t>
      </w:r>
      <w:proofErr w:type="spellStart"/>
      <w:r w:rsidRPr="00965945">
        <w:rPr>
          <w:rFonts w:ascii="Times New Roman" w:hAnsi="Times New Roman"/>
          <w:sz w:val="24"/>
          <w:szCs w:val="24"/>
        </w:rPr>
        <w:t>BearCat</w:t>
      </w:r>
      <w:proofErr w:type="spellEnd"/>
      <w:r w:rsidRPr="00965945">
        <w:rPr>
          <w:rFonts w:ascii="Times New Roman" w:hAnsi="Times New Roman"/>
          <w:sz w:val="24"/>
          <w:szCs w:val="24"/>
        </w:rPr>
        <w:t>, a T-Rex (</w:t>
      </w:r>
      <w:proofErr w:type="gramStart"/>
      <w:r w:rsidRPr="00965945">
        <w:rPr>
          <w:rFonts w:ascii="Times New Roman" w:hAnsi="Times New Roman"/>
          <w:sz w:val="24"/>
          <w:szCs w:val="24"/>
        </w:rPr>
        <w:t>similar to</w:t>
      </w:r>
      <w:proofErr w:type="gramEnd"/>
      <w:r w:rsidRPr="00965945">
        <w:rPr>
          <w:rFonts w:ascii="Times New Roman" w:hAnsi="Times New Roman"/>
          <w:sz w:val="24"/>
          <w:szCs w:val="24"/>
        </w:rPr>
        <w:t xml:space="preserve"> the </w:t>
      </w:r>
      <w:proofErr w:type="spellStart"/>
      <w:r w:rsidRPr="00965945">
        <w:rPr>
          <w:rFonts w:ascii="Times New Roman" w:hAnsi="Times New Roman"/>
          <w:sz w:val="24"/>
          <w:szCs w:val="24"/>
        </w:rPr>
        <w:t>BearCat</w:t>
      </w:r>
      <w:proofErr w:type="spellEnd"/>
      <w:r w:rsidRPr="00965945">
        <w:rPr>
          <w:rFonts w:ascii="Times New Roman" w:hAnsi="Times New Roman"/>
          <w:sz w:val="24"/>
          <w:szCs w:val="24"/>
        </w:rPr>
        <w:t>), toxic gas grenades, and a drone to try to resolve the situation. After some time, the drone was able to reach a vantage point to see that Little had taken his own life. *** Nevertheless, the damage to Baker’s home was severe. As the district court explained, quoting Baker’s motion for summary judgment, ‘[m]</w:t>
      </w:r>
      <w:proofErr w:type="spellStart"/>
      <w:r w:rsidRPr="00965945">
        <w:rPr>
          <w:rFonts w:ascii="Times New Roman" w:hAnsi="Times New Roman"/>
          <w:sz w:val="24"/>
          <w:szCs w:val="24"/>
        </w:rPr>
        <w:t>uch</w:t>
      </w:r>
      <w:proofErr w:type="spellEnd"/>
      <w:r w:rsidRPr="00965945">
        <w:rPr>
          <w:rFonts w:ascii="Times New Roman" w:hAnsi="Times New Roman"/>
          <w:sz w:val="24"/>
          <w:szCs w:val="24"/>
        </w:rPr>
        <w:t xml:space="preserve"> of the damage went beyond what could be captured visually.’ Specifically, </w:t>
      </w:r>
      <w:proofErr w:type="gramStart"/>
      <w:r w:rsidRPr="00965945">
        <w:rPr>
          <w:rFonts w:ascii="Times New Roman" w:hAnsi="Times New Roman"/>
          <w:sz w:val="24"/>
          <w:szCs w:val="24"/>
        </w:rPr>
        <w:t>The</w:t>
      </w:r>
      <w:proofErr w:type="gramEnd"/>
      <w:r w:rsidRPr="00965945">
        <w:rPr>
          <w:rFonts w:ascii="Times New Roman" w:hAnsi="Times New Roman"/>
          <w:sz w:val="24"/>
          <w:szCs w:val="24"/>
        </w:rPr>
        <w:t xml:space="preserve"> explosions left Baker’s dog permanently blind and deaf. The toxic gas that permeated the House required the services of a HAZMAT remediation team. Appliances and fabrics were irreparable. Ceiling fans, plumbing, floors (hard surfaces as well as carpet), and bricks needed to be replaced—in addition to the windows, blinds, fence, front door, and garage door. Essentially </w:t>
      </w:r>
      <w:proofErr w:type="gramStart"/>
      <w:r w:rsidRPr="00965945">
        <w:rPr>
          <w:rFonts w:ascii="Times New Roman" w:hAnsi="Times New Roman"/>
          <w:sz w:val="24"/>
          <w:szCs w:val="24"/>
        </w:rPr>
        <w:t>all of</w:t>
      </w:r>
      <w:proofErr w:type="gramEnd"/>
      <w:r w:rsidRPr="00965945">
        <w:rPr>
          <w:rFonts w:ascii="Times New Roman" w:hAnsi="Times New Roman"/>
          <w:sz w:val="24"/>
          <w:szCs w:val="24"/>
        </w:rPr>
        <w:t xml:space="preserve"> the personal property in the House was destroyed, including an antique doll collection left </w:t>
      </w:r>
      <w:proofErr w:type="gramStart"/>
      <w:r w:rsidRPr="00965945">
        <w:rPr>
          <w:rFonts w:ascii="Times New Roman" w:hAnsi="Times New Roman"/>
          <w:sz w:val="24"/>
          <w:szCs w:val="24"/>
        </w:rPr>
        <w:t>to</w:t>
      </w:r>
      <w:proofErr w:type="gramEnd"/>
      <w:r w:rsidRPr="00965945">
        <w:rPr>
          <w:rFonts w:ascii="Times New Roman" w:hAnsi="Times New Roman"/>
          <w:sz w:val="24"/>
          <w:szCs w:val="24"/>
        </w:rPr>
        <w:t xml:space="preserve"> Baker by her mother. In total, the damage . . . was approximately $50,000.”</w:t>
      </w:r>
    </w:p>
    <w:p w14:paraId="5EBFC8D8" w14:textId="77777777" w:rsidR="00965945" w:rsidRDefault="00965945" w:rsidP="005035FF">
      <w:pPr>
        <w:rPr>
          <w:rStyle w:val="Hyperlink"/>
          <w:rFonts w:ascii="Arial Black" w:hAnsi="Arial Black"/>
          <w:b/>
          <w:color w:val="auto"/>
          <w:sz w:val="24"/>
          <w:szCs w:val="24"/>
          <w:u w:val="none"/>
        </w:rPr>
      </w:pPr>
    </w:p>
    <w:p w14:paraId="3669CB2D" w14:textId="77777777" w:rsidR="009B5296" w:rsidRDefault="009B5296" w:rsidP="002B1283">
      <w:pPr>
        <w:rPr>
          <w:rStyle w:val="Hyperlink"/>
          <w:rFonts w:ascii="Arial Black" w:hAnsi="Arial Black"/>
          <w:b/>
          <w:color w:val="auto"/>
          <w:sz w:val="24"/>
          <w:szCs w:val="24"/>
          <w:u w:val="none"/>
        </w:rPr>
      </w:pPr>
    </w:p>
    <w:p w14:paraId="3670EB43" w14:textId="041861BA" w:rsidR="00B34A49" w:rsidRDefault="00B34A49" w:rsidP="002B1283">
      <w:pPr>
        <w:rPr>
          <w:rStyle w:val="Hyperlink"/>
          <w:rFonts w:ascii="Arial Black" w:hAnsi="Arial Black"/>
          <w:b/>
          <w:color w:val="auto"/>
          <w:sz w:val="24"/>
          <w:szCs w:val="24"/>
          <w:u w:val="none"/>
        </w:rPr>
      </w:pPr>
      <w:r>
        <w:rPr>
          <w:rStyle w:val="Hyperlink"/>
          <w:rFonts w:ascii="Arial Black" w:hAnsi="Arial Black"/>
          <w:b/>
          <w:color w:val="auto"/>
          <w:sz w:val="24"/>
          <w:szCs w:val="24"/>
          <w:u w:val="none"/>
        </w:rPr>
        <w:t>4-4</w:t>
      </w:r>
      <w:r w:rsidR="0075297C">
        <w:rPr>
          <w:rStyle w:val="Hyperlink"/>
          <w:rFonts w:ascii="Arial Black" w:hAnsi="Arial Black"/>
          <w:b/>
          <w:color w:val="auto"/>
          <w:sz w:val="24"/>
          <w:szCs w:val="24"/>
          <w:u w:val="none"/>
        </w:rPr>
        <w:t>4</w:t>
      </w:r>
    </w:p>
    <w:p w14:paraId="6B96DD16" w14:textId="0874E5D0" w:rsidR="00165A41" w:rsidRPr="005B675E" w:rsidRDefault="00165A41" w:rsidP="00165A41">
      <w:pPr>
        <w:pStyle w:val="NoSpacing"/>
        <w:rPr>
          <w:rFonts w:ascii="Arial Black" w:hAnsi="Arial Black"/>
          <w:b/>
          <w:bCs/>
          <w:sz w:val="28"/>
          <w:szCs w:val="28"/>
        </w:rPr>
      </w:pPr>
      <w:r w:rsidRPr="005B675E">
        <w:rPr>
          <w:rFonts w:ascii="Arial Black" w:hAnsi="Arial Black"/>
          <w:b/>
          <w:bCs/>
          <w:sz w:val="28"/>
          <w:szCs w:val="28"/>
        </w:rPr>
        <w:t>MA: CAPTAIN NOT PROMOTED DC - 5 PROMOTED – POOR ANSWER INCIDENT COMMAND QUESTION / PRIOR FIRE</w:t>
      </w:r>
      <w:r w:rsidR="00607FA6" w:rsidRPr="005B675E">
        <w:rPr>
          <w:rFonts w:ascii="Arial Black" w:hAnsi="Arial Black"/>
          <w:b/>
          <w:bCs/>
          <w:sz w:val="28"/>
          <w:szCs w:val="28"/>
        </w:rPr>
        <w:t xml:space="preserve"> </w:t>
      </w:r>
    </w:p>
    <w:p w14:paraId="15AC8F0E" w14:textId="77777777" w:rsidR="00165A41" w:rsidRPr="00A445BE" w:rsidRDefault="00165A41" w:rsidP="00165A41">
      <w:pPr>
        <w:pStyle w:val="NoSpacing"/>
        <w:rPr>
          <w:rFonts w:ascii="Times New Roman" w:hAnsi="Times New Roman"/>
          <w:sz w:val="24"/>
          <w:szCs w:val="24"/>
        </w:rPr>
      </w:pPr>
    </w:p>
    <w:p w14:paraId="17F8BB85" w14:textId="77777777" w:rsidR="00165A41" w:rsidRPr="00A445BE" w:rsidRDefault="00165A41" w:rsidP="00165A41">
      <w:pPr>
        <w:pStyle w:val="NoSpacing"/>
        <w:rPr>
          <w:rFonts w:ascii="Times New Roman" w:hAnsi="Times New Roman"/>
          <w:sz w:val="24"/>
          <w:szCs w:val="24"/>
        </w:rPr>
      </w:pPr>
      <w:r w:rsidRPr="00A445BE">
        <w:rPr>
          <w:rFonts w:ascii="Times New Roman" w:hAnsi="Times New Roman"/>
          <w:sz w:val="24"/>
          <w:szCs w:val="24"/>
        </w:rPr>
        <w:t xml:space="preserve">On Oct. 11, 2024. in </w:t>
      </w:r>
      <w:r w:rsidRPr="00A445BE">
        <w:rPr>
          <w:rFonts w:ascii="Times New Roman" w:hAnsi="Times New Roman"/>
          <w:sz w:val="24"/>
          <w:szCs w:val="24"/>
          <w:u w:val="single"/>
        </w:rPr>
        <w:t>Pierre Grenier v. Civil Service Commission and City of Springfield</w:t>
      </w:r>
      <w:r w:rsidRPr="00A445BE">
        <w:rPr>
          <w:rFonts w:ascii="Times New Roman" w:hAnsi="Times New Roman"/>
          <w:sz w:val="24"/>
          <w:szCs w:val="24"/>
        </w:rPr>
        <w:t>, the Massachusetts Appeals Court held: “The plaintiff, Pierre Grenier, appeals from an order of a</w:t>
      </w:r>
    </w:p>
    <w:p w14:paraId="3C3E8FF8" w14:textId="77777777" w:rsidR="00165A41" w:rsidRPr="00A445BE" w:rsidRDefault="00165A41" w:rsidP="00165A41">
      <w:pPr>
        <w:pStyle w:val="NoSpacing"/>
        <w:rPr>
          <w:rFonts w:ascii="Times New Roman" w:hAnsi="Times New Roman"/>
          <w:sz w:val="24"/>
          <w:szCs w:val="24"/>
        </w:rPr>
      </w:pPr>
      <w:r w:rsidRPr="00A445BE">
        <w:rPr>
          <w:rFonts w:ascii="Times New Roman" w:hAnsi="Times New Roman"/>
          <w:sz w:val="24"/>
          <w:szCs w:val="24"/>
        </w:rPr>
        <w:lastRenderedPageBreak/>
        <w:t>judge of the Superior Court granting judgment in favor of the defendants, the Civil Service Commission (commission) and the city of Springfield (city). The judge affirmed the decision of</w:t>
      </w:r>
    </w:p>
    <w:p w14:paraId="4725EED7" w14:textId="77777777" w:rsidR="00165A41" w:rsidRPr="00A445BE" w:rsidRDefault="00165A41" w:rsidP="00165A41">
      <w:pPr>
        <w:pStyle w:val="NoSpacing"/>
        <w:rPr>
          <w:rFonts w:ascii="Times New Roman" w:hAnsi="Times New Roman"/>
          <w:sz w:val="24"/>
          <w:szCs w:val="24"/>
        </w:rPr>
      </w:pPr>
      <w:r w:rsidRPr="00A445BE">
        <w:rPr>
          <w:rFonts w:ascii="Times New Roman" w:hAnsi="Times New Roman"/>
          <w:sz w:val="24"/>
          <w:szCs w:val="24"/>
        </w:rPr>
        <w:t xml:space="preserve">the commission that the city had reasonable justification to bypass Grenier for a promotion to district fire chief. We affirm.” </w:t>
      </w:r>
    </w:p>
    <w:p w14:paraId="15488E77" w14:textId="77777777" w:rsidR="00165A41" w:rsidRPr="00A445BE" w:rsidRDefault="00165A41" w:rsidP="00165A41">
      <w:pPr>
        <w:pStyle w:val="NoSpacing"/>
        <w:rPr>
          <w:rFonts w:ascii="Times New Roman" w:hAnsi="Times New Roman"/>
          <w:sz w:val="24"/>
          <w:szCs w:val="24"/>
        </w:rPr>
      </w:pPr>
      <w:hyperlink r:id="rId869" w:history="1">
        <w:r w:rsidRPr="00A445BE">
          <w:rPr>
            <w:rStyle w:val="Hyperlink"/>
            <w:rFonts w:ascii="Times New Roman" w:hAnsi="Times New Roman"/>
            <w:sz w:val="24"/>
            <w:szCs w:val="24"/>
          </w:rPr>
          <w:t>https://www.mass.gov/doc/grenier-pierre-v-springfield-fire-department-related-appeals-court-decision-101124/download</w:t>
        </w:r>
      </w:hyperlink>
      <w:r w:rsidRPr="00A445BE">
        <w:rPr>
          <w:rFonts w:ascii="Times New Roman" w:hAnsi="Times New Roman"/>
          <w:sz w:val="24"/>
          <w:szCs w:val="24"/>
        </w:rPr>
        <w:t xml:space="preserve"> </w:t>
      </w:r>
    </w:p>
    <w:p w14:paraId="4ADCAB31" w14:textId="77777777" w:rsidR="002665B4" w:rsidRPr="00A445BE" w:rsidRDefault="002665B4" w:rsidP="00165A41">
      <w:pPr>
        <w:pStyle w:val="NoSpacing"/>
        <w:rPr>
          <w:rFonts w:ascii="Times New Roman" w:hAnsi="Times New Roman"/>
          <w:sz w:val="24"/>
          <w:szCs w:val="24"/>
        </w:rPr>
      </w:pPr>
    </w:p>
    <w:p w14:paraId="0BF648F7" w14:textId="77777777" w:rsidR="002665B4" w:rsidRPr="00391D9A" w:rsidRDefault="002665B4" w:rsidP="002665B4">
      <w:pPr>
        <w:pStyle w:val="NoSpacing"/>
        <w:rPr>
          <w:b/>
          <w:bCs/>
        </w:rPr>
      </w:pPr>
      <w:r w:rsidRPr="00A445BE">
        <w:rPr>
          <w:rFonts w:ascii="Times New Roman" w:hAnsi="Times New Roman"/>
          <w:b/>
          <w:sz w:val="24"/>
          <w:szCs w:val="24"/>
        </w:rPr>
        <w:t>Legal Lesson Learned:  Use of selection board is an excellent promotion process</w:t>
      </w:r>
      <w:r>
        <w:rPr>
          <w:b/>
        </w:rPr>
        <w:t xml:space="preserve">. </w:t>
      </w:r>
    </w:p>
    <w:p w14:paraId="0259D745" w14:textId="77777777" w:rsidR="002665B4" w:rsidRDefault="002665B4" w:rsidP="002665B4">
      <w:pPr>
        <w:rPr>
          <w:rFonts w:asciiTheme="majorHAnsi" w:hAnsiTheme="majorHAnsi" w:cstheme="minorHAnsi"/>
          <w:sz w:val="28"/>
        </w:rPr>
      </w:pPr>
    </w:p>
    <w:p w14:paraId="3511EE78" w14:textId="77777777" w:rsidR="002665B4" w:rsidRDefault="002665B4" w:rsidP="00165A41">
      <w:pPr>
        <w:pStyle w:val="NoSpacing"/>
      </w:pPr>
    </w:p>
    <w:p w14:paraId="4778837F" w14:textId="77777777" w:rsidR="00B34A49" w:rsidRDefault="00B34A49" w:rsidP="002B1283">
      <w:pPr>
        <w:rPr>
          <w:rStyle w:val="Hyperlink"/>
          <w:rFonts w:ascii="Arial Black" w:hAnsi="Arial Black"/>
          <w:b/>
          <w:color w:val="auto"/>
          <w:sz w:val="24"/>
          <w:szCs w:val="24"/>
          <w:u w:val="none"/>
        </w:rPr>
      </w:pPr>
    </w:p>
    <w:p w14:paraId="579F9EB8" w14:textId="5B023ED2" w:rsidR="00B34A49" w:rsidRDefault="00B34A49" w:rsidP="002B1283">
      <w:pPr>
        <w:rPr>
          <w:rStyle w:val="Hyperlink"/>
          <w:rFonts w:ascii="Arial Black" w:hAnsi="Arial Black"/>
          <w:b/>
          <w:color w:val="auto"/>
          <w:sz w:val="24"/>
          <w:szCs w:val="24"/>
          <w:u w:val="none"/>
        </w:rPr>
      </w:pPr>
      <w:r>
        <w:rPr>
          <w:rStyle w:val="Hyperlink"/>
          <w:rFonts w:ascii="Arial Black" w:hAnsi="Arial Black"/>
          <w:b/>
          <w:color w:val="auto"/>
          <w:sz w:val="24"/>
          <w:szCs w:val="24"/>
          <w:u w:val="none"/>
        </w:rPr>
        <w:t>4-4</w:t>
      </w:r>
      <w:r w:rsidR="00306E28">
        <w:rPr>
          <w:rStyle w:val="Hyperlink"/>
          <w:rFonts w:ascii="Arial Black" w:hAnsi="Arial Black"/>
          <w:b/>
          <w:color w:val="auto"/>
          <w:sz w:val="24"/>
          <w:szCs w:val="24"/>
          <w:u w:val="none"/>
        </w:rPr>
        <w:t>3</w:t>
      </w:r>
    </w:p>
    <w:p w14:paraId="4C3E65C3" w14:textId="77777777" w:rsidR="00387D84" w:rsidRPr="005B675E" w:rsidRDefault="00387D84" w:rsidP="00387D84">
      <w:pPr>
        <w:rPr>
          <w:rFonts w:ascii="Arial Black" w:hAnsi="Arial Black"/>
          <w:b/>
          <w:bCs/>
          <w:sz w:val="28"/>
          <w:szCs w:val="28"/>
        </w:rPr>
      </w:pPr>
      <w:r w:rsidRPr="005B675E">
        <w:rPr>
          <w:rFonts w:ascii="Arial Black" w:hAnsi="Arial Black"/>
          <w:b/>
          <w:bCs/>
          <w:sz w:val="28"/>
          <w:szCs w:val="28"/>
        </w:rPr>
        <w:t>CA: WILDLAND FIRE –  BACKFIRES – RANCHER MUST PROVE BACKFIRES NEG. USED DURING “RED FLAG WARNINGS”</w:t>
      </w:r>
    </w:p>
    <w:p w14:paraId="10D2C209" w14:textId="77777777" w:rsidR="00387D84" w:rsidRPr="00124FAD" w:rsidRDefault="00387D84" w:rsidP="00387D84">
      <w:pPr>
        <w:pStyle w:val="NoSpacing"/>
        <w:rPr>
          <w:rFonts w:ascii="Times New Roman" w:hAnsi="Times New Roman"/>
          <w:sz w:val="24"/>
          <w:szCs w:val="24"/>
        </w:rPr>
      </w:pPr>
      <w:r w:rsidRPr="00124FAD">
        <w:rPr>
          <w:rFonts w:ascii="Times New Roman" w:hAnsi="Times New Roman"/>
          <w:sz w:val="24"/>
          <w:szCs w:val="24"/>
        </w:rPr>
        <w:t xml:space="preserve">On Oct. 8, 2024, in </w:t>
      </w:r>
      <w:r w:rsidRPr="00124FAD">
        <w:rPr>
          <w:rFonts w:ascii="Times New Roman" w:hAnsi="Times New Roman"/>
          <w:sz w:val="24"/>
          <w:szCs w:val="24"/>
          <w:u w:val="single"/>
        </w:rPr>
        <w:t>Joe Allen Wixson v. The United States</w:t>
      </w:r>
      <w:r w:rsidRPr="00124FAD">
        <w:rPr>
          <w:rFonts w:ascii="Times New Roman" w:hAnsi="Times New Roman"/>
          <w:sz w:val="24"/>
          <w:szCs w:val="24"/>
        </w:rPr>
        <w:t xml:space="preserve">, the United States Court of Federal Claims [Wahington, D.C.] held: “Joe Allen Wixson alleges that the government took his private property for public use by allowing it to be destroyed by a fire. He alleges that the decisions by the U.S. Forest Service to cancel prescribed burns and employee trainings during the covid-19 pandemic, and then to use defensive firefighting techniques during a windy day, caused the fire to affect his property. *** In sum, the government’s decisions to cancel prescribed burns and firefighter training cannot form the basis for Mr. </w:t>
      </w:r>
      <w:proofErr w:type="gramStart"/>
      <w:r w:rsidRPr="00124FAD">
        <w:rPr>
          <w:rFonts w:ascii="Times New Roman" w:hAnsi="Times New Roman"/>
          <w:sz w:val="24"/>
          <w:szCs w:val="24"/>
        </w:rPr>
        <w:t>Wixson’s takings</w:t>
      </w:r>
      <w:proofErr w:type="gramEnd"/>
      <w:r w:rsidRPr="00124FAD">
        <w:rPr>
          <w:rFonts w:ascii="Times New Roman" w:hAnsi="Times New Roman"/>
          <w:sz w:val="24"/>
          <w:szCs w:val="24"/>
        </w:rPr>
        <w:t xml:space="preserve"> claim or any other claim in this court. *** Because the government did not intend to invade Mr. Wixson’s property, Mr. Wixson must show that the fire on his property was the direct, natural, or probable result of the government’s use of backfires, or controlled burn techniques.” </w:t>
      </w:r>
      <w:hyperlink r:id="rId870" w:history="1">
        <w:r w:rsidRPr="00124FAD">
          <w:rPr>
            <w:rStyle w:val="Hyperlink"/>
            <w:rFonts w:ascii="Times New Roman" w:hAnsi="Times New Roman"/>
            <w:sz w:val="24"/>
            <w:szCs w:val="24"/>
          </w:rPr>
          <w:t>https://cases.justia.com/federal/district-courts/federal-claims/cofce/1:2022cv01201/46126/27/0.pdf?ts=1728477951</w:t>
        </w:r>
      </w:hyperlink>
      <w:r w:rsidRPr="00124FAD">
        <w:rPr>
          <w:rFonts w:ascii="Times New Roman" w:hAnsi="Times New Roman"/>
          <w:sz w:val="24"/>
          <w:szCs w:val="24"/>
        </w:rPr>
        <w:t xml:space="preserve"> </w:t>
      </w:r>
    </w:p>
    <w:p w14:paraId="2552D32E" w14:textId="77777777" w:rsidR="00124FAD" w:rsidRPr="00124FAD" w:rsidRDefault="00124FAD" w:rsidP="00124FAD">
      <w:pPr>
        <w:pStyle w:val="NoSpacing"/>
        <w:rPr>
          <w:rFonts w:ascii="Times New Roman" w:hAnsi="Times New Roman"/>
          <w:b/>
          <w:sz w:val="24"/>
          <w:szCs w:val="24"/>
        </w:rPr>
      </w:pPr>
    </w:p>
    <w:p w14:paraId="4AA38B66" w14:textId="5F8C52D6" w:rsidR="00124FAD" w:rsidRPr="00124FAD" w:rsidRDefault="00124FAD" w:rsidP="00124FAD">
      <w:pPr>
        <w:pStyle w:val="NoSpacing"/>
        <w:rPr>
          <w:rFonts w:ascii="Times New Roman" w:hAnsi="Times New Roman"/>
          <w:b/>
          <w:bCs/>
          <w:sz w:val="24"/>
          <w:szCs w:val="24"/>
        </w:rPr>
      </w:pPr>
      <w:r w:rsidRPr="00124FAD">
        <w:rPr>
          <w:rFonts w:ascii="Times New Roman" w:hAnsi="Times New Roman"/>
          <w:b/>
          <w:sz w:val="24"/>
          <w:szCs w:val="24"/>
        </w:rPr>
        <w:t>Legal Lesson Learned: Property owner will need expert testimony showing backfires were done in a negligent manner during Red Flag warnings.</w:t>
      </w:r>
    </w:p>
    <w:p w14:paraId="7F27B55F" w14:textId="77777777" w:rsidR="00124FAD" w:rsidRDefault="00124FAD" w:rsidP="00124FAD">
      <w:pPr>
        <w:pStyle w:val="NoSpacing"/>
      </w:pPr>
    </w:p>
    <w:p w14:paraId="02BCC860" w14:textId="77777777" w:rsidR="00B34A49" w:rsidRDefault="00B34A49" w:rsidP="002B1283">
      <w:pPr>
        <w:rPr>
          <w:rStyle w:val="Hyperlink"/>
          <w:rFonts w:ascii="Arial Black" w:hAnsi="Arial Black"/>
          <w:b/>
          <w:color w:val="auto"/>
          <w:sz w:val="24"/>
          <w:szCs w:val="24"/>
          <w:u w:val="none"/>
        </w:rPr>
      </w:pPr>
    </w:p>
    <w:p w14:paraId="51ECB432" w14:textId="15C52E71" w:rsidR="00B34A49" w:rsidRDefault="00B34A49" w:rsidP="002B1283">
      <w:pPr>
        <w:rPr>
          <w:rStyle w:val="Hyperlink"/>
          <w:rFonts w:ascii="Arial Black" w:hAnsi="Arial Black"/>
          <w:b/>
          <w:color w:val="auto"/>
          <w:sz w:val="24"/>
          <w:szCs w:val="24"/>
          <w:u w:val="none"/>
        </w:rPr>
      </w:pPr>
      <w:r>
        <w:rPr>
          <w:rStyle w:val="Hyperlink"/>
          <w:rFonts w:ascii="Arial Black" w:hAnsi="Arial Black"/>
          <w:b/>
          <w:color w:val="auto"/>
          <w:sz w:val="24"/>
          <w:szCs w:val="24"/>
          <w:u w:val="none"/>
        </w:rPr>
        <w:t>4-4</w:t>
      </w:r>
      <w:r w:rsidR="00306E28">
        <w:rPr>
          <w:rStyle w:val="Hyperlink"/>
          <w:rFonts w:ascii="Arial Black" w:hAnsi="Arial Black"/>
          <w:b/>
          <w:color w:val="auto"/>
          <w:sz w:val="24"/>
          <w:szCs w:val="24"/>
          <w:u w:val="none"/>
        </w:rPr>
        <w:t>2</w:t>
      </w:r>
    </w:p>
    <w:p w14:paraId="491BA4E4" w14:textId="77777777" w:rsidR="00CB542E" w:rsidRPr="005B675E" w:rsidRDefault="00CB542E" w:rsidP="00CB542E">
      <w:pPr>
        <w:pStyle w:val="NoSpacing"/>
        <w:rPr>
          <w:rFonts w:ascii="Arial Black" w:hAnsi="Arial Black"/>
          <w:b/>
          <w:bCs/>
          <w:sz w:val="28"/>
          <w:szCs w:val="28"/>
        </w:rPr>
      </w:pPr>
      <w:r w:rsidRPr="005B675E">
        <w:rPr>
          <w:rFonts w:ascii="Arial Black" w:hAnsi="Arial Black"/>
          <w:b/>
          <w:bCs/>
          <w:sz w:val="28"/>
          <w:szCs w:val="28"/>
        </w:rPr>
        <w:t xml:space="preserve">CA: CAMPERS CALLED 911 – SEE WILDLAND FIRE – TOLD NO DANGER 3-4 DAYS / WILL ADVISE – INJURED – IMMUNITY </w:t>
      </w:r>
    </w:p>
    <w:p w14:paraId="44919140" w14:textId="77777777" w:rsidR="00CB542E" w:rsidRPr="00306E28" w:rsidRDefault="00CB542E" w:rsidP="00CB542E">
      <w:pPr>
        <w:pStyle w:val="NoSpacing"/>
        <w:rPr>
          <w:rFonts w:ascii="Times New Roman" w:hAnsi="Times New Roman"/>
          <w:sz w:val="24"/>
          <w:szCs w:val="24"/>
        </w:rPr>
      </w:pPr>
    </w:p>
    <w:p w14:paraId="1F7E1699" w14:textId="77777777" w:rsidR="00CB542E" w:rsidRPr="00306E28" w:rsidRDefault="00CB542E" w:rsidP="00CB542E">
      <w:pPr>
        <w:pStyle w:val="NoSpacing"/>
        <w:rPr>
          <w:rFonts w:ascii="Times New Roman" w:hAnsi="Times New Roman"/>
          <w:sz w:val="24"/>
          <w:szCs w:val="24"/>
        </w:rPr>
      </w:pPr>
      <w:r w:rsidRPr="00306E28">
        <w:rPr>
          <w:rFonts w:ascii="Times New Roman" w:hAnsi="Times New Roman"/>
          <w:sz w:val="24"/>
          <w:szCs w:val="24"/>
        </w:rPr>
        <w:t xml:space="preserve">On Oct. 8, 2024, in </w:t>
      </w:r>
      <w:r w:rsidRPr="00306E28">
        <w:rPr>
          <w:rFonts w:ascii="Times New Roman" w:hAnsi="Times New Roman"/>
          <w:sz w:val="24"/>
          <w:szCs w:val="24"/>
          <w:u w:val="single"/>
        </w:rPr>
        <w:t>Michelle Portillo, et al. v, Madera County</w:t>
      </w:r>
      <w:r w:rsidRPr="00306E28">
        <w:rPr>
          <w:rFonts w:ascii="Times New Roman" w:hAnsi="Times New Roman"/>
          <w:sz w:val="24"/>
          <w:szCs w:val="24"/>
        </w:rPr>
        <w:t xml:space="preserve">, the California Court of Appeals, Fifth District. Held (3 to 0; unpublished opinion): “Appellants are </w:t>
      </w:r>
      <w:proofErr w:type="gramStart"/>
      <w:r w:rsidRPr="00306E28">
        <w:rPr>
          <w:rFonts w:ascii="Times New Roman" w:hAnsi="Times New Roman"/>
          <w:sz w:val="24"/>
          <w:szCs w:val="24"/>
        </w:rPr>
        <w:t>a number of</w:t>
      </w:r>
      <w:proofErr w:type="gramEnd"/>
      <w:r w:rsidRPr="00306E28">
        <w:rPr>
          <w:rFonts w:ascii="Times New Roman" w:hAnsi="Times New Roman"/>
          <w:sz w:val="24"/>
          <w:szCs w:val="24"/>
        </w:rPr>
        <w:t xml:space="preserve"> campers that were caught in the 2020 Creek Fire. They sued Madera County (County) after they were injured, claiming a County employee negligently advised them about the fire danger and broke a promise to inform them if the danger increased. The trial court dismissed their third amended complaint on demurrer. Appellants challenge this ruling. For the reasons set forth below, we affirm.”</w:t>
      </w:r>
    </w:p>
    <w:p w14:paraId="4335B6F6" w14:textId="77777777" w:rsidR="00CB542E" w:rsidRPr="00306E28" w:rsidRDefault="00CB542E" w:rsidP="00CB542E">
      <w:pPr>
        <w:pStyle w:val="NoSpacing"/>
        <w:rPr>
          <w:rFonts w:ascii="Times New Roman" w:hAnsi="Times New Roman"/>
          <w:sz w:val="24"/>
          <w:szCs w:val="24"/>
        </w:rPr>
      </w:pPr>
      <w:hyperlink r:id="rId871" w:history="1">
        <w:r w:rsidRPr="00306E28">
          <w:rPr>
            <w:rStyle w:val="Hyperlink"/>
            <w:rFonts w:ascii="Times New Roman" w:hAnsi="Times New Roman"/>
            <w:sz w:val="24"/>
            <w:szCs w:val="24"/>
          </w:rPr>
          <w:t>https://casetext.com/case/portillo-v-madera-cnty</w:t>
        </w:r>
      </w:hyperlink>
      <w:r w:rsidRPr="00306E28">
        <w:rPr>
          <w:rFonts w:ascii="Times New Roman" w:hAnsi="Times New Roman"/>
          <w:sz w:val="24"/>
          <w:szCs w:val="24"/>
        </w:rPr>
        <w:t xml:space="preserve"> </w:t>
      </w:r>
    </w:p>
    <w:p w14:paraId="7EB8CADD" w14:textId="77777777" w:rsidR="00CB542E" w:rsidRPr="00306E28" w:rsidRDefault="00CB542E" w:rsidP="00CB542E">
      <w:pPr>
        <w:pStyle w:val="NoSpacing"/>
        <w:rPr>
          <w:rFonts w:ascii="Times New Roman" w:hAnsi="Times New Roman"/>
          <w:sz w:val="24"/>
          <w:szCs w:val="24"/>
        </w:rPr>
      </w:pPr>
    </w:p>
    <w:p w14:paraId="0B2D8DF3" w14:textId="77777777" w:rsidR="00306E28" w:rsidRPr="00306E28" w:rsidRDefault="00306E28" w:rsidP="00306E28">
      <w:pPr>
        <w:pStyle w:val="NoSpacing"/>
        <w:rPr>
          <w:rFonts w:ascii="Times New Roman" w:hAnsi="Times New Roman"/>
          <w:b/>
          <w:bCs/>
          <w:sz w:val="24"/>
          <w:szCs w:val="24"/>
        </w:rPr>
      </w:pPr>
      <w:r w:rsidRPr="00306E28">
        <w:rPr>
          <w:rFonts w:ascii="Times New Roman" w:hAnsi="Times New Roman"/>
          <w:b/>
          <w:sz w:val="24"/>
          <w:szCs w:val="24"/>
        </w:rPr>
        <w:t xml:space="preserve">Legal Lesson Learned: Very difficult for these campers to prove gross negligence. </w:t>
      </w:r>
    </w:p>
    <w:p w14:paraId="59A25CFA" w14:textId="77777777" w:rsidR="00B34A49" w:rsidRDefault="00B34A49" w:rsidP="002B1283">
      <w:pPr>
        <w:rPr>
          <w:rStyle w:val="Hyperlink"/>
          <w:rFonts w:ascii="Arial Black" w:hAnsi="Arial Black"/>
          <w:b/>
          <w:color w:val="auto"/>
          <w:sz w:val="24"/>
          <w:szCs w:val="24"/>
          <w:u w:val="none"/>
        </w:rPr>
      </w:pPr>
    </w:p>
    <w:p w14:paraId="65018BA7" w14:textId="7DDE71CA" w:rsidR="0075297C" w:rsidRDefault="0075297C" w:rsidP="002B1283">
      <w:pPr>
        <w:rPr>
          <w:rStyle w:val="Hyperlink"/>
          <w:rFonts w:ascii="Arial Black" w:hAnsi="Arial Black"/>
          <w:b/>
          <w:color w:val="auto"/>
          <w:sz w:val="24"/>
          <w:szCs w:val="24"/>
          <w:u w:val="none"/>
        </w:rPr>
      </w:pPr>
      <w:r>
        <w:rPr>
          <w:rStyle w:val="Hyperlink"/>
          <w:rFonts w:ascii="Arial Black" w:hAnsi="Arial Black"/>
          <w:b/>
          <w:color w:val="auto"/>
          <w:sz w:val="24"/>
          <w:szCs w:val="24"/>
          <w:u w:val="none"/>
        </w:rPr>
        <w:lastRenderedPageBreak/>
        <w:t>4-41</w:t>
      </w:r>
    </w:p>
    <w:p w14:paraId="5376D485" w14:textId="77777777" w:rsidR="00C76B17" w:rsidRPr="005B675E" w:rsidRDefault="00C76B17" w:rsidP="00C76B17">
      <w:pPr>
        <w:pStyle w:val="NoSpacing"/>
        <w:rPr>
          <w:rFonts w:ascii="Arial Black" w:hAnsi="Arial Black"/>
          <w:b/>
          <w:bCs/>
          <w:sz w:val="28"/>
          <w:szCs w:val="28"/>
        </w:rPr>
      </w:pPr>
      <w:r w:rsidRPr="005B675E">
        <w:rPr>
          <w:rFonts w:ascii="Arial Black" w:hAnsi="Arial Black"/>
          <w:b/>
          <w:bCs/>
          <w:sz w:val="28"/>
          <w:szCs w:val="28"/>
        </w:rPr>
        <w:t>CT:  WIRES DOWN ON CAR – 2 TRAPPED FOR 1-HOUR -  – STATE ORDERS UTILITY COMPANY MORE RAPID RESPONSE</w:t>
      </w:r>
    </w:p>
    <w:p w14:paraId="10C3CA83" w14:textId="77777777" w:rsidR="00C76B17" w:rsidRPr="005B675E" w:rsidRDefault="00C76B17" w:rsidP="00C76B17">
      <w:pPr>
        <w:pStyle w:val="NoSpacing"/>
        <w:rPr>
          <w:rFonts w:ascii="Arial Black" w:hAnsi="Arial Black"/>
          <w:sz w:val="28"/>
          <w:szCs w:val="28"/>
        </w:rPr>
      </w:pPr>
    </w:p>
    <w:p w14:paraId="42787C0A" w14:textId="319C35F5" w:rsidR="0075297C" w:rsidRPr="00C833FD" w:rsidRDefault="00C76B17" w:rsidP="00C76B17">
      <w:pPr>
        <w:pStyle w:val="NoSpacing"/>
        <w:rPr>
          <w:rStyle w:val="Hyperlink"/>
          <w:rFonts w:ascii="Times New Roman" w:hAnsi="Times New Roman"/>
          <w:sz w:val="24"/>
          <w:szCs w:val="24"/>
        </w:rPr>
      </w:pPr>
      <w:r w:rsidRPr="00C833FD">
        <w:rPr>
          <w:rFonts w:ascii="Times New Roman" w:hAnsi="Times New Roman"/>
          <w:sz w:val="24"/>
          <w:szCs w:val="24"/>
        </w:rPr>
        <w:t xml:space="preserve">Oct. 2, 2024, in </w:t>
      </w:r>
      <w:r w:rsidRPr="00C833FD">
        <w:rPr>
          <w:rFonts w:ascii="Times New Roman" w:hAnsi="Times New Roman"/>
          <w:sz w:val="24"/>
          <w:szCs w:val="24"/>
          <w:u w:val="single"/>
        </w:rPr>
        <w:t xml:space="preserve">The Connecticut Light &amp; Power Company, d/b/a </w:t>
      </w:r>
      <w:proofErr w:type="spellStart"/>
      <w:r w:rsidRPr="00C833FD">
        <w:rPr>
          <w:rFonts w:ascii="Times New Roman" w:hAnsi="Times New Roman"/>
          <w:sz w:val="24"/>
          <w:szCs w:val="24"/>
          <w:u w:val="single"/>
        </w:rPr>
        <w:t>Eversourse</w:t>
      </w:r>
      <w:proofErr w:type="spellEnd"/>
      <w:r w:rsidRPr="00C833FD">
        <w:rPr>
          <w:rFonts w:ascii="Times New Roman" w:hAnsi="Times New Roman"/>
          <w:sz w:val="24"/>
          <w:szCs w:val="24"/>
          <w:u w:val="single"/>
        </w:rPr>
        <w:t xml:space="preserve"> Energy v. Public Utilities Regulatory Authority</w:t>
      </w:r>
      <w:r w:rsidRPr="00C833FD">
        <w:rPr>
          <w:rFonts w:ascii="Times New Roman" w:hAnsi="Times New Roman"/>
          <w:sz w:val="24"/>
          <w:szCs w:val="24"/>
        </w:rPr>
        <w:t xml:space="preserve">, the Superior Court of Connecticut, Judicial District of New Britain, Tax and Administrative Appeals Division, (Judge Matthew J. Budzik) held: “Because the statutes and regulations cited by Eversource are either inapplicable, or merely permit - - but do not require -- PURA to hold a hearing on the instant investigation, the court grants the motion to dismiss.” </w:t>
      </w:r>
      <w:hyperlink r:id="rId872" w:history="1">
        <w:r w:rsidRPr="00C833FD">
          <w:rPr>
            <w:rStyle w:val="Hyperlink"/>
            <w:rFonts w:ascii="Times New Roman" w:hAnsi="Times New Roman"/>
            <w:sz w:val="24"/>
            <w:szCs w:val="24"/>
          </w:rPr>
          <w:t>https://www.firelawblog.com/wp-content/uploads/sites/19/2024/10/Light-v.-Pub.-Utils.-Regul.-Auth._-2024-Conn.-Super.-LE.pdf</w:t>
        </w:r>
      </w:hyperlink>
    </w:p>
    <w:p w14:paraId="55AFD4BB" w14:textId="77777777" w:rsidR="00C833FD" w:rsidRPr="00C833FD" w:rsidRDefault="00C833FD" w:rsidP="00C76B17">
      <w:pPr>
        <w:pStyle w:val="NoSpacing"/>
        <w:rPr>
          <w:rStyle w:val="Hyperlink"/>
          <w:rFonts w:ascii="Times New Roman" w:hAnsi="Times New Roman"/>
          <w:sz w:val="24"/>
          <w:szCs w:val="24"/>
        </w:rPr>
      </w:pPr>
    </w:p>
    <w:p w14:paraId="07E26062" w14:textId="77777777" w:rsidR="00C833FD" w:rsidRPr="00C833FD" w:rsidRDefault="00C833FD" w:rsidP="00C833FD">
      <w:pPr>
        <w:pStyle w:val="NoSpacing"/>
        <w:rPr>
          <w:rFonts w:ascii="Times New Roman" w:hAnsi="Times New Roman"/>
          <w:b/>
          <w:bCs/>
          <w:sz w:val="24"/>
          <w:szCs w:val="24"/>
        </w:rPr>
      </w:pPr>
      <w:r w:rsidRPr="00C833FD">
        <w:rPr>
          <w:rFonts w:ascii="Times New Roman" w:hAnsi="Times New Roman"/>
          <w:b/>
          <w:sz w:val="24"/>
          <w:szCs w:val="24"/>
        </w:rPr>
        <w:t>Legal Lesson Learned: Nice to see State agency holding utility company’s “feet to the fire</w:t>
      </w:r>
      <w:r w:rsidRPr="00C833FD">
        <w:rPr>
          <w:rFonts w:ascii="Times New Roman" w:hAnsi="Times New Roman"/>
          <w:b/>
          <w:bCs/>
          <w:sz w:val="24"/>
          <w:szCs w:val="24"/>
        </w:rPr>
        <w:t>”</w:t>
      </w:r>
      <w:r w:rsidRPr="00C833FD">
        <w:rPr>
          <w:rFonts w:ascii="Times New Roman" w:hAnsi="Times New Roman"/>
          <w:b/>
          <w:sz w:val="24"/>
          <w:szCs w:val="24"/>
        </w:rPr>
        <w:t xml:space="preserve"> for slow response to wires on occupied vehicle call.</w:t>
      </w:r>
    </w:p>
    <w:p w14:paraId="507A88E4" w14:textId="77777777" w:rsidR="00C833FD" w:rsidRDefault="00C833FD" w:rsidP="00C76B17">
      <w:pPr>
        <w:pStyle w:val="NoSpacing"/>
        <w:rPr>
          <w:rStyle w:val="Hyperlink"/>
          <w:rFonts w:ascii="Arial Black" w:hAnsi="Arial Black"/>
          <w:b/>
          <w:color w:val="auto"/>
          <w:sz w:val="24"/>
          <w:szCs w:val="24"/>
          <w:u w:val="none"/>
        </w:rPr>
      </w:pPr>
    </w:p>
    <w:p w14:paraId="382F4A73" w14:textId="77777777" w:rsidR="0075297C" w:rsidRDefault="0075297C" w:rsidP="002B1283">
      <w:pPr>
        <w:rPr>
          <w:rStyle w:val="Hyperlink"/>
          <w:rFonts w:ascii="Arial Black" w:hAnsi="Arial Black"/>
          <w:b/>
          <w:color w:val="auto"/>
          <w:sz w:val="24"/>
          <w:szCs w:val="24"/>
          <w:u w:val="none"/>
        </w:rPr>
      </w:pPr>
    </w:p>
    <w:p w14:paraId="375B116B" w14:textId="233B621A" w:rsidR="00291569" w:rsidRDefault="0038005B" w:rsidP="002B1283">
      <w:pPr>
        <w:rPr>
          <w:rStyle w:val="Hyperlink"/>
          <w:rFonts w:ascii="Arial Black" w:hAnsi="Arial Black"/>
          <w:b/>
          <w:color w:val="auto"/>
          <w:sz w:val="24"/>
          <w:szCs w:val="24"/>
          <w:u w:val="none"/>
        </w:rPr>
      </w:pPr>
      <w:r>
        <w:rPr>
          <w:rStyle w:val="Hyperlink"/>
          <w:rFonts w:ascii="Arial Black" w:hAnsi="Arial Black"/>
          <w:b/>
          <w:color w:val="auto"/>
          <w:sz w:val="24"/>
          <w:szCs w:val="24"/>
          <w:u w:val="none"/>
        </w:rPr>
        <w:t>4-40</w:t>
      </w:r>
    </w:p>
    <w:p w14:paraId="60385150" w14:textId="77777777" w:rsidR="002E0D85" w:rsidRPr="005B675E" w:rsidRDefault="002E0D85" w:rsidP="002E0D85">
      <w:pPr>
        <w:pStyle w:val="NormalWeb"/>
        <w:rPr>
          <w:rFonts w:ascii="Arial Black" w:hAnsi="Arial Black"/>
          <w:color w:val="454545"/>
          <w:sz w:val="28"/>
          <w:szCs w:val="28"/>
          <w:shd w:val="clear" w:color="auto" w:fill="FFFFFF"/>
        </w:rPr>
      </w:pPr>
      <w:r w:rsidRPr="005B675E">
        <w:rPr>
          <w:rFonts w:ascii="Arial Black" w:hAnsi="Arial Black"/>
          <w:color w:val="454545"/>
          <w:sz w:val="28"/>
          <w:szCs w:val="28"/>
          <w:shd w:val="clear" w:color="auto" w:fill="FFFFFF"/>
        </w:rPr>
        <w:t>UT: TWO FOREST FIRES – IC DECIDED TO LET BURN – HIGH WINDS 100,000 ACRES – BUILDING OWNERS CAN’T SUE</w:t>
      </w:r>
    </w:p>
    <w:p w14:paraId="6B94410D" w14:textId="77777777" w:rsidR="002E0D85" w:rsidRPr="004562D2" w:rsidRDefault="002E0D85" w:rsidP="002E0D85">
      <w:pPr>
        <w:pStyle w:val="NormalWeb"/>
        <w:rPr>
          <w:color w:val="454545"/>
          <w:shd w:val="clear" w:color="auto" w:fill="FFFFFF"/>
        </w:rPr>
      </w:pPr>
      <w:r w:rsidRPr="004562D2">
        <w:rPr>
          <w:color w:val="454545"/>
          <w:shd w:val="clear" w:color="auto" w:fill="FFFFFF"/>
        </w:rPr>
        <w:t xml:space="preserve">On July 30, 2024, in </w:t>
      </w:r>
      <w:r w:rsidRPr="004562D2">
        <w:rPr>
          <w:color w:val="454545"/>
          <w:u w:val="single"/>
          <w:shd w:val="clear" w:color="auto" w:fill="FFFFFF"/>
        </w:rPr>
        <w:t>Strawberry Water Users Association v. United States</w:t>
      </w:r>
      <w:r w:rsidRPr="004562D2">
        <w:rPr>
          <w:color w:val="454545"/>
          <w:shd w:val="clear" w:color="auto" w:fill="FFFFFF"/>
        </w:rPr>
        <w:t>,  the U.S. Court of Appeals for 10</w:t>
      </w:r>
      <w:r w:rsidRPr="004562D2">
        <w:rPr>
          <w:color w:val="454545"/>
          <w:shd w:val="clear" w:color="auto" w:fill="FFFFFF"/>
          <w:vertAlign w:val="superscript"/>
        </w:rPr>
        <w:t>th</w:t>
      </w:r>
      <w:r w:rsidRPr="004562D2">
        <w:rPr>
          <w:color w:val="454545"/>
          <w:shd w:val="clear" w:color="auto" w:fill="FFFFFF"/>
        </w:rPr>
        <w:t xml:space="preserve"> Circuit (Denver) held [3 to 0) that U.S. District Court judge properly dismissed the lawsuit for “lack of jurisdiction.” “[T]he Forest Service undoubtedly acted within the ambit of its authority in allowing the fires to burn. Congress granted the Forest Service the authority to develop and implement wildfire-management policies under dual statutory regimes.”</w:t>
      </w:r>
      <w:r w:rsidRPr="004562D2">
        <w:t xml:space="preserve"> </w:t>
      </w:r>
      <w:hyperlink r:id="rId873" w:history="1">
        <w:r w:rsidRPr="004562D2">
          <w:rPr>
            <w:rStyle w:val="Hyperlink"/>
            <w:shd w:val="clear" w:color="auto" w:fill="FFFFFF"/>
          </w:rPr>
          <w:t>https://caselaw.findlaw.com/court/us-10th-circuit/116433351.html</w:t>
        </w:r>
      </w:hyperlink>
      <w:r w:rsidRPr="004562D2">
        <w:rPr>
          <w:color w:val="454545"/>
          <w:shd w:val="clear" w:color="auto" w:fill="FFFFFF"/>
        </w:rPr>
        <w:t xml:space="preserve"> </w:t>
      </w:r>
    </w:p>
    <w:p w14:paraId="31908B81" w14:textId="77777777" w:rsidR="002E0D85" w:rsidRPr="009C1132" w:rsidRDefault="002E0D85" w:rsidP="002E0D85">
      <w:pPr>
        <w:pStyle w:val="NormalWeb"/>
        <w:rPr>
          <w:color w:val="454545"/>
          <w:shd w:val="clear" w:color="auto" w:fill="FFFFFF"/>
        </w:rPr>
      </w:pPr>
      <w:r w:rsidRPr="009C1132">
        <w:rPr>
          <w:color w:val="454545"/>
          <w:shd w:val="clear" w:color="auto" w:fill="FFFFFF"/>
        </w:rPr>
        <w:t>THE COURT HELD:</w:t>
      </w:r>
    </w:p>
    <w:p w14:paraId="1144B067" w14:textId="77777777" w:rsidR="002E0D85" w:rsidRPr="009C1132" w:rsidRDefault="002E0D85" w:rsidP="002E0D85">
      <w:pPr>
        <w:pStyle w:val="NormalWeb"/>
        <w:ind w:left="720"/>
        <w:rPr>
          <w:color w:val="454545"/>
          <w:shd w:val="clear" w:color="auto" w:fill="FFFFFF"/>
        </w:rPr>
      </w:pPr>
      <w:r w:rsidRPr="009C1132">
        <w:rPr>
          <w:color w:val="454545"/>
          <w:shd w:val="clear" w:color="auto" w:fill="FFFFFF"/>
        </w:rPr>
        <w:t>“The issue on appeal is whether the discretionary-function exception to liability under the Federal Tort Claims Act (FTCA) applies to the United States Forest Service's alleged mismanagement of two wildfires ignited on public lands. The district court held that the exception applied and therefore it was stripped of jurisdiction to hear the claims… Exercising jurisdiction under 28 U.S.C. § 1291, we affirm.”</w:t>
      </w:r>
    </w:p>
    <w:p w14:paraId="602CE19E" w14:textId="77777777" w:rsidR="00DA23FE" w:rsidRPr="0036267D" w:rsidRDefault="00DA23FE" w:rsidP="00DA23FE">
      <w:pPr>
        <w:pStyle w:val="NoSpacing"/>
        <w:rPr>
          <w:rFonts w:ascii="Times New Roman" w:hAnsi="Times New Roman"/>
          <w:b/>
          <w:bCs/>
          <w:sz w:val="24"/>
          <w:szCs w:val="24"/>
          <w:shd w:val="clear" w:color="auto" w:fill="FFFFFF"/>
        </w:rPr>
      </w:pPr>
      <w:r>
        <w:rPr>
          <w:rFonts w:ascii="Times New Roman" w:hAnsi="Times New Roman"/>
          <w:b/>
          <w:bCs/>
          <w:sz w:val="24"/>
          <w:szCs w:val="24"/>
          <w:shd w:val="clear" w:color="auto" w:fill="FFFFFF"/>
        </w:rPr>
        <w:t xml:space="preserve">Legal Lesson Learned: Congress under Federal Tort Claims Act provides immunity for government officials making discretionary decisions. </w:t>
      </w:r>
    </w:p>
    <w:p w14:paraId="1032664C" w14:textId="77777777" w:rsidR="0038005B" w:rsidRDefault="0038005B" w:rsidP="002B1283">
      <w:pPr>
        <w:rPr>
          <w:rStyle w:val="Hyperlink"/>
          <w:rFonts w:ascii="Arial Black" w:hAnsi="Arial Black"/>
          <w:b/>
          <w:color w:val="auto"/>
          <w:sz w:val="24"/>
          <w:szCs w:val="24"/>
          <w:u w:val="none"/>
        </w:rPr>
      </w:pPr>
    </w:p>
    <w:p w14:paraId="1FB8455C" w14:textId="77777777" w:rsidR="00291569" w:rsidRDefault="00291569" w:rsidP="002B1283">
      <w:pPr>
        <w:rPr>
          <w:rStyle w:val="Hyperlink"/>
          <w:rFonts w:ascii="Arial Black" w:hAnsi="Arial Black"/>
          <w:b/>
          <w:color w:val="auto"/>
          <w:sz w:val="24"/>
          <w:szCs w:val="24"/>
          <w:u w:val="none"/>
        </w:rPr>
      </w:pPr>
    </w:p>
    <w:p w14:paraId="5292E2AC" w14:textId="0E802254" w:rsidR="00291569" w:rsidRDefault="00291569" w:rsidP="002B1283">
      <w:pPr>
        <w:rPr>
          <w:rStyle w:val="Hyperlink"/>
          <w:rFonts w:ascii="Arial Black" w:hAnsi="Arial Black"/>
          <w:b/>
          <w:color w:val="auto"/>
          <w:sz w:val="24"/>
          <w:szCs w:val="24"/>
          <w:u w:val="none"/>
        </w:rPr>
      </w:pPr>
      <w:r>
        <w:rPr>
          <w:rStyle w:val="Hyperlink"/>
          <w:rFonts w:ascii="Arial Black" w:hAnsi="Arial Black"/>
          <w:b/>
          <w:color w:val="auto"/>
          <w:sz w:val="24"/>
          <w:szCs w:val="24"/>
          <w:u w:val="none"/>
        </w:rPr>
        <w:t>4-39</w:t>
      </w:r>
    </w:p>
    <w:p w14:paraId="77BA7143" w14:textId="77777777" w:rsidR="00291569" w:rsidRPr="00D961B3" w:rsidRDefault="00291569" w:rsidP="00291569">
      <w:pPr>
        <w:pStyle w:val="NormalWeb"/>
        <w:rPr>
          <w:rFonts w:ascii="Arial Black" w:hAnsi="Arial Black"/>
          <w:b/>
          <w:bCs/>
          <w:color w:val="454545"/>
          <w:sz w:val="28"/>
          <w:szCs w:val="28"/>
          <w:shd w:val="clear" w:color="auto" w:fill="FFFFFF"/>
        </w:rPr>
      </w:pPr>
      <w:r>
        <w:rPr>
          <w:rFonts w:ascii="Arial Black" w:hAnsi="Arial Black"/>
          <w:b/>
          <w:bCs/>
          <w:color w:val="454545"/>
          <w:sz w:val="28"/>
          <w:szCs w:val="28"/>
          <w:shd w:val="clear" w:color="auto" w:fill="FFFFFF"/>
        </w:rPr>
        <w:t>KY: FIRE CHIEF – REFUSED MUTUAL AID 3</w:t>
      </w:r>
      <w:r w:rsidRPr="00E973EF">
        <w:rPr>
          <w:rFonts w:ascii="Arial Black" w:hAnsi="Arial Black"/>
          <w:b/>
          <w:bCs/>
          <w:color w:val="454545"/>
          <w:sz w:val="28"/>
          <w:szCs w:val="28"/>
          <w:shd w:val="clear" w:color="auto" w:fill="FFFFFF"/>
          <w:vertAlign w:val="superscript"/>
        </w:rPr>
        <w:t>rd</w:t>
      </w:r>
      <w:r>
        <w:rPr>
          <w:rFonts w:ascii="Arial Black" w:hAnsi="Arial Black"/>
          <w:b/>
          <w:bCs/>
          <w:color w:val="454545"/>
          <w:sz w:val="28"/>
          <w:szCs w:val="28"/>
          <w:shd w:val="clear" w:color="auto" w:fill="FFFFFF"/>
        </w:rPr>
        <w:t xml:space="preserve"> FD – PRIOR ISSUES 3</w:t>
      </w:r>
      <w:r w:rsidRPr="00CE4862">
        <w:rPr>
          <w:rFonts w:ascii="Arial Black" w:hAnsi="Arial Black"/>
          <w:b/>
          <w:bCs/>
          <w:color w:val="454545"/>
          <w:sz w:val="28"/>
          <w:szCs w:val="28"/>
          <w:shd w:val="clear" w:color="auto" w:fill="FFFFFF"/>
          <w:vertAlign w:val="superscript"/>
        </w:rPr>
        <w:t>rd</w:t>
      </w:r>
      <w:r>
        <w:rPr>
          <w:rFonts w:ascii="Arial Black" w:hAnsi="Arial Black"/>
          <w:b/>
          <w:bCs/>
          <w:color w:val="454545"/>
          <w:sz w:val="28"/>
          <w:szCs w:val="28"/>
          <w:shd w:val="clear" w:color="auto" w:fill="FFFFFF"/>
        </w:rPr>
        <w:t xml:space="preserve"> FD’s INCIDENT COMMAND – QUAL. IMMUNITY </w:t>
      </w:r>
    </w:p>
    <w:p w14:paraId="469821F5" w14:textId="77777777" w:rsidR="00291569" w:rsidRDefault="00291569" w:rsidP="00291569">
      <w:pPr>
        <w:pStyle w:val="NoSpacing"/>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 xml:space="preserve">On July 26, 2024, in </w:t>
      </w:r>
      <w:r w:rsidRPr="00A7779F">
        <w:rPr>
          <w:rFonts w:ascii="Times New Roman" w:hAnsi="Times New Roman"/>
          <w:sz w:val="24"/>
          <w:szCs w:val="24"/>
          <w:u w:val="single"/>
          <w:shd w:val="clear" w:color="auto" w:fill="FFFFFF"/>
        </w:rPr>
        <w:t>Lina Combs v. Jackson Fire Chief Chase Deaton</w:t>
      </w:r>
      <w:r>
        <w:rPr>
          <w:rFonts w:ascii="Times New Roman" w:hAnsi="Times New Roman"/>
          <w:sz w:val="24"/>
          <w:szCs w:val="24"/>
          <w:shd w:val="clear" w:color="auto" w:fill="FFFFFF"/>
        </w:rPr>
        <w:t>, the Court of Appeals of Kentucky held (3 to 0) that trial court properly dismissed the lawsuit regarding total loss of a commercial building in 2021.  The Fire Chief enjoys qualified immunity for discretionary duties; he testified that he called in two mutual aid FDs, but rejected offer for 3</w:t>
      </w:r>
      <w:r w:rsidRPr="00FF5775">
        <w:rPr>
          <w:rFonts w:ascii="Times New Roman" w:hAnsi="Times New Roman"/>
          <w:sz w:val="24"/>
          <w:szCs w:val="24"/>
          <w:shd w:val="clear" w:color="auto" w:fill="FFFFFF"/>
          <w:vertAlign w:val="superscript"/>
        </w:rPr>
        <w:t>rd</w:t>
      </w:r>
      <w:r>
        <w:rPr>
          <w:rFonts w:ascii="Times New Roman" w:hAnsi="Times New Roman"/>
          <w:sz w:val="24"/>
          <w:szCs w:val="24"/>
          <w:shd w:val="clear" w:color="auto" w:fill="FFFFFF"/>
        </w:rPr>
        <w:t xml:space="preserve"> FD since he has prior experience with that FD which “</w:t>
      </w:r>
      <w:r w:rsidRPr="007F35C2">
        <w:rPr>
          <w:rFonts w:ascii="Times New Roman" w:hAnsi="Times New Roman"/>
          <w:sz w:val="24"/>
          <w:szCs w:val="24"/>
          <w:shd w:val="clear" w:color="auto" w:fill="FFFFFF"/>
        </w:rPr>
        <w:t>do not fall within</w:t>
      </w:r>
      <w:r>
        <w:rPr>
          <w:rFonts w:ascii="Times New Roman" w:hAnsi="Times New Roman"/>
          <w:sz w:val="24"/>
          <w:szCs w:val="24"/>
          <w:shd w:val="clear" w:color="auto" w:fill="FFFFFF"/>
        </w:rPr>
        <w:t xml:space="preserve"> </w:t>
      </w:r>
      <w:r w:rsidRPr="007F35C2">
        <w:rPr>
          <w:rFonts w:ascii="Times New Roman" w:hAnsi="Times New Roman"/>
          <w:sz w:val="24"/>
          <w:szCs w:val="24"/>
          <w:shd w:val="clear" w:color="auto" w:fill="FFFFFF"/>
        </w:rPr>
        <w:t>the incident command structure, will not listen to</w:t>
      </w:r>
      <w:r>
        <w:rPr>
          <w:rFonts w:ascii="Times New Roman" w:hAnsi="Times New Roman"/>
          <w:sz w:val="24"/>
          <w:szCs w:val="24"/>
          <w:shd w:val="clear" w:color="auto" w:fill="FFFFFF"/>
        </w:rPr>
        <w:t xml:space="preserve"> </w:t>
      </w:r>
      <w:r w:rsidRPr="007F35C2">
        <w:rPr>
          <w:rFonts w:ascii="Times New Roman" w:hAnsi="Times New Roman"/>
          <w:sz w:val="24"/>
          <w:szCs w:val="24"/>
          <w:shd w:val="clear" w:color="auto" w:fill="FFFFFF"/>
        </w:rPr>
        <w:t>anything anybody tells them to do, which violates all</w:t>
      </w:r>
      <w:r>
        <w:rPr>
          <w:rFonts w:ascii="Times New Roman" w:hAnsi="Times New Roman"/>
          <w:sz w:val="24"/>
          <w:szCs w:val="24"/>
          <w:shd w:val="clear" w:color="auto" w:fill="FFFFFF"/>
        </w:rPr>
        <w:t xml:space="preserve"> </w:t>
      </w:r>
      <w:r w:rsidRPr="007F35C2">
        <w:rPr>
          <w:rFonts w:ascii="Times New Roman" w:hAnsi="Times New Roman"/>
          <w:sz w:val="24"/>
          <w:szCs w:val="24"/>
          <w:shd w:val="clear" w:color="auto" w:fill="FFFFFF"/>
        </w:rPr>
        <w:t>National Incident Management System practices</w:t>
      </w:r>
      <w:r>
        <w:rPr>
          <w:rFonts w:ascii="Times New Roman" w:hAnsi="Times New Roman"/>
          <w:sz w:val="24"/>
          <w:szCs w:val="24"/>
          <w:shd w:val="clear" w:color="auto" w:fill="FFFFFF"/>
        </w:rPr>
        <w:t xml:space="preserve">.”  Court also rejected building owner’s argument that FD </w:t>
      </w:r>
      <w:proofErr w:type="gramStart"/>
      <w:r>
        <w:rPr>
          <w:rFonts w:ascii="Times New Roman" w:hAnsi="Times New Roman"/>
          <w:sz w:val="24"/>
          <w:szCs w:val="24"/>
          <w:shd w:val="clear" w:color="auto" w:fill="FFFFFF"/>
        </w:rPr>
        <w:t>liable</w:t>
      </w:r>
      <w:proofErr w:type="gramEnd"/>
      <w:r>
        <w:rPr>
          <w:rFonts w:ascii="Times New Roman" w:hAnsi="Times New Roman"/>
          <w:sz w:val="24"/>
          <w:szCs w:val="24"/>
          <w:shd w:val="clear" w:color="auto" w:fill="FFFFFF"/>
        </w:rPr>
        <w:t xml:space="preserve"> because one hydrant had low flow; hydrants regularly inspected, including in 2020.  </w:t>
      </w:r>
      <w:hyperlink r:id="rId874" w:history="1">
        <w:r w:rsidRPr="00D57CE5">
          <w:rPr>
            <w:rStyle w:val="Hyperlink"/>
            <w:rFonts w:ascii="Times New Roman" w:hAnsi="Times New Roman"/>
            <w:sz w:val="24"/>
            <w:szCs w:val="24"/>
            <w:shd w:val="clear" w:color="auto" w:fill="FFFFFF"/>
          </w:rPr>
          <w:t>https://cases.justia.com/kentucky/court-of-appeals/2024-2023-ca-1204-mr.pdf?ts=1722002681</w:t>
        </w:r>
      </w:hyperlink>
      <w:r>
        <w:rPr>
          <w:rFonts w:ascii="Times New Roman" w:hAnsi="Times New Roman"/>
          <w:sz w:val="24"/>
          <w:szCs w:val="24"/>
          <w:shd w:val="clear" w:color="auto" w:fill="FFFFFF"/>
        </w:rPr>
        <w:t xml:space="preserve"> </w:t>
      </w:r>
    </w:p>
    <w:p w14:paraId="555B8F57" w14:textId="77777777" w:rsidR="00291569" w:rsidRDefault="00291569" w:rsidP="00291569">
      <w:pPr>
        <w:pStyle w:val="NoSpacing"/>
        <w:rPr>
          <w:rFonts w:ascii="Times New Roman" w:hAnsi="Times New Roman"/>
          <w:sz w:val="24"/>
          <w:szCs w:val="24"/>
          <w:shd w:val="clear" w:color="auto" w:fill="FFFFFF"/>
        </w:rPr>
      </w:pPr>
    </w:p>
    <w:p w14:paraId="3496E68E" w14:textId="77777777" w:rsidR="00291569" w:rsidRDefault="00291569" w:rsidP="00291569">
      <w:pPr>
        <w:pStyle w:val="NoSpacing"/>
        <w:rPr>
          <w:rFonts w:ascii="Times New Roman" w:hAnsi="Times New Roman"/>
          <w:sz w:val="24"/>
          <w:szCs w:val="24"/>
          <w:shd w:val="clear" w:color="auto" w:fill="FFFFFF"/>
        </w:rPr>
      </w:pPr>
    </w:p>
    <w:p w14:paraId="1C17A949" w14:textId="77777777" w:rsidR="00291569" w:rsidRDefault="00291569" w:rsidP="00291569">
      <w:pPr>
        <w:pStyle w:val="NoSpacing"/>
        <w:rPr>
          <w:rFonts w:ascii="Times New Roman" w:hAnsi="Times New Roman"/>
          <w:sz w:val="24"/>
          <w:szCs w:val="24"/>
          <w:shd w:val="clear" w:color="auto" w:fill="FFFFFF"/>
        </w:rPr>
      </w:pPr>
      <w:r>
        <w:rPr>
          <w:rFonts w:ascii="Times New Roman" w:hAnsi="Times New Roman"/>
          <w:sz w:val="24"/>
          <w:szCs w:val="24"/>
          <w:shd w:val="clear" w:color="auto" w:fill="FFFFFF"/>
        </w:rPr>
        <w:t>THE COURT HELD:</w:t>
      </w:r>
    </w:p>
    <w:p w14:paraId="52C604E0" w14:textId="77777777" w:rsidR="00291569" w:rsidRDefault="00291569" w:rsidP="00291569">
      <w:pPr>
        <w:pStyle w:val="NoSpacing"/>
        <w:rPr>
          <w:rFonts w:ascii="Times New Roman" w:hAnsi="Times New Roman"/>
          <w:sz w:val="24"/>
          <w:szCs w:val="24"/>
          <w:shd w:val="clear" w:color="auto" w:fill="FFFFFF"/>
        </w:rPr>
      </w:pPr>
    </w:p>
    <w:p w14:paraId="11B5D76D" w14:textId="77777777" w:rsidR="00291569" w:rsidRDefault="00291569" w:rsidP="00291569">
      <w:pPr>
        <w:pStyle w:val="NoSpacing"/>
        <w:ind w:left="720"/>
        <w:rPr>
          <w:rFonts w:ascii="Times New Roman" w:hAnsi="Times New Roman"/>
          <w:sz w:val="24"/>
          <w:szCs w:val="24"/>
          <w:shd w:val="clear" w:color="auto" w:fill="FFFFFF"/>
        </w:rPr>
      </w:pPr>
      <w:r>
        <w:rPr>
          <w:rFonts w:ascii="Times New Roman" w:hAnsi="Times New Roman"/>
          <w:sz w:val="24"/>
          <w:szCs w:val="24"/>
          <w:shd w:val="clear" w:color="auto" w:fill="FFFFFF"/>
        </w:rPr>
        <w:t>“</w:t>
      </w:r>
      <w:r w:rsidRPr="00B13DF8">
        <w:rPr>
          <w:rFonts w:ascii="Times New Roman" w:hAnsi="Times New Roman"/>
          <w:sz w:val="24"/>
          <w:szCs w:val="24"/>
          <w:shd w:val="clear" w:color="auto" w:fill="FFFFFF"/>
        </w:rPr>
        <w:t>Deaton, in his official capacity as fire chief, is also afforded this same</w:t>
      </w:r>
      <w:r>
        <w:rPr>
          <w:rFonts w:ascii="Times New Roman" w:hAnsi="Times New Roman"/>
          <w:sz w:val="24"/>
          <w:szCs w:val="24"/>
          <w:shd w:val="clear" w:color="auto" w:fill="FFFFFF"/>
        </w:rPr>
        <w:t xml:space="preserve"> </w:t>
      </w:r>
      <w:r w:rsidRPr="00B13DF8">
        <w:rPr>
          <w:rFonts w:ascii="Times New Roman" w:hAnsi="Times New Roman"/>
          <w:sz w:val="24"/>
          <w:szCs w:val="24"/>
          <w:shd w:val="clear" w:color="auto" w:fill="FFFFFF"/>
        </w:rPr>
        <w:t>sovereign immunity as the city and the JFD.</w:t>
      </w:r>
    </w:p>
    <w:p w14:paraId="0816201B" w14:textId="77777777" w:rsidR="00291569" w:rsidRDefault="00291569" w:rsidP="00291569">
      <w:pPr>
        <w:pStyle w:val="NoSpacing"/>
        <w:ind w:left="720"/>
        <w:rPr>
          <w:rFonts w:ascii="Times New Roman" w:hAnsi="Times New Roman"/>
          <w:sz w:val="24"/>
          <w:szCs w:val="24"/>
          <w:shd w:val="clear" w:color="auto" w:fill="FFFFFF"/>
        </w:rPr>
      </w:pPr>
    </w:p>
    <w:p w14:paraId="53DA656D" w14:textId="77777777" w:rsidR="00291569" w:rsidRDefault="00291569" w:rsidP="00291569">
      <w:pPr>
        <w:pStyle w:val="NoSpacing"/>
        <w:ind w:left="720"/>
        <w:rPr>
          <w:rFonts w:ascii="Times New Roman" w:hAnsi="Times New Roman"/>
          <w:sz w:val="24"/>
          <w:szCs w:val="24"/>
          <w:shd w:val="clear" w:color="auto" w:fill="FFFFFF"/>
        </w:rPr>
      </w:pPr>
      <w:r>
        <w:rPr>
          <w:rFonts w:ascii="Times New Roman" w:hAnsi="Times New Roman"/>
          <w:sz w:val="24"/>
          <w:szCs w:val="24"/>
          <w:shd w:val="clear" w:color="auto" w:fill="FFFFFF"/>
        </w:rPr>
        <w:t>***</w:t>
      </w:r>
    </w:p>
    <w:p w14:paraId="7C71FA95" w14:textId="77777777" w:rsidR="00291569" w:rsidRDefault="00291569" w:rsidP="00291569">
      <w:pPr>
        <w:pStyle w:val="NoSpacing"/>
        <w:ind w:left="720"/>
        <w:rPr>
          <w:rFonts w:ascii="Times New Roman" w:hAnsi="Times New Roman"/>
          <w:sz w:val="24"/>
          <w:szCs w:val="24"/>
          <w:shd w:val="clear" w:color="auto" w:fill="FFFFFF"/>
        </w:rPr>
      </w:pPr>
      <w:r w:rsidRPr="007A021B">
        <w:rPr>
          <w:rFonts w:ascii="Times New Roman" w:hAnsi="Times New Roman"/>
          <w:sz w:val="24"/>
          <w:szCs w:val="24"/>
          <w:shd w:val="clear" w:color="auto" w:fill="FFFFFF"/>
        </w:rPr>
        <w:t>We must move to individual capacity liability. Public officers and</w:t>
      </w:r>
      <w:r>
        <w:rPr>
          <w:rFonts w:ascii="Times New Roman" w:hAnsi="Times New Roman"/>
          <w:sz w:val="24"/>
          <w:szCs w:val="24"/>
          <w:shd w:val="clear" w:color="auto" w:fill="FFFFFF"/>
        </w:rPr>
        <w:t xml:space="preserve"> </w:t>
      </w:r>
      <w:r w:rsidRPr="007A021B">
        <w:rPr>
          <w:rFonts w:ascii="Times New Roman" w:hAnsi="Times New Roman"/>
          <w:sz w:val="24"/>
          <w:szCs w:val="24"/>
          <w:shd w:val="clear" w:color="auto" w:fill="FFFFFF"/>
        </w:rPr>
        <w:t>employees are entitled to qualified official immunity for negligent conduct when</w:t>
      </w:r>
      <w:r>
        <w:rPr>
          <w:rFonts w:ascii="Times New Roman" w:hAnsi="Times New Roman"/>
          <w:sz w:val="24"/>
          <w:szCs w:val="24"/>
          <w:shd w:val="clear" w:color="auto" w:fill="FFFFFF"/>
        </w:rPr>
        <w:t xml:space="preserve"> </w:t>
      </w:r>
      <w:r w:rsidRPr="007A021B">
        <w:rPr>
          <w:rFonts w:ascii="Times New Roman" w:hAnsi="Times New Roman"/>
          <w:sz w:val="24"/>
          <w:szCs w:val="24"/>
          <w:shd w:val="clear" w:color="auto" w:fill="FFFFFF"/>
        </w:rPr>
        <w:t>the negligent act or omissions were (1) discretionary acts or functions, that (2)</w:t>
      </w:r>
      <w:r>
        <w:rPr>
          <w:rFonts w:ascii="Times New Roman" w:hAnsi="Times New Roman"/>
          <w:sz w:val="24"/>
          <w:szCs w:val="24"/>
          <w:shd w:val="clear" w:color="auto" w:fill="FFFFFF"/>
        </w:rPr>
        <w:t xml:space="preserve"> </w:t>
      </w:r>
      <w:r w:rsidRPr="007A021B">
        <w:rPr>
          <w:rFonts w:ascii="Times New Roman" w:hAnsi="Times New Roman"/>
          <w:sz w:val="24"/>
          <w:szCs w:val="24"/>
          <w:shd w:val="clear" w:color="auto" w:fill="FFFFFF"/>
        </w:rPr>
        <w:t>were made in good faith (or more to the point not made in bad faith), and (3) were</w:t>
      </w:r>
      <w:r>
        <w:rPr>
          <w:rFonts w:ascii="Times New Roman" w:hAnsi="Times New Roman"/>
          <w:sz w:val="24"/>
          <w:szCs w:val="24"/>
          <w:shd w:val="clear" w:color="auto" w:fill="FFFFFF"/>
        </w:rPr>
        <w:t xml:space="preserve"> </w:t>
      </w:r>
      <w:r w:rsidRPr="007A021B">
        <w:rPr>
          <w:rFonts w:ascii="Times New Roman" w:hAnsi="Times New Roman"/>
          <w:sz w:val="24"/>
          <w:szCs w:val="24"/>
          <w:shd w:val="clear" w:color="auto" w:fill="FFFFFF"/>
        </w:rPr>
        <w:t>within the scope of the employee’s authority.</w:t>
      </w:r>
    </w:p>
    <w:p w14:paraId="3BA72D3A" w14:textId="77777777" w:rsidR="00291569" w:rsidRDefault="00291569" w:rsidP="00291569">
      <w:pPr>
        <w:pStyle w:val="NoSpacing"/>
        <w:ind w:left="720"/>
        <w:rPr>
          <w:rFonts w:ascii="Times New Roman" w:hAnsi="Times New Roman"/>
          <w:sz w:val="24"/>
          <w:szCs w:val="24"/>
          <w:shd w:val="clear" w:color="auto" w:fill="FFFFFF"/>
        </w:rPr>
      </w:pPr>
    </w:p>
    <w:p w14:paraId="177ED0BB" w14:textId="77777777" w:rsidR="00291569" w:rsidRDefault="00291569" w:rsidP="00291569">
      <w:pPr>
        <w:pStyle w:val="NoSpacing"/>
        <w:ind w:left="720"/>
        <w:rPr>
          <w:rFonts w:ascii="Times New Roman" w:hAnsi="Times New Roman"/>
          <w:sz w:val="24"/>
          <w:szCs w:val="24"/>
          <w:shd w:val="clear" w:color="auto" w:fill="FFFFFF"/>
        </w:rPr>
      </w:pPr>
      <w:r>
        <w:rPr>
          <w:rFonts w:ascii="Times New Roman" w:hAnsi="Times New Roman"/>
          <w:sz w:val="24"/>
          <w:szCs w:val="24"/>
          <w:shd w:val="clear" w:color="auto" w:fill="FFFFFF"/>
        </w:rPr>
        <w:t>***</w:t>
      </w:r>
    </w:p>
    <w:p w14:paraId="771A546C" w14:textId="77777777" w:rsidR="00291569" w:rsidRDefault="00291569" w:rsidP="00291569">
      <w:pPr>
        <w:pStyle w:val="NoSpacing"/>
        <w:rPr>
          <w:rFonts w:ascii="Times New Roman" w:hAnsi="Times New Roman"/>
          <w:sz w:val="24"/>
          <w:szCs w:val="24"/>
          <w:shd w:val="clear" w:color="auto" w:fill="FFFFFF"/>
        </w:rPr>
      </w:pPr>
    </w:p>
    <w:p w14:paraId="48259FCE" w14:textId="77777777" w:rsidR="00291569" w:rsidRPr="00B95DA7" w:rsidRDefault="00291569" w:rsidP="00291569">
      <w:pPr>
        <w:pStyle w:val="NoSpacing"/>
        <w:ind w:firstLine="720"/>
        <w:rPr>
          <w:rFonts w:ascii="Times New Roman" w:hAnsi="Times New Roman"/>
          <w:sz w:val="24"/>
          <w:szCs w:val="24"/>
          <w:shd w:val="clear" w:color="auto" w:fill="FFFFFF"/>
        </w:rPr>
      </w:pPr>
      <w:r>
        <w:rPr>
          <w:rFonts w:ascii="Times New Roman" w:hAnsi="Times New Roman"/>
          <w:sz w:val="24"/>
          <w:szCs w:val="24"/>
          <w:shd w:val="clear" w:color="auto" w:fill="FFFFFF"/>
        </w:rPr>
        <w:t>T</w:t>
      </w:r>
      <w:r w:rsidRPr="00B95DA7">
        <w:rPr>
          <w:rFonts w:ascii="Times New Roman" w:hAnsi="Times New Roman"/>
          <w:sz w:val="24"/>
          <w:szCs w:val="24"/>
          <w:shd w:val="clear" w:color="auto" w:fill="FFFFFF"/>
        </w:rPr>
        <w:t>he</w:t>
      </w:r>
      <w:r>
        <w:rPr>
          <w:rFonts w:ascii="Times New Roman" w:hAnsi="Times New Roman"/>
          <w:sz w:val="24"/>
          <w:szCs w:val="24"/>
          <w:shd w:val="clear" w:color="auto" w:fill="FFFFFF"/>
        </w:rPr>
        <w:t xml:space="preserve"> </w:t>
      </w:r>
      <w:r w:rsidRPr="00B95DA7">
        <w:rPr>
          <w:rFonts w:ascii="Times New Roman" w:hAnsi="Times New Roman"/>
          <w:sz w:val="24"/>
          <w:szCs w:val="24"/>
          <w:shd w:val="clear" w:color="auto" w:fill="FFFFFF"/>
        </w:rPr>
        <w:t>circuit court found that Deaton’s actions in refusing assistance from QFD were</w:t>
      </w:r>
    </w:p>
    <w:p w14:paraId="66708351" w14:textId="77777777" w:rsidR="00291569" w:rsidRPr="00B95DA7" w:rsidRDefault="00291569" w:rsidP="00291569">
      <w:pPr>
        <w:pStyle w:val="NoSpacing"/>
        <w:ind w:firstLine="720"/>
        <w:rPr>
          <w:rFonts w:ascii="Times New Roman" w:hAnsi="Times New Roman"/>
          <w:sz w:val="24"/>
          <w:szCs w:val="24"/>
          <w:shd w:val="clear" w:color="auto" w:fill="FFFFFF"/>
        </w:rPr>
      </w:pPr>
      <w:r w:rsidRPr="00B95DA7">
        <w:rPr>
          <w:rFonts w:ascii="Times New Roman" w:hAnsi="Times New Roman"/>
          <w:sz w:val="24"/>
          <w:szCs w:val="24"/>
          <w:shd w:val="clear" w:color="auto" w:fill="FFFFFF"/>
        </w:rPr>
        <w:t>clearly discretionary. Further, the court found that Combs was unable to meet the</w:t>
      </w:r>
    </w:p>
    <w:p w14:paraId="056AA055" w14:textId="77777777" w:rsidR="00291569" w:rsidRDefault="00291569" w:rsidP="00291569">
      <w:pPr>
        <w:pStyle w:val="NoSpacing"/>
        <w:ind w:left="720"/>
        <w:rPr>
          <w:rFonts w:ascii="Times New Roman" w:hAnsi="Times New Roman"/>
          <w:sz w:val="24"/>
          <w:szCs w:val="24"/>
          <w:shd w:val="clear" w:color="auto" w:fill="FFFFFF"/>
        </w:rPr>
      </w:pPr>
      <w:r w:rsidRPr="00B95DA7">
        <w:rPr>
          <w:rFonts w:ascii="Times New Roman" w:hAnsi="Times New Roman"/>
          <w:sz w:val="24"/>
          <w:szCs w:val="24"/>
          <w:shd w:val="clear" w:color="auto" w:fill="FFFFFF"/>
        </w:rPr>
        <w:t>burden that Deaton had acted in bad faith in making his decisions.</w:t>
      </w:r>
      <w:r>
        <w:rPr>
          <w:rFonts w:ascii="Times New Roman" w:hAnsi="Times New Roman"/>
          <w:sz w:val="24"/>
          <w:szCs w:val="24"/>
          <w:shd w:val="clear" w:color="auto" w:fill="FFFFFF"/>
        </w:rPr>
        <w:t xml:space="preserve"> </w:t>
      </w:r>
    </w:p>
    <w:p w14:paraId="6695918D" w14:textId="77777777" w:rsidR="00291569" w:rsidRDefault="00291569" w:rsidP="00291569">
      <w:pPr>
        <w:pStyle w:val="NoSpacing"/>
        <w:ind w:left="720"/>
        <w:rPr>
          <w:rFonts w:ascii="Times New Roman" w:hAnsi="Times New Roman"/>
          <w:sz w:val="24"/>
          <w:szCs w:val="24"/>
          <w:shd w:val="clear" w:color="auto" w:fill="FFFFFF"/>
        </w:rPr>
      </w:pPr>
    </w:p>
    <w:p w14:paraId="12FDC2AA" w14:textId="77777777" w:rsidR="00291569" w:rsidRDefault="00291569" w:rsidP="00291569">
      <w:pPr>
        <w:pStyle w:val="NoSpacing"/>
        <w:ind w:left="720"/>
        <w:rPr>
          <w:rFonts w:ascii="Times New Roman" w:hAnsi="Times New Roman"/>
          <w:sz w:val="24"/>
          <w:szCs w:val="24"/>
          <w:shd w:val="clear" w:color="auto" w:fill="FFFFFF"/>
        </w:rPr>
      </w:pPr>
      <w:r>
        <w:rPr>
          <w:rFonts w:ascii="Times New Roman" w:hAnsi="Times New Roman"/>
          <w:sz w:val="24"/>
          <w:szCs w:val="24"/>
          <w:shd w:val="clear" w:color="auto" w:fill="FFFFFF"/>
        </w:rPr>
        <w:t>***</w:t>
      </w:r>
    </w:p>
    <w:p w14:paraId="2C21B193" w14:textId="77777777" w:rsidR="00291569" w:rsidRDefault="00291569" w:rsidP="00291569">
      <w:pPr>
        <w:pStyle w:val="NoSpacing"/>
        <w:ind w:left="720"/>
        <w:rPr>
          <w:rFonts w:ascii="Times New Roman" w:hAnsi="Times New Roman"/>
          <w:sz w:val="24"/>
          <w:szCs w:val="24"/>
          <w:shd w:val="clear" w:color="auto" w:fill="FFFFFF"/>
        </w:rPr>
      </w:pPr>
      <w:r>
        <w:rPr>
          <w:rFonts w:ascii="Times New Roman" w:hAnsi="Times New Roman"/>
          <w:sz w:val="24"/>
          <w:szCs w:val="24"/>
          <w:shd w:val="clear" w:color="auto" w:fill="FFFFFF"/>
        </w:rPr>
        <w:t>The Fire Chief testified in his deposition:</w:t>
      </w:r>
    </w:p>
    <w:p w14:paraId="23A628A0" w14:textId="77777777" w:rsidR="00291569" w:rsidRDefault="00291569" w:rsidP="00291569">
      <w:pPr>
        <w:pStyle w:val="NoSpacing"/>
        <w:ind w:left="1440"/>
        <w:rPr>
          <w:rFonts w:ascii="Times New Roman" w:hAnsi="Times New Roman"/>
          <w:sz w:val="24"/>
          <w:szCs w:val="24"/>
          <w:shd w:val="clear" w:color="auto" w:fill="FFFFFF"/>
        </w:rPr>
      </w:pPr>
    </w:p>
    <w:p w14:paraId="38713BE5" w14:textId="77777777" w:rsidR="00291569" w:rsidRDefault="00291569" w:rsidP="00291569">
      <w:pPr>
        <w:pStyle w:val="NoSpacing"/>
        <w:ind w:left="1440"/>
        <w:rPr>
          <w:rFonts w:ascii="Times New Roman" w:hAnsi="Times New Roman"/>
          <w:sz w:val="24"/>
          <w:szCs w:val="24"/>
          <w:shd w:val="clear" w:color="auto" w:fill="FFFFFF"/>
        </w:rPr>
      </w:pPr>
      <w:r w:rsidRPr="007F35C2">
        <w:rPr>
          <w:rFonts w:ascii="Times New Roman" w:hAnsi="Times New Roman"/>
          <w:sz w:val="24"/>
          <w:szCs w:val="24"/>
          <w:shd w:val="clear" w:color="auto" w:fill="FFFFFF"/>
        </w:rPr>
        <w:t>The Quicksand Fire Department, we do not feel, was</w:t>
      </w:r>
      <w:r>
        <w:rPr>
          <w:rFonts w:ascii="Times New Roman" w:hAnsi="Times New Roman"/>
          <w:sz w:val="24"/>
          <w:szCs w:val="24"/>
          <w:shd w:val="clear" w:color="auto" w:fill="FFFFFF"/>
        </w:rPr>
        <w:t xml:space="preserve"> </w:t>
      </w:r>
      <w:r w:rsidRPr="007F35C2">
        <w:rPr>
          <w:rFonts w:ascii="Times New Roman" w:hAnsi="Times New Roman"/>
          <w:sz w:val="24"/>
          <w:szCs w:val="24"/>
          <w:shd w:val="clear" w:color="auto" w:fill="FFFFFF"/>
        </w:rPr>
        <w:t>capable to fall with the incident command structure and</w:t>
      </w:r>
      <w:r>
        <w:rPr>
          <w:rFonts w:ascii="Times New Roman" w:hAnsi="Times New Roman"/>
          <w:sz w:val="24"/>
          <w:szCs w:val="24"/>
          <w:shd w:val="clear" w:color="auto" w:fill="FFFFFF"/>
        </w:rPr>
        <w:t xml:space="preserve"> </w:t>
      </w:r>
      <w:r w:rsidRPr="007F35C2">
        <w:rPr>
          <w:rFonts w:ascii="Times New Roman" w:hAnsi="Times New Roman"/>
          <w:sz w:val="24"/>
          <w:szCs w:val="24"/>
          <w:shd w:val="clear" w:color="auto" w:fill="FFFFFF"/>
        </w:rPr>
        <w:t>keep themselves or somebody else from getting hurt or</w:t>
      </w:r>
      <w:r>
        <w:rPr>
          <w:rFonts w:ascii="Times New Roman" w:hAnsi="Times New Roman"/>
          <w:sz w:val="24"/>
          <w:szCs w:val="24"/>
          <w:shd w:val="clear" w:color="auto" w:fill="FFFFFF"/>
        </w:rPr>
        <w:t xml:space="preserve"> </w:t>
      </w:r>
      <w:r w:rsidRPr="007F35C2">
        <w:rPr>
          <w:rFonts w:ascii="Times New Roman" w:hAnsi="Times New Roman"/>
          <w:sz w:val="24"/>
          <w:szCs w:val="24"/>
          <w:shd w:val="clear" w:color="auto" w:fill="FFFFFF"/>
        </w:rPr>
        <w:t>killed on that fire. The fire on Main Street was not your</w:t>
      </w:r>
      <w:r>
        <w:rPr>
          <w:rFonts w:ascii="Times New Roman" w:hAnsi="Times New Roman"/>
          <w:sz w:val="24"/>
          <w:szCs w:val="24"/>
          <w:shd w:val="clear" w:color="auto" w:fill="FFFFFF"/>
        </w:rPr>
        <w:t xml:space="preserve"> </w:t>
      </w:r>
      <w:r w:rsidRPr="007F35C2">
        <w:rPr>
          <w:rFonts w:ascii="Times New Roman" w:hAnsi="Times New Roman"/>
          <w:sz w:val="24"/>
          <w:szCs w:val="24"/>
          <w:shd w:val="clear" w:color="auto" w:fill="FFFFFF"/>
        </w:rPr>
        <w:t>average, everyday single-wide trailer fire that you would</w:t>
      </w:r>
      <w:r>
        <w:rPr>
          <w:rFonts w:ascii="Times New Roman" w:hAnsi="Times New Roman"/>
          <w:sz w:val="24"/>
          <w:szCs w:val="24"/>
          <w:shd w:val="clear" w:color="auto" w:fill="FFFFFF"/>
        </w:rPr>
        <w:t xml:space="preserve"> </w:t>
      </w:r>
      <w:r w:rsidRPr="007F35C2">
        <w:rPr>
          <w:rFonts w:ascii="Times New Roman" w:hAnsi="Times New Roman"/>
          <w:sz w:val="24"/>
          <w:szCs w:val="24"/>
          <w:shd w:val="clear" w:color="auto" w:fill="FFFFFF"/>
        </w:rPr>
        <w:t>go to. That building, that large with that much smoke</w:t>
      </w:r>
      <w:r>
        <w:rPr>
          <w:rFonts w:ascii="Times New Roman" w:hAnsi="Times New Roman"/>
          <w:sz w:val="24"/>
          <w:szCs w:val="24"/>
          <w:shd w:val="clear" w:color="auto" w:fill="FFFFFF"/>
        </w:rPr>
        <w:t xml:space="preserve"> </w:t>
      </w:r>
      <w:r w:rsidRPr="007F35C2">
        <w:rPr>
          <w:rFonts w:ascii="Times New Roman" w:hAnsi="Times New Roman"/>
          <w:sz w:val="24"/>
          <w:szCs w:val="24"/>
          <w:shd w:val="clear" w:color="auto" w:fill="FFFFFF"/>
        </w:rPr>
        <w:t>buildup, and that much fire involvement could easily get</w:t>
      </w:r>
      <w:r>
        <w:rPr>
          <w:rFonts w:ascii="Times New Roman" w:hAnsi="Times New Roman"/>
          <w:sz w:val="24"/>
          <w:szCs w:val="24"/>
          <w:shd w:val="clear" w:color="auto" w:fill="FFFFFF"/>
        </w:rPr>
        <w:t xml:space="preserve"> </w:t>
      </w:r>
      <w:r w:rsidRPr="007F35C2">
        <w:rPr>
          <w:rFonts w:ascii="Times New Roman" w:hAnsi="Times New Roman"/>
          <w:sz w:val="24"/>
          <w:szCs w:val="24"/>
          <w:shd w:val="clear" w:color="auto" w:fill="FFFFFF"/>
        </w:rPr>
        <w:t>somebody hurt or killed. With previous experience with</w:t>
      </w:r>
      <w:r>
        <w:rPr>
          <w:rFonts w:ascii="Times New Roman" w:hAnsi="Times New Roman"/>
          <w:sz w:val="24"/>
          <w:szCs w:val="24"/>
          <w:shd w:val="clear" w:color="auto" w:fill="FFFFFF"/>
        </w:rPr>
        <w:t xml:space="preserve"> </w:t>
      </w:r>
      <w:r w:rsidRPr="007F35C2">
        <w:rPr>
          <w:rFonts w:ascii="Times New Roman" w:hAnsi="Times New Roman"/>
          <w:sz w:val="24"/>
          <w:szCs w:val="24"/>
          <w:shd w:val="clear" w:color="auto" w:fill="FFFFFF"/>
        </w:rPr>
        <w:t>Quicksand, they have put – and they do not fall within</w:t>
      </w:r>
      <w:r>
        <w:rPr>
          <w:rFonts w:ascii="Times New Roman" w:hAnsi="Times New Roman"/>
          <w:sz w:val="24"/>
          <w:szCs w:val="24"/>
          <w:shd w:val="clear" w:color="auto" w:fill="FFFFFF"/>
        </w:rPr>
        <w:t xml:space="preserve"> </w:t>
      </w:r>
      <w:r w:rsidRPr="007F35C2">
        <w:rPr>
          <w:rFonts w:ascii="Times New Roman" w:hAnsi="Times New Roman"/>
          <w:sz w:val="24"/>
          <w:szCs w:val="24"/>
          <w:shd w:val="clear" w:color="auto" w:fill="FFFFFF"/>
        </w:rPr>
        <w:t>the incident command structure, will not listen to</w:t>
      </w:r>
      <w:r>
        <w:rPr>
          <w:rFonts w:ascii="Times New Roman" w:hAnsi="Times New Roman"/>
          <w:sz w:val="24"/>
          <w:szCs w:val="24"/>
          <w:shd w:val="clear" w:color="auto" w:fill="FFFFFF"/>
        </w:rPr>
        <w:t xml:space="preserve"> </w:t>
      </w:r>
      <w:r w:rsidRPr="007F35C2">
        <w:rPr>
          <w:rFonts w:ascii="Times New Roman" w:hAnsi="Times New Roman"/>
          <w:sz w:val="24"/>
          <w:szCs w:val="24"/>
          <w:shd w:val="clear" w:color="auto" w:fill="FFFFFF"/>
        </w:rPr>
        <w:t>anything anybody tells them to do, which violates all</w:t>
      </w:r>
      <w:r>
        <w:rPr>
          <w:rFonts w:ascii="Times New Roman" w:hAnsi="Times New Roman"/>
          <w:sz w:val="24"/>
          <w:szCs w:val="24"/>
          <w:shd w:val="clear" w:color="auto" w:fill="FFFFFF"/>
        </w:rPr>
        <w:t xml:space="preserve"> </w:t>
      </w:r>
      <w:r w:rsidRPr="007F35C2">
        <w:rPr>
          <w:rFonts w:ascii="Times New Roman" w:hAnsi="Times New Roman"/>
          <w:sz w:val="24"/>
          <w:szCs w:val="24"/>
          <w:shd w:val="clear" w:color="auto" w:fill="FFFFFF"/>
        </w:rPr>
        <w:t>National Incident Management System practices</w:t>
      </w:r>
      <w:r>
        <w:rPr>
          <w:rFonts w:ascii="Times New Roman" w:hAnsi="Times New Roman"/>
          <w:sz w:val="24"/>
          <w:szCs w:val="24"/>
          <w:shd w:val="clear" w:color="auto" w:fill="FFFFFF"/>
        </w:rPr>
        <w:t>.</w:t>
      </w:r>
    </w:p>
    <w:p w14:paraId="6B139BC0" w14:textId="77777777" w:rsidR="00291569" w:rsidRDefault="00291569" w:rsidP="00291569">
      <w:pPr>
        <w:pStyle w:val="NoSpacing"/>
        <w:ind w:left="1440"/>
        <w:rPr>
          <w:rFonts w:ascii="Times New Roman" w:hAnsi="Times New Roman"/>
          <w:sz w:val="24"/>
          <w:szCs w:val="24"/>
          <w:shd w:val="clear" w:color="auto" w:fill="FFFFFF"/>
        </w:rPr>
      </w:pPr>
    </w:p>
    <w:p w14:paraId="6A4B139A" w14:textId="77777777" w:rsidR="00291569" w:rsidRDefault="00291569" w:rsidP="00291569">
      <w:pPr>
        <w:pStyle w:val="NoSpacing"/>
        <w:ind w:left="720"/>
        <w:rPr>
          <w:rFonts w:ascii="Times New Roman" w:hAnsi="Times New Roman"/>
          <w:sz w:val="24"/>
          <w:szCs w:val="24"/>
          <w:shd w:val="clear" w:color="auto" w:fill="FFFFFF"/>
        </w:rPr>
      </w:pPr>
      <w:r>
        <w:rPr>
          <w:rFonts w:ascii="Times New Roman" w:hAnsi="Times New Roman"/>
          <w:sz w:val="24"/>
          <w:szCs w:val="24"/>
          <w:shd w:val="clear" w:color="auto" w:fill="FFFFFF"/>
        </w:rPr>
        <w:t>***</w:t>
      </w:r>
    </w:p>
    <w:p w14:paraId="5D3BE8B7" w14:textId="77777777" w:rsidR="00291569" w:rsidRDefault="00291569" w:rsidP="00291569">
      <w:pPr>
        <w:pStyle w:val="NoSpacing"/>
        <w:ind w:left="720"/>
        <w:rPr>
          <w:rFonts w:ascii="Times New Roman" w:hAnsi="Times New Roman"/>
          <w:sz w:val="24"/>
          <w:szCs w:val="24"/>
          <w:shd w:val="clear" w:color="auto" w:fill="FFFFFF"/>
        </w:rPr>
      </w:pPr>
    </w:p>
    <w:p w14:paraId="5E5B924A" w14:textId="77777777" w:rsidR="00291569" w:rsidRDefault="00291569" w:rsidP="00291569">
      <w:pPr>
        <w:pStyle w:val="NoSpacing"/>
        <w:ind w:left="720"/>
        <w:rPr>
          <w:rFonts w:ascii="Times New Roman" w:hAnsi="Times New Roman"/>
          <w:sz w:val="24"/>
          <w:szCs w:val="24"/>
          <w:shd w:val="clear" w:color="auto" w:fill="FFFFFF"/>
        </w:rPr>
      </w:pPr>
      <w:r w:rsidRPr="00897E8C">
        <w:rPr>
          <w:rFonts w:ascii="Times New Roman" w:hAnsi="Times New Roman"/>
          <w:sz w:val="24"/>
          <w:szCs w:val="24"/>
          <w:shd w:val="clear" w:color="auto" w:fill="FFFFFF"/>
        </w:rPr>
        <w:t>Combs was unable to show a breach of any ministerial duty to inspect</w:t>
      </w:r>
      <w:r>
        <w:rPr>
          <w:rFonts w:ascii="Times New Roman" w:hAnsi="Times New Roman"/>
          <w:sz w:val="24"/>
          <w:szCs w:val="24"/>
          <w:shd w:val="clear" w:color="auto" w:fill="FFFFFF"/>
        </w:rPr>
        <w:t xml:space="preserve"> </w:t>
      </w:r>
      <w:r w:rsidRPr="00897E8C">
        <w:rPr>
          <w:rFonts w:ascii="Times New Roman" w:hAnsi="Times New Roman"/>
          <w:sz w:val="24"/>
          <w:szCs w:val="24"/>
          <w:shd w:val="clear" w:color="auto" w:fill="FFFFFF"/>
        </w:rPr>
        <w:t>and maintain the fire hydrants in the city by Deaton in his job of fire chief nor any</w:t>
      </w:r>
      <w:r>
        <w:rPr>
          <w:rFonts w:ascii="Times New Roman" w:hAnsi="Times New Roman"/>
          <w:sz w:val="24"/>
          <w:szCs w:val="24"/>
          <w:shd w:val="clear" w:color="auto" w:fill="FFFFFF"/>
        </w:rPr>
        <w:t xml:space="preserve"> </w:t>
      </w:r>
      <w:r w:rsidRPr="00897E8C">
        <w:rPr>
          <w:rFonts w:ascii="Times New Roman" w:hAnsi="Times New Roman"/>
          <w:sz w:val="24"/>
          <w:szCs w:val="24"/>
          <w:shd w:val="clear" w:color="auto" w:fill="FFFFFF"/>
        </w:rPr>
        <w:t>causation between the water available at the location of the hydrant as compared to</w:t>
      </w:r>
      <w:r>
        <w:rPr>
          <w:rFonts w:ascii="Times New Roman" w:hAnsi="Times New Roman"/>
          <w:sz w:val="24"/>
          <w:szCs w:val="24"/>
          <w:shd w:val="clear" w:color="auto" w:fill="FFFFFF"/>
        </w:rPr>
        <w:t xml:space="preserve"> </w:t>
      </w:r>
      <w:r w:rsidRPr="00897E8C">
        <w:rPr>
          <w:rFonts w:ascii="Times New Roman" w:hAnsi="Times New Roman"/>
          <w:sz w:val="24"/>
          <w:szCs w:val="24"/>
          <w:shd w:val="clear" w:color="auto" w:fill="FFFFFF"/>
        </w:rPr>
        <w:t>other water sources.</w:t>
      </w:r>
      <w:r>
        <w:rPr>
          <w:rFonts w:ascii="Times New Roman" w:hAnsi="Times New Roman"/>
          <w:sz w:val="24"/>
          <w:szCs w:val="24"/>
          <w:shd w:val="clear" w:color="auto" w:fill="FFFFFF"/>
        </w:rPr>
        <w:t>”</w:t>
      </w:r>
    </w:p>
    <w:p w14:paraId="0C496BD5" w14:textId="77777777" w:rsidR="00291569" w:rsidRDefault="00291569" w:rsidP="002B1283">
      <w:pPr>
        <w:rPr>
          <w:rStyle w:val="Hyperlink"/>
          <w:rFonts w:ascii="Arial Black" w:hAnsi="Arial Black"/>
          <w:b/>
          <w:color w:val="auto"/>
          <w:sz w:val="24"/>
          <w:szCs w:val="24"/>
          <w:u w:val="none"/>
        </w:rPr>
      </w:pPr>
    </w:p>
    <w:p w14:paraId="5FDCA7DD" w14:textId="77777777" w:rsidR="0038005B" w:rsidRDefault="0038005B" w:rsidP="0038005B">
      <w:pPr>
        <w:pStyle w:val="NoSpacing"/>
        <w:rPr>
          <w:rFonts w:ascii="Times New Roman" w:hAnsi="Times New Roman"/>
          <w:b/>
          <w:bCs/>
          <w:sz w:val="24"/>
          <w:szCs w:val="24"/>
          <w:shd w:val="clear" w:color="auto" w:fill="FFFFFF"/>
        </w:rPr>
      </w:pPr>
      <w:r w:rsidRPr="00011B41">
        <w:rPr>
          <w:rFonts w:ascii="Times New Roman" w:hAnsi="Times New Roman"/>
          <w:b/>
          <w:bCs/>
          <w:sz w:val="24"/>
          <w:szCs w:val="24"/>
          <w:shd w:val="clear" w:color="auto" w:fill="FFFFFF"/>
        </w:rPr>
        <w:t xml:space="preserve">Legal Lesson Learned: </w:t>
      </w:r>
      <w:r>
        <w:rPr>
          <w:rFonts w:ascii="Times New Roman" w:hAnsi="Times New Roman"/>
          <w:b/>
          <w:bCs/>
          <w:sz w:val="24"/>
          <w:szCs w:val="24"/>
          <w:shd w:val="clear" w:color="auto" w:fill="FFFFFF"/>
        </w:rPr>
        <w:t xml:space="preserve">Fire Chief has qualified immunity in making discretionary decisions in good faith, including rejecting mutual aid from </w:t>
      </w:r>
      <w:proofErr w:type="gramStart"/>
      <w:r>
        <w:rPr>
          <w:rFonts w:ascii="Times New Roman" w:hAnsi="Times New Roman"/>
          <w:b/>
          <w:bCs/>
          <w:sz w:val="24"/>
          <w:szCs w:val="24"/>
          <w:shd w:val="clear" w:color="auto" w:fill="FFFFFF"/>
        </w:rPr>
        <w:t>a FD</w:t>
      </w:r>
      <w:proofErr w:type="gramEnd"/>
      <w:r>
        <w:rPr>
          <w:rFonts w:ascii="Times New Roman" w:hAnsi="Times New Roman"/>
          <w:b/>
          <w:bCs/>
          <w:sz w:val="24"/>
          <w:szCs w:val="24"/>
          <w:shd w:val="clear" w:color="auto" w:fill="FFFFFF"/>
        </w:rPr>
        <w:t xml:space="preserve"> that does not follow incident command. </w:t>
      </w:r>
    </w:p>
    <w:p w14:paraId="135FDE37" w14:textId="77777777" w:rsidR="0038005B" w:rsidRDefault="0038005B" w:rsidP="002B1283">
      <w:pPr>
        <w:rPr>
          <w:rStyle w:val="Hyperlink"/>
          <w:rFonts w:ascii="Arial Black" w:hAnsi="Arial Black"/>
          <w:b/>
          <w:color w:val="auto"/>
          <w:sz w:val="24"/>
          <w:szCs w:val="24"/>
          <w:u w:val="none"/>
        </w:rPr>
      </w:pPr>
    </w:p>
    <w:p w14:paraId="16CCE250" w14:textId="77777777" w:rsidR="00291569" w:rsidRDefault="00291569" w:rsidP="002B1283">
      <w:pPr>
        <w:rPr>
          <w:rStyle w:val="Hyperlink"/>
          <w:rFonts w:ascii="Arial Black" w:hAnsi="Arial Black"/>
          <w:b/>
          <w:color w:val="auto"/>
          <w:sz w:val="24"/>
          <w:szCs w:val="24"/>
          <w:u w:val="none"/>
        </w:rPr>
      </w:pPr>
    </w:p>
    <w:p w14:paraId="56C6B570" w14:textId="680EB1EE" w:rsidR="00DA1A0E" w:rsidRDefault="00DA1A0E" w:rsidP="002B1283">
      <w:pPr>
        <w:rPr>
          <w:rStyle w:val="Hyperlink"/>
          <w:rFonts w:ascii="Arial Black" w:hAnsi="Arial Black"/>
          <w:b/>
          <w:color w:val="auto"/>
          <w:sz w:val="24"/>
          <w:szCs w:val="24"/>
          <w:u w:val="none"/>
        </w:rPr>
      </w:pPr>
      <w:r>
        <w:rPr>
          <w:rStyle w:val="Hyperlink"/>
          <w:rFonts w:ascii="Arial Black" w:hAnsi="Arial Black"/>
          <w:b/>
          <w:color w:val="auto"/>
          <w:sz w:val="24"/>
          <w:szCs w:val="24"/>
          <w:u w:val="none"/>
        </w:rPr>
        <w:lastRenderedPageBreak/>
        <w:t>4-38</w:t>
      </w:r>
    </w:p>
    <w:p w14:paraId="6145F2A6" w14:textId="65A93D2E" w:rsidR="004854DD" w:rsidRPr="00346517" w:rsidRDefault="004854DD" w:rsidP="004854DD">
      <w:pPr>
        <w:pStyle w:val="NormalWeb"/>
        <w:rPr>
          <w:rFonts w:ascii="Arial Black" w:hAnsi="Arial Black"/>
          <w:sz w:val="28"/>
          <w:szCs w:val="28"/>
        </w:rPr>
      </w:pPr>
      <w:r>
        <w:rPr>
          <w:rFonts w:ascii="Arial Black" w:hAnsi="Arial Black"/>
          <w:sz w:val="28"/>
          <w:szCs w:val="28"/>
        </w:rPr>
        <w:t>NC: FIRE 2-STORY BLDG – 4 TEENAGERS DIED -  911 “HUNKER DOWN” – $9 MILLION – 2 INSUR. CO. PAY</w:t>
      </w:r>
    </w:p>
    <w:p w14:paraId="537AAA83" w14:textId="77777777" w:rsidR="004854DD" w:rsidRDefault="004854DD" w:rsidP="004854DD">
      <w:pPr>
        <w:pStyle w:val="NormalWeb"/>
      </w:pPr>
      <w:r>
        <w:t xml:space="preserve">On March 13, 2024, </w:t>
      </w:r>
      <w:r w:rsidRPr="009D242E">
        <w:rPr>
          <w:u w:val="single"/>
        </w:rPr>
        <w:t xml:space="preserve">in </w:t>
      </w:r>
      <w:proofErr w:type="spellStart"/>
      <w:r w:rsidRPr="009D242E">
        <w:rPr>
          <w:u w:val="single"/>
        </w:rPr>
        <w:t>Velers</w:t>
      </w:r>
      <w:proofErr w:type="spellEnd"/>
      <w:r w:rsidRPr="009D242E">
        <w:rPr>
          <w:u w:val="single"/>
        </w:rPr>
        <w:t xml:space="preserve"> Indemnity The Travelers Indemnity Company v. American Alternative Insurance Corporation</w:t>
      </w:r>
      <w:r>
        <w:t>, United States District Court Judge Loretta C. Biggs, U.S. District Court for Middle District of North Carolina, held that after Travelers (insured Surry County) settled for policy limit ($9 million), is entitled to $1 million contribution from AAIC (insured Surry County Emergency Services) for the May 20, 2019 fire at two-story apartment building where four teenagers died of smoke inhalation. The 911 Dispatcher advised the caller to “hunker down and shelter in place,” promising that she and the other Victims would be rescued.  Court agreed with Travelers that the 911 Operators were performing operations “incidental to” the emergency services provided by S.C. Emergency Services and are therefore covered by the AAIC policies.</w:t>
      </w:r>
    </w:p>
    <w:p w14:paraId="1EC08086" w14:textId="77777777" w:rsidR="003956F7" w:rsidRPr="004C0299" w:rsidRDefault="003956F7" w:rsidP="003956F7">
      <w:pPr>
        <w:pStyle w:val="NoSpacing"/>
        <w:rPr>
          <w:rFonts w:ascii="Times New Roman" w:hAnsi="Times New Roman"/>
          <w:sz w:val="24"/>
          <w:szCs w:val="24"/>
        </w:rPr>
      </w:pPr>
      <w:r>
        <w:rPr>
          <w:rFonts w:ascii="Times New Roman" w:hAnsi="Times New Roman"/>
          <w:sz w:val="24"/>
          <w:szCs w:val="24"/>
          <w:shd w:val="clear" w:color="auto" w:fill="FFFFFF"/>
        </w:rPr>
        <w:t>THE COURT HELD:</w:t>
      </w:r>
    </w:p>
    <w:p w14:paraId="23EC461F" w14:textId="77777777" w:rsidR="004854DD" w:rsidRDefault="004854DD" w:rsidP="004854DD">
      <w:pPr>
        <w:pStyle w:val="NormalWeb"/>
        <w:ind w:left="720"/>
      </w:pPr>
      <w:r>
        <w:t>“Plaintiff The Travelers Indemnity Company (‘Travelers’) initiated this action under the Declaratory Judgment Act, 28 U.S.C. § 2201, seeking a declaratory judgment against American Alternative Insurance Corporation (‘AAIC’), alleging that AAIC failed to fulfill its obligation to contribute to the defense and settlement of two underlying state actions involving AAIC's insured, Surry County, and its employees.</w:t>
      </w:r>
    </w:p>
    <w:p w14:paraId="3A4AE7A2" w14:textId="77777777" w:rsidR="004854DD" w:rsidRDefault="004854DD" w:rsidP="004854DD">
      <w:pPr>
        <w:pStyle w:val="NormalWeb"/>
        <w:ind w:left="720"/>
      </w:pPr>
      <w:r>
        <w:t>***</w:t>
      </w:r>
    </w:p>
    <w:p w14:paraId="66A4F98E" w14:textId="77777777" w:rsidR="004854DD" w:rsidRDefault="004854DD" w:rsidP="004854DD">
      <w:pPr>
        <w:pStyle w:val="NormalWeb"/>
        <w:ind w:left="720"/>
      </w:pPr>
      <w:r>
        <w:t>In sum, the Court concludes that AAIC is required to contribute to the settlement of the Underlying Lawsuits with respect to its AAIC General Liability Policy in the amount of $1,000,000.”</w:t>
      </w:r>
    </w:p>
    <w:p w14:paraId="0B608483" w14:textId="77777777" w:rsidR="004854DD" w:rsidRPr="00396FA2" w:rsidRDefault="004854DD" w:rsidP="004854DD">
      <w:pPr>
        <w:pStyle w:val="NormalWeb"/>
        <w:rPr>
          <w:b/>
          <w:bCs/>
        </w:rPr>
      </w:pPr>
      <w:r w:rsidRPr="00396FA2">
        <w:rPr>
          <w:b/>
          <w:bCs/>
        </w:rPr>
        <w:t>Legal Lesson Learned</w:t>
      </w:r>
      <w:r>
        <w:rPr>
          <w:b/>
          <w:bCs/>
        </w:rPr>
        <w:t>: 911 Dispatchers should review their policy regarding advice to victims trapped in 2</w:t>
      </w:r>
      <w:r w:rsidRPr="00396FA2">
        <w:rPr>
          <w:b/>
          <w:bCs/>
          <w:vertAlign w:val="superscript"/>
        </w:rPr>
        <w:t>nd</w:t>
      </w:r>
      <w:r>
        <w:rPr>
          <w:b/>
          <w:bCs/>
        </w:rPr>
        <w:t xml:space="preserve"> floor apartment fire. </w:t>
      </w:r>
    </w:p>
    <w:p w14:paraId="10C85728" w14:textId="77777777" w:rsidR="004854DD" w:rsidRDefault="004854DD" w:rsidP="004854DD">
      <w:pPr>
        <w:pStyle w:val="NormalWeb"/>
        <w:rPr>
          <w:rFonts w:ascii="Arial Black" w:hAnsi="Arial Black"/>
          <w:sz w:val="28"/>
          <w:szCs w:val="28"/>
        </w:rPr>
      </w:pPr>
    </w:p>
    <w:p w14:paraId="4B894895" w14:textId="77777777" w:rsidR="004854DD" w:rsidRDefault="004854DD" w:rsidP="002B1283">
      <w:pPr>
        <w:rPr>
          <w:rStyle w:val="Hyperlink"/>
          <w:rFonts w:ascii="Arial Black" w:hAnsi="Arial Black"/>
          <w:b/>
          <w:color w:val="auto"/>
          <w:sz w:val="24"/>
          <w:szCs w:val="24"/>
          <w:u w:val="none"/>
        </w:rPr>
      </w:pPr>
    </w:p>
    <w:p w14:paraId="670DCF69" w14:textId="77777777" w:rsidR="00DA1A0E" w:rsidRDefault="00DA1A0E" w:rsidP="002B1283">
      <w:pPr>
        <w:rPr>
          <w:rStyle w:val="Hyperlink"/>
          <w:rFonts w:ascii="Arial Black" w:hAnsi="Arial Black"/>
          <w:b/>
          <w:color w:val="auto"/>
          <w:sz w:val="24"/>
          <w:szCs w:val="24"/>
          <w:u w:val="none"/>
        </w:rPr>
      </w:pPr>
    </w:p>
    <w:p w14:paraId="65E445A6" w14:textId="1E4F6621" w:rsidR="005E33B5" w:rsidRDefault="005E33B5" w:rsidP="002B1283">
      <w:pPr>
        <w:rPr>
          <w:rStyle w:val="Hyperlink"/>
          <w:rFonts w:ascii="Arial Black" w:hAnsi="Arial Black"/>
          <w:b/>
          <w:color w:val="auto"/>
          <w:sz w:val="24"/>
          <w:szCs w:val="24"/>
          <w:u w:val="none"/>
        </w:rPr>
      </w:pPr>
      <w:r>
        <w:rPr>
          <w:rStyle w:val="Hyperlink"/>
          <w:rFonts w:ascii="Arial Black" w:hAnsi="Arial Black"/>
          <w:b/>
          <w:color w:val="auto"/>
          <w:sz w:val="24"/>
          <w:szCs w:val="24"/>
          <w:u w:val="none"/>
        </w:rPr>
        <w:t>4-37</w:t>
      </w:r>
    </w:p>
    <w:p w14:paraId="7AB8273E" w14:textId="77777777" w:rsidR="002D4402" w:rsidRPr="00A00DF4" w:rsidRDefault="002D4402" w:rsidP="002D4402">
      <w:pPr>
        <w:pStyle w:val="NormalWeb"/>
        <w:rPr>
          <w:rFonts w:ascii="Arial Black" w:hAnsi="Arial Black"/>
          <w:sz w:val="28"/>
          <w:szCs w:val="28"/>
        </w:rPr>
      </w:pPr>
      <w:r>
        <w:rPr>
          <w:rFonts w:ascii="Arial Black" w:hAnsi="Arial Black"/>
          <w:sz w:val="28"/>
          <w:szCs w:val="28"/>
        </w:rPr>
        <w:t xml:space="preserve">TX: MAN INVADES HOME - POLICE EXPLOSIVE DEVICES, SUICIDE – JURY $60K DAMAGE – REVERSED – EMERGENCY </w:t>
      </w:r>
    </w:p>
    <w:p w14:paraId="05C680D2" w14:textId="3F5B37AF" w:rsidR="002D4402" w:rsidRDefault="002D4402" w:rsidP="002D4402">
      <w:pPr>
        <w:pStyle w:val="NormalWeb"/>
      </w:pPr>
      <w:r>
        <w:t xml:space="preserve">On Feb. 14, 2024, in </w:t>
      </w:r>
      <w:r w:rsidRPr="00001DEA">
        <w:rPr>
          <w:u w:val="single"/>
        </w:rPr>
        <w:t>Vickie Baker v. City of McKinney, Texas</w:t>
      </w:r>
      <w:r>
        <w:t xml:space="preserve">, the U.S. Court of Appeals for Fifth Circuit (New Orleans) refused to re-hear </w:t>
      </w:r>
      <w:proofErr w:type="spellStart"/>
      <w:r>
        <w:t>en</w:t>
      </w:r>
      <w:proofErr w:type="spellEnd"/>
      <w:r>
        <w:t xml:space="preserve"> banc (all the judges; 11 voted against re-hearing; 6 voted for rehearing) the home owner’s appeal to 3-judge panel decision that the City does not need to reimburse her for damage they caused because it was an emergency response to protect the public.  Her homeowner’s insurance also denied coverage under the terms of its policy.  </w:t>
      </w:r>
      <w:hyperlink r:id="rId875" w:history="1">
        <w:r w:rsidR="008D1A90" w:rsidRPr="008D12DC">
          <w:rPr>
            <w:rStyle w:val="Hyperlink"/>
          </w:rPr>
          <w:t>https://caselaw.findlaw.com/court/us-5th-circuit/115838888.html</w:t>
        </w:r>
      </w:hyperlink>
      <w:r w:rsidR="008D1A90">
        <w:t xml:space="preserve"> </w:t>
      </w:r>
    </w:p>
    <w:p w14:paraId="05FB0945" w14:textId="63DFDB24" w:rsidR="00E65362" w:rsidRDefault="00E65362" w:rsidP="002D4402">
      <w:pPr>
        <w:pStyle w:val="NormalWeb"/>
      </w:pPr>
      <w:r w:rsidRPr="00E65362">
        <w:t xml:space="preserve">84 F.4th 378 (5th Cir. 2023), </w:t>
      </w:r>
      <w:r w:rsidRPr="00E65362">
        <w:rPr>
          <w:i/>
          <w:iCs/>
        </w:rPr>
        <w:t>reh’g denied</w:t>
      </w:r>
      <w:r w:rsidRPr="00E65362">
        <w:t>, 93 F.4th 251 (5th Cir. 2024).</w:t>
      </w:r>
    </w:p>
    <w:p w14:paraId="2B489F2E" w14:textId="77777777" w:rsidR="002D4402" w:rsidRDefault="002D4402" w:rsidP="002D4402">
      <w:pPr>
        <w:pStyle w:val="NormalWeb"/>
      </w:pPr>
      <w:r>
        <w:lastRenderedPageBreak/>
        <w:t xml:space="preserve">Three judges’ dissenting opinion: </w:t>
      </w:r>
    </w:p>
    <w:p w14:paraId="1C0F659B" w14:textId="77777777" w:rsidR="002D4402" w:rsidRDefault="002D4402" w:rsidP="002D4402">
      <w:pPr>
        <w:pStyle w:val="NormalWeb"/>
        <w:ind w:left="720"/>
      </w:pPr>
      <w:r>
        <w:t>“</w:t>
      </w:r>
      <w:proofErr w:type="gramStart"/>
      <w:r>
        <w:t>So</w:t>
      </w:r>
      <w:proofErr w:type="gramEnd"/>
      <w:r>
        <w:t xml:space="preserve"> Vicki Baker understandably invoked that [Fifth] Amendment to recover from the City of McKinney the tens of thousands of dollars of property damage she suffered </w:t>
      </w:r>
      <w:proofErr w:type="gramStart"/>
      <w:r>
        <w:t>as a result of</w:t>
      </w:r>
      <w:proofErr w:type="gramEnd"/>
      <w:r>
        <w:t xml:space="preserve"> McKinney police efforts to protect the community from a fugitive that sought cover in her home. The (3-judge) panel expressed ‘sympathy’ for Baker. But it denied her claim based on the novel holding that history and tradition recognize a ‘necessity’ exception to the otherwise broad protections of the Takings Clause. We are unsure whether such a privilege exists. Even if it does, we find the panel's reasoning unsatisfactory—perhaps unsurprisingly because the panel reached its ostensibly originalist conclusion without the benefit of briefing on the historical evidence. We therefore respectfully regret this court's decision to deny rehearing </w:t>
      </w:r>
      <w:proofErr w:type="spellStart"/>
      <w:r>
        <w:t>en</w:t>
      </w:r>
      <w:proofErr w:type="spellEnd"/>
      <w:r>
        <w:t xml:space="preserve"> banc.”</w:t>
      </w:r>
    </w:p>
    <w:p w14:paraId="579E4567" w14:textId="77777777" w:rsidR="002D4402" w:rsidRPr="00E50C20" w:rsidRDefault="002D4402" w:rsidP="002D4402">
      <w:pPr>
        <w:pStyle w:val="NormalWeb"/>
        <w:rPr>
          <w:b/>
          <w:bCs/>
        </w:rPr>
      </w:pPr>
      <w:r w:rsidRPr="00E50C20">
        <w:rPr>
          <w:b/>
          <w:bCs/>
        </w:rPr>
        <w:t xml:space="preserve">Legal Lesson Learned: </w:t>
      </w:r>
      <w:r>
        <w:rPr>
          <w:b/>
          <w:bCs/>
        </w:rPr>
        <w:t xml:space="preserve">Courts have long recognized the emergency exception for municipal  tort liability. </w:t>
      </w:r>
    </w:p>
    <w:p w14:paraId="6DD95CA7" w14:textId="77777777" w:rsidR="002D4402" w:rsidRDefault="002D4402" w:rsidP="002D4402">
      <w:pPr>
        <w:pStyle w:val="NormalWeb"/>
        <w:ind w:left="720"/>
      </w:pPr>
      <w:r>
        <w:t>Note:   The Court in this case referenced history of stooping spread of fires in London by taking down neighboring buildings.</w:t>
      </w:r>
    </w:p>
    <w:p w14:paraId="46C46383" w14:textId="77777777" w:rsidR="002D4402" w:rsidRDefault="002D4402" w:rsidP="002D4402">
      <w:pPr>
        <w:pStyle w:val="NormalWeb"/>
        <w:ind w:left="1440"/>
      </w:pPr>
      <w:r>
        <w:t xml:space="preserve">“The destruction wrought by municipal fires before the rise of modern fire codes was often great, see </w:t>
      </w:r>
      <w:proofErr w:type="spellStart"/>
      <w:r>
        <w:t>Respublica</w:t>
      </w:r>
      <w:proofErr w:type="spellEnd"/>
      <w:r>
        <w:t xml:space="preserve">, 1 U.S. at 363 (noting half of London was burnt in the great fire of 1666), and the razing of buildings was the principal means to stop the spread. But razing buildings </w:t>
      </w:r>
      <w:proofErr w:type="gramStart"/>
      <w:r>
        <w:t>is</w:t>
      </w:r>
      <w:proofErr w:type="gramEnd"/>
      <w:r>
        <w:t xml:space="preserve"> tortious. </w:t>
      </w:r>
      <w:proofErr w:type="gramStart"/>
      <w:r>
        <w:t>So</w:t>
      </w:r>
      <w:proofErr w:type="gramEnd"/>
      <w:r>
        <w:t xml:space="preserve"> absent some privilege, an individual—whether a public official or a private citizen—who razed a building would be individually liable in tort. Obviously, a rule that stuck individuals with liability for interventions taken to halt conflagrations would deter public promoting behavior from all but the most heroic, no matter how much good could have been achieved through a well-calculated intervention. And it would seem unfair to hold people liable for doing what was necessary to cope with an emergency. So common law courts fashioned a rule to allow individuals to tear down property when doing so was reasonably necessary to prevent the spread of a fire. See Field, 39 Iowa at 577– 78 (citing, inter alia, Mouse's Case, 12 Coke Rep. 63 (1608)); see also Bowditch v. Boston, 101 U.S. 16, 25 </w:t>
      </w:r>
      <w:proofErr w:type="spellStart"/>
      <w:r>
        <w:t>L.Ed</w:t>
      </w:r>
      <w:proofErr w:type="spellEnd"/>
      <w:r>
        <w:t>. 980 (1879) (finding a public necessity privilege in Massachusetts law).”</w:t>
      </w:r>
    </w:p>
    <w:p w14:paraId="772A6158" w14:textId="77777777" w:rsidR="002D4402" w:rsidRDefault="002D4402" w:rsidP="002D4402">
      <w:pPr>
        <w:pStyle w:val="NormalWeb"/>
        <w:ind w:left="720"/>
      </w:pPr>
      <w:r>
        <w:t xml:space="preserve">Read the Oct. 11, </w:t>
      </w:r>
      <w:proofErr w:type="gramStart"/>
      <w:r>
        <w:t>2023</w:t>
      </w:r>
      <w:proofErr w:type="gramEnd"/>
      <w:r>
        <w:t xml:space="preserve"> panel decision: </w:t>
      </w:r>
      <w:hyperlink r:id="rId876" w:history="1">
        <w:r w:rsidRPr="00E007C4">
          <w:rPr>
            <w:rStyle w:val="Hyperlink"/>
          </w:rPr>
          <w:t>https://cases.justia.com/federal/appellate-courts/ca5/22-40644/22-40644-2023-10-11.pdf?ts=1697067069</w:t>
        </w:r>
      </w:hyperlink>
      <w:r>
        <w:t xml:space="preserve"> </w:t>
      </w:r>
    </w:p>
    <w:p w14:paraId="2E74A390" w14:textId="2409239F" w:rsidR="002C0E67" w:rsidRDefault="00E66578" w:rsidP="002D4402">
      <w:pPr>
        <w:pStyle w:val="NormalWeb"/>
        <w:ind w:left="720"/>
      </w:pPr>
      <w:r>
        <w:t xml:space="preserve">See Harvard Law School article, June 2024. </w:t>
      </w:r>
      <w:hyperlink r:id="rId877" w:history="1">
        <w:r w:rsidR="00EC5C38" w:rsidRPr="008D12DC">
          <w:rPr>
            <w:rStyle w:val="Hyperlink"/>
          </w:rPr>
          <w:t>https://harvardlawreview.org/print/vol-137/baker-v-city-of-mckinney/</w:t>
        </w:r>
      </w:hyperlink>
      <w:r w:rsidR="00EC5C38">
        <w:t xml:space="preserve"> </w:t>
      </w:r>
    </w:p>
    <w:p w14:paraId="18583D89" w14:textId="2CC5CFDB" w:rsidR="005E33B5" w:rsidRPr="00146711" w:rsidRDefault="00146711" w:rsidP="00146711">
      <w:pPr>
        <w:ind w:left="720"/>
        <w:rPr>
          <w:rStyle w:val="Hyperlink"/>
          <w:rFonts w:ascii="Times New Roman" w:hAnsi="Times New Roman"/>
          <w:bCs/>
          <w:color w:val="auto"/>
          <w:sz w:val="24"/>
          <w:szCs w:val="24"/>
          <w:u w:val="none"/>
        </w:rPr>
      </w:pPr>
      <w:r w:rsidRPr="00146711">
        <w:rPr>
          <w:rStyle w:val="Hyperlink"/>
          <w:rFonts w:ascii="Times New Roman" w:hAnsi="Times New Roman"/>
          <w:bCs/>
          <w:color w:val="auto"/>
          <w:sz w:val="24"/>
          <w:szCs w:val="24"/>
          <w:u w:val="none"/>
        </w:rPr>
        <w:t xml:space="preserve">See amicus brief, Aug. 1, </w:t>
      </w:r>
      <w:proofErr w:type="gramStart"/>
      <w:r w:rsidRPr="00146711">
        <w:rPr>
          <w:rStyle w:val="Hyperlink"/>
          <w:rFonts w:ascii="Times New Roman" w:hAnsi="Times New Roman"/>
          <w:bCs/>
          <w:color w:val="auto"/>
          <w:sz w:val="24"/>
          <w:szCs w:val="24"/>
          <w:u w:val="none"/>
        </w:rPr>
        <w:t>2024</w:t>
      </w:r>
      <w:proofErr w:type="gramEnd"/>
      <w:r w:rsidRPr="00146711">
        <w:rPr>
          <w:rStyle w:val="Hyperlink"/>
          <w:rFonts w:ascii="Times New Roman" w:hAnsi="Times New Roman"/>
          <w:bCs/>
          <w:color w:val="auto"/>
          <w:sz w:val="24"/>
          <w:szCs w:val="24"/>
          <w:u w:val="none"/>
        </w:rPr>
        <w:t xml:space="preserve"> filed with U.S. Supreme Court: </w:t>
      </w:r>
      <w:hyperlink r:id="rId878" w:history="1">
        <w:r w:rsidRPr="008D12DC">
          <w:rPr>
            <w:rStyle w:val="Hyperlink"/>
            <w:rFonts w:ascii="Times New Roman" w:hAnsi="Times New Roman"/>
            <w:bCs/>
            <w:sz w:val="24"/>
            <w:szCs w:val="24"/>
          </w:rPr>
          <w:t>https://www.supremecourt.gov/DocketPDF/23/23-1363/321368/20240801101848884_Baker%20v.%20City%20of%20McKinney_%20Texas%20-%20Amicus%20Brief%20in%20Support%20of%20Petitioner.pdf</w:t>
        </w:r>
      </w:hyperlink>
      <w:r w:rsidRPr="00146711">
        <w:rPr>
          <w:rStyle w:val="Hyperlink"/>
          <w:rFonts w:ascii="Times New Roman" w:hAnsi="Times New Roman"/>
          <w:bCs/>
          <w:color w:val="auto"/>
          <w:sz w:val="24"/>
          <w:szCs w:val="24"/>
          <w:u w:val="none"/>
        </w:rPr>
        <w:t xml:space="preserve"> </w:t>
      </w:r>
    </w:p>
    <w:p w14:paraId="774DBEA4" w14:textId="0CA7B1AF" w:rsidR="00233F5D" w:rsidRDefault="00B83C64" w:rsidP="002B1283">
      <w:pPr>
        <w:rPr>
          <w:rStyle w:val="Hyperlink"/>
          <w:rFonts w:ascii="Arial Black" w:hAnsi="Arial Black"/>
          <w:b/>
          <w:color w:val="auto"/>
          <w:sz w:val="24"/>
          <w:szCs w:val="24"/>
          <w:u w:val="none"/>
        </w:rPr>
      </w:pPr>
      <w:r>
        <w:rPr>
          <w:rStyle w:val="Hyperlink"/>
          <w:rFonts w:ascii="Arial Black" w:hAnsi="Arial Black"/>
          <w:b/>
          <w:color w:val="auto"/>
          <w:sz w:val="24"/>
          <w:szCs w:val="24"/>
          <w:u w:val="none"/>
        </w:rPr>
        <w:t>4-36</w:t>
      </w:r>
    </w:p>
    <w:p w14:paraId="15683429" w14:textId="77777777" w:rsidR="008041EF" w:rsidRPr="00CE417E" w:rsidRDefault="008041EF" w:rsidP="008041EF">
      <w:pPr>
        <w:pStyle w:val="NormalWeb"/>
        <w:rPr>
          <w:rFonts w:ascii="Arial Black" w:hAnsi="Arial Black"/>
          <w:sz w:val="28"/>
          <w:szCs w:val="28"/>
        </w:rPr>
      </w:pPr>
      <w:r>
        <w:rPr>
          <w:rFonts w:ascii="Arial Black" w:hAnsi="Arial Black"/>
          <w:sz w:val="28"/>
          <w:szCs w:val="28"/>
        </w:rPr>
        <w:t>NV: FOREST FIRE – FIRST 11 DAYS FOREST SERVICE ONLY “MONITORED” - 18 PROPERTY OWNERS – CASE DISMISSED</w:t>
      </w:r>
    </w:p>
    <w:p w14:paraId="59A5B480" w14:textId="77777777" w:rsidR="008041EF" w:rsidRDefault="008041EF" w:rsidP="008041EF">
      <w:pPr>
        <w:pStyle w:val="NormalWeb"/>
      </w:pPr>
      <w:r>
        <w:t xml:space="preserve">On Jan. 23, 2024, in </w:t>
      </w:r>
      <w:r w:rsidRPr="00104D81">
        <w:rPr>
          <w:u w:val="single"/>
        </w:rPr>
        <w:t>Tyrone R. Atwater v. The United States of America</w:t>
      </w:r>
      <w:r>
        <w:t xml:space="preserve">, U.S. District Court Judge William B. </w:t>
      </w:r>
      <w:proofErr w:type="spellStart"/>
      <w:r>
        <w:t>Shubb</w:t>
      </w:r>
      <w:proofErr w:type="spellEnd"/>
      <w:r>
        <w:t xml:space="preserve">, U.S. District Court for Eastern District of California, granted the Government’s motion to dismiss.  </w:t>
      </w:r>
      <w:r>
        <w:lastRenderedPageBreak/>
        <w:t xml:space="preserve">Federal Tort Claims Act does not allow claims based on government discretionary decisions, such as “monitoring” a fire in rural area, and only posting one warning on its Facebook page.  </w:t>
      </w:r>
    </w:p>
    <w:p w14:paraId="450A87C3" w14:textId="77777777" w:rsidR="008041EF" w:rsidRDefault="008041EF" w:rsidP="008041EF">
      <w:pPr>
        <w:pStyle w:val="NormalWeb"/>
        <w:ind w:left="720"/>
      </w:pPr>
      <w:r>
        <w:t>“</w:t>
      </w:r>
      <w:r w:rsidRPr="008B4B32">
        <w:t>The decision to adopt the monitoring strategy exudes</w:t>
      </w:r>
      <w:r>
        <w:t xml:space="preserve"> </w:t>
      </w:r>
      <w:r w:rsidRPr="008B4B32">
        <w:t xml:space="preserve">policy deliberations that are </w:t>
      </w:r>
      <w:r>
        <w:t>‘</w:t>
      </w:r>
      <w:r w:rsidRPr="008B4B32">
        <w:t>quintessentially discretionary,</w:t>
      </w:r>
      <w:r>
        <w:t xml:space="preserve">’ </w:t>
      </w:r>
      <w:r w:rsidRPr="008B4B32">
        <w:t>Knezovich, 82 F.4th at 938, and therefore beyond the scrutiny of</w:t>
      </w:r>
      <w:r>
        <w:t xml:space="preserve"> </w:t>
      </w:r>
      <w:r w:rsidRPr="008B4B32">
        <w:t>this court</w:t>
      </w:r>
      <w:r>
        <w:t xml:space="preserve">. </w:t>
      </w:r>
      <w:r w:rsidRPr="008B4B32">
        <w:t>Accordingly, the court will dismiss plaintiffs’</w:t>
      </w:r>
      <w:r>
        <w:t xml:space="preserve"> </w:t>
      </w:r>
      <w:r w:rsidRPr="008B4B32">
        <w:t xml:space="preserve">negligence, negligence per se, and trespass </w:t>
      </w:r>
      <w:proofErr w:type="gramStart"/>
      <w:r w:rsidRPr="008B4B32">
        <w:t>claims.</w:t>
      </w:r>
      <w:r>
        <w:t>”</w:t>
      </w:r>
      <w:proofErr w:type="gramEnd"/>
      <w:r>
        <w:t xml:space="preserve"> </w:t>
      </w:r>
      <w:hyperlink r:id="rId879" w:history="1">
        <w:r w:rsidRPr="00523F27">
          <w:rPr>
            <w:rStyle w:val="Hyperlink"/>
          </w:rPr>
          <w:t>https://cases.justia.com/federal/district-courts/california/caedce/2:2023cv01147/429644/22/0.pdf?ts=1706172863</w:t>
        </w:r>
      </w:hyperlink>
      <w:r>
        <w:t xml:space="preserve"> </w:t>
      </w:r>
    </w:p>
    <w:p w14:paraId="213B2765" w14:textId="77777777" w:rsidR="00AF2973" w:rsidRDefault="00AF2973" w:rsidP="00AF2973">
      <w:pPr>
        <w:pStyle w:val="NormalWeb"/>
        <w:rPr>
          <w:b/>
          <w:bCs/>
        </w:rPr>
      </w:pPr>
      <w:r w:rsidRPr="005B048C">
        <w:rPr>
          <w:b/>
          <w:bCs/>
        </w:rPr>
        <w:t xml:space="preserve">Legal Lesson Learned: </w:t>
      </w:r>
      <w:r>
        <w:rPr>
          <w:b/>
          <w:bCs/>
        </w:rPr>
        <w:t xml:space="preserve">Discretionary decisions on when to let forest fire burn, and what notice to provide to public, are exceptions to Federal Tort Claims Act. </w:t>
      </w:r>
    </w:p>
    <w:p w14:paraId="05D66838" w14:textId="77777777" w:rsidR="00B83C64" w:rsidRDefault="00B83C64" w:rsidP="002B1283">
      <w:pPr>
        <w:rPr>
          <w:rStyle w:val="Hyperlink"/>
          <w:rFonts w:ascii="Arial Black" w:hAnsi="Arial Black"/>
          <w:b/>
          <w:color w:val="auto"/>
          <w:sz w:val="24"/>
          <w:szCs w:val="24"/>
          <w:u w:val="none"/>
        </w:rPr>
      </w:pPr>
    </w:p>
    <w:p w14:paraId="0C340365" w14:textId="77777777" w:rsidR="00B83C64" w:rsidRDefault="00B83C64" w:rsidP="002B1283">
      <w:pPr>
        <w:rPr>
          <w:rStyle w:val="Hyperlink"/>
          <w:rFonts w:ascii="Arial Black" w:hAnsi="Arial Black"/>
          <w:b/>
          <w:color w:val="auto"/>
          <w:sz w:val="24"/>
          <w:szCs w:val="24"/>
          <w:u w:val="none"/>
        </w:rPr>
      </w:pPr>
    </w:p>
    <w:p w14:paraId="5DB72DA1" w14:textId="0D68E55E" w:rsidR="00233F5D" w:rsidRDefault="00233F5D" w:rsidP="002B1283">
      <w:pPr>
        <w:rPr>
          <w:rStyle w:val="Hyperlink"/>
          <w:rFonts w:ascii="Arial Black" w:hAnsi="Arial Black"/>
          <w:b/>
          <w:color w:val="auto"/>
          <w:sz w:val="24"/>
          <w:szCs w:val="24"/>
          <w:u w:val="none"/>
        </w:rPr>
      </w:pPr>
      <w:r>
        <w:rPr>
          <w:rStyle w:val="Hyperlink"/>
          <w:rFonts w:ascii="Arial Black" w:hAnsi="Arial Black"/>
          <w:b/>
          <w:color w:val="auto"/>
          <w:sz w:val="24"/>
          <w:szCs w:val="24"/>
          <w:u w:val="none"/>
        </w:rPr>
        <w:t>4-35</w:t>
      </w:r>
    </w:p>
    <w:p w14:paraId="61A0B5CE" w14:textId="77777777" w:rsidR="002917C5" w:rsidRPr="00EF2302" w:rsidRDefault="002917C5" w:rsidP="002917C5">
      <w:pPr>
        <w:pStyle w:val="NormalWeb"/>
        <w:rPr>
          <w:rFonts w:ascii="Arial Black" w:hAnsi="Arial Black"/>
          <w:sz w:val="28"/>
          <w:szCs w:val="28"/>
        </w:rPr>
      </w:pPr>
      <w:r>
        <w:rPr>
          <w:rFonts w:ascii="Arial Black" w:hAnsi="Arial Black"/>
          <w:sz w:val="28"/>
          <w:szCs w:val="28"/>
        </w:rPr>
        <w:t xml:space="preserve">IN: NEW “BUFFER LAW” UPHELD – POLICE CAN ORDER CITIZENS, INCLUDING WITH CAMERAS - BACK 25 FEET  </w:t>
      </w:r>
    </w:p>
    <w:p w14:paraId="6D6B9120" w14:textId="77777777" w:rsidR="002917C5" w:rsidRDefault="002917C5" w:rsidP="002917C5">
      <w:pPr>
        <w:pStyle w:val="NormalWeb"/>
      </w:pPr>
      <w:r>
        <w:t xml:space="preserve">On Jan. 12, 2024, in </w:t>
      </w:r>
      <w:r w:rsidRPr="00495A00">
        <w:rPr>
          <w:u w:val="single"/>
        </w:rPr>
        <w:t>Donald Nicodemus v. City of South Bend, Indiana</w:t>
      </w:r>
      <w:r>
        <w:t xml:space="preserve">, U.S. District Court Judge Damon R. Leichty, U.S. District Court for the Northern District of Indiana (South Bend Division) denied the Plaintiff’s motion for a permanent injunction and dismissed the lawsuit. The Court also referenced that Indiana has a “perimeter law” where incident commanders at an emergency scene can set up a perimeter safety zone.  </w:t>
      </w:r>
    </w:p>
    <w:p w14:paraId="52AB6B0A" w14:textId="77777777" w:rsidR="002917C5" w:rsidRDefault="002917C5" w:rsidP="002917C5">
      <w:pPr>
        <w:pStyle w:val="NoSpacing"/>
        <w:ind w:left="720"/>
        <w:rPr>
          <w:rFonts w:ascii="Times New Roman" w:hAnsi="Times New Roman"/>
          <w:sz w:val="24"/>
          <w:szCs w:val="24"/>
        </w:rPr>
      </w:pPr>
      <w:r>
        <w:rPr>
          <w:rFonts w:ascii="Times New Roman" w:hAnsi="Times New Roman"/>
          <w:sz w:val="24"/>
          <w:szCs w:val="24"/>
        </w:rPr>
        <w:t>“</w:t>
      </w:r>
      <w:r w:rsidRPr="004F1D80">
        <w:rPr>
          <w:rFonts w:ascii="Times New Roman" w:hAnsi="Times New Roman"/>
          <w:sz w:val="24"/>
          <w:szCs w:val="24"/>
        </w:rPr>
        <w:t>On July 1, 2023, Indiana’s so-called buffer law took effect, criminalizing as a misdemeanor a</w:t>
      </w:r>
      <w:r>
        <w:rPr>
          <w:rFonts w:ascii="Times New Roman" w:hAnsi="Times New Roman"/>
          <w:sz w:val="24"/>
          <w:szCs w:val="24"/>
        </w:rPr>
        <w:t xml:space="preserve"> </w:t>
      </w:r>
      <w:r w:rsidRPr="004F1D80">
        <w:rPr>
          <w:rFonts w:ascii="Times New Roman" w:hAnsi="Times New Roman"/>
          <w:sz w:val="24"/>
          <w:szCs w:val="24"/>
        </w:rPr>
        <w:t>person’s unlawful encroachment on a police officer’s lawful duties. This buffer law prohibits a person</w:t>
      </w:r>
      <w:r>
        <w:rPr>
          <w:rFonts w:ascii="Times New Roman" w:hAnsi="Times New Roman"/>
          <w:sz w:val="24"/>
          <w:szCs w:val="24"/>
        </w:rPr>
        <w:t xml:space="preserve"> </w:t>
      </w:r>
      <w:r w:rsidRPr="004F1D80">
        <w:rPr>
          <w:rFonts w:ascii="Times New Roman" w:hAnsi="Times New Roman"/>
          <w:sz w:val="24"/>
          <w:szCs w:val="24"/>
        </w:rPr>
        <w:t>from knowingly or intentionally approaching within 25 feet of an officer engaged in his or her lawful</w:t>
      </w:r>
      <w:r>
        <w:rPr>
          <w:rFonts w:ascii="Times New Roman" w:hAnsi="Times New Roman"/>
          <w:sz w:val="24"/>
          <w:szCs w:val="24"/>
        </w:rPr>
        <w:t xml:space="preserve"> </w:t>
      </w:r>
      <w:r w:rsidRPr="004F1D80">
        <w:rPr>
          <w:rFonts w:ascii="Times New Roman" w:hAnsi="Times New Roman"/>
          <w:sz w:val="24"/>
          <w:szCs w:val="24"/>
        </w:rPr>
        <w:t>duties after the officer orders the person to stop approaching. See Ind. Code § 35-44.1-2-14.</w:t>
      </w:r>
    </w:p>
    <w:p w14:paraId="15364690" w14:textId="77777777" w:rsidR="002917C5" w:rsidRDefault="002917C5" w:rsidP="002917C5">
      <w:pPr>
        <w:pStyle w:val="NoSpacing"/>
        <w:rPr>
          <w:rFonts w:ascii="Times New Roman" w:hAnsi="Times New Roman"/>
          <w:sz w:val="24"/>
          <w:szCs w:val="24"/>
        </w:rPr>
      </w:pPr>
    </w:p>
    <w:p w14:paraId="5E3DB350" w14:textId="77777777" w:rsidR="002917C5" w:rsidRDefault="002917C5" w:rsidP="002917C5">
      <w:pPr>
        <w:pStyle w:val="NoSpacing"/>
        <w:ind w:left="720"/>
        <w:rPr>
          <w:rFonts w:ascii="Times New Roman" w:hAnsi="Times New Roman"/>
          <w:sz w:val="24"/>
          <w:szCs w:val="24"/>
        </w:rPr>
      </w:pPr>
      <w:r w:rsidRPr="002829E6">
        <w:rPr>
          <w:rFonts w:ascii="Times New Roman" w:hAnsi="Times New Roman"/>
          <w:sz w:val="24"/>
          <w:szCs w:val="24"/>
        </w:rPr>
        <w:t>Law enforcement officers have jobs to do, and often difficult jobs that require decision</w:t>
      </w:r>
      <w:r>
        <w:rPr>
          <w:rFonts w:ascii="Times New Roman" w:hAnsi="Times New Roman"/>
          <w:sz w:val="24"/>
          <w:szCs w:val="24"/>
        </w:rPr>
        <w:t xml:space="preserve"> </w:t>
      </w:r>
      <w:r w:rsidRPr="002829E6">
        <w:rPr>
          <w:rFonts w:ascii="Times New Roman" w:hAnsi="Times New Roman"/>
          <w:sz w:val="24"/>
          <w:szCs w:val="24"/>
        </w:rPr>
        <w:t>making</w:t>
      </w:r>
      <w:r>
        <w:rPr>
          <w:rFonts w:ascii="Times New Roman" w:hAnsi="Times New Roman"/>
          <w:sz w:val="24"/>
          <w:szCs w:val="24"/>
        </w:rPr>
        <w:t xml:space="preserve"> </w:t>
      </w:r>
      <w:r w:rsidRPr="002829E6">
        <w:rPr>
          <w:rFonts w:ascii="Times New Roman" w:hAnsi="Times New Roman"/>
          <w:sz w:val="24"/>
          <w:szCs w:val="24"/>
        </w:rPr>
        <w:t>in tense, uncertain, fluid, and unsafe circumstances. At the same time, the public has a right to record the</w:t>
      </w:r>
      <w:r>
        <w:rPr>
          <w:rFonts w:ascii="Times New Roman" w:hAnsi="Times New Roman"/>
          <w:sz w:val="24"/>
          <w:szCs w:val="24"/>
        </w:rPr>
        <w:t xml:space="preserve"> </w:t>
      </w:r>
      <w:r w:rsidRPr="002829E6">
        <w:rPr>
          <w:rFonts w:ascii="Times New Roman" w:hAnsi="Times New Roman"/>
          <w:sz w:val="24"/>
          <w:szCs w:val="24"/>
        </w:rPr>
        <w:t>police. Audio</w:t>
      </w:r>
      <w:r>
        <w:rPr>
          <w:rFonts w:ascii="Times New Roman" w:hAnsi="Times New Roman"/>
          <w:sz w:val="24"/>
          <w:szCs w:val="24"/>
        </w:rPr>
        <w:t xml:space="preserve"> </w:t>
      </w:r>
      <w:r w:rsidRPr="002829E6">
        <w:rPr>
          <w:rFonts w:ascii="Times New Roman" w:hAnsi="Times New Roman"/>
          <w:sz w:val="24"/>
          <w:szCs w:val="24"/>
        </w:rPr>
        <w:t>visually recording police activity fits within the First Amendment’s guarantee. The right isn’t</w:t>
      </w:r>
      <w:r>
        <w:rPr>
          <w:rFonts w:ascii="Times New Roman" w:hAnsi="Times New Roman"/>
          <w:sz w:val="24"/>
          <w:szCs w:val="24"/>
        </w:rPr>
        <w:t xml:space="preserve"> </w:t>
      </w:r>
      <w:r w:rsidRPr="002829E6">
        <w:rPr>
          <w:rFonts w:ascii="Times New Roman" w:hAnsi="Times New Roman"/>
          <w:sz w:val="24"/>
          <w:szCs w:val="24"/>
        </w:rPr>
        <w:t>unlimited, but robustly it exists to serve important purposes. It facilitates transparency, training, scrutiny</w:t>
      </w:r>
      <w:r>
        <w:rPr>
          <w:rFonts w:ascii="Times New Roman" w:hAnsi="Times New Roman"/>
          <w:sz w:val="24"/>
          <w:szCs w:val="24"/>
        </w:rPr>
        <w:t xml:space="preserve"> </w:t>
      </w:r>
      <w:r w:rsidRPr="002829E6">
        <w:rPr>
          <w:rFonts w:ascii="Times New Roman" w:hAnsi="Times New Roman"/>
          <w:sz w:val="24"/>
          <w:szCs w:val="24"/>
        </w:rPr>
        <w:t>of police misconduct, and the exoneration of officers from unfair charges. Candid critique of our</w:t>
      </w:r>
      <w:r>
        <w:rPr>
          <w:rFonts w:ascii="Times New Roman" w:hAnsi="Times New Roman"/>
          <w:sz w:val="24"/>
          <w:szCs w:val="24"/>
        </w:rPr>
        <w:t xml:space="preserve"> </w:t>
      </w:r>
      <w:r w:rsidRPr="002829E6">
        <w:rPr>
          <w:rFonts w:ascii="Times New Roman" w:hAnsi="Times New Roman"/>
          <w:sz w:val="24"/>
          <w:szCs w:val="24"/>
        </w:rPr>
        <w:t>government and its officials matters in a free society. By shining a light on newsworthy police conduct,</w:t>
      </w:r>
      <w:r>
        <w:rPr>
          <w:rFonts w:ascii="Times New Roman" w:hAnsi="Times New Roman"/>
          <w:sz w:val="24"/>
          <w:szCs w:val="24"/>
        </w:rPr>
        <w:t xml:space="preserve"> </w:t>
      </w:r>
      <w:r w:rsidRPr="002829E6">
        <w:rPr>
          <w:rFonts w:ascii="Times New Roman" w:hAnsi="Times New Roman"/>
          <w:sz w:val="24"/>
          <w:szCs w:val="24"/>
        </w:rPr>
        <w:t>the public’s recordings benefit our citizens and law-abiding officers alike.</w:t>
      </w:r>
    </w:p>
    <w:p w14:paraId="0014FC54" w14:textId="77777777" w:rsidR="002917C5" w:rsidRDefault="002917C5" w:rsidP="002917C5">
      <w:pPr>
        <w:pStyle w:val="NoSpacing"/>
        <w:rPr>
          <w:rFonts w:ascii="Times New Roman" w:hAnsi="Times New Roman"/>
          <w:sz w:val="24"/>
          <w:szCs w:val="24"/>
        </w:rPr>
      </w:pPr>
    </w:p>
    <w:p w14:paraId="4020C415" w14:textId="77777777" w:rsidR="002917C5" w:rsidRDefault="002917C5" w:rsidP="002917C5">
      <w:pPr>
        <w:pStyle w:val="NoSpacing"/>
        <w:ind w:firstLine="720"/>
        <w:rPr>
          <w:rFonts w:ascii="Times New Roman" w:hAnsi="Times New Roman"/>
          <w:sz w:val="24"/>
          <w:szCs w:val="24"/>
        </w:rPr>
      </w:pPr>
      <w:r>
        <w:rPr>
          <w:rFonts w:ascii="Times New Roman" w:hAnsi="Times New Roman"/>
          <w:sz w:val="24"/>
          <w:szCs w:val="24"/>
        </w:rPr>
        <w:t>***</w:t>
      </w:r>
    </w:p>
    <w:p w14:paraId="440F41DB" w14:textId="77777777" w:rsidR="002917C5" w:rsidRPr="004F1D80" w:rsidRDefault="002917C5" w:rsidP="002917C5">
      <w:pPr>
        <w:pStyle w:val="NoSpacing"/>
        <w:rPr>
          <w:rFonts w:ascii="Times New Roman" w:hAnsi="Times New Roman"/>
          <w:sz w:val="24"/>
          <w:szCs w:val="24"/>
        </w:rPr>
      </w:pPr>
    </w:p>
    <w:p w14:paraId="185E4913" w14:textId="77777777" w:rsidR="002917C5" w:rsidRPr="00CB06B1" w:rsidRDefault="002917C5" w:rsidP="002917C5">
      <w:pPr>
        <w:pStyle w:val="NoSpacing"/>
        <w:ind w:left="720"/>
        <w:rPr>
          <w:rFonts w:ascii="Times New Roman" w:hAnsi="Times New Roman"/>
          <w:sz w:val="24"/>
          <w:szCs w:val="24"/>
        </w:rPr>
      </w:pPr>
      <w:r w:rsidRPr="00CB06B1">
        <w:rPr>
          <w:rFonts w:ascii="Times New Roman" w:hAnsi="Times New Roman"/>
          <w:sz w:val="24"/>
          <w:szCs w:val="24"/>
        </w:rPr>
        <w:t>The public has a First Amendment right to record police activity—a critically important right.</w:t>
      </w:r>
      <w:r>
        <w:rPr>
          <w:rFonts w:ascii="Times New Roman" w:hAnsi="Times New Roman"/>
          <w:sz w:val="24"/>
          <w:szCs w:val="24"/>
        </w:rPr>
        <w:t xml:space="preserve"> </w:t>
      </w:r>
      <w:r w:rsidRPr="00CB06B1">
        <w:rPr>
          <w:rFonts w:ascii="Times New Roman" w:hAnsi="Times New Roman"/>
          <w:sz w:val="24"/>
          <w:szCs w:val="24"/>
        </w:rPr>
        <w:t xml:space="preserve">Law enforcement officers have a right to perform their lawful duties </w:t>
      </w:r>
      <w:proofErr w:type="gramStart"/>
      <w:r w:rsidRPr="00CB06B1">
        <w:rPr>
          <w:rFonts w:ascii="Times New Roman" w:hAnsi="Times New Roman"/>
          <w:sz w:val="24"/>
          <w:szCs w:val="24"/>
        </w:rPr>
        <w:t>unimpeded</w:t>
      </w:r>
      <w:proofErr w:type="gramEnd"/>
      <w:r w:rsidRPr="00CB06B1">
        <w:rPr>
          <w:rFonts w:ascii="Times New Roman" w:hAnsi="Times New Roman"/>
          <w:sz w:val="24"/>
          <w:szCs w:val="24"/>
        </w:rPr>
        <w:t>. Indiana’s buffer law has</w:t>
      </w:r>
      <w:r>
        <w:rPr>
          <w:rFonts w:ascii="Times New Roman" w:hAnsi="Times New Roman"/>
          <w:sz w:val="24"/>
          <w:szCs w:val="24"/>
        </w:rPr>
        <w:t xml:space="preserve"> </w:t>
      </w:r>
      <w:r w:rsidRPr="00CB06B1">
        <w:rPr>
          <w:rFonts w:ascii="Times New Roman" w:hAnsi="Times New Roman"/>
          <w:sz w:val="24"/>
          <w:szCs w:val="24"/>
        </w:rPr>
        <w:t xml:space="preserve">many constitutional applications within its plainly legitimate sweep. It </w:t>
      </w:r>
      <w:proofErr w:type="gramStart"/>
      <w:r w:rsidRPr="00CB06B1">
        <w:rPr>
          <w:rFonts w:ascii="Times New Roman" w:hAnsi="Times New Roman"/>
          <w:sz w:val="24"/>
          <w:szCs w:val="24"/>
        </w:rPr>
        <w:t>never once</w:t>
      </w:r>
      <w:proofErr w:type="gramEnd"/>
      <w:r w:rsidRPr="00CB06B1">
        <w:rPr>
          <w:rFonts w:ascii="Times New Roman" w:hAnsi="Times New Roman"/>
          <w:sz w:val="24"/>
          <w:szCs w:val="24"/>
        </w:rPr>
        <w:t xml:space="preserve"> permits an officer to</w:t>
      </w:r>
      <w:r>
        <w:rPr>
          <w:rFonts w:ascii="Times New Roman" w:hAnsi="Times New Roman"/>
          <w:sz w:val="24"/>
          <w:szCs w:val="24"/>
        </w:rPr>
        <w:t xml:space="preserve"> </w:t>
      </w:r>
      <w:r w:rsidRPr="00CB06B1">
        <w:rPr>
          <w:rFonts w:ascii="Times New Roman" w:hAnsi="Times New Roman"/>
          <w:sz w:val="24"/>
          <w:szCs w:val="24"/>
        </w:rPr>
        <w:t>tell a reporter or citizen-journalist to leave altogether or to cease recording police activity. The law is</w:t>
      </w:r>
      <w:r>
        <w:rPr>
          <w:rFonts w:ascii="Times New Roman" w:hAnsi="Times New Roman"/>
          <w:sz w:val="24"/>
          <w:szCs w:val="24"/>
        </w:rPr>
        <w:t xml:space="preserve"> </w:t>
      </w:r>
      <w:r w:rsidRPr="00CB06B1">
        <w:rPr>
          <w:rFonts w:ascii="Times New Roman" w:hAnsi="Times New Roman"/>
          <w:sz w:val="24"/>
          <w:szCs w:val="24"/>
        </w:rPr>
        <w:t>directed toward encroachment on an officer’s lawful duties within 25 feet. It doesn’t target speech. It</w:t>
      </w:r>
      <w:r>
        <w:rPr>
          <w:rFonts w:ascii="Times New Roman" w:hAnsi="Times New Roman"/>
          <w:sz w:val="24"/>
          <w:szCs w:val="24"/>
        </w:rPr>
        <w:t xml:space="preserve"> </w:t>
      </w:r>
      <w:r w:rsidRPr="00CB06B1">
        <w:rPr>
          <w:rFonts w:ascii="Times New Roman" w:hAnsi="Times New Roman"/>
          <w:sz w:val="24"/>
          <w:szCs w:val="24"/>
        </w:rPr>
        <w:t xml:space="preserve">penalizes approaching a </w:t>
      </w:r>
      <w:proofErr w:type="gramStart"/>
      <w:r w:rsidRPr="00CB06B1">
        <w:rPr>
          <w:rFonts w:ascii="Times New Roman" w:hAnsi="Times New Roman"/>
          <w:sz w:val="24"/>
          <w:szCs w:val="24"/>
        </w:rPr>
        <w:t>lawfully-engaged</w:t>
      </w:r>
      <w:proofErr w:type="gramEnd"/>
      <w:r w:rsidRPr="00CB06B1">
        <w:rPr>
          <w:rFonts w:ascii="Times New Roman" w:hAnsi="Times New Roman"/>
          <w:sz w:val="24"/>
          <w:szCs w:val="24"/>
        </w:rPr>
        <w:t xml:space="preserve"> officer (after an order), not recording one. And at 25 feet, in</w:t>
      </w:r>
      <w:r>
        <w:rPr>
          <w:rFonts w:ascii="Times New Roman" w:hAnsi="Times New Roman"/>
          <w:sz w:val="24"/>
          <w:szCs w:val="24"/>
        </w:rPr>
        <w:t xml:space="preserve"> </w:t>
      </w:r>
      <w:r w:rsidRPr="00CB06B1">
        <w:rPr>
          <w:rFonts w:ascii="Times New Roman" w:hAnsi="Times New Roman"/>
          <w:sz w:val="24"/>
          <w:szCs w:val="24"/>
        </w:rPr>
        <w:t>measure small steps from an officer’s work, this law has only an incidental effect on the public’s First</w:t>
      </w:r>
      <w:r>
        <w:rPr>
          <w:rFonts w:ascii="Times New Roman" w:hAnsi="Times New Roman"/>
          <w:sz w:val="24"/>
          <w:szCs w:val="24"/>
        </w:rPr>
        <w:t xml:space="preserve"> </w:t>
      </w:r>
      <w:r w:rsidRPr="00CB06B1">
        <w:rPr>
          <w:rFonts w:ascii="Times New Roman" w:hAnsi="Times New Roman"/>
          <w:sz w:val="24"/>
          <w:szCs w:val="24"/>
        </w:rPr>
        <w:t>Amendment right to capture audio and video and otherwise to scrutinize police conduct. The court denies</w:t>
      </w:r>
      <w:r>
        <w:rPr>
          <w:rFonts w:ascii="Times New Roman" w:hAnsi="Times New Roman"/>
          <w:sz w:val="24"/>
          <w:szCs w:val="24"/>
        </w:rPr>
        <w:t xml:space="preserve"> </w:t>
      </w:r>
      <w:r w:rsidRPr="00CB06B1">
        <w:rPr>
          <w:rFonts w:ascii="Times New Roman" w:hAnsi="Times New Roman"/>
          <w:sz w:val="24"/>
          <w:szCs w:val="24"/>
        </w:rPr>
        <w:t xml:space="preserve">a permanent injunction because Indiana’s buffer law is not </w:t>
      </w:r>
      <w:proofErr w:type="gramStart"/>
      <w:r w:rsidRPr="00CB06B1">
        <w:rPr>
          <w:rFonts w:ascii="Times New Roman" w:hAnsi="Times New Roman"/>
          <w:sz w:val="24"/>
          <w:szCs w:val="24"/>
        </w:rPr>
        <w:t>unconstitutional by virtue</w:t>
      </w:r>
      <w:proofErr w:type="gramEnd"/>
      <w:r w:rsidRPr="00CB06B1">
        <w:rPr>
          <w:rFonts w:ascii="Times New Roman" w:hAnsi="Times New Roman"/>
          <w:sz w:val="24"/>
          <w:szCs w:val="24"/>
        </w:rPr>
        <w:t xml:space="preserve"> of being </w:t>
      </w:r>
      <w:r w:rsidRPr="00CB06B1">
        <w:rPr>
          <w:rFonts w:ascii="Times New Roman" w:hAnsi="Times New Roman"/>
          <w:sz w:val="24"/>
          <w:szCs w:val="24"/>
        </w:rPr>
        <w:lastRenderedPageBreak/>
        <w:t>facially</w:t>
      </w:r>
      <w:r>
        <w:rPr>
          <w:rFonts w:ascii="Times New Roman" w:hAnsi="Times New Roman"/>
          <w:sz w:val="24"/>
          <w:szCs w:val="24"/>
        </w:rPr>
        <w:t xml:space="preserve"> </w:t>
      </w:r>
      <w:r w:rsidRPr="00CB06B1">
        <w:rPr>
          <w:rFonts w:ascii="Times New Roman" w:hAnsi="Times New Roman"/>
          <w:sz w:val="24"/>
          <w:szCs w:val="24"/>
        </w:rPr>
        <w:t>overbroad. A case might be different if an officer enforces this law unconstitutionally in a particular</w:t>
      </w:r>
      <w:r>
        <w:rPr>
          <w:rFonts w:ascii="Times New Roman" w:hAnsi="Times New Roman"/>
          <w:sz w:val="24"/>
          <w:szCs w:val="24"/>
        </w:rPr>
        <w:t xml:space="preserve"> </w:t>
      </w:r>
      <w:r w:rsidRPr="00CB06B1">
        <w:rPr>
          <w:rFonts w:ascii="Times New Roman" w:hAnsi="Times New Roman"/>
          <w:sz w:val="24"/>
          <w:szCs w:val="24"/>
        </w:rPr>
        <w:t>scenario, but the court is not deciding such a case today.</w:t>
      </w:r>
      <w:r>
        <w:rPr>
          <w:rFonts w:ascii="Times New Roman" w:hAnsi="Times New Roman"/>
          <w:sz w:val="24"/>
          <w:szCs w:val="24"/>
        </w:rPr>
        <w:t xml:space="preserve">”  </w:t>
      </w:r>
      <w:hyperlink r:id="rId880" w:history="1">
        <w:r w:rsidRPr="00D10854">
          <w:rPr>
            <w:rStyle w:val="Hyperlink"/>
            <w:rFonts w:ascii="Times New Roman" w:hAnsi="Times New Roman"/>
            <w:sz w:val="24"/>
            <w:szCs w:val="24"/>
          </w:rPr>
          <w:t>https://cases.justia.com/federal/district-courts/indiana/inndce/3:2023cv00744/115782/36/0.pdf?ts=1705163579</w:t>
        </w:r>
      </w:hyperlink>
      <w:r>
        <w:rPr>
          <w:rFonts w:ascii="Times New Roman" w:hAnsi="Times New Roman"/>
          <w:sz w:val="24"/>
          <w:szCs w:val="24"/>
        </w:rPr>
        <w:t xml:space="preserve"> </w:t>
      </w:r>
    </w:p>
    <w:p w14:paraId="589E4FF6" w14:textId="77777777" w:rsidR="00233F5D" w:rsidRDefault="00233F5D" w:rsidP="002B1283">
      <w:pPr>
        <w:rPr>
          <w:rStyle w:val="Hyperlink"/>
          <w:rFonts w:ascii="Arial Black" w:hAnsi="Arial Black"/>
          <w:b/>
          <w:color w:val="auto"/>
          <w:sz w:val="24"/>
          <w:szCs w:val="24"/>
          <w:u w:val="none"/>
        </w:rPr>
      </w:pPr>
    </w:p>
    <w:p w14:paraId="3097F93A" w14:textId="77777777" w:rsidR="00B83C64" w:rsidRPr="007C6C34" w:rsidRDefault="00B83C64" w:rsidP="00B83C64">
      <w:pPr>
        <w:pStyle w:val="NormalWeb"/>
        <w:rPr>
          <w:b/>
          <w:bCs/>
        </w:rPr>
      </w:pPr>
      <w:r w:rsidRPr="007C6C34">
        <w:rPr>
          <w:b/>
          <w:bCs/>
        </w:rPr>
        <w:t>Legal Lesson Learned:</w:t>
      </w:r>
      <w:r>
        <w:rPr>
          <w:b/>
          <w:bCs/>
        </w:rPr>
        <w:t xml:space="preserve"> An excellent “buffer law” that will also help Fire &amp; EMS. </w:t>
      </w:r>
    </w:p>
    <w:p w14:paraId="46909B06" w14:textId="77777777" w:rsidR="00233F5D" w:rsidRDefault="00233F5D" w:rsidP="002B1283">
      <w:pPr>
        <w:rPr>
          <w:rStyle w:val="Hyperlink"/>
          <w:rFonts w:ascii="Arial Black" w:hAnsi="Arial Black"/>
          <w:b/>
          <w:color w:val="auto"/>
          <w:sz w:val="24"/>
          <w:szCs w:val="24"/>
          <w:u w:val="none"/>
        </w:rPr>
      </w:pPr>
    </w:p>
    <w:p w14:paraId="3D5791A8" w14:textId="4C6E827C" w:rsidR="006A67C1" w:rsidRDefault="003E1AD0" w:rsidP="002B1283">
      <w:pPr>
        <w:rPr>
          <w:rStyle w:val="Hyperlink"/>
          <w:rFonts w:ascii="Arial Black" w:hAnsi="Arial Black"/>
          <w:b/>
          <w:color w:val="auto"/>
          <w:sz w:val="24"/>
          <w:szCs w:val="24"/>
          <w:u w:val="none"/>
        </w:rPr>
      </w:pPr>
      <w:r>
        <w:rPr>
          <w:rStyle w:val="Hyperlink"/>
          <w:rFonts w:ascii="Arial Black" w:hAnsi="Arial Black"/>
          <w:b/>
          <w:color w:val="auto"/>
          <w:sz w:val="24"/>
          <w:szCs w:val="24"/>
          <w:u w:val="none"/>
        </w:rPr>
        <w:t>4-34</w:t>
      </w:r>
    </w:p>
    <w:p w14:paraId="3BB11773" w14:textId="77777777" w:rsidR="000B6881" w:rsidRPr="00D77551" w:rsidRDefault="000B6881" w:rsidP="000B6881">
      <w:pPr>
        <w:pStyle w:val="NormalWeb"/>
        <w:rPr>
          <w:rFonts w:ascii="Arial Black" w:hAnsi="Arial Black"/>
          <w:b/>
          <w:bCs/>
          <w:sz w:val="28"/>
          <w:szCs w:val="28"/>
        </w:rPr>
      </w:pPr>
      <w:r>
        <w:rPr>
          <w:rFonts w:ascii="Arial Black" w:hAnsi="Arial Black"/>
          <w:b/>
          <w:bCs/>
          <w:sz w:val="28"/>
          <w:szCs w:val="28"/>
        </w:rPr>
        <w:t xml:space="preserve">CA: PD DRONE VIDEOS – “FIRST IN COUNTRY” FAA PROGRAM – VIDEOS MOUNTAIN LION, WATER LEAK PUBLIC </w:t>
      </w:r>
    </w:p>
    <w:p w14:paraId="13DD7664" w14:textId="77777777" w:rsidR="000B6881" w:rsidRDefault="000B6881" w:rsidP="000B6881">
      <w:pPr>
        <w:pStyle w:val="NormalWeb"/>
      </w:pPr>
      <w:r w:rsidRPr="00416234">
        <w:t xml:space="preserve">On Dec. 27, 2023, in </w:t>
      </w:r>
      <w:r w:rsidRPr="00416234">
        <w:rPr>
          <w:u w:val="single"/>
        </w:rPr>
        <w:t>Arturo Castanares v. The Supervisor Court of San Diego County, and City of Chula Vista,</w:t>
      </w:r>
      <w:r w:rsidRPr="00416234">
        <w:t xml:space="preserve"> </w:t>
      </w:r>
      <w:r>
        <w:t xml:space="preserve">the Court of Appeal, Fourth Appellate District, Division One, Stare of California, held (3 to 0) that trial court judge improperly held that all police videos (370 flights) were exempt from disclosure under CA “catchall” provision protecting police investigations and individual privacy.  The Court </w:t>
      </w:r>
      <w:proofErr w:type="gramStart"/>
      <w:r>
        <w:t>remanded</w:t>
      </w:r>
      <w:proofErr w:type="gramEnd"/>
      <w:r>
        <w:t xml:space="preserve"> the case to trial court judge for further review of videos. The Court wrote: “We agree with Castañares that the superior court erred in determining, as a matter of law, all video footage from the drone program is exempt under section 7923.600, subdivision (a) as records of investigations. However, it might be the case, after further inquiry, consistent with this opinion, that </w:t>
      </w:r>
      <w:proofErr w:type="gramStart"/>
      <w:r>
        <w:t>the majority of</w:t>
      </w:r>
      <w:proofErr w:type="gramEnd"/>
      <w:r>
        <w:t xml:space="preserve"> the video footage is exempt. That said, we cannot make that determination on the record before us. *** For example, a 911 call about a mountain lion roaming a neighborhood, a water leak, or a stranded motorist on the freeway could warrant the use of a drone but do not suggest a crime might have been committed or is in the process of being committed.” </w:t>
      </w:r>
      <w:hyperlink r:id="rId881" w:history="1">
        <w:r w:rsidRPr="0044657D">
          <w:rPr>
            <w:rStyle w:val="Hyperlink"/>
          </w:rPr>
          <w:t>https://www.courts.ca.gov/opinions/documents/D082048.PDF</w:t>
        </w:r>
      </w:hyperlink>
      <w:r>
        <w:t xml:space="preserve"> </w:t>
      </w:r>
    </w:p>
    <w:p w14:paraId="49FBE993" w14:textId="77777777" w:rsidR="00BC204B" w:rsidRDefault="00BC204B" w:rsidP="00BC204B">
      <w:pPr>
        <w:pStyle w:val="NoSpacing"/>
        <w:jc w:val="both"/>
        <w:rPr>
          <w:rFonts w:ascii="Times New Roman" w:hAnsi="Times New Roman"/>
          <w:b/>
          <w:bCs/>
          <w:sz w:val="24"/>
          <w:szCs w:val="24"/>
        </w:rPr>
      </w:pPr>
      <w:r w:rsidRPr="00BA1591">
        <w:rPr>
          <w:rFonts w:ascii="Times New Roman" w:hAnsi="Times New Roman"/>
          <w:b/>
          <w:bCs/>
          <w:sz w:val="24"/>
          <w:szCs w:val="24"/>
        </w:rPr>
        <w:t xml:space="preserve">Legal Lesson Learned: </w:t>
      </w:r>
      <w:r>
        <w:rPr>
          <w:rFonts w:ascii="Times New Roman" w:hAnsi="Times New Roman"/>
          <w:b/>
          <w:bCs/>
          <w:sz w:val="24"/>
          <w:szCs w:val="24"/>
        </w:rPr>
        <w:t xml:space="preserve">New technologies can lead to new legal issues; trial court </w:t>
      </w:r>
      <w:proofErr w:type="gramStart"/>
      <w:r>
        <w:rPr>
          <w:rFonts w:ascii="Times New Roman" w:hAnsi="Times New Roman"/>
          <w:b/>
          <w:bCs/>
          <w:sz w:val="24"/>
          <w:szCs w:val="24"/>
        </w:rPr>
        <w:t>judge</w:t>
      </w:r>
      <w:proofErr w:type="gramEnd"/>
      <w:r>
        <w:rPr>
          <w:rFonts w:ascii="Times New Roman" w:hAnsi="Times New Roman"/>
          <w:b/>
          <w:bCs/>
          <w:sz w:val="24"/>
          <w:szCs w:val="24"/>
        </w:rPr>
        <w:t xml:space="preserve"> may now have to make a disclosure decision on each video. </w:t>
      </w:r>
    </w:p>
    <w:p w14:paraId="2B6271AD" w14:textId="77777777" w:rsidR="003E1AD0" w:rsidRDefault="003E1AD0" w:rsidP="002B1283">
      <w:pPr>
        <w:rPr>
          <w:rStyle w:val="Hyperlink"/>
          <w:rFonts w:ascii="Arial Black" w:hAnsi="Arial Black"/>
          <w:b/>
          <w:color w:val="auto"/>
          <w:sz w:val="24"/>
          <w:szCs w:val="24"/>
          <w:u w:val="none"/>
        </w:rPr>
      </w:pPr>
    </w:p>
    <w:p w14:paraId="45EE7D65" w14:textId="77777777" w:rsidR="003E1AD0" w:rsidRDefault="003E1AD0" w:rsidP="002B1283">
      <w:pPr>
        <w:rPr>
          <w:rStyle w:val="Hyperlink"/>
          <w:rFonts w:ascii="Arial Black" w:hAnsi="Arial Black"/>
          <w:b/>
          <w:color w:val="auto"/>
          <w:sz w:val="24"/>
          <w:szCs w:val="24"/>
          <w:u w:val="none"/>
        </w:rPr>
      </w:pPr>
    </w:p>
    <w:p w14:paraId="187748CE" w14:textId="2F84F9C3" w:rsidR="006A67C1" w:rsidRDefault="006A67C1" w:rsidP="002B1283">
      <w:pPr>
        <w:rPr>
          <w:rStyle w:val="Hyperlink"/>
          <w:rFonts w:ascii="Arial Black" w:hAnsi="Arial Black"/>
          <w:b/>
          <w:color w:val="auto"/>
          <w:sz w:val="24"/>
          <w:szCs w:val="24"/>
          <w:u w:val="none"/>
        </w:rPr>
      </w:pPr>
      <w:r>
        <w:rPr>
          <w:rStyle w:val="Hyperlink"/>
          <w:rFonts w:ascii="Arial Black" w:hAnsi="Arial Black"/>
          <w:b/>
          <w:color w:val="auto"/>
          <w:sz w:val="24"/>
          <w:szCs w:val="24"/>
          <w:u w:val="none"/>
        </w:rPr>
        <w:t>4-33</w:t>
      </w:r>
    </w:p>
    <w:p w14:paraId="0AD76701" w14:textId="77777777" w:rsidR="006A67C1" w:rsidRDefault="006A67C1" w:rsidP="006A67C1">
      <w:pPr>
        <w:pStyle w:val="NormalWeb"/>
        <w:rPr>
          <w:rFonts w:ascii="Arial Black" w:hAnsi="Arial Black"/>
          <w:sz w:val="28"/>
          <w:szCs w:val="28"/>
        </w:rPr>
      </w:pPr>
      <w:r>
        <w:rPr>
          <w:rFonts w:ascii="Arial Black" w:hAnsi="Arial Black"/>
          <w:sz w:val="28"/>
          <w:szCs w:val="28"/>
        </w:rPr>
        <w:t xml:space="preserve">CA: GAS LEAK HOME – CAPTAIN ALLOWED SOLAR PANEL WORKER GET TOOLS - EXPLODED – LAWSUIT PROCEED </w:t>
      </w:r>
    </w:p>
    <w:p w14:paraId="04973AF4" w14:textId="77777777" w:rsidR="006A67C1" w:rsidRDefault="006A67C1" w:rsidP="006A67C1">
      <w:pPr>
        <w:pStyle w:val="NormalWeb"/>
      </w:pPr>
      <w:r>
        <w:t xml:space="preserve">On Nov. 30, 2023, in </w:t>
      </w:r>
      <w:r w:rsidRPr="005C5B17">
        <w:rPr>
          <w:u w:val="single"/>
        </w:rPr>
        <w:t>Anthony Borel v. City of Murrieta</w:t>
      </w:r>
      <w:r>
        <w:t xml:space="preserve">, the California Court of Appeals, Fourth District, Third Division, held (3 to 0; unpublished decision), that trial court judge improperly granted summary judgment to the City.  The Court wrote: “Anthony Borel was on a residential worksite in Murrieta (the </w:t>
      </w:r>
      <w:proofErr w:type="gramStart"/>
      <w:r>
        <w:t>City</w:t>
      </w:r>
      <w:proofErr w:type="gramEnd"/>
      <w:r>
        <w:t xml:space="preserve">) the summer of 2019 when the home exploded due to a natural gas leak. Borel alleged the fire crew that responded to the report of a leak failed to establish a perimeter or evacuation zone around the leak area and allowed people to go in and near the home. He was amongst the people allowed to go near the home to retrieve his tools. While he was doing this, the homeowner asked the captain on the scene if she could enter the house to retrieve some personal items. Shortly after she entered, the home exploded and Borel was seriously injured. He seeks to recover damages for his injuries from, among others, the City of Murrieta. *** In response to Borel's public entity </w:t>
      </w:r>
      <w:r>
        <w:lastRenderedPageBreak/>
        <w:t xml:space="preserve">negligence claim, the City successfully moved for summary judgment, on the ground its firefighters' conduct at the scene was subject to emergency services immunity under Health and Safety Code section 1799.107. Section 1799.107 creates immunity for public entities and emergency rescue personnel for injuries caused when they take action to provide emergency services, so long as the actions are not performed in bad faith or with gross negligence. While we agree the City can invoke section 1799.107, we conclude there is sufficient evidence to create triable issues of material fact as to whether the firefighters acted with gross negligence.” </w:t>
      </w:r>
      <w:hyperlink r:id="rId882" w:history="1">
        <w:r w:rsidRPr="002D5A3E">
          <w:rPr>
            <w:rStyle w:val="Hyperlink"/>
          </w:rPr>
          <w:t>https://casetext.com/case/borel-v-city-of-murrieta</w:t>
        </w:r>
      </w:hyperlink>
      <w:r>
        <w:t xml:space="preserve"> </w:t>
      </w:r>
    </w:p>
    <w:p w14:paraId="1205EA14" w14:textId="77777777" w:rsidR="003E1AD0" w:rsidRPr="00C20F9E" w:rsidRDefault="003E1AD0" w:rsidP="003E1AD0">
      <w:pPr>
        <w:pStyle w:val="NormalWeb"/>
        <w:rPr>
          <w:b/>
          <w:bCs/>
        </w:rPr>
      </w:pPr>
      <w:r w:rsidRPr="00C20F9E">
        <w:rPr>
          <w:b/>
          <w:bCs/>
        </w:rPr>
        <w:t>Legal Lesson Learned:</w:t>
      </w:r>
      <w:r>
        <w:rPr>
          <w:b/>
          <w:bCs/>
        </w:rPr>
        <w:t xml:space="preserve"> The “gross negligence” standard may be difficult to prove, but this may be a case that calls for a settlement rather than a jury trial. </w:t>
      </w:r>
    </w:p>
    <w:p w14:paraId="7A64DF4C" w14:textId="77777777" w:rsidR="006A67C1" w:rsidRDefault="006A67C1" w:rsidP="002B1283">
      <w:pPr>
        <w:rPr>
          <w:rStyle w:val="Hyperlink"/>
          <w:rFonts w:ascii="Arial Black" w:hAnsi="Arial Black"/>
          <w:b/>
          <w:color w:val="auto"/>
          <w:sz w:val="24"/>
          <w:szCs w:val="24"/>
          <w:u w:val="none"/>
        </w:rPr>
      </w:pPr>
    </w:p>
    <w:p w14:paraId="6E5D0CC2" w14:textId="77777777" w:rsidR="006A67C1" w:rsidRDefault="006A67C1" w:rsidP="002B1283">
      <w:pPr>
        <w:rPr>
          <w:rStyle w:val="Hyperlink"/>
          <w:rFonts w:ascii="Arial Black" w:hAnsi="Arial Black"/>
          <w:b/>
          <w:color w:val="auto"/>
          <w:sz w:val="24"/>
          <w:szCs w:val="24"/>
          <w:u w:val="none"/>
        </w:rPr>
      </w:pPr>
    </w:p>
    <w:p w14:paraId="05DCFD47" w14:textId="3330B358" w:rsidR="0056123D" w:rsidRDefault="0056123D" w:rsidP="002B1283">
      <w:pPr>
        <w:rPr>
          <w:rStyle w:val="Hyperlink"/>
          <w:rFonts w:ascii="Arial Black" w:hAnsi="Arial Black"/>
          <w:b/>
          <w:color w:val="auto"/>
          <w:sz w:val="24"/>
          <w:szCs w:val="24"/>
          <w:u w:val="none"/>
        </w:rPr>
      </w:pPr>
      <w:r>
        <w:rPr>
          <w:rStyle w:val="Hyperlink"/>
          <w:rFonts w:ascii="Arial Black" w:hAnsi="Arial Black"/>
          <w:b/>
          <w:color w:val="auto"/>
          <w:sz w:val="24"/>
          <w:szCs w:val="24"/>
          <w:u w:val="none"/>
        </w:rPr>
        <w:t>4-32</w:t>
      </w:r>
    </w:p>
    <w:p w14:paraId="039976A8" w14:textId="056DCF0B" w:rsidR="0056123D" w:rsidRPr="00616758" w:rsidRDefault="0056123D" w:rsidP="0056123D">
      <w:pPr>
        <w:pStyle w:val="NoSpacing"/>
        <w:rPr>
          <w:rFonts w:ascii="Arial Black" w:hAnsi="Arial Black"/>
          <w:sz w:val="28"/>
          <w:szCs w:val="28"/>
        </w:rPr>
      </w:pPr>
      <w:r>
        <w:rPr>
          <w:rFonts w:ascii="Arial Black" w:hAnsi="Arial Black"/>
          <w:sz w:val="28"/>
          <w:szCs w:val="28"/>
        </w:rPr>
        <w:t xml:space="preserve">TX: “FAMILY NIGHT” - INSTRUCTOR SPRAYED STUDENTS 2½ HOSE – GOV’T IMMUNITY – ENGINE NOT USED </w:t>
      </w:r>
      <w:r w:rsidR="00954F48">
        <w:rPr>
          <w:rFonts w:ascii="Arial Black" w:hAnsi="Arial Black"/>
          <w:sz w:val="28"/>
          <w:szCs w:val="28"/>
        </w:rPr>
        <w:t xml:space="preserve">AS </w:t>
      </w:r>
      <w:r>
        <w:rPr>
          <w:rFonts w:ascii="Arial Black" w:hAnsi="Arial Black"/>
          <w:sz w:val="28"/>
          <w:szCs w:val="28"/>
        </w:rPr>
        <w:t>VEHICLE</w:t>
      </w:r>
    </w:p>
    <w:p w14:paraId="6492A561" w14:textId="77777777" w:rsidR="00954F48" w:rsidRDefault="00954F48" w:rsidP="00954F48">
      <w:pPr>
        <w:rPr>
          <w:rFonts w:ascii="Times New Roman" w:hAnsi="Times New Roman"/>
          <w:sz w:val="24"/>
          <w:szCs w:val="24"/>
        </w:rPr>
      </w:pPr>
    </w:p>
    <w:p w14:paraId="54DE1A69" w14:textId="5AE37F2C" w:rsidR="00954F48" w:rsidRDefault="0056123D" w:rsidP="00954F48">
      <w:pPr>
        <w:rPr>
          <w:rStyle w:val="Hyperlink"/>
          <w:rFonts w:ascii="Arial Black" w:hAnsi="Arial Black"/>
          <w:b/>
          <w:color w:val="auto"/>
          <w:sz w:val="24"/>
          <w:szCs w:val="24"/>
          <w:u w:val="none"/>
        </w:rPr>
      </w:pPr>
      <w:r>
        <w:rPr>
          <w:rFonts w:ascii="Times New Roman" w:hAnsi="Times New Roman"/>
          <w:sz w:val="24"/>
          <w:szCs w:val="24"/>
        </w:rPr>
        <w:t xml:space="preserve">On Sept. 21, 2023, </w:t>
      </w:r>
      <w:r w:rsidRPr="00C400FC">
        <w:rPr>
          <w:rFonts w:ascii="Times New Roman" w:hAnsi="Times New Roman"/>
          <w:sz w:val="24"/>
          <w:szCs w:val="24"/>
          <w:u w:val="single"/>
        </w:rPr>
        <w:t>in Koby Rezac v. Navarro College</w:t>
      </w:r>
      <w:r>
        <w:rPr>
          <w:rFonts w:ascii="Times New Roman" w:hAnsi="Times New Roman"/>
          <w:sz w:val="24"/>
          <w:szCs w:val="24"/>
        </w:rPr>
        <w:t xml:space="preserve">, the Texas Tenth Court of Appeals, held (3 to 0) that trial court judge properly dismissed the lawsuit against the College.  Under Texas Tort Claim law, governmental immunity is waved for injuries arising out of the </w:t>
      </w:r>
      <w:r w:rsidRPr="00C400FC">
        <w:rPr>
          <w:rFonts w:ascii="Times New Roman" w:hAnsi="Times New Roman"/>
          <w:sz w:val="24"/>
          <w:szCs w:val="24"/>
        </w:rPr>
        <w:t>"use" or "operation" of a motor vehicle</w:t>
      </w:r>
      <w:r>
        <w:rPr>
          <w:rFonts w:ascii="Times New Roman" w:hAnsi="Times New Roman"/>
          <w:sz w:val="24"/>
          <w:szCs w:val="24"/>
        </w:rPr>
        <w:t xml:space="preserve">.   In this case the Court relied on the affidavit of the instructor – it was  “family night” at the Junior College fire program, the program had concluded with students lined up in formation, the engine no longer running but still connected to the hydrant, when the instructor jokingly sprayed the students with the 2 ½ inch line.   </w:t>
      </w:r>
      <w:hyperlink r:id="rId883" w:history="1">
        <w:r w:rsidR="00954F48" w:rsidRPr="00FF56A3">
          <w:rPr>
            <w:rStyle w:val="Hyperlink"/>
            <w:rFonts w:ascii="Times New Roman" w:hAnsi="Times New Roman"/>
            <w:sz w:val="24"/>
            <w:szCs w:val="24"/>
          </w:rPr>
          <w:t>https://search.txcourts.gov/SearchMedia.aspx?MediaVersionID=0759d8f0-c4e1-4852-8390-4190cacb89f6&amp;coa=coa10&amp;DT=Opinion&amp;MediaID=dc9d0fad-acea-4603-a120-a6519744d885</w:t>
        </w:r>
      </w:hyperlink>
    </w:p>
    <w:p w14:paraId="4308B884" w14:textId="788B519C" w:rsidR="0056123D" w:rsidRDefault="00954F48" w:rsidP="0056123D">
      <w:pPr>
        <w:pStyle w:val="NoSpacing"/>
        <w:rPr>
          <w:rFonts w:ascii="Times New Roman" w:hAnsi="Times New Roman"/>
          <w:sz w:val="24"/>
          <w:szCs w:val="24"/>
        </w:rPr>
      </w:pPr>
      <w:r>
        <w:rPr>
          <w:rFonts w:ascii="Times New Roman" w:hAnsi="Times New Roman"/>
          <w:sz w:val="24"/>
          <w:szCs w:val="24"/>
        </w:rPr>
        <w:t>THE COURT HELD:</w:t>
      </w:r>
    </w:p>
    <w:p w14:paraId="409B7CA4" w14:textId="77777777" w:rsidR="0056123D" w:rsidRDefault="0056123D" w:rsidP="0056123D">
      <w:pPr>
        <w:pStyle w:val="NoSpacing"/>
        <w:rPr>
          <w:rFonts w:ascii="Times New Roman" w:hAnsi="Times New Roman"/>
          <w:sz w:val="24"/>
          <w:szCs w:val="24"/>
        </w:rPr>
      </w:pPr>
    </w:p>
    <w:p w14:paraId="28096D81" w14:textId="77777777" w:rsidR="0056123D" w:rsidRPr="00616758" w:rsidRDefault="0056123D" w:rsidP="0056123D">
      <w:pPr>
        <w:pStyle w:val="NoSpacing"/>
        <w:ind w:firstLine="720"/>
        <w:rPr>
          <w:rFonts w:ascii="Times New Roman" w:hAnsi="Times New Roman"/>
          <w:sz w:val="24"/>
          <w:szCs w:val="24"/>
        </w:rPr>
      </w:pPr>
      <w:r>
        <w:rPr>
          <w:rFonts w:ascii="Times New Roman" w:hAnsi="Times New Roman"/>
          <w:sz w:val="24"/>
          <w:szCs w:val="24"/>
        </w:rPr>
        <w:t>“</w:t>
      </w:r>
      <w:r w:rsidRPr="00616758">
        <w:rPr>
          <w:rFonts w:ascii="Times New Roman" w:hAnsi="Times New Roman"/>
          <w:sz w:val="24"/>
          <w:szCs w:val="24"/>
        </w:rPr>
        <w:t>In this instance, because the fire truck was parked and attached to the hydrant,</w:t>
      </w:r>
    </w:p>
    <w:p w14:paraId="0CBAC41C" w14:textId="77777777" w:rsidR="0056123D" w:rsidRPr="00616758" w:rsidRDefault="0056123D" w:rsidP="0056123D">
      <w:pPr>
        <w:pStyle w:val="NoSpacing"/>
        <w:ind w:left="720"/>
        <w:rPr>
          <w:rFonts w:ascii="Times New Roman" w:hAnsi="Times New Roman"/>
          <w:sz w:val="24"/>
          <w:szCs w:val="24"/>
        </w:rPr>
      </w:pPr>
      <w:r w:rsidRPr="00616758">
        <w:rPr>
          <w:rFonts w:ascii="Times New Roman" w:hAnsi="Times New Roman"/>
          <w:sz w:val="24"/>
          <w:szCs w:val="24"/>
        </w:rPr>
        <w:t>under the facts as alleged by Rezac, whatever use of the fire truck that then occurred was</w:t>
      </w:r>
      <w:r>
        <w:rPr>
          <w:rFonts w:ascii="Times New Roman" w:hAnsi="Times New Roman"/>
          <w:sz w:val="24"/>
          <w:szCs w:val="24"/>
        </w:rPr>
        <w:t xml:space="preserve"> </w:t>
      </w:r>
      <w:r w:rsidRPr="00616758">
        <w:rPr>
          <w:rFonts w:ascii="Times New Roman" w:hAnsi="Times New Roman"/>
          <w:sz w:val="24"/>
          <w:szCs w:val="24"/>
        </w:rPr>
        <w:t>not the use or operation of a motor-driven vehicle. At most, it was the use or operation</w:t>
      </w:r>
    </w:p>
    <w:p w14:paraId="74021C44" w14:textId="77777777" w:rsidR="0056123D" w:rsidRPr="00616758" w:rsidRDefault="0056123D" w:rsidP="0056123D">
      <w:pPr>
        <w:pStyle w:val="NoSpacing"/>
        <w:ind w:firstLine="720"/>
        <w:rPr>
          <w:rFonts w:ascii="Times New Roman" w:hAnsi="Times New Roman"/>
          <w:sz w:val="24"/>
          <w:szCs w:val="24"/>
        </w:rPr>
      </w:pPr>
      <w:r w:rsidRPr="00616758">
        <w:rPr>
          <w:rFonts w:ascii="Times New Roman" w:hAnsi="Times New Roman"/>
          <w:sz w:val="24"/>
          <w:szCs w:val="24"/>
        </w:rPr>
        <w:t>of a pump, which under these facts would only potentially involve the use or operation</w:t>
      </w:r>
    </w:p>
    <w:p w14:paraId="10036274" w14:textId="77777777" w:rsidR="0056123D" w:rsidRPr="00616758" w:rsidRDefault="0056123D" w:rsidP="0056123D">
      <w:pPr>
        <w:pStyle w:val="NoSpacing"/>
        <w:ind w:firstLine="720"/>
        <w:rPr>
          <w:rFonts w:ascii="Times New Roman" w:hAnsi="Times New Roman"/>
          <w:sz w:val="24"/>
          <w:szCs w:val="24"/>
        </w:rPr>
      </w:pPr>
      <w:r w:rsidRPr="00616758">
        <w:rPr>
          <w:rFonts w:ascii="Times New Roman" w:hAnsi="Times New Roman"/>
          <w:sz w:val="24"/>
          <w:szCs w:val="24"/>
        </w:rPr>
        <w:t>of motor-driven equipment, for which immunity has not been waived because the college</w:t>
      </w:r>
    </w:p>
    <w:p w14:paraId="6CE4B875" w14:textId="77777777" w:rsidR="0056123D" w:rsidRPr="00616758" w:rsidRDefault="0056123D" w:rsidP="0056123D">
      <w:pPr>
        <w:pStyle w:val="NoSpacing"/>
        <w:ind w:firstLine="720"/>
        <w:rPr>
          <w:rFonts w:ascii="Times New Roman" w:hAnsi="Times New Roman"/>
          <w:sz w:val="24"/>
          <w:szCs w:val="24"/>
        </w:rPr>
      </w:pPr>
      <w:r w:rsidRPr="00616758">
        <w:rPr>
          <w:rFonts w:ascii="Times New Roman" w:hAnsi="Times New Roman"/>
          <w:sz w:val="24"/>
          <w:szCs w:val="24"/>
        </w:rPr>
        <w:t xml:space="preserve">is a junior college district. See Ryder, 453 S.W.3d at </w:t>
      </w:r>
      <w:proofErr w:type="gramStart"/>
      <w:r w:rsidRPr="00616758">
        <w:rPr>
          <w:rFonts w:ascii="Times New Roman" w:hAnsi="Times New Roman"/>
          <w:sz w:val="24"/>
          <w:szCs w:val="24"/>
        </w:rPr>
        <w:t>927 (</w:t>
      </w:r>
      <w:r>
        <w:rPr>
          <w:rFonts w:ascii="Times New Roman" w:hAnsi="Times New Roman"/>
          <w:sz w:val="24"/>
          <w:szCs w:val="24"/>
        </w:rPr>
        <w:t>‘</w:t>
      </w:r>
      <w:proofErr w:type="gramEnd"/>
      <w:r w:rsidRPr="00616758">
        <w:rPr>
          <w:rFonts w:ascii="Times New Roman" w:hAnsi="Times New Roman"/>
          <w:sz w:val="24"/>
          <w:szCs w:val="24"/>
        </w:rPr>
        <w:t>[T]</w:t>
      </w:r>
      <w:proofErr w:type="gramStart"/>
      <w:r w:rsidRPr="00616758">
        <w:rPr>
          <w:rFonts w:ascii="Times New Roman" w:hAnsi="Times New Roman"/>
          <w:sz w:val="24"/>
          <w:szCs w:val="24"/>
        </w:rPr>
        <w:t>he vehicle</w:t>
      </w:r>
      <w:proofErr w:type="gramEnd"/>
      <w:r w:rsidRPr="00616758">
        <w:rPr>
          <w:rFonts w:ascii="Times New Roman" w:hAnsi="Times New Roman"/>
          <w:sz w:val="24"/>
          <w:szCs w:val="24"/>
        </w:rPr>
        <w:t xml:space="preserve"> must have been</w:t>
      </w:r>
    </w:p>
    <w:p w14:paraId="1D8542D0" w14:textId="77777777" w:rsidR="0056123D" w:rsidRPr="00616758" w:rsidRDefault="0056123D" w:rsidP="0056123D">
      <w:pPr>
        <w:pStyle w:val="NoSpacing"/>
        <w:ind w:firstLine="720"/>
        <w:rPr>
          <w:rFonts w:ascii="Times New Roman" w:hAnsi="Times New Roman"/>
          <w:sz w:val="24"/>
          <w:szCs w:val="24"/>
        </w:rPr>
      </w:pPr>
      <w:r w:rsidRPr="00616758">
        <w:rPr>
          <w:rFonts w:ascii="Times New Roman" w:hAnsi="Times New Roman"/>
          <w:sz w:val="24"/>
          <w:szCs w:val="24"/>
        </w:rPr>
        <w:t>used as a vehicle…</w:t>
      </w:r>
      <w:r>
        <w:rPr>
          <w:rFonts w:ascii="Times New Roman" w:hAnsi="Times New Roman"/>
          <w:sz w:val="24"/>
          <w:szCs w:val="24"/>
        </w:rPr>
        <w:t>’</w:t>
      </w:r>
      <w:r w:rsidRPr="00616758">
        <w:rPr>
          <w:rFonts w:ascii="Times New Roman" w:hAnsi="Times New Roman"/>
          <w:sz w:val="24"/>
          <w:szCs w:val="24"/>
        </w:rPr>
        <w:t>). We find that Rezac has not established a clear and unequivocal</w:t>
      </w:r>
    </w:p>
    <w:p w14:paraId="1C60E507" w14:textId="77777777" w:rsidR="0056123D" w:rsidRDefault="0056123D" w:rsidP="0056123D">
      <w:pPr>
        <w:pStyle w:val="NoSpacing"/>
        <w:ind w:left="720"/>
        <w:rPr>
          <w:rFonts w:ascii="Times New Roman" w:hAnsi="Times New Roman"/>
          <w:sz w:val="24"/>
          <w:szCs w:val="24"/>
        </w:rPr>
      </w:pPr>
      <w:r w:rsidRPr="00616758">
        <w:rPr>
          <w:rFonts w:ascii="Times New Roman" w:hAnsi="Times New Roman"/>
          <w:sz w:val="24"/>
          <w:szCs w:val="24"/>
        </w:rPr>
        <w:t>waiver of the college's governmental immunity under the Tort Claims Act.</w:t>
      </w:r>
    </w:p>
    <w:p w14:paraId="4C3F119D" w14:textId="77777777" w:rsidR="0056123D" w:rsidRDefault="0056123D" w:rsidP="0056123D">
      <w:pPr>
        <w:pStyle w:val="NoSpacing"/>
        <w:ind w:left="720"/>
        <w:rPr>
          <w:rFonts w:ascii="Times New Roman" w:hAnsi="Times New Roman"/>
          <w:sz w:val="24"/>
          <w:szCs w:val="24"/>
        </w:rPr>
      </w:pPr>
    </w:p>
    <w:p w14:paraId="2A93863C" w14:textId="77777777" w:rsidR="0056123D" w:rsidRDefault="0056123D" w:rsidP="0056123D">
      <w:pPr>
        <w:pStyle w:val="NoSpacing"/>
        <w:ind w:left="720"/>
        <w:rPr>
          <w:rFonts w:ascii="Times New Roman" w:hAnsi="Times New Roman"/>
          <w:sz w:val="24"/>
          <w:szCs w:val="24"/>
        </w:rPr>
      </w:pPr>
      <w:r>
        <w:rPr>
          <w:rFonts w:ascii="Times New Roman" w:hAnsi="Times New Roman"/>
          <w:sz w:val="24"/>
          <w:szCs w:val="24"/>
        </w:rPr>
        <w:t>***</w:t>
      </w:r>
    </w:p>
    <w:p w14:paraId="7891693C" w14:textId="77777777" w:rsidR="0056123D" w:rsidRPr="00523EAD" w:rsidRDefault="0056123D" w:rsidP="0056123D">
      <w:pPr>
        <w:pStyle w:val="NoSpacing"/>
        <w:ind w:left="720"/>
        <w:rPr>
          <w:rFonts w:ascii="Times New Roman" w:hAnsi="Times New Roman"/>
          <w:sz w:val="24"/>
          <w:szCs w:val="24"/>
        </w:rPr>
      </w:pPr>
      <w:r w:rsidRPr="00523EAD">
        <w:rPr>
          <w:rFonts w:ascii="Times New Roman" w:hAnsi="Times New Roman"/>
          <w:sz w:val="24"/>
          <w:szCs w:val="24"/>
        </w:rPr>
        <w:t>In this instance, because the fire truck was parked and attached to the hydrant,</w:t>
      </w:r>
    </w:p>
    <w:p w14:paraId="7D7F20E6" w14:textId="77777777" w:rsidR="0056123D" w:rsidRPr="00523EAD" w:rsidRDefault="0056123D" w:rsidP="0056123D">
      <w:pPr>
        <w:pStyle w:val="NoSpacing"/>
        <w:ind w:left="720"/>
        <w:rPr>
          <w:rFonts w:ascii="Times New Roman" w:hAnsi="Times New Roman"/>
          <w:sz w:val="24"/>
          <w:szCs w:val="24"/>
        </w:rPr>
      </w:pPr>
      <w:r w:rsidRPr="00523EAD">
        <w:rPr>
          <w:rFonts w:ascii="Times New Roman" w:hAnsi="Times New Roman"/>
          <w:sz w:val="24"/>
          <w:szCs w:val="24"/>
        </w:rPr>
        <w:t>under the facts as alleged by Rezac, whatever use of the fire truck that then occurred was</w:t>
      </w:r>
      <w:r>
        <w:rPr>
          <w:rFonts w:ascii="Times New Roman" w:hAnsi="Times New Roman"/>
          <w:sz w:val="24"/>
          <w:szCs w:val="24"/>
        </w:rPr>
        <w:t xml:space="preserve"> </w:t>
      </w:r>
      <w:r w:rsidRPr="00523EAD">
        <w:rPr>
          <w:rFonts w:ascii="Times New Roman" w:hAnsi="Times New Roman"/>
          <w:sz w:val="24"/>
          <w:szCs w:val="24"/>
        </w:rPr>
        <w:t>not the use or operation of a motor-driven vehicle. At most, it was the use or operation</w:t>
      </w:r>
    </w:p>
    <w:p w14:paraId="111E0C5F" w14:textId="77777777" w:rsidR="0056123D" w:rsidRPr="00523EAD" w:rsidRDefault="0056123D" w:rsidP="0056123D">
      <w:pPr>
        <w:pStyle w:val="NoSpacing"/>
        <w:ind w:left="720"/>
        <w:rPr>
          <w:rFonts w:ascii="Times New Roman" w:hAnsi="Times New Roman"/>
          <w:sz w:val="24"/>
          <w:szCs w:val="24"/>
        </w:rPr>
      </w:pPr>
      <w:r w:rsidRPr="00523EAD">
        <w:rPr>
          <w:rFonts w:ascii="Times New Roman" w:hAnsi="Times New Roman"/>
          <w:sz w:val="24"/>
          <w:szCs w:val="24"/>
        </w:rPr>
        <w:t>of a pump, which under these facts would only potentially involve the use or operation</w:t>
      </w:r>
    </w:p>
    <w:p w14:paraId="48CD52E1" w14:textId="77777777" w:rsidR="0056123D" w:rsidRPr="00523EAD" w:rsidRDefault="0056123D" w:rsidP="0056123D">
      <w:pPr>
        <w:pStyle w:val="NoSpacing"/>
        <w:ind w:left="720"/>
        <w:rPr>
          <w:rFonts w:ascii="Times New Roman" w:hAnsi="Times New Roman"/>
          <w:sz w:val="24"/>
          <w:szCs w:val="24"/>
        </w:rPr>
      </w:pPr>
      <w:r w:rsidRPr="00523EAD">
        <w:rPr>
          <w:rFonts w:ascii="Times New Roman" w:hAnsi="Times New Roman"/>
          <w:sz w:val="24"/>
          <w:szCs w:val="24"/>
        </w:rPr>
        <w:t>of motor-driven equipment, for which immunity has not been waived because the college</w:t>
      </w:r>
    </w:p>
    <w:p w14:paraId="07F16EB0" w14:textId="77777777" w:rsidR="0056123D" w:rsidRDefault="0056123D" w:rsidP="0056123D">
      <w:pPr>
        <w:pStyle w:val="NoSpacing"/>
        <w:ind w:left="720"/>
        <w:rPr>
          <w:rFonts w:ascii="Times New Roman" w:hAnsi="Times New Roman"/>
          <w:sz w:val="24"/>
          <w:szCs w:val="24"/>
        </w:rPr>
      </w:pPr>
      <w:r w:rsidRPr="00523EAD">
        <w:rPr>
          <w:rFonts w:ascii="Times New Roman" w:hAnsi="Times New Roman"/>
          <w:sz w:val="24"/>
          <w:szCs w:val="24"/>
        </w:rPr>
        <w:t>is a junior college district</w:t>
      </w:r>
      <w:r>
        <w:rPr>
          <w:rFonts w:ascii="Times New Roman" w:hAnsi="Times New Roman"/>
          <w:sz w:val="24"/>
          <w:szCs w:val="24"/>
        </w:rPr>
        <w:t>.”</w:t>
      </w:r>
    </w:p>
    <w:p w14:paraId="33093741" w14:textId="755CB144" w:rsidR="0056123D" w:rsidRDefault="0056123D" w:rsidP="0056123D">
      <w:pPr>
        <w:ind w:left="720"/>
        <w:rPr>
          <w:rStyle w:val="Hyperlink"/>
          <w:rFonts w:ascii="Arial Black" w:hAnsi="Arial Black"/>
          <w:b/>
          <w:color w:val="auto"/>
          <w:sz w:val="24"/>
          <w:szCs w:val="24"/>
          <w:u w:val="none"/>
        </w:rPr>
      </w:pPr>
      <w:hyperlink r:id="rId884" w:history="1">
        <w:r w:rsidRPr="00FF56A3">
          <w:rPr>
            <w:rStyle w:val="Hyperlink"/>
            <w:rFonts w:ascii="Times New Roman" w:hAnsi="Times New Roman"/>
            <w:sz w:val="24"/>
            <w:szCs w:val="24"/>
          </w:rPr>
          <w:t>https://search.txcourts.gov/SearchMedia.aspx?MediaVersionID=0759d8f0-c4e1-4852-8390-4190cacb89f6&amp;coa=coa10&amp;DT=Opinion&amp;MediaID=dc9d0fad-acea-4603-a120-a6519744d885</w:t>
        </w:r>
      </w:hyperlink>
    </w:p>
    <w:p w14:paraId="2889ED64" w14:textId="6F63338E" w:rsidR="0056123D" w:rsidRPr="00523EAD" w:rsidRDefault="0056123D" w:rsidP="0056123D">
      <w:pPr>
        <w:pStyle w:val="NoSpacing"/>
        <w:rPr>
          <w:rFonts w:ascii="Times New Roman" w:hAnsi="Times New Roman"/>
          <w:b/>
          <w:bCs/>
          <w:sz w:val="24"/>
          <w:szCs w:val="24"/>
        </w:rPr>
      </w:pPr>
      <w:r w:rsidRPr="00523EAD">
        <w:rPr>
          <w:rFonts w:ascii="Times New Roman" w:hAnsi="Times New Roman"/>
          <w:b/>
          <w:bCs/>
          <w:sz w:val="24"/>
          <w:szCs w:val="24"/>
        </w:rPr>
        <w:t>Legal Lesson Learned:</w:t>
      </w:r>
      <w:r w:rsidR="00D85969">
        <w:rPr>
          <w:rFonts w:ascii="Times New Roman" w:hAnsi="Times New Roman"/>
          <w:b/>
          <w:bCs/>
          <w:sz w:val="24"/>
          <w:szCs w:val="24"/>
        </w:rPr>
        <w:t xml:space="preserve"> U</w:t>
      </w:r>
      <w:r>
        <w:rPr>
          <w:rFonts w:ascii="Times New Roman" w:hAnsi="Times New Roman"/>
          <w:b/>
          <w:bCs/>
          <w:sz w:val="24"/>
          <w:szCs w:val="24"/>
        </w:rPr>
        <w:t xml:space="preserve">nder Texas law the plaintiff must prove by clear and unequivocal evidence that “use” of a government vehicle caused the injury. </w:t>
      </w:r>
    </w:p>
    <w:p w14:paraId="6F40034A" w14:textId="77777777" w:rsidR="0056123D" w:rsidRDefault="0056123D" w:rsidP="002B1283">
      <w:pPr>
        <w:rPr>
          <w:rStyle w:val="Hyperlink"/>
          <w:rFonts w:ascii="Arial Black" w:hAnsi="Arial Black"/>
          <w:b/>
          <w:color w:val="auto"/>
          <w:sz w:val="24"/>
          <w:szCs w:val="24"/>
          <w:u w:val="none"/>
        </w:rPr>
      </w:pPr>
    </w:p>
    <w:p w14:paraId="0ED845B7" w14:textId="0209D2C9" w:rsidR="0056123D" w:rsidRDefault="0056123D" w:rsidP="002B1283">
      <w:pPr>
        <w:rPr>
          <w:rStyle w:val="Hyperlink"/>
          <w:rFonts w:ascii="Arial Black" w:hAnsi="Arial Black"/>
          <w:b/>
          <w:color w:val="auto"/>
          <w:sz w:val="24"/>
          <w:szCs w:val="24"/>
          <w:u w:val="none"/>
        </w:rPr>
      </w:pPr>
      <w:r>
        <w:rPr>
          <w:rStyle w:val="Hyperlink"/>
          <w:rFonts w:ascii="Arial Black" w:hAnsi="Arial Black"/>
          <w:b/>
          <w:color w:val="auto"/>
          <w:sz w:val="24"/>
          <w:szCs w:val="24"/>
          <w:u w:val="none"/>
        </w:rPr>
        <w:t>4-31</w:t>
      </w:r>
    </w:p>
    <w:p w14:paraId="2F5F23A9" w14:textId="77777777" w:rsidR="0056123D" w:rsidRDefault="0056123D" w:rsidP="0056123D">
      <w:pPr>
        <w:pStyle w:val="NoSpacing"/>
        <w:rPr>
          <w:rFonts w:ascii="Arial Black" w:hAnsi="Arial Black"/>
          <w:sz w:val="28"/>
          <w:szCs w:val="28"/>
        </w:rPr>
      </w:pPr>
      <w:r>
        <w:rPr>
          <w:rFonts w:ascii="Arial Black" w:hAnsi="Arial Black"/>
          <w:sz w:val="28"/>
          <w:szCs w:val="28"/>
        </w:rPr>
        <w:t xml:space="preserve">KS: BLACK CAPTAIN – IC AT STRIP MALL FIRE – “SHIT SHOW” – CHIEF DOC. IN PERF. REVIEW - NO DISCRIM. </w:t>
      </w:r>
    </w:p>
    <w:p w14:paraId="6FE7CEA7" w14:textId="77777777" w:rsidR="0056123D" w:rsidRPr="005B52AD" w:rsidRDefault="0056123D" w:rsidP="0056123D">
      <w:pPr>
        <w:pStyle w:val="NoSpacing"/>
        <w:rPr>
          <w:rFonts w:ascii="Times New Roman" w:hAnsi="Times New Roman"/>
          <w:sz w:val="24"/>
          <w:szCs w:val="24"/>
        </w:rPr>
      </w:pPr>
      <w:r w:rsidRPr="005B52AD">
        <w:rPr>
          <w:rFonts w:ascii="Times New Roman" w:hAnsi="Times New Roman"/>
          <w:sz w:val="24"/>
          <w:szCs w:val="24"/>
        </w:rPr>
        <w:t>[also Chap. 4]</w:t>
      </w:r>
    </w:p>
    <w:p w14:paraId="2AEFC8B7" w14:textId="77777777" w:rsidR="0056123D" w:rsidRDefault="0056123D" w:rsidP="0056123D">
      <w:pPr>
        <w:pStyle w:val="NoSpacing"/>
        <w:rPr>
          <w:rFonts w:ascii="Times New Roman" w:hAnsi="Times New Roman"/>
          <w:sz w:val="24"/>
          <w:szCs w:val="24"/>
        </w:rPr>
      </w:pPr>
    </w:p>
    <w:p w14:paraId="4BF3EB9F" w14:textId="77777777" w:rsidR="0056123D" w:rsidRDefault="0056123D" w:rsidP="0056123D">
      <w:pPr>
        <w:pStyle w:val="NoSpacing"/>
        <w:rPr>
          <w:rFonts w:ascii="Times New Roman" w:hAnsi="Times New Roman"/>
          <w:sz w:val="24"/>
          <w:szCs w:val="24"/>
        </w:rPr>
      </w:pPr>
      <w:r>
        <w:rPr>
          <w:rFonts w:ascii="Times New Roman" w:hAnsi="Times New Roman"/>
          <w:sz w:val="24"/>
          <w:szCs w:val="24"/>
        </w:rPr>
        <w:t xml:space="preserve">On Sept. 8, 2023, in </w:t>
      </w:r>
      <w:r w:rsidRPr="009108A0">
        <w:rPr>
          <w:rFonts w:ascii="Times New Roman" w:hAnsi="Times New Roman"/>
          <w:sz w:val="24"/>
          <w:szCs w:val="24"/>
          <w:u w:val="single"/>
        </w:rPr>
        <w:t>Mark Jordan v. City of Wichita, Kansas, et al.</w:t>
      </w:r>
      <w:r>
        <w:rPr>
          <w:rFonts w:ascii="Times New Roman" w:hAnsi="Times New Roman"/>
          <w:sz w:val="24"/>
          <w:szCs w:val="24"/>
        </w:rPr>
        <w:t xml:space="preserve">, U.S. District Court Judge Daniel D. Crabtree, U.S. District Court for the District of Kansas, granted the City’s motion for summary judgment.  The August 2019 strip mall fire went to two alarms; plaintiff arrived on seventh unit and took command because no one has yet become IC. Plaintiff admitted it didn’t go well and in his </w:t>
      </w:r>
      <w:proofErr w:type="gramStart"/>
      <w:r>
        <w:rPr>
          <w:rFonts w:ascii="Times New Roman" w:hAnsi="Times New Roman"/>
          <w:sz w:val="24"/>
          <w:szCs w:val="24"/>
        </w:rPr>
        <w:t>words</w:t>
      </w:r>
      <w:proofErr w:type="gramEnd"/>
      <w:r>
        <w:rPr>
          <w:rFonts w:ascii="Times New Roman" w:hAnsi="Times New Roman"/>
          <w:sz w:val="24"/>
          <w:szCs w:val="24"/>
        </w:rPr>
        <w:t xml:space="preserve"> it was a “shit show.” Fire Chief Tammy Snow arrived at scene and criticized the Acting Battalion Chief, who was on the second arriving unit, for not taking command.  The Fire Chief ordered that the annual performance review of both the plaintiff and the Acting Battalion Chief document performance concerns at that strip mall fire. </w:t>
      </w:r>
    </w:p>
    <w:p w14:paraId="67A3161D" w14:textId="77777777" w:rsidR="0056123D" w:rsidRDefault="0056123D" w:rsidP="0056123D">
      <w:pPr>
        <w:pStyle w:val="NoSpacing"/>
        <w:rPr>
          <w:rFonts w:ascii="Times New Roman" w:hAnsi="Times New Roman"/>
          <w:sz w:val="24"/>
          <w:szCs w:val="24"/>
        </w:rPr>
      </w:pPr>
    </w:p>
    <w:p w14:paraId="76945131" w14:textId="77777777" w:rsidR="0056123D" w:rsidRPr="00497B07" w:rsidRDefault="0056123D" w:rsidP="0056123D">
      <w:pPr>
        <w:pStyle w:val="NoSpacing"/>
        <w:ind w:firstLine="720"/>
        <w:rPr>
          <w:rFonts w:ascii="Times New Roman" w:hAnsi="Times New Roman"/>
          <w:sz w:val="24"/>
          <w:szCs w:val="24"/>
        </w:rPr>
      </w:pPr>
      <w:r>
        <w:rPr>
          <w:rFonts w:ascii="Times New Roman" w:hAnsi="Times New Roman"/>
          <w:sz w:val="24"/>
          <w:szCs w:val="24"/>
        </w:rPr>
        <w:t>“</w:t>
      </w:r>
      <w:r w:rsidRPr="00497B07">
        <w:rPr>
          <w:rFonts w:ascii="Times New Roman" w:hAnsi="Times New Roman"/>
          <w:sz w:val="24"/>
          <w:szCs w:val="24"/>
        </w:rPr>
        <w:t>In August 2019—before the Acting Battalion Chief debacle—a strip mall on south</w:t>
      </w:r>
    </w:p>
    <w:p w14:paraId="32FBABE7" w14:textId="77777777" w:rsidR="0056123D" w:rsidRDefault="0056123D" w:rsidP="0056123D">
      <w:pPr>
        <w:pStyle w:val="NoSpacing"/>
        <w:ind w:left="720"/>
        <w:rPr>
          <w:rFonts w:ascii="Times New Roman" w:hAnsi="Times New Roman"/>
          <w:sz w:val="24"/>
          <w:szCs w:val="24"/>
        </w:rPr>
      </w:pPr>
      <w:r w:rsidRPr="00497B07">
        <w:rPr>
          <w:rFonts w:ascii="Times New Roman" w:hAnsi="Times New Roman"/>
          <w:sz w:val="24"/>
          <w:szCs w:val="24"/>
        </w:rPr>
        <w:t>Seneca Street caught fire. Doc. 81 at 3 (Pretrial Order ¶ 2.a.x.). WFD Policy provides that the</w:t>
      </w:r>
      <w:r>
        <w:rPr>
          <w:rFonts w:ascii="Times New Roman" w:hAnsi="Times New Roman"/>
          <w:sz w:val="24"/>
          <w:szCs w:val="24"/>
        </w:rPr>
        <w:t xml:space="preserve"> </w:t>
      </w:r>
      <w:r w:rsidRPr="00497B07">
        <w:rPr>
          <w:rFonts w:ascii="Times New Roman" w:hAnsi="Times New Roman"/>
          <w:sz w:val="24"/>
          <w:szCs w:val="24"/>
        </w:rPr>
        <w:t>second fire engine to arrive at a scene should assume command</w:t>
      </w:r>
      <w:r>
        <w:rPr>
          <w:rFonts w:ascii="Times New Roman" w:hAnsi="Times New Roman"/>
          <w:sz w:val="24"/>
          <w:szCs w:val="24"/>
        </w:rPr>
        <w:t xml:space="preserve">…. </w:t>
      </w:r>
      <w:r w:rsidRPr="00497B07">
        <w:rPr>
          <w:rFonts w:ascii="Times New Roman" w:hAnsi="Times New Roman"/>
          <w:sz w:val="24"/>
          <w:szCs w:val="24"/>
        </w:rPr>
        <w:t>Plaintiff was on the seventh unit to arrive at the fire, but no one had assumed command. Id.</w:t>
      </w:r>
      <w:r>
        <w:rPr>
          <w:rFonts w:ascii="Times New Roman" w:hAnsi="Times New Roman"/>
          <w:sz w:val="24"/>
          <w:szCs w:val="24"/>
        </w:rPr>
        <w:t xml:space="preserve"> </w:t>
      </w:r>
      <w:r w:rsidRPr="00497B07">
        <w:rPr>
          <w:rFonts w:ascii="Times New Roman" w:hAnsi="Times New Roman"/>
          <w:sz w:val="24"/>
          <w:szCs w:val="24"/>
        </w:rPr>
        <w:t>So, plaintiff assumed command of the Seneca Street fire</w:t>
      </w:r>
      <w:r>
        <w:rPr>
          <w:rFonts w:ascii="Times New Roman" w:hAnsi="Times New Roman"/>
          <w:sz w:val="24"/>
          <w:szCs w:val="24"/>
        </w:rPr>
        <w:t>….</w:t>
      </w:r>
      <w:r w:rsidRPr="00497B07">
        <w:rPr>
          <w:rFonts w:ascii="Times New Roman" w:hAnsi="Times New Roman"/>
          <w:sz w:val="24"/>
          <w:szCs w:val="24"/>
        </w:rPr>
        <w:t xml:space="preserve"> With seven units already at the scene and assigned, plaintiff, as incident commander, had a</w:t>
      </w:r>
      <w:r>
        <w:rPr>
          <w:rFonts w:ascii="Times New Roman" w:hAnsi="Times New Roman"/>
          <w:sz w:val="24"/>
          <w:szCs w:val="24"/>
        </w:rPr>
        <w:t xml:space="preserve"> </w:t>
      </w:r>
      <w:r w:rsidRPr="00497B07">
        <w:rPr>
          <w:rFonts w:ascii="Times New Roman" w:hAnsi="Times New Roman"/>
          <w:sz w:val="24"/>
          <w:szCs w:val="24"/>
        </w:rPr>
        <w:t>lot of catching up to do</w:t>
      </w:r>
      <w:r>
        <w:rPr>
          <w:rFonts w:ascii="Times New Roman" w:hAnsi="Times New Roman"/>
          <w:sz w:val="24"/>
          <w:szCs w:val="24"/>
        </w:rPr>
        <w:t>….</w:t>
      </w:r>
      <w:r w:rsidRPr="00497B07">
        <w:rPr>
          <w:rFonts w:ascii="Times New Roman" w:hAnsi="Times New Roman"/>
          <w:sz w:val="24"/>
          <w:szCs w:val="24"/>
        </w:rPr>
        <w:t>(After Action Report Tr.). Plaintiff described the scene</w:t>
      </w:r>
      <w:r>
        <w:rPr>
          <w:rFonts w:ascii="Times New Roman" w:hAnsi="Times New Roman"/>
          <w:sz w:val="24"/>
          <w:szCs w:val="24"/>
        </w:rPr>
        <w:t xml:space="preserve"> </w:t>
      </w:r>
      <w:r w:rsidRPr="00497B07">
        <w:rPr>
          <w:rFonts w:ascii="Times New Roman" w:hAnsi="Times New Roman"/>
          <w:sz w:val="24"/>
          <w:szCs w:val="24"/>
        </w:rPr>
        <w:t xml:space="preserve">as a </w:t>
      </w:r>
      <w:r>
        <w:rPr>
          <w:rFonts w:ascii="Times New Roman" w:hAnsi="Times New Roman"/>
          <w:sz w:val="24"/>
          <w:szCs w:val="24"/>
        </w:rPr>
        <w:t>‘</w:t>
      </w:r>
      <w:r w:rsidRPr="00497B07">
        <w:rPr>
          <w:rFonts w:ascii="Times New Roman" w:hAnsi="Times New Roman"/>
          <w:sz w:val="24"/>
          <w:szCs w:val="24"/>
        </w:rPr>
        <w:t>shit show.</w:t>
      </w:r>
      <w:r>
        <w:rPr>
          <w:rFonts w:ascii="Times New Roman" w:hAnsi="Times New Roman"/>
          <w:sz w:val="24"/>
          <w:szCs w:val="24"/>
        </w:rPr>
        <w:t>’</w:t>
      </w:r>
      <w:r w:rsidRPr="00497B07">
        <w:rPr>
          <w:rFonts w:ascii="Times New Roman" w:hAnsi="Times New Roman"/>
          <w:sz w:val="24"/>
          <w:szCs w:val="24"/>
        </w:rPr>
        <w:t xml:space="preserve"> Doc. 86-7 at 49 (Pl. Dep. 200:6–13). Plaintiff acknowledged that he struggled</w:t>
      </w:r>
      <w:r>
        <w:rPr>
          <w:rFonts w:ascii="Times New Roman" w:hAnsi="Times New Roman"/>
          <w:sz w:val="24"/>
          <w:szCs w:val="24"/>
        </w:rPr>
        <w:t xml:space="preserve"> </w:t>
      </w:r>
      <w:r w:rsidRPr="00497B07">
        <w:rPr>
          <w:rFonts w:ascii="Times New Roman" w:hAnsi="Times New Roman"/>
          <w:sz w:val="24"/>
          <w:szCs w:val="24"/>
        </w:rPr>
        <w:t xml:space="preserve">at the scene but </w:t>
      </w:r>
      <w:proofErr w:type="gramStart"/>
      <w:r w:rsidRPr="00497B07">
        <w:rPr>
          <w:rFonts w:ascii="Times New Roman" w:hAnsi="Times New Roman"/>
          <w:sz w:val="24"/>
          <w:szCs w:val="24"/>
        </w:rPr>
        <w:t>believes</w:t>
      </w:r>
      <w:proofErr w:type="gramEnd"/>
      <w:r w:rsidRPr="00497B07">
        <w:rPr>
          <w:rFonts w:ascii="Times New Roman" w:hAnsi="Times New Roman"/>
          <w:sz w:val="24"/>
          <w:szCs w:val="24"/>
        </w:rPr>
        <w:t xml:space="preserve"> that anyone in the same situation would have struggled. </w:t>
      </w:r>
    </w:p>
    <w:p w14:paraId="7BFE945B" w14:textId="77777777" w:rsidR="0056123D" w:rsidRDefault="0056123D" w:rsidP="0056123D">
      <w:pPr>
        <w:pStyle w:val="NoSpacing"/>
        <w:ind w:left="720"/>
        <w:rPr>
          <w:rFonts w:ascii="Times New Roman" w:hAnsi="Times New Roman"/>
          <w:sz w:val="24"/>
          <w:szCs w:val="24"/>
        </w:rPr>
      </w:pPr>
    </w:p>
    <w:p w14:paraId="708E6649" w14:textId="77777777" w:rsidR="0056123D" w:rsidRDefault="0056123D" w:rsidP="0056123D">
      <w:pPr>
        <w:pStyle w:val="NoSpacing"/>
        <w:ind w:left="720"/>
        <w:rPr>
          <w:rFonts w:ascii="Times New Roman" w:hAnsi="Times New Roman"/>
          <w:sz w:val="24"/>
          <w:szCs w:val="24"/>
        </w:rPr>
      </w:pPr>
      <w:r>
        <w:rPr>
          <w:rFonts w:ascii="Times New Roman" w:hAnsi="Times New Roman"/>
          <w:sz w:val="24"/>
          <w:szCs w:val="24"/>
        </w:rPr>
        <w:t>***</w:t>
      </w:r>
    </w:p>
    <w:p w14:paraId="21F6E8D8" w14:textId="77777777" w:rsidR="0056123D" w:rsidRDefault="0056123D" w:rsidP="0056123D">
      <w:pPr>
        <w:pStyle w:val="NoSpacing"/>
        <w:ind w:left="720"/>
        <w:rPr>
          <w:rFonts w:ascii="Times New Roman" w:hAnsi="Times New Roman"/>
          <w:sz w:val="24"/>
          <w:szCs w:val="24"/>
        </w:rPr>
      </w:pPr>
    </w:p>
    <w:p w14:paraId="184F76B8" w14:textId="77777777" w:rsidR="0056123D" w:rsidRPr="00C20869" w:rsidRDefault="0056123D" w:rsidP="0056123D">
      <w:pPr>
        <w:pStyle w:val="NoSpacing"/>
        <w:ind w:firstLine="720"/>
        <w:rPr>
          <w:rFonts w:ascii="Times New Roman" w:hAnsi="Times New Roman"/>
          <w:sz w:val="24"/>
          <w:szCs w:val="24"/>
        </w:rPr>
      </w:pPr>
      <w:r w:rsidRPr="00C20869">
        <w:rPr>
          <w:rFonts w:ascii="Times New Roman" w:hAnsi="Times New Roman"/>
          <w:sz w:val="24"/>
          <w:szCs w:val="24"/>
        </w:rPr>
        <w:t xml:space="preserve">Here, Chief Snow asked Pavelski to review plaintiff’s second evaluation </w:t>
      </w:r>
      <w:r>
        <w:rPr>
          <w:rFonts w:ascii="Times New Roman" w:hAnsi="Times New Roman"/>
          <w:sz w:val="24"/>
          <w:szCs w:val="24"/>
        </w:rPr>
        <w:t>‘</w:t>
      </w:r>
      <w:r w:rsidRPr="00C20869">
        <w:rPr>
          <w:rFonts w:ascii="Times New Roman" w:hAnsi="Times New Roman"/>
          <w:sz w:val="24"/>
          <w:szCs w:val="24"/>
        </w:rPr>
        <w:t>for accuracy</w:t>
      </w:r>
      <w:r>
        <w:rPr>
          <w:rFonts w:ascii="Times New Roman" w:hAnsi="Times New Roman"/>
          <w:sz w:val="24"/>
          <w:szCs w:val="24"/>
        </w:rPr>
        <w:t>.’</w:t>
      </w:r>
    </w:p>
    <w:p w14:paraId="3B8A38ED" w14:textId="77777777" w:rsidR="0056123D" w:rsidRPr="00C20869" w:rsidRDefault="0056123D" w:rsidP="0056123D">
      <w:pPr>
        <w:pStyle w:val="NoSpacing"/>
        <w:ind w:firstLine="720"/>
        <w:rPr>
          <w:rFonts w:ascii="Times New Roman" w:hAnsi="Times New Roman"/>
          <w:sz w:val="24"/>
          <w:szCs w:val="24"/>
        </w:rPr>
      </w:pPr>
      <w:r w:rsidRPr="00C20869">
        <w:rPr>
          <w:rFonts w:ascii="Times New Roman" w:hAnsi="Times New Roman"/>
          <w:sz w:val="24"/>
          <w:szCs w:val="24"/>
        </w:rPr>
        <w:t xml:space="preserve">Doc. 86-19 (Snow, Aug. 11, </w:t>
      </w:r>
      <w:proofErr w:type="gramStart"/>
      <w:r w:rsidRPr="00C20869">
        <w:rPr>
          <w:rFonts w:ascii="Times New Roman" w:hAnsi="Times New Roman"/>
          <w:sz w:val="24"/>
          <w:szCs w:val="24"/>
        </w:rPr>
        <w:t>2020</w:t>
      </w:r>
      <w:proofErr w:type="gramEnd"/>
      <w:r w:rsidRPr="00C20869">
        <w:rPr>
          <w:rFonts w:ascii="Times New Roman" w:hAnsi="Times New Roman"/>
          <w:sz w:val="24"/>
          <w:szCs w:val="24"/>
        </w:rPr>
        <w:t xml:space="preserve"> Email). Chief Snow wanted Pavelski to add a </w:t>
      </w:r>
      <w:r>
        <w:rPr>
          <w:rFonts w:ascii="Times New Roman" w:hAnsi="Times New Roman"/>
          <w:sz w:val="24"/>
          <w:szCs w:val="24"/>
        </w:rPr>
        <w:t>‘</w:t>
      </w:r>
      <w:r w:rsidRPr="00C20869">
        <w:rPr>
          <w:rFonts w:ascii="Times New Roman" w:hAnsi="Times New Roman"/>
          <w:sz w:val="24"/>
          <w:szCs w:val="24"/>
        </w:rPr>
        <w:t>note of</w:t>
      </w:r>
    </w:p>
    <w:p w14:paraId="40B6ABE6" w14:textId="77777777" w:rsidR="0056123D" w:rsidRDefault="0056123D" w:rsidP="0056123D">
      <w:pPr>
        <w:pStyle w:val="NoSpacing"/>
        <w:ind w:left="720"/>
        <w:rPr>
          <w:rFonts w:ascii="Times New Roman" w:hAnsi="Times New Roman"/>
          <w:sz w:val="24"/>
          <w:szCs w:val="24"/>
        </w:rPr>
      </w:pPr>
      <w:r w:rsidRPr="00C20869">
        <w:rPr>
          <w:rFonts w:ascii="Times New Roman" w:hAnsi="Times New Roman"/>
          <w:sz w:val="24"/>
          <w:szCs w:val="24"/>
        </w:rPr>
        <w:t>Accountability</w:t>
      </w:r>
      <w:r>
        <w:rPr>
          <w:rFonts w:ascii="Times New Roman" w:hAnsi="Times New Roman"/>
          <w:sz w:val="24"/>
          <w:szCs w:val="24"/>
        </w:rPr>
        <w:t>’</w:t>
      </w:r>
      <w:r w:rsidRPr="00C20869">
        <w:rPr>
          <w:rFonts w:ascii="Times New Roman" w:hAnsi="Times New Roman"/>
          <w:sz w:val="24"/>
          <w:szCs w:val="24"/>
        </w:rPr>
        <w:t xml:space="preserve"> about plaintiff’s performance at the Seneca Street Fire. Doc. 86-3 at 19 (Snow</w:t>
      </w:r>
      <w:r>
        <w:rPr>
          <w:rFonts w:ascii="Times New Roman" w:hAnsi="Times New Roman"/>
          <w:sz w:val="24"/>
          <w:szCs w:val="24"/>
        </w:rPr>
        <w:t xml:space="preserve"> </w:t>
      </w:r>
      <w:r w:rsidRPr="00C20869">
        <w:rPr>
          <w:rFonts w:ascii="Times New Roman" w:hAnsi="Times New Roman"/>
          <w:sz w:val="24"/>
          <w:szCs w:val="24"/>
        </w:rPr>
        <w:t>Dep. 58:4–11).</w:t>
      </w:r>
    </w:p>
    <w:p w14:paraId="3AED5B31" w14:textId="77777777" w:rsidR="0056123D" w:rsidRDefault="0056123D" w:rsidP="0056123D">
      <w:pPr>
        <w:pStyle w:val="NoSpacing"/>
        <w:ind w:left="720"/>
        <w:rPr>
          <w:rFonts w:ascii="Times New Roman" w:hAnsi="Times New Roman"/>
          <w:sz w:val="24"/>
          <w:szCs w:val="24"/>
        </w:rPr>
      </w:pPr>
    </w:p>
    <w:p w14:paraId="3ED028F6" w14:textId="77777777" w:rsidR="0056123D" w:rsidRDefault="0056123D" w:rsidP="0056123D">
      <w:pPr>
        <w:pStyle w:val="NoSpacing"/>
        <w:ind w:left="720"/>
        <w:rPr>
          <w:rFonts w:ascii="Times New Roman" w:hAnsi="Times New Roman"/>
          <w:sz w:val="24"/>
          <w:szCs w:val="24"/>
        </w:rPr>
      </w:pPr>
      <w:r>
        <w:rPr>
          <w:rFonts w:ascii="Times New Roman" w:hAnsi="Times New Roman"/>
          <w:sz w:val="24"/>
          <w:szCs w:val="24"/>
        </w:rPr>
        <w:t>***</w:t>
      </w:r>
    </w:p>
    <w:p w14:paraId="52C04E1E" w14:textId="77777777" w:rsidR="0056123D" w:rsidRDefault="0056123D" w:rsidP="0056123D">
      <w:pPr>
        <w:pStyle w:val="NoSpacing"/>
        <w:ind w:left="720"/>
        <w:rPr>
          <w:rFonts w:ascii="Times New Roman" w:hAnsi="Times New Roman"/>
          <w:sz w:val="24"/>
          <w:szCs w:val="24"/>
        </w:rPr>
      </w:pPr>
    </w:p>
    <w:p w14:paraId="3681AC31" w14:textId="77777777" w:rsidR="0056123D" w:rsidRPr="00C20869" w:rsidRDefault="0056123D" w:rsidP="0056123D">
      <w:pPr>
        <w:pStyle w:val="NoSpacing"/>
        <w:ind w:firstLine="720"/>
        <w:rPr>
          <w:rFonts w:ascii="Times New Roman" w:hAnsi="Times New Roman"/>
          <w:sz w:val="24"/>
          <w:szCs w:val="24"/>
        </w:rPr>
      </w:pPr>
      <w:r w:rsidRPr="00C20869">
        <w:rPr>
          <w:rFonts w:ascii="Times New Roman" w:hAnsi="Times New Roman"/>
          <w:sz w:val="24"/>
          <w:szCs w:val="24"/>
        </w:rPr>
        <w:t xml:space="preserve">And plaintiff acknowledged that the Seneca Street Fire was a </w:t>
      </w:r>
      <w:r>
        <w:rPr>
          <w:rFonts w:ascii="Times New Roman" w:hAnsi="Times New Roman"/>
          <w:sz w:val="24"/>
          <w:szCs w:val="24"/>
        </w:rPr>
        <w:t>‘</w:t>
      </w:r>
      <w:r w:rsidRPr="00C20869">
        <w:rPr>
          <w:rFonts w:ascii="Times New Roman" w:hAnsi="Times New Roman"/>
          <w:sz w:val="24"/>
          <w:szCs w:val="24"/>
        </w:rPr>
        <w:t>shit show,</w:t>
      </w:r>
      <w:r>
        <w:rPr>
          <w:rFonts w:ascii="Times New Roman" w:hAnsi="Times New Roman"/>
          <w:sz w:val="24"/>
          <w:szCs w:val="24"/>
        </w:rPr>
        <w:t xml:space="preserve">’ </w:t>
      </w:r>
      <w:r w:rsidRPr="00C20869">
        <w:rPr>
          <w:rFonts w:ascii="Times New Roman" w:hAnsi="Times New Roman"/>
          <w:sz w:val="24"/>
          <w:szCs w:val="24"/>
        </w:rPr>
        <w:t>Doc.</w:t>
      </w:r>
    </w:p>
    <w:p w14:paraId="27B79EBB" w14:textId="77777777" w:rsidR="0056123D" w:rsidRDefault="0056123D" w:rsidP="0056123D">
      <w:pPr>
        <w:pStyle w:val="NoSpacing"/>
        <w:ind w:left="720"/>
        <w:rPr>
          <w:rFonts w:ascii="Times New Roman" w:hAnsi="Times New Roman"/>
          <w:sz w:val="24"/>
          <w:szCs w:val="24"/>
        </w:rPr>
      </w:pPr>
      <w:r w:rsidRPr="00C20869">
        <w:rPr>
          <w:rFonts w:ascii="Times New Roman" w:hAnsi="Times New Roman"/>
          <w:sz w:val="24"/>
          <w:szCs w:val="24"/>
        </w:rPr>
        <w:t>86-7 at 49 (Pl. Dep. 200:6–13), and that he struggled at the scene, id. at 50 (Pl. Dep. 202:4–13).</w:t>
      </w:r>
      <w:r>
        <w:rPr>
          <w:rFonts w:ascii="Times New Roman" w:hAnsi="Times New Roman"/>
          <w:sz w:val="24"/>
          <w:szCs w:val="24"/>
        </w:rPr>
        <w:t xml:space="preserve"> </w:t>
      </w:r>
      <w:r w:rsidRPr="00C20869">
        <w:rPr>
          <w:rFonts w:ascii="Times New Roman" w:hAnsi="Times New Roman"/>
          <w:sz w:val="24"/>
          <w:szCs w:val="24"/>
        </w:rPr>
        <w:t>Defendants’ reason for altering plaintiff’s review is not facially prohibited—</w:t>
      </w:r>
      <w:proofErr w:type="gramStart"/>
      <w:r w:rsidRPr="00C20869">
        <w:rPr>
          <w:rFonts w:ascii="Times New Roman" w:hAnsi="Times New Roman"/>
          <w:sz w:val="24"/>
          <w:szCs w:val="24"/>
        </w:rPr>
        <w:t>so,</w:t>
      </w:r>
      <w:proofErr w:type="gramEnd"/>
      <w:r w:rsidRPr="00C20869">
        <w:rPr>
          <w:rFonts w:ascii="Times New Roman" w:hAnsi="Times New Roman"/>
          <w:sz w:val="24"/>
          <w:szCs w:val="24"/>
        </w:rPr>
        <w:t xml:space="preserve"> defendants have</w:t>
      </w:r>
      <w:r>
        <w:rPr>
          <w:rFonts w:ascii="Times New Roman" w:hAnsi="Times New Roman"/>
          <w:sz w:val="24"/>
          <w:szCs w:val="24"/>
        </w:rPr>
        <w:t xml:space="preserve"> </w:t>
      </w:r>
      <w:r w:rsidRPr="00C20869">
        <w:rPr>
          <w:rFonts w:ascii="Times New Roman" w:hAnsi="Times New Roman"/>
          <w:sz w:val="24"/>
          <w:szCs w:val="24"/>
        </w:rPr>
        <w:t>satisfied their burden at this step. Also, plaintiff doesn’t argue that defendants have failed to</w:t>
      </w:r>
      <w:r>
        <w:rPr>
          <w:rFonts w:ascii="Times New Roman" w:hAnsi="Times New Roman"/>
          <w:sz w:val="24"/>
          <w:szCs w:val="24"/>
        </w:rPr>
        <w:t xml:space="preserve"> </w:t>
      </w:r>
      <w:r w:rsidRPr="00C20869">
        <w:rPr>
          <w:rFonts w:ascii="Times New Roman" w:hAnsi="Times New Roman"/>
          <w:sz w:val="24"/>
          <w:szCs w:val="24"/>
        </w:rPr>
        <w:t>proffer a legitimate, non-discriminatory reason for modifying his performance evaluation. See</w:t>
      </w:r>
      <w:r>
        <w:rPr>
          <w:rFonts w:ascii="Times New Roman" w:hAnsi="Times New Roman"/>
          <w:sz w:val="24"/>
          <w:szCs w:val="24"/>
        </w:rPr>
        <w:t xml:space="preserve"> </w:t>
      </w:r>
      <w:r w:rsidRPr="00C20869">
        <w:rPr>
          <w:rFonts w:ascii="Times New Roman" w:hAnsi="Times New Roman"/>
          <w:sz w:val="24"/>
          <w:szCs w:val="24"/>
        </w:rPr>
        <w:t>generally Doc. 91. Defendants simply wanted plaintiff’s performance evaluation to include</w:t>
      </w:r>
      <w:r>
        <w:rPr>
          <w:rFonts w:ascii="Times New Roman" w:hAnsi="Times New Roman"/>
          <w:sz w:val="24"/>
          <w:szCs w:val="24"/>
        </w:rPr>
        <w:t xml:space="preserve"> </w:t>
      </w:r>
      <w:r w:rsidRPr="00C20869">
        <w:rPr>
          <w:rFonts w:ascii="Times New Roman" w:hAnsi="Times New Roman"/>
          <w:sz w:val="24"/>
          <w:szCs w:val="24"/>
        </w:rPr>
        <w:t>information about the Seneca Street Fire. This showing qualifies as a legitimate,</w:t>
      </w:r>
      <w:r>
        <w:rPr>
          <w:rFonts w:ascii="Times New Roman" w:hAnsi="Times New Roman"/>
          <w:sz w:val="24"/>
          <w:szCs w:val="24"/>
        </w:rPr>
        <w:t xml:space="preserve"> </w:t>
      </w:r>
      <w:r w:rsidRPr="00C20869">
        <w:rPr>
          <w:rFonts w:ascii="Times New Roman" w:hAnsi="Times New Roman"/>
          <w:sz w:val="24"/>
          <w:szCs w:val="24"/>
        </w:rPr>
        <w:t>nondiscriminatory reason satisfactory to discharge the City’s burden at step two.</w:t>
      </w:r>
    </w:p>
    <w:p w14:paraId="4A5137FC" w14:textId="77777777" w:rsidR="0056123D" w:rsidRDefault="0056123D" w:rsidP="0056123D">
      <w:pPr>
        <w:pStyle w:val="NoSpacing"/>
        <w:ind w:left="720"/>
        <w:rPr>
          <w:rFonts w:ascii="Times New Roman" w:hAnsi="Times New Roman"/>
          <w:sz w:val="24"/>
          <w:szCs w:val="24"/>
        </w:rPr>
      </w:pPr>
    </w:p>
    <w:p w14:paraId="28DDA666" w14:textId="77777777" w:rsidR="0056123D" w:rsidRDefault="0056123D" w:rsidP="0056123D">
      <w:pPr>
        <w:pStyle w:val="NoSpacing"/>
        <w:ind w:left="720"/>
        <w:rPr>
          <w:rFonts w:ascii="Times New Roman" w:hAnsi="Times New Roman"/>
          <w:sz w:val="24"/>
          <w:szCs w:val="24"/>
        </w:rPr>
      </w:pPr>
      <w:r>
        <w:rPr>
          <w:rFonts w:ascii="Times New Roman" w:hAnsi="Times New Roman"/>
          <w:sz w:val="24"/>
          <w:szCs w:val="24"/>
        </w:rPr>
        <w:t>***</w:t>
      </w:r>
    </w:p>
    <w:p w14:paraId="5A456774" w14:textId="77777777" w:rsidR="0056123D" w:rsidRDefault="0056123D" w:rsidP="0056123D">
      <w:pPr>
        <w:pStyle w:val="NoSpacing"/>
        <w:ind w:firstLine="720"/>
        <w:rPr>
          <w:rFonts w:ascii="Times New Roman" w:hAnsi="Times New Roman"/>
          <w:sz w:val="24"/>
          <w:szCs w:val="24"/>
        </w:rPr>
      </w:pPr>
      <w:r>
        <w:rPr>
          <w:rFonts w:ascii="Times New Roman" w:hAnsi="Times New Roman"/>
          <w:sz w:val="24"/>
          <w:szCs w:val="24"/>
        </w:rPr>
        <w:t>T</w:t>
      </w:r>
      <w:r w:rsidRPr="00C20869">
        <w:rPr>
          <w:rFonts w:ascii="Times New Roman" w:hAnsi="Times New Roman"/>
          <w:sz w:val="24"/>
          <w:szCs w:val="24"/>
        </w:rPr>
        <w:t>he court concludes, instead, that plaintiff has failed to present triable issues of race</w:t>
      </w:r>
    </w:p>
    <w:p w14:paraId="339EA329" w14:textId="77777777" w:rsidR="0056123D" w:rsidRDefault="0056123D" w:rsidP="0056123D">
      <w:pPr>
        <w:pStyle w:val="NoSpacing"/>
        <w:ind w:left="720"/>
        <w:rPr>
          <w:rFonts w:ascii="Times New Roman" w:hAnsi="Times New Roman"/>
          <w:sz w:val="24"/>
          <w:szCs w:val="24"/>
        </w:rPr>
      </w:pPr>
      <w:r w:rsidRPr="00C20869">
        <w:rPr>
          <w:rFonts w:ascii="Times New Roman" w:hAnsi="Times New Roman"/>
          <w:sz w:val="24"/>
          <w:szCs w:val="24"/>
        </w:rPr>
        <w:lastRenderedPageBreak/>
        <w:t>discrimination and retaliation, so it declines to invoke its supplemental jurisdiction over the state</w:t>
      </w:r>
      <w:r>
        <w:rPr>
          <w:rFonts w:ascii="Times New Roman" w:hAnsi="Times New Roman"/>
          <w:sz w:val="24"/>
          <w:szCs w:val="24"/>
        </w:rPr>
        <w:t xml:space="preserve"> </w:t>
      </w:r>
      <w:r w:rsidRPr="00C20869">
        <w:rPr>
          <w:rFonts w:ascii="Times New Roman" w:hAnsi="Times New Roman"/>
          <w:sz w:val="24"/>
          <w:szCs w:val="24"/>
        </w:rPr>
        <w:t>law claims under 28 U.S.C.§ 1367(c)(3).</w:t>
      </w:r>
      <w:r>
        <w:rPr>
          <w:rFonts w:ascii="Times New Roman" w:hAnsi="Times New Roman"/>
          <w:sz w:val="24"/>
          <w:szCs w:val="24"/>
        </w:rPr>
        <w:t xml:space="preserve">”  </w:t>
      </w:r>
      <w:hyperlink r:id="rId885" w:history="1">
        <w:r w:rsidRPr="002833D6">
          <w:rPr>
            <w:rStyle w:val="Hyperlink"/>
            <w:rFonts w:ascii="Times New Roman" w:hAnsi="Times New Roman"/>
            <w:sz w:val="24"/>
            <w:szCs w:val="24"/>
          </w:rPr>
          <w:t>https://cases.justia.com/federal/district-courts/kansas/ksdce/6:2022cv01032/140026/96/0.pdf?ts=1694273736</w:t>
        </w:r>
      </w:hyperlink>
      <w:r>
        <w:rPr>
          <w:rFonts w:ascii="Times New Roman" w:hAnsi="Times New Roman"/>
          <w:sz w:val="24"/>
          <w:szCs w:val="24"/>
        </w:rPr>
        <w:t xml:space="preserve"> </w:t>
      </w:r>
    </w:p>
    <w:p w14:paraId="2E279ACA" w14:textId="77777777" w:rsidR="00AC3E10" w:rsidRDefault="00AC3E10" w:rsidP="00AC3E10">
      <w:pPr>
        <w:pStyle w:val="NoSpacing"/>
        <w:rPr>
          <w:rFonts w:ascii="Times New Roman" w:hAnsi="Times New Roman"/>
          <w:b/>
          <w:bCs/>
          <w:sz w:val="24"/>
          <w:szCs w:val="24"/>
        </w:rPr>
      </w:pPr>
    </w:p>
    <w:p w14:paraId="15C3BA2A" w14:textId="59265213" w:rsidR="00AC3E10" w:rsidRPr="0000521D" w:rsidRDefault="00AC3E10" w:rsidP="00AC3E10">
      <w:pPr>
        <w:pStyle w:val="NoSpacing"/>
        <w:rPr>
          <w:rFonts w:ascii="Times New Roman" w:hAnsi="Times New Roman"/>
          <w:b/>
          <w:bCs/>
          <w:sz w:val="24"/>
          <w:szCs w:val="24"/>
        </w:rPr>
      </w:pPr>
      <w:r w:rsidRPr="0000521D">
        <w:rPr>
          <w:rFonts w:ascii="Times New Roman" w:hAnsi="Times New Roman"/>
          <w:b/>
          <w:bCs/>
          <w:sz w:val="24"/>
          <w:szCs w:val="24"/>
        </w:rPr>
        <w:t>Legal Lesson Learned:</w:t>
      </w:r>
      <w:r>
        <w:rPr>
          <w:rFonts w:ascii="Times New Roman" w:hAnsi="Times New Roman"/>
          <w:b/>
          <w:bCs/>
          <w:sz w:val="24"/>
          <w:szCs w:val="24"/>
        </w:rPr>
        <w:t xml:space="preserve"> Fire Chief properly ordered the annual performance review </w:t>
      </w:r>
      <w:proofErr w:type="gramStart"/>
      <w:r>
        <w:rPr>
          <w:rFonts w:ascii="Times New Roman" w:hAnsi="Times New Roman"/>
          <w:b/>
          <w:bCs/>
          <w:sz w:val="24"/>
          <w:szCs w:val="24"/>
        </w:rPr>
        <w:t>include</w:t>
      </w:r>
      <w:proofErr w:type="gramEnd"/>
      <w:r>
        <w:rPr>
          <w:rFonts w:ascii="Times New Roman" w:hAnsi="Times New Roman"/>
          <w:b/>
          <w:bCs/>
          <w:sz w:val="24"/>
          <w:szCs w:val="24"/>
        </w:rPr>
        <w:t xml:space="preserve"> reference to IC issues at strip mall fire.  </w:t>
      </w:r>
    </w:p>
    <w:p w14:paraId="57C7598F" w14:textId="77777777" w:rsidR="00AC3E10" w:rsidRDefault="00AC3E10" w:rsidP="002B1283">
      <w:pPr>
        <w:rPr>
          <w:rStyle w:val="Hyperlink"/>
          <w:rFonts w:ascii="Arial Black" w:hAnsi="Arial Black"/>
          <w:b/>
          <w:color w:val="auto"/>
          <w:sz w:val="24"/>
          <w:szCs w:val="24"/>
          <w:u w:val="none"/>
        </w:rPr>
      </w:pPr>
    </w:p>
    <w:p w14:paraId="5F45B531" w14:textId="77777777" w:rsidR="0056123D" w:rsidRDefault="0056123D" w:rsidP="002B1283">
      <w:pPr>
        <w:rPr>
          <w:rStyle w:val="Hyperlink"/>
          <w:rFonts w:ascii="Arial Black" w:hAnsi="Arial Black"/>
          <w:b/>
          <w:color w:val="auto"/>
          <w:sz w:val="24"/>
          <w:szCs w:val="24"/>
          <w:u w:val="none"/>
        </w:rPr>
      </w:pPr>
    </w:p>
    <w:p w14:paraId="27E17CB9" w14:textId="05CB31E4" w:rsidR="009B0593" w:rsidRDefault="009B0593" w:rsidP="002B1283">
      <w:pPr>
        <w:rPr>
          <w:rStyle w:val="Hyperlink"/>
          <w:rFonts w:ascii="Arial Black" w:hAnsi="Arial Black"/>
          <w:b/>
          <w:color w:val="auto"/>
          <w:sz w:val="24"/>
          <w:szCs w:val="24"/>
          <w:u w:val="none"/>
        </w:rPr>
      </w:pPr>
      <w:r>
        <w:rPr>
          <w:rStyle w:val="Hyperlink"/>
          <w:rFonts w:ascii="Arial Black" w:hAnsi="Arial Black"/>
          <w:b/>
          <w:color w:val="auto"/>
          <w:sz w:val="24"/>
          <w:szCs w:val="24"/>
          <w:u w:val="none"/>
        </w:rPr>
        <w:t>4-30</w:t>
      </w:r>
    </w:p>
    <w:p w14:paraId="40A8EE8E" w14:textId="77777777" w:rsidR="009B0593" w:rsidRDefault="009B0593" w:rsidP="009B0593">
      <w:pPr>
        <w:pStyle w:val="NormalWeb"/>
        <w:rPr>
          <w:rFonts w:ascii="Arial Black" w:hAnsi="Arial Black"/>
          <w:sz w:val="28"/>
          <w:szCs w:val="28"/>
        </w:rPr>
      </w:pPr>
      <w:r>
        <w:rPr>
          <w:rFonts w:ascii="Arial Black" w:hAnsi="Arial Black"/>
          <w:sz w:val="28"/>
          <w:szCs w:val="28"/>
        </w:rPr>
        <w:t>MD: 46-YR OLD RECRUIT – TERMINATED AT END OF RECRUIT CLASS – POOR PERFORMANCE DOCUMENTED</w:t>
      </w:r>
    </w:p>
    <w:p w14:paraId="2BD489DD" w14:textId="77777777" w:rsidR="009B0593" w:rsidRPr="00BD0E49" w:rsidRDefault="009B0593" w:rsidP="009B0593">
      <w:pPr>
        <w:pStyle w:val="NormalWeb"/>
      </w:pPr>
      <w:r w:rsidRPr="00BD0E49">
        <w:t xml:space="preserve">On Aug. 17, 2023, in </w:t>
      </w:r>
      <w:r w:rsidRPr="00BF2C69">
        <w:rPr>
          <w:u w:val="single"/>
        </w:rPr>
        <w:t>Robert D. Whittaker v. Howard County, Maryland</w:t>
      </w:r>
      <w:r w:rsidRPr="00BD0E49">
        <w:t>, Chief U.S. Magistrate Judge Beth P. Gesner granted summary judgment to the County</w:t>
      </w:r>
      <w:r>
        <w:t xml:space="preserve">, holding that the FD provided detailed training records showing that the </w:t>
      </w:r>
      <w:proofErr w:type="gramStart"/>
      <w:r>
        <w:t>46-year old</w:t>
      </w:r>
      <w:proofErr w:type="gramEnd"/>
      <w:r>
        <w:t xml:space="preserve"> FF was not meeting legitimate performance expectations. The plaintiff failed to prove the FD discriminated against him </w:t>
      </w:r>
      <w:proofErr w:type="gramStart"/>
      <w:r>
        <w:t>on the basis of</w:t>
      </w:r>
      <w:proofErr w:type="gramEnd"/>
      <w:r>
        <w:t xml:space="preserve"> age. </w:t>
      </w:r>
    </w:p>
    <w:p w14:paraId="13B9B9AE" w14:textId="77777777" w:rsidR="009B0593" w:rsidRDefault="009B0593" w:rsidP="009B0593">
      <w:pPr>
        <w:pStyle w:val="NormalWeb"/>
      </w:pPr>
      <w:r>
        <w:tab/>
        <w:t xml:space="preserve">The Magistrate wrote: </w:t>
      </w:r>
    </w:p>
    <w:p w14:paraId="57150C3F" w14:textId="77777777" w:rsidR="009B0593" w:rsidRDefault="009B0593" w:rsidP="009B0593">
      <w:pPr>
        <w:pStyle w:val="NormalWeb"/>
        <w:ind w:left="720"/>
      </w:pPr>
      <w:r>
        <w:t xml:space="preserve">“Defendant, on the other hand, offers Student Counseling/Status Report Forms and contemporaneous email exchanges between Academy trainers as evidence that plaintiff was not meeting the Department's legitimate expectations at the time of his termination. (ECF Nos. 25-8 to 25-18). Specifically, defendant identifies numerous examples of plaintiff's poor performance. </w:t>
      </w:r>
    </w:p>
    <w:p w14:paraId="5D83A407" w14:textId="77777777" w:rsidR="009B0593" w:rsidRDefault="009B0593" w:rsidP="009B0593">
      <w:pPr>
        <w:pStyle w:val="NormalWeb"/>
        <w:ind w:left="720"/>
      </w:pPr>
      <w:r>
        <w:t>***</w:t>
      </w:r>
    </w:p>
    <w:p w14:paraId="1E3883E6" w14:textId="77777777" w:rsidR="009B0593" w:rsidRDefault="009B0593" w:rsidP="009B0593">
      <w:pPr>
        <w:pStyle w:val="NormalWeb"/>
        <w:ind w:left="720"/>
      </w:pPr>
      <w:r>
        <w:t xml:space="preserve">Several members of Academy staff produced recommendations in support of plaintiff's termination based upon plaintiff's deficiencies in </w:t>
      </w:r>
      <w:proofErr w:type="gramStart"/>
      <w:r>
        <w:t>a number of</w:t>
      </w:r>
      <w:proofErr w:type="gramEnd"/>
      <w:r>
        <w:t xml:space="preserve"> areas. (ECF Nos. 25-11 at 3, 25-17, 25-18, 25-19). Plaintiff's own belief that he was performing </w:t>
      </w:r>
      <w:proofErr w:type="gramStart"/>
      <w:r>
        <w:t>effectively</w:t>
      </w:r>
      <w:proofErr w:type="gramEnd"/>
      <w:r>
        <w:t xml:space="preserve"> and the opinion of his fellow trainees are insufficient to call into question defendant's reasons for terminating plaintiff. In sum, plaintiff has failed to establish that his age was the ‘but-for cause’ of his termination and that defendant's stated, non-discriminatory reasons for plaintiff's termination were a pretext for discrimination. </w:t>
      </w:r>
      <w:r>
        <w:rPr>
          <w:i/>
          <w:iCs/>
        </w:rPr>
        <w:t>See Gross,</w:t>
      </w:r>
      <w:r>
        <w:t xml:space="preserve"> </w:t>
      </w:r>
      <w:hyperlink r:id="rId886" w:anchor="p176" w:history="1">
        <w:r>
          <w:rPr>
            <w:rStyle w:val="Hyperlink"/>
            <w:rFonts w:eastAsiaTheme="majorEastAsia"/>
          </w:rPr>
          <w:t>557 U.S. at 176</w:t>
        </w:r>
      </w:hyperlink>
      <w:r>
        <w:t xml:space="preserve"> (plaintiff </w:t>
      </w:r>
      <w:proofErr w:type="gramStart"/>
      <w:r>
        <w:t>has to</w:t>
      </w:r>
      <w:proofErr w:type="gramEnd"/>
      <w:r>
        <w:t xml:space="preserve"> show ‘by a preponderance of the evidence,’ that age was the ‘but-for cause’ of his discharge). Thus, plaintiff has failed to offer evidence to create a genuine factual dispute as to whether his employer discriminated against him </w:t>
      </w:r>
      <w:proofErr w:type="gramStart"/>
      <w:r>
        <w:t>on the basis of</w:t>
      </w:r>
      <w:proofErr w:type="gramEnd"/>
      <w:r>
        <w:t xml:space="preserve"> age.” </w:t>
      </w:r>
      <w:hyperlink r:id="rId887" w:history="1">
        <w:r w:rsidRPr="00CD12AF">
          <w:rPr>
            <w:rStyle w:val="Hyperlink"/>
            <w:rFonts w:eastAsiaTheme="majorEastAsia"/>
          </w:rPr>
          <w:t>https://casetext.com/case/whittaker-v-howard-cnty-md</w:t>
        </w:r>
      </w:hyperlink>
      <w:r>
        <w:t xml:space="preserve"> </w:t>
      </w:r>
    </w:p>
    <w:p w14:paraId="75004E89" w14:textId="77777777" w:rsidR="009B0593" w:rsidRPr="00BF2C69" w:rsidRDefault="009B0593" w:rsidP="009B0593">
      <w:pPr>
        <w:spacing w:before="100" w:beforeAutospacing="1" w:after="100" w:afterAutospacing="1" w:line="240" w:lineRule="auto"/>
        <w:rPr>
          <w:rFonts w:ascii="Times New Roman" w:eastAsia="Times New Roman" w:hAnsi="Times New Roman"/>
          <w:b/>
          <w:bCs/>
          <w:sz w:val="24"/>
          <w:szCs w:val="24"/>
        </w:rPr>
      </w:pPr>
      <w:r w:rsidRPr="00BF2C69">
        <w:rPr>
          <w:rFonts w:ascii="Times New Roman" w:eastAsia="Times New Roman" w:hAnsi="Times New Roman"/>
          <w:b/>
          <w:bCs/>
          <w:sz w:val="24"/>
          <w:szCs w:val="24"/>
        </w:rPr>
        <w:t xml:space="preserve">Legal Lesson Learned: </w:t>
      </w:r>
      <w:r>
        <w:rPr>
          <w:rFonts w:ascii="Times New Roman" w:eastAsia="Times New Roman" w:hAnsi="Times New Roman"/>
          <w:b/>
          <w:bCs/>
          <w:sz w:val="24"/>
          <w:szCs w:val="24"/>
        </w:rPr>
        <w:t xml:space="preserve"> The FD thoroughly documented the FF’s training deficiencies. </w:t>
      </w:r>
    </w:p>
    <w:p w14:paraId="624D0AEC" w14:textId="77777777" w:rsidR="009B0593" w:rsidRDefault="009B0593" w:rsidP="002B1283">
      <w:pPr>
        <w:rPr>
          <w:rStyle w:val="Hyperlink"/>
          <w:rFonts w:ascii="Arial Black" w:hAnsi="Arial Black"/>
          <w:b/>
          <w:color w:val="auto"/>
          <w:sz w:val="24"/>
          <w:szCs w:val="24"/>
          <w:u w:val="none"/>
        </w:rPr>
      </w:pPr>
    </w:p>
    <w:p w14:paraId="493A77CB" w14:textId="77777777" w:rsidR="009B0593" w:rsidRDefault="009B0593" w:rsidP="002B1283">
      <w:pPr>
        <w:rPr>
          <w:rStyle w:val="Hyperlink"/>
          <w:rFonts w:ascii="Arial Black" w:hAnsi="Arial Black"/>
          <w:b/>
          <w:color w:val="auto"/>
          <w:sz w:val="24"/>
          <w:szCs w:val="24"/>
          <w:u w:val="none"/>
        </w:rPr>
      </w:pPr>
    </w:p>
    <w:p w14:paraId="0603B8CF" w14:textId="107A91DD" w:rsidR="00DC17BF" w:rsidRDefault="00DC17BF" w:rsidP="002B1283">
      <w:pPr>
        <w:rPr>
          <w:rStyle w:val="Hyperlink"/>
          <w:rFonts w:ascii="Arial Black" w:hAnsi="Arial Black"/>
          <w:b/>
          <w:color w:val="auto"/>
          <w:sz w:val="24"/>
          <w:szCs w:val="24"/>
          <w:u w:val="none"/>
        </w:rPr>
      </w:pPr>
      <w:r>
        <w:rPr>
          <w:rStyle w:val="Hyperlink"/>
          <w:rFonts w:ascii="Arial Black" w:hAnsi="Arial Black"/>
          <w:b/>
          <w:color w:val="auto"/>
          <w:sz w:val="24"/>
          <w:szCs w:val="24"/>
          <w:u w:val="none"/>
        </w:rPr>
        <w:t>4-29</w:t>
      </w:r>
    </w:p>
    <w:p w14:paraId="5B42FE5C" w14:textId="77777777" w:rsidR="00DC17BF" w:rsidRPr="002304C0" w:rsidRDefault="00DC17BF" w:rsidP="00DC17BF">
      <w:pPr>
        <w:pStyle w:val="NormalWeb"/>
        <w:rPr>
          <w:rFonts w:ascii="Arial Black" w:hAnsi="Arial Black"/>
          <w:b/>
          <w:bCs/>
          <w:sz w:val="28"/>
          <w:szCs w:val="28"/>
        </w:rPr>
      </w:pPr>
      <w:bookmarkStart w:id="174" w:name="_Hlk136858989"/>
      <w:r>
        <w:rPr>
          <w:rFonts w:ascii="Arial Black" w:hAnsi="Arial Black"/>
          <w:b/>
          <w:bCs/>
          <w:sz w:val="28"/>
          <w:szCs w:val="28"/>
        </w:rPr>
        <w:lastRenderedPageBreak/>
        <w:t>NY: MENTAL PATIENT – LOCKED IN ROOM - SAWZALL CUT DOOR, MAN GRABBED SAW – LATER DIED – CASE PROCEED</w:t>
      </w:r>
    </w:p>
    <w:bookmarkEnd w:id="174"/>
    <w:p w14:paraId="3425080F" w14:textId="77777777" w:rsidR="00DC17BF" w:rsidRDefault="00DC17BF" w:rsidP="00DC17BF">
      <w:pPr>
        <w:pStyle w:val="NormalWeb"/>
      </w:pPr>
      <w:r w:rsidRPr="002304C0">
        <w:t xml:space="preserve">On May 30, 2023, in </w:t>
      </w:r>
      <w:r w:rsidRPr="002304C0">
        <w:rPr>
          <w:u w:val="single"/>
        </w:rPr>
        <w:t>Anthony Andre Paul, et al. v. The City of New York</w:t>
      </w:r>
      <w:r>
        <w:t xml:space="preserve">, U.S. District Court Judge Vernon S. Broderick, U.S. District Court for Southern District of New York, denied the City’s motion for summary judgment. The judge held that while police had lawful authority to force the door, tase the person, and take him to hospital, use of Sawzall raises jury </w:t>
      </w:r>
      <w:proofErr w:type="gramStart"/>
      <w:r>
        <w:t>question</w:t>
      </w:r>
      <w:proofErr w:type="gramEnd"/>
      <w:r>
        <w:t xml:space="preserve">. </w:t>
      </w:r>
    </w:p>
    <w:p w14:paraId="0BB2EBDD" w14:textId="77777777" w:rsidR="00DC17BF" w:rsidRDefault="00DC17BF" w:rsidP="00DC17BF">
      <w:pPr>
        <w:pStyle w:val="NormalWeb"/>
        <w:ind w:left="720"/>
        <w:rPr>
          <w:b/>
          <w:bCs/>
        </w:rPr>
      </w:pPr>
      <w:r>
        <w:t xml:space="preserve">“Here, there appears to be harmful bodily contact between the saw and Paul as evidenced by, among other things, the injuries Paul sustained to his hands. Further, Plaintiff asserts that the officers used the saw with the intent of harming Paul. Whether or not the evidence supports this assertion is a question of fact for the </w:t>
      </w:r>
      <w:proofErr w:type="gramStart"/>
      <w:r>
        <w:t>jury.”</w:t>
      </w:r>
      <w:proofErr w:type="gramEnd"/>
      <w:r>
        <w:t xml:space="preserve"> </w:t>
      </w:r>
      <w:hyperlink r:id="rId888" w:history="1">
        <w:r w:rsidRPr="00B908DF">
          <w:rPr>
            <w:rStyle w:val="Hyperlink"/>
            <w:rFonts w:eastAsiaTheme="majorEastAsia"/>
          </w:rPr>
          <w:t>https://public.fastcase.com/ZZhmr5v9wN%2FXOe5IsQ%2FqD1CdH2R29LNK8BT0hnz9oKtXR%2FoMxL2xC63e%2BHHuthpWCwncj7bfE4lB3MomO4uqm4E3oXBdMMZD2IWz0SNqHm0%3D?utm_medium=email&amp;_hsmi=226712652&amp;_hsenc=p2ANqtz-_2XBA_cBQDF2xes7gnarhZ-sbkcdxdJUtVuyLwtAqY2WUUI2XYCC6QqVwiuQaE3r8IP3AVZ-ZehQ2YYsnZUf5Qzx_SHw&amp;utm_content=226712652&amp;utm_source=hs_email</w:t>
        </w:r>
      </w:hyperlink>
      <w:r>
        <w:t xml:space="preserve"> </w:t>
      </w:r>
    </w:p>
    <w:p w14:paraId="65D4A063" w14:textId="77777777" w:rsidR="00DC17BF" w:rsidRPr="00CD614F" w:rsidRDefault="00DC17BF" w:rsidP="00DC17BF">
      <w:pPr>
        <w:pStyle w:val="NormalWeb"/>
        <w:rPr>
          <w:b/>
          <w:bCs/>
        </w:rPr>
      </w:pPr>
      <w:r w:rsidRPr="00CD614F">
        <w:rPr>
          <w:b/>
          <w:bCs/>
        </w:rPr>
        <w:t xml:space="preserve">Legal Lesson Learned: </w:t>
      </w:r>
      <w:r>
        <w:rPr>
          <w:b/>
          <w:bCs/>
        </w:rPr>
        <w:t xml:space="preserve">Review your SOP on forced entry and use of power saws. </w:t>
      </w:r>
    </w:p>
    <w:p w14:paraId="592AD7C5" w14:textId="17EBB9EA" w:rsidR="007959C9" w:rsidRDefault="002D64A4" w:rsidP="002B1283">
      <w:pPr>
        <w:rPr>
          <w:rStyle w:val="Hyperlink"/>
          <w:rFonts w:ascii="Arial Black" w:hAnsi="Arial Black"/>
          <w:b/>
          <w:color w:val="auto"/>
          <w:sz w:val="24"/>
          <w:szCs w:val="24"/>
          <w:u w:val="none"/>
        </w:rPr>
      </w:pPr>
      <w:r>
        <w:rPr>
          <w:rStyle w:val="Hyperlink"/>
          <w:rFonts w:ascii="Arial Black" w:hAnsi="Arial Black"/>
          <w:b/>
          <w:color w:val="auto"/>
          <w:sz w:val="24"/>
          <w:szCs w:val="24"/>
          <w:u w:val="none"/>
        </w:rPr>
        <w:t>4-28</w:t>
      </w:r>
    </w:p>
    <w:p w14:paraId="61D55321" w14:textId="77777777" w:rsidR="002D64A4" w:rsidRPr="00835DBE" w:rsidRDefault="002D64A4" w:rsidP="002D64A4">
      <w:pPr>
        <w:pStyle w:val="NormalWeb"/>
        <w:rPr>
          <w:rFonts w:ascii="Arial Black" w:hAnsi="Arial Black"/>
          <w:sz w:val="28"/>
          <w:szCs w:val="28"/>
        </w:rPr>
      </w:pPr>
      <w:r>
        <w:rPr>
          <w:rFonts w:ascii="Arial Black" w:hAnsi="Arial Black"/>
          <w:sz w:val="28"/>
          <w:szCs w:val="28"/>
        </w:rPr>
        <w:t>NB: FF FIRED – SHE CLAIMED CAPTAIN “ABANDONED US” IN FIRE – MAY DEPOSE OUTSIDE ATTY INVESTIGATED CLAIM</w:t>
      </w:r>
    </w:p>
    <w:p w14:paraId="4FE30FE6" w14:textId="77777777" w:rsidR="002D64A4" w:rsidRDefault="002D64A4" w:rsidP="002D64A4">
      <w:pPr>
        <w:spacing w:after="100" w:line="240" w:lineRule="auto"/>
        <w:jc w:val="both"/>
        <w:rPr>
          <w:rFonts w:ascii="Times New Roman" w:hAnsi="Times New Roman"/>
          <w:sz w:val="24"/>
          <w:szCs w:val="24"/>
        </w:rPr>
      </w:pPr>
      <w:r w:rsidRPr="006F5EA9">
        <w:rPr>
          <w:rFonts w:ascii="Times New Roman" w:hAnsi="Times New Roman"/>
          <w:sz w:val="24"/>
          <w:szCs w:val="24"/>
        </w:rPr>
        <w:t xml:space="preserve">On March 1, 2023, in </w:t>
      </w:r>
      <w:r w:rsidRPr="006F5EA9">
        <w:rPr>
          <w:rFonts w:ascii="Times New Roman" w:hAnsi="Times New Roman"/>
          <w:sz w:val="24"/>
          <w:szCs w:val="24"/>
          <w:u w:val="single"/>
        </w:rPr>
        <w:t>Amanda Benson v. City of Lincoln, et al</w:t>
      </w:r>
      <w:r w:rsidRPr="006F5EA9">
        <w:rPr>
          <w:rFonts w:ascii="Times New Roman" w:hAnsi="Times New Roman"/>
          <w:sz w:val="24"/>
          <w:szCs w:val="24"/>
        </w:rPr>
        <w:t xml:space="preserve">., U.S. District Court Judge Brian C. Buescher, District Court of Nebraska, entered an order limiting the topics that plaintiff may ask during the deposition of attorney Torrey Gerdes, who was retained by the City (paid $180,000) to investigated the firefighter’s claims of being endangered by a FD Captain at the warehouse fire.  Judge Buescher ruled that the City did not wave the attorney-client privilege (such as her advice to the City) or attorney work product privilege (such as her investigative notes) when it provided the investigation report to the plaintiff.  </w:t>
      </w:r>
    </w:p>
    <w:p w14:paraId="54E5CE82" w14:textId="77777777" w:rsidR="002D64A4" w:rsidRPr="006F5EA9" w:rsidRDefault="002D64A4" w:rsidP="002D64A4">
      <w:pPr>
        <w:spacing w:after="100" w:line="240" w:lineRule="auto"/>
        <w:jc w:val="both"/>
        <w:rPr>
          <w:rFonts w:ascii="Times New Roman" w:eastAsia="Times New Roman" w:hAnsi="Times New Roman"/>
          <w:sz w:val="24"/>
          <w:szCs w:val="24"/>
        </w:rPr>
      </w:pPr>
      <w:hyperlink r:id="rId889" w:history="1">
        <w:r w:rsidRPr="00C863CC">
          <w:rPr>
            <w:rStyle w:val="Hyperlink"/>
            <w:rFonts w:ascii="Times New Roman" w:hAnsi="Times New Roman"/>
            <w:sz w:val="24"/>
            <w:szCs w:val="24"/>
          </w:rPr>
          <w:t>https://public.fastcase.com/J%2FJP6pdidelsXxEE4k%2BLMku%2FobbeA4O7XFFZreFgRQx%2BWZ7fzC1IhmGay6LSjTfKJi%2F0lJWfruI6T6uwjyLWcTFUlKk%2FJDuh9Eyt0JVbsGk%3D?utm_medium=email&amp;_hsmi=226712652&amp;_hsenc=p2ANqtz-8osvFL3X0gyhLaJKRyW92xrD2GPamYVB-ledl39OimVvrR3SDszthVFmIjtescLBDKIYLBKlOi8FN2nFy4wMQT_YiRlg&amp;utm_content=226712652&amp;utm_source=hs_email</w:t>
        </w:r>
      </w:hyperlink>
      <w:r w:rsidRPr="006F5EA9">
        <w:rPr>
          <w:rFonts w:ascii="Times New Roman" w:hAnsi="Times New Roman"/>
          <w:sz w:val="24"/>
          <w:szCs w:val="24"/>
        </w:rPr>
        <w:t xml:space="preserve">  </w:t>
      </w:r>
    </w:p>
    <w:p w14:paraId="0F3036E8" w14:textId="77777777" w:rsidR="002D64A4" w:rsidRDefault="002D64A4" w:rsidP="002D64A4">
      <w:pPr>
        <w:pStyle w:val="NormalWeb"/>
        <w:ind w:left="720"/>
      </w:pPr>
      <w:r>
        <w:t>“On October 19, 2021, after a [pre-disciplinary] hearing, Chief Engler terminated Benson's employment, concluding:</w:t>
      </w:r>
    </w:p>
    <w:p w14:paraId="47B7286A" w14:textId="77777777" w:rsidR="002D64A4" w:rsidRDefault="002D64A4" w:rsidP="002D64A4">
      <w:pPr>
        <w:spacing w:after="100" w:line="240" w:lineRule="auto"/>
        <w:ind w:left="1440"/>
        <w:rPr>
          <w:rFonts w:ascii="Times New Roman" w:eastAsia="Times New Roman" w:hAnsi="Times New Roman"/>
          <w:sz w:val="24"/>
          <w:szCs w:val="24"/>
        </w:rPr>
      </w:pPr>
      <w:r>
        <w:rPr>
          <w:rFonts w:ascii="Times New Roman" w:eastAsia="Times New Roman" w:hAnsi="Times New Roman"/>
          <w:sz w:val="24"/>
          <w:szCs w:val="24"/>
        </w:rPr>
        <w:t>‘</w:t>
      </w:r>
      <w:r w:rsidRPr="001D30FE">
        <w:rPr>
          <w:rFonts w:ascii="Times New Roman" w:eastAsia="Times New Roman" w:hAnsi="Times New Roman"/>
          <w:sz w:val="24"/>
          <w:szCs w:val="24"/>
        </w:rPr>
        <w:t xml:space="preserve">The evidence confirms that you made serious false allegations against a fellow firefighter. You reported to Lincoln Fire and Rescue (LF&amp;R) and have continuously stated thereafter that you and your crew were abandoned in a dangerous burning warehouse by Captain Shawn Mahler at the April 26, </w:t>
      </w:r>
      <w:proofErr w:type="gramStart"/>
      <w:r w:rsidRPr="001D30FE">
        <w:rPr>
          <w:rFonts w:ascii="Times New Roman" w:eastAsia="Times New Roman" w:hAnsi="Times New Roman"/>
          <w:sz w:val="24"/>
          <w:szCs w:val="24"/>
        </w:rPr>
        <w:t>2021</w:t>
      </w:r>
      <w:proofErr w:type="gramEnd"/>
      <w:r w:rsidRPr="001D30FE">
        <w:rPr>
          <w:rFonts w:ascii="Times New Roman" w:eastAsia="Times New Roman" w:hAnsi="Times New Roman"/>
          <w:sz w:val="24"/>
          <w:szCs w:val="24"/>
        </w:rPr>
        <w:t xml:space="preserve"> fire scene. You also stated that his behavior </w:t>
      </w:r>
      <w:r>
        <w:rPr>
          <w:rFonts w:ascii="Times New Roman" w:eastAsia="Times New Roman" w:hAnsi="Times New Roman"/>
          <w:sz w:val="24"/>
          <w:szCs w:val="24"/>
        </w:rPr>
        <w:t>‘</w:t>
      </w:r>
      <w:r w:rsidRPr="001D30FE">
        <w:rPr>
          <w:rFonts w:ascii="Times New Roman" w:eastAsia="Times New Roman" w:hAnsi="Times New Roman"/>
          <w:sz w:val="24"/>
          <w:szCs w:val="24"/>
        </w:rPr>
        <w:t>could have injured or killed [you], FAO Roberts, and FF Recruit Hurley.</w:t>
      </w:r>
      <w:r>
        <w:rPr>
          <w:rFonts w:ascii="Times New Roman" w:eastAsia="Times New Roman" w:hAnsi="Times New Roman"/>
          <w:sz w:val="24"/>
          <w:szCs w:val="24"/>
        </w:rPr>
        <w:t>’</w:t>
      </w:r>
      <w:r w:rsidRPr="001D30FE">
        <w:rPr>
          <w:rFonts w:ascii="Times New Roman" w:eastAsia="Times New Roman" w:hAnsi="Times New Roman"/>
          <w:sz w:val="24"/>
          <w:szCs w:val="24"/>
        </w:rPr>
        <w:t xml:space="preserve"> </w:t>
      </w:r>
      <w:r w:rsidRPr="001D30FE">
        <w:rPr>
          <w:rFonts w:ascii="Times New Roman" w:eastAsia="Times New Roman" w:hAnsi="Times New Roman"/>
          <w:i/>
          <w:iCs/>
          <w:sz w:val="24"/>
          <w:szCs w:val="24"/>
        </w:rPr>
        <w:t>See, e.g.</w:t>
      </w:r>
      <w:r w:rsidRPr="001D30FE">
        <w:rPr>
          <w:rFonts w:ascii="Times New Roman" w:eastAsia="Times New Roman" w:hAnsi="Times New Roman"/>
          <w:sz w:val="24"/>
          <w:szCs w:val="24"/>
        </w:rPr>
        <w:t xml:space="preserve">, your June 11, </w:t>
      </w:r>
      <w:proofErr w:type="gramStart"/>
      <w:r w:rsidRPr="001D30FE">
        <w:rPr>
          <w:rFonts w:ascii="Times New Roman" w:eastAsia="Times New Roman" w:hAnsi="Times New Roman"/>
          <w:sz w:val="24"/>
          <w:szCs w:val="24"/>
        </w:rPr>
        <w:t>2021</w:t>
      </w:r>
      <w:proofErr w:type="gramEnd"/>
      <w:r w:rsidRPr="001D30FE">
        <w:rPr>
          <w:rFonts w:ascii="Times New Roman" w:eastAsia="Times New Roman" w:hAnsi="Times New Roman"/>
          <w:sz w:val="24"/>
          <w:szCs w:val="24"/>
        </w:rPr>
        <w:t xml:space="preserve"> sworn statement and incorporated attachments filed in Case No. 4:18CV3127. However, none of the evidence, audio recording/transcript, witness statements, the findings of investigator Torrey Gerdes, or the findings of Judge Kopf lend any credibility to your statements.</w:t>
      </w:r>
      <w:r>
        <w:rPr>
          <w:rFonts w:ascii="Times New Roman" w:eastAsia="Times New Roman" w:hAnsi="Times New Roman"/>
          <w:sz w:val="24"/>
          <w:szCs w:val="24"/>
        </w:rPr>
        <w:t xml:space="preserve">’ </w:t>
      </w:r>
    </w:p>
    <w:p w14:paraId="589644F2" w14:textId="77777777" w:rsidR="002D64A4" w:rsidRDefault="002D64A4" w:rsidP="002D64A4">
      <w:pPr>
        <w:pStyle w:val="NormalWeb"/>
      </w:pPr>
      <w:r>
        <w:lastRenderedPageBreak/>
        <w:t>Judge Buescher set aside a U.S. Magistrate’s less restrictive decision and held:</w:t>
      </w:r>
    </w:p>
    <w:p w14:paraId="17DFDAF9" w14:textId="77777777" w:rsidR="002D64A4" w:rsidRDefault="002D64A4" w:rsidP="002D64A4">
      <w:pPr>
        <w:pStyle w:val="NormalWeb"/>
        <w:ind w:firstLine="720"/>
      </w:pPr>
      <w:r>
        <w:t>“IT IS ORDERED:</w:t>
      </w:r>
    </w:p>
    <w:p w14:paraId="01E03AE2" w14:textId="77777777" w:rsidR="002D64A4" w:rsidRDefault="002D64A4" w:rsidP="002D64A4">
      <w:pPr>
        <w:pStyle w:val="NormalWeb"/>
        <w:ind w:left="720"/>
      </w:pPr>
      <w:r>
        <w:t xml:space="preserve">1. </w:t>
      </w:r>
      <w:proofErr w:type="gramStart"/>
      <w:r>
        <w:t>With regard to</w:t>
      </w:r>
      <w:proofErr w:type="gramEnd"/>
      <w:r>
        <w:t xml:space="preserve"> Gerdes' investigation into the events of April 26, 2021, plaintiff Benson may inquire into the general methods by which Gerdes conducts investigations and into the facts set forth in the Investigation Report … but Benson will not inquire into topics that the Court has determined are privileged;  </w:t>
      </w:r>
    </w:p>
    <w:p w14:paraId="123F9AF7" w14:textId="77777777" w:rsidR="002D64A4" w:rsidRDefault="002D64A4" w:rsidP="002D64A4">
      <w:pPr>
        <w:pStyle w:val="NormalWeb"/>
        <w:ind w:left="720"/>
      </w:pPr>
      <w:r>
        <w:t xml:space="preserve">2. Benson will not inquire into … any other investigation that does not directly involve Benson;  </w:t>
      </w:r>
    </w:p>
    <w:p w14:paraId="2D28A550" w14:textId="77777777" w:rsidR="002D64A4" w:rsidRDefault="002D64A4" w:rsidP="002D64A4">
      <w:pPr>
        <w:pStyle w:val="NormalWeb"/>
        <w:ind w:left="720"/>
      </w:pPr>
      <w:r>
        <w:t xml:space="preserve">3. Benson will not inquire into communications by Gerdes that are attorney-client privileged, including communications with the </w:t>
      </w:r>
      <w:proofErr w:type="gramStart"/>
      <w:r>
        <w:t>City</w:t>
      </w:r>
      <w:proofErr w:type="gramEnd"/>
      <w:r>
        <w:t xml:space="preserve"> or its attorneys or any of Gerdes' other clients.”  </w:t>
      </w:r>
    </w:p>
    <w:p w14:paraId="0B5AC5A8" w14:textId="77777777" w:rsidR="002D64A4" w:rsidRDefault="002D64A4" w:rsidP="002D64A4">
      <w:pPr>
        <w:spacing w:after="100" w:line="240" w:lineRule="auto"/>
        <w:rPr>
          <w:rFonts w:ascii="Times New Roman" w:eastAsia="Times New Roman" w:hAnsi="Times New Roman"/>
          <w:sz w:val="24"/>
          <w:szCs w:val="24"/>
        </w:rPr>
      </w:pPr>
      <w:r w:rsidRPr="00D76867">
        <w:rPr>
          <w:rFonts w:ascii="Times New Roman" w:hAnsi="Times New Roman"/>
          <w:sz w:val="24"/>
          <w:szCs w:val="24"/>
        </w:rPr>
        <w:t>The judge further wrote that while he won’t impose a specific time limit in the deposition: “The Court adds however that it cannot imagine that the deposition would need to run more than four hours.”</w:t>
      </w:r>
      <w:r>
        <w:rPr>
          <w:sz w:val="20"/>
          <w:szCs w:val="20"/>
        </w:rPr>
        <w:t xml:space="preserve">  </w:t>
      </w:r>
    </w:p>
    <w:p w14:paraId="345D7E78" w14:textId="77777777" w:rsidR="002D64A4" w:rsidRPr="001D30FE" w:rsidRDefault="002D64A4" w:rsidP="002D64A4">
      <w:pPr>
        <w:spacing w:after="100" w:line="240" w:lineRule="auto"/>
        <w:rPr>
          <w:rFonts w:ascii="Times New Roman" w:eastAsia="Times New Roman" w:hAnsi="Times New Roman"/>
          <w:b/>
          <w:bCs/>
          <w:sz w:val="24"/>
          <w:szCs w:val="24"/>
        </w:rPr>
      </w:pPr>
      <w:r w:rsidRPr="00E27637">
        <w:rPr>
          <w:rFonts w:ascii="Times New Roman" w:eastAsia="Times New Roman" w:hAnsi="Times New Roman"/>
          <w:b/>
          <w:bCs/>
          <w:sz w:val="24"/>
          <w:szCs w:val="24"/>
        </w:rPr>
        <w:t>Legal Lesson Learned:</w:t>
      </w:r>
      <w:r>
        <w:rPr>
          <w:rFonts w:ascii="Times New Roman" w:eastAsia="Times New Roman" w:hAnsi="Times New Roman"/>
          <w:b/>
          <w:bCs/>
          <w:sz w:val="24"/>
          <w:szCs w:val="24"/>
        </w:rPr>
        <w:t xml:space="preserve"> When a City retains outside legal counsel to investigate a firefighter’s claims</w:t>
      </w:r>
      <w:proofErr w:type="gramStart"/>
      <w:r>
        <w:rPr>
          <w:rFonts w:ascii="Times New Roman" w:eastAsia="Times New Roman" w:hAnsi="Times New Roman"/>
          <w:b/>
          <w:bCs/>
          <w:sz w:val="24"/>
          <w:szCs w:val="24"/>
        </w:rPr>
        <w:t>, providing</w:t>
      </w:r>
      <w:proofErr w:type="gramEnd"/>
      <w:r>
        <w:rPr>
          <w:rFonts w:ascii="Times New Roman" w:eastAsia="Times New Roman" w:hAnsi="Times New Roman"/>
          <w:b/>
          <w:bCs/>
          <w:sz w:val="24"/>
          <w:szCs w:val="24"/>
        </w:rPr>
        <w:t xml:space="preserve"> the investigation report to the firefighter does not waive attorney-client or attorney work-product privilege.  </w:t>
      </w:r>
    </w:p>
    <w:p w14:paraId="2B07B5C7" w14:textId="77777777" w:rsidR="002D64A4" w:rsidRDefault="002D64A4" w:rsidP="002B1283">
      <w:pPr>
        <w:rPr>
          <w:rStyle w:val="Hyperlink"/>
          <w:rFonts w:ascii="Arial Black" w:hAnsi="Arial Black"/>
          <w:b/>
          <w:color w:val="auto"/>
          <w:sz w:val="24"/>
          <w:szCs w:val="24"/>
          <w:u w:val="none"/>
        </w:rPr>
      </w:pPr>
    </w:p>
    <w:p w14:paraId="51126CC7" w14:textId="517B7804" w:rsidR="007959C9" w:rsidRDefault="007959C9" w:rsidP="002B1283">
      <w:pPr>
        <w:rPr>
          <w:rStyle w:val="Hyperlink"/>
          <w:rFonts w:ascii="Arial Black" w:hAnsi="Arial Black"/>
          <w:b/>
          <w:color w:val="auto"/>
          <w:sz w:val="24"/>
          <w:szCs w:val="24"/>
          <w:u w:val="none"/>
        </w:rPr>
      </w:pPr>
      <w:r>
        <w:rPr>
          <w:rStyle w:val="Hyperlink"/>
          <w:rFonts w:ascii="Arial Black" w:hAnsi="Arial Black"/>
          <w:b/>
          <w:color w:val="auto"/>
          <w:sz w:val="24"/>
          <w:szCs w:val="24"/>
          <w:u w:val="none"/>
        </w:rPr>
        <w:t>4-27</w:t>
      </w:r>
    </w:p>
    <w:p w14:paraId="1AB24A19" w14:textId="76A2A418" w:rsidR="007959C9" w:rsidRDefault="007959C9" w:rsidP="007959C9">
      <w:pPr>
        <w:rPr>
          <w:rFonts w:ascii="Arial Black" w:hAnsi="Arial Black"/>
          <w:sz w:val="28"/>
          <w:szCs w:val="28"/>
        </w:rPr>
      </w:pPr>
      <w:r>
        <w:rPr>
          <w:rFonts w:ascii="Arial Black" w:hAnsi="Arial Black"/>
          <w:sz w:val="28"/>
          <w:szCs w:val="28"/>
        </w:rPr>
        <w:t>WV: FIRE CHIEF FIRED – FALSIF</w:t>
      </w:r>
      <w:r w:rsidR="003E054D">
        <w:rPr>
          <w:rFonts w:ascii="Arial Black" w:hAnsi="Arial Black"/>
          <w:sz w:val="28"/>
          <w:szCs w:val="28"/>
        </w:rPr>
        <w:t>IED</w:t>
      </w:r>
      <w:r>
        <w:rPr>
          <w:rFonts w:ascii="Arial Black" w:hAnsi="Arial Black"/>
          <w:sz w:val="28"/>
          <w:szCs w:val="28"/>
        </w:rPr>
        <w:t xml:space="preserve"> HYDRANT &amp; TRAINING RECORDS – NO CIVIL SERVICE PROTECTION</w:t>
      </w:r>
    </w:p>
    <w:p w14:paraId="44D15D79" w14:textId="77777777" w:rsidR="007959C9" w:rsidRDefault="007959C9" w:rsidP="007959C9">
      <w:pPr>
        <w:rPr>
          <w:rFonts w:ascii="Times New Roman" w:hAnsi="Times New Roman"/>
          <w:sz w:val="24"/>
          <w:szCs w:val="24"/>
        </w:rPr>
      </w:pPr>
      <w:r w:rsidRPr="001B1F04">
        <w:rPr>
          <w:rFonts w:ascii="Times New Roman" w:hAnsi="Times New Roman"/>
          <w:sz w:val="24"/>
          <w:szCs w:val="24"/>
        </w:rPr>
        <w:t xml:space="preserve">On Jan. 18, 2023, in </w:t>
      </w:r>
      <w:r w:rsidRPr="001B1F04">
        <w:rPr>
          <w:rFonts w:ascii="Times New Roman" w:hAnsi="Times New Roman"/>
          <w:sz w:val="24"/>
          <w:szCs w:val="24"/>
          <w:u w:val="single"/>
        </w:rPr>
        <w:t>David Crimm v. City of Grafton</w:t>
      </w:r>
      <w:r w:rsidRPr="001B1F04">
        <w:rPr>
          <w:rFonts w:ascii="Times New Roman" w:hAnsi="Times New Roman"/>
          <w:sz w:val="24"/>
          <w:szCs w:val="24"/>
        </w:rPr>
        <w:t xml:space="preserve">, </w:t>
      </w:r>
      <w:r>
        <w:rPr>
          <w:rFonts w:ascii="Times New Roman" w:hAnsi="Times New Roman"/>
          <w:sz w:val="24"/>
          <w:szCs w:val="24"/>
        </w:rPr>
        <w:t xml:space="preserve">the Supreme Court of Appeals of West Virginia held (5 to 0) that the trial court properly dismissed the former Fire Chiefs appeal; the evidence was so clear the Court of Appeals decided this appeal without oral argument. He was fired in </w:t>
      </w:r>
      <w:proofErr w:type="gramStart"/>
      <w:r>
        <w:rPr>
          <w:rFonts w:ascii="Times New Roman" w:hAnsi="Times New Roman"/>
          <w:sz w:val="24"/>
          <w:szCs w:val="24"/>
        </w:rPr>
        <w:t>March,</w:t>
      </w:r>
      <w:proofErr w:type="gramEnd"/>
      <w:r>
        <w:rPr>
          <w:rFonts w:ascii="Times New Roman" w:hAnsi="Times New Roman"/>
          <w:sz w:val="24"/>
          <w:szCs w:val="24"/>
        </w:rPr>
        <w:t xml:space="preserve"> 2018 for </w:t>
      </w:r>
      <w:r w:rsidRPr="00BE4B52">
        <w:rPr>
          <w:rFonts w:ascii="Times New Roman" w:hAnsi="Times New Roman"/>
          <w:sz w:val="24"/>
          <w:szCs w:val="24"/>
        </w:rPr>
        <w:t>"falsification of official city documents</w:t>
      </w:r>
      <w:r>
        <w:rPr>
          <w:rFonts w:ascii="Times New Roman" w:hAnsi="Times New Roman"/>
          <w:sz w:val="24"/>
          <w:szCs w:val="24"/>
        </w:rPr>
        <w:t>.” The city presented documentation to the Circuit Court judge that he had ordered subordinates to falsify the fire hydrant and department training records. The Court found: “</w:t>
      </w:r>
      <w:r w:rsidRPr="002A6C90">
        <w:rPr>
          <w:rStyle w:val="markedcontent"/>
          <w:rFonts w:ascii="Times New Roman" w:hAnsi="Times New Roman"/>
        </w:rPr>
        <w:t>Here, the City ordinance reflects the City’s decision not to place the position of fire chief</w:t>
      </w:r>
      <w:r>
        <w:rPr>
          <w:rStyle w:val="markedcontent"/>
          <w:rFonts w:ascii="Times New Roman" w:hAnsi="Times New Roman"/>
        </w:rPr>
        <w:t xml:space="preserve"> </w:t>
      </w:r>
      <w:r w:rsidRPr="002A6C90">
        <w:rPr>
          <w:rStyle w:val="markedcontent"/>
          <w:rFonts w:ascii="Times New Roman" w:hAnsi="Times New Roman"/>
        </w:rPr>
        <w:t>under the civil service provisions. Because the position was not placed within civil service</w:t>
      </w:r>
      <w:r>
        <w:rPr>
          <w:rStyle w:val="markedcontent"/>
          <w:rFonts w:ascii="Times New Roman" w:hAnsi="Times New Roman"/>
        </w:rPr>
        <w:t xml:space="preserve"> </w:t>
      </w:r>
      <w:r w:rsidRPr="002A6C90">
        <w:rPr>
          <w:rStyle w:val="markedcontent"/>
          <w:rFonts w:ascii="Times New Roman" w:hAnsi="Times New Roman"/>
        </w:rPr>
        <w:t>provisions, he has failed to show that he is entitled to a civil service position within the Grafton</w:t>
      </w:r>
      <w:r>
        <w:rPr>
          <w:rStyle w:val="markedcontent"/>
          <w:rFonts w:ascii="Times New Roman" w:hAnsi="Times New Roman"/>
        </w:rPr>
        <w:t xml:space="preserve"> </w:t>
      </w:r>
      <w:r w:rsidRPr="002A6C90">
        <w:rPr>
          <w:rStyle w:val="markedcontent"/>
          <w:rFonts w:ascii="Times New Roman" w:hAnsi="Times New Roman"/>
        </w:rPr>
        <w:t xml:space="preserve">Fire Department. In addition, contrary to petitioner’s assertions, the </w:t>
      </w:r>
      <w:proofErr w:type="gramStart"/>
      <w:r w:rsidRPr="002A6C90">
        <w:rPr>
          <w:rStyle w:val="markedcontent"/>
          <w:rFonts w:ascii="Times New Roman" w:hAnsi="Times New Roman"/>
        </w:rPr>
        <w:t>City</w:t>
      </w:r>
      <w:proofErr w:type="gramEnd"/>
      <w:r w:rsidRPr="002A6C90">
        <w:rPr>
          <w:rStyle w:val="markedcontent"/>
          <w:rFonts w:ascii="Times New Roman" w:hAnsi="Times New Roman"/>
        </w:rPr>
        <w:t xml:space="preserve"> presented documentary</w:t>
      </w:r>
      <w:r>
        <w:rPr>
          <w:rStyle w:val="markedcontent"/>
          <w:rFonts w:ascii="Times New Roman" w:hAnsi="Times New Roman"/>
        </w:rPr>
        <w:t xml:space="preserve"> </w:t>
      </w:r>
      <w:r w:rsidRPr="002A6C90">
        <w:rPr>
          <w:rStyle w:val="markedcontent"/>
          <w:rFonts w:ascii="Times New Roman" w:hAnsi="Times New Roman"/>
        </w:rPr>
        <w:t>evidence to the circuit court regarding petitioner ordering subordinates to falsify the fire hydrant</w:t>
      </w:r>
      <w:r>
        <w:rPr>
          <w:rStyle w:val="markedcontent"/>
          <w:rFonts w:ascii="Times New Roman" w:hAnsi="Times New Roman"/>
        </w:rPr>
        <w:t xml:space="preserve"> </w:t>
      </w:r>
      <w:r w:rsidRPr="002A6C90">
        <w:rPr>
          <w:rStyle w:val="markedcontent"/>
          <w:rFonts w:ascii="Times New Roman" w:hAnsi="Times New Roman"/>
        </w:rPr>
        <w:t>and department training records for the Grafton Fire Department</w:t>
      </w:r>
      <w:r>
        <w:rPr>
          <w:rStyle w:val="markedcontent"/>
          <w:rFonts w:ascii="Times New Roman" w:hAnsi="Times New Roman"/>
        </w:rPr>
        <w:t xml:space="preserve"> “</w:t>
      </w:r>
      <w:r>
        <w:rPr>
          <w:rFonts w:ascii="Times New Roman" w:hAnsi="Times New Roman"/>
          <w:sz w:val="24"/>
          <w:szCs w:val="24"/>
        </w:rPr>
        <w:t xml:space="preserve"> </w:t>
      </w:r>
      <w:hyperlink r:id="rId890" w:history="1">
        <w:r w:rsidRPr="00F65122">
          <w:rPr>
            <w:rStyle w:val="Hyperlink"/>
            <w:sz w:val="24"/>
            <w:szCs w:val="24"/>
          </w:rPr>
          <w:t>http://www.courtswv.gov/supreme-court/memo-decisions/spring2023/21-0921%20md.pdf</w:t>
        </w:r>
      </w:hyperlink>
      <w:r>
        <w:rPr>
          <w:rFonts w:ascii="Times New Roman" w:hAnsi="Times New Roman"/>
          <w:sz w:val="24"/>
          <w:szCs w:val="24"/>
        </w:rPr>
        <w:t xml:space="preserve"> </w:t>
      </w:r>
    </w:p>
    <w:p w14:paraId="2EFBD43C" w14:textId="77777777" w:rsidR="007959C9" w:rsidRDefault="007959C9" w:rsidP="007959C9">
      <w:pPr>
        <w:ind w:left="720"/>
        <w:rPr>
          <w:rFonts w:ascii="Times New Roman" w:hAnsi="Times New Roman"/>
          <w:sz w:val="24"/>
          <w:szCs w:val="24"/>
        </w:rPr>
      </w:pPr>
      <w:r w:rsidRPr="00BE4B52">
        <w:rPr>
          <w:rFonts w:ascii="Times New Roman" w:hAnsi="Times New Roman"/>
          <w:sz w:val="24"/>
          <w:szCs w:val="24"/>
        </w:rPr>
        <w:t>“That evidence included a June of 2018 letter from the county prosecutor setting forth his belief that petitioner had falsified documents and an April of 2018 letter from a state police sergeant detailing conversations with several individuals, which support the City's contention that petitioner directed subordinates to falsify records. The purported training records, which were reportedly completely fabricated at petitioner's direction, and fire hydrant tests, which were presented as new data despite reusing outdated data from previous years at petitioner's direction, were also produced below and are included in the record before this Court.</w:t>
      </w:r>
    </w:p>
    <w:p w14:paraId="0E09BD25" w14:textId="77777777" w:rsidR="007959C9" w:rsidRDefault="007959C9" w:rsidP="007959C9">
      <w:pPr>
        <w:ind w:left="720"/>
        <w:rPr>
          <w:rFonts w:ascii="Times New Roman" w:hAnsi="Times New Roman"/>
          <w:sz w:val="24"/>
          <w:szCs w:val="24"/>
        </w:rPr>
      </w:pPr>
      <w:r>
        <w:rPr>
          <w:rFonts w:ascii="Times New Roman" w:hAnsi="Times New Roman"/>
          <w:sz w:val="24"/>
          <w:szCs w:val="24"/>
        </w:rPr>
        <w:t>***</w:t>
      </w:r>
    </w:p>
    <w:p w14:paraId="26A9E286" w14:textId="77777777" w:rsidR="007959C9" w:rsidRDefault="007959C9" w:rsidP="007959C9">
      <w:pPr>
        <w:ind w:left="720"/>
        <w:rPr>
          <w:rFonts w:ascii="Times New Roman" w:hAnsi="Times New Roman"/>
          <w:sz w:val="24"/>
          <w:szCs w:val="24"/>
        </w:rPr>
      </w:pPr>
      <w:r w:rsidRPr="00BE4B52">
        <w:rPr>
          <w:rFonts w:ascii="Times New Roman" w:hAnsi="Times New Roman"/>
          <w:sz w:val="24"/>
          <w:szCs w:val="24"/>
        </w:rPr>
        <w:lastRenderedPageBreak/>
        <w:t>Here, the City ordinance reflects the City's decision not to place the position of fire chief under the civil service provisions. Because the position was not placed within civil service provisions, he has failed to show that he is entitled to a civil service position within the Grafton Fire Department.</w:t>
      </w:r>
      <w:r>
        <w:rPr>
          <w:rFonts w:ascii="Times New Roman" w:hAnsi="Times New Roman"/>
          <w:sz w:val="24"/>
          <w:szCs w:val="24"/>
        </w:rPr>
        <w:t>”</w:t>
      </w:r>
    </w:p>
    <w:p w14:paraId="5E63FD5A" w14:textId="77777777" w:rsidR="007959C9" w:rsidRPr="00BE4B52" w:rsidRDefault="007959C9" w:rsidP="007959C9">
      <w:pPr>
        <w:rPr>
          <w:rFonts w:ascii="Times New Roman" w:hAnsi="Times New Roman"/>
          <w:b/>
          <w:bCs/>
          <w:sz w:val="24"/>
          <w:szCs w:val="24"/>
        </w:rPr>
      </w:pPr>
      <w:r w:rsidRPr="00BE4B52">
        <w:rPr>
          <w:rFonts w:ascii="Times New Roman" w:hAnsi="Times New Roman"/>
          <w:b/>
          <w:bCs/>
          <w:sz w:val="24"/>
          <w:szCs w:val="24"/>
        </w:rPr>
        <w:t xml:space="preserve">Legal Lesson Learned: </w:t>
      </w:r>
      <w:r>
        <w:rPr>
          <w:rFonts w:ascii="Times New Roman" w:hAnsi="Times New Roman"/>
          <w:b/>
          <w:bCs/>
          <w:sz w:val="24"/>
          <w:szCs w:val="24"/>
        </w:rPr>
        <w:t xml:space="preserve">Falsifying records is a sure way to get fired. </w:t>
      </w:r>
    </w:p>
    <w:p w14:paraId="08B8200D" w14:textId="77777777" w:rsidR="007959C9" w:rsidRDefault="007959C9" w:rsidP="002B1283">
      <w:pPr>
        <w:rPr>
          <w:rStyle w:val="Hyperlink"/>
          <w:rFonts w:ascii="Arial Black" w:hAnsi="Arial Black"/>
          <w:b/>
          <w:color w:val="auto"/>
          <w:sz w:val="24"/>
          <w:szCs w:val="24"/>
          <w:u w:val="none"/>
        </w:rPr>
      </w:pPr>
    </w:p>
    <w:p w14:paraId="26F39381" w14:textId="77777777" w:rsidR="007959C9" w:rsidRDefault="007959C9" w:rsidP="002B1283">
      <w:pPr>
        <w:rPr>
          <w:rStyle w:val="Hyperlink"/>
          <w:rFonts w:ascii="Arial Black" w:hAnsi="Arial Black"/>
          <w:b/>
          <w:color w:val="auto"/>
          <w:sz w:val="24"/>
          <w:szCs w:val="24"/>
          <w:u w:val="none"/>
        </w:rPr>
      </w:pPr>
    </w:p>
    <w:p w14:paraId="6EECCA3F" w14:textId="4AE3F9D1" w:rsidR="006C79BE" w:rsidRDefault="006C79BE" w:rsidP="002B1283">
      <w:pPr>
        <w:rPr>
          <w:rStyle w:val="Hyperlink"/>
          <w:rFonts w:ascii="Arial Black" w:hAnsi="Arial Black"/>
          <w:b/>
          <w:color w:val="auto"/>
          <w:sz w:val="24"/>
          <w:szCs w:val="24"/>
          <w:u w:val="none"/>
        </w:rPr>
      </w:pPr>
      <w:r>
        <w:rPr>
          <w:rStyle w:val="Hyperlink"/>
          <w:rFonts w:ascii="Arial Black" w:hAnsi="Arial Black"/>
          <w:b/>
          <w:color w:val="auto"/>
          <w:sz w:val="24"/>
          <w:szCs w:val="24"/>
          <w:u w:val="none"/>
        </w:rPr>
        <w:t>4-26</w:t>
      </w:r>
    </w:p>
    <w:p w14:paraId="0C8C4376" w14:textId="77777777" w:rsidR="006C79BE" w:rsidRDefault="006C79BE" w:rsidP="006C79BE">
      <w:pPr>
        <w:pStyle w:val="NormalWeb"/>
        <w:rPr>
          <w:rFonts w:ascii="Arial Black" w:hAnsi="Arial Black"/>
          <w:sz w:val="28"/>
          <w:szCs w:val="28"/>
        </w:rPr>
      </w:pPr>
      <w:r>
        <w:rPr>
          <w:rFonts w:ascii="Arial Black" w:hAnsi="Arial Black"/>
          <w:sz w:val="28"/>
          <w:szCs w:val="28"/>
        </w:rPr>
        <w:t xml:space="preserve">ME: HOUSE FIRE – TOWN IMMUNITY – HOMEOWNER CLAIMS PUMPER USE WAS DELAYED - HOUSE TO BE DEMOLISHED </w:t>
      </w:r>
    </w:p>
    <w:p w14:paraId="7C04BA8A" w14:textId="77777777" w:rsidR="006C79BE" w:rsidRDefault="006C79BE" w:rsidP="006C79BE">
      <w:pPr>
        <w:pStyle w:val="NormalWeb"/>
      </w:pPr>
      <w:r w:rsidRPr="00001B4B">
        <w:t xml:space="preserve">On Oct. 31, 2022, in </w:t>
      </w:r>
      <w:r w:rsidRPr="00001B4B">
        <w:rPr>
          <w:u w:val="single"/>
        </w:rPr>
        <w:t>Seth T. Carey v. Town of Rumford and Rumford Fire Department</w:t>
      </w:r>
      <w:r w:rsidRPr="00001B4B">
        <w:t xml:space="preserve">, </w:t>
      </w:r>
      <w:r>
        <w:t xml:space="preserve">Justice Julia M. Lipez, the Superior Court of Maine (Oxford), granted the Town and Fire Department’s motion to dismiss.  The Oct. 5, </w:t>
      </w:r>
      <w:proofErr w:type="gramStart"/>
      <w:r>
        <w:t>2020</w:t>
      </w:r>
      <w:proofErr w:type="gramEnd"/>
      <w:r>
        <w:t xml:space="preserve"> structure fire damaged the home so extensively. The Town declared the home a "Dangerous Building" and ordered its demolition. Under the Maine immunity statute, governmental entities enjoy sovereign immunity; the exception for negligent acts in use of government vehicles does not apply to alleged delay in use of a fire department pumper. </w:t>
      </w:r>
    </w:p>
    <w:p w14:paraId="5C753492" w14:textId="77777777" w:rsidR="006C79BE" w:rsidRDefault="006C79BE" w:rsidP="006C79BE">
      <w:pPr>
        <w:pStyle w:val="NormalWeb"/>
        <w:ind w:left="720"/>
      </w:pPr>
      <w:r>
        <w:t xml:space="preserve">“Here…the gravamen of the </w:t>
      </w:r>
      <w:proofErr w:type="gramStart"/>
      <w:r>
        <w:t>plaintiffs</w:t>
      </w:r>
      <w:proofErr w:type="gramEnd"/>
      <w:r>
        <w:t xml:space="preserve"> complaint is that ‘the Town made imprudent tactical decisions in the course of fighting the fire</w:t>
      </w:r>
      <w:proofErr w:type="gramStart"/>
      <w:r>
        <w:t>…..</w:t>
      </w:r>
      <w:proofErr w:type="gramEnd"/>
      <w:r>
        <w:t xml:space="preserve">’ He does not allege that he was injured by contact with a negligently operated or maintained fire truck, just that the firefighters did not deploy the truck properly. Thus, even accepting as true the </w:t>
      </w:r>
      <w:proofErr w:type="spellStart"/>
      <w:r>
        <w:t>plaintiffs</w:t>
      </w:r>
      <w:proofErr w:type="spellEnd"/>
      <w:r>
        <w:t xml:space="preserve"> claims that the firefighters acted negligently, the vehicle exception does not apply…. Because section 8104-A(1)'s vehicle exception is inapplicable and the plaintiff makes no claim that any other exception to immunity applies, the court concludes that the Town is immune from the plaintiffs suit pursuant to section 8103(1) of the MTCA.”</w:t>
      </w:r>
      <w:r w:rsidRPr="00B50BB2">
        <w:t xml:space="preserve"> </w:t>
      </w:r>
      <w:hyperlink r:id="rId891" w:history="1">
        <w:r w:rsidRPr="00075859">
          <w:rPr>
            <w:rStyle w:val="Hyperlink"/>
            <w:rFonts w:eastAsiaTheme="majorEastAsia"/>
          </w:rPr>
          <w:t>https://public.fastcase.com/J%2FJP6pdidelsXxEE4k%2BLMunJfhe1gfK2oI8CQbirV8GXkmoWfCiXuebhhRyeFmnHeojCURMbUHUM%2FZVW6TuThcVt2kPCx5ANtZZIjUvq4TI%3D?utm_medium=email&amp;_hsmi=226712652&amp;_hsenc=p2ANqtz-_4xSG7CmaPWZQuwsNXY4RTJcvgg4B9LMx8R4vNTvpvb0PqojZFKwGqm6HPbOxappi5A6b2YgFEujAqOwM5oeHjK0AsxA&amp;utm_content=226712652&amp;utm_source=hs_email</w:t>
        </w:r>
      </w:hyperlink>
      <w:r>
        <w:t xml:space="preserve"> </w:t>
      </w:r>
    </w:p>
    <w:p w14:paraId="176EA95F" w14:textId="77777777" w:rsidR="006C79BE" w:rsidRDefault="006C79BE" w:rsidP="006C79BE">
      <w:pPr>
        <w:pStyle w:val="NormalWeb"/>
        <w:rPr>
          <w:b/>
          <w:bCs/>
        </w:rPr>
      </w:pPr>
      <w:r w:rsidRPr="00B50BB2">
        <w:rPr>
          <w:b/>
          <w:bCs/>
        </w:rPr>
        <w:t>Legal Lesson Learned:</w:t>
      </w:r>
      <w:r>
        <w:rPr>
          <w:b/>
          <w:bCs/>
        </w:rPr>
        <w:t xml:space="preserve"> Sovereign immunity statute protects government entities from liability.</w:t>
      </w:r>
    </w:p>
    <w:p w14:paraId="0B645D4F" w14:textId="77777777" w:rsidR="006C79BE" w:rsidRPr="00B50BB2" w:rsidRDefault="006C79BE" w:rsidP="006C79BE">
      <w:pPr>
        <w:pStyle w:val="NormalWeb"/>
        <w:ind w:left="720"/>
      </w:pPr>
      <w:r>
        <w:t xml:space="preserve">Note: See Nov. 17, </w:t>
      </w:r>
      <w:proofErr w:type="gramStart"/>
      <w:r>
        <w:t>2021</w:t>
      </w:r>
      <w:proofErr w:type="gramEnd"/>
      <w:r>
        <w:t xml:space="preserve"> Court decision. </w:t>
      </w:r>
      <w:hyperlink r:id="rId892" w:history="1">
        <w:r w:rsidRPr="00075859">
          <w:rPr>
            <w:rStyle w:val="Hyperlink"/>
            <w:rFonts w:eastAsiaTheme="majorEastAsia"/>
          </w:rPr>
          <w:t>https://casetext.com/case/carey-v-town-of-rumford</w:t>
        </w:r>
      </w:hyperlink>
      <w:r>
        <w:t xml:space="preserve"> “At the hearing [on homeowner’s appeal of demolition order before the 3 members of Board of Selectpersons], there were over twenty documents admitted as evidence, and testimony was heard from four individuals. (PR 1-2.) One of those individuals, Rumford's fire chief, testified that he classified Carey's residence as a 100% loss once he viewed the premises after the fire was extinguished. (PR 4.) The chiefs opinion was premised upon his thirty years of experience fighting and investigating fires and the extensive structural damage to the building, which included: charred joists and subfloor, structural damage to the roof including two holes for fire ventilation, the complete loss of the staircase which rose from the basement to the first floor, the partial loss of the staircase which rose from the first to the second floor, and damage to the property's plumbing, electrical and heating systems. (PR 5.)”</w:t>
      </w:r>
    </w:p>
    <w:p w14:paraId="631038D6" w14:textId="77777777" w:rsidR="006C79BE" w:rsidRDefault="006C79BE" w:rsidP="002B1283">
      <w:pPr>
        <w:rPr>
          <w:rStyle w:val="Hyperlink"/>
          <w:rFonts w:ascii="Arial Black" w:hAnsi="Arial Black"/>
          <w:b/>
          <w:color w:val="auto"/>
          <w:sz w:val="24"/>
          <w:szCs w:val="24"/>
          <w:u w:val="none"/>
        </w:rPr>
      </w:pPr>
    </w:p>
    <w:p w14:paraId="30E0007B" w14:textId="77777777" w:rsidR="006C79BE" w:rsidRDefault="006C79BE" w:rsidP="002B1283">
      <w:pPr>
        <w:rPr>
          <w:rStyle w:val="Hyperlink"/>
          <w:rFonts w:ascii="Arial Black" w:hAnsi="Arial Black"/>
          <w:b/>
          <w:color w:val="auto"/>
          <w:sz w:val="24"/>
          <w:szCs w:val="24"/>
          <w:u w:val="none"/>
        </w:rPr>
      </w:pPr>
    </w:p>
    <w:p w14:paraId="62F8EE14" w14:textId="006153FF" w:rsidR="00AE32D3" w:rsidRDefault="00AE32D3" w:rsidP="002B1283">
      <w:pPr>
        <w:rPr>
          <w:rStyle w:val="Hyperlink"/>
          <w:rFonts w:ascii="Arial Black" w:hAnsi="Arial Black"/>
          <w:b/>
          <w:color w:val="auto"/>
          <w:sz w:val="24"/>
          <w:szCs w:val="24"/>
          <w:u w:val="none"/>
        </w:rPr>
      </w:pPr>
      <w:r>
        <w:rPr>
          <w:rStyle w:val="Hyperlink"/>
          <w:rFonts w:ascii="Arial Black" w:hAnsi="Arial Black"/>
          <w:b/>
          <w:color w:val="auto"/>
          <w:sz w:val="24"/>
          <w:szCs w:val="24"/>
          <w:u w:val="none"/>
        </w:rPr>
        <w:t>4-25</w:t>
      </w:r>
    </w:p>
    <w:p w14:paraId="52D76E15" w14:textId="77777777" w:rsidR="00AE32D3" w:rsidRPr="00AA0816" w:rsidRDefault="00AE32D3" w:rsidP="00AE32D3">
      <w:pPr>
        <w:pStyle w:val="NormalWeb"/>
        <w:rPr>
          <w:rFonts w:ascii="Arial Black" w:hAnsi="Arial Black"/>
          <w:sz w:val="28"/>
          <w:szCs w:val="28"/>
        </w:rPr>
      </w:pPr>
      <w:r>
        <w:rPr>
          <w:rFonts w:ascii="Arial Black" w:hAnsi="Arial Black"/>
          <w:sz w:val="28"/>
          <w:szCs w:val="28"/>
        </w:rPr>
        <w:t xml:space="preserve">NB: FF FIRED – AFTER SHE CLAIMED CAPT. “ABANDONED” HER </w:t>
      </w:r>
      <w:proofErr w:type="gramStart"/>
      <w:r>
        <w:rPr>
          <w:rFonts w:ascii="Arial Black" w:hAnsi="Arial Black"/>
          <w:sz w:val="28"/>
          <w:szCs w:val="28"/>
        </w:rPr>
        <w:t>IN WAREHOUSE</w:t>
      </w:r>
      <w:proofErr w:type="gramEnd"/>
      <w:r>
        <w:rPr>
          <w:rFonts w:ascii="Arial Black" w:hAnsi="Arial Black"/>
          <w:sz w:val="28"/>
          <w:szCs w:val="28"/>
        </w:rPr>
        <w:t xml:space="preserve"> FIRE – MAY DEPOSE INVEST. ATTY</w:t>
      </w:r>
    </w:p>
    <w:p w14:paraId="2DA6EE9D" w14:textId="77777777" w:rsidR="00AE32D3" w:rsidRDefault="00AE32D3" w:rsidP="00AE32D3">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On Nov. 20, 2022, in </w:t>
      </w:r>
      <w:r w:rsidRPr="00AA0816">
        <w:rPr>
          <w:rFonts w:ascii="Times New Roman" w:eastAsia="Times New Roman" w:hAnsi="Times New Roman"/>
          <w:sz w:val="24"/>
          <w:szCs w:val="24"/>
          <w:u w:val="single"/>
        </w:rPr>
        <w:t>Amanda Benson v. City of Lincoln, et al</w:t>
      </w:r>
      <w:r>
        <w:rPr>
          <w:rFonts w:ascii="Times New Roman" w:eastAsia="Times New Roman" w:hAnsi="Times New Roman"/>
          <w:sz w:val="24"/>
          <w:szCs w:val="24"/>
        </w:rPr>
        <w:t xml:space="preserve">., U.S. Magistrate Judge Michael D. Nelson, U.S. District Court for District of Nebraska, held that if the City intends in the defense of this civil suit to call the attorney they retained to conduct the investigation, then the city has waived its attorney-client privilege and the plaintiff, who has been provided the Investigation Report, may now depose that attorney and obtain copies of her investigative notes </w:t>
      </w:r>
    </w:p>
    <w:p w14:paraId="781CCA0F" w14:textId="77777777" w:rsidR="00AE32D3" w:rsidRPr="00161C5B" w:rsidRDefault="00AE32D3" w:rsidP="00AE32D3">
      <w:pPr>
        <w:spacing w:before="100" w:beforeAutospacing="1" w:after="100" w:afterAutospacing="1" w:line="240" w:lineRule="auto"/>
        <w:ind w:left="720"/>
        <w:rPr>
          <w:rFonts w:ascii="Times New Roman" w:hAnsi="Times New Roman"/>
          <w:sz w:val="24"/>
          <w:szCs w:val="24"/>
        </w:rPr>
      </w:pPr>
      <w:r w:rsidRPr="00161C5B">
        <w:rPr>
          <w:rFonts w:ascii="Times New Roman" w:eastAsia="Times New Roman" w:hAnsi="Times New Roman"/>
          <w:sz w:val="24"/>
          <w:szCs w:val="24"/>
        </w:rPr>
        <w:t>“</w:t>
      </w:r>
      <w:r w:rsidRPr="00161C5B">
        <w:rPr>
          <w:rFonts w:ascii="Times New Roman" w:hAnsi="Times New Roman"/>
          <w:sz w:val="24"/>
          <w:szCs w:val="24"/>
        </w:rPr>
        <w:t xml:space="preserve">After review, the Court finds that the City has now waived any claim of privilege in Ms. Gerdes' investigation into the April Warehouse Fire by affirmatively representing that the City intends to offer Ms. Gerdes' Investigation Report as evidence at trial and by representing that the City will rely on Ms. Gerdes' investigation as part of its defense to Plaintiff's claims…. It would be ‘patently unfair’ for the City to present Ms. Gerdes' Investigation Report to a jury without providing Plaintiff with a full opportunity to explore and cross-examine Ms. Gerdes on the investigation.” </w:t>
      </w:r>
      <w:hyperlink r:id="rId893" w:history="1">
        <w:r w:rsidRPr="00161C5B">
          <w:rPr>
            <w:rStyle w:val="Hyperlink"/>
            <w:rFonts w:ascii="Times New Roman" w:hAnsi="Times New Roman"/>
            <w:sz w:val="24"/>
            <w:szCs w:val="24"/>
          </w:rPr>
          <w:t>https://public.fastcase.com/J%2FJP6pdidelsXxEE4k%2BLMn3rhSw89wni4akrGgclH4tY407nVvfTRwhYpyTytqAww5i%2BcjDR8DFfgYYxUNnhOrZ4pPx8rv87OEAaoYdIWaw%3D?utm_medium=email&amp;_hsmi=226712652&amp;_hsenc=p2ANqtz--lPKcQUZ00Y_ImXZh39HMz6UO0kEIbng7bmb6odI7o6fRRwj_-I6PCBlRwjLhuflNpZQs-1Wu84wEID-VmUx_pZGrr8w&amp;utm_content=226712652&amp;utm_source=hs_email</w:t>
        </w:r>
      </w:hyperlink>
      <w:r w:rsidRPr="00161C5B">
        <w:rPr>
          <w:rFonts w:ascii="Times New Roman" w:hAnsi="Times New Roman"/>
          <w:sz w:val="24"/>
          <w:szCs w:val="24"/>
        </w:rPr>
        <w:t xml:space="preserve"> </w:t>
      </w:r>
    </w:p>
    <w:p w14:paraId="74152115" w14:textId="77777777" w:rsidR="00AE32D3" w:rsidRPr="00CC2065" w:rsidRDefault="00AE32D3" w:rsidP="00AE32D3">
      <w:pPr>
        <w:pStyle w:val="NormalWeb"/>
        <w:rPr>
          <w:b/>
          <w:bCs/>
        </w:rPr>
      </w:pPr>
      <w:r w:rsidRPr="00CC2065">
        <w:rPr>
          <w:b/>
          <w:bCs/>
        </w:rPr>
        <w:t>Legal Lesson Learned:</w:t>
      </w:r>
      <w:r>
        <w:rPr>
          <w:b/>
          <w:bCs/>
        </w:rPr>
        <w:t xml:space="preserve"> Attorney-client privilege can be </w:t>
      </w:r>
      <w:proofErr w:type="spellStart"/>
      <w:r>
        <w:rPr>
          <w:b/>
          <w:bCs/>
        </w:rPr>
        <w:t>waved</w:t>
      </w:r>
      <w:proofErr w:type="spellEnd"/>
      <w:r>
        <w:rPr>
          <w:b/>
          <w:bCs/>
        </w:rPr>
        <w:t xml:space="preserve"> by the client calling the attorney as a witness in civil trial. </w:t>
      </w:r>
    </w:p>
    <w:p w14:paraId="12B55DAD" w14:textId="77777777" w:rsidR="00AE32D3" w:rsidRDefault="00AE32D3" w:rsidP="002B1283">
      <w:pPr>
        <w:rPr>
          <w:rStyle w:val="Hyperlink"/>
          <w:rFonts w:ascii="Arial Black" w:hAnsi="Arial Black"/>
          <w:b/>
          <w:color w:val="auto"/>
          <w:sz w:val="24"/>
          <w:szCs w:val="24"/>
          <w:u w:val="none"/>
        </w:rPr>
      </w:pPr>
    </w:p>
    <w:p w14:paraId="59B2EAA9" w14:textId="77777777" w:rsidR="00AE32D3" w:rsidRDefault="00AE32D3" w:rsidP="002B1283">
      <w:pPr>
        <w:rPr>
          <w:rStyle w:val="Hyperlink"/>
          <w:rFonts w:ascii="Arial Black" w:hAnsi="Arial Black"/>
          <w:b/>
          <w:color w:val="auto"/>
          <w:sz w:val="24"/>
          <w:szCs w:val="24"/>
          <w:u w:val="none"/>
        </w:rPr>
      </w:pPr>
    </w:p>
    <w:p w14:paraId="3DC10F41" w14:textId="77777777" w:rsidR="00AE32D3" w:rsidRDefault="00AE32D3" w:rsidP="002B1283">
      <w:pPr>
        <w:rPr>
          <w:rStyle w:val="Hyperlink"/>
          <w:rFonts w:ascii="Arial Black" w:hAnsi="Arial Black"/>
          <w:b/>
          <w:color w:val="auto"/>
          <w:sz w:val="24"/>
          <w:szCs w:val="24"/>
          <w:u w:val="none"/>
        </w:rPr>
      </w:pPr>
    </w:p>
    <w:p w14:paraId="275AB2D0" w14:textId="3FE13528" w:rsidR="006D2C51" w:rsidRDefault="006D2C51" w:rsidP="002B1283">
      <w:pPr>
        <w:rPr>
          <w:rStyle w:val="Hyperlink"/>
          <w:rFonts w:ascii="Arial Black" w:hAnsi="Arial Black"/>
          <w:b/>
          <w:color w:val="auto"/>
          <w:sz w:val="24"/>
          <w:szCs w:val="24"/>
          <w:u w:val="none"/>
        </w:rPr>
      </w:pPr>
      <w:r>
        <w:rPr>
          <w:rStyle w:val="Hyperlink"/>
          <w:rFonts w:ascii="Arial Black" w:hAnsi="Arial Black"/>
          <w:b/>
          <w:color w:val="auto"/>
          <w:sz w:val="24"/>
          <w:szCs w:val="24"/>
          <w:u w:val="none"/>
        </w:rPr>
        <w:t>4-24</w:t>
      </w:r>
    </w:p>
    <w:p w14:paraId="08D680AE" w14:textId="77777777" w:rsidR="006D2C51" w:rsidRPr="00124990" w:rsidRDefault="006D2C51" w:rsidP="006D2C51">
      <w:pPr>
        <w:spacing w:before="100" w:beforeAutospacing="1" w:after="100" w:afterAutospacing="1" w:line="240" w:lineRule="auto"/>
        <w:rPr>
          <w:rFonts w:ascii="Arial Black" w:eastAsia="Times New Roman" w:hAnsi="Arial Black"/>
          <w:sz w:val="28"/>
          <w:szCs w:val="28"/>
        </w:rPr>
      </w:pPr>
      <w:r w:rsidRPr="00124990">
        <w:rPr>
          <w:rFonts w:ascii="Arial Black" w:eastAsia="Times New Roman" w:hAnsi="Arial Black"/>
          <w:sz w:val="28"/>
          <w:szCs w:val="28"/>
        </w:rPr>
        <w:t>CO: FOUR BYSTANDERS VIDEOTAPING POLICE - DUI TRAFFIC STOP – 10</w:t>
      </w:r>
      <w:r w:rsidRPr="00124990">
        <w:rPr>
          <w:rFonts w:ascii="Arial Black" w:eastAsia="Times New Roman" w:hAnsi="Arial Black"/>
          <w:sz w:val="28"/>
          <w:szCs w:val="28"/>
          <w:vertAlign w:val="superscript"/>
        </w:rPr>
        <w:t>th</w:t>
      </w:r>
      <w:r w:rsidRPr="00124990">
        <w:rPr>
          <w:rFonts w:ascii="Arial Black" w:eastAsia="Times New Roman" w:hAnsi="Arial Black"/>
          <w:sz w:val="28"/>
          <w:szCs w:val="28"/>
        </w:rPr>
        <w:t xml:space="preserve"> CIRCUIT LAWFUL – ALSO 7 OTHER CIR. </w:t>
      </w:r>
    </w:p>
    <w:p w14:paraId="28134843" w14:textId="77777777" w:rsidR="006D2C51" w:rsidRPr="00E277BC" w:rsidRDefault="006D2C51" w:rsidP="006D2C51">
      <w:pPr>
        <w:spacing w:before="100" w:beforeAutospacing="1" w:after="100" w:afterAutospacing="1" w:line="240" w:lineRule="auto"/>
        <w:rPr>
          <w:rFonts w:ascii="Times New Roman" w:eastAsia="Times New Roman" w:hAnsi="Times New Roman"/>
          <w:b/>
          <w:bCs/>
          <w:sz w:val="24"/>
          <w:szCs w:val="24"/>
        </w:rPr>
      </w:pPr>
      <w:r>
        <w:rPr>
          <w:rFonts w:ascii="Times New Roman" w:eastAsia="Times New Roman" w:hAnsi="Times New Roman"/>
          <w:sz w:val="24"/>
          <w:szCs w:val="24"/>
        </w:rPr>
        <w:t xml:space="preserve">On July 11, 2022, in </w:t>
      </w:r>
      <w:r w:rsidRPr="0074781E">
        <w:rPr>
          <w:rFonts w:ascii="Times New Roman" w:eastAsia="Times New Roman" w:hAnsi="Times New Roman"/>
          <w:sz w:val="24"/>
          <w:szCs w:val="24"/>
          <w:u w:val="single"/>
        </w:rPr>
        <w:t>Abrade Irizarry v. A, Yehia</w:t>
      </w:r>
      <w:r>
        <w:rPr>
          <w:rFonts w:ascii="Times New Roman" w:eastAsia="Times New Roman" w:hAnsi="Times New Roman"/>
          <w:sz w:val="24"/>
          <w:szCs w:val="24"/>
        </w:rPr>
        <w:t>, the U.S. Court of Appeals for the 10</w:t>
      </w:r>
      <w:r w:rsidRPr="0074781E">
        <w:rPr>
          <w:rFonts w:ascii="Times New Roman" w:eastAsia="Times New Roman" w:hAnsi="Times New Roman"/>
          <w:sz w:val="24"/>
          <w:szCs w:val="24"/>
          <w:vertAlign w:val="superscript"/>
        </w:rPr>
        <w:t>th</w:t>
      </w:r>
      <w:r>
        <w:rPr>
          <w:rFonts w:ascii="Times New Roman" w:eastAsia="Times New Roman" w:hAnsi="Times New Roman"/>
          <w:sz w:val="24"/>
          <w:szCs w:val="24"/>
        </w:rPr>
        <w:t xml:space="preserve"> Circuit (Denver, CO) held (3 to 0) that U.S. District Court judge improper dismissed the pro se [had no attorney] lawsuit filed by a “</w:t>
      </w:r>
      <w:proofErr w:type="spellStart"/>
      <w:r>
        <w:rPr>
          <w:rFonts w:ascii="Times New Roman" w:eastAsia="Times New Roman" w:hAnsi="Times New Roman"/>
          <w:sz w:val="24"/>
          <w:szCs w:val="24"/>
        </w:rPr>
        <w:t>Youtube</w:t>
      </w:r>
      <w:proofErr w:type="spellEnd"/>
      <w:r>
        <w:rPr>
          <w:rFonts w:ascii="Times New Roman" w:eastAsia="Times New Roman" w:hAnsi="Times New Roman"/>
          <w:sz w:val="24"/>
          <w:szCs w:val="24"/>
        </w:rPr>
        <w:t xml:space="preserve"> journalist” against a City of Lakewood police officer, </w:t>
      </w:r>
      <w:r w:rsidRPr="00B31C59">
        <w:rPr>
          <w:rFonts w:ascii="Times New Roman" w:hAnsi="Times New Roman"/>
          <w:sz w:val="24"/>
          <w:szCs w:val="24"/>
        </w:rPr>
        <w:t>Ahmed Yehia</w:t>
      </w:r>
      <w:r>
        <w:rPr>
          <w:rFonts w:ascii="Times New Roman" w:hAnsi="Times New Roman"/>
          <w:sz w:val="24"/>
          <w:szCs w:val="24"/>
        </w:rPr>
        <w:t>, alleging violation of First Amendment to U.S. Constitution.</w:t>
      </w:r>
      <w:r>
        <w:rPr>
          <w:rFonts w:ascii="Times New Roman" w:eastAsia="Times New Roman" w:hAnsi="Times New Roman"/>
          <w:sz w:val="24"/>
          <w:szCs w:val="24"/>
        </w:rPr>
        <w:t xml:space="preserve">  The lawsuit alleges the officer shinned his flashlight into the camera lens of four males videotaping on their cell phones a DUI traffic stop, positioned himself to block their view, </w:t>
      </w:r>
      <w:proofErr w:type="gramStart"/>
      <w:r>
        <w:rPr>
          <w:rFonts w:ascii="Times New Roman" w:eastAsia="Times New Roman" w:hAnsi="Times New Roman"/>
          <w:sz w:val="24"/>
          <w:szCs w:val="24"/>
        </w:rPr>
        <w:t>and also</w:t>
      </w:r>
      <w:proofErr w:type="gramEnd"/>
      <w:r>
        <w:rPr>
          <w:rFonts w:ascii="Times New Roman" w:eastAsia="Times New Roman" w:hAnsi="Times New Roman"/>
          <w:sz w:val="24"/>
          <w:szCs w:val="24"/>
        </w:rPr>
        <w:t xml:space="preserve"> got back in his cruiser and drove directly at the videographers, turning on his blast horn. The lawsuit against Officer Yehia will now proceed to pre-trial discovery.  </w:t>
      </w:r>
      <w:r w:rsidRPr="00B31C59">
        <w:rPr>
          <w:rFonts w:ascii="Times New Roman" w:hAnsi="Times New Roman"/>
          <w:sz w:val="24"/>
          <w:szCs w:val="24"/>
        </w:rPr>
        <w:t xml:space="preserve">“Mr. Irizarry’s right to film the police falls squarely within the First Amendment’s core purposes to protect free and robust discussion of public affairs, hold </w:t>
      </w:r>
      <w:r w:rsidRPr="00B31C59">
        <w:rPr>
          <w:rFonts w:ascii="Times New Roman" w:hAnsi="Times New Roman"/>
          <w:sz w:val="24"/>
          <w:szCs w:val="24"/>
        </w:rPr>
        <w:lastRenderedPageBreak/>
        <w:t>government officials accountable, and check abuse of power.”</w:t>
      </w:r>
      <w:r>
        <w:rPr>
          <w:rFonts w:ascii="Times New Roman" w:hAnsi="Times New Roman"/>
          <w:sz w:val="24"/>
          <w:szCs w:val="24"/>
        </w:rPr>
        <w:t xml:space="preserve"> </w:t>
      </w:r>
      <w:hyperlink r:id="rId894" w:history="1">
        <w:r w:rsidRPr="00355029">
          <w:rPr>
            <w:rStyle w:val="Hyperlink"/>
            <w:rFonts w:ascii="Times New Roman" w:hAnsi="Times New Roman"/>
            <w:sz w:val="24"/>
            <w:szCs w:val="24"/>
          </w:rPr>
          <w:t>https://www.eff.org/files/2022/07/11/2022-07-11_-_tenth_circuit_-_irizarry_v_yehia.pdf</w:t>
        </w:r>
      </w:hyperlink>
      <w:r>
        <w:rPr>
          <w:rStyle w:val="markedcontent"/>
          <w:rFonts w:ascii="Times New Roman" w:hAnsi="Times New Roman"/>
          <w:sz w:val="24"/>
          <w:szCs w:val="24"/>
        </w:rPr>
        <w:t xml:space="preserve"> </w:t>
      </w:r>
    </w:p>
    <w:p w14:paraId="58292654" w14:textId="77777777" w:rsidR="006D2C51" w:rsidRDefault="006D2C51" w:rsidP="006D2C51">
      <w:pPr>
        <w:spacing w:before="100" w:beforeAutospacing="1" w:after="100" w:afterAutospacing="1" w:line="240" w:lineRule="auto"/>
        <w:rPr>
          <w:rStyle w:val="markedcontent"/>
          <w:rFonts w:ascii="Times New Roman" w:hAnsi="Times New Roman"/>
          <w:b/>
          <w:bCs/>
          <w:sz w:val="24"/>
          <w:szCs w:val="24"/>
        </w:rPr>
      </w:pPr>
      <w:r w:rsidRPr="003E5A4B">
        <w:rPr>
          <w:rStyle w:val="markedcontent"/>
          <w:rFonts w:ascii="Times New Roman" w:hAnsi="Times New Roman"/>
          <w:b/>
          <w:bCs/>
          <w:sz w:val="24"/>
          <w:szCs w:val="24"/>
        </w:rPr>
        <w:t xml:space="preserve">Legal Lesson Learned: </w:t>
      </w:r>
      <w:r>
        <w:rPr>
          <w:rStyle w:val="markedcontent"/>
          <w:rFonts w:ascii="Times New Roman" w:hAnsi="Times New Roman"/>
          <w:b/>
          <w:bCs/>
          <w:sz w:val="24"/>
          <w:szCs w:val="24"/>
        </w:rPr>
        <w:t xml:space="preserve">Fire &amp; EMS likewise cannot prohibit videotaping their conduct at a public location; but you may take reasonable steps to protect the privacy of patients [such as holding up bed sheet when loading into ambulance]. </w:t>
      </w:r>
    </w:p>
    <w:p w14:paraId="3DB0580E" w14:textId="77777777" w:rsidR="006D2C51" w:rsidRPr="008C241B" w:rsidRDefault="006D2C51" w:rsidP="006D2C51">
      <w:pPr>
        <w:spacing w:before="100" w:beforeAutospacing="1" w:after="100" w:afterAutospacing="1" w:line="240" w:lineRule="auto"/>
        <w:ind w:left="720"/>
        <w:rPr>
          <w:rFonts w:ascii="Times New Roman" w:hAnsi="Times New Roman"/>
          <w:sz w:val="24"/>
          <w:szCs w:val="24"/>
        </w:rPr>
      </w:pPr>
      <w:r w:rsidRPr="008C241B">
        <w:rPr>
          <w:rStyle w:val="markedcontent"/>
          <w:rFonts w:ascii="Times New Roman" w:hAnsi="Times New Roman"/>
          <w:sz w:val="24"/>
          <w:szCs w:val="24"/>
        </w:rPr>
        <w:t xml:space="preserve">Note: See </w:t>
      </w:r>
      <w:r>
        <w:rPr>
          <w:rStyle w:val="markedcontent"/>
          <w:rFonts w:ascii="Times New Roman" w:hAnsi="Times New Roman"/>
          <w:sz w:val="24"/>
          <w:szCs w:val="24"/>
        </w:rPr>
        <w:t xml:space="preserve">July 12, </w:t>
      </w:r>
      <w:proofErr w:type="gramStart"/>
      <w:r>
        <w:rPr>
          <w:rStyle w:val="markedcontent"/>
          <w:rFonts w:ascii="Times New Roman" w:hAnsi="Times New Roman"/>
          <w:sz w:val="24"/>
          <w:szCs w:val="24"/>
        </w:rPr>
        <w:t>2022</w:t>
      </w:r>
      <w:proofErr w:type="gramEnd"/>
      <w:r>
        <w:rPr>
          <w:rStyle w:val="markedcontent"/>
          <w:rFonts w:ascii="Times New Roman" w:hAnsi="Times New Roman"/>
          <w:sz w:val="24"/>
          <w:szCs w:val="24"/>
        </w:rPr>
        <w:t xml:space="preserve"> </w:t>
      </w:r>
      <w:r w:rsidRPr="008C241B">
        <w:rPr>
          <w:rStyle w:val="markedcontent"/>
          <w:rFonts w:ascii="Times New Roman" w:hAnsi="Times New Roman"/>
          <w:sz w:val="24"/>
          <w:szCs w:val="24"/>
        </w:rPr>
        <w:t>article on this decision. “</w:t>
      </w:r>
      <w:r w:rsidRPr="008C241B">
        <w:rPr>
          <w:rFonts w:ascii="Times New Roman" w:hAnsi="Times New Roman"/>
          <w:sz w:val="24"/>
          <w:szCs w:val="24"/>
        </w:rPr>
        <w:t xml:space="preserve">10th Circuit Court of Appeals Upholds Public Right to Record Police.” </w:t>
      </w:r>
      <w:hyperlink r:id="rId895" w:history="1">
        <w:r w:rsidRPr="008C241B">
          <w:rPr>
            <w:rStyle w:val="Hyperlink"/>
            <w:rFonts w:ascii="Times New Roman" w:hAnsi="Times New Roman"/>
            <w:sz w:val="24"/>
            <w:szCs w:val="24"/>
          </w:rPr>
          <w:t>https://firstamendmentwatch.org/10th-circuit-court-of-appeals-upholds-public-right-to-record-police/</w:t>
        </w:r>
      </w:hyperlink>
      <w:r w:rsidRPr="008C241B">
        <w:rPr>
          <w:rFonts w:ascii="Times New Roman" w:hAnsi="Times New Roman"/>
          <w:sz w:val="24"/>
          <w:szCs w:val="24"/>
        </w:rPr>
        <w:t xml:space="preserve">.  “The </w:t>
      </w:r>
      <w:hyperlink r:id="rId896" w:tgtFrame="_blank" w:history="1">
        <w:r w:rsidRPr="008C241B">
          <w:rPr>
            <w:rStyle w:val="Hyperlink"/>
            <w:rFonts w:ascii="Times New Roman" w:hAnsi="Times New Roman"/>
            <w:sz w:val="24"/>
            <w:szCs w:val="24"/>
          </w:rPr>
          <w:t>U.S. Court of Appeals for the 10th Circuit</w:t>
        </w:r>
      </w:hyperlink>
      <w:r w:rsidRPr="008C241B">
        <w:rPr>
          <w:rFonts w:ascii="Times New Roman" w:hAnsi="Times New Roman"/>
          <w:sz w:val="24"/>
          <w:szCs w:val="24"/>
        </w:rPr>
        <w:t xml:space="preserve">, based in Denver, became the seventh federal appeals court to affirm there’s a First Amendment right to record the police performing their official duties in public.” </w:t>
      </w:r>
    </w:p>
    <w:p w14:paraId="312EEE5F" w14:textId="77777777" w:rsidR="006D2C51" w:rsidRPr="008C241B" w:rsidRDefault="006D2C51" w:rsidP="006D2C51">
      <w:pPr>
        <w:pStyle w:val="NormalWeb"/>
        <w:ind w:left="720"/>
      </w:pPr>
      <w:r w:rsidRPr="008C241B">
        <w:t xml:space="preserve">See also </w:t>
      </w:r>
      <w:r>
        <w:t xml:space="preserve">July 8, </w:t>
      </w:r>
      <w:proofErr w:type="gramStart"/>
      <w:r>
        <w:t>2022</w:t>
      </w:r>
      <w:proofErr w:type="gramEnd"/>
      <w:r>
        <w:t xml:space="preserve"> article, “</w:t>
      </w:r>
      <w:r w:rsidRPr="008C241B">
        <w:t xml:space="preserve">Arizona Governor Signs Bill to Restrict Recording Police in Public.”  “Arizona Gov. Douglas Ducey signed into law a bill that would make it illegal to photograph or record a police officer in public from </w:t>
      </w:r>
      <w:proofErr w:type="gramStart"/>
      <w:r w:rsidRPr="008C241B">
        <w:t>a distance of eight</w:t>
      </w:r>
      <w:proofErr w:type="gramEnd"/>
      <w:r w:rsidRPr="008C241B">
        <w:t xml:space="preserve"> feet without the officer’s permission. Controversial</w:t>
      </w:r>
      <w:hyperlink r:id="rId897" w:tgtFrame="_blank" w:history="1">
        <w:r w:rsidRPr="008C241B">
          <w:rPr>
            <w:rStyle w:val="Hyperlink"/>
            <w:rFonts w:eastAsiaTheme="majorEastAsia"/>
          </w:rPr>
          <w:t xml:space="preserve"> House Bill 2319</w:t>
        </w:r>
      </w:hyperlink>
      <w:r w:rsidRPr="008C241B">
        <w:t xml:space="preserve"> says if an individual is asked by the police to quit filming but continues to do so would face a Class 3 misdemeanor and up to 30 days in jail.” </w:t>
      </w:r>
      <w:hyperlink r:id="rId898" w:history="1">
        <w:r w:rsidRPr="008C241B">
          <w:rPr>
            <w:rStyle w:val="Hyperlink"/>
            <w:rFonts w:eastAsiaTheme="majorEastAsia"/>
          </w:rPr>
          <w:t>https://firstamendmentwatch.org/arizona-governor-signs-bill-to-restrict-recording-of-police-in-public/</w:t>
        </w:r>
      </w:hyperlink>
      <w:r w:rsidRPr="008C241B">
        <w:t xml:space="preserve">  </w:t>
      </w:r>
    </w:p>
    <w:p w14:paraId="2A138FA3" w14:textId="77777777" w:rsidR="006D2C51" w:rsidRDefault="006D2C51" w:rsidP="002B1283">
      <w:pPr>
        <w:rPr>
          <w:rStyle w:val="Hyperlink"/>
          <w:rFonts w:ascii="Arial Black" w:hAnsi="Arial Black"/>
          <w:b/>
          <w:color w:val="auto"/>
          <w:sz w:val="24"/>
          <w:szCs w:val="24"/>
          <w:u w:val="none"/>
        </w:rPr>
      </w:pPr>
    </w:p>
    <w:p w14:paraId="13F872A8" w14:textId="5D8A9F71" w:rsidR="003F4E70" w:rsidRDefault="003F4E70" w:rsidP="002B1283">
      <w:pPr>
        <w:rPr>
          <w:rStyle w:val="Hyperlink"/>
          <w:rFonts w:ascii="Arial Black" w:hAnsi="Arial Black"/>
          <w:b/>
          <w:color w:val="auto"/>
          <w:sz w:val="24"/>
          <w:szCs w:val="24"/>
          <w:u w:val="none"/>
        </w:rPr>
      </w:pPr>
      <w:r>
        <w:rPr>
          <w:rStyle w:val="Hyperlink"/>
          <w:rFonts w:ascii="Arial Black" w:hAnsi="Arial Black"/>
          <w:b/>
          <w:color w:val="auto"/>
          <w:sz w:val="24"/>
          <w:szCs w:val="24"/>
          <w:u w:val="none"/>
        </w:rPr>
        <w:t>4-23</w:t>
      </w:r>
    </w:p>
    <w:p w14:paraId="2AFA1F86" w14:textId="77777777" w:rsidR="003F4E70" w:rsidRDefault="003F4E70" w:rsidP="003F4E70">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IL: STRUCTURE FIRE – MOTHER DEAD, TWO KIDS STILL TRAPPED – POLICE TACKLED MAN TRYING ENTER HOUSE</w:t>
      </w:r>
    </w:p>
    <w:p w14:paraId="649C31E3" w14:textId="589828AD" w:rsidR="003F4E70" w:rsidRDefault="003F4E70" w:rsidP="003F4E70">
      <w:pPr>
        <w:rPr>
          <w:rStyle w:val="Hyperlink"/>
          <w:rFonts w:ascii="Arial Black" w:hAnsi="Arial Black"/>
          <w:b/>
          <w:color w:val="auto"/>
          <w:sz w:val="24"/>
          <w:szCs w:val="24"/>
          <w:u w:val="none"/>
        </w:rPr>
      </w:pPr>
      <w:r w:rsidRPr="00641E3A">
        <w:rPr>
          <w:rFonts w:ascii="Times New Roman" w:eastAsia="Times New Roman" w:hAnsi="Times New Roman"/>
          <w:sz w:val="24"/>
          <w:szCs w:val="24"/>
        </w:rPr>
        <w:t>On</w:t>
      </w:r>
      <w:r>
        <w:rPr>
          <w:rFonts w:ascii="Times New Roman" w:eastAsia="Times New Roman" w:hAnsi="Times New Roman"/>
          <w:sz w:val="24"/>
          <w:szCs w:val="24"/>
        </w:rPr>
        <w:t xml:space="preserve"> May 6, 2022, in </w:t>
      </w:r>
      <w:r w:rsidRPr="00201F44">
        <w:rPr>
          <w:rFonts w:ascii="Times New Roman" w:eastAsia="Times New Roman" w:hAnsi="Times New Roman"/>
          <w:sz w:val="24"/>
          <w:szCs w:val="24"/>
          <w:u w:val="single"/>
        </w:rPr>
        <w:t>William F. Moss v. Gabe Schimp, et al</w:t>
      </w:r>
      <w:r>
        <w:rPr>
          <w:rFonts w:ascii="Times New Roman" w:eastAsia="Times New Roman" w:hAnsi="Times New Roman"/>
          <w:sz w:val="24"/>
          <w:szCs w:val="24"/>
        </w:rPr>
        <w:t xml:space="preserve">., U.S. Magistrate Judge Mark A. Beatty, U.S. District Court for Southern District of Illinois, held that the police officers who tackled the plaintiff to prevent him from entering the burning house enjoy qualified immunity. The plaintiff intentionally ignored the yellow scene tapes and the police officers command to stop. It is unfortunate that the police tackle led to </w:t>
      </w:r>
      <w:r w:rsidRPr="00201F44">
        <w:rPr>
          <w:rFonts w:ascii="Times New Roman" w:hAnsi="Times New Roman"/>
          <w:sz w:val="24"/>
          <w:szCs w:val="24"/>
        </w:rPr>
        <w:t>a quadriceps tendon tear in Moss's left knee</w:t>
      </w:r>
      <w:r>
        <w:rPr>
          <w:rFonts w:ascii="Times New Roman" w:hAnsi="Times New Roman"/>
          <w:sz w:val="24"/>
          <w:szCs w:val="24"/>
        </w:rPr>
        <w:t xml:space="preserve">, </w:t>
      </w:r>
      <w:r w:rsidRPr="00201F44">
        <w:rPr>
          <w:rFonts w:ascii="Times New Roman" w:hAnsi="Times New Roman"/>
          <w:sz w:val="24"/>
          <w:szCs w:val="24"/>
        </w:rPr>
        <w:t>a rupture of his right patellar tendon</w:t>
      </w:r>
      <w:r>
        <w:rPr>
          <w:rFonts w:ascii="Times New Roman" w:hAnsi="Times New Roman"/>
          <w:sz w:val="24"/>
          <w:szCs w:val="24"/>
        </w:rPr>
        <w:t>,</w:t>
      </w:r>
      <w:r w:rsidRPr="00201F44">
        <w:rPr>
          <w:rFonts w:ascii="Times New Roman" w:hAnsi="Times New Roman"/>
          <w:sz w:val="24"/>
          <w:szCs w:val="24"/>
        </w:rPr>
        <w:t xml:space="preserve"> and a rupture of his left quadriceps tendon</w:t>
      </w:r>
      <w:r>
        <w:rPr>
          <w:rFonts w:ascii="Times New Roman" w:hAnsi="Times New Roman"/>
          <w:sz w:val="24"/>
          <w:szCs w:val="24"/>
        </w:rPr>
        <w:t xml:space="preserve">, but the officers did not use excessive force. </w:t>
      </w:r>
      <w:hyperlink r:id="rId899" w:history="1">
        <w:r w:rsidRPr="00EF6688">
          <w:rPr>
            <w:rStyle w:val="Hyperlink"/>
            <w:rFonts w:ascii="Times New Roman" w:hAnsi="Times New Roman"/>
            <w:sz w:val="24"/>
            <w:szCs w:val="24"/>
          </w:rPr>
          <w:t>https://public.fastcase.com/waZtJvSA54UAurM2rmIZz%2BDBDza2Dcvrp2SE0zpDRm3uGB65hvSCPfK4VjLpx5do7UnCIAIPH2MB5FJFO94Wb3w6W7ePwbFST%2FncfNL0phQ%3D</w:t>
        </w:r>
      </w:hyperlink>
    </w:p>
    <w:p w14:paraId="5CDAC593" w14:textId="77777777" w:rsidR="003F4E70" w:rsidRPr="00641E3A" w:rsidRDefault="003F4E70" w:rsidP="003F4E70">
      <w:pPr>
        <w:spacing w:before="100" w:beforeAutospacing="1" w:after="100" w:afterAutospacing="1" w:line="240" w:lineRule="auto"/>
        <w:rPr>
          <w:rFonts w:ascii="Times New Roman" w:eastAsia="Times New Roman" w:hAnsi="Times New Roman"/>
          <w:b/>
          <w:bCs/>
          <w:sz w:val="24"/>
          <w:szCs w:val="24"/>
        </w:rPr>
      </w:pPr>
      <w:r w:rsidRPr="0069502A">
        <w:rPr>
          <w:rFonts w:ascii="Times New Roman" w:hAnsi="Times New Roman"/>
          <w:b/>
          <w:bCs/>
          <w:sz w:val="24"/>
          <w:szCs w:val="24"/>
        </w:rPr>
        <w:t>Legal Lesson Learned:</w:t>
      </w:r>
      <w:r>
        <w:rPr>
          <w:rFonts w:ascii="Times New Roman" w:hAnsi="Times New Roman"/>
          <w:b/>
          <w:bCs/>
          <w:sz w:val="24"/>
          <w:szCs w:val="24"/>
        </w:rPr>
        <w:t xml:space="preserve"> The police officers acted reasonably to protect the structure fire scene and are entitled to qualified immunity. </w:t>
      </w:r>
    </w:p>
    <w:p w14:paraId="19E2CA18" w14:textId="77777777" w:rsidR="003F4E70" w:rsidRDefault="003F4E70" w:rsidP="002B1283">
      <w:pPr>
        <w:rPr>
          <w:rStyle w:val="Hyperlink"/>
          <w:rFonts w:ascii="Arial Black" w:hAnsi="Arial Black"/>
          <w:b/>
          <w:color w:val="auto"/>
          <w:sz w:val="24"/>
          <w:szCs w:val="24"/>
          <w:u w:val="none"/>
        </w:rPr>
      </w:pPr>
    </w:p>
    <w:p w14:paraId="536F065A" w14:textId="77777777" w:rsidR="003F4E70" w:rsidRDefault="003F4E70" w:rsidP="002B1283">
      <w:pPr>
        <w:rPr>
          <w:rStyle w:val="Hyperlink"/>
          <w:rFonts w:ascii="Arial Black" w:hAnsi="Arial Black"/>
          <w:b/>
          <w:color w:val="auto"/>
          <w:sz w:val="24"/>
          <w:szCs w:val="24"/>
          <w:u w:val="none"/>
        </w:rPr>
      </w:pPr>
    </w:p>
    <w:p w14:paraId="169E00DC" w14:textId="2C6FADE5" w:rsidR="003F4E70" w:rsidRDefault="003F4E70" w:rsidP="002B1283">
      <w:pPr>
        <w:rPr>
          <w:rStyle w:val="Hyperlink"/>
          <w:rFonts w:ascii="Arial Black" w:hAnsi="Arial Black"/>
          <w:b/>
          <w:color w:val="auto"/>
          <w:sz w:val="24"/>
          <w:szCs w:val="24"/>
          <w:u w:val="none"/>
        </w:rPr>
      </w:pPr>
      <w:r>
        <w:rPr>
          <w:rStyle w:val="Hyperlink"/>
          <w:rFonts w:ascii="Arial Black" w:hAnsi="Arial Black"/>
          <w:b/>
          <w:color w:val="auto"/>
          <w:sz w:val="24"/>
          <w:szCs w:val="24"/>
          <w:u w:val="none"/>
        </w:rPr>
        <w:t>4-22</w:t>
      </w:r>
    </w:p>
    <w:p w14:paraId="1D693F9E" w14:textId="77777777" w:rsidR="003F4E70" w:rsidRPr="00990853" w:rsidRDefault="003F4E70" w:rsidP="003F4E70">
      <w:pPr>
        <w:spacing w:before="100" w:beforeAutospacing="1" w:after="100" w:afterAutospacing="1" w:line="240" w:lineRule="auto"/>
        <w:rPr>
          <w:rFonts w:ascii="Arial Black" w:hAnsi="Arial Black"/>
          <w:b/>
          <w:bCs/>
          <w:sz w:val="28"/>
          <w:szCs w:val="28"/>
        </w:rPr>
      </w:pPr>
      <w:r>
        <w:rPr>
          <w:rFonts w:ascii="Arial Black" w:hAnsi="Arial Black"/>
          <w:sz w:val="28"/>
          <w:szCs w:val="28"/>
        </w:rPr>
        <w:t>ME: MENTAL RUNS INTO ICY WATER – DROWNED – PD WAITED FD BOAT - FF “KICK HIS ASS” – NO IMMUNITY</w:t>
      </w:r>
    </w:p>
    <w:p w14:paraId="3CE7ECED" w14:textId="69BA46F2" w:rsidR="003F4E70" w:rsidRDefault="003F4E70" w:rsidP="003F4E70">
      <w:pPr>
        <w:rPr>
          <w:rStyle w:val="Hyperlink"/>
          <w:rFonts w:ascii="Arial Black" w:hAnsi="Arial Black"/>
          <w:b/>
          <w:color w:val="auto"/>
          <w:sz w:val="24"/>
          <w:szCs w:val="24"/>
          <w:u w:val="none"/>
        </w:rPr>
      </w:pPr>
      <w:r>
        <w:rPr>
          <w:rFonts w:ascii="Times New Roman" w:hAnsi="Times New Roman"/>
          <w:sz w:val="24"/>
          <w:szCs w:val="24"/>
        </w:rPr>
        <w:lastRenderedPageBreak/>
        <w:t xml:space="preserve">On May 4, 2022, in </w:t>
      </w:r>
      <w:r w:rsidRPr="00990853">
        <w:rPr>
          <w:rFonts w:ascii="Times New Roman" w:hAnsi="Times New Roman"/>
          <w:sz w:val="24"/>
          <w:szCs w:val="24"/>
          <w:u w:val="single"/>
        </w:rPr>
        <w:t>John Cohen v. City of Portland, et al</w:t>
      </w:r>
      <w:r>
        <w:rPr>
          <w:rFonts w:ascii="Times New Roman" w:hAnsi="Times New Roman"/>
          <w:sz w:val="24"/>
          <w:szCs w:val="24"/>
        </w:rPr>
        <w:t xml:space="preserve">., U.S. District Court Judge Nancy Torresen, U.S. District Court for District of Maine, dismissed all the police officers who waited for a fire boat to assist in rescue of Eric Cohen, 25 (mental issues) who ran naked into the frigid, shallow waters of Back Cover and drowned after 25 minutes, but lawsuit may continue against the City for failure to train when responding to mental patient, and also against firefighter Ronald Giroux.  </w:t>
      </w:r>
      <w:r w:rsidRPr="00DC00A2">
        <w:rPr>
          <w:rFonts w:ascii="Times New Roman" w:hAnsi="Times New Roman"/>
          <w:sz w:val="24"/>
          <w:szCs w:val="24"/>
        </w:rPr>
        <w:t xml:space="preserve">According to the Complaint, Giroux shouted from the shore, “I will kick his ass if he comes out of the water.” </w:t>
      </w:r>
      <w:proofErr w:type="spellStart"/>
      <w:r w:rsidRPr="00DC00A2">
        <w:rPr>
          <w:rFonts w:ascii="Times New Roman" w:hAnsi="Times New Roman"/>
          <w:sz w:val="24"/>
          <w:szCs w:val="24"/>
        </w:rPr>
        <w:t>Compl</w:t>
      </w:r>
      <w:proofErr w:type="spellEnd"/>
      <w:r w:rsidRPr="00DC00A2">
        <w:rPr>
          <w:rFonts w:ascii="Times New Roman" w:hAnsi="Times New Roman"/>
          <w:sz w:val="24"/>
          <w:szCs w:val="24"/>
        </w:rPr>
        <w:t>. ¶ 26.</w:t>
      </w:r>
      <w:r>
        <w:rPr>
          <w:rFonts w:ascii="Times New Roman" w:hAnsi="Times New Roman"/>
          <w:sz w:val="24"/>
          <w:szCs w:val="24"/>
        </w:rPr>
        <w:t xml:space="preserve"> </w:t>
      </w:r>
      <w:r w:rsidRPr="00DC00A2">
        <w:rPr>
          <w:rFonts w:ascii="Times New Roman" w:hAnsi="Times New Roman"/>
          <w:sz w:val="24"/>
          <w:szCs w:val="24"/>
        </w:rPr>
        <w:t>Giroux's affirmative act, yelling a threat, enhanced the danger to Cohen</w:t>
      </w:r>
      <w:r>
        <w:rPr>
          <w:rFonts w:ascii="Times New Roman" w:hAnsi="Times New Roman"/>
          <w:sz w:val="24"/>
          <w:szCs w:val="24"/>
        </w:rPr>
        <w:t xml:space="preserve"> and may have contributed to his refusal to come out of the water.  </w:t>
      </w:r>
      <w:hyperlink r:id="rId900" w:history="1">
        <w:r w:rsidRPr="00600142">
          <w:rPr>
            <w:rStyle w:val="Hyperlink"/>
            <w:rFonts w:ascii="Times New Roman" w:hAnsi="Times New Roman"/>
            <w:sz w:val="24"/>
            <w:szCs w:val="24"/>
          </w:rPr>
          <w:t>https://public.fastcase.com/waZtJvSA54UAurM2rmIZzzd7nmMG05wthWSY4rh3YOX2SQqdjQ2bWm74KVsbZSPmzEoqJnKOxl0hCOa8LdPZAi50MjJV0MwcRqnMVHWnvKI%3D</w:t>
        </w:r>
      </w:hyperlink>
    </w:p>
    <w:p w14:paraId="446454C7" w14:textId="77777777" w:rsidR="003F4E70" w:rsidRDefault="003F4E70" w:rsidP="003F4E70">
      <w:pPr>
        <w:spacing w:before="100" w:beforeAutospacing="1" w:after="100" w:afterAutospacing="1" w:line="240" w:lineRule="auto"/>
        <w:jc w:val="both"/>
        <w:rPr>
          <w:rFonts w:ascii="Times New Roman" w:hAnsi="Times New Roman"/>
          <w:b/>
          <w:bCs/>
          <w:sz w:val="24"/>
          <w:szCs w:val="24"/>
        </w:rPr>
      </w:pPr>
      <w:r w:rsidRPr="00CC11A3">
        <w:rPr>
          <w:rFonts w:ascii="Times New Roman" w:hAnsi="Times New Roman"/>
          <w:b/>
          <w:bCs/>
          <w:sz w:val="24"/>
          <w:szCs w:val="24"/>
        </w:rPr>
        <w:t xml:space="preserve">Legal Lesson Learned: </w:t>
      </w:r>
      <w:r>
        <w:rPr>
          <w:rFonts w:ascii="Times New Roman" w:hAnsi="Times New Roman"/>
          <w:b/>
          <w:bCs/>
          <w:sz w:val="24"/>
          <w:szCs w:val="24"/>
        </w:rPr>
        <w:t xml:space="preserve">Terrible loss of life and the firefighter’s conduct is unacceptable. </w:t>
      </w:r>
    </w:p>
    <w:p w14:paraId="5815203F" w14:textId="77777777" w:rsidR="003F4E70" w:rsidRPr="00CC11A3" w:rsidRDefault="003F4E70" w:rsidP="003F4E70">
      <w:pPr>
        <w:pStyle w:val="Heading1"/>
        <w:ind w:left="720"/>
        <w:rPr>
          <w:b w:val="0"/>
          <w:bCs w:val="0"/>
          <w:sz w:val="24"/>
          <w:szCs w:val="24"/>
        </w:rPr>
      </w:pPr>
      <w:r>
        <w:rPr>
          <w:b w:val="0"/>
          <w:bCs w:val="0"/>
          <w:sz w:val="24"/>
          <w:szCs w:val="24"/>
        </w:rPr>
        <w:t>See negative press: (May 5, 2022) “</w:t>
      </w:r>
      <w:r w:rsidRPr="00CC11A3">
        <w:rPr>
          <w:b w:val="0"/>
          <w:bCs w:val="0"/>
          <w:sz w:val="24"/>
          <w:szCs w:val="24"/>
        </w:rPr>
        <w:t>Federal judge says wrongful death lawsuit against Portland firefighter can move forward</w:t>
      </w:r>
      <w:r>
        <w:rPr>
          <w:b w:val="0"/>
          <w:bCs w:val="0"/>
          <w:sz w:val="24"/>
          <w:szCs w:val="24"/>
        </w:rPr>
        <w:t xml:space="preserve">.” </w:t>
      </w:r>
      <w:hyperlink r:id="rId901" w:history="1">
        <w:r w:rsidRPr="00600142">
          <w:rPr>
            <w:rStyle w:val="Hyperlink"/>
            <w:b w:val="0"/>
            <w:bCs w:val="0"/>
            <w:sz w:val="24"/>
            <w:szCs w:val="24"/>
          </w:rPr>
          <w:t>https://www.newscentermaine.com/article/news/local/portland/judge-dismisses-wrongful-death-lawsuit-against-city-all-but-one-portland-police-officer-portland-mental-health/97-9cb6ef72-b53c-4614-9d60-2360cbcd1702</w:t>
        </w:r>
      </w:hyperlink>
      <w:r>
        <w:rPr>
          <w:b w:val="0"/>
          <w:bCs w:val="0"/>
          <w:sz w:val="24"/>
          <w:szCs w:val="24"/>
        </w:rPr>
        <w:t xml:space="preserve"> </w:t>
      </w:r>
    </w:p>
    <w:p w14:paraId="2D03189F" w14:textId="2DABD10C" w:rsidR="003F4E70" w:rsidRDefault="003F4E70" w:rsidP="002B1283">
      <w:pPr>
        <w:rPr>
          <w:rStyle w:val="Hyperlink"/>
          <w:rFonts w:ascii="Arial Black" w:hAnsi="Arial Black"/>
          <w:b/>
          <w:color w:val="auto"/>
          <w:sz w:val="24"/>
          <w:szCs w:val="24"/>
          <w:u w:val="none"/>
        </w:rPr>
      </w:pPr>
    </w:p>
    <w:p w14:paraId="337F87CF" w14:textId="3E89F0DB" w:rsidR="003F4E70" w:rsidRDefault="003F4E70" w:rsidP="002B1283">
      <w:pPr>
        <w:rPr>
          <w:rStyle w:val="Hyperlink"/>
          <w:rFonts w:ascii="Arial Black" w:hAnsi="Arial Black"/>
          <w:b/>
          <w:color w:val="auto"/>
          <w:sz w:val="24"/>
          <w:szCs w:val="24"/>
          <w:u w:val="none"/>
        </w:rPr>
      </w:pPr>
    </w:p>
    <w:p w14:paraId="4CE9E789" w14:textId="77777777" w:rsidR="003F4E70" w:rsidRDefault="003F4E70" w:rsidP="002B1283">
      <w:pPr>
        <w:rPr>
          <w:rStyle w:val="Hyperlink"/>
          <w:rFonts w:ascii="Arial Black" w:hAnsi="Arial Black"/>
          <w:b/>
          <w:color w:val="auto"/>
          <w:sz w:val="24"/>
          <w:szCs w:val="24"/>
          <w:u w:val="none"/>
        </w:rPr>
      </w:pPr>
    </w:p>
    <w:p w14:paraId="42C80795" w14:textId="4693BE94" w:rsidR="003F4E70" w:rsidRDefault="003F4E70" w:rsidP="002B1283">
      <w:pPr>
        <w:rPr>
          <w:rStyle w:val="Hyperlink"/>
          <w:rFonts w:ascii="Arial Black" w:hAnsi="Arial Black"/>
          <w:b/>
          <w:color w:val="auto"/>
          <w:sz w:val="24"/>
          <w:szCs w:val="24"/>
          <w:u w:val="none"/>
        </w:rPr>
      </w:pPr>
      <w:r>
        <w:rPr>
          <w:rStyle w:val="Hyperlink"/>
          <w:rFonts w:ascii="Arial Black" w:hAnsi="Arial Black"/>
          <w:b/>
          <w:color w:val="auto"/>
          <w:sz w:val="24"/>
          <w:szCs w:val="24"/>
          <w:u w:val="none"/>
        </w:rPr>
        <w:t>4-21</w:t>
      </w:r>
    </w:p>
    <w:p w14:paraId="2370EE82" w14:textId="77777777" w:rsidR="003F4E70" w:rsidRPr="005C6980" w:rsidRDefault="003F4E70" w:rsidP="003F4E70">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CA: U.S. FOREST SERVICE – KINGS CANYON LODGE – IC DISCRETION ON RESOURCES - GOVERNMENTAL IMMUNITY</w:t>
      </w:r>
    </w:p>
    <w:p w14:paraId="3E7AB749" w14:textId="77777777" w:rsidR="003F4E70" w:rsidRDefault="003F4E70" w:rsidP="003F4E70">
      <w:pPr>
        <w:spacing w:before="100" w:beforeAutospacing="1" w:after="100" w:afterAutospacing="1" w:line="240" w:lineRule="auto"/>
        <w:rPr>
          <w:rFonts w:ascii="Times New Roman" w:hAnsi="Times New Roman"/>
          <w:sz w:val="24"/>
          <w:szCs w:val="24"/>
        </w:rPr>
      </w:pPr>
      <w:r>
        <w:rPr>
          <w:rFonts w:ascii="Times New Roman" w:eastAsia="Times New Roman" w:hAnsi="Times New Roman"/>
          <w:sz w:val="24"/>
          <w:szCs w:val="24"/>
        </w:rPr>
        <w:t xml:space="preserve">On April 12, 2022, in </w:t>
      </w:r>
      <w:r w:rsidRPr="005C6980">
        <w:rPr>
          <w:rFonts w:ascii="Times New Roman" w:eastAsia="Times New Roman" w:hAnsi="Times New Roman"/>
          <w:sz w:val="24"/>
          <w:szCs w:val="24"/>
          <w:u w:val="single"/>
        </w:rPr>
        <w:t>Lewis D. Evans and Carla S. Evans v. United States</w:t>
      </w:r>
      <w:r>
        <w:rPr>
          <w:rFonts w:ascii="Times New Roman" w:eastAsia="Times New Roman" w:hAnsi="Times New Roman"/>
          <w:sz w:val="24"/>
          <w:szCs w:val="24"/>
        </w:rPr>
        <w:t xml:space="preserve">, U.S. District Court Judge, Eastern District of California (Fresno), granted defense motion for summary judgment since under the Federal Tort Claims Act the government enjoys immunity for discretionary decisions that implicate public policy concerns, including incident command decisions when fighting forest fires. </w:t>
      </w:r>
      <w:r w:rsidRPr="008C18ED">
        <w:rPr>
          <w:rFonts w:ascii="Times New Roman" w:hAnsi="Times New Roman"/>
          <w:sz w:val="24"/>
          <w:szCs w:val="24"/>
        </w:rPr>
        <w:t xml:space="preserve">The Rough Fire </w:t>
      </w:r>
      <w:r>
        <w:rPr>
          <w:rFonts w:ascii="Times New Roman" w:hAnsi="Times New Roman"/>
          <w:sz w:val="24"/>
          <w:szCs w:val="24"/>
        </w:rPr>
        <w:t xml:space="preserve">started </w:t>
      </w:r>
      <w:r w:rsidRPr="008C18ED">
        <w:rPr>
          <w:rFonts w:ascii="Times New Roman" w:hAnsi="Times New Roman"/>
          <w:sz w:val="24"/>
          <w:szCs w:val="24"/>
        </w:rPr>
        <w:t>in July 2015 in the Sierra National Forest</w:t>
      </w:r>
      <w:r>
        <w:rPr>
          <w:rFonts w:ascii="Times New Roman" w:hAnsi="Times New Roman"/>
          <w:sz w:val="24"/>
          <w:szCs w:val="24"/>
        </w:rPr>
        <w:t>; p</w:t>
      </w:r>
      <w:r w:rsidRPr="008C18ED">
        <w:rPr>
          <w:rFonts w:ascii="Times New Roman" w:hAnsi="Times New Roman"/>
          <w:sz w:val="24"/>
          <w:szCs w:val="24"/>
        </w:rPr>
        <w:t>laintiffs owned the Kings Canyon Lodge in the Sierra National Forest, located at a bend in Highway 180, near the 10-Mile Creek</w:t>
      </w:r>
      <w:r>
        <w:rPr>
          <w:rFonts w:ascii="Times New Roman" w:hAnsi="Times New Roman"/>
          <w:sz w:val="24"/>
          <w:szCs w:val="24"/>
        </w:rPr>
        <w:t xml:space="preserve">; the fire </w:t>
      </w:r>
      <w:r w:rsidRPr="008C18ED">
        <w:rPr>
          <w:rFonts w:ascii="Times New Roman" w:hAnsi="Times New Roman"/>
          <w:sz w:val="24"/>
          <w:szCs w:val="24"/>
        </w:rPr>
        <w:t xml:space="preserve">burned more than 140, 000 acres before it was contained in September 2015. </w:t>
      </w:r>
      <w:hyperlink r:id="rId902" w:history="1">
        <w:r w:rsidRPr="00463170">
          <w:rPr>
            <w:rStyle w:val="Hyperlink"/>
            <w:rFonts w:ascii="Times New Roman" w:hAnsi="Times New Roman"/>
            <w:sz w:val="24"/>
            <w:szCs w:val="24"/>
          </w:rPr>
          <w:t>https://public.fastcase.com/waZtJvSA54UAurM2rmIZz7W%2FsumOmHJRMxx6Xd%2FRMYm%2FGY4cQ9ojWggecoIy6%2FUeVcPjYVPSLOvPb0MEmsZAQF%2FZtsixbezDD9jmkmDKasM%3D</w:t>
        </w:r>
      </w:hyperlink>
      <w:r>
        <w:rPr>
          <w:rFonts w:ascii="Times New Roman" w:hAnsi="Times New Roman"/>
          <w:sz w:val="24"/>
          <w:szCs w:val="24"/>
        </w:rPr>
        <w:t xml:space="preserve"> </w:t>
      </w:r>
    </w:p>
    <w:p w14:paraId="59C2AC64" w14:textId="77777777" w:rsidR="003F4E70" w:rsidRDefault="003F4E70" w:rsidP="003F4E70">
      <w:pPr>
        <w:spacing w:before="100" w:beforeAutospacing="1" w:after="100" w:afterAutospacing="1" w:line="240" w:lineRule="auto"/>
        <w:rPr>
          <w:rFonts w:ascii="Times New Roman" w:hAnsi="Times New Roman"/>
          <w:b/>
          <w:bCs/>
          <w:sz w:val="24"/>
          <w:szCs w:val="24"/>
        </w:rPr>
      </w:pPr>
      <w:r w:rsidRPr="008C18ED">
        <w:rPr>
          <w:rFonts w:ascii="Times New Roman" w:hAnsi="Times New Roman"/>
          <w:b/>
          <w:bCs/>
          <w:sz w:val="24"/>
          <w:szCs w:val="24"/>
        </w:rPr>
        <w:t xml:space="preserve">Legal Lesson Learned: </w:t>
      </w:r>
      <w:r>
        <w:rPr>
          <w:rFonts w:ascii="Times New Roman" w:hAnsi="Times New Roman"/>
          <w:b/>
          <w:bCs/>
          <w:sz w:val="24"/>
          <w:szCs w:val="24"/>
        </w:rPr>
        <w:t xml:space="preserve"> U.S. Government and Forest Service incident commanders enjoy immunity for discretionary decisions. </w:t>
      </w:r>
    </w:p>
    <w:p w14:paraId="1E662092" w14:textId="77777777" w:rsidR="003F4E70" w:rsidRDefault="003F4E70" w:rsidP="002B1283">
      <w:pPr>
        <w:rPr>
          <w:rStyle w:val="Hyperlink"/>
          <w:rFonts w:ascii="Arial Black" w:hAnsi="Arial Black"/>
          <w:b/>
          <w:color w:val="auto"/>
          <w:sz w:val="24"/>
          <w:szCs w:val="24"/>
          <w:u w:val="none"/>
        </w:rPr>
      </w:pPr>
    </w:p>
    <w:p w14:paraId="06C87DC9" w14:textId="77777777" w:rsidR="003F4E70" w:rsidRDefault="003F4E70" w:rsidP="002B1283">
      <w:pPr>
        <w:rPr>
          <w:rStyle w:val="Hyperlink"/>
          <w:rFonts w:ascii="Arial Black" w:hAnsi="Arial Black"/>
          <w:b/>
          <w:color w:val="auto"/>
          <w:sz w:val="24"/>
          <w:szCs w:val="24"/>
          <w:u w:val="none"/>
        </w:rPr>
      </w:pPr>
    </w:p>
    <w:p w14:paraId="30385159" w14:textId="0ED7C5B6" w:rsidR="00B5724A" w:rsidRDefault="00B5724A" w:rsidP="002B1283">
      <w:pPr>
        <w:rPr>
          <w:rStyle w:val="Hyperlink"/>
          <w:rFonts w:ascii="Arial Black" w:hAnsi="Arial Black"/>
          <w:b/>
          <w:color w:val="auto"/>
          <w:sz w:val="24"/>
          <w:szCs w:val="24"/>
          <w:u w:val="none"/>
        </w:rPr>
      </w:pPr>
      <w:r>
        <w:rPr>
          <w:rStyle w:val="Hyperlink"/>
          <w:rFonts w:ascii="Arial Black" w:hAnsi="Arial Black"/>
          <w:b/>
          <w:color w:val="auto"/>
          <w:sz w:val="24"/>
          <w:szCs w:val="24"/>
          <w:u w:val="none"/>
        </w:rPr>
        <w:t>4-20</w:t>
      </w:r>
    </w:p>
    <w:p w14:paraId="485153B7" w14:textId="66084CB3" w:rsidR="00B5724A" w:rsidRPr="00FD7A7A" w:rsidRDefault="00B5724A" w:rsidP="00B5724A">
      <w:pPr>
        <w:spacing w:before="100" w:beforeAutospacing="1" w:after="100" w:afterAutospacing="1" w:line="240" w:lineRule="auto"/>
        <w:rPr>
          <w:rFonts w:ascii="Arial Black" w:hAnsi="Arial Black"/>
          <w:sz w:val="28"/>
          <w:szCs w:val="28"/>
        </w:rPr>
      </w:pPr>
      <w:r>
        <w:rPr>
          <w:rFonts w:ascii="Arial Black" w:hAnsi="Arial Black"/>
          <w:sz w:val="28"/>
          <w:szCs w:val="28"/>
        </w:rPr>
        <w:lastRenderedPageBreak/>
        <w:t xml:space="preserve">MI: INCIDENT COMMANDER IMMUNITY – HOUSE FIRE – BODY </w:t>
      </w:r>
      <w:proofErr w:type="gramStart"/>
      <w:r w:rsidR="003D367F">
        <w:rPr>
          <w:rFonts w:ascii="Arial Black" w:hAnsi="Arial Black"/>
          <w:sz w:val="28"/>
          <w:szCs w:val="28"/>
        </w:rPr>
        <w:t>26-YEAR OLD</w:t>
      </w:r>
      <w:proofErr w:type="gramEnd"/>
      <w:r w:rsidR="003D367F">
        <w:rPr>
          <w:rFonts w:ascii="Arial Black" w:hAnsi="Arial Black"/>
          <w:sz w:val="28"/>
          <w:szCs w:val="28"/>
        </w:rPr>
        <w:t xml:space="preserve"> </w:t>
      </w:r>
      <w:r>
        <w:rPr>
          <w:rFonts w:ascii="Arial Black" w:hAnsi="Arial Black"/>
          <w:sz w:val="28"/>
          <w:szCs w:val="28"/>
        </w:rPr>
        <w:t>NOT FOUND 5 DAYS - NO GROSS NEGLIGENCE</w:t>
      </w:r>
    </w:p>
    <w:p w14:paraId="709D6028" w14:textId="77777777" w:rsidR="00D7606A" w:rsidRPr="00B03BDA" w:rsidRDefault="00B5724A" w:rsidP="00D7606A">
      <w:pPr>
        <w:spacing w:before="100" w:beforeAutospacing="1" w:after="100" w:afterAutospacing="1" w:line="240" w:lineRule="auto"/>
        <w:rPr>
          <w:rFonts w:ascii="Times New Roman" w:hAnsi="Times New Roman"/>
          <w:sz w:val="24"/>
          <w:szCs w:val="24"/>
        </w:rPr>
      </w:pPr>
      <w:r w:rsidRPr="00792FBA">
        <w:rPr>
          <w:rFonts w:ascii="Times New Roman" w:hAnsi="Times New Roman"/>
          <w:sz w:val="24"/>
          <w:szCs w:val="24"/>
        </w:rPr>
        <w:t xml:space="preserve">On Dec. 21, 2021, in </w:t>
      </w:r>
      <w:r w:rsidRPr="00792FBA">
        <w:rPr>
          <w:rFonts w:ascii="Times New Roman" w:hAnsi="Times New Roman"/>
          <w:sz w:val="24"/>
          <w:szCs w:val="24"/>
          <w:u w:val="single"/>
        </w:rPr>
        <w:t>Kelly Dougherty, individually and personal representative of the estate of Kevin McGriff, Jr. v. City of Detroit, Detroit Fire Department and Sergeant Roger Harper</w:t>
      </w:r>
      <w:r w:rsidRPr="00792FBA">
        <w:rPr>
          <w:rFonts w:ascii="Times New Roman" w:hAnsi="Times New Roman"/>
          <w:sz w:val="24"/>
          <w:szCs w:val="24"/>
        </w:rPr>
        <w:t xml:space="preserve">, the Court of Appeals of Michigan held (3 to 0) that trial court should have granted Sergeant Harper’s motion to dismiss under the Michigan Governmental Tort Liability Act (GTLA), since his </w:t>
      </w:r>
      <w:r>
        <w:rPr>
          <w:rFonts w:ascii="Times New Roman" w:hAnsi="Times New Roman"/>
          <w:sz w:val="24"/>
          <w:szCs w:val="24"/>
        </w:rPr>
        <w:t>conduct did not “</w:t>
      </w:r>
      <w:r w:rsidRPr="00EC63CD">
        <w:rPr>
          <w:rFonts w:ascii="Times New Roman" w:hAnsi="Times New Roman"/>
          <w:sz w:val="24"/>
          <w:szCs w:val="24"/>
        </w:rPr>
        <w:t>amount to gross negligence that is the proximate cause of the injury or damage.</w:t>
      </w:r>
      <w:r>
        <w:rPr>
          <w:rFonts w:ascii="Times New Roman" w:hAnsi="Times New Roman"/>
          <w:sz w:val="24"/>
          <w:szCs w:val="24"/>
        </w:rPr>
        <w:t xml:space="preserve">”  The </w:t>
      </w:r>
      <w:proofErr w:type="gramStart"/>
      <w:r>
        <w:rPr>
          <w:rFonts w:ascii="Times New Roman" w:hAnsi="Times New Roman"/>
          <w:sz w:val="24"/>
          <w:szCs w:val="24"/>
        </w:rPr>
        <w:t>City</w:t>
      </w:r>
      <w:proofErr w:type="gramEnd"/>
      <w:r>
        <w:rPr>
          <w:rFonts w:ascii="Times New Roman" w:hAnsi="Times New Roman"/>
          <w:sz w:val="24"/>
          <w:szCs w:val="24"/>
        </w:rPr>
        <w:t xml:space="preserve"> and the FD were previously granted summary judgment under the GTLA. </w:t>
      </w:r>
      <w:hyperlink r:id="rId903" w:history="1">
        <w:r w:rsidR="00D7606A" w:rsidRPr="00EC5853">
          <w:rPr>
            <w:rStyle w:val="Hyperlink"/>
            <w:rFonts w:ascii="Times New Roman" w:hAnsi="Times New Roman"/>
            <w:sz w:val="24"/>
            <w:szCs w:val="24"/>
          </w:rPr>
          <w:t>https://casetext.com/case/dougherty-v-city-of-detroit</w:t>
        </w:r>
      </w:hyperlink>
      <w:r w:rsidR="00D7606A">
        <w:rPr>
          <w:rFonts w:ascii="Times New Roman" w:hAnsi="Times New Roman"/>
          <w:sz w:val="24"/>
          <w:szCs w:val="24"/>
        </w:rPr>
        <w:t xml:space="preserve"> </w:t>
      </w:r>
    </w:p>
    <w:p w14:paraId="73056C31" w14:textId="4D6EFAA9" w:rsidR="00B5724A" w:rsidRPr="00737BB4" w:rsidRDefault="00D7606A" w:rsidP="00B5724A">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THE COURT HELD:</w:t>
      </w:r>
    </w:p>
    <w:p w14:paraId="32149667" w14:textId="77777777" w:rsidR="00B5724A" w:rsidRPr="00B03BDA" w:rsidRDefault="00B5724A" w:rsidP="00B5724A">
      <w:pPr>
        <w:spacing w:before="100" w:beforeAutospacing="1" w:after="100" w:afterAutospacing="1" w:line="240" w:lineRule="auto"/>
        <w:ind w:left="720"/>
        <w:rPr>
          <w:rFonts w:ascii="Times New Roman" w:hAnsi="Times New Roman"/>
          <w:sz w:val="24"/>
          <w:szCs w:val="24"/>
        </w:rPr>
      </w:pPr>
      <w:r w:rsidRPr="008F73CD">
        <w:rPr>
          <w:rFonts w:ascii="Times New Roman" w:hAnsi="Times New Roman"/>
          <w:sz w:val="24"/>
          <w:szCs w:val="24"/>
        </w:rPr>
        <w:t>“</w:t>
      </w:r>
      <w:r>
        <w:rPr>
          <w:rFonts w:ascii="Times New Roman" w:hAnsi="Times New Roman"/>
          <w:sz w:val="24"/>
          <w:szCs w:val="24"/>
        </w:rPr>
        <w:t>[W]</w:t>
      </w:r>
      <w:r w:rsidRPr="008F73CD">
        <w:rPr>
          <w:rFonts w:ascii="Times New Roman" w:hAnsi="Times New Roman"/>
          <w:sz w:val="24"/>
          <w:szCs w:val="24"/>
        </w:rPr>
        <w:t>we think it is too heavy a burden to impose an affirmative duty on firefighters to ensure the survival of individuals that are unobservable at the scene of a fire</w:t>
      </w:r>
      <w:r>
        <w:rPr>
          <w:rFonts w:ascii="Times New Roman" w:hAnsi="Times New Roman"/>
          <w:sz w:val="24"/>
          <w:szCs w:val="24"/>
        </w:rPr>
        <w:t>….</w:t>
      </w:r>
      <w:r w:rsidRPr="008F73CD">
        <w:rPr>
          <w:rFonts w:ascii="Times New Roman" w:hAnsi="Times New Roman"/>
          <w:sz w:val="24"/>
          <w:szCs w:val="24"/>
        </w:rPr>
        <w:t xml:space="preserve"> As defendant pointed out, imposing such a broad duty that places personal liability on firefighters not only contradicts established law, but could also have a chilling effect on recruitment of firefighters. Similarly, this enhanced burden would alter how long a firefighter must remain in a fire-compromised building, thereby jeopardizing his or her own safety and the safety of his or her crew</w:t>
      </w:r>
      <w:r>
        <w:rPr>
          <w:rFonts w:ascii="Times New Roman" w:hAnsi="Times New Roman"/>
          <w:sz w:val="24"/>
          <w:szCs w:val="24"/>
        </w:rPr>
        <w:t xml:space="preserve">…. </w:t>
      </w:r>
      <w:r w:rsidRPr="008F73CD">
        <w:rPr>
          <w:rFonts w:ascii="Times New Roman" w:hAnsi="Times New Roman"/>
          <w:sz w:val="24"/>
          <w:szCs w:val="24"/>
        </w:rPr>
        <w:t>We see no reason to impose an affirmative duty on firefighters requiring them to ensure the survival of individuals, who firefighters are unaware that exist, and cannot be located despite numerous searches of an area.</w:t>
      </w:r>
      <w:r>
        <w:rPr>
          <w:rFonts w:ascii="Times New Roman" w:hAnsi="Times New Roman"/>
          <w:sz w:val="24"/>
          <w:szCs w:val="24"/>
        </w:rPr>
        <w:t xml:space="preserve">” </w:t>
      </w:r>
      <w:hyperlink r:id="rId904" w:history="1">
        <w:r w:rsidRPr="00EC5853">
          <w:rPr>
            <w:rStyle w:val="Hyperlink"/>
            <w:rFonts w:ascii="Times New Roman" w:hAnsi="Times New Roman"/>
            <w:sz w:val="24"/>
            <w:szCs w:val="24"/>
          </w:rPr>
          <w:t>https://casetext.com/case/dougherty-v-city-of-detroit</w:t>
        </w:r>
      </w:hyperlink>
      <w:r>
        <w:rPr>
          <w:rFonts w:ascii="Times New Roman" w:hAnsi="Times New Roman"/>
          <w:sz w:val="24"/>
          <w:szCs w:val="24"/>
        </w:rPr>
        <w:t xml:space="preserve"> </w:t>
      </w:r>
    </w:p>
    <w:p w14:paraId="33E21782" w14:textId="77777777" w:rsidR="00B5724A" w:rsidRPr="0099025C" w:rsidRDefault="00B5724A" w:rsidP="00B5724A">
      <w:pPr>
        <w:rPr>
          <w:rFonts w:ascii="Times New Roman" w:hAnsi="Times New Roman"/>
          <w:b/>
          <w:bCs/>
          <w:sz w:val="24"/>
          <w:szCs w:val="24"/>
        </w:rPr>
      </w:pPr>
      <w:r w:rsidRPr="0099025C">
        <w:rPr>
          <w:rFonts w:ascii="Times New Roman" w:hAnsi="Times New Roman"/>
          <w:b/>
          <w:bCs/>
          <w:sz w:val="24"/>
          <w:szCs w:val="24"/>
        </w:rPr>
        <w:t xml:space="preserve">Legal Lesson Learned: Michigan governmental tort liability act protects Incident Commanders from personal liability unless proof of gross negligence. </w:t>
      </w:r>
    </w:p>
    <w:p w14:paraId="03ACA62E" w14:textId="77777777" w:rsidR="00B5724A" w:rsidRDefault="00B5724A" w:rsidP="00B5724A">
      <w:pPr>
        <w:spacing w:line="240" w:lineRule="auto"/>
        <w:ind w:left="720"/>
        <w:rPr>
          <w:rFonts w:ascii="Times New Roman" w:hAnsi="Times New Roman"/>
          <w:sz w:val="24"/>
          <w:szCs w:val="24"/>
        </w:rPr>
      </w:pPr>
      <w:r>
        <w:rPr>
          <w:rFonts w:ascii="Times New Roman" w:hAnsi="Times New Roman"/>
          <w:sz w:val="24"/>
          <w:szCs w:val="24"/>
        </w:rPr>
        <w:t xml:space="preserve">Note: </w:t>
      </w:r>
      <w:r w:rsidRPr="00A7354D">
        <w:rPr>
          <w:rFonts w:ascii="Times New Roman" w:hAnsi="Times New Roman"/>
          <w:sz w:val="24"/>
          <w:szCs w:val="24"/>
        </w:rPr>
        <w:t xml:space="preserve">Ohio Revised Code, Section 2744.03, </w:t>
      </w:r>
      <w:r>
        <w:rPr>
          <w:rFonts w:ascii="Times New Roman" w:hAnsi="Times New Roman"/>
          <w:sz w:val="24"/>
          <w:szCs w:val="24"/>
        </w:rPr>
        <w:t xml:space="preserve">Defenses – Immunities, </w:t>
      </w:r>
      <w:hyperlink r:id="rId905" w:history="1">
        <w:r w:rsidRPr="00F9132E">
          <w:rPr>
            <w:rFonts w:ascii="Times New Roman" w:hAnsi="Times New Roman"/>
            <w:sz w:val="24"/>
            <w:szCs w:val="24"/>
          </w:rPr>
          <w:t>https://codes.ohio.gov/ohio-revised-code/section-2744.03</w:t>
        </w:r>
      </w:hyperlink>
      <w:r>
        <w:rPr>
          <w:rFonts w:ascii="Times New Roman" w:hAnsi="Times New Roman"/>
          <w:sz w:val="24"/>
          <w:szCs w:val="24"/>
        </w:rPr>
        <w:t xml:space="preserve">  </w:t>
      </w:r>
    </w:p>
    <w:p w14:paraId="116FDEEC" w14:textId="77777777" w:rsidR="00B5724A" w:rsidRPr="0099025C" w:rsidRDefault="00B5724A" w:rsidP="00B5724A">
      <w:pPr>
        <w:ind w:left="720"/>
        <w:rPr>
          <w:rFonts w:ascii="Times New Roman" w:hAnsi="Times New Roman"/>
          <w:sz w:val="24"/>
          <w:szCs w:val="24"/>
        </w:rPr>
      </w:pPr>
      <w:r w:rsidRPr="0099025C">
        <w:rPr>
          <w:rFonts w:ascii="Times New Roman" w:hAnsi="Times New Roman"/>
          <w:sz w:val="24"/>
          <w:szCs w:val="24"/>
        </w:rPr>
        <w:t xml:space="preserve">“(6) In addition to any immunity or defense referred to in division (A)(7) of this section and in circumstances not covered by that division or sections </w:t>
      </w:r>
      <w:hyperlink r:id="rId906" w:history="1">
        <w:r w:rsidRPr="0099025C">
          <w:rPr>
            <w:rFonts w:ascii="Times New Roman" w:hAnsi="Times New Roman"/>
            <w:sz w:val="24"/>
            <w:szCs w:val="24"/>
          </w:rPr>
          <w:t>3314.07</w:t>
        </w:r>
      </w:hyperlink>
      <w:r w:rsidRPr="0099025C">
        <w:rPr>
          <w:rFonts w:ascii="Times New Roman" w:hAnsi="Times New Roman"/>
          <w:sz w:val="24"/>
          <w:szCs w:val="24"/>
        </w:rPr>
        <w:t xml:space="preserve"> and </w:t>
      </w:r>
      <w:hyperlink r:id="rId907" w:history="1">
        <w:r w:rsidRPr="0099025C">
          <w:rPr>
            <w:rFonts w:ascii="Times New Roman" w:hAnsi="Times New Roman"/>
            <w:sz w:val="24"/>
            <w:szCs w:val="24"/>
          </w:rPr>
          <w:t>3746.24</w:t>
        </w:r>
      </w:hyperlink>
      <w:r w:rsidRPr="0099025C">
        <w:rPr>
          <w:rFonts w:ascii="Times New Roman" w:hAnsi="Times New Roman"/>
          <w:sz w:val="24"/>
          <w:szCs w:val="24"/>
        </w:rPr>
        <w:t xml:space="preserve"> of the Revised Code, the employee is immune from liability unless one of the following applies:</w:t>
      </w:r>
    </w:p>
    <w:p w14:paraId="0BC7BDA8" w14:textId="77777777" w:rsidR="00B5724A" w:rsidRPr="0099025C" w:rsidRDefault="00B5724A" w:rsidP="00B5724A">
      <w:pPr>
        <w:ind w:left="720"/>
        <w:rPr>
          <w:rFonts w:ascii="Times New Roman" w:hAnsi="Times New Roman"/>
          <w:sz w:val="24"/>
          <w:szCs w:val="24"/>
        </w:rPr>
      </w:pPr>
      <w:r w:rsidRPr="0099025C">
        <w:rPr>
          <w:rFonts w:ascii="Times New Roman" w:hAnsi="Times New Roman"/>
          <w:sz w:val="24"/>
          <w:szCs w:val="24"/>
        </w:rPr>
        <w:t>(a) The employee's acts or omissions were manifestly outside the scope of the employee's employment or official responsibilities;</w:t>
      </w:r>
    </w:p>
    <w:p w14:paraId="08C3992C" w14:textId="77777777" w:rsidR="00B5724A" w:rsidRPr="0099025C" w:rsidRDefault="00B5724A" w:rsidP="00B5724A">
      <w:pPr>
        <w:ind w:left="720"/>
        <w:rPr>
          <w:rFonts w:ascii="Times New Roman" w:hAnsi="Times New Roman"/>
          <w:sz w:val="24"/>
          <w:szCs w:val="24"/>
        </w:rPr>
      </w:pPr>
      <w:r w:rsidRPr="0099025C">
        <w:rPr>
          <w:rFonts w:ascii="Times New Roman" w:hAnsi="Times New Roman"/>
          <w:sz w:val="24"/>
          <w:szCs w:val="24"/>
        </w:rPr>
        <w:t>(b) The employee's acts or omissions were with malicious purpose, in bad faith, or in a wanton or reckless manner….”</w:t>
      </w:r>
    </w:p>
    <w:p w14:paraId="17057B21" w14:textId="77777777" w:rsidR="00B5724A" w:rsidRDefault="00B5724A" w:rsidP="002B1283">
      <w:pPr>
        <w:rPr>
          <w:rStyle w:val="Hyperlink"/>
          <w:rFonts w:ascii="Arial Black" w:hAnsi="Arial Black"/>
          <w:b/>
          <w:color w:val="auto"/>
          <w:sz w:val="24"/>
          <w:szCs w:val="24"/>
          <w:u w:val="none"/>
        </w:rPr>
      </w:pPr>
    </w:p>
    <w:p w14:paraId="099D476A" w14:textId="77777777" w:rsidR="00B5724A" w:rsidRDefault="00B5724A" w:rsidP="002B1283">
      <w:pPr>
        <w:rPr>
          <w:rStyle w:val="Hyperlink"/>
          <w:rFonts w:ascii="Arial Black" w:hAnsi="Arial Black"/>
          <w:b/>
          <w:color w:val="auto"/>
          <w:sz w:val="24"/>
          <w:szCs w:val="24"/>
          <w:u w:val="none"/>
        </w:rPr>
      </w:pPr>
    </w:p>
    <w:p w14:paraId="31ADC158" w14:textId="6AFD11B5" w:rsidR="00B5724A" w:rsidRDefault="00B5724A" w:rsidP="002B1283">
      <w:pPr>
        <w:rPr>
          <w:rStyle w:val="Hyperlink"/>
          <w:rFonts w:ascii="Arial Black" w:hAnsi="Arial Black"/>
          <w:b/>
          <w:color w:val="auto"/>
          <w:sz w:val="24"/>
          <w:szCs w:val="24"/>
          <w:u w:val="none"/>
        </w:rPr>
      </w:pPr>
      <w:r>
        <w:rPr>
          <w:rStyle w:val="Hyperlink"/>
          <w:rFonts w:ascii="Arial Black" w:hAnsi="Arial Black"/>
          <w:b/>
          <w:color w:val="auto"/>
          <w:sz w:val="24"/>
          <w:szCs w:val="24"/>
          <w:u w:val="none"/>
        </w:rPr>
        <w:t>4-19</w:t>
      </w:r>
    </w:p>
    <w:p w14:paraId="2845E89E" w14:textId="77777777" w:rsidR="00B5724A" w:rsidRPr="00E771B6" w:rsidRDefault="00B5724A" w:rsidP="00B5724A">
      <w:pPr>
        <w:rPr>
          <w:rFonts w:ascii="Arial Black" w:hAnsi="Arial Black"/>
          <w:sz w:val="28"/>
          <w:szCs w:val="28"/>
        </w:rPr>
      </w:pPr>
      <w:r>
        <w:rPr>
          <w:rFonts w:ascii="Arial Black" w:hAnsi="Arial Black"/>
          <w:sz w:val="28"/>
          <w:szCs w:val="28"/>
        </w:rPr>
        <w:t>WA: FED. GOV’T IMMUNITY - FIRE BREAK, 15 ACRES BURNED OK PROPERTY OWNER / IC DIDN’T PROMISE FOAM</w:t>
      </w:r>
    </w:p>
    <w:p w14:paraId="1CF9AF65" w14:textId="77777777" w:rsidR="00B5724A" w:rsidRPr="002C414E" w:rsidRDefault="00B5724A" w:rsidP="00B5724A">
      <w:pPr>
        <w:rPr>
          <w:rFonts w:ascii="Times New Roman" w:hAnsi="Times New Roman"/>
          <w:sz w:val="24"/>
          <w:szCs w:val="24"/>
        </w:rPr>
      </w:pPr>
      <w:r w:rsidRPr="002C414E">
        <w:rPr>
          <w:rFonts w:ascii="Times New Roman" w:hAnsi="Times New Roman"/>
          <w:sz w:val="24"/>
          <w:szCs w:val="24"/>
        </w:rPr>
        <w:t xml:space="preserve">On Dec. 17, 2021, in </w:t>
      </w:r>
      <w:r w:rsidRPr="002C414E">
        <w:rPr>
          <w:rFonts w:ascii="Times New Roman" w:hAnsi="Times New Roman"/>
          <w:sz w:val="24"/>
          <w:szCs w:val="24"/>
          <w:u w:val="single"/>
        </w:rPr>
        <w:t>Alfred Cruz Esquivel and Donald David Willard v. United State of America,</w:t>
      </w:r>
      <w:r w:rsidRPr="002C414E">
        <w:rPr>
          <w:rFonts w:ascii="Times New Roman" w:hAnsi="Times New Roman"/>
          <w:sz w:val="24"/>
          <w:szCs w:val="24"/>
        </w:rPr>
        <w:t xml:space="preserve"> the U.S. Court of Appeals for the 9</w:t>
      </w:r>
      <w:r w:rsidRPr="002C414E">
        <w:rPr>
          <w:rFonts w:ascii="Times New Roman" w:hAnsi="Times New Roman"/>
          <w:sz w:val="24"/>
          <w:szCs w:val="24"/>
          <w:vertAlign w:val="superscript"/>
        </w:rPr>
        <w:t>th</w:t>
      </w:r>
      <w:r w:rsidRPr="002C414E">
        <w:rPr>
          <w:rFonts w:ascii="Times New Roman" w:hAnsi="Times New Roman"/>
          <w:sz w:val="24"/>
          <w:szCs w:val="24"/>
        </w:rPr>
        <w:t xml:space="preserve"> Circuit (San Francisco) upheld the trial court’s dismissal of the case </w:t>
      </w:r>
      <w:r w:rsidRPr="002C414E">
        <w:rPr>
          <w:rStyle w:val="markedcontent"/>
          <w:rFonts w:ascii="Times New Roman" w:hAnsi="Times New Roman"/>
          <w:sz w:val="24"/>
          <w:szCs w:val="24"/>
        </w:rPr>
        <w:t xml:space="preserve">based on </w:t>
      </w:r>
      <w:r w:rsidRPr="002C414E">
        <w:rPr>
          <w:rStyle w:val="markedcontent"/>
          <w:rFonts w:ascii="Times New Roman" w:hAnsi="Times New Roman"/>
          <w:sz w:val="24"/>
          <w:szCs w:val="24"/>
        </w:rPr>
        <w:lastRenderedPageBreak/>
        <w:t xml:space="preserve">holding that the FTCA [Federal Tort Claims Act] claims fell within the discretionary function exception to the FTCA’s waiver of sovereign immunity, and the FTCA’s misrepresentation exception. </w:t>
      </w:r>
      <w:r w:rsidRPr="002C414E">
        <w:rPr>
          <w:rFonts w:ascii="Times New Roman" w:hAnsi="Times New Roman"/>
          <w:sz w:val="24"/>
          <w:szCs w:val="24"/>
        </w:rPr>
        <w:t xml:space="preserve">The Bureau of Land Management had rejected the property owners’ claim of $5 million for burn of his 15 acres. </w:t>
      </w:r>
    </w:p>
    <w:p w14:paraId="31CA7FCC" w14:textId="77777777" w:rsidR="00B5724A" w:rsidRPr="002C414E" w:rsidRDefault="00B5724A" w:rsidP="00B5724A">
      <w:pPr>
        <w:ind w:left="720"/>
        <w:rPr>
          <w:rFonts w:ascii="Times New Roman" w:hAnsi="Times New Roman"/>
          <w:sz w:val="24"/>
          <w:szCs w:val="24"/>
        </w:rPr>
      </w:pPr>
      <w:r w:rsidRPr="002C414E">
        <w:rPr>
          <w:rFonts w:ascii="Times New Roman" w:hAnsi="Times New Roman"/>
          <w:sz w:val="24"/>
          <w:szCs w:val="24"/>
        </w:rPr>
        <w:t>“</w:t>
      </w:r>
      <w:r w:rsidRPr="002C414E">
        <w:rPr>
          <w:rStyle w:val="markedcontent"/>
          <w:rFonts w:ascii="Times New Roman" w:hAnsi="Times New Roman"/>
          <w:sz w:val="24"/>
          <w:szCs w:val="24"/>
        </w:rPr>
        <w:t xml:space="preserve">Willard later swore that [IC Thomas] McKibbin ‘convinced’ him that the team ‘would protect [the] property and make sure that [the] property would not be excessively burned.’ Willard also declared that when he was old about the foam he thought ‘it would be safe for [him] to leave.’ McKibbin swears he does not recall any discussion of foam in his conversation with Willard. He also states in his declaration before the district court that it would be highly unusual for foam to be used during a burnout because foam is typically used only to contain the advance of a wildfire, while burnouts are performed under controlled conditions and normally do not need to be contained. McKibbin also swears that if ‘Willard had wanted to forego a burnout, [McKibbin] would not have done one.’ ‘That would have put the entire property at extreme risk, but it was [Willard’s] prerogative to take the risk if [Willard] wanted to.’ *** </w:t>
      </w:r>
      <w:r w:rsidRPr="002C414E">
        <w:rPr>
          <w:rFonts w:ascii="Times New Roman" w:hAnsi="Times New Roman"/>
          <w:sz w:val="24"/>
          <w:szCs w:val="24"/>
        </w:rPr>
        <w:t xml:space="preserve">Accepting as true the factual allegations contained in Appellants' complaint, we conclude as a matter of law that McKibbin's communication with Willard was ‘based upon the exercise or performance’ of choosing how to organize and conduct fire suppression operations, which undisputedly requires the exercise of judgment grounded in social, economic, or political policy. We therefore hold that the government has met its burden of establishing that Appellants' claims fall within the scope of the discretionary function exception.” </w:t>
      </w:r>
      <w:hyperlink r:id="rId908" w:history="1">
        <w:r w:rsidRPr="00EC5853">
          <w:rPr>
            <w:rStyle w:val="Hyperlink"/>
            <w:rFonts w:ascii="Times New Roman" w:hAnsi="Times New Roman"/>
            <w:sz w:val="24"/>
            <w:szCs w:val="24"/>
          </w:rPr>
          <w:t>https://cdn.ca9.uscourts.gov/datastore/opinions/2021/12/17/20-35868.pdf</w:t>
        </w:r>
      </w:hyperlink>
      <w:r>
        <w:rPr>
          <w:rFonts w:ascii="Times New Roman" w:hAnsi="Times New Roman"/>
          <w:sz w:val="24"/>
          <w:szCs w:val="24"/>
        </w:rPr>
        <w:t xml:space="preserve"> </w:t>
      </w:r>
    </w:p>
    <w:p w14:paraId="4B82893D" w14:textId="77777777" w:rsidR="00B5724A" w:rsidRPr="004F5123" w:rsidRDefault="00B5724A" w:rsidP="00B5724A">
      <w:pPr>
        <w:spacing w:before="100" w:beforeAutospacing="1" w:after="100" w:afterAutospacing="1" w:line="240" w:lineRule="auto"/>
        <w:rPr>
          <w:rFonts w:ascii="Times New Roman" w:eastAsia="Times New Roman" w:hAnsi="Times New Roman"/>
          <w:b/>
          <w:bCs/>
          <w:sz w:val="24"/>
          <w:szCs w:val="24"/>
        </w:rPr>
      </w:pPr>
      <w:r w:rsidRPr="002C414E">
        <w:rPr>
          <w:rFonts w:ascii="Times New Roman" w:hAnsi="Times New Roman"/>
          <w:b/>
          <w:bCs/>
          <w:sz w:val="24"/>
          <w:szCs w:val="24"/>
        </w:rPr>
        <w:t xml:space="preserve">Legal Lesson Learned: The Federal Tort Claims Act includes exemptions from liability for discretionary decisions </w:t>
      </w:r>
      <w:proofErr w:type="gramStart"/>
      <w:r w:rsidRPr="002C414E">
        <w:rPr>
          <w:rFonts w:ascii="Times New Roman" w:hAnsi="Times New Roman"/>
          <w:b/>
          <w:bCs/>
          <w:sz w:val="24"/>
          <w:szCs w:val="24"/>
        </w:rPr>
        <w:t>and also</w:t>
      </w:r>
      <w:proofErr w:type="gramEnd"/>
      <w:r w:rsidRPr="002C414E">
        <w:rPr>
          <w:rFonts w:ascii="Times New Roman" w:hAnsi="Times New Roman"/>
          <w:b/>
          <w:bCs/>
          <w:sz w:val="24"/>
          <w:szCs w:val="24"/>
        </w:rPr>
        <w:t xml:space="preserve"> for alleged misrepresentations</w:t>
      </w:r>
      <w:r>
        <w:rPr>
          <w:rFonts w:ascii="Times New Roman" w:hAnsi="Times New Roman"/>
          <w:b/>
          <w:bCs/>
          <w:sz w:val="24"/>
          <w:szCs w:val="24"/>
        </w:rPr>
        <w:t xml:space="preserve">. </w:t>
      </w:r>
    </w:p>
    <w:p w14:paraId="037E8877" w14:textId="77777777" w:rsidR="00B5724A" w:rsidRDefault="00B5724A" w:rsidP="002B1283">
      <w:pPr>
        <w:rPr>
          <w:rStyle w:val="Hyperlink"/>
          <w:rFonts w:ascii="Arial Black" w:hAnsi="Arial Black"/>
          <w:b/>
          <w:color w:val="auto"/>
          <w:sz w:val="24"/>
          <w:szCs w:val="24"/>
          <w:u w:val="none"/>
        </w:rPr>
      </w:pPr>
    </w:p>
    <w:p w14:paraId="178D7422" w14:textId="77777777" w:rsidR="00B5724A" w:rsidRDefault="00B5724A" w:rsidP="002B1283">
      <w:pPr>
        <w:rPr>
          <w:rStyle w:val="Hyperlink"/>
          <w:rFonts w:ascii="Arial Black" w:hAnsi="Arial Black"/>
          <w:b/>
          <w:color w:val="auto"/>
          <w:sz w:val="24"/>
          <w:szCs w:val="24"/>
          <w:u w:val="none"/>
        </w:rPr>
      </w:pPr>
    </w:p>
    <w:p w14:paraId="7BBF8755" w14:textId="71DF1DF7" w:rsidR="00365F63" w:rsidRDefault="00365F63" w:rsidP="002B1283">
      <w:pPr>
        <w:rPr>
          <w:rStyle w:val="Hyperlink"/>
          <w:rFonts w:ascii="Arial Black" w:hAnsi="Arial Black"/>
          <w:b/>
          <w:color w:val="auto"/>
          <w:sz w:val="24"/>
          <w:szCs w:val="24"/>
          <w:u w:val="none"/>
        </w:rPr>
      </w:pPr>
      <w:r>
        <w:rPr>
          <w:rStyle w:val="Hyperlink"/>
          <w:rFonts w:ascii="Arial Black" w:hAnsi="Arial Black"/>
          <w:b/>
          <w:color w:val="auto"/>
          <w:sz w:val="24"/>
          <w:szCs w:val="24"/>
          <w:u w:val="none"/>
        </w:rPr>
        <w:t>4-18</w:t>
      </w:r>
    </w:p>
    <w:p w14:paraId="20EA0DC5" w14:textId="77777777" w:rsidR="00365F63" w:rsidRDefault="00365F63" w:rsidP="00365F63">
      <w:pPr>
        <w:spacing w:before="100" w:beforeAutospacing="1" w:after="100" w:afterAutospacing="1" w:line="240" w:lineRule="auto"/>
        <w:rPr>
          <w:rFonts w:ascii="Arial Black" w:hAnsi="Arial Black"/>
          <w:sz w:val="28"/>
          <w:szCs w:val="28"/>
        </w:rPr>
      </w:pPr>
      <w:r>
        <w:rPr>
          <w:rFonts w:ascii="Arial Black" w:hAnsi="Arial Black"/>
          <w:sz w:val="28"/>
          <w:szCs w:val="28"/>
        </w:rPr>
        <w:t>MI: DISPATCH SENT EMS TO “FIREMEN’S ASSOCIATION” INSTEAD OF VOL. FD – CHILD DIED ASTHMA - IMMUNITY</w:t>
      </w:r>
    </w:p>
    <w:p w14:paraId="4E1F0A9E" w14:textId="77777777" w:rsidR="00365F63" w:rsidRDefault="00365F63" w:rsidP="00365F63">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On Nov. 15, 2021, in </w:t>
      </w:r>
      <w:r w:rsidRPr="00502AAE">
        <w:rPr>
          <w:rFonts w:ascii="Times New Roman" w:hAnsi="Times New Roman"/>
          <w:sz w:val="24"/>
          <w:szCs w:val="24"/>
          <w:u w:val="single"/>
        </w:rPr>
        <w:t>Jose Reyes, as Personal Representative for the Estate of Bobby Reves, et al. v. Monroe County and Sonya Sampsel</w:t>
      </w:r>
      <w:r>
        <w:rPr>
          <w:rFonts w:ascii="Times New Roman" w:hAnsi="Times New Roman"/>
          <w:sz w:val="24"/>
          <w:szCs w:val="24"/>
        </w:rPr>
        <w:t xml:space="preserve">, U.S. District Court Judge Laurie J. Michelson granted summary judgment to Monroe County and 911 Dispatcher Sonya Sampsel.  Tragic case where a </w:t>
      </w:r>
      <w:proofErr w:type="gramStart"/>
      <w:r>
        <w:rPr>
          <w:rFonts w:ascii="Times New Roman" w:hAnsi="Times New Roman"/>
          <w:sz w:val="24"/>
          <w:szCs w:val="24"/>
        </w:rPr>
        <w:t>14-year old</w:t>
      </w:r>
      <w:proofErr w:type="gramEnd"/>
      <w:r>
        <w:rPr>
          <w:rFonts w:ascii="Times New Roman" w:hAnsi="Times New Roman"/>
          <w:sz w:val="24"/>
          <w:szCs w:val="24"/>
        </w:rPr>
        <w:t xml:space="preserve"> teenager with asthma died when dispatch sent ambulance to the Ash Township Firemen’s Association, instead of to Ash Township Fire Station No. 2.  Judge recognized that the dispatcher had to make a quick decision with a non-breather.  Fed. claim of “state-created-danger” in violation of due process under 14</w:t>
      </w:r>
      <w:r w:rsidRPr="007E302C">
        <w:rPr>
          <w:rFonts w:ascii="Times New Roman" w:hAnsi="Times New Roman"/>
          <w:sz w:val="24"/>
          <w:szCs w:val="24"/>
          <w:vertAlign w:val="superscript"/>
        </w:rPr>
        <w:t>th</w:t>
      </w:r>
      <w:r>
        <w:rPr>
          <w:rFonts w:ascii="Times New Roman" w:hAnsi="Times New Roman"/>
          <w:sz w:val="24"/>
          <w:szCs w:val="24"/>
        </w:rPr>
        <w:t xml:space="preserve"> Amendment of Constitution requires proof of reckless conduct that “shocks the contemporary conscience.” State claim of negligence also dismissed - </w:t>
      </w:r>
      <w:r w:rsidRPr="00AE2C93">
        <w:rPr>
          <w:rFonts w:ascii="Times New Roman" w:hAnsi="Times New Roman"/>
          <w:sz w:val="24"/>
          <w:szCs w:val="24"/>
        </w:rPr>
        <w:t xml:space="preserve">Michigan's Governmental Tort Liability Act shields government </w:t>
      </w:r>
      <w:r>
        <w:rPr>
          <w:rFonts w:ascii="Times New Roman" w:hAnsi="Times New Roman"/>
          <w:sz w:val="24"/>
          <w:szCs w:val="24"/>
        </w:rPr>
        <w:t>employees</w:t>
      </w:r>
      <w:r w:rsidRPr="00AE2C93">
        <w:rPr>
          <w:rFonts w:ascii="Times New Roman" w:hAnsi="Times New Roman"/>
          <w:sz w:val="24"/>
          <w:szCs w:val="24"/>
        </w:rPr>
        <w:t xml:space="preserve"> from claims of negligence unless the</w:t>
      </w:r>
      <w:r>
        <w:rPr>
          <w:rFonts w:ascii="Times New Roman" w:hAnsi="Times New Roman"/>
          <w:sz w:val="24"/>
          <w:szCs w:val="24"/>
        </w:rPr>
        <w:t xml:space="preserve">ir conduct was </w:t>
      </w:r>
      <w:r w:rsidRPr="00AE2C93">
        <w:rPr>
          <w:rFonts w:ascii="Times New Roman" w:hAnsi="Times New Roman"/>
          <w:sz w:val="24"/>
          <w:szCs w:val="24"/>
        </w:rPr>
        <w:t>“so reckless as to demonstrate a substantial lack of concern for whether an injury results.</w:t>
      </w:r>
      <w:r>
        <w:rPr>
          <w:rFonts w:ascii="Times New Roman" w:hAnsi="Times New Roman"/>
          <w:sz w:val="24"/>
          <w:szCs w:val="24"/>
        </w:rPr>
        <w:t xml:space="preserve">”  </w:t>
      </w:r>
    </w:p>
    <w:p w14:paraId="17E73740" w14:textId="77777777" w:rsidR="00365F63" w:rsidRDefault="00365F63" w:rsidP="00365F63">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r w:rsidRPr="007E302C">
        <w:rPr>
          <w:rFonts w:ascii="Times New Roman" w:hAnsi="Times New Roman"/>
          <w:sz w:val="24"/>
          <w:szCs w:val="24"/>
        </w:rPr>
        <w:t xml:space="preserve">In cases where a state actor was forced to make a quick decision, courts have required a plaintiff to show that the state actor intended to cause harm to establish liability under the Due Process Clause. </w:t>
      </w:r>
      <w:r w:rsidRPr="007E302C">
        <w:rPr>
          <w:rFonts w:ascii="Times New Roman" w:hAnsi="Times New Roman"/>
          <w:i/>
          <w:iCs/>
          <w:sz w:val="24"/>
          <w:szCs w:val="24"/>
        </w:rPr>
        <w:t>See County of Sacramento v. Lewis</w:t>
      </w:r>
      <w:r w:rsidRPr="007E302C">
        <w:rPr>
          <w:rFonts w:ascii="Times New Roman" w:hAnsi="Times New Roman"/>
          <w:sz w:val="24"/>
          <w:szCs w:val="24"/>
        </w:rPr>
        <w:t xml:space="preserve">, </w:t>
      </w:r>
      <w:hyperlink r:id="rId909" w:anchor="p853" w:history="1">
        <w:r w:rsidRPr="007E302C">
          <w:rPr>
            <w:rStyle w:val="Hyperlink"/>
            <w:rFonts w:ascii="Times New Roman" w:hAnsi="Times New Roman"/>
            <w:sz w:val="24"/>
            <w:szCs w:val="24"/>
          </w:rPr>
          <w:t>523 U.S. 833, 853</w:t>
        </w:r>
      </w:hyperlink>
      <w:r w:rsidRPr="007E302C">
        <w:rPr>
          <w:rFonts w:ascii="Times New Roman" w:hAnsi="Times New Roman"/>
          <w:sz w:val="24"/>
          <w:szCs w:val="24"/>
        </w:rPr>
        <w:t xml:space="preserve"> (1998) (providing that </w:t>
      </w:r>
      <w:r>
        <w:rPr>
          <w:rFonts w:ascii="Times New Roman" w:hAnsi="Times New Roman"/>
          <w:sz w:val="24"/>
          <w:szCs w:val="24"/>
        </w:rPr>
        <w:t>‘</w:t>
      </w:r>
      <w:r w:rsidRPr="007E302C">
        <w:rPr>
          <w:rFonts w:ascii="Times New Roman" w:hAnsi="Times New Roman"/>
          <w:sz w:val="24"/>
          <w:szCs w:val="24"/>
        </w:rPr>
        <w:t xml:space="preserve">when unforeseen circumstances demand an officer's instant judgment, </w:t>
      </w:r>
      <w:r>
        <w:rPr>
          <w:rFonts w:ascii="Times New Roman" w:hAnsi="Times New Roman"/>
          <w:sz w:val="24"/>
          <w:szCs w:val="24"/>
        </w:rPr>
        <w:t>‘</w:t>
      </w:r>
      <w:r w:rsidRPr="007E302C">
        <w:rPr>
          <w:rFonts w:ascii="Times New Roman" w:hAnsi="Times New Roman"/>
          <w:sz w:val="24"/>
          <w:szCs w:val="24"/>
        </w:rPr>
        <w:t xml:space="preserve"> even the officer's reckless conduct will not shock </w:t>
      </w:r>
      <w:r w:rsidRPr="007E302C">
        <w:rPr>
          <w:rFonts w:ascii="Times New Roman" w:hAnsi="Times New Roman"/>
          <w:sz w:val="24"/>
          <w:szCs w:val="24"/>
        </w:rPr>
        <w:lastRenderedPageBreak/>
        <w:t xml:space="preserve">the conscious); </w:t>
      </w:r>
      <w:r w:rsidRPr="007E302C">
        <w:rPr>
          <w:rFonts w:ascii="Times New Roman" w:hAnsi="Times New Roman"/>
          <w:i/>
          <w:iCs/>
          <w:sz w:val="24"/>
          <w:szCs w:val="24"/>
        </w:rPr>
        <w:t>Jackson Board of Education</w:t>
      </w:r>
      <w:r w:rsidRPr="007E302C">
        <w:rPr>
          <w:rFonts w:ascii="Times New Roman" w:hAnsi="Times New Roman"/>
          <w:sz w:val="24"/>
          <w:szCs w:val="24"/>
        </w:rPr>
        <w:t xml:space="preserve">, </w:t>
      </w:r>
      <w:hyperlink r:id="rId910" w:anchor="p933" w:history="1">
        <w:r w:rsidRPr="007E302C">
          <w:rPr>
            <w:rStyle w:val="Hyperlink"/>
            <w:rFonts w:ascii="Times New Roman" w:hAnsi="Times New Roman"/>
            <w:sz w:val="24"/>
            <w:szCs w:val="24"/>
          </w:rPr>
          <w:t>954 F.3d at 933</w:t>
        </w:r>
      </w:hyperlink>
      <w:r w:rsidRPr="007E302C">
        <w:rPr>
          <w:rFonts w:ascii="Times New Roman" w:hAnsi="Times New Roman"/>
          <w:sz w:val="24"/>
          <w:szCs w:val="24"/>
        </w:rPr>
        <w:t xml:space="preserve"> (“[The Supreme Court] has added that an actual intent to injure is required when public actors must make hasty decisions, such as during a high-speed chase or a prison riot.</w:t>
      </w:r>
      <w:r>
        <w:rPr>
          <w:rFonts w:ascii="Times New Roman" w:hAnsi="Times New Roman"/>
          <w:sz w:val="24"/>
          <w:szCs w:val="24"/>
        </w:rPr>
        <w:t>’</w:t>
      </w:r>
      <w:r w:rsidRPr="007E302C">
        <w:rPr>
          <w:rFonts w:ascii="Times New Roman" w:hAnsi="Times New Roman"/>
          <w:sz w:val="24"/>
          <w:szCs w:val="24"/>
        </w:rPr>
        <w:t xml:space="preserve">). An intent-to-harm standard makes sense when there is no time to deliberate; after </w:t>
      </w:r>
      <w:proofErr w:type="gramStart"/>
      <w:r w:rsidRPr="007E302C">
        <w:rPr>
          <w:rFonts w:ascii="Times New Roman" w:hAnsi="Times New Roman"/>
          <w:sz w:val="24"/>
          <w:szCs w:val="24"/>
        </w:rPr>
        <w:t xml:space="preserve">all, </w:t>
      </w:r>
      <w:r>
        <w:rPr>
          <w:rFonts w:ascii="Times New Roman" w:hAnsi="Times New Roman"/>
          <w:sz w:val="24"/>
          <w:szCs w:val="24"/>
        </w:rPr>
        <w:t>‘</w:t>
      </w:r>
      <w:proofErr w:type="gramEnd"/>
      <w:r w:rsidRPr="007E302C">
        <w:rPr>
          <w:rFonts w:ascii="Times New Roman" w:hAnsi="Times New Roman"/>
          <w:sz w:val="24"/>
          <w:szCs w:val="24"/>
        </w:rPr>
        <w:t>the [deliberate indifference] standard is sensibly employed only when actual deliberation is practical.</w:t>
      </w:r>
      <w:r>
        <w:rPr>
          <w:rFonts w:ascii="Times New Roman" w:hAnsi="Times New Roman"/>
          <w:sz w:val="24"/>
          <w:szCs w:val="24"/>
        </w:rPr>
        <w:t>’</w:t>
      </w:r>
      <w:r w:rsidRPr="007E302C">
        <w:rPr>
          <w:rFonts w:ascii="Times New Roman" w:hAnsi="Times New Roman"/>
          <w:sz w:val="24"/>
          <w:szCs w:val="24"/>
        </w:rPr>
        <w:t xml:space="preserve"> </w:t>
      </w:r>
      <w:r w:rsidRPr="007E302C">
        <w:rPr>
          <w:rFonts w:ascii="Times New Roman" w:hAnsi="Times New Roman"/>
          <w:i/>
          <w:iCs/>
          <w:sz w:val="24"/>
          <w:szCs w:val="24"/>
        </w:rPr>
        <w:t>Lewis</w:t>
      </w:r>
      <w:r w:rsidRPr="007E302C">
        <w:rPr>
          <w:rFonts w:ascii="Times New Roman" w:hAnsi="Times New Roman"/>
          <w:sz w:val="24"/>
          <w:szCs w:val="24"/>
        </w:rPr>
        <w:t xml:space="preserve">, </w:t>
      </w:r>
      <w:hyperlink r:id="rId911" w:anchor="p851" w:history="1">
        <w:r w:rsidRPr="007E302C">
          <w:rPr>
            <w:rStyle w:val="Hyperlink"/>
            <w:rFonts w:ascii="Times New Roman" w:hAnsi="Times New Roman"/>
            <w:sz w:val="24"/>
            <w:szCs w:val="24"/>
          </w:rPr>
          <w:t>523 U.S. at 851</w:t>
        </w:r>
      </w:hyperlink>
      <w:r w:rsidRPr="007E302C">
        <w:rPr>
          <w:rFonts w:ascii="Times New Roman" w:hAnsi="Times New Roman"/>
          <w:sz w:val="24"/>
          <w:szCs w:val="24"/>
        </w:rPr>
        <w:t>.</w:t>
      </w:r>
    </w:p>
    <w:p w14:paraId="0F1358EA" w14:textId="5765BD3E" w:rsidR="00365F63" w:rsidRDefault="00365F63" w:rsidP="00365F63">
      <w:pPr>
        <w:rPr>
          <w:rStyle w:val="Hyperlink"/>
          <w:rFonts w:ascii="Times New Roman" w:hAnsi="Times New Roman"/>
          <w:sz w:val="24"/>
          <w:szCs w:val="24"/>
        </w:rPr>
      </w:pPr>
      <w:r w:rsidRPr="007E302C">
        <w:rPr>
          <w:rFonts w:ascii="Times New Roman" w:hAnsi="Times New Roman"/>
          <w:sz w:val="24"/>
          <w:szCs w:val="24"/>
        </w:rPr>
        <w:t xml:space="preserve">Here, Sampsel had virtually no time to deliberate. Jones told Sampsel, </w:t>
      </w:r>
      <w:r>
        <w:rPr>
          <w:rFonts w:ascii="Times New Roman" w:hAnsi="Times New Roman"/>
          <w:sz w:val="24"/>
          <w:szCs w:val="24"/>
        </w:rPr>
        <w:t>‘</w:t>
      </w:r>
      <w:r w:rsidRPr="007E302C">
        <w:rPr>
          <w:rFonts w:ascii="Times New Roman" w:hAnsi="Times New Roman"/>
          <w:sz w:val="24"/>
          <w:szCs w:val="24"/>
        </w:rPr>
        <w:t>my son can't breathe.</w:t>
      </w:r>
      <w:r>
        <w:rPr>
          <w:rFonts w:ascii="Times New Roman" w:hAnsi="Times New Roman"/>
          <w:sz w:val="24"/>
          <w:szCs w:val="24"/>
        </w:rPr>
        <w:t>’</w:t>
      </w:r>
      <w:r w:rsidRPr="007E302C">
        <w:rPr>
          <w:rFonts w:ascii="Times New Roman" w:hAnsi="Times New Roman"/>
          <w:sz w:val="24"/>
          <w:szCs w:val="24"/>
        </w:rPr>
        <w:t xml:space="preserve"> Sampsel had to act-and quickly. Thus, for Sampsel to be liable under a state-created-danger theory, it appears that Plaintiffs must show that she acted with intent to harm Reyes. And if that is the requisite standard, not a shred of evidence supports holding Sampsel liable under the Due Process Clause. Sampsel did not intend to harm Reyes; she intended to help Reyes.</w:t>
      </w:r>
      <w:r>
        <w:rPr>
          <w:rFonts w:ascii="Times New Roman" w:hAnsi="Times New Roman"/>
          <w:sz w:val="24"/>
          <w:szCs w:val="24"/>
        </w:rPr>
        <w:t xml:space="preserve">”  </w:t>
      </w:r>
      <w:hyperlink r:id="rId912" w:history="1">
        <w:r w:rsidRPr="004E63E3">
          <w:rPr>
            <w:rStyle w:val="Hyperlink"/>
            <w:rFonts w:ascii="Times New Roman" w:hAnsi="Times New Roman"/>
            <w:sz w:val="24"/>
            <w:szCs w:val="24"/>
          </w:rPr>
          <w:t>https://casetext.com/case/reyes-v-monroe-cnty</w:t>
        </w:r>
      </w:hyperlink>
    </w:p>
    <w:p w14:paraId="6DEF4233" w14:textId="77777777" w:rsidR="00D43015" w:rsidRPr="00E1552C" w:rsidRDefault="00D43015" w:rsidP="00D43015">
      <w:pPr>
        <w:pStyle w:val="paragraph"/>
        <w:rPr>
          <w:b/>
          <w:bCs/>
        </w:rPr>
      </w:pPr>
      <w:r w:rsidRPr="00E1552C">
        <w:rPr>
          <w:b/>
          <w:bCs/>
        </w:rPr>
        <w:t xml:space="preserve">Legal Lesson Learned: Fortunately, dispatchers </w:t>
      </w:r>
      <w:r>
        <w:rPr>
          <w:b/>
          <w:bCs/>
        </w:rPr>
        <w:t xml:space="preserve">and other emergency responders required to make quick decisions </w:t>
      </w:r>
      <w:r w:rsidRPr="00E1552C">
        <w:rPr>
          <w:b/>
          <w:bCs/>
        </w:rPr>
        <w:t xml:space="preserve">enjoy immunity from Federal </w:t>
      </w:r>
      <w:r>
        <w:rPr>
          <w:b/>
          <w:bCs/>
        </w:rPr>
        <w:t xml:space="preserve">and state claims unless conduct is extremely reckless or </w:t>
      </w:r>
      <w:r w:rsidRPr="00200005">
        <w:rPr>
          <w:b/>
          <w:bCs/>
        </w:rPr>
        <w:t xml:space="preserve">deemed to </w:t>
      </w:r>
      <w:r>
        <w:rPr>
          <w:b/>
          <w:bCs/>
        </w:rPr>
        <w:t>“</w:t>
      </w:r>
      <w:r w:rsidRPr="00200005">
        <w:rPr>
          <w:b/>
          <w:bCs/>
        </w:rPr>
        <w:t>shock the contemporary conscience</w:t>
      </w:r>
      <w:r>
        <w:t>.”</w:t>
      </w:r>
    </w:p>
    <w:p w14:paraId="7519DE12" w14:textId="7C693D9D" w:rsidR="00D43015" w:rsidRDefault="00D43015" w:rsidP="00365F63">
      <w:pPr>
        <w:rPr>
          <w:rStyle w:val="Hyperlink"/>
          <w:rFonts w:ascii="Times New Roman" w:hAnsi="Times New Roman"/>
          <w:sz w:val="24"/>
          <w:szCs w:val="24"/>
        </w:rPr>
      </w:pPr>
    </w:p>
    <w:p w14:paraId="6C6DB195" w14:textId="4742A394" w:rsidR="00D43015" w:rsidRDefault="00D43015" w:rsidP="00365F63">
      <w:pPr>
        <w:rPr>
          <w:rStyle w:val="Hyperlink"/>
          <w:rFonts w:ascii="Times New Roman" w:hAnsi="Times New Roman"/>
          <w:sz w:val="24"/>
          <w:szCs w:val="24"/>
        </w:rPr>
      </w:pPr>
    </w:p>
    <w:p w14:paraId="628A47BE" w14:textId="77777777" w:rsidR="00D43015" w:rsidRDefault="00D43015" w:rsidP="00365F63">
      <w:pPr>
        <w:rPr>
          <w:rStyle w:val="Hyperlink"/>
          <w:rFonts w:ascii="Arial Black" w:hAnsi="Arial Black"/>
          <w:b/>
          <w:color w:val="auto"/>
          <w:sz w:val="24"/>
          <w:szCs w:val="24"/>
          <w:u w:val="none"/>
        </w:rPr>
      </w:pPr>
    </w:p>
    <w:p w14:paraId="65B4AA3D" w14:textId="7DB7CBD3" w:rsidR="0082055F" w:rsidRDefault="0082055F" w:rsidP="002B1283">
      <w:pPr>
        <w:rPr>
          <w:rStyle w:val="Hyperlink"/>
          <w:rFonts w:ascii="Arial Black" w:hAnsi="Arial Black"/>
          <w:b/>
          <w:color w:val="auto"/>
          <w:sz w:val="24"/>
          <w:szCs w:val="24"/>
          <w:u w:val="none"/>
        </w:rPr>
      </w:pPr>
      <w:r>
        <w:rPr>
          <w:rStyle w:val="Hyperlink"/>
          <w:rFonts w:ascii="Arial Black" w:hAnsi="Arial Black"/>
          <w:b/>
          <w:color w:val="auto"/>
          <w:sz w:val="24"/>
          <w:szCs w:val="24"/>
          <w:u w:val="none"/>
        </w:rPr>
        <w:t>4-17</w:t>
      </w:r>
    </w:p>
    <w:p w14:paraId="4776FA1F" w14:textId="77777777" w:rsidR="0082055F" w:rsidRPr="00D431D9" w:rsidRDefault="0082055F" w:rsidP="0082055F">
      <w:pPr>
        <w:spacing w:before="100" w:beforeAutospacing="1" w:after="100" w:afterAutospacing="1" w:line="240" w:lineRule="auto"/>
        <w:rPr>
          <w:rFonts w:ascii="Arial Black" w:hAnsi="Arial Black"/>
          <w:sz w:val="28"/>
          <w:szCs w:val="28"/>
        </w:rPr>
      </w:pPr>
      <w:r>
        <w:rPr>
          <w:rFonts w:ascii="Arial Black" w:hAnsi="Arial Black"/>
          <w:sz w:val="28"/>
          <w:szCs w:val="28"/>
        </w:rPr>
        <w:t>U.S. SUPREME CT – UNANIMOUS - “QUALIFIED IMMUNITY” FOR PD - TWO CASES – HIGH RISK EMERGENCY DECISIONS</w:t>
      </w:r>
    </w:p>
    <w:p w14:paraId="3A664483" w14:textId="77777777" w:rsidR="0082055F" w:rsidRPr="002C43B3" w:rsidRDefault="0082055F" w:rsidP="0082055F">
      <w:pPr>
        <w:spacing w:before="100" w:beforeAutospacing="1" w:after="100" w:afterAutospacing="1" w:line="240" w:lineRule="auto"/>
        <w:rPr>
          <w:rFonts w:ascii="Times New Roman" w:hAnsi="Times New Roman"/>
          <w:sz w:val="24"/>
          <w:szCs w:val="24"/>
        </w:rPr>
      </w:pPr>
      <w:r w:rsidRPr="0065616E">
        <w:rPr>
          <w:rFonts w:ascii="Times New Roman" w:hAnsi="Times New Roman"/>
          <w:sz w:val="24"/>
          <w:szCs w:val="24"/>
        </w:rPr>
        <w:t xml:space="preserve">On </w:t>
      </w:r>
      <w:r>
        <w:rPr>
          <w:rFonts w:ascii="Times New Roman" w:hAnsi="Times New Roman"/>
          <w:sz w:val="24"/>
          <w:szCs w:val="24"/>
        </w:rPr>
        <w:t xml:space="preserve">Oct. 18, 2021, the U.S. Supreme Court, issued summary dispositions (9 to 0; two per curiam opinions – not authored by a single Justice) dismissing two lawsuits against police officers </w:t>
      </w:r>
      <w:proofErr w:type="gramStart"/>
      <w:r>
        <w:rPr>
          <w:rFonts w:ascii="Times New Roman" w:hAnsi="Times New Roman"/>
          <w:sz w:val="24"/>
          <w:szCs w:val="24"/>
        </w:rPr>
        <w:t>on the basis of</w:t>
      </w:r>
      <w:proofErr w:type="gramEnd"/>
      <w:r>
        <w:rPr>
          <w:rFonts w:ascii="Times New Roman" w:hAnsi="Times New Roman"/>
          <w:sz w:val="24"/>
          <w:szCs w:val="24"/>
        </w:rPr>
        <w:t xml:space="preserve"> “qualified immunity.” The Court unanimously reversed the 9</w:t>
      </w:r>
      <w:r w:rsidRPr="00D427A9">
        <w:rPr>
          <w:rFonts w:ascii="Times New Roman" w:hAnsi="Times New Roman"/>
          <w:sz w:val="24"/>
          <w:szCs w:val="24"/>
          <w:vertAlign w:val="superscript"/>
        </w:rPr>
        <w:t>th</w:t>
      </w:r>
      <w:r>
        <w:rPr>
          <w:rFonts w:ascii="Times New Roman" w:hAnsi="Times New Roman"/>
          <w:sz w:val="24"/>
          <w:szCs w:val="24"/>
        </w:rPr>
        <w:t xml:space="preserve"> Circuit in one case, and the 10</w:t>
      </w:r>
      <w:r w:rsidRPr="00D427A9">
        <w:rPr>
          <w:rFonts w:ascii="Times New Roman" w:hAnsi="Times New Roman"/>
          <w:sz w:val="24"/>
          <w:szCs w:val="24"/>
          <w:vertAlign w:val="superscript"/>
        </w:rPr>
        <w:t>th</w:t>
      </w:r>
      <w:r>
        <w:rPr>
          <w:rFonts w:ascii="Times New Roman" w:hAnsi="Times New Roman"/>
          <w:sz w:val="24"/>
          <w:szCs w:val="24"/>
        </w:rPr>
        <w:t xml:space="preserve"> Circuit in another, ordering lawsuits against the police officers be dismissed.  “</w:t>
      </w:r>
      <w:r w:rsidRPr="002C43B3">
        <w:rPr>
          <w:rStyle w:val="markedcontent"/>
          <w:rFonts w:ascii="Times New Roman" w:hAnsi="Times New Roman"/>
          <w:sz w:val="24"/>
          <w:szCs w:val="24"/>
        </w:rPr>
        <w:t>The doctrine of qualified immunity shields officers from</w:t>
      </w:r>
      <w:r>
        <w:rPr>
          <w:rStyle w:val="markedcontent"/>
          <w:rFonts w:ascii="Times New Roman" w:hAnsi="Times New Roman"/>
          <w:sz w:val="24"/>
          <w:szCs w:val="24"/>
        </w:rPr>
        <w:t xml:space="preserve"> </w:t>
      </w:r>
      <w:r w:rsidRPr="002C43B3">
        <w:rPr>
          <w:rStyle w:val="markedcontent"/>
          <w:rFonts w:ascii="Times New Roman" w:hAnsi="Times New Roman"/>
          <w:sz w:val="24"/>
          <w:szCs w:val="24"/>
        </w:rPr>
        <w:t xml:space="preserve">civil liability so long as their conduct </w:t>
      </w:r>
      <w:r>
        <w:rPr>
          <w:rStyle w:val="markedcontent"/>
          <w:rFonts w:ascii="Times New Roman" w:hAnsi="Times New Roman"/>
          <w:sz w:val="24"/>
          <w:szCs w:val="24"/>
        </w:rPr>
        <w:t>‘</w:t>
      </w:r>
      <w:r w:rsidRPr="002C43B3">
        <w:rPr>
          <w:rStyle w:val="markedcontent"/>
          <w:rFonts w:ascii="Times New Roman" w:hAnsi="Times New Roman"/>
          <w:sz w:val="24"/>
          <w:szCs w:val="24"/>
        </w:rPr>
        <w:t>does not violate clearly established statutory or constitutional rights of</w:t>
      </w:r>
      <w:r>
        <w:rPr>
          <w:rStyle w:val="markedcontent"/>
          <w:rFonts w:ascii="Times New Roman" w:hAnsi="Times New Roman"/>
          <w:sz w:val="24"/>
          <w:szCs w:val="24"/>
        </w:rPr>
        <w:t xml:space="preserve"> </w:t>
      </w:r>
      <w:r w:rsidRPr="002C43B3">
        <w:rPr>
          <w:rStyle w:val="markedcontent"/>
          <w:rFonts w:ascii="Times New Roman" w:hAnsi="Times New Roman"/>
          <w:sz w:val="24"/>
          <w:szCs w:val="24"/>
        </w:rPr>
        <w:t>which a reasonable person would have known.</w:t>
      </w:r>
      <w:r>
        <w:rPr>
          <w:rStyle w:val="markedcontent"/>
          <w:rFonts w:ascii="Times New Roman" w:hAnsi="Times New Roman"/>
          <w:sz w:val="24"/>
          <w:szCs w:val="24"/>
        </w:rPr>
        <w:t>’</w:t>
      </w:r>
      <w:r w:rsidRPr="002C43B3">
        <w:rPr>
          <w:rStyle w:val="markedcontent"/>
          <w:rFonts w:ascii="Times New Roman" w:hAnsi="Times New Roman"/>
          <w:sz w:val="24"/>
          <w:szCs w:val="24"/>
        </w:rPr>
        <w:t xml:space="preserve"> Pearson v. Callahan, 555 U. S. 223, 231 (2009)</w:t>
      </w:r>
      <w:r>
        <w:rPr>
          <w:rStyle w:val="markedcontent"/>
          <w:rFonts w:ascii="Times New Roman" w:hAnsi="Times New Roman"/>
          <w:sz w:val="24"/>
          <w:szCs w:val="24"/>
        </w:rPr>
        <w:t xml:space="preserve">. </w:t>
      </w:r>
      <w:hyperlink r:id="rId913" w:history="1">
        <w:r w:rsidRPr="00ED2C8C">
          <w:rPr>
            <w:rStyle w:val="Hyperlink"/>
            <w:sz w:val="24"/>
            <w:szCs w:val="24"/>
          </w:rPr>
          <w:t>https://www.supremecourt.gov/opinions/21pdf/20-1668_19m2.pdf</w:t>
        </w:r>
      </w:hyperlink>
      <w:r>
        <w:rPr>
          <w:rStyle w:val="markedcontent"/>
          <w:rFonts w:ascii="Times New Roman" w:hAnsi="Times New Roman"/>
          <w:sz w:val="24"/>
          <w:szCs w:val="24"/>
        </w:rPr>
        <w:t xml:space="preserve"> </w:t>
      </w:r>
    </w:p>
    <w:p w14:paraId="005F39D9" w14:textId="77777777" w:rsidR="0082055F" w:rsidRDefault="0082055F" w:rsidP="0082055F">
      <w:pPr>
        <w:spacing w:before="100" w:beforeAutospacing="1" w:after="100" w:afterAutospacing="1" w:line="240" w:lineRule="auto"/>
        <w:ind w:left="720"/>
        <w:rPr>
          <w:rStyle w:val="markedcontent"/>
          <w:rFonts w:ascii="Times New Roman" w:hAnsi="Times New Roman"/>
          <w:sz w:val="24"/>
          <w:szCs w:val="24"/>
        </w:rPr>
      </w:pPr>
      <w:r w:rsidRPr="002C43B3">
        <w:rPr>
          <w:rStyle w:val="markedcontent"/>
          <w:rFonts w:ascii="Times New Roman" w:hAnsi="Times New Roman"/>
          <w:sz w:val="24"/>
          <w:szCs w:val="24"/>
          <w:u w:val="single"/>
        </w:rPr>
        <w:t>DANIEL RIVAS-VILLEGAS v. RAMON CORTESLUNA</w:t>
      </w:r>
      <w:r w:rsidRPr="003065D4">
        <w:rPr>
          <w:rStyle w:val="markedcontent"/>
          <w:rFonts w:ascii="Times New Roman" w:hAnsi="Times New Roman"/>
          <w:sz w:val="24"/>
          <w:szCs w:val="24"/>
        </w:rPr>
        <w:t xml:space="preserve">: </w:t>
      </w:r>
      <w:hyperlink r:id="rId914" w:history="1">
        <w:r w:rsidRPr="003065D4">
          <w:rPr>
            <w:rStyle w:val="Hyperlink"/>
            <w:sz w:val="24"/>
            <w:szCs w:val="24"/>
          </w:rPr>
          <w:t>https://www.supremecourt.gov/opinions/21pdf/20-1539_09m1.pdf</w:t>
        </w:r>
      </w:hyperlink>
      <w:r w:rsidRPr="003065D4">
        <w:rPr>
          <w:rStyle w:val="markedcontent"/>
          <w:rFonts w:ascii="Times New Roman" w:hAnsi="Times New Roman"/>
          <w:sz w:val="24"/>
          <w:szCs w:val="24"/>
        </w:rPr>
        <w:t xml:space="preserve"> </w:t>
      </w:r>
    </w:p>
    <w:p w14:paraId="603AEEA8" w14:textId="77777777" w:rsidR="0082055F" w:rsidRDefault="0082055F" w:rsidP="0082055F">
      <w:pPr>
        <w:spacing w:before="100" w:beforeAutospacing="1" w:after="100" w:afterAutospacing="1" w:line="240" w:lineRule="auto"/>
        <w:ind w:left="720"/>
        <w:rPr>
          <w:rStyle w:val="markedcontent"/>
          <w:rFonts w:ascii="Times New Roman" w:hAnsi="Times New Roman"/>
          <w:sz w:val="24"/>
          <w:szCs w:val="24"/>
        </w:rPr>
      </w:pPr>
      <w:r>
        <w:rPr>
          <w:rStyle w:val="markedcontent"/>
          <w:rFonts w:ascii="Times New Roman" w:hAnsi="Times New Roman"/>
          <w:sz w:val="24"/>
          <w:szCs w:val="24"/>
        </w:rPr>
        <w:t>“</w:t>
      </w:r>
      <w:r w:rsidRPr="003065D4">
        <w:rPr>
          <w:rStyle w:val="markedcontent"/>
          <w:rFonts w:ascii="Times New Roman" w:hAnsi="Times New Roman"/>
          <w:sz w:val="24"/>
          <w:szCs w:val="24"/>
        </w:rPr>
        <w:t>Plaintiff stopped 10 to 11 feet</w:t>
      </w:r>
      <w:r>
        <w:rPr>
          <w:rStyle w:val="markedcontent"/>
          <w:rFonts w:ascii="Times New Roman" w:hAnsi="Times New Roman"/>
          <w:sz w:val="24"/>
          <w:szCs w:val="24"/>
        </w:rPr>
        <w:t xml:space="preserve"> </w:t>
      </w:r>
      <w:r w:rsidRPr="003065D4">
        <w:rPr>
          <w:rStyle w:val="markedcontent"/>
          <w:rFonts w:ascii="Times New Roman" w:hAnsi="Times New Roman"/>
          <w:sz w:val="24"/>
          <w:szCs w:val="24"/>
        </w:rPr>
        <w:t>from the officers. Another officer then saw a knife sticking</w:t>
      </w:r>
      <w:r>
        <w:rPr>
          <w:rStyle w:val="markedcontent"/>
          <w:rFonts w:ascii="Times New Roman" w:hAnsi="Times New Roman"/>
          <w:sz w:val="24"/>
          <w:szCs w:val="24"/>
        </w:rPr>
        <w:t xml:space="preserve"> </w:t>
      </w:r>
      <w:r w:rsidRPr="003065D4">
        <w:rPr>
          <w:rStyle w:val="markedcontent"/>
          <w:rFonts w:ascii="Times New Roman" w:hAnsi="Times New Roman"/>
          <w:sz w:val="24"/>
          <w:szCs w:val="24"/>
        </w:rPr>
        <w:t xml:space="preserve">out from the front left pocket of </w:t>
      </w:r>
      <w:proofErr w:type="spellStart"/>
      <w:r w:rsidRPr="003065D4">
        <w:rPr>
          <w:rStyle w:val="markedcontent"/>
          <w:rFonts w:ascii="Times New Roman" w:hAnsi="Times New Roman"/>
          <w:sz w:val="24"/>
          <w:szCs w:val="24"/>
        </w:rPr>
        <w:t>Cortesluna’s</w:t>
      </w:r>
      <w:proofErr w:type="spellEnd"/>
      <w:r w:rsidRPr="003065D4">
        <w:rPr>
          <w:rStyle w:val="markedcontent"/>
          <w:rFonts w:ascii="Times New Roman" w:hAnsi="Times New Roman"/>
          <w:sz w:val="24"/>
          <w:szCs w:val="24"/>
        </w:rPr>
        <w:t xml:space="preserve"> pants and</w:t>
      </w:r>
      <w:r>
        <w:rPr>
          <w:rStyle w:val="markedcontent"/>
          <w:rFonts w:ascii="Times New Roman" w:hAnsi="Times New Roman"/>
          <w:sz w:val="24"/>
          <w:szCs w:val="24"/>
        </w:rPr>
        <w:t xml:space="preserve"> </w:t>
      </w:r>
      <w:r w:rsidRPr="003065D4">
        <w:rPr>
          <w:rStyle w:val="markedcontent"/>
          <w:rFonts w:ascii="Times New Roman" w:hAnsi="Times New Roman"/>
          <w:sz w:val="24"/>
          <w:szCs w:val="24"/>
        </w:rPr>
        <w:t xml:space="preserve">shouted, ‘he has a knife in his left pocket, knife in his pocket,’ and directed </w:t>
      </w:r>
      <w:proofErr w:type="spellStart"/>
      <w:r w:rsidRPr="003065D4">
        <w:rPr>
          <w:rStyle w:val="markedcontent"/>
          <w:rFonts w:ascii="Times New Roman" w:hAnsi="Times New Roman"/>
          <w:sz w:val="24"/>
          <w:szCs w:val="24"/>
        </w:rPr>
        <w:t>Cortesluna</w:t>
      </w:r>
      <w:proofErr w:type="spellEnd"/>
      <w:r w:rsidRPr="003065D4">
        <w:rPr>
          <w:rStyle w:val="markedcontent"/>
          <w:rFonts w:ascii="Times New Roman" w:hAnsi="Times New Roman"/>
          <w:sz w:val="24"/>
          <w:szCs w:val="24"/>
        </w:rPr>
        <w:t xml:space="preserve">, ‘don’t put your hands </w:t>
      </w:r>
      <w:r w:rsidRPr="003065D4">
        <w:rPr>
          <w:rFonts w:ascii="Times New Roman" w:hAnsi="Times New Roman"/>
          <w:sz w:val="24"/>
          <w:szCs w:val="24"/>
        </w:rPr>
        <w:br/>
      </w:r>
      <w:r w:rsidRPr="003065D4">
        <w:rPr>
          <w:rStyle w:val="markedcontent"/>
          <w:rFonts w:ascii="Times New Roman" w:hAnsi="Times New Roman"/>
          <w:sz w:val="24"/>
          <w:szCs w:val="24"/>
        </w:rPr>
        <w:t>down,’ ‘hands up</w:t>
      </w:r>
      <w:r>
        <w:rPr>
          <w:rStyle w:val="markedcontent"/>
          <w:rFonts w:ascii="Times New Roman" w:hAnsi="Times New Roman"/>
          <w:sz w:val="24"/>
          <w:szCs w:val="24"/>
        </w:rPr>
        <w:t xml:space="preserve">….’ </w:t>
      </w:r>
      <w:proofErr w:type="spellStart"/>
      <w:r w:rsidRPr="003065D4">
        <w:rPr>
          <w:rStyle w:val="markedcontent"/>
          <w:rFonts w:ascii="Times New Roman" w:hAnsi="Times New Roman"/>
          <w:sz w:val="24"/>
          <w:szCs w:val="24"/>
        </w:rPr>
        <w:t>Cortesluna</w:t>
      </w:r>
      <w:proofErr w:type="spellEnd"/>
      <w:r w:rsidRPr="003065D4">
        <w:rPr>
          <w:rStyle w:val="markedcontent"/>
          <w:rFonts w:ascii="Times New Roman" w:hAnsi="Times New Roman"/>
          <w:sz w:val="24"/>
          <w:szCs w:val="24"/>
        </w:rPr>
        <w:t xml:space="preserve"> turned his head toward the instructing officer but then lowered his head and his hands in contravention of the officer’s orders. Another officer twice shot </w:t>
      </w:r>
      <w:proofErr w:type="spellStart"/>
      <w:r w:rsidRPr="003065D4">
        <w:rPr>
          <w:rStyle w:val="markedcontent"/>
          <w:rFonts w:ascii="Times New Roman" w:hAnsi="Times New Roman"/>
          <w:sz w:val="24"/>
          <w:szCs w:val="24"/>
        </w:rPr>
        <w:t>Cortesluna</w:t>
      </w:r>
      <w:proofErr w:type="spellEnd"/>
      <w:r w:rsidRPr="003065D4">
        <w:rPr>
          <w:rStyle w:val="markedcontent"/>
          <w:rFonts w:ascii="Times New Roman" w:hAnsi="Times New Roman"/>
          <w:sz w:val="24"/>
          <w:szCs w:val="24"/>
        </w:rPr>
        <w:t xml:space="preserve"> with a </w:t>
      </w:r>
      <w:proofErr w:type="gramStart"/>
      <w:r w:rsidRPr="003065D4">
        <w:rPr>
          <w:rStyle w:val="markedcontent"/>
          <w:rFonts w:ascii="Times New Roman" w:hAnsi="Times New Roman"/>
          <w:sz w:val="24"/>
          <w:szCs w:val="24"/>
        </w:rPr>
        <w:t>bean-bag</w:t>
      </w:r>
      <w:proofErr w:type="gramEnd"/>
      <w:r w:rsidRPr="003065D4">
        <w:rPr>
          <w:rStyle w:val="markedcontent"/>
          <w:rFonts w:ascii="Times New Roman" w:hAnsi="Times New Roman"/>
          <w:sz w:val="24"/>
          <w:szCs w:val="24"/>
        </w:rPr>
        <w:t xml:space="preserve"> round from his shotgun, once in the lower stomach and</w:t>
      </w:r>
      <w:r>
        <w:rPr>
          <w:rStyle w:val="markedcontent"/>
          <w:rFonts w:ascii="Times New Roman" w:hAnsi="Times New Roman"/>
          <w:sz w:val="24"/>
          <w:szCs w:val="24"/>
        </w:rPr>
        <w:t xml:space="preserve"> </w:t>
      </w:r>
      <w:r w:rsidRPr="003065D4">
        <w:rPr>
          <w:rStyle w:val="markedcontent"/>
          <w:rFonts w:ascii="Times New Roman" w:hAnsi="Times New Roman"/>
          <w:sz w:val="24"/>
          <w:szCs w:val="24"/>
        </w:rPr>
        <w:t>once in the left hip.</w:t>
      </w:r>
      <w:r>
        <w:rPr>
          <w:rStyle w:val="markedcontent"/>
          <w:rFonts w:ascii="Times New Roman" w:hAnsi="Times New Roman"/>
          <w:sz w:val="24"/>
          <w:szCs w:val="24"/>
        </w:rPr>
        <w:t xml:space="preserve"> </w:t>
      </w:r>
      <w:r w:rsidRPr="002C43B3">
        <w:rPr>
          <w:rStyle w:val="markedcontent"/>
          <w:rFonts w:ascii="Times New Roman" w:hAnsi="Times New Roman"/>
          <w:sz w:val="24"/>
          <w:szCs w:val="24"/>
        </w:rPr>
        <w:t xml:space="preserve">*** </w:t>
      </w:r>
      <w:r>
        <w:rPr>
          <w:rStyle w:val="markedcontent"/>
          <w:rFonts w:ascii="Times New Roman" w:hAnsi="Times New Roman"/>
          <w:sz w:val="24"/>
          <w:szCs w:val="24"/>
        </w:rPr>
        <w:t xml:space="preserve">[Officer] </w:t>
      </w:r>
      <w:r w:rsidRPr="002C43B3">
        <w:rPr>
          <w:rStyle w:val="markedcontent"/>
          <w:rFonts w:ascii="Times New Roman" w:hAnsi="Times New Roman"/>
          <w:sz w:val="24"/>
          <w:szCs w:val="24"/>
        </w:rPr>
        <w:t xml:space="preserve">Rivas-Villegas then straddled </w:t>
      </w:r>
      <w:proofErr w:type="spellStart"/>
      <w:r w:rsidRPr="002C43B3">
        <w:rPr>
          <w:rStyle w:val="markedcontent"/>
          <w:rFonts w:ascii="Times New Roman" w:hAnsi="Times New Roman"/>
          <w:sz w:val="24"/>
          <w:szCs w:val="24"/>
        </w:rPr>
        <w:t>Cortesluna</w:t>
      </w:r>
      <w:proofErr w:type="spellEnd"/>
      <w:r w:rsidRPr="002C43B3">
        <w:rPr>
          <w:rStyle w:val="markedcontent"/>
          <w:rFonts w:ascii="Times New Roman" w:hAnsi="Times New Roman"/>
          <w:sz w:val="24"/>
          <w:szCs w:val="24"/>
        </w:rPr>
        <w:t xml:space="preserve">. He </w:t>
      </w:r>
      <w:r>
        <w:rPr>
          <w:rStyle w:val="markedcontent"/>
          <w:rFonts w:ascii="Times New Roman" w:hAnsi="Times New Roman"/>
          <w:sz w:val="24"/>
          <w:szCs w:val="24"/>
        </w:rPr>
        <w:t>p</w:t>
      </w:r>
      <w:r w:rsidRPr="002C43B3">
        <w:rPr>
          <w:rStyle w:val="markedcontent"/>
          <w:rFonts w:ascii="Times New Roman" w:hAnsi="Times New Roman"/>
          <w:sz w:val="24"/>
          <w:szCs w:val="24"/>
        </w:rPr>
        <w:t xml:space="preserve">laced his right foot on the ground next to </w:t>
      </w:r>
      <w:proofErr w:type="spellStart"/>
      <w:r w:rsidRPr="002C43B3">
        <w:rPr>
          <w:rStyle w:val="markedcontent"/>
          <w:rFonts w:ascii="Times New Roman" w:hAnsi="Times New Roman"/>
          <w:sz w:val="24"/>
          <w:szCs w:val="24"/>
        </w:rPr>
        <w:t>Cortesluna’s</w:t>
      </w:r>
      <w:proofErr w:type="spellEnd"/>
      <w:r>
        <w:rPr>
          <w:rStyle w:val="markedcontent"/>
          <w:rFonts w:ascii="Times New Roman" w:hAnsi="Times New Roman"/>
          <w:sz w:val="24"/>
          <w:szCs w:val="24"/>
        </w:rPr>
        <w:t xml:space="preserve"> </w:t>
      </w:r>
      <w:r w:rsidRPr="002C43B3">
        <w:rPr>
          <w:rStyle w:val="markedcontent"/>
          <w:rFonts w:ascii="Times New Roman" w:hAnsi="Times New Roman"/>
          <w:sz w:val="24"/>
          <w:szCs w:val="24"/>
        </w:rPr>
        <w:t>right side with his right leg bent at the knee. He placed his</w:t>
      </w:r>
      <w:r>
        <w:rPr>
          <w:rStyle w:val="markedcontent"/>
          <w:rFonts w:ascii="Times New Roman" w:hAnsi="Times New Roman"/>
          <w:sz w:val="24"/>
          <w:szCs w:val="24"/>
        </w:rPr>
        <w:t xml:space="preserve"> </w:t>
      </w:r>
      <w:r w:rsidRPr="002C43B3">
        <w:rPr>
          <w:rStyle w:val="markedcontent"/>
          <w:rFonts w:ascii="Times New Roman" w:hAnsi="Times New Roman"/>
          <w:sz w:val="24"/>
          <w:szCs w:val="24"/>
        </w:rPr>
        <w:t xml:space="preserve">left knee on the left side of </w:t>
      </w:r>
      <w:proofErr w:type="spellStart"/>
      <w:r w:rsidRPr="002C43B3">
        <w:rPr>
          <w:rStyle w:val="markedcontent"/>
          <w:rFonts w:ascii="Times New Roman" w:hAnsi="Times New Roman"/>
          <w:sz w:val="24"/>
          <w:szCs w:val="24"/>
        </w:rPr>
        <w:t>Cortesluna’s</w:t>
      </w:r>
      <w:proofErr w:type="spellEnd"/>
      <w:r w:rsidRPr="002C43B3">
        <w:rPr>
          <w:rStyle w:val="markedcontent"/>
          <w:rFonts w:ascii="Times New Roman" w:hAnsi="Times New Roman"/>
          <w:sz w:val="24"/>
          <w:szCs w:val="24"/>
        </w:rPr>
        <w:t xml:space="preserve"> back, near where </w:t>
      </w:r>
      <w:r w:rsidRPr="002C43B3">
        <w:rPr>
          <w:rFonts w:ascii="Times New Roman" w:hAnsi="Times New Roman"/>
          <w:sz w:val="24"/>
          <w:szCs w:val="24"/>
        </w:rPr>
        <w:br/>
      </w:r>
      <w:proofErr w:type="spellStart"/>
      <w:r w:rsidRPr="002C43B3">
        <w:rPr>
          <w:rStyle w:val="markedcontent"/>
          <w:rFonts w:ascii="Times New Roman" w:hAnsi="Times New Roman"/>
          <w:sz w:val="24"/>
          <w:szCs w:val="24"/>
        </w:rPr>
        <w:t>Cortesluna</w:t>
      </w:r>
      <w:proofErr w:type="spellEnd"/>
      <w:r w:rsidRPr="002C43B3">
        <w:rPr>
          <w:rStyle w:val="markedcontent"/>
          <w:rFonts w:ascii="Times New Roman" w:hAnsi="Times New Roman"/>
          <w:sz w:val="24"/>
          <w:szCs w:val="24"/>
        </w:rPr>
        <w:t xml:space="preserve"> had a knife in his pocket. He raised both of </w:t>
      </w:r>
      <w:proofErr w:type="spellStart"/>
      <w:r w:rsidRPr="002C43B3">
        <w:rPr>
          <w:rStyle w:val="markedcontent"/>
          <w:rFonts w:ascii="Times New Roman" w:hAnsi="Times New Roman"/>
          <w:sz w:val="24"/>
          <w:szCs w:val="24"/>
        </w:rPr>
        <w:t>Cortesluna’s</w:t>
      </w:r>
      <w:proofErr w:type="spellEnd"/>
      <w:r w:rsidRPr="002C43B3">
        <w:rPr>
          <w:rStyle w:val="markedcontent"/>
          <w:rFonts w:ascii="Times New Roman" w:hAnsi="Times New Roman"/>
          <w:sz w:val="24"/>
          <w:szCs w:val="24"/>
        </w:rPr>
        <w:t xml:space="preserve"> arms up behind his back. Rivas-Villegas was in</w:t>
      </w:r>
      <w:r>
        <w:rPr>
          <w:rStyle w:val="markedcontent"/>
          <w:rFonts w:ascii="Times New Roman" w:hAnsi="Times New Roman"/>
          <w:sz w:val="24"/>
          <w:szCs w:val="24"/>
        </w:rPr>
        <w:t xml:space="preserve"> </w:t>
      </w:r>
      <w:r w:rsidRPr="002C43B3">
        <w:rPr>
          <w:rStyle w:val="markedcontent"/>
          <w:rFonts w:ascii="Times New Roman" w:hAnsi="Times New Roman"/>
          <w:sz w:val="24"/>
          <w:szCs w:val="24"/>
        </w:rPr>
        <w:t xml:space="preserve">this position for no more than eight seconds before standing </w:t>
      </w:r>
      <w:r w:rsidRPr="002C43B3">
        <w:rPr>
          <w:rFonts w:ascii="Times New Roman" w:hAnsi="Times New Roman"/>
          <w:sz w:val="24"/>
          <w:szCs w:val="24"/>
        </w:rPr>
        <w:br/>
      </w:r>
      <w:r w:rsidRPr="002C43B3">
        <w:rPr>
          <w:rStyle w:val="markedcontent"/>
          <w:rFonts w:ascii="Times New Roman" w:hAnsi="Times New Roman"/>
          <w:sz w:val="24"/>
          <w:szCs w:val="24"/>
        </w:rPr>
        <w:t xml:space="preserve">up while continuing to hold </w:t>
      </w:r>
      <w:proofErr w:type="spellStart"/>
      <w:r w:rsidRPr="002C43B3">
        <w:rPr>
          <w:rStyle w:val="markedcontent"/>
          <w:rFonts w:ascii="Times New Roman" w:hAnsi="Times New Roman"/>
          <w:sz w:val="24"/>
          <w:szCs w:val="24"/>
        </w:rPr>
        <w:t>Cortesluna’s</w:t>
      </w:r>
      <w:proofErr w:type="spellEnd"/>
      <w:r w:rsidRPr="002C43B3">
        <w:rPr>
          <w:rStyle w:val="markedcontent"/>
          <w:rFonts w:ascii="Times New Roman" w:hAnsi="Times New Roman"/>
          <w:sz w:val="24"/>
          <w:szCs w:val="24"/>
        </w:rPr>
        <w:t xml:space="preserve"> arms</w:t>
      </w:r>
      <w:r>
        <w:rPr>
          <w:rStyle w:val="markedcontent"/>
          <w:rFonts w:ascii="Times New Roman" w:hAnsi="Times New Roman"/>
          <w:sz w:val="24"/>
          <w:szCs w:val="24"/>
        </w:rPr>
        <w:t xml:space="preserve">.” </w:t>
      </w:r>
    </w:p>
    <w:p w14:paraId="4FE27F0B" w14:textId="77777777" w:rsidR="0082055F" w:rsidRPr="002C43B3" w:rsidRDefault="0082055F" w:rsidP="0082055F">
      <w:pPr>
        <w:spacing w:before="100" w:beforeAutospacing="1" w:after="100" w:afterAutospacing="1" w:line="240" w:lineRule="auto"/>
        <w:ind w:left="720"/>
        <w:rPr>
          <w:rStyle w:val="markedcontent"/>
          <w:rFonts w:ascii="Times New Roman" w:hAnsi="Times New Roman"/>
          <w:sz w:val="24"/>
          <w:szCs w:val="24"/>
        </w:rPr>
      </w:pPr>
      <w:r>
        <w:rPr>
          <w:rStyle w:val="markedcontent"/>
          <w:rFonts w:ascii="Times New Roman" w:hAnsi="Times New Roman"/>
          <w:sz w:val="24"/>
          <w:szCs w:val="24"/>
        </w:rPr>
        <w:lastRenderedPageBreak/>
        <w:t>Holding reversing 9</w:t>
      </w:r>
      <w:r w:rsidRPr="00D427A9">
        <w:rPr>
          <w:rStyle w:val="markedcontent"/>
          <w:rFonts w:ascii="Times New Roman" w:hAnsi="Times New Roman"/>
          <w:sz w:val="24"/>
          <w:szCs w:val="24"/>
          <w:vertAlign w:val="superscript"/>
        </w:rPr>
        <w:t>th</w:t>
      </w:r>
      <w:r>
        <w:rPr>
          <w:rStyle w:val="markedcontent"/>
          <w:rFonts w:ascii="Times New Roman" w:hAnsi="Times New Roman"/>
          <w:sz w:val="24"/>
          <w:szCs w:val="24"/>
        </w:rPr>
        <w:t xml:space="preserve"> Circuit: “</w:t>
      </w:r>
      <w:r w:rsidRPr="002C43B3">
        <w:rPr>
          <w:rStyle w:val="markedcontent"/>
          <w:rFonts w:ascii="Times New Roman" w:hAnsi="Times New Roman"/>
          <w:sz w:val="24"/>
          <w:szCs w:val="24"/>
        </w:rPr>
        <w:t xml:space="preserve">On the facts of this case, neither </w:t>
      </w:r>
      <w:r w:rsidRPr="002C43B3">
        <w:rPr>
          <w:rStyle w:val="markedcontent"/>
          <w:rFonts w:ascii="Times New Roman" w:hAnsi="Times New Roman"/>
          <w:sz w:val="24"/>
          <w:szCs w:val="24"/>
          <w:u w:val="single"/>
        </w:rPr>
        <w:t>LaLonde</w:t>
      </w:r>
      <w:r w:rsidRPr="002C43B3">
        <w:rPr>
          <w:rStyle w:val="markedcontent"/>
          <w:rFonts w:ascii="Times New Roman" w:hAnsi="Times New Roman"/>
          <w:sz w:val="24"/>
          <w:szCs w:val="24"/>
        </w:rPr>
        <w:t xml:space="preserve"> nor any decision of this Court is sufficiently similar. For that reason, we grant Rivas-Villegas’ petition for certiorari and reverse the Ninth Circuit’s determination that Rivas-Villegas is not entitled to qualified immunity.</w:t>
      </w:r>
      <w:r>
        <w:rPr>
          <w:rStyle w:val="markedcontent"/>
          <w:rFonts w:ascii="Times New Roman" w:hAnsi="Times New Roman"/>
          <w:sz w:val="24"/>
          <w:szCs w:val="24"/>
        </w:rPr>
        <w:t>”</w:t>
      </w:r>
    </w:p>
    <w:p w14:paraId="3F30B352" w14:textId="77777777" w:rsidR="0082055F" w:rsidRPr="003065D4" w:rsidRDefault="0082055F" w:rsidP="0082055F">
      <w:pPr>
        <w:spacing w:before="100" w:beforeAutospacing="1" w:after="100" w:afterAutospacing="1" w:line="240" w:lineRule="auto"/>
        <w:ind w:left="720"/>
        <w:rPr>
          <w:rFonts w:ascii="Times New Roman" w:hAnsi="Times New Roman"/>
          <w:sz w:val="24"/>
          <w:szCs w:val="24"/>
        </w:rPr>
      </w:pPr>
      <w:r w:rsidRPr="002C43B3">
        <w:rPr>
          <w:rStyle w:val="markedcontent"/>
          <w:rFonts w:ascii="Times New Roman" w:hAnsi="Times New Roman"/>
          <w:sz w:val="24"/>
          <w:szCs w:val="24"/>
          <w:u w:val="single"/>
        </w:rPr>
        <w:t xml:space="preserve">CITY OF TAHLEQUAH, OKLAHOMA, ET AL. v. AUSTIN </w:t>
      </w:r>
      <w:r w:rsidRPr="002C43B3">
        <w:rPr>
          <w:rFonts w:ascii="Times New Roman" w:hAnsi="Times New Roman"/>
          <w:sz w:val="24"/>
          <w:szCs w:val="24"/>
          <w:u w:val="single"/>
        </w:rPr>
        <w:br/>
      </w:r>
      <w:r w:rsidRPr="002C43B3">
        <w:rPr>
          <w:rStyle w:val="markedcontent"/>
          <w:rFonts w:ascii="Times New Roman" w:hAnsi="Times New Roman"/>
          <w:sz w:val="24"/>
          <w:szCs w:val="24"/>
          <w:u w:val="single"/>
        </w:rPr>
        <w:t xml:space="preserve">P. BOND, AS SPECIAL ADMINISTRATOR OF THE ESTATE OF </w:t>
      </w:r>
      <w:r w:rsidRPr="002C43B3">
        <w:rPr>
          <w:rFonts w:ascii="Times New Roman" w:hAnsi="Times New Roman"/>
          <w:sz w:val="24"/>
          <w:szCs w:val="24"/>
          <w:u w:val="single"/>
        </w:rPr>
        <w:br/>
      </w:r>
      <w:r w:rsidRPr="002C43B3">
        <w:rPr>
          <w:rStyle w:val="markedcontent"/>
          <w:rFonts w:ascii="Times New Roman" w:hAnsi="Times New Roman"/>
          <w:sz w:val="24"/>
          <w:szCs w:val="24"/>
          <w:u w:val="single"/>
        </w:rPr>
        <w:t>DOMINIC F. ROLLICE, DECEASED</w:t>
      </w:r>
      <w:r w:rsidRPr="003065D4">
        <w:rPr>
          <w:rStyle w:val="markedcontent"/>
          <w:rFonts w:ascii="Times New Roman" w:hAnsi="Times New Roman"/>
          <w:sz w:val="24"/>
          <w:szCs w:val="24"/>
        </w:rPr>
        <w:t xml:space="preserve">: </w:t>
      </w:r>
      <w:hyperlink r:id="rId915" w:history="1">
        <w:r w:rsidRPr="003065D4">
          <w:rPr>
            <w:rStyle w:val="Hyperlink"/>
            <w:sz w:val="24"/>
            <w:szCs w:val="24"/>
          </w:rPr>
          <w:t>https://www.supremecourt.gov/opinions/21pdf/20-1668_19m2.pdf</w:t>
        </w:r>
      </w:hyperlink>
      <w:r w:rsidRPr="003065D4">
        <w:rPr>
          <w:rFonts w:ascii="Times New Roman" w:hAnsi="Times New Roman"/>
          <w:sz w:val="24"/>
          <w:szCs w:val="24"/>
        </w:rPr>
        <w:t xml:space="preserve"> </w:t>
      </w:r>
    </w:p>
    <w:p w14:paraId="4A5C20F6" w14:textId="77777777" w:rsidR="0082055F" w:rsidRDefault="0082055F" w:rsidP="0082055F">
      <w:pPr>
        <w:spacing w:before="100" w:beforeAutospacing="1" w:after="100" w:afterAutospacing="1" w:line="240" w:lineRule="auto"/>
        <w:ind w:left="720"/>
        <w:rPr>
          <w:rStyle w:val="markedcontent"/>
          <w:rFonts w:ascii="Times New Roman" w:hAnsi="Times New Roman"/>
          <w:sz w:val="24"/>
          <w:szCs w:val="24"/>
        </w:rPr>
      </w:pPr>
      <w:r>
        <w:rPr>
          <w:rStyle w:val="markedcontent"/>
          <w:rFonts w:ascii="Times New Roman" w:hAnsi="Times New Roman"/>
          <w:sz w:val="24"/>
          <w:szCs w:val="24"/>
        </w:rPr>
        <w:t>“</w:t>
      </w:r>
      <w:r w:rsidRPr="003065D4">
        <w:rPr>
          <w:rStyle w:val="markedcontent"/>
          <w:rFonts w:ascii="Times New Roman" w:hAnsi="Times New Roman"/>
          <w:sz w:val="24"/>
          <w:szCs w:val="24"/>
        </w:rPr>
        <w:t>At this point the video is no longer</w:t>
      </w:r>
      <w:r>
        <w:rPr>
          <w:rStyle w:val="markedcontent"/>
          <w:rFonts w:ascii="Times New Roman" w:hAnsi="Times New Roman"/>
          <w:sz w:val="24"/>
          <w:szCs w:val="24"/>
        </w:rPr>
        <w:t xml:space="preserve"> </w:t>
      </w:r>
      <w:r w:rsidRPr="003065D4">
        <w:rPr>
          <w:rStyle w:val="markedcontent"/>
          <w:rFonts w:ascii="Times New Roman" w:hAnsi="Times New Roman"/>
          <w:sz w:val="24"/>
          <w:szCs w:val="24"/>
        </w:rPr>
        <w:t xml:space="preserve">silent, and the officers can be heard yelling at </w:t>
      </w:r>
      <w:proofErr w:type="spellStart"/>
      <w:r w:rsidRPr="003065D4">
        <w:rPr>
          <w:rStyle w:val="markedcontent"/>
          <w:rFonts w:ascii="Times New Roman" w:hAnsi="Times New Roman"/>
          <w:sz w:val="24"/>
          <w:szCs w:val="24"/>
        </w:rPr>
        <w:t>Rollice</w:t>
      </w:r>
      <w:proofErr w:type="spellEnd"/>
      <w:r w:rsidRPr="003065D4">
        <w:rPr>
          <w:rStyle w:val="markedcontent"/>
          <w:rFonts w:ascii="Times New Roman" w:hAnsi="Times New Roman"/>
          <w:sz w:val="24"/>
          <w:szCs w:val="24"/>
        </w:rPr>
        <w:t xml:space="preserve"> to drop the hammer.</w:t>
      </w:r>
      <w:r>
        <w:rPr>
          <w:rStyle w:val="markedcontent"/>
          <w:rFonts w:ascii="Times New Roman" w:hAnsi="Times New Roman"/>
          <w:sz w:val="24"/>
          <w:szCs w:val="24"/>
        </w:rPr>
        <w:t xml:space="preserve"> </w:t>
      </w:r>
      <w:r w:rsidRPr="003065D4">
        <w:rPr>
          <w:rStyle w:val="markedcontent"/>
          <w:rFonts w:ascii="Times New Roman" w:hAnsi="Times New Roman"/>
          <w:sz w:val="24"/>
          <w:szCs w:val="24"/>
        </w:rPr>
        <w:t xml:space="preserve">He did not. Instead, </w:t>
      </w:r>
      <w:proofErr w:type="spellStart"/>
      <w:r w:rsidRPr="003065D4">
        <w:rPr>
          <w:rStyle w:val="markedcontent"/>
          <w:rFonts w:ascii="Times New Roman" w:hAnsi="Times New Roman"/>
          <w:sz w:val="24"/>
          <w:szCs w:val="24"/>
        </w:rPr>
        <w:t>Rollice</w:t>
      </w:r>
      <w:proofErr w:type="spellEnd"/>
      <w:r w:rsidRPr="003065D4">
        <w:rPr>
          <w:rStyle w:val="markedcontent"/>
          <w:rFonts w:ascii="Times New Roman" w:hAnsi="Times New Roman"/>
          <w:sz w:val="24"/>
          <w:szCs w:val="24"/>
        </w:rPr>
        <w:t xml:space="preserve"> took a few steps to his right, coming out from behind a piece of furniture so that he had an unobstructed path to Officer Girdner. He then raised the hammer higher back behind his head and took a stance as if he was about to throw the hammer or charge at the officers. In response, Officers Girdner and Vick fired their weapons, killing </w:t>
      </w:r>
      <w:proofErr w:type="spellStart"/>
      <w:r w:rsidRPr="003065D4">
        <w:rPr>
          <w:rStyle w:val="markedcontent"/>
          <w:rFonts w:ascii="Times New Roman" w:hAnsi="Times New Roman"/>
          <w:sz w:val="24"/>
          <w:szCs w:val="24"/>
        </w:rPr>
        <w:t>Rollice</w:t>
      </w:r>
      <w:proofErr w:type="spellEnd"/>
      <w:r w:rsidRPr="003065D4">
        <w:rPr>
          <w:rStyle w:val="markedcontent"/>
          <w:rFonts w:ascii="Times New Roman" w:hAnsi="Times New Roman"/>
          <w:sz w:val="24"/>
          <w:szCs w:val="24"/>
        </w:rPr>
        <w:t>.</w:t>
      </w:r>
      <w:r>
        <w:rPr>
          <w:rStyle w:val="markedcontent"/>
          <w:rFonts w:ascii="Times New Roman" w:hAnsi="Times New Roman"/>
          <w:sz w:val="24"/>
          <w:szCs w:val="24"/>
        </w:rPr>
        <w:t>”</w:t>
      </w:r>
    </w:p>
    <w:p w14:paraId="4B6964D8" w14:textId="77777777" w:rsidR="0082055F" w:rsidRPr="002C43B3" w:rsidRDefault="0082055F" w:rsidP="0082055F">
      <w:pPr>
        <w:spacing w:before="100" w:beforeAutospacing="1" w:after="100" w:afterAutospacing="1" w:line="240" w:lineRule="auto"/>
        <w:ind w:left="720"/>
        <w:rPr>
          <w:rStyle w:val="markedcontent"/>
          <w:rFonts w:ascii="Times New Roman" w:hAnsi="Times New Roman"/>
          <w:sz w:val="24"/>
          <w:szCs w:val="24"/>
        </w:rPr>
      </w:pPr>
      <w:r>
        <w:rPr>
          <w:rStyle w:val="markedcontent"/>
          <w:rFonts w:ascii="Times New Roman" w:hAnsi="Times New Roman"/>
          <w:sz w:val="24"/>
          <w:szCs w:val="24"/>
        </w:rPr>
        <w:t>Holding reversing 10</w:t>
      </w:r>
      <w:r w:rsidRPr="00D427A9">
        <w:rPr>
          <w:rStyle w:val="markedcontent"/>
          <w:rFonts w:ascii="Times New Roman" w:hAnsi="Times New Roman"/>
          <w:sz w:val="24"/>
          <w:szCs w:val="24"/>
          <w:vertAlign w:val="superscript"/>
        </w:rPr>
        <w:t>th</w:t>
      </w:r>
      <w:r>
        <w:rPr>
          <w:rStyle w:val="markedcontent"/>
          <w:rFonts w:ascii="Times New Roman" w:hAnsi="Times New Roman"/>
          <w:sz w:val="24"/>
          <w:szCs w:val="24"/>
        </w:rPr>
        <w:t xml:space="preserve"> Circuit: “</w:t>
      </w:r>
      <w:r w:rsidRPr="002C43B3">
        <w:rPr>
          <w:rStyle w:val="markedcontent"/>
          <w:rFonts w:ascii="Times New Roman" w:hAnsi="Times New Roman"/>
          <w:sz w:val="24"/>
          <w:szCs w:val="24"/>
        </w:rPr>
        <w:t xml:space="preserve">Neither the panel majority </w:t>
      </w:r>
      <w:r>
        <w:rPr>
          <w:rStyle w:val="markedcontent"/>
          <w:rFonts w:ascii="Times New Roman" w:hAnsi="Times New Roman"/>
          <w:sz w:val="24"/>
          <w:szCs w:val="24"/>
        </w:rPr>
        <w:t>[10</w:t>
      </w:r>
      <w:r w:rsidRPr="002C43B3">
        <w:rPr>
          <w:rStyle w:val="markedcontent"/>
          <w:rFonts w:ascii="Times New Roman" w:hAnsi="Times New Roman"/>
          <w:sz w:val="24"/>
          <w:szCs w:val="24"/>
          <w:vertAlign w:val="superscript"/>
        </w:rPr>
        <w:t>th</w:t>
      </w:r>
      <w:r>
        <w:rPr>
          <w:rStyle w:val="markedcontent"/>
          <w:rFonts w:ascii="Times New Roman" w:hAnsi="Times New Roman"/>
          <w:sz w:val="24"/>
          <w:szCs w:val="24"/>
        </w:rPr>
        <w:t xml:space="preserve"> Circuit panel of 3 judges] </w:t>
      </w:r>
      <w:r w:rsidRPr="002C43B3">
        <w:rPr>
          <w:rStyle w:val="markedcontent"/>
          <w:rFonts w:ascii="Times New Roman" w:hAnsi="Times New Roman"/>
          <w:sz w:val="24"/>
          <w:szCs w:val="24"/>
        </w:rPr>
        <w:t>nor the respondent have identified a single precedent finding a Fourth Amendment violation under similar circumstances. The officers were thus entitled to qualified immunity.</w:t>
      </w:r>
      <w:r>
        <w:rPr>
          <w:rStyle w:val="markedcontent"/>
          <w:rFonts w:ascii="Times New Roman" w:hAnsi="Times New Roman"/>
          <w:sz w:val="24"/>
          <w:szCs w:val="24"/>
        </w:rPr>
        <w:t xml:space="preserve"> </w:t>
      </w:r>
      <w:r w:rsidRPr="002C43B3">
        <w:rPr>
          <w:rStyle w:val="markedcontent"/>
          <w:rFonts w:ascii="Times New Roman" w:hAnsi="Times New Roman"/>
          <w:sz w:val="24"/>
          <w:szCs w:val="24"/>
        </w:rPr>
        <w:t>The petition for certiorari and the motions for leave to file briefs amici curiae are granted, and the judgment of the</w:t>
      </w:r>
      <w:r>
        <w:rPr>
          <w:rStyle w:val="markedcontent"/>
          <w:rFonts w:ascii="Times New Roman" w:hAnsi="Times New Roman"/>
          <w:sz w:val="24"/>
          <w:szCs w:val="24"/>
        </w:rPr>
        <w:t xml:space="preserve"> </w:t>
      </w:r>
      <w:r w:rsidRPr="002C43B3">
        <w:rPr>
          <w:rStyle w:val="markedcontent"/>
          <w:rFonts w:ascii="Times New Roman" w:hAnsi="Times New Roman"/>
          <w:sz w:val="24"/>
          <w:szCs w:val="24"/>
        </w:rPr>
        <w:t>Court of Appeals is reversed.</w:t>
      </w:r>
      <w:r>
        <w:rPr>
          <w:rStyle w:val="markedcontent"/>
          <w:rFonts w:ascii="Times New Roman" w:hAnsi="Times New Roman"/>
          <w:sz w:val="24"/>
          <w:szCs w:val="24"/>
        </w:rPr>
        <w:t xml:space="preserve">” </w:t>
      </w:r>
    </w:p>
    <w:p w14:paraId="254E8664" w14:textId="77777777" w:rsidR="0082055F" w:rsidRDefault="0082055F" w:rsidP="0082055F">
      <w:pPr>
        <w:spacing w:before="100" w:beforeAutospacing="1" w:after="100" w:afterAutospacing="1" w:line="240" w:lineRule="auto"/>
        <w:rPr>
          <w:rFonts w:ascii="Times New Roman" w:hAnsi="Times New Roman"/>
          <w:b/>
          <w:bCs/>
          <w:sz w:val="24"/>
          <w:szCs w:val="24"/>
        </w:rPr>
      </w:pPr>
      <w:r w:rsidRPr="002C43B3">
        <w:rPr>
          <w:rFonts w:ascii="Times New Roman" w:hAnsi="Times New Roman"/>
          <w:b/>
          <w:bCs/>
          <w:sz w:val="24"/>
          <w:szCs w:val="24"/>
        </w:rPr>
        <w:t xml:space="preserve">Legal Lesson Learned: </w:t>
      </w:r>
      <w:r>
        <w:rPr>
          <w:rFonts w:ascii="Times New Roman" w:hAnsi="Times New Roman"/>
          <w:b/>
          <w:bCs/>
          <w:sz w:val="24"/>
          <w:szCs w:val="24"/>
        </w:rPr>
        <w:t xml:space="preserve">These unanimous decisions are not only helpful for police officers, but also to Fire &amp; EMS incident commanders are others needing to make rapid decisions. </w:t>
      </w:r>
    </w:p>
    <w:p w14:paraId="50866E96" w14:textId="77777777" w:rsidR="0082055F" w:rsidRPr="00D427A9" w:rsidRDefault="0082055F" w:rsidP="0082055F">
      <w:pPr>
        <w:spacing w:before="100" w:beforeAutospacing="1" w:after="100" w:afterAutospacing="1" w:line="240" w:lineRule="auto"/>
        <w:ind w:left="720"/>
        <w:rPr>
          <w:rFonts w:ascii="Times New Roman" w:eastAsia="Times New Roman" w:hAnsi="Times New Roman"/>
          <w:kern w:val="36"/>
          <w:sz w:val="24"/>
          <w:szCs w:val="24"/>
        </w:rPr>
      </w:pPr>
      <w:r w:rsidRPr="00D427A9">
        <w:rPr>
          <w:rFonts w:ascii="Times New Roman" w:hAnsi="Times New Roman"/>
          <w:sz w:val="24"/>
          <w:szCs w:val="24"/>
        </w:rPr>
        <w:t>Note: See article, Oct. 18, 20</w:t>
      </w:r>
      <w:r>
        <w:rPr>
          <w:rFonts w:ascii="Times New Roman" w:hAnsi="Times New Roman"/>
          <w:sz w:val="24"/>
          <w:szCs w:val="24"/>
        </w:rPr>
        <w:t>21</w:t>
      </w:r>
      <w:r w:rsidRPr="00D427A9">
        <w:rPr>
          <w:rFonts w:ascii="Times New Roman" w:hAnsi="Times New Roman"/>
          <w:sz w:val="24"/>
          <w:szCs w:val="24"/>
        </w:rPr>
        <w:t>, “</w:t>
      </w:r>
      <w:r w:rsidRPr="00D427A9">
        <w:rPr>
          <w:rFonts w:ascii="Times New Roman" w:eastAsia="Times New Roman" w:hAnsi="Times New Roman"/>
          <w:kern w:val="36"/>
          <w:sz w:val="24"/>
          <w:szCs w:val="24"/>
        </w:rPr>
        <w:t xml:space="preserve">The U.S. Supreme Court rules in favor of officers accused of excessive force.” </w:t>
      </w:r>
      <w:hyperlink r:id="rId916" w:history="1">
        <w:r w:rsidRPr="00ED2C8C">
          <w:rPr>
            <w:rStyle w:val="Hyperlink"/>
            <w:sz w:val="24"/>
            <w:szCs w:val="24"/>
          </w:rPr>
          <w:t>https://www.npr.org/2021/10/18/1047085626/supreme-court-police-qualified-immunity-cases</w:t>
        </w:r>
      </w:hyperlink>
      <w:r>
        <w:rPr>
          <w:rFonts w:ascii="Times New Roman" w:eastAsia="Times New Roman" w:hAnsi="Times New Roman"/>
          <w:kern w:val="36"/>
          <w:sz w:val="24"/>
          <w:szCs w:val="24"/>
        </w:rPr>
        <w:t xml:space="preserve"> </w:t>
      </w:r>
      <w:r>
        <w:rPr>
          <w:rFonts w:ascii="Times New Roman" w:hAnsi="Times New Roman"/>
          <w:sz w:val="24"/>
          <w:szCs w:val="24"/>
        </w:rPr>
        <w:t>“</w:t>
      </w:r>
      <w:r w:rsidRPr="00D427A9">
        <w:rPr>
          <w:rFonts w:ascii="Times New Roman" w:hAnsi="Times New Roman"/>
          <w:sz w:val="24"/>
          <w:szCs w:val="24"/>
        </w:rPr>
        <w:t xml:space="preserve">Congressional Democrats have made multiple attempts in recent years to limit qualified immunity, though none has been successful. The George Floyd Justice </w:t>
      </w:r>
      <w:proofErr w:type="gramStart"/>
      <w:r w:rsidRPr="00D427A9">
        <w:rPr>
          <w:rFonts w:ascii="Times New Roman" w:hAnsi="Times New Roman"/>
          <w:sz w:val="24"/>
          <w:szCs w:val="24"/>
        </w:rPr>
        <w:t>In</w:t>
      </w:r>
      <w:proofErr w:type="gramEnd"/>
      <w:r w:rsidRPr="00D427A9">
        <w:rPr>
          <w:rFonts w:ascii="Times New Roman" w:hAnsi="Times New Roman"/>
          <w:sz w:val="24"/>
          <w:szCs w:val="24"/>
        </w:rPr>
        <w:t xml:space="preserve"> Policing Act, which passed the House, would have restricted the defense, but negotiations over a compromise bill petered out earlier this year.</w:t>
      </w:r>
      <w:r>
        <w:rPr>
          <w:rFonts w:ascii="Times New Roman" w:hAnsi="Times New Roman"/>
          <w:sz w:val="24"/>
          <w:szCs w:val="24"/>
        </w:rPr>
        <w:t>”</w:t>
      </w:r>
    </w:p>
    <w:p w14:paraId="3C32BFC4" w14:textId="77777777" w:rsidR="0082055F" w:rsidRDefault="0082055F" w:rsidP="002B1283">
      <w:pPr>
        <w:rPr>
          <w:rStyle w:val="Hyperlink"/>
          <w:rFonts w:ascii="Arial Black" w:hAnsi="Arial Black"/>
          <w:b/>
          <w:color w:val="auto"/>
          <w:sz w:val="24"/>
          <w:szCs w:val="24"/>
          <w:u w:val="none"/>
        </w:rPr>
      </w:pPr>
    </w:p>
    <w:p w14:paraId="543093BB" w14:textId="63D6A2DC" w:rsidR="00382F02" w:rsidRDefault="00382F02" w:rsidP="002B1283">
      <w:pPr>
        <w:rPr>
          <w:rStyle w:val="Hyperlink"/>
          <w:rFonts w:ascii="Arial Black" w:hAnsi="Arial Black"/>
          <w:b/>
          <w:color w:val="auto"/>
          <w:sz w:val="24"/>
          <w:szCs w:val="24"/>
          <w:u w:val="none"/>
        </w:rPr>
      </w:pPr>
      <w:r>
        <w:rPr>
          <w:rStyle w:val="Hyperlink"/>
          <w:rFonts w:ascii="Arial Black" w:hAnsi="Arial Black"/>
          <w:b/>
          <w:color w:val="auto"/>
          <w:sz w:val="24"/>
          <w:szCs w:val="24"/>
          <w:u w:val="none"/>
        </w:rPr>
        <w:t>4-16</w:t>
      </w:r>
    </w:p>
    <w:p w14:paraId="41BF3B7E" w14:textId="77777777" w:rsidR="00382F02" w:rsidRPr="00E05DC9" w:rsidRDefault="00382F02" w:rsidP="00382F02">
      <w:pPr>
        <w:pStyle w:val="Heading1"/>
        <w:rPr>
          <w:rFonts w:ascii="Arial Black" w:hAnsi="Arial Black"/>
          <w:b w:val="0"/>
          <w:bCs w:val="0"/>
          <w:sz w:val="28"/>
          <w:szCs w:val="28"/>
        </w:rPr>
      </w:pPr>
      <w:bookmarkStart w:id="175" w:name="_Hlk81841658"/>
      <w:r w:rsidRPr="00E05DC9">
        <w:rPr>
          <w:rFonts w:ascii="Arial Black" w:hAnsi="Arial Black"/>
          <w:b w:val="0"/>
          <w:bCs w:val="0"/>
          <w:sz w:val="28"/>
          <w:szCs w:val="28"/>
        </w:rPr>
        <w:t xml:space="preserve">NY: </w:t>
      </w:r>
      <w:r>
        <w:rPr>
          <w:rFonts w:ascii="Arial Black" w:hAnsi="Arial Black"/>
          <w:b w:val="0"/>
          <w:bCs w:val="0"/>
          <w:sz w:val="28"/>
          <w:szCs w:val="28"/>
        </w:rPr>
        <w:t>STRUCTURE FIRE, TWO DEAD – INCIDENT COMMANDER NO LIABILITY - NO “SPECIAL DUTY” OWED RESIDENTS</w:t>
      </w:r>
    </w:p>
    <w:bookmarkEnd w:id="175"/>
    <w:p w14:paraId="70136CC0" w14:textId="77777777" w:rsidR="00362EB6" w:rsidRPr="00362EB6" w:rsidRDefault="00382F02" w:rsidP="00362EB6">
      <w:pPr>
        <w:pStyle w:val="Heading1"/>
        <w:rPr>
          <w:b w:val="0"/>
          <w:bCs w:val="0"/>
          <w:sz w:val="24"/>
          <w:szCs w:val="24"/>
        </w:rPr>
      </w:pPr>
      <w:r>
        <w:rPr>
          <w:b w:val="0"/>
          <w:bCs w:val="0"/>
          <w:sz w:val="24"/>
          <w:szCs w:val="24"/>
        </w:rPr>
        <w:t xml:space="preserve">On Aug. 26, 2021, in </w:t>
      </w:r>
      <w:r w:rsidRPr="007029FC">
        <w:rPr>
          <w:b w:val="0"/>
          <w:bCs w:val="0"/>
          <w:sz w:val="24"/>
          <w:szCs w:val="24"/>
          <w:u w:val="single"/>
        </w:rPr>
        <w:t>Christopher M. (Administrator of Estate of Heather M. and T.M.) v. Christopher J. Mineo, Assistant Fire Chief of Yorkville Fire Department, et al</w:t>
      </w:r>
      <w:r>
        <w:rPr>
          <w:b w:val="0"/>
          <w:bCs w:val="0"/>
          <w:sz w:val="24"/>
          <w:szCs w:val="24"/>
        </w:rPr>
        <w:t xml:space="preserve">., the Supreme Court of New York, Fourth Department, held </w:t>
      </w:r>
      <w:r w:rsidRPr="00873015">
        <w:rPr>
          <w:b w:val="0"/>
          <w:bCs w:val="0"/>
          <w:sz w:val="24"/>
          <w:szCs w:val="24"/>
        </w:rPr>
        <w:t>(5 to 0)</w:t>
      </w:r>
      <w:r>
        <w:rPr>
          <w:b w:val="0"/>
          <w:bCs w:val="0"/>
          <w:sz w:val="24"/>
          <w:szCs w:val="24"/>
        </w:rPr>
        <w:t xml:space="preserve"> that the lawsuit was properly dismissed concerning the Jan. 18, </w:t>
      </w:r>
      <w:proofErr w:type="gramStart"/>
      <w:r>
        <w:rPr>
          <w:b w:val="0"/>
          <w:bCs w:val="0"/>
          <w:sz w:val="24"/>
          <w:szCs w:val="24"/>
        </w:rPr>
        <w:t>2018</w:t>
      </w:r>
      <w:proofErr w:type="gramEnd"/>
      <w:r>
        <w:rPr>
          <w:b w:val="0"/>
          <w:bCs w:val="0"/>
          <w:sz w:val="24"/>
          <w:szCs w:val="24"/>
        </w:rPr>
        <w:t xml:space="preserve"> structure fire in upstairs apartment.  Plaintiff alleged the Assistant Chief called other volunteer fire departments but was “grossly negligent” in not seeking mutual aid from the career Utica Fire Department located 6 miles from the scene.</w:t>
      </w:r>
      <w:r w:rsidR="00362EB6">
        <w:rPr>
          <w:b w:val="0"/>
          <w:bCs w:val="0"/>
          <w:sz w:val="24"/>
          <w:szCs w:val="24"/>
        </w:rPr>
        <w:t xml:space="preserve"> </w:t>
      </w:r>
      <w:hyperlink r:id="rId917" w:history="1">
        <w:r w:rsidR="00362EB6" w:rsidRPr="00362EB6">
          <w:rPr>
            <w:rStyle w:val="Hyperlink"/>
            <w:b w:val="0"/>
            <w:bCs w:val="0"/>
            <w:sz w:val="24"/>
            <w:szCs w:val="24"/>
          </w:rPr>
          <w:t>https://public.fastcase.com/9SKwsfNqTc6OieYDhNMyM6VI9jzZ8Wjh0KgpobjMibbiOoRUyOE%2BZu2RC4EQbfMf</w:t>
        </w:r>
      </w:hyperlink>
      <w:r w:rsidR="00362EB6" w:rsidRPr="00362EB6">
        <w:rPr>
          <w:b w:val="0"/>
          <w:bCs w:val="0"/>
          <w:sz w:val="24"/>
          <w:szCs w:val="24"/>
        </w:rPr>
        <w:t xml:space="preserve"> </w:t>
      </w:r>
    </w:p>
    <w:p w14:paraId="605A3194" w14:textId="2C1C0837" w:rsidR="00382F02" w:rsidRDefault="00362EB6" w:rsidP="00382F02">
      <w:pPr>
        <w:pStyle w:val="Heading1"/>
        <w:rPr>
          <w:b w:val="0"/>
          <w:bCs w:val="0"/>
          <w:sz w:val="24"/>
          <w:szCs w:val="24"/>
        </w:rPr>
      </w:pPr>
      <w:r>
        <w:rPr>
          <w:b w:val="0"/>
          <w:bCs w:val="0"/>
          <w:sz w:val="24"/>
          <w:szCs w:val="24"/>
        </w:rPr>
        <w:t>THE COURT HELD:</w:t>
      </w:r>
    </w:p>
    <w:p w14:paraId="6CBCC57E" w14:textId="2931DC80" w:rsidR="006E75ED" w:rsidRPr="00873015" w:rsidRDefault="00382F02" w:rsidP="00382F02">
      <w:pPr>
        <w:pStyle w:val="Heading1"/>
        <w:ind w:left="720"/>
        <w:rPr>
          <w:b w:val="0"/>
          <w:bCs w:val="0"/>
          <w:sz w:val="24"/>
          <w:szCs w:val="24"/>
        </w:rPr>
      </w:pPr>
      <w:r>
        <w:rPr>
          <w:b w:val="0"/>
          <w:bCs w:val="0"/>
          <w:sz w:val="24"/>
          <w:szCs w:val="24"/>
        </w:rPr>
        <w:t>“</w:t>
      </w:r>
      <w:r w:rsidRPr="00873015">
        <w:rPr>
          <w:b w:val="0"/>
          <w:bCs w:val="0"/>
          <w:sz w:val="24"/>
          <w:szCs w:val="24"/>
        </w:rPr>
        <w:t xml:space="preserve">We affirm for reasons stated in the decision at Supreme Court. We write only to note that, inasmuch as plaintiff correctly concedes in his appellate brief that the amended complaint fails to allege the existence </w:t>
      </w:r>
      <w:r w:rsidRPr="00873015">
        <w:rPr>
          <w:b w:val="0"/>
          <w:bCs w:val="0"/>
          <w:sz w:val="24"/>
          <w:szCs w:val="24"/>
        </w:rPr>
        <w:lastRenderedPageBreak/>
        <w:t>of a special duty, the court properly granted those parts of the motions of defendants Nicholas Morosco, individually, and as Assistant Fire Chief of the Yorkville Fire Department, the Yorkville Fire and Hose Company, Inc., and the Village of Yorkville, seeking to dismiss the sixth cause of action, which is against Morosco for gross negligence</w:t>
      </w:r>
      <w:r>
        <w:rPr>
          <w:b w:val="0"/>
          <w:bCs w:val="0"/>
          <w:sz w:val="24"/>
          <w:szCs w:val="24"/>
        </w:rPr>
        <w:t xml:space="preserve">…. </w:t>
      </w:r>
      <w:r w:rsidRPr="00873015">
        <w:rPr>
          <w:b w:val="0"/>
          <w:bCs w:val="0"/>
          <w:sz w:val="24"/>
          <w:szCs w:val="24"/>
        </w:rPr>
        <w:t>"Without a [special] duty running directly to the injured person[, ] there can be no liability in damages, however careless the conduct or foreseeable the harm" (</w:t>
      </w:r>
      <w:r w:rsidRPr="00873015">
        <w:rPr>
          <w:rStyle w:val="Emphasis"/>
          <w:sz w:val="24"/>
          <w:szCs w:val="24"/>
        </w:rPr>
        <w:t>Lauer v City of New York</w:t>
      </w:r>
      <w:r w:rsidRPr="00873015">
        <w:rPr>
          <w:b w:val="0"/>
          <w:bCs w:val="0"/>
          <w:sz w:val="24"/>
          <w:szCs w:val="24"/>
        </w:rPr>
        <w:t>, 95 N.Y.2d 95, 100 [2000]). Thus, contrary to plaintiff's contention, even if we accept as true the allegation that Morosco was grossly negligent and we accord plaintiff the benefit of every possible favorable inference (</w:t>
      </w:r>
      <w:r w:rsidRPr="00873015">
        <w:rPr>
          <w:rStyle w:val="Emphasis"/>
          <w:sz w:val="24"/>
          <w:szCs w:val="24"/>
        </w:rPr>
        <w:t>see Leon v Martinez</w:t>
      </w:r>
      <w:r w:rsidRPr="00873015">
        <w:rPr>
          <w:b w:val="0"/>
          <w:bCs w:val="0"/>
          <w:sz w:val="24"/>
          <w:szCs w:val="24"/>
        </w:rPr>
        <w:t xml:space="preserve">, 84 N.Y.2d 83, 87-88 [1994]), </w:t>
      </w:r>
      <w:r>
        <w:rPr>
          <w:b w:val="0"/>
          <w:bCs w:val="0"/>
          <w:sz w:val="24"/>
          <w:szCs w:val="24"/>
        </w:rPr>
        <w:t>‘</w:t>
      </w:r>
      <w:r w:rsidRPr="00873015">
        <w:rPr>
          <w:b w:val="0"/>
          <w:bCs w:val="0"/>
          <w:sz w:val="24"/>
          <w:szCs w:val="24"/>
        </w:rPr>
        <w:t>in the absence of a special duty there can be no liability</w:t>
      </w:r>
      <w:r>
        <w:rPr>
          <w:b w:val="0"/>
          <w:bCs w:val="0"/>
          <w:sz w:val="24"/>
          <w:szCs w:val="24"/>
        </w:rPr>
        <w:t xml:space="preserve">’ </w:t>
      </w:r>
      <w:r w:rsidRPr="00873015">
        <w:rPr>
          <w:b w:val="0"/>
          <w:bCs w:val="0"/>
          <w:sz w:val="24"/>
          <w:szCs w:val="24"/>
        </w:rPr>
        <w:t>(</w:t>
      </w:r>
      <w:r w:rsidRPr="00873015">
        <w:rPr>
          <w:rStyle w:val="Emphasis"/>
          <w:sz w:val="24"/>
          <w:szCs w:val="24"/>
        </w:rPr>
        <w:t>Rennix v Jackson</w:t>
      </w:r>
      <w:r w:rsidRPr="00873015">
        <w:rPr>
          <w:b w:val="0"/>
          <w:bCs w:val="0"/>
          <w:sz w:val="24"/>
          <w:szCs w:val="24"/>
        </w:rPr>
        <w:t>, 152 A.D.3d 551, 554 [2d Dept 2017]).</w:t>
      </w:r>
      <w:r>
        <w:rPr>
          <w:b w:val="0"/>
          <w:bCs w:val="0"/>
          <w:sz w:val="24"/>
          <w:szCs w:val="24"/>
        </w:rPr>
        <w:t>”</w:t>
      </w:r>
      <w:r w:rsidRPr="00873015">
        <w:t xml:space="preserve"> </w:t>
      </w:r>
      <w:hyperlink r:id="rId918" w:history="1">
        <w:r w:rsidR="006E75ED" w:rsidRPr="00D429FC">
          <w:rPr>
            <w:rStyle w:val="Hyperlink"/>
            <w:b w:val="0"/>
            <w:bCs w:val="0"/>
            <w:sz w:val="24"/>
            <w:szCs w:val="24"/>
          </w:rPr>
          <w:t>https://casetext.com/case/christopher-m-v-mineo</w:t>
        </w:r>
      </w:hyperlink>
      <w:r w:rsidR="006E75ED">
        <w:rPr>
          <w:b w:val="0"/>
          <w:bCs w:val="0"/>
          <w:sz w:val="24"/>
          <w:szCs w:val="24"/>
        </w:rPr>
        <w:t xml:space="preserve"> </w:t>
      </w:r>
    </w:p>
    <w:p w14:paraId="69D214AA" w14:textId="58808FB9" w:rsidR="00BD263B" w:rsidRPr="00873015" w:rsidRDefault="00BD263B" w:rsidP="00BD263B">
      <w:pPr>
        <w:spacing w:before="100" w:beforeAutospacing="1" w:after="100" w:afterAutospacing="1" w:line="240" w:lineRule="auto"/>
        <w:rPr>
          <w:rFonts w:ascii="Times New Roman" w:eastAsia="Times New Roman" w:hAnsi="Times New Roman"/>
          <w:b/>
          <w:bCs/>
          <w:sz w:val="24"/>
          <w:szCs w:val="24"/>
        </w:rPr>
      </w:pPr>
      <w:r w:rsidRPr="00CD5B1A">
        <w:rPr>
          <w:rFonts w:ascii="Times New Roman" w:eastAsia="Times New Roman" w:hAnsi="Times New Roman"/>
          <w:b/>
          <w:bCs/>
          <w:sz w:val="24"/>
          <w:szCs w:val="24"/>
        </w:rPr>
        <w:t>Legal Lesson Learned:</w:t>
      </w:r>
      <w:r>
        <w:rPr>
          <w:rFonts w:ascii="Times New Roman" w:eastAsia="Times New Roman" w:hAnsi="Times New Roman"/>
          <w:b/>
          <w:bCs/>
          <w:sz w:val="24"/>
          <w:szCs w:val="24"/>
        </w:rPr>
        <w:t xml:space="preserve"> In the absence of a “special duty”, the Assistant Fire Chief and his fire department and village enjoy immunity from liability. </w:t>
      </w:r>
    </w:p>
    <w:p w14:paraId="3B6FBDBC" w14:textId="77777777" w:rsidR="00BD263B" w:rsidRDefault="00BD263B" w:rsidP="00BD263B">
      <w:pPr>
        <w:pStyle w:val="NormalWeb"/>
        <w:ind w:left="720"/>
      </w:pPr>
      <w:r>
        <w:t xml:space="preserve">Note: </w:t>
      </w:r>
      <w:r w:rsidRPr="00CD5B1A">
        <w:t>Watch the Oral Argument</w:t>
      </w:r>
      <w:r>
        <w:t xml:space="preserve"> before the Justices </w:t>
      </w:r>
      <w:r w:rsidRPr="00B17D11">
        <w:rPr>
          <w:b/>
          <w:bCs/>
        </w:rPr>
        <w:t>(</w:t>
      </w:r>
      <w:r w:rsidRPr="00B17D11">
        <w:rPr>
          <w:rStyle w:val="Strong"/>
          <w:rFonts w:eastAsiaTheme="majorEastAsia"/>
          <w:b w:val="0"/>
          <w:bCs w:val="0"/>
        </w:rPr>
        <w:t>May 27, 2021):</w:t>
      </w:r>
      <w:r w:rsidRPr="00CD5B1A">
        <w:rPr>
          <w:rStyle w:val="Strong"/>
          <w:rFonts w:eastAsiaTheme="majorEastAsia"/>
        </w:rPr>
        <w:t> </w:t>
      </w:r>
      <w:r w:rsidRPr="00CD5B1A">
        <w:rPr>
          <w:b/>
          <w:bCs/>
        </w:rPr>
        <w:t xml:space="preserve"> </w:t>
      </w:r>
      <w:hyperlink r:id="rId919" w:tgtFrame="_blank" w:history="1">
        <w:r>
          <w:rPr>
            <w:rStyle w:val="Hyperlink"/>
          </w:rPr>
          <w:t>https://ad4.nycourts.gov/njs/term/argument/calendar?date=2021-05-27T00:00:00.000Z&amp;venue=1&amp;calnbr=633</w:t>
        </w:r>
        <w:r>
          <w:rPr>
            <w:rStyle w:val="screenreader-only"/>
            <w:color w:val="0000FF"/>
            <w:u w:val="single"/>
          </w:rPr>
          <w:t> (Links to an external site.)</w:t>
        </w:r>
      </w:hyperlink>
    </w:p>
    <w:p w14:paraId="3EE3BC65" w14:textId="77777777" w:rsidR="00382F02" w:rsidRDefault="00382F02" w:rsidP="002B1283">
      <w:pPr>
        <w:rPr>
          <w:rStyle w:val="Hyperlink"/>
          <w:rFonts w:ascii="Arial Black" w:hAnsi="Arial Black"/>
          <w:b/>
          <w:color w:val="auto"/>
          <w:sz w:val="24"/>
          <w:szCs w:val="24"/>
          <w:u w:val="none"/>
        </w:rPr>
      </w:pPr>
    </w:p>
    <w:p w14:paraId="301DD0B4" w14:textId="77777777" w:rsidR="00382F02" w:rsidRDefault="00382F02" w:rsidP="002B1283">
      <w:pPr>
        <w:rPr>
          <w:rStyle w:val="Hyperlink"/>
          <w:rFonts w:ascii="Arial Black" w:hAnsi="Arial Black"/>
          <w:b/>
          <w:color w:val="auto"/>
          <w:sz w:val="24"/>
          <w:szCs w:val="24"/>
          <w:u w:val="none"/>
        </w:rPr>
      </w:pPr>
    </w:p>
    <w:p w14:paraId="59CC77A4" w14:textId="77777777" w:rsidR="00382F02" w:rsidRDefault="00382F02" w:rsidP="002B1283">
      <w:pPr>
        <w:rPr>
          <w:rStyle w:val="Hyperlink"/>
          <w:rFonts w:ascii="Arial Black" w:hAnsi="Arial Black"/>
          <w:b/>
          <w:color w:val="auto"/>
          <w:sz w:val="24"/>
          <w:szCs w:val="24"/>
          <w:u w:val="none"/>
        </w:rPr>
      </w:pPr>
    </w:p>
    <w:p w14:paraId="26427968" w14:textId="02DC5599" w:rsidR="000915C1" w:rsidRDefault="000915C1" w:rsidP="002B1283">
      <w:pPr>
        <w:rPr>
          <w:rStyle w:val="Hyperlink"/>
          <w:rFonts w:ascii="Arial Black" w:hAnsi="Arial Black"/>
          <w:b/>
          <w:color w:val="auto"/>
          <w:sz w:val="24"/>
          <w:szCs w:val="24"/>
          <w:u w:val="none"/>
        </w:rPr>
      </w:pPr>
      <w:r>
        <w:rPr>
          <w:rStyle w:val="Hyperlink"/>
          <w:rFonts w:ascii="Arial Black" w:hAnsi="Arial Black"/>
          <w:b/>
          <w:color w:val="auto"/>
          <w:sz w:val="24"/>
          <w:szCs w:val="24"/>
          <w:u w:val="none"/>
        </w:rPr>
        <w:t>4-15</w:t>
      </w:r>
    </w:p>
    <w:p w14:paraId="283FDDAE" w14:textId="77777777" w:rsidR="000915C1" w:rsidRPr="00545701" w:rsidRDefault="000915C1" w:rsidP="000915C1">
      <w:pPr>
        <w:pStyle w:val="NoSpacing"/>
        <w:rPr>
          <w:rFonts w:ascii="Arial Black" w:hAnsi="Arial Black"/>
          <w:sz w:val="28"/>
          <w:szCs w:val="28"/>
        </w:rPr>
      </w:pPr>
      <w:r>
        <w:rPr>
          <w:rFonts w:ascii="Arial Black" w:hAnsi="Arial Black"/>
          <w:sz w:val="28"/>
          <w:szCs w:val="28"/>
        </w:rPr>
        <w:t>MI: TOWNSHIP DRONE – PHOTOS JUNKYARD ZONING VIOL - PHOTOS SUPPRESSED – NEED ADMIN. SEARCH WARRANT</w:t>
      </w:r>
    </w:p>
    <w:p w14:paraId="352819F4" w14:textId="77777777" w:rsidR="000915C1" w:rsidRDefault="000915C1" w:rsidP="000915C1">
      <w:pPr>
        <w:spacing w:before="100" w:beforeAutospacing="1" w:after="100" w:afterAutospacing="1" w:line="240" w:lineRule="auto"/>
        <w:rPr>
          <w:rFonts w:ascii="Times New Roman" w:hAnsi="Times New Roman"/>
          <w:sz w:val="24"/>
          <w:szCs w:val="24"/>
        </w:rPr>
      </w:pPr>
      <w:r w:rsidRPr="0038323F">
        <w:rPr>
          <w:rFonts w:ascii="Times New Roman" w:hAnsi="Times New Roman"/>
          <w:sz w:val="24"/>
          <w:szCs w:val="24"/>
        </w:rPr>
        <w:t xml:space="preserve">On </w:t>
      </w:r>
      <w:r>
        <w:rPr>
          <w:rFonts w:ascii="Times New Roman" w:hAnsi="Times New Roman"/>
          <w:sz w:val="24"/>
          <w:szCs w:val="24"/>
        </w:rPr>
        <w:t xml:space="preserve">March 18, 2021, in </w:t>
      </w:r>
      <w:r w:rsidRPr="0038323F">
        <w:rPr>
          <w:rFonts w:ascii="Times New Roman" w:hAnsi="Times New Roman"/>
          <w:sz w:val="24"/>
          <w:szCs w:val="24"/>
          <w:u w:val="single"/>
        </w:rPr>
        <w:t>Long Lake Township v. Todd Maxon and Heather Maxon</w:t>
      </w:r>
      <w:r>
        <w:rPr>
          <w:rFonts w:ascii="Times New Roman" w:hAnsi="Times New Roman"/>
          <w:sz w:val="24"/>
          <w:szCs w:val="24"/>
        </w:rPr>
        <w:t xml:space="preserve">, the State of Michigan Court of Appeals held (2 to 1) that the trial court should have granted the motion to suppress the photos taken by a drone, flying line-of-sight below the </w:t>
      </w:r>
      <w:proofErr w:type="gramStart"/>
      <w:r>
        <w:rPr>
          <w:rFonts w:ascii="Times New Roman" w:hAnsi="Times New Roman"/>
          <w:sz w:val="24"/>
          <w:szCs w:val="24"/>
        </w:rPr>
        <w:t>400 foot</w:t>
      </w:r>
      <w:proofErr w:type="gramEnd"/>
      <w:r>
        <w:rPr>
          <w:rFonts w:ascii="Times New Roman" w:hAnsi="Times New Roman"/>
          <w:sz w:val="24"/>
          <w:szCs w:val="24"/>
        </w:rPr>
        <w:t xml:space="preserve"> FAA limit.   </w:t>
      </w:r>
    </w:p>
    <w:p w14:paraId="5E7872E4" w14:textId="77777777" w:rsidR="000915C1" w:rsidRDefault="000915C1" w:rsidP="000915C1">
      <w:pPr>
        <w:pStyle w:val="NoSpacing"/>
        <w:ind w:left="720"/>
        <w:rPr>
          <w:rFonts w:ascii="Times New Roman" w:hAnsi="Times New Roman"/>
          <w:sz w:val="24"/>
          <w:szCs w:val="24"/>
        </w:rPr>
      </w:pPr>
      <w:r>
        <w:rPr>
          <w:rFonts w:ascii="Times New Roman" w:hAnsi="Times New Roman"/>
          <w:sz w:val="24"/>
          <w:szCs w:val="24"/>
        </w:rPr>
        <w:t>“</w:t>
      </w:r>
      <w:r w:rsidRPr="001441C5">
        <w:rPr>
          <w:rFonts w:ascii="Times New Roman" w:hAnsi="Times New Roman"/>
          <w:sz w:val="24"/>
          <w:szCs w:val="24"/>
        </w:rPr>
        <w:t xml:space="preserve">We conclude that; much like the infrared imaging device discussed in </w:t>
      </w:r>
      <w:r w:rsidRPr="001441C5">
        <w:rPr>
          <w:rFonts w:ascii="Times New Roman" w:hAnsi="Times New Roman"/>
          <w:i/>
          <w:iCs/>
          <w:sz w:val="24"/>
          <w:szCs w:val="24"/>
        </w:rPr>
        <w:t>Kyllo</w:t>
      </w:r>
      <w:r>
        <w:rPr>
          <w:rFonts w:ascii="Times New Roman" w:hAnsi="Times New Roman"/>
          <w:i/>
          <w:iCs/>
          <w:sz w:val="24"/>
          <w:szCs w:val="24"/>
        </w:rPr>
        <w:t xml:space="preserve"> </w:t>
      </w:r>
      <w:r w:rsidRPr="001441C5">
        <w:rPr>
          <w:rFonts w:ascii="Times New Roman" w:hAnsi="Times New Roman"/>
          <w:i/>
          <w:iCs/>
          <w:sz w:val="24"/>
          <w:szCs w:val="24"/>
        </w:rPr>
        <w:t>[Kyllo v United States</w:t>
      </w:r>
      <w:r w:rsidRPr="001441C5">
        <w:rPr>
          <w:rFonts w:ascii="Times New Roman" w:hAnsi="Times New Roman"/>
          <w:sz w:val="24"/>
          <w:szCs w:val="24"/>
        </w:rPr>
        <w:t>, 533 US 27; 121 S Ct 2038; 150 L Ed 2d 94 (2001)]</w:t>
      </w:r>
      <w:r w:rsidRPr="001441C5">
        <w:rPr>
          <w:rFonts w:ascii="Times New Roman" w:hAnsi="Times New Roman"/>
          <w:i/>
          <w:iCs/>
          <w:sz w:val="24"/>
          <w:szCs w:val="24"/>
        </w:rPr>
        <w:t>;</w:t>
      </w:r>
      <w:r w:rsidRPr="001441C5">
        <w:rPr>
          <w:rFonts w:ascii="Times New Roman" w:hAnsi="Times New Roman"/>
          <w:sz w:val="24"/>
          <w:szCs w:val="24"/>
        </w:rPr>
        <w:t xml:space="preserve"> low-altitude, unmanned, specifically-targeted drone surveillance of a private individual's property is qualitatively different from the kinds of human-operated aircraft overflights permitted by </w:t>
      </w:r>
      <w:r w:rsidRPr="001441C5">
        <w:rPr>
          <w:rFonts w:ascii="Times New Roman" w:hAnsi="Times New Roman"/>
          <w:i/>
          <w:iCs/>
          <w:sz w:val="24"/>
          <w:szCs w:val="24"/>
        </w:rPr>
        <w:t>Ciraolo</w:t>
      </w:r>
      <w:r w:rsidRPr="001441C5">
        <w:rPr>
          <w:rFonts w:ascii="Times New Roman" w:hAnsi="Times New Roman"/>
          <w:sz w:val="24"/>
          <w:szCs w:val="24"/>
        </w:rPr>
        <w:t xml:space="preserve"> [</w:t>
      </w:r>
      <w:r w:rsidRPr="001441C5">
        <w:rPr>
          <w:rFonts w:ascii="Times New Roman" w:hAnsi="Times New Roman"/>
          <w:i/>
          <w:iCs/>
          <w:sz w:val="24"/>
          <w:szCs w:val="24"/>
        </w:rPr>
        <w:t>California v Ciraolo</w:t>
      </w:r>
      <w:r w:rsidRPr="001441C5">
        <w:rPr>
          <w:rFonts w:ascii="Times New Roman" w:hAnsi="Times New Roman"/>
          <w:sz w:val="24"/>
          <w:szCs w:val="24"/>
        </w:rPr>
        <w:t>, 475 US 207; 106 S Ct 1809; 90 L Ed 2d 210 (1986)]</w:t>
      </w:r>
      <w:r>
        <w:rPr>
          <w:rFonts w:ascii="Times New Roman" w:hAnsi="Times New Roman"/>
          <w:sz w:val="24"/>
          <w:szCs w:val="24"/>
        </w:rPr>
        <w:t xml:space="preserve"> </w:t>
      </w:r>
      <w:r w:rsidRPr="001441C5">
        <w:rPr>
          <w:rFonts w:ascii="Times New Roman" w:hAnsi="Times New Roman"/>
          <w:sz w:val="24"/>
          <w:szCs w:val="24"/>
        </w:rPr>
        <w:t xml:space="preserve">and </w:t>
      </w:r>
      <w:r w:rsidRPr="001441C5">
        <w:rPr>
          <w:rFonts w:ascii="Times New Roman" w:hAnsi="Times New Roman"/>
          <w:i/>
          <w:iCs/>
          <w:sz w:val="24"/>
          <w:szCs w:val="24"/>
        </w:rPr>
        <w:t>Riley</w:t>
      </w:r>
      <w:r>
        <w:rPr>
          <w:rFonts w:ascii="Times New Roman" w:hAnsi="Times New Roman"/>
          <w:sz w:val="24"/>
          <w:szCs w:val="24"/>
        </w:rPr>
        <w:t xml:space="preserve"> [</w:t>
      </w:r>
      <w:r w:rsidRPr="001441C5">
        <w:rPr>
          <w:rFonts w:ascii="Times New Roman" w:hAnsi="Times New Roman"/>
          <w:i/>
          <w:iCs/>
          <w:sz w:val="24"/>
          <w:szCs w:val="24"/>
        </w:rPr>
        <w:t>Florida v Riley</w:t>
      </w:r>
      <w:r w:rsidRPr="001441C5">
        <w:rPr>
          <w:rFonts w:ascii="Times New Roman" w:hAnsi="Times New Roman"/>
          <w:sz w:val="24"/>
          <w:szCs w:val="24"/>
        </w:rPr>
        <w:t>, 488 US 445; 109 S Ct 693; 102 L Ed 2d 835 (1989)]</w:t>
      </w:r>
      <w:r>
        <w:rPr>
          <w:rFonts w:ascii="Times New Roman" w:hAnsi="Times New Roman"/>
          <w:sz w:val="24"/>
          <w:szCs w:val="24"/>
        </w:rPr>
        <w:t>.</w:t>
      </w:r>
    </w:p>
    <w:p w14:paraId="4DDC7915" w14:textId="77777777" w:rsidR="000915C1" w:rsidRDefault="000915C1" w:rsidP="000915C1">
      <w:pPr>
        <w:pStyle w:val="NoSpacing"/>
        <w:ind w:left="720"/>
        <w:rPr>
          <w:rFonts w:ascii="Times New Roman" w:hAnsi="Times New Roman"/>
          <w:sz w:val="24"/>
          <w:szCs w:val="24"/>
        </w:rPr>
      </w:pPr>
      <w:r w:rsidRPr="001441C5">
        <w:rPr>
          <w:rFonts w:ascii="Times New Roman" w:hAnsi="Times New Roman"/>
          <w:sz w:val="24"/>
          <w:szCs w:val="24"/>
        </w:rPr>
        <w:t xml:space="preserve">We conclude that drone surveillance of this nature intrudes into persons' reasonable expectations of privacy, so such surveillance </w:t>
      </w:r>
      <w:proofErr w:type="gramStart"/>
      <w:r w:rsidRPr="001441C5">
        <w:rPr>
          <w:rFonts w:ascii="Times New Roman" w:hAnsi="Times New Roman"/>
          <w:sz w:val="24"/>
          <w:szCs w:val="24"/>
        </w:rPr>
        <w:t>implicates</w:t>
      </w:r>
      <w:proofErr w:type="gramEnd"/>
      <w:r w:rsidRPr="001441C5">
        <w:rPr>
          <w:rFonts w:ascii="Times New Roman" w:hAnsi="Times New Roman"/>
          <w:sz w:val="24"/>
          <w:szCs w:val="24"/>
        </w:rPr>
        <w:t xml:space="preserve"> the Fourth Amendment and is illegal without a warrant or a traditional exception to the warrant requirement. </w:t>
      </w:r>
    </w:p>
    <w:p w14:paraId="1E1DF5D2" w14:textId="77777777" w:rsidR="000915C1" w:rsidRDefault="000915C1" w:rsidP="000915C1">
      <w:pPr>
        <w:pStyle w:val="NoSpacing"/>
        <w:ind w:left="720"/>
        <w:rPr>
          <w:rFonts w:ascii="Times New Roman" w:hAnsi="Times New Roman"/>
          <w:sz w:val="24"/>
          <w:szCs w:val="24"/>
        </w:rPr>
      </w:pPr>
    </w:p>
    <w:p w14:paraId="7E6C2EEF" w14:textId="77777777" w:rsidR="000915C1" w:rsidRDefault="000915C1" w:rsidP="000915C1">
      <w:pPr>
        <w:pStyle w:val="NoSpacing"/>
        <w:ind w:left="720"/>
        <w:rPr>
          <w:rFonts w:ascii="Times New Roman" w:hAnsi="Times New Roman"/>
          <w:sz w:val="24"/>
          <w:szCs w:val="24"/>
        </w:rPr>
      </w:pPr>
      <w:r>
        <w:rPr>
          <w:rFonts w:ascii="Times New Roman" w:hAnsi="Times New Roman"/>
          <w:sz w:val="24"/>
          <w:szCs w:val="24"/>
        </w:rPr>
        <w:t>***</w:t>
      </w:r>
    </w:p>
    <w:p w14:paraId="17518921" w14:textId="77777777" w:rsidR="000915C1" w:rsidRDefault="000915C1" w:rsidP="000915C1">
      <w:pPr>
        <w:pStyle w:val="NoSpacing"/>
        <w:rPr>
          <w:rFonts w:ascii="Times New Roman" w:hAnsi="Times New Roman"/>
          <w:sz w:val="24"/>
          <w:szCs w:val="24"/>
        </w:rPr>
      </w:pPr>
    </w:p>
    <w:p w14:paraId="2E0665AC" w14:textId="77777777" w:rsidR="000915C1" w:rsidRPr="000915C1" w:rsidRDefault="000915C1" w:rsidP="000915C1">
      <w:pPr>
        <w:pStyle w:val="NoSpacing"/>
        <w:ind w:left="720"/>
        <w:rPr>
          <w:rFonts w:ascii="Times New Roman" w:hAnsi="Times New Roman"/>
          <w:sz w:val="24"/>
          <w:szCs w:val="24"/>
        </w:rPr>
      </w:pPr>
      <w:r w:rsidRPr="0038323F">
        <w:rPr>
          <w:rFonts w:ascii="Times New Roman" w:hAnsi="Times New Roman"/>
          <w:sz w:val="24"/>
          <w:szCs w:val="24"/>
        </w:rPr>
        <w:t>We believe it would be unworkable and futile to try to craft a precise altitude test. Rather, we conclude that persons have a reasonable expectation of privacy in their property against drone surveillance, and therefore a governmental entity seeking to conduct drone surveillance must obtain a warrant or satisfy a traditional exception to the warrant requirement.</w:t>
      </w:r>
      <w:r>
        <w:rPr>
          <w:rFonts w:ascii="Times New Roman" w:hAnsi="Times New Roman"/>
          <w:sz w:val="24"/>
          <w:szCs w:val="24"/>
        </w:rPr>
        <w:t xml:space="preserve">” </w:t>
      </w:r>
      <w:hyperlink r:id="rId920" w:history="1">
        <w:r w:rsidRPr="000915C1">
          <w:rPr>
            <w:rStyle w:val="Hyperlink"/>
            <w:rFonts w:ascii="Times New Roman" w:hAnsi="Times New Roman"/>
            <w:sz w:val="24"/>
            <w:szCs w:val="24"/>
          </w:rPr>
          <w:t>https://casetext.com/case/long-lake-twp-v-maxon</w:t>
        </w:r>
      </w:hyperlink>
      <w:r w:rsidRPr="000915C1">
        <w:rPr>
          <w:rFonts w:ascii="Times New Roman" w:hAnsi="Times New Roman"/>
          <w:sz w:val="24"/>
          <w:szCs w:val="24"/>
        </w:rPr>
        <w:t xml:space="preserve"> </w:t>
      </w:r>
    </w:p>
    <w:p w14:paraId="4677312E" w14:textId="77777777" w:rsidR="000915C1" w:rsidRDefault="000915C1" w:rsidP="000915C1">
      <w:pPr>
        <w:pStyle w:val="NoSpacing"/>
        <w:ind w:left="720"/>
        <w:rPr>
          <w:rFonts w:ascii="Times New Roman" w:hAnsi="Times New Roman"/>
          <w:sz w:val="24"/>
          <w:szCs w:val="24"/>
        </w:rPr>
      </w:pPr>
    </w:p>
    <w:p w14:paraId="65A6864E" w14:textId="77777777" w:rsidR="000915C1" w:rsidRPr="00F94C70" w:rsidRDefault="000915C1" w:rsidP="000915C1">
      <w:pPr>
        <w:pStyle w:val="NoSpacing"/>
        <w:rPr>
          <w:rFonts w:ascii="Times New Roman" w:hAnsi="Times New Roman"/>
          <w:b/>
          <w:bCs/>
          <w:sz w:val="24"/>
          <w:szCs w:val="24"/>
        </w:rPr>
      </w:pPr>
      <w:r w:rsidRPr="00F94C70">
        <w:rPr>
          <w:rFonts w:ascii="Times New Roman" w:hAnsi="Times New Roman"/>
          <w:b/>
          <w:bCs/>
          <w:sz w:val="24"/>
          <w:szCs w:val="24"/>
        </w:rPr>
        <w:lastRenderedPageBreak/>
        <w:t>Legal Lesson Learned:</w:t>
      </w:r>
      <w:r>
        <w:rPr>
          <w:rFonts w:ascii="Times New Roman" w:hAnsi="Times New Roman"/>
          <w:b/>
          <w:bCs/>
          <w:sz w:val="24"/>
          <w:szCs w:val="24"/>
        </w:rPr>
        <w:t xml:space="preserve">  There will undoubtedly be more litigation about use of drones; for fire code enforcement, when possible, first get a search or administrative warrant. </w:t>
      </w:r>
    </w:p>
    <w:p w14:paraId="407B3AF3" w14:textId="77777777" w:rsidR="000915C1" w:rsidRDefault="000915C1" w:rsidP="000915C1">
      <w:pPr>
        <w:pStyle w:val="NoSpacing"/>
        <w:ind w:left="720"/>
        <w:rPr>
          <w:rFonts w:ascii="Times New Roman" w:hAnsi="Times New Roman"/>
          <w:sz w:val="24"/>
          <w:szCs w:val="24"/>
        </w:rPr>
      </w:pPr>
    </w:p>
    <w:p w14:paraId="5291433C" w14:textId="77777777" w:rsidR="000915C1" w:rsidRDefault="000915C1" w:rsidP="000915C1">
      <w:pPr>
        <w:pStyle w:val="NoSpacing"/>
        <w:ind w:left="720"/>
        <w:rPr>
          <w:rFonts w:ascii="Times New Roman" w:hAnsi="Times New Roman"/>
          <w:sz w:val="24"/>
          <w:szCs w:val="24"/>
        </w:rPr>
      </w:pPr>
      <w:r>
        <w:rPr>
          <w:rFonts w:ascii="Times New Roman" w:hAnsi="Times New Roman"/>
          <w:sz w:val="24"/>
          <w:szCs w:val="24"/>
        </w:rPr>
        <w:t>Note: The dissenting opinion by Justice Karen M. Fort Hood.</w:t>
      </w:r>
    </w:p>
    <w:p w14:paraId="29CD2F29" w14:textId="77777777" w:rsidR="000915C1" w:rsidRPr="00F94C70" w:rsidRDefault="000915C1" w:rsidP="000915C1">
      <w:pPr>
        <w:spacing w:before="100" w:beforeAutospacing="1" w:after="100" w:afterAutospacing="1" w:line="240" w:lineRule="auto"/>
        <w:ind w:left="1440"/>
        <w:rPr>
          <w:rFonts w:ascii="Times New Roman" w:eastAsia="Times New Roman" w:hAnsi="Times New Roman"/>
          <w:sz w:val="24"/>
          <w:szCs w:val="24"/>
        </w:rPr>
      </w:pPr>
      <w:r>
        <w:rPr>
          <w:rFonts w:ascii="Times New Roman" w:eastAsia="Times New Roman" w:hAnsi="Times New Roman"/>
          <w:sz w:val="24"/>
          <w:szCs w:val="24"/>
        </w:rPr>
        <w:t>“</w:t>
      </w:r>
      <w:r w:rsidRPr="00F94C70">
        <w:rPr>
          <w:rFonts w:ascii="Times New Roman" w:eastAsia="Times New Roman" w:hAnsi="Times New Roman"/>
          <w:sz w:val="24"/>
          <w:szCs w:val="24"/>
        </w:rPr>
        <w:t xml:space="preserve">With </w:t>
      </w:r>
      <w:proofErr w:type="gramStart"/>
      <w:r w:rsidRPr="00F94C70">
        <w:rPr>
          <w:rFonts w:ascii="Times New Roman" w:eastAsia="Times New Roman" w:hAnsi="Times New Roman"/>
          <w:sz w:val="24"/>
          <w:szCs w:val="24"/>
        </w:rPr>
        <w:t>all of</w:t>
      </w:r>
      <w:proofErr w:type="gramEnd"/>
      <w:r w:rsidRPr="00F94C70">
        <w:rPr>
          <w:rFonts w:ascii="Times New Roman" w:eastAsia="Times New Roman" w:hAnsi="Times New Roman"/>
          <w:sz w:val="24"/>
          <w:szCs w:val="24"/>
        </w:rPr>
        <w:t xml:space="preserve"> the above in mind, again, there is no evidence that the drone in this case was flown in violation of the law or applicable regulations, nor that it contained equipment or was itself technology not readily available or generally used by the public. The fundamental principle from both </w:t>
      </w:r>
      <w:r w:rsidRPr="00F94C70">
        <w:rPr>
          <w:rFonts w:ascii="Times New Roman" w:eastAsia="Times New Roman" w:hAnsi="Times New Roman"/>
          <w:i/>
          <w:iCs/>
          <w:sz w:val="24"/>
          <w:szCs w:val="24"/>
        </w:rPr>
        <w:t>Ciraolo</w:t>
      </w:r>
      <w:r w:rsidRPr="00F94C70">
        <w:rPr>
          <w:rFonts w:ascii="Times New Roman" w:eastAsia="Times New Roman" w:hAnsi="Times New Roman"/>
          <w:sz w:val="24"/>
          <w:szCs w:val="24"/>
        </w:rPr>
        <w:t xml:space="preserve"> and </w:t>
      </w:r>
      <w:r w:rsidRPr="00F94C70">
        <w:rPr>
          <w:rFonts w:ascii="Times New Roman" w:eastAsia="Times New Roman" w:hAnsi="Times New Roman"/>
          <w:i/>
          <w:iCs/>
          <w:sz w:val="24"/>
          <w:szCs w:val="24"/>
        </w:rPr>
        <w:t>Riley</w:t>
      </w:r>
      <w:r w:rsidRPr="00F94C70">
        <w:rPr>
          <w:rFonts w:ascii="Times New Roman" w:eastAsia="Times New Roman" w:hAnsi="Times New Roman"/>
          <w:sz w:val="24"/>
          <w:szCs w:val="24"/>
        </w:rPr>
        <w:t xml:space="preserve"> is that the property observed in those cases was observable by commercial and public aircraft in the publicly navigable airspace, see </w:t>
      </w:r>
      <w:r w:rsidRPr="00F94C70">
        <w:rPr>
          <w:rFonts w:ascii="Times New Roman" w:eastAsia="Times New Roman" w:hAnsi="Times New Roman"/>
          <w:i/>
          <w:iCs/>
          <w:sz w:val="24"/>
          <w:szCs w:val="24"/>
        </w:rPr>
        <w:t>Ciraolo</w:t>
      </w:r>
      <w:r w:rsidRPr="00F94C70">
        <w:rPr>
          <w:rFonts w:ascii="Times New Roman" w:eastAsia="Times New Roman" w:hAnsi="Times New Roman"/>
          <w:sz w:val="24"/>
          <w:szCs w:val="24"/>
        </w:rPr>
        <w:t xml:space="preserve">, 476 US at 215; </w:t>
      </w:r>
      <w:r w:rsidRPr="00F94C70">
        <w:rPr>
          <w:rFonts w:ascii="Times New Roman" w:eastAsia="Times New Roman" w:hAnsi="Times New Roman"/>
          <w:i/>
          <w:iCs/>
          <w:sz w:val="24"/>
          <w:szCs w:val="24"/>
        </w:rPr>
        <w:t>Riley</w:t>
      </w:r>
      <w:r w:rsidRPr="00F94C70">
        <w:rPr>
          <w:rFonts w:ascii="Times New Roman" w:eastAsia="Times New Roman" w:hAnsi="Times New Roman"/>
          <w:sz w:val="24"/>
          <w:szCs w:val="24"/>
        </w:rPr>
        <w:t xml:space="preserve">, 488 US at 450, and the fundamental difference between those two cases and </w:t>
      </w:r>
      <w:r w:rsidRPr="00F94C70">
        <w:rPr>
          <w:rFonts w:ascii="Times New Roman" w:eastAsia="Times New Roman" w:hAnsi="Times New Roman"/>
          <w:i/>
          <w:iCs/>
          <w:sz w:val="24"/>
          <w:szCs w:val="24"/>
        </w:rPr>
        <w:t>Kyllo</w:t>
      </w:r>
      <w:r w:rsidRPr="00F94C70">
        <w:rPr>
          <w:rFonts w:ascii="Times New Roman" w:eastAsia="Times New Roman" w:hAnsi="Times New Roman"/>
          <w:sz w:val="24"/>
          <w:szCs w:val="24"/>
        </w:rPr>
        <w:t xml:space="preserve"> was that the technology in </w:t>
      </w:r>
      <w:r w:rsidRPr="00F94C70">
        <w:rPr>
          <w:rFonts w:ascii="Times New Roman" w:eastAsia="Times New Roman" w:hAnsi="Times New Roman"/>
          <w:i/>
          <w:iCs/>
          <w:sz w:val="24"/>
          <w:szCs w:val="24"/>
        </w:rPr>
        <w:t>Kyllo</w:t>
      </w:r>
      <w:r w:rsidRPr="00F94C70">
        <w:rPr>
          <w:rFonts w:ascii="Times New Roman" w:eastAsia="Times New Roman" w:hAnsi="Times New Roman"/>
          <w:sz w:val="24"/>
          <w:szCs w:val="24"/>
        </w:rPr>
        <w:t xml:space="preserve"> was not something that could be reasonably expected to be employed by members of the public, </w:t>
      </w:r>
      <w:r w:rsidRPr="00F94C70">
        <w:rPr>
          <w:rFonts w:ascii="Times New Roman" w:eastAsia="Times New Roman" w:hAnsi="Times New Roman"/>
          <w:i/>
          <w:iCs/>
          <w:sz w:val="24"/>
          <w:szCs w:val="24"/>
        </w:rPr>
        <w:t>Kyllo</w:t>
      </w:r>
      <w:r w:rsidRPr="00F94C70">
        <w:rPr>
          <w:rFonts w:ascii="Times New Roman" w:eastAsia="Times New Roman" w:hAnsi="Times New Roman"/>
          <w:sz w:val="24"/>
          <w:szCs w:val="24"/>
        </w:rPr>
        <w:t>, 533 US at 34, 40. On that basis, I would conclude that no Fourth-Amendment violation occurred in this case, and I would affirm the trial court's order denying defendants' motion to suppress.</w:t>
      </w:r>
      <w:r>
        <w:rPr>
          <w:rFonts w:ascii="Times New Roman" w:eastAsia="Times New Roman" w:hAnsi="Times New Roman"/>
          <w:sz w:val="24"/>
          <w:szCs w:val="24"/>
        </w:rPr>
        <w:t>”</w:t>
      </w:r>
    </w:p>
    <w:p w14:paraId="3F9713FB" w14:textId="77777777" w:rsidR="000915C1" w:rsidRDefault="000915C1" w:rsidP="000915C1">
      <w:pPr>
        <w:pStyle w:val="NoSpacing"/>
        <w:rPr>
          <w:rFonts w:ascii="Arial Black" w:hAnsi="Arial Black"/>
          <w:sz w:val="28"/>
          <w:szCs w:val="28"/>
        </w:rPr>
      </w:pPr>
    </w:p>
    <w:p w14:paraId="3785EF73" w14:textId="61114992" w:rsidR="000915C1" w:rsidRDefault="000915C1" w:rsidP="002B1283">
      <w:pPr>
        <w:rPr>
          <w:rStyle w:val="Hyperlink"/>
          <w:rFonts w:ascii="Arial Black" w:hAnsi="Arial Black"/>
          <w:b/>
          <w:color w:val="auto"/>
          <w:sz w:val="24"/>
          <w:szCs w:val="24"/>
          <w:u w:val="none"/>
        </w:rPr>
      </w:pPr>
      <w:r>
        <w:rPr>
          <w:rStyle w:val="Hyperlink"/>
          <w:rFonts w:ascii="Arial Black" w:hAnsi="Arial Black"/>
          <w:b/>
          <w:color w:val="auto"/>
          <w:sz w:val="24"/>
          <w:szCs w:val="24"/>
          <w:u w:val="none"/>
        </w:rPr>
        <w:t>4-14</w:t>
      </w:r>
    </w:p>
    <w:p w14:paraId="141DD005" w14:textId="77777777" w:rsidR="000915C1" w:rsidRDefault="000915C1" w:rsidP="000915C1">
      <w:pPr>
        <w:pStyle w:val="NoSpacing"/>
        <w:rPr>
          <w:rFonts w:ascii="Arial Black" w:hAnsi="Arial Black"/>
          <w:sz w:val="28"/>
          <w:szCs w:val="28"/>
        </w:rPr>
      </w:pPr>
      <w:r>
        <w:rPr>
          <w:rFonts w:ascii="Arial Black" w:hAnsi="Arial Black"/>
          <w:sz w:val="28"/>
          <w:szCs w:val="28"/>
        </w:rPr>
        <w:t xml:space="preserve">WA: FF 18 YEARS MARINE SAFETY - “EXPERT WITNESS” UNDER </w:t>
      </w:r>
      <w:r w:rsidRPr="00B23A49">
        <w:rPr>
          <w:rFonts w:ascii="Arial Black" w:hAnsi="Arial Black"/>
          <w:i/>
          <w:iCs/>
          <w:sz w:val="28"/>
          <w:szCs w:val="28"/>
        </w:rPr>
        <w:t>DAUBERT</w:t>
      </w:r>
      <w:r>
        <w:rPr>
          <w:rFonts w:ascii="Arial Black" w:hAnsi="Arial Black"/>
          <w:i/>
          <w:iCs/>
          <w:sz w:val="28"/>
          <w:szCs w:val="28"/>
        </w:rPr>
        <w:t xml:space="preserve"> </w:t>
      </w:r>
      <w:r>
        <w:rPr>
          <w:rFonts w:ascii="Arial Black" w:hAnsi="Arial Black"/>
          <w:sz w:val="28"/>
          <w:szCs w:val="28"/>
        </w:rPr>
        <w:t>STANDARD - BOAT FIRE, OWNER LIABLE</w:t>
      </w:r>
    </w:p>
    <w:p w14:paraId="56C1FC8C" w14:textId="77777777" w:rsidR="000915C1" w:rsidRDefault="000915C1" w:rsidP="000915C1">
      <w:pPr>
        <w:pStyle w:val="NoSpacing"/>
        <w:rPr>
          <w:rFonts w:ascii="Arial Black" w:hAnsi="Arial Black"/>
          <w:sz w:val="28"/>
          <w:szCs w:val="28"/>
        </w:rPr>
      </w:pPr>
    </w:p>
    <w:p w14:paraId="6B02718E" w14:textId="77777777" w:rsidR="000915C1" w:rsidRDefault="000915C1" w:rsidP="000915C1">
      <w:pPr>
        <w:pStyle w:val="NoSpacing"/>
        <w:rPr>
          <w:rFonts w:ascii="Times New Roman" w:hAnsi="Times New Roman"/>
          <w:sz w:val="24"/>
          <w:szCs w:val="24"/>
        </w:rPr>
      </w:pPr>
      <w:r>
        <w:rPr>
          <w:rFonts w:ascii="Times New Roman" w:hAnsi="Times New Roman"/>
          <w:sz w:val="24"/>
          <w:szCs w:val="24"/>
        </w:rPr>
        <w:t xml:space="preserve">On March 18, 2021, in </w:t>
      </w:r>
      <w:r w:rsidRPr="00B23A49">
        <w:rPr>
          <w:rFonts w:ascii="Times New Roman" w:hAnsi="Times New Roman"/>
          <w:sz w:val="24"/>
          <w:szCs w:val="24"/>
          <w:u w:val="single"/>
        </w:rPr>
        <w:t>Michael Schladetzky v, John Doe, et al</w:t>
      </w:r>
      <w:r>
        <w:rPr>
          <w:rFonts w:ascii="Times New Roman" w:hAnsi="Times New Roman"/>
          <w:sz w:val="24"/>
          <w:szCs w:val="24"/>
        </w:rPr>
        <w:t xml:space="preserve">., U.S. District Court Judge James L. Robart held that firefighter Kurt Serwood, with 18 years as Chief of the Kitsap County FD Marine Division, is an “expert” under the U.S. Supreme Court’s “Daubert standard” and Fed. Rules of Evidence: </w:t>
      </w:r>
      <w:r w:rsidRPr="002501FC">
        <w:rPr>
          <w:rFonts w:ascii="Times New Roman" w:hAnsi="Times New Roman"/>
          <w:i/>
          <w:iCs/>
          <w:sz w:val="24"/>
          <w:szCs w:val="24"/>
        </w:rPr>
        <w:t>Daubert v</w:t>
      </w:r>
      <w:r w:rsidRPr="002501FC">
        <w:rPr>
          <w:rFonts w:ascii="Times New Roman" w:hAnsi="Times New Roman"/>
          <w:sz w:val="24"/>
          <w:szCs w:val="24"/>
        </w:rPr>
        <w:t xml:space="preserve">. </w:t>
      </w:r>
      <w:r w:rsidRPr="002501FC">
        <w:rPr>
          <w:rFonts w:ascii="Times New Roman" w:hAnsi="Times New Roman"/>
          <w:i/>
          <w:iCs/>
          <w:sz w:val="24"/>
          <w:szCs w:val="24"/>
        </w:rPr>
        <w:t>Merrell Dow Pharm</w:t>
      </w:r>
      <w:r w:rsidRPr="002501FC">
        <w:rPr>
          <w:rFonts w:ascii="Times New Roman" w:hAnsi="Times New Roman"/>
          <w:sz w:val="24"/>
          <w:szCs w:val="24"/>
        </w:rPr>
        <w:t xml:space="preserve">., </w:t>
      </w:r>
      <w:r w:rsidRPr="002501FC">
        <w:rPr>
          <w:rFonts w:ascii="Times New Roman" w:hAnsi="Times New Roman"/>
          <w:i/>
          <w:iCs/>
          <w:sz w:val="24"/>
          <w:szCs w:val="24"/>
        </w:rPr>
        <w:t>Inc</w:t>
      </w:r>
      <w:r w:rsidRPr="002501FC">
        <w:rPr>
          <w:rFonts w:ascii="Times New Roman" w:hAnsi="Times New Roman"/>
          <w:sz w:val="24"/>
          <w:szCs w:val="24"/>
        </w:rPr>
        <w:t>., 509 U.S. 579, 589-91 (1993); Fed. R. Evid. 702.</w:t>
      </w:r>
      <w:r>
        <w:rPr>
          <w:rFonts w:ascii="Times New Roman" w:hAnsi="Times New Roman"/>
          <w:sz w:val="24"/>
          <w:szCs w:val="24"/>
        </w:rPr>
        <w:t xml:space="preserve">  The Court relied on his expert opinion that the boat fire was caused by the owner’s negligence in not repairing the diesel furnace on the </w:t>
      </w:r>
      <w:r w:rsidRPr="007D17BA">
        <w:rPr>
          <w:rFonts w:ascii="Times New Roman" w:hAnsi="Times New Roman"/>
          <w:sz w:val="24"/>
          <w:szCs w:val="24"/>
        </w:rPr>
        <w:t>boat which blew out thick black smoke and smelled of raw diesel fuel</w:t>
      </w:r>
      <w:r>
        <w:rPr>
          <w:rFonts w:ascii="Times New Roman" w:hAnsi="Times New Roman"/>
          <w:sz w:val="24"/>
          <w:szCs w:val="24"/>
        </w:rPr>
        <w:t xml:space="preserve">.  Given this negligence, the Court held (1) the boat owner, Michael Schladetsky cannot under federal maritime law limit his liability to only the value of his vessel and cargo; and (2)  two claimants who lost property in the boat house are entitled to summary judgment – Douglas McKenzie, owner of a neighboring boat ($23,360, personal property destroyed in boat house); and Jeffrey Bigsby ($12,537.75, personal property also stored in the same boat house).  </w:t>
      </w:r>
    </w:p>
    <w:p w14:paraId="57CB479A" w14:textId="77777777" w:rsidR="000915C1" w:rsidRDefault="000915C1" w:rsidP="000915C1">
      <w:pPr>
        <w:pStyle w:val="NoSpacing"/>
        <w:rPr>
          <w:rFonts w:ascii="Times New Roman" w:hAnsi="Times New Roman"/>
          <w:sz w:val="24"/>
          <w:szCs w:val="24"/>
        </w:rPr>
      </w:pPr>
    </w:p>
    <w:p w14:paraId="2C86B1E4" w14:textId="77777777" w:rsidR="000915C1" w:rsidRDefault="000915C1" w:rsidP="000915C1">
      <w:pPr>
        <w:pStyle w:val="NoSpacing"/>
        <w:ind w:left="720"/>
        <w:rPr>
          <w:rFonts w:ascii="Times New Roman" w:hAnsi="Times New Roman"/>
          <w:sz w:val="24"/>
          <w:szCs w:val="24"/>
        </w:rPr>
      </w:pPr>
      <w:r>
        <w:rPr>
          <w:rFonts w:ascii="Times New Roman" w:hAnsi="Times New Roman"/>
          <w:sz w:val="24"/>
          <w:szCs w:val="24"/>
        </w:rPr>
        <w:t>“[T]h</w:t>
      </w:r>
      <w:r w:rsidRPr="002501FC">
        <w:rPr>
          <w:rFonts w:ascii="Times New Roman" w:hAnsi="Times New Roman"/>
          <w:sz w:val="24"/>
          <w:szCs w:val="24"/>
        </w:rPr>
        <w:t xml:space="preserve">e court finds that Mr. </w:t>
      </w:r>
      <w:proofErr w:type="spellStart"/>
      <w:r w:rsidRPr="002501FC">
        <w:rPr>
          <w:rFonts w:ascii="Times New Roman" w:hAnsi="Times New Roman"/>
          <w:sz w:val="24"/>
          <w:szCs w:val="24"/>
        </w:rPr>
        <w:t>Serwold</w:t>
      </w:r>
      <w:proofErr w:type="spellEnd"/>
      <w:r w:rsidRPr="002501FC">
        <w:rPr>
          <w:rFonts w:ascii="Times New Roman" w:hAnsi="Times New Roman"/>
          <w:sz w:val="24"/>
          <w:szCs w:val="24"/>
        </w:rPr>
        <w:t xml:space="preserve"> is qualified as an expert in marine fires and their causes. Under Rule 702, an expert may be qualified by extensive or specialized experience. Fed. R. Evid. 702; </w:t>
      </w:r>
      <w:r w:rsidRPr="002501FC">
        <w:rPr>
          <w:rFonts w:ascii="Times New Roman" w:hAnsi="Times New Roman"/>
          <w:i/>
          <w:iCs/>
          <w:sz w:val="24"/>
          <w:szCs w:val="24"/>
        </w:rPr>
        <w:t>Kumho</w:t>
      </w:r>
      <w:r w:rsidRPr="002501FC">
        <w:rPr>
          <w:rFonts w:ascii="Times New Roman" w:hAnsi="Times New Roman"/>
          <w:sz w:val="24"/>
          <w:szCs w:val="24"/>
        </w:rPr>
        <w:t xml:space="preserve">, 526 U.S. at 156. Mr. </w:t>
      </w:r>
      <w:proofErr w:type="spellStart"/>
      <w:r w:rsidRPr="002501FC">
        <w:rPr>
          <w:rFonts w:ascii="Times New Roman" w:hAnsi="Times New Roman"/>
          <w:sz w:val="24"/>
          <w:szCs w:val="24"/>
        </w:rPr>
        <w:t>Serwold</w:t>
      </w:r>
      <w:proofErr w:type="spellEnd"/>
      <w:r w:rsidRPr="002501FC">
        <w:rPr>
          <w:rFonts w:ascii="Times New Roman" w:hAnsi="Times New Roman"/>
          <w:sz w:val="24"/>
          <w:szCs w:val="24"/>
        </w:rPr>
        <w:t xml:space="preserve"> is a </w:t>
      </w:r>
      <w:proofErr w:type="gramStart"/>
      <w:r w:rsidRPr="002501FC">
        <w:rPr>
          <w:rFonts w:ascii="Times New Roman" w:hAnsi="Times New Roman"/>
          <w:sz w:val="24"/>
          <w:szCs w:val="24"/>
        </w:rPr>
        <w:t>fire fighter</w:t>
      </w:r>
      <w:proofErr w:type="gramEnd"/>
      <w:r w:rsidRPr="002501FC">
        <w:rPr>
          <w:rFonts w:ascii="Times New Roman" w:hAnsi="Times New Roman"/>
          <w:sz w:val="24"/>
          <w:szCs w:val="24"/>
        </w:rPr>
        <w:t xml:space="preserve"> with over 20 years' experience, 18 of which he served as chief of the Kitsap County Fire Department's marine division. (</w:t>
      </w:r>
      <w:proofErr w:type="spellStart"/>
      <w:r w:rsidRPr="002501FC">
        <w:rPr>
          <w:rFonts w:ascii="Times New Roman" w:hAnsi="Times New Roman"/>
          <w:sz w:val="24"/>
          <w:szCs w:val="24"/>
        </w:rPr>
        <w:t>Serwold</w:t>
      </w:r>
      <w:proofErr w:type="spellEnd"/>
      <w:r w:rsidRPr="002501FC">
        <w:rPr>
          <w:rFonts w:ascii="Times New Roman" w:hAnsi="Times New Roman"/>
          <w:sz w:val="24"/>
          <w:szCs w:val="24"/>
        </w:rPr>
        <w:t xml:space="preserve"> Decl. at 1). During his time in the marine detachment, Mr. </w:t>
      </w:r>
      <w:proofErr w:type="spellStart"/>
      <w:r w:rsidRPr="002501FC">
        <w:rPr>
          <w:rFonts w:ascii="Times New Roman" w:hAnsi="Times New Roman"/>
          <w:sz w:val="24"/>
          <w:szCs w:val="24"/>
        </w:rPr>
        <w:t>Serwold</w:t>
      </w:r>
      <w:proofErr w:type="spellEnd"/>
      <w:r w:rsidRPr="002501FC">
        <w:rPr>
          <w:rFonts w:ascii="Times New Roman" w:hAnsi="Times New Roman"/>
          <w:sz w:val="24"/>
          <w:szCs w:val="24"/>
        </w:rPr>
        <w:t xml:space="preserve"> has received specialized training in the causes of marine fires and how to prevent them. (</w:t>
      </w:r>
      <w:r w:rsidRPr="002501FC">
        <w:rPr>
          <w:rFonts w:ascii="Times New Roman" w:hAnsi="Times New Roman"/>
          <w:i/>
          <w:iCs/>
          <w:sz w:val="24"/>
          <w:szCs w:val="24"/>
        </w:rPr>
        <w:t>Id</w:t>
      </w:r>
      <w:r w:rsidRPr="002501FC">
        <w:rPr>
          <w:rFonts w:ascii="Times New Roman" w:hAnsi="Times New Roman"/>
          <w:sz w:val="24"/>
          <w:szCs w:val="24"/>
        </w:rPr>
        <w:t xml:space="preserve">. at 1-2). Because of his considerable experience and specialized training, the court finds that Mr. </w:t>
      </w:r>
      <w:proofErr w:type="spellStart"/>
      <w:r w:rsidRPr="002501FC">
        <w:rPr>
          <w:rFonts w:ascii="Times New Roman" w:hAnsi="Times New Roman"/>
          <w:sz w:val="24"/>
          <w:szCs w:val="24"/>
        </w:rPr>
        <w:t>Serwold</w:t>
      </w:r>
      <w:proofErr w:type="spellEnd"/>
      <w:r w:rsidRPr="002501FC">
        <w:rPr>
          <w:rFonts w:ascii="Times New Roman" w:hAnsi="Times New Roman"/>
          <w:sz w:val="24"/>
          <w:szCs w:val="24"/>
        </w:rPr>
        <w:t xml:space="preserve"> is qualified to offer expert testimony on marine fires and their causes.</w:t>
      </w:r>
      <w:r>
        <w:rPr>
          <w:rFonts w:ascii="Times New Roman" w:hAnsi="Times New Roman"/>
          <w:sz w:val="24"/>
          <w:szCs w:val="24"/>
        </w:rPr>
        <w:t xml:space="preserve">” </w:t>
      </w:r>
    </w:p>
    <w:p w14:paraId="46635497" w14:textId="77777777" w:rsidR="000915C1" w:rsidRPr="000915C1" w:rsidRDefault="000915C1" w:rsidP="000915C1">
      <w:pPr>
        <w:pStyle w:val="NoSpacing"/>
        <w:ind w:left="720"/>
        <w:rPr>
          <w:rFonts w:ascii="Times New Roman" w:hAnsi="Times New Roman"/>
          <w:sz w:val="24"/>
          <w:szCs w:val="24"/>
        </w:rPr>
      </w:pPr>
      <w:hyperlink r:id="rId921" w:history="1">
        <w:r w:rsidRPr="000915C1">
          <w:rPr>
            <w:rStyle w:val="Hyperlink"/>
            <w:rFonts w:ascii="Times New Roman" w:hAnsi="Times New Roman"/>
            <w:sz w:val="24"/>
            <w:szCs w:val="24"/>
          </w:rPr>
          <w:t>https://casetext.com/case/schladetzky-v-doe-1</w:t>
        </w:r>
      </w:hyperlink>
      <w:r w:rsidRPr="000915C1">
        <w:rPr>
          <w:rFonts w:ascii="Times New Roman" w:hAnsi="Times New Roman"/>
          <w:sz w:val="24"/>
          <w:szCs w:val="24"/>
        </w:rPr>
        <w:t xml:space="preserve"> </w:t>
      </w:r>
    </w:p>
    <w:p w14:paraId="4236F916" w14:textId="77777777" w:rsidR="000915C1" w:rsidRDefault="000915C1" w:rsidP="000915C1">
      <w:pPr>
        <w:pStyle w:val="NoSpacing"/>
        <w:rPr>
          <w:rFonts w:ascii="Times New Roman" w:hAnsi="Times New Roman"/>
          <w:b/>
          <w:bCs/>
          <w:sz w:val="24"/>
          <w:szCs w:val="24"/>
        </w:rPr>
      </w:pPr>
    </w:p>
    <w:p w14:paraId="33A7427A" w14:textId="7C32C185" w:rsidR="000915C1" w:rsidRPr="00F57D38" w:rsidRDefault="000915C1" w:rsidP="000915C1">
      <w:pPr>
        <w:pStyle w:val="NoSpacing"/>
        <w:rPr>
          <w:rFonts w:ascii="Times New Roman" w:hAnsi="Times New Roman"/>
          <w:b/>
          <w:bCs/>
          <w:sz w:val="24"/>
          <w:szCs w:val="24"/>
        </w:rPr>
      </w:pPr>
      <w:r w:rsidRPr="00F57D38">
        <w:rPr>
          <w:rFonts w:ascii="Times New Roman" w:hAnsi="Times New Roman"/>
          <w:b/>
          <w:bCs/>
          <w:sz w:val="24"/>
          <w:szCs w:val="24"/>
        </w:rPr>
        <w:t>Legal Lesson Learned:</w:t>
      </w:r>
      <w:r>
        <w:rPr>
          <w:rFonts w:ascii="Times New Roman" w:hAnsi="Times New Roman"/>
          <w:b/>
          <w:bCs/>
          <w:sz w:val="24"/>
          <w:szCs w:val="24"/>
        </w:rPr>
        <w:t xml:space="preserve"> The U.S. Supreme Court’s </w:t>
      </w:r>
      <w:r w:rsidRPr="00F57D38">
        <w:rPr>
          <w:rFonts w:ascii="Times New Roman" w:hAnsi="Times New Roman"/>
          <w:b/>
          <w:bCs/>
          <w:i/>
          <w:iCs/>
          <w:sz w:val="24"/>
          <w:szCs w:val="24"/>
        </w:rPr>
        <w:t>Daubert</w:t>
      </w:r>
      <w:r>
        <w:rPr>
          <w:rFonts w:ascii="Times New Roman" w:hAnsi="Times New Roman"/>
          <w:b/>
          <w:bCs/>
          <w:i/>
          <w:iCs/>
          <w:sz w:val="24"/>
          <w:szCs w:val="24"/>
        </w:rPr>
        <w:t xml:space="preserve"> </w:t>
      </w:r>
      <w:r w:rsidRPr="00A66200">
        <w:rPr>
          <w:rFonts w:ascii="Times New Roman" w:hAnsi="Times New Roman"/>
          <w:b/>
          <w:bCs/>
          <w:sz w:val="24"/>
          <w:szCs w:val="24"/>
        </w:rPr>
        <w:t xml:space="preserve">standard </w:t>
      </w:r>
      <w:r>
        <w:rPr>
          <w:rFonts w:ascii="Times New Roman" w:hAnsi="Times New Roman"/>
          <w:b/>
          <w:bCs/>
          <w:sz w:val="24"/>
          <w:szCs w:val="24"/>
        </w:rPr>
        <w:t xml:space="preserve">and the Federal Rules of Evidence allow federal judges to rely the opinion of “experts” who are qualified based on their knowledge, experience and training. </w:t>
      </w:r>
    </w:p>
    <w:p w14:paraId="32AE181D" w14:textId="77777777" w:rsidR="000915C1" w:rsidRDefault="000915C1" w:rsidP="000915C1">
      <w:pPr>
        <w:spacing w:before="100" w:beforeAutospacing="1" w:after="100" w:afterAutospacing="1" w:line="240" w:lineRule="auto"/>
        <w:ind w:left="1440"/>
        <w:rPr>
          <w:rFonts w:ascii="Times New Roman" w:hAnsi="Times New Roman"/>
          <w:sz w:val="24"/>
          <w:szCs w:val="24"/>
        </w:rPr>
      </w:pPr>
      <w:r w:rsidRPr="00A66200">
        <w:rPr>
          <w:rFonts w:ascii="Times New Roman" w:eastAsia="Times New Roman" w:hAnsi="Times New Roman"/>
          <w:sz w:val="24"/>
          <w:szCs w:val="24"/>
        </w:rPr>
        <w:t xml:space="preserve">Note:   See </w:t>
      </w:r>
      <w:r w:rsidRPr="00A66200">
        <w:rPr>
          <w:rFonts w:ascii="Times New Roman" w:hAnsi="Times New Roman"/>
          <w:sz w:val="24"/>
          <w:szCs w:val="24"/>
        </w:rPr>
        <w:t>Rule 702</w:t>
      </w:r>
      <w:r>
        <w:rPr>
          <w:rFonts w:ascii="Times New Roman" w:hAnsi="Times New Roman"/>
          <w:sz w:val="24"/>
          <w:szCs w:val="24"/>
        </w:rPr>
        <w:t xml:space="preserve">. Federal Rules of Evidence: </w:t>
      </w:r>
      <w:hyperlink r:id="rId922" w:history="1">
        <w:r w:rsidRPr="008F3FAE">
          <w:rPr>
            <w:rStyle w:val="Hyperlink"/>
            <w:sz w:val="24"/>
            <w:szCs w:val="24"/>
          </w:rPr>
          <w:t>https://www.law.cornell.edu/rules/fre/rule_702</w:t>
        </w:r>
      </w:hyperlink>
    </w:p>
    <w:p w14:paraId="5BDFE98C" w14:textId="77777777" w:rsidR="000915C1" w:rsidRPr="00A66200" w:rsidRDefault="000915C1" w:rsidP="000915C1">
      <w:pPr>
        <w:spacing w:before="100" w:beforeAutospacing="1" w:after="100" w:afterAutospacing="1" w:line="240" w:lineRule="auto"/>
        <w:ind w:left="1440"/>
        <w:rPr>
          <w:rFonts w:ascii="Times New Roman" w:hAnsi="Times New Roman"/>
          <w:sz w:val="24"/>
          <w:szCs w:val="24"/>
        </w:rPr>
      </w:pPr>
      <w:r w:rsidRPr="00A66200">
        <w:rPr>
          <w:rFonts w:ascii="Times New Roman" w:hAnsi="Times New Roman"/>
          <w:sz w:val="24"/>
          <w:szCs w:val="24"/>
        </w:rPr>
        <w:t>Testimony by Expert Witnesses</w:t>
      </w:r>
    </w:p>
    <w:p w14:paraId="380F97F8" w14:textId="77777777" w:rsidR="000915C1" w:rsidRPr="00A66200" w:rsidRDefault="000915C1" w:rsidP="000915C1">
      <w:pPr>
        <w:pStyle w:val="statutory-body"/>
        <w:ind w:left="1440"/>
      </w:pPr>
      <w:r w:rsidRPr="00A66200">
        <w:lastRenderedPageBreak/>
        <w:t>A witness who is qualified as an expert by knowledge, skill, experience, training, or education may testify in the form of an opinion or otherwise if:</w:t>
      </w:r>
    </w:p>
    <w:p w14:paraId="4945E574" w14:textId="77777777" w:rsidR="000915C1" w:rsidRPr="00A66200" w:rsidRDefault="000915C1" w:rsidP="000915C1">
      <w:pPr>
        <w:pStyle w:val="statutory-body"/>
        <w:ind w:left="1440"/>
      </w:pPr>
      <w:r w:rsidRPr="00A66200">
        <w:rPr>
          <w:rStyle w:val="Strong"/>
        </w:rPr>
        <w:t>(a)</w:t>
      </w:r>
      <w:r w:rsidRPr="00A66200">
        <w:t xml:space="preserve"> the expert’s scientific, technical, or other specialized knowledge will help the trier of fact to understand the evidence or to determine a fact in issue;</w:t>
      </w:r>
    </w:p>
    <w:p w14:paraId="19805D3F" w14:textId="77777777" w:rsidR="000915C1" w:rsidRPr="00A66200" w:rsidRDefault="000915C1" w:rsidP="000915C1">
      <w:pPr>
        <w:pStyle w:val="statutory-body"/>
        <w:ind w:left="720" w:firstLine="720"/>
      </w:pPr>
      <w:r w:rsidRPr="00A66200">
        <w:rPr>
          <w:rStyle w:val="Strong"/>
        </w:rPr>
        <w:t>(b)</w:t>
      </w:r>
      <w:r w:rsidRPr="00A66200">
        <w:t xml:space="preserve"> the testimony is based on sufficient facts or data;</w:t>
      </w:r>
    </w:p>
    <w:p w14:paraId="6C860603" w14:textId="77777777" w:rsidR="000915C1" w:rsidRPr="00A66200" w:rsidRDefault="000915C1" w:rsidP="000915C1">
      <w:pPr>
        <w:pStyle w:val="statutory-body"/>
        <w:ind w:left="720" w:firstLine="720"/>
      </w:pPr>
      <w:r w:rsidRPr="00A66200">
        <w:rPr>
          <w:rStyle w:val="Strong"/>
        </w:rPr>
        <w:t>(c)</w:t>
      </w:r>
      <w:r w:rsidRPr="00A66200">
        <w:t xml:space="preserve"> the testimony is the product of reliable principles and methods; and</w:t>
      </w:r>
    </w:p>
    <w:p w14:paraId="6CA18FE8" w14:textId="77777777" w:rsidR="000915C1" w:rsidRPr="00A66200" w:rsidRDefault="000915C1" w:rsidP="000915C1">
      <w:pPr>
        <w:pStyle w:val="statutory-body"/>
        <w:ind w:left="1440"/>
      </w:pPr>
      <w:r w:rsidRPr="00A66200">
        <w:rPr>
          <w:rStyle w:val="Strong"/>
        </w:rPr>
        <w:t>(d)</w:t>
      </w:r>
      <w:r w:rsidRPr="00A66200">
        <w:t xml:space="preserve"> the expert has reliably applied the principles and methods to the facts of the case.</w:t>
      </w:r>
    </w:p>
    <w:p w14:paraId="0D1AAA00" w14:textId="77777777" w:rsidR="000915C1" w:rsidRPr="00A66200" w:rsidRDefault="000915C1" w:rsidP="000915C1">
      <w:pPr>
        <w:pStyle w:val="Heading4"/>
        <w:ind w:left="720" w:firstLine="720"/>
        <w:rPr>
          <w:rFonts w:ascii="Times New Roman" w:hAnsi="Times New Roman" w:cs="Times New Roman"/>
          <w:color w:val="auto"/>
          <w:sz w:val="24"/>
          <w:szCs w:val="24"/>
        </w:rPr>
      </w:pPr>
      <w:r w:rsidRPr="00A66200">
        <w:rPr>
          <w:rFonts w:ascii="Times New Roman" w:hAnsi="Times New Roman" w:cs="Times New Roman"/>
          <w:color w:val="auto"/>
          <w:sz w:val="24"/>
          <w:szCs w:val="24"/>
        </w:rPr>
        <w:t>Notes</w:t>
      </w:r>
    </w:p>
    <w:p w14:paraId="52F87912" w14:textId="77777777" w:rsidR="000915C1" w:rsidRPr="00A66200" w:rsidRDefault="000915C1" w:rsidP="000915C1">
      <w:pPr>
        <w:pStyle w:val="source-credit"/>
        <w:ind w:left="1440"/>
      </w:pPr>
      <w:r w:rsidRPr="00A66200">
        <w:t>(Pub. L. 93–595, §1, Jan. 2, 1975, 88 Stat. 1937; Apr. 17, 2000, eff. Dec. 1, 2000; Apr. 26, 2011, eff. Dec. 1, 2011.)</w:t>
      </w:r>
    </w:p>
    <w:p w14:paraId="36609E57" w14:textId="77777777" w:rsidR="000915C1" w:rsidRDefault="000915C1" w:rsidP="002B1283">
      <w:pPr>
        <w:rPr>
          <w:rStyle w:val="Hyperlink"/>
          <w:rFonts w:ascii="Arial Black" w:hAnsi="Arial Black"/>
          <w:b/>
          <w:color w:val="auto"/>
          <w:sz w:val="24"/>
          <w:szCs w:val="24"/>
          <w:u w:val="none"/>
        </w:rPr>
      </w:pPr>
    </w:p>
    <w:p w14:paraId="4DA580C0" w14:textId="10CFD56A" w:rsidR="005E132A" w:rsidRDefault="005E132A" w:rsidP="002B1283">
      <w:pPr>
        <w:rPr>
          <w:rStyle w:val="Hyperlink"/>
          <w:rFonts w:ascii="Arial Black" w:hAnsi="Arial Black"/>
          <w:b/>
          <w:color w:val="auto"/>
          <w:sz w:val="24"/>
          <w:szCs w:val="24"/>
          <w:u w:val="none"/>
        </w:rPr>
      </w:pPr>
      <w:r>
        <w:rPr>
          <w:rStyle w:val="Hyperlink"/>
          <w:rFonts w:ascii="Arial Black" w:hAnsi="Arial Black"/>
          <w:b/>
          <w:color w:val="auto"/>
          <w:sz w:val="24"/>
          <w:szCs w:val="24"/>
          <w:u w:val="none"/>
        </w:rPr>
        <w:t>4-13</w:t>
      </w:r>
    </w:p>
    <w:p w14:paraId="603533A1" w14:textId="77777777" w:rsidR="005E132A" w:rsidRDefault="005E132A" w:rsidP="005E132A">
      <w:pPr>
        <w:rPr>
          <w:rFonts w:ascii="Arial Black" w:eastAsiaTheme="minorHAnsi" w:hAnsi="Arial Black" w:cstheme="minorBidi"/>
          <w:sz w:val="28"/>
          <w:szCs w:val="28"/>
        </w:rPr>
      </w:pPr>
      <w:r>
        <w:rPr>
          <w:rFonts w:ascii="Arial Black" w:hAnsi="Arial Black"/>
          <w:sz w:val="28"/>
          <w:szCs w:val="28"/>
        </w:rPr>
        <w:t xml:space="preserve">OH: STUDENT DIED, VAN SEAT FOLDED ONTO HIM – 911 DISPATCH, PD COULDN’T LOCATE – LAWSUIT PROCEED </w:t>
      </w:r>
    </w:p>
    <w:p w14:paraId="740A9BB3" w14:textId="77777777" w:rsidR="005E132A" w:rsidRDefault="005E132A" w:rsidP="005E132A">
      <w:pPr>
        <w:rPr>
          <w:rFonts w:ascii="Times New Roman" w:hAnsi="Times New Roman"/>
          <w:sz w:val="24"/>
          <w:szCs w:val="24"/>
        </w:rPr>
      </w:pPr>
      <w:r>
        <w:rPr>
          <w:rFonts w:ascii="Times New Roman" w:hAnsi="Times New Roman"/>
          <w:sz w:val="24"/>
          <w:szCs w:val="24"/>
        </w:rPr>
        <w:t xml:space="preserve">On Dec. 16, 2020, in </w:t>
      </w:r>
      <w:r>
        <w:rPr>
          <w:rFonts w:ascii="Times New Roman" w:hAnsi="Times New Roman"/>
          <w:sz w:val="24"/>
          <w:szCs w:val="24"/>
          <w:u w:val="single"/>
        </w:rPr>
        <w:t>Rob Plush, Individually and Administrator of Estate of Kyle Plush, and Jill Plush v. City of Cincinnati, Harry Black, et al</w:t>
      </w:r>
      <w:r>
        <w:rPr>
          <w:rFonts w:ascii="Times New Roman" w:hAnsi="Times New Roman"/>
          <w:sz w:val="24"/>
          <w:szCs w:val="24"/>
        </w:rPr>
        <w:t xml:space="preserve">., the Court of Appeals for First Appellate District (Hamilton County), held (3 to 0) that while the City enjoy governmental immunity, the lawsuit may proceed against former City Manager, dispatchers, and police [1 Dissent on police]. The </w:t>
      </w:r>
      <w:proofErr w:type="gramStart"/>
      <w:r>
        <w:rPr>
          <w:rFonts w:ascii="Times New Roman" w:hAnsi="Times New Roman"/>
          <w:sz w:val="24"/>
          <w:szCs w:val="24"/>
        </w:rPr>
        <w:t>City</w:t>
      </w:r>
      <w:proofErr w:type="gramEnd"/>
      <w:r>
        <w:rPr>
          <w:rFonts w:ascii="Times New Roman" w:hAnsi="Times New Roman"/>
          <w:sz w:val="24"/>
          <w:szCs w:val="24"/>
        </w:rPr>
        <w:t xml:space="preserve"> has confirmed it will defend and indemnify these personnel. </w:t>
      </w:r>
    </w:p>
    <w:p w14:paraId="4CAF9CA4" w14:textId="3A914803" w:rsidR="005E132A" w:rsidRDefault="005E132A" w:rsidP="005E132A">
      <w:pPr>
        <w:rPr>
          <w:rStyle w:val="Hyperlink"/>
        </w:rPr>
      </w:pPr>
      <w:r>
        <w:rPr>
          <w:rFonts w:ascii="Times New Roman" w:hAnsi="Times New Roman"/>
          <w:sz w:val="24"/>
          <w:szCs w:val="24"/>
        </w:rPr>
        <w:t xml:space="preserve">“We find that Ron and Jill Plush’ s … claims squarely attack the city of Cincinnati’s … provision of emergency medical or rescue services, which is shielded by governmental immunity. Therefore, we reverse the denial of appellants’ motion to dismiss as to the city and its employees in their official capacities. However, the complaint sufficiently alleges at least reckless conduct to preclude </w:t>
      </w:r>
      <w:proofErr w:type="gramStart"/>
      <w:r>
        <w:rPr>
          <w:rFonts w:ascii="Times New Roman" w:hAnsi="Times New Roman"/>
          <w:sz w:val="24"/>
          <w:szCs w:val="24"/>
        </w:rPr>
        <w:t>immunity as</w:t>
      </w:r>
      <w:proofErr w:type="gramEnd"/>
      <w:r>
        <w:rPr>
          <w:rFonts w:ascii="Times New Roman" w:hAnsi="Times New Roman"/>
          <w:sz w:val="24"/>
          <w:szCs w:val="24"/>
        </w:rPr>
        <w:t xml:space="preserve"> </w:t>
      </w:r>
      <w:proofErr w:type="gramStart"/>
      <w:r>
        <w:rPr>
          <w:rFonts w:ascii="Times New Roman" w:hAnsi="Times New Roman"/>
          <w:sz w:val="24"/>
          <w:szCs w:val="24"/>
        </w:rPr>
        <w:t>to</w:t>
      </w:r>
      <w:proofErr w:type="gramEnd"/>
      <w:r>
        <w:rPr>
          <w:rFonts w:ascii="Times New Roman" w:hAnsi="Times New Roman"/>
          <w:sz w:val="24"/>
          <w:szCs w:val="24"/>
        </w:rPr>
        <w:t xml:space="preserve"> the individual defendants. Therefore, appellants’ motion to dismiss was properly denied as to Harry Black, Amber Smith, Stephanie Magee, Edsel Osborn, and Brian Brazile, in their individual capacities.”</w:t>
      </w:r>
      <w:r>
        <w:t xml:space="preserve"> </w:t>
      </w:r>
      <w:hyperlink r:id="rId923" w:history="1">
        <w:r>
          <w:rPr>
            <w:rStyle w:val="Hyperlink"/>
          </w:rPr>
          <w:t>https://www.hamiltoncountyohio.gov/UserFiles/Servers/Server_3788196/File/releases/2020/C-200030_12162020.pdf</w:t>
        </w:r>
      </w:hyperlink>
    </w:p>
    <w:p w14:paraId="5B6A7AF5" w14:textId="77777777" w:rsidR="005E132A" w:rsidRDefault="005E132A" w:rsidP="005E132A">
      <w:pPr>
        <w:rPr>
          <w:rFonts w:ascii="Times New Roman" w:hAnsi="Times New Roman"/>
          <w:b/>
          <w:bCs/>
          <w:sz w:val="24"/>
          <w:szCs w:val="24"/>
        </w:rPr>
      </w:pPr>
      <w:r>
        <w:rPr>
          <w:rFonts w:ascii="Times New Roman" w:hAnsi="Times New Roman"/>
          <w:b/>
          <w:bCs/>
          <w:sz w:val="24"/>
          <w:szCs w:val="24"/>
        </w:rPr>
        <w:t>Legal Lesson Learned: Tragic event; hopefully most modern dispatch system can now locate 911 caller within a few feet.</w:t>
      </w:r>
    </w:p>
    <w:p w14:paraId="1EFBF654" w14:textId="77777777" w:rsidR="005E132A" w:rsidRPr="006B1421" w:rsidRDefault="005E132A" w:rsidP="005E132A">
      <w:pPr>
        <w:pStyle w:val="Heading1"/>
        <w:ind w:left="1440"/>
        <w:rPr>
          <w:b w:val="0"/>
          <w:bCs w:val="0"/>
          <w:sz w:val="24"/>
          <w:szCs w:val="24"/>
        </w:rPr>
      </w:pPr>
      <w:r w:rsidRPr="006B1421">
        <w:rPr>
          <w:b w:val="0"/>
          <w:bCs w:val="0"/>
          <w:sz w:val="24"/>
          <w:szCs w:val="24"/>
        </w:rPr>
        <w:t>Note:  See this article.</w:t>
      </w:r>
      <w:r>
        <w:rPr>
          <w:sz w:val="24"/>
          <w:szCs w:val="24"/>
        </w:rPr>
        <w:t xml:space="preserve">  </w:t>
      </w:r>
      <w:r>
        <w:rPr>
          <w:b w:val="0"/>
          <w:bCs w:val="0"/>
          <w:sz w:val="24"/>
          <w:szCs w:val="24"/>
        </w:rPr>
        <w:t xml:space="preserve"> “</w:t>
      </w:r>
      <w:r w:rsidRPr="006B1421">
        <w:rPr>
          <w:b w:val="0"/>
          <w:bCs w:val="0"/>
          <w:sz w:val="24"/>
          <w:szCs w:val="24"/>
        </w:rPr>
        <w:t>How Does Location Work for 911?</w:t>
      </w:r>
      <w:r>
        <w:rPr>
          <w:b w:val="0"/>
          <w:bCs w:val="0"/>
          <w:sz w:val="24"/>
          <w:szCs w:val="24"/>
        </w:rPr>
        <w:t>”</w:t>
      </w:r>
      <w:r w:rsidRPr="006B1421">
        <w:rPr>
          <w:b w:val="0"/>
          <w:bCs w:val="0"/>
          <w:sz w:val="24"/>
          <w:szCs w:val="24"/>
        </w:rPr>
        <w:t xml:space="preserve"> </w:t>
      </w:r>
      <w:hyperlink r:id="rId924" w:history="1">
        <w:r w:rsidRPr="009A2D81">
          <w:rPr>
            <w:rStyle w:val="Hyperlink"/>
            <w:b w:val="0"/>
            <w:bCs w:val="0"/>
            <w:sz w:val="24"/>
            <w:szCs w:val="24"/>
          </w:rPr>
          <w:t>https://www.nct911.org/how-location-works-for-911/</w:t>
        </w:r>
      </w:hyperlink>
      <w:r>
        <w:rPr>
          <w:b w:val="0"/>
          <w:bCs w:val="0"/>
          <w:sz w:val="24"/>
          <w:szCs w:val="24"/>
        </w:rPr>
        <w:t xml:space="preserve"> </w:t>
      </w:r>
    </w:p>
    <w:p w14:paraId="4325A884" w14:textId="1E63C5BA" w:rsidR="005E132A" w:rsidRPr="006B1421" w:rsidRDefault="005E132A" w:rsidP="005E132A">
      <w:pPr>
        <w:ind w:left="1440"/>
        <w:rPr>
          <w:rFonts w:ascii="Times New Roman" w:hAnsi="Times New Roman"/>
          <w:sz w:val="24"/>
          <w:szCs w:val="24"/>
        </w:rPr>
      </w:pPr>
      <w:r w:rsidRPr="006B1421">
        <w:rPr>
          <w:rFonts w:ascii="Times New Roman" w:hAnsi="Times New Roman"/>
          <w:b/>
          <w:bCs/>
          <w:sz w:val="24"/>
          <w:szCs w:val="24"/>
        </w:rPr>
        <w:t>“</w:t>
      </w:r>
      <w:r w:rsidRPr="006B1421">
        <w:rPr>
          <w:rFonts w:ascii="Times New Roman" w:hAnsi="Times New Roman"/>
          <w:sz w:val="24"/>
          <w:szCs w:val="24"/>
        </w:rPr>
        <w:t xml:space="preserve">On an Enhanced 9-1-1 system, calling 9-1-1 on a cell phone can yield different results. This is because the location information is provided by your cell phone carrier and each carrier is different. When you call on a cell phone, your location is determined by a combination of network triangulation and trilateration to gain an approximate location. By approximate location, </w:t>
      </w:r>
      <w:r w:rsidRPr="006B1421">
        <w:rPr>
          <w:rFonts w:ascii="Times New Roman" w:hAnsi="Times New Roman"/>
          <w:sz w:val="24"/>
          <w:szCs w:val="24"/>
        </w:rPr>
        <w:lastRenderedPageBreak/>
        <w:t>we mean within 300 meters of the nearest cell phone tower. That’s about three football fields.</w:t>
      </w:r>
      <w:r>
        <w:rPr>
          <w:rFonts w:ascii="Times New Roman" w:hAnsi="Times New Roman"/>
          <w:sz w:val="24"/>
          <w:szCs w:val="24"/>
        </w:rPr>
        <w:t xml:space="preserve"> </w:t>
      </w:r>
      <w:r w:rsidRPr="006B1421">
        <w:rPr>
          <w:rFonts w:ascii="Times New Roman" w:hAnsi="Times New Roman"/>
          <w:sz w:val="24"/>
          <w:szCs w:val="24"/>
        </w:rPr>
        <w:t xml:space="preserve">If your police department or sheriff’s office is on a Next Generation 9-1-1 network, which emphasizes more modern technology, and if they use device-based hybrid location accuracy, DHL, (technology similar to that used by ride-sharing apps), they may be able to pinpoint your location within 15 meters.” </w:t>
      </w:r>
    </w:p>
    <w:p w14:paraId="16BEAC0B" w14:textId="77777777" w:rsidR="005E132A" w:rsidRPr="006B1421" w:rsidRDefault="005E132A" w:rsidP="005E132A">
      <w:pPr>
        <w:ind w:left="720"/>
        <w:rPr>
          <w:rStyle w:val="Hyperlink"/>
          <w:rFonts w:ascii="Times New Roman" w:hAnsi="Times New Roman"/>
          <w:sz w:val="24"/>
          <w:szCs w:val="24"/>
        </w:rPr>
      </w:pPr>
      <w:hyperlink r:id="rId925" w:history="1">
        <w:r w:rsidRPr="006B1421">
          <w:rPr>
            <w:rStyle w:val="Hyperlink"/>
            <w:rFonts w:ascii="Times New Roman" w:hAnsi="Times New Roman"/>
            <w:sz w:val="24"/>
            <w:szCs w:val="24"/>
          </w:rPr>
          <w:t>https://www.nct911.org/how-location-works-for-911/</w:t>
        </w:r>
      </w:hyperlink>
    </w:p>
    <w:p w14:paraId="7284602C" w14:textId="77777777" w:rsidR="005E132A" w:rsidRDefault="005E132A" w:rsidP="005E132A">
      <w:pPr>
        <w:rPr>
          <w:rStyle w:val="Hyperlink"/>
          <w:rFonts w:ascii="Arial Black" w:hAnsi="Arial Black"/>
          <w:b/>
          <w:color w:val="auto"/>
          <w:sz w:val="24"/>
          <w:szCs w:val="24"/>
          <w:u w:val="none"/>
        </w:rPr>
      </w:pPr>
    </w:p>
    <w:p w14:paraId="45589666" w14:textId="77777777" w:rsidR="005E132A" w:rsidRDefault="005E132A" w:rsidP="002B1283">
      <w:pPr>
        <w:rPr>
          <w:rStyle w:val="Hyperlink"/>
          <w:rFonts w:ascii="Arial Black" w:hAnsi="Arial Black"/>
          <w:b/>
          <w:color w:val="auto"/>
          <w:sz w:val="24"/>
          <w:szCs w:val="24"/>
          <w:u w:val="none"/>
        </w:rPr>
      </w:pPr>
    </w:p>
    <w:p w14:paraId="52AE58BE" w14:textId="08191573" w:rsidR="007D178F" w:rsidRDefault="007D178F" w:rsidP="002B1283">
      <w:pPr>
        <w:rPr>
          <w:rStyle w:val="Hyperlink"/>
          <w:rFonts w:ascii="Arial Black" w:hAnsi="Arial Black"/>
          <w:b/>
          <w:color w:val="auto"/>
          <w:sz w:val="24"/>
          <w:szCs w:val="24"/>
          <w:u w:val="none"/>
        </w:rPr>
      </w:pPr>
      <w:r>
        <w:rPr>
          <w:rStyle w:val="Hyperlink"/>
          <w:rFonts w:ascii="Arial Black" w:hAnsi="Arial Black"/>
          <w:b/>
          <w:color w:val="auto"/>
          <w:sz w:val="24"/>
          <w:szCs w:val="24"/>
          <w:u w:val="none"/>
        </w:rPr>
        <w:t>4-12</w:t>
      </w:r>
    </w:p>
    <w:p w14:paraId="673E86C1" w14:textId="77777777" w:rsidR="007D178F" w:rsidRPr="00075D85" w:rsidRDefault="007D178F" w:rsidP="007D178F">
      <w:pPr>
        <w:pStyle w:val="NoSpacing"/>
        <w:rPr>
          <w:rFonts w:ascii="Arial Black" w:hAnsi="Arial Black"/>
          <w:sz w:val="28"/>
          <w:szCs w:val="28"/>
        </w:rPr>
      </w:pPr>
      <w:r>
        <w:rPr>
          <w:rFonts w:ascii="Arial Black" w:hAnsi="Arial Black"/>
          <w:sz w:val="28"/>
          <w:szCs w:val="28"/>
        </w:rPr>
        <w:t>NY: FDNY TRAINING APARTMENT BLDG BEING REHABED – STILL FEW RESIDENTS, DOORS FORCED OPEN – CASE DISMISSED</w:t>
      </w:r>
    </w:p>
    <w:p w14:paraId="64C49571" w14:textId="77777777" w:rsidR="007D178F" w:rsidRDefault="007D178F" w:rsidP="007D178F">
      <w:pPr>
        <w:pStyle w:val="NormalWeb"/>
      </w:pPr>
      <w:r>
        <w:t xml:space="preserve">On Nov. 25, 2020, in </w:t>
      </w:r>
      <w:r w:rsidRPr="00075D85">
        <w:rPr>
          <w:u w:val="single"/>
        </w:rPr>
        <w:t xml:space="preserve">Henry Brown, et al. v. Fire Department of City of New York, </w:t>
      </w:r>
      <w:r>
        <w:rPr>
          <w:u w:val="single"/>
        </w:rPr>
        <w:t xml:space="preserve">the City of New York, </w:t>
      </w:r>
      <w:r w:rsidRPr="00075D85">
        <w:rPr>
          <w:u w:val="single"/>
        </w:rPr>
        <w:t>et al</w:t>
      </w:r>
      <w:r>
        <w:t>., U.S. District Court Judge Lashann Dearcy Hall, U.S. District Court for Eastern District of New York, granted the City’s motion to dismiss; there was no proof that the City was on notice of any deficiencies in the FDNY’s training conducted April – June, 2016 in the 23-unit apartment building (five plaintiffs still lived in the building). The training exercises included breaking down doors and entering apartments, and led to two incidents of forcible, warrantless entry into Plaintiffs' apartments.</w:t>
      </w:r>
    </w:p>
    <w:p w14:paraId="64A60F80" w14:textId="77777777" w:rsidR="007D178F" w:rsidRDefault="007D178F" w:rsidP="007D178F">
      <w:pPr>
        <w:pStyle w:val="NormalWeb"/>
        <w:ind w:left="720"/>
      </w:pPr>
      <w:r>
        <w:t xml:space="preserve">“Here, Plaintiffs allege that City Defendants failed to train FDNY officers how to ‘properly distinguish occupied from vacant apartments in the context of emergency entry training exercises.’ (Am. </w:t>
      </w:r>
      <w:proofErr w:type="spellStart"/>
      <w:r>
        <w:t>Compl</w:t>
      </w:r>
      <w:proofErr w:type="spellEnd"/>
      <w:r>
        <w:t>. ¶¶ 53, 113.) The complaint contains two allegations of constitutional violations: the warrantless entries by FDNY Officers into Plaintiff Moyer's apartment on May 17, 2016, and Plaintiff Henry Brown's apartment on May 21, 2016.… However, there are no allegations that indicate that City Defendants were on notice that the training of FDNY officers was deficient. Plaintiff Moyer did call the police after the FDNY allegedly entered her home because she thought they had been robbed…. However, there is no plausible inference that her call to the police to report a robbery put the City Defendants on notice that the training of FDNY officers was deficient. Plaintiff Henry Brown filed a complaint at the local fire house and complained to Brooklyn Community Board #8 after the alleged unlawful entrance into his home</w:t>
      </w:r>
      <w:proofErr w:type="gramStart"/>
      <w:r>
        <w:t>…..</w:t>
      </w:r>
      <w:proofErr w:type="gramEnd"/>
      <w:r>
        <w:t xml:space="preserve"> However, any such complaints, which were made after the alleged warrantless entries into Plaintiffs' homes, could not be said to have put the City Defendants on notice of training deficiencies prior to the alleged unconstitutional conduct.” </w:t>
      </w:r>
      <w:hyperlink r:id="rId926" w:history="1">
        <w:r w:rsidRPr="00695F3D">
          <w:rPr>
            <w:rStyle w:val="Hyperlink"/>
          </w:rPr>
          <w:t>https://docs.justia.com/cases/federal/district-courts/new-york/nyedce/1:2019cv02400/432390/46</w:t>
        </w:r>
      </w:hyperlink>
      <w:r>
        <w:t xml:space="preserve"> </w:t>
      </w:r>
    </w:p>
    <w:p w14:paraId="300EC7BA" w14:textId="77777777" w:rsidR="007D178F" w:rsidRPr="005E4BB8" w:rsidRDefault="007D178F" w:rsidP="007D178F">
      <w:pPr>
        <w:pStyle w:val="NormalWeb"/>
        <w:rPr>
          <w:b/>
          <w:bCs/>
        </w:rPr>
      </w:pPr>
      <w:r w:rsidRPr="005E4BB8">
        <w:rPr>
          <w:b/>
          <w:bCs/>
        </w:rPr>
        <w:t>Legal Lesson Learned</w:t>
      </w:r>
      <w:r>
        <w:rPr>
          <w:b/>
          <w:bCs/>
        </w:rPr>
        <w:t xml:space="preserve">: No constitutional violations, but training in a partially occupied apartment building presenting some obvious “challenges” for training officers and the participating firefighters. </w:t>
      </w:r>
    </w:p>
    <w:p w14:paraId="6B12B880" w14:textId="77777777" w:rsidR="007D178F" w:rsidRDefault="007D178F" w:rsidP="002B1283">
      <w:pPr>
        <w:rPr>
          <w:rStyle w:val="Hyperlink"/>
          <w:rFonts w:ascii="Arial Black" w:hAnsi="Arial Black"/>
          <w:b/>
          <w:color w:val="auto"/>
          <w:sz w:val="24"/>
          <w:szCs w:val="24"/>
          <w:u w:val="none"/>
        </w:rPr>
      </w:pPr>
    </w:p>
    <w:p w14:paraId="63155450" w14:textId="77777777" w:rsidR="007D178F" w:rsidRDefault="007D178F" w:rsidP="002B1283">
      <w:pPr>
        <w:rPr>
          <w:rStyle w:val="Hyperlink"/>
          <w:rFonts w:ascii="Arial Black" w:hAnsi="Arial Black"/>
          <w:b/>
          <w:color w:val="auto"/>
          <w:sz w:val="24"/>
          <w:szCs w:val="24"/>
          <w:u w:val="none"/>
        </w:rPr>
      </w:pPr>
    </w:p>
    <w:p w14:paraId="6606C8A5" w14:textId="483CE476" w:rsidR="007D178F" w:rsidRDefault="007D178F" w:rsidP="002B1283">
      <w:pPr>
        <w:rPr>
          <w:rStyle w:val="Hyperlink"/>
          <w:rFonts w:ascii="Arial Black" w:hAnsi="Arial Black"/>
          <w:b/>
          <w:color w:val="auto"/>
          <w:sz w:val="24"/>
          <w:szCs w:val="24"/>
          <w:u w:val="none"/>
        </w:rPr>
      </w:pPr>
      <w:r>
        <w:rPr>
          <w:rStyle w:val="Hyperlink"/>
          <w:rFonts w:ascii="Arial Black" w:hAnsi="Arial Black"/>
          <w:b/>
          <w:color w:val="auto"/>
          <w:sz w:val="24"/>
          <w:szCs w:val="24"/>
          <w:u w:val="none"/>
        </w:rPr>
        <w:t>4-11</w:t>
      </w:r>
    </w:p>
    <w:p w14:paraId="1D24AEDF" w14:textId="77777777" w:rsidR="007D178F" w:rsidRPr="003E0282" w:rsidRDefault="007D178F" w:rsidP="007D178F">
      <w:pPr>
        <w:pStyle w:val="NoSpacing"/>
        <w:rPr>
          <w:rFonts w:ascii="Arial Black" w:hAnsi="Arial Black"/>
          <w:sz w:val="28"/>
          <w:szCs w:val="28"/>
        </w:rPr>
      </w:pPr>
      <w:bookmarkStart w:id="176" w:name="_Hlk66942804"/>
      <w:r>
        <w:rPr>
          <w:rFonts w:ascii="Arial Black" w:hAnsi="Arial Black"/>
          <w:sz w:val="28"/>
          <w:szCs w:val="28"/>
        </w:rPr>
        <w:lastRenderedPageBreak/>
        <w:t>NY: PAPER MILL FIRE – DECK GUN – DISCHARGED OVER TOP OF HYDROELECTRIC FACILITY – NO LIABILITY FOR DAMAGE</w:t>
      </w:r>
    </w:p>
    <w:p w14:paraId="235564E6" w14:textId="77777777" w:rsidR="007D178F" w:rsidRDefault="007D178F" w:rsidP="007D178F">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On Nov. 25, 2020, in </w:t>
      </w:r>
      <w:r w:rsidRPr="003E0282">
        <w:rPr>
          <w:rFonts w:ascii="Times New Roman" w:eastAsia="Times New Roman" w:hAnsi="Times New Roman"/>
          <w:sz w:val="24"/>
          <w:szCs w:val="24"/>
          <w:u w:val="single"/>
        </w:rPr>
        <w:t>Stevens &amp; Thompson Paper Company, Inc. v. Middle Falls Fire Department, Inc.</w:t>
      </w:r>
      <w:r>
        <w:rPr>
          <w:rFonts w:ascii="Times New Roman" w:eastAsia="Times New Roman" w:hAnsi="Times New Roman"/>
          <w:sz w:val="24"/>
          <w:szCs w:val="24"/>
          <w:u w:val="single"/>
        </w:rPr>
        <w:t>, et al</w:t>
      </w:r>
      <w:r>
        <w:rPr>
          <w:rFonts w:ascii="Times New Roman" w:eastAsia="Times New Roman" w:hAnsi="Times New Roman"/>
          <w:sz w:val="24"/>
          <w:szCs w:val="24"/>
        </w:rPr>
        <w:t xml:space="preserve">, the Appellate Division of the Supreme Court of the State of New York, held (5 to 0) that the trial court properly granted summary judgment to the FD and the </w:t>
      </w:r>
      <w:r w:rsidRPr="003E0282">
        <w:rPr>
          <w:rFonts w:ascii="Times New Roman" w:eastAsia="Times New Roman" w:hAnsi="Times New Roman"/>
          <w:sz w:val="24"/>
          <w:szCs w:val="24"/>
        </w:rPr>
        <w:t>Village of Greenwich, and the Town of Greenwich</w:t>
      </w:r>
      <w:r>
        <w:rPr>
          <w:rFonts w:ascii="Times New Roman" w:eastAsia="Times New Roman" w:hAnsi="Times New Roman"/>
          <w:sz w:val="24"/>
          <w:szCs w:val="24"/>
        </w:rPr>
        <w:t xml:space="preserve"> under the governmental immunity doctrine.</w:t>
      </w:r>
    </w:p>
    <w:bookmarkEnd w:id="176"/>
    <w:p w14:paraId="1E0C94C3" w14:textId="77777777" w:rsidR="007D178F" w:rsidRDefault="007D178F" w:rsidP="007D178F">
      <w:pPr>
        <w:pStyle w:val="NoSpacing"/>
        <w:ind w:left="720"/>
        <w:rPr>
          <w:rFonts w:ascii="Times New Roman" w:hAnsi="Times New Roman"/>
          <w:sz w:val="24"/>
          <w:szCs w:val="24"/>
        </w:rPr>
      </w:pPr>
      <w:r>
        <w:rPr>
          <w:rFonts w:ascii="Times New Roman" w:hAnsi="Times New Roman"/>
          <w:sz w:val="24"/>
          <w:szCs w:val="24"/>
        </w:rPr>
        <w:t>“</w:t>
      </w:r>
      <w:r w:rsidRPr="00902E58">
        <w:rPr>
          <w:rFonts w:ascii="Times New Roman" w:hAnsi="Times New Roman"/>
          <w:sz w:val="24"/>
          <w:szCs w:val="24"/>
        </w:rPr>
        <w:t xml:space="preserve">The key issue is therefore whether the fire department defendants' purportedly negligent acts — choosing to use the deck gun and aim it in a direction that caused a rain to fall around the powerhouse — were discretionary in that they arose from </w:t>
      </w:r>
      <w:r>
        <w:rPr>
          <w:rFonts w:ascii="Times New Roman" w:hAnsi="Times New Roman"/>
          <w:sz w:val="24"/>
          <w:szCs w:val="24"/>
        </w:rPr>
        <w:t>‘</w:t>
      </w:r>
      <w:r w:rsidRPr="00902E58">
        <w:rPr>
          <w:rFonts w:ascii="Times New Roman" w:hAnsi="Times New Roman"/>
          <w:sz w:val="24"/>
          <w:szCs w:val="24"/>
        </w:rPr>
        <w:t>the exercise of reasoned judgment which could typically produce different acceptable results</w:t>
      </w:r>
      <w:r>
        <w:rPr>
          <w:rFonts w:ascii="Times New Roman" w:hAnsi="Times New Roman"/>
          <w:sz w:val="24"/>
          <w:szCs w:val="24"/>
        </w:rPr>
        <w:t>’</w:t>
      </w:r>
      <w:r w:rsidRPr="00902E58">
        <w:rPr>
          <w:rFonts w:ascii="Times New Roman" w:hAnsi="Times New Roman"/>
          <w:sz w:val="24"/>
          <w:szCs w:val="24"/>
        </w:rPr>
        <w:t xml:space="preserve"> (</w:t>
      </w:r>
      <w:r w:rsidRPr="00902E58">
        <w:rPr>
          <w:rFonts w:ascii="Times New Roman" w:hAnsi="Times New Roman"/>
          <w:i/>
          <w:iCs/>
          <w:sz w:val="24"/>
          <w:szCs w:val="24"/>
        </w:rPr>
        <w:t xml:space="preserve">Tango v </w:t>
      </w:r>
      <w:proofErr w:type="spellStart"/>
      <w:r w:rsidRPr="00902E58">
        <w:rPr>
          <w:rFonts w:ascii="Times New Roman" w:hAnsi="Times New Roman"/>
          <w:i/>
          <w:iCs/>
          <w:sz w:val="24"/>
          <w:szCs w:val="24"/>
        </w:rPr>
        <w:t>Tulevech</w:t>
      </w:r>
      <w:proofErr w:type="spellEnd"/>
      <w:r w:rsidRPr="00902E58">
        <w:rPr>
          <w:rFonts w:ascii="Times New Roman" w:hAnsi="Times New Roman"/>
          <w:sz w:val="24"/>
          <w:szCs w:val="24"/>
        </w:rPr>
        <w:t xml:space="preserve">, 61 NY2d 34, 4). </w:t>
      </w:r>
    </w:p>
    <w:p w14:paraId="63B3C212" w14:textId="77777777" w:rsidR="007D178F" w:rsidRDefault="007D178F" w:rsidP="007D178F">
      <w:pPr>
        <w:pStyle w:val="NoSpacing"/>
        <w:ind w:left="720"/>
        <w:rPr>
          <w:rFonts w:ascii="Times New Roman" w:hAnsi="Times New Roman"/>
          <w:sz w:val="24"/>
          <w:szCs w:val="24"/>
        </w:rPr>
      </w:pPr>
    </w:p>
    <w:p w14:paraId="02292674" w14:textId="77777777" w:rsidR="007D178F" w:rsidRDefault="007D178F" w:rsidP="007D178F">
      <w:pPr>
        <w:pStyle w:val="NoSpacing"/>
        <w:ind w:left="720"/>
        <w:rPr>
          <w:rFonts w:ascii="Times New Roman" w:hAnsi="Times New Roman"/>
          <w:sz w:val="24"/>
          <w:szCs w:val="24"/>
        </w:rPr>
      </w:pPr>
      <w:r w:rsidRPr="00902E58">
        <w:rPr>
          <w:rFonts w:ascii="Times New Roman" w:hAnsi="Times New Roman"/>
          <w:sz w:val="24"/>
          <w:szCs w:val="24"/>
        </w:rPr>
        <w:t xml:space="preserve">*** </w:t>
      </w:r>
    </w:p>
    <w:p w14:paraId="21999CE5" w14:textId="7FB4D18E" w:rsidR="007D178F" w:rsidRDefault="007D178F" w:rsidP="007D178F">
      <w:pPr>
        <w:rPr>
          <w:rStyle w:val="Hyperlink"/>
          <w:rFonts w:ascii="Arial Black" w:hAnsi="Arial Black"/>
          <w:b/>
          <w:color w:val="auto"/>
          <w:sz w:val="24"/>
          <w:szCs w:val="24"/>
          <w:u w:val="none"/>
        </w:rPr>
      </w:pPr>
      <w:r w:rsidRPr="00902E58">
        <w:rPr>
          <w:rFonts w:ascii="Times New Roman" w:hAnsi="Times New Roman"/>
          <w:sz w:val="24"/>
          <w:szCs w:val="24"/>
        </w:rPr>
        <w:t xml:space="preserve">Moreover, although the selected direction of the deck gun caused </w:t>
      </w:r>
      <w:proofErr w:type="gramStart"/>
      <w:r w:rsidRPr="00902E58">
        <w:rPr>
          <w:rFonts w:ascii="Times New Roman" w:hAnsi="Times New Roman"/>
          <w:sz w:val="24"/>
          <w:szCs w:val="24"/>
        </w:rPr>
        <w:t>a rain</w:t>
      </w:r>
      <w:proofErr w:type="gramEnd"/>
      <w:r w:rsidRPr="00902E58">
        <w:rPr>
          <w:rFonts w:ascii="Times New Roman" w:hAnsi="Times New Roman"/>
          <w:sz w:val="24"/>
          <w:szCs w:val="24"/>
        </w:rPr>
        <w:t xml:space="preserve"> or mist to fall upon the powerhouse when it was in use, the firefighters had no reason to anticipate that this would affect the interior of the powerhouse. A surveillance video of the area shows wet ground, but no flooding, and it appears that </w:t>
      </w:r>
      <w:proofErr w:type="gramStart"/>
      <w:r w:rsidRPr="00902E58">
        <w:rPr>
          <w:rFonts w:ascii="Times New Roman" w:hAnsi="Times New Roman"/>
          <w:sz w:val="24"/>
          <w:szCs w:val="24"/>
        </w:rPr>
        <w:t>water that</w:t>
      </w:r>
      <w:proofErr w:type="gramEnd"/>
      <w:r w:rsidRPr="00902E58">
        <w:rPr>
          <w:rFonts w:ascii="Times New Roman" w:hAnsi="Times New Roman"/>
          <w:sz w:val="24"/>
          <w:szCs w:val="24"/>
        </w:rPr>
        <w:t xml:space="preserve"> drained into an outdoor catch basin as designed then seeped into the powerhouse through a masonry joint. Further, although one could reasonably question the efficacy of the firefighters' efforts to reorient the deck gun once they learned of that problem, the efficacy of those efforts </w:t>
      </w:r>
      <w:proofErr w:type="gramStart"/>
      <w:r w:rsidRPr="00902E58">
        <w:rPr>
          <w:rFonts w:ascii="Times New Roman" w:hAnsi="Times New Roman"/>
          <w:sz w:val="24"/>
          <w:szCs w:val="24"/>
        </w:rPr>
        <w:t>are</w:t>
      </w:r>
      <w:proofErr w:type="gramEnd"/>
      <w:r w:rsidRPr="00902E58">
        <w:rPr>
          <w:rFonts w:ascii="Times New Roman" w:hAnsi="Times New Roman"/>
          <w:sz w:val="24"/>
          <w:szCs w:val="24"/>
        </w:rPr>
        <w:t xml:space="preserve"> irrelevant given that their activities caused no further seepage into the powerhouse</w:t>
      </w:r>
      <w:r>
        <w:rPr>
          <w:rFonts w:ascii="Times New Roman" w:hAnsi="Times New Roman"/>
          <w:sz w:val="24"/>
          <w:szCs w:val="24"/>
        </w:rPr>
        <w:t xml:space="preserve">.” </w:t>
      </w:r>
      <w:bookmarkStart w:id="177" w:name="_Hlk66942827"/>
      <w:r w:rsidR="00F00958">
        <w:fldChar w:fldCharType="begin"/>
      </w:r>
      <w:r w:rsidR="00F00958">
        <w:instrText xml:space="preserve"> HYPERLINK "http://decisions.courts.state.ny.us/ad3/Decisions/2020/529718.pdf" </w:instrText>
      </w:r>
      <w:r w:rsidR="00F00958">
        <w:fldChar w:fldCharType="separate"/>
      </w:r>
      <w:r w:rsidRPr="00695F3D">
        <w:rPr>
          <w:rStyle w:val="Hyperlink"/>
          <w:rFonts w:ascii="Times New Roman" w:hAnsi="Times New Roman"/>
          <w:sz w:val="24"/>
          <w:szCs w:val="24"/>
        </w:rPr>
        <w:t>http://decisions.courts.state.ny.us/ad3/Decisions/2020/529718.pdf</w:t>
      </w:r>
      <w:r w:rsidR="00F00958">
        <w:rPr>
          <w:rStyle w:val="Hyperlink"/>
          <w:rFonts w:ascii="Times New Roman" w:hAnsi="Times New Roman"/>
          <w:sz w:val="24"/>
          <w:szCs w:val="24"/>
        </w:rPr>
        <w:fldChar w:fldCharType="end"/>
      </w:r>
    </w:p>
    <w:p w14:paraId="1FD92A1D" w14:textId="77777777" w:rsidR="007D178F" w:rsidRPr="00902E58" w:rsidRDefault="007D178F" w:rsidP="007D178F">
      <w:pPr>
        <w:pStyle w:val="NoSpacing"/>
        <w:rPr>
          <w:rFonts w:ascii="Times New Roman" w:hAnsi="Times New Roman"/>
          <w:b/>
          <w:bCs/>
          <w:sz w:val="24"/>
          <w:szCs w:val="24"/>
        </w:rPr>
      </w:pPr>
      <w:r w:rsidRPr="00902E58">
        <w:rPr>
          <w:rFonts w:ascii="Times New Roman" w:hAnsi="Times New Roman"/>
          <w:b/>
          <w:bCs/>
          <w:sz w:val="24"/>
          <w:szCs w:val="24"/>
        </w:rPr>
        <w:t xml:space="preserve">Legal Lesson Learned:  Discretionary acts by fire department are protected by governmental immunity. </w:t>
      </w:r>
    </w:p>
    <w:bookmarkEnd w:id="177"/>
    <w:p w14:paraId="69314B50" w14:textId="77777777" w:rsidR="007D178F" w:rsidRDefault="007D178F" w:rsidP="007D178F">
      <w:pPr>
        <w:pStyle w:val="NoSpacing"/>
        <w:rPr>
          <w:rFonts w:ascii="Times New Roman" w:hAnsi="Times New Roman"/>
          <w:sz w:val="24"/>
          <w:szCs w:val="24"/>
        </w:rPr>
      </w:pPr>
    </w:p>
    <w:p w14:paraId="6213E884" w14:textId="77777777" w:rsidR="007D178F" w:rsidRDefault="007D178F" w:rsidP="002B1283">
      <w:pPr>
        <w:rPr>
          <w:rStyle w:val="Hyperlink"/>
          <w:rFonts w:ascii="Arial Black" w:hAnsi="Arial Black"/>
          <w:b/>
          <w:color w:val="auto"/>
          <w:sz w:val="24"/>
          <w:szCs w:val="24"/>
          <w:u w:val="none"/>
        </w:rPr>
      </w:pPr>
    </w:p>
    <w:p w14:paraId="3D84C96F" w14:textId="2D4C4586" w:rsidR="00DD03E3" w:rsidRDefault="00DD03E3" w:rsidP="002B1283">
      <w:pPr>
        <w:rPr>
          <w:rStyle w:val="Hyperlink"/>
          <w:rFonts w:ascii="Arial Black" w:hAnsi="Arial Black"/>
          <w:b/>
          <w:color w:val="auto"/>
          <w:sz w:val="24"/>
          <w:szCs w:val="24"/>
          <w:u w:val="none"/>
        </w:rPr>
      </w:pPr>
      <w:r>
        <w:rPr>
          <w:rStyle w:val="Hyperlink"/>
          <w:rFonts w:ascii="Arial Black" w:hAnsi="Arial Black"/>
          <w:b/>
          <w:color w:val="auto"/>
          <w:sz w:val="24"/>
          <w:szCs w:val="24"/>
          <w:u w:val="none"/>
        </w:rPr>
        <w:t>4-10</w:t>
      </w:r>
    </w:p>
    <w:p w14:paraId="22CD24AA" w14:textId="77777777" w:rsidR="00DD03E3" w:rsidRPr="00E0368C" w:rsidRDefault="00DD03E3" w:rsidP="00DD03E3">
      <w:pPr>
        <w:pStyle w:val="Heading1"/>
        <w:rPr>
          <w:rFonts w:ascii="Arial Black" w:hAnsi="Arial Black"/>
          <w:b w:val="0"/>
          <w:sz w:val="28"/>
          <w:szCs w:val="28"/>
        </w:rPr>
      </w:pPr>
      <w:bookmarkStart w:id="178" w:name="_Hlk66942878"/>
      <w:r>
        <w:rPr>
          <w:rStyle w:val="font-weight-bold"/>
          <w:rFonts w:ascii="Arial Black" w:eastAsiaTheme="majorEastAsia" w:hAnsi="Arial Black"/>
          <w:sz w:val="28"/>
          <w:szCs w:val="28"/>
        </w:rPr>
        <w:t>CA: KOBE BRYANT DEATH – NEW CA STATUTE – CRIME FOR EMERGENCY RESPONDERS TAKE PHOTOS WITH PERSONAL DEVICES</w:t>
      </w:r>
    </w:p>
    <w:p w14:paraId="3304462E" w14:textId="77777777" w:rsidR="00DD03E3" w:rsidRPr="00E0368C" w:rsidRDefault="00DD03E3" w:rsidP="00DD03E3">
      <w:pPr>
        <w:pStyle w:val="NormalWeb"/>
        <w:rPr>
          <w:bCs/>
        </w:rPr>
      </w:pPr>
      <w:r w:rsidRPr="00E0368C">
        <w:rPr>
          <w:bCs/>
        </w:rPr>
        <w:t xml:space="preserve">Sept. 28, 2020: CA - Gov. Newsom Signs New Law Prompted </w:t>
      </w:r>
      <w:proofErr w:type="gramStart"/>
      <w:r w:rsidRPr="00E0368C">
        <w:rPr>
          <w:bCs/>
        </w:rPr>
        <w:t>By</w:t>
      </w:r>
      <w:proofErr w:type="gramEnd"/>
      <w:r w:rsidRPr="00E0368C">
        <w:rPr>
          <w:bCs/>
        </w:rPr>
        <w:t xml:space="preserve"> Photo Scandal </w:t>
      </w:r>
      <w:proofErr w:type="gramStart"/>
      <w:r w:rsidRPr="00E0368C">
        <w:rPr>
          <w:bCs/>
        </w:rPr>
        <w:t>In</w:t>
      </w:r>
      <w:proofErr w:type="gramEnd"/>
      <w:r w:rsidRPr="00E0368C">
        <w:rPr>
          <w:bCs/>
        </w:rPr>
        <w:t xml:space="preserve"> Crash That Killed Kobe Bryant, 8 Others </w:t>
      </w:r>
      <w:proofErr w:type="gramStart"/>
      <w:r w:rsidRPr="00E0368C">
        <w:rPr>
          <w:bCs/>
        </w:rPr>
        <w:t>In</w:t>
      </w:r>
      <w:proofErr w:type="gramEnd"/>
      <w:r w:rsidRPr="00E0368C">
        <w:rPr>
          <w:bCs/>
        </w:rPr>
        <w:t xml:space="preserve"> Calabasas - Gov. Gavin Newsom has approved legislation prompted by the helicopter crash that killed Kobe Bryant and eight others in Calabasas earlier this year. The bill </w:t>
      </w:r>
      <w:proofErr w:type="gramStart"/>
      <w:r w:rsidRPr="00E0368C">
        <w:rPr>
          <w:bCs/>
        </w:rPr>
        <w:t>signed</w:t>
      </w:r>
      <w:proofErr w:type="gramEnd"/>
      <w:r w:rsidRPr="00E0368C">
        <w:rPr>
          <w:bCs/>
        </w:rPr>
        <w:t xml:space="preserve"> Monday makes it a crime for first responders to take unauthorized photos of deceased people at the scene of an accident or crime.  Reports surfaced after the Jan. 26 crash that graphic photos of the victims were being shared by eight deputies.  Los Angeles County Sheriff Alex Villanueva said the department has a policy against taking and sharing crime scene photos, but it does not apply to accident scenes. Vanessa </w:t>
      </w:r>
      <w:hyperlink r:id="rId927" w:history="1">
        <w:r w:rsidRPr="00E0368C">
          <w:rPr>
            <w:rStyle w:val="Hyperlink"/>
            <w:rFonts w:eastAsiaTheme="majorEastAsia"/>
            <w:bCs/>
          </w:rPr>
          <w:t>Bryant has sued the sheriff</w:t>
        </w:r>
      </w:hyperlink>
      <w:r w:rsidRPr="00E0368C">
        <w:rPr>
          <w:bCs/>
        </w:rPr>
        <w:t xml:space="preserve"> in a lawsuit seeking damages for negligence, invasion of privacy and intentional infliction of emotional distress. </w:t>
      </w:r>
      <w:hyperlink r:id="rId928" w:history="1">
        <w:r w:rsidRPr="00E0368C">
          <w:rPr>
            <w:rStyle w:val="Hyperlink"/>
            <w:bCs/>
          </w:rPr>
          <w:t>https://ktla.com/news/local-news/gov-newsom-signs-new-law-prompted-by-photo-scandal-in-crash-that-killed-kobe-bryant-8-others-in-calabasas/</w:t>
        </w:r>
      </w:hyperlink>
      <w:r w:rsidRPr="00E0368C">
        <w:rPr>
          <w:bCs/>
        </w:rPr>
        <w:t xml:space="preserve"> </w:t>
      </w:r>
    </w:p>
    <w:p w14:paraId="460523EF" w14:textId="77777777" w:rsidR="00DD03E3" w:rsidRPr="00E0368C" w:rsidRDefault="00DD03E3" w:rsidP="00DD03E3">
      <w:pPr>
        <w:pStyle w:val="NormalWeb"/>
        <w:ind w:left="720"/>
      </w:pPr>
      <w:r w:rsidRPr="00E0368C">
        <w:t xml:space="preserve">CA Law: 647.9:  (a) A first responder, operating under color of authority, who responds to the scene of an accident or crime and captures the photographic image of a deceased person by any means, including, but not limited to, by use of a personal electronic device or a device belonging to their employing agency, for any purpose other than an official law enforcement purpose or a genuine public interest is guilty of a misdemeanor punishable by a fine not exceeding one thousand dollars ($1,000) per violation. </w:t>
      </w:r>
      <w:hyperlink r:id="rId929" w:history="1">
        <w:r w:rsidRPr="00987F62">
          <w:rPr>
            <w:rStyle w:val="Hyperlink"/>
          </w:rPr>
          <w:t>https://leginfo.legislature.ca.gov/faces/billTextClient.xhtml?bill_id=201920200AB2655</w:t>
        </w:r>
      </w:hyperlink>
      <w:r w:rsidRPr="00E0368C">
        <w:t xml:space="preserve"> </w:t>
      </w:r>
    </w:p>
    <w:p w14:paraId="4E405DC4" w14:textId="77777777" w:rsidR="00DD03E3" w:rsidRDefault="00DD03E3" w:rsidP="00DD03E3">
      <w:pPr>
        <w:spacing w:before="100" w:beforeAutospacing="1" w:after="100" w:afterAutospacing="1" w:line="240" w:lineRule="auto"/>
        <w:rPr>
          <w:rFonts w:ascii="Times New Roman" w:eastAsia="Times New Roman" w:hAnsi="Times New Roman"/>
          <w:b/>
          <w:bCs/>
          <w:sz w:val="24"/>
          <w:szCs w:val="24"/>
        </w:rPr>
      </w:pPr>
      <w:bookmarkStart w:id="179" w:name="_Hlk66942912"/>
      <w:bookmarkEnd w:id="178"/>
      <w:r>
        <w:rPr>
          <w:rFonts w:ascii="Times New Roman" w:eastAsia="Times New Roman" w:hAnsi="Times New Roman"/>
          <w:b/>
          <w:bCs/>
          <w:sz w:val="24"/>
          <w:szCs w:val="24"/>
        </w:rPr>
        <w:lastRenderedPageBreak/>
        <w:t xml:space="preserve">Legal Lesson Learned:  Fire &amp; EMS departments should have a policy or SOG regarding taking photos at scenes. </w:t>
      </w:r>
    </w:p>
    <w:p w14:paraId="4DDC9857" w14:textId="165A0F28" w:rsidR="00DD03E3" w:rsidRPr="00DD03E3" w:rsidRDefault="00DD03E3" w:rsidP="00DD03E3">
      <w:pPr>
        <w:ind w:left="720"/>
        <w:rPr>
          <w:rStyle w:val="Hyperlink"/>
          <w:rFonts w:ascii="Times New Roman" w:hAnsi="Times New Roman"/>
          <w:b/>
          <w:color w:val="auto"/>
          <w:sz w:val="24"/>
          <w:szCs w:val="24"/>
          <w:u w:val="none"/>
        </w:rPr>
      </w:pPr>
      <w:r w:rsidRPr="00DD03E3">
        <w:rPr>
          <w:rFonts w:ascii="Times New Roman" w:hAnsi="Times New Roman"/>
          <w:sz w:val="24"/>
          <w:szCs w:val="24"/>
        </w:rPr>
        <w:t xml:space="preserve">For example, see Yakima County, WA Fire District 12 policy: “All personnel are permitted to photograph an incident scene so long as the photograph is taken with a </w:t>
      </w:r>
      <w:proofErr w:type="gramStart"/>
      <w:r w:rsidRPr="00DD03E3">
        <w:rPr>
          <w:rFonts w:ascii="Times New Roman" w:hAnsi="Times New Roman"/>
          <w:sz w:val="24"/>
          <w:szCs w:val="24"/>
        </w:rPr>
        <w:t>Department</w:t>
      </w:r>
      <w:proofErr w:type="gramEnd"/>
      <w:r w:rsidRPr="00DD03E3">
        <w:rPr>
          <w:rFonts w:ascii="Times New Roman" w:hAnsi="Times New Roman"/>
          <w:sz w:val="24"/>
          <w:szCs w:val="24"/>
        </w:rPr>
        <w:t xml:space="preserve"> issued camera. a. Personal devices: cell phone cameras, video cameras, digital cameras and film cameras are not permitted to take on scene photos at any time by any member.” </w:t>
      </w:r>
      <w:hyperlink r:id="rId930" w:history="1">
        <w:r w:rsidRPr="00DD03E3">
          <w:rPr>
            <w:rStyle w:val="Hyperlink"/>
            <w:rFonts w:ascii="Times New Roman" w:hAnsi="Times New Roman"/>
            <w:sz w:val="24"/>
            <w:szCs w:val="24"/>
          </w:rPr>
          <w:t>http://www.westvalleyfire.com/default.asp?pageid=188&amp;deptid=1</w:t>
        </w:r>
      </w:hyperlink>
    </w:p>
    <w:bookmarkEnd w:id="179"/>
    <w:p w14:paraId="20092EC1" w14:textId="77777777" w:rsidR="00DD03E3" w:rsidRDefault="00DD03E3" w:rsidP="002B1283">
      <w:pPr>
        <w:rPr>
          <w:rStyle w:val="Hyperlink"/>
          <w:rFonts w:ascii="Arial Black" w:hAnsi="Arial Black"/>
          <w:b/>
          <w:color w:val="auto"/>
          <w:sz w:val="24"/>
          <w:szCs w:val="24"/>
          <w:u w:val="none"/>
        </w:rPr>
      </w:pPr>
    </w:p>
    <w:p w14:paraId="68A820C6" w14:textId="77777777" w:rsidR="00DD03E3" w:rsidRDefault="00DD03E3" w:rsidP="002B1283">
      <w:pPr>
        <w:rPr>
          <w:rStyle w:val="Hyperlink"/>
          <w:rFonts w:ascii="Arial Black" w:hAnsi="Arial Black"/>
          <w:b/>
          <w:color w:val="auto"/>
          <w:sz w:val="24"/>
          <w:szCs w:val="24"/>
          <w:u w:val="none"/>
        </w:rPr>
      </w:pPr>
    </w:p>
    <w:p w14:paraId="06E98AA9" w14:textId="1B536075" w:rsidR="00C630E7" w:rsidRDefault="00C630E7" w:rsidP="002B1283">
      <w:pPr>
        <w:rPr>
          <w:rStyle w:val="Hyperlink"/>
          <w:rFonts w:ascii="Arial Black" w:hAnsi="Arial Black"/>
          <w:b/>
          <w:color w:val="auto"/>
          <w:sz w:val="24"/>
          <w:szCs w:val="24"/>
          <w:u w:val="none"/>
        </w:rPr>
      </w:pPr>
      <w:r>
        <w:rPr>
          <w:rStyle w:val="Hyperlink"/>
          <w:rFonts w:ascii="Arial Black" w:hAnsi="Arial Black"/>
          <w:b/>
          <w:color w:val="auto"/>
          <w:sz w:val="24"/>
          <w:szCs w:val="24"/>
          <w:u w:val="none"/>
        </w:rPr>
        <w:t>4-9</w:t>
      </w:r>
    </w:p>
    <w:p w14:paraId="1CD9C302" w14:textId="77777777" w:rsidR="00C630E7" w:rsidRDefault="00C630E7" w:rsidP="00C630E7">
      <w:pPr>
        <w:spacing w:before="100" w:beforeAutospacing="1" w:after="100" w:afterAutospacing="1" w:line="240" w:lineRule="auto"/>
        <w:rPr>
          <w:rFonts w:ascii="Arial Black" w:hAnsi="Arial Black" w:cstheme="minorBidi"/>
          <w:sz w:val="28"/>
          <w:szCs w:val="28"/>
        </w:rPr>
      </w:pPr>
      <w:r>
        <w:rPr>
          <w:rFonts w:ascii="Arial Black" w:hAnsi="Arial Black"/>
          <w:sz w:val="28"/>
          <w:szCs w:val="28"/>
        </w:rPr>
        <w:t>MD: PG COUNTY FIRE CHIEF – BATTALION CHIEFS TO OUTRANK VOLUNTEER CO. CHIEF - AUTHORIZED</w:t>
      </w:r>
    </w:p>
    <w:p w14:paraId="691ADB65" w14:textId="77777777" w:rsidR="00C630E7" w:rsidRDefault="00C630E7" w:rsidP="00C630E7">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On Aug. 4, 2020, in Prince George’s Volunteer Fire And Rescue Association, Inc. v. Prince George’s County, Maryland, the Court of Special Appeals of Maryland, held (3 to 0; unreported decision) that the County Fire Chief had the authority in 2016 to issue revised General Order 01-03 that elevated the rank of County Battalion Chiefs, over that of Chiefs of volunteer fire companies.   </w:t>
      </w:r>
    </w:p>
    <w:p w14:paraId="465FB052" w14:textId="77777777" w:rsidR="00C630E7" w:rsidRDefault="00C630E7" w:rsidP="00C630E7">
      <w:pPr>
        <w:spacing w:after="100" w:line="240" w:lineRule="auto"/>
        <w:ind w:left="720"/>
        <w:rPr>
          <w:rFonts w:ascii="Times New Roman" w:eastAsia="Times New Roman" w:hAnsi="Times New Roman"/>
          <w:sz w:val="24"/>
          <w:szCs w:val="24"/>
        </w:rPr>
      </w:pPr>
      <w:r>
        <w:rPr>
          <w:rFonts w:ascii="Times New Roman" w:hAnsi="Times New Roman"/>
          <w:sz w:val="24"/>
          <w:szCs w:val="24"/>
        </w:rPr>
        <w:t xml:space="preserve">“Ultimately, PGCVFRA failed to sufficiently allege that it suffered irreparable injury through the Fire Chief's revision of General Order 01-03 and its amendment of the chain of command. As noted in our discussion on PGCVFRA's governmental </w:t>
      </w:r>
      <w:proofErr w:type="gramStart"/>
      <w:r>
        <w:rPr>
          <w:rFonts w:ascii="Times New Roman" w:hAnsi="Times New Roman"/>
          <w:sz w:val="24"/>
          <w:szCs w:val="24"/>
        </w:rPr>
        <w:t>takings</w:t>
      </w:r>
      <w:proofErr w:type="gramEnd"/>
      <w:r>
        <w:rPr>
          <w:rFonts w:ascii="Times New Roman" w:hAnsi="Times New Roman"/>
          <w:sz w:val="24"/>
          <w:szCs w:val="24"/>
        </w:rPr>
        <w:t xml:space="preserve"> claim, PGCVFRA failed to establish any sort of injury. Its claims regarding potential injury are hypothetical, speculative, and depend on future—uncertain—conduct that PGCVFRA alleges the County may undertake. The speculative nature of these complaints is apparent, and these ‘mere allegations’ are insufficient to ground PGCVFRA's claim for permanent injunctive relief.” </w:t>
      </w:r>
      <w:hyperlink r:id="rId931" w:history="1">
        <w:r>
          <w:rPr>
            <w:rStyle w:val="Hyperlink"/>
            <w:sz w:val="24"/>
            <w:szCs w:val="24"/>
          </w:rPr>
          <w:t>https://www.courts.state.md.us/sites/default/files/unreported-opinions/0614s19.pdf</w:t>
        </w:r>
      </w:hyperlink>
      <w:r>
        <w:rPr>
          <w:rFonts w:ascii="Times New Roman" w:hAnsi="Times New Roman"/>
          <w:sz w:val="24"/>
          <w:szCs w:val="24"/>
        </w:rPr>
        <w:t xml:space="preserve"> </w:t>
      </w:r>
    </w:p>
    <w:p w14:paraId="5456B139" w14:textId="1ACD305B" w:rsidR="00C630E7" w:rsidRDefault="00C630E7" w:rsidP="002B1283">
      <w:pPr>
        <w:rPr>
          <w:rStyle w:val="Hyperlink"/>
          <w:rFonts w:ascii="Arial Black" w:hAnsi="Arial Black"/>
          <w:b/>
          <w:color w:val="auto"/>
          <w:sz w:val="24"/>
          <w:szCs w:val="24"/>
          <w:u w:val="none"/>
        </w:rPr>
      </w:pPr>
    </w:p>
    <w:p w14:paraId="35CD32C0" w14:textId="77777777" w:rsidR="00557CA2" w:rsidRDefault="00557CA2" w:rsidP="00557CA2">
      <w:pPr>
        <w:spacing w:after="100" w:line="240" w:lineRule="auto"/>
        <w:rPr>
          <w:rFonts w:ascii="Times New Roman" w:eastAsia="Times New Roman" w:hAnsi="Times New Roman"/>
          <w:b/>
          <w:bCs/>
          <w:sz w:val="24"/>
          <w:szCs w:val="24"/>
        </w:rPr>
      </w:pPr>
      <w:r>
        <w:rPr>
          <w:rFonts w:ascii="Times New Roman" w:eastAsia="Times New Roman" w:hAnsi="Times New Roman"/>
          <w:b/>
          <w:bCs/>
          <w:sz w:val="24"/>
          <w:szCs w:val="24"/>
        </w:rPr>
        <w:t xml:space="preserve">Legal Lessons Learned: The County Fire Chief has authority over firefighting and chain of command. </w:t>
      </w:r>
    </w:p>
    <w:p w14:paraId="1C20C1F3" w14:textId="77777777" w:rsidR="00557CA2" w:rsidRDefault="00557CA2" w:rsidP="00557CA2">
      <w:pPr>
        <w:spacing w:after="100" w:line="240" w:lineRule="auto"/>
        <w:rPr>
          <w:rFonts w:ascii="Times New Roman" w:eastAsia="Times New Roman" w:hAnsi="Times New Roman"/>
          <w:b/>
          <w:bCs/>
          <w:sz w:val="24"/>
          <w:szCs w:val="24"/>
        </w:rPr>
      </w:pPr>
    </w:p>
    <w:p w14:paraId="2FBD44B8" w14:textId="77777777" w:rsidR="00557CA2" w:rsidRDefault="00557CA2" w:rsidP="00557CA2">
      <w:pPr>
        <w:spacing w:after="100" w:line="240" w:lineRule="auto"/>
        <w:ind w:left="720"/>
        <w:rPr>
          <w:rFonts w:ascii="Times New Roman" w:eastAsiaTheme="minorHAnsi" w:hAnsi="Times New Roman"/>
          <w:sz w:val="24"/>
          <w:szCs w:val="24"/>
        </w:rPr>
      </w:pPr>
      <w:r>
        <w:rPr>
          <w:rFonts w:ascii="Times New Roman" w:eastAsia="Times New Roman" w:hAnsi="Times New Roman"/>
          <w:sz w:val="24"/>
          <w:szCs w:val="24"/>
        </w:rPr>
        <w:t xml:space="preserve">Note:  </w:t>
      </w:r>
      <w:r>
        <w:rPr>
          <w:rFonts w:ascii="Times New Roman" w:hAnsi="Times New Roman"/>
          <w:sz w:val="24"/>
          <w:szCs w:val="24"/>
        </w:rPr>
        <w:t>Under revised General Order 01-03, the relevant portion of the chain of command reads as follows:</w:t>
      </w:r>
    </w:p>
    <w:p w14:paraId="0B021E97" w14:textId="77777777" w:rsidR="00557CA2" w:rsidRDefault="00557CA2" w:rsidP="00557CA2">
      <w:pPr>
        <w:ind w:left="1440"/>
        <w:rPr>
          <w:rFonts w:ascii="Times New Roman" w:hAnsi="Times New Roman"/>
          <w:sz w:val="24"/>
          <w:szCs w:val="24"/>
        </w:rPr>
      </w:pPr>
      <w:r>
        <w:rPr>
          <w:rFonts w:ascii="Times New Roman" w:hAnsi="Times New Roman"/>
          <w:sz w:val="24"/>
          <w:szCs w:val="24"/>
        </w:rPr>
        <w:t>1. County Fire Chief</w:t>
      </w:r>
      <w:r>
        <w:rPr>
          <w:rFonts w:ascii="Times New Roman" w:hAnsi="Times New Roman"/>
          <w:sz w:val="24"/>
          <w:szCs w:val="24"/>
        </w:rPr>
        <w:br/>
        <w:t>2. Chief Deputy</w:t>
      </w:r>
      <w:r>
        <w:rPr>
          <w:rFonts w:ascii="Times New Roman" w:hAnsi="Times New Roman"/>
          <w:sz w:val="24"/>
          <w:szCs w:val="24"/>
        </w:rPr>
        <w:br/>
        <w:t>3. Deputy Fire Chief</w:t>
      </w:r>
      <w:r>
        <w:rPr>
          <w:rFonts w:ascii="Times New Roman" w:hAnsi="Times New Roman"/>
          <w:sz w:val="24"/>
          <w:szCs w:val="24"/>
        </w:rPr>
        <w:br/>
        <w:t>4. Assistant Fire Chief, Career/Volunteer</w:t>
      </w:r>
      <w:r>
        <w:rPr>
          <w:rFonts w:ascii="Times New Roman" w:hAnsi="Times New Roman"/>
          <w:sz w:val="24"/>
          <w:szCs w:val="24"/>
        </w:rPr>
        <w:br/>
        <w:t>5. Battalion Chief, Career/Volunteer</w:t>
      </w:r>
      <w:r>
        <w:rPr>
          <w:rFonts w:ascii="Times New Roman" w:hAnsi="Times New Roman"/>
          <w:sz w:val="24"/>
          <w:szCs w:val="24"/>
        </w:rPr>
        <w:br/>
        <w:t xml:space="preserve">6. Volunteer Company Chief   </w:t>
      </w:r>
    </w:p>
    <w:p w14:paraId="6B5C2EDD" w14:textId="77777777" w:rsidR="00557CA2" w:rsidRDefault="00557CA2" w:rsidP="00557CA2">
      <w:pPr>
        <w:ind w:left="720"/>
        <w:rPr>
          <w:rFonts w:ascii="Times New Roman" w:hAnsi="Times New Roman"/>
          <w:sz w:val="24"/>
          <w:szCs w:val="24"/>
        </w:rPr>
      </w:pPr>
      <w:r>
        <w:rPr>
          <w:rFonts w:ascii="Times New Roman" w:hAnsi="Times New Roman"/>
          <w:sz w:val="24"/>
          <w:szCs w:val="24"/>
        </w:rPr>
        <w:t xml:space="preserve">[Footnote 8 of the Court’s decision.] </w:t>
      </w:r>
      <w:hyperlink r:id="rId932" w:history="1">
        <w:r>
          <w:rPr>
            <w:rStyle w:val="Hyperlink"/>
            <w:sz w:val="24"/>
            <w:szCs w:val="24"/>
          </w:rPr>
          <w:t>https://www.courts.state.md.us/sites/default/files/unreported-opinions/0614s19.pdf</w:t>
        </w:r>
      </w:hyperlink>
      <w:r>
        <w:rPr>
          <w:rFonts w:ascii="Times New Roman" w:hAnsi="Times New Roman"/>
          <w:sz w:val="24"/>
          <w:szCs w:val="24"/>
        </w:rPr>
        <w:t xml:space="preserve"> </w:t>
      </w:r>
    </w:p>
    <w:p w14:paraId="4CC4D286" w14:textId="77777777" w:rsidR="00557CA2" w:rsidRDefault="00557CA2" w:rsidP="002B1283">
      <w:pPr>
        <w:rPr>
          <w:rStyle w:val="Hyperlink"/>
          <w:rFonts w:ascii="Arial Black" w:hAnsi="Arial Black"/>
          <w:b/>
          <w:color w:val="auto"/>
          <w:sz w:val="24"/>
          <w:szCs w:val="24"/>
          <w:u w:val="none"/>
        </w:rPr>
      </w:pPr>
    </w:p>
    <w:p w14:paraId="6D130E4F" w14:textId="77777777" w:rsidR="00C630E7" w:rsidRDefault="00C630E7" w:rsidP="002B1283">
      <w:pPr>
        <w:rPr>
          <w:rStyle w:val="Hyperlink"/>
          <w:rFonts w:ascii="Arial Black" w:hAnsi="Arial Black"/>
          <w:b/>
          <w:color w:val="auto"/>
          <w:sz w:val="24"/>
          <w:szCs w:val="24"/>
          <w:u w:val="none"/>
        </w:rPr>
      </w:pPr>
    </w:p>
    <w:p w14:paraId="15C2CB92" w14:textId="487935D5" w:rsidR="005F0E6D" w:rsidRDefault="005F0E6D" w:rsidP="002B1283">
      <w:pPr>
        <w:rPr>
          <w:rStyle w:val="Hyperlink"/>
          <w:rFonts w:ascii="Arial Black" w:hAnsi="Arial Black"/>
          <w:b/>
          <w:color w:val="auto"/>
          <w:sz w:val="24"/>
          <w:szCs w:val="24"/>
          <w:u w:val="none"/>
        </w:rPr>
      </w:pPr>
      <w:r>
        <w:rPr>
          <w:rStyle w:val="Hyperlink"/>
          <w:rFonts w:ascii="Arial Black" w:hAnsi="Arial Black"/>
          <w:b/>
          <w:color w:val="auto"/>
          <w:sz w:val="24"/>
          <w:szCs w:val="24"/>
          <w:u w:val="none"/>
        </w:rPr>
        <w:t>4-8</w:t>
      </w:r>
    </w:p>
    <w:p w14:paraId="6C63B4BC" w14:textId="77777777" w:rsidR="005F0E6D" w:rsidRPr="003567B0" w:rsidRDefault="005F0E6D" w:rsidP="005F0E6D">
      <w:pPr>
        <w:pStyle w:val="NoSpacing"/>
        <w:rPr>
          <w:rFonts w:ascii="Arial Black" w:hAnsi="Arial Black"/>
          <w:b/>
          <w:bCs/>
          <w:sz w:val="28"/>
          <w:szCs w:val="28"/>
        </w:rPr>
      </w:pPr>
      <w:r w:rsidRPr="003567B0">
        <w:rPr>
          <w:rFonts w:ascii="Arial Black" w:hAnsi="Arial Black"/>
          <w:bCs/>
          <w:sz w:val="28"/>
          <w:szCs w:val="28"/>
        </w:rPr>
        <w:t>MD:</w:t>
      </w:r>
      <w:r>
        <w:rPr>
          <w:rFonts w:ascii="Arial Black" w:hAnsi="Arial Black"/>
          <w:bCs/>
          <w:sz w:val="28"/>
          <w:szCs w:val="28"/>
        </w:rPr>
        <w:t xml:space="preserve"> FREELANCING – OFF DUTY VOL. FF - STRUCTURE FIRE – FIRED – CAN’T APPEAL TO COUNTY PERSONNEL BOARD</w:t>
      </w:r>
    </w:p>
    <w:p w14:paraId="4819869C" w14:textId="77777777" w:rsidR="005F0E6D" w:rsidRDefault="005F0E6D" w:rsidP="005F0E6D">
      <w:pPr>
        <w:pStyle w:val="NoSpacing"/>
        <w:rPr>
          <w:rFonts w:ascii="Arial Black" w:hAnsi="Arial Black"/>
          <w:b/>
          <w:bCs/>
          <w:sz w:val="28"/>
          <w:szCs w:val="28"/>
        </w:rPr>
      </w:pPr>
    </w:p>
    <w:p w14:paraId="164DE152" w14:textId="77777777" w:rsidR="005F0E6D" w:rsidRPr="000A5D76" w:rsidRDefault="005F0E6D" w:rsidP="005F0E6D">
      <w:pPr>
        <w:pStyle w:val="NoSpacing"/>
        <w:rPr>
          <w:rFonts w:ascii="Times New Roman" w:hAnsi="Times New Roman"/>
          <w:b/>
          <w:bCs/>
          <w:sz w:val="24"/>
          <w:szCs w:val="24"/>
        </w:rPr>
      </w:pPr>
      <w:r w:rsidRPr="000A5D76">
        <w:rPr>
          <w:rFonts w:ascii="Times New Roman" w:hAnsi="Times New Roman"/>
          <w:bCs/>
          <w:sz w:val="24"/>
          <w:szCs w:val="24"/>
        </w:rPr>
        <w:t xml:space="preserve">On </w:t>
      </w:r>
      <w:bookmarkStart w:id="180" w:name="_Hlk39825854"/>
      <w:r w:rsidRPr="000A5D76">
        <w:rPr>
          <w:rFonts w:ascii="Times New Roman" w:hAnsi="Times New Roman"/>
          <w:bCs/>
          <w:sz w:val="24"/>
          <w:szCs w:val="24"/>
        </w:rPr>
        <w:t xml:space="preserve">April 9, 2020, in </w:t>
      </w:r>
      <w:r w:rsidRPr="000A5D76">
        <w:rPr>
          <w:rFonts w:ascii="Times New Roman" w:hAnsi="Times New Roman"/>
          <w:bCs/>
          <w:sz w:val="24"/>
          <w:szCs w:val="24"/>
          <w:u w:val="single"/>
        </w:rPr>
        <w:t xml:space="preserve">Ricardo Hinson v. Personnel Board </w:t>
      </w:r>
      <w:proofErr w:type="gramStart"/>
      <w:r w:rsidRPr="000A5D76">
        <w:rPr>
          <w:rFonts w:ascii="Times New Roman" w:hAnsi="Times New Roman"/>
          <w:bCs/>
          <w:sz w:val="24"/>
          <w:szCs w:val="24"/>
          <w:u w:val="single"/>
        </w:rPr>
        <w:t>Of</w:t>
      </w:r>
      <w:proofErr w:type="gramEnd"/>
      <w:r w:rsidRPr="000A5D76">
        <w:rPr>
          <w:rFonts w:ascii="Times New Roman" w:hAnsi="Times New Roman"/>
          <w:bCs/>
          <w:sz w:val="24"/>
          <w:szCs w:val="24"/>
          <w:u w:val="single"/>
        </w:rPr>
        <w:t xml:space="preserve"> Prince George’s County</w:t>
      </w:r>
      <w:bookmarkEnd w:id="180"/>
      <w:r w:rsidRPr="000A5D76">
        <w:rPr>
          <w:rFonts w:ascii="Times New Roman" w:hAnsi="Times New Roman"/>
          <w:bCs/>
          <w:sz w:val="24"/>
          <w:szCs w:val="24"/>
        </w:rPr>
        <w:t xml:space="preserve">,  the Court of Special Appeals of Maryland, held (3 to 0) in an unpublished opinion that the trial court properly dismissed the volunteer firefighter’s case; volunteers serve at will of FD, </w:t>
      </w:r>
      <w:proofErr w:type="gramStart"/>
      <w:r w:rsidRPr="000A5D76">
        <w:rPr>
          <w:rFonts w:ascii="Times New Roman" w:hAnsi="Times New Roman"/>
          <w:bCs/>
          <w:sz w:val="24"/>
          <w:szCs w:val="24"/>
        </w:rPr>
        <w:t>no right to</w:t>
      </w:r>
      <w:proofErr w:type="gramEnd"/>
      <w:r w:rsidRPr="000A5D76">
        <w:rPr>
          <w:rFonts w:ascii="Times New Roman" w:hAnsi="Times New Roman"/>
          <w:bCs/>
          <w:sz w:val="24"/>
          <w:szCs w:val="24"/>
        </w:rPr>
        <w:t xml:space="preserve"> hearing before County Personnel Board.   </w:t>
      </w:r>
    </w:p>
    <w:p w14:paraId="44C9C7AD" w14:textId="77777777" w:rsidR="005F0E6D" w:rsidRPr="000A5D76" w:rsidRDefault="005F0E6D" w:rsidP="005F0E6D">
      <w:pPr>
        <w:pStyle w:val="NoSpacing"/>
        <w:rPr>
          <w:rFonts w:ascii="Times New Roman" w:hAnsi="Times New Roman"/>
          <w:b/>
          <w:bCs/>
          <w:sz w:val="24"/>
          <w:szCs w:val="24"/>
        </w:rPr>
      </w:pPr>
    </w:p>
    <w:p w14:paraId="0BFE1D3B" w14:textId="77777777" w:rsidR="005F0E6D" w:rsidRPr="000A5D76" w:rsidRDefault="005F0E6D" w:rsidP="005F0E6D">
      <w:pPr>
        <w:pStyle w:val="NoSpacing"/>
        <w:ind w:left="720"/>
        <w:rPr>
          <w:rFonts w:ascii="Times New Roman" w:hAnsi="Times New Roman"/>
          <w:b/>
          <w:bCs/>
          <w:sz w:val="24"/>
          <w:szCs w:val="24"/>
        </w:rPr>
      </w:pPr>
      <w:r w:rsidRPr="000A5D76">
        <w:rPr>
          <w:rFonts w:ascii="Times New Roman" w:hAnsi="Times New Roman"/>
          <w:bCs/>
          <w:sz w:val="24"/>
          <w:szCs w:val="24"/>
        </w:rPr>
        <w:t xml:space="preserve">“The dispositive question in this case is whether the County Code has granted volunteer firefighters the right to appeal disciplinary actions to the Personnel Board. We agree with the County and the Personnel Board that Hinson, as a volunteer firefighter, was not a </w:t>
      </w:r>
      <w:proofErr w:type="gramStart"/>
      <w:r w:rsidRPr="000A5D76">
        <w:rPr>
          <w:rFonts w:ascii="Times New Roman" w:hAnsi="Times New Roman"/>
          <w:bCs/>
          <w:sz w:val="24"/>
          <w:szCs w:val="24"/>
        </w:rPr>
        <w:t>County</w:t>
      </w:r>
      <w:proofErr w:type="gramEnd"/>
      <w:r w:rsidRPr="000A5D76">
        <w:rPr>
          <w:rFonts w:ascii="Times New Roman" w:hAnsi="Times New Roman"/>
          <w:bCs/>
          <w:sz w:val="24"/>
          <w:szCs w:val="24"/>
        </w:rPr>
        <w:t xml:space="preserve"> employee who had the right to appeal a personnel decision to the Personnel Board. Consequently, the Personnel Board did not commit legal error in dismissing Hinson’s appeal.”</w:t>
      </w:r>
    </w:p>
    <w:bookmarkStart w:id="181" w:name="_Hlk39825871"/>
    <w:p w14:paraId="2EB40AB2" w14:textId="77777777" w:rsidR="005F0E6D" w:rsidRPr="000A5D76" w:rsidRDefault="00F2621E" w:rsidP="005F0E6D">
      <w:pPr>
        <w:pStyle w:val="NoSpacing"/>
        <w:ind w:left="720"/>
        <w:rPr>
          <w:rFonts w:ascii="Times New Roman" w:hAnsi="Times New Roman"/>
          <w:b/>
          <w:bCs/>
          <w:sz w:val="24"/>
          <w:szCs w:val="24"/>
        </w:rPr>
      </w:pPr>
      <w:r>
        <w:fldChar w:fldCharType="begin"/>
      </w:r>
      <w:r>
        <w:instrText xml:space="preserve"> HYPERLINK "https://www.courts.state.md.us/sites/default/files/unreported-opinions/1702s17.pdf" </w:instrText>
      </w:r>
      <w:r>
        <w:fldChar w:fldCharType="separate"/>
      </w:r>
      <w:r w:rsidR="005F0E6D" w:rsidRPr="000A5D76">
        <w:rPr>
          <w:rStyle w:val="Hyperlink"/>
          <w:rFonts w:ascii="Times New Roman" w:hAnsi="Times New Roman"/>
          <w:b/>
          <w:sz w:val="24"/>
          <w:szCs w:val="24"/>
        </w:rPr>
        <w:t>https://www.courts.state.md.us/sites/default/files/unreported-opinions/1702s17.pdf</w:t>
      </w:r>
      <w:r>
        <w:rPr>
          <w:rStyle w:val="Hyperlink"/>
          <w:rFonts w:ascii="Times New Roman" w:hAnsi="Times New Roman"/>
          <w:b/>
          <w:sz w:val="24"/>
          <w:szCs w:val="24"/>
        </w:rPr>
        <w:fldChar w:fldCharType="end"/>
      </w:r>
      <w:r w:rsidR="005F0E6D" w:rsidRPr="000A5D76">
        <w:rPr>
          <w:rFonts w:ascii="Times New Roman" w:hAnsi="Times New Roman"/>
          <w:bCs/>
          <w:sz w:val="24"/>
          <w:szCs w:val="24"/>
        </w:rPr>
        <w:t xml:space="preserve"> </w:t>
      </w:r>
    </w:p>
    <w:bookmarkEnd w:id="181"/>
    <w:p w14:paraId="2C7678E7" w14:textId="77777777" w:rsidR="005F0E6D" w:rsidRDefault="005F0E6D" w:rsidP="005F0E6D">
      <w:pPr>
        <w:pStyle w:val="NoSpacing"/>
        <w:rPr>
          <w:rFonts w:ascii="Times New Roman" w:hAnsi="Times New Roman"/>
          <w:b/>
          <w:bCs/>
          <w:sz w:val="24"/>
          <w:szCs w:val="24"/>
        </w:rPr>
      </w:pPr>
    </w:p>
    <w:p w14:paraId="40ED5A38" w14:textId="75D2A0F9" w:rsidR="005F0E6D" w:rsidRPr="000A5D76" w:rsidRDefault="005F0E6D" w:rsidP="005F0E6D">
      <w:pPr>
        <w:pStyle w:val="NoSpacing"/>
        <w:rPr>
          <w:rFonts w:ascii="Times New Roman" w:hAnsi="Times New Roman"/>
          <w:b/>
          <w:bCs/>
          <w:sz w:val="24"/>
          <w:szCs w:val="24"/>
        </w:rPr>
      </w:pPr>
      <w:bookmarkStart w:id="182" w:name="_Hlk40509659"/>
      <w:r w:rsidRPr="000A5D76">
        <w:rPr>
          <w:rFonts w:ascii="Times New Roman" w:hAnsi="Times New Roman"/>
          <w:b/>
          <w:bCs/>
          <w:sz w:val="24"/>
          <w:szCs w:val="24"/>
        </w:rPr>
        <w:t xml:space="preserve">Legal Lessons Learned: Volunteer firefighters serve “at will” in most states, with no right to appeal to a </w:t>
      </w:r>
      <w:proofErr w:type="gramStart"/>
      <w:r w:rsidRPr="000A5D76">
        <w:rPr>
          <w:rFonts w:ascii="Times New Roman" w:hAnsi="Times New Roman"/>
          <w:b/>
          <w:bCs/>
          <w:sz w:val="24"/>
          <w:szCs w:val="24"/>
        </w:rPr>
        <w:t>County</w:t>
      </w:r>
      <w:proofErr w:type="gramEnd"/>
      <w:r w:rsidRPr="000A5D76">
        <w:rPr>
          <w:rFonts w:ascii="Times New Roman" w:hAnsi="Times New Roman"/>
          <w:b/>
          <w:bCs/>
          <w:sz w:val="24"/>
          <w:szCs w:val="24"/>
        </w:rPr>
        <w:t xml:space="preserve"> review board.   “Freelancing” can have deadly results.</w:t>
      </w:r>
    </w:p>
    <w:bookmarkEnd w:id="182"/>
    <w:p w14:paraId="6CAAF700" w14:textId="77777777" w:rsidR="005F0E6D" w:rsidRDefault="005F0E6D" w:rsidP="005F0E6D">
      <w:pPr>
        <w:pStyle w:val="NoSpacing"/>
        <w:rPr>
          <w:b/>
          <w:bCs/>
          <w:sz w:val="24"/>
          <w:szCs w:val="24"/>
        </w:rPr>
      </w:pPr>
    </w:p>
    <w:p w14:paraId="4FB3D489" w14:textId="77777777" w:rsidR="005F0E6D" w:rsidRDefault="005F0E6D" w:rsidP="002B1283">
      <w:pPr>
        <w:rPr>
          <w:rStyle w:val="Hyperlink"/>
          <w:rFonts w:ascii="Arial Black" w:hAnsi="Arial Black"/>
          <w:b/>
          <w:color w:val="auto"/>
          <w:sz w:val="24"/>
          <w:szCs w:val="24"/>
          <w:u w:val="none"/>
        </w:rPr>
      </w:pPr>
    </w:p>
    <w:p w14:paraId="764A4029" w14:textId="77777777" w:rsidR="005F0E6D" w:rsidRDefault="005F0E6D" w:rsidP="002B1283">
      <w:pPr>
        <w:rPr>
          <w:rStyle w:val="Hyperlink"/>
          <w:rFonts w:ascii="Arial Black" w:hAnsi="Arial Black"/>
          <w:b/>
          <w:color w:val="auto"/>
          <w:sz w:val="24"/>
          <w:szCs w:val="24"/>
          <w:u w:val="none"/>
        </w:rPr>
      </w:pPr>
    </w:p>
    <w:p w14:paraId="3A378005" w14:textId="77777777" w:rsidR="005F0E6D" w:rsidRDefault="005F0E6D" w:rsidP="002B1283">
      <w:pPr>
        <w:rPr>
          <w:rStyle w:val="Hyperlink"/>
          <w:rFonts w:ascii="Arial Black" w:hAnsi="Arial Black"/>
          <w:b/>
          <w:color w:val="auto"/>
          <w:sz w:val="24"/>
          <w:szCs w:val="24"/>
          <w:u w:val="none"/>
        </w:rPr>
      </w:pPr>
    </w:p>
    <w:p w14:paraId="00F2972F" w14:textId="198C6626" w:rsidR="005F0E6D" w:rsidRDefault="005F0E6D" w:rsidP="002B1283">
      <w:pPr>
        <w:rPr>
          <w:rStyle w:val="Hyperlink"/>
          <w:rFonts w:ascii="Arial Black" w:hAnsi="Arial Black"/>
          <w:b/>
          <w:color w:val="auto"/>
          <w:sz w:val="24"/>
          <w:szCs w:val="24"/>
          <w:u w:val="none"/>
        </w:rPr>
      </w:pPr>
      <w:r>
        <w:rPr>
          <w:rStyle w:val="Hyperlink"/>
          <w:rFonts w:ascii="Arial Black" w:hAnsi="Arial Black"/>
          <w:b/>
          <w:color w:val="auto"/>
          <w:sz w:val="24"/>
          <w:szCs w:val="24"/>
          <w:u w:val="none"/>
        </w:rPr>
        <w:t>4-7</w:t>
      </w:r>
    </w:p>
    <w:p w14:paraId="5655538D" w14:textId="77777777" w:rsidR="005F0E6D" w:rsidRPr="00A83387" w:rsidRDefault="005F0E6D" w:rsidP="005F0E6D">
      <w:pPr>
        <w:pStyle w:val="NoSpacing"/>
        <w:rPr>
          <w:rFonts w:ascii="Arial Black" w:hAnsi="Arial Black"/>
          <w:sz w:val="28"/>
          <w:szCs w:val="28"/>
        </w:rPr>
      </w:pPr>
      <w:r w:rsidRPr="00A83387">
        <w:rPr>
          <w:rFonts w:ascii="Arial Black" w:hAnsi="Arial Black"/>
          <w:sz w:val="28"/>
          <w:szCs w:val="28"/>
        </w:rPr>
        <w:t xml:space="preserve">NY: </w:t>
      </w:r>
      <w:r>
        <w:rPr>
          <w:rFonts w:ascii="Arial Black" w:hAnsi="Arial Black"/>
          <w:sz w:val="28"/>
          <w:szCs w:val="28"/>
        </w:rPr>
        <w:t>MASSIVE GAS LEAK – FDNY NOT EVACUATE HOUSES - BASEMENT LIGHT SWITCH, EXPLOSION – GOV. IMMUNITY</w:t>
      </w:r>
    </w:p>
    <w:p w14:paraId="22732C1B" w14:textId="77777777" w:rsidR="005F0E6D" w:rsidRDefault="005F0E6D" w:rsidP="005F0E6D">
      <w:pPr>
        <w:pStyle w:val="NoSpacing"/>
        <w:rPr>
          <w:b/>
          <w:bCs/>
          <w:sz w:val="24"/>
          <w:szCs w:val="24"/>
        </w:rPr>
      </w:pPr>
    </w:p>
    <w:p w14:paraId="552B88C9" w14:textId="187F6F44" w:rsidR="005F0E6D" w:rsidRDefault="005F0E6D" w:rsidP="005F0E6D">
      <w:pPr>
        <w:pStyle w:val="NoSpacing"/>
        <w:rPr>
          <w:rFonts w:ascii="Times New Roman" w:hAnsi="Times New Roman"/>
          <w:bCs/>
          <w:sz w:val="24"/>
          <w:szCs w:val="24"/>
        </w:rPr>
      </w:pPr>
      <w:r w:rsidRPr="000A5D76">
        <w:rPr>
          <w:rFonts w:ascii="Times New Roman" w:hAnsi="Times New Roman"/>
          <w:bCs/>
          <w:sz w:val="24"/>
          <w:szCs w:val="24"/>
        </w:rPr>
        <w:t xml:space="preserve">On Feb. 11, 2020, in </w:t>
      </w:r>
      <w:r w:rsidRPr="000A5D76">
        <w:rPr>
          <w:rFonts w:ascii="Times New Roman" w:hAnsi="Times New Roman"/>
          <w:bCs/>
          <w:sz w:val="24"/>
          <w:szCs w:val="24"/>
          <w:u w:val="single"/>
        </w:rPr>
        <w:t>State Farm Fire &amp; Casualty Insurance Company, a/s/o Charles Caccse v.  The Brooklyn Union Gas Company, d/b/a National Grid New York</w:t>
      </w:r>
      <w:r w:rsidRPr="000A5D76">
        <w:rPr>
          <w:rFonts w:ascii="Times New Roman" w:hAnsi="Times New Roman"/>
          <w:bCs/>
          <w:sz w:val="24"/>
          <w:szCs w:val="24"/>
        </w:rPr>
        <w:t xml:space="preserve">, and second lawsuit of </w:t>
      </w:r>
      <w:r w:rsidRPr="000A5D76">
        <w:rPr>
          <w:rFonts w:ascii="Times New Roman" w:hAnsi="Times New Roman"/>
          <w:bCs/>
          <w:sz w:val="24"/>
          <w:szCs w:val="24"/>
          <w:u w:val="single"/>
        </w:rPr>
        <w:t>State Farm v. The City of New York and FDNY</w:t>
      </w:r>
      <w:r w:rsidRPr="000A5D76">
        <w:rPr>
          <w:rFonts w:ascii="Times New Roman" w:hAnsi="Times New Roman"/>
          <w:bCs/>
          <w:sz w:val="24"/>
          <w:szCs w:val="24"/>
        </w:rPr>
        <w:t xml:space="preserve">, </w:t>
      </w:r>
      <w:r w:rsidRPr="000A5D76">
        <w:rPr>
          <w:rFonts w:ascii="Times New Roman" w:eastAsia="Times New Roman" w:hAnsi="Times New Roman"/>
          <w:bCs/>
          <w:sz w:val="24"/>
          <w:szCs w:val="24"/>
        </w:rPr>
        <w:t xml:space="preserve">2020 NY Slip Op 30876(U), </w:t>
      </w:r>
      <w:r w:rsidRPr="000A5D76">
        <w:rPr>
          <w:rFonts w:ascii="Times New Roman" w:hAnsi="Times New Roman"/>
          <w:bCs/>
          <w:sz w:val="24"/>
          <w:szCs w:val="24"/>
        </w:rPr>
        <w:t xml:space="preserve">Judge Tomas P. Aliotta, Supreme Court of New York (County of Richmond), </w:t>
      </w:r>
    </w:p>
    <w:p w14:paraId="022B6116" w14:textId="77777777" w:rsidR="005F0E6D" w:rsidRPr="000A5D76" w:rsidRDefault="005F0E6D" w:rsidP="005F0E6D">
      <w:pPr>
        <w:pStyle w:val="NoSpacing"/>
        <w:rPr>
          <w:rFonts w:ascii="Times New Roman" w:hAnsi="Times New Roman"/>
          <w:b/>
          <w:bCs/>
          <w:sz w:val="24"/>
          <w:szCs w:val="24"/>
        </w:rPr>
      </w:pPr>
      <w:r w:rsidRPr="000A5D76">
        <w:rPr>
          <w:rFonts w:ascii="Times New Roman" w:hAnsi="Times New Roman"/>
          <w:bCs/>
          <w:sz w:val="24"/>
          <w:szCs w:val="24"/>
        </w:rPr>
        <w:t xml:space="preserve">granted the City &amp; FD’s motion to dismiss, since FDNY was performing governmental function involving discretionary judgments, and owed no “special duty” to the injured homeowner.  The lawsuit against the gas company for defective gas mains may proceed. </w:t>
      </w:r>
    </w:p>
    <w:p w14:paraId="55384934" w14:textId="77777777" w:rsidR="005F0E6D" w:rsidRPr="000A5D76" w:rsidRDefault="005F0E6D" w:rsidP="005F0E6D">
      <w:pPr>
        <w:pStyle w:val="NoSpacing"/>
        <w:rPr>
          <w:rFonts w:ascii="Times New Roman" w:hAnsi="Times New Roman"/>
          <w:b/>
          <w:bCs/>
          <w:sz w:val="24"/>
          <w:szCs w:val="24"/>
        </w:rPr>
      </w:pPr>
    </w:p>
    <w:p w14:paraId="6B5D4348" w14:textId="77777777" w:rsidR="005F0E6D" w:rsidRPr="000A5D76" w:rsidRDefault="005F0E6D" w:rsidP="005F0E6D">
      <w:pPr>
        <w:pStyle w:val="NoSpacing"/>
        <w:ind w:left="720"/>
        <w:rPr>
          <w:rFonts w:ascii="Times New Roman" w:hAnsi="Times New Roman"/>
          <w:b/>
          <w:bCs/>
          <w:sz w:val="24"/>
          <w:szCs w:val="24"/>
        </w:rPr>
      </w:pPr>
      <w:r w:rsidRPr="000A5D76">
        <w:rPr>
          <w:rFonts w:ascii="Times New Roman" w:hAnsi="Times New Roman"/>
          <w:bCs/>
          <w:sz w:val="24"/>
          <w:szCs w:val="24"/>
        </w:rPr>
        <w:t xml:space="preserve">“[I]n the opinion of this Court, the City and the FDNY have met their prima facie burden of establishing their right to judgment as a matter of law by submitting satisfactory proof regarding their claim of governmental function immunity and that no special duty existed between them and the plaintiffs. In opposition, plaintiffs have failed to rebut that showing and raise a triable issue of fact (see Zuckerman v. City of New York, 49 NY2d 557 [1980]).  ‘When a negligence claim is asserted against a municipality, the first issue for a court to decide is whether the municipal entity was engaged in a proprietary function </w:t>
      </w:r>
      <w:r w:rsidRPr="000A5D76">
        <w:rPr>
          <w:rFonts w:ascii="Times New Roman" w:hAnsi="Times New Roman"/>
          <w:bCs/>
          <w:sz w:val="24"/>
          <w:szCs w:val="24"/>
        </w:rPr>
        <w:lastRenderedPageBreak/>
        <w:t xml:space="preserve">or acted in a governmental capacity at the time the claim arose’ (Applewhite v. </w:t>
      </w:r>
      <w:proofErr w:type="spellStart"/>
      <w:r w:rsidRPr="000A5D76">
        <w:rPr>
          <w:rFonts w:ascii="Times New Roman" w:hAnsi="Times New Roman"/>
          <w:bCs/>
          <w:sz w:val="24"/>
          <w:szCs w:val="24"/>
        </w:rPr>
        <w:t>Accuhealth</w:t>
      </w:r>
      <w:proofErr w:type="spellEnd"/>
      <w:r w:rsidRPr="000A5D76">
        <w:rPr>
          <w:rFonts w:ascii="Times New Roman" w:hAnsi="Times New Roman"/>
          <w:bCs/>
          <w:sz w:val="24"/>
          <w:szCs w:val="24"/>
        </w:rPr>
        <w:t xml:space="preserve">, Inc., 21 NY3d 420, 425 [2013]). If a municipality was acting in a governmental capacity, then the plaintiff must prove the existence of a special duty (see Applewhite, 21 AD3d at 426). Since police and fire protection are examples of long-recognized, quintessential governmental functions’ (Matter of World Trade Ctr Bombing Litig., 17 NY3d 428 [2011]), plaintiff must plead and prove the existence of a special duty beyond the obligation owed to the public at large (see Valdez v. City of New York, 18 NY3d 69 [2011]). </w:t>
      </w:r>
      <w:hyperlink r:id="rId933" w:history="1">
        <w:r w:rsidRPr="000A5D76">
          <w:rPr>
            <w:rStyle w:val="Hyperlink"/>
            <w:rFonts w:ascii="Times New Roman" w:hAnsi="Times New Roman"/>
            <w:b/>
            <w:sz w:val="24"/>
            <w:szCs w:val="24"/>
          </w:rPr>
          <w:t>https://public.fastcase.com/Wl%2B2t%2BeVuI35%2FN70vAMFZn8FExk2ons8UFiGzSPZ6Ig%2B2pF54RtCKp9IHiewQM23</w:t>
        </w:r>
      </w:hyperlink>
      <w:r w:rsidRPr="000A5D76">
        <w:rPr>
          <w:rFonts w:ascii="Times New Roman" w:hAnsi="Times New Roman"/>
          <w:bCs/>
          <w:sz w:val="24"/>
          <w:szCs w:val="24"/>
        </w:rPr>
        <w:t xml:space="preserve"> </w:t>
      </w:r>
    </w:p>
    <w:p w14:paraId="05606019" w14:textId="77777777" w:rsidR="005F0E6D" w:rsidRPr="000A5D76" w:rsidRDefault="005F0E6D" w:rsidP="005F0E6D">
      <w:pPr>
        <w:spacing w:before="100" w:beforeAutospacing="1" w:after="100" w:afterAutospacing="1" w:line="240" w:lineRule="auto"/>
        <w:rPr>
          <w:rFonts w:ascii="Times New Roman" w:eastAsia="Times New Roman" w:hAnsi="Times New Roman"/>
          <w:b/>
          <w:bCs/>
          <w:sz w:val="24"/>
          <w:szCs w:val="24"/>
        </w:rPr>
      </w:pPr>
      <w:r w:rsidRPr="000A5D76">
        <w:rPr>
          <w:rFonts w:ascii="Times New Roman" w:hAnsi="Times New Roman"/>
          <w:b/>
          <w:bCs/>
          <w:sz w:val="24"/>
          <w:szCs w:val="24"/>
        </w:rPr>
        <w:t>Legal Lessons Learned:</w:t>
      </w:r>
      <w:r w:rsidRPr="000A5D76">
        <w:rPr>
          <w:rFonts w:ascii="Times New Roman" w:eastAsia="Times New Roman" w:hAnsi="Times New Roman"/>
          <w:b/>
          <w:bCs/>
          <w:sz w:val="24"/>
          <w:szCs w:val="24"/>
        </w:rPr>
        <w:t xml:space="preserve"> Governmental immunity for discretionary decisions at an emergency scene is a very important legal doctrine. </w:t>
      </w:r>
    </w:p>
    <w:p w14:paraId="03D7B5A6" w14:textId="77777777" w:rsidR="005F0E6D" w:rsidRDefault="005F0E6D" w:rsidP="002B1283">
      <w:pPr>
        <w:rPr>
          <w:rStyle w:val="Hyperlink"/>
          <w:rFonts w:ascii="Arial Black" w:hAnsi="Arial Black"/>
          <w:b/>
          <w:color w:val="auto"/>
          <w:sz w:val="24"/>
          <w:szCs w:val="24"/>
          <w:u w:val="none"/>
        </w:rPr>
      </w:pPr>
    </w:p>
    <w:p w14:paraId="601F4BC6" w14:textId="77777777" w:rsidR="005F0E6D" w:rsidRDefault="005F0E6D" w:rsidP="002B1283">
      <w:pPr>
        <w:rPr>
          <w:rStyle w:val="Hyperlink"/>
          <w:rFonts w:ascii="Arial Black" w:hAnsi="Arial Black"/>
          <w:b/>
          <w:color w:val="auto"/>
          <w:sz w:val="24"/>
          <w:szCs w:val="24"/>
          <w:u w:val="none"/>
        </w:rPr>
      </w:pPr>
    </w:p>
    <w:p w14:paraId="3E912560" w14:textId="759E974D" w:rsidR="007C6FEF" w:rsidRDefault="007C6FEF" w:rsidP="002B1283">
      <w:pPr>
        <w:rPr>
          <w:rStyle w:val="Hyperlink"/>
          <w:rFonts w:ascii="Arial Black" w:hAnsi="Arial Black"/>
          <w:b/>
          <w:color w:val="auto"/>
          <w:sz w:val="24"/>
          <w:szCs w:val="24"/>
          <w:u w:val="none"/>
        </w:rPr>
      </w:pPr>
      <w:r>
        <w:rPr>
          <w:rStyle w:val="Hyperlink"/>
          <w:rFonts w:ascii="Arial Black" w:hAnsi="Arial Black"/>
          <w:b/>
          <w:color w:val="auto"/>
          <w:sz w:val="24"/>
          <w:szCs w:val="24"/>
          <w:u w:val="none"/>
        </w:rPr>
        <w:t>4-6</w:t>
      </w:r>
    </w:p>
    <w:p w14:paraId="2E311A82" w14:textId="77777777" w:rsidR="007C6FEF" w:rsidRDefault="007C6FEF" w:rsidP="007C6FEF">
      <w:pPr>
        <w:rPr>
          <w:rFonts w:ascii="Arial Black" w:hAnsi="Arial Black"/>
          <w:sz w:val="28"/>
          <w:szCs w:val="28"/>
        </w:rPr>
      </w:pPr>
      <w:r>
        <w:rPr>
          <w:rFonts w:ascii="Arial Black" w:hAnsi="Arial Black"/>
          <w:sz w:val="28"/>
          <w:szCs w:val="28"/>
        </w:rPr>
        <w:t>TN: GREAT SMOKEY MOUNTAIN FIRE – GATLINBURG NOT WARNED - KILLED 14 – LAWSUIT MAY PROCEED</w:t>
      </w:r>
    </w:p>
    <w:p w14:paraId="2CD2C2A5" w14:textId="77777777" w:rsidR="007C6FEF" w:rsidRDefault="007C6FEF" w:rsidP="007C6FEF">
      <w:pPr>
        <w:pStyle w:val="NoSpacing"/>
        <w:rPr>
          <w:rFonts w:ascii="Times New Roman" w:hAnsi="Times New Roman"/>
          <w:sz w:val="24"/>
          <w:szCs w:val="24"/>
        </w:rPr>
      </w:pPr>
      <w:r>
        <w:rPr>
          <w:rFonts w:ascii="Times New Roman" w:hAnsi="Times New Roman"/>
          <w:sz w:val="24"/>
          <w:szCs w:val="24"/>
        </w:rPr>
        <w:t xml:space="preserve">On </w:t>
      </w:r>
      <w:bookmarkStart w:id="183" w:name="_Hlk39824082"/>
      <w:r>
        <w:rPr>
          <w:rFonts w:ascii="Times New Roman" w:hAnsi="Times New Roman"/>
          <w:sz w:val="24"/>
          <w:szCs w:val="24"/>
        </w:rPr>
        <w:t xml:space="preserve">Dec. 9, 2019, in </w:t>
      </w:r>
      <w:r w:rsidRPr="00FA33D8">
        <w:rPr>
          <w:rFonts w:ascii="Times New Roman" w:hAnsi="Times New Roman"/>
          <w:sz w:val="24"/>
          <w:szCs w:val="24"/>
          <w:u w:val="single"/>
        </w:rPr>
        <w:t>Michael Reed v. United States</w:t>
      </w:r>
      <w:r>
        <w:rPr>
          <w:rFonts w:ascii="Times New Roman" w:hAnsi="Times New Roman"/>
          <w:sz w:val="24"/>
          <w:szCs w:val="24"/>
        </w:rPr>
        <w:t xml:space="preserve">, </w:t>
      </w:r>
      <w:bookmarkEnd w:id="183"/>
      <w:r>
        <w:rPr>
          <w:rFonts w:ascii="Times New Roman" w:hAnsi="Times New Roman"/>
          <w:sz w:val="24"/>
          <w:szCs w:val="24"/>
        </w:rPr>
        <w:t xml:space="preserve">Senior U.S. District Court Judge Thomas W. Phillips, Eastern District of Tennessee (Knoxville Division), denied the U.S. Government’s motion to dismiss, since Federal Tort Claims Act allows lawsuit since the National Park Services’ “Fire Management Plan has mandatory mitigation actions to protect life and property (duty to warn).  </w:t>
      </w:r>
    </w:p>
    <w:p w14:paraId="2C82107B" w14:textId="77777777" w:rsidR="007C6FEF" w:rsidRDefault="007C6FEF" w:rsidP="007C6FEF">
      <w:pPr>
        <w:pStyle w:val="NoSpacing"/>
        <w:rPr>
          <w:rFonts w:ascii="Times New Roman" w:hAnsi="Times New Roman"/>
          <w:sz w:val="24"/>
          <w:szCs w:val="24"/>
        </w:rPr>
      </w:pPr>
    </w:p>
    <w:p w14:paraId="14BEFEAD" w14:textId="77777777" w:rsidR="007C6FEF" w:rsidRDefault="007C6FEF" w:rsidP="007C6FEF">
      <w:pPr>
        <w:pStyle w:val="NoSpacing"/>
        <w:ind w:left="720"/>
        <w:rPr>
          <w:rFonts w:ascii="Times New Roman" w:hAnsi="Times New Roman"/>
          <w:sz w:val="24"/>
          <w:szCs w:val="24"/>
        </w:rPr>
      </w:pPr>
      <w:r>
        <w:rPr>
          <w:rFonts w:ascii="Times New Roman" w:hAnsi="Times New Roman"/>
          <w:sz w:val="24"/>
          <w:szCs w:val="24"/>
        </w:rPr>
        <w:t>“</w:t>
      </w:r>
      <w:r w:rsidRPr="00FA33D8">
        <w:rPr>
          <w:rFonts w:ascii="Times New Roman" w:hAnsi="Times New Roman"/>
          <w:sz w:val="24"/>
          <w:szCs w:val="24"/>
        </w:rPr>
        <w:t xml:space="preserve">Section 3.3.2(C) of the FMP </w:t>
      </w:r>
      <w:r>
        <w:rPr>
          <w:rFonts w:ascii="Times New Roman" w:hAnsi="Times New Roman"/>
          <w:sz w:val="24"/>
          <w:szCs w:val="24"/>
        </w:rPr>
        <w:t xml:space="preserve">[Fire Management Plan] </w:t>
      </w:r>
      <w:r w:rsidRPr="00FA33D8">
        <w:rPr>
          <w:rFonts w:ascii="Times New Roman" w:hAnsi="Times New Roman"/>
          <w:sz w:val="24"/>
          <w:szCs w:val="24"/>
        </w:rPr>
        <w:t xml:space="preserve">states that </w:t>
      </w:r>
      <w:r>
        <w:rPr>
          <w:rFonts w:ascii="Times New Roman" w:hAnsi="Times New Roman"/>
          <w:sz w:val="24"/>
          <w:szCs w:val="24"/>
        </w:rPr>
        <w:t>‘</w:t>
      </w:r>
      <w:r w:rsidRPr="00FA33D8">
        <w:rPr>
          <w:rFonts w:ascii="Times New Roman" w:hAnsi="Times New Roman"/>
          <w:sz w:val="24"/>
          <w:szCs w:val="24"/>
        </w:rPr>
        <w:t>[f]</w:t>
      </w:r>
      <w:proofErr w:type="spellStart"/>
      <w:r w:rsidRPr="00FA33D8">
        <w:rPr>
          <w:rFonts w:ascii="Times New Roman" w:hAnsi="Times New Roman"/>
          <w:sz w:val="24"/>
          <w:szCs w:val="24"/>
        </w:rPr>
        <w:t>irefighter</w:t>
      </w:r>
      <w:proofErr w:type="spellEnd"/>
      <w:r w:rsidRPr="00FA33D8">
        <w:rPr>
          <w:rFonts w:ascii="Times New Roman" w:hAnsi="Times New Roman"/>
          <w:sz w:val="24"/>
          <w:szCs w:val="24"/>
        </w:rPr>
        <w:t xml:space="preserve"> and public safety is the first priority in all fire management activities[,]</w:t>
      </w:r>
      <w:r>
        <w:rPr>
          <w:rFonts w:ascii="Times New Roman" w:hAnsi="Times New Roman"/>
          <w:sz w:val="24"/>
          <w:szCs w:val="24"/>
        </w:rPr>
        <w:t>’</w:t>
      </w:r>
      <w:r w:rsidRPr="00FA33D8">
        <w:rPr>
          <w:rFonts w:ascii="Times New Roman" w:hAnsi="Times New Roman"/>
          <w:sz w:val="24"/>
          <w:szCs w:val="24"/>
        </w:rPr>
        <w:t xml:space="preserve"> and specifies that </w:t>
      </w:r>
      <w:r>
        <w:rPr>
          <w:rFonts w:ascii="Times New Roman" w:hAnsi="Times New Roman"/>
          <w:sz w:val="24"/>
          <w:szCs w:val="24"/>
        </w:rPr>
        <w:t>‘</w:t>
      </w:r>
      <w:r w:rsidRPr="00FA33D8">
        <w:rPr>
          <w:rFonts w:ascii="Times New Roman" w:hAnsi="Times New Roman"/>
          <w:sz w:val="24"/>
          <w:szCs w:val="24"/>
        </w:rPr>
        <w:t xml:space="preserve">Park neighbors, Park visitors and local residents </w:t>
      </w:r>
      <w:r w:rsidRPr="00FA33D8">
        <w:rPr>
          <w:rFonts w:ascii="Times New Roman" w:hAnsi="Times New Roman"/>
          <w:i/>
          <w:iCs/>
          <w:sz w:val="24"/>
          <w:szCs w:val="24"/>
        </w:rPr>
        <w:t>will be</w:t>
      </w:r>
      <w:r w:rsidRPr="00FA33D8">
        <w:rPr>
          <w:rFonts w:ascii="Times New Roman" w:hAnsi="Times New Roman"/>
          <w:sz w:val="24"/>
          <w:szCs w:val="24"/>
        </w:rPr>
        <w:t xml:space="preserve"> notified of </w:t>
      </w:r>
      <w:r w:rsidRPr="00FA33D8">
        <w:rPr>
          <w:rFonts w:ascii="Times New Roman" w:hAnsi="Times New Roman"/>
          <w:i/>
          <w:iCs/>
          <w:sz w:val="24"/>
          <w:szCs w:val="24"/>
        </w:rPr>
        <w:t>all</w:t>
      </w:r>
      <w:r w:rsidRPr="00FA33D8">
        <w:rPr>
          <w:rFonts w:ascii="Times New Roman" w:hAnsi="Times New Roman"/>
          <w:sz w:val="24"/>
          <w:szCs w:val="24"/>
        </w:rPr>
        <w:t xml:space="preserve"> planned and unplanned fire management activities that have the potential to impact them.</w:t>
      </w:r>
      <w:r>
        <w:rPr>
          <w:rFonts w:ascii="Times New Roman" w:hAnsi="Times New Roman"/>
          <w:sz w:val="24"/>
          <w:szCs w:val="24"/>
        </w:rPr>
        <w:t xml:space="preserve">’ </w:t>
      </w:r>
      <w:r w:rsidRPr="00FA33D8">
        <w:rPr>
          <w:rFonts w:ascii="Times New Roman" w:hAnsi="Times New Roman"/>
          <w:sz w:val="24"/>
          <w:szCs w:val="24"/>
        </w:rPr>
        <w:t>[</w:t>
      </w:r>
      <w:r w:rsidRPr="00FA33D8">
        <w:rPr>
          <w:rFonts w:ascii="Times New Roman" w:hAnsi="Times New Roman"/>
          <w:i/>
          <w:iCs/>
          <w:sz w:val="24"/>
          <w:szCs w:val="24"/>
        </w:rPr>
        <w:t>Id</w:t>
      </w:r>
      <w:r w:rsidRPr="00FA33D8">
        <w:rPr>
          <w:rFonts w:ascii="Times New Roman" w:hAnsi="Times New Roman"/>
          <w:sz w:val="24"/>
          <w:szCs w:val="24"/>
        </w:rPr>
        <w:t xml:space="preserve">. at 28 (emphasis added)]. Additionally, Section 4.4.2 of the FMP addresses the issue of public safety, and subsection (F) </w:t>
      </w:r>
      <w:r>
        <w:rPr>
          <w:rFonts w:ascii="Times New Roman" w:hAnsi="Times New Roman"/>
          <w:sz w:val="24"/>
          <w:szCs w:val="24"/>
        </w:rPr>
        <w:t>‘</w:t>
      </w:r>
      <w:r w:rsidRPr="00FA33D8">
        <w:rPr>
          <w:rFonts w:ascii="Times New Roman" w:hAnsi="Times New Roman"/>
          <w:sz w:val="24"/>
          <w:szCs w:val="24"/>
        </w:rPr>
        <w:t xml:space="preserve">outline[s] mitigation actions </w:t>
      </w:r>
      <w:r w:rsidRPr="00FA33D8">
        <w:rPr>
          <w:rFonts w:ascii="Times New Roman" w:hAnsi="Times New Roman"/>
          <w:i/>
          <w:iCs/>
          <w:sz w:val="24"/>
          <w:szCs w:val="24"/>
        </w:rPr>
        <w:t>required</w:t>
      </w:r>
      <w:r w:rsidRPr="00FA33D8">
        <w:rPr>
          <w:rFonts w:ascii="Times New Roman" w:hAnsi="Times New Roman"/>
          <w:sz w:val="24"/>
          <w:szCs w:val="24"/>
        </w:rPr>
        <w:t xml:space="preserve"> to protect values at risk and to ensure the safety of park staff and visitors as well as the neighboring public.</w:t>
      </w:r>
      <w:r>
        <w:rPr>
          <w:rFonts w:ascii="Times New Roman" w:hAnsi="Times New Roman"/>
          <w:sz w:val="24"/>
          <w:szCs w:val="24"/>
        </w:rPr>
        <w:t>’</w:t>
      </w:r>
      <w:r w:rsidRPr="00FA33D8">
        <w:rPr>
          <w:rFonts w:ascii="Times New Roman" w:hAnsi="Times New Roman"/>
          <w:sz w:val="24"/>
          <w:szCs w:val="24"/>
        </w:rPr>
        <w:t xml:space="preserve"> [</w:t>
      </w:r>
      <w:r w:rsidRPr="00FA33D8">
        <w:rPr>
          <w:rFonts w:ascii="Times New Roman" w:hAnsi="Times New Roman"/>
          <w:i/>
          <w:iCs/>
          <w:sz w:val="24"/>
          <w:szCs w:val="24"/>
        </w:rPr>
        <w:t>Id</w:t>
      </w:r>
      <w:r w:rsidRPr="00FA33D8">
        <w:rPr>
          <w:rFonts w:ascii="Times New Roman" w:hAnsi="Times New Roman"/>
          <w:sz w:val="24"/>
          <w:szCs w:val="24"/>
        </w:rPr>
        <w:t xml:space="preserve">. at 54-55 (emphasis added)]. Table 13, titled </w:t>
      </w:r>
      <w:r>
        <w:rPr>
          <w:rFonts w:ascii="Times New Roman" w:hAnsi="Times New Roman"/>
          <w:sz w:val="24"/>
          <w:szCs w:val="24"/>
        </w:rPr>
        <w:t>‘</w:t>
      </w:r>
      <w:r w:rsidRPr="00FA33D8">
        <w:rPr>
          <w:rFonts w:ascii="Times New Roman" w:hAnsi="Times New Roman"/>
          <w:sz w:val="24"/>
          <w:szCs w:val="24"/>
        </w:rPr>
        <w:t>Mitigations for Public Safety Issues,</w:t>
      </w:r>
      <w:r>
        <w:rPr>
          <w:rFonts w:ascii="Times New Roman" w:hAnsi="Times New Roman"/>
          <w:sz w:val="24"/>
          <w:szCs w:val="24"/>
        </w:rPr>
        <w:t>’</w:t>
      </w:r>
      <w:r w:rsidRPr="00FA33D8">
        <w:rPr>
          <w:rFonts w:ascii="Times New Roman" w:hAnsi="Times New Roman"/>
          <w:sz w:val="24"/>
          <w:szCs w:val="24"/>
        </w:rPr>
        <w:t xml:space="preserve"> then addresses various actions to be taken to protect various groups and resources. [</w:t>
      </w:r>
      <w:r w:rsidRPr="00FA33D8">
        <w:rPr>
          <w:rFonts w:ascii="Times New Roman" w:hAnsi="Times New Roman"/>
          <w:i/>
          <w:iCs/>
          <w:sz w:val="24"/>
          <w:szCs w:val="24"/>
        </w:rPr>
        <w:t>Id</w:t>
      </w:r>
      <w:r w:rsidRPr="00FA33D8">
        <w:rPr>
          <w:rFonts w:ascii="Times New Roman" w:hAnsi="Times New Roman"/>
          <w:sz w:val="24"/>
          <w:szCs w:val="24"/>
        </w:rPr>
        <w:t xml:space="preserve">. at 55]. *** Plaintiffs have cited mandatory directives to support jurisdiction over their claims based on the failure to warn about the Chimney Tops 2 fire, the Court finds that it has jurisdiction over this matter, and Defendant's motion to dismiss for lack of jurisdiction </w:t>
      </w:r>
      <w:r>
        <w:rPr>
          <w:rFonts w:ascii="Times New Roman" w:hAnsi="Times New Roman"/>
          <w:sz w:val="24"/>
          <w:szCs w:val="24"/>
        </w:rPr>
        <w:t xml:space="preserve">… </w:t>
      </w:r>
      <w:r w:rsidRPr="00FA33D8">
        <w:rPr>
          <w:rFonts w:ascii="Times New Roman" w:hAnsi="Times New Roman"/>
          <w:sz w:val="24"/>
          <w:szCs w:val="24"/>
        </w:rPr>
        <w:t xml:space="preserve">will be denied. </w:t>
      </w:r>
    </w:p>
    <w:bookmarkStart w:id="184" w:name="_Hlk39824099"/>
    <w:p w14:paraId="7E3CEAF7" w14:textId="77777777" w:rsidR="007C6FEF" w:rsidRPr="00FA33D8" w:rsidRDefault="00F2621E" w:rsidP="007C6FEF">
      <w:pPr>
        <w:pStyle w:val="NoSpacing"/>
        <w:ind w:left="720"/>
        <w:rPr>
          <w:rFonts w:ascii="Times New Roman" w:hAnsi="Times New Roman"/>
          <w:sz w:val="24"/>
          <w:szCs w:val="24"/>
        </w:rPr>
      </w:pPr>
      <w:r>
        <w:fldChar w:fldCharType="begin"/>
      </w:r>
      <w:r>
        <w:instrText xml:space="preserve"> HYPERLINK "https://www.nationalparkstraveler.org/sites/default/files/attachments/reed-chimney_tops_2_lawsuit.pdf" </w:instrText>
      </w:r>
      <w:r>
        <w:fldChar w:fldCharType="separate"/>
      </w:r>
      <w:r w:rsidR="007C6FEF" w:rsidRPr="009D5900">
        <w:rPr>
          <w:rStyle w:val="Hyperlink"/>
          <w:rFonts w:ascii="Times New Roman" w:hAnsi="Times New Roman"/>
          <w:sz w:val="24"/>
          <w:szCs w:val="24"/>
        </w:rPr>
        <w:t>https://www.nationalparkstraveler.org/sites/default/files/attachments/reed-chimney_tops_2_lawsuit.pdf</w:t>
      </w:r>
      <w:r>
        <w:rPr>
          <w:rStyle w:val="Hyperlink"/>
          <w:rFonts w:ascii="Times New Roman" w:hAnsi="Times New Roman"/>
          <w:sz w:val="24"/>
          <w:szCs w:val="24"/>
        </w:rPr>
        <w:fldChar w:fldCharType="end"/>
      </w:r>
      <w:bookmarkEnd w:id="184"/>
      <w:r w:rsidR="007C6FEF">
        <w:rPr>
          <w:rFonts w:ascii="Times New Roman" w:hAnsi="Times New Roman"/>
          <w:sz w:val="24"/>
          <w:szCs w:val="24"/>
        </w:rPr>
        <w:t xml:space="preserve"> </w:t>
      </w:r>
    </w:p>
    <w:p w14:paraId="6278688D" w14:textId="77777777" w:rsidR="009C4A80" w:rsidRDefault="009C4A80" w:rsidP="003464C5">
      <w:pPr>
        <w:rPr>
          <w:rFonts w:ascii="Arial" w:hAnsi="Arial" w:cs="Arial"/>
          <w:sz w:val="30"/>
          <w:szCs w:val="30"/>
        </w:rPr>
      </w:pPr>
    </w:p>
    <w:p w14:paraId="5B41531C" w14:textId="13F7125A" w:rsidR="003464C5" w:rsidRPr="009C4A80" w:rsidRDefault="009C4A80" w:rsidP="003464C5">
      <w:pPr>
        <w:rPr>
          <w:rStyle w:val="Hyperlink"/>
          <w:rFonts w:ascii="Times New Roman" w:hAnsi="Times New Roman"/>
          <w:b/>
          <w:bCs/>
          <w:color w:val="auto"/>
          <w:sz w:val="24"/>
          <w:szCs w:val="24"/>
          <w:u w:val="none"/>
        </w:rPr>
      </w:pPr>
      <w:r w:rsidRPr="009C4A80">
        <w:rPr>
          <w:rFonts w:ascii="Times New Roman" w:hAnsi="Times New Roman"/>
          <w:b/>
          <w:bCs/>
          <w:sz w:val="24"/>
          <w:szCs w:val="24"/>
        </w:rPr>
        <w:t>Legal Lessons Learned: “Failure to warn” establishes a cause of action under Federal Tort Claims Act. See also the After Action Report (Dec. 19, 2017): “An After Action Review has been released for the Chimney Tops 2 Fire that spread from Great Smoky Mountains National Park into the city of Gatlinburg, Tennessee a little over a year ago killing 14 people, forcing 14,000 to evacuate, destroying or damaging 2,500 structures, and burning 17,000 acres. The AAR, completed by ABS Group, was commissioned by Gatlinburg and Sevier County.”</w:t>
      </w:r>
    </w:p>
    <w:p w14:paraId="1C004A5B" w14:textId="77777777" w:rsidR="003464C5" w:rsidRDefault="003464C5" w:rsidP="002B1283">
      <w:pPr>
        <w:rPr>
          <w:rStyle w:val="Hyperlink"/>
          <w:rFonts w:ascii="Arial Black" w:hAnsi="Arial Black"/>
          <w:b/>
          <w:color w:val="auto"/>
          <w:sz w:val="24"/>
          <w:szCs w:val="24"/>
          <w:u w:val="none"/>
        </w:rPr>
      </w:pPr>
    </w:p>
    <w:p w14:paraId="1698244A" w14:textId="77777777" w:rsidR="007C6FEF" w:rsidRDefault="007C6FEF" w:rsidP="002B1283">
      <w:pPr>
        <w:rPr>
          <w:rStyle w:val="Hyperlink"/>
          <w:rFonts w:ascii="Arial Black" w:hAnsi="Arial Black"/>
          <w:b/>
          <w:color w:val="auto"/>
          <w:sz w:val="24"/>
          <w:szCs w:val="24"/>
          <w:u w:val="none"/>
        </w:rPr>
      </w:pPr>
    </w:p>
    <w:p w14:paraId="77ED83DA" w14:textId="77A1D5E8" w:rsidR="007471AF" w:rsidRDefault="007471AF" w:rsidP="002B1283">
      <w:pPr>
        <w:rPr>
          <w:rStyle w:val="Hyperlink"/>
          <w:rFonts w:ascii="Arial Black" w:hAnsi="Arial Black"/>
          <w:b/>
          <w:color w:val="auto"/>
          <w:sz w:val="24"/>
          <w:szCs w:val="24"/>
          <w:u w:val="none"/>
        </w:rPr>
      </w:pPr>
      <w:r>
        <w:rPr>
          <w:rStyle w:val="Hyperlink"/>
          <w:rFonts w:ascii="Arial Black" w:hAnsi="Arial Black"/>
          <w:b/>
          <w:color w:val="auto"/>
          <w:sz w:val="24"/>
          <w:szCs w:val="24"/>
          <w:u w:val="none"/>
        </w:rPr>
        <w:t>4-5</w:t>
      </w:r>
    </w:p>
    <w:p w14:paraId="6CA1E87E" w14:textId="4ADF62CE" w:rsidR="007471AF" w:rsidRPr="00706498" w:rsidRDefault="007471AF" w:rsidP="007471AF">
      <w:pPr>
        <w:rPr>
          <w:rFonts w:ascii="Arial Black" w:hAnsi="Arial Black"/>
          <w:sz w:val="28"/>
          <w:szCs w:val="28"/>
        </w:rPr>
      </w:pPr>
      <w:r w:rsidRPr="00706498">
        <w:rPr>
          <w:rFonts w:ascii="Arial Black" w:hAnsi="Arial Black"/>
          <w:sz w:val="28"/>
          <w:szCs w:val="28"/>
        </w:rPr>
        <w:t xml:space="preserve">IN: DRONE – WOMAN FINDS DRONE IN HER YARD – ONBOARD VIDEO SHOWS NEIGHBOR CARRYING DRUGS </w:t>
      </w:r>
      <w:r>
        <w:rPr>
          <w:rFonts w:ascii="Arial Black" w:hAnsi="Arial Black"/>
          <w:sz w:val="28"/>
          <w:szCs w:val="28"/>
        </w:rPr>
        <w:t>[also filed, Chap. 1]</w:t>
      </w:r>
    </w:p>
    <w:p w14:paraId="1A611AD8" w14:textId="77777777" w:rsidR="007471AF" w:rsidRPr="009C4A80" w:rsidRDefault="007471AF" w:rsidP="007471AF">
      <w:pPr>
        <w:pStyle w:val="NoSpacing"/>
        <w:rPr>
          <w:rFonts w:ascii="Times New Roman" w:hAnsi="Times New Roman"/>
          <w:b/>
          <w:bCs/>
          <w:sz w:val="24"/>
          <w:szCs w:val="24"/>
        </w:rPr>
      </w:pPr>
      <w:r w:rsidRPr="009C4A80">
        <w:rPr>
          <w:rFonts w:ascii="Times New Roman" w:hAnsi="Times New Roman"/>
          <w:bCs/>
          <w:sz w:val="24"/>
          <w:szCs w:val="24"/>
        </w:rPr>
        <w:t xml:space="preserve">On Oct. 24, 2019, in </w:t>
      </w:r>
      <w:r w:rsidRPr="009C4A80">
        <w:rPr>
          <w:rFonts w:ascii="Times New Roman" w:hAnsi="Times New Roman"/>
          <w:bCs/>
          <w:sz w:val="24"/>
          <w:szCs w:val="24"/>
          <w:u w:val="single"/>
        </w:rPr>
        <w:t>Galen Byers v. State of Indiana</w:t>
      </w:r>
      <w:r w:rsidRPr="009C4A80">
        <w:rPr>
          <w:rFonts w:ascii="Times New Roman" w:hAnsi="Times New Roman"/>
          <w:bCs/>
          <w:sz w:val="24"/>
          <w:szCs w:val="24"/>
        </w:rPr>
        <w:t xml:space="preserve">, Court of Appeals of Indiana held (3 to 0) that the search warrant was obtained timely, and the trial court properly denied the defendant’s motion to suppress.  Criminal </w:t>
      </w:r>
      <w:proofErr w:type="gramStart"/>
      <w:r w:rsidRPr="009C4A80">
        <w:rPr>
          <w:rFonts w:ascii="Times New Roman" w:hAnsi="Times New Roman"/>
          <w:bCs/>
          <w:sz w:val="24"/>
          <w:szCs w:val="24"/>
        </w:rPr>
        <w:t>case</w:t>
      </w:r>
      <w:proofErr w:type="gramEnd"/>
      <w:r w:rsidRPr="009C4A80">
        <w:rPr>
          <w:rFonts w:ascii="Times New Roman" w:hAnsi="Times New Roman"/>
          <w:bCs/>
          <w:sz w:val="24"/>
          <w:szCs w:val="24"/>
        </w:rPr>
        <w:t xml:space="preserve"> for </w:t>
      </w:r>
      <w:proofErr w:type="gramStart"/>
      <w:r w:rsidRPr="009C4A80">
        <w:rPr>
          <w:rFonts w:ascii="Times New Roman" w:hAnsi="Times New Roman"/>
          <w:bCs/>
          <w:sz w:val="24"/>
          <w:szCs w:val="24"/>
        </w:rPr>
        <w:t>dealing</w:t>
      </w:r>
      <w:proofErr w:type="gramEnd"/>
      <w:r w:rsidRPr="009C4A80">
        <w:rPr>
          <w:rFonts w:ascii="Times New Roman" w:hAnsi="Times New Roman"/>
          <w:bCs/>
          <w:sz w:val="24"/>
          <w:szCs w:val="24"/>
        </w:rPr>
        <w:t xml:space="preserve"> methamphetamine will now be tried, unless the defendant enters a guilty plea.  </w:t>
      </w:r>
    </w:p>
    <w:p w14:paraId="1A4F87B2" w14:textId="77777777" w:rsidR="007471AF" w:rsidRPr="009C4A80" w:rsidRDefault="007471AF" w:rsidP="007471AF">
      <w:pPr>
        <w:pStyle w:val="NoSpacing"/>
        <w:rPr>
          <w:rFonts w:ascii="Times New Roman" w:hAnsi="Times New Roman"/>
          <w:b/>
          <w:bCs/>
          <w:sz w:val="24"/>
          <w:szCs w:val="24"/>
        </w:rPr>
      </w:pPr>
    </w:p>
    <w:p w14:paraId="7815661E" w14:textId="77777777" w:rsidR="007471AF" w:rsidRPr="009C4A80" w:rsidRDefault="007471AF" w:rsidP="007471AF">
      <w:pPr>
        <w:pStyle w:val="NoSpacing"/>
        <w:ind w:left="720"/>
        <w:rPr>
          <w:rFonts w:ascii="Times New Roman" w:hAnsi="Times New Roman"/>
          <w:b/>
          <w:bCs/>
          <w:sz w:val="24"/>
          <w:szCs w:val="24"/>
        </w:rPr>
      </w:pPr>
      <w:r w:rsidRPr="009C4A80">
        <w:rPr>
          <w:rFonts w:ascii="Times New Roman" w:hAnsi="Times New Roman"/>
          <w:bCs/>
          <w:sz w:val="24"/>
          <w:szCs w:val="24"/>
        </w:rPr>
        <w:t xml:space="preserve">“Moreover, while we look at the date of the video footage to determine whether probable cause existed, some lapse can also be accounted for here because [Marcie] </w:t>
      </w:r>
      <w:proofErr w:type="spellStart"/>
      <w:r w:rsidRPr="009C4A80">
        <w:rPr>
          <w:rFonts w:ascii="Times New Roman" w:hAnsi="Times New Roman"/>
          <w:bCs/>
          <w:sz w:val="24"/>
          <w:szCs w:val="24"/>
        </w:rPr>
        <w:t>Vormohr</w:t>
      </w:r>
      <w:proofErr w:type="spellEnd"/>
      <w:r w:rsidRPr="009C4A80">
        <w:rPr>
          <w:rFonts w:ascii="Times New Roman" w:hAnsi="Times New Roman"/>
          <w:bCs/>
          <w:sz w:val="24"/>
          <w:szCs w:val="24"/>
        </w:rPr>
        <w:t xml:space="preserve"> was in possession of the drone for likely at least one of those days. And, although we acknowledge that the woman in the video handled the alleged substances, the video also shows another individual—a man who </w:t>
      </w:r>
      <w:proofErr w:type="spellStart"/>
      <w:r w:rsidRPr="009C4A80">
        <w:rPr>
          <w:rFonts w:ascii="Times New Roman" w:hAnsi="Times New Roman"/>
          <w:bCs/>
          <w:sz w:val="24"/>
          <w:szCs w:val="24"/>
        </w:rPr>
        <w:t>Vormohr</w:t>
      </w:r>
      <w:proofErr w:type="spellEnd"/>
      <w:r w:rsidRPr="009C4A80">
        <w:rPr>
          <w:rFonts w:ascii="Times New Roman" w:hAnsi="Times New Roman"/>
          <w:bCs/>
          <w:sz w:val="24"/>
          <w:szCs w:val="24"/>
        </w:rPr>
        <w:t xml:space="preserve"> testified was Byers—handling the drone moments later in the same and subsequent video recordings. Based on the facts and circumstances before us, we cannot say that a four-day period between the activity and the finding of probable cause renders the warrant constitutionally stale.”</w:t>
      </w:r>
    </w:p>
    <w:p w14:paraId="67FB7E6A" w14:textId="77777777" w:rsidR="007471AF" w:rsidRPr="009C4A80" w:rsidRDefault="007471AF" w:rsidP="007471AF">
      <w:pPr>
        <w:pStyle w:val="NoSpacing"/>
        <w:ind w:left="720"/>
        <w:rPr>
          <w:rFonts w:ascii="Times New Roman" w:hAnsi="Times New Roman"/>
          <w:b/>
          <w:bCs/>
          <w:sz w:val="24"/>
          <w:szCs w:val="24"/>
        </w:rPr>
      </w:pPr>
      <w:hyperlink r:id="rId934" w:history="1">
        <w:r w:rsidRPr="009C4A80">
          <w:rPr>
            <w:rStyle w:val="Hyperlink"/>
            <w:rFonts w:ascii="Times New Roman" w:hAnsi="Times New Roman"/>
            <w:bCs/>
            <w:sz w:val="24"/>
            <w:szCs w:val="24"/>
          </w:rPr>
          <w:t>https://www.in.gov/judiciary/opinions/pdf/10241902eft.pdf</w:t>
        </w:r>
      </w:hyperlink>
      <w:r w:rsidRPr="009C4A80">
        <w:rPr>
          <w:rFonts w:ascii="Times New Roman" w:hAnsi="Times New Roman"/>
          <w:bCs/>
          <w:sz w:val="24"/>
          <w:szCs w:val="24"/>
        </w:rPr>
        <w:t xml:space="preserve"> </w:t>
      </w:r>
    </w:p>
    <w:p w14:paraId="45C8694D" w14:textId="77777777" w:rsidR="009C4A80" w:rsidRDefault="009C4A80" w:rsidP="007471AF">
      <w:pPr>
        <w:pStyle w:val="NoSpacing"/>
        <w:rPr>
          <w:rFonts w:ascii="Times New Roman" w:hAnsi="Times New Roman"/>
          <w:b/>
          <w:bCs/>
          <w:sz w:val="24"/>
          <w:szCs w:val="24"/>
        </w:rPr>
      </w:pPr>
    </w:p>
    <w:p w14:paraId="362D898A" w14:textId="23747565" w:rsidR="007471AF" w:rsidRPr="009C4A80" w:rsidRDefault="007471AF" w:rsidP="007471AF">
      <w:pPr>
        <w:pStyle w:val="NoSpacing"/>
        <w:rPr>
          <w:rFonts w:ascii="Times New Roman" w:hAnsi="Times New Roman"/>
          <w:b/>
          <w:bCs/>
          <w:sz w:val="24"/>
          <w:szCs w:val="24"/>
        </w:rPr>
      </w:pPr>
      <w:r w:rsidRPr="009C4A80">
        <w:rPr>
          <w:rFonts w:ascii="Times New Roman" w:hAnsi="Times New Roman"/>
          <w:b/>
          <w:bCs/>
          <w:sz w:val="24"/>
          <w:szCs w:val="24"/>
        </w:rPr>
        <w:t xml:space="preserve">Legal Lessons Learned:  If you are a drug dealer, be cautious of drones with video cameras. </w:t>
      </w:r>
    </w:p>
    <w:p w14:paraId="0C025598" w14:textId="55D588A2" w:rsidR="007471AF" w:rsidRDefault="007471AF" w:rsidP="007471AF">
      <w:pPr>
        <w:rPr>
          <w:rFonts w:ascii="Arial Black" w:hAnsi="Arial Black"/>
          <w:b/>
          <w:sz w:val="24"/>
          <w:szCs w:val="24"/>
        </w:rPr>
      </w:pPr>
    </w:p>
    <w:p w14:paraId="033989F1" w14:textId="77777777" w:rsidR="007471AF" w:rsidRDefault="007471AF" w:rsidP="002B1283">
      <w:pPr>
        <w:rPr>
          <w:rStyle w:val="Hyperlink"/>
          <w:rFonts w:ascii="Arial Black" w:hAnsi="Arial Black"/>
          <w:b/>
          <w:color w:val="auto"/>
          <w:sz w:val="24"/>
          <w:szCs w:val="24"/>
          <w:u w:val="none"/>
        </w:rPr>
      </w:pPr>
    </w:p>
    <w:p w14:paraId="1254A69A" w14:textId="6DE848B0" w:rsidR="00A06387" w:rsidRDefault="00A06387" w:rsidP="002B1283">
      <w:pPr>
        <w:rPr>
          <w:rStyle w:val="Hyperlink"/>
          <w:rFonts w:ascii="Arial Black" w:hAnsi="Arial Black"/>
          <w:b/>
          <w:color w:val="auto"/>
          <w:sz w:val="24"/>
          <w:szCs w:val="24"/>
          <w:u w:val="none"/>
        </w:rPr>
      </w:pPr>
      <w:r>
        <w:rPr>
          <w:rStyle w:val="Hyperlink"/>
          <w:rFonts w:ascii="Arial Black" w:hAnsi="Arial Black"/>
          <w:b/>
          <w:color w:val="auto"/>
          <w:sz w:val="24"/>
          <w:szCs w:val="24"/>
          <w:u w:val="none"/>
        </w:rPr>
        <w:t>4-4</w:t>
      </w:r>
    </w:p>
    <w:p w14:paraId="5DE28287" w14:textId="77777777" w:rsidR="00A06387" w:rsidRPr="00BA42E2" w:rsidRDefault="00A06387" w:rsidP="00A06387">
      <w:pPr>
        <w:pStyle w:val="NoSpacing"/>
        <w:rPr>
          <w:rFonts w:ascii="Arial Black" w:hAnsi="Arial Black"/>
          <w:b/>
          <w:bCs/>
          <w:sz w:val="28"/>
          <w:szCs w:val="28"/>
        </w:rPr>
      </w:pPr>
      <w:r>
        <w:rPr>
          <w:rFonts w:ascii="Arial Black" w:hAnsi="Arial Black"/>
          <w:bCs/>
          <w:sz w:val="28"/>
          <w:szCs w:val="28"/>
        </w:rPr>
        <w:t>NY:  RE-KINDLE WAREHOUSE FIRE – FD HAD TURNED OFF SPRINKLER SYSTEM – NO GOVERNMENTAL IMMUNITY</w:t>
      </w:r>
    </w:p>
    <w:p w14:paraId="55B6582C" w14:textId="77777777" w:rsidR="00A06387" w:rsidRDefault="00A06387" w:rsidP="00A06387">
      <w:pPr>
        <w:pStyle w:val="NoSpacing"/>
      </w:pPr>
    </w:p>
    <w:p w14:paraId="4F6175BD" w14:textId="37EE9D26" w:rsidR="00A06387" w:rsidRPr="009C4A80" w:rsidRDefault="00A06387" w:rsidP="00A06387">
      <w:pPr>
        <w:pStyle w:val="NoSpacing"/>
        <w:rPr>
          <w:rFonts w:ascii="Times New Roman" w:hAnsi="Times New Roman"/>
          <w:b/>
          <w:bCs/>
          <w:sz w:val="24"/>
          <w:szCs w:val="24"/>
        </w:rPr>
      </w:pPr>
      <w:r w:rsidRPr="009C4A80">
        <w:rPr>
          <w:rFonts w:ascii="Times New Roman" w:hAnsi="Times New Roman"/>
          <w:bCs/>
          <w:sz w:val="24"/>
          <w:szCs w:val="24"/>
        </w:rPr>
        <w:t xml:space="preserve">On </w:t>
      </w:r>
      <w:bookmarkStart w:id="185" w:name="_Hlk39824745"/>
      <w:r w:rsidRPr="009C4A80">
        <w:rPr>
          <w:rFonts w:ascii="Times New Roman" w:hAnsi="Times New Roman"/>
          <w:bCs/>
          <w:sz w:val="24"/>
          <w:szCs w:val="24"/>
        </w:rPr>
        <w:t xml:space="preserve">Oct. 23, 2019, in </w:t>
      </w:r>
      <w:r w:rsidRPr="009C4A80">
        <w:rPr>
          <w:rFonts w:ascii="Times New Roman" w:hAnsi="Times New Roman"/>
          <w:bCs/>
          <w:sz w:val="24"/>
          <w:szCs w:val="24"/>
          <w:u w:val="single"/>
        </w:rPr>
        <w:t>Zurick American Insurance Company v. City of New York</w:t>
      </w:r>
      <w:bookmarkEnd w:id="185"/>
      <w:r w:rsidRPr="009C4A80">
        <w:rPr>
          <w:rFonts w:ascii="Times New Roman" w:hAnsi="Times New Roman"/>
          <w:bCs/>
          <w:sz w:val="24"/>
          <w:szCs w:val="24"/>
        </w:rPr>
        <w:t xml:space="preserve">, the Supreme Court of New York, Appellate Division / Second Judicial Department held (5 to 0) that the insurance company for the warehouse may proceed with the lawsuit against the City of New York.  </w:t>
      </w:r>
    </w:p>
    <w:p w14:paraId="6380CCD4" w14:textId="77777777" w:rsidR="009C4A80" w:rsidRDefault="009C4A80" w:rsidP="00A06387">
      <w:pPr>
        <w:pStyle w:val="NoSpacing"/>
        <w:ind w:left="720"/>
        <w:rPr>
          <w:rFonts w:ascii="Times New Roman" w:hAnsi="Times New Roman"/>
          <w:bCs/>
          <w:sz w:val="24"/>
          <w:szCs w:val="24"/>
        </w:rPr>
      </w:pPr>
    </w:p>
    <w:p w14:paraId="68EEA0C2" w14:textId="288A7A41" w:rsidR="00A06387" w:rsidRPr="009C4A80" w:rsidRDefault="00A06387" w:rsidP="00A06387">
      <w:pPr>
        <w:pStyle w:val="NoSpacing"/>
        <w:ind w:left="720"/>
        <w:rPr>
          <w:rFonts w:ascii="Times New Roman" w:hAnsi="Times New Roman"/>
          <w:b/>
          <w:bCs/>
          <w:sz w:val="24"/>
          <w:szCs w:val="24"/>
        </w:rPr>
      </w:pPr>
      <w:r w:rsidRPr="009C4A80">
        <w:rPr>
          <w:rFonts w:ascii="Times New Roman" w:hAnsi="Times New Roman"/>
          <w:bCs/>
          <w:sz w:val="24"/>
          <w:szCs w:val="24"/>
        </w:rPr>
        <w:t xml:space="preserve">“Here, the plaintiffs' allegations that FDNY personnel, upon arriving at the scene and assuming control over the ongoing fire, shut off the main water supply valve to the warehouse's sprinkler systems, then certified to warehouse employees that it was safe to reenter the building when in fact the fire was still at risk of rekindling—which it did within minutes after FDNY personnel left the premises—are sufficient to establish a special relationship (see Trimble v City of Albany, 144 AD3d 1484; S.C. </w:t>
      </w:r>
      <w:proofErr w:type="spellStart"/>
      <w:r w:rsidRPr="009C4A80">
        <w:rPr>
          <w:rFonts w:ascii="Times New Roman" w:hAnsi="Times New Roman"/>
          <w:bCs/>
          <w:sz w:val="24"/>
          <w:szCs w:val="24"/>
        </w:rPr>
        <w:t>Freidfertig</w:t>
      </w:r>
      <w:proofErr w:type="spellEnd"/>
      <w:r w:rsidRPr="009C4A80">
        <w:rPr>
          <w:rFonts w:ascii="Times New Roman" w:hAnsi="Times New Roman"/>
          <w:bCs/>
          <w:sz w:val="24"/>
          <w:szCs w:val="24"/>
        </w:rPr>
        <w:t xml:space="preserve"> Bldrs. v Spano Plumbing &amp; Heating, Inc., 173 AD2d 454). Therefore, we agree with the Supreme Court's determination denying the defendant's motion to dismiss the complaint.”</w:t>
      </w:r>
    </w:p>
    <w:bookmarkStart w:id="186" w:name="_Hlk39824846"/>
    <w:p w14:paraId="76A2C813" w14:textId="38261899" w:rsidR="00A06387" w:rsidRPr="009C4A80" w:rsidRDefault="00F2621E" w:rsidP="009C4A80">
      <w:pPr>
        <w:ind w:firstLine="720"/>
        <w:rPr>
          <w:rStyle w:val="Hyperlink"/>
          <w:rFonts w:ascii="Times New Roman" w:hAnsi="Times New Roman"/>
          <w:b/>
          <w:color w:val="auto"/>
          <w:sz w:val="24"/>
          <w:szCs w:val="24"/>
          <w:u w:val="none"/>
        </w:rPr>
      </w:pPr>
      <w:r>
        <w:fldChar w:fldCharType="begin"/>
      </w:r>
      <w:r>
        <w:instrText xml:space="preserve"> HYPERLINK "https://law.justia.com/cases/new-york/appellate-division-second-department/2019/2017-08288.html" </w:instrText>
      </w:r>
      <w:r>
        <w:fldChar w:fldCharType="separate"/>
      </w:r>
      <w:r w:rsidR="009C4A80" w:rsidRPr="002F304C">
        <w:rPr>
          <w:rStyle w:val="Hyperlink"/>
          <w:rFonts w:ascii="Times New Roman" w:hAnsi="Times New Roman"/>
          <w:bCs/>
          <w:sz w:val="24"/>
          <w:szCs w:val="24"/>
        </w:rPr>
        <w:t>https://law.justia.com/cases/new-york/appellate-division-second-department/2019/2017-08288.html</w:t>
      </w:r>
      <w:r>
        <w:rPr>
          <w:rStyle w:val="Hyperlink"/>
          <w:rFonts w:ascii="Times New Roman" w:hAnsi="Times New Roman"/>
          <w:bCs/>
          <w:sz w:val="24"/>
          <w:szCs w:val="24"/>
        </w:rPr>
        <w:fldChar w:fldCharType="end"/>
      </w:r>
    </w:p>
    <w:p w14:paraId="5C2F6F78" w14:textId="412CFDA1" w:rsidR="00A06387" w:rsidRPr="009C4A80" w:rsidRDefault="00A06387" w:rsidP="00A06387">
      <w:pPr>
        <w:pStyle w:val="NormalWeb"/>
        <w:rPr>
          <w:b/>
          <w:bCs/>
        </w:rPr>
      </w:pPr>
      <w:bookmarkStart w:id="187" w:name="_Hlk40509731"/>
      <w:bookmarkEnd w:id="186"/>
      <w:r w:rsidRPr="009C4A80">
        <w:rPr>
          <w:b/>
          <w:bCs/>
        </w:rPr>
        <w:t>Legal Lessons Learned: Extreme care must be exercised when a sprinkler system is shut down</w:t>
      </w:r>
      <w:r w:rsidR="005E5044">
        <w:rPr>
          <w:b/>
          <w:bCs/>
        </w:rPr>
        <w:t>.</w:t>
      </w:r>
      <w:r w:rsidRPr="009C4A80">
        <w:rPr>
          <w:b/>
          <w:bCs/>
        </w:rPr>
        <w:t xml:space="preserve"> </w:t>
      </w:r>
    </w:p>
    <w:bookmarkEnd w:id="187"/>
    <w:p w14:paraId="0792F4E8" w14:textId="77777777" w:rsidR="00A06387" w:rsidRDefault="00A06387" w:rsidP="002B1283">
      <w:pPr>
        <w:rPr>
          <w:rStyle w:val="Hyperlink"/>
          <w:rFonts w:ascii="Arial Black" w:hAnsi="Arial Black"/>
          <w:b/>
          <w:color w:val="auto"/>
          <w:sz w:val="24"/>
          <w:szCs w:val="24"/>
          <w:u w:val="none"/>
        </w:rPr>
      </w:pPr>
    </w:p>
    <w:p w14:paraId="01530D47" w14:textId="77777777" w:rsidR="00A06387" w:rsidRDefault="00A06387" w:rsidP="002B1283">
      <w:pPr>
        <w:rPr>
          <w:rStyle w:val="Hyperlink"/>
          <w:rFonts w:ascii="Arial Black" w:hAnsi="Arial Black"/>
          <w:b/>
          <w:color w:val="auto"/>
          <w:sz w:val="24"/>
          <w:szCs w:val="24"/>
          <w:u w:val="none"/>
        </w:rPr>
      </w:pPr>
    </w:p>
    <w:p w14:paraId="072AD8B2" w14:textId="2BCA0C9F" w:rsidR="00EF1133" w:rsidRDefault="00EF1133" w:rsidP="002B1283">
      <w:pPr>
        <w:rPr>
          <w:rFonts w:ascii="Arial Black" w:hAnsi="Arial Black"/>
          <w:sz w:val="28"/>
          <w:szCs w:val="28"/>
        </w:rPr>
      </w:pPr>
      <w:r w:rsidRPr="00EF1133">
        <w:rPr>
          <w:rStyle w:val="Hyperlink"/>
          <w:rFonts w:ascii="Arial Black" w:hAnsi="Arial Black"/>
          <w:b/>
          <w:color w:val="auto"/>
          <w:sz w:val="24"/>
          <w:szCs w:val="24"/>
          <w:u w:val="none"/>
        </w:rPr>
        <w:lastRenderedPageBreak/>
        <w:t>4-</w:t>
      </w:r>
      <w:r>
        <w:rPr>
          <w:rStyle w:val="Hyperlink"/>
          <w:rFonts w:ascii="Arial Black" w:hAnsi="Arial Black"/>
          <w:b/>
          <w:color w:val="auto"/>
          <w:sz w:val="24"/>
          <w:szCs w:val="24"/>
          <w:u w:val="none"/>
        </w:rPr>
        <w:t>3</w:t>
      </w:r>
    </w:p>
    <w:p w14:paraId="40B3C8DD" w14:textId="690BDD04" w:rsidR="002B1283" w:rsidRDefault="002B1283" w:rsidP="002B1283">
      <w:pPr>
        <w:rPr>
          <w:rFonts w:ascii="Arial Black" w:hAnsi="Arial Black"/>
          <w:sz w:val="28"/>
          <w:szCs w:val="28"/>
        </w:rPr>
      </w:pPr>
      <w:bookmarkStart w:id="188" w:name="_Hlk39763888"/>
      <w:r>
        <w:rPr>
          <w:rFonts w:ascii="Arial Black" w:hAnsi="Arial Black"/>
          <w:sz w:val="28"/>
          <w:szCs w:val="28"/>
        </w:rPr>
        <w:t>CA:  WILDLAND FIRE IN NATIONAL FOREST – WATER TRUCK RAN OVER FF SLEEPING AT BASE CAMP – NO AUTOMATIC GOVT IMMUNITY</w:t>
      </w:r>
    </w:p>
    <w:p w14:paraId="4C2D8A8B" w14:textId="77777777" w:rsidR="002B1283" w:rsidRDefault="002B1283" w:rsidP="002B1283">
      <w:pPr>
        <w:rPr>
          <w:rStyle w:val="Hyperlink"/>
        </w:rPr>
      </w:pPr>
      <w:r w:rsidRPr="00AA1593">
        <w:rPr>
          <w:rFonts w:ascii="Times New Roman" w:hAnsi="Times New Roman"/>
          <w:sz w:val="24"/>
          <w:szCs w:val="24"/>
        </w:rPr>
        <w:t xml:space="preserve">On July 15, 2019, in </w:t>
      </w:r>
      <w:r w:rsidRPr="00AA1593">
        <w:rPr>
          <w:rFonts w:ascii="Times New Roman" w:hAnsi="Times New Roman"/>
          <w:sz w:val="24"/>
          <w:szCs w:val="24"/>
          <w:u w:val="single"/>
        </w:rPr>
        <w:t>Rebecca Megan Quigley v. Garden Valley Fire Protection District, et al.</w:t>
      </w:r>
      <w:r w:rsidRPr="00AA1593">
        <w:rPr>
          <w:rFonts w:ascii="Times New Roman" w:hAnsi="Times New Roman"/>
          <w:sz w:val="24"/>
          <w:szCs w:val="24"/>
        </w:rPr>
        <w:t xml:space="preserve">, the Supreme Court of California held (7 to 0), the Court reversed the Court of Appeals </w:t>
      </w:r>
      <w:r>
        <w:rPr>
          <w:rFonts w:ascii="Times New Roman" w:hAnsi="Times New Roman"/>
          <w:sz w:val="24"/>
          <w:szCs w:val="24"/>
        </w:rPr>
        <w:t xml:space="preserve">which had </w:t>
      </w:r>
      <w:r w:rsidRPr="00AA1593">
        <w:rPr>
          <w:rFonts w:ascii="Times New Roman" w:hAnsi="Times New Roman"/>
          <w:sz w:val="24"/>
          <w:szCs w:val="24"/>
        </w:rPr>
        <w:t xml:space="preserve">held </w:t>
      </w:r>
      <w:r>
        <w:rPr>
          <w:rFonts w:ascii="Times New Roman" w:hAnsi="Times New Roman"/>
          <w:sz w:val="24"/>
          <w:szCs w:val="24"/>
        </w:rPr>
        <w:t xml:space="preserve">that </w:t>
      </w:r>
      <w:r w:rsidRPr="00AA1593">
        <w:rPr>
          <w:rFonts w:ascii="Times New Roman" w:hAnsi="Times New Roman"/>
          <w:sz w:val="24"/>
          <w:szCs w:val="24"/>
        </w:rPr>
        <w:t xml:space="preserve">the base camp management team and their Fire Departments were automatically </w:t>
      </w:r>
      <w:r>
        <w:rPr>
          <w:rFonts w:ascii="Times New Roman" w:hAnsi="Times New Roman"/>
          <w:sz w:val="24"/>
          <w:szCs w:val="24"/>
        </w:rPr>
        <w:t xml:space="preserve">protected from liability </w:t>
      </w:r>
      <w:r w:rsidRPr="00AA1593">
        <w:rPr>
          <w:rFonts w:ascii="Times New Roman" w:hAnsi="Times New Roman"/>
          <w:sz w:val="24"/>
          <w:szCs w:val="24"/>
        </w:rPr>
        <w:t xml:space="preserve">by CA governmental immunity statute. </w:t>
      </w:r>
      <w:r>
        <w:rPr>
          <w:rFonts w:ascii="Times New Roman" w:hAnsi="Times New Roman"/>
          <w:sz w:val="24"/>
          <w:szCs w:val="24"/>
        </w:rPr>
        <w:t xml:space="preserve"> </w:t>
      </w:r>
    </w:p>
    <w:p w14:paraId="0A28E28C" w14:textId="77777777" w:rsidR="002B1283" w:rsidRDefault="002B1283" w:rsidP="002B1283">
      <w:pPr>
        <w:pStyle w:val="NoSpacing"/>
        <w:ind w:left="720"/>
        <w:rPr>
          <w:rFonts w:ascii="Times New Roman" w:hAnsi="Times New Roman"/>
          <w:sz w:val="24"/>
          <w:szCs w:val="24"/>
        </w:rPr>
      </w:pPr>
      <w:bookmarkStart w:id="189" w:name="_Hlk39765736"/>
      <w:r>
        <w:rPr>
          <w:rFonts w:ascii="Times New Roman" w:hAnsi="Times New Roman"/>
          <w:sz w:val="24"/>
          <w:szCs w:val="24"/>
        </w:rPr>
        <w:t>“</w:t>
      </w:r>
      <w:r w:rsidRPr="00AA1593">
        <w:rPr>
          <w:rFonts w:ascii="Times New Roman" w:hAnsi="Times New Roman"/>
          <w:sz w:val="24"/>
          <w:szCs w:val="24"/>
        </w:rPr>
        <w:t>If the Court of Appeal determines that section 850.4 immunity was not adequately raised in defendants’ answer, the case should be remanded to permit the trial court to decide whether to exercise its discretion to allow the belated assertion of the defense after the commencement of the trial.</w:t>
      </w:r>
      <w:r>
        <w:rPr>
          <w:rFonts w:ascii="Times New Roman" w:hAnsi="Times New Roman"/>
          <w:sz w:val="24"/>
          <w:szCs w:val="24"/>
        </w:rPr>
        <w:t>”</w:t>
      </w:r>
    </w:p>
    <w:p w14:paraId="5D87C57D" w14:textId="77777777" w:rsidR="002B1283" w:rsidRDefault="002B1283" w:rsidP="002B1283">
      <w:pPr>
        <w:ind w:firstLine="720"/>
      </w:pPr>
      <w:hyperlink r:id="rId935" w:history="1">
        <w:r w:rsidRPr="00455844">
          <w:rPr>
            <w:rStyle w:val="Hyperlink"/>
          </w:rPr>
          <w:t>https://law.justia.com/cases/california/supreme-court/2019/s242250.html</w:t>
        </w:r>
      </w:hyperlink>
      <w:bookmarkEnd w:id="189"/>
    </w:p>
    <w:bookmarkEnd w:id="188"/>
    <w:p w14:paraId="29819BF9" w14:textId="77777777" w:rsidR="002B1283" w:rsidRPr="00AA1593" w:rsidRDefault="002B1283" w:rsidP="002B1283">
      <w:pPr>
        <w:pStyle w:val="NoSpacing"/>
        <w:ind w:left="720"/>
        <w:rPr>
          <w:rFonts w:ascii="Times New Roman" w:hAnsi="Times New Roman"/>
          <w:sz w:val="24"/>
          <w:szCs w:val="24"/>
        </w:rPr>
      </w:pPr>
    </w:p>
    <w:p w14:paraId="6C495F4B" w14:textId="77777777" w:rsidR="002B1283" w:rsidRDefault="002B1283" w:rsidP="002B1283">
      <w:pPr>
        <w:rPr>
          <w:rFonts w:ascii="Times New Roman" w:hAnsi="Times New Roman"/>
          <w:b/>
          <w:bCs/>
          <w:sz w:val="24"/>
          <w:szCs w:val="24"/>
        </w:rPr>
      </w:pPr>
      <w:bookmarkStart w:id="190" w:name="_Hlk40509887"/>
      <w:r>
        <w:rPr>
          <w:rFonts w:ascii="Times New Roman" w:hAnsi="Times New Roman"/>
          <w:b/>
          <w:bCs/>
          <w:sz w:val="24"/>
          <w:szCs w:val="24"/>
        </w:rPr>
        <w:t>Legal Lessons Learned:  The injured Federal firefighter was covered by workers comp, but under CA broad governmental immunity statute, she will have a difficult time obtaining damages from these California commanders or their fire department.</w:t>
      </w:r>
    </w:p>
    <w:p w14:paraId="55D9B728" w14:textId="349B1AA6" w:rsidR="002B1283" w:rsidRDefault="005E5044" w:rsidP="002B1283">
      <w:pPr>
        <w:pStyle w:val="NoSpacing"/>
        <w:ind w:left="720"/>
      </w:pPr>
      <w:r>
        <w:rPr>
          <w:rFonts w:ascii="Times New Roman" w:hAnsi="Times New Roman"/>
          <w:sz w:val="24"/>
          <w:szCs w:val="24"/>
        </w:rPr>
        <w:t xml:space="preserve">Note: </w:t>
      </w:r>
      <w:r w:rsidR="002B1283">
        <w:rPr>
          <w:rFonts w:ascii="Times New Roman" w:hAnsi="Times New Roman"/>
          <w:sz w:val="24"/>
          <w:szCs w:val="24"/>
        </w:rPr>
        <w:t>“</w:t>
      </w:r>
      <w:r w:rsidR="002B1283" w:rsidRPr="003F6F54">
        <w:rPr>
          <w:rFonts w:ascii="Times New Roman" w:hAnsi="Times New Roman"/>
          <w:sz w:val="24"/>
          <w:szCs w:val="24"/>
        </w:rPr>
        <w:t>Government Code section 850.4(section 850.4), the provision at issue in this case,</w:t>
      </w:r>
      <w:r w:rsidR="002B1283">
        <w:rPr>
          <w:rFonts w:ascii="Times New Roman" w:hAnsi="Times New Roman"/>
          <w:sz w:val="24"/>
          <w:szCs w:val="24"/>
        </w:rPr>
        <w:t xml:space="preserve"> </w:t>
      </w:r>
      <w:r w:rsidR="002B1283" w:rsidRPr="003F6F54">
        <w:rPr>
          <w:rFonts w:ascii="Times New Roman" w:hAnsi="Times New Roman"/>
          <w:sz w:val="24"/>
          <w:szCs w:val="24"/>
        </w:rPr>
        <w:t xml:space="preserve">establishes immunity: </w:t>
      </w:r>
      <w:r w:rsidR="002B1283">
        <w:rPr>
          <w:rFonts w:ascii="Times New Roman" w:hAnsi="Times New Roman"/>
          <w:sz w:val="24"/>
          <w:szCs w:val="24"/>
        </w:rPr>
        <w:t>‘</w:t>
      </w:r>
      <w:r w:rsidR="002B1283" w:rsidRPr="003F6F54">
        <w:rPr>
          <w:rFonts w:ascii="Times New Roman" w:hAnsi="Times New Roman"/>
          <w:sz w:val="24"/>
          <w:szCs w:val="24"/>
        </w:rPr>
        <w:t>Neither a public entity, nor a public employee acting in the scope of his employment, is liable for any injury resulting from the condition of fire protection or firefighting equipment or facilities or,</w:t>
      </w:r>
      <w:r w:rsidR="002B1283">
        <w:rPr>
          <w:rFonts w:ascii="Times New Roman" w:hAnsi="Times New Roman"/>
          <w:sz w:val="24"/>
          <w:szCs w:val="24"/>
        </w:rPr>
        <w:t>’</w:t>
      </w:r>
      <w:r w:rsidR="002B1283" w:rsidRPr="003F6F54">
        <w:rPr>
          <w:rFonts w:ascii="Times New Roman" w:hAnsi="Times New Roman"/>
          <w:sz w:val="24"/>
          <w:szCs w:val="24"/>
        </w:rPr>
        <w:t xml:space="preserve"> with the exception of certain motor vehicle accidents, </w:t>
      </w:r>
      <w:r w:rsidR="002B1283">
        <w:rPr>
          <w:rFonts w:ascii="Times New Roman" w:hAnsi="Times New Roman"/>
          <w:sz w:val="24"/>
          <w:szCs w:val="24"/>
        </w:rPr>
        <w:t>‘</w:t>
      </w:r>
      <w:r w:rsidR="002B1283" w:rsidRPr="003F6F54">
        <w:rPr>
          <w:rFonts w:ascii="Times New Roman" w:hAnsi="Times New Roman"/>
          <w:sz w:val="24"/>
          <w:szCs w:val="24"/>
        </w:rPr>
        <w:t>for any injury caused in fighting fires.</w:t>
      </w:r>
      <w:r w:rsidR="002B1283">
        <w:rPr>
          <w:rFonts w:ascii="Times New Roman" w:hAnsi="Times New Roman"/>
          <w:sz w:val="24"/>
          <w:szCs w:val="24"/>
        </w:rPr>
        <w:t>’</w:t>
      </w:r>
      <w:r w:rsidR="002B1283" w:rsidRPr="003F6F54">
        <w:rPr>
          <w:rFonts w:ascii="Times New Roman" w:hAnsi="Times New Roman"/>
          <w:sz w:val="24"/>
          <w:szCs w:val="24"/>
        </w:rPr>
        <w:t xml:space="preserve"> Section 850.4 was enacted at the recommendation of the Law Revision</w:t>
      </w:r>
      <w:r w:rsidR="002B1283">
        <w:rPr>
          <w:rFonts w:ascii="Times New Roman" w:hAnsi="Times New Roman"/>
          <w:sz w:val="24"/>
          <w:szCs w:val="24"/>
        </w:rPr>
        <w:t xml:space="preserve"> </w:t>
      </w:r>
      <w:r w:rsidR="002B1283" w:rsidRPr="003F6F54">
        <w:rPr>
          <w:rFonts w:ascii="Times New Roman" w:hAnsi="Times New Roman"/>
          <w:sz w:val="24"/>
          <w:szCs w:val="24"/>
        </w:rPr>
        <w:t>Commission.</w:t>
      </w:r>
      <w:r w:rsidR="002B1283">
        <w:rPr>
          <w:rFonts w:ascii="Times New Roman" w:hAnsi="Times New Roman"/>
          <w:sz w:val="24"/>
          <w:szCs w:val="24"/>
        </w:rPr>
        <w:t xml:space="preserve"> </w:t>
      </w:r>
      <w:r w:rsidR="002B1283" w:rsidRPr="003F6F54">
        <w:rPr>
          <w:rFonts w:ascii="Times New Roman" w:hAnsi="Times New Roman"/>
          <w:sz w:val="24"/>
          <w:szCs w:val="24"/>
        </w:rPr>
        <w:t>The commission’s report to the Legislature explained</w:t>
      </w:r>
      <w:r w:rsidR="002B1283">
        <w:rPr>
          <w:rFonts w:ascii="Times New Roman" w:hAnsi="Times New Roman"/>
          <w:sz w:val="24"/>
          <w:szCs w:val="24"/>
        </w:rPr>
        <w:t xml:space="preserve"> </w:t>
      </w:r>
      <w:r w:rsidR="002B1283" w:rsidRPr="003F6F54">
        <w:rPr>
          <w:rFonts w:ascii="Times New Roman" w:hAnsi="Times New Roman"/>
          <w:sz w:val="24"/>
          <w:szCs w:val="24"/>
        </w:rPr>
        <w:t xml:space="preserve">section 850.4’s purpose as follows: </w:t>
      </w:r>
      <w:r w:rsidR="002B1283">
        <w:rPr>
          <w:rFonts w:ascii="Times New Roman" w:hAnsi="Times New Roman"/>
          <w:sz w:val="24"/>
          <w:szCs w:val="24"/>
        </w:rPr>
        <w:t>‘</w:t>
      </w:r>
      <w:r w:rsidR="002B1283" w:rsidRPr="003F6F54">
        <w:rPr>
          <w:rFonts w:ascii="Times New Roman" w:hAnsi="Times New Roman"/>
          <w:sz w:val="24"/>
          <w:szCs w:val="24"/>
        </w:rPr>
        <w:t>There are adequate incentives to careful maintenance of fire equipment without imposing tort liability; and firemen should not be deterred from any action they may</w:t>
      </w:r>
      <w:r w:rsidR="002B1283">
        <w:rPr>
          <w:rFonts w:ascii="Times New Roman" w:hAnsi="Times New Roman"/>
          <w:sz w:val="24"/>
          <w:szCs w:val="24"/>
        </w:rPr>
        <w:t xml:space="preserve"> </w:t>
      </w:r>
      <w:r w:rsidR="002B1283" w:rsidRPr="003F6F54">
        <w:rPr>
          <w:rFonts w:ascii="Times New Roman" w:hAnsi="Times New Roman"/>
          <w:sz w:val="24"/>
          <w:szCs w:val="24"/>
        </w:rPr>
        <w:t>desire to take in combatting fires by a fear that liability might be imposed if a jury believes such action to be unreasonable.</w:t>
      </w:r>
      <w:r w:rsidR="002B1283">
        <w:rPr>
          <w:rFonts w:ascii="Times New Roman" w:hAnsi="Times New Roman"/>
          <w:sz w:val="24"/>
          <w:szCs w:val="24"/>
        </w:rPr>
        <w:t>’”</w:t>
      </w:r>
    </w:p>
    <w:p w14:paraId="1C545D90" w14:textId="77777777" w:rsidR="002B1283" w:rsidRDefault="002B1283" w:rsidP="002B1283">
      <w:pPr>
        <w:ind w:firstLine="720"/>
      </w:pPr>
      <w:hyperlink r:id="rId936" w:history="1">
        <w:r w:rsidRPr="0000752C">
          <w:rPr>
            <w:rStyle w:val="Hyperlink"/>
          </w:rPr>
          <w:t>https://law.justia.com/cases/california/supreme-court/2019/s242250.html</w:t>
        </w:r>
      </w:hyperlink>
      <w:r>
        <w:t xml:space="preserve"> </w:t>
      </w:r>
    </w:p>
    <w:bookmarkEnd w:id="190"/>
    <w:p w14:paraId="71E386B5" w14:textId="77777777" w:rsidR="002B1283" w:rsidRDefault="002B1283" w:rsidP="00F326E5">
      <w:pPr>
        <w:pStyle w:val="NoSpacing"/>
        <w:rPr>
          <w:sz w:val="24"/>
          <w:szCs w:val="24"/>
        </w:rPr>
      </w:pPr>
    </w:p>
    <w:p w14:paraId="0B2ADBAF" w14:textId="344C2A9F" w:rsidR="00EF1133" w:rsidRDefault="00EF1133" w:rsidP="00EF1133">
      <w:pPr>
        <w:rPr>
          <w:rFonts w:ascii="Arial Black" w:hAnsi="Arial Black"/>
          <w:sz w:val="28"/>
          <w:szCs w:val="28"/>
        </w:rPr>
      </w:pPr>
      <w:r w:rsidRPr="00EF1133">
        <w:rPr>
          <w:rStyle w:val="Hyperlink"/>
          <w:rFonts w:ascii="Arial Black" w:hAnsi="Arial Black"/>
          <w:b/>
          <w:color w:val="auto"/>
          <w:sz w:val="24"/>
          <w:szCs w:val="24"/>
          <w:u w:val="none"/>
        </w:rPr>
        <w:t>4-</w:t>
      </w:r>
      <w:r>
        <w:rPr>
          <w:rStyle w:val="Hyperlink"/>
          <w:rFonts w:ascii="Arial Black" w:hAnsi="Arial Black"/>
          <w:b/>
          <w:color w:val="auto"/>
          <w:sz w:val="24"/>
          <w:szCs w:val="24"/>
          <w:u w:val="none"/>
        </w:rPr>
        <w:t>2</w:t>
      </w:r>
    </w:p>
    <w:p w14:paraId="06A915EE" w14:textId="21C12EBD" w:rsidR="00F326E5" w:rsidRDefault="00F326E5" w:rsidP="00F326E5">
      <w:pPr>
        <w:pStyle w:val="NoSpacing"/>
        <w:rPr>
          <w:rFonts w:ascii="Arial Black" w:hAnsi="Arial Black"/>
          <w:sz w:val="28"/>
          <w:szCs w:val="28"/>
        </w:rPr>
      </w:pPr>
      <w:r w:rsidRPr="0077539E">
        <w:rPr>
          <w:rFonts w:ascii="Arial Black" w:hAnsi="Arial Black"/>
          <w:sz w:val="28"/>
          <w:szCs w:val="28"/>
        </w:rPr>
        <w:t xml:space="preserve">GA:  </w:t>
      </w:r>
      <w:r>
        <w:rPr>
          <w:rFonts w:ascii="Arial Black" w:hAnsi="Arial Black"/>
          <w:sz w:val="28"/>
          <w:szCs w:val="28"/>
        </w:rPr>
        <w:t xml:space="preserve">DRONE VIDEO ADMISSIBLE - SHOWS ARREST DURING DEMONSTRATION WAS LAWFUL </w:t>
      </w:r>
    </w:p>
    <w:p w14:paraId="65F0CFDA" w14:textId="77777777" w:rsidR="009C4A80" w:rsidRDefault="00F326E5" w:rsidP="00F326E5">
      <w:pPr>
        <w:pStyle w:val="NoSpacing"/>
        <w:rPr>
          <w:rFonts w:ascii="Times New Roman" w:hAnsi="Times New Roman"/>
          <w:sz w:val="24"/>
          <w:szCs w:val="24"/>
        </w:rPr>
      </w:pPr>
      <w:r w:rsidRPr="009C4A80">
        <w:rPr>
          <w:rFonts w:ascii="Times New Roman" w:hAnsi="Times New Roman"/>
          <w:sz w:val="24"/>
          <w:szCs w:val="24"/>
        </w:rPr>
        <w:t xml:space="preserve">On </w:t>
      </w:r>
      <w:bookmarkStart w:id="191" w:name="_Hlk39825247"/>
      <w:r w:rsidRPr="009C4A80">
        <w:rPr>
          <w:rFonts w:ascii="Times New Roman" w:hAnsi="Times New Roman"/>
          <w:sz w:val="24"/>
          <w:szCs w:val="24"/>
        </w:rPr>
        <w:t xml:space="preserve">March 28, 2019, in </w:t>
      </w:r>
      <w:r w:rsidRPr="009C4A80">
        <w:rPr>
          <w:rFonts w:ascii="Times New Roman" w:hAnsi="Times New Roman"/>
          <w:sz w:val="24"/>
          <w:szCs w:val="24"/>
          <w:u w:val="single"/>
        </w:rPr>
        <w:t>John Ruch v. Sergeant Michelle McKenzie</w:t>
      </w:r>
      <w:bookmarkEnd w:id="191"/>
      <w:r w:rsidRPr="009C4A80">
        <w:rPr>
          <w:rFonts w:ascii="Times New Roman" w:hAnsi="Times New Roman"/>
          <w:sz w:val="24"/>
          <w:szCs w:val="24"/>
        </w:rPr>
        <w:t xml:space="preserve">, U.S. District Court judge Michael L. Brown, US District Court, Northern District of Georgia / Atlanta, granted motion for summary judgment for Sergeant McKenzie, writing:   </w:t>
      </w:r>
    </w:p>
    <w:p w14:paraId="048DB128" w14:textId="77777777" w:rsidR="009C4A80" w:rsidRDefault="009C4A80" w:rsidP="009C4A80">
      <w:pPr>
        <w:pStyle w:val="NoSpacing"/>
        <w:ind w:firstLine="720"/>
        <w:rPr>
          <w:rFonts w:ascii="Times New Roman" w:hAnsi="Times New Roman"/>
          <w:sz w:val="24"/>
          <w:szCs w:val="24"/>
        </w:rPr>
      </w:pPr>
    </w:p>
    <w:p w14:paraId="1FBAF5CC" w14:textId="6262D4E1" w:rsidR="00F326E5" w:rsidRPr="009C4A80" w:rsidRDefault="00F326E5" w:rsidP="009C4A80">
      <w:pPr>
        <w:pStyle w:val="NoSpacing"/>
        <w:ind w:left="720"/>
        <w:rPr>
          <w:rFonts w:ascii="Times New Roman" w:hAnsi="Times New Roman"/>
          <w:sz w:val="24"/>
          <w:szCs w:val="24"/>
        </w:rPr>
      </w:pPr>
      <w:r w:rsidRPr="009C4A80">
        <w:rPr>
          <w:rFonts w:ascii="Times New Roman" w:hAnsi="Times New Roman"/>
          <w:sz w:val="24"/>
          <w:szCs w:val="24"/>
        </w:rPr>
        <w:t xml:space="preserve">“The video footage shows Plaintiff step off the sidewalk in one location, walk around a group of people watching and filming the fight, and step back onto the sidewalk — directly into the area where Defendant stood protecting the </w:t>
      </w:r>
      <w:proofErr w:type="gramStart"/>
      <w:r w:rsidRPr="009C4A80">
        <w:rPr>
          <w:rFonts w:ascii="Times New Roman" w:hAnsi="Times New Roman"/>
          <w:sz w:val="24"/>
          <w:szCs w:val="24"/>
        </w:rPr>
        <w:t>officers</w:t>
      </w:r>
      <w:proofErr w:type="gramEnd"/>
      <w:r w:rsidRPr="009C4A80">
        <w:rPr>
          <w:rFonts w:ascii="Times New Roman" w:hAnsi="Times New Roman"/>
          <w:sz w:val="24"/>
          <w:szCs w:val="24"/>
        </w:rPr>
        <w:t xml:space="preserve"> making arrests. (Id. at minute mark 3:58.) Contrary to Plaintiff’s allegations, he was not standing still at the time of his arrest. He was moving toward the area Defendant was trying to secure.” </w:t>
      </w:r>
      <w:bookmarkStart w:id="192" w:name="_Hlk39825271"/>
      <w:r w:rsidR="00F2621E">
        <w:fldChar w:fldCharType="begin"/>
      </w:r>
      <w:r w:rsidR="00F2621E">
        <w:instrText xml:space="preserve"> HYPERLINK "https://cases.justia.com/federal/district-courts/georgia/gandce/1:2015cv03296/220233/141/0.pdf?ts=1553851239" </w:instrText>
      </w:r>
      <w:r w:rsidR="00F2621E">
        <w:fldChar w:fldCharType="separate"/>
      </w:r>
      <w:r w:rsidRPr="009C4A80">
        <w:rPr>
          <w:rStyle w:val="Hyperlink"/>
          <w:rFonts w:ascii="Times New Roman" w:hAnsi="Times New Roman"/>
          <w:sz w:val="24"/>
          <w:szCs w:val="24"/>
        </w:rPr>
        <w:t>https://cases.justia.com/federal/district-courts/georgia/gandce/1:2015cv03296/220233/141/0.pdf?ts=1553851239</w:t>
      </w:r>
      <w:r w:rsidR="00F2621E">
        <w:rPr>
          <w:rStyle w:val="Hyperlink"/>
          <w:rFonts w:ascii="Times New Roman" w:hAnsi="Times New Roman"/>
          <w:sz w:val="24"/>
          <w:szCs w:val="24"/>
        </w:rPr>
        <w:fldChar w:fldCharType="end"/>
      </w:r>
      <w:r w:rsidRPr="009C4A80">
        <w:rPr>
          <w:rFonts w:ascii="Times New Roman" w:hAnsi="Times New Roman"/>
          <w:sz w:val="24"/>
          <w:szCs w:val="24"/>
        </w:rPr>
        <w:t xml:space="preserve"> </w:t>
      </w:r>
      <w:bookmarkEnd w:id="192"/>
    </w:p>
    <w:p w14:paraId="731179D7" w14:textId="77777777" w:rsidR="009C4A80" w:rsidRDefault="009C4A80" w:rsidP="00F326E5">
      <w:pPr>
        <w:rPr>
          <w:rFonts w:ascii="Times New Roman" w:hAnsi="Times New Roman"/>
          <w:b/>
          <w:sz w:val="24"/>
          <w:szCs w:val="24"/>
        </w:rPr>
      </w:pPr>
    </w:p>
    <w:p w14:paraId="62745EA3" w14:textId="4AD1F0D8" w:rsidR="00F326E5" w:rsidRPr="009C4A80" w:rsidRDefault="00F326E5" w:rsidP="00F326E5">
      <w:pPr>
        <w:rPr>
          <w:rFonts w:ascii="Times New Roman" w:hAnsi="Times New Roman"/>
          <w:b/>
          <w:sz w:val="24"/>
          <w:szCs w:val="24"/>
        </w:rPr>
      </w:pPr>
      <w:r w:rsidRPr="009C4A80">
        <w:rPr>
          <w:rFonts w:ascii="Times New Roman" w:hAnsi="Times New Roman"/>
          <w:b/>
          <w:sz w:val="24"/>
          <w:szCs w:val="24"/>
        </w:rPr>
        <w:lastRenderedPageBreak/>
        <w:t xml:space="preserve">Legal Lessons Learned:  Videos can sometimes lead to dismissal of </w:t>
      </w:r>
      <w:proofErr w:type="gramStart"/>
      <w:r w:rsidRPr="009C4A80">
        <w:rPr>
          <w:rFonts w:ascii="Times New Roman" w:hAnsi="Times New Roman"/>
          <w:b/>
          <w:sz w:val="24"/>
          <w:szCs w:val="24"/>
        </w:rPr>
        <w:t>lawsuit</w:t>
      </w:r>
      <w:proofErr w:type="gramEnd"/>
      <w:r w:rsidRPr="009C4A80">
        <w:rPr>
          <w:rFonts w:ascii="Times New Roman" w:hAnsi="Times New Roman"/>
          <w:b/>
          <w:sz w:val="24"/>
          <w:szCs w:val="24"/>
        </w:rPr>
        <w:t>.</w:t>
      </w:r>
    </w:p>
    <w:bookmarkEnd w:id="173"/>
    <w:p w14:paraId="59717D8D" w14:textId="007C121D" w:rsidR="00F326E5" w:rsidRDefault="00F326E5" w:rsidP="00F326E5">
      <w:pPr>
        <w:rPr>
          <w:rStyle w:val="Hyperlink"/>
          <w:b/>
          <w:sz w:val="24"/>
          <w:szCs w:val="24"/>
        </w:rPr>
      </w:pPr>
    </w:p>
    <w:p w14:paraId="32CF9051" w14:textId="50F7EE6F" w:rsidR="009C4A80" w:rsidRDefault="009C4A80" w:rsidP="00F326E5">
      <w:pPr>
        <w:rPr>
          <w:rStyle w:val="Hyperlink"/>
          <w:b/>
          <w:sz w:val="24"/>
          <w:szCs w:val="24"/>
        </w:rPr>
      </w:pPr>
    </w:p>
    <w:p w14:paraId="5282FA41" w14:textId="77777777" w:rsidR="009C4A80" w:rsidRDefault="009C4A80" w:rsidP="00F326E5">
      <w:pPr>
        <w:rPr>
          <w:rStyle w:val="Hyperlink"/>
          <w:b/>
          <w:sz w:val="24"/>
          <w:szCs w:val="24"/>
        </w:rPr>
      </w:pPr>
    </w:p>
    <w:p w14:paraId="6F4D3831" w14:textId="25C4E644" w:rsidR="00EF1133" w:rsidRPr="00EF1133" w:rsidRDefault="00EF1133" w:rsidP="00F326E5">
      <w:pPr>
        <w:rPr>
          <w:rStyle w:val="Hyperlink"/>
          <w:rFonts w:ascii="Arial Black" w:hAnsi="Arial Black"/>
          <w:b/>
          <w:color w:val="auto"/>
          <w:sz w:val="24"/>
          <w:szCs w:val="24"/>
          <w:u w:val="none"/>
        </w:rPr>
      </w:pPr>
      <w:r w:rsidRPr="00EF1133">
        <w:rPr>
          <w:rStyle w:val="Hyperlink"/>
          <w:rFonts w:ascii="Arial Black" w:hAnsi="Arial Black"/>
          <w:b/>
          <w:color w:val="auto"/>
          <w:sz w:val="24"/>
          <w:szCs w:val="24"/>
          <w:u w:val="none"/>
        </w:rPr>
        <w:t>4-1</w:t>
      </w:r>
    </w:p>
    <w:p w14:paraId="71EA5D9D" w14:textId="6024D070" w:rsidR="00F326E5" w:rsidRPr="009F2867" w:rsidRDefault="00F326E5" w:rsidP="00F326E5">
      <w:pPr>
        <w:pStyle w:val="NoSpacing"/>
        <w:rPr>
          <w:rFonts w:ascii="Arial Black" w:hAnsi="Arial Black"/>
          <w:sz w:val="24"/>
          <w:szCs w:val="24"/>
        </w:rPr>
      </w:pPr>
      <w:bookmarkStart w:id="193" w:name="_Hlk7249620"/>
      <w:r w:rsidRPr="007F6024">
        <w:rPr>
          <w:rFonts w:ascii="Arial Black" w:hAnsi="Arial Black"/>
          <w:sz w:val="28"/>
          <w:szCs w:val="28"/>
        </w:rPr>
        <w:t xml:space="preserve">OH: </w:t>
      </w:r>
      <w:r>
        <w:rPr>
          <w:rFonts w:ascii="Arial Black" w:hAnsi="Arial Black"/>
          <w:sz w:val="28"/>
          <w:szCs w:val="28"/>
        </w:rPr>
        <w:t xml:space="preserve">MJ FOUND IN HOUSE FIRE – DRUG DETECTIVE NEEDED WARRANT – SCENE WAS SAFE </w:t>
      </w:r>
    </w:p>
    <w:p w14:paraId="019E5400" w14:textId="77777777" w:rsidR="009C4A80" w:rsidRDefault="00F326E5" w:rsidP="00F326E5">
      <w:pPr>
        <w:rPr>
          <w:rFonts w:ascii="Times New Roman" w:eastAsia="Times New Roman" w:hAnsi="Times New Roman"/>
          <w:sz w:val="24"/>
          <w:szCs w:val="24"/>
        </w:rPr>
      </w:pPr>
      <w:r w:rsidRPr="009C4A80">
        <w:rPr>
          <w:rFonts w:ascii="Times New Roman" w:eastAsia="Times New Roman" w:hAnsi="Times New Roman"/>
          <w:sz w:val="24"/>
          <w:szCs w:val="24"/>
        </w:rPr>
        <w:t xml:space="preserve">On Aug. 24, 2018, in </w:t>
      </w:r>
      <w:r w:rsidRPr="009C4A80">
        <w:rPr>
          <w:rFonts w:ascii="Times New Roman" w:eastAsia="Times New Roman" w:hAnsi="Times New Roman"/>
          <w:sz w:val="24"/>
          <w:szCs w:val="24"/>
          <w:u w:val="single"/>
        </w:rPr>
        <w:t>State of Ohio v. Albert N. Smith</w:t>
      </w:r>
      <w:r w:rsidRPr="009C4A80">
        <w:rPr>
          <w:rFonts w:ascii="Times New Roman" w:eastAsia="Times New Roman" w:hAnsi="Times New Roman"/>
          <w:sz w:val="24"/>
          <w:szCs w:val="24"/>
        </w:rPr>
        <w:t xml:space="preserve">, the Court of Appeals for Fifth Appellate District (Licking County) held (3 to 0) that the trial court judge properly granted defendant’s motion to suppress the marijuana and other evidence. </w:t>
      </w:r>
    </w:p>
    <w:p w14:paraId="4716569B" w14:textId="3209312F" w:rsidR="00F326E5" w:rsidRPr="009C4A80" w:rsidRDefault="00F326E5" w:rsidP="009C4A80">
      <w:pPr>
        <w:ind w:left="720" w:firstLine="60"/>
        <w:rPr>
          <w:rFonts w:ascii="Times New Roman" w:eastAsia="Times New Roman" w:hAnsi="Times New Roman"/>
          <w:sz w:val="24"/>
          <w:szCs w:val="24"/>
        </w:rPr>
      </w:pPr>
      <w:r w:rsidRPr="009C4A80">
        <w:rPr>
          <w:rFonts w:ascii="Times New Roman" w:eastAsia="Times New Roman" w:hAnsi="Times New Roman"/>
          <w:sz w:val="24"/>
          <w:szCs w:val="24"/>
        </w:rPr>
        <w:t xml:space="preserve">“Det. Thomas testified that he was assured the fire was out, and the home was safe for him to enter …. Det. Thomas also stated that he was not told that any of the evidence was in danger of being damaged by smoke, water or fire. </w:t>
      </w:r>
      <w:r w:rsidRPr="009C4A80">
        <w:rPr>
          <w:rFonts w:ascii="Times New Roman" w:hAnsi="Times New Roman"/>
          <w:sz w:val="24"/>
          <w:szCs w:val="24"/>
        </w:rPr>
        <w:t>Based on the foregoing, we</w:t>
      </w:r>
      <w:r w:rsidRPr="009C4A80">
        <w:rPr>
          <w:rFonts w:ascii="Times New Roman" w:eastAsia="Times New Roman" w:hAnsi="Times New Roman"/>
          <w:sz w:val="24"/>
          <w:szCs w:val="24"/>
        </w:rPr>
        <w:t xml:space="preserve"> do not find exigent </w:t>
      </w:r>
      <w:proofErr w:type="gramStart"/>
      <w:r w:rsidRPr="009C4A80">
        <w:rPr>
          <w:rFonts w:ascii="Times New Roman" w:eastAsia="Times New Roman" w:hAnsi="Times New Roman"/>
          <w:sz w:val="24"/>
          <w:szCs w:val="24"/>
        </w:rPr>
        <w:t>circumstances existed</w:t>
      </w:r>
      <w:proofErr w:type="gramEnd"/>
      <w:r w:rsidRPr="009C4A80">
        <w:rPr>
          <w:rFonts w:ascii="Times New Roman" w:eastAsia="Times New Roman" w:hAnsi="Times New Roman"/>
          <w:sz w:val="24"/>
          <w:szCs w:val="24"/>
        </w:rPr>
        <w:t xml:space="preserve"> that required or allowed for a warrantless search of the premises. We therefore find no error in the trial court’s suppression of the evidence collected in this matter.”</w:t>
      </w:r>
      <w:r w:rsidRPr="009C4A80">
        <w:rPr>
          <w:rFonts w:ascii="Times New Roman" w:hAnsi="Times New Roman"/>
          <w:sz w:val="24"/>
          <w:szCs w:val="24"/>
        </w:rPr>
        <w:t xml:space="preserve"> </w:t>
      </w:r>
      <w:hyperlink r:id="rId937" w:history="1">
        <w:r w:rsidRPr="009C4A80">
          <w:rPr>
            <w:rStyle w:val="Hyperlink"/>
            <w:rFonts w:ascii="Times New Roman" w:hAnsi="Times New Roman"/>
            <w:sz w:val="24"/>
            <w:szCs w:val="24"/>
          </w:rPr>
          <w:t>http://www.supremecourt.ohio.gov/rod/docs/pdf/5/2018/2018-Ohio-3436.pdf</w:t>
        </w:r>
      </w:hyperlink>
      <w:r w:rsidRPr="009C4A80">
        <w:rPr>
          <w:rFonts w:ascii="Times New Roman" w:eastAsia="Times New Roman" w:hAnsi="Times New Roman"/>
          <w:sz w:val="24"/>
          <w:szCs w:val="24"/>
        </w:rPr>
        <w:t xml:space="preserve"> </w:t>
      </w:r>
    </w:p>
    <w:p w14:paraId="3F055AD7" w14:textId="77777777" w:rsidR="00F326E5" w:rsidRPr="009C4A80" w:rsidRDefault="00F326E5" w:rsidP="00F326E5">
      <w:pPr>
        <w:rPr>
          <w:rFonts w:ascii="Times New Roman" w:eastAsia="Times New Roman" w:hAnsi="Times New Roman"/>
          <w:b/>
          <w:sz w:val="24"/>
          <w:szCs w:val="24"/>
        </w:rPr>
      </w:pPr>
      <w:r w:rsidRPr="009C4A80">
        <w:rPr>
          <w:rFonts w:ascii="Times New Roman" w:eastAsia="Times New Roman" w:hAnsi="Times New Roman"/>
          <w:b/>
          <w:sz w:val="24"/>
          <w:szCs w:val="24"/>
        </w:rPr>
        <w:t xml:space="preserve">Legal Lessons Learned:  If the structure fire has been extinguished, and the property deemed safe to enter, FD should continue to secure the property, while PD gets a search warrant. </w:t>
      </w:r>
    </w:p>
    <w:bookmarkEnd w:id="193"/>
    <w:p w14:paraId="496712ED" w14:textId="77777777" w:rsidR="00DE42DC" w:rsidRDefault="00F326E5" w:rsidP="00F326E5">
      <w:pPr>
        <w:rPr>
          <w:rFonts w:ascii="Times New Roman" w:hAnsi="Times New Roman"/>
          <w:sz w:val="24"/>
          <w:szCs w:val="24"/>
        </w:rPr>
      </w:pPr>
      <w:r w:rsidRPr="009C4A80">
        <w:rPr>
          <w:rFonts w:ascii="Times New Roman" w:hAnsi="Times New Roman"/>
          <w:sz w:val="24"/>
          <w:szCs w:val="24"/>
        </w:rPr>
        <w:br w:type="page"/>
      </w:r>
    </w:p>
    <w:p w14:paraId="5309A560" w14:textId="77777777" w:rsidR="00DE42DC" w:rsidRDefault="00DE42DC" w:rsidP="00F326E5">
      <w:pPr>
        <w:rPr>
          <w:rFonts w:ascii="Times New Roman" w:hAnsi="Times New Roman"/>
          <w:sz w:val="24"/>
          <w:szCs w:val="24"/>
        </w:rPr>
      </w:pPr>
    </w:p>
    <w:p w14:paraId="6B1959FF" w14:textId="77777777" w:rsidR="00DE42DC" w:rsidRDefault="00DE42DC" w:rsidP="00F326E5">
      <w:pPr>
        <w:rPr>
          <w:rFonts w:ascii="Times New Roman" w:hAnsi="Times New Roman"/>
          <w:sz w:val="24"/>
          <w:szCs w:val="24"/>
        </w:rPr>
      </w:pPr>
    </w:p>
    <w:p w14:paraId="684CEFC3" w14:textId="77777777" w:rsidR="005263F1" w:rsidRDefault="005263F1" w:rsidP="00F326E5">
      <w:pPr>
        <w:rPr>
          <w:rFonts w:ascii="Arial Black" w:hAnsi="Arial Black"/>
          <w:sz w:val="40"/>
          <w:szCs w:val="40"/>
        </w:rPr>
      </w:pPr>
    </w:p>
    <w:p w14:paraId="3A43B264" w14:textId="77777777" w:rsidR="005263F1" w:rsidRDefault="005263F1" w:rsidP="00F326E5">
      <w:pPr>
        <w:rPr>
          <w:rFonts w:ascii="Arial Black" w:hAnsi="Arial Black"/>
          <w:sz w:val="40"/>
          <w:szCs w:val="40"/>
        </w:rPr>
      </w:pPr>
    </w:p>
    <w:p w14:paraId="1E061D7A" w14:textId="77777777" w:rsidR="005263F1" w:rsidRDefault="005263F1" w:rsidP="00F326E5">
      <w:pPr>
        <w:rPr>
          <w:rFonts w:ascii="Arial Black" w:hAnsi="Arial Black"/>
          <w:sz w:val="40"/>
          <w:szCs w:val="40"/>
        </w:rPr>
      </w:pPr>
    </w:p>
    <w:p w14:paraId="48C76D90" w14:textId="77777777" w:rsidR="005263F1" w:rsidRDefault="005263F1" w:rsidP="00F326E5">
      <w:pPr>
        <w:rPr>
          <w:rFonts w:ascii="Arial Black" w:hAnsi="Arial Black"/>
          <w:sz w:val="40"/>
          <w:szCs w:val="40"/>
        </w:rPr>
      </w:pPr>
    </w:p>
    <w:p w14:paraId="48DBD379" w14:textId="77777777" w:rsidR="005263F1" w:rsidRDefault="005263F1" w:rsidP="00F326E5">
      <w:pPr>
        <w:rPr>
          <w:rFonts w:ascii="Arial Black" w:hAnsi="Arial Black"/>
          <w:sz w:val="40"/>
          <w:szCs w:val="40"/>
        </w:rPr>
      </w:pPr>
    </w:p>
    <w:p w14:paraId="7CA0ABAC" w14:textId="77777777" w:rsidR="005263F1" w:rsidRDefault="005263F1" w:rsidP="00F326E5">
      <w:pPr>
        <w:rPr>
          <w:rFonts w:ascii="Arial Black" w:hAnsi="Arial Black"/>
          <w:sz w:val="40"/>
          <w:szCs w:val="40"/>
        </w:rPr>
      </w:pPr>
    </w:p>
    <w:p w14:paraId="46BBA60C" w14:textId="77777777" w:rsidR="005263F1" w:rsidRDefault="005263F1" w:rsidP="00F326E5">
      <w:pPr>
        <w:rPr>
          <w:rFonts w:ascii="Arial Black" w:hAnsi="Arial Black"/>
          <w:sz w:val="40"/>
          <w:szCs w:val="40"/>
        </w:rPr>
      </w:pPr>
    </w:p>
    <w:p w14:paraId="08B77CA9" w14:textId="77777777" w:rsidR="005263F1" w:rsidRDefault="005263F1" w:rsidP="00F326E5">
      <w:pPr>
        <w:rPr>
          <w:rFonts w:ascii="Arial Black" w:hAnsi="Arial Black"/>
          <w:sz w:val="40"/>
          <w:szCs w:val="40"/>
        </w:rPr>
      </w:pPr>
    </w:p>
    <w:p w14:paraId="6FA9E4BE" w14:textId="77777777" w:rsidR="005263F1" w:rsidRDefault="005263F1" w:rsidP="00F326E5">
      <w:pPr>
        <w:rPr>
          <w:rFonts w:ascii="Arial Black" w:hAnsi="Arial Black"/>
          <w:sz w:val="40"/>
          <w:szCs w:val="40"/>
        </w:rPr>
      </w:pPr>
    </w:p>
    <w:p w14:paraId="533F9C13" w14:textId="77777777" w:rsidR="005263F1" w:rsidRDefault="005263F1" w:rsidP="00F326E5">
      <w:pPr>
        <w:rPr>
          <w:rFonts w:ascii="Arial Black" w:hAnsi="Arial Black"/>
          <w:sz w:val="40"/>
          <w:szCs w:val="40"/>
        </w:rPr>
      </w:pPr>
    </w:p>
    <w:p w14:paraId="7C8E835F" w14:textId="77777777" w:rsidR="005263F1" w:rsidRDefault="005263F1" w:rsidP="00F326E5">
      <w:pPr>
        <w:rPr>
          <w:rFonts w:ascii="Arial Black" w:hAnsi="Arial Black"/>
          <w:sz w:val="40"/>
          <w:szCs w:val="40"/>
        </w:rPr>
      </w:pPr>
    </w:p>
    <w:p w14:paraId="3E20CA32" w14:textId="77777777" w:rsidR="005263F1" w:rsidRDefault="005263F1" w:rsidP="00F326E5">
      <w:pPr>
        <w:rPr>
          <w:rFonts w:ascii="Arial Black" w:hAnsi="Arial Black"/>
          <w:sz w:val="40"/>
          <w:szCs w:val="40"/>
        </w:rPr>
      </w:pPr>
    </w:p>
    <w:p w14:paraId="2A673545" w14:textId="77777777" w:rsidR="005263F1" w:rsidRDefault="005263F1" w:rsidP="00F326E5">
      <w:pPr>
        <w:rPr>
          <w:rFonts w:ascii="Arial Black" w:hAnsi="Arial Black"/>
          <w:sz w:val="40"/>
          <w:szCs w:val="40"/>
        </w:rPr>
      </w:pPr>
    </w:p>
    <w:p w14:paraId="6BC32481" w14:textId="77777777" w:rsidR="005263F1" w:rsidRDefault="005263F1" w:rsidP="00F326E5">
      <w:pPr>
        <w:rPr>
          <w:rFonts w:ascii="Arial Black" w:hAnsi="Arial Black"/>
          <w:sz w:val="40"/>
          <w:szCs w:val="40"/>
        </w:rPr>
      </w:pPr>
    </w:p>
    <w:p w14:paraId="480FF2C6" w14:textId="77777777" w:rsidR="005263F1" w:rsidRDefault="005263F1" w:rsidP="00F326E5">
      <w:pPr>
        <w:rPr>
          <w:rFonts w:ascii="Arial Black" w:hAnsi="Arial Black"/>
          <w:sz w:val="40"/>
          <w:szCs w:val="40"/>
        </w:rPr>
      </w:pPr>
    </w:p>
    <w:p w14:paraId="310E0FCD" w14:textId="77777777" w:rsidR="005263F1" w:rsidRDefault="005263F1" w:rsidP="00F326E5">
      <w:pPr>
        <w:rPr>
          <w:rFonts w:ascii="Arial Black" w:hAnsi="Arial Black"/>
          <w:sz w:val="40"/>
          <w:szCs w:val="40"/>
        </w:rPr>
      </w:pPr>
    </w:p>
    <w:p w14:paraId="4B7ABE79" w14:textId="26E16C8C" w:rsidR="00F326E5" w:rsidRDefault="00F326E5" w:rsidP="00F326E5">
      <w:pPr>
        <w:rPr>
          <w:rFonts w:ascii="Arial Black" w:hAnsi="Arial Black"/>
          <w:sz w:val="40"/>
          <w:szCs w:val="40"/>
        </w:rPr>
      </w:pPr>
      <w:r w:rsidRPr="007732FA">
        <w:rPr>
          <w:rFonts w:ascii="Arial Black" w:hAnsi="Arial Black"/>
          <w:sz w:val="40"/>
          <w:szCs w:val="40"/>
        </w:rPr>
        <w:lastRenderedPageBreak/>
        <w:t>Chap. 5</w:t>
      </w:r>
      <w:r w:rsidRPr="007732FA">
        <w:rPr>
          <w:rFonts w:ascii="Arial Black" w:hAnsi="Arial Black"/>
          <w:sz w:val="40"/>
          <w:szCs w:val="40"/>
        </w:rPr>
        <w:tab/>
        <w:t>Emergency Vehicle Operations</w:t>
      </w:r>
    </w:p>
    <w:p w14:paraId="17EDBDA1" w14:textId="4177029C" w:rsidR="004102A6" w:rsidRDefault="004102A6" w:rsidP="004102A6">
      <w:pPr>
        <w:rPr>
          <w:rFonts w:ascii="Arial Black" w:hAnsi="Arial Black"/>
          <w:b/>
          <w:sz w:val="28"/>
          <w:szCs w:val="28"/>
        </w:rPr>
      </w:pPr>
      <w:bookmarkStart w:id="194" w:name="_Hlk7342650"/>
      <w:r>
        <w:rPr>
          <w:rFonts w:ascii="Arial Black" w:hAnsi="Arial Black"/>
          <w:b/>
          <w:sz w:val="28"/>
          <w:szCs w:val="28"/>
        </w:rPr>
        <w:t>5-67</w:t>
      </w:r>
    </w:p>
    <w:p w14:paraId="3B4536C3" w14:textId="46FAA08B" w:rsidR="004102A6" w:rsidRPr="00DC3BF9" w:rsidRDefault="004102A6" w:rsidP="004102A6">
      <w:pPr>
        <w:rPr>
          <w:rFonts w:ascii="Arial Black" w:hAnsi="Arial Black"/>
          <w:b/>
          <w:sz w:val="28"/>
          <w:szCs w:val="28"/>
        </w:rPr>
      </w:pPr>
      <w:r>
        <w:rPr>
          <w:rFonts w:ascii="Arial Black" w:hAnsi="Arial Black"/>
          <w:b/>
          <w:sz w:val="28"/>
          <w:szCs w:val="28"/>
        </w:rPr>
        <w:t>LA: SEVERE INJURY - EMT $81M – HELP PT / NO SEAT BELT</w:t>
      </w:r>
    </w:p>
    <w:p w14:paraId="6952A609" w14:textId="77777777" w:rsidR="004102A6" w:rsidRDefault="004102A6" w:rsidP="004102A6">
      <w:r>
        <w:t xml:space="preserve">On July 1, 2026, in </w:t>
      </w:r>
      <w:r w:rsidRPr="00C04A1E">
        <w:rPr>
          <w:u w:val="single"/>
        </w:rPr>
        <w:t>Sherri Tramble v. Joshua Briscoe, et al.</w:t>
      </w:r>
      <w:r>
        <w:t xml:space="preserve">, </w:t>
      </w:r>
      <w:r w:rsidRPr="00C04A1E">
        <w:t>the Court of Appeals of Louisiana, Third Circuit</w:t>
      </w:r>
      <w:r>
        <w:t xml:space="preserve"> held (3 to 0) that trial court judge properly excluded the testimony of defense witness about the failure of severely injured EMT to wear a seat belt while in back of the ambulance tending to the patient.  The driver who ran into the ambulance was </w:t>
      </w:r>
      <w:proofErr w:type="gramStart"/>
      <w:r>
        <w:t>found by jury</w:t>
      </w:r>
      <w:proofErr w:type="gramEnd"/>
      <w:r>
        <w:t xml:space="preserve"> 100% at fault; the Court of Appeals did however reduce the jury award from </w:t>
      </w:r>
      <w:r w:rsidRPr="00F57A55">
        <w:t>$219,742,924.31</w:t>
      </w:r>
      <w:r>
        <w:t xml:space="preserve"> to </w:t>
      </w:r>
      <w:r w:rsidRPr="00DC3BF9">
        <w:t>$40,000,000.00 in general damages and $41,300,219.00 in future medical</w:t>
      </w:r>
      <w:r>
        <w:t xml:space="preserve"> </w:t>
      </w:r>
      <w:r w:rsidRPr="00DC3BF9">
        <w:t>expenses</w:t>
      </w:r>
      <w:r>
        <w:t xml:space="preserve">. </w:t>
      </w:r>
      <w:hyperlink r:id="rId938" w:history="1">
        <w:r w:rsidRPr="00EA7685">
          <w:rPr>
            <w:rStyle w:val="Hyperlink"/>
          </w:rPr>
          <w:t>https://cases.justia.com/louisiana/third-circuit-court-of-appeal/2026-ca-0025-0423.pdf?ts=1782919449</w:t>
        </w:r>
      </w:hyperlink>
      <w:r>
        <w:t xml:space="preserve"> </w:t>
      </w:r>
    </w:p>
    <w:p w14:paraId="22B8A740" w14:textId="77777777" w:rsidR="004102A6" w:rsidRDefault="004102A6" w:rsidP="004102A6"/>
    <w:p w14:paraId="20F4FF05" w14:textId="77777777" w:rsidR="004102A6" w:rsidRDefault="004102A6" w:rsidP="004102A6">
      <w:r>
        <w:t>THE COURT WROTE:</w:t>
      </w:r>
    </w:p>
    <w:p w14:paraId="71E82234" w14:textId="77777777" w:rsidR="004102A6" w:rsidRDefault="004102A6" w:rsidP="004102A6">
      <w:pPr>
        <w:pStyle w:val="NoSpacing"/>
      </w:pPr>
      <w:r>
        <w:t>“</w:t>
      </w:r>
      <w:r w:rsidRPr="00E55309">
        <w:t>This lawsuit arises out of a motor vehicle accident that occurred on July 8,</w:t>
      </w:r>
      <w:r>
        <w:t xml:space="preserve"> </w:t>
      </w:r>
      <w:r w:rsidRPr="00E55309">
        <w:t xml:space="preserve">2021, on Louisiana Highway 182 in St. Landry Parish, Louisiana. Sherri </w:t>
      </w:r>
      <w:proofErr w:type="gramStart"/>
      <w:r w:rsidRPr="00E55309">
        <w:t>Tramble</w:t>
      </w:r>
      <w:r>
        <w:t xml:space="preserve"> </w:t>
      </w:r>
      <w:r w:rsidRPr="00E55309">
        <w:t>(</w:t>
      </w:r>
      <w:r>
        <w:t>‘</w:t>
      </w:r>
      <w:proofErr w:type="gramEnd"/>
      <w:r w:rsidRPr="00E55309">
        <w:t>Sherri</w:t>
      </w:r>
      <w:r>
        <w:t>’</w:t>
      </w:r>
      <w:r w:rsidRPr="00E55309">
        <w:t>), an EMT, was attending a patient in the back of a 2019 Ram Express</w:t>
      </w:r>
      <w:r>
        <w:t xml:space="preserve"> </w:t>
      </w:r>
      <w:r w:rsidRPr="00E55309">
        <w:t>ambulance driven by Margo Bellard. Joshua Briscoe, the driver of a 2019 Chevrolet</w:t>
      </w:r>
      <w:r>
        <w:t xml:space="preserve"> </w:t>
      </w:r>
      <w:r w:rsidRPr="00E55309">
        <w:t xml:space="preserve">Silverado, was traveling north crossing Louisiana Highway 182 </w:t>
      </w:r>
      <w:proofErr w:type="gramStart"/>
      <w:r w:rsidRPr="00E55309">
        <w:t>in order to</w:t>
      </w:r>
      <w:proofErr w:type="gramEnd"/>
      <w:r w:rsidRPr="00E55309">
        <w:t xml:space="preserve"> access</w:t>
      </w:r>
      <w:r>
        <w:t xml:space="preserve"> </w:t>
      </w:r>
      <w:r w:rsidRPr="00E55309">
        <w:t>the U.S. Interstate 49 entrance ramp.</w:t>
      </w:r>
      <w:r>
        <w:t xml:space="preserve"> </w:t>
      </w:r>
      <w:r w:rsidRPr="000C4341">
        <w:t>Plaintiff alleges that Joshua Briscoe failed to yield to the ambulance causing</w:t>
      </w:r>
      <w:r>
        <w:t xml:space="preserve"> </w:t>
      </w:r>
      <w:r w:rsidRPr="000C4341">
        <w:t>the ambulance to strike the rear right side of the 2019 Chevrolet Silverado. It was</w:t>
      </w:r>
      <w:r>
        <w:t xml:space="preserve"> </w:t>
      </w:r>
      <w:r w:rsidRPr="000C4341">
        <w:t>stipulated by the parties that Briscoe was in the course and scope of his employment</w:t>
      </w:r>
      <w:r>
        <w:t xml:space="preserve"> </w:t>
      </w:r>
      <w:r w:rsidRPr="000C4341">
        <w:t xml:space="preserve">with </w:t>
      </w:r>
      <w:proofErr w:type="spellStart"/>
      <w:r w:rsidRPr="000C4341">
        <w:t>Linetec</w:t>
      </w:r>
      <w:proofErr w:type="spellEnd"/>
      <w:r w:rsidRPr="000C4341">
        <w:t xml:space="preserve"> Service, LLC at the time of the subject accident, and </w:t>
      </w:r>
      <w:proofErr w:type="spellStart"/>
      <w:r w:rsidRPr="000C4341">
        <w:t>Linetec</w:t>
      </w:r>
      <w:proofErr w:type="spellEnd"/>
      <w:r w:rsidRPr="000C4341">
        <w:t xml:space="preserve"> Service,</w:t>
      </w:r>
      <w:r>
        <w:t xml:space="preserve"> </w:t>
      </w:r>
      <w:r w:rsidRPr="000C4341">
        <w:t>LLC is responsible for any negligence and fault of Briscoe in connection with the</w:t>
      </w:r>
      <w:r>
        <w:t xml:space="preserve"> </w:t>
      </w:r>
      <w:r w:rsidRPr="000C4341">
        <w:t>Accident</w:t>
      </w:r>
      <w:r>
        <w:t>….</w:t>
      </w:r>
      <w:r w:rsidRPr="00591D60">
        <w:t>After a trial, the jury found the</w:t>
      </w:r>
      <w:r>
        <w:t xml:space="preserve"> </w:t>
      </w:r>
      <w:r w:rsidRPr="00591D60">
        <w:t>defendant driver 100% at fault for the accident and awarded the Plaintiff damages</w:t>
      </w:r>
      <w:r>
        <w:t xml:space="preserve"> </w:t>
      </w:r>
      <w:r w:rsidRPr="00591D60">
        <w:t>totaling $219,742,924.31.</w:t>
      </w:r>
    </w:p>
    <w:p w14:paraId="7175185A" w14:textId="77777777" w:rsidR="004102A6" w:rsidRDefault="004102A6" w:rsidP="004102A6">
      <w:pPr>
        <w:pStyle w:val="NoSpacing"/>
      </w:pPr>
    </w:p>
    <w:p w14:paraId="34343174" w14:textId="77777777" w:rsidR="004102A6" w:rsidRDefault="004102A6" w:rsidP="004102A6">
      <w:pPr>
        <w:pStyle w:val="NoSpacing"/>
        <w:rPr>
          <w:b/>
        </w:rPr>
      </w:pPr>
      <w:r>
        <w:t>***</w:t>
      </w:r>
    </w:p>
    <w:p w14:paraId="5159F340" w14:textId="77777777" w:rsidR="004102A6" w:rsidRDefault="004102A6" w:rsidP="004102A6">
      <w:pPr>
        <w:pStyle w:val="NoSpacing"/>
      </w:pPr>
      <w:r w:rsidRPr="00A60E3D">
        <w:t>We have reviewed both the record before us in this appeal and the applicable</w:t>
      </w:r>
      <w:r>
        <w:t xml:space="preserve"> </w:t>
      </w:r>
      <w:r w:rsidRPr="00A60E3D">
        <w:t>law. As before in the writ application, the evidence in the record is that there is no</w:t>
      </w:r>
      <w:r>
        <w:t xml:space="preserve"> </w:t>
      </w:r>
      <w:r w:rsidRPr="00A60E3D">
        <w:t>law requiring an EMT tending to a patient to use a seat belt, there is no evidence that</w:t>
      </w:r>
      <w:r>
        <w:t xml:space="preserve"> </w:t>
      </w:r>
      <w:r w:rsidRPr="00A60E3D">
        <w:t xml:space="preserve">expert </w:t>
      </w:r>
      <w:r>
        <w:t xml:space="preserve">[John B.] </w:t>
      </w:r>
      <w:proofErr w:type="spellStart"/>
      <w:r w:rsidRPr="00A60E3D">
        <w:t>Everlove</w:t>
      </w:r>
      <w:proofErr w:type="spellEnd"/>
      <w:r w:rsidRPr="00A60E3D">
        <w:t xml:space="preserve"> knew whether Sherri was standing, seated or tending to the patient</w:t>
      </w:r>
      <w:r>
        <w:t xml:space="preserve"> </w:t>
      </w:r>
      <w:r w:rsidRPr="00261229">
        <w:t>at the time of the accident, and there is no evidence that Sherri was not tending to</w:t>
      </w:r>
      <w:r>
        <w:t xml:space="preserve"> t</w:t>
      </w:r>
      <w:r w:rsidRPr="00261229">
        <w:t xml:space="preserve">he patient at the time of the accident. Additionally, it is clear from </w:t>
      </w:r>
      <w:proofErr w:type="spellStart"/>
      <w:r w:rsidRPr="00261229">
        <w:t>Everlove’s</w:t>
      </w:r>
      <w:proofErr w:type="spellEnd"/>
      <w:r>
        <w:t xml:space="preserve"> </w:t>
      </w:r>
      <w:r w:rsidRPr="00261229">
        <w:t>deposition testimony that he did not have any knowledge of circumstances present</w:t>
      </w:r>
      <w:r>
        <w:t xml:space="preserve"> </w:t>
      </w:r>
      <w:r w:rsidRPr="00261229">
        <w:t>in the back of the ambulance prior to the accident. Thus, any opinion by Defendants’</w:t>
      </w:r>
      <w:r>
        <w:t xml:space="preserve"> </w:t>
      </w:r>
      <w:r w:rsidRPr="00261229">
        <w:t>expert as to whether Sherri breached any alleged standard of care of an EMT under</w:t>
      </w:r>
      <w:r>
        <w:t xml:space="preserve"> </w:t>
      </w:r>
      <w:r w:rsidRPr="00261229">
        <w:t>the circumstances present would be of no value.</w:t>
      </w:r>
    </w:p>
    <w:p w14:paraId="02D5BC5D" w14:textId="77777777" w:rsidR="004102A6" w:rsidRDefault="004102A6" w:rsidP="004102A6">
      <w:pPr>
        <w:pStyle w:val="NoSpacing"/>
      </w:pPr>
    </w:p>
    <w:p w14:paraId="5CA7F4A8" w14:textId="77777777" w:rsidR="004102A6" w:rsidRDefault="004102A6" w:rsidP="004102A6">
      <w:pPr>
        <w:pStyle w:val="NoSpacing"/>
      </w:pPr>
      <w:r w:rsidRPr="00925EA8">
        <w:t>Moreover, any opinion that Sherri was at fault for the accident for lack of</w:t>
      </w:r>
      <w:r>
        <w:t xml:space="preserve"> </w:t>
      </w:r>
      <w:r w:rsidRPr="00925EA8">
        <w:t>seat belt usage is rendered meritless by the undisputed circumstances of the accident</w:t>
      </w:r>
      <w:r>
        <w:t xml:space="preserve"> </w:t>
      </w:r>
      <w:r w:rsidRPr="00925EA8">
        <w:t>and the training Saint Landry EMS provided regarding seat belt usage. At the time</w:t>
      </w:r>
      <w:r>
        <w:t xml:space="preserve"> </w:t>
      </w:r>
      <w:r w:rsidRPr="00925EA8">
        <w:t>of the accident, Margo Bellard was driving the ambulance while Krystle Johnson</w:t>
      </w:r>
      <w:r>
        <w:t xml:space="preserve"> </w:t>
      </w:r>
      <w:r w:rsidRPr="00925EA8">
        <w:t>was riding in the front and Sherri was in the back with the patient, Mr. Kenneth Isles.</w:t>
      </w:r>
      <w:r>
        <w:t xml:space="preserve"> </w:t>
      </w:r>
      <w:r w:rsidRPr="00925EA8">
        <w:t>Both Johnson and Bellard testified that while a patient is in the back of the</w:t>
      </w:r>
      <w:r>
        <w:t xml:space="preserve"> </w:t>
      </w:r>
      <w:r w:rsidRPr="00925EA8">
        <w:t>ambulance, it is proper to be unrestrained when doing active care on the patient.</w:t>
      </w:r>
    </w:p>
    <w:p w14:paraId="3261A5B4" w14:textId="77777777" w:rsidR="004102A6" w:rsidRDefault="004102A6" w:rsidP="004102A6">
      <w:pPr>
        <w:rPr>
          <w:b/>
        </w:rPr>
      </w:pPr>
    </w:p>
    <w:p w14:paraId="671EBE9C" w14:textId="77777777" w:rsidR="004102A6" w:rsidRPr="001D0940" w:rsidRDefault="004102A6" w:rsidP="004102A6">
      <w:pPr>
        <w:pStyle w:val="NoSpacing"/>
      </w:pPr>
      <w:r w:rsidRPr="001D0940">
        <w:t>Bellard testified to the following:</w:t>
      </w:r>
    </w:p>
    <w:p w14:paraId="218346CF" w14:textId="77777777" w:rsidR="004102A6" w:rsidRDefault="004102A6" w:rsidP="004102A6">
      <w:pPr>
        <w:pStyle w:val="NoSpacing"/>
      </w:pPr>
    </w:p>
    <w:p w14:paraId="44402866" w14:textId="77777777" w:rsidR="004102A6" w:rsidRPr="001D0940" w:rsidRDefault="004102A6" w:rsidP="004102A6">
      <w:pPr>
        <w:pStyle w:val="NoSpacing"/>
        <w:ind w:firstLine="720"/>
      </w:pPr>
      <w:r w:rsidRPr="001D0940">
        <w:t>Q. And Ms. Johnson told the jury that when she was trained</w:t>
      </w:r>
    </w:p>
    <w:p w14:paraId="6C5AA98B" w14:textId="77777777" w:rsidR="004102A6" w:rsidRPr="001D0940" w:rsidRDefault="004102A6" w:rsidP="004102A6">
      <w:pPr>
        <w:pStyle w:val="NoSpacing"/>
        <w:ind w:firstLine="720"/>
      </w:pPr>
      <w:r w:rsidRPr="001D0940">
        <w:t>by St. Landry EMS, they trained her on when she should</w:t>
      </w:r>
    </w:p>
    <w:p w14:paraId="6D272730" w14:textId="77777777" w:rsidR="004102A6" w:rsidRPr="001D0940" w:rsidRDefault="004102A6" w:rsidP="004102A6">
      <w:pPr>
        <w:pStyle w:val="NoSpacing"/>
        <w:ind w:firstLine="720"/>
      </w:pPr>
      <w:r w:rsidRPr="001D0940">
        <w:t xml:space="preserve">and shouldn’t wear seatbelt [sic] </w:t>
      </w:r>
      <w:proofErr w:type="gramStart"/>
      <w:r w:rsidRPr="001D0940">
        <w:t>in</w:t>
      </w:r>
      <w:proofErr w:type="gramEnd"/>
      <w:r w:rsidRPr="001D0940">
        <w:t xml:space="preserve"> the back of the</w:t>
      </w:r>
    </w:p>
    <w:p w14:paraId="121759A5" w14:textId="77777777" w:rsidR="004102A6" w:rsidRPr="001D0940" w:rsidRDefault="004102A6" w:rsidP="004102A6">
      <w:pPr>
        <w:pStyle w:val="NoSpacing"/>
        <w:ind w:firstLine="720"/>
      </w:pPr>
      <w:r w:rsidRPr="001D0940">
        <w:t>ambulance. Did you receive similar training?</w:t>
      </w:r>
    </w:p>
    <w:p w14:paraId="24D6D680" w14:textId="77777777" w:rsidR="004102A6" w:rsidRPr="001D0940" w:rsidRDefault="004102A6" w:rsidP="004102A6">
      <w:pPr>
        <w:pStyle w:val="NoSpacing"/>
        <w:ind w:firstLine="720"/>
      </w:pPr>
      <w:r w:rsidRPr="001D0940">
        <w:t>A. Correct.</w:t>
      </w:r>
    </w:p>
    <w:p w14:paraId="60EFB1E2" w14:textId="77777777" w:rsidR="004102A6" w:rsidRPr="001D0940" w:rsidRDefault="004102A6" w:rsidP="004102A6">
      <w:pPr>
        <w:pStyle w:val="NoSpacing"/>
        <w:ind w:firstLine="720"/>
      </w:pPr>
      <w:r w:rsidRPr="001D0940">
        <w:t>Q. And she told the jury that while she’s doing that, or while</w:t>
      </w:r>
    </w:p>
    <w:p w14:paraId="66880C95" w14:textId="77777777" w:rsidR="004102A6" w:rsidRPr="001D0940" w:rsidRDefault="004102A6" w:rsidP="004102A6">
      <w:pPr>
        <w:pStyle w:val="NoSpacing"/>
        <w:ind w:firstLine="720"/>
      </w:pPr>
      <w:r w:rsidRPr="001D0940">
        <w:lastRenderedPageBreak/>
        <w:t>somebody in the back of the ambulance is doing active</w:t>
      </w:r>
    </w:p>
    <w:p w14:paraId="0C579609" w14:textId="77777777" w:rsidR="004102A6" w:rsidRPr="001D0940" w:rsidRDefault="004102A6" w:rsidP="004102A6">
      <w:pPr>
        <w:pStyle w:val="NoSpacing"/>
        <w:ind w:firstLine="720"/>
      </w:pPr>
      <w:r w:rsidRPr="001D0940">
        <w:t>care on a patient, it’s okay for them to not be restrained</w:t>
      </w:r>
    </w:p>
    <w:p w14:paraId="17238BF2" w14:textId="77777777" w:rsidR="004102A6" w:rsidRPr="001D0940" w:rsidRDefault="004102A6" w:rsidP="004102A6">
      <w:pPr>
        <w:pStyle w:val="NoSpacing"/>
        <w:ind w:firstLine="720"/>
      </w:pPr>
      <w:r w:rsidRPr="001D0940">
        <w:t>while they’re providing that care. Is that the same</w:t>
      </w:r>
    </w:p>
    <w:p w14:paraId="49BC90FD" w14:textId="77777777" w:rsidR="004102A6" w:rsidRPr="001D0940" w:rsidRDefault="004102A6" w:rsidP="004102A6">
      <w:pPr>
        <w:pStyle w:val="NoSpacing"/>
        <w:ind w:firstLine="720"/>
      </w:pPr>
      <w:r w:rsidRPr="001D0940">
        <w:t>treatment-</w:t>
      </w:r>
    </w:p>
    <w:p w14:paraId="62131E16" w14:textId="77777777" w:rsidR="004102A6" w:rsidRPr="001D0940" w:rsidRDefault="004102A6" w:rsidP="004102A6">
      <w:pPr>
        <w:pStyle w:val="NoSpacing"/>
        <w:ind w:firstLine="720"/>
      </w:pPr>
      <w:r w:rsidRPr="001D0940">
        <w:t>A. Correct.</w:t>
      </w:r>
    </w:p>
    <w:p w14:paraId="12762C94" w14:textId="77777777" w:rsidR="004102A6" w:rsidRPr="001D0940" w:rsidRDefault="004102A6" w:rsidP="004102A6">
      <w:pPr>
        <w:pStyle w:val="NoSpacing"/>
        <w:ind w:firstLine="720"/>
      </w:pPr>
      <w:r w:rsidRPr="001D0940">
        <w:t>Q. ...training that you got?</w:t>
      </w:r>
    </w:p>
    <w:p w14:paraId="5A98E389" w14:textId="77777777" w:rsidR="004102A6" w:rsidRPr="001D0940" w:rsidRDefault="004102A6" w:rsidP="004102A6">
      <w:pPr>
        <w:pStyle w:val="NoSpacing"/>
        <w:ind w:firstLine="720"/>
      </w:pPr>
      <w:r w:rsidRPr="001D0940">
        <w:t>A. mm-hmm. [affirmative]</w:t>
      </w:r>
    </w:p>
    <w:p w14:paraId="365DDA55" w14:textId="77777777" w:rsidR="004102A6" w:rsidRDefault="004102A6" w:rsidP="004102A6">
      <w:pPr>
        <w:pStyle w:val="NoSpacing"/>
      </w:pPr>
    </w:p>
    <w:p w14:paraId="498DC75E" w14:textId="77777777" w:rsidR="004102A6" w:rsidRDefault="004102A6" w:rsidP="004102A6">
      <w:pPr>
        <w:pStyle w:val="NoSpacing"/>
      </w:pPr>
      <w:r w:rsidRPr="001D0940">
        <w:t>Additionally, Bellard testified that it was not possible for an EMT to provide</w:t>
      </w:r>
      <w:r>
        <w:t xml:space="preserve"> </w:t>
      </w:r>
      <w:r w:rsidRPr="001D0940">
        <w:t>care to a patient while buckled in the seat where Sherri was seated. Bellard also</w:t>
      </w:r>
      <w:r>
        <w:t xml:space="preserve"> testified that the patient, Mr. Isles, iterated that Sherri was administering care </w:t>
      </w:r>
      <w:proofErr w:type="gramStart"/>
      <w:r>
        <w:t>to</w:t>
      </w:r>
      <w:proofErr w:type="gramEnd"/>
      <w:r>
        <w:t xml:space="preserve"> him when the wreck happened. These testimonies are undisputed. Accordingly, we find no error in our disposition of Defendants’ previous writ application and no merit to this issue raised again on appeal for review. Therefore,</w:t>
      </w:r>
    </w:p>
    <w:p w14:paraId="5F264ED8" w14:textId="77777777" w:rsidR="004102A6" w:rsidRDefault="004102A6" w:rsidP="004102A6">
      <w:pPr>
        <w:pStyle w:val="NoSpacing"/>
      </w:pPr>
      <w:proofErr w:type="gramStart"/>
      <w:r>
        <w:t>we</w:t>
      </w:r>
      <w:proofErr w:type="gramEnd"/>
      <w:r>
        <w:t xml:space="preserve"> find the trial court was within its discretion to exclude the testimony of</w:t>
      </w:r>
    </w:p>
    <w:p w14:paraId="5BAB8B4F" w14:textId="77777777" w:rsidR="004102A6" w:rsidRDefault="004102A6" w:rsidP="004102A6">
      <w:pPr>
        <w:pStyle w:val="NoSpacing"/>
      </w:pPr>
      <w:r>
        <w:t xml:space="preserve">Defendants’ expert, John B. </w:t>
      </w:r>
      <w:proofErr w:type="spellStart"/>
      <w:r>
        <w:t>Everlove</w:t>
      </w:r>
      <w:proofErr w:type="spellEnd"/>
      <w:r>
        <w:t>.”</w:t>
      </w:r>
    </w:p>
    <w:p w14:paraId="5F0C438B" w14:textId="77777777" w:rsidR="004102A6" w:rsidRDefault="004102A6" w:rsidP="004102A6">
      <w:pPr>
        <w:pStyle w:val="NoSpacing"/>
      </w:pPr>
    </w:p>
    <w:p w14:paraId="74881046" w14:textId="77777777" w:rsidR="004102A6" w:rsidRPr="006F2C17" w:rsidRDefault="004102A6" w:rsidP="004102A6">
      <w:pPr>
        <w:pStyle w:val="NoSpacing"/>
        <w:rPr>
          <w:b/>
          <w:bCs/>
        </w:rPr>
      </w:pPr>
      <w:r>
        <w:rPr>
          <w:b/>
        </w:rPr>
        <w:t xml:space="preserve">Legal lesson learned: Tragic accident, but no </w:t>
      </w:r>
      <w:r w:rsidRPr="00AD4347">
        <w:rPr>
          <w:b/>
        </w:rPr>
        <w:t>Louisiana</w:t>
      </w:r>
      <w:r>
        <w:rPr>
          <w:b/>
        </w:rPr>
        <w:t xml:space="preserve"> law requiring EMT to wear seat belt when tending to patient in rear of ambulance. </w:t>
      </w:r>
    </w:p>
    <w:p w14:paraId="22E53309" w14:textId="77777777" w:rsidR="004102A6" w:rsidRDefault="004102A6" w:rsidP="004102A6">
      <w:pPr>
        <w:rPr>
          <w:b/>
        </w:rPr>
      </w:pPr>
    </w:p>
    <w:p w14:paraId="4DE39F6F" w14:textId="77777777" w:rsidR="004102A6" w:rsidRPr="000D486A" w:rsidRDefault="004102A6" w:rsidP="004102A6">
      <w:pPr>
        <w:ind w:left="720"/>
        <w:rPr>
          <w:bCs/>
        </w:rPr>
      </w:pPr>
      <w:r w:rsidRPr="000D486A">
        <w:t xml:space="preserve">Note: See this Nov. 14, </w:t>
      </w:r>
      <w:proofErr w:type="gramStart"/>
      <w:r w:rsidRPr="000D486A">
        <w:t>2025</w:t>
      </w:r>
      <w:proofErr w:type="gramEnd"/>
      <w:r w:rsidRPr="000D486A">
        <w:t xml:space="preserve"> article, “6 lifesaving seat belt tips for EMTs and paramedics. Try these tips to make seat belt use in the patient care compartment just as normal as your personal </w:t>
      </w:r>
      <w:proofErr w:type="gramStart"/>
      <w:r w:rsidRPr="000D486A">
        <w:t>vehicle.”</w:t>
      </w:r>
      <w:proofErr w:type="gramEnd"/>
      <w:r w:rsidRPr="000D486A">
        <w:t xml:space="preserve"> </w:t>
      </w:r>
      <w:r>
        <w:t xml:space="preserve"> </w:t>
      </w:r>
      <w:hyperlink r:id="rId939" w:history="1">
        <w:r w:rsidRPr="004F5883">
          <w:rPr>
            <w:rStyle w:val="Hyperlink"/>
          </w:rPr>
          <w:t>https://www.ems1.com/ems-products/ambulance-safety/articles/6-lifesaving-seat-belt-tips-for-emts-and-paramedics-Xz0h9ek4lqN37Hmc/</w:t>
        </w:r>
      </w:hyperlink>
      <w:r w:rsidRPr="000D486A">
        <w:t xml:space="preserve"> </w:t>
      </w:r>
    </w:p>
    <w:p w14:paraId="306843E3" w14:textId="77777777" w:rsidR="004102A6" w:rsidRDefault="004102A6" w:rsidP="004102A6">
      <w:pPr>
        <w:rPr>
          <w:b/>
        </w:rPr>
      </w:pPr>
    </w:p>
    <w:p w14:paraId="22AEC63C" w14:textId="77777777" w:rsidR="004102A6" w:rsidRDefault="004102A6" w:rsidP="004102A6">
      <w:pPr>
        <w:pStyle w:val="NoSpacing"/>
        <w:rPr>
          <w:b/>
          <w:sz w:val="20"/>
          <w:szCs w:val="20"/>
        </w:rPr>
      </w:pPr>
    </w:p>
    <w:p w14:paraId="5F5C7B1A" w14:textId="78F20460" w:rsidR="004102A6" w:rsidRDefault="004102A6" w:rsidP="004102A6">
      <w:pPr>
        <w:pStyle w:val="NoSpacing"/>
        <w:rPr>
          <w:rFonts w:ascii="Arial Black" w:hAnsi="Arial Black"/>
          <w:sz w:val="28"/>
          <w:szCs w:val="28"/>
        </w:rPr>
      </w:pPr>
      <w:r>
        <w:rPr>
          <w:rFonts w:ascii="Arial Black" w:hAnsi="Arial Black"/>
          <w:sz w:val="28"/>
          <w:szCs w:val="28"/>
        </w:rPr>
        <w:t>5-66</w:t>
      </w:r>
    </w:p>
    <w:p w14:paraId="1FC59905" w14:textId="77777777" w:rsidR="004102A6" w:rsidRDefault="004102A6" w:rsidP="004102A6">
      <w:pPr>
        <w:pStyle w:val="NoSpacing"/>
        <w:rPr>
          <w:rFonts w:ascii="Arial Black" w:hAnsi="Arial Black"/>
          <w:sz w:val="28"/>
          <w:szCs w:val="28"/>
        </w:rPr>
      </w:pPr>
    </w:p>
    <w:p w14:paraId="79EB6E22" w14:textId="77777777" w:rsidR="004102A6" w:rsidRDefault="004102A6" w:rsidP="004102A6">
      <w:pPr>
        <w:pStyle w:val="NoSpacing"/>
      </w:pPr>
      <w:r>
        <w:rPr>
          <w:rFonts w:ascii="Arial Black" w:hAnsi="Arial Black"/>
          <w:sz w:val="28"/>
          <w:szCs w:val="28"/>
        </w:rPr>
        <w:t xml:space="preserve">TX: CRASH INTER - 20 MPH – SLOW DOWN “IF NECESSARY” </w:t>
      </w:r>
    </w:p>
    <w:p w14:paraId="57ECF873" w14:textId="77777777" w:rsidR="004102A6" w:rsidRDefault="004102A6" w:rsidP="004102A6">
      <w:pPr>
        <w:pStyle w:val="NoSpacing"/>
      </w:pPr>
    </w:p>
    <w:p w14:paraId="39043569" w14:textId="77777777" w:rsidR="004102A6" w:rsidRDefault="004102A6" w:rsidP="004102A6">
      <w:r>
        <w:t xml:space="preserve">On June 30, 2026, in </w:t>
      </w:r>
      <w:r w:rsidRPr="00DC50BD">
        <w:rPr>
          <w:u w:val="single"/>
        </w:rPr>
        <w:t>Oscar Lopez v. City of Houston</w:t>
      </w:r>
      <w:r>
        <w:t xml:space="preserve">, the </w:t>
      </w:r>
      <w:r w:rsidRPr="00DC50BD">
        <w:t>Court of Appeals of Texas, Fourteenth District</w:t>
      </w:r>
      <w:r>
        <w:t xml:space="preserve"> held (3 to 0) that trial court properly granted judgment for the City, under the “emergency exception” for municipal liability.  The lead engine entered intersection going 20 mph, with two vehicles stopped. Video from nearby business showed he didn’t slow down; statute only requires slow down “as necessary for safe operation.” See Tex. Transp. Code §546.001(2). </w:t>
      </w:r>
      <w:hyperlink r:id="rId940" w:history="1">
        <w:r w:rsidRPr="004F5883">
          <w:rPr>
            <w:rStyle w:val="Hyperlink"/>
          </w:rPr>
          <w:t>https://cases.justia.com/texas/fourteenth-court-of-appeals/2026-14-25-00343-cv.pdf?ts=1782834443</w:t>
        </w:r>
      </w:hyperlink>
      <w:r>
        <w:t xml:space="preserve"> </w:t>
      </w:r>
    </w:p>
    <w:p w14:paraId="7181CA9E" w14:textId="77777777" w:rsidR="004102A6" w:rsidRDefault="004102A6" w:rsidP="004102A6"/>
    <w:p w14:paraId="1B47088F" w14:textId="77777777" w:rsidR="004102A6" w:rsidRDefault="004102A6" w:rsidP="004102A6">
      <w:r>
        <w:t>THE COURT WROTE:</w:t>
      </w:r>
    </w:p>
    <w:p w14:paraId="0F2024DA" w14:textId="77777777" w:rsidR="004102A6" w:rsidRDefault="004102A6" w:rsidP="004102A6">
      <w:pPr>
        <w:pStyle w:val="NoSpacing"/>
      </w:pPr>
      <w:r>
        <w:t>“</w:t>
      </w:r>
      <w:r w:rsidRPr="003E796F">
        <w:t>At approximately 5:00 a.m. on February 6, 2021, Houston Fire Department</w:t>
      </w:r>
      <w:r>
        <w:t xml:space="preserve"> </w:t>
      </w:r>
      <w:r w:rsidRPr="003E796F">
        <w:t>(</w:t>
      </w:r>
      <w:r>
        <w:t>‘</w:t>
      </w:r>
      <w:r w:rsidRPr="003E796F">
        <w:t>HFD</w:t>
      </w:r>
      <w:r>
        <w:t>’</w:t>
      </w:r>
      <w:r w:rsidRPr="003E796F">
        <w:t>) Station 93 received a 9-1-1 dispatch regarding a house fire. Two units from</w:t>
      </w:r>
      <w:r>
        <w:t xml:space="preserve"> </w:t>
      </w:r>
      <w:r w:rsidRPr="003E796F">
        <w:t>Station 93 were dispatched to address the fire, Engine 93 and Ladder 93, along</w:t>
      </w:r>
      <w:r>
        <w:t xml:space="preserve"> </w:t>
      </w:r>
      <w:r w:rsidRPr="003E796F">
        <w:t>with Engine 52 from Station 52.</w:t>
      </w:r>
      <w:r>
        <w:t xml:space="preserve"> </w:t>
      </w:r>
      <w:r w:rsidRPr="003E796F">
        <w:t>Upon receiving the dispatch orders, HFD Engineer/Operator Anthony</w:t>
      </w:r>
      <w:r>
        <w:t xml:space="preserve"> </w:t>
      </w:r>
      <w:r w:rsidRPr="003E796F">
        <w:t>Grizzaffi, HFD Junior Captain Erick Mikel, as well as other HFD fire fighters</w:t>
      </w:r>
      <w:r>
        <w:t xml:space="preserve"> </w:t>
      </w:r>
      <w:r w:rsidRPr="003E796F">
        <w:t>boarded Engine 93. Engineer/Operator Grizzaffi was the assigned driver of Engine</w:t>
      </w:r>
      <w:r>
        <w:t xml:space="preserve"> </w:t>
      </w:r>
      <w:r w:rsidRPr="003E796F">
        <w:t>93, and Junior Captain Mikel rode in the front passenger seat of Engine 93</w:t>
      </w:r>
      <w:r>
        <w:t xml:space="preserve">…. </w:t>
      </w:r>
      <w:r w:rsidRPr="00EA57A1">
        <w:t>Engineer/Operator Grizzaffi and Captain Mikel both observed two vehicles at</w:t>
      </w:r>
      <w:r>
        <w:t xml:space="preserve"> </w:t>
      </w:r>
      <w:r w:rsidRPr="00EA57A1">
        <w:t>the intersection yielding the right of way to Engine 93 and the other two HFD units;</w:t>
      </w:r>
      <w:r>
        <w:t xml:space="preserve"> </w:t>
      </w:r>
      <w:r w:rsidRPr="00EA57A1">
        <w:t xml:space="preserve">one was stopped in the designated left-turn </w:t>
      </w:r>
      <w:proofErr w:type="gramStart"/>
      <w:r w:rsidRPr="00EA57A1">
        <w:t>lane</w:t>
      </w:r>
      <w:proofErr w:type="gramEnd"/>
      <w:r w:rsidRPr="00EA57A1">
        <w:t xml:space="preserve"> and one was stopped in the middle</w:t>
      </w:r>
      <w:r>
        <w:t xml:space="preserve"> </w:t>
      </w:r>
      <w:r w:rsidRPr="00EA57A1">
        <w:t>lane. Grizzaffi stated in his affidavit that he was driving at under twenty miles per</w:t>
      </w:r>
      <w:r>
        <w:t xml:space="preserve"> </w:t>
      </w:r>
      <w:r w:rsidRPr="00EA57A1">
        <w:t>hour as he passed through the intersection. As the front quadrant of Engine 93</w:t>
      </w:r>
      <w:r>
        <w:t xml:space="preserve"> </w:t>
      </w:r>
      <w:r w:rsidRPr="00EA57A1">
        <w:t xml:space="preserve">passed through the three lanes of the intersection, Grizzaffi heard a </w:t>
      </w:r>
      <w:r>
        <w:t>‘</w:t>
      </w:r>
      <w:r w:rsidRPr="00EA57A1">
        <w:t>metallic</w:t>
      </w:r>
      <w:r>
        <w:t xml:space="preserve"> </w:t>
      </w:r>
      <w:r w:rsidRPr="00EA57A1">
        <w:t>thump.</w:t>
      </w:r>
      <w:r>
        <w:t xml:space="preserve">’ </w:t>
      </w:r>
      <w:r w:rsidRPr="00EA57A1">
        <w:t xml:space="preserve">Grizzaffi later learned that Lopez had </w:t>
      </w:r>
      <w:r>
        <w:t>‘</w:t>
      </w:r>
      <w:r w:rsidRPr="00EA57A1">
        <w:t>t-boned</w:t>
      </w:r>
      <w:r>
        <w:t xml:space="preserve">’ </w:t>
      </w:r>
      <w:r w:rsidRPr="00EA57A1">
        <w:t>Engine 93 in a Nissan Sentra</w:t>
      </w:r>
      <w:r>
        <w:t xml:space="preserve"> </w:t>
      </w:r>
      <w:r w:rsidRPr="00EA57A1">
        <w:t xml:space="preserve">as Engine 93 passed </w:t>
      </w:r>
      <w:r w:rsidRPr="00EA57A1">
        <w:lastRenderedPageBreak/>
        <w:t>through the intersection. The Sentra struck Engine 93 behind</w:t>
      </w:r>
      <w:r>
        <w:t xml:space="preserve"> </w:t>
      </w:r>
      <w:r w:rsidRPr="00EA57A1">
        <w:t>the engine’s front passenger wheel, which is located approximately seven feet</w:t>
      </w:r>
      <w:r>
        <w:t xml:space="preserve"> </w:t>
      </w:r>
      <w:r w:rsidRPr="00EA57A1">
        <w:t>behind the front of the front bumper.</w:t>
      </w:r>
    </w:p>
    <w:p w14:paraId="5F327CEF" w14:textId="77777777" w:rsidR="004102A6" w:rsidRDefault="004102A6" w:rsidP="004102A6">
      <w:pPr>
        <w:pStyle w:val="NoSpacing"/>
      </w:pPr>
    </w:p>
    <w:p w14:paraId="2EEFD071" w14:textId="77777777" w:rsidR="004102A6" w:rsidRDefault="004102A6" w:rsidP="004102A6">
      <w:pPr>
        <w:pStyle w:val="NoSpacing"/>
      </w:pPr>
      <w:r>
        <w:t>***</w:t>
      </w:r>
    </w:p>
    <w:p w14:paraId="411C3CF1" w14:textId="77777777" w:rsidR="004102A6" w:rsidRDefault="004102A6" w:rsidP="004102A6">
      <w:pPr>
        <w:pStyle w:val="NoSpacing"/>
      </w:pPr>
    </w:p>
    <w:p w14:paraId="735AC4BC" w14:textId="77777777" w:rsidR="004102A6" w:rsidRDefault="004102A6" w:rsidP="004102A6">
      <w:pPr>
        <w:pStyle w:val="NoSpacing"/>
      </w:pPr>
      <w:r>
        <w:t>Lopez filed deposition testimony from investigating policeman Officer Wu that surveillance video obtained from a nearby business showed Engine 93 did not slow down before crossing the intersection…. Officer Wu testified that he reviewed surveillance video of the three HFD units passing through the intersection. Wu testified that while he did not see Lopez strike Engine 93 on the video, he noticed that Engine 93 did not slow down before it passed through the intersection, whereas Ladder 93 and Engine 52 slowed down before driving through the intersection. Wu testified that he could see on the video that all three units had their emergency lights activated at the time. The excerpts from Wu’s deposition did not include any indication whether the sirens on the HFD units were audible at the time of the collision…. Under the facts presented, these fact issues preclude a conclusive showing of good faith and therefore preclude summary judgment based on official immunity.</w:t>
      </w:r>
    </w:p>
    <w:p w14:paraId="7C3A62AB" w14:textId="77777777" w:rsidR="004102A6" w:rsidRDefault="004102A6" w:rsidP="004102A6">
      <w:pPr>
        <w:pStyle w:val="NoSpacing"/>
      </w:pPr>
    </w:p>
    <w:p w14:paraId="66E83C6B" w14:textId="77777777" w:rsidR="004102A6" w:rsidRDefault="004102A6" w:rsidP="004102A6">
      <w:pPr>
        <w:pStyle w:val="NoSpacing"/>
      </w:pPr>
      <w:r>
        <w:t>Transportation Code section 546.001(2) applies to emergency action and is at issue here. Section 546.001(2) provides that when responding to an emergency call, an operator of an emergency vehicle may ‘proceed past a red or stop signal or stop sign, after slowing as necessary for safe operation[.]’ See Tex. Transp. Code §546.001(2). Slowing as necessary, however, does not relieve a driver of an emergency vehicle from “the consequences of reckless disregard for the safety of others.” Id. § 546.005(2)…. Under these facts, it was not necessary for Grizzaffi to slow Engine 93 further before entering the intersection…. because the summary-judgment evidence conclusively shows the emergency exception applies, the trial court did not err by granting final summary judgment in the City’s favor.”</w:t>
      </w:r>
    </w:p>
    <w:p w14:paraId="7662D046" w14:textId="77777777" w:rsidR="004102A6" w:rsidRDefault="004102A6" w:rsidP="004102A6">
      <w:pPr>
        <w:pStyle w:val="NoSpacing"/>
      </w:pPr>
    </w:p>
    <w:p w14:paraId="47DD13DA" w14:textId="77777777" w:rsidR="004102A6" w:rsidRPr="001A7905" w:rsidRDefault="004102A6" w:rsidP="004102A6">
      <w:pPr>
        <w:pStyle w:val="NoSpacing"/>
        <w:rPr>
          <w:b/>
          <w:bCs/>
        </w:rPr>
      </w:pPr>
      <w:r w:rsidRPr="001A7905">
        <w:rPr>
          <w:b/>
        </w:rPr>
        <w:t xml:space="preserve">Legal lesson learned: </w:t>
      </w:r>
      <w:r>
        <w:rPr>
          <w:b/>
        </w:rPr>
        <w:t xml:space="preserve"> The evidence showed the FAO was driving safely when entering intersection, with lights and siren, at 20 mph. </w:t>
      </w:r>
    </w:p>
    <w:p w14:paraId="074F66F1" w14:textId="77777777" w:rsidR="004102A6" w:rsidRDefault="004102A6" w:rsidP="004102A6">
      <w:pPr>
        <w:pStyle w:val="NoSpacing"/>
        <w:rPr>
          <w:b/>
          <w:sz w:val="20"/>
          <w:szCs w:val="20"/>
        </w:rPr>
      </w:pPr>
    </w:p>
    <w:p w14:paraId="0C2CEFBD" w14:textId="77777777" w:rsidR="004102A6" w:rsidRDefault="004102A6" w:rsidP="004102A6">
      <w:pPr>
        <w:pStyle w:val="NoSpacing"/>
        <w:rPr>
          <w:b/>
          <w:sz w:val="20"/>
          <w:szCs w:val="20"/>
        </w:rPr>
      </w:pPr>
    </w:p>
    <w:p w14:paraId="252C9B0E" w14:textId="77777777" w:rsidR="004102A6" w:rsidRDefault="004102A6" w:rsidP="00574CD1">
      <w:pPr>
        <w:rPr>
          <w:rFonts w:ascii="Arial Black" w:hAnsi="Arial Black"/>
          <w:sz w:val="28"/>
          <w:szCs w:val="28"/>
        </w:rPr>
      </w:pPr>
    </w:p>
    <w:p w14:paraId="0137AAF2" w14:textId="41F9BF4C" w:rsidR="00574CD1" w:rsidRDefault="00574CD1" w:rsidP="00574CD1">
      <w:pPr>
        <w:rPr>
          <w:rFonts w:ascii="Arial Black" w:hAnsi="Arial Black"/>
          <w:sz w:val="28"/>
          <w:szCs w:val="28"/>
        </w:rPr>
      </w:pPr>
      <w:r>
        <w:rPr>
          <w:rFonts w:ascii="Arial Black" w:hAnsi="Arial Black"/>
          <w:sz w:val="28"/>
          <w:szCs w:val="28"/>
        </w:rPr>
        <w:t>5-65</w:t>
      </w:r>
    </w:p>
    <w:p w14:paraId="58065D71" w14:textId="77777777" w:rsidR="0016116D" w:rsidRPr="00A21FFE" w:rsidRDefault="0016116D" w:rsidP="0016116D">
      <w:pPr>
        <w:pStyle w:val="NoSpacing"/>
        <w:rPr>
          <w:rFonts w:ascii="Arial Black" w:hAnsi="Arial Black"/>
          <w:b/>
          <w:sz w:val="28"/>
          <w:szCs w:val="28"/>
        </w:rPr>
      </w:pPr>
      <w:r>
        <w:rPr>
          <w:rFonts w:ascii="Arial Black" w:hAnsi="Arial Black"/>
          <w:b/>
          <w:sz w:val="28"/>
          <w:szCs w:val="28"/>
        </w:rPr>
        <w:t>TX: DRUNK RUNS INTO FIRETRUCK – 3</w:t>
      </w:r>
      <w:r w:rsidRPr="00A21FFE">
        <w:rPr>
          <w:rFonts w:ascii="Arial Black" w:hAnsi="Arial Black"/>
          <w:b/>
          <w:sz w:val="28"/>
          <w:szCs w:val="28"/>
          <w:vertAlign w:val="superscript"/>
        </w:rPr>
        <w:t>rd</w:t>
      </w:r>
      <w:r>
        <w:rPr>
          <w:rFonts w:ascii="Arial Black" w:hAnsi="Arial Black"/>
          <w:b/>
          <w:sz w:val="28"/>
          <w:szCs w:val="28"/>
        </w:rPr>
        <w:t xml:space="preserve"> CONV. – 50 YEARS</w:t>
      </w:r>
    </w:p>
    <w:p w14:paraId="073BB02A" w14:textId="77777777" w:rsidR="0016116D" w:rsidRDefault="0016116D" w:rsidP="0016116D">
      <w:pPr>
        <w:pStyle w:val="NoSpacing"/>
        <w:rPr>
          <w:b/>
        </w:rPr>
      </w:pPr>
    </w:p>
    <w:p w14:paraId="17E1F541" w14:textId="77777777" w:rsidR="0016116D" w:rsidRDefault="0016116D" w:rsidP="0016116D">
      <w:pPr>
        <w:pStyle w:val="NoSpacing"/>
      </w:pPr>
      <w:r>
        <w:t xml:space="preserve">On June 24, 2026, in </w:t>
      </w:r>
      <w:r w:rsidRPr="005830A9">
        <w:rPr>
          <w:u w:val="single"/>
        </w:rPr>
        <w:t>Dennis Lee Giddings v. The State of Texas</w:t>
      </w:r>
      <w:r>
        <w:t xml:space="preserve">, the </w:t>
      </w:r>
      <w:r w:rsidRPr="005830A9">
        <w:t>Court of Appeals of Texas, Fourth District, San Antonio</w:t>
      </w:r>
      <w:r>
        <w:t xml:space="preserve"> held (3 to 0; unpublished) that jury properly convicted the defendant </w:t>
      </w:r>
      <w:r w:rsidRPr="00D8691B">
        <w:t xml:space="preserve">for driving while intoxicated, </w:t>
      </w:r>
      <w:r>
        <w:t xml:space="preserve">two prior felony convictions, </w:t>
      </w:r>
      <w:r w:rsidRPr="00774DA1">
        <w:t xml:space="preserve">and it assessed his punishment at 50 years' confinement. </w:t>
      </w:r>
      <w:r w:rsidRPr="00766685">
        <w:t xml:space="preserve">The trial court subsequently signed a judgment of conviction that was consistent with the jury's verdict. </w:t>
      </w:r>
      <w:r>
        <w:t>The defendant on appeal argued that the firefighter testified not only what was in his accident report, but also that the defendant was combative – Court rejected this defense. The Court wrote:  “</w:t>
      </w:r>
      <w:r w:rsidRPr="00E378D5">
        <w:t>But the record does not contain any evidence that the</w:t>
      </w:r>
      <w:r>
        <w:t xml:space="preserve"> State knew Gregory planned to testify about the distance between the two vehicles or that Giddings swatted his hand away when he </w:t>
      </w:r>
      <w:proofErr w:type="gramStart"/>
      <w:r>
        <w:t>offered assistance</w:t>
      </w:r>
      <w:proofErr w:type="gramEnd"/>
      <w:r>
        <w:t>. To the contrary, the State affirmatively represented below that it, like Giddings, was hearing those details “for the first time.” Under these circumstances, the trial court did not abuse its discretion by overruling Giddings’s Article 39.14 objection.”</w:t>
      </w:r>
      <w:hyperlink r:id="rId941" w:history="1">
        <w:r w:rsidRPr="00014504">
          <w:rPr>
            <w:rStyle w:val="Hyperlink"/>
          </w:rPr>
          <w:t>https://cases.justia.com/texas/fourth-court-of-appeals/2026-04-25-00487-cr.pdf?ts=1782304969</w:t>
        </w:r>
      </w:hyperlink>
      <w:r>
        <w:t xml:space="preserve"> </w:t>
      </w:r>
    </w:p>
    <w:p w14:paraId="528A88B7" w14:textId="77777777" w:rsidR="0016116D" w:rsidRDefault="0016116D" w:rsidP="0016116D">
      <w:pPr>
        <w:pStyle w:val="NoSpacing"/>
      </w:pPr>
    </w:p>
    <w:p w14:paraId="27ABC6F9" w14:textId="77777777" w:rsidR="0016116D" w:rsidRPr="00503492" w:rsidRDefault="0016116D" w:rsidP="0016116D">
      <w:pPr>
        <w:pStyle w:val="NoSpacing"/>
        <w:rPr>
          <w:b/>
          <w:bCs/>
        </w:rPr>
      </w:pPr>
      <w:r w:rsidRPr="00503492">
        <w:rPr>
          <w:b/>
        </w:rPr>
        <w:t xml:space="preserve">FACTS: </w:t>
      </w:r>
    </w:p>
    <w:p w14:paraId="03FD06EB" w14:textId="77777777" w:rsidR="0016116D" w:rsidRDefault="0016116D" w:rsidP="0016116D">
      <w:pPr>
        <w:pStyle w:val="NoSpacing"/>
      </w:pPr>
    </w:p>
    <w:p w14:paraId="1CFF0B4A" w14:textId="77777777" w:rsidR="0016116D" w:rsidRPr="007F2543" w:rsidRDefault="0016116D" w:rsidP="0016116D">
      <w:pPr>
        <w:pStyle w:val="NoSpacing"/>
      </w:pPr>
      <w:r>
        <w:t>“</w:t>
      </w:r>
      <w:r w:rsidRPr="007F2543">
        <w:t xml:space="preserve">On July 4, 2024, Giddings was involved in an automobile collision with a City of Boerne firetruck. Giddings maintained that the firetruck hit him, while the truck's driver testified that </w:t>
      </w:r>
    </w:p>
    <w:p w14:paraId="7F60C5E9" w14:textId="77777777" w:rsidR="0016116D" w:rsidRDefault="0016116D" w:rsidP="0016116D">
      <w:pPr>
        <w:pStyle w:val="NoSpacing"/>
      </w:pPr>
      <w:r w:rsidRPr="007F2543">
        <w:t xml:space="preserve">Giddings entered his lane and collided with the back of the truck. The police officers who responded to the collision believed Giddings was intoxicated, and they arrested him. A Kendall County grand jury indicted him for driving while intoxicated, third or more. </w:t>
      </w:r>
    </w:p>
    <w:p w14:paraId="3E95660B" w14:textId="77777777" w:rsidR="0016116D" w:rsidRDefault="0016116D" w:rsidP="0016116D">
      <w:pPr>
        <w:pStyle w:val="NoSpacing"/>
      </w:pPr>
    </w:p>
    <w:p w14:paraId="04788B24" w14:textId="77777777" w:rsidR="0016116D" w:rsidRDefault="0016116D" w:rsidP="0016116D">
      <w:pPr>
        <w:pStyle w:val="NoSpacing"/>
      </w:pPr>
      <w:r>
        <w:lastRenderedPageBreak/>
        <w:t>***</w:t>
      </w:r>
    </w:p>
    <w:p w14:paraId="1F7EA112" w14:textId="77777777" w:rsidR="0016116D" w:rsidRDefault="0016116D" w:rsidP="0016116D">
      <w:pPr>
        <w:pStyle w:val="NoSpacing"/>
      </w:pPr>
    </w:p>
    <w:p w14:paraId="57F603D5" w14:textId="77777777" w:rsidR="0016116D" w:rsidRPr="00F503BB" w:rsidRDefault="0016116D" w:rsidP="0016116D">
      <w:pPr>
        <w:pStyle w:val="NoSpacing"/>
      </w:pPr>
      <w:r w:rsidRPr="00F503BB">
        <w:t xml:space="preserve"> Gregory testified without objection that after the collision, he noticed that Giddings's vehicle came to rest </w:t>
      </w:r>
      <w:r>
        <w:t>‘</w:t>
      </w:r>
      <w:r w:rsidRPr="00F503BB">
        <w:t>a substantial distance,</w:t>
      </w:r>
      <w:r>
        <w:t>’</w:t>
      </w:r>
      <w:r w:rsidRPr="00F503BB">
        <w:t xml:space="preserve"> which he estimated to be 1,180 </w:t>
      </w:r>
      <w:proofErr w:type="gramStart"/>
      <w:r w:rsidRPr="00F503BB">
        <w:t>feet,</w:t>
      </w:r>
      <w:proofErr w:type="gramEnd"/>
      <w:r w:rsidRPr="00F503BB">
        <w:t xml:space="preserve"> away from the </w:t>
      </w:r>
    </w:p>
    <w:p w14:paraId="13FDE97C" w14:textId="77777777" w:rsidR="0016116D" w:rsidRDefault="0016116D" w:rsidP="0016116D">
      <w:pPr>
        <w:pStyle w:val="NoSpacing"/>
      </w:pPr>
      <w:r w:rsidRPr="00F503BB">
        <w:t xml:space="preserve">firetruck and the collision site. He explained that the distance between the two vehicles led him to </w:t>
      </w:r>
      <w:proofErr w:type="gramStart"/>
      <w:r w:rsidRPr="00F503BB">
        <w:t xml:space="preserve">believe </w:t>
      </w:r>
      <w:r>
        <w:t>‘</w:t>
      </w:r>
      <w:r w:rsidRPr="00F503BB">
        <w:t>[t]hat</w:t>
      </w:r>
      <w:proofErr w:type="gramEnd"/>
      <w:r w:rsidRPr="00F503BB">
        <w:t xml:space="preserve"> there was a high rate of speed involved from [Giddings's] vehicle to have slid that far or there was just complete lack of control of the vehicle.</w:t>
      </w:r>
      <w:r>
        <w:t>’</w:t>
      </w:r>
      <w:r w:rsidRPr="00F503BB">
        <w:t xml:space="preserve"> He further testified that as he was trying to assess Giddings's physical condition after the collision, Giddings swore at him, ignored his instructions to stay seated until further assistance arrived, and </w:t>
      </w:r>
      <w:r>
        <w:t>‘</w:t>
      </w:r>
      <w:r w:rsidRPr="00F503BB">
        <w:t>swatted [his hand] away</w:t>
      </w:r>
      <w:r>
        <w:t>’</w:t>
      </w:r>
      <w:r w:rsidRPr="00F503BB">
        <w:t xml:space="preserve"> when he tried to help Giddings out of his crashed vehicle. Gregory also testified that he noticed </w:t>
      </w:r>
      <w:r>
        <w:t>‘</w:t>
      </w:r>
      <w:r w:rsidRPr="00F503BB">
        <w:t>a strong smell of alcohol coming from the vehicle.</w:t>
      </w:r>
      <w:r>
        <w:t>’”</w:t>
      </w:r>
    </w:p>
    <w:p w14:paraId="0EF2EB21" w14:textId="77777777" w:rsidR="0016116D" w:rsidRDefault="0016116D" w:rsidP="0016116D">
      <w:pPr>
        <w:pStyle w:val="NoSpacing"/>
      </w:pPr>
    </w:p>
    <w:p w14:paraId="1833037E" w14:textId="77777777" w:rsidR="0016116D" w:rsidRDefault="0016116D" w:rsidP="0016116D">
      <w:pPr>
        <w:pStyle w:val="NoSpacing"/>
        <w:rPr>
          <w:b/>
          <w:bCs/>
        </w:rPr>
      </w:pPr>
      <w:r w:rsidRPr="00193B24">
        <w:rPr>
          <w:b/>
        </w:rPr>
        <w:t xml:space="preserve">COURT HELD: </w:t>
      </w:r>
    </w:p>
    <w:p w14:paraId="7819BC95" w14:textId="77777777" w:rsidR="0016116D" w:rsidRDefault="0016116D" w:rsidP="0016116D">
      <w:pPr>
        <w:pStyle w:val="NoSpacing"/>
        <w:rPr>
          <w:b/>
          <w:bCs/>
        </w:rPr>
      </w:pPr>
    </w:p>
    <w:p w14:paraId="0E6488BB" w14:textId="77777777" w:rsidR="0016116D" w:rsidRDefault="0016116D" w:rsidP="0016116D">
      <w:pPr>
        <w:pStyle w:val="NoSpacing"/>
      </w:pPr>
      <w:r>
        <w:t>“</w:t>
      </w:r>
      <w:r w:rsidRPr="00CF41C3">
        <w:t> In his first issue, Giddings argues the State violated its discovery obligations regarding testimony from Matthew Gregory, the firefighter and EMT who was driving the firetruck and who tried to assess Giddings at the scene. Giddings contends that the State had an obligation to disclose that Gregory's trial testimony would include details not recited in his written EMT report.</w:t>
      </w:r>
    </w:p>
    <w:p w14:paraId="41DE374A" w14:textId="77777777" w:rsidR="0016116D" w:rsidRDefault="0016116D" w:rsidP="0016116D">
      <w:pPr>
        <w:pStyle w:val="NoSpacing"/>
      </w:pPr>
    </w:p>
    <w:p w14:paraId="04FBE50F" w14:textId="77777777" w:rsidR="0016116D" w:rsidRDefault="0016116D" w:rsidP="0016116D">
      <w:pPr>
        <w:pStyle w:val="NoSpacing"/>
      </w:pPr>
      <w:r>
        <w:t>***</w:t>
      </w:r>
    </w:p>
    <w:p w14:paraId="4E8F1563" w14:textId="77777777" w:rsidR="0016116D" w:rsidRDefault="0016116D" w:rsidP="0016116D">
      <w:pPr>
        <w:pStyle w:val="NoSpacing"/>
      </w:pPr>
      <w:r w:rsidRPr="006C238E">
        <w:t>Here, Gregory's testimony about the post-collision distance between the firetruck and Giddings's vehicle was corroborated by Trooper Robert Pennington, who testified that he personally observed both vehicles' positions at the scene. Like Gregory, he explained why the distance stood out to him: The firetruck remained relatively close to the area of impact, which indicated to me a normal reaction. They experienced the impact and brought the vehicle to a stop. And the red sedan [Giddings's vehicle] was a significant distance away from [sic] further down continuing in the direction it was coming from the point of impact, which told me there was either a delayed response to the impact or a failed response to the impact, that the vehicle was not intended to stop.</w:t>
      </w:r>
      <w:r>
        <w:t>”</w:t>
      </w:r>
    </w:p>
    <w:p w14:paraId="623465DB" w14:textId="77777777" w:rsidR="0016116D" w:rsidRDefault="0016116D" w:rsidP="0016116D">
      <w:pPr>
        <w:pStyle w:val="NoSpacing"/>
      </w:pPr>
    </w:p>
    <w:p w14:paraId="0F347C2C" w14:textId="77777777" w:rsidR="0016116D" w:rsidRPr="004E652D" w:rsidRDefault="0016116D" w:rsidP="0016116D">
      <w:pPr>
        <w:pStyle w:val="NoSpacing"/>
        <w:rPr>
          <w:b/>
          <w:bCs/>
        </w:rPr>
      </w:pPr>
      <w:r>
        <w:rPr>
          <w:b/>
        </w:rPr>
        <w:t xml:space="preserve">Legal lesson learned: Firefighter properly testified about conduct of the drunk driver.  </w:t>
      </w:r>
      <w:proofErr w:type="gramStart"/>
      <w:r>
        <w:rPr>
          <w:b/>
        </w:rPr>
        <w:t>Also</w:t>
      </w:r>
      <w:proofErr w:type="gramEnd"/>
      <w:r>
        <w:rPr>
          <w:b/>
        </w:rPr>
        <w:t xml:space="preserve"> in Texas the jury imposes the sentence – in this case, 50 years – confirmed by trial court judge.  </w:t>
      </w:r>
    </w:p>
    <w:p w14:paraId="6B8C4FE4" w14:textId="77777777" w:rsidR="0016116D" w:rsidRDefault="0016116D" w:rsidP="0016116D">
      <w:pPr>
        <w:rPr>
          <w:sz w:val="20"/>
          <w:szCs w:val="20"/>
        </w:rPr>
      </w:pPr>
    </w:p>
    <w:p w14:paraId="00E1C89B" w14:textId="77777777" w:rsidR="0016116D" w:rsidRDefault="0016116D" w:rsidP="0016116D">
      <w:pPr>
        <w:rPr>
          <w:sz w:val="20"/>
          <w:szCs w:val="20"/>
        </w:rPr>
      </w:pPr>
    </w:p>
    <w:p w14:paraId="6E56E459" w14:textId="61784B7D" w:rsidR="00574CD1" w:rsidRDefault="00574CD1" w:rsidP="00574CD1">
      <w:pPr>
        <w:rPr>
          <w:rFonts w:ascii="Arial Black" w:hAnsi="Arial Black"/>
          <w:sz w:val="28"/>
          <w:szCs w:val="28"/>
        </w:rPr>
      </w:pPr>
      <w:r>
        <w:rPr>
          <w:rFonts w:ascii="Arial Black" w:hAnsi="Arial Black"/>
          <w:sz w:val="28"/>
          <w:szCs w:val="28"/>
        </w:rPr>
        <w:t>5-64</w:t>
      </w:r>
    </w:p>
    <w:p w14:paraId="6FA9AD31" w14:textId="25C88F00" w:rsidR="0016116D" w:rsidRPr="00BA4DF1" w:rsidRDefault="0016116D" w:rsidP="0016116D">
      <w:pPr>
        <w:rPr>
          <w:rFonts w:ascii="Arial Black" w:hAnsi="Arial Black"/>
          <w:b/>
          <w:sz w:val="28"/>
          <w:szCs w:val="28"/>
        </w:rPr>
      </w:pPr>
      <w:r>
        <w:rPr>
          <w:rFonts w:ascii="Arial Black" w:hAnsi="Arial Black"/>
          <w:b/>
          <w:sz w:val="28"/>
          <w:szCs w:val="28"/>
        </w:rPr>
        <w:t>OH: AMBUL RUNS OVER / KILLS REFUSING PT – CASE GO</w:t>
      </w:r>
    </w:p>
    <w:p w14:paraId="5B662BFB" w14:textId="77777777" w:rsidR="0016116D" w:rsidRPr="00AF1D9B" w:rsidRDefault="0016116D" w:rsidP="0016116D">
      <w:pPr>
        <w:rPr>
          <w:bCs/>
        </w:rPr>
      </w:pPr>
      <w:r>
        <w:t xml:space="preserve">On June 11, 2026, in </w:t>
      </w:r>
      <w:r w:rsidRPr="00AF1D9B">
        <w:rPr>
          <w:u w:val="single"/>
        </w:rPr>
        <w:t>Jessica Formoso v. City of Parma Heights, et al</w:t>
      </w:r>
      <w:r>
        <w:t xml:space="preserve">., the </w:t>
      </w:r>
      <w:r w:rsidRPr="00AF1D9B">
        <w:t>Court of Appeals of Ohio, Eighth District, Cuyahoga</w:t>
      </w:r>
      <w:r>
        <w:t xml:space="preserve"> held (3 to 0) the trial court properly denied the City’s motion to dismiss based on immunity.  The Court wrote: “We find that Formoso has sufficiently pled facts that, if true, could entitle her to relief regarding whether the Emergency Medical Personnel’s actions were negligent as well as whether they rise to the level of willful or wanton misconduct.” </w:t>
      </w:r>
      <w:hyperlink r:id="rId942" w:history="1">
        <w:r w:rsidRPr="00A41B9A">
          <w:rPr>
            <w:rStyle w:val="Hyperlink"/>
          </w:rPr>
          <w:t>https://www.supremecourt.ohio.gov/rod/docs/pdf/8/2026/2026-Ohio-2189.pdf</w:t>
        </w:r>
      </w:hyperlink>
      <w:r>
        <w:t xml:space="preserve"> </w:t>
      </w:r>
    </w:p>
    <w:p w14:paraId="79B22DB2" w14:textId="77777777" w:rsidR="0016116D" w:rsidRDefault="0016116D" w:rsidP="0016116D">
      <w:pPr>
        <w:rPr>
          <w:b/>
        </w:rPr>
      </w:pPr>
      <w:r>
        <w:rPr>
          <w:b/>
        </w:rPr>
        <w:t>FACTS:</w:t>
      </w:r>
    </w:p>
    <w:p w14:paraId="43900CFC" w14:textId="77777777" w:rsidR="0016116D" w:rsidRDefault="0016116D" w:rsidP="0016116D">
      <w:pPr>
        <w:pStyle w:val="NoSpacing"/>
      </w:pPr>
      <w:r>
        <w:t>“Formoso filed this action individually and as administrator of the estate of Gwen Laverne Guerrero, deceased … arising out of the death of her mother Gwen Laverne Guerrero (“Guerrero”). Formoso claimed that Guerrero died after she was run over by an ambulance</w:t>
      </w:r>
    </w:p>
    <w:p w14:paraId="084EFB30" w14:textId="77777777" w:rsidR="0016116D" w:rsidRDefault="0016116D" w:rsidP="0016116D">
      <w:pPr>
        <w:pStyle w:val="NoSpacing"/>
      </w:pPr>
      <w:r>
        <w:t xml:space="preserve">operated by the </w:t>
      </w:r>
      <w:proofErr w:type="gramStart"/>
      <w:r>
        <w:t>City</w:t>
      </w:r>
      <w:proofErr w:type="gramEnd"/>
      <w:r>
        <w:t>.</w:t>
      </w:r>
    </w:p>
    <w:p w14:paraId="59071988" w14:textId="77777777" w:rsidR="0016116D" w:rsidRDefault="0016116D" w:rsidP="0016116D">
      <w:pPr>
        <w:pStyle w:val="NoSpacing"/>
      </w:pPr>
    </w:p>
    <w:p w14:paraId="006B5FFC" w14:textId="77777777" w:rsidR="0016116D" w:rsidRDefault="0016116D" w:rsidP="0016116D">
      <w:pPr>
        <w:pStyle w:val="NoSpacing"/>
      </w:pPr>
      <w:r>
        <w:t>***</w:t>
      </w:r>
    </w:p>
    <w:p w14:paraId="324DF767" w14:textId="77777777" w:rsidR="0016116D" w:rsidRDefault="0016116D" w:rsidP="0016116D">
      <w:pPr>
        <w:pStyle w:val="NoSpacing"/>
      </w:pPr>
      <w:r>
        <w:t>On June 17, 2023, Parma Heights Police responded to a request for a welfare check of</w:t>
      </w:r>
    </w:p>
    <w:p w14:paraId="7418EE60" w14:textId="77777777" w:rsidR="0016116D" w:rsidRDefault="0016116D" w:rsidP="0016116D">
      <w:pPr>
        <w:pStyle w:val="NoSpacing"/>
      </w:pPr>
      <w:r>
        <w:lastRenderedPageBreak/>
        <w:t xml:space="preserve">Guerrero by a resident of her apartment complex over concerns of a possible head injury. Parma Heights police officers </w:t>
      </w:r>
      <w:proofErr w:type="spellStart"/>
      <w:r>
        <w:t>Percun</w:t>
      </w:r>
      <w:proofErr w:type="spellEnd"/>
      <w:r>
        <w:t xml:space="preserve"> and Smith (collectively, the “Officers”) responded to Guerrero’s apartment, ultimately kicked down her door to gain entry, and observed her lying on her bed with a large bruise on her face. Based on Guerrero’s behavior, the Officers contacted the Fire Department to request that ‘medical personnel provide care’ to Guerrero. When they arrived on scene, Hanzel and Lane … advised the Officers that they were familiar with Guerrero and had responded to her apartment in the past. They also told the Officers that ‘it was extremely difficult to establish a baseline with her because her behavior is always different.’</w:t>
      </w:r>
    </w:p>
    <w:p w14:paraId="7B7DDAE9" w14:textId="77777777" w:rsidR="0016116D" w:rsidRDefault="0016116D" w:rsidP="0016116D">
      <w:pPr>
        <w:pStyle w:val="NoSpacing"/>
      </w:pPr>
    </w:p>
    <w:p w14:paraId="264412CF" w14:textId="77777777" w:rsidR="0016116D" w:rsidRDefault="0016116D" w:rsidP="0016116D">
      <w:pPr>
        <w:pStyle w:val="NoSpacing"/>
      </w:pPr>
      <w:r>
        <w:t xml:space="preserve">The Emergency Medical Personnel examined and questioned Guerrero. They found her unstable on her feet, confused, evasive, and irritated. Hanzel ‘had to catch [Guerrero] as [she] was falling’ and noted that ‘she has a history of falls.’ The Emergency Medical Personnel advised Guerrero to go to the hospital with </w:t>
      </w:r>
      <w:proofErr w:type="gramStart"/>
      <w:r>
        <w:t>them, ‘</w:t>
      </w:r>
      <w:proofErr w:type="gramEnd"/>
      <w:r>
        <w:t>as they were concerned with her status and head injury.’ Guerrero refused.</w:t>
      </w:r>
    </w:p>
    <w:p w14:paraId="1C9253E9" w14:textId="77777777" w:rsidR="0016116D" w:rsidRDefault="0016116D" w:rsidP="0016116D">
      <w:pPr>
        <w:pStyle w:val="NoSpacing"/>
      </w:pPr>
    </w:p>
    <w:p w14:paraId="34A9DAC7" w14:textId="77777777" w:rsidR="0016116D" w:rsidRDefault="0016116D" w:rsidP="0016116D">
      <w:pPr>
        <w:pStyle w:val="NoSpacing"/>
      </w:pPr>
      <w:r>
        <w:t>After Guerrero refused treatment, both the Officers and the Emergency Medical Personnel left her residence and provided no additional care. The Emergency Medical Personnel indicated that when they left, Guerrero was outside the door to her apartment, complaining about her door being broken and fixing her rug.</w:t>
      </w:r>
    </w:p>
    <w:p w14:paraId="733AC28E" w14:textId="77777777" w:rsidR="0016116D" w:rsidRDefault="0016116D" w:rsidP="0016116D">
      <w:pPr>
        <w:pStyle w:val="NoSpacing"/>
      </w:pPr>
    </w:p>
    <w:p w14:paraId="3046BF9E" w14:textId="77777777" w:rsidR="0016116D" w:rsidRDefault="0016116D" w:rsidP="0016116D">
      <w:pPr>
        <w:pStyle w:val="NoSpacing"/>
      </w:pPr>
      <w:r>
        <w:t>While the Emergency Medical Personnel were still on the property of the apartment complex, but preparing to leave, Guerrero came out of the front entrance of her apartment and went to speak with the Emergency Medical Personnel. Despite Guerrero attempting to get the attention of the Emergency Medical Personnel by ‘pounding on the side of the ambulance,’ the ambulance,</w:t>
      </w:r>
    </w:p>
    <w:p w14:paraId="2531D7F5" w14:textId="77777777" w:rsidR="0016116D" w:rsidRDefault="0016116D" w:rsidP="0016116D">
      <w:pPr>
        <w:pStyle w:val="NoSpacing"/>
      </w:pPr>
      <w:r>
        <w:t>driven by Hanzel, ‘rapidly drove off . . . causing Guerrero to fall” and be run over by the ambulance, instantly killing her.”</w:t>
      </w:r>
    </w:p>
    <w:p w14:paraId="04369764" w14:textId="77777777" w:rsidR="0016116D" w:rsidRDefault="0016116D" w:rsidP="0016116D">
      <w:pPr>
        <w:pStyle w:val="NoSpacing"/>
      </w:pPr>
    </w:p>
    <w:p w14:paraId="3D5A9272" w14:textId="77777777" w:rsidR="0016116D" w:rsidRDefault="0016116D" w:rsidP="0016116D">
      <w:pPr>
        <w:pStyle w:val="NoSpacing"/>
      </w:pPr>
    </w:p>
    <w:p w14:paraId="56B10551" w14:textId="77777777" w:rsidR="0016116D" w:rsidRPr="00166644" w:rsidRDefault="0016116D" w:rsidP="0016116D">
      <w:pPr>
        <w:pStyle w:val="NoSpacing"/>
        <w:rPr>
          <w:b/>
          <w:bCs/>
        </w:rPr>
      </w:pPr>
      <w:r w:rsidRPr="00166644">
        <w:rPr>
          <w:b/>
        </w:rPr>
        <w:t>COURT HELD:</w:t>
      </w:r>
    </w:p>
    <w:p w14:paraId="6025CF76" w14:textId="77777777" w:rsidR="0016116D" w:rsidRDefault="0016116D" w:rsidP="0016116D">
      <w:pPr>
        <w:pStyle w:val="NoSpacing"/>
      </w:pPr>
    </w:p>
    <w:p w14:paraId="2594D64F" w14:textId="77777777" w:rsidR="0016116D" w:rsidRDefault="0016116D" w:rsidP="0016116D">
      <w:pPr>
        <w:pStyle w:val="NoSpacing"/>
      </w:pPr>
      <w:r>
        <w:t>“We find that Formoso has sufficiently pled facts that, if true, could entitle her to relief regarding whether the Emergency Medical Personnel’s actions were negligent as well as whether they rise to the level of willful or wanton misconduct. Specifically, Formoso alleged that Guerrero was ‘pounding on the side of the ambulance” when the Emergency Medical Personnel, who had previously observed her to be confused and unstable, caused her to fall and then ran her over</w:t>
      </w:r>
    </w:p>
    <w:p w14:paraId="59EE5284" w14:textId="77777777" w:rsidR="0016116D" w:rsidRDefault="0016116D" w:rsidP="0016116D">
      <w:pPr>
        <w:pStyle w:val="NoSpacing"/>
      </w:pPr>
      <w:r>
        <w:t>while rapidly driving away. We, therefore, overrule the appellants’ assignment of error with respect to the City’s liability for damages relating to the ambulance running over Guerrero.”</w:t>
      </w:r>
    </w:p>
    <w:p w14:paraId="26E0662D" w14:textId="77777777" w:rsidR="0016116D" w:rsidRDefault="0016116D" w:rsidP="0016116D">
      <w:pPr>
        <w:pStyle w:val="NoSpacing"/>
      </w:pPr>
    </w:p>
    <w:p w14:paraId="09BC861F" w14:textId="77777777" w:rsidR="0016116D" w:rsidRPr="00F93752" w:rsidRDefault="0016116D" w:rsidP="0016116D">
      <w:pPr>
        <w:pStyle w:val="NoSpacing"/>
        <w:rPr>
          <w:b/>
          <w:bCs/>
        </w:rPr>
      </w:pPr>
      <w:r w:rsidRPr="00F93752">
        <w:rPr>
          <w:b/>
        </w:rPr>
        <w:t xml:space="preserve">Legal lesson learned: </w:t>
      </w:r>
      <w:r>
        <w:rPr>
          <w:b/>
        </w:rPr>
        <w:t xml:space="preserve">Tragic set of facts; City should consider a for settlement. </w:t>
      </w:r>
    </w:p>
    <w:p w14:paraId="20720877" w14:textId="77777777" w:rsidR="0016116D" w:rsidRPr="00F93752" w:rsidRDefault="0016116D" w:rsidP="0016116D">
      <w:pPr>
        <w:pStyle w:val="NoSpacing"/>
        <w:rPr>
          <w:b/>
          <w:bCs/>
        </w:rPr>
      </w:pPr>
    </w:p>
    <w:p w14:paraId="5EEEE3BA" w14:textId="77777777" w:rsidR="0016116D" w:rsidRDefault="0016116D" w:rsidP="00CA01BF">
      <w:pPr>
        <w:rPr>
          <w:rFonts w:ascii="Arial Black" w:hAnsi="Arial Black"/>
          <w:sz w:val="28"/>
          <w:szCs w:val="28"/>
        </w:rPr>
      </w:pPr>
    </w:p>
    <w:p w14:paraId="4B0BC0B8" w14:textId="77777777" w:rsidR="0016116D" w:rsidRDefault="0016116D" w:rsidP="00CA01BF">
      <w:pPr>
        <w:rPr>
          <w:rFonts w:ascii="Arial Black" w:hAnsi="Arial Black"/>
          <w:sz w:val="28"/>
          <w:szCs w:val="28"/>
        </w:rPr>
      </w:pPr>
    </w:p>
    <w:p w14:paraId="50CCB346" w14:textId="77777777" w:rsidR="0016116D" w:rsidRDefault="0016116D" w:rsidP="00CA01BF">
      <w:pPr>
        <w:rPr>
          <w:rFonts w:ascii="Arial Black" w:hAnsi="Arial Black"/>
          <w:sz w:val="28"/>
          <w:szCs w:val="28"/>
        </w:rPr>
      </w:pPr>
    </w:p>
    <w:p w14:paraId="35768A98" w14:textId="1CED25B8" w:rsidR="00CA01BF" w:rsidRDefault="00CA01BF" w:rsidP="00CA01BF">
      <w:pPr>
        <w:rPr>
          <w:rFonts w:ascii="Arial Black" w:hAnsi="Arial Black"/>
          <w:sz w:val="28"/>
          <w:szCs w:val="28"/>
        </w:rPr>
      </w:pPr>
      <w:r>
        <w:rPr>
          <w:rFonts w:ascii="Arial Black" w:hAnsi="Arial Black"/>
          <w:sz w:val="28"/>
          <w:szCs w:val="28"/>
        </w:rPr>
        <w:t>5-63</w:t>
      </w:r>
    </w:p>
    <w:p w14:paraId="20AD16C5" w14:textId="45FA7C12" w:rsidR="00CA01BF" w:rsidRPr="00BA5B26" w:rsidRDefault="00CA01BF" w:rsidP="00CA01BF">
      <w:pPr>
        <w:rPr>
          <w:rFonts w:ascii="Arial Black" w:hAnsi="Arial Black"/>
          <w:sz w:val="28"/>
          <w:szCs w:val="28"/>
        </w:rPr>
      </w:pPr>
      <w:r>
        <w:rPr>
          <w:rFonts w:ascii="Arial Black" w:hAnsi="Arial Black"/>
          <w:sz w:val="28"/>
          <w:szCs w:val="28"/>
        </w:rPr>
        <w:t xml:space="preserve">TX: AERIAL – GROCERIES / BACKED CAR – FD “ON DUTY” </w:t>
      </w:r>
    </w:p>
    <w:p w14:paraId="2B4F3BB0" w14:textId="77777777" w:rsidR="00CA01BF" w:rsidRDefault="00CA01BF" w:rsidP="00CA01BF">
      <w:pPr>
        <w:pStyle w:val="NoSpacing"/>
        <w:rPr>
          <w:bCs/>
        </w:rPr>
      </w:pPr>
      <w:r>
        <w:t xml:space="preserve">On March 24, 2026, in </w:t>
      </w:r>
      <w:r w:rsidRPr="00C970B8">
        <w:rPr>
          <w:u w:val="single"/>
        </w:rPr>
        <w:t>The City of Houston v. Hollis F. Holmes</w:t>
      </w:r>
      <w:r>
        <w:t xml:space="preserve">, the </w:t>
      </w:r>
      <w:r w:rsidRPr="00C970B8">
        <w:t>Court of Appeals of Texas, First District</w:t>
      </w:r>
      <w:r>
        <w:t xml:space="preserve"> held (3 to 0) that trial court properly held that the four firefighters were on duty when picking up groceries for their shift, and therefore the City can be sued for damage to plaintiff’s car when they backed into her.  </w:t>
      </w:r>
      <w:hyperlink r:id="rId943" w:history="1">
        <w:r w:rsidRPr="00682DA7">
          <w:rPr>
            <w:rStyle w:val="Hyperlink"/>
          </w:rPr>
          <w:t>https://cases.justia.com/texas/first-court-of-appeals/2026-01-25-00359-cv.pdf?ts=1774367002</w:t>
        </w:r>
      </w:hyperlink>
      <w:r>
        <w:t xml:space="preserve"> </w:t>
      </w:r>
    </w:p>
    <w:p w14:paraId="19B1AAA7" w14:textId="77777777" w:rsidR="00CA01BF" w:rsidRDefault="00CA01BF" w:rsidP="00CA01BF">
      <w:pPr>
        <w:pStyle w:val="NoSpacing"/>
        <w:rPr>
          <w:bCs/>
        </w:rPr>
      </w:pPr>
    </w:p>
    <w:p w14:paraId="4FEC88BB" w14:textId="77777777" w:rsidR="00CA01BF" w:rsidRDefault="00CA01BF" w:rsidP="00CA01BF">
      <w:pPr>
        <w:pStyle w:val="NoSpacing"/>
        <w:rPr>
          <w:bCs/>
        </w:rPr>
      </w:pPr>
      <w:r>
        <w:lastRenderedPageBreak/>
        <w:t xml:space="preserve">THE COURT HELD: </w:t>
      </w:r>
    </w:p>
    <w:p w14:paraId="40465363" w14:textId="77777777" w:rsidR="00CA01BF" w:rsidRDefault="00CA01BF" w:rsidP="00CA01BF">
      <w:pPr>
        <w:pStyle w:val="NoSpacing"/>
        <w:rPr>
          <w:bCs/>
        </w:rPr>
      </w:pPr>
    </w:p>
    <w:p w14:paraId="64F9D48E" w14:textId="77777777" w:rsidR="00CA01BF" w:rsidRDefault="00CA01BF" w:rsidP="00CA01BF">
      <w:pPr>
        <w:pStyle w:val="NoSpacing"/>
        <w:ind w:left="720"/>
      </w:pPr>
      <w:r>
        <w:t>“</w:t>
      </w:r>
      <w:r w:rsidRPr="00377F72">
        <w:t>On September 11, 2022, at approximately 11 a.m., Houston firefighter Eugene Schifani drove a Houston Fire Department (</w:t>
      </w:r>
      <w:r>
        <w:t>‘</w:t>
      </w:r>
      <w:r w:rsidRPr="00377F72">
        <w:t>HFD</w:t>
      </w:r>
      <w:r>
        <w:t>’</w:t>
      </w:r>
      <w:r w:rsidRPr="00377F72">
        <w:t xml:space="preserve">) ladder truck to an H-E-B grocery store in Houston, Texas with three other firefighters on board. </w:t>
      </w:r>
      <w:proofErr w:type="spellStart"/>
      <w:r w:rsidRPr="00377F72">
        <w:t>Schifani</w:t>
      </w:r>
      <w:proofErr w:type="spellEnd"/>
      <w:r w:rsidRPr="00377F72">
        <w:t xml:space="preserve"> and firefighter Troy Dornak waited in the fire truck with its engine running while the two other firefighters went inside the grocery store to purchase groceries for the fire station's crew to eat during their twenty-four-hour shift. According to Schifani, the fire truck's engine remained running during the forty-five minutes the two firefighters were in the store </w:t>
      </w:r>
      <w:r>
        <w:t>‘</w:t>
      </w:r>
      <w:r w:rsidRPr="00377F72">
        <w:t>just in case we got an emergency call for a ladder truck while on our grocery run.</w:t>
      </w:r>
      <w:r>
        <w:t>’</w:t>
      </w:r>
    </w:p>
    <w:p w14:paraId="5F5C3263" w14:textId="77777777" w:rsidR="00CA01BF" w:rsidRDefault="00CA01BF" w:rsidP="00CA01BF">
      <w:pPr>
        <w:pStyle w:val="NoSpacing"/>
        <w:ind w:left="720"/>
      </w:pPr>
    </w:p>
    <w:p w14:paraId="6F05E1E5" w14:textId="77777777" w:rsidR="00CA01BF" w:rsidRDefault="00CA01BF" w:rsidP="00CA01BF">
      <w:pPr>
        <w:pStyle w:val="NoSpacing"/>
        <w:ind w:left="720"/>
      </w:pPr>
      <w:r>
        <w:t>***</w:t>
      </w:r>
    </w:p>
    <w:p w14:paraId="4FB7F78A" w14:textId="77777777" w:rsidR="00CA01BF" w:rsidRDefault="00CA01BF" w:rsidP="00CA01BF">
      <w:pPr>
        <w:pStyle w:val="NoSpacing"/>
        <w:ind w:left="720"/>
      </w:pPr>
      <w:r w:rsidRPr="003D28DE">
        <w:t xml:space="preserve">The groceries were purchased </w:t>
      </w:r>
      <w:r>
        <w:t>‘</w:t>
      </w:r>
      <w:r w:rsidRPr="003D28DE">
        <w:t xml:space="preserve">to be prepared at the station for lunch, dinner and breakfast the next day. We have twelve firefighters at Station 62 for the shift. Each firefighter chips in $25.00, so we [have] $300.00 to buy groceries for three </w:t>
      </w:r>
      <w:proofErr w:type="gramStart"/>
      <w:r w:rsidRPr="003D28DE">
        <w:t>really substantial</w:t>
      </w:r>
      <w:proofErr w:type="gramEnd"/>
      <w:r w:rsidRPr="003D28DE">
        <w:t xml:space="preserve"> meals.</w:t>
      </w:r>
      <w:r>
        <w:t>’</w:t>
      </w:r>
    </w:p>
    <w:p w14:paraId="5FA051F5" w14:textId="77777777" w:rsidR="00CA01BF" w:rsidRDefault="00CA01BF" w:rsidP="00CA01BF">
      <w:pPr>
        <w:pStyle w:val="NoSpacing"/>
        <w:ind w:left="720"/>
      </w:pPr>
    </w:p>
    <w:p w14:paraId="24750244" w14:textId="77777777" w:rsidR="00CA01BF" w:rsidRDefault="00CA01BF" w:rsidP="00CA01BF">
      <w:pPr>
        <w:pStyle w:val="NoSpacing"/>
        <w:ind w:left="720"/>
      </w:pPr>
      <w:r>
        <w:t>***</w:t>
      </w:r>
    </w:p>
    <w:p w14:paraId="37E4B183" w14:textId="77777777" w:rsidR="00CA01BF" w:rsidRDefault="00CA01BF" w:rsidP="00CA01BF">
      <w:pPr>
        <w:pStyle w:val="NoSpacing"/>
        <w:ind w:left="720"/>
      </w:pPr>
      <w:r>
        <w:t xml:space="preserve">The </w:t>
      </w:r>
      <w:proofErr w:type="gramStart"/>
      <w:r>
        <w:t>City</w:t>
      </w:r>
      <w:proofErr w:type="gramEnd"/>
      <w:r>
        <w:t xml:space="preserve"> pled in its answer, among other things, that governmental immunity barred Holmes’ claims…. In its summary judgment reply, the </w:t>
      </w:r>
      <w:proofErr w:type="gramStart"/>
      <w:r>
        <w:t>City</w:t>
      </w:r>
      <w:proofErr w:type="gramEnd"/>
      <w:r>
        <w:t xml:space="preserve"> argued </w:t>
      </w:r>
      <w:proofErr w:type="gramStart"/>
      <w:r>
        <w:t>that ‘[</w:t>
      </w:r>
      <w:proofErr w:type="gramEnd"/>
      <w:r>
        <w:t xml:space="preserve">c]o-workers tasked by other co-workers to buy groceries during the shift and every shift does not make the errand in the scope of employment;’ going to purchase groceries in </w:t>
      </w:r>
      <w:proofErr w:type="gramStart"/>
      <w:r>
        <w:t>a</w:t>
      </w:r>
      <w:proofErr w:type="gramEnd"/>
      <w:r>
        <w:t xml:space="preserve"> HFD</w:t>
      </w:r>
    </w:p>
    <w:p w14:paraId="5B7ABB04" w14:textId="77777777" w:rsidR="00CA01BF" w:rsidRDefault="00CA01BF" w:rsidP="00CA01BF">
      <w:pPr>
        <w:pStyle w:val="NoSpacing"/>
        <w:ind w:left="720"/>
      </w:pPr>
      <w:r>
        <w:t>ladder truck does not turn the errand into a ‘scope of employment endeavor;’ the</w:t>
      </w:r>
    </w:p>
    <w:p w14:paraId="0E656CC9" w14:textId="77777777" w:rsidR="00CA01BF" w:rsidRDefault="00CA01BF" w:rsidP="00CA01BF">
      <w:pPr>
        <w:pStyle w:val="NoSpacing"/>
        <w:ind w:left="720"/>
      </w:pPr>
      <w:r>
        <w:t>City does not derive benefit from the grocery run; and the grocery run was not in</w:t>
      </w:r>
    </w:p>
    <w:p w14:paraId="640B16CF" w14:textId="77777777" w:rsidR="00CA01BF" w:rsidRDefault="00CA01BF" w:rsidP="00CA01BF">
      <w:pPr>
        <w:pStyle w:val="NoSpacing"/>
        <w:ind w:left="720"/>
      </w:pPr>
      <w:r>
        <w:t>furtherance of the City’s business.</w:t>
      </w:r>
    </w:p>
    <w:p w14:paraId="18770175" w14:textId="77777777" w:rsidR="00CA01BF" w:rsidRDefault="00CA01BF" w:rsidP="00CA01BF">
      <w:pPr>
        <w:pStyle w:val="NoSpacing"/>
        <w:ind w:left="720"/>
      </w:pPr>
    </w:p>
    <w:p w14:paraId="287F9B74" w14:textId="77777777" w:rsidR="00CA01BF" w:rsidRDefault="00CA01BF" w:rsidP="00CA01BF">
      <w:pPr>
        <w:pStyle w:val="NoSpacing"/>
        <w:ind w:left="720"/>
      </w:pPr>
      <w:r>
        <w:t>***</w:t>
      </w:r>
    </w:p>
    <w:p w14:paraId="427B8296" w14:textId="77777777" w:rsidR="00CA01BF" w:rsidRDefault="00CA01BF" w:rsidP="00CA01BF">
      <w:pPr>
        <w:pStyle w:val="NoSpacing"/>
        <w:ind w:left="720"/>
      </w:pPr>
      <w:r>
        <w:t xml:space="preserve">The grocery trip was not made to purchase </w:t>
      </w:r>
      <w:proofErr w:type="spellStart"/>
      <w:r>
        <w:t>Schifani’s</w:t>
      </w:r>
      <w:proofErr w:type="spellEnd"/>
      <w:r>
        <w:t xml:space="preserve"> own personal groceries, or even just for those four firefighters with him at the store, but for the entire on-duty crew. Given that he was required to remain ready and able to cover any emergency that arose during the grocery run, there is at least a fact question as to whether he was acting in the course and scope of his employment when the fire truck struck Holmes’ car…. We affirm the trial court’s denial of the City of Houston’s motion for summary judgment.”</w:t>
      </w:r>
    </w:p>
    <w:p w14:paraId="174D9F58" w14:textId="77777777" w:rsidR="00CA01BF" w:rsidRDefault="00CA01BF" w:rsidP="00CA01BF">
      <w:pPr>
        <w:pStyle w:val="NoSpacing"/>
        <w:ind w:left="720"/>
      </w:pPr>
    </w:p>
    <w:p w14:paraId="17E6A732" w14:textId="77777777" w:rsidR="00CA01BF" w:rsidRPr="006F3C84" w:rsidRDefault="00CA01BF" w:rsidP="00CA01BF">
      <w:pPr>
        <w:rPr>
          <w:b/>
          <w:bCs/>
        </w:rPr>
      </w:pPr>
      <w:r>
        <w:rPr>
          <w:b/>
        </w:rPr>
        <w:t xml:space="preserve">Legal lesson learned: Grocery runs are part of the “course and scope of duties” of the engineer who back the aerial into her vehicle; the City’s motion for summary judgement was properly denied. </w:t>
      </w:r>
    </w:p>
    <w:p w14:paraId="06A8F3CC" w14:textId="77777777" w:rsidR="00CA01BF" w:rsidRPr="008C12EA" w:rsidRDefault="00CA01BF" w:rsidP="00CA01BF">
      <w:pPr>
        <w:pStyle w:val="NoSpacing"/>
      </w:pPr>
    </w:p>
    <w:p w14:paraId="7906B0AC" w14:textId="77777777" w:rsidR="00CA01BF" w:rsidRDefault="00CA01BF" w:rsidP="000C62A1">
      <w:pPr>
        <w:pStyle w:val="NoSpacing"/>
        <w:rPr>
          <w:rFonts w:ascii="Arial Black" w:hAnsi="Arial Black"/>
          <w:sz w:val="28"/>
          <w:szCs w:val="28"/>
        </w:rPr>
      </w:pPr>
    </w:p>
    <w:p w14:paraId="7E10E3DB" w14:textId="77777777" w:rsidR="00CA01BF" w:rsidRDefault="00CA01BF" w:rsidP="000C62A1">
      <w:pPr>
        <w:pStyle w:val="NoSpacing"/>
        <w:rPr>
          <w:rFonts w:ascii="Arial Black" w:hAnsi="Arial Black"/>
          <w:sz w:val="28"/>
          <w:szCs w:val="28"/>
        </w:rPr>
      </w:pPr>
    </w:p>
    <w:p w14:paraId="1743D773" w14:textId="77777777" w:rsidR="00CA01BF" w:rsidRDefault="00CA01BF" w:rsidP="000C62A1">
      <w:pPr>
        <w:pStyle w:val="NoSpacing"/>
        <w:rPr>
          <w:rFonts w:ascii="Arial Black" w:hAnsi="Arial Black"/>
          <w:sz w:val="28"/>
          <w:szCs w:val="28"/>
        </w:rPr>
      </w:pPr>
    </w:p>
    <w:p w14:paraId="75FE50BD" w14:textId="690245FD" w:rsidR="00B63DAD" w:rsidRDefault="00B63DAD" w:rsidP="000C62A1">
      <w:pPr>
        <w:pStyle w:val="NoSpacing"/>
        <w:rPr>
          <w:rFonts w:ascii="Arial Black" w:hAnsi="Arial Black"/>
          <w:sz w:val="28"/>
          <w:szCs w:val="28"/>
        </w:rPr>
      </w:pPr>
      <w:r>
        <w:rPr>
          <w:rFonts w:ascii="Arial Black" w:hAnsi="Arial Black"/>
          <w:sz w:val="28"/>
          <w:szCs w:val="28"/>
        </w:rPr>
        <w:t>5-62</w:t>
      </w:r>
    </w:p>
    <w:p w14:paraId="3CDAD1B5" w14:textId="77777777" w:rsidR="00B63DAD" w:rsidRDefault="00B63DAD" w:rsidP="000C62A1">
      <w:pPr>
        <w:pStyle w:val="NoSpacing"/>
        <w:rPr>
          <w:rFonts w:ascii="Arial Black" w:hAnsi="Arial Black"/>
          <w:sz w:val="28"/>
          <w:szCs w:val="28"/>
        </w:rPr>
      </w:pPr>
    </w:p>
    <w:p w14:paraId="402F8CA4" w14:textId="77777777" w:rsidR="00C24BBC" w:rsidRDefault="00C24BBC" w:rsidP="00C24BBC">
      <w:pPr>
        <w:pStyle w:val="NoSpacing"/>
        <w:rPr>
          <w:rFonts w:ascii="Arial Black" w:hAnsi="Arial Black"/>
          <w:sz w:val="28"/>
          <w:szCs w:val="28"/>
        </w:rPr>
      </w:pPr>
      <w:r>
        <w:rPr>
          <w:rFonts w:ascii="Arial Black" w:hAnsi="Arial Black"/>
          <w:sz w:val="28"/>
          <w:szCs w:val="28"/>
        </w:rPr>
        <w:t xml:space="preserve">NY: MEDIC REPORTED EMT SPEEDING – NEXT DAY RADAR </w:t>
      </w:r>
    </w:p>
    <w:p w14:paraId="7B3333FC" w14:textId="77777777" w:rsidR="00C24BBC" w:rsidRDefault="00C24BBC" w:rsidP="00C24BBC">
      <w:pPr>
        <w:pStyle w:val="NoSpacing"/>
        <w:rPr>
          <w:rFonts w:ascii="Arial Black" w:hAnsi="Arial Black"/>
          <w:sz w:val="28"/>
          <w:szCs w:val="28"/>
        </w:rPr>
      </w:pPr>
    </w:p>
    <w:p w14:paraId="765E4487" w14:textId="77777777" w:rsidR="00C24BBC" w:rsidRDefault="00C24BBC" w:rsidP="00C24BBC">
      <w:pPr>
        <w:pStyle w:val="NoSpacing"/>
      </w:pPr>
      <w:r>
        <w:t xml:space="preserve">On February 26, 2026, in </w:t>
      </w:r>
      <w:r w:rsidRPr="00E713AD">
        <w:rPr>
          <w:u w:val="single"/>
        </w:rPr>
        <w:t>Robert Kuiken v. County of Hamilton, Michael Tracy, et al</w:t>
      </w:r>
      <w:r>
        <w:t xml:space="preserve">., U.S. District Court Judge </w:t>
      </w:r>
      <w:r w:rsidRPr="009F0088">
        <w:t>Anthony Brindisi</w:t>
      </w:r>
      <w:r>
        <w:t xml:space="preserve">, United States District Court for Northern District of New York, granted the defense motion for summary judgment. The 82-year-old volunteer EMT was observed speeding and crossing center line in his personal vehicle (with a green “courtesy” light). by a Paramedic (“critical care technician”) responding from another department.  The Medic reported this to volunteer’s </w:t>
      </w:r>
      <w:proofErr w:type="gramStart"/>
      <w:r>
        <w:t>department, and</w:t>
      </w:r>
      <w:proofErr w:type="gramEnd"/>
      <w:r>
        <w:t xml:space="preserve"> made a complaint to a Deputy Sheriff.  The next day, the Deputy was running radar and recorded the EMT speeding in his private vehicle on another run and issued a citation. Court rejected plaintiff’s claim of “selective prosecution” – claiming the critical care technician falsely accused the volunteer of driving </w:t>
      </w:r>
      <w:r>
        <w:lastRenderedPageBreak/>
        <w:t xml:space="preserve">recklessly, and that the Deputy “selectively enforced vehicle and traffic laws against plaintiff the next day by charging him with traffic offenses based on false accusations.” </w:t>
      </w:r>
    </w:p>
    <w:p w14:paraId="1977E429" w14:textId="77777777" w:rsidR="00C24BBC" w:rsidRPr="00671B60" w:rsidRDefault="00C24BBC" w:rsidP="00C24BBC">
      <w:pPr>
        <w:pStyle w:val="NoSpacing"/>
      </w:pPr>
      <w:hyperlink r:id="rId944" w:history="1">
        <w:r w:rsidRPr="00671B60">
          <w:rPr>
            <w:rStyle w:val="Hyperlink"/>
          </w:rPr>
          <w:t>https://cases.justia.com/federal/district-courts/new-york/nyndce/6:2022cv01157/135604/81/0.pdf?ts=1772211450</w:t>
        </w:r>
      </w:hyperlink>
      <w:r w:rsidRPr="00671B60">
        <w:t xml:space="preserve"> </w:t>
      </w:r>
    </w:p>
    <w:p w14:paraId="2778A8C7" w14:textId="77777777" w:rsidR="00C24BBC" w:rsidRPr="00671B60" w:rsidRDefault="00C24BBC" w:rsidP="00C24BBC">
      <w:pPr>
        <w:pStyle w:val="NoSpacing"/>
      </w:pPr>
    </w:p>
    <w:p w14:paraId="5AEF9064" w14:textId="77777777" w:rsidR="00C24BBC" w:rsidRDefault="00C24BBC" w:rsidP="00C24BBC">
      <w:pPr>
        <w:pStyle w:val="NoSpacing"/>
      </w:pPr>
      <w:r>
        <w:t>The COURT HELD:  “On July 17, 2021, Tracy [</w:t>
      </w:r>
      <w:r w:rsidRPr="0077409C">
        <w:t>Michael Tracy</w:t>
      </w:r>
      <w:r>
        <w:t>; critical care technician and supervisor with the Greater  Amsterdam Volunteer Ambulance Corps] filed a complaint with Deputy O’Brien regarding plaintiff’s allegedly unsafe driving earlier that day…. Though Tracy indicated that he wanted to pursue a criminal complaint against plaintiff … the Deputy defendants informed Tracy that the Sheriff’s Office could not file charges based on Tracy’s allegations. The next day, Deputy Loomis ticketed plaintiff for speeding and for failing to comply with a lawful order….  It is undisputed that Deputy Loomis observed plaintiff speeding and witnessed him drive away from a traffic stop [</w:t>
      </w:r>
      <w:proofErr w:type="gramStart"/>
      <w:r>
        <w:t>continued on</w:t>
      </w:r>
      <w:proofErr w:type="gramEnd"/>
      <w:r>
        <w:t xml:space="preserve"> to EMS call location] on July 18, 2021…. Just as the Deputy defendants exercised independent judgment in declining to prosecute plaintiff based on Tracy’s complaint, the undisputed evidence establishes that Deputy Loomis decided to pull plaintiff over only after observing him speeding and confirming that observation with a radar.</w:t>
      </w:r>
    </w:p>
    <w:p w14:paraId="33832BB7" w14:textId="77777777" w:rsidR="00C24BBC" w:rsidRDefault="00C24BBC" w:rsidP="00C24BBC">
      <w:pPr>
        <w:pStyle w:val="NoSpacing"/>
      </w:pPr>
    </w:p>
    <w:p w14:paraId="4A30C7B9" w14:textId="77777777" w:rsidR="00C24BBC" w:rsidRDefault="00C24BBC" w:rsidP="00C24BBC">
      <w:pPr>
        <w:pStyle w:val="NoSpacing"/>
      </w:pPr>
      <w:r>
        <w:t>***</w:t>
      </w:r>
    </w:p>
    <w:p w14:paraId="4C6ADF8B" w14:textId="77777777" w:rsidR="00C24BBC" w:rsidRDefault="00C24BBC" w:rsidP="00C24BBC">
      <w:pPr>
        <w:pStyle w:val="NoSpacing"/>
      </w:pPr>
    </w:p>
    <w:p w14:paraId="3B0EC172" w14:textId="77777777" w:rsidR="00C24BBC" w:rsidRDefault="00C24BBC" w:rsidP="00C24BBC">
      <w:pPr>
        <w:pStyle w:val="NoSpacing"/>
      </w:pPr>
      <w:r>
        <w:t xml:space="preserve">On May 24, 2022, plaintiff appeared in court in connection with the July 18, 2021, traffic tickets…. After rejecting a number of </w:t>
      </w:r>
      <w:proofErr w:type="gramStart"/>
      <w:r>
        <w:t>plea</w:t>
      </w:r>
      <w:proofErr w:type="gramEnd"/>
      <w:r>
        <w:t xml:space="preserve"> deals that would have required him to plead guilty to traffic infractions, plaintiff eventually agreed to plead guilty to two parking violations on the advice of his </w:t>
      </w:r>
      <w:proofErr w:type="gramStart"/>
      <w:r>
        <w:t>attorney.”</w:t>
      </w:r>
      <w:proofErr w:type="gramEnd"/>
    </w:p>
    <w:p w14:paraId="4020061C" w14:textId="77777777" w:rsidR="00C24BBC" w:rsidRDefault="00C24BBC" w:rsidP="00C24BBC">
      <w:pPr>
        <w:pStyle w:val="NoSpacing"/>
      </w:pPr>
    </w:p>
    <w:p w14:paraId="279735E4" w14:textId="77777777" w:rsidR="00C24BBC" w:rsidRDefault="00C24BBC" w:rsidP="00C24BBC">
      <w:pPr>
        <w:pStyle w:val="NoSpacing"/>
        <w:rPr>
          <w:b/>
        </w:rPr>
      </w:pPr>
      <w:r>
        <w:rPr>
          <w:b/>
        </w:rPr>
        <w:t xml:space="preserve">Legal lesson learned: The critical care technician property reported the volunteer’s unsafe driving. </w:t>
      </w:r>
    </w:p>
    <w:p w14:paraId="6EFB3DDF" w14:textId="77777777" w:rsidR="00C24BBC" w:rsidRDefault="00C24BBC" w:rsidP="00C24BBC">
      <w:pPr>
        <w:pStyle w:val="NoSpacing"/>
        <w:rPr>
          <w:b/>
        </w:rPr>
      </w:pPr>
    </w:p>
    <w:p w14:paraId="3781903E" w14:textId="77777777" w:rsidR="00C24BBC" w:rsidRPr="008D4B87" w:rsidRDefault="00C24BBC" w:rsidP="00C24BBC">
      <w:pPr>
        <w:pStyle w:val="NoSpacing"/>
        <w:ind w:left="720"/>
        <w:rPr>
          <w:bCs/>
        </w:rPr>
      </w:pPr>
      <w:r w:rsidRPr="008D4B87">
        <w:t>Note:</w:t>
      </w:r>
      <w:r>
        <w:t xml:space="preserve">  After the first speeding incident, the volunteer was directed by his </w:t>
      </w:r>
      <w:proofErr w:type="gramStart"/>
      <w:r>
        <w:t>Department</w:t>
      </w:r>
      <w:proofErr w:type="gramEnd"/>
      <w:r>
        <w:t xml:space="preserve"> to stop making runs </w:t>
      </w:r>
      <w:r w:rsidRPr="004162FF">
        <w:t>until he was instructed to do so.</w:t>
      </w:r>
      <w:r>
        <w:t xml:space="preserve"> </w:t>
      </w:r>
      <w:r w:rsidRPr="00CC0192">
        <w:t>“Even though [p]</w:t>
      </w:r>
      <w:proofErr w:type="spellStart"/>
      <w:r w:rsidRPr="00CC0192">
        <w:t>laintiff</w:t>
      </w:r>
      <w:proofErr w:type="spellEnd"/>
      <w:r w:rsidRPr="00CC0192">
        <w:t xml:space="preserve"> never retired nor resigned, in July 2022, SVAC leadership</w:t>
      </w:r>
      <w:r>
        <w:t xml:space="preserve"> </w:t>
      </w:r>
      <w:r w:rsidRPr="00CC0192">
        <w:t>showed up at [p]</w:t>
      </w:r>
      <w:proofErr w:type="spellStart"/>
      <w:r w:rsidRPr="00CC0192">
        <w:t>laintiff’s</w:t>
      </w:r>
      <w:proofErr w:type="spellEnd"/>
      <w:r w:rsidRPr="00CC0192">
        <w:t xml:space="preserve"> house unsolicited and presented him with a framed document</w:t>
      </w:r>
      <w:r>
        <w:t xml:space="preserve"> </w:t>
      </w:r>
      <w:r w:rsidRPr="00CC0192">
        <w:t>recognizing his 41 years of service to the community of Speculator.”</w:t>
      </w:r>
    </w:p>
    <w:p w14:paraId="00877AA9" w14:textId="77777777" w:rsidR="00C24BBC" w:rsidRPr="008D4B87" w:rsidRDefault="00C24BBC" w:rsidP="00C24BBC">
      <w:pPr>
        <w:pStyle w:val="NoSpacing"/>
        <w:rPr>
          <w:bCs/>
        </w:rPr>
      </w:pPr>
    </w:p>
    <w:p w14:paraId="2983B4DC" w14:textId="77777777" w:rsidR="00B63DAD" w:rsidRDefault="00B63DAD" w:rsidP="000C62A1">
      <w:pPr>
        <w:pStyle w:val="NoSpacing"/>
        <w:rPr>
          <w:rFonts w:ascii="Arial Black" w:hAnsi="Arial Black"/>
          <w:sz w:val="28"/>
          <w:szCs w:val="28"/>
        </w:rPr>
      </w:pPr>
    </w:p>
    <w:p w14:paraId="3116AA3D" w14:textId="77777777" w:rsidR="00B63DAD" w:rsidRDefault="00B63DAD" w:rsidP="000C62A1">
      <w:pPr>
        <w:pStyle w:val="NoSpacing"/>
        <w:rPr>
          <w:rFonts w:ascii="Arial Black" w:hAnsi="Arial Black"/>
          <w:sz w:val="28"/>
          <w:szCs w:val="28"/>
        </w:rPr>
      </w:pPr>
    </w:p>
    <w:p w14:paraId="4EEF557F" w14:textId="77777777" w:rsidR="00B63DAD" w:rsidRDefault="00B63DAD" w:rsidP="000C62A1">
      <w:pPr>
        <w:pStyle w:val="NoSpacing"/>
        <w:rPr>
          <w:rFonts w:ascii="Arial Black" w:hAnsi="Arial Black"/>
          <w:sz w:val="28"/>
          <w:szCs w:val="28"/>
        </w:rPr>
      </w:pPr>
    </w:p>
    <w:p w14:paraId="7EEC6F22" w14:textId="4D8DAB3E" w:rsidR="00CF5DF6" w:rsidRDefault="00CF5DF6" w:rsidP="000C62A1">
      <w:pPr>
        <w:pStyle w:val="NoSpacing"/>
        <w:rPr>
          <w:rFonts w:ascii="Arial Black" w:hAnsi="Arial Black"/>
          <w:sz w:val="28"/>
          <w:szCs w:val="28"/>
        </w:rPr>
      </w:pPr>
      <w:r>
        <w:rPr>
          <w:rFonts w:ascii="Arial Black" w:hAnsi="Arial Black"/>
          <w:sz w:val="28"/>
          <w:szCs w:val="28"/>
        </w:rPr>
        <w:t>5-61</w:t>
      </w:r>
    </w:p>
    <w:p w14:paraId="1E11B4BD" w14:textId="77777777" w:rsidR="00CF5DF6" w:rsidRPr="00914070" w:rsidRDefault="00CF5DF6" w:rsidP="00CF5DF6">
      <w:pPr>
        <w:pStyle w:val="NoSpacing"/>
        <w:rPr>
          <w:rFonts w:ascii="Arial Black" w:hAnsi="Arial Black"/>
          <w:b/>
          <w:sz w:val="28"/>
          <w:szCs w:val="28"/>
        </w:rPr>
      </w:pPr>
      <w:r>
        <w:rPr>
          <w:rFonts w:ascii="Arial Black" w:hAnsi="Arial Black"/>
          <w:b/>
          <w:sz w:val="28"/>
          <w:szCs w:val="28"/>
        </w:rPr>
        <w:t xml:space="preserve">TX: FF DRIVING FD VEH TO WORK – ACCID. CITY NO LIAB </w:t>
      </w:r>
    </w:p>
    <w:p w14:paraId="284F8B7B" w14:textId="77777777" w:rsidR="00CF5DF6" w:rsidRDefault="00CF5DF6" w:rsidP="00CF5DF6">
      <w:pPr>
        <w:pStyle w:val="NoSpacing"/>
        <w:rPr>
          <w:b/>
        </w:rPr>
      </w:pPr>
    </w:p>
    <w:p w14:paraId="0EA6B8D7" w14:textId="77777777" w:rsidR="00CF5DF6" w:rsidRPr="00363AC0" w:rsidRDefault="00CF5DF6" w:rsidP="00CF5DF6">
      <w:pPr>
        <w:pStyle w:val="NoSpacing"/>
        <w:rPr>
          <w:bCs/>
        </w:rPr>
      </w:pPr>
      <w:r>
        <w:t xml:space="preserve">On February 10, 2026, in </w:t>
      </w:r>
      <w:r w:rsidRPr="00363AC0">
        <w:rPr>
          <w:u w:val="single"/>
        </w:rPr>
        <w:t>City of Houston v. Sheniqua Henderson</w:t>
      </w:r>
      <w:r>
        <w:t xml:space="preserve">, the </w:t>
      </w:r>
      <w:r w:rsidRPr="00363AC0">
        <w:t>Court of Appeals of Texas, Fourteenth District</w:t>
      </w:r>
      <w:r>
        <w:t xml:space="preserve"> held (3 to 0) that the trial court should have dismissed the plaintiff’s lawsuit against the City of Houston, since the firefighter was off duty when the accident occurred when he was driving to his station on September 1, 2022, at 6:19 am.  Under Texas state law a city or other governmental unit is only liable for automobile accident when it occurs “within his scope of employment.” </w:t>
      </w:r>
      <w:hyperlink r:id="rId945" w:history="1">
        <w:r w:rsidRPr="00C72C21">
          <w:rPr>
            <w:rStyle w:val="Hyperlink"/>
          </w:rPr>
          <w:t>https://cases.justia.com/texas/fourteenth-court-of-appeals/2026-14-25-00078-cv.pdf?ts=1770741693</w:t>
        </w:r>
      </w:hyperlink>
      <w:r>
        <w:t xml:space="preserve"> </w:t>
      </w:r>
    </w:p>
    <w:p w14:paraId="2D0DCAB3" w14:textId="77777777" w:rsidR="00CF5DF6" w:rsidRDefault="00CF5DF6" w:rsidP="00CF5DF6">
      <w:pPr>
        <w:pStyle w:val="NoSpacing"/>
      </w:pPr>
    </w:p>
    <w:p w14:paraId="05261085" w14:textId="77777777" w:rsidR="00CF5DF6" w:rsidRDefault="00CF5DF6" w:rsidP="00CF5DF6">
      <w:pPr>
        <w:pStyle w:val="NoSpacing"/>
      </w:pPr>
      <w:r>
        <w:t>THE COURT HELD:  “</w:t>
      </w:r>
      <w:r w:rsidRPr="00D11F00">
        <w:t xml:space="preserve"> On September 1, 2022, Henderson was driving on the service road of the North Sam Houston Parkway in Harris County. City of Houston employee and firefighter Carlos Manuel Pascualli was driving to work in a vehicle owned and provided to </w:t>
      </w:r>
      <w:proofErr w:type="spellStart"/>
      <w:r w:rsidRPr="00D11F00">
        <w:t>Pascualli</w:t>
      </w:r>
      <w:proofErr w:type="spellEnd"/>
      <w:r w:rsidRPr="00D11F00">
        <w:t xml:space="preserve"> by Houston in the lane next to Henderson, when </w:t>
      </w:r>
      <w:proofErr w:type="spellStart"/>
      <w:r w:rsidRPr="00D11F00">
        <w:t>Pascualli</w:t>
      </w:r>
      <w:proofErr w:type="spellEnd"/>
      <w:r w:rsidRPr="00D11F00">
        <w:t xml:space="preserve"> changed lanes and collided with Henderson's vehicle</w:t>
      </w:r>
      <w:r>
        <w:t xml:space="preserve">…. </w:t>
      </w:r>
      <w:proofErr w:type="spellStart"/>
      <w:r w:rsidRPr="00B60506">
        <w:t>Pascualli</w:t>
      </w:r>
      <w:proofErr w:type="spellEnd"/>
      <w:r w:rsidRPr="00B60506">
        <w:t xml:space="preserve"> provided a supporting affidavit establishing that he was </w:t>
      </w:r>
      <w:proofErr w:type="gramStart"/>
      <w:r w:rsidRPr="00B60506">
        <w:t>off-duty</w:t>
      </w:r>
      <w:proofErr w:type="gramEnd"/>
      <w:r w:rsidRPr="00B60506">
        <w:t>, not on call, and driving to start his shift at 6:30 am.</w:t>
      </w:r>
    </w:p>
    <w:p w14:paraId="2054697A" w14:textId="77777777" w:rsidR="00CF5DF6" w:rsidRDefault="00CF5DF6" w:rsidP="00CF5DF6">
      <w:pPr>
        <w:pStyle w:val="NoSpacing"/>
        <w:ind w:left="720"/>
      </w:pPr>
    </w:p>
    <w:p w14:paraId="615F38C5" w14:textId="77777777" w:rsidR="00CF5DF6" w:rsidRPr="007253B6" w:rsidRDefault="00CF5DF6" w:rsidP="00CF5DF6">
      <w:pPr>
        <w:pStyle w:val="NoSpacing"/>
        <w:ind w:left="720"/>
      </w:pPr>
      <w:r w:rsidRPr="007253B6">
        <w:t xml:space="preserve">On September 1, 2022, at approximately 6:19 am, I was traveling on North Sam Houston East Parkway Service Road, Harris County Texas, when my vehicle collided with Plaintiff's vehicle. I was traveling to Fire Station 99 located </w:t>
      </w:r>
      <w:proofErr w:type="gramStart"/>
      <w:r w:rsidRPr="007253B6">
        <w:t>in</w:t>
      </w:r>
      <w:proofErr w:type="gramEnd"/>
      <w:r w:rsidRPr="007253B6">
        <w:t xml:space="preserve"> 18580 Chanute Road, Houston, Texas 77032. At the time of the collision on September 1, 2022, I was off duty, not on call and driving to work. At the time of the collision, I was not being directed by the Houston Fire Department, or furthering Houston Fire Department business.</w:t>
      </w:r>
    </w:p>
    <w:p w14:paraId="1D11DA66" w14:textId="77777777" w:rsidR="00CF5DF6" w:rsidRDefault="00CF5DF6" w:rsidP="00CF5DF6">
      <w:pPr>
        <w:pStyle w:val="NoSpacing"/>
      </w:pPr>
    </w:p>
    <w:p w14:paraId="50F4460F" w14:textId="77777777" w:rsidR="00CF5DF6" w:rsidRDefault="00CF5DF6" w:rsidP="00CF5DF6">
      <w:pPr>
        <w:pStyle w:val="NoSpacing"/>
      </w:pPr>
      <w:r w:rsidRPr="00211E46">
        <w:lastRenderedPageBreak/>
        <w:t xml:space="preserve">In response, Henderson argued that </w:t>
      </w:r>
      <w:proofErr w:type="spellStart"/>
      <w:r w:rsidRPr="00211E46">
        <w:t>Pascualli's</w:t>
      </w:r>
      <w:proofErr w:type="spellEnd"/>
      <w:r w:rsidRPr="00211E46">
        <w:t xml:space="preserve"> affidavit was a sham affidavit. She further claimed that </w:t>
      </w:r>
      <w:proofErr w:type="spellStart"/>
      <w:r w:rsidRPr="00211E46">
        <w:t>Pascualli</w:t>
      </w:r>
      <w:proofErr w:type="spellEnd"/>
      <w:r w:rsidRPr="00211E46">
        <w:t xml:space="preserve"> was in the scope of his employment and that she was entitled to take his deposition. </w:t>
      </w:r>
      <w:r>
        <w:t xml:space="preserve">*** </w:t>
      </w:r>
      <w:r w:rsidRPr="00914070">
        <w:t xml:space="preserve">Tex. Civ. </w:t>
      </w:r>
      <w:proofErr w:type="spellStart"/>
      <w:r w:rsidRPr="00914070">
        <w:t>Prac</w:t>
      </w:r>
      <w:proofErr w:type="spellEnd"/>
      <w:r w:rsidRPr="00914070">
        <w:t xml:space="preserve">. &amp; Rem. Code Ann. § 101.021. A governmental unit is only liable for the negligence of its employee, </w:t>
      </w:r>
      <w:proofErr w:type="gramStart"/>
      <w:r w:rsidRPr="00914070">
        <w:t>if and when</w:t>
      </w:r>
      <w:proofErr w:type="gramEnd"/>
      <w:r w:rsidRPr="00914070">
        <w:t xml:space="preserve"> that employee is </w:t>
      </w:r>
      <w:r>
        <w:t>‘</w:t>
      </w:r>
      <w:r w:rsidRPr="00914070">
        <w:t>acting within his scope of employment.</w:t>
      </w:r>
      <w:r>
        <w:t xml:space="preserve">’ … </w:t>
      </w:r>
      <w:r w:rsidRPr="00914070">
        <w:t>Although Henderson argues that she also has a direct negligence claim against Houston, she cites no authority or statute, nor have we found any, other than Section 101.021 that waives Houston's immunity for injuries resulting from the use of a motor-driven vehicle.</w:t>
      </w:r>
      <w:r>
        <w:t>”</w:t>
      </w:r>
    </w:p>
    <w:p w14:paraId="46308078" w14:textId="77777777" w:rsidR="00CF5DF6" w:rsidRDefault="00CF5DF6" w:rsidP="00CF5DF6">
      <w:pPr>
        <w:pStyle w:val="NoSpacing"/>
      </w:pPr>
    </w:p>
    <w:p w14:paraId="4DBD5F53" w14:textId="77777777" w:rsidR="00CF5DF6" w:rsidRDefault="00CF5DF6" w:rsidP="00CF5DF6">
      <w:pPr>
        <w:pStyle w:val="NoSpacing"/>
        <w:rPr>
          <w:b/>
          <w:bCs/>
        </w:rPr>
      </w:pPr>
      <w:r w:rsidRPr="005D3975">
        <w:rPr>
          <w:b/>
        </w:rPr>
        <w:t xml:space="preserve">Legal lesson learned: </w:t>
      </w:r>
      <w:r>
        <w:rPr>
          <w:b/>
        </w:rPr>
        <w:t>Firefighter was off duty; city cannot be sued.</w:t>
      </w:r>
    </w:p>
    <w:p w14:paraId="74FEC3EC" w14:textId="77777777" w:rsidR="00CF5DF6" w:rsidRDefault="00CF5DF6" w:rsidP="00CF5DF6">
      <w:pPr>
        <w:pStyle w:val="NoSpacing"/>
      </w:pPr>
    </w:p>
    <w:p w14:paraId="4FA59353" w14:textId="77777777" w:rsidR="00CF5DF6" w:rsidRDefault="00CF5DF6" w:rsidP="000C62A1">
      <w:pPr>
        <w:pStyle w:val="NoSpacing"/>
        <w:rPr>
          <w:rFonts w:ascii="Arial Black" w:hAnsi="Arial Black"/>
          <w:sz w:val="28"/>
          <w:szCs w:val="28"/>
        </w:rPr>
      </w:pPr>
    </w:p>
    <w:p w14:paraId="236B5FE9" w14:textId="77777777" w:rsidR="00CF5DF6" w:rsidRDefault="00CF5DF6" w:rsidP="000C62A1">
      <w:pPr>
        <w:pStyle w:val="NoSpacing"/>
        <w:rPr>
          <w:rFonts w:ascii="Arial Black" w:hAnsi="Arial Black"/>
          <w:sz w:val="28"/>
          <w:szCs w:val="28"/>
        </w:rPr>
      </w:pPr>
    </w:p>
    <w:p w14:paraId="027ED139" w14:textId="77777777" w:rsidR="00CF5DF6" w:rsidRDefault="00CF5DF6" w:rsidP="000C62A1">
      <w:pPr>
        <w:pStyle w:val="NoSpacing"/>
        <w:rPr>
          <w:rFonts w:ascii="Arial Black" w:hAnsi="Arial Black"/>
          <w:sz w:val="28"/>
          <w:szCs w:val="28"/>
        </w:rPr>
      </w:pPr>
    </w:p>
    <w:p w14:paraId="1BD44A23" w14:textId="694B22B1" w:rsidR="00CC770C" w:rsidRDefault="007100AC" w:rsidP="000C62A1">
      <w:pPr>
        <w:pStyle w:val="NoSpacing"/>
        <w:rPr>
          <w:rFonts w:ascii="Arial Black" w:hAnsi="Arial Black"/>
          <w:sz w:val="28"/>
          <w:szCs w:val="28"/>
        </w:rPr>
      </w:pPr>
      <w:r>
        <w:rPr>
          <w:rFonts w:ascii="Arial Black" w:hAnsi="Arial Black"/>
          <w:sz w:val="28"/>
          <w:szCs w:val="28"/>
        </w:rPr>
        <w:t>5-60</w:t>
      </w:r>
    </w:p>
    <w:p w14:paraId="002E8A9E" w14:textId="77777777" w:rsidR="007100AC" w:rsidRDefault="007100AC" w:rsidP="000C62A1">
      <w:pPr>
        <w:pStyle w:val="NoSpacing"/>
        <w:rPr>
          <w:rFonts w:ascii="Arial Black" w:hAnsi="Arial Black"/>
          <w:sz w:val="28"/>
          <w:szCs w:val="28"/>
        </w:rPr>
      </w:pPr>
    </w:p>
    <w:p w14:paraId="60A05A40" w14:textId="77777777" w:rsidR="007100AC" w:rsidRPr="005A1845" w:rsidRDefault="007100AC" w:rsidP="007100AC">
      <w:pPr>
        <w:rPr>
          <w:rFonts w:ascii="Arial Black" w:hAnsi="Arial Black"/>
          <w:b/>
          <w:sz w:val="28"/>
          <w:szCs w:val="28"/>
        </w:rPr>
      </w:pPr>
      <w:r>
        <w:rPr>
          <w:rFonts w:ascii="Arial Black" w:hAnsi="Arial Black"/>
          <w:b/>
          <w:sz w:val="28"/>
          <w:szCs w:val="28"/>
        </w:rPr>
        <w:t>TX: AMBULANCE – IMMUNITY - PHOTO EMER LIGHTS ON</w:t>
      </w:r>
    </w:p>
    <w:p w14:paraId="02B325B7" w14:textId="77777777" w:rsidR="007100AC" w:rsidRDefault="007100AC" w:rsidP="007100AC">
      <w:pPr>
        <w:pStyle w:val="NoSpacing"/>
        <w:rPr>
          <w:bCs/>
        </w:rPr>
      </w:pPr>
      <w:r>
        <w:t xml:space="preserve">On Jan. 21, 2026, in </w:t>
      </w:r>
      <w:r w:rsidRPr="00B031E6">
        <w:rPr>
          <w:u w:val="single"/>
        </w:rPr>
        <w:t>Michelle Ojeda v. City of Grand Prairie</w:t>
      </w:r>
      <w:r>
        <w:t xml:space="preserve">, the </w:t>
      </w:r>
      <w:r w:rsidRPr="00934DC7">
        <w:t>Court of Appeals of Texas, Fifth District, Dallas</w:t>
      </w:r>
      <w:r>
        <w:t xml:space="preserve"> held (3 to 0) that trial court properly dismissed the lawsuit, since the intersection crash happened on an emergency run, lights (photo taken after the accident) and siren activated, and slowed down entering the intersection. </w:t>
      </w:r>
      <w:hyperlink r:id="rId946" w:history="1">
        <w:r w:rsidRPr="00AC5608">
          <w:rPr>
            <w:rStyle w:val="Hyperlink"/>
          </w:rPr>
          <w:t>https://cases.justia.com/texas/fifth-court-of-appeals/2026-05-24-01403-cv.pdf?ts=1769077961</w:t>
        </w:r>
      </w:hyperlink>
    </w:p>
    <w:p w14:paraId="2DBA9681" w14:textId="77777777" w:rsidR="007100AC" w:rsidRDefault="007100AC" w:rsidP="007100AC">
      <w:pPr>
        <w:pStyle w:val="NoSpacing"/>
        <w:rPr>
          <w:bCs/>
        </w:rPr>
      </w:pPr>
    </w:p>
    <w:p w14:paraId="6A2C8F1B" w14:textId="77777777" w:rsidR="007100AC" w:rsidRDefault="007100AC" w:rsidP="007100AC">
      <w:pPr>
        <w:pStyle w:val="NoSpacing"/>
        <w:rPr>
          <w:bCs/>
        </w:rPr>
      </w:pPr>
      <w:r>
        <w:t xml:space="preserve">THE COURT HELD: </w:t>
      </w:r>
    </w:p>
    <w:p w14:paraId="4A7AF126" w14:textId="77777777" w:rsidR="007100AC" w:rsidRDefault="007100AC" w:rsidP="007100AC">
      <w:pPr>
        <w:pStyle w:val="NoSpacing"/>
        <w:rPr>
          <w:bCs/>
        </w:rPr>
      </w:pPr>
    </w:p>
    <w:p w14:paraId="69821FAF" w14:textId="77777777" w:rsidR="007100AC" w:rsidRDefault="007100AC" w:rsidP="007100AC">
      <w:pPr>
        <w:pStyle w:val="NoSpacing"/>
        <w:ind w:left="720"/>
        <w:rPr>
          <w:bCs/>
        </w:rPr>
      </w:pPr>
      <w:r>
        <w:t>“</w:t>
      </w:r>
      <w:r w:rsidRPr="00492BC7">
        <w:t>In an attempt to raise a fact issue, Ojeda asserts in her briefing that the ambulance's emergency lights and siren were not activated when the ambulance entered the intersection. But the summary judgment record contains no evidence supporting this assertion and the testimony of Kildal and Herrera and the photograph of the ambulance immediately after the crash establish the emergency lights and siren were activated and in operation before and during the collision</w:t>
      </w:r>
      <w:r>
        <w:t xml:space="preserve">…. </w:t>
      </w:r>
      <w:r w:rsidRPr="00801AF4">
        <w:t>With respect to Ojeda's contention reckless disregard is shown by Kildal entering the intersection without knowing whether the light was green or red, a driver of an emergency vehicle is permitted to proceed through a red light without stopping if they do so after slowing as necessary for safe operation</w:t>
      </w:r>
      <w:r>
        <w:t xml:space="preserve">…. </w:t>
      </w:r>
      <w:r w:rsidRPr="00801AF4">
        <w:t>(citing Tex. Transp. Code § 546.001(2)).</w:t>
      </w:r>
      <w:r>
        <w:t xml:space="preserve"> *** </w:t>
      </w:r>
      <w:r w:rsidRPr="00000FE4">
        <w:t>Data obtained from the Electronic Data Recorder device in the ambulance showed Kildal slowed the ambulance down five seconds before the collision from a speed of 33.3 mph to a speed of 16.8 mph at the time of impact.</w:t>
      </w:r>
      <w:r>
        <w:t xml:space="preserve">”  *** </w:t>
      </w:r>
      <w:r w:rsidRPr="00D253AC">
        <w:t xml:space="preserve">Under this exception, the waiver of immunity under the Texas Tort Claims Act does not apply to a claim based on a governmental employee's conduct if that employee, while responding to an emergency call or reacting to an emergency situation, acts in compliance with </w:t>
      </w:r>
      <w:r>
        <w:t>‘</w:t>
      </w:r>
      <w:r w:rsidRPr="00D253AC">
        <w:t>the laws and ordinances applicable to emergency action,</w:t>
      </w:r>
      <w:r>
        <w:t>’</w:t>
      </w:r>
      <w:r w:rsidRPr="00D253AC">
        <w:t xml:space="preserve"> or in the absence of such a law or ordinance, the employee's actions are not taken </w:t>
      </w:r>
      <w:r>
        <w:t>‘</w:t>
      </w:r>
      <w:r w:rsidRPr="00D253AC">
        <w:t>with conscious indifference or reckless disregard for the safety of others.</w:t>
      </w:r>
      <w:r>
        <w:t>’</w:t>
      </w:r>
      <w:r w:rsidRPr="00D253AC">
        <w:t xml:space="preserve"> Civ. </w:t>
      </w:r>
      <w:proofErr w:type="spellStart"/>
      <w:r w:rsidRPr="00D253AC">
        <w:t>Prac</w:t>
      </w:r>
      <w:proofErr w:type="spellEnd"/>
      <w:r w:rsidRPr="00D253AC">
        <w:t>. &amp; Rem. § 101.055(2).</w:t>
      </w:r>
      <w:r>
        <w:t>”</w:t>
      </w:r>
    </w:p>
    <w:p w14:paraId="40067775" w14:textId="77777777" w:rsidR="007100AC" w:rsidRDefault="007100AC" w:rsidP="007100AC">
      <w:pPr>
        <w:pStyle w:val="NoSpacing"/>
        <w:rPr>
          <w:bCs/>
        </w:rPr>
      </w:pPr>
    </w:p>
    <w:p w14:paraId="53219925" w14:textId="77777777" w:rsidR="007100AC" w:rsidRPr="004D5620" w:rsidRDefault="007100AC" w:rsidP="007100AC">
      <w:pPr>
        <w:pStyle w:val="NoSpacing"/>
        <w:rPr>
          <w:b/>
        </w:rPr>
      </w:pPr>
      <w:r>
        <w:rPr>
          <w:b/>
        </w:rPr>
        <w:t xml:space="preserve">Legal lesson learned: After an on-duty accident, leave your siren on as you notify dispatch, and then take a photo showing your emergency lights still activated. </w:t>
      </w:r>
    </w:p>
    <w:p w14:paraId="521A93AE" w14:textId="77777777" w:rsidR="007100AC" w:rsidRDefault="007100AC" w:rsidP="000C62A1">
      <w:pPr>
        <w:pStyle w:val="NoSpacing"/>
        <w:rPr>
          <w:rFonts w:ascii="Arial Black" w:hAnsi="Arial Black"/>
          <w:sz w:val="28"/>
          <w:szCs w:val="28"/>
        </w:rPr>
      </w:pPr>
    </w:p>
    <w:p w14:paraId="626F94C9" w14:textId="77777777" w:rsidR="007100AC" w:rsidRDefault="007100AC" w:rsidP="000C62A1">
      <w:pPr>
        <w:pStyle w:val="NoSpacing"/>
        <w:rPr>
          <w:rFonts w:ascii="Arial Black" w:hAnsi="Arial Black"/>
          <w:sz w:val="28"/>
          <w:szCs w:val="28"/>
        </w:rPr>
      </w:pPr>
    </w:p>
    <w:p w14:paraId="7444A9E1" w14:textId="77777777" w:rsidR="007100AC" w:rsidRDefault="007100AC" w:rsidP="000C62A1">
      <w:pPr>
        <w:pStyle w:val="NoSpacing"/>
        <w:rPr>
          <w:rFonts w:ascii="Arial Black" w:hAnsi="Arial Black"/>
          <w:sz w:val="28"/>
          <w:szCs w:val="28"/>
        </w:rPr>
      </w:pPr>
    </w:p>
    <w:p w14:paraId="6733B22F" w14:textId="6DABD62F" w:rsidR="00CC770C" w:rsidRDefault="00CC770C" w:rsidP="000C62A1">
      <w:pPr>
        <w:pStyle w:val="NoSpacing"/>
        <w:rPr>
          <w:rFonts w:ascii="Arial Black" w:hAnsi="Arial Black"/>
          <w:sz w:val="28"/>
          <w:szCs w:val="28"/>
        </w:rPr>
      </w:pPr>
      <w:r>
        <w:rPr>
          <w:rFonts w:ascii="Arial Black" w:hAnsi="Arial Black"/>
          <w:sz w:val="28"/>
          <w:szCs w:val="28"/>
        </w:rPr>
        <w:t>5-5</w:t>
      </w:r>
      <w:r w:rsidR="00EC252C">
        <w:rPr>
          <w:rFonts w:ascii="Arial Black" w:hAnsi="Arial Black"/>
          <w:sz w:val="28"/>
          <w:szCs w:val="28"/>
        </w:rPr>
        <w:t>9</w:t>
      </w:r>
    </w:p>
    <w:p w14:paraId="133AFA35" w14:textId="77777777" w:rsidR="00EC252C" w:rsidRPr="00E62CBF" w:rsidRDefault="00EC252C" w:rsidP="00EC252C">
      <w:pPr>
        <w:rPr>
          <w:rFonts w:ascii="Arial Black" w:hAnsi="Arial Black"/>
          <w:sz w:val="28"/>
          <w:szCs w:val="28"/>
        </w:rPr>
      </w:pPr>
      <w:r>
        <w:rPr>
          <w:rFonts w:ascii="Arial Black" w:hAnsi="Arial Black"/>
          <w:sz w:val="28"/>
          <w:szCs w:val="28"/>
        </w:rPr>
        <w:t>LA: FF BAD DRIVING – NOT SUSP. WITHIN “60-DAY RULE”</w:t>
      </w:r>
    </w:p>
    <w:p w14:paraId="589D6F9C" w14:textId="77777777" w:rsidR="00EC252C" w:rsidRPr="009434D7" w:rsidRDefault="00EC252C" w:rsidP="00EC252C">
      <w:pPr>
        <w:rPr>
          <w:bCs/>
        </w:rPr>
      </w:pPr>
      <w:r>
        <w:lastRenderedPageBreak/>
        <w:t xml:space="preserve">On December 15, 2025, in </w:t>
      </w:r>
      <w:r w:rsidRPr="009434D7">
        <w:rPr>
          <w:u w:val="single"/>
        </w:rPr>
        <w:t>Chase Bruner v. New Orleans Fire Department</w:t>
      </w:r>
      <w:r>
        <w:t xml:space="preserve">, the </w:t>
      </w:r>
      <w:r w:rsidRPr="009434D7">
        <w:t>Court of Appeals of Louisiana, Fourth Circuit</w:t>
      </w:r>
      <w:r>
        <w:t xml:space="preserve"> held (3 to 0) that the city’s Civil Service Commission properly set aside six-day suspension because the </w:t>
      </w:r>
      <w:r w:rsidRPr="005F7F77">
        <w:t>NOFD failed to comply with sixty-day investigatory</w:t>
      </w:r>
      <w:r>
        <w:t xml:space="preserve"> </w:t>
      </w:r>
      <w:r w:rsidRPr="005F7F77">
        <w:t>timeline in the Firefighter Bill of Rights</w:t>
      </w:r>
      <w:r>
        <w:t xml:space="preserve">.  The bad driving occurred </w:t>
      </w:r>
      <w:r w:rsidRPr="00F9679A">
        <w:t>April 11, 2024</w:t>
      </w:r>
      <w:r>
        <w:t xml:space="preserve">. On April 18, </w:t>
      </w:r>
      <w:r w:rsidRPr="00874B90">
        <w:t>Major Figueroa-Camps reviewed the video of the EMS vehicles and forwarded it</w:t>
      </w:r>
      <w:r>
        <w:t xml:space="preserve"> </w:t>
      </w:r>
      <w:r w:rsidRPr="00874B90">
        <w:t>to Chief Keller</w:t>
      </w:r>
      <w:r>
        <w:t xml:space="preserve">, who on April 19 </w:t>
      </w:r>
      <w:r w:rsidRPr="00874B90">
        <w:t>notified NOFD of the incident</w:t>
      </w:r>
      <w:r>
        <w:t xml:space="preserve">.  </w:t>
      </w:r>
      <w:r w:rsidRPr="00874B90">
        <w:t xml:space="preserve"> </w:t>
      </w:r>
      <w:r>
        <w:t xml:space="preserve">The Civil Service Commission stated the 60-day clock started on April 19.  The 60-days ended </w:t>
      </w:r>
      <w:r w:rsidRPr="004E7AAB">
        <w:t>June 19, 2024</w:t>
      </w:r>
      <w:r>
        <w:t xml:space="preserve">, but Mr. Brunner was issued his suspension letter on June 21.  </w:t>
      </w:r>
      <w:hyperlink r:id="rId947" w:history="1">
        <w:r w:rsidRPr="00CB1D74">
          <w:rPr>
            <w:rStyle w:val="Hyperlink"/>
          </w:rPr>
          <w:t>https://cases.justia.com/louisiana/fourth-circuit-court-of-appeal/2025-2025-ca-0386.pdf?ts=1765847814</w:t>
        </w:r>
      </w:hyperlink>
      <w:r>
        <w:t xml:space="preserve"> </w:t>
      </w:r>
    </w:p>
    <w:p w14:paraId="2ACFA1E5" w14:textId="77777777" w:rsidR="00EC252C" w:rsidRDefault="00EC252C" w:rsidP="00EC252C">
      <w:r>
        <w:t>THE COURT HELD:</w:t>
      </w:r>
    </w:p>
    <w:p w14:paraId="7A828915" w14:textId="77777777" w:rsidR="00EC252C" w:rsidRDefault="00EC252C" w:rsidP="00EC252C">
      <w:pPr>
        <w:pStyle w:val="NoSpacing"/>
        <w:ind w:left="720"/>
      </w:pPr>
      <w:r>
        <w:t>“On April 11, 2024, Mr. Bruner had an overtime shift as an ambulance driver for New Orleans Emergency Medical Services (‘EMS’). During his shift, Mr. Bruner violated multiple traffic laws, specifically, racing another ambulance, excessive speeding and driving on the wrong side of the street. The EMS in-vehicle camera system flagged a sudden brake event, prompting EMS Major Gerardo Figueroa-Camps (‘Major Figueroa-Camps’) to review and send the full video footage to EMS Deputy Chief Chris Keller (‘Chief Keller’) on April 18</w:t>
      </w:r>
      <w:proofErr w:type="gramStart"/>
      <w:r>
        <w:t xml:space="preserve"> 2024</w:t>
      </w:r>
      <w:proofErr w:type="gramEnd"/>
      <w:r>
        <w:t>, and [on April 19] Chief Keller emailed NOFD about Mr. Bruner’s traffic violations.</w:t>
      </w:r>
    </w:p>
    <w:p w14:paraId="7CD1E1FC" w14:textId="77777777" w:rsidR="00EC252C" w:rsidRDefault="00EC252C" w:rsidP="00EC252C">
      <w:pPr>
        <w:pStyle w:val="NoSpacing"/>
        <w:ind w:left="720"/>
      </w:pPr>
    </w:p>
    <w:p w14:paraId="1AD78E64" w14:textId="77777777" w:rsidR="00EC252C" w:rsidRDefault="00EC252C" w:rsidP="00EC252C">
      <w:pPr>
        <w:pStyle w:val="NoSpacing"/>
        <w:ind w:left="720"/>
      </w:pPr>
      <w:r>
        <w:t>***</w:t>
      </w:r>
    </w:p>
    <w:p w14:paraId="5A7E3FF5" w14:textId="77777777" w:rsidR="00EC252C" w:rsidRDefault="00EC252C" w:rsidP="00EC252C">
      <w:pPr>
        <w:pStyle w:val="NoSpacing"/>
        <w:ind w:left="720"/>
      </w:pPr>
      <w:r>
        <w:t xml:space="preserve">On June 21, 2024, NOFD Superintendent Roman Nelson issued a letter to Mr. Bruner informing him that he was charged </w:t>
      </w:r>
      <w:proofErr w:type="gramStart"/>
      <w:r>
        <w:t>for</w:t>
      </w:r>
      <w:proofErr w:type="gramEnd"/>
      <w:r>
        <w:t xml:space="preserve"> violating NOFD Rule RR5, which requires compliance with City of New Orleans policies, specifically CAO Policy 5(R) concerning driving standards. The letter further stated that Mr. Bruner would be suspended for six hours.</w:t>
      </w:r>
    </w:p>
    <w:p w14:paraId="38688B99" w14:textId="77777777" w:rsidR="00EC252C" w:rsidRDefault="00EC252C" w:rsidP="00EC252C">
      <w:pPr>
        <w:pStyle w:val="NoSpacing"/>
        <w:ind w:left="720"/>
      </w:pPr>
    </w:p>
    <w:p w14:paraId="1DC02E26" w14:textId="77777777" w:rsidR="00EC252C" w:rsidRDefault="00EC252C" w:rsidP="00EC252C">
      <w:pPr>
        <w:pStyle w:val="NoSpacing"/>
        <w:ind w:left="720"/>
      </w:pPr>
      <w:r>
        <w:t>***</w:t>
      </w:r>
    </w:p>
    <w:p w14:paraId="70B718CE" w14:textId="77777777" w:rsidR="00EC252C" w:rsidRDefault="00EC252C" w:rsidP="00EC252C">
      <w:pPr>
        <w:pStyle w:val="NoSpacing"/>
        <w:ind w:left="720"/>
      </w:pPr>
      <w:r>
        <w:t xml:space="preserve">Mr. Bruner </w:t>
      </w:r>
      <w:proofErr w:type="gramStart"/>
      <w:r>
        <w:t>appealed</w:t>
      </w:r>
      <w:proofErr w:type="gramEnd"/>
      <w:r>
        <w:t xml:space="preserve"> his suspension to the Civil Service Commission. A hearing took place on November 15, 2024. On May 8, 2025, the Commission granted Mr. Bruner’s appeal and ordered NOFD to reimburse Mr. Bruner for all lost wages and emoluments of employment from his six-hour suspension. The Commission found that NOFD failed to comply with sixty-day investigatory timeline in the Firefighter Bill of Rights. </w:t>
      </w:r>
    </w:p>
    <w:p w14:paraId="3B3F8F19" w14:textId="77777777" w:rsidR="00EC252C" w:rsidRDefault="00EC252C" w:rsidP="00EC252C">
      <w:pPr>
        <w:pStyle w:val="NoSpacing"/>
      </w:pPr>
    </w:p>
    <w:p w14:paraId="10617A17" w14:textId="77777777" w:rsidR="00EC252C" w:rsidRDefault="00EC252C" w:rsidP="00EC252C">
      <w:pPr>
        <w:pStyle w:val="NoSpacing"/>
        <w:ind w:left="1440"/>
      </w:pPr>
    </w:p>
    <w:p w14:paraId="06958D31" w14:textId="77777777" w:rsidR="00EC252C" w:rsidRDefault="00EC252C" w:rsidP="00EC252C">
      <w:pPr>
        <w:pStyle w:val="NoSpacing"/>
        <w:ind w:left="1440"/>
      </w:pPr>
      <w:r>
        <w:t>[</w:t>
      </w:r>
      <w:r w:rsidRPr="009E64D7">
        <w:t>Louisiana Revised Statute 33:2181, known as the Firefighters Bill of Rights</w:t>
      </w:r>
      <w:r>
        <w:t>]</w:t>
      </w:r>
      <w:r w:rsidRPr="009E64D7">
        <w:t>,</w:t>
      </w:r>
    </w:p>
    <w:p w14:paraId="32563332" w14:textId="77777777" w:rsidR="00EC252C" w:rsidRDefault="00EC252C" w:rsidP="00EC252C">
      <w:pPr>
        <w:pStyle w:val="NoSpacing"/>
        <w:ind w:left="1440"/>
      </w:pPr>
      <w:proofErr w:type="gramStart"/>
      <w:r>
        <w:t>provides ‘[</w:t>
      </w:r>
      <w:proofErr w:type="gramEnd"/>
      <w:r>
        <w:t>a]</w:t>
      </w:r>
      <w:proofErr w:type="spellStart"/>
      <w:r>
        <w:t>ny</w:t>
      </w:r>
      <w:proofErr w:type="spellEnd"/>
      <w:r>
        <w:t xml:space="preserve"> investigation of a fire employee which is conducted pursuant to this Subpart shall be completed within sixty days, including the conducting of any pre-disciplinary hearing or conference.’ La. R.S. 33:2186(A). The fire department may petition the governing authority for an extension of time in which to complete its investigation upon a showing of good cause. La. R.S. 33:2186(B).” </w:t>
      </w:r>
    </w:p>
    <w:p w14:paraId="2FF6C6F4" w14:textId="77777777" w:rsidR="00EC252C" w:rsidRDefault="00EC252C" w:rsidP="00EC252C">
      <w:pPr>
        <w:pStyle w:val="NoSpacing"/>
        <w:ind w:left="1440"/>
      </w:pPr>
    </w:p>
    <w:p w14:paraId="293B448D" w14:textId="77777777" w:rsidR="00EC252C" w:rsidRDefault="00EC252C" w:rsidP="00EC252C">
      <w:pPr>
        <w:pStyle w:val="NoSpacing"/>
        <w:ind w:left="720"/>
      </w:pPr>
      <w:r>
        <w:t>***</w:t>
      </w:r>
    </w:p>
    <w:p w14:paraId="61C19AC1" w14:textId="77777777" w:rsidR="00EC252C" w:rsidRDefault="00EC252C" w:rsidP="00EC252C">
      <w:pPr>
        <w:pStyle w:val="NoSpacing"/>
        <w:ind w:left="720"/>
      </w:pPr>
    </w:p>
    <w:p w14:paraId="5B5ACD88" w14:textId="77777777" w:rsidR="00EC252C" w:rsidRDefault="00EC252C" w:rsidP="00EC252C">
      <w:pPr>
        <w:pStyle w:val="NoSpacing"/>
        <w:ind w:left="720"/>
      </w:pPr>
      <w:r>
        <w:t xml:space="preserve">The NOFD argues that the Commission’s finding was erroneous because it undermines this Court’s decision in Pitre v. </w:t>
      </w:r>
      <w:proofErr w:type="spellStart"/>
      <w:r>
        <w:t>Dep’t</w:t>
      </w:r>
      <w:proofErr w:type="spellEnd"/>
      <w:r>
        <w:t xml:space="preserve"> of Fire, 2021-0632 (La. App. 4 Cir. 2022), 338 So.3d 70 regarding when an investigation commences…. In Pitre, a firefighter was charged with making false statements during a formal investigation regarding another employee’s worker’s compensation claim. The NOFD sent a notification letter to the firefighter on July 8, </w:t>
      </w:r>
      <w:proofErr w:type="gramStart"/>
      <w:r>
        <w:t>2020</w:t>
      </w:r>
      <w:proofErr w:type="gramEnd"/>
      <w:r>
        <w:t xml:space="preserve"> and the firefighter was terminated on September 28, 2020…. </w:t>
      </w:r>
    </w:p>
    <w:p w14:paraId="458BB811" w14:textId="77777777" w:rsidR="00EC252C" w:rsidRDefault="00EC252C" w:rsidP="00EC252C">
      <w:pPr>
        <w:pStyle w:val="NoSpacing"/>
        <w:ind w:left="720"/>
      </w:pPr>
      <w:r>
        <w:t>NOFD received an enhanced video footage of the firefighter’s actions on August 7, 2020….  NOFD argued that the investigation into the firefighter did not commence until August 7, 2020…. This Court found that the investigation commenced on July 8, 2020, when NOFD conducted an interrogation, not an initial inquiry. Specifically, the</w:t>
      </w:r>
    </w:p>
    <w:p w14:paraId="1C213FF7" w14:textId="77777777" w:rsidR="00EC252C" w:rsidRDefault="00EC252C" w:rsidP="00EC252C">
      <w:pPr>
        <w:pStyle w:val="NoSpacing"/>
        <w:ind w:left="720"/>
      </w:pPr>
      <w:r>
        <w:t xml:space="preserve">notification letter was issued to the firefighter detailing that he would be interviewed in connection with an investigation for violation of the NOFD Rules and Regulations. </w:t>
      </w:r>
    </w:p>
    <w:p w14:paraId="429FADC3" w14:textId="77777777" w:rsidR="00EC252C" w:rsidRDefault="00EC252C" w:rsidP="00EC252C">
      <w:pPr>
        <w:pStyle w:val="NoSpacing"/>
        <w:ind w:left="720"/>
      </w:pPr>
    </w:p>
    <w:p w14:paraId="02D9F32D" w14:textId="77777777" w:rsidR="00EC252C" w:rsidRDefault="00EC252C" w:rsidP="00EC252C">
      <w:pPr>
        <w:pStyle w:val="NoSpacing"/>
        <w:ind w:left="720"/>
      </w:pPr>
      <w:r>
        <w:t>***</w:t>
      </w:r>
    </w:p>
    <w:p w14:paraId="7E52B6F2" w14:textId="77777777" w:rsidR="00EC252C" w:rsidRDefault="00EC252C" w:rsidP="00EC252C">
      <w:pPr>
        <w:pStyle w:val="NoSpacing"/>
        <w:ind w:left="720"/>
      </w:pPr>
    </w:p>
    <w:p w14:paraId="46416B8F" w14:textId="77777777" w:rsidR="00EC252C" w:rsidRDefault="00EC252C" w:rsidP="00EC252C">
      <w:pPr>
        <w:pStyle w:val="NoSpacing"/>
        <w:ind w:left="720"/>
      </w:pPr>
      <w:r w:rsidRPr="00B05652">
        <w:lastRenderedPageBreak/>
        <w:t>We do not find that the Commission’s decision undermines this Court’s</w:t>
      </w:r>
      <w:r>
        <w:t xml:space="preserve"> </w:t>
      </w:r>
      <w:r w:rsidRPr="00B05652">
        <w:t xml:space="preserve">decision in Pitre. The facts in </w:t>
      </w:r>
      <w:proofErr w:type="gramStart"/>
      <w:r w:rsidRPr="00B05652">
        <w:t>Pitre,</w:t>
      </w:r>
      <w:proofErr w:type="gramEnd"/>
      <w:r w:rsidRPr="00B05652">
        <w:t xml:space="preserve"> are distinguishable, as the investigation into</w:t>
      </w:r>
      <w:r>
        <w:t xml:space="preserve"> </w:t>
      </w:r>
      <w:r w:rsidRPr="00B05652">
        <w:t>the firefighter began when NOFD made more than an initial inquiry into the</w:t>
      </w:r>
      <w:r>
        <w:t xml:space="preserve"> </w:t>
      </w:r>
      <w:r w:rsidRPr="00B05652">
        <w:t>firefighter’s misconduct by conducting a formal interview. Here, we find that the</w:t>
      </w:r>
      <w:r>
        <w:t xml:space="preserve"> </w:t>
      </w:r>
      <w:r w:rsidRPr="00B05652">
        <w:t>investigation into Mr. Bruner commenced on April 19, 2024, when NOFD was</w:t>
      </w:r>
      <w:r>
        <w:t xml:space="preserve"> </w:t>
      </w:r>
      <w:r w:rsidRPr="00B05652">
        <w:t>informed of Mr. Bruner’s misconduct and requested, and received evidence of his</w:t>
      </w:r>
      <w:r>
        <w:t xml:space="preserve"> </w:t>
      </w:r>
      <w:r w:rsidRPr="00B05652">
        <w:t>misconduct on the same date.</w:t>
      </w:r>
      <w:r>
        <w:t>”</w:t>
      </w:r>
    </w:p>
    <w:p w14:paraId="56C83147" w14:textId="77777777" w:rsidR="00EC252C" w:rsidRDefault="00EC252C" w:rsidP="00EC252C">
      <w:pPr>
        <w:pStyle w:val="NoSpacing"/>
        <w:ind w:left="720"/>
      </w:pPr>
    </w:p>
    <w:p w14:paraId="591752F3" w14:textId="77777777" w:rsidR="00EC252C" w:rsidRPr="00B05652" w:rsidRDefault="00EC252C" w:rsidP="00EC252C">
      <w:pPr>
        <w:pStyle w:val="NoSpacing"/>
        <w:rPr>
          <w:b/>
          <w:bCs/>
        </w:rPr>
      </w:pPr>
      <w:r>
        <w:rPr>
          <w:b/>
        </w:rPr>
        <w:t xml:space="preserve">Legal </w:t>
      </w:r>
      <w:proofErr w:type="gramStart"/>
      <w:r>
        <w:rPr>
          <w:b/>
        </w:rPr>
        <w:t>lesson</w:t>
      </w:r>
      <w:proofErr w:type="gramEnd"/>
      <w:r>
        <w:rPr>
          <w:b/>
        </w:rPr>
        <w:t xml:space="preserve"> learned:  The 60-day rule can lead to confusion; be helpful if a FD policy could give specific guidance. </w:t>
      </w:r>
    </w:p>
    <w:p w14:paraId="6ED60C2A" w14:textId="77777777" w:rsidR="00EC252C" w:rsidRDefault="00EC252C" w:rsidP="00EC252C">
      <w:pPr>
        <w:rPr>
          <w:b/>
        </w:rPr>
      </w:pPr>
    </w:p>
    <w:p w14:paraId="5B1D6F12" w14:textId="66D6A7EC" w:rsidR="00EC252C" w:rsidRDefault="009D283D" w:rsidP="000C62A1">
      <w:pPr>
        <w:pStyle w:val="NoSpacing"/>
        <w:rPr>
          <w:rFonts w:ascii="Arial Black" w:hAnsi="Arial Black"/>
          <w:sz w:val="28"/>
          <w:szCs w:val="28"/>
        </w:rPr>
      </w:pPr>
      <w:r>
        <w:rPr>
          <w:rFonts w:ascii="Arial Black" w:hAnsi="Arial Black"/>
          <w:sz w:val="28"/>
          <w:szCs w:val="28"/>
        </w:rPr>
        <w:t>5-58</w:t>
      </w:r>
    </w:p>
    <w:p w14:paraId="4565709E" w14:textId="77777777" w:rsidR="003F1E51" w:rsidRDefault="003F1E51" w:rsidP="009D283D">
      <w:pPr>
        <w:pStyle w:val="NoSpacing"/>
        <w:rPr>
          <w:rFonts w:ascii="Arial Black" w:hAnsi="Arial Black"/>
          <w:sz w:val="28"/>
          <w:szCs w:val="28"/>
        </w:rPr>
      </w:pPr>
    </w:p>
    <w:p w14:paraId="0C380036" w14:textId="3C1D26C7" w:rsidR="009D283D" w:rsidRPr="00FA1AE7" w:rsidRDefault="009D283D" w:rsidP="009D283D">
      <w:pPr>
        <w:pStyle w:val="NoSpacing"/>
        <w:rPr>
          <w:rFonts w:ascii="Arial Black" w:hAnsi="Arial Black"/>
          <w:sz w:val="28"/>
          <w:szCs w:val="28"/>
        </w:rPr>
      </w:pPr>
      <w:r>
        <w:rPr>
          <w:rFonts w:ascii="Arial Black" w:hAnsi="Arial Black"/>
          <w:sz w:val="28"/>
          <w:szCs w:val="28"/>
        </w:rPr>
        <w:t xml:space="preserve">TX: CHIEF MVA DRIVING TO WORK - CITY </w:t>
      </w:r>
      <w:r w:rsidR="00F42915">
        <w:rPr>
          <w:rFonts w:ascii="Arial Black" w:hAnsi="Arial Black"/>
          <w:sz w:val="28"/>
          <w:szCs w:val="28"/>
        </w:rPr>
        <w:t xml:space="preserve">HAS </w:t>
      </w:r>
      <w:r>
        <w:rPr>
          <w:rFonts w:ascii="Arial Black" w:hAnsi="Arial Black"/>
          <w:sz w:val="28"/>
          <w:szCs w:val="28"/>
        </w:rPr>
        <w:t xml:space="preserve">IMMUNITY </w:t>
      </w:r>
    </w:p>
    <w:p w14:paraId="5B6CD67B" w14:textId="77777777" w:rsidR="009D283D" w:rsidRDefault="009D283D" w:rsidP="009D283D">
      <w:pPr>
        <w:pStyle w:val="NoSpacing"/>
      </w:pPr>
    </w:p>
    <w:p w14:paraId="796D15BB" w14:textId="77777777" w:rsidR="009D283D" w:rsidRDefault="009D283D" w:rsidP="009D283D">
      <w:pPr>
        <w:rPr>
          <w:bCs/>
        </w:rPr>
      </w:pPr>
      <w:r>
        <w:t xml:space="preserve">On December 9, 2025, in </w:t>
      </w:r>
      <w:r w:rsidRPr="00236011">
        <w:rPr>
          <w:u w:val="single"/>
        </w:rPr>
        <w:t>City of Houston v. Annie Gutierrez, et al</w:t>
      </w:r>
      <w:r>
        <w:t xml:space="preserve">., the </w:t>
      </w:r>
      <w:r w:rsidRPr="00236011">
        <w:t>Court of Appeals of Texas, Fourteenth District</w:t>
      </w:r>
      <w:r>
        <w:t xml:space="preserve"> held that trial court should have dismissed the city; under the State’s tort claims act, municipalities wave their governmental immunity for motor vehicle accidents in the performance of employee’s duties.  Under the “coming and going” rule, employees driving to work are not in the performance of their duties.  </w:t>
      </w:r>
      <w:hyperlink r:id="rId948" w:history="1">
        <w:r w:rsidRPr="00AE4181">
          <w:rPr>
            <w:rStyle w:val="Hyperlink"/>
          </w:rPr>
          <w:t>https://cases.justia.com/texas/fourteenth-court-of-appeals/2025-14-24-00811-cv.pdf?ts=1765287556</w:t>
        </w:r>
      </w:hyperlink>
      <w:r>
        <w:t xml:space="preserve"> </w:t>
      </w:r>
    </w:p>
    <w:p w14:paraId="68E79A19" w14:textId="77777777" w:rsidR="009D283D" w:rsidRDefault="009D283D" w:rsidP="009D283D">
      <w:pPr>
        <w:rPr>
          <w:bCs/>
        </w:rPr>
      </w:pPr>
      <w:r>
        <w:t>THE COURT HELD:</w:t>
      </w:r>
    </w:p>
    <w:p w14:paraId="180F91F8" w14:textId="77777777" w:rsidR="009D283D" w:rsidRPr="00354114" w:rsidRDefault="009D283D" w:rsidP="009D283D">
      <w:pPr>
        <w:pStyle w:val="NoSpacing"/>
        <w:ind w:firstLine="720"/>
      </w:pPr>
      <w:r>
        <w:t>“</w:t>
      </w:r>
      <w:r w:rsidRPr="00354114">
        <w:t>At approximately 5:30 a.m. one morning, a Chevrolet Silverado truck struck</w:t>
      </w:r>
    </w:p>
    <w:p w14:paraId="285F8540" w14:textId="77777777" w:rsidR="009D283D" w:rsidRPr="00354114" w:rsidRDefault="009D283D" w:rsidP="009D283D">
      <w:pPr>
        <w:pStyle w:val="NoSpacing"/>
        <w:ind w:firstLine="720"/>
      </w:pPr>
      <w:r w:rsidRPr="00354114">
        <w:t>the back of a car in a left-hand-turn lane on Westpark Drive in Houston. City of</w:t>
      </w:r>
    </w:p>
    <w:p w14:paraId="7387BDE4" w14:textId="77777777" w:rsidR="009D283D" w:rsidRPr="00354114" w:rsidRDefault="009D283D" w:rsidP="009D283D">
      <w:pPr>
        <w:pStyle w:val="NoSpacing"/>
        <w:ind w:firstLine="720"/>
      </w:pPr>
      <w:r w:rsidRPr="00354114">
        <w:t xml:space="preserve">Houston Fire Chief Mark Griffiths was the driver of the </w:t>
      </w:r>
      <w:proofErr w:type="gramStart"/>
      <w:r w:rsidRPr="00354114">
        <w:t>truck, which</w:t>
      </w:r>
      <w:proofErr w:type="gramEnd"/>
      <w:r w:rsidRPr="00354114">
        <w:t xml:space="preserve"> the </w:t>
      </w:r>
      <w:proofErr w:type="gramStart"/>
      <w:r w:rsidRPr="00354114">
        <w:t>City</w:t>
      </w:r>
      <w:proofErr w:type="gramEnd"/>
      <w:r w:rsidRPr="00354114">
        <w:t xml:space="preserve"> owned.</w:t>
      </w:r>
    </w:p>
    <w:p w14:paraId="398CC545" w14:textId="77777777" w:rsidR="009D283D" w:rsidRPr="00354114" w:rsidRDefault="009D283D" w:rsidP="009D283D">
      <w:pPr>
        <w:pStyle w:val="NoSpacing"/>
        <w:ind w:firstLine="720"/>
      </w:pPr>
      <w:r w:rsidRPr="00354114">
        <w:t xml:space="preserve">Appellees sued the </w:t>
      </w:r>
      <w:proofErr w:type="gramStart"/>
      <w:r w:rsidRPr="00354114">
        <w:t>City</w:t>
      </w:r>
      <w:proofErr w:type="gramEnd"/>
      <w:r w:rsidRPr="00354114">
        <w:t xml:space="preserve"> alleging personal injuries from the collision. Appellees</w:t>
      </w:r>
    </w:p>
    <w:p w14:paraId="6878C234" w14:textId="77777777" w:rsidR="009D283D" w:rsidRPr="00354114" w:rsidRDefault="009D283D" w:rsidP="009D283D">
      <w:pPr>
        <w:pStyle w:val="NoSpacing"/>
        <w:ind w:firstLine="720"/>
      </w:pPr>
      <w:r w:rsidRPr="00354114">
        <w:t xml:space="preserve">alleged Griffiths drove negligently while </w:t>
      </w:r>
      <w:proofErr w:type="gramStart"/>
      <w:r w:rsidRPr="00354114">
        <w:t>in</w:t>
      </w:r>
      <w:proofErr w:type="gramEnd"/>
      <w:r w:rsidRPr="00354114">
        <w:t xml:space="preserve"> the course and scope of his </w:t>
      </w:r>
      <w:proofErr w:type="gramStart"/>
      <w:r w:rsidRPr="00354114">
        <w:t>City</w:t>
      </w:r>
      <w:proofErr w:type="gramEnd"/>
    </w:p>
    <w:p w14:paraId="7BBF326F" w14:textId="77777777" w:rsidR="009D283D" w:rsidRPr="00354114" w:rsidRDefault="009D283D" w:rsidP="009D283D">
      <w:pPr>
        <w:pStyle w:val="NoSpacing"/>
        <w:ind w:firstLine="720"/>
      </w:pPr>
      <w:r w:rsidRPr="00354114">
        <w:t xml:space="preserve">employment at the time of the collision, and thus, the City’s immunity was </w:t>
      </w:r>
      <w:proofErr w:type="gramStart"/>
      <w:r w:rsidRPr="00354114">
        <w:t>waived</w:t>
      </w:r>
      <w:proofErr w:type="gramEnd"/>
    </w:p>
    <w:p w14:paraId="70FEBB97" w14:textId="77777777" w:rsidR="009D283D" w:rsidRPr="00354114" w:rsidRDefault="009D283D" w:rsidP="009D283D">
      <w:pPr>
        <w:pStyle w:val="NoSpacing"/>
        <w:ind w:firstLine="720"/>
      </w:pPr>
      <w:r w:rsidRPr="00354114">
        <w:t xml:space="preserve">under the Texas Torts Claims Act (“TTCA”). See Tex. Civ. </w:t>
      </w:r>
      <w:proofErr w:type="spellStart"/>
      <w:r w:rsidRPr="00354114">
        <w:t>Prac</w:t>
      </w:r>
      <w:proofErr w:type="spellEnd"/>
      <w:r w:rsidRPr="00354114">
        <w:t>. &amp; Rem. Code</w:t>
      </w:r>
    </w:p>
    <w:p w14:paraId="776F8604" w14:textId="77777777" w:rsidR="009D283D" w:rsidRDefault="009D283D" w:rsidP="009D283D">
      <w:pPr>
        <w:pStyle w:val="NoSpacing"/>
        <w:ind w:firstLine="720"/>
      </w:pPr>
      <w:r w:rsidRPr="00354114">
        <w:t>Ann. § 101.021(1).</w:t>
      </w:r>
    </w:p>
    <w:p w14:paraId="0C753287" w14:textId="77777777" w:rsidR="009D283D" w:rsidRDefault="009D283D" w:rsidP="009D283D">
      <w:pPr>
        <w:pStyle w:val="NoSpacing"/>
      </w:pPr>
    </w:p>
    <w:p w14:paraId="07202E40" w14:textId="77777777" w:rsidR="009D283D" w:rsidRDefault="009D283D" w:rsidP="009D283D">
      <w:pPr>
        <w:pStyle w:val="NoSpacing"/>
        <w:ind w:firstLine="720"/>
      </w:pPr>
      <w:r>
        <w:t>The City’s evidence showed that when this accident occurred, Griffiths was</w:t>
      </w:r>
    </w:p>
    <w:p w14:paraId="789B127B" w14:textId="77777777" w:rsidR="009D283D" w:rsidRDefault="009D283D" w:rsidP="009D283D">
      <w:pPr>
        <w:pStyle w:val="NoSpacing"/>
        <w:ind w:firstLine="720"/>
      </w:pPr>
      <w:r>
        <w:t>driving from his home. Griffiths was about ten minutes away from the fire station,</w:t>
      </w:r>
    </w:p>
    <w:p w14:paraId="7020F297" w14:textId="77777777" w:rsidR="009D283D" w:rsidRDefault="009D283D" w:rsidP="009D283D">
      <w:pPr>
        <w:pStyle w:val="NoSpacing"/>
        <w:ind w:firstLine="720"/>
      </w:pPr>
      <w:r>
        <w:t>but planned to go to the gym, then to work. Griffiths was wearing his gym clothes</w:t>
      </w:r>
    </w:p>
    <w:p w14:paraId="3B077913" w14:textId="77777777" w:rsidR="009D283D" w:rsidRDefault="009D283D" w:rsidP="009D283D">
      <w:pPr>
        <w:pStyle w:val="NoSpacing"/>
        <w:ind w:firstLine="720"/>
      </w:pPr>
      <w:r>
        <w:t>at the time of the accident. Griffiths testified his normal routine was to go to the</w:t>
      </w:r>
    </w:p>
    <w:p w14:paraId="28BCAF3C" w14:textId="77777777" w:rsidR="009D283D" w:rsidRDefault="009D283D" w:rsidP="009D283D">
      <w:pPr>
        <w:pStyle w:val="NoSpacing"/>
        <w:ind w:firstLine="720"/>
      </w:pPr>
      <w:r>
        <w:t>gym, work out, then put on his uniform and then start work.</w:t>
      </w:r>
    </w:p>
    <w:p w14:paraId="699B68C3" w14:textId="77777777" w:rsidR="009D283D" w:rsidRDefault="009D283D" w:rsidP="009D283D">
      <w:pPr>
        <w:pStyle w:val="NoSpacing"/>
      </w:pPr>
    </w:p>
    <w:p w14:paraId="0A0EE420" w14:textId="77777777" w:rsidR="009D283D" w:rsidRDefault="009D283D" w:rsidP="009D283D">
      <w:pPr>
        <w:pStyle w:val="NoSpacing"/>
        <w:ind w:firstLine="720"/>
      </w:pPr>
      <w:proofErr w:type="spellStart"/>
      <w:r>
        <w:t>Griffiths’s</w:t>
      </w:r>
      <w:proofErr w:type="spellEnd"/>
      <w:r>
        <w:t xml:space="preserve"> work hours were 6:00 a.m. to 4:00 p.m., Tuesdays through Fridays.</w:t>
      </w:r>
    </w:p>
    <w:p w14:paraId="78524696" w14:textId="77777777" w:rsidR="009D283D" w:rsidRDefault="009D283D" w:rsidP="009D283D">
      <w:pPr>
        <w:pStyle w:val="NoSpacing"/>
        <w:ind w:firstLine="720"/>
      </w:pPr>
      <w:proofErr w:type="spellStart"/>
      <w:r>
        <w:t>Griffiths’s</w:t>
      </w:r>
      <w:proofErr w:type="spellEnd"/>
      <w:r>
        <w:t xml:space="preserve"> work duties did not include responding to emergencies. Griffiths</w:t>
      </w:r>
    </w:p>
    <w:p w14:paraId="076AD3B8" w14:textId="77777777" w:rsidR="009D283D" w:rsidRDefault="009D283D" w:rsidP="009D283D">
      <w:pPr>
        <w:pStyle w:val="NoSpacing"/>
        <w:ind w:firstLine="720"/>
      </w:pPr>
      <w:r>
        <w:t>described his work as training firefighters and quality assurance of incoming calls</w:t>
      </w:r>
    </w:p>
    <w:p w14:paraId="2848EAA0" w14:textId="77777777" w:rsidR="009D283D" w:rsidRDefault="009D283D" w:rsidP="009D283D">
      <w:pPr>
        <w:ind w:firstLine="720"/>
      </w:pPr>
      <w:r>
        <w:t>and complaints.</w:t>
      </w:r>
    </w:p>
    <w:p w14:paraId="105DB91F" w14:textId="77777777" w:rsidR="009D283D" w:rsidRDefault="009D283D" w:rsidP="009D283D">
      <w:pPr>
        <w:ind w:firstLine="720"/>
      </w:pPr>
      <w:r>
        <w:t>***</w:t>
      </w:r>
    </w:p>
    <w:p w14:paraId="76938831" w14:textId="77777777" w:rsidR="009D283D" w:rsidRDefault="009D283D" w:rsidP="009D283D">
      <w:pPr>
        <w:pStyle w:val="NoSpacing"/>
        <w:ind w:firstLine="720"/>
        <w:rPr>
          <w:bCs/>
        </w:rPr>
      </w:pPr>
      <w:r w:rsidRPr="009F3681">
        <w:t>This Court recently summarized the coming-and-going rule as follows:</w:t>
      </w:r>
      <w:r>
        <w:t xml:space="preserve"> </w:t>
      </w:r>
    </w:p>
    <w:p w14:paraId="14DCA6E8" w14:textId="77777777" w:rsidR="009D283D" w:rsidRPr="009F3681" w:rsidRDefault="009D283D" w:rsidP="009D283D">
      <w:pPr>
        <w:pStyle w:val="NoSpacing"/>
        <w:ind w:left="720"/>
        <w:rPr>
          <w:bCs/>
        </w:rPr>
      </w:pPr>
      <w:r w:rsidRPr="009F3681">
        <w:t xml:space="preserve">Under the coming-and-going rule, an </w:t>
      </w:r>
      <w:r>
        <w:t>‘</w:t>
      </w:r>
      <w:r w:rsidRPr="009F3681">
        <w:t>employee is generally not acting</w:t>
      </w:r>
      <w:r>
        <w:t xml:space="preserve"> </w:t>
      </w:r>
      <w:r w:rsidRPr="009F3681">
        <w:t>within the scope of [her] employment when traveling to and from</w:t>
      </w:r>
      <w:r>
        <w:t xml:space="preserve"> </w:t>
      </w:r>
      <w:r w:rsidRPr="009F3681">
        <w:t>work.</w:t>
      </w:r>
      <w:r>
        <w:t xml:space="preserve">’ </w:t>
      </w:r>
      <w:r w:rsidRPr="009F3681">
        <w:t xml:space="preserve"> Painter v. </w:t>
      </w:r>
      <w:proofErr w:type="spellStart"/>
      <w:r w:rsidRPr="009F3681">
        <w:t>Amerimex</w:t>
      </w:r>
      <w:proofErr w:type="spellEnd"/>
      <w:r w:rsidRPr="009F3681">
        <w:t xml:space="preserve"> Drilling I, Ltd., 561 S.W.3d 125, 136 (Tex.</w:t>
      </w:r>
      <w:r>
        <w:t xml:space="preserve"> </w:t>
      </w:r>
      <w:r w:rsidRPr="009F3681">
        <w:t>2018). The coming-and-going rule reflects that an accident while</w:t>
      </w:r>
      <w:r>
        <w:t xml:space="preserve"> </w:t>
      </w:r>
      <w:r w:rsidRPr="009F3681">
        <w:t>traveling to and from work does not generally arise from a person’s</w:t>
      </w:r>
    </w:p>
    <w:p w14:paraId="6FFBC35B" w14:textId="77777777" w:rsidR="009D283D" w:rsidRPr="009F3681" w:rsidRDefault="009D283D" w:rsidP="009D283D">
      <w:pPr>
        <w:pStyle w:val="NoSpacing"/>
        <w:ind w:left="720"/>
        <w:rPr>
          <w:bCs/>
        </w:rPr>
      </w:pPr>
      <w:r w:rsidRPr="009F3681">
        <w:t xml:space="preserve">employment but instead </w:t>
      </w:r>
      <w:proofErr w:type="gramStart"/>
      <w:r w:rsidRPr="009F3681">
        <w:t>from</w:t>
      </w:r>
      <w:proofErr w:type="gramEnd"/>
      <w:r w:rsidRPr="009F3681">
        <w:t xml:space="preserve"> the risks and hazards inherent to the</w:t>
      </w:r>
      <w:r>
        <w:t xml:space="preserve"> </w:t>
      </w:r>
      <w:r w:rsidRPr="009F3681">
        <w:t xml:space="preserve">driving public. Smith v. Tex. Emp. Ins. </w:t>
      </w:r>
      <w:proofErr w:type="spellStart"/>
      <w:r w:rsidRPr="009F3681">
        <w:t>Ass’n</w:t>
      </w:r>
      <w:proofErr w:type="spellEnd"/>
      <w:r w:rsidRPr="009F3681">
        <w:t>, 105 S.W.2d 192, 193</w:t>
      </w:r>
      <w:r>
        <w:t xml:space="preserve"> </w:t>
      </w:r>
      <w:r w:rsidRPr="009F3681">
        <w:t>(Tex. [Comm’n Op.] 1937); see Cameron Int’l Corp. v. Martinez, 662</w:t>
      </w:r>
      <w:r>
        <w:t xml:space="preserve"> </w:t>
      </w:r>
      <w:r w:rsidRPr="009F3681">
        <w:t xml:space="preserve">S.W.3d 373, 376 (Tex. 2022). </w:t>
      </w:r>
      <w:r>
        <w:t>‘</w:t>
      </w:r>
      <w:r w:rsidRPr="009F3681">
        <w:t>Such travel hazards do not arise out of</w:t>
      </w:r>
      <w:r>
        <w:t xml:space="preserve"> </w:t>
      </w:r>
      <w:r w:rsidRPr="009F3681">
        <w:t>the business of an employer; thus, the law does not hold the employer</w:t>
      </w:r>
    </w:p>
    <w:p w14:paraId="2882794A" w14:textId="77777777" w:rsidR="009D283D" w:rsidRDefault="009D283D" w:rsidP="009D283D">
      <w:pPr>
        <w:pStyle w:val="NoSpacing"/>
        <w:ind w:firstLine="720"/>
        <w:rPr>
          <w:bCs/>
        </w:rPr>
      </w:pPr>
      <w:r w:rsidRPr="009F3681">
        <w:lastRenderedPageBreak/>
        <w:t>liable for injuries resulting from engaging in these risks.</w:t>
      </w:r>
      <w:r>
        <w:t>’</w:t>
      </w:r>
      <w:r w:rsidRPr="009F3681">
        <w:t xml:space="preserve"> Cameron,</w:t>
      </w:r>
      <w:r>
        <w:t xml:space="preserve"> </w:t>
      </w:r>
      <w:r w:rsidRPr="009F3681">
        <w:t>662 S.W.3d at 376.</w:t>
      </w:r>
      <w:r>
        <w:t>”</w:t>
      </w:r>
    </w:p>
    <w:p w14:paraId="3073CFD8" w14:textId="77777777" w:rsidR="009D283D" w:rsidRDefault="009D283D" w:rsidP="009D283D">
      <w:pPr>
        <w:pStyle w:val="NoSpacing"/>
        <w:ind w:firstLine="720"/>
        <w:rPr>
          <w:bCs/>
        </w:rPr>
      </w:pPr>
    </w:p>
    <w:p w14:paraId="65F961A4" w14:textId="77777777" w:rsidR="009D283D" w:rsidRPr="00072A0E" w:rsidRDefault="009D283D" w:rsidP="009D283D">
      <w:pPr>
        <w:pStyle w:val="NoSpacing"/>
        <w:rPr>
          <w:b/>
        </w:rPr>
      </w:pPr>
      <w:r>
        <w:rPr>
          <w:b/>
        </w:rPr>
        <w:t xml:space="preserve">Legal lesson learned: The motorist may pursue litigation against the Chief in his personal capacity, but not the city. </w:t>
      </w:r>
    </w:p>
    <w:p w14:paraId="2B23B80E" w14:textId="77777777" w:rsidR="009D283D" w:rsidRPr="00236011" w:rsidRDefault="009D283D" w:rsidP="009D283D">
      <w:pPr>
        <w:pStyle w:val="NoSpacing"/>
        <w:rPr>
          <w:bCs/>
        </w:rPr>
      </w:pPr>
    </w:p>
    <w:p w14:paraId="77A190AC" w14:textId="77777777" w:rsidR="009D283D" w:rsidRDefault="009D283D" w:rsidP="000C62A1">
      <w:pPr>
        <w:pStyle w:val="NoSpacing"/>
        <w:rPr>
          <w:rFonts w:ascii="Arial Black" w:hAnsi="Arial Black"/>
          <w:sz w:val="28"/>
          <w:szCs w:val="28"/>
        </w:rPr>
      </w:pPr>
    </w:p>
    <w:p w14:paraId="671CC357" w14:textId="77777777" w:rsidR="00CC770C" w:rsidRDefault="00CC770C" w:rsidP="000C62A1">
      <w:pPr>
        <w:pStyle w:val="NoSpacing"/>
        <w:rPr>
          <w:rFonts w:ascii="Arial Black" w:hAnsi="Arial Black"/>
          <w:sz w:val="28"/>
          <w:szCs w:val="28"/>
        </w:rPr>
      </w:pPr>
    </w:p>
    <w:p w14:paraId="7B4787A0" w14:textId="77777777" w:rsidR="00CC770C" w:rsidRDefault="00CC770C" w:rsidP="000C62A1">
      <w:pPr>
        <w:pStyle w:val="NoSpacing"/>
        <w:rPr>
          <w:rFonts w:ascii="Arial Black" w:hAnsi="Arial Black"/>
          <w:sz w:val="28"/>
          <w:szCs w:val="28"/>
        </w:rPr>
      </w:pPr>
    </w:p>
    <w:p w14:paraId="44843B33" w14:textId="77777777" w:rsidR="00CC770C" w:rsidRDefault="00CC770C" w:rsidP="000C62A1">
      <w:pPr>
        <w:pStyle w:val="NoSpacing"/>
        <w:rPr>
          <w:rFonts w:ascii="Arial Black" w:hAnsi="Arial Black"/>
          <w:sz w:val="28"/>
          <w:szCs w:val="28"/>
        </w:rPr>
      </w:pPr>
    </w:p>
    <w:p w14:paraId="6E03A7EA" w14:textId="77777777" w:rsidR="00CC770C" w:rsidRDefault="00CC770C" w:rsidP="000C62A1">
      <w:pPr>
        <w:pStyle w:val="NoSpacing"/>
        <w:rPr>
          <w:rFonts w:ascii="Arial Black" w:hAnsi="Arial Black"/>
          <w:sz w:val="28"/>
          <w:szCs w:val="28"/>
        </w:rPr>
      </w:pPr>
    </w:p>
    <w:p w14:paraId="4793D3E2" w14:textId="77777777" w:rsidR="00CC770C" w:rsidRDefault="00CC770C" w:rsidP="000C62A1">
      <w:pPr>
        <w:pStyle w:val="NoSpacing"/>
        <w:rPr>
          <w:rFonts w:ascii="Arial Black" w:hAnsi="Arial Black"/>
          <w:sz w:val="28"/>
          <w:szCs w:val="28"/>
        </w:rPr>
      </w:pPr>
    </w:p>
    <w:p w14:paraId="129C85C4" w14:textId="1D4DAA88" w:rsidR="0096096B" w:rsidRDefault="003E41BB" w:rsidP="000C62A1">
      <w:pPr>
        <w:pStyle w:val="NoSpacing"/>
        <w:rPr>
          <w:rFonts w:ascii="Arial Black" w:hAnsi="Arial Black"/>
          <w:sz w:val="28"/>
          <w:szCs w:val="28"/>
        </w:rPr>
      </w:pPr>
      <w:r>
        <w:rPr>
          <w:rFonts w:ascii="Arial Black" w:hAnsi="Arial Black"/>
          <w:sz w:val="28"/>
          <w:szCs w:val="28"/>
        </w:rPr>
        <w:t>5-57</w:t>
      </w:r>
    </w:p>
    <w:p w14:paraId="492954D3" w14:textId="77777777" w:rsidR="003E41BB" w:rsidRDefault="003E41BB" w:rsidP="000C62A1">
      <w:pPr>
        <w:pStyle w:val="NoSpacing"/>
        <w:rPr>
          <w:rFonts w:ascii="Arial Black" w:hAnsi="Arial Black"/>
          <w:sz w:val="28"/>
          <w:szCs w:val="28"/>
        </w:rPr>
      </w:pPr>
    </w:p>
    <w:p w14:paraId="755FC4FA" w14:textId="77777777" w:rsidR="003E41BB" w:rsidRPr="00D418F3" w:rsidRDefault="003E41BB" w:rsidP="003E41BB">
      <w:pPr>
        <w:rPr>
          <w:rFonts w:ascii="Arial Black" w:hAnsi="Arial Black"/>
          <w:b/>
          <w:sz w:val="28"/>
          <w:szCs w:val="28"/>
        </w:rPr>
      </w:pPr>
      <w:r>
        <w:rPr>
          <w:rFonts w:ascii="Arial Black" w:hAnsi="Arial Black"/>
          <w:b/>
          <w:sz w:val="28"/>
          <w:szCs w:val="28"/>
        </w:rPr>
        <w:t>TX: RED LIGHT – NO PROOF SLOWED DOWN - NO IMMUNITY</w:t>
      </w:r>
    </w:p>
    <w:p w14:paraId="76149E22" w14:textId="77777777" w:rsidR="003E41BB" w:rsidRPr="00B00D48" w:rsidRDefault="003E41BB" w:rsidP="003E41BB">
      <w:pPr>
        <w:rPr>
          <w:b/>
          <w:bCs/>
        </w:rPr>
      </w:pPr>
      <w:r>
        <w:t xml:space="preserve">On Nov. 13, 2025, in </w:t>
      </w:r>
      <w:r w:rsidRPr="001C357D">
        <w:rPr>
          <w:u w:val="single"/>
        </w:rPr>
        <w:t>City of Houston, Texas v. Chelsea Manning, et al</w:t>
      </w:r>
      <w:r>
        <w:t xml:space="preserve">., the </w:t>
      </w:r>
      <w:r w:rsidRPr="00C56FEE">
        <w:t>Court of Appeals of Texas, Fourteenth District</w:t>
      </w:r>
      <w:r>
        <w:t xml:space="preserve"> held (3 to 0) that the trial court properly refused to grant immunity; the City failed to present evidence that Opticom had turned light to green.  </w:t>
      </w:r>
      <w:proofErr w:type="gramStart"/>
      <w:r>
        <w:t>Also</w:t>
      </w:r>
      <w:proofErr w:type="gramEnd"/>
      <w:r>
        <w:t xml:space="preserve"> no evidence Engine slowed down at the intersection (going 45 mph in 35 mph zone). This case has previously </w:t>
      </w:r>
      <w:proofErr w:type="gramStart"/>
      <w:r>
        <w:t>be</w:t>
      </w:r>
      <w:proofErr w:type="gramEnd"/>
      <w:r>
        <w:t xml:space="preserve"> appealed to Texas Supreme Court which remanded it back to the Court of Appeals to reconsider the evidence. THE COURT WROTE:  “[FAO </w:t>
      </w:r>
      <w:r w:rsidRPr="005E1C69">
        <w:t>Wilhelm</w:t>
      </w:r>
      <w:r>
        <w:t xml:space="preserve">] </w:t>
      </w:r>
      <w:r w:rsidRPr="007E7142">
        <w:t xml:space="preserve">Schmidt said he slowed to </w:t>
      </w:r>
      <w:r>
        <w:t>‘</w:t>
      </w:r>
      <w:r w:rsidRPr="007E7142">
        <w:t>clear the intersection,</w:t>
      </w:r>
      <w:r>
        <w:t>’</w:t>
      </w:r>
      <w:r w:rsidRPr="007E7142">
        <w:t xml:space="preserve"> but, as explained, other evidence in the record indicates that he was driving 45 miles per hour </w:t>
      </w:r>
      <w:r>
        <w:t>‘</w:t>
      </w:r>
      <w:r w:rsidRPr="007E7142">
        <w:t>on some of the straightaways</w:t>
      </w:r>
      <w:r>
        <w:t>’</w:t>
      </w:r>
      <w:r w:rsidRPr="007E7142">
        <w:t xml:space="preserve"> and remained driving at 45 miles per hour—10 miles per hour over the speed limit—at the </w:t>
      </w:r>
      <w:r>
        <w:t>‘</w:t>
      </w:r>
      <w:r w:rsidRPr="007E7142">
        <w:t>time of impact.</w:t>
      </w:r>
      <w:r>
        <w:t>’</w:t>
      </w:r>
      <w:r w:rsidRPr="007E7142">
        <w:t xml:space="preserve"> which is evidence from which a reasonable juror could infer that Schmidt either did not slow the vehicle at all or did not slow it as necessary for safe operation</w:t>
      </w:r>
      <w:r>
        <w:t xml:space="preserve">…. </w:t>
      </w:r>
      <w:r w:rsidRPr="000F4DCD">
        <w:t xml:space="preserve">We conclude that the </w:t>
      </w:r>
      <w:proofErr w:type="gramStart"/>
      <w:r w:rsidRPr="000F4DCD">
        <w:t>City</w:t>
      </w:r>
      <w:proofErr w:type="gramEnd"/>
      <w:r w:rsidRPr="000F4DCD">
        <w:t xml:space="preserve"> did not meet its initial burden to prove conclusively Schmidt's good fait</w:t>
      </w:r>
      <w:r>
        <w:t xml:space="preserve">h.” </w:t>
      </w:r>
      <w:hyperlink r:id="rId949" w:history="1">
        <w:r w:rsidRPr="006C188F">
          <w:rPr>
            <w:rStyle w:val="Hyperlink"/>
            <w:b/>
          </w:rPr>
          <w:t>https://caselaw.findlaw.com/court/tx-court-of-appeals/117928954.html</w:t>
        </w:r>
      </w:hyperlink>
      <w:r w:rsidRPr="00B00D48">
        <w:rPr>
          <w:b/>
        </w:rPr>
        <w:t xml:space="preserve"> </w:t>
      </w:r>
    </w:p>
    <w:p w14:paraId="10036D2C" w14:textId="77777777" w:rsidR="003E41BB" w:rsidRDefault="003E41BB" w:rsidP="003E41BB">
      <w:pPr>
        <w:pStyle w:val="NoSpacing"/>
      </w:pPr>
    </w:p>
    <w:p w14:paraId="6E7FFD55" w14:textId="77777777" w:rsidR="003E41BB" w:rsidRDefault="003E41BB" w:rsidP="003E41BB">
      <w:r>
        <w:t xml:space="preserve">THE COURT HELD: </w:t>
      </w:r>
    </w:p>
    <w:p w14:paraId="3F26A99A" w14:textId="77777777" w:rsidR="003E41BB" w:rsidRDefault="003E41BB" w:rsidP="003E41BB">
      <w:pPr>
        <w:ind w:left="720"/>
      </w:pPr>
      <w:r>
        <w:t>“</w:t>
      </w:r>
      <w:r w:rsidRPr="005E1C69">
        <w:t xml:space="preserve">The relevant facts are familiar to both the parties and to this court, so we summarize them only briefly. A Houston Fire </w:t>
      </w:r>
      <w:proofErr w:type="gramStart"/>
      <w:r w:rsidRPr="005E1C69">
        <w:t>Department (</w:t>
      </w:r>
      <w:r>
        <w:t>‘</w:t>
      </w:r>
      <w:proofErr w:type="gramEnd"/>
      <w:r w:rsidRPr="005E1C69">
        <w:t>HFD</w:t>
      </w:r>
      <w:r>
        <w:t>’</w:t>
      </w:r>
      <w:r w:rsidRPr="005E1C69">
        <w:t>) truck driven by Engineer/Operator Wilhelm Schmidt responded to a dispatch for a dumpster fire at an apartment complex. En route, the fire truck collided with a car driven by Chelsea Manning at the intersection of Ludington Drive and Fondren Road. Also in Manning's car were three minor passengers.</w:t>
      </w:r>
    </w:p>
    <w:p w14:paraId="49455F5F" w14:textId="77777777" w:rsidR="003E41BB" w:rsidRDefault="003E41BB" w:rsidP="003E41BB">
      <w:pPr>
        <w:ind w:left="720"/>
      </w:pPr>
      <w:r>
        <w:t>***</w:t>
      </w:r>
    </w:p>
    <w:p w14:paraId="0568A4F8" w14:textId="77777777" w:rsidR="003E41BB" w:rsidRDefault="003E41BB" w:rsidP="003E41BB">
      <w:pPr>
        <w:ind w:left="720"/>
      </w:pPr>
      <w:r w:rsidRPr="004F2DF7">
        <w:t xml:space="preserve">Under section 546.001, the operator of an emergency vehicle may proceed past a red or stop signal or stop sign, after slowing as necessary for safe operation. Id. § 546.001(2). Such an operator may also exceed a maximum speed limit, except as provided by an ordinance adopted under section 545.365, </w:t>
      </w:r>
      <w:proofErr w:type="gramStart"/>
      <w:r w:rsidRPr="004F2DF7">
        <w:t>as long as</w:t>
      </w:r>
      <w:proofErr w:type="gramEnd"/>
      <w:r w:rsidRPr="004F2DF7">
        <w:t xml:space="preserve"> the operator does not endanger life or property. Id. § 546.001(3)</w:t>
      </w:r>
      <w:r>
        <w:t xml:space="preserve">…. </w:t>
      </w:r>
    </w:p>
    <w:p w14:paraId="1A8D6F53" w14:textId="77777777" w:rsidR="003E41BB" w:rsidRDefault="003E41BB" w:rsidP="003E41BB">
      <w:pPr>
        <w:ind w:left="720"/>
      </w:pPr>
      <w:r w:rsidRPr="007E7142">
        <w:t>It is also evidence from which a reasonable juror could infer that Schmidt's excessive speed endangered life or property. Based on this evidence, a factfinder could reasonably conclude that Schmidt (1) drove above the speed limit endangering life or property, (2) did not slow his speed as necessary for safe operation of the vehicle, and (3) proceeded against a red light.</w:t>
      </w:r>
    </w:p>
    <w:p w14:paraId="3EF48397" w14:textId="77777777" w:rsidR="003E41BB" w:rsidRDefault="003E41BB" w:rsidP="003E41BB">
      <w:pPr>
        <w:ind w:left="720"/>
      </w:pPr>
      <w:r>
        <w:t>***</w:t>
      </w:r>
    </w:p>
    <w:p w14:paraId="456919C9" w14:textId="77777777" w:rsidR="003E41BB" w:rsidRDefault="003E41BB" w:rsidP="003E41BB">
      <w:pPr>
        <w:pStyle w:val="NoSpacing"/>
        <w:ind w:left="720"/>
      </w:pPr>
      <w:r w:rsidRPr="00920FF6">
        <w:lastRenderedPageBreak/>
        <w:t xml:space="preserve">Captain Hill introduced a new fact with the City's second summary-judgment motion that was not presented in the first appeal. He explained that the fire truck was fitted with an </w:t>
      </w:r>
      <w:r>
        <w:t>‘</w:t>
      </w:r>
      <w:r w:rsidRPr="00920FF6">
        <w:t>Opticom transmitter</w:t>
      </w:r>
      <w:r>
        <w:t>’</w:t>
      </w:r>
      <w:r w:rsidRPr="00920FF6">
        <w:t xml:space="preserve"> that automatically activated when the emergency lights were turned on. </w:t>
      </w:r>
      <w:r>
        <w:t xml:space="preserve"> </w:t>
      </w:r>
      <w:r w:rsidRPr="00920FF6">
        <w:t xml:space="preserve">An Opticom transmitter </w:t>
      </w:r>
      <w:r>
        <w:t>‘</w:t>
      </w:r>
      <w:r w:rsidRPr="00920FF6">
        <w:t>grants the apparatus a temporary right of way by turning their traffic light green, and the others red.</w:t>
      </w:r>
      <w:r>
        <w:t>’</w:t>
      </w:r>
      <w:r w:rsidRPr="00920FF6">
        <w:t xml:space="preserve"> Captain Hill could tell that the Opticom transmitter was working because traffic lights in their path changed to green as they drove to the scene. Based on the Opticom transmitter's operation, Captain Hill opined that, even if Schmidt did not slow down as he approached the intersection, he still acted in good faith because </w:t>
      </w:r>
      <w:r>
        <w:t>‘</w:t>
      </w:r>
      <w:r w:rsidRPr="00920FF6">
        <w:t>the Opticom transmitter was operating and turned our light green as we approached, so we did not have to slow down for a red traffic signal.</w:t>
      </w:r>
      <w:r>
        <w:t>’</w:t>
      </w:r>
      <w:r w:rsidRPr="00920FF6">
        <w:t xml:space="preserve"> Captain Hill added that the fire truck's emergency lights were activated the entire time, and they blew the airhorn as they approached each intersection, including the one at Fondren and Ludington.</w:t>
      </w:r>
      <w:r>
        <w:t xml:space="preserve"> </w:t>
      </w:r>
      <w:r w:rsidRPr="00134CE7">
        <w:t>There is no evidence, however, that the traffic signals for Schmidt and Manning could have been green at the same time. Captain Hill testified that, when the Opticom transmitter activates a green signal for an approaching fire truck, the signals for other traffic are changed to red.</w:t>
      </w:r>
      <w:r>
        <w:t xml:space="preserve">” </w:t>
      </w:r>
    </w:p>
    <w:p w14:paraId="6C0F1D5E" w14:textId="77777777" w:rsidR="003E41BB" w:rsidRDefault="003E41BB" w:rsidP="003E41BB">
      <w:pPr>
        <w:rPr>
          <w:b/>
          <w:bCs/>
        </w:rPr>
      </w:pPr>
    </w:p>
    <w:p w14:paraId="1AE687D3" w14:textId="3EEDCA8F" w:rsidR="003E41BB" w:rsidRDefault="003E41BB" w:rsidP="003E41BB">
      <w:pPr>
        <w:rPr>
          <w:b/>
          <w:bCs/>
        </w:rPr>
      </w:pPr>
      <w:r>
        <w:rPr>
          <w:b/>
        </w:rPr>
        <w:t xml:space="preserve">Legal lesson learned: The trial court judge was not presented with proof that FAO slowed down entering the intersection, or that the Opticom had timely operated to give FAO a green light.  </w:t>
      </w:r>
    </w:p>
    <w:p w14:paraId="35AAD2A5" w14:textId="77777777" w:rsidR="003E41BB" w:rsidRDefault="003E41BB" w:rsidP="000C62A1">
      <w:pPr>
        <w:pStyle w:val="NoSpacing"/>
        <w:rPr>
          <w:rFonts w:ascii="Arial Black" w:hAnsi="Arial Black"/>
          <w:sz w:val="28"/>
          <w:szCs w:val="28"/>
        </w:rPr>
      </w:pPr>
    </w:p>
    <w:p w14:paraId="481636D7" w14:textId="77777777" w:rsidR="003E41BB" w:rsidRDefault="003E41BB" w:rsidP="000C62A1">
      <w:pPr>
        <w:pStyle w:val="NoSpacing"/>
        <w:rPr>
          <w:rFonts w:ascii="Arial Black" w:hAnsi="Arial Black"/>
          <w:sz w:val="28"/>
          <w:szCs w:val="28"/>
        </w:rPr>
      </w:pPr>
    </w:p>
    <w:p w14:paraId="72877E0D" w14:textId="77777777" w:rsidR="003E41BB" w:rsidRDefault="003E41BB" w:rsidP="000C62A1">
      <w:pPr>
        <w:pStyle w:val="NoSpacing"/>
        <w:rPr>
          <w:rFonts w:ascii="Arial Black" w:hAnsi="Arial Black"/>
          <w:sz w:val="28"/>
          <w:szCs w:val="28"/>
        </w:rPr>
      </w:pPr>
    </w:p>
    <w:p w14:paraId="1CE9B9BF" w14:textId="23AF963E" w:rsidR="003E41BB" w:rsidRDefault="003E41BB" w:rsidP="000C62A1">
      <w:pPr>
        <w:pStyle w:val="NoSpacing"/>
        <w:rPr>
          <w:rFonts w:ascii="Arial Black" w:hAnsi="Arial Black"/>
          <w:sz w:val="28"/>
          <w:szCs w:val="28"/>
        </w:rPr>
      </w:pPr>
      <w:r>
        <w:rPr>
          <w:rFonts w:ascii="Arial Black" w:hAnsi="Arial Black"/>
          <w:sz w:val="28"/>
          <w:szCs w:val="28"/>
        </w:rPr>
        <w:t>5-56</w:t>
      </w:r>
    </w:p>
    <w:p w14:paraId="63C19777" w14:textId="77777777" w:rsidR="003E41BB" w:rsidRDefault="003E41BB" w:rsidP="000C62A1">
      <w:pPr>
        <w:pStyle w:val="NoSpacing"/>
        <w:rPr>
          <w:rFonts w:ascii="Arial Black" w:hAnsi="Arial Black"/>
          <w:sz w:val="28"/>
          <w:szCs w:val="28"/>
        </w:rPr>
      </w:pPr>
    </w:p>
    <w:p w14:paraId="5D4A0353" w14:textId="77777777" w:rsidR="00CC56F9" w:rsidRPr="00491816" w:rsidRDefault="00CC56F9" w:rsidP="00CC56F9">
      <w:pPr>
        <w:pStyle w:val="NoSpacing"/>
        <w:rPr>
          <w:rFonts w:ascii="Arial Black" w:hAnsi="Arial Black"/>
          <w:sz w:val="28"/>
          <w:szCs w:val="28"/>
        </w:rPr>
      </w:pPr>
      <w:r>
        <w:rPr>
          <w:rFonts w:ascii="Arial Black" w:hAnsi="Arial Black"/>
          <w:sz w:val="28"/>
          <w:szCs w:val="28"/>
        </w:rPr>
        <w:t>TX: ENGINE – HIT CAR PULLING TO RIGHT – NO IMMUNITY</w:t>
      </w:r>
    </w:p>
    <w:p w14:paraId="7B6E6123" w14:textId="77777777" w:rsidR="00CC56F9" w:rsidRDefault="00CC56F9" w:rsidP="00CC56F9">
      <w:pPr>
        <w:pStyle w:val="NoSpacing"/>
      </w:pPr>
    </w:p>
    <w:p w14:paraId="549181B0" w14:textId="77777777" w:rsidR="00CC56F9" w:rsidRDefault="00CC56F9" w:rsidP="00CC56F9">
      <w:r>
        <w:t xml:space="preserve">On November 4, 2025, in </w:t>
      </w:r>
      <w:r w:rsidRPr="00B75D1D">
        <w:rPr>
          <w:u w:val="single"/>
        </w:rPr>
        <w:t>City of Houston</w:t>
      </w:r>
      <w:r>
        <w:rPr>
          <w:u w:val="single"/>
        </w:rPr>
        <w:t>, et al.</w:t>
      </w:r>
      <w:r w:rsidRPr="00B75D1D">
        <w:rPr>
          <w:u w:val="single"/>
        </w:rPr>
        <w:t xml:space="preserve"> v. Myauna Wright</w:t>
      </w:r>
      <w:r>
        <w:t xml:space="preserve">, the </w:t>
      </w:r>
      <w:r w:rsidRPr="00B75D1D">
        <w:t>Court of Appeals of Texas, Houston (1st Dist.)</w:t>
      </w:r>
      <w:r>
        <w:t xml:space="preserve"> held (3 to 0) that trial court judge properly denied the City’s motion to dismiss under the Texas </w:t>
      </w:r>
      <w:r w:rsidRPr="00305726">
        <w:t>doctrine of official immunity.</w:t>
      </w:r>
      <w:r>
        <w:t xml:space="preserve">  The plaintiff’s vehicle was struck by the engine on August 25, 2022.   THE COURT WROTE: “Wright sued the </w:t>
      </w:r>
      <w:proofErr w:type="gramStart"/>
      <w:r>
        <w:t>City</w:t>
      </w:r>
      <w:proofErr w:type="gramEnd"/>
      <w:r>
        <w:t xml:space="preserve"> and … [FAO] S. Obando, for damages arising from a collision between a City of Houston fire engine and her vehicle…. Wright’s pleading does not establish that Obando is entitled to official immunity because she alleged that he acted with reckless disregard, which would </w:t>
      </w:r>
      <w:r w:rsidRPr="00875355">
        <w:t xml:space="preserve">negate good </w:t>
      </w:r>
      <w:proofErr w:type="gramStart"/>
      <w:r w:rsidRPr="00875355">
        <w:t>faith.</w:t>
      </w:r>
      <w:r>
        <w:t>”</w:t>
      </w:r>
      <w:proofErr w:type="gramEnd"/>
      <w:r>
        <w:t xml:space="preserve"> </w:t>
      </w:r>
      <w:hyperlink r:id="rId950" w:history="1">
        <w:r w:rsidRPr="005B3B90">
          <w:rPr>
            <w:rStyle w:val="Hyperlink"/>
          </w:rPr>
          <w:t>https://cases.justia.com/texas/first-court-of-appeals/2025-01-24-00936-cv.pdf?ts=1762265344</w:t>
        </w:r>
      </w:hyperlink>
      <w:r>
        <w:t xml:space="preserve"> </w:t>
      </w:r>
    </w:p>
    <w:p w14:paraId="6D290E15" w14:textId="77777777" w:rsidR="00CC56F9" w:rsidRDefault="00CC56F9" w:rsidP="00CC56F9">
      <w:r>
        <w:t>THE COURT HELD:</w:t>
      </w:r>
    </w:p>
    <w:p w14:paraId="5B0E30F7" w14:textId="77777777" w:rsidR="00CC56F9" w:rsidRDefault="00CC56F9" w:rsidP="00CC56F9">
      <w:pPr>
        <w:pStyle w:val="NoSpacing"/>
        <w:ind w:left="720"/>
      </w:pPr>
      <w:r>
        <w:t xml:space="preserve">“Wright’s pleading does not establish that Obando is entitled to official immunity because she alleged that he acted with reckless disregard, which would  negate good faith. Moreover, in its </w:t>
      </w:r>
      <w:proofErr w:type="gramStart"/>
      <w:r>
        <w:t>reply brief</w:t>
      </w:r>
      <w:proofErr w:type="gramEnd"/>
      <w:r>
        <w:t xml:space="preserve">, the </w:t>
      </w:r>
      <w:proofErr w:type="gramStart"/>
      <w:r>
        <w:t>City</w:t>
      </w:r>
      <w:proofErr w:type="gramEnd"/>
      <w:r>
        <w:t xml:space="preserve"> conceded that Wright had no burden to plead facts to overcome the driver’s assertion of official immunity. Because Wright’s pleading alleges that the fire engine driver’s breach of a duty of care caused her </w:t>
      </w:r>
      <w:proofErr w:type="gramStart"/>
      <w:r>
        <w:t>damages</w:t>
      </w:r>
      <w:proofErr w:type="gramEnd"/>
      <w:r>
        <w:t>, we conclude that she alleged a waiver of immunity under the TTCA [</w:t>
      </w:r>
      <w:r w:rsidRPr="006B192D">
        <w:t>Texas Tort Claims Act</w:t>
      </w:r>
      <w:r>
        <w:t>], subject to the statutory exceptions, which we consider next. See TEX. CIV. PRAC. &amp; REM. CODE § 101.021(1).</w:t>
      </w:r>
    </w:p>
    <w:p w14:paraId="4A795EF4" w14:textId="77777777" w:rsidR="00CC56F9" w:rsidRDefault="00CC56F9" w:rsidP="00CC56F9">
      <w:pPr>
        <w:pStyle w:val="NoSpacing"/>
        <w:ind w:left="720"/>
      </w:pPr>
    </w:p>
    <w:p w14:paraId="2D3C8DB5" w14:textId="77777777" w:rsidR="00CC56F9" w:rsidRDefault="00CC56F9" w:rsidP="00CC56F9">
      <w:pPr>
        <w:pStyle w:val="NoSpacing"/>
        <w:ind w:left="720"/>
      </w:pPr>
      <w:r>
        <w:t>***</w:t>
      </w:r>
    </w:p>
    <w:p w14:paraId="07153525" w14:textId="77777777" w:rsidR="00CC56F9" w:rsidRDefault="00CC56F9" w:rsidP="00CC56F9">
      <w:pPr>
        <w:pStyle w:val="NoSpacing"/>
        <w:ind w:left="720"/>
      </w:pPr>
      <w:r>
        <w:t>A governmental employee is entitled to official immunity: (1) for the performance of discretionary duties; (2) within the scope of the employee’s authority; (3) provided the employee acts in good faith.”</w:t>
      </w:r>
    </w:p>
    <w:p w14:paraId="53A47E7E" w14:textId="77777777" w:rsidR="00CC56F9" w:rsidRDefault="00CC56F9" w:rsidP="00CC56F9">
      <w:pPr>
        <w:pStyle w:val="NoSpacing"/>
        <w:ind w:left="720"/>
      </w:pPr>
    </w:p>
    <w:p w14:paraId="68958E7F" w14:textId="77777777" w:rsidR="00CC56F9" w:rsidRDefault="00CC56F9" w:rsidP="00CC56F9">
      <w:pPr>
        <w:pStyle w:val="NoSpacing"/>
        <w:rPr>
          <w:b/>
          <w:bCs/>
        </w:rPr>
      </w:pPr>
      <w:r>
        <w:rPr>
          <w:b/>
        </w:rPr>
        <w:t>Legal lesson learned: Texas has a “good faith” exception to official immunity; many state</w:t>
      </w:r>
      <w:r>
        <w:rPr>
          <w:b/>
          <w:bCs/>
        </w:rPr>
        <w:t>s</w:t>
      </w:r>
      <w:r>
        <w:rPr>
          <w:b/>
        </w:rPr>
        <w:t xml:space="preserve"> </w:t>
      </w:r>
      <w:r w:rsidRPr="006D3B26">
        <w:rPr>
          <w:b/>
        </w:rPr>
        <w:t>use a “</w:t>
      </w:r>
      <w:r w:rsidRPr="008E532E">
        <w:rPr>
          <w:b/>
        </w:rPr>
        <w:t>willful or wanton misconduct</w:t>
      </w:r>
      <w:r w:rsidRPr="006D3B26">
        <w:rPr>
          <w:b/>
        </w:rPr>
        <w:t xml:space="preserve">” or </w:t>
      </w:r>
      <w:r>
        <w:rPr>
          <w:b/>
          <w:bCs/>
        </w:rPr>
        <w:t>si</w:t>
      </w:r>
      <w:r w:rsidRPr="006D3B26">
        <w:rPr>
          <w:b/>
        </w:rPr>
        <w:t>milar standard.</w:t>
      </w:r>
      <w:r>
        <w:t xml:space="preserve"> </w:t>
      </w:r>
    </w:p>
    <w:p w14:paraId="4C889F76" w14:textId="77777777" w:rsidR="00CC56F9" w:rsidRDefault="00CC56F9" w:rsidP="00CC56F9">
      <w:pPr>
        <w:pStyle w:val="NoSpacing"/>
        <w:rPr>
          <w:b/>
          <w:bCs/>
        </w:rPr>
      </w:pPr>
    </w:p>
    <w:p w14:paraId="305A5F57" w14:textId="77777777" w:rsidR="00CC56F9" w:rsidRPr="00B359C0" w:rsidRDefault="00CC56F9" w:rsidP="00CC56F9">
      <w:pPr>
        <w:pStyle w:val="NoSpacing"/>
        <w:ind w:left="720"/>
        <w:rPr>
          <w:b/>
        </w:rPr>
      </w:pPr>
      <w:r>
        <w:lastRenderedPageBreak/>
        <w:t xml:space="preserve">Note: See Ohio Revised Code, </w:t>
      </w:r>
      <w:r w:rsidRPr="00B359C0">
        <w:rPr>
          <w:b/>
        </w:rPr>
        <w:t>Section 2744.02 | Governmental functions and proprietary functions of political subdivisions</w:t>
      </w:r>
      <w:r>
        <w:rPr>
          <w:b/>
        </w:rPr>
        <w:t xml:space="preserve"> </w:t>
      </w:r>
      <w:hyperlink r:id="rId951" w:history="1">
        <w:r w:rsidRPr="009C046C">
          <w:rPr>
            <w:rStyle w:val="Hyperlink"/>
            <w:b/>
          </w:rPr>
          <w:t>https://codes.ohio.gov/ohio-revised-code/section-2744.02</w:t>
        </w:r>
      </w:hyperlink>
      <w:r>
        <w:rPr>
          <w:b/>
        </w:rPr>
        <w:t xml:space="preserve"> </w:t>
      </w:r>
    </w:p>
    <w:p w14:paraId="16084E8C" w14:textId="77777777" w:rsidR="00CC56F9" w:rsidRDefault="00CC56F9" w:rsidP="00CC56F9">
      <w:pPr>
        <w:pStyle w:val="NoSpacing"/>
      </w:pPr>
    </w:p>
    <w:p w14:paraId="57B9FE57" w14:textId="77777777" w:rsidR="00CC56F9" w:rsidRPr="008E532E" w:rsidRDefault="00CC56F9" w:rsidP="00CC56F9">
      <w:pPr>
        <w:pStyle w:val="NoSpacing"/>
        <w:ind w:left="720"/>
      </w:pPr>
      <w:r w:rsidRPr="008E532E">
        <w:t>(1) Except as otherwise provided in this division, political subdivisions are liable for injury, death, or loss to person or property caused by the negligent operation of any motor vehicle by their employees when the employees are engaged within the scope of their employment and authority. The following are full defenses to that liability:</w:t>
      </w:r>
    </w:p>
    <w:p w14:paraId="155F3343" w14:textId="77777777" w:rsidR="00CC56F9" w:rsidRPr="008E532E" w:rsidRDefault="00CC56F9" w:rsidP="00CC56F9">
      <w:pPr>
        <w:pStyle w:val="NoSpacing"/>
        <w:ind w:left="720"/>
      </w:pPr>
      <w:r w:rsidRPr="008E532E">
        <w:t>(a) A member of a municipal corporation police department or any other police agency was operating a motor vehicle while responding to an emergency call and the operation of the vehicle did not constitute willful or wanton misconduct;</w:t>
      </w:r>
    </w:p>
    <w:p w14:paraId="003E5B26" w14:textId="77777777" w:rsidR="00CC56F9" w:rsidRPr="008E532E" w:rsidRDefault="00CC56F9" w:rsidP="00CC56F9">
      <w:pPr>
        <w:pStyle w:val="NoSpacing"/>
        <w:ind w:left="720"/>
      </w:pPr>
      <w:r w:rsidRPr="008E532E">
        <w:t>(b) A member of a municipal corporation fire department or any other firefighting agency was operating a motor vehicle while engaged in duty at a fire, proceeding toward a place where a fire is in progress or is believed to be in progress, or answering any other emergency alarm and the operation of the vehicle did not constitute willful or wanton misconduct</w:t>
      </w:r>
      <w:r>
        <w:t>….</w:t>
      </w:r>
    </w:p>
    <w:p w14:paraId="733B710E" w14:textId="77777777" w:rsidR="00CC56F9" w:rsidRPr="000E4B43" w:rsidRDefault="00CC56F9" w:rsidP="00CC56F9">
      <w:pPr>
        <w:pStyle w:val="NoSpacing"/>
      </w:pPr>
    </w:p>
    <w:p w14:paraId="4A6D2564" w14:textId="77777777" w:rsidR="00CC56F9" w:rsidRDefault="00CC56F9" w:rsidP="00CC56F9">
      <w:pPr>
        <w:pStyle w:val="NoSpacing"/>
      </w:pPr>
    </w:p>
    <w:p w14:paraId="1A84374B" w14:textId="77777777" w:rsidR="00CC56F9" w:rsidRDefault="00CC56F9" w:rsidP="000C62A1">
      <w:pPr>
        <w:pStyle w:val="NoSpacing"/>
        <w:rPr>
          <w:rFonts w:ascii="Arial Black" w:hAnsi="Arial Black"/>
          <w:sz w:val="28"/>
          <w:szCs w:val="28"/>
        </w:rPr>
      </w:pPr>
    </w:p>
    <w:p w14:paraId="6C2B0064" w14:textId="77777777" w:rsidR="003E41BB" w:rsidRDefault="003E41BB" w:rsidP="000C62A1">
      <w:pPr>
        <w:pStyle w:val="NoSpacing"/>
        <w:rPr>
          <w:rFonts w:ascii="Arial Black" w:hAnsi="Arial Black"/>
          <w:sz w:val="28"/>
          <w:szCs w:val="28"/>
        </w:rPr>
      </w:pPr>
    </w:p>
    <w:p w14:paraId="207E2160" w14:textId="14DC8D72" w:rsidR="0096096B" w:rsidRDefault="0096096B" w:rsidP="000C62A1">
      <w:pPr>
        <w:pStyle w:val="NoSpacing"/>
        <w:rPr>
          <w:rFonts w:ascii="Arial Black" w:hAnsi="Arial Black"/>
          <w:sz w:val="28"/>
          <w:szCs w:val="28"/>
        </w:rPr>
      </w:pPr>
      <w:r>
        <w:rPr>
          <w:rFonts w:ascii="Arial Black" w:hAnsi="Arial Black"/>
          <w:sz w:val="28"/>
          <w:szCs w:val="28"/>
        </w:rPr>
        <w:t>5-55</w:t>
      </w:r>
    </w:p>
    <w:p w14:paraId="7261FFD7" w14:textId="77777777" w:rsidR="00547BA3" w:rsidRDefault="00547BA3" w:rsidP="0096096B">
      <w:pPr>
        <w:pStyle w:val="NoSpacing"/>
        <w:rPr>
          <w:rFonts w:ascii="Arial Black" w:hAnsi="Arial Black"/>
          <w:sz w:val="28"/>
          <w:szCs w:val="28"/>
        </w:rPr>
      </w:pPr>
    </w:p>
    <w:p w14:paraId="509BBFA5" w14:textId="705B1C85" w:rsidR="0096096B" w:rsidRPr="00457206" w:rsidRDefault="0096096B" w:rsidP="0096096B">
      <w:pPr>
        <w:pStyle w:val="NoSpacing"/>
        <w:rPr>
          <w:rFonts w:ascii="Arial Black" w:hAnsi="Arial Black"/>
          <w:sz w:val="28"/>
          <w:szCs w:val="28"/>
        </w:rPr>
      </w:pPr>
      <w:r>
        <w:rPr>
          <w:rFonts w:ascii="Arial Black" w:hAnsi="Arial Black"/>
          <w:sz w:val="28"/>
          <w:szCs w:val="28"/>
        </w:rPr>
        <w:t xml:space="preserve">LA: DRUNK HITS ENGINE – FD GETS VALUE / PLUS $50,000 </w:t>
      </w:r>
    </w:p>
    <w:p w14:paraId="021406F8" w14:textId="77777777" w:rsidR="0096096B" w:rsidRDefault="0096096B" w:rsidP="0096096B">
      <w:pPr>
        <w:pStyle w:val="NoSpacing"/>
        <w:ind w:left="720"/>
      </w:pPr>
    </w:p>
    <w:p w14:paraId="555C0C65" w14:textId="77777777" w:rsidR="0096096B" w:rsidRPr="00496071" w:rsidRDefault="0096096B" w:rsidP="0096096B">
      <w:pPr>
        <w:pStyle w:val="NoSpacing"/>
      </w:pPr>
      <w:r>
        <w:t xml:space="preserve">On Oct. 29, 2025, in </w:t>
      </w:r>
      <w:r w:rsidRPr="00296094">
        <w:rPr>
          <w:u w:val="single"/>
        </w:rPr>
        <w:t>Lafayette City-Parish Consolidated Government v. Tripple T Enterprises, Inc., and Nathan Allen Martin</w:t>
      </w:r>
      <w:r>
        <w:t xml:space="preserve">, the Court of Appeal of Louisiana, Third Circuit held (3 to 0) that the trial court judge, after a bench trial, properly awarded “exemplary” (punitive) damages of $50,000 for destruction of the Lafayette Fire Department’s 1994 Pierce engine, plus its cash value ($12,500) and loss of use damages while awaiting for new engine ($131,175).  Punitive damages were proper even though the plaintiff government suffered no physical or mental injuries; under LA, “injuries” include destruction or loss of use of property. </w:t>
      </w:r>
      <w:hyperlink r:id="rId952" w:history="1">
        <w:r w:rsidRPr="00281F77">
          <w:rPr>
            <w:rStyle w:val="Hyperlink"/>
          </w:rPr>
          <w:t>https://cases.justia.com/louisiana/third-circuit-court-of-appeal/2025-ca-0025-0267.pdf?ts=1761751417</w:t>
        </w:r>
      </w:hyperlink>
      <w:r>
        <w:t xml:space="preserve"> </w:t>
      </w:r>
    </w:p>
    <w:p w14:paraId="4754504A" w14:textId="77777777" w:rsidR="0096096B" w:rsidRDefault="0096096B" w:rsidP="0096096B">
      <w:pPr>
        <w:pStyle w:val="NoSpacing"/>
        <w:ind w:left="720"/>
      </w:pPr>
    </w:p>
    <w:p w14:paraId="08991050" w14:textId="77777777" w:rsidR="0096096B" w:rsidRDefault="0096096B" w:rsidP="0096096B">
      <w:pPr>
        <w:pStyle w:val="NoSpacing"/>
      </w:pPr>
      <w:r>
        <w:t xml:space="preserve">THE COURT HELD: </w:t>
      </w:r>
    </w:p>
    <w:p w14:paraId="73136FFA" w14:textId="77777777" w:rsidR="0096096B" w:rsidRDefault="0096096B" w:rsidP="0096096B">
      <w:pPr>
        <w:pStyle w:val="NoSpacing"/>
        <w:ind w:left="720"/>
      </w:pPr>
    </w:p>
    <w:p w14:paraId="4BBBBC63" w14:textId="77777777" w:rsidR="0096096B" w:rsidRDefault="0096096B" w:rsidP="0096096B">
      <w:pPr>
        <w:pStyle w:val="NoSpacing"/>
        <w:ind w:firstLine="720"/>
      </w:pPr>
      <w:r>
        <w:t>“Nathan Allen Martin was driving an 18-wheeler for his employer, Triple T,</w:t>
      </w:r>
    </w:p>
    <w:p w14:paraId="7C36F176" w14:textId="77777777" w:rsidR="0096096B" w:rsidRDefault="0096096B" w:rsidP="0096096B">
      <w:pPr>
        <w:pStyle w:val="NoSpacing"/>
        <w:ind w:left="720"/>
      </w:pPr>
      <w:r>
        <w:t>while intoxicated and using an electronic device. Martin was hauling a fully loaded flat-bed trailer. Meanwhile, a nearby Lafayette Fire Department firetruck was responding to a major automobile crash. The firetruck stopped on an overpass with its emergency lights activated. Martin proceeded to crash head-on into the firetruck. A firefighter was injured from jumping off the overpass to avoid being struck by Martin. His claims were settled. The firetruck was a total loss.</w:t>
      </w:r>
    </w:p>
    <w:p w14:paraId="62DA315A" w14:textId="77777777" w:rsidR="0096096B" w:rsidRDefault="0096096B" w:rsidP="0096096B">
      <w:pPr>
        <w:pStyle w:val="NoSpacing"/>
      </w:pPr>
    </w:p>
    <w:p w14:paraId="67A442B4" w14:textId="77777777" w:rsidR="0096096B" w:rsidRDefault="0096096B" w:rsidP="0096096B">
      <w:pPr>
        <w:pStyle w:val="NoSpacing"/>
        <w:ind w:firstLine="720"/>
      </w:pPr>
      <w:r>
        <w:t>At the scene of the wreck, responding officers witnessed Martin slurring his</w:t>
      </w:r>
    </w:p>
    <w:p w14:paraId="239FDAA5" w14:textId="77777777" w:rsidR="0096096B" w:rsidRDefault="0096096B" w:rsidP="0096096B">
      <w:pPr>
        <w:pStyle w:val="NoSpacing"/>
        <w:ind w:firstLine="720"/>
      </w:pPr>
      <w:r>
        <w:t>words and displaying a lack of balance. He smelled of alcohol. The officers</w:t>
      </w:r>
    </w:p>
    <w:p w14:paraId="4693AAF5" w14:textId="77777777" w:rsidR="0096096B" w:rsidRDefault="0096096B" w:rsidP="0096096B">
      <w:pPr>
        <w:pStyle w:val="NoSpacing"/>
        <w:ind w:left="720"/>
      </w:pPr>
      <w:r>
        <w:t>discovered an open whiskey bottle on the ground near the 18-wheeler, and an opened beer can with condensation inside the cab of the vehicle. Martin’s blood alcohol test showed a level of 0.11 percent, well over the 0.04 percent limit for operators of commercial motor carriers under the Federal Motor Carrier Act.</w:t>
      </w:r>
    </w:p>
    <w:p w14:paraId="2A1249A1" w14:textId="77777777" w:rsidR="0096096B" w:rsidRDefault="0096096B" w:rsidP="0096096B">
      <w:pPr>
        <w:pStyle w:val="NoSpacing"/>
      </w:pPr>
    </w:p>
    <w:p w14:paraId="1A9F6A0D" w14:textId="77777777" w:rsidR="0096096B" w:rsidRDefault="0096096B" w:rsidP="0096096B">
      <w:pPr>
        <w:pStyle w:val="NoSpacing"/>
        <w:ind w:firstLine="720"/>
      </w:pPr>
      <w:r>
        <w:t>The firetruck was a 1994 Pierce pumper truck used as a spare pumper truck</w:t>
      </w:r>
    </w:p>
    <w:p w14:paraId="70B42FEA" w14:textId="77777777" w:rsidR="0096096B" w:rsidRDefault="0096096B" w:rsidP="0096096B">
      <w:pPr>
        <w:pStyle w:val="NoSpacing"/>
        <w:ind w:firstLine="720"/>
      </w:pPr>
      <w:r>
        <w:t>for the fire department’s fleet if other trucks went offline. Employees of the fire</w:t>
      </w:r>
    </w:p>
    <w:p w14:paraId="4B9F10E1" w14:textId="77777777" w:rsidR="0096096B" w:rsidRDefault="0096096B" w:rsidP="0096096B">
      <w:pPr>
        <w:pStyle w:val="NoSpacing"/>
        <w:ind w:left="720"/>
      </w:pPr>
      <w:r>
        <w:t>department and city testified that although the cost of rental for a similar truck would have been $275 per day, the department was unwilling to accept the risk associated with leasing or buying a used replacement vehicle.</w:t>
      </w:r>
    </w:p>
    <w:p w14:paraId="30575EBB" w14:textId="77777777" w:rsidR="0096096B" w:rsidRDefault="0096096B" w:rsidP="0096096B">
      <w:pPr>
        <w:pStyle w:val="NoSpacing"/>
        <w:ind w:left="720"/>
      </w:pPr>
    </w:p>
    <w:p w14:paraId="22DA015B" w14:textId="77777777" w:rsidR="0096096B" w:rsidRDefault="0096096B" w:rsidP="0096096B">
      <w:pPr>
        <w:pStyle w:val="NoSpacing"/>
        <w:ind w:left="720"/>
      </w:pPr>
      <w:r>
        <w:t>***</w:t>
      </w:r>
    </w:p>
    <w:p w14:paraId="2072B63C" w14:textId="77777777" w:rsidR="0096096B" w:rsidRDefault="0096096B" w:rsidP="0096096B">
      <w:pPr>
        <w:pStyle w:val="NoSpacing"/>
        <w:ind w:left="720"/>
      </w:pPr>
    </w:p>
    <w:p w14:paraId="6BC5DBC9" w14:textId="77777777" w:rsidR="0096096B" w:rsidRDefault="0096096B" w:rsidP="0096096B">
      <w:pPr>
        <w:pStyle w:val="NoSpacing"/>
      </w:pPr>
      <w:r>
        <w:tab/>
      </w:r>
      <w:r>
        <w:tab/>
      </w:r>
      <w:r w:rsidRPr="00133DBA">
        <w:t>Louisiana Civil Code Article 2315.4 states, in pertinent part:</w:t>
      </w:r>
    </w:p>
    <w:p w14:paraId="208D8C82" w14:textId="77777777" w:rsidR="0096096B" w:rsidRDefault="0096096B" w:rsidP="0096096B">
      <w:pPr>
        <w:pStyle w:val="NoSpacing"/>
        <w:ind w:left="720" w:firstLine="720"/>
      </w:pPr>
      <w:proofErr w:type="gramStart"/>
      <w:r>
        <w:t>exemplary</w:t>
      </w:r>
      <w:proofErr w:type="gramEnd"/>
      <w:r>
        <w:t xml:space="preserve"> damages may be awarded upon proof that the injuries on</w:t>
      </w:r>
    </w:p>
    <w:p w14:paraId="71540CA6" w14:textId="77777777" w:rsidR="0096096B" w:rsidRDefault="0096096B" w:rsidP="0096096B">
      <w:pPr>
        <w:pStyle w:val="NoSpacing"/>
        <w:ind w:left="720" w:firstLine="720"/>
      </w:pPr>
      <w:r>
        <w:t>which the action is based were caused by a wanton or reckless disregard</w:t>
      </w:r>
    </w:p>
    <w:p w14:paraId="407629B3" w14:textId="77777777" w:rsidR="0096096B" w:rsidRDefault="0096096B" w:rsidP="0096096B">
      <w:pPr>
        <w:pStyle w:val="NoSpacing"/>
        <w:ind w:left="720" w:firstLine="720"/>
      </w:pPr>
      <w:r>
        <w:t>for the rights and safety of others by a defendant whose intoxication</w:t>
      </w:r>
    </w:p>
    <w:p w14:paraId="102A995D" w14:textId="77777777" w:rsidR="0096096B" w:rsidRDefault="0096096B" w:rsidP="0096096B">
      <w:pPr>
        <w:pStyle w:val="NoSpacing"/>
        <w:ind w:left="720" w:firstLine="720"/>
      </w:pPr>
      <w:r>
        <w:t>while operating a motor vehicle was a cause in fact of the resulting</w:t>
      </w:r>
    </w:p>
    <w:p w14:paraId="4D4A3663" w14:textId="77777777" w:rsidR="0096096B" w:rsidRDefault="0096096B" w:rsidP="0096096B">
      <w:pPr>
        <w:pStyle w:val="NoSpacing"/>
        <w:ind w:left="1440"/>
      </w:pPr>
      <w:r>
        <w:t>injuries.</w:t>
      </w:r>
    </w:p>
    <w:p w14:paraId="3315573F" w14:textId="77777777" w:rsidR="0096096B" w:rsidRDefault="0096096B" w:rsidP="0096096B">
      <w:pPr>
        <w:pStyle w:val="NoSpacing"/>
        <w:ind w:left="1440"/>
      </w:pPr>
    </w:p>
    <w:p w14:paraId="54C0D936" w14:textId="77777777" w:rsidR="0096096B" w:rsidRDefault="0096096B" w:rsidP="0096096B">
      <w:pPr>
        <w:pStyle w:val="NoSpacing"/>
        <w:ind w:left="720"/>
      </w:pPr>
      <w:r>
        <w:t>***</w:t>
      </w:r>
    </w:p>
    <w:p w14:paraId="0559D7D8" w14:textId="77777777" w:rsidR="0096096B" w:rsidRDefault="0096096B" w:rsidP="0096096B">
      <w:pPr>
        <w:pStyle w:val="NoSpacing"/>
        <w:ind w:left="1440"/>
      </w:pPr>
    </w:p>
    <w:p w14:paraId="62BA2A2C" w14:textId="77777777" w:rsidR="0096096B" w:rsidRDefault="0096096B" w:rsidP="0096096B">
      <w:pPr>
        <w:pStyle w:val="NoSpacing"/>
        <w:ind w:left="720"/>
      </w:pPr>
      <w:r>
        <w:t>The defendants claim that ‘injuries’ are limited to physical and mental injuries and are unavailable in a case with only property and loss of use damages…. We adopt the reasoning of the fourth circuit that the term ‘injuries’ is sufficiently broad to include damages from the destruction or loss of use of property.</w:t>
      </w:r>
    </w:p>
    <w:p w14:paraId="1AF0B660" w14:textId="77777777" w:rsidR="0096096B" w:rsidRDefault="0096096B" w:rsidP="0096096B">
      <w:pPr>
        <w:pStyle w:val="NoSpacing"/>
        <w:ind w:left="720"/>
      </w:pPr>
    </w:p>
    <w:p w14:paraId="1F9132EE" w14:textId="77777777" w:rsidR="0096096B" w:rsidRDefault="0096096B" w:rsidP="0096096B">
      <w:pPr>
        <w:pStyle w:val="NoSpacing"/>
        <w:ind w:left="720"/>
      </w:pPr>
      <w:r>
        <w:t>***</w:t>
      </w:r>
    </w:p>
    <w:p w14:paraId="205B94D4" w14:textId="77777777" w:rsidR="0096096B" w:rsidRDefault="0096096B" w:rsidP="0096096B">
      <w:pPr>
        <w:pStyle w:val="NoSpacing"/>
        <w:ind w:left="720"/>
      </w:pPr>
      <w:r>
        <w:t>The trial court has much discretion in fixing the amount of an exemplary</w:t>
      </w:r>
    </w:p>
    <w:p w14:paraId="74693D9D" w14:textId="77777777" w:rsidR="0096096B" w:rsidRDefault="0096096B" w:rsidP="0096096B">
      <w:pPr>
        <w:pStyle w:val="NoSpacing"/>
        <w:ind w:left="720"/>
      </w:pPr>
      <w:r>
        <w:t>damage award…. Martin’s conduct was particularly egregious in this case. Not only was he operating a vehicle while over the legal blood alcohol limit, but his vehicle was a loaded 18-wheeler. Its size and weight presented a greater threat than most vehicles. Martin was also on an electronic device. Considering all of this, we cannot say that the trial court’s award for exemplary damages was abusively high in this case.”</w:t>
      </w:r>
    </w:p>
    <w:p w14:paraId="046D9D82" w14:textId="77777777" w:rsidR="0096096B" w:rsidRDefault="0096096B" w:rsidP="0096096B">
      <w:pPr>
        <w:pStyle w:val="NoSpacing"/>
        <w:ind w:left="1440"/>
      </w:pPr>
    </w:p>
    <w:p w14:paraId="7C40463C" w14:textId="77777777" w:rsidR="0096096B" w:rsidRDefault="0096096B" w:rsidP="0096096B">
      <w:pPr>
        <w:pStyle w:val="NoSpacing"/>
        <w:rPr>
          <w:b/>
          <w:bCs/>
        </w:rPr>
      </w:pPr>
      <w:r w:rsidRPr="00DB52C3">
        <w:rPr>
          <w:b/>
        </w:rPr>
        <w:t>Legal lesson learned: Punitive damages are designed to punish</w:t>
      </w:r>
      <w:r>
        <w:rPr>
          <w:b/>
        </w:rPr>
        <w:t xml:space="preserve"> drunk</w:t>
      </w:r>
      <w:r w:rsidRPr="00DB52C3">
        <w:rPr>
          <w:b/>
        </w:rPr>
        <w:t xml:space="preserve"> drivers for </w:t>
      </w:r>
      <w:r>
        <w:rPr>
          <w:b/>
        </w:rPr>
        <w:t>“</w:t>
      </w:r>
      <w:r w:rsidRPr="00DB52C3">
        <w:rPr>
          <w:b/>
        </w:rPr>
        <w:t>wanton or reckless disregard for the rights and safety of others</w:t>
      </w:r>
      <w:r>
        <w:rPr>
          <w:b/>
        </w:rPr>
        <w:t>.”</w:t>
      </w:r>
    </w:p>
    <w:p w14:paraId="0671A38B" w14:textId="77777777" w:rsidR="0096096B" w:rsidRDefault="0096096B" w:rsidP="000C62A1">
      <w:pPr>
        <w:pStyle w:val="NoSpacing"/>
        <w:rPr>
          <w:rFonts w:ascii="Arial Black" w:hAnsi="Arial Black"/>
          <w:sz w:val="28"/>
          <w:szCs w:val="28"/>
        </w:rPr>
      </w:pPr>
    </w:p>
    <w:p w14:paraId="27B4A078" w14:textId="77777777" w:rsidR="007B0FFF" w:rsidRDefault="007B0FFF" w:rsidP="000C62A1">
      <w:pPr>
        <w:pStyle w:val="NoSpacing"/>
        <w:rPr>
          <w:rFonts w:ascii="Arial Black" w:hAnsi="Arial Black"/>
          <w:sz w:val="28"/>
          <w:szCs w:val="28"/>
        </w:rPr>
      </w:pPr>
    </w:p>
    <w:p w14:paraId="6C769C4F" w14:textId="1591A71A" w:rsidR="007B0FFF" w:rsidRDefault="007B0FFF" w:rsidP="000C62A1">
      <w:pPr>
        <w:pStyle w:val="NoSpacing"/>
        <w:rPr>
          <w:rFonts w:ascii="Arial Black" w:hAnsi="Arial Black"/>
          <w:sz w:val="28"/>
          <w:szCs w:val="28"/>
        </w:rPr>
      </w:pPr>
      <w:r>
        <w:rPr>
          <w:rFonts w:ascii="Arial Black" w:hAnsi="Arial Black"/>
          <w:sz w:val="28"/>
          <w:szCs w:val="28"/>
        </w:rPr>
        <w:t>5-54</w:t>
      </w:r>
    </w:p>
    <w:p w14:paraId="79710F41" w14:textId="77777777" w:rsidR="007B0FFF" w:rsidRDefault="007B0FFF" w:rsidP="000C62A1">
      <w:pPr>
        <w:pStyle w:val="NoSpacing"/>
        <w:rPr>
          <w:rFonts w:ascii="Arial Black" w:hAnsi="Arial Black"/>
          <w:sz w:val="28"/>
          <w:szCs w:val="28"/>
        </w:rPr>
      </w:pPr>
    </w:p>
    <w:p w14:paraId="2CDA4D6C" w14:textId="748A8259" w:rsidR="007B0FFF" w:rsidRPr="006D18C8" w:rsidRDefault="007B0FFF" w:rsidP="007B0FFF">
      <w:pPr>
        <w:pStyle w:val="NoSpacing"/>
        <w:rPr>
          <w:rFonts w:ascii="Arial Black" w:hAnsi="Arial Black"/>
          <w:bCs/>
          <w:sz w:val="28"/>
          <w:szCs w:val="28"/>
        </w:rPr>
      </w:pPr>
      <w:r>
        <w:rPr>
          <w:rFonts w:ascii="Arial Black" w:hAnsi="Arial Black"/>
          <w:sz w:val="28"/>
          <w:szCs w:val="28"/>
        </w:rPr>
        <w:t>VA: RESCUE 1 – DISP</w:t>
      </w:r>
      <w:r w:rsidR="00F47375">
        <w:rPr>
          <w:rFonts w:ascii="Arial Black" w:hAnsi="Arial Black"/>
          <w:sz w:val="28"/>
          <w:szCs w:val="28"/>
        </w:rPr>
        <w:t xml:space="preserve"> / </w:t>
      </w:r>
      <w:r>
        <w:rPr>
          <w:rFonts w:ascii="Arial Black" w:hAnsi="Arial Black"/>
          <w:sz w:val="28"/>
          <w:szCs w:val="28"/>
        </w:rPr>
        <w:t xml:space="preserve">EMER </w:t>
      </w:r>
      <w:r w:rsidR="00F47375">
        <w:rPr>
          <w:rFonts w:ascii="Arial Black" w:hAnsi="Arial Black"/>
          <w:sz w:val="28"/>
          <w:szCs w:val="28"/>
        </w:rPr>
        <w:t xml:space="preserve">OVER </w:t>
      </w:r>
      <w:r w:rsidR="002824DF">
        <w:rPr>
          <w:rFonts w:ascii="Arial Black" w:hAnsi="Arial Black"/>
          <w:sz w:val="28"/>
          <w:szCs w:val="28"/>
        </w:rPr>
        <w:t>–</w:t>
      </w:r>
      <w:r>
        <w:rPr>
          <w:rFonts w:ascii="Arial Black" w:hAnsi="Arial Black"/>
          <w:sz w:val="28"/>
          <w:szCs w:val="28"/>
        </w:rPr>
        <w:t xml:space="preserve"> </w:t>
      </w:r>
      <w:r w:rsidR="002824DF">
        <w:rPr>
          <w:rFonts w:ascii="Arial Black" w:hAnsi="Arial Black"/>
          <w:sz w:val="28"/>
          <w:szCs w:val="28"/>
        </w:rPr>
        <w:t xml:space="preserve">CONT. EMER. – JURY </w:t>
      </w:r>
      <w:r>
        <w:rPr>
          <w:rFonts w:ascii="Arial Black" w:hAnsi="Arial Black"/>
          <w:sz w:val="28"/>
          <w:szCs w:val="28"/>
        </w:rPr>
        <w:t>$500,000</w:t>
      </w:r>
    </w:p>
    <w:p w14:paraId="4DD8FA35" w14:textId="77777777" w:rsidR="007B0FFF" w:rsidRDefault="007B0FFF" w:rsidP="007B0FFF">
      <w:pPr>
        <w:pStyle w:val="NoSpacing"/>
        <w:rPr>
          <w:bCs/>
        </w:rPr>
      </w:pPr>
    </w:p>
    <w:p w14:paraId="18039228" w14:textId="77777777" w:rsidR="007B0FFF" w:rsidRDefault="007B0FFF" w:rsidP="007B0FFF">
      <w:pPr>
        <w:pStyle w:val="NoSpacing"/>
        <w:rPr>
          <w:b/>
        </w:rPr>
      </w:pPr>
      <w:r>
        <w:t xml:space="preserve">On Oct. 21, 2025 in </w:t>
      </w:r>
      <w:r w:rsidRPr="00BC24EC">
        <w:rPr>
          <w:u w:val="single"/>
        </w:rPr>
        <w:t>James Lee v. Jason Carr</w:t>
      </w:r>
      <w:r>
        <w:t xml:space="preserve"> the </w:t>
      </w:r>
      <w:r w:rsidRPr="00E1635E">
        <w:t>Court of Appeals of Virginia</w:t>
      </w:r>
      <w:r>
        <w:t xml:space="preserve"> held (2 to 1; unpublished decision) the Court </w:t>
      </w:r>
      <w:r w:rsidRPr="00F22EA8">
        <w:t>remand</w:t>
      </w:r>
      <w:r>
        <w:t>ed</w:t>
      </w:r>
      <w:r w:rsidRPr="00F22EA8">
        <w:t xml:space="preserve"> the case for a new trial limited</w:t>
      </w:r>
      <w:r>
        <w:t xml:space="preserve"> to the amount of damages; the finding of “gross negligence” by first jury remains against driver of Recue 1, City of Newport News. The trial court judge after jury verdict and award of $500,000, set aside the finding of “gross negligence” and the punitive damages.  Rescue 1 was responding to a motor vehicle accident in a tunnel, but Dispatch advised that “</w:t>
      </w:r>
      <w:r w:rsidRPr="00BE09B2">
        <w:t>the vehicles</w:t>
      </w:r>
      <w:r>
        <w:t xml:space="preserve"> </w:t>
      </w:r>
      <w:r w:rsidRPr="00BE09B2">
        <w:t>had been cleared in the tunnel and there was no longer an emergency situation</w:t>
      </w:r>
      <w:r>
        <w:t>.</w:t>
      </w:r>
      <w:r w:rsidRPr="00BE09B2">
        <w:t>”</w:t>
      </w:r>
      <w:r>
        <w:t xml:space="preserve">  Firefighter Carr heard the dispatch, slowed down, but continued with lights and siren.  He entered the intersection westbound u</w:t>
      </w:r>
      <w:r w:rsidRPr="00423587">
        <w:t>nable to determine</w:t>
      </w:r>
      <w:r>
        <w:t xml:space="preserve"> </w:t>
      </w:r>
      <w:r w:rsidRPr="00423587">
        <w:t>whether he had a red light because of the sun</w:t>
      </w:r>
      <w:r>
        <w:t xml:space="preserve">, and his view of southbound traffic was obstructed by a house.  On board Captain did not order Carr to go non-emergency.  City may appeal to Virginia Supreme Court – see dissenting opinion. </w:t>
      </w:r>
      <w:hyperlink r:id="rId953" w:history="1">
        <w:r w:rsidRPr="00D23E57">
          <w:rPr>
            <w:rStyle w:val="Hyperlink"/>
            <w:b/>
          </w:rPr>
          <w:t>https://cases.justia.com/virginia/court-of-appeals-unpublished/2025-0990-24-1.pdf?ts=1761062926</w:t>
        </w:r>
      </w:hyperlink>
      <w:r>
        <w:rPr>
          <w:b/>
        </w:rPr>
        <w:t xml:space="preserve"> </w:t>
      </w:r>
    </w:p>
    <w:p w14:paraId="5C0AC645" w14:textId="77777777" w:rsidR="007B0FFF" w:rsidRDefault="007B0FFF" w:rsidP="007B0FFF">
      <w:pPr>
        <w:pStyle w:val="NoSpacing"/>
        <w:rPr>
          <w:b/>
        </w:rPr>
      </w:pPr>
    </w:p>
    <w:p w14:paraId="246538AF" w14:textId="77777777" w:rsidR="007B0FFF" w:rsidRDefault="007B0FFF" w:rsidP="007B0FFF">
      <w:pPr>
        <w:pStyle w:val="NoSpacing"/>
      </w:pPr>
      <w:r>
        <w:t xml:space="preserve">  </w:t>
      </w:r>
    </w:p>
    <w:p w14:paraId="5A3C4F77" w14:textId="77777777" w:rsidR="007B0FFF" w:rsidRPr="003C445E" w:rsidRDefault="007B0FFF" w:rsidP="007B0FFF">
      <w:pPr>
        <w:pStyle w:val="NoSpacing"/>
        <w:rPr>
          <w:bCs/>
        </w:rPr>
      </w:pPr>
      <w:r>
        <w:t xml:space="preserve">THE COURT HELD: </w:t>
      </w:r>
    </w:p>
    <w:p w14:paraId="56C1636B" w14:textId="77777777" w:rsidR="007B0FFF" w:rsidRPr="003C445E" w:rsidRDefault="007B0FFF" w:rsidP="007B0FFF">
      <w:pPr>
        <w:pStyle w:val="NoSpacing"/>
        <w:rPr>
          <w:bCs/>
        </w:rPr>
      </w:pPr>
    </w:p>
    <w:p w14:paraId="540FDBE2" w14:textId="77777777" w:rsidR="007B0FFF" w:rsidRDefault="007B0FFF" w:rsidP="007B0FFF">
      <w:pPr>
        <w:pStyle w:val="NoSpacing"/>
        <w:ind w:left="720"/>
      </w:pPr>
      <w:r>
        <w:t>“This case arises from a motor vehicle accident at the traffic light-controlled intersection of 16th Street and Ivy Avenue in the City of Newport News. At the time of the accident, Carr was driving a fire department rescue truck (Rescue 1) westbound on 16th Street toward the scene of a motor vehicle accident in the Monitor-Merrimac Bridge-Tunnel. As he approached the intersection, Carr’s view of southbound traffic on Ivy Avenue was obstructed by a house. Unable to determine whether he had a red light because of the sun, Carr drove Rescue 1 into the intersection and collided with Lee’s vehicle, which had been traveling southbound on Ivy Avenue.</w:t>
      </w:r>
    </w:p>
    <w:p w14:paraId="7F734909" w14:textId="77777777" w:rsidR="007B0FFF" w:rsidRDefault="007B0FFF" w:rsidP="007B0FFF">
      <w:pPr>
        <w:pStyle w:val="NoSpacing"/>
        <w:ind w:left="720"/>
      </w:pPr>
    </w:p>
    <w:p w14:paraId="04C5D99B" w14:textId="77777777" w:rsidR="007B0FFF" w:rsidRDefault="007B0FFF" w:rsidP="007B0FFF">
      <w:pPr>
        <w:pStyle w:val="NoSpacing"/>
        <w:ind w:left="720"/>
      </w:pPr>
      <w:r>
        <w:t>***</w:t>
      </w:r>
    </w:p>
    <w:p w14:paraId="3539C230" w14:textId="77777777" w:rsidR="007B0FFF" w:rsidRDefault="007B0FFF" w:rsidP="007B0FFF">
      <w:pPr>
        <w:pStyle w:val="NoSpacing"/>
        <w:ind w:left="720"/>
      </w:pPr>
      <w:r>
        <w:lastRenderedPageBreak/>
        <w:t xml:space="preserve">At trial, Lee played a silent video recording of the accident. Police officer Brandon Holden went to the scene of the accident and testified that the posted speed limit in that area was 25 miles per hour. Based on his review of the video recording and his own measurements, Officer Holden estimated that Rescue 1 travelled 110 feet in about 1.9 seconds (approximately 39 miles per hour) before </w:t>
      </w:r>
      <w:proofErr w:type="gramStart"/>
      <w:r>
        <w:t>braking</w:t>
      </w:r>
      <w:proofErr w:type="gramEnd"/>
      <w:r>
        <w:t xml:space="preserve"> in the intersection crosswalk.</w:t>
      </w:r>
    </w:p>
    <w:p w14:paraId="03DB6BBB" w14:textId="77777777" w:rsidR="007B0FFF" w:rsidRDefault="007B0FFF" w:rsidP="007B0FFF">
      <w:pPr>
        <w:pStyle w:val="NoSpacing"/>
        <w:ind w:left="720"/>
      </w:pPr>
    </w:p>
    <w:p w14:paraId="13C09291" w14:textId="77777777" w:rsidR="007B0FFF" w:rsidRDefault="007B0FFF" w:rsidP="007B0FFF">
      <w:pPr>
        <w:pStyle w:val="NoSpacing"/>
        <w:ind w:left="720"/>
      </w:pPr>
      <w:r>
        <w:t>***</w:t>
      </w:r>
    </w:p>
    <w:p w14:paraId="5DC38FE7" w14:textId="77777777" w:rsidR="007B0FFF" w:rsidRDefault="007B0FFF" w:rsidP="007B0FFF">
      <w:pPr>
        <w:pStyle w:val="NoSpacing"/>
        <w:ind w:left="720"/>
      </w:pPr>
    </w:p>
    <w:p w14:paraId="327478D8" w14:textId="77777777" w:rsidR="007B0FFF" w:rsidRDefault="007B0FFF" w:rsidP="007B0FFF">
      <w:pPr>
        <w:pStyle w:val="NoSpacing"/>
        <w:ind w:firstLine="720"/>
      </w:pPr>
      <w:r>
        <w:t>Carr admitted that he told ‘the police officer’ that ‘the only reason’ he would have gone to</w:t>
      </w:r>
    </w:p>
    <w:p w14:paraId="394CCDD6" w14:textId="77777777" w:rsidR="007B0FFF" w:rsidRDefault="007B0FFF" w:rsidP="007B0FFF">
      <w:pPr>
        <w:pStyle w:val="NoSpacing"/>
        <w:ind w:left="720"/>
      </w:pPr>
      <w:proofErr w:type="gramStart"/>
      <w:r>
        <w:t>the</w:t>
      </w:r>
      <w:proofErr w:type="gramEnd"/>
      <w:r>
        <w:t xml:space="preserve"> tunnel ‘was if people [were] in the tunnel.’ He acknowledged that he had been informed before the accident that ‘the vehicles were no longer in the tunnel,’ so he expected to ‘get turn[ed] around.’ Footnote 5:</w:t>
      </w:r>
    </w:p>
    <w:p w14:paraId="52815CA3" w14:textId="77777777" w:rsidR="007B0FFF" w:rsidRDefault="007B0FFF" w:rsidP="007B0FFF">
      <w:pPr>
        <w:pStyle w:val="NoSpacing"/>
      </w:pPr>
    </w:p>
    <w:p w14:paraId="47CBC782" w14:textId="77777777" w:rsidR="007B0FFF" w:rsidRDefault="007B0FFF" w:rsidP="007B0FFF">
      <w:pPr>
        <w:pStyle w:val="NoSpacing"/>
        <w:ind w:left="1440"/>
      </w:pPr>
      <w:r>
        <w:t>Carr testified that he had to respond to the scene of the tunnel accident until someone from the police or fire department arrived at the scene and confirmed that there was ‘nothing wrong.’ According to Carr, Rescue 1’s tools may have been necessary even if the vehicles had been moved out of the tunnel.</w:t>
      </w:r>
    </w:p>
    <w:p w14:paraId="6FB1AE73" w14:textId="77777777" w:rsidR="007B0FFF" w:rsidRDefault="007B0FFF" w:rsidP="007B0FFF">
      <w:pPr>
        <w:pStyle w:val="NoSpacing"/>
        <w:ind w:left="1440"/>
      </w:pPr>
    </w:p>
    <w:p w14:paraId="0E7E6505" w14:textId="77777777" w:rsidR="007B0FFF" w:rsidRDefault="007B0FFF" w:rsidP="007B0FFF">
      <w:pPr>
        <w:pStyle w:val="NoSpacing"/>
        <w:ind w:left="720"/>
      </w:pPr>
      <w:r>
        <w:t>***</w:t>
      </w:r>
    </w:p>
    <w:p w14:paraId="21F63261" w14:textId="77777777" w:rsidR="007B0FFF" w:rsidRDefault="007B0FFF" w:rsidP="007B0FFF">
      <w:pPr>
        <w:pStyle w:val="NoSpacing"/>
      </w:pPr>
    </w:p>
    <w:p w14:paraId="7CF78A9A" w14:textId="77777777" w:rsidR="007B0FFF" w:rsidRDefault="007B0FFF" w:rsidP="007B0FFF">
      <w:pPr>
        <w:pStyle w:val="NoSpacing"/>
        <w:ind w:left="720"/>
      </w:pPr>
      <w:r>
        <w:t xml:space="preserve">The question of whether Carr exercised any care was a factual one for the jury and credible evidence supports its verdict. In best light to Lee, Carr sped the </w:t>
      </w:r>
      <w:proofErr w:type="gramStart"/>
      <w:r>
        <w:t>54,000 pound</w:t>
      </w:r>
      <w:proofErr w:type="gramEnd"/>
      <w:r>
        <w:t xml:space="preserve"> firetruck into an intersection without even knowing whether the light was red or green—or whether any vehicle was in its path. According to Lee, there was no siren—and the video supports the jury’s view that there was no effort to brake upon entering the intersection (or at any meaningful time before imminent contact). The trial court </w:t>
      </w:r>
      <w:proofErr w:type="gramStart"/>
      <w:r>
        <w:t>erred</w:t>
      </w:r>
      <w:proofErr w:type="gramEnd"/>
      <w:r>
        <w:t xml:space="preserve"> by usurping the jury’s judgment because the evidence failed to conclusively establish that Carr took any care to prevent Lee’s accident. In short, the trial court relied on its findings of fact rather than the findings of fact made by the jury. In doing so, it erred. Accordingly, we reinstate the jury’s verdict on liability…. As explained below, however, we must still vacate the jury’s award of damages and remand for a new trial on that issue.”</w:t>
      </w:r>
    </w:p>
    <w:p w14:paraId="3F8D2E35" w14:textId="77777777" w:rsidR="007B0FFF" w:rsidRDefault="007B0FFF" w:rsidP="007B0FFF">
      <w:pPr>
        <w:pStyle w:val="NoSpacing"/>
        <w:ind w:left="720"/>
      </w:pPr>
    </w:p>
    <w:p w14:paraId="26326F43" w14:textId="77777777" w:rsidR="007B0FFF" w:rsidRDefault="007B0FFF" w:rsidP="007B0FFF">
      <w:pPr>
        <w:pStyle w:val="NoSpacing"/>
        <w:rPr>
          <w:bCs/>
        </w:rPr>
      </w:pPr>
      <w:r>
        <w:t xml:space="preserve">DISSENT (Judge </w:t>
      </w:r>
      <w:r w:rsidRPr="003C2F21">
        <w:t>Mary Janipher Malveaux)</w:t>
      </w:r>
    </w:p>
    <w:p w14:paraId="77E3262B" w14:textId="77777777" w:rsidR="007B0FFF" w:rsidRDefault="007B0FFF" w:rsidP="007B0FFF">
      <w:pPr>
        <w:pStyle w:val="NoSpacing"/>
        <w:rPr>
          <w:bCs/>
        </w:rPr>
      </w:pPr>
    </w:p>
    <w:p w14:paraId="603C2EBD" w14:textId="77777777" w:rsidR="007B0FFF" w:rsidRPr="00770F67" w:rsidRDefault="007B0FFF" w:rsidP="007B0FFF">
      <w:pPr>
        <w:pStyle w:val="NoSpacing"/>
        <w:rPr>
          <w:bCs/>
        </w:rPr>
      </w:pPr>
      <w:r>
        <w:tab/>
        <w:t>“</w:t>
      </w:r>
      <w:r w:rsidRPr="00770F67">
        <w:t>But as the majority correctly recognizes, the evidence that Carr had activated</w:t>
      </w:r>
    </w:p>
    <w:p w14:paraId="7FD9F0E2" w14:textId="77777777" w:rsidR="007B0FFF" w:rsidRDefault="007B0FFF" w:rsidP="007B0FFF">
      <w:pPr>
        <w:pStyle w:val="NoSpacing"/>
        <w:ind w:left="720"/>
      </w:pPr>
      <w:r w:rsidRPr="00770F67">
        <w:t xml:space="preserve">Rescue 1’s lights </w:t>
      </w:r>
      <w:proofErr w:type="gramStart"/>
      <w:r w:rsidRPr="00770F67">
        <w:t>was</w:t>
      </w:r>
      <w:proofErr w:type="gramEnd"/>
      <w:r w:rsidRPr="00770F67">
        <w:t xml:space="preserve"> uncontroverted.</w:t>
      </w:r>
      <w:r>
        <w:t xml:space="preserve"> </w:t>
      </w:r>
      <w:r w:rsidRPr="00770F67">
        <w:t>And in Virginia, uncontroverted evidence that Carr</w:t>
      </w:r>
      <w:r>
        <w:t xml:space="preserve"> </w:t>
      </w:r>
      <w:r w:rsidRPr="00770F67">
        <w:t xml:space="preserve">exercised </w:t>
      </w:r>
      <w:r>
        <w:t>‘</w:t>
      </w:r>
      <w:r w:rsidRPr="00770F67">
        <w:t>some degree of care</w:t>
      </w:r>
      <w:r>
        <w:t>’</w:t>
      </w:r>
      <w:r w:rsidRPr="00770F67">
        <w:t xml:space="preserve"> is adequate to defeat Lee’s gross negligence claim.</w:t>
      </w:r>
      <w:r>
        <w:t>”</w:t>
      </w:r>
    </w:p>
    <w:p w14:paraId="66FB0157" w14:textId="77777777" w:rsidR="007B0FFF" w:rsidRDefault="007B0FFF" w:rsidP="007B0FFF">
      <w:pPr>
        <w:pStyle w:val="NoSpacing"/>
        <w:ind w:left="720"/>
      </w:pPr>
    </w:p>
    <w:p w14:paraId="466F4E88" w14:textId="77777777" w:rsidR="007B0FFF" w:rsidRPr="00C46342" w:rsidRDefault="007B0FFF" w:rsidP="007B0FFF">
      <w:pPr>
        <w:pStyle w:val="NoSpacing"/>
        <w:rPr>
          <w:b/>
          <w:bCs/>
        </w:rPr>
      </w:pPr>
      <w:r w:rsidRPr="00C46342">
        <w:rPr>
          <w:b/>
        </w:rPr>
        <w:t xml:space="preserve">Legal lesson learned:  When dispatch advises - “the vehicles had been cleared in the tunnel and there was no longer an emergency situation” – only proceed non-emergency. </w:t>
      </w:r>
    </w:p>
    <w:p w14:paraId="37248EC6" w14:textId="77777777" w:rsidR="007B0FFF" w:rsidRPr="00DB52C3" w:rsidRDefault="007B0FFF" w:rsidP="007B0FFF">
      <w:pPr>
        <w:pStyle w:val="NoSpacing"/>
        <w:rPr>
          <w:b/>
          <w:bCs/>
        </w:rPr>
      </w:pPr>
    </w:p>
    <w:p w14:paraId="53F30381" w14:textId="77777777" w:rsidR="007B0FFF" w:rsidRDefault="007B0FFF" w:rsidP="000C62A1">
      <w:pPr>
        <w:pStyle w:val="NoSpacing"/>
        <w:rPr>
          <w:rFonts w:ascii="Arial Black" w:hAnsi="Arial Black"/>
          <w:sz w:val="28"/>
          <w:szCs w:val="28"/>
        </w:rPr>
      </w:pPr>
    </w:p>
    <w:p w14:paraId="39695791" w14:textId="77777777" w:rsidR="0096096B" w:rsidRDefault="0096096B" w:rsidP="000C62A1">
      <w:pPr>
        <w:pStyle w:val="NoSpacing"/>
        <w:rPr>
          <w:rFonts w:ascii="Arial Black" w:hAnsi="Arial Black"/>
          <w:sz w:val="28"/>
          <w:szCs w:val="28"/>
        </w:rPr>
      </w:pPr>
    </w:p>
    <w:p w14:paraId="598798E9" w14:textId="77777777" w:rsidR="0096096B" w:rsidRDefault="0096096B" w:rsidP="000C62A1">
      <w:pPr>
        <w:pStyle w:val="NoSpacing"/>
        <w:rPr>
          <w:rFonts w:ascii="Arial Black" w:hAnsi="Arial Black"/>
          <w:sz w:val="28"/>
          <w:szCs w:val="28"/>
        </w:rPr>
      </w:pPr>
    </w:p>
    <w:p w14:paraId="3AEA1F7C" w14:textId="19512866" w:rsidR="003B3DED" w:rsidRDefault="003B3DED" w:rsidP="000C62A1">
      <w:pPr>
        <w:pStyle w:val="NoSpacing"/>
        <w:rPr>
          <w:rFonts w:ascii="Arial Black" w:hAnsi="Arial Black"/>
          <w:sz w:val="28"/>
          <w:szCs w:val="28"/>
        </w:rPr>
      </w:pPr>
      <w:r>
        <w:rPr>
          <w:rFonts w:ascii="Arial Black" w:hAnsi="Arial Black"/>
          <w:sz w:val="28"/>
          <w:szCs w:val="28"/>
        </w:rPr>
        <w:t>5-53</w:t>
      </w:r>
    </w:p>
    <w:p w14:paraId="5BB1827D" w14:textId="77777777" w:rsidR="003B3DED" w:rsidRDefault="003B3DED" w:rsidP="000C62A1">
      <w:pPr>
        <w:pStyle w:val="NoSpacing"/>
        <w:rPr>
          <w:rFonts w:ascii="Arial Black" w:hAnsi="Arial Black"/>
          <w:sz w:val="28"/>
          <w:szCs w:val="28"/>
        </w:rPr>
      </w:pPr>
    </w:p>
    <w:p w14:paraId="127E8422" w14:textId="6EE877A9" w:rsidR="000C62A1" w:rsidRDefault="000C62A1" w:rsidP="000C62A1">
      <w:pPr>
        <w:pStyle w:val="NoSpacing"/>
        <w:rPr>
          <w:rFonts w:ascii="Arial Black" w:hAnsi="Arial Black"/>
          <w:sz w:val="28"/>
          <w:szCs w:val="28"/>
        </w:rPr>
      </w:pPr>
      <w:r>
        <w:rPr>
          <w:rFonts w:ascii="Arial Black" w:hAnsi="Arial Black"/>
          <w:sz w:val="28"/>
          <w:szCs w:val="28"/>
        </w:rPr>
        <w:t xml:space="preserve">TX: AMBUL BACKED </w:t>
      </w:r>
      <w:r w:rsidR="003F3074">
        <w:rPr>
          <w:rFonts w:ascii="Arial Black" w:hAnsi="Arial Black"/>
          <w:sz w:val="28"/>
          <w:szCs w:val="28"/>
        </w:rPr>
        <w:t xml:space="preserve">INTO </w:t>
      </w:r>
      <w:r>
        <w:rPr>
          <w:rFonts w:ascii="Arial Black" w:hAnsi="Arial Black"/>
          <w:sz w:val="28"/>
          <w:szCs w:val="28"/>
        </w:rPr>
        <w:t>CAR – AVOID</w:t>
      </w:r>
      <w:r w:rsidR="00E0376C">
        <w:rPr>
          <w:rFonts w:ascii="Arial Black" w:hAnsi="Arial Black"/>
          <w:sz w:val="28"/>
          <w:szCs w:val="28"/>
        </w:rPr>
        <w:t xml:space="preserve"> </w:t>
      </w:r>
      <w:r>
        <w:rPr>
          <w:rFonts w:ascii="Arial Black" w:hAnsi="Arial Black"/>
          <w:sz w:val="28"/>
          <w:szCs w:val="28"/>
        </w:rPr>
        <w:t>FIRE TRUCKS - IMMUNITY</w:t>
      </w:r>
    </w:p>
    <w:p w14:paraId="1A9FCD04" w14:textId="77777777" w:rsidR="000C62A1" w:rsidRDefault="000C62A1" w:rsidP="000C62A1">
      <w:pPr>
        <w:pStyle w:val="NoSpacing"/>
        <w:rPr>
          <w:rFonts w:ascii="Arial Black" w:hAnsi="Arial Black"/>
          <w:sz w:val="28"/>
          <w:szCs w:val="28"/>
        </w:rPr>
      </w:pPr>
    </w:p>
    <w:p w14:paraId="7F88E2EC" w14:textId="77777777" w:rsidR="000C62A1" w:rsidRPr="00B07EC1" w:rsidRDefault="000C62A1" w:rsidP="000C62A1">
      <w:pPr>
        <w:pStyle w:val="NoSpacing"/>
        <w:rPr>
          <w:rFonts w:ascii="Times New Roman" w:hAnsi="Times New Roman"/>
          <w:sz w:val="24"/>
          <w:szCs w:val="24"/>
        </w:rPr>
      </w:pPr>
      <w:r w:rsidRPr="00B07EC1">
        <w:rPr>
          <w:rFonts w:ascii="Times New Roman" w:hAnsi="Times New Roman"/>
          <w:sz w:val="24"/>
          <w:szCs w:val="24"/>
        </w:rPr>
        <w:t xml:space="preserve">On July 22, 2025, in </w:t>
      </w:r>
      <w:r w:rsidRPr="00B07EC1">
        <w:rPr>
          <w:rFonts w:ascii="Times New Roman" w:hAnsi="Times New Roman"/>
          <w:sz w:val="24"/>
          <w:szCs w:val="24"/>
          <w:u w:val="single"/>
        </w:rPr>
        <w:t xml:space="preserve">City of Houston v. </w:t>
      </w:r>
      <w:proofErr w:type="spellStart"/>
      <w:r w:rsidRPr="00B07EC1">
        <w:rPr>
          <w:rFonts w:ascii="Times New Roman" w:hAnsi="Times New Roman"/>
          <w:sz w:val="24"/>
          <w:szCs w:val="24"/>
          <w:u w:val="single"/>
        </w:rPr>
        <w:t>Maraunjanique</w:t>
      </w:r>
      <w:proofErr w:type="spellEnd"/>
      <w:r w:rsidRPr="00B07EC1">
        <w:rPr>
          <w:rFonts w:ascii="Times New Roman" w:hAnsi="Times New Roman"/>
          <w:sz w:val="24"/>
          <w:szCs w:val="24"/>
          <w:u w:val="single"/>
        </w:rPr>
        <w:t xml:space="preserve"> Smallwood</w:t>
      </w:r>
      <w:r w:rsidRPr="00B07EC1">
        <w:rPr>
          <w:rFonts w:ascii="Times New Roman" w:hAnsi="Times New Roman"/>
          <w:sz w:val="24"/>
          <w:szCs w:val="24"/>
        </w:rPr>
        <w:t xml:space="preserve">, the Court of Appeals of Texas, Fourteenth District held (3 to 0) held that trial court should have granted the City’s motion for summary judgement, under the emergency exception of waiver of immunity under the Texas Torts Claims Act.  The ambulance driver, returning to their station, saw flames coming from a building about seven blocks away – as they went north on two lane road, they had to stop and back up for two fire engines responding to the fire.  They collided with Smallwood’s vehicle behind them.  THE COURT HELD: “We conclude the City established the TTCA’s emergency exception applies to Smallwood’s claims against the City as a matter of law and that Smallwood </w:t>
      </w:r>
      <w:r w:rsidRPr="00B07EC1">
        <w:rPr>
          <w:rFonts w:ascii="Times New Roman" w:hAnsi="Times New Roman"/>
          <w:sz w:val="24"/>
          <w:szCs w:val="24"/>
        </w:rPr>
        <w:lastRenderedPageBreak/>
        <w:t xml:space="preserve">failed to raise a fact issue as to whether the City’s immunity was waived. *** This evidence established that Moncivais was reacting to </w:t>
      </w:r>
      <w:proofErr w:type="gramStart"/>
      <w:r w:rsidRPr="00B07EC1">
        <w:rPr>
          <w:rFonts w:ascii="Times New Roman" w:hAnsi="Times New Roman"/>
          <w:sz w:val="24"/>
          <w:szCs w:val="24"/>
        </w:rPr>
        <w:t>an emergency situation</w:t>
      </w:r>
      <w:proofErr w:type="gramEnd"/>
      <w:r w:rsidRPr="00B07EC1">
        <w:rPr>
          <w:rFonts w:ascii="Times New Roman" w:hAnsi="Times New Roman"/>
          <w:sz w:val="24"/>
          <w:szCs w:val="24"/>
        </w:rPr>
        <w:t xml:space="preserve"> when he reversed the ambulance and collided with Smallwood.” </w:t>
      </w:r>
      <w:hyperlink r:id="rId954" w:history="1">
        <w:r w:rsidRPr="00B07EC1">
          <w:rPr>
            <w:rStyle w:val="Hyperlink"/>
            <w:rFonts w:ascii="Times New Roman" w:hAnsi="Times New Roman"/>
            <w:sz w:val="24"/>
            <w:szCs w:val="24"/>
          </w:rPr>
          <w:t>https://cases.justia.com/texas/fourteenth-court-of-appeals/2025-14-24-00312-cv.pdf?ts=1753189995</w:t>
        </w:r>
      </w:hyperlink>
      <w:r w:rsidRPr="00B07EC1">
        <w:rPr>
          <w:rFonts w:ascii="Times New Roman" w:hAnsi="Times New Roman"/>
          <w:sz w:val="24"/>
          <w:szCs w:val="24"/>
        </w:rPr>
        <w:t xml:space="preserve"> </w:t>
      </w:r>
    </w:p>
    <w:p w14:paraId="41767B15" w14:textId="77777777" w:rsidR="000C62A1" w:rsidRPr="00B07EC1" w:rsidRDefault="000C62A1" w:rsidP="000C62A1">
      <w:pPr>
        <w:pStyle w:val="NoSpacing"/>
        <w:rPr>
          <w:rFonts w:ascii="Times New Roman" w:hAnsi="Times New Roman"/>
          <w:sz w:val="24"/>
          <w:szCs w:val="24"/>
        </w:rPr>
      </w:pPr>
    </w:p>
    <w:p w14:paraId="70AE720F" w14:textId="77777777" w:rsidR="00B07EC1" w:rsidRDefault="00B07EC1" w:rsidP="00B07EC1">
      <w:pPr>
        <w:pStyle w:val="NoSpacing"/>
        <w:rPr>
          <w:rFonts w:ascii="Times New Roman" w:hAnsi="Times New Roman"/>
          <w:b/>
          <w:sz w:val="24"/>
          <w:szCs w:val="24"/>
        </w:rPr>
      </w:pPr>
      <w:r w:rsidRPr="00B07EC1">
        <w:rPr>
          <w:rFonts w:ascii="Times New Roman" w:hAnsi="Times New Roman"/>
          <w:b/>
          <w:sz w:val="24"/>
          <w:szCs w:val="24"/>
        </w:rPr>
        <w:t>Legal lesson learned:  Immunity statute protects City from liability</w:t>
      </w:r>
      <w:r w:rsidRPr="00B07EC1">
        <w:rPr>
          <w:rFonts w:ascii="Times New Roman" w:hAnsi="Times New Roman"/>
          <w:b/>
          <w:bCs/>
          <w:sz w:val="24"/>
          <w:szCs w:val="24"/>
        </w:rPr>
        <w:t xml:space="preserve"> in </w:t>
      </w:r>
      <w:proofErr w:type="gramStart"/>
      <w:r w:rsidRPr="00B07EC1">
        <w:rPr>
          <w:rFonts w:ascii="Times New Roman" w:hAnsi="Times New Roman"/>
          <w:b/>
          <w:bCs/>
          <w:sz w:val="24"/>
          <w:szCs w:val="24"/>
        </w:rPr>
        <w:t>emergency situation</w:t>
      </w:r>
      <w:proofErr w:type="gramEnd"/>
      <w:r w:rsidRPr="00B07EC1">
        <w:rPr>
          <w:rFonts w:ascii="Times New Roman" w:hAnsi="Times New Roman"/>
          <w:b/>
          <w:sz w:val="24"/>
          <w:szCs w:val="24"/>
        </w:rPr>
        <w:t xml:space="preserve">, even if ambulance did not activate siren or emergency lights. </w:t>
      </w:r>
    </w:p>
    <w:p w14:paraId="24BE3A4F" w14:textId="77777777" w:rsidR="007963B6" w:rsidRDefault="007963B6" w:rsidP="00B07EC1">
      <w:pPr>
        <w:pStyle w:val="NoSpacing"/>
        <w:rPr>
          <w:rFonts w:ascii="Times New Roman" w:hAnsi="Times New Roman"/>
          <w:b/>
          <w:sz w:val="24"/>
          <w:szCs w:val="24"/>
        </w:rPr>
      </w:pPr>
    </w:p>
    <w:p w14:paraId="2B4D71FD" w14:textId="77777777" w:rsidR="007963B6" w:rsidRDefault="007963B6" w:rsidP="00B07EC1">
      <w:pPr>
        <w:pStyle w:val="NoSpacing"/>
        <w:rPr>
          <w:rFonts w:ascii="Times New Roman" w:hAnsi="Times New Roman"/>
          <w:b/>
          <w:sz w:val="24"/>
          <w:szCs w:val="24"/>
        </w:rPr>
      </w:pPr>
    </w:p>
    <w:p w14:paraId="01374262" w14:textId="1B68F8F8" w:rsidR="007963B6" w:rsidRPr="003B3DED" w:rsidRDefault="003B3DED" w:rsidP="00B07EC1">
      <w:pPr>
        <w:pStyle w:val="NoSpacing"/>
        <w:rPr>
          <w:rFonts w:ascii="Arial Black" w:hAnsi="Arial Black"/>
          <w:b/>
          <w:sz w:val="24"/>
          <w:szCs w:val="24"/>
        </w:rPr>
      </w:pPr>
      <w:r w:rsidRPr="003B3DED">
        <w:rPr>
          <w:rFonts w:ascii="Arial Black" w:hAnsi="Arial Black"/>
          <w:b/>
          <w:sz w:val="24"/>
          <w:szCs w:val="24"/>
        </w:rPr>
        <w:t>5-52</w:t>
      </w:r>
    </w:p>
    <w:p w14:paraId="6F6595A6" w14:textId="77777777" w:rsidR="003B3DED" w:rsidRDefault="003B3DED" w:rsidP="00B07EC1">
      <w:pPr>
        <w:pStyle w:val="NoSpacing"/>
        <w:rPr>
          <w:rFonts w:ascii="Times New Roman" w:hAnsi="Times New Roman"/>
          <w:b/>
          <w:sz w:val="24"/>
          <w:szCs w:val="24"/>
        </w:rPr>
      </w:pPr>
    </w:p>
    <w:p w14:paraId="5FB6D64D" w14:textId="77777777" w:rsidR="007963B6" w:rsidRDefault="007963B6" w:rsidP="007963B6">
      <w:pPr>
        <w:rPr>
          <w:rFonts w:ascii="Arial Black" w:hAnsi="Arial Black"/>
          <w:b/>
          <w:sz w:val="28"/>
          <w:szCs w:val="28"/>
        </w:rPr>
      </w:pPr>
      <w:r>
        <w:rPr>
          <w:rFonts w:ascii="Arial Black" w:hAnsi="Arial Black"/>
          <w:b/>
          <w:sz w:val="28"/>
          <w:szCs w:val="28"/>
        </w:rPr>
        <w:t>CO: AMBUL - ICE - AUTOMATIC CHAIN SYSTEM - IMMUNITY</w:t>
      </w:r>
    </w:p>
    <w:p w14:paraId="04483453" w14:textId="77777777" w:rsidR="007963B6" w:rsidRPr="003B3DED" w:rsidRDefault="007963B6" w:rsidP="007963B6">
      <w:pPr>
        <w:rPr>
          <w:rFonts w:ascii="Times New Roman" w:hAnsi="Times New Roman"/>
          <w:sz w:val="24"/>
          <w:szCs w:val="24"/>
        </w:rPr>
      </w:pPr>
      <w:r w:rsidRPr="003B3DED">
        <w:rPr>
          <w:rFonts w:ascii="Times New Roman" w:hAnsi="Times New Roman"/>
          <w:sz w:val="24"/>
          <w:szCs w:val="24"/>
        </w:rPr>
        <w:t xml:space="preserve">On July 3, 2025, in </w:t>
      </w:r>
      <w:r w:rsidRPr="003B3DED">
        <w:rPr>
          <w:rFonts w:ascii="Times New Roman" w:hAnsi="Times New Roman"/>
          <w:sz w:val="24"/>
          <w:szCs w:val="24"/>
          <w:u w:val="single"/>
        </w:rPr>
        <w:t>Jeffrey Malott v. Town of Palisade Fire Department</w:t>
      </w:r>
      <w:r w:rsidRPr="003B3DED">
        <w:rPr>
          <w:rFonts w:ascii="Times New Roman" w:hAnsi="Times New Roman"/>
          <w:b/>
          <w:sz w:val="24"/>
          <w:szCs w:val="24"/>
        </w:rPr>
        <w:t xml:space="preserve">, </w:t>
      </w:r>
      <w:r w:rsidRPr="003B3DED">
        <w:rPr>
          <w:rFonts w:ascii="Times New Roman" w:hAnsi="Times New Roman"/>
          <w:sz w:val="24"/>
          <w:szCs w:val="24"/>
        </w:rPr>
        <w:t xml:space="preserve">the Colorado Court of Appeals, Division IV. Held (3 to 0) that trial court properly dismissed the lawsuit under emergency response provision of the Colorado Governmental Immunity Act [CCIA]; ambulance driver activated the system, no proof it didn’t deploy.  Early on October 28, 2019, firefighter Corey Massey was driving Ambulance 41 </w:t>
      </w:r>
      <w:proofErr w:type="gramStart"/>
      <w:r w:rsidRPr="003B3DED">
        <w:rPr>
          <w:rFonts w:ascii="Times New Roman" w:hAnsi="Times New Roman"/>
          <w:sz w:val="24"/>
          <w:szCs w:val="24"/>
        </w:rPr>
        <w:t>responding</w:t>
      </w:r>
      <w:proofErr w:type="gramEnd"/>
      <w:r w:rsidRPr="003B3DED">
        <w:rPr>
          <w:rFonts w:ascii="Times New Roman" w:hAnsi="Times New Roman"/>
          <w:sz w:val="24"/>
          <w:szCs w:val="24"/>
        </w:rPr>
        <w:t xml:space="preserve"> red lights and siren, eastbound on I-70, for a roll-over accident.  The weather was poor, and the road conditions were icy. The ambulance was acquired in 2018 with automatic chain system that could deploy chains on the ambulance’s tires to help with traction during adverse weather conditions; the first FD vehicle with this system and Massey had never been trained on its use. He drove on the right shoulder, 5 to 10 mph, to pass stopped traffic; deployed the chain system – didn’t hear or fell anything – and slid into the right side of the Plaintiff’s vehicle.  THE COURT HELD: “Malott contends that the CGIA’s waiver of immunity for operation of a motor vehicle is broad and encompasses vehicle maintenance. Specifically, he asserts that the emergency vehicle exception doesn’t even apply here </w:t>
      </w:r>
      <w:proofErr w:type="gramStart"/>
      <w:r w:rsidRPr="003B3DED">
        <w:rPr>
          <w:rFonts w:ascii="Times New Roman" w:hAnsi="Times New Roman"/>
          <w:sz w:val="24"/>
          <w:szCs w:val="24"/>
        </w:rPr>
        <w:t>because</w:t>
      </w:r>
      <w:proofErr w:type="gramEnd"/>
      <w:r w:rsidRPr="003B3DED">
        <w:rPr>
          <w:rFonts w:ascii="Times New Roman" w:hAnsi="Times New Roman"/>
          <w:sz w:val="24"/>
          <w:szCs w:val="24"/>
        </w:rPr>
        <w:t xml:space="preserve"> the Fire Department’s failure to maintain the automatic chain system occurred before any emergency and, therefore, the Fire Department waived its immunity. We disagree…. The legislature created the emergency vehicle exception to immunize public employees from tort liability in situations requiring an immediate response…. Here, Massey was responding properly and lawfully to precisely the type of </w:t>
      </w:r>
      <w:proofErr w:type="gramStart"/>
      <w:r w:rsidRPr="003B3DED">
        <w:rPr>
          <w:rFonts w:ascii="Times New Roman" w:hAnsi="Times New Roman"/>
          <w:sz w:val="24"/>
          <w:szCs w:val="24"/>
        </w:rPr>
        <w:t>emergency situation</w:t>
      </w:r>
      <w:proofErr w:type="gramEnd"/>
      <w:r w:rsidRPr="003B3DED">
        <w:rPr>
          <w:rFonts w:ascii="Times New Roman" w:hAnsi="Times New Roman"/>
          <w:sz w:val="24"/>
          <w:szCs w:val="24"/>
        </w:rPr>
        <w:t xml:space="preserve"> the legislature envisioned when it created the emergency vehicle exception. The district court found that Massey activated Ambulance 41’s lights and sirens, acted with due regard for Malott’s safety, and did not endanger life or property, and that there was no evidence indicating that he was careless when responding to the rollover accident. Massey’s response fits squarely within the CGIA’s requirement that the operator of an emergency vehicle respond to an emergency with the vehicle’s lights and sirens on…. We,  therefore, conclude that because Massey operated Ambulance 41 properly and lawfully while responding to the emergency rollover accident, the emergency vehicle exception applies, and the Fire Department is immune under the CGIA. The district court properly dismissed Malott’s case under C.R.C.P. 12(b)(1).”  </w:t>
      </w:r>
      <w:hyperlink r:id="rId955" w:history="1">
        <w:r w:rsidRPr="003B3DED">
          <w:rPr>
            <w:rStyle w:val="Hyperlink"/>
            <w:rFonts w:ascii="Times New Roman" w:hAnsi="Times New Roman"/>
            <w:sz w:val="24"/>
            <w:szCs w:val="24"/>
          </w:rPr>
          <w:t>https://cases.justia.com/colorado/court-of-appeals/2025-24ca1544.pdf?ts=1751643339</w:t>
        </w:r>
      </w:hyperlink>
      <w:r w:rsidRPr="003B3DED">
        <w:rPr>
          <w:rFonts w:ascii="Times New Roman" w:hAnsi="Times New Roman"/>
          <w:sz w:val="24"/>
          <w:szCs w:val="24"/>
        </w:rPr>
        <w:t xml:space="preserve"> </w:t>
      </w:r>
    </w:p>
    <w:p w14:paraId="157AD64E" w14:textId="77777777" w:rsidR="003B3DED" w:rsidRPr="003B3DED" w:rsidRDefault="003B3DED" w:rsidP="003B3DED">
      <w:pPr>
        <w:pStyle w:val="NoSpacing"/>
        <w:rPr>
          <w:rFonts w:ascii="Times New Roman" w:hAnsi="Times New Roman"/>
          <w:b/>
          <w:bCs/>
          <w:sz w:val="24"/>
          <w:szCs w:val="24"/>
        </w:rPr>
      </w:pPr>
      <w:r w:rsidRPr="003B3DED">
        <w:rPr>
          <w:rFonts w:ascii="Times New Roman" w:hAnsi="Times New Roman"/>
          <w:b/>
          <w:sz w:val="24"/>
          <w:szCs w:val="24"/>
        </w:rPr>
        <w:t xml:space="preserve">Legal lesson learned:  When acquiring an emergency apparatus with an automatic chain system, train your personnel in its operation and establish a documented maintenance program. </w:t>
      </w:r>
    </w:p>
    <w:p w14:paraId="01A98743" w14:textId="77777777" w:rsidR="007963B6" w:rsidRPr="003B3DED" w:rsidRDefault="007963B6" w:rsidP="00B07EC1">
      <w:pPr>
        <w:pStyle w:val="NoSpacing"/>
        <w:rPr>
          <w:rFonts w:ascii="Times New Roman" w:hAnsi="Times New Roman"/>
          <w:b/>
          <w:bCs/>
          <w:sz w:val="24"/>
          <w:szCs w:val="24"/>
        </w:rPr>
      </w:pPr>
    </w:p>
    <w:p w14:paraId="5CB876FB" w14:textId="77777777" w:rsidR="000C62A1" w:rsidRPr="003B3DED" w:rsidRDefault="000C62A1" w:rsidP="00EF1133">
      <w:pPr>
        <w:rPr>
          <w:rFonts w:ascii="Times New Roman" w:hAnsi="Times New Roman"/>
          <w:b/>
          <w:sz w:val="24"/>
          <w:szCs w:val="24"/>
        </w:rPr>
      </w:pPr>
    </w:p>
    <w:p w14:paraId="78313300" w14:textId="77777777" w:rsidR="000C62A1" w:rsidRDefault="000C62A1" w:rsidP="00EF1133">
      <w:pPr>
        <w:rPr>
          <w:rFonts w:ascii="Arial Black" w:hAnsi="Arial Black"/>
          <w:b/>
          <w:sz w:val="24"/>
          <w:szCs w:val="24"/>
        </w:rPr>
      </w:pPr>
    </w:p>
    <w:p w14:paraId="4EC6D80A" w14:textId="57D096AC" w:rsidR="005758F6" w:rsidRDefault="00AE1943" w:rsidP="00EF1133">
      <w:pPr>
        <w:rPr>
          <w:rFonts w:ascii="Arial Black" w:hAnsi="Arial Black"/>
          <w:b/>
          <w:sz w:val="24"/>
          <w:szCs w:val="24"/>
        </w:rPr>
      </w:pPr>
      <w:r>
        <w:rPr>
          <w:rFonts w:ascii="Arial Black" w:hAnsi="Arial Black"/>
          <w:b/>
          <w:sz w:val="24"/>
          <w:szCs w:val="24"/>
        </w:rPr>
        <w:t>5-51</w:t>
      </w:r>
    </w:p>
    <w:p w14:paraId="1A40C989" w14:textId="77777777" w:rsidR="00BD4E9A" w:rsidRDefault="00BD4E9A" w:rsidP="00BD4E9A">
      <w:pPr>
        <w:pStyle w:val="NoSpacing"/>
        <w:rPr>
          <w:rFonts w:ascii="Arial Black" w:hAnsi="Arial Black"/>
          <w:sz w:val="28"/>
          <w:szCs w:val="28"/>
        </w:rPr>
      </w:pPr>
      <w:r>
        <w:rPr>
          <w:rFonts w:ascii="Arial Black" w:hAnsi="Arial Black"/>
          <w:sz w:val="28"/>
          <w:szCs w:val="28"/>
        </w:rPr>
        <w:lastRenderedPageBreak/>
        <w:t>TX: AMBULANCE – TRAFFIC / LEFT SHOULDER  - IMMUNITY</w:t>
      </w:r>
    </w:p>
    <w:p w14:paraId="51EA8BFB" w14:textId="77777777" w:rsidR="00BD4E9A" w:rsidRPr="00BD4E9A" w:rsidRDefault="00BD4E9A" w:rsidP="00BD4E9A">
      <w:pPr>
        <w:rPr>
          <w:rFonts w:ascii="Times New Roman" w:hAnsi="Times New Roman"/>
          <w:bCs/>
          <w:sz w:val="24"/>
          <w:szCs w:val="24"/>
        </w:rPr>
      </w:pPr>
      <w:r w:rsidRPr="00BD4E9A">
        <w:rPr>
          <w:rFonts w:ascii="Times New Roman" w:hAnsi="Times New Roman"/>
          <w:sz w:val="24"/>
          <w:szCs w:val="24"/>
        </w:rPr>
        <w:t xml:space="preserve">On April 24, 2025, in </w:t>
      </w:r>
      <w:r w:rsidRPr="00BD4E9A">
        <w:rPr>
          <w:rFonts w:ascii="Times New Roman" w:hAnsi="Times New Roman"/>
          <w:sz w:val="24"/>
          <w:szCs w:val="24"/>
          <w:u w:val="single"/>
        </w:rPr>
        <w:t xml:space="preserve">City of Houston v. </w:t>
      </w:r>
      <w:proofErr w:type="spellStart"/>
      <w:r w:rsidRPr="00BD4E9A">
        <w:rPr>
          <w:rFonts w:ascii="Times New Roman" w:hAnsi="Times New Roman"/>
          <w:sz w:val="24"/>
          <w:szCs w:val="24"/>
          <w:u w:val="single"/>
        </w:rPr>
        <w:t>Sokmen</w:t>
      </w:r>
      <w:proofErr w:type="spellEnd"/>
      <w:r w:rsidRPr="00BD4E9A">
        <w:rPr>
          <w:rFonts w:ascii="Times New Roman" w:hAnsi="Times New Roman"/>
          <w:sz w:val="24"/>
          <w:szCs w:val="24"/>
          <w:u w:val="single"/>
        </w:rPr>
        <w:t xml:space="preserve"> </w:t>
      </w:r>
      <w:proofErr w:type="spellStart"/>
      <w:r w:rsidRPr="00BD4E9A">
        <w:rPr>
          <w:rFonts w:ascii="Times New Roman" w:hAnsi="Times New Roman"/>
          <w:sz w:val="24"/>
          <w:szCs w:val="24"/>
          <w:u w:val="single"/>
        </w:rPr>
        <w:t>Chour</w:t>
      </w:r>
      <w:r w:rsidRPr="00BD4E9A">
        <w:rPr>
          <w:rFonts w:ascii="Times New Roman" w:hAnsi="Times New Roman"/>
          <w:sz w:val="24"/>
          <w:szCs w:val="24"/>
        </w:rPr>
        <w:t>ng</w:t>
      </w:r>
      <w:proofErr w:type="spellEnd"/>
      <w:r w:rsidRPr="00BD4E9A">
        <w:rPr>
          <w:rFonts w:ascii="Times New Roman" w:hAnsi="Times New Roman"/>
          <w:sz w:val="24"/>
          <w:szCs w:val="24"/>
        </w:rPr>
        <w:t xml:space="preserve">, the Court of Appeals of Texas, Fourteenth District held (3 to 0) that trial court improperly denied the City’s motion to dismiss that case.  The ambulance was transporting a stabbing victim, with red lights and siren, and because of heavy traffic moved to </w:t>
      </w:r>
      <w:proofErr w:type="gramStart"/>
      <w:r w:rsidRPr="00BD4E9A">
        <w:rPr>
          <w:rFonts w:ascii="Times New Roman" w:hAnsi="Times New Roman"/>
          <w:sz w:val="24"/>
          <w:szCs w:val="24"/>
        </w:rPr>
        <w:t>far left</w:t>
      </w:r>
      <w:proofErr w:type="gramEnd"/>
      <w:r w:rsidRPr="00BD4E9A">
        <w:rPr>
          <w:rFonts w:ascii="Times New Roman" w:hAnsi="Times New Roman"/>
          <w:sz w:val="24"/>
          <w:szCs w:val="24"/>
        </w:rPr>
        <w:t xml:space="preserve"> shoulder.  A police officer following the ambulance to the hospital observed plaintiff’s vehicle move from left lane into the shoulder area, colliding with the ambulance.  </w:t>
      </w:r>
      <w:hyperlink r:id="rId956" w:history="1">
        <w:r w:rsidRPr="00BD4E9A">
          <w:rPr>
            <w:rStyle w:val="Hyperlink"/>
            <w:rFonts w:ascii="Times New Roman" w:hAnsi="Times New Roman"/>
            <w:sz w:val="24"/>
            <w:szCs w:val="24"/>
          </w:rPr>
          <w:t>https://cases.justia.com/texas/fourteenth-court-of-appeals/2025-14-24-00251-cv.pdf?ts=1745499568</w:t>
        </w:r>
      </w:hyperlink>
      <w:r w:rsidRPr="00BD4E9A">
        <w:rPr>
          <w:rFonts w:ascii="Times New Roman" w:hAnsi="Times New Roman"/>
          <w:sz w:val="24"/>
          <w:szCs w:val="24"/>
        </w:rPr>
        <w:t xml:space="preserve"> </w:t>
      </w:r>
    </w:p>
    <w:p w14:paraId="209BF353" w14:textId="77777777" w:rsidR="00CB79E4" w:rsidRPr="00CB79E4" w:rsidRDefault="00CB79E4" w:rsidP="00CB79E4">
      <w:pPr>
        <w:pStyle w:val="NoSpacing"/>
        <w:rPr>
          <w:rFonts w:ascii="Times New Roman" w:hAnsi="Times New Roman"/>
          <w:b/>
          <w:bCs/>
          <w:sz w:val="24"/>
          <w:szCs w:val="24"/>
        </w:rPr>
      </w:pPr>
      <w:r w:rsidRPr="00CB79E4">
        <w:rPr>
          <w:rFonts w:ascii="Times New Roman" w:hAnsi="Times New Roman"/>
          <w:b/>
          <w:sz w:val="24"/>
          <w:szCs w:val="24"/>
        </w:rPr>
        <w:t xml:space="preserve">Legal Lesson Learned: Passing traffic on the left shoulder requires great care. </w:t>
      </w:r>
    </w:p>
    <w:p w14:paraId="19D28B26" w14:textId="77777777" w:rsidR="00CB79E4" w:rsidRDefault="00CB79E4" w:rsidP="00CB79E4">
      <w:pPr>
        <w:pStyle w:val="NoSpacing"/>
      </w:pPr>
    </w:p>
    <w:p w14:paraId="4285519A" w14:textId="77777777" w:rsidR="00AE1943" w:rsidRDefault="00AE1943" w:rsidP="00EF1133">
      <w:pPr>
        <w:rPr>
          <w:rFonts w:ascii="Arial Black" w:hAnsi="Arial Black"/>
          <w:b/>
          <w:sz w:val="24"/>
          <w:szCs w:val="24"/>
        </w:rPr>
      </w:pPr>
    </w:p>
    <w:p w14:paraId="62592726" w14:textId="4997C52F" w:rsidR="005758F6" w:rsidRDefault="005758F6" w:rsidP="00EF1133">
      <w:pPr>
        <w:rPr>
          <w:rFonts w:ascii="Arial Black" w:hAnsi="Arial Black"/>
          <w:b/>
          <w:sz w:val="24"/>
          <w:szCs w:val="24"/>
        </w:rPr>
      </w:pPr>
      <w:r>
        <w:rPr>
          <w:rFonts w:ascii="Arial Black" w:hAnsi="Arial Black"/>
          <w:b/>
          <w:sz w:val="24"/>
          <w:szCs w:val="24"/>
        </w:rPr>
        <w:t>5-50</w:t>
      </w:r>
    </w:p>
    <w:p w14:paraId="65BC6691" w14:textId="4A21B8D8" w:rsidR="00733BB2" w:rsidRPr="00486E8E" w:rsidRDefault="00733BB2" w:rsidP="00733BB2">
      <w:pPr>
        <w:rPr>
          <w:rFonts w:ascii="Arial Black" w:hAnsi="Arial Black"/>
          <w:bCs/>
          <w:sz w:val="28"/>
          <w:szCs w:val="28"/>
        </w:rPr>
      </w:pPr>
      <w:r>
        <w:rPr>
          <w:rFonts w:ascii="Arial Black" w:hAnsi="Arial Black"/>
          <w:sz w:val="28"/>
          <w:szCs w:val="28"/>
        </w:rPr>
        <w:t>IL: AMBUL</w:t>
      </w:r>
      <w:r w:rsidR="00C12BB0">
        <w:rPr>
          <w:rFonts w:ascii="Arial Black" w:hAnsi="Arial Black"/>
          <w:sz w:val="28"/>
          <w:szCs w:val="28"/>
        </w:rPr>
        <w:t xml:space="preserve"> - LIGHTS &amp; SIREN – DIDN’T </w:t>
      </w:r>
      <w:r>
        <w:rPr>
          <w:rFonts w:ascii="Arial Black" w:hAnsi="Arial Black"/>
          <w:bCs/>
          <w:sz w:val="28"/>
          <w:szCs w:val="28"/>
        </w:rPr>
        <w:t xml:space="preserve">STOP </w:t>
      </w:r>
      <w:r w:rsidR="00C12BB0">
        <w:rPr>
          <w:rFonts w:ascii="Arial Black" w:hAnsi="Arial Black"/>
          <w:bCs/>
          <w:sz w:val="28"/>
          <w:szCs w:val="28"/>
        </w:rPr>
        <w:t xml:space="preserve">AT </w:t>
      </w:r>
      <w:r>
        <w:rPr>
          <w:rFonts w:ascii="Arial Black" w:hAnsi="Arial Black"/>
          <w:sz w:val="28"/>
          <w:szCs w:val="28"/>
        </w:rPr>
        <w:t>STOP SIGN - IMMUNITY</w:t>
      </w:r>
    </w:p>
    <w:p w14:paraId="33EDCE6A" w14:textId="07B7C00A" w:rsidR="005758F6" w:rsidRPr="00733BB2" w:rsidRDefault="00733BB2" w:rsidP="00733BB2">
      <w:pPr>
        <w:rPr>
          <w:rFonts w:ascii="Times New Roman" w:hAnsi="Times New Roman"/>
          <w:b/>
          <w:sz w:val="24"/>
          <w:szCs w:val="24"/>
        </w:rPr>
      </w:pPr>
      <w:r w:rsidRPr="00733BB2">
        <w:rPr>
          <w:rFonts w:ascii="Times New Roman" w:hAnsi="Times New Roman"/>
          <w:sz w:val="24"/>
          <w:szCs w:val="24"/>
        </w:rPr>
        <w:t xml:space="preserve">On April 22, 2025, in </w:t>
      </w:r>
      <w:r w:rsidRPr="00733BB2">
        <w:rPr>
          <w:rFonts w:ascii="Times New Roman" w:hAnsi="Times New Roman"/>
          <w:sz w:val="24"/>
          <w:szCs w:val="24"/>
          <w:u w:val="single"/>
        </w:rPr>
        <w:t>GinaM. Postula v. Tyler D. Blackwell and City of LaSalle</w:t>
      </w:r>
      <w:r w:rsidRPr="00733BB2">
        <w:rPr>
          <w:rFonts w:ascii="Times New Roman" w:hAnsi="Times New Roman"/>
          <w:sz w:val="24"/>
          <w:szCs w:val="24"/>
        </w:rPr>
        <w:t xml:space="preserve">, the Court of Appeals of Illinois, Third District held (3 to 0) that trial court properly dismissed the lawsuit alleging negligent conduct by the ambulance EMT driver for not stopping at stop sign before entering intersection and striking side of plaintiff’s vehicle, causing personal injury.  The EMT had lights and siren </w:t>
      </w:r>
      <w:proofErr w:type="gramStart"/>
      <w:r w:rsidRPr="00733BB2">
        <w:rPr>
          <w:rFonts w:ascii="Times New Roman" w:hAnsi="Times New Roman"/>
          <w:sz w:val="24"/>
          <w:szCs w:val="24"/>
        </w:rPr>
        <w:t>activated, and</w:t>
      </w:r>
      <w:proofErr w:type="gramEnd"/>
      <w:r w:rsidRPr="00733BB2">
        <w:rPr>
          <w:rFonts w:ascii="Times New Roman" w:hAnsi="Times New Roman"/>
          <w:sz w:val="24"/>
          <w:szCs w:val="24"/>
        </w:rPr>
        <w:t xml:space="preserve"> slowed down before entering the intersection.  Under state law, emergency responders and their public employers have immunity on an emergency run, except for “willful or wanton conduct.”  The case was dismissed without pre-trial discovery, and trial court denied the plaintiff’s request to file an amended complaint alleging willful or wanton conduct, since prior case law has held that failure of emergency responder to stop at stop sign was not willful or wanton misconduct. </w:t>
      </w:r>
      <w:hyperlink r:id="rId957" w:history="1">
        <w:r w:rsidRPr="00733BB2">
          <w:rPr>
            <w:rStyle w:val="Hyperlink"/>
            <w:rFonts w:ascii="Times New Roman" w:hAnsi="Times New Roman"/>
            <w:sz w:val="24"/>
            <w:szCs w:val="24"/>
          </w:rPr>
          <w:t>https://ilcourtsaudio.blob.core.windows.net/antilles-resources/resources/95e9af0e-d4e6-4f14-9f68-6c313ea57cfa/Postula%20v.%20Blackard,%202025%20IL%20App%20(3d)%20240464-U.pdf</w:t>
        </w:r>
      </w:hyperlink>
    </w:p>
    <w:p w14:paraId="41ED5D04" w14:textId="77777777" w:rsidR="00AE1943" w:rsidRPr="00AE1943" w:rsidRDefault="00AE1943" w:rsidP="00AE1943">
      <w:pPr>
        <w:pStyle w:val="NoSpacing"/>
        <w:rPr>
          <w:rFonts w:ascii="Times New Roman" w:hAnsi="Times New Roman"/>
          <w:b/>
          <w:bCs/>
          <w:sz w:val="24"/>
          <w:szCs w:val="24"/>
        </w:rPr>
      </w:pPr>
      <w:r w:rsidRPr="00AE1943">
        <w:rPr>
          <w:rFonts w:ascii="Times New Roman" w:hAnsi="Times New Roman"/>
          <w:b/>
          <w:sz w:val="24"/>
          <w:szCs w:val="24"/>
        </w:rPr>
        <w:t xml:space="preserve">Legal Lesson Learned: </w:t>
      </w:r>
      <w:r w:rsidRPr="00AE1943">
        <w:rPr>
          <w:rFonts w:ascii="Times New Roman" w:hAnsi="Times New Roman"/>
          <w:b/>
          <w:bCs/>
          <w:sz w:val="24"/>
          <w:szCs w:val="24"/>
        </w:rPr>
        <w:t>While not required by law in most states, s</w:t>
      </w:r>
      <w:r w:rsidRPr="00AE1943">
        <w:rPr>
          <w:rFonts w:ascii="Times New Roman" w:hAnsi="Times New Roman"/>
          <w:b/>
          <w:sz w:val="24"/>
          <w:szCs w:val="24"/>
        </w:rPr>
        <w:t xml:space="preserve">ome fire and EMS departments have adopted a “full stop” policy for stop signs and red lights to help avoid personal injuries as occurred in this case. </w:t>
      </w:r>
    </w:p>
    <w:p w14:paraId="590E92E8" w14:textId="77777777" w:rsidR="005758F6" w:rsidRPr="00AE1943" w:rsidRDefault="005758F6" w:rsidP="00EF1133">
      <w:pPr>
        <w:rPr>
          <w:rFonts w:ascii="Times New Roman" w:hAnsi="Times New Roman"/>
          <w:b/>
          <w:sz w:val="24"/>
          <w:szCs w:val="24"/>
        </w:rPr>
      </w:pPr>
    </w:p>
    <w:p w14:paraId="5CE8CC4F" w14:textId="77777777" w:rsidR="00FA7646" w:rsidRDefault="00FA7646" w:rsidP="00EF1133">
      <w:pPr>
        <w:rPr>
          <w:rFonts w:ascii="Arial Black" w:hAnsi="Arial Black"/>
          <w:b/>
          <w:sz w:val="24"/>
          <w:szCs w:val="24"/>
        </w:rPr>
      </w:pPr>
    </w:p>
    <w:p w14:paraId="5EDA0975" w14:textId="113FD657" w:rsidR="002450F2" w:rsidRDefault="002450F2" w:rsidP="00EF1133">
      <w:pPr>
        <w:rPr>
          <w:rFonts w:ascii="Arial Black" w:hAnsi="Arial Black"/>
          <w:b/>
          <w:sz w:val="24"/>
          <w:szCs w:val="24"/>
        </w:rPr>
      </w:pPr>
      <w:r>
        <w:rPr>
          <w:rFonts w:ascii="Arial Black" w:hAnsi="Arial Black"/>
          <w:b/>
          <w:sz w:val="24"/>
          <w:szCs w:val="24"/>
        </w:rPr>
        <w:t>5-</w:t>
      </w:r>
      <w:r w:rsidR="002628DB">
        <w:rPr>
          <w:rFonts w:ascii="Arial Black" w:hAnsi="Arial Black"/>
          <w:b/>
          <w:sz w:val="24"/>
          <w:szCs w:val="24"/>
        </w:rPr>
        <w:t>49</w:t>
      </w:r>
    </w:p>
    <w:p w14:paraId="42588A92" w14:textId="77777777" w:rsidR="00583C7D" w:rsidRPr="0039171C" w:rsidRDefault="00583C7D" w:rsidP="00583C7D">
      <w:pPr>
        <w:rPr>
          <w:rFonts w:ascii="Arial Black" w:hAnsi="Arial Black"/>
          <w:b/>
          <w:sz w:val="28"/>
          <w:szCs w:val="28"/>
        </w:rPr>
      </w:pPr>
      <w:r>
        <w:rPr>
          <w:rFonts w:ascii="Arial Black" w:hAnsi="Arial Black"/>
          <w:b/>
          <w:sz w:val="28"/>
          <w:szCs w:val="28"/>
        </w:rPr>
        <w:t>NC: MOTORCYCLIST INTO ENGINE - TURNING – IMMUNITY</w:t>
      </w:r>
    </w:p>
    <w:p w14:paraId="59C8CB1E" w14:textId="77777777" w:rsidR="00583C7D" w:rsidRPr="00583C7D" w:rsidRDefault="00583C7D" w:rsidP="00583C7D">
      <w:pPr>
        <w:rPr>
          <w:rFonts w:ascii="Times New Roman" w:hAnsi="Times New Roman"/>
          <w:bCs/>
          <w:sz w:val="24"/>
          <w:szCs w:val="24"/>
        </w:rPr>
      </w:pPr>
      <w:r w:rsidRPr="00583C7D">
        <w:rPr>
          <w:rFonts w:ascii="Times New Roman" w:hAnsi="Times New Roman"/>
          <w:sz w:val="24"/>
          <w:szCs w:val="24"/>
        </w:rPr>
        <w:t xml:space="preserve">On April 16, 2025, in </w:t>
      </w:r>
      <w:r w:rsidRPr="00583C7D">
        <w:rPr>
          <w:rFonts w:ascii="Times New Roman" w:hAnsi="Times New Roman"/>
          <w:sz w:val="24"/>
          <w:szCs w:val="24"/>
          <w:u w:val="single"/>
        </w:rPr>
        <w:t>Robert Dustin Smith v. Teresa Lane, City of Raleigh Firefighter and City of Raleigh</w:t>
      </w:r>
      <w:r w:rsidRPr="00583C7D">
        <w:rPr>
          <w:rFonts w:ascii="Times New Roman" w:hAnsi="Times New Roman"/>
          <w:sz w:val="24"/>
          <w:szCs w:val="24"/>
        </w:rPr>
        <w:t xml:space="preserve">, the Court of Appeals of North Carolina held (3 to 0) that trial court judge improperly denied the defense motion to dismiss this lawsuit on basis of governmental immunity.  The immunity was not waived when the City purchased two excess insurance policies for combined total of $10 million.  On October 22, 2022, firefighter Teresa Lane was returning to Fire Station 9, and plaintiff was in right lane.  He claims that Lane moved from right lane to center </w:t>
      </w:r>
      <w:proofErr w:type="gramStart"/>
      <w:r w:rsidRPr="00583C7D">
        <w:rPr>
          <w:rFonts w:ascii="Times New Roman" w:hAnsi="Times New Roman"/>
          <w:sz w:val="24"/>
          <w:szCs w:val="24"/>
        </w:rPr>
        <w:t>lane, but</w:t>
      </w:r>
      <w:proofErr w:type="gramEnd"/>
      <w:r w:rsidRPr="00583C7D">
        <w:rPr>
          <w:rFonts w:ascii="Times New Roman" w:hAnsi="Times New Roman"/>
          <w:sz w:val="24"/>
          <w:szCs w:val="24"/>
        </w:rPr>
        <w:t xml:space="preserve"> went back to right lane pulling int the station without a signal; he crashed into the side of the engine, and sustained serious injuries, including amputation of one leg above the knee. </w:t>
      </w:r>
      <w:hyperlink r:id="rId958" w:history="1">
        <w:r w:rsidRPr="00583C7D">
          <w:rPr>
            <w:rStyle w:val="Hyperlink"/>
            <w:rFonts w:ascii="Times New Roman" w:hAnsi="Times New Roman"/>
            <w:sz w:val="24"/>
            <w:szCs w:val="24"/>
          </w:rPr>
          <w:t>https://cases.justia.com/north-carolina/court-of-appeals/2025-24-790.pdf?ts=1744808209</w:t>
        </w:r>
      </w:hyperlink>
      <w:r w:rsidRPr="00583C7D">
        <w:rPr>
          <w:rFonts w:ascii="Times New Roman" w:hAnsi="Times New Roman"/>
          <w:sz w:val="24"/>
          <w:szCs w:val="24"/>
        </w:rPr>
        <w:t xml:space="preserve"> </w:t>
      </w:r>
    </w:p>
    <w:p w14:paraId="503A1096" w14:textId="77777777" w:rsidR="00EE5744" w:rsidRPr="00EE5744" w:rsidRDefault="00EE5744" w:rsidP="00EE5744">
      <w:pPr>
        <w:pStyle w:val="NoSpacing"/>
        <w:rPr>
          <w:rFonts w:ascii="Times New Roman" w:hAnsi="Times New Roman"/>
          <w:b/>
          <w:sz w:val="24"/>
          <w:szCs w:val="24"/>
        </w:rPr>
      </w:pPr>
      <w:r w:rsidRPr="00EE5744">
        <w:rPr>
          <w:rFonts w:ascii="Times New Roman" w:hAnsi="Times New Roman"/>
          <w:b/>
          <w:sz w:val="24"/>
          <w:szCs w:val="24"/>
        </w:rPr>
        <w:lastRenderedPageBreak/>
        <w:t xml:space="preserve">Legal Lesson Learned: Governmental immunity continues even if city has purchased  excess insurance policies.   </w:t>
      </w:r>
    </w:p>
    <w:p w14:paraId="5E9B277A" w14:textId="77777777" w:rsidR="00EE5744" w:rsidRDefault="00EE5744" w:rsidP="00EE5744">
      <w:pPr>
        <w:pStyle w:val="NoSpacing"/>
      </w:pPr>
    </w:p>
    <w:p w14:paraId="2400C48D" w14:textId="77777777" w:rsidR="002450F2" w:rsidRDefault="002450F2" w:rsidP="00EF1133">
      <w:pPr>
        <w:rPr>
          <w:rFonts w:ascii="Arial Black" w:hAnsi="Arial Black"/>
          <w:b/>
          <w:sz w:val="24"/>
          <w:szCs w:val="24"/>
        </w:rPr>
      </w:pPr>
    </w:p>
    <w:p w14:paraId="0F1164BD" w14:textId="6DA9BE91" w:rsidR="00AB3819" w:rsidRDefault="00AB3819" w:rsidP="00EF1133">
      <w:pPr>
        <w:rPr>
          <w:rFonts w:ascii="Arial Black" w:hAnsi="Arial Black"/>
          <w:b/>
          <w:sz w:val="24"/>
          <w:szCs w:val="24"/>
        </w:rPr>
      </w:pPr>
      <w:r>
        <w:rPr>
          <w:rFonts w:ascii="Arial Black" w:hAnsi="Arial Black"/>
          <w:b/>
          <w:sz w:val="24"/>
          <w:szCs w:val="24"/>
        </w:rPr>
        <w:t>5-48</w:t>
      </w:r>
    </w:p>
    <w:p w14:paraId="16CD5A42" w14:textId="77777777" w:rsidR="00AB3819" w:rsidRPr="000D3550" w:rsidRDefault="00AB3819" w:rsidP="00AB3819">
      <w:pPr>
        <w:rPr>
          <w:rFonts w:ascii="Arial Black" w:hAnsi="Arial Black"/>
          <w:bCs/>
          <w:sz w:val="28"/>
          <w:szCs w:val="28"/>
        </w:rPr>
      </w:pPr>
      <w:r>
        <w:rPr>
          <w:rFonts w:ascii="Arial Black" w:hAnsi="Arial Black"/>
          <w:sz w:val="28"/>
          <w:szCs w:val="28"/>
        </w:rPr>
        <w:t>OH: “HONOR RIDE” – CIVILIAN FALLS OUT ENGINE - DIED</w:t>
      </w:r>
    </w:p>
    <w:p w14:paraId="5F0C421C" w14:textId="77777777" w:rsidR="00AB3819" w:rsidRPr="00AB3819" w:rsidRDefault="00AB3819" w:rsidP="00AB3819">
      <w:pPr>
        <w:pStyle w:val="NoSpacing"/>
        <w:rPr>
          <w:rFonts w:ascii="Times New Roman" w:hAnsi="Times New Roman"/>
          <w:bCs/>
          <w:sz w:val="24"/>
          <w:szCs w:val="24"/>
        </w:rPr>
      </w:pPr>
      <w:r w:rsidRPr="00AB3819">
        <w:rPr>
          <w:rFonts w:ascii="Times New Roman" w:hAnsi="Times New Roman"/>
          <w:sz w:val="24"/>
          <w:szCs w:val="24"/>
        </w:rPr>
        <w:t xml:space="preserve">On Jan. 23, 2025, in </w:t>
      </w:r>
      <w:r w:rsidRPr="00AB3819">
        <w:rPr>
          <w:rFonts w:ascii="Times New Roman" w:hAnsi="Times New Roman"/>
          <w:sz w:val="24"/>
          <w:szCs w:val="24"/>
          <w:u w:val="single"/>
        </w:rPr>
        <w:t xml:space="preserve">Amanda Luke, Administrator of the Estate of Marguerite Appel v. Short Creek Joint Fire </w:t>
      </w:r>
      <w:proofErr w:type="spellStart"/>
      <w:r w:rsidRPr="00AB3819">
        <w:rPr>
          <w:rFonts w:ascii="Times New Roman" w:hAnsi="Times New Roman"/>
          <w:sz w:val="24"/>
          <w:szCs w:val="24"/>
          <w:u w:val="single"/>
        </w:rPr>
        <w:t>District,et</w:t>
      </w:r>
      <w:proofErr w:type="spellEnd"/>
      <w:r w:rsidRPr="00AB3819">
        <w:rPr>
          <w:rFonts w:ascii="Times New Roman" w:hAnsi="Times New Roman"/>
          <w:sz w:val="24"/>
          <w:szCs w:val="24"/>
          <w:u w:val="single"/>
        </w:rPr>
        <w:t xml:space="preserve"> al</w:t>
      </w:r>
      <w:r w:rsidRPr="00AB3819">
        <w:rPr>
          <w:rFonts w:ascii="Times New Roman" w:hAnsi="Times New Roman"/>
          <w:sz w:val="24"/>
          <w:szCs w:val="24"/>
        </w:rPr>
        <w:t xml:space="preserve">., the Court of Appeals of Ohio, Seventh District (Jefferson County) held (2 to 1) that trial court should have dismissed the firefighters, the Fire District and the political subdivisions served by the joint Fire District in the death of civilian who fell out of rear of engine during honor ride of her step-brother (former Fire Chief).   The deceased voluntarily rode in crowded back seat of the engine without a seat belt and encouraged more passengers to enter and take the empty seat. A man crying at the scene who had been in the fire truck told the Deputy Fire Chief that Ms. Appel was standing holding the door and she grabbed the wrong handle. There was no proof of negligence in operating the engine (15-25 mph), and the driver and other firefighters who allowed crowded engine were not “reckless.” </w:t>
      </w:r>
      <w:hyperlink r:id="rId959" w:history="1">
        <w:r w:rsidRPr="00AB3819">
          <w:rPr>
            <w:rStyle w:val="Hyperlink"/>
            <w:rFonts w:ascii="Times New Roman" w:hAnsi="Times New Roman"/>
            <w:sz w:val="24"/>
            <w:szCs w:val="24"/>
          </w:rPr>
          <w:t>https://www.supremecourt.ohio.gov/rod/docs/pdf/7/2025/2025-Ohio-203.pdf</w:t>
        </w:r>
      </w:hyperlink>
      <w:r w:rsidRPr="00AB3819">
        <w:rPr>
          <w:rFonts w:ascii="Times New Roman" w:hAnsi="Times New Roman"/>
          <w:sz w:val="24"/>
          <w:szCs w:val="24"/>
        </w:rPr>
        <w:t xml:space="preserve"> </w:t>
      </w:r>
    </w:p>
    <w:p w14:paraId="7451057C" w14:textId="77777777" w:rsidR="00AB3819" w:rsidRPr="00AB3819" w:rsidRDefault="00AB3819" w:rsidP="00AB3819">
      <w:pPr>
        <w:rPr>
          <w:rFonts w:ascii="Times New Roman" w:hAnsi="Times New Roman"/>
          <w:bCs/>
          <w:sz w:val="24"/>
          <w:szCs w:val="24"/>
        </w:rPr>
      </w:pPr>
    </w:p>
    <w:p w14:paraId="634C53AA" w14:textId="77777777" w:rsidR="00AB3819" w:rsidRPr="00AB3819" w:rsidRDefault="00AB3819" w:rsidP="00AB3819">
      <w:pPr>
        <w:rPr>
          <w:rFonts w:ascii="Times New Roman" w:hAnsi="Times New Roman"/>
          <w:bCs/>
          <w:sz w:val="24"/>
          <w:szCs w:val="24"/>
        </w:rPr>
      </w:pPr>
      <w:r w:rsidRPr="00AB3819">
        <w:rPr>
          <w:rFonts w:ascii="Times New Roman" w:hAnsi="Times New Roman"/>
          <w:sz w:val="24"/>
          <w:szCs w:val="24"/>
        </w:rPr>
        <w:t>The Court wrote:</w:t>
      </w:r>
    </w:p>
    <w:p w14:paraId="02329713" w14:textId="77777777" w:rsidR="00AB3819" w:rsidRPr="00AB3819" w:rsidRDefault="00AB3819" w:rsidP="00AB3819">
      <w:pPr>
        <w:pStyle w:val="NoSpacing"/>
        <w:ind w:left="720"/>
        <w:rPr>
          <w:rFonts w:ascii="Times New Roman" w:hAnsi="Times New Roman"/>
          <w:bCs/>
          <w:sz w:val="24"/>
          <w:szCs w:val="24"/>
        </w:rPr>
      </w:pPr>
      <w:r w:rsidRPr="00AB3819">
        <w:rPr>
          <w:rFonts w:ascii="Times New Roman" w:hAnsi="Times New Roman"/>
          <w:sz w:val="24"/>
          <w:szCs w:val="24"/>
        </w:rPr>
        <w:t xml:space="preserve">“Defendants-Appellants Short Creek Joint Fire District and two employees appeal the decision of the Jefferson County Common Pleas Court denying their motion for summary judgment. They claimed immunity in the lawsuit filed by Appellee Amanda Luke, individually and as administrator of the Estate of Marguerite Appel (the decedent)…. The political subdivision [which is served by the Fire District] argues there was no evidence of negligence as required for the immunity exceptions involving the operation of a motor vehicle or the performance of a proprietary function, arguing there was no breach of </w:t>
      </w:r>
      <w:proofErr w:type="gramStart"/>
      <w:r w:rsidRPr="00AB3819">
        <w:rPr>
          <w:rFonts w:ascii="Times New Roman" w:hAnsi="Times New Roman"/>
          <w:sz w:val="24"/>
          <w:szCs w:val="24"/>
        </w:rPr>
        <w:t>a duty</w:t>
      </w:r>
      <w:proofErr w:type="gramEnd"/>
      <w:r w:rsidRPr="00AB3819">
        <w:rPr>
          <w:rFonts w:ascii="Times New Roman" w:hAnsi="Times New Roman"/>
          <w:sz w:val="24"/>
          <w:szCs w:val="24"/>
        </w:rPr>
        <w:t xml:space="preserve"> that proximately caused the decedent’s injury. In arguing the lack of duty for negligence, the political subdivision emphasizes the primary assumption of the risk doctrine and argues there was no showing of recklessness as required to defeat the doctrine. We agree and find the political subdivision was entitled to summary judgment….The employees contend they are immune because their performance was not reckless as required to invoke the recklessness exception to employee immunity. It is also argued their performance was not manifestly outside the scope of employment, while pointing out this exception was not invoked by Appellee below. We agree and find the employees were entitled to summary judgment.</w:t>
      </w:r>
    </w:p>
    <w:p w14:paraId="69DA601C" w14:textId="77777777" w:rsidR="00AB3819" w:rsidRPr="00AB3819" w:rsidRDefault="00AB3819" w:rsidP="00AB3819">
      <w:pPr>
        <w:pStyle w:val="NoSpacing"/>
        <w:ind w:left="720"/>
        <w:rPr>
          <w:rFonts w:ascii="Times New Roman" w:hAnsi="Times New Roman"/>
          <w:bCs/>
          <w:sz w:val="24"/>
          <w:szCs w:val="24"/>
        </w:rPr>
      </w:pPr>
    </w:p>
    <w:p w14:paraId="79A5F274" w14:textId="77777777" w:rsidR="00AB3819" w:rsidRPr="00AB3819" w:rsidRDefault="00AB3819" w:rsidP="00AB3819">
      <w:pPr>
        <w:pStyle w:val="NoSpacing"/>
        <w:ind w:left="720"/>
        <w:rPr>
          <w:rFonts w:ascii="Times New Roman" w:hAnsi="Times New Roman"/>
          <w:bCs/>
          <w:sz w:val="24"/>
          <w:szCs w:val="24"/>
        </w:rPr>
      </w:pPr>
      <w:r w:rsidRPr="00AB3819">
        <w:rPr>
          <w:rFonts w:ascii="Times New Roman" w:hAnsi="Times New Roman"/>
          <w:sz w:val="24"/>
          <w:szCs w:val="24"/>
        </w:rPr>
        <w:t>***</w:t>
      </w:r>
    </w:p>
    <w:p w14:paraId="6E534CA4" w14:textId="77777777" w:rsidR="00AB3819" w:rsidRPr="00AB3819" w:rsidRDefault="00AB3819" w:rsidP="00AB3819">
      <w:pPr>
        <w:pStyle w:val="NoSpacing"/>
        <w:ind w:left="720"/>
        <w:rPr>
          <w:rFonts w:ascii="Times New Roman" w:hAnsi="Times New Roman"/>
          <w:bCs/>
          <w:sz w:val="24"/>
          <w:szCs w:val="24"/>
        </w:rPr>
      </w:pPr>
    </w:p>
    <w:p w14:paraId="0CB01D34" w14:textId="77777777" w:rsidR="00AB3819" w:rsidRPr="00AB3819" w:rsidRDefault="00AB3819" w:rsidP="00AB3819">
      <w:pPr>
        <w:pStyle w:val="NoSpacing"/>
        <w:ind w:left="720"/>
        <w:rPr>
          <w:rFonts w:ascii="Times New Roman" w:hAnsi="Times New Roman"/>
          <w:bCs/>
          <w:sz w:val="24"/>
          <w:szCs w:val="24"/>
        </w:rPr>
      </w:pPr>
      <w:r w:rsidRPr="00AB3819">
        <w:rPr>
          <w:rFonts w:ascii="Times New Roman" w:hAnsi="Times New Roman"/>
          <w:sz w:val="24"/>
          <w:szCs w:val="24"/>
        </w:rPr>
        <w:t xml:space="preserve">Chief Manbeck noted the department provided civilian rides in the past, such as driving the youth baseball team in a small parade when they won a championship and the softball team for a similar reason; Spiderman also rode in a fire truck for </w:t>
      </w:r>
      <w:proofErr w:type="gramStart"/>
      <w:r w:rsidRPr="00AB3819">
        <w:rPr>
          <w:rFonts w:ascii="Times New Roman" w:hAnsi="Times New Roman"/>
          <w:sz w:val="24"/>
          <w:szCs w:val="24"/>
        </w:rPr>
        <w:t>a Fourth</w:t>
      </w:r>
      <w:proofErr w:type="gramEnd"/>
      <w:r w:rsidRPr="00AB3819">
        <w:rPr>
          <w:rFonts w:ascii="Times New Roman" w:hAnsi="Times New Roman"/>
          <w:sz w:val="24"/>
          <w:szCs w:val="24"/>
        </w:rPr>
        <w:t xml:space="preserve"> of July parade. He was also aware such services were provided by one of the prior fire districts before the merger into a joint district…. He said SCJFD had no specific policy on civilian rides, seat belts, or abiding by recommendations from a named publication….He pointed out state law does not require seat belts for backseat passengers and it is legal to sit on the floor in the back of the truck, regardless of what a manufacturer’s warning label states. </w:t>
      </w:r>
    </w:p>
    <w:p w14:paraId="5B5CFD79" w14:textId="77777777" w:rsidR="00AB3819" w:rsidRPr="00AB3819" w:rsidRDefault="00AB3819" w:rsidP="00AB3819">
      <w:pPr>
        <w:pStyle w:val="NoSpacing"/>
        <w:ind w:left="720"/>
        <w:rPr>
          <w:rFonts w:ascii="Times New Roman" w:hAnsi="Times New Roman"/>
          <w:bCs/>
          <w:sz w:val="24"/>
          <w:szCs w:val="24"/>
        </w:rPr>
      </w:pPr>
    </w:p>
    <w:p w14:paraId="197503E5" w14:textId="77777777" w:rsidR="00AB3819" w:rsidRPr="00AB3819" w:rsidRDefault="00AB3819" w:rsidP="00AB3819">
      <w:pPr>
        <w:pStyle w:val="NoSpacing"/>
        <w:ind w:left="720"/>
        <w:rPr>
          <w:rFonts w:ascii="Times New Roman" w:hAnsi="Times New Roman"/>
          <w:bCs/>
          <w:sz w:val="24"/>
          <w:szCs w:val="24"/>
        </w:rPr>
      </w:pPr>
      <w:r w:rsidRPr="00AB3819">
        <w:rPr>
          <w:rFonts w:ascii="Times New Roman" w:hAnsi="Times New Roman"/>
          <w:sz w:val="24"/>
          <w:szCs w:val="24"/>
        </w:rPr>
        <w:t>***</w:t>
      </w:r>
    </w:p>
    <w:p w14:paraId="3923221D" w14:textId="77777777" w:rsidR="00AB3819" w:rsidRPr="00AB3819" w:rsidRDefault="00AB3819" w:rsidP="00AB3819">
      <w:pPr>
        <w:pStyle w:val="NoSpacing"/>
        <w:ind w:left="720"/>
        <w:rPr>
          <w:rFonts w:ascii="Times New Roman" w:hAnsi="Times New Roman"/>
          <w:bCs/>
          <w:sz w:val="24"/>
          <w:szCs w:val="24"/>
        </w:rPr>
      </w:pPr>
    </w:p>
    <w:p w14:paraId="13E075AD" w14:textId="77777777" w:rsidR="00AB3819" w:rsidRPr="00AB3819" w:rsidRDefault="00AB3819" w:rsidP="00AB3819">
      <w:pPr>
        <w:pStyle w:val="NoSpacing"/>
        <w:ind w:left="720"/>
        <w:rPr>
          <w:rFonts w:ascii="Times New Roman" w:hAnsi="Times New Roman"/>
          <w:bCs/>
          <w:i/>
          <w:iCs/>
          <w:sz w:val="24"/>
          <w:szCs w:val="24"/>
        </w:rPr>
      </w:pPr>
      <w:r w:rsidRPr="00AB3819">
        <w:rPr>
          <w:rFonts w:ascii="Times New Roman" w:hAnsi="Times New Roman"/>
          <w:i/>
          <w:iCs/>
          <w:sz w:val="24"/>
          <w:szCs w:val="24"/>
        </w:rPr>
        <w:lastRenderedPageBreak/>
        <w:t xml:space="preserve">At the very least, these riders assume the risks of normal driving movements incurred </w:t>
      </w:r>
      <w:proofErr w:type="gramStart"/>
      <w:r w:rsidRPr="00AB3819">
        <w:rPr>
          <w:rFonts w:ascii="Times New Roman" w:hAnsi="Times New Roman"/>
          <w:i/>
          <w:iCs/>
          <w:sz w:val="24"/>
          <w:szCs w:val="24"/>
        </w:rPr>
        <w:t>as a result of</w:t>
      </w:r>
      <w:proofErr w:type="gramEnd"/>
      <w:r w:rsidRPr="00AB3819">
        <w:rPr>
          <w:rFonts w:ascii="Times New Roman" w:hAnsi="Times New Roman"/>
          <w:i/>
          <w:iCs/>
          <w:sz w:val="24"/>
          <w:szCs w:val="24"/>
        </w:rPr>
        <w:t xml:space="preserve"> the position they placed themselves, even if they do not assume the risk of abnormal driving movements. [Emphasis in court decision.]</w:t>
      </w:r>
    </w:p>
    <w:p w14:paraId="250F17BC" w14:textId="77777777" w:rsidR="00AB3819" w:rsidRPr="00AB3819" w:rsidRDefault="00AB3819" w:rsidP="00AB3819">
      <w:pPr>
        <w:pStyle w:val="NoSpacing"/>
        <w:ind w:left="720"/>
        <w:rPr>
          <w:rFonts w:ascii="Times New Roman" w:hAnsi="Times New Roman"/>
          <w:bCs/>
          <w:i/>
          <w:iCs/>
          <w:sz w:val="24"/>
          <w:szCs w:val="24"/>
        </w:rPr>
      </w:pPr>
    </w:p>
    <w:p w14:paraId="4F0E4F61" w14:textId="77777777" w:rsidR="00AB3819" w:rsidRPr="00AB3819" w:rsidRDefault="00AB3819" w:rsidP="00AB3819">
      <w:pPr>
        <w:pStyle w:val="NoSpacing"/>
        <w:ind w:left="720"/>
        <w:rPr>
          <w:rFonts w:ascii="Times New Roman" w:hAnsi="Times New Roman"/>
          <w:bCs/>
          <w:sz w:val="24"/>
          <w:szCs w:val="24"/>
        </w:rPr>
      </w:pPr>
      <w:r w:rsidRPr="00AB3819">
        <w:rPr>
          <w:rFonts w:ascii="Times New Roman" w:hAnsi="Times New Roman"/>
          <w:sz w:val="24"/>
          <w:szCs w:val="24"/>
        </w:rPr>
        <w:t>***</w:t>
      </w:r>
    </w:p>
    <w:p w14:paraId="73080C09" w14:textId="77777777" w:rsidR="00AB3819" w:rsidRPr="00AB3819" w:rsidRDefault="00AB3819" w:rsidP="00AB3819">
      <w:pPr>
        <w:pStyle w:val="NoSpacing"/>
        <w:ind w:left="720"/>
        <w:rPr>
          <w:rFonts w:ascii="Times New Roman" w:hAnsi="Times New Roman"/>
          <w:bCs/>
          <w:sz w:val="24"/>
          <w:szCs w:val="24"/>
        </w:rPr>
      </w:pPr>
    </w:p>
    <w:p w14:paraId="16C2A045" w14:textId="77777777" w:rsidR="00AB3819" w:rsidRPr="00AB3819" w:rsidRDefault="00AB3819" w:rsidP="00AB3819">
      <w:pPr>
        <w:pStyle w:val="NoSpacing"/>
        <w:ind w:left="720"/>
        <w:rPr>
          <w:rFonts w:ascii="Times New Roman" w:hAnsi="Times New Roman"/>
          <w:bCs/>
          <w:sz w:val="24"/>
          <w:szCs w:val="24"/>
        </w:rPr>
      </w:pPr>
      <w:r w:rsidRPr="00AB3819">
        <w:rPr>
          <w:rFonts w:ascii="Times New Roman" w:hAnsi="Times New Roman"/>
          <w:sz w:val="24"/>
          <w:szCs w:val="24"/>
        </w:rPr>
        <w:t>We conclude a person voluntarily riding in a crowded fire truck after choosing to occupy the space by the door without a seat or seat belt and then encouraging more passengers to enter instead of taking the empty seat, primarily assumes the specific risk of falling out if they lean on the door as the truck navigates a curve after the door handle is accidentally activated by the plaintiff (or another person).”</w:t>
      </w:r>
    </w:p>
    <w:p w14:paraId="438B393A" w14:textId="77777777" w:rsidR="00AB3819" w:rsidRPr="00AB3819" w:rsidRDefault="00AB3819" w:rsidP="00AB3819">
      <w:pPr>
        <w:pStyle w:val="NoSpacing"/>
        <w:ind w:left="720"/>
        <w:rPr>
          <w:rFonts w:ascii="Times New Roman" w:hAnsi="Times New Roman"/>
          <w:bCs/>
          <w:sz w:val="24"/>
          <w:szCs w:val="24"/>
        </w:rPr>
      </w:pPr>
    </w:p>
    <w:p w14:paraId="4F1F4ED2" w14:textId="77777777" w:rsidR="00AB3819" w:rsidRPr="00AB3819" w:rsidRDefault="00AB3819" w:rsidP="00AB3819">
      <w:pPr>
        <w:pStyle w:val="NoSpacing"/>
        <w:rPr>
          <w:rFonts w:ascii="Times New Roman" w:hAnsi="Times New Roman"/>
          <w:bCs/>
          <w:sz w:val="24"/>
          <w:szCs w:val="24"/>
        </w:rPr>
      </w:pPr>
      <w:r w:rsidRPr="00AB3819">
        <w:rPr>
          <w:rFonts w:ascii="Times New Roman" w:hAnsi="Times New Roman"/>
          <w:sz w:val="24"/>
          <w:szCs w:val="24"/>
        </w:rPr>
        <w:t>Dissent:</w:t>
      </w:r>
    </w:p>
    <w:p w14:paraId="7F1FA594" w14:textId="77777777" w:rsidR="00AB3819" w:rsidRPr="00AB3819" w:rsidRDefault="00AB3819" w:rsidP="00AB3819">
      <w:pPr>
        <w:pStyle w:val="NoSpacing"/>
        <w:rPr>
          <w:rFonts w:ascii="Times New Roman" w:hAnsi="Times New Roman"/>
          <w:bCs/>
          <w:sz w:val="24"/>
          <w:szCs w:val="24"/>
        </w:rPr>
      </w:pPr>
    </w:p>
    <w:p w14:paraId="7C20100E" w14:textId="77777777" w:rsidR="00AB3819" w:rsidRPr="00AB3819" w:rsidRDefault="00AB3819" w:rsidP="00AB3819">
      <w:pPr>
        <w:pStyle w:val="NoSpacing"/>
        <w:ind w:left="720"/>
        <w:rPr>
          <w:rFonts w:ascii="Times New Roman" w:hAnsi="Times New Roman"/>
          <w:bCs/>
          <w:sz w:val="24"/>
          <w:szCs w:val="24"/>
        </w:rPr>
      </w:pPr>
      <w:r w:rsidRPr="00AB3819">
        <w:rPr>
          <w:rFonts w:ascii="Times New Roman" w:hAnsi="Times New Roman"/>
          <w:sz w:val="24"/>
          <w:szCs w:val="24"/>
        </w:rPr>
        <w:t>“I would find that Appellants owed Ms. Appel a general duty of care to ensure her</w:t>
      </w:r>
    </w:p>
    <w:p w14:paraId="7514DB80" w14:textId="77777777" w:rsidR="00AB3819" w:rsidRPr="00AB3819" w:rsidRDefault="00AB3819" w:rsidP="00AB3819">
      <w:pPr>
        <w:pStyle w:val="NoSpacing"/>
        <w:ind w:left="720"/>
        <w:rPr>
          <w:rFonts w:ascii="Times New Roman" w:hAnsi="Times New Roman"/>
          <w:bCs/>
          <w:sz w:val="24"/>
          <w:szCs w:val="24"/>
        </w:rPr>
      </w:pPr>
      <w:r w:rsidRPr="00AB3819">
        <w:rPr>
          <w:rFonts w:ascii="Times New Roman" w:hAnsi="Times New Roman"/>
          <w:sz w:val="24"/>
          <w:szCs w:val="24"/>
        </w:rPr>
        <w:t>safety on the firetruck after John Sebring, a volunteer firefighter, encouraged her to board</w:t>
      </w:r>
    </w:p>
    <w:p w14:paraId="3C35A56D" w14:textId="77777777" w:rsidR="00AB3819" w:rsidRPr="00AB3819" w:rsidRDefault="00AB3819" w:rsidP="00AB3819">
      <w:pPr>
        <w:pStyle w:val="NoSpacing"/>
        <w:ind w:left="720"/>
        <w:rPr>
          <w:rFonts w:ascii="Times New Roman" w:hAnsi="Times New Roman"/>
          <w:bCs/>
          <w:sz w:val="24"/>
          <w:szCs w:val="24"/>
        </w:rPr>
      </w:pPr>
      <w:r w:rsidRPr="00AB3819">
        <w:rPr>
          <w:rFonts w:ascii="Times New Roman" w:hAnsi="Times New Roman"/>
          <w:sz w:val="24"/>
          <w:szCs w:val="24"/>
        </w:rPr>
        <w:t xml:space="preserve">the firetruck after Ms. Appel expressed concern about the overcrowding on the </w:t>
      </w:r>
      <w:proofErr w:type="gramStart"/>
      <w:r w:rsidRPr="00AB3819">
        <w:rPr>
          <w:rFonts w:ascii="Times New Roman" w:hAnsi="Times New Roman"/>
          <w:sz w:val="24"/>
          <w:szCs w:val="24"/>
        </w:rPr>
        <w:t>truck.}</w:t>
      </w:r>
      <w:proofErr w:type="gramEnd"/>
    </w:p>
    <w:p w14:paraId="71181E09" w14:textId="77777777" w:rsidR="00AB3819" w:rsidRPr="00AB3819" w:rsidRDefault="00AB3819" w:rsidP="00AB3819">
      <w:pPr>
        <w:pStyle w:val="NoSpacing"/>
        <w:ind w:left="720"/>
        <w:rPr>
          <w:rFonts w:ascii="Times New Roman" w:hAnsi="Times New Roman"/>
          <w:bCs/>
          <w:sz w:val="24"/>
          <w:szCs w:val="24"/>
        </w:rPr>
      </w:pPr>
    </w:p>
    <w:p w14:paraId="45453E7F" w14:textId="77777777" w:rsidR="00AB3819" w:rsidRPr="00AB3819" w:rsidRDefault="00AB3819" w:rsidP="00AB3819">
      <w:pPr>
        <w:pStyle w:val="NoSpacing"/>
        <w:rPr>
          <w:rFonts w:ascii="Times New Roman" w:hAnsi="Times New Roman"/>
          <w:b/>
          <w:sz w:val="24"/>
          <w:szCs w:val="24"/>
        </w:rPr>
      </w:pPr>
      <w:r w:rsidRPr="00AB3819">
        <w:rPr>
          <w:rFonts w:ascii="Times New Roman" w:hAnsi="Times New Roman"/>
          <w:b/>
          <w:sz w:val="24"/>
          <w:szCs w:val="24"/>
        </w:rPr>
        <w:t xml:space="preserve">Legal Lesson Learned: Tragic event that could have been avoided.  Civilians or firefighters riding in a fire engine should all be using seat belts. </w:t>
      </w:r>
    </w:p>
    <w:p w14:paraId="5C0DC1B6" w14:textId="77777777" w:rsidR="00AB3819" w:rsidRDefault="00AB3819" w:rsidP="00EF1133">
      <w:pPr>
        <w:rPr>
          <w:rFonts w:ascii="Arial Black" w:hAnsi="Arial Black"/>
          <w:b/>
          <w:sz w:val="24"/>
          <w:szCs w:val="24"/>
        </w:rPr>
      </w:pPr>
    </w:p>
    <w:p w14:paraId="59DCA56B" w14:textId="77777777" w:rsidR="00AB3819" w:rsidRDefault="00AB3819" w:rsidP="00EF1133">
      <w:pPr>
        <w:rPr>
          <w:rFonts w:ascii="Arial Black" w:hAnsi="Arial Black"/>
          <w:b/>
          <w:sz w:val="24"/>
          <w:szCs w:val="24"/>
        </w:rPr>
      </w:pPr>
    </w:p>
    <w:p w14:paraId="4CD383B4" w14:textId="77777777" w:rsidR="00AB3819" w:rsidRDefault="00AB3819" w:rsidP="00EF1133">
      <w:pPr>
        <w:rPr>
          <w:rFonts w:ascii="Arial Black" w:hAnsi="Arial Black"/>
          <w:b/>
          <w:sz w:val="24"/>
          <w:szCs w:val="24"/>
        </w:rPr>
      </w:pPr>
    </w:p>
    <w:p w14:paraId="47AD33CA" w14:textId="00C2D0DE" w:rsidR="00DE42DC" w:rsidRDefault="000B228A" w:rsidP="00EF1133">
      <w:pPr>
        <w:rPr>
          <w:rFonts w:ascii="Arial Black" w:hAnsi="Arial Black"/>
          <w:b/>
          <w:sz w:val="24"/>
          <w:szCs w:val="24"/>
        </w:rPr>
      </w:pPr>
      <w:r>
        <w:rPr>
          <w:rFonts w:ascii="Arial Black" w:hAnsi="Arial Black"/>
          <w:b/>
          <w:sz w:val="24"/>
          <w:szCs w:val="24"/>
        </w:rPr>
        <w:t>5-47</w:t>
      </w:r>
    </w:p>
    <w:p w14:paraId="1BFE0B0E" w14:textId="77777777" w:rsidR="00243663" w:rsidRDefault="00243663" w:rsidP="00243663">
      <w:pPr>
        <w:pStyle w:val="NoSpacing"/>
        <w:rPr>
          <w:rFonts w:ascii="Arial Black" w:hAnsi="Arial Black"/>
          <w:b/>
          <w:sz w:val="28"/>
          <w:szCs w:val="28"/>
        </w:rPr>
      </w:pPr>
      <w:r>
        <w:rPr>
          <w:rFonts w:ascii="Arial Black" w:hAnsi="Arial Black"/>
          <w:b/>
          <w:sz w:val="28"/>
          <w:szCs w:val="28"/>
        </w:rPr>
        <w:t xml:space="preserve">CA: MOTORCYCLIST KILLED – COLLISION FIRE ENGINE – PL’S EXPERT - FD CAPTAIN / RELATIVE  - MAY TESTIFY </w:t>
      </w:r>
    </w:p>
    <w:p w14:paraId="7BFAD992" w14:textId="77777777" w:rsidR="00243663" w:rsidRDefault="00243663" w:rsidP="00243663">
      <w:pPr>
        <w:pStyle w:val="NoSpacing"/>
        <w:rPr>
          <w:rFonts w:ascii="Arial Black" w:hAnsi="Arial Black"/>
          <w:b/>
          <w:sz w:val="28"/>
          <w:szCs w:val="28"/>
        </w:rPr>
      </w:pPr>
    </w:p>
    <w:p w14:paraId="6179ACCC" w14:textId="77777777" w:rsidR="00243663" w:rsidRPr="00127BCE" w:rsidRDefault="00243663" w:rsidP="00243663">
      <w:pPr>
        <w:pStyle w:val="NoSpacing"/>
        <w:rPr>
          <w:rFonts w:ascii="Times New Roman" w:hAnsi="Times New Roman"/>
          <w:sz w:val="24"/>
          <w:szCs w:val="24"/>
        </w:rPr>
      </w:pPr>
      <w:r w:rsidRPr="00127BCE">
        <w:rPr>
          <w:rFonts w:ascii="Times New Roman" w:hAnsi="Times New Roman"/>
          <w:sz w:val="24"/>
          <w:szCs w:val="24"/>
        </w:rPr>
        <w:t xml:space="preserve">On Nov. 7, 2024, in </w:t>
      </w:r>
      <w:r w:rsidRPr="00127BCE">
        <w:rPr>
          <w:rFonts w:ascii="Times New Roman" w:hAnsi="Times New Roman"/>
          <w:sz w:val="24"/>
          <w:szCs w:val="24"/>
          <w:u w:val="single"/>
        </w:rPr>
        <w:t>Carol Leigh Kneeshaw v. The Superior Court of Orange County; and City of Orange (Real Party in Interest</w:t>
      </w:r>
      <w:r w:rsidRPr="00127BCE">
        <w:rPr>
          <w:rFonts w:ascii="Times New Roman" w:hAnsi="Times New Roman"/>
          <w:sz w:val="24"/>
          <w:szCs w:val="24"/>
        </w:rPr>
        <w:t xml:space="preserve">), the California Court of Appeal, Fourth District, Division 3, held (3 to 0; unpublished decision) that trial court improperly excluded the Fire Captain as an expert witness for the plaintiff.  The </w:t>
      </w:r>
      <w:proofErr w:type="gramStart"/>
      <w:r w:rsidRPr="00127BCE">
        <w:rPr>
          <w:rFonts w:ascii="Times New Roman" w:hAnsi="Times New Roman"/>
          <w:sz w:val="24"/>
          <w:szCs w:val="24"/>
        </w:rPr>
        <w:t>Captain</w:t>
      </w:r>
      <w:proofErr w:type="gramEnd"/>
      <w:r w:rsidRPr="00127BCE">
        <w:rPr>
          <w:rFonts w:ascii="Times New Roman" w:hAnsi="Times New Roman"/>
          <w:sz w:val="24"/>
          <w:szCs w:val="24"/>
        </w:rPr>
        <w:t xml:space="preserve"> is also brother of the son-in-law of Christian Bardales, petitioner's co-plaintiff.  “There can be no question that Buford's basic credentials are sufficient to qualify him as an expert witness on the capabilities and operation of fire engines. While questions can be raised as to his methodology, the proper remedy is either cross-examination or a limitation on his testimony, not wholesale exclusion. Nor is bias arising from a distant familial relationship an adequate reason to exclude Buford. *** The opinions ultimately offered by Buford were that ‘the fire apparatus is not capable of making [the] maneuver described by the engine crew,’ ‘the fire apparatus is capable of making the maneuver that [certain third party witnesses] described,’ and ‘the fire apparatus is capable of making [the maneuver described by the accident reconstructionist], yet it's outside of standard operating procedures.’” </w:t>
      </w:r>
      <w:hyperlink r:id="rId960" w:history="1">
        <w:r w:rsidRPr="00127BCE">
          <w:rPr>
            <w:rStyle w:val="Hyperlink"/>
            <w:rFonts w:ascii="Times New Roman" w:hAnsi="Times New Roman"/>
            <w:sz w:val="24"/>
            <w:szCs w:val="24"/>
          </w:rPr>
          <w:t>https://casetext.com/case/kneeshaw-v-the-superior-court-of-orange-cnty</w:t>
        </w:r>
      </w:hyperlink>
      <w:r w:rsidRPr="00127BCE">
        <w:rPr>
          <w:rFonts w:ascii="Times New Roman" w:hAnsi="Times New Roman"/>
          <w:sz w:val="24"/>
          <w:szCs w:val="24"/>
        </w:rPr>
        <w:t xml:space="preserve"> </w:t>
      </w:r>
    </w:p>
    <w:p w14:paraId="23655509" w14:textId="77777777" w:rsidR="000B228A" w:rsidRPr="00127BCE" w:rsidRDefault="000B228A" w:rsidP="000B228A">
      <w:pPr>
        <w:pStyle w:val="NoSpacing"/>
        <w:rPr>
          <w:rFonts w:ascii="Times New Roman" w:hAnsi="Times New Roman"/>
          <w:sz w:val="24"/>
          <w:szCs w:val="24"/>
        </w:rPr>
      </w:pPr>
    </w:p>
    <w:p w14:paraId="5AF33DDB" w14:textId="77777777" w:rsidR="00127BCE" w:rsidRPr="00127BCE" w:rsidRDefault="00127BCE" w:rsidP="00127BCE">
      <w:pPr>
        <w:pStyle w:val="NoSpacing"/>
        <w:rPr>
          <w:rFonts w:ascii="Times New Roman" w:hAnsi="Times New Roman"/>
          <w:b/>
          <w:bCs/>
          <w:sz w:val="24"/>
          <w:szCs w:val="24"/>
        </w:rPr>
      </w:pPr>
      <w:r w:rsidRPr="00127BCE">
        <w:rPr>
          <w:rFonts w:ascii="Times New Roman" w:hAnsi="Times New Roman"/>
          <w:b/>
          <w:sz w:val="24"/>
          <w:szCs w:val="24"/>
        </w:rPr>
        <w:t xml:space="preserve">Legal Lesson Learned: A fire captain who is a certified instructor of Type 1 fire engines may testify as an expert witness (and offer his opinions), even if he is a distant relative to the plaintiffs. </w:t>
      </w:r>
    </w:p>
    <w:p w14:paraId="4098F225" w14:textId="77777777" w:rsidR="00127BCE" w:rsidRPr="00127BCE" w:rsidRDefault="00127BCE" w:rsidP="00127BCE">
      <w:pPr>
        <w:pStyle w:val="NoSpacing"/>
        <w:ind w:left="720"/>
        <w:rPr>
          <w:rFonts w:ascii="Times New Roman" w:hAnsi="Times New Roman"/>
          <w:bCs/>
          <w:sz w:val="24"/>
          <w:szCs w:val="24"/>
        </w:rPr>
      </w:pPr>
    </w:p>
    <w:p w14:paraId="468E4B62" w14:textId="77777777" w:rsidR="00127BCE" w:rsidRPr="00127BCE" w:rsidRDefault="00127BCE" w:rsidP="00127BCE">
      <w:pPr>
        <w:pStyle w:val="NoSpacing"/>
        <w:ind w:left="720"/>
        <w:rPr>
          <w:rFonts w:ascii="Times New Roman" w:hAnsi="Times New Roman"/>
          <w:sz w:val="24"/>
          <w:szCs w:val="24"/>
        </w:rPr>
      </w:pPr>
      <w:r w:rsidRPr="00127BCE">
        <w:rPr>
          <w:rFonts w:ascii="Times New Roman" w:hAnsi="Times New Roman"/>
          <w:sz w:val="24"/>
          <w:szCs w:val="24"/>
        </w:rPr>
        <w:t xml:space="preserve">Note: See this article and video; this appears to be the same incident as this case. </w:t>
      </w:r>
    </w:p>
    <w:p w14:paraId="5BEED58D" w14:textId="77777777" w:rsidR="00127BCE" w:rsidRPr="00127BCE" w:rsidRDefault="00127BCE" w:rsidP="00127BCE">
      <w:pPr>
        <w:pStyle w:val="NoSpacing"/>
        <w:ind w:left="720"/>
        <w:rPr>
          <w:rFonts w:ascii="Times New Roman" w:hAnsi="Times New Roman"/>
          <w:bCs/>
          <w:sz w:val="24"/>
          <w:szCs w:val="24"/>
        </w:rPr>
      </w:pPr>
    </w:p>
    <w:p w14:paraId="74837216" w14:textId="77777777" w:rsidR="00127BCE" w:rsidRPr="00127BCE" w:rsidRDefault="00127BCE" w:rsidP="00127BCE">
      <w:pPr>
        <w:pStyle w:val="NoSpacing"/>
        <w:ind w:left="720"/>
        <w:rPr>
          <w:rFonts w:ascii="Times New Roman" w:hAnsi="Times New Roman"/>
          <w:bCs/>
          <w:sz w:val="24"/>
          <w:szCs w:val="24"/>
        </w:rPr>
      </w:pPr>
      <w:r w:rsidRPr="00127BCE">
        <w:rPr>
          <w:rFonts w:ascii="Times New Roman" w:hAnsi="Times New Roman"/>
          <w:sz w:val="24"/>
          <w:szCs w:val="24"/>
        </w:rPr>
        <w:t xml:space="preserve">June 6, 2019: </w:t>
      </w:r>
      <w:r w:rsidRPr="00127BCE">
        <w:rPr>
          <w:rFonts w:ascii="Times New Roman" w:hAnsi="Times New Roman"/>
          <w:bCs/>
          <w:sz w:val="24"/>
          <w:szCs w:val="24"/>
        </w:rPr>
        <w:t>“Orange: Motorcyclist dies after crash with fire truck.” (</w:t>
      </w:r>
      <w:r w:rsidRPr="00127BCE">
        <w:rPr>
          <w:rFonts w:ascii="Times New Roman" w:hAnsi="Times New Roman"/>
          <w:sz w:val="24"/>
          <w:szCs w:val="24"/>
        </w:rPr>
        <w:t xml:space="preserve">KABC) -- A motorcyclist has died and three firefighters have minor injuries following a crash involving a fire truck in the city of Orange </w:t>
      </w:r>
      <w:r w:rsidRPr="00127BCE">
        <w:rPr>
          <w:rFonts w:ascii="Times New Roman" w:hAnsi="Times New Roman"/>
          <w:sz w:val="24"/>
          <w:szCs w:val="24"/>
        </w:rPr>
        <w:lastRenderedPageBreak/>
        <w:t>on Wednesday. According to Orange police, officers responded to the crash at about 4:41 p.m. near E. Collins Avenue and Roberto. The motorcyclist was transported to the hospital with life-threatening injuries and later died. The three firefighters were also transported with non-</w:t>
      </w:r>
      <w:proofErr w:type="gramStart"/>
      <w:r w:rsidRPr="00127BCE">
        <w:rPr>
          <w:rFonts w:ascii="Times New Roman" w:hAnsi="Times New Roman"/>
          <w:sz w:val="24"/>
          <w:szCs w:val="24"/>
        </w:rPr>
        <w:t>life threatening</w:t>
      </w:r>
      <w:proofErr w:type="gramEnd"/>
      <w:r w:rsidRPr="00127BCE">
        <w:rPr>
          <w:rFonts w:ascii="Times New Roman" w:hAnsi="Times New Roman"/>
          <w:sz w:val="24"/>
          <w:szCs w:val="24"/>
        </w:rPr>
        <w:t xml:space="preserve"> injuries, police said. It's unclear whether the fire truck had lights and sirens blaring at the time of the crash.”  </w:t>
      </w:r>
      <w:hyperlink r:id="rId961" w:history="1">
        <w:r w:rsidRPr="00127BCE">
          <w:rPr>
            <w:rStyle w:val="Hyperlink"/>
            <w:rFonts w:ascii="Times New Roman" w:hAnsi="Times New Roman"/>
            <w:sz w:val="24"/>
            <w:szCs w:val="24"/>
          </w:rPr>
          <w:t>https://abc7.com/orange-crash-fire-truck-motorcycle-and/5333918/</w:t>
        </w:r>
      </w:hyperlink>
      <w:r w:rsidRPr="00127BCE">
        <w:rPr>
          <w:rFonts w:ascii="Times New Roman" w:hAnsi="Times New Roman"/>
          <w:sz w:val="24"/>
          <w:szCs w:val="24"/>
        </w:rPr>
        <w:t xml:space="preserve"> </w:t>
      </w:r>
    </w:p>
    <w:p w14:paraId="71BCBD76" w14:textId="77777777" w:rsidR="00127BCE" w:rsidRPr="00127BCE" w:rsidRDefault="00127BCE" w:rsidP="00127BCE">
      <w:pPr>
        <w:pStyle w:val="NoSpacing"/>
        <w:ind w:left="720"/>
        <w:rPr>
          <w:rFonts w:ascii="Times New Roman" w:hAnsi="Times New Roman"/>
          <w:bCs/>
          <w:sz w:val="24"/>
          <w:szCs w:val="24"/>
        </w:rPr>
      </w:pPr>
    </w:p>
    <w:p w14:paraId="70BD414A" w14:textId="77777777" w:rsidR="00127BCE" w:rsidRPr="00127BCE" w:rsidRDefault="00127BCE" w:rsidP="00127BCE">
      <w:pPr>
        <w:pStyle w:val="NoSpacing"/>
        <w:ind w:left="720"/>
        <w:rPr>
          <w:rFonts w:ascii="Times New Roman" w:hAnsi="Times New Roman"/>
          <w:bCs/>
          <w:sz w:val="24"/>
          <w:szCs w:val="24"/>
        </w:rPr>
      </w:pPr>
      <w:r w:rsidRPr="00127BCE">
        <w:rPr>
          <w:rFonts w:ascii="Times New Roman" w:hAnsi="Times New Roman"/>
          <w:sz w:val="24"/>
          <w:szCs w:val="24"/>
        </w:rPr>
        <w:t xml:space="preserve">Video: </w:t>
      </w:r>
      <w:hyperlink r:id="rId962" w:history="1">
        <w:r w:rsidRPr="00127BCE">
          <w:rPr>
            <w:rStyle w:val="Hyperlink"/>
            <w:rFonts w:ascii="Times New Roman" w:hAnsi="Times New Roman"/>
            <w:sz w:val="24"/>
            <w:szCs w:val="24"/>
          </w:rPr>
          <w:t>https://www.youtube.com/watch?v=4rwA-whTxmQ</w:t>
        </w:r>
      </w:hyperlink>
      <w:r w:rsidRPr="00127BCE">
        <w:rPr>
          <w:rFonts w:ascii="Times New Roman" w:hAnsi="Times New Roman"/>
          <w:sz w:val="24"/>
          <w:szCs w:val="24"/>
        </w:rPr>
        <w:t xml:space="preserve"> </w:t>
      </w:r>
    </w:p>
    <w:p w14:paraId="403F642F" w14:textId="77777777" w:rsidR="00127BCE" w:rsidRDefault="00127BCE" w:rsidP="000B228A">
      <w:pPr>
        <w:pStyle w:val="NoSpacing"/>
      </w:pPr>
    </w:p>
    <w:p w14:paraId="4A07D3F4" w14:textId="77777777" w:rsidR="000B228A" w:rsidRDefault="000B228A" w:rsidP="00EF1133">
      <w:pPr>
        <w:rPr>
          <w:rFonts w:ascii="Arial Black" w:hAnsi="Arial Black"/>
          <w:b/>
          <w:sz w:val="24"/>
          <w:szCs w:val="24"/>
        </w:rPr>
      </w:pPr>
    </w:p>
    <w:p w14:paraId="04C68D6F" w14:textId="38F4EF39" w:rsidR="00DE42DC" w:rsidRDefault="00DE42DC" w:rsidP="00EF1133">
      <w:pPr>
        <w:rPr>
          <w:rFonts w:ascii="Arial Black" w:hAnsi="Arial Black"/>
          <w:b/>
          <w:sz w:val="24"/>
          <w:szCs w:val="24"/>
        </w:rPr>
      </w:pPr>
      <w:r>
        <w:rPr>
          <w:rFonts w:ascii="Arial Black" w:hAnsi="Arial Black"/>
          <w:b/>
          <w:sz w:val="24"/>
          <w:szCs w:val="24"/>
        </w:rPr>
        <w:t>5-46</w:t>
      </w:r>
    </w:p>
    <w:p w14:paraId="5385DA40" w14:textId="77777777" w:rsidR="001F2A28" w:rsidRPr="009D30FC" w:rsidRDefault="001F2A28" w:rsidP="001F2A28">
      <w:pPr>
        <w:rPr>
          <w:rFonts w:ascii="Arial Black" w:hAnsi="Arial Black"/>
          <w:b/>
          <w:bCs/>
          <w:sz w:val="28"/>
          <w:szCs w:val="28"/>
        </w:rPr>
      </w:pPr>
      <w:r w:rsidRPr="009D30FC">
        <w:rPr>
          <w:rFonts w:ascii="Arial Black" w:hAnsi="Arial Black"/>
          <w:b/>
          <w:bCs/>
          <w:sz w:val="28"/>
          <w:szCs w:val="28"/>
        </w:rPr>
        <w:t>PA: EMS LICENSE - 1-YR SUSP. REVERSED – 65 MPH / 40 ZONE – LIGHTS / SIREN - MOTORIST PULLED OUT / KILLED</w:t>
      </w:r>
    </w:p>
    <w:p w14:paraId="51E24838" w14:textId="35C84FCC" w:rsidR="001F2A28" w:rsidRPr="001F1BB0" w:rsidRDefault="001F2A28" w:rsidP="001F2A28">
      <w:pPr>
        <w:pStyle w:val="NoSpacing"/>
        <w:rPr>
          <w:rFonts w:ascii="Times New Roman" w:hAnsi="Times New Roman"/>
          <w:sz w:val="24"/>
          <w:szCs w:val="24"/>
        </w:rPr>
      </w:pPr>
      <w:r w:rsidRPr="001F1BB0">
        <w:rPr>
          <w:rFonts w:ascii="Times New Roman" w:hAnsi="Times New Roman"/>
          <w:sz w:val="24"/>
          <w:szCs w:val="24"/>
        </w:rPr>
        <w:t xml:space="preserve">On Oct. 24, </w:t>
      </w:r>
      <w:proofErr w:type="gramStart"/>
      <w:r w:rsidRPr="001F1BB0">
        <w:rPr>
          <w:rFonts w:ascii="Times New Roman" w:hAnsi="Times New Roman"/>
          <w:sz w:val="24"/>
          <w:szCs w:val="24"/>
        </w:rPr>
        <w:t>2024</w:t>
      </w:r>
      <w:proofErr w:type="gramEnd"/>
      <w:r w:rsidRPr="001F1BB0">
        <w:rPr>
          <w:rFonts w:ascii="Times New Roman" w:hAnsi="Times New Roman"/>
          <w:sz w:val="24"/>
          <w:szCs w:val="24"/>
        </w:rPr>
        <w:t xml:space="preserve"> in  </w:t>
      </w:r>
      <w:r w:rsidRPr="001F1BB0">
        <w:rPr>
          <w:rFonts w:ascii="Times New Roman" w:hAnsi="Times New Roman"/>
          <w:sz w:val="24"/>
          <w:szCs w:val="24"/>
          <w:u w:val="single"/>
        </w:rPr>
        <w:t>Steve E. Piotrowski v. Department of Health</w:t>
      </w:r>
      <w:r w:rsidRPr="001F1BB0">
        <w:rPr>
          <w:rFonts w:ascii="Times New Roman" w:hAnsi="Times New Roman"/>
          <w:sz w:val="24"/>
          <w:szCs w:val="24"/>
        </w:rPr>
        <w:t>, the Commonwealth of Pennsylvania held (3 to 0): “Steve E. Piotrowski (Piotrowski) petitions for review of an adjudication of the Department of Health (Health Department) that suspended his license as an</w:t>
      </w:r>
      <w:r w:rsidR="00594E74">
        <w:rPr>
          <w:rFonts w:ascii="Times New Roman" w:hAnsi="Times New Roman"/>
          <w:sz w:val="24"/>
          <w:szCs w:val="24"/>
        </w:rPr>
        <w:t xml:space="preserve"> </w:t>
      </w:r>
      <w:r w:rsidRPr="001F1BB0">
        <w:rPr>
          <w:rFonts w:ascii="Times New Roman" w:hAnsi="Times New Roman"/>
          <w:sz w:val="24"/>
          <w:szCs w:val="24"/>
        </w:rPr>
        <w:t xml:space="preserve">emergency medical services provider for operating an ambulance in a reckless manner. In doing so, the Health Department rejected the proposed adjudication of its hearing officer that Piotrowski’s operation of an ambulance </w:t>
      </w:r>
      <w:proofErr w:type="spellStart"/>
      <w:r w:rsidRPr="001F1BB0">
        <w:rPr>
          <w:rFonts w:ascii="Times New Roman" w:hAnsi="Times New Roman"/>
          <w:sz w:val="24"/>
          <w:szCs w:val="24"/>
        </w:rPr>
        <w:t>en</w:t>
      </w:r>
      <w:proofErr w:type="spellEnd"/>
      <w:r w:rsidRPr="001F1BB0">
        <w:rPr>
          <w:rFonts w:ascii="Times New Roman" w:hAnsi="Times New Roman"/>
          <w:sz w:val="24"/>
          <w:szCs w:val="24"/>
        </w:rPr>
        <w:t xml:space="preserve"> route to an emergency </w:t>
      </w:r>
      <w:proofErr w:type="gramStart"/>
      <w:r w:rsidRPr="001F1BB0">
        <w:rPr>
          <w:rFonts w:ascii="Times New Roman" w:hAnsi="Times New Roman"/>
          <w:sz w:val="24"/>
          <w:szCs w:val="24"/>
        </w:rPr>
        <w:t>in excess of</w:t>
      </w:r>
      <w:proofErr w:type="gramEnd"/>
      <w:r w:rsidRPr="001F1BB0">
        <w:rPr>
          <w:rFonts w:ascii="Times New Roman" w:hAnsi="Times New Roman"/>
          <w:sz w:val="24"/>
          <w:szCs w:val="24"/>
        </w:rPr>
        <w:t xml:space="preserve"> the posted speed limit did not, ipso facto, constitute reckless conduct. On appeal, Piotrowski argues that the Health Department </w:t>
      </w:r>
      <w:proofErr w:type="gramStart"/>
      <w:r w:rsidRPr="001F1BB0">
        <w:rPr>
          <w:rFonts w:ascii="Times New Roman" w:hAnsi="Times New Roman"/>
          <w:sz w:val="24"/>
          <w:szCs w:val="24"/>
        </w:rPr>
        <w:t>erred</w:t>
      </w:r>
      <w:proofErr w:type="gramEnd"/>
      <w:r w:rsidRPr="001F1BB0">
        <w:rPr>
          <w:rFonts w:ascii="Times New Roman" w:hAnsi="Times New Roman"/>
          <w:sz w:val="24"/>
          <w:szCs w:val="24"/>
        </w:rPr>
        <w:t xml:space="preserve"> in its rejection of the hearing officer’s interpretation and application of the term ‘reckless’ is set forth in Section 8121(a)(6) of the Emergency Medical Services System Act (EMS Act), 35 Pa. C.S. §8121(a)(6). After review, we reverse the Health Department’s adjudication.” </w:t>
      </w:r>
      <w:hyperlink r:id="rId963" w:history="1">
        <w:r w:rsidRPr="001F1BB0">
          <w:rPr>
            <w:rStyle w:val="Hyperlink"/>
            <w:rFonts w:ascii="Times New Roman" w:hAnsi="Times New Roman"/>
            <w:sz w:val="24"/>
            <w:szCs w:val="24"/>
          </w:rPr>
          <w:t>https://cases.justia.com/pennsylvania/commonwealth-court/2024-1232-c-d-2023.pdf?ts=1729783758</w:t>
        </w:r>
      </w:hyperlink>
      <w:r w:rsidRPr="001F1BB0">
        <w:rPr>
          <w:rFonts w:ascii="Times New Roman" w:hAnsi="Times New Roman"/>
          <w:sz w:val="24"/>
          <w:szCs w:val="24"/>
        </w:rPr>
        <w:t xml:space="preserve"> </w:t>
      </w:r>
    </w:p>
    <w:p w14:paraId="70F96415" w14:textId="77777777" w:rsidR="001F2A28" w:rsidRPr="001F1BB0" w:rsidRDefault="001F2A28" w:rsidP="001F2A28">
      <w:pPr>
        <w:pStyle w:val="NoSpacing"/>
        <w:rPr>
          <w:rFonts w:ascii="Times New Roman" w:hAnsi="Times New Roman"/>
          <w:sz w:val="24"/>
          <w:szCs w:val="24"/>
        </w:rPr>
      </w:pPr>
    </w:p>
    <w:p w14:paraId="36C9E5A8" w14:textId="77777777" w:rsidR="001F1BB0" w:rsidRPr="001F1BB0" w:rsidRDefault="001F1BB0" w:rsidP="001F1BB0">
      <w:pPr>
        <w:pStyle w:val="NoSpacing"/>
        <w:rPr>
          <w:rFonts w:ascii="Times New Roman" w:hAnsi="Times New Roman"/>
          <w:b/>
          <w:bCs/>
          <w:sz w:val="24"/>
          <w:szCs w:val="24"/>
        </w:rPr>
      </w:pPr>
      <w:r w:rsidRPr="001F1BB0">
        <w:rPr>
          <w:rFonts w:ascii="Times New Roman" w:hAnsi="Times New Roman"/>
          <w:b/>
          <w:sz w:val="24"/>
          <w:szCs w:val="24"/>
        </w:rPr>
        <w:t>Legal Lesson Learned:  Emergency run – 65 in 40 mph zone in rural area is not clearly reckless</w:t>
      </w:r>
      <w:r w:rsidRPr="001F1BB0">
        <w:rPr>
          <w:rFonts w:ascii="Times New Roman" w:hAnsi="Times New Roman"/>
          <w:b/>
          <w:bCs/>
          <w:sz w:val="24"/>
          <w:szCs w:val="24"/>
        </w:rPr>
        <w:t xml:space="preserve">. </w:t>
      </w:r>
    </w:p>
    <w:p w14:paraId="7C62346A" w14:textId="77777777" w:rsidR="00DE42DC" w:rsidRPr="001F1BB0" w:rsidRDefault="00DE42DC" w:rsidP="00EF1133">
      <w:pPr>
        <w:rPr>
          <w:rFonts w:ascii="Times New Roman" w:hAnsi="Times New Roman"/>
          <w:b/>
          <w:sz w:val="24"/>
          <w:szCs w:val="24"/>
        </w:rPr>
      </w:pPr>
    </w:p>
    <w:p w14:paraId="12095560" w14:textId="53C46569" w:rsidR="00DE42DC" w:rsidRDefault="00DE42DC" w:rsidP="00EF1133">
      <w:pPr>
        <w:rPr>
          <w:rFonts w:ascii="Arial Black" w:hAnsi="Arial Black"/>
          <w:b/>
          <w:sz w:val="24"/>
          <w:szCs w:val="24"/>
        </w:rPr>
      </w:pPr>
      <w:r>
        <w:rPr>
          <w:rFonts w:ascii="Arial Black" w:hAnsi="Arial Black"/>
          <w:b/>
          <w:sz w:val="24"/>
          <w:szCs w:val="24"/>
        </w:rPr>
        <w:t>5-45</w:t>
      </w:r>
    </w:p>
    <w:p w14:paraId="2870D18A" w14:textId="77777777" w:rsidR="00AC5D33" w:rsidRPr="009D30FC" w:rsidRDefault="00AC5D33" w:rsidP="00AC5D33">
      <w:pPr>
        <w:rPr>
          <w:rFonts w:ascii="Arial Black" w:hAnsi="Arial Black"/>
          <w:b/>
          <w:bCs/>
          <w:sz w:val="28"/>
          <w:szCs w:val="28"/>
        </w:rPr>
      </w:pPr>
      <w:r w:rsidRPr="009D30FC">
        <w:rPr>
          <w:rFonts w:ascii="Arial Black" w:hAnsi="Arial Black"/>
          <w:b/>
          <w:bCs/>
          <w:sz w:val="28"/>
          <w:szCs w:val="28"/>
        </w:rPr>
        <w:t>MI: AMBULANCE STRUCK BY MOTORIST – PATIENT DIED –EMS MAY BEEN EXCESIVE SPEED – NO IMMUNITY</w:t>
      </w:r>
    </w:p>
    <w:p w14:paraId="6D1572ED" w14:textId="77777777" w:rsidR="00AD7ECA" w:rsidRPr="00883F9B" w:rsidRDefault="00AD7ECA" w:rsidP="00AD7ECA">
      <w:pPr>
        <w:pStyle w:val="NoSpacing"/>
        <w:rPr>
          <w:rFonts w:ascii="Times New Roman" w:hAnsi="Times New Roman"/>
          <w:sz w:val="24"/>
          <w:szCs w:val="24"/>
        </w:rPr>
      </w:pPr>
      <w:r w:rsidRPr="00883F9B">
        <w:rPr>
          <w:rFonts w:ascii="Times New Roman" w:hAnsi="Times New Roman"/>
          <w:sz w:val="24"/>
          <w:szCs w:val="24"/>
        </w:rPr>
        <w:t xml:space="preserve">On Oct. 11, </w:t>
      </w:r>
      <w:proofErr w:type="gramStart"/>
      <w:r w:rsidRPr="00883F9B">
        <w:rPr>
          <w:rFonts w:ascii="Times New Roman" w:hAnsi="Times New Roman"/>
          <w:sz w:val="24"/>
          <w:szCs w:val="24"/>
        </w:rPr>
        <w:t>2024</w:t>
      </w:r>
      <w:proofErr w:type="gramEnd"/>
      <w:r w:rsidRPr="00883F9B">
        <w:rPr>
          <w:rFonts w:ascii="Times New Roman" w:hAnsi="Times New Roman"/>
          <w:sz w:val="24"/>
          <w:szCs w:val="24"/>
        </w:rPr>
        <w:t xml:space="preserve"> in Tia Gentry, personal representative of the estate of </w:t>
      </w:r>
      <w:r w:rsidRPr="00883F9B">
        <w:rPr>
          <w:rFonts w:ascii="Times New Roman" w:hAnsi="Times New Roman"/>
          <w:sz w:val="24"/>
          <w:szCs w:val="24"/>
          <w:u w:val="single"/>
        </w:rPr>
        <w:t>Delana Gentry v. Ryan Baugh; City of Detroit; et al.,</w:t>
      </w:r>
      <w:r w:rsidRPr="00883F9B">
        <w:rPr>
          <w:rFonts w:ascii="Times New Roman" w:hAnsi="Times New Roman"/>
          <w:sz w:val="24"/>
          <w:szCs w:val="24"/>
        </w:rPr>
        <w:t xml:space="preserve"> the Michigan Court of Appeals held (3 to 0): “In sum, as the record currently stands, there are genuine issues of material fact whether [firefighter] Baugh was negligent in his operation of the ambulance. The trial court accordingly did not err by denying defendants’ motion for summary disposition under MCR 2.116(C)(7) on grounds that plaintiff’s claims were barred by governmental immunity.” </w:t>
      </w:r>
      <w:hyperlink r:id="rId964" w:history="1">
        <w:r w:rsidRPr="00883F9B">
          <w:rPr>
            <w:rStyle w:val="Hyperlink"/>
            <w:rFonts w:ascii="Times New Roman" w:hAnsi="Times New Roman"/>
            <w:sz w:val="24"/>
            <w:szCs w:val="24"/>
          </w:rPr>
          <w:t>https://cases.justia.com/michigan/court-of-appeals-unpublished/2024-367862.pdf?ts=1728738006</w:t>
        </w:r>
      </w:hyperlink>
      <w:r w:rsidRPr="00883F9B">
        <w:rPr>
          <w:rFonts w:ascii="Times New Roman" w:hAnsi="Times New Roman"/>
          <w:sz w:val="24"/>
          <w:szCs w:val="24"/>
        </w:rPr>
        <w:t xml:space="preserve"> </w:t>
      </w:r>
    </w:p>
    <w:p w14:paraId="6AE6DC9D" w14:textId="77777777" w:rsidR="00AD7ECA" w:rsidRPr="00883F9B" w:rsidRDefault="00AD7ECA" w:rsidP="00AD7ECA">
      <w:pPr>
        <w:pStyle w:val="NoSpacing"/>
        <w:rPr>
          <w:rFonts w:ascii="Times New Roman" w:hAnsi="Times New Roman"/>
          <w:sz w:val="24"/>
          <w:szCs w:val="24"/>
        </w:rPr>
      </w:pPr>
    </w:p>
    <w:p w14:paraId="3F8ECE6A" w14:textId="77777777" w:rsidR="00883F9B" w:rsidRPr="00883F9B" w:rsidRDefault="00883F9B" w:rsidP="00883F9B">
      <w:pPr>
        <w:pStyle w:val="NoSpacing"/>
        <w:jc w:val="both"/>
        <w:rPr>
          <w:rFonts w:ascii="Times New Roman" w:hAnsi="Times New Roman"/>
          <w:b/>
          <w:bCs/>
          <w:sz w:val="24"/>
          <w:szCs w:val="24"/>
        </w:rPr>
      </w:pPr>
      <w:r w:rsidRPr="00883F9B">
        <w:rPr>
          <w:rFonts w:ascii="Times New Roman" w:hAnsi="Times New Roman"/>
          <w:b/>
          <w:sz w:val="24"/>
          <w:szCs w:val="24"/>
        </w:rPr>
        <w:t xml:space="preserve">Legal Lesson Learned: In deposition, </w:t>
      </w:r>
      <w:r w:rsidRPr="00883F9B">
        <w:rPr>
          <w:rFonts w:ascii="Times New Roman" w:hAnsi="Times New Roman"/>
          <w:b/>
          <w:bCs/>
          <w:sz w:val="24"/>
          <w:szCs w:val="24"/>
        </w:rPr>
        <w:t xml:space="preserve">EMS driver was not clear about speed. </w:t>
      </w:r>
      <w:r w:rsidRPr="00883F9B">
        <w:rPr>
          <w:rFonts w:ascii="Times New Roman" w:hAnsi="Times New Roman"/>
          <w:b/>
          <w:sz w:val="24"/>
          <w:szCs w:val="24"/>
        </w:rPr>
        <w:t xml:space="preserve"> </w:t>
      </w:r>
    </w:p>
    <w:p w14:paraId="71F9617A" w14:textId="77777777" w:rsidR="00DE42DC" w:rsidRPr="00883F9B" w:rsidRDefault="00DE42DC" w:rsidP="00EF1133">
      <w:pPr>
        <w:rPr>
          <w:rFonts w:ascii="Times New Roman" w:hAnsi="Times New Roman"/>
          <w:b/>
          <w:sz w:val="24"/>
          <w:szCs w:val="24"/>
        </w:rPr>
      </w:pPr>
    </w:p>
    <w:p w14:paraId="4084C568" w14:textId="77777777" w:rsidR="001F1BB0" w:rsidRDefault="001F1BB0" w:rsidP="00EF1133">
      <w:pPr>
        <w:rPr>
          <w:rFonts w:ascii="Arial Black" w:hAnsi="Arial Black"/>
          <w:b/>
          <w:sz w:val="24"/>
          <w:szCs w:val="24"/>
        </w:rPr>
      </w:pPr>
    </w:p>
    <w:p w14:paraId="7435CBD4" w14:textId="0B1CFBED" w:rsidR="00FC2C67" w:rsidRDefault="00FC2C67" w:rsidP="00EF1133">
      <w:pPr>
        <w:rPr>
          <w:rFonts w:ascii="Arial Black" w:hAnsi="Arial Black"/>
          <w:b/>
          <w:sz w:val="24"/>
          <w:szCs w:val="24"/>
        </w:rPr>
      </w:pPr>
      <w:r>
        <w:rPr>
          <w:rFonts w:ascii="Arial Black" w:hAnsi="Arial Black"/>
          <w:b/>
          <w:sz w:val="24"/>
          <w:szCs w:val="24"/>
        </w:rPr>
        <w:t>5-44</w:t>
      </w:r>
    </w:p>
    <w:p w14:paraId="632106F1" w14:textId="77777777" w:rsidR="00FC2C67" w:rsidRPr="004407E2" w:rsidRDefault="00FC2C67" w:rsidP="00FC2C67">
      <w:pPr>
        <w:pStyle w:val="NormalWeb"/>
        <w:rPr>
          <w:rFonts w:ascii="Arial Black" w:hAnsi="Arial Black"/>
          <w:b/>
          <w:bCs/>
          <w:color w:val="454545"/>
          <w:sz w:val="28"/>
          <w:szCs w:val="28"/>
          <w:shd w:val="clear" w:color="auto" w:fill="FFFFFF"/>
        </w:rPr>
      </w:pPr>
      <w:r>
        <w:rPr>
          <w:rFonts w:ascii="Arial Black" w:hAnsi="Arial Black"/>
          <w:b/>
          <w:bCs/>
          <w:color w:val="454545"/>
          <w:sz w:val="28"/>
          <w:szCs w:val="28"/>
          <w:shd w:val="clear" w:color="auto" w:fill="FFFFFF"/>
        </w:rPr>
        <w:lastRenderedPageBreak/>
        <w:t>TX: CAPTAIN IN FD VEHICLE – STOPPED FOR GAS / MVA – CITY CAN BE SUED – EXCEPTION “GOING &amp; COMING RULE”</w:t>
      </w:r>
    </w:p>
    <w:p w14:paraId="05143EB8" w14:textId="77777777" w:rsidR="00FC2C67" w:rsidRPr="008F6524" w:rsidRDefault="00FC2C67" w:rsidP="00FC2C67">
      <w:pPr>
        <w:pStyle w:val="NormalWeb"/>
        <w:rPr>
          <w:color w:val="454545"/>
          <w:shd w:val="clear" w:color="auto" w:fill="FFFFFF"/>
        </w:rPr>
      </w:pPr>
      <w:r w:rsidRPr="008F6524">
        <w:rPr>
          <w:color w:val="454545"/>
          <w:shd w:val="clear" w:color="auto" w:fill="FFFFFF"/>
        </w:rPr>
        <w:t xml:space="preserve">On July 16, 2024, in </w:t>
      </w:r>
      <w:r w:rsidRPr="008F6524">
        <w:rPr>
          <w:color w:val="454545"/>
          <w:u w:val="single"/>
          <w:shd w:val="clear" w:color="auto" w:fill="FFFFFF"/>
        </w:rPr>
        <w:t>The City of Houston v. Amber Stoffer</w:t>
      </w:r>
      <w:r w:rsidRPr="008F6524">
        <w:rPr>
          <w:color w:val="454545"/>
          <w:shd w:val="clear" w:color="auto" w:fill="FFFFFF"/>
        </w:rPr>
        <w:t xml:space="preserve">, the Court of Appeals of Texas, First District, held (3 to 0) that trial court properly denied the City’s motion for summary judgment; under the City’s tort claim act it can be sued for damages incurred by employees “acting within the scope of employment.”  </w:t>
      </w:r>
      <w:r w:rsidRPr="008F6524">
        <w:rPr>
          <w:shd w:val="clear" w:color="auto" w:fill="FFFFFF"/>
        </w:rPr>
        <w:t>Under the “coming-and-going rule,” an employee is generally not acting within the scope of her employment when traveling to and from work</w:t>
      </w:r>
      <w:r w:rsidRPr="008F6524">
        <w:rPr>
          <w:color w:val="454545"/>
          <w:shd w:val="clear" w:color="auto" w:fill="FFFFFF"/>
        </w:rPr>
        <w:t xml:space="preserve">. However, since the </w:t>
      </w:r>
      <w:proofErr w:type="gramStart"/>
      <w:r w:rsidRPr="008F6524">
        <w:rPr>
          <w:color w:val="454545"/>
          <w:shd w:val="clear" w:color="auto" w:fill="FFFFFF"/>
        </w:rPr>
        <w:t>Captain</w:t>
      </w:r>
      <w:proofErr w:type="gramEnd"/>
      <w:r w:rsidRPr="008F6524">
        <w:rPr>
          <w:color w:val="454545"/>
          <w:shd w:val="clear" w:color="auto" w:fill="FFFFFF"/>
        </w:rPr>
        <w:t xml:space="preserve"> stopped for gas for FD vehicle, after conducting training at </w:t>
      </w:r>
      <w:proofErr w:type="gramStart"/>
      <w:r w:rsidRPr="008F6524">
        <w:rPr>
          <w:color w:val="454545"/>
          <w:shd w:val="clear" w:color="auto" w:fill="FFFFFF"/>
        </w:rPr>
        <w:t>a FD</w:t>
      </w:r>
      <w:proofErr w:type="gramEnd"/>
      <w:r w:rsidRPr="008F6524">
        <w:rPr>
          <w:color w:val="454545"/>
          <w:shd w:val="clear" w:color="auto" w:fill="FFFFFF"/>
        </w:rPr>
        <w:t xml:space="preserve"> station (the fire station pump was not working), there is a presumption she was acting within scope of her employment and jury can decide that question of fact. </w:t>
      </w:r>
      <w:hyperlink r:id="rId965" w:history="1">
        <w:r w:rsidRPr="008F6524">
          <w:rPr>
            <w:rStyle w:val="Hyperlink"/>
            <w:shd w:val="clear" w:color="auto" w:fill="FFFFFF"/>
          </w:rPr>
          <w:t>https://casetext.com/case/the-city-of-houston-v-stoffer</w:t>
        </w:r>
      </w:hyperlink>
      <w:r w:rsidRPr="008F6524">
        <w:rPr>
          <w:color w:val="454545"/>
          <w:shd w:val="clear" w:color="auto" w:fill="FFFFFF"/>
        </w:rPr>
        <w:t xml:space="preserve"> </w:t>
      </w:r>
    </w:p>
    <w:p w14:paraId="74B6D349" w14:textId="77777777" w:rsidR="00FC2C67" w:rsidRPr="008F6524" w:rsidRDefault="00FC2C67" w:rsidP="00FC2C67">
      <w:pPr>
        <w:pStyle w:val="NormalWeb"/>
        <w:rPr>
          <w:color w:val="454545"/>
          <w:shd w:val="clear" w:color="auto" w:fill="FFFFFF"/>
        </w:rPr>
      </w:pPr>
      <w:r w:rsidRPr="008F6524">
        <w:rPr>
          <w:color w:val="454545"/>
          <w:shd w:val="clear" w:color="auto" w:fill="FFFFFF"/>
        </w:rPr>
        <w:t xml:space="preserve">THE COURT HELD: </w:t>
      </w:r>
    </w:p>
    <w:p w14:paraId="24D48B70" w14:textId="77777777" w:rsidR="00FC2C67" w:rsidRDefault="00FC2C67" w:rsidP="00FC2C67">
      <w:pPr>
        <w:pStyle w:val="NoSpacing"/>
        <w:ind w:left="720"/>
        <w:rPr>
          <w:rFonts w:ascii="Times New Roman" w:hAnsi="Times New Roman"/>
          <w:sz w:val="24"/>
          <w:szCs w:val="24"/>
          <w:shd w:val="clear" w:color="auto" w:fill="FFFFFF"/>
        </w:rPr>
      </w:pPr>
      <w:r>
        <w:rPr>
          <w:rFonts w:ascii="Times New Roman" w:hAnsi="Times New Roman"/>
          <w:sz w:val="24"/>
          <w:szCs w:val="24"/>
          <w:shd w:val="clear" w:color="auto" w:fill="FFFFFF"/>
        </w:rPr>
        <w:t>“</w:t>
      </w:r>
      <w:r w:rsidRPr="00E5330E">
        <w:rPr>
          <w:rFonts w:ascii="Times New Roman" w:hAnsi="Times New Roman"/>
          <w:sz w:val="24"/>
          <w:szCs w:val="24"/>
          <w:shd w:val="clear" w:color="auto" w:fill="FFFFFF"/>
        </w:rPr>
        <w:t>Because conflicting inferences could be drawn from Captain Tollett's affidavit and deposition testimony, and we resolve doubts in Stoffer's favor, Captain Tollett's statements that she stopped at the convenience store to refuel her city-issued vehicle is some evidence that she was not merely stopping for personal needs.</w:t>
      </w:r>
    </w:p>
    <w:p w14:paraId="08F5FB2B" w14:textId="77777777" w:rsidR="00FC2C67" w:rsidRDefault="00FC2C67" w:rsidP="00FC2C67">
      <w:pPr>
        <w:pStyle w:val="NoSpacing"/>
        <w:ind w:left="720"/>
        <w:rPr>
          <w:rFonts w:ascii="Times New Roman" w:hAnsi="Times New Roman"/>
          <w:sz w:val="24"/>
          <w:szCs w:val="24"/>
          <w:shd w:val="clear" w:color="auto" w:fill="FFFFFF"/>
        </w:rPr>
      </w:pPr>
      <w:r>
        <w:rPr>
          <w:rFonts w:ascii="Times New Roman" w:hAnsi="Times New Roman"/>
          <w:sz w:val="24"/>
          <w:szCs w:val="24"/>
          <w:shd w:val="clear" w:color="auto" w:fill="FFFFFF"/>
        </w:rPr>
        <w:t>***</w:t>
      </w:r>
    </w:p>
    <w:p w14:paraId="5FB14BEE" w14:textId="77777777" w:rsidR="00FC2C67" w:rsidRDefault="00FC2C67" w:rsidP="00FC2C67">
      <w:pPr>
        <w:pStyle w:val="NoSpacing"/>
        <w:rPr>
          <w:rFonts w:ascii="Times New Roman" w:hAnsi="Times New Roman"/>
          <w:sz w:val="24"/>
          <w:szCs w:val="24"/>
          <w:shd w:val="clear" w:color="auto" w:fill="FFFFFF"/>
        </w:rPr>
      </w:pPr>
    </w:p>
    <w:p w14:paraId="2FBAC2DA" w14:textId="77777777" w:rsidR="00FC2C67" w:rsidRDefault="00FC2C67" w:rsidP="00FC2C67">
      <w:pPr>
        <w:pStyle w:val="NoSpacing"/>
        <w:ind w:left="720"/>
        <w:rPr>
          <w:rFonts w:ascii="Times New Roman" w:hAnsi="Times New Roman"/>
          <w:sz w:val="24"/>
          <w:szCs w:val="24"/>
          <w:shd w:val="clear" w:color="auto" w:fill="FFFFFF"/>
        </w:rPr>
      </w:pPr>
      <w:r w:rsidRPr="006924EE">
        <w:rPr>
          <w:rFonts w:ascii="Times New Roman" w:hAnsi="Times New Roman"/>
          <w:sz w:val="24"/>
          <w:szCs w:val="24"/>
          <w:shd w:val="clear" w:color="auto" w:fill="FFFFFF"/>
        </w:rPr>
        <w:t xml:space="preserve">The TTCA's limited waiver of immunity for motor vehicles only applies if the government employee was </w:t>
      </w:r>
      <w:r>
        <w:rPr>
          <w:rFonts w:ascii="Times New Roman" w:hAnsi="Times New Roman"/>
          <w:sz w:val="24"/>
          <w:szCs w:val="24"/>
          <w:shd w:val="clear" w:color="auto" w:fill="FFFFFF"/>
        </w:rPr>
        <w:t>‘</w:t>
      </w:r>
      <w:r w:rsidRPr="006924EE">
        <w:rPr>
          <w:rFonts w:ascii="Times New Roman" w:hAnsi="Times New Roman"/>
          <w:sz w:val="24"/>
          <w:szCs w:val="24"/>
          <w:shd w:val="clear" w:color="auto" w:fill="FFFFFF"/>
        </w:rPr>
        <w:t>acting within the scope of employment</w:t>
      </w:r>
      <w:r>
        <w:rPr>
          <w:rFonts w:ascii="Times New Roman" w:hAnsi="Times New Roman"/>
          <w:sz w:val="24"/>
          <w:szCs w:val="24"/>
          <w:shd w:val="clear" w:color="auto" w:fill="FFFFFF"/>
        </w:rPr>
        <w:t>’</w:t>
      </w:r>
      <w:r w:rsidRPr="006924EE">
        <w:rPr>
          <w:rFonts w:ascii="Times New Roman" w:hAnsi="Times New Roman"/>
          <w:sz w:val="24"/>
          <w:szCs w:val="24"/>
          <w:shd w:val="clear" w:color="auto" w:fill="FFFFFF"/>
        </w:rPr>
        <w:t xml:space="preserve"> at the time of the alleged event. </w:t>
      </w:r>
      <w:hyperlink r:id="rId966" w:history="1">
        <w:r w:rsidRPr="006924EE">
          <w:rPr>
            <w:rStyle w:val="Hyperlink"/>
            <w:rFonts w:ascii="Times New Roman" w:hAnsi="Times New Roman"/>
            <w:sz w:val="24"/>
            <w:szCs w:val="24"/>
            <w:shd w:val="clear" w:color="auto" w:fill="FFFFFF"/>
          </w:rPr>
          <w:t xml:space="preserve">Tex. Civ. </w:t>
        </w:r>
        <w:proofErr w:type="spellStart"/>
        <w:r w:rsidRPr="006924EE">
          <w:rPr>
            <w:rStyle w:val="Hyperlink"/>
            <w:rFonts w:ascii="Times New Roman" w:hAnsi="Times New Roman"/>
            <w:sz w:val="24"/>
            <w:szCs w:val="24"/>
            <w:shd w:val="clear" w:color="auto" w:fill="FFFFFF"/>
          </w:rPr>
          <w:t>Prac</w:t>
        </w:r>
        <w:proofErr w:type="spellEnd"/>
        <w:r w:rsidRPr="006924EE">
          <w:rPr>
            <w:rStyle w:val="Hyperlink"/>
            <w:rFonts w:ascii="Times New Roman" w:hAnsi="Times New Roman"/>
            <w:sz w:val="24"/>
            <w:szCs w:val="24"/>
            <w:shd w:val="clear" w:color="auto" w:fill="FFFFFF"/>
          </w:rPr>
          <w:t>. &amp; Rem. Code § 101.021(1)</w:t>
        </w:r>
      </w:hyperlink>
      <w:r w:rsidRPr="006924EE">
        <w:rPr>
          <w:rFonts w:ascii="Times New Roman" w:hAnsi="Times New Roman"/>
          <w:sz w:val="24"/>
          <w:szCs w:val="24"/>
          <w:shd w:val="clear" w:color="auto" w:fill="FFFFFF"/>
        </w:rPr>
        <w:t xml:space="preserve">. The TTCA defines </w:t>
      </w:r>
      <w:r>
        <w:rPr>
          <w:rFonts w:ascii="Times New Roman" w:hAnsi="Times New Roman"/>
          <w:sz w:val="24"/>
          <w:szCs w:val="24"/>
          <w:shd w:val="clear" w:color="auto" w:fill="FFFFFF"/>
        </w:rPr>
        <w:t>‘</w:t>
      </w:r>
      <w:r w:rsidRPr="006924EE">
        <w:rPr>
          <w:rFonts w:ascii="Times New Roman" w:hAnsi="Times New Roman"/>
          <w:sz w:val="24"/>
          <w:szCs w:val="24"/>
          <w:shd w:val="clear" w:color="auto" w:fill="FFFFFF"/>
        </w:rPr>
        <w:t>scope of employment</w:t>
      </w:r>
      <w:r>
        <w:rPr>
          <w:rFonts w:ascii="Times New Roman" w:hAnsi="Times New Roman"/>
          <w:sz w:val="24"/>
          <w:szCs w:val="24"/>
          <w:shd w:val="clear" w:color="auto" w:fill="FFFFFF"/>
        </w:rPr>
        <w:t>’</w:t>
      </w:r>
      <w:r w:rsidRPr="006924EE">
        <w:rPr>
          <w:rFonts w:ascii="Times New Roman" w:hAnsi="Times New Roman"/>
          <w:sz w:val="24"/>
          <w:szCs w:val="24"/>
          <w:shd w:val="clear" w:color="auto" w:fill="FFFFFF"/>
        </w:rPr>
        <w:t xml:space="preserve"> as </w:t>
      </w:r>
      <w:r>
        <w:rPr>
          <w:rFonts w:ascii="Times New Roman" w:hAnsi="Times New Roman"/>
          <w:sz w:val="24"/>
          <w:szCs w:val="24"/>
          <w:shd w:val="clear" w:color="auto" w:fill="FFFFFF"/>
        </w:rPr>
        <w:t>‘</w:t>
      </w:r>
      <w:r w:rsidRPr="006924EE">
        <w:rPr>
          <w:rFonts w:ascii="Times New Roman" w:hAnsi="Times New Roman"/>
          <w:sz w:val="24"/>
          <w:szCs w:val="24"/>
          <w:shd w:val="clear" w:color="auto" w:fill="FFFFFF"/>
        </w:rPr>
        <w:t>the performance for a governmental unit of the duties of an employee's office or employment and includes being in and about the performance of a task lawfully assigned to an employee by competent authority.</w:t>
      </w:r>
      <w:r>
        <w:rPr>
          <w:rFonts w:ascii="Times New Roman" w:hAnsi="Times New Roman"/>
          <w:sz w:val="24"/>
          <w:szCs w:val="24"/>
          <w:shd w:val="clear" w:color="auto" w:fill="FFFFFF"/>
        </w:rPr>
        <w:t>’</w:t>
      </w:r>
      <w:r w:rsidRPr="006924EE">
        <w:rPr>
          <w:rFonts w:ascii="Times New Roman" w:hAnsi="Times New Roman"/>
          <w:sz w:val="24"/>
          <w:szCs w:val="24"/>
          <w:shd w:val="clear" w:color="auto" w:fill="FFFFFF"/>
        </w:rPr>
        <w:t xml:space="preserve"> </w:t>
      </w:r>
      <w:r w:rsidRPr="006924EE">
        <w:rPr>
          <w:rFonts w:ascii="Times New Roman" w:hAnsi="Times New Roman"/>
          <w:i/>
          <w:iCs/>
          <w:sz w:val="24"/>
          <w:szCs w:val="24"/>
          <w:shd w:val="clear" w:color="auto" w:fill="FFFFFF"/>
        </w:rPr>
        <w:t>Id.</w:t>
      </w:r>
      <w:r w:rsidRPr="006924EE">
        <w:rPr>
          <w:rFonts w:ascii="Times New Roman" w:hAnsi="Times New Roman"/>
          <w:sz w:val="24"/>
          <w:szCs w:val="24"/>
          <w:shd w:val="clear" w:color="auto" w:fill="FFFFFF"/>
        </w:rPr>
        <w:t xml:space="preserve"> § 101.001(5).</w:t>
      </w:r>
    </w:p>
    <w:p w14:paraId="2AD1F36C" w14:textId="77777777" w:rsidR="00FC2C67" w:rsidRDefault="00FC2C67" w:rsidP="00FC2C67">
      <w:pPr>
        <w:pStyle w:val="NoSpacing"/>
        <w:ind w:left="720"/>
        <w:rPr>
          <w:rFonts w:ascii="Times New Roman" w:hAnsi="Times New Roman"/>
          <w:sz w:val="24"/>
          <w:szCs w:val="24"/>
          <w:shd w:val="clear" w:color="auto" w:fill="FFFFFF"/>
        </w:rPr>
      </w:pPr>
    </w:p>
    <w:p w14:paraId="537441FC" w14:textId="77777777" w:rsidR="00FC2C67" w:rsidRDefault="00FC2C67" w:rsidP="00FC2C67">
      <w:pPr>
        <w:pStyle w:val="NoSpacing"/>
        <w:ind w:left="720"/>
        <w:rPr>
          <w:rFonts w:ascii="Times New Roman" w:hAnsi="Times New Roman"/>
          <w:sz w:val="24"/>
          <w:szCs w:val="24"/>
          <w:shd w:val="clear" w:color="auto" w:fill="FFFFFF"/>
        </w:rPr>
      </w:pPr>
      <w:r>
        <w:rPr>
          <w:rFonts w:ascii="Times New Roman" w:hAnsi="Times New Roman"/>
          <w:sz w:val="24"/>
          <w:szCs w:val="24"/>
          <w:shd w:val="clear" w:color="auto" w:fill="FFFFFF"/>
        </w:rPr>
        <w:t>***</w:t>
      </w:r>
    </w:p>
    <w:p w14:paraId="2E1452E4" w14:textId="77777777" w:rsidR="00FC2C67" w:rsidRDefault="00FC2C67" w:rsidP="00FC2C67">
      <w:pPr>
        <w:pStyle w:val="NoSpacing"/>
        <w:rPr>
          <w:rFonts w:ascii="Times New Roman" w:hAnsi="Times New Roman"/>
          <w:sz w:val="24"/>
          <w:szCs w:val="24"/>
          <w:shd w:val="clear" w:color="auto" w:fill="FFFFFF"/>
        </w:rPr>
      </w:pPr>
    </w:p>
    <w:p w14:paraId="5CBCAF58" w14:textId="77777777" w:rsidR="00FC2C67" w:rsidRDefault="00FC2C67" w:rsidP="00FC2C67">
      <w:pPr>
        <w:pStyle w:val="NoSpacing"/>
        <w:ind w:left="720"/>
        <w:rPr>
          <w:rFonts w:ascii="Times New Roman" w:hAnsi="Times New Roman"/>
          <w:sz w:val="24"/>
          <w:szCs w:val="24"/>
          <w:shd w:val="clear" w:color="auto" w:fill="FFFFFF"/>
        </w:rPr>
      </w:pPr>
      <w:r w:rsidRPr="00D442E3">
        <w:rPr>
          <w:rFonts w:ascii="Times New Roman" w:hAnsi="Times New Roman"/>
          <w:sz w:val="24"/>
          <w:szCs w:val="24"/>
          <w:shd w:val="clear" w:color="auto" w:fill="FFFFFF"/>
        </w:rPr>
        <w:t xml:space="preserve">Under the </w:t>
      </w:r>
      <w:r>
        <w:rPr>
          <w:rFonts w:ascii="Times New Roman" w:hAnsi="Times New Roman"/>
          <w:sz w:val="24"/>
          <w:szCs w:val="24"/>
          <w:shd w:val="clear" w:color="auto" w:fill="FFFFFF"/>
        </w:rPr>
        <w:t>‘</w:t>
      </w:r>
      <w:r w:rsidRPr="00D442E3">
        <w:rPr>
          <w:rFonts w:ascii="Times New Roman" w:hAnsi="Times New Roman"/>
          <w:sz w:val="24"/>
          <w:szCs w:val="24"/>
          <w:shd w:val="clear" w:color="auto" w:fill="FFFFFF"/>
        </w:rPr>
        <w:t>coming-and-going rule,</w:t>
      </w:r>
      <w:r>
        <w:rPr>
          <w:rFonts w:ascii="Times New Roman" w:hAnsi="Times New Roman"/>
          <w:sz w:val="24"/>
          <w:szCs w:val="24"/>
          <w:shd w:val="clear" w:color="auto" w:fill="FFFFFF"/>
        </w:rPr>
        <w:t>’</w:t>
      </w:r>
      <w:r w:rsidRPr="00D442E3">
        <w:rPr>
          <w:rFonts w:ascii="Times New Roman" w:hAnsi="Times New Roman"/>
          <w:sz w:val="24"/>
          <w:szCs w:val="24"/>
          <w:shd w:val="clear" w:color="auto" w:fill="FFFFFF"/>
        </w:rPr>
        <w:t xml:space="preserve"> an employee is generally not acting within the scope of her employment when traveling to and from work</w:t>
      </w:r>
      <w:r>
        <w:rPr>
          <w:rFonts w:ascii="Times New Roman" w:hAnsi="Times New Roman"/>
          <w:sz w:val="24"/>
          <w:szCs w:val="24"/>
          <w:shd w:val="clear" w:color="auto" w:fill="FFFFFF"/>
        </w:rPr>
        <w:t xml:space="preserve">…. </w:t>
      </w:r>
      <w:r w:rsidRPr="00111BB5">
        <w:rPr>
          <w:rFonts w:ascii="Times New Roman" w:hAnsi="Times New Roman"/>
          <w:sz w:val="24"/>
          <w:szCs w:val="24"/>
          <w:shd w:val="clear" w:color="auto" w:fill="FFFFFF"/>
        </w:rPr>
        <w:t>However, if the vehicle involved in the accident was owned by the defendant and the driver was an employee of the defendant, a presumption arises that the driver was acting within the scope of her employment when the accident occurred.</w:t>
      </w:r>
      <w:r>
        <w:rPr>
          <w:rFonts w:ascii="Times New Roman" w:hAnsi="Times New Roman"/>
          <w:sz w:val="24"/>
          <w:szCs w:val="24"/>
          <w:shd w:val="clear" w:color="auto" w:fill="FFFFFF"/>
        </w:rPr>
        <w:t>”</w:t>
      </w:r>
    </w:p>
    <w:p w14:paraId="4D9FBDDA" w14:textId="77777777" w:rsidR="00FC2C67" w:rsidRPr="00FD2FF9" w:rsidRDefault="00FC2C67" w:rsidP="00FC2C67">
      <w:pPr>
        <w:pStyle w:val="NoSpacing"/>
        <w:ind w:left="720"/>
        <w:rPr>
          <w:rFonts w:ascii="Times New Roman" w:hAnsi="Times New Roman"/>
          <w:sz w:val="24"/>
          <w:szCs w:val="24"/>
          <w:shd w:val="clear" w:color="auto" w:fill="FFFFFF"/>
        </w:rPr>
      </w:pPr>
    </w:p>
    <w:p w14:paraId="5E544D29" w14:textId="09DF6F51" w:rsidR="00FC2C67" w:rsidRDefault="007A4CFB" w:rsidP="00EF1133">
      <w:pPr>
        <w:rPr>
          <w:rFonts w:ascii="Arial Black" w:hAnsi="Arial Black"/>
          <w:b/>
          <w:sz w:val="24"/>
          <w:szCs w:val="24"/>
        </w:rPr>
      </w:pPr>
      <w:r w:rsidRPr="00601FA7">
        <w:rPr>
          <w:rFonts w:ascii="Times New Roman" w:hAnsi="Times New Roman"/>
          <w:b/>
          <w:bCs/>
          <w:sz w:val="24"/>
          <w:szCs w:val="24"/>
          <w:shd w:val="clear" w:color="auto" w:fill="FFFFFF"/>
        </w:rPr>
        <w:t xml:space="preserve">Legal Lesson Learned: </w:t>
      </w:r>
      <w:r>
        <w:rPr>
          <w:rFonts w:ascii="Times New Roman" w:hAnsi="Times New Roman"/>
          <w:b/>
          <w:bCs/>
          <w:sz w:val="24"/>
          <w:szCs w:val="24"/>
          <w:shd w:val="clear" w:color="auto" w:fill="FFFFFF"/>
        </w:rPr>
        <w:t>The “coming and going” to work rule, where employer normally cannot be sued, doesn’t apply when employee operating FD vehicle and stopping for gas</w:t>
      </w:r>
    </w:p>
    <w:p w14:paraId="0AE89C20" w14:textId="77777777" w:rsidR="00FC2C67" w:rsidRDefault="00FC2C67" w:rsidP="00EF1133">
      <w:pPr>
        <w:rPr>
          <w:rFonts w:ascii="Arial Black" w:hAnsi="Arial Black"/>
          <w:b/>
          <w:sz w:val="24"/>
          <w:szCs w:val="24"/>
        </w:rPr>
      </w:pPr>
    </w:p>
    <w:p w14:paraId="3C58D07C" w14:textId="77777777" w:rsidR="00FC2C67" w:rsidRDefault="00FC2C67" w:rsidP="00EF1133">
      <w:pPr>
        <w:rPr>
          <w:rFonts w:ascii="Arial Black" w:hAnsi="Arial Black"/>
          <w:b/>
          <w:sz w:val="24"/>
          <w:szCs w:val="24"/>
        </w:rPr>
      </w:pPr>
    </w:p>
    <w:p w14:paraId="1780CDFF" w14:textId="18BA40E8" w:rsidR="00FC33D2" w:rsidRDefault="00FC33D2" w:rsidP="00EF1133">
      <w:pPr>
        <w:rPr>
          <w:rFonts w:ascii="Arial Black" w:hAnsi="Arial Black"/>
          <w:b/>
          <w:sz w:val="24"/>
          <w:szCs w:val="24"/>
        </w:rPr>
      </w:pPr>
      <w:r>
        <w:rPr>
          <w:rFonts w:ascii="Arial Black" w:hAnsi="Arial Black"/>
          <w:b/>
          <w:sz w:val="24"/>
          <w:szCs w:val="24"/>
        </w:rPr>
        <w:t>5-43</w:t>
      </w:r>
    </w:p>
    <w:p w14:paraId="48ED0278" w14:textId="77777777" w:rsidR="00FC33D2" w:rsidRPr="006A4945" w:rsidRDefault="00FC33D2" w:rsidP="00FC33D2">
      <w:pPr>
        <w:pStyle w:val="NormalWeb"/>
        <w:shd w:val="clear" w:color="auto" w:fill="FFFFFF"/>
        <w:spacing w:before="0" w:beforeAutospacing="0"/>
        <w:rPr>
          <w:rFonts w:ascii="Arial Black" w:hAnsi="Arial Black"/>
          <w:b/>
          <w:bCs/>
          <w:color w:val="454545"/>
          <w:sz w:val="28"/>
          <w:szCs w:val="28"/>
        </w:rPr>
      </w:pPr>
      <w:r>
        <w:rPr>
          <w:rFonts w:ascii="Arial Black" w:hAnsi="Arial Black"/>
          <w:b/>
          <w:bCs/>
          <w:color w:val="454545"/>
          <w:sz w:val="28"/>
          <w:szCs w:val="28"/>
        </w:rPr>
        <w:t>PA: MENTAL STOLE ANBULANCE – HOUR LONG LOW SPEED CHASE - 4-8 YEARS IN PRISON – LOCK THE AMBULANCE</w:t>
      </w:r>
    </w:p>
    <w:p w14:paraId="47848432" w14:textId="77777777" w:rsidR="00FC33D2" w:rsidRDefault="00FC33D2" w:rsidP="00FC33D2">
      <w:pPr>
        <w:pStyle w:val="NormalWeb"/>
      </w:pPr>
      <w:r>
        <w:rPr>
          <w:color w:val="454545"/>
        </w:rPr>
        <w:t xml:space="preserve">On March 26, 2024, in </w:t>
      </w:r>
      <w:r w:rsidRPr="0003348E">
        <w:rPr>
          <w:color w:val="454545"/>
          <w:u w:val="single"/>
        </w:rPr>
        <w:t>Commonwealth of Pennsylvania v. Mark Giwerowski</w:t>
      </w:r>
      <w:r>
        <w:rPr>
          <w:color w:val="454545"/>
        </w:rPr>
        <w:t xml:space="preserve">, the Superior Court of Pennsylvania, held (3 to 0) that sentence was appropriate. Defendant waived jury trial; </w:t>
      </w:r>
      <w:r>
        <w:t xml:space="preserve">at the trial's conclusion, the court found defendant guilty of the remaining thirty-six offenses, which included robbery of a motor </w:t>
      </w:r>
      <w:r>
        <w:lastRenderedPageBreak/>
        <w:t xml:space="preserve">vehicle, aggravated assault-attempt to cause bodily injury to police or enumerated persons, and ten other felonies. </w:t>
      </w:r>
    </w:p>
    <w:p w14:paraId="046F1801" w14:textId="77777777" w:rsidR="003956F7" w:rsidRPr="004C0299" w:rsidRDefault="003956F7" w:rsidP="003956F7">
      <w:pPr>
        <w:pStyle w:val="NoSpacing"/>
        <w:rPr>
          <w:rFonts w:ascii="Times New Roman" w:hAnsi="Times New Roman"/>
          <w:sz w:val="24"/>
          <w:szCs w:val="24"/>
        </w:rPr>
      </w:pPr>
      <w:r>
        <w:rPr>
          <w:rFonts w:ascii="Times New Roman" w:hAnsi="Times New Roman"/>
          <w:sz w:val="24"/>
          <w:szCs w:val="24"/>
          <w:shd w:val="clear" w:color="auto" w:fill="FFFFFF"/>
        </w:rPr>
        <w:t>THE COURT HELD:</w:t>
      </w:r>
    </w:p>
    <w:p w14:paraId="41D03A65" w14:textId="77777777" w:rsidR="00FC33D2" w:rsidRDefault="00FC33D2" w:rsidP="00FC33D2">
      <w:pPr>
        <w:pStyle w:val="NormalWeb"/>
        <w:ind w:left="720" w:firstLine="60"/>
      </w:pPr>
      <w:r>
        <w:t xml:space="preserve">“Finally, while the prison sentence imposed for robbery of a motor vehicle was itself above the aggravated minimum range of the sentencing guidelines, Appellant was nonetheless convicted of </w:t>
      </w:r>
      <w:r w:rsidRPr="008F6094">
        <w:rPr>
          <w:rStyle w:val="Strong"/>
          <w:rFonts w:eastAsiaTheme="majorEastAsia"/>
        </w:rPr>
        <w:t>eleven other felony offenses</w:t>
      </w:r>
      <w:r w:rsidRPr="008F6094">
        <w:rPr>
          <w:b/>
          <w:bCs/>
        </w:rPr>
        <w:t>,</w:t>
      </w:r>
      <w:r>
        <w:t xml:space="preserve"> the sentences for all of which were run concurrently. Had the trial court exercised its discretion to run them consecutively, even if each was within the standard range, Appellant could have faced more than the minimum of ten years in prison that the Commonwealth requested. </w:t>
      </w:r>
    </w:p>
    <w:p w14:paraId="6C5D126D" w14:textId="77777777" w:rsidR="00FC33D2" w:rsidRDefault="00FC33D2" w:rsidP="00FC33D2">
      <w:pPr>
        <w:pStyle w:val="NormalWeb"/>
        <w:ind w:left="720"/>
      </w:pPr>
      <w:r>
        <w:t xml:space="preserve">For all the above reasons, we do not find that the sentence imposed by the trial court was the product of an abuse of its considerable sentencing discretion, and therefore it must be upheld.”  </w:t>
      </w:r>
      <w:hyperlink r:id="rId967" w:history="1">
        <w:r w:rsidRPr="006F5A98">
          <w:rPr>
            <w:rStyle w:val="Hyperlink"/>
          </w:rPr>
          <w:t>https://public.fastcase.com/H1P9uiW3J20SFp%2BGCG%2BxLdY6%2FSfit7cxFyw3bnS%2FOidOFypRHxHWNwsmGqo4fSQEV9JpTw1bCRB2JkBf6VgjErq%2BbrT9DkyICOjdjgBVHFs%3D?utm_medium=email&amp;_hsmi=226712652&amp;_hsenc=p2ANqtz-82_plk0g72fbRvFB8NjbgL3Ik8GBcsuuIrmbdbiUiPbF7Kb8UwG6VvxYNyc-qobM2A00y-E3aXbEp-pYTE9TR3ELyYBQ&amp;utm_content=226712652&amp;utm_source=hs_email</w:t>
        </w:r>
      </w:hyperlink>
      <w:r>
        <w:t xml:space="preserve"> </w:t>
      </w:r>
    </w:p>
    <w:p w14:paraId="56D8AA4C" w14:textId="77777777" w:rsidR="00FC33D2" w:rsidRPr="00BB5CED" w:rsidRDefault="00FC33D2" w:rsidP="00FC33D2">
      <w:pPr>
        <w:pStyle w:val="NormalWeb"/>
        <w:rPr>
          <w:b/>
          <w:bCs/>
        </w:rPr>
      </w:pPr>
      <w:r w:rsidRPr="00BB5CED">
        <w:rPr>
          <w:b/>
          <w:bCs/>
        </w:rPr>
        <w:t>Legal Lesson Learned:</w:t>
      </w:r>
      <w:r>
        <w:rPr>
          <w:b/>
          <w:bCs/>
        </w:rPr>
        <w:t xml:space="preserve"> When arriving at scene of mental call, turn off the ambulance and </w:t>
      </w:r>
      <w:proofErr w:type="gramStart"/>
      <w:r>
        <w:rPr>
          <w:b/>
          <w:bCs/>
        </w:rPr>
        <w:t>secured</w:t>
      </w:r>
      <w:proofErr w:type="gramEnd"/>
      <w:r>
        <w:rPr>
          <w:b/>
          <w:bCs/>
        </w:rPr>
        <w:t xml:space="preserve"> your keys. </w:t>
      </w:r>
    </w:p>
    <w:p w14:paraId="5109FC60" w14:textId="77777777" w:rsidR="00FC33D2" w:rsidRDefault="00FC33D2" w:rsidP="00FC33D2">
      <w:pPr>
        <w:pStyle w:val="NormalWeb"/>
        <w:rPr>
          <w:rFonts w:ascii="Arial Black" w:hAnsi="Arial Black"/>
          <w:sz w:val="28"/>
          <w:szCs w:val="28"/>
        </w:rPr>
      </w:pPr>
    </w:p>
    <w:p w14:paraId="04CC0FA7" w14:textId="77777777" w:rsidR="00FC33D2" w:rsidRDefault="00FC33D2" w:rsidP="00FC33D2">
      <w:pPr>
        <w:pStyle w:val="NoSpacing"/>
        <w:ind w:left="720"/>
        <w:rPr>
          <w:rFonts w:ascii="Times New Roman" w:hAnsi="Times New Roman"/>
          <w:sz w:val="24"/>
          <w:szCs w:val="24"/>
          <w:shd w:val="clear" w:color="auto" w:fill="FFFFFF"/>
        </w:rPr>
      </w:pPr>
    </w:p>
    <w:p w14:paraId="23813889" w14:textId="77777777" w:rsidR="00FC33D2" w:rsidRDefault="00FC33D2" w:rsidP="00FC33D2">
      <w:pPr>
        <w:pStyle w:val="NoSpacing"/>
        <w:rPr>
          <w:rFonts w:ascii="Times New Roman" w:hAnsi="Times New Roman"/>
          <w:sz w:val="24"/>
          <w:szCs w:val="24"/>
        </w:rPr>
      </w:pPr>
    </w:p>
    <w:p w14:paraId="502C4026" w14:textId="77777777" w:rsidR="00FC33D2" w:rsidRPr="00FC33D2" w:rsidRDefault="00FC33D2" w:rsidP="00FC33D2">
      <w:pPr>
        <w:pStyle w:val="NormalWeb"/>
        <w:shd w:val="clear" w:color="auto" w:fill="FFFFFF"/>
        <w:spacing w:before="0" w:beforeAutospacing="0"/>
        <w:rPr>
          <w:rFonts w:ascii="Arial Black" w:hAnsi="Arial Black"/>
        </w:rPr>
      </w:pPr>
      <w:r w:rsidRPr="00FC33D2">
        <w:rPr>
          <w:rFonts w:ascii="Arial Black" w:hAnsi="Arial Black"/>
        </w:rPr>
        <w:t>5-42</w:t>
      </w:r>
    </w:p>
    <w:p w14:paraId="75FF2F4D" w14:textId="4CA5CE31" w:rsidR="00FC33D2" w:rsidRPr="009C706C" w:rsidRDefault="00FC33D2" w:rsidP="00FC33D2">
      <w:pPr>
        <w:pStyle w:val="NormalWeb"/>
        <w:shd w:val="clear" w:color="auto" w:fill="FFFFFF"/>
        <w:spacing w:before="0" w:beforeAutospacing="0"/>
        <w:rPr>
          <w:rFonts w:ascii="Arial Black" w:hAnsi="Arial Black"/>
          <w:b/>
          <w:bCs/>
          <w:color w:val="454545"/>
          <w:sz w:val="28"/>
          <w:szCs w:val="28"/>
        </w:rPr>
      </w:pPr>
      <w:r>
        <w:rPr>
          <w:rFonts w:ascii="Arial Black" w:hAnsi="Arial Black"/>
          <w:b/>
          <w:bCs/>
          <w:color w:val="454545"/>
          <w:sz w:val="28"/>
          <w:szCs w:val="28"/>
        </w:rPr>
        <w:t>TX: ENGINE TO DUMSTER FIRE – 10 MPH OVER, THROUGH RED LIGHT, COLLISION – NO GOVERNMENTAL IMMUNITY</w:t>
      </w:r>
    </w:p>
    <w:p w14:paraId="59C6A424" w14:textId="77777777" w:rsidR="00FC33D2" w:rsidRDefault="00FC33D2" w:rsidP="00FC33D2">
      <w:pPr>
        <w:pStyle w:val="NoSpacing"/>
        <w:rPr>
          <w:rFonts w:ascii="Times New Roman" w:hAnsi="Times New Roman"/>
          <w:sz w:val="24"/>
          <w:szCs w:val="24"/>
        </w:rPr>
      </w:pPr>
      <w:r>
        <w:rPr>
          <w:rFonts w:ascii="Times New Roman" w:hAnsi="Times New Roman"/>
          <w:sz w:val="24"/>
          <w:szCs w:val="24"/>
        </w:rPr>
        <w:t xml:space="preserve">On March 7, 2024, in </w:t>
      </w:r>
      <w:r w:rsidRPr="00B5059C">
        <w:rPr>
          <w:rFonts w:ascii="Times New Roman" w:hAnsi="Times New Roman"/>
          <w:sz w:val="24"/>
          <w:szCs w:val="24"/>
          <w:u w:val="single"/>
        </w:rPr>
        <w:t>City of Houston v. Chelsea Manning, et al</w:t>
      </w:r>
      <w:r>
        <w:rPr>
          <w:rFonts w:ascii="Times New Roman" w:hAnsi="Times New Roman"/>
          <w:sz w:val="24"/>
          <w:szCs w:val="24"/>
        </w:rPr>
        <w:t xml:space="preserve">., the Fourteenth Court of Appeals of Texas, held (3 to 0) that trial court properly denied their motion for summary judgment on the emergency response exception to tort liability; on this second appeal the city is again denied immunity. </w:t>
      </w:r>
    </w:p>
    <w:p w14:paraId="56BD4193" w14:textId="77777777" w:rsidR="003956F7" w:rsidRDefault="003956F7" w:rsidP="003956F7">
      <w:pPr>
        <w:pStyle w:val="NoSpacing"/>
        <w:rPr>
          <w:rFonts w:ascii="Times New Roman" w:hAnsi="Times New Roman"/>
          <w:sz w:val="24"/>
          <w:szCs w:val="24"/>
          <w:shd w:val="clear" w:color="auto" w:fill="FFFFFF"/>
        </w:rPr>
      </w:pPr>
    </w:p>
    <w:p w14:paraId="711A12B0" w14:textId="76FCAE72" w:rsidR="003956F7" w:rsidRPr="004C0299" w:rsidRDefault="003956F7" w:rsidP="003956F7">
      <w:pPr>
        <w:pStyle w:val="NoSpacing"/>
        <w:rPr>
          <w:rFonts w:ascii="Times New Roman" w:hAnsi="Times New Roman"/>
          <w:sz w:val="24"/>
          <w:szCs w:val="24"/>
        </w:rPr>
      </w:pPr>
      <w:r>
        <w:rPr>
          <w:rFonts w:ascii="Times New Roman" w:hAnsi="Times New Roman"/>
          <w:sz w:val="24"/>
          <w:szCs w:val="24"/>
          <w:shd w:val="clear" w:color="auto" w:fill="FFFFFF"/>
        </w:rPr>
        <w:t>THE COURT HELD:</w:t>
      </w:r>
    </w:p>
    <w:p w14:paraId="433205EC" w14:textId="77777777" w:rsidR="003956F7" w:rsidRDefault="003956F7" w:rsidP="00FC33D2">
      <w:pPr>
        <w:pStyle w:val="NoSpacing"/>
        <w:rPr>
          <w:rFonts w:ascii="Times New Roman" w:hAnsi="Times New Roman"/>
          <w:sz w:val="24"/>
          <w:szCs w:val="24"/>
        </w:rPr>
      </w:pPr>
    </w:p>
    <w:p w14:paraId="3493ECFE" w14:textId="77777777" w:rsidR="00FC33D2" w:rsidRDefault="00FC33D2" w:rsidP="00FC33D2">
      <w:pPr>
        <w:pStyle w:val="NoSpacing"/>
        <w:rPr>
          <w:rFonts w:ascii="Times New Roman" w:hAnsi="Times New Roman"/>
          <w:sz w:val="24"/>
          <w:szCs w:val="24"/>
        </w:rPr>
      </w:pPr>
    </w:p>
    <w:p w14:paraId="29F7A60A" w14:textId="77777777" w:rsidR="00FC33D2" w:rsidRPr="0011159F" w:rsidRDefault="00FC33D2" w:rsidP="00FC33D2">
      <w:pPr>
        <w:pStyle w:val="NoSpacing"/>
        <w:ind w:left="720"/>
        <w:rPr>
          <w:rFonts w:ascii="Times New Roman" w:hAnsi="Times New Roman"/>
          <w:sz w:val="24"/>
          <w:szCs w:val="24"/>
        </w:rPr>
      </w:pPr>
      <w:r>
        <w:rPr>
          <w:rFonts w:ascii="Times New Roman" w:hAnsi="Times New Roman"/>
          <w:sz w:val="24"/>
          <w:szCs w:val="24"/>
        </w:rPr>
        <w:t>“T</w:t>
      </w:r>
      <w:r w:rsidRPr="0011159F">
        <w:rPr>
          <w:rFonts w:ascii="Times New Roman" w:hAnsi="Times New Roman"/>
          <w:sz w:val="24"/>
          <w:szCs w:val="24"/>
        </w:rPr>
        <w:t>his is the second appeal by the City of Houston in this personal injury suit</w:t>
      </w:r>
    </w:p>
    <w:p w14:paraId="1CA99857" w14:textId="77777777" w:rsidR="00FC33D2" w:rsidRPr="0011159F" w:rsidRDefault="00FC33D2" w:rsidP="00FC33D2">
      <w:pPr>
        <w:pStyle w:val="NoSpacing"/>
        <w:ind w:left="720"/>
        <w:rPr>
          <w:rFonts w:ascii="Times New Roman" w:hAnsi="Times New Roman"/>
          <w:sz w:val="24"/>
          <w:szCs w:val="24"/>
        </w:rPr>
      </w:pPr>
      <w:r w:rsidRPr="0011159F">
        <w:rPr>
          <w:rFonts w:ascii="Times New Roman" w:hAnsi="Times New Roman"/>
          <w:sz w:val="24"/>
          <w:szCs w:val="24"/>
        </w:rPr>
        <w:t>arising from a collision between a fire truck and appellees’ vehicle. In the first</w:t>
      </w:r>
    </w:p>
    <w:p w14:paraId="3145F8C1" w14:textId="77777777" w:rsidR="00FC33D2" w:rsidRPr="0011159F" w:rsidRDefault="00FC33D2" w:rsidP="00FC33D2">
      <w:pPr>
        <w:pStyle w:val="NoSpacing"/>
        <w:ind w:left="720"/>
        <w:rPr>
          <w:rFonts w:ascii="Times New Roman" w:hAnsi="Times New Roman"/>
          <w:sz w:val="24"/>
          <w:szCs w:val="24"/>
        </w:rPr>
      </w:pPr>
      <w:r w:rsidRPr="0011159F">
        <w:rPr>
          <w:rFonts w:ascii="Times New Roman" w:hAnsi="Times New Roman"/>
          <w:sz w:val="24"/>
          <w:szCs w:val="24"/>
        </w:rPr>
        <w:t>appeal, the City challenged an order denying its traditional summary-judgment</w:t>
      </w:r>
    </w:p>
    <w:p w14:paraId="6464D1F6" w14:textId="77777777" w:rsidR="00FC33D2" w:rsidRPr="005E4DA9" w:rsidRDefault="00FC33D2" w:rsidP="00FC33D2">
      <w:pPr>
        <w:pStyle w:val="NoSpacing"/>
        <w:ind w:left="720"/>
        <w:rPr>
          <w:rFonts w:ascii="Times New Roman" w:hAnsi="Times New Roman"/>
          <w:sz w:val="24"/>
          <w:szCs w:val="24"/>
        </w:rPr>
      </w:pPr>
      <w:r w:rsidRPr="0011159F">
        <w:rPr>
          <w:rFonts w:ascii="Times New Roman" w:hAnsi="Times New Roman"/>
          <w:sz w:val="24"/>
          <w:szCs w:val="24"/>
        </w:rPr>
        <w:t>motion on immunity grounds. We held that a genuine and material fact questio</w:t>
      </w:r>
      <w:r>
        <w:rPr>
          <w:rFonts w:ascii="Times New Roman" w:hAnsi="Times New Roman"/>
          <w:sz w:val="24"/>
          <w:szCs w:val="24"/>
        </w:rPr>
        <w:t xml:space="preserve">n </w:t>
      </w:r>
      <w:r w:rsidRPr="005E4DA9">
        <w:rPr>
          <w:rFonts w:ascii="Times New Roman" w:hAnsi="Times New Roman"/>
          <w:sz w:val="24"/>
          <w:szCs w:val="24"/>
        </w:rPr>
        <w:t>existed as to the good-faith element of the City’s employee’s official immunity,</w:t>
      </w:r>
    </w:p>
    <w:p w14:paraId="0AD7C002" w14:textId="77777777" w:rsidR="00FC33D2" w:rsidRDefault="00FC33D2" w:rsidP="00FC33D2">
      <w:pPr>
        <w:pStyle w:val="NoSpacing"/>
        <w:ind w:left="720"/>
        <w:rPr>
          <w:rFonts w:ascii="Times New Roman" w:hAnsi="Times New Roman"/>
          <w:sz w:val="24"/>
          <w:szCs w:val="24"/>
        </w:rPr>
      </w:pPr>
      <w:r w:rsidRPr="005E4DA9">
        <w:rPr>
          <w:rFonts w:ascii="Times New Roman" w:hAnsi="Times New Roman"/>
          <w:sz w:val="24"/>
          <w:szCs w:val="24"/>
        </w:rPr>
        <w:t>and we affirmed in part the trial court’s denial of the City’s motion.</w:t>
      </w:r>
    </w:p>
    <w:p w14:paraId="11EDC6F3" w14:textId="77777777" w:rsidR="00FC33D2" w:rsidRDefault="00FC33D2" w:rsidP="00FC33D2">
      <w:pPr>
        <w:pStyle w:val="NoSpacing"/>
        <w:ind w:left="720"/>
        <w:rPr>
          <w:rFonts w:ascii="Times New Roman" w:hAnsi="Times New Roman"/>
          <w:sz w:val="24"/>
          <w:szCs w:val="24"/>
        </w:rPr>
      </w:pPr>
    </w:p>
    <w:p w14:paraId="69F610EC" w14:textId="77777777" w:rsidR="00FC33D2" w:rsidRDefault="00FC33D2" w:rsidP="00FC33D2">
      <w:pPr>
        <w:pStyle w:val="NoSpacing"/>
        <w:ind w:left="720"/>
        <w:rPr>
          <w:rFonts w:ascii="Times New Roman" w:hAnsi="Times New Roman"/>
          <w:sz w:val="24"/>
          <w:szCs w:val="24"/>
        </w:rPr>
      </w:pPr>
      <w:r>
        <w:rPr>
          <w:rFonts w:ascii="Times New Roman" w:hAnsi="Times New Roman"/>
          <w:sz w:val="24"/>
          <w:szCs w:val="24"/>
        </w:rPr>
        <w:t>***</w:t>
      </w:r>
    </w:p>
    <w:p w14:paraId="1FF413DD" w14:textId="77777777" w:rsidR="00FC33D2" w:rsidRDefault="00FC33D2" w:rsidP="00FC33D2">
      <w:pPr>
        <w:pStyle w:val="NoSpacing"/>
        <w:ind w:left="720"/>
        <w:rPr>
          <w:rFonts w:ascii="Times New Roman" w:hAnsi="Times New Roman"/>
          <w:sz w:val="24"/>
          <w:szCs w:val="24"/>
        </w:rPr>
      </w:pPr>
    </w:p>
    <w:p w14:paraId="71AACEDD" w14:textId="77777777" w:rsidR="00FC33D2" w:rsidRPr="00662D7E" w:rsidRDefault="00FC33D2" w:rsidP="00FC33D2">
      <w:pPr>
        <w:pStyle w:val="NoSpacing"/>
        <w:ind w:left="720"/>
        <w:rPr>
          <w:rFonts w:ascii="Times New Roman" w:hAnsi="Times New Roman"/>
          <w:sz w:val="24"/>
          <w:szCs w:val="24"/>
        </w:rPr>
      </w:pPr>
      <w:r w:rsidRPr="00662D7E">
        <w:rPr>
          <w:rFonts w:ascii="Times New Roman" w:hAnsi="Times New Roman"/>
          <w:sz w:val="24"/>
          <w:szCs w:val="24"/>
        </w:rPr>
        <w:t>After the first appeal, the City moved for summary judgment again on</w:t>
      </w:r>
    </w:p>
    <w:p w14:paraId="40CEDC5C" w14:textId="77777777" w:rsidR="00FC33D2" w:rsidRPr="00662D7E" w:rsidRDefault="00FC33D2" w:rsidP="00FC33D2">
      <w:pPr>
        <w:pStyle w:val="NoSpacing"/>
        <w:ind w:left="720"/>
        <w:rPr>
          <w:rFonts w:ascii="Times New Roman" w:hAnsi="Times New Roman"/>
          <w:sz w:val="24"/>
          <w:szCs w:val="24"/>
        </w:rPr>
      </w:pPr>
      <w:r w:rsidRPr="00662D7E">
        <w:rPr>
          <w:rFonts w:ascii="Times New Roman" w:hAnsi="Times New Roman"/>
          <w:sz w:val="24"/>
          <w:szCs w:val="24"/>
        </w:rPr>
        <w:t>immunity grounds, relying on its earlier evidence but adding some new evidence</w:t>
      </w:r>
    </w:p>
    <w:p w14:paraId="5AE89ACC" w14:textId="77777777" w:rsidR="00FC33D2" w:rsidRPr="00662D7E" w:rsidRDefault="00FC33D2" w:rsidP="00FC33D2">
      <w:pPr>
        <w:pStyle w:val="NoSpacing"/>
        <w:ind w:left="720"/>
        <w:rPr>
          <w:rFonts w:ascii="Times New Roman" w:hAnsi="Times New Roman"/>
          <w:sz w:val="24"/>
          <w:szCs w:val="24"/>
        </w:rPr>
      </w:pPr>
      <w:r w:rsidRPr="00662D7E">
        <w:rPr>
          <w:rFonts w:ascii="Times New Roman" w:hAnsi="Times New Roman"/>
          <w:sz w:val="24"/>
          <w:szCs w:val="24"/>
        </w:rPr>
        <w:t>and arguments. The trial court denied the City’s second motion. In this appeal, we</w:t>
      </w:r>
    </w:p>
    <w:p w14:paraId="28877B19" w14:textId="77777777" w:rsidR="00FC33D2" w:rsidRPr="00662D7E" w:rsidRDefault="00FC33D2" w:rsidP="00FC33D2">
      <w:pPr>
        <w:pStyle w:val="NoSpacing"/>
        <w:ind w:left="720"/>
        <w:rPr>
          <w:rFonts w:ascii="Times New Roman" w:hAnsi="Times New Roman"/>
          <w:sz w:val="24"/>
          <w:szCs w:val="24"/>
        </w:rPr>
      </w:pPr>
      <w:proofErr w:type="gramStart"/>
      <w:r w:rsidRPr="00662D7E">
        <w:rPr>
          <w:rFonts w:ascii="Times New Roman" w:hAnsi="Times New Roman"/>
          <w:sz w:val="24"/>
          <w:szCs w:val="24"/>
        </w:rPr>
        <w:lastRenderedPageBreak/>
        <w:t>again</w:t>
      </w:r>
      <w:proofErr w:type="gramEnd"/>
      <w:r w:rsidRPr="00662D7E">
        <w:rPr>
          <w:rFonts w:ascii="Times New Roman" w:hAnsi="Times New Roman"/>
          <w:sz w:val="24"/>
          <w:szCs w:val="24"/>
        </w:rPr>
        <w:t xml:space="preserve"> conclude that the City has not established conclusively that it is immune as a</w:t>
      </w:r>
    </w:p>
    <w:p w14:paraId="708A32A4" w14:textId="77777777" w:rsidR="00FC33D2" w:rsidRDefault="00FC33D2" w:rsidP="00FC33D2">
      <w:pPr>
        <w:pStyle w:val="NoSpacing"/>
        <w:ind w:left="720"/>
        <w:rPr>
          <w:rFonts w:ascii="Times New Roman" w:hAnsi="Times New Roman"/>
          <w:sz w:val="24"/>
          <w:szCs w:val="24"/>
        </w:rPr>
      </w:pPr>
      <w:r w:rsidRPr="00662D7E">
        <w:rPr>
          <w:rFonts w:ascii="Times New Roman" w:hAnsi="Times New Roman"/>
          <w:sz w:val="24"/>
          <w:szCs w:val="24"/>
        </w:rPr>
        <w:t>matter of law.</w:t>
      </w:r>
    </w:p>
    <w:p w14:paraId="00C59F24" w14:textId="77777777" w:rsidR="00FC33D2" w:rsidRDefault="00FC33D2" w:rsidP="00FC33D2">
      <w:pPr>
        <w:pStyle w:val="NoSpacing"/>
        <w:ind w:left="720"/>
        <w:rPr>
          <w:rFonts w:ascii="Times New Roman" w:hAnsi="Times New Roman"/>
          <w:sz w:val="24"/>
          <w:szCs w:val="24"/>
        </w:rPr>
      </w:pPr>
    </w:p>
    <w:p w14:paraId="3876C85F" w14:textId="77777777" w:rsidR="00FC33D2" w:rsidRDefault="00FC33D2" w:rsidP="00FC33D2">
      <w:pPr>
        <w:pStyle w:val="NoSpacing"/>
        <w:ind w:left="720"/>
        <w:rPr>
          <w:rFonts w:ascii="Times New Roman" w:hAnsi="Times New Roman"/>
          <w:sz w:val="24"/>
          <w:szCs w:val="24"/>
        </w:rPr>
      </w:pPr>
      <w:r>
        <w:rPr>
          <w:rFonts w:ascii="Times New Roman" w:hAnsi="Times New Roman"/>
          <w:sz w:val="24"/>
          <w:szCs w:val="24"/>
        </w:rPr>
        <w:t>***</w:t>
      </w:r>
    </w:p>
    <w:p w14:paraId="3FF1C95E" w14:textId="77777777" w:rsidR="00FC33D2" w:rsidRDefault="00FC33D2" w:rsidP="00FC33D2">
      <w:pPr>
        <w:pStyle w:val="NoSpacing"/>
        <w:ind w:left="720"/>
        <w:rPr>
          <w:rFonts w:ascii="Times New Roman" w:hAnsi="Times New Roman"/>
          <w:sz w:val="24"/>
          <w:szCs w:val="24"/>
        </w:rPr>
      </w:pPr>
    </w:p>
    <w:p w14:paraId="39C6ECD2" w14:textId="77777777" w:rsidR="00FC33D2" w:rsidRPr="00956F61" w:rsidRDefault="00FC33D2" w:rsidP="00FC33D2">
      <w:pPr>
        <w:pStyle w:val="NoSpacing"/>
        <w:ind w:left="720"/>
        <w:rPr>
          <w:rFonts w:ascii="Times New Roman" w:hAnsi="Times New Roman"/>
          <w:sz w:val="24"/>
          <w:szCs w:val="24"/>
        </w:rPr>
      </w:pPr>
      <w:r w:rsidRPr="00956F61">
        <w:rPr>
          <w:rFonts w:ascii="Times New Roman" w:hAnsi="Times New Roman"/>
          <w:sz w:val="24"/>
          <w:szCs w:val="24"/>
        </w:rPr>
        <w:t xml:space="preserve">Thus, fact questions exist whether the </w:t>
      </w:r>
      <w:proofErr w:type="gramStart"/>
      <w:r w:rsidRPr="00956F61">
        <w:rPr>
          <w:rFonts w:ascii="Times New Roman" w:hAnsi="Times New Roman"/>
          <w:sz w:val="24"/>
          <w:szCs w:val="24"/>
        </w:rPr>
        <w:t>City</w:t>
      </w:r>
      <w:proofErr w:type="gramEnd"/>
      <w:r w:rsidRPr="00956F61">
        <w:rPr>
          <w:rFonts w:ascii="Times New Roman" w:hAnsi="Times New Roman"/>
          <w:sz w:val="24"/>
          <w:szCs w:val="24"/>
        </w:rPr>
        <w:t xml:space="preserve"> complied with all three</w:t>
      </w:r>
      <w:r>
        <w:rPr>
          <w:rFonts w:ascii="Times New Roman" w:hAnsi="Times New Roman"/>
          <w:sz w:val="24"/>
          <w:szCs w:val="24"/>
        </w:rPr>
        <w:t xml:space="preserve"> </w:t>
      </w:r>
      <w:r w:rsidRPr="00956F61">
        <w:rPr>
          <w:rFonts w:ascii="Times New Roman" w:hAnsi="Times New Roman"/>
          <w:sz w:val="24"/>
          <w:szCs w:val="24"/>
        </w:rPr>
        <w:t>applicable laws it cited. A factfinder could reasonably conclude that Schmidt</w:t>
      </w:r>
      <w:r>
        <w:rPr>
          <w:rFonts w:ascii="Times New Roman" w:hAnsi="Times New Roman"/>
          <w:sz w:val="24"/>
          <w:szCs w:val="24"/>
        </w:rPr>
        <w:t xml:space="preserve"> </w:t>
      </w:r>
      <w:r w:rsidRPr="00956F61">
        <w:rPr>
          <w:rFonts w:ascii="Times New Roman" w:hAnsi="Times New Roman"/>
          <w:sz w:val="24"/>
          <w:szCs w:val="24"/>
        </w:rPr>
        <w:t>(1) drove above the speed limit, (2) did not slow his speed while entering the</w:t>
      </w:r>
      <w:r>
        <w:rPr>
          <w:rFonts w:ascii="Times New Roman" w:hAnsi="Times New Roman"/>
          <w:sz w:val="24"/>
          <w:szCs w:val="24"/>
        </w:rPr>
        <w:t xml:space="preserve"> </w:t>
      </w:r>
      <w:r w:rsidRPr="00956F61">
        <w:rPr>
          <w:rFonts w:ascii="Times New Roman" w:hAnsi="Times New Roman"/>
          <w:sz w:val="24"/>
          <w:szCs w:val="24"/>
        </w:rPr>
        <w:t>intersection, and (3) proceeded against a red light. Thus, disputed and material fact</w:t>
      </w:r>
      <w:r>
        <w:rPr>
          <w:rFonts w:ascii="Times New Roman" w:hAnsi="Times New Roman"/>
          <w:sz w:val="24"/>
          <w:szCs w:val="24"/>
        </w:rPr>
        <w:t xml:space="preserve"> </w:t>
      </w:r>
      <w:r w:rsidRPr="00956F61">
        <w:rPr>
          <w:rFonts w:ascii="Times New Roman" w:hAnsi="Times New Roman"/>
          <w:sz w:val="24"/>
          <w:szCs w:val="24"/>
        </w:rPr>
        <w:t>issues preclude summary judgment in the City’s favor on the emergency response</w:t>
      </w:r>
      <w:r>
        <w:rPr>
          <w:rFonts w:ascii="Times New Roman" w:hAnsi="Times New Roman"/>
          <w:sz w:val="24"/>
          <w:szCs w:val="24"/>
        </w:rPr>
        <w:t xml:space="preserve"> </w:t>
      </w:r>
      <w:proofErr w:type="gramStart"/>
      <w:r w:rsidRPr="00956F61">
        <w:rPr>
          <w:rFonts w:ascii="Times New Roman" w:hAnsi="Times New Roman"/>
          <w:sz w:val="24"/>
          <w:szCs w:val="24"/>
        </w:rPr>
        <w:t>exception.</w:t>
      </w:r>
      <w:r>
        <w:rPr>
          <w:rFonts w:ascii="Times New Roman" w:hAnsi="Times New Roman"/>
          <w:sz w:val="24"/>
          <w:szCs w:val="24"/>
        </w:rPr>
        <w:t>”</w:t>
      </w:r>
      <w:proofErr w:type="gramEnd"/>
      <w:r>
        <w:rPr>
          <w:rFonts w:ascii="Times New Roman" w:hAnsi="Times New Roman"/>
          <w:sz w:val="24"/>
          <w:szCs w:val="24"/>
        </w:rPr>
        <w:t xml:space="preserve"> </w:t>
      </w:r>
      <w:hyperlink r:id="rId968" w:history="1">
        <w:r w:rsidRPr="0090149E">
          <w:rPr>
            <w:rStyle w:val="Hyperlink"/>
            <w:rFonts w:ascii="Times New Roman" w:hAnsi="Times New Roman"/>
            <w:sz w:val="24"/>
            <w:szCs w:val="24"/>
          </w:rPr>
          <w:t>https://cases.justia.com/texas/fourteenth-court-of-appeals/2024-14-23-00087-cv.pdf?ts=1709819934</w:t>
        </w:r>
      </w:hyperlink>
      <w:r>
        <w:rPr>
          <w:rFonts w:ascii="Times New Roman" w:hAnsi="Times New Roman"/>
          <w:sz w:val="24"/>
          <w:szCs w:val="24"/>
        </w:rPr>
        <w:t xml:space="preserve"> </w:t>
      </w:r>
    </w:p>
    <w:p w14:paraId="72E9B41D" w14:textId="77777777" w:rsidR="00FC33D2" w:rsidRDefault="00FC33D2" w:rsidP="00FC33D2">
      <w:pPr>
        <w:pStyle w:val="NoSpacing"/>
        <w:ind w:left="720"/>
        <w:rPr>
          <w:rFonts w:ascii="Times New Roman" w:hAnsi="Times New Roman"/>
          <w:sz w:val="24"/>
          <w:szCs w:val="24"/>
        </w:rPr>
      </w:pPr>
    </w:p>
    <w:p w14:paraId="0AAFB88C" w14:textId="77777777" w:rsidR="00FC33D2" w:rsidRPr="00497100" w:rsidRDefault="00FC33D2" w:rsidP="00FC33D2">
      <w:pPr>
        <w:pStyle w:val="NoSpacing"/>
        <w:rPr>
          <w:b/>
          <w:bCs/>
          <w:color w:val="454545"/>
        </w:rPr>
      </w:pPr>
      <w:r w:rsidRPr="00497100">
        <w:rPr>
          <w:rFonts w:ascii="Times New Roman" w:hAnsi="Times New Roman"/>
          <w:b/>
          <w:bCs/>
          <w:sz w:val="24"/>
          <w:szCs w:val="24"/>
        </w:rPr>
        <w:t>Legal Lesson Learned:</w:t>
      </w:r>
      <w:r>
        <w:rPr>
          <w:rFonts w:ascii="Times New Roman" w:hAnsi="Times New Roman"/>
          <w:b/>
          <w:bCs/>
          <w:sz w:val="24"/>
          <w:szCs w:val="24"/>
        </w:rPr>
        <w:t xml:space="preserve"> On emergency response, proceed with due care and slow down at red lights to confirm safe to proceed.</w:t>
      </w:r>
    </w:p>
    <w:p w14:paraId="124777A7" w14:textId="77777777" w:rsidR="00FC33D2" w:rsidRPr="00497100" w:rsidRDefault="00FC33D2" w:rsidP="00FC33D2">
      <w:pPr>
        <w:pStyle w:val="NormalWeb"/>
        <w:spacing w:before="0" w:beforeAutospacing="0"/>
        <w:rPr>
          <w:b/>
          <w:bCs/>
          <w:color w:val="454545"/>
          <w:shd w:val="clear" w:color="auto" w:fill="FFFFFF"/>
        </w:rPr>
      </w:pPr>
    </w:p>
    <w:p w14:paraId="1A14ED05" w14:textId="06597828" w:rsidR="00A35726" w:rsidRDefault="00A35726" w:rsidP="00EF1133">
      <w:pPr>
        <w:rPr>
          <w:rFonts w:ascii="Arial Black" w:hAnsi="Arial Black"/>
          <w:b/>
          <w:sz w:val="24"/>
          <w:szCs w:val="24"/>
        </w:rPr>
      </w:pPr>
      <w:r>
        <w:rPr>
          <w:rFonts w:ascii="Arial Black" w:hAnsi="Arial Black"/>
          <w:b/>
          <w:sz w:val="24"/>
          <w:szCs w:val="24"/>
        </w:rPr>
        <w:t>5-41</w:t>
      </w:r>
    </w:p>
    <w:p w14:paraId="278A6B46" w14:textId="40B9F893" w:rsidR="00AD7949" w:rsidRPr="00D166AA" w:rsidRDefault="00AD7949" w:rsidP="00AD7949">
      <w:pPr>
        <w:pStyle w:val="NoSpacing"/>
        <w:rPr>
          <w:rFonts w:ascii="Arial Black" w:hAnsi="Arial Black"/>
          <w:sz w:val="28"/>
          <w:szCs w:val="28"/>
        </w:rPr>
      </w:pPr>
      <w:r>
        <w:rPr>
          <w:rFonts w:ascii="Arial Black" w:hAnsi="Arial Black"/>
          <w:sz w:val="28"/>
          <w:szCs w:val="28"/>
        </w:rPr>
        <w:t>OK: AMBULANCE SPEEDING WITH PATIENT RUNS INTO TOLL</w:t>
      </w:r>
      <w:r w:rsidR="00EC68FC">
        <w:rPr>
          <w:rFonts w:ascii="Arial Black" w:hAnsi="Arial Black"/>
          <w:sz w:val="28"/>
          <w:szCs w:val="28"/>
        </w:rPr>
        <w:t xml:space="preserve"> </w:t>
      </w:r>
      <w:r>
        <w:rPr>
          <w:rFonts w:ascii="Arial Black" w:hAnsi="Arial Black"/>
          <w:sz w:val="28"/>
          <w:szCs w:val="28"/>
        </w:rPr>
        <w:t xml:space="preserve">BOOTH – </w:t>
      </w:r>
      <w:r w:rsidR="00FE158F">
        <w:rPr>
          <w:rFonts w:ascii="Arial Black" w:hAnsi="Arial Black"/>
          <w:sz w:val="28"/>
          <w:szCs w:val="28"/>
        </w:rPr>
        <w:t xml:space="preserve">IMMUNITY - </w:t>
      </w:r>
      <w:r w:rsidR="00D25072">
        <w:rPr>
          <w:rFonts w:ascii="Arial Black" w:hAnsi="Arial Black"/>
          <w:sz w:val="28"/>
          <w:szCs w:val="28"/>
        </w:rPr>
        <w:t xml:space="preserve">TOLL BOTH OPERATOR </w:t>
      </w:r>
      <w:r>
        <w:rPr>
          <w:rFonts w:ascii="Arial Black" w:hAnsi="Arial Black"/>
          <w:sz w:val="28"/>
          <w:szCs w:val="28"/>
        </w:rPr>
        <w:t>G</w:t>
      </w:r>
      <w:r w:rsidR="00CD2ECE">
        <w:rPr>
          <w:rFonts w:ascii="Arial Black" w:hAnsi="Arial Black"/>
          <w:sz w:val="28"/>
          <w:szCs w:val="28"/>
        </w:rPr>
        <w:t>E</w:t>
      </w:r>
      <w:r>
        <w:rPr>
          <w:rFonts w:ascii="Arial Black" w:hAnsi="Arial Black"/>
          <w:sz w:val="28"/>
          <w:szCs w:val="28"/>
        </w:rPr>
        <w:t>T</w:t>
      </w:r>
      <w:r w:rsidR="00CD2ECE">
        <w:rPr>
          <w:rFonts w:ascii="Arial Black" w:hAnsi="Arial Black"/>
          <w:sz w:val="28"/>
          <w:szCs w:val="28"/>
        </w:rPr>
        <w:t>S</w:t>
      </w:r>
      <w:r>
        <w:rPr>
          <w:rFonts w:ascii="Arial Black" w:hAnsi="Arial Black"/>
          <w:sz w:val="28"/>
          <w:szCs w:val="28"/>
        </w:rPr>
        <w:t xml:space="preserve"> WORKERS COMP </w:t>
      </w:r>
    </w:p>
    <w:p w14:paraId="04421C59" w14:textId="77777777" w:rsidR="00AD7949" w:rsidRDefault="00AD7949" w:rsidP="00AD7949">
      <w:pPr>
        <w:pStyle w:val="Heading1"/>
        <w:rPr>
          <w:b w:val="0"/>
          <w:bCs w:val="0"/>
          <w:sz w:val="24"/>
          <w:szCs w:val="24"/>
          <w:u w:val="single"/>
        </w:rPr>
      </w:pPr>
      <w:r w:rsidRPr="00C07EB0">
        <w:rPr>
          <w:b w:val="0"/>
          <w:bCs w:val="0"/>
          <w:sz w:val="24"/>
          <w:szCs w:val="24"/>
        </w:rPr>
        <w:t xml:space="preserve">On Feb. 13, 2024, in </w:t>
      </w:r>
      <w:r w:rsidRPr="00C344F2">
        <w:rPr>
          <w:b w:val="0"/>
          <w:bCs w:val="0"/>
          <w:sz w:val="24"/>
          <w:szCs w:val="24"/>
          <w:u w:val="single"/>
        </w:rPr>
        <w:t>Jackson County Emergency Medical Service District v. The Honorable Kory S. Kirkland, Judge of the District Court for Grady County, State of Oklahoma</w:t>
      </w:r>
      <w:r w:rsidRPr="00C344F2">
        <w:rPr>
          <w:b w:val="0"/>
          <w:bCs w:val="0"/>
          <w:sz w:val="24"/>
          <w:szCs w:val="24"/>
        </w:rPr>
        <w:t xml:space="preserve">, </w:t>
      </w:r>
      <w:r>
        <w:rPr>
          <w:b w:val="0"/>
          <w:bCs w:val="0"/>
          <w:sz w:val="24"/>
          <w:szCs w:val="24"/>
        </w:rPr>
        <w:t xml:space="preserve">the Supreme Court of Oklahoma held (9 t0 0) that trial court improperly denied the Medical District’s motion to dismiss; it is a governmental entity of Jackson County, and under Oklahoma law, when an injured person[Shannon Garst, the injured toll-both attendant] collected worker’s comp from her employer,  </w:t>
      </w:r>
      <w:r w:rsidRPr="00247832">
        <w:rPr>
          <w:b w:val="0"/>
          <w:bCs w:val="0"/>
          <w:sz w:val="24"/>
          <w:szCs w:val="24"/>
        </w:rPr>
        <w:t>American Staff Corporation</w:t>
      </w:r>
      <w:r>
        <w:rPr>
          <w:b w:val="0"/>
          <w:bCs w:val="0"/>
          <w:sz w:val="24"/>
          <w:szCs w:val="24"/>
        </w:rPr>
        <w:t xml:space="preserve">, she cannot sue government agency. </w:t>
      </w:r>
    </w:p>
    <w:p w14:paraId="7746337B" w14:textId="77777777" w:rsidR="00AD7949" w:rsidRDefault="00AD7949" w:rsidP="00AD7949">
      <w:pPr>
        <w:pStyle w:val="Heading1"/>
        <w:rPr>
          <w:b w:val="0"/>
          <w:bCs w:val="0"/>
          <w:sz w:val="24"/>
          <w:szCs w:val="24"/>
        </w:rPr>
      </w:pPr>
      <w:r>
        <w:rPr>
          <w:b w:val="0"/>
          <w:bCs w:val="0"/>
          <w:sz w:val="24"/>
          <w:szCs w:val="24"/>
        </w:rPr>
        <w:t xml:space="preserve">The Court held:  </w:t>
      </w:r>
    </w:p>
    <w:p w14:paraId="5B31FBE1" w14:textId="77777777" w:rsidR="00AD7949" w:rsidRPr="006D7B0A" w:rsidRDefault="00AD7949" w:rsidP="00AD7949">
      <w:pPr>
        <w:pStyle w:val="NoSpacing"/>
        <w:ind w:left="720"/>
        <w:rPr>
          <w:rFonts w:ascii="Times New Roman" w:hAnsi="Times New Roman"/>
          <w:sz w:val="24"/>
          <w:szCs w:val="24"/>
        </w:rPr>
      </w:pPr>
      <w:r w:rsidRPr="006D7B0A">
        <w:rPr>
          <w:rFonts w:ascii="Times New Roman" w:hAnsi="Times New Roman"/>
          <w:sz w:val="24"/>
          <w:szCs w:val="24"/>
        </w:rPr>
        <w:t xml:space="preserve">“After an ambulance collided with a turnpike tollbooth, the injured toll-worker filed a lawsuit against the ambulance driver and her employer, the Jackson County Emergency Medical Services District. The medical district sought to dismiss the lawsuit. It argued that it was entitled to governmental immunity, and that the Governmental Tort Claims Act, 51 O.S. 2021 §155(14) applied to prohibit recovery because the toll-worker had recovered workers compensation benefits. The trial court denied the dismissal. The medical district filed an </w:t>
      </w:r>
      <w:proofErr w:type="gramStart"/>
      <w:r w:rsidRPr="006D7B0A">
        <w:rPr>
          <w:rFonts w:ascii="Times New Roman" w:hAnsi="Times New Roman"/>
          <w:sz w:val="24"/>
          <w:szCs w:val="24"/>
        </w:rPr>
        <w:t>Application</w:t>
      </w:r>
      <w:proofErr w:type="gramEnd"/>
      <w:r w:rsidRPr="006D7B0A">
        <w:rPr>
          <w:rFonts w:ascii="Times New Roman" w:hAnsi="Times New Roman"/>
          <w:sz w:val="24"/>
          <w:szCs w:val="24"/>
        </w:rPr>
        <w:t xml:space="preserve"> to Assume Original Jurisdiction and Petition for Writ of Prohibition in this Court to prevent the trial court from proceeding further. We assume original jurisdiction and grant the writ of prohibition by opinion. We hold that: 1) pursuant to the Okla. Const. art. 10, §9C, although the medical district is a unique entity, it is subject to lawsuits through its board of trustees to the same extent as any Oklahoma municipality or county; and 2) the Governmental Tort Claims Act, 51 O.S. 2021, §155(14) et seq., is applicable to preclude recovery.</w:t>
      </w:r>
      <w:r>
        <w:rPr>
          <w:rFonts w:ascii="Times New Roman" w:hAnsi="Times New Roman"/>
          <w:sz w:val="24"/>
          <w:szCs w:val="24"/>
        </w:rPr>
        <w:t xml:space="preserve">” </w:t>
      </w:r>
      <w:hyperlink r:id="rId969" w:history="1">
        <w:r w:rsidRPr="006D7B0A">
          <w:rPr>
            <w:rStyle w:val="Hyperlink"/>
            <w:rFonts w:ascii="Times New Roman" w:hAnsi="Times New Roman"/>
            <w:sz w:val="24"/>
            <w:szCs w:val="24"/>
          </w:rPr>
          <w:t>https://law.justia.com/cases/oklahoma/supreme-court/2024/121510.html</w:t>
        </w:r>
      </w:hyperlink>
      <w:r w:rsidRPr="006D7B0A">
        <w:rPr>
          <w:rFonts w:ascii="Times New Roman" w:hAnsi="Times New Roman"/>
          <w:sz w:val="24"/>
          <w:szCs w:val="24"/>
        </w:rPr>
        <w:t xml:space="preserve"> </w:t>
      </w:r>
    </w:p>
    <w:p w14:paraId="2798CCDE" w14:textId="77777777" w:rsidR="00AD7949" w:rsidRDefault="00AD7949" w:rsidP="00AD7949">
      <w:pPr>
        <w:pStyle w:val="NoSpacing"/>
        <w:rPr>
          <w:rFonts w:ascii="Times New Roman" w:hAnsi="Times New Roman"/>
          <w:sz w:val="24"/>
          <w:szCs w:val="24"/>
        </w:rPr>
      </w:pPr>
    </w:p>
    <w:p w14:paraId="2BF82A3B" w14:textId="77777777" w:rsidR="00AD7949" w:rsidRDefault="00AD7949" w:rsidP="00AD7949">
      <w:pPr>
        <w:pStyle w:val="NoSpacing"/>
      </w:pPr>
    </w:p>
    <w:p w14:paraId="50F06CEF" w14:textId="77777777" w:rsidR="00AD7949" w:rsidRPr="006D7B0A" w:rsidRDefault="00AD7949" w:rsidP="00AD7949">
      <w:pPr>
        <w:pStyle w:val="NormalWeb"/>
        <w:rPr>
          <w:b/>
          <w:bCs/>
        </w:rPr>
      </w:pPr>
      <w:r w:rsidRPr="006D7B0A">
        <w:rPr>
          <w:b/>
          <w:bCs/>
        </w:rPr>
        <w:t>Legal Lesson Learned:</w:t>
      </w:r>
      <w:r>
        <w:rPr>
          <w:b/>
          <w:bCs/>
        </w:rPr>
        <w:t xml:space="preserve"> Pay attention when operating an emergency vehicle, including when passing through a tollbooth; fortunate to have government immunity when injured persons </w:t>
      </w:r>
      <w:proofErr w:type="gramStart"/>
      <w:r>
        <w:rPr>
          <w:b/>
          <w:bCs/>
        </w:rPr>
        <w:t>receives</w:t>
      </w:r>
      <w:proofErr w:type="gramEnd"/>
      <w:r>
        <w:rPr>
          <w:b/>
          <w:bCs/>
        </w:rPr>
        <w:t xml:space="preserve"> workers compensation. </w:t>
      </w:r>
    </w:p>
    <w:p w14:paraId="365A48DF" w14:textId="77777777" w:rsidR="00A35726" w:rsidRDefault="00A35726" w:rsidP="00EF1133">
      <w:pPr>
        <w:rPr>
          <w:rFonts w:ascii="Arial Black" w:hAnsi="Arial Black"/>
          <w:b/>
          <w:sz w:val="24"/>
          <w:szCs w:val="24"/>
        </w:rPr>
      </w:pPr>
    </w:p>
    <w:p w14:paraId="304E3595" w14:textId="77777777" w:rsidR="00A35726" w:rsidRDefault="00A35726" w:rsidP="00EF1133">
      <w:pPr>
        <w:rPr>
          <w:rFonts w:ascii="Arial Black" w:hAnsi="Arial Black"/>
          <w:b/>
          <w:sz w:val="24"/>
          <w:szCs w:val="24"/>
        </w:rPr>
      </w:pPr>
    </w:p>
    <w:p w14:paraId="2E7FF696" w14:textId="2FD598A8" w:rsidR="00AF2973" w:rsidRDefault="00AF2973" w:rsidP="00EF1133">
      <w:pPr>
        <w:rPr>
          <w:rFonts w:ascii="Arial Black" w:hAnsi="Arial Black"/>
          <w:b/>
          <w:sz w:val="24"/>
          <w:szCs w:val="24"/>
        </w:rPr>
      </w:pPr>
      <w:r>
        <w:rPr>
          <w:rFonts w:ascii="Arial Black" w:hAnsi="Arial Black"/>
          <w:b/>
          <w:sz w:val="24"/>
          <w:szCs w:val="24"/>
        </w:rPr>
        <w:t>5-40</w:t>
      </w:r>
    </w:p>
    <w:p w14:paraId="5E231F2C" w14:textId="77777777" w:rsidR="001C5889" w:rsidRPr="00960419" w:rsidRDefault="001C5889" w:rsidP="001C5889">
      <w:pPr>
        <w:pStyle w:val="NormalWeb"/>
        <w:rPr>
          <w:rFonts w:ascii="Arial Black" w:hAnsi="Arial Black"/>
          <w:sz w:val="28"/>
          <w:szCs w:val="28"/>
        </w:rPr>
      </w:pPr>
      <w:r>
        <w:rPr>
          <w:rFonts w:ascii="Arial Black" w:hAnsi="Arial Black"/>
          <w:sz w:val="28"/>
          <w:szCs w:val="28"/>
        </w:rPr>
        <w:t>MO: PD OFFICER RESPONDING TO VEHICLE CHASE – 87 MPH, STOP SIGN - CRASH– RECKLESS - OFFICIAL IMMUNITY</w:t>
      </w:r>
    </w:p>
    <w:p w14:paraId="046FB9FF" w14:textId="77777777" w:rsidR="001C5889" w:rsidRDefault="001C5889" w:rsidP="001C5889">
      <w:pPr>
        <w:pStyle w:val="NormalWeb"/>
      </w:pPr>
      <w:r>
        <w:t xml:space="preserve">On Jan. 30, 2024, in </w:t>
      </w:r>
      <w:r w:rsidRPr="00AA2F98">
        <w:rPr>
          <w:u w:val="single"/>
        </w:rPr>
        <w:t>John Carlton v. Brandon Means</w:t>
      </w:r>
      <w:r>
        <w:t xml:space="preserve">, the Court of Appeals of Missouri, Eastern Division (Second Division) holds (3 to 0) that while the officer may have been reckless, he enjoys official immunity under Missouri law since there was no “malice” (improper or wrongful motive) on his part. </w:t>
      </w:r>
    </w:p>
    <w:p w14:paraId="4D3F2B66" w14:textId="77777777" w:rsidR="001C5889" w:rsidRDefault="001C5889" w:rsidP="001C5889">
      <w:pPr>
        <w:pStyle w:val="NormalWeb"/>
        <w:ind w:left="720"/>
      </w:pPr>
      <w:r>
        <w:t xml:space="preserve">“Carlton suggests he can show the requisite intent because Officer Means's conduct was </w:t>
      </w:r>
      <w:r>
        <w:rPr>
          <w:rStyle w:val="Emphasis"/>
        </w:rPr>
        <w:t>so</w:t>
      </w:r>
      <w:r>
        <w:t xml:space="preserve"> reckless and was </w:t>
      </w:r>
      <w:r>
        <w:rPr>
          <w:rStyle w:val="Emphasis"/>
        </w:rPr>
        <w:t>so</w:t>
      </w:r>
      <w:r>
        <w:t xml:space="preserve"> willfully in disregard of another's rights that a trier of fact could infer he had an improper or wrongful motive. No Missouri cases have found malice based on an inference of intent drawn solely from the recklessness of an officer's conduct in responding to an emergency. </w:t>
      </w:r>
      <w:r>
        <w:rPr>
          <w:rStyle w:val="Emphasis"/>
        </w:rPr>
        <w:t>Throneberry</w:t>
      </w:r>
      <w:r>
        <w:t xml:space="preserve"> and </w:t>
      </w:r>
      <w:r>
        <w:rPr>
          <w:rStyle w:val="Emphasis"/>
        </w:rPr>
        <w:t>Moore</w:t>
      </w:r>
      <w:r>
        <w:t xml:space="preserve">, however, noted the </w:t>
      </w:r>
      <w:r>
        <w:rPr>
          <w:rStyle w:val="Emphasis"/>
        </w:rPr>
        <w:t>lack</w:t>
      </w:r>
      <w:r>
        <w:t xml:space="preserve"> of </w:t>
      </w:r>
      <w:proofErr w:type="gramStart"/>
      <w:r>
        <w:t>any facts</w:t>
      </w:r>
      <w:proofErr w:type="gramEnd"/>
      <w:r>
        <w:t xml:space="preserve"> giving rise to such an inference, which suggests the possibility that such an inference could be drawn in appropriate circumstances.  But no such inference can be drawn from the facts or opinions in this case, even when viewed in the light most favorable to Carlton. In the context of responding to this emergency, Officer Means's act of driving over the speed limit and past a stop sign-even if reckless-did not show an intent to injure anyone, only an intent to get to the officer in need as quickly as possible.” </w:t>
      </w:r>
      <w:hyperlink r:id="rId970" w:history="1">
        <w:r w:rsidRPr="00D10854">
          <w:rPr>
            <w:rStyle w:val="Hyperlink"/>
          </w:rPr>
          <w:t>https://www.courts.mo.gov/file.jsp?id=205075</w:t>
        </w:r>
      </w:hyperlink>
      <w:r>
        <w:t xml:space="preserve"> </w:t>
      </w:r>
    </w:p>
    <w:p w14:paraId="3643BB04" w14:textId="77777777" w:rsidR="00D73F92" w:rsidRPr="00175FBA" w:rsidRDefault="00D73F92" w:rsidP="00D73F92">
      <w:pPr>
        <w:pStyle w:val="NormalWeb"/>
        <w:rPr>
          <w:b/>
          <w:bCs/>
        </w:rPr>
      </w:pPr>
      <w:r w:rsidRPr="00175FBA">
        <w:rPr>
          <w:b/>
          <w:bCs/>
        </w:rPr>
        <w:t>Legal Lesson Learned</w:t>
      </w:r>
      <w:r>
        <w:rPr>
          <w:b/>
          <w:bCs/>
        </w:rPr>
        <w:t xml:space="preserve">: This officer, and his </w:t>
      </w:r>
      <w:proofErr w:type="gramStart"/>
      <w:r>
        <w:rPr>
          <w:b/>
          <w:bCs/>
        </w:rPr>
        <w:t>City</w:t>
      </w:r>
      <w:proofErr w:type="gramEnd"/>
      <w:r>
        <w:rPr>
          <w:b/>
          <w:bCs/>
        </w:rPr>
        <w:t xml:space="preserve">, were very fortunate to escape liability for this reckless conduct. </w:t>
      </w:r>
    </w:p>
    <w:p w14:paraId="24E6E62C" w14:textId="77777777" w:rsidR="00AF2973" w:rsidRDefault="00AF2973" w:rsidP="00EF1133">
      <w:pPr>
        <w:rPr>
          <w:rFonts w:ascii="Arial Black" w:hAnsi="Arial Black"/>
          <w:b/>
          <w:sz w:val="24"/>
          <w:szCs w:val="24"/>
        </w:rPr>
      </w:pPr>
    </w:p>
    <w:p w14:paraId="77AD4061" w14:textId="068B3117" w:rsidR="00BB49C5" w:rsidRDefault="00E118E6" w:rsidP="00EF1133">
      <w:pPr>
        <w:rPr>
          <w:rFonts w:ascii="Arial Black" w:hAnsi="Arial Black"/>
          <w:b/>
          <w:sz w:val="24"/>
          <w:szCs w:val="24"/>
        </w:rPr>
      </w:pPr>
      <w:r>
        <w:rPr>
          <w:rFonts w:ascii="Arial Black" w:hAnsi="Arial Black"/>
          <w:b/>
          <w:sz w:val="24"/>
          <w:szCs w:val="24"/>
        </w:rPr>
        <w:t>5-39</w:t>
      </w:r>
    </w:p>
    <w:p w14:paraId="6893F751" w14:textId="77777777" w:rsidR="00E118E6" w:rsidRDefault="00E118E6" w:rsidP="00E118E6">
      <w:pPr>
        <w:pStyle w:val="Heading1"/>
        <w:rPr>
          <w:rFonts w:ascii="Arial Black" w:hAnsi="Arial Black"/>
          <w:b w:val="0"/>
          <w:bCs w:val="0"/>
          <w:sz w:val="28"/>
          <w:szCs w:val="28"/>
        </w:rPr>
      </w:pPr>
      <w:r>
        <w:rPr>
          <w:rFonts w:ascii="Arial Black" w:hAnsi="Arial Black"/>
          <w:sz w:val="28"/>
          <w:szCs w:val="28"/>
        </w:rPr>
        <w:t xml:space="preserve">TX: PD &amp; EMS REPORTS GAVE CITY ADEQUATE “NOTICE” PD AT FAULT INJURED MOTORIST – LAWSUIT PROCEEED </w:t>
      </w:r>
    </w:p>
    <w:p w14:paraId="0F83DB56" w14:textId="77777777" w:rsidR="00E118E6" w:rsidRPr="00556010" w:rsidRDefault="00E118E6" w:rsidP="00E118E6">
      <w:pPr>
        <w:pStyle w:val="NoSpacing"/>
        <w:rPr>
          <w:rFonts w:ascii="Times New Roman" w:hAnsi="Times New Roman"/>
          <w:sz w:val="24"/>
          <w:szCs w:val="24"/>
        </w:rPr>
      </w:pPr>
      <w:r w:rsidRPr="00556010">
        <w:rPr>
          <w:rFonts w:ascii="Times New Roman" w:hAnsi="Times New Roman"/>
          <w:sz w:val="24"/>
          <w:szCs w:val="24"/>
        </w:rPr>
        <w:t xml:space="preserve">On Dec. 28, 2023, in </w:t>
      </w:r>
      <w:r w:rsidRPr="00556010">
        <w:rPr>
          <w:rFonts w:ascii="Times New Roman" w:hAnsi="Times New Roman"/>
          <w:sz w:val="24"/>
          <w:szCs w:val="24"/>
          <w:u w:val="single"/>
        </w:rPr>
        <w:t>City of Houston v. Marvis Huff</w:t>
      </w:r>
      <w:r w:rsidRPr="00556010">
        <w:rPr>
          <w:rFonts w:ascii="Times New Roman" w:hAnsi="Times New Roman"/>
          <w:sz w:val="24"/>
          <w:szCs w:val="24"/>
        </w:rPr>
        <w:t>, the Court of Appeals of Texas, First District, held (3 to 0) that trial court judge properly denied the City’s motion for summary judgment; the personal injury lawsuit may proceed even if injured party didn’t give City formal notice of his claim within 90 days (was 60 days late). “Officer Rangel concluded in the crash report that Officer Miller improperly</w:t>
      </w:r>
      <w:r>
        <w:rPr>
          <w:rFonts w:ascii="Times New Roman" w:hAnsi="Times New Roman"/>
          <w:sz w:val="24"/>
          <w:szCs w:val="24"/>
        </w:rPr>
        <w:t xml:space="preserve"> </w:t>
      </w:r>
      <w:r w:rsidRPr="00556010">
        <w:rPr>
          <w:rFonts w:ascii="Times New Roman" w:hAnsi="Times New Roman"/>
          <w:sz w:val="24"/>
          <w:szCs w:val="24"/>
        </w:rPr>
        <w:t xml:space="preserve">turned from the wrong lane and that this improper turn was the sole contributing factor to the accident. The report does not assign any fault to Huff or to any other party—other than Miller. Thus, the report in this case does more than just imply Miller’s </w:t>
      </w:r>
      <w:proofErr w:type="gramStart"/>
      <w:r w:rsidRPr="00556010">
        <w:rPr>
          <w:rFonts w:ascii="Times New Roman" w:hAnsi="Times New Roman"/>
          <w:sz w:val="24"/>
          <w:szCs w:val="24"/>
        </w:rPr>
        <w:t>fault—</w:t>
      </w:r>
      <w:proofErr w:type="gramEnd"/>
      <w:r w:rsidRPr="00556010">
        <w:rPr>
          <w:rFonts w:ascii="Times New Roman" w:hAnsi="Times New Roman"/>
          <w:sz w:val="24"/>
          <w:szCs w:val="24"/>
        </w:rPr>
        <w:t xml:space="preserve">it expressly assigns fault to him. An incident that triggers an investigation and accident report will impute actual notice where there is evidence to connect the accident to an action or omission by the governmental unit such that it should have known of its potential </w:t>
      </w:r>
      <w:proofErr w:type="gramStart"/>
      <w:r w:rsidRPr="00556010">
        <w:rPr>
          <w:rFonts w:ascii="Times New Roman" w:hAnsi="Times New Roman"/>
          <w:sz w:val="24"/>
          <w:szCs w:val="24"/>
        </w:rPr>
        <w:t>culpability.”</w:t>
      </w:r>
      <w:proofErr w:type="gramEnd"/>
      <w:r w:rsidRPr="00556010">
        <w:rPr>
          <w:rFonts w:ascii="Times New Roman" w:hAnsi="Times New Roman"/>
          <w:sz w:val="24"/>
          <w:szCs w:val="24"/>
        </w:rPr>
        <w:t xml:space="preserve"> </w:t>
      </w:r>
      <w:hyperlink r:id="rId971" w:history="1">
        <w:r w:rsidRPr="00556010">
          <w:rPr>
            <w:rStyle w:val="Hyperlink"/>
            <w:rFonts w:ascii="Times New Roman" w:hAnsi="Times New Roman"/>
            <w:sz w:val="24"/>
            <w:szCs w:val="24"/>
          </w:rPr>
          <w:t>https://cases.justia.com/texas/first-court-of-appeals/2023-01-22-00496-cv.pdf?ts=1703769793</w:t>
        </w:r>
      </w:hyperlink>
      <w:r w:rsidRPr="00556010">
        <w:rPr>
          <w:rFonts w:ascii="Times New Roman" w:hAnsi="Times New Roman"/>
          <w:sz w:val="24"/>
          <w:szCs w:val="24"/>
        </w:rPr>
        <w:t xml:space="preserve"> </w:t>
      </w:r>
    </w:p>
    <w:p w14:paraId="080B7229" w14:textId="77777777" w:rsidR="00AB682E" w:rsidRPr="00496608" w:rsidRDefault="00AB682E" w:rsidP="00AB682E">
      <w:pPr>
        <w:pStyle w:val="NormalWeb"/>
        <w:rPr>
          <w:b/>
          <w:bCs/>
        </w:rPr>
      </w:pPr>
      <w:r w:rsidRPr="00496608">
        <w:rPr>
          <w:b/>
          <w:bCs/>
        </w:rPr>
        <w:t>Legal Lesson Learned:</w:t>
      </w:r>
      <w:r>
        <w:rPr>
          <w:b/>
          <w:bCs/>
        </w:rPr>
        <w:t xml:space="preserve"> City ordinance requiring 90- day notice can be set aside when PD and EMS reports confirmed injury. </w:t>
      </w:r>
    </w:p>
    <w:p w14:paraId="0E839265" w14:textId="77777777" w:rsidR="00E118E6" w:rsidRDefault="00E118E6" w:rsidP="00EF1133">
      <w:pPr>
        <w:rPr>
          <w:rFonts w:ascii="Arial Black" w:hAnsi="Arial Black"/>
          <w:b/>
          <w:sz w:val="24"/>
          <w:szCs w:val="24"/>
        </w:rPr>
      </w:pPr>
    </w:p>
    <w:p w14:paraId="5C1C0CD6" w14:textId="46DAA9A1" w:rsidR="007B5BD2" w:rsidRDefault="007B5BD2" w:rsidP="00EF1133">
      <w:pPr>
        <w:rPr>
          <w:rFonts w:ascii="Arial Black" w:hAnsi="Arial Black"/>
          <w:b/>
          <w:sz w:val="24"/>
          <w:szCs w:val="24"/>
        </w:rPr>
      </w:pPr>
      <w:r>
        <w:rPr>
          <w:rFonts w:ascii="Arial Black" w:hAnsi="Arial Black"/>
          <w:b/>
          <w:sz w:val="24"/>
          <w:szCs w:val="24"/>
        </w:rPr>
        <w:lastRenderedPageBreak/>
        <w:t>5-3</w:t>
      </w:r>
      <w:r w:rsidR="00964D1B">
        <w:rPr>
          <w:rFonts w:ascii="Arial Black" w:hAnsi="Arial Black"/>
          <w:b/>
          <w:sz w:val="24"/>
          <w:szCs w:val="24"/>
        </w:rPr>
        <w:t>8</w:t>
      </w:r>
    </w:p>
    <w:p w14:paraId="4D7D017C" w14:textId="6E9EE2A8" w:rsidR="007B5BD2" w:rsidRPr="004F3E23" w:rsidRDefault="007B5BD2" w:rsidP="007B5BD2">
      <w:pPr>
        <w:pStyle w:val="NoSpacing"/>
        <w:rPr>
          <w:rFonts w:ascii="Arial Black" w:hAnsi="Arial Black"/>
          <w:b/>
          <w:sz w:val="28"/>
          <w:szCs w:val="28"/>
        </w:rPr>
      </w:pPr>
      <w:r>
        <w:rPr>
          <w:rFonts w:ascii="Arial Black" w:hAnsi="Arial Black"/>
          <w:b/>
          <w:sz w:val="28"/>
          <w:szCs w:val="28"/>
        </w:rPr>
        <w:t>OH: AMBULANCE TURNING LEFT NON-EMER. TRANSPORT -</w:t>
      </w:r>
      <w:r w:rsidR="00107D14">
        <w:rPr>
          <w:rFonts w:ascii="Arial Black" w:hAnsi="Arial Black"/>
          <w:b/>
          <w:sz w:val="28"/>
          <w:szCs w:val="28"/>
        </w:rPr>
        <w:t xml:space="preserve"> </w:t>
      </w:r>
      <w:r>
        <w:rPr>
          <w:rFonts w:ascii="Arial Black" w:hAnsi="Arial Black"/>
          <w:b/>
          <w:sz w:val="28"/>
          <w:szCs w:val="28"/>
        </w:rPr>
        <w:t>RUNS OVER FOOT PEDESTRIAN – LAWSUIT REINSTATED</w:t>
      </w:r>
    </w:p>
    <w:p w14:paraId="4FAED434" w14:textId="77777777" w:rsidR="007B5BD2" w:rsidRDefault="007B5BD2" w:rsidP="007B5BD2">
      <w:pPr>
        <w:pStyle w:val="NoSpacing"/>
        <w:rPr>
          <w:rFonts w:ascii="Times New Roman" w:hAnsi="Times New Roman"/>
          <w:b/>
          <w:sz w:val="24"/>
          <w:szCs w:val="24"/>
        </w:rPr>
      </w:pPr>
    </w:p>
    <w:p w14:paraId="010FA6C9" w14:textId="77777777" w:rsidR="007B5BD2" w:rsidRDefault="007B5BD2" w:rsidP="007B5BD2">
      <w:pPr>
        <w:pStyle w:val="NoSpacing"/>
        <w:rPr>
          <w:rFonts w:ascii="Times New Roman" w:hAnsi="Times New Roman"/>
          <w:bCs/>
          <w:sz w:val="24"/>
          <w:szCs w:val="24"/>
        </w:rPr>
      </w:pPr>
      <w:r>
        <w:rPr>
          <w:rFonts w:ascii="Times New Roman" w:hAnsi="Times New Roman"/>
          <w:bCs/>
          <w:sz w:val="24"/>
          <w:szCs w:val="24"/>
        </w:rPr>
        <w:t xml:space="preserve">On Nov. 22, 2023, in </w:t>
      </w:r>
      <w:r w:rsidRPr="00283F31">
        <w:rPr>
          <w:rFonts w:ascii="Times New Roman" w:hAnsi="Times New Roman"/>
          <w:bCs/>
          <w:sz w:val="24"/>
          <w:szCs w:val="24"/>
          <w:u w:val="single"/>
        </w:rPr>
        <w:t>Kiranmai Parker v. City of Cleveland, et al</w:t>
      </w:r>
      <w:r>
        <w:rPr>
          <w:rFonts w:ascii="Times New Roman" w:hAnsi="Times New Roman"/>
          <w:bCs/>
          <w:sz w:val="24"/>
          <w:szCs w:val="24"/>
        </w:rPr>
        <w:t xml:space="preserve">., the Ohio Court of Appeals for Eighth Appellate District (Cuyahoga County) held (3 to 0) that the trial court improperly dismissed the lawsuit.  The ambulance driver, Ms. </w:t>
      </w:r>
      <w:r w:rsidRPr="001A0714">
        <w:rPr>
          <w:rFonts w:ascii="Times New Roman" w:hAnsi="Times New Roman"/>
          <w:bCs/>
          <w:sz w:val="24"/>
          <w:szCs w:val="24"/>
        </w:rPr>
        <w:t>Sampson-Hall</w:t>
      </w:r>
      <w:r>
        <w:rPr>
          <w:rFonts w:ascii="Times New Roman" w:hAnsi="Times New Roman"/>
          <w:bCs/>
          <w:sz w:val="24"/>
          <w:szCs w:val="24"/>
        </w:rPr>
        <w:t xml:space="preserve">, and her partner were transporting a minor injury patient to hospital and was turning left in an intersection. The pedestrian had a “walk” sign when the </w:t>
      </w:r>
      <w:r w:rsidRPr="00B02E61">
        <w:rPr>
          <w:rFonts w:ascii="Times New Roman" w:hAnsi="Times New Roman"/>
          <w:bCs/>
          <w:sz w:val="24"/>
          <w:szCs w:val="24"/>
        </w:rPr>
        <w:t>vehicle’s front left tire crushed Pakeer’s right foot, causing</w:t>
      </w:r>
      <w:r>
        <w:rPr>
          <w:rFonts w:ascii="Times New Roman" w:hAnsi="Times New Roman"/>
          <w:bCs/>
          <w:sz w:val="24"/>
          <w:szCs w:val="24"/>
        </w:rPr>
        <w:t xml:space="preserve"> </w:t>
      </w:r>
      <w:r w:rsidRPr="00B02E61">
        <w:rPr>
          <w:rFonts w:ascii="Times New Roman" w:hAnsi="Times New Roman"/>
          <w:bCs/>
          <w:sz w:val="24"/>
          <w:szCs w:val="24"/>
        </w:rPr>
        <w:t>several fractures leading to the amputation of her big toe.</w:t>
      </w:r>
      <w:r>
        <w:rPr>
          <w:rFonts w:ascii="Times New Roman" w:hAnsi="Times New Roman"/>
          <w:bCs/>
          <w:sz w:val="24"/>
          <w:szCs w:val="24"/>
        </w:rPr>
        <w:t xml:space="preserve">  </w:t>
      </w:r>
      <w:hyperlink r:id="rId972" w:history="1">
        <w:r w:rsidRPr="00821889">
          <w:rPr>
            <w:rStyle w:val="Hyperlink"/>
            <w:rFonts w:ascii="Times New Roman" w:hAnsi="Times New Roman"/>
            <w:bCs/>
            <w:sz w:val="24"/>
            <w:szCs w:val="24"/>
          </w:rPr>
          <w:t>https://www.supremecourt.ohio.gov/rod/docs/pdf/8/2023/2023-Ohio-4213.pdf</w:t>
        </w:r>
      </w:hyperlink>
      <w:r>
        <w:rPr>
          <w:rFonts w:ascii="Times New Roman" w:hAnsi="Times New Roman"/>
          <w:bCs/>
          <w:sz w:val="24"/>
          <w:szCs w:val="24"/>
        </w:rPr>
        <w:t xml:space="preserve"> </w:t>
      </w:r>
    </w:p>
    <w:p w14:paraId="507E22F8" w14:textId="77777777" w:rsidR="007B5BD2" w:rsidRDefault="007B5BD2" w:rsidP="007B5BD2">
      <w:pPr>
        <w:pStyle w:val="NoSpacing"/>
        <w:rPr>
          <w:rFonts w:ascii="Times New Roman" w:hAnsi="Times New Roman"/>
          <w:bCs/>
          <w:sz w:val="24"/>
          <w:szCs w:val="24"/>
        </w:rPr>
      </w:pPr>
    </w:p>
    <w:p w14:paraId="1210558C" w14:textId="77777777" w:rsidR="007B5BD2" w:rsidRDefault="007B5BD2" w:rsidP="007B5BD2">
      <w:pPr>
        <w:pStyle w:val="NoSpacing"/>
        <w:rPr>
          <w:rFonts w:ascii="Times New Roman" w:hAnsi="Times New Roman"/>
          <w:bCs/>
          <w:sz w:val="24"/>
          <w:szCs w:val="24"/>
        </w:rPr>
      </w:pPr>
      <w:r>
        <w:rPr>
          <w:rFonts w:ascii="Times New Roman" w:hAnsi="Times New Roman"/>
          <w:bCs/>
          <w:sz w:val="24"/>
          <w:szCs w:val="24"/>
        </w:rPr>
        <w:t xml:space="preserve">The Court wrote: </w:t>
      </w:r>
    </w:p>
    <w:p w14:paraId="17AE8573" w14:textId="77777777" w:rsidR="007B5BD2" w:rsidRDefault="007B5BD2" w:rsidP="007B5BD2">
      <w:pPr>
        <w:pStyle w:val="NoSpacing"/>
        <w:rPr>
          <w:rFonts w:ascii="Times New Roman" w:hAnsi="Times New Roman"/>
          <w:bCs/>
          <w:sz w:val="24"/>
          <w:szCs w:val="24"/>
        </w:rPr>
      </w:pPr>
    </w:p>
    <w:p w14:paraId="1D4238FD" w14:textId="77777777" w:rsidR="007B5BD2" w:rsidRDefault="007B5BD2" w:rsidP="007B5BD2">
      <w:pPr>
        <w:pStyle w:val="NoSpacing"/>
        <w:ind w:left="720"/>
        <w:rPr>
          <w:rFonts w:ascii="Times New Roman" w:hAnsi="Times New Roman"/>
          <w:bCs/>
          <w:sz w:val="24"/>
          <w:szCs w:val="24"/>
        </w:rPr>
      </w:pPr>
      <w:r>
        <w:rPr>
          <w:rFonts w:ascii="Times New Roman" w:hAnsi="Times New Roman"/>
          <w:bCs/>
          <w:sz w:val="24"/>
          <w:szCs w:val="24"/>
        </w:rPr>
        <w:t xml:space="preserve">“She </w:t>
      </w:r>
      <w:r w:rsidRPr="0081318D">
        <w:rPr>
          <w:rFonts w:ascii="Times New Roman" w:hAnsi="Times New Roman"/>
          <w:bCs/>
          <w:sz w:val="24"/>
          <w:szCs w:val="24"/>
        </w:rPr>
        <w:t xml:space="preserve">claims to have slowed but kept moving in one continuous motion, and despite the five-second delay between the pedestrian light and the yellow arrow on Chester Avenue, Sampson-Hall still collided with Pakeer. Thus, there is an issue of fact as to the timing of the traffic lights as they relate to Sampson-Hall’s travel. The pedestrian’s </w:t>
      </w:r>
      <w:r>
        <w:rPr>
          <w:rFonts w:ascii="Times New Roman" w:hAnsi="Times New Roman"/>
          <w:bCs/>
          <w:sz w:val="24"/>
          <w:szCs w:val="24"/>
        </w:rPr>
        <w:t>‘</w:t>
      </w:r>
      <w:r w:rsidRPr="0081318D">
        <w:rPr>
          <w:rFonts w:ascii="Times New Roman" w:hAnsi="Times New Roman"/>
          <w:bCs/>
          <w:sz w:val="24"/>
          <w:szCs w:val="24"/>
        </w:rPr>
        <w:t>walk</w:t>
      </w:r>
      <w:r>
        <w:rPr>
          <w:rFonts w:ascii="Times New Roman" w:hAnsi="Times New Roman"/>
          <w:bCs/>
          <w:sz w:val="24"/>
          <w:szCs w:val="24"/>
        </w:rPr>
        <w:t>’</w:t>
      </w:r>
      <w:r w:rsidRPr="0081318D">
        <w:rPr>
          <w:rFonts w:ascii="Times New Roman" w:hAnsi="Times New Roman"/>
          <w:bCs/>
          <w:sz w:val="24"/>
          <w:szCs w:val="24"/>
        </w:rPr>
        <w:t xml:space="preserve"> signal illuminates five seconds after the Chester Avenue traffic control light for turning traffic illuminates the yellow arrow. The collision undisputedly occurred after the “walk” signal illuminated and Pakeer took one or two steps into the intersection (meaning additional time passed after the walk signal was illuminated). There is enough evidence, construing the disputed evidence in Pakeer’s favor, demonstrating that she possessed the </w:t>
      </w:r>
      <w:proofErr w:type="gramStart"/>
      <w:r w:rsidRPr="0081318D">
        <w:rPr>
          <w:rFonts w:ascii="Times New Roman" w:hAnsi="Times New Roman"/>
          <w:bCs/>
          <w:sz w:val="24"/>
          <w:szCs w:val="24"/>
        </w:rPr>
        <w:t>right of</w:t>
      </w:r>
      <w:proofErr w:type="gramEnd"/>
      <w:r w:rsidRPr="0081318D">
        <w:rPr>
          <w:rFonts w:ascii="Times New Roman" w:hAnsi="Times New Roman"/>
          <w:bCs/>
          <w:sz w:val="24"/>
          <w:szCs w:val="24"/>
        </w:rPr>
        <w:t xml:space="preserve"> way to cross the street.</w:t>
      </w:r>
      <w:r>
        <w:rPr>
          <w:rFonts w:ascii="Times New Roman" w:hAnsi="Times New Roman"/>
          <w:bCs/>
          <w:sz w:val="24"/>
          <w:szCs w:val="24"/>
        </w:rPr>
        <w:t xml:space="preserve"> </w:t>
      </w:r>
      <w:r w:rsidRPr="00912610">
        <w:rPr>
          <w:rFonts w:ascii="Times New Roman" w:hAnsi="Times New Roman"/>
          <w:bCs/>
          <w:sz w:val="24"/>
          <w:szCs w:val="24"/>
        </w:rPr>
        <w:t>*** At the least, the City has not demonstrated the absence of genuine issues of material fact with respect to whether Sampson-Hall’s operation of the vehicle constituted wanton misconduct for the purposes of R.C. 2744.02(B)(1)(c). That question is one for the jury to decide based on whose version of events is deemed more credible.”</w:t>
      </w:r>
      <w:r w:rsidRPr="007428B7">
        <w:t xml:space="preserve"> </w:t>
      </w:r>
      <w:hyperlink r:id="rId973" w:history="1">
        <w:r w:rsidRPr="00821889">
          <w:rPr>
            <w:rStyle w:val="Hyperlink"/>
            <w:rFonts w:ascii="Times New Roman" w:hAnsi="Times New Roman"/>
            <w:bCs/>
            <w:sz w:val="24"/>
            <w:szCs w:val="24"/>
          </w:rPr>
          <w:t>https://www.supremecourt.ohio.gov/rod/docs/pdf/8/2023/2023-Ohio-4213.pdf</w:t>
        </w:r>
      </w:hyperlink>
      <w:r>
        <w:rPr>
          <w:rFonts w:ascii="Times New Roman" w:hAnsi="Times New Roman"/>
          <w:bCs/>
          <w:sz w:val="24"/>
          <w:szCs w:val="24"/>
        </w:rPr>
        <w:t xml:space="preserve"> </w:t>
      </w:r>
    </w:p>
    <w:p w14:paraId="1090FBD5" w14:textId="77777777" w:rsidR="007B5BD2" w:rsidRDefault="007B5BD2" w:rsidP="007B5BD2">
      <w:pPr>
        <w:pStyle w:val="NoSpacing"/>
        <w:rPr>
          <w:rFonts w:ascii="Times New Roman" w:hAnsi="Times New Roman"/>
          <w:bCs/>
          <w:sz w:val="24"/>
          <w:szCs w:val="24"/>
        </w:rPr>
      </w:pPr>
    </w:p>
    <w:p w14:paraId="2519DD84" w14:textId="77777777" w:rsidR="007B5BD2" w:rsidRDefault="007B5BD2" w:rsidP="007B5BD2">
      <w:pPr>
        <w:pStyle w:val="NoSpacing"/>
        <w:rPr>
          <w:rFonts w:ascii="Times New Roman" w:hAnsi="Times New Roman"/>
          <w:b/>
          <w:sz w:val="24"/>
          <w:szCs w:val="24"/>
        </w:rPr>
      </w:pPr>
      <w:r w:rsidRPr="007428B7">
        <w:rPr>
          <w:rFonts w:ascii="Times New Roman" w:hAnsi="Times New Roman"/>
          <w:b/>
          <w:sz w:val="24"/>
          <w:szCs w:val="24"/>
        </w:rPr>
        <w:t xml:space="preserve">Legal Lesson Learned: </w:t>
      </w:r>
      <w:r>
        <w:rPr>
          <w:rFonts w:ascii="Times New Roman" w:hAnsi="Times New Roman"/>
          <w:b/>
          <w:sz w:val="24"/>
          <w:szCs w:val="24"/>
        </w:rPr>
        <w:t>Jury will now decide if EMS driver conduct was “wanton misconduct.”</w:t>
      </w:r>
    </w:p>
    <w:p w14:paraId="269F6F49" w14:textId="77777777" w:rsidR="007B5BD2" w:rsidRDefault="007B5BD2" w:rsidP="00EF1133">
      <w:pPr>
        <w:rPr>
          <w:rFonts w:ascii="Arial Black" w:hAnsi="Arial Black"/>
          <w:b/>
          <w:sz w:val="24"/>
          <w:szCs w:val="24"/>
        </w:rPr>
      </w:pPr>
    </w:p>
    <w:p w14:paraId="23069079" w14:textId="5CFF4C79" w:rsidR="007B5BD2" w:rsidRDefault="007B5BD2" w:rsidP="00EF1133">
      <w:pPr>
        <w:rPr>
          <w:rFonts w:ascii="Arial Black" w:hAnsi="Arial Black"/>
          <w:b/>
          <w:sz w:val="24"/>
          <w:szCs w:val="24"/>
        </w:rPr>
      </w:pPr>
      <w:r>
        <w:rPr>
          <w:rFonts w:ascii="Arial Black" w:hAnsi="Arial Black"/>
          <w:b/>
          <w:sz w:val="24"/>
          <w:szCs w:val="24"/>
        </w:rPr>
        <w:t>5-3</w:t>
      </w:r>
      <w:r w:rsidR="00964D1B">
        <w:rPr>
          <w:rFonts w:ascii="Arial Black" w:hAnsi="Arial Black"/>
          <w:b/>
          <w:sz w:val="24"/>
          <w:szCs w:val="24"/>
        </w:rPr>
        <w:t>7</w:t>
      </w:r>
    </w:p>
    <w:p w14:paraId="10C981B7" w14:textId="77777777" w:rsidR="009A03D1" w:rsidRDefault="009A03D1" w:rsidP="009A03D1">
      <w:pPr>
        <w:pStyle w:val="NoSpacing"/>
        <w:rPr>
          <w:rFonts w:ascii="Arial Black" w:hAnsi="Arial Black"/>
          <w:b/>
          <w:sz w:val="28"/>
          <w:szCs w:val="28"/>
        </w:rPr>
      </w:pPr>
      <w:r>
        <w:rPr>
          <w:rFonts w:ascii="Arial Black" w:hAnsi="Arial Black"/>
          <w:b/>
          <w:sz w:val="28"/>
          <w:szCs w:val="28"/>
        </w:rPr>
        <w:t>MI: MOTORIST KILLED – PULLED LEFT INTO ENGINE GOING AGAINST TRAFFIC – 44 MPH / 35 MPH ZONE, CASE PROCEED</w:t>
      </w:r>
    </w:p>
    <w:p w14:paraId="1D821323" w14:textId="77777777" w:rsidR="009A03D1" w:rsidRDefault="009A03D1" w:rsidP="009A03D1">
      <w:pPr>
        <w:pStyle w:val="NoSpacing"/>
        <w:rPr>
          <w:rFonts w:ascii="Times New Roman" w:hAnsi="Times New Roman"/>
          <w:bCs/>
          <w:sz w:val="24"/>
          <w:szCs w:val="24"/>
        </w:rPr>
      </w:pPr>
    </w:p>
    <w:p w14:paraId="2224EE66" w14:textId="77777777" w:rsidR="009A03D1" w:rsidRDefault="009A03D1" w:rsidP="009A03D1">
      <w:pPr>
        <w:pStyle w:val="NoSpacing"/>
        <w:rPr>
          <w:rFonts w:ascii="Times New Roman" w:hAnsi="Times New Roman"/>
          <w:bCs/>
          <w:sz w:val="24"/>
          <w:szCs w:val="24"/>
        </w:rPr>
      </w:pPr>
      <w:r>
        <w:rPr>
          <w:rFonts w:ascii="Times New Roman" w:hAnsi="Times New Roman"/>
          <w:bCs/>
          <w:sz w:val="24"/>
          <w:szCs w:val="24"/>
        </w:rPr>
        <w:t xml:space="preserve">On Nov. 21, 2023, in </w:t>
      </w:r>
      <w:r w:rsidRPr="00DA24D6">
        <w:rPr>
          <w:rFonts w:ascii="Times New Roman" w:hAnsi="Times New Roman"/>
          <w:bCs/>
          <w:sz w:val="24"/>
          <w:szCs w:val="24"/>
          <w:u w:val="single"/>
        </w:rPr>
        <w:t>Harold T. Sullivan, Personal Representative of the Estate of India D. Sullivan v. Brett Matthew Stiles and the City of Detroit</w:t>
      </w:r>
      <w:r>
        <w:rPr>
          <w:rFonts w:ascii="Times New Roman" w:hAnsi="Times New Roman"/>
          <w:bCs/>
          <w:sz w:val="24"/>
          <w:szCs w:val="24"/>
        </w:rPr>
        <w:t xml:space="preserve">, the Michigan Court of Appeals held (3 to 0) that trial court improperly dismissed the lawsuit. On a run for a structure fire, because of heavy traffic the first responding engine went into the oncoming lane.  FAO Brett Stiles, driving the second engine a few seconds behind the first, was going about 44 mph in a </w:t>
      </w:r>
      <w:proofErr w:type="gramStart"/>
      <w:r>
        <w:rPr>
          <w:rFonts w:ascii="Times New Roman" w:hAnsi="Times New Roman"/>
          <w:bCs/>
          <w:sz w:val="24"/>
          <w:szCs w:val="24"/>
        </w:rPr>
        <w:t>35 mph</w:t>
      </w:r>
      <w:proofErr w:type="gramEnd"/>
      <w:r>
        <w:rPr>
          <w:rFonts w:ascii="Times New Roman" w:hAnsi="Times New Roman"/>
          <w:bCs/>
          <w:sz w:val="24"/>
          <w:szCs w:val="24"/>
        </w:rPr>
        <w:t xml:space="preserve"> area, also went into the oncoming lane.  The deceased had her left turn signal on and turned left into the second engine. </w:t>
      </w:r>
      <w:hyperlink r:id="rId974" w:history="1">
        <w:r w:rsidRPr="00553FEF">
          <w:rPr>
            <w:rStyle w:val="Hyperlink"/>
            <w:rFonts w:ascii="Times New Roman" w:hAnsi="Times New Roman"/>
            <w:bCs/>
            <w:sz w:val="24"/>
            <w:szCs w:val="24"/>
          </w:rPr>
          <w:t>https://cases.justia.com/michigan/court-of-appeals-unpublished/2023-361624.pdf?ts=1700661618</w:t>
        </w:r>
      </w:hyperlink>
    </w:p>
    <w:p w14:paraId="7F0F03E6" w14:textId="77777777" w:rsidR="007B5BD2" w:rsidRDefault="007B5BD2" w:rsidP="00EF1133">
      <w:pPr>
        <w:rPr>
          <w:rFonts w:ascii="Arial Black" w:hAnsi="Arial Black"/>
          <w:b/>
          <w:sz w:val="24"/>
          <w:szCs w:val="24"/>
        </w:rPr>
      </w:pPr>
    </w:p>
    <w:p w14:paraId="5C1998F8" w14:textId="77777777" w:rsidR="0079584F" w:rsidRPr="00532965" w:rsidRDefault="0079584F" w:rsidP="0079584F">
      <w:pPr>
        <w:pStyle w:val="NoSpacing"/>
        <w:rPr>
          <w:rFonts w:ascii="Times New Roman" w:hAnsi="Times New Roman"/>
          <w:b/>
          <w:sz w:val="24"/>
          <w:szCs w:val="24"/>
        </w:rPr>
      </w:pPr>
      <w:r w:rsidRPr="00532965">
        <w:rPr>
          <w:rFonts w:ascii="Times New Roman" w:hAnsi="Times New Roman"/>
          <w:b/>
          <w:sz w:val="24"/>
          <w:szCs w:val="24"/>
        </w:rPr>
        <w:t xml:space="preserve">Legal Lesson Learned:  </w:t>
      </w:r>
      <w:r>
        <w:rPr>
          <w:rFonts w:ascii="Times New Roman" w:hAnsi="Times New Roman"/>
          <w:b/>
          <w:sz w:val="24"/>
          <w:szCs w:val="24"/>
        </w:rPr>
        <w:t xml:space="preserve">Fire &amp; EMS Departments should have an SOG requiring very reduced speed when traveling in a lane against oncoming traffic. </w:t>
      </w:r>
    </w:p>
    <w:p w14:paraId="0FEEED7D" w14:textId="77777777" w:rsidR="0079584F" w:rsidRDefault="0079584F" w:rsidP="00EF1133">
      <w:pPr>
        <w:rPr>
          <w:rFonts w:ascii="Arial Black" w:hAnsi="Arial Black"/>
          <w:b/>
          <w:sz w:val="24"/>
          <w:szCs w:val="24"/>
        </w:rPr>
      </w:pPr>
    </w:p>
    <w:p w14:paraId="5188441E" w14:textId="79506DCB" w:rsidR="0079584F" w:rsidRDefault="0079584F" w:rsidP="00EF1133">
      <w:pPr>
        <w:rPr>
          <w:rFonts w:ascii="Arial Black" w:hAnsi="Arial Black"/>
          <w:b/>
          <w:sz w:val="24"/>
          <w:szCs w:val="24"/>
        </w:rPr>
      </w:pPr>
      <w:r>
        <w:rPr>
          <w:rFonts w:ascii="Arial Black" w:hAnsi="Arial Black"/>
          <w:b/>
          <w:sz w:val="24"/>
          <w:szCs w:val="24"/>
        </w:rPr>
        <w:t>5-3</w:t>
      </w:r>
      <w:r w:rsidR="00964D1B">
        <w:rPr>
          <w:rFonts w:ascii="Arial Black" w:hAnsi="Arial Black"/>
          <w:b/>
          <w:sz w:val="24"/>
          <w:szCs w:val="24"/>
        </w:rPr>
        <w:t>6</w:t>
      </w:r>
    </w:p>
    <w:p w14:paraId="1CFF973A" w14:textId="77777777" w:rsidR="00D753A8" w:rsidRDefault="00D753A8" w:rsidP="00D753A8">
      <w:pPr>
        <w:pStyle w:val="NoSpacing"/>
        <w:rPr>
          <w:rFonts w:ascii="Arial Black" w:hAnsi="Arial Black"/>
          <w:sz w:val="28"/>
          <w:szCs w:val="28"/>
        </w:rPr>
      </w:pPr>
      <w:r>
        <w:rPr>
          <w:rFonts w:ascii="Arial Black" w:hAnsi="Arial Black"/>
          <w:sz w:val="28"/>
          <w:szCs w:val="28"/>
        </w:rPr>
        <w:lastRenderedPageBreak/>
        <w:t xml:space="preserve">OH: MUTUAL AID – WATER TENDER FROM WV – BACKING, KILLED TWO CIVILIAN - NO BACKING ALARM, NO BACKER </w:t>
      </w:r>
    </w:p>
    <w:p w14:paraId="14593E93" w14:textId="77777777" w:rsidR="00D753A8" w:rsidRDefault="00D753A8" w:rsidP="00D753A8">
      <w:pPr>
        <w:pStyle w:val="NoSpacing"/>
        <w:rPr>
          <w:rFonts w:ascii="Arial Black" w:hAnsi="Arial Black"/>
          <w:sz w:val="28"/>
          <w:szCs w:val="28"/>
        </w:rPr>
      </w:pPr>
    </w:p>
    <w:p w14:paraId="3EC25136" w14:textId="77777777" w:rsidR="00D753A8" w:rsidRDefault="00D753A8" w:rsidP="00D753A8">
      <w:pPr>
        <w:pStyle w:val="NoSpacing"/>
        <w:rPr>
          <w:rFonts w:ascii="Times New Roman" w:hAnsi="Times New Roman"/>
          <w:sz w:val="24"/>
          <w:szCs w:val="24"/>
        </w:rPr>
      </w:pPr>
      <w:r>
        <w:rPr>
          <w:rFonts w:ascii="Times New Roman" w:hAnsi="Times New Roman"/>
          <w:sz w:val="24"/>
          <w:szCs w:val="24"/>
        </w:rPr>
        <w:t xml:space="preserve">On Nov. 14, 2023, in </w:t>
      </w:r>
      <w:r w:rsidRPr="00EC19D2">
        <w:rPr>
          <w:rFonts w:ascii="Times New Roman" w:hAnsi="Times New Roman"/>
          <w:sz w:val="24"/>
          <w:szCs w:val="24"/>
          <w:u w:val="single"/>
        </w:rPr>
        <w:t>Craig W. Wakefield, as the Personal Representative and Administrator of the Estate of William A. Reed, Jr. and Karolyn Reed v. Williamstown Volunteer Fire Company, et al</w:t>
      </w:r>
      <w:r w:rsidRPr="00EC19D2">
        <w:rPr>
          <w:rFonts w:ascii="Times New Roman" w:hAnsi="Times New Roman"/>
          <w:sz w:val="24"/>
          <w:szCs w:val="24"/>
        </w:rPr>
        <w:t xml:space="preserve">., </w:t>
      </w:r>
      <w:r>
        <w:rPr>
          <w:rFonts w:ascii="Times New Roman" w:hAnsi="Times New Roman"/>
          <w:sz w:val="24"/>
          <w:szCs w:val="24"/>
        </w:rPr>
        <w:t xml:space="preserve">Chief U.S. District Court Judge Algenon L. Marbley, U.S. District Court for Southern District of Ohio (Cincinnati), held that defense motion for summary judgment is denied and case will proceed with pre-trial discovery. </w:t>
      </w:r>
      <w:hyperlink r:id="rId975" w:history="1">
        <w:r w:rsidRPr="006F62A4">
          <w:rPr>
            <w:rStyle w:val="Hyperlink"/>
            <w:rFonts w:ascii="Times New Roman" w:hAnsi="Times New Roman"/>
            <w:sz w:val="24"/>
            <w:szCs w:val="24"/>
          </w:rPr>
          <w:t>https://casetext.com/case/wakefield-v-williamstown-volunteer-fire-co</w:t>
        </w:r>
      </w:hyperlink>
      <w:r>
        <w:rPr>
          <w:rFonts w:ascii="Times New Roman" w:hAnsi="Times New Roman"/>
          <w:sz w:val="24"/>
          <w:szCs w:val="24"/>
        </w:rPr>
        <w:t xml:space="preserve"> </w:t>
      </w:r>
    </w:p>
    <w:p w14:paraId="3FB26D38" w14:textId="77777777" w:rsidR="00D753A8" w:rsidRDefault="00D753A8" w:rsidP="00D753A8">
      <w:pPr>
        <w:pStyle w:val="NoSpacing"/>
        <w:rPr>
          <w:rFonts w:ascii="Times New Roman" w:hAnsi="Times New Roman"/>
          <w:sz w:val="24"/>
          <w:szCs w:val="24"/>
        </w:rPr>
      </w:pPr>
    </w:p>
    <w:p w14:paraId="3B14C6B3" w14:textId="77777777" w:rsidR="00D753A8" w:rsidRDefault="00D753A8" w:rsidP="00D753A8">
      <w:pPr>
        <w:pStyle w:val="NoSpacing"/>
        <w:rPr>
          <w:rFonts w:ascii="Times New Roman" w:hAnsi="Times New Roman"/>
          <w:sz w:val="24"/>
          <w:szCs w:val="24"/>
        </w:rPr>
      </w:pPr>
    </w:p>
    <w:p w14:paraId="4B1F9147" w14:textId="77777777" w:rsidR="00964D1B" w:rsidRPr="000760A1" w:rsidRDefault="00964D1B" w:rsidP="00964D1B">
      <w:pPr>
        <w:pStyle w:val="NoSpacing"/>
        <w:rPr>
          <w:rFonts w:ascii="Times New Roman" w:hAnsi="Times New Roman"/>
          <w:b/>
          <w:bCs/>
          <w:sz w:val="24"/>
          <w:szCs w:val="24"/>
        </w:rPr>
      </w:pPr>
      <w:r w:rsidRPr="000760A1">
        <w:rPr>
          <w:rFonts w:ascii="Times New Roman" w:hAnsi="Times New Roman"/>
          <w:b/>
          <w:bCs/>
          <w:sz w:val="24"/>
          <w:szCs w:val="24"/>
        </w:rPr>
        <w:t>Legal Lesson Learned:</w:t>
      </w:r>
      <w:r>
        <w:rPr>
          <w:rFonts w:ascii="Times New Roman" w:hAnsi="Times New Roman"/>
          <w:b/>
          <w:bCs/>
          <w:sz w:val="24"/>
          <w:szCs w:val="24"/>
        </w:rPr>
        <w:t xml:space="preserve">  When backing an emergency vehicle, have a backer; tankers  should have a backing alarm; keep mutual aid agreement current. </w:t>
      </w:r>
    </w:p>
    <w:p w14:paraId="15151C40" w14:textId="77777777" w:rsidR="00964D1B" w:rsidRDefault="00964D1B" w:rsidP="00964D1B">
      <w:pPr>
        <w:pStyle w:val="Heading1"/>
        <w:ind w:left="720"/>
        <w:rPr>
          <w:b w:val="0"/>
          <w:bCs w:val="0"/>
          <w:sz w:val="24"/>
          <w:szCs w:val="24"/>
        </w:rPr>
      </w:pPr>
      <w:r w:rsidRPr="00315F60">
        <w:rPr>
          <w:b w:val="0"/>
          <w:bCs w:val="0"/>
          <w:sz w:val="24"/>
          <w:szCs w:val="24"/>
        </w:rPr>
        <w:t xml:space="preserve">Note: See Ohio Administrative Code: Rule 4123:1-3-06 </w:t>
      </w:r>
      <w:r w:rsidRPr="00315F60">
        <w:rPr>
          <w:rStyle w:val="codes-separator"/>
          <w:rFonts w:eastAsiaTheme="majorEastAsia"/>
          <w:b w:val="0"/>
          <w:bCs w:val="0"/>
          <w:sz w:val="24"/>
          <w:szCs w:val="24"/>
        </w:rPr>
        <w:t>|</w:t>
      </w:r>
      <w:r w:rsidRPr="00315F60">
        <w:rPr>
          <w:b w:val="0"/>
          <w:bCs w:val="0"/>
          <w:sz w:val="24"/>
          <w:szCs w:val="24"/>
        </w:rPr>
        <w:t xml:space="preserve"> Motor vehicles, mechanized equipment and marine operations. </w:t>
      </w:r>
      <w:hyperlink r:id="rId976" w:history="1">
        <w:r w:rsidRPr="00315F60">
          <w:rPr>
            <w:rStyle w:val="Hyperlink"/>
            <w:b w:val="0"/>
            <w:bCs w:val="0"/>
            <w:sz w:val="24"/>
            <w:szCs w:val="24"/>
          </w:rPr>
          <w:t>https://codes.ohio.gov/ohio-administrative-code/rule-4123:1-3-06</w:t>
        </w:r>
      </w:hyperlink>
      <w:r w:rsidRPr="00315F60">
        <w:rPr>
          <w:b w:val="0"/>
          <w:bCs w:val="0"/>
          <w:sz w:val="24"/>
          <w:szCs w:val="24"/>
        </w:rPr>
        <w:t xml:space="preserve"> </w:t>
      </w:r>
    </w:p>
    <w:p w14:paraId="65E9735A" w14:textId="77777777" w:rsidR="00964D1B" w:rsidRDefault="00964D1B" w:rsidP="00964D1B">
      <w:pPr>
        <w:pStyle w:val="first-paragraph"/>
        <w:ind w:firstLine="720"/>
      </w:pPr>
      <w:r>
        <w:t>(D) Motor vehicles.</w:t>
      </w:r>
    </w:p>
    <w:p w14:paraId="47FB3510" w14:textId="77777777" w:rsidR="00964D1B" w:rsidRDefault="00964D1B" w:rsidP="00964D1B">
      <w:pPr>
        <w:pStyle w:val="first-paragraph"/>
        <w:ind w:left="720"/>
      </w:pPr>
      <w:r>
        <w:t>(1) All trucks shall be equipped with an audible warning device, in an operable condition, at the operator's station.</w:t>
      </w:r>
    </w:p>
    <w:p w14:paraId="0B2F79D6" w14:textId="77777777" w:rsidR="00964D1B" w:rsidRDefault="00964D1B" w:rsidP="00964D1B">
      <w:pPr>
        <w:pStyle w:val="first-paragraph"/>
        <w:ind w:firstLine="720"/>
      </w:pPr>
      <w:r>
        <w:t>(2) On mobile equipment having an obstructed view to the rear, the employer shall:</w:t>
      </w:r>
    </w:p>
    <w:p w14:paraId="3761C41C" w14:textId="77777777" w:rsidR="00964D1B" w:rsidRDefault="00964D1B" w:rsidP="00964D1B">
      <w:pPr>
        <w:pStyle w:val="first-paragraph"/>
        <w:ind w:firstLine="720"/>
      </w:pPr>
      <w:r>
        <w:t>(a) Provide a reverse signal alarm audible above the surrounding noise, or</w:t>
      </w:r>
    </w:p>
    <w:p w14:paraId="3CAD36F2" w14:textId="77777777" w:rsidR="00964D1B" w:rsidRDefault="00964D1B" w:rsidP="00964D1B">
      <w:pPr>
        <w:pStyle w:val="first-paragraph"/>
        <w:ind w:firstLine="720"/>
      </w:pPr>
      <w:r>
        <w:t>(b) Provide an observer to signal the assured clear distance.</w:t>
      </w:r>
    </w:p>
    <w:p w14:paraId="497D40C2" w14:textId="77777777" w:rsidR="0079584F" w:rsidRDefault="0079584F" w:rsidP="00EF1133">
      <w:pPr>
        <w:rPr>
          <w:rFonts w:ascii="Arial Black" w:hAnsi="Arial Black"/>
          <w:b/>
          <w:sz w:val="24"/>
          <w:szCs w:val="24"/>
        </w:rPr>
      </w:pPr>
    </w:p>
    <w:p w14:paraId="1B2955ED" w14:textId="0808348A" w:rsidR="00964D1B" w:rsidRDefault="00964D1B" w:rsidP="00EF1133">
      <w:pPr>
        <w:rPr>
          <w:rFonts w:ascii="Arial Black" w:hAnsi="Arial Black"/>
          <w:b/>
          <w:sz w:val="24"/>
          <w:szCs w:val="24"/>
        </w:rPr>
      </w:pPr>
      <w:r>
        <w:rPr>
          <w:rFonts w:ascii="Arial Black" w:hAnsi="Arial Black"/>
          <w:b/>
          <w:sz w:val="24"/>
          <w:szCs w:val="24"/>
        </w:rPr>
        <w:t>5-35</w:t>
      </w:r>
    </w:p>
    <w:p w14:paraId="50AFD306" w14:textId="77777777" w:rsidR="00C61041" w:rsidRPr="007C21B5" w:rsidRDefault="00C61041" w:rsidP="00C61041">
      <w:pPr>
        <w:rPr>
          <w:rFonts w:ascii="Arial Black" w:hAnsi="Arial Black"/>
          <w:b/>
          <w:bCs/>
          <w:sz w:val="28"/>
          <w:szCs w:val="28"/>
        </w:rPr>
      </w:pPr>
      <w:r>
        <w:rPr>
          <w:rFonts w:ascii="Arial Black" w:hAnsi="Arial Black"/>
          <w:b/>
          <w:bCs/>
          <w:sz w:val="28"/>
          <w:szCs w:val="28"/>
        </w:rPr>
        <w:t xml:space="preserve">TX: HOUSTON ROCKETS NBA PLAYER DRIVING FD HIGH-WATER VEHICLE - 3-DAY SUSPENSION – NO REHEARING </w:t>
      </w:r>
    </w:p>
    <w:p w14:paraId="043F7C01" w14:textId="77777777" w:rsidR="00C61041" w:rsidRDefault="00C61041" w:rsidP="00C61041">
      <w:pPr>
        <w:rPr>
          <w:rFonts w:ascii="Times New Roman" w:hAnsi="Times New Roman"/>
          <w:sz w:val="24"/>
          <w:szCs w:val="24"/>
        </w:rPr>
      </w:pPr>
      <w:r>
        <w:rPr>
          <w:rFonts w:ascii="Times New Roman" w:hAnsi="Times New Roman"/>
          <w:sz w:val="24"/>
          <w:szCs w:val="24"/>
        </w:rPr>
        <w:t xml:space="preserve">On Nov. 7, 2023, in </w:t>
      </w:r>
      <w:r w:rsidRPr="00D636AD">
        <w:rPr>
          <w:rFonts w:ascii="Times New Roman" w:hAnsi="Times New Roman"/>
          <w:sz w:val="24"/>
          <w:szCs w:val="24"/>
          <w:u w:val="single"/>
        </w:rPr>
        <w:t>City of Houston v. Steven M. Dubar</w:t>
      </w:r>
      <w:r>
        <w:rPr>
          <w:rFonts w:ascii="Times New Roman" w:hAnsi="Times New Roman"/>
          <w:sz w:val="24"/>
          <w:szCs w:val="24"/>
        </w:rPr>
        <w:t xml:space="preserve">, the Texas Fourteenth Court of Appeals denied the motion for rehearing (2 to 1) by District Chief Steven Dunbar, who received a three-day suspension for not submitting an official report about Houston Rockets personnel on board the FD’s High-Water Vehicle with a Rockets player driving the vehicle with lights and sirens activated. Dissenting Justice </w:t>
      </w:r>
      <w:r w:rsidRPr="008C7BAB">
        <w:rPr>
          <w:rFonts w:ascii="Times New Roman" w:hAnsi="Times New Roman"/>
          <w:sz w:val="24"/>
          <w:szCs w:val="24"/>
        </w:rPr>
        <w:t>Jerry Zimmerer</w:t>
      </w:r>
      <w:r>
        <w:rPr>
          <w:rFonts w:ascii="Times New Roman" w:hAnsi="Times New Roman"/>
          <w:sz w:val="24"/>
          <w:szCs w:val="24"/>
        </w:rPr>
        <w:t xml:space="preserve"> again wrote that he would give Chief Dubar another hearing. </w:t>
      </w:r>
      <w:hyperlink r:id="rId977" w:history="1">
        <w:r w:rsidRPr="007522CE">
          <w:rPr>
            <w:rStyle w:val="Hyperlink"/>
            <w:rFonts w:ascii="Times New Roman" w:hAnsi="Times New Roman"/>
            <w:sz w:val="24"/>
            <w:szCs w:val="24"/>
          </w:rPr>
          <w:t>https://search.txcourts.gov/SearchMedia.aspx?MediaVersionID=ce66bb80-60c8-4a68-9e10-0d461411b53e&amp;coa=coa14&amp;DT=Opinion&amp;MediaID=4a32394c-a506-4577-9679-e2747d0b06c4</w:t>
        </w:r>
      </w:hyperlink>
      <w:r w:rsidRPr="007522CE">
        <w:rPr>
          <w:rFonts w:ascii="Times New Roman" w:hAnsi="Times New Roman"/>
          <w:sz w:val="24"/>
          <w:szCs w:val="24"/>
        </w:rPr>
        <w:t xml:space="preserve"> </w:t>
      </w:r>
    </w:p>
    <w:p w14:paraId="3B6E0CBF" w14:textId="77777777" w:rsidR="000516E6" w:rsidRDefault="000516E6" w:rsidP="000516E6">
      <w:pPr>
        <w:rPr>
          <w:rFonts w:ascii="Times New Roman" w:hAnsi="Times New Roman"/>
          <w:b/>
          <w:bCs/>
          <w:sz w:val="24"/>
          <w:szCs w:val="24"/>
        </w:rPr>
      </w:pPr>
      <w:r w:rsidRPr="00A33895">
        <w:rPr>
          <w:rFonts w:ascii="Times New Roman" w:hAnsi="Times New Roman"/>
          <w:b/>
          <w:bCs/>
          <w:sz w:val="24"/>
          <w:szCs w:val="24"/>
        </w:rPr>
        <w:t>Legal Lesson Learned:</w:t>
      </w:r>
      <w:r>
        <w:rPr>
          <w:rFonts w:ascii="Times New Roman" w:hAnsi="Times New Roman"/>
          <w:b/>
          <w:bCs/>
          <w:sz w:val="24"/>
          <w:szCs w:val="24"/>
        </w:rPr>
        <w:t xml:space="preserve"> When sports team members or other civilians are on fire apparatus, </w:t>
      </w:r>
      <w:proofErr w:type="gramStart"/>
      <w:r>
        <w:rPr>
          <w:rFonts w:ascii="Times New Roman" w:hAnsi="Times New Roman"/>
          <w:b/>
          <w:bCs/>
          <w:sz w:val="24"/>
          <w:szCs w:val="24"/>
        </w:rPr>
        <w:t>a FD</w:t>
      </w:r>
      <w:proofErr w:type="gramEnd"/>
      <w:r>
        <w:rPr>
          <w:rFonts w:ascii="Times New Roman" w:hAnsi="Times New Roman"/>
          <w:b/>
          <w:bCs/>
          <w:sz w:val="24"/>
          <w:szCs w:val="24"/>
        </w:rPr>
        <w:t xml:space="preserve"> member must always be in control of the vehicle. </w:t>
      </w:r>
    </w:p>
    <w:p w14:paraId="3420281E" w14:textId="77777777" w:rsidR="00C61041" w:rsidRDefault="00C61041" w:rsidP="00EF1133">
      <w:pPr>
        <w:rPr>
          <w:rFonts w:ascii="Arial Black" w:hAnsi="Arial Black"/>
          <w:b/>
          <w:sz w:val="24"/>
          <w:szCs w:val="24"/>
        </w:rPr>
      </w:pPr>
    </w:p>
    <w:p w14:paraId="52295C33" w14:textId="77777777" w:rsidR="007B5BD2" w:rsidRDefault="007B5BD2" w:rsidP="00EF1133">
      <w:pPr>
        <w:rPr>
          <w:rFonts w:ascii="Arial Black" w:hAnsi="Arial Black"/>
          <w:b/>
          <w:sz w:val="24"/>
          <w:szCs w:val="24"/>
        </w:rPr>
      </w:pPr>
    </w:p>
    <w:p w14:paraId="27E45B02" w14:textId="4DE12A87" w:rsidR="00BB49C5" w:rsidRDefault="00BB49C5" w:rsidP="00EF1133">
      <w:pPr>
        <w:rPr>
          <w:rFonts w:ascii="Arial Black" w:hAnsi="Arial Black"/>
          <w:b/>
          <w:sz w:val="24"/>
          <w:szCs w:val="24"/>
        </w:rPr>
      </w:pPr>
      <w:r>
        <w:rPr>
          <w:rFonts w:ascii="Arial Black" w:hAnsi="Arial Black"/>
          <w:b/>
          <w:sz w:val="24"/>
          <w:szCs w:val="24"/>
        </w:rPr>
        <w:lastRenderedPageBreak/>
        <w:t>5-3</w:t>
      </w:r>
      <w:r w:rsidR="00A65FD8">
        <w:rPr>
          <w:rFonts w:ascii="Arial Black" w:hAnsi="Arial Black"/>
          <w:b/>
          <w:sz w:val="24"/>
          <w:szCs w:val="24"/>
        </w:rPr>
        <w:t>4</w:t>
      </w:r>
    </w:p>
    <w:p w14:paraId="565594C0" w14:textId="77777777" w:rsidR="00BB49C5" w:rsidRPr="006B2512" w:rsidRDefault="00BB49C5" w:rsidP="00BB49C5">
      <w:pPr>
        <w:pStyle w:val="NormalWeb"/>
        <w:rPr>
          <w:rFonts w:ascii="Arial Black" w:hAnsi="Arial Black"/>
          <w:b/>
          <w:bCs/>
          <w:sz w:val="28"/>
          <w:szCs w:val="28"/>
        </w:rPr>
      </w:pPr>
      <w:r>
        <w:rPr>
          <w:rFonts w:ascii="Arial Black" w:hAnsi="Arial Black"/>
          <w:b/>
          <w:bCs/>
          <w:sz w:val="28"/>
          <w:szCs w:val="28"/>
        </w:rPr>
        <w:t>NJ: FIRE TRUCK SHIFTED INTO GEAR DURING TRAINING – DRIVERLESS TRUCK STRUCK BUILDING – INJURED PERSON</w:t>
      </w:r>
    </w:p>
    <w:p w14:paraId="2C387B58" w14:textId="77777777" w:rsidR="00BB49C5" w:rsidRDefault="00BB49C5" w:rsidP="00BB49C5">
      <w:pPr>
        <w:pStyle w:val="NormalWeb"/>
      </w:pPr>
      <w:r>
        <w:t xml:space="preserve">On Oct. 27, 2023, in </w:t>
      </w:r>
      <w:r w:rsidRPr="0089423C">
        <w:rPr>
          <w:u w:val="single"/>
        </w:rPr>
        <w:t xml:space="preserve">Berta Abreu Flores v. North Hudson Regional Fire </w:t>
      </w:r>
      <w:proofErr w:type="gramStart"/>
      <w:r w:rsidRPr="0089423C">
        <w:rPr>
          <w:u w:val="single"/>
        </w:rPr>
        <w:t>And</w:t>
      </w:r>
      <w:proofErr w:type="gramEnd"/>
      <w:r w:rsidRPr="0089423C">
        <w:rPr>
          <w:u w:val="single"/>
        </w:rPr>
        <w:t xml:space="preserve"> Rescue, et al</w:t>
      </w:r>
      <w:r>
        <w:t xml:space="preserve">., the Superior Court of New Jersey, Appellate Division, held (3 to 0), reversed trial court and held that under NJ law the injured person may proceed with claim for continuing medical </w:t>
      </w:r>
      <w:proofErr w:type="gramStart"/>
      <w:r>
        <w:t>issue</w:t>
      </w:r>
      <w:proofErr w:type="gramEnd"/>
      <w:r>
        <w:t xml:space="preserve"> regarding loss of balance. The Court described the incident. “On March 29, 2018, a fire engine owned by defendant North Hudson Regional Fire and Rescue accidently shifted into drive during a training exercise at a fire station in Union City. Driverless, the fire engine crossed the road and struck the front of a residence opposite the firehouse. The impact damaged the building's support columns. Plaintiff Berta Abreu Flores, a sixty-five-year-old woman who had been working on the first floor of the building, was injured by the collision.” </w:t>
      </w:r>
      <w:hyperlink r:id="rId978" w:history="1">
        <w:r w:rsidRPr="0097451D">
          <w:rPr>
            <w:rStyle w:val="Hyperlink"/>
            <w:rFonts w:eastAsiaTheme="majorEastAsia"/>
          </w:rPr>
          <w:t>https://www.njcourts.gov/system/files/court-opinions/2023/a0009-22.pdf</w:t>
        </w:r>
      </w:hyperlink>
      <w:r>
        <w:t xml:space="preserve"> </w:t>
      </w:r>
    </w:p>
    <w:p w14:paraId="1C86170A" w14:textId="77777777" w:rsidR="00A65FD8" w:rsidRDefault="00A65FD8" w:rsidP="00A65FD8">
      <w:pPr>
        <w:pStyle w:val="NormalWeb"/>
        <w:rPr>
          <w:b/>
          <w:bCs/>
        </w:rPr>
      </w:pPr>
      <w:bookmarkStart w:id="195" w:name="_Hlk149717414"/>
      <w:r w:rsidRPr="0089423C">
        <w:rPr>
          <w:b/>
          <w:bCs/>
        </w:rPr>
        <w:t>Legal Lesson Learned:</w:t>
      </w:r>
      <w:r>
        <w:rPr>
          <w:b/>
          <w:bCs/>
        </w:rPr>
        <w:t xml:space="preserve"> New drivers and experienced Fire Apparatus Operators [FAOs] must always set the brake when a fire vehicle is parked.  Tire chocks should also be used when vehicle is parked. </w:t>
      </w:r>
    </w:p>
    <w:p w14:paraId="3B189D0A" w14:textId="77777777" w:rsidR="00A65FD8" w:rsidRDefault="00A65FD8" w:rsidP="00A65FD8">
      <w:pPr>
        <w:pStyle w:val="NormalWeb"/>
        <w:rPr>
          <w:b/>
          <w:bCs/>
        </w:rPr>
      </w:pPr>
    </w:p>
    <w:p w14:paraId="3EF86AA3" w14:textId="7595CA3F" w:rsidR="00A65FD8" w:rsidRDefault="00A65FD8" w:rsidP="00A65FD8">
      <w:pPr>
        <w:pStyle w:val="NormalWeb"/>
        <w:rPr>
          <w:b/>
          <w:bCs/>
        </w:rPr>
      </w:pPr>
      <w:r>
        <w:rPr>
          <w:b/>
          <w:bCs/>
        </w:rPr>
        <w:t>5-33</w:t>
      </w:r>
    </w:p>
    <w:p w14:paraId="4D37A177" w14:textId="77777777" w:rsidR="00A65FD8" w:rsidRPr="001578E0" w:rsidRDefault="00A65FD8" w:rsidP="00A65FD8">
      <w:pPr>
        <w:pStyle w:val="NormalWeb"/>
        <w:rPr>
          <w:rFonts w:ascii="Arial Black" w:hAnsi="Arial Black"/>
          <w:sz w:val="28"/>
          <w:szCs w:val="28"/>
        </w:rPr>
      </w:pPr>
      <w:r>
        <w:rPr>
          <w:rFonts w:ascii="Arial Black" w:hAnsi="Arial Black"/>
          <w:sz w:val="28"/>
          <w:szCs w:val="28"/>
        </w:rPr>
        <w:t>GA: SPEEDING MOTORIST RUNS INTO FIRE ENGINE – BUT MOTORIST EXPERT FF SHOULD SEEN HIM – CASE PROCEED</w:t>
      </w:r>
    </w:p>
    <w:p w14:paraId="73BCBA6E" w14:textId="77777777" w:rsidR="00A65FD8" w:rsidRPr="00CF75EB" w:rsidRDefault="00A65FD8" w:rsidP="00A65FD8">
      <w:pPr>
        <w:pStyle w:val="NormalWeb"/>
      </w:pPr>
      <w:r>
        <w:t xml:space="preserve">On Oct. 18, 2023, in </w:t>
      </w:r>
      <w:r w:rsidRPr="001578E0">
        <w:rPr>
          <w:u w:val="single"/>
        </w:rPr>
        <w:t>Chandler v. City of Lafayette</w:t>
      </w:r>
      <w:r>
        <w:t>, the Court of Appeals of Georgia held (3 to 0) that trial court improperly granted summary judgment to the City. The Court held:  “Because there is some evidence to show that the accident still would have occurred despite Chandler’s speeding and that both [</w:t>
      </w:r>
      <w:r w:rsidRPr="001578E0">
        <w:t>James Lamar</w:t>
      </w:r>
      <w:r>
        <w:t xml:space="preserve">] Chandler and [firefighter] Dennison should have been able to see each other before the collision, we conclude that genuine issues of material fact remain as to whether Dennison proximately caused Chandler’s injuries, and thus the trial court erred by granting summary judgment to the City.*** Moreover, Chandler’s expert testified that Dennison should have waited at the intersection or ensured that Chandler acknowledged his presence, and that Dennison failed to observe Chandler’s vehicle at the intersection. Because there is conflicting evidence as to whether Dennison slowed down as was necessary before proceeding past the red light and entering the intersection, genuine issues of material fact remain as to the City’s affirmative defense, and the trial court therefore erred to the extent that it granted summary judgment on this basis.” </w:t>
      </w:r>
      <w:hyperlink r:id="rId979" w:history="1">
        <w:r w:rsidRPr="00DC791D">
          <w:rPr>
            <w:rStyle w:val="Hyperlink"/>
            <w:rFonts w:eastAsiaTheme="majorEastAsia"/>
          </w:rPr>
          <w:t>https://cases.justia.com/georgia/court-of-appeals/2023-a23a1037.pdf?ts=1697652631</w:t>
        </w:r>
      </w:hyperlink>
      <w:r>
        <w:t xml:space="preserve"> </w:t>
      </w:r>
    </w:p>
    <w:p w14:paraId="7B31E113" w14:textId="77777777" w:rsidR="00A65FD8" w:rsidRDefault="00A65FD8" w:rsidP="00A65FD8">
      <w:pPr>
        <w:pStyle w:val="NormalWeb"/>
        <w:rPr>
          <w:b/>
          <w:bCs/>
        </w:rPr>
      </w:pPr>
      <w:r w:rsidRPr="00585D35">
        <w:rPr>
          <w:b/>
          <w:bCs/>
        </w:rPr>
        <w:t xml:space="preserve">Legal Lesson Learned: </w:t>
      </w:r>
      <w:r>
        <w:rPr>
          <w:b/>
          <w:bCs/>
        </w:rPr>
        <w:t xml:space="preserve">This case appears to be a “battle of the experts.” Some fire departments have adopted a “full stop” policy if entering against a red light, to avoid this type of litigation.  </w:t>
      </w:r>
    </w:p>
    <w:p w14:paraId="62E0CBF3" w14:textId="77777777" w:rsidR="00A65FD8" w:rsidRDefault="00A65FD8" w:rsidP="00A65FD8">
      <w:pPr>
        <w:pStyle w:val="NormalWeb"/>
        <w:rPr>
          <w:b/>
          <w:bCs/>
        </w:rPr>
      </w:pPr>
    </w:p>
    <w:bookmarkEnd w:id="195"/>
    <w:p w14:paraId="5B89F3AA" w14:textId="77777777" w:rsidR="00BB49C5" w:rsidRDefault="00BB49C5" w:rsidP="00EF1133">
      <w:pPr>
        <w:rPr>
          <w:rFonts w:ascii="Arial Black" w:hAnsi="Arial Black"/>
          <w:b/>
          <w:sz w:val="24"/>
          <w:szCs w:val="24"/>
        </w:rPr>
      </w:pPr>
    </w:p>
    <w:p w14:paraId="2FCE7B72" w14:textId="77777777" w:rsidR="00BB49C5" w:rsidRDefault="00BB49C5" w:rsidP="00EF1133">
      <w:pPr>
        <w:rPr>
          <w:rFonts w:ascii="Arial Black" w:hAnsi="Arial Black"/>
          <w:b/>
          <w:sz w:val="24"/>
          <w:szCs w:val="24"/>
        </w:rPr>
      </w:pPr>
    </w:p>
    <w:p w14:paraId="00FBA9D7" w14:textId="7E842D65" w:rsidR="009B0593" w:rsidRDefault="009B0593" w:rsidP="00EF1133">
      <w:pPr>
        <w:rPr>
          <w:rFonts w:ascii="Arial Black" w:hAnsi="Arial Black"/>
          <w:b/>
          <w:sz w:val="24"/>
          <w:szCs w:val="24"/>
        </w:rPr>
      </w:pPr>
      <w:r>
        <w:rPr>
          <w:rFonts w:ascii="Arial Black" w:hAnsi="Arial Black"/>
          <w:b/>
          <w:sz w:val="24"/>
          <w:szCs w:val="24"/>
        </w:rPr>
        <w:t>5-32</w:t>
      </w:r>
    </w:p>
    <w:p w14:paraId="3FAE011C" w14:textId="77777777" w:rsidR="009B0593" w:rsidRDefault="009B0593" w:rsidP="009B0593">
      <w:pPr>
        <w:pStyle w:val="NormalWeb"/>
        <w:rPr>
          <w:rFonts w:ascii="Arial Black" w:hAnsi="Arial Black"/>
          <w:b/>
          <w:bCs/>
          <w:sz w:val="28"/>
          <w:szCs w:val="28"/>
        </w:rPr>
      </w:pPr>
      <w:r>
        <w:rPr>
          <w:rFonts w:ascii="Arial Black" w:hAnsi="Arial Black"/>
          <w:b/>
          <w:bCs/>
          <w:sz w:val="28"/>
          <w:szCs w:val="28"/>
        </w:rPr>
        <w:lastRenderedPageBreak/>
        <w:t xml:space="preserve">TX: EMER. RUN – HEAVY TRAFFIC - BACKING UP ENGINE SIDE-SWIPED SUV – OFFICIAL IMMUNITY FOR FF &amp; CITY </w:t>
      </w:r>
    </w:p>
    <w:p w14:paraId="116D65DE" w14:textId="77777777" w:rsidR="009B0593" w:rsidRPr="001E2B05" w:rsidRDefault="009B0593" w:rsidP="009B0593">
      <w:pPr>
        <w:pStyle w:val="NormalWeb"/>
      </w:pPr>
      <w:r w:rsidRPr="001E2B05">
        <w:t xml:space="preserve">On Aug. 22, 2023, in </w:t>
      </w:r>
      <w:r w:rsidRPr="001E2B05">
        <w:rPr>
          <w:u w:val="single"/>
        </w:rPr>
        <w:t>City of Houston v. Emmitt Wilson</w:t>
      </w:r>
      <w:r>
        <w:t xml:space="preserve">, the Court of Appeals of Texas, Fourteenth District, reversed the </w:t>
      </w:r>
      <w:proofErr w:type="gramStart"/>
      <w:r>
        <w:t>trial court judge</w:t>
      </w:r>
      <w:proofErr w:type="gramEnd"/>
      <w:r>
        <w:t xml:space="preserve"> and ordered the lawsuit dismissed. The firefighters were responding to an accident with 18-wheeler and a sedan, and because of heavy traffic the engine had to slowly back up with a spotter on passenger side.  The engine side-swiped Mr. Wilson’s vehicle when he suddenly stopped backing up.  </w:t>
      </w:r>
    </w:p>
    <w:p w14:paraId="2CE9AF32" w14:textId="77777777" w:rsidR="009B0593" w:rsidRDefault="009B0593" w:rsidP="009B0593">
      <w:pPr>
        <w:pStyle w:val="NormalWeb"/>
        <w:ind w:firstLine="720"/>
      </w:pPr>
      <w:r w:rsidRPr="001919F6">
        <w:t xml:space="preserve">The Court held: </w:t>
      </w:r>
    </w:p>
    <w:p w14:paraId="1BF2D7D3" w14:textId="77777777" w:rsidR="009B0593" w:rsidRDefault="009B0593" w:rsidP="009B0593">
      <w:pPr>
        <w:pStyle w:val="NormalWeb"/>
        <w:ind w:left="720" w:firstLine="60"/>
      </w:pPr>
      <w:r>
        <w:t>“[Firefighter Jason] Carroll testified that when he determined he would need to back up on Wayside, he used his individual judgment to leave his emergency lights engaged but disengaged the siren so that he could hear his spotter's radio transmissions. Carroll also explained that his back up signals would sound. Wilson did not dispute that these alarms were operating at the time of the accident and admits that ‘Mr. Carroll and all the [City's] agents were responding to an emergency’ at the time of the accident.</w:t>
      </w:r>
    </w:p>
    <w:p w14:paraId="4E4E7824" w14:textId="77777777" w:rsidR="009B0593" w:rsidRDefault="009B0593" w:rsidP="009B0593">
      <w:pPr>
        <w:pStyle w:val="NormalWeb"/>
        <w:ind w:left="720" w:firstLine="60"/>
      </w:pPr>
      <w:r>
        <w:t>***</w:t>
      </w:r>
    </w:p>
    <w:p w14:paraId="3363E9A6" w14:textId="77777777" w:rsidR="009B0593" w:rsidRDefault="009B0593" w:rsidP="009B0593">
      <w:pPr>
        <w:pStyle w:val="NormalWeb"/>
        <w:ind w:left="720" w:firstLine="60"/>
        <w:rPr>
          <w:rFonts w:eastAsiaTheme="minorHAnsi"/>
          <w:kern w:val="2"/>
          <w14:ligatures w14:val="standardContextual"/>
        </w:rPr>
      </w:pPr>
      <w:r w:rsidRPr="001919F6">
        <w:rPr>
          <w:rFonts w:eastAsiaTheme="minorHAnsi"/>
          <w:kern w:val="2"/>
          <w14:ligatures w14:val="standardContextual"/>
        </w:rPr>
        <w:t xml:space="preserve">Because the evidence was uncontroverted that Carrol was operating Engine 43 in the course of an emergency response to a vehicle accident, and Carroll's affidavit illustrates the various decisions he made in the course of driving Engine 43 leading up to the collision-including determining the proper route to the accident, whether to keep the emergency siren and lights engaged while backing up, whether and how many spotters he should have while performing the reverse maneuver-we conclude that the Carrol was performing </w:t>
      </w:r>
      <w:r w:rsidRPr="001919F6">
        <w:rPr>
          <w:rFonts w:eastAsiaTheme="minorHAnsi"/>
          <w:i/>
          <w:iCs/>
          <w:kern w:val="2"/>
          <w14:ligatures w14:val="standardContextual"/>
        </w:rPr>
        <w:t>discretionary duties</w:t>
      </w:r>
      <w:r w:rsidRPr="001919F6">
        <w:rPr>
          <w:rFonts w:eastAsiaTheme="minorHAnsi"/>
          <w:kern w:val="2"/>
          <w14:ligatures w14:val="standardContextual"/>
        </w:rPr>
        <w:t xml:space="preserve"> at the time of the incident. </w:t>
      </w:r>
      <w:r w:rsidRPr="001919F6">
        <w:rPr>
          <w:rFonts w:eastAsiaTheme="minorHAnsi"/>
          <w:i/>
          <w:iCs/>
          <w:kern w:val="2"/>
          <w14:ligatures w14:val="standardContextual"/>
        </w:rPr>
        <w:t>See id</w:t>
      </w:r>
      <w:r w:rsidRPr="001919F6">
        <w:rPr>
          <w:rFonts w:eastAsiaTheme="minorHAnsi"/>
          <w:kern w:val="2"/>
          <w14:ligatures w14:val="standardContextual"/>
        </w:rPr>
        <w:t xml:space="preserve">. Thus, to the extent the trial court's denial of summary judgment was based on a finding that the City failed to conclusively establish that Carrol's acts were discretionary duties at the time of the collision, such </w:t>
      </w:r>
      <w:proofErr w:type="gramStart"/>
      <w:r w:rsidRPr="001919F6">
        <w:rPr>
          <w:rFonts w:eastAsiaTheme="minorHAnsi"/>
          <w:kern w:val="2"/>
          <w14:ligatures w14:val="standardContextual"/>
        </w:rPr>
        <w:t>finding was</w:t>
      </w:r>
      <w:proofErr w:type="gramEnd"/>
      <w:r w:rsidRPr="001919F6">
        <w:rPr>
          <w:rFonts w:eastAsiaTheme="minorHAnsi"/>
          <w:kern w:val="2"/>
          <w14:ligatures w14:val="standardContextual"/>
        </w:rPr>
        <w:t xml:space="preserve"> erroneous. We next consider the trial court's implicit finding that the City failed to conclusively establish that Carrol was acting in good faith at the time of the incident.</w:t>
      </w:r>
    </w:p>
    <w:p w14:paraId="1B0766B7" w14:textId="77777777" w:rsidR="009B0593" w:rsidRDefault="009B0593" w:rsidP="009B0593">
      <w:pPr>
        <w:pStyle w:val="NormalWeb"/>
        <w:ind w:left="720" w:firstLine="60"/>
        <w:rPr>
          <w:rFonts w:eastAsiaTheme="minorHAnsi"/>
          <w:kern w:val="2"/>
          <w14:ligatures w14:val="standardContextual"/>
        </w:rPr>
      </w:pPr>
      <w:r>
        <w:rPr>
          <w:rFonts w:eastAsiaTheme="minorHAnsi"/>
          <w:kern w:val="2"/>
          <w14:ligatures w14:val="standardContextual"/>
        </w:rPr>
        <w:t>***</w:t>
      </w:r>
    </w:p>
    <w:p w14:paraId="05FC330E" w14:textId="77777777" w:rsidR="009B0593" w:rsidRDefault="009B0593" w:rsidP="009B0593">
      <w:pPr>
        <w:pStyle w:val="NormalWeb"/>
        <w:ind w:left="720"/>
      </w:pPr>
      <w:r>
        <w:t xml:space="preserve">On this record, the </w:t>
      </w:r>
      <w:proofErr w:type="gramStart"/>
      <w:r>
        <w:t>City</w:t>
      </w:r>
      <w:proofErr w:type="gramEnd"/>
      <w:r>
        <w:t xml:space="preserve"> satisfied its burden to prove conclusively that Carroll was acting in good faith at the time in question…. The fact that Carroll had turned off his siren or that he had chosen only one spotter is unconvincing </w:t>
      </w:r>
      <w:proofErr w:type="gramStart"/>
      <w:r>
        <w:t>in light of</w:t>
      </w:r>
      <w:proofErr w:type="gramEnd"/>
      <w:r>
        <w:t xml:space="preserve"> the circumstances described in Carroll's affidavit, and thus the cases Wilson has cited are not germane to this case.” </w:t>
      </w:r>
      <w:hyperlink r:id="rId980" w:history="1">
        <w:r w:rsidRPr="00CD12AF">
          <w:rPr>
            <w:rStyle w:val="Hyperlink"/>
            <w:rFonts w:eastAsiaTheme="majorEastAsia"/>
          </w:rPr>
          <w:t>https://casetext.com/case/city-of-houston-v-wilson-1</w:t>
        </w:r>
      </w:hyperlink>
      <w:r>
        <w:t xml:space="preserve"> </w:t>
      </w:r>
    </w:p>
    <w:p w14:paraId="2A0F08EF" w14:textId="77777777" w:rsidR="009B0593" w:rsidRPr="00023C8D" w:rsidRDefault="009B0593" w:rsidP="009B0593">
      <w:pPr>
        <w:pStyle w:val="NormalWeb"/>
        <w:rPr>
          <w:b/>
          <w:bCs/>
        </w:rPr>
      </w:pPr>
      <w:r w:rsidRPr="00023C8D">
        <w:rPr>
          <w:b/>
          <w:bCs/>
        </w:rPr>
        <w:t>Legal Lesson Learned:</w:t>
      </w:r>
      <w:r>
        <w:rPr>
          <w:b/>
          <w:bCs/>
        </w:rPr>
        <w:t xml:space="preserve"> Official immunity under Texas law protects the City and the apparatus operator from liability. </w:t>
      </w:r>
    </w:p>
    <w:p w14:paraId="43C03495" w14:textId="77777777" w:rsidR="009B0593" w:rsidRDefault="009B0593" w:rsidP="00EF1133">
      <w:pPr>
        <w:rPr>
          <w:rFonts w:ascii="Arial Black" w:hAnsi="Arial Black"/>
          <w:b/>
          <w:sz w:val="24"/>
          <w:szCs w:val="24"/>
        </w:rPr>
      </w:pPr>
    </w:p>
    <w:p w14:paraId="4B9F6DBA" w14:textId="77777777" w:rsidR="009B0593" w:rsidRDefault="009B0593" w:rsidP="00EF1133">
      <w:pPr>
        <w:rPr>
          <w:rFonts w:ascii="Arial Black" w:hAnsi="Arial Black"/>
          <w:b/>
          <w:sz w:val="24"/>
          <w:szCs w:val="24"/>
        </w:rPr>
      </w:pPr>
    </w:p>
    <w:p w14:paraId="57C269F7" w14:textId="51AF42B8" w:rsidR="007A0E71" w:rsidRDefault="00FE60DA" w:rsidP="00EF1133">
      <w:pPr>
        <w:rPr>
          <w:rFonts w:ascii="Arial Black" w:hAnsi="Arial Black"/>
          <w:b/>
          <w:sz w:val="24"/>
          <w:szCs w:val="24"/>
        </w:rPr>
      </w:pPr>
      <w:r>
        <w:rPr>
          <w:rFonts w:ascii="Arial Black" w:hAnsi="Arial Black"/>
          <w:b/>
          <w:sz w:val="24"/>
          <w:szCs w:val="24"/>
        </w:rPr>
        <w:t>5-31</w:t>
      </w:r>
    </w:p>
    <w:p w14:paraId="4790ACA0" w14:textId="77777777" w:rsidR="00FE60DA" w:rsidRDefault="00FE60DA" w:rsidP="00FE60DA">
      <w:pPr>
        <w:spacing w:before="100" w:beforeAutospacing="1" w:after="100" w:afterAutospacing="1" w:line="240" w:lineRule="auto"/>
        <w:rPr>
          <w:rFonts w:ascii="Arial Black" w:hAnsi="Arial Black"/>
          <w:sz w:val="28"/>
          <w:szCs w:val="28"/>
        </w:rPr>
      </w:pPr>
      <w:r>
        <w:rPr>
          <w:rFonts w:ascii="Arial Black" w:hAnsi="Arial Black"/>
          <w:sz w:val="28"/>
          <w:szCs w:val="28"/>
        </w:rPr>
        <w:t xml:space="preserve">TX: EMT 65+ MPH THROUGH RED LIGHT – MVA – TEXAS  “MEDICAL LIAB” LAW REQ. EXPERT REPORT OF NEGLIGENT </w:t>
      </w:r>
    </w:p>
    <w:p w14:paraId="143B6313" w14:textId="77777777" w:rsidR="00FE60DA" w:rsidRDefault="00FE60DA" w:rsidP="00FE60DA">
      <w:pPr>
        <w:spacing w:before="100" w:beforeAutospacing="1" w:after="100" w:afterAutospacing="1" w:line="240" w:lineRule="auto"/>
        <w:rPr>
          <w:rFonts w:ascii="Times New Roman" w:hAnsi="Times New Roman"/>
          <w:sz w:val="24"/>
          <w:szCs w:val="24"/>
        </w:rPr>
      </w:pPr>
      <w:r w:rsidRPr="006E4E96">
        <w:rPr>
          <w:rFonts w:ascii="Times New Roman" w:hAnsi="Times New Roman"/>
          <w:sz w:val="24"/>
          <w:szCs w:val="24"/>
        </w:rPr>
        <w:lastRenderedPageBreak/>
        <w:t xml:space="preserve">On June 15, 2023, in </w:t>
      </w:r>
      <w:r w:rsidRPr="006E4E96">
        <w:rPr>
          <w:rFonts w:ascii="Times New Roman" w:hAnsi="Times New Roman"/>
          <w:sz w:val="24"/>
          <w:szCs w:val="24"/>
          <w:u w:val="single"/>
        </w:rPr>
        <w:t>City of Alvin v. Edna Fields</w:t>
      </w:r>
      <w:r w:rsidRPr="006E4E96">
        <w:rPr>
          <w:rFonts w:ascii="Times New Roman" w:hAnsi="Times New Roman"/>
          <w:sz w:val="24"/>
          <w:szCs w:val="24"/>
        </w:rPr>
        <w:t>, the Court of Appeals of Texas, First</w:t>
      </w:r>
      <w:r>
        <w:rPr>
          <w:rFonts w:ascii="Times New Roman" w:hAnsi="Times New Roman"/>
          <w:sz w:val="24"/>
          <w:szCs w:val="24"/>
        </w:rPr>
        <w:t xml:space="preserve"> </w:t>
      </w:r>
      <w:r w:rsidRPr="006E4E96">
        <w:rPr>
          <w:rFonts w:ascii="Times New Roman" w:hAnsi="Times New Roman"/>
          <w:sz w:val="24"/>
          <w:szCs w:val="24"/>
        </w:rPr>
        <w:t>District,</w:t>
      </w:r>
      <w:r>
        <w:rPr>
          <w:rFonts w:ascii="Times New Roman" w:hAnsi="Times New Roman"/>
          <w:sz w:val="24"/>
          <w:szCs w:val="24"/>
        </w:rPr>
        <w:t xml:space="preserve"> </w:t>
      </w:r>
      <w:r w:rsidRPr="006E4E96">
        <w:rPr>
          <w:rFonts w:ascii="Times New Roman" w:hAnsi="Times New Roman"/>
          <w:sz w:val="24"/>
          <w:szCs w:val="24"/>
        </w:rPr>
        <w:t>held (3 to 0) that trial court should have granted city’s motion to dismiss, because the patient claiming neck injury from the accident was required by the Texas Medical Liability Act (TMLA)</w:t>
      </w:r>
      <w:r>
        <w:rPr>
          <w:rFonts w:ascii="Times New Roman" w:hAnsi="Times New Roman"/>
          <w:sz w:val="24"/>
          <w:szCs w:val="24"/>
        </w:rPr>
        <w:t xml:space="preserve"> to file report from an expert supporting a claim of negligence by ambulance driver.  </w:t>
      </w:r>
    </w:p>
    <w:p w14:paraId="4554876D" w14:textId="77777777" w:rsidR="00FE60DA" w:rsidRDefault="00FE60DA" w:rsidP="00FE60DA">
      <w:pPr>
        <w:spacing w:before="100" w:beforeAutospacing="1" w:after="100" w:afterAutospacing="1" w:line="240" w:lineRule="auto"/>
        <w:rPr>
          <w:rFonts w:ascii="Times New Roman" w:eastAsia="Times New Roman" w:hAnsi="Times New Roman"/>
          <w:sz w:val="24"/>
          <w:szCs w:val="24"/>
        </w:rPr>
      </w:pPr>
      <w:r>
        <w:rPr>
          <w:rFonts w:ascii="Times New Roman" w:hAnsi="Times New Roman"/>
          <w:sz w:val="24"/>
          <w:szCs w:val="24"/>
        </w:rPr>
        <w:t xml:space="preserve">The Court </w:t>
      </w:r>
      <w:proofErr w:type="gramStart"/>
      <w:r>
        <w:rPr>
          <w:rFonts w:ascii="Times New Roman" w:hAnsi="Times New Roman"/>
          <w:sz w:val="24"/>
          <w:szCs w:val="24"/>
        </w:rPr>
        <w:t>held: “</w:t>
      </w:r>
      <w:proofErr w:type="gramEnd"/>
      <w:r>
        <w:rPr>
          <w:rFonts w:ascii="Times New Roman" w:hAnsi="Times New Roman"/>
          <w:sz w:val="24"/>
          <w:szCs w:val="24"/>
        </w:rPr>
        <w:t xml:space="preserve">[EMT driver Beverly] </w:t>
      </w:r>
      <w:r w:rsidRPr="00CC4FAC">
        <w:rPr>
          <w:rFonts w:ascii="Times New Roman" w:eastAsia="Times New Roman" w:hAnsi="Times New Roman"/>
          <w:sz w:val="24"/>
          <w:szCs w:val="24"/>
        </w:rPr>
        <w:t xml:space="preserve">Scott testified that she entered the intersection against the red light to protect her partner, who was unrestrained because he was providing emergent health care to Fields. She also said that she was considering herself, her partner, her patient, and everyone in the vicinity </w:t>
      </w:r>
      <w:r>
        <w:rPr>
          <w:rFonts w:ascii="Times New Roman" w:eastAsia="Times New Roman" w:hAnsi="Times New Roman"/>
          <w:sz w:val="24"/>
          <w:szCs w:val="24"/>
        </w:rPr>
        <w:t>‘</w:t>
      </w:r>
      <w:r w:rsidRPr="00CC4FAC">
        <w:rPr>
          <w:rFonts w:ascii="Times New Roman" w:eastAsia="Times New Roman" w:hAnsi="Times New Roman"/>
          <w:sz w:val="24"/>
          <w:szCs w:val="24"/>
        </w:rPr>
        <w:t>while running emergency traffic.</w:t>
      </w:r>
      <w:r>
        <w:rPr>
          <w:rFonts w:ascii="Times New Roman" w:eastAsia="Times New Roman" w:hAnsi="Times New Roman"/>
          <w:sz w:val="24"/>
          <w:szCs w:val="24"/>
        </w:rPr>
        <w:t>’</w:t>
      </w:r>
      <w:r w:rsidRPr="00CC4FAC">
        <w:rPr>
          <w:rFonts w:ascii="Times New Roman" w:eastAsia="Times New Roman" w:hAnsi="Times New Roman"/>
          <w:sz w:val="24"/>
          <w:szCs w:val="24"/>
        </w:rPr>
        <w:t xml:space="preserve"> We conclude that the claim that Fields </w:t>
      </w:r>
      <w:proofErr w:type="gramStart"/>
      <w:r w:rsidRPr="00CC4FAC">
        <w:rPr>
          <w:rFonts w:ascii="Times New Roman" w:eastAsia="Times New Roman" w:hAnsi="Times New Roman"/>
          <w:sz w:val="24"/>
          <w:szCs w:val="24"/>
        </w:rPr>
        <w:t>pleaded</w:t>
      </w:r>
      <w:proofErr w:type="gramEnd"/>
      <w:r w:rsidRPr="00CC4FAC">
        <w:rPr>
          <w:rFonts w:ascii="Times New Roman" w:eastAsia="Times New Roman" w:hAnsi="Times New Roman"/>
          <w:sz w:val="24"/>
          <w:szCs w:val="24"/>
        </w:rPr>
        <w:t xml:space="preserve"> has a nexus between the alleged negligence and the provision of health care, and we hold that Fields's claim is a health care liability claim. </w:t>
      </w:r>
      <w:r w:rsidRPr="00CC4FAC">
        <w:rPr>
          <w:rFonts w:ascii="Times New Roman" w:eastAsia="Times New Roman" w:hAnsi="Times New Roman"/>
          <w:i/>
          <w:iCs/>
          <w:sz w:val="24"/>
          <w:szCs w:val="24"/>
        </w:rPr>
        <w:t>Ross</w:t>
      </w:r>
      <w:r w:rsidRPr="00CC4FAC">
        <w:rPr>
          <w:rFonts w:ascii="Times New Roman" w:eastAsia="Times New Roman" w:hAnsi="Times New Roman"/>
          <w:sz w:val="24"/>
          <w:szCs w:val="24"/>
        </w:rPr>
        <w:t xml:space="preserve">, 462 S.W.3d at 504; </w:t>
      </w:r>
      <w:r w:rsidRPr="00CC4FAC">
        <w:rPr>
          <w:rFonts w:ascii="Times New Roman" w:eastAsia="Times New Roman" w:hAnsi="Times New Roman"/>
          <w:i/>
          <w:iCs/>
          <w:sz w:val="24"/>
          <w:szCs w:val="24"/>
        </w:rPr>
        <w:t>see Coming Attractions Bridal &amp; Formal</w:t>
      </w:r>
      <w:r w:rsidRPr="00CC4FAC">
        <w:rPr>
          <w:rFonts w:ascii="Times New Roman" w:eastAsia="Times New Roman" w:hAnsi="Times New Roman"/>
          <w:sz w:val="24"/>
          <w:szCs w:val="24"/>
        </w:rPr>
        <w:t>, 595 S.W.3d at 664</w:t>
      </w:r>
      <w:r>
        <w:rPr>
          <w:rFonts w:ascii="Times New Roman" w:eastAsia="Times New Roman" w:hAnsi="Times New Roman"/>
          <w:sz w:val="24"/>
          <w:szCs w:val="24"/>
        </w:rPr>
        <w:t xml:space="preserve">. </w:t>
      </w:r>
      <w:r w:rsidRPr="00CC4FAC">
        <w:rPr>
          <w:rFonts w:ascii="Times New Roman" w:eastAsia="Times New Roman" w:hAnsi="Times New Roman"/>
          <w:sz w:val="24"/>
          <w:szCs w:val="24"/>
        </w:rPr>
        <w:t xml:space="preserve"> It is undisputed that Fields did not timely serve an expert report. </w:t>
      </w:r>
      <w:r w:rsidRPr="00CC4FAC">
        <w:rPr>
          <w:rFonts w:ascii="Times New Roman" w:eastAsia="Times New Roman" w:hAnsi="Times New Roman"/>
          <w:i/>
          <w:iCs/>
          <w:sz w:val="24"/>
          <w:szCs w:val="24"/>
        </w:rPr>
        <w:t>See</w:t>
      </w:r>
      <w:r w:rsidRPr="00CC4FAC">
        <w:rPr>
          <w:rFonts w:ascii="Times New Roman" w:eastAsia="Times New Roman" w:hAnsi="Times New Roman"/>
          <w:sz w:val="24"/>
          <w:szCs w:val="24"/>
        </w:rPr>
        <w:t xml:space="preserve"> TEX. CIV. PRAC. &amp; REM. CODE § 74.351(b). We therefore hold that the trial court erred by denying the City's motion to dismiss. We sustain the City's second issue.</w:t>
      </w:r>
      <w:r>
        <w:rPr>
          <w:rFonts w:ascii="Times New Roman" w:eastAsia="Times New Roman" w:hAnsi="Times New Roman"/>
          <w:sz w:val="24"/>
          <w:szCs w:val="24"/>
        </w:rPr>
        <w:t>”</w:t>
      </w:r>
      <w:r w:rsidRPr="00CC4FAC">
        <w:rPr>
          <w:rFonts w:ascii="Times New Roman" w:eastAsia="Times New Roman" w:hAnsi="Times New Roman"/>
          <w:sz w:val="24"/>
          <w:szCs w:val="24"/>
        </w:rPr>
        <w:t xml:space="preserve"> </w:t>
      </w:r>
      <w:hyperlink r:id="rId981" w:history="1">
        <w:r w:rsidRPr="00812663">
          <w:rPr>
            <w:rStyle w:val="Hyperlink"/>
            <w:sz w:val="24"/>
            <w:szCs w:val="24"/>
          </w:rPr>
          <w:t>https://casetext.com/case/city-of-alvin-v-fields</w:t>
        </w:r>
      </w:hyperlink>
      <w:r>
        <w:rPr>
          <w:rFonts w:ascii="Times New Roman" w:eastAsia="Times New Roman" w:hAnsi="Times New Roman"/>
          <w:sz w:val="24"/>
          <w:szCs w:val="24"/>
        </w:rPr>
        <w:t xml:space="preserve"> </w:t>
      </w:r>
    </w:p>
    <w:p w14:paraId="13F01E28" w14:textId="77777777" w:rsidR="00FE60DA" w:rsidRDefault="00FE60DA" w:rsidP="00FE60DA">
      <w:pPr>
        <w:pStyle w:val="NormalWeb"/>
        <w:rPr>
          <w:b/>
          <w:bCs/>
        </w:rPr>
      </w:pPr>
      <w:r w:rsidRPr="007D7E2D">
        <w:rPr>
          <w:b/>
          <w:bCs/>
        </w:rPr>
        <w:t xml:space="preserve">Legal Lesson Learned: </w:t>
      </w:r>
      <w:r>
        <w:rPr>
          <w:b/>
          <w:bCs/>
        </w:rPr>
        <w:t xml:space="preserve"> EMS transporting stroke victim, where time is of the essence, should still slow down from 65 MPH when entering a controlled intersection.  In many states, this would be a normal tort claim for negligence, and not a medical claim requiring expert </w:t>
      </w:r>
      <w:proofErr w:type="gramStart"/>
      <w:r>
        <w:rPr>
          <w:b/>
          <w:bCs/>
        </w:rPr>
        <w:t>report</w:t>
      </w:r>
      <w:proofErr w:type="gramEnd"/>
      <w:r>
        <w:rPr>
          <w:b/>
          <w:bCs/>
        </w:rPr>
        <w:t xml:space="preserve">. </w:t>
      </w:r>
    </w:p>
    <w:p w14:paraId="7DC1989A" w14:textId="77777777" w:rsidR="00FE60DA" w:rsidRPr="00F115F8" w:rsidRDefault="00FE60DA" w:rsidP="00FE60DA">
      <w:pPr>
        <w:pStyle w:val="Heading1"/>
        <w:ind w:left="720"/>
        <w:rPr>
          <w:b w:val="0"/>
          <w:bCs w:val="0"/>
          <w:sz w:val="24"/>
          <w:szCs w:val="24"/>
        </w:rPr>
      </w:pPr>
      <w:r w:rsidRPr="00F115F8">
        <w:rPr>
          <w:b w:val="0"/>
          <w:bCs w:val="0"/>
          <w:sz w:val="24"/>
          <w:szCs w:val="24"/>
        </w:rPr>
        <w:t xml:space="preserve">Note: Under Ohio law. Section 4511.03 </w:t>
      </w:r>
      <w:r w:rsidRPr="00F115F8">
        <w:rPr>
          <w:rStyle w:val="codes-separator"/>
          <w:b w:val="0"/>
          <w:bCs w:val="0"/>
          <w:sz w:val="24"/>
          <w:szCs w:val="24"/>
        </w:rPr>
        <w:t>|</w:t>
      </w:r>
      <w:r w:rsidRPr="00F115F8">
        <w:rPr>
          <w:b w:val="0"/>
          <w:bCs w:val="0"/>
          <w:sz w:val="24"/>
          <w:szCs w:val="24"/>
        </w:rPr>
        <w:t xml:space="preserve"> Emergency vehicles at red signal or stop sign. </w:t>
      </w:r>
      <w:hyperlink r:id="rId982" w:history="1">
        <w:r w:rsidRPr="00F115F8">
          <w:rPr>
            <w:rStyle w:val="Hyperlink"/>
            <w:b w:val="0"/>
            <w:bCs w:val="0"/>
            <w:sz w:val="24"/>
            <w:szCs w:val="24"/>
          </w:rPr>
          <w:t>https://codes.ohio.gov/ohio-revised-code/section-4511.03</w:t>
        </w:r>
      </w:hyperlink>
      <w:r w:rsidRPr="00F115F8">
        <w:rPr>
          <w:b w:val="0"/>
          <w:bCs w:val="0"/>
          <w:sz w:val="24"/>
          <w:szCs w:val="24"/>
        </w:rPr>
        <w:t xml:space="preserve"> </w:t>
      </w:r>
    </w:p>
    <w:p w14:paraId="0708555E" w14:textId="77777777" w:rsidR="00FE60DA" w:rsidRPr="007D7E2D" w:rsidRDefault="00FE60DA" w:rsidP="00FE60DA">
      <w:pPr>
        <w:pStyle w:val="NormalWeb"/>
        <w:ind w:left="1440"/>
      </w:pPr>
      <w:r>
        <w:t>“</w:t>
      </w:r>
      <w:r w:rsidRPr="007D7E2D">
        <w:t>(A) The driver of any emergency vehicle or public safety vehicle, when responding to an emergency call, upon approaching a red or stop signal or any stop sign shall slow down as necessary for safety to traffic, but may proceed cautiously past such red or stop sign or signal with due regard for the safety of all persons using the street or highway.</w:t>
      </w:r>
      <w:r>
        <w:t>”</w:t>
      </w:r>
    </w:p>
    <w:p w14:paraId="65BFAFB8" w14:textId="77777777" w:rsidR="00FE60DA" w:rsidRPr="00F115F8" w:rsidRDefault="00FE60DA" w:rsidP="00FE60DA">
      <w:pPr>
        <w:pStyle w:val="Heading1"/>
        <w:ind w:left="720"/>
        <w:rPr>
          <w:b w:val="0"/>
          <w:bCs w:val="0"/>
          <w:sz w:val="24"/>
          <w:szCs w:val="24"/>
        </w:rPr>
      </w:pPr>
      <w:r w:rsidRPr="00F115F8">
        <w:rPr>
          <w:b w:val="0"/>
          <w:bCs w:val="0"/>
          <w:sz w:val="24"/>
          <w:szCs w:val="24"/>
        </w:rPr>
        <w:t xml:space="preserve">See also Ohio Administrative Code: Rule 3335-21-12 </w:t>
      </w:r>
      <w:r w:rsidRPr="00F115F8">
        <w:rPr>
          <w:rStyle w:val="codes-separator"/>
          <w:b w:val="0"/>
          <w:bCs w:val="0"/>
          <w:sz w:val="24"/>
          <w:szCs w:val="24"/>
        </w:rPr>
        <w:t>|</w:t>
      </w:r>
      <w:r w:rsidRPr="00F115F8">
        <w:rPr>
          <w:b w:val="0"/>
          <w:bCs w:val="0"/>
          <w:sz w:val="24"/>
          <w:szCs w:val="24"/>
        </w:rPr>
        <w:t xml:space="preserve"> Emergency and public safety vehicles. </w:t>
      </w:r>
      <w:hyperlink r:id="rId983" w:history="1">
        <w:r w:rsidRPr="00F115F8">
          <w:rPr>
            <w:rStyle w:val="Hyperlink"/>
            <w:b w:val="0"/>
            <w:bCs w:val="0"/>
            <w:sz w:val="24"/>
            <w:szCs w:val="24"/>
          </w:rPr>
          <w:t>https://codes.ohio.gov/ohio-administrative-code/rule-3335-21-12</w:t>
        </w:r>
      </w:hyperlink>
      <w:r w:rsidRPr="00F115F8">
        <w:rPr>
          <w:b w:val="0"/>
          <w:bCs w:val="0"/>
          <w:sz w:val="24"/>
          <w:szCs w:val="24"/>
        </w:rPr>
        <w:t xml:space="preserve"> </w:t>
      </w:r>
    </w:p>
    <w:p w14:paraId="05C50502" w14:textId="77777777" w:rsidR="00FE60DA" w:rsidRDefault="00FE60DA" w:rsidP="00FE60DA">
      <w:pPr>
        <w:pStyle w:val="first-paragraph"/>
        <w:ind w:left="1440"/>
      </w:pPr>
      <w:r>
        <w:t>“(A) Privileges of drivers. The driver of an authorized emergency vehicle or public safety vehicle, when responding to an emergency call, or when in the pursuit of an actual or suspected violator of the law, or when responding to but not upon returning from a fire or other emergency alarm, may exercise the privileges set forth in this regulation, but subject to the conditions herein stated. The driver of an authorized emergency vehicle or public safety vehicle may:</w:t>
      </w:r>
    </w:p>
    <w:p w14:paraId="725DC510" w14:textId="77777777" w:rsidR="00FE60DA" w:rsidRDefault="00FE60DA" w:rsidP="00FE60DA">
      <w:pPr>
        <w:pStyle w:val="first-paragraph"/>
        <w:ind w:left="720" w:firstLine="720"/>
      </w:pPr>
      <w:r>
        <w:t xml:space="preserve">(1) Park or stand, irrespective of the provisions of </w:t>
      </w:r>
      <w:proofErr w:type="gramStart"/>
      <w:r>
        <w:t>these regulation</w:t>
      </w:r>
      <w:proofErr w:type="gramEnd"/>
      <w:r>
        <w:t>;</w:t>
      </w:r>
    </w:p>
    <w:p w14:paraId="125DDE84" w14:textId="77777777" w:rsidR="00FE60DA" w:rsidRDefault="00FE60DA" w:rsidP="00FE60DA">
      <w:pPr>
        <w:pStyle w:val="first-paragraph"/>
        <w:ind w:left="1440"/>
      </w:pPr>
      <w:r>
        <w:t>(2) Proceed past a red or stop signal or stop sign, but only after slowing down as may be necessary for safe operation;</w:t>
      </w:r>
    </w:p>
    <w:p w14:paraId="362E306A" w14:textId="77777777" w:rsidR="00FE60DA" w:rsidRDefault="00FE60DA" w:rsidP="00FE60DA">
      <w:pPr>
        <w:pStyle w:val="first-paragraph"/>
        <w:ind w:left="1440"/>
      </w:pPr>
      <w:r>
        <w:t>(3) Exceed the maximum speed limits so long as he or she does not endanger life or property; and</w:t>
      </w:r>
    </w:p>
    <w:p w14:paraId="250430C5" w14:textId="77777777" w:rsidR="00FE60DA" w:rsidRDefault="00FE60DA" w:rsidP="00FE60DA">
      <w:pPr>
        <w:pStyle w:val="first-paragraph"/>
        <w:ind w:left="1440"/>
      </w:pPr>
      <w:r>
        <w:t>(4) Disregard regulations governing direction of movement or turning in specified directions.”</w:t>
      </w:r>
    </w:p>
    <w:p w14:paraId="7CC1E033" w14:textId="77777777" w:rsidR="00FE60DA" w:rsidRDefault="00FE60DA" w:rsidP="00EF1133">
      <w:pPr>
        <w:rPr>
          <w:rFonts w:ascii="Arial Black" w:hAnsi="Arial Black"/>
          <w:b/>
          <w:sz w:val="24"/>
          <w:szCs w:val="24"/>
        </w:rPr>
      </w:pPr>
    </w:p>
    <w:p w14:paraId="2C5688C3" w14:textId="61493A01" w:rsidR="007A0E71" w:rsidRDefault="007A0E71" w:rsidP="00EF1133">
      <w:pPr>
        <w:rPr>
          <w:rFonts w:ascii="Arial Black" w:hAnsi="Arial Black"/>
          <w:b/>
          <w:sz w:val="24"/>
          <w:szCs w:val="24"/>
        </w:rPr>
      </w:pPr>
      <w:r>
        <w:rPr>
          <w:rFonts w:ascii="Arial Black" w:hAnsi="Arial Black"/>
          <w:b/>
          <w:sz w:val="24"/>
          <w:szCs w:val="24"/>
        </w:rPr>
        <w:t>5-30</w:t>
      </w:r>
    </w:p>
    <w:p w14:paraId="502F966D" w14:textId="77777777" w:rsidR="007A0E71" w:rsidRPr="00216C4D" w:rsidRDefault="007A0E71" w:rsidP="007A0E71">
      <w:pPr>
        <w:pStyle w:val="NoSpacing"/>
        <w:rPr>
          <w:rFonts w:ascii="Arial Black" w:hAnsi="Arial Black"/>
          <w:sz w:val="28"/>
          <w:szCs w:val="28"/>
        </w:rPr>
      </w:pPr>
      <w:r w:rsidRPr="00216C4D">
        <w:rPr>
          <w:rFonts w:ascii="Arial Black" w:hAnsi="Arial Black"/>
          <w:sz w:val="28"/>
          <w:szCs w:val="28"/>
        </w:rPr>
        <w:lastRenderedPageBreak/>
        <w:t xml:space="preserve">IN (4/28/2023) – BLUE LIGHTS VOL. FF – NON-VOL CITED HAVING TWO BLUE LIGHTS ON INSIDE BACK WINDOW </w:t>
      </w:r>
    </w:p>
    <w:p w14:paraId="4CAAB6A7" w14:textId="77777777" w:rsidR="007A0E71" w:rsidRDefault="007A0E71" w:rsidP="007A0E71">
      <w:pPr>
        <w:pStyle w:val="NoSpacing"/>
      </w:pPr>
    </w:p>
    <w:p w14:paraId="4C2E0374" w14:textId="77777777" w:rsidR="007A0E71" w:rsidRPr="00F76E2E" w:rsidRDefault="007A0E71" w:rsidP="007A0E71">
      <w:pPr>
        <w:pStyle w:val="NoSpacing"/>
        <w:rPr>
          <w:rFonts w:ascii="Times New Roman" w:hAnsi="Times New Roman"/>
          <w:sz w:val="24"/>
          <w:szCs w:val="24"/>
        </w:rPr>
      </w:pPr>
      <w:r w:rsidRPr="00F76E2E">
        <w:rPr>
          <w:rFonts w:ascii="Times New Roman" w:hAnsi="Times New Roman"/>
          <w:sz w:val="24"/>
          <w:szCs w:val="24"/>
          <w:u w:val="single"/>
        </w:rPr>
        <w:t>Bryan C. Falletti v. State of Indiana, Court of Appeals of Indiana</w:t>
      </w:r>
      <w:r w:rsidRPr="00F76E2E">
        <w:rPr>
          <w:rFonts w:ascii="Times New Roman" w:hAnsi="Times New Roman"/>
          <w:sz w:val="24"/>
          <w:szCs w:val="24"/>
        </w:rPr>
        <w:t xml:space="preserve">. </w:t>
      </w:r>
      <w:hyperlink r:id="rId984" w:history="1">
        <w:r w:rsidRPr="00F76E2E">
          <w:rPr>
            <w:rStyle w:val="Hyperlink"/>
            <w:rFonts w:ascii="Times New Roman" w:hAnsi="Times New Roman"/>
            <w:sz w:val="24"/>
            <w:szCs w:val="24"/>
          </w:rPr>
          <w:t>https://public.courts.in.gov/Decisions/api/Document/Opinion?Id=rJRDncpWPHQbq7P5uv2HFHli7-yY9NDpUsGFV_2xhbEFoKT6dBGW8VG2YJisX0M_0</w:t>
        </w:r>
      </w:hyperlink>
      <w:r w:rsidRPr="00F76E2E">
        <w:rPr>
          <w:rFonts w:ascii="Times New Roman" w:hAnsi="Times New Roman"/>
          <w:sz w:val="24"/>
          <w:szCs w:val="24"/>
        </w:rPr>
        <w:t xml:space="preserve"> </w:t>
      </w:r>
    </w:p>
    <w:p w14:paraId="12DE5294" w14:textId="77777777" w:rsidR="007A0E71" w:rsidRDefault="007A0E71" w:rsidP="007A0E71">
      <w:pPr>
        <w:pStyle w:val="NormalWeb"/>
        <w:rPr>
          <w:b/>
          <w:bCs/>
        </w:rPr>
      </w:pPr>
      <w:r>
        <w:rPr>
          <w:b/>
          <w:bCs/>
        </w:rPr>
        <w:t xml:space="preserve">Legal Lesson Learned: Unless you are a volunteer firefighter, may not have blue lights on top of your vehicle, or in your vehicle, in Indiana. </w:t>
      </w:r>
    </w:p>
    <w:p w14:paraId="5D6C70D2" w14:textId="77777777" w:rsidR="007A0E71" w:rsidRDefault="007A0E71" w:rsidP="00EF1133">
      <w:pPr>
        <w:rPr>
          <w:rFonts w:ascii="Arial Black" w:hAnsi="Arial Black"/>
          <w:b/>
          <w:sz w:val="24"/>
          <w:szCs w:val="24"/>
        </w:rPr>
      </w:pPr>
    </w:p>
    <w:p w14:paraId="0AA079C7" w14:textId="0EC9591D" w:rsidR="002D64A4" w:rsidRDefault="002D64A4" w:rsidP="00EF1133">
      <w:pPr>
        <w:rPr>
          <w:rFonts w:ascii="Arial Black" w:hAnsi="Arial Black"/>
          <w:b/>
          <w:sz w:val="24"/>
          <w:szCs w:val="24"/>
        </w:rPr>
      </w:pPr>
      <w:r>
        <w:rPr>
          <w:rFonts w:ascii="Arial Black" w:hAnsi="Arial Black"/>
          <w:b/>
          <w:sz w:val="24"/>
          <w:szCs w:val="24"/>
        </w:rPr>
        <w:t>5-29</w:t>
      </w:r>
    </w:p>
    <w:p w14:paraId="068DC7AC" w14:textId="77777777" w:rsidR="002D64A4" w:rsidRPr="00570961" w:rsidRDefault="002D64A4" w:rsidP="002D64A4">
      <w:pPr>
        <w:pStyle w:val="NormalWeb"/>
        <w:rPr>
          <w:rFonts w:ascii="Arial Black" w:hAnsi="Arial Black"/>
          <w:sz w:val="28"/>
          <w:szCs w:val="28"/>
        </w:rPr>
      </w:pPr>
      <w:r>
        <w:rPr>
          <w:rFonts w:ascii="Arial Black" w:hAnsi="Arial Black"/>
          <w:sz w:val="28"/>
          <w:szCs w:val="28"/>
        </w:rPr>
        <w:t xml:space="preserve">OH: ENGINE 20-25 MPH THROUGH RED LIGHT - FD &amp; TWP IMMUNITY – LAWSUIT AGAINST FF TO PROCEED </w:t>
      </w:r>
    </w:p>
    <w:p w14:paraId="0831C650" w14:textId="77777777" w:rsidR="002D64A4" w:rsidRDefault="002D64A4" w:rsidP="002D64A4">
      <w:pPr>
        <w:pStyle w:val="NormalWeb"/>
        <w:rPr>
          <w:b/>
          <w:bCs/>
        </w:rPr>
      </w:pPr>
      <w:r>
        <w:t xml:space="preserve">On Feb. 21, 2023, in </w:t>
      </w:r>
      <w:r w:rsidRPr="00E477B6">
        <w:rPr>
          <w:u w:val="single"/>
        </w:rPr>
        <w:t>Brandon Freeman v. David A. Lovejoy, et al</w:t>
      </w:r>
      <w:r>
        <w:t xml:space="preserve">., the Court of Appeals, Fifth District (Fairfield), held (3 to 0) that the trial court judge properly denied the firefighter’s motion for summary judgment in a personal injury lawsuit by a motorist who collided with the engine on April 19, 2019 in an intersection where the motorist had a green light, and the engine came through a red light.   “On April 25, 2022, the trial court granted summary judgment in favor of the Fire Department and the Township, finding the Fire Department and the Township were statutorily immune from liability as Appellant did not act in a willful or wanton manner. However, the trial court denied Appellant's motion for summary judgment, finding a genuine issue of material fact exists as to whether Appellant operated the fire engine in a reckless manner. *** Viewing the evidence in a light most favorable to Appellee, we find reasonable minds could come to different conclusions about Appellant's operation of the fire engine given the visual and sound obstructions in the area, the number of lanes of travel Appellant was crossing.” </w:t>
      </w:r>
      <w:hyperlink r:id="rId985" w:history="1">
        <w:r w:rsidRPr="00933DFB">
          <w:rPr>
            <w:rStyle w:val="Hyperlink"/>
            <w:rFonts w:eastAsiaTheme="majorEastAsia"/>
          </w:rPr>
          <w:t>https://cms7files1.revize.com/starkcountyoh/f22-16.wbh.sl.pdf</w:t>
        </w:r>
      </w:hyperlink>
      <w:r>
        <w:t xml:space="preserve"> </w:t>
      </w:r>
    </w:p>
    <w:p w14:paraId="7891A0B5" w14:textId="77777777" w:rsidR="002D64A4" w:rsidRDefault="002D64A4" w:rsidP="002D64A4">
      <w:pPr>
        <w:pStyle w:val="NormalWeb"/>
        <w:ind w:left="720"/>
      </w:pPr>
      <w:r>
        <w:t xml:space="preserve">“Pickerington Police Officer Thomas Spreen completed the Crash Report. Therein, Officer Spreen indicated the traffic was moderate, the road conditions were wet, and it was raining. Officer Spreen </w:t>
      </w:r>
      <w:proofErr w:type="gramStart"/>
      <w:r>
        <w:t>concluded</w:t>
      </w:r>
      <w:proofErr w:type="gramEnd"/>
      <w:r>
        <w:t xml:space="preserve"> Appellant [firefighter] was at fault for the accident, </w:t>
      </w:r>
      <w:proofErr w:type="gramStart"/>
      <w:r>
        <w:t>explaining</w:t>
      </w:r>
      <w:proofErr w:type="gramEnd"/>
      <w:r>
        <w:t xml:space="preserve"> Appellant entered ‘the busy intersection at an estimated speed of 20 mph to 25 mph without stopping on a red light. Therefore, I find that the driver of the fire truck did not use due regard when entering the intersection causing the accident.’ Crash Report at 8. Officer Spreen </w:t>
      </w:r>
      <w:proofErr w:type="gramStart"/>
      <w:r>
        <w:t>stated, ‘</w:t>
      </w:r>
      <w:proofErr w:type="gramEnd"/>
      <w:r>
        <w:t>From the vantage point of the Unit 2 driver [Appellee]. I found that his view or initial observation point on the fire truck was partially obstructed by the CVS building, (4) trees, landscaping and landscaping wall (photo taken). I also find that his being able to hear the (2) sets of approaching sirens from the (2) Truro emergency vehicles while approaching the intersection would also have been obstructed by the physical barriers listed.’”</w:t>
      </w:r>
    </w:p>
    <w:p w14:paraId="05CF420F" w14:textId="77777777" w:rsidR="002D64A4" w:rsidRDefault="002D64A4" w:rsidP="002D64A4">
      <w:pPr>
        <w:pStyle w:val="NormalWeb"/>
        <w:rPr>
          <w:b/>
          <w:bCs/>
        </w:rPr>
      </w:pPr>
      <w:r>
        <w:rPr>
          <w:b/>
          <w:bCs/>
        </w:rPr>
        <w:t>Legal Lesson Learned: FDs should consider adopting an SOP requiring a “full stop” at red lights.</w:t>
      </w:r>
    </w:p>
    <w:p w14:paraId="7B25E820" w14:textId="77777777" w:rsidR="002D64A4" w:rsidRDefault="002D64A4" w:rsidP="002D64A4">
      <w:pPr>
        <w:pStyle w:val="NormalWeb"/>
      </w:pPr>
    </w:p>
    <w:p w14:paraId="3AE3990F" w14:textId="06E39DF0" w:rsidR="006D2C51" w:rsidRDefault="00AE32D3" w:rsidP="00EF1133">
      <w:pPr>
        <w:rPr>
          <w:rFonts w:ascii="Arial Black" w:hAnsi="Arial Black"/>
          <w:b/>
          <w:sz w:val="24"/>
          <w:szCs w:val="24"/>
        </w:rPr>
      </w:pPr>
      <w:r>
        <w:rPr>
          <w:rFonts w:ascii="Arial Black" w:hAnsi="Arial Black"/>
          <w:b/>
          <w:sz w:val="24"/>
          <w:szCs w:val="24"/>
        </w:rPr>
        <w:t>5-28</w:t>
      </w:r>
    </w:p>
    <w:p w14:paraId="4BDDE1EB" w14:textId="77777777" w:rsidR="00B87D79" w:rsidRPr="00130410" w:rsidRDefault="00B87D79" w:rsidP="00B87D79">
      <w:pPr>
        <w:pStyle w:val="NormalWeb"/>
        <w:rPr>
          <w:rFonts w:ascii="Arial Black" w:hAnsi="Arial Black"/>
          <w:sz w:val="28"/>
          <w:szCs w:val="28"/>
        </w:rPr>
      </w:pPr>
      <w:r>
        <w:rPr>
          <w:rFonts w:ascii="Arial Black" w:hAnsi="Arial Black"/>
          <w:sz w:val="28"/>
          <w:szCs w:val="28"/>
        </w:rPr>
        <w:lastRenderedPageBreak/>
        <w:t>TX: AMBULANCE DRIVER CAME TO FULL STOP – SLOWLY ENTERED INTERSECTION WITH “BLIND SPOTS” - IMMUNITY</w:t>
      </w:r>
    </w:p>
    <w:p w14:paraId="1A30D734" w14:textId="77777777" w:rsidR="00B87D79" w:rsidRDefault="00B87D79" w:rsidP="00B87D79">
      <w:pPr>
        <w:pStyle w:val="NormalWeb"/>
      </w:pPr>
      <w:r>
        <w:t xml:space="preserve">On Nov. 8, 2022, in </w:t>
      </w:r>
      <w:r w:rsidRPr="00130410">
        <w:rPr>
          <w:u w:val="single"/>
        </w:rPr>
        <w:t>City of Houston v. Martha Vogel and Maria Escalante</w:t>
      </w:r>
      <w:r>
        <w:t xml:space="preserve">, the Court of Appeals of Texas, First District, held (3 to 0) that the trial court improperly denied the City’s motion to dismiss the case.  The deposition testimony of the EMT, his passenger, and civilian witnesses confirmed the ambulance driver had lights and siren operating, came to a complete stop, and slowly entered the intersection; the plaintiffs vehicle struct and rolled the ambulance. </w:t>
      </w:r>
    </w:p>
    <w:p w14:paraId="5EBCAFC5" w14:textId="77777777" w:rsidR="00B87D79" w:rsidRDefault="00B87D79" w:rsidP="00B87D79">
      <w:pPr>
        <w:pStyle w:val="NormalWeb"/>
        <w:ind w:left="720"/>
      </w:pPr>
      <w:r>
        <w:t xml:space="preserve">“Here, like in </w:t>
      </w:r>
      <w:r>
        <w:rPr>
          <w:rStyle w:val="Emphasis"/>
        </w:rPr>
        <w:t>Kuhn</w:t>
      </w:r>
      <w:r>
        <w:t>, whether the intersection was ‘blind’ did not create a material fact issue in light of the undisputed evidence that EMT Brooks was responding to a 9-1-1 emergency call, activated his lights and siren, came to a complete stop at the stop sign on Euel, and looked for traffic.</w:t>
      </w:r>
    </w:p>
    <w:p w14:paraId="07AFF628" w14:textId="77777777" w:rsidR="00B87D79" w:rsidRDefault="00B87D79" w:rsidP="00B87D79">
      <w:pPr>
        <w:pStyle w:val="NormalWeb"/>
        <w:ind w:left="720"/>
      </w:pPr>
      <w:r>
        <w:t>***</w:t>
      </w:r>
    </w:p>
    <w:p w14:paraId="3A362347" w14:textId="04830AFE" w:rsidR="00AE32D3" w:rsidRPr="00B87D79" w:rsidRDefault="00B87D79" w:rsidP="00B87D79">
      <w:pPr>
        <w:ind w:left="720"/>
        <w:rPr>
          <w:rFonts w:ascii="Times New Roman" w:hAnsi="Times New Roman"/>
          <w:b/>
          <w:sz w:val="24"/>
          <w:szCs w:val="24"/>
        </w:rPr>
      </w:pPr>
      <w:r w:rsidRPr="00B87D79">
        <w:rPr>
          <w:rFonts w:ascii="Times New Roman" w:hAnsi="Times New Roman"/>
          <w:sz w:val="24"/>
          <w:szCs w:val="24"/>
        </w:rPr>
        <w:t xml:space="preserve">Fogel and Escalante also asserted that their evidence raised a fact issue because it showed that EMT Brooks was reckless in entering the intersection ‘completely blind.’ They presented photographs of the intersection at issue, which they asserted ‘show EMT Brooks' view of Hardy was </w:t>
      </w:r>
      <w:r w:rsidRPr="00B87D79">
        <w:rPr>
          <w:rStyle w:val="Emphasis"/>
          <w:rFonts w:ascii="Times New Roman" w:hAnsi="Times New Roman"/>
          <w:sz w:val="24"/>
          <w:szCs w:val="24"/>
        </w:rPr>
        <w:t>completely blocked</w:t>
      </w:r>
      <w:r w:rsidRPr="00B87D79">
        <w:rPr>
          <w:rFonts w:ascii="Times New Roman" w:hAnsi="Times New Roman"/>
          <w:sz w:val="24"/>
          <w:szCs w:val="24"/>
        </w:rPr>
        <w:t xml:space="preserve"> by construction, a house, parked box trucks, trees and shrubs.’ (Emphasis added.) The record does not support their assertion. The photographs do not show that Brooks's view of Hardy was ‘completely blocked.’ Rather, the Exhibit 3 photograph shows a view of traffic on Hardy Street. Although plastic barriers and pylons appear, traffic behind them is readily visible. Their field diagram shows the stop sign located at the corner of the intersection, and the tree depicted in the photographs is shown in Exhibit 3 to be set back from the corner. There is not a house shown in the photographs attached their response to the City's plea.” </w:t>
      </w:r>
      <w:hyperlink r:id="rId986" w:history="1">
        <w:r w:rsidRPr="00B87D79">
          <w:rPr>
            <w:rStyle w:val="Hyperlink"/>
            <w:rFonts w:ascii="Times New Roman" w:eastAsiaTheme="majorEastAsia" w:hAnsi="Times New Roman"/>
            <w:sz w:val="24"/>
            <w:szCs w:val="24"/>
          </w:rPr>
          <w:t>https://casetext.com/case/city-of-hous-v-vogel</w:t>
        </w:r>
      </w:hyperlink>
    </w:p>
    <w:p w14:paraId="50671468" w14:textId="77777777" w:rsidR="00B87D79" w:rsidRDefault="00B87D79" w:rsidP="00B87D79">
      <w:pPr>
        <w:spacing w:after="100" w:line="240" w:lineRule="auto"/>
        <w:rPr>
          <w:rFonts w:ascii="Times New Roman" w:hAnsi="Times New Roman"/>
          <w:b/>
          <w:bCs/>
          <w:sz w:val="24"/>
          <w:szCs w:val="24"/>
        </w:rPr>
      </w:pPr>
      <w:r w:rsidRPr="00675A8D">
        <w:rPr>
          <w:rFonts w:ascii="Times New Roman" w:hAnsi="Times New Roman"/>
          <w:b/>
          <w:bCs/>
          <w:sz w:val="24"/>
          <w:szCs w:val="24"/>
        </w:rPr>
        <w:t>Legal Lesson Learned:</w:t>
      </w:r>
      <w:r>
        <w:rPr>
          <w:rFonts w:ascii="Times New Roman" w:hAnsi="Times New Roman"/>
          <w:b/>
          <w:bCs/>
          <w:sz w:val="24"/>
          <w:szCs w:val="24"/>
        </w:rPr>
        <w:t xml:space="preserve"> Testimony of civilian witnesses about </w:t>
      </w:r>
      <w:proofErr w:type="gramStart"/>
      <w:r>
        <w:rPr>
          <w:rFonts w:ascii="Times New Roman" w:hAnsi="Times New Roman"/>
          <w:b/>
          <w:bCs/>
          <w:sz w:val="24"/>
          <w:szCs w:val="24"/>
        </w:rPr>
        <w:t>ambulance</w:t>
      </w:r>
      <w:proofErr w:type="gramEnd"/>
      <w:r>
        <w:rPr>
          <w:rFonts w:ascii="Times New Roman" w:hAnsi="Times New Roman"/>
          <w:b/>
          <w:bCs/>
          <w:sz w:val="24"/>
          <w:szCs w:val="24"/>
        </w:rPr>
        <w:t xml:space="preserve"> coming to full stop, and slowly entering the intersection, was extremely helpful. </w:t>
      </w:r>
    </w:p>
    <w:p w14:paraId="3904177B" w14:textId="6D059BCD" w:rsidR="00AE32D3" w:rsidRDefault="00AE32D3" w:rsidP="00EF1133">
      <w:pPr>
        <w:rPr>
          <w:rFonts w:ascii="Arial Black" w:hAnsi="Arial Black"/>
          <w:b/>
          <w:sz w:val="24"/>
          <w:szCs w:val="24"/>
        </w:rPr>
      </w:pPr>
    </w:p>
    <w:p w14:paraId="0B370AAD" w14:textId="77777777" w:rsidR="00AE32D3" w:rsidRDefault="00AE32D3" w:rsidP="00EF1133">
      <w:pPr>
        <w:rPr>
          <w:rFonts w:ascii="Arial Black" w:hAnsi="Arial Black"/>
          <w:b/>
          <w:sz w:val="24"/>
          <w:szCs w:val="24"/>
        </w:rPr>
      </w:pPr>
    </w:p>
    <w:p w14:paraId="17C72C02" w14:textId="1E6349C6" w:rsidR="006D2C51" w:rsidRDefault="006D2C51" w:rsidP="00EF1133">
      <w:pPr>
        <w:rPr>
          <w:rFonts w:ascii="Arial Black" w:hAnsi="Arial Black"/>
          <w:b/>
          <w:sz w:val="24"/>
          <w:szCs w:val="24"/>
        </w:rPr>
      </w:pPr>
      <w:r>
        <w:rPr>
          <w:rFonts w:ascii="Arial Black" w:hAnsi="Arial Black"/>
          <w:b/>
          <w:sz w:val="24"/>
          <w:szCs w:val="24"/>
        </w:rPr>
        <w:t>5-27</w:t>
      </w:r>
    </w:p>
    <w:p w14:paraId="166D5F5B" w14:textId="77777777" w:rsidR="006D2C51" w:rsidRDefault="006D2C51" w:rsidP="006D2C51">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 xml:space="preserve">MI: EMS DRIVER SLOWED DOWN - LIGHTS &amp; SIRENS PRIOR TO RED LIGHT – WITNESS CONFIRMED - IMMUNITY </w:t>
      </w:r>
    </w:p>
    <w:p w14:paraId="7CEFE585" w14:textId="77777777" w:rsidR="006D2C51" w:rsidRPr="00317CF0" w:rsidRDefault="006D2C51" w:rsidP="006D2C51">
      <w:pPr>
        <w:spacing w:before="100" w:beforeAutospacing="1" w:after="100" w:afterAutospacing="1" w:line="240" w:lineRule="auto"/>
        <w:rPr>
          <w:rFonts w:ascii="Times New Roman" w:eastAsia="Times New Roman" w:hAnsi="Times New Roman"/>
          <w:sz w:val="24"/>
          <w:szCs w:val="24"/>
        </w:rPr>
      </w:pPr>
      <w:r>
        <w:rPr>
          <w:rFonts w:ascii="Times New Roman" w:hAnsi="Times New Roman"/>
          <w:sz w:val="24"/>
          <w:szCs w:val="24"/>
        </w:rPr>
        <w:t xml:space="preserve">On July 28, 2022, in </w:t>
      </w:r>
      <w:r w:rsidRPr="00317CF0">
        <w:rPr>
          <w:rFonts w:ascii="Times New Roman" w:hAnsi="Times New Roman"/>
          <w:sz w:val="24"/>
          <w:szCs w:val="24"/>
          <w:u w:val="single"/>
        </w:rPr>
        <w:t xml:space="preserve">Denise Ann Middleton v. Kenneth Arthur Temple and Ogemaw County EMS, </w:t>
      </w:r>
      <w:r>
        <w:rPr>
          <w:rFonts w:ascii="Times New Roman" w:hAnsi="Times New Roman"/>
          <w:sz w:val="24"/>
          <w:szCs w:val="24"/>
        </w:rPr>
        <w:t>the Court of Appeals of Michigan, held (3 to 0</w:t>
      </w:r>
      <w:proofErr w:type="gramStart"/>
      <w:r>
        <w:rPr>
          <w:rFonts w:ascii="Times New Roman" w:hAnsi="Times New Roman"/>
          <w:sz w:val="24"/>
          <w:szCs w:val="24"/>
        </w:rPr>
        <w:t>) on</w:t>
      </w:r>
      <w:proofErr w:type="gramEnd"/>
      <w:r>
        <w:rPr>
          <w:rFonts w:ascii="Times New Roman" w:hAnsi="Times New Roman"/>
          <w:sz w:val="24"/>
          <w:szCs w:val="24"/>
        </w:rPr>
        <w:t xml:space="preserve"> an immediate appeal by the defense, that the trial court should have granted summary judgment to EMS driver and to County EMS.  The plaintiff entered intersection on green light, said she didn’t see or hear the ambulance, and drove into left side of the ambulance.  </w:t>
      </w:r>
      <w:hyperlink r:id="rId987" w:history="1">
        <w:r w:rsidRPr="0019682E">
          <w:rPr>
            <w:rStyle w:val="Hyperlink"/>
            <w:rFonts w:ascii="Times New Roman" w:eastAsia="Times New Roman" w:hAnsi="Times New Roman"/>
            <w:sz w:val="24"/>
            <w:szCs w:val="24"/>
          </w:rPr>
          <w:t>https://www.courts.michigan.gov/4a237a/siteassets/case-documents/uploads/opinions/final/coa/20220728_c356829_27_356829.opn.pdf</w:t>
        </w:r>
      </w:hyperlink>
      <w:r>
        <w:rPr>
          <w:rFonts w:ascii="Times New Roman" w:eastAsia="Times New Roman" w:hAnsi="Times New Roman"/>
          <w:sz w:val="24"/>
          <w:szCs w:val="24"/>
        </w:rPr>
        <w:t xml:space="preserve"> </w:t>
      </w:r>
    </w:p>
    <w:p w14:paraId="1BABEC09" w14:textId="77777777" w:rsidR="006D2C51" w:rsidRPr="000625D7" w:rsidRDefault="006D2C51" w:rsidP="006D2C51">
      <w:pPr>
        <w:spacing w:before="100" w:beforeAutospacing="1" w:after="100" w:afterAutospacing="1" w:line="240" w:lineRule="auto"/>
        <w:rPr>
          <w:rFonts w:ascii="Times New Roman" w:hAnsi="Times New Roman"/>
          <w:b/>
          <w:bCs/>
          <w:sz w:val="24"/>
          <w:szCs w:val="24"/>
        </w:rPr>
      </w:pPr>
      <w:r w:rsidRPr="000625D7">
        <w:rPr>
          <w:rFonts w:ascii="Times New Roman" w:hAnsi="Times New Roman"/>
          <w:b/>
          <w:bCs/>
          <w:sz w:val="24"/>
          <w:szCs w:val="24"/>
        </w:rPr>
        <w:t>Legal Lesson Learned:</w:t>
      </w:r>
      <w:r>
        <w:rPr>
          <w:rFonts w:ascii="Times New Roman" w:hAnsi="Times New Roman"/>
          <w:b/>
          <w:bCs/>
          <w:sz w:val="24"/>
          <w:szCs w:val="24"/>
        </w:rPr>
        <w:t xml:space="preserve"> EMS driver slowed down as entering intersection against a red light as required by law; extremely helpful to have civilian witness confirm this to PD. </w:t>
      </w:r>
    </w:p>
    <w:p w14:paraId="2D8ACED1" w14:textId="77777777" w:rsidR="006D2C51" w:rsidRDefault="006D2C51" w:rsidP="006D2C51">
      <w:pPr>
        <w:pStyle w:val="Heading1"/>
        <w:ind w:left="720"/>
        <w:rPr>
          <w:b w:val="0"/>
          <w:bCs w:val="0"/>
          <w:sz w:val="24"/>
          <w:szCs w:val="24"/>
        </w:rPr>
      </w:pPr>
      <w:r w:rsidRPr="00980AEA">
        <w:rPr>
          <w:b w:val="0"/>
          <w:bCs w:val="0"/>
          <w:sz w:val="24"/>
          <w:szCs w:val="24"/>
        </w:rPr>
        <w:lastRenderedPageBreak/>
        <w:t xml:space="preserve">Note: See Ohio Revised Code - Section 4511.03 </w:t>
      </w:r>
      <w:r w:rsidRPr="00980AEA">
        <w:rPr>
          <w:rStyle w:val="codes-separator"/>
          <w:b w:val="0"/>
          <w:bCs w:val="0"/>
          <w:sz w:val="24"/>
          <w:szCs w:val="24"/>
        </w:rPr>
        <w:t>|</w:t>
      </w:r>
      <w:r w:rsidRPr="00980AEA">
        <w:rPr>
          <w:b w:val="0"/>
          <w:bCs w:val="0"/>
          <w:sz w:val="24"/>
          <w:szCs w:val="24"/>
        </w:rPr>
        <w:t xml:space="preserve"> Emergency vehicles at red signal or stop sign</w:t>
      </w:r>
      <w:r>
        <w:rPr>
          <w:b w:val="0"/>
          <w:bCs w:val="0"/>
          <w:sz w:val="24"/>
          <w:szCs w:val="24"/>
        </w:rPr>
        <w:t xml:space="preserve">. </w:t>
      </w:r>
      <w:hyperlink r:id="rId988" w:history="1">
        <w:r w:rsidRPr="0019682E">
          <w:rPr>
            <w:rStyle w:val="Hyperlink"/>
            <w:rFonts w:eastAsiaTheme="majorEastAsia"/>
            <w:b w:val="0"/>
            <w:bCs w:val="0"/>
            <w:sz w:val="24"/>
            <w:szCs w:val="24"/>
          </w:rPr>
          <w:t>https://codes.ohio.gov/ohio-revised-code/section-4511.03</w:t>
        </w:r>
      </w:hyperlink>
      <w:r>
        <w:rPr>
          <w:b w:val="0"/>
          <w:bCs w:val="0"/>
          <w:sz w:val="24"/>
          <w:szCs w:val="24"/>
        </w:rPr>
        <w:t xml:space="preserve"> </w:t>
      </w:r>
    </w:p>
    <w:p w14:paraId="412CEE95" w14:textId="77777777" w:rsidR="006D2C51" w:rsidRDefault="006D2C51" w:rsidP="006D2C51">
      <w:pPr>
        <w:pStyle w:val="NormalWeb"/>
        <w:ind w:left="720"/>
      </w:pPr>
      <w:r>
        <w:t>“(A) The driver of any emergency vehicle or public safety vehicle, when responding to an emergency call, upon approaching a red or stop signal or any stop sign shall slow down as necessary for safety to traffic, but may proceed cautiously past such red or stop sign or signal with due regard for the safety of all persons using the street or highway.</w:t>
      </w:r>
    </w:p>
    <w:p w14:paraId="73C9AEFB" w14:textId="77777777" w:rsidR="006D2C51" w:rsidRDefault="006D2C51" w:rsidP="006D2C51">
      <w:pPr>
        <w:pStyle w:val="NormalWeb"/>
        <w:ind w:left="720"/>
      </w:pPr>
      <w:r>
        <w:t>(B) Except as otherwise provided in this division, whoever violates this section is guilty of a minor misdemeanor. If, within one year of the offense, the offender previously has been convicted of or pleaded guilty to one predicate motor vehicle or traffic offense, whoever violates this section is guilty of a misdemeanor of the fourth degree. If, within one year of the offense, the offender previously has been convicted of two or more predicate motor vehicle or traffic offenses, whoever violates this section is guilty of a misdemeanor of the third degree.</w:t>
      </w:r>
    </w:p>
    <w:p w14:paraId="1B4ABFC2" w14:textId="77777777" w:rsidR="006D2C51" w:rsidRDefault="006D2C51" w:rsidP="006D2C51">
      <w:pPr>
        <w:pStyle w:val="NormalWeb"/>
        <w:ind w:left="720"/>
      </w:pPr>
      <w:r>
        <w:t xml:space="preserve">If the offender commits the offense while distracted and the distracting activity is a contributing factor to the commission of the offense, the offender is subject to the additional fine established under section </w:t>
      </w:r>
      <w:hyperlink r:id="rId989" w:history="1">
        <w:r>
          <w:rPr>
            <w:rStyle w:val="Hyperlink"/>
            <w:rFonts w:eastAsiaTheme="majorEastAsia"/>
          </w:rPr>
          <w:t>4511.991</w:t>
        </w:r>
      </w:hyperlink>
      <w:r>
        <w:t xml:space="preserve"> of the Revised Code.”</w:t>
      </w:r>
    </w:p>
    <w:p w14:paraId="6211EDD8" w14:textId="77777777" w:rsidR="006D2C51" w:rsidRDefault="006D2C51" w:rsidP="00EF1133">
      <w:pPr>
        <w:rPr>
          <w:rFonts w:ascii="Arial Black" w:hAnsi="Arial Black"/>
          <w:b/>
          <w:sz w:val="24"/>
          <w:szCs w:val="24"/>
        </w:rPr>
      </w:pPr>
    </w:p>
    <w:p w14:paraId="6896DDF5" w14:textId="77777777" w:rsidR="006D2C51" w:rsidRDefault="006D2C51" w:rsidP="00EF1133">
      <w:pPr>
        <w:rPr>
          <w:rFonts w:ascii="Arial Black" w:hAnsi="Arial Black"/>
          <w:b/>
          <w:sz w:val="24"/>
          <w:szCs w:val="24"/>
        </w:rPr>
      </w:pPr>
    </w:p>
    <w:p w14:paraId="554D944F" w14:textId="4EF00259" w:rsidR="00557CA2" w:rsidRDefault="0002742E" w:rsidP="00EF1133">
      <w:pPr>
        <w:rPr>
          <w:rFonts w:ascii="Arial Black" w:hAnsi="Arial Black"/>
          <w:b/>
          <w:sz w:val="24"/>
          <w:szCs w:val="24"/>
        </w:rPr>
      </w:pPr>
      <w:r>
        <w:rPr>
          <w:rFonts w:ascii="Arial Black" w:hAnsi="Arial Black"/>
          <w:b/>
          <w:sz w:val="24"/>
          <w:szCs w:val="24"/>
        </w:rPr>
        <w:t>5-26</w:t>
      </w:r>
    </w:p>
    <w:p w14:paraId="2C2906E4" w14:textId="77777777" w:rsidR="0002742E" w:rsidRPr="002D3A2F" w:rsidRDefault="0002742E" w:rsidP="0002742E">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IL: DISPATCH REFUSES SEND PD WITHOUT SPECIFIC ADDRESS – WIFE IS DRIVING DRUNK, DIES - NO CASE</w:t>
      </w:r>
    </w:p>
    <w:p w14:paraId="3CFA2269" w14:textId="77777777" w:rsidR="0002742E" w:rsidRDefault="0002742E" w:rsidP="0002742E">
      <w:pPr>
        <w:pStyle w:val="NormalWeb"/>
      </w:pPr>
      <w:r>
        <w:t xml:space="preserve">On April 21, 2022, in </w:t>
      </w:r>
      <w:r w:rsidRPr="00EA6EC1">
        <w:rPr>
          <w:u w:val="single"/>
        </w:rPr>
        <w:t>Larry E. Schultz, Special Administrator of Estate of Laurene T. Schultz, Deceased v. St. Clair County, et al</w:t>
      </w:r>
      <w:r>
        <w:t xml:space="preserve">., the Supreme Court of Illinois held (6 to 1) that the lawsuit was properly dismissed since “the decedent's decision to drive while intoxicated was the sole proximate cause of her injuries and death.”  The Court also held that the dispatcher does not enjoy absolute immunity; under 2015 amendment of the state’s Tort Immunity Act, a dispatcher and her employer can be sued if their conduct </w:t>
      </w:r>
      <w:r w:rsidRPr="00447D07">
        <w:rPr>
          <w:rStyle w:val="Emphasis"/>
          <w:rFonts w:eastAsiaTheme="majorEastAsia"/>
        </w:rPr>
        <w:t>constitutes</w:t>
      </w:r>
      <w:r>
        <w:rPr>
          <w:rStyle w:val="Emphasis"/>
          <w:rFonts w:eastAsiaTheme="majorEastAsia"/>
        </w:rPr>
        <w:t xml:space="preserve"> “</w:t>
      </w:r>
      <w:r w:rsidRPr="00447D07">
        <w:rPr>
          <w:rStyle w:val="Emphasis"/>
          <w:rFonts w:eastAsiaTheme="majorEastAsia"/>
        </w:rPr>
        <w:t>gross negligence, recklessness, or intentional misconduct</w:t>
      </w:r>
      <w:r>
        <w:t xml:space="preserve">.”  </w:t>
      </w:r>
      <w:hyperlink r:id="rId990" w:history="1">
        <w:r w:rsidRPr="00C50FC4">
          <w:rPr>
            <w:rStyle w:val="Hyperlink"/>
          </w:rPr>
          <w:t>https://casetext.com/case/schultz-v-st-clair-cnty-2</w:t>
        </w:r>
      </w:hyperlink>
      <w:r>
        <w:t xml:space="preserve"> </w:t>
      </w:r>
    </w:p>
    <w:p w14:paraId="33942B55" w14:textId="77777777" w:rsidR="0002742E" w:rsidRPr="00AA7590" w:rsidRDefault="0002742E" w:rsidP="0002742E">
      <w:pPr>
        <w:rPr>
          <w:rFonts w:ascii="Times New Roman" w:hAnsi="Times New Roman"/>
          <w:b/>
          <w:bCs/>
          <w:sz w:val="24"/>
          <w:szCs w:val="24"/>
        </w:rPr>
      </w:pPr>
      <w:r w:rsidRPr="00AA7590">
        <w:rPr>
          <w:rFonts w:ascii="Times New Roman" w:hAnsi="Times New Roman"/>
          <w:b/>
          <w:bCs/>
          <w:sz w:val="24"/>
          <w:szCs w:val="24"/>
        </w:rPr>
        <w:t xml:space="preserve">Legal Lesson Learned: Dispatchers should be trained to alert police to a drunk driver, even if the exact current location of the driver is not known. </w:t>
      </w:r>
    </w:p>
    <w:p w14:paraId="1416B89D" w14:textId="77777777" w:rsidR="0002742E" w:rsidRDefault="0002742E" w:rsidP="00EF1133">
      <w:pPr>
        <w:rPr>
          <w:rFonts w:ascii="Arial Black" w:hAnsi="Arial Black"/>
          <w:b/>
          <w:sz w:val="24"/>
          <w:szCs w:val="24"/>
        </w:rPr>
      </w:pPr>
    </w:p>
    <w:p w14:paraId="447B3904" w14:textId="28BE314E" w:rsidR="0002742E" w:rsidRDefault="0002742E" w:rsidP="00EF1133">
      <w:pPr>
        <w:rPr>
          <w:rFonts w:ascii="Arial Black" w:hAnsi="Arial Black"/>
          <w:b/>
          <w:sz w:val="24"/>
          <w:szCs w:val="24"/>
        </w:rPr>
      </w:pPr>
      <w:r>
        <w:rPr>
          <w:rFonts w:ascii="Arial Black" w:hAnsi="Arial Black"/>
          <w:b/>
          <w:sz w:val="24"/>
          <w:szCs w:val="24"/>
        </w:rPr>
        <w:t>5-25</w:t>
      </w:r>
    </w:p>
    <w:p w14:paraId="0BD343DB" w14:textId="77777777" w:rsidR="0002742E" w:rsidRPr="00420468" w:rsidRDefault="0002742E" w:rsidP="0002742E">
      <w:pPr>
        <w:spacing w:before="100" w:beforeAutospacing="1" w:after="100" w:afterAutospacing="1" w:line="240" w:lineRule="auto"/>
        <w:rPr>
          <w:rFonts w:ascii="Arial Black" w:hAnsi="Arial Black"/>
          <w:sz w:val="28"/>
          <w:szCs w:val="28"/>
        </w:rPr>
      </w:pPr>
      <w:r>
        <w:rPr>
          <w:rFonts w:ascii="Arial Black" w:hAnsi="Arial Black"/>
          <w:sz w:val="28"/>
          <w:szCs w:val="28"/>
        </w:rPr>
        <w:t>VA: VOL. FF – NOT ALLOWED DRIVE ENGINE, SHEARED OFF COMPARTMENT DOOR – CONVICTED “UNAUTHORIZED USE”</w:t>
      </w:r>
    </w:p>
    <w:p w14:paraId="42DECD33" w14:textId="77777777" w:rsidR="0002742E" w:rsidRDefault="0002742E" w:rsidP="0002742E">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On April 12, 2022, in </w:t>
      </w:r>
      <w:r w:rsidRPr="00681FE1">
        <w:rPr>
          <w:rFonts w:ascii="Times New Roman" w:hAnsi="Times New Roman"/>
          <w:sz w:val="24"/>
          <w:szCs w:val="24"/>
          <w:u w:val="single"/>
        </w:rPr>
        <w:t>Charles Raymond Arrington v. Commonwealth of Virginia</w:t>
      </w:r>
      <w:r>
        <w:rPr>
          <w:rFonts w:ascii="Times New Roman" w:hAnsi="Times New Roman"/>
          <w:sz w:val="24"/>
          <w:szCs w:val="24"/>
        </w:rPr>
        <w:t xml:space="preserve">, the Court of Appeals of Virginia, held (3 to 0) that the volunteer firefighter, who sheared off a compartment door left open on the engine as he backed out of station, was properly convicted of unauthorized use. </w:t>
      </w:r>
      <w:r w:rsidRPr="0065182A">
        <w:rPr>
          <w:rFonts w:ascii="Times New Roman" w:hAnsi="Times New Roman"/>
          <w:sz w:val="24"/>
          <w:szCs w:val="24"/>
        </w:rPr>
        <w:t xml:space="preserve">Arrington was indicted for the unauthorized use of a vehicle belonging to the Clifton Forge Fire Department, in violation of Code § 18.2-102. </w:t>
      </w:r>
      <w:r w:rsidRPr="0065182A">
        <w:rPr>
          <w:rFonts w:ascii="Times New Roman" w:hAnsi="Times New Roman"/>
          <w:sz w:val="24"/>
          <w:szCs w:val="24"/>
        </w:rPr>
        <w:lastRenderedPageBreak/>
        <w:t xml:space="preserve">If the vehicle is worth $1, 000 or more, the crime is a Class 6 felony. At his bench trial, Arrington moved to strike the evidence, arguing that the Commonwealth failed to prove "any kind of deprivation" of possession or that Arrington had "the intent to deprive" </w:t>
      </w:r>
      <w:proofErr w:type="gramStart"/>
      <w:r w:rsidRPr="0065182A">
        <w:rPr>
          <w:rFonts w:ascii="Times New Roman" w:hAnsi="Times New Roman"/>
          <w:sz w:val="24"/>
          <w:szCs w:val="24"/>
        </w:rPr>
        <w:t>the</w:t>
      </w:r>
      <w:proofErr w:type="gramEnd"/>
      <w:r w:rsidRPr="0065182A">
        <w:rPr>
          <w:rFonts w:ascii="Times New Roman" w:hAnsi="Times New Roman"/>
          <w:sz w:val="24"/>
          <w:szCs w:val="24"/>
        </w:rPr>
        <w:t xml:space="preserve"> department of possession. The court denied the motion and found Arrington guilty as charged. The court sentenced him to twelve months' incarceration, all suspended, plus two years of unsupervised probation. Arrington was also ordered to pay $21, 947.64 in restitution to the two insurance companies that had paid the department's </w:t>
      </w:r>
      <w:proofErr w:type="gramStart"/>
      <w:r w:rsidRPr="0065182A">
        <w:rPr>
          <w:rFonts w:ascii="Times New Roman" w:hAnsi="Times New Roman"/>
          <w:sz w:val="24"/>
          <w:szCs w:val="24"/>
        </w:rPr>
        <w:t>property-damage</w:t>
      </w:r>
      <w:proofErr w:type="gramEnd"/>
      <w:r w:rsidRPr="0065182A">
        <w:rPr>
          <w:rFonts w:ascii="Times New Roman" w:hAnsi="Times New Roman"/>
          <w:sz w:val="24"/>
          <w:szCs w:val="24"/>
        </w:rPr>
        <w:t xml:space="preserve"> claims.</w:t>
      </w:r>
      <w:r>
        <w:rPr>
          <w:rFonts w:ascii="Times New Roman" w:hAnsi="Times New Roman"/>
          <w:sz w:val="24"/>
          <w:szCs w:val="24"/>
        </w:rPr>
        <w:t xml:space="preserve"> </w:t>
      </w:r>
      <w:hyperlink r:id="rId991" w:history="1">
        <w:r w:rsidRPr="00E9684A">
          <w:rPr>
            <w:rStyle w:val="Hyperlink"/>
            <w:rFonts w:ascii="Times New Roman" w:hAnsi="Times New Roman"/>
            <w:sz w:val="24"/>
            <w:szCs w:val="24"/>
          </w:rPr>
          <w:t>https://law.justia.com/cases/virginia/court-of-appeals-unpublished/2022/0124-21-3.html</w:t>
        </w:r>
      </w:hyperlink>
      <w:r>
        <w:rPr>
          <w:rFonts w:ascii="Times New Roman" w:hAnsi="Times New Roman"/>
          <w:sz w:val="24"/>
          <w:szCs w:val="24"/>
        </w:rPr>
        <w:t xml:space="preserve"> </w:t>
      </w:r>
    </w:p>
    <w:p w14:paraId="67E3DFB7" w14:textId="77777777" w:rsidR="0002742E" w:rsidRDefault="0002742E" w:rsidP="0002742E">
      <w:pPr>
        <w:spacing w:before="100" w:beforeAutospacing="1" w:after="100" w:afterAutospacing="1" w:line="240" w:lineRule="auto"/>
        <w:rPr>
          <w:rFonts w:ascii="Times New Roman" w:eastAsia="Times New Roman" w:hAnsi="Times New Roman"/>
          <w:b/>
          <w:bCs/>
          <w:sz w:val="24"/>
          <w:szCs w:val="24"/>
        </w:rPr>
      </w:pPr>
      <w:r>
        <w:rPr>
          <w:rFonts w:ascii="Times New Roman" w:eastAsia="Times New Roman" w:hAnsi="Times New Roman"/>
          <w:b/>
          <w:bCs/>
          <w:sz w:val="24"/>
          <w:szCs w:val="24"/>
        </w:rPr>
        <w:t>Legal Lesson Learned: Do not drive emergency vehicles until authorized by your FD.</w:t>
      </w:r>
    </w:p>
    <w:p w14:paraId="237648CA" w14:textId="77777777" w:rsidR="0002742E" w:rsidRDefault="0002742E" w:rsidP="00EF1133">
      <w:pPr>
        <w:rPr>
          <w:rFonts w:ascii="Arial Black" w:hAnsi="Arial Black"/>
          <w:b/>
          <w:sz w:val="24"/>
          <w:szCs w:val="24"/>
        </w:rPr>
      </w:pPr>
    </w:p>
    <w:p w14:paraId="3357719E" w14:textId="77777777" w:rsidR="0002742E" w:rsidRDefault="0002742E" w:rsidP="00EF1133">
      <w:pPr>
        <w:rPr>
          <w:rFonts w:ascii="Arial Black" w:hAnsi="Arial Black"/>
          <w:b/>
          <w:sz w:val="24"/>
          <w:szCs w:val="24"/>
        </w:rPr>
      </w:pPr>
    </w:p>
    <w:p w14:paraId="0E157562" w14:textId="77777777" w:rsidR="0002742E" w:rsidRDefault="0002742E" w:rsidP="00EF1133">
      <w:pPr>
        <w:rPr>
          <w:rFonts w:ascii="Arial Black" w:hAnsi="Arial Black"/>
          <w:b/>
          <w:sz w:val="24"/>
          <w:szCs w:val="24"/>
        </w:rPr>
      </w:pPr>
    </w:p>
    <w:p w14:paraId="1B6A1ACB" w14:textId="3CAE8447" w:rsidR="00AE6CF5" w:rsidRDefault="00AE6CF5" w:rsidP="00EF1133">
      <w:pPr>
        <w:rPr>
          <w:rFonts w:ascii="Arial Black" w:hAnsi="Arial Black"/>
          <w:b/>
          <w:sz w:val="24"/>
          <w:szCs w:val="24"/>
        </w:rPr>
      </w:pPr>
      <w:r>
        <w:rPr>
          <w:rFonts w:ascii="Arial Black" w:hAnsi="Arial Black"/>
          <w:b/>
          <w:sz w:val="24"/>
          <w:szCs w:val="24"/>
        </w:rPr>
        <w:t>5-24</w:t>
      </w:r>
    </w:p>
    <w:p w14:paraId="7166C67D" w14:textId="77777777" w:rsidR="00AE6CF5" w:rsidRDefault="00AE6CF5" w:rsidP="00AE6CF5">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TX: MEDIC USED LIGHTS / BUT NO SIREN – INTERSECTION RED LIGHT - TRUCK KILLED PATIENT – NO IMMUNITY</w:t>
      </w:r>
    </w:p>
    <w:p w14:paraId="0ED998AF" w14:textId="77777777" w:rsidR="00AE6CF5" w:rsidRDefault="00AE6CF5" w:rsidP="00AE6CF5">
      <w:pPr>
        <w:spacing w:before="100" w:beforeAutospacing="1" w:after="100" w:afterAutospacing="1" w:line="240" w:lineRule="auto"/>
        <w:rPr>
          <w:rFonts w:ascii="Times New Roman" w:eastAsia="Times New Roman" w:hAnsi="Times New Roman"/>
          <w:sz w:val="24"/>
          <w:szCs w:val="24"/>
        </w:rPr>
      </w:pPr>
      <w:r w:rsidRPr="00A7603D">
        <w:rPr>
          <w:rFonts w:ascii="Times New Roman" w:eastAsia="Times New Roman" w:hAnsi="Times New Roman"/>
          <w:sz w:val="24"/>
          <w:szCs w:val="24"/>
        </w:rPr>
        <w:t xml:space="preserve">On March 17, 2022, in </w:t>
      </w:r>
      <w:r w:rsidRPr="00A7603D">
        <w:rPr>
          <w:rFonts w:ascii="Times New Roman" w:eastAsia="Times New Roman" w:hAnsi="Times New Roman"/>
          <w:sz w:val="24"/>
          <w:szCs w:val="24"/>
          <w:u w:val="single"/>
        </w:rPr>
        <w:t>Blue Bird Medical Enterprises, LLC, d/b/a Allegiance Mobile Health and Nicole Marina Mirza</w:t>
      </w:r>
      <w:r>
        <w:rPr>
          <w:rFonts w:ascii="Times New Roman" w:eastAsia="Times New Roman" w:hAnsi="Times New Roman"/>
          <w:sz w:val="24"/>
          <w:szCs w:val="24"/>
          <w:u w:val="single"/>
        </w:rPr>
        <w:t xml:space="preserve"> v. Russell Lynn Wllis, et al.</w:t>
      </w:r>
      <w:r>
        <w:rPr>
          <w:rFonts w:ascii="Times New Roman" w:eastAsia="Times New Roman" w:hAnsi="Times New Roman"/>
          <w:sz w:val="24"/>
          <w:szCs w:val="24"/>
        </w:rPr>
        <w:t xml:space="preserve">, the Court of Appeals of Texas, Fourteenth District, held (3 to 0) that trial court properly denied the defendants’ motion to dismiss, since the plaintiffs’ expert (a very experienced medic) testified the medic on a hospital to hospital transfer “breached the standard of care” when entering intersection against a red light without a siren activated.  The lawsuit may now proceed under the Texas health care liability claim. </w:t>
      </w:r>
      <w:hyperlink r:id="rId992" w:history="1">
        <w:r w:rsidRPr="005848D2">
          <w:rPr>
            <w:rStyle w:val="Hyperlink"/>
            <w:rFonts w:ascii="Times New Roman" w:hAnsi="Times New Roman"/>
            <w:sz w:val="24"/>
            <w:szCs w:val="24"/>
          </w:rPr>
          <w:t>https://law.justia.com/cases/texas/fourteenth-court-of-appeals/2022/14-20-00566-cv.html</w:t>
        </w:r>
      </w:hyperlink>
    </w:p>
    <w:p w14:paraId="4CC31B02" w14:textId="77777777" w:rsidR="00AE6CF5" w:rsidRPr="005F6421" w:rsidRDefault="00AE6CF5" w:rsidP="00AE6CF5">
      <w:pPr>
        <w:spacing w:after="100" w:line="240" w:lineRule="auto"/>
        <w:ind w:left="720"/>
        <w:rPr>
          <w:rFonts w:ascii="Times New Roman" w:eastAsia="Times New Roman" w:hAnsi="Times New Roman"/>
          <w:sz w:val="24"/>
          <w:szCs w:val="24"/>
        </w:rPr>
      </w:pPr>
      <w:r>
        <w:rPr>
          <w:rFonts w:ascii="Times New Roman" w:eastAsia="Times New Roman" w:hAnsi="Times New Roman"/>
          <w:sz w:val="24"/>
          <w:szCs w:val="24"/>
        </w:rPr>
        <w:t>“</w:t>
      </w:r>
      <w:r w:rsidRPr="005F6421">
        <w:rPr>
          <w:rFonts w:ascii="Times New Roman" w:eastAsia="Times New Roman" w:hAnsi="Times New Roman"/>
          <w:sz w:val="24"/>
          <w:szCs w:val="24"/>
        </w:rPr>
        <w:t xml:space="preserve">Nicole Mirza was driving the ambulance, with Willis as a passenger on the rear stretcher, on FM 2004 in Brazoria County. Mirza approached a red light at the intersection of FM 2004 and State Highway 288B. Mirza entered the left-hand turn lane to pass other vehicles waiting at the red light, and she pulled into the intersection using only emergency lights with no audible siren. A pickup truck struck the ambulance, causing it to overturn. Shortly thereafter, Willis collapsed and could not be resuscitated. In the crash, Willis sustained blunt force injuries with laceration of the spleen and massive internal injuries, and the blunt force trauma caused his death. </w:t>
      </w:r>
    </w:p>
    <w:p w14:paraId="73F006B9" w14:textId="77777777" w:rsidR="00AE6CF5" w:rsidRDefault="00AE6CF5" w:rsidP="00AE6CF5">
      <w:pPr>
        <w:spacing w:after="100" w:line="240" w:lineRule="auto"/>
        <w:ind w:left="720"/>
        <w:rPr>
          <w:rFonts w:ascii="Times New Roman" w:hAnsi="Times New Roman"/>
          <w:sz w:val="24"/>
          <w:szCs w:val="24"/>
        </w:rPr>
      </w:pPr>
      <w:r w:rsidRPr="005F6421">
        <w:rPr>
          <w:rFonts w:ascii="Times New Roman" w:eastAsia="Times New Roman" w:hAnsi="Times New Roman"/>
          <w:sz w:val="24"/>
          <w:szCs w:val="24"/>
        </w:rPr>
        <w:t xml:space="preserve">The driver of the pickup truck had a green light and did not hear any siren activated on the ambulance. Three eyewitnesses at the scene confirmed that Mirza had not activated the ambulance siren by the time of the collision. The investigating police officer cited Mirza's failure to activate the siren as the only contributing factor in the crash. </w:t>
      </w:r>
      <w:r>
        <w:rPr>
          <w:rFonts w:ascii="Times New Roman" w:hAnsi="Times New Roman"/>
          <w:sz w:val="24"/>
          <w:szCs w:val="24"/>
        </w:rPr>
        <w:tab/>
      </w:r>
    </w:p>
    <w:p w14:paraId="5A3ECFBB" w14:textId="77777777" w:rsidR="00AE6CF5" w:rsidRPr="005F6421" w:rsidRDefault="00AE6CF5" w:rsidP="00AE6CF5">
      <w:pPr>
        <w:spacing w:after="100" w:line="240" w:lineRule="auto"/>
        <w:ind w:left="720"/>
        <w:rPr>
          <w:rFonts w:ascii="Times New Roman" w:eastAsia="Times New Roman" w:hAnsi="Times New Roman"/>
          <w:sz w:val="24"/>
          <w:szCs w:val="24"/>
        </w:rPr>
      </w:pPr>
      <w:r>
        <w:rPr>
          <w:rFonts w:ascii="Times New Roman" w:hAnsi="Times New Roman"/>
          <w:sz w:val="24"/>
          <w:szCs w:val="24"/>
        </w:rPr>
        <w:t>Plaintiff’s expert [</w:t>
      </w:r>
      <w:r w:rsidRPr="005F6421">
        <w:rPr>
          <w:rFonts w:ascii="Times New Roman" w:eastAsia="Times New Roman" w:hAnsi="Times New Roman"/>
          <w:sz w:val="24"/>
          <w:szCs w:val="24"/>
        </w:rPr>
        <w:t>Robert Krause</w:t>
      </w:r>
      <w:r>
        <w:rPr>
          <w:rFonts w:ascii="Times New Roman" w:eastAsia="Times New Roman" w:hAnsi="Times New Roman"/>
          <w:sz w:val="24"/>
          <w:szCs w:val="24"/>
        </w:rPr>
        <w:t xml:space="preserve">, Ed.D., has </w:t>
      </w:r>
      <w:r w:rsidRPr="005F6421">
        <w:rPr>
          <w:rFonts w:ascii="Times New Roman" w:eastAsia="Times New Roman" w:hAnsi="Times New Roman"/>
          <w:sz w:val="24"/>
          <w:szCs w:val="24"/>
        </w:rPr>
        <w:t>been a practicing paramedic for nearly four decades</w:t>
      </w:r>
      <w:r>
        <w:rPr>
          <w:rFonts w:ascii="Times New Roman" w:eastAsia="Times New Roman" w:hAnsi="Times New Roman"/>
          <w:sz w:val="24"/>
          <w:szCs w:val="24"/>
        </w:rPr>
        <w:t xml:space="preserve">] </w:t>
      </w:r>
      <w:r w:rsidRPr="00CA6457">
        <w:rPr>
          <w:rFonts w:ascii="Times New Roman" w:hAnsi="Times New Roman"/>
          <w:sz w:val="24"/>
          <w:szCs w:val="24"/>
        </w:rPr>
        <w:t xml:space="preserve">then identified the different standards of care applicable to </w:t>
      </w:r>
      <w:r>
        <w:rPr>
          <w:rFonts w:ascii="Times New Roman" w:hAnsi="Times New Roman"/>
          <w:sz w:val="24"/>
          <w:szCs w:val="24"/>
        </w:rPr>
        <w:t>‘</w:t>
      </w:r>
      <w:r w:rsidRPr="00CA6457">
        <w:rPr>
          <w:rFonts w:ascii="Times New Roman" w:hAnsi="Times New Roman"/>
          <w:sz w:val="24"/>
          <w:szCs w:val="24"/>
        </w:rPr>
        <w:t>routine</w:t>
      </w:r>
      <w:r>
        <w:rPr>
          <w:rFonts w:ascii="Times New Roman" w:hAnsi="Times New Roman"/>
          <w:sz w:val="24"/>
          <w:szCs w:val="24"/>
        </w:rPr>
        <w:t>’</w:t>
      </w:r>
      <w:r w:rsidRPr="00CA6457">
        <w:rPr>
          <w:rFonts w:ascii="Times New Roman" w:hAnsi="Times New Roman"/>
          <w:sz w:val="24"/>
          <w:szCs w:val="24"/>
        </w:rPr>
        <w:t xml:space="preserve"> transports and to </w:t>
      </w:r>
      <w:r>
        <w:rPr>
          <w:rFonts w:ascii="Times New Roman" w:hAnsi="Times New Roman"/>
          <w:sz w:val="24"/>
          <w:szCs w:val="24"/>
        </w:rPr>
        <w:t>‘</w:t>
      </w:r>
      <w:r w:rsidRPr="00CA6457">
        <w:rPr>
          <w:rFonts w:ascii="Times New Roman" w:hAnsi="Times New Roman"/>
          <w:sz w:val="24"/>
          <w:szCs w:val="24"/>
        </w:rPr>
        <w:t>true emergencies,</w:t>
      </w:r>
      <w:r>
        <w:rPr>
          <w:rFonts w:ascii="Times New Roman" w:hAnsi="Times New Roman"/>
          <w:sz w:val="24"/>
          <w:szCs w:val="24"/>
        </w:rPr>
        <w:t>’</w:t>
      </w:r>
      <w:r w:rsidRPr="00CA6457">
        <w:rPr>
          <w:rFonts w:ascii="Times New Roman" w:hAnsi="Times New Roman"/>
          <w:sz w:val="24"/>
          <w:szCs w:val="24"/>
        </w:rPr>
        <w:t xml:space="preserve"> and although he asserted that Willis's transport </w:t>
      </w:r>
      <w:r>
        <w:rPr>
          <w:rFonts w:ascii="Times New Roman" w:hAnsi="Times New Roman"/>
          <w:sz w:val="24"/>
          <w:szCs w:val="24"/>
        </w:rPr>
        <w:t>‘</w:t>
      </w:r>
      <w:r w:rsidRPr="00CA6457">
        <w:rPr>
          <w:rFonts w:ascii="Times New Roman" w:hAnsi="Times New Roman"/>
          <w:sz w:val="24"/>
          <w:szCs w:val="24"/>
        </w:rPr>
        <w:t>was not an emergency,</w:t>
      </w:r>
      <w:r>
        <w:rPr>
          <w:rFonts w:ascii="Times New Roman" w:hAnsi="Times New Roman"/>
          <w:sz w:val="24"/>
          <w:szCs w:val="24"/>
        </w:rPr>
        <w:t>’</w:t>
      </w:r>
      <w:r w:rsidRPr="00CA6457">
        <w:rPr>
          <w:rFonts w:ascii="Times New Roman" w:hAnsi="Times New Roman"/>
          <w:sz w:val="24"/>
          <w:szCs w:val="24"/>
        </w:rPr>
        <w:t xml:space="preserve"> he opined that Mirza breached both standards of care.</w:t>
      </w:r>
      <w:r>
        <w:rPr>
          <w:rFonts w:ascii="Times New Roman" w:hAnsi="Times New Roman"/>
          <w:sz w:val="24"/>
          <w:szCs w:val="24"/>
        </w:rPr>
        <w:t xml:space="preserve">” </w:t>
      </w:r>
      <w:hyperlink r:id="rId993" w:history="1">
        <w:r w:rsidRPr="005848D2">
          <w:rPr>
            <w:rStyle w:val="Hyperlink"/>
            <w:rFonts w:ascii="Times New Roman" w:hAnsi="Times New Roman"/>
            <w:sz w:val="24"/>
            <w:szCs w:val="24"/>
          </w:rPr>
          <w:t>https://law.justia.com/cases/texas/fourteenth-court-of-appeals/2022/14-20-00566-cv.html</w:t>
        </w:r>
      </w:hyperlink>
      <w:r>
        <w:rPr>
          <w:rFonts w:ascii="Times New Roman" w:hAnsi="Times New Roman"/>
          <w:sz w:val="24"/>
          <w:szCs w:val="24"/>
        </w:rPr>
        <w:t xml:space="preserve"> </w:t>
      </w:r>
    </w:p>
    <w:p w14:paraId="148A37DB" w14:textId="77777777" w:rsidR="00727951" w:rsidRPr="00BB6FE9" w:rsidRDefault="00727951" w:rsidP="00727951">
      <w:pPr>
        <w:pStyle w:val="NormalWeb"/>
        <w:rPr>
          <w:b/>
          <w:bCs/>
        </w:rPr>
      </w:pPr>
      <w:r w:rsidRPr="00BB6FE9">
        <w:rPr>
          <w:b/>
          <w:bCs/>
        </w:rPr>
        <w:t>Legal Lesson Learned:</w:t>
      </w:r>
      <w:r>
        <w:rPr>
          <w:b/>
          <w:bCs/>
        </w:rPr>
        <w:t xml:space="preserve"> When driving an ambulance, or other emergency apparatus, do not enter an intersection against a red light without both siren and lights activated. A best practice, while not required by some state laws, is to have a SOG requiring full stops at controlled intersections.</w:t>
      </w:r>
    </w:p>
    <w:p w14:paraId="2E99815E" w14:textId="77777777" w:rsidR="00AE6CF5" w:rsidRDefault="00AE6CF5" w:rsidP="00EF1133">
      <w:pPr>
        <w:rPr>
          <w:rFonts w:ascii="Arial Black" w:hAnsi="Arial Black"/>
          <w:b/>
          <w:sz w:val="24"/>
          <w:szCs w:val="24"/>
        </w:rPr>
      </w:pPr>
    </w:p>
    <w:p w14:paraId="3148A01C" w14:textId="005DEEA9" w:rsidR="00AE6CF5" w:rsidRDefault="00AE6CF5" w:rsidP="00EF1133">
      <w:pPr>
        <w:rPr>
          <w:rFonts w:ascii="Arial Black" w:hAnsi="Arial Black"/>
          <w:b/>
          <w:sz w:val="24"/>
          <w:szCs w:val="24"/>
        </w:rPr>
      </w:pPr>
      <w:r>
        <w:rPr>
          <w:rFonts w:ascii="Arial Black" w:hAnsi="Arial Black"/>
          <w:b/>
          <w:sz w:val="24"/>
          <w:szCs w:val="24"/>
        </w:rPr>
        <w:t>5-23</w:t>
      </w:r>
    </w:p>
    <w:p w14:paraId="14C7391A" w14:textId="77777777" w:rsidR="00AE6CF5" w:rsidRPr="00773F77" w:rsidRDefault="00AE6CF5" w:rsidP="00AE6CF5">
      <w:pPr>
        <w:spacing w:before="100" w:beforeAutospacing="1" w:after="100" w:afterAutospacing="1" w:line="240" w:lineRule="auto"/>
        <w:rPr>
          <w:rFonts w:ascii="Arial Black" w:eastAsia="Times New Roman" w:hAnsi="Arial Black"/>
          <w:b/>
          <w:bCs/>
          <w:color w:val="000000" w:themeColor="text1"/>
          <w:sz w:val="28"/>
          <w:szCs w:val="28"/>
        </w:rPr>
      </w:pPr>
      <w:r w:rsidRPr="00773F77">
        <w:rPr>
          <w:rFonts w:ascii="Arial Black" w:eastAsia="Times New Roman" w:hAnsi="Arial Black"/>
          <w:b/>
          <w:bCs/>
          <w:color w:val="000000" w:themeColor="text1"/>
          <w:sz w:val="28"/>
          <w:szCs w:val="28"/>
        </w:rPr>
        <w:t xml:space="preserve">TX: VOL. FF DRIVING HOME AFTER FIRE – STRUCK TWO FF CHECKING TIRE ON TANKER – ONE DIED </w:t>
      </w:r>
      <w:r>
        <w:rPr>
          <w:rFonts w:ascii="Arial Black" w:eastAsia="Times New Roman" w:hAnsi="Arial Black"/>
          <w:b/>
          <w:bCs/>
          <w:color w:val="000000" w:themeColor="text1"/>
          <w:sz w:val="28"/>
          <w:szCs w:val="28"/>
        </w:rPr>
        <w:t xml:space="preserve">- </w:t>
      </w:r>
      <w:r w:rsidRPr="00773F77">
        <w:rPr>
          <w:rFonts w:ascii="Arial Black" w:eastAsia="Times New Roman" w:hAnsi="Arial Black"/>
          <w:b/>
          <w:bCs/>
          <w:color w:val="000000" w:themeColor="text1"/>
          <w:sz w:val="28"/>
          <w:szCs w:val="28"/>
        </w:rPr>
        <w:t xml:space="preserve">NO IMMUNITY </w:t>
      </w:r>
    </w:p>
    <w:p w14:paraId="39E6660C" w14:textId="77777777" w:rsidR="00AE6CF5" w:rsidRDefault="00AE6CF5" w:rsidP="00AE6CF5">
      <w:pPr>
        <w:pStyle w:val="NormalWeb"/>
      </w:pPr>
      <w:r w:rsidRPr="004D2359">
        <w:t xml:space="preserve">On </w:t>
      </w:r>
      <w:r>
        <w:t xml:space="preserve">March 17, 2022, in </w:t>
      </w:r>
      <w:r w:rsidRPr="00055EE6">
        <w:rPr>
          <w:u w:val="single"/>
        </w:rPr>
        <w:t xml:space="preserve">John Weston Roades v. Lisa Henderson, as Administratrix of the estate of Steven Henderson, Kinsley Henderson, </w:t>
      </w:r>
      <w:proofErr w:type="spellStart"/>
      <w:r w:rsidRPr="00055EE6">
        <w:rPr>
          <w:u w:val="single"/>
        </w:rPr>
        <w:t>Koale</w:t>
      </w:r>
      <w:proofErr w:type="spellEnd"/>
      <w:r w:rsidRPr="00055EE6">
        <w:rPr>
          <w:u w:val="single"/>
        </w:rPr>
        <w:t xml:space="preserve"> Jaks and Robert Popp</w:t>
      </w:r>
      <w:r>
        <w:t xml:space="preserve">, the Court of Appeals of Texas, Thirteenth District (Corpus Christi – Edinburg), held (3 to 0) </w:t>
      </w:r>
      <w:r w:rsidRPr="008C6B39">
        <w:t xml:space="preserve">that the trial court properly denied the </w:t>
      </w:r>
      <w:r>
        <w:t xml:space="preserve">motion to dismiss by the </w:t>
      </w:r>
      <w:r w:rsidRPr="008C6B39">
        <w:t>volunteer firefighter</w:t>
      </w:r>
      <w:r>
        <w:t xml:space="preserve"> </w:t>
      </w:r>
      <w:r w:rsidRPr="008C6B39">
        <w:t xml:space="preserve">with the Louise Volunteer Fire Department (LVFD), Wharton County, Texas, </w:t>
      </w:r>
      <w:r>
        <w:t>since the Texas Tort Claims Act protects governmental “employees” (defined as “in the paid service of a governmental unit) and another provision only protects volunteer firefighters “</w:t>
      </w:r>
      <w:r w:rsidRPr="00C9048E">
        <w:rPr>
          <w:rStyle w:val="Emphasis"/>
        </w:rPr>
        <w:t>while involved in or providing an emergency response</w:t>
      </w:r>
      <w:r w:rsidRPr="00C9048E">
        <w:t xml:space="preserve"> as a member of a volunteer fire department."</w:t>
      </w:r>
      <w:r>
        <w:t xml:space="preserve"> </w:t>
      </w:r>
      <w:hyperlink r:id="rId994" w:history="1">
        <w:r w:rsidRPr="005A2A16">
          <w:rPr>
            <w:rStyle w:val="Hyperlink"/>
            <w:rFonts w:eastAsiaTheme="majorEastAsia"/>
          </w:rPr>
          <w:t>https://law.justia.com/cases/texas/thirteenth-court-of-appeals/2022/13-20-00315-cv.html</w:t>
        </w:r>
      </w:hyperlink>
      <w:r>
        <w:t xml:space="preserve"> </w:t>
      </w:r>
    </w:p>
    <w:p w14:paraId="56E5BEC3" w14:textId="77777777" w:rsidR="00AE6CF5" w:rsidRDefault="00AE6CF5" w:rsidP="00AE6CF5">
      <w:pPr>
        <w:pStyle w:val="NormalWeb"/>
        <w:ind w:left="1440"/>
      </w:pPr>
      <w:r>
        <w:t xml:space="preserve">“Here, by Roades's own account, ‘the fire was under control’ and he was travelling home in his personal vehicle when the accident occurred. Thus, it is undisputed that Roades was not involved in or providing an emergency response during or at the time of the accident. Accordingly, Roades is not entitled to </w:t>
      </w:r>
      <w:proofErr w:type="gramStart"/>
      <w:r>
        <w:t>the ‘exclusions,</w:t>
      </w:r>
      <w:proofErr w:type="gramEnd"/>
      <w:r>
        <w:t xml:space="preserve"> exceptions, immunities, and </w:t>
      </w:r>
      <w:proofErr w:type="gramStart"/>
      <w:r>
        <w:t>defenses’</w:t>
      </w:r>
      <w:proofErr w:type="gramEnd"/>
      <w:r>
        <w:t xml:space="preserve"> applicable to an employee under the TTCA. </w:t>
      </w:r>
      <w:r>
        <w:rPr>
          <w:rStyle w:val="Emphasis"/>
        </w:rPr>
        <w:t>See</w:t>
      </w:r>
      <w:r>
        <w:t xml:space="preserve"> Tex. Civ. </w:t>
      </w:r>
      <w:proofErr w:type="spellStart"/>
      <w:r>
        <w:t>Prac</w:t>
      </w:r>
      <w:proofErr w:type="spellEnd"/>
      <w:r>
        <w:t xml:space="preserve">. &amp; Rem. Code Ann. §§ 78.101(1), 78.102, 78.104.” </w:t>
      </w:r>
      <w:hyperlink r:id="rId995" w:history="1">
        <w:r w:rsidRPr="005A2A16">
          <w:rPr>
            <w:rStyle w:val="Hyperlink"/>
            <w:rFonts w:eastAsiaTheme="majorEastAsia"/>
          </w:rPr>
          <w:t>https://law.justia.com/cases/texas/thirteenth-court-of-appeals/2022/13-20-00315-cv.html</w:t>
        </w:r>
      </w:hyperlink>
      <w:r>
        <w:t xml:space="preserve"> </w:t>
      </w:r>
    </w:p>
    <w:p w14:paraId="12F41A3B" w14:textId="77777777" w:rsidR="00AE6CF5" w:rsidRDefault="00AE6CF5" w:rsidP="00AE6CF5">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Here’s an article on this tragic accident. </w:t>
      </w:r>
    </w:p>
    <w:p w14:paraId="399F0B72" w14:textId="77777777" w:rsidR="00AE6CF5" w:rsidRPr="00F908DA" w:rsidRDefault="00AE6CF5" w:rsidP="00AE6CF5">
      <w:pPr>
        <w:spacing w:before="100" w:beforeAutospacing="1" w:after="100" w:afterAutospacing="1" w:line="240" w:lineRule="auto"/>
        <w:ind w:left="1440"/>
        <w:rPr>
          <w:rFonts w:ascii="Times New Roman" w:eastAsia="Times New Roman" w:hAnsi="Times New Roman"/>
          <w:sz w:val="24"/>
          <w:szCs w:val="24"/>
        </w:rPr>
      </w:pPr>
      <w:r w:rsidRPr="00F908DA">
        <w:rPr>
          <w:rFonts w:ascii="Times New Roman" w:eastAsia="Times New Roman" w:hAnsi="Times New Roman"/>
          <w:sz w:val="24"/>
          <w:szCs w:val="24"/>
        </w:rPr>
        <w:t>On Monday, October 7, 2019, Firefighter Steven Henderson with the Louise (TX) Volunteer Fire Department and another firefighter were returning from a fire call in a tanker truck when they stopped alongside the road to inspect the front tires.  While outside the vehicle, another firefighter from the same fire department driving his personal pick-up truck, who was also at the scene of the fire call and left shortly after Henderson, did not see the truck parked in the roadway or the two firefighters standing outside of it. He subsequently hit both Henderson and the other firefighter.</w:t>
      </w:r>
      <w:r>
        <w:rPr>
          <w:rFonts w:ascii="Times New Roman" w:eastAsia="Times New Roman" w:hAnsi="Times New Roman"/>
          <w:sz w:val="24"/>
          <w:szCs w:val="24"/>
        </w:rPr>
        <w:t xml:space="preserve">” </w:t>
      </w:r>
      <w:hyperlink r:id="rId996" w:anchor="gref" w:history="1">
        <w:r w:rsidRPr="005A2A16">
          <w:rPr>
            <w:rStyle w:val="Hyperlink"/>
            <w:rFonts w:ascii="Times New Roman" w:eastAsia="Times New Roman" w:hAnsi="Times New Roman"/>
            <w:sz w:val="24"/>
            <w:szCs w:val="24"/>
          </w:rPr>
          <w:t>https://www.fireengineering.com/health-safety/tx-firefighter-dies-after-being-struck/#gref</w:t>
        </w:r>
      </w:hyperlink>
      <w:r>
        <w:rPr>
          <w:rFonts w:ascii="Times New Roman" w:eastAsia="Times New Roman" w:hAnsi="Times New Roman"/>
          <w:sz w:val="24"/>
          <w:szCs w:val="24"/>
        </w:rPr>
        <w:t xml:space="preserve"> </w:t>
      </w:r>
    </w:p>
    <w:p w14:paraId="43D5B593" w14:textId="77777777" w:rsidR="00AE6CF5" w:rsidRPr="00C9048E" w:rsidRDefault="00AE6CF5" w:rsidP="00AE6CF5">
      <w:pPr>
        <w:pStyle w:val="NormalWeb"/>
        <w:rPr>
          <w:b/>
          <w:bCs/>
        </w:rPr>
      </w:pPr>
      <w:r w:rsidRPr="00927C97">
        <w:rPr>
          <w:b/>
          <w:bCs/>
        </w:rPr>
        <w:t xml:space="preserve">Legal Lesson Learned: </w:t>
      </w:r>
      <w:r>
        <w:rPr>
          <w:b/>
          <w:bCs/>
        </w:rPr>
        <w:t xml:space="preserve">Volunteer emergency responders should carefully check the law in their state; it is a wise practice to confirm with your automobile insurance carrier that you have coverage when serving as a volunteer. </w:t>
      </w:r>
    </w:p>
    <w:p w14:paraId="2DDBEC6C" w14:textId="77777777" w:rsidR="00AE6CF5" w:rsidRDefault="00AE6CF5" w:rsidP="00EF1133">
      <w:pPr>
        <w:rPr>
          <w:rFonts w:ascii="Arial Black" w:hAnsi="Arial Black"/>
          <w:b/>
          <w:sz w:val="24"/>
          <w:szCs w:val="24"/>
        </w:rPr>
      </w:pPr>
    </w:p>
    <w:p w14:paraId="7EDAB3F2" w14:textId="54900446" w:rsidR="00B5724A" w:rsidRDefault="00B5724A" w:rsidP="00EF1133">
      <w:pPr>
        <w:rPr>
          <w:rFonts w:ascii="Arial Black" w:hAnsi="Arial Black"/>
          <w:b/>
          <w:sz w:val="24"/>
          <w:szCs w:val="24"/>
        </w:rPr>
      </w:pPr>
      <w:r>
        <w:rPr>
          <w:rFonts w:ascii="Arial Black" w:hAnsi="Arial Black"/>
          <w:b/>
          <w:sz w:val="24"/>
          <w:szCs w:val="24"/>
        </w:rPr>
        <w:t>5-22</w:t>
      </w:r>
    </w:p>
    <w:p w14:paraId="6DA16F78" w14:textId="77777777" w:rsidR="00B5724A" w:rsidRDefault="00B5724A" w:rsidP="00B5724A">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 xml:space="preserve">TX: RED LIGHT - AMBULANCE DRIVER LIGHTS &amp; SIREN DIDN’T SLOW DOWN - OBSTRUCTED VIEW – NO IMMUNITY </w:t>
      </w:r>
    </w:p>
    <w:p w14:paraId="653E5251" w14:textId="77777777" w:rsidR="00B5724A" w:rsidRPr="00CB1C4F" w:rsidRDefault="00B5724A" w:rsidP="00B5724A">
      <w:pPr>
        <w:spacing w:before="100" w:beforeAutospacing="1" w:after="100" w:afterAutospacing="1" w:line="240" w:lineRule="auto"/>
        <w:rPr>
          <w:rFonts w:ascii="Times New Roman" w:hAnsi="Times New Roman"/>
          <w:sz w:val="24"/>
          <w:szCs w:val="24"/>
        </w:rPr>
      </w:pPr>
      <w:r w:rsidRPr="00E82791">
        <w:rPr>
          <w:rFonts w:ascii="Times New Roman" w:hAnsi="Times New Roman"/>
          <w:sz w:val="24"/>
          <w:szCs w:val="24"/>
        </w:rPr>
        <w:t xml:space="preserve">On </w:t>
      </w:r>
      <w:r>
        <w:rPr>
          <w:rFonts w:ascii="Times New Roman" w:hAnsi="Times New Roman"/>
          <w:sz w:val="24"/>
          <w:szCs w:val="24"/>
        </w:rPr>
        <w:t xml:space="preserve">Dec. 30, 2021, in </w:t>
      </w:r>
      <w:proofErr w:type="spellStart"/>
      <w:r w:rsidRPr="00E82791">
        <w:rPr>
          <w:rFonts w:ascii="Times New Roman" w:hAnsi="Times New Roman"/>
          <w:sz w:val="24"/>
          <w:szCs w:val="24"/>
          <w:u w:val="single"/>
        </w:rPr>
        <w:t>Seronda</w:t>
      </w:r>
      <w:proofErr w:type="spellEnd"/>
      <w:r w:rsidRPr="00E82791">
        <w:rPr>
          <w:rFonts w:ascii="Times New Roman" w:hAnsi="Times New Roman"/>
          <w:sz w:val="24"/>
          <w:szCs w:val="24"/>
          <w:u w:val="single"/>
        </w:rPr>
        <w:t xml:space="preserve"> Gillespie and </w:t>
      </w:r>
      <w:proofErr w:type="spellStart"/>
      <w:r w:rsidRPr="00E82791">
        <w:rPr>
          <w:rFonts w:ascii="Times New Roman" w:hAnsi="Times New Roman"/>
          <w:sz w:val="24"/>
          <w:szCs w:val="24"/>
          <w:u w:val="single"/>
        </w:rPr>
        <w:t>Torondia</w:t>
      </w:r>
      <w:proofErr w:type="spellEnd"/>
      <w:r w:rsidRPr="00E82791">
        <w:rPr>
          <w:rFonts w:ascii="Times New Roman" w:hAnsi="Times New Roman"/>
          <w:sz w:val="24"/>
          <w:szCs w:val="24"/>
          <w:u w:val="single"/>
        </w:rPr>
        <w:t xml:space="preserve"> </w:t>
      </w:r>
      <w:proofErr w:type="spellStart"/>
      <w:r w:rsidRPr="00E82791">
        <w:rPr>
          <w:rFonts w:ascii="Times New Roman" w:hAnsi="Times New Roman"/>
          <w:sz w:val="24"/>
          <w:szCs w:val="24"/>
          <w:u w:val="single"/>
        </w:rPr>
        <w:t>Talber</w:t>
      </w:r>
      <w:proofErr w:type="spellEnd"/>
      <w:r w:rsidRPr="00E82791">
        <w:rPr>
          <w:rFonts w:ascii="Times New Roman" w:hAnsi="Times New Roman"/>
          <w:sz w:val="24"/>
          <w:szCs w:val="24"/>
          <w:u w:val="single"/>
        </w:rPr>
        <w:t xml:space="preserve"> v. Galveston County Health District,</w:t>
      </w:r>
      <w:r>
        <w:rPr>
          <w:rFonts w:ascii="Times New Roman" w:hAnsi="Times New Roman"/>
          <w:sz w:val="24"/>
          <w:szCs w:val="24"/>
        </w:rPr>
        <w:t xml:space="preserve"> the Court of Appeals of Texas, Fourteenth District, held (3 to 0) that trial court is reversed and lawsuit reinstated. By </w:t>
      </w:r>
      <w:proofErr w:type="gramStart"/>
      <w:r>
        <w:rPr>
          <w:rFonts w:ascii="Times New Roman" w:hAnsi="Times New Roman"/>
          <w:sz w:val="24"/>
          <w:szCs w:val="24"/>
        </w:rPr>
        <w:t>entering into</w:t>
      </w:r>
      <w:proofErr w:type="gramEnd"/>
      <w:r>
        <w:rPr>
          <w:rFonts w:ascii="Times New Roman" w:hAnsi="Times New Roman"/>
          <w:sz w:val="24"/>
          <w:szCs w:val="24"/>
        </w:rPr>
        <w:t xml:space="preserve"> the obstructed intersection without slowing down as she had for prior red lights, there is sufficient </w:t>
      </w:r>
      <w:r>
        <w:rPr>
          <w:rFonts w:ascii="Times New Roman" w:hAnsi="Times New Roman"/>
          <w:sz w:val="24"/>
          <w:szCs w:val="24"/>
        </w:rPr>
        <w:lastRenderedPageBreak/>
        <w:t>evidence of “</w:t>
      </w:r>
      <w:r w:rsidRPr="00CB1C4F">
        <w:rPr>
          <w:rFonts w:ascii="Times New Roman" w:hAnsi="Times New Roman"/>
          <w:sz w:val="24"/>
          <w:szCs w:val="24"/>
        </w:rPr>
        <w:t>reckless disregard for the safety of others."</w:t>
      </w:r>
      <w:r>
        <w:rPr>
          <w:rFonts w:ascii="Times New Roman" w:hAnsi="Times New Roman"/>
          <w:sz w:val="24"/>
          <w:szCs w:val="24"/>
        </w:rPr>
        <w:t xml:space="preserve"> The posted speed was 35 mph; paramedic was going about 40 mph. </w:t>
      </w:r>
    </w:p>
    <w:p w14:paraId="22E8D3DB" w14:textId="77777777" w:rsidR="00B5724A" w:rsidRPr="00FF02D0" w:rsidRDefault="00B5724A" w:rsidP="00B5724A">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w:t>
      </w:r>
      <w:r w:rsidRPr="00FF02D0">
        <w:rPr>
          <w:rFonts w:ascii="Times New Roman" w:eastAsia="Times New Roman" w:hAnsi="Times New Roman"/>
          <w:sz w:val="24"/>
          <w:szCs w:val="24"/>
        </w:rPr>
        <w:t xml:space="preserve">The </w:t>
      </w:r>
      <w:r>
        <w:rPr>
          <w:rFonts w:ascii="Times New Roman" w:eastAsia="Times New Roman" w:hAnsi="Times New Roman"/>
          <w:sz w:val="24"/>
          <w:szCs w:val="24"/>
        </w:rPr>
        <w:t xml:space="preserve">[County Health] </w:t>
      </w:r>
      <w:r w:rsidRPr="00FF02D0">
        <w:rPr>
          <w:rFonts w:ascii="Times New Roman" w:eastAsia="Times New Roman" w:hAnsi="Times New Roman"/>
          <w:sz w:val="24"/>
          <w:szCs w:val="24"/>
        </w:rPr>
        <w:t xml:space="preserve">District presented no evidence that a reasonably prudent official could have believed that Sanders-Fletcher was justified in entering the intersection without first slowing down under these circumstances. The </w:t>
      </w:r>
      <w:proofErr w:type="gramStart"/>
      <w:r w:rsidRPr="00FF02D0">
        <w:rPr>
          <w:rFonts w:ascii="Times New Roman" w:eastAsia="Times New Roman" w:hAnsi="Times New Roman"/>
          <w:sz w:val="24"/>
          <w:szCs w:val="24"/>
        </w:rPr>
        <w:t>District</w:t>
      </w:r>
      <w:proofErr w:type="gramEnd"/>
      <w:r w:rsidRPr="00FF02D0">
        <w:rPr>
          <w:rFonts w:ascii="Times New Roman" w:eastAsia="Times New Roman" w:hAnsi="Times New Roman"/>
          <w:sz w:val="24"/>
          <w:szCs w:val="24"/>
        </w:rPr>
        <w:t xml:space="preserve"> does not contend otherwise; it merely asserts on appeal that Sanders-Fletcher is entitled to official immunity because there is no fact issue as to whether her conduct was reckless and that the video shows her cautious speed and approach through the intersection. Because there is a genuine issue of material fact as to whether Sanders-Fletcher's conduct was reckless, the </w:t>
      </w:r>
      <w:proofErr w:type="gramStart"/>
      <w:r w:rsidRPr="00FF02D0">
        <w:rPr>
          <w:rFonts w:ascii="Times New Roman" w:eastAsia="Times New Roman" w:hAnsi="Times New Roman"/>
          <w:sz w:val="24"/>
          <w:szCs w:val="24"/>
        </w:rPr>
        <w:t>District's</w:t>
      </w:r>
      <w:proofErr w:type="gramEnd"/>
      <w:r w:rsidRPr="00FF02D0">
        <w:rPr>
          <w:rFonts w:ascii="Times New Roman" w:eastAsia="Times New Roman" w:hAnsi="Times New Roman"/>
          <w:sz w:val="24"/>
          <w:szCs w:val="24"/>
        </w:rPr>
        <w:t xml:space="preserve"> official-immunity argument cannot be sustained on this basis.</w:t>
      </w:r>
      <w:r>
        <w:rPr>
          <w:rFonts w:ascii="Times New Roman" w:eastAsia="Times New Roman" w:hAnsi="Times New Roman"/>
          <w:sz w:val="24"/>
          <w:szCs w:val="24"/>
        </w:rPr>
        <w:t xml:space="preserve">” </w:t>
      </w:r>
      <w:r w:rsidRPr="00FF02D0">
        <w:rPr>
          <w:rFonts w:ascii="Times New Roman" w:eastAsia="Times New Roman" w:hAnsi="Times New Roman"/>
          <w:sz w:val="24"/>
          <w:szCs w:val="24"/>
        </w:rPr>
        <w:t xml:space="preserve"> </w:t>
      </w:r>
      <w:hyperlink r:id="rId997" w:history="1">
        <w:r w:rsidRPr="00EC5853">
          <w:rPr>
            <w:rStyle w:val="Hyperlink"/>
            <w:rFonts w:ascii="Times New Roman" w:eastAsia="Times New Roman" w:hAnsi="Times New Roman"/>
            <w:sz w:val="24"/>
            <w:szCs w:val="24"/>
          </w:rPr>
          <w:t>https://public.fastcase.com/9SKwsfNqTc6OieYDhNMyMxYFAOB%2B8Exz96lCVjgKZ3LX4kIIj1F%2BwgWx84FRdD2XxPjZrEkhT3uMWAcBEArrI0vrm%2B5Vt5gbBlhQIZhqFuE%3D</w:t>
        </w:r>
      </w:hyperlink>
      <w:r>
        <w:rPr>
          <w:rFonts w:ascii="Times New Roman" w:eastAsia="Times New Roman" w:hAnsi="Times New Roman"/>
          <w:sz w:val="24"/>
          <w:szCs w:val="24"/>
        </w:rPr>
        <w:t xml:space="preserve"> </w:t>
      </w:r>
    </w:p>
    <w:p w14:paraId="326AB7B5" w14:textId="77777777" w:rsidR="00B5724A" w:rsidRPr="002C414E" w:rsidRDefault="00B5724A" w:rsidP="00B5724A">
      <w:pPr>
        <w:spacing w:before="100" w:beforeAutospacing="1" w:after="100" w:afterAutospacing="1" w:line="240" w:lineRule="auto"/>
        <w:rPr>
          <w:rFonts w:ascii="Times New Roman" w:hAnsi="Times New Roman"/>
          <w:b/>
          <w:bCs/>
          <w:sz w:val="24"/>
          <w:szCs w:val="24"/>
        </w:rPr>
      </w:pPr>
      <w:r w:rsidRPr="002C414E">
        <w:rPr>
          <w:rFonts w:ascii="Times New Roman" w:hAnsi="Times New Roman"/>
          <w:b/>
          <w:bCs/>
          <w:sz w:val="24"/>
          <w:szCs w:val="24"/>
        </w:rPr>
        <w:t xml:space="preserve">Legal Lesson Learned: Operators of emergency vehicles should slow down when approaching a red light or stop sign, particularly if on a road with obstructed views. </w:t>
      </w:r>
    </w:p>
    <w:p w14:paraId="431666F5" w14:textId="77777777" w:rsidR="00B5724A" w:rsidRPr="002C414E" w:rsidRDefault="00B5724A" w:rsidP="00B5724A">
      <w:pPr>
        <w:pStyle w:val="Heading1"/>
        <w:ind w:left="720"/>
        <w:rPr>
          <w:b w:val="0"/>
          <w:bCs w:val="0"/>
          <w:sz w:val="24"/>
          <w:szCs w:val="24"/>
        </w:rPr>
      </w:pPr>
      <w:r w:rsidRPr="002C414E">
        <w:rPr>
          <w:b w:val="0"/>
          <w:bCs w:val="0"/>
          <w:sz w:val="24"/>
          <w:szCs w:val="24"/>
        </w:rPr>
        <w:t xml:space="preserve">Note: Ohio Revised Code Section 4511.03 </w:t>
      </w:r>
      <w:r w:rsidRPr="002C414E">
        <w:rPr>
          <w:rStyle w:val="codes-separator"/>
          <w:b w:val="0"/>
          <w:bCs w:val="0"/>
          <w:sz w:val="24"/>
          <w:szCs w:val="24"/>
        </w:rPr>
        <w:t>|</w:t>
      </w:r>
      <w:r w:rsidRPr="002C414E">
        <w:rPr>
          <w:b w:val="0"/>
          <w:bCs w:val="0"/>
          <w:sz w:val="24"/>
          <w:szCs w:val="24"/>
        </w:rPr>
        <w:t xml:space="preserve"> Emergency vehicles at red signal or stop sign. </w:t>
      </w:r>
      <w:hyperlink r:id="rId998" w:history="1">
        <w:r w:rsidRPr="002C414E">
          <w:rPr>
            <w:rFonts w:eastAsiaTheme="majorEastAsia"/>
            <w:b w:val="0"/>
            <w:bCs w:val="0"/>
            <w:sz w:val="24"/>
            <w:szCs w:val="24"/>
          </w:rPr>
          <w:t>https://codes.ohio.gov/ohio-revised-code/section-4511.03</w:t>
        </w:r>
      </w:hyperlink>
      <w:r w:rsidRPr="002C414E">
        <w:rPr>
          <w:b w:val="0"/>
          <w:bCs w:val="0"/>
          <w:sz w:val="24"/>
          <w:szCs w:val="24"/>
        </w:rPr>
        <w:t xml:space="preserve"> </w:t>
      </w:r>
    </w:p>
    <w:p w14:paraId="4D78946D" w14:textId="77777777" w:rsidR="00B5724A" w:rsidRPr="002C414E" w:rsidRDefault="00B5724A" w:rsidP="00B5724A">
      <w:pPr>
        <w:spacing w:before="100" w:beforeAutospacing="1" w:after="100" w:afterAutospacing="1" w:line="240" w:lineRule="auto"/>
        <w:ind w:left="1440"/>
        <w:rPr>
          <w:rFonts w:ascii="Times New Roman" w:eastAsia="Times New Roman" w:hAnsi="Times New Roman"/>
          <w:sz w:val="24"/>
          <w:szCs w:val="24"/>
        </w:rPr>
      </w:pPr>
      <w:r w:rsidRPr="002C414E">
        <w:rPr>
          <w:rFonts w:ascii="Times New Roman" w:hAnsi="Times New Roman"/>
          <w:sz w:val="24"/>
          <w:szCs w:val="24"/>
        </w:rPr>
        <w:t>“(A) The driver of any emergency vehicle or public safety vehicle, when responding to an emergency call, upon approaching a red or stop signal or any stop sign shall slow down as necessary for safety to traffic, but may proceed cautiously past such red or stop sign or signal with due regard for the safety of all persons using the street or highway.”</w:t>
      </w:r>
    </w:p>
    <w:p w14:paraId="6B1FF64C" w14:textId="77777777" w:rsidR="00B5724A" w:rsidRDefault="00B5724A" w:rsidP="00EF1133">
      <w:pPr>
        <w:rPr>
          <w:rFonts w:ascii="Arial Black" w:hAnsi="Arial Black"/>
          <w:b/>
          <w:sz w:val="24"/>
          <w:szCs w:val="24"/>
        </w:rPr>
      </w:pPr>
    </w:p>
    <w:p w14:paraId="30A46054" w14:textId="273659CE" w:rsidR="00BC5936" w:rsidRPr="00BC5936" w:rsidRDefault="00BC5936" w:rsidP="00EF1133">
      <w:pPr>
        <w:rPr>
          <w:rFonts w:ascii="Times New Roman" w:hAnsi="Times New Roman"/>
          <w:bCs/>
          <w:sz w:val="24"/>
          <w:szCs w:val="24"/>
        </w:rPr>
      </w:pPr>
      <w:r>
        <w:rPr>
          <w:rFonts w:ascii="Arial Black" w:hAnsi="Arial Black"/>
          <w:b/>
          <w:sz w:val="24"/>
          <w:szCs w:val="24"/>
        </w:rPr>
        <w:t xml:space="preserve">5-21 </w:t>
      </w:r>
      <w:r>
        <w:rPr>
          <w:rFonts w:ascii="Times New Roman" w:hAnsi="Times New Roman"/>
          <w:bCs/>
          <w:sz w:val="24"/>
          <w:szCs w:val="24"/>
        </w:rPr>
        <w:t>[also filed, Chap. 13]</w:t>
      </w:r>
    </w:p>
    <w:p w14:paraId="5A6B839B" w14:textId="77777777" w:rsidR="00BC5936" w:rsidRPr="002F193B" w:rsidRDefault="00BC5936" w:rsidP="00BC5936">
      <w:pPr>
        <w:pStyle w:val="NoSpacing"/>
        <w:rPr>
          <w:rFonts w:ascii="Arial Black" w:hAnsi="Arial Black"/>
          <w:sz w:val="28"/>
          <w:szCs w:val="28"/>
        </w:rPr>
      </w:pPr>
      <w:r>
        <w:rPr>
          <w:rFonts w:ascii="Arial Black" w:hAnsi="Arial Black"/>
          <w:sz w:val="28"/>
          <w:szCs w:val="28"/>
        </w:rPr>
        <w:t>WV: AMBULANCE ROLL OVER - 2 KILLED, EMT’S LAWSUIT HOSP. DISMISSED – MEDICAL CERT. OF MERIT REQUIRED</w:t>
      </w:r>
    </w:p>
    <w:p w14:paraId="69A4B9FB" w14:textId="77777777" w:rsidR="00BC5936" w:rsidRDefault="00BC5936" w:rsidP="00BC5936">
      <w:pPr>
        <w:pStyle w:val="NoSpacing"/>
      </w:pPr>
    </w:p>
    <w:p w14:paraId="6F7FC8DE" w14:textId="77777777" w:rsidR="00BC5936" w:rsidRDefault="00BC5936" w:rsidP="00BC5936">
      <w:pPr>
        <w:pStyle w:val="NoSpacing"/>
        <w:rPr>
          <w:rFonts w:ascii="Times New Roman" w:hAnsi="Times New Roman"/>
          <w:sz w:val="24"/>
          <w:szCs w:val="24"/>
        </w:rPr>
      </w:pPr>
      <w:r w:rsidRPr="00397962">
        <w:rPr>
          <w:rFonts w:ascii="Times New Roman" w:hAnsi="Times New Roman"/>
          <w:sz w:val="24"/>
          <w:szCs w:val="24"/>
        </w:rPr>
        <w:t xml:space="preserve">On May 20, 2021, in </w:t>
      </w:r>
      <w:r w:rsidRPr="00397962">
        <w:rPr>
          <w:rFonts w:ascii="Times New Roman" w:hAnsi="Times New Roman"/>
          <w:sz w:val="24"/>
          <w:szCs w:val="24"/>
          <w:u w:val="single"/>
        </w:rPr>
        <w:t>Crystal G. Brown and Tri-State Ambulance, Inc. v. Ohio Valley Health Services &amp; Education Corporation; Ohio Valley Medical Center; et al</w:t>
      </w:r>
      <w:r>
        <w:rPr>
          <w:rFonts w:ascii="Times New Roman" w:hAnsi="Times New Roman"/>
          <w:sz w:val="24"/>
          <w:szCs w:val="24"/>
        </w:rPr>
        <w:t xml:space="preserve">., the State of West Virginia Supreme Court of Appeals, </w:t>
      </w:r>
      <w:r w:rsidRPr="00FD6489">
        <w:rPr>
          <w:rStyle w:val="font-weight-bold"/>
          <w:rFonts w:ascii="Times New Roman" w:hAnsi="Times New Roman"/>
          <w:sz w:val="24"/>
          <w:szCs w:val="24"/>
        </w:rPr>
        <w:t>Brown v. Ohio Valley Health Servs. &amp; Educ. Corp. (W. Va. 202</w:t>
      </w:r>
      <w:r>
        <w:rPr>
          <w:rFonts w:ascii="Times New Roman" w:hAnsi="Times New Roman"/>
          <w:sz w:val="24"/>
          <w:szCs w:val="24"/>
        </w:rPr>
        <w:t xml:space="preserve">1, held (3 to 0) that the lawsuit was properly dismissed since the West Virginia code of medical professional liability requires both patients and others suing a health care provider 30 days </w:t>
      </w:r>
      <w:proofErr w:type="gramStart"/>
      <w:r>
        <w:rPr>
          <w:rFonts w:ascii="Times New Roman" w:hAnsi="Times New Roman"/>
          <w:sz w:val="24"/>
          <w:szCs w:val="24"/>
        </w:rPr>
        <w:t>prior</w:t>
      </w:r>
      <w:proofErr w:type="gramEnd"/>
      <w:r>
        <w:rPr>
          <w:rFonts w:ascii="Times New Roman" w:hAnsi="Times New Roman"/>
          <w:sz w:val="24"/>
          <w:szCs w:val="24"/>
        </w:rPr>
        <w:t xml:space="preserve"> written notice, and a certificate of merit by a qualified health care provider.  The EMT in her lawsuit claimed the hospital knew but failed to disclose that transporting the patient to a Columbus, OH hospital was not medically necessary to save his life and that dangerous weather was approaching; the Ambulance company’s insurance provider sought reimbursement for its settlement costs.</w:t>
      </w:r>
    </w:p>
    <w:p w14:paraId="1449E210" w14:textId="77777777" w:rsidR="00BC5936" w:rsidRPr="00FD6489" w:rsidRDefault="00BC5936" w:rsidP="00BC5936">
      <w:pPr>
        <w:spacing w:before="100" w:beforeAutospacing="1" w:after="100" w:afterAutospacing="1"/>
        <w:ind w:left="720"/>
        <w:rPr>
          <w:rFonts w:ascii="Times New Roman" w:hAnsi="Times New Roman"/>
          <w:sz w:val="24"/>
          <w:szCs w:val="24"/>
        </w:rPr>
      </w:pPr>
      <w:r>
        <w:rPr>
          <w:rFonts w:ascii="Times New Roman" w:hAnsi="Times New Roman"/>
          <w:sz w:val="24"/>
          <w:szCs w:val="24"/>
        </w:rPr>
        <w:t>“</w:t>
      </w:r>
      <w:r w:rsidRPr="00FD6489">
        <w:rPr>
          <w:rFonts w:ascii="Times New Roman" w:hAnsi="Times New Roman"/>
          <w:sz w:val="24"/>
          <w:szCs w:val="24"/>
        </w:rPr>
        <w:t xml:space="preserve">That Petitioner Brown was not the patient does not preclude application of the MPLA. [Medical Professional Liability Act].  In syllabus point 5 of </w:t>
      </w:r>
      <w:r w:rsidRPr="00FD6489">
        <w:rPr>
          <w:rFonts w:ascii="Times New Roman" w:hAnsi="Times New Roman"/>
          <w:i/>
          <w:iCs/>
          <w:sz w:val="24"/>
          <w:szCs w:val="24"/>
        </w:rPr>
        <w:t>Osbourne v</w:t>
      </w:r>
      <w:r w:rsidRPr="00FD6489">
        <w:rPr>
          <w:rFonts w:ascii="Times New Roman" w:hAnsi="Times New Roman"/>
          <w:sz w:val="24"/>
          <w:szCs w:val="24"/>
        </w:rPr>
        <w:t xml:space="preserve">. </w:t>
      </w:r>
      <w:r w:rsidRPr="00FD6489">
        <w:rPr>
          <w:rFonts w:ascii="Times New Roman" w:hAnsi="Times New Roman"/>
          <w:i/>
          <w:iCs/>
          <w:sz w:val="24"/>
          <w:szCs w:val="24"/>
        </w:rPr>
        <w:t>United States</w:t>
      </w:r>
      <w:r w:rsidRPr="00FD6489">
        <w:rPr>
          <w:rFonts w:ascii="Times New Roman" w:hAnsi="Times New Roman"/>
          <w:sz w:val="24"/>
          <w:szCs w:val="24"/>
        </w:rPr>
        <w:t xml:space="preserve">, 211 W. Va. 667, 567 S.E.2d 677 (2002), we held that the Act </w:t>
      </w:r>
      <w:r>
        <w:rPr>
          <w:rFonts w:ascii="Times New Roman" w:hAnsi="Times New Roman"/>
          <w:sz w:val="24"/>
          <w:szCs w:val="24"/>
        </w:rPr>
        <w:t>‘</w:t>
      </w:r>
      <w:r w:rsidRPr="00FD6489">
        <w:rPr>
          <w:rFonts w:ascii="Times New Roman" w:hAnsi="Times New Roman"/>
          <w:sz w:val="24"/>
          <w:szCs w:val="24"/>
        </w:rPr>
        <w:t>permits a third party to bring a cause of action against a health care provider for foreseeable injuries that were proximately caused by the health care provider's negligent treatment of a tortfeasor patient.</w:t>
      </w:r>
      <w:r>
        <w:rPr>
          <w:rFonts w:ascii="Times New Roman" w:hAnsi="Times New Roman"/>
          <w:sz w:val="24"/>
          <w:szCs w:val="24"/>
        </w:rPr>
        <w:t>’</w:t>
      </w:r>
      <w:r w:rsidRPr="00FD6489">
        <w:rPr>
          <w:rFonts w:ascii="Times New Roman" w:hAnsi="Times New Roman"/>
          <w:sz w:val="24"/>
          <w:szCs w:val="24"/>
        </w:rPr>
        <w:t xml:space="preserve"> In reaching this holding, we observed that, in defining </w:t>
      </w:r>
      <w:r>
        <w:rPr>
          <w:rFonts w:ascii="Times New Roman" w:hAnsi="Times New Roman"/>
          <w:sz w:val="24"/>
          <w:szCs w:val="24"/>
        </w:rPr>
        <w:t>‘</w:t>
      </w:r>
      <w:r w:rsidRPr="00FD6489">
        <w:rPr>
          <w:rFonts w:ascii="Times New Roman" w:hAnsi="Times New Roman"/>
          <w:sz w:val="24"/>
          <w:szCs w:val="24"/>
        </w:rPr>
        <w:t>medical professional liability</w:t>
      </w:r>
      <w:r>
        <w:rPr>
          <w:rFonts w:ascii="Times New Roman" w:hAnsi="Times New Roman"/>
          <w:sz w:val="24"/>
          <w:szCs w:val="24"/>
        </w:rPr>
        <w:t xml:space="preserve">.’” </w:t>
      </w:r>
      <w:hyperlink r:id="rId999" w:history="1">
        <w:r w:rsidRPr="007344F4">
          <w:rPr>
            <w:rStyle w:val="Hyperlink"/>
            <w:sz w:val="24"/>
            <w:szCs w:val="24"/>
          </w:rPr>
          <w:t>https://casetext.com/case/brown-v-ohio-valley-health-servs-educ-corp</w:t>
        </w:r>
      </w:hyperlink>
      <w:r>
        <w:rPr>
          <w:rFonts w:ascii="Times New Roman" w:hAnsi="Times New Roman"/>
          <w:sz w:val="24"/>
          <w:szCs w:val="24"/>
        </w:rPr>
        <w:t xml:space="preserve"> </w:t>
      </w:r>
    </w:p>
    <w:p w14:paraId="71724B90" w14:textId="77777777" w:rsidR="00BC5936" w:rsidRPr="006723F9" w:rsidRDefault="00BC5936" w:rsidP="00BC5936">
      <w:pPr>
        <w:spacing w:before="100" w:beforeAutospacing="1" w:after="100" w:afterAutospacing="1"/>
        <w:rPr>
          <w:rFonts w:ascii="Times New Roman" w:eastAsia="Times New Roman" w:hAnsi="Times New Roman"/>
          <w:b/>
          <w:bCs/>
          <w:sz w:val="24"/>
          <w:szCs w:val="24"/>
        </w:rPr>
      </w:pPr>
      <w:r w:rsidRPr="006723F9">
        <w:rPr>
          <w:rFonts w:ascii="Times New Roman" w:hAnsi="Times New Roman"/>
          <w:b/>
          <w:bCs/>
          <w:sz w:val="24"/>
          <w:szCs w:val="24"/>
        </w:rPr>
        <w:lastRenderedPageBreak/>
        <w:t xml:space="preserve">Legal Lesson Learned:  </w:t>
      </w:r>
      <w:r>
        <w:rPr>
          <w:rFonts w:ascii="Times New Roman" w:hAnsi="Times New Roman"/>
          <w:b/>
          <w:bCs/>
          <w:sz w:val="24"/>
          <w:szCs w:val="24"/>
        </w:rPr>
        <w:t xml:space="preserve">Lawsuit dismissed since EMT and her attorney </w:t>
      </w:r>
      <w:r w:rsidRPr="006723F9">
        <w:rPr>
          <w:rFonts w:ascii="Times New Roman" w:hAnsi="Times New Roman"/>
          <w:b/>
          <w:bCs/>
          <w:sz w:val="24"/>
          <w:szCs w:val="24"/>
        </w:rPr>
        <w:t xml:space="preserve">didn’t </w:t>
      </w:r>
      <w:r>
        <w:rPr>
          <w:rFonts w:ascii="Times New Roman" w:hAnsi="Times New Roman"/>
          <w:b/>
          <w:bCs/>
          <w:sz w:val="24"/>
          <w:szCs w:val="24"/>
        </w:rPr>
        <w:t xml:space="preserve">provide the Certificate of Merit required by the Medical Professional Liability </w:t>
      </w:r>
      <w:r w:rsidRPr="006723F9">
        <w:rPr>
          <w:rFonts w:ascii="Times New Roman" w:hAnsi="Times New Roman"/>
          <w:b/>
          <w:bCs/>
          <w:sz w:val="24"/>
          <w:szCs w:val="24"/>
        </w:rPr>
        <w:t xml:space="preserve">statute. </w:t>
      </w:r>
      <w:r>
        <w:rPr>
          <w:rFonts w:ascii="Times New Roman" w:hAnsi="Times New Roman"/>
          <w:b/>
          <w:bCs/>
          <w:sz w:val="24"/>
          <w:szCs w:val="24"/>
        </w:rPr>
        <w:t xml:space="preserve"> Similar statutes can be found throughout U.S. </w:t>
      </w:r>
    </w:p>
    <w:p w14:paraId="48C9C5A7" w14:textId="77777777" w:rsidR="00BC5936" w:rsidRDefault="00BC5936" w:rsidP="00BC5936">
      <w:pPr>
        <w:spacing w:before="100" w:beforeAutospacing="1" w:after="100" w:afterAutospacing="1"/>
        <w:ind w:left="720"/>
        <w:rPr>
          <w:rFonts w:ascii="Times New Roman" w:hAnsi="Times New Roman"/>
          <w:sz w:val="24"/>
          <w:szCs w:val="24"/>
        </w:rPr>
      </w:pPr>
      <w:r>
        <w:rPr>
          <w:rFonts w:ascii="Times New Roman" w:eastAsia="Times New Roman" w:hAnsi="Times New Roman"/>
          <w:sz w:val="24"/>
          <w:szCs w:val="24"/>
        </w:rPr>
        <w:t>Note: See this article on the roll over.</w:t>
      </w:r>
    </w:p>
    <w:p w14:paraId="7FB078B2" w14:textId="77777777" w:rsidR="00BC5936" w:rsidRPr="006C56B5" w:rsidRDefault="00BC5936" w:rsidP="00BC5936">
      <w:pPr>
        <w:ind w:left="720"/>
        <w:rPr>
          <w:rFonts w:ascii="Times New Roman" w:hAnsi="Times New Roman"/>
          <w:sz w:val="24"/>
          <w:szCs w:val="24"/>
        </w:rPr>
      </w:pPr>
      <w:r w:rsidRPr="006C56B5">
        <w:rPr>
          <w:rFonts w:ascii="Times New Roman" w:hAnsi="Times New Roman"/>
          <w:b/>
          <w:bCs/>
          <w:sz w:val="24"/>
          <w:szCs w:val="24"/>
        </w:rPr>
        <w:t>Two Dead After Ambulance Rollover</w:t>
      </w:r>
      <w:r>
        <w:rPr>
          <w:rFonts w:ascii="Times New Roman" w:hAnsi="Times New Roman"/>
          <w:sz w:val="24"/>
          <w:szCs w:val="24"/>
        </w:rPr>
        <w:t xml:space="preserve"> (Dec. 17, 2016): </w:t>
      </w:r>
      <w:hyperlink r:id="rId1000" w:history="1">
        <w:r w:rsidRPr="006C56B5">
          <w:rPr>
            <w:rStyle w:val="Hyperlink"/>
            <w:sz w:val="24"/>
            <w:szCs w:val="24"/>
          </w:rPr>
          <w:t>https://www.zanesvilletimesrecorder.com/story/news/local/2016/12/17/two-dead-after-ambulance-rollover/95557626/</w:t>
        </w:r>
      </w:hyperlink>
      <w:r w:rsidRPr="006C56B5">
        <w:rPr>
          <w:rFonts w:ascii="Times New Roman" w:hAnsi="Times New Roman"/>
          <w:sz w:val="24"/>
          <w:szCs w:val="24"/>
        </w:rPr>
        <w:t xml:space="preserve"> </w:t>
      </w:r>
    </w:p>
    <w:p w14:paraId="30134D7C" w14:textId="77777777" w:rsidR="00BC5936" w:rsidRPr="006C56B5" w:rsidRDefault="00BC5936" w:rsidP="00BC5936">
      <w:pPr>
        <w:ind w:left="1440"/>
        <w:rPr>
          <w:rFonts w:ascii="Times New Roman" w:hAnsi="Times New Roman"/>
          <w:sz w:val="24"/>
          <w:szCs w:val="24"/>
        </w:rPr>
      </w:pPr>
      <w:r w:rsidRPr="006C56B5">
        <w:rPr>
          <w:rFonts w:ascii="Times New Roman" w:hAnsi="Times New Roman"/>
          <w:sz w:val="24"/>
          <w:szCs w:val="24"/>
        </w:rPr>
        <w:t>CAMBRIDGE, OH- Two people died early Saturday morning after an ambulance lost control and overturned several times, according to a release from the Cambridge Post of the Ohio Highway Patrol.</w:t>
      </w:r>
    </w:p>
    <w:p w14:paraId="6F905B98" w14:textId="77777777" w:rsidR="00BC5936" w:rsidRDefault="00BC5936" w:rsidP="00BC5936">
      <w:pPr>
        <w:pStyle w:val="gntarbp"/>
        <w:ind w:left="1440"/>
      </w:pPr>
      <w:r>
        <w:t>According to the release, shortly after 2 a.m. an ambulance, registered to Tri State Ambulance, was transporting a patient on I-70 westbound near milepost 176 when it lost control, drove off the left edge of the interstate and overturned multiple times.</w:t>
      </w:r>
    </w:p>
    <w:p w14:paraId="1016D659" w14:textId="77777777" w:rsidR="00BC5936" w:rsidRDefault="00BC5936" w:rsidP="00BC5936">
      <w:pPr>
        <w:pStyle w:val="gntarbp"/>
        <w:ind w:left="1440"/>
      </w:pPr>
      <w:r>
        <w:t>At the time of the crash, a patient and four emergency medical personnel were in the ambulance. A patient and one of the emergency personnel, both in the patient care area of the ambulance, were killed in the crash. The three other emergency personnel sustained minor injuries, which were treated at Southeastern Medical Center.</w:t>
      </w:r>
    </w:p>
    <w:p w14:paraId="5729DF2F" w14:textId="77777777" w:rsidR="00BC5936" w:rsidRPr="006C56B5" w:rsidRDefault="00BC5936" w:rsidP="00BC5936">
      <w:pPr>
        <w:pStyle w:val="gntarbp"/>
        <w:ind w:left="1440"/>
      </w:pPr>
      <w:r>
        <w:t xml:space="preserve">Killed in the crash were the patient, Dennis Calvert, 64, of Wheeling West Virginia, and emergency personnel Charles McMahan, 39, of New Matamoras. Injured in the crash </w:t>
      </w:r>
      <w:proofErr w:type="gramStart"/>
      <w:r>
        <w:t>were the driver,</w:t>
      </w:r>
      <w:proofErr w:type="gramEnd"/>
      <w:r>
        <w:t xml:space="preserve"> Crystal Brown, 33</w:t>
      </w:r>
      <w:proofErr w:type="gramStart"/>
      <w:r>
        <w:t>, of</w:t>
      </w:r>
      <w:proofErr w:type="gramEnd"/>
      <w:r>
        <w:t xml:space="preserve"> Proctor, West Virginia, passengers Jennifer Rothwell, 32, of Wheeling, West Virginia, and Randi Watson, 37, of Glen Easton, West Virginia.</w:t>
      </w:r>
    </w:p>
    <w:p w14:paraId="7C63F985" w14:textId="77777777" w:rsidR="00BC5936" w:rsidRPr="00D1078B" w:rsidRDefault="00BC5936" w:rsidP="00BC5936">
      <w:pPr>
        <w:spacing w:before="100" w:beforeAutospacing="1" w:after="100" w:afterAutospacing="1"/>
        <w:ind w:left="720"/>
        <w:rPr>
          <w:rFonts w:ascii="Times New Roman" w:hAnsi="Times New Roman"/>
          <w:sz w:val="24"/>
          <w:szCs w:val="24"/>
        </w:rPr>
      </w:pPr>
      <w:r w:rsidRPr="00D1078B">
        <w:rPr>
          <w:rFonts w:ascii="Times New Roman" w:hAnsi="Times New Roman"/>
          <w:sz w:val="24"/>
          <w:szCs w:val="24"/>
        </w:rPr>
        <w:t xml:space="preserve">The West Virginia </w:t>
      </w:r>
      <w:r w:rsidRPr="00FD6489">
        <w:rPr>
          <w:rFonts w:ascii="Times New Roman" w:hAnsi="Times New Roman"/>
          <w:sz w:val="24"/>
          <w:szCs w:val="24"/>
        </w:rPr>
        <w:t>Medical Professional Liability Act</w:t>
      </w:r>
      <w:r>
        <w:rPr>
          <w:rFonts w:ascii="Times New Roman" w:hAnsi="Times New Roman"/>
          <w:sz w:val="24"/>
          <w:szCs w:val="24"/>
        </w:rPr>
        <w:t xml:space="preserve"> provides: </w:t>
      </w:r>
      <w:hyperlink r:id="rId1001" w:history="1">
        <w:r w:rsidRPr="00C15479">
          <w:rPr>
            <w:rStyle w:val="Hyperlink"/>
            <w:sz w:val="24"/>
            <w:szCs w:val="24"/>
          </w:rPr>
          <w:t>https://law.justia.com/codes/west-virginia/2017/chapter-55/article-7b/section-55-7b-6/</w:t>
        </w:r>
      </w:hyperlink>
    </w:p>
    <w:p w14:paraId="22684F4A" w14:textId="77777777" w:rsidR="00BC5936" w:rsidRPr="002F193B" w:rsidRDefault="00BC5936" w:rsidP="00BC5936">
      <w:pPr>
        <w:spacing w:before="100" w:beforeAutospacing="1" w:after="100" w:afterAutospacing="1"/>
        <w:ind w:left="1440"/>
        <w:rPr>
          <w:rFonts w:ascii="Times New Roman" w:eastAsia="Times New Roman" w:hAnsi="Times New Roman"/>
          <w:sz w:val="24"/>
          <w:szCs w:val="24"/>
        </w:rPr>
      </w:pPr>
      <w:r>
        <w:rPr>
          <w:rFonts w:ascii="Times New Roman" w:hAnsi="Times New Roman"/>
          <w:sz w:val="24"/>
          <w:szCs w:val="24"/>
        </w:rPr>
        <w:t>“</w:t>
      </w:r>
      <w:r w:rsidRPr="00D1078B">
        <w:rPr>
          <w:rFonts w:ascii="Times New Roman" w:hAnsi="Times New Roman"/>
          <w:sz w:val="24"/>
          <w:szCs w:val="24"/>
        </w:rPr>
        <w:t xml:space="preserve">(b) At least thirty days prior to the filing of a medical professional liability action against a health care provider, the claimant shall serve by certified mail, return receipt requested, a notice of claim on each health care provider the claimant will join in litigation. The notice of claim shall include a statement of the theory or theories of liability upon which a cause of action may be based, and a list of all health care providers and health care facilities to whom notices of claim are being sent, together with a screening certificate of merit. The screening certificate of merit shall be executed under oath by a health care provider qualified as an expert under the West Virginia rules of evidence and shall state with particularity: (1) The expert’s familiarity with the applicable standard of care in issue; (2) the expert’s qualifications; (3) the expert’s opinion as to how the applicable standard of care was breached; and (4) the expert’s opinion as to how the breach of the applicable standard of care resulted in injury or death. A separate screening certificate of merit must be provided for each health care provider against whom a claim is asserted. The person signing the screening certificate of merit shall have no financial interest in the underlying </w:t>
      </w:r>
      <w:proofErr w:type="gramStart"/>
      <w:r w:rsidRPr="00D1078B">
        <w:rPr>
          <w:rFonts w:ascii="Times New Roman" w:hAnsi="Times New Roman"/>
          <w:sz w:val="24"/>
          <w:szCs w:val="24"/>
        </w:rPr>
        <w:t>claim, but</w:t>
      </w:r>
      <w:proofErr w:type="gramEnd"/>
      <w:r w:rsidRPr="00D1078B">
        <w:rPr>
          <w:rFonts w:ascii="Times New Roman" w:hAnsi="Times New Roman"/>
          <w:sz w:val="24"/>
          <w:szCs w:val="24"/>
        </w:rPr>
        <w:t xml:space="preserve"> may participate as an expert witness in any judicial proceeding. Nothing in this subsection may be construed to limit the application of Rule 15 of the Rules of Civil Procedure.</w:t>
      </w:r>
    </w:p>
    <w:p w14:paraId="4AB69B2A" w14:textId="77777777" w:rsidR="00BC5936" w:rsidRDefault="00BC5936" w:rsidP="00EF1133">
      <w:pPr>
        <w:rPr>
          <w:rFonts w:ascii="Arial Black" w:hAnsi="Arial Black"/>
          <w:b/>
          <w:sz w:val="24"/>
          <w:szCs w:val="24"/>
        </w:rPr>
      </w:pPr>
    </w:p>
    <w:p w14:paraId="6158793C" w14:textId="77777777" w:rsidR="00BC5936" w:rsidRDefault="00BC5936" w:rsidP="00EF1133">
      <w:pPr>
        <w:rPr>
          <w:rFonts w:ascii="Arial Black" w:hAnsi="Arial Black"/>
          <w:b/>
          <w:sz w:val="24"/>
          <w:szCs w:val="24"/>
        </w:rPr>
      </w:pPr>
    </w:p>
    <w:p w14:paraId="0CBA9DB3" w14:textId="2D1031EF" w:rsidR="00CD5950" w:rsidRDefault="00CD5950" w:rsidP="00EF1133">
      <w:pPr>
        <w:rPr>
          <w:rFonts w:ascii="Arial Black" w:hAnsi="Arial Black"/>
          <w:b/>
          <w:sz w:val="24"/>
          <w:szCs w:val="24"/>
        </w:rPr>
      </w:pPr>
      <w:r>
        <w:rPr>
          <w:rFonts w:ascii="Arial Black" w:hAnsi="Arial Black"/>
          <w:b/>
          <w:sz w:val="24"/>
          <w:szCs w:val="24"/>
        </w:rPr>
        <w:t>5-20</w:t>
      </w:r>
    </w:p>
    <w:p w14:paraId="0671D53F" w14:textId="77777777" w:rsidR="00CD5950" w:rsidRPr="00781094" w:rsidRDefault="00CD5950" w:rsidP="00CD5950">
      <w:pPr>
        <w:pStyle w:val="NoSpacing"/>
        <w:rPr>
          <w:rFonts w:ascii="Arial Black" w:hAnsi="Arial Black"/>
          <w:sz w:val="28"/>
          <w:szCs w:val="28"/>
        </w:rPr>
      </w:pPr>
      <w:r>
        <w:rPr>
          <w:rFonts w:ascii="Arial Black" w:hAnsi="Arial Black"/>
          <w:sz w:val="28"/>
          <w:szCs w:val="28"/>
        </w:rPr>
        <w:t>MS:  VOL. FF IN ACCIDENT ON CALL – QUALIFIED IMMUNITY WAVED SINCE HIS ATTORNEY DIDN’T RAISE 14 MONTHS</w:t>
      </w:r>
    </w:p>
    <w:p w14:paraId="580E97DE" w14:textId="77777777" w:rsidR="00CD5950" w:rsidRDefault="00CD5950" w:rsidP="00CD5950">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On Feb. 22, 2021, in </w:t>
      </w:r>
      <w:r w:rsidRPr="00781094">
        <w:rPr>
          <w:rFonts w:ascii="Times New Roman" w:eastAsia="Times New Roman" w:hAnsi="Times New Roman"/>
          <w:sz w:val="24"/>
          <w:szCs w:val="24"/>
          <w:u w:val="single"/>
        </w:rPr>
        <w:t>Brenda Cook v. Amos Taylor</w:t>
      </w:r>
      <w:r>
        <w:rPr>
          <w:rFonts w:ascii="Times New Roman" w:eastAsia="Times New Roman" w:hAnsi="Times New Roman"/>
          <w:sz w:val="24"/>
          <w:szCs w:val="24"/>
        </w:rPr>
        <w:t xml:space="preserve">, the Court of Appeals of the State of Mississippi, held (6 to 1) that the trial judge improperly granted summary judgment to the volunteer firefighter, finding that his attorney “waved” the statutory defense by not asserting it in his answer to the complaint, or for 14 months of pre-trial discovery. </w:t>
      </w:r>
    </w:p>
    <w:p w14:paraId="42E51283" w14:textId="77777777" w:rsidR="00CD5950" w:rsidRDefault="00CD5950" w:rsidP="00CD5950">
      <w:pPr>
        <w:pStyle w:val="NormalWeb"/>
        <w:ind w:left="720"/>
      </w:pPr>
      <w:r>
        <w:t>“Under the MTCA [Mississippi Tort Claims Act], a governmental employee is entitled to qualified immunity if, while engaged in ‘activities relating to . . . fire protection,’ he did not act ‘in reckless disregard of the safety and well-being of any person’ while engaged in those activities. Miss. Code Ann. § 11-46-9(1)(c).</w:t>
      </w:r>
      <w:hyperlink r:id="rId1002" w:anchor="fr1" w:history="1">
        <w:r>
          <w:rPr>
            <w:rStyle w:val="Hyperlink"/>
            <w:sz w:val="20"/>
            <w:szCs w:val="20"/>
            <w:vertAlign w:val="superscript"/>
          </w:rPr>
          <w:t>1</w:t>
        </w:r>
      </w:hyperlink>
      <w:r>
        <w:t xml:space="preserve"> The MTCA defines ‘employee[s]’ to include ‘firefighters who are members of a volunteer fire department that is a political subdivision,’ Miss. Code Ann. § 11-46-1(f) (Supp. 2017), and it defines ‘political subdivision’ to include a ‘volunteer fire department that is a chartered nonprofit corporation providing emergency services under contract with a county or municipality.’ Miss. Code Ann. § 11-46-1(</w:t>
      </w:r>
      <w:proofErr w:type="spellStart"/>
      <w:r>
        <w:t>i</w:t>
      </w:r>
      <w:proofErr w:type="spellEnd"/>
      <w:r>
        <w:t>).</w:t>
      </w:r>
    </w:p>
    <w:p w14:paraId="690416E3" w14:textId="77777777" w:rsidR="00CD5950" w:rsidRDefault="00CD5950" w:rsidP="00CD5950">
      <w:pPr>
        <w:pStyle w:val="NormalWeb"/>
        <w:ind w:left="720"/>
      </w:pPr>
      <w:r>
        <w:t>***</w:t>
      </w:r>
    </w:p>
    <w:p w14:paraId="5CEEE080" w14:textId="77777777" w:rsidR="00CD5950" w:rsidRPr="00781094" w:rsidRDefault="00CD5950" w:rsidP="00CD5950">
      <w:pPr>
        <w:spacing w:before="100" w:beforeAutospacing="1" w:after="100" w:afterAutospacing="1" w:line="240" w:lineRule="auto"/>
        <w:ind w:left="720"/>
        <w:rPr>
          <w:rFonts w:ascii="Times New Roman" w:eastAsia="Times New Roman" w:hAnsi="Times New Roman"/>
          <w:sz w:val="24"/>
          <w:szCs w:val="24"/>
        </w:rPr>
      </w:pPr>
      <w:r w:rsidRPr="00AB7084">
        <w:rPr>
          <w:rFonts w:ascii="Times New Roman" w:hAnsi="Times New Roman"/>
          <w:sz w:val="24"/>
          <w:szCs w:val="24"/>
        </w:rPr>
        <w:t xml:space="preserve">For the reasons stated, we therefore find that the circuit court abused its discretion by implicitly allowing Taylor to amend his answer when it proceeded to grant Taylor's motion for summary judgment based upon a qualified immunity defense. </w:t>
      </w:r>
      <w:proofErr w:type="gramStart"/>
      <w:r w:rsidRPr="00AB7084">
        <w:rPr>
          <w:rFonts w:ascii="Times New Roman" w:hAnsi="Times New Roman"/>
          <w:sz w:val="24"/>
          <w:szCs w:val="24"/>
        </w:rPr>
        <w:t>We further</w:t>
      </w:r>
      <w:proofErr w:type="gramEnd"/>
      <w:r w:rsidRPr="00AB7084">
        <w:rPr>
          <w:rFonts w:ascii="Times New Roman" w:hAnsi="Times New Roman"/>
          <w:sz w:val="24"/>
          <w:szCs w:val="24"/>
        </w:rPr>
        <w:t xml:space="preserve"> find that Taylor waived his qualified immunity affirmative defense as a matter of law. Accordingly, the circuit court's judgment is reversed, and this case is remanded for further proceedings on Cook's negligence and negligence per se complaint against Taylor.</w:t>
      </w:r>
      <w:r>
        <w:rPr>
          <w:rFonts w:ascii="Times New Roman" w:hAnsi="Times New Roman"/>
          <w:sz w:val="24"/>
          <w:szCs w:val="24"/>
        </w:rPr>
        <w:t xml:space="preserve">” </w:t>
      </w:r>
      <w:hyperlink r:id="rId1003" w:history="1">
        <w:r w:rsidRPr="00EA374E">
          <w:rPr>
            <w:rStyle w:val="Hyperlink"/>
            <w:rFonts w:ascii="Times New Roman" w:hAnsi="Times New Roman"/>
            <w:sz w:val="24"/>
            <w:szCs w:val="24"/>
          </w:rPr>
          <w:t>https://law.justia.com/cases/mississippi/court-of-appeals/2021/2019-ca-01406-coa.html</w:t>
        </w:r>
      </w:hyperlink>
      <w:r>
        <w:rPr>
          <w:rFonts w:ascii="Times New Roman" w:hAnsi="Times New Roman"/>
          <w:sz w:val="24"/>
          <w:szCs w:val="24"/>
        </w:rPr>
        <w:t xml:space="preserve"> </w:t>
      </w:r>
    </w:p>
    <w:p w14:paraId="0DE8A90B" w14:textId="4B25262C" w:rsidR="00CD5950" w:rsidRPr="00AB7084" w:rsidRDefault="00CD5950" w:rsidP="00CD5950">
      <w:pPr>
        <w:spacing w:before="100" w:beforeAutospacing="1" w:after="100" w:afterAutospacing="1" w:line="240" w:lineRule="auto"/>
        <w:rPr>
          <w:rFonts w:ascii="Times New Roman" w:eastAsia="Times New Roman" w:hAnsi="Times New Roman"/>
          <w:b/>
          <w:bCs/>
          <w:sz w:val="24"/>
          <w:szCs w:val="24"/>
        </w:rPr>
      </w:pPr>
      <w:bookmarkStart w:id="196" w:name="_Hlk65910959"/>
      <w:r w:rsidRPr="00326FC0">
        <w:rPr>
          <w:rFonts w:ascii="Times New Roman" w:hAnsi="Times New Roman"/>
          <w:b/>
          <w:bCs/>
          <w:sz w:val="24"/>
          <w:szCs w:val="24"/>
        </w:rPr>
        <w:t xml:space="preserve">Legal Lesson Learned:  Qualified immunity is an “affirmative defense” and should normally be asserted early in the litigation process, </w:t>
      </w:r>
      <w:r>
        <w:rPr>
          <w:rFonts w:ascii="Times New Roman" w:hAnsi="Times New Roman"/>
          <w:b/>
          <w:bCs/>
          <w:sz w:val="24"/>
          <w:szCs w:val="24"/>
        </w:rPr>
        <w:t xml:space="preserve">and if lawsuit not dismissed, in many jurisdictions FF can take an immediate appeal. </w:t>
      </w:r>
    </w:p>
    <w:bookmarkEnd w:id="196"/>
    <w:p w14:paraId="358690E8" w14:textId="77777777" w:rsidR="00CD5950" w:rsidRDefault="00CD5950" w:rsidP="00EF1133">
      <w:pPr>
        <w:rPr>
          <w:rFonts w:ascii="Arial Black" w:hAnsi="Arial Black"/>
          <w:b/>
          <w:sz w:val="24"/>
          <w:szCs w:val="24"/>
        </w:rPr>
      </w:pPr>
    </w:p>
    <w:p w14:paraId="3DA01B9B" w14:textId="77777777" w:rsidR="00CD5950" w:rsidRDefault="00CD5950" w:rsidP="00EF1133">
      <w:pPr>
        <w:rPr>
          <w:rFonts w:ascii="Arial Black" w:hAnsi="Arial Black"/>
          <w:b/>
          <w:sz w:val="24"/>
          <w:szCs w:val="24"/>
        </w:rPr>
      </w:pPr>
    </w:p>
    <w:p w14:paraId="0C208D9F" w14:textId="77777777" w:rsidR="00CD5950" w:rsidRDefault="00CD5950" w:rsidP="00EF1133">
      <w:pPr>
        <w:rPr>
          <w:rFonts w:ascii="Arial Black" w:hAnsi="Arial Black"/>
          <w:b/>
          <w:sz w:val="24"/>
          <w:szCs w:val="24"/>
        </w:rPr>
      </w:pPr>
    </w:p>
    <w:p w14:paraId="1205991C" w14:textId="424FD80F" w:rsidR="007D178F" w:rsidRDefault="007D178F" w:rsidP="00EF1133">
      <w:pPr>
        <w:rPr>
          <w:rFonts w:ascii="Arial Black" w:hAnsi="Arial Black"/>
          <w:b/>
          <w:sz w:val="24"/>
          <w:szCs w:val="24"/>
        </w:rPr>
      </w:pPr>
      <w:r>
        <w:rPr>
          <w:rFonts w:ascii="Arial Black" w:hAnsi="Arial Black"/>
          <w:b/>
          <w:sz w:val="24"/>
          <w:szCs w:val="24"/>
        </w:rPr>
        <w:t>5-19</w:t>
      </w:r>
    </w:p>
    <w:p w14:paraId="7970F4F1" w14:textId="77777777" w:rsidR="009E093C" w:rsidRPr="003E79B9" w:rsidRDefault="009E093C" w:rsidP="009E093C">
      <w:pPr>
        <w:pStyle w:val="NoSpacing"/>
        <w:rPr>
          <w:rFonts w:ascii="Arial Black" w:hAnsi="Arial Black"/>
          <w:sz w:val="28"/>
          <w:szCs w:val="28"/>
        </w:rPr>
      </w:pPr>
      <w:r>
        <w:rPr>
          <w:rFonts w:ascii="Arial Black" w:hAnsi="Arial Black"/>
          <w:sz w:val="28"/>
          <w:szCs w:val="28"/>
        </w:rPr>
        <w:t xml:space="preserve">MI: NON-EMERGENCY TRANSPORT – BLACK ICE, AMBULANCE ROLLED OVER DITCH – NO IMMUNITY, NON-EMERGENCY </w:t>
      </w:r>
    </w:p>
    <w:p w14:paraId="490D9070" w14:textId="77777777" w:rsidR="009E093C" w:rsidRDefault="009E093C" w:rsidP="009E093C">
      <w:pPr>
        <w:rPr>
          <w:rFonts w:ascii="Times New Roman" w:hAnsi="Times New Roman"/>
          <w:sz w:val="24"/>
          <w:szCs w:val="24"/>
        </w:rPr>
      </w:pPr>
    </w:p>
    <w:p w14:paraId="1022DADD" w14:textId="3CF61EEF" w:rsidR="009E093C" w:rsidRDefault="009E093C" w:rsidP="009E093C">
      <w:pPr>
        <w:rPr>
          <w:rFonts w:ascii="Times New Roman" w:hAnsi="Times New Roman"/>
          <w:sz w:val="24"/>
          <w:szCs w:val="24"/>
        </w:rPr>
      </w:pPr>
      <w:r>
        <w:rPr>
          <w:rFonts w:ascii="Times New Roman" w:hAnsi="Times New Roman"/>
          <w:sz w:val="24"/>
          <w:szCs w:val="24"/>
        </w:rPr>
        <w:lastRenderedPageBreak/>
        <w:t xml:space="preserve">On Nov. 24, 2020, in </w:t>
      </w:r>
      <w:r w:rsidRPr="003E79B9">
        <w:rPr>
          <w:rFonts w:ascii="Times New Roman" w:hAnsi="Times New Roman"/>
          <w:sz w:val="24"/>
          <w:szCs w:val="24"/>
          <w:u w:val="single"/>
        </w:rPr>
        <w:t>Charles C. Willis v. Community Emergency Medical Service, Inc. and Eric J. Norris</w:t>
      </w:r>
      <w:r>
        <w:rPr>
          <w:rFonts w:ascii="Times New Roman" w:hAnsi="Times New Roman"/>
          <w:sz w:val="24"/>
          <w:szCs w:val="24"/>
        </w:rPr>
        <w:t xml:space="preserve">, the State of Michigan Court of Appeals, held (3 to 0; unpublished decision) that lawsuit against the ambulance company and the EMT driver is reinstated, overturning trial judge’s decision that there were no material facts showing negligence.  The Court of Appeals found that there is a dispute whether EMT was driving too fast for weather conditions, with </w:t>
      </w:r>
      <w:r w:rsidRPr="00BF69CF">
        <w:rPr>
          <w:rFonts w:ascii="Times New Roman" w:hAnsi="Times New Roman"/>
          <w:sz w:val="24"/>
          <w:szCs w:val="24"/>
        </w:rPr>
        <w:t>ice on the ground and a mix of rain, snow, and sleet</w:t>
      </w:r>
      <w:r>
        <w:rPr>
          <w:rFonts w:ascii="Times New Roman" w:hAnsi="Times New Roman"/>
          <w:sz w:val="24"/>
          <w:szCs w:val="24"/>
        </w:rPr>
        <w:t xml:space="preserve">; Court also held the immunity statute for EMS does not apply to non-emergency </w:t>
      </w:r>
      <w:proofErr w:type="gramStart"/>
      <w:r>
        <w:rPr>
          <w:rFonts w:ascii="Times New Roman" w:hAnsi="Times New Roman"/>
          <w:sz w:val="24"/>
          <w:szCs w:val="24"/>
        </w:rPr>
        <w:t>transports</w:t>
      </w:r>
      <w:proofErr w:type="gramEnd"/>
      <w:r>
        <w:rPr>
          <w:rFonts w:ascii="Times New Roman" w:hAnsi="Times New Roman"/>
          <w:sz w:val="24"/>
          <w:szCs w:val="24"/>
        </w:rPr>
        <w:t xml:space="preserve">. </w:t>
      </w:r>
    </w:p>
    <w:p w14:paraId="24330A5B" w14:textId="77777777" w:rsidR="009E093C" w:rsidRDefault="009E093C" w:rsidP="009E093C">
      <w:pPr>
        <w:ind w:left="720"/>
        <w:rPr>
          <w:rFonts w:ascii="Times New Roman" w:hAnsi="Times New Roman"/>
          <w:sz w:val="24"/>
          <w:szCs w:val="24"/>
        </w:rPr>
      </w:pPr>
      <w:r>
        <w:rPr>
          <w:rFonts w:ascii="Times New Roman" w:hAnsi="Times New Roman"/>
          <w:sz w:val="24"/>
          <w:szCs w:val="24"/>
        </w:rPr>
        <w:t>“[W]</w:t>
      </w:r>
      <w:r w:rsidRPr="003B03E6">
        <w:rPr>
          <w:rFonts w:ascii="Times New Roman" w:hAnsi="Times New Roman"/>
          <w:sz w:val="24"/>
          <w:szCs w:val="24"/>
        </w:rPr>
        <w:t>e conclude that the trial court erred in granting defendants' motion for summary disposition pursuant to MCR 2.116(C)(10). Specifically, the trial court erred by failing to view the evidence in the light most favorable to plaintiff and to draw all reasonable inferences in his favor, and by weighing credibility. Plaintiff may not be able to establish his claim for negligence ultimately, but he has at least raised a genuine issue of material fact regarding whether the accident at issue occurred because Norris was negligent by driving too fast for the weather conditions. Accordingly, we reverse that portion of the trial court's order granting defendants' motion for summary disposition pursuant to MCR 2.116(C)(10).</w:t>
      </w:r>
      <w:r>
        <w:rPr>
          <w:rFonts w:ascii="Times New Roman" w:hAnsi="Times New Roman"/>
          <w:sz w:val="24"/>
          <w:szCs w:val="24"/>
        </w:rPr>
        <w:t xml:space="preserve">” </w:t>
      </w:r>
      <w:hyperlink r:id="rId1004" w:history="1">
        <w:r w:rsidRPr="00D35A04">
          <w:rPr>
            <w:rStyle w:val="Hyperlink"/>
            <w:rFonts w:ascii="Times New Roman" w:hAnsi="Times New Roman"/>
            <w:sz w:val="24"/>
            <w:szCs w:val="24"/>
          </w:rPr>
          <w:t>https://law.justia.com/cases/michigan/court-of-appeals-unpublished/2020/351871.html</w:t>
        </w:r>
      </w:hyperlink>
      <w:r>
        <w:rPr>
          <w:rFonts w:ascii="Times New Roman" w:hAnsi="Times New Roman"/>
          <w:sz w:val="24"/>
          <w:szCs w:val="24"/>
        </w:rPr>
        <w:t xml:space="preserve"> </w:t>
      </w:r>
    </w:p>
    <w:p w14:paraId="2B4B66AE" w14:textId="77777777" w:rsidR="009E093C" w:rsidRPr="003404A7" w:rsidRDefault="009E093C" w:rsidP="009E093C">
      <w:pPr>
        <w:pStyle w:val="NoSpacing"/>
        <w:rPr>
          <w:rFonts w:ascii="Times New Roman" w:hAnsi="Times New Roman"/>
          <w:b/>
          <w:bCs/>
          <w:sz w:val="24"/>
          <w:szCs w:val="24"/>
        </w:rPr>
      </w:pPr>
      <w:r w:rsidRPr="003404A7">
        <w:rPr>
          <w:rFonts w:ascii="Times New Roman" w:hAnsi="Times New Roman"/>
          <w:b/>
          <w:bCs/>
          <w:sz w:val="24"/>
          <w:szCs w:val="24"/>
        </w:rPr>
        <w:t>Legal Lesson Learned:</w:t>
      </w:r>
      <w:r>
        <w:rPr>
          <w:rFonts w:ascii="Times New Roman" w:hAnsi="Times New Roman"/>
          <w:b/>
          <w:bCs/>
          <w:sz w:val="24"/>
          <w:szCs w:val="24"/>
        </w:rPr>
        <w:t xml:space="preserve"> The state’s immunity statute protects EMS only for “treatment” of a patient. </w:t>
      </w:r>
    </w:p>
    <w:p w14:paraId="4DCAD598" w14:textId="77777777" w:rsidR="009E093C" w:rsidRDefault="009E093C" w:rsidP="00EF1133">
      <w:pPr>
        <w:rPr>
          <w:rFonts w:ascii="Arial Black" w:hAnsi="Arial Black"/>
          <w:b/>
          <w:sz w:val="24"/>
          <w:szCs w:val="24"/>
        </w:rPr>
      </w:pPr>
    </w:p>
    <w:p w14:paraId="61AF6354" w14:textId="77777777" w:rsidR="007D178F" w:rsidRDefault="007D178F" w:rsidP="00EF1133">
      <w:pPr>
        <w:rPr>
          <w:rFonts w:ascii="Arial Black" w:hAnsi="Arial Black"/>
          <w:b/>
          <w:sz w:val="24"/>
          <w:szCs w:val="24"/>
        </w:rPr>
      </w:pPr>
    </w:p>
    <w:p w14:paraId="6E55ED21" w14:textId="7BCF7B05" w:rsidR="007D178F" w:rsidRDefault="007D178F" w:rsidP="00EF1133">
      <w:pPr>
        <w:rPr>
          <w:rFonts w:ascii="Arial Black" w:hAnsi="Arial Black"/>
          <w:b/>
          <w:sz w:val="24"/>
          <w:szCs w:val="24"/>
        </w:rPr>
      </w:pPr>
      <w:r>
        <w:rPr>
          <w:rFonts w:ascii="Arial Black" w:hAnsi="Arial Black"/>
          <w:b/>
          <w:sz w:val="24"/>
          <w:szCs w:val="24"/>
        </w:rPr>
        <w:t>5-18</w:t>
      </w:r>
    </w:p>
    <w:p w14:paraId="3ED15AF1" w14:textId="77777777" w:rsidR="007D178F" w:rsidRDefault="007D178F" w:rsidP="007D178F">
      <w:pPr>
        <w:pStyle w:val="NoSpacing"/>
        <w:rPr>
          <w:rFonts w:ascii="Arial Black" w:hAnsi="Arial Black"/>
          <w:sz w:val="28"/>
          <w:szCs w:val="28"/>
        </w:rPr>
      </w:pPr>
      <w:bookmarkStart w:id="197" w:name="_Hlk66946467"/>
      <w:r>
        <w:rPr>
          <w:rFonts w:ascii="Arial Black" w:hAnsi="Arial Black"/>
          <w:sz w:val="28"/>
          <w:szCs w:val="28"/>
        </w:rPr>
        <w:t>TX: AMBULANCE LEFT RUNNING AT SCENE – STOLEN, INJURED MOTORISTS – ANTI-THEFT DEVICE NOT REQUIRED – NO CASE</w:t>
      </w:r>
    </w:p>
    <w:p w14:paraId="009AB070" w14:textId="77777777" w:rsidR="007D178F" w:rsidRDefault="007D178F" w:rsidP="007D178F">
      <w:pPr>
        <w:pStyle w:val="NoSpacing"/>
        <w:rPr>
          <w:rFonts w:ascii="Arial Black" w:hAnsi="Arial Black"/>
          <w:sz w:val="28"/>
          <w:szCs w:val="28"/>
        </w:rPr>
      </w:pPr>
    </w:p>
    <w:p w14:paraId="496F66D8" w14:textId="77777777" w:rsidR="007D178F" w:rsidRDefault="007D178F" w:rsidP="007D178F">
      <w:pPr>
        <w:rPr>
          <w:rFonts w:ascii="Times New Roman" w:hAnsi="Times New Roman"/>
          <w:sz w:val="24"/>
          <w:szCs w:val="24"/>
        </w:rPr>
      </w:pPr>
      <w:r>
        <w:rPr>
          <w:rFonts w:ascii="Times New Roman" w:hAnsi="Times New Roman"/>
          <w:sz w:val="24"/>
          <w:szCs w:val="24"/>
        </w:rPr>
        <w:t xml:space="preserve">On Nov. 25, 2020, in </w:t>
      </w:r>
      <w:r w:rsidRPr="007F700A">
        <w:rPr>
          <w:rFonts w:ascii="Times New Roman" w:hAnsi="Times New Roman"/>
          <w:sz w:val="24"/>
          <w:szCs w:val="24"/>
          <w:u w:val="single"/>
        </w:rPr>
        <w:t>The City of San Antonio v. Suzanne L. Smith and Claudia Acevedo</w:t>
      </w:r>
      <w:r>
        <w:rPr>
          <w:rFonts w:ascii="Times New Roman" w:hAnsi="Times New Roman"/>
          <w:sz w:val="24"/>
          <w:szCs w:val="24"/>
        </w:rPr>
        <w:t xml:space="preserve">, the Fourth Court of Appeals, San Antonio held (3 to 0) that the trial court should have dismissed the lawsuit against the City; while an anti-theft device may be helpful when leaving an ambulance running at 3 am, the City enjoys government immunity.  The plaintiffs </w:t>
      </w:r>
      <w:proofErr w:type="gramStart"/>
      <w:r>
        <w:rPr>
          <w:rFonts w:ascii="Times New Roman" w:hAnsi="Times New Roman"/>
          <w:sz w:val="24"/>
          <w:szCs w:val="24"/>
        </w:rPr>
        <w:t>had included</w:t>
      </w:r>
      <w:proofErr w:type="gramEnd"/>
      <w:r>
        <w:rPr>
          <w:rFonts w:ascii="Times New Roman" w:hAnsi="Times New Roman"/>
          <w:sz w:val="24"/>
          <w:szCs w:val="24"/>
        </w:rPr>
        <w:t xml:space="preserve"> </w:t>
      </w:r>
      <w:r w:rsidRPr="00950AE6">
        <w:rPr>
          <w:rFonts w:ascii="Times New Roman" w:hAnsi="Times New Roman"/>
          <w:sz w:val="24"/>
          <w:szCs w:val="24"/>
        </w:rPr>
        <w:t>an affidavit from Robyn McKinley, a firefighter and paramedic in Memphis, Tennessee, who specifically advocated for the use of an anti-theft device manufactured by a company called Tremco. This device apparently is designed to make it difficult to put a vehicle into gear even though the vehicle has been left running.</w:t>
      </w:r>
      <w:r>
        <w:rPr>
          <w:rFonts w:ascii="Times New Roman" w:hAnsi="Times New Roman"/>
          <w:sz w:val="24"/>
          <w:szCs w:val="24"/>
        </w:rPr>
        <w:t>”</w:t>
      </w:r>
    </w:p>
    <w:bookmarkEnd w:id="197"/>
    <w:p w14:paraId="51C9421D" w14:textId="77777777" w:rsidR="007D178F" w:rsidRDefault="007D178F" w:rsidP="007D178F">
      <w:pPr>
        <w:pStyle w:val="NoSpacing"/>
        <w:ind w:left="720"/>
        <w:rPr>
          <w:rFonts w:ascii="Times New Roman" w:hAnsi="Times New Roman"/>
          <w:sz w:val="24"/>
          <w:szCs w:val="24"/>
        </w:rPr>
      </w:pPr>
      <w:r>
        <w:rPr>
          <w:rFonts w:ascii="Times New Roman" w:hAnsi="Times New Roman"/>
          <w:sz w:val="24"/>
          <w:szCs w:val="24"/>
        </w:rPr>
        <w:t>“</w:t>
      </w:r>
      <w:r w:rsidRPr="001C3116">
        <w:rPr>
          <w:rFonts w:ascii="Times New Roman" w:hAnsi="Times New Roman"/>
          <w:sz w:val="24"/>
          <w:szCs w:val="24"/>
        </w:rPr>
        <w:t xml:space="preserve">In the present case, Appellees allege that the ambulance was not equipped with a specific anti-theft device that may have prevented it from being stolen even though it was left running. They argue that the City thus used or provided property (the ambulance) that lacked an integral safety feature (a particular anti-theft device), thus bringing their claims within the "use or condition of personal property" waiver pursuant to </w:t>
      </w:r>
      <w:r w:rsidRPr="001C3116">
        <w:rPr>
          <w:rFonts w:ascii="Times New Roman" w:hAnsi="Times New Roman"/>
          <w:i/>
          <w:iCs/>
          <w:sz w:val="24"/>
          <w:szCs w:val="24"/>
        </w:rPr>
        <w:t>Lowe</w:t>
      </w:r>
      <w:r w:rsidRPr="001C3116">
        <w:rPr>
          <w:rFonts w:ascii="Times New Roman" w:hAnsi="Times New Roman"/>
          <w:sz w:val="24"/>
          <w:szCs w:val="24"/>
        </w:rPr>
        <w:t xml:space="preserve"> and </w:t>
      </w:r>
      <w:r w:rsidRPr="001C3116">
        <w:rPr>
          <w:rFonts w:ascii="Times New Roman" w:hAnsi="Times New Roman"/>
          <w:i/>
          <w:iCs/>
          <w:sz w:val="24"/>
          <w:szCs w:val="24"/>
        </w:rPr>
        <w:t>Robinson</w:t>
      </w:r>
      <w:r w:rsidRPr="001C3116">
        <w:rPr>
          <w:rFonts w:ascii="Times New Roman" w:hAnsi="Times New Roman"/>
          <w:sz w:val="24"/>
          <w:szCs w:val="24"/>
        </w:rPr>
        <w:t xml:space="preserve">. The </w:t>
      </w:r>
      <w:proofErr w:type="gramStart"/>
      <w:r w:rsidRPr="001C3116">
        <w:rPr>
          <w:rFonts w:ascii="Times New Roman" w:hAnsi="Times New Roman"/>
          <w:sz w:val="24"/>
          <w:szCs w:val="24"/>
        </w:rPr>
        <w:t>City</w:t>
      </w:r>
      <w:proofErr w:type="gramEnd"/>
      <w:r w:rsidRPr="001C3116">
        <w:rPr>
          <w:rFonts w:ascii="Times New Roman" w:hAnsi="Times New Roman"/>
          <w:sz w:val="24"/>
          <w:szCs w:val="24"/>
        </w:rPr>
        <w:t xml:space="preserve"> counters that Appellees' claims do not fall within that waiver because the ambulance </w:t>
      </w:r>
      <w:r w:rsidRPr="001C3116">
        <w:rPr>
          <w:rFonts w:ascii="Times New Roman" w:hAnsi="Times New Roman"/>
          <w:i/>
          <w:iCs/>
          <w:sz w:val="24"/>
          <w:szCs w:val="24"/>
        </w:rPr>
        <w:t>was</w:t>
      </w:r>
      <w:r w:rsidRPr="001C3116">
        <w:rPr>
          <w:rFonts w:ascii="Times New Roman" w:hAnsi="Times New Roman"/>
          <w:sz w:val="24"/>
          <w:szCs w:val="24"/>
        </w:rPr>
        <w:t xml:space="preserve"> equipped with anti-theft devices—door locks and an alarm—and Appellees' contention that it should also have been equipped with a different device is not cognizable under the integral safety component theory. </w:t>
      </w:r>
      <w:r w:rsidRPr="001C3116">
        <w:rPr>
          <w:rFonts w:ascii="Times New Roman" w:hAnsi="Times New Roman"/>
          <w:i/>
          <w:iCs/>
          <w:sz w:val="24"/>
          <w:szCs w:val="24"/>
        </w:rPr>
        <w:t>See Bishop</w:t>
      </w:r>
      <w:r w:rsidRPr="001C3116">
        <w:rPr>
          <w:rFonts w:ascii="Times New Roman" w:hAnsi="Times New Roman"/>
          <w:sz w:val="24"/>
          <w:szCs w:val="24"/>
        </w:rPr>
        <w:t xml:space="preserve">, 156 S.W.3d at 584 (theory applies "only when an integral safety component is entirely lacking rather than merely inadequate"). We agree with the </w:t>
      </w:r>
      <w:proofErr w:type="gramStart"/>
      <w:r w:rsidRPr="001C3116">
        <w:rPr>
          <w:rFonts w:ascii="Times New Roman" w:hAnsi="Times New Roman"/>
          <w:sz w:val="24"/>
          <w:szCs w:val="24"/>
        </w:rPr>
        <w:t>City</w:t>
      </w:r>
      <w:proofErr w:type="gramEnd"/>
      <w:r w:rsidRPr="001C3116">
        <w:rPr>
          <w:rFonts w:ascii="Times New Roman" w:hAnsi="Times New Roman"/>
          <w:sz w:val="24"/>
          <w:szCs w:val="24"/>
        </w:rPr>
        <w:t>.</w:t>
      </w:r>
    </w:p>
    <w:p w14:paraId="30FA2914" w14:textId="77777777" w:rsidR="007D178F" w:rsidRDefault="007D178F" w:rsidP="007D178F">
      <w:pPr>
        <w:pStyle w:val="NoSpacing"/>
        <w:ind w:left="720"/>
        <w:rPr>
          <w:rFonts w:ascii="Times New Roman" w:hAnsi="Times New Roman"/>
          <w:sz w:val="24"/>
          <w:szCs w:val="24"/>
        </w:rPr>
      </w:pPr>
    </w:p>
    <w:p w14:paraId="0806B63E" w14:textId="77777777" w:rsidR="007D178F" w:rsidRDefault="007D178F" w:rsidP="007D178F">
      <w:pPr>
        <w:pStyle w:val="NoSpacing"/>
        <w:ind w:left="720"/>
        <w:rPr>
          <w:rFonts w:ascii="Times New Roman" w:hAnsi="Times New Roman"/>
          <w:sz w:val="24"/>
          <w:szCs w:val="24"/>
        </w:rPr>
      </w:pPr>
      <w:r>
        <w:rPr>
          <w:rFonts w:ascii="Times New Roman" w:hAnsi="Times New Roman"/>
          <w:sz w:val="24"/>
          <w:szCs w:val="24"/>
        </w:rPr>
        <w:t>***</w:t>
      </w:r>
    </w:p>
    <w:p w14:paraId="048A1110" w14:textId="77777777" w:rsidR="007D178F" w:rsidRDefault="007D178F" w:rsidP="007D178F">
      <w:pPr>
        <w:pStyle w:val="NoSpacing"/>
        <w:ind w:left="720"/>
        <w:rPr>
          <w:rFonts w:ascii="Times New Roman" w:hAnsi="Times New Roman"/>
          <w:sz w:val="24"/>
          <w:szCs w:val="24"/>
        </w:rPr>
      </w:pPr>
    </w:p>
    <w:p w14:paraId="3FBD508E" w14:textId="77777777" w:rsidR="007D178F" w:rsidRDefault="007D178F" w:rsidP="007D178F">
      <w:pPr>
        <w:pStyle w:val="NoSpacing"/>
        <w:ind w:left="720"/>
        <w:rPr>
          <w:rFonts w:ascii="Times New Roman" w:hAnsi="Times New Roman"/>
          <w:sz w:val="24"/>
          <w:szCs w:val="24"/>
        </w:rPr>
      </w:pPr>
      <w:r w:rsidRPr="001C3116">
        <w:rPr>
          <w:rFonts w:ascii="Times New Roman" w:eastAsia="Times New Roman" w:hAnsi="Times New Roman"/>
          <w:sz w:val="24"/>
          <w:szCs w:val="24"/>
        </w:rPr>
        <w:t xml:space="preserve">[Footnote 3.]  </w:t>
      </w:r>
      <w:r w:rsidRPr="001C3116">
        <w:rPr>
          <w:rFonts w:ascii="Times New Roman" w:hAnsi="Times New Roman"/>
          <w:sz w:val="24"/>
          <w:szCs w:val="24"/>
        </w:rPr>
        <w:t xml:space="preserve">Insofar as Appellees challenge the City's decision not to equip its ambulances with the </w:t>
      </w:r>
      <w:proofErr w:type="gramStart"/>
      <w:r w:rsidRPr="001C3116">
        <w:rPr>
          <w:rFonts w:ascii="Times New Roman" w:hAnsi="Times New Roman"/>
          <w:sz w:val="24"/>
          <w:szCs w:val="24"/>
        </w:rPr>
        <w:t>particular anti-</w:t>
      </w:r>
      <w:proofErr w:type="gramEnd"/>
      <w:r w:rsidRPr="001C3116">
        <w:rPr>
          <w:rFonts w:ascii="Times New Roman" w:hAnsi="Times New Roman"/>
          <w:sz w:val="24"/>
          <w:szCs w:val="24"/>
        </w:rPr>
        <w:t xml:space="preserve">theft device they favor, which they contend is a safety feature, we note that </w:t>
      </w:r>
      <w:r>
        <w:rPr>
          <w:rFonts w:ascii="Times New Roman" w:hAnsi="Times New Roman"/>
          <w:sz w:val="24"/>
          <w:szCs w:val="24"/>
        </w:rPr>
        <w:t>‘</w:t>
      </w:r>
      <w:r w:rsidRPr="001C3116">
        <w:rPr>
          <w:rFonts w:ascii="Times New Roman" w:hAnsi="Times New Roman"/>
          <w:sz w:val="24"/>
          <w:szCs w:val="24"/>
        </w:rPr>
        <w:t xml:space="preserve">decisions </w:t>
      </w:r>
      <w:r w:rsidRPr="001C3116">
        <w:rPr>
          <w:rFonts w:ascii="Times New Roman" w:hAnsi="Times New Roman"/>
          <w:sz w:val="24"/>
          <w:szCs w:val="24"/>
        </w:rPr>
        <w:lastRenderedPageBreak/>
        <w:t>about installing safety features are discretionary decisions for which the [City] may not be sued.</w:t>
      </w:r>
      <w:r>
        <w:rPr>
          <w:rFonts w:ascii="Times New Roman" w:hAnsi="Times New Roman"/>
          <w:sz w:val="24"/>
          <w:szCs w:val="24"/>
        </w:rPr>
        <w:t>’</w:t>
      </w:r>
      <w:r w:rsidRPr="001C3116">
        <w:rPr>
          <w:rFonts w:ascii="Times New Roman" w:hAnsi="Times New Roman"/>
          <w:sz w:val="24"/>
          <w:szCs w:val="24"/>
        </w:rPr>
        <w:t xml:space="preserve"> </w:t>
      </w:r>
      <w:r w:rsidRPr="001C3116">
        <w:rPr>
          <w:rFonts w:ascii="Times New Roman" w:hAnsi="Times New Roman"/>
          <w:i/>
          <w:iCs/>
          <w:sz w:val="24"/>
          <w:szCs w:val="24"/>
        </w:rPr>
        <w:t>Tex</w:t>
      </w:r>
      <w:r w:rsidRPr="001C3116">
        <w:rPr>
          <w:rFonts w:ascii="Times New Roman" w:hAnsi="Times New Roman"/>
          <w:sz w:val="24"/>
          <w:szCs w:val="24"/>
        </w:rPr>
        <w:t xml:space="preserve">. </w:t>
      </w:r>
      <w:proofErr w:type="spellStart"/>
      <w:r w:rsidRPr="001C3116">
        <w:rPr>
          <w:rFonts w:ascii="Times New Roman" w:hAnsi="Times New Roman"/>
          <w:i/>
          <w:iCs/>
          <w:sz w:val="24"/>
          <w:szCs w:val="24"/>
        </w:rPr>
        <w:t>Dep't</w:t>
      </w:r>
      <w:proofErr w:type="spellEnd"/>
      <w:r w:rsidRPr="001C3116">
        <w:rPr>
          <w:rFonts w:ascii="Times New Roman" w:hAnsi="Times New Roman"/>
          <w:i/>
          <w:iCs/>
          <w:sz w:val="24"/>
          <w:szCs w:val="24"/>
        </w:rPr>
        <w:t xml:space="preserve"> of Transp</w:t>
      </w:r>
      <w:r w:rsidRPr="001C3116">
        <w:rPr>
          <w:rFonts w:ascii="Times New Roman" w:hAnsi="Times New Roman"/>
          <w:sz w:val="24"/>
          <w:szCs w:val="24"/>
        </w:rPr>
        <w:t xml:space="preserve">. </w:t>
      </w:r>
      <w:r w:rsidRPr="001C3116">
        <w:rPr>
          <w:rFonts w:ascii="Times New Roman" w:hAnsi="Times New Roman"/>
          <w:i/>
          <w:iCs/>
          <w:sz w:val="24"/>
          <w:szCs w:val="24"/>
        </w:rPr>
        <w:t>v</w:t>
      </w:r>
      <w:r w:rsidRPr="001C3116">
        <w:rPr>
          <w:rFonts w:ascii="Times New Roman" w:hAnsi="Times New Roman"/>
          <w:sz w:val="24"/>
          <w:szCs w:val="24"/>
        </w:rPr>
        <w:t xml:space="preserve">. </w:t>
      </w:r>
      <w:r w:rsidRPr="001C3116">
        <w:rPr>
          <w:rFonts w:ascii="Times New Roman" w:hAnsi="Times New Roman"/>
          <w:i/>
          <w:iCs/>
          <w:sz w:val="24"/>
          <w:szCs w:val="24"/>
        </w:rPr>
        <w:t>Ramirez</w:t>
      </w:r>
      <w:r w:rsidRPr="001C3116">
        <w:rPr>
          <w:rFonts w:ascii="Times New Roman" w:hAnsi="Times New Roman"/>
          <w:sz w:val="24"/>
          <w:szCs w:val="24"/>
        </w:rPr>
        <w:t>, 74 S.W.3d 864, 867 (Tex. 2002).</w:t>
      </w:r>
      <w:r>
        <w:rPr>
          <w:rFonts w:ascii="Times New Roman" w:hAnsi="Times New Roman"/>
          <w:sz w:val="24"/>
          <w:szCs w:val="24"/>
        </w:rPr>
        <w:t xml:space="preserve">” </w:t>
      </w:r>
      <w:bookmarkStart w:id="198" w:name="_Hlk66946499"/>
      <w:r w:rsidR="00F00958">
        <w:fldChar w:fldCharType="begin"/>
      </w:r>
      <w:r w:rsidR="00F00958">
        <w:instrText xml:space="preserve"> HYPERLINK "https://law.justia.com/cases/texas/fourth-court-of-appeals/2020/04-20-00077-cv.html" </w:instrText>
      </w:r>
      <w:r w:rsidR="00F00958">
        <w:fldChar w:fldCharType="separate"/>
      </w:r>
      <w:r w:rsidRPr="00695F3D">
        <w:rPr>
          <w:rStyle w:val="Hyperlink"/>
          <w:rFonts w:ascii="Times New Roman" w:hAnsi="Times New Roman"/>
          <w:sz w:val="24"/>
          <w:szCs w:val="24"/>
        </w:rPr>
        <w:t>https://law.justia.com/cases/texas/fourth-court-of-appeals/2020/04-20-00077-cv.html</w:t>
      </w:r>
      <w:r w:rsidR="00F00958">
        <w:rPr>
          <w:rStyle w:val="Hyperlink"/>
          <w:rFonts w:ascii="Times New Roman" w:hAnsi="Times New Roman"/>
          <w:sz w:val="24"/>
          <w:szCs w:val="24"/>
        </w:rPr>
        <w:fldChar w:fldCharType="end"/>
      </w:r>
      <w:r>
        <w:rPr>
          <w:rFonts w:ascii="Times New Roman" w:hAnsi="Times New Roman"/>
          <w:sz w:val="24"/>
          <w:szCs w:val="24"/>
        </w:rPr>
        <w:t xml:space="preserve"> </w:t>
      </w:r>
    </w:p>
    <w:p w14:paraId="269F0D63" w14:textId="7BF43612" w:rsidR="007D178F" w:rsidRDefault="007D178F" w:rsidP="00EF1133">
      <w:pPr>
        <w:rPr>
          <w:rFonts w:ascii="Arial Black" w:hAnsi="Arial Black"/>
          <w:b/>
          <w:sz w:val="24"/>
          <w:szCs w:val="24"/>
        </w:rPr>
      </w:pPr>
    </w:p>
    <w:p w14:paraId="2AA9546F" w14:textId="77777777" w:rsidR="007D178F" w:rsidRPr="001C3116" w:rsidRDefault="007D178F" w:rsidP="007D178F">
      <w:pPr>
        <w:spacing w:before="100" w:beforeAutospacing="1" w:after="100" w:afterAutospacing="1" w:line="240" w:lineRule="auto"/>
        <w:rPr>
          <w:rFonts w:ascii="Times New Roman" w:eastAsia="Times New Roman" w:hAnsi="Times New Roman"/>
          <w:b/>
          <w:bCs/>
          <w:sz w:val="24"/>
          <w:szCs w:val="24"/>
        </w:rPr>
      </w:pPr>
      <w:r w:rsidRPr="00950AE6">
        <w:rPr>
          <w:rFonts w:ascii="Times New Roman" w:eastAsia="Times New Roman" w:hAnsi="Times New Roman"/>
          <w:b/>
          <w:bCs/>
          <w:sz w:val="24"/>
          <w:szCs w:val="24"/>
        </w:rPr>
        <w:t xml:space="preserve">Legal Lesson Learned: </w:t>
      </w:r>
      <w:r>
        <w:rPr>
          <w:rFonts w:ascii="Times New Roman" w:eastAsia="Times New Roman" w:hAnsi="Times New Roman"/>
          <w:b/>
          <w:bCs/>
          <w:sz w:val="24"/>
          <w:szCs w:val="24"/>
        </w:rPr>
        <w:t xml:space="preserve">Theft of ambulances left running at the scene are increasingly common; if possible, lock the doors and take a second set of keys. </w:t>
      </w:r>
    </w:p>
    <w:p w14:paraId="3D18E7D0" w14:textId="77777777" w:rsidR="007D178F" w:rsidRDefault="007D178F" w:rsidP="007D178F">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 xml:space="preserve">Note: Plaintiff’s expert suggested Tremco anti-theft device. See their ad: </w:t>
      </w:r>
      <w:hyperlink r:id="rId1005" w:history="1">
        <w:r w:rsidRPr="00695F3D">
          <w:rPr>
            <w:rStyle w:val="Hyperlink"/>
            <w:rFonts w:ascii="Times New Roman" w:hAnsi="Times New Roman"/>
            <w:sz w:val="24"/>
            <w:szCs w:val="24"/>
          </w:rPr>
          <w:t>https://www.tremcopoliceproducts.com/</w:t>
        </w:r>
      </w:hyperlink>
      <w:r>
        <w:rPr>
          <w:rFonts w:ascii="Times New Roman" w:eastAsia="Times New Roman" w:hAnsi="Times New Roman"/>
          <w:sz w:val="24"/>
          <w:szCs w:val="24"/>
        </w:rPr>
        <w:t xml:space="preserve"> </w:t>
      </w:r>
    </w:p>
    <w:p w14:paraId="7F81E6F5" w14:textId="77777777" w:rsidR="007D178F" w:rsidRPr="00950AE6" w:rsidRDefault="007D178F" w:rsidP="007D178F">
      <w:pPr>
        <w:numPr>
          <w:ilvl w:val="0"/>
          <w:numId w:val="6"/>
        </w:numPr>
        <w:tabs>
          <w:tab w:val="clear" w:pos="720"/>
          <w:tab w:val="num" w:pos="360"/>
        </w:tabs>
        <w:spacing w:before="100" w:beforeAutospacing="1" w:after="100" w:afterAutospacing="1" w:line="240" w:lineRule="auto"/>
        <w:ind w:firstLine="90"/>
        <w:rPr>
          <w:rFonts w:ascii="Times New Roman" w:eastAsia="Times New Roman" w:hAnsi="Times New Roman"/>
          <w:sz w:val="24"/>
          <w:szCs w:val="24"/>
        </w:rPr>
      </w:pPr>
      <w:r w:rsidRPr="00950AE6">
        <w:rPr>
          <w:rFonts w:ascii="Times New Roman" w:eastAsia="Times New Roman" w:hAnsi="Times New Roman"/>
          <w:sz w:val="24"/>
          <w:szCs w:val="24"/>
        </w:rPr>
        <w:t>Vehicles Can Be Left Unattended While Running</w:t>
      </w:r>
    </w:p>
    <w:p w14:paraId="35864163" w14:textId="77777777" w:rsidR="007D178F" w:rsidRPr="00950AE6" w:rsidRDefault="007D178F" w:rsidP="007D178F">
      <w:pPr>
        <w:numPr>
          <w:ilvl w:val="0"/>
          <w:numId w:val="6"/>
        </w:numPr>
        <w:tabs>
          <w:tab w:val="clear" w:pos="720"/>
          <w:tab w:val="num" w:pos="360"/>
        </w:tabs>
        <w:spacing w:before="100" w:beforeAutospacing="1" w:after="100" w:afterAutospacing="1" w:line="240" w:lineRule="auto"/>
        <w:ind w:firstLine="90"/>
        <w:rPr>
          <w:rFonts w:ascii="Times New Roman" w:eastAsia="Times New Roman" w:hAnsi="Times New Roman"/>
          <w:sz w:val="24"/>
          <w:szCs w:val="24"/>
        </w:rPr>
      </w:pPr>
      <w:r w:rsidRPr="00950AE6">
        <w:rPr>
          <w:rFonts w:ascii="Times New Roman" w:eastAsia="Times New Roman" w:hAnsi="Times New Roman"/>
          <w:sz w:val="24"/>
          <w:szCs w:val="24"/>
        </w:rPr>
        <w:t>Allows Emergency Lighting &amp; Other Electronics to Operate</w:t>
      </w:r>
    </w:p>
    <w:p w14:paraId="7A873A85" w14:textId="77777777" w:rsidR="007D178F" w:rsidRPr="00950AE6" w:rsidRDefault="007D178F" w:rsidP="007D178F">
      <w:pPr>
        <w:numPr>
          <w:ilvl w:val="0"/>
          <w:numId w:val="6"/>
        </w:numPr>
        <w:tabs>
          <w:tab w:val="clear" w:pos="720"/>
          <w:tab w:val="num" w:pos="360"/>
        </w:tabs>
        <w:spacing w:before="100" w:beforeAutospacing="1" w:after="100" w:afterAutospacing="1" w:line="240" w:lineRule="auto"/>
        <w:ind w:firstLine="90"/>
        <w:rPr>
          <w:rFonts w:ascii="Times New Roman" w:eastAsia="Times New Roman" w:hAnsi="Times New Roman"/>
          <w:sz w:val="24"/>
          <w:szCs w:val="24"/>
        </w:rPr>
      </w:pPr>
      <w:r w:rsidRPr="00950AE6">
        <w:rPr>
          <w:rFonts w:ascii="Times New Roman" w:eastAsia="Times New Roman" w:hAnsi="Times New Roman"/>
          <w:sz w:val="24"/>
          <w:szCs w:val="24"/>
        </w:rPr>
        <w:t xml:space="preserve">Provides More Security at The Scene </w:t>
      </w:r>
      <w:proofErr w:type="gramStart"/>
      <w:r w:rsidRPr="00950AE6">
        <w:rPr>
          <w:rFonts w:ascii="Times New Roman" w:eastAsia="Times New Roman" w:hAnsi="Times New Roman"/>
          <w:sz w:val="24"/>
          <w:szCs w:val="24"/>
        </w:rPr>
        <w:t>Of</w:t>
      </w:r>
      <w:proofErr w:type="gramEnd"/>
      <w:r w:rsidRPr="00950AE6">
        <w:rPr>
          <w:rFonts w:ascii="Times New Roman" w:eastAsia="Times New Roman" w:hAnsi="Times New Roman"/>
          <w:sz w:val="24"/>
          <w:szCs w:val="24"/>
        </w:rPr>
        <w:t xml:space="preserve"> </w:t>
      </w:r>
      <w:proofErr w:type="gramStart"/>
      <w:r w:rsidRPr="00950AE6">
        <w:rPr>
          <w:rFonts w:ascii="Times New Roman" w:eastAsia="Times New Roman" w:hAnsi="Times New Roman"/>
          <w:sz w:val="24"/>
          <w:szCs w:val="24"/>
        </w:rPr>
        <w:t>An</w:t>
      </w:r>
      <w:proofErr w:type="gramEnd"/>
      <w:r w:rsidRPr="00950AE6">
        <w:rPr>
          <w:rFonts w:ascii="Times New Roman" w:eastAsia="Times New Roman" w:hAnsi="Times New Roman"/>
          <w:sz w:val="24"/>
          <w:szCs w:val="24"/>
        </w:rPr>
        <w:t xml:space="preserve"> Accident</w:t>
      </w:r>
    </w:p>
    <w:p w14:paraId="30DCEC11" w14:textId="77777777" w:rsidR="007D178F" w:rsidRPr="00950AE6" w:rsidRDefault="007D178F" w:rsidP="007D178F">
      <w:pPr>
        <w:numPr>
          <w:ilvl w:val="0"/>
          <w:numId w:val="6"/>
        </w:numPr>
        <w:tabs>
          <w:tab w:val="clear" w:pos="720"/>
          <w:tab w:val="num" w:pos="360"/>
        </w:tabs>
        <w:spacing w:before="100" w:beforeAutospacing="1" w:after="100" w:afterAutospacing="1" w:line="240" w:lineRule="auto"/>
        <w:ind w:firstLine="90"/>
        <w:rPr>
          <w:rFonts w:ascii="Times New Roman" w:eastAsia="Times New Roman" w:hAnsi="Times New Roman"/>
          <w:sz w:val="24"/>
          <w:szCs w:val="24"/>
        </w:rPr>
      </w:pPr>
      <w:r w:rsidRPr="00950AE6">
        <w:rPr>
          <w:rFonts w:ascii="Times New Roman" w:eastAsia="Times New Roman" w:hAnsi="Times New Roman"/>
          <w:sz w:val="24"/>
          <w:szCs w:val="24"/>
        </w:rPr>
        <w:t>Inexpensive &amp; Easy to Install – Plug N Play</w:t>
      </w:r>
      <w:r>
        <w:rPr>
          <w:rFonts w:ascii="Times New Roman" w:eastAsia="Times New Roman" w:hAnsi="Times New Roman"/>
          <w:sz w:val="24"/>
          <w:szCs w:val="24"/>
        </w:rPr>
        <w:t>.</w:t>
      </w:r>
    </w:p>
    <w:bookmarkEnd w:id="198"/>
    <w:p w14:paraId="7BA52E9F" w14:textId="77777777" w:rsidR="007D178F" w:rsidRDefault="007D178F" w:rsidP="00EF1133">
      <w:pPr>
        <w:rPr>
          <w:rFonts w:ascii="Arial Black" w:hAnsi="Arial Black"/>
          <w:b/>
          <w:sz w:val="24"/>
          <w:szCs w:val="24"/>
        </w:rPr>
      </w:pPr>
    </w:p>
    <w:p w14:paraId="4960E410" w14:textId="7176F516" w:rsidR="00557CA2" w:rsidRDefault="00557CA2" w:rsidP="00EF1133">
      <w:pPr>
        <w:rPr>
          <w:rFonts w:ascii="Arial Black" w:hAnsi="Arial Black"/>
          <w:b/>
          <w:sz w:val="24"/>
          <w:szCs w:val="24"/>
        </w:rPr>
      </w:pPr>
      <w:r>
        <w:rPr>
          <w:rFonts w:ascii="Arial Black" w:hAnsi="Arial Black"/>
          <w:b/>
          <w:sz w:val="24"/>
          <w:szCs w:val="24"/>
        </w:rPr>
        <w:t>5-17</w:t>
      </w:r>
    </w:p>
    <w:p w14:paraId="06DC5D93" w14:textId="77777777" w:rsidR="00557CA2" w:rsidRDefault="00557CA2" w:rsidP="00557CA2">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NY: VOL. FF IN MVA – CROSSED AGAINST RED LIGHT- NO SIREN, ONLY EMER. LIGHT - 40% LIABLE – JURY $20,000</w:t>
      </w:r>
    </w:p>
    <w:p w14:paraId="4EFE939D" w14:textId="77777777" w:rsidR="00557CA2" w:rsidRDefault="00557CA2" w:rsidP="00557CA2">
      <w:pPr>
        <w:tabs>
          <w:tab w:val="left" w:pos="6680"/>
        </w:tabs>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On Aug. 19, 2020, in </w:t>
      </w:r>
      <w:r>
        <w:rPr>
          <w:rFonts w:ascii="Times New Roman" w:eastAsia="Times New Roman" w:hAnsi="Times New Roman"/>
          <w:sz w:val="24"/>
          <w:szCs w:val="24"/>
          <w:u w:val="single"/>
        </w:rPr>
        <w:t>Jeffrey K. Schleger v. Michael F. Jurcsak</w:t>
      </w:r>
      <w:r>
        <w:rPr>
          <w:rFonts w:ascii="Times New Roman" w:eastAsia="Times New Roman" w:hAnsi="Times New Roman"/>
          <w:sz w:val="24"/>
          <w:szCs w:val="24"/>
        </w:rPr>
        <w:t xml:space="preserve">, the Supreme Court of the State of New York, Appellate Division (Second Judicial Department) upheld (3 to 0) the jury’s verdict, finding plaintiff 60% liable and only awarding him $20,000 in damages. </w:t>
      </w:r>
    </w:p>
    <w:p w14:paraId="1771C541" w14:textId="77777777" w:rsidR="00557CA2" w:rsidRDefault="00557CA2" w:rsidP="00557CA2">
      <w:pPr>
        <w:tabs>
          <w:tab w:val="left" w:pos="6680"/>
        </w:tabs>
        <w:spacing w:before="100" w:beforeAutospacing="1" w:after="100" w:afterAutospacing="1" w:line="240" w:lineRule="auto"/>
        <w:ind w:left="540"/>
        <w:rPr>
          <w:rFonts w:ascii="Times New Roman" w:eastAsia="Times New Roman" w:hAnsi="Times New Roman"/>
          <w:sz w:val="24"/>
          <w:szCs w:val="24"/>
        </w:rPr>
      </w:pPr>
      <w:r>
        <w:rPr>
          <w:rFonts w:ascii="Times New Roman" w:hAnsi="Times New Roman"/>
          <w:sz w:val="24"/>
          <w:szCs w:val="24"/>
        </w:rPr>
        <w:t>“Issues of credibility are for the jury, which had the opportunity to observe the witnesses and the evidence,' and its credibility determination is entitled to deference" (</w:t>
      </w:r>
      <w:r>
        <w:rPr>
          <w:rFonts w:ascii="Times New Roman" w:hAnsi="Times New Roman"/>
          <w:i/>
          <w:iCs/>
          <w:sz w:val="24"/>
          <w:szCs w:val="24"/>
        </w:rPr>
        <w:t>id</w:t>
      </w:r>
      <w:r>
        <w:rPr>
          <w:rFonts w:ascii="Times New Roman" w:hAnsi="Times New Roman"/>
          <w:sz w:val="24"/>
          <w:szCs w:val="24"/>
        </w:rPr>
        <w:t xml:space="preserve">., quoting </w:t>
      </w:r>
      <w:r>
        <w:rPr>
          <w:rFonts w:ascii="Times New Roman" w:hAnsi="Times New Roman"/>
          <w:i/>
          <w:iCs/>
          <w:sz w:val="24"/>
          <w:szCs w:val="24"/>
        </w:rPr>
        <w:t>Aronov v Kanarek</w:t>
      </w:r>
      <w:r>
        <w:rPr>
          <w:rFonts w:ascii="Times New Roman" w:hAnsi="Times New Roman"/>
          <w:sz w:val="24"/>
          <w:szCs w:val="24"/>
        </w:rPr>
        <w:t>, 166 AD3d 574, 575 [internal quotation marks omitted]). Contrary to the plaintiff's contention, the jury's verdict on the issue of liability finding that the plaintiff was negligent and 60% at fault in the happening of the accident was not contrary to the weight of the evidence because a fair interpretation of the evidence supports the verdict (</w:t>
      </w:r>
      <w:r>
        <w:rPr>
          <w:rFonts w:ascii="Times New Roman" w:hAnsi="Times New Roman"/>
          <w:i/>
          <w:iCs/>
          <w:sz w:val="24"/>
          <w:szCs w:val="24"/>
        </w:rPr>
        <w:t xml:space="preserve">see </w:t>
      </w:r>
      <w:proofErr w:type="spellStart"/>
      <w:r>
        <w:rPr>
          <w:rFonts w:ascii="Times New Roman" w:hAnsi="Times New Roman"/>
          <w:i/>
          <w:iCs/>
          <w:sz w:val="24"/>
          <w:szCs w:val="24"/>
        </w:rPr>
        <w:t>Khaydarov</w:t>
      </w:r>
      <w:proofErr w:type="spellEnd"/>
      <w:r>
        <w:rPr>
          <w:rFonts w:ascii="Times New Roman" w:hAnsi="Times New Roman"/>
          <w:i/>
          <w:iCs/>
          <w:sz w:val="24"/>
          <w:szCs w:val="24"/>
        </w:rPr>
        <w:t xml:space="preserve"> v AK1 Group</w:t>
      </w:r>
      <w:r>
        <w:rPr>
          <w:rFonts w:ascii="Times New Roman" w:hAnsi="Times New Roman"/>
          <w:sz w:val="24"/>
          <w:szCs w:val="24"/>
        </w:rPr>
        <w:t xml:space="preserve">, </w:t>
      </w:r>
      <w:r>
        <w:rPr>
          <w:rFonts w:ascii="Times New Roman" w:hAnsi="Times New Roman"/>
          <w:i/>
          <w:iCs/>
          <w:sz w:val="24"/>
          <w:szCs w:val="24"/>
        </w:rPr>
        <w:t>Inc</w:t>
      </w:r>
      <w:r>
        <w:rPr>
          <w:rFonts w:ascii="Times New Roman" w:hAnsi="Times New Roman"/>
          <w:sz w:val="24"/>
          <w:szCs w:val="24"/>
        </w:rPr>
        <w:t xml:space="preserve">., 173 AD3d at 722; </w:t>
      </w:r>
      <w:r>
        <w:rPr>
          <w:rFonts w:ascii="Times New Roman" w:hAnsi="Times New Roman"/>
          <w:i/>
          <w:iCs/>
          <w:sz w:val="24"/>
          <w:szCs w:val="24"/>
        </w:rPr>
        <w:t>Vazquez v County of Nassau</w:t>
      </w:r>
      <w:r>
        <w:rPr>
          <w:rFonts w:ascii="Times New Roman" w:hAnsi="Times New Roman"/>
          <w:sz w:val="24"/>
          <w:szCs w:val="24"/>
        </w:rPr>
        <w:t xml:space="preserve"> 91 AD3d at 857).” </w:t>
      </w:r>
      <w:hyperlink r:id="rId1006" w:history="1">
        <w:r>
          <w:rPr>
            <w:rStyle w:val="Hyperlink"/>
            <w:sz w:val="24"/>
            <w:szCs w:val="24"/>
          </w:rPr>
          <w:t>https://public.fastcase.com/Wl%2B2t%2BeVuI35%2FN70vAMFZpcMKjA7NXtV8NizS7yUss6ITpHR1n8JduscQQ47RvF2</w:t>
        </w:r>
      </w:hyperlink>
      <w:r>
        <w:rPr>
          <w:rFonts w:ascii="Times New Roman" w:hAnsi="Times New Roman"/>
          <w:sz w:val="24"/>
          <w:szCs w:val="24"/>
        </w:rPr>
        <w:t xml:space="preserve"> </w:t>
      </w:r>
    </w:p>
    <w:p w14:paraId="769603FE" w14:textId="77777777" w:rsidR="00557CA2" w:rsidRDefault="00557CA2" w:rsidP="00557CA2">
      <w:pPr>
        <w:tabs>
          <w:tab w:val="left" w:pos="3130"/>
        </w:tabs>
        <w:spacing w:before="100" w:beforeAutospacing="1" w:after="100" w:afterAutospacing="1" w:line="240" w:lineRule="auto"/>
        <w:rPr>
          <w:rFonts w:ascii="Times New Roman" w:eastAsia="Times New Roman" w:hAnsi="Times New Roman"/>
          <w:b/>
          <w:bCs/>
          <w:sz w:val="24"/>
          <w:szCs w:val="24"/>
        </w:rPr>
      </w:pPr>
      <w:r>
        <w:rPr>
          <w:rFonts w:ascii="Times New Roman" w:eastAsia="Times New Roman" w:hAnsi="Times New Roman"/>
          <w:b/>
          <w:bCs/>
          <w:sz w:val="24"/>
          <w:szCs w:val="24"/>
        </w:rPr>
        <w:t xml:space="preserve">Legal Lessons Learned: Fire Departments should require fire &amp; EMS personnel to use both emergency lights and sirens when entering intersection against a red light.  Volunteers should inform their personal insurance companies in writing they are using their personal vehicles to respond and request written confirmation they have coverage. </w:t>
      </w:r>
    </w:p>
    <w:p w14:paraId="0BEFBAC2" w14:textId="77777777" w:rsidR="00557CA2" w:rsidRDefault="00557CA2" w:rsidP="00EF1133">
      <w:pPr>
        <w:rPr>
          <w:rFonts w:ascii="Arial Black" w:hAnsi="Arial Black"/>
          <w:b/>
          <w:sz w:val="24"/>
          <w:szCs w:val="24"/>
        </w:rPr>
      </w:pPr>
    </w:p>
    <w:p w14:paraId="759BB1E3" w14:textId="77777777" w:rsidR="00557CA2" w:rsidRDefault="00557CA2" w:rsidP="00EF1133">
      <w:pPr>
        <w:rPr>
          <w:rFonts w:ascii="Arial Black" w:hAnsi="Arial Black"/>
          <w:b/>
          <w:sz w:val="24"/>
          <w:szCs w:val="24"/>
        </w:rPr>
      </w:pPr>
    </w:p>
    <w:p w14:paraId="2A81DF57" w14:textId="251A1B72" w:rsidR="00D94DC4" w:rsidRDefault="00A672EE" w:rsidP="00EF1133">
      <w:pPr>
        <w:rPr>
          <w:rFonts w:ascii="Arial Black" w:hAnsi="Arial Black"/>
          <w:b/>
          <w:sz w:val="24"/>
          <w:szCs w:val="24"/>
        </w:rPr>
      </w:pPr>
      <w:r>
        <w:rPr>
          <w:rFonts w:ascii="Arial Black" w:hAnsi="Arial Black"/>
          <w:b/>
          <w:sz w:val="24"/>
          <w:szCs w:val="24"/>
        </w:rPr>
        <w:t>5-16</w:t>
      </w:r>
    </w:p>
    <w:p w14:paraId="2403CFD6" w14:textId="77777777" w:rsidR="00A672EE" w:rsidRPr="0050734F" w:rsidRDefault="00A672EE" w:rsidP="00A672EE">
      <w:pPr>
        <w:spacing w:before="100" w:beforeAutospacing="1" w:after="100" w:afterAutospacing="1" w:line="240" w:lineRule="auto"/>
        <w:rPr>
          <w:rFonts w:ascii="Arial Black" w:eastAsia="Times New Roman" w:hAnsi="Arial Black"/>
          <w:sz w:val="28"/>
          <w:szCs w:val="28"/>
        </w:rPr>
      </w:pPr>
      <w:r w:rsidRPr="0050734F">
        <w:rPr>
          <w:rFonts w:ascii="Arial Black" w:eastAsia="Times New Roman" w:hAnsi="Arial Black"/>
          <w:sz w:val="28"/>
          <w:szCs w:val="28"/>
        </w:rPr>
        <w:lastRenderedPageBreak/>
        <w:t xml:space="preserve">NY: </w:t>
      </w:r>
      <w:r>
        <w:rPr>
          <w:rFonts w:ascii="Arial Black" w:eastAsia="Times New Roman" w:hAnsi="Arial Black"/>
          <w:sz w:val="28"/>
          <w:szCs w:val="28"/>
        </w:rPr>
        <w:t xml:space="preserve">FDNY AMBULANCE RESPONDED TO MVA – BACKED INTO VEHICE – CLAIM NOT FILED WITHIN 90 DAYS </w:t>
      </w:r>
    </w:p>
    <w:p w14:paraId="77D791DD" w14:textId="44924364" w:rsidR="00A672EE" w:rsidRDefault="00A672EE" w:rsidP="00A672EE">
      <w:pPr>
        <w:rPr>
          <w:rStyle w:val="Hyperlink"/>
          <w:rFonts w:ascii="Times New Roman" w:hAnsi="Times New Roman"/>
          <w:sz w:val="24"/>
          <w:szCs w:val="24"/>
        </w:rPr>
      </w:pPr>
      <w:r w:rsidRPr="0050734F">
        <w:rPr>
          <w:rFonts w:ascii="Times New Roman" w:eastAsia="Times New Roman" w:hAnsi="Times New Roman"/>
          <w:sz w:val="24"/>
          <w:szCs w:val="24"/>
        </w:rPr>
        <w:t>On July 15, 2020, i</w:t>
      </w:r>
      <w:r>
        <w:rPr>
          <w:rFonts w:ascii="Times New Roman" w:eastAsia="Times New Roman" w:hAnsi="Times New Roman"/>
          <w:sz w:val="24"/>
          <w:szCs w:val="24"/>
        </w:rPr>
        <w:t xml:space="preserve">n case </w:t>
      </w:r>
      <w:r w:rsidRPr="00D91ABE">
        <w:rPr>
          <w:rFonts w:ascii="Times New Roman" w:eastAsia="Times New Roman" w:hAnsi="Times New Roman"/>
          <w:sz w:val="24"/>
          <w:szCs w:val="24"/>
          <w:u w:val="single"/>
        </w:rPr>
        <w:t>In the Matter of Johanny M. Lugo et al. v. City of New York</w:t>
      </w:r>
      <w:r>
        <w:rPr>
          <w:rFonts w:ascii="Times New Roman" w:eastAsia="Times New Roman" w:hAnsi="Times New Roman"/>
          <w:b/>
          <w:bCs/>
          <w:sz w:val="24"/>
          <w:szCs w:val="24"/>
        </w:rPr>
        <w:t xml:space="preserve">, </w:t>
      </w:r>
      <w:r>
        <w:rPr>
          <w:rFonts w:ascii="Times New Roman" w:eastAsia="Times New Roman" w:hAnsi="Times New Roman"/>
          <w:sz w:val="24"/>
          <w:szCs w:val="24"/>
        </w:rPr>
        <w:t>the Supreme Court of the State of New York, Appellate Division, Second Judicial Department, upheld (5 to 0) the trial court judge’s decision dismissing her request to file a late claim. Court wrote: “</w:t>
      </w:r>
      <w:r w:rsidRPr="00D91ABE">
        <w:rPr>
          <w:rFonts w:ascii="Times New Roman" w:hAnsi="Times New Roman"/>
          <w:sz w:val="24"/>
          <w:szCs w:val="24"/>
        </w:rPr>
        <w:t>Here, the police accident report</w:t>
      </w:r>
      <w:r>
        <w:rPr>
          <w:rFonts w:ascii="Times New Roman" w:hAnsi="Times New Roman"/>
          <w:sz w:val="24"/>
          <w:szCs w:val="24"/>
        </w:rPr>
        <w:t xml:space="preserve"> </w:t>
      </w:r>
      <w:r w:rsidRPr="00D91ABE">
        <w:rPr>
          <w:rFonts w:ascii="Times New Roman" w:hAnsi="Times New Roman"/>
          <w:sz w:val="24"/>
          <w:szCs w:val="24"/>
        </w:rPr>
        <w:t>stated that the EMS vehicle caused</w:t>
      </w:r>
      <w:r>
        <w:rPr>
          <w:rFonts w:ascii="Times New Roman" w:hAnsi="Times New Roman"/>
          <w:sz w:val="24"/>
          <w:szCs w:val="24"/>
        </w:rPr>
        <w:t xml:space="preserve"> </w:t>
      </w:r>
      <w:r w:rsidRPr="00D91ABE">
        <w:rPr>
          <w:rFonts w:ascii="Times New Roman" w:hAnsi="Times New Roman"/>
          <w:sz w:val="24"/>
          <w:szCs w:val="24"/>
        </w:rPr>
        <w:t xml:space="preserve">“no damage” to the petitioner’s </w:t>
      </w:r>
      <w:proofErr w:type="gramStart"/>
      <w:r w:rsidRPr="00D91ABE">
        <w:rPr>
          <w:rFonts w:ascii="Times New Roman" w:hAnsi="Times New Roman"/>
          <w:sz w:val="24"/>
          <w:szCs w:val="24"/>
        </w:rPr>
        <w:t>vehicle, and</w:t>
      </w:r>
      <w:proofErr w:type="gramEnd"/>
      <w:r w:rsidRPr="00D91ABE">
        <w:rPr>
          <w:rFonts w:ascii="Times New Roman" w:hAnsi="Times New Roman"/>
          <w:sz w:val="24"/>
          <w:szCs w:val="24"/>
        </w:rPr>
        <w:t xml:space="preserve"> did not indicate that there was any connection between</w:t>
      </w:r>
      <w:r>
        <w:rPr>
          <w:rFonts w:ascii="Times New Roman" w:hAnsi="Times New Roman"/>
          <w:sz w:val="24"/>
          <w:szCs w:val="24"/>
        </w:rPr>
        <w:t xml:space="preserve"> </w:t>
      </w:r>
      <w:r w:rsidRPr="00D91ABE">
        <w:rPr>
          <w:rFonts w:ascii="Times New Roman" w:hAnsi="Times New Roman"/>
          <w:sz w:val="24"/>
          <w:szCs w:val="24"/>
        </w:rPr>
        <w:t>the petitioner’s alleged injuries and any negligent conduct on</w:t>
      </w:r>
      <w:r>
        <w:rPr>
          <w:rFonts w:ascii="Times New Roman" w:hAnsi="Times New Roman"/>
          <w:sz w:val="24"/>
          <w:szCs w:val="24"/>
        </w:rPr>
        <w:t xml:space="preserve"> </w:t>
      </w:r>
      <w:r w:rsidRPr="00D91ABE">
        <w:rPr>
          <w:rFonts w:ascii="Times New Roman" w:hAnsi="Times New Roman"/>
          <w:sz w:val="24"/>
          <w:szCs w:val="24"/>
        </w:rPr>
        <w:t>the</w:t>
      </w:r>
      <w:r>
        <w:rPr>
          <w:rFonts w:ascii="Times New Roman" w:hAnsi="Times New Roman"/>
          <w:sz w:val="24"/>
          <w:szCs w:val="24"/>
        </w:rPr>
        <w:t xml:space="preserve"> </w:t>
      </w:r>
      <w:r w:rsidRPr="00D91ABE">
        <w:rPr>
          <w:rFonts w:ascii="Times New Roman" w:hAnsi="Times New Roman"/>
          <w:sz w:val="24"/>
          <w:szCs w:val="24"/>
        </w:rPr>
        <w:t>part</w:t>
      </w:r>
      <w:r>
        <w:rPr>
          <w:rFonts w:ascii="Times New Roman" w:hAnsi="Times New Roman"/>
          <w:sz w:val="24"/>
          <w:szCs w:val="24"/>
        </w:rPr>
        <w:t xml:space="preserve"> </w:t>
      </w:r>
      <w:r w:rsidRPr="00D91ABE">
        <w:rPr>
          <w:rFonts w:ascii="Times New Roman" w:hAnsi="Times New Roman"/>
          <w:sz w:val="24"/>
          <w:szCs w:val="24"/>
        </w:rPr>
        <w:t>of the operator of the EMS</w:t>
      </w:r>
      <w:r>
        <w:rPr>
          <w:rFonts w:ascii="Times New Roman" w:hAnsi="Times New Roman"/>
          <w:sz w:val="24"/>
          <w:szCs w:val="24"/>
        </w:rPr>
        <w:t xml:space="preserve"> </w:t>
      </w:r>
      <w:r w:rsidRPr="00D91ABE">
        <w:rPr>
          <w:rFonts w:ascii="Times New Roman" w:hAnsi="Times New Roman"/>
          <w:sz w:val="24"/>
          <w:szCs w:val="24"/>
        </w:rPr>
        <w:t>vehicle. Thus, the petitioner failed to establish that the police accident report provided actual notice</w:t>
      </w:r>
      <w:r>
        <w:rPr>
          <w:rFonts w:ascii="Times New Roman" w:hAnsi="Times New Roman"/>
          <w:sz w:val="24"/>
          <w:szCs w:val="24"/>
        </w:rPr>
        <w:t xml:space="preserve"> </w:t>
      </w:r>
      <w:r w:rsidRPr="00D91ABE">
        <w:rPr>
          <w:rFonts w:ascii="Times New Roman" w:hAnsi="Times New Roman"/>
          <w:sz w:val="24"/>
          <w:szCs w:val="24"/>
        </w:rPr>
        <w:t>of the facts constituting the petitioner’s claim</w:t>
      </w:r>
      <w:r>
        <w:rPr>
          <w:rFonts w:ascii="Times New Roman" w:hAnsi="Times New Roman"/>
          <w:sz w:val="24"/>
          <w:szCs w:val="24"/>
        </w:rPr>
        <w:t xml:space="preserve"> </w:t>
      </w:r>
      <w:r w:rsidRPr="00D91ABE">
        <w:rPr>
          <w:rFonts w:ascii="Times New Roman" w:hAnsi="Times New Roman"/>
          <w:sz w:val="24"/>
          <w:szCs w:val="24"/>
        </w:rPr>
        <w:t xml:space="preserve">that she sustained serious injuries </w:t>
      </w:r>
      <w:proofErr w:type="gramStart"/>
      <w:r w:rsidRPr="00D91ABE">
        <w:rPr>
          <w:rFonts w:ascii="Times New Roman" w:hAnsi="Times New Roman"/>
          <w:sz w:val="24"/>
          <w:szCs w:val="24"/>
        </w:rPr>
        <w:t>as a result of</w:t>
      </w:r>
      <w:proofErr w:type="gramEnd"/>
      <w:r w:rsidRPr="00D91ABE">
        <w:rPr>
          <w:rFonts w:ascii="Times New Roman" w:hAnsi="Times New Roman"/>
          <w:sz w:val="24"/>
          <w:szCs w:val="24"/>
        </w:rPr>
        <w:t xml:space="preserve"> the</w:t>
      </w:r>
      <w:r>
        <w:rPr>
          <w:rFonts w:ascii="Times New Roman" w:hAnsi="Times New Roman"/>
          <w:sz w:val="24"/>
          <w:szCs w:val="24"/>
        </w:rPr>
        <w:t xml:space="preserve"> </w:t>
      </w:r>
      <w:r w:rsidRPr="00D91ABE">
        <w:rPr>
          <w:rFonts w:ascii="Times New Roman" w:hAnsi="Times New Roman"/>
          <w:sz w:val="24"/>
          <w:szCs w:val="24"/>
        </w:rPr>
        <w:t>City’s negligence</w:t>
      </w:r>
      <w:r>
        <w:rPr>
          <w:rFonts w:ascii="Times New Roman" w:hAnsi="Times New Roman"/>
          <w:sz w:val="24"/>
          <w:szCs w:val="24"/>
        </w:rPr>
        <w:t xml:space="preserve">….”  </w:t>
      </w:r>
      <w:hyperlink r:id="rId1007" w:history="1">
        <w:r w:rsidRPr="00DD4F05">
          <w:rPr>
            <w:rStyle w:val="Hyperlink"/>
            <w:rFonts w:ascii="Times New Roman" w:hAnsi="Times New Roman"/>
            <w:sz w:val="24"/>
            <w:szCs w:val="24"/>
          </w:rPr>
          <w:t>http://www.nycourts.gov/courts/AD2/Handdowns/2020/Decisions/D63290.pdf</w:t>
        </w:r>
      </w:hyperlink>
    </w:p>
    <w:p w14:paraId="67F93CFE" w14:textId="77777777" w:rsidR="00A672EE" w:rsidRDefault="00A672EE" w:rsidP="00A672EE">
      <w:pPr>
        <w:tabs>
          <w:tab w:val="left" w:pos="3680"/>
        </w:tabs>
        <w:spacing w:before="100" w:beforeAutospacing="1" w:after="100" w:afterAutospacing="1" w:line="240" w:lineRule="auto"/>
        <w:rPr>
          <w:rFonts w:ascii="Times New Roman" w:hAnsi="Times New Roman"/>
          <w:b/>
          <w:bCs/>
          <w:sz w:val="24"/>
          <w:szCs w:val="24"/>
        </w:rPr>
      </w:pPr>
      <w:r w:rsidRPr="00DD4F05">
        <w:rPr>
          <w:rFonts w:ascii="Times New Roman" w:hAnsi="Times New Roman"/>
          <w:b/>
          <w:bCs/>
          <w:sz w:val="24"/>
          <w:szCs w:val="24"/>
        </w:rPr>
        <w:t>Legal Lesson Learned</w:t>
      </w:r>
      <w:r>
        <w:rPr>
          <w:rFonts w:ascii="Times New Roman" w:hAnsi="Times New Roman"/>
          <w:sz w:val="24"/>
          <w:szCs w:val="24"/>
        </w:rPr>
        <w:t xml:space="preserve">:  </w:t>
      </w:r>
      <w:r w:rsidRPr="00683FEB">
        <w:rPr>
          <w:rFonts w:ascii="Times New Roman" w:hAnsi="Times New Roman"/>
          <w:b/>
          <w:bCs/>
          <w:sz w:val="24"/>
          <w:szCs w:val="24"/>
        </w:rPr>
        <w:t xml:space="preserve">Courts will enforce municipal </w:t>
      </w:r>
      <w:r>
        <w:rPr>
          <w:rFonts w:ascii="Times New Roman" w:hAnsi="Times New Roman"/>
          <w:b/>
          <w:bCs/>
          <w:sz w:val="24"/>
          <w:szCs w:val="24"/>
        </w:rPr>
        <w:t>ordinances</w:t>
      </w:r>
      <w:r w:rsidRPr="00683FEB">
        <w:rPr>
          <w:rFonts w:ascii="Times New Roman" w:hAnsi="Times New Roman"/>
          <w:b/>
          <w:bCs/>
          <w:sz w:val="24"/>
          <w:szCs w:val="24"/>
        </w:rPr>
        <w:t xml:space="preserve"> requiring timely, written notice of a </w:t>
      </w:r>
      <w:r>
        <w:rPr>
          <w:rFonts w:ascii="Times New Roman" w:hAnsi="Times New Roman"/>
          <w:b/>
          <w:bCs/>
          <w:sz w:val="24"/>
          <w:szCs w:val="24"/>
        </w:rPr>
        <w:t xml:space="preserve">tort </w:t>
      </w:r>
      <w:r w:rsidRPr="00683FEB">
        <w:rPr>
          <w:rFonts w:ascii="Times New Roman" w:hAnsi="Times New Roman"/>
          <w:b/>
          <w:bCs/>
          <w:sz w:val="24"/>
          <w:szCs w:val="24"/>
        </w:rPr>
        <w:t xml:space="preserve">claim. </w:t>
      </w:r>
      <w:r>
        <w:rPr>
          <w:rFonts w:ascii="Times New Roman" w:hAnsi="Times New Roman"/>
          <w:b/>
          <w:bCs/>
          <w:sz w:val="24"/>
          <w:szCs w:val="24"/>
        </w:rPr>
        <w:t xml:space="preserve"> </w:t>
      </w:r>
    </w:p>
    <w:p w14:paraId="037D4301" w14:textId="77777777" w:rsidR="00A672EE" w:rsidRDefault="00A672EE" w:rsidP="001C563D">
      <w:pPr>
        <w:rPr>
          <w:rFonts w:ascii="Arial Black" w:hAnsi="Arial Black"/>
          <w:b/>
          <w:sz w:val="24"/>
          <w:szCs w:val="24"/>
        </w:rPr>
      </w:pPr>
    </w:p>
    <w:p w14:paraId="17F7CC47" w14:textId="5834FA90" w:rsidR="001C563D" w:rsidRPr="007105B3" w:rsidRDefault="007105B3" w:rsidP="001C563D">
      <w:pPr>
        <w:rPr>
          <w:rFonts w:ascii="Times New Roman" w:hAnsi="Times New Roman"/>
          <w:bCs/>
          <w:sz w:val="24"/>
          <w:szCs w:val="24"/>
        </w:rPr>
      </w:pPr>
      <w:r>
        <w:rPr>
          <w:rFonts w:ascii="Arial Black" w:hAnsi="Arial Black"/>
          <w:b/>
          <w:sz w:val="24"/>
          <w:szCs w:val="24"/>
        </w:rPr>
        <w:t>5-1</w:t>
      </w:r>
      <w:r w:rsidR="00A672EE">
        <w:rPr>
          <w:rFonts w:ascii="Arial Black" w:hAnsi="Arial Black"/>
          <w:b/>
          <w:sz w:val="24"/>
          <w:szCs w:val="24"/>
        </w:rPr>
        <w:t>5</w:t>
      </w:r>
      <w:r w:rsidR="001C563D">
        <w:rPr>
          <w:rFonts w:ascii="Arial Black" w:hAnsi="Arial Black"/>
          <w:b/>
          <w:sz w:val="24"/>
          <w:szCs w:val="24"/>
        </w:rPr>
        <w:t xml:space="preserve"> </w:t>
      </w:r>
      <w:r w:rsidR="001C563D" w:rsidRPr="007105B3">
        <w:rPr>
          <w:rFonts w:ascii="Times New Roman" w:hAnsi="Times New Roman"/>
          <w:bCs/>
          <w:sz w:val="24"/>
          <w:szCs w:val="24"/>
        </w:rPr>
        <w:t>[Also filed, Chap. 1</w:t>
      </w:r>
      <w:r w:rsidR="001C563D">
        <w:rPr>
          <w:rFonts w:ascii="Times New Roman" w:hAnsi="Times New Roman"/>
          <w:bCs/>
          <w:sz w:val="24"/>
          <w:szCs w:val="24"/>
        </w:rPr>
        <w:t>3</w:t>
      </w:r>
      <w:r w:rsidR="001C563D" w:rsidRPr="007105B3">
        <w:rPr>
          <w:rFonts w:ascii="Times New Roman" w:hAnsi="Times New Roman"/>
          <w:bCs/>
          <w:sz w:val="24"/>
          <w:szCs w:val="24"/>
        </w:rPr>
        <w:t>]</w:t>
      </w:r>
    </w:p>
    <w:p w14:paraId="63DB6797" w14:textId="77777777" w:rsidR="007105B3" w:rsidRDefault="007105B3" w:rsidP="007105B3">
      <w:pPr>
        <w:pStyle w:val="NoSpacing"/>
        <w:rPr>
          <w:rFonts w:ascii="Arial Black" w:hAnsi="Arial Black"/>
          <w:sz w:val="28"/>
          <w:szCs w:val="28"/>
        </w:rPr>
      </w:pPr>
      <w:r w:rsidRPr="00284D4F">
        <w:rPr>
          <w:rFonts w:ascii="Arial Black" w:hAnsi="Arial Black"/>
          <w:sz w:val="28"/>
          <w:szCs w:val="28"/>
        </w:rPr>
        <w:t xml:space="preserve">IL: </w:t>
      </w:r>
      <w:r>
        <w:rPr>
          <w:rFonts w:ascii="Arial Black" w:hAnsi="Arial Black"/>
          <w:sz w:val="28"/>
          <w:szCs w:val="28"/>
        </w:rPr>
        <w:t>PRIVATE AMBULANCE – RAN RED LIGHT WHEN DRIVING TO NON-EMERGENCY TRANSPORT - NO IMMUNITY</w:t>
      </w:r>
    </w:p>
    <w:p w14:paraId="0000839C" w14:textId="77777777" w:rsidR="007105B3" w:rsidRDefault="007105B3" w:rsidP="007105B3">
      <w:pPr>
        <w:pStyle w:val="NoSpacing"/>
        <w:rPr>
          <w:rFonts w:ascii="Arial Black" w:hAnsi="Arial Black"/>
          <w:sz w:val="28"/>
          <w:szCs w:val="28"/>
        </w:rPr>
      </w:pPr>
    </w:p>
    <w:p w14:paraId="76DA4ACE" w14:textId="00F6329E" w:rsidR="007105B3" w:rsidRPr="00700A10" w:rsidRDefault="007105B3" w:rsidP="007105B3">
      <w:pPr>
        <w:pStyle w:val="NoSpacing"/>
        <w:rPr>
          <w:rFonts w:ascii="Times New Roman" w:hAnsi="Times New Roman"/>
          <w:sz w:val="24"/>
          <w:szCs w:val="24"/>
        </w:rPr>
      </w:pPr>
      <w:r w:rsidRPr="00284D4F">
        <w:rPr>
          <w:rFonts w:ascii="Times New Roman" w:hAnsi="Times New Roman"/>
          <w:sz w:val="24"/>
          <w:szCs w:val="24"/>
        </w:rPr>
        <w:t xml:space="preserve">On </w:t>
      </w:r>
      <w:r>
        <w:rPr>
          <w:rFonts w:ascii="Times New Roman" w:hAnsi="Times New Roman"/>
          <w:sz w:val="24"/>
          <w:szCs w:val="24"/>
        </w:rPr>
        <w:t xml:space="preserve">June 18, 2020, in </w:t>
      </w:r>
      <w:r w:rsidRPr="00284D4F">
        <w:rPr>
          <w:rFonts w:ascii="Times New Roman" w:hAnsi="Times New Roman"/>
          <w:sz w:val="24"/>
          <w:szCs w:val="24"/>
          <w:u w:val="single"/>
        </w:rPr>
        <w:t>Roberto Hernandez v. Lifeline Ambulance, LLC, et al</w:t>
      </w:r>
      <w:r>
        <w:rPr>
          <w:rFonts w:ascii="Times New Roman" w:hAnsi="Times New Roman"/>
          <w:sz w:val="24"/>
          <w:szCs w:val="24"/>
        </w:rPr>
        <w:t xml:space="preserve">., the Supreme Court of State of Illinois, held (4 to 3) that the private ambulance driver and his employer are not protected under the state’s EMS immunity statute when the ambulance driver, on a non-emergency run without lights or siren, ran a red light and injured the driver of another vehicle. The ambulance had been dispatched </w:t>
      </w:r>
      <w:r w:rsidRPr="00700A10">
        <w:rPr>
          <w:rFonts w:ascii="Times New Roman" w:hAnsi="Times New Roman"/>
          <w:sz w:val="24"/>
          <w:szCs w:val="24"/>
        </w:rPr>
        <w:t>to pick up a patient for nonemergency medical transport from Symphony at Aria Post Acute Care in Hillside to Villa Park Home Dialysis in Villa Park</w:t>
      </w:r>
      <w:r>
        <w:rPr>
          <w:rFonts w:ascii="Times New Roman" w:hAnsi="Times New Roman"/>
          <w:sz w:val="24"/>
          <w:szCs w:val="24"/>
        </w:rPr>
        <w:t>. The Court’s majority held: “</w:t>
      </w:r>
      <w:r w:rsidRPr="00700A10">
        <w:rPr>
          <w:rFonts w:ascii="Times New Roman" w:hAnsi="Times New Roman"/>
          <w:sz w:val="24"/>
          <w:szCs w:val="24"/>
        </w:rPr>
        <w:t xml:space="preserve">The issue presented is whether section 3.150 of the Emergency Medical Services Systems Act (EMS Act) (210 ILCS 50/3.150 (West 2016)) provides immunity from liability—to an ambulance owner and its driver—stemming from a motor-vehicle accident caused by the negligent operation of the ambulance while </w:t>
      </w:r>
      <w:proofErr w:type="spellStart"/>
      <w:r w:rsidRPr="00700A10">
        <w:rPr>
          <w:rFonts w:ascii="Times New Roman" w:hAnsi="Times New Roman"/>
          <w:sz w:val="24"/>
          <w:szCs w:val="24"/>
        </w:rPr>
        <w:t>en</w:t>
      </w:r>
      <w:proofErr w:type="spellEnd"/>
      <w:r w:rsidRPr="00700A10">
        <w:rPr>
          <w:rFonts w:ascii="Times New Roman" w:hAnsi="Times New Roman"/>
          <w:sz w:val="24"/>
          <w:szCs w:val="24"/>
        </w:rPr>
        <w:t xml:space="preserve"> route to pick up a patient for nonemergency transportation. We answer this question in the negative, holding that defendants are not immune from liability under the circumstances of this case.</w:t>
      </w:r>
      <w:r>
        <w:rPr>
          <w:rFonts w:ascii="Times New Roman" w:hAnsi="Times New Roman"/>
          <w:sz w:val="24"/>
          <w:szCs w:val="24"/>
        </w:rPr>
        <w:t xml:space="preserve">” </w:t>
      </w:r>
      <w:hyperlink r:id="rId1008" w:history="1">
        <w:r w:rsidRPr="005B0C9C">
          <w:rPr>
            <w:rStyle w:val="Hyperlink"/>
            <w:rFonts w:ascii="Times New Roman" w:hAnsi="Times New Roman"/>
            <w:sz w:val="24"/>
            <w:szCs w:val="24"/>
          </w:rPr>
          <w:t>https://courts.illinois.gov/Opinions/SupremeCourt/2020/124610.pdf</w:t>
        </w:r>
      </w:hyperlink>
      <w:r>
        <w:rPr>
          <w:rFonts w:ascii="Times New Roman" w:hAnsi="Times New Roman"/>
          <w:sz w:val="24"/>
          <w:szCs w:val="24"/>
        </w:rPr>
        <w:t xml:space="preserve"> </w:t>
      </w:r>
    </w:p>
    <w:p w14:paraId="2F74C9E2" w14:textId="77777777" w:rsidR="007105B3" w:rsidRPr="00700A10" w:rsidRDefault="007105B3" w:rsidP="007105B3">
      <w:pPr>
        <w:pStyle w:val="NoSpacing"/>
        <w:rPr>
          <w:rFonts w:ascii="Times New Roman" w:hAnsi="Times New Roman"/>
          <w:sz w:val="24"/>
          <w:szCs w:val="24"/>
        </w:rPr>
      </w:pPr>
    </w:p>
    <w:p w14:paraId="264DFFDE" w14:textId="77777777" w:rsidR="007105B3" w:rsidRPr="00700A10" w:rsidRDefault="007105B3" w:rsidP="007105B3">
      <w:pPr>
        <w:pStyle w:val="NoSpacing"/>
        <w:rPr>
          <w:rFonts w:ascii="Times New Roman" w:hAnsi="Times New Roman"/>
          <w:b/>
          <w:bCs/>
          <w:sz w:val="24"/>
          <w:szCs w:val="24"/>
        </w:rPr>
      </w:pPr>
      <w:r w:rsidRPr="00700A10">
        <w:rPr>
          <w:rFonts w:ascii="Times New Roman" w:hAnsi="Times New Roman"/>
          <w:b/>
          <w:bCs/>
          <w:sz w:val="24"/>
          <w:szCs w:val="24"/>
        </w:rPr>
        <w:t>Legal Lessons Learned:</w:t>
      </w:r>
      <w:r>
        <w:rPr>
          <w:rFonts w:ascii="Times New Roman" w:hAnsi="Times New Roman"/>
          <w:b/>
          <w:bCs/>
          <w:sz w:val="24"/>
          <w:szCs w:val="24"/>
        </w:rPr>
        <w:t xml:space="preserve"> EMS driving running a red light for a non-emergency transport should be held responsible, along with his company, for his negligent conduct. </w:t>
      </w:r>
    </w:p>
    <w:p w14:paraId="195DB726" w14:textId="77777777" w:rsidR="007105B3" w:rsidRDefault="007105B3" w:rsidP="007105B3">
      <w:pPr>
        <w:pStyle w:val="NoSpacing"/>
        <w:rPr>
          <w:rFonts w:ascii="Times New Roman" w:hAnsi="Times New Roman"/>
          <w:sz w:val="24"/>
          <w:szCs w:val="24"/>
        </w:rPr>
      </w:pPr>
    </w:p>
    <w:p w14:paraId="3B47FBEE" w14:textId="77777777" w:rsidR="007105B3" w:rsidRPr="005262A7" w:rsidRDefault="007105B3" w:rsidP="007105B3">
      <w:pPr>
        <w:pStyle w:val="NoSpacing"/>
        <w:ind w:firstLine="720"/>
        <w:rPr>
          <w:rFonts w:ascii="Times New Roman" w:hAnsi="Times New Roman"/>
          <w:sz w:val="24"/>
          <w:szCs w:val="24"/>
        </w:rPr>
      </w:pPr>
      <w:r w:rsidRPr="005262A7">
        <w:rPr>
          <w:rFonts w:ascii="Times New Roman" w:hAnsi="Times New Roman"/>
          <w:sz w:val="24"/>
          <w:szCs w:val="24"/>
        </w:rPr>
        <w:t xml:space="preserve">Note: Three dissenting Justices </w:t>
      </w:r>
      <w:r>
        <w:rPr>
          <w:rFonts w:ascii="Times New Roman" w:hAnsi="Times New Roman"/>
          <w:sz w:val="24"/>
          <w:szCs w:val="24"/>
        </w:rPr>
        <w:t>disagreed:</w:t>
      </w:r>
    </w:p>
    <w:p w14:paraId="5398AC1B" w14:textId="77777777" w:rsidR="007105B3" w:rsidRDefault="007105B3" w:rsidP="007105B3">
      <w:pPr>
        <w:pStyle w:val="NoSpacing"/>
        <w:ind w:left="720"/>
        <w:rPr>
          <w:rFonts w:ascii="Times New Roman" w:hAnsi="Times New Roman"/>
          <w:sz w:val="24"/>
          <w:szCs w:val="24"/>
        </w:rPr>
      </w:pPr>
    </w:p>
    <w:p w14:paraId="230F6F10" w14:textId="18D4006C" w:rsidR="007105B3" w:rsidRDefault="007105B3" w:rsidP="007105B3">
      <w:pPr>
        <w:pStyle w:val="NoSpacing"/>
        <w:ind w:left="720"/>
      </w:pPr>
      <w:r>
        <w:rPr>
          <w:rFonts w:ascii="Times New Roman" w:hAnsi="Times New Roman"/>
          <w:sz w:val="24"/>
          <w:szCs w:val="24"/>
        </w:rPr>
        <w:t>“</w:t>
      </w:r>
      <w:r w:rsidRPr="005262A7">
        <w:rPr>
          <w:rFonts w:ascii="Times New Roman" w:hAnsi="Times New Roman"/>
          <w:sz w:val="24"/>
          <w:szCs w:val="24"/>
        </w:rPr>
        <w:t xml:space="preserve">In the case at bar, at the time of the accident, Nicholas was rendering nonemergency medical services in the normal course of conducting his duties. Nicholas was in the process of responding to a dispatch to transport a patient to a health care facility. Driving to the patient was preparatory for and integral to delivering the medical service. Further, the accident occurred before transporting the patient to a health care facility and during defendant’s driving in response to the dispatch. Therefore, absent willful and wanton misconduct, section 3.150(a) of the EMS Act immunizes defendants for their alleged negligent acts or omissions while providing nonemergency medical </w:t>
      </w:r>
      <w:proofErr w:type="gramStart"/>
      <w:r w:rsidRPr="005262A7">
        <w:rPr>
          <w:rFonts w:ascii="Times New Roman" w:hAnsi="Times New Roman"/>
          <w:sz w:val="24"/>
          <w:szCs w:val="24"/>
        </w:rPr>
        <w:t>services</w:t>
      </w:r>
      <w:r>
        <w:t>.”</w:t>
      </w:r>
      <w:proofErr w:type="gramEnd"/>
    </w:p>
    <w:p w14:paraId="1820DBE5" w14:textId="77777777" w:rsidR="007105B3" w:rsidRDefault="007105B3" w:rsidP="007105B3">
      <w:pPr>
        <w:pStyle w:val="NoSpacing"/>
        <w:ind w:left="720"/>
      </w:pPr>
    </w:p>
    <w:p w14:paraId="35B897B6" w14:textId="77777777" w:rsidR="007105B3" w:rsidRDefault="007105B3" w:rsidP="00EF1133">
      <w:pPr>
        <w:rPr>
          <w:rFonts w:ascii="Arial Black" w:hAnsi="Arial Black"/>
          <w:b/>
          <w:sz w:val="24"/>
          <w:szCs w:val="24"/>
        </w:rPr>
      </w:pPr>
    </w:p>
    <w:p w14:paraId="4F7A9F7A" w14:textId="4E1A7FBC" w:rsidR="00D94DC4" w:rsidRDefault="00D94DC4" w:rsidP="00EF1133">
      <w:pPr>
        <w:rPr>
          <w:rFonts w:ascii="Arial Black" w:hAnsi="Arial Black"/>
          <w:b/>
          <w:sz w:val="24"/>
          <w:szCs w:val="24"/>
        </w:rPr>
      </w:pPr>
      <w:r>
        <w:rPr>
          <w:rFonts w:ascii="Arial Black" w:hAnsi="Arial Black"/>
          <w:b/>
          <w:sz w:val="24"/>
          <w:szCs w:val="24"/>
        </w:rPr>
        <w:lastRenderedPageBreak/>
        <w:t>5-</w:t>
      </w:r>
      <w:r w:rsidR="004E22C3">
        <w:rPr>
          <w:rFonts w:ascii="Arial Black" w:hAnsi="Arial Black"/>
          <w:b/>
          <w:sz w:val="24"/>
          <w:szCs w:val="24"/>
        </w:rPr>
        <w:t>1</w:t>
      </w:r>
      <w:r w:rsidR="00A672EE">
        <w:rPr>
          <w:rFonts w:ascii="Arial Black" w:hAnsi="Arial Black"/>
          <w:b/>
          <w:sz w:val="24"/>
          <w:szCs w:val="24"/>
        </w:rPr>
        <w:t>4</w:t>
      </w:r>
    </w:p>
    <w:p w14:paraId="4759CF39" w14:textId="77777777" w:rsidR="004E22C3" w:rsidRPr="007B3BAD" w:rsidRDefault="004E22C3" w:rsidP="004E22C3">
      <w:pPr>
        <w:spacing w:before="100" w:beforeAutospacing="1" w:after="100" w:afterAutospacing="1" w:line="240" w:lineRule="auto"/>
        <w:jc w:val="both"/>
        <w:rPr>
          <w:rFonts w:ascii="Arial Black" w:eastAsia="Times New Roman" w:hAnsi="Arial Black"/>
          <w:b/>
          <w:bCs/>
          <w:sz w:val="28"/>
          <w:szCs w:val="28"/>
        </w:rPr>
      </w:pPr>
      <w:r w:rsidRPr="007B3BAD">
        <w:rPr>
          <w:rFonts w:ascii="Arial Black" w:eastAsia="Times New Roman" w:hAnsi="Arial Black"/>
          <w:b/>
          <w:bCs/>
          <w:sz w:val="28"/>
          <w:szCs w:val="28"/>
        </w:rPr>
        <w:t xml:space="preserve">AL: </w:t>
      </w:r>
      <w:r>
        <w:rPr>
          <w:rFonts w:ascii="Arial Black" w:eastAsia="Times New Roman" w:hAnsi="Arial Black"/>
          <w:b/>
          <w:bCs/>
          <w:sz w:val="28"/>
          <w:szCs w:val="28"/>
        </w:rPr>
        <w:t>PARAMEDIC INJURED IN MVA - SETTLED WITH DRIVER $25K, BUT WITHOUT CONSENT OF MEDIC’S INSURANCE CO. – STATE FARM NO LONGER REQ. COVER “UNDERINSURED”</w:t>
      </w:r>
    </w:p>
    <w:p w14:paraId="5B6F94FF" w14:textId="77777777" w:rsidR="004E22C3" w:rsidRDefault="004E22C3" w:rsidP="004E22C3">
      <w:pPr>
        <w:spacing w:before="100" w:beforeAutospacing="1" w:after="100" w:afterAutospacing="1" w:line="240" w:lineRule="auto"/>
        <w:rPr>
          <w:rFonts w:ascii="Times New Roman" w:eastAsia="Times New Roman" w:hAnsi="Times New Roman"/>
          <w:sz w:val="24"/>
          <w:szCs w:val="24"/>
        </w:rPr>
      </w:pPr>
      <w:r w:rsidRPr="00F74356">
        <w:rPr>
          <w:rFonts w:ascii="Times New Roman" w:eastAsia="Times New Roman" w:hAnsi="Times New Roman"/>
          <w:sz w:val="24"/>
          <w:szCs w:val="24"/>
        </w:rPr>
        <w:t xml:space="preserve">On May 29, 2020, in </w:t>
      </w:r>
      <w:r w:rsidRPr="00F74356">
        <w:rPr>
          <w:rFonts w:ascii="Times New Roman" w:eastAsia="Times New Roman" w:hAnsi="Times New Roman"/>
          <w:sz w:val="24"/>
          <w:szCs w:val="24"/>
          <w:u w:val="single"/>
        </w:rPr>
        <w:t>David R. Turner v. State Farm Mutual Insurance Company</w:t>
      </w:r>
      <w:r w:rsidRPr="00F74356">
        <w:rPr>
          <w:rFonts w:ascii="Times New Roman" w:eastAsia="Times New Roman" w:hAnsi="Times New Roman"/>
          <w:sz w:val="24"/>
          <w:szCs w:val="24"/>
        </w:rPr>
        <w:t>, the Supreme Court of Alabama, upheld the trial court’s dismissal of the paramedic’s lawsuit against his own insurance company [All State].</w:t>
      </w:r>
      <w:r>
        <w:rPr>
          <w:rFonts w:ascii="Times New Roman" w:eastAsia="Times New Roman" w:hAnsi="Times New Roman"/>
          <w:sz w:val="24"/>
          <w:szCs w:val="24"/>
        </w:rPr>
        <w:t xml:space="preserve"> </w:t>
      </w:r>
      <w:hyperlink r:id="rId1009" w:history="1">
        <w:r w:rsidRPr="00BA0245">
          <w:rPr>
            <w:rStyle w:val="Hyperlink"/>
            <w:sz w:val="24"/>
            <w:szCs w:val="24"/>
          </w:rPr>
          <w:t>https://acis.alabama.gov/displaydocs.cfm?no=1022968&amp;event=5S20LIXMT</w:t>
        </w:r>
      </w:hyperlink>
    </w:p>
    <w:p w14:paraId="228BC173" w14:textId="77777777" w:rsidR="004E22C3" w:rsidRPr="0071286B" w:rsidRDefault="004E22C3" w:rsidP="004E22C3">
      <w:pPr>
        <w:spacing w:before="100" w:beforeAutospacing="1" w:after="100" w:afterAutospacing="1" w:line="240" w:lineRule="auto"/>
        <w:jc w:val="both"/>
        <w:rPr>
          <w:rFonts w:ascii="Times New Roman" w:eastAsia="Times New Roman" w:hAnsi="Times New Roman"/>
          <w:b/>
          <w:bCs/>
          <w:sz w:val="24"/>
          <w:szCs w:val="24"/>
        </w:rPr>
      </w:pPr>
      <w:r w:rsidRPr="0071286B">
        <w:rPr>
          <w:rFonts w:ascii="Times New Roman" w:hAnsi="Times New Roman"/>
          <w:b/>
          <w:bCs/>
          <w:sz w:val="24"/>
          <w:szCs w:val="24"/>
        </w:rPr>
        <w:t>Legal Lessons Learned:</w:t>
      </w:r>
      <w:r>
        <w:rPr>
          <w:rFonts w:ascii="Times New Roman" w:hAnsi="Times New Roman"/>
          <w:b/>
          <w:bCs/>
          <w:sz w:val="24"/>
          <w:szCs w:val="24"/>
        </w:rPr>
        <w:t xml:space="preserve"> If injured in MVA, do not settle and release the other driver’s insurance company without the consent of your insurance company.   Since medic also covered by worker’s comp, the state fund has a right to recover from the $25K settlement.  </w:t>
      </w:r>
    </w:p>
    <w:p w14:paraId="2288998B" w14:textId="27DEB1A6" w:rsidR="00D94DC4" w:rsidRDefault="00A672EE" w:rsidP="00EF1133">
      <w:pPr>
        <w:rPr>
          <w:rFonts w:ascii="Arial Black" w:hAnsi="Arial Black"/>
          <w:b/>
          <w:sz w:val="24"/>
          <w:szCs w:val="24"/>
        </w:rPr>
      </w:pPr>
      <w:r>
        <w:rPr>
          <w:rFonts w:ascii="Arial Black" w:hAnsi="Arial Black"/>
          <w:b/>
          <w:sz w:val="24"/>
          <w:szCs w:val="24"/>
        </w:rPr>
        <w:t>5-13</w:t>
      </w:r>
    </w:p>
    <w:p w14:paraId="52A49942" w14:textId="77777777" w:rsidR="00A672EE" w:rsidRDefault="00A672EE" w:rsidP="00A672EE">
      <w:pPr>
        <w:pStyle w:val="NoSpacing"/>
        <w:rPr>
          <w:rFonts w:ascii="Arial Black" w:hAnsi="Arial Black"/>
          <w:sz w:val="28"/>
          <w:szCs w:val="28"/>
        </w:rPr>
      </w:pPr>
      <w:bookmarkStart w:id="199" w:name="_Hlk66946612"/>
      <w:r w:rsidRPr="009B0E33">
        <w:rPr>
          <w:rFonts w:ascii="Arial Black" w:hAnsi="Arial Black"/>
          <w:sz w:val="28"/>
          <w:szCs w:val="28"/>
        </w:rPr>
        <w:t>TX:</w:t>
      </w:r>
      <w:r>
        <w:rPr>
          <w:rFonts w:ascii="Arial Black" w:hAnsi="Arial Black"/>
          <w:sz w:val="28"/>
          <w:szCs w:val="28"/>
        </w:rPr>
        <w:t xml:space="preserve"> FIRETRUCK ACCIDENT AT INTERSECTION– FF DIDN’T STOP RED LIGHT / FD POLICY – NOT RECKLESS – GOVT IMMUNITY</w:t>
      </w:r>
    </w:p>
    <w:p w14:paraId="0F984B7A" w14:textId="77777777" w:rsidR="00A672EE" w:rsidRDefault="00A672EE" w:rsidP="00A672EE">
      <w:pPr>
        <w:pStyle w:val="NoSpacing"/>
        <w:rPr>
          <w:rFonts w:ascii="Arial Black" w:hAnsi="Arial Black"/>
          <w:sz w:val="28"/>
          <w:szCs w:val="28"/>
        </w:rPr>
      </w:pPr>
    </w:p>
    <w:p w14:paraId="2551EAAC" w14:textId="60943A45" w:rsidR="00A672EE" w:rsidRDefault="00A672EE" w:rsidP="00A672EE">
      <w:pPr>
        <w:rPr>
          <w:rFonts w:ascii="Arial Black" w:hAnsi="Arial Black"/>
          <w:b/>
          <w:sz w:val="24"/>
          <w:szCs w:val="24"/>
        </w:rPr>
      </w:pPr>
      <w:r w:rsidRPr="009B0E33">
        <w:rPr>
          <w:rFonts w:ascii="Times New Roman" w:hAnsi="Times New Roman"/>
          <w:sz w:val="24"/>
          <w:szCs w:val="24"/>
        </w:rPr>
        <w:t xml:space="preserve">On </w:t>
      </w:r>
      <w:r>
        <w:rPr>
          <w:rFonts w:ascii="Times New Roman" w:hAnsi="Times New Roman"/>
          <w:sz w:val="24"/>
          <w:szCs w:val="24"/>
        </w:rPr>
        <w:t xml:space="preserve">May 28, 2020, in </w:t>
      </w:r>
      <w:r w:rsidRPr="009B0E33">
        <w:rPr>
          <w:rFonts w:ascii="Times New Roman" w:hAnsi="Times New Roman"/>
          <w:sz w:val="24"/>
          <w:szCs w:val="24"/>
          <w:u w:val="single"/>
        </w:rPr>
        <w:t>The City of Kingsville v. Ermelinda Dominguez</w:t>
      </w:r>
      <w:r>
        <w:rPr>
          <w:rFonts w:ascii="Times New Roman" w:hAnsi="Times New Roman"/>
          <w:sz w:val="24"/>
          <w:szCs w:val="24"/>
        </w:rPr>
        <w:t xml:space="preserve">, the Court of Appeals, Thirteenth District of Texas (Corpus Christi – Edinburg), reversed the trial court and ordered the lawsuit dismissed since the firefighter was not driving recklessly, when on an EMS run with lights and siren, he followed an ambulance through a red light at reasonable speed. </w:t>
      </w:r>
      <w:bookmarkEnd w:id="199"/>
      <w:r>
        <w:rPr>
          <w:rFonts w:ascii="Times New Roman" w:hAnsi="Times New Roman"/>
          <w:sz w:val="24"/>
          <w:szCs w:val="24"/>
        </w:rPr>
        <w:t xml:space="preserve">The Court wrote: </w:t>
      </w:r>
      <w:r w:rsidRPr="006D72FE">
        <w:rPr>
          <w:rFonts w:ascii="Times New Roman" w:hAnsi="Times New Roman"/>
          <w:sz w:val="24"/>
          <w:szCs w:val="24"/>
        </w:rPr>
        <w:t>“[T]he fact that Mendiola violated department policy by not coming to a complete stop prior to entering the intersection is not evidence of recklessness. See Hudson, 179 S.W.3d at 700–01; see also City of Laredo v. Varela, No. 04-10-00619-CV, 2011 WL 1852439, *3–5 (Tex. App.—San Antonio May 11, 2011, no pet.) (</w:t>
      </w:r>
      <w:proofErr w:type="gramStart"/>
      <w:r w:rsidRPr="006D72FE">
        <w:rPr>
          <w:rFonts w:ascii="Times New Roman" w:hAnsi="Times New Roman"/>
          <w:sz w:val="24"/>
          <w:szCs w:val="24"/>
        </w:rPr>
        <w:t>mem</w:t>
      </w:r>
      <w:proofErr w:type="gramEnd"/>
      <w:r w:rsidRPr="006D72FE">
        <w:rPr>
          <w:rFonts w:ascii="Times New Roman" w:hAnsi="Times New Roman"/>
          <w:sz w:val="24"/>
          <w:szCs w:val="24"/>
        </w:rPr>
        <w:t>. op.) (holding that an officer’s failure to adhere to policy requiring emergency vehicles to come to complete stop did not raise fact issue as to whether officer acted with reckless disregard for the safety of others). We conclude that the undisputed facts do not demonstrate that Mendiola committed an act that he knew or should have known posed a high degree of risk of serious injury but did not care about the result.SeePerez,511 S.W.3d at 236.</w:t>
      </w:r>
      <w:r>
        <w:rPr>
          <w:rFonts w:ascii="Times New Roman" w:hAnsi="Times New Roman"/>
          <w:sz w:val="24"/>
          <w:szCs w:val="24"/>
        </w:rPr>
        <w:t xml:space="preserve"> </w:t>
      </w:r>
      <w:r w:rsidRPr="006D72FE">
        <w:rPr>
          <w:rFonts w:ascii="Times New Roman" w:hAnsi="Times New Roman"/>
          <w:sz w:val="24"/>
          <w:szCs w:val="24"/>
        </w:rPr>
        <w:t xml:space="preserve">Rather, by travelling at a speed below the speed limit, activating his siren and emergency lights and confirming that the cross-traffic was yielding, Mendiola was not acting with reckless disregard </w:t>
      </w:r>
      <w:proofErr w:type="gramStart"/>
      <w:r w:rsidRPr="006D72FE">
        <w:rPr>
          <w:rFonts w:ascii="Times New Roman" w:hAnsi="Times New Roman"/>
          <w:sz w:val="24"/>
          <w:szCs w:val="24"/>
        </w:rPr>
        <w:t>to</w:t>
      </w:r>
      <w:proofErr w:type="gramEnd"/>
      <w:r w:rsidRPr="006D72FE">
        <w:rPr>
          <w:rFonts w:ascii="Times New Roman" w:hAnsi="Times New Roman"/>
          <w:sz w:val="24"/>
          <w:szCs w:val="24"/>
        </w:rPr>
        <w:t xml:space="preserve"> others. Because the jurisdictional record fails to raise a fact issue regarding recklessness, the City retains its immunity from suit pursuant to the </w:t>
      </w:r>
      <w:r>
        <w:rPr>
          <w:rFonts w:ascii="Times New Roman" w:hAnsi="Times New Roman"/>
          <w:sz w:val="24"/>
          <w:szCs w:val="24"/>
        </w:rPr>
        <w:t>T</w:t>
      </w:r>
      <w:r w:rsidRPr="006D72FE">
        <w:rPr>
          <w:rFonts w:ascii="Times New Roman" w:hAnsi="Times New Roman"/>
          <w:sz w:val="24"/>
          <w:szCs w:val="24"/>
        </w:rPr>
        <w:t xml:space="preserve">TCA’s </w:t>
      </w:r>
      <w:r>
        <w:rPr>
          <w:rFonts w:ascii="Times New Roman" w:hAnsi="Times New Roman"/>
          <w:sz w:val="24"/>
          <w:szCs w:val="24"/>
        </w:rPr>
        <w:t xml:space="preserve">[Texas Tort Claims Act] </w:t>
      </w:r>
      <w:r w:rsidRPr="006D72FE">
        <w:rPr>
          <w:rFonts w:ascii="Times New Roman" w:hAnsi="Times New Roman"/>
          <w:sz w:val="24"/>
          <w:szCs w:val="24"/>
        </w:rPr>
        <w:t xml:space="preserve">emergency response </w:t>
      </w:r>
      <w:proofErr w:type="gramStart"/>
      <w:r w:rsidRPr="006D72FE">
        <w:rPr>
          <w:rFonts w:ascii="Times New Roman" w:hAnsi="Times New Roman"/>
          <w:sz w:val="24"/>
          <w:szCs w:val="24"/>
        </w:rPr>
        <w:t>exception.</w:t>
      </w:r>
      <w:r>
        <w:rPr>
          <w:rFonts w:ascii="Times New Roman" w:hAnsi="Times New Roman"/>
          <w:sz w:val="24"/>
          <w:szCs w:val="24"/>
        </w:rPr>
        <w:t>”</w:t>
      </w:r>
      <w:proofErr w:type="gramEnd"/>
      <w:r>
        <w:rPr>
          <w:rFonts w:ascii="Times New Roman" w:hAnsi="Times New Roman"/>
          <w:sz w:val="24"/>
          <w:szCs w:val="24"/>
        </w:rPr>
        <w:t xml:space="preserve"> </w:t>
      </w:r>
      <w:bookmarkStart w:id="200" w:name="_Hlk66946639"/>
      <w:r w:rsidR="00F00958">
        <w:fldChar w:fldCharType="begin"/>
      </w:r>
      <w:r w:rsidR="00F00958">
        <w:instrText xml:space="preserve"> HYPERLINK "https://www.txcourts.gov/media/1446920/13-19-00236-cv-city-of-kingsville-v-dominguez-memo-op.pdf" </w:instrText>
      </w:r>
      <w:r w:rsidR="00F00958">
        <w:fldChar w:fldCharType="separate"/>
      </w:r>
      <w:r w:rsidRPr="00DE6B93">
        <w:rPr>
          <w:rStyle w:val="Hyperlink"/>
          <w:rFonts w:ascii="Times New Roman" w:hAnsi="Times New Roman"/>
          <w:sz w:val="24"/>
          <w:szCs w:val="24"/>
        </w:rPr>
        <w:t>https://www.txcourts.gov/media/1446920/13-19-00236-cv-city-of-kingsville-v-dominguez-memo-op.pdf</w:t>
      </w:r>
      <w:r w:rsidR="00F00958">
        <w:rPr>
          <w:rStyle w:val="Hyperlink"/>
          <w:rFonts w:ascii="Times New Roman" w:hAnsi="Times New Roman"/>
          <w:sz w:val="24"/>
          <w:szCs w:val="24"/>
        </w:rPr>
        <w:fldChar w:fldCharType="end"/>
      </w:r>
    </w:p>
    <w:p w14:paraId="3930AD62" w14:textId="77777777" w:rsidR="00A672EE" w:rsidRPr="006D72FE" w:rsidRDefault="00A672EE" w:rsidP="00A672EE">
      <w:pPr>
        <w:pStyle w:val="NoSpacing"/>
        <w:rPr>
          <w:rFonts w:ascii="Times New Roman" w:hAnsi="Times New Roman"/>
          <w:b/>
          <w:bCs/>
          <w:sz w:val="24"/>
          <w:szCs w:val="24"/>
        </w:rPr>
      </w:pPr>
      <w:r w:rsidRPr="006D72FE">
        <w:rPr>
          <w:rFonts w:ascii="Times New Roman" w:hAnsi="Times New Roman"/>
          <w:b/>
          <w:bCs/>
          <w:sz w:val="24"/>
          <w:szCs w:val="24"/>
        </w:rPr>
        <w:t>Legal Lessons Learned:</w:t>
      </w:r>
      <w:r>
        <w:rPr>
          <w:rFonts w:ascii="Times New Roman" w:hAnsi="Times New Roman"/>
          <w:b/>
          <w:bCs/>
          <w:sz w:val="24"/>
          <w:szCs w:val="24"/>
        </w:rPr>
        <w:t xml:space="preserve"> FDs should consider including in their emergency vehicle policy those situations where one apparatus is following another through a controlled intersection. </w:t>
      </w:r>
    </w:p>
    <w:bookmarkEnd w:id="200"/>
    <w:p w14:paraId="12E93138" w14:textId="77777777" w:rsidR="00D94DC4" w:rsidRDefault="00D94DC4" w:rsidP="00EF1133">
      <w:pPr>
        <w:rPr>
          <w:rFonts w:ascii="Arial Black" w:hAnsi="Arial Black"/>
          <w:b/>
          <w:sz w:val="24"/>
          <w:szCs w:val="24"/>
        </w:rPr>
      </w:pPr>
    </w:p>
    <w:p w14:paraId="345AC58D" w14:textId="6D774043" w:rsidR="00D94DC4" w:rsidRDefault="00D94DC4" w:rsidP="00EF1133">
      <w:pPr>
        <w:rPr>
          <w:rFonts w:ascii="Arial Black" w:hAnsi="Arial Black"/>
          <w:b/>
          <w:sz w:val="24"/>
          <w:szCs w:val="24"/>
        </w:rPr>
      </w:pPr>
      <w:r>
        <w:rPr>
          <w:rFonts w:ascii="Arial Black" w:hAnsi="Arial Black"/>
          <w:b/>
          <w:sz w:val="24"/>
          <w:szCs w:val="24"/>
        </w:rPr>
        <w:t>5-12</w:t>
      </w:r>
    </w:p>
    <w:p w14:paraId="27084001" w14:textId="77777777" w:rsidR="00D94DC4" w:rsidRPr="008A7C9E" w:rsidRDefault="00D94DC4" w:rsidP="00D94DC4">
      <w:pPr>
        <w:spacing w:before="100" w:beforeAutospacing="1" w:after="100" w:afterAutospacing="1" w:line="240" w:lineRule="auto"/>
        <w:rPr>
          <w:rFonts w:ascii="Arial Black" w:eastAsia="Times New Roman" w:hAnsi="Arial Black"/>
          <w:b/>
          <w:bCs/>
          <w:sz w:val="28"/>
          <w:szCs w:val="28"/>
        </w:rPr>
      </w:pPr>
      <w:r w:rsidRPr="008A7C9E">
        <w:rPr>
          <w:rFonts w:ascii="Arial Black" w:eastAsia="Times New Roman" w:hAnsi="Arial Black"/>
          <w:b/>
          <w:bCs/>
          <w:sz w:val="28"/>
          <w:szCs w:val="28"/>
        </w:rPr>
        <w:t xml:space="preserve">TX: </w:t>
      </w:r>
      <w:r>
        <w:rPr>
          <w:rFonts w:ascii="Arial Black" w:eastAsia="Times New Roman" w:hAnsi="Arial Black"/>
          <w:b/>
          <w:bCs/>
          <w:sz w:val="28"/>
          <w:szCs w:val="28"/>
        </w:rPr>
        <w:t>MEMBER OF COMMUNITY. EMER. RESPONSE TEAM [CERT] - ILLEGALLY USING LIGHTS &amp; SIREN – CONVICTION CONFIRMED</w:t>
      </w:r>
    </w:p>
    <w:p w14:paraId="028C2FA6" w14:textId="77777777" w:rsidR="00D94DC4" w:rsidRDefault="00D94DC4" w:rsidP="00D94DC4">
      <w:pPr>
        <w:spacing w:before="100" w:beforeAutospacing="1" w:after="100" w:afterAutospacing="1" w:line="240" w:lineRule="auto"/>
        <w:rPr>
          <w:rFonts w:ascii="Times New Roman" w:hAnsi="Times New Roman"/>
          <w:sz w:val="24"/>
          <w:szCs w:val="24"/>
        </w:rPr>
      </w:pPr>
      <w:r w:rsidRPr="00726E26">
        <w:rPr>
          <w:rFonts w:ascii="Times New Roman" w:hAnsi="Times New Roman"/>
          <w:sz w:val="24"/>
          <w:szCs w:val="24"/>
        </w:rPr>
        <w:lastRenderedPageBreak/>
        <w:t xml:space="preserve">On April 14, 2020, in </w:t>
      </w:r>
      <w:r w:rsidRPr="00726E26">
        <w:rPr>
          <w:rFonts w:ascii="Times New Roman" w:hAnsi="Times New Roman"/>
          <w:sz w:val="24"/>
          <w:szCs w:val="24"/>
          <w:u w:val="single"/>
        </w:rPr>
        <w:t>Michael Thomas Paul v. State of Texas</w:t>
      </w:r>
      <w:r>
        <w:rPr>
          <w:rFonts w:ascii="Times New Roman" w:hAnsi="Times New Roman"/>
          <w:sz w:val="24"/>
          <w:szCs w:val="24"/>
        </w:rPr>
        <w:t xml:space="preserve">, the Court of Appeals, Seventh District of Texas at Amarillo, held (3 to 0) that defendant was properly convicted after a bench trial (not jury trial) of the </w:t>
      </w:r>
      <w:r w:rsidRPr="00726E26">
        <w:rPr>
          <w:rFonts w:ascii="Times New Roman" w:hAnsi="Times New Roman"/>
          <w:sz w:val="24"/>
          <w:szCs w:val="24"/>
        </w:rPr>
        <w:t>offense of impersonating a public servant, a third-degree felony.</w:t>
      </w:r>
      <w:r>
        <w:rPr>
          <w:rFonts w:ascii="Times New Roman" w:hAnsi="Times New Roman"/>
          <w:sz w:val="24"/>
          <w:szCs w:val="24"/>
        </w:rPr>
        <w:t xml:space="preserve"> </w:t>
      </w:r>
      <w:hyperlink r:id="rId1010" w:history="1">
        <w:r w:rsidRPr="00250842">
          <w:rPr>
            <w:rStyle w:val="Hyperlink"/>
            <w:sz w:val="24"/>
            <w:szCs w:val="24"/>
          </w:rPr>
          <w:t>https://cases.justia.com/texas/seventh-court-of-appeals/2020-07-19-00027-cr.pdf?ts=1586952945</w:t>
        </w:r>
      </w:hyperlink>
      <w:r>
        <w:rPr>
          <w:rFonts w:ascii="Times New Roman" w:hAnsi="Times New Roman"/>
          <w:sz w:val="24"/>
          <w:szCs w:val="24"/>
        </w:rPr>
        <w:t xml:space="preserve"> </w:t>
      </w:r>
    </w:p>
    <w:p w14:paraId="4DDACF54" w14:textId="77777777" w:rsidR="00D94DC4" w:rsidRDefault="00D94DC4" w:rsidP="00D94DC4">
      <w:pPr>
        <w:spacing w:before="100" w:beforeAutospacing="1" w:after="100" w:afterAutospacing="1" w:line="240" w:lineRule="auto"/>
        <w:jc w:val="both"/>
        <w:rPr>
          <w:rFonts w:ascii="Times New Roman" w:hAnsi="Times New Roman"/>
          <w:b/>
          <w:bCs/>
          <w:sz w:val="24"/>
          <w:szCs w:val="24"/>
        </w:rPr>
      </w:pPr>
      <w:r w:rsidRPr="00EC01F5">
        <w:rPr>
          <w:rFonts w:ascii="Times New Roman" w:hAnsi="Times New Roman"/>
          <w:b/>
          <w:bCs/>
          <w:sz w:val="24"/>
          <w:szCs w:val="24"/>
        </w:rPr>
        <w:t>Legal Lessons Learned:</w:t>
      </w:r>
      <w:r>
        <w:rPr>
          <w:rFonts w:ascii="Times New Roman" w:hAnsi="Times New Roman"/>
          <w:b/>
          <w:bCs/>
          <w:sz w:val="24"/>
          <w:szCs w:val="24"/>
        </w:rPr>
        <w:t xml:space="preserve"> Members of CERT Teams should be reminded they are not emergency responders, and use of emergency lights &amp; sirens can lead to conviction. </w:t>
      </w:r>
    </w:p>
    <w:p w14:paraId="5E50B962" w14:textId="77777777" w:rsidR="00D94DC4" w:rsidRPr="00EC01F5" w:rsidRDefault="00D94DC4" w:rsidP="00D94DC4">
      <w:pPr>
        <w:spacing w:before="100" w:beforeAutospacing="1" w:after="100" w:afterAutospacing="1" w:line="240" w:lineRule="auto"/>
        <w:ind w:left="720"/>
        <w:jc w:val="both"/>
        <w:rPr>
          <w:rFonts w:ascii="Times New Roman" w:hAnsi="Times New Roman"/>
          <w:sz w:val="24"/>
          <w:szCs w:val="24"/>
        </w:rPr>
      </w:pPr>
      <w:r w:rsidRPr="00EC01F5">
        <w:rPr>
          <w:rFonts w:ascii="Times New Roman" w:hAnsi="Times New Roman"/>
          <w:sz w:val="24"/>
          <w:szCs w:val="24"/>
        </w:rPr>
        <w:t xml:space="preserve">Note: Defendant </w:t>
      </w:r>
      <w:r>
        <w:rPr>
          <w:rFonts w:ascii="Times New Roman" w:hAnsi="Times New Roman"/>
          <w:sz w:val="24"/>
          <w:szCs w:val="24"/>
        </w:rPr>
        <w:t xml:space="preserve">was very fortunate to receive a suspended sentence and placed on probation for three years. </w:t>
      </w:r>
    </w:p>
    <w:p w14:paraId="2C06A724" w14:textId="71E33349" w:rsidR="00C9355B" w:rsidRDefault="00C9355B" w:rsidP="00EF1133">
      <w:pPr>
        <w:rPr>
          <w:rFonts w:ascii="Arial Black" w:hAnsi="Arial Black"/>
          <w:b/>
          <w:sz w:val="24"/>
          <w:szCs w:val="24"/>
        </w:rPr>
      </w:pPr>
      <w:r>
        <w:rPr>
          <w:rFonts w:ascii="Arial Black" w:hAnsi="Arial Black"/>
          <w:b/>
          <w:sz w:val="24"/>
          <w:szCs w:val="24"/>
        </w:rPr>
        <w:t>5-11</w:t>
      </w:r>
    </w:p>
    <w:p w14:paraId="60F8F100" w14:textId="77777777" w:rsidR="00C9355B" w:rsidRPr="005E0291" w:rsidRDefault="00C9355B" w:rsidP="00C9355B">
      <w:pPr>
        <w:spacing w:before="100" w:beforeAutospacing="1" w:after="100" w:afterAutospacing="1"/>
        <w:rPr>
          <w:rFonts w:ascii="Arial Black" w:eastAsia="Times New Roman" w:hAnsi="Arial Black"/>
          <w:b/>
          <w:sz w:val="28"/>
          <w:szCs w:val="28"/>
        </w:rPr>
      </w:pPr>
      <w:bookmarkStart w:id="201" w:name="_Hlk39763993"/>
      <w:r w:rsidRPr="005E0291">
        <w:rPr>
          <w:rFonts w:ascii="Arial Black" w:eastAsia="Times New Roman" w:hAnsi="Arial Black"/>
          <w:sz w:val="28"/>
          <w:szCs w:val="28"/>
        </w:rPr>
        <w:t xml:space="preserve">LA: </w:t>
      </w:r>
      <w:r>
        <w:rPr>
          <w:rFonts w:ascii="Arial Black" w:eastAsia="Times New Roman" w:hAnsi="Arial Black"/>
          <w:sz w:val="28"/>
          <w:szCs w:val="28"/>
        </w:rPr>
        <w:t xml:space="preserve"> ENGINE EMER. RUN – FROM LEFT LANE, MADE SHARP RIGHT TURN, COLLISION – GROSS NEGLIGENCE - NO IMMUNITY</w:t>
      </w:r>
    </w:p>
    <w:p w14:paraId="49427D51" w14:textId="77777777" w:rsidR="00C9355B" w:rsidRPr="009C4A80" w:rsidRDefault="00C9355B" w:rsidP="00C9355B">
      <w:pPr>
        <w:spacing w:before="100" w:beforeAutospacing="1" w:after="100" w:afterAutospacing="1"/>
        <w:rPr>
          <w:rFonts w:ascii="Times New Roman" w:eastAsia="Times New Roman" w:hAnsi="Times New Roman"/>
          <w:b/>
          <w:sz w:val="24"/>
          <w:szCs w:val="24"/>
        </w:rPr>
      </w:pPr>
      <w:r w:rsidRPr="009C4A80">
        <w:rPr>
          <w:rFonts w:ascii="Times New Roman" w:eastAsia="Times New Roman" w:hAnsi="Times New Roman"/>
          <w:sz w:val="24"/>
          <w:szCs w:val="24"/>
        </w:rPr>
        <w:t xml:space="preserve">On Jan. 8, 2020, in </w:t>
      </w:r>
      <w:r w:rsidRPr="009C4A80">
        <w:rPr>
          <w:rFonts w:ascii="Times New Roman" w:eastAsia="Times New Roman" w:hAnsi="Times New Roman"/>
          <w:sz w:val="24"/>
          <w:szCs w:val="24"/>
          <w:u w:val="single"/>
        </w:rPr>
        <w:t>Louis Ridgel v. Mitchell Chevalier, St. Bernard Parish Fire Department, et al</w:t>
      </w:r>
      <w:r w:rsidRPr="009C4A80">
        <w:rPr>
          <w:rFonts w:ascii="Times New Roman" w:eastAsia="Times New Roman" w:hAnsi="Times New Roman"/>
          <w:sz w:val="24"/>
          <w:szCs w:val="24"/>
        </w:rPr>
        <w:t xml:space="preserve">., the LA Court of Appeals, Fourth Circuit, held (3 to 0) that the trial judge properly found that the firefighter’s sharp right turn, even if had lights and sirens on, amounted to “gross negligence” and therefore the states’ immunity statute did not apply. </w:t>
      </w:r>
    </w:p>
    <w:p w14:paraId="0D3BF24F" w14:textId="16CE70FB" w:rsidR="00C9355B" w:rsidRPr="009C4A80" w:rsidRDefault="00C9355B" w:rsidP="009C4A80">
      <w:pPr>
        <w:ind w:left="720"/>
        <w:rPr>
          <w:rFonts w:ascii="Times New Roman" w:hAnsi="Times New Roman"/>
          <w:b/>
          <w:sz w:val="24"/>
          <w:szCs w:val="24"/>
        </w:rPr>
      </w:pPr>
      <w:r w:rsidRPr="009C4A80">
        <w:rPr>
          <w:rFonts w:ascii="Times New Roman" w:hAnsi="Times New Roman"/>
          <w:bCs/>
          <w:sz w:val="24"/>
          <w:szCs w:val="24"/>
        </w:rPr>
        <w:t xml:space="preserve">“The trial court found, however, that Mr. Chevalier [FF driver] should have kept a proper lookout for other motorists on the road, specifically because he was making a right turn from the left lane. Further, the trial court determined that the evidence showed that Mr. Chevalier intended to make a quick right turn from the left lane onto West Judge Perez </w:t>
      </w:r>
      <w:proofErr w:type="gramStart"/>
      <w:r w:rsidRPr="009C4A80">
        <w:rPr>
          <w:rFonts w:ascii="Times New Roman" w:hAnsi="Times New Roman"/>
          <w:bCs/>
          <w:sz w:val="24"/>
          <w:szCs w:val="24"/>
        </w:rPr>
        <w:t>Drive, but</w:t>
      </w:r>
      <w:proofErr w:type="gramEnd"/>
      <w:r w:rsidRPr="009C4A80">
        <w:rPr>
          <w:rFonts w:ascii="Times New Roman" w:hAnsi="Times New Roman"/>
          <w:bCs/>
          <w:sz w:val="24"/>
          <w:szCs w:val="24"/>
        </w:rPr>
        <w:t xml:space="preserve"> did not ensure it was safe to make that right turn. As such, the trial court determined that Mr. Chevalier’s actions constituted gross negligence despite the immunity established by La. R.S. 32:24. We agree.  </w:t>
      </w:r>
      <w:hyperlink r:id="rId1011" w:history="1">
        <w:r w:rsidRPr="009C4A80">
          <w:rPr>
            <w:rStyle w:val="Hyperlink"/>
            <w:rFonts w:ascii="Times New Roman" w:hAnsi="Times New Roman"/>
            <w:b/>
            <w:sz w:val="24"/>
            <w:szCs w:val="24"/>
          </w:rPr>
          <w:t>https://cases.justia.com/louisiana/fourth-circuit-court-of-appeal/2020-2019-ca-0250.pdf?ts=1578564502</w:t>
        </w:r>
      </w:hyperlink>
    </w:p>
    <w:p w14:paraId="5E2F24FC" w14:textId="77777777" w:rsidR="00C9355B" w:rsidRPr="009C4A80" w:rsidRDefault="00C9355B" w:rsidP="00C9355B">
      <w:pPr>
        <w:spacing w:before="100" w:beforeAutospacing="1" w:after="100" w:afterAutospacing="1"/>
        <w:rPr>
          <w:rFonts w:ascii="Times New Roman" w:hAnsi="Times New Roman"/>
          <w:b/>
          <w:bCs/>
          <w:sz w:val="24"/>
          <w:szCs w:val="24"/>
        </w:rPr>
      </w:pPr>
      <w:bookmarkStart w:id="202" w:name="_Hlk40510107"/>
      <w:bookmarkEnd w:id="201"/>
      <w:r w:rsidRPr="009C4A80">
        <w:rPr>
          <w:rFonts w:ascii="Times New Roman" w:hAnsi="Times New Roman"/>
          <w:b/>
          <w:bCs/>
          <w:sz w:val="24"/>
          <w:szCs w:val="24"/>
        </w:rPr>
        <w:t xml:space="preserve">Legal Lessons Learned:  Share these facts with your FD and discuss what steps could have been taken by both the FF driver and the </w:t>
      </w:r>
      <w:proofErr w:type="gramStart"/>
      <w:r w:rsidRPr="009C4A80">
        <w:rPr>
          <w:rFonts w:ascii="Times New Roman" w:hAnsi="Times New Roman"/>
          <w:b/>
          <w:bCs/>
          <w:sz w:val="24"/>
          <w:szCs w:val="24"/>
        </w:rPr>
        <w:t>Captain</w:t>
      </w:r>
      <w:proofErr w:type="gramEnd"/>
      <w:r w:rsidRPr="009C4A80">
        <w:rPr>
          <w:rFonts w:ascii="Times New Roman" w:hAnsi="Times New Roman"/>
          <w:b/>
          <w:bCs/>
          <w:sz w:val="24"/>
          <w:szCs w:val="24"/>
        </w:rPr>
        <w:t xml:space="preserve"> to avoid the collision.  FYI: the plaintiff claimed personal injury and was awarded total of $143,074 in damages.  </w:t>
      </w:r>
    </w:p>
    <w:bookmarkEnd w:id="202"/>
    <w:p w14:paraId="4A855BE8" w14:textId="7923C1DF" w:rsidR="00C9355B" w:rsidRPr="009C4A80" w:rsidRDefault="00C9355B" w:rsidP="00EF1133">
      <w:pPr>
        <w:rPr>
          <w:rFonts w:ascii="Times New Roman" w:hAnsi="Times New Roman"/>
          <w:b/>
          <w:sz w:val="24"/>
          <w:szCs w:val="24"/>
        </w:rPr>
      </w:pPr>
    </w:p>
    <w:p w14:paraId="6BD18C1C" w14:textId="77777777" w:rsidR="00C9355B" w:rsidRDefault="00C9355B" w:rsidP="00EF1133">
      <w:pPr>
        <w:rPr>
          <w:rFonts w:ascii="Arial Black" w:hAnsi="Arial Black"/>
          <w:b/>
          <w:sz w:val="24"/>
          <w:szCs w:val="24"/>
        </w:rPr>
      </w:pPr>
    </w:p>
    <w:p w14:paraId="70C69FEB" w14:textId="4A43F479" w:rsidR="00A06387" w:rsidRDefault="00A06387" w:rsidP="00EF1133">
      <w:pPr>
        <w:rPr>
          <w:rFonts w:ascii="Arial Black" w:hAnsi="Arial Black"/>
          <w:b/>
          <w:sz w:val="24"/>
          <w:szCs w:val="24"/>
        </w:rPr>
      </w:pPr>
      <w:r>
        <w:rPr>
          <w:rFonts w:ascii="Arial Black" w:hAnsi="Arial Black"/>
          <w:b/>
          <w:sz w:val="24"/>
          <w:szCs w:val="24"/>
        </w:rPr>
        <w:t>5-10</w:t>
      </w:r>
    </w:p>
    <w:p w14:paraId="203A74FE" w14:textId="77777777" w:rsidR="00A06387" w:rsidRDefault="00A06387" w:rsidP="00A06387">
      <w:pPr>
        <w:pStyle w:val="NoSpacing"/>
        <w:rPr>
          <w:rFonts w:ascii="Arial Black" w:hAnsi="Arial Black"/>
          <w:sz w:val="28"/>
          <w:szCs w:val="28"/>
        </w:rPr>
      </w:pPr>
      <w:r>
        <w:rPr>
          <w:rFonts w:ascii="Arial Black" w:hAnsi="Arial Black"/>
          <w:sz w:val="28"/>
          <w:szCs w:val="28"/>
        </w:rPr>
        <w:t xml:space="preserve">TX:  PD RESPONSE ROBBERY CALL – MVA – CONFLICTING REPORTS ON EMERENCY LIGHTS, LAWSUIT REINSTATED </w:t>
      </w:r>
    </w:p>
    <w:p w14:paraId="7DA6E9FE" w14:textId="77777777" w:rsidR="00A06387" w:rsidRDefault="00A06387" w:rsidP="00A06387">
      <w:pPr>
        <w:pStyle w:val="NoSpacing"/>
        <w:rPr>
          <w:rFonts w:ascii="Arial Black" w:hAnsi="Arial Black"/>
          <w:sz w:val="28"/>
          <w:szCs w:val="28"/>
        </w:rPr>
      </w:pPr>
    </w:p>
    <w:p w14:paraId="076BBE8C" w14:textId="77777777" w:rsidR="00A06387" w:rsidRPr="009C4A80" w:rsidRDefault="00A06387" w:rsidP="00A06387">
      <w:pPr>
        <w:pStyle w:val="NoSpacing"/>
        <w:rPr>
          <w:rFonts w:ascii="Times New Roman" w:hAnsi="Times New Roman"/>
          <w:b/>
          <w:bCs/>
          <w:sz w:val="24"/>
          <w:szCs w:val="24"/>
        </w:rPr>
      </w:pPr>
      <w:r w:rsidRPr="009C4A80">
        <w:rPr>
          <w:rFonts w:ascii="Times New Roman" w:hAnsi="Times New Roman"/>
          <w:bCs/>
          <w:sz w:val="24"/>
          <w:szCs w:val="24"/>
        </w:rPr>
        <w:t xml:space="preserve">On Oct. 29, 2019, in </w:t>
      </w:r>
      <w:r w:rsidRPr="009C4A80">
        <w:rPr>
          <w:rFonts w:ascii="Times New Roman" w:hAnsi="Times New Roman"/>
          <w:bCs/>
          <w:sz w:val="24"/>
          <w:szCs w:val="24"/>
          <w:u w:val="single"/>
        </w:rPr>
        <w:t>Marcia Gomez v. City of Houston</w:t>
      </w:r>
      <w:r w:rsidRPr="009C4A80">
        <w:rPr>
          <w:rFonts w:ascii="Times New Roman" w:hAnsi="Times New Roman"/>
          <w:bCs/>
          <w:sz w:val="24"/>
          <w:szCs w:val="24"/>
        </w:rPr>
        <w:t>, the Texas Fourteenth Court of Appeals held (</w:t>
      </w:r>
      <w:proofErr w:type="spellStart"/>
      <w:r w:rsidRPr="009C4A80">
        <w:rPr>
          <w:rFonts w:ascii="Times New Roman" w:hAnsi="Times New Roman"/>
          <w:bCs/>
          <w:sz w:val="24"/>
          <w:szCs w:val="24"/>
        </w:rPr>
        <w:t>en</w:t>
      </w:r>
      <w:proofErr w:type="spellEnd"/>
      <w:r w:rsidRPr="009C4A80">
        <w:rPr>
          <w:rFonts w:ascii="Times New Roman" w:hAnsi="Times New Roman"/>
          <w:bCs/>
          <w:sz w:val="24"/>
          <w:szCs w:val="24"/>
        </w:rPr>
        <w:t xml:space="preserve"> banc decision of all judges on court, vote of 6 to 3) held that the trial court improperly granted immunity to the City.  </w:t>
      </w:r>
    </w:p>
    <w:p w14:paraId="15AF2870" w14:textId="77777777" w:rsidR="00A06387" w:rsidRPr="009C4A80" w:rsidRDefault="00A06387" w:rsidP="00A06387">
      <w:pPr>
        <w:pStyle w:val="NoSpacing"/>
        <w:ind w:left="720"/>
        <w:rPr>
          <w:rFonts w:ascii="Times New Roman" w:hAnsi="Times New Roman"/>
          <w:sz w:val="24"/>
          <w:szCs w:val="24"/>
        </w:rPr>
      </w:pPr>
    </w:p>
    <w:p w14:paraId="7BAEFF84" w14:textId="5D3AF1D3" w:rsidR="00A06387" w:rsidRPr="009C4A80" w:rsidRDefault="00A06387" w:rsidP="00A06387">
      <w:pPr>
        <w:pStyle w:val="NoSpacing"/>
        <w:ind w:left="720"/>
        <w:rPr>
          <w:rFonts w:ascii="Times New Roman" w:hAnsi="Times New Roman"/>
          <w:b/>
          <w:bCs/>
          <w:sz w:val="24"/>
          <w:szCs w:val="24"/>
        </w:rPr>
      </w:pPr>
      <w:r w:rsidRPr="009C4A80">
        <w:rPr>
          <w:rFonts w:ascii="Times New Roman" w:hAnsi="Times New Roman"/>
          <w:sz w:val="24"/>
          <w:szCs w:val="24"/>
        </w:rPr>
        <w:lastRenderedPageBreak/>
        <w:t>“</w:t>
      </w:r>
      <w:r w:rsidRPr="009C4A80">
        <w:rPr>
          <w:rFonts w:ascii="Times New Roman" w:hAnsi="Times New Roman"/>
          <w:bCs/>
          <w:sz w:val="24"/>
          <w:szCs w:val="24"/>
        </w:rPr>
        <w:t xml:space="preserve">Thus, the City’s evidence of good faith assumes the truth of a disputed fact —that [Officer] Simmons was using his overhead emergency lights as he approached the </w:t>
      </w:r>
      <w:proofErr w:type="spellStart"/>
      <w:r w:rsidRPr="009C4A80">
        <w:rPr>
          <w:rFonts w:ascii="Times New Roman" w:hAnsi="Times New Roman"/>
          <w:bCs/>
          <w:sz w:val="24"/>
          <w:szCs w:val="24"/>
        </w:rPr>
        <w:t>Crosstimbers</w:t>
      </w:r>
      <w:proofErr w:type="spellEnd"/>
      <w:r w:rsidRPr="009C4A80">
        <w:rPr>
          <w:rFonts w:ascii="Times New Roman" w:hAnsi="Times New Roman"/>
          <w:bCs/>
          <w:sz w:val="24"/>
          <w:szCs w:val="24"/>
        </w:rPr>
        <w:t xml:space="preserve"> intersection. Simmons testified that he used overhead emergency lights continuously from the beginning of his response to the armed-robbery call, but the record contains other evidence that he did not do so. This evidence includes (1) [plaintiff] Gomez’s affidavit testimony that Simmons was not using his vehicle’s overhead emergency lights and (2) [Houston PD Accident Investigator Isaac] Jefferson’s PD accident  determination in his investigation report that Simmons was not using his vehicle’s overhead emergency lights before the collision.”  </w:t>
      </w:r>
    </w:p>
    <w:p w14:paraId="038D58F4" w14:textId="77777777" w:rsidR="00A06387" w:rsidRPr="009C4A80" w:rsidRDefault="00A06387" w:rsidP="00A06387">
      <w:pPr>
        <w:pStyle w:val="NoSpacing"/>
        <w:ind w:left="720"/>
        <w:rPr>
          <w:rFonts w:ascii="Times New Roman" w:hAnsi="Times New Roman"/>
          <w:b/>
          <w:bCs/>
          <w:sz w:val="24"/>
          <w:szCs w:val="24"/>
        </w:rPr>
      </w:pPr>
    </w:p>
    <w:p w14:paraId="609A2EA1" w14:textId="77777777" w:rsidR="00A06387" w:rsidRPr="009C4A80" w:rsidRDefault="00A06387" w:rsidP="00A06387">
      <w:pPr>
        <w:pStyle w:val="NoSpacing"/>
        <w:ind w:left="720"/>
        <w:rPr>
          <w:rFonts w:ascii="Times New Roman" w:hAnsi="Times New Roman"/>
          <w:b/>
          <w:bCs/>
          <w:sz w:val="24"/>
          <w:szCs w:val="24"/>
        </w:rPr>
      </w:pPr>
      <w:r w:rsidRPr="009C4A80">
        <w:rPr>
          <w:rFonts w:ascii="Times New Roman" w:hAnsi="Times New Roman"/>
          <w:bCs/>
          <w:sz w:val="24"/>
          <w:szCs w:val="24"/>
        </w:rPr>
        <w:t>***</w:t>
      </w:r>
    </w:p>
    <w:p w14:paraId="15FBB3DA" w14:textId="77777777" w:rsidR="00A06387" w:rsidRPr="009C4A80" w:rsidRDefault="00A06387" w:rsidP="00A06387">
      <w:pPr>
        <w:pStyle w:val="NoSpacing"/>
        <w:ind w:left="720"/>
        <w:rPr>
          <w:rFonts w:ascii="Times New Roman" w:hAnsi="Times New Roman"/>
          <w:b/>
          <w:bCs/>
          <w:sz w:val="24"/>
          <w:szCs w:val="24"/>
        </w:rPr>
      </w:pPr>
      <w:r w:rsidRPr="009C4A80">
        <w:rPr>
          <w:rFonts w:ascii="Times New Roman" w:hAnsi="Times New Roman"/>
          <w:bCs/>
          <w:sz w:val="24"/>
          <w:szCs w:val="24"/>
        </w:rPr>
        <w:t xml:space="preserve">The City did not conclusively establish Simmons’s good faith, and a material fact issue exists as to whether Simmons acted recklessly.3Therefore, we reverse the trial court’s judgment and remand the case to the trial court for further proceeding </w:t>
      </w:r>
      <w:proofErr w:type="gramStart"/>
      <w:r w:rsidRPr="009C4A80">
        <w:rPr>
          <w:rFonts w:ascii="Times New Roman" w:hAnsi="Times New Roman"/>
          <w:bCs/>
          <w:sz w:val="24"/>
          <w:szCs w:val="24"/>
        </w:rPr>
        <w:t>consistent</w:t>
      </w:r>
      <w:proofErr w:type="gramEnd"/>
      <w:r w:rsidRPr="009C4A80">
        <w:rPr>
          <w:rFonts w:ascii="Times New Roman" w:hAnsi="Times New Roman"/>
          <w:bCs/>
          <w:sz w:val="24"/>
          <w:szCs w:val="24"/>
        </w:rPr>
        <w:t xml:space="preserve"> with this opinion.</w:t>
      </w:r>
    </w:p>
    <w:p w14:paraId="742F721B" w14:textId="77777777" w:rsidR="00A06387" w:rsidRPr="009C4A80" w:rsidRDefault="00A06387" w:rsidP="00A06387">
      <w:pPr>
        <w:pStyle w:val="NoSpacing"/>
        <w:ind w:left="720"/>
        <w:rPr>
          <w:rFonts w:ascii="Times New Roman" w:hAnsi="Times New Roman"/>
          <w:b/>
          <w:bCs/>
          <w:sz w:val="24"/>
          <w:szCs w:val="24"/>
        </w:rPr>
      </w:pPr>
      <w:hyperlink r:id="rId1012" w:history="1">
        <w:r w:rsidRPr="009C4A80">
          <w:rPr>
            <w:rStyle w:val="Hyperlink"/>
            <w:rFonts w:ascii="Times New Roman" w:hAnsi="Times New Roman"/>
            <w:bCs/>
            <w:sz w:val="24"/>
            <w:szCs w:val="24"/>
          </w:rPr>
          <w:t>https://cases.justia.com/texas/fourteenth-court-of-appeals/2019-14-17-00811-cv.pdf?ts=1572351542</w:t>
        </w:r>
      </w:hyperlink>
      <w:r w:rsidRPr="009C4A80">
        <w:rPr>
          <w:rFonts w:ascii="Times New Roman" w:hAnsi="Times New Roman"/>
          <w:bCs/>
          <w:sz w:val="24"/>
          <w:szCs w:val="24"/>
        </w:rPr>
        <w:t xml:space="preserve"> </w:t>
      </w:r>
    </w:p>
    <w:p w14:paraId="5B3973B0" w14:textId="77777777" w:rsidR="00A06387" w:rsidRPr="009C4A80" w:rsidRDefault="00A06387" w:rsidP="00A06387">
      <w:pPr>
        <w:pStyle w:val="NoSpacing"/>
        <w:ind w:left="720"/>
        <w:rPr>
          <w:rFonts w:ascii="Times New Roman" w:hAnsi="Times New Roman"/>
          <w:b/>
          <w:bCs/>
          <w:sz w:val="24"/>
          <w:szCs w:val="24"/>
        </w:rPr>
      </w:pPr>
      <w:r w:rsidRPr="009C4A80">
        <w:rPr>
          <w:rFonts w:ascii="Times New Roman" w:hAnsi="Times New Roman"/>
          <w:bCs/>
          <w:sz w:val="24"/>
          <w:szCs w:val="24"/>
        </w:rPr>
        <w:t xml:space="preserve"> </w:t>
      </w:r>
    </w:p>
    <w:p w14:paraId="22C8999F" w14:textId="77777777" w:rsidR="00A06387" w:rsidRPr="009C4A80" w:rsidRDefault="00A06387" w:rsidP="00A06387">
      <w:pPr>
        <w:pStyle w:val="NoSpacing"/>
        <w:rPr>
          <w:rFonts w:ascii="Times New Roman" w:hAnsi="Times New Roman"/>
          <w:b/>
          <w:bCs/>
          <w:sz w:val="24"/>
          <w:szCs w:val="24"/>
        </w:rPr>
      </w:pPr>
      <w:r w:rsidRPr="009C4A80">
        <w:rPr>
          <w:rFonts w:ascii="Times New Roman" w:hAnsi="Times New Roman"/>
          <w:b/>
          <w:bCs/>
          <w:sz w:val="24"/>
          <w:szCs w:val="24"/>
        </w:rPr>
        <w:t>Legal Lessons Learned:  Emergency response when lights &amp; siren not used, extreme care must be exercised to prove you drove with “due regard” for the safety of others</w:t>
      </w:r>
      <w:r w:rsidRPr="009C4A80">
        <w:rPr>
          <w:rFonts w:ascii="Times New Roman" w:hAnsi="Times New Roman"/>
          <w:sz w:val="24"/>
          <w:szCs w:val="24"/>
        </w:rPr>
        <w:t xml:space="preserve">. </w:t>
      </w:r>
      <w:r w:rsidRPr="009C4A80">
        <w:rPr>
          <w:rFonts w:ascii="Times New Roman" w:hAnsi="Times New Roman"/>
          <w:bCs/>
          <w:sz w:val="24"/>
          <w:szCs w:val="24"/>
        </w:rPr>
        <w:t xml:space="preserve">For example, Ohio Revised Code 4511.03, Emergency Vehicles At Red Signal Or Stop Sign, provides:  “(A) The driver of any emergency vehicle or public safety vehicle, when responding to an emergency call, upon approaching a red or stop signal or any stop sign shall slow down as necessary for safety to traffic, but may proceed cautiously past such red or stop sign or signal with due regard for the safety of all persons using the street or highway.” </w:t>
      </w:r>
      <w:hyperlink r:id="rId1013" w:history="1">
        <w:r w:rsidRPr="009C4A80">
          <w:rPr>
            <w:rStyle w:val="Hyperlink"/>
            <w:rFonts w:ascii="Times New Roman" w:hAnsi="Times New Roman"/>
            <w:bCs/>
            <w:sz w:val="24"/>
            <w:szCs w:val="24"/>
          </w:rPr>
          <w:t>http://codes.ohio.gov/orc/4511.03v1</w:t>
        </w:r>
      </w:hyperlink>
      <w:r w:rsidRPr="009C4A80">
        <w:rPr>
          <w:rFonts w:ascii="Times New Roman" w:hAnsi="Times New Roman"/>
          <w:bCs/>
          <w:sz w:val="24"/>
          <w:szCs w:val="24"/>
        </w:rPr>
        <w:t xml:space="preserve"> </w:t>
      </w:r>
    </w:p>
    <w:p w14:paraId="19C11B21" w14:textId="255D36C4" w:rsidR="00A06387" w:rsidRPr="009C4A80" w:rsidRDefault="00A06387" w:rsidP="00EF1133">
      <w:pPr>
        <w:rPr>
          <w:rFonts w:ascii="Times New Roman" w:hAnsi="Times New Roman"/>
          <w:b/>
          <w:sz w:val="24"/>
          <w:szCs w:val="24"/>
        </w:rPr>
      </w:pPr>
    </w:p>
    <w:p w14:paraId="7351F4B7" w14:textId="77777777" w:rsidR="00A06387" w:rsidRDefault="00A06387" w:rsidP="00EF1133">
      <w:pPr>
        <w:rPr>
          <w:rFonts w:ascii="Arial Black" w:hAnsi="Arial Black"/>
          <w:b/>
          <w:sz w:val="24"/>
          <w:szCs w:val="24"/>
        </w:rPr>
      </w:pPr>
    </w:p>
    <w:p w14:paraId="120A335C" w14:textId="77777777" w:rsidR="00A06387" w:rsidRDefault="00A06387" w:rsidP="00EF1133">
      <w:pPr>
        <w:rPr>
          <w:rFonts w:ascii="Arial Black" w:hAnsi="Arial Black"/>
          <w:b/>
          <w:sz w:val="24"/>
          <w:szCs w:val="24"/>
        </w:rPr>
      </w:pPr>
    </w:p>
    <w:p w14:paraId="58D952EB" w14:textId="2A261541" w:rsidR="009F0F05" w:rsidRDefault="009F0F05" w:rsidP="00EF1133">
      <w:pPr>
        <w:rPr>
          <w:rFonts w:ascii="Arial Black" w:hAnsi="Arial Black"/>
          <w:b/>
          <w:sz w:val="24"/>
          <w:szCs w:val="24"/>
        </w:rPr>
      </w:pPr>
      <w:r>
        <w:rPr>
          <w:rFonts w:ascii="Arial Black" w:hAnsi="Arial Black"/>
          <w:b/>
          <w:sz w:val="24"/>
          <w:szCs w:val="24"/>
        </w:rPr>
        <w:t>5-9</w:t>
      </w:r>
    </w:p>
    <w:p w14:paraId="6F8A33AD" w14:textId="77777777" w:rsidR="009F0F05" w:rsidRPr="003D7FE9" w:rsidRDefault="009F0F05" w:rsidP="009F0F05">
      <w:pPr>
        <w:rPr>
          <w:rFonts w:ascii="Arial Black" w:hAnsi="Arial Black"/>
          <w:sz w:val="28"/>
          <w:szCs w:val="28"/>
        </w:rPr>
      </w:pPr>
      <w:bookmarkStart w:id="203" w:name="_Hlk39764089"/>
      <w:r w:rsidRPr="003D7FE9">
        <w:rPr>
          <w:rFonts w:ascii="Arial Black" w:hAnsi="Arial Black"/>
          <w:sz w:val="28"/>
          <w:szCs w:val="28"/>
        </w:rPr>
        <w:t xml:space="preserve">NY: </w:t>
      </w:r>
      <w:r>
        <w:rPr>
          <w:rFonts w:ascii="Arial Black" w:hAnsi="Arial Black"/>
          <w:sz w:val="28"/>
          <w:szCs w:val="28"/>
        </w:rPr>
        <w:t xml:space="preserve">VOL. FF INJURED ENGINE ROLLED OVER – CAN NOT SUE VOL. DRIVER OR FD - NO PROOF WILLFUL NEGLIGENCE </w:t>
      </w:r>
    </w:p>
    <w:p w14:paraId="23ED54A8" w14:textId="2D0DE6E4" w:rsidR="009F0F05" w:rsidRPr="006756B6" w:rsidRDefault="009F0F05" w:rsidP="009F0F05">
      <w:pPr>
        <w:rPr>
          <w:rFonts w:ascii="Times New Roman" w:hAnsi="Times New Roman"/>
          <w:sz w:val="24"/>
          <w:szCs w:val="24"/>
        </w:rPr>
      </w:pPr>
      <w:r w:rsidRPr="006756B6">
        <w:rPr>
          <w:rFonts w:ascii="Times New Roman" w:hAnsi="Times New Roman"/>
          <w:sz w:val="24"/>
          <w:szCs w:val="24"/>
        </w:rPr>
        <w:t xml:space="preserve">On </w:t>
      </w:r>
      <w:bookmarkStart w:id="204" w:name="_Hlk39836866"/>
      <w:r w:rsidRPr="006756B6">
        <w:rPr>
          <w:rFonts w:ascii="Times New Roman" w:hAnsi="Times New Roman"/>
          <w:sz w:val="24"/>
          <w:szCs w:val="24"/>
        </w:rPr>
        <w:t xml:space="preserve">Aug. 13, 2019, in </w:t>
      </w:r>
      <w:r w:rsidRPr="006756B6">
        <w:rPr>
          <w:rFonts w:ascii="Times New Roman" w:hAnsi="Times New Roman"/>
          <w:sz w:val="24"/>
          <w:szCs w:val="24"/>
          <w:u w:val="single"/>
        </w:rPr>
        <w:t xml:space="preserve">Robert E. Lee v. Kyle M. Verstraete and </w:t>
      </w:r>
      <w:proofErr w:type="spellStart"/>
      <w:r w:rsidRPr="006756B6">
        <w:rPr>
          <w:rFonts w:ascii="Times New Roman" w:hAnsi="Times New Roman"/>
          <w:sz w:val="24"/>
          <w:szCs w:val="24"/>
          <w:u w:val="single"/>
        </w:rPr>
        <w:t>Marbletown</w:t>
      </w:r>
      <w:proofErr w:type="spellEnd"/>
      <w:r w:rsidRPr="006756B6">
        <w:rPr>
          <w:rFonts w:ascii="Times New Roman" w:hAnsi="Times New Roman"/>
          <w:sz w:val="24"/>
          <w:szCs w:val="24"/>
          <w:u w:val="single"/>
        </w:rPr>
        <w:t xml:space="preserve"> Volunteer Fire Department, Inc, et a</w:t>
      </w:r>
      <w:r w:rsidRPr="006756B6">
        <w:rPr>
          <w:rFonts w:ascii="Times New Roman" w:hAnsi="Times New Roman"/>
          <w:sz w:val="24"/>
          <w:szCs w:val="24"/>
        </w:rPr>
        <w:t>l</w:t>
      </w:r>
      <w:bookmarkEnd w:id="204"/>
      <w:r w:rsidRPr="006756B6">
        <w:rPr>
          <w:rFonts w:ascii="Times New Roman" w:hAnsi="Times New Roman"/>
          <w:sz w:val="24"/>
          <w:szCs w:val="24"/>
        </w:rPr>
        <w:t xml:space="preserve">., Superior Court, Wayne County, 2019 NY Slip Op 29270 (N.Y. Sup. Ct., 2019), Acting Supreme Court Justice John B. Nesbitt granted defense motion to dismiss.  </w:t>
      </w:r>
    </w:p>
    <w:p w14:paraId="4E8930A3" w14:textId="628EAE52" w:rsidR="00DC51D4" w:rsidRPr="006756B6" w:rsidRDefault="009F0F05" w:rsidP="00DC51D4">
      <w:pPr>
        <w:ind w:left="720"/>
        <w:rPr>
          <w:rFonts w:ascii="Times New Roman" w:hAnsi="Times New Roman"/>
          <w:sz w:val="24"/>
          <w:szCs w:val="24"/>
        </w:rPr>
      </w:pPr>
      <w:r w:rsidRPr="006756B6">
        <w:rPr>
          <w:rFonts w:ascii="Times New Roman" w:hAnsi="Times New Roman"/>
          <w:sz w:val="24"/>
          <w:szCs w:val="24"/>
        </w:rPr>
        <w:t xml:space="preserve">“After long thought and careful analysis, the Court grants both </w:t>
      </w:r>
      <w:proofErr w:type="gramStart"/>
      <w:r w:rsidRPr="006756B6">
        <w:rPr>
          <w:rFonts w:ascii="Times New Roman" w:hAnsi="Times New Roman"/>
          <w:sz w:val="24"/>
          <w:szCs w:val="24"/>
        </w:rPr>
        <w:t>defendants</w:t>
      </w:r>
      <w:proofErr w:type="gramEnd"/>
      <w:r w:rsidR="00DC51D4">
        <w:rPr>
          <w:rFonts w:ascii="Times New Roman" w:hAnsi="Times New Roman"/>
          <w:sz w:val="24"/>
          <w:szCs w:val="24"/>
        </w:rPr>
        <w:t xml:space="preserve"> </w:t>
      </w:r>
      <w:r w:rsidRPr="006756B6">
        <w:rPr>
          <w:rFonts w:ascii="Times New Roman" w:hAnsi="Times New Roman"/>
          <w:sz w:val="24"/>
          <w:szCs w:val="24"/>
        </w:rPr>
        <w:t>motions for judgment dismissing the complaint and denying plaintiff's motion to amend the same. First, the Court finds, as a matter of law, upon the papers submitted, that plaintiff fails to demonstrate a triable issue whether the conduct of Kyle Verstraete constituted willful negligence or malfeasance.”</w:t>
      </w:r>
      <w:r w:rsidR="00DC51D4">
        <w:rPr>
          <w:rFonts w:ascii="Times New Roman" w:hAnsi="Times New Roman"/>
          <w:sz w:val="24"/>
          <w:szCs w:val="24"/>
        </w:rPr>
        <w:t xml:space="preserve">  </w:t>
      </w:r>
      <w:bookmarkStart w:id="205" w:name="_Hlk39836885"/>
      <w:r w:rsidR="00DC51D4">
        <w:fldChar w:fldCharType="begin"/>
      </w:r>
      <w:r w:rsidR="00DC51D4">
        <w:instrText xml:space="preserve"> HYPERLINK "https://law.justia.com/cases/new-york/other-courts/2019/2019-ny-slip-op-29270.html" </w:instrText>
      </w:r>
      <w:r w:rsidR="00DC51D4">
        <w:fldChar w:fldCharType="separate"/>
      </w:r>
      <w:r w:rsidR="00DC51D4" w:rsidRPr="006756B6">
        <w:rPr>
          <w:rStyle w:val="Hyperlink"/>
          <w:rFonts w:ascii="Times New Roman" w:hAnsi="Times New Roman"/>
          <w:sz w:val="24"/>
          <w:szCs w:val="24"/>
        </w:rPr>
        <w:t>https://law.justia.com/cases/new-york/other-courts/2019/2019-ny-slip-op-29270.html</w:t>
      </w:r>
      <w:r w:rsidR="00DC51D4">
        <w:rPr>
          <w:rStyle w:val="Hyperlink"/>
          <w:rFonts w:ascii="Times New Roman" w:hAnsi="Times New Roman"/>
          <w:sz w:val="24"/>
          <w:szCs w:val="24"/>
        </w:rPr>
        <w:fldChar w:fldCharType="end"/>
      </w:r>
      <w:r w:rsidR="00DC51D4" w:rsidRPr="006756B6">
        <w:rPr>
          <w:rFonts w:ascii="Times New Roman" w:hAnsi="Times New Roman"/>
          <w:sz w:val="24"/>
          <w:szCs w:val="24"/>
        </w:rPr>
        <w:t xml:space="preserve"> </w:t>
      </w:r>
    </w:p>
    <w:bookmarkEnd w:id="205"/>
    <w:p w14:paraId="62D57E95" w14:textId="001BB76F" w:rsidR="009F0F05" w:rsidRPr="006756B6" w:rsidRDefault="009F0F05" w:rsidP="009F0F05">
      <w:pPr>
        <w:ind w:left="720"/>
        <w:rPr>
          <w:rFonts w:ascii="Times New Roman" w:hAnsi="Times New Roman"/>
          <w:sz w:val="24"/>
          <w:szCs w:val="24"/>
        </w:rPr>
      </w:pPr>
    </w:p>
    <w:bookmarkEnd w:id="203"/>
    <w:p w14:paraId="694A62E5" w14:textId="640BABF1" w:rsidR="009F0F05" w:rsidRDefault="009F0F05" w:rsidP="009F0F05">
      <w:pPr>
        <w:pStyle w:val="NoSpacing"/>
        <w:rPr>
          <w:rFonts w:ascii="Times New Roman" w:hAnsi="Times New Roman"/>
          <w:b/>
          <w:bCs/>
          <w:sz w:val="24"/>
          <w:szCs w:val="24"/>
        </w:rPr>
      </w:pPr>
      <w:r>
        <w:rPr>
          <w:rFonts w:ascii="Times New Roman" w:hAnsi="Times New Roman"/>
          <w:b/>
          <w:bCs/>
          <w:sz w:val="24"/>
          <w:szCs w:val="24"/>
        </w:rPr>
        <w:t xml:space="preserve">Legal Lessons Learned: The injured volunteer firefighter’s only remedy is workers comp.  </w:t>
      </w:r>
      <w:proofErr w:type="gramStart"/>
      <w:r>
        <w:rPr>
          <w:rFonts w:ascii="Times New Roman" w:hAnsi="Times New Roman"/>
          <w:b/>
          <w:bCs/>
          <w:sz w:val="24"/>
          <w:szCs w:val="24"/>
        </w:rPr>
        <w:t>Other</w:t>
      </w:r>
      <w:proofErr w:type="gramEnd"/>
      <w:r>
        <w:rPr>
          <w:rFonts w:ascii="Times New Roman" w:hAnsi="Times New Roman"/>
          <w:b/>
          <w:bCs/>
          <w:sz w:val="24"/>
          <w:szCs w:val="24"/>
        </w:rPr>
        <w:t xml:space="preserve"> lesson - wear your seat belt.</w:t>
      </w:r>
    </w:p>
    <w:p w14:paraId="2ED036E9" w14:textId="04D753E0" w:rsidR="00E26EA8" w:rsidRDefault="00E26EA8" w:rsidP="009F0F05">
      <w:pPr>
        <w:pStyle w:val="NoSpacing"/>
        <w:rPr>
          <w:rFonts w:ascii="Times New Roman" w:hAnsi="Times New Roman"/>
          <w:b/>
          <w:bCs/>
          <w:sz w:val="24"/>
          <w:szCs w:val="24"/>
        </w:rPr>
      </w:pPr>
    </w:p>
    <w:p w14:paraId="659533B1" w14:textId="092AC4E6" w:rsidR="009F0F05" w:rsidRPr="00715CF2" w:rsidRDefault="009F0F05" w:rsidP="00EF1133">
      <w:pPr>
        <w:rPr>
          <w:rFonts w:ascii="Times New Roman" w:hAnsi="Times New Roman"/>
          <w:bCs/>
          <w:sz w:val="24"/>
          <w:szCs w:val="24"/>
        </w:rPr>
      </w:pPr>
    </w:p>
    <w:p w14:paraId="091455C7" w14:textId="77777777" w:rsidR="00715CF2" w:rsidRDefault="00715CF2" w:rsidP="00EF1133">
      <w:pPr>
        <w:rPr>
          <w:rFonts w:ascii="Arial Black" w:hAnsi="Arial Black"/>
          <w:b/>
          <w:sz w:val="24"/>
          <w:szCs w:val="24"/>
        </w:rPr>
      </w:pPr>
    </w:p>
    <w:p w14:paraId="5990C83D" w14:textId="6C2B7BBF" w:rsidR="009F0F05" w:rsidRDefault="009F0F05" w:rsidP="00EF1133">
      <w:pPr>
        <w:rPr>
          <w:rFonts w:ascii="Arial Black" w:hAnsi="Arial Black"/>
          <w:b/>
          <w:sz w:val="24"/>
          <w:szCs w:val="24"/>
        </w:rPr>
      </w:pPr>
      <w:r>
        <w:rPr>
          <w:rFonts w:ascii="Arial Black" w:hAnsi="Arial Black"/>
          <w:b/>
          <w:sz w:val="24"/>
          <w:szCs w:val="24"/>
        </w:rPr>
        <w:t>5-8</w:t>
      </w:r>
    </w:p>
    <w:p w14:paraId="092F8E23" w14:textId="77777777" w:rsidR="009F0F05" w:rsidRDefault="009F0F05" w:rsidP="009F0F05">
      <w:pPr>
        <w:rPr>
          <w:rFonts w:ascii="Arial Black" w:hAnsi="Arial Black"/>
          <w:sz w:val="28"/>
          <w:szCs w:val="28"/>
        </w:rPr>
      </w:pPr>
      <w:bookmarkStart w:id="206" w:name="_Hlk39764142"/>
      <w:r w:rsidRPr="00D803B2">
        <w:rPr>
          <w:rFonts w:ascii="Arial Black" w:hAnsi="Arial Black"/>
          <w:sz w:val="28"/>
          <w:szCs w:val="28"/>
        </w:rPr>
        <w:t xml:space="preserve">IL: </w:t>
      </w:r>
      <w:r>
        <w:rPr>
          <w:rFonts w:ascii="Arial Black" w:hAnsi="Arial Black"/>
          <w:sz w:val="28"/>
          <w:szCs w:val="28"/>
        </w:rPr>
        <w:t xml:space="preserve"> PATIENT INJURED AMBULANCE CRASH - 65 MPH WET HWY – PARAMEDIC REPRIMANDED - QUALIFIED IMMUNITY  </w:t>
      </w:r>
    </w:p>
    <w:p w14:paraId="61A2AF96" w14:textId="71F3EEFE" w:rsidR="009F0F05" w:rsidRDefault="009F0F05" w:rsidP="009F0F05">
      <w:r w:rsidRPr="004112C3">
        <w:rPr>
          <w:rFonts w:ascii="Times New Roman" w:hAnsi="Times New Roman"/>
          <w:sz w:val="24"/>
          <w:szCs w:val="24"/>
        </w:rPr>
        <w:t>On</w:t>
      </w:r>
      <w:r>
        <w:rPr>
          <w:rFonts w:ascii="Times New Roman" w:hAnsi="Times New Roman"/>
          <w:sz w:val="24"/>
          <w:szCs w:val="24"/>
        </w:rPr>
        <w:t xml:space="preserve"> Aug. 6, 2019, in </w:t>
      </w:r>
      <w:r w:rsidRPr="0030048E">
        <w:rPr>
          <w:rFonts w:ascii="Times New Roman" w:hAnsi="Times New Roman"/>
          <w:sz w:val="24"/>
          <w:szCs w:val="24"/>
          <w:u w:val="single"/>
        </w:rPr>
        <w:t>Jeremy Hicks and Isaiah Sampson (a minor) v. City of Fallon, et al.</w:t>
      </w:r>
      <w:r>
        <w:rPr>
          <w:rFonts w:ascii="Times New Roman" w:hAnsi="Times New Roman"/>
          <w:sz w:val="24"/>
          <w:szCs w:val="24"/>
        </w:rPr>
        <w:t xml:space="preserve">, </w:t>
      </w:r>
      <w:r w:rsidRPr="00A84C9A">
        <w:rPr>
          <w:rFonts w:ascii="Times New Roman" w:hAnsi="Times New Roman"/>
          <w:sz w:val="24"/>
          <w:szCs w:val="24"/>
        </w:rPr>
        <w:t xml:space="preserve">2019 Ill. App. 5th 180397, the Appellate Court of Illinois, Fifth District, held (3 to 0) that the trial court properly granted summary judgment to the </w:t>
      </w:r>
      <w:proofErr w:type="gramStart"/>
      <w:r w:rsidRPr="00A84C9A">
        <w:rPr>
          <w:rFonts w:ascii="Times New Roman" w:hAnsi="Times New Roman"/>
          <w:sz w:val="24"/>
          <w:szCs w:val="24"/>
        </w:rPr>
        <w:t>City</w:t>
      </w:r>
      <w:proofErr w:type="gramEnd"/>
      <w:r w:rsidRPr="00A84C9A">
        <w:rPr>
          <w:rFonts w:ascii="Times New Roman" w:hAnsi="Times New Roman"/>
          <w:sz w:val="24"/>
          <w:szCs w:val="24"/>
        </w:rPr>
        <w:t xml:space="preserve"> and the EMS personnel. </w:t>
      </w:r>
      <w:r w:rsidR="00AA589C">
        <w:rPr>
          <w:rFonts w:ascii="Times New Roman" w:hAnsi="Times New Roman"/>
          <w:sz w:val="24"/>
          <w:szCs w:val="24"/>
        </w:rPr>
        <w:t xml:space="preserve"> </w:t>
      </w:r>
      <w:bookmarkStart w:id="207" w:name="_Hlk39766010"/>
      <w:bookmarkEnd w:id="206"/>
      <w:r>
        <w:rPr>
          <w:rFonts w:ascii="Times New Roman" w:hAnsi="Times New Roman"/>
          <w:sz w:val="24"/>
          <w:szCs w:val="24"/>
        </w:rPr>
        <w:t xml:space="preserve">Justice Barberis wrote: </w:t>
      </w:r>
    </w:p>
    <w:p w14:paraId="27549F51" w14:textId="77777777" w:rsidR="00A84C9A" w:rsidRPr="00A84C9A" w:rsidRDefault="009F0F05" w:rsidP="00A84C9A">
      <w:pPr>
        <w:ind w:left="720"/>
        <w:rPr>
          <w:rFonts w:ascii="Times New Roman" w:hAnsi="Times New Roman"/>
          <w:sz w:val="24"/>
          <w:szCs w:val="24"/>
        </w:rPr>
      </w:pPr>
      <w:r>
        <w:rPr>
          <w:rFonts w:ascii="Times New Roman" w:hAnsi="Times New Roman"/>
          <w:sz w:val="24"/>
          <w:szCs w:val="24"/>
        </w:rPr>
        <w:t>“[P]</w:t>
      </w:r>
      <w:proofErr w:type="spellStart"/>
      <w:r w:rsidRPr="00086296">
        <w:rPr>
          <w:rFonts w:ascii="Times New Roman" w:hAnsi="Times New Roman"/>
          <w:sz w:val="24"/>
          <w:szCs w:val="24"/>
        </w:rPr>
        <w:t>laintiffs</w:t>
      </w:r>
      <w:proofErr w:type="spellEnd"/>
      <w:r w:rsidRPr="00086296">
        <w:rPr>
          <w:rFonts w:ascii="Times New Roman" w:hAnsi="Times New Roman"/>
          <w:sz w:val="24"/>
          <w:szCs w:val="24"/>
        </w:rPr>
        <w:t xml:space="preserve"> argue that Sill's</w:t>
      </w:r>
      <w:r>
        <w:rPr>
          <w:rFonts w:ascii="Times New Roman" w:hAnsi="Times New Roman"/>
          <w:sz w:val="24"/>
          <w:szCs w:val="24"/>
        </w:rPr>
        <w:t xml:space="preserve"> {paramedic] </w:t>
      </w:r>
      <w:r w:rsidRPr="00086296">
        <w:rPr>
          <w:rFonts w:ascii="Times New Roman" w:hAnsi="Times New Roman"/>
          <w:sz w:val="24"/>
          <w:szCs w:val="24"/>
        </w:rPr>
        <w:t xml:space="preserve">failure to operate the ambulance at a speed below the speed limit violated the City's policies and procedures, per Wild's deposition testimony, that required an ambulance to be operated slower in adverse conditions than it might be otherwise be operated in </w:t>
      </w:r>
      <w:proofErr w:type="spellStart"/>
      <w:r w:rsidRPr="00086296">
        <w:rPr>
          <w:rFonts w:ascii="Times New Roman" w:hAnsi="Times New Roman"/>
          <w:sz w:val="24"/>
          <w:szCs w:val="24"/>
        </w:rPr>
        <w:t>nonadverse</w:t>
      </w:r>
      <w:proofErr w:type="spellEnd"/>
      <w:r w:rsidRPr="00086296">
        <w:rPr>
          <w:rFonts w:ascii="Times New Roman" w:hAnsi="Times New Roman"/>
          <w:sz w:val="24"/>
          <w:szCs w:val="24"/>
        </w:rPr>
        <w:t xml:space="preserve"> conditions. First, we note that </w:t>
      </w:r>
      <w:r>
        <w:rPr>
          <w:rFonts w:ascii="Times New Roman" w:hAnsi="Times New Roman"/>
          <w:sz w:val="24"/>
          <w:szCs w:val="24"/>
        </w:rPr>
        <w:t>W</w:t>
      </w:r>
      <w:r w:rsidRPr="00086296">
        <w:rPr>
          <w:rFonts w:ascii="Times New Roman" w:hAnsi="Times New Roman"/>
          <w:sz w:val="24"/>
          <w:szCs w:val="24"/>
        </w:rPr>
        <w:t xml:space="preserve">ild </w:t>
      </w:r>
      <w:r>
        <w:rPr>
          <w:rFonts w:ascii="Times New Roman" w:hAnsi="Times New Roman"/>
          <w:sz w:val="24"/>
          <w:szCs w:val="24"/>
        </w:rPr>
        <w:t xml:space="preserve">[paramedic] </w:t>
      </w:r>
      <w:r w:rsidRPr="00086296">
        <w:rPr>
          <w:rFonts w:ascii="Times New Roman" w:hAnsi="Times New Roman"/>
          <w:sz w:val="24"/>
          <w:szCs w:val="24"/>
        </w:rPr>
        <w:t xml:space="preserve">testified that drivers were to maintain slower speeds during adverse weather conditions, although he was unsure whether a specific policy was in place. Moreover, our colleagues in the First District stated that a </w:t>
      </w:r>
      <w:r>
        <w:rPr>
          <w:rFonts w:ascii="Times New Roman" w:hAnsi="Times New Roman"/>
          <w:sz w:val="24"/>
          <w:szCs w:val="24"/>
        </w:rPr>
        <w:t>‘</w:t>
      </w:r>
      <w:r w:rsidRPr="00086296">
        <w:rPr>
          <w:rFonts w:ascii="Times New Roman" w:hAnsi="Times New Roman"/>
          <w:sz w:val="24"/>
          <w:szCs w:val="24"/>
        </w:rPr>
        <w:t>[v]</w:t>
      </w:r>
      <w:proofErr w:type="spellStart"/>
      <w:r w:rsidRPr="00086296">
        <w:rPr>
          <w:rFonts w:ascii="Times New Roman" w:hAnsi="Times New Roman"/>
          <w:sz w:val="24"/>
          <w:szCs w:val="24"/>
        </w:rPr>
        <w:t>iolation</w:t>
      </w:r>
      <w:proofErr w:type="spellEnd"/>
      <w:r w:rsidRPr="00086296">
        <w:rPr>
          <w:rFonts w:ascii="Times New Roman" w:hAnsi="Times New Roman"/>
          <w:sz w:val="24"/>
          <w:szCs w:val="24"/>
        </w:rPr>
        <w:t xml:space="preserve"> of self-imposed rules or internal guidelines *** 'does not normally impose a legal duty, let alone constitute evidence of negligence, or beyond that, willful and wanton conduct.' Wade v. City of Chicago, 364 Ill. App. 3d 773, 781 (2006) (quoting Morton v. City of Chicago, 286 Ill. App. 3d 444, 454 (1997)). Thus, a violation of the City's policy, if one had existed at the time of the accident, would not alone constitute evidence of willful and wanton </w:t>
      </w:r>
      <w:proofErr w:type="gramStart"/>
      <w:r w:rsidRPr="00086296">
        <w:rPr>
          <w:rFonts w:ascii="Times New Roman" w:hAnsi="Times New Roman"/>
          <w:sz w:val="24"/>
          <w:szCs w:val="24"/>
        </w:rPr>
        <w:t>conduct.</w:t>
      </w:r>
      <w:r>
        <w:rPr>
          <w:rFonts w:ascii="Times New Roman" w:hAnsi="Times New Roman"/>
          <w:sz w:val="24"/>
          <w:szCs w:val="24"/>
        </w:rPr>
        <w:t>”</w:t>
      </w:r>
      <w:proofErr w:type="gramEnd"/>
      <w:r w:rsidR="00A84C9A">
        <w:rPr>
          <w:rFonts w:ascii="Times New Roman" w:hAnsi="Times New Roman"/>
          <w:sz w:val="24"/>
          <w:szCs w:val="24"/>
        </w:rPr>
        <w:t xml:space="preserve"> </w:t>
      </w:r>
      <w:hyperlink r:id="rId1014" w:history="1">
        <w:r w:rsidR="00A84C9A" w:rsidRPr="00A84C9A">
          <w:rPr>
            <w:rStyle w:val="Hyperlink"/>
            <w:rFonts w:ascii="Times New Roman" w:hAnsi="Times New Roman"/>
            <w:sz w:val="24"/>
            <w:szCs w:val="24"/>
          </w:rPr>
          <w:t>https://casetext.com/case/hicks-v-city-of-ofallon</w:t>
        </w:r>
      </w:hyperlink>
      <w:r w:rsidR="00A84C9A" w:rsidRPr="00A84C9A">
        <w:rPr>
          <w:rFonts w:ascii="Times New Roman" w:hAnsi="Times New Roman"/>
          <w:sz w:val="24"/>
          <w:szCs w:val="24"/>
        </w:rPr>
        <w:t xml:space="preserve"> </w:t>
      </w:r>
    </w:p>
    <w:p w14:paraId="2439432B" w14:textId="77777777" w:rsidR="009F0F05" w:rsidRPr="005245B1" w:rsidRDefault="009F0F05" w:rsidP="009F0F05">
      <w:pPr>
        <w:rPr>
          <w:rFonts w:ascii="Times New Roman" w:hAnsi="Times New Roman"/>
          <w:b/>
          <w:bCs/>
          <w:sz w:val="24"/>
          <w:szCs w:val="24"/>
        </w:rPr>
      </w:pPr>
      <w:bookmarkStart w:id="208" w:name="_Hlk40510205"/>
      <w:bookmarkEnd w:id="207"/>
      <w:r w:rsidRPr="005245B1">
        <w:rPr>
          <w:rFonts w:ascii="Times New Roman" w:hAnsi="Times New Roman"/>
          <w:b/>
          <w:bCs/>
          <w:sz w:val="24"/>
          <w:szCs w:val="24"/>
        </w:rPr>
        <w:t xml:space="preserve">Legal Lessons Learned: </w:t>
      </w:r>
      <w:r>
        <w:rPr>
          <w:rFonts w:ascii="Times New Roman" w:hAnsi="Times New Roman"/>
          <w:b/>
          <w:bCs/>
          <w:sz w:val="24"/>
          <w:szCs w:val="24"/>
        </w:rPr>
        <w:t xml:space="preserve">Immunity </w:t>
      </w:r>
      <w:proofErr w:type="gramStart"/>
      <w:r>
        <w:rPr>
          <w:rFonts w:ascii="Times New Roman" w:hAnsi="Times New Roman"/>
          <w:b/>
          <w:bCs/>
          <w:sz w:val="24"/>
          <w:szCs w:val="24"/>
        </w:rPr>
        <w:t>statute</w:t>
      </w:r>
      <w:proofErr w:type="gramEnd"/>
      <w:r>
        <w:rPr>
          <w:rFonts w:ascii="Times New Roman" w:hAnsi="Times New Roman"/>
          <w:b/>
          <w:bCs/>
          <w:sz w:val="24"/>
          <w:szCs w:val="24"/>
        </w:rPr>
        <w:t xml:space="preserve"> very helpful; but use caution when driving high speeds on a wet highway.  </w:t>
      </w:r>
    </w:p>
    <w:bookmarkEnd w:id="208"/>
    <w:p w14:paraId="4A9C5183" w14:textId="77777777" w:rsidR="009F0F05" w:rsidRDefault="009F0F05" w:rsidP="00EF1133">
      <w:pPr>
        <w:rPr>
          <w:rFonts w:ascii="Arial Black" w:hAnsi="Arial Black"/>
          <w:b/>
          <w:sz w:val="24"/>
          <w:szCs w:val="24"/>
        </w:rPr>
      </w:pPr>
    </w:p>
    <w:p w14:paraId="2084228C" w14:textId="27ED0317" w:rsidR="00EF1133" w:rsidRDefault="00EF1133" w:rsidP="00EF1133">
      <w:pPr>
        <w:rPr>
          <w:rFonts w:ascii="Arial Black" w:hAnsi="Arial Black"/>
          <w:sz w:val="28"/>
          <w:szCs w:val="28"/>
        </w:rPr>
      </w:pPr>
      <w:r w:rsidRPr="00EF1133">
        <w:rPr>
          <w:rFonts w:ascii="Arial Black" w:hAnsi="Arial Black"/>
          <w:b/>
          <w:sz w:val="24"/>
          <w:szCs w:val="24"/>
        </w:rPr>
        <w:t>5-</w:t>
      </w:r>
      <w:r>
        <w:rPr>
          <w:rFonts w:ascii="Arial Black" w:hAnsi="Arial Black"/>
          <w:b/>
          <w:sz w:val="24"/>
          <w:szCs w:val="24"/>
        </w:rPr>
        <w:t>7</w:t>
      </w:r>
    </w:p>
    <w:p w14:paraId="572158BB" w14:textId="1451C876" w:rsidR="00527EDF" w:rsidRDefault="00527EDF" w:rsidP="00527EDF">
      <w:pPr>
        <w:pStyle w:val="NoSpacing"/>
        <w:rPr>
          <w:rFonts w:ascii="Arial Black" w:hAnsi="Arial Black"/>
          <w:sz w:val="28"/>
          <w:szCs w:val="28"/>
        </w:rPr>
      </w:pPr>
      <w:r>
        <w:rPr>
          <w:rFonts w:ascii="Arial Black" w:hAnsi="Arial Black"/>
          <w:sz w:val="28"/>
          <w:szCs w:val="28"/>
        </w:rPr>
        <w:t xml:space="preserve">TX:  EMT LOST CONTROL AMBULANCE - INJURED ROAD GRADER – MAX LIAB. OF NOT-FOR-PROFIT CO. IS $100K  </w:t>
      </w:r>
    </w:p>
    <w:p w14:paraId="3555D47A" w14:textId="77777777" w:rsidR="00527EDF" w:rsidRDefault="00527EDF" w:rsidP="00527EDF">
      <w:pPr>
        <w:pStyle w:val="NoSpacing"/>
        <w:rPr>
          <w:rFonts w:ascii="Arial Black" w:hAnsi="Arial Black"/>
          <w:sz w:val="28"/>
          <w:szCs w:val="28"/>
        </w:rPr>
      </w:pPr>
    </w:p>
    <w:p w14:paraId="38C51E4B" w14:textId="77777777" w:rsidR="00527EDF" w:rsidRPr="004A0292" w:rsidRDefault="00527EDF" w:rsidP="00527EDF">
      <w:pPr>
        <w:pStyle w:val="NoSpacing"/>
        <w:rPr>
          <w:rFonts w:ascii="Times New Roman" w:hAnsi="Times New Roman"/>
          <w:sz w:val="24"/>
          <w:szCs w:val="24"/>
        </w:rPr>
      </w:pPr>
      <w:r w:rsidRPr="004A0292">
        <w:rPr>
          <w:rFonts w:ascii="Times New Roman" w:hAnsi="Times New Roman"/>
          <w:sz w:val="24"/>
          <w:szCs w:val="24"/>
        </w:rPr>
        <w:t xml:space="preserve">On May 23, 2019, in </w:t>
      </w:r>
      <w:r w:rsidRPr="004A0292">
        <w:rPr>
          <w:rFonts w:ascii="Times New Roman" w:hAnsi="Times New Roman"/>
          <w:sz w:val="24"/>
          <w:szCs w:val="24"/>
          <w:u w:val="single"/>
        </w:rPr>
        <w:t>Jose Roel Garcia v. Jesse Perez and South Texas Emergency Care Foundation, Inc.</w:t>
      </w:r>
      <w:r w:rsidRPr="004A0292">
        <w:rPr>
          <w:rFonts w:ascii="Times New Roman" w:hAnsi="Times New Roman"/>
          <w:sz w:val="24"/>
          <w:szCs w:val="24"/>
        </w:rPr>
        <w:t>, the Court of Appeals of Thirteenth District, Corpus Christi held (3 to 0)</w:t>
      </w:r>
    </w:p>
    <w:p w14:paraId="7D27F224" w14:textId="77777777" w:rsidR="00527EDF" w:rsidRPr="004A0292" w:rsidRDefault="00527EDF" w:rsidP="00527EDF">
      <w:pPr>
        <w:pStyle w:val="NoSpacing"/>
        <w:rPr>
          <w:rFonts w:ascii="Times New Roman" w:hAnsi="Times New Roman"/>
          <w:sz w:val="24"/>
          <w:szCs w:val="24"/>
        </w:rPr>
      </w:pPr>
    </w:p>
    <w:p w14:paraId="0081598D" w14:textId="77777777" w:rsidR="00527EDF" w:rsidRPr="004A0292" w:rsidRDefault="00527EDF" w:rsidP="00527EDF">
      <w:pPr>
        <w:pStyle w:val="NoSpacing"/>
        <w:ind w:left="720"/>
        <w:rPr>
          <w:rFonts w:ascii="Times New Roman" w:hAnsi="Times New Roman"/>
          <w:sz w:val="24"/>
          <w:szCs w:val="24"/>
        </w:rPr>
      </w:pPr>
      <w:r w:rsidRPr="004A0292">
        <w:rPr>
          <w:rFonts w:ascii="Times New Roman" w:hAnsi="Times New Roman"/>
          <w:sz w:val="24"/>
          <w:szCs w:val="24"/>
        </w:rPr>
        <w:t>“Thus, we conclude that Garcia’s argument that STEC is not an emergency service organization because it is not operated by volunteer members is not supported by the statute. Accordingly, we reject this argument.”</w:t>
      </w:r>
    </w:p>
    <w:p w14:paraId="34EA4B9A" w14:textId="113270E2" w:rsidR="00527EDF" w:rsidRDefault="00527EDF" w:rsidP="00F326E5">
      <w:pPr>
        <w:pStyle w:val="NoSpacing"/>
        <w:rPr>
          <w:sz w:val="24"/>
          <w:szCs w:val="24"/>
        </w:rPr>
      </w:pPr>
    </w:p>
    <w:p w14:paraId="0B50BC02" w14:textId="77777777" w:rsidR="00527EDF" w:rsidRPr="00E8724B" w:rsidRDefault="00527EDF" w:rsidP="00527EDF">
      <w:pPr>
        <w:pStyle w:val="HTMLPreformatted"/>
        <w:rPr>
          <w:rFonts w:ascii="Times New Roman" w:hAnsi="Times New Roman" w:cs="Times New Roman"/>
          <w:b/>
          <w:sz w:val="24"/>
          <w:szCs w:val="24"/>
        </w:rPr>
      </w:pPr>
      <w:bookmarkStart w:id="209" w:name="_Hlk10126871"/>
      <w:r w:rsidRPr="00E8724B">
        <w:rPr>
          <w:rFonts w:ascii="Times New Roman" w:hAnsi="Times New Roman" w:cs="Times New Roman"/>
          <w:b/>
          <w:sz w:val="24"/>
          <w:szCs w:val="24"/>
        </w:rPr>
        <w:t xml:space="preserve">Legal Lessons Learned: </w:t>
      </w:r>
      <w:r>
        <w:rPr>
          <w:rFonts w:ascii="Times New Roman" w:hAnsi="Times New Roman" w:cs="Times New Roman"/>
          <w:b/>
          <w:sz w:val="24"/>
          <w:szCs w:val="24"/>
        </w:rPr>
        <w:t xml:space="preserve">  Helpful to have a statutory cap on liability for volunteer and not-for-profit emergency response organizations.  This may also reduce the cost of insurance.  </w:t>
      </w:r>
    </w:p>
    <w:bookmarkEnd w:id="209"/>
    <w:p w14:paraId="33495ABD" w14:textId="77777777" w:rsidR="00527EDF" w:rsidRDefault="00527EDF" w:rsidP="00527EDF">
      <w:pPr>
        <w:pStyle w:val="NoSpacing"/>
        <w:rPr>
          <w:rFonts w:ascii="Times New Roman" w:hAnsi="Times New Roman"/>
          <w:sz w:val="24"/>
          <w:szCs w:val="24"/>
        </w:rPr>
      </w:pPr>
    </w:p>
    <w:p w14:paraId="010CFCD3" w14:textId="6A4BE911" w:rsidR="0097592D" w:rsidRDefault="0097592D" w:rsidP="00F326E5">
      <w:pPr>
        <w:pStyle w:val="NoSpacing"/>
        <w:rPr>
          <w:sz w:val="24"/>
          <w:szCs w:val="24"/>
        </w:rPr>
      </w:pPr>
    </w:p>
    <w:p w14:paraId="7D3916C7" w14:textId="77777777" w:rsidR="0097592D" w:rsidRDefault="0097592D" w:rsidP="00F326E5">
      <w:pPr>
        <w:pStyle w:val="NoSpacing"/>
        <w:rPr>
          <w:sz w:val="24"/>
          <w:szCs w:val="24"/>
        </w:rPr>
      </w:pPr>
    </w:p>
    <w:p w14:paraId="42C00D40" w14:textId="5A9B567C" w:rsidR="00527EDF" w:rsidRDefault="00EF1133" w:rsidP="00EF1133">
      <w:pPr>
        <w:rPr>
          <w:sz w:val="24"/>
          <w:szCs w:val="24"/>
        </w:rPr>
      </w:pPr>
      <w:r w:rsidRPr="00EF1133">
        <w:rPr>
          <w:rFonts w:ascii="Arial Black" w:hAnsi="Arial Black"/>
          <w:b/>
          <w:sz w:val="24"/>
          <w:szCs w:val="24"/>
        </w:rPr>
        <w:t>5-</w:t>
      </w:r>
      <w:r>
        <w:rPr>
          <w:rFonts w:ascii="Arial Black" w:hAnsi="Arial Black"/>
          <w:b/>
          <w:sz w:val="24"/>
          <w:szCs w:val="24"/>
        </w:rPr>
        <w:t>6</w:t>
      </w:r>
    </w:p>
    <w:p w14:paraId="3EEA1607" w14:textId="2A633C47" w:rsidR="00F326E5" w:rsidRDefault="002B1283" w:rsidP="00F326E5">
      <w:pPr>
        <w:pStyle w:val="NoSpacing"/>
        <w:rPr>
          <w:rFonts w:ascii="Arial Black" w:hAnsi="Arial Black"/>
          <w:sz w:val="28"/>
          <w:szCs w:val="28"/>
        </w:rPr>
      </w:pPr>
      <w:bookmarkStart w:id="210" w:name="_Hlk39764237"/>
      <w:r>
        <w:rPr>
          <w:rFonts w:ascii="Arial Black" w:hAnsi="Arial Black"/>
          <w:sz w:val="28"/>
          <w:szCs w:val="28"/>
        </w:rPr>
        <w:lastRenderedPageBreak/>
        <w:t>L</w:t>
      </w:r>
      <w:r w:rsidR="00F326E5">
        <w:rPr>
          <w:rFonts w:ascii="Arial Black" w:hAnsi="Arial Black"/>
          <w:sz w:val="28"/>
          <w:szCs w:val="28"/>
        </w:rPr>
        <w:t>A:  EMER. LIGHTS USED, BUT NO SIREN – CHILD NON</w:t>
      </w:r>
      <w:r w:rsidR="00A84C9A">
        <w:rPr>
          <w:rFonts w:ascii="Arial Black" w:hAnsi="Arial Black"/>
          <w:sz w:val="28"/>
          <w:szCs w:val="28"/>
        </w:rPr>
        <w:t>-</w:t>
      </w:r>
      <w:r w:rsidR="00F326E5">
        <w:rPr>
          <w:rFonts w:ascii="Arial Black" w:hAnsi="Arial Black"/>
          <w:sz w:val="28"/>
          <w:szCs w:val="28"/>
        </w:rPr>
        <w:t xml:space="preserve">BREATHER RUN - NO STATUTORY IMMUNITY </w:t>
      </w:r>
    </w:p>
    <w:p w14:paraId="355BDDDD" w14:textId="77777777" w:rsidR="00F326E5" w:rsidRPr="009C4A80" w:rsidRDefault="00F326E5" w:rsidP="00F326E5">
      <w:pPr>
        <w:pStyle w:val="NoSpacing"/>
        <w:rPr>
          <w:rFonts w:ascii="Times New Roman" w:hAnsi="Times New Roman"/>
          <w:b/>
          <w:sz w:val="24"/>
          <w:szCs w:val="24"/>
        </w:rPr>
      </w:pPr>
      <w:r w:rsidRPr="009C4A80">
        <w:rPr>
          <w:rFonts w:ascii="Times New Roman" w:hAnsi="Times New Roman"/>
          <w:sz w:val="24"/>
          <w:szCs w:val="24"/>
        </w:rPr>
        <w:t xml:space="preserve">On Feb. 22, 2019, in </w:t>
      </w:r>
      <w:r w:rsidRPr="009C4A80">
        <w:rPr>
          <w:rFonts w:ascii="Times New Roman" w:hAnsi="Times New Roman"/>
          <w:sz w:val="24"/>
          <w:szCs w:val="24"/>
          <w:u w:val="single"/>
        </w:rPr>
        <w:t xml:space="preserve">Nunzio </w:t>
      </w:r>
      <w:proofErr w:type="spellStart"/>
      <w:r w:rsidRPr="009C4A80">
        <w:rPr>
          <w:rFonts w:ascii="Times New Roman" w:hAnsi="Times New Roman"/>
          <w:sz w:val="24"/>
          <w:szCs w:val="24"/>
          <w:u w:val="single"/>
        </w:rPr>
        <w:t>Inzina</w:t>
      </w:r>
      <w:proofErr w:type="spellEnd"/>
      <w:r w:rsidRPr="009C4A80">
        <w:rPr>
          <w:rFonts w:ascii="Times New Roman" w:hAnsi="Times New Roman"/>
          <w:sz w:val="24"/>
          <w:szCs w:val="24"/>
          <w:u w:val="single"/>
        </w:rPr>
        <w:t xml:space="preserve"> &amp; Emily </w:t>
      </w:r>
      <w:proofErr w:type="spellStart"/>
      <w:r w:rsidRPr="009C4A80">
        <w:rPr>
          <w:rFonts w:ascii="Times New Roman" w:hAnsi="Times New Roman"/>
          <w:sz w:val="24"/>
          <w:szCs w:val="24"/>
          <w:u w:val="single"/>
        </w:rPr>
        <w:t>Inzina</w:t>
      </w:r>
      <w:proofErr w:type="spellEnd"/>
      <w:r w:rsidRPr="009C4A80">
        <w:rPr>
          <w:rFonts w:ascii="Times New Roman" w:hAnsi="Times New Roman"/>
          <w:sz w:val="24"/>
          <w:szCs w:val="24"/>
          <w:u w:val="single"/>
        </w:rPr>
        <w:t xml:space="preserve"> v. Troy Guitreau, et al</w:t>
      </w:r>
      <w:r w:rsidRPr="009C4A80">
        <w:rPr>
          <w:rFonts w:ascii="Times New Roman" w:hAnsi="Times New Roman"/>
          <w:sz w:val="24"/>
          <w:szCs w:val="24"/>
        </w:rPr>
        <w:t xml:space="preserve">.,  the State of Louisiana, Court of Appeal, First District (3 to 0) held that “because the trial court's finding that Mr. Guitreau's emergency lights were insufficient to warn motorists of his approach was not manifestly erroneous, the trial court properly determined that the ‘reckless disregard’ (or ‘gross negligence’) standard does not apply. Mr. Guitreau does not meet the requirements of 32:24(C) and therefore his actions must be assessed under an ordinary negligence </w:t>
      </w:r>
      <w:proofErr w:type="gramStart"/>
      <w:r w:rsidRPr="009C4A80">
        <w:rPr>
          <w:rFonts w:ascii="Times New Roman" w:hAnsi="Times New Roman"/>
          <w:sz w:val="24"/>
          <w:szCs w:val="24"/>
        </w:rPr>
        <w:t>standard.”</w:t>
      </w:r>
      <w:proofErr w:type="gramEnd"/>
      <w:r w:rsidRPr="009C4A80">
        <w:rPr>
          <w:rFonts w:ascii="Times New Roman" w:hAnsi="Times New Roman"/>
          <w:b/>
          <w:sz w:val="24"/>
          <w:szCs w:val="24"/>
        </w:rPr>
        <w:t xml:space="preserve"> </w:t>
      </w:r>
      <w:hyperlink r:id="rId1015" w:history="1">
        <w:r w:rsidRPr="009C4A80">
          <w:rPr>
            <w:rStyle w:val="Hyperlink"/>
            <w:rFonts w:ascii="Times New Roman" w:hAnsi="Times New Roman"/>
            <w:sz w:val="24"/>
            <w:szCs w:val="24"/>
          </w:rPr>
          <w:t>http://www.la-fcca.org/opiniongrid/opinionpdf/2018%20CA%200905%20Decision%20Appeal.pdf</w:t>
        </w:r>
      </w:hyperlink>
      <w:r w:rsidRPr="009C4A80">
        <w:rPr>
          <w:rFonts w:ascii="Times New Roman" w:hAnsi="Times New Roman"/>
          <w:b/>
          <w:sz w:val="24"/>
          <w:szCs w:val="24"/>
        </w:rPr>
        <w:t xml:space="preserve"> </w:t>
      </w:r>
    </w:p>
    <w:bookmarkEnd w:id="210"/>
    <w:p w14:paraId="6E875164" w14:textId="77777777" w:rsidR="009C4A80" w:rsidRDefault="009C4A80" w:rsidP="00F326E5">
      <w:pPr>
        <w:pStyle w:val="NoSpacing"/>
        <w:rPr>
          <w:rFonts w:ascii="Times New Roman" w:hAnsi="Times New Roman"/>
          <w:b/>
          <w:sz w:val="24"/>
          <w:szCs w:val="24"/>
        </w:rPr>
      </w:pPr>
    </w:p>
    <w:p w14:paraId="205B4087" w14:textId="6B386BAA" w:rsidR="00F326E5" w:rsidRPr="009C4A80" w:rsidRDefault="00F326E5" w:rsidP="00F326E5">
      <w:pPr>
        <w:pStyle w:val="NoSpacing"/>
        <w:rPr>
          <w:rFonts w:ascii="Times New Roman" w:hAnsi="Times New Roman"/>
          <w:b/>
          <w:sz w:val="24"/>
          <w:szCs w:val="24"/>
        </w:rPr>
      </w:pPr>
      <w:bookmarkStart w:id="211" w:name="_Hlk40510242"/>
      <w:r w:rsidRPr="009C4A80">
        <w:rPr>
          <w:rFonts w:ascii="Times New Roman" w:hAnsi="Times New Roman"/>
          <w:b/>
          <w:sz w:val="24"/>
          <w:szCs w:val="24"/>
        </w:rPr>
        <w:t xml:space="preserve">Legal Lessons Learned: If you are in an accident responding to an emergency, and your siren was on, keep it on when calling dispatch to report the accident – the 911 Dispatch recording will help avoid litigation and liability.  </w:t>
      </w:r>
    </w:p>
    <w:bookmarkEnd w:id="211"/>
    <w:p w14:paraId="024C6EE7" w14:textId="77777777" w:rsidR="00536545" w:rsidRPr="009C4A80" w:rsidRDefault="00536545" w:rsidP="00F326E5">
      <w:pPr>
        <w:rPr>
          <w:rFonts w:ascii="Times New Roman" w:hAnsi="Times New Roman"/>
          <w:b/>
          <w:sz w:val="24"/>
          <w:szCs w:val="24"/>
        </w:rPr>
      </w:pPr>
    </w:p>
    <w:bookmarkEnd w:id="194"/>
    <w:p w14:paraId="1CD749BE" w14:textId="77777777" w:rsidR="00EF1133" w:rsidRDefault="00EF1133" w:rsidP="00F326E5">
      <w:pPr>
        <w:rPr>
          <w:rFonts w:ascii="Arial Black" w:hAnsi="Arial Black"/>
          <w:b/>
          <w:sz w:val="24"/>
          <w:szCs w:val="24"/>
        </w:rPr>
      </w:pPr>
    </w:p>
    <w:p w14:paraId="4C5758B7" w14:textId="77777777" w:rsidR="00536545" w:rsidRDefault="00536545" w:rsidP="00F326E5">
      <w:pPr>
        <w:rPr>
          <w:rFonts w:ascii="Arial Black" w:hAnsi="Arial Black"/>
          <w:b/>
          <w:sz w:val="24"/>
          <w:szCs w:val="24"/>
        </w:rPr>
      </w:pPr>
    </w:p>
    <w:p w14:paraId="059C9922" w14:textId="77777777" w:rsidR="00536545" w:rsidRDefault="00536545" w:rsidP="00F326E5">
      <w:pPr>
        <w:rPr>
          <w:rFonts w:ascii="Arial Black" w:hAnsi="Arial Black"/>
          <w:b/>
          <w:sz w:val="24"/>
          <w:szCs w:val="24"/>
        </w:rPr>
      </w:pPr>
    </w:p>
    <w:p w14:paraId="613BFFDF" w14:textId="4DF3309B" w:rsidR="00F326E5" w:rsidRDefault="00EF1133" w:rsidP="00F326E5">
      <w:pPr>
        <w:rPr>
          <w:rFonts w:ascii="Arial Black" w:hAnsi="Arial Black"/>
          <w:sz w:val="40"/>
          <w:szCs w:val="40"/>
        </w:rPr>
      </w:pPr>
      <w:r w:rsidRPr="00EF1133">
        <w:rPr>
          <w:rFonts w:ascii="Arial Black" w:hAnsi="Arial Black"/>
          <w:b/>
          <w:sz w:val="24"/>
          <w:szCs w:val="24"/>
        </w:rPr>
        <w:t>5-</w:t>
      </w:r>
      <w:r>
        <w:rPr>
          <w:rFonts w:ascii="Arial Black" w:hAnsi="Arial Black"/>
          <w:b/>
          <w:sz w:val="24"/>
          <w:szCs w:val="24"/>
        </w:rPr>
        <w:t>5</w:t>
      </w:r>
    </w:p>
    <w:p w14:paraId="55D3FF9A" w14:textId="35A3B6F2" w:rsidR="00F326E5" w:rsidRDefault="00F326E5" w:rsidP="00F326E5">
      <w:pPr>
        <w:pStyle w:val="NoSpacing"/>
        <w:rPr>
          <w:rFonts w:ascii="Arial Black" w:eastAsia="Times New Roman" w:hAnsi="Arial Black"/>
          <w:sz w:val="28"/>
          <w:szCs w:val="28"/>
        </w:rPr>
      </w:pPr>
      <w:bookmarkStart w:id="212" w:name="_Hlk7342692"/>
      <w:r>
        <w:rPr>
          <w:rFonts w:ascii="Arial Black" w:eastAsia="Times New Roman" w:hAnsi="Arial Black"/>
          <w:sz w:val="28"/>
          <w:szCs w:val="28"/>
        </w:rPr>
        <w:t>IL:  STATE IMMUNITY STATUTE PROTECTS PRIV. &amp; PUBLIC AMBULANCES – ONLY IF PATIENT ON BOARD</w:t>
      </w:r>
    </w:p>
    <w:p w14:paraId="12BBCED6" w14:textId="77777777" w:rsidR="009C4A80" w:rsidRDefault="00F326E5" w:rsidP="00F326E5">
      <w:pPr>
        <w:pStyle w:val="NoSpacing"/>
        <w:rPr>
          <w:rFonts w:ascii="Times New Roman" w:hAnsi="Times New Roman"/>
          <w:sz w:val="24"/>
          <w:szCs w:val="24"/>
        </w:rPr>
      </w:pPr>
      <w:r w:rsidRPr="009C4A80">
        <w:rPr>
          <w:rFonts w:ascii="Times New Roman" w:hAnsi="Times New Roman"/>
          <w:sz w:val="24"/>
          <w:szCs w:val="24"/>
        </w:rPr>
        <w:t xml:space="preserve">On Feb. 1, 2019, in </w:t>
      </w:r>
      <w:r w:rsidRPr="009C4A80">
        <w:rPr>
          <w:rFonts w:ascii="Times New Roman" w:hAnsi="Times New Roman"/>
          <w:sz w:val="24"/>
          <w:szCs w:val="24"/>
          <w:u w:val="single"/>
        </w:rPr>
        <w:t>Roberto Hernandez v. Lifeline Ambulance, LLC and Joshua M. Nicholas</w:t>
      </w:r>
      <w:r w:rsidRPr="009C4A80">
        <w:rPr>
          <w:rFonts w:ascii="Times New Roman" w:hAnsi="Times New Roman"/>
          <w:sz w:val="24"/>
          <w:szCs w:val="24"/>
        </w:rPr>
        <w:t>, the Appellate Court of Illinois (First District; Fifth Division) held (2 to 1):</w:t>
      </w:r>
    </w:p>
    <w:p w14:paraId="302F8D5A" w14:textId="77777777" w:rsidR="009C4A80" w:rsidRDefault="009C4A80" w:rsidP="00F326E5">
      <w:pPr>
        <w:pStyle w:val="NoSpacing"/>
        <w:rPr>
          <w:rFonts w:ascii="Times New Roman" w:hAnsi="Times New Roman"/>
          <w:sz w:val="24"/>
          <w:szCs w:val="24"/>
        </w:rPr>
      </w:pPr>
    </w:p>
    <w:p w14:paraId="41019EDF" w14:textId="2B4E75D6" w:rsidR="00F326E5" w:rsidRPr="009C4A80" w:rsidRDefault="00F326E5" w:rsidP="009C4A80">
      <w:pPr>
        <w:pStyle w:val="NoSpacing"/>
        <w:ind w:left="720"/>
        <w:rPr>
          <w:rFonts w:ascii="Times New Roman" w:eastAsia="Times New Roman" w:hAnsi="Times New Roman"/>
          <w:sz w:val="24"/>
          <w:szCs w:val="24"/>
        </w:rPr>
      </w:pPr>
      <w:r w:rsidRPr="009C4A80">
        <w:rPr>
          <w:rFonts w:ascii="Times New Roman" w:hAnsi="Times New Roman"/>
          <w:sz w:val="24"/>
          <w:szCs w:val="24"/>
        </w:rPr>
        <w:t xml:space="preserve">“As the ambulance driven by Nicholas was not transporting a patient to a health care facility at the time of the collision with the vehicle driven by the plaintiff, section 3.150(a) of the EMS Act does not provide Nicholas or Lifeline with immunity from liability for any negligent acts or omissions which proximately resulted in damages to the plaintiff. </w:t>
      </w:r>
      <w:hyperlink r:id="rId1016" w:history="1">
        <w:r w:rsidRPr="009C4A80">
          <w:rPr>
            <w:rStyle w:val="Hyperlink"/>
            <w:rFonts w:ascii="Times New Roman" w:hAnsi="Times New Roman"/>
            <w:sz w:val="24"/>
            <w:szCs w:val="24"/>
          </w:rPr>
          <w:t>https://cases.justia.com/illinois/court-of-appeals-first-appellate-district/2019-1-18-0696.pdf?ts=1549320383</w:t>
        </w:r>
      </w:hyperlink>
      <w:r w:rsidRPr="009C4A80">
        <w:rPr>
          <w:rFonts w:ascii="Times New Roman" w:hAnsi="Times New Roman"/>
          <w:bCs/>
          <w:sz w:val="24"/>
          <w:szCs w:val="24"/>
        </w:rPr>
        <w:t xml:space="preserve"> </w:t>
      </w:r>
    </w:p>
    <w:p w14:paraId="5A5A83F1" w14:textId="77777777" w:rsidR="009C4A80" w:rsidRDefault="009C4A80" w:rsidP="00F326E5">
      <w:pPr>
        <w:pStyle w:val="NoSpacing"/>
        <w:rPr>
          <w:rFonts w:ascii="Times New Roman" w:hAnsi="Times New Roman"/>
          <w:b/>
          <w:sz w:val="24"/>
          <w:szCs w:val="24"/>
        </w:rPr>
      </w:pPr>
    </w:p>
    <w:p w14:paraId="7638A860" w14:textId="7C0B58CC" w:rsidR="00F326E5" w:rsidRPr="009C4A80" w:rsidRDefault="00F326E5" w:rsidP="00F326E5">
      <w:pPr>
        <w:pStyle w:val="NoSpacing"/>
        <w:rPr>
          <w:rFonts w:ascii="Times New Roman" w:hAnsi="Times New Roman"/>
          <w:b/>
          <w:sz w:val="24"/>
          <w:szCs w:val="24"/>
        </w:rPr>
      </w:pPr>
      <w:r w:rsidRPr="009C4A80">
        <w:rPr>
          <w:rFonts w:ascii="Times New Roman" w:hAnsi="Times New Roman"/>
          <w:b/>
          <w:sz w:val="24"/>
          <w:szCs w:val="24"/>
        </w:rPr>
        <w:t xml:space="preserve">Legal Lessons Learned:  The Illinois immunity statute broadly includes non-emergency </w:t>
      </w:r>
      <w:proofErr w:type="gramStart"/>
      <w:r w:rsidRPr="009C4A80">
        <w:rPr>
          <w:rFonts w:ascii="Times New Roman" w:hAnsi="Times New Roman"/>
          <w:b/>
          <w:sz w:val="24"/>
          <w:szCs w:val="24"/>
        </w:rPr>
        <w:t>transports</w:t>
      </w:r>
      <w:proofErr w:type="gramEnd"/>
      <w:r w:rsidRPr="009C4A80">
        <w:rPr>
          <w:rFonts w:ascii="Times New Roman" w:hAnsi="Times New Roman"/>
          <w:b/>
          <w:sz w:val="24"/>
          <w:szCs w:val="24"/>
        </w:rPr>
        <w:t xml:space="preserve">, but not so broad as to cover driving ambulance to pick up a patient.  Hopefully the ambulance company’s private insurance will cover both the company and its </w:t>
      </w:r>
      <w:proofErr w:type="gramStart"/>
      <w:r w:rsidRPr="009C4A80">
        <w:rPr>
          <w:rFonts w:ascii="Times New Roman" w:hAnsi="Times New Roman"/>
          <w:b/>
          <w:sz w:val="24"/>
          <w:szCs w:val="24"/>
        </w:rPr>
        <w:t>employee</w:t>
      </w:r>
      <w:proofErr w:type="gramEnd"/>
      <w:r w:rsidRPr="009C4A80">
        <w:rPr>
          <w:rFonts w:ascii="Times New Roman" w:hAnsi="Times New Roman"/>
          <w:b/>
          <w:sz w:val="24"/>
          <w:szCs w:val="24"/>
        </w:rPr>
        <w:t>.</w:t>
      </w:r>
    </w:p>
    <w:p w14:paraId="0207FDBA" w14:textId="77777777" w:rsidR="00F326E5" w:rsidRPr="009C4A80" w:rsidRDefault="00F326E5" w:rsidP="00F326E5">
      <w:pPr>
        <w:pStyle w:val="NoSpacing"/>
        <w:rPr>
          <w:rFonts w:ascii="Times New Roman" w:hAnsi="Times New Roman"/>
          <w:sz w:val="24"/>
          <w:szCs w:val="24"/>
        </w:rPr>
      </w:pPr>
      <w:bookmarkStart w:id="213" w:name="_Hlk1297730"/>
      <w:bookmarkEnd w:id="212"/>
    </w:p>
    <w:p w14:paraId="61406979" w14:textId="77777777" w:rsidR="00EF1133" w:rsidRDefault="00EF1133" w:rsidP="00EF1133">
      <w:pPr>
        <w:rPr>
          <w:rFonts w:ascii="Arial Black" w:hAnsi="Arial Black"/>
          <w:b/>
          <w:sz w:val="24"/>
          <w:szCs w:val="24"/>
        </w:rPr>
      </w:pPr>
    </w:p>
    <w:p w14:paraId="69B573DF" w14:textId="2955F262" w:rsidR="00EF1133" w:rsidRPr="00EF1133" w:rsidRDefault="00EF1133" w:rsidP="00EF1133">
      <w:pPr>
        <w:rPr>
          <w:rFonts w:ascii="Arial Black" w:hAnsi="Arial Black"/>
          <w:b/>
          <w:sz w:val="24"/>
          <w:szCs w:val="24"/>
        </w:rPr>
      </w:pPr>
      <w:r w:rsidRPr="00EF1133">
        <w:rPr>
          <w:rFonts w:ascii="Arial Black" w:hAnsi="Arial Black"/>
          <w:b/>
          <w:sz w:val="24"/>
          <w:szCs w:val="24"/>
        </w:rPr>
        <w:t>5-</w:t>
      </w:r>
      <w:r>
        <w:rPr>
          <w:rFonts w:ascii="Arial Black" w:hAnsi="Arial Black"/>
          <w:b/>
          <w:sz w:val="24"/>
          <w:szCs w:val="24"/>
        </w:rPr>
        <w:t>4</w:t>
      </w:r>
    </w:p>
    <w:p w14:paraId="03DA6A01" w14:textId="36BF1ECD" w:rsidR="00F326E5" w:rsidRPr="00EA4270" w:rsidRDefault="00F326E5" w:rsidP="00F326E5">
      <w:pPr>
        <w:pStyle w:val="NoSpacing"/>
        <w:rPr>
          <w:rFonts w:ascii="Arial Black" w:hAnsi="Arial Black"/>
          <w:sz w:val="28"/>
          <w:szCs w:val="28"/>
        </w:rPr>
      </w:pPr>
      <w:bookmarkStart w:id="214" w:name="_Hlk7342728"/>
      <w:r>
        <w:rPr>
          <w:rFonts w:ascii="Arial Black" w:hAnsi="Arial Black"/>
          <w:sz w:val="28"/>
          <w:szCs w:val="28"/>
        </w:rPr>
        <w:t xml:space="preserve">OH: </w:t>
      </w:r>
      <w:r w:rsidR="00374417">
        <w:rPr>
          <w:rFonts w:ascii="Arial Black" w:hAnsi="Arial Black"/>
          <w:sz w:val="28"/>
          <w:szCs w:val="28"/>
        </w:rPr>
        <w:t>MAN</w:t>
      </w:r>
      <w:r w:rsidRPr="00EA4270">
        <w:rPr>
          <w:rFonts w:ascii="Arial Black" w:hAnsi="Arial Black"/>
          <w:sz w:val="28"/>
          <w:szCs w:val="28"/>
        </w:rPr>
        <w:t xml:space="preserve"> KILLED BY LOOSE FIRE HOSE –</w:t>
      </w:r>
      <w:r>
        <w:rPr>
          <w:rFonts w:ascii="Arial Black" w:hAnsi="Arial Black"/>
          <w:sz w:val="28"/>
          <w:szCs w:val="28"/>
        </w:rPr>
        <w:t xml:space="preserve"> NO </w:t>
      </w:r>
      <w:r w:rsidRPr="00EA4270">
        <w:rPr>
          <w:rFonts w:ascii="Arial Black" w:hAnsi="Arial Black"/>
          <w:sz w:val="28"/>
          <w:szCs w:val="28"/>
        </w:rPr>
        <w:t>WILLFUL OR WANTON MISCONDUCT / NFPA GUIDELINES</w:t>
      </w:r>
    </w:p>
    <w:p w14:paraId="4A95E4C3" w14:textId="77777777" w:rsidR="009C4A80" w:rsidRDefault="009C4A80" w:rsidP="00F326E5">
      <w:pPr>
        <w:pStyle w:val="NoSpacing"/>
        <w:rPr>
          <w:rFonts w:ascii="Times New Roman" w:hAnsi="Times New Roman"/>
          <w:sz w:val="24"/>
          <w:szCs w:val="24"/>
        </w:rPr>
      </w:pPr>
    </w:p>
    <w:p w14:paraId="6D21564B" w14:textId="7375E58D" w:rsidR="00F326E5" w:rsidRDefault="00F326E5" w:rsidP="00F326E5">
      <w:pPr>
        <w:pStyle w:val="NoSpacing"/>
        <w:rPr>
          <w:rFonts w:ascii="Times New Roman" w:hAnsi="Times New Roman"/>
          <w:bCs/>
          <w:sz w:val="24"/>
          <w:szCs w:val="24"/>
        </w:rPr>
      </w:pPr>
      <w:r w:rsidRPr="009C4A80">
        <w:rPr>
          <w:rFonts w:ascii="Times New Roman" w:hAnsi="Times New Roman"/>
          <w:sz w:val="24"/>
          <w:szCs w:val="24"/>
        </w:rPr>
        <w:t xml:space="preserve">On </w:t>
      </w:r>
      <w:bookmarkStart w:id="215" w:name="_Hlk39827597"/>
      <w:r w:rsidRPr="009C4A80">
        <w:rPr>
          <w:rFonts w:ascii="Times New Roman" w:hAnsi="Times New Roman"/>
          <w:sz w:val="24"/>
          <w:szCs w:val="24"/>
        </w:rPr>
        <w:t xml:space="preserve">Jan. 18, </w:t>
      </w:r>
      <w:proofErr w:type="gramStart"/>
      <w:r w:rsidRPr="009C4A80">
        <w:rPr>
          <w:rFonts w:ascii="Times New Roman" w:hAnsi="Times New Roman"/>
          <w:sz w:val="24"/>
          <w:szCs w:val="24"/>
        </w:rPr>
        <w:t>2019</w:t>
      </w:r>
      <w:proofErr w:type="gramEnd"/>
      <w:r w:rsidRPr="009C4A80">
        <w:rPr>
          <w:rFonts w:ascii="Times New Roman" w:hAnsi="Times New Roman"/>
          <w:sz w:val="24"/>
          <w:szCs w:val="24"/>
        </w:rPr>
        <w:t xml:space="preserve"> in </w:t>
      </w:r>
      <w:r w:rsidRPr="009C4A80">
        <w:rPr>
          <w:rFonts w:ascii="Times New Roman" w:hAnsi="Times New Roman"/>
          <w:sz w:val="24"/>
          <w:szCs w:val="24"/>
          <w:u w:val="single"/>
        </w:rPr>
        <w:t>Linda H. Ogburn, etc., Appellant, v. City of Toledo</w:t>
      </w:r>
      <w:bookmarkEnd w:id="215"/>
      <w:r w:rsidRPr="009C4A80">
        <w:rPr>
          <w:rFonts w:ascii="Times New Roman" w:hAnsi="Times New Roman"/>
          <w:sz w:val="24"/>
          <w:szCs w:val="24"/>
        </w:rPr>
        <w:t xml:space="preserve">, Appellee., </w:t>
      </w:r>
      <w:r w:rsidRPr="009C4A80">
        <w:rPr>
          <w:rFonts w:ascii="Times New Roman" w:hAnsi="Times New Roman"/>
          <w:bCs/>
          <w:sz w:val="24"/>
          <w:szCs w:val="24"/>
        </w:rPr>
        <w:t>Court of Appeals of Ohio, Sixth District, Lucas County:</w:t>
      </w:r>
    </w:p>
    <w:p w14:paraId="0CF454D3" w14:textId="77777777" w:rsidR="009C4A80" w:rsidRPr="009C4A80" w:rsidRDefault="009C4A80" w:rsidP="00F326E5">
      <w:pPr>
        <w:pStyle w:val="NoSpacing"/>
        <w:rPr>
          <w:rFonts w:ascii="Times New Roman" w:hAnsi="Times New Roman"/>
          <w:sz w:val="24"/>
          <w:szCs w:val="24"/>
        </w:rPr>
      </w:pPr>
    </w:p>
    <w:p w14:paraId="32F86259" w14:textId="77777777" w:rsidR="00F326E5" w:rsidRPr="009C4A80" w:rsidRDefault="00F326E5" w:rsidP="00F326E5">
      <w:pPr>
        <w:pStyle w:val="NoSpacing"/>
        <w:ind w:left="720"/>
        <w:rPr>
          <w:rFonts w:ascii="Times New Roman" w:hAnsi="Times New Roman"/>
          <w:sz w:val="24"/>
          <w:szCs w:val="24"/>
        </w:rPr>
      </w:pPr>
      <w:r w:rsidRPr="009C4A80">
        <w:rPr>
          <w:rFonts w:ascii="Times New Roman" w:hAnsi="Times New Roman"/>
          <w:sz w:val="24"/>
          <w:szCs w:val="24"/>
        </w:rPr>
        <w:lastRenderedPageBreak/>
        <w:t xml:space="preserve">“The evidence contained in the record by way of deposition testimony reveals that the city removed the safety nets on its fire engines to facilitate firefighter safety, based upon incidents in which TFRD firefighters were tripped by the nets when they were attempting to utilize fire hoses. According to TFRD's fire maintenance officer, the nets also slowed down firefighting efforts that are time-sensitive in nature. As a result, TFRD decided to remove the safety nets and install holsters in their place. The holsters that were installed eliminated the trip hazard presented by the nets, while at the same time facilitating expedient use of the fire hoses. Since the nets were removed and the holsters installed, the city has safely completed over one million runs without a fire hose coming loose from a fire engine. To us, the fact that over one million runs have taken place without incident demonstrates that injury to others does not ordinarily follow from the removal of safety nets and installation of the </w:t>
      </w:r>
      <w:proofErr w:type="gramStart"/>
      <w:r w:rsidRPr="009C4A80">
        <w:rPr>
          <w:rFonts w:ascii="Times New Roman" w:hAnsi="Times New Roman"/>
          <w:sz w:val="24"/>
          <w:szCs w:val="24"/>
        </w:rPr>
        <w:t>holsters.”</w:t>
      </w:r>
      <w:proofErr w:type="gramEnd"/>
    </w:p>
    <w:bookmarkStart w:id="216" w:name="_Hlk39827619"/>
    <w:p w14:paraId="7DE1C7C5" w14:textId="68775843" w:rsidR="00F326E5" w:rsidRPr="009C4A80" w:rsidRDefault="00374417" w:rsidP="009C4A80">
      <w:pPr>
        <w:pStyle w:val="NoSpacing"/>
        <w:ind w:left="720"/>
        <w:rPr>
          <w:rFonts w:ascii="Times New Roman" w:hAnsi="Times New Roman"/>
          <w:sz w:val="24"/>
          <w:szCs w:val="24"/>
        </w:rPr>
      </w:pPr>
      <w:r>
        <w:fldChar w:fldCharType="begin"/>
      </w:r>
      <w:r>
        <w:instrText xml:space="preserve"> HYPERLINK "https://scholar.google.com/scholar_case?case=11320550123465325906&amp;hl=en&amp;as_sdt=6&amp;as_vis=1&amp;oi=scholarr" </w:instrText>
      </w:r>
      <w:r>
        <w:fldChar w:fldCharType="separate"/>
      </w:r>
      <w:r w:rsidR="009C4A80" w:rsidRPr="002F304C">
        <w:rPr>
          <w:rStyle w:val="Hyperlink"/>
          <w:rFonts w:ascii="Times New Roman" w:hAnsi="Times New Roman"/>
          <w:sz w:val="24"/>
          <w:szCs w:val="24"/>
        </w:rPr>
        <w:t>https://scholar.google.com/scholar_case?case=11320550123465325906&amp;hl=en&amp;as_sdt=6&amp;as_vis=1&amp;oi=scholarr</w:t>
      </w:r>
      <w:r>
        <w:rPr>
          <w:rStyle w:val="Hyperlink"/>
          <w:rFonts w:ascii="Times New Roman" w:hAnsi="Times New Roman"/>
          <w:sz w:val="24"/>
          <w:szCs w:val="24"/>
        </w:rPr>
        <w:fldChar w:fldCharType="end"/>
      </w:r>
      <w:r w:rsidR="00F326E5" w:rsidRPr="009C4A80">
        <w:rPr>
          <w:rFonts w:ascii="Times New Roman" w:hAnsi="Times New Roman"/>
          <w:sz w:val="24"/>
          <w:szCs w:val="24"/>
        </w:rPr>
        <w:t xml:space="preserve"> </w:t>
      </w:r>
    </w:p>
    <w:bookmarkEnd w:id="213"/>
    <w:bookmarkEnd w:id="216"/>
    <w:p w14:paraId="4BA6D9D4" w14:textId="77777777" w:rsidR="009C4A80" w:rsidRDefault="009C4A80" w:rsidP="00F326E5">
      <w:pPr>
        <w:pStyle w:val="NoSpacing"/>
        <w:rPr>
          <w:rFonts w:ascii="Times New Roman" w:hAnsi="Times New Roman"/>
          <w:b/>
          <w:sz w:val="24"/>
          <w:szCs w:val="24"/>
        </w:rPr>
      </w:pPr>
    </w:p>
    <w:p w14:paraId="59B9CFCB" w14:textId="1466ED35" w:rsidR="00F326E5" w:rsidRPr="009C4A80" w:rsidRDefault="00F326E5" w:rsidP="00F326E5">
      <w:pPr>
        <w:pStyle w:val="NoSpacing"/>
        <w:rPr>
          <w:rFonts w:ascii="Times New Roman" w:hAnsi="Times New Roman"/>
          <w:b/>
          <w:sz w:val="24"/>
          <w:szCs w:val="24"/>
        </w:rPr>
      </w:pPr>
      <w:r w:rsidRPr="009C4A80">
        <w:rPr>
          <w:rFonts w:ascii="Times New Roman" w:hAnsi="Times New Roman"/>
          <w:b/>
          <w:sz w:val="24"/>
          <w:szCs w:val="24"/>
        </w:rPr>
        <w:t xml:space="preserve">Legal Lessons Learned:  Secure your fire hoses; avoid similar tragedies. </w:t>
      </w:r>
    </w:p>
    <w:p w14:paraId="48658912" w14:textId="5650516E" w:rsidR="00F326E5" w:rsidRPr="009C4A80" w:rsidRDefault="00F326E5" w:rsidP="00F326E5">
      <w:pPr>
        <w:pStyle w:val="NoSpacing"/>
        <w:ind w:left="720"/>
        <w:rPr>
          <w:rFonts w:ascii="Times New Roman" w:hAnsi="Times New Roman"/>
          <w:sz w:val="24"/>
          <w:szCs w:val="24"/>
        </w:rPr>
      </w:pPr>
      <w:bookmarkStart w:id="217" w:name="_Hlk39827460"/>
      <w:bookmarkStart w:id="218" w:name="_Hlk1297666"/>
      <w:r w:rsidRPr="009C4A80">
        <w:rPr>
          <w:rFonts w:ascii="Times New Roman" w:hAnsi="Times New Roman"/>
          <w:sz w:val="24"/>
          <w:szCs w:val="24"/>
        </w:rPr>
        <w:t xml:space="preserve">See also March 7, </w:t>
      </w:r>
      <w:proofErr w:type="gramStart"/>
      <w:r w:rsidRPr="009C4A80">
        <w:rPr>
          <w:rFonts w:ascii="Times New Roman" w:hAnsi="Times New Roman"/>
          <w:sz w:val="24"/>
          <w:szCs w:val="24"/>
        </w:rPr>
        <w:t>2017</w:t>
      </w:r>
      <w:proofErr w:type="gramEnd"/>
      <w:r w:rsidRPr="009C4A80">
        <w:rPr>
          <w:rFonts w:ascii="Times New Roman" w:hAnsi="Times New Roman"/>
          <w:sz w:val="24"/>
          <w:szCs w:val="24"/>
        </w:rPr>
        <w:t xml:space="preserve"> article: “Hose Alert: A Firefighter's Commonsense Solution to a Serious Problem.” </w:t>
      </w:r>
      <w:hyperlink r:id="rId1017" w:history="1">
        <w:r w:rsidRPr="009C4A80">
          <w:rPr>
            <w:rStyle w:val="Hyperlink"/>
            <w:rFonts w:ascii="Times New Roman" w:hAnsi="Times New Roman"/>
            <w:sz w:val="24"/>
            <w:szCs w:val="24"/>
          </w:rPr>
          <w:t>https://www.fireapparatusmagazine.com/articles/print/volume-22/issue-3/features/hose-alert-a-firefighter-s-commonsense-solution-to-a-serious-problem.html</w:t>
        </w:r>
      </w:hyperlink>
      <w:r w:rsidRPr="009C4A80">
        <w:rPr>
          <w:rFonts w:ascii="Times New Roman" w:hAnsi="Times New Roman"/>
          <w:sz w:val="24"/>
          <w:szCs w:val="24"/>
        </w:rPr>
        <w:t xml:space="preserve">  </w:t>
      </w:r>
    </w:p>
    <w:bookmarkEnd w:id="217"/>
    <w:p w14:paraId="4EFD87C4" w14:textId="77777777" w:rsidR="009C4A80" w:rsidRDefault="009C4A80" w:rsidP="00F326E5">
      <w:pPr>
        <w:pStyle w:val="NoSpacing"/>
        <w:ind w:left="720" w:firstLine="720"/>
        <w:rPr>
          <w:rFonts w:ascii="Times New Roman" w:hAnsi="Times New Roman"/>
          <w:sz w:val="24"/>
          <w:szCs w:val="24"/>
        </w:rPr>
      </w:pPr>
    </w:p>
    <w:p w14:paraId="7A4847B6" w14:textId="6250C0B3" w:rsidR="00F326E5" w:rsidRPr="009C4A80" w:rsidRDefault="00F326E5" w:rsidP="009C4A80">
      <w:pPr>
        <w:pStyle w:val="NoSpacing"/>
        <w:ind w:left="720"/>
        <w:rPr>
          <w:rFonts w:ascii="Times New Roman" w:hAnsi="Times New Roman"/>
          <w:sz w:val="24"/>
          <w:szCs w:val="24"/>
        </w:rPr>
      </w:pPr>
      <w:bookmarkStart w:id="219" w:name="_Hlk39827520"/>
      <w:r w:rsidRPr="009C4A80">
        <w:rPr>
          <w:rFonts w:ascii="Times New Roman" w:hAnsi="Times New Roman"/>
          <w:sz w:val="24"/>
          <w:szCs w:val="24"/>
        </w:rPr>
        <w:t xml:space="preserve">See also Jan. 29, </w:t>
      </w:r>
      <w:proofErr w:type="gramStart"/>
      <w:r w:rsidRPr="009C4A80">
        <w:rPr>
          <w:rFonts w:ascii="Times New Roman" w:hAnsi="Times New Roman"/>
          <w:sz w:val="24"/>
          <w:szCs w:val="24"/>
        </w:rPr>
        <w:t>2010</w:t>
      </w:r>
      <w:proofErr w:type="gramEnd"/>
      <w:r w:rsidRPr="009C4A80">
        <w:rPr>
          <w:rFonts w:ascii="Times New Roman" w:hAnsi="Times New Roman"/>
          <w:sz w:val="24"/>
          <w:szCs w:val="24"/>
        </w:rPr>
        <w:t xml:space="preserve"> article from MA: “Woman struck by flailing fire hose dies.” </w:t>
      </w:r>
      <w:hyperlink r:id="rId1018" w:history="1">
        <w:r w:rsidRPr="009C4A80">
          <w:rPr>
            <w:rStyle w:val="Hyperlink"/>
            <w:rFonts w:ascii="Times New Roman" w:hAnsi="Times New Roman"/>
            <w:sz w:val="24"/>
            <w:szCs w:val="24"/>
          </w:rPr>
          <w:t>http://www.cnn.com/2010/US/01/29/massachusetts.fire.hose.deaths/index.html</w:t>
        </w:r>
      </w:hyperlink>
      <w:r w:rsidRPr="009C4A80">
        <w:rPr>
          <w:rFonts w:ascii="Times New Roman" w:hAnsi="Times New Roman"/>
          <w:sz w:val="24"/>
          <w:szCs w:val="24"/>
        </w:rPr>
        <w:t xml:space="preserve"> </w:t>
      </w:r>
    </w:p>
    <w:p w14:paraId="41F3F898" w14:textId="77777777" w:rsidR="00F326E5" w:rsidRPr="009C4A80" w:rsidRDefault="00F326E5" w:rsidP="00F326E5">
      <w:pPr>
        <w:pStyle w:val="NoSpacing"/>
        <w:ind w:left="720"/>
        <w:rPr>
          <w:rFonts w:ascii="Times New Roman" w:hAnsi="Times New Roman"/>
          <w:sz w:val="24"/>
          <w:szCs w:val="24"/>
        </w:rPr>
      </w:pPr>
      <w:r w:rsidRPr="009C4A80">
        <w:rPr>
          <w:rFonts w:ascii="Times New Roman" w:hAnsi="Times New Roman"/>
          <w:sz w:val="24"/>
          <w:szCs w:val="24"/>
        </w:rPr>
        <w:t xml:space="preserve">See also Sept. 15, </w:t>
      </w:r>
      <w:proofErr w:type="gramStart"/>
      <w:r w:rsidRPr="009C4A80">
        <w:rPr>
          <w:rFonts w:ascii="Times New Roman" w:hAnsi="Times New Roman"/>
          <w:sz w:val="24"/>
          <w:szCs w:val="24"/>
        </w:rPr>
        <w:t>2006</w:t>
      </w:r>
      <w:proofErr w:type="gramEnd"/>
      <w:r w:rsidRPr="009C4A80">
        <w:rPr>
          <w:rFonts w:ascii="Times New Roman" w:hAnsi="Times New Roman"/>
          <w:sz w:val="24"/>
          <w:szCs w:val="24"/>
        </w:rPr>
        <w:t xml:space="preserve"> article from PA: “Jury awards $5 million to families in fire hose accident.” </w:t>
      </w:r>
      <w:hyperlink r:id="rId1019" w:history="1">
        <w:r w:rsidRPr="009C4A80">
          <w:rPr>
            <w:rStyle w:val="Hyperlink"/>
            <w:rFonts w:ascii="Times New Roman" w:hAnsi="Times New Roman"/>
            <w:sz w:val="24"/>
            <w:szCs w:val="24"/>
          </w:rPr>
          <w:t>https://www.post-gazette.com/local/west/2006/09/15/Jury-awards-5-million-to-families-in-fire-hose-accident/stories/200609150169</w:t>
        </w:r>
      </w:hyperlink>
      <w:bookmarkEnd w:id="219"/>
      <w:r w:rsidRPr="009C4A80">
        <w:rPr>
          <w:rFonts w:ascii="Times New Roman" w:hAnsi="Times New Roman"/>
          <w:sz w:val="24"/>
          <w:szCs w:val="24"/>
        </w:rPr>
        <w:t xml:space="preserve"> </w:t>
      </w:r>
    </w:p>
    <w:bookmarkEnd w:id="218"/>
    <w:p w14:paraId="4794B337" w14:textId="77777777" w:rsidR="00F326E5" w:rsidRPr="009C4A80" w:rsidRDefault="00F326E5" w:rsidP="00F326E5">
      <w:pPr>
        <w:pStyle w:val="NoSpacing"/>
        <w:rPr>
          <w:rFonts w:ascii="Times New Roman" w:hAnsi="Times New Roman"/>
          <w:sz w:val="24"/>
          <w:szCs w:val="24"/>
        </w:rPr>
      </w:pPr>
    </w:p>
    <w:p w14:paraId="2EAC1036" w14:textId="77777777" w:rsidR="00F326E5" w:rsidRPr="009C4A80" w:rsidRDefault="00F326E5" w:rsidP="00F326E5">
      <w:pPr>
        <w:ind w:left="720"/>
        <w:rPr>
          <w:rFonts w:ascii="Times New Roman" w:eastAsia="Times New Roman" w:hAnsi="Times New Roman"/>
          <w:sz w:val="24"/>
          <w:szCs w:val="24"/>
        </w:rPr>
      </w:pPr>
      <w:bookmarkStart w:id="220" w:name="_Hlk1297617"/>
      <w:r w:rsidRPr="009C4A80">
        <w:rPr>
          <w:rFonts w:ascii="Times New Roman" w:eastAsia="Times New Roman" w:hAnsi="Times New Roman"/>
          <w:sz w:val="24"/>
          <w:szCs w:val="24"/>
        </w:rPr>
        <w:t xml:space="preserve">Note: Ohio public employees are protected by indemnification statute they acted in “good faith.” Ohio Revised Code 2744.07: “The political subdivision has the duty to defend the employee if the act or omission occurred while the employee was acting both in good faith and not manifestly outside the scope of employment or official responsibilities. *** Except as otherwise provided in this division, a political subdivision shall indemnify and hold harmless an employee in the amount of any judgment, other than a judgment for punitive or exemplary damages, that is obtained against the employee in a state or federal court or as a result of a law of a foreign jurisdiction and that is for damages for injury, death, or loss to person or property caused by an act or omission in connection with a governmental or proprietary function, if at the time of the act or omission the employee was acting in good faith and within the scope of employment or official responsibilities.”  </w:t>
      </w:r>
      <w:hyperlink r:id="rId1020" w:history="1">
        <w:r w:rsidRPr="009C4A80">
          <w:rPr>
            <w:rStyle w:val="Hyperlink"/>
            <w:rFonts w:ascii="Times New Roman" w:hAnsi="Times New Roman"/>
            <w:sz w:val="24"/>
            <w:szCs w:val="24"/>
          </w:rPr>
          <w:t>http://codes.ohio.gov/orc/2744.07</w:t>
        </w:r>
      </w:hyperlink>
      <w:r w:rsidRPr="009C4A80">
        <w:rPr>
          <w:rFonts w:ascii="Times New Roman" w:eastAsia="Times New Roman" w:hAnsi="Times New Roman"/>
          <w:sz w:val="24"/>
          <w:szCs w:val="24"/>
        </w:rPr>
        <w:t xml:space="preserve"> </w:t>
      </w:r>
    </w:p>
    <w:p w14:paraId="19F6A92F" w14:textId="77777777" w:rsidR="00F326E5" w:rsidRPr="009C4A80" w:rsidRDefault="00F326E5" w:rsidP="00F326E5">
      <w:pPr>
        <w:ind w:left="720"/>
        <w:rPr>
          <w:rFonts w:ascii="Times New Roman" w:eastAsia="Times New Roman" w:hAnsi="Times New Roman"/>
          <w:sz w:val="24"/>
          <w:szCs w:val="24"/>
        </w:rPr>
      </w:pPr>
      <w:r w:rsidRPr="009C4A80">
        <w:rPr>
          <w:rFonts w:ascii="Times New Roman" w:eastAsia="Times New Roman" w:hAnsi="Times New Roman"/>
          <w:sz w:val="24"/>
          <w:szCs w:val="24"/>
        </w:rPr>
        <w:t xml:space="preserve">Likewise, “reckless” driving by fire or EMS can lead to personal liability if case is not settled by the political subdivision. In Anderson v. Massillon, involving aerial truck killing elderly driver and his grandson, the Ohio Supreme Court in 2012 held that the aerial driver and the </w:t>
      </w:r>
      <w:proofErr w:type="gramStart"/>
      <w:r w:rsidRPr="009C4A80">
        <w:rPr>
          <w:rFonts w:ascii="Times New Roman" w:eastAsia="Times New Roman" w:hAnsi="Times New Roman"/>
          <w:sz w:val="24"/>
          <w:szCs w:val="24"/>
        </w:rPr>
        <w:t>Captain</w:t>
      </w:r>
      <w:proofErr w:type="gramEnd"/>
      <w:r w:rsidRPr="009C4A80">
        <w:rPr>
          <w:rFonts w:ascii="Times New Roman" w:eastAsia="Times New Roman" w:hAnsi="Times New Roman"/>
          <w:sz w:val="24"/>
          <w:szCs w:val="24"/>
        </w:rPr>
        <w:t xml:space="preserve"> were not entitled to immunity, but the </w:t>
      </w:r>
      <w:proofErr w:type="gramStart"/>
      <w:r w:rsidRPr="009C4A80">
        <w:rPr>
          <w:rFonts w:ascii="Times New Roman" w:eastAsia="Times New Roman" w:hAnsi="Times New Roman"/>
          <w:sz w:val="24"/>
          <w:szCs w:val="24"/>
        </w:rPr>
        <w:t>City</w:t>
      </w:r>
      <w:proofErr w:type="gramEnd"/>
      <w:r w:rsidRPr="009C4A80">
        <w:rPr>
          <w:rFonts w:ascii="Times New Roman" w:eastAsia="Times New Roman" w:hAnsi="Times New Roman"/>
          <w:sz w:val="24"/>
          <w:szCs w:val="24"/>
        </w:rPr>
        <w:t xml:space="preserve"> was immune. See video from scene: </w:t>
      </w:r>
      <w:hyperlink r:id="rId1021" w:history="1">
        <w:r w:rsidRPr="009C4A80">
          <w:rPr>
            <w:rStyle w:val="Hyperlink"/>
            <w:rFonts w:ascii="Times New Roman" w:hAnsi="Times New Roman"/>
            <w:sz w:val="24"/>
            <w:szCs w:val="24"/>
          </w:rPr>
          <w:t>https://www.youtube.com/watch?v=ga_vHeGYQ34</w:t>
        </w:r>
      </w:hyperlink>
      <w:r w:rsidRPr="009C4A80">
        <w:rPr>
          <w:rFonts w:ascii="Times New Roman" w:eastAsia="Times New Roman" w:hAnsi="Times New Roman"/>
          <w:sz w:val="24"/>
          <w:szCs w:val="24"/>
        </w:rPr>
        <w:t xml:space="preserve"> </w:t>
      </w:r>
    </w:p>
    <w:p w14:paraId="26C52114" w14:textId="77777777" w:rsidR="00F326E5" w:rsidRPr="009C4A80" w:rsidRDefault="00F326E5" w:rsidP="00F326E5">
      <w:pPr>
        <w:ind w:left="720"/>
        <w:rPr>
          <w:rFonts w:ascii="Times New Roman" w:eastAsia="Times New Roman" w:hAnsi="Times New Roman"/>
          <w:sz w:val="24"/>
          <w:szCs w:val="24"/>
        </w:rPr>
      </w:pPr>
      <w:r w:rsidRPr="009C4A80">
        <w:rPr>
          <w:rFonts w:ascii="Times New Roman" w:eastAsia="Times New Roman" w:hAnsi="Times New Roman"/>
          <w:sz w:val="24"/>
          <w:szCs w:val="24"/>
        </w:rPr>
        <w:t xml:space="preserve">The Supreme Court held: “R.C. 2744.02(B)(1)(b) provides a political subdivision with a full defense to liability for injuries caused by the operation of a fire department vehicle while engaged in duty at a fire, proceeding toward a place where a fire is in progress or is believed to be in progress, or answering any other emergency alarm if its operation does not constitute willful or wanton misconduct. R.C. 2744.03(A)(6)(b) provides immunity to employees of a political subdivision for acts that are not committed in a wanton or reckless manner.” </w:t>
      </w:r>
      <w:hyperlink r:id="rId1022" w:history="1">
        <w:r w:rsidRPr="009C4A80">
          <w:rPr>
            <w:rStyle w:val="Hyperlink"/>
            <w:rFonts w:ascii="Times New Roman" w:hAnsi="Times New Roman"/>
            <w:sz w:val="24"/>
            <w:szCs w:val="24"/>
          </w:rPr>
          <w:t>http://www.legallyspeakingohio.com/wordpress/wp-content/uploads/2013/03/anderson-v-massilon.pdf</w:t>
        </w:r>
      </w:hyperlink>
      <w:r w:rsidRPr="009C4A80">
        <w:rPr>
          <w:rFonts w:ascii="Times New Roman" w:eastAsia="Times New Roman" w:hAnsi="Times New Roman"/>
          <w:sz w:val="24"/>
          <w:szCs w:val="24"/>
        </w:rPr>
        <w:t xml:space="preserve"> </w:t>
      </w:r>
    </w:p>
    <w:p w14:paraId="7392CE29" w14:textId="77777777" w:rsidR="00F326E5" w:rsidRPr="009C4A80" w:rsidRDefault="00F326E5" w:rsidP="00F326E5">
      <w:pPr>
        <w:ind w:left="720"/>
        <w:rPr>
          <w:rFonts w:ascii="Times New Roman" w:eastAsia="Times New Roman" w:hAnsi="Times New Roman"/>
          <w:sz w:val="24"/>
          <w:szCs w:val="24"/>
        </w:rPr>
      </w:pPr>
      <w:r w:rsidRPr="009C4A80">
        <w:rPr>
          <w:rFonts w:ascii="Times New Roman" w:eastAsia="Times New Roman" w:hAnsi="Times New Roman"/>
          <w:sz w:val="24"/>
          <w:szCs w:val="24"/>
        </w:rPr>
        <w:lastRenderedPageBreak/>
        <w:t xml:space="preserve">Case was settled by the </w:t>
      </w:r>
      <w:proofErr w:type="gramStart"/>
      <w:r w:rsidRPr="009C4A80">
        <w:rPr>
          <w:rFonts w:ascii="Times New Roman" w:eastAsia="Times New Roman" w:hAnsi="Times New Roman"/>
          <w:sz w:val="24"/>
          <w:szCs w:val="24"/>
        </w:rPr>
        <w:t>City</w:t>
      </w:r>
      <w:proofErr w:type="gramEnd"/>
      <w:r w:rsidRPr="009C4A80">
        <w:rPr>
          <w:rFonts w:ascii="Times New Roman" w:eastAsia="Times New Roman" w:hAnsi="Times New Roman"/>
          <w:sz w:val="24"/>
          <w:szCs w:val="24"/>
        </w:rPr>
        <w:t xml:space="preserve"> in 2008 for $362,000: </w:t>
      </w:r>
      <w:hyperlink r:id="rId1023" w:history="1">
        <w:r w:rsidRPr="009C4A80">
          <w:rPr>
            <w:rStyle w:val="Hyperlink"/>
            <w:rFonts w:ascii="Times New Roman" w:hAnsi="Times New Roman"/>
            <w:sz w:val="24"/>
            <w:szCs w:val="24"/>
          </w:rPr>
          <w:t>http://www.cantonrep.com/news/20160713/massillon-family-awarded-362k-in-2008-firetruck-crash-settlement</w:t>
        </w:r>
      </w:hyperlink>
    </w:p>
    <w:bookmarkEnd w:id="214"/>
    <w:bookmarkEnd w:id="220"/>
    <w:p w14:paraId="6665C7F8" w14:textId="77777777" w:rsidR="00EF1133" w:rsidRPr="009C4A80" w:rsidRDefault="00EF1133" w:rsidP="00EF1133">
      <w:pPr>
        <w:rPr>
          <w:rFonts w:ascii="Times New Roman" w:hAnsi="Times New Roman"/>
          <w:b/>
          <w:sz w:val="24"/>
          <w:szCs w:val="24"/>
        </w:rPr>
      </w:pPr>
    </w:p>
    <w:p w14:paraId="61FBE930" w14:textId="104FF48F" w:rsidR="00F326E5" w:rsidRPr="009F2867" w:rsidRDefault="00EF1133" w:rsidP="00EF1133">
      <w:pPr>
        <w:rPr>
          <w:bCs/>
        </w:rPr>
      </w:pPr>
      <w:r w:rsidRPr="00EF1133">
        <w:rPr>
          <w:rFonts w:ascii="Arial Black" w:hAnsi="Arial Black"/>
          <w:b/>
          <w:sz w:val="24"/>
          <w:szCs w:val="24"/>
        </w:rPr>
        <w:t>5-</w:t>
      </w:r>
      <w:r>
        <w:rPr>
          <w:rFonts w:ascii="Arial Black" w:hAnsi="Arial Black"/>
          <w:b/>
          <w:sz w:val="24"/>
          <w:szCs w:val="24"/>
        </w:rPr>
        <w:t>3</w:t>
      </w:r>
    </w:p>
    <w:p w14:paraId="182DBEAA" w14:textId="0AE6B069" w:rsidR="00F326E5" w:rsidRDefault="00F326E5" w:rsidP="00F326E5">
      <w:pPr>
        <w:pStyle w:val="NoSpacing"/>
        <w:rPr>
          <w:rFonts w:ascii="Arial Black" w:hAnsi="Arial Black"/>
          <w:b/>
          <w:sz w:val="28"/>
          <w:szCs w:val="28"/>
        </w:rPr>
      </w:pPr>
      <w:bookmarkStart w:id="221" w:name="_Hlk7342765"/>
      <w:r w:rsidRPr="006A0855">
        <w:rPr>
          <w:rFonts w:ascii="Arial Black" w:hAnsi="Arial Black"/>
          <w:b/>
          <w:sz w:val="28"/>
          <w:szCs w:val="28"/>
        </w:rPr>
        <w:t>CA: DRUNK DRIVER RAN INTO FIRE ENGINE – MUST PAY FULL RESTITUTION, EVEN IF FD INSUR</w:t>
      </w:r>
      <w:r>
        <w:rPr>
          <w:rFonts w:ascii="Arial Black" w:hAnsi="Arial Black"/>
          <w:b/>
          <w:sz w:val="28"/>
          <w:szCs w:val="28"/>
        </w:rPr>
        <w:t xml:space="preserve">ED </w:t>
      </w:r>
    </w:p>
    <w:p w14:paraId="2DF84CA3" w14:textId="03776433" w:rsidR="00F326E5" w:rsidRPr="00F86024" w:rsidRDefault="00F326E5" w:rsidP="00F326E5">
      <w:pPr>
        <w:pStyle w:val="NoSpacing"/>
        <w:rPr>
          <w:b/>
          <w:sz w:val="24"/>
          <w:szCs w:val="24"/>
        </w:rPr>
      </w:pPr>
    </w:p>
    <w:p w14:paraId="39D7850A" w14:textId="77777777" w:rsidR="009C4A80" w:rsidRDefault="00F326E5" w:rsidP="00F326E5">
      <w:pPr>
        <w:pStyle w:val="NoSpacing"/>
        <w:rPr>
          <w:rFonts w:ascii="Times New Roman" w:hAnsi="Times New Roman"/>
          <w:sz w:val="24"/>
          <w:szCs w:val="24"/>
        </w:rPr>
      </w:pPr>
      <w:r w:rsidRPr="009C4A80">
        <w:rPr>
          <w:rFonts w:ascii="Times New Roman" w:hAnsi="Times New Roman"/>
          <w:sz w:val="24"/>
          <w:szCs w:val="24"/>
        </w:rPr>
        <w:t xml:space="preserve">On Jan. 15, 2019, in </w:t>
      </w:r>
      <w:r w:rsidRPr="009C4A80">
        <w:rPr>
          <w:rFonts w:ascii="Times New Roman" w:hAnsi="Times New Roman"/>
          <w:bCs/>
          <w:sz w:val="24"/>
          <w:szCs w:val="24"/>
          <w:u w:val="single"/>
        </w:rPr>
        <w:t>The People v. Christian A. Zuniga,</w:t>
      </w:r>
      <w:r w:rsidRPr="009C4A80">
        <w:rPr>
          <w:rFonts w:ascii="Times New Roman" w:hAnsi="Times New Roman"/>
          <w:bCs/>
          <w:sz w:val="24"/>
          <w:szCs w:val="24"/>
        </w:rPr>
        <w:t xml:space="preserve"> the Court of Appeal of California, First Appellate District, held 3 to 0 [unpublished opinion], </w:t>
      </w:r>
      <w:r w:rsidRPr="009C4A80">
        <w:rPr>
          <w:rFonts w:ascii="Times New Roman" w:hAnsi="Times New Roman"/>
          <w:sz w:val="24"/>
          <w:szCs w:val="24"/>
        </w:rPr>
        <w:t> </w:t>
      </w:r>
    </w:p>
    <w:p w14:paraId="51FC80C0" w14:textId="77777777" w:rsidR="009C4A80" w:rsidRDefault="009C4A80" w:rsidP="00F326E5">
      <w:pPr>
        <w:pStyle w:val="NoSpacing"/>
        <w:rPr>
          <w:rFonts w:ascii="Times New Roman" w:hAnsi="Times New Roman"/>
          <w:sz w:val="24"/>
          <w:szCs w:val="24"/>
        </w:rPr>
      </w:pPr>
    </w:p>
    <w:p w14:paraId="29A0CAA1" w14:textId="1C17A408" w:rsidR="00F326E5" w:rsidRPr="009C4A80" w:rsidRDefault="00F326E5" w:rsidP="009C4A80">
      <w:pPr>
        <w:pStyle w:val="NoSpacing"/>
        <w:ind w:left="720"/>
        <w:rPr>
          <w:rFonts w:ascii="Times New Roman" w:hAnsi="Times New Roman"/>
          <w:sz w:val="24"/>
          <w:szCs w:val="24"/>
        </w:rPr>
      </w:pPr>
      <w:r w:rsidRPr="009C4A80">
        <w:rPr>
          <w:rFonts w:ascii="Times New Roman" w:hAnsi="Times New Roman"/>
          <w:sz w:val="24"/>
          <w:szCs w:val="24"/>
        </w:rPr>
        <w:t xml:space="preserve">“We have carefully reviewed the entire record in accordance with our </w:t>
      </w:r>
      <w:r w:rsidRPr="009C4A80">
        <w:rPr>
          <w:rFonts w:ascii="Times New Roman" w:hAnsi="Times New Roman"/>
          <w:i/>
          <w:iCs/>
          <w:sz w:val="24"/>
          <w:szCs w:val="24"/>
        </w:rPr>
        <w:t>Wende</w:t>
      </w:r>
      <w:r w:rsidRPr="009C4A80">
        <w:rPr>
          <w:rFonts w:ascii="Times New Roman" w:hAnsi="Times New Roman"/>
          <w:sz w:val="24"/>
          <w:szCs w:val="24"/>
        </w:rPr>
        <w:t xml:space="preserve"> obligations, and we conclude there are no arguable issues on appeal that require further briefing. (See </w:t>
      </w:r>
      <w:r w:rsidRPr="009C4A80">
        <w:rPr>
          <w:rFonts w:ascii="Times New Roman" w:hAnsi="Times New Roman"/>
          <w:i/>
          <w:iCs/>
          <w:sz w:val="24"/>
          <w:szCs w:val="24"/>
        </w:rPr>
        <w:t>People v</w:t>
      </w:r>
      <w:r w:rsidRPr="009C4A80">
        <w:rPr>
          <w:rFonts w:ascii="Times New Roman" w:hAnsi="Times New Roman"/>
          <w:sz w:val="24"/>
          <w:szCs w:val="24"/>
        </w:rPr>
        <w:t xml:space="preserve">. </w:t>
      </w:r>
      <w:r w:rsidRPr="009C4A80">
        <w:rPr>
          <w:rFonts w:ascii="Times New Roman" w:hAnsi="Times New Roman"/>
          <w:i/>
          <w:iCs/>
          <w:sz w:val="24"/>
          <w:szCs w:val="24"/>
        </w:rPr>
        <w:t xml:space="preserve">Birkett </w:t>
      </w:r>
      <w:hyperlink r:id="rId1024" w:history="1">
        <w:r w:rsidRPr="009C4A80">
          <w:rPr>
            <w:rStyle w:val="Hyperlink"/>
            <w:rFonts w:ascii="Times New Roman" w:hAnsi="Times New Roman"/>
            <w:sz w:val="24"/>
            <w:szCs w:val="24"/>
          </w:rPr>
          <w:t>(1999) 21 Cal.4th 226</w:t>
        </w:r>
      </w:hyperlink>
      <w:r w:rsidRPr="009C4A80">
        <w:rPr>
          <w:rFonts w:ascii="Times New Roman" w:hAnsi="Times New Roman"/>
          <w:sz w:val="24"/>
          <w:szCs w:val="24"/>
        </w:rPr>
        <w:t xml:space="preserve">, 245-247 [victim entitled to restitution in the ‘full amount of the loss caused by the crime, regardless of whether, in the exercise of prudence, the victim had purchased private insurance that covered some or all of the same losses’].)” </w:t>
      </w:r>
      <w:hyperlink r:id="rId1025" w:history="1">
        <w:r w:rsidRPr="009C4A80">
          <w:rPr>
            <w:rStyle w:val="Hyperlink"/>
            <w:rFonts w:ascii="Times New Roman" w:hAnsi="Times New Roman"/>
            <w:sz w:val="24"/>
            <w:szCs w:val="24"/>
          </w:rPr>
          <w:t>http://www.courts.ca.gov/opinions/nonpub/A154587.PDF</w:t>
        </w:r>
      </w:hyperlink>
      <w:r w:rsidRPr="009C4A80">
        <w:rPr>
          <w:rFonts w:ascii="Times New Roman" w:hAnsi="Times New Roman"/>
          <w:sz w:val="24"/>
          <w:szCs w:val="24"/>
        </w:rPr>
        <w:t xml:space="preserve"> </w:t>
      </w:r>
    </w:p>
    <w:p w14:paraId="71EA2686" w14:textId="77777777" w:rsidR="009C4A80" w:rsidRDefault="009C4A80" w:rsidP="00F326E5">
      <w:pPr>
        <w:pStyle w:val="NoSpacing"/>
        <w:rPr>
          <w:rFonts w:ascii="Times New Roman" w:hAnsi="Times New Roman"/>
          <w:b/>
          <w:sz w:val="24"/>
          <w:szCs w:val="24"/>
        </w:rPr>
      </w:pPr>
    </w:p>
    <w:p w14:paraId="188A4BEC" w14:textId="5EE42847" w:rsidR="00F326E5" w:rsidRPr="009C4A80" w:rsidRDefault="00F326E5" w:rsidP="00F326E5">
      <w:pPr>
        <w:pStyle w:val="NoSpacing"/>
        <w:rPr>
          <w:rFonts w:ascii="Times New Roman" w:hAnsi="Times New Roman"/>
          <w:b/>
          <w:sz w:val="24"/>
          <w:szCs w:val="24"/>
        </w:rPr>
      </w:pPr>
      <w:r w:rsidRPr="009C4A80">
        <w:rPr>
          <w:rFonts w:ascii="Times New Roman" w:hAnsi="Times New Roman"/>
          <w:b/>
          <w:sz w:val="24"/>
          <w:szCs w:val="24"/>
        </w:rPr>
        <w:t>Legal Lessons Learned: Great lesson for this drunk driver.  The Insurance company may be entitled to a refund, if this defendant ultimately pays full amount.</w:t>
      </w:r>
    </w:p>
    <w:bookmarkEnd w:id="221"/>
    <w:p w14:paraId="711078C5" w14:textId="77777777" w:rsidR="00F326E5" w:rsidRDefault="00F326E5" w:rsidP="00F326E5">
      <w:pPr>
        <w:rPr>
          <w:rFonts w:eastAsia="Times New Roman"/>
          <w:sz w:val="24"/>
          <w:szCs w:val="24"/>
        </w:rPr>
      </w:pPr>
    </w:p>
    <w:p w14:paraId="1FF60CD6" w14:textId="2816875C" w:rsidR="00F326E5" w:rsidRDefault="00EF1133" w:rsidP="00F326E5">
      <w:pPr>
        <w:rPr>
          <w:sz w:val="24"/>
          <w:szCs w:val="24"/>
        </w:rPr>
      </w:pPr>
      <w:r w:rsidRPr="00EF1133">
        <w:rPr>
          <w:rFonts w:ascii="Arial Black" w:hAnsi="Arial Black"/>
          <w:b/>
          <w:sz w:val="24"/>
          <w:szCs w:val="24"/>
        </w:rPr>
        <w:t>5-</w:t>
      </w:r>
      <w:r>
        <w:rPr>
          <w:rFonts w:ascii="Arial Black" w:hAnsi="Arial Black"/>
          <w:b/>
          <w:sz w:val="24"/>
          <w:szCs w:val="24"/>
        </w:rPr>
        <w:t>2</w:t>
      </w:r>
    </w:p>
    <w:p w14:paraId="3D573D8B" w14:textId="4F0A5F78" w:rsidR="00F326E5" w:rsidRDefault="00F326E5" w:rsidP="00F326E5">
      <w:pPr>
        <w:rPr>
          <w:rFonts w:ascii="Arial Black" w:eastAsia="Times New Roman" w:hAnsi="Arial Black"/>
          <w:sz w:val="28"/>
          <w:szCs w:val="28"/>
        </w:rPr>
      </w:pPr>
      <w:bookmarkStart w:id="222" w:name="_Hlk7342818"/>
      <w:r>
        <w:rPr>
          <w:rFonts w:ascii="Arial Black" w:eastAsia="Times New Roman" w:hAnsi="Arial Black"/>
          <w:sz w:val="28"/>
          <w:szCs w:val="28"/>
        </w:rPr>
        <w:t>OH: EMER. VEH. OPERATOR ENTITLED TO IMMUNITY – BACKED OVER WALKER – NOT “RECKLESS”</w:t>
      </w:r>
    </w:p>
    <w:p w14:paraId="7285E0B9" w14:textId="77777777" w:rsidR="009C4A80" w:rsidRDefault="00F326E5" w:rsidP="00F326E5">
      <w:pPr>
        <w:pStyle w:val="NoSpacing"/>
        <w:rPr>
          <w:rFonts w:ascii="Times New Roman" w:hAnsi="Times New Roman"/>
          <w:sz w:val="24"/>
          <w:szCs w:val="24"/>
        </w:rPr>
      </w:pPr>
      <w:r w:rsidRPr="009C4A80">
        <w:rPr>
          <w:rFonts w:ascii="Times New Roman" w:eastAsia="Times New Roman" w:hAnsi="Times New Roman"/>
          <w:bCs/>
          <w:sz w:val="24"/>
          <w:szCs w:val="24"/>
        </w:rPr>
        <w:t xml:space="preserve">On </w:t>
      </w:r>
      <w:bookmarkStart w:id="223" w:name="_Hlk39829822"/>
      <w:r w:rsidRPr="009C4A80">
        <w:rPr>
          <w:rFonts w:ascii="Times New Roman" w:eastAsia="Times New Roman" w:hAnsi="Times New Roman"/>
          <w:bCs/>
          <w:sz w:val="24"/>
          <w:szCs w:val="24"/>
        </w:rPr>
        <w:t xml:space="preserve">Oct. 9, 2018, in </w:t>
      </w:r>
      <w:r w:rsidRPr="009C4A80">
        <w:rPr>
          <w:rFonts w:ascii="Times New Roman" w:eastAsia="Times New Roman" w:hAnsi="Times New Roman"/>
          <w:bCs/>
          <w:sz w:val="24"/>
          <w:szCs w:val="24"/>
          <w:u w:val="single"/>
        </w:rPr>
        <w:t>Riehm v. Green Springs Rural Volunteer Fire Dept</w:t>
      </w:r>
      <w:r w:rsidRPr="009C4A80">
        <w:rPr>
          <w:rFonts w:ascii="Times New Roman" w:eastAsia="Times New Roman" w:hAnsi="Times New Roman"/>
          <w:bCs/>
          <w:sz w:val="24"/>
          <w:szCs w:val="24"/>
        </w:rPr>
        <w:t>., 2018-Ohio-4075</w:t>
      </w:r>
      <w:bookmarkEnd w:id="223"/>
      <w:r w:rsidRPr="009C4A80">
        <w:rPr>
          <w:rFonts w:ascii="Times New Roman" w:eastAsia="Times New Roman" w:hAnsi="Times New Roman"/>
          <w:bCs/>
          <w:sz w:val="24"/>
          <w:szCs w:val="24"/>
        </w:rPr>
        <w:t>, the</w:t>
      </w:r>
      <w:r w:rsidRPr="009C4A80">
        <w:rPr>
          <w:rFonts w:ascii="Times New Roman" w:eastAsia="Times New Roman" w:hAnsi="Times New Roman"/>
          <w:b/>
          <w:sz w:val="24"/>
          <w:szCs w:val="24"/>
        </w:rPr>
        <w:t xml:space="preserve"> </w:t>
      </w:r>
      <w:r w:rsidRPr="009C4A80">
        <w:rPr>
          <w:rFonts w:ascii="Times New Roman" w:eastAsia="Times New Roman" w:hAnsi="Times New Roman"/>
          <w:sz w:val="24"/>
          <w:szCs w:val="24"/>
        </w:rPr>
        <w:t xml:space="preserve">Ohio Court of Appeals for Third District (Seneca County), held (2 to 1) that the trial court improperly denied the fire department, and firefighter </w:t>
      </w:r>
      <w:r w:rsidRPr="009C4A80">
        <w:rPr>
          <w:rFonts w:ascii="Times New Roman" w:hAnsi="Times New Roman"/>
          <w:sz w:val="24"/>
          <w:szCs w:val="24"/>
        </w:rPr>
        <w:t xml:space="preserve">Seth T. Knieriemen’s motions for summary judgment.  </w:t>
      </w:r>
    </w:p>
    <w:p w14:paraId="63E95956" w14:textId="77777777" w:rsidR="009C4A80" w:rsidRDefault="009C4A80" w:rsidP="00F326E5">
      <w:pPr>
        <w:pStyle w:val="NoSpacing"/>
        <w:rPr>
          <w:rFonts w:ascii="Times New Roman" w:hAnsi="Times New Roman"/>
          <w:sz w:val="24"/>
          <w:szCs w:val="24"/>
        </w:rPr>
      </w:pPr>
    </w:p>
    <w:p w14:paraId="56E0C221" w14:textId="150B0C73" w:rsidR="00F326E5" w:rsidRPr="009C4A80" w:rsidRDefault="00F326E5" w:rsidP="009C4A80">
      <w:pPr>
        <w:pStyle w:val="NoSpacing"/>
        <w:ind w:left="720"/>
        <w:rPr>
          <w:rStyle w:val="Hyperlink"/>
          <w:rFonts w:ascii="Times New Roman" w:hAnsi="Times New Roman"/>
          <w:b/>
          <w:sz w:val="24"/>
          <w:szCs w:val="24"/>
        </w:rPr>
      </w:pPr>
      <w:r w:rsidRPr="009C4A80">
        <w:rPr>
          <w:rFonts w:ascii="Times New Roman" w:hAnsi="Times New Roman"/>
          <w:sz w:val="24"/>
          <w:szCs w:val="24"/>
        </w:rPr>
        <w:t>“</w:t>
      </w:r>
      <w:r w:rsidRPr="009C4A80">
        <w:rPr>
          <w:rFonts w:ascii="Times New Roman" w:eastAsia="Times New Roman" w:hAnsi="Times New Roman"/>
          <w:sz w:val="24"/>
          <w:szCs w:val="24"/>
        </w:rPr>
        <w:t xml:space="preserve">As to Knieriemen individually, he could still be liable if his conduct constituted recklessness. Recklessness implies conduct that is substantially greater than negligence. Knieriemen’s failure to follow standard operating guidelines does not establish a genuine issue of material fact as to whether there was more than negligence here, particularly where he did not see, and perhaps could not have seen, Lorri. Knieriemen’s conduct could certainly be considered negligent, but not substantially greater than negligent. Therefore, we find that the trial court also erred on this issue.” </w:t>
      </w:r>
      <w:bookmarkStart w:id="224" w:name="_Hlk39829850"/>
      <w:r w:rsidR="00374417">
        <w:fldChar w:fldCharType="begin"/>
      </w:r>
      <w:r w:rsidR="00374417">
        <w:instrText xml:space="preserve"> HYPERLINK "https://www.courtlistener.com/pdf/2018/10/09/riehm_v._green_springs_rural_volunteer_fire_dept..pdf" </w:instrText>
      </w:r>
      <w:r w:rsidR="00374417">
        <w:fldChar w:fldCharType="separate"/>
      </w:r>
      <w:r w:rsidRPr="009C4A80">
        <w:rPr>
          <w:rStyle w:val="Hyperlink"/>
          <w:rFonts w:ascii="Times New Roman" w:hAnsi="Times New Roman"/>
          <w:sz w:val="24"/>
          <w:szCs w:val="24"/>
        </w:rPr>
        <w:t>https://www.courtlistener.com/pdf/2018/10/09/riehm_v._green_springs_rural_volunteer_fire_dept..pdf</w:t>
      </w:r>
      <w:r w:rsidR="00374417">
        <w:rPr>
          <w:rStyle w:val="Hyperlink"/>
          <w:rFonts w:ascii="Times New Roman" w:hAnsi="Times New Roman"/>
          <w:sz w:val="24"/>
          <w:szCs w:val="24"/>
        </w:rPr>
        <w:fldChar w:fldCharType="end"/>
      </w:r>
      <w:bookmarkEnd w:id="224"/>
    </w:p>
    <w:p w14:paraId="6AC4635A" w14:textId="77777777" w:rsidR="009C4A80" w:rsidRDefault="009C4A80" w:rsidP="00F326E5">
      <w:pPr>
        <w:rPr>
          <w:rFonts w:ascii="Times New Roman" w:hAnsi="Times New Roman"/>
          <w:b/>
          <w:sz w:val="24"/>
          <w:szCs w:val="24"/>
        </w:rPr>
      </w:pPr>
    </w:p>
    <w:p w14:paraId="07845484" w14:textId="0A1535FA" w:rsidR="00F326E5" w:rsidRPr="009C4A80" w:rsidRDefault="00F326E5" w:rsidP="00F326E5">
      <w:pPr>
        <w:rPr>
          <w:rFonts w:ascii="Times New Roman" w:hAnsi="Times New Roman"/>
          <w:b/>
          <w:sz w:val="24"/>
          <w:szCs w:val="24"/>
        </w:rPr>
      </w:pPr>
      <w:r w:rsidRPr="009C4A80">
        <w:rPr>
          <w:rFonts w:ascii="Times New Roman" w:hAnsi="Times New Roman"/>
          <w:b/>
          <w:sz w:val="24"/>
          <w:szCs w:val="24"/>
        </w:rPr>
        <w:t xml:space="preserve">Legal Lessons Learned:  Tragic accidents can be avoided if SOGs are followed, including using a backer.  </w:t>
      </w:r>
    </w:p>
    <w:bookmarkEnd w:id="222"/>
    <w:p w14:paraId="7AAB0E56" w14:textId="77777777" w:rsidR="00F326E5" w:rsidRDefault="00F326E5" w:rsidP="00F326E5">
      <w:pPr>
        <w:rPr>
          <w:b/>
          <w:sz w:val="24"/>
          <w:szCs w:val="24"/>
        </w:rPr>
      </w:pPr>
    </w:p>
    <w:p w14:paraId="0F51F6E6" w14:textId="45CE9A32" w:rsidR="00F326E5" w:rsidRPr="00EF1133" w:rsidRDefault="00EF1133" w:rsidP="00F326E5">
      <w:pPr>
        <w:rPr>
          <w:rFonts w:ascii="Arial Black" w:hAnsi="Arial Black"/>
          <w:b/>
          <w:sz w:val="24"/>
          <w:szCs w:val="24"/>
        </w:rPr>
      </w:pPr>
      <w:r w:rsidRPr="00EF1133">
        <w:rPr>
          <w:rFonts w:ascii="Arial Black" w:hAnsi="Arial Black"/>
          <w:b/>
          <w:sz w:val="24"/>
          <w:szCs w:val="24"/>
        </w:rPr>
        <w:t>5-1</w:t>
      </w:r>
    </w:p>
    <w:p w14:paraId="5679A08F" w14:textId="5BFD68B1" w:rsidR="00F326E5" w:rsidRPr="00103A9C" w:rsidRDefault="00F326E5" w:rsidP="00F326E5">
      <w:pPr>
        <w:rPr>
          <w:rFonts w:ascii="Arial Black" w:hAnsi="Arial Black"/>
          <w:sz w:val="28"/>
          <w:szCs w:val="28"/>
        </w:rPr>
      </w:pPr>
      <w:bookmarkStart w:id="225" w:name="_Hlk7342908"/>
      <w:r w:rsidRPr="00103A9C">
        <w:rPr>
          <w:rFonts w:ascii="Arial Black" w:hAnsi="Arial Black"/>
          <w:sz w:val="28"/>
          <w:szCs w:val="28"/>
        </w:rPr>
        <w:lastRenderedPageBreak/>
        <w:t>MI: A</w:t>
      </w:r>
      <w:r>
        <w:rPr>
          <w:rFonts w:ascii="Arial Black" w:hAnsi="Arial Black"/>
          <w:sz w:val="28"/>
          <w:szCs w:val="28"/>
        </w:rPr>
        <w:t>MBULANCE STRUCT DEBRIS IN ROADWAY, EMT INJURED – NOT ENTITLED TO UNINSURED MOTORIST</w:t>
      </w:r>
      <w:r w:rsidR="00EF0BEC">
        <w:rPr>
          <w:rFonts w:ascii="Arial Black" w:hAnsi="Arial Black"/>
          <w:sz w:val="28"/>
          <w:szCs w:val="28"/>
        </w:rPr>
        <w:t xml:space="preserve"> INSURANCE COVERAGE</w:t>
      </w:r>
    </w:p>
    <w:p w14:paraId="74D68AB1" w14:textId="77777777" w:rsidR="009C4A80" w:rsidRDefault="00F326E5" w:rsidP="00F326E5">
      <w:pPr>
        <w:rPr>
          <w:rFonts w:ascii="Times New Roman" w:hAnsi="Times New Roman"/>
          <w:sz w:val="24"/>
          <w:szCs w:val="24"/>
        </w:rPr>
      </w:pPr>
      <w:r w:rsidRPr="009C4A80">
        <w:rPr>
          <w:rFonts w:ascii="Times New Roman" w:hAnsi="Times New Roman"/>
          <w:sz w:val="24"/>
          <w:szCs w:val="24"/>
        </w:rPr>
        <w:t xml:space="preserve">On Feb. 27, 2018, in Jeremy </w:t>
      </w:r>
      <w:r w:rsidRPr="009C4A80">
        <w:rPr>
          <w:rFonts w:ascii="Times New Roman" w:hAnsi="Times New Roman"/>
          <w:sz w:val="24"/>
          <w:szCs w:val="24"/>
          <w:u w:val="single"/>
        </w:rPr>
        <w:t>Drouillard v. American Alternative Insurance Company</w:t>
      </w:r>
      <w:r w:rsidRPr="009C4A80">
        <w:rPr>
          <w:rFonts w:ascii="Times New Roman" w:hAnsi="Times New Roman"/>
          <w:sz w:val="24"/>
          <w:szCs w:val="24"/>
        </w:rPr>
        <w:t xml:space="preserve">, the Court of Appeals of Michigan held (2 to 1) that the insurance policy which was purchased by ambulance company does not cover such an accident.  </w:t>
      </w:r>
    </w:p>
    <w:p w14:paraId="131160F9" w14:textId="0452BAD7" w:rsidR="00F326E5" w:rsidRPr="009C4A80" w:rsidRDefault="00F326E5" w:rsidP="009C4A80">
      <w:pPr>
        <w:ind w:left="720"/>
        <w:rPr>
          <w:rFonts w:ascii="Times New Roman" w:hAnsi="Times New Roman"/>
          <w:sz w:val="24"/>
          <w:szCs w:val="24"/>
        </w:rPr>
      </w:pPr>
      <w:r w:rsidRPr="009C4A80">
        <w:rPr>
          <w:rFonts w:ascii="Times New Roman" w:hAnsi="Times New Roman"/>
          <w:sz w:val="24"/>
          <w:szCs w:val="24"/>
        </w:rPr>
        <w:t xml:space="preserve">“[T] he plain language of the contract provides uninsured motorist coverage to Drouillard [EMT passenger] only if the unidentified pickup truck caused an object to hit the insured ambulance, and not vice versa. Reviewing the pertinent </w:t>
      </w:r>
      <w:proofErr w:type="gramStart"/>
      <w:r w:rsidRPr="009C4A80">
        <w:rPr>
          <w:rFonts w:ascii="Times New Roman" w:hAnsi="Times New Roman"/>
          <w:sz w:val="24"/>
          <w:szCs w:val="24"/>
        </w:rPr>
        <w:t>section as a whole, the</w:t>
      </w:r>
      <w:proofErr w:type="gramEnd"/>
      <w:r w:rsidRPr="009C4A80">
        <w:rPr>
          <w:rFonts w:ascii="Times New Roman" w:hAnsi="Times New Roman"/>
          <w:sz w:val="24"/>
          <w:szCs w:val="24"/>
        </w:rPr>
        <w:t xml:space="preserve"> language cannot reasonably be understood in any other way. Importantly, Drouillard and Schoenberg {EMT driver] both admitted that the building materials were stationary at the time of the accident, and Schoenberg agreed that, as the driver of the ambulance, she struck the materials in the roadway. Therefore, this is not a situation in which a hit-and-run vehicle caused an object to hit the insured ambulance, and Drouillard is not entitled to uninsured motorist benefits under the terms of the </w:t>
      </w:r>
      <w:proofErr w:type="gramStart"/>
      <w:r w:rsidRPr="009C4A80">
        <w:rPr>
          <w:rFonts w:ascii="Times New Roman" w:hAnsi="Times New Roman"/>
          <w:sz w:val="24"/>
          <w:szCs w:val="24"/>
        </w:rPr>
        <w:t>policy.”</w:t>
      </w:r>
      <w:proofErr w:type="gramEnd"/>
      <w:r w:rsidRPr="009C4A80">
        <w:rPr>
          <w:rFonts w:ascii="Times New Roman" w:hAnsi="Times New Roman"/>
          <w:sz w:val="24"/>
          <w:szCs w:val="24"/>
        </w:rPr>
        <w:t xml:space="preserve"> </w:t>
      </w:r>
      <w:hyperlink r:id="rId1026" w:history="1">
        <w:r w:rsidRPr="009C4A80">
          <w:rPr>
            <w:rStyle w:val="Hyperlink"/>
            <w:rFonts w:ascii="Times New Roman" w:hAnsi="Times New Roman"/>
            <w:sz w:val="24"/>
            <w:szCs w:val="24"/>
          </w:rPr>
          <w:t>https://caselaw.findlaw.com/mi-court-of-appeals/1890718.html</w:t>
        </w:r>
      </w:hyperlink>
      <w:r w:rsidRPr="009C4A80">
        <w:rPr>
          <w:rFonts w:ascii="Times New Roman" w:hAnsi="Times New Roman"/>
          <w:sz w:val="24"/>
          <w:szCs w:val="24"/>
        </w:rPr>
        <w:t xml:space="preserve"> </w:t>
      </w:r>
    </w:p>
    <w:p w14:paraId="58B5F07F" w14:textId="5660B739" w:rsidR="00F326E5" w:rsidRDefault="00F326E5" w:rsidP="0090461E">
      <w:pPr>
        <w:rPr>
          <w:rFonts w:ascii="Arial Black" w:hAnsi="Arial Black"/>
          <w:sz w:val="40"/>
          <w:szCs w:val="40"/>
        </w:rPr>
      </w:pPr>
      <w:r w:rsidRPr="009C4A80">
        <w:rPr>
          <w:rFonts w:ascii="Times New Roman" w:hAnsi="Times New Roman"/>
          <w:b/>
          <w:sz w:val="24"/>
          <w:szCs w:val="24"/>
        </w:rPr>
        <w:t>Legal Lessons Learned:  Ask your insurance carrier how they would respond to a similar claim; if they would deny the claim, then get the insurance carrier to amend your policy or find a new carrier.</w:t>
      </w:r>
      <w:r w:rsidRPr="009F2867">
        <w:rPr>
          <w:b/>
          <w:sz w:val="24"/>
          <w:szCs w:val="24"/>
        </w:rPr>
        <w:t xml:space="preserve"> </w:t>
      </w:r>
      <w:bookmarkEnd w:id="225"/>
    </w:p>
    <w:p w14:paraId="649E036E" w14:textId="77777777" w:rsidR="0090461E" w:rsidRDefault="0090461E" w:rsidP="00F326E5">
      <w:pPr>
        <w:pStyle w:val="NoSpacing"/>
        <w:rPr>
          <w:rFonts w:ascii="Arial Black" w:hAnsi="Arial Black"/>
          <w:sz w:val="40"/>
          <w:szCs w:val="40"/>
        </w:rPr>
      </w:pPr>
    </w:p>
    <w:p w14:paraId="36C6CE7B" w14:textId="77777777" w:rsidR="0090461E" w:rsidRDefault="0090461E" w:rsidP="00F326E5">
      <w:pPr>
        <w:pStyle w:val="NoSpacing"/>
        <w:rPr>
          <w:rFonts w:ascii="Arial Black" w:hAnsi="Arial Black"/>
          <w:sz w:val="40"/>
          <w:szCs w:val="40"/>
        </w:rPr>
      </w:pPr>
    </w:p>
    <w:p w14:paraId="1081D8B7" w14:textId="77777777" w:rsidR="0090461E" w:rsidRDefault="0090461E" w:rsidP="00F326E5">
      <w:pPr>
        <w:pStyle w:val="NoSpacing"/>
        <w:rPr>
          <w:rFonts w:ascii="Arial Black" w:hAnsi="Arial Black"/>
          <w:sz w:val="40"/>
          <w:szCs w:val="40"/>
        </w:rPr>
      </w:pPr>
    </w:p>
    <w:p w14:paraId="66D50EAB" w14:textId="77777777" w:rsidR="0090461E" w:rsidRDefault="0090461E" w:rsidP="00F326E5">
      <w:pPr>
        <w:pStyle w:val="NoSpacing"/>
        <w:rPr>
          <w:rFonts w:ascii="Arial Black" w:hAnsi="Arial Black"/>
          <w:sz w:val="40"/>
          <w:szCs w:val="40"/>
        </w:rPr>
      </w:pPr>
    </w:p>
    <w:p w14:paraId="296EFA27" w14:textId="77777777" w:rsidR="0090461E" w:rsidRDefault="0090461E" w:rsidP="00F326E5">
      <w:pPr>
        <w:pStyle w:val="NoSpacing"/>
        <w:rPr>
          <w:rFonts w:ascii="Arial Black" w:hAnsi="Arial Black"/>
          <w:sz w:val="40"/>
          <w:szCs w:val="40"/>
        </w:rPr>
      </w:pPr>
    </w:p>
    <w:p w14:paraId="30B957C6" w14:textId="77777777" w:rsidR="0090461E" w:rsidRDefault="0090461E" w:rsidP="00F326E5">
      <w:pPr>
        <w:pStyle w:val="NoSpacing"/>
        <w:rPr>
          <w:rFonts w:ascii="Arial Black" w:hAnsi="Arial Black"/>
          <w:sz w:val="40"/>
          <w:szCs w:val="40"/>
        </w:rPr>
      </w:pPr>
    </w:p>
    <w:p w14:paraId="494BD50A" w14:textId="77777777" w:rsidR="0090461E" w:rsidRDefault="0090461E" w:rsidP="00F326E5">
      <w:pPr>
        <w:pStyle w:val="NoSpacing"/>
        <w:rPr>
          <w:rFonts w:ascii="Arial Black" w:hAnsi="Arial Black"/>
          <w:sz w:val="40"/>
          <w:szCs w:val="40"/>
        </w:rPr>
      </w:pPr>
    </w:p>
    <w:p w14:paraId="05451AE6" w14:textId="77777777" w:rsidR="0090461E" w:rsidRDefault="0090461E" w:rsidP="00F326E5">
      <w:pPr>
        <w:pStyle w:val="NoSpacing"/>
        <w:rPr>
          <w:rFonts w:ascii="Arial Black" w:hAnsi="Arial Black"/>
          <w:sz w:val="40"/>
          <w:szCs w:val="40"/>
        </w:rPr>
      </w:pPr>
    </w:p>
    <w:p w14:paraId="097348AB" w14:textId="77777777" w:rsidR="0090461E" w:rsidRDefault="0090461E" w:rsidP="00F326E5">
      <w:pPr>
        <w:pStyle w:val="NoSpacing"/>
        <w:rPr>
          <w:rFonts w:ascii="Arial Black" w:hAnsi="Arial Black"/>
          <w:sz w:val="40"/>
          <w:szCs w:val="40"/>
        </w:rPr>
      </w:pPr>
    </w:p>
    <w:p w14:paraId="67837476" w14:textId="77777777" w:rsidR="0090461E" w:rsidRDefault="0090461E" w:rsidP="00F326E5">
      <w:pPr>
        <w:pStyle w:val="NoSpacing"/>
        <w:rPr>
          <w:rFonts w:ascii="Arial Black" w:hAnsi="Arial Black"/>
          <w:sz w:val="40"/>
          <w:szCs w:val="40"/>
        </w:rPr>
      </w:pPr>
    </w:p>
    <w:p w14:paraId="0573D9BC" w14:textId="77777777" w:rsidR="005263F1" w:rsidRDefault="005263F1" w:rsidP="00F326E5">
      <w:pPr>
        <w:pStyle w:val="NoSpacing"/>
        <w:rPr>
          <w:rFonts w:ascii="Arial Black" w:hAnsi="Arial Black"/>
          <w:sz w:val="40"/>
          <w:szCs w:val="40"/>
        </w:rPr>
      </w:pPr>
    </w:p>
    <w:p w14:paraId="0C3B30FD" w14:textId="0982FD90" w:rsidR="0097062D" w:rsidRDefault="0097062D">
      <w:pPr>
        <w:spacing w:after="0" w:line="240" w:lineRule="auto"/>
        <w:rPr>
          <w:rFonts w:ascii="Arial Black" w:hAnsi="Arial Black"/>
          <w:sz w:val="40"/>
          <w:szCs w:val="40"/>
        </w:rPr>
      </w:pPr>
      <w:r>
        <w:rPr>
          <w:rFonts w:ascii="Arial Black" w:hAnsi="Arial Black"/>
          <w:sz w:val="40"/>
          <w:szCs w:val="40"/>
        </w:rPr>
        <w:br w:type="page"/>
      </w:r>
    </w:p>
    <w:p w14:paraId="255FC209" w14:textId="35C02436" w:rsidR="00F326E5" w:rsidRDefault="00F326E5" w:rsidP="00F326E5">
      <w:pPr>
        <w:pStyle w:val="NoSpacing"/>
        <w:rPr>
          <w:rFonts w:ascii="Arial Black" w:hAnsi="Arial Black"/>
          <w:sz w:val="40"/>
          <w:szCs w:val="40"/>
        </w:rPr>
      </w:pPr>
      <w:r w:rsidRPr="007732FA">
        <w:rPr>
          <w:rFonts w:ascii="Arial Black" w:hAnsi="Arial Black"/>
          <w:sz w:val="40"/>
          <w:szCs w:val="40"/>
        </w:rPr>
        <w:lastRenderedPageBreak/>
        <w:t>Chap. 6</w:t>
      </w:r>
      <w:r w:rsidRPr="007732FA">
        <w:rPr>
          <w:rFonts w:ascii="Arial Black" w:hAnsi="Arial Black"/>
          <w:sz w:val="40"/>
          <w:szCs w:val="40"/>
        </w:rPr>
        <w:tab/>
        <w:t>Employment Litigation</w:t>
      </w:r>
      <w:r w:rsidR="003F660F">
        <w:rPr>
          <w:rFonts w:ascii="Arial Black" w:hAnsi="Arial Black"/>
          <w:sz w:val="40"/>
          <w:szCs w:val="40"/>
        </w:rPr>
        <w:t>, incl</w:t>
      </w:r>
      <w:r w:rsidR="00BC5936">
        <w:rPr>
          <w:rFonts w:ascii="Arial Black" w:hAnsi="Arial Black"/>
          <w:sz w:val="40"/>
          <w:szCs w:val="40"/>
        </w:rPr>
        <w:t xml:space="preserve">. </w:t>
      </w:r>
      <w:r w:rsidR="00BB43DD">
        <w:rPr>
          <w:rFonts w:ascii="Arial Black" w:hAnsi="Arial Black"/>
          <w:sz w:val="40"/>
          <w:szCs w:val="40"/>
        </w:rPr>
        <w:t>Workers</w:t>
      </w:r>
      <w:r w:rsidR="005F0E6D">
        <w:rPr>
          <w:rFonts w:ascii="Arial Black" w:hAnsi="Arial Black"/>
          <w:sz w:val="40"/>
          <w:szCs w:val="40"/>
        </w:rPr>
        <w:t>’</w:t>
      </w:r>
      <w:r w:rsidR="00BB43DD">
        <w:rPr>
          <w:rFonts w:ascii="Arial Black" w:hAnsi="Arial Black"/>
          <w:sz w:val="40"/>
          <w:szCs w:val="40"/>
        </w:rPr>
        <w:t xml:space="preserve"> Comp</w:t>
      </w:r>
      <w:r w:rsidR="003F660F">
        <w:rPr>
          <w:rFonts w:ascii="Arial Black" w:hAnsi="Arial Black"/>
          <w:sz w:val="40"/>
          <w:szCs w:val="40"/>
        </w:rPr>
        <w:t>.</w:t>
      </w:r>
      <w:r w:rsidR="00BC5936">
        <w:rPr>
          <w:rFonts w:ascii="Arial Black" w:hAnsi="Arial Black"/>
          <w:sz w:val="40"/>
          <w:szCs w:val="40"/>
        </w:rPr>
        <w:t>, Disability</w:t>
      </w:r>
    </w:p>
    <w:p w14:paraId="1CAF88C4" w14:textId="77777777" w:rsidR="00066F05" w:rsidRDefault="00066F05" w:rsidP="00EF1133">
      <w:pPr>
        <w:rPr>
          <w:rFonts w:ascii="Arial Black" w:hAnsi="Arial Black"/>
          <w:b/>
          <w:sz w:val="24"/>
          <w:szCs w:val="24"/>
        </w:rPr>
      </w:pPr>
    </w:p>
    <w:p w14:paraId="4B4D6EAC" w14:textId="30A84043" w:rsidR="00C26E25" w:rsidRDefault="00C26E25" w:rsidP="00C26E25">
      <w:pPr>
        <w:rPr>
          <w:rFonts w:ascii="Arial Black" w:hAnsi="Arial Black"/>
          <w:b/>
          <w:sz w:val="28"/>
          <w:szCs w:val="28"/>
        </w:rPr>
      </w:pPr>
      <w:r>
        <w:rPr>
          <w:rFonts w:ascii="Arial Black" w:hAnsi="Arial Black"/>
          <w:b/>
          <w:sz w:val="24"/>
          <w:szCs w:val="24"/>
        </w:rPr>
        <w:t>6-188</w:t>
      </w:r>
    </w:p>
    <w:p w14:paraId="3D7251DD" w14:textId="0203151B" w:rsidR="00C26E25" w:rsidRPr="00B50A22" w:rsidRDefault="00C26E25" w:rsidP="00C26E25">
      <w:pPr>
        <w:pStyle w:val="NoSpacing"/>
        <w:rPr>
          <w:rFonts w:ascii="Arial Black" w:hAnsi="Arial Black"/>
          <w:b/>
          <w:sz w:val="28"/>
          <w:szCs w:val="28"/>
        </w:rPr>
      </w:pPr>
      <w:r>
        <w:rPr>
          <w:rFonts w:ascii="Arial Black" w:hAnsi="Arial Black"/>
          <w:b/>
          <w:sz w:val="28"/>
          <w:szCs w:val="28"/>
        </w:rPr>
        <w:t>NY: NECK / SHOULDER – DEGENER - NO DISAB BENEFITS</w:t>
      </w:r>
    </w:p>
    <w:p w14:paraId="65BB6DAA" w14:textId="77777777" w:rsidR="00C26E25" w:rsidRDefault="00C26E25" w:rsidP="00C26E25">
      <w:pPr>
        <w:pStyle w:val="NoSpacing"/>
        <w:rPr>
          <w:b/>
        </w:rPr>
      </w:pPr>
    </w:p>
    <w:p w14:paraId="626AFF8D" w14:textId="77777777" w:rsidR="00C26E25" w:rsidRDefault="00C26E25" w:rsidP="00C26E25">
      <w:pPr>
        <w:pStyle w:val="NoSpacing"/>
      </w:pPr>
      <w:r>
        <w:t xml:space="preserve">On July 24, 2026, </w:t>
      </w:r>
      <w:r w:rsidRPr="00FD522C">
        <w:rPr>
          <w:u w:val="single"/>
        </w:rPr>
        <w:t xml:space="preserve">In </w:t>
      </w:r>
      <w:proofErr w:type="gramStart"/>
      <w:r w:rsidRPr="00FD522C">
        <w:rPr>
          <w:u w:val="single"/>
        </w:rPr>
        <w:t>The</w:t>
      </w:r>
      <w:proofErr w:type="gramEnd"/>
      <w:r w:rsidRPr="00FD522C">
        <w:rPr>
          <w:u w:val="single"/>
        </w:rPr>
        <w:t xml:space="preserve"> Matter </w:t>
      </w:r>
      <w:proofErr w:type="gramStart"/>
      <w:r w:rsidRPr="00FD522C">
        <w:rPr>
          <w:u w:val="single"/>
        </w:rPr>
        <w:t>Of</w:t>
      </w:r>
      <w:proofErr w:type="gramEnd"/>
      <w:r w:rsidRPr="00FD522C">
        <w:rPr>
          <w:u w:val="single"/>
        </w:rPr>
        <w:t xml:space="preserve"> Randy Spencer</w:t>
      </w:r>
      <w:r>
        <w:t xml:space="preserve">, the </w:t>
      </w:r>
      <w:r w:rsidRPr="00BC5751">
        <w:t>Supreme Court of New York, Fourth Department</w:t>
      </w:r>
      <w:r>
        <w:t xml:space="preserve"> held (5 to 0) that the firefighter was properly denied disability benefits.  The firefighter’s treating physician concluded that neck and right should injuries </w:t>
      </w:r>
      <w:proofErr w:type="gramStart"/>
      <w:r>
        <w:t>were</w:t>
      </w:r>
      <w:proofErr w:type="gramEnd"/>
      <w:r>
        <w:t xml:space="preserve"> a direct result of the March 7, </w:t>
      </w:r>
      <w:proofErr w:type="gramStart"/>
      <w:r>
        <w:t>2019</w:t>
      </w:r>
      <w:proofErr w:type="gramEnd"/>
      <w:r>
        <w:t xml:space="preserve"> on duty crash when he was driving the fire truck, the doctor never reviewed the firefighter’s prior medical records.  The City’s physician did review the </w:t>
      </w:r>
      <w:r w:rsidRPr="00B50A22">
        <w:t>pre-accident medical history</w:t>
      </w:r>
      <w:r>
        <w:t xml:space="preserve">, which revealed prior </w:t>
      </w:r>
      <w:r w:rsidRPr="00B50A22">
        <w:t>chronic degeneration</w:t>
      </w:r>
      <w:r>
        <w:t xml:space="preserve"> of neck and shoulder.  </w:t>
      </w:r>
      <w:hyperlink r:id="rId1027" w:history="1">
        <w:r w:rsidRPr="005315D9">
          <w:rPr>
            <w:rStyle w:val="Hyperlink"/>
          </w:rPr>
          <w:t>https://public.fastcase.com/Jhe1Qn%2BmJndQYQU6z%2FeNm3BZXxMtfKvDKUuuTsV2npm66ieHwlmdQlB7eZ5vGA8QuOESb%2F3K1RQvpQEkPuEDUbGjL%2Fa81lCq0WbwpmSle%2Fs%3D?utm_medium=email&amp;_hsenc=p2ANqtz-_5eDAf6zJHZ3x5XTDJZmK3o4KVQ_64dEa2tiItnjUQH6kGchr0D5wuvNQXhbtIIPVnIy-jvGCDQGSZmLLj65ZPiQLHfg&amp;_hsmi=226712652&amp;utm_content=226712652&amp;utm_source=hs_email</w:t>
        </w:r>
      </w:hyperlink>
      <w:r>
        <w:t xml:space="preserve"> </w:t>
      </w:r>
    </w:p>
    <w:p w14:paraId="3DDABA89" w14:textId="77777777" w:rsidR="00C26E25" w:rsidRDefault="00C26E25" w:rsidP="00C26E25">
      <w:pPr>
        <w:pStyle w:val="NoSpacing"/>
      </w:pPr>
    </w:p>
    <w:p w14:paraId="0B32EC58" w14:textId="77777777" w:rsidR="00C26E25" w:rsidRPr="00BC5751" w:rsidRDefault="00C26E25" w:rsidP="00C26E25">
      <w:pPr>
        <w:pStyle w:val="NoSpacing"/>
        <w:rPr>
          <w:bCs/>
        </w:rPr>
      </w:pPr>
      <w:r>
        <w:t>THE COURT WROTE:</w:t>
      </w:r>
    </w:p>
    <w:p w14:paraId="3BA1A5E4" w14:textId="77777777" w:rsidR="00C26E25" w:rsidRPr="003B6EA6" w:rsidRDefault="00C26E25" w:rsidP="00C26E25">
      <w:pPr>
        <w:pStyle w:val="NoSpacing"/>
        <w:rPr>
          <w:bCs/>
        </w:rPr>
      </w:pPr>
    </w:p>
    <w:p w14:paraId="4365DEF7" w14:textId="77777777" w:rsidR="00C26E25" w:rsidRDefault="00C26E25" w:rsidP="00C26E25">
      <w:pPr>
        <w:pStyle w:val="NoSpacing"/>
      </w:pPr>
      <w:r>
        <w:t>“</w:t>
      </w:r>
      <w:r w:rsidRPr="00323804">
        <w:t xml:space="preserve">At the hearing, petitioner presented evidence that he was involved in an on-duty motor vehicle accident while he was driving a </w:t>
      </w:r>
      <w:proofErr w:type="gramStart"/>
      <w:r w:rsidRPr="00323804">
        <w:t>City</w:t>
      </w:r>
      <w:proofErr w:type="gramEnd"/>
      <w:r w:rsidRPr="00323804">
        <w:t xml:space="preserve"> fire truck on March 7, 2019, and that he suffered neck and right shoulder injuries that rendered him physically unable to return to work as a firefighter. Petitioner's evidence included testimony from a physician who began treating petitioner for complaints of neck and right arm pain on March 28, 2019. Although the physician did not review any of petitioner's medical records from before March 7, 2019, the physician opined that petitioner's injuries were caused by the motor vehicle accident.</w:t>
      </w:r>
    </w:p>
    <w:p w14:paraId="362779FB" w14:textId="77777777" w:rsidR="00C26E25" w:rsidRDefault="00C26E25" w:rsidP="00C26E25">
      <w:pPr>
        <w:pStyle w:val="NoSpacing"/>
      </w:pPr>
    </w:p>
    <w:p w14:paraId="237F5A44" w14:textId="77777777" w:rsidR="00C26E25" w:rsidRDefault="00C26E25" w:rsidP="00C26E25">
      <w:pPr>
        <w:pStyle w:val="NoSpacing"/>
      </w:pPr>
      <w:r>
        <w:t>***</w:t>
      </w:r>
    </w:p>
    <w:p w14:paraId="67B6B280" w14:textId="77777777" w:rsidR="00C26E25" w:rsidRDefault="00C26E25" w:rsidP="00C26E25">
      <w:pPr>
        <w:pStyle w:val="NoSpacing"/>
      </w:pPr>
    </w:p>
    <w:p w14:paraId="66EAC37F" w14:textId="77777777" w:rsidR="00C26E25" w:rsidRDefault="00C26E25" w:rsidP="00C26E25">
      <w:pPr>
        <w:pStyle w:val="NoSpacing"/>
      </w:pPr>
      <w:r w:rsidRPr="00B50A22">
        <w:t xml:space="preserve">While the City did not dispute that petitioner was permanently disabled, the City's examining physician testified that petitioner's prior medical history indicated that his injuries began before March 7, 2019, and were the result of chronic degeneration. The physician thus opined that petitioner's injuries were preexisting and not caused by the motor vehicle accident. The Hearing Officer found both physicians to be credible but found the opinion of the City's </w:t>
      </w:r>
      <w:proofErr w:type="gramStart"/>
      <w:r w:rsidRPr="00B50A22">
        <w:t>expert</w:t>
      </w:r>
      <w:proofErr w:type="gramEnd"/>
      <w:r w:rsidRPr="00B50A22">
        <w:t xml:space="preserve"> more persuasive </w:t>
      </w:r>
      <w:proofErr w:type="gramStart"/>
      <w:r w:rsidRPr="00B50A22">
        <w:t>in light of</w:t>
      </w:r>
      <w:proofErr w:type="gramEnd"/>
      <w:r w:rsidRPr="00B50A22">
        <w:t xml:space="preserve"> the physician's review of petitioner's pre-accident medical history. The Hearing Officer "was entitled to weigh the parties' conflicting medical evidence and to assess the credibility of the witnesses, and [w]e may not weigh the evidence or reject [the Hearing Officer's] choice where the evidence is conflicting and room for a choice exists" (Matter of Erie County Sheriff' s Police Benevolent Assn., Inc. v County of Erie, 159 A.D.3d 1561, 1562 [4th Dept 2018] [internal quotation marks omitted]; see Matter of Childs v City of Little Falls, 109 A.D.3d 1148, 1149 [4th Dept 2013]). We have reviewed petitioner's remaining contention and conclude that it does not require a different result.</w:t>
      </w:r>
      <w:r>
        <w:t>”</w:t>
      </w:r>
    </w:p>
    <w:p w14:paraId="575AC7A9" w14:textId="77777777" w:rsidR="00C26E25" w:rsidRDefault="00C26E25" w:rsidP="00C26E25">
      <w:pPr>
        <w:pStyle w:val="NoSpacing"/>
      </w:pPr>
    </w:p>
    <w:p w14:paraId="50AA8725" w14:textId="77777777" w:rsidR="00C26E25" w:rsidRPr="0083472F" w:rsidRDefault="00C26E25" w:rsidP="00C26E25">
      <w:pPr>
        <w:pStyle w:val="NoSpacing"/>
        <w:rPr>
          <w:b/>
          <w:bCs/>
        </w:rPr>
      </w:pPr>
      <w:r>
        <w:rPr>
          <w:b/>
        </w:rPr>
        <w:t xml:space="preserve">Legal lesson learned: Expert testimony is critical in workers compensation case. </w:t>
      </w:r>
    </w:p>
    <w:p w14:paraId="390F6DBC" w14:textId="77777777" w:rsidR="00C26E25" w:rsidRDefault="00C26E25" w:rsidP="00C26E25">
      <w:pPr>
        <w:pStyle w:val="NoSpacing"/>
        <w:rPr>
          <w:b/>
        </w:rPr>
      </w:pPr>
    </w:p>
    <w:p w14:paraId="1FF1903A" w14:textId="77777777" w:rsidR="00C26E25" w:rsidRDefault="00C26E25" w:rsidP="00C26E25">
      <w:pPr>
        <w:pStyle w:val="NoSpacing"/>
        <w:rPr>
          <w:b/>
          <w:sz w:val="20"/>
          <w:szCs w:val="20"/>
        </w:rPr>
      </w:pPr>
    </w:p>
    <w:p w14:paraId="1136CD20" w14:textId="77777777" w:rsidR="00C26E25" w:rsidRDefault="00C26E25" w:rsidP="00C26E25">
      <w:pPr>
        <w:pStyle w:val="NoSpacing"/>
        <w:rPr>
          <w:b/>
          <w:sz w:val="20"/>
          <w:szCs w:val="20"/>
        </w:rPr>
      </w:pPr>
    </w:p>
    <w:p w14:paraId="7E68061C" w14:textId="77777777" w:rsidR="00C26E25" w:rsidRDefault="00C26E25" w:rsidP="00C26E25">
      <w:pPr>
        <w:pStyle w:val="NoSpacing"/>
        <w:rPr>
          <w:b/>
          <w:sz w:val="20"/>
          <w:szCs w:val="20"/>
        </w:rPr>
      </w:pPr>
    </w:p>
    <w:p w14:paraId="77BF56EE" w14:textId="77777777" w:rsidR="00C26E25" w:rsidRDefault="00C26E25" w:rsidP="00C26E25">
      <w:pPr>
        <w:pStyle w:val="NoSpacing"/>
        <w:rPr>
          <w:b/>
          <w:sz w:val="20"/>
          <w:szCs w:val="20"/>
        </w:rPr>
      </w:pPr>
    </w:p>
    <w:p w14:paraId="0276E4EC" w14:textId="77777777" w:rsidR="00C26E25" w:rsidRDefault="00C26E25" w:rsidP="00C26E25">
      <w:pPr>
        <w:pStyle w:val="NoSpacing"/>
        <w:rPr>
          <w:b/>
          <w:sz w:val="20"/>
          <w:szCs w:val="20"/>
        </w:rPr>
      </w:pPr>
    </w:p>
    <w:p w14:paraId="6E0EEDB0" w14:textId="07924EF2" w:rsidR="00C26E25" w:rsidRDefault="00C26E25" w:rsidP="00C26E25">
      <w:pPr>
        <w:pStyle w:val="NoSpacing"/>
        <w:rPr>
          <w:rFonts w:ascii="Arial Black" w:hAnsi="Arial Black"/>
          <w:bCs/>
          <w:sz w:val="24"/>
          <w:szCs w:val="24"/>
        </w:rPr>
      </w:pPr>
      <w:r w:rsidRPr="00C26E25">
        <w:rPr>
          <w:rFonts w:ascii="Arial Black" w:hAnsi="Arial Black"/>
          <w:bCs/>
          <w:sz w:val="24"/>
          <w:szCs w:val="24"/>
        </w:rPr>
        <w:t>6-187</w:t>
      </w:r>
    </w:p>
    <w:p w14:paraId="7BAEF53D" w14:textId="77777777" w:rsidR="00C26E25" w:rsidRPr="00C26E25" w:rsidRDefault="00C26E25" w:rsidP="00C26E25">
      <w:pPr>
        <w:pStyle w:val="NoSpacing"/>
        <w:rPr>
          <w:rFonts w:ascii="Arial Black" w:hAnsi="Arial Black"/>
          <w:bCs/>
          <w:sz w:val="24"/>
          <w:szCs w:val="24"/>
        </w:rPr>
      </w:pPr>
    </w:p>
    <w:p w14:paraId="4DC16DAD" w14:textId="77777777" w:rsidR="00C26E25" w:rsidRDefault="00C26E25" w:rsidP="00C26E25">
      <w:pPr>
        <w:pStyle w:val="NoSpacing"/>
        <w:rPr>
          <w:rFonts w:ascii="Arial Black" w:hAnsi="Arial Black"/>
          <w:bCs/>
          <w:sz w:val="28"/>
          <w:szCs w:val="28"/>
        </w:rPr>
      </w:pPr>
      <w:r>
        <w:rPr>
          <w:rFonts w:ascii="Arial Black" w:hAnsi="Arial Black"/>
          <w:sz w:val="28"/>
          <w:szCs w:val="28"/>
        </w:rPr>
        <w:t xml:space="preserve">MA: BACK INJURY – ALSO LYMPHOMA – GETS WORK COMP </w:t>
      </w:r>
    </w:p>
    <w:p w14:paraId="10995FB1" w14:textId="77777777" w:rsidR="00C26E25" w:rsidRDefault="00C26E25" w:rsidP="00C26E25">
      <w:pPr>
        <w:pStyle w:val="NoSpacing"/>
        <w:rPr>
          <w:bCs/>
        </w:rPr>
      </w:pPr>
    </w:p>
    <w:p w14:paraId="66F8B49B" w14:textId="77777777" w:rsidR="00C26E25" w:rsidRDefault="00C26E25" w:rsidP="00C26E25">
      <w:pPr>
        <w:pStyle w:val="NoSpacing"/>
        <w:rPr>
          <w:bCs/>
        </w:rPr>
      </w:pPr>
      <w:r>
        <w:t xml:space="preserve">On July 24, 2026, </w:t>
      </w:r>
      <w:proofErr w:type="gramStart"/>
      <w:r w:rsidRPr="00006F13">
        <w:rPr>
          <w:u w:val="single"/>
        </w:rPr>
        <w:t>In</w:t>
      </w:r>
      <w:proofErr w:type="gramEnd"/>
      <w:r w:rsidRPr="00006F13">
        <w:rPr>
          <w:u w:val="single"/>
        </w:rPr>
        <w:t xml:space="preserve"> re Michael Gallaher</w:t>
      </w:r>
      <w:r>
        <w:t xml:space="preserve">, the </w:t>
      </w:r>
      <w:r w:rsidRPr="00006F13">
        <w:t>Appeals Court of Massachusetts</w:t>
      </w:r>
      <w:r>
        <w:t xml:space="preserve"> held (3 to 0) that the Administrative Law Judge, and the Review Board of the Department of Industrial Accidents, properly ordered the </w:t>
      </w:r>
      <w:proofErr w:type="gramStart"/>
      <w:r>
        <w:t>City</w:t>
      </w:r>
      <w:proofErr w:type="gramEnd"/>
      <w:r>
        <w:t xml:space="preserve"> to pay ongoing workers comp benefits. The Medic, injured back in 2019 and again in 2021, had to retire and now requires use of a wheelchair with severe </w:t>
      </w:r>
      <w:r w:rsidRPr="007F378A">
        <w:t>neurological deficit</w:t>
      </w:r>
      <w:r>
        <w:t xml:space="preserve">.  When medical examinations showed that the Medic also has </w:t>
      </w:r>
      <w:r w:rsidRPr="002F467D">
        <w:t>non-Hodgkin's lymphoma</w:t>
      </w:r>
      <w:r>
        <w:t xml:space="preserve">; the </w:t>
      </w:r>
      <w:proofErr w:type="gramStart"/>
      <w:r>
        <w:t>City</w:t>
      </w:r>
      <w:proofErr w:type="gramEnd"/>
      <w:r>
        <w:t xml:space="preserve"> in 2022 filed a </w:t>
      </w:r>
      <w:r w:rsidRPr="00745C39">
        <w:t>complaint for discontinuance of benefits, contending that any ongoing disability was no longer related to the industrial injury.</w:t>
      </w:r>
      <w:r>
        <w:t xml:space="preserve"> The firefighter’s expert was key to the decision: while</w:t>
      </w:r>
      <w:r w:rsidRPr="00745C39">
        <w:t xml:space="preserve"> </w:t>
      </w:r>
      <w:r>
        <w:t>‘</w:t>
      </w:r>
      <w:r w:rsidRPr="002F467D">
        <w:t>lifting incident did occur in the presence of probable preexisting lymphoma. However, that lifting injury significantly worsened the back and left leg symptoms.</w:t>
      </w:r>
      <w:r>
        <w:t>’</w:t>
      </w:r>
      <w:r w:rsidRPr="002F467D">
        <w:t xml:space="preserve"> </w:t>
      </w:r>
      <w:hyperlink r:id="rId1028" w:history="1">
        <w:r w:rsidRPr="005315D9">
          <w:rPr>
            <w:rStyle w:val="Hyperlink"/>
          </w:rPr>
          <w:t>https://public.fastcase.com/Jhe1Qn%2BmJndQYQU6z%2FeNm5P3wAYrkQ98kdLlymoB1tnqkW6UeoR3EEofjHZbRGV948hVvIxCPDS9tpBfFEcmqGTc7kKGvATMMrEucF8thr8%3D?utm_medium=email&amp;_hsenc=p2ANqtz-8jIFUULBvOMnFFZTJscGA3kv4aE6mAq6MuaEb49Zar3qBrOzpASOYVP1MlSDLvHBN7GmUVAcOXynKq8kt28mHQPYsJ8w&amp;_hsmi=226712652&amp;utm_content=226712652&amp;utm_source=hs_email</w:t>
        </w:r>
      </w:hyperlink>
      <w:r>
        <w:t xml:space="preserve"> </w:t>
      </w:r>
    </w:p>
    <w:p w14:paraId="6E359E0F" w14:textId="77777777" w:rsidR="00C26E25" w:rsidRDefault="00C26E25" w:rsidP="00C26E25">
      <w:pPr>
        <w:pStyle w:val="NoSpacing"/>
        <w:rPr>
          <w:bCs/>
        </w:rPr>
      </w:pPr>
    </w:p>
    <w:p w14:paraId="19FD9A0A" w14:textId="77777777" w:rsidR="00C26E25" w:rsidRDefault="00C26E25" w:rsidP="00C26E25">
      <w:pPr>
        <w:pStyle w:val="NoSpacing"/>
        <w:rPr>
          <w:bCs/>
        </w:rPr>
      </w:pPr>
      <w:r>
        <w:t>THE COURT WROTE:</w:t>
      </w:r>
    </w:p>
    <w:p w14:paraId="310B3D63" w14:textId="77777777" w:rsidR="00C26E25" w:rsidRDefault="00C26E25" w:rsidP="00C26E25">
      <w:pPr>
        <w:pStyle w:val="NoSpacing"/>
        <w:rPr>
          <w:bCs/>
        </w:rPr>
      </w:pPr>
    </w:p>
    <w:p w14:paraId="173ECAF2" w14:textId="77777777" w:rsidR="00C26E25" w:rsidRDefault="00C26E25" w:rsidP="00C26E25">
      <w:pPr>
        <w:pStyle w:val="NoSpacing"/>
      </w:pPr>
      <w:r>
        <w:t>“</w:t>
      </w:r>
      <w:r w:rsidRPr="00120347">
        <w:t xml:space="preserve">On August 18, 2019, he </w:t>
      </w:r>
      <w:r>
        <w:t>‘</w:t>
      </w:r>
      <w:r w:rsidRPr="00120347">
        <w:t>injured his back lifting a patient,</w:t>
      </w:r>
      <w:r>
        <w:t xml:space="preserve">’ </w:t>
      </w:r>
      <w:r w:rsidRPr="00120347">
        <w:t>and experienced mid to low back pain and numbness associated with radiation down the left leg. He subsequently returned to work, and on February 20, 2021</w:t>
      </w:r>
      <w:r>
        <w:t xml:space="preserve"> ‘</w:t>
      </w:r>
      <w:r w:rsidRPr="00120347">
        <w:t>sustained further tragic injuries to his lumbar spine, responding to a call for cardiac arrest.</w:t>
      </w:r>
      <w:r>
        <w:t xml:space="preserve">’  [Footnote 1: </w:t>
      </w:r>
      <w:r w:rsidRPr="00456CF3">
        <w:t xml:space="preserve">While lifting a patient for transport, Gallagher </w:t>
      </w:r>
      <w:r>
        <w:t>‘</w:t>
      </w:r>
      <w:r w:rsidRPr="00456CF3">
        <w:t>felt a pop in his back with immediate intense pain down his left leg.</w:t>
      </w:r>
      <w:r>
        <w:t xml:space="preserve">’] </w:t>
      </w:r>
      <w:r w:rsidRPr="003C3F14">
        <w:t>As a result of this accident, he did not return to work. He reported the injury to the city, which began paying for medical treatment and weekly disability benefits effective February 20, 2021</w:t>
      </w:r>
      <w:r>
        <w:t xml:space="preserve">…. </w:t>
      </w:r>
      <w:r w:rsidRPr="007F378A">
        <w:t xml:space="preserve">Gallagher now requires the use of a wheelchair and ongoing medical treatment and care </w:t>
      </w:r>
      <w:r>
        <w:t>‘</w:t>
      </w:r>
      <w:r w:rsidRPr="007F378A">
        <w:t>for his now permanent, severe neurological deficits.</w:t>
      </w:r>
      <w:r>
        <w:t>’</w:t>
      </w:r>
    </w:p>
    <w:p w14:paraId="5EFC606E" w14:textId="77777777" w:rsidR="00C26E25" w:rsidRDefault="00C26E25" w:rsidP="00C26E25">
      <w:pPr>
        <w:pStyle w:val="NoSpacing"/>
      </w:pPr>
    </w:p>
    <w:p w14:paraId="130C56D9" w14:textId="77777777" w:rsidR="00C26E25" w:rsidRDefault="00C26E25" w:rsidP="00C26E25">
      <w:pPr>
        <w:pStyle w:val="NoSpacing"/>
      </w:pPr>
      <w:r>
        <w:t>***</w:t>
      </w:r>
    </w:p>
    <w:p w14:paraId="5B6C721C" w14:textId="77777777" w:rsidR="00C26E25" w:rsidRDefault="00C26E25" w:rsidP="00C26E25">
      <w:pPr>
        <w:pStyle w:val="NoSpacing"/>
      </w:pPr>
      <w:r w:rsidRPr="00F67D02">
        <w:t xml:space="preserve">The city offered the reports of (1) an anesthesiologist who opined that the work-related injury of February 20, 2021, was not the cause of Gallagher's symptoms, and (2) a hematologist and oncologist who opined that Gallagher </w:t>
      </w:r>
      <w:r>
        <w:t>‘</w:t>
      </w:r>
      <w:r w:rsidRPr="00F67D02">
        <w:t>had an injury which resulted in some of the paraparesis, but the cauda equina syndrome was due to the evolving intravascular large B-cell lymphoma.</w:t>
      </w:r>
      <w:r>
        <w:t>’</w:t>
      </w:r>
    </w:p>
    <w:p w14:paraId="6A628D9C" w14:textId="77777777" w:rsidR="00C26E25" w:rsidRDefault="00C26E25" w:rsidP="00C26E25">
      <w:pPr>
        <w:pStyle w:val="NoSpacing"/>
      </w:pPr>
    </w:p>
    <w:p w14:paraId="61DF9A06" w14:textId="77777777" w:rsidR="00C26E25" w:rsidRPr="002F467D" w:rsidRDefault="00C26E25" w:rsidP="00C26E25">
      <w:pPr>
        <w:pStyle w:val="NoSpacing"/>
        <w:rPr>
          <w:bCs/>
        </w:rPr>
      </w:pPr>
      <w:r w:rsidRPr="00EA3C6E">
        <w:t>The sole contention on appeal is that the board's summary affirmance of the administrative judge's decision was arbitrary, capricious, contrary to law, or an abuse of discretion because it was based on legally insufficient medical opinion evidence. We affirm.</w:t>
      </w:r>
      <w:r>
        <w:t xml:space="preserve"> </w:t>
      </w:r>
      <w:r w:rsidRPr="002F467D">
        <w:t xml:space="preserve">Here, there is no merit to the city's claim that the IME's causation opinions were not stated to a reasonable degree of medical certainty. Contrary to this claim, the IME wrote in </w:t>
      </w:r>
      <w:proofErr w:type="gramStart"/>
      <w:r w:rsidRPr="002F467D">
        <w:t>his</w:t>
      </w:r>
      <w:proofErr w:type="gramEnd"/>
      <w:r w:rsidRPr="002F467D">
        <w:t xml:space="preserve"> report as follows: </w:t>
      </w:r>
    </w:p>
    <w:p w14:paraId="5A24B7C9" w14:textId="77777777" w:rsidR="00C26E25" w:rsidRDefault="00C26E25" w:rsidP="00C26E25">
      <w:pPr>
        <w:pStyle w:val="NoSpacing"/>
        <w:rPr>
          <w:bCs/>
        </w:rPr>
      </w:pPr>
    </w:p>
    <w:p w14:paraId="4DAB9188" w14:textId="77777777" w:rsidR="00C26E25" w:rsidRDefault="00C26E25" w:rsidP="00C26E25">
      <w:pPr>
        <w:pStyle w:val="NoSpacing"/>
        <w:ind w:left="720"/>
        <w:rPr>
          <w:bCs/>
        </w:rPr>
      </w:pPr>
      <w:r w:rsidRPr="002F467D">
        <w:t>"</w:t>
      </w:r>
      <w:proofErr w:type="gramStart"/>
      <w:r w:rsidRPr="002F467D">
        <w:t>it</w:t>
      </w:r>
      <w:proofErr w:type="gramEnd"/>
      <w:r w:rsidRPr="002F467D">
        <w:t xml:space="preserve"> is my professional opinion, to a reasonable degree of medical certainty that causally related to the industrial injury of 02/20/21, Mr. Gallagher sustained an acute injury at L4-5 resulting in a </w:t>
      </w:r>
      <w:proofErr w:type="gramStart"/>
      <w:r w:rsidRPr="002F467D">
        <w:t>broad based</w:t>
      </w:r>
      <w:proofErr w:type="gramEnd"/>
      <w:r w:rsidRPr="002F467D">
        <w:t xml:space="preserve"> disc protrusion with subsequent acute onset of back pain and left lumbar radiculopathy in the presence of non-Hodgkin's lymphoma." </w:t>
      </w:r>
    </w:p>
    <w:p w14:paraId="49FADD61" w14:textId="77777777" w:rsidR="00C26E25" w:rsidRDefault="00C26E25" w:rsidP="00C26E25">
      <w:pPr>
        <w:pStyle w:val="NoSpacing"/>
        <w:rPr>
          <w:bCs/>
        </w:rPr>
      </w:pPr>
    </w:p>
    <w:p w14:paraId="380BBD50" w14:textId="77777777" w:rsidR="00C26E25" w:rsidRDefault="00C26E25" w:rsidP="00C26E25">
      <w:pPr>
        <w:pStyle w:val="NoSpacing"/>
        <w:rPr>
          <w:bCs/>
        </w:rPr>
      </w:pPr>
      <w:r w:rsidRPr="002F467D">
        <w:t xml:space="preserve">He further opined that the </w:t>
      </w:r>
      <w:r>
        <w:t>‘</w:t>
      </w:r>
      <w:r w:rsidRPr="002F467D">
        <w:t>lifting incident did occur in the presence of probable preexisting lymphoma. However, that lifting injury significantly worsened the back and left leg symptoms.</w:t>
      </w:r>
      <w:r>
        <w:t>’</w:t>
      </w:r>
      <w:r w:rsidRPr="002F467D">
        <w:t xml:space="preserve"> He also stated, </w:t>
      </w:r>
      <w:r>
        <w:t>‘</w:t>
      </w:r>
      <w:r w:rsidRPr="002F467D">
        <w:t>In my opinion, the industrial incident of 02/20/2021 was a major, but not necessarily predominant cause of his onset of back and left leg symptoms, as well as results of cauda equina syndrome.</w:t>
      </w:r>
      <w:r>
        <w:t>’</w:t>
      </w:r>
      <w:r w:rsidRPr="002F467D">
        <w:t xml:space="preserve"> To avoid any confusion, he repeated </w:t>
      </w:r>
      <w:proofErr w:type="gramStart"/>
      <w:r w:rsidRPr="002F467D">
        <w:t xml:space="preserve">that </w:t>
      </w:r>
      <w:r>
        <w:t>‘</w:t>
      </w:r>
      <w:r w:rsidRPr="002F467D">
        <w:t>[</w:t>
      </w:r>
      <w:proofErr w:type="gramEnd"/>
      <w:r w:rsidRPr="002F467D">
        <w:t>a]11 my opinions are stated to within a reasonable degree of medical certainty.</w:t>
      </w:r>
      <w:r>
        <w:t xml:space="preserve">’ </w:t>
      </w:r>
      <w:r w:rsidRPr="002F467D">
        <w:t>Thus, this aspect of the city's argument fails.</w:t>
      </w:r>
      <w:r>
        <w:t>”</w:t>
      </w:r>
    </w:p>
    <w:p w14:paraId="356A6F32" w14:textId="77777777" w:rsidR="00C26E25" w:rsidRDefault="00C26E25" w:rsidP="00C26E25">
      <w:pPr>
        <w:pStyle w:val="NoSpacing"/>
        <w:rPr>
          <w:bCs/>
        </w:rPr>
      </w:pPr>
    </w:p>
    <w:p w14:paraId="4F388F6E" w14:textId="77777777" w:rsidR="00C26E25" w:rsidRPr="00373CB9" w:rsidRDefault="00C26E25" w:rsidP="00C26E25">
      <w:pPr>
        <w:pStyle w:val="NoSpacing"/>
        <w:rPr>
          <w:b/>
        </w:rPr>
      </w:pPr>
      <w:r>
        <w:rPr>
          <w:b/>
        </w:rPr>
        <w:t xml:space="preserve">Legal lesson learned: The Medic’s expert was key to continuing benefits. </w:t>
      </w:r>
    </w:p>
    <w:p w14:paraId="47E346A0" w14:textId="77777777" w:rsidR="00C26E25" w:rsidRDefault="00C26E25" w:rsidP="00C26E25">
      <w:pPr>
        <w:pStyle w:val="NoSpacing"/>
        <w:rPr>
          <w:bCs/>
        </w:rPr>
      </w:pPr>
    </w:p>
    <w:p w14:paraId="751955E4" w14:textId="77777777" w:rsidR="00C26E25" w:rsidRDefault="00C26E25" w:rsidP="00C26E25">
      <w:pPr>
        <w:pStyle w:val="NoSpacing"/>
        <w:rPr>
          <w:b/>
          <w:sz w:val="20"/>
          <w:szCs w:val="20"/>
        </w:rPr>
      </w:pPr>
    </w:p>
    <w:p w14:paraId="68011000" w14:textId="77777777" w:rsidR="00C26E25" w:rsidRDefault="00C26E25" w:rsidP="00C26E25">
      <w:pPr>
        <w:pStyle w:val="NoSpacing"/>
        <w:rPr>
          <w:b/>
          <w:sz w:val="20"/>
          <w:szCs w:val="20"/>
        </w:rPr>
      </w:pPr>
    </w:p>
    <w:p w14:paraId="0BCFB9BA" w14:textId="77777777" w:rsidR="00C26E25" w:rsidRDefault="00C26E25" w:rsidP="00C26E25">
      <w:pPr>
        <w:pStyle w:val="NoSpacing"/>
        <w:rPr>
          <w:b/>
          <w:sz w:val="20"/>
          <w:szCs w:val="20"/>
        </w:rPr>
      </w:pPr>
    </w:p>
    <w:p w14:paraId="28FD5281" w14:textId="5470AA9E" w:rsidR="00C26E25" w:rsidRPr="00C26E25" w:rsidRDefault="00C26E25" w:rsidP="00C26E25">
      <w:pPr>
        <w:pStyle w:val="NoSpacing"/>
        <w:rPr>
          <w:rFonts w:ascii="Arial Black" w:hAnsi="Arial Black"/>
          <w:b/>
          <w:sz w:val="24"/>
          <w:szCs w:val="24"/>
        </w:rPr>
      </w:pPr>
      <w:r w:rsidRPr="00C26E25">
        <w:rPr>
          <w:rFonts w:ascii="Arial Black" w:hAnsi="Arial Black"/>
          <w:b/>
          <w:sz w:val="24"/>
          <w:szCs w:val="24"/>
        </w:rPr>
        <w:t>6-186</w:t>
      </w:r>
    </w:p>
    <w:p w14:paraId="1952EFCA" w14:textId="77777777" w:rsidR="00C26E25" w:rsidRDefault="00C26E25" w:rsidP="00C26E25">
      <w:pPr>
        <w:pStyle w:val="NoSpacing"/>
        <w:rPr>
          <w:b/>
        </w:rPr>
      </w:pPr>
    </w:p>
    <w:p w14:paraId="1DC5D274" w14:textId="77777777" w:rsidR="00C26E25" w:rsidRPr="002A6BE9" w:rsidRDefault="00C26E25" w:rsidP="00C26E25">
      <w:pPr>
        <w:pStyle w:val="NoSpacing"/>
        <w:rPr>
          <w:rFonts w:ascii="Arial Black" w:hAnsi="Arial Black"/>
          <w:sz w:val="28"/>
          <w:szCs w:val="28"/>
        </w:rPr>
      </w:pPr>
      <w:r>
        <w:rPr>
          <w:rFonts w:ascii="Arial Black" w:hAnsi="Arial Black"/>
          <w:sz w:val="28"/>
          <w:szCs w:val="28"/>
        </w:rPr>
        <w:lastRenderedPageBreak/>
        <w:t xml:space="preserve">PA: MEDIC - BACK &amp; PTSD – NO SOC. SEC. / OTHER WORK </w:t>
      </w:r>
    </w:p>
    <w:p w14:paraId="49277D36" w14:textId="77777777" w:rsidR="00C26E25" w:rsidRDefault="00C26E25" w:rsidP="00C26E25">
      <w:pPr>
        <w:pStyle w:val="NoSpacing"/>
      </w:pPr>
    </w:p>
    <w:p w14:paraId="0AFB6EFD" w14:textId="77777777" w:rsidR="00C26E25" w:rsidRDefault="00C26E25" w:rsidP="00C26E25">
      <w:pPr>
        <w:pStyle w:val="NoSpacing"/>
      </w:pPr>
      <w:r>
        <w:t xml:space="preserve">On July 15, 2026, in </w:t>
      </w:r>
      <w:r w:rsidRPr="0072079C">
        <w:rPr>
          <w:u w:val="single"/>
        </w:rPr>
        <w:t>Brian Robert Bohr v. Frank Bisiganano, Commissioner of Social Security</w:t>
      </w:r>
      <w:r>
        <w:t xml:space="preserve">, U.S .Magistrate Judge </w:t>
      </w:r>
      <w:r w:rsidRPr="00D93BFB">
        <w:t>Martin C. Carlson</w:t>
      </w:r>
      <w:r>
        <w:t xml:space="preserve">, </w:t>
      </w:r>
      <w:r w:rsidRPr="00D93BFB">
        <w:t xml:space="preserve">United States </w:t>
      </w:r>
      <w:r>
        <w:t>District Court for the Middle District of Pennsylvania, affirmed the decision of the Administrative Law Judge.  His PTSD included on O</w:t>
      </w:r>
      <w:r w:rsidRPr="00A60E8A">
        <w:t xml:space="preserve">ctober 26, 2022, the claimant was voluntarily hospitalized for suicidal ideation without a plan, reporting ongoing pain and depression relating to his physical </w:t>
      </w:r>
      <w:proofErr w:type="gramStart"/>
      <w:r w:rsidRPr="00A60E8A">
        <w:t>condition</w:t>
      </w:r>
      <w:r>
        <w:t>s</w:t>
      </w:r>
      <w:proofErr w:type="gramEnd"/>
      <w:r>
        <w:t xml:space="preserve"> </w:t>
      </w:r>
      <w:r w:rsidRPr="00A60E8A">
        <w:t>and inability to work, losing his pet of fourteen (14) years, and feeling like a burden to his family</w:t>
      </w:r>
      <w:r>
        <w:t xml:space="preserve">.  </w:t>
      </w:r>
      <w:hyperlink r:id="rId1029" w:history="1">
        <w:r w:rsidRPr="004D1C66">
          <w:rPr>
            <w:rStyle w:val="Hyperlink"/>
          </w:rPr>
          <w:t>https://cases.justia.com/federal/district-courts/pennsylvania/pamdce/1:2024cv00290/141189/15/0.pdf?ts=1784317755</w:t>
        </w:r>
      </w:hyperlink>
      <w:r>
        <w:t xml:space="preserve"> </w:t>
      </w:r>
    </w:p>
    <w:p w14:paraId="6ADDA8BD" w14:textId="77777777" w:rsidR="00C26E25" w:rsidRDefault="00C26E25" w:rsidP="00C26E25">
      <w:pPr>
        <w:pStyle w:val="NoSpacing"/>
      </w:pPr>
    </w:p>
    <w:p w14:paraId="549F49C7" w14:textId="77777777" w:rsidR="00C26E25" w:rsidRDefault="00C26E25" w:rsidP="00C26E25">
      <w:pPr>
        <w:pStyle w:val="NoSpacing"/>
      </w:pPr>
    </w:p>
    <w:p w14:paraId="7DDE3F84" w14:textId="77777777" w:rsidR="00C26E25" w:rsidRDefault="00C26E25" w:rsidP="00C26E25">
      <w:pPr>
        <w:pStyle w:val="NoSpacing"/>
      </w:pPr>
      <w:r>
        <w:t>THE COURT WROTE: “</w:t>
      </w:r>
      <w:r w:rsidRPr="004E475C">
        <w:t>A hearing was conducted in this case on March 7, 2023, at which Bohr and a vocational expert testified</w:t>
      </w:r>
      <w:r>
        <w:t xml:space="preserve">…. </w:t>
      </w:r>
      <w:r w:rsidRPr="004E475C">
        <w:t>In his testimony, Bohr highlighted ongoing issues with his cervical, thoracic, and lumbar spine with the pain exacerbating his mental health symptoms</w:t>
      </w:r>
      <w:r>
        <w:t xml:space="preserve">…. </w:t>
      </w:r>
      <w:r w:rsidRPr="004E475C">
        <w:t>And, while plaintiff's counsel noted that his overexertion can lead to pain, he also indicated that Bohr retained an ability to at least perform some physical activity and activities of daily living. For example, he noted instances where the plaintiff shoveled snow, fixed flashing, and helped his father repair drywall, although he stated he ended up hospitalized after each instance</w:t>
      </w:r>
      <w:r>
        <w:t xml:space="preserve">…. </w:t>
      </w:r>
      <w:r w:rsidRPr="00F96421">
        <w:t>Having made these findings, the ALJ concluded that Bohr could not perform his past relevant work but that there were other jobs that existed in significant numbers in the national economy that he could perform</w:t>
      </w:r>
      <w:r>
        <w:t xml:space="preserve">…. </w:t>
      </w:r>
      <w:r w:rsidRPr="00F96421">
        <w:t>Accordingly, the ALJ concluded that Bohr had not met the stringent standard of disability set by law and denied this claim.</w:t>
      </w:r>
      <w:r>
        <w:t xml:space="preserve"> </w:t>
      </w:r>
    </w:p>
    <w:p w14:paraId="52379E31" w14:textId="77777777" w:rsidR="00C26E25" w:rsidRDefault="00C26E25" w:rsidP="00C26E25">
      <w:pPr>
        <w:pStyle w:val="NoSpacing"/>
      </w:pPr>
    </w:p>
    <w:p w14:paraId="3ABCA5BA" w14:textId="77777777" w:rsidR="00C26E25" w:rsidRDefault="00C26E25" w:rsidP="00C26E25">
      <w:pPr>
        <w:pStyle w:val="NoSpacing"/>
      </w:pPr>
      <w:r>
        <w:t>***</w:t>
      </w:r>
    </w:p>
    <w:p w14:paraId="722EA7EF" w14:textId="77777777" w:rsidR="00C26E25" w:rsidRDefault="00C26E25" w:rsidP="00C26E25">
      <w:pPr>
        <w:pStyle w:val="NoSpacing"/>
      </w:pPr>
    </w:p>
    <w:p w14:paraId="02ED7417" w14:textId="77777777" w:rsidR="00C26E25" w:rsidRDefault="00C26E25" w:rsidP="00C26E25">
      <w:pPr>
        <w:pStyle w:val="NoSpacing"/>
      </w:pPr>
      <w:r w:rsidRPr="002A6BE9">
        <w:t xml:space="preserve">In closing, the ALJ's assessment of the evidence in this case complied with the dictates of the law and was supported by substantial evidence. This is all that the law requires, and all that a claimant can demand in a disability proceeding. Thus, notwithstanding the argument that this evidence might have been viewed in a way which would have also supported a different finding, we are obliged to affirm this ruling once we find that it is </w:t>
      </w:r>
      <w:r>
        <w:t>‘</w:t>
      </w:r>
      <w:r w:rsidRPr="002A6BE9">
        <w:t xml:space="preserve">supported by substantial evidence, ‘even [where] this court acting </w:t>
      </w:r>
      <w:r w:rsidRPr="002A6BE9">
        <w:rPr>
          <w:i/>
          <w:iCs/>
        </w:rPr>
        <w:t>de novo</w:t>
      </w:r>
      <w:r w:rsidRPr="002A6BE9">
        <w:t xml:space="preserve"> might have reached a different conclusion.</w:t>
      </w:r>
      <w:r>
        <w:t xml:space="preserve">’ </w:t>
      </w:r>
      <w:r w:rsidRPr="002A6BE9">
        <w:t xml:space="preserve"> </w:t>
      </w:r>
      <w:r w:rsidRPr="002A6BE9">
        <w:rPr>
          <w:i/>
          <w:iCs/>
        </w:rPr>
        <w:t>Monsour Med. Ctr. v. Heckler</w:t>
      </w:r>
      <w:r w:rsidRPr="002A6BE9">
        <w:t xml:space="preserve">, 806 F.2d 1185, 1190-91 (3d Cir. 1986) (quoting </w:t>
      </w:r>
      <w:r w:rsidRPr="002A6BE9">
        <w:rPr>
          <w:i/>
          <w:iCs/>
        </w:rPr>
        <w:t>Hunter Douglas, Inc. v. NLRB</w:t>
      </w:r>
      <w:r w:rsidRPr="002A6BE9">
        <w:t>, 804 F.2d 808, 812 (3d Cir. 1986)). Accordingly, under the deferential standard of review that applies to appeals of Social Security disability determinations, we find that substantial evidence supported the ALJ's evaluation of this case and will affirm that decision.</w:t>
      </w:r>
      <w:r>
        <w:t xml:space="preserve">” </w:t>
      </w:r>
    </w:p>
    <w:p w14:paraId="6A8B37FF" w14:textId="77777777" w:rsidR="00C26E25" w:rsidRDefault="00C26E25" w:rsidP="00C26E25">
      <w:pPr>
        <w:pStyle w:val="NoSpacing"/>
      </w:pPr>
    </w:p>
    <w:p w14:paraId="79F020D4" w14:textId="77777777" w:rsidR="00C26E25" w:rsidRPr="00325C52" w:rsidRDefault="00C26E25" w:rsidP="00C26E25">
      <w:pPr>
        <w:pStyle w:val="NoSpacing"/>
        <w:rPr>
          <w:b/>
          <w:bCs/>
        </w:rPr>
      </w:pPr>
      <w:r>
        <w:rPr>
          <w:b/>
        </w:rPr>
        <w:t>Legal lesson learned: Social Security disability requires proof the claimant cannot perform any jobs, not just work as a medic; courts follow a “</w:t>
      </w:r>
      <w:r w:rsidRPr="00325C52">
        <w:rPr>
          <w:b/>
        </w:rPr>
        <w:t>deferential standard of review</w:t>
      </w:r>
      <w:r>
        <w:rPr>
          <w:b/>
        </w:rPr>
        <w:t xml:space="preserve">: where ALJ decision must be upheld when there is </w:t>
      </w:r>
      <w:r w:rsidRPr="00325C52">
        <w:rPr>
          <w:b/>
        </w:rPr>
        <w:t xml:space="preserve">“substantial evidence” supporting the ALJ's determination. </w:t>
      </w:r>
    </w:p>
    <w:p w14:paraId="0C286B24" w14:textId="77777777" w:rsidR="00C26E25" w:rsidRPr="005570A9" w:rsidRDefault="00C26E25" w:rsidP="00C26E25">
      <w:pPr>
        <w:pStyle w:val="NoSpacing"/>
        <w:rPr>
          <w:b/>
          <w:bCs/>
        </w:rPr>
      </w:pPr>
    </w:p>
    <w:p w14:paraId="62DC9B87" w14:textId="77777777" w:rsidR="00C26E25" w:rsidRDefault="00C26E25" w:rsidP="009D37DC">
      <w:pPr>
        <w:rPr>
          <w:rFonts w:ascii="Arial Black" w:hAnsi="Arial Black"/>
          <w:b/>
          <w:sz w:val="28"/>
          <w:szCs w:val="28"/>
        </w:rPr>
      </w:pPr>
    </w:p>
    <w:p w14:paraId="06E5CC31" w14:textId="77777777" w:rsidR="00C26E25" w:rsidRDefault="00C26E25" w:rsidP="009D37DC">
      <w:pPr>
        <w:rPr>
          <w:rFonts w:ascii="Arial Black" w:hAnsi="Arial Black"/>
          <w:b/>
          <w:sz w:val="28"/>
          <w:szCs w:val="28"/>
        </w:rPr>
      </w:pPr>
    </w:p>
    <w:p w14:paraId="32EAAADE" w14:textId="77777777" w:rsidR="00C26E25" w:rsidRDefault="00C26E25" w:rsidP="009D37DC">
      <w:pPr>
        <w:rPr>
          <w:rFonts w:ascii="Arial Black" w:hAnsi="Arial Black"/>
          <w:b/>
          <w:sz w:val="28"/>
          <w:szCs w:val="28"/>
        </w:rPr>
      </w:pPr>
    </w:p>
    <w:p w14:paraId="635DC9D9" w14:textId="77777777" w:rsidR="00C26E25" w:rsidRDefault="00C26E25" w:rsidP="009D37DC">
      <w:pPr>
        <w:rPr>
          <w:rFonts w:ascii="Arial Black" w:hAnsi="Arial Black"/>
          <w:b/>
          <w:sz w:val="28"/>
          <w:szCs w:val="28"/>
        </w:rPr>
      </w:pPr>
    </w:p>
    <w:p w14:paraId="715DFAFB" w14:textId="77777777" w:rsidR="00C26E25" w:rsidRDefault="00C26E25" w:rsidP="009D37DC">
      <w:pPr>
        <w:rPr>
          <w:rFonts w:ascii="Arial Black" w:hAnsi="Arial Black"/>
          <w:b/>
          <w:sz w:val="28"/>
          <w:szCs w:val="28"/>
        </w:rPr>
      </w:pPr>
    </w:p>
    <w:p w14:paraId="6474727D" w14:textId="20156F5D" w:rsidR="009D37DC" w:rsidRDefault="009D37DC" w:rsidP="009D37DC">
      <w:pPr>
        <w:rPr>
          <w:rFonts w:ascii="Arial Black" w:hAnsi="Arial Black"/>
          <w:b/>
          <w:sz w:val="28"/>
          <w:szCs w:val="28"/>
        </w:rPr>
      </w:pPr>
      <w:r>
        <w:rPr>
          <w:rFonts w:ascii="Arial Black" w:hAnsi="Arial Black"/>
          <w:b/>
          <w:sz w:val="28"/>
          <w:szCs w:val="28"/>
        </w:rPr>
        <w:t>6-185</w:t>
      </w:r>
    </w:p>
    <w:p w14:paraId="61949543" w14:textId="77777777" w:rsidR="003502A8" w:rsidRDefault="003502A8" w:rsidP="003502A8">
      <w:pPr>
        <w:pStyle w:val="NoSpacing"/>
        <w:rPr>
          <w:rFonts w:ascii="Arial Black" w:hAnsi="Arial Black"/>
          <w:sz w:val="28"/>
          <w:szCs w:val="28"/>
        </w:rPr>
      </w:pPr>
      <w:r>
        <w:rPr>
          <w:rFonts w:ascii="Arial Black" w:hAnsi="Arial Black"/>
          <w:sz w:val="28"/>
          <w:szCs w:val="28"/>
        </w:rPr>
        <w:t>NY: FDNY 9/11 – FINALLY GETS 100% DISAB - SINUS / PTSD</w:t>
      </w:r>
    </w:p>
    <w:p w14:paraId="1C2F142B" w14:textId="77777777" w:rsidR="003502A8" w:rsidRDefault="003502A8" w:rsidP="003502A8">
      <w:pPr>
        <w:pStyle w:val="NoSpacing"/>
      </w:pPr>
    </w:p>
    <w:p w14:paraId="55256D84" w14:textId="77777777" w:rsidR="003502A8" w:rsidRPr="00912ACD" w:rsidRDefault="003502A8" w:rsidP="003502A8">
      <w:pPr>
        <w:pStyle w:val="NoSpacing"/>
      </w:pPr>
      <w:r>
        <w:lastRenderedPageBreak/>
        <w:t xml:space="preserve">On June 24, 2026, </w:t>
      </w:r>
      <w:r w:rsidRPr="005F71C9">
        <w:rPr>
          <w:u w:val="single"/>
        </w:rPr>
        <w:t>In the Matter of Gary Smiley v. Melanie Whinnery, et</w:t>
      </w:r>
      <w:r>
        <w:rPr>
          <w:u w:val="single"/>
        </w:rPr>
        <w:t xml:space="preserve"> al</w:t>
      </w:r>
      <w:r w:rsidRPr="002B619B">
        <w:t xml:space="preserve">. the </w:t>
      </w:r>
      <w:r w:rsidRPr="001B2BE2">
        <w:t>Supreme Court of the State of New York, Appellate Division, Second Judicial Department</w:t>
      </w:r>
      <w:r>
        <w:t xml:space="preserve">, held that the paramedic is entitled to 100% </w:t>
      </w:r>
      <w:r w:rsidRPr="00FA32B2">
        <w:t>performance of duty disability retirement</w:t>
      </w:r>
      <w:r>
        <w:t xml:space="preserve">. The Court rejected the Medical Board’s assertion that a medic was not physically </w:t>
      </w:r>
      <w:proofErr w:type="gramStart"/>
      <w:r>
        <w:t>disabled, and</w:t>
      </w:r>
      <w:proofErr w:type="gramEnd"/>
      <w:r>
        <w:t xml:space="preserve"> could control his sinus condition </w:t>
      </w:r>
      <w:r w:rsidRPr="00912ACD">
        <w:t>with the use of rinses and with the use of a dosing nebulizer several times per day.</w:t>
      </w:r>
      <w:r>
        <w:t xml:space="preserve"> The Court wrote: “</w:t>
      </w:r>
      <w:r w:rsidRPr="00912ACD">
        <w:t>The Medical Board failed to consider how the petitioner could have</w:t>
      </w:r>
      <w:r>
        <w:t xml:space="preserve"> </w:t>
      </w:r>
      <w:r w:rsidRPr="00912ACD">
        <w:t>managed this treatment when FDNY paramedics are required to, among other things, work for extended periods during the night or day in ambulances and to perform tasks in confined spaces.</w:t>
      </w:r>
      <w:r>
        <w:t>”</w:t>
      </w:r>
      <w:r w:rsidRPr="00BF2049">
        <w:t xml:space="preserve"> </w:t>
      </w:r>
      <w:hyperlink r:id="rId1030" w:history="1">
        <w:r w:rsidRPr="00E96FE1">
          <w:rPr>
            <w:rStyle w:val="Hyperlink"/>
          </w:rPr>
          <w:t>https://www.nycourts.gov/reporter/current/3dseries/2026/2026_03970.shtml</w:t>
        </w:r>
      </w:hyperlink>
      <w:r>
        <w:t xml:space="preserve"> </w:t>
      </w:r>
    </w:p>
    <w:p w14:paraId="17E74E20" w14:textId="77777777" w:rsidR="003502A8" w:rsidRDefault="003502A8" w:rsidP="003502A8">
      <w:pPr>
        <w:pStyle w:val="NoSpacing"/>
        <w:rPr>
          <w:b/>
          <w:bCs/>
        </w:rPr>
      </w:pPr>
    </w:p>
    <w:p w14:paraId="1FACEE0E" w14:textId="77777777" w:rsidR="003502A8" w:rsidRDefault="003502A8" w:rsidP="003502A8">
      <w:pPr>
        <w:pStyle w:val="NoSpacing"/>
        <w:rPr>
          <w:b/>
          <w:bCs/>
        </w:rPr>
      </w:pPr>
      <w:r w:rsidRPr="00902E19">
        <w:rPr>
          <w:b/>
        </w:rPr>
        <w:t>FACTS:</w:t>
      </w:r>
    </w:p>
    <w:p w14:paraId="48354D0D" w14:textId="77777777" w:rsidR="003502A8" w:rsidRDefault="003502A8" w:rsidP="003502A8">
      <w:pPr>
        <w:pStyle w:val="NoSpacing"/>
        <w:rPr>
          <w:b/>
          <w:bCs/>
        </w:rPr>
      </w:pPr>
    </w:p>
    <w:p w14:paraId="3FD9CDE1" w14:textId="77777777" w:rsidR="003502A8" w:rsidRDefault="003502A8" w:rsidP="003502A8">
      <w:pPr>
        <w:pStyle w:val="NoSpacing"/>
      </w:pPr>
      <w:r>
        <w:t>“</w:t>
      </w:r>
      <w:r w:rsidRPr="00902E19">
        <w:t>The petitioner, who was a New York City Fire Department (hereinafter FDNY) paramedic, was a first responder at the World Trade Center site following the attack on September 11, 2001. In September 2013, the petitioner applied for performance of duty disability retirement pursuant to Retirement and Social Security Law § 607-b based on injuries he suffered at the World Trade Center site (hereinafter the petitioner's application). He alleged, among other things, that he suffered from asthma, chronic sinusitis and rhinitis, prolonged post-traumatic stress disorder (hereinafter PTSD), gastroesophageal reflux disease (hereinafter GERD), and chronic dizziness and headaches.</w:t>
      </w:r>
    </w:p>
    <w:p w14:paraId="21BC08A2" w14:textId="77777777" w:rsidR="003502A8" w:rsidRDefault="003502A8" w:rsidP="003502A8">
      <w:pPr>
        <w:pStyle w:val="NoSpacing"/>
      </w:pPr>
    </w:p>
    <w:p w14:paraId="45A3E4CD" w14:textId="77777777" w:rsidR="003502A8" w:rsidRDefault="003502A8" w:rsidP="003502A8">
      <w:pPr>
        <w:pStyle w:val="NoSpacing"/>
      </w:pPr>
      <w:r>
        <w:t>***</w:t>
      </w:r>
    </w:p>
    <w:p w14:paraId="3B8D5DEC" w14:textId="77777777" w:rsidR="003502A8" w:rsidRDefault="003502A8" w:rsidP="003502A8">
      <w:pPr>
        <w:pStyle w:val="NoSpacing"/>
      </w:pPr>
      <w:r w:rsidRPr="00777C19">
        <w:t>In February 2014, the Medical Board of the New York City Employees' Retirement System (hereinafter the Medical Board) determined that the petitioner's chronic sinus disease, asthma, and GERD were not of such severity as to preclude him from performing the duties of an FDNY paramedic, and in March 2014, the Medical Board found that the documentary and clinical evidence failed to substantiate that the petitioner was disabled on mental health grounds.</w:t>
      </w:r>
    </w:p>
    <w:p w14:paraId="3958EB38" w14:textId="77777777" w:rsidR="003502A8" w:rsidRDefault="003502A8" w:rsidP="003502A8">
      <w:pPr>
        <w:pStyle w:val="NoSpacing"/>
      </w:pPr>
    </w:p>
    <w:p w14:paraId="23449DEF" w14:textId="77777777" w:rsidR="003502A8" w:rsidRDefault="003502A8" w:rsidP="003502A8">
      <w:pPr>
        <w:pStyle w:val="NoSpacing"/>
      </w:pPr>
      <w:r>
        <w:t>***</w:t>
      </w:r>
    </w:p>
    <w:p w14:paraId="1A6BA475" w14:textId="77777777" w:rsidR="003502A8" w:rsidRDefault="003502A8" w:rsidP="003502A8">
      <w:pPr>
        <w:pStyle w:val="NoSpacing"/>
      </w:pPr>
      <w:r w:rsidRPr="00E330D5">
        <w:t xml:space="preserve">In January 2017, after the petitioner commenced a proceeding pursuant to CPLR article 78 challenging the Board of </w:t>
      </w:r>
      <w:proofErr w:type="spellStart"/>
      <w:r w:rsidRPr="00E330D5">
        <w:t>Trustees's</w:t>
      </w:r>
      <w:proofErr w:type="spellEnd"/>
      <w:r w:rsidRPr="00E330D5">
        <w:t xml:space="preserve"> determination, the Supreme Court annulled the denial of the petitioner's application and remanded the matter for the Medical Board to set forth an adequate statement of the factual basis for its determination and a new determination by the Board of Trustees. </w:t>
      </w:r>
    </w:p>
    <w:p w14:paraId="2E90CCAF" w14:textId="77777777" w:rsidR="003502A8" w:rsidRDefault="003502A8" w:rsidP="003502A8">
      <w:pPr>
        <w:pStyle w:val="NoSpacing"/>
      </w:pPr>
    </w:p>
    <w:p w14:paraId="0409278D" w14:textId="77777777" w:rsidR="003502A8" w:rsidRPr="00E330D5" w:rsidRDefault="003502A8" w:rsidP="003502A8">
      <w:pPr>
        <w:pStyle w:val="NoSpacing"/>
      </w:pPr>
      <w:r w:rsidRPr="00E330D5">
        <w:t>In October 2017, after remand, the Medical Board determined that the petitioner was disabled due to PTSD and depression and recommended approval of the petitioner's application on those grounds. However, the Medical Board did not find that the petitioner's sinus condition, GERD, and asthma were of such severity as to preclude the work of an FDNY paramedic.</w:t>
      </w:r>
    </w:p>
    <w:p w14:paraId="6E3EF4C2" w14:textId="77777777" w:rsidR="003502A8" w:rsidRDefault="003502A8" w:rsidP="003502A8">
      <w:pPr>
        <w:pStyle w:val="NoSpacing"/>
      </w:pPr>
    </w:p>
    <w:p w14:paraId="00409A96" w14:textId="77777777" w:rsidR="003502A8" w:rsidRDefault="003502A8" w:rsidP="003502A8">
      <w:pPr>
        <w:pStyle w:val="NoSpacing"/>
      </w:pPr>
      <w:r w:rsidRPr="00E330D5">
        <w:t>In November 2017, the Board of Trustees approved the Medical Board's recommendation and awarded the petitioner a ¾ disability retirement benefit for depression and PTSD under Retirement and Social Security Law § 607-b.</w:t>
      </w:r>
    </w:p>
    <w:p w14:paraId="49771361" w14:textId="77777777" w:rsidR="003502A8" w:rsidRDefault="003502A8" w:rsidP="003502A8">
      <w:pPr>
        <w:pStyle w:val="NoSpacing"/>
      </w:pPr>
    </w:p>
    <w:p w14:paraId="782F547E" w14:textId="77777777" w:rsidR="003502A8" w:rsidRDefault="003502A8" w:rsidP="003502A8">
      <w:pPr>
        <w:pStyle w:val="NoSpacing"/>
      </w:pPr>
      <w:r>
        <w:t>***</w:t>
      </w:r>
    </w:p>
    <w:p w14:paraId="4AC94F59" w14:textId="77777777" w:rsidR="003502A8" w:rsidRDefault="003502A8" w:rsidP="003502A8">
      <w:pPr>
        <w:pStyle w:val="NoSpacing"/>
      </w:pPr>
      <w:r w:rsidRPr="001B4429">
        <w:t>November 30, 2020, the Board of Trustees adopted the Medical Board's recommendation and denied the petitioner's application to the extent that it was based on physical disability</w:t>
      </w:r>
      <w:r>
        <w:t xml:space="preserve">…. </w:t>
      </w:r>
      <w:r w:rsidRPr="00A05BAB">
        <w:t xml:space="preserve">In a judgment dated December 13, 2021, the Supreme Court granted the petition and annulled the November 30, </w:t>
      </w:r>
      <w:proofErr w:type="gramStart"/>
      <w:r w:rsidRPr="00A05BAB">
        <w:t>2020</w:t>
      </w:r>
      <w:proofErr w:type="gramEnd"/>
      <w:r w:rsidRPr="00A05BAB">
        <w:t xml:space="preserve"> determination. Whinnery, the Medical Board, and the Board of Trustees (hereinafter collectively the appellants) appeal.</w:t>
      </w:r>
      <w:r>
        <w:t>”</w:t>
      </w:r>
    </w:p>
    <w:p w14:paraId="27F5E0A0" w14:textId="77777777" w:rsidR="003502A8" w:rsidRDefault="003502A8" w:rsidP="003502A8">
      <w:pPr>
        <w:pStyle w:val="NoSpacing"/>
      </w:pPr>
    </w:p>
    <w:p w14:paraId="1EB7250E" w14:textId="77777777" w:rsidR="003502A8" w:rsidRPr="00E7709D" w:rsidRDefault="003502A8" w:rsidP="003502A8">
      <w:pPr>
        <w:pStyle w:val="NoSpacing"/>
        <w:rPr>
          <w:b/>
          <w:bCs/>
        </w:rPr>
      </w:pPr>
      <w:r w:rsidRPr="00E7709D">
        <w:rPr>
          <w:b/>
        </w:rPr>
        <w:t>COURT HELD:</w:t>
      </w:r>
    </w:p>
    <w:p w14:paraId="73155623" w14:textId="77777777" w:rsidR="003502A8" w:rsidRDefault="003502A8" w:rsidP="003502A8">
      <w:pPr>
        <w:pStyle w:val="NoSpacing"/>
      </w:pPr>
    </w:p>
    <w:p w14:paraId="14966492" w14:textId="77777777" w:rsidR="003502A8" w:rsidRPr="00912ACD" w:rsidRDefault="003502A8" w:rsidP="003502A8">
      <w:pPr>
        <w:pStyle w:val="NoSpacing"/>
      </w:pPr>
      <w:r>
        <w:t>“</w:t>
      </w:r>
      <w:r w:rsidRPr="00912ACD">
        <w:t xml:space="preserve">Specifically, one of the petitioner's doctors determined that the petitioner's sinus condition would be exacerbated by exposure to smoke and other irritants. The Medical Board's ear, nose, and throat examination of the petitioner and medical reports did not address this conclusion, even though, as an FDNY paramedic, the petitioner could be required to perform tasks at hazardous material scenes such as a chemical spill, an industrial fire, or another accident where smoke and other environmental irritants would be present. Additionally, the Medical Board determined that the petitioner was not disabled because his sinus conditions could be controlled with the use of rinses and with the use of a dosing nebulizer several times per day. The Medical Board failed to consider how the petitioner could </w:t>
      </w:r>
      <w:proofErr w:type="gramStart"/>
      <w:r w:rsidRPr="00912ACD">
        <w:t>have</w:t>
      </w:r>
      <w:r>
        <w:t xml:space="preserve"> </w:t>
      </w:r>
      <w:r w:rsidRPr="00912ACD">
        <w:t>managed</w:t>
      </w:r>
      <w:proofErr w:type="gramEnd"/>
      <w:r w:rsidRPr="00912ACD">
        <w:t xml:space="preserve"> this </w:t>
      </w:r>
      <w:r w:rsidRPr="00912ACD">
        <w:lastRenderedPageBreak/>
        <w:t>treatment when FDNY paramedics are required to, among other things, work for extended periods during the night or day in ambulances and to perform tasks in confined spaces.</w:t>
      </w:r>
    </w:p>
    <w:p w14:paraId="689CDF39" w14:textId="77777777" w:rsidR="003502A8" w:rsidRDefault="003502A8" w:rsidP="003502A8">
      <w:pPr>
        <w:pStyle w:val="NoSpacing"/>
      </w:pPr>
    </w:p>
    <w:p w14:paraId="652C71A9" w14:textId="77777777" w:rsidR="003502A8" w:rsidRPr="00912ACD" w:rsidRDefault="003502A8" w:rsidP="003502A8">
      <w:pPr>
        <w:pStyle w:val="NoSpacing"/>
      </w:pPr>
      <w:r w:rsidRPr="00912ACD">
        <w:t xml:space="preserve">Accordingly, the Supreme Court properly granted that branch of the petition which was to annul the Board of </w:t>
      </w:r>
      <w:proofErr w:type="spellStart"/>
      <w:r w:rsidRPr="00912ACD">
        <w:t>Trustees's</w:t>
      </w:r>
      <w:proofErr w:type="spellEnd"/>
      <w:r w:rsidRPr="00912ACD">
        <w:t xml:space="preserve"> determination dated November 30, 2020, and to direct the NYCERS to retire him with performance of duty disability benefits based on his World Trade Center-related qualifying physical condition.</w:t>
      </w:r>
    </w:p>
    <w:p w14:paraId="75114612" w14:textId="77777777" w:rsidR="003502A8" w:rsidRDefault="003502A8" w:rsidP="003502A8">
      <w:pPr>
        <w:pStyle w:val="NoSpacing"/>
      </w:pPr>
    </w:p>
    <w:p w14:paraId="32BA0D09" w14:textId="77777777" w:rsidR="003502A8" w:rsidRPr="00912ACD" w:rsidRDefault="003502A8" w:rsidP="003502A8">
      <w:pPr>
        <w:pStyle w:val="NoSpacing"/>
      </w:pPr>
      <w:r w:rsidRPr="00912ACD">
        <w:t>However, the appellants correctly contend that there was no basis for the Supreme Court to award the petitioner attorneys' fees, a contention that the petitioner did not oppose in his submission to this Court.</w:t>
      </w:r>
      <w:r>
        <w:t>”</w:t>
      </w:r>
    </w:p>
    <w:p w14:paraId="2692ECB6" w14:textId="77777777" w:rsidR="003502A8" w:rsidRPr="00E330D5" w:rsidRDefault="003502A8" w:rsidP="003502A8">
      <w:pPr>
        <w:pStyle w:val="NoSpacing"/>
      </w:pPr>
    </w:p>
    <w:p w14:paraId="6D8FBECF" w14:textId="77777777" w:rsidR="003502A8" w:rsidRPr="00BF2049" w:rsidRDefault="003502A8" w:rsidP="003502A8">
      <w:pPr>
        <w:pStyle w:val="NoSpacing"/>
        <w:rPr>
          <w:b/>
          <w:bCs/>
        </w:rPr>
      </w:pPr>
      <w:r>
        <w:rPr>
          <w:b/>
        </w:rPr>
        <w:t xml:space="preserve">Legal lesson learned: This was a long fight for the retired medic; </w:t>
      </w:r>
      <w:proofErr w:type="gramStart"/>
      <w:r>
        <w:rPr>
          <w:b/>
        </w:rPr>
        <w:t>fortunately</w:t>
      </w:r>
      <w:proofErr w:type="gramEnd"/>
      <w:r>
        <w:rPr>
          <w:b/>
        </w:rPr>
        <w:t xml:space="preserve"> the Court recognized using a nebulizer several </w:t>
      </w:r>
      <w:proofErr w:type="gramStart"/>
      <w:r>
        <w:rPr>
          <w:b/>
        </w:rPr>
        <w:t>time</w:t>
      </w:r>
      <w:proofErr w:type="gramEnd"/>
      <w:r>
        <w:rPr>
          <w:b/>
        </w:rPr>
        <w:t xml:space="preserve"> a day was not realistic.</w:t>
      </w:r>
    </w:p>
    <w:p w14:paraId="3E97E9FC" w14:textId="77777777" w:rsidR="003502A8" w:rsidRDefault="003502A8" w:rsidP="003502A8">
      <w:pPr>
        <w:pStyle w:val="NoSpacing"/>
      </w:pPr>
    </w:p>
    <w:p w14:paraId="64F839D8" w14:textId="77777777" w:rsidR="003502A8" w:rsidRDefault="003502A8" w:rsidP="003502A8">
      <w:pPr>
        <w:pStyle w:val="NoSpacing"/>
      </w:pPr>
    </w:p>
    <w:p w14:paraId="21CFF062" w14:textId="77777777" w:rsidR="003502A8" w:rsidRDefault="003502A8" w:rsidP="003502A8">
      <w:pPr>
        <w:pStyle w:val="NoSpacing"/>
      </w:pPr>
    </w:p>
    <w:p w14:paraId="1F7AFD59" w14:textId="359306B1" w:rsidR="009D37DC" w:rsidRDefault="009D37DC" w:rsidP="009D37DC">
      <w:pPr>
        <w:rPr>
          <w:rFonts w:ascii="Arial Black" w:hAnsi="Arial Black"/>
          <w:b/>
          <w:sz w:val="28"/>
          <w:szCs w:val="28"/>
        </w:rPr>
      </w:pPr>
      <w:r>
        <w:rPr>
          <w:rFonts w:ascii="Arial Black" w:hAnsi="Arial Black"/>
          <w:b/>
          <w:sz w:val="28"/>
          <w:szCs w:val="28"/>
        </w:rPr>
        <w:t>6-184</w:t>
      </w:r>
    </w:p>
    <w:p w14:paraId="43F86E75" w14:textId="77777777" w:rsidR="003502A8" w:rsidRPr="00D30DC8" w:rsidRDefault="003502A8" w:rsidP="003502A8">
      <w:pPr>
        <w:rPr>
          <w:rFonts w:ascii="Arial Black" w:hAnsi="Arial Black"/>
          <w:b/>
          <w:sz w:val="28"/>
          <w:szCs w:val="28"/>
        </w:rPr>
      </w:pPr>
      <w:r>
        <w:rPr>
          <w:rFonts w:ascii="Arial Black" w:hAnsi="Arial Black"/>
          <w:b/>
          <w:sz w:val="28"/>
          <w:szCs w:val="28"/>
        </w:rPr>
        <w:t xml:space="preserve">OR: MYELOMA – RET FF / INDEP. CONT. – NO STAT PRESUMP </w:t>
      </w:r>
    </w:p>
    <w:p w14:paraId="2CB25353" w14:textId="77777777" w:rsidR="003502A8" w:rsidRPr="00DB6A9C" w:rsidRDefault="003502A8" w:rsidP="003502A8">
      <w:pPr>
        <w:rPr>
          <w:bCs/>
        </w:rPr>
      </w:pPr>
      <w:r>
        <w:t xml:space="preserve">On June 10, 2026, </w:t>
      </w:r>
      <w:r w:rsidRPr="007A1338">
        <w:rPr>
          <w:u w:val="single"/>
        </w:rPr>
        <w:t>In the Matter of the Compensation of Bradley Kastner v. City of Hillsboro</w:t>
      </w:r>
      <w:r>
        <w:t xml:space="preserve">, the </w:t>
      </w:r>
      <w:r w:rsidRPr="007A1338">
        <w:t>Court of Appeals of Oregon</w:t>
      </w:r>
      <w:r>
        <w:t xml:space="preserve"> held (3 to 0) that the firefighter (retired in 2010), now training fire and EMS, is an “independent contractor” and not entitled to the statutory presumption that his cancer was caused by his fire service. The Court wrote: </w:t>
      </w:r>
      <w:r w:rsidRPr="00DB6A9C">
        <w:t>“As substantial evidence supports the board's determination that claimant was an independent contractor during the 84 months prior to his claim, he was not entitled to the firefighter's presumption of compensability.</w:t>
      </w:r>
      <w:r>
        <w:t xml:space="preserve">” </w:t>
      </w:r>
      <w:hyperlink r:id="rId1031" w:history="1">
        <w:r w:rsidRPr="003E6F82">
          <w:rPr>
            <w:rStyle w:val="Hyperlink"/>
          </w:rPr>
          <w:t>https://www.casemine.com/judgement/us/6a2a2b87eaa021ae7251d39f</w:t>
        </w:r>
      </w:hyperlink>
      <w:r>
        <w:t xml:space="preserve"> </w:t>
      </w:r>
    </w:p>
    <w:p w14:paraId="5033624E" w14:textId="77777777" w:rsidR="003502A8" w:rsidRPr="00500F61" w:rsidRDefault="003502A8" w:rsidP="003502A8">
      <w:pPr>
        <w:rPr>
          <w:b/>
        </w:rPr>
      </w:pPr>
    </w:p>
    <w:p w14:paraId="5E4F2B4B" w14:textId="77777777" w:rsidR="003502A8" w:rsidRDefault="003502A8" w:rsidP="003502A8">
      <w:pPr>
        <w:rPr>
          <w:b/>
        </w:rPr>
      </w:pPr>
      <w:r>
        <w:rPr>
          <w:b/>
        </w:rPr>
        <w:t>FACTS:</w:t>
      </w:r>
    </w:p>
    <w:p w14:paraId="1E3CB7BC" w14:textId="77777777" w:rsidR="003502A8" w:rsidRDefault="003502A8" w:rsidP="003502A8">
      <w:pPr>
        <w:pStyle w:val="NoSpacing"/>
      </w:pPr>
      <w:r>
        <w:t>“C</w:t>
      </w:r>
      <w:r w:rsidRPr="008006D4">
        <w:t xml:space="preserve">laimant worked as a firefighter for the City of Hillsboro from 1978 until 2010, when he retired. After his retirement, claimant provided fire and emergency medical training for city employees through a series of contractual arrangements with the City of Hillsboro until 2020. Each contract described claimant as an </w:t>
      </w:r>
      <w:r>
        <w:t>‘</w:t>
      </w:r>
      <w:r w:rsidRPr="008006D4">
        <w:t>independent contractor,</w:t>
      </w:r>
      <w:r>
        <w:t>’</w:t>
      </w:r>
      <w:r w:rsidRPr="008006D4">
        <w:t xml:space="preserve"> specified the class to be taught, and stated that claimant would provide the curriculum and materials. Despite those contractual provisions, the city provided the equipment and training materials, although claimant adjusted the materials as he saw fit.</w:t>
      </w:r>
    </w:p>
    <w:p w14:paraId="1A6178D2" w14:textId="77777777" w:rsidR="003502A8" w:rsidRDefault="003502A8" w:rsidP="003502A8">
      <w:pPr>
        <w:pStyle w:val="NoSpacing"/>
      </w:pPr>
    </w:p>
    <w:p w14:paraId="2864DBBE" w14:textId="77777777" w:rsidR="003502A8" w:rsidRDefault="003502A8" w:rsidP="003502A8">
      <w:pPr>
        <w:pStyle w:val="NoSpacing"/>
      </w:pPr>
      <w:r w:rsidRPr="00ED4017">
        <w:t>Claimant filed a workers' compensation claim in 2023, seeking compensability for his myeloma through the firefighter's presumption, ORS 656.802(5Xb). The board denied the claim, determining that claimant was an independent contractor and not an employee within the 84 months prior to filing his claim, as required to obtain compensability under the firefighter's presumption. ORS 656.802(5)(e). Thus, as both parties acknowledge, the key question is whether claimant was a city employee when he was performing the contractual training services during the 84 months leading up to his claim. That question, in turn, requires us to determine whether claimant was acting as an employee, and thus subject to workers' compensation coverage, or as an independent contractor under ORS 670.600(2). Although the parties' contractual designation of claimant as an independent contractor "is not controlling, it is not to be disregarded, and 'in a close case, it may swing the balance</w:t>
      </w:r>
      <w:proofErr w:type="gramStart"/>
      <w:r w:rsidRPr="00ED4017">
        <w:t>.'"</w:t>
      </w:r>
      <w:proofErr w:type="gramEnd"/>
      <w:r w:rsidRPr="00ED4017">
        <w:t xml:space="preserve"> </w:t>
      </w:r>
      <w:proofErr w:type="spellStart"/>
      <w:r w:rsidRPr="00ED4017">
        <w:rPr>
          <w:i/>
          <w:iCs/>
        </w:rPr>
        <w:t>McQuiggin</w:t>
      </w:r>
      <w:proofErr w:type="spellEnd"/>
      <w:r w:rsidRPr="00ED4017">
        <w:rPr>
          <w:i/>
          <w:iCs/>
        </w:rPr>
        <w:t xml:space="preserve"> v. Burr,</w:t>
      </w:r>
      <w:r w:rsidRPr="00ED4017">
        <w:t xml:space="preserve"> 119 </w:t>
      </w:r>
      <w:proofErr w:type="spellStart"/>
      <w:r w:rsidRPr="00ED4017">
        <w:t>Or.App</w:t>
      </w:r>
      <w:proofErr w:type="spellEnd"/>
      <w:r w:rsidRPr="00ED4017">
        <w:t xml:space="preserve">. 202, 207, 850 P.2d 385 (1993) [350 </w:t>
      </w:r>
      <w:proofErr w:type="spellStart"/>
      <w:r w:rsidRPr="00ED4017">
        <w:t>Or.App</w:t>
      </w:r>
      <w:proofErr w:type="spellEnd"/>
      <w:r w:rsidRPr="00ED4017">
        <w:t xml:space="preserve">. 541] (quoting </w:t>
      </w:r>
      <w:r w:rsidRPr="00ED4017">
        <w:rPr>
          <w:i/>
          <w:iCs/>
        </w:rPr>
        <w:t>Henri v. SAIF,</w:t>
      </w:r>
      <w:r w:rsidRPr="00ED4017">
        <w:t xml:space="preserve"> 60 </w:t>
      </w:r>
      <w:proofErr w:type="spellStart"/>
      <w:r w:rsidRPr="00ED4017">
        <w:t>Or.App</w:t>
      </w:r>
      <w:proofErr w:type="spellEnd"/>
      <w:r w:rsidRPr="00ED4017">
        <w:t xml:space="preserve">. 587, 592, 654 P.2d 1129, </w:t>
      </w:r>
      <w:r w:rsidRPr="00ED4017">
        <w:rPr>
          <w:i/>
          <w:iCs/>
        </w:rPr>
        <w:t>rev den</w:t>
      </w:r>
      <w:r w:rsidRPr="00ED4017">
        <w:t xml:space="preserve"> 294 Or. 536 (1983)).</w:t>
      </w:r>
      <w:r>
        <w:t>”</w:t>
      </w:r>
    </w:p>
    <w:p w14:paraId="404EDE7E" w14:textId="77777777" w:rsidR="003502A8" w:rsidRDefault="003502A8" w:rsidP="003502A8">
      <w:pPr>
        <w:pStyle w:val="NoSpacing"/>
      </w:pPr>
    </w:p>
    <w:p w14:paraId="2CBA52C7" w14:textId="77777777" w:rsidR="003502A8" w:rsidRPr="00F05DCB" w:rsidRDefault="003502A8" w:rsidP="003502A8">
      <w:pPr>
        <w:pStyle w:val="NoSpacing"/>
        <w:rPr>
          <w:b/>
          <w:bCs/>
        </w:rPr>
      </w:pPr>
      <w:r w:rsidRPr="00F05DCB">
        <w:rPr>
          <w:b/>
        </w:rPr>
        <w:t>COURT HELD:</w:t>
      </w:r>
    </w:p>
    <w:p w14:paraId="03066F51" w14:textId="77777777" w:rsidR="003502A8" w:rsidRPr="00F05DCB" w:rsidRDefault="003502A8" w:rsidP="003502A8">
      <w:pPr>
        <w:pStyle w:val="NoSpacing"/>
        <w:rPr>
          <w:b/>
          <w:bCs/>
        </w:rPr>
      </w:pPr>
      <w:r w:rsidRPr="00F05DCB">
        <w:rPr>
          <w:b/>
        </w:rPr>
        <w:t xml:space="preserve"> </w:t>
      </w:r>
    </w:p>
    <w:p w14:paraId="28E933CB" w14:textId="77777777" w:rsidR="003502A8" w:rsidRDefault="003502A8" w:rsidP="003502A8">
      <w:pPr>
        <w:pStyle w:val="NoSpacing"/>
      </w:pPr>
      <w:r>
        <w:t>“</w:t>
      </w:r>
      <w:r w:rsidRPr="00F05DCB">
        <w:t xml:space="preserve">As to the element of freedom from direction or control, also known as the </w:t>
      </w:r>
      <w:r>
        <w:t>‘</w:t>
      </w:r>
      <w:r w:rsidRPr="00F05DCB">
        <w:t>right to control</w:t>
      </w:r>
      <w:r>
        <w:t>’</w:t>
      </w:r>
      <w:r w:rsidRPr="00F05DCB">
        <w:t xml:space="preserve"> element, the key question is whether the city could direct and control the means and the manner of claimant's services as opposed to simply specifying the desired result. ORS 670.600(2)(a). The </w:t>
      </w:r>
      <w:r>
        <w:t>‘</w:t>
      </w:r>
      <w:r w:rsidRPr="00F05DCB">
        <w:t xml:space="preserve">principal factors showing right </w:t>
      </w:r>
      <w:proofErr w:type="gramStart"/>
      <w:r w:rsidRPr="00F05DCB">
        <w:t>of</w:t>
      </w:r>
      <w:proofErr w:type="gramEnd"/>
      <w:r w:rsidRPr="00F05DCB">
        <w:t xml:space="preserve"> control are: (1) direct evidence of </w:t>
      </w:r>
      <w:r w:rsidRPr="00F05DCB">
        <w:lastRenderedPageBreak/>
        <w:t>the right to or the exercise of control; (2) the method of payment; (3) the furnishing of equipment; and (4) the right to fire.</w:t>
      </w:r>
      <w:r>
        <w:t>’</w:t>
      </w:r>
      <w:r w:rsidRPr="00F05DCB">
        <w:t xml:space="preserve"> </w:t>
      </w:r>
      <w:r w:rsidRPr="00F05DCB">
        <w:rPr>
          <w:i/>
          <w:iCs/>
        </w:rPr>
        <w:t>National Maintenance Contractors v. Employment Dept,</w:t>
      </w:r>
      <w:r w:rsidRPr="00F05DCB">
        <w:t xml:space="preserve"> 288 </w:t>
      </w:r>
      <w:proofErr w:type="spellStart"/>
      <w:r w:rsidRPr="00F05DCB">
        <w:t>Or.App</w:t>
      </w:r>
      <w:proofErr w:type="spellEnd"/>
      <w:r w:rsidRPr="00F05DCB">
        <w:t xml:space="preserve">. 347, 353, 406 P.3d 133 (2017), </w:t>
      </w:r>
      <w:r w:rsidRPr="00F05DCB">
        <w:rPr>
          <w:i/>
          <w:iCs/>
        </w:rPr>
        <w:t>rev den,</w:t>
      </w:r>
      <w:r w:rsidRPr="00F05DCB">
        <w:t xml:space="preserve"> 362 Or. 508 (2018) (internal quotation marks omitted). Applying those factors, we conclude that the board's determination that the city exercised control over the result rather than the means and manner of claimant's performance is supported by substantial evidence.</w:t>
      </w:r>
    </w:p>
    <w:p w14:paraId="1574C386" w14:textId="77777777" w:rsidR="003502A8" w:rsidRDefault="003502A8" w:rsidP="003502A8">
      <w:pPr>
        <w:pStyle w:val="NoSpacing"/>
      </w:pPr>
    </w:p>
    <w:p w14:paraId="3B7DAED1" w14:textId="77777777" w:rsidR="003502A8" w:rsidRDefault="003502A8" w:rsidP="003502A8">
      <w:pPr>
        <w:pStyle w:val="NoSpacing"/>
      </w:pPr>
      <w:r w:rsidRPr="003851A6">
        <w:t>Starting with the first factor, direct evidence of the right to control, the record of any direct evidence is limited. Although the city provided the curriculum and schedule for the training of its employees, claimant could adjust that curriculum or hire a substitute if he was unavailable for the scheduled training. Thus, the board's determination that this factor is inconclusive is supported by substantial evidence. Second, as to the method of payment, claimant was not salaried but rather submitted invoices up to an amount capped by the contract. Taxes and union dues were not deducted. When claimant hired a substitute to teach in his stead, the city paid claimant, who then paid the substitute. That evidence supports the board's conclusion that that factor supports an independent contractor relationship.</w:t>
      </w:r>
      <w:r>
        <w:t>”</w:t>
      </w:r>
    </w:p>
    <w:p w14:paraId="5FA8582C" w14:textId="77777777" w:rsidR="003502A8" w:rsidRDefault="003502A8" w:rsidP="003502A8">
      <w:pPr>
        <w:pStyle w:val="NoSpacing"/>
      </w:pPr>
    </w:p>
    <w:p w14:paraId="584B7E6D" w14:textId="77777777" w:rsidR="003502A8" w:rsidRPr="005A43D1" w:rsidRDefault="003502A8" w:rsidP="003502A8">
      <w:pPr>
        <w:pStyle w:val="NoSpacing"/>
      </w:pPr>
      <w:r>
        <w:rPr>
          <w:b/>
        </w:rPr>
        <w:t xml:space="preserve">Legal lesson learned: The firefighters’ statutory presumption only applies to employees, and claim is </w:t>
      </w:r>
      <w:r w:rsidRPr="005A43D1">
        <w:rPr>
          <w:b/>
        </w:rPr>
        <w:t>filed within 84 months of retirement</w:t>
      </w:r>
      <w:r w:rsidRPr="005A43D1">
        <w:t xml:space="preserve">. </w:t>
      </w:r>
    </w:p>
    <w:p w14:paraId="633E11C2" w14:textId="77777777" w:rsidR="003502A8" w:rsidRDefault="003502A8" w:rsidP="003502A8">
      <w:pPr>
        <w:pStyle w:val="NoSpacing"/>
      </w:pPr>
    </w:p>
    <w:p w14:paraId="5F3C2A79" w14:textId="77777777" w:rsidR="003502A8" w:rsidRDefault="003502A8" w:rsidP="003502A8">
      <w:pPr>
        <w:pStyle w:val="NoSpacing"/>
      </w:pPr>
    </w:p>
    <w:p w14:paraId="3A705B4D" w14:textId="77777777" w:rsidR="003502A8" w:rsidRDefault="003502A8" w:rsidP="00EF1133">
      <w:pPr>
        <w:rPr>
          <w:rFonts w:ascii="Arial Black" w:hAnsi="Arial Black"/>
          <w:b/>
          <w:sz w:val="28"/>
          <w:szCs w:val="28"/>
        </w:rPr>
      </w:pPr>
    </w:p>
    <w:p w14:paraId="4DC6F439" w14:textId="77777777" w:rsidR="003502A8" w:rsidRDefault="003502A8" w:rsidP="00EF1133">
      <w:pPr>
        <w:rPr>
          <w:rFonts w:ascii="Arial Black" w:hAnsi="Arial Black"/>
          <w:b/>
          <w:sz w:val="28"/>
          <w:szCs w:val="28"/>
        </w:rPr>
      </w:pPr>
    </w:p>
    <w:p w14:paraId="1F3B0779" w14:textId="77777777" w:rsidR="003502A8" w:rsidRDefault="003502A8" w:rsidP="00EF1133">
      <w:pPr>
        <w:rPr>
          <w:rFonts w:ascii="Arial Black" w:hAnsi="Arial Black"/>
          <w:b/>
          <w:sz w:val="28"/>
          <w:szCs w:val="28"/>
        </w:rPr>
      </w:pPr>
    </w:p>
    <w:p w14:paraId="5C3E6AD0" w14:textId="77777777" w:rsidR="003502A8" w:rsidRDefault="003502A8" w:rsidP="00EF1133">
      <w:pPr>
        <w:rPr>
          <w:rFonts w:ascii="Arial Black" w:hAnsi="Arial Black"/>
          <w:b/>
          <w:sz w:val="28"/>
          <w:szCs w:val="28"/>
        </w:rPr>
      </w:pPr>
    </w:p>
    <w:p w14:paraId="3576C85C" w14:textId="369A65C1" w:rsidR="00AB5980" w:rsidRDefault="00312498" w:rsidP="00EF1133">
      <w:pPr>
        <w:rPr>
          <w:rFonts w:ascii="Arial Black" w:hAnsi="Arial Black"/>
          <w:b/>
          <w:sz w:val="28"/>
          <w:szCs w:val="28"/>
        </w:rPr>
      </w:pPr>
      <w:r>
        <w:rPr>
          <w:rFonts w:ascii="Arial Black" w:hAnsi="Arial Black"/>
          <w:b/>
          <w:sz w:val="28"/>
          <w:szCs w:val="28"/>
        </w:rPr>
        <w:t>6-183</w:t>
      </w:r>
    </w:p>
    <w:p w14:paraId="08AA11E4" w14:textId="77777777" w:rsidR="00AB5980" w:rsidRPr="00750C03" w:rsidRDefault="00AB5980" w:rsidP="00AB5980">
      <w:pPr>
        <w:pStyle w:val="NoSpacing"/>
        <w:rPr>
          <w:rFonts w:ascii="Arial Black" w:hAnsi="Arial Black"/>
          <w:sz w:val="28"/>
          <w:szCs w:val="28"/>
        </w:rPr>
      </w:pPr>
      <w:r>
        <w:rPr>
          <w:rFonts w:ascii="Arial Black" w:hAnsi="Arial Black"/>
          <w:sz w:val="28"/>
          <w:szCs w:val="28"/>
        </w:rPr>
        <w:t xml:space="preserve">MA: FF NOT HIRED – BACKGROUND CHECK - 3 FDs NEG </w:t>
      </w:r>
    </w:p>
    <w:p w14:paraId="7F7D053B" w14:textId="77777777" w:rsidR="00AB5980" w:rsidRDefault="00AB5980" w:rsidP="00AB5980">
      <w:pPr>
        <w:pStyle w:val="NoSpacing"/>
      </w:pPr>
    </w:p>
    <w:p w14:paraId="7A3EAB7B" w14:textId="77777777" w:rsidR="00AB5980" w:rsidRDefault="00AB5980" w:rsidP="00AB5980">
      <w:pPr>
        <w:pStyle w:val="NoSpacing"/>
      </w:pPr>
      <w:r>
        <w:t xml:space="preserve">On May 26, 2026, in </w:t>
      </w:r>
      <w:r w:rsidRPr="000A62A7">
        <w:rPr>
          <w:u w:val="single"/>
        </w:rPr>
        <w:t>Paul Defarias v. Civil Service Commission and City of Gloucester</w:t>
      </w:r>
      <w:r>
        <w:t>, the</w:t>
      </w:r>
    </w:p>
    <w:p w14:paraId="5145820C" w14:textId="77777777" w:rsidR="00AB5980" w:rsidRDefault="00AB5980" w:rsidP="00AB5980">
      <w:pPr>
        <w:pStyle w:val="NoSpacing"/>
        <w:rPr>
          <w:b/>
          <w:bCs/>
        </w:rPr>
      </w:pPr>
      <w:r w:rsidRPr="000A62A7">
        <w:t>Appeals Court of Massachusetts</w:t>
      </w:r>
      <w:r>
        <w:t xml:space="preserve"> held (3 to 0) that trial court properly affirmed the Civil Service Commission – the City of Gloucester </w:t>
      </w:r>
      <w:r w:rsidRPr="0047214A">
        <w:t>had</w:t>
      </w:r>
      <w:r>
        <w:t xml:space="preserve"> a </w:t>
      </w:r>
      <w:r w:rsidRPr="0047214A">
        <w:t xml:space="preserve">reasonable justification to bypass </w:t>
      </w:r>
      <w:proofErr w:type="spellStart"/>
      <w:r w:rsidRPr="0047214A">
        <w:t>DeFarias</w:t>
      </w:r>
      <w:proofErr w:type="spellEnd"/>
      <w:r w:rsidRPr="0047214A">
        <w:t xml:space="preserve"> for a firefighter</w:t>
      </w:r>
      <w:r>
        <w:t xml:space="preserve"> </w:t>
      </w:r>
      <w:r w:rsidRPr="0047214A">
        <w:t>position</w:t>
      </w:r>
      <w:r>
        <w:t xml:space="preserve"> (four openings posted in </w:t>
      </w:r>
      <w:r w:rsidRPr="003829BA">
        <w:t>March 2022</w:t>
      </w:r>
      <w:r>
        <w:t xml:space="preserve">), even if the detectives who conducted the background only reported on negative feedback from three prior Massachusetts FDs and not positive feedback from a Florida FD.  The detectives also </w:t>
      </w:r>
      <w:r w:rsidRPr="0062071D">
        <w:t>did not run criminal</w:t>
      </w:r>
      <w:r>
        <w:t xml:space="preserve"> </w:t>
      </w:r>
      <w:r w:rsidRPr="0062071D">
        <w:t xml:space="preserve">history and driving history checks as part of </w:t>
      </w:r>
      <w:proofErr w:type="spellStart"/>
      <w:r w:rsidRPr="0062071D">
        <w:t>DeFarias's</w:t>
      </w:r>
      <w:proofErr w:type="spellEnd"/>
      <w:r>
        <w:t xml:space="preserve"> </w:t>
      </w:r>
      <w:r w:rsidRPr="0062071D">
        <w:t>background investigation, despite it being their normal practice</w:t>
      </w:r>
      <w:r>
        <w:t xml:space="preserve"> </w:t>
      </w:r>
      <w:r w:rsidRPr="0062071D">
        <w:t>to conduct such checks.</w:t>
      </w:r>
      <w:r>
        <w:t xml:space="preserve"> They also didn’t request his personnel files from the FDs.  THE COURT WROTE: “We agree with the commission that the evidence of concern by three of </w:t>
      </w:r>
      <w:proofErr w:type="spellStart"/>
      <w:r>
        <w:t>DeFarias's</w:t>
      </w:r>
      <w:proofErr w:type="spellEnd"/>
      <w:r>
        <w:t xml:space="preserve"> former employers at relevant work experiences provided the city adequate reason not to hire him. Even if the city properly considered the positive aspects of </w:t>
      </w:r>
      <w:proofErr w:type="spellStart"/>
      <w:r>
        <w:t>DeFarias's</w:t>
      </w:r>
      <w:proofErr w:type="spellEnd"/>
      <w:r>
        <w:t xml:space="preserve"> professional history, the negative aspects nonetheless raised legitimate doubts about his suitability for a firefighter position with the city.”  </w:t>
      </w:r>
      <w:hyperlink r:id="rId1032" w:history="1">
        <w:r w:rsidRPr="00C55935">
          <w:rPr>
            <w:rStyle w:val="Hyperlink"/>
          </w:rPr>
          <w:t>https://www.mass.gov/doc/defarias-paul-v-city-of-gloucester-related-appeals-court-decision-52626/download</w:t>
        </w:r>
      </w:hyperlink>
      <w:r w:rsidRPr="00C55935">
        <w:t xml:space="preserve"> </w:t>
      </w:r>
    </w:p>
    <w:p w14:paraId="729AE3A4" w14:textId="77777777" w:rsidR="00AB5980" w:rsidRDefault="00AB5980" w:rsidP="00AB5980">
      <w:pPr>
        <w:pStyle w:val="NoSpacing"/>
        <w:rPr>
          <w:b/>
          <w:bCs/>
        </w:rPr>
      </w:pPr>
    </w:p>
    <w:p w14:paraId="3B1C1040" w14:textId="77777777" w:rsidR="00AB5980" w:rsidRPr="00C55935" w:rsidRDefault="00AB5980" w:rsidP="00AB5980">
      <w:pPr>
        <w:pStyle w:val="NoSpacing"/>
      </w:pPr>
      <w:r w:rsidRPr="00C55935">
        <w:t>THE COURT HELD:</w:t>
      </w:r>
    </w:p>
    <w:p w14:paraId="3EA842E3" w14:textId="77777777" w:rsidR="00AB5980" w:rsidRPr="00C55935" w:rsidRDefault="00AB5980" w:rsidP="00AB5980">
      <w:pPr>
        <w:pStyle w:val="NoSpacing"/>
      </w:pPr>
      <w:r w:rsidRPr="00C55935">
        <w:t xml:space="preserve"> </w:t>
      </w:r>
    </w:p>
    <w:p w14:paraId="581ADDEC" w14:textId="77777777" w:rsidR="00AB5980" w:rsidRDefault="00AB5980" w:rsidP="00AB5980">
      <w:pPr>
        <w:pStyle w:val="NoSpacing"/>
        <w:ind w:left="720"/>
      </w:pPr>
      <w:r>
        <w:t xml:space="preserve">“Much of the information the detectives collected was positive. </w:t>
      </w:r>
      <w:proofErr w:type="spellStart"/>
      <w:r>
        <w:t>DeFarias's</w:t>
      </w:r>
      <w:proofErr w:type="spellEnd"/>
      <w:r>
        <w:t xml:space="preserve"> personal references praised him as a model student, a ‘straight arrow,’ and a hard worker. His supervisor at </w:t>
      </w:r>
      <w:proofErr w:type="spellStart"/>
      <w:r>
        <w:t>Zartech</w:t>
      </w:r>
      <w:proofErr w:type="spellEnd"/>
      <w:r>
        <w:t xml:space="preserve">, where </w:t>
      </w:r>
      <w:proofErr w:type="spellStart"/>
      <w:r>
        <w:t>DeFarias</w:t>
      </w:r>
      <w:proofErr w:type="spellEnd"/>
      <w:r>
        <w:t xml:space="preserve"> is a fabrication shop technician, stated that </w:t>
      </w:r>
      <w:proofErr w:type="spellStart"/>
      <w:r>
        <w:t>DeFarias</w:t>
      </w:r>
      <w:proofErr w:type="spellEnd"/>
      <w:r>
        <w:t xml:space="preserve"> is mature, honest, and generally an ‘outstanding guy.’ In addition, the chief of the volunteer fire department of Montverde, Florida, where </w:t>
      </w:r>
      <w:proofErr w:type="spellStart"/>
      <w:r>
        <w:t>DeFarias</w:t>
      </w:r>
      <w:proofErr w:type="spellEnd"/>
      <w:r>
        <w:t xml:space="preserve"> served as an</w:t>
      </w:r>
    </w:p>
    <w:p w14:paraId="19C09050" w14:textId="77777777" w:rsidR="00AB5980" w:rsidRDefault="00AB5980" w:rsidP="00AB5980">
      <w:pPr>
        <w:pStyle w:val="NoSpacing"/>
        <w:ind w:left="720"/>
      </w:pPr>
      <w:proofErr w:type="gramStart"/>
      <w:r>
        <w:lastRenderedPageBreak/>
        <w:t>on</w:t>
      </w:r>
      <w:proofErr w:type="gramEnd"/>
      <w:r>
        <w:t xml:space="preserve">-call volunteer firefighter in early 2017, reported that </w:t>
      </w:r>
      <w:proofErr w:type="spellStart"/>
      <w:r>
        <w:t>DeFarias</w:t>
      </w:r>
      <w:proofErr w:type="spellEnd"/>
      <w:r>
        <w:t xml:space="preserve"> was well liked, exhibited good attendance, and had a positive work ethic.</w:t>
      </w:r>
    </w:p>
    <w:p w14:paraId="0B6CFDEB" w14:textId="77777777" w:rsidR="00AB5980" w:rsidRDefault="00AB5980" w:rsidP="00AB5980">
      <w:pPr>
        <w:pStyle w:val="NoSpacing"/>
        <w:ind w:left="720"/>
      </w:pPr>
    </w:p>
    <w:p w14:paraId="6F55E454" w14:textId="77777777" w:rsidR="00AB5980" w:rsidRDefault="00AB5980" w:rsidP="00AB5980">
      <w:pPr>
        <w:pStyle w:val="NoSpacing"/>
        <w:ind w:left="720"/>
      </w:pPr>
      <w:r>
        <w:t>***</w:t>
      </w:r>
    </w:p>
    <w:p w14:paraId="4D25610D" w14:textId="77777777" w:rsidR="00AB5980" w:rsidRDefault="00AB5980" w:rsidP="00AB5980">
      <w:pPr>
        <w:pStyle w:val="NoSpacing"/>
        <w:ind w:left="720"/>
      </w:pPr>
    </w:p>
    <w:p w14:paraId="2E09175A" w14:textId="77777777" w:rsidR="00AB5980" w:rsidRDefault="00AB5980" w:rsidP="00AB5980">
      <w:pPr>
        <w:pStyle w:val="NoSpacing"/>
        <w:ind w:left="720"/>
      </w:pPr>
      <w:proofErr w:type="spellStart"/>
      <w:r>
        <w:t>DeFarias</w:t>
      </w:r>
      <w:proofErr w:type="spellEnd"/>
      <w:r>
        <w:t xml:space="preserve"> has performed EMT or firefighting work for three </w:t>
      </w:r>
      <w:proofErr w:type="gramStart"/>
      <w:r>
        <w:t>employers</w:t>
      </w:r>
      <w:proofErr w:type="gramEnd"/>
      <w:r>
        <w:t xml:space="preserve"> in Massachusetts: Cataldo Ambulance Service (Cataldo), Beauport Ambulance Service (Beauport), and the Lynnfield fire department (Lynnfield). Each of these employers provided the detectives with ‘partly negative </w:t>
      </w:r>
      <w:proofErr w:type="gramStart"/>
      <w:r>
        <w:t>reviews’</w:t>
      </w:r>
      <w:proofErr w:type="gramEnd"/>
      <w:r>
        <w:t xml:space="preserve"> of </w:t>
      </w:r>
      <w:proofErr w:type="spellStart"/>
      <w:r>
        <w:t>DeFarias</w:t>
      </w:r>
      <w:proofErr w:type="spellEnd"/>
      <w:r>
        <w:t>. It is undisputed that Cataldo terminated DeFarias, although the circumstances of the termination were ‘hazier.’  4</w:t>
      </w:r>
    </w:p>
    <w:p w14:paraId="2DD19331" w14:textId="77777777" w:rsidR="00AB5980" w:rsidRDefault="00AB5980" w:rsidP="00AB5980">
      <w:pPr>
        <w:pStyle w:val="NoSpacing"/>
        <w:ind w:left="720"/>
      </w:pPr>
    </w:p>
    <w:p w14:paraId="5C087AD1" w14:textId="77777777" w:rsidR="00AB5980" w:rsidRDefault="00AB5980" w:rsidP="00AB5980">
      <w:pPr>
        <w:pStyle w:val="NoSpacing"/>
        <w:ind w:left="720"/>
      </w:pPr>
      <w:r>
        <w:tab/>
        <w:t xml:space="preserve">Footnote 4: </w:t>
      </w:r>
      <w:proofErr w:type="spellStart"/>
      <w:r>
        <w:t>DeFarias</w:t>
      </w:r>
      <w:proofErr w:type="spellEnd"/>
      <w:r>
        <w:t xml:space="preserve"> was suspended pending an investigation into a</w:t>
      </w:r>
    </w:p>
    <w:p w14:paraId="4C5C90B9" w14:textId="77777777" w:rsidR="00AB5980" w:rsidRDefault="00AB5980" w:rsidP="00AB5980">
      <w:pPr>
        <w:pStyle w:val="NoSpacing"/>
        <w:ind w:left="720" w:firstLine="720"/>
      </w:pPr>
      <w:r>
        <w:t>complaint about an interaction with a patient. The magistrate</w:t>
      </w:r>
    </w:p>
    <w:p w14:paraId="1628D929" w14:textId="77777777" w:rsidR="00AB5980" w:rsidRDefault="00AB5980" w:rsidP="00AB5980">
      <w:pPr>
        <w:pStyle w:val="NoSpacing"/>
        <w:ind w:left="720" w:firstLine="720"/>
      </w:pPr>
      <w:r>
        <w:t xml:space="preserve">found that </w:t>
      </w:r>
      <w:proofErr w:type="spellStart"/>
      <w:r>
        <w:t>DeFarias</w:t>
      </w:r>
      <w:proofErr w:type="spellEnd"/>
      <w:r>
        <w:t xml:space="preserve"> was terminated because he did not leave the</w:t>
      </w:r>
    </w:p>
    <w:p w14:paraId="381FA61A" w14:textId="77777777" w:rsidR="00AB5980" w:rsidRDefault="00AB5980" w:rsidP="00AB5980">
      <w:pPr>
        <w:pStyle w:val="NoSpacing"/>
        <w:ind w:left="720" w:firstLine="720"/>
      </w:pPr>
      <w:r>
        <w:t>premises promptly after being suspended and instead demanded</w:t>
      </w:r>
    </w:p>
    <w:p w14:paraId="313413BB" w14:textId="77777777" w:rsidR="00AB5980" w:rsidRDefault="00AB5980" w:rsidP="00AB5980">
      <w:pPr>
        <w:pStyle w:val="NoSpacing"/>
        <w:ind w:left="720" w:firstLine="720"/>
      </w:pPr>
      <w:r>
        <w:t>documentation about his suspension.</w:t>
      </w:r>
    </w:p>
    <w:p w14:paraId="35E5B012" w14:textId="77777777" w:rsidR="00AB5980" w:rsidRDefault="00AB5980" w:rsidP="00AB5980">
      <w:pPr>
        <w:pStyle w:val="NoSpacing"/>
        <w:ind w:left="720"/>
      </w:pPr>
    </w:p>
    <w:p w14:paraId="47A072CA" w14:textId="77777777" w:rsidR="00AB5980" w:rsidRDefault="00AB5980" w:rsidP="00AB5980">
      <w:pPr>
        <w:pStyle w:val="NoSpacing"/>
        <w:ind w:left="720"/>
      </w:pPr>
      <w:r>
        <w:t xml:space="preserve">Beauport terminated </w:t>
      </w:r>
      <w:proofErr w:type="spellStart"/>
      <w:r>
        <w:t>DeFarias</w:t>
      </w:r>
      <w:proofErr w:type="spellEnd"/>
      <w:r>
        <w:t xml:space="preserve"> due to his ‘repeated clinical </w:t>
      </w:r>
      <w:proofErr w:type="gramStart"/>
      <w:r>
        <w:t>errors’ and ‘</w:t>
      </w:r>
      <w:proofErr w:type="gramEnd"/>
      <w:r>
        <w:t xml:space="preserve">personality </w:t>
      </w:r>
      <w:proofErr w:type="gramStart"/>
      <w:r>
        <w:t>conflicts’</w:t>
      </w:r>
      <w:proofErr w:type="gramEnd"/>
      <w:r>
        <w:t xml:space="preserve"> between him and his coworkers. Similarly, a captain at Lynnfield stated that he was disinclined to hire </w:t>
      </w:r>
      <w:proofErr w:type="spellStart"/>
      <w:r>
        <w:t>DeFarias</w:t>
      </w:r>
      <w:proofErr w:type="spellEnd"/>
      <w:r>
        <w:t xml:space="preserve"> in the future because </w:t>
      </w:r>
      <w:proofErr w:type="spellStart"/>
      <w:r>
        <w:t>DeFarias</w:t>
      </w:r>
      <w:proofErr w:type="spellEnd"/>
      <w:r>
        <w:t xml:space="preserve"> had "trouble catching on" and had ‘a few issues with peers.’  Nonetheless, the captain liked DeFarias, praised his work ethic, and suggested that the city should ‘give him a shot.’</w:t>
      </w:r>
    </w:p>
    <w:p w14:paraId="71607776" w14:textId="77777777" w:rsidR="00AB5980" w:rsidRDefault="00AB5980" w:rsidP="00AB5980">
      <w:pPr>
        <w:pStyle w:val="NoSpacing"/>
        <w:ind w:left="720"/>
      </w:pPr>
    </w:p>
    <w:p w14:paraId="1CD3E008" w14:textId="77777777" w:rsidR="00AB5980" w:rsidRDefault="00AB5980" w:rsidP="00AB5980">
      <w:pPr>
        <w:pStyle w:val="NoSpacing"/>
        <w:ind w:left="720"/>
      </w:pPr>
      <w:r>
        <w:t>***</w:t>
      </w:r>
    </w:p>
    <w:p w14:paraId="0746579F" w14:textId="77777777" w:rsidR="00AB5980" w:rsidRDefault="00AB5980" w:rsidP="00AB5980">
      <w:pPr>
        <w:pStyle w:val="NoSpacing"/>
        <w:ind w:left="720"/>
      </w:pPr>
      <w:r>
        <w:t xml:space="preserve">In the future, we expect the city to conduct a thorough and unbiased investigation and write a report that includes both positive and negative findings before the interview to allow the candidate to address negative findings during the interview. But that is not the issue before us. Although the background investigation was flawed, we must evaluate whether there was substantial evidence that (1) ‘the appointing authority had a reasonable justification on the merits for deciding to bypass’ </w:t>
      </w:r>
      <w:proofErr w:type="spellStart"/>
      <w:r>
        <w:t>DeFarias</w:t>
      </w:r>
      <w:proofErr w:type="spellEnd"/>
      <w:r>
        <w:t>, and (2) ‘the flaws in the selection process are not so severe that it is impossible to evaluate the merits from the record.’" Sherman, 472 Mass. at 813.”</w:t>
      </w:r>
    </w:p>
    <w:p w14:paraId="309C1188" w14:textId="77777777" w:rsidR="00AB5980" w:rsidRDefault="00AB5980" w:rsidP="00AB5980">
      <w:pPr>
        <w:pStyle w:val="NoSpacing"/>
        <w:ind w:left="720"/>
      </w:pPr>
    </w:p>
    <w:p w14:paraId="6E594CAB" w14:textId="77777777" w:rsidR="00AB5980" w:rsidRPr="001D5D66" w:rsidRDefault="00AB5980" w:rsidP="00AB5980">
      <w:pPr>
        <w:pStyle w:val="NoSpacing"/>
        <w:rPr>
          <w:b/>
          <w:bCs/>
        </w:rPr>
      </w:pPr>
      <w:r>
        <w:rPr>
          <w:b/>
        </w:rPr>
        <w:t>Legal lesson learned: Background checks are important; include both positive and negative feedback from prior FD employers.</w:t>
      </w:r>
    </w:p>
    <w:p w14:paraId="72DF3A26" w14:textId="77777777" w:rsidR="00AB5980" w:rsidRDefault="00AB5980" w:rsidP="00AB5980">
      <w:pPr>
        <w:pStyle w:val="NoSpacing"/>
        <w:ind w:left="720"/>
      </w:pPr>
    </w:p>
    <w:p w14:paraId="78C6B1B9" w14:textId="77777777" w:rsidR="00AB5980" w:rsidRPr="00CC31B5" w:rsidRDefault="00AB5980" w:rsidP="00AB5980">
      <w:pPr>
        <w:pStyle w:val="NoSpacing"/>
        <w:ind w:left="720"/>
        <w:rPr>
          <w:bCs/>
        </w:rPr>
      </w:pPr>
      <w:r w:rsidRPr="00CC31B5">
        <w:t xml:space="preserve">Note: In Ohio, Fire Chiefs can obtain state and FBI criminal history records. </w:t>
      </w:r>
      <w:hyperlink r:id="rId1033" w:history="1">
        <w:r w:rsidRPr="00A036CD">
          <w:rPr>
            <w:rStyle w:val="Hyperlink"/>
          </w:rPr>
          <w:t>https://codes.ohio.gov/ohio-revised-code/section-505.381</w:t>
        </w:r>
      </w:hyperlink>
      <w:r>
        <w:t xml:space="preserve"> </w:t>
      </w:r>
    </w:p>
    <w:p w14:paraId="799CF207" w14:textId="77777777" w:rsidR="00AB5980" w:rsidRDefault="00AB5980" w:rsidP="00AB5980">
      <w:pPr>
        <w:pStyle w:val="NoSpacing"/>
        <w:rPr>
          <w:b/>
        </w:rPr>
      </w:pPr>
    </w:p>
    <w:p w14:paraId="14FDDF12" w14:textId="77777777" w:rsidR="00AB5980" w:rsidRPr="00425EAF" w:rsidRDefault="00AB5980" w:rsidP="00AB5980">
      <w:pPr>
        <w:pStyle w:val="NoSpacing"/>
        <w:ind w:left="720"/>
      </w:pPr>
      <w:r w:rsidRPr="00425EAF">
        <w:t>(A) The fire chief of a township or fire district may request the superintendent of BCII to conduct a criminal records check with respect to any person who is under consideration for appointment or employment as a permanent, full-time paid firefighter or any person who is under consideration for appointment as a volunteer firefighter.</w:t>
      </w:r>
    </w:p>
    <w:p w14:paraId="6A637800" w14:textId="77777777" w:rsidR="00AB5980" w:rsidRPr="00425EAF" w:rsidRDefault="00AB5980" w:rsidP="00AB5980">
      <w:pPr>
        <w:pStyle w:val="NoSpacing"/>
        <w:ind w:left="720"/>
      </w:pPr>
      <w:r w:rsidRPr="00425EAF">
        <w:t xml:space="preserve">(B)(1) The fire chief of the township or fire district may request that the superintendent of BCII obtain information from the federal bureau of investigation as a part of the criminal </w:t>
      </w:r>
      <w:proofErr w:type="gramStart"/>
      <w:r w:rsidRPr="00425EAF">
        <w:t>records check</w:t>
      </w:r>
      <w:proofErr w:type="gramEnd"/>
      <w:r w:rsidRPr="00425EAF">
        <w:t xml:space="preserve"> requested pursuant to division (A) of this section.</w:t>
      </w:r>
    </w:p>
    <w:p w14:paraId="04FF7644" w14:textId="77777777" w:rsidR="00AB5980" w:rsidRPr="00425EAF" w:rsidRDefault="00AB5980" w:rsidP="00AB5980">
      <w:pPr>
        <w:pStyle w:val="NoSpacing"/>
        <w:ind w:left="720"/>
      </w:pPr>
      <w:r w:rsidRPr="00425EAF">
        <w:t xml:space="preserve">(2) A fire chief authorized by division (A) of this section to request a criminal records check shall provide to each person for whom the fire chief intends to request a criminal records check a copy of the form prescribed pursuant to division (C)(1) of section </w:t>
      </w:r>
      <w:hyperlink r:id="rId1034" w:history="1">
        <w:r w:rsidRPr="00425EAF">
          <w:rPr>
            <w:rStyle w:val="Hyperlink"/>
            <w:color w:val="auto"/>
            <w:u w:val="none"/>
          </w:rPr>
          <w:t>109.578</w:t>
        </w:r>
      </w:hyperlink>
      <w:r w:rsidRPr="00425EAF">
        <w:t xml:space="preserve"> of the Revised Code and a standard impression sheet to obtain fingerprint impressions prescribed pursuant to division (C)(2) of section </w:t>
      </w:r>
      <w:hyperlink r:id="rId1035" w:history="1">
        <w:r w:rsidRPr="00425EAF">
          <w:rPr>
            <w:rStyle w:val="Hyperlink"/>
            <w:color w:val="auto"/>
            <w:u w:val="none"/>
          </w:rPr>
          <w:t>109.578</w:t>
        </w:r>
      </w:hyperlink>
      <w:r w:rsidRPr="00425EAF">
        <w:t xml:space="preserve"> of the Revised Code, obtain the completed form and impression sheet from the person, and forward the completed form and impression sheet to the superintendent of BCII at the time the criminal records check is requested.</w:t>
      </w:r>
    </w:p>
    <w:p w14:paraId="5768AF25" w14:textId="77777777" w:rsidR="00AB5980" w:rsidRPr="00425EAF" w:rsidRDefault="00AB5980" w:rsidP="00AB5980">
      <w:pPr>
        <w:pStyle w:val="NoSpacing"/>
        <w:ind w:left="720"/>
      </w:pPr>
      <w:r w:rsidRPr="00425EAF">
        <w:t xml:space="preserve">(3) Any person subject to a criminal records check who receives a copy of the form and a copy of the impression sheet pursuant to division (B)(2) of this section and who is requested to complete the form and provide a set of fingerprint impressions shall complete the form or provide all the information necessary to complete the form and shall provide the impression sheet with the impressions of the person's fingerprints. If a person fails to provide the information necessary to complete the form or fails to provide impressions of the person's </w:t>
      </w:r>
      <w:r w:rsidRPr="00425EAF">
        <w:lastRenderedPageBreak/>
        <w:t>fingerprints, the appointing authority shall not appoint or employ the person as a permanent, full-time paid firefighter or a volunteer firefighter.</w:t>
      </w:r>
    </w:p>
    <w:p w14:paraId="6614113B" w14:textId="77777777" w:rsidR="00AB5980" w:rsidRPr="00425EAF" w:rsidRDefault="00AB5980" w:rsidP="00AB5980">
      <w:pPr>
        <w:pStyle w:val="NoSpacing"/>
      </w:pPr>
    </w:p>
    <w:p w14:paraId="49183B16" w14:textId="77777777" w:rsidR="00AB5980" w:rsidRDefault="00AB5980" w:rsidP="00EF1133">
      <w:pPr>
        <w:rPr>
          <w:rFonts w:ascii="Arial Black" w:hAnsi="Arial Black"/>
          <w:b/>
          <w:sz w:val="28"/>
          <w:szCs w:val="28"/>
        </w:rPr>
      </w:pPr>
    </w:p>
    <w:p w14:paraId="1FFB59A0" w14:textId="77777777" w:rsidR="00AB5980" w:rsidRDefault="00AB5980" w:rsidP="00EF1133">
      <w:pPr>
        <w:rPr>
          <w:rFonts w:ascii="Arial Black" w:hAnsi="Arial Black"/>
          <w:b/>
          <w:sz w:val="28"/>
          <w:szCs w:val="28"/>
        </w:rPr>
      </w:pPr>
    </w:p>
    <w:p w14:paraId="53A6A14E" w14:textId="419F8698" w:rsidR="00221DD4" w:rsidRDefault="00221DD4" w:rsidP="00EF1133">
      <w:pPr>
        <w:rPr>
          <w:rFonts w:ascii="Arial Black" w:hAnsi="Arial Black"/>
          <w:b/>
          <w:sz w:val="24"/>
          <w:szCs w:val="24"/>
        </w:rPr>
      </w:pPr>
      <w:r>
        <w:rPr>
          <w:rFonts w:ascii="Arial Black" w:hAnsi="Arial Black"/>
          <w:b/>
          <w:sz w:val="28"/>
          <w:szCs w:val="28"/>
        </w:rPr>
        <w:t>6-182</w:t>
      </w:r>
    </w:p>
    <w:p w14:paraId="0C180BC4" w14:textId="77777777" w:rsidR="00893575" w:rsidRPr="00CB350E" w:rsidRDefault="00893575" w:rsidP="00893575">
      <w:pPr>
        <w:pStyle w:val="NoSpacing"/>
        <w:rPr>
          <w:rFonts w:ascii="Arial Black" w:hAnsi="Arial Black"/>
          <w:sz w:val="28"/>
          <w:szCs w:val="28"/>
        </w:rPr>
      </w:pPr>
      <w:r>
        <w:rPr>
          <w:rFonts w:ascii="Arial Black" w:hAnsi="Arial Black"/>
          <w:sz w:val="28"/>
          <w:szCs w:val="28"/>
        </w:rPr>
        <w:t>NY: FF FOOT INJURED ON FIRE BOAT – CASE PROCEED</w:t>
      </w:r>
    </w:p>
    <w:p w14:paraId="11882251" w14:textId="77777777" w:rsidR="00893575" w:rsidRDefault="00893575" w:rsidP="00893575">
      <w:pPr>
        <w:pStyle w:val="NoSpacing"/>
      </w:pPr>
    </w:p>
    <w:p w14:paraId="2E99352C" w14:textId="77777777" w:rsidR="00893575" w:rsidRDefault="00893575" w:rsidP="00893575">
      <w:pPr>
        <w:pStyle w:val="NoSpacing"/>
      </w:pPr>
      <w:r>
        <w:t xml:space="preserve">On April 30, 2026, </w:t>
      </w:r>
      <w:r w:rsidRPr="00C14F25">
        <w:rPr>
          <w:u w:val="single"/>
        </w:rPr>
        <w:t>In Re: In the Matter of the Complaint of Verplanck Fire District, et al. v. Troy Dyckman</w:t>
      </w:r>
      <w:r w:rsidRPr="00DD01C1">
        <w:t>, the</w:t>
      </w:r>
      <w:r>
        <w:t xml:space="preserve"> </w:t>
      </w:r>
      <w:r w:rsidRPr="00DD01C1">
        <w:t>United States Court of Appeals for Second District</w:t>
      </w:r>
      <w:r>
        <w:t xml:space="preserve"> (New York City) held (3 to 0) that the firefighter lawsuit seeking damages for breach of “warranty of seaworthiness may proceed under federal maritime law.  He was a volunteer firefighter while aboard 25-foot Marine I, owned by the Verplanck Fire District on August 9, </w:t>
      </w:r>
      <w:proofErr w:type="gramStart"/>
      <w:r>
        <w:t>2020</w:t>
      </w:r>
      <w:proofErr w:type="gramEnd"/>
      <w:r>
        <w:t xml:space="preserve"> to the reported site of a boat fire on the Hudson River, when he </w:t>
      </w:r>
      <w:r w:rsidRPr="00815FFD">
        <w:t xml:space="preserve">extended his leg to fend off a collision with </w:t>
      </w:r>
      <w:r>
        <w:t xml:space="preserve">West Chester County police </w:t>
      </w:r>
      <w:r w:rsidRPr="00815FFD">
        <w:t>vessel.</w:t>
      </w:r>
      <w:r>
        <w:t xml:space="preserve">  His foot was crushed between the boats; he has since undergone two surgeries. Under the New York State Volunteer Firefighters’ Benefit Law, his medical expenses are paid by the FD, plus he is paid $500 every two weeks for loss of income while injured.  Under the New York Volunteer Fireman’s statute, workers comp is his sole remedy, but federal maritime law allowing lawsuits for breach of “warranty of seaworthiness” may override that state law – case remanded for discovery.  </w:t>
      </w:r>
      <w:hyperlink r:id="rId1036" w:history="1">
        <w:r w:rsidRPr="00EF04F6">
          <w:rPr>
            <w:rStyle w:val="Hyperlink"/>
          </w:rPr>
          <w:t>https://cases.justia.com/federal/appellate-courts/ca2/23-1218/23-1218-2026-04-30.pdf?ts=1777566611</w:t>
        </w:r>
      </w:hyperlink>
      <w:r>
        <w:t xml:space="preserve"> </w:t>
      </w:r>
    </w:p>
    <w:p w14:paraId="4699B838" w14:textId="77777777" w:rsidR="00893575" w:rsidRDefault="00893575" w:rsidP="00893575">
      <w:pPr>
        <w:pStyle w:val="NoSpacing"/>
      </w:pPr>
    </w:p>
    <w:p w14:paraId="123D1104" w14:textId="77777777" w:rsidR="00893575" w:rsidRDefault="00893575" w:rsidP="00893575">
      <w:pPr>
        <w:pStyle w:val="NoSpacing"/>
      </w:pPr>
      <w:r>
        <w:t>THE COURT HELD:</w:t>
      </w:r>
    </w:p>
    <w:p w14:paraId="4BC283AB" w14:textId="77777777" w:rsidR="00893575" w:rsidRDefault="00893575" w:rsidP="00893575">
      <w:pPr>
        <w:pStyle w:val="NoSpacing"/>
      </w:pPr>
    </w:p>
    <w:p w14:paraId="00422053" w14:textId="77777777" w:rsidR="00893575" w:rsidRDefault="00893575" w:rsidP="00893575">
      <w:pPr>
        <w:pStyle w:val="NoSpacing"/>
        <w:ind w:left="720"/>
      </w:pPr>
      <w:r>
        <w:t>“[Footnote 1.] “Dyckman testified in his deposition that he went to the front of the boat to ‘get the ropes ready to tie off in the front,’ either on the instruction of a colleague or his own initiative, purportedly to secure the boat by tying it to a mooring or vessel.</w:t>
      </w:r>
    </w:p>
    <w:p w14:paraId="03DEC488" w14:textId="77777777" w:rsidR="00893575" w:rsidRDefault="00893575" w:rsidP="00893575">
      <w:pPr>
        <w:pStyle w:val="NoSpacing"/>
        <w:ind w:left="720"/>
      </w:pPr>
    </w:p>
    <w:p w14:paraId="1426479D" w14:textId="77777777" w:rsidR="00893575" w:rsidRDefault="00893575" w:rsidP="00893575">
      <w:pPr>
        <w:pStyle w:val="NoSpacing"/>
        <w:ind w:left="720"/>
      </w:pPr>
      <w:r>
        <w:t>***</w:t>
      </w:r>
    </w:p>
    <w:p w14:paraId="1B960859" w14:textId="77777777" w:rsidR="00893575" w:rsidRDefault="00893575" w:rsidP="00893575">
      <w:pPr>
        <w:pStyle w:val="NoSpacing"/>
        <w:ind w:left="720"/>
      </w:pPr>
      <w:r>
        <w:t xml:space="preserve">Nothing in the logic of </w:t>
      </w:r>
      <w:r w:rsidRPr="00546785">
        <w:rPr>
          <w:i/>
          <w:iCs/>
        </w:rPr>
        <w:t>Sieracki</w:t>
      </w:r>
      <w:r>
        <w:t xml:space="preserve"> [U.S. Supreme Court - </w:t>
      </w:r>
      <w:r w:rsidRPr="005A0F3E">
        <w:t>Seas Shipping Co. v. Sieracki, 328 U.S. 85 (1946</w:t>
      </w:r>
      <w:r>
        <w:t>] or its progeny has suggested that, while workers employed by an independent stevedoring contractor may recover from the shipowner for unseaworthy conditions, workers employed by a shipowner in its own land-based stevedoring operation may not.</w:t>
      </w:r>
    </w:p>
    <w:p w14:paraId="65CAF55D" w14:textId="77777777" w:rsidR="00893575" w:rsidRDefault="00893575" w:rsidP="00893575">
      <w:pPr>
        <w:pStyle w:val="NoSpacing"/>
        <w:ind w:left="720"/>
      </w:pPr>
    </w:p>
    <w:p w14:paraId="3633EDBB" w14:textId="77777777" w:rsidR="00893575" w:rsidRDefault="00893575" w:rsidP="00893575">
      <w:pPr>
        <w:pStyle w:val="NoSpacing"/>
        <w:ind w:left="720"/>
      </w:pPr>
      <w:r>
        <w:t>***</w:t>
      </w:r>
    </w:p>
    <w:p w14:paraId="0133E12D" w14:textId="77777777" w:rsidR="00893575" w:rsidRDefault="00893575" w:rsidP="00893575">
      <w:pPr>
        <w:pStyle w:val="NoSpacing"/>
        <w:ind w:left="720"/>
      </w:pPr>
      <w:r>
        <w:t xml:space="preserve">The relevant issue for us is whether Dyckman was covered by the Act. Dyckman, as explained below, is not covered by the Act [Limitation of Liability Act of 1851, 46 U.S.C. § 30523.]  because he is a </w:t>
      </w:r>
      <w:proofErr w:type="gramStart"/>
      <w:r>
        <w:t>governmental</w:t>
      </w:r>
      <w:proofErr w:type="gramEnd"/>
      <w:r>
        <w:t xml:space="preserve"> employee. Because he is excluded as a governmental employee, the fact that he is neither an independent contractor nor employed by one is of no significance as to whether he is or is not covered under the Act.</w:t>
      </w:r>
    </w:p>
    <w:p w14:paraId="3E521E57" w14:textId="77777777" w:rsidR="00893575" w:rsidRDefault="00893575" w:rsidP="00893575">
      <w:pPr>
        <w:pStyle w:val="NoSpacing"/>
        <w:ind w:left="720"/>
      </w:pPr>
      <w:r>
        <w:t xml:space="preserve">Footnote 2: The Limitation of Liability Act limits the liability of the owner of a vessel to the ‘value of the vessel and pending freight’ so long as the damage, loss, or personal injury was incurred ‘without the privity or knowledge of the owner.’ </w:t>
      </w:r>
    </w:p>
    <w:p w14:paraId="6F62C2C6" w14:textId="77777777" w:rsidR="00893575" w:rsidRDefault="00893575" w:rsidP="00893575">
      <w:pPr>
        <w:pStyle w:val="NoSpacing"/>
        <w:ind w:left="720"/>
      </w:pPr>
    </w:p>
    <w:p w14:paraId="3AD72310" w14:textId="77777777" w:rsidR="00893575" w:rsidRDefault="00893575" w:rsidP="00893575">
      <w:pPr>
        <w:pStyle w:val="NoSpacing"/>
        <w:ind w:left="720"/>
      </w:pPr>
      <w:r>
        <w:t>***</w:t>
      </w:r>
    </w:p>
    <w:p w14:paraId="6A68DD79" w14:textId="77777777" w:rsidR="00893575" w:rsidRDefault="00893575" w:rsidP="00893575">
      <w:pPr>
        <w:pStyle w:val="NoSpacing"/>
        <w:ind w:left="720"/>
      </w:pPr>
      <w:r>
        <w:t xml:space="preserve">We leave it to the proceedings in the district court on </w:t>
      </w:r>
      <w:proofErr w:type="gramStart"/>
      <w:r>
        <w:t>remand</w:t>
      </w:r>
      <w:proofErr w:type="gramEnd"/>
      <w:r>
        <w:t xml:space="preserve"> to determine</w:t>
      </w:r>
    </w:p>
    <w:p w14:paraId="540561CB" w14:textId="77777777" w:rsidR="00893575" w:rsidRDefault="00893575" w:rsidP="00893575">
      <w:pPr>
        <w:pStyle w:val="NoSpacing"/>
        <w:ind w:left="720"/>
      </w:pPr>
      <w:r>
        <w:t>whether this evidence should be believed and whether Dyckman was doing</w:t>
      </w:r>
    </w:p>
    <w:p w14:paraId="6D8585BB" w14:textId="77777777" w:rsidR="00893575" w:rsidRDefault="00893575" w:rsidP="00893575">
      <w:pPr>
        <w:pStyle w:val="NoSpacing"/>
        <w:ind w:left="720"/>
      </w:pPr>
      <w:r>
        <w:t>seaman’s work and incurring a seaman’s hazards.”</w:t>
      </w:r>
    </w:p>
    <w:p w14:paraId="366840BC" w14:textId="77777777" w:rsidR="00893575" w:rsidRDefault="00893575" w:rsidP="00893575">
      <w:pPr>
        <w:pStyle w:val="NoSpacing"/>
        <w:ind w:left="720"/>
      </w:pPr>
    </w:p>
    <w:p w14:paraId="5888320E" w14:textId="77777777" w:rsidR="00893575" w:rsidRPr="007F2593" w:rsidRDefault="00893575" w:rsidP="00893575">
      <w:pPr>
        <w:pStyle w:val="NoSpacing"/>
        <w:rPr>
          <w:b/>
          <w:bCs/>
        </w:rPr>
      </w:pPr>
      <w:r>
        <w:rPr>
          <w:b/>
        </w:rPr>
        <w:t xml:space="preserve">Legal lesson learned: Workers’ comp is normally only remedy for </w:t>
      </w:r>
      <w:proofErr w:type="gramStart"/>
      <w:r>
        <w:rPr>
          <w:b/>
        </w:rPr>
        <w:t>firefighter</w:t>
      </w:r>
      <w:proofErr w:type="gramEnd"/>
      <w:r>
        <w:rPr>
          <w:b/>
        </w:rPr>
        <w:t xml:space="preserve"> seeking claims against his FD. </w:t>
      </w:r>
    </w:p>
    <w:p w14:paraId="7BF5210B" w14:textId="77777777" w:rsidR="00893575" w:rsidRPr="00C14F25" w:rsidRDefault="00893575" w:rsidP="00893575">
      <w:pPr>
        <w:pStyle w:val="NoSpacing"/>
        <w:rPr>
          <w:u w:val="single"/>
        </w:rPr>
      </w:pPr>
    </w:p>
    <w:p w14:paraId="06019AA9" w14:textId="77777777" w:rsidR="00893575" w:rsidRDefault="00893575" w:rsidP="00893575">
      <w:pPr>
        <w:pStyle w:val="NoSpacing"/>
      </w:pPr>
    </w:p>
    <w:p w14:paraId="31B216A3" w14:textId="77777777" w:rsidR="0092471F" w:rsidRDefault="0092471F" w:rsidP="000624FD">
      <w:pPr>
        <w:pStyle w:val="NoSpacing"/>
        <w:rPr>
          <w:rFonts w:ascii="Arial Black" w:hAnsi="Arial Black"/>
          <w:b/>
          <w:sz w:val="28"/>
          <w:szCs w:val="28"/>
        </w:rPr>
      </w:pPr>
    </w:p>
    <w:p w14:paraId="6979F8A7" w14:textId="77777777" w:rsidR="0092471F" w:rsidRDefault="0092471F" w:rsidP="000624FD">
      <w:pPr>
        <w:pStyle w:val="NoSpacing"/>
        <w:rPr>
          <w:rFonts w:ascii="Arial Black" w:hAnsi="Arial Black"/>
          <w:b/>
          <w:sz w:val="28"/>
          <w:szCs w:val="28"/>
        </w:rPr>
      </w:pPr>
    </w:p>
    <w:p w14:paraId="7E5A09BD" w14:textId="77777777" w:rsidR="0092471F" w:rsidRDefault="0092471F" w:rsidP="000624FD">
      <w:pPr>
        <w:pStyle w:val="NoSpacing"/>
        <w:rPr>
          <w:rFonts w:ascii="Arial Black" w:hAnsi="Arial Black"/>
          <w:b/>
          <w:sz w:val="28"/>
          <w:szCs w:val="28"/>
        </w:rPr>
      </w:pPr>
    </w:p>
    <w:p w14:paraId="64226EC6" w14:textId="0745083F" w:rsidR="00035385" w:rsidRDefault="00035385" w:rsidP="000624FD">
      <w:pPr>
        <w:pStyle w:val="NoSpacing"/>
        <w:rPr>
          <w:rFonts w:ascii="Arial Black" w:hAnsi="Arial Black"/>
          <w:b/>
          <w:sz w:val="28"/>
          <w:szCs w:val="28"/>
        </w:rPr>
      </w:pPr>
      <w:r>
        <w:rPr>
          <w:rFonts w:ascii="Arial Black" w:hAnsi="Arial Black"/>
          <w:b/>
          <w:sz w:val="28"/>
          <w:szCs w:val="28"/>
        </w:rPr>
        <w:t>6-181</w:t>
      </w:r>
    </w:p>
    <w:p w14:paraId="74F3F171" w14:textId="77777777" w:rsidR="00035385" w:rsidRDefault="00035385" w:rsidP="000624FD">
      <w:pPr>
        <w:pStyle w:val="NoSpacing"/>
        <w:rPr>
          <w:rFonts w:ascii="Arial Black" w:hAnsi="Arial Black"/>
          <w:b/>
          <w:sz w:val="28"/>
          <w:szCs w:val="28"/>
        </w:rPr>
      </w:pPr>
    </w:p>
    <w:p w14:paraId="54EC177A" w14:textId="77777777" w:rsidR="007B6232" w:rsidRDefault="007B6232" w:rsidP="007B6232">
      <w:pPr>
        <w:pStyle w:val="NoSpacing"/>
        <w:rPr>
          <w:rFonts w:ascii="Arial Black" w:hAnsi="Arial Black"/>
          <w:b/>
          <w:sz w:val="28"/>
          <w:szCs w:val="28"/>
        </w:rPr>
      </w:pPr>
      <w:r>
        <w:rPr>
          <w:rFonts w:ascii="Arial Black" w:hAnsi="Arial Black"/>
          <w:b/>
          <w:sz w:val="28"/>
          <w:szCs w:val="28"/>
        </w:rPr>
        <w:t xml:space="preserve">NY: FDNY - 7 BACK INJURIES – DEGENERATIVE / NO ADR </w:t>
      </w:r>
    </w:p>
    <w:p w14:paraId="004D7752" w14:textId="77777777" w:rsidR="007B6232" w:rsidRDefault="007B6232" w:rsidP="007B6232">
      <w:pPr>
        <w:pStyle w:val="NoSpacing"/>
        <w:rPr>
          <w:rFonts w:ascii="Arial Black" w:hAnsi="Arial Black"/>
          <w:b/>
          <w:sz w:val="28"/>
          <w:szCs w:val="28"/>
        </w:rPr>
      </w:pPr>
    </w:p>
    <w:p w14:paraId="36E729A8" w14:textId="77777777" w:rsidR="007B6232" w:rsidRDefault="007B6232" w:rsidP="007B6232">
      <w:pPr>
        <w:pStyle w:val="NoSpacing"/>
      </w:pPr>
      <w:r w:rsidRPr="00426EAE">
        <w:t xml:space="preserve">On February 24, 2026, in </w:t>
      </w:r>
      <w:r w:rsidRPr="00DE0863">
        <w:rPr>
          <w:u w:val="single"/>
        </w:rPr>
        <w:t>Marcus Cevallos v. Robert Tucker, as the Fire Commissioner of the City of New York</w:t>
      </w:r>
      <w:r>
        <w:t xml:space="preserve">, Judge </w:t>
      </w:r>
      <w:r w:rsidRPr="00505C38">
        <w:t xml:space="preserve">Kathleen Waterman-Marshall, </w:t>
      </w:r>
      <w:r w:rsidRPr="00DE0863">
        <w:t>Supreme Court, New York County</w:t>
      </w:r>
      <w:r>
        <w:t xml:space="preserve">, held that plaintiff was properly awarded only ordinary disability retirement (ODR), and denied </w:t>
      </w:r>
      <w:r w:rsidRPr="009B77E9">
        <w:t>Accident Disability Retirement</w:t>
      </w:r>
      <w:r>
        <w:t xml:space="preserve"> (ADR) because his medical history revealed </w:t>
      </w:r>
      <w:r w:rsidRPr="00EC6C51">
        <w:t xml:space="preserve">degenerative changes and not </w:t>
      </w:r>
      <w:r>
        <w:t>changes cause by his workplace injuries. B</w:t>
      </w:r>
      <w:r w:rsidRPr="0058637B">
        <w:t xml:space="preserve">etween March 2014 and August 2022, </w:t>
      </w:r>
      <w:r>
        <w:t xml:space="preserve">he </w:t>
      </w:r>
      <w:r w:rsidRPr="0058637B">
        <w:t xml:space="preserve">suffered seven </w:t>
      </w:r>
      <w:r>
        <w:t xml:space="preserve">documented </w:t>
      </w:r>
      <w:proofErr w:type="gramStart"/>
      <w:r w:rsidRPr="0058637B">
        <w:t>line</w:t>
      </w:r>
      <w:proofErr w:type="gramEnd"/>
      <w:r w:rsidRPr="0058637B">
        <w:t xml:space="preserve"> of duty injuries to his back</w:t>
      </w:r>
      <w:r>
        <w:t xml:space="preserve">, but on March 29, </w:t>
      </w:r>
      <w:r w:rsidRPr="00EC6C51">
        <w:t xml:space="preserve">2014, </w:t>
      </w:r>
      <w:r>
        <w:t xml:space="preserve">he </w:t>
      </w:r>
      <w:r w:rsidRPr="00EC6C51">
        <w:t xml:space="preserve">was seen in the emergency room at Phelps Memorial </w:t>
      </w:r>
      <w:proofErr w:type="gramStart"/>
      <w:r w:rsidRPr="00EC6C51">
        <w:t xml:space="preserve">Hospital, </w:t>
      </w:r>
      <w:r>
        <w:t>and</w:t>
      </w:r>
      <w:proofErr w:type="gramEnd"/>
      <w:r>
        <w:t xml:space="preserve"> </w:t>
      </w:r>
      <w:r w:rsidRPr="00EC6C51">
        <w:t>told the examiner that he had "chronic back pain and was taking Naprosyn." This is less than a year on the job, with no previous injur</w:t>
      </w:r>
      <w:r>
        <w:t>ies</w:t>
      </w:r>
      <w:r w:rsidRPr="00EC6C51">
        <w:t xml:space="preserve"> to his back. </w:t>
      </w:r>
      <w:r>
        <w:t xml:space="preserve"> </w:t>
      </w:r>
      <w:hyperlink r:id="rId1037" w:history="1">
        <w:r w:rsidRPr="00502BCE">
          <w:rPr>
            <w:rStyle w:val="Hyperlink"/>
          </w:rPr>
          <w:t>https://cases.justia.com/new-york/other-courts/2026-2026-ny-slip-op-30695-u.pdf?ts=1773178122</w:t>
        </w:r>
      </w:hyperlink>
      <w:r>
        <w:t xml:space="preserve"> </w:t>
      </w:r>
    </w:p>
    <w:p w14:paraId="5D35D398" w14:textId="77777777" w:rsidR="007B6232" w:rsidRDefault="007B6232" w:rsidP="007B6232">
      <w:pPr>
        <w:pStyle w:val="NoSpacing"/>
      </w:pPr>
    </w:p>
    <w:p w14:paraId="750353F8" w14:textId="77777777" w:rsidR="007B6232" w:rsidRDefault="007B6232" w:rsidP="007B6232">
      <w:pPr>
        <w:pStyle w:val="NoSpacing"/>
      </w:pPr>
    </w:p>
    <w:p w14:paraId="1BB94490" w14:textId="77777777" w:rsidR="007B6232" w:rsidRDefault="007B6232" w:rsidP="007B6232">
      <w:pPr>
        <w:pStyle w:val="NoSpacing"/>
      </w:pPr>
      <w:r>
        <w:t>THE COURT HELD: “</w:t>
      </w:r>
      <w:r w:rsidRPr="000F7DF4">
        <w:t>Put simply, the Medical Board was presented with competing and arguably conflicting medical evidence concerning the cause of Mr. Cevallos' disability. By way of brief example, on the one hand, the report of Mr. Cevallos' doctor urges that there was no pre-existing condition prior to Mr. Cevallos' line of duty injuries, because he was able to pass the physical exam and the 2012 x-ray showed no structural issues. One the other hand, March 2014 medical records show that Mr. Cevallos complained of chronic back pain as the result of weightlifting, requiring medication, and various radiographic studies revealed degenerative disc herniations and bulges and the absence of an acute injury. The Medical Board was entitled to review the competing evidence and recommend that the disability was caused by degenerative disease, notwithstanding the prior line of duty injuries</w:t>
      </w:r>
      <w:r>
        <w:t>.”</w:t>
      </w:r>
    </w:p>
    <w:p w14:paraId="2D87F858" w14:textId="77777777" w:rsidR="007B6232" w:rsidRDefault="007B6232" w:rsidP="007B6232">
      <w:pPr>
        <w:pStyle w:val="NoSpacing"/>
      </w:pPr>
    </w:p>
    <w:p w14:paraId="544F0C01" w14:textId="77777777" w:rsidR="007B6232" w:rsidRPr="00037C57" w:rsidRDefault="007B6232" w:rsidP="007B6232">
      <w:pPr>
        <w:pStyle w:val="NoSpacing"/>
        <w:rPr>
          <w:b/>
          <w:bCs/>
        </w:rPr>
      </w:pPr>
      <w:r w:rsidRPr="00037C57">
        <w:rPr>
          <w:b/>
        </w:rPr>
        <w:t xml:space="preserve">Legal lesson learned: </w:t>
      </w:r>
      <w:r>
        <w:rPr>
          <w:b/>
        </w:rPr>
        <w:t xml:space="preserve">Courts will generally not “second guess” the Medical Board. </w:t>
      </w:r>
    </w:p>
    <w:p w14:paraId="778C5980" w14:textId="77777777" w:rsidR="007B6232" w:rsidRDefault="007B6232" w:rsidP="007B6232">
      <w:pPr>
        <w:pStyle w:val="NoSpacing"/>
      </w:pPr>
    </w:p>
    <w:p w14:paraId="200870D5" w14:textId="77777777" w:rsidR="00035385" w:rsidRDefault="00035385" w:rsidP="000624FD">
      <w:pPr>
        <w:pStyle w:val="NoSpacing"/>
        <w:rPr>
          <w:rFonts w:ascii="Arial Black" w:hAnsi="Arial Black"/>
          <w:b/>
          <w:sz w:val="28"/>
          <w:szCs w:val="28"/>
        </w:rPr>
      </w:pPr>
    </w:p>
    <w:p w14:paraId="6ABAAB22" w14:textId="77777777" w:rsidR="00035385" w:rsidRDefault="00035385" w:rsidP="000624FD">
      <w:pPr>
        <w:pStyle w:val="NoSpacing"/>
        <w:rPr>
          <w:rFonts w:ascii="Arial Black" w:hAnsi="Arial Black"/>
          <w:b/>
          <w:sz w:val="28"/>
          <w:szCs w:val="28"/>
        </w:rPr>
      </w:pPr>
    </w:p>
    <w:p w14:paraId="517BBB1C" w14:textId="77777777" w:rsidR="00035385" w:rsidRDefault="00035385" w:rsidP="000624FD">
      <w:pPr>
        <w:pStyle w:val="NoSpacing"/>
        <w:rPr>
          <w:rFonts w:ascii="Arial Black" w:hAnsi="Arial Black"/>
          <w:b/>
          <w:sz w:val="28"/>
          <w:szCs w:val="28"/>
        </w:rPr>
      </w:pPr>
    </w:p>
    <w:p w14:paraId="18A1AE36" w14:textId="16443396" w:rsidR="006D2F6D" w:rsidRDefault="006D2F6D" w:rsidP="000624FD">
      <w:pPr>
        <w:pStyle w:val="NoSpacing"/>
        <w:rPr>
          <w:rFonts w:ascii="Arial Black" w:hAnsi="Arial Black"/>
          <w:b/>
          <w:sz w:val="28"/>
          <w:szCs w:val="28"/>
        </w:rPr>
      </w:pPr>
      <w:r>
        <w:rPr>
          <w:rFonts w:ascii="Arial Black" w:hAnsi="Arial Black"/>
          <w:b/>
          <w:sz w:val="28"/>
          <w:szCs w:val="28"/>
        </w:rPr>
        <w:t>6-1</w:t>
      </w:r>
      <w:r w:rsidR="00977A84">
        <w:rPr>
          <w:rFonts w:ascii="Arial Black" w:hAnsi="Arial Black"/>
          <w:b/>
          <w:sz w:val="28"/>
          <w:szCs w:val="28"/>
        </w:rPr>
        <w:t>80</w:t>
      </w:r>
    </w:p>
    <w:p w14:paraId="6F955B6E" w14:textId="77777777" w:rsidR="006D2F6D" w:rsidRPr="00D908BA" w:rsidRDefault="006D2F6D" w:rsidP="006D2F6D">
      <w:pPr>
        <w:pStyle w:val="NoSpacing"/>
        <w:rPr>
          <w:rFonts w:ascii="Arial Black" w:hAnsi="Arial Black"/>
          <w:b/>
          <w:sz w:val="28"/>
          <w:szCs w:val="28"/>
        </w:rPr>
      </w:pPr>
      <w:r>
        <w:rPr>
          <w:rFonts w:ascii="Arial Black" w:hAnsi="Arial Black"/>
          <w:b/>
          <w:sz w:val="28"/>
          <w:szCs w:val="28"/>
        </w:rPr>
        <w:t>WV: RIGHT KNEE – GETS WORK COMP / SURGEON’S RPT</w:t>
      </w:r>
    </w:p>
    <w:p w14:paraId="4FE170CA" w14:textId="77777777" w:rsidR="006D2F6D" w:rsidRDefault="006D2F6D" w:rsidP="006D2F6D">
      <w:pPr>
        <w:pStyle w:val="NoSpacing"/>
        <w:rPr>
          <w:b/>
        </w:rPr>
      </w:pPr>
    </w:p>
    <w:p w14:paraId="16B0C988" w14:textId="77777777" w:rsidR="006D2F6D" w:rsidRDefault="006D2F6D" w:rsidP="006D2F6D">
      <w:pPr>
        <w:pStyle w:val="NoSpacing"/>
      </w:pPr>
      <w:r>
        <w:t xml:space="preserve">On February 27, 2026, in </w:t>
      </w:r>
      <w:r w:rsidRPr="009E3073">
        <w:rPr>
          <w:u w:val="single"/>
        </w:rPr>
        <w:t>City of Wheeling v. Cody Melsop</w:t>
      </w:r>
      <w:r>
        <w:t xml:space="preserve">, the </w:t>
      </w:r>
      <w:r w:rsidRPr="009E3073">
        <w:t>West Virginia Intermediate Court of Appeals</w:t>
      </w:r>
      <w:r>
        <w:t xml:space="preserve"> held (5 to 0) that the firefighter was entitled to worker comp;  his right knee surgery was required because of the December 21, </w:t>
      </w:r>
      <w:proofErr w:type="gramStart"/>
      <w:r>
        <w:t>2023</w:t>
      </w:r>
      <w:proofErr w:type="gramEnd"/>
      <w:r>
        <w:t xml:space="preserve"> injury carrying a tote up the stairs, not because of his </w:t>
      </w:r>
      <w:r w:rsidRPr="00B63D1A">
        <w:t>degenerative</w:t>
      </w:r>
      <w:r>
        <w:t xml:space="preserve"> knee condition.  H</w:t>
      </w:r>
      <w:r w:rsidRPr="007B64B1">
        <w:t>e was carrying a large tote with about forty pounds of supplies from the laundry room, which is downstairs, and he proceeded up the stairs</w:t>
      </w:r>
      <w:r>
        <w:t xml:space="preserve">, when </w:t>
      </w:r>
      <w:r w:rsidRPr="007B64B1">
        <w:t xml:space="preserve"> about halfway up the stairs, he felt an excruciating pain in his right knee and immediately thereafter felt a loss of stability and that his knee was weak.</w:t>
      </w:r>
      <w:r>
        <w:t xml:space="preserve">  An </w:t>
      </w:r>
      <w:r w:rsidRPr="009916E8">
        <w:t xml:space="preserve">MRI </w:t>
      </w:r>
      <w:r>
        <w:t>did r</w:t>
      </w:r>
      <w:r w:rsidRPr="009916E8">
        <w:t>eveal an irregularity at the posterior horn of the medial meniscus without displaced tearing</w:t>
      </w:r>
      <w:r>
        <w:t xml:space="preserve">, but his surgeon who performed the surgery reported the knee injury was </w:t>
      </w:r>
      <w:proofErr w:type="gramStart"/>
      <w:r>
        <w:t>as a result of</w:t>
      </w:r>
      <w:proofErr w:type="gramEnd"/>
      <w:r>
        <w:t xml:space="preserve"> the workplace in jury. The </w:t>
      </w:r>
      <w:r w:rsidRPr="001A72CC">
        <w:t>Workers' Compensation Board of Review</w:t>
      </w:r>
      <w:r>
        <w:t xml:space="preserve"> relied on the report of the surgeon, reversing the Hearing Officer who relied on the work comp retained doctor.  </w:t>
      </w:r>
      <w:hyperlink r:id="rId1038" w:history="1">
        <w:r w:rsidRPr="00CB2F3F">
          <w:rPr>
            <w:rStyle w:val="Hyperlink"/>
          </w:rPr>
          <w:t>https://www.courtswv.gov/sites/default/pubfilesmnt/2026-02/25-ICA-338_MD.pdf</w:t>
        </w:r>
      </w:hyperlink>
      <w:r>
        <w:t xml:space="preserve"> </w:t>
      </w:r>
    </w:p>
    <w:p w14:paraId="17301936" w14:textId="77777777" w:rsidR="006D2F6D" w:rsidRDefault="006D2F6D" w:rsidP="006D2F6D">
      <w:pPr>
        <w:pStyle w:val="NoSpacing"/>
      </w:pPr>
    </w:p>
    <w:p w14:paraId="2B43E5F0" w14:textId="77777777" w:rsidR="006D2F6D" w:rsidRDefault="006D2F6D" w:rsidP="006D2F6D">
      <w:pPr>
        <w:pStyle w:val="NoSpacing"/>
      </w:pPr>
      <w:r>
        <w:t>THE COURT HELD:  “</w:t>
      </w:r>
      <w:r w:rsidRPr="00B63D1A">
        <w:t xml:space="preserve">Wheeling argues that the Board erred in finding the opinion of Dr. Frank to be more credible than that of Dr. Magone based solely upon Dr. Frank's status as Mr. </w:t>
      </w:r>
      <w:proofErr w:type="spellStart"/>
      <w:r w:rsidRPr="00B63D1A">
        <w:t>Melsop's</w:t>
      </w:r>
      <w:proofErr w:type="spellEnd"/>
      <w:r w:rsidRPr="00B63D1A">
        <w:t xml:space="preserve"> treating physician and Dr. Magone only </w:t>
      </w:r>
      <w:r w:rsidRPr="00B63D1A">
        <w:lastRenderedPageBreak/>
        <w:t xml:space="preserve">conducting a records review, when Dr. Magone's opinion is more consistent with Mr. </w:t>
      </w:r>
      <w:proofErr w:type="spellStart"/>
      <w:r w:rsidRPr="00B63D1A">
        <w:t>Melsop's</w:t>
      </w:r>
      <w:proofErr w:type="spellEnd"/>
      <w:r w:rsidRPr="00B63D1A">
        <w:t xml:space="preserve"> medical records. Wheeling further argues that Dr. Frank failed to explain the alleged causal relationship between Mr. </w:t>
      </w:r>
      <w:proofErr w:type="spellStart"/>
      <w:r w:rsidRPr="00B63D1A">
        <w:t>Melsop's</w:t>
      </w:r>
      <w:proofErr w:type="spellEnd"/>
      <w:r w:rsidRPr="00B63D1A">
        <w:t xml:space="preserve"> meniscal tear and his compensable injury, while Dr. Magone's conclusion that Mr. </w:t>
      </w:r>
      <w:proofErr w:type="spellStart"/>
      <w:r w:rsidRPr="00B63D1A">
        <w:t>Melsop's</w:t>
      </w:r>
      <w:proofErr w:type="spellEnd"/>
      <w:r w:rsidRPr="00B63D1A">
        <w:t xml:space="preserve"> tear is degenerative in nature is consistent with his medical records. Wheeling also argues that the Board's award of TTD benefits to Mr. </w:t>
      </w:r>
      <w:proofErr w:type="spellStart"/>
      <w:r w:rsidRPr="00B63D1A">
        <w:t>Melsop</w:t>
      </w:r>
      <w:proofErr w:type="spellEnd"/>
      <w:r w:rsidRPr="00B63D1A">
        <w:t xml:space="preserve"> is based upon its mischaracterization of the evidence that Mr. </w:t>
      </w:r>
      <w:proofErr w:type="spellStart"/>
      <w:r w:rsidRPr="00B63D1A">
        <w:t>Melsop's</w:t>
      </w:r>
      <w:proofErr w:type="spellEnd"/>
      <w:r w:rsidRPr="00B63D1A">
        <w:t xml:space="preserve"> work restrictions cannot be met. We disagree</w:t>
      </w:r>
      <w:r>
        <w:t xml:space="preserve">…. </w:t>
      </w:r>
      <w:r w:rsidRPr="00D25CC2">
        <w:t xml:space="preserve">Upon review, we conclude that the Board was not clearly wrong in finding that the preponderance of the medical evidence establishes that Mr. </w:t>
      </w:r>
      <w:proofErr w:type="spellStart"/>
      <w:r w:rsidRPr="00D25CC2">
        <w:t>Melsop</w:t>
      </w:r>
      <w:proofErr w:type="spellEnd"/>
      <w:r w:rsidRPr="00D25CC2">
        <w:t xml:space="preserve"> sustained a right knee medial meniscal tear </w:t>
      </w:r>
      <w:proofErr w:type="gramStart"/>
      <w:r w:rsidRPr="00D25CC2">
        <w:t>in the course of</w:t>
      </w:r>
      <w:proofErr w:type="gramEnd"/>
      <w:r w:rsidRPr="00D25CC2">
        <w:t xml:space="preserve"> and resulting from his employment.</w:t>
      </w:r>
      <w:r>
        <w:t>”</w:t>
      </w:r>
    </w:p>
    <w:p w14:paraId="66D9004D" w14:textId="77777777" w:rsidR="006D2F6D" w:rsidRDefault="006D2F6D" w:rsidP="006D2F6D">
      <w:pPr>
        <w:pStyle w:val="NoSpacing"/>
      </w:pPr>
    </w:p>
    <w:p w14:paraId="2DED7B31" w14:textId="77777777" w:rsidR="006D2F6D" w:rsidRPr="00F53B2E" w:rsidRDefault="006D2F6D" w:rsidP="006D2F6D">
      <w:pPr>
        <w:pStyle w:val="NoSpacing"/>
        <w:rPr>
          <w:b/>
          <w:bCs/>
        </w:rPr>
      </w:pPr>
      <w:r>
        <w:rPr>
          <w:b/>
        </w:rPr>
        <w:t>Legal lesson learned: Another drawn out battle between a firefighter (with some evidence of a prior degenerative condition) and his employer.</w:t>
      </w:r>
    </w:p>
    <w:p w14:paraId="0A9BCBE3" w14:textId="77777777" w:rsidR="006D2F6D" w:rsidRDefault="006D2F6D" w:rsidP="006D2F6D">
      <w:pPr>
        <w:pStyle w:val="NoSpacing"/>
      </w:pPr>
    </w:p>
    <w:p w14:paraId="15E98913" w14:textId="77777777" w:rsidR="006D2F6D" w:rsidRPr="001D2DCA" w:rsidRDefault="006D2F6D" w:rsidP="006D2F6D">
      <w:pPr>
        <w:pStyle w:val="NoSpacing"/>
        <w:ind w:left="720"/>
      </w:pPr>
      <w:r>
        <w:t>Note: “</w:t>
      </w:r>
      <w:r w:rsidRPr="001D2DCA">
        <w:t>On April 29, 2025, this Court issued a memorandum decision affirming the Board's order. See City of Wheeling v. Melsop, No. 24-ICA-379, 2025 WL 1249650 (W.Va. Ct. App. April 29, 2025) (memorandum decision). On October 21, 2025, the Supreme Court of Appeals of West Virginia affirmed this Court's decision. See City of Wheeling v. Melsop, No. 25-382, 2025 WL 2962901 (W.Va. Oct. 21, 2025) (memorandum decision).</w:t>
      </w:r>
      <w:r>
        <w:t>”</w:t>
      </w:r>
    </w:p>
    <w:p w14:paraId="0C4C8BA1" w14:textId="77777777" w:rsidR="006D2F6D" w:rsidRDefault="006D2F6D" w:rsidP="000624FD">
      <w:pPr>
        <w:pStyle w:val="NoSpacing"/>
        <w:rPr>
          <w:rFonts w:ascii="Arial Black" w:hAnsi="Arial Black"/>
          <w:b/>
          <w:sz w:val="28"/>
          <w:szCs w:val="28"/>
        </w:rPr>
      </w:pPr>
    </w:p>
    <w:p w14:paraId="512D3FEF" w14:textId="77777777" w:rsidR="000509A0" w:rsidRDefault="000509A0" w:rsidP="000624FD">
      <w:pPr>
        <w:pStyle w:val="NoSpacing"/>
        <w:rPr>
          <w:rFonts w:ascii="Arial Black" w:hAnsi="Arial Black"/>
          <w:b/>
          <w:sz w:val="28"/>
          <w:szCs w:val="28"/>
        </w:rPr>
      </w:pPr>
    </w:p>
    <w:p w14:paraId="43F796B9" w14:textId="78ADE6CE" w:rsidR="008E1D82" w:rsidRDefault="008E1D82" w:rsidP="000624FD">
      <w:pPr>
        <w:pStyle w:val="NoSpacing"/>
        <w:rPr>
          <w:rFonts w:ascii="Arial Black" w:hAnsi="Arial Black"/>
          <w:b/>
          <w:sz w:val="28"/>
          <w:szCs w:val="28"/>
        </w:rPr>
      </w:pPr>
      <w:r>
        <w:rPr>
          <w:rFonts w:ascii="Arial Black" w:hAnsi="Arial Black"/>
          <w:b/>
          <w:sz w:val="28"/>
          <w:szCs w:val="28"/>
        </w:rPr>
        <w:t>6-17</w:t>
      </w:r>
      <w:r w:rsidR="00977A84">
        <w:rPr>
          <w:rFonts w:ascii="Arial Black" w:hAnsi="Arial Black"/>
          <w:b/>
          <w:sz w:val="28"/>
          <w:szCs w:val="28"/>
        </w:rPr>
        <w:t>9</w:t>
      </w:r>
    </w:p>
    <w:p w14:paraId="611FE522" w14:textId="77777777" w:rsidR="008E1D82" w:rsidRDefault="008E1D82" w:rsidP="000624FD">
      <w:pPr>
        <w:pStyle w:val="NoSpacing"/>
        <w:rPr>
          <w:rFonts w:ascii="Arial Black" w:hAnsi="Arial Black"/>
          <w:b/>
          <w:sz w:val="28"/>
          <w:szCs w:val="28"/>
        </w:rPr>
      </w:pPr>
    </w:p>
    <w:p w14:paraId="36D916A7" w14:textId="77777777" w:rsidR="008E1D82" w:rsidRPr="00FF2EDA" w:rsidRDefault="008E1D82" w:rsidP="008E1D82">
      <w:pPr>
        <w:pStyle w:val="NoSpacing"/>
        <w:rPr>
          <w:rFonts w:ascii="Arial Black" w:hAnsi="Arial Black"/>
          <w:sz w:val="28"/>
          <w:szCs w:val="28"/>
        </w:rPr>
      </w:pPr>
      <w:r>
        <w:rPr>
          <w:rFonts w:ascii="Arial Black" w:hAnsi="Arial Black"/>
          <w:sz w:val="28"/>
          <w:szCs w:val="28"/>
        </w:rPr>
        <w:t xml:space="preserve">FL: MILITARY – NO PROMOTION “PREFERANCE” - </w:t>
      </w:r>
      <w:r w:rsidRPr="00FF2EDA">
        <w:rPr>
          <w:rFonts w:ascii="Arial Black" w:hAnsi="Arial Black"/>
          <w:sz w:val="28"/>
          <w:szCs w:val="28"/>
        </w:rPr>
        <w:t>USERRA</w:t>
      </w:r>
    </w:p>
    <w:p w14:paraId="4146C63B" w14:textId="77777777" w:rsidR="008E1D82" w:rsidRDefault="008E1D82" w:rsidP="008E1D82">
      <w:pPr>
        <w:pStyle w:val="NoSpacing"/>
      </w:pPr>
    </w:p>
    <w:p w14:paraId="532F9CCD" w14:textId="77777777" w:rsidR="008E1D82" w:rsidRDefault="008E1D82" w:rsidP="008E1D82">
      <w:pPr>
        <w:pStyle w:val="NoSpacing"/>
      </w:pPr>
      <w:r>
        <w:t xml:space="preserve">On February 17, 2026, in </w:t>
      </w:r>
      <w:r w:rsidRPr="00D36291">
        <w:rPr>
          <w:u w:val="single"/>
        </w:rPr>
        <w:t>John Kutz v. Bonita Springs Fire Control and Rescue District</w:t>
      </w:r>
      <w:r>
        <w:t>, U.S. District Court Judge Sheri Polster Chappel</w:t>
      </w:r>
      <w:r w:rsidRPr="00FE1D81">
        <w:t>, United States District Court</w:t>
      </w:r>
      <w:r>
        <w:rPr>
          <w:b/>
        </w:rPr>
        <w:t xml:space="preserve"> </w:t>
      </w:r>
      <w:r w:rsidRPr="00D66E4A">
        <w:t>for Middle District of Florida, Fort Myers Division</w:t>
      </w:r>
      <w:r>
        <w:t xml:space="preserve">, denied the defendant’s motion to dismiss, and held that there was some evidence in the Complaint that </w:t>
      </w:r>
      <w:r w:rsidRPr="00180F3F">
        <w:t xml:space="preserve">his membership in the uniformed services </w:t>
      </w:r>
      <w:r>
        <w:t>was “</w:t>
      </w:r>
      <w:r w:rsidRPr="00180F3F">
        <w:t>a motivating factor</w:t>
      </w:r>
      <w:r>
        <w:t>’</w:t>
      </w:r>
      <w:r w:rsidRPr="00180F3F">
        <w:t xml:space="preserve"> in the employer's adverse employment decision</w:t>
      </w:r>
      <w:r>
        <w:t xml:space="preserve"> to not promote him to deputy chief, in violation of the </w:t>
      </w:r>
      <w:r w:rsidRPr="00B56337">
        <w:t xml:space="preserve">Uniformed Services Employment and Reemployment Rights Act of 1994, 38 U.S.C. § 4301, </w:t>
      </w:r>
      <w:r w:rsidRPr="00B56337">
        <w:rPr>
          <w:i/>
          <w:iCs/>
        </w:rPr>
        <w:t>et seq.</w:t>
      </w:r>
      <w:r w:rsidRPr="00B56337">
        <w:t xml:space="preserve"> (</w:t>
      </w:r>
      <w:r>
        <w:t>‘</w:t>
      </w:r>
      <w:r w:rsidRPr="00B56337">
        <w:t>USERRA</w:t>
      </w:r>
      <w:r>
        <w:t>’</w:t>
      </w:r>
      <w:r w:rsidRPr="00B56337">
        <w:t>)</w:t>
      </w:r>
      <w:r>
        <w:t xml:space="preserve">.  The will now proceed to pretrial discovery, but Court also made it clear that </w:t>
      </w:r>
      <w:r w:rsidRPr="00DA3EEF">
        <w:t>while USERRA prevents the denial of promotion on the basis of military service, it does not itself provide a remedy to veterans who are not given preferences in employment decisions</w:t>
      </w:r>
      <w:r>
        <w:t xml:space="preserve">. </w:t>
      </w:r>
      <w:hyperlink r:id="rId1039" w:history="1">
        <w:r w:rsidRPr="002B0907">
          <w:rPr>
            <w:rStyle w:val="Hyperlink"/>
          </w:rPr>
          <w:t>https://public.fastcase.com/Jhe1Qn%2BmJndQYQU6z%2FeNm1SSbD0G3ZEWJh7YHZP1lKvwyFhreCu4Zs3UIv3EdnBK?utm_medium=email&amp;_hsenc=p2ANqtz-9nqm6pHuxrJA2eqp98a7_eI9fDSv0sKlRywY7jloQaZjhwJh8mlE2JmH7OUYiPvznSiiSBN3erALyoe2ilWNUf5RREvQ&amp;_hsmi=226712652&amp;utm_content=226712652&amp;utm_source=hs_email</w:t>
        </w:r>
      </w:hyperlink>
      <w:r>
        <w:t xml:space="preserve"> </w:t>
      </w:r>
    </w:p>
    <w:p w14:paraId="649F365E" w14:textId="77777777" w:rsidR="008E1D82" w:rsidRDefault="008E1D82" w:rsidP="008E1D82">
      <w:pPr>
        <w:pStyle w:val="NoSpacing"/>
      </w:pPr>
    </w:p>
    <w:p w14:paraId="4AF5A271" w14:textId="77777777" w:rsidR="008E1D82" w:rsidRPr="00900740" w:rsidRDefault="008E1D82" w:rsidP="008E1D82">
      <w:pPr>
        <w:pStyle w:val="NoSpacing"/>
      </w:pPr>
      <w:r>
        <w:t>THE COURT HELD:  “</w:t>
      </w:r>
      <w:r w:rsidRPr="00A04B82">
        <w:t>Plaintiff began his employment at Defendant in 2006. In 2015, Plaintiff joined the National Guard. Beginning in 2016, Plaintiff took a leave of absence for an unspecified period to attend basic training. In 2021, Plaintiff deployed for about a year.</w:t>
      </w:r>
      <w:r>
        <w:t xml:space="preserve"> </w:t>
      </w:r>
      <w:r w:rsidRPr="000D4F39">
        <w:t>Upon returning, he re-employed with Defendant as a lieutenant. Along with serving as a lieutenant, Plaintiff volunteered as an acting battalion chief. In doing so, he became eligible for promotion to any full-time battalion chief position</w:t>
      </w:r>
      <w:r>
        <w:t xml:space="preserve">…. </w:t>
      </w:r>
      <w:r w:rsidRPr="00474902">
        <w:t>Sometime later, Plaintiff applied for an open deputy chief position. Three other employees, Captain Kelli Wilson, Lieutenant Giovanni Zamora, and Nic Aracia, also applied</w:t>
      </w:r>
      <w:r>
        <w:t xml:space="preserve">…. </w:t>
      </w:r>
      <w:r w:rsidRPr="0072475D">
        <w:t xml:space="preserve">According to Plaintiff, his qualification of </w:t>
      </w:r>
      <w:r>
        <w:t>‘</w:t>
      </w:r>
      <w:r w:rsidRPr="0072475D">
        <w:t>Fire Officer Three</w:t>
      </w:r>
      <w:r>
        <w:t>’</w:t>
      </w:r>
      <w:r w:rsidRPr="0072475D">
        <w:t xml:space="preserve"> by the National Fire Protection Association made him more qualified than the two other candidates Defendant interviewed. Chief Dewitt acknowledged Plaintiff </w:t>
      </w:r>
      <w:r>
        <w:t>‘</w:t>
      </w:r>
      <w:r w:rsidRPr="0072475D">
        <w:t>may be more qualified</w:t>
      </w:r>
      <w:r>
        <w:t>’</w:t>
      </w:r>
      <w:r w:rsidRPr="0072475D">
        <w:t xml:space="preserve"> but indicated Captain Wilson would receive the promotion.</w:t>
      </w:r>
      <w:r>
        <w:t xml:space="preserve"> </w:t>
      </w:r>
      <w:r w:rsidRPr="00900740">
        <w:t xml:space="preserve">Plaintiff told Assistant Chief Brod that Defendant violated the law regarding veteran preference in hiring. </w:t>
      </w:r>
    </w:p>
    <w:p w14:paraId="4C65B147" w14:textId="77777777" w:rsidR="008E1D82" w:rsidRDefault="008E1D82" w:rsidP="008E1D82">
      <w:pPr>
        <w:pStyle w:val="NoSpacing"/>
      </w:pPr>
      <w:r w:rsidRPr="00787E1B">
        <w:t>On December 2, 2024, Defendant announced Captain Wilson's promotion to the deputy chief position</w:t>
      </w:r>
      <w:r>
        <w:t xml:space="preserve">…. </w:t>
      </w:r>
      <w:r w:rsidRPr="00AF4880">
        <w:t>Plaintiff's union refused to advance the grievance because the deputy chief position “was a non-bargaining position,” and the CBA does not cover Plaintiff's alleged violations.</w:t>
      </w:r>
      <w:r>
        <w:t xml:space="preserve"> *** </w:t>
      </w:r>
      <w:r w:rsidRPr="00180F3F">
        <w:t xml:space="preserve">USERRA prohibits employers from denying uniformed servicemembers “any benefit of employment . . . on the basis of” that service. 38 U.S.C. § 4311(a). To state a claim under USERRA, Plaintiff must allege (1) he qualifies as a member of the protected class of service members; (2) he suffered an adverse </w:t>
      </w:r>
      <w:r w:rsidRPr="00180F3F">
        <w:lastRenderedPageBreak/>
        <w:t xml:space="preserve">employment decision; and (3) his membership in the uniformed services </w:t>
      </w:r>
      <w:r>
        <w:t>‘</w:t>
      </w:r>
      <w:r w:rsidRPr="00180F3F">
        <w:t>is a motivating factor</w:t>
      </w:r>
      <w:r>
        <w:t>’</w:t>
      </w:r>
      <w:r w:rsidRPr="00180F3F">
        <w:t xml:space="preserve"> in the employer's adverse employment decision.</w:t>
      </w:r>
      <w:r>
        <w:t>”</w:t>
      </w:r>
    </w:p>
    <w:p w14:paraId="744EBDAB" w14:textId="77777777" w:rsidR="008E1D82" w:rsidRDefault="008E1D82" w:rsidP="008E1D82">
      <w:pPr>
        <w:pStyle w:val="NoSpacing"/>
      </w:pPr>
    </w:p>
    <w:p w14:paraId="0BCF30E6" w14:textId="77777777" w:rsidR="008E1D82" w:rsidRPr="00180F3F" w:rsidRDefault="008E1D82" w:rsidP="008E1D82">
      <w:pPr>
        <w:pStyle w:val="NoSpacing"/>
        <w:rPr>
          <w:b/>
          <w:bCs/>
        </w:rPr>
      </w:pPr>
      <w:r w:rsidRPr="007707BD">
        <w:rPr>
          <w:b/>
        </w:rPr>
        <w:t xml:space="preserve">Legal lesson learned: </w:t>
      </w:r>
      <w:r>
        <w:rPr>
          <w:b/>
        </w:rPr>
        <w:t xml:space="preserve">Case will now proceed to pre-trial discovery. </w:t>
      </w:r>
    </w:p>
    <w:p w14:paraId="2693B110" w14:textId="77777777" w:rsidR="008E1D82" w:rsidRDefault="008E1D82" w:rsidP="008E1D82">
      <w:pPr>
        <w:pStyle w:val="NoSpacing"/>
      </w:pPr>
    </w:p>
    <w:p w14:paraId="0AFC6D8F" w14:textId="77777777" w:rsidR="008E1D82" w:rsidRDefault="008E1D82" w:rsidP="008E1D82">
      <w:pPr>
        <w:pStyle w:val="NoSpacing"/>
        <w:ind w:left="720"/>
      </w:pPr>
      <w:r>
        <w:t>Note: Footnote 8: “</w:t>
      </w:r>
      <w:r w:rsidRPr="00DA3EEF">
        <w:t>Plaintiff alleges in the Second Amended Complaint that Defendant violated USERRA by failing to comply with Fla. Stat. § 295.09(1)(a), which affords veteran preference in hiring</w:t>
      </w:r>
      <w:r>
        <w:t xml:space="preserve">…. </w:t>
      </w:r>
      <w:r w:rsidRPr="00DA3EEF">
        <w:t xml:space="preserve">While this theory is not addressed in the parties' briefs, the Court rejects it as incognizable. </w:t>
      </w:r>
      <w:r w:rsidRPr="00DA3EEF">
        <w:rPr>
          <w:i/>
          <w:iCs/>
        </w:rPr>
        <w:t>See, e.g.</w:t>
      </w:r>
      <w:r w:rsidRPr="00DA3EEF">
        <w:t xml:space="preserve">, </w:t>
      </w:r>
      <w:r w:rsidRPr="00DA3EEF">
        <w:rPr>
          <w:i/>
          <w:iCs/>
        </w:rPr>
        <w:t>Case v. Judd</w:t>
      </w:r>
      <w:r w:rsidRPr="00DA3EEF">
        <w:t xml:space="preserve">, No. 8:19-CV-607-T-33TGW, 2019 WL 10966204, at *4 (M.D. Fla. Oct. 23, 2019) (“[T]he veteran's preference policies . . . in [Section] 295.09(1)(a) are not ‘benefits of employment' under USERRA. Having made this determination, the Court finds that Case cannot seek relief under 38 U.S.C. § 4311(a) for [defendant's] alleged failure to afford preference to veterans in promotional decisions”); </w:t>
      </w:r>
      <w:r w:rsidRPr="00DA3EEF">
        <w:rPr>
          <w:i/>
          <w:iCs/>
        </w:rPr>
        <w:t xml:space="preserve">see also Wilborn v. </w:t>
      </w:r>
      <w:proofErr w:type="spellStart"/>
      <w:r w:rsidRPr="00DA3EEF">
        <w:rPr>
          <w:i/>
          <w:iCs/>
        </w:rPr>
        <w:t>Dep't</w:t>
      </w:r>
      <w:proofErr w:type="spellEnd"/>
      <w:r w:rsidRPr="00DA3EEF">
        <w:rPr>
          <w:i/>
          <w:iCs/>
        </w:rPr>
        <w:t xml:space="preserve"> of Just.</w:t>
      </w:r>
      <w:r w:rsidRPr="00DA3EEF">
        <w:t>, 230 F.3d 1383, 2000 WL 194114, at *2 (Fed. Cir. 2000) (noting “while USERRA prevents the denial of promotion on the basis of military service, it does not itself provide a remedy to veterans who are not given preferences in employment decisions”).</w:t>
      </w:r>
    </w:p>
    <w:p w14:paraId="1103CA03" w14:textId="77777777" w:rsidR="008E1D82" w:rsidRDefault="008E1D82" w:rsidP="008E1D82">
      <w:pPr>
        <w:pStyle w:val="NoSpacing"/>
      </w:pPr>
    </w:p>
    <w:p w14:paraId="71A98F4F" w14:textId="6C1C41D1" w:rsidR="00191CD7" w:rsidRPr="00977A84" w:rsidRDefault="00191CD7" w:rsidP="008E1D82">
      <w:pPr>
        <w:pStyle w:val="NoSpacing"/>
        <w:rPr>
          <w:rFonts w:ascii="Arial Black" w:hAnsi="Arial Black"/>
          <w:sz w:val="28"/>
          <w:szCs w:val="28"/>
        </w:rPr>
      </w:pPr>
      <w:r w:rsidRPr="00977A84">
        <w:rPr>
          <w:rFonts w:ascii="Arial Black" w:hAnsi="Arial Black"/>
          <w:sz w:val="28"/>
          <w:szCs w:val="28"/>
        </w:rPr>
        <w:t>6-178</w:t>
      </w:r>
    </w:p>
    <w:p w14:paraId="49CEAA64" w14:textId="77777777" w:rsidR="00191CD7" w:rsidRDefault="00191CD7" w:rsidP="008E1D82">
      <w:pPr>
        <w:pStyle w:val="NoSpacing"/>
      </w:pPr>
    </w:p>
    <w:p w14:paraId="28DF3FC2" w14:textId="225729C1" w:rsidR="00191CD7" w:rsidRPr="00977A84" w:rsidRDefault="00191CD7" w:rsidP="00191CD7">
      <w:pPr>
        <w:pStyle w:val="NoSpacing"/>
        <w:rPr>
          <w:rFonts w:ascii="Times New Roman" w:hAnsi="Times New Roman"/>
          <w:b/>
          <w:sz w:val="24"/>
          <w:szCs w:val="24"/>
        </w:rPr>
      </w:pPr>
      <w:r>
        <w:rPr>
          <w:rFonts w:ascii="Arial Black" w:hAnsi="Arial Black"/>
          <w:b/>
          <w:sz w:val="28"/>
          <w:szCs w:val="28"/>
        </w:rPr>
        <w:t>CT: NEW DROP LAW – NOT FF UNDER 55 – CASE PROCEED</w:t>
      </w:r>
      <w:r w:rsidR="00977A84">
        <w:rPr>
          <w:rFonts w:ascii="Arial Black" w:hAnsi="Arial Black"/>
          <w:b/>
          <w:sz w:val="28"/>
          <w:szCs w:val="28"/>
        </w:rPr>
        <w:t xml:space="preserve"> </w:t>
      </w:r>
      <w:r w:rsidR="00977A84" w:rsidRPr="00977A84">
        <w:rPr>
          <w:rFonts w:ascii="Times New Roman" w:hAnsi="Times New Roman"/>
          <w:b/>
          <w:sz w:val="24"/>
          <w:szCs w:val="24"/>
        </w:rPr>
        <w:t>[also filed, Chap. 18]</w:t>
      </w:r>
    </w:p>
    <w:p w14:paraId="179DB026" w14:textId="77777777" w:rsidR="00191CD7" w:rsidRDefault="00191CD7" w:rsidP="00191CD7">
      <w:pPr>
        <w:pStyle w:val="NoSpacing"/>
      </w:pPr>
    </w:p>
    <w:p w14:paraId="177B5DE6" w14:textId="77777777" w:rsidR="00191CD7" w:rsidRDefault="00191CD7" w:rsidP="00191CD7">
      <w:pPr>
        <w:pStyle w:val="NoSpacing"/>
      </w:pPr>
      <w:r>
        <w:t xml:space="preserve">On February 4, 2026, in </w:t>
      </w:r>
      <w:r w:rsidRPr="004C7896">
        <w:rPr>
          <w:u w:val="single"/>
        </w:rPr>
        <w:t>David Dobbs, IAFF Local 834</w:t>
      </w:r>
      <w:r>
        <w:rPr>
          <w:u w:val="single"/>
        </w:rPr>
        <w:t xml:space="preserve">, et al. </w:t>
      </w:r>
      <w:r w:rsidRPr="004C7896">
        <w:rPr>
          <w:u w:val="single"/>
        </w:rPr>
        <w:t xml:space="preserve"> v. Brian Vahey, Chair of the State of Connecticut Municipal Employees Retirement Commission, et al</w:t>
      </w:r>
      <w:r w:rsidRPr="004C7896">
        <w:t>., U.S.</w:t>
      </w:r>
      <w:r>
        <w:rPr>
          <w:u w:val="single"/>
        </w:rPr>
        <w:t xml:space="preserve"> </w:t>
      </w:r>
      <w:r>
        <w:t xml:space="preserve">District Court Judge </w:t>
      </w:r>
    </w:p>
    <w:p w14:paraId="72CE0DF4" w14:textId="77777777" w:rsidR="00191CD7" w:rsidRDefault="00191CD7" w:rsidP="00191CD7">
      <w:pPr>
        <w:pStyle w:val="NoSpacing"/>
      </w:pPr>
      <w:r w:rsidRPr="004F64AC">
        <w:t xml:space="preserve">Sarala V. </w:t>
      </w:r>
      <w:proofErr w:type="spellStart"/>
      <w:r w:rsidRPr="004F64AC">
        <w:t>Nagala</w:t>
      </w:r>
      <w:proofErr w:type="spellEnd"/>
      <w:r w:rsidRPr="00357297">
        <w:t>, United States United States District Court for the District of Connecticut</w:t>
      </w:r>
      <w:r>
        <w:t>, denied the Commission’s motion to dismiss (</w:t>
      </w:r>
      <w:proofErr w:type="gramStart"/>
      <w:r>
        <w:t>and also</w:t>
      </w:r>
      <w:proofErr w:type="gramEnd"/>
      <w:r>
        <w:t xml:space="preserve"> Bridgeport firefighters and Union’s motion for preliminary injunction); case will now proceed with pre-trial discovery.  The Bridgeport firefighters and Local 834 argue that it is age discrimination under the new DROP program to allow some public safety employees (including Plaintiffs) to be eligible to retire—for instance, if they have completed twenty-five years of service—but ineligible to enter the DROP, because they are not yet age 55 and have not completed thirty years of service.  </w:t>
      </w:r>
      <w:hyperlink r:id="rId1040" w:history="1">
        <w:r w:rsidRPr="00FF19A6">
          <w:rPr>
            <w:rStyle w:val="Hyperlink"/>
          </w:rPr>
          <w:t>https://ecf.ctd.uscourts.gov/cgi-bin/show_public_doc?2025cv0824-74</w:t>
        </w:r>
      </w:hyperlink>
      <w:r>
        <w:t xml:space="preserve"> </w:t>
      </w:r>
    </w:p>
    <w:p w14:paraId="65FA3BD4" w14:textId="77777777" w:rsidR="00191CD7" w:rsidRDefault="00191CD7" w:rsidP="00191CD7">
      <w:pPr>
        <w:pStyle w:val="NoSpacing"/>
      </w:pPr>
    </w:p>
    <w:p w14:paraId="4BD62D53" w14:textId="77777777" w:rsidR="00191CD7" w:rsidRDefault="00191CD7" w:rsidP="00191CD7">
      <w:pPr>
        <w:pStyle w:val="NoSpacing"/>
      </w:pPr>
      <w:r>
        <w:t xml:space="preserve">THE COURT HELD: “Effective July 1, 2025, certain members of the Connecticut Municipal Employees’ Retirement System who are otherwise eligible to retire can elect to defer their retirement allowance, while continuing their employment for up to five years, under a Deferred Retirement Option Plan (‘DROP’)…. </w:t>
      </w:r>
      <w:r w:rsidRPr="00D22380">
        <w:t>Under the statute adopted by the Connecticut legislature, the Connecticut State Employees</w:t>
      </w:r>
      <w:r>
        <w:t xml:space="preserve"> </w:t>
      </w:r>
      <w:r w:rsidRPr="00D22380">
        <w:t xml:space="preserve">Retirement Commission </w:t>
      </w:r>
      <w:r>
        <w:t>‘</w:t>
      </w:r>
      <w:r w:rsidRPr="00D22380">
        <w:t>may create</w:t>
      </w:r>
      <w:r>
        <w:t>’</w:t>
      </w:r>
      <w:r w:rsidRPr="00D22380">
        <w:t xml:space="preserve"> a DROP, which </w:t>
      </w:r>
      <w:r>
        <w:t>‘</w:t>
      </w:r>
      <w:r w:rsidRPr="00D22380">
        <w:t>shall include a fixed period of time for</w:t>
      </w:r>
      <w:r>
        <w:t xml:space="preserve"> </w:t>
      </w:r>
      <w:r w:rsidRPr="00D22380">
        <w:t>member participation, not to exceed five years, and a specified rate of interest credit for member</w:t>
      </w:r>
      <w:r>
        <w:t xml:space="preserve"> </w:t>
      </w:r>
      <w:r w:rsidRPr="00D22380">
        <w:t>accounts.” Conn. Gen. Stat. § 7-459b(b)</w:t>
      </w:r>
      <w:r>
        <w:t xml:space="preserve">…. As relevant here, retirement-eligible firefighters may join the DROP at age 57 with five years of continuous service, at age 55 with 25 years of aggregate service, or with 30 years of aggregate service regardless of age. The Individual Plaintiffs, firefighters with the Bridgeport Fire Department,1 are eligible for retirement allowances by virtue of their tenure with the Fire Department, but are all under age 55, and therefore ineligible to join the DROP. *** First, the Court notes that Defendants’ argument about the rationality of the age classification—that it incentivizes skilled employees to delay their retirement beyond the date they are first eligible to collect pension benefits, thereby extending the period during which the employees contribute to the plan and delaying the time at which they begin to receive payments— are not in fact arguments about the rationality of the challenged age classification at all: they are simply arguments about the rationality of adopting a DROP as a whole….  </w:t>
      </w:r>
      <w:proofErr w:type="gramStart"/>
      <w:r>
        <w:t>(‘[</w:t>
      </w:r>
      <w:proofErr w:type="gramEnd"/>
      <w:r>
        <w:t>The DROP] is also intended to encourage . . . skilled employees to stick around and delay their retirement’). Defendants do not meaningfully explain why this reasoning would apply differently to retirement-eligible firefighters who are under age 55 than to those who are age 55 or older. The desire to keep skilled employees working for a longer period and to delay paying benefits applies to all employees, regardless of age, and therefore does not squarely address the age-55 requirement Plaintiffs challenge here.”</w:t>
      </w:r>
    </w:p>
    <w:p w14:paraId="7295A5E9" w14:textId="77777777" w:rsidR="00191CD7" w:rsidRDefault="00191CD7" w:rsidP="00191CD7">
      <w:pPr>
        <w:pStyle w:val="NoSpacing"/>
      </w:pPr>
    </w:p>
    <w:p w14:paraId="720AD6E6" w14:textId="77777777" w:rsidR="00191CD7" w:rsidRDefault="00191CD7" w:rsidP="00191CD7">
      <w:pPr>
        <w:pStyle w:val="NoSpacing"/>
        <w:rPr>
          <w:b/>
          <w:bCs/>
        </w:rPr>
      </w:pPr>
      <w:r w:rsidRPr="007A4F40">
        <w:rPr>
          <w:b/>
        </w:rPr>
        <w:t xml:space="preserve">Legal lesson learned: </w:t>
      </w:r>
      <w:r>
        <w:rPr>
          <w:b/>
        </w:rPr>
        <w:t xml:space="preserve">The case will now proceed with pre-trial discovery; the Commission will then likely file a motion for summary judgment that addresses the cost reasons for keeping eligibility at age 55 or older. </w:t>
      </w:r>
    </w:p>
    <w:p w14:paraId="24E32E1E" w14:textId="77777777" w:rsidR="00191CD7" w:rsidRDefault="00191CD7" w:rsidP="00191CD7">
      <w:pPr>
        <w:pStyle w:val="NoSpacing"/>
        <w:rPr>
          <w:b/>
          <w:bCs/>
        </w:rPr>
      </w:pPr>
    </w:p>
    <w:p w14:paraId="3A6CF26A" w14:textId="77777777" w:rsidR="00191CD7" w:rsidRDefault="00191CD7" w:rsidP="00191CD7">
      <w:pPr>
        <w:pStyle w:val="NoSpacing"/>
      </w:pPr>
      <w:r>
        <w:lastRenderedPageBreak/>
        <w:tab/>
        <w:t xml:space="preserve">Note: See Ohio DROP. </w:t>
      </w:r>
      <w:hyperlink r:id="rId1041" w:history="1">
        <w:r w:rsidRPr="00FF19A6">
          <w:rPr>
            <w:rStyle w:val="Hyperlink"/>
          </w:rPr>
          <w:t>https://www.op-f.org/files/mgdrop.pdf</w:t>
        </w:r>
      </w:hyperlink>
      <w:r>
        <w:t xml:space="preserve"> </w:t>
      </w:r>
    </w:p>
    <w:p w14:paraId="009CAB39" w14:textId="77777777" w:rsidR="00191CD7" w:rsidRDefault="00191CD7" w:rsidP="00191CD7">
      <w:pPr>
        <w:pStyle w:val="NoSpacing"/>
        <w:ind w:left="720"/>
      </w:pPr>
      <w:r>
        <w:t>“If you are eligible for a normal service retirement you can enter the DROP</w:t>
      </w:r>
    </w:p>
    <w:p w14:paraId="15614D9A" w14:textId="77777777" w:rsidR="00191CD7" w:rsidRDefault="00191CD7" w:rsidP="00191CD7">
      <w:pPr>
        <w:pStyle w:val="NoSpacing"/>
        <w:ind w:firstLine="720"/>
      </w:pPr>
      <w:r>
        <w:t>program by delaying retirement and continuing to work as a police officer or</w:t>
      </w:r>
    </w:p>
    <w:p w14:paraId="50EAC0A5" w14:textId="77777777" w:rsidR="00191CD7" w:rsidRDefault="00191CD7" w:rsidP="00191CD7">
      <w:pPr>
        <w:pStyle w:val="NoSpacing"/>
        <w:ind w:firstLine="720"/>
      </w:pPr>
      <w:r>
        <w:t>firefighter. For those who were OP&amp;F members on or before July 1, 2013,</w:t>
      </w:r>
    </w:p>
    <w:p w14:paraId="58ED6C05" w14:textId="77777777" w:rsidR="00191CD7" w:rsidRDefault="00191CD7" w:rsidP="00191CD7">
      <w:pPr>
        <w:pStyle w:val="NoSpacing"/>
        <w:ind w:firstLine="720"/>
      </w:pPr>
      <w:proofErr w:type="gramStart"/>
      <w:r>
        <w:t>normal</w:t>
      </w:r>
      <w:proofErr w:type="gramEnd"/>
      <w:r>
        <w:t xml:space="preserve"> service retirement eligibility is at least 48 years of age with at least 25 years</w:t>
      </w:r>
    </w:p>
    <w:p w14:paraId="2755D788" w14:textId="77777777" w:rsidR="00191CD7" w:rsidRDefault="00191CD7" w:rsidP="00191CD7">
      <w:pPr>
        <w:pStyle w:val="NoSpacing"/>
        <w:ind w:firstLine="720"/>
      </w:pPr>
      <w:r>
        <w:t>of service. For members hired into an OP&amp;F-covered position after July 1, 2013,</w:t>
      </w:r>
    </w:p>
    <w:p w14:paraId="233A3C79" w14:textId="77777777" w:rsidR="00191CD7" w:rsidRPr="004749CB" w:rsidRDefault="00191CD7" w:rsidP="00191CD7">
      <w:pPr>
        <w:pStyle w:val="NoSpacing"/>
        <w:ind w:firstLine="720"/>
      </w:pPr>
      <w:r>
        <w:t>normal service retirement is age 52 with at least 25 years of service.”</w:t>
      </w:r>
    </w:p>
    <w:p w14:paraId="0C2EAD0D" w14:textId="77777777" w:rsidR="00191CD7" w:rsidRDefault="00191CD7" w:rsidP="00191CD7">
      <w:pPr>
        <w:pStyle w:val="NoSpacing"/>
      </w:pPr>
    </w:p>
    <w:p w14:paraId="75B17CF3" w14:textId="77777777" w:rsidR="00191CD7" w:rsidRDefault="00191CD7" w:rsidP="00191CD7">
      <w:pPr>
        <w:pStyle w:val="NoSpacing"/>
      </w:pPr>
    </w:p>
    <w:p w14:paraId="75967A50" w14:textId="77777777" w:rsidR="00191CD7" w:rsidRDefault="00191CD7" w:rsidP="008E1D82">
      <w:pPr>
        <w:pStyle w:val="NoSpacing"/>
      </w:pPr>
    </w:p>
    <w:p w14:paraId="41908A86" w14:textId="77777777" w:rsidR="00191CD7" w:rsidRDefault="00191CD7" w:rsidP="008E1D82">
      <w:pPr>
        <w:pStyle w:val="NoSpacing"/>
      </w:pPr>
    </w:p>
    <w:p w14:paraId="458C6A5C" w14:textId="77777777" w:rsidR="008E1D82" w:rsidRDefault="008E1D82" w:rsidP="000624FD">
      <w:pPr>
        <w:pStyle w:val="NoSpacing"/>
        <w:rPr>
          <w:rFonts w:ascii="Arial Black" w:hAnsi="Arial Black"/>
          <w:b/>
          <w:sz w:val="28"/>
          <w:szCs w:val="28"/>
        </w:rPr>
      </w:pPr>
    </w:p>
    <w:p w14:paraId="0FB4758C" w14:textId="04E4A26F" w:rsidR="006D2F6D" w:rsidRDefault="00CB4012" w:rsidP="000624FD">
      <w:pPr>
        <w:pStyle w:val="NoSpacing"/>
        <w:rPr>
          <w:rFonts w:ascii="Arial Black" w:hAnsi="Arial Black"/>
          <w:b/>
          <w:sz w:val="28"/>
          <w:szCs w:val="28"/>
        </w:rPr>
      </w:pPr>
      <w:r>
        <w:rPr>
          <w:rFonts w:ascii="Arial Black" w:hAnsi="Arial Black"/>
          <w:b/>
          <w:sz w:val="28"/>
          <w:szCs w:val="28"/>
        </w:rPr>
        <w:t>6-177</w:t>
      </w:r>
    </w:p>
    <w:p w14:paraId="51A57099" w14:textId="77777777" w:rsidR="00CB4012" w:rsidRDefault="00CB4012" w:rsidP="000624FD">
      <w:pPr>
        <w:pStyle w:val="NoSpacing"/>
        <w:rPr>
          <w:rFonts w:ascii="Arial Black" w:hAnsi="Arial Black"/>
          <w:b/>
          <w:sz w:val="28"/>
          <w:szCs w:val="28"/>
        </w:rPr>
      </w:pPr>
    </w:p>
    <w:p w14:paraId="76806ADA" w14:textId="77777777" w:rsidR="00CB4012" w:rsidRDefault="00CB4012" w:rsidP="00CB4012">
      <w:pPr>
        <w:pStyle w:val="NoSpacing"/>
        <w:rPr>
          <w:rFonts w:ascii="Arial Black" w:hAnsi="Arial Black"/>
          <w:b/>
          <w:sz w:val="28"/>
          <w:szCs w:val="28"/>
        </w:rPr>
      </w:pPr>
      <w:r>
        <w:rPr>
          <w:rFonts w:ascii="Arial Black" w:hAnsi="Arial Black"/>
          <w:b/>
          <w:sz w:val="28"/>
          <w:szCs w:val="28"/>
        </w:rPr>
        <w:t>PA: COLON CANCER – TOBACCO - FAMILY HIST - NO LODD</w:t>
      </w:r>
    </w:p>
    <w:p w14:paraId="37901BB7" w14:textId="77777777" w:rsidR="00CB4012" w:rsidRDefault="00CB4012" w:rsidP="00CB4012">
      <w:pPr>
        <w:pStyle w:val="NoSpacing"/>
        <w:rPr>
          <w:bCs/>
        </w:rPr>
      </w:pPr>
    </w:p>
    <w:p w14:paraId="2E841253" w14:textId="77777777" w:rsidR="00CB4012" w:rsidRDefault="00CB4012" w:rsidP="00CB4012">
      <w:pPr>
        <w:pStyle w:val="NoSpacing"/>
      </w:pPr>
      <w:r w:rsidRPr="00ED6F9A">
        <w:t xml:space="preserve">On February 2, 2026, in </w:t>
      </w:r>
      <w:r w:rsidRPr="000768AC">
        <w:rPr>
          <w:u w:val="single"/>
        </w:rPr>
        <w:t xml:space="preserve">Estate of Thomas R. </w:t>
      </w:r>
      <w:proofErr w:type="spellStart"/>
      <w:r w:rsidRPr="000768AC">
        <w:rPr>
          <w:u w:val="single"/>
        </w:rPr>
        <w:t>Tratthen</w:t>
      </w:r>
      <w:proofErr w:type="spellEnd"/>
      <w:r w:rsidRPr="000768AC">
        <w:rPr>
          <w:u w:val="single"/>
        </w:rPr>
        <w:t xml:space="preserve"> and Lisa </w:t>
      </w:r>
      <w:proofErr w:type="spellStart"/>
      <w:r w:rsidRPr="000768AC">
        <w:rPr>
          <w:u w:val="single"/>
        </w:rPr>
        <w:t>Tratthen</w:t>
      </w:r>
      <w:proofErr w:type="spellEnd"/>
      <w:r w:rsidRPr="000768AC">
        <w:rPr>
          <w:u w:val="single"/>
        </w:rPr>
        <w:t xml:space="preserve"> v. Department of General Services</w:t>
      </w:r>
      <w:r w:rsidRPr="00137327">
        <w:t xml:space="preserve">, </w:t>
      </w:r>
      <w:r>
        <w:t xml:space="preserve">the </w:t>
      </w:r>
      <w:r w:rsidRPr="00137327">
        <w:t xml:space="preserve"> Commonwealth Court of Pennsylvania</w:t>
      </w:r>
      <w:r>
        <w:t xml:space="preserve"> held (3 to 0) that the family of the firefighter who died of colon cancer on June 4, 2018 was properly </w:t>
      </w:r>
      <w:r w:rsidRPr="00001CCE">
        <w:t>denie</w:t>
      </w:r>
      <w:r>
        <w:t xml:space="preserve">d </w:t>
      </w:r>
      <w:r w:rsidRPr="00001CCE">
        <w:t>Line of Duty Death (LODD) benefits under the Emergency and Law Enforcement Personnel Death Benefits Act (Act 101).</w:t>
      </w:r>
      <w:r>
        <w:rPr>
          <w:vertAlign w:val="superscript"/>
        </w:rPr>
        <w:t xml:space="preserve"> </w:t>
      </w:r>
      <w:r w:rsidRPr="00D9476B">
        <w:t xml:space="preserve">He worked full time for Dunmore Borough from 2000 to 2007, and </w:t>
      </w:r>
      <w:proofErr w:type="gramStart"/>
      <w:r w:rsidRPr="00D9476B">
        <w:t>part-time paid</w:t>
      </w:r>
      <w:proofErr w:type="gramEnd"/>
      <w:r w:rsidRPr="00D9476B">
        <w:t xml:space="preserve"> until June 4, 2018</w:t>
      </w:r>
      <w:r>
        <w:t xml:space="preserve">, but had </w:t>
      </w:r>
      <w:r w:rsidRPr="00217163">
        <w:t>diabetes</w:t>
      </w:r>
      <w:r>
        <w:t xml:space="preserve">, </w:t>
      </w:r>
      <w:r w:rsidRPr="00217163">
        <w:t>25-year history of smokeless tobacco use</w:t>
      </w:r>
      <w:r>
        <w:t xml:space="preserve">, and a family history of colon cancer. </w:t>
      </w:r>
      <w:hyperlink r:id="rId1042" w:history="1">
        <w:r w:rsidRPr="00734647">
          <w:rPr>
            <w:rStyle w:val="Hyperlink"/>
          </w:rPr>
          <w:t>https://www.pacourts.us/assets/opinions/Commonwealth/out/1089CD24_2-2-26.pdf?cb=1</w:t>
        </w:r>
      </w:hyperlink>
      <w:r>
        <w:t xml:space="preserve"> </w:t>
      </w:r>
    </w:p>
    <w:p w14:paraId="1BBFC1A3" w14:textId="77777777" w:rsidR="00CB4012" w:rsidRDefault="00CB4012" w:rsidP="00CB4012">
      <w:pPr>
        <w:pStyle w:val="NoSpacing"/>
      </w:pPr>
    </w:p>
    <w:p w14:paraId="267448A2" w14:textId="77777777" w:rsidR="00CB4012" w:rsidRDefault="00CB4012" w:rsidP="00CB4012">
      <w:pPr>
        <w:pStyle w:val="NoSpacing"/>
        <w:rPr>
          <w:b/>
        </w:rPr>
      </w:pPr>
      <w:r>
        <w:t>THE COURT HELD: “</w:t>
      </w:r>
      <w:r w:rsidRPr="00FB0CC5">
        <w:t>This Court agrees with the Department's reasoning. Given that the standard is whether, but for Decedent's firefighting activities, Decedent's colon cancer would not have occurred, and Petitioners did not present any evidence from which the Department could so conclude, the Department properly denied LODD benefits</w:t>
      </w:r>
      <w:r>
        <w:t xml:space="preserve">…. </w:t>
      </w:r>
      <w:r w:rsidRPr="00EA1266">
        <w:t xml:space="preserve">On July 26, 2022, the Department's Bureau of Finance and Risk Management (Bureau) denied Petitioners' LODD benefits claim. On August 17, 2022, Petitioners filed a Notice of Appeal and Request for Hearing. On May 12, 2023, Department Hearing Officer Michael T. Foerster (Hearing Officer Foerster) held a hearing at which the Bureau and Petitioners </w:t>
      </w:r>
      <w:proofErr w:type="gramStart"/>
      <w:r w:rsidRPr="00EA1266">
        <w:t>stipulated to</w:t>
      </w:r>
      <w:proofErr w:type="gramEnd"/>
      <w:r w:rsidRPr="00EA1266">
        <w:t xml:space="preserve"> certain facts and documents. In addition, the Bureau </w:t>
      </w:r>
      <w:proofErr w:type="gramStart"/>
      <w:r w:rsidRPr="00EA1266">
        <w:t>entered into</w:t>
      </w:r>
      <w:proofErr w:type="gramEnd"/>
      <w:r w:rsidRPr="00EA1266">
        <w:t xml:space="preserve"> evidence additional documents and both sides presented witnesses</w:t>
      </w:r>
      <w:r w:rsidRPr="00EA1266">
        <w:rPr>
          <w:b/>
        </w:rPr>
        <w:t>.</w:t>
      </w:r>
      <w:r>
        <w:rPr>
          <w:b/>
        </w:rPr>
        <w:t xml:space="preserve"> </w:t>
      </w:r>
    </w:p>
    <w:p w14:paraId="56132E17" w14:textId="77777777" w:rsidR="00CB4012" w:rsidRPr="00217163" w:rsidRDefault="00CB4012" w:rsidP="00CB4012">
      <w:pPr>
        <w:pStyle w:val="NoSpacing"/>
      </w:pPr>
      <w:r w:rsidRPr="0045688E">
        <w:t xml:space="preserve">Petitioners presented, inter alia, Tee Guidotti, M.D.'s (Dr. Guidotti) April 3, </w:t>
      </w:r>
      <w:proofErr w:type="gramStart"/>
      <w:r w:rsidRPr="0045688E">
        <w:t>2020</w:t>
      </w:r>
      <w:proofErr w:type="gramEnd"/>
      <w:r w:rsidRPr="0045688E">
        <w:t xml:space="preserve"> report to support Petitioners' Act 101 claim, which had also been produced in support of Decedent's claim for WC benefits. Therein, Dr. Guidotti stated: </w:t>
      </w:r>
      <w:r>
        <w:t xml:space="preserve"> </w:t>
      </w:r>
      <w:r w:rsidRPr="0045688E">
        <w:t xml:space="preserve">Given [Decedent's] long service and exposure to International Agency for Research on Cancer (IARC) Group I carcinogens in smoke, soot, diesel emissions, and building materials, I can opine, to a reasonable degree of medical certainty, that his volunteer fire service was, at a minimum, a substantial contributing factor to his diagnosis with cancer. </w:t>
      </w:r>
      <w:r>
        <w:t xml:space="preserve"> </w:t>
      </w:r>
      <w:r w:rsidRPr="0045688E">
        <w:t>Reproduced Record (R.R.) at 138a (emphasis added)</w:t>
      </w:r>
      <w:r>
        <w:t xml:space="preserve">…. </w:t>
      </w:r>
      <w:r w:rsidRPr="00217163">
        <w:t xml:space="preserve">The Bureau presented, </w:t>
      </w:r>
      <w:r w:rsidRPr="00217163">
        <w:rPr>
          <w:i/>
          <w:iCs/>
        </w:rPr>
        <w:t>inter alia</w:t>
      </w:r>
      <w:r w:rsidRPr="00217163">
        <w:t xml:space="preserve">, Howard Sandler, M.D.'s (Dr. Sandler) December 3, </w:t>
      </w:r>
      <w:proofErr w:type="gramStart"/>
      <w:r w:rsidRPr="00217163">
        <w:t>2020</w:t>
      </w:r>
      <w:proofErr w:type="gramEnd"/>
      <w:r w:rsidRPr="00217163">
        <w:t xml:space="preserve"> report authored on behalf of the insurance carrier defending against Decedent's WC claim. Therein, Dr. Sandler referenced Decedent's diabetes and his 25-year history of smokeless tobacco use, and opined: </w:t>
      </w:r>
    </w:p>
    <w:p w14:paraId="38DC0DE2" w14:textId="77777777" w:rsidR="00CB4012" w:rsidRPr="00217163" w:rsidRDefault="00CB4012" w:rsidP="00CB4012">
      <w:pPr>
        <w:pStyle w:val="NoSpacing"/>
      </w:pPr>
      <w:r w:rsidRPr="00217163">
        <w:t>[</w:t>
      </w:r>
      <w:proofErr w:type="gramStart"/>
      <w:r w:rsidRPr="00217163">
        <w:t>Decedent's</w:t>
      </w:r>
      <w:proofErr w:type="gramEnd"/>
      <w:r w:rsidRPr="00217163">
        <w:t xml:space="preserve">] diagnosed colorectal or rectal carcinomas are most likely caused by his underlying personal risk factors as discussed previously[,] such as diet, minimal physical activity, diabetes mellitus, obesity, smoking[,] and alcohol consumption. . . . [Decedent's] family history of various cancers[,] including colon cancer[,] is indeed a risk factor for the development of colorectal/rectal </w:t>
      </w:r>
      <w:proofErr w:type="gramStart"/>
      <w:r w:rsidRPr="00217163">
        <w:t>cancer.</w:t>
      </w:r>
      <w:r>
        <w:t>”</w:t>
      </w:r>
      <w:proofErr w:type="gramEnd"/>
    </w:p>
    <w:p w14:paraId="6D0D75A9" w14:textId="77777777" w:rsidR="00CB4012" w:rsidRDefault="00CB4012" w:rsidP="00CB4012">
      <w:pPr>
        <w:pStyle w:val="NoSpacing"/>
      </w:pPr>
    </w:p>
    <w:p w14:paraId="3867B713" w14:textId="77777777" w:rsidR="00CB4012" w:rsidRPr="000768AC" w:rsidRDefault="00CB4012" w:rsidP="00CB4012">
      <w:pPr>
        <w:pStyle w:val="NoSpacing"/>
        <w:rPr>
          <w:b/>
          <w:bCs/>
        </w:rPr>
      </w:pPr>
      <w:r>
        <w:rPr>
          <w:b/>
        </w:rPr>
        <w:t xml:space="preserve">Legal lesson learned: The 25-year history of smokeless tobacco use, and family history, led to denial of LODD benefits. </w:t>
      </w:r>
    </w:p>
    <w:p w14:paraId="7DE73648" w14:textId="77777777" w:rsidR="00CB4012" w:rsidRDefault="00CB4012" w:rsidP="00CB4012">
      <w:pPr>
        <w:pStyle w:val="NoSpacing"/>
      </w:pPr>
    </w:p>
    <w:p w14:paraId="2A1A54F4" w14:textId="77777777" w:rsidR="00CB4012" w:rsidRDefault="00CB4012" w:rsidP="00CB4012">
      <w:pPr>
        <w:pStyle w:val="NoSpacing"/>
      </w:pPr>
    </w:p>
    <w:p w14:paraId="187FB646" w14:textId="77777777" w:rsidR="00CB4012" w:rsidRDefault="00CB4012" w:rsidP="000624FD">
      <w:pPr>
        <w:pStyle w:val="NoSpacing"/>
        <w:rPr>
          <w:rFonts w:ascii="Arial Black" w:hAnsi="Arial Black"/>
          <w:b/>
          <w:sz w:val="28"/>
          <w:szCs w:val="28"/>
        </w:rPr>
      </w:pPr>
    </w:p>
    <w:p w14:paraId="512C3D0D" w14:textId="77777777" w:rsidR="006D2F6D" w:rsidRDefault="006D2F6D" w:rsidP="000624FD">
      <w:pPr>
        <w:pStyle w:val="NoSpacing"/>
        <w:rPr>
          <w:rFonts w:ascii="Arial Black" w:hAnsi="Arial Black"/>
          <w:b/>
          <w:sz w:val="28"/>
          <w:szCs w:val="28"/>
        </w:rPr>
      </w:pPr>
    </w:p>
    <w:p w14:paraId="095BA951" w14:textId="77777777" w:rsidR="006D2F6D" w:rsidRDefault="006D2F6D" w:rsidP="000624FD">
      <w:pPr>
        <w:pStyle w:val="NoSpacing"/>
        <w:rPr>
          <w:rFonts w:ascii="Arial Black" w:hAnsi="Arial Black"/>
          <w:b/>
          <w:sz w:val="28"/>
          <w:szCs w:val="28"/>
        </w:rPr>
      </w:pPr>
    </w:p>
    <w:p w14:paraId="08490DB9" w14:textId="292EF437" w:rsidR="007369A1" w:rsidRDefault="007369A1" w:rsidP="000624FD">
      <w:pPr>
        <w:pStyle w:val="NoSpacing"/>
        <w:rPr>
          <w:rFonts w:ascii="Arial Black" w:hAnsi="Arial Black"/>
          <w:b/>
          <w:sz w:val="28"/>
          <w:szCs w:val="28"/>
        </w:rPr>
      </w:pPr>
      <w:r>
        <w:rPr>
          <w:rFonts w:ascii="Arial Black" w:hAnsi="Arial Black"/>
          <w:b/>
          <w:sz w:val="28"/>
          <w:szCs w:val="28"/>
        </w:rPr>
        <w:lastRenderedPageBreak/>
        <w:t>6-176</w:t>
      </w:r>
    </w:p>
    <w:p w14:paraId="40B5F97F" w14:textId="77777777" w:rsidR="007369A1" w:rsidRDefault="007369A1" w:rsidP="007369A1">
      <w:pPr>
        <w:rPr>
          <w:rFonts w:ascii="Arial Black" w:hAnsi="Arial Black"/>
          <w:b/>
          <w:sz w:val="28"/>
          <w:szCs w:val="28"/>
        </w:rPr>
      </w:pPr>
      <w:r>
        <w:rPr>
          <w:rFonts w:ascii="Arial Black" w:hAnsi="Arial Black"/>
          <w:b/>
          <w:sz w:val="28"/>
          <w:szCs w:val="28"/>
        </w:rPr>
        <w:t>DE: BACK INJURY – “RECURRENCE” PRIOR AT ANOTHER FD</w:t>
      </w:r>
    </w:p>
    <w:p w14:paraId="20314A64" w14:textId="77777777" w:rsidR="007369A1" w:rsidRDefault="007369A1" w:rsidP="007369A1">
      <w:pPr>
        <w:rPr>
          <w:b/>
        </w:rPr>
      </w:pPr>
      <w:r w:rsidRPr="00555944">
        <w:t xml:space="preserve">On December 4, 2025, in </w:t>
      </w:r>
      <w:r w:rsidRPr="00555944">
        <w:rPr>
          <w:u w:val="single"/>
        </w:rPr>
        <w:t>Corey Ferrell v. City of Wilmington</w:t>
      </w:r>
      <w:r w:rsidRPr="00555944">
        <w:t xml:space="preserve">, </w:t>
      </w:r>
      <w:r>
        <w:t xml:space="preserve">the </w:t>
      </w:r>
      <w:r w:rsidRPr="00EA031B">
        <w:t>Supreme Court of Delaware</w:t>
      </w:r>
      <w:r>
        <w:t xml:space="preserve"> held (3 to 0) that Wilmington Fire Department had no workers comp liability for 2023 incident, where the firefighter injured his back carrying two high-rise packs (second was for his officer) up high-rise, since this was a “recurrence” of a 2015 claim settled with the </w:t>
      </w:r>
      <w:r w:rsidRPr="004B7C01">
        <w:t>Belvedere</w:t>
      </w:r>
      <w:r>
        <w:t xml:space="preserve"> Fire Department where he worked on </w:t>
      </w:r>
      <w:r w:rsidRPr="004B7C01">
        <w:t>part-time basis</w:t>
      </w:r>
      <w:r>
        <w:t xml:space="preserve">. </w:t>
      </w:r>
      <w:hyperlink r:id="rId1043" w:history="1">
        <w:r w:rsidRPr="007F05A7">
          <w:rPr>
            <w:rStyle w:val="Hyperlink"/>
            <w:b/>
          </w:rPr>
          <w:t>https://cases.justia.com/delaware/supreme-court/2025-152-2025.pdf?ts=1764862317</w:t>
        </w:r>
      </w:hyperlink>
      <w:r>
        <w:rPr>
          <w:b/>
        </w:rPr>
        <w:t xml:space="preserve"> </w:t>
      </w:r>
    </w:p>
    <w:p w14:paraId="1DFF9C39" w14:textId="77777777" w:rsidR="007369A1" w:rsidRDefault="007369A1" w:rsidP="007369A1">
      <w:pPr>
        <w:rPr>
          <w:bCs/>
        </w:rPr>
      </w:pPr>
      <w:r>
        <w:t>THE COURT HELD:</w:t>
      </w:r>
    </w:p>
    <w:p w14:paraId="7218EB87" w14:textId="77777777" w:rsidR="007369A1" w:rsidRDefault="007369A1" w:rsidP="007369A1">
      <w:pPr>
        <w:pStyle w:val="NoSpacing"/>
        <w:ind w:left="720"/>
        <w:rPr>
          <w:bCs/>
        </w:rPr>
      </w:pPr>
      <w:r>
        <w:t>“</w:t>
      </w:r>
      <w:r w:rsidRPr="005C01D2">
        <w:t>Ultimately, the Board concluded that the 2023 incident was a recurrence of</w:t>
      </w:r>
      <w:r>
        <w:t xml:space="preserve"> </w:t>
      </w:r>
      <w:r w:rsidRPr="005C01D2">
        <w:t>the injury that Ferrell sustained in 2015. In reaching that conclusion, the Board</w:t>
      </w:r>
      <w:r>
        <w:t xml:space="preserve"> </w:t>
      </w:r>
      <w:r w:rsidRPr="005C01D2">
        <w:t>placed significant weight on Dr. Matz’s opinion and testimony. The Board found</w:t>
      </w:r>
      <w:r>
        <w:t xml:space="preserve"> </w:t>
      </w:r>
      <w:r w:rsidRPr="005C01D2">
        <w:t>that the 2023 incident did not aggravate the 2015 injury and did not cause a new,</w:t>
      </w:r>
      <w:r>
        <w:t xml:space="preserve"> </w:t>
      </w:r>
      <w:r w:rsidRPr="005C01D2">
        <w:t>separately compensable injury to Ferrell. The Board agreed with Dr. Matz that a</w:t>
      </w:r>
      <w:r>
        <w:t xml:space="preserve"> </w:t>
      </w:r>
      <w:r w:rsidRPr="005C01D2">
        <w:t>comparison of Ferrell’s MRIs showed the expected progression of spinal</w:t>
      </w:r>
      <w:r>
        <w:t xml:space="preserve"> </w:t>
      </w:r>
      <w:r w:rsidRPr="005C01D2">
        <w:t>deterioration from the 2015 injury, and the Board found that the act of walking up</w:t>
      </w:r>
      <w:r>
        <w:t xml:space="preserve"> </w:t>
      </w:r>
      <w:r w:rsidRPr="005C01D2">
        <w:t xml:space="preserve">the stairs carrying the high-rise packs was not enough to create a </w:t>
      </w:r>
      <w:r>
        <w:t>‘</w:t>
      </w:r>
      <w:r w:rsidRPr="005C01D2">
        <w:t>genuine</w:t>
      </w:r>
      <w:r>
        <w:t xml:space="preserve"> </w:t>
      </w:r>
      <w:r w:rsidRPr="005C01D2">
        <w:t xml:space="preserve">intervening </w:t>
      </w:r>
      <w:proofErr w:type="gramStart"/>
      <w:r w:rsidRPr="005C01D2">
        <w:t>event.</w:t>
      </w:r>
      <w:r>
        <w:t>’</w:t>
      </w:r>
      <w:proofErr w:type="gramEnd"/>
      <w:r>
        <w:t xml:space="preserve"> </w:t>
      </w:r>
      <w:r w:rsidRPr="001B07A1">
        <w:t>The Board therefore held that liability for the 2023 incident</w:t>
      </w:r>
      <w:r>
        <w:t xml:space="preserve"> </w:t>
      </w:r>
      <w:r w:rsidRPr="002F57F5">
        <w:t>would remain under the 2015 claim and denied Ferrell’s petition for workers’</w:t>
      </w:r>
      <w:r>
        <w:t xml:space="preserve"> </w:t>
      </w:r>
      <w:r w:rsidRPr="002F57F5">
        <w:t>compensation coverage from Wilmington FD.</w:t>
      </w:r>
    </w:p>
    <w:p w14:paraId="41109C6B" w14:textId="77777777" w:rsidR="007369A1" w:rsidRDefault="007369A1" w:rsidP="007369A1">
      <w:pPr>
        <w:pStyle w:val="NoSpacing"/>
        <w:ind w:left="720"/>
        <w:rPr>
          <w:bCs/>
        </w:rPr>
      </w:pPr>
    </w:p>
    <w:p w14:paraId="354D90CF" w14:textId="77777777" w:rsidR="007369A1" w:rsidRDefault="007369A1" w:rsidP="007369A1">
      <w:pPr>
        <w:pStyle w:val="NoSpacing"/>
        <w:ind w:left="720"/>
        <w:rPr>
          <w:bCs/>
        </w:rPr>
      </w:pPr>
      <w:r>
        <w:t>***</w:t>
      </w:r>
    </w:p>
    <w:p w14:paraId="7BB92A2A" w14:textId="77777777" w:rsidR="007369A1" w:rsidRDefault="007369A1" w:rsidP="007369A1">
      <w:pPr>
        <w:pStyle w:val="NoSpacing"/>
        <w:ind w:left="720"/>
        <w:rPr>
          <w:bCs/>
        </w:rPr>
      </w:pPr>
      <w:r w:rsidRPr="000F4EBA">
        <w:t>The Board heard contrasting</w:t>
      </w:r>
      <w:r>
        <w:t xml:space="preserve"> </w:t>
      </w:r>
      <w:r w:rsidRPr="000F4EBA">
        <w:t>medical opinions from Dr. Tucker and Dr. Matz, both of whom relied on their</w:t>
      </w:r>
      <w:r>
        <w:t xml:space="preserve"> </w:t>
      </w:r>
      <w:r w:rsidRPr="000F4EBA">
        <w:t>physical evaluations of Ferrell and their comparisons of his 2015 and 2023 MRIs.</w:t>
      </w:r>
    </w:p>
    <w:p w14:paraId="09938CB7" w14:textId="77777777" w:rsidR="007369A1" w:rsidRDefault="007369A1" w:rsidP="007369A1">
      <w:pPr>
        <w:pStyle w:val="NoSpacing"/>
        <w:ind w:left="720"/>
        <w:rPr>
          <w:bCs/>
        </w:rPr>
      </w:pPr>
    </w:p>
    <w:p w14:paraId="7C89FAE7" w14:textId="77777777" w:rsidR="007369A1" w:rsidRDefault="007369A1" w:rsidP="007369A1">
      <w:pPr>
        <w:pStyle w:val="NoSpacing"/>
        <w:ind w:left="720"/>
        <w:rPr>
          <w:bCs/>
        </w:rPr>
      </w:pPr>
      <w:r>
        <w:t>***</w:t>
      </w:r>
    </w:p>
    <w:p w14:paraId="546B797C" w14:textId="77777777" w:rsidR="007369A1" w:rsidRDefault="007369A1" w:rsidP="007369A1">
      <w:pPr>
        <w:pStyle w:val="NoSpacing"/>
        <w:ind w:left="720"/>
        <w:rPr>
          <w:bCs/>
        </w:rPr>
      </w:pPr>
      <w:r w:rsidRPr="00A63172">
        <w:t>Dr. Matz is an orthopedic surgeon whom the Board found credible. In Dr.</w:t>
      </w:r>
      <w:r>
        <w:t xml:space="preserve"> </w:t>
      </w:r>
      <w:r w:rsidRPr="00A63172">
        <w:t>Matz’s opinion, the results of Ferrell’s MRIs showed that his condition was</w:t>
      </w:r>
      <w:r>
        <w:t xml:space="preserve"> </w:t>
      </w:r>
      <w:r w:rsidRPr="00A63172">
        <w:t xml:space="preserve">degenerative, not acute, and </w:t>
      </w:r>
      <w:r>
        <w:t>‘</w:t>
      </w:r>
      <w:r w:rsidRPr="00A63172">
        <w:t>the sort of progression that you would expect with the</w:t>
      </w:r>
      <w:r>
        <w:t xml:space="preserve"> </w:t>
      </w:r>
      <w:r w:rsidRPr="00A63172">
        <w:t>natural aging process.</w:t>
      </w:r>
      <w:r>
        <w:t xml:space="preserve">’ </w:t>
      </w:r>
      <w:r w:rsidRPr="00A63172">
        <w:t>The Board agreed that the MRIs—performed eight years</w:t>
      </w:r>
      <w:r>
        <w:t xml:space="preserve"> </w:t>
      </w:r>
      <w:r w:rsidRPr="00A63172">
        <w:t>apart—may have shown some worsening in Ferrell’s condition, but the progression</w:t>
      </w:r>
      <w:r>
        <w:t xml:space="preserve"> </w:t>
      </w:r>
      <w:r w:rsidRPr="00D23F0F">
        <w:t>was expected. The Board accepted Dr. Matz’s expert opinion that Ferrell’s</w:t>
      </w:r>
      <w:r>
        <w:t xml:space="preserve"> </w:t>
      </w:r>
      <w:r w:rsidRPr="00D23F0F">
        <w:t xml:space="preserve">condition was degenerative and a </w:t>
      </w:r>
      <w:r>
        <w:t>‘</w:t>
      </w:r>
      <w:r w:rsidRPr="00D23F0F">
        <w:t>slowly progressive thoracic disc disease.</w:t>
      </w:r>
      <w:r>
        <w:t>’”</w:t>
      </w:r>
    </w:p>
    <w:p w14:paraId="3A2076C5" w14:textId="77777777" w:rsidR="007369A1" w:rsidRDefault="007369A1" w:rsidP="007369A1">
      <w:pPr>
        <w:pStyle w:val="NoSpacing"/>
        <w:ind w:left="720"/>
        <w:rPr>
          <w:bCs/>
        </w:rPr>
      </w:pPr>
    </w:p>
    <w:p w14:paraId="0A792C8D" w14:textId="77777777" w:rsidR="007369A1" w:rsidRDefault="007369A1" w:rsidP="007369A1">
      <w:pPr>
        <w:pStyle w:val="NoSpacing"/>
        <w:jc w:val="both"/>
        <w:rPr>
          <w:b/>
        </w:rPr>
      </w:pPr>
      <w:r>
        <w:rPr>
          <w:b/>
        </w:rPr>
        <w:t xml:space="preserve">Legal lesson learned: Since the firefighter had settled his 2015 claim, he had no workers comp coverage for the 2023 claim. </w:t>
      </w:r>
    </w:p>
    <w:p w14:paraId="65AECD8D" w14:textId="77777777" w:rsidR="007369A1" w:rsidRDefault="007369A1" w:rsidP="007369A1">
      <w:pPr>
        <w:pStyle w:val="NoSpacing"/>
        <w:jc w:val="both"/>
        <w:rPr>
          <w:b/>
        </w:rPr>
      </w:pPr>
    </w:p>
    <w:p w14:paraId="7E107A21" w14:textId="77777777" w:rsidR="007369A1" w:rsidRPr="000A0735" w:rsidRDefault="007369A1" w:rsidP="007369A1">
      <w:pPr>
        <w:pStyle w:val="NoSpacing"/>
        <w:ind w:left="720"/>
        <w:jc w:val="both"/>
        <w:rPr>
          <w:bCs/>
        </w:rPr>
      </w:pPr>
      <w:r w:rsidRPr="000A0735">
        <w:t xml:space="preserve">Note: </w:t>
      </w:r>
      <w:r>
        <w:t>The Court wrote: “</w:t>
      </w:r>
      <w:r w:rsidRPr="000A0735">
        <w:t>In 2018, Ferrell accepted a commutation of the 2015 claim with Belvedere’s workers’</w:t>
      </w:r>
      <w:r>
        <w:t xml:space="preserve"> </w:t>
      </w:r>
      <w:r w:rsidRPr="000A0735">
        <w:t>compensation insurance carrier. The commutation globally resolved the claim and</w:t>
      </w:r>
      <w:r>
        <w:t xml:space="preserve"> </w:t>
      </w:r>
      <w:r w:rsidRPr="000A0735">
        <w:t>released the insurer from further liability with respect to the injury.</w:t>
      </w:r>
      <w:r>
        <w:t>”</w:t>
      </w:r>
    </w:p>
    <w:p w14:paraId="592A3102" w14:textId="77777777" w:rsidR="007369A1" w:rsidRDefault="007369A1" w:rsidP="007369A1">
      <w:pPr>
        <w:rPr>
          <w:rFonts w:ascii="Arial Black" w:hAnsi="Arial Black"/>
          <w:bCs/>
          <w:sz w:val="28"/>
          <w:szCs w:val="28"/>
        </w:rPr>
      </w:pPr>
    </w:p>
    <w:p w14:paraId="74D8EAD6" w14:textId="03B91F8D" w:rsidR="007369A1" w:rsidRDefault="007369A1" w:rsidP="000624FD">
      <w:pPr>
        <w:pStyle w:val="NoSpacing"/>
        <w:rPr>
          <w:rFonts w:ascii="Arial Black" w:hAnsi="Arial Black"/>
          <w:b/>
          <w:sz w:val="28"/>
          <w:szCs w:val="28"/>
        </w:rPr>
      </w:pPr>
      <w:r>
        <w:rPr>
          <w:rFonts w:ascii="Arial Black" w:hAnsi="Arial Black"/>
          <w:b/>
          <w:sz w:val="28"/>
          <w:szCs w:val="28"/>
        </w:rPr>
        <w:t>6-175</w:t>
      </w:r>
    </w:p>
    <w:p w14:paraId="3016E18C" w14:textId="77777777" w:rsidR="00EC0328" w:rsidRDefault="00EC0328" w:rsidP="000624FD">
      <w:pPr>
        <w:pStyle w:val="NoSpacing"/>
        <w:rPr>
          <w:rFonts w:ascii="Arial Black" w:hAnsi="Arial Black"/>
          <w:b/>
          <w:sz w:val="28"/>
          <w:szCs w:val="28"/>
        </w:rPr>
      </w:pPr>
    </w:p>
    <w:p w14:paraId="3E87115A" w14:textId="433F400F" w:rsidR="00EC0328" w:rsidRDefault="00EC0328" w:rsidP="00EC0328">
      <w:pPr>
        <w:rPr>
          <w:rFonts w:ascii="Arial Black" w:hAnsi="Arial Black"/>
          <w:b/>
          <w:sz w:val="28"/>
          <w:szCs w:val="28"/>
        </w:rPr>
      </w:pPr>
      <w:r>
        <w:rPr>
          <w:rFonts w:ascii="Arial Black" w:hAnsi="Arial Black"/>
          <w:b/>
          <w:sz w:val="28"/>
          <w:szCs w:val="28"/>
        </w:rPr>
        <w:t xml:space="preserve">WV: FF R-WRIST – TRIPPED </w:t>
      </w:r>
      <w:r w:rsidR="00CA4898">
        <w:rPr>
          <w:rFonts w:ascii="Arial Black" w:hAnsi="Arial Black"/>
          <w:b/>
          <w:sz w:val="28"/>
          <w:szCs w:val="28"/>
        </w:rPr>
        <w:t xml:space="preserve">IN </w:t>
      </w:r>
      <w:r>
        <w:rPr>
          <w:rFonts w:ascii="Arial Black" w:hAnsi="Arial Black"/>
          <w:b/>
          <w:sz w:val="28"/>
          <w:szCs w:val="28"/>
        </w:rPr>
        <w:t>AMBULANCE – BENEFITS CONT</w:t>
      </w:r>
    </w:p>
    <w:p w14:paraId="5EB17885" w14:textId="77777777" w:rsidR="00EC0328" w:rsidRDefault="00EC0328" w:rsidP="00EC0328">
      <w:pPr>
        <w:rPr>
          <w:bCs/>
        </w:rPr>
      </w:pPr>
      <w:r w:rsidRPr="001D4F31">
        <w:t xml:space="preserve">On December 4, 2025, in </w:t>
      </w:r>
      <w:r w:rsidRPr="001839BD">
        <w:rPr>
          <w:u w:val="single"/>
        </w:rPr>
        <w:t>City of Wheeling v. David Gilbert</w:t>
      </w:r>
      <w:r>
        <w:t xml:space="preserve">, the </w:t>
      </w:r>
      <w:r w:rsidRPr="001839BD">
        <w:t>West Virginia Intermediate Court of Appeals</w:t>
      </w:r>
      <w:r>
        <w:t xml:space="preserve"> held (3 to 0) that the Worker’s Comp Board properly reversed the hearing officer who closed the claim on November 5, 2024.  He is entitled to continued coverage for his December 1, </w:t>
      </w:r>
      <w:proofErr w:type="gramStart"/>
      <w:r>
        <w:t>2023</w:t>
      </w:r>
      <w:proofErr w:type="gramEnd"/>
      <w:r>
        <w:t xml:space="preserve"> injury of his right wrist </w:t>
      </w:r>
      <w:r w:rsidRPr="000E3282">
        <w:t xml:space="preserve">when he tripped and caught himself while getting into an ambulance. </w:t>
      </w:r>
      <w:hyperlink r:id="rId1044" w:history="1">
        <w:r w:rsidRPr="00E22D14">
          <w:rPr>
            <w:rStyle w:val="Hyperlink"/>
          </w:rPr>
          <w:t>https://www.courtswv.gov/sites/default/pubfilesmnt/2025-12/25-ICA-222_MD.pdf</w:t>
        </w:r>
      </w:hyperlink>
      <w:r>
        <w:t xml:space="preserve"> </w:t>
      </w:r>
    </w:p>
    <w:p w14:paraId="59696EEA" w14:textId="77777777" w:rsidR="00EC0328" w:rsidRDefault="00EC0328" w:rsidP="00EC0328">
      <w:pPr>
        <w:rPr>
          <w:bCs/>
        </w:rPr>
      </w:pPr>
      <w:r>
        <w:t xml:space="preserve">THE COURT HELD: </w:t>
      </w:r>
    </w:p>
    <w:p w14:paraId="3CD0F6BA" w14:textId="77777777" w:rsidR="00EC0328" w:rsidRDefault="00EC0328" w:rsidP="00EC0328">
      <w:pPr>
        <w:pStyle w:val="NoSpacing"/>
        <w:ind w:firstLine="720"/>
        <w:rPr>
          <w:bCs/>
        </w:rPr>
      </w:pPr>
      <w:r>
        <w:lastRenderedPageBreak/>
        <w:t>“</w:t>
      </w:r>
      <w:r w:rsidRPr="005D768D">
        <w:t>Mr. Gilbert had not worked since June 2, 2024.</w:t>
      </w:r>
    </w:p>
    <w:p w14:paraId="379610BE" w14:textId="77777777" w:rsidR="00EC0328" w:rsidRDefault="00EC0328" w:rsidP="00EC0328">
      <w:pPr>
        <w:pStyle w:val="NoSpacing"/>
        <w:ind w:firstLine="720"/>
        <w:rPr>
          <w:bCs/>
        </w:rPr>
      </w:pPr>
    </w:p>
    <w:p w14:paraId="130D1454" w14:textId="77777777" w:rsidR="00EC0328" w:rsidRDefault="00EC0328" w:rsidP="00EC0328">
      <w:pPr>
        <w:pStyle w:val="NoSpacing"/>
        <w:ind w:firstLine="720"/>
        <w:rPr>
          <w:bCs/>
        </w:rPr>
      </w:pPr>
      <w:r>
        <w:t>***</w:t>
      </w:r>
    </w:p>
    <w:p w14:paraId="77D1A30B" w14:textId="77777777" w:rsidR="00EC0328" w:rsidRPr="009B705D" w:rsidRDefault="00EC0328" w:rsidP="00EC0328">
      <w:pPr>
        <w:pStyle w:val="NoSpacing"/>
        <w:ind w:firstLine="720"/>
        <w:rPr>
          <w:bCs/>
        </w:rPr>
      </w:pPr>
      <w:r w:rsidRPr="009B705D">
        <w:t>On July 31, 2024, the claim administrator issued an order denying the addition of</w:t>
      </w:r>
    </w:p>
    <w:p w14:paraId="4068D69B" w14:textId="77777777" w:rsidR="00EC0328" w:rsidRDefault="00EC0328" w:rsidP="00EC0328">
      <w:pPr>
        <w:pStyle w:val="NoSpacing"/>
        <w:ind w:left="720"/>
        <w:rPr>
          <w:bCs/>
        </w:rPr>
      </w:pPr>
      <w:r w:rsidRPr="009B705D">
        <w:t>scapholunate instability of the right wrist and scapholunate ligament tear of the right wrist</w:t>
      </w:r>
      <w:r>
        <w:t xml:space="preserve"> </w:t>
      </w:r>
      <w:r w:rsidRPr="009B705D">
        <w:t>as compensable conditions of the claim. Mr. Gilbert protested this claim.</w:t>
      </w:r>
    </w:p>
    <w:p w14:paraId="10FDCAA8" w14:textId="77777777" w:rsidR="00EC0328" w:rsidRDefault="00EC0328" w:rsidP="00EC0328">
      <w:pPr>
        <w:pStyle w:val="NoSpacing"/>
        <w:ind w:left="720"/>
        <w:rPr>
          <w:bCs/>
        </w:rPr>
      </w:pPr>
    </w:p>
    <w:p w14:paraId="73545A68" w14:textId="77777777" w:rsidR="00EC0328" w:rsidRDefault="00EC0328" w:rsidP="00EC0328">
      <w:pPr>
        <w:pStyle w:val="NoSpacing"/>
        <w:ind w:left="720"/>
        <w:rPr>
          <w:bCs/>
        </w:rPr>
      </w:pPr>
      <w:r>
        <w:t>***</w:t>
      </w:r>
    </w:p>
    <w:p w14:paraId="061D3DA6" w14:textId="77777777" w:rsidR="00EC0328" w:rsidRPr="00A10B17" w:rsidRDefault="00EC0328" w:rsidP="00EC0328">
      <w:pPr>
        <w:pStyle w:val="NoSpacing"/>
        <w:ind w:left="720"/>
        <w:rPr>
          <w:bCs/>
        </w:rPr>
      </w:pPr>
      <w:r w:rsidRPr="00A10B17">
        <w:t>Mr. Gilbert was evaluated by Joseph Grady II, M.D., on September 6, 2024.</w:t>
      </w:r>
      <w:r>
        <w:t xml:space="preserve"> </w:t>
      </w:r>
      <w:r w:rsidRPr="00A10B17">
        <w:t>Mr. Gilbert reported pain and a shifting sensation within the radial aspect of the right wrist.</w:t>
      </w:r>
      <w:r>
        <w:t xml:space="preserve"> </w:t>
      </w:r>
      <w:r w:rsidRPr="00A10B17">
        <w:t>Dr. Grady noted that Mr. Gilbert had not worked since June 2, 2024. The assessment was</w:t>
      </w:r>
      <w:r>
        <w:t xml:space="preserve"> </w:t>
      </w:r>
      <w:r w:rsidRPr="00A10B17">
        <w:t>right wrist pain with demonstrated right scapholunate ligament tear on direct visualization</w:t>
      </w:r>
      <w:r>
        <w:t xml:space="preserve"> </w:t>
      </w:r>
      <w:r w:rsidRPr="00A10B17">
        <w:t>during arthroscopic examination. Dr. Grady opined that the right wrist sprain that occurred</w:t>
      </w:r>
      <w:r>
        <w:t xml:space="preserve"> </w:t>
      </w:r>
      <w:r w:rsidRPr="00A10B17">
        <w:t>with the initial injury had resolved, and Mr. Gilbert had reached maximum medical</w:t>
      </w:r>
      <w:r>
        <w:t xml:space="preserve"> </w:t>
      </w:r>
      <w:r w:rsidRPr="00A10B17">
        <w:t>improvement (</w:t>
      </w:r>
      <w:r>
        <w:t>‘</w:t>
      </w:r>
      <w:r w:rsidRPr="00A10B17">
        <w:t>MMI</w:t>
      </w:r>
      <w:r>
        <w:t>’</w:t>
      </w:r>
      <w:r w:rsidRPr="00A10B17">
        <w:t>) for the compensable injury. Dr. Grady further opined that Mr.</w:t>
      </w:r>
    </w:p>
    <w:p w14:paraId="2AD2B224" w14:textId="77777777" w:rsidR="00EC0328" w:rsidRDefault="00EC0328" w:rsidP="00EC0328">
      <w:pPr>
        <w:pStyle w:val="NoSpacing"/>
        <w:ind w:left="720"/>
        <w:rPr>
          <w:bCs/>
        </w:rPr>
      </w:pPr>
      <w:r w:rsidRPr="00A10B17">
        <w:t>Gilbert would have difficulty working full duty at his regular job because of the right-hand</w:t>
      </w:r>
      <w:r>
        <w:t xml:space="preserve"> </w:t>
      </w:r>
      <w:r w:rsidRPr="00A10B17">
        <w:t xml:space="preserve">pain and weakness, which Dr. Grady attributed to the </w:t>
      </w:r>
      <w:proofErr w:type="spellStart"/>
      <w:proofErr w:type="gramStart"/>
      <w:r w:rsidRPr="00A10B17">
        <w:t>non</w:t>
      </w:r>
      <w:r>
        <w:t xml:space="preserve"> </w:t>
      </w:r>
      <w:r w:rsidRPr="00A10B17">
        <w:t>compensable</w:t>
      </w:r>
      <w:proofErr w:type="spellEnd"/>
      <w:proofErr w:type="gramEnd"/>
      <w:r w:rsidRPr="00A10B17">
        <w:t xml:space="preserve"> scapholunate</w:t>
      </w:r>
      <w:r>
        <w:t xml:space="preserve"> </w:t>
      </w:r>
      <w:r w:rsidRPr="00A10B17">
        <w:t>ligament tear.</w:t>
      </w:r>
    </w:p>
    <w:p w14:paraId="7008E8B1" w14:textId="77777777" w:rsidR="00EC0328" w:rsidRDefault="00EC0328" w:rsidP="00EC0328">
      <w:pPr>
        <w:pStyle w:val="NoSpacing"/>
        <w:ind w:firstLine="720"/>
        <w:rPr>
          <w:bCs/>
        </w:rPr>
      </w:pPr>
    </w:p>
    <w:p w14:paraId="20D3B16F" w14:textId="77777777" w:rsidR="00EC0328" w:rsidRDefault="00EC0328" w:rsidP="00EC0328">
      <w:pPr>
        <w:pStyle w:val="NoSpacing"/>
        <w:ind w:firstLine="720"/>
        <w:rPr>
          <w:bCs/>
        </w:rPr>
      </w:pPr>
      <w:r>
        <w:t>***</w:t>
      </w:r>
    </w:p>
    <w:p w14:paraId="744AAEC9" w14:textId="77777777" w:rsidR="00EC0328" w:rsidRDefault="00EC0328" w:rsidP="00EC0328">
      <w:pPr>
        <w:pStyle w:val="NoSpacing"/>
        <w:ind w:firstLine="720"/>
        <w:rPr>
          <w:bCs/>
        </w:rPr>
      </w:pPr>
    </w:p>
    <w:p w14:paraId="70204F73" w14:textId="77777777" w:rsidR="00EC0328" w:rsidRPr="00A43EB0" w:rsidRDefault="00EC0328" w:rsidP="00EC0328">
      <w:pPr>
        <w:pStyle w:val="NoSpacing"/>
        <w:ind w:firstLine="720"/>
        <w:rPr>
          <w:bCs/>
        </w:rPr>
      </w:pPr>
      <w:r w:rsidRPr="00A43EB0">
        <w:t>Mr. Gilbert underwent a scapholunate ligament reconstruction, with tendon graft</w:t>
      </w:r>
    </w:p>
    <w:p w14:paraId="2294E77D" w14:textId="77777777" w:rsidR="00EC0328" w:rsidRPr="00A43EB0" w:rsidRDefault="00EC0328" w:rsidP="00EC0328">
      <w:pPr>
        <w:pStyle w:val="NoSpacing"/>
        <w:ind w:firstLine="720"/>
        <w:rPr>
          <w:bCs/>
        </w:rPr>
      </w:pPr>
      <w:r w:rsidRPr="00A43EB0">
        <w:t>and internal brace augmentation of the right wrist on September 12, 2024. The post-</w:t>
      </w:r>
    </w:p>
    <w:p w14:paraId="458171DD" w14:textId="77777777" w:rsidR="00EC0328" w:rsidRDefault="00EC0328" w:rsidP="00EC0328">
      <w:pPr>
        <w:pStyle w:val="NoSpacing"/>
        <w:ind w:firstLine="720"/>
        <w:rPr>
          <w:bCs/>
        </w:rPr>
      </w:pPr>
      <w:r w:rsidRPr="00A43EB0">
        <w:t>operative diagnosis was a complete tear of the scapholunate ligament of the right wrist.</w:t>
      </w:r>
    </w:p>
    <w:p w14:paraId="11FA01C1" w14:textId="77777777" w:rsidR="00EC0328" w:rsidRDefault="00EC0328" w:rsidP="00EC0328">
      <w:pPr>
        <w:pStyle w:val="NoSpacing"/>
        <w:ind w:firstLine="720"/>
        <w:rPr>
          <w:bCs/>
        </w:rPr>
      </w:pPr>
    </w:p>
    <w:p w14:paraId="3F22141E" w14:textId="77777777" w:rsidR="00EC0328" w:rsidRDefault="00EC0328" w:rsidP="00EC0328">
      <w:pPr>
        <w:pStyle w:val="NoSpacing"/>
        <w:ind w:firstLine="720"/>
        <w:rPr>
          <w:bCs/>
        </w:rPr>
      </w:pPr>
      <w:r>
        <w:t>***</w:t>
      </w:r>
    </w:p>
    <w:p w14:paraId="196A95EC" w14:textId="77777777" w:rsidR="00EC0328" w:rsidRDefault="00EC0328" w:rsidP="00EC0328">
      <w:pPr>
        <w:pStyle w:val="NoSpacing"/>
        <w:ind w:firstLine="720"/>
        <w:rPr>
          <w:bCs/>
        </w:rPr>
      </w:pPr>
    </w:p>
    <w:p w14:paraId="29063C1A" w14:textId="77777777" w:rsidR="00EC0328" w:rsidRPr="00596A41" w:rsidRDefault="00EC0328" w:rsidP="00EC0328">
      <w:pPr>
        <w:pStyle w:val="NoSpacing"/>
        <w:ind w:firstLine="720"/>
        <w:rPr>
          <w:bCs/>
        </w:rPr>
      </w:pPr>
      <w:r w:rsidRPr="00596A41">
        <w:t>On September 30, 2024, the claim administrator issued an order suspending Mr.</w:t>
      </w:r>
    </w:p>
    <w:p w14:paraId="6F3C8237" w14:textId="77777777" w:rsidR="00EC0328" w:rsidRPr="00596A41" w:rsidRDefault="00EC0328" w:rsidP="00EC0328">
      <w:pPr>
        <w:pStyle w:val="NoSpacing"/>
        <w:ind w:firstLine="720"/>
        <w:rPr>
          <w:bCs/>
        </w:rPr>
      </w:pPr>
      <w:r w:rsidRPr="00596A41">
        <w:t xml:space="preserve">Gilbert’s TTD benefits </w:t>
      </w:r>
      <w:proofErr w:type="gramStart"/>
      <w:r w:rsidRPr="00596A41">
        <w:t>based</w:t>
      </w:r>
      <w:proofErr w:type="gramEnd"/>
      <w:r w:rsidRPr="00596A41">
        <w:t xml:space="preserve"> upon Dr. Grady’s finding of MMI. </w:t>
      </w:r>
      <w:proofErr w:type="gramStart"/>
      <w:r w:rsidRPr="00596A41">
        <w:t>On November</w:t>
      </w:r>
      <w:proofErr w:type="gramEnd"/>
      <w:r w:rsidRPr="00596A41">
        <w:t xml:space="preserve"> 5, 2024,</w:t>
      </w:r>
    </w:p>
    <w:p w14:paraId="7F5C70D6" w14:textId="77777777" w:rsidR="00EC0328" w:rsidRPr="00596A41" w:rsidRDefault="00EC0328" w:rsidP="00EC0328">
      <w:pPr>
        <w:pStyle w:val="NoSpacing"/>
        <w:ind w:firstLine="720"/>
        <w:rPr>
          <w:bCs/>
        </w:rPr>
      </w:pPr>
      <w:proofErr w:type="gramStart"/>
      <w:r w:rsidRPr="00596A41">
        <w:t>the</w:t>
      </w:r>
      <w:proofErr w:type="gramEnd"/>
      <w:r w:rsidRPr="00596A41">
        <w:t xml:space="preserve"> claim administrator issued an order closing the claim for TTD benefits. Mr. Gilbert</w:t>
      </w:r>
    </w:p>
    <w:p w14:paraId="1861C17F" w14:textId="77777777" w:rsidR="00EC0328" w:rsidRDefault="00EC0328" w:rsidP="00EC0328">
      <w:pPr>
        <w:pStyle w:val="NoSpacing"/>
        <w:ind w:firstLine="720"/>
        <w:rPr>
          <w:bCs/>
        </w:rPr>
      </w:pPr>
      <w:r w:rsidRPr="00596A41">
        <w:t>protested this order.</w:t>
      </w:r>
    </w:p>
    <w:p w14:paraId="7948F36F" w14:textId="77777777" w:rsidR="00EC0328" w:rsidRDefault="00EC0328" w:rsidP="00EC0328">
      <w:pPr>
        <w:pStyle w:val="NoSpacing"/>
        <w:ind w:firstLine="720"/>
        <w:rPr>
          <w:bCs/>
        </w:rPr>
      </w:pPr>
    </w:p>
    <w:p w14:paraId="7EAFE268" w14:textId="77777777" w:rsidR="00EC0328" w:rsidRDefault="00EC0328" w:rsidP="00EC0328">
      <w:pPr>
        <w:pStyle w:val="NoSpacing"/>
        <w:ind w:firstLine="720"/>
        <w:rPr>
          <w:bCs/>
        </w:rPr>
      </w:pPr>
      <w:r>
        <w:t>***</w:t>
      </w:r>
    </w:p>
    <w:p w14:paraId="3C8D9E00" w14:textId="77777777" w:rsidR="00EC0328" w:rsidRDefault="00EC0328" w:rsidP="00EC0328">
      <w:pPr>
        <w:pStyle w:val="NoSpacing"/>
        <w:ind w:firstLine="720"/>
        <w:rPr>
          <w:bCs/>
        </w:rPr>
      </w:pPr>
    </w:p>
    <w:p w14:paraId="1FF34756" w14:textId="77777777" w:rsidR="00EC0328" w:rsidRPr="00433300" w:rsidRDefault="00EC0328" w:rsidP="00EC0328">
      <w:pPr>
        <w:pStyle w:val="NoSpacing"/>
        <w:ind w:firstLine="720"/>
        <w:rPr>
          <w:bCs/>
        </w:rPr>
      </w:pPr>
      <w:r w:rsidRPr="00433300">
        <w:t>Upon review, we conclude that the Board was not clearly wrong in finding that the</w:t>
      </w:r>
    </w:p>
    <w:p w14:paraId="53045FD8" w14:textId="77777777" w:rsidR="00EC0328" w:rsidRPr="00433300" w:rsidRDefault="00EC0328" w:rsidP="00EC0328">
      <w:pPr>
        <w:pStyle w:val="NoSpacing"/>
        <w:ind w:firstLine="720"/>
        <w:rPr>
          <w:bCs/>
        </w:rPr>
      </w:pPr>
      <w:r w:rsidRPr="00433300">
        <w:t>closure of the claim for TTD benefits was premature and improper. We note that TTD</w:t>
      </w:r>
    </w:p>
    <w:p w14:paraId="69DDC4BF" w14:textId="77777777" w:rsidR="00EC0328" w:rsidRPr="00433300" w:rsidRDefault="00EC0328" w:rsidP="00EC0328">
      <w:pPr>
        <w:pStyle w:val="NoSpacing"/>
        <w:ind w:firstLine="720"/>
        <w:rPr>
          <w:bCs/>
        </w:rPr>
      </w:pPr>
      <w:r w:rsidRPr="00433300">
        <w:t xml:space="preserve">payments are payable during an injured worker’s recovery period after a </w:t>
      </w:r>
      <w:proofErr w:type="gramStart"/>
      <w:r w:rsidRPr="00433300">
        <w:t>compensable</w:t>
      </w:r>
      <w:proofErr w:type="gramEnd"/>
    </w:p>
    <w:p w14:paraId="7BD1C713" w14:textId="77777777" w:rsidR="00EC0328" w:rsidRPr="00433300" w:rsidRDefault="00EC0328" w:rsidP="00EC0328">
      <w:pPr>
        <w:pStyle w:val="NoSpacing"/>
        <w:ind w:firstLine="720"/>
        <w:rPr>
          <w:bCs/>
        </w:rPr>
      </w:pPr>
      <w:r w:rsidRPr="00433300">
        <w:t>injury. Pursuant to West Virginia Code § 23-4-7a, TTD benefits are not payable once an</w:t>
      </w:r>
    </w:p>
    <w:p w14:paraId="39CF0F20" w14:textId="77777777" w:rsidR="00EC0328" w:rsidRPr="00433300" w:rsidRDefault="00EC0328" w:rsidP="00EC0328">
      <w:pPr>
        <w:pStyle w:val="NoSpacing"/>
        <w:ind w:firstLine="720"/>
        <w:rPr>
          <w:bCs/>
        </w:rPr>
      </w:pPr>
      <w:r w:rsidRPr="00433300">
        <w:t xml:space="preserve">injured worker reaches MMI, is released to return to work, or </w:t>
      </w:r>
      <w:proofErr w:type="gramStart"/>
      <w:r w:rsidRPr="00433300">
        <w:t>actually returns</w:t>
      </w:r>
      <w:proofErr w:type="gramEnd"/>
      <w:r w:rsidRPr="00433300">
        <w:t xml:space="preserve"> to work.</w:t>
      </w:r>
    </w:p>
    <w:p w14:paraId="578415C4" w14:textId="77777777" w:rsidR="00EC0328" w:rsidRDefault="00EC0328" w:rsidP="00EC0328">
      <w:pPr>
        <w:pStyle w:val="NoSpacing"/>
        <w:ind w:left="720"/>
        <w:rPr>
          <w:bCs/>
        </w:rPr>
      </w:pPr>
      <w:r w:rsidRPr="00433300">
        <w:t>Upon review, we conclude that the Board was not clearly wrong in finding that the evidence</w:t>
      </w:r>
      <w:r>
        <w:t xml:space="preserve"> </w:t>
      </w:r>
      <w:r w:rsidRPr="00433300">
        <w:t>established that the closing of the claim for TTD benefits on November 5, 2024, was</w:t>
      </w:r>
      <w:r>
        <w:t xml:space="preserve"> </w:t>
      </w:r>
      <w:r w:rsidRPr="00433300">
        <w:t>premature</w:t>
      </w:r>
      <w:r>
        <w:t>. “</w:t>
      </w:r>
    </w:p>
    <w:p w14:paraId="0143E390" w14:textId="77777777" w:rsidR="00EC0328" w:rsidRDefault="00EC0328" w:rsidP="00EC0328">
      <w:pPr>
        <w:pStyle w:val="NoSpacing"/>
        <w:ind w:left="720"/>
        <w:rPr>
          <w:bCs/>
        </w:rPr>
      </w:pPr>
    </w:p>
    <w:p w14:paraId="247DB93F" w14:textId="77777777" w:rsidR="00EC0328" w:rsidRPr="00A10B17" w:rsidRDefault="00EC0328" w:rsidP="00EC0328">
      <w:pPr>
        <w:pStyle w:val="NoSpacing"/>
        <w:rPr>
          <w:b/>
        </w:rPr>
      </w:pPr>
      <w:r>
        <w:rPr>
          <w:b/>
        </w:rPr>
        <w:t xml:space="preserve">Legal lesson learned:  Another “battle of the experts.”  Nice to read that the firefighter will have continuing coverage until he reaches MMI (Maximum Medical Improvement). </w:t>
      </w:r>
    </w:p>
    <w:p w14:paraId="00CC73E7" w14:textId="77777777" w:rsidR="00EC0328" w:rsidRDefault="00EC0328" w:rsidP="000624FD">
      <w:pPr>
        <w:pStyle w:val="NoSpacing"/>
        <w:rPr>
          <w:rFonts w:ascii="Arial Black" w:hAnsi="Arial Black"/>
          <w:b/>
          <w:sz w:val="28"/>
          <w:szCs w:val="28"/>
        </w:rPr>
      </w:pPr>
    </w:p>
    <w:p w14:paraId="1B935616" w14:textId="77777777" w:rsidR="007369A1" w:rsidRDefault="007369A1" w:rsidP="000624FD">
      <w:pPr>
        <w:pStyle w:val="NoSpacing"/>
        <w:rPr>
          <w:rFonts w:ascii="Arial Black" w:hAnsi="Arial Black"/>
          <w:b/>
          <w:sz w:val="28"/>
          <w:szCs w:val="28"/>
        </w:rPr>
      </w:pPr>
    </w:p>
    <w:p w14:paraId="6B16C6AC" w14:textId="77777777" w:rsidR="007369A1" w:rsidRDefault="007369A1" w:rsidP="000624FD">
      <w:pPr>
        <w:pStyle w:val="NoSpacing"/>
        <w:rPr>
          <w:rFonts w:ascii="Arial Black" w:hAnsi="Arial Black"/>
          <w:b/>
          <w:sz w:val="28"/>
          <w:szCs w:val="28"/>
        </w:rPr>
      </w:pPr>
    </w:p>
    <w:p w14:paraId="55973961" w14:textId="77777777" w:rsidR="007369A1" w:rsidRDefault="007369A1" w:rsidP="000624FD">
      <w:pPr>
        <w:pStyle w:val="NoSpacing"/>
        <w:rPr>
          <w:rFonts w:ascii="Arial Black" w:hAnsi="Arial Black"/>
          <w:b/>
          <w:sz w:val="28"/>
          <w:szCs w:val="28"/>
        </w:rPr>
      </w:pPr>
    </w:p>
    <w:p w14:paraId="69E06DAD" w14:textId="63D0A001" w:rsidR="00040383" w:rsidRDefault="00040383" w:rsidP="000624FD">
      <w:pPr>
        <w:pStyle w:val="NoSpacing"/>
        <w:rPr>
          <w:rFonts w:ascii="Arial Black" w:hAnsi="Arial Black"/>
          <w:b/>
          <w:sz w:val="28"/>
          <w:szCs w:val="28"/>
        </w:rPr>
      </w:pPr>
      <w:r>
        <w:rPr>
          <w:rFonts w:ascii="Arial Black" w:hAnsi="Arial Black"/>
          <w:b/>
          <w:sz w:val="28"/>
          <w:szCs w:val="28"/>
        </w:rPr>
        <w:t>6-174</w:t>
      </w:r>
    </w:p>
    <w:p w14:paraId="2FB79C9D" w14:textId="77777777" w:rsidR="00040383" w:rsidRDefault="00040383" w:rsidP="00040383">
      <w:pPr>
        <w:pStyle w:val="NoSpacing"/>
        <w:rPr>
          <w:rFonts w:ascii="Arial Black" w:hAnsi="Arial Black"/>
          <w:sz w:val="28"/>
          <w:szCs w:val="28"/>
        </w:rPr>
      </w:pPr>
      <w:r>
        <w:rPr>
          <w:rFonts w:ascii="Arial Black" w:hAnsi="Arial Black"/>
          <w:sz w:val="28"/>
          <w:szCs w:val="28"/>
        </w:rPr>
        <w:t>MD: EMT HEAD INJURY– JURY - TT 47 DAYS OFF IN 5 YRS</w:t>
      </w:r>
    </w:p>
    <w:p w14:paraId="32000FA6" w14:textId="77777777" w:rsidR="00040383" w:rsidRDefault="00040383" w:rsidP="00040383">
      <w:pPr>
        <w:pStyle w:val="NoSpacing"/>
        <w:rPr>
          <w:rFonts w:ascii="Arial Black" w:hAnsi="Arial Black"/>
          <w:sz w:val="28"/>
          <w:szCs w:val="28"/>
        </w:rPr>
      </w:pPr>
    </w:p>
    <w:p w14:paraId="47651A43" w14:textId="7679CE3B" w:rsidR="00040383" w:rsidRDefault="00040383" w:rsidP="00040383">
      <w:pPr>
        <w:pStyle w:val="NoSpacing"/>
      </w:pPr>
      <w:r>
        <w:lastRenderedPageBreak/>
        <w:t xml:space="preserve">On November 19, 2025, in </w:t>
      </w:r>
      <w:r w:rsidRPr="00562B80">
        <w:rPr>
          <w:u w:val="single"/>
        </w:rPr>
        <w:t>Montgomery County, Maryland v. Patricia Taylor</w:t>
      </w:r>
      <w:r>
        <w:t xml:space="preserve">, the </w:t>
      </w:r>
      <w:r w:rsidRPr="00562B80">
        <w:t>Court of Special Appeals of Maryland</w:t>
      </w:r>
      <w:r>
        <w:t xml:space="preserve"> held (4 to 0; unreported decision) that a jury properly awarded a volunteer Medic (and College instructor) temporary total disability for 47 days missed from work because of migraine headaches </w:t>
      </w:r>
      <w:r w:rsidRPr="001D7936">
        <w:t>between 2017-2021</w:t>
      </w:r>
      <w:r>
        <w:t>.  THE COURT WROTE: “</w:t>
      </w:r>
      <w:r w:rsidRPr="001D7936">
        <w:t>On August 15, 2016, Appellee Patricia Taylor, a Montgomery County EMT, sustained a head injury after she was struck by a heavy backboard during a training exercise</w:t>
      </w:r>
      <w:r>
        <w:t xml:space="preserve">…. [She] </w:t>
      </w:r>
      <w:r w:rsidRPr="009D25FA">
        <w:t>appealed the denial of her claim for temporary total disability benefits by the Maryland Workers' Compensation Commission to the Circuit Court for Montgomery County. Appellee elected a jury trial, and following the presentation of evidence and deliberations, the jury determined that she was temporarily totally disabled on the dates specified in her claim</w:t>
      </w:r>
      <w:r>
        <w:t xml:space="preserve">…. </w:t>
      </w:r>
      <w:r w:rsidRPr="00732DE9">
        <w:t> </w:t>
      </w:r>
      <w:r w:rsidRPr="00C81949">
        <w:t>Dr. Jeffrey Gaber, a board-certified internal medicine doctor</w:t>
      </w:r>
      <w:r>
        <w:t xml:space="preserve"> … </w:t>
      </w:r>
      <w:r w:rsidRPr="00732DE9">
        <w:t xml:space="preserve">testified that based on his own evaluation and in part, on a review of medical records from Appellee's internal neurologist and the county's independent medical examiner, that the accident that Appellee suffered can </w:t>
      </w:r>
      <w:r>
        <w:t>‘</w:t>
      </w:r>
      <w:r w:rsidRPr="00732DE9">
        <w:t>absolutely</w:t>
      </w:r>
      <w:r>
        <w:t>’</w:t>
      </w:r>
      <w:r w:rsidRPr="00732DE9">
        <w:t xml:space="preserve"> cause the </w:t>
      </w:r>
      <w:r>
        <w:t>‘</w:t>
      </w:r>
      <w:r w:rsidRPr="00732DE9">
        <w:t>severe</w:t>
      </w:r>
      <w:r>
        <w:t>’</w:t>
      </w:r>
      <w:r w:rsidRPr="00732DE9">
        <w:t xml:space="preserve"> post-concussive headaches that Appellee experienced.</w:t>
      </w:r>
      <w:r>
        <w:t>”</w:t>
      </w:r>
      <w:r w:rsidR="00A94598">
        <w:t xml:space="preserve"> </w:t>
      </w:r>
      <w:hyperlink r:id="rId1045" w:history="1">
        <w:r w:rsidR="00A94598" w:rsidRPr="00824C83">
          <w:rPr>
            <w:rStyle w:val="Hyperlink"/>
          </w:rPr>
          <w:t>https://thedailyrecord.com/files/2025/12/1167s24.pdf</w:t>
        </w:r>
      </w:hyperlink>
      <w:r w:rsidR="00A94598">
        <w:t xml:space="preserve"> </w:t>
      </w:r>
    </w:p>
    <w:p w14:paraId="0CAD56B5" w14:textId="77777777" w:rsidR="00040383" w:rsidRDefault="00040383" w:rsidP="00040383">
      <w:pPr>
        <w:pStyle w:val="NoSpacing"/>
      </w:pPr>
    </w:p>
    <w:p w14:paraId="70E4137A" w14:textId="77777777" w:rsidR="00040383" w:rsidRPr="00D070F3" w:rsidRDefault="00040383" w:rsidP="00040383">
      <w:pPr>
        <w:pStyle w:val="NoSpacing"/>
      </w:pPr>
      <w:r>
        <w:t xml:space="preserve">THE COURT HELD:  </w:t>
      </w:r>
    </w:p>
    <w:p w14:paraId="78CC1239" w14:textId="77777777" w:rsidR="00040383" w:rsidRDefault="00040383" w:rsidP="00040383">
      <w:pPr>
        <w:pStyle w:val="NoSpacing"/>
      </w:pPr>
    </w:p>
    <w:p w14:paraId="47E40BEB" w14:textId="77777777" w:rsidR="00040383" w:rsidRDefault="00040383" w:rsidP="00040383">
      <w:pPr>
        <w:pStyle w:val="NoSpacing"/>
        <w:ind w:left="720"/>
      </w:pPr>
      <w:r>
        <w:t>“</w:t>
      </w:r>
      <w:r w:rsidRPr="00101E58">
        <w:t xml:space="preserve">Appellee presented two witnesses, Dr. Jeffrey Gaber, a board-certified internal medicine doctor, who testified by video deposition and herself. Dr. Gaber opined that, based on his training, experience, medical evaluation, and review of Appellee's medical records, Appellee sustained a concussion </w:t>
      </w:r>
      <w:proofErr w:type="gramStart"/>
      <w:r w:rsidRPr="00101E58">
        <w:t>as a result of</w:t>
      </w:r>
      <w:proofErr w:type="gramEnd"/>
      <w:r w:rsidRPr="00101E58">
        <w:t xml:space="preserve"> a work injury on August 15, 2016. Dr. Gaber further opined that Appellee suffers from post-concussive syndrome because of the accident and that she was unable to work on days when the symptoms were severe</w:t>
      </w:r>
      <w:r>
        <w:t xml:space="preserve">…. </w:t>
      </w:r>
    </w:p>
    <w:p w14:paraId="12AA0FEA" w14:textId="77777777" w:rsidR="00040383" w:rsidRDefault="00040383" w:rsidP="00040383">
      <w:pPr>
        <w:pStyle w:val="NoSpacing"/>
        <w:ind w:left="720" w:firstLine="60"/>
      </w:pPr>
      <w:r w:rsidRPr="00101E58">
        <w:t>Dr. Gaber explained the significance of EMT Taylor's post concussive headaches and their impact on her ability to serve as a paramedic and as a full-time teacher in the education and training department at Johns Hopkins University.</w:t>
      </w:r>
      <w:r>
        <w:t>”</w:t>
      </w:r>
    </w:p>
    <w:p w14:paraId="213139CF" w14:textId="77777777" w:rsidR="00040383" w:rsidRDefault="00040383" w:rsidP="00040383">
      <w:pPr>
        <w:pStyle w:val="NoSpacing"/>
        <w:ind w:left="720" w:firstLine="60"/>
      </w:pPr>
    </w:p>
    <w:p w14:paraId="78837DB5" w14:textId="77777777" w:rsidR="00040383" w:rsidRPr="00567053" w:rsidRDefault="00040383" w:rsidP="00040383">
      <w:pPr>
        <w:pStyle w:val="NoSpacing"/>
        <w:ind w:firstLine="60"/>
        <w:rPr>
          <w:b/>
          <w:bCs/>
        </w:rPr>
      </w:pPr>
      <w:r>
        <w:rPr>
          <w:b/>
        </w:rPr>
        <w:t xml:space="preserve">Legal lesson learned:  Maryland </w:t>
      </w:r>
      <w:r>
        <w:rPr>
          <w:b/>
          <w:bCs/>
        </w:rPr>
        <w:t xml:space="preserve">has unique </w:t>
      </w:r>
      <w:r>
        <w:rPr>
          <w:b/>
        </w:rPr>
        <w:t>jury trial</w:t>
      </w:r>
      <w:r>
        <w:rPr>
          <w:b/>
          <w:bCs/>
        </w:rPr>
        <w:t xml:space="preserve">s </w:t>
      </w:r>
      <w:r>
        <w:rPr>
          <w:b/>
        </w:rPr>
        <w:t>on worker’s comp claims</w:t>
      </w:r>
      <w:r>
        <w:rPr>
          <w:b/>
          <w:bCs/>
        </w:rPr>
        <w:t xml:space="preserve">. </w:t>
      </w:r>
    </w:p>
    <w:p w14:paraId="677A7BD7" w14:textId="77777777" w:rsidR="00040383" w:rsidRDefault="00040383" w:rsidP="00040383">
      <w:pPr>
        <w:rPr>
          <w:b/>
        </w:rPr>
      </w:pPr>
    </w:p>
    <w:p w14:paraId="2182BDC9" w14:textId="77777777" w:rsidR="00040383" w:rsidRDefault="00040383" w:rsidP="000624FD">
      <w:pPr>
        <w:pStyle w:val="NoSpacing"/>
        <w:rPr>
          <w:rFonts w:ascii="Arial Black" w:hAnsi="Arial Black"/>
          <w:b/>
          <w:sz w:val="28"/>
          <w:szCs w:val="28"/>
        </w:rPr>
      </w:pPr>
    </w:p>
    <w:p w14:paraId="631B1D63" w14:textId="77777777" w:rsidR="00040383" w:rsidRDefault="00040383" w:rsidP="000624FD">
      <w:pPr>
        <w:pStyle w:val="NoSpacing"/>
        <w:rPr>
          <w:rFonts w:ascii="Arial Black" w:hAnsi="Arial Black"/>
          <w:b/>
          <w:sz w:val="28"/>
          <w:szCs w:val="28"/>
        </w:rPr>
      </w:pPr>
    </w:p>
    <w:p w14:paraId="46E247D5" w14:textId="61DC7FAE" w:rsidR="00DE3247" w:rsidRDefault="00040383" w:rsidP="000624FD">
      <w:pPr>
        <w:pStyle w:val="NoSpacing"/>
        <w:rPr>
          <w:rFonts w:ascii="Arial Black" w:hAnsi="Arial Black"/>
          <w:b/>
          <w:sz w:val="28"/>
          <w:szCs w:val="28"/>
        </w:rPr>
      </w:pPr>
      <w:r>
        <w:rPr>
          <w:rFonts w:ascii="Arial Black" w:hAnsi="Arial Black"/>
          <w:b/>
          <w:sz w:val="28"/>
          <w:szCs w:val="28"/>
        </w:rPr>
        <w:t>6-173</w:t>
      </w:r>
    </w:p>
    <w:p w14:paraId="2961EA3B" w14:textId="77777777" w:rsidR="00190EAB" w:rsidRDefault="00190EAB" w:rsidP="000624FD">
      <w:pPr>
        <w:pStyle w:val="NoSpacing"/>
        <w:rPr>
          <w:rFonts w:ascii="Arial Black" w:hAnsi="Arial Black"/>
          <w:b/>
          <w:sz w:val="28"/>
          <w:szCs w:val="28"/>
        </w:rPr>
      </w:pPr>
    </w:p>
    <w:p w14:paraId="69F6602F" w14:textId="77777777" w:rsidR="00190EAB" w:rsidRDefault="00190EAB" w:rsidP="00190EAB">
      <w:pPr>
        <w:pStyle w:val="NoSpacing"/>
        <w:rPr>
          <w:rFonts w:ascii="Arial Black" w:hAnsi="Arial Black"/>
          <w:sz w:val="28"/>
          <w:szCs w:val="28"/>
        </w:rPr>
      </w:pPr>
      <w:r>
        <w:rPr>
          <w:rFonts w:ascii="Arial Black" w:hAnsi="Arial Black"/>
          <w:sz w:val="28"/>
          <w:szCs w:val="28"/>
        </w:rPr>
        <w:t>CA: PENSION “SPIKING” – STANDBY PAY NOT COUNTED</w:t>
      </w:r>
    </w:p>
    <w:p w14:paraId="2BD4DC38" w14:textId="77777777" w:rsidR="00190EAB" w:rsidRDefault="00190EAB" w:rsidP="00190EAB">
      <w:pPr>
        <w:pStyle w:val="NoSpacing"/>
        <w:rPr>
          <w:rFonts w:ascii="Arial Black" w:hAnsi="Arial Black"/>
          <w:sz w:val="28"/>
          <w:szCs w:val="28"/>
        </w:rPr>
      </w:pPr>
    </w:p>
    <w:p w14:paraId="20110E76" w14:textId="77777777" w:rsidR="00190EAB" w:rsidRDefault="00190EAB" w:rsidP="00190EAB">
      <w:pPr>
        <w:pStyle w:val="NoSpacing"/>
      </w:pPr>
      <w:r>
        <w:t xml:space="preserve">On November 13, 2025, in </w:t>
      </w:r>
      <w:r w:rsidRPr="00FC0177">
        <w:rPr>
          <w:u w:val="single"/>
        </w:rPr>
        <w:t>Ventura County Professional Firefighters’ Association, et al. v. Ventura County Employees’ Retirement Association, et al</w:t>
      </w:r>
      <w:r>
        <w:t xml:space="preserve">., the </w:t>
      </w:r>
      <w:r w:rsidRPr="0038538F">
        <w:t>California Court of Appeals, Second District, Sixth Division</w:t>
      </w:r>
      <w:r>
        <w:t xml:space="preserve"> held (3 to 0; unpublished opinion) that pension Board since 2021 stop considering “standby pay” (where they may be called back work in an emergency) in employee pension calculation of their “annual average compensation.”  The state pension law was amended in 2013 to prevent “spiking” – “additional services rendered outside of normal working hours” no longer in pension calculation.  Three firefighter Heavy Equipment Operators, and two firefighter Aviation Managers were hired prior to the 2021 change, and these “legacy” personnel and their union </w:t>
      </w:r>
      <w:r w:rsidRPr="00224E79">
        <w:t>petitioned for a writ of mandamus in the trial court</w:t>
      </w:r>
      <w:r>
        <w:t>. THE COURT WROTE:  “PEPRA revised laws governing pension plans and amended provisions of CERL in response to a rise in ‘spiking’ and other practices used to increase retirement benefits during the representative period…. Among the types of compensation excluded are ‘[p]</w:t>
      </w:r>
      <w:proofErr w:type="spellStart"/>
      <w:r>
        <w:t>ayments</w:t>
      </w:r>
      <w:proofErr w:type="spellEnd"/>
      <w:r>
        <w:t xml:space="preserve"> for additional services rendered outside of normal working hours, whether paid in a lump sum or otherwise.’ (§ 31461, subd. (b)(3).) … T</w:t>
      </w:r>
      <w:r w:rsidRPr="00434C5F">
        <w:t>ime on standby, it must follow, is not</w:t>
      </w:r>
      <w:r>
        <w:t xml:space="preserve"> time appellants are ‘actually’ working under Article 10, but time they agree the </w:t>
      </w:r>
      <w:proofErr w:type="gramStart"/>
      <w:r>
        <w:t>District</w:t>
      </w:r>
      <w:proofErr w:type="gramEnd"/>
      <w:r>
        <w:t xml:space="preserve"> may call them back to work an unspecified number of overtime hours under Article 11…. </w:t>
      </w:r>
      <w:r w:rsidRPr="00E55F32">
        <w:t>Employees</w:t>
      </w:r>
      <w:r>
        <w:t xml:space="preserve"> </w:t>
      </w:r>
      <w:r w:rsidRPr="00E55F32">
        <w:t xml:space="preserve">are paid one quarter of their hourly wage if placed on </w:t>
      </w:r>
      <w:proofErr w:type="gramStart"/>
      <w:r w:rsidRPr="00E55F32">
        <w:t xml:space="preserve">standby </w:t>
      </w:r>
      <w:r>
        <w:t>status</w:t>
      </w:r>
      <w:proofErr w:type="gramEnd"/>
      <w:r>
        <w:t xml:space="preserve"> </w:t>
      </w:r>
      <w:r w:rsidRPr="00E55F32">
        <w:t>by their Duty Chief. If called back to work, they are paid</w:t>
      </w:r>
      <w:r>
        <w:t xml:space="preserve"> </w:t>
      </w:r>
      <w:r w:rsidRPr="00E55F32">
        <w:t>at a predetermined hourly overtime rate</w:t>
      </w:r>
      <w:r>
        <w:t xml:space="preserve">…. The [Pension] Board ratified revised pay codes in May of 2021…. The discretionary nature of standby hours is what requires us to conclude they are not hours ‘ordinarily performed…. We read these provisions as requiring appellants to accept standby </w:t>
      </w:r>
      <w:r w:rsidRPr="001A5C92">
        <w:rPr>
          <w:i/>
          <w:iCs/>
        </w:rPr>
        <w:t xml:space="preserve">if </w:t>
      </w:r>
      <w:r>
        <w:t>assigned and not as expanding their normal work hours. VCERA and the trial court</w:t>
      </w:r>
    </w:p>
    <w:p w14:paraId="49648E99" w14:textId="77777777" w:rsidR="00190EAB" w:rsidRDefault="00190EAB" w:rsidP="00190EAB">
      <w:pPr>
        <w:pStyle w:val="NoSpacing"/>
      </w:pPr>
      <w:r>
        <w:lastRenderedPageBreak/>
        <w:t xml:space="preserve">correctly considered standby—at least as defined in the MOA and Side Letter—as ‘additional services rendered outside of normal working hours.’ (§ 31461, subd. (b)(3).) “ </w:t>
      </w:r>
      <w:hyperlink r:id="rId1046" w:history="1">
        <w:r w:rsidRPr="00583A8C">
          <w:rPr>
            <w:rStyle w:val="Hyperlink"/>
          </w:rPr>
          <w:t>https://www4.courts.ca.gov/opinions/nonpub/B338919.PDF</w:t>
        </w:r>
      </w:hyperlink>
      <w:r>
        <w:t xml:space="preserve"> </w:t>
      </w:r>
    </w:p>
    <w:p w14:paraId="31BF533B" w14:textId="77777777" w:rsidR="00190EAB" w:rsidRDefault="00190EAB" w:rsidP="00190EAB">
      <w:pPr>
        <w:pStyle w:val="NoSpacing"/>
      </w:pPr>
    </w:p>
    <w:p w14:paraId="13E8DB7F" w14:textId="77777777" w:rsidR="00190EAB" w:rsidRDefault="00190EAB" w:rsidP="00190EAB">
      <w:pPr>
        <w:pStyle w:val="NoSpacing"/>
      </w:pPr>
      <w:r>
        <w:t>THE COURT HELD:</w:t>
      </w:r>
    </w:p>
    <w:p w14:paraId="6739618A" w14:textId="77777777" w:rsidR="00190EAB" w:rsidRDefault="00190EAB" w:rsidP="00190EAB">
      <w:pPr>
        <w:pStyle w:val="NoSpacing"/>
      </w:pPr>
    </w:p>
    <w:p w14:paraId="1F5FD323" w14:textId="77777777" w:rsidR="00190EAB" w:rsidRDefault="00190EAB" w:rsidP="00190EAB">
      <w:pPr>
        <w:pStyle w:val="NoSpacing"/>
        <w:ind w:left="720"/>
      </w:pPr>
      <w:r>
        <w:t xml:space="preserve">“VCPFA’s co-appellants are five employees of the </w:t>
      </w:r>
      <w:proofErr w:type="gramStart"/>
      <w:r>
        <w:t>District</w:t>
      </w:r>
      <w:proofErr w:type="gramEnd"/>
      <w:r>
        <w:t>: aviation managers Melvin Lovo and Jeffrey Seabrook, and heavy equipment operators Scott Price, Christopher Beery, and Ryan Winchester. They contribute a portion of every paycheck to VCERA to fund their pension benefits. CERL governs the calculation of VCERA members’ retirement allowances based on a formula comprised of an employee’s: (1) age at retirement; (2) years of service; and (3) final compensation.</w:t>
      </w:r>
    </w:p>
    <w:p w14:paraId="3A339DB0" w14:textId="77777777" w:rsidR="00190EAB" w:rsidRDefault="00190EAB" w:rsidP="00190EAB">
      <w:pPr>
        <w:pStyle w:val="NoSpacing"/>
        <w:ind w:left="720"/>
      </w:pPr>
    </w:p>
    <w:p w14:paraId="693536B6" w14:textId="77777777" w:rsidR="00190EAB" w:rsidRDefault="00190EAB" w:rsidP="00190EAB">
      <w:pPr>
        <w:pStyle w:val="NoSpacing"/>
        <w:ind w:left="720"/>
      </w:pPr>
      <w:r>
        <w:t>***</w:t>
      </w:r>
    </w:p>
    <w:p w14:paraId="3980D2C9" w14:textId="77777777" w:rsidR="00190EAB" w:rsidRDefault="00190EAB" w:rsidP="00190EAB">
      <w:pPr>
        <w:pStyle w:val="NoSpacing"/>
        <w:ind w:left="720"/>
      </w:pPr>
      <w:r>
        <w:t>Appellants are ‘legacy’ members of VCERA because they were employed by the county prior to the enactment of PEPRA in 2013…. EPRA revised laws governing pension plans and amended provisions of CERL in response to a rise in ‘spiking’ and other practices used to increase retirement benefits during the representative period.</w:t>
      </w:r>
    </w:p>
    <w:p w14:paraId="1E234DBA" w14:textId="77777777" w:rsidR="00190EAB" w:rsidRDefault="00190EAB" w:rsidP="00190EAB">
      <w:pPr>
        <w:pStyle w:val="NoSpacing"/>
        <w:ind w:left="720"/>
      </w:pPr>
    </w:p>
    <w:p w14:paraId="4B6990D7" w14:textId="77777777" w:rsidR="00190EAB" w:rsidRDefault="00190EAB" w:rsidP="00190EAB">
      <w:pPr>
        <w:pStyle w:val="NoSpacing"/>
        <w:ind w:left="720"/>
      </w:pPr>
      <w:r>
        <w:t>***</w:t>
      </w:r>
    </w:p>
    <w:p w14:paraId="2BE671C2" w14:textId="77777777" w:rsidR="00190EAB" w:rsidRDefault="00190EAB" w:rsidP="00190EAB">
      <w:pPr>
        <w:pStyle w:val="NoSpacing"/>
        <w:ind w:left="720"/>
      </w:pPr>
    </w:p>
    <w:p w14:paraId="42A6D74C" w14:textId="77777777" w:rsidR="00190EAB" w:rsidRDefault="00190EAB" w:rsidP="00190EAB">
      <w:pPr>
        <w:pStyle w:val="NoSpacing"/>
        <w:ind w:left="720"/>
      </w:pPr>
      <w:r>
        <w:t xml:space="preserve">The MOA does not differentiate between different types of standby. Appellants assert that in practice there are two types: (1) ‘ad hoc’ standby worked at the Duty Chief’s discretion when emergency conditions were forecasted; and (2) ‘scheduled’ standby that is ‘assigned, regular, and reoccurring, mandatory, and part of an employee’s normal working hours.” They allege the </w:t>
      </w:r>
      <w:proofErr w:type="gramStart"/>
      <w:r>
        <w:t>District</w:t>
      </w:r>
      <w:proofErr w:type="gramEnd"/>
      <w:r>
        <w:t xml:space="preserve"> requires them ‘to be on standby for a certain number of days each month as part of their normal </w:t>
      </w:r>
      <w:proofErr w:type="gramStart"/>
      <w:r>
        <w:t>schedules’</w:t>
      </w:r>
      <w:proofErr w:type="gramEnd"/>
      <w:r>
        <w:t xml:space="preserve"> because they have specialized skills. ‘Heavy Equipment Operator[s]’ work ‘a minimum’ of two days per week and seven days per three-week period. ‘ Aviation Manager[s]/ work an additional</w:t>
      </w:r>
    </w:p>
    <w:p w14:paraId="159E64D1" w14:textId="77777777" w:rsidR="00190EAB" w:rsidRDefault="00190EAB" w:rsidP="00190EAB">
      <w:pPr>
        <w:pStyle w:val="NoSpacing"/>
        <w:ind w:left="720"/>
      </w:pPr>
      <w:r>
        <w:t>eight hours of standby after each shift.”</w:t>
      </w:r>
    </w:p>
    <w:p w14:paraId="788E501B" w14:textId="77777777" w:rsidR="00190EAB" w:rsidRDefault="00190EAB" w:rsidP="00190EAB">
      <w:pPr>
        <w:pStyle w:val="NoSpacing"/>
        <w:ind w:firstLine="720"/>
      </w:pPr>
    </w:p>
    <w:p w14:paraId="06A42621" w14:textId="77777777" w:rsidR="00190EAB" w:rsidRPr="00CD2147" w:rsidRDefault="00190EAB" w:rsidP="00190EAB">
      <w:pPr>
        <w:pStyle w:val="NoSpacing"/>
        <w:rPr>
          <w:b/>
          <w:bCs/>
        </w:rPr>
      </w:pPr>
      <w:r>
        <w:rPr>
          <w:b/>
        </w:rPr>
        <w:t xml:space="preserve">Legal lesson learned: California law was amended in 2013 because of pension “spiking” – </w:t>
      </w:r>
      <w:r w:rsidRPr="00CD2147">
        <w:rPr>
          <w:b/>
        </w:rPr>
        <w:t>“additional services rendered outside of normal working hours” not in calculation of average annual compensation.</w:t>
      </w:r>
    </w:p>
    <w:p w14:paraId="04100214" w14:textId="77777777" w:rsidR="00190EAB" w:rsidRDefault="00190EAB" w:rsidP="000624FD">
      <w:pPr>
        <w:pStyle w:val="NoSpacing"/>
        <w:rPr>
          <w:rFonts w:ascii="Arial Black" w:hAnsi="Arial Black"/>
          <w:b/>
          <w:sz w:val="28"/>
          <w:szCs w:val="28"/>
        </w:rPr>
      </w:pPr>
    </w:p>
    <w:p w14:paraId="4185E707" w14:textId="77777777" w:rsidR="00190EAB" w:rsidRDefault="00190EAB" w:rsidP="000624FD">
      <w:pPr>
        <w:pStyle w:val="NoSpacing"/>
        <w:rPr>
          <w:rFonts w:ascii="Arial Black" w:hAnsi="Arial Black"/>
          <w:b/>
          <w:sz w:val="28"/>
          <w:szCs w:val="28"/>
        </w:rPr>
      </w:pPr>
    </w:p>
    <w:p w14:paraId="2513789F" w14:textId="77777777" w:rsidR="00190EAB" w:rsidRDefault="00190EAB" w:rsidP="000624FD">
      <w:pPr>
        <w:pStyle w:val="NoSpacing"/>
        <w:rPr>
          <w:rFonts w:ascii="Arial Black" w:hAnsi="Arial Black"/>
          <w:b/>
          <w:sz w:val="28"/>
          <w:szCs w:val="28"/>
        </w:rPr>
      </w:pPr>
    </w:p>
    <w:p w14:paraId="6A9ED24A" w14:textId="77777777" w:rsidR="00190EAB" w:rsidRDefault="00190EAB" w:rsidP="000624FD">
      <w:pPr>
        <w:pStyle w:val="NoSpacing"/>
        <w:rPr>
          <w:rFonts w:ascii="Arial Black" w:hAnsi="Arial Black"/>
          <w:b/>
          <w:sz w:val="28"/>
          <w:szCs w:val="28"/>
        </w:rPr>
      </w:pPr>
    </w:p>
    <w:p w14:paraId="0EFFD7B3" w14:textId="77777777" w:rsidR="00040383" w:rsidRDefault="00040383" w:rsidP="000624FD">
      <w:pPr>
        <w:pStyle w:val="NoSpacing"/>
        <w:rPr>
          <w:rFonts w:ascii="Arial Black" w:hAnsi="Arial Black"/>
          <w:b/>
          <w:sz w:val="28"/>
          <w:szCs w:val="28"/>
        </w:rPr>
      </w:pPr>
    </w:p>
    <w:p w14:paraId="4D41564F" w14:textId="3EF1D647" w:rsidR="00DE3247" w:rsidRDefault="005646A1" w:rsidP="000624FD">
      <w:pPr>
        <w:pStyle w:val="NoSpacing"/>
        <w:rPr>
          <w:rFonts w:ascii="Arial Black" w:hAnsi="Arial Black"/>
          <w:b/>
          <w:sz w:val="28"/>
          <w:szCs w:val="28"/>
        </w:rPr>
      </w:pPr>
      <w:r>
        <w:rPr>
          <w:rFonts w:ascii="Arial Black" w:hAnsi="Arial Black"/>
          <w:b/>
          <w:sz w:val="28"/>
          <w:szCs w:val="28"/>
        </w:rPr>
        <w:t>6-17</w:t>
      </w:r>
      <w:r w:rsidR="002A0697">
        <w:rPr>
          <w:rFonts w:ascii="Arial Black" w:hAnsi="Arial Black"/>
          <w:b/>
          <w:sz w:val="28"/>
          <w:szCs w:val="28"/>
        </w:rPr>
        <w:t>2</w:t>
      </w:r>
    </w:p>
    <w:p w14:paraId="186CA53D" w14:textId="77777777" w:rsidR="005646A1" w:rsidRDefault="005646A1" w:rsidP="000624FD">
      <w:pPr>
        <w:pStyle w:val="NoSpacing"/>
        <w:rPr>
          <w:rFonts w:ascii="Arial Black" w:hAnsi="Arial Black"/>
          <w:b/>
          <w:sz w:val="28"/>
          <w:szCs w:val="28"/>
        </w:rPr>
      </w:pPr>
    </w:p>
    <w:p w14:paraId="07CE58F2" w14:textId="3F774473" w:rsidR="00FC5BB1" w:rsidRPr="00244855" w:rsidRDefault="00FC5BB1" w:rsidP="00FC5BB1">
      <w:pPr>
        <w:pStyle w:val="NoSpacing"/>
        <w:rPr>
          <w:rFonts w:ascii="Arial Black" w:hAnsi="Arial Black"/>
          <w:sz w:val="28"/>
          <w:szCs w:val="28"/>
        </w:rPr>
      </w:pPr>
      <w:r>
        <w:rPr>
          <w:rFonts w:ascii="Arial Black" w:hAnsi="Arial Black"/>
          <w:sz w:val="28"/>
          <w:szCs w:val="28"/>
        </w:rPr>
        <w:t xml:space="preserve">AZ: BRAIN CANCER – WORK COMP </w:t>
      </w:r>
      <w:r w:rsidR="005C48CA">
        <w:rPr>
          <w:rFonts w:ascii="Arial Black" w:hAnsi="Arial Black"/>
          <w:sz w:val="28"/>
          <w:szCs w:val="28"/>
        </w:rPr>
        <w:t>COVERAGE</w:t>
      </w:r>
    </w:p>
    <w:p w14:paraId="1236FD41" w14:textId="77777777" w:rsidR="00FC5BB1" w:rsidRDefault="00FC5BB1" w:rsidP="00FC5BB1">
      <w:pPr>
        <w:pStyle w:val="NoSpacing"/>
      </w:pPr>
    </w:p>
    <w:p w14:paraId="629E6913" w14:textId="77777777" w:rsidR="00FC5BB1" w:rsidRPr="009327ED" w:rsidRDefault="00FC5BB1" w:rsidP="00FC5BB1">
      <w:pPr>
        <w:pStyle w:val="NoSpacing"/>
      </w:pPr>
      <w:r>
        <w:t xml:space="preserve">On Oct. 31, 2025, in </w:t>
      </w:r>
      <w:r w:rsidRPr="008559F1">
        <w:rPr>
          <w:u w:val="single"/>
        </w:rPr>
        <w:t>Robert Vande Krol v. The Industrial Commission of Arizona, et al</w:t>
      </w:r>
      <w:r>
        <w:t xml:space="preserve">., the </w:t>
      </w:r>
      <w:r w:rsidRPr="009327ED">
        <w:t>Court of Appeals of Arizona, First Division</w:t>
      </w:r>
      <w:r>
        <w:t xml:space="preserve"> held (3 to 1, unpublished opinion) that the medically retired firefighter from Superstition Fire Department was entitled to workers comp. by showing that </w:t>
      </w:r>
      <w:r w:rsidRPr="00C23189">
        <w:t>carcinogen</w:t>
      </w:r>
      <w:r>
        <w:t>s to which he was exposed could lead to brain cancer in general – no need to prove cause his specific type of cancer (</w:t>
      </w:r>
      <w:r w:rsidRPr="00EC6245">
        <w:t>oligodendroglioma,</w:t>
      </w:r>
      <w:r>
        <w:t xml:space="preserve">). In August 2000 as part of annual physical, a tumor </w:t>
      </w:r>
      <w:proofErr w:type="gramStart"/>
      <w:r>
        <w:t>was located in</w:t>
      </w:r>
      <w:proofErr w:type="gramEnd"/>
      <w:r>
        <w:t xml:space="preserve"> brain of this 18-year firefighter. </w:t>
      </w:r>
      <w:r w:rsidRPr="00EC6245">
        <w:t xml:space="preserve">In October 2020, Vande Krol underwent brain surgery (a right craniotomy), which successfully removed the tumor. Thereafter, </w:t>
      </w:r>
      <w:r>
        <w:t xml:space="preserve">he </w:t>
      </w:r>
      <w:r w:rsidRPr="00EC6245">
        <w:t>was diagnosed with oligodendroglioma, a rare form of brain cancer. After surgery, Vande Krol lost peripheral vision in his left eye, and he now suffers cognitive impairment, vertigo, headaches, and muscle weakness</w:t>
      </w:r>
      <w:r>
        <w:t xml:space="preserve">, and was required to take medical </w:t>
      </w:r>
      <w:r w:rsidRPr="00EC6245">
        <w:t xml:space="preserve"> retirement. </w:t>
      </w:r>
      <w:r>
        <w:t xml:space="preserve"> </w:t>
      </w:r>
      <w:hyperlink r:id="rId1047" w:history="1">
        <w:r w:rsidRPr="00822BB2">
          <w:rPr>
            <w:rStyle w:val="Hyperlink"/>
          </w:rPr>
          <w:t>https://public.fastcase.com/jaEE2PXzRXmZ99jOLMt1IiCZZZpteOfluZOkYG3wMviTSniVMo5h4kc4WRTpe6V8Jg8IM7MTKJ5SfgRKhZGl2tVI6P4U%2BnkSaEwO2dzM8Rk%3D?utm_medium=email&amp;_hsenc=p2ANqtz--UPexxOwqhUZNftyKJhb3R-</w:t>
        </w:r>
        <w:r w:rsidRPr="00822BB2">
          <w:rPr>
            <w:rStyle w:val="Hyperlink"/>
          </w:rPr>
          <w:lastRenderedPageBreak/>
          <w:t>qXmsyD2qvqkoufxMeh6uEfEbZVRIKhd7hzivD-PUaEhi0YeikRdDbC9teuqS6ORoDRaLQ&amp;_hsmi=226712652&amp;utm_content=226712652&amp;utm_source=hs_email</w:t>
        </w:r>
      </w:hyperlink>
      <w:r>
        <w:t xml:space="preserve"> </w:t>
      </w:r>
    </w:p>
    <w:p w14:paraId="7231DC29" w14:textId="77777777" w:rsidR="00FC5BB1" w:rsidRDefault="00FC5BB1" w:rsidP="00FC5BB1">
      <w:pPr>
        <w:pStyle w:val="NoSpacing"/>
      </w:pPr>
    </w:p>
    <w:p w14:paraId="7DD7FE10" w14:textId="77777777" w:rsidR="00FC5BB1" w:rsidRDefault="00FC5BB1" w:rsidP="00FC5BB1">
      <w:pPr>
        <w:pStyle w:val="NoSpacing"/>
      </w:pPr>
      <w:r>
        <w:t>THE COURT HELD:</w:t>
      </w:r>
    </w:p>
    <w:p w14:paraId="623A9EAD" w14:textId="77777777" w:rsidR="00FC5BB1" w:rsidRDefault="00FC5BB1" w:rsidP="00FC5BB1">
      <w:pPr>
        <w:pStyle w:val="NoSpacing"/>
        <w:ind w:left="720"/>
      </w:pPr>
    </w:p>
    <w:p w14:paraId="7DE63E37" w14:textId="77777777" w:rsidR="00FC5BB1" w:rsidRDefault="00FC5BB1" w:rsidP="00FC5BB1">
      <w:pPr>
        <w:pStyle w:val="NoSpacing"/>
        <w:ind w:left="720"/>
      </w:pPr>
      <w:r>
        <w:t>“V</w:t>
      </w:r>
      <w:r w:rsidRPr="00A43411">
        <w:t>ande Krol filed a workers' compensation claim with Superstition's insurer, Benchmark Insurance Company ("Benchmark"), stating that his brain cancer was a covered occupational disease. Benchmark denied the claim, so Vande Krol requested a hearing before an ALJ</w:t>
      </w:r>
      <w:r>
        <w:t>.</w:t>
      </w:r>
    </w:p>
    <w:p w14:paraId="04EDCF5A" w14:textId="77777777" w:rsidR="00FC5BB1" w:rsidRDefault="00FC5BB1" w:rsidP="00FC5BB1">
      <w:pPr>
        <w:pStyle w:val="NoSpacing"/>
        <w:ind w:left="720"/>
      </w:pPr>
    </w:p>
    <w:p w14:paraId="32385D7A" w14:textId="77777777" w:rsidR="00FC5BB1" w:rsidRDefault="00FC5BB1" w:rsidP="00FC5BB1">
      <w:pPr>
        <w:pStyle w:val="NoSpacing"/>
        <w:ind w:left="720"/>
      </w:pPr>
      <w:r>
        <w:t>***</w:t>
      </w:r>
    </w:p>
    <w:p w14:paraId="3766EA7C" w14:textId="77777777" w:rsidR="00FC5BB1" w:rsidRDefault="00FC5BB1" w:rsidP="00FC5BB1">
      <w:pPr>
        <w:pStyle w:val="NoSpacing"/>
      </w:pPr>
    </w:p>
    <w:p w14:paraId="023E76BC" w14:textId="77777777" w:rsidR="00FC5BB1" w:rsidRDefault="00FC5BB1" w:rsidP="00FC5BB1">
      <w:pPr>
        <w:pStyle w:val="NoSpacing"/>
        <w:ind w:left="720"/>
      </w:pPr>
      <w:r w:rsidRPr="00BA15B4">
        <w:t xml:space="preserve">At the hearing, the ALJ </w:t>
      </w:r>
      <w:r>
        <w:t xml:space="preserve">[Administrative Law Judge] </w:t>
      </w:r>
      <w:r w:rsidRPr="00BA15B4">
        <w:t xml:space="preserve">heard testimony from Vande Krol and two medical experts. Dr. Smith, a former firefighter and current physician, testified for Vande Krol. He opined that the </w:t>
      </w:r>
      <w:r>
        <w:t>‘</w:t>
      </w:r>
      <w:r w:rsidRPr="00BA15B4">
        <w:t>probable cause</w:t>
      </w:r>
      <w:r>
        <w:t>’</w:t>
      </w:r>
      <w:r w:rsidRPr="00BA15B4">
        <w:t xml:space="preserve"> of Vande Krol's brain cancer was a combination of exposure to (1) the byproducts of combustion from fires, (2) firefighting foam, (3) diesel fumes, and (4) radiation emitted from the cell tower near his fire station.</w:t>
      </w:r>
    </w:p>
    <w:p w14:paraId="315DBC0D" w14:textId="77777777" w:rsidR="00FC5BB1" w:rsidRDefault="00FC5BB1" w:rsidP="00FC5BB1">
      <w:pPr>
        <w:pStyle w:val="NoSpacing"/>
      </w:pPr>
    </w:p>
    <w:p w14:paraId="74040993" w14:textId="77777777" w:rsidR="00FC5BB1" w:rsidRDefault="00FC5BB1" w:rsidP="00FC5BB1">
      <w:pPr>
        <w:pStyle w:val="NoSpacing"/>
        <w:ind w:left="720"/>
      </w:pPr>
      <w:r w:rsidRPr="00727F96">
        <w:t xml:space="preserve">Dr. Peter Ferrara, a surgical oncologist, testified </w:t>
      </w:r>
      <w:proofErr w:type="gramStart"/>
      <w:r w:rsidRPr="00727F96">
        <w:t>for</w:t>
      </w:r>
      <w:proofErr w:type="gramEnd"/>
      <w:r w:rsidRPr="00727F96">
        <w:t xml:space="preserve"> Superstition and Benchmark (together, "Respondents"). Dr. Ferrara testified that the only </w:t>
      </w:r>
      <w:r>
        <w:t>‘</w:t>
      </w:r>
      <w:r w:rsidRPr="00727F96">
        <w:t xml:space="preserve">definite </w:t>
      </w:r>
      <w:proofErr w:type="spellStart"/>
      <w:r w:rsidRPr="00727F96">
        <w:t>caus</w:t>
      </w:r>
      <w:proofErr w:type="spellEnd"/>
      <w:r w:rsidRPr="00727F96">
        <w:t xml:space="preserve">[e] of brain </w:t>
      </w:r>
      <w:proofErr w:type="gramStart"/>
      <w:r w:rsidRPr="00727F96">
        <w:t>cancers</w:t>
      </w:r>
      <w:proofErr w:type="gramEnd"/>
      <w:r w:rsidRPr="00727F96">
        <w:t xml:space="preserve"> is ionizing radiation,</w:t>
      </w:r>
      <w:r>
        <w:t>’</w:t>
      </w:r>
      <w:r w:rsidRPr="00727F96">
        <w:t xml:space="preserve"> and there was no evidence of such exposure. Dr. Ferrara said he could not opine to a </w:t>
      </w:r>
      <w:r>
        <w:t>‘</w:t>
      </w:r>
      <w:r w:rsidRPr="00727F96">
        <w:t>reasonable degree of medical probability</w:t>
      </w:r>
      <w:r>
        <w:t>’</w:t>
      </w:r>
      <w:r w:rsidRPr="00727F96">
        <w:t xml:space="preserve"> that Vande Krol's exposure to any carcinogens commonly associated with firefighting were related to his </w:t>
      </w:r>
      <w:r>
        <w:t>‘</w:t>
      </w:r>
      <w:r w:rsidRPr="00727F96">
        <w:t>type of brain cancer.</w:t>
      </w:r>
      <w:r>
        <w:t>’</w:t>
      </w:r>
    </w:p>
    <w:p w14:paraId="59F04EDA" w14:textId="77777777" w:rsidR="00FC5BB1" w:rsidRDefault="00FC5BB1" w:rsidP="00FC5BB1">
      <w:pPr>
        <w:pStyle w:val="NoSpacing"/>
        <w:ind w:left="720"/>
      </w:pPr>
    </w:p>
    <w:p w14:paraId="730DE42C" w14:textId="77777777" w:rsidR="00FC5BB1" w:rsidRPr="00E571B4" w:rsidRDefault="00FC5BB1" w:rsidP="00FC5BB1">
      <w:pPr>
        <w:pStyle w:val="NoSpacing"/>
        <w:ind w:left="720"/>
      </w:pPr>
      <w:r>
        <w:t>***</w:t>
      </w:r>
    </w:p>
    <w:p w14:paraId="76F76A29" w14:textId="77777777" w:rsidR="00FC5BB1" w:rsidRDefault="00FC5BB1" w:rsidP="00FC5BB1">
      <w:pPr>
        <w:pStyle w:val="NoSpacing"/>
      </w:pPr>
    </w:p>
    <w:p w14:paraId="0CB0A29B" w14:textId="77777777" w:rsidR="00FC5BB1" w:rsidRDefault="00FC5BB1" w:rsidP="00FC5BB1">
      <w:pPr>
        <w:pStyle w:val="NoSpacing"/>
        <w:ind w:left="720"/>
      </w:pPr>
      <w:r w:rsidRPr="00B875CD">
        <w:t>The ALJ determined Vande Krol satisfied the requirements of A.R.S. § 23-901.01(C), save for one. Based on the ALJ's interpretation of A.R.S. § 23-901.01(C)(3), she concluded Vande Krol failed to prove that his exposure to a specific carcinogen caused his specific type of brain cancer (oligodendroglioma). And, because Vande Krol had not made that showing, the ALJ concluded Vande Krol had not suffered a compensable injury entitling him to compensation.</w:t>
      </w:r>
    </w:p>
    <w:p w14:paraId="6F5AC396" w14:textId="77777777" w:rsidR="00FC5BB1" w:rsidRDefault="00FC5BB1" w:rsidP="00FC5BB1">
      <w:pPr>
        <w:pStyle w:val="NoSpacing"/>
        <w:ind w:left="720"/>
      </w:pPr>
    </w:p>
    <w:p w14:paraId="080E42F0" w14:textId="77777777" w:rsidR="00FC5BB1" w:rsidRDefault="00FC5BB1" w:rsidP="00FC5BB1">
      <w:pPr>
        <w:pStyle w:val="NoSpacing"/>
        <w:ind w:left="720"/>
      </w:pPr>
      <w:r>
        <w:t>***</w:t>
      </w:r>
    </w:p>
    <w:p w14:paraId="262AA4F7" w14:textId="77777777" w:rsidR="00FC5BB1" w:rsidRDefault="00FC5BB1" w:rsidP="00FC5BB1">
      <w:pPr>
        <w:pStyle w:val="NoSpacing"/>
        <w:ind w:left="720"/>
      </w:pPr>
      <w:r w:rsidRPr="00006D2F">
        <w:t xml:space="preserve">Beginning in 2001, Arizona joined a growing number of states to enact a statutory presumption easing causation for firefighters with certain cancers. </w:t>
      </w:r>
      <w:r w:rsidRPr="00006D2F">
        <w:rPr>
          <w:i/>
          <w:iCs/>
        </w:rPr>
        <w:t>See</w:t>
      </w:r>
      <w:r w:rsidRPr="00006D2F">
        <w:t xml:space="preserve"> A.R.S. §§ 23-901.01(B)-(E) (2001); 2001 Ariz. Sess. Laws ch. 192, § 1 (1st Reg. Sess.)</w:t>
      </w:r>
      <w:r>
        <w:t xml:space="preserve">… </w:t>
      </w:r>
      <w:r w:rsidRPr="008D1591">
        <w:t xml:space="preserve">Applying our interpretation, Vande Krol's claim is subject to the presumption in (B)(1) because (everyone agrees) he had brain cancer. Under (C)(3), Vande Krol had to prove that a carcinogen or </w:t>
      </w:r>
      <w:proofErr w:type="gramStart"/>
      <w:r w:rsidRPr="008D1591">
        <w:t>carcinogens</w:t>
      </w:r>
      <w:proofErr w:type="gramEnd"/>
      <w:r w:rsidRPr="008D1591">
        <w:t xml:space="preserve"> to which he was exposed is reasonably related to the type of cancer making him eligible under (B)(1)-namely, brain cancer. He was not required to show that the carcinogens are reasonably related to some specific type, or subset, of brain cancer, like oligodendroglioma.</w:t>
      </w:r>
    </w:p>
    <w:p w14:paraId="4D075EE9" w14:textId="77777777" w:rsidR="00FC5BB1" w:rsidRDefault="00FC5BB1" w:rsidP="00FC5BB1">
      <w:pPr>
        <w:pStyle w:val="NoSpacing"/>
        <w:ind w:left="720"/>
      </w:pPr>
    </w:p>
    <w:p w14:paraId="2ED0FFEA" w14:textId="77777777" w:rsidR="00FC5BB1" w:rsidRDefault="00FC5BB1" w:rsidP="00FC5BB1">
      <w:pPr>
        <w:pStyle w:val="NoSpacing"/>
        <w:ind w:left="720"/>
      </w:pPr>
      <w:r>
        <w:t>***</w:t>
      </w:r>
    </w:p>
    <w:p w14:paraId="22F683BC" w14:textId="77777777" w:rsidR="00FC5BB1" w:rsidRDefault="00FC5BB1" w:rsidP="00FC5BB1">
      <w:pPr>
        <w:pStyle w:val="NoSpacing"/>
        <w:ind w:left="720"/>
      </w:pPr>
      <w:r w:rsidRPr="00AA1DB1">
        <w:t xml:space="preserve">We conclude that, under (C)(3), a firefighter need not show that his exposure to a carcinogen is reasonably related to his specific type of brain cancer. Instead, he must show that a carcinogen to which he was exposed is reasonably related to brain cancer </w:t>
      </w:r>
      <w:proofErr w:type="gramStart"/>
      <w:r w:rsidRPr="00AA1DB1">
        <w:t>generally.</w:t>
      </w:r>
      <w:r>
        <w:t>”</w:t>
      </w:r>
      <w:proofErr w:type="gramEnd"/>
    </w:p>
    <w:p w14:paraId="662880F6" w14:textId="77777777" w:rsidR="00FC5BB1" w:rsidRDefault="00FC5BB1" w:rsidP="00FC5BB1">
      <w:pPr>
        <w:pStyle w:val="NoSpacing"/>
        <w:ind w:left="720"/>
      </w:pPr>
    </w:p>
    <w:p w14:paraId="3AE84A04" w14:textId="1C657DB8" w:rsidR="00FC5BB1" w:rsidRDefault="00FC5BB1" w:rsidP="00FC5BB1">
      <w:pPr>
        <w:pStyle w:val="NoSpacing"/>
        <w:rPr>
          <w:b/>
          <w:bCs/>
        </w:rPr>
      </w:pPr>
      <w:r>
        <w:rPr>
          <w:b/>
        </w:rPr>
        <w:t xml:space="preserve">Lesson learned: Great decision, after a lengthy legal battle – Jan. 2021 claim; appeal to Court of Appeals, then to Arizona Supreme Court, and remand to Court of Appeals.  </w:t>
      </w:r>
    </w:p>
    <w:p w14:paraId="7C6C3D76" w14:textId="77777777" w:rsidR="00FC5BB1" w:rsidRDefault="00FC5BB1" w:rsidP="00FC5BB1">
      <w:pPr>
        <w:pStyle w:val="NoSpacing"/>
        <w:rPr>
          <w:b/>
          <w:bCs/>
        </w:rPr>
      </w:pPr>
    </w:p>
    <w:p w14:paraId="5F7ED90B" w14:textId="77777777" w:rsidR="00FC5BB1" w:rsidRPr="000F1AB9" w:rsidRDefault="00FC5BB1" w:rsidP="00FC5BB1">
      <w:pPr>
        <w:pStyle w:val="NoSpacing"/>
        <w:ind w:left="720"/>
      </w:pPr>
      <w:r w:rsidRPr="000F1AB9">
        <w:t xml:space="preserve">Note: On March 26, </w:t>
      </w:r>
      <w:proofErr w:type="gramStart"/>
      <w:r w:rsidRPr="000F1AB9">
        <w:t>2025</w:t>
      </w:r>
      <w:proofErr w:type="gramEnd"/>
      <w:r w:rsidRPr="000F1AB9">
        <w:t xml:space="preserve"> the Arizona Supreme Court (6 to 1): We hold that the 2017 statute applies to Vande Krol’s workers’ compensation claim. We vacate the court of appeals’ opinion. Because the court of appeals concluded that the 2021 statute applied, it did “not address whether the ALJ correctly interpreted the 2017 statute.”</w:t>
      </w:r>
      <w:r w:rsidRPr="003205D0">
        <w:t xml:space="preserve"> </w:t>
      </w:r>
      <w:hyperlink r:id="rId1048" w:history="1">
        <w:r w:rsidRPr="00822BB2">
          <w:rPr>
            <w:rStyle w:val="Hyperlink"/>
          </w:rPr>
          <w:t>https://cases.justia.com/arizona/supreme-court/2025-cv-23-0211-pr.pdf?ts=1743008459</w:t>
        </w:r>
      </w:hyperlink>
      <w:r>
        <w:t xml:space="preserve"> </w:t>
      </w:r>
    </w:p>
    <w:p w14:paraId="20595A88" w14:textId="77777777" w:rsidR="00FC5BB1" w:rsidRDefault="00FC5BB1" w:rsidP="00FC5BB1">
      <w:pPr>
        <w:pStyle w:val="NoSpacing"/>
        <w:ind w:left="720"/>
      </w:pPr>
    </w:p>
    <w:p w14:paraId="1EF2DD96" w14:textId="77777777" w:rsidR="00FC5BB1" w:rsidRDefault="00FC5BB1" w:rsidP="00FC5BB1">
      <w:pPr>
        <w:pStyle w:val="NoSpacing"/>
        <w:ind w:left="720"/>
        <w:rPr>
          <w:b/>
          <w:bCs/>
        </w:rPr>
      </w:pPr>
      <w:r w:rsidRPr="00F87F8E">
        <w:lastRenderedPageBreak/>
        <w:t>Then,</w:t>
      </w:r>
      <w:r>
        <w:t xml:space="preserve"> </w:t>
      </w:r>
      <w:r w:rsidRPr="00F87F8E">
        <w:t xml:space="preserve">in 2021, the legislature relaxed the burden on firefighters to establish </w:t>
      </w:r>
      <w:proofErr w:type="gramStart"/>
      <w:r w:rsidRPr="00F87F8E">
        <w:t>the</w:t>
      </w:r>
      <w:r>
        <w:t xml:space="preserve"> </w:t>
      </w:r>
      <w:r w:rsidRPr="00F87F8E">
        <w:t>statutory</w:t>
      </w:r>
      <w:proofErr w:type="gramEnd"/>
      <w:r w:rsidRPr="00F87F8E">
        <w:t xml:space="preserve"> presumption </w:t>
      </w:r>
      <w:proofErr w:type="gramStart"/>
      <w:r w:rsidRPr="00F87F8E">
        <w:t>and also</w:t>
      </w:r>
      <w:proofErr w:type="gramEnd"/>
      <w:r w:rsidRPr="00F87F8E">
        <w:t xml:space="preserve"> heightened the evidentiary standard </w:t>
      </w:r>
      <w:r>
        <w:t xml:space="preserve">for an employer seeking </w:t>
      </w:r>
      <w:r w:rsidRPr="00F87F8E">
        <w:t>to</w:t>
      </w:r>
      <w:r>
        <w:t xml:space="preserve"> </w:t>
      </w:r>
      <w:r w:rsidRPr="00F87F8E">
        <w:t>rebut the presumption. A.R.S. § 23-901.09 (2021) (effective Sept. 29, 2021)</w:t>
      </w:r>
      <w:r>
        <w:t xml:space="preserve"> </w:t>
      </w:r>
      <w:r w:rsidRPr="00F87F8E">
        <w:t>(“2021 statute”); 2021 Ariz. Sess. Laws ch. 229, §§ 5–6 (1st Reg. Sess.).</w:t>
      </w:r>
    </w:p>
    <w:p w14:paraId="662B9696" w14:textId="77777777" w:rsidR="00FC5BB1" w:rsidRDefault="00FC5BB1" w:rsidP="00FC5BB1">
      <w:pPr>
        <w:pStyle w:val="NoSpacing"/>
        <w:rPr>
          <w:b/>
          <w:bCs/>
        </w:rPr>
      </w:pPr>
    </w:p>
    <w:p w14:paraId="313CE331" w14:textId="77777777" w:rsidR="00FC5BB1" w:rsidRDefault="00FC5BB1" w:rsidP="00FC5BB1">
      <w:pPr>
        <w:pStyle w:val="NoSpacing"/>
        <w:ind w:left="720"/>
      </w:pPr>
      <w:r>
        <w:t xml:space="preserve">See March 26, </w:t>
      </w:r>
      <w:proofErr w:type="gramStart"/>
      <w:r>
        <w:t>2025</w:t>
      </w:r>
      <w:proofErr w:type="gramEnd"/>
      <w:r>
        <w:t xml:space="preserve"> article: </w:t>
      </w:r>
      <w:r w:rsidRPr="003812BA">
        <w:t xml:space="preserve">“Arizona Supreme Court rules in favor of firefighter in compensation claim.” </w:t>
      </w:r>
      <w:hyperlink r:id="rId1049" w:history="1">
        <w:r w:rsidRPr="00822BB2">
          <w:rPr>
            <w:rStyle w:val="Hyperlink"/>
          </w:rPr>
          <w:t>https://www.kvoa.com/news/arizona/arizona-supreme-court-rules-in-favor-of-firefighter-in-compensation-claim/article_63a696b0-5894-4bcc-94e3-966091411b00.html</w:t>
        </w:r>
      </w:hyperlink>
      <w:r>
        <w:t xml:space="preserve"> </w:t>
      </w:r>
    </w:p>
    <w:p w14:paraId="07E49B75" w14:textId="77777777" w:rsidR="00FC5BB1" w:rsidRDefault="00FC5BB1" w:rsidP="00FC5BB1">
      <w:pPr>
        <w:pStyle w:val="NoSpacing"/>
        <w:ind w:left="720"/>
      </w:pPr>
    </w:p>
    <w:p w14:paraId="682C8402" w14:textId="77777777" w:rsidR="00FC5BB1" w:rsidRDefault="00FC5BB1" w:rsidP="00FC5BB1">
      <w:pPr>
        <w:pStyle w:val="NoSpacing"/>
        <w:ind w:left="720"/>
      </w:pPr>
    </w:p>
    <w:p w14:paraId="30F7060A" w14:textId="6669CB98" w:rsidR="005646A1" w:rsidRDefault="00FC5BB1" w:rsidP="000624FD">
      <w:pPr>
        <w:pStyle w:val="NoSpacing"/>
        <w:rPr>
          <w:rFonts w:ascii="Arial Black" w:hAnsi="Arial Black"/>
          <w:b/>
          <w:sz w:val="28"/>
          <w:szCs w:val="28"/>
        </w:rPr>
      </w:pPr>
      <w:r>
        <w:rPr>
          <w:rFonts w:ascii="Arial Black" w:hAnsi="Arial Black"/>
          <w:b/>
          <w:sz w:val="28"/>
          <w:szCs w:val="28"/>
        </w:rPr>
        <w:t>6-17</w:t>
      </w:r>
      <w:r w:rsidR="002A0697">
        <w:rPr>
          <w:rFonts w:ascii="Arial Black" w:hAnsi="Arial Black"/>
          <w:b/>
          <w:sz w:val="28"/>
          <w:szCs w:val="28"/>
        </w:rPr>
        <w:t>1</w:t>
      </w:r>
    </w:p>
    <w:p w14:paraId="41D259CD" w14:textId="77777777" w:rsidR="00FC5BB1" w:rsidRDefault="00FC5BB1" w:rsidP="000624FD">
      <w:pPr>
        <w:pStyle w:val="NoSpacing"/>
        <w:rPr>
          <w:rFonts w:ascii="Arial Black" w:hAnsi="Arial Black"/>
          <w:b/>
          <w:sz w:val="28"/>
          <w:szCs w:val="28"/>
        </w:rPr>
      </w:pPr>
    </w:p>
    <w:p w14:paraId="20753664" w14:textId="77777777" w:rsidR="001F0C4C" w:rsidRPr="008C4E26" w:rsidRDefault="001F0C4C" w:rsidP="001F0C4C">
      <w:pPr>
        <w:spacing w:after="0"/>
        <w:rPr>
          <w:rFonts w:ascii="Arial Black" w:hAnsi="Arial Black"/>
          <w:b/>
          <w:sz w:val="28"/>
          <w:szCs w:val="28"/>
        </w:rPr>
      </w:pPr>
      <w:r>
        <w:rPr>
          <w:rFonts w:ascii="Arial Black" w:hAnsi="Arial Black"/>
          <w:b/>
          <w:sz w:val="28"/>
          <w:szCs w:val="28"/>
        </w:rPr>
        <w:t xml:space="preserve">WV: WRIST INJURY – THERAPIST WROTE “PRIOR ISSUES” </w:t>
      </w:r>
    </w:p>
    <w:p w14:paraId="4BB44EDA" w14:textId="77777777" w:rsidR="001F0C4C" w:rsidRDefault="001F0C4C" w:rsidP="001F0C4C">
      <w:pPr>
        <w:pStyle w:val="NoSpacing"/>
      </w:pPr>
    </w:p>
    <w:p w14:paraId="5F41E7B2" w14:textId="77777777" w:rsidR="001F0C4C" w:rsidRDefault="001F0C4C" w:rsidP="001F0C4C">
      <w:pPr>
        <w:spacing w:after="0"/>
        <w:rPr>
          <w:bCs/>
        </w:rPr>
      </w:pPr>
      <w:r>
        <w:t xml:space="preserve">On Oct. 24, 2025, in </w:t>
      </w:r>
      <w:r w:rsidRPr="00E72AD3">
        <w:rPr>
          <w:u w:val="single"/>
        </w:rPr>
        <w:t>City of Wheeling v. David Gilbert</w:t>
      </w:r>
      <w:r>
        <w:t xml:space="preserve">, the </w:t>
      </w:r>
      <w:r w:rsidRPr="00E72AD3">
        <w:t>West Virginia Intermediate Court of Appeals</w:t>
      </w:r>
      <w:r>
        <w:t xml:space="preserve"> held (3 to 0) that the </w:t>
      </w:r>
      <w:r w:rsidRPr="00554591">
        <w:t>Workers’ Compensation Board of Review</w:t>
      </w:r>
      <w:r>
        <w:t xml:space="preserve"> properly overruled the Claim Administrator, and will cover surgery for right wrist (Dec. 1, 2023 injury; X-Ray no broken bone and normal MRI; but June 3, 2024 </w:t>
      </w:r>
      <w:r w:rsidRPr="00572C02">
        <w:t>arthroscopy</w:t>
      </w:r>
      <w:r>
        <w:t xml:space="preserve"> revealed complete tear of ligament). </w:t>
      </w:r>
    </w:p>
    <w:p w14:paraId="7E628415" w14:textId="77777777" w:rsidR="001F0C4C" w:rsidRDefault="001F0C4C" w:rsidP="001F0C4C">
      <w:pPr>
        <w:spacing w:after="0"/>
        <w:rPr>
          <w:b/>
        </w:rPr>
      </w:pPr>
      <w:r>
        <w:t xml:space="preserve">The Independent Medical Examiner physician focused on notes by physical therapist that firefighter had prior issues with that right wrist.  The Board, however, relied on firefighter’s deposition testimony that he told the therapist he had prior issues with his </w:t>
      </w:r>
      <w:r w:rsidRPr="007113A0">
        <w:t>left wrist</w:t>
      </w:r>
      <w:r>
        <w:t xml:space="preserve">, and the therapist mistakenly recorded prior issues with right wrist. </w:t>
      </w:r>
      <w:hyperlink r:id="rId1050" w:history="1">
        <w:r w:rsidRPr="00E1728C">
          <w:rPr>
            <w:rStyle w:val="Hyperlink"/>
            <w:b/>
          </w:rPr>
          <w:t>https://cases.justia.com/west-virginia/intermediate-court-of-appeals/2025-25-ica-138.pdf?ts=1761335525</w:t>
        </w:r>
      </w:hyperlink>
      <w:r>
        <w:rPr>
          <w:b/>
        </w:rPr>
        <w:t xml:space="preserve"> </w:t>
      </w:r>
    </w:p>
    <w:p w14:paraId="24721377" w14:textId="77777777" w:rsidR="001F0C4C" w:rsidRDefault="001F0C4C" w:rsidP="001F0C4C">
      <w:pPr>
        <w:spacing w:after="0"/>
        <w:rPr>
          <w:bCs/>
        </w:rPr>
      </w:pPr>
    </w:p>
    <w:p w14:paraId="47617D31" w14:textId="77777777" w:rsidR="001F0C4C" w:rsidRDefault="001F0C4C" w:rsidP="001F0C4C">
      <w:pPr>
        <w:spacing w:after="0"/>
      </w:pPr>
      <w:r>
        <w:t xml:space="preserve">THE COURT HELD: </w:t>
      </w:r>
    </w:p>
    <w:p w14:paraId="020CAD27" w14:textId="77777777" w:rsidR="001F0C4C" w:rsidRDefault="001F0C4C" w:rsidP="001F0C4C">
      <w:pPr>
        <w:spacing w:after="0"/>
      </w:pPr>
    </w:p>
    <w:p w14:paraId="3B5B574F" w14:textId="77777777" w:rsidR="001F0C4C" w:rsidRDefault="001F0C4C" w:rsidP="001F0C4C">
      <w:pPr>
        <w:spacing w:after="0"/>
        <w:ind w:left="720"/>
      </w:pPr>
      <w:r>
        <w:t>“Mr. Gilbert was deposed on November 11, 2024, and testified that he injured his right wrist on December 1, 2023, when he tripped while getting into a vehicle and attempted to catch himself. Mr. Gilbert stated that he hooked his thumb on the headrest of the stretcher, which injured his wrist…. He stated that he might have mentioned that he</w:t>
      </w:r>
    </w:p>
    <w:p w14:paraId="3A3136A3" w14:textId="77777777" w:rsidR="001F0C4C" w:rsidRDefault="001F0C4C" w:rsidP="001F0C4C">
      <w:pPr>
        <w:spacing w:after="0"/>
        <w:ind w:firstLine="720"/>
      </w:pPr>
      <w:r>
        <w:t>had some prior issues with his left wrist, such as when he was rock climbing that required</w:t>
      </w:r>
    </w:p>
    <w:p w14:paraId="0D09D9E5" w14:textId="77777777" w:rsidR="001F0C4C" w:rsidRDefault="001F0C4C" w:rsidP="001F0C4C">
      <w:pPr>
        <w:spacing w:after="0"/>
        <w:ind w:left="720"/>
      </w:pPr>
      <w:r>
        <w:t xml:space="preserve">him to adjust his left wrist to use it functionally. Regarding the physical therapy note dated December 13, 2023, which reported that he had some joint instability in his right wrist prior to the compensable injury, Mr. Gilbert testified that he believed that note was based upon a miscommunication. Mr. Gilbert further testified that he was describing an issue with his left wrist and trying to say that he never had any issues with his right wrist. </w:t>
      </w:r>
    </w:p>
    <w:p w14:paraId="4DF8CF07" w14:textId="77777777" w:rsidR="001F0C4C" w:rsidRDefault="001F0C4C" w:rsidP="001F0C4C">
      <w:pPr>
        <w:spacing w:after="0"/>
        <w:ind w:left="720"/>
      </w:pPr>
    </w:p>
    <w:p w14:paraId="5D2B1928" w14:textId="77777777" w:rsidR="001F0C4C" w:rsidRDefault="001F0C4C" w:rsidP="001F0C4C">
      <w:pPr>
        <w:spacing w:after="0"/>
        <w:ind w:left="720"/>
      </w:pPr>
      <w:r>
        <w:t>***</w:t>
      </w:r>
    </w:p>
    <w:p w14:paraId="5970F6A9" w14:textId="77777777" w:rsidR="001F0C4C" w:rsidRDefault="001F0C4C" w:rsidP="001F0C4C">
      <w:pPr>
        <w:spacing w:after="0"/>
        <w:ind w:left="720"/>
      </w:pPr>
      <w:r>
        <w:t>Here, the Board found that Mr. Gilbert established with medical evidence that</w:t>
      </w:r>
    </w:p>
    <w:p w14:paraId="5DB39725" w14:textId="77777777" w:rsidR="001F0C4C" w:rsidRDefault="001F0C4C" w:rsidP="001F0C4C">
      <w:pPr>
        <w:spacing w:after="0"/>
        <w:ind w:left="720"/>
      </w:pPr>
      <w:r>
        <w:t xml:space="preserve">scapholunate instability of the right wrist and ligament tear of the scapholunate right wrist are causally related to the compensable injury. The Board further found that Mr. Gilbert’s testimony regarding the inconsistency in the occupational therapy records was credible.” </w:t>
      </w:r>
    </w:p>
    <w:p w14:paraId="4DBA59E8" w14:textId="77777777" w:rsidR="001F0C4C" w:rsidRDefault="001F0C4C" w:rsidP="001F0C4C">
      <w:pPr>
        <w:spacing w:after="0"/>
        <w:ind w:left="720"/>
      </w:pPr>
    </w:p>
    <w:p w14:paraId="0117EF9A" w14:textId="69894794" w:rsidR="001F0C4C" w:rsidRPr="002322D7" w:rsidRDefault="001F0C4C" w:rsidP="001F0C4C">
      <w:pPr>
        <w:spacing w:after="0"/>
        <w:rPr>
          <w:b/>
          <w:bCs/>
        </w:rPr>
      </w:pPr>
      <w:r>
        <w:rPr>
          <w:b/>
        </w:rPr>
        <w:t xml:space="preserve">Lesson Learned:  When speaking with physical </w:t>
      </w:r>
      <w:proofErr w:type="gramStart"/>
      <w:r>
        <w:rPr>
          <w:b/>
        </w:rPr>
        <w:t>therapist</w:t>
      </w:r>
      <w:proofErr w:type="gramEnd"/>
      <w:r>
        <w:rPr>
          <w:b/>
        </w:rPr>
        <w:t xml:space="preserve"> </w:t>
      </w:r>
      <w:proofErr w:type="gramStart"/>
      <w:r>
        <w:rPr>
          <w:b/>
        </w:rPr>
        <w:t>be</w:t>
      </w:r>
      <w:proofErr w:type="gramEnd"/>
      <w:r>
        <w:rPr>
          <w:b/>
        </w:rPr>
        <w:t xml:space="preserve"> very clear in discussing prior injuries.   </w:t>
      </w:r>
    </w:p>
    <w:p w14:paraId="0E4FA404" w14:textId="77777777" w:rsidR="001F0C4C" w:rsidRDefault="001F0C4C" w:rsidP="001F0C4C">
      <w:pPr>
        <w:spacing w:after="0"/>
        <w:rPr>
          <w:rFonts w:ascii="Arial Black" w:hAnsi="Arial Black"/>
          <w:sz w:val="28"/>
          <w:szCs w:val="28"/>
        </w:rPr>
      </w:pPr>
    </w:p>
    <w:p w14:paraId="523C3C52" w14:textId="704358B3" w:rsidR="00FC5BB1" w:rsidRDefault="001F0C4C" w:rsidP="000624FD">
      <w:pPr>
        <w:pStyle w:val="NoSpacing"/>
        <w:rPr>
          <w:rFonts w:ascii="Arial Black" w:hAnsi="Arial Black"/>
          <w:b/>
          <w:sz w:val="28"/>
          <w:szCs w:val="28"/>
        </w:rPr>
      </w:pPr>
      <w:r>
        <w:rPr>
          <w:rFonts w:ascii="Arial Black" w:hAnsi="Arial Black"/>
          <w:b/>
          <w:sz w:val="28"/>
          <w:szCs w:val="28"/>
        </w:rPr>
        <w:t>6-1</w:t>
      </w:r>
      <w:r w:rsidR="002A0697">
        <w:rPr>
          <w:rFonts w:ascii="Arial Black" w:hAnsi="Arial Black"/>
          <w:b/>
          <w:sz w:val="28"/>
          <w:szCs w:val="28"/>
        </w:rPr>
        <w:t>70</w:t>
      </w:r>
    </w:p>
    <w:p w14:paraId="773E1CDC" w14:textId="77777777" w:rsidR="007867D4" w:rsidRDefault="007867D4" w:rsidP="000624FD">
      <w:pPr>
        <w:pStyle w:val="NoSpacing"/>
        <w:rPr>
          <w:rFonts w:ascii="Arial Black" w:hAnsi="Arial Black"/>
          <w:b/>
          <w:sz w:val="28"/>
          <w:szCs w:val="28"/>
        </w:rPr>
      </w:pPr>
    </w:p>
    <w:p w14:paraId="4154BB56" w14:textId="77777777" w:rsidR="007867D4" w:rsidRDefault="007867D4" w:rsidP="007867D4">
      <w:pPr>
        <w:pStyle w:val="NoSpacing"/>
        <w:rPr>
          <w:rFonts w:ascii="Arial Black" w:hAnsi="Arial Black"/>
          <w:sz w:val="28"/>
          <w:szCs w:val="28"/>
        </w:rPr>
      </w:pPr>
      <w:r>
        <w:rPr>
          <w:rFonts w:ascii="Arial Black" w:hAnsi="Arial Black"/>
          <w:sz w:val="28"/>
          <w:szCs w:val="28"/>
        </w:rPr>
        <w:t>RI: FF CANCER DEATH –  ADDED INSURANCE IF “INJURY”</w:t>
      </w:r>
    </w:p>
    <w:p w14:paraId="6AA3AFFA" w14:textId="77777777" w:rsidR="007867D4" w:rsidRDefault="007867D4" w:rsidP="007867D4">
      <w:pPr>
        <w:pStyle w:val="NoSpacing"/>
        <w:rPr>
          <w:rFonts w:ascii="Arial Black" w:hAnsi="Arial Black"/>
          <w:sz w:val="28"/>
          <w:szCs w:val="28"/>
        </w:rPr>
      </w:pPr>
    </w:p>
    <w:p w14:paraId="24A2EC94" w14:textId="77777777" w:rsidR="007867D4" w:rsidRDefault="007867D4" w:rsidP="007867D4">
      <w:pPr>
        <w:pStyle w:val="NoSpacing"/>
      </w:pPr>
      <w:r>
        <w:t xml:space="preserve">On October 14, 2025, in </w:t>
      </w:r>
      <w:r w:rsidRPr="005765C3">
        <w:rPr>
          <w:u w:val="single"/>
        </w:rPr>
        <w:t>James L. Varin, Jr. and Tyer C. Varin v. The Prudential Insurance Company of America</w:t>
      </w:r>
      <w:r>
        <w:t xml:space="preserve">, Chief Judge John J. McConnell, Jr., United States District Court for the District of Rhode Island denied the insurance company’s motion to dismiss the lawsuit by two sons of deceased firefighter James Varin, Sr., a Providence firefighter who died of brain cancer. The family seeks a declaratory judgment that father’s death should be covered as an “injury” while insurance company claims it is a “sickness” not covered.  Under the terms of the policy, a City of Providence fire department employee has $100,000 in basic life insurance coverage (which was paid to the family), </w:t>
      </w:r>
      <w:proofErr w:type="gramStart"/>
      <w:r>
        <w:t>and also</w:t>
      </w:r>
      <w:proofErr w:type="gramEnd"/>
      <w:r>
        <w:t xml:space="preserve"> $100,000 in basic accidental death and dismemberment (“AD&amp;D”) insurance coverage.  Plaintiffs will now proceed with pre-trial discovery; the Court held that the insurance company presumably knew when negotiating the policy with the city that Rhode Island has a “statutory presumption” for firefighter cancer, and IAFF Local 799 has a similar provision in their Collective Bargaining Agreement with the city.  </w:t>
      </w:r>
      <w:hyperlink r:id="rId1051" w:history="1">
        <w:r w:rsidRPr="00F13728">
          <w:rPr>
            <w:rStyle w:val="Hyperlink"/>
          </w:rPr>
          <w:t>https://ecf.rid.uscourts.gov/cgi-bin/show_public_doc?2025cv0270-20</w:t>
        </w:r>
      </w:hyperlink>
      <w:r>
        <w:t xml:space="preserve"> </w:t>
      </w:r>
    </w:p>
    <w:p w14:paraId="195AACAE" w14:textId="77777777" w:rsidR="007867D4" w:rsidRDefault="007867D4" w:rsidP="007867D4">
      <w:pPr>
        <w:pStyle w:val="NoSpacing"/>
      </w:pPr>
    </w:p>
    <w:p w14:paraId="469F4A8E" w14:textId="77777777" w:rsidR="007867D4" w:rsidRDefault="007867D4" w:rsidP="007867D4">
      <w:pPr>
        <w:pStyle w:val="NoSpacing"/>
      </w:pPr>
      <w:r>
        <w:t>THE COURT HELD:</w:t>
      </w:r>
    </w:p>
    <w:p w14:paraId="67FBFE07" w14:textId="77777777" w:rsidR="007867D4" w:rsidRDefault="007867D4" w:rsidP="007867D4">
      <w:pPr>
        <w:pStyle w:val="NoSpacing"/>
      </w:pPr>
    </w:p>
    <w:p w14:paraId="494D4795" w14:textId="77777777" w:rsidR="007867D4" w:rsidRDefault="007867D4" w:rsidP="007867D4">
      <w:pPr>
        <w:pStyle w:val="NoSpacing"/>
        <w:ind w:left="720"/>
      </w:pPr>
      <w:r>
        <w:t xml:space="preserve">In their complaint, Plaintiffs allege that Mr. Varin’s cause of death was glioblastoma, a cancer that could be caused by carcinogenic exposure…. They also allege that Mr. Varin was exposed to carcinogens in his job as a firefighter and that his employer, the City of Providence, considers his death to be an injury in the line of duty…. Plaintiffs cite to the CBA, which states that whenever a firefighter dies from cancer, it is presumed to be an injury resulting from their firefighting duties…. In addition, they </w:t>
      </w:r>
      <w:proofErr w:type="gramStart"/>
      <w:r>
        <w:t>reference</w:t>
      </w:r>
      <w:proofErr w:type="gramEnd"/>
      <w:r>
        <w:t xml:space="preserve"> a state statute,</w:t>
      </w:r>
    </w:p>
    <w:p w14:paraId="34BFEE54" w14:textId="77777777" w:rsidR="007867D4" w:rsidRDefault="007867D4" w:rsidP="007867D4">
      <w:pPr>
        <w:pStyle w:val="NoSpacing"/>
        <w:ind w:left="720"/>
      </w:pPr>
      <w:r>
        <w:t>R.I. Gen. Laws § 45-19.1-1, which also states that firefighters are exposed to carcinogens, so cancer is a recognized occupational hazard under Rhode Island law…. At this stage of the litigation, the Court finds that these allegations are sufficient to state a claim under the policy.</w:t>
      </w:r>
    </w:p>
    <w:p w14:paraId="4226E621" w14:textId="77777777" w:rsidR="007867D4" w:rsidRDefault="007867D4" w:rsidP="007867D4">
      <w:pPr>
        <w:pStyle w:val="NoSpacing"/>
        <w:ind w:left="720"/>
      </w:pPr>
    </w:p>
    <w:p w14:paraId="6957631E" w14:textId="77777777" w:rsidR="007867D4" w:rsidRDefault="007867D4" w:rsidP="007867D4">
      <w:pPr>
        <w:pStyle w:val="NoSpacing"/>
        <w:ind w:left="720"/>
      </w:pPr>
      <w:r>
        <w:t>***</w:t>
      </w:r>
    </w:p>
    <w:p w14:paraId="58825BA6" w14:textId="77777777" w:rsidR="007867D4" w:rsidRDefault="007867D4" w:rsidP="007867D4">
      <w:pPr>
        <w:pStyle w:val="NoSpacing"/>
        <w:ind w:left="720"/>
      </w:pPr>
      <w:r>
        <w:t>It is plausible that Prudential knew what benefits the Union expected to provide its members because the CBA states that members have a $100,000 life insurance policy with a maximum of $200,000 for deaths sustained in the line of duty, and that is exactly</w:t>
      </w:r>
    </w:p>
    <w:p w14:paraId="1C02E2C6" w14:textId="77777777" w:rsidR="007867D4" w:rsidRDefault="007867D4" w:rsidP="007867D4">
      <w:pPr>
        <w:pStyle w:val="NoSpacing"/>
        <w:ind w:firstLine="720"/>
      </w:pPr>
      <w:r>
        <w:t>what the Prudential policy at issue here provides. ECF No. 1 ¶ 12; 7-2 at 9.</w:t>
      </w:r>
    </w:p>
    <w:p w14:paraId="35C275E2" w14:textId="77777777" w:rsidR="007867D4" w:rsidRDefault="007867D4" w:rsidP="007867D4">
      <w:pPr>
        <w:pStyle w:val="NoSpacing"/>
        <w:ind w:firstLine="720"/>
      </w:pPr>
    </w:p>
    <w:p w14:paraId="00314289" w14:textId="77777777" w:rsidR="007867D4" w:rsidRDefault="007867D4" w:rsidP="007867D4">
      <w:pPr>
        <w:pStyle w:val="NoSpacing"/>
        <w:ind w:firstLine="720"/>
      </w:pPr>
      <w:r>
        <w:t>***</w:t>
      </w:r>
    </w:p>
    <w:p w14:paraId="7CD236AA" w14:textId="77777777" w:rsidR="007867D4" w:rsidRDefault="007867D4" w:rsidP="007867D4">
      <w:pPr>
        <w:pStyle w:val="NoSpacing"/>
        <w:ind w:left="720"/>
      </w:pPr>
      <w:r>
        <w:t>As for the sickness exception, Prudential argues that it applies because cancer is generally recognized as a sickness not an injury….  The policy provides that a loss is not covered if it results from sickness, which is defined as ‘Any disorder of the body or mind of a Covered Person, but not an Injury.’ …  If discovery proves that Plaintiffs’ claims are covered because the Prudential policy was negotiated to cover cancer as an on-the-job injury, then their father’s cancer would be an ‘injury’ not a ‘sickness’ as defined in the policy. Therefore, the Court finds that the complaint states a claim for declaratory relief.”</w:t>
      </w:r>
    </w:p>
    <w:p w14:paraId="2788211B" w14:textId="77777777" w:rsidR="007867D4" w:rsidRDefault="007867D4" w:rsidP="007867D4">
      <w:pPr>
        <w:pStyle w:val="NoSpacing"/>
        <w:rPr>
          <w:b/>
          <w:bCs/>
        </w:rPr>
      </w:pPr>
    </w:p>
    <w:p w14:paraId="2C6AC8B9" w14:textId="66911C6C" w:rsidR="007867D4" w:rsidRPr="00960E6C" w:rsidRDefault="007867D4" w:rsidP="007867D4">
      <w:pPr>
        <w:pStyle w:val="NoSpacing"/>
        <w:rPr>
          <w:b/>
          <w:bCs/>
        </w:rPr>
      </w:pPr>
      <w:r>
        <w:rPr>
          <w:b/>
        </w:rPr>
        <w:t xml:space="preserve">Lesson learned: When City is contracting with insurance policy for firefighters, there should be a clause in the policy specifically covering firefighter cancers. </w:t>
      </w:r>
    </w:p>
    <w:p w14:paraId="17A338BA" w14:textId="77777777" w:rsidR="007867D4" w:rsidRDefault="007867D4" w:rsidP="007867D4">
      <w:pPr>
        <w:pStyle w:val="NoSpacing"/>
      </w:pPr>
    </w:p>
    <w:p w14:paraId="2B74F7D7" w14:textId="77777777" w:rsidR="007867D4" w:rsidRDefault="007867D4" w:rsidP="000624FD">
      <w:pPr>
        <w:pStyle w:val="NoSpacing"/>
        <w:rPr>
          <w:rFonts w:ascii="Arial Black" w:hAnsi="Arial Black"/>
          <w:b/>
          <w:sz w:val="28"/>
          <w:szCs w:val="28"/>
        </w:rPr>
      </w:pPr>
    </w:p>
    <w:p w14:paraId="2F065326" w14:textId="77777777" w:rsidR="00DE3247" w:rsidRDefault="00DE3247" w:rsidP="000624FD">
      <w:pPr>
        <w:pStyle w:val="NoSpacing"/>
        <w:rPr>
          <w:rFonts w:ascii="Arial Black" w:hAnsi="Arial Black"/>
          <w:b/>
          <w:sz w:val="28"/>
          <w:szCs w:val="28"/>
        </w:rPr>
      </w:pPr>
    </w:p>
    <w:p w14:paraId="3127AAA3" w14:textId="77777777" w:rsidR="00DE3247" w:rsidRDefault="00DE3247" w:rsidP="000624FD">
      <w:pPr>
        <w:pStyle w:val="NoSpacing"/>
        <w:rPr>
          <w:rFonts w:ascii="Arial Black" w:hAnsi="Arial Black"/>
          <w:b/>
          <w:sz w:val="28"/>
          <w:szCs w:val="28"/>
        </w:rPr>
      </w:pPr>
    </w:p>
    <w:p w14:paraId="36F82DB0" w14:textId="77777777" w:rsidR="00DE3247" w:rsidRDefault="00DE3247" w:rsidP="000624FD">
      <w:pPr>
        <w:pStyle w:val="NoSpacing"/>
        <w:rPr>
          <w:rFonts w:ascii="Arial Black" w:hAnsi="Arial Black"/>
          <w:b/>
          <w:sz w:val="28"/>
          <w:szCs w:val="28"/>
        </w:rPr>
      </w:pPr>
    </w:p>
    <w:p w14:paraId="27A3793F" w14:textId="053E4140" w:rsidR="000624FD" w:rsidRDefault="000624FD" w:rsidP="000624FD">
      <w:pPr>
        <w:pStyle w:val="NoSpacing"/>
        <w:rPr>
          <w:rFonts w:ascii="Arial Black" w:hAnsi="Arial Black"/>
          <w:b/>
          <w:sz w:val="28"/>
          <w:szCs w:val="28"/>
        </w:rPr>
      </w:pPr>
      <w:r>
        <w:rPr>
          <w:rFonts w:ascii="Arial Black" w:hAnsi="Arial Black"/>
          <w:b/>
          <w:sz w:val="28"/>
          <w:szCs w:val="28"/>
        </w:rPr>
        <w:t>6-16</w:t>
      </w:r>
      <w:r w:rsidR="002A0697">
        <w:rPr>
          <w:rFonts w:ascii="Arial Black" w:hAnsi="Arial Black"/>
          <w:b/>
          <w:sz w:val="28"/>
          <w:szCs w:val="28"/>
        </w:rPr>
        <w:t>9</w:t>
      </w:r>
    </w:p>
    <w:p w14:paraId="7C26530E" w14:textId="77777777" w:rsidR="000624FD" w:rsidRDefault="000624FD" w:rsidP="00424D1C">
      <w:pPr>
        <w:pStyle w:val="NoSpacing"/>
        <w:rPr>
          <w:rFonts w:ascii="Arial Black" w:hAnsi="Arial Black"/>
          <w:sz w:val="28"/>
          <w:szCs w:val="28"/>
        </w:rPr>
      </w:pPr>
    </w:p>
    <w:p w14:paraId="705E1F64" w14:textId="654D46F4" w:rsidR="00424D1C" w:rsidRDefault="00424D1C" w:rsidP="00424D1C">
      <w:pPr>
        <w:pStyle w:val="NoSpacing"/>
      </w:pPr>
      <w:r>
        <w:rPr>
          <w:rFonts w:ascii="Arial Black" w:hAnsi="Arial Black"/>
          <w:sz w:val="28"/>
          <w:szCs w:val="28"/>
        </w:rPr>
        <w:t>NC: FF AGE 54 FIRED – COMMENTS AGE - CASE PROCEED</w:t>
      </w:r>
    </w:p>
    <w:p w14:paraId="65E7203E" w14:textId="77777777" w:rsidR="00424D1C" w:rsidRDefault="00424D1C" w:rsidP="00424D1C">
      <w:pPr>
        <w:pStyle w:val="NoSpacing"/>
      </w:pPr>
    </w:p>
    <w:p w14:paraId="6ECCCE1A" w14:textId="77777777" w:rsidR="00424D1C" w:rsidRDefault="00424D1C" w:rsidP="00424D1C">
      <w:pPr>
        <w:pStyle w:val="NoSpacing"/>
      </w:pPr>
      <w:r>
        <w:lastRenderedPageBreak/>
        <w:t xml:space="preserve">On September 3, 2025, in </w:t>
      </w:r>
      <w:r w:rsidRPr="00A3297C">
        <w:rPr>
          <w:u w:val="single"/>
        </w:rPr>
        <w:t>Walter Kevin Carpenter v. The City of Newton, et al</w:t>
      </w:r>
      <w:r>
        <w:t xml:space="preserve">., U.S. Magistrate Judge Susan C. Rodriquez, United States District Court for Western District of North Carolina (Statesville Division) issued a report and recommendation recommended that city’s motion to dismiss be denied in part (age discrimination claim).  On June 22, 2022, the first day after Plaintiff returned from vacation, the </w:t>
      </w:r>
      <w:proofErr w:type="gramStart"/>
      <w:r>
        <w:t>City</w:t>
      </w:r>
      <w:proofErr w:type="gramEnd"/>
      <w:r>
        <w:t xml:space="preserve"> terminated Plaintiff for “abusive </w:t>
      </w:r>
      <w:r w:rsidRPr="006F631B">
        <w:t>and/or threatening language to a supervisor</w:t>
      </w:r>
      <w:r>
        <w:t>.  He claims he was joking, when heading out for vacation he texted to  his Battalion Chief, “In the famous words of Cody Lawing, F U and F U and I am out of here.”</w:t>
      </w:r>
    </w:p>
    <w:p w14:paraId="420BA4A5" w14:textId="77777777" w:rsidR="00424D1C" w:rsidRDefault="00424D1C" w:rsidP="00424D1C">
      <w:pPr>
        <w:pStyle w:val="NoSpacing"/>
      </w:pPr>
      <w:r>
        <w:t xml:space="preserve"> </w:t>
      </w:r>
    </w:p>
    <w:p w14:paraId="53B828AE" w14:textId="77777777" w:rsidR="00424D1C" w:rsidRDefault="00424D1C" w:rsidP="00424D1C">
      <w:pPr>
        <w:pStyle w:val="NoSpacing"/>
      </w:pPr>
      <w:r w:rsidRPr="00B511E1">
        <w:rPr>
          <w:b/>
        </w:rPr>
        <w:t>THE MAGISTRATE WROTE</w:t>
      </w:r>
      <w:r>
        <w:t xml:space="preserve">: “The undersigned finds Plaintiff has alleged sufficient facts that the employer took an adverse employment action under circumstances giving rise to an inference of age discrimination. Plaintiff has alleged certain derogatory comments made related to his age by those in the supervisory chain … and that Plaintiff was terminated within a month of certain comments….  This, combined with Plaintiff’s allegations related to the different responses to the similar conduct of Plaintiff and Lawing, create an inference of age discrimination at this initial stage.” </w:t>
      </w:r>
      <w:hyperlink r:id="rId1052" w:history="1">
        <w:r w:rsidRPr="00B23663">
          <w:rPr>
            <w:rStyle w:val="Hyperlink"/>
          </w:rPr>
          <w:t>https://www.govinfo.gov/content/pkg/USCOURTS-ncwd-5_24-cv-00192/pdf/USCOURTS-ncwd-5_24-cv-00192-1.pdf</w:t>
        </w:r>
      </w:hyperlink>
      <w:r>
        <w:t xml:space="preserve"> </w:t>
      </w:r>
    </w:p>
    <w:p w14:paraId="5AFD73C6" w14:textId="77777777" w:rsidR="00424D1C" w:rsidRDefault="00424D1C" w:rsidP="00424D1C">
      <w:pPr>
        <w:pStyle w:val="NoSpacing"/>
      </w:pPr>
    </w:p>
    <w:p w14:paraId="484F6798" w14:textId="77777777" w:rsidR="00424D1C" w:rsidRDefault="00424D1C" w:rsidP="00424D1C">
      <w:pPr>
        <w:pStyle w:val="NoSpacing"/>
      </w:pPr>
      <w:r w:rsidRPr="00B511E1">
        <w:rPr>
          <w:b/>
        </w:rPr>
        <w:t>KEY FACTS</w:t>
      </w:r>
      <w:r>
        <w:t>:</w:t>
      </w:r>
    </w:p>
    <w:p w14:paraId="294604F1" w14:textId="77777777" w:rsidR="00424D1C" w:rsidRDefault="00424D1C" w:rsidP="00424D1C">
      <w:pPr>
        <w:pStyle w:val="NoSpacing"/>
      </w:pPr>
    </w:p>
    <w:p w14:paraId="7E385967" w14:textId="77777777" w:rsidR="00424D1C" w:rsidRDefault="00424D1C" w:rsidP="00424D1C">
      <w:pPr>
        <w:pStyle w:val="NoSpacing"/>
        <w:ind w:left="720"/>
      </w:pPr>
      <w:r>
        <w:t>“Plaintiff alleges that Defendants made several ageist comments toward him in public, such as his supervisor, Battalion Chief Kenneth Huffman (‘Huffman’), saying, ‘We’re going to push you down the steps and you won’t recover.’ … On approximately June 4, 2022, Huffman ordered Plaintiff to respond on the ladder truck to a structure fire…. Huffman chose to put on his turnout gear and assist with the fire…. After the call, Defendant Whitener reprimanded Plaintiff for not putting on his turnout gear. Id. Plaintiff contends that he did not have an opportunity to put on his turnout gear. Id. The following day, Chief Yoder criticized Plaintiff, allegedly saying, ‘You think you don’t have to do anything but run the truck . . . [a]</w:t>
      </w:r>
      <w:proofErr w:type="spellStart"/>
      <w:r>
        <w:t>ll</w:t>
      </w:r>
      <w:proofErr w:type="spellEnd"/>
      <w:r>
        <w:t xml:space="preserve"> of the younger guys go in and actually fight fires….’</w:t>
      </w:r>
    </w:p>
    <w:p w14:paraId="52CACC0A" w14:textId="77777777" w:rsidR="00424D1C" w:rsidRDefault="00424D1C" w:rsidP="00424D1C">
      <w:pPr>
        <w:pStyle w:val="NoSpacing"/>
        <w:ind w:left="720"/>
      </w:pPr>
    </w:p>
    <w:p w14:paraId="49026CC8" w14:textId="77777777" w:rsidR="00424D1C" w:rsidRDefault="00424D1C" w:rsidP="00424D1C">
      <w:pPr>
        <w:pStyle w:val="NoSpacing"/>
        <w:ind w:left="720"/>
      </w:pPr>
      <w:r>
        <w:t>***</w:t>
      </w:r>
    </w:p>
    <w:p w14:paraId="7D1403A1" w14:textId="77777777" w:rsidR="00424D1C" w:rsidRDefault="00424D1C" w:rsidP="00424D1C">
      <w:pPr>
        <w:pStyle w:val="NoSpacing"/>
        <w:ind w:left="720"/>
      </w:pPr>
      <w:r>
        <w:t>On or about June 15, 2022, when Plaintiff was preparing to take leave for vacation, he</w:t>
      </w:r>
    </w:p>
    <w:p w14:paraId="03DC2291" w14:textId="77777777" w:rsidR="00424D1C" w:rsidRDefault="00424D1C" w:rsidP="00424D1C">
      <w:pPr>
        <w:pStyle w:val="NoSpacing"/>
        <w:ind w:left="720"/>
      </w:pPr>
      <w:r>
        <w:t>texted Huffman: ‘In the famous words of Cody Lawing, F U and F U and I am out of here.’ … Cody Lawing (‘Lawing’), an employee under the age of forty, used this phrase often to joke with various members of the Fire Department, stating the full explicative when doing so, and, at times, directing his words toward Huffman…. Lawing, however, was never terminated or reprimanded for using this language as it was known to be made in jest…. Plaintiff claims he sent the text to Huffman jokingly, and Huffman admitted he perceived the text as a joke, not a threat….</w:t>
      </w:r>
    </w:p>
    <w:p w14:paraId="2F26B785" w14:textId="77777777" w:rsidR="00424D1C" w:rsidRDefault="00424D1C" w:rsidP="00424D1C">
      <w:pPr>
        <w:pStyle w:val="NoSpacing"/>
        <w:ind w:left="720"/>
      </w:pPr>
    </w:p>
    <w:p w14:paraId="7B5B2E8C" w14:textId="77777777" w:rsidR="00424D1C" w:rsidRDefault="00424D1C" w:rsidP="00424D1C">
      <w:pPr>
        <w:pStyle w:val="NoSpacing"/>
        <w:ind w:left="720"/>
      </w:pPr>
      <w:r>
        <w:t xml:space="preserve">On June 22, 2022, the first day after Plaintiff returned from vacation, the </w:t>
      </w:r>
      <w:proofErr w:type="gramStart"/>
      <w:r>
        <w:t>City</w:t>
      </w:r>
      <w:proofErr w:type="gramEnd"/>
      <w:r>
        <w:t xml:space="preserve"> terminated</w:t>
      </w:r>
    </w:p>
    <w:p w14:paraId="7415AAC4" w14:textId="77777777" w:rsidR="00424D1C" w:rsidRDefault="00424D1C" w:rsidP="00424D1C">
      <w:pPr>
        <w:pStyle w:val="NoSpacing"/>
        <w:ind w:left="720"/>
      </w:pPr>
      <w:r>
        <w:t xml:space="preserve">Plaintiff….The City referenced personnel policy IV.10(b)(18), which prohibits ‘abusive </w:t>
      </w:r>
      <w:r w:rsidRPr="006F631B">
        <w:t>and/or threatening language to a supervisor</w:t>
      </w:r>
      <w:r>
        <w:t xml:space="preserve">’ </w:t>
      </w:r>
      <w:r w:rsidRPr="006F631B">
        <w:t>in terminating Plaintiff.</w:t>
      </w:r>
      <w:r>
        <w:t>”</w:t>
      </w:r>
    </w:p>
    <w:p w14:paraId="7E450F6B" w14:textId="77777777" w:rsidR="00424D1C" w:rsidRDefault="00424D1C" w:rsidP="00424D1C">
      <w:pPr>
        <w:pStyle w:val="NoSpacing"/>
      </w:pPr>
    </w:p>
    <w:p w14:paraId="3A6D8391" w14:textId="77777777" w:rsidR="00424D1C" w:rsidRPr="002C1CFD" w:rsidRDefault="00424D1C" w:rsidP="00424D1C">
      <w:pPr>
        <w:pStyle w:val="NoSpacing"/>
        <w:rPr>
          <w:b/>
          <w:bCs/>
        </w:rPr>
      </w:pPr>
      <w:r>
        <w:t xml:space="preserve"> </w:t>
      </w:r>
      <w:r>
        <w:rPr>
          <w:b/>
        </w:rPr>
        <w:t xml:space="preserve">Legal lesson learned:  Age-related comments can lead to litigation.  </w:t>
      </w:r>
    </w:p>
    <w:p w14:paraId="165D29B8" w14:textId="77777777" w:rsidR="00424D1C" w:rsidRDefault="00424D1C" w:rsidP="00424D1C">
      <w:pPr>
        <w:pStyle w:val="NoSpacing"/>
      </w:pPr>
    </w:p>
    <w:p w14:paraId="0F163BBB" w14:textId="77777777" w:rsidR="00424D1C" w:rsidRDefault="00424D1C" w:rsidP="00424D1C">
      <w:pPr>
        <w:pStyle w:val="NoSpacing"/>
        <w:ind w:left="720"/>
      </w:pPr>
      <w:r>
        <w:t xml:space="preserve">Note: On September 18, 2025, U.S. District Court Judge Kenneth D. Bell adopted the Magistrate’s recommendation </w:t>
      </w:r>
      <w:hyperlink r:id="rId1053" w:history="1">
        <w:r w:rsidRPr="00D0636F">
          <w:rPr>
            <w:rStyle w:val="Hyperlink"/>
          </w:rPr>
          <w:t>https://www.govinfo.gov/content/pkg/USCOURTS-ncwd-5_24-cv-00192/pdf/USCOURTS-ncwd-5_24-cv-00192-3.pdf</w:t>
        </w:r>
      </w:hyperlink>
      <w:r>
        <w:t xml:space="preserve"> </w:t>
      </w:r>
    </w:p>
    <w:p w14:paraId="5B6BA90F" w14:textId="77777777" w:rsidR="00D44956" w:rsidRDefault="00D44956" w:rsidP="00EF1133">
      <w:pPr>
        <w:rPr>
          <w:rFonts w:ascii="Arial Black" w:hAnsi="Arial Black"/>
          <w:b/>
          <w:sz w:val="24"/>
          <w:szCs w:val="24"/>
        </w:rPr>
      </w:pPr>
    </w:p>
    <w:p w14:paraId="0EDCAD5E" w14:textId="4FE382C8" w:rsidR="000624FD" w:rsidRDefault="000624FD" w:rsidP="000624FD">
      <w:pPr>
        <w:pStyle w:val="NoSpacing"/>
        <w:rPr>
          <w:rFonts w:ascii="Arial Black" w:hAnsi="Arial Black"/>
          <w:b/>
          <w:sz w:val="28"/>
          <w:szCs w:val="28"/>
        </w:rPr>
      </w:pPr>
      <w:r>
        <w:rPr>
          <w:rFonts w:ascii="Arial Black" w:hAnsi="Arial Black"/>
          <w:b/>
          <w:sz w:val="28"/>
          <w:szCs w:val="28"/>
        </w:rPr>
        <w:t>6-16</w:t>
      </w:r>
      <w:r w:rsidR="002A0697">
        <w:rPr>
          <w:rFonts w:ascii="Arial Black" w:hAnsi="Arial Black"/>
          <w:b/>
          <w:sz w:val="28"/>
          <w:szCs w:val="28"/>
        </w:rPr>
        <w:t>8</w:t>
      </w:r>
    </w:p>
    <w:p w14:paraId="6802D4E8" w14:textId="77777777" w:rsidR="000624FD" w:rsidRDefault="000624FD" w:rsidP="00782139">
      <w:pPr>
        <w:rPr>
          <w:rFonts w:ascii="Arial Black" w:hAnsi="Arial Black"/>
          <w:sz w:val="28"/>
          <w:szCs w:val="28"/>
        </w:rPr>
      </w:pPr>
    </w:p>
    <w:p w14:paraId="7151D473" w14:textId="61CBF1A9" w:rsidR="00782139" w:rsidRPr="00A83858" w:rsidRDefault="00782139" w:rsidP="00782139">
      <w:pPr>
        <w:rPr>
          <w:rFonts w:ascii="Arial Black" w:hAnsi="Arial Black"/>
          <w:bCs/>
          <w:sz w:val="28"/>
          <w:szCs w:val="28"/>
        </w:rPr>
      </w:pPr>
      <w:r>
        <w:rPr>
          <w:rFonts w:ascii="Arial Black" w:hAnsi="Arial Black"/>
          <w:sz w:val="28"/>
          <w:szCs w:val="28"/>
        </w:rPr>
        <w:t xml:space="preserve">MD: WORK COMP – JURY FF 63% WORK COMP – NOT 3% </w:t>
      </w:r>
    </w:p>
    <w:p w14:paraId="6B502694" w14:textId="77777777" w:rsidR="00782139" w:rsidRDefault="00782139" w:rsidP="00782139">
      <w:pPr>
        <w:pStyle w:val="NoSpacing"/>
        <w:rPr>
          <w:bCs/>
        </w:rPr>
      </w:pPr>
      <w:r>
        <w:lastRenderedPageBreak/>
        <w:t xml:space="preserve">On September 2, 2025, in </w:t>
      </w:r>
      <w:r w:rsidRPr="004D4CE6">
        <w:rPr>
          <w:u w:val="single"/>
        </w:rPr>
        <w:t>Prince George’s County, Maryland v. Bradley Schroder</w:t>
      </w:r>
      <w:r>
        <w:t xml:space="preserve">, </w:t>
      </w:r>
      <w:r w:rsidRPr="004D4CE6">
        <w:t>Court of Special Appeals of Maryland</w:t>
      </w:r>
      <w:r>
        <w:t xml:space="preserve"> held (3 to 0; unreported decision) that firefighter Bradley Schroeder was properly awarded workers’ compensation by a jury of 63% prominent partial, overturning the Work Comp Commission award of only 3%.  </w:t>
      </w:r>
    </w:p>
    <w:p w14:paraId="7CE4DDB2" w14:textId="77777777" w:rsidR="00782139" w:rsidRDefault="00782139" w:rsidP="00782139">
      <w:pPr>
        <w:pStyle w:val="NoSpacing"/>
        <w:rPr>
          <w:bCs/>
        </w:rPr>
      </w:pPr>
    </w:p>
    <w:p w14:paraId="7319DF16" w14:textId="77777777" w:rsidR="00782139" w:rsidRDefault="00782139" w:rsidP="00782139">
      <w:pPr>
        <w:pStyle w:val="NoSpacing"/>
        <w:rPr>
          <w:bCs/>
        </w:rPr>
      </w:pPr>
      <w:r w:rsidRPr="00D82473">
        <w:rPr>
          <w:b/>
        </w:rPr>
        <w:t>THE COURT HELD:</w:t>
      </w:r>
      <w:r>
        <w:t xml:space="preserve"> “</w:t>
      </w:r>
      <w:r w:rsidRPr="00694FA2">
        <w:t>We do not hold that a finding by the jury of 63% permanent partial disability was</w:t>
      </w:r>
      <w:r>
        <w:t xml:space="preserve"> </w:t>
      </w:r>
      <w:r w:rsidRPr="00694FA2">
        <w:t>grossly excessive and the trial court therefore did not abuse its discretion in denying the</w:t>
      </w:r>
      <w:r>
        <w:t xml:space="preserve"> </w:t>
      </w:r>
      <w:r w:rsidRPr="00694FA2">
        <w:t>County’s motion for a new trial.</w:t>
      </w:r>
      <w:r>
        <w:t>”</w:t>
      </w:r>
    </w:p>
    <w:p w14:paraId="42903EB6" w14:textId="77777777" w:rsidR="00782139" w:rsidRDefault="00782139" w:rsidP="00782139">
      <w:pPr>
        <w:rPr>
          <w:bCs/>
        </w:rPr>
      </w:pPr>
      <w:hyperlink r:id="rId1054" w:history="1">
        <w:r w:rsidRPr="00204094">
          <w:rPr>
            <w:rStyle w:val="Hyperlink"/>
          </w:rPr>
          <w:t>https://www.courts.state.md.us/sites/default/files/unreported-opinions/1098s22.pdf</w:t>
        </w:r>
      </w:hyperlink>
      <w:r>
        <w:t xml:space="preserve"> </w:t>
      </w:r>
    </w:p>
    <w:p w14:paraId="32C29F5D" w14:textId="77777777" w:rsidR="00782139" w:rsidRDefault="00782139" w:rsidP="00782139">
      <w:pPr>
        <w:pStyle w:val="NoSpacing"/>
        <w:rPr>
          <w:bCs/>
        </w:rPr>
      </w:pPr>
    </w:p>
    <w:p w14:paraId="6F68850E" w14:textId="77777777" w:rsidR="00782139" w:rsidRPr="00BD39E4" w:rsidRDefault="00782139" w:rsidP="00782139">
      <w:pPr>
        <w:pStyle w:val="NoSpacing"/>
        <w:rPr>
          <w:b/>
        </w:rPr>
      </w:pPr>
      <w:r w:rsidRPr="00BD39E4">
        <w:rPr>
          <w:b/>
        </w:rPr>
        <w:t>KEY FACTS:</w:t>
      </w:r>
    </w:p>
    <w:p w14:paraId="17C554DD" w14:textId="77777777" w:rsidR="00782139" w:rsidRDefault="00782139" w:rsidP="00782139">
      <w:pPr>
        <w:pStyle w:val="NoSpacing"/>
        <w:rPr>
          <w:bCs/>
        </w:rPr>
      </w:pPr>
    </w:p>
    <w:p w14:paraId="08554F9F" w14:textId="77777777" w:rsidR="00782139" w:rsidRDefault="00782139" w:rsidP="00782139">
      <w:pPr>
        <w:pStyle w:val="NoSpacing"/>
        <w:ind w:left="720"/>
        <w:rPr>
          <w:bCs/>
        </w:rPr>
      </w:pPr>
      <w:r>
        <w:t>“</w:t>
      </w:r>
      <w:r w:rsidRPr="00742BFE">
        <w:t>While working for the Prince George’s County Fire Department, Bradley</w:t>
      </w:r>
      <w:r>
        <w:t xml:space="preserve"> </w:t>
      </w:r>
      <w:r w:rsidRPr="00742BFE">
        <w:t>Schroeder, the Appellee, suffered an injury to his back during a training exercise. Based</w:t>
      </w:r>
      <w:r>
        <w:t xml:space="preserve"> </w:t>
      </w:r>
      <w:r w:rsidRPr="00742BFE">
        <w:t>on his injuries, the Appellee filed a worker’s compensation claim. The Worker’s</w:t>
      </w:r>
      <w:r>
        <w:t xml:space="preserve"> </w:t>
      </w:r>
      <w:r w:rsidRPr="00742BFE">
        <w:t>Compensation Commission found that the Appellee had a 3.5% permanent partial</w:t>
      </w:r>
      <w:r>
        <w:t xml:space="preserve"> </w:t>
      </w:r>
      <w:r w:rsidRPr="00742BFE">
        <w:t>disability. The Appellee appealed this ruling to the Circuit Court for Prince George’s</w:t>
      </w:r>
      <w:r>
        <w:t xml:space="preserve"> </w:t>
      </w:r>
      <w:r w:rsidRPr="00742BFE">
        <w:t xml:space="preserve">County. After a trial, the jury returned a verdict of 63% permanent partial disability. </w:t>
      </w:r>
      <w:proofErr w:type="gramStart"/>
      <w:r w:rsidRPr="00742BFE">
        <w:t>The</w:t>
      </w:r>
      <w:r>
        <w:t xml:space="preserve"> </w:t>
      </w:r>
      <w:r w:rsidRPr="00742BFE">
        <w:t>Prince</w:t>
      </w:r>
      <w:proofErr w:type="gramEnd"/>
      <w:r w:rsidRPr="00742BFE">
        <w:t xml:space="preserve"> George’s County Government, the County, filed a Motion for a New Trial, arguing</w:t>
      </w:r>
      <w:r>
        <w:t xml:space="preserve"> </w:t>
      </w:r>
      <w:r w:rsidRPr="00742BFE">
        <w:t>that this verdict was grossly excessive, which the trial court denied. The County appealed</w:t>
      </w:r>
      <w:r>
        <w:t xml:space="preserve"> </w:t>
      </w:r>
      <w:r w:rsidRPr="00742BFE">
        <w:t>the judgment to this Court.</w:t>
      </w:r>
    </w:p>
    <w:p w14:paraId="4BDC361E" w14:textId="77777777" w:rsidR="00782139" w:rsidRDefault="00782139" w:rsidP="00782139">
      <w:pPr>
        <w:pStyle w:val="NoSpacing"/>
        <w:ind w:firstLine="720"/>
        <w:rPr>
          <w:bCs/>
        </w:rPr>
      </w:pPr>
    </w:p>
    <w:p w14:paraId="5A14EEF2" w14:textId="77777777" w:rsidR="00782139" w:rsidRDefault="00782139" w:rsidP="00782139">
      <w:pPr>
        <w:pStyle w:val="NoSpacing"/>
        <w:ind w:firstLine="720"/>
        <w:rPr>
          <w:bCs/>
        </w:rPr>
      </w:pPr>
      <w:r>
        <w:t>***</w:t>
      </w:r>
    </w:p>
    <w:p w14:paraId="701F8FC7" w14:textId="77777777" w:rsidR="00782139" w:rsidRPr="00033701" w:rsidRDefault="00782139" w:rsidP="00782139">
      <w:pPr>
        <w:pStyle w:val="NoSpacing"/>
        <w:ind w:firstLine="720"/>
        <w:rPr>
          <w:bCs/>
        </w:rPr>
      </w:pPr>
      <w:r w:rsidRPr="00033701">
        <w:t xml:space="preserve">The Appellee began working for </w:t>
      </w:r>
      <w:proofErr w:type="gramStart"/>
      <w:r w:rsidRPr="00033701">
        <w:t>the Prince</w:t>
      </w:r>
      <w:proofErr w:type="gramEnd"/>
      <w:r w:rsidRPr="00033701">
        <w:t xml:space="preserve"> George’s County Fire Department in</w:t>
      </w:r>
    </w:p>
    <w:p w14:paraId="05DBCBA5" w14:textId="77777777" w:rsidR="00782139" w:rsidRPr="00057EA9" w:rsidRDefault="00782139" w:rsidP="00782139">
      <w:pPr>
        <w:pStyle w:val="NoSpacing"/>
        <w:ind w:left="720"/>
        <w:rPr>
          <w:bCs/>
        </w:rPr>
      </w:pPr>
      <w:r w:rsidRPr="00033701">
        <w:t>June of 2015. On January 9, 2019, he participated in a training exercise at an abandoned</w:t>
      </w:r>
      <w:r>
        <w:t xml:space="preserve"> </w:t>
      </w:r>
      <w:r w:rsidRPr="00057EA9">
        <w:t>building. Part of the training involved a series of tasks performed with full gear, with the</w:t>
      </w:r>
    </w:p>
    <w:p w14:paraId="5C202047" w14:textId="77777777" w:rsidR="00782139" w:rsidRPr="00057EA9" w:rsidRDefault="00782139" w:rsidP="00782139">
      <w:pPr>
        <w:pStyle w:val="NoSpacing"/>
        <w:ind w:firstLine="720"/>
        <w:rPr>
          <w:bCs/>
        </w:rPr>
      </w:pPr>
      <w:r w:rsidRPr="00057EA9">
        <w:t>final task being a simulation of the ceiling falling on the firefighter. This simulation</w:t>
      </w:r>
    </w:p>
    <w:p w14:paraId="57832B7E" w14:textId="77777777" w:rsidR="00782139" w:rsidRPr="00057EA9" w:rsidRDefault="00782139" w:rsidP="00782139">
      <w:pPr>
        <w:pStyle w:val="NoSpacing"/>
        <w:ind w:firstLine="720"/>
        <w:rPr>
          <w:bCs/>
        </w:rPr>
      </w:pPr>
      <w:r w:rsidRPr="00057EA9">
        <w:t>involved a heavy six-foot by ten-foot chain-link fence coming down directly on top of the</w:t>
      </w:r>
    </w:p>
    <w:p w14:paraId="5E286999" w14:textId="77777777" w:rsidR="00782139" w:rsidRPr="00057EA9" w:rsidRDefault="00782139" w:rsidP="00782139">
      <w:pPr>
        <w:pStyle w:val="NoSpacing"/>
        <w:ind w:firstLine="720"/>
        <w:rPr>
          <w:bCs/>
        </w:rPr>
      </w:pPr>
      <w:r w:rsidRPr="00057EA9">
        <w:t>firefighter. When the Appellee got to this part of the simulation, the other firefighters put</w:t>
      </w:r>
    </w:p>
    <w:p w14:paraId="4F67F0D7" w14:textId="77777777" w:rsidR="00782139" w:rsidRDefault="00782139" w:rsidP="00782139">
      <w:pPr>
        <w:pStyle w:val="NoSpacing"/>
        <w:ind w:left="720"/>
        <w:rPr>
          <w:bCs/>
        </w:rPr>
      </w:pPr>
      <w:r w:rsidRPr="00057EA9">
        <w:t>the fence down on him. The Appellee threw it off and knelt on all fours on the ground. The</w:t>
      </w:r>
      <w:r>
        <w:t xml:space="preserve"> </w:t>
      </w:r>
      <w:r w:rsidRPr="00057EA9">
        <w:t>instructor then jumped on the Appellee’s back and the Appellee flattened out on the floor,</w:t>
      </w:r>
      <w:r>
        <w:t xml:space="preserve"> </w:t>
      </w:r>
      <w:r w:rsidRPr="00057EA9">
        <w:t>held down by the others until he called for a mayday on his radio. The Appellee’s back</w:t>
      </w:r>
      <w:r>
        <w:t xml:space="preserve"> </w:t>
      </w:r>
      <w:r w:rsidRPr="00057EA9">
        <w:t>began to hurt immediately after this exercise.</w:t>
      </w:r>
    </w:p>
    <w:p w14:paraId="618F5546" w14:textId="77777777" w:rsidR="00782139" w:rsidRDefault="00782139" w:rsidP="00782139">
      <w:pPr>
        <w:pStyle w:val="NoSpacing"/>
        <w:ind w:left="720"/>
        <w:rPr>
          <w:bCs/>
        </w:rPr>
      </w:pPr>
    </w:p>
    <w:p w14:paraId="52C75138" w14:textId="77777777" w:rsidR="00782139" w:rsidRDefault="00782139" w:rsidP="00782139">
      <w:pPr>
        <w:pStyle w:val="NoSpacing"/>
        <w:ind w:left="720"/>
        <w:rPr>
          <w:bCs/>
        </w:rPr>
      </w:pPr>
      <w:r>
        <w:t>***</w:t>
      </w:r>
    </w:p>
    <w:p w14:paraId="4383B5AC" w14:textId="77777777" w:rsidR="00782139" w:rsidRPr="00E2647D" w:rsidRDefault="00782139" w:rsidP="00782139">
      <w:pPr>
        <w:pStyle w:val="NoSpacing"/>
        <w:ind w:left="720"/>
        <w:rPr>
          <w:bCs/>
        </w:rPr>
      </w:pPr>
      <w:r w:rsidRPr="00E2647D">
        <w:t>The Appellee filed a worker’s compensation claim. A hearing was held by the</w:t>
      </w:r>
      <w:r>
        <w:t xml:space="preserve"> </w:t>
      </w:r>
      <w:r w:rsidRPr="00E2647D">
        <w:t>Workers’ Compensation Commission on September 25, 2020. By this time, the Appellee</w:t>
      </w:r>
    </w:p>
    <w:p w14:paraId="2EDD69A4" w14:textId="77777777" w:rsidR="00782139" w:rsidRPr="00E2647D" w:rsidRDefault="00782139" w:rsidP="00782139">
      <w:pPr>
        <w:pStyle w:val="NoSpacing"/>
        <w:ind w:left="720"/>
        <w:rPr>
          <w:bCs/>
        </w:rPr>
      </w:pPr>
      <w:r w:rsidRPr="00E2647D">
        <w:t>had returned to his full duties. However, he was not working any voluntary overtime like</w:t>
      </w:r>
    </w:p>
    <w:p w14:paraId="7F2A9077" w14:textId="77777777" w:rsidR="00782139" w:rsidRPr="00E2647D" w:rsidRDefault="00782139" w:rsidP="00782139">
      <w:pPr>
        <w:pStyle w:val="NoSpacing"/>
        <w:ind w:left="720"/>
        <w:rPr>
          <w:bCs/>
        </w:rPr>
      </w:pPr>
      <w:proofErr w:type="gramStart"/>
      <w:r w:rsidRPr="00E2647D">
        <w:t>he</w:t>
      </w:r>
      <w:proofErr w:type="gramEnd"/>
      <w:r w:rsidRPr="00E2647D">
        <w:t xml:space="preserve"> had prior to his injuries because he needed to rest his back. His injuries prevented him</w:t>
      </w:r>
    </w:p>
    <w:p w14:paraId="1EF527E8" w14:textId="77777777" w:rsidR="00782139" w:rsidRPr="00E2647D" w:rsidRDefault="00782139" w:rsidP="00782139">
      <w:pPr>
        <w:pStyle w:val="NoSpacing"/>
        <w:ind w:left="720"/>
        <w:rPr>
          <w:bCs/>
        </w:rPr>
      </w:pPr>
      <w:r w:rsidRPr="00E2647D">
        <w:t>from playing softball and golf. The Appellee said that at the time of the hearing his</w:t>
      </w:r>
    </w:p>
    <w:p w14:paraId="3E08C0BB" w14:textId="77777777" w:rsidR="00782139" w:rsidRPr="00C06A4E" w:rsidRDefault="00782139" w:rsidP="00782139">
      <w:pPr>
        <w:pStyle w:val="NoSpacing"/>
        <w:ind w:left="720"/>
        <w:rPr>
          <w:bCs/>
        </w:rPr>
      </w:pPr>
      <w:r w:rsidRPr="00E2647D">
        <w:t>symptoms had not resolved. The Appellee said he still had pain during 24-hour shifts,</w:t>
      </w:r>
      <w:r>
        <w:t xml:space="preserve"> </w:t>
      </w:r>
      <w:r w:rsidRPr="00C06A4E">
        <w:t>especially when he was crawling around. The pain was shooting pain down his back and</w:t>
      </w:r>
    </w:p>
    <w:p w14:paraId="70D68A6A" w14:textId="77777777" w:rsidR="00782139" w:rsidRDefault="00782139" w:rsidP="00782139">
      <w:pPr>
        <w:pStyle w:val="NoSpacing"/>
        <w:ind w:left="720"/>
        <w:rPr>
          <w:bCs/>
        </w:rPr>
      </w:pPr>
      <w:r w:rsidRPr="00C06A4E">
        <w:t>he experienced stiffness between his shoulder blades.</w:t>
      </w:r>
      <w:r>
        <w:t>”</w:t>
      </w:r>
    </w:p>
    <w:p w14:paraId="71890575" w14:textId="77777777" w:rsidR="00782139" w:rsidRDefault="00782139" w:rsidP="00782139">
      <w:pPr>
        <w:pStyle w:val="NoSpacing"/>
        <w:rPr>
          <w:bCs/>
        </w:rPr>
      </w:pPr>
    </w:p>
    <w:p w14:paraId="30A34A92" w14:textId="77777777" w:rsidR="00782139" w:rsidRPr="00552F88" w:rsidRDefault="00782139" w:rsidP="00782139">
      <w:pPr>
        <w:pStyle w:val="NoSpacing"/>
        <w:rPr>
          <w:b/>
        </w:rPr>
      </w:pPr>
      <w:r>
        <w:rPr>
          <w:b/>
        </w:rPr>
        <w:t xml:space="preserve">Legal lesson learned:  Maryland law provides for jury to increase Work Comp award. </w:t>
      </w:r>
    </w:p>
    <w:p w14:paraId="2FABEA8C" w14:textId="77777777" w:rsidR="00782139" w:rsidRDefault="00782139" w:rsidP="00EF1133">
      <w:pPr>
        <w:rPr>
          <w:rFonts w:ascii="Arial Black" w:hAnsi="Arial Black"/>
          <w:b/>
          <w:sz w:val="24"/>
          <w:szCs w:val="24"/>
        </w:rPr>
      </w:pPr>
    </w:p>
    <w:p w14:paraId="4DB6EBA5" w14:textId="77777777" w:rsidR="005E6D64" w:rsidRDefault="005E6D64" w:rsidP="00EF1133">
      <w:pPr>
        <w:rPr>
          <w:rFonts w:ascii="Arial Black" w:hAnsi="Arial Black"/>
          <w:b/>
          <w:sz w:val="24"/>
          <w:szCs w:val="24"/>
        </w:rPr>
      </w:pPr>
    </w:p>
    <w:p w14:paraId="5810C630" w14:textId="376F9DAE" w:rsidR="000624FD" w:rsidRDefault="000624FD" w:rsidP="000624FD">
      <w:pPr>
        <w:pStyle w:val="NoSpacing"/>
        <w:rPr>
          <w:rFonts w:ascii="Arial Black" w:hAnsi="Arial Black"/>
          <w:b/>
          <w:sz w:val="28"/>
          <w:szCs w:val="28"/>
        </w:rPr>
      </w:pPr>
      <w:r>
        <w:rPr>
          <w:rFonts w:ascii="Arial Black" w:hAnsi="Arial Black"/>
          <w:b/>
          <w:sz w:val="28"/>
          <w:szCs w:val="28"/>
        </w:rPr>
        <w:t>6-16</w:t>
      </w:r>
      <w:r w:rsidR="002A0697">
        <w:rPr>
          <w:rFonts w:ascii="Arial Black" w:hAnsi="Arial Black"/>
          <w:b/>
          <w:sz w:val="28"/>
          <w:szCs w:val="28"/>
        </w:rPr>
        <w:t>7</w:t>
      </w:r>
    </w:p>
    <w:p w14:paraId="65DF2835" w14:textId="77777777" w:rsidR="000624FD" w:rsidRDefault="000624FD" w:rsidP="005E6D64">
      <w:pPr>
        <w:pStyle w:val="NoSpacing"/>
        <w:rPr>
          <w:rFonts w:ascii="Arial Black" w:hAnsi="Arial Black"/>
          <w:sz w:val="28"/>
          <w:szCs w:val="28"/>
        </w:rPr>
      </w:pPr>
    </w:p>
    <w:p w14:paraId="2FDED63F" w14:textId="40D6DB7C" w:rsidR="005E6D64" w:rsidRPr="00606633" w:rsidRDefault="005E6D64" w:rsidP="005E6D64">
      <w:pPr>
        <w:pStyle w:val="NoSpacing"/>
        <w:rPr>
          <w:rFonts w:ascii="Arial Black" w:hAnsi="Arial Black"/>
          <w:sz w:val="28"/>
          <w:szCs w:val="28"/>
        </w:rPr>
      </w:pPr>
      <w:r>
        <w:rPr>
          <w:rFonts w:ascii="Arial Black" w:hAnsi="Arial Black"/>
          <w:sz w:val="28"/>
          <w:szCs w:val="28"/>
        </w:rPr>
        <w:t xml:space="preserve">NY: WIDOW – </w:t>
      </w:r>
      <w:r w:rsidR="007A51E6">
        <w:rPr>
          <w:rFonts w:ascii="Arial Black" w:hAnsi="Arial Black"/>
          <w:sz w:val="28"/>
          <w:szCs w:val="28"/>
        </w:rPr>
        <w:t xml:space="preserve">LODD </w:t>
      </w:r>
      <w:r w:rsidR="00042C6A">
        <w:rPr>
          <w:rFonts w:ascii="Arial Black" w:hAnsi="Arial Black"/>
          <w:sz w:val="28"/>
          <w:szCs w:val="28"/>
        </w:rPr>
        <w:t xml:space="preserve">BENEFITS </w:t>
      </w:r>
      <w:r w:rsidR="00693E53">
        <w:rPr>
          <w:rFonts w:ascii="Arial Black" w:hAnsi="Arial Black"/>
          <w:sz w:val="28"/>
          <w:szCs w:val="28"/>
        </w:rPr>
        <w:t>–</w:t>
      </w:r>
      <w:r w:rsidR="00042C6A">
        <w:rPr>
          <w:rFonts w:ascii="Arial Black" w:hAnsi="Arial Black"/>
          <w:sz w:val="28"/>
          <w:szCs w:val="28"/>
        </w:rPr>
        <w:t xml:space="preserve"> </w:t>
      </w:r>
      <w:r>
        <w:rPr>
          <w:rFonts w:ascii="Arial Black" w:hAnsi="Arial Black"/>
          <w:sz w:val="28"/>
          <w:szCs w:val="28"/>
        </w:rPr>
        <w:t>CARDIAC</w:t>
      </w:r>
      <w:r w:rsidR="00693E53">
        <w:rPr>
          <w:rFonts w:ascii="Arial Black" w:hAnsi="Arial Black"/>
          <w:sz w:val="28"/>
          <w:szCs w:val="28"/>
        </w:rPr>
        <w:t xml:space="preserve"> – NY </w:t>
      </w:r>
      <w:r>
        <w:rPr>
          <w:rFonts w:ascii="Arial Black" w:hAnsi="Arial Black"/>
          <w:sz w:val="28"/>
          <w:szCs w:val="28"/>
        </w:rPr>
        <w:t xml:space="preserve">HEART BILL – EVEN IF COCAINE </w:t>
      </w:r>
    </w:p>
    <w:p w14:paraId="12CE0DD3" w14:textId="77777777" w:rsidR="005E6D64" w:rsidRDefault="005E6D64" w:rsidP="005E6D64">
      <w:pPr>
        <w:pStyle w:val="NoSpacing"/>
      </w:pPr>
    </w:p>
    <w:p w14:paraId="05F51074" w14:textId="77777777" w:rsidR="005E6D64" w:rsidRDefault="005E6D64" w:rsidP="005E6D64">
      <w:pPr>
        <w:pStyle w:val="NoSpacing"/>
        <w:rPr>
          <w:bCs/>
        </w:rPr>
      </w:pPr>
      <w:r>
        <w:lastRenderedPageBreak/>
        <w:t xml:space="preserve">On Aug. 26, 2025, in </w:t>
      </w:r>
      <w:r w:rsidRPr="00B80F96">
        <w:rPr>
          <w:u w:val="single"/>
        </w:rPr>
        <w:t>Deborah Morrison-Morgan v. Robert Tucker, The Board of Trustees of the New York City Fire Department</w:t>
      </w:r>
      <w:r>
        <w:t xml:space="preserve">, the </w:t>
      </w:r>
      <w:r w:rsidRPr="00B80F96">
        <w:t xml:space="preserve">Supreme Court, </w:t>
      </w:r>
      <w:r>
        <w:t xml:space="preserve">Justice Jeffrey H. Pearlman, Supreme Court, </w:t>
      </w:r>
      <w:r w:rsidRPr="00B80F96">
        <w:t>New York County</w:t>
      </w:r>
      <w:r>
        <w:t xml:space="preserve"> held (unpublished decision) that the widow is entitled to line-of-duty death benefits under the Heart Bill’s statutory presumption, even if autopsy revealed cocaine.  </w:t>
      </w:r>
    </w:p>
    <w:p w14:paraId="2584D97B" w14:textId="77777777" w:rsidR="005E6D64" w:rsidRDefault="005E6D64" w:rsidP="005E6D64">
      <w:pPr>
        <w:pStyle w:val="NoSpacing"/>
        <w:rPr>
          <w:bCs/>
        </w:rPr>
      </w:pPr>
    </w:p>
    <w:p w14:paraId="74980505" w14:textId="77777777" w:rsidR="005E6D64" w:rsidRDefault="005E6D64" w:rsidP="005E6D64">
      <w:pPr>
        <w:pStyle w:val="NoSpacing"/>
      </w:pPr>
      <w:r w:rsidRPr="002B48FE">
        <w:rPr>
          <w:b/>
        </w:rPr>
        <w:t>THE COURT HELD:</w:t>
      </w:r>
      <w:r>
        <w:t xml:space="preserve"> “[W]hen Decedent joined the FDNY, he passed his physical examination … revealed no heart conditions. Decedent died while serving as an FDNY firefighter and his autopsy report listed cardiomegaly and coronary atherosclerosis, moderate, both heart diseases…. These facts plainly qualify Petitioner for the statutory presumption that t</w:t>
      </w:r>
      <w:r w:rsidRPr="00430B2A">
        <w:t>he Heart Bill provides.</w:t>
      </w:r>
      <w:r>
        <w:t xml:space="preserve">”  </w:t>
      </w:r>
      <w:hyperlink r:id="rId1055" w:history="1">
        <w:r w:rsidRPr="008D04E3">
          <w:rPr>
            <w:rStyle w:val="Hyperlink"/>
          </w:rPr>
          <w:t>https://cases.justia.com/new-york/other-courts/2025-2025-ny-slip-op-33207-u.pdf?ts=1757714614</w:t>
        </w:r>
      </w:hyperlink>
      <w:r>
        <w:t xml:space="preserve"> </w:t>
      </w:r>
    </w:p>
    <w:p w14:paraId="070579A5" w14:textId="77777777" w:rsidR="005E6D64" w:rsidRDefault="005E6D64" w:rsidP="005E6D64">
      <w:pPr>
        <w:rPr>
          <w:bCs/>
        </w:rPr>
      </w:pPr>
    </w:p>
    <w:p w14:paraId="781866E9" w14:textId="77777777" w:rsidR="005E6D64" w:rsidRPr="002B48FE" w:rsidRDefault="005E6D64" w:rsidP="005E6D64">
      <w:pPr>
        <w:rPr>
          <w:b/>
        </w:rPr>
      </w:pPr>
      <w:r w:rsidRPr="002B48FE">
        <w:rPr>
          <w:b/>
        </w:rPr>
        <w:t>KEY FACTS:</w:t>
      </w:r>
    </w:p>
    <w:p w14:paraId="5B30ECC8" w14:textId="77777777" w:rsidR="005E6D64" w:rsidRPr="007B337D" w:rsidRDefault="005E6D64" w:rsidP="005E6D64">
      <w:pPr>
        <w:pStyle w:val="NoSpacing"/>
        <w:ind w:firstLine="720"/>
        <w:rPr>
          <w:bCs/>
        </w:rPr>
      </w:pPr>
      <w:r>
        <w:t>“</w:t>
      </w:r>
      <w:r w:rsidRPr="007B337D">
        <w:t>Petitioner is the widow and beneficiary</w:t>
      </w:r>
      <w:r>
        <w:t xml:space="preserve"> </w:t>
      </w:r>
      <w:r w:rsidRPr="007B337D">
        <w:t>of</w:t>
      </w:r>
      <w:r>
        <w:t xml:space="preserve"> </w:t>
      </w:r>
      <w:r w:rsidRPr="007B337D">
        <w:t>FDNY Firefighter John P. Morgan</w:t>
      </w:r>
    </w:p>
    <w:p w14:paraId="7EF8A379" w14:textId="77777777" w:rsidR="005E6D64" w:rsidRPr="007B337D" w:rsidRDefault="005E6D64" w:rsidP="005E6D64">
      <w:pPr>
        <w:pStyle w:val="NoSpacing"/>
        <w:ind w:left="720"/>
        <w:rPr>
          <w:bCs/>
        </w:rPr>
      </w:pPr>
      <w:r w:rsidRPr="007B337D">
        <w:t>(</w:t>
      </w:r>
      <w:r>
        <w:t>‘</w:t>
      </w:r>
      <w:r w:rsidRPr="007B337D">
        <w:t>Decedent</w:t>
      </w:r>
      <w:r>
        <w:t>’</w:t>
      </w:r>
      <w:r w:rsidRPr="007B337D">
        <w:t xml:space="preserve">). Decedent served as a Firefighter in the FDNY from August 5, </w:t>
      </w:r>
      <w:proofErr w:type="gramStart"/>
      <w:r w:rsidRPr="007B337D">
        <w:t>2007</w:t>
      </w:r>
      <w:proofErr w:type="gramEnd"/>
      <w:r w:rsidRPr="007B337D">
        <w:t xml:space="preserve"> continuously</w:t>
      </w:r>
      <w:r>
        <w:t xml:space="preserve"> </w:t>
      </w:r>
      <w:r w:rsidRPr="007B337D">
        <w:t>until his death on July 4, 2024. On June 17, 2023, the FDNY Bureau</w:t>
      </w:r>
    </w:p>
    <w:p w14:paraId="23A44B99" w14:textId="77777777" w:rsidR="005E6D64" w:rsidRDefault="005E6D64" w:rsidP="005E6D64">
      <w:pPr>
        <w:pStyle w:val="NoSpacing"/>
        <w:ind w:left="720"/>
        <w:rPr>
          <w:bCs/>
        </w:rPr>
      </w:pPr>
      <w:r w:rsidRPr="007B337D">
        <w:t>Of</w:t>
      </w:r>
      <w:r>
        <w:t xml:space="preserve"> </w:t>
      </w:r>
      <w:r w:rsidRPr="007B337D">
        <w:t xml:space="preserve">Health </w:t>
      </w:r>
      <w:proofErr w:type="gramStart"/>
      <w:r w:rsidRPr="007B337D">
        <w:t>Services</w:t>
      </w:r>
      <w:r>
        <w:t xml:space="preserve"> </w:t>
      </w:r>
      <w:r w:rsidRPr="005516F1">
        <w:t>(</w:t>
      </w:r>
      <w:r>
        <w:t>‘</w:t>
      </w:r>
      <w:proofErr w:type="gramEnd"/>
      <w:r w:rsidRPr="005516F1">
        <w:t>BHS</w:t>
      </w:r>
      <w:r>
        <w:t>’</w:t>
      </w:r>
      <w:r w:rsidRPr="005516F1">
        <w:t xml:space="preserve">) examined Decedent due to a </w:t>
      </w:r>
      <w:proofErr w:type="gramStart"/>
      <w:r w:rsidRPr="005516F1">
        <w:t>service connected</w:t>
      </w:r>
      <w:proofErr w:type="gramEnd"/>
      <w:r w:rsidRPr="005516F1">
        <w:t xml:space="preserve"> injury. Pet. </w:t>
      </w:r>
      <w:proofErr w:type="spellStart"/>
      <w:r w:rsidRPr="005516F1">
        <w:t>Exh</w:t>
      </w:r>
      <w:proofErr w:type="spellEnd"/>
      <w:r w:rsidRPr="005516F1">
        <w:t>. A., NYSCEF Doc. No.</w:t>
      </w:r>
      <w:r>
        <w:t xml:space="preserve"> </w:t>
      </w:r>
      <w:r w:rsidRPr="005516F1">
        <w:t>3. In BHS's Examination Report, decedent's blood pressure reading was 157/98, a reading</w:t>
      </w:r>
      <w:r>
        <w:t xml:space="preserve"> </w:t>
      </w:r>
      <w:r w:rsidRPr="005516F1">
        <w:t>consistent with Stage II Hypertension. Id. On July 1, 2023, a BHS Clinic-Triage report measured</w:t>
      </w:r>
      <w:r>
        <w:t xml:space="preserve"> </w:t>
      </w:r>
      <w:r w:rsidRPr="005516F1">
        <w:t>Decedent's blood pressure at 157/98, also consistent with Stage II Hypertension</w:t>
      </w:r>
      <w:r>
        <w:t xml:space="preserve">…. </w:t>
      </w:r>
      <w:r w:rsidRPr="005516F1">
        <w:t>Decedent died on July 4, 2023, during active service; an autopsy reported</w:t>
      </w:r>
      <w:r>
        <w:t xml:space="preserve"> </w:t>
      </w:r>
      <w:r w:rsidRPr="005516F1">
        <w:t xml:space="preserve">the cause of death as </w:t>
      </w:r>
      <w:r>
        <w:t>‘</w:t>
      </w:r>
      <w:r w:rsidRPr="005516F1">
        <w:t>cardiomegaly with recent cocaine use" with pathological diagnoses</w:t>
      </w:r>
      <w:r>
        <w:t xml:space="preserve"> </w:t>
      </w:r>
      <w:r w:rsidRPr="005516F1">
        <w:t>including</w:t>
      </w:r>
      <w:r>
        <w:t xml:space="preserve">’ </w:t>
      </w:r>
      <w:r w:rsidRPr="005516F1">
        <w:t>coronary atherosclerosis, moderate</w:t>
      </w:r>
      <w:r>
        <w:t>….’</w:t>
      </w:r>
      <w:r w:rsidRPr="005516F1">
        <w:t xml:space="preserve"> </w:t>
      </w:r>
    </w:p>
    <w:p w14:paraId="70F5031F" w14:textId="77777777" w:rsidR="005E6D64" w:rsidRDefault="005E6D64" w:rsidP="005E6D64">
      <w:pPr>
        <w:pStyle w:val="NoSpacing"/>
        <w:ind w:left="720"/>
        <w:rPr>
          <w:bCs/>
        </w:rPr>
      </w:pPr>
    </w:p>
    <w:p w14:paraId="0285B49A" w14:textId="77777777" w:rsidR="005E6D64" w:rsidRPr="00ED7AB1" w:rsidRDefault="005E6D64" w:rsidP="005E6D64">
      <w:pPr>
        <w:pStyle w:val="NoSpacing"/>
        <w:ind w:left="720"/>
        <w:rPr>
          <w:bCs/>
        </w:rPr>
      </w:pPr>
      <w:r w:rsidRPr="00ED7AB1">
        <w:t>Petitioner filed an Application for Administrative Line-of-Duty Pension with the FDF on</w:t>
      </w:r>
    </w:p>
    <w:p w14:paraId="5E6E20A1" w14:textId="77777777" w:rsidR="005E6D64" w:rsidRDefault="005E6D64" w:rsidP="005E6D64">
      <w:pPr>
        <w:pStyle w:val="NoSpacing"/>
        <w:ind w:left="720"/>
        <w:rPr>
          <w:bCs/>
        </w:rPr>
      </w:pPr>
      <w:r w:rsidRPr="00ED7AB1">
        <w:t>September 11, 2023</w:t>
      </w:r>
      <w:r>
        <w:t>….</w:t>
      </w:r>
      <w:r w:rsidRPr="00ED7AB1">
        <w:t xml:space="preserve"> On January 2, 2024, the FPF Medical</w:t>
      </w:r>
      <w:r>
        <w:t xml:space="preserve"> </w:t>
      </w:r>
      <w:r w:rsidRPr="00ED7AB1">
        <w:t xml:space="preserve">Board declined Petitioner's application on the grounds that it was </w:t>
      </w:r>
      <w:r>
        <w:t>‘</w:t>
      </w:r>
      <w:r w:rsidRPr="00ED7AB1">
        <w:t>not possible to define the</w:t>
      </w:r>
      <w:r>
        <w:t xml:space="preserve"> </w:t>
      </w:r>
      <w:r w:rsidRPr="00ED7AB1">
        <w:t>basis for [Decedent]'s death ... [as] cardiomegaly ... does not define the etiology of his death.</w:t>
      </w:r>
      <w:r>
        <w:t xml:space="preserve">’ … </w:t>
      </w:r>
      <w:r w:rsidRPr="00ED7AB1">
        <w:t xml:space="preserve">The Medical Board further cited </w:t>
      </w:r>
      <w:r>
        <w:t>‘</w:t>
      </w:r>
      <w:r w:rsidRPr="00ED7AB1">
        <w:t>evidence of recent cocaine use</w:t>
      </w:r>
      <w:r>
        <w:t xml:space="preserve">’ </w:t>
      </w:r>
      <w:r w:rsidRPr="00ED7AB1">
        <w:t>as a factor obscuring Decedent's cause of death. Id. On May 29, 2024, the Board of Trustees</w:t>
      </w:r>
      <w:r>
        <w:t xml:space="preserve"> </w:t>
      </w:r>
      <w:r w:rsidRPr="00ED7AB1">
        <w:t xml:space="preserve">denied Petitioner's application based on the Medical Board </w:t>
      </w:r>
      <w:proofErr w:type="gramStart"/>
      <w:r w:rsidRPr="00ED7AB1">
        <w:t>recommendation.</w:t>
      </w:r>
      <w:r>
        <w:t>”</w:t>
      </w:r>
      <w:proofErr w:type="gramEnd"/>
    </w:p>
    <w:p w14:paraId="41E6B288" w14:textId="77777777" w:rsidR="005E6D64" w:rsidRDefault="005E6D64" w:rsidP="005E6D64">
      <w:pPr>
        <w:pStyle w:val="NoSpacing"/>
        <w:rPr>
          <w:b/>
          <w:bCs/>
        </w:rPr>
      </w:pPr>
    </w:p>
    <w:p w14:paraId="4A5BE76B" w14:textId="77777777" w:rsidR="005E6D64" w:rsidRPr="00466C63" w:rsidRDefault="005E6D64" w:rsidP="005E6D64">
      <w:pPr>
        <w:pStyle w:val="NoSpacing"/>
        <w:rPr>
          <w:b/>
          <w:bCs/>
        </w:rPr>
      </w:pPr>
      <w:r>
        <w:rPr>
          <w:b/>
        </w:rPr>
        <w:t>Legal lesson learned</w:t>
      </w:r>
      <w:proofErr w:type="gramStart"/>
      <w:r>
        <w:rPr>
          <w:b/>
        </w:rPr>
        <w:t>: The</w:t>
      </w:r>
      <w:r>
        <w:rPr>
          <w:b/>
          <w:bCs/>
        </w:rPr>
        <w:t xml:space="preserve"> </w:t>
      </w:r>
      <w:r>
        <w:rPr>
          <w:b/>
        </w:rPr>
        <w:t>statutory</w:t>
      </w:r>
      <w:proofErr w:type="gramEnd"/>
      <w:r>
        <w:rPr>
          <w:b/>
        </w:rPr>
        <w:t xml:space="preserve"> presumption in the Heart Bill controls, even if there is evidence of cocaine use. </w:t>
      </w:r>
    </w:p>
    <w:p w14:paraId="7019FBD4" w14:textId="77777777" w:rsidR="005E6D64" w:rsidRDefault="005E6D64" w:rsidP="00EF1133">
      <w:pPr>
        <w:rPr>
          <w:rFonts w:ascii="Arial Black" w:hAnsi="Arial Black"/>
          <w:b/>
          <w:sz w:val="24"/>
          <w:szCs w:val="24"/>
        </w:rPr>
      </w:pPr>
    </w:p>
    <w:p w14:paraId="28943BD2" w14:textId="77777777" w:rsidR="00D44956" w:rsidRDefault="00D44956" w:rsidP="00EF1133">
      <w:pPr>
        <w:rPr>
          <w:rFonts w:ascii="Arial Black" w:hAnsi="Arial Black"/>
          <w:b/>
          <w:sz w:val="24"/>
          <w:szCs w:val="24"/>
        </w:rPr>
      </w:pPr>
    </w:p>
    <w:p w14:paraId="15FB7053" w14:textId="67D0D791" w:rsidR="002F205D" w:rsidRDefault="002F205D" w:rsidP="0086215E">
      <w:pPr>
        <w:pStyle w:val="NoSpacing"/>
        <w:rPr>
          <w:rFonts w:ascii="Arial Black" w:hAnsi="Arial Black"/>
          <w:b/>
          <w:sz w:val="28"/>
          <w:szCs w:val="28"/>
        </w:rPr>
      </w:pPr>
      <w:r>
        <w:rPr>
          <w:rFonts w:ascii="Arial Black" w:hAnsi="Arial Black"/>
          <w:b/>
          <w:sz w:val="28"/>
          <w:szCs w:val="28"/>
        </w:rPr>
        <w:t>6-16</w:t>
      </w:r>
      <w:r w:rsidR="002A0697">
        <w:rPr>
          <w:rFonts w:ascii="Arial Black" w:hAnsi="Arial Black"/>
          <w:b/>
          <w:sz w:val="28"/>
          <w:szCs w:val="28"/>
        </w:rPr>
        <w:t>6</w:t>
      </w:r>
    </w:p>
    <w:p w14:paraId="24B5C097" w14:textId="77777777" w:rsidR="002F205D" w:rsidRDefault="002F205D" w:rsidP="0086215E">
      <w:pPr>
        <w:pStyle w:val="NoSpacing"/>
        <w:rPr>
          <w:rFonts w:ascii="Arial Black" w:hAnsi="Arial Black"/>
          <w:b/>
          <w:sz w:val="28"/>
          <w:szCs w:val="28"/>
        </w:rPr>
      </w:pPr>
    </w:p>
    <w:p w14:paraId="0C0308E4" w14:textId="6A10E1DD" w:rsidR="0086215E" w:rsidRPr="0084729D" w:rsidRDefault="0086215E" w:rsidP="0086215E">
      <w:pPr>
        <w:pStyle w:val="NoSpacing"/>
        <w:rPr>
          <w:rFonts w:ascii="Arial Black" w:hAnsi="Arial Black"/>
          <w:b/>
          <w:sz w:val="28"/>
          <w:szCs w:val="28"/>
        </w:rPr>
      </w:pPr>
      <w:r>
        <w:rPr>
          <w:rFonts w:ascii="Arial Black" w:hAnsi="Arial Black"/>
          <w:b/>
          <w:sz w:val="28"/>
          <w:szCs w:val="28"/>
        </w:rPr>
        <w:t xml:space="preserve">IL: FF BACK INJURY – NOT CREDIBLE CLAIM </w:t>
      </w:r>
    </w:p>
    <w:p w14:paraId="6B78C973" w14:textId="77777777" w:rsidR="0086215E" w:rsidRDefault="0086215E" w:rsidP="0086215E">
      <w:pPr>
        <w:pStyle w:val="NoSpacing"/>
        <w:rPr>
          <w:bCs/>
        </w:rPr>
      </w:pPr>
    </w:p>
    <w:p w14:paraId="68F032A4" w14:textId="13D52A94" w:rsidR="003B3DED" w:rsidRPr="00483671" w:rsidRDefault="0086215E" w:rsidP="0086215E">
      <w:pPr>
        <w:pStyle w:val="NoSpacing"/>
        <w:rPr>
          <w:rFonts w:ascii="Times New Roman" w:hAnsi="Times New Roman"/>
          <w:sz w:val="24"/>
          <w:szCs w:val="24"/>
        </w:rPr>
      </w:pPr>
      <w:r w:rsidRPr="00483671">
        <w:rPr>
          <w:rFonts w:ascii="Times New Roman" w:hAnsi="Times New Roman"/>
          <w:sz w:val="24"/>
          <w:szCs w:val="24"/>
        </w:rPr>
        <w:t xml:space="preserve">On July 25, 2025, in </w:t>
      </w:r>
      <w:r w:rsidRPr="00483671">
        <w:rPr>
          <w:rFonts w:ascii="Times New Roman" w:hAnsi="Times New Roman"/>
          <w:sz w:val="24"/>
          <w:szCs w:val="24"/>
          <w:u w:val="single"/>
        </w:rPr>
        <w:t>Nicholas Witteman v. Brookfield Firefighters’ Pension Fund</w:t>
      </w:r>
      <w:r w:rsidRPr="00483671">
        <w:rPr>
          <w:rFonts w:ascii="Times New Roman" w:hAnsi="Times New Roman"/>
          <w:sz w:val="24"/>
          <w:szCs w:val="24"/>
        </w:rPr>
        <w:t xml:space="preserve">, the Court of Appeals of Illinois, First District, Sixth Division held (3 to 0) that the Board properly denied the firefighter a line-of-duty pension; only receive disability pension.  His credibility was challenged by testimony of fellow firefighters; patient used Hoyer Lift to put himself on stretcher; firefighter [and union President] never said he was injured, went on two more runs. THE COURT WROTE: “The Board concluded that Witteman was disabled </w:t>
      </w:r>
      <w:proofErr w:type="gramStart"/>
      <w:r w:rsidRPr="00483671">
        <w:rPr>
          <w:rFonts w:ascii="Times New Roman" w:hAnsi="Times New Roman"/>
          <w:sz w:val="24"/>
          <w:szCs w:val="24"/>
        </w:rPr>
        <w:t>but,</w:t>
      </w:r>
      <w:proofErr w:type="gramEnd"/>
      <w:r w:rsidRPr="00483671">
        <w:rPr>
          <w:rFonts w:ascii="Times New Roman" w:hAnsi="Times New Roman"/>
          <w:sz w:val="24"/>
          <w:szCs w:val="24"/>
        </w:rPr>
        <w:t xml:space="preserve"> based on his demeanor and credibility, as well as the testimony of others, determined that he did not injure his back by lifting the patient and, thus, unrelated to his job.” </w:t>
      </w:r>
      <w:hyperlink r:id="rId1056" w:history="1">
        <w:r w:rsidRPr="00483671">
          <w:rPr>
            <w:rStyle w:val="Hyperlink"/>
            <w:rFonts w:ascii="Times New Roman" w:hAnsi="Times New Roman"/>
            <w:sz w:val="24"/>
            <w:szCs w:val="24"/>
          </w:rPr>
          <w:t>https://ilcourtsaudio.blob.core.windows.net/antilles-resources/resources/f07642b7-1e8b-438e-bd0d-cfbc858fbc9b/Witteman%20v.%20Brookfield%20Firefighters%20Pension%20Fund%202025%20IL%20App%20(1st)%20241278.pdf</w:t>
        </w:r>
      </w:hyperlink>
    </w:p>
    <w:p w14:paraId="2FF8AC72" w14:textId="77777777" w:rsidR="00483671" w:rsidRPr="00483671" w:rsidRDefault="00483671" w:rsidP="00483671">
      <w:pPr>
        <w:pStyle w:val="NoSpacing"/>
        <w:rPr>
          <w:rFonts w:ascii="Times New Roman" w:hAnsi="Times New Roman"/>
          <w:b/>
          <w:sz w:val="24"/>
          <w:szCs w:val="24"/>
        </w:rPr>
      </w:pPr>
      <w:r w:rsidRPr="00483671">
        <w:rPr>
          <w:rFonts w:ascii="Times New Roman" w:hAnsi="Times New Roman"/>
          <w:b/>
          <w:sz w:val="24"/>
          <w:szCs w:val="24"/>
        </w:rPr>
        <w:lastRenderedPageBreak/>
        <w:t xml:space="preserve">Legal lesson learned:  If injured on the job, inform your crew and your officer and promptly complete an injury form. </w:t>
      </w:r>
    </w:p>
    <w:p w14:paraId="41C14ECB" w14:textId="77777777" w:rsidR="00483671" w:rsidRPr="00483671" w:rsidRDefault="00483671" w:rsidP="0086215E">
      <w:pPr>
        <w:pStyle w:val="NoSpacing"/>
        <w:rPr>
          <w:rFonts w:ascii="Times New Roman" w:hAnsi="Times New Roman"/>
          <w:sz w:val="24"/>
          <w:szCs w:val="24"/>
        </w:rPr>
      </w:pPr>
    </w:p>
    <w:p w14:paraId="100DF6E5" w14:textId="77777777" w:rsidR="003B3DED" w:rsidRDefault="003B3DED" w:rsidP="007C4C98">
      <w:pPr>
        <w:pStyle w:val="NoSpacing"/>
        <w:rPr>
          <w:rFonts w:ascii="Arial Black" w:hAnsi="Arial Black"/>
          <w:sz w:val="28"/>
          <w:szCs w:val="28"/>
        </w:rPr>
      </w:pPr>
    </w:p>
    <w:p w14:paraId="6C7208BE" w14:textId="77777777" w:rsidR="003B3DED" w:rsidRDefault="003B3DED" w:rsidP="007C4C98">
      <w:pPr>
        <w:pStyle w:val="NoSpacing"/>
        <w:rPr>
          <w:rFonts w:ascii="Arial Black" w:hAnsi="Arial Black"/>
          <w:sz w:val="28"/>
          <w:szCs w:val="28"/>
        </w:rPr>
      </w:pPr>
    </w:p>
    <w:p w14:paraId="101C00A3" w14:textId="785AC5F7" w:rsidR="007C4C98" w:rsidRDefault="007C4C98" w:rsidP="007C4C98">
      <w:pPr>
        <w:pStyle w:val="NoSpacing"/>
        <w:rPr>
          <w:rFonts w:ascii="Arial Black" w:hAnsi="Arial Black"/>
          <w:sz w:val="28"/>
          <w:szCs w:val="28"/>
        </w:rPr>
      </w:pPr>
      <w:r>
        <w:rPr>
          <w:rFonts w:ascii="Arial Black" w:hAnsi="Arial Black"/>
          <w:sz w:val="28"/>
          <w:szCs w:val="28"/>
        </w:rPr>
        <w:t>6-16</w:t>
      </w:r>
      <w:r w:rsidR="002A0697">
        <w:rPr>
          <w:rFonts w:ascii="Arial Black" w:hAnsi="Arial Black"/>
          <w:sz w:val="28"/>
          <w:szCs w:val="28"/>
        </w:rPr>
        <w:t>5</w:t>
      </w:r>
    </w:p>
    <w:p w14:paraId="30FA5F05" w14:textId="77777777" w:rsidR="007C4C98" w:rsidRDefault="007C4C98" w:rsidP="00462481">
      <w:pPr>
        <w:rPr>
          <w:rFonts w:ascii="Arial Black" w:hAnsi="Arial Black"/>
          <w:b/>
          <w:sz w:val="28"/>
          <w:szCs w:val="28"/>
        </w:rPr>
      </w:pPr>
    </w:p>
    <w:p w14:paraId="45D8DCF5" w14:textId="7622D2B5" w:rsidR="00462481" w:rsidRDefault="00462481" w:rsidP="00462481">
      <w:pPr>
        <w:rPr>
          <w:rFonts w:ascii="Arial Black" w:hAnsi="Arial Black"/>
          <w:b/>
          <w:sz w:val="28"/>
          <w:szCs w:val="28"/>
        </w:rPr>
      </w:pPr>
      <w:r>
        <w:rPr>
          <w:rFonts w:ascii="Arial Black" w:hAnsi="Arial Black"/>
          <w:b/>
          <w:sz w:val="28"/>
          <w:szCs w:val="28"/>
        </w:rPr>
        <w:t xml:space="preserve">IL: HEARING LOSS – FF JOB WAS “CONTRIBUTING FACTOR” </w:t>
      </w:r>
    </w:p>
    <w:p w14:paraId="2BA16B63" w14:textId="77777777" w:rsidR="00462481" w:rsidRPr="00E82675" w:rsidRDefault="00462481" w:rsidP="00462481">
      <w:pPr>
        <w:pStyle w:val="NoSpacing"/>
        <w:rPr>
          <w:rFonts w:ascii="Times New Roman" w:hAnsi="Times New Roman"/>
          <w:sz w:val="24"/>
          <w:szCs w:val="24"/>
        </w:rPr>
      </w:pPr>
      <w:r w:rsidRPr="00E82675">
        <w:rPr>
          <w:rFonts w:ascii="Times New Roman" w:hAnsi="Times New Roman"/>
          <w:sz w:val="24"/>
          <w:szCs w:val="24"/>
        </w:rPr>
        <w:t xml:space="preserve">On June 27, 2025, in The </w:t>
      </w:r>
      <w:r w:rsidRPr="00E82675">
        <w:rPr>
          <w:rFonts w:ascii="Times New Roman" w:hAnsi="Times New Roman"/>
          <w:sz w:val="24"/>
          <w:szCs w:val="24"/>
          <w:u w:val="single"/>
        </w:rPr>
        <w:t>Village of Schaumburg v. The Village of Schaumburg Firefighters’ Pension Fund, and Phillip Reid, et al</w:t>
      </w:r>
      <w:r w:rsidRPr="00E82675">
        <w:rPr>
          <w:rFonts w:ascii="Times New Roman" w:hAnsi="Times New Roman"/>
          <w:sz w:val="24"/>
          <w:szCs w:val="24"/>
        </w:rPr>
        <w:t xml:space="preserve">., the Court of Appeals of Illinois, First District, Sixth Division held (3 to 0) that the Pension Board, upon order of Circuit Court judge, properly reconsidered their previous denial of the duty caused injury pension, and awarded the improved pension.  Phillip Reid served 32 years as a firefighter, and part-time at another fire department.  He developed hearing loss in 2009 and began wearing hearing aids.  In January 2017, he applied for a line-of-duty disability pension and retired, claiming that the noise from his job as a Village firefighter caused his hearing loss.  THE COURT HELD: “The record supports the Board’s conclusion that Ried suffered from a hearing loss disability and his duty-related activities were a contributing or exacerbating factor. We do not reweigh the evidence or independently assess the facts…. Thus, the Board’s decision to grant Ried a line of duty disability pension was not against the manifest weight of the evidence.” </w:t>
      </w:r>
      <w:hyperlink r:id="rId1057" w:history="1">
        <w:r w:rsidRPr="00E82675">
          <w:rPr>
            <w:rStyle w:val="Hyperlink"/>
            <w:rFonts w:ascii="Times New Roman" w:hAnsi="Times New Roman"/>
            <w:sz w:val="24"/>
            <w:szCs w:val="24"/>
          </w:rPr>
          <w:t>https://ilcourtsaudio.blob.core.windows.net/antilles-resources/resources/b97cd9d5-bd7a-4b80-8ae7-ba3200915f21/Village%20of%20Schaumburg%20v.%20VoS%20Firefighters%E2%80%99%20Pension%20Fund%202025%20IL%20App%20(1st)%20241764.pdf</w:t>
        </w:r>
      </w:hyperlink>
      <w:r w:rsidRPr="00E82675">
        <w:rPr>
          <w:rFonts w:ascii="Times New Roman" w:hAnsi="Times New Roman"/>
          <w:sz w:val="24"/>
          <w:szCs w:val="24"/>
        </w:rPr>
        <w:t xml:space="preserve"> </w:t>
      </w:r>
    </w:p>
    <w:p w14:paraId="3EFA355D" w14:textId="77777777" w:rsidR="00E82675" w:rsidRPr="00E82675" w:rsidRDefault="00E82675" w:rsidP="00E82675">
      <w:pPr>
        <w:pStyle w:val="NoSpacing"/>
        <w:rPr>
          <w:rFonts w:ascii="Times New Roman" w:hAnsi="Times New Roman"/>
          <w:b/>
          <w:sz w:val="24"/>
          <w:szCs w:val="24"/>
        </w:rPr>
      </w:pPr>
    </w:p>
    <w:p w14:paraId="472F9133" w14:textId="02D1A02B" w:rsidR="00E82675" w:rsidRPr="00E82675" w:rsidRDefault="00E82675" w:rsidP="00E82675">
      <w:pPr>
        <w:pStyle w:val="NoSpacing"/>
        <w:rPr>
          <w:rFonts w:ascii="Times New Roman" w:hAnsi="Times New Roman"/>
          <w:b/>
          <w:bCs/>
          <w:sz w:val="24"/>
          <w:szCs w:val="24"/>
        </w:rPr>
      </w:pPr>
      <w:r w:rsidRPr="00E82675">
        <w:rPr>
          <w:rFonts w:ascii="Times New Roman" w:hAnsi="Times New Roman"/>
          <w:b/>
          <w:sz w:val="24"/>
          <w:szCs w:val="24"/>
        </w:rPr>
        <w:t xml:space="preserve">Legal lesson learned: It was a classic “battle of the experts.”  Many states have enacted a “statutory presumption” that certain illnesses, such as cancer and heart disease, are caused by the job to avoid these types of extended legal battles. </w:t>
      </w:r>
    </w:p>
    <w:p w14:paraId="06E22EAB" w14:textId="77777777" w:rsidR="00E82675" w:rsidRPr="00E82675" w:rsidRDefault="00E82675" w:rsidP="00E82675">
      <w:pPr>
        <w:pStyle w:val="NoSpacing"/>
        <w:rPr>
          <w:rFonts w:ascii="Times New Roman" w:hAnsi="Times New Roman"/>
          <w:sz w:val="24"/>
          <w:szCs w:val="24"/>
        </w:rPr>
      </w:pPr>
    </w:p>
    <w:p w14:paraId="2E250122" w14:textId="77777777" w:rsidR="00E82675" w:rsidRPr="00E82675" w:rsidRDefault="00E82675" w:rsidP="00E82675">
      <w:pPr>
        <w:ind w:left="720"/>
        <w:rPr>
          <w:rFonts w:ascii="Times New Roman" w:hAnsi="Times New Roman"/>
          <w:bCs/>
          <w:sz w:val="24"/>
          <w:szCs w:val="24"/>
        </w:rPr>
      </w:pPr>
      <w:r w:rsidRPr="00E82675">
        <w:rPr>
          <w:rFonts w:ascii="Times New Roman" w:hAnsi="Times New Roman"/>
          <w:sz w:val="24"/>
          <w:szCs w:val="24"/>
        </w:rPr>
        <w:t xml:space="preserve">Note: See Illinois House Bill 3392 (filed 2023) seeking to include hearing loss to the list of diseases for which certain firefighters may be eligible for an occupational disease disability pension. </w:t>
      </w:r>
      <w:hyperlink r:id="rId1058" w:history="1">
        <w:r w:rsidRPr="00E82675">
          <w:rPr>
            <w:rStyle w:val="Hyperlink"/>
            <w:rFonts w:ascii="Times New Roman" w:hAnsi="Times New Roman"/>
            <w:sz w:val="24"/>
            <w:szCs w:val="24"/>
          </w:rPr>
          <w:t>https://www.ilga.gov/legislation/BillStatus.asp?DocNum=3392&amp;GAID=17&amp;DocTypeID=HB&amp;LegId=148558&amp;SessionID=112&amp;GA=103</w:t>
        </w:r>
      </w:hyperlink>
    </w:p>
    <w:p w14:paraId="33433332" w14:textId="77777777" w:rsidR="00462481" w:rsidRPr="00E82675" w:rsidRDefault="00462481" w:rsidP="00015CB5">
      <w:pPr>
        <w:rPr>
          <w:rFonts w:ascii="Times New Roman" w:hAnsi="Times New Roman"/>
          <w:b/>
          <w:sz w:val="24"/>
          <w:szCs w:val="24"/>
        </w:rPr>
      </w:pPr>
    </w:p>
    <w:p w14:paraId="5D391A12" w14:textId="77777777" w:rsidR="00462481" w:rsidRDefault="00462481" w:rsidP="00015CB5">
      <w:pPr>
        <w:rPr>
          <w:rFonts w:ascii="Arial Black" w:hAnsi="Arial Black"/>
          <w:b/>
          <w:sz w:val="28"/>
          <w:szCs w:val="28"/>
        </w:rPr>
      </w:pPr>
    </w:p>
    <w:p w14:paraId="3BC77956" w14:textId="231EC196" w:rsidR="007C4C98" w:rsidRDefault="007C4C98" w:rsidP="007C4C98">
      <w:pPr>
        <w:pStyle w:val="NoSpacing"/>
        <w:rPr>
          <w:rFonts w:ascii="Arial Black" w:hAnsi="Arial Black"/>
          <w:sz w:val="28"/>
          <w:szCs w:val="28"/>
        </w:rPr>
      </w:pPr>
      <w:r>
        <w:rPr>
          <w:rFonts w:ascii="Arial Black" w:hAnsi="Arial Black"/>
          <w:sz w:val="28"/>
          <w:szCs w:val="28"/>
        </w:rPr>
        <w:t>6-16</w:t>
      </w:r>
      <w:r w:rsidR="002A0697">
        <w:rPr>
          <w:rFonts w:ascii="Arial Black" w:hAnsi="Arial Black"/>
          <w:sz w:val="28"/>
          <w:szCs w:val="28"/>
        </w:rPr>
        <w:t>4</w:t>
      </w:r>
    </w:p>
    <w:p w14:paraId="69757A7D" w14:textId="77777777" w:rsidR="007C4C98" w:rsidRDefault="007C4C98" w:rsidP="00015CB5">
      <w:pPr>
        <w:rPr>
          <w:rFonts w:ascii="Arial Black" w:hAnsi="Arial Black"/>
          <w:b/>
          <w:sz w:val="28"/>
          <w:szCs w:val="28"/>
        </w:rPr>
      </w:pPr>
    </w:p>
    <w:p w14:paraId="216DC94F" w14:textId="07C34688" w:rsidR="00015CB5" w:rsidRPr="00453B8C" w:rsidRDefault="00015CB5" w:rsidP="00015CB5">
      <w:pPr>
        <w:rPr>
          <w:rFonts w:ascii="Arial Black" w:hAnsi="Arial Black"/>
          <w:b/>
          <w:sz w:val="28"/>
          <w:szCs w:val="28"/>
        </w:rPr>
      </w:pPr>
      <w:r>
        <w:rPr>
          <w:rFonts w:ascii="Arial Black" w:hAnsi="Arial Black"/>
          <w:b/>
          <w:sz w:val="28"/>
          <w:szCs w:val="28"/>
        </w:rPr>
        <w:t>WA: MILITARY LEAVE - 21 DAYS PAY/ FY – STATE LAW</w:t>
      </w:r>
    </w:p>
    <w:p w14:paraId="0BD09CD1" w14:textId="77777777" w:rsidR="00015CB5" w:rsidRPr="005A4D75" w:rsidRDefault="00015CB5" w:rsidP="00015CB5">
      <w:pPr>
        <w:pStyle w:val="NoSpacing"/>
        <w:rPr>
          <w:rFonts w:ascii="Times New Roman" w:hAnsi="Times New Roman"/>
          <w:sz w:val="24"/>
          <w:szCs w:val="24"/>
        </w:rPr>
      </w:pPr>
      <w:r w:rsidRPr="005A4D75">
        <w:rPr>
          <w:rFonts w:ascii="Times New Roman" w:hAnsi="Times New Roman"/>
          <w:sz w:val="24"/>
          <w:szCs w:val="24"/>
        </w:rPr>
        <w:t xml:space="preserve">On June 26, 2025, in </w:t>
      </w:r>
      <w:r w:rsidRPr="005A4D75">
        <w:rPr>
          <w:rFonts w:ascii="Times New Roman" w:hAnsi="Times New Roman"/>
          <w:sz w:val="24"/>
          <w:szCs w:val="24"/>
          <w:u w:val="single"/>
        </w:rPr>
        <w:t>Travis Bearden v. City of Ocean Shores, et al</w:t>
      </w:r>
      <w:r w:rsidRPr="005A4D75">
        <w:rPr>
          <w:rFonts w:ascii="Times New Roman" w:hAnsi="Times New Roman"/>
          <w:sz w:val="24"/>
          <w:szCs w:val="24"/>
        </w:rPr>
        <w:t>., the Supreme Court of Washington held (</w:t>
      </w:r>
      <w:proofErr w:type="spellStart"/>
      <w:r w:rsidRPr="005A4D75">
        <w:rPr>
          <w:rFonts w:ascii="Times New Roman" w:hAnsi="Times New Roman"/>
          <w:sz w:val="24"/>
          <w:szCs w:val="24"/>
        </w:rPr>
        <w:t>en</w:t>
      </w:r>
      <w:proofErr w:type="spellEnd"/>
      <w:r w:rsidRPr="005A4D75">
        <w:rPr>
          <w:rFonts w:ascii="Times New Roman" w:hAnsi="Times New Roman"/>
          <w:sz w:val="24"/>
          <w:szCs w:val="24"/>
        </w:rPr>
        <w:t xml:space="preserve"> banc; all 9 Justices) held that under State law firefighters and other public employees are entitled to 21 days of paid leave when on Reserve or Active duty during each military fiscal year.  Firefighter Travis Bearden has filed a lawsuit in federal court under USERRA when he was not paid the 21 days while on Active duty in Army Reserve for 273 days (August 2020-May 2021) and was therefore not scheduled to work at the fire department.  The State Supreme Court responded to a question for the U.S. Court of Appeals for the 9</w:t>
      </w:r>
      <w:r w:rsidRPr="005A4D75">
        <w:rPr>
          <w:rFonts w:ascii="Times New Roman" w:hAnsi="Times New Roman"/>
          <w:sz w:val="24"/>
          <w:szCs w:val="24"/>
          <w:vertAlign w:val="superscript"/>
        </w:rPr>
        <w:t>th</w:t>
      </w:r>
      <w:r w:rsidRPr="005A4D75">
        <w:rPr>
          <w:rFonts w:ascii="Times New Roman" w:hAnsi="Times New Roman"/>
          <w:sz w:val="24"/>
          <w:szCs w:val="24"/>
        </w:rPr>
        <w:t xml:space="preserve"> Circuit (San </w:t>
      </w:r>
      <w:r w:rsidRPr="005A4D75">
        <w:rPr>
          <w:rFonts w:ascii="Times New Roman" w:hAnsi="Times New Roman"/>
          <w:sz w:val="24"/>
          <w:szCs w:val="24"/>
        </w:rPr>
        <w:lastRenderedPageBreak/>
        <w:t xml:space="preserve">Francisco) confirming he is entitled to the 21 days paid leave under state law. THE COURT HELD: “According to the city’s reading of the statute, employers would not have to pay paid military leave at all because once they know an employee will be absent, they would not place them on the schedule. That cannot be what the legislature intended when it </w:t>
      </w:r>
      <w:proofErr w:type="gramStart"/>
      <w:r w:rsidRPr="005A4D75">
        <w:rPr>
          <w:rFonts w:ascii="Times New Roman" w:hAnsi="Times New Roman"/>
          <w:sz w:val="24"/>
          <w:szCs w:val="24"/>
        </w:rPr>
        <w:t>provided that</w:t>
      </w:r>
      <w:proofErr w:type="gramEnd"/>
      <w:r w:rsidRPr="005A4D75">
        <w:rPr>
          <w:rFonts w:ascii="Times New Roman" w:hAnsi="Times New Roman"/>
          <w:sz w:val="24"/>
          <w:szCs w:val="24"/>
        </w:rPr>
        <w:t xml:space="preserve"> service members are entitled to and granted military leave that must be charged to </w:t>
      </w:r>
      <w:proofErr w:type="gramStart"/>
      <w:r w:rsidRPr="005A4D75">
        <w:rPr>
          <w:rFonts w:ascii="Times New Roman" w:hAnsi="Times New Roman"/>
          <w:sz w:val="24"/>
          <w:szCs w:val="24"/>
        </w:rPr>
        <w:t>days</w:t>
      </w:r>
      <w:proofErr w:type="gramEnd"/>
      <w:r w:rsidRPr="005A4D75">
        <w:rPr>
          <w:rFonts w:ascii="Times New Roman" w:hAnsi="Times New Roman"/>
          <w:sz w:val="24"/>
          <w:szCs w:val="24"/>
        </w:rPr>
        <w:t xml:space="preserve"> they are scheduled to work. No rational employer would schedule an employee to work when they know that employee would not be present and, therefore, no employee could ever claim the paid military leave to which they are entitled under RCW 38.40.060.”</w:t>
      </w:r>
    </w:p>
    <w:p w14:paraId="50A3070C" w14:textId="5D1CAB7B" w:rsidR="005263F1" w:rsidRPr="005A4D75" w:rsidRDefault="00015CB5" w:rsidP="00015CB5">
      <w:pPr>
        <w:pStyle w:val="NoSpacing"/>
        <w:rPr>
          <w:rFonts w:ascii="Times New Roman" w:hAnsi="Times New Roman"/>
          <w:sz w:val="24"/>
          <w:szCs w:val="24"/>
        </w:rPr>
      </w:pPr>
      <w:hyperlink r:id="rId1059" w:history="1">
        <w:r w:rsidRPr="005A4D75">
          <w:rPr>
            <w:rStyle w:val="Hyperlink"/>
            <w:rFonts w:ascii="Times New Roman" w:hAnsi="Times New Roman"/>
            <w:sz w:val="24"/>
            <w:szCs w:val="24"/>
          </w:rPr>
          <w:t>https://cases.justia.com/washington/supreme-court/2025-103-121-1.pdf?ts=1750950890</w:t>
        </w:r>
      </w:hyperlink>
    </w:p>
    <w:p w14:paraId="02D71073" w14:textId="77777777" w:rsidR="005263F1" w:rsidRPr="005A4D75" w:rsidRDefault="005263F1" w:rsidP="00683497">
      <w:pPr>
        <w:pStyle w:val="NoSpacing"/>
        <w:rPr>
          <w:rFonts w:ascii="Times New Roman" w:hAnsi="Times New Roman"/>
          <w:sz w:val="24"/>
          <w:szCs w:val="24"/>
        </w:rPr>
      </w:pPr>
    </w:p>
    <w:p w14:paraId="7A0709B2" w14:textId="77777777" w:rsidR="005A4D75" w:rsidRPr="005A4D75" w:rsidRDefault="005A4D75" w:rsidP="005A4D75">
      <w:pPr>
        <w:pStyle w:val="NoSpacing"/>
        <w:rPr>
          <w:rFonts w:ascii="Times New Roman" w:hAnsi="Times New Roman"/>
          <w:b/>
          <w:bCs/>
          <w:sz w:val="24"/>
          <w:szCs w:val="24"/>
        </w:rPr>
      </w:pPr>
      <w:r w:rsidRPr="005A4D75">
        <w:rPr>
          <w:rFonts w:ascii="Times New Roman" w:hAnsi="Times New Roman"/>
          <w:b/>
          <w:sz w:val="24"/>
          <w:szCs w:val="24"/>
        </w:rPr>
        <w:t>Legal lesson learned:  Hopefully the City will not settle his USERRA lawsuit in Federal Court, pay his lost reimbursement and his attorney fees.</w:t>
      </w:r>
      <w:r w:rsidRPr="005A4D75">
        <w:rPr>
          <w:rFonts w:ascii="Times New Roman" w:hAnsi="Times New Roman"/>
          <w:sz w:val="24"/>
          <w:szCs w:val="24"/>
        </w:rPr>
        <w:t xml:space="preserve"> </w:t>
      </w:r>
    </w:p>
    <w:p w14:paraId="7B0BE3B4" w14:textId="77777777" w:rsidR="005A4D75" w:rsidRPr="005A4D75" w:rsidRDefault="005A4D75" w:rsidP="005A4D75">
      <w:pPr>
        <w:pStyle w:val="NoSpacing"/>
        <w:rPr>
          <w:rFonts w:ascii="Times New Roman" w:hAnsi="Times New Roman"/>
          <w:sz w:val="24"/>
          <w:szCs w:val="24"/>
        </w:rPr>
      </w:pPr>
    </w:p>
    <w:p w14:paraId="122B5BEA" w14:textId="77777777" w:rsidR="005A4D75" w:rsidRPr="005A4D75" w:rsidRDefault="005A4D75" w:rsidP="005A4D75">
      <w:pPr>
        <w:pStyle w:val="NoSpacing"/>
        <w:ind w:left="720"/>
        <w:rPr>
          <w:rFonts w:ascii="Times New Roman" w:hAnsi="Times New Roman"/>
          <w:sz w:val="24"/>
          <w:szCs w:val="24"/>
        </w:rPr>
      </w:pPr>
      <w:r w:rsidRPr="005A4D75">
        <w:rPr>
          <w:rFonts w:ascii="Times New Roman" w:hAnsi="Times New Roman"/>
          <w:sz w:val="24"/>
          <w:szCs w:val="24"/>
        </w:rPr>
        <w:t>Note:  See U.S. Department of Labor – “A Guide to the Uniformed Services</w:t>
      </w:r>
      <w:r w:rsidRPr="005A4D75">
        <w:rPr>
          <w:rFonts w:ascii="Times New Roman" w:hAnsi="Times New Roman"/>
          <w:sz w:val="24"/>
          <w:szCs w:val="24"/>
        </w:rPr>
        <w:br/>
        <w:t xml:space="preserve">Employment and Reemployment Rights Act.” </w:t>
      </w:r>
      <w:hyperlink r:id="rId1060" w:anchor="ch21" w:history="1">
        <w:r w:rsidRPr="005A4D75">
          <w:rPr>
            <w:rStyle w:val="Hyperlink"/>
            <w:rFonts w:ascii="Times New Roman" w:hAnsi="Times New Roman"/>
            <w:sz w:val="24"/>
            <w:szCs w:val="24"/>
          </w:rPr>
          <w:t>https://www.dol.gov/agencies/vets/programs/userra/USERRA-Pocket-Guide#ch21</w:t>
        </w:r>
      </w:hyperlink>
      <w:r w:rsidRPr="005A4D75">
        <w:rPr>
          <w:rFonts w:ascii="Times New Roman" w:hAnsi="Times New Roman"/>
          <w:sz w:val="24"/>
          <w:szCs w:val="24"/>
        </w:rPr>
        <w:t xml:space="preserve"> </w:t>
      </w:r>
    </w:p>
    <w:p w14:paraId="2471ECA9" w14:textId="77777777" w:rsidR="005A4D75" w:rsidRPr="005A4D75" w:rsidRDefault="005A4D75" w:rsidP="005A4D75">
      <w:pPr>
        <w:pStyle w:val="NoSpacing"/>
        <w:rPr>
          <w:rFonts w:ascii="Times New Roman" w:hAnsi="Times New Roman"/>
          <w:sz w:val="24"/>
          <w:szCs w:val="24"/>
        </w:rPr>
      </w:pPr>
    </w:p>
    <w:p w14:paraId="4190E244" w14:textId="77777777" w:rsidR="005A4D75" w:rsidRPr="005A4D75" w:rsidRDefault="005A4D75" w:rsidP="005A4D75">
      <w:pPr>
        <w:pStyle w:val="NoSpacing"/>
        <w:ind w:left="720"/>
        <w:rPr>
          <w:rFonts w:ascii="Times New Roman" w:hAnsi="Times New Roman"/>
          <w:sz w:val="24"/>
          <w:szCs w:val="24"/>
        </w:rPr>
      </w:pPr>
      <w:r w:rsidRPr="005A4D75">
        <w:rPr>
          <w:rFonts w:ascii="Times New Roman" w:hAnsi="Times New Roman"/>
          <w:sz w:val="24"/>
          <w:szCs w:val="24"/>
        </w:rPr>
        <w:t>“Awards of attorney fees, expert witness fees, and other litigation expenses to successful plaintiffs who retain private counsel may be made at the court’s discretion.”</w:t>
      </w:r>
    </w:p>
    <w:p w14:paraId="6E45207E" w14:textId="77777777" w:rsidR="005A4D75" w:rsidRDefault="005A4D75" w:rsidP="005A4D75">
      <w:pPr>
        <w:rPr>
          <w:bCs/>
        </w:rPr>
      </w:pPr>
    </w:p>
    <w:p w14:paraId="5CC8619D" w14:textId="49E0191F" w:rsidR="007C4C98" w:rsidRDefault="007C4C98" w:rsidP="007C4C98">
      <w:pPr>
        <w:pStyle w:val="NoSpacing"/>
        <w:rPr>
          <w:rFonts w:ascii="Arial Black" w:hAnsi="Arial Black"/>
          <w:sz w:val="28"/>
          <w:szCs w:val="28"/>
        </w:rPr>
      </w:pPr>
      <w:r>
        <w:rPr>
          <w:rFonts w:ascii="Arial Black" w:hAnsi="Arial Black"/>
          <w:sz w:val="28"/>
          <w:szCs w:val="28"/>
        </w:rPr>
        <w:t>6-16</w:t>
      </w:r>
      <w:r w:rsidR="002A0697">
        <w:rPr>
          <w:rFonts w:ascii="Arial Black" w:hAnsi="Arial Black"/>
          <w:sz w:val="28"/>
          <w:szCs w:val="28"/>
        </w:rPr>
        <w:t>3</w:t>
      </w:r>
    </w:p>
    <w:p w14:paraId="738552DA" w14:textId="77777777" w:rsidR="007C4C98" w:rsidRDefault="007C4C98" w:rsidP="00683497">
      <w:pPr>
        <w:pStyle w:val="NoSpacing"/>
        <w:rPr>
          <w:rFonts w:ascii="Arial Black" w:hAnsi="Arial Black"/>
          <w:sz w:val="28"/>
          <w:szCs w:val="28"/>
        </w:rPr>
      </w:pPr>
    </w:p>
    <w:p w14:paraId="3D8CC82F" w14:textId="77777777" w:rsidR="00B571BC" w:rsidRDefault="00B571BC" w:rsidP="00B571BC">
      <w:pPr>
        <w:rPr>
          <w:rFonts w:ascii="Arial Black" w:hAnsi="Arial Black"/>
          <w:bCs/>
          <w:sz w:val="28"/>
          <w:szCs w:val="28"/>
        </w:rPr>
      </w:pPr>
      <w:r>
        <w:rPr>
          <w:rFonts w:ascii="Arial Black" w:hAnsi="Arial Black"/>
          <w:sz w:val="28"/>
          <w:szCs w:val="28"/>
        </w:rPr>
        <w:t xml:space="preserve">MA: FF VOL. RESIGNED – </w:t>
      </w:r>
      <w:r>
        <w:rPr>
          <w:rFonts w:ascii="Arial Black" w:hAnsi="Arial Black"/>
          <w:bCs/>
          <w:sz w:val="28"/>
          <w:szCs w:val="28"/>
        </w:rPr>
        <w:t>NO RIGHT TO</w:t>
      </w:r>
      <w:r>
        <w:rPr>
          <w:rFonts w:ascii="Arial Black" w:hAnsi="Arial Black"/>
          <w:sz w:val="28"/>
          <w:szCs w:val="28"/>
        </w:rPr>
        <w:t xml:space="preserve"> GROUP HEALTH </w:t>
      </w:r>
    </w:p>
    <w:p w14:paraId="69953CAE" w14:textId="5CE898FA" w:rsidR="006325EF" w:rsidRPr="007A2A30" w:rsidRDefault="00B571BC" w:rsidP="00B571BC">
      <w:pPr>
        <w:pStyle w:val="NoSpacing"/>
        <w:rPr>
          <w:rFonts w:ascii="Times New Roman" w:hAnsi="Times New Roman"/>
          <w:sz w:val="24"/>
          <w:szCs w:val="24"/>
        </w:rPr>
      </w:pPr>
      <w:r w:rsidRPr="007A2A30">
        <w:rPr>
          <w:rFonts w:ascii="Times New Roman" w:hAnsi="Times New Roman"/>
          <w:sz w:val="24"/>
          <w:szCs w:val="24"/>
        </w:rPr>
        <w:t xml:space="preserve">On June 18, 2025, in </w:t>
      </w:r>
      <w:r w:rsidRPr="007A2A30">
        <w:rPr>
          <w:rFonts w:ascii="Times New Roman" w:hAnsi="Times New Roman"/>
          <w:sz w:val="24"/>
          <w:szCs w:val="24"/>
          <w:u w:val="single"/>
        </w:rPr>
        <w:t>Michael Cannata v. Town of Mashpee</w:t>
      </w:r>
      <w:r w:rsidRPr="007A2A30">
        <w:rPr>
          <w:rFonts w:ascii="Times New Roman" w:hAnsi="Times New Roman"/>
          <w:sz w:val="24"/>
          <w:szCs w:val="24"/>
        </w:rPr>
        <w:t xml:space="preserve">, the Supreme Judicial Court of Massachusetts, Barnstable held (7 to 0) that the trial court properly granted the Town’s motion to dismiss; the firefighter voluntarily resigned in 2004 after 10 years on the fire department and did not elect to continue paying for group health insurance.  When he reached age 55 in 2021, the Town had no legal obligation to allow him to enroll in the group </w:t>
      </w:r>
      <w:proofErr w:type="gramStart"/>
      <w:r w:rsidRPr="007A2A30">
        <w:rPr>
          <w:rFonts w:ascii="Times New Roman" w:hAnsi="Times New Roman"/>
          <w:sz w:val="24"/>
          <w:szCs w:val="24"/>
        </w:rPr>
        <w:t>plan, but</w:t>
      </w:r>
      <w:proofErr w:type="gramEnd"/>
      <w:r w:rsidRPr="007A2A30">
        <w:rPr>
          <w:rFonts w:ascii="Times New Roman" w:hAnsi="Times New Roman"/>
          <w:sz w:val="24"/>
          <w:szCs w:val="24"/>
        </w:rPr>
        <w:t xml:space="preserve"> could have done so.  THE COURT HELD: “We conclude that G. L. c. 32B, § 9, neither requires nor prohibits a municipality from enrolling individuals like Cannata. Accordingly, the third paragraph of the statute does not govern this case, and the judge erred in holding otherwise. Municipalities may -- but are not obligated to -- allow such individuals to enroll in group health insurance upon </w:t>
      </w:r>
      <w:proofErr w:type="gramStart"/>
      <w:r w:rsidRPr="007A2A30">
        <w:rPr>
          <w:rFonts w:ascii="Times New Roman" w:hAnsi="Times New Roman"/>
          <w:sz w:val="24"/>
          <w:szCs w:val="24"/>
        </w:rPr>
        <w:t>retirement.”</w:t>
      </w:r>
      <w:proofErr w:type="gramEnd"/>
      <w:r w:rsidRPr="007A2A30">
        <w:rPr>
          <w:rFonts w:ascii="Times New Roman" w:hAnsi="Times New Roman"/>
          <w:sz w:val="24"/>
          <w:szCs w:val="24"/>
        </w:rPr>
        <w:t xml:space="preserve">  </w:t>
      </w:r>
      <w:hyperlink r:id="rId1061" w:history="1">
        <w:r w:rsidRPr="007A2A30">
          <w:rPr>
            <w:rStyle w:val="Hyperlink"/>
            <w:rFonts w:ascii="Times New Roman" w:hAnsi="Times New Roman"/>
            <w:sz w:val="24"/>
            <w:szCs w:val="24"/>
          </w:rPr>
          <w:t>https://www.socialaw.com/services/slip-opinions/slip-opinion-details/michael-cannata-vs.-town-of-mashpee</w:t>
        </w:r>
      </w:hyperlink>
    </w:p>
    <w:p w14:paraId="7BB9C507" w14:textId="77777777" w:rsidR="007A2A30" w:rsidRDefault="007A2A30" w:rsidP="007A2A30">
      <w:pPr>
        <w:rPr>
          <w:rFonts w:ascii="Times New Roman" w:hAnsi="Times New Roman"/>
          <w:b/>
          <w:sz w:val="24"/>
          <w:szCs w:val="24"/>
        </w:rPr>
      </w:pPr>
    </w:p>
    <w:p w14:paraId="78A304E8" w14:textId="2D8C5586" w:rsidR="007A2A30" w:rsidRPr="007A2A30" w:rsidRDefault="007A2A30" w:rsidP="007A2A30">
      <w:pPr>
        <w:rPr>
          <w:rFonts w:ascii="Times New Roman" w:hAnsi="Times New Roman"/>
          <w:b/>
          <w:bCs/>
          <w:sz w:val="24"/>
          <w:szCs w:val="24"/>
        </w:rPr>
      </w:pPr>
      <w:r w:rsidRPr="007A2A30">
        <w:rPr>
          <w:rFonts w:ascii="Times New Roman" w:hAnsi="Times New Roman"/>
          <w:b/>
          <w:sz w:val="24"/>
          <w:szCs w:val="24"/>
        </w:rPr>
        <w:t xml:space="preserve">Legal lesson learned:  Prior to resigning or retiring, confirm with HR your rights to continued group health insurance. </w:t>
      </w:r>
    </w:p>
    <w:p w14:paraId="21028487" w14:textId="77777777" w:rsidR="007A2A30" w:rsidRDefault="007A2A30" w:rsidP="00B571BC">
      <w:pPr>
        <w:pStyle w:val="NoSpacing"/>
        <w:rPr>
          <w:rFonts w:ascii="Times New Roman" w:hAnsi="Times New Roman"/>
          <w:sz w:val="24"/>
          <w:szCs w:val="24"/>
        </w:rPr>
      </w:pPr>
    </w:p>
    <w:p w14:paraId="5AA4A549" w14:textId="77777777" w:rsidR="007C4C98" w:rsidRDefault="007C4C98" w:rsidP="007F03DE">
      <w:pPr>
        <w:rPr>
          <w:rFonts w:ascii="Arial Black" w:hAnsi="Arial Black"/>
          <w:b/>
          <w:sz w:val="28"/>
          <w:szCs w:val="28"/>
        </w:rPr>
      </w:pPr>
    </w:p>
    <w:p w14:paraId="6CD7A283" w14:textId="257BD3A0" w:rsidR="007C4C98" w:rsidRDefault="007C4C98" w:rsidP="007C4C98">
      <w:pPr>
        <w:pStyle w:val="NoSpacing"/>
        <w:rPr>
          <w:rFonts w:ascii="Arial Black" w:hAnsi="Arial Black"/>
          <w:sz w:val="28"/>
          <w:szCs w:val="28"/>
        </w:rPr>
      </w:pPr>
      <w:r>
        <w:rPr>
          <w:rFonts w:ascii="Arial Black" w:hAnsi="Arial Black"/>
          <w:sz w:val="28"/>
          <w:szCs w:val="28"/>
        </w:rPr>
        <w:t>6-16</w:t>
      </w:r>
      <w:r w:rsidR="002A0697">
        <w:rPr>
          <w:rFonts w:ascii="Arial Black" w:hAnsi="Arial Black"/>
          <w:sz w:val="28"/>
          <w:szCs w:val="28"/>
        </w:rPr>
        <w:t>2</w:t>
      </w:r>
    </w:p>
    <w:p w14:paraId="4ECEC13A" w14:textId="77777777" w:rsidR="007C4C98" w:rsidRDefault="007C4C98" w:rsidP="007F03DE">
      <w:pPr>
        <w:rPr>
          <w:rFonts w:ascii="Arial Black" w:hAnsi="Arial Black"/>
          <w:b/>
          <w:sz w:val="28"/>
          <w:szCs w:val="28"/>
        </w:rPr>
      </w:pPr>
    </w:p>
    <w:p w14:paraId="6F4F2639" w14:textId="7965BB48" w:rsidR="007F03DE" w:rsidRDefault="007F03DE" w:rsidP="007F03DE">
      <w:pPr>
        <w:rPr>
          <w:rFonts w:ascii="Arial Black" w:hAnsi="Arial Black"/>
          <w:b/>
          <w:sz w:val="28"/>
          <w:szCs w:val="28"/>
        </w:rPr>
      </w:pPr>
      <w:r>
        <w:rPr>
          <w:rFonts w:ascii="Arial Black" w:hAnsi="Arial Black"/>
          <w:b/>
          <w:sz w:val="28"/>
          <w:szCs w:val="28"/>
        </w:rPr>
        <w:t xml:space="preserve">NV: HEART - 8-YR AFTER RETIRED - TOTAL DISAB PENSION </w:t>
      </w:r>
    </w:p>
    <w:p w14:paraId="4A7A53D0" w14:textId="77777777" w:rsidR="007F03DE" w:rsidRPr="007C4C98" w:rsidRDefault="007F03DE" w:rsidP="007F03DE">
      <w:pPr>
        <w:pStyle w:val="NoSpacing"/>
        <w:rPr>
          <w:rFonts w:ascii="Times New Roman" w:hAnsi="Times New Roman"/>
          <w:sz w:val="24"/>
          <w:szCs w:val="24"/>
        </w:rPr>
      </w:pPr>
      <w:r w:rsidRPr="007C4C98">
        <w:rPr>
          <w:rFonts w:ascii="Times New Roman" w:hAnsi="Times New Roman"/>
          <w:sz w:val="24"/>
          <w:szCs w:val="24"/>
        </w:rPr>
        <w:t xml:space="preserve">On June 12, 2025, in </w:t>
      </w:r>
      <w:r w:rsidRPr="007C4C98">
        <w:rPr>
          <w:rFonts w:ascii="Times New Roman" w:hAnsi="Times New Roman"/>
          <w:sz w:val="24"/>
          <w:szCs w:val="24"/>
          <w:u w:val="single"/>
        </w:rPr>
        <w:t>City of Las Vegas and CCMSI v. Peggy Munson</w:t>
      </w:r>
      <w:r w:rsidRPr="007C4C98">
        <w:rPr>
          <w:rFonts w:ascii="Times New Roman" w:hAnsi="Times New Roman"/>
          <w:sz w:val="24"/>
          <w:szCs w:val="24"/>
        </w:rPr>
        <w:t xml:space="preserve">, the Court at Ms. Munson’s request published it prior unpublished order, granting her worker’s comp - permanent total disability – for disabling heart disease in 2021, eight years after retirement.  In 2015, the Nevada Legislature restricted heart benefits to </w:t>
      </w:r>
      <w:r w:rsidRPr="007C4C98">
        <w:rPr>
          <w:rFonts w:ascii="Times New Roman" w:hAnsi="Times New Roman"/>
          <w:sz w:val="24"/>
          <w:szCs w:val="24"/>
        </w:rPr>
        <w:lastRenderedPageBreak/>
        <w:t xml:space="preserve">cover only medical expenses, not wages, unless the firefighter had 20 years of service.  She met that requirement , having worked from November 1992 until February 2013, and is therefore entitled to 66 2/3 percent of the average monthly </w:t>
      </w:r>
      <w:proofErr w:type="gramStart"/>
      <w:r w:rsidRPr="007C4C98">
        <w:rPr>
          <w:rFonts w:ascii="Times New Roman" w:hAnsi="Times New Roman"/>
          <w:sz w:val="24"/>
          <w:szCs w:val="24"/>
        </w:rPr>
        <w:t>wage for wages</w:t>
      </w:r>
      <w:proofErr w:type="gramEnd"/>
      <w:r w:rsidRPr="007C4C98">
        <w:rPr>
          <w:rFonts w:ascii="Times New Roman" w:hAnsi="Times New Roman"/>
          <w:sz w:val="24"/>
          <w:szCs w:val="24"/>
        </w:rPr>
        <w:t xml:space="preserve"> earned in 2013.  THE COURT HELD: “Because section 6 of S.B. 153, as enacted, constitutes binding law, NRS 617.457(14) does not apply to Munson, and thus the statute did not preclude her from seeking permanent total disability benefits if she had ‘completed at least 20 years of creditable service’ as a firefighter at the time section 6 became effective in 2015, regardless of when she became disabled.” </w:t>
      </w:r>
    </w:p>
    <w:p w14:paraId="76CB4626" w14:textId="51EE3D2F" w:rsidR="007F03DE" w:rsidRPr="007C4C98" w:rsidRDefault="007F03DE" w:rsidP="007F03DE">
      <w:pPr>
        <w:pStyle w:val="NoSpacing"/>
        <w:rPr>
          <w:rFonts w:ascii="Times New Roman" w:hAnsi="Times New Roman"/>
          <w:sz w:val="24"/>
          <w:szCs w:val="24"/>
        </w:rPr>
      </w:pPr>
      <w:r w:rsidRPr="007C4C98">
        <w:rPr>
          <w:rFonts w:ascii="Times New Roman" w:hAnsi="Times New Roman"/>
          <w:sz w:val="24"/>
          <w:szCs w:val="24"/>
        </w:rPr>
        <w:t xml:space="preserve"> </w:t>
      </w:r>
      <w:hyperlink r:id="rId1062" w:history="1">
        <w:r w:rsidRPr="007C4C98">
          <w:rPr>
            <w:rStyle w:val="Hyperlink"/>
            <w:rFonts w:ascii="Times New Roman" w:hAnsi="Times New Roman"/>
            <w:sz w:val="24"/>
            <w:szCs w:val="24"/>
          </w:rPr>
          <w:t>file:///C:/Users/lawre/Downloads/25-26180-1.pdf</w:t>
        </w:r>
      </w:hyperlink>
    </w:p>
    <w:p w14:paraId="369813A7" w14:textId="77777777" w:rsidR="007C4C98" w:rsidRPr="007C4C98" w:rsidRDefault="007C4C98" w:rsidP="007F03DE">
      <w:pPr>
        <w:pStyle w:val="NoSpacing"/>
        <w:rPr>
          <w:rFonts w:ascii="Times New Roman" w:hAnsi="Times New Roman"/>
          <w:sz w:val="24"/>
          <w:szCs w:val="24"/>
        </w:rPr>
      </w:pPr>
    </w:p>
    <w:p w14:paraId="44FEE055" w14:textId="77777777" w:rsidR="007C4C98" w:rsidRPr="007C4C98" w:rsidRDefault="007C4C98" w:rsidP="007C4C98">
      <w:pPr>
        <w:pStyle w:val="NoSpacing"/>
        <w:rPr>
          <w:rFonts w:ascii="Times New Roman" w:hAnsi="Times New Roman"/>
          <w:b/>
          <w:sz w:val="24"/>
          <w:szCs w:val="24"/>
        </w:rPr>
      </w:pPr>
      <w:r w:rsidRPr="007C4C98">
        <w:rPr>
          <w:rFonts w:ascii="Times New Roman" w:hAnsi="Times New Roman"/>
          <w:b/>
          <w:sz w:val="24"/>
          <w:szCs w:val="24"/>
        </w:rPr>
        <w:t xml:space="preserve">Legal lesson learned: Very nice of the court to now publish their earlier unpublished decision in favor of this retiree. </w:t>
      </w:r>
    </w:p>
    <w:p w14:paraId="00F104E2" w14:textId="77777777" w:rsidR="007C4C98" w:rsidRPr="007C4C98" w:rsidRDefault="007C4C98" w:rsidP="007C4C98">
      <w:pPr>
        <w:pStyle w:val="NoSpacing"/>
        <w:ind w:left="720"/>
        <w:rPr>
          <w:rFonts w:ascii="Times New Roman" w:hAnsi="Times New Roman"/>
          <w:bCs/>
          <w:sz w:val="24"/>
          <w:szCs w:val="24"/>
        </w:rPr>
      </w:pPr>
    </w:p>
    <w:p w14:paraId="39550A13" w14:textId="77777777" w:rsidR="007C4C98" w:rsidRPr="007C4C98" w:rsidRDefault="007C4C98" w:rsidP="007C4C98">
      <w:pPr>
        <w:ind w:left="720"/>
        <w:rPr>
          <w:rFonts w:ascii="Times New Roman" w:hAnsi="Times New Roman"/>
          <w:bCs/>
          <w:sz w:val="24"/>
          <w:szCs w:val="24"/>
        </w:rPr>
      </w:pPr>
      <w:r w:rsidRPr="007C4C98">
        <w:rPr>
          <w:rFonts w:ascii="Times New Roman" w:hAnsi="Times New Roman"/>
          <w:sz w:val="24"/>
          <w:szCs w:val="24"/>
        </w:rPr>
        <w:t xml:space="preserve">Note: Section 6 of S.B. 153 provides: </w:t>
      </w:r>
      <w:hyperlink r:id="rId1063" w:history="1">
        <w:r w:rsidRPr="007C4C98">
          <w:rPr>
            <w:rStyle w:val="Hyperlink"/>
            <w:rFonts w:ascii="Times New Roman" w:hAnsi="Times New Roman"/>
            <w:sz w:val="24"/>
            <w:szCs w:val="24"/>
          </w:rPr>
          <w:t>https://www.leg.state.nv.us/App/NELIS/REL/82nd2023/Bill/9844/Overview</w:t>
        </w:r>
      </w:hyperlink>
      <w:r w:rsidRPr="007C4C98">
        <w:rPr>
          <w:rFonts w:ascii="Times New Roman" w:hAnsi="Times New Roman"/>
          <w:sz w:val="24"/>
          <w:szCs w:val="24"/>
        </w:rPr>
        <w:t xml:space="preserve">  </w:t>
      </w:r>
    </w:p>
    <w:p w14:paraId="0E7048AF" w14:textId="77777777" w:rsidR="007C4C98" w:rsidRPr="007C4C98" w:rsidRDefault="007C4C98" w:rsidP="007C4C98">
      <w:pPr>
        <w:pStyle w:val="NoSpacing"/>
        <w:ind w:left="720" w:firstLine="720"/>
        <w:rPr>
          <w:rFonts w:ascii="Times New Roman" w:hAnsi="Times New Roman"/>
          <w:bCs/>
          <w:sz w:val="24"/>
          <w:szCs w:val="24"/>
        </w:rPr>
      </w:pPr>
      <w:r w:rsidRPr="007C4C98">
        <w:rPr>
          <w:rFonts w:ascii="Times New Roman" w:hAnsi="Times New Roman"/>
          <w:sz w:val="24"/>
          <w:szCs w:val="24"/>
        </w:rPr>
        <w:t>The amendatory provisions of this act:</w:t>
      </w:r>
    </w:p>
    <w:p w14:paraId="04A10EFC" w14:textId="77777777" w:rsidR="007C4C98" w:rsidRPr="007C4C98" w:rsidRDefault="007C4C98" w:rsidP="007C4C98">
      <w:pPr>
        <w:pStyle w:val="NoSpacing"/>
        <w:ind w:left="720" w:firstLine="720"/>
        <w:rPr>
          <w:rFonts w:ascii="Times New Roman" w:hAnsi="Times New Roman"/>
          <w:bCs/>
          <w:sz w:val="24"/>
          <w:szCs w:val="24"/>
        </w:rPr>
      </w:pPr>
      <w:r w:rsidRPr="007C4C98">
        <w:rPr>
          <w:rFonts w:ascii="Times New Roman" w:hAnsi="Times New Roman"/>
          <w:sz w:val="24"/>
          <w:szCs w:val="24"/>
        </w:rPr>
        <w:t>1. Apply only to disablement which occurs on</w:t>
      </w:r>
    </w:p>
    <w:p w14:paraId="31C88FDF" w14:textId="77777777" w:rsidR="007C4C98" w:rsidRPr="007C4C98" w:rsidRDefault="007C4C98" w:rsidP="007C4C98">
      <w:pPr>
        <w:pStyle w:val="NoSpacing"/>
        <w:ind w:left="720" w:firstLine="720"/>
        <w:rPr>
          <w:rFonts w:ascii="Times New Roman" w:hAnsi="Times New Roman"/>
          <w:bCs/>
          <w:sz w:val="24"/>
          <w:szCs w:val="24"/>
        </w:rPr>
      </w:pPr>
      <w:r w:rsidRPr="007C4C98">
        <w:rPr>
          <w:rFonts w:ascii="Times New Roman" w:hAnsi="Times New Roman"/>
          <w:sz w:val="24"/>
          <w:szCs w:val="24"/>
        </w:rPr>
        <w:t>or after the effective date of this section; and</w:t>
      </w:r>
    </w:p>
    <w:p w14:paraId="76442BEF" w14:textId="77777777" w:rsidR="007C4C98" w:rsidRPr="007C4C98" w:rsidRDefault="007C4C98" w:rsidP="007C4C98">
      <w:pPr>
        <w:pStyle w:val="NoSpacing"/>
        <w:ind w:left="1440"/>
        <w:rPr>
          <w:rFonts w:ascii="Times New Roman" w:hAnsi="Times New Roman"/>
          <w:bCs/>
          <w:sz w:val="24"/>
          <w:szCs w:val="24"/>
        </w:rPr>
      </w:pPr>
      <w:r w:rsidRPr="007C4C98">
        <w:rPr>
          <w:rFonts w:ascii="Times New Roman" w:hAnsi="Times New Roman"/>
          <w:sz w:val="24"/>
          <w:szCs w:val="24"/>
        </w:rPr>
        <w:t xml:space="preserve">2. Do not apply to any person who, on the effective date </w:t>
      </w:r>
    </w:p>
    <w:p w14:paraId="30566C6E" w14:textId="77777777" w:rsidR="007C4C98" w:rsidRPr="007C4C98" w:rsidRDefault="007C4C98" w:rsidP="007C4C98">
      <w:pPr>
        <w:pStyle w:val="NoSpacing"/>
        <w:ind w:left="1440"/>
        <w:rPr>
          <w:rFonts w:ascii="Times New Roman" w:hAnsi="Times New Roman"/>
          <w:bCs/>
          <w:sz w:val="24"/>
          <w:szCs w:val="24"/>
        </w:rPr>
      </w:pPr>
      <w:r w:rsidRPr="007C4C98">
        <w:rPr>
          <w:rFonts w:ascii="Times New Roman" w:hAnsi="Times New Roman"/>
          <w:sz w:val="24"/>
          <w:szCs w:val="24"/>
        </w:rPr>
        <w:t xml:space="preserve">of this section, has completed at least 20 years of creditable </w:t>
      </w:r>
    </w:p>
    <w:p w14:paraId="7E8A947E" w14:textId="77777777" w:rsidR="007C4C98" w:rsidRPr="007C4C98" w:rsidRDefault="007C4C98" w:rsidP="007C4C98">
      <w:pPr>
        <w:pStyle w:val="NoSpacing"/>
        <w:ind w:left="1440"/>
        <w:rPr>
          <w:rFonts w:ascii="Times New Roman" w:hAnsi="Times New Roman"/>
          <w:bCs/>
          <w:sz w:val="24"/>
          <w:szCs w:val="24"/>
        </w:rPr>
      </w:pPr>
      <w:r w:rsidRPr="007C4C98">
        <w:rPr>
          <w:rFonts w:ascii="Times New Roman" w:hAnsi="Times New Roman"/>
          <w:sz w:val="24"/>
          <w:szCs w:val="24"/>
        </w:rPr>
        <w:t>service . . . as a . . firefighter . . . in this State.</w:t>
      </w:r>
    </w:p>
    <w:p w14:paraId="667F842F" w14:textId="77777777" w:rsidR="007C4C98" w:rsidRPr="007A2A30" w:rsidRDefault="007C4C98" w:rsidP="007F03DE">
      <w:pPr>
        <w:pStyle w:val="NoSpacing"/>
        <w:rPr>
          <w:rFonts w:ascii="Times New Roman" w:hAnsi="Times New Roman"/>
          <w:sz w:val="24"/>
          <w:szCs w:val="24"/>
        </w:rPr>
      </w:pPr>
    </w:p>
    <w:p w14:paraId="1987FA7D" w14:textId="77777777" w:rsidR="006325EF" w:rsidRDefault="006325EF" w:rsidP="00683497">
      <w:pPr>
        <w:pStyle w:val="NoSpacing"/>
        <w:rPr>
          <w:rFonts w:ascii="Arial Black" w:hAnsi="Arial Black"/>
          <w:sz w:val="28"/>
          <w:szCs w:val="28"/>
        </w:rPr>
      </w:pPr>
    </w:p>
    <w:p w14:paraId="07C213B1" w14:textId="77777777" w:rsidR="005263F1" w:rsidRDefault="005263F1" w:rsidP="00683497">
      <w:pPr>
        <w:pStyle w:val="NoSpacing"/>
        <w:rPr>
          <w:rFonts w:ascii="Arial Black" w:hAnsi="Arial Black"/>
          <w:sz w:val="28"/>
          <w:szCs w:val="28"/>
        </w:rPr>
      </w:pPr>
    </w:p>
    <w:p w14:paraId="60B11BA5" w14:textId="0CE63C41" w:rsidR="0090461E" w:rsidRDefault="0090461E" w:rsidP="00683497">
      <w:pPr>
        <w:pStyle w:val="NoSpacing"/>
        <w:rPr>
          <w:rFonts w:ascii="Arial Black" w:hAnsi="Arial Black"/>
          <w:sz w:val="28"/>
          <w:szCs w:val="28"/>
        </w:rPr>
      </w:pPr>
      <w:r>
        <w:rPr>
          <w:rFonts w:ascii="Arial Black" w:hAnsi="Arial Black"/>
          <w:sz w:val="28"/>
          <w:szCs w:val="28"/>
        </w:rPr>
        <w:t>6-16</w:t>
      </w:r>
      <w:r w:rsidR="002A0697">
        <w:rPr>
          <w:rFonts w:ascii="Arial Black" w:hAnsi="Arial Black"/>
          <w:sz w:val="28"/>
          <w:szCs w:val="28"/>
        </w:rPr>
        <w:t>1</w:t>
      </w:r>
    </w:p>
    <w:p w14:paraId="40676CCC" w14:textId="77777777" w:rsidR="0090461E" w:rsidRDefault="0090461E" w:rsidP="00683497">
      <w:pPr>
        <w:pStyle w:val="NoSpacing"/>
        <w:rPr>
          <w:rFonts w:ascii="Arial Black" w:hAnsi="Arial Black"/>
          <w:sz w:val="28"/>
          <w:szCs w:val="28"/>
        </w:rPr>
      </w:pPr>
    </w:p>
    <w:p w14:paraId="38FDD922" w14:textId="7CF4A11A" w:rsidR="00683497" w:rsidRDefault="00683497" w:rsidP="00683497">
      <w:pPr>
        <w:pStyle w:val="NoSpacing"/>
        <w:rPr>
          <w:rFonts w:ascii="Arial Black" w:hAnsi="Arial Black"/>
          <w:sz w:val="28"/>
          <w:szCs w:val="28"/>
        </w:rPr>
      </w:pPr>
      <w:r w:rsidRPr="006F2B87">
        <w:rPr>
          <w:rFonts w:ascii="Arial Black" w:hAnsi="Arial Black"/>
          <w:sz w:val="28"/>
          <w:szCs w:val="28"/>
        </w:rPr>
        <w:t>KY: MEDIC MVA - WORK COMP</w:t>
      </w:r>
      <w:r w:rsidR="00D116D3">
        <w:rPr>
          <w:rFonts w:ascii="Arial Black" w:hAnsi="Arial Black"/>
          <w:sz w:val="28"/>
          <w:szCs w:val="28"/>
        </w:rPr>
        <w:t xml:space="preserve"> / CAN ALSO SUE </w:t>
      </w:r>
      <w:r w:rsidRPr="006F2B87">
        <w:rPr>
          <w:rFonts w:ascii="Arial Black" w:hAnsi="Arial Black"/>
          <w:sz w:val="28"/>
          <w:szCs w:val="28"/>
        </w:rPr>
        <w:t>“UNINSURED MOTORIST”</w:t>
      </w:r>
    </w:p>
    <w:p w14:paraId="5DE86FA7" w14:textId="39103F0C" w:rsidR="00D116D3" w:rsidRPr="006F2B87" w:rsidRDefault="00D116D3" w:rsidP="00683497">
      <w:pPr>
        <w:pStyle w:val="NoSpacing"/>
        <w:rPr>
          <w:rFonts w:ascii="Arial Black" w:hAnsi="Arial Black"/>
          <w:sz w:val="28"/>
          <w:szCs w:val="28"/>
        </w:rPr>
      </w:pPr>
      <w:hyperlink r:id="rId1064" w:history="1">
        <w:r w:rsidRPr="00683497">
          <w:rPr>
            <w:rStyle w:val="Hyperlink"/>
            <w:rFonts w:ascii="Times New Roman" w:hAnsi="Times New Roman"/>
            <w:sz w:val="24"/>
            <w:szCs w:val="24"/>
          </w:rPr>
          <w:t>https://cases.justia.com/kentucky/court-of-appeals/2025-2024-ca-0152-mr.pdf?ts=1748009113</w:t>
        </w:r>
      </w:hyperlink>
    </w:p>
    <w:p w14:paraId="7D7FC876" w14:textId="77777777" w:rsidR="00683497" w:rsidRPr="006F2B87" w:rsidRDefault="00683497" w:rsidP="00683497">
      <w:pPr>
        <w:pStyle w:val="NoSpacing"/>
      </w:pPr>
    </w:p>
    <w:p w14:paraId="2A3A5247" w14:textId="77777777" w:rsidR="00683497" w:rsidRPr="00683497" w:rsidRDefault="00683497" w:rsidP="00683497">
      <w:pPr>
        <w:pStyle w:val="NoSpacing"/>
        <w:rPr>
          <w:rFonts w:ascii="Times New Roman" w:hAnsi="Times New Roman"/>
          <w:bCs/>
          <w:sz w:val="24"/>
          <w:szCs w:val="24"/>
        </w:rPr>
      </w:pPr>
      <w:r w:rsidRPr="00683497">
        <w:rPr>
          <w:rFonts w:ascii="Times New Roman" w:hAnsi="Times New Roman"/>
          <w:sz w:val="24"/>
          <w:szCs w:val="24"/>
        </w:rPr>
        <w:t xml:space="preserve">On May 25, 2025, in </w:t>
      </w:r>
      <w:r w:rsidRPr="00683497">
        <w:rPr>
          <w:rFonts w:ascii="Times New Roman" w:hAnsi="Times New Roman"/>
          <w:sz w:val="24"/>
          <w:szCs w:val="24"/>
          <w:u w:val="single"/>
        </w:rPr>
        <w:t xml:space="preserve">Scott Preston v. Nationwide Insurance Company and Kentucky Association of Counties </w:t>
      </w:r>
      <w:proofErr w:type="gramStart"/>
      <w:r w:rsidRPr="00683497">
        <w:rPr>
          <w:rFonts w:ascii="Times New Roman" w:hAnsi="Times New Roman"/>
          <w:sz w:val="24"/>
          <w:szCs w:val="24"/>
          <w:u w:val="single"/>
        </w:rPr>
        <w:t>And</w:t>
      </w:r>
      <w:proofErr w:type="gramEnd"/>
      <w:r w:rsidRPr="00683497">
        <w:rPr>
          <w:rFonts w:ascii="Times New Roman" w:hAnsi="Times New Roman"/>
          <w:sz w:val="24"/>
          <w:szCs w:val="24"/>
          <w:u w:val="single"/>
        </w:rPr>
        <w:t xml:space="preserve"> All Lines Fund</w:t>
      </w:r>
      <w:r w:rsidRPr="00683497">
        <w:rPr>
          <w:rFonts w:ascii="Times New Roman" w:hAnsi="Times New Roman"/>
          <w:sz w:val="24"/>
          <w:szCs w:val="24"/>
        </w:rPr>
        <w:t xml:space="preserve">, the Court of Appeals of Kentucky held (3 to 0) that trial court improperly dismissed Preston’s lawsuit against KALF’s, which has a $60,000 policy limit for uninsured motorist claims.  While Preston is covered by worker’s comp, he may pursue claims not covered by worker’s comp. </w:t>
      </w:r>
    </w:p>
    <w:p w14:paraId="1A732791" w14:textId="77777777" w:rsidR="00683497" w:rsidRPr="00683497" w:rsidRDefault="00683497" w:rsidP="00683497">
      <w:pPr>
        <w:pStyle w:val="NoSpacing"/>
        <w:rPr>
          <w:rFonts w:ascii="Times New Roman" w:hAnsi="Times New Roman"/>
          <w:bCs/>
          <w:sz w:val="24"/>
          <w:szCs w:val="24"/>
        </w:rPr>
      </w:pPr>
    </w:p>
    <w:p w14:paraId="4EC19AE0" w14:textId="77777777" w:rsidR="00683497" w:rsidRPr="00683497" w:rsidRDefault="00683497" w:rsidP="00683497">
      <w:pPr>
        <w:pStyle w:val="NoSpacing"/>
        <w:rPr>
          <w:rFonts w:ascii="Times New Roman" w:hAnsi="Times New Roman"/>
          <w:bCs/>
          <w:sz w:val="24"/>
          <w:szCs w:val="24"/>
        </w:rPr>
      </w:pPr>
      <w:r w:rsidRPr="00683497">
        <w:rPr>
          <w:rFonts w:ascii="Times New Roman" w:hAnsi="Times New Roman"/>
          <w:sz w:val="24"/>
          <w:szCs w:val="24"/>
        </w:rPr>
        <w:t xml:space="preserve">The Court wrote: “However, any jury award for lost wages and permanent impairment not duplicated by the workers’ compensation award would be recoverable by Preston under KALF’s UIM policy, as would any award for pain and suffering, as it is not an item of damages covered by workers’ compensation.” </w:t>
      </w:r>
      <w:hyperlink r:id="rId1065" w:history="1">
        <w:r w:rsidRPr="00683497">
          <w:rPr>
            <w:rStyle w:val="Hyperlink"/>
            <w:rFonts w:ascii="Times New Roman" w:hAnsi="Times New Roman"/>
            <w:sz w:val="24"/>
            <w:szCs w:val="24"/>
          </w:rPr>
          <w:t>https://cases.justia.com/kentucky/court-of-appeals/2025-2024-ca-0152-mr.pdf?ts=1748009113</w:t>
        </w:r>
      </w:hyperlink>
      <w:r w:rsidRPr="00683497">
        <w:rPr>
          <w:rFonts w:ascii="Times New Roman" w:hAnsi="Times New Roman"/>
          <w:sz w:val="24"/>
          <w:szCs w:val="24"/>
        </w:rPr>
        <w:t xml:space="preserve"> </w:t>
      </w:r>
    </w:p>
    <w:p w14:paraId="125999A8" w14:textId="77777777" w:rsidR="00575946" w:rsidRDefault="00575946" w:rsidP="00575946">
      <w:pPr>
        <w:pStyle w:val="NoSpacing"/>
        <w:rPr>
          <w:rFonts w:ascii="Times New Roman" w:hAnsi="Times New Roman"/>
          <w:b/>
          <w:sz w:val="24"/>
          <w:szCs w:val="24"/>
        </w:rPr>
      </w:pPr>
    </w:p>
    <w:p w14:paraId="706F4653" w14:textId="198B5C1E" w:rsidR="00575946" w:rsidRDefault="00575946" w:rsidP="00575946">
      <w:pPr>
        <w:pStyle w:val="NoSpacing"/>
        <w:rPr>
          <w:rFonts w:ascii="Times New Roman" w:hAnsi="Times New Roman"/>
          <w:b/>
          <w:sz w:val="24"/>
          <w:szCs w:val="24"/>
        </w:rPr>
      </w:pPr>
      <w:r w:rsidRPr="00575946">
        <w:rPr>
          <w:rFonts w:ascii="Times New Roman" w:hAnsi="Times New Roman"/>
          <w:b/>
          <w:sz w:val="24"/>
          <w:szCs w:val="24"/>
        </w:rPr>
        <w:t xml:space="preserve">Legal Lesson Learned: The pension plan was </w:t>
      </w:r>
      <w:proofErr w:type="gramStart"/>
      <w:r w:rsidRPr="00575946">
        <w:rPr>
          <w:rFonts w:ascii="Times New Roman" w:hAnsi="Times New Roman"/>
          <w:b/>
          <w:sz w:val="24"/>
          <w:szCs w:val="24"/>
        </w:rPr>
        <w:t>clear,</w:t>
      </w:r>
      <w:proofErr w:type="gramEnd"/>
      <w:r w:rsidRPr="00575946">
        <w:rPr>
          <w:rFonts w:ascii="Times New Roman" w:hAnsi="Times New Roman"/>
          <w:b/>
          <w:sz w:val="24"/>
          <w:szCs w:val="24"/>
        </w:rPr>
        <w:t xml:space="preserve"> three physicians must certify total disability. </w:t>
      </w:r>
    </w:p>
    <w:p w14:paraId="53C57AC5" w14:textId="77777777" w:rsidR="006E00CC" w:rsidRDefault="006E00CC" w:rsidP="00575946">
      <w:pPr>
        <w:pStyle w:val="NoSpacing"/>
        <w:rPr>
          <w:rFonts w:ascii="Times New Roman" w:hAnsi="Times New Roman"/>
          <w:b/>
          <w:sz w:val="24"/>
          <w:szCs w:val="24"/>
        </w:rPr>
      </w:pPr>
    </w:p>
    <w:p w14:paraId="181DB2A7" w14:textId="77777777" w:rsidR="006E00CC" w:rsidRDefault="006E00CC" w:rsidP="00575946">
      <w:pPr>
        <w:pStyle w:val="NoSpacing"/>
        <w:rPr>
          <w:rFonts w:ascii="Times New Roman" w:hAnsi="Times New Roman"/>
          <w:b/>
          <w:sz w:val="24"/>
          <w:szCs w:val="24"/>
        </w:rPr>
      </w:pPr>
    </w:p>
    <w:p w14:paraId="3D4E37E5" w14:textId="77777777" w:rsidR="006E00CC" w:rsidRDefault="006E00CC" w:rsidP="00575946">
      <w:pPr>
        <w:pStyle w:val="NoSpacing"/>
        <w:rPr>
          <w:rFonts w:ascii="Times New Roman" w:hAnsi="Times New Roman"/>
          <w:b/>
          <w:sz w:val="24"/>
          <w:szCs w:val="24"/>
        </w:rPr>
      </w:pPr>
    </w:p>
    <w:p w14:paraId="27539B55" w14:textId="77777777" w:rsidR="00C74618" w:rsidRDefault="00C74618" w:rsidP="00575946">
      <w:pPr>
        <w:pStyle w:val="NoSpacing"/>
        <w:rPr>
          <w:rFonts w:ascii="Times New Roman" w:hAnsi="Times New Roman"/>
          <w:b/>
          <w:bCs/>
          <w:sz w:val="24"/>
          <w:szCs w:val="24"/>
        </w:rPr>
      </w:pPr>
    </w:p>
    <w:p w14:paraId="2907EC9C" w14:textId="2D39DC69" w:rsidR="0090461E" w:rsidRDefault="0090461E" w:rsidP="00411F2A">
      <w:pPr>
        <w:pStyle w:val="NoSpacing"/>
        <w:rPr>
          <w:rFonts w:ascii="Arial Black" w:hAnsi="Arial Black"/>
          <w:sz w:val="28"/>
          <w:szCs w:val="28"/>
        </w:rPr>
      </w:pPr>
      <w:r>
        <w:rPr>
          <w:rFonts w:ascii="Arial Black" w:hAnsi="Arial Black"/>
          <w:sz w:val="28"/>
          <w:szCs w:val="28"/>
        </w:rPr>
        <w:t>6-1</w:t>
      </w:r>
      <w:r w:rsidR="002A0697">
        <w:rPr>
          <w:rFonts w:ascii="Arial Black" w:hAnsi="Arial Black"/>
          <w:sz w:val="28"/>
          <w:szCs w:val="28"/>
        </w:rPr>
        <w:t>60</w:t>
      </w:r>
    </w:p>
    <w:p w14:paraId="78E758F6" w14:textId="77777777" w:rsidR="0090461E" w:rsidRDefault="0090461E" w:rsidP="00411F2A">
      <w:pPr>
        <w:pStyle w:val="NoSpacing"/>
        <w:rPr>
          <w:rFonts w:ascii="Arial Black" w:hAnsi="Arial Black"/>
          <w:sz w:val="28"/>
          <w:szCs w:val="28"/>
        </w:rPr>
      </w:pPr>
    </w:p>
    <w:p w14:paraId="7F7C32D9" w14:textId="300CDF82" w:rsidR="00411F2A" w:rsidRPr="006F2B87" w:rsidRDefault="00411F2A" w:rsidP="00411F2A">
      <w:pPr>
        <w:pStyle w:val="NoSpacing"/>
        <w:rPr>
          <w:rFonts w:ascii="Arial Black" w:hAnsi="Arial Black"/>
          <w:sz w:val="28"/>
          <w:szCs w:val="28"/>
        </w:rPr>
      </w:pPr>
      <w:r w:rsidRPr="006F2B87">
        <w:rPr>
          <w:rFonts w:ascii="Arial Black" w:hAnsi="Arial Black"/>
          <w:sz w:val="28"/>
          <w:szCs w:val="28"/>
        </w:rPr>
        <w:t>CT: DISAB. PENSION FOR HEARING LOSS DENIED – 3 MDs</w:t>
      </w:r>
    </w:p>
    <w:p w14:paraId="5AB7B27B" w14:textId="77777777" w:rsidR="00411F2A" w:rsidRPr="006F2B87" w:rsidRDefault="00411F2A" w:rsidP="00411F2A">
      <w:pPr>
        <w:pStyle w:val="NoSpacing"/>
      </w:pPr>
    </w:p>
    <w:p w14:paraId="5446F811" w14:textId="77777777" w:rsidR="00411F2A" w:rsidRPr="00411F2A" w:rsidRDefault="00411F2A" w:rsidP="00411F2A">
      <w:pPr>
        <w:pStyle w:val="NoSpacing"/>
        <w:rPr>
          <w:rFonts w:ascii="Times New Roman" w:hAnsi="Times New Roman"/>
          <w:bCs/>
          <w:sz w:val="24"/>
          <w:szCs w:val="24"/>
        </w:rPr>
      </w:pPr>
      <w:r w:rsidRPr="00411F2A">
        <w:rPr>
          <w:rFonts w:ascii="Times New Roman" w:hAnsi="Times New Roman"/>
          <w:sz w:val="24"/>
          <w:szCs w:val="24"/>
        </w:rPr>
        <w:t xml:space="preserve">On May 15, 2025, in </w:t>
      </w:r>
      <w:r w:rsidRPr="00411F2A">
        <w:rPr>
          <w:rFonts w:ascii="Times New Roman" w:hAnsi="Times New Roman"/>
          <w:sz w:val="24"/>
          <w:szCs w:val="24"/>
          <w:u w:val="single"/>
        </w:rPr>
        <w:t>Kenneth Lombardi v. Town of Westport</w:t>
      </w:r>
      <w:r w:rsidRPr="00411F2A">
        <w:rPr>
          <w:rFonts w:ascii="Times New Roman" w:hAnsi="Times New Roman"/>
          <w:sz w:val="24"/>
          <w:szCs w:val="24"/>
        </w:rPr>
        <w:t xml:space="preserve">, the Court of Appeals of Connecticut held (3 to 0) that the Pension Board properly denied the firefighter a disability pension; he retired June 1, </w:t>
      </w:r>
      <w:proofErr w:type="gramStart"/>
      <w:r w:rsidRPr="00411F2A">
        <w:rPr>
          <w:rFonts w:ascii="Times New Roman" w:hAnsi="Times New Roman"/>
          <w:sz w:val="24"/>
          <w:szCs w:val="24"/>
        </w:rPr>
        <w:t>2017</w:t>
      </w:r>
      <w:proofErr w:type="gramEnd"/>
      <w:r w:rsidRPr="00411F2A">
        <w:rPr>
          <w:rFonts w:ascii="Times New Roman" w:hAnsi="Times New Roman"/>
          <w:sz w:val="24"/>
          <w:szCs w:val="24"/>
        </w:rPr>
        <w:t xml:space="preserve"> and claimed an on-the-job ear injury in 2004 entitled him to disability pension.  The pension plan required three (3) physicians to certify total disability, and the third doctor found he could still perform 90% of his job.  </w:t>
      </w:r>
    </w:p>
    <w:p w14:paraId="41A786C8" w14:textId="77777777" w:rsidR="00411F2A" w:rsidRPr="00411F2A" w:rsidRDefault="00411F2A" w:rsidP="00411F2A">
      <w:pPr>
        <w:pStyle w:val="NoSpacing"/>
        <w:rPr>
          <w:rFonts w:ascii="Times New Roman" w:hAnsi="Times New Roman"/>
          <w:bCs/>
          <w:sz w:val="24"/>
          <w:szCs w:val="24"/>
        </w:rPr>
      </w:pPr>
    </w:p>
    <w:p w14:paraId="52EA81FE" w14:textId="77777777" w:rsidR="00411F2A" w:rsidRPr="00411F2A" w:rsidRDefault="00411F2A" w:rsidP="00411F2A">
      <w:pPr>
        <w:pStyle w:val="NoSpacing"/>
        <w:rPr>
          <w:rFonts w:ascii="Times New Roman" w:hAnsi="Times New Roman"/>
          <w:bCs/>
          <w:sz w:val="24"/>
          <w:szCs w:val="24"/>
        </w:rPr>
      </w:pPr>
      <w:r w:rsidRPr="00411F2A">
        <w:rPr>
          <w:rFonts w:ascii="Times New Roman" w:hAnsi="Times New Roman"/>
          <w:sz w:val="24"/>
          <w:szCs w:val="24"/>
        </w:rPr>
        <w:t xml:space="preserve">The Court wrote: “To aid in its determination of whether the plaintiff qualified for a disability retirement pension, the board accepted and considered medical evaluations from two physicians selected by the plaintiff, who opined that the plaintiff ‘’suffered from permanent hearing disabilities rendering him unfit for duty as a fire-fighter.’’ In addition, the board referred the plaintiff to Craig Hecht, a physician, for an independent examination. ‘’Hecht’s findings were consistent with the conclusions of [the other two physicians], except [for] Hecht’s conclusion that the plaintiff could perform ‘90 percent of his job responsibilities’ . . . . In </w:t>
      </w:r>
      <w:proofErr w:type="gramStart"/>
      <w:r w:rsidRPr="00411F2A">
        <w:rPr>
          <w:rFonts w:ascii="Times New Roman" w:hAnsi="Times New Roman"/>
          <w:sz w:val="24"/>
          <w:szCs w:val="24"/>
        </w:rPr>
        <w:t>December,</w:t>
      </w:r>
      <w:proofErr w:type="gramEnd"/>
      <w:r w:rsidRPr="00411F2A">
        <w:rPr>
          <w:rFonts w:ascii="Times New Roman" w:hAnsi="Times New Roman"/>
          <w:sz w:val="24"/>
          <w:szCs w:val="24"/>
        </w:rPr>
        <w:t xml:space="preserve"> 2017, the board denied the plaintiff’s request for a disability retirement pension. *** Accordingly, there exists no genuine issue of material fact that the plaintiff was not entitled to a disability retirement pension on the basis that he did not have certifications from at least three physicians.”  </w:t>
      </w:r>
      <w:hyperlink r:id="rId1066" w:history="1">
        <w:r w:rsidRPr="00411F2A">
          <w:rPr>
            <w:rStyle w:val="Hyperlink"/>
            <w:rFonts w:ascii="Times New Roman" w:hAnsi="Times New Roman"/>
            <w:sz w:val="24"/>
            <w:szCs w:val="24"/>
          </w:rPr>
          <w:t>https://www.jud.ct.gov/external/supapp/Cases/AROap/AP232/AP232.214.pdf</w:t>
        </w:r>
      </w:hyperlink>
      <w:r w:rsidRPr="00411F2A">
        <w:rPr>
          <w:rFonts w:ascii="Times New Roman" w:hAnsi="Times New Roman"/>
          <w:sz w:val="24"/>
          <w:szCs w:val="24"/>
        </w:rPr>
        <w:t xml:space="preserve"> </w:t>
      </w:r>
    </w:p>
    <w:p w14:paraId="5B8DF7FB" w14:textId="77777777" w:rsidR="00575946" w:rsidRPr="00411F2A" w:rsidRDefault="00575946" w:rsidP="00EF1133">
      <w:pPr>
        <w:rPr>
          <w:rFonts w:ascii="Times New Roman" w:hAnsi="Times New Roman"/>
          <w:b/>
          <w:sz w:val="24"/>
          <w:szCs w:val="24"/>
        </w:rPr>
      </w:pPr>
    </w:p>
    <w:p w14:paraId="2341891A" w14:textId="77777777" w:rsidR="0010642B" w:rsidRPr="006F2B87" w:rsidRDefault="0010642B" w:rsidP="0010642B">
      <w:pPr>
        <w:pStyle w:val="NoSpacing"/>
        <w:rPr>
          <w:b/>
          <w:bCs/>
        </w:rPr>
      </w:pPr>
      <w:r w:rsidRPr="0010642B">
        <w:rPr>
          <w:rFonts w:ascii="Times New Roman" w:hAnsi="Times New Roman"/>
          <w:b/>
          <w:sz w:val="24"/>
          <w:szCs w:val="24"/>
        </w:rPr>
        <w:t>Legal Lesson Learned: The pension plan was clear</w:t>
      </w:r>
      <w:r w:rsidRPr="0010642B">
        <w:rPr>
          <w:rFonts w:ascii="Times New Roman" w:hAnsi="Times New Roman"/>
          <w:b/>
          <w:bCs/>
          <w:sz w:val="24"/>
          <w:szCs w:val="24"/>
        </w:rPr>
        <w:t xml:space="preserve">; </w:t>
      </w:r>
      <w:r w:rsidRPr="0010642B">
        <w:rPr>
          <w:rFonts w:ascii="Times New Roman" w:hAnsi="Times New Roman"/>
          <w:b/>
          <w:sz w:val="24"/>
          <w:szCs w:val="24"/>
        </w:rPr>
        <w:t xml:space="preserve"> three physicians must certify total disability</w:t>
      </w:r>
      <w:r w:rsidRPr="006F2B87">
        <w:rPr>
          <w:b/>
        </w:rPr>
        <w:t xml:space="preserve">. </w:t>
      </w:r>
    </w:p>
    <w:p w14:paraId="2A04E333" w14:textId="77777777" w:rsidR="00744788" w:rsidRDefault="00744788" w:rsidP="00EF1133">
      <w:pPr>
        <w:rPr>
          <w:rFonts w:ascii="Arial Black" w:hAnsi="Arial Black"/>
          <w:b/>
          <w:sz w:val="24"/>
          <w:szCs w:val="24"/>
        </w:rPr>
      </w:pPr>
    </w:p>
    <w:p w14:paraId="29CA7718" w14:textId="302C12D0" w:rsidR="00F0728A" w:rsidRDefault="0090461E" w:rsidP="00EF1133">
      <w:pPr>
        <w:rPr>
          <w:rFonts w:ascii="Arial Black" w:hAnsi="Arial Black"/>
          <w:b/>
          <w:sz w:val="24"/>
          <w:szCs w:val="24"/>
        </w:rPr>
      </w:pPr>
      <w:r>
        <w:rPr>
          <w:rFonts w:ascii="Arial Black" w:hAnsi="Arial Black"/>
          <w:b/>
          <w:sz w:val="24"/>
          <w:szCs w:val="24"/>
        </w:rPr>
        <w:t>6-15</w:t>
      </w:r>
      <w:r w:rsidR="002A0697">
        <w:rPr>
          <w:rFonts w:ascii="Arial Black" w:hAnsi="Arial Black"/>
          <w:b/>
          <w:sz w:val="24"/>
          <w:szCs w:val="24"/>
        </w:rPr>
        <w:t>9</w:t>
      </w:r>
    </w:p>
    <w:p w14:paraId="36166260" w14:textId="77777777" w:rsidR="00F0728A" w:rsidRPr="006F2B87" w:rsidRDefault="00F0728A" w:rsidP="00F0728A">
      <w:pPr>
        <w:pStyle w:val="NoSpacing"/>
        <w:rPr>
          <w:rFonts w:ascii="Arial Black" w:hAnsi="Arial Black"/>
          <w:bCs/>
          <w:sz w:val="28"/>
          <w:szCs w:val="28"/>
        </w:rPr>
      </w:pPr>
      <w:r w:rsidRPr="006F2B87">
        <w:rPr>
          <w:rFonts w:ascii="Arial Black" w:hAnsi="Arial Black"/>
          <w:sz w:val="28"/>
          <w:szCs w:val="28"/>
        </w:rPr>
        <w:t xml:space="preserve">LA:  CAPT DIED FLU / MRSA – </w:t>
      </w:r>
      <w:r>
        <w:rPr>
          <w:rFonts w:ascii="Arial Black" w:hAnsi="Arial Black"/>
          <w:sz w:val="28"/>
          <w:szCs w:val="28"/>
        </w:rPr>
        <w:t xml:space="preserve">STATUTORY PRESUMPTION </w:t>
      </w:r>
    </w:p>
    <w:p w14:paraId="13C8DF69" w14:textId="77777777" w:rsidR="00F0728A" w:rsidRDefault="00F0728A" w:rsidP="00F0728A">
      <w:pPr>
        <w:pStyle w:val="NoSpacing"/>
      </w:pPr>
    </w:p>
    <w:p w14:paraId="2776D5F0" w14:textId="77777777" w:rsidR="00693E53" w:rsidRDefault="00F0728A" w:rsidP="00693E53">
      <w:pPr>
        <w:rPr>
          <w:rFonts w:ascii="Times New Roman" w:hAnsi="Times New Roman"/>
          <w:sz w:val="24"/>
          <w:szCs w:val="24"/>
        </w:rPr>
      </w:pPr>
      <w:r w:rsidRPr="00F0728A">
        <w:rPr>
          <w:rFonts w:ascii="Times New Roman" w:hAnsi="Times New Roman"/>
          <w:sz w:val="24"/>
          <w:szCs w:val="24"/>
        </w:rPr>
        <w:t xml:space="preserve">On May 6, 2025, in </w:t>
      </w:r>
      <w:r w:rsidRPr="00F0728A">
        <w:rPr>
          <w:rFonts w:ascii="Times New Roman" w:hAnsi="Times New Roman"/>
          <w:sz w:val="24"/>
          <w:szCs w:val="24"/>
          <w:u w:val="single"/>
        </w:rPr>
        <w:t>Roy D. Magee (deceased) / Wallace Magee and Clara Caston Filey v. City of New Orlean Fire Department</w:t>
      </w:r>
      <w:r w:rsidRPr="00F0728A">
        <w:rPr>
          <w:rFonts w:ascii="Times New Roman" w:hAnsi="Times New Roman"/>
          <w:sz w:val="24"/>
          <w:szCs w:val="24"/>
        </w:rPr>
        <w:t xml:space="preserve">, the Court of Appeals of Louisiana, Fourth Circuit held (3 to 0) that the Office of Workers’ Compensation properly found that the firefighter, who died from influenza A and MRSA pneumonia (methicillin-resistant staphylococcus aureus), was covered by the Firefighter's Heart and Lung Act, and his father and mother each can receive $75,000, and medical and funeral expenses (but not attorney fees).   </w:t>
      </w:r>
      <w:hyperlink r:id="rId1067" w:history="1">
        <w:r w:rsidR="00693E53" w:rsidRPr="00F0728A">
          <w:rPr>
            <w:rStyle w:val="Hyperlink"/>
            <w:rFonts w:ascii="Times New Roman" w:hAnsi="Times New Roman"/>
            <w:sz w:val="24"/>
            <w:szCs w:val="24"/>
          </w:rPr>
          <w:t>https://cases.justia.com/louisiana/fourth-circuit-court-of-appeal/2025-2024-ca-0747.pdf?ts=1746576943</w:t>
        </w:r>
      </w:hyperlink>
    </w:p>
    <w:p w14:paraId="1C2F6D27" w14:textId="14FA2FDB" w:rsidR="00F0728A" w:rsidRPr="00F0728A" w:rsidRDefault="00F0728A" w:rsidP="00F0728A">
      <w:pPr>
        <w:pStyle w:val="NoSpacing"/>
        <w:rPr>
          <w:rFonts w:ascii="Times New Roman" w:hAnsi="Times New Roman"/>
          <w:bCs/>
          <w:sz w:val="24"/>
          <w:szCs w:val="24"/>
        </w:rPr>
      </w:pPr>
    </w:p>
    <w:p w14:paraId="627B38DF" w14:textId="77777777" w:rsidR="00F0728A" w:rsidRPr="00F0728A" w:rsidRDefault="00F0728A" w:rsidP="00F0728A">
      <w:pPr>
        <w:pStyle w:val="NoSpacing"/>
        <w:rPr>
          <w:rFonts w:ascii="Times New Roman" w:hAnsi="Times New Roman"/>
          <w:bCs/>
          <w:sz w:val="24"/>
          <w:szCs w:val="24"/>
        </w:rPr>
      </w:pPr>
    </w:p>
    <w:p w14:paraId="5A70B167" w14:textId="2C41BCB2" w:rsidR="00F0728A" w:rsidRDefault="00F0728A" w:rsidP="00F0728A">
      <w:pPr>
        <w:rPr>
          <w:rFonts w:ascii="Times New Roman" w:hAnsi="Times New Roman"/>
          <w:sz w:val="24"/>
          <w:szCs w:val="24"/>
        </w:rPr>
      </w:pPr>
      <w:r w:rsidRPr="00F0728A">
        <w:rPr>
          <w:rFonts w:ascii="Times New Roman" w:hAnsi="Times New Roman"/>
          <w:sz w:val="24"/>
          <w:szCs w:val="24"/>
        </w:rPr>
        <w:t xml:space="preserve">The Court wrote:  “In October 2014, Captain Troy Magee (‘Captain Magee’), who had been employed as a Hazmat firefighter with the NOFD for 13 years, was in New Mexico attending a week-long firefighter training course. On the final day of training, he became extremely ill and had to be transported by ambulance to the hospital. His medical condition worsened and required a helicopter transfer to another hospital's intensive care unit. Captain Magee was diagnosed with acute respiratory distress and multifocal pneumonia. He remained in intensive care for four days and later died on October 27, 2014. Dr. Keith Hutchinson (‘Dr. Hutchinson’), the critical care physician who treated Captain Magee, was present when he died and completed the discharge summary. Dr. Hutchinson listed the cause of death as ‘acute respiratory distress syndrome, secondary to influenza A, and H3/MRSA pneumonia.’ ***  The Firefighter's Heart and Lung Act ("Act"), set forth in La. R.S. 33:2581, states: "Any disease or infirmity of the heart and lungs which develops during a period of employment in the classified fire service of Louisiana shall be classified as a disease or infirmity connected with employment.”  </w:t>
      </w:r>
      <w:hyperlink r:id="rId1068" w:history="1">
        <w:r w:rsidRPr="00F0728A">
          <w:rPr>
            <w:rStyle w:val="Hyperlink"/>
            <w:rFonts w:ascii="Times New Roman" w:hAnsi="Times New Roman"/>
            <w:sz w:val="24"/>
            <w:szCs w:val="24"/>
          </w:rPr>
          <w:t>https://cases.justia.com/louisiana/fourth-circuit-court-of-appeal/2025-2024-ca-0747.pdf?ts=1746576943</w:t>
        </w:r>
      </w:hyperlink>
    </w:p>
    <w:p w14:paraId="5085F9DC" w14:textId="77777777" w:rsidR="00A0378C" w:rsidRPr="00A0378C" w:rsidRDefault="00A0378C" w:rsidP="00A0378C">
      <w:pPr>
        <w:pStyle w:val="NoSpacing"/>
        <w:rPr>
          <w:rFonts w:ascii="Times New Roman" w:hAnsi="Times New Roman"/>
          <w:b/>
          <w:bCs/>
          <w:sz w:val="24"/>
          <w:szCs w:val="24"/>
        </w:rPr>
      </w:pPr>
      <w:r w:rsidRPr="00A0378C">
        <w:rPr>
          <w:rFonts w:ascii="Times New Roman" w:hAnsi="Times New Roman"/>
          <w:b/>
          <w:sz w:val="24"/>
          <w:szCs w:val="24"/>
        </w:rPr>
        <w:t xml:space="preserve">Legal Lesson Learned: The statutory presumption in the Firefighter's Heart and Lung Act is very broad. </w:t>
      </w:r>
    </w:p>
    <w:p w14:paraId="3ECF5154" w14:textId="77777777" w:rsidR="00A0378C" w:rsidRPr="00A0378C" w:rsidRDefault="00A0378C" w:rsidP="00A0378C">
      <w:pPr>
        <w:pStyle w:val="NoSpacing"/>
        <w:rPr>
          <w:rFonts w:ascii="Times New Roman" w:hAnsi="Times New Roman"/>
          <w:b/>
          <w:bCs/>
          <w:sz w:val="24"/>
          <w:szCs w:val="24"/>
        </w:rPr>
      </w:pPr>
    </w:p>
    <w:p w14:paraId="57EA3F29" w14:textId="77777777" w:rsidR="00A0378C" w:rsidRDefault="00A0378C" w:rsidP="00F0728A">
      <w:pPr>
        <w:rPr>
          <w:rFonts w:ascii="Times New Roman" w:hAnsi="Times New Roman"/>
          <w:b/>
          <w:sz w:val="24"/>
          <w:szCs w:val="24"/>
        </w:rPr>
      </w:pPr>
    </w:p>
    <w:p w14:paraId="7B5156A7" w14:textId="77777777" w:rsidR="002F63E3" w:rsidRDefault="002F63E3" w:rsidP="00F0728A">
      <w:pPr>
        <w:rPr>
          <w:rFonts w:ascii="Times New Roman" w:hAnsi="Times New Roman"/>
          <w:b/>
          <w:sz w:val="24"/>
          <w:szCs w:val="24"/>
        </w:rPr>
      </w:pPr>
    </w:p>
    <w:p w14:paraId="6E9A77C3" w14:textId="77777777" w:rsidR="00744788" w:rsidRDefault="00744788" w:rsidP="00EF1133">
      <w:pPr>
        <w:rPr>
          <w:rFonts w:ascii="Arial Black" w:hAnsi="Arial Black"/>
          <w:b/>
          <w:sz w:val="24"/>
          <w:szCs w:val="24"/>
        </w:rPr>
      </w:pPr>
    </w:p>
    <w:p w14:paraId="70951456" w14:textId="5DC5491B" w:rsidR="00CB79E4" w:rsidRDefault="00CB79E4" w:rsidP="00EF1133">
      <w:pPr>
        <w:rPr>
          <w:rFonts w:ascii="Arial Black" w:hAnsi="Arial Black"/>
          <w:b/>
          <w:sz w:val="24"/>
          <w:szCs w:val="24"/>
        </w:rPr>
      </w:pPr>
      <w:r>
        <w:rPr>
          <w:rFonts w:ascii="Arial Black" w:hAnsi="Arial Black"/>
          <w:b/>
          <w:sz w:val="24"/>
          <w:szCs w:val="24"/>
        </w:rPr>
        <w:t>6-15</w:t>
      </w:r>
      <w:r w:rsidR="002A0697">
        <w:rPr>
          <w:rFonts w:ascii="Arial Black" w:hAnsi="Arial Black"/>
          <w:b/>
          <w:sz w:val="24"/>
          <w:szCs w:val="24"/>
        </w:rPr>
        <w:t>8</w:t>
      </w:r>
    </w:p>
    <w:p w14:paraId="20264B8A" w14:textId="77777777" w:rsidR="00981C5A" w:rsidRPr="009041B2" w:rsidRDefault="00981C5A" w:rsidP="00981C5A">
      <w:pPr>
        <w:pStyle w:val="NoSpacing"/>
        <w:rPr>
          <w:rFonts w:ascii="Arial Black" w:hAnsi="Arial Black"/>
          <w:sz w:val="28"/>
          <w:szCs w:val="28"/>
        </w:rPr>
      </w:pPr>
      <w:r>
        <w:rPr>
          <w:rFonts w:ascii="Arial Black" w:hAnsi="Arial Black"/>
          <w:sz w:val="28"/>
          <w:szCs w:val="28"/>
        </w:rPr>
        <w:t>WV: FF KNEE – 40 LBS SUPPLIES UP STAIRS – WORK COMP</w:t>
      </w:r>
    </w:p>
    <w:p w14:paraId="782CAB52" w14:textId="77777777" w:rsidR="00981C5A" w:rsidRDefault="00981C5A" w:rsidP="00981C5A">
      <w:pPr>
        <w:pStyle w:val="NoSpacing"/>
      </w:pPr>
    </w:p>
    <w:p w14:paraId="64B55FD9" w14:textId="77777777" w:rsidR="00981C5A" w:rsidRPr="00981C5A" w:rsidRDefault="00981C5A" w:rsidP="00981C5A">
      <w:pPr>
        <w:rPr>
          <w:rFonts w:ascii="Times New Roman" w:hAnsi="Times New Roman"/>
          <w:sz w:val="24"/>
          <w:szCs w:val="24"/>
        </w:rPr>
      </w:pPr>
      <w:r w:rsidRPr="00981C5A">
        <w:rPr>
          <w:rFonts w:ascii="Times New Roman" w:hAnsi="Times New Roman"/>
          <w:sz w:val="24"/>
          <w:szCs w:val="24"/>
        </w:rPr>
        <w:t xml:space="preserve">On April 29, 2025, in </w:t>
      </w:r>
      <w:r w:rsidRPr="00981C5A">
        <w:rPr>
          <w:rFonts w:ascii="Times New Roman" w:hAnsi="Times New Roman"/>
          <w:sz w:val="24"/>
          <w:szCs w:val="24"/>
          <w:u w:val="single"/>
        </w:rPr>
        <w:t>City of Wheeling v. Cody Melsop</w:t>
      </w:r>
      <w:r w:rsidRPr="00981C5A">
        <w:rPr>
          <w:rFonts w:ascii="Times New Roman" w:hAnsi="Times New Roman"/>
          <w:sz w:val="24"/>
          <w:szCs w:val="24"/>
        </w:rPr>
        <w:t xml:space="preserve">, the West Virginia Intermediate Court of Appeals held (3 to 0) that the Workers Comp Board properly reversed the claim administrator; the injury was work related since he was carrying a tote with 40 pounds of supplies up 17 steps at the fire station when he felt pain in his right knee.  While an MRI revealed significant cartilage loss, the injury occurred on duty.  </w:t>
      </w:r>
      <w:hyperlink r:id="rId1069" w:history="1">
        <w:r w:rsidRPr="00981C5A">
          <w:rPr>
            <w:rStyle w:val="Hyperlink"/>
            <w:rFonts w:ascii="Times New Roman" w:hAnsi="Times New Roman"/>
            <w:sz w:val="24"/>
            <w:szCs w:val="24"/>
          </w:rPr>
          <w:t>https://cases.justia.com/west-virginia/intermediate-court-of-appeals/2025-24-ica-379.pdf?ts=1745964757</w:t>
        </w:r>
      </w:hyperlink>
      <w:r w:rsidRPr="00981C5A">
        <w:rPr>
          <w:rFonts w:ascii="Times New Roman" w:hAnsi="Times New Roman"/>
          <w:sz w:val="24"/>
          <w:szCs w:val="24"/>
        </w:rPr>
        <w:t xml:space="preserve"> </w:t>
      </w:r>
    </w:p>
    <w:p w14:paraId="77DF5FE8" w14:textId="77777777" w:rsidR="0062764C" w:rsidRPr="0062764C" w:rsidRDefault="0062764C" w:rsidP="0062764C">
      <w:pPr>
        <w:pStyle w:val="NoSpacing"/>
        <w:rPr>
          <w:rFonts w:ascii="Times New Roman" w:hAnsi="Times New Roman"/>
          <w:b/>
          <w:bCs/>
          <w:sz w:val="24"/>
          <w:szCs w:val="24"/>
        </w:rPr>
      </w:pPr>
      <w:r w:rsidRPr="0062764C">
        <w:rPr>
          <w:rFonts w:ascii="Times New Roman" w:hAnsi="Times New Roman"/>
          <w:b/>
          <w:sz w:val="24"/>
          <w:szCs w:val="24"/>
        </w:rPr>
        <w:t>Legal Lesson Learned: The firefighter was injured performing fire station duties.</w:t>
      </w:r>
    </w:p>
    <w:p w14:paraId="2AB2FF4B" w14:textId="77777777" w:rsidR="00CB79E4" w:rsidRPr="0062764C" w:rsidRDefault="00CB79E4" w:rsidP="00EF1133">
      <w:pPr>
        <w:rPr>
          <w:rFonts w:ascii="Times New Roman" w:hAnsi="Times New Roman"/>
          <w:b/>
          <w:sz w:val="24"/>
          <w:szCs w:val="24"/>
        </w:rPr>
      </w:pPr>
    </w:p>
    <w:p w14:paraId="4913FBA1" w14:textId="77777777" w:rsidR="002A0697" w:rsidRDefault="002A0697" w:rsidP="00EF1133">
      <w:pPr>
        <w:rPr>
          <w:rFonts w:ascii="Arial Black" w:hAnsi="Arial Black"/>
          <w:b/>
          <w:sz w:val="24"/>
          <w:szCs w:val="24"/>
        </w:rPr>
      </w:pPr>
    </w:p>
    <w:p w14:paraId="2C6F8D82" w14:textId="3119E286" w:rsidR="00CB79E4" w:rsidRDefault="002A0697" w:rsidP="00EF1133">
      <w:pPr>
        <w:rPr>
          <w:rFonts w:ascii="Arial Black" w:hAnsi="Arial Black"/>
          <w:b/>
          <w:sz w:val="24"/>
          <w:szCs w:val="24"/>
        </w:rPr>
      </w:pPr>
      <w:r>
        <w:rPr>
          <w:rFonts w:ascii="Arial Black" w:hAnsi="Arial Black"/>
          <w:b/>
          <w:sz w:val="24"/>
          <w:szCs w:val="24"/>
        </w:rPr>
        <w:t>6-157</w:t>
      </w:r>
    </w:p>
    <w:p w14:paraId="64E28150" w14:textId="77777777" w:rsidR="0090461E" w:rsidRPr="006F2B87" w:rsidRDefault="0090461E" w:rsidP="0090461E">
      <w:pPr>
        <w:pStyle w:val="NoSpacing"/>
        <w:rPr>
          <w:rFonts w:ascii="Arial Black" w:hAnsi="Arial Black"/>
          <w:b/>
          <w:bCs/>
          <w:sz w:val="28"/>
          <w:szCs w:val="28"/>
        </w:rPr>
      </w:pPr>
      <w:r w:rsidRPr="006F2B87">
        <w:rPr>
          <w:rFonts w:ascii="Arial Black" w:hAnsi="Arial Black"/>
          <w:b/>
          <w:sz w:val="28"/>
          <w:szCs w:val="28"/>
        </w:rPr>
        <w:t xml:space="preserve">NY: GROUND ZERO – FF’s </w:t>
      </w:r>
      <w:r>
        <w:rPr>
          <w:rFonts w:ascii="Arial Black" w:hAnsi="Arial Black"/>
          <w:b/>
          <w:sz w:val="28"/>
          <w:szCs w:val="28"/>
        </w:rPr>
        <w:t xml:space="preserve">LUNGS - </w:t>
      </w:r>
      <w:r w:rsidRPr="006F2B87">
        <w:rPr>
          <w:rFonts w:ascii="Arial Black" w:hAnsi="Arial Black"/>
          <w:b/>
          <w:sz w:val="28"/>
          <w:szCs w:val="28"/>
        </w:rPr>
        <w:t xml:space="preserve">WIFE GET </w:t>
      </w:r>
      <w:r>
        <w:rPr>
          <w:rFonts w:ascii="Arial Black" w:hAnsi="Arial Black"/>
          <w:b/>
          <w:sz w:val="28"/>
          <w:szCs w:val="28"/>
        </w:rPr>
        <w:t xml:space="preserve">WTC </w:t>
      </w:r>
      <w:r w:rsidRPr="006F2B87">
        <w:rPr>
          <w:rFonts w:ascii="Arial Black" w:hAnsi="Arial Black"/>
          <w:b/>
          <w:sz w:val="28"/>
          <w:szCs w:val="28"/>
        </w:rPr>
        <w:t xml:space="preserve">BENEFITS </w:t>
      </w:r>
    </w:p>
    <w:p w14:paraId="6087B686" w14:textId="77777777" w:rsidR="0090461E" w:rsidRDefault="0090461E" w:rsidP="0090461E">
      <w:pPr>
        <w:pStyle w:val="NoSpacing"/>
        <w:rPr>
          <w:bCs/>
        </w:rPr>
      </w:pPr>
    </w:p>
    <w:p w14:paraId="51721210" w14:textId="77777777" w:rsidR="0090461E" w:rsidRPr="002F63E3" w:rsidRDefault="0090461E" w:rsidP="0090461E">
      <w:pPr>
        <w:pStyle w:val="NoSpacing"/>
        <w:rPr>
          <w:rFonts w:ascii="Times New Roman" w:hAnsi="Times New Roman"/>
          <w:bCs/>
          <w:sz w:val="24"/>
          <w:szCs w:val="24"/>
        </w:rPr>
      </w:pPr>
      <w:r w:rsidRPr="002F63E3">
        <w:rPr>
          <w:rFonts w:ascii="Times New Roman" w:hAnsi="Times New Roman"/>
          <w:sz w:val="24"/>
          <w:szCs w:val="24"/>
        </w:rPr>
        <w:t xml:space="preserve">On April 11, 2025, </w:t>
      </w:r>
      <w:r w:rsidRPr="002F63E3">
        <w:rPr>
          <w:rFonts w:ascii="Times New Roman" w:hAnsi="Times New Roman"/>
          <w:sz w:val="24"/>
          <w:szCs w:val="24"/>
          <w:u w:val="single"/>
        </w:rPr>
        <w:t>In the matter of the Application of Susan Michlik-Klipp v. Board of Trustees of the Fire Department of the City of New York</w:t>
      </w:r>
      <w:r w:rsidRPr="002F63E3">
        <w:rPr>
          <w:rFonts w:ascii="Times New Roman" w:hAnsi="Times New Roman"/>
          <w:sz w:val="24"/>
          <w:szCs w:val="24"/>
        </w:rPr>
        <w:t xml:space="preserve">, the Supreme Court, New York County, New York, Judge Leslie A. Stroth, reversed the Board, holding the denial of World Trade Center death benefits to widow of FDNY firefighter Kenneth Klipp was “arbitrary and capricious.”  He joined the FDNY in 1985 and retired in 2016; he died on November 3, 2020. </w:t>
      </w:r>
    </w:p>
    <w:p w14:paraId="202BD26C" w14:textId="77777777" w:rsidR="0090461E" w:rsidRPr="002F63E3" w:rsidRDefault="0090461E" w:rsidP="0090461E">
      <w:pPr>
        <w:pStyle w:val="NoSpacing"/>
        <w:rPr>
          <w:rFonts w:ascii="Times New Roman" w:hAnsi="Times New Roman"/>
          <w:bCs/>
          <w:sz w:val="24"/>
          <w:szCs w:val="24"/>
        </w:rPr>
      </w:pPr>
    </w:p>
    <w:p w14:paraId="4C342E35" w14:textId="77777777" w:rsidR="0090461E" w:rsidRPr="002F63E3" w:rsidRDefault="0090461E" w:rsidP="0090461E">
      <w:pPr>
        <w:pStyle w:val="NoSpacing"/>
        <w:rPr>
          <w:rFonts w:ascii="Times New Roman" w:hAnsi="Times New Roman"/>
          <w:b/>
          <w:bCs/>
          <w:sz w:val="24"/>
          <w:szCs w:val="24"/>
        </w:rPr>
      </w:pPr>
      <w:r w:rsidRPr="002F63E3">
        <w:rPr>
          <w:rFonts w:ascii="Times New Roman" w:hAnsi="Times New Roman"/>
          <w:sz w:val="24"/>
          <w:szCs w:val="24"/>
        </w:rPr>
        <w:t xml:space="preserve">The Court wrote: “During his employment of over 30 years with FDNY, firefighter Klipp responded to the World Trade Center site after the terrorist attack on September 11, </w:t>
      </w:r>
      <w:proofErr w:type="gramStart"/>
      <w:r w:rsidRPr="002F63E3">
        <w:rPr>
          <w:rFonts w:ascii="Times New Roman" w:hAnsi="Times New Roman"/>
          <w:sz w:val="24"/>
          <w:szCs w:val="24"/>
        </w:rPr>
        <w:t>2001</w:t>
      </w:r>
      <w:proofErr w:type="gramEnd"/>
      <w:r w:rsidRPr="002F63E3">
        <w:rPr>
          <w:rFonts w:ascii="Times New Roman" w:hAnsi="Times New Roman"/>
          <w:sz w:val="24"/>
          <w:szCs w:val="24"/>
        </w:rPr>
        <w:t xml:space="preserve"> and ‘spent sufficient time . . . to qualify for WTC retirement benefits under the New York City Administrative Code and the New York State Retirement and Social Security Law.’ *** In support of her application, petitioner submitted, among other things, firefighter Klipp's medical records and two reports from board certified cardiologist Dr. Bruce Charash, F.A.C.C.</w:t>
      </w:r>
      <w:hyperlink r:id="rId1070" w:anchor="footnote_2" w:history="1">
        <w:r w:rsidRPr="002F63E3">
          <w:rPr>
            <w:rStyle w:val="Hyperlink"/>
            <w:rFonts w:ascii="Times New Roman" w:hAnsi="Times New Roman"/>
            <w:sz w:val="24"/>
            <w:szCs w:val="24"/>
            <w:vertAlign w:val="superscript"/>
          </w:rPr>
          <w:t>2</w:t>
        </w:r>
      </w:hyperlink>
      <w:r w:rsidRPr="002F63E3">
        <w:rPr>
          <w:rFonts w:ascii="Times New Roman" w:hAnsi="Times New Roman"/>
          <w:sz w:val="24"/>
          <w:szCs w:val="24"/>
        </w:rPr>
        <w:t xml:space="preserve"> (‘Dr. </w:t>
      </w:r>
      <w:proofErr w:type="spellStart"/>
      <w:r w:rsidRPr="002F63E3">
        <w:rPr>
          <w:rFonts w:ascii="Times New Roman" w:hAnsi="Times New Roman"/>
          <w:sz w:val="24"/>
          <w:szCs w:val="24"/>
        </w:rPr>
        <w:t>Charash</w:t>
      </w:r>
      <w:proofErr w:type="spellEnd"/>
      <w:r w:rsidRPr="002F63E3">
        <w:rPr>
          <w:rFonts w:ascii="Times New Roman" w:hAnsi="Times New Roman"/>
          <w:sz w:val="24"/>
          <w:szCs w:val="24"/>
        </w:rPr>
        <w:t xml:space="preserve">’), dated February 17, </w:t>
      </w:r>
      <w:proofErr w:type="gramStart"/>
      <w:r w:rsidRPr="002F63E3">
        <w:rPr>
          <w:rFonts w:ascii="Times New Roman" w:hAnsi="Times New Roman"/>
          <w:sz w:val="24"/>
          <w:szCs w:val="24"/>
        </w:rPr>
        <w:t>2022</w:t>
      </w:r>
      <w:proofErr w:type="gramEnd"/>
      <w:r w:rsidRPr="002F63E3">
        <w:rPr>
          <w:rFonts w:ascii="Times New Roman" w:hAnsi="Times New Roman"/>
          <w:sz w:val="24"/>
          <w:szCs w:val="24"/>
        </w:rPr>
        <w:t xml:space="preserve"> and October 7, 2022…. Dr. </w:t>
      </w:r>
      <w:proofErr w:type="spellStart"/>
      <w:r w:rsidRPr="002F63E3">
        <w:rPr>
          <w:rFonts w:ascii="Times New Roman" w:hAnsi="Times New Roman"/>
          <w:sz w:val="24"/>
          <w:szCs w:val="24"/>
        </w:rPr>
        <w:t>Charash</w:t>
      </w:r>
      <w:proofErr w:type="spellEnd"/>
      <w:r w:rsidRPr="002F63E3">
        <w:rPr>
          <w:rFonts w:ascii="Times New Roman" w:hAnsi="Times New Roman"/>
          <w:sz w:val="24"/>
          <w:szCs w:val="24"/>
        </w:rPr>
        <w:t xml:space="preserve"> reviewed firefighter Klipp's medical records and opined that his death was a ‘direct consequence of his exposure to inhaled particles due to his work at Ground Zero after 9/11’…. Dr. </w:t>
      </w:r>
      <w:proofErr w:type="spellStart"/>
      <w:r w:rsidRPr="002F63E3">
        <w:rPr>
          <w:rFonts w:ascii="Times New Roman" w:hAnsi="Times New Roman"/>
          <w:sz w:val="24"/>
          <w:szCs w:val="24"/>
        </w:rPr>
        <w:t>Charash</w:t>
      </w:r>
      <w:proofErr w:type="spellEnd"/>
      <w:r w:rsidRPr="002F63E3">
        <w:rPr>
          <w:rFonts w:ascii="Times New Roman" w:hAnsi="Times New Roman"/>
          <w:sz w:val="24"/>
          <w:szCs w:val="24"/>
        </w:rPr>
        <w:t xml:space="preserve"> emphasized that firefighter Klipp ‘should have had a normal pulmonary performance’ with his normal cardiac status and an absence of obstructive lung disease ….Yet, Dr. </w:t>
      </w:r>
      <w:proofErr w:type="spellStart"/>
      <w:r w:rsidRPr="002F63E3">
        <w:rPr>
          <w:rFonts w:ascii="Times New Roman" w:hAnsi="Times New Roman"/>
          <w:sz w:val="24"/>
          <w:szCs w:val="24"/>
        </w:rPr>
        <w:t>Charash</w:t>
      </w:r>
      <w:proofErr w:type="spellEnd"/>
      <w:r w:rsidRPr="002F63E3">
        <w:rPr>
          <w:rFonts w:ascii="Times New Roman" w:hAnsi="Times New Roman"/>
          <w:sz w:val="24"/>
          <w:szCs w:val="24"/>
        </w:rPr>
        <w:t xml:space="preserve"> opined that firefighter Klipp had a ‘catastrophic lung collapse’ in 2020, and his exposure to inhaled toxins while working at Ground Zero after 9/11 resulted in ‘a degradation of his lungs and a damage to the local architecture of his lungs’ ….Dr. </w:t>
      </w:r>
      <w:proofErr w:type="spellStart"/>
      <w:r w:rsidRPr="002F63E3">
        <w:rPr>
          <w:rFonts w:ascii="Times New Roman" w:hAnsi="Times New Roman"/>
          <w:sz w:val="24"/>
          <w:szCs w:val="24"/>
        </w:rPr>
        <w:t>Charash</w:t>
      </w:r>
      <w:proofErr w:type="spellEnd"/>
      <w:r w:rsidRPr="002F63E3">
        <w:rPr>
          <w:rFonts w:ascii="Times New Roman" w:hAnsi="Times New Roman"/>
          <w:sz w:val="24"/>
          <w:szCs w:val="24"/>
        </w:rPr>
        <w:t xml:space="preserve"> opined that exposure to inhaled toxins thus damaged firefighter Klipp's lungs on the ‘tissue level; creating a local state of immune compromise’ that lead to his death ….  Dr. </w:t>
      </w:r>
      <w:proofErr w:type="spellStart"/>
      <w:r w:rsidRPr="002F63E3">
        <w:rPr>
          <w:rFonts w:ascii="Times New Roman" w:hAnsi="Times New Roman"/>
          <w:sz w:val="24"/>
          <w:szCs w:val="24"/>
        </w:rPr>
        <w:t>Charash</w:t>
      </w:r>
      <w:proofErr w:type="spellEnd"/>
      <w:r w:rsidRPr="002F63E3">
        <w:rPr>
          <w:rFonts w:ascii="Times New Roman" w:hAnsi="Times New Roman"/>
          <w:sz w:val="24"/>
          <w:szCs w:val="24"/>
        </w:rPr>
        <w:t xml:space="preserve"> further emphasized that firefighter Klipp's CT scan from October 18, </w:t>
      </w:r>
      <w:proofErr w:type="gramStart"/>
      <w:r w:rsidRPr="002F63E3">
        <w:rPr>
          <w:rFonts w:ascii="Times New Roman" w:hAnsi="Times New Roman"/>
          <w:sz w:val="24"/>
          <w:szCs w:val="24"/>
        </w:rPr>
        <w:t>2020</w:t>
      </w:r>
      <w:proofErr w:type="gramEnd"/>
      <w:r w:rsidRPr="002F63E3">
        <w:rPr>
          <w:rFonts w:ascii="Times New Roman" w:hAnsi="Times New Roman"/>
          <w:sz w:val="24"/>
          <w:szCs w:val="24"/>
        </w:rPr>
        <w:t xml:space="preserve"> showed that firefighter Klipp had ‘pneumoconiosis caused by inorganic dust,’ which Dr. </w:t>
      </w:r>
      <w:proofErr w:type="spellStart"/>
      <w:r w:rsidRPr="002F63E3">
        <w:rPr>
          <w:rFonts w:ascii="Times New Roman" w:hAnsi="Times New Roman"/>
          <w:sz w:val="24"/>
          <w:szCs w:val="24"/>
        </w:rPr>
        <w:t>Charash</w:t>
      </w:r>
      <w:proofErr w:type="spellEnd"/>
      <w:r w:rsidRPr="002F63E3">
        <w:rPr>
          <w:rFonts w:ascii="Times New Roman" w:hAnsi="Times New Roman"/>
          <w:sz w:val="24"/>
          <w:szCs w:val="24"/>
        </w:rPr>
        <w:t xml:space="preserve"> described as damage to the tissue and a ‘disruption of the local lung tissue architecture,’ associated with the lung's inability to fight infections …. Dr. </w:t>
      </w:r>
      <w:proofErr w:type="spellStart"/>
      <w:r w:rsidRPr="002F63E3">
        <w:rPr>
          <w:rFonts w:ascii="Times New Roman" w:hAnsi="Times New Roman"/>
          <w:sz w:val="24"/>
          <w:szCs w:val="24"/>
        </w:rPr>
        <w:t>Charash</w:t>
      </w:r>
      <w:proofErr w:type="spellEnd"/>
      <w:r w:rsidRPr="002F63E3">
        <w:rPr>
          <w:rFonts w:ascii="Times New Roman" w:hAnsi="Times New Roman"/>
          <w:sz w:val="24"/>
          <w:szCs w:val="24"/>
        </w:rPr>
        <w:t xml:space="preserve"> concluded that firefighter Klipp demonstrated ‘a significant failure of his lungs" to fight infections as demonstrated by his </w:t>
      </w:r>
      <w:proofErr w:type="spellStart"/>
      <w:r w:rsidRPr="002F63E3">
        <w:rPr>
          <w:rFonts w:ascii="Times New Roman" w:hAnsi="Times New Roman"/>
          <w:sz w:val="24"/>
          <w:szCs w:val="24"/>
        </w:rPr>
        <w:t>extubation</w:t>
      </w:r>
      <w:proofErr w:type="spellEnd"/>
      <w:r w:rsidRPr="002F63E3">
        <w:rPr>
          <w:rFonts w:ascii="Times New Roman" w:hAnsi="Times New Roman"/>
          <w:sz w:val="24"/>
          <w:szCs w:val="24"/>
        </w:rPr>
        <w:t xml:space="preserve"> on “9/25/19" and re-intubation on "9/27/19" …. Dr. </w:t>
      </w:r>
      <w:proofErr w:type="spellStart"/>
      <w:r w:rsidRPr="002F63E3">
        <w:rPr>
          <w:rFonts w:ascii="Times New Roman" w:hAnsi="Times New Roman"/>
          <w:sz w:val="24"/>
          <w:szCs w:val="24"/>
        </w:rPr>
        <w:t>Charash</w:t>
      </w:r>
      <w:proofErr w:type="spellEnd"/>
      <w:r w:rsidRPr="002F63E3">
        <w:rPr>
          <w:rFonts w:ascii="Times New Roman" w:hAnsi="Times New Roman"/>
          <w:sz w:val="24"/>
          <w:szCs w:val="24"/>
        </w:rPr>
        <w:t xml:space="preserve"> </w:t>
      </w:r>
      <w:r w:rsidRPr="002F63E3">
        <w:rPr>
          <w:rFonts w:ascii="Times New Roman" w:hAnsi="Times New Roman"/>
          <w:sz w:val="24"/>
          <w:szCs w:val="24"/>
        </w:rPr>
        <w:lastRenderedPageBreak/>
        <w:t xml:space="preserve">determined that firefighter Klipp died due to his damaged lungs and their inability to fight infections.’  *** To the contrary, the medical board's speculative conclusion that firefighter Klipp died ‘as a consequence of a cerebral vascular accident, in the face of defined hypertension and hypertensive heart disease, with multiple systemic complications"’(NYSCEF Doc No. 49, p. 4) is not supported by firefighter Klipp's medical records.”  </w:t>
      </w:r>
      <w:hyperlink r:id="rId1071" w:history="1">
        <w:r w:rsidRPr="002F63E3">
          <w:rPr>
            <w:rStyle w:val="Hyperlink"/>
            <w:rFonts w:ascii="Times New Roman" w:hAnsi="Times New Roman"/>
            <w:sz w:val="24"/>
            <w:szCs w:val="24"/>
          </w:rPr>
          <w:t>https://caselaw.findlaw.com/court/ny-supreme-court/117196656.html</w:t>
        </w:r>
      </w:hyperlink>
      <w:r w:rsidRPr="002F63E3">
        <w:rPr>
          <w:rFonts w:ascii="Times New Roman" w:hAnsi="Times New Roman"/>
          <w:sz w:val="24"/>
          <w:szCs w:val="24"/>
        </w:rPr>
        <w:t xml:space="preserve"> </w:t>
      </w:r>
    </w:p>
    <w:p w14:paraId="08DD9135" w14:textId="77777777" w:rsidR="0090461E" w:rsidRPr="002F63E3" w:rsidRDefault="0090461E" w:rsidP="0090461E">
      <w:pPr>
        <w:pStyle w:val="NoSpacing"/>
        <w:rPr>
          <w:rFonts w:ascii="Times New Roman" w:hAnsi="Times New Roman"/>
          <w:bCs/>
          <w:sz w:val="24"/>
          <w:szCs w:val="24"/>
        </w:rPr>
      </w:pPr>
    </w:p>
    <w:p w14:paraId="37184B96" w14:textId="77777777" w:rsidR="0090461E" w:rsidRPr="0090461E" w:rsidRDefault="0090461E" w:rsidP="0090461E">
      <w:pPr>
        <w:pStyle w:val="NoSpacing"/>
        <w:rPr>
          <w:rFonts w:ascii="Times New Roman" w:hAnsi="Times New Roman"/>
          <w:b/>
          <w:bCs/>
          <w:sz w:val="24"/>
          <w:szCs w:val="24"/>
        </w:rPr>
      </w:pPr>
      <w:r w:rsidRPr="0090461E">
        <w:rPr>
          <w:rFonts w:ascii="Times New Roman" w:hAnsi="Times New Roman"/>
          <w:b/>
          <w:sz w:val="24"/>
          <w:szCs w:val="24"/>
        </w:rPr>
        <w:t xml:space="preserve">Legal Lesson Learned: The NY Administrative Code creates a presumption that the retiree's death was </w:t>
      </w:r>
      <w:r w:rsidRPr="0090461E">
        <w:rPr>
          <w:rFonts w:ascii="Times New Roman" w:hAnsi="Times New Roman"/>
          <w:b/>
          <w:bCs/>
          <w:sz w:val="24"/>
          <w:szCs w:val="24"/>
        </w:rPr>
        <w:t>“</w:t>
      </w:r>
      <w:r w:rsidRPr="0090461E">
        <w:rPr>
          <w:rFonts w:ascii="Times New Roman" w:hAnsi="Times New Roman"/>
          <w:b/>
          <w:sz w:val="24"/>
          <w:szCs w:val="24"/>
        </w:rPr>
        <w:t>a natural and proximate result of</w:t>
      </w:r>
      <w:r w:rsidRPr="0090461E">
        <w:rPr>
          <w:rFonts w:ascii="Times New Roman" w:hAnsi="Times New Roman"/>
          <w:b/>
          <w:bCs/>
          <w:sz w:val="24"/>
          <w:szCs w:val="24"/>
        </w:rPr>
        <w:t>”</w:t>
      </w:r>
      <w:r w:rsidRPr="0090461E">
        <w:rPr>
          <w:rFonts w:ascii="Times New Roman" w:hAnsi="Times New Roman"/>
          <w:b/>
          <w:sz w:val="24"/>
          <w:szCs w:val="24"/>
        </w:rPr>
        <w:t xml:space="preserve"> their participation in the WTC rescue, recovery or cleanup operations.</w:t>
      </w:r>
    </w:p>
    <w:p w14:paraId="3A188F36" w14:textId="77777777" w:rsidR="0090461E" w:rsidRPr="0090461E" w:rsidRDefault="0090461E" w:rsidP="0090461E">
      <w:pPr>
        <w:pStyle w:val="NoSpacing"/>
        <w:rPr>
          <w:rFonts w:ascii="Times New Roman" w:hAnsi="Times New Roman"/>
          <w:sz w:val="24"/>
          <w:szCs w:val="24"/>
        </w:rPr>
      </w:pPr>
    </w:p>
    <w:p w14:paraId="5B3ADCAA" w14:textId="77777777" w:rsidR="0090461E" w:rsidRPr="00F0728A" w:rsidRDefault="0090461E" w:rsidP="0090461E">
      <w:pPr>
        <w:rPr>
          <w:rFonts w:ascii="Times New Roman" w:hAnsi="Times New Roman"/>
          <w:b/>
          <w:sz w:val="24"/>
          <w:szCs w:val="24"/>
        </w:rPr>
      </w:pPr>
    </w:p>
    <w:p w14:paraId="4EFD423A" w14:textId="77777777" w:rsidR="0090461E" w:rsidRDefault="0090461E" w:rsidP="00EF1133">
      <w:pPr>
        <w:rPr>
          <w:rFonts w:ascii="Arial Black" w:hAnsi="Arial Black"/>
          <w:b/>
          <w:sz w:val="24"/>
          <w:szCs w:val="24"/>
        </w:rPr>
      </w:pPr>
    </w:p>
    <w:p w14:paraId="393812F2" w14:textId="223A2A25" w:rsidR="00130523" w:rsidRDefault="00130523" w:rsidP="00EF1133">
      <w:pPr>
        <w:rPr>
          <w:rFonts w:ascii="Arial Black" w:hAnsi="Arial Black"/>
          <w:b/>
          <w:sz w:val="24"/>
          <w:szCs w:val="24"/>
        </w:rPr>
      </w:pPr>
      <w:r>
        <w:rPr>
          <w:rFonts w:ascii="Arial Black" w:hAnsi="Arial Black"/>
          <w:b/>
          <w:sz w:val="24"/>
          <w:szCs w:val="24"/>
        </w:rPr>
        <w:t>6-156</w:t>
      </w:r>
    </w:p>
    <w:p w14:paraId="72AAF748" w14:textId="77777777" w:rsidR="00130523" w:rsidRPr="00FF013C" w:rsidRDefault="00130523" w:rsidP="00130523">
      <w:pPr>
        <w:pStyle w:val="NoSpacing"/>
        <w:rPr>
          <w:rFonts w:ascii="Arial Black" w:hAnsi="Arial Black"/>
          <w:bCs/>
          <w:sz w:val="28"/>
          <w:szCs w:val="28"/>
        </w:rPr>
      </w:pPr>
      <w:r>
        <w:rPr>
          <w:rFonts w:ascii="Arial Black" w:hAnsi="Arial Black"/>
          <w:sz w:val="28"/>
          <w:szCs w:val="28"/>
        </w:rPr>
        <w:t>PA: THROAT CANCER – COVERED – LIST OF HIS RUNS</w:t>
      </w:r>
    </w:p>
    <w:p w14:paraId="23DD7C72" w14:textId="77777777" w:rsidR="00130523" w:rsidRPr="00130523" w:rsidRDefault="00130523" w:rsidP="00130523">
      <w:pPr>
        <w:pStyle w:val="NoSpacing"/>
        <w:rPr>
          <w:rFonts w:ascii="Times New Roman" w:hAnsi="Times New Roman"/>
          <w:bCs/>
          <w:sz w:val="24"/>
          <w:szCs w:val="24"/>
        </w:rPr>
      </w:pPr>
    </w:p>
    <w:p w14:paraId="02FBDB7D" w14:textId="77777777" w:rsidR="00130523" w:rsidRPr="00130523" w:rsidRDefault="00130523" w:rsidP="00130523">
      <w:pPr>
        <w:pStyle w:val="NoSpacing"/>
        <w:rPr>
          <w:rFonts w:ascii="Times New Roman" w:hAnsi="Times New Roman"/>
          <w:bCs/>
          <w:sz w:val="24"/>
          <w:szCs w:val="24"/>
        </w:rPr>
      </w:pPr>
      <w:r w:rsidRPr="00130523">
        <w:rPr>
          <w:rFonts w:ascii="Times New Roman" w:hAnsi="Times New Roman"/>
          <w:sz w:val="24"/>
          <w:szCs w:val="24"/>
        </w:rPr>
        <w:t xml:space="preserve">On April 1, 2025, in </w:t>
      </w:r>
      <w:r w:rsidRPr="00130523">
        <w:rPr>
          <w:rFonts w:ascii="Times New Roman" w:hAnsi="Times New Roman"/>
          <w:sz w:val="24"/>
          <w:szCs w:val="24"/>
          <w:u w:val="single"/>
        </w:rPr>
        <w:t>Lake Ariel Volunteer Fire Company, Petitioner v. Alex Rae (Workers' Compensation Appeal Board), Respondent</w:t>
      </w:r>
      <w:r w:rsidRPr="00130523">
        <w:rPr>
          <w:rFonts w:ascii="Times New Roman" w:hAnsi="Times New Roman"/>
          <w:sz w:val="24"/>
          <w:szCs w:val="24"/>
        </w:rPr>
        <w:t xml:space="preserve">, the Commonwealth Court of Pennsylvania held (3 to 0; unpublished decision) that the 72-year-old firefighter, having been active volunteer for over 28 years in NY and PA, was properly awarded workers comp.  In March 2021, Claimant was diagnosed with oral cancer.  Claimant prepared a report of his runs from the website,  </w:t>
      </w:r>
      <w:hyperlink r:id="rId1072" w:history="1">
        <w:r w:rsidRPr="00130523">
          <w:rPr>
            <w:rStyle w:val="Hyperlink"/>
            <w:rFonts w:ascii="Times New Roman" w:hAnsi="Times New Roman"/>
            <w:sz w:val="24"/>
            <w:szCs w:val="24"/>
          </w:rPr>
          <w:t>https://www.iamresponding.com/</w:t>
        </w:r>
      </w:hyperlink>
      <w:r w:rsidRPr="00130523">
        <w:rPr>
          <w:rFonts w:ascii="Times New Roman" w:hAnsi="Times New Roman"/>
          <w:sz w:val="24"/>
          <w:szCs w:val="24"/>
        </w:rPr>
        <w:t xml:space="preserve"> and testimony of expert witness. The WCJ found “the opinions of Dr. Guidotti [firefighter’s expert] more credible than the testimony of [Dr.] Goldsmith to the extent their testimony is inconsistent,” citing Dr. Guidotti’s status as a highly credentialed medical doctor with numerous certifications. </w:t>
      </w:r>
      <w:hyperlink r:id="rId1073" w:history="1">
        <w:r w:rsidRPr="00130523">
          <w:rPr>
            <w:rStyle w:val="Hyperlink"/>
            <w:rFonts w:ascii="Times New Roman" w:hAnsi="Times New Roman"/>
            <w:sz w:val="24"/>
            <w:szCs w:val="24"/>
          </w:rPr>
          <w:t>https://cases.justia.com/pennsylvania/commonwealth-court/2025-92-c-d-2024.pdf?ts=1743522170</w:t>
        </w:r>
      </w:hyperlink>
      <w:r w:rsidRPr="00130523">
        <w:rPr>
          <w:rFonts w:ascii="Times New Roman" w:hAnsi="Times New Roman"/>
          <w:sz w:val="24"/>
          <w:szCs w:val="24"/>
        </w:rPr>
        <w:t xml:space="preserve"> </w:t>
      </w:r>
    </w:p>
    <w:p w14:paraId="131FF51F" w14:textId="77777777" w:rsidR="00130523" w:rsidRPr="00130523" w:rsidRDefault="00130523" w:rsidP="00130523">
      <w:pPr>
        <w:pStyle w:val="NoSpacing"/>
        <w:rPr>
          <w:rFonts w:ascii="Times New Roman" w:hAnsi="Times New Roman"/>
          <w:bCs/>
          <w:sz w:val="24"/>
          <w:szCs w:val="24"/>
        </w:rPr>
      </w:pPr>
    </w:p>
    <w:p w14:paraId="4C0B6E45" w14:textId="77777777" w:rsidR="00130523" w:rsidRPr="00130523" w:rsidRDefault="00130523" w:rsidP="00130523">
      <w:pPr>
        <w:pStyle w:val="NoSpacing"/>
        <w:ind w:left="720"/>
        <w:rPr>
          <w:rFonts w:ascii="Times New Roman" w:hAnsi="Times New Roman"/>
          <w:bCs/>
          <w:sz w:val="24"/>
          <w:szCs w:val="24"/>
        </w:rPr>
      </w:pPr>
      <w:r w:rsidRPr="00130523">
        <w:rPr>
          <w:rFonts w:ascii="Times New Roman" w:hAnsi="Times New Roman"/>
          <w:sz w:val="24"/>
          <w:szCs w:val="24"/>
        </w:rPr>
        <w:t xml:space="preserve">“Alex Rae (Claimant) was diagnosed with various cancers after decades of being a firefighter, most recently as a volunteer for the Lake Ariel Volunteer Fire Company (Employer). Certain cancers are known to have a causal connection to firefighting, and so the legislature created a presumption that those cancers are caused by being a firefighter for purposes of the occupational disease provisions of the Workers’ Compensation Act (Act). A Workers’ Compensation Judge (WCJ) granted Claimant’s Claim Petition awarding benefits, and the Workers’ Compensation Appeal Board (Board) affirmed. </w:t>
      </w:r>
    </w:p>
    <w:p w14:paraId="6D922CE6" w14:textId="77777777" w:rsidR="00130523" w:rsidRPr="00130523" w:rsidRDefault="00130523" w:rsidP="00130523">
      <w:pPr>
        <w:pStyle w:val="NoSpacing"/>
        <w:ind w:left="720"/>
        <w:rPr>
          <w:rFonts w:ascii="Times New Roman" w:hAnsi="Times New Roman"/>
          <w:bCs/>
          <w:sz w:val="24"/>
          <w:szCs w:val="24"/>
        </w:rPr>
      </w:pPr>
    </w:p>
    <w:p w14:paraId="1BD1599C" w14:textId="77777777" w:rsidR="00130523" w:rsidRPr="00130523" w:rsidRDefault="00130523" w:rsidP="00130523">
      <w:pPr>
        <w:pStyle w:val="NoSpacing"/>
        <w:ind w:left="720"/>
        <w:rPr>
          <w:rFonts w:ascii="Times New Roman" w:hAnsi="Times New Roman"/>
          <w:bCs/>
          <w:sz w:val="24"/>
          <w:szCs w:val="24"/>
        </w:rPr>
      </w:pPr>
      <w:r w:rsidRPr="00130523">
        <w:rPr>
          <w:rFonts w:ascii="Times New Roman" w:hAnsi="Times New Roman"/>
          <w:sz w:val="24"/>
          <w:szCs w:val="24"/>
        </w:rPr>
        <w:t>***</w:t>
      </w:r>
    </w:p>
    <w:p w14:paraId="4967786F" w14:textId="77777777" w:rsidR="00130523" w:rsidRPr="00130523" w:rsidRDefault="00130523" w:rsidP="00130523">
      <w:pPr>
        <w:pStyle w:val="NoSpacing"/>
        <w:ind w:left="720"/>
        <w:rPr>
          <w:rFonts w:ascii="Times New Roman" w:hAnsi="Times New Roman"/>
          <w:b/>
          <w:sz w:val="24"/>
          <w:szCs w:val="24"/>
        </w:rPr>
      </w:pPr>
    </w:p>
    <w:p w14:paraId="21840E19" w14:textId="77777777" w:rsidR="00130523" w:rsidRPr="00130523" w:rsidRDefault="00130523" w:rsidP="00130523">
      <w:pPr>
        <w:pStyle w:val="NoSpacing"/>
        <w:ind w:left="720"/>
        <w:rPr>
          <w:rFonts w:ascii="Times New Roman" w:hAnsi="Times New Roman"/>
          <w:bCs/>
          <w:sz w:val="24"/>
          <w:szCs w:val="24"/>
        </w:rPr>
      </w:pPr>
      <w:r w:rsidRPr="00130523">
        <w:rPr>
          <w:rFonts w:ascii="Times New Roman" w:hAnsi="Times New Roman"/>
          <w:sz w:val="24"/>
          <w:szCs w:val="24"/>
        </w:rPr>
        <w:t xml:space="preserve">Employer argues Claimant did not show, by competent, substantial evidence, that Claimant was exposed to carcinogens. Instead of presenting </w:t>
      </w:r>
      <w:proofErr w:type="spellStart"/>
      <w:r w:rsidRPr="00130523">
        <w:rPr>
          <w:rFonts w:ascii="Times New Roman" w:hAnsi="Times New Roman"/>
          <w:sz w:val="24"/>
          <w:szCs w:val="24"/>
        </w:rPr>
        <w:t>PennFIRS</w:t>
      </w:r>
      <w:proofErr w:type="spellEnd"/>
      <w:r w:rsidRPr="00130523">
        <w:rPr>
          <w:rFonts w:ascii="Times New Roman" w:hAnsi="Times New Roman"/>
          <w:sz w:val="24"/>
          <w:szCs w:val="24"/>
        </w:rPr>
        <w:t xml:space="preserve"> reports, as provided by Section 301(f) of the Act, Claimant only presented lay testimony and</w:t>
      </w:r>
    </w:p>
    <w:p w14:paraId="621D8B67" w14:textId="77777777" w:rsidR="00130523" w:rsidRPr="00130523" w:rsidRDefault="00130523" w:rsidP="00130523">
      <w:pPr>
        <w:pStyle w:val="NoSpacing"/>
        <w:ind w:firstLine="720"/>
        <w:rPr>
          <w:rFonts w:ascii="Times New Roman" w:hAnsi="Times New Roman"/>
          <w:bCs/>
          <w:sz w:val="24"/>
          <w:szCs w:val="24"/>
        </w:rPr>
      </w:pPr>
      <w:r w:rsidRPr="00130523">
        <w:rPr>
          <w:rFonts w:ascii="Times New Roman" w:hAnsi="Times New Roman"/>
          <w:sz w:val="24"/>
          <w:szCs w:val="24"/>
        </w:rPr>
        <w:t xml:space="preserve">data from the </w:t>
      </w:r>
      <w:proofErr w:type="gramStart"/>
      <w:r w:rsidRPr="00130523">
        <w:rPr>
          <w:rFonts w:ascii="Times New Roman" w:hAnsi="Times New Roman"/>
          <w:sz w:val="24"/>
          <w:szCs w:val="24"/>
        </w:rPr>
        <w:t>website, ‘</w:t>
      </w:r>
      <w:proofErr w:type="gramEnd"/>
      <w:r w:rsidRPr="00130523">
        <w:rPr>
          <w:rFonts w:ascii="Times New Roman" w:hAnsi="Times New Roman"/>
          <w:sz w:val="24"/>
          <w:szCs w:val="24"/>
        </w:rPr>
        <w:t xml:space="preserve">iamresponding.com.’ Unlike the </w:t>
      </w:r>
      <w:proofErr w:type="spellStart"/>
      <w:r w:rsidRPr="00130523">
        <w:rPr>
          <w:rFonts w:ascii="Times New Roman" w:hAnsi="Times New Roman"/>
          <w:sz w:val="24"/>
          <w:szCs w:val="24"/>
        </w:rPr>
        <w:t>PennFIRS</w:t>
      </w:r>
      <w:proofErr w:type="spellEnd"/>
      <w:r w:rsidRPr="00130523">
        <w:rPr>
          <w:rFonts w:ascii="Times New Roman" w:hAnsi="Times New Roman"/>
          <w:sz w:val="24"/>
          <w:szCs w:val="24"/>
        </w:rPr>
        <w:t xml:space="preserve"> reports or other</w:t>
      </w:r>
    </w:p>
    <w:p w14:paraId="2279E2B5" w14:textId="77777777" w:rsidR="00130523" w:rsidRPr="00130523" w:rsidRDefault="00130523" w:rsidP="00130523">
      <w:pPr>
        <w:pStyle w:val="NoSpacing"/>
        <w:ind w:firstLine="720"/>
        <w:rPr>
          <w:rFonts w:ascii="Times New Roman" w:hAnsi="Times New Roman"/>
          <w:bCs/>
          <w:sz w:val="24"/>
          <w:szCs w:val="24"/>
        </w:rPr>
      </w:pPr>
      <w:r w:rsidRPr="00130523">
        <w:rPr>
          <w:rFonts w:ascii="Times New Roman" w:hAnsi="Times New Roman"/>
          <w:sz w:val="24"/>
          <w:szCs w:val="24"/>
        </w:rPr>
        <w:t>reports that the Court has found to be sufficient, Employer argues the data here only</w:t>
      </w:r>
    </w:p>
    <w:p w14:paraId="38FB0FFF" w14:textId="77777777" w:rsidR="00130523" w:rsidRPr="00130523" w:rsidRDefault="00130523" w:rsidP="00130523">
      <w:pPr>
        <w:pStyle w:val="NoSpacing"/>
        <w:ind w:firstLine="720"/>
        <w:rPr>
          <w:rFonts w:ascii="Times New Roman" w:hAnsi="Times New Roman"/>
          <w:bCs/>
          <w:sz w:val="24"/>
          <w:szCs w:val="24"/>
        </w:rPr>
      </w:pPr>
      <w:r w:rsidRPr="00130523">
        <w:rPr>
          <w:rFonts w:ascii="Times New Roman" w:hAnsi="Times New Roman"/>
          <w:sz w:val="24"/>
          <w:szCs w:val="24"/>
        </w:rPr>
        <w:t>includes a date, station name, and reference to an unspecified ‘scene,’ which could</w:t>
      </w:r>
    </w:p>
    <w:p w14:paraId="12A1861A" w14:textId="77777777" w:rsidR="00130523" w:rsidRPr="00130523" w:rsidRDefault="00130523" w:rsidP="00130523">
      <w:pPr>
        <w:pStyle w:val="NoSpacing"/>
        <w:ind w:firstLine="720"/>
        <w:rPr>
          <w:rFonts w:ascii="Times New Roman" w:hAnsi="Times New Roman"/>
          <w:bCs/>
          <w:sz w:val="24"/>
          <w:szCs w:val="24"/>
        </w:rPr>
      </w:pPr>
      <w:r w:rsidRPr="00130523">
        <w:rPr>
          <w:rFonts w:ascii="Times New Roman" w:hAnsi="Times New Roman"/>
          <w:sz w:val="24"/>
          <w:szCs w:val="24"/>
        </w:rPr>
        <w:t>be a fire or not. Furthermore, Employer posits that to the extent Claimant testified</w:t>
      </w:r>
    </w:p>
    <w:p w14:paraId="59A24C77" w14:textId="77777777" w:rsidR="00130523" w:rsidRPr="00130523" w:rsidRDefault="00130523" w:rsidP="00130523">
      <w:pPr>
        <w:pStyle w:val="NoSpacing"/>
        <w:ind w:firstLine="720"/>
        <w:rPr>
          <w:rFonts w:ascii="Times New Roman" w:hAnsi="Times New Roman"/>
          <w:bCs/>
          <w:sz w:val="24"/>
          <w:szCs w:val="24"/>
        </w:rPr>
      </w:pPr>
      <w:r w:rsidRPr="00130523">
        <w:rPr>
          <w:rFonts w:ascii="Times New Roman" w:hAnsi="Times New Roman"/>
          <w:sz w:val="24"/>
          <w:szCs w:val="24"/>
        </w:rPr>
        <w:t>to make up any deficiencies in the data, this Court has rejected lay testimony as</w:t>
      </w:r>
    </w:p>
    <w:p w14:paraId="425C53D6" w14:textId="77777777" w:rsidR="00130523" w:rsidRPr="00130523" w:rsidRDefault="00130523" w:rsidP="00130523">
      <w:pPr>
        <w:pStyle w:val="NoSpacing"/>
        <w:ind w:firstLine="720"/>
        <w:rPr>
          <w:rFonts w:ascii="Times New Roman" w:hAnsi="Times New Roman"/>
          <w:bCs/>
          <w:sz w:val="24"/>
          <w:szCs w:val="24"/>
        </w:rPr>
      </w:pPr>
      <w:r w:rsidRPr="00130523">
        <w:rPr>
          <w:rFonts w:ascii="Times New Roman" w:hAnsi="Times New Roman"/>
          <w:sz w:val="24"/>
          <w:szCs w:val="24"/>
        </w:rPr>
        <w:t>sufficient under the Act.</w:t>
      </w:r>
    </w:p>
    <w:p w14:paraId="6B091414" w14:textId="77777777" w:rsidR="00130523" w:rsidRPr="00130523" w:rsidRDefault="00130523" w:rsidP="00130523">
      <w:pPr>
        <w:pStyle w:val="NoSpacing"/>
        <w:ind w:firstLine="720"/>
        <w:rPr>
          <w:rFonts w:ascii="Times New Roman" w:hAnsi="Times New Roman"/>
          <w:bCs/>
          <w:sz w:val="24"/>
          <w:szCs w:val="24"/>
        </w:rPr>
      </w:pPr>
    </w:p>
    <w:p w14:paraId="56542D37" w14:textId="77777777" w:rsidR="00130523" w:rsidRPr="00130523" w:rsidRDefault="00130523" w:rsidP="00130523">
      <w:pPr>
        <w:pStyle w:val="NoSpacing"/>
        <w:ind w:firstLine="720"/>
        <w:rPr>
          <w:rFonts w:ascii="Times New Roman" w:hAnsi="Times New Roman"/>
          <w:bCs/>
          <w:sz w:val="24"/>
          <w:szCs w:val="24"/>
        </w:rPr>
      </w:pPr>
      <w:r w:rsidRPr="00130523">
        <w:rPr>
          <w:rFonts w:ascii="Times New Roman" w:hAnsi="Times New Roman"/>
          <w:sz w:val="24"/>
          <w:szCs w:val="24"/>
        </w:rPr>
        <w:t>***</w:t>
      </w:r>
    </w:p>
    <w:p w14:paraId="76576AD2" w14:textId="77777777" w:rsidR="00130523" w:rsidRPr="00130523" w:rsidRDefault="00130523" w:rsidP="00130523">
      <w:pPr>
        <w:pStyle w:val="NoSpacing"/>
        <w:ind w:left="720"/>
        <w:rPr>
          <w:rFonts w:ascii="Times New Roman" w:hAnsi="Times New Roman"/>
          <w:bCs/>
          <w:sz w:val="24"/>
          <w:szCs w:val="24"/>
        </w:rPr>
      </w:pPr>
      <w:r w:rsidRPr="00130523">
        <w:rPr>
          <w:rFonts w:ascii="Times New Roman" w:hAnsi="Times New Roman"/>
          <w:sz w:val="24"/>
          <w:szCs w:val="24"/>
        </w:rPr>
        <w:t>The incident participation report was provided by Employer, and given Claimant’s credible testimony and the WCJ’s findings, we agree with the Board that ‘the purpose of the provision was served.’ (Board Op. at 16.) Like the Board, we will not disturb the</w:t>
      </w:r>
    </w:p>
    <w:p w14:paraId="12AA044F" w14:textId="77777777" w:rsidR="00130523" w:rsidRPr="00130523" w:rsidRDefault="00130523" w:rsidP="00130523">
      <w:pPr>
        <w:pStyle w:val="NoSpacing"/>
        <w:ind w:firstLine="720"/>
        <w:rPr>
          <w:rFonts w:ascii="Times New Roman" w:hAnsi="Times New Roman"/>
          <w:bCs/>
          <w:sz w:val="24"/>
          <w:szCs w:val="24"/>
        </w:rPr>
      </w:pPr>
      <w:r w:rsidRPr="00130523">
        <w:rPr>
          <w:rFonts w:ascii="Times New Roman" w:hAnsi="Times New Roman"/>
          <w:sz w:val="24"/>
          <w:szCs w:val="24"/>
        </w:rPr>
        <w:lastRenderedPageBreak/>
        <w:t>WCJ’s determination.:</w:t>
      </w:r>
    </w:p>
    <w:p w14:paraId="1F7414A8" w14:textId="77777777" w:rsidR="00130523" w:rsidRPr="00130523" w:rsidRDefault="00130523" w:rsidP="00130523">
      <w:pPr>
        <w:pStyle w:val="NoSpacing"/>
        <w:ind w:firstLine="720"/>
        <w:rPr>
          <w:rFonts w:ascii="Times New Roman" w:hAnsi="Times New Roman"/>
          <w:bCs/>
          <w:sz w:val="24"/>
          <w:szCs w:val="24"/>
        </w:rPr>
      </w:pPr>
    </w:p>
    <w:p w14:paraId="43492F39" w14:textId="77777777" w:rsidR="00130523" w:rsidRPr="00130523" w:rsidRDefault="00130523" w:rsidP="00130523">
      <w:pPr>
        <w:pStyle w:val="NoSpacing"/>
        <w:rPr>
          <w:rFonts w:ascii="Times New Roman" w:hAnsi="Times New Roman"/>
          <w:b/>
          <w:sz w:val="24"/>
          <w:szCs w:val="24"/>
        </w:rPr>
      </w:pPr>
      <w:r w:rsidRPr="00130523">
        <w:rPr>
          <w:rFonts w:ascii="Times New Roman" w:hAnsi="Times New Roman"/>
          <w:b/>
          <w:sz w:val="24"/>
          <w:szCs w:val="24"/>
        </w:rPr>
        <w:t xml:space="preserve">Legal Lesson Learned: Keep a personal record of all runs where you have been exposed to smoke and other hazardous items.  </w:t>
      </w:r>
    </w:p>
    <w:p w14:paraId="0575782B" w14:textId="77777777" w:rsidR="001F58ED" w:rsidRDefault="001F58ED" w:rsidP="00EF1133">
      <w:pPr>
        <w:rPr>
          <w:rFonts w:ascii="Arial Black" w:hAnsi="Arial Black"/>
          <w:b/>
          <w:sz w:val="24"/>
          <w:szCs w:val="24"/>
        </w:rPr>
      </w:pPr>
    </w:p>
    <w:p w14:paraId="31CE11F5" w14:textId="78BCFE52" w:rsidR="009506CE" w:rsidRDefault="009506CE" w:rsidP="00EF1133">
      <w:pPr>
        <w:rPr>
          <w:rFonts w:ascii="Arial Black" w:hAnsi="Arial Black"/>
          <w:b/>
          <w:sz w:val="24"/>
          <w:szCs w:val="24"/>
        </w:rPr>
      </w:pPr>
      <w:r>
        <w:rPr>
          <w:rFonts w:ascii="Arial Black" w:hAnsi="Arial Black"/>
          <w:b/>
          <w:sz w:val="24"/>
          <w:szCs w:val="24"/>
        </w:rPr>
        <w:t>6-155</w:t>
      </w:r>
    </w:p>
    <w:p w14:paraId="092ECF35" w14:textId="77777777" w:rsidR="00BA2BFB" w:rsidRDefault="00BA2BFB" w:rsidP="00BA2BFB">
      <w:pPr>
        <w:pStyle w:val="NoSpacing"/>
        <w:rPr>
          <w:rFonts w:ascii="Arial Black" w:hAnsi="Arial Black"/>
          <w:b/>
          <w:bCs/>
          <w:sz w:val="28"/>
          <w:szCs w:val="28"/>
        </w:rPr>
      </w:pPr>
      <w:r>
        <w:rPr>
          <w:rFonts w:ascii="Arial Black" w:hAnsi="Arial Black"/>
          <w:b/>
          <w:sz w:val="28"/>
          <w:szCs w:val="28"/>
        </w:rPr>
        <w:t xml:space="preserve">LA: WORK COMP – TOTALLY DISAB - CITY PAY $2K PENALTY  </w:t>
      </w:r>
    </w:p>
    <w:p w14:paraId="63CFC96B" w14:textId="77777777" w:rsidR="00BA2BFB" w:rsidRPr="0080750A" w:rsidRDefault="00BA2BFB" w:rsidP="00BA2BFB">
      <w:pPr>
        <w:pStyle w:val="NoSpacing"/>
        <w:rPr>
          <w:rFonts w:ascii="Times New Roman" w:hAnsi="Times New Roman"/>
          <w:sz w:val="24"/>
          <w:szCs w:val="24"/>
        </w:rPr>
      </w:pPr>
    </w:p>
    <w:p w14:paraId="356EEB4F" w14:textId="77777777" w:rsidR="00BA2BFB" w:rsidRPr="0080750A" w:rsidRDefault="00BA2BFB" w:rsidP="00BA2BFB">
      <w:pPr>
        <w:pStyle w:val="NoSpacing"/>
        <w:rPr>
          <w:rFonts w:ascii="Times New Roman" w:hAnsi="Times New Roman"/>
          <w:b/>
          <w:sz w:val="24"/>
          <w:szCs w:val="24"/>
        </w:rPr>
      </w:pPr>
      <w:r w:rsidRPr="0080750A">
        <w:rPr>
          <w:rFonts w:ascii="Times New Roman" w:hAnsi="Times New Roman"/>
          <w:sz w:val="24"/>
          <w:szCs w:val="24"/>
        </w:rPr>
        <w:t xml:space="preserve">On March 28, 2025, in </w:t>
      </w:r>
      <w:r w:rsidRPr="0080750A">
        <w:rPr>
          <w:rFonts w:ascii="Times New Roman" w:hAnsi="Times New Roman"/>
          <w:sz w:val="24"/>
          <w:szCs w:val="24"/>
          <w:u w:val="single"/>
        </w:rPr>
        <w:t>Mark Shubert v. City of New Orleans</w:t>
      </w:r>
      <w:r w:rsidRPr="0080750A">
        <w:rPr>
          <w:rFonts w:ascii="Times New Roman" w:hAnsi="Times New Roman"/>
          <w:sz w:val="24"/>
          <w:szCs w:val="24"/>
        </w:rPr>
        <w:t xml:space="preserve">, the Court of Appeal of Louisiana, Fourth Circuit, held (3 to 0) that the worker’s comp judge properly held that the City was “arbitrary and capricious” in reducing his weekly benefits.   The </w:t>
      </w:r>
      <w:proofErr w:type="gramStart"/>
      <w:r w:rsidRPr="0080750A">
        <w:rPr>
          <w:rFonts w:ascii="Times New Roman" w:hAnsi="Times New Roman"/>
          <w:sz w:val="24"/>
          <w:szCs w:val="24"/>
        </w:rPr>
        <w:t>City</w:t>
      </w:r>
      <w:proofErr w:type="gramEnd"/>
      <w:r w:rsidRPr="0080750A">
        <w:rPr>
          <w:rFonts w:ascii="Times New Roman" w:hAnsi="Times New Roman"/>
          <w:sz w:val="24"/>
          <w:szCs w:val="24"/>
        </w:rPr>
        <w:t xml:space="preserve"> contends that no evidence supported the Worker’s Comp Judge’s finding that Mr. Shubert was totally disabled from all work after March 25, 2019.  The firefighter was limited to lifting only 10 pounds and no sitting or standing more than 20 minutes. He wisely kept a detailed list of jobs to which he applied and was rejected, including CarMax customer service rep.  The Court of Appeals agreed with the workers comp judge that City must reinstate </w:t>
      </w:r>
      <w:proofErr w:type="gramStart"/>
      <w:r w:rsidRPr="0080750A">
        <w:rPr>
          <w:rFonts w:ascii="Times New Roman" w:hAnsi="Times New Roman"/>
          <w:sz w:val="24"/>
          <w:szCs w:val="24"/>
        </w:rPr>
        <w:t>his</w:t>
      </w:r>
      <w:proofErr w:type="gramEnd"/>
      <w:r w:rsidRPr="0080750A">
        <w:rPr>
          <w:rFonts w:ascii="Times New Roman" w:hAnsi="Times New Roman"/>
          <w:sz w:val="24"/>
          <w:szCs w:val="24"/>
        </w:rPr>
        <w:t xml:space="preserve"> weekly benefits back to $630 [from $448.07], pay a penalty of $2,000, plus attorney fees for the work comp trial ($4,000) and attorney fees for the appeal ($2,500).  </w:t>
      </w:r>
      <w:hyperlink r:id="rId1074" w:history="1">
        <w:r w:rsidRPr="0080750A">
          <w:rPr>
            <w:rStyle w:val="Hyperlink"/>
            <w:rFonts w:ascii="Times New Roman" w:hAnsi="Times New Roman"/>
            <w:b/>
            <w:sz w:val="24"/>
            <w:szCs w:val="24"/>
          </w:rPr>
          <w:t>https://caselaw.findlaw.com/court/la-court-of-appeal/117104839.html</w:t>
        </w:r>
      </w:hyperlink>
      <w:r w:rsidRPr="0080750A">
        <w:rPr>
          <w:rFonts w:ascii="Times New Roman" w:hAnsi="Times New Roman"/>
          <w:b/>
          <w:sz w:val="24"/>
          <w:szCs w:val="24"/>
        </w:rPr>
        <w:t xml:space="preserve"> </w:t>
      </w:r>
    </w:p>
    <w:p w14:paraId="2024A053" w14:textId="77777777" w:rsidR="0080750A" w:rsidRPr="0080750A" w:rsidRDefault="0080750A" w:rsidP="0080750A">
      <w:pPr>
        <w:pStyle w:val="NoSpacing"/>
        <w:rPr>
          <w:rFonts w:ascii="Times New Roman" w:hAnsi="Times New Roman"/>
          <w:b/>
          <w:sz w:val="24"/>
          <w:szCs w:val="24"/>
        </w:rPr>
      </w:pPr>
    </w:p>
    <w:p w14:paraId="520C5C7E" w14:textId="14807C13" w:rsidR="0080750A" w:rsidRPr="0080750A" w:rsidRDefault="0080750A" w:rsidP="0080750A">
      <w:pPr>
        <w:pStyle w:val="NoSpacing"/>
        <w:rPr>
          <w:rFonts w:ascii="Times New Roman" w:hAnsi="Times New Roman"/>
          <w:b/>
          <w:bCs/>
          <w:sz w:val="24"/>
          <w:szCs w:val="24"/>
        </w:rPr>
      </w:pPr>
      <w:r w:rsidRPr="0080750A">
        <w:rPr>
          <w:rFonts w:ascii="Times New Roman" w:hAnsi="Times New Roman"/>
          <w:b/>
          <w:sz w:val="24"/>
          <w:szCs w:val="24"/>
        </w:rPr>
        <w:t xml:space="preserve">Legal Lesson Learned:  They firefighter wisely kept a log of all positions to which he applied. </w:t>
      </w:r>
    </w:p>
    <w:p w14:paraId="4134F82E" w14:textId="77777777" w:rsidR="009506CE" w:rsidRDefault="009506CE" w:rsidP="00EF1133">
      <w:pPr>
        <w:rPr>
          <w:rFonts w:ascii="Arial Black" w:hAnsi="Arial Black"/>
          <w:b/>
          <w:sz w:val="24"/>
          <w:szCs w:val="24"/>
        </w:rPr>
      </w:pPr>
    </w:p>
    <w:p w14:paraId="33DD8028" w14:textId="77777777" w:rsidR="009506CE" w:rsidRDefault="009506CE" w:rsidP="00EF1133">
      <w:pPr>
        <w:rPr>
          <w:rFonts w:ascii="Arial Black" w:hAnsi="Arial Black"/>
          <w:b/>
          <w:sz w:val="24"/>
          <w:szCs w:val="24"/>
        </w:rPr>
      </w:pPr>
    </w:p>
    <w:p w14:paraId="4D8A5CDC" w14:textId="2821CDB6" w:rsidR="00986728" w:rsidRDefault="00924257" w:rsidP="00EF1133">
      <w:pPr>
        <w:rPr>
          <w:rFonts w:ascii="Arial Black" w:hAnsi="Arial Black"/>
          <w:b/>
          <w:sz w:val="24"/>
          <w:szCs w:val="24"/>
        </w:rPr>
      </w:pPr>
      <w:r>
        <w:rPr>
          <w:rFonts w:ascii="Arial Black" w:hAnsi="Arial Black"/>
          <w:b/>
          <w:sz w:val="24"/>
          <w:szCs w:val="24"/>
        </w:rPr>
        <w:t>6-154</w:t>
      </w:r>
    </w:p>
    <w:p w14:paraId="7428FDC4" w14:textId="77777777" w:rsidR="00433EE5" w:rsidRPr="00FF57DC" w:rsidRDefault="00433EE5" w:rsidP="00433EE5">
      <w:pPr>
        <w:pStyle w:val="NoSpacing"/>
        <w:rPr>
          <w:rFonts w:ascii="Arial Black" w:hAnsi="Arial Black"/>
          <w:bCs/>
          <w:sz w:val="28"/>
          <w:szCs w:val="28"/>
        </w:rPr>
      </w:pPr>
      <w:r>
        <w:rPr>
          <w:rFonts w:ascii="Arial Black" w:hAnsi="Arial Black"/>
          <w:sz w:val="28"/>
          <w:szCs w:val="28"/>
        </w:rPr>
        <w:t>AR: BRAIN CANCER – 2021 LAW NOT RETROACTIVE</w:t>
      </w:r>
    </w:p>
    <w:p w14:paraId="639C47BB" w14:textId="77777777" w:rsidR="00433EE5" w:rsidRDefault="00433EE5" w:rsidP="00433EE5">
      <w:pPr>
        <w:pStyle w:val="NoSpacing"/>
        <w:rPr>
          <w:bCs/>
        </w:rPr>
      </w:pPr>
    </w:p>
    <w:p w14:paraId="7D78B0C3" w14:textId="77777777" w:rsidR="00433EE5" w:rsidRPr="009506CE" w:rsidRDefault="00433EE5" w:rsidP="00433EE5">
      <w:pPr>
        <w:pStyle w:val="NoSpacing"/>
        <w:rPr>
          <w:rFonts w:ascii="Times New Roman" w:hAnsi="Times New Roman"/>
          <w:bCs/>
          <w:sz w:val="24"/>
          <w:szCs w:val="24"/>
        </w:rPr>
      </w:pPr>
      <w:r w:rsidRPr="009506CE">
        <w:rPr>
          <w:rFonts w:ascii="Times New Roman" w:hAnsi="Times New Roman"/>
          <w:sz w:val="24"/>
          <w:szCs w:val="24"/>
        </w:rPr>
        <w:t xml:space="preserve">On March 26, 2025, in </w:t>
      </w:r>
      <w:r w:rsidRPr="009506CE">
        <w:rPr>
          <w:rFonts w:ascii="Times New Roman" w:hAnsi="Times New Roman"/>
          <w:sz w:val="24"/>
          <w:szCs w:val="24"/>
          <w:u w:val="single"/>
        </w:rPr>
        <w:t>Robert Vande Krol v. The Industrial Commission of Arizona, et al</w:t>
      </w:r>
      <w:r w:rsidRPr="009506CE">
        <w:rPr>
          <w:rFonts w:ascii="Times New Roman" w:hAnsi="Times New Roman"/>
          <w:sz w:val="24"/>
          <w:szCs w:val="24"/>
        </w:rPr>
        <w:t xml:space="preserve">., the </w:t>
      </w:r>
    </w:p>
    <w:p w14:paraId="1A223542" w14:textId="77777777" w:rsidR="00433EE5" w:rsidRPr="009506CE" w:rsidRDefault="00433EE5" w:rsidP="00433EE5">
      <w:pPr>
        <w:pStyle w:val="NoSpacing"/>
        <w:rPr>
          <w:rFonts w:ascii="Times New Roman" w:hAnsi="Times New Roman"/>
          <w:bCs/>
          <w:sz w:val="24"/>
          <w:szCs w:val="24"/>
        </w:rPr>
      </w:pPr>
      <w:r w:rsidRPr="009506CE">
        <w:rPr>
          <w:rFonts w:ascii="Times New Roman" w:hAnsi="Times New Roman"/>
          <w:sz w:val="24"/>
          <w:szCs w:val="24"/>
        </w:rPr>
        <w:t xml:space="preserve">Supreme Court of the State of Arizona held (6 to 1) that the firefighter. with 18 years of service. was not entitled to workers compensation because he filed his claim 8 months prior to the effective date of the 2021 statute that put burden of proof on the employer to prove it was not caused by the job.  The Court agreed with the Worker’s Comp Administrative Law Judge that the 2017 stature applied. The ALJ explained that while there is not much research regarding the causes of the unusual brain cancer - oligodendroglioma, “[t]he only known cause is ionizing radiation, which is not present in this case.”  Dr. Ferrara testified that the only known cause of oligodendroglioma is ionizing radiation, and Vande Krol’s record did not show exposure to that form of radiation.  The state’s 2021 statute, where the employer had to prove the cancer was not job related, did not specifically state it was retroactive for pending claims.  </w:t>
      </w:r>
      <w:hyperlink r:id="rId1075" w:history="1">
        <w:r w:rsidRPr="009506CE">
          <w:rPr>
            <w:rStyle w:val="Hyperlink"/>
            <w:rFonts w:ascii="Times New Roman" w:hAnsi="Times New Roman"/>
            <w:sz w:val="24"/>
            <w:szCs w:val="24"/>
          </w:rPr>
          <w:t>https://cases.justia.com/arizona/supreme-court/2025-cv-23-0211-pr.pdf?ts=1743008459</w:t>
        </w:r>
      </w:hyperlink>
      <w:r w:rsidRPr="009506CE">
        <w:rPr>
          <w:rFonts w:ascii="Times New Roman" w:hAnsi="Times New Roman"/>
          <w:sz w:val="24"/>
          <w:szCs w:val="24"/>
        </w:rPr>
        <w:t xml:space="preserve"> </w:t>
      </w:r>
    </w:p>
    <w:p w14:paraId="1C232474" w14:textId="77777777" w:rsidR="00924257" w:rsidRPr="009506CE" w:rsidRDefault="00924257" w:rsidP="00EF1133">
      <w:pPr>
        <w:rPr>
          <w:rFonts w:ascii="Times New Roman" w:hAnsi="Times New Roman"/>
          <w:b/>
          <w:sz w:val="24"/>
          <w:szCs w:val="24"/>
        </w:rPr>
      </w:pPr>
    </w:p>
    <w:p w14:paraId="011D9585" w14:textId="77777777" w:rsidR="009506CE" w:rsidRPr="009506CE" w:rsidRDefault="009506CE" w:rsidP="009506CE">
      <w:pPr>
        <w:pStyle w:val="NoSpacing"/>
        <w:rPr>
          <w:rFonts w:ascii="Times New Roman" w:hAnsi="Times New Roman"/>
          <w:b/>
          <w:sz w:val="24"/>
          <w:szCs w:val="24"/>
        </w:rPr>
      </w:pPr>
      <w:r w:rsidRPr="009506CE">
        <w:rPr>
          <w:rFonts w:ascii="Times New Roman" w:hAnsi="Times New Roman"/>
          <w:b/>
          <w:sz w:val="24"/>
          <w:szCs w:val="24"/>
        </w:rPr>
        <w:t xml:space="preserve">Legal Lesson Learned: The 2021 statute is very helpful to firefighters; it is a shame that the legislature did not specifically include a provision holding it was retroactive to pending claims. </w:t>
      </w:r>
    </w:p>
    <w:p w14:paraId="66FDB48E" w14:textId="77777777" w:rsidR="009506CE" w:rsidRPr="009506CE" w:rsidRDefault="009506CE" w:rsidP="009506CE">
      <w:pPr>
        <w:pStyle w:val="NoSpacing"/>
        <w:rPr>
          <w:rFonts w:ascii="Times New Roman" w:hAnsi="Times New Roman"/>
          <w:bCs/>
          <w:sz w:val="24"/>
          <w:szCs w:val="24"/>
        </w:rPr>
      </w:pPr>
    </w:p>
    <w:p w14:paraId="2E048FFE" w14:textId="77777777" w:rsidR="009506CE" w:rsidRPr="009506CE" w:rsidRDefault="009506CE" w:rsidP="009506CE">
      <w:pPr>
        <w:pStyle w:val="NoSpacing"/>
        <w:rPr>
          <w:rFonts w:ascii="Times New Roman" w:hAnsi="Times New Roman"/>
          <w:bCs/>
          <w:sz w:val="24"/>
          <w:szCs w:val="24"/>
        </w:rPr>
      </w:pPr>
      <w:r w:rsidRPr="009506CE">
        <w:rPr>
          <w:rFonts w:ascii="Times New Roman" w:hAnsi="Times New Roman"/>
          <w:sz w:val="24"/>
          <w:szCs w:val="24"/>
        </w:rPr>
        <w:tab/>
        <w:t>Note: Dissenting Justice Montgomery wrote:</w:t>
      </w:r>
    </w:p>
    <w:p w14:paraId="0014D181" w14:textId="77777777" w:rsidR="009506CE" w:rsidRPr="009506CE" w:rsidRDefault="009506CE" w:rsidP="009506CE">
      <w:pPr>
        <w:pStyle w:val="NoSpacing"/>
        <w:rPr>
          <w:rFonts w:ascii="Times New Roman" w:hAnsi="Times New Roman"/>
          <w:bCs/>
          <w:sz w:val="24"/>
          <w:szCs w:val="24"/>
        </w:rPr>
      </w:pPr>
    </w:p>
    <w:p w14:paraId="39B5E741" w14:textId="77777777" w:rsidR="009506CE" w:rsidRPr="009506CE" w:rsidRDefault="009506CE" w:rsidP="009506CE">
      <w:pPr>
        <w:pStyle w:val="NoSpacing"/>
        <w:ind w:left="720"/>
        <w:rPr>
          <w:rFonts w:ascii="Times New Roman" w:hAnsi="Times New Roman"/>
          <w:bCs/>
          <w:sz w:val="24"/>
          <w:szCs w:val="24"/>
        </w:rPr>
      </w:pPr>
      <w:r w:rsidRPr="009506CE">
        <w:rPr>
          <w:rFonts w:ascii="Times New Roman" w:hAnsi="Times New Roman"/>
          <w:sz w:val="24"/>
          <w:szCs w:val="24"/>
        </w:rPr>
        <w:t>“As amended in 2021, § 23-901.09(A)(1) provides: ‘Any disease, infirmity or impairment of a firefighter’s . . . health that is caused by brain . . . cancer . . . and that results in disability or death is presumed to be an occupational disease . . . and is deemed to arise out of employment.’ § 23-</w:t>
      </w:r>
      <w:r w:rsidRPr="009506CE">
        <w:rPr>
          <w:rFonts w:ascii="Times New Roman" w:hAnsi="Times New Roman"/>
          <w:sz w:val="24"/>
          <w:szCs w:val="24"/>
        </w:rPr>
        <w:lastRenderedPageBreak/>
        <w:t>901.09(A)(1) (2021) (the “Presumption”)….  And § 23-901.09(C) specifies that the Presumption applies to firefighters who are: 1) currently in service, and 2) aged sixty-five or younger and diagnosed with brain cancer not more than fifteen years after their last date of employment as a firefighter…. The Amendments also made changes to sections of title 20 that permitted insurers to raise statewide insurance rates and adjust premiums related to firefighter workers’ compensation claims brought</w:t>
      </w:r>
    </w:p>
    <w:p w14:paraId="12757498" w14:textId="77777777" w:rsidR="009506CE" w:rsidRPr="009506CE" w:rsidRDefault="009506CE" w:rsidP="009506CE">
      <w:pPr>
        <w:pStyle w:val="NoSpacing"/>
        <w:ind w:left="720"/>
        <w:rPr>
          <w:rFonts w:ascii="Times New Roman" w:hAnsi="Times New Roman"/>
          <w:bCs/>
          <w:sz w:val="24"/>
          <w:szCs w:val="24"/>
        </w:rPr>
      </w:pPr>
      <w:r w:rsidRPr="009506CE">
        <w:rPr>
          <w:rFonts w:ascii="Times New Roman" w:hAnsi="Times New Roman"/>
          <w:sz w:val="24"/>
          <w:szCs w:val="24"/>
        </w:rPr>
        <w:t>under the Presumption. See 2021 Ariz. Sess. Laws ch. 229, §§ 1–3 (1st Reg.</w:t>
      </w:r>
    </w:p>
    <w:p w14:paraId="3F06B360" w14:textId="77777777" w:rsidR="009506CE" w:rsidRDefault="009506CE" w:rsidP="009506CE">
      <w:pPr>
        <w:pStyle w:val="NoSpacing"/>
        <w:ind w:left="720"/>
        <w:rPr>
          <w:bCs/>
        </w:rPr>
      </w:pPr>
      <w:r w:rsidRPr="009506CE">
        <w:rPr>
          <w:rFonts w:ascii="Times New Roman" w:hAnsi="Times New Roman"/>
          <w:sz w:val="24"/>
          <w:szCs w:val="24"/>
        </w:rPr>
        <w:t xml:space="preserve">Sess.).  Accordingly, I would affirm the court of appeals’ conclusion, albeit with different reasoning, and set aside the ALJ’s decision.”  </w:t>
      </w:r>
      <w:hyperlink r:id="rId1076" w:history="1">
        <w:r w:rsidRPr="009506CE">
          <w:rPr>
            <w:rStyle w:val="Hyperlink"/>
            <w:rFonts w:ascii="Times New Roman" w:hAnsi="Times New Roman"/>
            <w:sz w:val="24"/>
            <w:szCs w:val="24"/>
          </w:rPr>
          <w:t>https://cases.justia.com/arizona/supreme-court/2025-cv-23-0211-pr.pdf?ts=1743008459</w:t>
        </w:r>
      </w:hyperlink>
      <w:r>
        <w:t xml:space="preserve"> </w:t>
      </w:r>
    </w:p>
    <w:p w14:paraId="09CFB9F5" w14:textId="77777777" w:rsidR="009506CE" w:rsidRDefault="009506CE" w:rsidP="00EF1133">
      <w:pPr>
        <w:rPr>
          <w:rFonts w:ascii="Arial Black" w:hAnsi="Arial Black"/>
          <w:b/>
          <w:sz w:val="24"/>
          <w:szCs w:val="24"/>
        </w:rPr>
      </w:pPr>
    </w:p>
    <w:p w14:paraId="023E5752" w14:textId="77777777" w:rsidR="00924257" w:rsidRDefault="00924257" w:rsidP="00EF1133">
      <w:pPr>
        <w:rPr>
          <w:rFonts w:ascii="Arial Black" w:hAnsi="Arial Black"/>
          <w:b/>
          <w:sz w:val="24"/>
          <w:szCs w:val="24"/>
        </w:rPr>
      </w:pPr>
    </w:p>
    <w:p w14:paraId="71DC4519" w14:textId="66B32925" w:rsidR="00986728" w:rsidRDefault="00986728" w:rsidP="00EF1133">
      <w:pPr>
        <w:rPr>
          <w:rFonts w:ascii="Arial Black" w:hAnsi="Arial Black"/>
          <w:b/>
          <w:sz w:val="24"/>
          <w:szCs w:val="24"/>
        </w:rPr>
      </w:pPr>
      <w:r>
        <w:rPr>
          <w:rFonts w:ascii="Arial Black" w:hAnsi="Arial Black"/>
          <w:b/>
          <w:sz w:val="24"/>
          <w:szCs w:val="24"/>
        </w:rPr>
        <w:t>6-153</w:t>
      </w:r>
    </w:p>
    <w:p w14:paraId="4517BC2F" w14:textId="77777777" w:rsidR="00986728" w:rsidRPr="00457642" w:rsidRDefault="00986728" w:rsidP="00986728">
      <w:pPr>
        <w:pStyle w:val="NoSpacing"/>
        <w:rPr>
          <w:rFonts w:ascii="Arial Black" w:hAnsi="Arial Black"/>
          <w:b/>
          <w:sz w:val="28"/>
          <w:szCs w:val="28"/>
        </w:rPr>
      </w:pPr>
      <w:r>
        <w:rPr>
          <w:rFonts w:ascii="Arial Black" w:hAnsi="Arial Black"/>
          <w:b/>
          <w:sz w:val="28"/>
          <w:szCs w:val="28"/>
        </w:rPr>
        <w:t xml:space="preserve">PA: FF DIED CANCER – WIFE GETS 51% WAGE / 9 YR FIGHT </w:t>
      </w:r>
    </w:p>
    <w:p w14:paraId="3A9B30FD" w14:textId="77777777" w:rsidR="00986728" w:rsidRDefault="00986728" w:rsidP="00986728">
      <w:pPr>
        <w:pStyle w:val="NoSpacing"/>
        <w:rPr>
          <w:bCs/>
        </w:rPr>
      </w:pPr>
    </w:p>
    <w:p w14:paraId="352E1CE8" w14:textId="6EB3328C" w:rsidR="00986728" w:rsidRPr="00924257" w:rsidRDefault="00986728" w:rsidP="00986728">
      <w:pPr>
        <w:rPr>
          <w:rFonts w:ascii="Times New Roman" w:hAnsi="Times New Roman"/>
          <w:sz w:val="24"/>
          <w:szCs w:val="24"/>
        </w:rPr>
      </w:pPr>
      <w:r w:rsidRPr="00924257">
        <w:rPr>
          <w:rFonts w:ascii="Times New Roman" w:hAnsi="Times New Roman"/>
          <w:sz w:val="24"/>
          <w:szCs w:val="24"/>
        </w:rPr>
        <w:t xml:space="preserve">On March 19, 2025, in </w:t>
      </w:r>
      <w:r w:rsidRPr="00924257">
        <w:rPr>
          <w:rFonts w:ascii="Times New Roman" w:hAnsi="Times New Roman"/>
          <w:sz w:val="24"/>
          <w:szCs w:val="24"/>
          <w:u w:val="single"/>
        </w:rPr>
        <w:t>City of Philadelphia v. Larry Thompson (Workers’ Compensation Appeal Board)</w:t>
      </w:r>
      <w:r w:rsidRPr="00924257">
        <w:rPr>
          <w:rFonts w:ascii="Times New Roman" w:hAnsi="Times New Roman"/>
          <w:sz w:val="24"/>
          <w:szCs w:val="24"/>
        </w:rPr>
        <w:t xml:space="preserve">, the Commonwealth Court of Pennsylvania held (3 to 0; unpublished decision) upheld the award of work related death benefits to the wife of a 25-year Philadelphia firefighter; he died  on May 11, 2013 of non-Hodgkin’s lymphoma, and she filed her claim in 2016.  The City has fought her claim for 9 years -  including appealing May 4, </w:t>
      </w:r>
      <w:proofErr w:type="gramStart"/>
      <w:r w:rsidRPr="00924257">
        <w:rPr>
          <w:rFonts w:ascii="Times New Roman" w:hAnsi="Times New Roman"/>
          <w:sz w:val="24"/>
          <w:szCs w:val="24"/>
        </w:rPr>
        <w:t>2018</w:t>
      </w:r>
      <w:proofErr w:type="gramEnd"/>
      <w:r w:rsidRPr="00924257">
        <w:rPr>
          <w:rFonts w:ascii="Times New Roman" w:hAnsi="Times New Roman"/>
          <w:sz w:val="24"/>
          <w:szCs w:val="24"/>
        </w:rPr>
        <w:t xml:space="preserve"> ruling in her favor by Workers Comp Judge, and WC Board ruling in her favor on July 21, 2021, and their petition to this Court. </w:t>
      </w:r>
      <w:hyperlink r:id="rId1077" w:history="1">
        <w:r w:rsidRPr="00924257">
          <w:rPr>
            <w:rStyle w:val="Hyperlink"/>
            <w:rFonts w:ascii="Times New Roman" w:hAnsi="Times New Roman"/>
            <w:sz w:val="24"/>
            <w:szCs w:val="24"/>
          </w:rPr>
          <w:t>https://cases.justia.com/pennsylvania/commonwealth-court/2025-923-c-d-2021.pdf?ts=1742398374</w:t>
        </w:r>
      </w:hyperlink>
    </w:p>
    <w:p w14:paraId="194DED79" w14:textId="77777777" w:rsidR="00F93AE8" w:rsidRPr="00F93AE8" w:rsidRDefault="00F93AE8" w:rsidP="00F93AE8">
      <w:pPr>
        <w:pStyle w:val="NoSpacing"/>
        <w:rPr>
          <w:rFonts w:ascii="Times New Roman" w:hAnsi="Times New Roman"/>
          <w:b/>
          <w:sz w:val="24"/>
          <w:szCs w:val="24"/>
        </w:rPr>
      </w:pPr>
      <w:r w:rsidRPr="00F93AE8">
        <w:rPr>
          <w:rFonts w:ascii="Times New Roman" w:hAnsi="Times New Roman"/>
          <w:b/>
          <w:sz w:val="24"/>
          <w:szCs w:val="24"/>
        </w:rPr>
        <w:t xml:space="preserve">Legal Lesson Learned: Keep records of your exposure to fires and hazardous materials, to support testimony by your expert witness. </w:t>
      </w:r>
    </w:p>
    <w:p w14:paraId="5D9C074F" w14:textId="77777777" w:rsidR="00F93AE8" w:rsidRPr="00063B93" w:rsidRDefault="00F93AE8" w:rsidP="00F93AE8">
      <w:pPr>
        <w:pStyle w:val="NoSpacing"/>
        <w:rPr>
          <w:b/>
        </w:rPr>
      </w:pPr>
    </w:p>
    <w:p w14:paraId="34602CFA" w14:textId="77777777" w:rsidR="00924257" w:rsidRPr="00063B93" w:rsidRDefault="00924257" w:rsidP="00924257">
      <w:pPr>
        <w:pStyle w:val="NoSpacing"/>
        <w:rPr>
          <w:b/>
        </w:rPr>
      </w:pPr>
    </w:p>
    <w:p w14:paraId="6A1A2CE8" w14:textId="77777777" w:rsidR="00986728" w:rsidRDefault="00986728" w:rsidP="00EF1133">
      <w:pPr>
        <w:rPr>
          <w:rFonts w:ascii="Arial Black" w:hAnsi="Arial Black"/>
          <w:b/>
          <w:sz w:val="24"/>
          <w:szCs w:val="24"/>
        </w:rPr>
      </w:pPr>
    </w:p>
    <w:p w14:paraId="5E111C04" w14:textId="2A53C0DA" w:rsidR="00045450" w:rsidRDefault="00BF6F6C" w:rsidP="00EF1133">
      <w:pPr>
        <w:rPr>
          <w:rFonts w:ascii="Arial Black" w:hAnsi="Arial Black"/>
          <w:b/>
          <w:sz w:val="24"/>
          <w:szCs w:val="24"/>
        </w:rPr>
      </w:pPr>
      <w:r>
        <w:rPr>
          <w:rFonts w:ascii="Arial Black" w:hAnsi="Arial Black"/>
          <w:b/>
          <w:sz w:val="24"/>
          <w:szCs w:val="24"/>
        </w:rPr>
        <w:t>6-152</w:t>
      </w:r>
    </w:p>
    <w:p w14:paraId="46DF1A05" w14:textId="77777777" w:rsidR="000A5F54" w:rsidRPr="000B7F2C" w:rsidRDefault="000A5F54" w:rsidP="000A5F54">
      <w:pPr>
        <w:rPr>
          <w:rFonts w:ascii="Arial Black" w:hAnsi="Arial Black"/>
          <w:b/>
          <w:sz w:val="28"/>
          <w:szCs w:val="28"/>
        </w:rPr>
      </w:pPr>
      <w:r w:rsidRPr="000B7F2C">
        <w:rPr>
          <w:rFonts w:ascii="Arial Black" w:hAnsi="Arial Black"/>
          <w:b/>
          <w:sz w:val="28"/>
          <w:szCs w:val="28"/>
        </w:rPr>
        <w:t xml:space="preserve">IL: </w:t>
      </w:r>
      <w:r>
        <w:rPr>
          <w:rFonts w:ascii="Arial Black" w:hAnsi="Arial Black"/>
          <w:b/>
          <w:sz w:val="28"/>
          <w:szCs w:val="28"/>
        </w:rPr>
        <w:t xml:space="preserve">DIAB. </w:t>
      </w:r>
      <w:r w:rsidRPr="000B7F2C">
        <w:rPr>
          <w:rFonts w:ascii="Arial Black" w:hAnsi="Arial Black"/>
          <w:b/>
          <w:sz w:val="28"/>
          <w:szCs w:val="28"/>
        </w:rPr>
        <w:t xml:space="preserve">HEALTH INSUR </w:t>
      </w:r>
      <w:r>
        <w:rPr>
          <w:rFonts w:ascii="Arial Black" w:hAnsi="Arial Black"/>
          <w:b/>
          <w:sz w:val="28"/>
          <w:szCs w:val="28"/>
        </w:rPr>
        <w:t xml:space="preserve">IF </w:t>
      </w:r>
      <w:r w:rsidRPr="000B7F2C">
        <w:rPr>
          <w:rFonts w:ascii="Arial Black" w:hAnsi="Arial Black"/>
          <w:b/>
          <w:sz w:val="28"/>
          <w:szCs w:val="28"/>
        </w:rPr>
        <w:t xml:space="preserve">“EMERGENCY” </w:t>
      </w:r>
      <w:r>
        <w:rPr>
          <w:rFonts w:ascii="Arial Black" w:hAnsi="Arial Black"/>
          <w:b/>
          <w:sz w:val="28"/>
          <w:szCs w:val="28"/>
        </w:rPr>
        <w:t xml:space="preserve">-  </w:t>
      </w:r>
      <w:r w:rsidRPr="000B7F2C">
        <w:rPr>
          <w:rFonts w:ascii="Arial Black" w:hAnsi="Arial Black"/>
          <w:b/>
          <w:sz w:val="28"/>
          <w:szCs w:val="28"/>
        </w:rPr>
        <w:t>LIFT</w:t>
      </w:r>
      <w:r>
        <w:rPr>
          <w:rFonts w:ascii="Arial Black" w:hAnsi="Arial Black"/>
          <w:b/>
          <w:sz w:val="28"/>
          <w:szCs w:val="28"/>
        </w:rPr>
        <w:t xml:space="preserve"> PT</w:t>
      </w:r>
    </w:p>
    <w:p w14:paraId="77F600DD" w14:textId="77777777" w:rsidR="000A5F54" w:rsidRPr="000A5F54" w:rsidRDefault="000A5F54" w:rsidP="000A5F54">
      <w:pPr>
        <w:rPr>
          <w:rFonts w:ascii="Times New Roman" w:hAnsi="Times New Roman"/>
          <w:sz w:val="24"/>
          <w:szCs w:val="24"/>
        </w:rPr>
      </w:pPr>
      <w:r w:rsidRPr="000A5F54">
        <w:rPr>
          <w:rFonts w:ascii="Times New Roman" w:hAnsi="Times New Roman"/>
          <w:sz w:val="24"/>
          <w:szCs w:val="24"/>
        </w:rPr>
        <w:t xml:space="preserve">On Feb. 20, 2925, in </w:t>
      </w:r>
      <w:r w:rsidRPr="000A5F54">
        <w:rPr>
          <w:rFonts w:ascii="Times New Roman" w:hAnsi="Times New Roman"/>
          <w:sz w:val="24"/>
          <w:szCs w:val="24"/>
          <w:u w:val="single"/>
        </w:rPr>
        <w:t>Charles R. Ford v. Village of Northbrook, et al</w:t>
      </w:r>
      <w:r w:rsidRPr="000A5F54">
        <w:rPr>
          <w:rFonts w:ascii="Times New Roman" w:hAnsi="Times New Roman"/>
          <w:sz w:val="24"/>
          <w:szCs w:val="24"/>
        </w:rPr>
        <w:t xml:space="preserve">., the Court of Appeals of Illinois, First District, Fourth Division, held (3 to 0) that the trial court correctly held the firefighter was met the definition of the health insurance statute – he was injured in “response to what is reasonably believed to be an emergency.” The had responded non-fire emergent to a “person feeling week” – and found patient (325-pounds, 65-years old) sitting on the toilet with two family members holding her upright.  They used a stair chair, moved her the ambulance, and transported her red lights and siren.   While moving her to hospital bed he felt pain in his right shoulder.  The shoulder showed no fracture or dislocation, but Mr. Ford had a narrowing of his cervical spine in certain areas. An MRI also showed a narrowing of Mr. Ford’s cervical spine, and he received a line-of-duty pension, but the Village denied health insurance since the emergency transport had concluded.   </w:t>
      </w:r>
      <w:hyperlink r:id="rId1078" w:history="1">
        <w:r w:rsidRPr="000A5F54">
          <w:rPr>
            <w:rStyle w:val="Hyperlink"/>
            <w:rFonts w:ascii="Times New Roman" w:hAnsi="Times New Roman"/>
            <w:sz w:val="24"/>
            <w:szCs w:val="24"/>
          </w:rPr>
          <w:t>https://ilcourtsaudio.blob.core.windows.net/antilles-resources/resources/09ac8ced-f502-4e22-9f67-a03c9e14d801/Ford%20v.%20Village%20of%20Northbrook,%202025%20IL%20App%20(1st)%20231952-U.pdf</w:t>
        </w:r>
      </w:hyperlink>
      <w:r w:rsidRPr="000A5F54">
        <w:rPr>
          <w:rFonts w:ascii="Times New Roman" w:hAnsi="Times New Roman"/>
          <w:sz w:val="24"/>
          <w:szCs w:val="24"/>
        </w:rPr>
        <w:t xml:space="preserve"> </w:t>
      </w:r>
    </w:p>
    <w:p w14:paraId="338C1054" w14:textId="77777777" w:rsidR="000A5F54" w:rsidRPr="000A5F54" w:rsidRDefault="000A5F54" w:rsidP="000A5F54">
      <w:pPr>
        <w:rPr>
          <w:rFonts w:ascii="Times New Roman" w:hAnsi="Times New Roman"/>
          <w:sz w:val="24"/>
          <w:szCs w:val="24"/>
        </w:rPr>
      </w:pPr>
      <w:r w:rsidRPr="000A5F54">
        <w:rPr>
          <w:rFonts w:ascii="Times New Roman" w:hAnsi="Times New Roman"/>
          <w:sz w:val="24"/>
          <w:szCs w:val="24"/>
        </w:rPr>
        <w:lastRenderedPageBreak/>
        <w:t>The Court wrote:</w:t>
      </w:r>
    </w:p>
    <w:p w14:paraId="1F5B2BAD" w14:textId="77777777" w:rsidR="000A5F54" w:rsidRPr="000A5F54" w:rsidRDefault="000A5F54" w:rsidP="000A5F54">
      <w:pPr>
        <w:pStyle w:val="NoSpacing"/>
        <w:ind w:firstLine="720"/>
        <w:rPr>
          <w:rFonts w:ascii="Times New Roman" w:hAnsi="Times New Roman"/>
          <w:sz w:val="24"/>
          <w:szCs w:val="24"/>
        </w:rPr>
      </w:pPr>
      <w:r w:rsidRPr="000A5F54">
        <w:rPr>
          <w:rFonts w:ascii="Times New Roman" w:hAnsi="Times New Roman"/>
          <w:sz w:val="24"/>
          <w:szCs w:val="24"/>
        </w:rPr>
        <w:t>“The circuit court granted Mr. Ford’s writ of certiorari, finding that the Village’s</w:t>
      </w:r>
    </w:p>
    <w:p w14:paraId="07A7586E" w14:textId="77777777" w:rsidR="000A5F54" w:rsidRPr="000A5F54" w:rsidRDefault="000A5F54" w:rsidP="000A5F54">
      <w:pPr>
        <w:pStyle w:val="NoSpacing"/>
        <w:ind w:left="720"/>
        <w:rPr>
          <w:rFonts w:ascii="Times New Roman" w:hAnsi="Times New Roman"/>
          <w:sz w:val="24"/>
          <w:szCs w:val="24"/>
        </w:rPr>
      </w:pPr>
      <w:r w:rsidRPr="000A5F54">
        <w:rPr>
          <w:rFonts w:ascii="Times New Roman" w:hAnsi="Times New Roman"/>
          <w:sz w:val="24"/>
          <w:szCs w:val="24"/>
        </w:rPr>
        <w:t>determination that Mr. Ford was not injured while responding to what he reasonably believed to be an emergency was clearly erroneous. The court observed that the medical records showed that the patient presented with pale skin, was on numerous medications, was complaining of pain, and was given oxygen in the ambulance. The court noted at the time Mr. Ford was injured while transferring the patient, he did not have a diagnosis for the patient, did not know the cause of her pain, and could not have known if the emergency had passed. The court determined that it was reasonable for Mr. Ford to believe that the emergency was ongoing. The court therefore reversed the decision of the Village and instructed the Village to provide Mr. Ford health insurance benefits under the Act.</w:t>
      </w:r>
    </w:p>
    <w:p w14:paraId="39F81980" w14:textId="77777777" w:rsidR="000A5F54" w:rsidRPr="000A5F54" w:rsidRDefault="000A5F54" w:rsidP="000A5F54">
      <w:pPr>
        <w:pStyle w:val="NoSpacing"/>
        <w:rPr>
          <w:rFonts w:ascii="Times New Roman" w:hAnsi="Times New Roman"/>
          <w:sz w:val="24"/>
          <w:szCs w:val="24"/>
        </w:rPr>
      </w:pPr>
    </w:p>
    <w:p w14:paraId="7DF71D69" w14:textId="77777777" w:rsidR="000A5F54" w:rsidRPr="000A5F54" w:rsidRDefault="000A5F54" w:rsidP="000A5F54">
      <w:pPr>
        <w:pStyle w:val="NoSpacing"/>
        <w:ind w:firstLine="720"/>
        <w:rPr>
          <w:rFonts w:ascii="Times New Roman" w:hAnsi="Times New Roman"/>
          <w:sz w:val="24"/>
          <w:szCs w:val="24"/>
        </w:rPr>
      </w:pPr>
      <w:r w:rsidRPr="000A5F54">
        <w:rPr>
          <w:rFonts w:ascii="Times New Roman" w:hAnsi="Times New Roman"/>
          <w:sz w:val="24"/>
          <w:szCs w:val="24"/>
        </w:rPr>
        <w:t>***</w:t>
      </w:r>
    </w:p>
    <w:p w14:paraId="0C304427" w14:textId="77777777" w:rsidR="000A5F54" w:rsidRPr="000A5F54" w:rsidRDefault="000A5F54" w:rsidP="000A5F54">
      <w:pPr>
        <w:pStyle w:val="NoSpacing"/>
        <w:ind w:firstLine="720"/>
        <w:rPr>
          <w:rFonts w:ascii="Times New Roman" w:hAnsi="Times New Roman"/>
          <w:sz w:val="24"/>
          <w:szCs w:val="24"/>
        </w:rPr>
      </w:pPr>
      <w:r w:rsidRPr="000A5F54">
        <w:rPr>
          <w:rFonts w:ascii="Times New Roman" w:hAnsi="Times New Roman"/>
          <w:sz w:val="24"/>
          <w:szCs w:val="24"/>
        </w:rPr>
        <w:t xml:space="preserve">Accordingly, we find that these facts establish that Mr. Ford was injured </w:t>
      </w:r>
      <w:proofErr w:type="gramStart"/>
      <w:r w:rsidRPr="000A5F54">
        <w:rPr>
          <w:rFonts w:ascii="Times New Roman" w:hAnsi="Times New Roman"/>
          <w:sz w:val="24"/>
          <w:szCs w:val="24"/>
        </w:rPr>
        <w:t>as a result of</w:t>
      </w:r>
      <w:proofErr w:type="gramEnd"/>
      <w:r w:rsidRPr="000A5F54">
        <w:rPr>
          <w:rFonts w:ascii="Times New Roman" w:hAnsi="Times New Roman"/>
          <w:sz w:val="24"/>
          <w:szCs w:val="24"/>
        </w:rPr>
        <w:t xml:space="preserve"> his</w:t>
      </w:r>
    </w:p>
    <w:p w14:paraId="32B33B26" w14:textId="77777777" w:rsidR="000A5F54" w:rsidRPr="000A5F54" w:rsidRDefault="000A5F54" w:rsidP="000A5F54">
      <w:pPr>
        <w:pStyle w:val="NoSpacing"/>
        <w:ind w:left="720"/>
        <w:rPr>
          <w:rFonts w:ascii="Times New Roman" w:hAnsi="Times New Roman"/>
          <w:sz w:val="24"/>
          <w:szCs w:val="24"/>
        </w:rPr>
      </w:pPr>
      <w:r w:rsidRPr="000A5F54">
        <w:rPr>
          <w:rFonts w:ascii="Times New Roman" w:hAnsi="Times New Roman"/>
          <w:sz w:val="24"/>
          <w:szCs w:val="24"/>
        </w:rPr>
        <w:t>response to what he reasonably believed to be an emergency. We are therefore left with the definite and firm conviction that the Village’s finding to the contrary was clearly erroneous. We find that, under the circumstances of this case, Mr. Ford was entitled to benefits under section 10 of the Act and we affirm the judgment of the circuit court reversing the decision of the Village.”</w:t>
      </w:r>
    </w:p>
    <w:p w14:paraId="20F0F660" w14:textId="77777777" w:rsidR="000A5F54" w:rsidRPr="000A5F54" w:rsidRDefault="000A5F54" w:rsidP="000A5F54">
      <w:pPr>
        <w:pStyle w:val="NoSpacing"/>
        <w:rPr>
          <w:rFonts w:ascii="Times New Roman" w:hAnsi="Times New Roman"/>
          <w:sz w:val="24"/>
          <w:szCs w:val="24"/>
        </w:rPr>
      </w:pPr>
    </w:p>
    <w:p w14:paraId="572884FC" w14:textId="77777777" w:rsidR="000A5F54" w:rsidRPr="000A5F54" w:rsidRDefault="000A5F54" w:rsidP="000A5F54">
      <w:pPr>
        <w:pStyle w:val="NoSpacing"/>
        <w:rPr>
          <w:rFonts w:ascii="Times New Roman" w:hAnsi="Times New Roman"/>
          <w:b/>
          <w:bCs/>
          <w:sz w:val="24"/>
          <w:szCs w:val="24"/>
        </w:rPr>
      </w:pPr>
      <w:r w:rsidRPr="000A5F54">
        <w:rPr>
          <w:rFonts w:ascii="Times New Roman" w:hAnsi="Times New Roman"/>
          <w:b/>
          <w:sz w:val="24"/>
          <w:szCs w:val="24"/>
        </w:rPr>
        <w:t xml:space="preserve">Legal Lesson Learned:  The firefighter won his appeal; court viewed the entirety of the EMS run as an emergency, including the transport and lifting her on hospital bed. </w:t>
      </w:r>
    </w:p>
    <w:p w14:paraId="7732FD32" w14:textId="77777777" w:rsidR="00BF6F6C" w:rsidRPr="000A5F54" w:rsidRDefault="00BF6F6C" w:rsidP="00EF1133">
      <w:pPr>
        <w:rPr>
          <w:rFonts w:ascii="Times New Roman" w:hAnsi="Times New Roman"/>
          <w:b/>
          <w:sz w:val="24"/>
          <w:szCs w:val="24"/>
        </w:rPr>
      </w:pPr>
    </w:p>
    <w:p w14:paraId="22AAFD78" w14:textId="77777777" w:rsidR="00045450" w:rsidRPr="000A5F54" w:rsidRDefault="00045450" w:rsidP="00EF1133">
      <w:pPr>
        <w:rPr>
          <w:rFonts w:ascii="Times New Roman" w:hAnsi="Times New Roman"/>
          <w:b/>
          <w:sz w:val="24"/>
          <w:szCs w:val="24"/>
        </w:rPr>
      </w:pPr>
    </w:p>
    <w:p w14:paraId="3D7D6216" w14:textId="3755CAC7" w:rsidR="00045450" w:rsidRDefault="00045450" w:rsidP="00EF1133">
      <w:pPr>
        <w:rPr>
          <w:rFonts w:ascii="Arial Black" w:hAnsi="Arial Black"/>
          <w:b/>
          <w:sz w:val="24"/>
          <w:szCs w:val="24"/>
        </w:rPr>
      </w:pPr>
      <w:r>
        <w:rPr>
          <w:rFonts w:ascii="Arial Black" w:hAnsi="Arial Black"/>
          <w:b/>
          <w:sz w:val="24"/>
          <w:szCs w:val="24"/>
        </w:rPr>
        <w:t>6-151</w:t>
      </w:r>
    </w:p>
    <w:p w14:paraId="1684856A" w14:textId="77777777" w:rsidR="00045450" w:rsidRPr="000B7F2C" w:rsidRDefault="00045450" w:rsidP="00045450">
      <w:pPr>
        <w:rPr>
          <w:rFonts w:ascii="Arial Black" w:hAnsi="Arial Black"/>
          <w:sz w:val="28"/>
          <w:szCs w:val="28"/>
        </w:rPr>
      </w:pPr>
      <w:r w:rsidRPr="000B7F2C">
        <w:rPr>
          <w:rFonts w:ascii="Arial Black" w:hAnsi="Arial Black"/>
          <w:sz w:val="28"/>
          <w:szCs w:val="28"/>
        </w:rPr>
        <w:t>MO: CARPEL TUNNEL –</w:t>
      </w:r>
      <w:r>
        <w:rPr>
          <w:rFonts w:ascii="Arial Black" w:hAnsi="Arial Black"/>
          <w:sz w:val="28"/>
          <w:szCs w:val="28"/>
        </w:rPr>
        <w:t xml:space="preserve"> </w:t>
      </w:r>
      <w:r w:rsidRPr="000B7F2C">
        <w:rPr>
          <w:rFonts w:ascii="Arial Black" w:hAnsi="Arial Black"/>
          <w:sz w:val="28"/>
          <w:szCs w:val="28"/>
        </w:rPr>
        <w:t>3 MDs AGREE</w:t>
      </w:r>
      <w:r>
        <w:rPr>
          <w:rFonts w:ascii="Arial Black" w:hAnsi="Arial Black"/>
          <w:sz w:val="28"/>
          <w:szCs w:val="28"/>
        </w:rPr>
        <w:t xml:space="preserve"> </w:t>
      </w:r>
      <w:r w:rsidRPr="000B7F2C">
        <w:rPr>
          <w:rFonts w:ascii="Arial Black" w:hAnsi="Arial Black"/>
          <w:sz w:val="28"/>
          <w:szCs w:val="28"/>
        </w:rPr>
        <w:t xml:space="preserve">“DUTY-RELATED” </w:t>
      </w:r>
    </w:p>
    <w:p w14:paraId="74FEE003" w14:textId="77777777" w:rsidR="00045450" w:rsidRPr="00045450" w:rsidRDefault="00045450" w:rsidP="00045450">
      <w:pPr>
        <w:rPr>
          <w:rFonts w:ascii="Times New Roman" w:hAnsi="Times New Roman"/>
          <w:sz w:val="24"/>
          <w:szCs w:val="24"/>
        </w:rPr>
      </w:pPr>
      <w:r w:rsidRPr="00045450">
        <w:rPr>
          <w:rFonts w:ascii="Times New Roman" w:hAnsi="Times New Roman"/>
          <w:sz w:val="24"/>
          <w:szCs w:val="24"/>
        </w:rPr>
        <w:t xml:space="preserve">On Feb. 19, 2025, in </w:t>
      </w:r>
      <w:r w:rsidRPr="00045450">
        <w:rPr>
          <w:rFonts w:ascii="Times New Roman" w:hAnsi="Times New Roman"/>
          <w:sz w:val="24"/>
          <w:szCs w:val="24"/>
          <w:u w:val="single"/>
        </w:rPr>
        <w:t>State of Missouri ex rel. Jeremy Starr v. Board of Trustees for the Firefighter’s Pension System of the City of Kansas City, Missouri</w:t>
      </w:r>
      <w:r w:rsidRPr="00045450">
        <w:rPr>
          <w:rFonts w:ascii="Times New Roman" w:hAnsi="Times New Roman"/>
          <w:sz w:val="24"/>
          <w:szCs w:val="24"/>
        </w:rPr>
        <w:t xml:space="preserve">, the Court of Appeals of Missouri, Western District, Second Division, held (3 to 0) the Circuit Court correctly reversed the Board, and awarded him a “duty-related” disability pension.  Jeremy Starr served on the Kansas City fire department for 18.5 years. Three medical experts - plaintiff’s treating physician and the Boards’ two independent medical examiners – all agreed the carpal tunnel “substantially caused by actual performance of [Starr’s] duty as a firefighter.”  </w:t>
      </w:r>
      <w:hyperlink r:id="rId1079" w:history="1">
        <w:r w:rsidRPr="00045450">
          <w:rPr>
            <w:rStyle w:val="Hyperlink"/>
            <w:rFonts w:ascii="Times New Roman" w:hAnsi="Times New Roman"/>
            <w:sz w:val="24"/>
            <w:szCs w:val="24"/>
          </w:rPr>
          <w:t>https://cases.justia.com/missouri/court-of-appeals/2025-wd87111.pdf?ts=1739982610</w:t>
        </w:r>
      </w:hyperlink>
      <w:r w:rsidRPr="00045450">
        <w:rPr>
          <w:rFonts w:ascii="Times New Roman" w:hAnsi="Times New Roman"/>
          <w:sz w:val="24"/>
          <w:szCs w:val="24"/>
        </w:rPr>
        <w:t xml:space="preserve"> </w:t>
      </w:r>
    </w:p>
    <w:p w14:paraId="70E4CF3E" w14:textId="77777777" w:rsidR="00045450" w:rsidRPr="00045450" w:rsidRDefault="00045450" w:rsidP="00045450">
      <w:pPr>
        <w:pStyle w:val="NoSpacing"/>
        <w:rPr>
          <w:rFonts w:ascii="Times New Roman" w:hAnsi="Times New Roman"/>
          <w:sz w:val="24"/>
          <w:szCs w:val="24"/>
        </w:rPr>
      </w:pPr>
      <w:r w:rsidRPr="00045450">
        <w:rPr>
          <w:rFonts w:ascii="Times New Roman" w:hAnsi="Times New Roman"/>
          <w:sz w:val="24"/>
          <w:szCs w:val="24"/>
        </w:rPr>
        <w:t>The Court wrote:</w:t>
      </w:r>
    </w:p>
    <w:p w14:paraId="14EF7CFB" w14:textId="77777777" w:rsidR="00045450" w:rsidRPr="00045450" w:rsidRDefault="00045450" w:rsidP="00045450">
      <w:pPr>
        <w:pStyle w:val="NoSpacing"/>
        <w:rPr>
          <w:rFonts w:ascii="Times New Roman" w:hAnsi="Times New Roman"/>
          <w:sz w:val="24"/>
          <w:szCs w:val="24"/>
        </w:rPr>
      </w:pPr>
    </w:p>
    <w:p w14:paraId="429A5B9C" w14:textId="77777777" w:rsidR="00045450" w:rsidRPr="00045450" w:rsidRDefault="00045450" w:rsidP="00045450">
      <w:pPr>
        <w:pStyle w:val="NoSpacing"/>
        <w:ind w:firstLine="720"/>
        <w:rPr>
          <w:rFonts w:ascii="Times New Roman" w:hAnsi="Times New Roman"/>
          <w:sz w:val="24"/>
          <w:szCs w:val="24"/>
        </w:rPr>
      </w:pPr>
      <w:r w:rsidRPr="00045450">
        <w:rPr>
          <w:rFonts w:ascii="Times New Roman" w:hAnsi="Times New Roman"/>
          <w:sz w:val="24"/>
          <w:szCs w:val="24"/>
        </w:rPr>
        <w:t>“The Pension Board rejected the opinions of Starr’s treating physician and</w:t>
      </w:r>
    </w:p>
    <w:p w14:paraId="36B952E1" w14:textId="77777777" w:rsidR="00045450" w:rsidRPr="00045450" w:rsidRDefault="00045450" w:rsidP="00045450">
      <w:pPr>
        <w:pStyle w:val="NoSpacing"/>
        <w:ind w:firstLine="720"/>
        <w:rPr>
          <w:rFonts w:ascii="Times New Roman" w:hAnsi="Times New Roman"/>
          <w:sz w:val="24"/>
          <w:szCs w:val="24"/>
        </w:rPr>
      </w:pPr>
      <w:r w:rsidRPr="00045450">
        <w:rPr>
          <w:rFonts w:ascii="Times New Roman" w:hAnsi="Times New Roman"/>
          <w:sz w:val="24"/>
          <w:szCs w:val="24"/>
        </w:rPr>
        <w:t>the Medical Board doctors, and consequently found that Starr had failed to</w:t>
      </w:r>
    </w:p>
    <w:p w14:paraId="7EAD4818" w14:textId="77777777" w:rsidR="00045450" w:rsidRPr="00045450" w:rsidRDefault="00045450" w:rsidP="00045450">
      <w:pPr>
        <w:pStyle w:val="NoSpacing"/>
        <w:ind w:firstLine="720"/>
        <w:rPr>
          <w:rFonts w:ascii="Times New Roman" w:hAnsi="Times New Roman"/>
          <w:sz w:val="24"/>
          <w:szCs w:val="24"/>
        </w:rPr>
      </w:pPr>
      <w:r w:rsidRPr="00045450">
        <w:rPr>
          <w:rFonts w:ascii="Times New Roman" w:hAnsi="Times New Roman"/>
          <w:sz w:val="24"/>
          <w:szCs w:val="24"/>
        </w:rPr>
        <w:t>satisfy his burden to prove work-relatedness, based primarily on two factors:</w:t>
      </w:r>
    </w:p>
    <w:p w14:paraId="58B3B010" w14:textId="77777777" w:rsidR="00045450" w:rsidRPr="00045450" w:rsidRDefault="00045450" w:rsidP="00045450">
      <w:pPr>
        <w:pStyle w:val="NoSpacing"/>
        <w:ind w:firstLine="720"/>
        <w:rPr>
          <w:rFonts w:ascii="Times New Roman" w:hAnsi="Times New Roman"/>
          <w:sz w:val="24"/>
          <w:szCs w:val="24"/>
        </w:rPr>
      </w:pPr>
      <w:r w:rsidRPr="00045450">
        <w:rPr>
          <w:rFonts w:ascii="Times New Roman" w:hAnsi="Times New Roman"/>
          <w:sz w:val="24"/>
          <w:szCs w:val="24"/>
        </w:rPr>
        <w:t xml:space="preserve">(1) that Starr had overstated his use of </w:t>
      </w:r>
      <w:proofErr w:type="gramStart"/>
      <w:r w:rsidRPr="00045450">
        <w:rPr>
          <w:rFonts w:ascii="Times New Roman" w:hAnsi="Times New Roman"/>
          <w:sz w:val="24"/>
          <w:szCs w:val="24"/>
        </w:rPr>
        <w:t>particular vibrating</w:t>
      </w:r>
      <w:proofErr w:type="gramEnd"/>
      <w:r w:rsidRPr="00045450">
        <w:rPr>
          <w:rFonts w:ascii="Times New Roman" w:hAnsi="Times New Roman"/>
          <w:sz w:val="24"/>
          <w:szCs w:val="24"/>
        </w:rPr>
        <w:t xml:space="preserve"> equipment (driving a</w:t>
      </w:r>
    </w:p>
    <w:p w14:paraId="00762CA9" w14:textId="77777777" w:rsidR="00045450" w:rsidRPr="00045450" w:rsidRDefault="00045450" w:rsidP="00045450">
      <w:pPr>
        <w:pStyle w:val="NoSpacing"/>
        <w:ind w:firstLine="720"/>
        <w:rPr>
          <w:rFonts w:ascii="Times New Roman" w:hAnsi="Times New Roman"/>
          <w:sz w:val="24"/>
          <w:szCs w:val="24"/>
        </w:rPr>
      </w:pPr>
      <w:r w:rsidRPr="00045450">
        <w:rPr>
          <w:rFonts w:ascii="Times New Roman" w:hAnsi="Times New Roman"/>
          <w:sz w:val="24"/>
          <w:szCs w:val="24"/>
        </w:rPr>
        <w:t>pumper truck; using power tools and chainsaws); and (2) that Starr had been on</w:t>
      </w:r>
    </w:p>
    <w:p w14:paraId="509BF083" w14:textId="77777777" w:rsidR="00045450" w:rsidRPr="00045450" w:rsidRDefault="00045450" w:rsidP="00045450">
      <w:pPr>
        <w:pStyle w:val="NoSpacing"/>
        <w:ind w:firstLine="720"/>
        <w:rPr>
          <w:rFonts w:ascii="Times New Roman" w:hAnsi="Times New Roman"/>
          <w:sz w:val="24"/>
          <w:szCs w:val="24"/>
        </w:rPr>
      </w:pPr>
      <w:r w:rsidRPr="00045450">
        <w:rPr>
          <w:rFonts w:ascii="Times New Roman" w:hAnsi="Times New Roman"/>
          <w:sz w:val="24"/>
          <w:szCs w:val="24"/>
        </w:rPr>
        <w:t>modified duty, and was therefore not exposed to the rigors of fire suppression</w:t>
      </w:r>
    </w:p>
    <w:p w14:paraId="0966B660" w14:textId="77777777" w:rsidR="00045450" w:rsidRPr="00045450" w:rsidRDefault="00045450" w:rsidP="00045450">
      <w:pPr>
        <w:pStyle w:val="NoSpacing"/>
        <w:ind w:firstLine="720"/>
        <w:rPr>
          <w:rFonts w:ascii="Times New Roman" w:hAnsi="Times New Roman"/>
          <w:sz w:val="24"/>
          <w:szCs w:val="24"/>
        </w:rPr>
      </w:pPr>
      <w:r w:rsidRPr="00045450">
        <w:rPr>
          <w:rFonts w:ascii="Times New Roman" w:hAnsi="Times New Roman"/>
          <w:sz w:val="24"/>
          <w:szCs w:val="24"/>
        </w:rPr>
        <w:t>work, for half the time in the twenty-seven months before his disability</w:t>
      </w:r>
    </w:p>
    <w:p w14:paraId="446F2537" w14:textId="77777777" w:rsidR="00045450" w:rsidRPr="00045450" w:rsidRDefault="00045450" w:rsidP="00045450">
      <w:pPr>
        <w:pStyle w:val="NoSpacing"/>
        <w:ind w:firstLine="720"/>
        <w:rPr>
          <w:rFonts w:ascii="Times New Roman" w:hAnsi="Times New Roman"/>
          <w:sz w:val="24"/>
          <w:szCs w:val="24"/>
        </w:rPr>
      </w:pPr>
      <w:r w:rsidRPr="00045450">
        <w:rPr>
          <w:rFonts w:ascii="Times New Roman" w:hAnsi="Times New Roman"/>
          <w:sz w:val="24"/>
          <w:szCs w:val="24"/>
        </w:rPr>
        <w:t>manifested.</w:t>
      </w:r>
    </w:p>
    <w:p w14:paraId="76F38C7D" w14:textId="77777777" w:rsidR="00045450" w:rsidRPr="00045450" w:rsidRDefault="00045450" w:rsidP="00045450">
      <w:pPr>
        <w:pStyle w:val="NoSpacing"/>
        <w:rPr>
          <w:rFonts w:ascii="Times New Roman" w:hAnsi="Times New Roman"/>
          <w:sz w:val="24"/>
          <w:szCs w:val="24"/>
        </w:rPr>
      </w:pPr>
    </w:p>
    <w:p w14:paraId="78618B9F" w14:textId="77777777" w:rsidR="00045450" w:rsidRPr="00045450" w:rsidRDefault="00045450" w:rsidP="00045450">
      <w:pPr>
        <w:pStyle w:val="NoSpacing"/>
        <w:ind w:firstLine="720"/>
        <w:rPr>
          <w:rFonts w:ascii="Times New Roman" w:hAnsi="Times New Roman"/>
          <w:sz w:val="24"/>
          <w:szCs w:val="24"/>
        </w:rPr>
      </w:pPr>
      <w:r w:rsidRPr="00045450">
        <w:rPr>
          <w:rFonts w:ascii="Times New Roman" w:hAnsi="Times New Roman"/>
          <w:sz w:val="24"/>
          <w:szCs w:val="24"/>
        </w:rPr>
        <w:t>***</w:t>
      </w:r>
    </w:p>
    <w:p w14:paraId="51364879" w14:textId="77777777" w:rsidR="00045450" w:rsidRPr="00045450" w:rsidRDefault="00045450" w:rsidP="00045450">
      <w:pPr>
        <w:pStyle w:val="NoSpacing"/>
        <w:rPr>
          <w:rFonts w:ascii="Times New Roman" w:hAnsi="Times New Roman"/>
          <w:sz w:val="24"/>
          <w:szCs w:val="24"/>
        </w:rPr>
      </w:pPr>
    </w:p>
    <w:p w14:paraId="2A873196" w14:textId="77777777" w:rsidR="00045450" w:rsidRPr="00045450" w:rsidRDefault="00045450" w:rsidP="00045450">
      <w:pPr>
        <w:pStyle w:val="NoSpacing"/>
        <w:ind w:left="720"/>
        <w:rPr>
          <w:rFonts w:ascii="Times New Roman" w:hAnsi="Times New Roman"/>
          <w:sz w:val="24"/>
          <w:szCs w:val="24"/>
        </w:rPr>
      </w:pPr>
      <w:r w:rsidRPr="00045450">
        <w:rPr>
          <w:rFonts w:ascii="Times New Roman" w:hAnsi="Times New Roman"/>
          <w:sz w:val="24"/>
          <w:szCs w:val="24"/>
        </w:rPr>
        <w:lastRenderedPageBreak/>
        <w:t xml:space="preserve">The Pension Board’s conclusion that Starr had failed to prove that his disability was work related is unsupported by sufficient competent </w:t>
      </w:r>
      <w:proofErr w:type="gramStart"/>
      <w:r w:rsidRPr="00045450">
        <w:rPr>
          <w:rFonts w:ascii="Times New Roman" w:hAnsi="Times New Roman"/>
          <w:sz w:val="24"/>
          <w:szCs w:val="24"/>
        </w:rPr>
        <w:t>evidence, and</w:t>
      </w:r>
      <w:proofErr w:type="gramEnd"/>
      <w:r w:rsidRPr="00045450">
        <w:rPr>
          <w:rFonts w:ascii="Times New Roman" w:hAnsi="Times New Roman"/>
          <w:sz w:val="24"/>
          <w:szCs w:val="24"/>
        </w:rPr>
        <w:t xml:space="preserve"> must be reversed.”</w:t>
      </w:r>
    </w:p>
    <w:p w14:paraId="1F8602FD" w14:textId="77777777" w:rsidR="00045450" w:rsidRPr="00045450" w:rsidRDefault="00045450" w:rsidP="00045450">
      <w:pPr>
        <w:pStyle w:val="NoSpacing"/>
        <w:rPr>
          <w:rFonts w:ascii="Times New Roman" w:hAnsi="Times New Roman"/>
          <w:b/>
          <w:sz w:val="24"/>
          <w:szCs w:val="24"/>
        </w:rPr>
      </w:pPr>
    </w:p>
    <w:p w14:paraId="732D5FED" w14:textId="77777777" w:rsidR="00045450" w:rsidRPr="00045450" w:rsidRDefault="00045450" w:rsidP="00045450">
      <w:pPr>
        <w:pStyle w:val="NoSpacing"/>
        <w:rPr>
          <w:rFonts w:ascii="Times New Roman" w:hAnsi="Times New Roman"/>
          <w:b/>
          <w:sz w:val="24"/>
          <w:szCs w:val="24"/>
        </w:rPr>
      </w:pPr>
      <w:r w:rsidRPr="00045450">
        <w:rPr>
          <w:rFonts w:ascii="Times New Roman" w:hAnsi="Times New Roman"/>
          <w:b/>
          <w:sz w:val="24"/>
          <w:szCs w:val="24"/>
        </w:rPr>
        <w:t xml:space="preserve">Legal Lesson Learned: The Board improperly rejected the conclusion of its two independent medical examiners. </w:t>
      </w:r>
    </w:p>
    <w:p w14:paraId="2EC5F3E5" w14:textId="77777777" w:rsidR="00045450" w:rsidRPr="00045450" w:rsidRDefault="00045450" w:rsidP="00045450">
      <w:pPr>
        <w:rPr>
          <w:rFonts w:ascii="Times New Roman" w:hAnsi="Times New Roman"/>
          <w:sz w:val="24"/>
          <w:szCs w:val="24"/>
        </w:rPr>
      </w:pPr>
    </w:p>
    <w:p w14:paraId="2EB2997C" w14:textId="77777777" w:rsidR="002A0697" w:rsidRDefault="002A0697" w:rsidP="00B572BA">
      <w:pPr>
        <w:rPr>
          <w:rFonts w:ascii="Arial Black" w:hAnsi="Arial Black"/>
          <w:sz w:val="28"/>
          <w:szCs w:val="28"/>
        </w:rPr>
      </w:pPr>
    </w:p>
    <w:p w14:paraId="4B4B1694" w14:textId="34DF0E37" w:rsidR="002A0697" w:rsidRDefault="002A0697" w:rsidP="00B572BA">
      <w:pPr>
        <w:rPr>
          <w:rFonts w:ascii="Arial Black" w:hAnsi="Arial Black"/>
          <w:sz w:val="28"/>
          <w:szCs w:val="28"/>
        </w:rPr>
      </w:pPr>
      <w:r>
        <w:rPr>
          <w:rFonts w:ascii="Arial Black" w:hAnsi="Arial Black"/>
          <w:sz w:val="28"/>
          <w:szCs w:val="28"/>
        </w:rPr>
        <w:t>6-150</w:t>
      </w:r>
    </w:p>
    <w:p w14:paraId="0980842A" w14:textId="0641017D" w:rsidR="00B572BA" w:rsidRPr="000B7F2C" w:rsidRDefault="00B572BA" w:rsidP="00B572BA">
      <w:pPr>
        <w:rPr>
          <w:rFonts w:ascii="Arial Black" w:hAnsi="Arial Black"/>
          <w:sz w:val="28"/>
          <w:szCs w:val="28"/>
        </w:rPr>
      </w:pPr>
      <w:r w:rsidRPr="000B7F2C">
        <w:rPr>
          <w:rFonts w:ascii="Arial Black" w:hAnsi="Arial Black"/>
          <w:sz w:val="28"/>
          <w:szCs w:val="28"/>
        </w:rPr>
        <w:t>AR: PTSD –</w:t>
      </w:r>
      <w:r w:rsidR="00125039">
        <w:rPr>
          <w:rFonts w:ascii="Arial Black" w:hAnsi="Arial Black"/>
          <w:sz w:val="28"/>
          <w:szCs w:val="28"/>
        </w:rPr>
        <w:t xml:space="preserve"> ADMIN. LAW JUDGE - </w:t>
      </w:r>
      <w:r w:rsidRPr="000B7F2C">
        <w:rPr>
          <w:rFonts w:ascii="Arial Black" w:hAnsi="Arial Black"/>
          <w:sz w:val="28"/>
          <w:szCs w:val="28"/>
        </w:rPr>
        <w:t xml:space="preserve">1 YR </w:t>
      </w:r>
      <w:r w:rsidR="00E869C9">
        <w:rPr>
          <w:rFonts w:ascii="Arial Black" w:hAnsi="Arial Black"/>
          <w:sz w:val="28"/>
          <w:szCs w:val="28"/>
        </w:rPr>
        <w:t>OF</w:t>
      </w:r>
      <w:r w:rsidRPr="000B7F2C">
        <w:rPr>
          <w:rFonts w:ascii="Arial Black" w:hAnsi="Arial Black"/>
          <w:sz w:val="28"/>
          <w:szCs w:val="28"/>
        </w:rPr>
        <w:t xml:space="preserve"> “DIAGNOSIS” TO FILE WORK COMP</w:t>
      </w:r>
      <w:r>
        <w:rPr>
          <w:rFonts w:ascii="Arial Black" w:hAnsi="Arial Black"/>
          <w:sz w:val="28"/>
          <w:szCs w:val="28"/>
        </w:rPr>
        <w:t xml:space="preserve"> </w:t>
      </w:r>
      <w:r w:rsidR="00E869C9">
        <w:rPr>
          <w:rFonts w:ascii="Arial Black" w:hAnsi="Arial Black"/>
          <w:sz w:val="28"/>
          <w:szCs w:val="28"/>
        </w:rPr>
        <w:t xml:space="preserve"> </w:t>
      </w:r>
      <w:r>
        <w:rPr>
          <w:rFonts w:ascii="Arial Black" w:hAnsi="Arial Black"/>
          <w:sz w:val="28"/>
          <w:szCs w:val="28"/>
        </w:rPr>
        <w:t>[also filed, Chap. 15]</w:t>
      </w:r>
    </w:p>
    <w:p w14:paraId="225AF9A1" w14:textId="606024C8" w:rsidR="00B572BA" w:rsidRPr="00144037" w:rsidRDefault="00B572BA" w:rsidP="00B572BA">
      <w:pPr>
        <w:rPr>
          <w:rFonts w:ascii="Times New Roman" w:hAnsi="Times New Roman"/>
          <w:sz w:val="24"/>
          <w:szCs w:val="24"/>
        </w:rPr>
      </w:pPr>
      <w:r w:rsidRPr="00144037">
        <w:rPr>
          <w:rFonts w:ascii="Times New Roman" w:hAnsi="Times New Roman"/>
          <w:sz w:val="24"/>
          <w:szCs w:val="24"/>
        </w:rPr>
        <w:t xml:space="preserve">On January 27, 2025, in </w:t>
      </w:r>
      <w:r w:rsidRPr="00144037">
        <w:rPr>
          <w:rFonts w:ascii="Times New Roman" w:hAnsi="Times New Roman"/>
          <w:sz w:val="24"/>
          <w:szCs w:val="24"/>
          <w:u w:val="single"/>
        </w:rPr>
        <w:t>City of Tucson v. The Industrial Commission of Arizona; Christopher Mercer, Respondent Employee</w:t>
      </w:r>
      <w:r w:rsidRPr="00144037">
        <w:rPr>
          <w:rFonts w:ascii="Times New Roman" w:hAnsi="Times New Roman"/>
          <w:sz w:val="24"/>
          <w:szCs w:val="24"/>
        </w:rPr>
        <w:t>, the Court of Appeals of Arizona, Second Division, (3 to 0; unpublished decision) upheld the Administrative Law Judge who ruled the 1-</w:t>
      </w:r>
      <w:r w:rsidR="00125039">
        <w:rPr>
          <w:rFonts w:ascii="Times New Roman" w:hAnsi="Times New Roman"/>
          <w:sz w:val="24"/>
          <w:szCs w:val="24"/>
        </w:rPr>
        <w:t>y</w:t>
      </w:r>
      <w:r w:rsidRPr="00144037">
        <w:rPr>
          <w:rFonts w:ascii="Times New Roman" w:hAnsi="Times New Roman"/>
          <w:sz w:val="24"/>
          <w:szCs w:val="24"/>
        </w:rPr>
        <w:t xml:space="preserve">ear statute of limitations to file worker’s comp claim starts when the official diagnosis of PTSD has been made, not when employee has sought help for mental issues.  Time line: In 2017, with anger issues, his Captain suggested he see a psychiatrist; met six times between 2017 and 2021; in 2020 moved to slower station; April 2022 attended music festival off duty and helped female patient who feel 15 feet; that night at home threatened suicide including pulling trigger of 9 mil firearm (presumably unloaded); hospitalized 28 days at facility for first responders where for first time was diagnosed with PTSD; filed works comp claim July 30, 2022.  </w:t>
      </w:r>
      <w:hyperlink r:id="rId1080" w:history="1">
        <w:r w:rsidRPr="00144037">
          <w:rPr>
            <w:rStyle w:val="Hyperlink"/>
            <w:rFonts w:ascii="Times New Roman" w:hAnsi="Times New Roman"/>
            <w:sz w:val="24"/>
            <w:szCs w:val="24"/>
          </w:rPr>
          <w:t>https://cases.justia.com/arizona/court-of-appeals-division-two-unpublished/2025-2-ca-ic-2024-0003.pdf?ts=1738026580</w:t>
        </w:r>
      </w:hyperlink>
      <w:r w:rsidRPr="00144037">
        <w:rPr>
          <w:rFonts w:ascii="Times New Roman" w:hAnsi="Times New Roman"/>
          <w:sz w:val="24"/>
          <w:szCs w:val="24"/>
        </w:rPr>
        <w:t xml:space="preserve"> </w:t>
      </w:r>
    </w:p>
    <w:p w14:paraId="17275C13" w14:textId="77777777" w:rsidR="00B572BA" w:rsidRPr="00144037" w:rsidRDefault="00B572BA" w:rsidP="00B572BA">
      <w:pPr>
        <w:rPr>
          <w:rFonts w:ascii="Times New Roman" w:hAnsi="Times New Roman"/>
          <w:sz w:val="24"/>
          <w:szCs w:val="24"/>
        </w:rPr>
      </w:pPr>
    </w:p>
    <w:p w14:paraId="5C03FC6C" w14:textId="77777777" w:rsidR="00B572BA" w:rsidRPr="00144037" w:rsidRDefault="00B572BA" w:rsidP="00B572BA">
      <w:pPr>
        <w:pStyle w:val="NoSpacing"/>
        <w:rPr>
          <w:rFonts w:ascii="Times New Roman" w:hAnsi="Times New Roman"/>
          <w:sz w:val="24"/>
          <w:szCs w:val="24"/>
        </w:rPr>
      </w:pPr>
      <w:r w:rsidRPr="00144037">
        <w:rPr>
          <w:rFonts w:ascii="Times New Roman" w:hAnsi="Times New Roman"/>
          <w:sz w:val="24"/>
          <w:szCs w:val="24"/>
        </w:rPr>
        <w:t xml:space="preserve">The Court wrote: </w:t>
      </w:r>
    </w:p>
    <w:p w14:paraId="1FF7ABEE" w14:textId="77777777" w:rsidR="00B572BA" w:rsidRPr="00144037" w:rsidRDefault="00B572BA" w:rsidP="00B572BA">
      <w:pPr>
        <w:pStyle w:val="NoSpacing"/>
        <w:rPr>
          <w:rFonts w:ascii="Times New Roman" w:hAnsi="Times New Roman"/>
          <w:sz w:val="24"/>
          <w:szCs w:val="24"/>
        </w:rPr>
      </w:pPr>
    </w:p>
    <w:p w14:paraId="7B8B8420" w14:textId="77777777" w:rsidR="00B572BA" w:rsidRPr="00144037" w:rsidRDefault="00B572BA" w:rsidP="00B572BA">
      <w:pPr>
        <w:pStyle w:val="NoSpacing"/>
        <w:ind w:left="720"/>
        <w:rPr>
          <w:rFonts w:ascii="Times New Roman" w:hAnsi="Times New Roman"/>
          <w:sz w:val="24"/>
          <w:szCs w:val="24"/>
        </w:rPr>
      </w:pPr>
      <w:r w:rsidRPr="00144037">
        <w:rPr>
          <w:rFonts w:ascii="Times New Roman" w:hAnsi="Times New Roman"/>
          <w:sz w:val="24"/>
          <w:szCs w:val="24"/>
        </w:rPr>
        <w:t>“The ALJ determined that he was never ‘officially diagnosed with PTSD’ until April 2022, and there was ‘insufficient evidence to find that his symptoms had become serious and acute enough to meet the diagnosis for PTSD’ before then. The ALJ further explained that April 2022 was also the point at which Mercer first required inpatient psychiatric treatment and first became unable to return to work. Accordingly, the ALJ determined that Mercer’s July 2022 ICA claim was timely.</w:t>
      </w:r>
    </w:p>
    <w:p w14:paraId="3258C872" w14:textId="77777777" w:rsidR="00B572BA" w:rsidRPr="00144037" w:rsidRDefault="00B572BA" w:rsidP="00B572BA">
      <w:pPr>
        <w:pStyle w:val="NoSpacing"/>
        <w:rPr>
          <w:rFonts w:ascii="Times New Roman" w:hAnsi="Times New Roman"/>
          <w:sz w:val="24"/>
          <w:szCs w:val="24"/>
        </w:rPr>
      </w:pPr>
    </w:p>
    <w:p w14:paraId="130E8AF8" w14:textId="77777777" w:rsidR="00B572BA" w:rsidRPr="00144037" w:rsidRDefault="00B572BA" w:rsidP="00B572BA">
      <w:pPr>
        <w:pStyle w:val="NoSpacing"/>
        <w:ind w:firstLine="720"/>
        <w:rPr>
          <w:rFonts w:ascii="Times New Roman" w:hAnsi="Times New Roman"/>
          <w:sz w:val="24"/>
          <w:szCs w:val="24"/>
        </w:rPr>
      </w:pPr>
      <w:r w:rsidRPr="00144037">
        <w:rPr>
          <w:rFonts w:ascii="Times New Roman" w:hAnsi="Times New Roman"/>
          <w:sz w:val="24"/>
          <w:szCs w:val="24"/>
        </w:rPr>
        <w:t>***</w:t>
      </w:r>
    </w:p>
    <w:p w14:paraId="2FF5FF7F" w14:textId="77777777" w:rsidR="00B572BA" w:rsidRPr="00144037" w:rsidRDefault="00B572BA" w:rsidP="00B572BA">
      <w:pPr>
        <w:pStyle w:val="NoSpacing"/>
        <w:rPr>
          <w:rFonts w:ascii="Times New Roman" w:hAnsi="Times New Roman"/>
          <w:sz w:val="24"/>
          <w:szCs w:val="24"/>
        </w:rPr>
      </w:pPr>
    </w:p>
    <w:p w14:paraId="0B5775D8" w14:textId="77777777" w:rsidR="00B572BA" w:rsidRPr="00144037" w:rsidRDefault="00B572BA" w:rsidP="00B572BA">
      <w:pPr>
        <w:pStyle w:val="NoSpacing"/>
        <w:ind w:left="720"/>
        <w:rPr>
          <w:rFonts w:ascii="Times New Roman" w:hAnsi="Times New Roman"/>
          <w:sz w:val="24"/>
          <w:szCs w:val="24"/>
        </w:rPr>
      </w:pPr>
      <w:r w:rsidRPr="00144037">
        <w:rPr>
          <w:rFonts w:ascii="Times New Roman" w:hAnsi="Times New Roman"/>
          <w:sz w:val="24"/>
          <w:szCs w:val="24"/>
        </w:rPr>
        <w:t>[T]</w:t>
      </w:r>
      <w:proofErr w:type="gramStart"/>
      <w:r w:rsidRPr="00144037">
        <w:rPr>
          <w:rFonts w:ascii="Times New Roman" w:hAnsi="Times New Roman"/>
          <w:sz w:val="24"/>
          <w:szCs w:val="24"/>
        </w:rPr>
        <w:t>he</w:t>
      </w:r>
      <w:proofErr w:type="gramEnd"/>
      <w:r w:rsidRPr="00144037">
        <w:rPr>
          <w:rFonts w:ascii="Times New Roman" w:hAnsi="Times New Roman"/>
          <w:sz w:val="24"/>
          <w:szCs w:val="24"/>
        </w:rPr>
        <w:t xml:space="preserve"> City contends it produced expert testimony that Mercer’s PTSD was diagnosable prior to July 2021, it has satisfied some portion of the test for the accrual of mental injuries. Not so.” </w:t>
      </w:r>
    </w:p>
    <w:p w14:paraId="3550969E" w14:textId="77777777" w:rsidR="00B572BA" w:rsidRPr="00144037" w:rsidRDefault="00B572BA" w:rsidP="00B572BA">
      <w:pPr>
        <w:pStyle w:val="NoSpacing"/>
        <w:rPr>
          <w:rFonts w:ascii="Times New Roman" w:hAnsi="Times New Roman"/>
          <w:b/>
          <w:bCs/>
          <w:sz w:val="24"/>
          <w:szCs w:val="24"/>
        </w:rPr>
      </w:pPr>
    </w:p>
    <w:p w14:paraId="6FAEF93F" w14:textId="77777777" w:rsidR="00B572BA" w:rsidRPr="00144037" w:rsidRDefault="00B572BA" w:rsidP="00B572BA">
      <w:pPr>
        <w:pStyle w:val="NoSpacing"/>
        <w:rPr>
          <w:rFonts w:ascii="Times New Roman" w:hAnsi="Times New Roman"/>
          <w:b/>
          <w:bCs/>
          <w:sz w:val="24"/>
          <w:szCs w:val="24"/>
        </w:rPr>
      </w:pPr>
      <w:r w:rsidRPr="00144037">
        <w:rPr>
          <w:rFonts w:ascii="Times New Roman" w:hAnsi="Times New Roman"/>
          <w:b/>
          <w:sz w:val="24"/>
          <w:szCs w:val="24"/>
        </w:rPr>
        <w:t xml:space="preserve">Legal Lesson Learned: Excellent decision; city can’t force employees to file workers comp claim when they are merely seeking assistance. </w:t>
      </w:r>
    </w:p>
    <w:p w14:paraId="4C954BAA" w14:textId="77777777" w:rsidR="00045450" w:rsidRPr="00045450" w:rsidRDefault="00045450" w:rsidP="00EF1133">
      <w:pPr>
        <w:rPr>
          <w:rFonts w:ascii="Times New Roman" w:hAnsi="Times New Roman"/>
          <w:b/>
          <w:sz w:val="24"/>
          <w:szCs w:val="24"/>
        </w:rPr>
      </w:pPr>
    </w:p>
    <w:p w14:paraId="4DFD8CE9" w14:textId="77777777" w:rsidR="00045450" w:rsidRDefault="00045450" w:rsidP="00EF1133">
      <w:pPr>
        <w:rPr>
          <w:rFonts w:ascii="Arial Black" w:hAnsi="Arial Black"/>
          <w:b/>
          <w:sz w:val="24"/>
          <w:szCs w:val="24"/>
        </w:rPr>
      </w:pPr>
    </w:p>
    <w:p w14:paraId="7EE5F35D" w14:textId="6D2524AC" w:rsidR="00AF0D0A" w:rsidRDefault="00AF0D0A" w:rsidP="00EF1133">
      <w:pPr>
        <w:rPr>
          <w:rFonts w:ascii="Arial Black" w:hAnsi="Arial Black"/>
          <w:b/>
          <w:sz w:val="24"/>
          <w:szCs w:val="24"/>
        </w:rPr>
      </w:pPr>
      <w:r>
        <w:rPr>
          <w:rFonts w:ascii="Arial Black" w:hAnsi="Arial Black"/>
          <w:b/>
          <w:sz w:val="24"/>
          <w:szCs w:val="24"/>
        </w:rPr>
        <w:t>6-1</w:t>
      </w:r>
      <w:r w:rsidR="002A0697">
        <w:rPr>
          <w:rFonts w:ascii="Arial Black" w:hAnsi="Arial Black"/>
          <w:b/>
          <w:sz w:val="24"/>
          <w:szCs w:val="24"/>
        </w:rPr>
        <w:t>49</w:t>
      </w:r>
    </w:p>
    <w:p w14:paraId="3836D6EE" w14:textId="77777777" w:rsidR="00AF0D0A" w:rsidRPr="00386040" w:rsidRDefault="00AF0D0A" w:rsidP="00AF0D0A">
      <w:pPr>
        <w:pStyle w:val="NoSpacing"/>
        <w:rPr>
          <w:rFonts w:ascii="Arial Black" w:hAnsi="Arial Black"/>
          <w:sz w:val="28"/>
          <w:szCs w:val="28"/>
        </w:rPr>
      </w:pPr>
      <w:r>
        <w:rPr>
          <w:rFonts w:ascii="Arial Black" w:hAnsi="Arial Black"/>
          <w:sz w:val="28"/>
          <w:szCs w:val="28"/>
        </w:rPr>
        <w:lastRenderedPageBreak/>
        <w:t xml:space="preserve">NJ: FF BROKE ANKLE – ORDIN. DISAB., NOT “UNEXPECTED”   </w:t>
      </w:r>
    </w:p>
    <w:p w14:paraId="2AE0466C" w14:textId="77777777" w:rsidR="00AF0D0A" w:rsidRPr="00AF0D0A" w:rsidRDefault="00AF0D0A" w:rsidP="00AF0D0A">
      <w:pPr>
        <w:pStyle w:val="NoSpacing"/>
        <w:rPr>
          <w:rFonts w:ascii="Times New Roman" w:hAnsi="Times New Roman"/>
          <w:sz w:val="24"/>
          <w:szCs w:val="24"/>
        </w:rPr>
      </w:pPr>
    </w:p>
    <w:p w14:paraId="78FA6E87" w14:textId="77777777" w:rsidR="00AF0D0A" w:rsidRPr="00AF0D0A" w:rsidRDefault="00AF0D0A" w:rsidP="00AF0D0A">
      <w:pPr>
        <w:pStyle w:val="NoSpacing"/>
        <w:rPr>
          <w:rFonts w:ascii="Times New Roman" w:hAnsi="Times New Roman"/>
          <w:sz w:val="24"/>
          <w:szCs w:val="24"/>
        </w:rPr>
      </w:pPr>
      <w:r w:rsidRPr="00AF0D0A">
        <w:rPr>
          <w:rFonts w:ascii="Times New Roman" w:hAnsi="Times New Roman"/>
          <w:sz w:val="24"/>
          <w:szCs w:val="24"/>
        </w:rPr>
        <w:t xml:space="preserve">On Jan. 17, 2025, in </w:t>
      </w:r>
      <w:r w:rsidRPr="00AF0D0A">
        <w:rPr>
          <w:rFonts w:ascii="Times New Roman" w:hAnsi="Times New Roman"/>
          <w:sz w:val="24"/>
          <w:szCs w:val="24"/>
          <w:u w:val="single"/>
        </w:rPr>
        <w:t>Roberto Villarreal-Rio v. Board of Trustees, Police and Fireman’s Retirement System</w:t>
      </w:r>
      <w:r w:rsidRPr="00AF0D0A">
        <w:rPr>
          <w:rFonts w:ascii="Times New Roman" w:hAnsi="Times New Roman"/>
          <w:sz w:val="24"/>
          <w:szCs w:val="24"/>
        </w:rPr>
        <w:t xml:space="preserve">, the Superior Court of New Jersey, held (2 to 0; unpublished decision) that the retirement board properly held the firefighter was not entitled to Accidental Disability Retirement (72.7%), but only Ordinary Disability Retirement (43.6%); must be a traumatic event injured because of an “unexpected happening.”  </w:t>
      </w:r>
      <w:hyperlink r:id="rId1081" w:history="1">
        <w:r w:rsidRPr="00AF0D0A">
          <w:rPr>
            <w:rStyle w:val="Hyperlink"/>
            <w:rFonts w:ascii="Times New Roman" w:hAnsi="Times New Roman"/>
            <w:sz w:val="24"/>
            <w:szCs w:val="24"/>
          </w:rPr>
          <w:t>https://www.njcourts.gov/system/files/court-opinions/2025/a0585-22.pdf</w:t>
        </w:r>
      </w:hyperlink>
      <w:r w:rsidRPr="00AF0D0A">
        <w:rPr>
          <w:rFonts w:ascii="Times New Roman" w:hAnsi="Times New Roman"/>
          <w:sz w:val="24"/>
          <w:szCs w:val="24"/>
        </w:rPr>
        <w:t xml:space="preserve"> </w:t>
      </w:r>
    </w:p>
    <w:p w14:paraId="3A6F3451" w14:textId="77777777" w:rsidR="00AF0D0A" w:rsidRPr="00AF0D0A" w:rsidRDefault="00AF0D0A" w:rsidP="00AF0D0A">
      <w:pPr>
        <w:pStyle w:val="NoSpacing"/>
        <w:rPr>
          <w:rFonts w:ascii="Times New Roman" w:hAnsi="Times New Roman"/>
          <w:sz w:val="24"/>
          <w:szCs w:val="24"/>
        </w:rPr>
      </w:pPr>
    </w:p>
    <w:p w14:paraId="5736EA41" w14:textId="77777777" w:rsidR="00AF0D0A" w:rsidRPr="00AF0D0A" w:rsidRDefault="00AF0D0A" w:rsidP="00AF0D0A">
      <w:pPr>
        <w:pStyle w:val="NoSpacing"/>
        <w:rPr>
          <w:rFonts w:ascii="Times New Roman" w:hAnsi="Times New Roman"/>
          <w:sz w:val="24"/>
          <w:szCs w:val="24"/>
        </w:rPr>
      </w:pPr>
      <w:r w:rsidRPr="00AF0D0A">
        <w:rPr>
          <w:rFonts w:ascii="Times New Roman" w:hAnsi="Times New Roman"/>
          <w:sz w:val="24"/>
          <w:szCs w:val="24"/>
        </w:rPr>
        <w:tab/>
        <w:t xml:space="preserve">The Court held: </w:t>
      </w:r>
    </w:p>
    <w:p w14:paraId="70C5AFDA" w14:textId="77777777" w:rsidR="00AF0D0A" w:rsidRPr="00AF0D0A" w:rsidRDefault="00AF0D0A" w:rsidP="00AF0D0A">
      <w:pPr>
        <w:pStyle w:val="NoSpacing"/>
        <w:rPr>
          <w:rFonts w:ascii="Times New Roman" w:hAnsi="Times New Roman"/>
          <w:sz w:val="24"/>
          <w:szCs w:val="24"/>
        </w:rPr>
      </w:pPr>
    </w:p>
    <w:p w14:paraId="6AF84224" w14:textId="77777777" w:rsidR="00AF0D0A" w:rsidRPr="00AF0D0A" w:rsidRDefault="00AF0D0A" w:rsidP="00AF0D0A">
      <w:pPr>
        <w:pStyle w:val="NoSpacing"/>
        <w:ind w:left="720"/>
        <w:rPr>
          <w:rFonts w:ascii="Times New Roman" w:hAnsi="Times New Roman"/>
          <w:sz w:val="24"/>
          <w:szCs w:val="24"/>
        </w:rPr>
      </w:pPr>
      <w:r w:rsidRPr="00AF0D0A">
        <w:rPr>
          <w:rFonts w:ascii="Times New Roman" w:hAnsi="Times New Roman"/>
          <w:sz w:val="24"/>
          <w:szCs w:val="24"/>
        </w:rPr>
        <w:t xml:space="preserve">“On September 22, 2017, petitioner, along with the </w:t>
      </w:r>
      <w:proofErr w:type="gramStart"/>
      <w:r w:rsidRPr="00AF0D0A">
        <w:rPr>
          <w:rFonts w:ascii="Times New Roman" w:hAnsi="Times New Roman"/>
          <w:sz w:val="24"/>
          <w:szCs w:val="24"/>
        </w:rPr>
        <w:t>Captain</w:t>
      </w:r>
      <w:proofErr w:type="gramEnd"/>
      <w:r w:rsidRPr="00AF0D0A">
        <w:rPr>
          <w:rFonts w:ascii="Times New Roman" w:hAnsi="Times New Roman"/>
          <w:sz w:val="24"/>
          <w:szCs w:val="24"/>
        </w:rPr>
        <w:t xml:space="preserve"> and another firefighter, responded to a call for an electrical fire in a basement. According to petitioner, when they arrived at the scene, a bookshelf was blocking the door to the basement. Therefore, the Captain asked him to retrieve additional feet of hose from the truck so they could access another entrance to the basement to reach the fire. The truck was parked at the bottom of the driveway, about one hundred feet from the building. As he returned with the extra feet of hose, petitioner stated he twisted his ankle and fell on the driveway. He stated that he did not recall what caused him to twist his ankle.</w:t>
      </w:r>
    </w:p>
    <w:p w14:paraId="510E5A56" w14:textId="77777777" w:rsidR="00AF0D0A" w:rsidRPr="00AF0D0A" w:rsidRDefault="00AF0D0A" w:rsidP="00AF0D0A">
      <w:pPr>
        <w:pStyle w:val="NoSpacing"/>
        <w:ind w:left="720"/>
        <w:rPr>
          <w:rFonts w:ascii="Times New Roman" w:hAnsi="Times New Roman"/>
          <w:sz w:val="24"/>
          <w:szCs w:val="24"/>
        </w:rPr>
      </w:pPr>
    </w:p>
    <w:p w14:paraId="2EAC6771" w14:textId="77777777" w:rsidR="00AF0D0A" w:rsidRPr="00AF0D0A" w:rsidRDefault="00AF0D0A" w:rsidP="00AF0D0A">
      <w:pPr>
        <w:pStyle w:val="NoSpacing"/>
        <w:ind w:left="720"/>
        <w:rPr>
          <w:rFonts w:ascii="Times New Roman" w:hAnsi="Times New Roman"/>
          <w:sz w:val="24"/>
          <w:szCs w:val="24"/>
        </w:rPr>
      </w:pPr>
      <w:r w:rsidRPr="00AF0D0A">
        <w:rPr>
          <w:rFonts w:ascii="Times New Roman" w:hAnsi="Times New Roman"/>
          <w:sz w:val="24"/>
          <w:szCs w:val="24"/>
        </w:rPr>
        <w:t>***</w:t>
      </w:r>
    </w:p>
    <w:p w14:paraId="2709177E" w14:textId="77777777" w:rsidR="00AF0D0A" w:rsidRPr="00AF0D0A" w:rsidRDefault="00AF0D0A" w:rsidP="00AF0D0A">
      <w:pPr>
        <w:pStyle w:val="NoSpacing"/>
        <w:ind w:left="720"/>
        <w:rPr>
          <w:rFonts w:ascii="Times New Roman" w:hAnsi="Times New Roman"/>
          <w:sz w:val="24"/>
          <w:szCs w:val="24"/>
        </w:rPr>
      </w:pPr>
    </w:p>
    <w:p w14:paraId="22D71484" w14:textId="77777777" w:rsidR="00AF0D0A" w:rsidRPr="00AF0D0A" w:rsidRDefault="00AF0D0A" w:rsidP="00AF0D0A">
      <w:pPr>
        <w:pStyle w:val="NoSpacing"/>
        <w:ind w:left="720"/>
        <w:rPr>
          <w:rFonts w:ascii="Times New Roman" w:hAnsi="Times New Roman"/>
          <w:sz w:val="24"/>
          <w:szCs w:val="24"/>
        </w:rPr>
      </w:pPr>
      <w:r w:rsidRPr="00AF0D0A">
        <w:rPr>
          <w:rFonts w:ascii="Times New Roman" w:hAnsi="Times New Roman"/>
          <w:sz w:val="24"/>
          <w:szCs w:val="24"/>
        </w:rPr>
        <w:t>Here, petitioner has not demonstrated an ‘unexpected happening’ that caused him to injure his ankle. He testified regarding his training and the specific duties of his job which included loading and unloading equipment, laying and connecting hoses, and preparing for the delivery of water discharge lines…. The evidence reflects petitioner was performing his usual job duties when he was injured. Dragging a hose up a driveway is not an unexpected event in his line of work.”</w:t>
      </w:r>
    </w:p>
    <w:p w14:paraId="303ADA54" w14:textId="77777777" w:rsidR="00AF0D0A" w:rsidRPr="00AF0D0A" w:rsidRDefault="00AF0D0A" w:rsidP="00AF0D0A">
      <w:pPr>
        <w:pStyle w:val="NoSpacing"/>
        <w:rPr>
          <w:rFonts w:ascii="Times New Roman" w:hAnsi="Times New Roman"/>
          <w:sz w:val="24"/>
          <w:szCs w:val="24"/>
        </w:rPr>
      </w:pPr>
    </w:p>
    <w:p w14:paraId="5CD6A234" w14:textId="77777777" w:rsidR="00AF0D0A" w:rsidRPr="00AF0D0A" w:rsidRDefault="00AF0D0A" w:rsidP="00AF0D0A">
      <w:pPr>
        <w:pStyle w:val="NoSpacing"/>
        <w:rPr>
          <w:rFonts w:ascii="Times New Roman" w:hAnsi="Times New Roman"/>
          <w:sz w:val="24"/>
          <w:szCs w:val="24"/>
        </w:rPr>
      </w:pPr>
      <w:r w:rsidRPr="00AF0D0A">
        <w:rPr>
          <w:rFonts w:ascii="Times New Roman" w:hAnsi="Times New Roman"/>
          <w:b/>
          <w:sz w:val="24"/>
          <w:szCs w:val="24"/>
        </w:rPr>
        <w:t>Legal Lesson Learned</w:t>
      </w:r>
      <w:r w:rsidRPr="00AF0D0A">
        <w:rPr>
          <w:rFonts w:ascii="Times New Roman" w:hAnsi="Times New Roman"/>
          <w:sz w:val="24"/>
          <w:szCs w:val="24"/>
        </w:rPr>
        <w:t xml:space="preserve">:  Under NJ statute and case law, public employees are only entitled to enhanced retirement for traumatic injuries from “unexpecting happening” such as a police officer shot pursuing a suspect or a librarian hit by falling bookshelf while restocking books.  </w:t>
      </w:r>
    </w:p>
    <w:p w14:paraId="31198EFE" w14:textId="77777777" w:rsidR="00AF0D0A" w:rsidRPr="00AF0D0A" w:rsidRDefault="00AF0D0A" w:rsidP="00AF0D0A">
      <w:pPr>
        <w:pStyle w:val="NoSpacing"/>
        <w:rPr>
          <w:rFonts w:ascii="Times New Roman" w:hAnsi="Times New Roman"/>
          <w:sz w:val="24"/>
          <w:szCs w:val="24"/>
        </w:rPr>
      </w:pPr>
    </w:p>
    <w:p w14:paraId="3C8F618B" w14:textId="77777777" w:rsidR="00AF0D0A" w:rsidRPr="00AF0D0A" w:rsidRDefault="00AF0D0A" w:rsidP="00AF0D0A">
      <w:pPr>
        <w:pStyle w:val="NoSpacing"/>
        <w:ind w:left="720"/>
        <w:rPr>
          <w:rFonts w:ascii="Times New Roman" w:hAnsi="Times New Roman"/>
          <w:sz w:val="24"/>
          <w:szCs w:val="24"/>
        </w:rPr>
      </w:pPr>
      <w:r w:rsidRPr="00AF0D0A">
        <w:rPr>
          <w:rFonts w:ascii="Times New Roman" w:hAnsi="Times New Roman"/>
          <w:sz w:val="24"/>
          <w:szCs w:val="24"/>
        </w:rPr>
        <w:t xml:space="preserve">Note:  See NJ public employee retirement bulletin.  </w:t>
      </w:r>
      <w:hyperlink r:id="rId1082" w:history="1">
        <w:r w:rsidRPr="00AF0D0A">
          <w:rPr>
            <w:rStyle w:val="Hyperlink"/>
            <w:rFonts w:ascii="Times New Roman" w:hAnsi="Times New Roman"/>
            <w:sz w:val="24"/>
            <w:szCs w:val="24"/>
          </w:rPr>
          <w:t>https://www.nj.gov/treasury/pensions/documents/factsheets/fact15.pdf</w:t>
        </w:r>
      </w:hyperlink>
      <w:r w:rsidRPr="00AF0D0A">
        <w:rPr>
          <w:rFonts w:ascii="Times New Roman" w:hAnsi="Times New Roman"/>
          <w:sz w:val="24"/>
          <w:szCs w:val="24"/>
        </w:rPr>
        <w:t xml:space="preserve"> </w:t>
      </w:r>
    </w:p>
    <w:p w14:paraId="639DDEF8" w14:textId="77777777" w:rsidR="00AF0D0A" w:rsidRPr="00AF0D0A" w:rsidRDefault="00AF0D0A" w:rsidP="00AF0D0A">
      <w:pPr>
        <w:pStyle w:val="NoSpacing"/>
        <w:rPr>
          <w:rFonts w:ascii="Times New Roman" w:hAnsi="Times New Roman"/>
          <w:sz w:val="24"/>
          <w:szCs w:val="24"/>
        </w:rPr>
      </w:pPr>
    </w:p>
    <w:p w14:paraId="3A7FC941" w14:textId="77777777" w:rsidR="00AF0D0A" w:rsidRDefault="00AF0D0A" w:rsidP="00AF0D0A">
      <w:pPr>
        <w:pStyle w:val="NoSpacing"/>
      </w:pPr>
    </w:p>
    <w:p w14:paraId="297F019B" w14:textId="5BA60FB8" w:rsidR="00AF0D0A" w:rsidRDefault="00AF0D0A" w:rsidP="00EF1133">
      <w:pPr>
        <w:rPr>
          <w:rFonts w:ascii="Arial Black" w:hAnsi="Arial Black"/>
          <w:b/>
          <w:sz w:val="24"/>
          <w:szCs w:val="24"/>
        </w:rPr>
      </w:pPr>
      <w:r>
        <w:rPr>
          <w:rFonts w:ascii="Arial Black" w:hAnsi="Arial Black"/>
          <w:b/>
          <w:sz w:val="24"/>
          <w:szCs w:val="24"/>
        </w:rPr>
        <w:t>6-14</w:t>
      </w:r>
      <w:r w:rsidR="002A0697">
        <w:rPr>
          <w:rFonts w:ascii="Arial Black" w:hAnsi="Arial Black"/>
          <w:b/>
          <w:sz w:val="24"/>
          <w:szCs w:val="24"/>
        </w:rPr>
        <w:t>8</w:t>
      </w:r>
    </w:p>
    <w:p w14:paraId="5437276C" w14:textId="77777777" w:rsidR="00D93C20" w:rsidRPr="00FC011D" w:rsidRDefault="00D93C20" w:rsidP="00D93C20">
      <w:pPr>
        <w:rPr>
          <w:rFonts w:ascii="Arial Black" w:hAnsi="Arial Black"/>
          <w:b/>
          <w:sz w:val="28"/>
          <w:szCs w:val="28"/>
        </w:rPr>
      </w:pPr>
      <w:r>
        <w:rPr>
          <w:rFonts w:ascii="Arial Black" w:hAnsi="Arial Black"/>
          <w:b/>
          <w:sz w:val="28"/>
          <w:szCs w:val="28"/>
        </w:rPr>
        <w:t>WV: HEARING LOSS – 17.5% COAL MINER – NO ADDED PPD</w:t>
      </w:r>
    </w:p>
    <w:p w14:paraId="62F0338C" w14:textId="77777777" w:rsidR="00D93C20" w:rsidRPr="00BE4CD4" w:rsidRDefault="00D93C20" w:rsidP="00D93C20">
      <w:pPr>
        <w:pStyle w:val="NoSpacing"/>
        <w:rPr>
          <w:rFonts w:ascii="Times New Roman" w:hAnsi="Times New Roman"/>
          <w:sz w:val="24"/>
          <w:szCs w:val="24"/>
        </w:rPr>
      </w:pPr>
      <w:r w:rsidRPr="00BE4CD4">
        <w:rPr>
          <w:rFonts w:ascii="Times New Roman" w:hAnsi="Times New Roman"/>
          <w:sz w:val="24"/>
          <w:szCs w:val="24"/>
        </w:rPr>
        <w:t xml:space="preserve">On Jan. 14, 2025, in </w:t>
      </w:r>
      <w:r w:rsidRPr="00BE4CD4">
        <w:rPr>
          <w:rFonts w:ascii="Times New Roman" w:hAnsi="Times New Roman"/>
          <w:sz w:val="24"/>
          <w:szCs w:val="24"/>
          <w:u w:val="single"/>
        </w:rPr>
        <w:t>Wilburn T. Preece, Jr. v. Kermit Volunteer Fire Department</w:t>
      </w:r>
      <w:r w:rsidRPr="00BE4CD4">
        <w:rPr>
          <w:rFonts w:ascii="Times New Roman" w:hAnsi="Times New Roman"/>
          <w:sz w:val="24"/>
          <w:szCs w:val="24"/>
        </w:rPr>
        <w:t xml:space="preserve">, the Supreme Court of Appeals of West Virginia held (5 to 0) that the WV Workers’ Compensation Board properly denied the Fire Chief’s claim for progressive hearing loss on Sept. 11, 2023.  In 2015 he was awarded 17.5% permanent partial disability (PPD) from his years working as a coal miner.  He became full time Fire Chief in 2014 and in 2020 claimed 23% PPD (responded to 90% of the 300 – 500 calls per year). The Board rejected his claim on Sept. 11, 2023, after the Chief was examined by two experts – neither found fire service was clearly the cause of additional hearing loss. The Chief appealed to the WV Intermediate Court of Appeals, which upheld the Board on March 25, 2024.  </w:t>
      </w:r>
      <w:hyperlink r:id="rId1083" w:history="1">
        <w:r w:rsidRPr="00BE4CD4">
          <w:rPr>
            <w:rStyle w:val="Hyperlink"/>
            <w:rFonts w:ascii="Times New Roman" w:hAnsi="Times New Roman"/>
            <w:sz w:val="24"/>
            <w:szCs w:val="24"/>
          </w:rPr>
          <w:t>https://cases.justia.com/west-virginia/supreme-court/2025-24-266.pdf?ts=1736880091</w:t>
        </w:r>
      </w:hyperlink>
      <w:r w:rsidRPr="00BE4CD4">
        <w:rPr>
          <w:rFonts w:ascii="Times New Roman" w:hAnsi="Times New Roman"/>
          <w:sz w:val="24"/>
          <w:szCs w:val="24"/>
        </w:rPr>
        <w:t xml:space="preserve"> </w:t>
      </w:r>
    </w:p>
    <w:p w14:paraId="33F66F7B" w14:textId="77777777" w:rsidR="00D93C20" w:rsidRPr="00BE4CD4" w:rsidRDefault="00D93C20" w:rsidP="00D93C20">
      <w:pPr>
        <w:pStyle w:val="NoSpacing"/>
        <w:rPr>
          <w:rFonts w:ascii="Times New Roman" w:hAnsi="Times New Roman"/>
          <w:sz w:val="24"/>
          <w:szCs w:val="24"/>
        </w:rPr>
      </w:pPr>
    </w:p>
    <w:p w14:paraId="101F918F" w14:textId="77777777" w:rsidR="00D93C20" w:rsidRPr="00BE4CD4" w:rsidRDefault="00D93C20" w:rsidP="00D93C20">
      <w:pPr>
        <w:pStyle w:val="NoSpacing"/>
        <w:rPr>
          <w:rFonts w:ascii="Times New Roman" w:hAnsi="Times New Roman"/>
          <w:sz w:val="24"/>
          <w:szCs w:val="24"/>
        </w:rPr>
      </w:pPr>
      <w:r w:rsidRPr="00BE4CD4">
        <w:rPr>
          <w:rFonts w:ascii="Times New Roman" w:hAnsi="Times New Roman"/>
          <w:sz w:val="24"/>
          <w:szCs w:val="24"/>
        </w:rPr>
        <w:t xml:space="preserve">The State Supreme Court wrote: </w:t>
      </w:r>
    </w:p>
    <w:p w14:paraId="261FE68E" w14:textId="77777777" w:rsidR="00D93C20" w:rsidRPr="00BE4CD4" w:rsidRDefault="00D93C20" w:rsidP="00D93C20">
      <w:pPr>
        <w:pStyle w:val="NoSpacing"/>
        <w:rPr>
          <w:rFonts w:ascii="Times New Roman" w:hAnsi="Times New Roman"/>
          <w:sz w:val="24"/>
          <w:szCs w:val="24"/>
        </w:rPr>
      </w:pPr>
    </w:p>
    <w:p w14:paraId="30DC93A1" w14:textId="77777777" w:rsidR="00D93C20" w:rsidRPr="00BE4CD4" w:rsidRDefault="00D93C20" w:rsidP="00D93C20">
      <w:pPr>
        <w:pStyle w:val="NoSpacing"/>
        <w:ind w:firstLine="720"/>
        <w:rPr>
          <w:rFonts w:ascii="Times New Roman" w:hAnsi="Times New Roman"/>
          <w:sz w:val="24"/>
          <w:szCs w:val="24"/>
        </w:rPr>
      </w:pPr>
      <w:r w:rsidRPr="00BE4CD4">
        <w:rPr>
          <w:rFonts w:ascii="Times New Roman" w:hAnsi="Times New Roman"/>
          <w:sz w:val="24"/>
          <w:szCs w:val="24"/>
        </w:rPr>
        <w:t>“The claimant argues that the ICA was clearly wrong in finding that the report of Joseph</w:t>
      </w:r>
    </w:p>
    <w:p w14:paraId="19184A41" w14:textId="77777777" w:rsidR="00D93C20" w:rsidRPr="00BE4CD4" w:rsidRDefault="00D93C20" w:rsidP="00D93C20">
      <w:pPr>
        <w:pStyle w:val="NoSpacing"/>
        <w:ind w:left="720"/>
        <w:rPr>
          <w:rFonts w:ascii="Times New Roman" w:hAnsi="Times New Roman"/>
          <w:sz w:val="24"/>
          <w:szCs w:val="24"/>
        </w:rPr>
      </w:pPr>
      <w:r w:rsidRPr="00BE4CD4">
        <w:rPr>
          <w:rFonts w:ascii="Times New Roman" w:hAnsi="Times New Roman"/>
          <w:sz w:val="24"/>
          <w:szCs w:val="24"/>
        </w:rPr>
        <w:lastRenderedPageBreak/>
        <w:t xml:space="preserve">Touma, M.D., was insufficient to establish that his occupation, as the fire chief, caused additional hearing loss. The claimant asserts that Dr. Touma’s report is the only credible medical evidence of record concerning whether he has additional </w:t>
      </w:r>
      <w:proofErr w:type="gramStart"/>
      <w:r w:rsidRPr="00BE4CD4">
        <w:rPr>
          <w:rFonts w:ascii="Times New Roman" w:hAnsi="Times New Roman"/>
          <w:sz w:val="24"/>
          <w:szCs w:val="24"/>
        </w:rPr>
        <w:t>noise induced</w:t>
      </w:r>
      <w:proofErr w:type="gramEnd"/>
      <w:r w:rsidRPr="00BE4CD4">
        <w:rPr>
          <w:rFonts w:ascii="Times New Roman" w:hAnsi="Times New Roman"/>
          <w:sz w:val="24"/>
          <w:szCs w:val="24"/>
        </w:rPr>
        <w:t xml:space="preserve"> impairment </w:t>
      </w:r>
      <w:proofErr w:type="gramStart"/>
      <w:r w:rsidRPr="00BE4CD4">
        <w:rPr>
          <w:rFonts w:ascii="Times New Roman" w:hAnsi="Times New Roman"/>
          <w:sz w:val="24"/>
          <w:szCs w:val="24"/>
        </w:rPr>
        <w:t>as a result of</w:t>
      </w:r>
      <w:proofErr w:type="gramEnd"/>
      <w:r w:rsidRPr="00BE4CD4">
        <w:rPr>
          <w:rFonts w:ascii="Times New Roman" w:hAnsi="Times New Roman"/>
          <w:sz w:val="24"/>
          <w:szCs w:val="24"/>
        </w:rPr>
        <w:t xml:space="preserve"> his work. As such, the claimant believes that Dr. Touma’s recommended impairment award of 23% should have been granted by the ICA. The employer counters by arguing that Dr. Touma did not consider the claimant’s nonoccupational factors that could contribute to hearing loss. Because the Board of Review found that Dr. Touma’s report was unpersuasive on the basis that he failed to consider whether the claimant’s progressive hearing loss was due to causes other than occupational noise exposure, the employer contends that the ICA correctly affirmed the Board of Review’s order.”</w:t>
      </w:r>
    </w:p>
    <w:p w14:paraId="53E54D05" w14:textId="77777777" w:rsidR="00D93C20" w:rsidRPr="00BE4CD4" w:rsidRDefault="00D93C20" w:rsidP="00D93C20">
      <w:pPr>
        <w:pStyle w:val="NoSpacing"/>
        <w:ind w:left="720"/>
        <w:rPr>
          <w:rFonts w:ascii="Times New Roman" w:hAnsi="Times New Roman"/>
          <w:sz w:val="24"/>
          <w:szCs w:val="24"/>
        </w:rPr>
      </w:pPr>
    </w:p>
    <w:p w14:paraId="1EC89581" w14:textId="77777777" w:rsidR="00D93C20" w:rsidRPr="00BE4CD4" w:rsidRDefault="00D93C20" w:rsidP="00D93C20">
      <w:pPr>
        <w:pStyle w:val="NoSpacing"/>
        <w:rPr>
          <w:rFonts w:ascii="Times New Roman" w:hAnsi="Times New Roman"/>
          <w:sz w:val="24"/>
          <w:szCs w:val="24"/>
        </w:rPr>
      </w:pPr>
      <w:r w:rsidRPr="00BE4CD4">
        <w:rPr>
          <w:rFonts w:ascii="Times New Roman" w:hAnsi="Times New Roman"/>
          <w:sz w:val="24"/>
          <w:szCs w:val="24"/>
        </w:rPr>
        <w:t>The Intermediate Court of Appeals described the Chief’s prior work history.</w:t>
      </w:r>
    </w:p>
    <w:p w14:paraId="101C43CB" w14:textId="77777777" w:rsidR="00D93C20" w:rsidRPr="00BE4CD4" w:rsidRDefault="00D93C20" w:rsidP="00D93C20">
      <w:pPr>
        <w:pStyle w:val="NoSpacing"/>
        <w:rPr>
          <w:rFonts w:ascii="Times New Roman" w:hAnsi="Times New Roman"/>
          <w:sz w:val="24"/>
          <w:szCs w:val="24"/>
        </w:rPr>
      </w:pPr>
    </w:p>
    <w:p w14:paraId="276172A1" w14:textId="77777777" w:rsidR="00D93C20" w:rsidRPr="00BE4CD4" w:rsidRDefault="00D93C20" w:rsidP="00D93C20">
      <w:pPr>
        <w:pStyle w:val="NoSpacing"/>
        <w:ind w:left="720"/>
        <w:rPr>
          <w:rFonts w:ascii="Times New Roman" w:hAnsi="Times New Roman"/>
          <w:sz w:val="24"/>
          <w:szCs w:val="24"/>
        </w:rPr>
      </w:pPr>
      <w:r w:rsidRPr="00BE4CD4">
        <w:rPr>
          <w:rFonts w:ascii="Times New Roman" w:hAnsi="Times New Roman"/>
          <w:sz w:val="24"/>
          <w:szCs w:val="24"/>
        </w:rPr>
        <w:t xml:space="preserve">“In 2014, Mr. Preece began working as fire chief full-time for the KVFD. In a previous claim, Mr. Preece was granted a 17.5% PPD award in 2015 for occupational hearing loss related to his employment with another employer for whom he worked as a coal miner. Mr. Preece filed an Employees’ and Physicians’ Report of Occupational Hearing Loss dated August 25, 2020; indicating that he has occupational hearing loss due to noise exposure related to his employment at KVFD. </w:t>
      </w:r>
    </w:p>
    <w:p w14:paraId="60774096" w14:textId="77777777" w:rsidR="00D93C20" w:rsidRPr="00BE4CD4" w:rsidRDefault="00D93C20" w:rsidP="00D93C20">
      <w:pPr>
        <w:pStyle w:val="NoSpacing"/>
        <w:ind w:left="720"/>
        <w:rPr>
          <w:rFonts w:ascii="Times New Roman" w:hAnsi="Times New Roman"/>
          <w:sz w:val="24"/>
          <w:szCs w:val="24"/>
        </w:rPr>
      </w:pPr>
    </w:p>
    <w:p w14:paraId="59F599E0" w14:textId="77777777" w:rsidR="00D93C20" w:rsidRPr="00BE4CD4" w:rsidRDefault="00D93C20" w:rsidP="00D93C20">
      <w:pPr>
        <w:pStyle w:val="NoSpacing"/>
        <w:ind w:left="720"/>
        <w:rPr>
          <w:rFonts w:ascii="Times New Roman" w:hAnsi="Times New Roman"/>
          <w:sz w:val="24"/>
          <w:szCs w:val="24"/>
        </w:rPr>
      </w:pPr>
      <w:r w:rsidRPr="00BE4CD4">
        <w:rPr>
          <w:rFonts w:ascii="Times New Roman" w:hAnsi="Times New Roman"/>
          <w:sz w:val="24"/>
          <w:szCs w:val="24"/>
        </w:rPr>
        <w:t xml:space="preserve">*** </w:t>
      </w:r>
    </w:p>
    <w:p w14:paraId="3E1D08FB" w14:textId="77777777" w:rsidR="00D93C20" w:rsidRPr="00BE4CD4" w:rsidRDefault="00D93C20" w:rsidP="00D93C20">
      <w:pPr>
        <w:pStyle w:val="NoSpacing"/>
        <w:ind w:left="720"/>
        <w:rPr>
          <w:rFonts w:ascii="Times New Roman" w:hAnsi="Times New Roman"/>
          <w:sz w:val="24"/>
          <w:szCs w:val="24"/>
        </w:rPr>
      </w:pPr>
    </w:p>
    <w:p w14:paraId="7AEE6085" w14:textId="77777777" w:rsidR="00D93C20" w:rsidRPr="00BE4CD4" w:rsidRDefault="00D93C20" w:rsidP="00D93C20">
      <w:pPr>
        <w:pStyle w:val="NoSpacing"/>
        <w:ind w:left="720"/>
        <w:rPr>
          <w:rFonts w:ascii="Times New Roman" w:hAnsi="Times New Roman"/>
          <w:sz w:val="24"/>
          <w:szCs w:val="24"/>
        </w:rPr>
      </w:pPr>
      <w:r w:rsidRPr="00BE4CD4">
        <w:rPr>
          <w:rFonts w:ascii="Times New Roman" w:hAnsi="Times New Roman"/>
          <w:sz w:val="24"/>
          <w:szCs w:val="24"/>
        </w:rPr>
        <w:t xml:space="preserve">Mr. Preece was deposed on May 13, 2022. Mr. Preece indicated that his job as fire chief required him to be at the fire station </w:t>
      </w:r>
      <w:proofErr w:type="gramStart"/>
      <w:r w:rsidRPr="00BE4CD4">
        <w:rPr>
          <w:rFonts w:ascii="Times New Roman" w:hAnsi="Times New Roman"/>
          <w:sz w:val="24"/>
          <w:szCs w:val="24"/>
        </w:rPr>
        <w:t>on a daily basis</w:t>
      </w:r>
      <w:proofErr w:type="gramEnd"/>
      <w:r w:rsidRPr="00BE4CD4">
        <w:rPr>
          <w:rFonts w:ascii="Times New Roman" w:hAnsi="Times New Roman"/>
          <w:sz w:val="24"/>
          <w:szCs w:val="24"/>
        </w:rPr>
        <w:t>. Mr. Preece testified that he answered 90% of the calls received by the fire department and that during the calls he would be exposed to loud noise from the sirens. Mr. Preece further testified that the fire department answers between 300 and 500 calls each year and that answering a call could take between twenty and thirty minutes wherein he would be exposed to the noise from the engine and siren.</w:t>
      </w:r>
    </w:p>
    <w:p w14:paraId="25F9B844" w14:textId="77777777" w:rsidR="00D93C20" w:rsidRPr="00BE4CD4" w:rsidRDefault="00D93C20" w:rsidP="00D93C20">
      <w:pPr>
        <w:pStyle w:val="NoSpacing"/>
        <w:ind w:left="720"/>
        <w:rPr>
          <w:rFonts w:ascii="Times New Roman" w:hAnsi="Times New Roman"/>
          <w:sz w:val="24"/>
          <w:szCs w:val="24"/>
        </w:rPr>
      </w:pPr>
    </w:p>
    <w:p w14:paraId="781EDC8B" w14:textId="77777777" w:rsidR="00D93C20" w:rsidRPr="00BE4CD4" w:rsidRDefault="00D93C20" w:rsidP="00D93C20">
      <w:pPr>
        <w:pStyle w:val="NoSpacing"/>
        <w:ind w:left="720"/>
        <w:rPr>
          <w:rFonts w:ascii="Times New Roman" w:hAnsi="Times New Roman"/>
          <w:sz w:val="24"/>
          <w:szCs w:val="24"/>
        </w:rPr>
      </w:pPr>
      <w:r w:rsidRPr="00BE4CD4">
        <w:rPr>
          <w:rFonts w:ascii="Times New Roman" w:hAnsi="Times New Roman"/>
          <w:sz w:val="24"/>
          <w:szCs w:val="24"/>
        </w:rPr>
        <w:t>***</w:t>
      </w:r>
    </w:p>
    <w:p w14:paraId="52FFCA83" w14:textId="77777777" w:rsidR="00D93C20" w:rsidRPr="00BE4CD4" w:rsidRDefault="00D93C20" w:rsidP="00D93C20">
      <w:pPr>
        <w:pStyle w:val="NoSpacing"/>
        <w:ind w:left="720"/>
        <w:rPr>
          <w:rFonts w:ascii="Times New Roman" w:hAnsi="Times New Roman"/>
          <w:sz w:val="24"/>
          <w:szCs w:val="24"/>
        </w:rPr>
      </w:pPr>
      <w:r w:rsidRPr="00BE4CD4">
        <w:rPr>
          <w:rFonts w:ascii="Times New Roman" w:hAnsi="Times New Roman"/>
          <w:sz w:val="24"/>
          <w:szCs w:val="24"/>
        </w:rPr>
        <w:t>Mr. Preece was evaluated by David Phillips, M.D., who drafted a report dated</w:t>
      </w:r>
    </w:p>
    <w:p w14:paraId="3A08F3E8" w14:textId="77777777" w:rsidR="00D93C20" w:rsidRPr="00BE4CD4" w:rsidRDefault="00D93C20" w:rsidP="00D93C20">
      <w:pPr>
        <w:pStyle w:val="NoSpacing"/>
        <w:ind w:left="720"/>
        <w:rPr>
          <w:rFonts w:ascii="Times New Roman" w:hAnsi="Times New Roman"/>
          <w:sz w:val="24"/>
          <w:szCs w:val="24"/>
        </w:rPr>
      </w:pPr>
      <w:r w:rsidRPr="00BE4CD4">
        <w:rPr>
          <w:rFonts w:ascii="Times New Roman" w:hAnsi="Times New Roman"/>
          <w:sz w:val="24"/>
          <w:szCs w:val="24"/>
        </w:rPr>
        <w:t>December 14, 2022. Dr. Phillips found that Mr. Preece had a total of 22% whole person</w:t>
      </w:r>
    </w:p>
    <w:p w14:paraId="0481EFD7" w14:textId="77777777" w:rsidR="00D93C20" w:rsidRPr="00BE4CD4" w:rsidRDefault="00D93C20" w:rsidP="00D93C20">
      <w:pPr>
        <w:pStyle w:val="NoSpacing"/>
        <w:ind w:left="720"/>
        <w:rPr>
          <w:rFonts w:ascii="Times New Roman" w:hAnsi="Times New Roman"/>
          <w:sz w:val="24"/>
          <w:szCs w:val="24"/>
        </w:rPr>
      </w:pPr>
      <w:r w:rsidRPr="00BE4CD4">
        <w:rPr>
          <w:rFonts w:ascii="Times New Roman" w:hAnsi="Times New Roman"/>
          <w:sz w:val="24"/>
          <w:szCs w:val="24"/>
        </w:rPr>
        <w:t>impairment (“WPI”) related to hearing loss. Dr. Phillips noted that Mr. Preece has a</w:t>
      </w:r>
    </w:p>
    <w:p w14:paraId="07DAB572" w14:textId="77777777" w:rsidR="00D93C20" w:rsidRPr="00BE4CD4" w:rsidRDefault="00D93C20" w:rsidP="00D93C20">
      <w:pPr>
        <w:pStyle w:val="NoSpacing"/>
        <w:ind w:left="720"/>
        <w:rPr>
          <w:rFonts w:ascii="Times New Roman" w:hAnsi="Times New Roman"/>
          <w:sz w:val="24"/>
          <w:szCs w:val="24"/>
        </w:rPr>
      </w:pPr>
      <w:r w:rsidRPr="00BE4CD4">
        <w:rPr>
          <w:rFonts w:ascii="Times New Roman" w:hAnsi="Times New Roman"/>
          <w:sz w:val="24"/>
          <w:szCs w:val="24"/>
        </w:rPr>
        <w:t>medical history of diabetes, hypertension, and elevated cholesterol, all of which can</w:t>
      </w:r>
    </w:p>
    <w:p w14:paraId="6C6F7B93" w14:textId="77777777" w:rsidR="00D93C20" w:rsidRPr="00BE4CD4" w:rsidRDefault="00D93C20" w:rsidP="00D93C20">
      <w:pPr>
        <w:pStyle w:val="NoSpacing"/>
        <w:ind w:left="720"/>
        <w:rPr>
          <w:rFonts w:ascii="Times New Roman" w:hAnsi="Times New Roman"/>
          <w:sz w:val="24"/>
          <w:szCs w:val="24"/>
        </w:rPr>
      </w:pPr>
      <w:r w:rsidRPr="00BE4CD4">
        <w:rPr>
          <w:rFonts w:ascii="Times New Roman" w:hAnsi="Times New Roman"/>
          <w:sz w:val="24"/>
          <w:szCs w:val="24"/>
        </w:rPr>
        <w:t>contribute to progressive hearing loss. Thus, Dr. Phillips attributed 17.5% of Mr. Preece’s</w:t>
      </w:r>
    </w:p>
    <w:p w14:paraId="0BE4BA34" w14:textId="77777777" w:rsidR="00D93C20" w:rsidRPr="00BE4CD4" w:rsidRDefault="00D93C20" w:rsidP="00D93C20">
      <w:pPr>
        <w:pStyle w:val="NoSpacing"/>
        <w:ind w:left="720"/>
        <w:rPr>
          <w:rFonts w:ascii="Times New Roman" w:hAnsi="Times New Roman"/>
          <w:sz w:val="24"/>
          <w:szCs w:val="24"/>
        </w:rPr>
      </w:pPr>
      <w:r w:rsidRPr="00BE4CD4">
        <w:rPr>
          <w:rFonts w:ascii="Times New Roman" w:hAnsi="Times New Roman"/>
          <w:sz w:val="24"/>
          <w:szCs w:val="24"/>
        </w:rPr>
        <w:t>hearing loss to prior mining occupational noise exposure and 4.5% to nonoccupational</w:t>
      </w:r>
    </w:p>
    <w:p w14:paraId="60C823D9" w14:textId="77777777" w:rsidR="00D93C20" w:rsidRPr="00BE4CD4" w:rsidRDefault="00D93C20" w:rsidP="00D93C20">
      <w:pPr>
        <w:pStyle w:val="NoSpacing"/>
        <w:ind w:left="720"/>
        <w:rPr>
          <w:rFonts w:ascii="Times New Roman" w:hAnsi="Times New Roman"/>
          <w:sz w:val="24"/>
          <w:szCs w:val="24"/>
        </w:rPr>
      </w:pPr>
      <w:r w:rsidRPr="00BE4CD4">
        <w:rPr>
          <w:rFonts w:ascii="Times New Roman" w:hAnsi="Times New Roman"/>
          <w:sz w:val="24"/>
          <w:szCs w:val="24"/>
        </w:rPr>
        <w:t xml:space="preserve">factors. Dr. Philips did not acknowledge Mr. Preece’s employment at KVFD or </w:t>
      </w:r>
      <w:proofErr w:type="gramStart"/>
      <w:r w:rsidRPr="00BE4CD4">
        <w:rPr>
          <w:rFonts w:ascii="Times New Roman" w:hAnsi="Times New Roman"/>
          <w:sz w:val="24"/>
          <w:szCs w:val="24"/>
        </w:rPr>
        <w:t>opine about</w:t>
      </w:r>
      <w:proofErr w:type="gramEnd"/>
      <w:r w:rsidRPr="00BE4CD4">
        <w:rPr>
          <w:rFonts w:ascii="Times New Roman" w:hAnsi="Times New Roman"/>
          <w:sz w:val="24"/>
          <w:szCs w:val="24"/>
        </w:rPr>
        <w:t xml:space="preserve"> any potential impairment related to noise exposure from KVFD. </w:t>
      </w:r>
    </w:p>
    <w:p w14:paraId="79141631" w14:textId="77777777" w:rsidR="00D93C20" w:rsidRPr="00BE4CD4" w:rsidRDefault="00D93C20" w:rsidP="00D93C20">
      <w:pPr>
        <w:pStyle w:val="NoSpacing"/>
        <w:ind w:left="720"/>
        <w:rPr>
          <w:rFonts w:ascii="Times New Roman" w:hAnsi="Times New Roman"/>
          <w:sz w:val="24"/>
          <w:szCs w:val="24"/>
        </w:rPr>
      </w:pPr>
    </w:p>
    <w:p w14:paraId="12A45841" w14:textId="77777777" w:rsidR="00D93C20" w:rsidRPr="00BE4CD4" w:rsidRDefault="00D93C20" w:rsidP="00D93C20">
      <w:pPr>
        <w:pStyle w:val="NoSpacing"/>
        <w:ind w:left="720"/>
        <w:rPr>
          <w:rFonts w:ascii="Times New Roman" w:hAnsi="Times New Roman"/>
          <w:sz w:val="24"/>
          <w:szCs w:val="24"/>
        </w:rPr>
      </w:pPr>
      <w:r w:rsidRPr="00BE4CD4">
        <w:rPr>
          <w:rFonts w:ascii="Times New Roman" w:hAnsi="Times New Roman"/>
          <w:sz w:val="24"/>
          <w:szCs w:val="24"/>
        </w:rPr>
        <w:t>On March 29, 2023, Mr. Preece was examined by Joseph Touma, M.D. Dr. Touma found that Mr. Preece had a total of 23% WPI for hearing loss related to occupational noise exposure. Dr. Touma’s report indicates that adjustments were made for non-noise related</w:t>
      </w:r>
    </w:p>
    <w:p w14:paraId="45DA723B" w14:textId="77777777" w:rsidR="00D93C20" w:rsidRPr="00BE4CD4" w:rsidRDefault="00D93C20" w:rsidP="00D93C20">
      <w:pPr>
        <w:pStyle w:val="NoSpacing"/>
        <w:ind w:left="720"/>
        <w:rPr>
          <w:rFonts w:ascii="Times New Roman" w:hAnsi="Times New Roman"/>
          <w:sz w:val="24"/>
          <w:szCs w:val="24"/>
        </w:rPr>
      </w:pPr>
      <w:r w:rsidRPr="00BE4CD4">
        <w:rPr>
          <w:rFonts w:ascii="Times New Roman" w:hAnsi="Times New Roman"/>
          <w:sz w:val="24"/>
          <w:szCs w:val="24"/>
        </w:rPr>
        <w:t>impairment, but the report does not give any further details regarding those adjustments.</w:t>
      </w:r>
    </w:p>
    <w:p w14:paraId="685D193F" w14:textId="77777777" w:rsidR="00D93C20" w:rsidRPr="00BE4CD4" w:rsidRDefault="00D93C20" w:rsidP="00D93C20">
      <w:pPr>
        <w:pStyle w:val="NoSpacing"/>
        <w:ind w:left="720"/>
        <w:rPr>
          <w:rFonts w:ascii="Times New Roman" w:hAnsi="Times New Roman"/>
          <w:sz w:val="24"/>
          <w:szCs w:val="24"/>
        </w:rPr>
      </w:pPr>
      <w:r w:rsidRPr="00BE4CD4">
        <w:rPr>
          <w:rFonts w:ascii="Times New Roman" w:hAnsi="Times New Roman"/>
          <w:sz w:val="24"/>
          <w:szCs w:val="24"/>
        </w:rPr>
        <w:t>Dr. Touma opined that Mr. Preece’s worsening hearing loss “may” be due to subsequent</w:t>
      </w:r>
    </w:p>
    <w:p w14:paraId="569E8198" w14:textId="77777777" w:rsidR="00D93C20" w:rsidRPr="00BE4CD4" w:rsidRDefault="00D93C20" w:rsidP="00D93C20">
      <w:pPr>
        <w:pStyle w:val="NoSpacing"/>
        <w:ind w:left="720"/>
        <w:rPr>
          <w:rFonts w:ascii="Times New Roman" w:hAnsi="Times New Roman"/>
          <w:sz w:val="24"/>
          <w:szCs w:val="24"/>
        </w:rPr>
      </w:pPr>
      <w:r w:rsidRPr="00BE4CD4">
        <w:rPr>
          <w:rFonts w:ascii="Times New Roman" w:hAnsi="Times New Roman"/>
          <w:sz w:val="24"/>
          <w:szCs w:val="24"/>
        </w:rPr>
        <w:t>noise exposure from his new work environment with KVFD. Dr. Touma further opined</w:t>
      </w:r>
    </w:p>
    <w:p w14:paraId="19DE79CA" w14:textId="77777777" w:rsidR="00D93C20" w:rsidRPr="00BE4CD4" w:rsidRDefault="00D93C20" w:rsidP="00D93C20">
      <w:pPr>
        <w:pStyle w:val="NoSpacing"/>
        <w:ind w:left="720"/>
        <w:rPr>
          <w:rFonts w:ascii="Times New Roman" w:hAnsi="Times New Roman"/>
          <w:sz w:val="24"/>
          <w:szCs w:val="24"/>
        </w:rPr>
      </w:pPr>
      <w:r w:rsidRPr="00BE4CD4">
        <w:rPr>
          <w:rFonts w:ascii="Times New Roman" w:hAnsi="Times New Roman"/>
          <w:sz w:val="24"/>
          <w:szCs w:val="24"/>
        </w:rPr>
        <w:t xml:space="preserve">that Mr. Preece had no preexisting conditions that could have contributed to his progressive hearing </w:t>
      </w:r>
      <w:proofErr w:type="gramStart"/>
      <w:r w:rsidRPr="00BE4CD4">
        <w:rPr>
          <w:rFonts w:ascii="Times New Roman" w:hAnsi="Times New Roman"/>
          <w:sz w:val="24"/>
          <w:szCs w:val="24"/>
        </w:rPr>
        <w:t>loss.”</w:t>
      </w:r>
      <w:proofErr w:type="gramEnd"/>
      <w:r w:rsidRPr="00BE4CD4">
        <w:rPr>
          <w:rFonts w:ascii="Times New Roman" w:hAnsi="Times New Roman"/>
          <w:sz w:val="24"/>
          <w:szCs w:val="24"/>
        </w:rPr>
        <w:t xml:space="preserve"> </w:t>
      </w:r>
      <w:hyperlink r:id="rId1084" w:history="1">
        <w:r w:rsidRPr="00BE4CD4">
          <w:rPr>
            <w:rStyle w:val="Hyperlink"/>
            <w:rFonts w:ascii="Times New Roman" w:hAnsi="Times New Roman"/>
            <w:sz w:val="24"/>
            <w:szCs w:val="24"/>
          </w:rPr>
          <w:t>https://www.courtswv.gov/sites/default/pubfilesmnt/2024-03/23-ICA-446_MD.pdf</w:t>
        </w:r>
      </w:hyperlink>
      <w:r w:rsidRPr="00BE4CD4">
        <w:rPr>
          <w:rFonts w:ascii="Times New Roman" w:hAnsi="Times New Roman"/>
          <w:sz w:val="24"/>
          <w:szCs w:val="24"/>
        </w:rPr>
        <w:t xml:space="preserve"> </w:t>
      </w:r>
    </w:p>
    <w:p w14:paraId="06F2FE7F" w14:textId="77777777" w:rsidR="00D93C20" w:rsidRPr="00BE4CD4" w:rsidRDefault="00D93C20" w:rsidP="00D93C20">
      <w:pPr>
        <w:pStyle w:val="NoSpacing"/>
        <w:rPr>
          <w:rFonts w:ascii="Times New Roman" w:hAnsi="Times New Roman"/>
          <w:sz w:val="24"/>
          <w:szCs w:val="24"/>
        </w:rPr>
      </w:pPr>
    </w:p>
    <w:p w14:paraId="331A05E2" w14:textId="77777777" w:rsidR="00D93C20" w:rsidRPr="00BE4CD4" w:rsidRDefault="00D93C20" w:rsidP="00D93C20">
      <w:pPr>
        <w:pStyle w:val="NoSpacing"/>
        <w:ind w:left="720"/>
        <w:rPr>
          <w:rFonts w:ascii="Times New Roman" w:hAnsi="Times New Roman"/>
          <w:sz w:val="24"/>
          <w:szCs w:val="24"/>
        </w:rPr>
      </w:pPr>
    </w:p>
    <w:p w14:paraId="08608E57" w14:textId="77777777" w:rsidR="00D93C20" w:rsidRPr="00BE4CD4" w:rsidRDefault="00D93C20" w:rsidP="00D93C20">
      <w:pPr>
        <w:pStyle w:val="NoSpacing"/>
        <w:rPr>
          <w:rFonts w:ascii="Times New Roman" w:hAnsi="Times New Roman"/>
          <w:b/>
          <w:bCs/>
          <w:sz w:val="24"/>
          <w:szCs w:val="24"/>
        </w:rPr>
      </w:pPr>
      <w:r w:rsidRPr="00BE4CD4">
        <w:rPr>
          <w:rFonts w:ascii="Times New Roman" w:hAnsi="Times New Roman"/>
          <w:b/>
          <w:sz w:val="24"/>
          <w:szCs w:val="24"/>
        </w:rPr>
        <w:t xml:space="preserve">Legal Lesson Learned: Hearing loss is clearly an issue in the fire service; wearing hearing protection on all emergency runs should be mandatory.  To prove workplace loss, claimants should retain an expert who will record load noise exposure at fire and other scenes. </w:t>
      </w:r>
    </w:p>
    <w:p w14:paraId="64F1A625" w14:textId="77777777" w:rsidR="00AF0D0A" w:rsidRDefault="00AF0D0A" w:rsidP="00EF1133">
      <w:pPr>
        <w:rPr>
          <w:rFonts w:ascii="Arial Black" w:hAnsi="Arial Black"/>
          <w:b/>
          <w:sz w:val="24"/>
          <w:szCs w:val="24"/>
        </w:rPr>
      </w:pPr>
    </w:p>
    <w:p w14:paraId="32521D32" w14:textId="77777777" w:rsidR="00AF0D0A" w:rsidRDefault="00AF0D0A" w:rsidP="00EF1133">
      <w:pPr>
        <w:rPr>
          <w:rFonts w:ascii="Arial Black" w:hAnsi="Arial Black"/>
          <w:b/>
          <w:sz w:val="24"/>
          <w:szCs w:val="24"/>
        </w:rPr>
      </w:pPr>
    </w:p>
    <w:p w14:paraId="30499DCB" w14:textId="1EA3752D" w:rsidR="006634F6" w:rsidRDefault="006634F6" w:rsidP="00EF1133">
      <w:pPr>
        <w:rPr>
          <w:rFonts w:ascii="Arial Black" w:hAnsi="Arial Black"/>
          <w:b/>
          <w:sz w:val="24"/>
          <w:szCs w:val="24"/>
        </w:rPr>
      </w:pPr>
      <w:r>
        <w:rPr>
          <w:rFonts w:ascii="Arial Black" w:hAnsi="Arial Black"/>
          <w:b/>
          <w:sz w:val="24"/>
          <w:szCs w:val="24"/>
        </w:rPr>
        <w:t>6-14</w:t>
      </w:r>
      <w:r w:rsidR="002A0697">
        <w:rPr>
          <w:rFonts w:ascii="Arial Black" w:hAnsi="Arial Black"/>
          <w:b/>
          <w:sz w:val="24"/>
          <w:szCs w:val="24"/>
        </w:rPr>
        <w:t>7</w:t>
      </w:r>
    </w:p>
    <w:p w14:paraId="3E73A28D" w14:textId="77777777" w:rsidR="00BF6110" w:rsidRPr="00FA067C" w:rsidRDefault="00BF6110" w:rsidP="00BF6110">
      <w:pPr>
        <w:pStyle w:val="NoSpacing"/>
        <w:rPr>
          <w:rFonts w:ascii="Arial Black" w:hAnsi="Arial Black"/>
          <w:b/>
          <w:sz w:val="28"/>
          <w:szCs w:val="28"/>
        </w:rPr>
      </w:pPr>
      <w:r>
        <w:rPr>
          <w:rFonts w:ascii="Arial Black" w:hAnsi="Arial Black"/>
          <w:b/>
          <w:sz w:val="28"/>
          <w:szCs w:val="28"/>
        </w:rPr>
        <w:t>PA: LUNG CANCER – CITY PAY WIFE 10% PENALTY</w:t>
      </w:r>
    </w:p>
    <w:p w14:paraId="752FCA0B" w14:textId="77777777" w:rsidR="00BF6110" w:rsidRDefault="00BF6110" w:rsidP="00BF6110">
      <w:pPr>
        <w:pStyle w:val="NoSpacing"/>
        <w:rPr>
          <w:b/>
        </w:rPr>
      </w:pPr>
    </w:p>
    <w:p w14:paraId="45670B7F" w14:textId="77777777" w:rsidR="00BF6110" w:rsidRPr="00BF6110" w:rsidRDefault="00BF6110" w:rsidP="00BF6110">
      <w:pPr>
        <w:pStyle w:val="NoSpacing"/>
        <w:rPr>
          <w:rFonts w:ascii="Times New Roman" w:hAnsi="Times New Roman"/>
          <w:bCs/>
          <w:sz w:val="24"/>
          <w:szCs w:val="24"/>
        </w:rPr>
      </w:pPr>
      <w:r w:rsidRPr="00BF6110">
        <w:rPr>
          <w:rFonts w:ascii="Times New Roman" w:hAnsi="Times New Roman"/>
          <w:sz w:val="24"/>
          <w:szCs w:val="24"/>
        </w:rPr>
        <w:t xml:space="preserve">On Dec. 24, 2024, in </w:t>
      </w:r>
      <w:r w:rsidRPr="00BF6110">
        <w:rPr>
          <w:rFonts w:ascii="Times New Roman" w:hAnsi="Times New Roman"/>
          <w:sz w:val="24"/>
          <w:szCs w:val="24"/>
          <w:u w:val="single"/>
        </w:rPr>
        <w:t>City of Philadelphia v. Wayne Deloatch and Independence Blue Cross</w:t>
      </w:r>
      <w:r w:rsidRPr="00BF6110">
        <w:rPr>
          <w:rFonts w:ascii="Times New Roman" w:hAnsi="Times New Roman"/>
          <w:sz w:val="24"/>
          <w:szCs w:val="24"/>
        </w:rPr>
        <w:t xml:space="preserve"> (Workers’ Compensation Appeal Board), the Commonwealth Court of Pennsylvania held (3 to 0) that City must reimburse the firefighter’s insurance company $124,680.22 for medical benefits paid to the firefighter, plus interest back to 2014, and also pay a 10% penalty to the wife of the deceased firefighter.  The Court referenced the PA statutory presumption law (July 7, 2011) in holding that the firefighter’s wife will receive 51% of Deloatch’s average weekly wage as of his death on September 26, 2019.</w:t>
      </w:r>
    </w:p>
    <w:p w14:paraId="1D30D896" w14:textId="77777777" w:rsidR="00BF6110" w:rsidRPr="00BF6110" w:rsidRDefault="00BF6110" w:rsidP="00BF6110">
      <w:pPr>
        <w:pStyle w:val="NoSpacing"/>
        <w:rPr>
          <w:rFonts w:ascii="Times New Roman" w:hAnsi="Times New Roman"/>
          <w:bCs/>
          <w:sz w:val="24"/>
          <w:szCs w:val="24"/>
        </w:rPr>
      </w:pPr>
    </w:p>
    <w:p w14:paraId="75F1B6F9" w14:textId="77777777" w:rsidR="00BF6110" w:rsidRPr="00BF6110" w:rsidRDefault="00BF6110" w:rsidP="00BF6110">
      <w:pPr>
        <w:pStyle w:val="NoSpacing"/>
        <w:rPr>
          <w:rFonts w:ascii="Times New Roman" w:hAnsi="Times New Roman"/>
          <w:bCs/>
          <w:sz w:val="24"/>
          <w:szCs w:val="24"/>
        </w:rPr>
      </w:pPr>
      <w:r w:rsidRPr="00BF6110">
        <w:rPr>
          <w:rFonts w:ascii="Times New Roman" w:hAnsi="Times New Roman"/>
          <w:sz w:val="24"/>
          <w:szCs w:val="24"/>
        </w:rPr>
        <w:t>The Court wrote:</w:t>
      </w:r>
    </w:p>
    <w:p w14:paraId="55056F68" w14:textId="77777777" w:rsidR="00BF6110" w:rsidRPr="00BF6110" w:rsidRDefault="00BF6110" w:rsidP="00BF6110">
      <w:pPr>
        <w:pStyle w:val="NoSpacing"/>
        <w:rPr>
          <w:rFonts w:ascii="Times New Roman" w:hAnsi="Times New Roman"/>
          <w:bCs/>
          <w:sz w:val="24"/>
          <w:szCs w:val="24"/>
        </w:rPr>
      </w:pPr>
    </w:p>
    <w:p w14:paraId="391B417C" w14:textId="4C8FD9D9" w:rsidR="006634F6" w:rsidRPr="00BF6110" w:rsidRDefault="00BF6110" w:rsidP="00BF6110">
      <w:pPr>
        <w:ind w:left="720"/>
        <w:rPr>
          <w:rFonts w:ascii="Times New Roman" w:hAnsi="Times New Roman"/>
          <w:b/>
          <w:sz w:val="24"/>
          <w:szCs w:val="24"/>
        </w:rPr>
      </w:pPr>
      <w:r w:rsidRPr="00BF6110">
        <w:rPr>
          <w:rFonts w:ascii="Times New Roman" w:hAnsi="Times New Roman"/>
          <w:sz w:val="24"/>
          <w:szCs w:val="24"/>
        </w:rPr>
        <w:t xml:space="preserve">“Accordingly, because Insurer is entitled to interest on its subrogation lien, and the subrogation lien was established as of October 21, 2014, when Insurer introduced it before WCJ [Worker’s Comp Judge] Timm, WCJ Lawrence did not err by ordering Employer to pay interest on the subrogation lien from October 21, 2014.” </w:t>
      </w:r>
      <w:hyperlink r:id="rId1085" w:history="1">
        <w:r w:rsidRPr="00BF6110">
          <w:rPr>
            <w:rStyle w:val="Hyperlink"/>
            <w:rFonts w:ascii="Times New Roman" w:hAnsi="Times New Roman"/>
            <w:sz w:val="24"/>
            <w:szCs w:val="24"/>
          </w:rPr>
          <w:t>https://cases.justia.com/pennsylvania/commonwealth-court/2024-541-and-589-c-d-2022.pdf?ts=1735057731</w:t>
        </w:r>
      </w:hyperlink>
    </w:p>
    <w:p w14:paraId="3445CF49" w14:textId="77777777" w:rsidR="00922A0A" w:rsidRDefault="00922A0A" w:rsidP="00922A0A">
      <w:pPr>
        <w:pStyle w:val="NoSpacing"/>
        <w:ind w:left="720"/>
        <w:rPr>
          <w:bCs/>
        </w:rPr>
      </w:pPr>
    </w:p>
    <w:p w14:paraId="752DE9A6" w14:textId="77777777" w:rsidR="00922A0A" w:rsidRPr="00922A0A" w:rsidRDefault="00922A0A" w:rsidP="00922A0A">
      <w:pPr>
        <w:pStyle w:val="NoSpacing"/>
        <w:rPr>
          <w:rFonts w:ascii="Times New Roman" w:hAnsi="Times New Roman"/>
          <w:bCs/>
          <w:sz w:val="24"/>
          <w:szCs w:val="24"/>
        </w:rPr>
      </w:pPr>
      <w:r w:rsidRPr="00922A0A">
        <w:rPr>
          <w:rFonts w:ascii="Times New Roman" w:hAnsi="Times New Roman"/>
          <w:sz w:val="24"/>
          <w:szCs w:val="24"/>
        </w:rPr>
        <w:t>HOLDING:</w:t>
      </w:r>
    </w:p>
    <w:p w14:paraId="7D69861A" w14:textId="77777777" w:rsidR="00922A0A" w:rsidRPr="00922A0A" w:rsidRDefault="00922A0A" w:rsidP="00922A0A">
      <w:pPr>
        <w:pStyle w:val="NoSpacing"/>
        <w:rPr>
          <w:rFonts w:ascii="Times New Roman" w:hAnsi="Times New Roman"/>
          <w:bCs/>
          <w:sz w:val="24"/>
          <w:szCs w:val="24"/>
        </w:rPr>
      </w:pPr>
    </w:p>
    <w:p w14:paraId="544A9CF0" w14:textId="77777777" w:rsidR="00922A0A" w:rsidRPr="00922A0A" w:rsidRDefault="00922A0A" w:rsidP="00922A0A">
      <w:pPr>
        <w:pStyle w:val="NoSpacing"/>
        <w:ind w:left="720"/>
        <w:rPr>
          <w:rFonts w:ascii="Times New Roman" w:hAnsi="Times New Roman"/>
          <w:bCs/>
          <w:sz w:val="24"/>
          <w:szCs w:val="24"/>
        </w:rPr>
      </w:pPr>
      <w:r w:rsidRPr="00922A0A">
        <w:rPr>
          <w:rFonts w:ascii="Times New Roman" w:hAnsi="Times New Roman"/>
          <w:sz w:val="24"/>
          <w:szCs w:val="24"/>
        </w:rPr>
        <w:t>“Once this Court reversed the Board’s opinion and order, the granting of the underlying Claim Petition was reinstated; thus, the ‘entitlement to medical expenses or a lien for</w:t>
      </w:r>
    </w:p>
    <w:p w14:paraId="4D738904" w14:textId="77777777" w:rsidR="00922A0A" w:rsidRPr="00922A0A" w:rsidRDefault="00922A0A" w:rsidP="00922A0A">
      <w:pPr>
        <w:pStyle w:val="NoSpacing"/>
        <w:ind w:left="720"/>
        <w:rPr>
          <w:rFonts w:ascii="Times New Roman" w:hAnsi="Times New Roman"/>
          <w:bCs/>
          <w:sz w:val="24"/>
          <w:szCs w:val="24"/>
        </w:rPr>
      </w:pPr>
      <w:r w:rsidRPr="00922A0A">
        <w:rPr>
          <w:rFonts w:ascii="Times New Roman" w:hAnsi="Times New Roman"/>
          <w:sz w:val="24"/>
          <w:szCs w:val="24"/>
        </w:rPr>
        <w:t xml:space="preserve">medical expenses paid on [Deloatch’s] behalf’ was also reinstated…. Accordingly, Insurer did not waive its right to seek subrogation by not appealing from the Board’s December 11, </w:t>
      </w:r>
      <w:proofErr w:type="gramStart"/>
      <w:r w:rsidRPr="00922A0A">
        <w:rPr>
          <w:rFonts w:ascii="Times New Roman" w:hAnsi="Times New Roman"/>
          <w:sz w:val="24"/>
          <w:szCs w:val="24"/>
        </w:rPr>
        <w:t>2018</w:t>
      </w:r>
      <w:proofErr w:type="gramEnd"/>
      <w:r w:rsidRPr="00922A0A">
        <w:rPr>
          <w:rFonts w:ascii="Times New Roman" w:hAnsi="Times New Roman"/>
          <w:sz w:val="24"/>
          <w:szCs w:val="24"/>
        </w:rPr>
        <w:t xml:space="preserve"> opinion and order.”</w:t>
      </w:r>
    </w:p>
    <w:p w14:paraId="645C3285" w14:textId="77777777" w:rsidR="00922A0A" w:rsidRPr="00922A0A" w:rsidRDefault="00922A0A" w:rsidP="00922A0A">
      <w:pPr>
        <w:pStyle w:val="NoSpacing"/>
        <w:ind w:left="720"/>
        <w:rPr>
          <w:rFonts w:ascii="Times New Roman" w:hAnsi="Times New Roman"/>
          <w:bCs/>
          <w:sz w:val="24"/>
          <w:szCs w:val="24"/>
        </w:rPr>
      </w:pPr>
    </w:p>
    <w:p w14:paraId="400B10E0" w14:textId="77777777" w:rsidR="00922A0A" w:rsidRPr="00922A0A" w:rsidRDefault="00922A0A" w:rsidP="00922A0A">
      <w:pPr>
        <w:pStyle w:val="NoSpacing"/>
        <w:rPr>
          <w:rFonts w:ascii="Times New Roman" w:hAnsi="Times New Roman"/>
          <w:b/>
          <w:sz w:val="24"/>
          <w:szCs w:val="24"/>
        </w:rPr>
      </w:pPr>
      <w:r w:rsidRPr="00922A0A">
        <w:rPr>
          <w:rFonts w:ascii="Times New Roman" w:hAnsi="Times New Roman"/>
          <w:b/>
          <w:sz w:val="24"/>
          <w:szCs w:val="24"/>
        </w:rPr>
        <w:t xml:space="preserve">Legal Lesson Learned:  Employers continue to litigate firefighter cancer claims despite a statutory presumption. </w:t>
      </w:r>
    </w:p>
    <w:p w14:paraId="0393452F" w14:textId="77777777" w:rsidR="00922A0A" w:rsidRPr="00922A0A" w:rsidRDefault="00922A0A" w:rsidP="00922A0A">
      <w:pPr>
        <w:pStyle w:val="NoSpacing"/>
        <w:ind w:left="720"/>
        <w:rPr>
          <w:rFonts w:ascii="Times New Roman" w:hAnsi="Times New Roman"/>
          <w:bCs/>
          <w:sz w:val="24"/>
          <w:szCs w:val="24"/>
        </w:rPr>
      </w:pPr>
    </w:p>
    <w:p w14:paraId="2327851C" w14:textId="77777777" w:rsidR="009C6350" w:rsidRDefault="009C6350" w:rsidP="00EF1133">
      <w:pPr>
        <w:rPr>
          <w:rFonts w:ascii="Arial Black" w:hAnsi="Arial Black"/>
          <w:b/>
          <w:sz w:val="24"/>
          <w:szCs w:val="24"/>
        </w:rPr>
      </w:pPr>
    </w:p>
    <w:p w14:paraId="0AEEE8B9" w14:textId="67D3D261" w:rsidR="003B4DA5" w:rsidRDefault="003B4DA5" w:rsidP="00EF1133">
      <w:pPr>
        <w:rPr>
          <w:rFonts w:ascii="Arial Black" w:hAnsi="Arial Black"/>
          <w:b/>
          <w:sz w:val="24"/>
          <w:szCs w:val="24"/>
        </w:rPr>
      </w:pPr>
      <w:r>
        <w:rPr>
          <w:rFonts w:ascii="Arial Black" w:hAnsi="Arial Black"/>
          <w:b/>
          <w:sz w:val="24"/>
          <w:szCs w:val="24"/>
        </w:rPr>
        <w:t>6-14</w:t>
      </w:r>
      <w:r w:rsidR="002A0697">
        <w:rPr>
          <w:rFonts w:ascii="Arial Black" w:hAnsi="Arial Black"/>
          <w:b/>
          <w:sz w:val="24"/>
          <w:szCs w:val="24"/>
        </w:rPr>
        <w:t>6</w:t>
      </w:r>
    </w:p>
    <w:p w14:paraId="20E82761" w14:textId="77777777" w:rsidR="002972FF" w:rsidRPr="00CB1548" w:rsidRDefault="002972FF" w:rsidP="002972FF">
      <w:pPr>
        <w:pStyle w:val="NoSpacing"/>
        <w:rPr>
          <w:rFonts w:ascii="Arial Black" w:hAnsi="Arial Black"/>
          <w:b/>
          <w:sz w:val="28"/>
          <w:szCs w:val="28"/>
        </w:rPr>
      </w:pPr>
      <w:r>
        <w:rPr>
          <w:rFonts w:ascii="Arial Black" w:hAnsi="Arial Black"/>
          <w:b/>
          <w:sz w:val="28"/>
          <w:szCs w:val="28"/>
        </w:rPr>
        <w:t xml:space="preserve">IL: PROSTATE CANCER – NO WORKER’S COMP – FAMILY HISTORY – CONFLICTING EXPERTS / SCIENTIFIC STUDIES </w:t>
      </w:r>
    </w:p>
    <w:p w14:paraId="053B73B5" w14:textId="77777777" w:rsidR="002972FF" w:rsidRDefault="002972FF" w:rsidP="002972FF">
      <w:pPr>
        <w:pStyle w:val="NoSpacing"/>
        <w:ind w:firstLine="720"/>
        <w:rPr>
          <w:b/>
        </w:rPr>
      </w:pPr>
    </w:p>
    <w:p w14:paraId="09B1789E" w14:textId="54D29476" w:rsidR="003B4DA5" w:rsidRPr="00C1151D" w:rsidRDefault="002972FF" w:rsidP="002972FF">
      <w:pPr>
        <w:rPr>
          <w:rStyle w:val="Hyperlink"/>
          <w:rFonts w:ascii="Times New Roman" w:hAnsi="Times New Roman"/>
          <w:sz w:val="24"/>
          <w:szCs w:val="24"/>
        </w:rPr>
      </w:pPr>
      <w:r w:rsidRPr="00C1151D">
        <w:rPr>
          <w:rFonts w:ascii="Times New Roman" w:hAnsi="Times New Roman"/>
          <w:sz w:val="24"/>
          <w:szCs w:val="24"/>
        </w:rPr>
        <w:t xml:space="preserve">On Nov. 22, 2024, in </w:t>
      </w:r>
      <w:r w:rsidRPr="00C1151D">
        <w:rPr>
          <w:rFonts w:ascii="Times New Roman" w:hAnsi="Times New Roman"/>
          <w:sz w:val="24"/>
          <w:szCs w:val="24"/>
          <w:u w:val="single"/>
        </w:rPr>
        <w:t>Thomas Mangiameli v. The Illinois Workers’ Compensation Commission, et al. (Village of Hoffman Estates)</w:t>
      </w:r>
      <w:r w:rsidRPr="00C1151D">
        <w:rPr>
          <w:rFonts w:ascii="Times New Roman" w:hAnsi="Times New Roman"/>
          <w:sz w:val="24"/>
          <w:szCs w:val="24"/>
        </w:rPr>
        <w:t xml:space="preserve">, the Appellate Court of Illinois, First District, Worker’s Compensation Di vision (held 2 to 1, unpublished decision) held that the retired firefighter was properly denied worker’s comp. for his prostate cancer (cancer detected in 2017; he retired in 2018).  The Court wrote: “We agree with the dissent that the Act affords special protections to  firefighters ‘because Illinois values the vital services provided by them and because it is understood that, due to the nature of their work, they come into contact with carcinogens, chemicals, pathogens, and other substances which are detrimental to their health and to which the ordinary person is not regularly exposed.’ We note, however, that </w:t>
      </w:r>
      <w:proofErr w:type="gramStart"/>
      <w:r w:rsidRPr="00C1151D">
        <w:rPr>
          <w:rFonts w:ascii="Times New Roman" w:hAnsi="Times New Roman"/>
          <w:sz w:val="24"/>
          <w:szCs w:val="24"/>
        </w:rPr>
        <w:t>the</w:t>
      </w:r>
      <w:r w:rsidRPr="00C1151D">
        <w:rPr>
          <w:rFonts w:ascii="Times New Roman" w:hAnsi="Times New Roman"/>
          <w:bCs/>
          <w:sz w:val="24"/>
          <w:szCs w:val="24"/>
        </w:rPr>
        <w:t xml:space="preserve"> </w:t>
      </w:r>
      <w:r w:rsidRPr="00C1151D">
        <w:rPr>
          <w:rFonts w:ascii="Times New Roman" w:hAnsi="Times New Roman"/>
          <w:sz w:val="24"/>
          <w:szCs w:val="24"/>
        </w:rPr>
        <w:t>scientific</w:t>
      </w:r>
      <w:proofErr w:type="gramEnd"/>
      <w:r w:rsidRPr="00C1151D">
        <w:rPr>
          <w:rFonts w:ascii="Times New Roman" w:hAnsi="Times New Roman"/>
          <w:sz w:val="24"/>
          <w:szCs w:val="24"/>
        </w:rPr>
        <w:t xml:space="preserve"> studies, </w:t>
      </w:r>
      <w:proofErr w:type="gramStart"/>
      <w:r w:rsidRPr="00C1151D">
        <w:rPr>
          <w:rFonts w:ascii="Times New Roman" w:hAnsi="Times New Roman"/>
          <w:sz w:val="24"/>
          <w:szCs w:val="24"/>
        </w:rPr>
        <w:t>at this point in time</w:t>
      </w:r>
      <w:proofErr w:type="gramEnd"/>
      <w:r w:rsidRPr="00C1151D">
        <w:rPr>
          <w:rFonts w:ascii="Times New Roman" w:hAnsi="Times New Roman"/>
          <w:sz w:val="24"/>
          <w:szCs w:val="24"/>
        </w:rPr>
        <w:t xml:space="preserve">, regarding the correlation between the development of prostate cancer and the occupation of a firefighter are evolving. We </w:t>
      </w:r>
      <w:r w:rsidRPr="00C1151D">
        <w:rPr>
          <w:rFonts w:ascii="Times New Roman" w:hAnsi="Times New Roman"/>
          <w:sz w:val="24"/>
          <w:szCs w:val="24"/>
        </w:rPr>
        <w:lastRenderedPageBreak/>
        <w:t xml:space="preserve">reiterate that, in the present case, claimant had a family history of prostate cancer which doubled his risk for developing the cancer. Under these circumstances, we will not usurp the function of the Commission to weigh the evidence and make credibility determinations.” </w:t>
      </w:r>
      <w:hyperlink r:id="rId1086" w:history="1">
        <w:r w:rsidRPr="00C1151D">
          <w:rPr>
            <w:rStyle w:val="Hyperlink"/>
            <w:rFonts w:ascii="Times New Roman" w:hAnsi="Times New Roman"/>
            <w:sz w:val="24"/>
            <w:szCs w:val="24"/>
          </w:rPr>
          <w:t>https://ilcourtsaudio.blob.core.windows.net/antilles-resources/resources/19fc956b-c59f-4d15-932a-20de8f3f1feb/Mangiameli%20v.%20Illinois%20Workers%27%20Compensation%20Comm%27n,%202024%20IL%20App%20(1st)%20231397WC-U.pdf</w:t>
        </w:r>
      </w:hyperlink>
    </w:p>
    <w:p w14:paraId="478E3430" w14:textId="4AF28117" w:rsidR="00C1151D" w:rsidRPr="00C1151D" w:rsidRDefault="00C1151D" w:rsidP="00BE6A72">
      <w:pPr>
        <w:pStyle w:val="NoSpacing"/>
        <w:rPr>
          <w:rFonts w:ascii="Times New Roman" w:hAnsi="Times New Roman"/>
          <w:bCs/>
          <w:sz w:val="24"/>
          <w:szCs w:val="24"/>
        </w:rPr>
      </w:pPr>
      <w:r w:rsidRPr="00C1151D">
        <w:rPr>
          <w:rFonts w:ascii="Times New Roman" w:hAnsi="Times New Roman"/>
          <w:bCs/>
          <w:sz w:val="24"/>
          <w:szCs w:val="24"/>
        </w:rPr>
        <w:t>Dissent.</w:t>
      </w:r>
    </w:p>
    <w:p w14:paraId="604EBC82" w14:textId="77777777" w:rsidR="00C1151D" w:rsidRPr="00C1151D" w:rsidRDefault="00C1151D" w:rsidP="00BE6A72">
      <w:pPr>
        <w:pStyle w:val="NoSpacing"/>
        <w:rPr>
          <w:rFonts w:ascii="Times New Roman" w:hAnsi="Times New Roman"/>
          <w:b/>
          <w:sz w:val="24"/>
          <w:szCs w:val="24"/>
        </w:rPr>
      </w:pPr>
    </w:p>
    <w:p w14:paraId="384EABBF" w14:textId="3574E3AA" w:rsidR="00BE6A72" w:rsidRPr="00C1151D" w:rsidRDefault="00BE6A72" w:rsidP="00BE6A72">
      <w:pPr>
        <w:pStyle w:val="NoSpacing"/>
        <w:rPr>
          <w:rFonts w:ascii="Times New Roman" w:hAnsi="Times New Roman"/>
          <w:b/>
          <w:sz w:val="24"/>
          <w:szCs w:val="24"/>
        </w:rPr>
      </w:pPr>
      <w:r w:rsidRPr="00C1151D">
        <w:rPr>
          <w:rFonts w:ascii="Times New Roman" w:hAnsi="Times New Roman"/>
          <w:b/>
          <w:sz w:val="24"/>
          <w:szCs w:val="24"/>
        </w:rPr>
        <w:t xml:space="preserve">Legal Lesson Learned: Conflicting experts and scientific studies; court won’t overturn Commission. </w:t>
      </w:r>
    </w:p>
    <w:p w14:paraId="2CFB1B2F" w14:textId="77777777" w:rsidR="00BE6A72" w:rsidRPr="00C1151D" w:rsidRDefault="00BE6A72" w:rsidP="002972FF">
      <w:pPr>
        <w:rPr>
          <w:rFonts w:ascii="Times New Roman" w:hAnsi="Times New Roman"/>
          <w:b/>
          <w:sz w:val="24"/>
          <w:szCs w:val="24"/>
        </w:rPr>
      </w:pPr>
    </w:p>
    <w:p w14:paraId="08AB4E82" w14:textId="77777777" w:rsidR="003B4DA5" w:rsidRDefault="003B4DA5" w:rsidP="00EF1133">
      <w:pPr>
        <w:rPr>
          <w:rFonts w:ascii="Arial Black" w:hAnsi="Arial Black"/>
          <w:b/>
          <w:sz w:val="24"/>
          <w:szCs w:val="24"/>
        </w:rPr>
      </w:pPr>
    </w:p>
    <w:p w14:paraId="78BDDF17" w14:textId="4EC4E100" w:rsidR="009C6350" w:rsidRDefault="009C6350" w:rsidP="00EF1133">
      <w:pPr>
        <w:rPr>
          <w:rFonts w:ascii="Arial Black" w:hAnsi="Arial Black"/>
          <w:b/>
          <w:sz w:val="24"/>
          <w:szCs w:val="24"/>
        </w:rPr>
      </w:pPr>
      <w:r>
        <w:rPr>
          <w:rFonts w:ascii="Arial Black" w:hAnsi="Arial Black"/>
          <w:b/>
          <w:sz w:val="24"/>
          <w:szCs w:val="24"/>
        </w:rPr>
        <w:t>6-14</w:t>
      </w:r>
      <w:r w:rsidR="002A0697">
        <w:rPr>
          <w:rFonts w:ascii="Arial Black" w:hAnsi="Arial Black"/>
          <w:b/>
          <w:sz w:val="24"/>
          <w:szCs w:val="24"/>
        </w:rPr>
        <w:t>5</w:t>
      </w:r>
    </w:p>
    <w:p w14:paraId="18C0D0F9" w14:textId="77777777" w:rsidR="00A25CDF" w:rsidRDefault="00A25CDF" w:rsidP="00A25CDF">
      <w:pPr>
        <w:pStyle w:val="NoSpacing"/>
        <w:rPr>
          <w:b/>
        </w:rPr>
      </w:pPr>
      <w:r>
        <w:rPr>
          <w:rFonts w:ascii="Arial Black" w:hAnsi="Arial Black"/>
          <w:b/>
          <w:sz w:val="28"/>
          <w:szCs w:val="28"/>
        </w:rPr>
        <w:t>PA: LEUKEMIA – VOL. FF GETS WORKERS COMP – DIESEL EXHAUST / BENZENE - EVEN IF FEW INTERIOR FIRES</w:t>
      </w:r>
    </w:p>
    <w:p w14:paraId="381D8D91" w14:textId="77777777" w:rsidR="00A25CDF" w:rsidRDefault="00A25CDF" w:rsidP="00A25CDF">
      <w:pPr>
        <w:pStyle w:val="NoSpacing"/>
        <w:ind w:firstLine="720"/>
        <w:rPr>
          <w:b/>
        </w:rPr>
      </w:pPr>
    </w:p>
    <w:p w14:paraId="60CCB47D" w14:textId="77777777" w:rsidR="00A25CDF" w:rsidRPr="003B4DA5" w:rsidRDefault="00A25CDF" w:rsidP="00A25CDF">
      <w:pPr>
        <w:pStyle w:val="NoSpacing"/>
        <w:rPr>
          <w:rFonts w:ascii="Times New Roman" w:hAnsi="Times New Roman"/>
          <w:sz w:val="24"/>
          <w:szCs w:val="24"/>
        </w:rPr>
      </w:pPr>
      <w:r w:rsidRPr="003B4DA5">
        <w:rPr>
          <w:rFonts w:ascii="Times New Roman" w:hAnsi="Times New Roman"/>
          <w:sz w:val="24"/>
          <w:szCs w:val="24"/>
        </w:rPr>
        <w:t xml:space="preserve">On Nov. 19, 2024, in </w:t>
      </w:r>
      <w:r w:rsidRPr="003B4DA5">
        <w:rPr>
          <w:rFonts w:ascii="Times New Roman" w:hAnsi="Times New Roman"/>
          <w:sz w:val="24"/>
          <w:szCs w:val="24"/>
          <w:u w:val="single"/>
        </w:rPr>
        <w:t>Borough of Hollidaysburg v. Paul Detwiler (Workers’ Compensation Appeal Board</w:t>
      </w:r>
      <w:r w:rsidRPr="003B4DA5">
        <w:rPr>
          <w:rFonts w:ascii="Times New Roman" w:hAnsi="Times New Roman"/>
          <w:sz w:val="24"/>
          <w:szCs w:val="24"/>
        </w:rPr>
        <w:t>), Commonwealth Court of Pennsylvania held (2 to 1) that the firefighter was properly awarded worker’s comp.  The Court wrote: “The second prong of 301(f)’s test for the presumption requires a claimant to ‘establish a direct exposure to a carcinogen referred to in [S]</w:t>
      </w:r>
      <w:proofErr w:type="spellStart"/>
      <w:r w:rsidRPr="003B4DA5">
        <w:rPr>
          <w:rFonts w:ascii="Times New Roman" w:hAnsi="Times New Roman"/>
          <w:sz w:val="24"/>
          <w:szCs w:val="24"/>
        </w:rPr>
        <w:t>ection</w:t>
      </w:r>
      <w:proofErr w:type="spellEnd"/>
      <w:r w:rsidRPr="003B4DA5">
        <w:rPr>
          <w:rFonts w:ascii="Times New Roman" w:hAnsi="Times New Roman"/>
          <w:sz w:val="24"/>
          <w:szCs w:val="24"/>
        </w:rPr>
        <w:t xml:space="preserve"> 108(r) relating to cancer by a firefighter.’ The relevant carcinogen in this case is benzene.”</w:t>
      </w:r>
    </w:p>
    <w:p w14:paraId="2834FDD2" w14:textId="77777777" w:rsidR="00A25CDF" w:rsidRPr="003B4DA5" w:rsidRDefault="00A25CDF" w:rsidP="00A25CDF">
      <w:pPr>
        <w:pStyle w:val="NoSpacing"/>
        <w:rPr>
          <w:rFonts w:ascii="Times New Roman" w:hAnsi="Times New Roman"/>
          <w:bCs/>
          <w:sz w:val="24"/>
          <w:szCs w:val="24"/>
        </w:rPr>
      </w:pPr>
      <w:hyperlink r:id="rId1087" w:history="1">
        <w:r w:rsidRPr="003B4DA5">
          <w:rPr>
            <w:rStyle w:val="Hyperlink"/>
            <w:rFonts w:ascii="Times New Roman" w:hAnsi="Times New Roman"/>
            <w:sz w:val="24"/>
            <w:szCs w:val="24"/>
          </w:rPr>
          <w:t>https://cases.justia.com/pennsylvania/commonwealth-court/2024-739-c-d-2023.pdf?ts=1732034168</w:t>
        </w:r>
      </w:hyperlink>
      <w:r w:rsidRPr="003B4DA5">
        <w:rPr>
          <w:rFonts w:ascii="Times New Roman" w:hAnsi="Times New Roman"/>
          <w:sz w:val="24"/>
          <w:szCs w:val="24"/>
        </w:rPr>
        <w:t xml:space="preserve"> </w:t>
      </w:r>
    </w:p>
    <w:p w14:paraId="6F3AF292" w14:textId="77777777" w:rsidR="003B4DA5" w:rsidRDefault="003B4DA5" w:rsidP="00EF1133">
      <w:pPr>
        <w:rPr>
          <w:rFonts w:ascii="Times New Roman" w:hAnsi="Times New Roman"/>
          <w:bCs/>
          <w:sz w:val="24"/>
          <w:szCs w:val="24"/>
        </w:rPr>
      </w:pPr>
    </w:p>
    <w:p w14:paraId="3345F1E2" w14:textId="3C85AC97" w:rsidR="003B4DA5" w:rsidRPr="003B4DA5" w:rsidRDefault="003B4DA5" w:rsidP="00EF1133">
      <w:pPr>
        <w:rPr>
          <w:rFonts w:ascii="Times New Roman" w:hAnsi="Times New Roman"/>
          <w:bCs/>
          <w:sz w:val="24"/>
          <w:szCs w:val="24"/>
        </w:rPr>
      </w:pPr>
      <w:r w:rsidRPr="003B4DA5">
        <w:rPr>
          <w:rFonts w:ascii="Times New Roman" w:hAnsi="Times New Roman"/>
          <w:bCs/>
          <w:sz w:val="24"/>
          <w:szCs w:val="24"/>
        </w:rPr>
        <w:t>Dissent</w:t>
      </w:r>
    </w:p>
    <w:p w14:paraId="382EF0C8" w14:textId="77777777" w:rsidR="003B4DA5" w:rsidRPr="003B4DA5" w:rsidRDefault="003B4DA5" w:rsidP="003B4DA5">
      <w:pPr>
        <w:pStyle w:val="NoSpacing"/>
        <w:rPr>
          <w:rFonts w:ascii="Times New Roman" w:hAnsi="Times New Roman"/>
          <w:b/>
          <w:sz w:val="24"/>
          <w:szCs w:val="24"/>
        </w:rPr>
      </w:pPr>
      <w:r w:rsidRPr="003B4DA5">
        <w:rPr>
          <w:rFonts w:ascii="Times New Roman" w:hAnsi="Times New Roman"/>
          <w:b/>
          <w:sz w:val="24"/>
          <w:szCs w:val="24"/>
        </w:rPr>
        <w:t xml:space="preserve">Legal Lesson Learned: With the state’s statutory presumption, there is no requirement that the firefighter prove he had extensive interior firefighting experience. </w:t>
      </w:r>
    </w:p>
    <w:p w14:paraId="451B022A" w14:textId="77777777" w:rsidR="003B4DA5" w:rsidRDefault="003B4DA5" w:rsidP="00EF1133">
      <w:pPr>
        <w:rPr>
          <w:rFonts w:ascii="Arial Black" w:hAnsi="Arial Black"/>
          <w:b/>
          <w:sz w:val="24"/>
          <w:szCs w:val="24"/>
        </w:rPr>
      </w:pPr>
    </w:p>
    <w:p w14:paraId="0AABA937" w14:textId="77777777" w:rsidR="009C6350" w:rsidRDefault="009C6350" w:rsidP="00EF1133">
      <w:pPr>
        <w:rPr>
          <w:rFonts w:ascii="Arial Black" w:hAnsi="Arial Black"/>
          <w:b/>
          <w:sz w:val="24"/>
          <w:szCs w:val="24"/>
        </w:rPr>
      </w:pPr>
    </w:p>
    <w:p w14:paraId="22FE6C5D" w14:textId="16C899D8" w:rsidR="009C2906" w:rsidRDefault="009C2906" w:rsidP="00EF1133">
      <w:pPr>
        <w:rPr>
          <w:rFonts w:ascii="Arial Black" w:hAnsi="Arial Black"/>
          <w:b/>
          <w:sz w:val="24"/>
          <w:szCs w:val="24"/>
        </w:rPr>
      </w:pPr>
      <w:r>
        <w:rPr>
          <w:rFonts w:ascii="Arial Black" w:hAnsi="Arial Black"/>
          <w:b/>
          <w:sz w:val="24"/>
          <w:szCs w:val="24"/>
        </w:rPr>
        <w:t>6-14</w:t>
      </w:r>
      <w:r w:rsidR="002A0697">
        <w:rPr>
          <w:rFonts w:ascii="Arial Black" w:hAnsi="Arial Black"/>
          <w:b/>
          <w:sz w:val="24"/>
          <w:szCs w:val="24"/>
        </w:rPr>
        <w:t>4</w:t>
      </w:r>
    </w:p>
    <w:p w14:paraId="6F169179" w14:textId="77777777" w:rsidR="00840283" w:rsidRPr="009E40D5" w:rsidRDefault="00840283" w:rsidP="00840283">
      <w:pPr>
        <w:pStyle w:val="NoSpacing"/>
        <w:rPr>
          <w:rFonts w:ascii="Arial Black" w:hAnsi="Arial Black"/>
          <w:sz w:val="28"/>
          <w:szCs w:val="28"/>
        </w:rPr>
      </w:pPr>
      <w:r>
        <w:rPr>
          <w:rFonts w:ascii="Arial Black" w:hAnsi="Arial Black"/>
          <w:sz w:val="28"/>
          <w:szCs w:val="28"/>
        </w:rPr>
        <w:t xml:space="preserve">IL:  ON-DUTY PENSION - 2 ANKLE INJURIES – NEVER FULLY RECOVERED / DIDN’T HIDE ALSO FARMER – BOARD REV. </w:t>
      </w:r>
    </w:p>
    <w:p w14:paraId="4FD7D00F" w14:textId="77777777" w:rsidR="00840283" w:rsidRDefault="00840283" w:rsidP="00840283">
      <w:pPr>
        <w:pStyle w:val="NoSpacing"/>
      </w:pPr>
    </w:p>
    <w:p w14:paraId="2555A817" w14:textId="77777777" w:rsidR="00840283" w:rsidRPr="00456DFA" w:rsidRDefault="00840283" w:rsidP="00840283">
      <w:pPr>
        <w:pStyle w:val="NoSpacing"/>
        <w:rPr>
          <w:rFonts w:ascii="Times New Roman" w:hAnsi="Times New Roman"/>
          <w:sz w:val="24"/>
          <w:szCs w:val="24"/>
        </w:rPr>
      </w:pPr>
      <w:r w:rsidRPr="00456DFA">
        <w:rPr>
          <w:rFonts w:ascii="Times New Roman" w:hAnsi="Times New Roman"/>
          <w:sz w:val="24"/>
          <w:szCs w:val="24"/>
        </w:rPr>
        <w:t xml:space="preserve">On Nov. 15, 2024, in </w:t>
      </w:r>
      <w:r w:rsidRPr="00456DFA">
        <w:rPr>
          <w:rFonts w:ascii="Times New Roman" w:hAnsi="Times New Roman"/>
          <w:sz w:val="24"/>
          <w:szCs w:val="24"/>
          <w:u w:val="single"/>
        </w:rPr>
        <w:t>Timothy R. Barz v. The Village of Hazel Crest Firefighters Pension Fund, et al</w:t>
      </w:r>
      <w:r w:rsidRPr="00456DFA">
        <w:rPr>
          <w:rFonts w:ascii="Times New Roman" w:hAnsi="Times New Roman"/>
          <w:sz w:val="24"/>
          <w:szCs w:val="24"/>
        </w:rPr>
        <w:t xml:space="preserve">., the Appellate Courts of Illinois, First District held (3 to 0) that trail court judge properly overruled the Pension Board, which had only granted him a non-duty disability pension of 50% of his salary.  The Court wrote: “It is clear to us that the Board denied Barz an on-duty pension because it thought he lied to the medical treaters and evaluators about his farming operation by not disclosing it. Barz testified he mentioned it, and it is clear from the medical records and surveillance videos that at least some of the medical providers knew he was walking on uneven surfaces at home, working in his yard, operating equipment, and keeping active overall. No one testified Barz lied or concealed anything.” </w:t>
      </w:r>
      <w:hyperlink r:id="rId1088" w:history="1">
        <w:r w:rsidRPr="00456DFA">
          <w:rPr>
            <w:rStyle w:val="Hyperlink"/>
            <w:rFonts w:ascii="Times New Roman" w:hAnsi="Times New Roman"/>
            <w:sz w:val="24"/>
            <w:szCs w:val="24"/>
          </w:rPr>
          <w:t>https://ilcourtsaudio.blob.core.windows.net/antilles-resources/resources/cb295fe3-77b3-494e-ba2f-</w:t>
        </w:r>
        <w:r w:rsidRPr="00456DFA">
          <w:rPr>
            <w:rStyle w:val="Hyperlink"/>
            <w:rFonts w:ascii="Times New Roman" w:hAnsi="Times New Roman"/>
            <w:sz w:val="24"/>
            <w:szCs w:val="24"/>
          </w:rPr>
          <w:lastRenderedPageBreak/>
          <w:t>aabcd601915c/Barz%20v.%20Village%20of%20Hazel%20Crest%20Firefighters%20Pension%20Fund,%202024%20IL%20App%20(1st)%20240137-U.pdf</w:t>
        </w:r>
      </w:hyperlink>
      <w:r w:rsidRPr="00456DFA">
        <w:rPr>
          <w:rFonts w:ascii="Times New Roman" w:hAnsi="Times New Roman"/>
          <w:sz w:val="24"/>
          <w:szCs w:val="24"/>
        </w:rPr>
        <w:t xml:space="preserve"> </w:t>
      </w:r>
    </w:p>
    <w:p w14:paraId="621E4F9F" w14:textId="77777777" w:rsidR="00840283" w:rsidRPr="00456DFA" w:rsidRDefault="00840283" w:rsidP="00840283">
      <w:pPr>
        <w:pStyle w:val="NoSpacing"/>
        <w:rPr>
          <w:rFonts w:ascii="Times New Roman" w:hAnsi="Times New Roman"/>
          <w:sz w:val="24"/>
          <w:szCs w:val="24"/>
        </w:rPr>
      </w:pPr>
    </w:p>
    <w:p w14:paraId="6B89879F" w14:textId="77777777" w:rsidR="00456DFA" w:rsidRPr="00456DFA" w:rsidRDefault="00456DFA" w:rsidP="00456DFA">
      <w:pPr>
        <w:pStyle w:val="NoSpacing"/>
        <w:rPr>
          <w:rFonts w:ascii="Times New Roman" w:hAnsi="Times New Roman"/>
          <w:b/>
          <w:sz w:val="24"/>
          <w:szCs w:val="24"/>
        </w:rPr>
      </w:pPr>
      <w:r w:rsidRPr="00456DFA">
        <w:rPr>
          <w:rFonts w:ascii="Times New Roman" w:hAnsi="Times New Roman"/>
          <w:b/>
          <w:sz w:val="24"/>
          <w:szCs w:val="24"/>
        </w:rPr>
        <w:t>Legal Lesson Learned:   Board reversed – “no competent evidence supports the Board’s findings that Barz fully recovered following his second 2018 injury.”</w:t>
      </w:r>
    </w:p>
    <w:p w14:paraId="4E4C1E4B" w14:textId="77777777" w:rsidR="009C2906" w:rsidRPr="00456DFA" w:rsidRDefault="009C2906" w:rsidP="00EF1133">
      <w:pPr>
        <w:rPr>
          <w:rFonts w:ascii="Times New Roman" w:hAnsi="Times New Roman"/>
          <w:b/>
          <w:sz w:val="24"/>
          <w:szCs w:val="24"/>
        </w:rPr>
      </w:pPr>
    </w:p>
    <w:p w14:paraId="463BF82F" w14:textId="2D718893" w:rsidR="005D74B5" w:rsidRDefault="00066F05" w:rsidP="00EF1133">
      <w:pPr>
        <w:rPr>
          <w:rFonts w:ascii="Arial Black" w:hAnsi="Arial Black"/>
          <w:b/>
          <w:sz w:val="24"/>
          <w:szCs w:val="24"/>
        </w:rPr>
      </w:pPr>
      <w:r>
        <w:rPr>
          <w:rFonts w:ascii="Arial Black" w:hAnsi="Arial Black"/>
          <w:b/>
          <w:sz w:val="24"/>
          <w:szCs w:val="24"/>
        </w:rPr>
        <w:t>6-14</w:t>
      </w:r>
      <w:r w:rsidR="002A0697">
        <w:rPr>
          <w:rFonts w:ascii="Arial Black" w:hAnsi="Arial Black"/>
          <w:b/>
          <w:sz w:val="24"/>
          <w:szCs w:val="24"/>
        </w:rPr>
        <w:t>3</w:t>
      </w:r>
    </w:p>
    <w:p w14:paraId="4CB0663C" w14:textId="0772E0B1" w:rsidR="00311857" w:rsidRPr="004E2ADB" w:rsidRDefault="00311857" w:rsidP="00311857">
      <w:pPr>
        <w:pStyle w:val="NoSpacing"/>
        <w:rPr>
          <w:rFonts w:ascii="Arial Black" w:hAnsi="Arial Black"/>
          <w:b/>
          <w:bCs/>
          <w:sz w:val="28"/>
          <w:szCs w:val="28"/>
        </w:rPr>
      </w:pPr>
      <w:r w:rsidRPr="004E2ADB">
        <w:rPr>
          <w:rFonts w:ascii="Arial Black" w:hAnsi="Arial Black"/>
          <w:b/>
          <w:bCs/>
          <w:sz w:val="28"/>
          <w:szCs w:val="28"/>
        </w:rPr>
        <w:t xml:space="preserve">VA: AGE DISCRIMINATION NOT PROVEN – BC AGE </w:t>
      </w:r>
      <w:r w:rsidR="00D704A4" w:rsidRPr="004E2ADB">
        <w:rPr>
          <w:rFonts w:ascii="Arial Black" w:hAnsi="Arial Black"/>
          <w:b/>
          <w:bCs/>
          <w:sz w:val="28"/>
          <w:szCs w:val="28"/>
        </w:rPr>
        <w:t>58</w:t>
      </w:r>
      <w:r w:rsidRPr="004E2ADB">
        <w:rPr>
          <w:rFonts w:ascii="Arial Black" w:hAnsi="Arial Black"/>
          <w:b/>
          <w:bCs/>
          <w:sz w:val="28"/>
          <w:szCs w:val="28"/>
        </w:rPr>
        <w:t xml:space="preserve"> – FIRED FOR UNAUTHORIZED PURCHASE OF BRUSH TRUCK </w:t>
      </w:r>
    </w:p>
    <w:p w14:paraId="264EECAE" w14:textId="77777777" w:rsidR="00311857" w:rsidRPr="00FC6D48" w:rsidRDefault="00311857" w:rsidP="00311857">
      <w:pPr>
        <w:pStyle w:val="NoSpacing"/>
        <w:rPr>
          <w:rFonts w:ascii="Times New Roman" w:hAnsi="Times New Roman"/>
          <w:sz w:val="24"/>
          <w:szCs w:val="24"/>
        </w:rPr>
      </w:pPr>
    </w:p>
    <w:p w14:paraId="3CDAA3BB" w14:textId="77777777" w:rsidR="00311857" w:rsidRPr="00FC6D48" w:rsidRDefault="00311857" w:rsidP="00311857">
      <w:pPr>
        <w:pStyle w:val="NoSpacing"/>
        <w:rPr>
          <w:rFonts w:ascii="Times New Roman" w:hAnsi="Times New Roman"/>
          <w:sz w:val="24"/>
          <w:szCs w:val="24"/>
        </w:rPr>
      </w:pPr>
      <w:r w:rsidRPr="00FC6D48">
        <w:rPr>
          <w:rFonts w:ascii="Times New Roman" w:hAnsi="Times New Roman"/>
          <w:sz w:val="24"/>
          <w:szCs w:val="24"/>
        </w:rPr>
        <w:t xml:space="preserve">On Oct. 25, 2024, in </w:t>
      </w:r>
      <w:r w:rsidRPr="00FC6D48">
        <w:rPr>
          <w:rFonts w:ascii="Times New Roman" w:hAnsi="Times New Roman"/>
          <w:sz w:val="24"/>
          <w:szCs w:val="24"/>
          <w:u w:val="single"/>
        </w:rPr>
        <w:t>Clay O’Neal Fitzgerald v. Botetourt County, Virginia</w:t>
      </w:r>
      <w:r w:rsidRPr="00FC6D48">
        <w:rPr>
          <w:rFonts w:ascii="Times New Roman" w:hAnsi="Times New Roman"/>
          <w:sz w:val="24"/>
          <w:szCs w:val="24"/>
        </w:rPr>
        <w:t xml:space="preserve">, the U.S. Court of Appeals for the Fourth Circuit (Richmond, VA) held (3 to 0; unpublished opinion): “Plaintiff-appellant Clay O’Neal Fitzgerald alleges that his former employer, Botetourt County, Virginia, terminated him in retaliation for his complaints about age discrimination. The district court granted Botetourt County’s motion for summary judgment, finding that Fitzgerald failed to produce sufficient evidence under the McDonnell Douglas framework to show that the County’s proffered justification for terminating him was pretextual. Because we agree that no reasonable jury could conclude that the County’s legitimate non-retaliatory reason for Fitzgerald’s termination was mere pretext, we affirm. *** Per the County, Fitzgerald neither had ‘authority to make [the purchase] [$37,500 Ford pickup truck for neighboring volunteer fire department] nor did [he] seek or receive appropriate authorization.” </w:t>
      </w:r>
      <w:hyperlink r:id="rId1089" w:history="1">
        <w:r w:rsidRPr="00FC6D48">
          <w:rPr>
            <w:rStyle w:val="Hyperlink"/>
            <w:rFonts w:ascii="Times New Roman" w:hAnsi="Times New Roman"/>
            <w:sz w:val="24"/>
            <w:szCs w:val="24"/>
          </w:rPr>
          <w:t>https://www.ca4.uscourts.gov/opinions/221081.U.pdf</w:t>
        </w:r>
      </w:hyperlink>
      <w:r w:rsidRPr="00FC6D48">
        <w:rPr>
          <w:rFonts w:ascii="Times New Roman" w:hAnsi="Times New Roman"/>
          <w:sz w:val="24"/>
          <w:szCs w:val="24"/>
        </w:rPr>
        <w:t xml:space="preserve"> </w:t>
      </w:r>
    </w:p>
    <w:p w14:paraId="10A0BE1D" w14:textId="77777777" w:rsidR="00FC6D48" w:rsidRPr="00FC6D48" w:rsidRDefault="00FC6D48" w:rsidP="00FC6D48">
      <w:pPr>
        <w:pStyle w:val="NoSpacing"/>
        <w:rPr>
          <w:rFonts w:ascii="Times New Roman" w:hAnsi="Times New Roman"/>
          <w:b/>
          <w:sz w:val="24"/>
          <w:szCs w:val="24"/>
        </w:rPr>
      </w:pPr>
    </w:p>
    <w:p w14:paraId="02D47389" w14:textId="67AA703D" w:rsidR="00FC6D48" w:rsidRPr="00FC6D48" w:rsidRDefault="00FC6D48" w:rsidP="00FC6D48">
      <w:pPr>
        <w:pStyle w:val="NoSpacing"/>
        <w:rPr>
          <w:rFonts w:ascii="Times New Roman" w:hAnsi="Times New Roman"/>
          <w:b/>
          <w:bCs/>
          <w:sz w:val="24"/>
          <w:szCs w:val="24"/>
        </w:rPr>
      </w:pPr>
      <w:r w:rsidRPr="00FC6D48">
        <w:rPr>
          <w:rFonts w:ascii="Times New Roman" w:hAnsi="Times New Roman"/>
          <w:b/>
          <w:sz w:val="24"/>
          <w:szCs w:val="24"/>
        </w:rPr>
        <w:t>Legal Lesson Learned: County terminate</w:t>
      </w:r>
      <w:r w:rsidRPr="00FC6D48">
        <w:rPr>
          <w:rFonts w:ascii="Times New Roman" w:hAnsi="Times New Roman"/>
          <w:b/>
          <w:bCs/>
          <w:sz w:val="24"/>
          <w:szCs w:val="24"/>
        </w:rPr>
        <w:t xml:space="preserve">d </w:t>
      </w:r>
      <w:r w:rsidRPr="00FC6D48">
        <w:rPr>
          <w:rFonts w:ascii="Times New Roman" w:hAnsi="Times New Roman"/>
          <w:b/>
          <w:sz w:val="24"/>
          <w:szCs w:val="24"/>
        </w:rPr>
        <w:t>for unauthorized purchase of truck</w:t>
      </w:r>
      <w:r w:rsidRPr="00FC6D48">
        <w:rPr>
          <w:rFonts w:ascii="Times New Roman" w:hAnsi="Times New Roman"/>
          <w:b/>
          <w:bCs/>
          <w:sz w:val="24"/>
          <w:szCs w:val="24"/>
        </w:rPr>
        <w:t xml:space="preserve">; not age of Battalion Chief. </w:t>
      </w:r>
    </w:p>
    <w:p w14:paraId="03553F8A" w14:textId="77777777" w:rsidR="00FC6D48" w:rsidRDefault="00FC6D48" w:rsidP="006C4AD8">
      <w:pPr>
        <w:pStyle w:val="NormalWeb"/>
        <w:spacing w:before="0" w:beforeAutospacing="0"/>
        <w:rPr>
          <w:rFonts w:ascii="Arial Black" w:hAnsi="Arial Black"/>
          <w:b/>
          <w:bCs/>
          <w:color w:val="454545"/>
          <w:sz w:val="28"/>
          <w:szCs w:val="28"/>
          <w:shd w:val="clear" w:color="auto" w:fill="FFFFFF"/>
        </w:rPr>
      </w:pPr>
    </w:p>
    <w:p w14:paraId="060FFB7D" w14:textId="605C99E5" w:rsidR="00066F05" w:rsidRDefault="00066F05" w:rsidP="006C4AD8">
      <w:pPr>
        <w:pStyle w:val="NormalWeb"/>
        <w:spacing w:before="0" w:beforeAutospacing="0"/>
        <w:rPr>
          <w:rFonts w:ascii="Arial Black" w:hAnsi="Arial Black"/>
          <w:b/>
          <w:bCs/>
          <w:color w:val="454545"/>
          <w:sz w:val="28"/>
          <w:szCs w:val="28"/>
          <w:shd w:val="clear" w:color="auto" w:fill="FFFFFF"/>
        </w:rPr>
      </w:pPr>
      <w:r>
        <w:rPr>
          <w:rFonts w:ascii="Arial Black" w:hAnsi="Arial Black"/>
          <w:b/>
          <w:bCs/>
          <w:color w:val="454545"/>
          <w:sz w:val="28"/>
          <w:szCs w:val="28"/>
          <w:shd w:val="clear" w:color="auto" w:fill="FFFFFF"/>
        </w:rPr>
        <w:t>6-14</w:t>
      </w:r>
      <w:r w:rsidR="002A0697">
        <w:rPr>
          <w:rFonts w:ascii="Arial Black" w:hAnsi="Arial Black"/>
          <w:b/>
          <w:bCs/>
          <w:color w:val="454545"/>
          <w:sz w:val="28"/>
          <w:szCs w:val="28"/>
          <w:shd w:val="clear" w:color="auto" w:fill="FFFFFF"/>
        </w:rPr>
        <w:t>2</w:t>
      </w:r>
    </w:p>
    <w:p w14:paraId="20E999E7" w14:textId="77777777" w:rsidR="00AD5EF8" w:rsidRPr="004E2ADB" w:rsidRDefault="00AD5EF8" w:rsidP="00AD5EF8">
      <w:pPr>
        <w:rPr>
          <w:rFonts w:ascii="Arial Black" w:hAnsi="Arial Black"/>
          <w:b/>
          <w:bCs/>
          <w:sz w:val="28"/>
          <w:szCs w:val="28"/>
        </w:rPr>
      </w:pPr>
      <w:r w:rsidRPr="004E2ADB">
        <w:rPr>
          <w:rFonts w:ascii="Arial Black" w:hAnsi="Arial Black"/>
          <w:b/>
          <w:bCs/>
          <w:sz w:val="28"/>
          <w:szCs w:val="28"/>
        </w:rPr>
        <w:t xml:space="preserve">OH: CINCINNATI FF – THYROID CANCER – STATUTORY PRESUMPTION WAS CAUSED BY JOB </w:t>
      </w:r>
    </w:p>
    <w:p w14:paraId="7AF1C5D6" w14:textId="65CCBA29" w:rsidR="00AD5EF8" w:rsidRPr="00F23ECF" w:rsidRDefault="00AD5EF8" w:rsidP="00AD5EF8">
      <w:pPr>
        <w:pStyle w:val="NoSpacing"/>
        <w:rPr>
          <w:rFonts w:ascii="Times New Roman" w:hAnsi="Times New Roman"/>
          <w:sz w:val="24"/>
          <w:szCs w:val="24"/>
        </w:rPr>
      </w:pPr>
      <w:r w:rsidRPr="00F23ECF">
        <w:rPr>
          <w:rFonts w:ascii="Times New Roman" w:hAnsi="Times New Roman"/>
          <w:sz w:val="24"/>
          <w:szCs w:val="24"/>
        </w:rPr>
        <w:t xml:space="preserve">On Oct. 10, 2024, in </w:t>
      </w:r>
      <w:r w:rsidRPr="00F23ECF">
        <w:rPr>
          <w:rFonts w:ascii="Times New Roman" w:hAnsi="Times New Roman"/>
          <w:sz w:val="24"/>
          <w:szCs w:val="24"/>
          <w:u w:val="single"/>
        </w:rPr>
        <w:t>State ex rel. City of Cincinnati v. Industrial Commission of Ohio (re: claimant, Joshua K. Knoechel</w:t>
      </w:r>
      <w:r w:rsidRPr="00F23ECF">
        <w:rPr>
          <w:rFonts w:ascii="Times New Roman" w:hAnsi="Times New Roman"/>
          <w:sz w:val="24"/>
          <w:szCs w:val="24"/>
        </w:rPr>
        <w:t>), the Ohio Court of Appeals for the Tenth Appellate District held (3 to 0):  “Relator, the City of Cincinnati, commenced this original action requesting this court to issue a writ of mandamus ordering respondent, the Industrial Commission of</w:t>
      </w:r>
    </w:p>
    <w:p w14:paraId="08EF269E" w14:textId="28B0BAAF" w:rsidR="00AD5EF8" w:rsidRPr="00F23ECF" w:rsidRDefault="00AD5EF8" w:rsidP="00AD5EF8">
      <w:pPr>
        <w:pStyle w:val="NoSpacing"/>
        <w:rPr>
          <w:rFonts w:ascii="Times New Roman" w:hAnsi="Times New Roman"/>
          <w:sz w:val="24"/>
          <w:szCs w:val="24"/>
        </w:rPr>
      </w:pPr>
      <w:r w:rsidRPr="00F23ECF">
        <w:rPr>
          <w:rFonts w:ascii="Times New Roman" w:hAnsi="Times New Roman"/>
          <w:sz w:val="24"/>
          <w:szCs w:val="24"/>
        </w:rPr>
        <w:t xml:space="preserve">Ohio (“commission”), to vacate its order exercising continuing jurisdiction to allow the workers’ compensation claim of claimant, Joshua K. Knoechel, for papillary thyroid cancer and to reinstate the March 11, </w:t>
      </w:r>
      <w:proofErr w:type="gramStart"/>
      <w:r w:rsidRPr="00F23ECF">
        <w:rPr>
          <w:rFonts w:ascii="Times New Roman" w:hAnsi="Times New Roman"/>
          <w:sz w:val="24"/>
          <w:szCs w:val="24"/>
        </w:rPr>
        <w:t>2022</w:t>
      </w:r>
      <w:proofErr w:type="gramEnd"/>
      <w:r w:rsidRPr="00F23ECF">
        <w:rPr>
          <w:rFonts w:ascii="Times New Roman" w:hAnsi="Times New Roman"/>
          <w:sz w:val="24"/>
          <w:szCs w:val="24"/>
        </w:rPr>
        <w:t xml:space="preserve"> order of the Staff Hearing Officer (‘SHO’) denying the claim. [Court agreed with Magistrate, who recommended] that this court should deny the employer’s petition for writ of mandamus.” </w:t>
      </w:r>
      <w:hyperlink r:id="rId1090" w:history="1">
        <w:r w:rsidRPr="00F23ECF">
          <w:rPr>
            <w:rStyle w:val="Hyperlink"/>
            <w:rFonts w:ascii="Times New Roman" w:hAnsi="Times New Roman"/>
            <w:sz w:val="24"/>
            <w:szCs w:val="24"/>
          </w:rPr>
          <w:t>https://cases.justia.com/ohio/tenth-district-court-of-appeals/2024-22ap-431.pdf?ts=1728583884</w:t>
        </w:r>
      </w:hyperlink>
      <w:r w:rsidRPr="00F23ECF">
        <w:rPr>
          <w:rFonts w:ascii="Times New Roman" w:hAnsi="Times New Roman"/>
          <w:sz w:val="24"/>
          <w:szCs w:val="24"/>
        </w:rPr>
        <w:t xml:space="preserve"> </w:t>
      </w:r>
    </w:p>
    <w:p w14:paraId="3B16020B" w14:textId="77777777" w:rsidR="00F23ECF" w:rsidRPr="00F23ECF" w:rsidRDefault="00F23ECF" w:rsidP="00F23ECF">
      <w:pPr>
        <w:pStyle w:val="NoSpacing"/>
        <w:rPr>
          <w:rFonts w:ascii="Times New Roman" w:hAnsi="Times New Roman"/>
          <w:b/>
          <w:sz w:val="24"/>
          <w:szCs w:val="24"/>
        </w:rPr>
      </w:pPr>
    </w:p>
    <w:p w14:paraId="223D5A0D" w14:textId="1117048B" w:rsidR="00F23ECF" w:rsidRPr="00F23ECF" w:rsidRDefault="00F23ECF" w:rsidP="00F23ECF">
      <w:pPr>
        <w:pStyle w:val="NoSpacing"/>
        <w:rPr>
          <w:rFonts w:ascii="Times New Roman" w:hAnsi="Times New Roman"/>
          <w:b/>
          <w:bCs/>
          <w:sz w:val="24"/>
          <w:szCs w:val="24"/>
        </w:rPr>
      </w:pPr>
      <w:r w:rsidRPr="00F23ECF">
        <w:rPr>
          <w:rFonts w:ascii="Times New Roman" w:hAnsi="Times New Roman"/>
          <w:b/>
          <w:sz w:val="24"/>
          <w:szCs w:val="24"/>
        </w:rPr>
        <w:t xml:space="preserve">Legal Lesson Learned: Statutory presumption that cancer was caused by the job; employer’s expert report did not overcome this presumption. </w:t>
      </w:r>
    </w:p>
    <w:p w14:paraId="10D6F9E4" w14:textId="77777777" w:rsidR="00F23ECF" w:rsidRPr="00F23ECF" w:rsidRDefault="00F23ECF" w:rsidP="006C4AD8">
      <w:pPr>
        <w:pStyle w:val="NormalWeb"/>
        <w:spacing w:before="0" w:beforeAutospacing="0"/>
        <w:rPr>
          <w:b/>
          <w:bCs/>
          <w:color w:val="454545"/>
          <w:shd w:val="clear" w:color="auto" w:fill="FFFFFF"/>
        </w:rPr>
      </w:pPr>
    </w:p>
    <w:p w14:paraId="0838296B" w14:textId="77777777" w:rsidR="00FC6D48" w:rsidRDefault="00FC6D48" w:rsidP="006C4AD8">
      <w:pPr>
        <w:pStyle w:val="NormalWeb"/>
        <w:spacing w:before="0" w:beforeAutospacing="0"/>
        <w:rPr>
          <w:rFonts w:ascii="Arial Black" w:hAnsi="Arial Black"/>
          <w:b/>
          <w:bCs/>
          <w:color w:val="454545"/>
          <w:sz w:val="28"/>
          <w:szCs w:val="28"/>
          <w:shd w:val="clear" w:color="auto" w:fill="FFFFFF"/>
        </w:rPr>
      </w:pPr>
    </w:p>
    <w:p w14:paraId="732AC63F" w14:textId="63C0B554" w:rsidR="00066F05" w:rsidRDefault="00066F05" w:rsidP="006C4AD8">
      <w:pPr>
        <w:pStyle w:val="NormalWeb"/>
        <w:spacing w:before="0" w:beforeAutospacing="0"/>
        <w:rPr>
          <w:rFonts w:ascii="Arial Black" w:hAnsi="Arial Black"/>
          <w:b/>
          <w:bCs/>
          <w:color w:val="454545"/>
          <w:sz w:val="28"/>
          <w:szCs w:val="28"/>
          <w:shd w:val="clear" w:color="auto" w:fill="FFFFFF"/>
        </w:rPr>
      </w:pPr>
      <w:r>
        <w:rPr>
          <w:rFonts w:ascii="Arial Black" w:hAnsi="Arial Black"/>
          <w:b/>
          <w:bCs/>
          <w:color w:val="454545"/>
          <w:sz w:val="28"/>
          <w:szCs w:val="28"/>
          <w:shd w:val="clear" w:color="auto" w:fill="FFFFFF"/>
        </w:rPr>
        <w:lastRenderedPageBreak/>
        <w:t>6-14</w:t>
      </w:r>
      <w:r w:rsidR="002A0697">
        <w:rPr>
          <w:rFonts w:ascii="Arial Black" w:hAnsi="Arial Black"/>
          <w:b/>
          <w:bCs/>
          <w:color w:val="454545"/>
          <w:sz w:val="28"/>
          <w:szCs w:val="28"/>
          <w:shd w:val="clear" w:color="auto" w:fill="FFFFFF"/>
        </w:rPr>
        <w:t>1</w:t>
      </w:r>
    </w:p>
    <w:p w14:paraId="78888F58" w14:textId="77777777" w:rsidR="007506C7" w:rsidRPr="004E2ADB" w:rsidRDefault="007506C7" w:rsidP="007506C7">
      <w:pPr>
        <w:pStyle w:val="NoSpacing"/>
        <w:rPr>
          <w:rFonts w:ascii="Arial Black" w:hAnsi="Arial Black"/>
          <w:b/>
          <w:bCs/>
          <w:sz w:val="28"/>
          <w:szCs w:val="28"/>
        </w:rPr>
      </w:pPr>
      <w:r w:rsidRPr="004E2ADB">
        <w:rPr>
          <w:rFonts w:ascii="Arial Black" w:hAnsi="Arial Black"/>
          <w:b/>
          <w:bCs/>
          <w:sz w:val="28"/>
          <w:szCs w:val="28"/>
        </w:rPr>
        <w:t xml:space="preserve">OH: PROSTATE CANCER – 25 YRS ON JOB BEFORE RETIRED – AWARDED PERMANENT PARTIAL DISABILITY  </w:t>
      </w:r>
    </w:p>
    <w:p w14:paraId="29F02A84" w14:textId="77777777" w:rsidR="007506C7" w:rsidRPr="00067499" w:rsidRDefault="007506C7" w:rsidP="007506C7">
      <w:pPr>
        <w:pStyle w:val="NoSpacing"/>
        <w:rPr>
          <w:rFonts w:ascii="Times New Roman" w:hAnsi="Times New Roman"/>
          <w:b/>
          <w:bCs/>
          <w:sz w:val="24"/>
          <w:szCs w:val="24"/>
        </w:rPr>
      </w:pPr>
    </w:p>
    <w:p w14:paraId="7482D31A" w14:textId="780E0433" w:rsidR="001E7A60" w:rsidRPr="00067499" w:rsidRDefault="001E7A60" w:rsidP="001E7A60">
      <w:pPr>
        <w:pStyle w:val="NoSpacing"/>
        <w:rPr>
          <w:rStyle w:val="Hyperlink"/>
          <w:rFonts w:ascii="Times New Roman" w:hAnsi="Times New Roman"/>
        </w:rPr>
      </w:pPr>
      <w:r w:rsidRPr="00067499">
        <w:rPr>
          <w:rFonts w:ascii="Times New Roman" w:hAnsi="Times New Roman"/>
        </w:rPr>
        <w:t xml:space="preserve">On Oct. 17, 2024, in </w:t>
      </w:r>
      <w:r w:rsidRPr="00067499">
        <w:rPr>
          <w:rFonts w:ascii="Times New Roman" w:hAnsi="Times New Roman"/>
          <w:u w:val="single"/>
        </w:rPr>
        <w:t>State ex rel. City of Cincinnati v. Industrial Commission of Ohio (re: claimant Michael K. Hines</w:t>
      </w:r>
      <w:r w:rsidRPr="00067499">
        <w:rPr>
          <w:rFonts w:ascii="Times New Roman" w:hAnsi="Times New Roman"/>
        </w:rPr>
        <w:t xml:space="preserve">), the Cour of Appeals of Ohio, Tenth Appellate District. held (3 to 0): </w:t>
      </w:r>
      <w:r w:rsidR="007179A1" w:rsidRPr="00067499">
        <w:rPr>
          <w:rFonts w:ascii="Times New Roman" w:hAnsi="Times New Roman"/>
        </w:rPr>
        <w:t xml:space="preserve"> </w:t>
      </w:r>
      <w:r w:rsidRPr="00067499">
        <w:rPr>
          <w:rFonts w:ascii="Times New Roman" w:hAnsi="Times New Roman"/>
        </w:rPr>
        <w:t>“The magistrate determined the commission correctly applied R.C. 4123.57 in determining claimant is entitled to PPD compensation. Thus, the magistrate recommends this court deny</w:t>
      </w:r>
      <w:r w:rsidR="007179A1" w:rsidRPr="00067499">
        <w:rPr>
          <w:rFonts w:ascii="Times New Roman" w:hAnsi="Times New Roman"/>
        </w:rPr>
        <w:t xml:space="preserve"> </w:t>
      </w:r>
      <w:r w:rsidRPr="00067499">
        <w:rPr>
          <w:rFonts w:ascii="Times New Roman" w:hAnsi="Times New Roman"/>
        </w:rPr>
        <w:t xml:space="preserve">employer’s petition for a writ of mandamus. *** Upon review, we find no error of law or other defect on the face of the magistrate’s decision. Therefore, we adopt the magistrate’s decision as our own, including findings of fact and conclusions of law, and we deny employer’s petition for a writ of mandamus.” </w:t>
      </w:r>
      <w:hyperlink r:id="rId1091" w:history="1">
        <w:r w:rsidRPr="00067499">
          <w:rPr>
            <w:rStyle w:val="Hyperlink"/>
            <w:rFonts w:ascii="Times New Roman" w:hAnsi="Times New Roman"/>
          </w:rPr>
          <w:t>https://www.supremecourt.ohio.gov/rod/docs/pdf/10/2024/2024-Ohio-5010.pdf</w:t>
        </w:r>
      </w:hyperlink>
    </w:p>
    <w:p w14:paraId="6333D5F4" w14:textId="77777777" w:rsidR="007179A1" w:rsidRPr="00067499" w:rsidRDefault="007179A1" w:rsidP="007179A1">
      <w:pPr>
        <w:pStyle w:val="NoSpacing"/>
        <w:rPr>
          <w:rFonts w:ascii="Times New Roman" w:hAnsi="Times New Roman"/>
          <w:b/>
        </w:rPr>
      </w:pPr>
    </w:p>
    <w:p w14:paraId="29DB39F8" w14:textId="043E4042" w:rsidR="007179A1" w:rsidRPr="00067499" w:rsidRDefault="007179A1" w:rsidP="007179A1">
      <w:pPr>
        <w:pStyle w:val="NoSpacing"/>
        <w:rPr>
          <w:rFonts w:ascii="Times New Roman" w:hAnsi="Times New Roman"/>
          <w:b/>
          <w:bCs/>
        </w:rPr>
      </w:pPr>
      <w:r w:rsidRPr="00067499">
        <w:rPr>
          <w:rFonts w:ascii="Times New Roman" w:hAnsi="Times New Roman"/>
          <w:b/>
        </w:rPr>
        <w:t xml:space="preserve">Legal Lesson Learned: Statutory presumption that prostate cancer caused by the job. </w:t>
      </w:r>
    </w:p>
    <w:p w14:paraId="5A4B9C29" w14:textId="77777777" w:rsidR="007179A1" w:rsidRPr="00067499" w:rsidRDefault="007179A1" w:rsidP="007179A1">
      <w:pPr>
        <w:pStyle w:val="NoSpacing"/>
        <w:rPr>
          <w:rFonts w:ascii="Times New Roman" w:hAnsi="Times New Roman"/>
          <w:bCs/>
          <w:sz w:val="28"/>
          <w:szCs w:val="28"/>
        </w:rPr>
      </w:pPr>
    </w:p>
    <w:p w14:paraId="72316945" w14:textId="77777777" w:rsidR="002A0697" w:rsidRDefault="002A0697" w:rsidP="006C4AD8">
      <w:pPr>
        <w:pStyle w:val="NormalWeb"/>
        <w:spacing w:before="0" w:beforeAutospacing="0"/>
        <w:rPr>
          <w:rFonts w:ascii="Arial Black" w:hAnsi="Arial Black"/>
          <w:b/>
          <w:bCs/>
          <w:color w:val="454545"/>
          <w:sz w:val="28"/>
          <w:szCs w:val="28"/>
          <w:shd w:val="clear" w:color="auto" w:fill="FFFFFF"/>
        </w:rPr>
      </w:pPr>
    </w:p>
    <w:p w14:paraId="37315153" w14:textId="6F92EA3F" w:rsidR="00E13EDA" w:rsidRDefault="00066F05" w:rsidP="006C4AD8">
      <w:pPr>
        <w:pStyle w:val="NormalWeb"/>
        <w:spacing w:before="0" w:beforeAutospacing="0"/>
        <w:rPr>
          <w:rFonts w:ascii="Arial Black" w:hAnsi="Arial Black"/>
          <w:b/>
          <w:bCs/>
          <w:color w:val="454545"/>
          <w:sz w:val="28"/>
          <w:szCs w:val="28"/>
          <w:shd w:val="clear" w:color="auto" w:fill="FFFFFF"/>
        </w:rPr>
      </w:pPr>
      <w:r>
        <w:rPr>
          <w:rFonts w:ascii="Arial Black" w:hAnsi="Arial Black"/>
          <w:b/>
          <w:bCs/>
          <w:color w:val="454545"/>
          <w:sz w:val="28"/>
          <w:szCs w:val="28"/>
          <w:shd w:val="clear" w:color="auto" w:fill="FFFFFF"/>
        </w:rPr>
        <w:t>6-14</w:t>
      </w:r>
      <w:r w:rsidR="002A0697">
        <w:rPr>
          <w:rFonts w:ascii="Arial Black" w:hAnsi="Arial Black"/>
          <w:b/>
          <w:bCs/>
          <w:color w:val="454545"/>
          <w:sz w:val="28"/>
          <w:szCs w:val="28"/>
          <w:shd w:val="clear" w:color="auto" w:fill="FFFFFF"/>
        </w:rPr>
        <w:t>0</w:t>
      </w:r>
    </w:p>
    <w:p w14:paraId="617E65E9" w14:textId="77777777" w:rsidR="00EC0331" w:rsidRPr="004E2ADB" w:rsidRDefault="00EC0331" w:rsidP="00EC0331">
      <w:pPr>
        <w:pStyle w:val="NoSpacing"/>
        <w:rPr>
          <w:rFonts w:ascii="Arial Black" w:hAnsi="Arial Black"/>
          <w:b/>
          <w:bCs/>
          <w:sz w:val="28"/>
          <w:szCs w:val="28"/>
        </w:rPr>
      </w:pPr>
      <w:r w:rsidRPr="004E2ADB">
        <w:rPr>
          <w:rFonts w:ascii="Arial Black" w:hAnsi="Arial Black"/>
          <w:b/>
          <w:bCs/>
          <w:sz w:val="28"/>
          <w:szCs w:val="28"/>
        </w:rPr>
        <w:t>PA: FF – COLON CANCER / KIDNEY DISEASE – STATUTORY PRESUMPTION FOR CANCER – GETS WORK COMP.</w:t>
      </w:r>
    </w:p>
    <w:p w14:paraId="49187B54" w14:textId="77777777" w:rsidR="00EC0331" w:rsidRPr="004E2ADB" w:rsidRDefault="00EC0331" w:rsidP="00EC0331">
      <w:pPr>
        <w:pStyle w:val="NoSpacing"/>
        <w:rPr>
          <w:rFonts w:ascii="Arial Black" w:hAnsi="Arial Black"/>
          <w:sz w:val="28"/>
          <w:szCs w:val="28"/>
        </w:rPr>
      </w:pPr>
    </w:p>
    <w:p w14:paraId="4B401DA2" w14:textId="77777777" w:rsidR="00EC0331" w:rsidRPr="00084D68" w:rsidRDefault="00EC0331" w:rsidP="00EC0331">
      <w:pPr>
        <w:pStyle w:val="NoSpacing"/>
        <w:rPr>
          <w:rFonts w:ascii="Times New Roman" w:hAnsi="Times New Roman"/>
          <w:sz w:val="24"/>
          <w:szCs w:val="24"/>
          <w:u w:val="single"/>
        </w:rPr>
      </w:pPr>
      <w:r w:rsidRPr="00084D68">
        <w:rPr>
          <w:rFonts w:ascii="Times New Roman" w:hAnsi="Times New Roman"/>
          <w:sz w:val="24"/>
          <w:szCs w:val="24"/>
        </w:rPr>
        <w:t xml:space="preserve">On Oct. 10, 2024, in </w:t>
      </w:r>
      <w:r w:rsidRPr="00084D68">
        <w:rPr>
          <w:rFonts w:ascii="Times New Roman" w:hAnsi="Times New Roman"/>
          <w:sz w:val="24"/>
          <w:szCs w:val="24"/>
          <w:u w:val="single"/>
        </w:rPr>
        <w:t>West Conshohocken Borough v. David Markland (Workers’ :</w:t>
      </w:r>
    </w:p>
    <w:p w14:paraId="75BD9AB4" w14:textId="77777777" w:rsidR="00EC0331" w:rsidRPr="00084D68" w:rsidRDefault="00EC0331" w:rsidP="00EC0331">
      <w:pPr>
        <w:pStyle w:val="NoSpacing"/>
        <w:rPr>
          <w:rFonts w:ascii="Times New Roman" w:hAnsi="Times New Roman"/>
          <w:sz w:val="24"/>
          <w:szCs w:val="24"/>
        </w:rPr>
      </w:pPr>
      <w:r w:rsidRPr="00084D68">
        <w:rPr>
          <w:rFonts w:ascii="Times New Roman" w:hAnsi="Times New Roman"/>
          <w:sz w:val="24"/>
          <w:szCs w:val="24"/>
          <w:u w:val="single"/>
        </w:rPr>
        <w:t>Compensation Appeal Board</w:t>
      </w:r>
      <w:r w:rsidRPr="00084D68">
        <w:rPr>
          <w:rFonts w:ascii="Times New Roman" w:hAnsi="Times New Roman"/>
          <w:sz w:val="24"/>
          <w:szCs w:val="24"/>
        </w:rPr>
        <w:t>), the Commonwealth Court of Pennsylvania held (6 to 1): “West Conshohocken Borough (Employer) petitions for review of the November 18, 2022 opinion and order (Order) of the Workers’ Compensation Appeal Board (Board) that affirmed the Workers’ Compensation Judge’s (WCJ) May 2, 2022 decision and order (Decision) granting the Claim Petition that David Markland (Claimant) filed under the Workers’ Compensation Act (Act).After</w:t>
      </w:r>
    </w:p>
    <w:p w14:paraId="05E4D6D7" w14:textId="77777777" w:rsidR="00EC0331" w:rsidRPr="00084D68" w:rsidRDefault="00EC0331" w:rsidP="00EC0331">
      <w:pPr>
        <w:pStyle w:val="NoSpacing"/>
        <w:rPr>
          <w:rFonts w:ascii="Times New Roman" w:hAnsi="Times New Roman"/>
          <w:sz w:val="24"/>
          <w:szCs w:val="24"/>
        </w:rPr>
      </w:pPr>
      <w:r w:rsidRPr="00084D68">
        <w:rPr>
          <w:rFonts w:ascii="Times New Roman" w:hAnsi="Times New Roman"/>
          <w:sz w:val="24"/>
          <w:szCs w:val="24"/>
        </w:rPr>
        <w:t>careful review, we affirm.”</w:t>
      </w:r>
    </w:p>
    <w:p w14:paraId="11ED62A2" w14:textId="3712BBDD" w:rsidR="00067499" w:rsidRPr="00084D68" w:rsidRDefault="00EC0331" w:rsidP="00EC0331">
      <w:pPr>
        <w:pStyle w:val="NormalWeb"/>
        <w:spacing w:before="0" w:beforeAutospacing="0"/>
        <w:rPr>
          <w:rStyle w:val="Hyperlink"/>
        </w:rPr>
      </w:pPr>
      <w:hyperlink r:id="rId1092" w:history="1">
        <w:r w:rsidRPr="00084D68">
          <w:rPr>
            <w:rStyle w:val="Hyperlink"/>
          </w:rPr>
          <w:t>https://www.pacourts.us/assets/opinions/Commonwealth/out/1382CD22_10-10-24.pdf?cb=1</w:t>
        </w:r>
      </w:hyperlink>
    </w:p>
    <w:p w14:paraId="22FA04F5" w14:textId="77777777" w:rsidR="00084D68" w:rsidRPr="00084D68" w:rsidRDefault="00084D68" w:rsidP="00084D68">
      <w:pPr>
        <w:pStyle w:val="NoSpacing"/>
        <w:rPr>
          <w:rFonts w:ascii="Times New Roman" w:hAnsi="Times New Roman"/>
          <w:b/>
          <w:bCs/>
          <w:sz w:val="24"/>
          <w:szCs w:val="24"/>
        </w:rPr>
      </w:pPr>
      <w:r w:rsidRPr="00084D68">
        <w:rPr>
          <w:rFonts w:ascii="Times New Roman" w:hAnsi="Times New Roman"/>
          <w:b/>
          <w:sz w:val="24"/>
          <w:szCs w:val="24"/>
        </w:rPr>
        <w:t>Legal Lesson Learned: Employer failed to prove a</w:t>
      </w:r>
      <w:r w:rsidRPr="00084D68">
        <w:rPr>
          <w:rFonts w:ascii="Times New Roman" w:hAnsi="Times New Roman"/>
          <w:b/>
          <w:bCs/>
          <w:sz w:val="24"/>
          <w:szCs w:val="24"/>
        </w:rPr>
        <w:t>nother</w:t>
      </w:r>
      <w:r w:rsidRPr="00084D68">
        <w:rPr>
          <w:rFonts w:ascii="Times New Roman" w:hAnsi="Times New Roman"/>
          <w:b/>
          <w:sz w:val="24"/>
          <w:szCs w:val="24"/>
        </w:rPr>
        <w:t xml:space="preserve"> “specific, non-firefighting cause” of the colon cancer. </w:t>
      </w:r>
    </w:p>
    <w:p w14:paraId="67B6684E" w14:textId="77777777" w:rsidR="00067499" w:rsidRDefault="00067499" w:rsidP="006C4AD8">
      <w:pPr>
        <w:pStyle w:val="NormalWeb"/>
        <w:spacing w:before="0" w:beforeAutospacing="0"/>
        <w:rPr>
          <w:rFonts w:ascii="Arial Black" w:hAnsi="Arial Black"/>
          <w:b/>
          <w:bCs/>
          <w:color w:val="454545"/>
          <w:sz w:val="28"/>
          <w:szCs w:val="28"/>
          <w:shd w:val="clear" w:color="auto" w:fill="FFFFFF"/>
        </w:rPr>
      </w:pPr>
    </w:p>
    <w:p w14:paraId="5E514763" w14:textId="7EC1C6F0" w:rsidR="00E13EDA" w:rsidRDefault="00066F05" w:rsidP="006C4AD8">
      <w:pPr>
        <w:pStyle w:val="NormalWeb"/>
        <w:spacing w:before="0" w:beforeAutospacing="0"/>
        <w:rPr>
          <w:rFonts w:ascii="Arial Black" w:hAnsi="Arial Black"/>
          <w:b/>
          <w:bCs/>
          <w:color w:val="454545"/>
          <w:sz w:val="28"/>
          <w:szCs w:val="28"/>
          <w:shd w:val="clear" w:color="auto" w:fill="FFFFFF"/>
        </w:rPr>
      </w:pPr>
      <w:r>
        <w:rPr>
          <w:rFonts w:ascii="Arial Black" w:hAnsi="Arial Black"/>
          <w:b/>
          <w:bCs/>
          <w:color w:val="454545"/>
          <w:sz w:val="28"/>
          <w:szCs w:val="28"/>
          <w:shd w:val="clear" w:color="auto" w:fill="FFFFFF"/>
        </w:rPr>
        <w:t>6-1</w:t>
      </w:r>
      <w:r w:rsidR="002A0697">
        <w:rPr>
          <w:rFonts w:ascii="Arial Black" w:hAnsi="Arial Black"/>
          <w:b/>
          <w:bCs/>
          <w:color w:val="454545"/>
          <w:sz w:val="28"/>
          <w:szCs w:val="28"/>
          <w:shd w:val="clear" w:color="auto" w:fill="FFFFFF"/>
        </w:rPr>
        <w:t>39</w:t>
      </w:r>
    </w:p>
    <w:p w14:paraId="5CCEE1B4" w14:textId="77777777" w:rsidR="001713FB" w:rsidRPr="004E2ADB" w:rsidRDefault="001713FB" w:rsidP="001713FB">
      <w:pPr>
        <w:pStyle w:val="NoSpacing"/>
        <w:rPr>
          <w:rFonts w:ascii="Arial Black" w:hAnsi="Arial Black"/>
          <w:b/>
          <w:bCs/>
          <w:sz w:val="28"/>
          <w:szCs w:val="28"/>
        </w:rPr>
      </w:pPr>
      <w:r w:rsidRPr="004E2ADB">
        <w:rPr>
          <w:rFonts w:ascii="Arial Black" w:hAnsi="Arial Black"/>
          <w:b/>
          <w:bCs/>
          <w:sz w:val="28"/>
          <w:szCs w:val="28"/>
        </w:rPr>
        <w:t>LA: HEART DISEASE – STATUTORY PRESUMPTION – NEW ORLEANS FF RECEIVES WORKERS COMP. &amp; ATTY FEES</w:t>
      </w:r>
    </w:p>
    <w:p w14:paraId="07B5ADFB" w14:textId="77777777" w:rsidR="001713FB" w:rsidRPr="00903FC7" w:rsidRDefault="001713FB" w:rsidP="001713FB">
      <w:pPr>
        <w:pStyle w:val="NoSpacing"/>
        <w:rPr>
          <w:rFonts w:ascii="Times New Roman" w:hAnsi="Times New Roman"/>
          <w:b/>
          <w:bCs/>
          <w:sz w:val="24"/>
          <w:szCs w:val="24"/>
        </w:rPr>
      </w:pPr>
    </w:p>
    <w:p w14:paraId="7F75CE85" w14:textId="554F7FE7" w:rsidR="001713FB" w:rsidRPr="00903FC7" w:rsidRDefault="001713FB" w:rsidP="001713FB">
      <w:pPr>
        <w:pStyle w:val="NoSpacing"/>
        <w:rPr>
          <w:rFonts w:ascii="Times New Roman" w:hAnsi="Times New Roman"/>
          <w:sz w:val="24"/>
          <w:szCs w:val="24"/>
        </w:rPr>
      </w:pPr>
      <w:r w:rsidRPr="00903FC7">
        <w:rPr>
          <w:rFonts w:ascii="Times New Roman" w:hAnsi="Times New Roman"/>
          <w:sz w:val="24"/>
          <w:szCs w:val="24"/>
        </w:rPr>
        <w:t xml:space="preserve">On Oct. 4, 2024, in </w:t>
      </w:r>
      <w:r w:rsidRPr="00903FC7">
        <w:rPr>
          <w:rFonts w:ascii="Times New Roman" w:hAnsi="Times New Roman"/>
          <w:sz w:val="24"/>
          <w:szCs w:val="24"/>
          <w:u w:val="single"/>
        </w:rPr>
        <w:t>Kenneth Prevost v. City of New Orleans Fire Department</w:t>
      </w:r>
      <w:r w:rsidRPr="00903FC7">
        <w:rPr>
          <w:rFonts w:ascii="Times New Roman" w:hAnsi="Times New Roman"/>
          <w:sz w:val="24"/>
          <w:szCs w:val="24"/>
        </w:rPr>
        <w:t xml:space="preserve">, the Louisiana Court of Appeal, </w:t>
      </w:r>
      <w:proofErr w:type="spellStart"/>
      <w:r w:rsidRPr="00903FC7">
        <w:rPr>
          <w:rFonts w:ascii="Times New Roman" w:hAnsi="Times New Roman"/>
          <w:sz w:val="24"/>
          <w:szCs w:val="24"/>
        </w:rPr>
        <w:t>Forth</w:t>
      </w:r>
      <w:proofErr w:type="spellEnd"/>
      <w:r w:rsidRPr="00903FC7">
        <w:rPr>
          <w:rFonts w:ascii="Times New Roman" w:hAnsi="Times New Roman"/>
          <w:sz w:val="24"/>
          <w:szCs w:val="24"/>
        </w:rPr>
        <w:t xml:space="preserve"> Circuit, held (3 to 0): “This is a workers’ compensation case. Defendant-Appellant, the New Orleans Fire Department (‘NOFD’) appeals the May 20, 2022 judgment rendered by the workers’ compensation judge (‘WCJ’), which found the claim filed by</w:t>
      </w:r>
      <w:r w:rsidR="00903FC7">
        <w:rPr>
          <w:rFonts w:ascii="Times New Roman" w:hAnsi="Times New Roman"/>
          <w:sz w:val="24"/>
          <w:szCs w:val="24"/>
        </w:rPr>
        <w:t xml:space="preserve"> </w:t>
      </w:r>
      <w:r w:rsidRPr="00903FC7">
        <w:rPr>
          <w:rFonts w:ascii="Times New Roman" w:hAnsi="Times New Roman"/>
          <w:sz w:val="24"/>
          <w:szCs w:val="24"/>
        </w:rPr>
        <w:t>Plaintiff-Appellee, Kenneth Prevost (‘Prevost’), under the Fireman’s Heart and Lung Act was compensable and awarded Prevost $2,000.00 in penalties and $3,500.00 in attorney’s fees.</w:t>
      </w:r>
      <w:r w:rsidR="00903FC7">
        <w:rPr>
          <w:rFonts w:ascii="Times New Roman" w:hAnsi="Times New Roman"/>
          <w:sz w:val="24"/>
          <w:szCs w:val="24"/>
        </w:rPr>
        <w:t xml:space="preserve"> </w:t>
      </w:r>
      <w:r w:rsidRPr="00903FC7">
        <w:rPr>
          <w:rFonts w:ascii="Times New Roman" w:hAnsi="Times New Roman"/>
          <w:sz w:val="24"/>
          <w:szCs w:val="24"/>
        </w:rPr>
        <w:t>For the following reasons, we affirm.”</w:t>
      </w:r>
    </w:p>
    <w:p w14:paraId="6580B861" w14:textId="77777777" w:rsidR="001713FB" w:rsidRPr="00903FC7" w:rsidRDefault="001713FB" w:rsidP="001713FB">
      <w:pPr>
        <w:pStyle w:val="NoSpacing"/>
        <w:rPr>
          <w:rFonts w:ascii="Times New Roman" w:hAnsi="Times New Roman"/>
          <w:sz w:val="24"/>
          <w:szCs w:val="24"/>
        </w:rPr>
      </w:pPr>
      <w:hyperlink r:id="rId1093" w:history="1">
        <w:r w:rsidRPr="00903FC7">
          <w:rPr>
            <w:rStyle w:val="Hyperlink"/>
            <w:rFonts w:ascii="Times New Roman" w:hAnsi="Times New Roman"/>
            <w:sz w:val="24"/>
            <w:szCs w:val="24"/>
          </w:rPr>
          <w:t>https://cases.justia.com/louisiana/fourth-circuit-court-of-appeal/2024-2024-ca-0114.pdf?ts=1727828103</w:t>
        </w:r>
      </w:hyperlink>
      <w:r w:rsidRPr="00903FC7">
        <w:rPr>
          <w:rFonts w:ascii="Times New Roman" w:hAnsi="Times New Roman"/>
          <w:sz w:val="24"/>
          <w:szCs w:val="24"/>
        </w:rPr>
        <w:t xml:space="preserve"> </w:t>
      </w:r>
    </w:p>
    <w:p w14:paraId="1D7E6594" w14:textId="77777777" w:rsidR="00903FC7" w:rsidRPr="00903FC7" w:rsidRDefault="00903FC7" w:rsidP="00903FC7">
      <w:pPr>
        <w:pStyle w:val="NoSpacing"/>
        <w:rPr>
          <w:rFonts w:ascii="Times New Roman" w:hAnsi="Times New Roman"/>
          <w:b/>
          <w:sz w:val="24"/>
          <w:szCs w:val="24"/>
        </w:rPr>
      </w:pPr>
    </w:p>
    <w:p w14:paraId="1F8BD6DF" w14:textId="39C03357" w:rsidR="00903FC7" w:rsidRPr="00903FC7" w:rsidRDefault="00903FC7" w:rsidP="00903FC7">
      <w:pPr>
        <w:pStyle w:val="NoSpacing"/>
        <w:rPr>
          <w:rFonts w:ascii="Times New Roman" w:hAnsi="Times New Roman"/>
          <w:b/>
          <w:bCs/>
          <w:sz w:val="24"/>
          <w:szCs w:val="24"/>
        </w:rPr>
      </w:pPr>
      <w:r w:rsidRPr="00903FC7">
        <w:rPr>
          <w:rFonts w:ascii="Times New Roman" w:hAnsi="Times New Roman"/>
          <w:b/>
          <w:sz w:val="24"/>
          <w:szCs w:val="24"/>
        </w:rPr>
        <w:t xml:space="preserve">Legal Lesson Learned: </w:t>
      </w:r>
      <w:r w:rsidRPr="00903FC7">
        <w:rPr>
          <w:rFonts w:ascii="Times New Roman" w:hAnsi="Times New Roman"/>
          <w:b/>
          <w:bCs/>
          <w:sz w:val="24"/>
          <w:szCs w:val="24"/>
        </w:rPr>
        <w:t>Heart disease, including d</w:t>
      </w:r>
      <w:r w:rsidRPr="00903FC7">
        <w:rPr>
          <w:rFonts w:ascii="Times New Roman" w:hAnsi="Times New Roman"/>
          <w:b/>
          <w:sz w:val="24"/>
          <w:szCs w:val="24"/>
        </w:rPr>
        <w:t>efective heart valve covered by statutory presumption.</w:t>
      </w:r>
    </w:p>
    <w:p w14:paraId="5C5AB984" w14:textId="77777777" w:rsidR="00903FC7" w:rsidRPr="00903FC7" w:rsidRDefault="00903FC7" w:rsidP="006C4AD8">
      <w:pPr>
        <w:pStyle w:val="NormalWeb"/>
        <w:spacing w:before="0" w:beforeAutospacing="0"/>
        <w:rPr>
          <w:b/>
          <w:bCs/>
          <w:color w:val="454545"/>
          <w:shd w:val="clear" w:color="auto" w:fill="FFFFFF"/>
        </w:rPr>
      </w:pPr>
    </w:p>
    <w:p w14:paraId="5AC760B0" w14:textId="77777777" w:rsidR="00B97A1B" w:rsidRDefault="00B97A1B" w:rsidP="006C4AD8">
      <w:pPr>
        <w:pStyle w:val="NormalWeb"/>
        <w:spacing w:before="0" w:beforeAutospacing="0"/>
        <w:rPr>
          <w:rFonts w:ascii="Arial Black" w:hAnsi="Arial Black"/>
          <w:b/>
          <w:bCs/>
          <w:color w:val="454545"/>
          <w:sz w:val="28"/>
          <w:szCs w:val="28"/>
          <w:shd w:val="clear" w:color="auto" w:fill="FFFFFF"/>
        </w:rPr>
      </w:pPr>
    </w:p>
    <w:p w14:paraId="633C599C" w14:textId="77777777" w:rsidR="00B97A1B" w:rsidRDefault="00B97A1B" w:rsidP="006C4AD8">
      <w:pPr>
        <w:pStyle w:val="NormalWeb"/>
        <w:spacing w:before="0" w:beforeAutospacing="0"/>
        <w:rPr>
          <w:rFonts w:ascii="Arial Black" w:hAnsi="Arial Black"/>
          <w:b/>
          <w:bCs/>
          <w:color w:val="454545"/>
          <w:sz w:val="28"/>
          <w:szCs w:val="28"/>
          <w:shd w:val="clear" w:color="auto" w:fill="FFFFFF"/>
        </w:rPr>
      </w:pPr>
    </w:p>
    <w:p w14:paraId="177B4407" w14:textId="62FDA3BC" w:rsidR="00525E67" w:rsidRDefault="00525E67" w:rsidP="006C4AD8">
      <w:pPr>
        <w:pStyle w:val="NormalWeb"/>
        <w:spacing w:before="0" w:beforeAutospacing="0"/>
        <w:rPr>
          <w:rFonts w:ascii="Arial Black" w:hAnsi="Arial Black"/>
          <w:b/>
          <w:bCs/>
          <w:color w:val="454545"/>
          <w:sz w:val="28"/>
          <w:szCs w:val="28"/>
          <w:shd w:val="clear" w:color="auto" w:fill="FFFFFF"/>
        </w:rPr>
      </w:pPr>
      <w:r>
        <w:rPr>
          <w:rFonts w:ascii="Arial Black" w:hAnsi="Arial Black"/>
          <w:b/>
          <w:bCs/>
          <w:color w:val="454545"/>
          <w:sz w:val="28"/>
          <w:szCs w:val="28"/>
          <w:shd w:val="clear" w:color="auto" w:fill="FFFFFF"/>
        </w:rPr>
        <w:t>6-1</w:t>
      </w:r>
      <w:r w:rsidR="00447612">
        <w:rPr>
          <w:rFonts w:ascii="Arial Black" w:hAnsi="Arial Black"/>
          <w:b/>
          <w:bCs/>
          <w:color w:val="454545"/>
          <w:sz w:val="28"/>
          <w:szCs w:val="28"/>
          <w:shd w:val="clear" w:color="auto" w:fill="FFFFFF"/>
        </w:rPr>
        <w:t>3</w:t>
      </w:r>
      <w:r w:rsidR="002A0697">
        <w:rPr>
          <w:rFonts w:ascii="Arial Black" w:hAnsi="Arial Black"/>
          <w:b/>
          <w:bCs/>
          <w:color w:val="454545"/>
          <w:sz w:val="28"/>
          <w:szCs w:val="28"/>
          <w:shd w:val="clear" w:color="auto" w:fill="FFFFFF"/>
        </w:rPr>
        <w:t>8</w:t>
      </w:r>
    </w:p>
    <w:p w14:paraId="00297654" w14:textId="77777777" w:rsidR="00E0229F" w:rsidRPr="007955D5" w:rsidRDefault="00E0229F" w:rsidP="00E0229F">
      <w:pPr>
        <w:rPr>
          <w:rFonts w:ascii="Arial Black" w:hAnsi="Arial Black"/>
          <w:sz w:val="28"/>
        </w:rPr>
      </w:pPr>
      <w:r>
        <w:rPr>
          <w:rFonts w:ascii="Arial Black" w:hAnsi="Arial Black"/>
          <w:sz w:val="28"/>
        </w:rPr>
        <w:t>IL: CAPTAIN WITH NECK CANCER – DENIED “LINE-OF-DUTY” PENSION – NO PROOF THAT SMOKE WAS CAUSE</w:t>
      </w:r>
    </w:p>
    <w:p w14:paraId="51AD2C7C" w14:textId="77777777" w:rsidR="00E0229F" w:rsidRPr="00E0229F" w:rsidRDefault="00E0229F" w:rsidP="00E0229F">
      <w:pPr>
        <w:pStyle w:val="NoSpacing"/>
        <w:rPr>
          <w:rFonts w:ascii="Times New Roman" w:hAnsi="Times New Roman"/>
          <w:sz w:val="24"/>
          <w:szCs w:val="24"/>
        </w:rPr>
      </w:pPr>
      <w:r w:rsidRPr="00E0229F">
        <w:rPr>
          <w:rFonts w:ascii="Times New Roman" w:hAnsi="Times New Roman"/>
          <w:sz w:val="24"/>
          <w:szCs w:val="24"/>
        </w:rPr>
        <w:t xml:space="preserve">On September 30, 2024, in </w:t>
      </w:r>
      <w:r w:rsidRPr="00E0229F">
        <w:rPr>
          <w:rFonts w:ascii="Times New Roman" w:hAnsi="Times New Roman"/>
          <w:sz w:val="24"/>
          <w:szCs w:val="24"/>
          <w:u w:val="single"/>
        </w:rPr>
        <w:t>Edward G. Sobczyk v. Board of Trustees of the Rockford Firefighters’ Pension Fund,</w:t>
      </w:r>
      <w:r w:rsidRPr="00E0229F">
        <w:rPr>
          <w:rFonts w:ascii="Times New Roman" w:hAnsi="Times New Roman"/>
          <w:sz w:val="24"/>
          <w:szCs w:val="24"/>
        </w:rPr>
        <w:t xml:space="preserve"> the Court of Appeals of Illinois, Fourth District, held (3 to 0) that the Board properly denied the </w:t>
      </w:r>
      <w:proofErr w:type="gramStart"/>
      <w:r w:rsidRPr="00E0229F">
        <w:rPr>
          <w:rFonts w:ascii="Times New Roman" w:hAnsi="Times New Roman"/>
          <w:sz w:val="24"/>
          <w:szCs w:val="24"/>
        </w:rPr>
        <w:t>Captain’s</w:t>
      </w:r>
      <w:proofErr w:type="gramEnd"/>
      <w:r w:rsidRPr="00E0229F">
        <w:rPr>
          <w:rFonts w:ascii="Times New Roman" w:hAnsi="Times New Roman"/>
          <w:sz w:val="24"/>
          <w:szCs w:val="24"/>
        </w:rPr>
        <w:t xml:space="preserve"> application for line-of-duty pensions.  The Court wrote: “And even though plaintiff asserted ‘that smoke ‘could be a cause or factor in the</w:t>
      </w:r>
    </w:p>
    <w:p w14:paraId="7B90852F" w14:textId="77777777" w:rsidR="00E0229F" w:rsidRPr="00E0229F" w:rsidRDefault="00E0229F" w:rsidP="00E0229F">
      <w:pPr>
        <w:pStyle w:val="NoSpacing"/>
        <w:rPr>
          <w:rFonts w:ascii="Times New Roman" w:hAnsi="Times New Roman"/>
          <w:sz w:val="24"/>
          <w:szCs w:val="24"/>
        </w:rPr>
      </w:pPr>
      <w:r w:rsidRPr="00E0229F">
        <w:rPr>
          <w:rFonts w:ascii="Times New Roman" w:hAnsi="Times New Roman"/>
          <w:sz w:val="24"/>
          <w:szCs w:val="24"/>
        </w:rPr>
        <w:t>development’ of his cancer,’ the Board determined plaintiff failed to ‘come forward with</w:t>
      </w:r>
    </w:p>
    <w:p w14:paraId="72525920" w14:textId="77777777" w:rsidR="00E0229F" w:rsidRPr="00E0229F" w:rsidRDefault="00E0229F" w:rsidP="00E0229F">
      <w:pPr>
        <w:pStyle w:val="NoSpacing"/>
        <w:rPr>
          <w:rFonts w:ascii="Times New Roman" w:hAnsi="Times New Roman"/>
          <w:sz w:val="24"/>
          <w:szCs w:val="24"/>
        </w:rPr>
      </w:pPr>
      <w:r w:rsidRPr="00E0229F">
        <w:rPr>
          <w:rFonts w:ascii="Times New Roman" w:hAnsi="Times New Roman"/>
          <w:sz w:val="24"/>
          <w:szCs w:val="24"/>
        </w:rPr>
        <w:t xml:space="preserve">sufficient evidence that smoke was a cause in his cancer.’” </w:t>
      </w:r>
      <w:hyperlink r:id="rId1094" w:history="1">
        <w:r w:rsidRPr="00E0229F">
          <w:rPr>
            <w:rStyle w:val="Hyperlink"/>
            <w:rFonts w:ascii="Times New Roman" w:hAnsi="Times New Roman"/>
            <w:sz w:val="24"/>
            <w:szCs w:val="24"/>
          </w:rPr>
          <w:t>https://ilcourtsaudio.blob.core.windows.net/antilles-resources/resources/6872cb37-ae61-4b36-815c-de4cd8130990/Sobczyk%20v.%20Board%20of%20Trustees%20of%20the%20Rockford%20Firefighters%e2%80%99%20Pension%20Fund,%202024%20IL%20App%20(4th)%20240261-U.pdf</w:t>
        </w:r>
      </w:hyperlink>
      <w:r w:rsidRPr="00E0229F">
        <w:rPr>
          <w:rFonts w:ascii="Times New Roman" w:hAnsi="Times New Roman"/>
          <w:sz w:val="24"/>
          <w:szCs w:val="24"/>
        </w:rPr>
        <w:t xml:space="preserve"> </w:t>
      </w:r>
    </w:p>
    <w:p w14:paraId="5C3226F8" w14:textId="77777777" w:rsidR="00E0229F" w:rsidRPr="00E0229F" w:rsidRDefault="00E0229F" w:rsidP="00E0229F">
      <w:pPr>
        <w:pStyle w:val="NoSpacing"/>
        <w:rPr>
          <w:rFonts w:ascii="Times New Roman" w:hAnsi="Times New Roman"/>
          <w:sz w:val="24"/>
          <w:szCs w:val="24"/>
        </w:rPr>
      </w:pPr>
    </w:p>
    <w:p w14:paraId="0B0DEC29" w14:textId="77777777" w:rsidR="00E0229F" w:rsidRPr="00E0229F" w:rsidRDefault="00E0229F" w:rsidP="00E0229F">
      <w:pPr>
        <w:pStyle w:val="NoSpacing"/>
        <w:rPr>
          <w:rFonts w:ascii="Times New Roman" w:hAnsi="Times New Roman"/>
          <w:sz w:val="24"/>
          <w:szCs w:val="24"/>
        </w:rPr>
      </w:pPr>
      <w:r w:rsidRPr="00E0229F">
        <w:rPr>
          <w:rFonts w:ascii="Times New Roman" w:hAnsi="Times New Roman"/>
          <w:sz w:val="24"/>
          <w:szCs w:val="24"/>
        </w:rPr>
        <w:t>THE COURT HELD:</w:t>
      </w:r>
    </w:p>
    <w:p w14:paraId="3029A23C" w14:textId="77777777" w:rsidR="00E0229F" w:rsidRPr="00E0229F" w:rsidRDefault="00E0229F" w:rsidP="00E0229F">
      <w:pPr>
        <w:pStyle w:val="NoSpacing"/>
        <w:rPr>
          <w:rFonts w:ascii="Times New Roman" w:hAnsi="Times New Roman"/>
          <w:sz w:val="24"/>
          <w:szCs w:val="24"/>
        </w:rPr>
      </w:pPr>
    </w:p>
    <w:p w14:paraId="48419A42" w14:textId="77777777" w:rsidR="00E0229F" w:rsidRPr="00E0229F" w:rsidRDefault="00E0229F" w:rsidP="00E0229F">
      <w:pPr>
        <w:pStyle w:val="NoSpacing"/>
        <w:ind w:left="720"/>
        <w:rPr>
          <w:rFonts w:ascii="Times New Roman" w:hAnsi="Times New Roman"/>
          <w:sz w:val="24"/>
          <w:szCs w:val="24"/>
        </w:rPr>
      </w:pPr>
      <w:r w:rsidRPr="00E0229F">
        <w:rPr>
          <w:rFonts w:ascii="Times New Roman" w:hAnsi="Times New Roman"/>
          <w:sz w:val="24"/>
          <w:szCs w:val="24"/>
        </w:rPr>
        <w:t>“The Board also received the reports and testimony of four doctors. Plaintiff called</w:t>
      </w:r>
    </w:p>
    <w:p w14:paraId="17C7B43D" w14:textId="77777777" w:rsidR="00E0229F" w:rsidRPr="00E0229F" w:rsidRDefault="00E0229F" w:rsidP="00E0229F">
      <w:pPr>
        <w:pStyle w:val="NoSpacing"/>
        <w:ind w:left="720"/>
        <w:rPr>
          <w:rFonts w:ascii="Times New Roman" w:hAnsi="Times New Roman"/>
          <w:sz w:val="24"/>
          <w:szCs w:val="24"/>
        </w:rPr>
      </w:pPr>
      <w:r w:rsidRPr="00E0229F">
        <w:rPr>
          <w:rFonts w:ascii="Times New Roman" w:hAnsi="Times New Roman"/>
          <w:sz w:val="24"/>
          <w:szCs w:val="24"/>
        </w:rPr>
        <w:t xml:space="preserve">Dr. Peter Orris, a physician trained in occupational and internal medicine, as a retained expert. The other three </w:t>
      </w:r>
      <w:proofErr w:type="gramStart"/>
      <w:r w:rsidRPr="00E0229F">
        <w:rPr>
          <w:rFonts w:ascii="Times New Roman" w:hAnsi="Times New Roman"/>
          <w:sz w:val="24"/>
          <w:szCs w:val="24"/>
        </w:rPr>
        <w:t>doctors—</w:t>
      </w:r>
      <w:proofErr w:type="gramEnd"/>
      <w:r w:rsidRPr="00E0229F">
        <w:rPr>
          <w:rFonts w:ascii="Times New Roman" w:hAnsi="Times New Roman"/>
          <w:sz w:val="24"/>
          <w:szCs w:val="24"/>
        </w:rPr>
        <w:t>Dr. Nicholas Campbell, Dr. Daniel Samo, and Dr. Elliot Lieberman— served as the Board’s IMEs.</w:t>
      </w:r>
    </w:p>
    <w:p w14:paraId="635A4EF7" w14:textId="77777777" w:rsidR="00E0229F" w:rsidRPr="00E0229F" w:rsidRDefault="00E0229F" w:rsidP="00E0229F">
      <w:pPr>
        <w:pStyle w:val="NoSpacing"/>
        <w:ind w:left="720"/>
        <w:rPr>
          <w:rFonts w:ascii="Times New Roman" w:hAnsi="Times New Roman"/>
          <w:sz w:val="24"/>
          <w:szCs w:val="24"/>
        </w:rPr>
      </w:pPr>
    </w:p>
    <w:p w14:paraId="1A944C86" w14:textId="77777777" w:rsidR="00E0229F" w:rsidRPr="00E0229F" w:rsidRDefault="00E0229F" w:rsidP="00E0229F">
      <w:pPr>
        <w:pStyle w:val="NoSpacing"/>
        <w:ind w:left="720"/>
        <w:rPr>
          <w:rFonts w:ascii="Times New Roman" w:hAnsi="Times New Roman"/>
          <w:sz w:val="24"/>
          <w:szCs w:val="24"/>
        </w:rPr>
      </w:pPr>
      <w:r w:rsidRPr="00E0229F">
        <w:rPr>
          <w:rFonts w:ascii="Times New Roman" w:hAnsi="Times New Roman"/>
          <w:sz w:val="24"/>
          <w:szCs w:val="24"/>
        </w:rPr>
        <w:t>***</w:t>
      </w:r>
    </w:p>
    <w:p w14:paraId="46486EA5" w14:textId="77777777" w:rsidR="00E0229F" w:rsidRPr="00E0229F" w:rsidRDefault="00E0229F" w:rsidP="00E0229F">
      <w:pPr>
        <w:pStyle w:val="NoSpacing"/>
        <w:ind w:left="720"/>
        <w:rPr>
          <w:rFonts w:ascii="Times New Roman" w:hAnsi="Times New Roman"/>
          <w:sz w:val="24"/>
          <w:szCs w:val="24"/>
        </w:rPr>
      </w:pPr>
      <w:r w:rsidRPr="00E0229F">
        <w:rPr>
          <w:rFonts w:ascii="Times New Roman" w:hAnsi="Times New Roman"/>
          <w:sz w:val="24"/>
          <w:szCs w:val="24"/>
        </w:rPr>
        <w:t>In February 2023, the Board issued its written decision and order. In relevant part,</w:t>
      </w:r>
    </w:p>
    <w:p w14:paraId="63C99218" w14:textId="77777777" w:rsidR="00E0229F" w:rsidRPr="00E0229F" w:rsidRDefault="00E0229F" w:rsidP="00E0229F">
      <w:pPr>
        <w:pStyle w:val="NoSpacing"/>
        <w:ind w:left="720"/>
        <w:rPr>
          <w:rFonts w:ascii="Times New Roman" w:hAnsi="Times New Roman"/>
          <w:sz w:val="24"/>
          <w:szCs w:val="24"/>
        </w:rPr>
      </w:pPr>
      <w:r w:rsidRPr="00E0229F">
        <w:rPr>
          <w:rFonts w:ascii="Times New Roman" w:hAnsi="Times New Roman"/>
          <w:sz w:val="24"/>
          <w:szCs w:val="24"/>
        </w:rPr>
        <w:t>the Board determined plaintiff failed to show ‘that his act or acts of duty, or the cumulative effects thereof, caused or contributed to his disability,’ and he further failed to show ‘that his cancer was related to his service as a firefighter.’ In coming to its conclusion, the Board acknowledged the differences of opinion between the IMEs and Dr. Orris but afforded ‘paramount weight to the opinion of Dr. Campbell’ because he was ‘a board-certified oncologist and therefore in the best position to opine on the cause of the [plaintiff’s] cancer.’</w:t>
      </w:r>
    </w:p>
    <w:p w14:paraId="46F6A0F9" w14:textId="77777777" w:rsidR="00E0229F" w:rsidRPr="00E0229F" w:rsidRDefault="00E0229F" w:rsidP="00E0229F">
      <w:pPr>
        <w:pStyle w:val="NoSpacing"/>
        <w:ind w:left="720"/>
        <w:rPr>
          <w:rFonts w:ascii="Times New Roman" w:hAnsi="Times New Roman"/>
          <w:sz w:val="24"/>
          <w:szCs w:val="24"/>
        </w:rPr>
      </w:pPr>
    </w:p>
    <w:p w14:paraId="7E8A4CC4" w14:textId="77777777" w:rsidR="00E0229F" w:rsidRPr="00E0229F" w:rsidRDefault="00E0229F" w:rsidP="00E0229F">
      <w:pPr>
        <w:pStyle w:val="NoSpacing"/>
        <w:ind w:left="720"/>
        <w:rPr>
          <w:rFonts w:ascii="Times New Roman" w:hAnsi="Times New Roman"/>
          <w:sz w:val="24"/>
          <w:szCs w:val="24"/>
        </w:rPr>
      </w:pPr>
      <w:r w:rsidRPr="00E0229F">
        <w:rPr>
          <w:rFonts w:ascii="Times New Roman" w:hAnsi="Times New Roman"/>
          <w:sz w:val="24"/>
          <w:szCs w:val="24"/>
        </w:rPr>
        <w:t>***</w:t>
      </w:r>
    </w:p>
    <w:p w14:paraId="1AAFF304" w14:textId="77777777" w:rsidR="00E0229F" w:rsidRPr="00E0229F" w:rsidRDefault="00E0229F" w:rsidP="00E0229F">
      <w:pPr>
        <w:pStyle w:val="NoSpacing"/>
        <w:ind w:left="720"/>
        <w:rPr>
          <w:rFonts w:ascii="Times New Roman" w:hAnsi="Times New Roman"/>
          <w:sz w:val="24"/>
          <w:szCs w:val="24"/>
        </w:rPr>
      </w:pPr>
    </w:p>
    <w:p w14:paraId="6B0AA503" w14:textId="77777777" w:rsidR="00E0229F" w:rsidRPr="00E0229F" w:rsidRDefault="00E0229F" w:rsidP="00E0229F">
      <w:pPr>
        <w:pStyle w:val="NoSpacing"/>
        <w:ind w:left="720"/>
        <w:rPr>
          <w:rFonts w:ascii="Times New Roman" w:hAnsi="Times New Roman"/>
          <w:sz w:val="24"/>
          <w:szCs w:val="24"/>
        </w:rPr>
      </w:pPr>
      <w:r w:rsidRPr="00E0229F">
        <w:rPr>
          <w:rFonts w:ascii="Times New Roman" w:hAnsi="Times New Roman"/>
          <w:sz w:val="24"/>
          <w:szCs w:val="24"/>
        </w:rPr>
        <w:t xml:space="preserve">Dr. Nicholas Campbell is a board-certified oncologist specializing in thoracic, head, and neck malignancies. Dr. Campbell ruled out plaintiff’s firefighting duties as a contributing cause of plaintiff’s cancer based on the type of cancer plaintiff had. According to Dr. </w:t>
      </w:r>
      <w:proofErr w:type="gramStart"/>
      <w:r w:rsidRPr="00E0229F">
        <w:rPr>
          <w:rFonts w:ascii="Times New Roman" w:hAnsi="Times New Roman"/>
          <w:sz w:val="24"/>
          <w:szCs w:val="24"/>
        </w:rPr>
        <w:t>Campbell, ‘</w:t>
      </w:r>
      <w:proofErr w:type="gramEnd"/>
      <w:r w:rsidRPr="00E0229F">
        <w:rPr>
          <w:rFonts w:ascii="Times New Roman" w:hAnsi="Times New Roman"/>
          <w:sz w:val="24"/>
          <w:szCs w:val="24"/>
        </w:rPr>
        <w:t xml:space="preserve">p16 is a well-known and highly reproducible molecule for which pathologists routinely test head [and] neck cancers.’ Plaintiff’s tumors tested ‘strongly positive for this molecule,’ and Dr. Campbell concluded plaintiff’s cancer ‘was not caused by heat, radiation, or a known carcinogen that he would have been exposed to at work.’ Dr. Campbell explained, ‘p16 positivity, especially when diffusely positive on a specimen as [plaintiff’s] samples were, is pathognomonic for a cancer caused by HPV. Other cancers that are not HPV related in </w:t>
      </w:r>
      <w:r w:rsidRPr="00E0229F">
        <w:rPr>
          <w:rFonts w:ascii="Times New Roman" w:hAnsi="Times New Roman"/>
          <w:sz w:val="24"/>
          <w:szCs w:val="24"/>
        </w:rPr>
        <w:lastRenderedPageBreak/>
        <w:t xml:space="preserve">the head [and] neck can rarely be seen to be p16 </w:t>
      </w:r>
      <w:proofErr w:type="gramStart"/>
      <w:r w:rsidRPr="00E0229F">
        <w:rPr>
          <w:rFonts w:ascii="Times New Roman" w:hAnsi="Times New Roman"/>
          <w:sz w:val="24"/>
          <w:szCs w:val="24"/>
        </w:rPr>
        <w:t>positive, but</w:t>
      </w:r>
      <w:proofErr w:type="gramEnd"/>
      <w:r w:rsidRPr="00E0229F">
        <w:rPr>
          <w:rFonts w:ascii="Times New Roman" w:hAnsi="Times New Roman"/>
          <w:sz w:val="24"/>
          <w:szCs w:val="24"/>
        </w:rPr>
        <w:t xml:space="preserve"> usually have a primary lesion that is found.’ Dr. Campbell also explained why the negative results of plaintiff’s metastasized samples for the HPV 16 and 18 genotypes did not change his opinion. According to Dr. </w:t>
      </w:r>
      <w:proofErr w:type="gramStart"/>
      <w:r w:rsidRPr="00E0229F">
        <w:rPr>
          <w:rFonts w:ascii="Times New Roman" w:hAnsi="Times New Roman"/>
          <w:sz w:val="24"/>
          <w:szCs w:val="24"/>
        </w:rPr>
        <w:t>Campbell, ‘</w:t>
      </w:r>
      <w:proofErr w:type="gramEnd"/>
      <w:r w:rsidRPr="00E0229F">
        <w:rPr>
          <w:rFonts w:ascii="Times New Roman" w:hAnsi="Times New Roman"/>
          <w:sz w:val="24"/>
          <w:szCs w:val="24"/>
        </w:rPr>
        <w:t>when cancers spread and metastasize, they become more deranged” and “will oftentimes lose the HPV positivity.’ And because plaintiff’s initial biopsy samples were diffusely positive for the p16 molecule, Dr. Campbell reasoned that ‘[t]his would be sort of the one tumor type to get that you can’t really pin on anything else,’ other than HPV.”</w:t>
      </w:r>
    </w:p>
    <w:p w14:paraId="126945A6" w14:textId="77777777" w:rsidR="00E0229F" w:rsidRPr="00E0229F" w:rsidRDefault="00E0229F" w:rsidP="00E0229F">
      <w:pPr>
        <w:pStyle w:val="NoSpacing"/>
        <w:rPr>
          <w:rFonts w:ascii="Times New Roman" w:hAnsi="Times New Roman"/>
          <w:sz w:val="24"/>
          <w:szCs w:val="24"/>
        </w:rPr>
      </w:pPr>
    </w:p>
    <w:p w14:paraId="13E11A92" w14:textId="77777777" w:rsidR="00E0229F" w:rsidRPr="00E0229F" w:rsidRDefault="00E0229F" w:rsidP="00E0229F">
      <w:pPr>
        <w:pStyle w:val="NoSpacing"/>
        <w:rPr>
          <w:rFonts w:ascii="Times New Roman" w:hAnsi="Times New Roman"/>
          <w:sz w:val="24"/>
          <w:szCs w:val="24"/>
        </w:rPr>
      </w:pPr>
    </w:p>
    <w:p w14:paraId="3DC51640" w14:textId="77777777" w:rsidR="00E0229F" w:rsidRPr="00E0229F" w:rsidRDefault="00E0229F" w:rsidP="00E0229F">
      <w:pPr>
        <w:rPr>
          <w:rFonts w:ascii="Times New Roman" w:hAnsi="Times New Roman"/>
          <w:b/>
          <w:bCs/>
          <w:sz w:val="24"/>
          <w:szCs w:val="24"/>
        </w:rPr>
      </w:pPr>
      <w:r w:rsidRPr="00E0229F">
        <w:rPr>
          <w:rFonts w:ascii="Times New Roman" w:hAnsi="Times New Roman"/>
          <w:b/>
          <w:bCs/>
          <w:sz w:val="24"/>
          <w:szCs w:val="24"/>
        </w:rPr>
        <w:t xml:space="preserve">Legal Lesson Learned:  Another case involving “battle of experts” where Pension Board relied on their experts.  Where SCBA during overhaul if smoky environment.  </w:t>
      </w:r>
    </w:p>
    <w:p w14:paraId="4CF36C77" w14:textId="77777777" w:rsidR="00E0229F" w:rsidRDefault="00E0229F" w:rsidP="00E0229F"/>
    <w:p w14:paraId="6B24DC6F" w14:textId="77777777" w:rsidR="00E0229F" w:rsidRDefault="00E0229F" w:rsidP="006C4AD8">
      <w:pPr>
        <w:pStyle w:val="NormalWeb"/>
        <w:spacing w:before="0" w:beforeAutospacing="0"/>
        <w:rPr>
          <w:rFonts w:ascii="Arial Black" w:hAnsi="Arial Black"/>
          <w:b/>
          <w:bCs/>
          <w:color w:val="454545"/>
          <w:sz w:val="28"/>
          <w:szCs w:val="28"/>
          <w:shd w:val="clear" w:color="auto" w:fill="FFFFFF"/>
        </w:rPr>
      </w:pPr>
    </w:p>
    <w:p w14:paraId="26E1D17B" w14:textId="77777777" w:rsidR="00525E67" w:rsidRDefault="00525E67" w:rsidP="006C4AD8">
      <w:pPr>
        <w:pStyle w:val="NormalWeb"/>
        <w:spacing w:before="0" w:beforeAutospacing="0"/>
        <w:rPr>
          <w:rFonts w:ascii="Arial Black" w:hAnsi="Arial Black"/>
          <w:b/>
          <w:bCs/>
          <w:color w:val="454545"/>
          <w:sz w:val="28"/>
          <w:szCs w:val="28"/>
          <w:shd w:val="clear" w:color="auto" w:fill="FFFFFF"/>
        </w:rPr>
      </w:pPr>
    </w:p>
    <w:p w14:paraId="1FB1BDF4" w14:textId="04AAFF3F" w:rsidR="00FF0339" w:rsidRDefault="00FF0339" w:rsidP="006C4AD8">
      <w:pPr>
        <w:pStyle w:val="NormalWeb"/>
        <w:spacing w:before="0" w:beforeAutospacing="0"/>
        <w:rPr>
          <w:rFonts w:ascii="Arial Black" w:hAnsi="Arial Black"/>
          <w:b/>
          <w:bCs/>
          <w:color w:val="454545"/>
          <w:sz w:val="28"/>
          <w:szCs w:val="28"/>
          <w:shd w:val="clear" w:color="auto" w:fill="FFFFFF"/>
        </w:rPr>
      </w:pPr>
      <w:r>
        <w:rPr>
          <w:rFonts w:ascii="Arial Black" w:hAnsi="Arial Black"/>
          <w:b/>
          <w:bCs/>
          <w:color w:val="454545"/>
          <w:sz w:val="28"/>
          <w:szCs w:val="28"/>
          <w:shd w:val="clear" w:color="auto" w:fill="FFFFFF"/>
        </w:rPr>
        <w:t>6-13</w:t>
      </w:r>
      <w:r w:rsidR="002A0697">
        <w:rPr>
          <w:rFonts w:ascii="Arial Black" w:hAnsi="Arial Black"/>
          <w:b/>
          <w:bCs/>
          <w:color w:val="454545"/>
          <w:sz w:val="28"/>
          <w:szCs w:val="28"/>
          <w:shd w:val="clear" w:color="auto" w:fill="FFFFFF"/>
        </w:rPr>
        <w:t>7</w:t>
      </w:r>
    </w:p>
    <w:p w14:paraId="32AD24CE" w14:textId="77777777" w:rsidR="00525E67" w:rsidRPr="0047626B" w:rsidRDefault="00525E67" w:rsidP="00525E67">
      <w:pPr>
        <w:rPr>
          <w:rFonts w:ascii="Arial Black" w:hAnsi="Arial Black"/>
          <w:b/>
          <w:bCs/>
          <w:sz w:val="28"/>
        </w:rPr>
      </w:pPr>
      <w:r>
        <w:rPr>
          <w:rFonts w:ascii="Arial Black" w:hAnsi="Arial Black"/>
          <w:b/>
          <w:bCs/>
          <w:sz w:val="28"/>
        </w:rPr>
        <w:t xml:space="preserve">CT: FIRE CHIEF – CITY CHARTER “PENSION OFFSET” - 75% DISABILITY PENSION OFFSET / WIFE NO MORE WORK COMP </w:t>
      </w:r>
    </w:p>
    <w:p w14:paraId="3769B752" w14:textId="77777777" w:rsidR="00525E67" w:rsidRPr="00525E67" w:rsidRDefault="00525E67" w:rsidP="00525E67">
      <w:pPr>
        <w:pStyle w:val="NoSpacing"/>
        <w:rPr>
          <w:rFonts w:ascii="Times New Roman" w:hAnsi="Times New Roman"/>
          <w:sz w:val="24"/>
          <w:szCs w:val="24"/>
        </w:rPr>
      </w:pPr>
      <w:r w:rsidRPr="00525E67">
        <w:rPr>
          <w:rFonts w:ascii="Times New Roman" w:hAnsi="Times New Roman"/>
          <w:sz w:val="24"/>
          <w:szCs w:val="24"/>
        </w:rPr>
        <w:t xml:space="preserve">On Sept. 24, 2024, in </w:t>
      </w:r>
      <w:r w:rsidRPr="00525E67">
        <w:rPr>
          <w:rFonts w:ascii="Times New Roman" w:hAnsi="Times New Roman"/>
          <w:sz w:val="24"/>
          <w:szCs w:val="24"/>
          <w:u w:val="single"/>
        </w:rPr>
        <w:t>City of Waterbury v. Janet Brennan, et al</w:t>
      </w:r>
      <w:r w:rsidRPr="00525E67">
        <w:rPr>
          <w:rFonts w:ascii="Times New Roman" w:hAnsi="Times New Roman"/>
          <w:sz w:val="24"/>
          <w:szCs w:val="24"/>
        </w:rPr>
        <w:t xml:space="preserve">., the Connecticut Appellant Court held (9 to 0) that the trial court properly granted summary judgment to the city.  Fire Chief Thomas Brennan had a heart attack in 1993 and was awarded worker’s comp; he retired on disability pension in 1995 (75%).  He died in 2006, having received monthly pension payments </w:t>
      </w:r>
      <w:proofErr w:type="gramStart"/>
      <w:r w:rsidRPr="00525E67">
        <w:rPr>
          <w:rFonts w:ascii="Times New Roman" w:hAnsi="Times New Roman"/>
          <w:sz w:val="24"/>
          <w:szCs w:val="24"/>
        </w:rPr>
        <w:t>and also</w:t>
      </w:r>
      <w:proofErr w:type="gramEnd"/>
      <w:r w:rsidRPr="00525E67">
        <w:rPr>
          <w:rFonts w:ascii="Times New Roman" w:hAnsi="Times New Roman"/>
          <w:sz w:val="24"/>
          <w:szCs w:val="24"/>
        </w:rPr>
        <w:t xml:space="preserve"> two worker’s comp lump sum payments in 1997 and 1999.   The </w:t>
      </w:r>
      <w:proofErr w:type="gramStart"/>
      <w:r w:rsidRPr="00525E67">
        <w:rPr>
          <w:rFonts w:ascii="Times New Roman" w:hAnsi="Times New Roman"/>
          <w:sz w:val="24"/>
          <w:szCs w:val="24"/>
        </w:rPr>
        <w:t>City</w:t>
      </w:r>
      <w:proofErr w:type="gramEnd"/>
      <w:r w:rsidRPr="00525E67">
        <w:rPr>
          <w:rFonts w:ascii="Times New Roman" w:hAnsi="Times New Roman"/>
          <w:sz w:val="24"/>
          <w:szCs w:val="24"/>
        </w:rPr>
        <w:t xml:space="preserve"> in 2005 asked Court to confirm no further worker’s comp payments were due to his widow. The City Charter provides that worker’s comp. obligations are to be “offset” by pension payments paid to the retiree.  The Court wrote: “As our Supreme Court observed in Russo v. Waterbury, 304 Conn. 710, 714, 41 A.3d 1033 (2012), § 2761 of the city charter ‘‘allows the city to offset the . . . pension benefits [of municipal employees] based on their heart and hypertension benefits’’ under § 7-433c.”</w:t>
      </w:r>
    </w:p>
    <w:p w14:paraId="6DAA9F60" w14:textId="77777777" w:rsidR="00525E67" w:rsidRPr="00525E67" w:rsidRDefault="00525E67" w:rsidP="00525E67">
      <w:pPr>
        <w:pStyle w:val="NoSpacing"/>
        <w:rPr>
          <w:rFonts w:ascii="Times New Roman" w:hAnsi="Times New Roman"/>
          <w:sz w:val="24"/>
          <w:szCs w:val="24"/>
        </w:rPr>
      </w:pPr>
      <w:hyperlink r:id="rId1095" w:history="1">
        <w:r w:rsidRPr="00525E67">
          <w:rPr>
            <w:rStyle w:val="Hyperlink"/>
            <w:rFonts w:ascii="Times New Roman" w:hAnsi="Times New Roman"/>
            <w:sz w:val="24"/>
            <w:szCs w:val="24"/>
          </w:rPr>
          <w:t>https://www.jud.ct.gov/external/supapp/Cases/AROap/AP228/AP228.307.pdf</w:t>
        </w:r>
      </w:hyperlink>
      <w:r w:rsidRPr="00525E67">
        <w:rPr>
          <w:rFonts w:ascii="Times New Roman" w:hAnsi="Times New Roman"/>
          <w:sz w:val="24"/>
          <w:szCs w:val="24"/>
        </w:rPr>
        <w:t xml:space="preserve"> </w:t>
      </w:r>
    </w:p>
    <w:p w14:paraId="45B116DE" w14:textId="77777777" w:rsidR="00525E67" w:rsidRPr="00525E67" w:rsidRDefault="00525E67" w:rsidP="00525E67">
      <w:pPr>
        <w:pStyle w:val="NoSpacing"/>
        <w:jc w:val="both"/>
        <w:rPr>
          <w:rFonts w:ascii="Times New Roman" w:hAnsi="Times New Roman"/>
          <w:sz w:val="24"/>
          <w:szCs w:val="24"/>
        </w:rPr>
      </w:pPr>
    </w:p>
    <w:p w14:paraId="35C71931" w14:textId="77777777" w:rsidR="00525E67" w:rsidRPr="00525E67" w:rsidRDefault="00525E67" w:rsidP="00525E67">
      <w:pPr>
        <w:pStyle w:val="NoSpacing"/>
        <w:rPr>
          <w:rFonts w:ascii="Times New Roman" w:hAnsi="Times New Roman"/>
          <w:sz w:val="24"/>
          <w:szCs w:val="24"/>
        </w:rPr>
      </w:pPr>
      <w:r w:rsidRPr="00525E67">
        <w:rPr>
          <w:rFonts w:ascii="Times New Roman" w:hAnsi="Times New Roman"/>
          <w:sz w:val="24"/>
          <w:szCs w:val="24"/>
        </w:rPr>
        <w:t xml:space="preserve"> THE COURT HELD: </w:t>
      </w:r>
    </w:p>
    <w:p w14:paraId="321E3EC6" w14:textId="77777777" w:rsidR="00525E67" w:rsidRPr="00525E67" w:rsidRDefault="00525E67" w:rsidP="00525E67">
      <w:pPr>
        <w:pStyle w:val="NoSpacing"/>
        <w:rPr>
          <w:rFonts w:ascii="Times New Roman" w:hAnsi="Times New Roman"/>
          <w:sz w:val="24"/>
          <w:szCs w:val="24"/>
        </w:rPr>
      </w:pPr>
    </w:p>
    <w:p w14:paraId="4D5B00D4" w14:textId="77777777" w:rsidR="00525E67" w:rsidRPr="00525E67" w:rsidRDefault="00525E67" w:rsidP="00525E67">
      <w:pPr>
        <w:pStyle w:val="NoSpacing"/>
        <w:ind w:left="720"/>
        <w:rPr>
          <w:rFonts w:ascii="Times New Roman" w:hAnsi="Times New Roman"/>
          <w:sz w:val="24"/>
          <w:szCs w:val="24"/>
        </w:rPr>
      </w:pPr>
      <w:r w:rsidRPr="00525E67">
        <w:rPr>
          <w:rFonts w:ascii="Times New Roman" w:hAnsi="Times New Roman"/>
          <w:sz w:val="24"/>
          <w:szCs w:val="24"/>
        </w:rPr>
        <w:t>“In this action for declaratory relief, the defendant Janet Brennan appeals from the judgment of the trial court rendered in favor of the plaintiff, the city of Waterbury (city). On appeal, the defendant claims that the court improperly denied her motion for summary judgment and, relatedly, that it improperly granted the motion for summary judgment filed by the city. We affirm the judgment of the trial court.</w:t>
      </w:r>
    </w:p>
    <w:p w14:paraId="373BA91F" w14:textId="77777777" w:rsidR="00525E67" w:rsidRPr="00525E67" w:rsidRDefault="00525E67" w:rsidP="00525E67">
      <w:pPr>
        <w:pStyle w:val="NoSpacing"/>
        <w:rPr>
          <w:rFonts w:ascii="Times New Roman" w:hAnsi="Times New Roman"/>
          <w:sz w:val="24"/>
          <w:szCs w:val="24"/>
        </w:rPr>
      </w:pPr>
    </w:p>
    <w:p w14:paraId="06D3D784" w14:textId="77777777" w:rsidR="00525E67" w:rsidRPr="00525E67" w:rsidRDefault="00525E67" w:rsidP="00525E67">
      <w:pPr>
        <w:pStyle w:val="NoSpacing"/>
        <w:ind w:firstLine="720"/>
        <w:rPr>
          <w:rFonts w:ascii="Times New Roman" w:hAnsi="Times New Roman"/>
          <w:sz w:val="24"/>
          <w:szCs w:val="24"/>
        </w:rPr>
      </w:pPr>
      <w:r w:rsidRPr="00525E67">
        <w:rPr>
          <w:rFonts w:ascii="Times New Roman" w:hAnsi="Times New Roman"/>
          <w:sz w:val="24"/>
          <w:szCs w:val="24"/>
        </w:rPr>
        <w:t>***</w:t>
      </w:r>
    </w:p>
    <w:p w14:paraId="07FFA0D9" w14:textId="77777777" w:rsidR="00525E67" w:rsidRPr="00525E67" w:rsidRDefault="00525E67" w:rsidP="00525E67">
      <w:pPr>
        <w:ind w:left="720"/>
        <w:rPr>
          <w:rFonts w:ascii="Times New Roman" w:hAnsi="Times New Roman"/>
          <w:sz w:val="24"/>
          <w:szCs w:val="24"/>
        </w:rPr>
      </w:pPr>
      <w:r w:rsidRPr="00525E67">
        <w:rPr>
          <w:rFonts w:ascii="Times New Roman" w:hAnsi="Times New Roman"/>
          <w:sz w:val="24"/>
          <w:szCs w:val="24"/>
        </w:rPr>
        <w:t xml:space="preserve">The city commenced the present action by service of process on December 24, 2015. The gist of its complaint was that, due to a pension offset provision in </w:t>
      </w:r>
      <w:proofErr w:type="gramStart"/>
      <w:r w:rsidRPr="00525E67">
        <w:rPr>
          <w:rFonts w:ascii="Times New Roman" w:hAnsi="Times New Roman"/>
          <w:sz w:val="24"/>
          <w:szCs w:val="24"/>
        </w:rPr>
        <w:t>the 1967</w:t>
      </w:r>
      <w:proofErr w:type="gramEnd"/>
      <w:r w:rsidRPr="00525E67">
        <w:rPr>
          <w:rFonts w:ascii="Times New Roman" w:hAnsi="Times New Roman"/>
          <w:sz w:val="24"/>
          <w:szCs w:val="24"/>
        </w:rPr>
        <w:t xml:space="preserve"> Waterbury city charter (city charter), no further heart and hypertension payments were due to the defendant.</w:t>
      </w:r>
    </w:p>
    <w:p w14:paraId="74CA59A7" w14:textId="77777777" w:rsidR="00525E67" w:rsidRPr="00525E67" w:rsidRDefault="00525E67" w:rsidP="00525E67">
      <w:pPr>
        <w:ind w:firstLine="720"/>
        <w:rPr>
          <w:rFonts w:ascii="Times New Roman" w:hAnsi="Times New Roman"/>
          <w:sz w:val="24"/>
          <w:szCs w:val="24"/>
        </w:rPr>
      </w:pPr>
      <w:r w:rsidRPr="00525E67">
        <w:rPr>
          <w:rFonts w:ascii="Times New Roman" w:hAnsi="Times New Roman"/>
          <w:sz w:val="24"/>
          <w:szCs w:val="24"/>
        </w:rPr>
        <w:t>***</w:t>
      </w:r>
    </w:p>
    <w:p w14:paraId="11DE5E0C" w14:textId="77777777" w:rsidR="00525E67" w:rsidRPr="00525E67" w:rsidRDefault="00525E67" w:rsidP="00525E67">
      <w:pPr>
        <w:pStyle w:val="NoSpacing"/>
        <w:ind w:left="720"/>
        <w:rPr>
          <w:rFonts w:ascii="Times New Roman" w:hAnsi="Times New Roman"/>
          <w:sz w:val="24"/>
          <w:szCs w:val="24"/>
        </w:rPr>
      </w:pPr>
      <w:r w:rsidRPr="00525E67">
        <w:rPr>
          <w:rFonts w:ascii="Times New Roman" w:hAnsi="Times New Roman"/>
          <w:sz w:val="24"/>
          <w:szCs w:val="24"/>
        </w:rPr>
        <w:lastRenderedPageBreak/>
        <w:t xml:space="preserve">Section 2761 of the city charter provides: ‘’No payments of retirement, disability or death benefits shall be allowed or paid under the provisions of this act so long or for such period as payments are being made by [the city] under the provisions of the General Statutes relating to workers’ compensation except when such payments would exceed the payments made under the provisions of the Workers’ Compensation Act. In such cases the pensioner shall receive, in addition to his payments under the Workers’ Compensation </w:t>
      </w:r>
      <w:proofErr w:type="gramStart"/>
      <w:r w:rsidRPr="00525E67">
        <w:rPr>
          <w:rFonts w:ascii="Times New Roman" w:hAnsi="Times New Roman"/>
          <w:sz w:val="24"/>
          <w:szCs w:val="24"/>
        </w:rPr>
        <w:t>Act</w:t>
      </w:r>
      <w:proofErr w:type="gramEnd"/>
      <w:r w:rsidRPr="00525E67">
        <w:rPr>
          <w:rFonts w:ascii="Times New Roman" w:hAnsi="Times New Roman"/>
          <w:sz w:val="24"/>
          <w:szCs w:val="24"/>
        </w:rPr>
        <w:t xml:space="preserve"> the difference between that amount and the amount which he would have received under the provisions of this </w:t>
      </w:r>
      <w:proofErr w:type="gramStart"/>
      <w:r w:rsidRPr="00525E67">
        <w:rPr>
          <w:rFonts w:ascii="Times New Roman" w:hAnsi="Times New Roman"/>
          <w:sz w:val="24"/>
          <w:szCs w:val="24"/>
        </w:rPr>
        <w:t>act.’</w:t>
      </w:r>
      <w:proofErr w:type="gramEnd"/>
      <w:r w:rsidRPr="00525E67">
        <w:rPr>
          <w:rFonts w:ascii="Times New Roman" w:hAnsi="Times New Roman"/>
          <w:sz w:val="24"/>
          <w:szCs w:val="24"/>
        </w:rPr>
        <w:t>’ In Russo v. Waterbury, supra, 304 Conn. 714, our Supreme Court concluded that § 2761 of the city charter ’allows the city to offset the . . . pension benefits [of municipal employees] based on their heart and hypertension benefits’’ under § 7-433c.’”</w:t>
      </w:r>
    </w:p>
    <w:p w14:paraId="1ACAA7F0" w14:textId="77777777" w:rsidR="00525E67" w:rsidRPr="00525E67" w:rsidRDefault="00525E67" w:rsidP="00525E67">
      <w:pPr>
        <w:pStyle w:val="NoSpacing"/>
        <w:ind w:left="720"/>
        <w:rPr>
          <w:rFonts w:ascii="Times New Roman" w:hAnsi="Times New Roman"/>
          <w:sz w:val="24"/>
          <w:szCs w:val="24"/>
        </w:rPr>
      </w:pPr>
    </w:p>
    <w:p w14:paraId="6B9950CA" w14:textId="77777777" w:rsidR="00525E67" w:rsidRPr="00525E67" w:rsidRDefault="00525E67" w:rsidP="00525E67">
      <w:pPr>
        <w:pStyle w:val="NoSpacing"/>
        <w:rPr>
          <w:rFonts w:ascii="Times New Roman" w:hAnsi="Times New Roman"/>
          <w:sz w:val="24"/>
          <w:szCs w:val="24"/>
        </w:rPr>
      </w:pPr>
    </w:p>
    <w:p w14:paraId="1DA4930A" w14:textId="77777777" w:rsidR="00525E67" w:rsidRPr="00525E67" w:rsidRDefault="00525E67" w:rsidP="00525E67">
      <w:pPr>
        <w:rPr>
          <w:rFonts w:ascii="Times New Roman" w:hAnsi="Times New Roman"/>
          <w:sz w:val="24"/>
          <w:szCs w:val="24"/>
        </w:rPr>
      </w:pPr>
    </w:p>
    <w:p w14:paraId="4DA998E9" w14:textId="77777777" w:rsidR="00525E67" w:rsidRPr="00525E67" w:rsidRDefault="00525E67" w:rsidP="00525E67">
      <w:pPr>
        <w:rPr>
          <w:rFonts w:ascii="Times New Roman" w:hAnsi="Times New Roman"/>
          <w:b/>
          <w:bCs/>
          <w:sz w:val="24"/>
          <w:szCs w:val="24"/>
        </w:rPr>
      </w:pPr>
      <w:r w:rsidRPr="00525E67">
        <w:rPr>
          <w:rFonts w:ascii="Times New Roman" w:hAnsi="Times New Roman"/>
          <w:b/>
          <w:bCs/>
          <w:sz w:val="24"/>
          <w:szCs w:val="24"/>
        </w:rPr>
        <w:t xml:space="preserve">Legal Lesson Learned: A City Charter can provide for “offset” so the city will not be required to pay both workers comp and pension. </w:t>
      </w:r>
    </w:p>
    <w:p w14:paraId="7E5BF7E9" w14:textId="77777777" w:rsidR="00525E67" w:rsidRDefault="00525E67" w:rsidP="00525E67"/>
    <w:p w14:paraId="6E9E6046" w14:textId="229DE5E2" w:rsidR="003F2075" w:rsidRDefault="003F2075" w:rsidP="006C4AD8">
      <w:pPr>
        <w:pStyle w:val="NormalWeb"/>
        <w:spacing w:before="0" w:beforeAutospacing="0"/>
        <w:rPr>
          <w:rFonts w:ascii="Arial Black" w:hAnsi="Arial Black"/>
          <w:b/>
          <w:bCs/>
          <w:color w:val="454545"/>
          <w:sz w:val="28"/>
          <w:szCs w:val="28"/>
          <w:shd w:val="clear" w:color="auto" w:fill="FFFFFF"/>
        </w:rPr>
      </w:pPr>
      <w:r>
        <w:rPr>
          <w:rFonts w:ascii="Arial Black" w:hAnsi="Arial Black"/>
          <w:b/>
          <w:bCs/>
          <w:color w:val="454545"/>
          <w:sz w:val="28"/>
          <w:szCs w:val="28"/>
          <w:shd w:val="clear" w:color="auto" w:fill="FFFFFF"/>
        </w:rPr>
        <w:t>6-13</w:t>
      </w:r>
      <w:r w:rsidR="002A0697">
        <w:rPr>
          <w:rFonts w:ascii="Arial Black" w:hAnsi="Arial Black"/>
          <w:b/>
          <w:bCs/>
          <w:color w:val="454545"/>
          <w:sz w:val="28"/>
          <w:szCs w:val="28"/>
          <w:shd w:val="clear" w:color="auto" w:fill="FFFFFF"/>
        </w:rPr>
        <w:t>6</w:t>
      </w:r>
    </w:p>
    <w:p w14:paraId="77CDEA8F" w14:textId="77777777" w:rsidR="00C81642" w:rsidRDefault="00C81642" w:rsidP="00C81642">
      <w:pPr>
        <w:pStyle w:val="NoSpacing"/>
        <w:rPr>
          <w:rFonts w:ascii="Aptos Black" w:hAnsi="Aptos Black"/>
          <w:sz w:val="28"/>
        </w:rPr>
      </w:pPr>
      <w:r>
        <w:rPr>
          <w:rFonts w:ascii="Arial Black" w:hAnsi="Arial Black"/>
          <w:sz w:val="28"/>
        </w:rPr>
        <w:t xml:space="preserve">MA: BOSTON FF – MUSLIM – REFUSED COVID WEEKLY TESTING OR VACINATION – NO UNEMPLOYMENT </w:t>
      </w:r>
    </w:p>
    <w:p w14:paraId="31AC6C68" w14:textId="77777777" w:rsidR="00C81642" w:rsidRDefault="00C81642" w:rsidP="00C81642">
      <w:pPr>
        <w:pStyle w:val="NoSpacing"/>
        <w:rPr>
          <w:rFonts w:ascii="Aptos Black" w:hAnsi="Aptos Black"/>
          <w:sz w:val="28"/>
        </w:rPr>
      </w:pPr>
    </w:p>
    <w:p w14:paraId="3EC7A062" w14:textId="77777777" w:rsidR="00C81642" w:rsidRPr="00C81642" w:rsidRDefault="00C81642" w:rsidP="00C81642">
      <w:pPr>
        <w:pStyle w:val="NoSpacing"/>
        <w:rPr>
          <w:rFonts w:ascii="Times New Roman" w:hAnsi="Times New Roman"/>
          <w:sz w:val="24"/>
          <w:szCs w:val="24"/>
        </w:rPr>
      </w:pPr>
      <w:r w:rsidRPr="00C81642">
        <w:rPr>
          <w:rFonts w:ascii="Times New Roman" w:hAnsi="Times New Roman"/>
          <w:sz w:val="24"/>
          <w:szCs w:val="24"/>
        </w:rPr>
        <w:t xml:space="preserve">On August 28, 2024, in </w:t>
      </w:r>
      <w:r w:rsidRPr="00C81642">
        <w:rPr>
          <w:rFonts w:ascii="Times New Roman" w:hAnsi="Times New Roman"/>
          <w:sz w:val="24"/>
          <w:szCs w:val="24"/>
          <w:u w:val="single"/>
        </w:rPr>
        <w:t>Michael Browder v. Department of Unemployment Assistance</w:t>
      </w:r>
      <w:r w:rsidRPr="00C81642">
        <w:rPr>
          <w:rFonts w:ascii="Times New Roman" w:hAnsi="Times New Roman"/>
          <w:sz w:val="24"/>
          <w:szCs w:val="24"/>
        </w:rPr>
        <w:t xml:space="preserve">, the Appeals Court of Massachusetts held (3 to 0) that the former Boston firefighter was not entitled to unemployment compensation.  The Court wrote: “As directed, the [unemployment hearing] examiner made one additional finding: </w:t>
      </w:r>
    </w:p>
    <w:p w14:paraId="0B6097D6" w14:textId="77777777" w:rsidR="00C81642" w:rsidRPr="00C81642" w:rsidRDefault="00C81642" w:rsidP="00C81642">
      <w:pPr>
        <w:pStyle w:val="NoSpacing"/>
        <w:ind w:left="720"/>
        <w:rPr>
          <w:rFonts w:ascii="Times New Roman" w:hAnsi="Times New Roman"/>
          <w:sz w:val="24"/>
          <w:szCs w:val="24"/>
        </w:rPr>
      </w:pPr>
    </w:p>
    <w:p w14:paraId="13ADA41E" w14:textId="77777777" w:rsidR="00C81642" w:rsidRPr="00C81642" w:rsidRDefault="00C81642" w:rsidP="00C81642">
      <w:pPr>
        <w:pStyle w:val="NoSpacing"/>
        <w:ind w:left="720"/>
        <w:rPr>
          <w:rFonts w:ascii="Times New Roman" w:hAnsi="Times New Roman"/>
          <w:sz w:val="24"/>
          <w:szCs w:val="24"/>
        </w:rPr>
      </w:pPr>
      <w:r w:rsidRPr="00C81642">
        <w:rPr>
          <w:rFonts w:ascii="Times New Roman" w:hAnsi="Times New Roman"/>
          <w:sz w:val="24"/>
          <w:szCs w:val="24"/>
        </w:rPr>
        <w:t>‘Since being placed on an employer-imposed leave of absence, [Browder] has not been actively seeking work because he only wants to be a firefighter and feels that other municipalities would not hire him because of his vaccination status.’ Adopting the review examiner's factual findings in their entirety, the board reached a different conclusion: Browder was neither totally nor partially unemployed under G. L. c. 151A, §§ 1 (r) and 29, and was therefore ineligible for unemployment benefits.</w:t>
      </w:r>
    </w:p>
    <w:p w14:paraId="077DCF4B" w14:textId="77777777" w:rsidR="00C81642" w:rsidRPr="00C81642" w:rsidRDefault="00C81642" w:rsidP="00C81642">
      <w:pPr>
        <w:pStyle w:val="NoSpacing"/>
        <w:rPr>
          <w:rFonts w:ascii="Times New Roman" w:hAnsi="Times New Roman"/>
          <w:sz w:val="24"/>
          <w:szCs w:val="24"/>
        </w:rPr>
      </w:pPr>
    </w:p>
    <w:p w14:paraId="00863329" w14:textId="77777777" w:rsidR="00C81642" w:rsidRPr="00C81642" w:rsidRDefault="00C81642" w:rsidP="00C81642">
      <w:pPr>
        <w:pStyle w:val="NoSpacing"/>
        <w:rPr>
          <w:rFonts w:ascii="Times New Roman" w:hAnsi="Times New Roman"/>
          <w:sz w:val="24"/>
          <w:szCs w:val="24"/>
        </w:rPr>
      </w:pPr>
      <w:r w:rsidRPr="00C81642">
        <w:rPr>
          <w:rFonts w:ascii="Times New Roman" w:hAnsi="Times New Roman"/>
          <w:sz w:val="24"/>
          <w:szCs w:val="24"/>
        </w:rPr>
        <w:t xml:space="preserve">In the BMC [Boston Municipal Court], Browder argued that the board failed to provide a full remand hearing with an opportunity for Browder to testify and submit evidence of his search for work. While the remand procedure employed by the board does indeed appear unorthodox, Browder's principal brief provides no legal authority demonstrating that the procedure violated any statute, regulation, or Browder's due process rights. Nor does he provide any basis for us to conclude that the board's decision, to which we owe substantial deference, was arbitrary or capricious, was not based on correct legal principles, or was not supported by substantial </w:t>
      </w:r>
      <w:proofErr w:type="gramStart"/>
      <w:r w:rsidRPr="00C81642">
        <w:rPr>
          <w:rFonts w:ascii="Times New Roman" w:hAnsi="Times New Roman"/>
          <w:sz w:val="24"/>
          <w:szCs w:val="24"/>
        </w:rPr>
        <w:t>evidence.”</w:t>
      </w:r>
      <w:proofErr w:type="gramEnd"/>
      <w:r w:rsidRPr="00C81642">
        <w:rPr>
          <w:rFonts w:ascii="Times New Roman" w:hAnsi="Times New Roman"/>
          <w:sz w:val="24"/>
          <w:szCs w:val="24"/>
        </w:rPr>
        <w:t xml:space="preserve"> </w:t>
      </w:r>
      <w:hyperlink r:id="rId1096" w:history="1">
        <w:r w:rsidRPr="00C81642">
          <w:rPr>
            <w:rStyle w:val="Hyperlink"/>
            <w:rFonts w:ascii="Times New Roman" w:hAnsi="Times New Roman"/>
            <w:sz w:val="24"/>
            <w:szCs w:val="24"/>
          </w:rPr>
          <w:t>https://caselaw.findlaw.com/court/ma-court-of-appeals/116528710.html</w:t>
        </w:r>
      </w:hyperlink>
      <w:r w:rsidRPr="00C81642">
        <w:rPr>
          <w:rFonts w:ascii="Times New Roman" w:hAnsi="Times New Roman"/>
          <w:sz w:val="24"/>
          <w:szCs w:val="24"/>
        </w:rPr>
        <w:t xml:space="preserve"> </w:t>
      </w:r>
    </w:p>
    <w:p w14:paraId="3765673D" w14:textId="77777777" w:rsidR="00C81642" w:rsidRPr="00C81642" w:rsidRDefault="00C81642" w:rsidP="00C81642">
      <w:pPr>
        <w:pStyle w:val="NoSpacing"/>
        <w:rPr>
          <w:rFonts w:ascii="Times New Roman" w:hAnsi="Times New Roman"/>
          <w:sz w:val="24"/>
          <w:szCs w:val="24"/>
        </w:rPr>
      </w:pPr>
    </w:p>
    <w:p w14:paraId="4836639B" w14:textId="77777777" w:rsidR="00C81642" w:rsidRPr="00C81642" w:rsidRDefault="00C81642" w:rsidP="00C81642">
      <w:pPr>
        <w:pStyle w:val="NoSpacing"/>
        <w:rPr>
          <w:rFonts w:ascii="Times New Roman" w:hAnsi="Times New Roman"/>
          <w:sz w:val="24"/>
          <w:szCs w:val="24"/>
        </w:rPr>
      </w:pPr>
      <w:r w:rsidRPr="00C81642">
        <w:rPr>
          <w:rFonts w:ascii="Times New Roman" w:hAnsi="Times New Roman"/>
          <w:sz w:val="24"/>
          <w:szCs w:val="24"/>
        </w:rPr>
        <w:t>THE COURT HELD:</w:t>
      </w:r>
    </w:p>
    <w:p w14:paraId="69980B72" w14:textId="77777777" w:rsidR="00C81642" w:rsidRPr="00C81642" w:rsidRDefault="00C81642" w:rsidP="00C81642">
      <w:pPr>
        <w:pStyle w:val="NoSpacing"/>
        <w:rPr>
          <w:rFonts w:ascii="Times New Roman" w:hAnsi="Times New Roman"/>
          <w:sz w:val="24"/>
          <w:szCs w:val="24"/>
        </w:rPr>
      </w:pPr>
    </w:p>
    <w:p w14:paraId="08FC01F7" w14:textId="77777777" w:rsidR="00C81642" w:rsidRPr="00C81642" w:rsidRDefault="00C81642" w:rsidP="00C81642">
      <w:pPr>
        <w:pStyle w:val="NoSpacing"/>
        <w:ind w:left="720"/>
        <w:rPr>
          <w:rFonts w:ascii="Times New Roman" w:hAnsi="Times New Roman"/>
          <w:sz w:val="24"/>
          <w:szCs w:val="24"/>
        </w:rPr>
      </w:pPr>
      <w:r w:rsidRPr="00C81642">
        <w:rPr>
          <w:rFonts w:ascii="Times New Roman" w:hAnsi="Times New Roman"/>
          <w:sz w:val="24"/>
          <w:szCs w:val="24"/>
        </w:rPr>
        <w:t>“The judge had no obligation to take Browder's testimony, as the administrative agency is the sole finder of fact and judicial review is based on the administrative record. See Curtis v. Commissioner of the Div. of Unemployment Assistance, 68 Mass. App. Ct. 516, 519 (2007). Live testimony is not necessary where the claims of irregularities in the agency procedure can be decided on the record.”</w:t>
      </w:r>
    </w:p>
    <w:p w14:paraId="46E40346" w14:textId="77777777" w:rsidR="00C81642" w:rsidRPr="00C81642" w:rsidRDefault="00C81642" w:rsidP="00C81642">
      <w:pPr>
        <w:pStyle w:val="NoSpacing"/>
        <w:rPr>
          <w:rFonts w:ascii="Times New Roman" w:hAnsi="Times New Roman"/>
          <w:sz w:val="24"/>
          <w:szCs w:val="24"/>
        </w:rPr>
      </w:pPr>
    </w:p>
    <w:p w14:paraId="7BBB6E83" w14:textId="77777777" w:rsidR="00C81642" w:rsidRPr="00C81642" w:rsidRDefault="00C81642" w:rsidP="00C81642">
      <w:pPr>
        <w:pStyle w:val="NoSpacing"/>
        <w:ind w:left="720"/>
        <w:rPr>
          <w:rFonts w:ascii="Times New Roman" w:hAnsi="Times New Roman"/>
          <w:sz w:val="24"/>
          <w:szCs w:val="24"/>
        </w:rPr>
      </w:pPr>
    </w:p>
    <w:p w14:paraId="608B8821" w14:textId="77777777" w:rsidR="00C81642" w:rsidRPr="00C81642" w:rsidRDefault="00C81642" w:rsidP="00C81642">
      <w:pPr>
        <w:pStyle w:val="NoSpacing"/>
        <w:rPr>
          <w:rFonts w:ascii="Times New Roman" w:hAnsi="Times New Roman"/>
          <w:b/>
          <w:bCs/>
          <w:sz w:val="24"/>
          <w:szCs w:val="24"/>
        </w:rPr>
      </w:pPr>
      <w:r w:rsidRPr="00C81642">
        <w:rPr>
          <w:rFonts w:ascii="Times New Roman" w:hAnsi="Times New Roman"/>
          <w:b/>
          <w:bCs/>
          <w:sz w:val="24"/>
          <w:szCs w:val="24"/>
        </w:rPr>
        <w:t xml:space="preserve">Legal Lesson Learned:  Unemployment denied for failure to comply with COVID safety precautions. </w:t>
      </w:r>
    </w:p>
    <w:p w14:paraId="63F25398" w14:textId="77777777" w:rsidR="00C81642" w:rsidRDefault="00C81642" w:rsidP="00C81642">
      <w:pPr>
        <w:pStyle w:val="NoSpacing"/>
        <w:rPr>
          <w:szCs w:val="24"/>
        </w:rPr>
      </w:pPr>
    </w:p>
    <w:p w14:paraId="56D0DD75" w14:textId="77777777" w:rsidR="003F2075" w:rsidRDefault="003F2075" w:rsidP="006C4AD8">
      <w:pPr>
        <w:pStyle w:val="NormalWeb"/>
        <w:spacing w:before="0" w:beforeAutospacing="0"/>
        <w:rPr>
          <w:rFonts w:ascii="Arial Black" w:hAnsi="Arial Black"/>
          <w:b/>
          <w:bCs/>
          <w:color w:val="454545"/>
          <w:sz w:val="28"/>
          <w:szCs w:val="28"/>
          <w:shd w:val="clear" w:color="auto" w:fill="FFFFFF"/>
        </w:rPr>
      </w:pPr>
    </w:p>
    <w:p w14:paraId="5E37FC36" w14:textId="5D974DE5" w:rsidR="004F15A5" w:rsidRDefault="004F15A5" w:rsidP="006C4AD8">
      <w:pPr>
        <w:pStyle w:val="NormalWeb"/>
        <w:spacing w:before="0" w:beforeAutospacing="0"/>
        <w:rPr>
          <w:rFonts w:ascii="Arial Black" w:hAnsi="Arial Black"/>
          <w:b/>
          <w:bCs/>
          <w:color w:val="454545"/>
          <w:sz w:val="28"/>
          <w:szCs w:val="28"/>
          <w:shd w:val="clear" w:color="auto" w:fill="FFFFFF"/>
        </w:rPr>
      </w:pPr>
      <w:r>
        <w:rPr>
          <w:rFonts w:ascii="Arial Black" w:hAnsi="Arial Black"/>
          <w:b/>
          <w:bCs/>
          <w:color w:val="454545"/>
          <w:sz w:val="28"/>
          <w:szCs w:val="28"/>
          <w:shd w:val="clear" w:color="auto" w:fill="FFFFFF"/>
        </w:rPr>
        <w:t>6-13</w:t>
      </w:r>
      <w:r w:rsidR="002A0697">
        <w:rPr>
          <w:rFonts w:ascii="Arial Black" w:hAnsi="Arial Black"/>
          <w:b/>
          <w:bCs/>
          <w:color w:val="454545"/>
          <w:sz w:val="28"/>
          <w:szCs w:val="28"/>
          <w:shd w:val="clear" w:color="auto" w:fill="FFFFFF"/>
        </w:rPr>
        <w:t>5</w:t>
      </w:r>
    </w:p>
    <w:p w14:paraId="2A191D1D" w14:textId="77777777" w:rsidR="004B21EA" w:rsidRPr="00F5128A" w:rsidRDefault="004B21EA" w:rsidP="004B21EA">
      <w:pPr>
        <w:pStyle w:val="NormalWeb"/>
        <w:rPr>
          <w:rFonts w:ascii="Arial Black" w:hAnsi="Arial Black"/>
          <w:b/>
          <w:bCs/>
          <w:color w:val="454545"/>
          <w:sz w:val="28"/>
          <w:szCs w:val="28"/>
          <w:shd w:val="clear" w:color="auto" w:fill="FFFFFF"/>
        </w:rPr>
      </w:pPr>
      <w:r>
        <w:rPr>
          <w:rFonts w:ascii="Arial Black" w:hAnsi="Arial Black"/>
          <w:b/>
          <w:bCs/>
          <w:color w:val="454545"/>
          <w:sz w:val="28"/>
          <w:szCs w:val="28"/>
          <w:shd w:val="clear" w:color="auto" w:fill="FFFFFF"/>
        </w:rPr>
        <w:t>IL: FF LINE-OF-DUTY KNEE INJURY – 6 YRS LITIGATION – GETS HEALTH INSURANCE – REIMBURSED PRIVATE PAY</w:t>
      </w:r>
    </w:p>
    <w:p w14:paraId="207EA74C" w14:textId="77777777" w:rsidR="004B21EA" w:rsidRDefault="004B21EA" w:rsidP="004B21EA">
      <w:pPr>
        <w:pStyle w:val="NoSpacing"/>
        <w:rPr>
          <w:rFonts w:ascii="Times New Roman" w:hAnsi="Times New Roman"/>
          <w:sz w:val="24"/>
          <w:szCs w:val="24"/>
          <w:shd w:val="clear" w:color="auto" w:fill="FFFFFF"/>
        </w:rPr>
      </w:pPr>
      <w:r>
        <w:rPr>
          <w:rFonts w:ascii="Times New Roman" w:hAnsi="Times New Roman"/>
          <w:sz w:val="24"/>
          <w:szCs w:val="24"/>
          <w:shd w:val="clear" w:color="auto" w:fill="FFFFFF"/>
        </w:rPr>
        <w:t xml:space="preserve">On July 29, 2024, in </w:t>
      </w:r>
      <w:r w:rsidRPr="00C81CE6">
        <w:rPr>
          <w:rFonts w:ascii="Times New Roman" w:hAnsi="Times New Roman"/>
          <w:sz w:val="24"/>
          <w:szCs w:val="24"/>
          <w:u w:val="single"/>
          <w:shd w:val="clear" w:color="auto" w:fill="FFFFFF"/>
        </w:rPr>
        <w:t xml:space="preserve">Benno </w:t>
      </w:r>
      <w:proofErr w:type="spellStart"/>
      <w:r w:rsidRPr="00C81CE6">
        <w:rPr>
          <w:rFonts w:ascii="Times New Roman" w:hAnsi="Times New Roman"/>
          <w:sz w:val="24"/>
          <w:szCs w:val="24"/>
          <w:u w:val="single"/>
          <w:shd w:val="clear" w:color="auto" w:fill="FFFFFF"/>
        </w:rPr>
        <w:t>Ceyer</w:t>
      </w:r>
      <w:proofErr w:type="spellEnd"/>
      <w:r w:rsidRPr="00C81CE6">
        <w:rPr>
          <w:rFonts w:ascii="Times New Roman" w:hAnsi="Times New Roman"/>
          <w:sz w:val="24"/>
          <w:szCs w:val="24"/>
          <w:u w:val="single"/>
          <w:shd w:val="clear" w:color="auto" w:fill="FFFFFF"/>
        </w:rPr>
        <w:t>, et al. v. The City of Berwyn</w:t>
      </w:r>
      <w:r>
        <w:rPr>
          <w:rFonts w:ascii="Times New Roman" w:hAnsi="Times New Roman"/>
          <w:sz w:val="24"/>
          <w:szCs w:val="24"/>
          <w:shd w:val="clear" w:color="auto" w:fill="FFFFFF"/>
        </w:rPr>
        <w:t xml:space="preserve">, the Court of Appeals of Illinois, First District, First Division, held (3 to 0) that the FF is entitled to reimbursement for the private insurance costs he purchased (Oct. 11, 2008 – Feb. 15, 2015), when the city’s Pension Fund denied his disability claim. </w:t>
      </w:r>
      <w:r w:rsidRPr="003E3404">
        <w:rPr>
          <w:rFonts w:ascii="Times New Roman" w:hAnsi="Times New Roman"/>
          <w:sz w:val="24"/>
          <w:szCs w:val="24"/>
          <w:shd w:val="clear" w:color="auto" w:fill="FFFFFF"/>
        </w:rPr>
        <w:t xml:space="preserve">Under section 10 of the </w:t>
      </w:r>
      <w:r>
        <w:rPr>
          <w:rFonts w:ascii="Times New Roman" w:hAnsi="Times New Roman"/>
          <w:sz w:val="24"/>
          <w:szCs w:val="24"/>
          <w:shd w:val="clear" w:color="auto" w:fill="FFFFFF"/>
        </w:rPr>
        <w:t xml:space="preserve">state’s </w:t>
      </w:r>
      <w:r w:rsidRPr="003E3404">
        <w:rPr>
          <w:rFonts w:ascii="Times New Roman" w:hAnsi="Times New Roman"/>
          <w:sz w:val="24"/>
          <w:szCs w:val="24"/>
          <w:shd w:val="clear" w:color="auto" w:fill="FFFFFF"/>
        </w:rPr>
        <w:t>Public Safety Employee Benefits Act (Act) (820 ILCS 320/10</w:t>
      </w:r>
      <w:r>
        <w:rPr>
          <w:rFonts w:ascii="Times New Roman" w:hAnsi="Times New Roman"/>
          <w:sz w:val="24"/>
          <w:szCs w:val="24"/>
          <w:shd w:val="clear" w:color="auto" w:fill="FFFFFF"/>
        </w:rPr>
        <w:t xml:space="preserve"> </w:t>
      </w:r>
      <w:r w:rsidRPr="003E3404">
        <w:rPr>
          <w:rFonts w:ascii="Times New Roman" w:hAnsi="Times New Roman"/>
          <w:sz w:val="24"/>
          <w:szCs w:val="24"/>
          <w:shd w:val="clear" w:color="auto" w:fill="FFFFFF"/>
        </w:rPr>
        <w:t>(West 2018)), firefighters who suffer a catastrophic injur</w:t>
      </w:r>
      <w:r>
        <w:rPr>
          <w:rFonts w:ascii="Times New Roman" w:hAnsi="Times New Roman"/>
          <w:sz w:val="24"/>
          <w:szCs w:val="24"/>
          <w:shd w:val="clear" w:color="auto" w:fill="FFFFFF"/>
        </w:rPr>
        <w:t>y</w:t>
      </w:r>
      <w:r w:rsidRPr="003E3404">
        <w:rPr>
          <w:rFonts w:ascii="Times New Roman" w:hAnsi="Times New Roman"/>
          <w:sz w:val="24"/>
          <w:szCs w:val="24"/>
          <w:shd w:val="clear" w:color="auto" w:fill="FFFFFF"/>
        </w:rPr>
        <w:t xml:space="preserve"> in responding to an emergency are</w:t>
      </w:r>
      <w:r>
        <w:rPr>
          <w:rFonts w:ascii="Times New Roman" w:hAnsi="Times New Roman"/>
          <w:sz w:val="24"/>
          <w:szCs w:val="24"/>
          <w:shd w:val="clear" w:color="auto" w:fill="FFFFFF"/>
        </w:rPr>
        <w:t xml:space="preserve"> </w:t>
      </w:r>
      <w:r w:rsidRPr="003E3404">
        <w:rPr>
          <w:rFonts w:ascii="Times New Roman" w:hAnsi="Times New Roman"/>
          <w:sz w:val="24"/>
          <w:szCs w:val="24"/>
          <w:shd w:val="clear" w:color="auto" w:fill="FFFFFF"/>
        </w:rPr>
        <w:t xml:space="preserve">entitled to payment of health insurance premiums by their employer. </w:t>
      </w:r>
      <w:r>
        <w:rPr>
          <w:rFonts w:ascii="Times New Roman" w:hAnsi="Times New Roman"/>
          <w:sz w:val="24"/>
          <w:szCs w:val="24"/>
          <w:shd w:val="clear" w:color="auto" w:fill="FFFFFF"/>
        </w:rPr>
        <w:t xml:space="preserve">When the city Pension Fund initially denied him coverage.  The Trial Court judge found that the Pension Fund hearing officer, instead of being “neutral” hearing officer, was also an attorney for the Fund.  The retired FF opened his own business, </w:t>
      </w:r>
      <w:r w:rsidRPr="008C7351">
        <w:rPr>
          <w:rFonts w:ascii="Times New Roman" w:hAnsi="Times New Roman"/>
          <w:sz w:val="24"/>
          <w:szCs w:val="24"/>
          <w:shd w:val="clear" w:color="auto" w:fill="FFFFFF"/>
        </w:rPr>
        <w:t>Weimer Machine (WM)</w:t>
      </w:r>
      <w:r>
        <w:rPr>
          <w:rFonts w:ascii="Times New Roman" w:hAnsi="Times New Roman"/>
          <w:sz w:val="24"/>
          <w:szCs w:val="24"/>
          <w:shd w:val="clear" w:color="auto" w:fill="FFFFFF"/>
        </w:rPr>
        <w:t xml:space="preserve">, which reimbursed health insurance for his two employees; he had no obligation to have the company reimburse himself, and from 2008 – 2015 he purchased his own private insurance. </w:t>
      </w:r>
      <w:hyperlink r:id="rId1097" w:history="1">
        <w:r w:rsidRPr="0013187C">
          <w:rPr>
            <w:rStyle w:val="Hyperlink"/>
            <w:rFonts w:ascii="Times New Roman" w:hAnsi="Times New Roman"/>
            <w:sz w:val="24"/>
            <w:szCs w:val="24"/>
            <w:shd w:val="clear" w:color="auto" w:fill="FFFFFF"/>
          </w:rPr>
          <w:t>https://ilcourtsaudio.blob.core.windows.net/antilles-resources/resources/b3c62d52-1215-4e2d-8145-22ad48aed626/Ceyer%20v.%20City%20of%20Berwyn,%202024%20IL%20App%20(1st)%20231538.pdf</w:t>
        </w:r>
      </w:hyperlink>
      <w:r>
        <w:rPr>
          <w:rFonts w:ascii="Times New Roman" w:hAnsi="Times New Roman"/>
          <w:sz w:val="24"/>
          <w:szCs w:val="24"/>
          <w:shd w:val="clear" w:color="auto" w:fill="FFFFFF"/>
        </w:rPr>
        <w:t xml:space="preserve"> </w:t>
      </w:r>
    </w:p>
    <w:p w14:paraId="35E4C635" w14:textId="77777777" w:rsidR="004B21EA" w:rsidRDefault="004B21EA" w:rsidP="004B21EA">
      <w:pPr>
        <w:pStyle w:val="NoSpacing"/>
        <w:rPr>
          <w:rFonts w:ascii="Times New Roman" w:hAnsi="Times New Roman"/>
          <w:sz w:val="24"/>
          <w:szCs w:val="24"/>
          <w:shd w:val="clear" w:color="auto" w:fill="FFFFFF"/>
        </w:rPr>
      </w:pPr>
    </w:p>
    <w:p w14:paraId="2494B08E" w14:textId="77777777" w:rsidR="004B21EA" w:rsidRDefault="004B21EA" w:rsidP="004B21EA">
      <w:pPr>
        <w:pStyle w:val="NoSpacing"/>
        <w:rPr>
          <w:rFonts w:ascii="Times New Roman" w:hAnsi="Times New Roman"/>
          <w:sz w:val="24"/>
          <w:szCs w:val="24"/>
          <w:shd w:val="clear" w:color="auto" w:fill="FFFFFF"/>
        </w:rPr>
      </w:pPr>
      <w:r>
        <w:rPr>
          <w:rFonts w:ascii="Times New Roman" w:hAnsi="Times New Roman"/>
          <w:sz w:val="24"/>
          <w:szCs w:val="24"/>
          <w:shd w:val="clear" w:color="auto" w:fill="FFFFFF"/>
        </w:rPr>
        <w:t>THE COURT HELD:</w:t>
      </w:r>
    </w:p>
    <w:p w14:paraId="7745EE21" w14:textId="77777777" w:rsidR="004B21EA" w:rsidRDefault="004B21EA" w:rsidP="004B21EA">
      <w:pPr>
        <w:pStyle w:val="NoSpacing"/>
        <w:rPr>
          <w:rFonts w:ascii="Times New Roman" w:hAnsi="Times New Roman"/>
          <w:sz w:val="24"/>
          <w:szCs w:val="24"/>
          <w:shd w:val="clear" w:color="auto" w:fill="FFFFFF"/>
        </w:rPr>
      </w:pPr>
    </w:p>
    <w:p w14:paraId="50CD712E" w14:textId="77777777" w:rsidR="004B21EA" w:rsidRPr="00E37A14" w:rsidRDefault="004B21EA" w:rsidP="004B21EA">
      <w:pPr>
        <w:pStyle w:val="NoSpacing"/>
        <w:ind w:firstLine="720"/>
        <w:rPr>
          <w:rFonts w:ascii="Times New Roman" w:hAnsi="Times New Roman"/>
          <w:sz w:val="24"/>
          <w:szCs w:val="24"/>
          <w:shd w:val="clear" w:color="auto" w:fill="FFFFFF"/>
        </w:rPr>
      </w:pPr>
      <w:r>
        <w:rPr>
          <w:rFonts w:ascii="Times New Roman" w:hAnsi="Times New Roman"/>
          <w:sz w:val="24"/>
          <w:szCs w:val="24"/>
          <w:shd w:val="clear" w:color="auto" w:fill="FFFFFF"/>
        </w:rPr>
        <w:t>“</w:t>
      </w:r>
      <w:r w:rsidRPr="00E37A14">
        <w:rPr>
          <w:rFonts w:ascii="Times New Roman" w:hAnsi="Times New Roman"/>
          <w:sz w:val="24"/>
          <w:szCs w:val="24"/>
          <w:shd w:val="clear" w:color="auto" w:fill="FFFFFF"/>
        </w:rPr>
        <w:t xml:space="preserve">The record reflects that, at all relevant times, </w:t>
      </w:r>
      <w:proofErr w:type="spellStart"/>
      <w:r w:rsidRPr="00E37A14">
        <w:rPr>
          <w:rFonts w:ascii="Times New Roman" w:hAnsi="Times New Roman"/>
          <w:sz w:val="24"/>
          <w:szCs w:val="24"/>
          <w:shd w:val="clear" w:color="auto" w:fill="FFFFFF"/>
        </w:rPr>
        <w:t>Ceyer</w:t>
      </w:r>
      <w:proofErr w:type="spellEnd"/>
      <w:r w:rsidRPr="00E37A14">
        <w:rPr>
          <w:rFonts w:ascii="Times New Roman" w:hAnsi="Times New Roman"/>
          <w:sz w:val="24"/>
          <w:szCs w:val="24"/>
          <w:shd w:val="clear" w:color="auto" w:fill="FFFFFF"/>
        </w:rPr>
        <w:t xml:space="preserve"> has been covered under the City’s</w:t>
      </w:r>
    </w:p>
    <w:p w14:paraId="747BE207" w14:textId="77777777" w:rsidR="004B21EA" w:rsidRDefault="004B21EA" w:rsidP="004B21EA">
      <w:pPr>
        <w:pStyle w:val="NoSpacing"/>
        <w:ind w:left="720"/>
        <w:rPr>
          <w:rFonts w:ascii="Times New Roman" w:hAnsi="Times New Roman"/>
          <w:sz w:val="24"/>
          <w:szCs w:val="24"/>
          <w:shd w:val="clear" w:color="auto" w:fill="FFFFFF"/>
        </w:rPr>
      </w:pPr>
      <w:r w:rsidRPr="00E37A14">
        <w:rPr>
          <w:rFonts w:ascii="Times New Roman" w:hAnsi="Times New Roman"/>
          <w:sz w:val="24"/>
          <w:szCs w:val="24"/>
          <w:shd w:val="clear" w:color="auto" w:fill="FFFFFF"/>
        </w:rPr>
        <w:t>group health insurance plan. He paid his own premiums from September 2008 to May 2015,</w:t>
      </w:r>
      <w:r>
        <w:rPr>
          <w:rFonts w:ascii="Times New Roman" w:hAnsi="Times New Roman"/>
          <w:sz w:val="24"/>
          <w:szCs w:val="24"/>
          <w:shd w:val="clear" w:color="auto" w:fill="FFFFFF"/>
        </w:rPr>
        <w:t xml:space="preserve"> </w:t>
      </w:r>
      <w:r w:rsidRPr="00E37A14">
        <w:rPr>
          <w:rFonts w:ascii="Times New Roman" w:hAnsi="Times New Roman"/>
          <w:sz w:val="24"/>
          <w:szCs w:val="24"/>
          <w:shd w:val="clear" w:color="auto" w:fill="FFFFFF"/>
        </w:rPr>
        <w:t xml:space="preserve">after which the </w:t>
      </w:r>
      <w:proofErr w:type="gramStart"/>
      <w:r w:rsidRPr="00E37A14">
        <w:rPr>
          <w:rFonts w:ascii="Times New Roman" w:hAnsi="Times New Roman"/>
          <w:sz w:val="24"/>
          <w:szCs w:val="24"/>
          <w:shd w:val="clear" w:color="auto" w:fill="FFFFFF"/>
        </w:rPr>
        <w:t>City</w:t>
      </w:r>
      <w:proofErr w:type="gramEnd"/>
      <w:r w:rsidRPr="00E37A14">
        <w:rPr>
          <w:rFonts w:ascii="Times New Roman" w:hAnsi="Times New Roman"/>
          <w:sz w:val="24"/>
          <w:szCs w:val="24"/>
          <w:shd w:val="clear" w:color="auto" w:fill="FFFFFF"/>
        </w:rPr>
        <w:t xml:space="preserve"> commenced making payments under the Act. At no time did </w:t>
      </w:r>
      <w:proofErr w:type="spellStart"/>
      <w:r w:rsidRPr="00E37A14">
        <w:rPr>
          <w:rFonts w:ascii="Times New Roman" w:hAnsi="Times New Roman"/>
          <w:sz w:val="24"/>
          <w:szCs w:val="24"/>
          <w:shd w:val="clear" w:color="auto" w:fill="FFFFFF"/>
        </w:rPr>
        <w:t>Ceyer</w:t>
      </w:r>
      <w:proofErr w:type="spellEnd"/>
      <w:r w:rsidRPr="00E37A14">
        <w:rPr>
          <w:rFonts w:ascii="Times New Roman" w:hAnsi="Times New Roman"/>
          <w:sz w:val="24"/>
          <w:szCs w:val="24"/>
          <w:shd w:val="clear" w:color="auto" w:fill="FFFFFF"/>
        </w:rPr>
        <w:t xml:space="preserve"> receive</w:t>
      </w:r>
      <w:r>
        <w:rPr>
          <w:rFonts w:ascii="Times New Roman" w:hAnsi="Times New Roman"/>
          <w:sz w:val="24"/>
          <w:szCs w:val="24"/>
          <w:shd w:val="clear" w:color="auto" w:fill="FFFFFF"/>
        </w:rPr>
        <w:t xml:space="preserve"> </w:t>
      </w:r>
      <w:r w:rsidRPr="00E37A14">
        <w:rPr>
          <w:rFonts w:ascii="Times New Roman" w:hAnsi="Times New Roman"/>
          <w:sz w:val="24"/>
          <w:szCs w:val="24"/>
          <w:shd w:val="clear" w:color="auto" w:fill="FFFFFF"/>
        </w:rPr>
        <w:t>health insurance through WM, nor did he receive reimbursement from WM for the cost of the</w:t>
      </w:r>
      <w:r>
        <w:rPr>
          <w:rFonts w:ascii="Times New Roman" w:hAnsi="Times New Roman"/>
          <w:sz w:val="24"/>
          <w:szCs w:val="24"/>
          <w:shd w:val="clear" w:color="auto" w:fill="FFFFFF"/>
        </w:rPr>
        <w:t xml:space="preserve"> </w:t>
      </w:r>
      <w:r w:rsidRPr="00E37A14">
        <w:rPr>
          <w:rFonts w:ascii="Times New Roman" w:hAnsi="Times New Roman"/>
          <w:sz w:val="24"/>
          <w:szCs w:val="24"/>
          <w:shd w:val="clear" w:color="auto" w:fill="FFFFFF"/>
        </w:rPr>
        <w:t xml:space="preserve">premiums that he paid. The City nevertheless argues that </w:t>
      </w:r>
      <w:proofErr w:type="spellStart"/>
      <w:r w:rsidRPr="00E37A14">
        <w:rPr>
          <w:rFonts w:ascii="Times New Roman" w:hAnsi="Times New Roman"/>
          <w:sz w:val="24"/>
          <w:szCs w:val="24"/>
          <w:shd w:val="clear" w:color="auto" w:fill="FFFFFF"/>
        </w:rPr>
        <w:t>Ceyer</w:t>
      </w:r>
      <w:proofErr w:type="spellEnd"/>
      <w:r w:rsidRPr="00E37A14">
        <w:rPr>
          <w:rFonts w:ascii="Times New Roman" w:hAnsi="Times New Roman"/>
          <w:sz w:val="24"/>
          <w:szCs w:val="24"/>
          <w:shd w:val="clear" w:color="auto" w:fill="FFFFFF"/>
        </w:rPr>
        <w:t xml:space="preserve"> had </w:t>
      </w:r>
      <w:r>
        <w:rPr>
          <w:rFonts w:ascii="Times New Roman" w:hAnsi="Times New Roman"/>
          <w:sz w:val="24"/>
          <w:szCs w:val="24"/>
          <w:shd w:val="clear" w:color="auto" w:fill="FFFFFF"/>
        </w:rPr>
        <w:t>‘</w:t>
      </w:r>
      <w:r w:rsidRPr="00E37A14">
        <w:rPr>
          <w:rFonts w:ascii="Times New Roman" w:hAnsi="Times New Roman"/>
          <w:sz w:val="24"/>
          <w:szCs w:val="24"/>
          <w:shd w:val="clear" w:color="auto" w:fill="FFFFFF"/>
        </w:rPr>
        <w:t>access to health insurance</w:t>
      </w:r>
      <w:r>
        <w:rPr>
          <w:rFonts w:ascii="Times New Roman" w:hAnsi="Times New Roman"/>
          <w:sz w:val="24"/>
          <w:szCs w:val="24"/>
          <w:shd w:val="clear" w:color="auto" w:fill="FFFFFF"/>
        </w:rPr>
        <w:t xml:space="preserve"> </w:t>
      </w:r>
      <w:r w:rsidRPr="00E37A14">
        <w:rPr>
          <w:rFonts w:ascii="Times New Roman" w:hAnsi="Times New Roman"/>
          <w:sz w:val="24"/>
          <w:szCs w:val="24"/>
          <w:shd w:val="clear" w:color="auto" w:fill="FFFFFF"/>
        </w:rPr>
        <w:t>through [his] employer</w:t>
      </w:r>
      <w:r>
        <w:rPr>
          <w:rFonts w:ascii="Times New Roman" w:hAnsi="Times New Roman"/>
          <w:sz w:val="24"/>
          <w:szCs w:val="24"/>
          <w:shd w:val="clear" w:color="auto" w:fill="FFFFFF"/>
        </w:rPr>
        <w:t>’</w:t>
      </w:r>
      <w:r w:rsidRPr="00E37A14">
        <w:rPr>
          <w:rFonts w:ascii="Times New Roman" w:hAnsi="Times New Roman"/>
          <w:sz w:val="24"/>
          <w:szCs w:val="24"/>
          <w:shd w:val="clear" w:color="auto" w:fill="FFFFFF"/>
        </w:rPr>
        <w:t xml:space="preserve"> because WM paid health insurance premiums for two of its employees,</w:t>
      </w:r>
      <w:r>
        <w:rPr>
          <w:rFonts w:ascii="Times New Roman" w:hAnsi="Times New Roman"/>
          <w:sz w:val="24"/>
          <w:szCs w:val="24"/>
          <w:shd w:val="clear" w:color="auto" w:fill="FFFFFF"/>
        </w:rPr>
        <w:t xml:space="preserve"> </w:t>
      </w:r>
      <w:r w:rsidRPr="00E37A14">
        <w:rPr>
          <w:rFonts w:ascii="Times New Roman" w:hAnsi="Times New Roman"/>
          <w:sz w:val="24"/>
          <w:szCs w:val="24"/>
          <w:shd w:val="clear" w:color="auto" w:fill="FFFFFF"/>
        </w:rPr>
        <w:t xml:space="preserve">Pietraszewski and Rausch, and could therefore theoretically have done the same for </w:t>
      </w:r>
      <w:proofErr w:type="spellStart"/>
      <w:r w:rsidRPr="00E37A14">
        <w:rPr>
          <w:rFonts w:ascii="Times New Roman" w:hAnsi="Times New Roman"/>
          <w:sz w:val="24"/>
          <w:szCs w:val="24"/>
          <w:shd w:val="clear" w:color="auto" w:fill="FFFFFF"/>
        </w:rPr>
        <w:t>Ceyer</w:t>
      </w:r>
      <w:proofErr w:type="spellEnd"/>
      <w:r w:rsidRPr="00E37A14">
        <w:rPr>
          <w:rFonts w:ascii="Times New Roman" w:hAnsi="Times New Roman"/>
          <w:sz w:val="24"/>
          <w:szCs w:val="24"/>
          <w:shd w:val="clear" w:color="auto" w:fill="FFFFFF"/>
        </w:rPr>
        <w:t>.</w:t>
      </w:r>
    </w:p>
    <w:p w14:paraId="4F9B0B19" w14:textId="77777777" w:rsidR="004B21EA" w:rsidRDefault="004B21EA" w:rsidP="004B21EA">
      <w:pPr>
        <w:pStyle w:val="NoSpacing"/>
        <w:rPr>
          <w:rFonts w:ascii="Times New Roman" w:hAnsi="Times New Roman"/>
          <w:sz w:val="24"/>
          <w:szCs w:val="24"/>
          <w:shd w:val="clear" w:color="auto" w:fill="FFFFFF"/>
        </w:rPr>
      </w:pPr>
    </w:p>
    <w:p w14:paraId="0A058EEF" w14:textId="77777777" w:rsidR="004B21EA" w:rsidRPr="00B33896" w:rsidRDefault="004B21EA" w:rsidP="004B21EA">
      <w:pPr>
        <w:pStyle w:val="NoSpacing"/>
        <w:ind w:firstLine="720"/>
        <w:rPr>
          <w:rFonts w:ascii="Times New Roman" w:hAnsi="Times New Roman"/>
          <w:sz w:val="24"/>
          <w:szCs w:val="24"/>
          <w:shd w:val="clear" w:color="auto" w:fill="FFFFFF"/>
        </w:rPr>
      </w:pPr>
      <w:r>
        <w:rPr>
          <w:rFonts w:ascii="Times New Roman" w:hAnsi="Times New Roman"/>
          <w:sz w:val="24"/>
          <w:szCs w:val="24"/>
          <w:shd w:val="clear" w:color="auto" w:fill="FFFFFF"/>
        </w:rPr>
        <w:t>W</w:t>
      </w:r>
      <w:r w:rsidRPr="00B33896">
        <w:rPr>
          <w:rFonts w:ascii="Times New Roman" w:hAnsi="Times New Roman"/>
          <w:sz w:val="24"/>
          <w:szCs w:val="24"/>
          <w:shd w:val="clear" w:color="auto" w:fill="FFFFFF"/>
        </w:rPr>
        <w:t xml:space="preserve">e disagree. As the trial court aptly </w:t>
      </w:r>
      <w:proofErr w:type="gramStart"/>
      <w:r w:rsidRPr="00B33896">
        <w:rPr>
          <w:rFonts w:ascii="Times New Roman" w:hAnsi="Times New Roman"/>
          <w:sz w:val="24"/>
          <w:szCs w:val="24"/>
          <w:shd w:val="clear" w:color="auto" w:fill="FFFFFF"/>
        </w:rPr>
        <w:t xml:space="preserve">stated, </w:t>
      </w:r>
      <w:r>
        <w:rPr>
          <w:rFonts w:ascii="Times New Roman" w:hAnsi="Times New Roman"/>
          <w:sz w:val="24"/>
          <w:szCs w:val="24"/>
          <w:shd w:val="clear" w:color="auto" w:fill="FFFFFF"/>
        </w:rPr>
        <w:t>‘</w:t>
      </w:r>
      <w:proofErr w:type="gramEnd"/>
      <w:r w:rsidRPr="00B33896">
        <w:rPr>
          <w:rFonts w:ascii="Times New Roman" w:hAnsi="Times New Roman"/>
          <w:sz w:val="24"/>
          <w:szCs w:val="24"/>
          <w:shd w:val="clear" w:color="auto" w:fill="FFFFFF"/>
        </w:rPr>
        <w:t xml:space="preserve">to find that </w:t>
      </w:r>
      <w:r>
        <w:rPr>
          <w:rFonts w:ascii="Times New Roman" w:hAnsi="Times New Roman"/>
          <w:sz w:val="24"/>
          <w:szCs w:val="24"/>
          <w:shd w:val="clear" w:color="auto" w:fill="FFFFFF"/>
        </w:rPr>
        <w:t>‘</w:t>
      </w:r>
      <w:r w:rsidRPr="00B33896">
        <w:rPr>
          <w:rFonts w:ascii="Times New Roman" w:hAnsi="Times New Roman"/>
          <w:sz w:val="24"/>
          <w:szCs w:val="24"/>
          <w:shd w:val="clear" w:color="auto" w:fill="FFFFFF"/>
        </w:rPr>
        <w:t>payable from any other source</w:t>
      </w:r>
      <w:r>
        <w:rPr>
          <w:rFonts w:ascii="Times New Roman" w:hAnsi="Times New Roman"/>
          <w:sz w:val="24"/>
          <w:szCs w:val="24"/>
          <w:shd w:val="clear" w:color="auto" w:fill="FFFFFF"/>
        </w:rPr>
        <w:t>’</w:t>
      </w:r>
    </w:p>
    <w:p w14:paraId="124919EE" w14:textId="77777777" w:rsidR="004B21EA" w:rsidRPr="00D6540F" w:rsidRDefault="004B21EA" w:rsidP="004B21EA">
      <w:pPr>
        <w:pStyle w:val="NoSpacing"/>
        <w:ind w:left="720"/>
        <w:rPr>
          <w:rFonts w:ascii="Times New Roman" w:hAnsi="Times New Roman"/>
          <w:sz w:val="24"/>
          <w:szCs w:val="24"/>
          <w:shd w:val="clear" w:color="auto" w:fill="FFFFFF"/>
        </w:rPr>
      </w:pPr>
      <w:r w:rsidRPr="00B33896">
        <w:rPr>
          <w:rFonts w:ascii="Times New Roman" w:hAnsi="Times New Roman"/>
          <w:sz w:val="24"/>
          <w:szCs w:val="24"/>
          <w:shd w:val="clear" w:color="auto" w:fill="FFFFFF"/>
        </w:rPr>
        <w:t>under [the Act] includes a beneficiary’s individual capacity to go buy themselves insurance</w:t>
      </w:r>
      <w:r>
        <w:rPr>
          <w:rFonts w:ascii="Times New Roman" w:hAnsi="Times New Roman"/>
          <w:sz w:val="24"/>
          <w:szCs w:val="24"/>
          <w:shd w:val="clear" w:color="auto" w:fill="FFFFFF"/>
        </w:rPr>
        <w:t xml:space="preserve"> </w:t>
      </w:r>
      <w:r w:rsidRPr="00FF07E8">
        <w:rPr>
          <w:rFonts w:ascii="Times New Roman" w:hAnsi="Times New Roman"/>
          <w:sz w:val="24"/>
          <w:szCs w:val="24"/>
          <w:shd w:val="clear" w:color="auto" w:fill="FFFFFF"/>
        </w:rPr>
        <w:t>would be inconsistent with the purpose of [the Act].</w:t>
      </w:r>
      <w:r>
        <w:rPr>
          <w:rFonts w:ascii="Times New Roman" w:hAnsi="Times New Roman"/>
          <w:sz w:val="24"/>
          <w:szCs w:val="24"/>
          <w:shd w:val="clear" w:color="auto" w:fill="FFFFFF"/>
        </w:rPr>
        <w:t>’</w:t>
      </w:r>
      <w:r w:rsidRPr="00FF07E8">
        <w:rPr>
          <w:rFonts w:ascii="Times New Roman" w:hAnsi="Times New Roman"/>
          <w:sz w:val="24"/>
          <w:szCs w:val="24"/>
          <w:shd w:val="clear" w:color="auto" w:fill="FFFFFF"/>
        </w:rPr>
        <w:t xml:space="preserve"> Indeed, such an interpretation would</w:t>
      </w:r>
      <w:r>
        <w:rPr>
          <w:rFonts w:ascii="Times New Roman" w:hAnsi="Times New Roman"/>
          <w:sz w:val="24"/>
          <w:szCs w:val="24"/>
          <w:shd w:val="clear" w:color="auto" w:fill="FFFFFF"/>
        </w:rPr>
        <w:t xml:space="preserve"> </w:t>
      </w:r>
      <w:r w:rsidRPr="00FF07E8">
        <w:rPr>
          <w:rFonts w:ascii="Times New Roman" w:hAnsi="Times New Roman"/>
          <w:sz w:val="24"/>
          <w:szCs w:val="24"/>
          <w:shd w:val="clear" w:color="auto" w:fill="FFFFFF"/>
        </w:rPr>
        <w:t xml:space="preserve">entirely vitiate the statute. We will not interpret a statute </w:t>
      </w:r>
      <w:r>
        <w:rPr>
          <w:rFonts w:ascii="Times New Roman" w:hAnsi="Times New Roman"/>
          <w:sz w:val="24"/>
          <w:szCs w:val="24"/>
          <w:shd w:val="clear" w:color="auto" w:fill="FFFFFF"/>
        </w:rPr>
        <w:t>‘</w:t>
      </w:r>
      <w:r w:rsidRPr="00FF07E8">
        <w:rPr>
          <w:rFonts w:ascii="Times New Roman" w:hAnsi="Times New Roman"/>
          <w:sz w:val="24"/>
          <w:szCs w:val="24"/>
          <w:shd w:val="clear" w:color="auto" w:fill="FFFFFF"/>
        </w:rPr>
        <w:t>in a manner that makes [it]</w:t>
      </w:r>
      <w:r>
        <w:rPr>
          <w:rFonts w:ascii="Times New Roman" w:hAnsi="Times New Roman"/>
          <w:sz w:val="24"/>
          <w:szCs w:val="24"/>
          <w:shd w:val="clear" w:color="auto" w:fill="FFFFFF"/>
        </w:rPr>
        <w:t xml:space="preserve"> </w:t>
      </w:r>
      <w:r w:rsidRPr="00FF07E8">
        <w:rPr>
          <w:rFonts w:ascii="Times New Roman" w:hAnsi="Times New Roman"/>
          <w:sz w:val="24"/>
          <w:szCs w:val="24"/>
          <w:shd w:val="clear" w:color="auto" w:fill="FFFFFF"/>
        </w:rPr>
        <w:t>meaningless.</w:t>
      </w:r>
      <w:r>
        <w:rPr>
          <w:rFonts w:ascii="Times New Roman" w:hAnsi="Times New Roman"/>
          <w:sz w:val="24"/>
          <w:szCs w:val="24"/>
          <w:shd w:val="clear" w:color="auto" w:fill="FFFFFF"/>
        </w:rPr>
        <w:t>’</w:t>
      </w:r>
      <w:r w:rsidRPr="00FF07E8">
        <w:rPr>
          <w:rFonts w:ascii="Times New Roman" w:hAnsi="Times New Roman"/>
          <w:sz w:val="24"/>
          <w:szCs w:val="24"/>
          <w:shd w:val="clear" w:color="auto" w:fill="FFFFFF"/>
        </w:rPr>
        <w:t xml:space="preserve"> Boucher v. 111 East Chestnut Condominium </w:t>
      </w:r>
      <w:proofErr w:type="spellStart"/>
      <w:r w:rsidRPr="00FF07E8">
        <w:rPr>
          <w:rFonts w:ascii="Times New Roman" w:hAnsi="Times New Roman"/>
          <w:sz w:val="24"/>
          <w:szCs w:val="24"/>
          <w:shd w:val="clear" w:color="auto" w:fill="FFFFFF"/>
        </w:rPr>
        <w:t>Ass’n</w:t>
      </w:r>
      <w:proofErr w:type="spellEnd"/>
      <w:r w:rsidRPr="00FF07E8">
        <w:rPr>
          <w:rFonts w:ascii="Times New Roman" w:hAnsi="Times New Roman"/>
          <w:sz w:val="24"/>
          <w:szCs w:val="24"/>
          <w:shd w:val="clear" w:color="auto" w:fill="FFFFFF"/>
        </w:rPr>
        <w:t>, 2018 IL App (1st) 162233,¶ 18.</w:t>
      </w:r>
    </w:p>
    <w:p w14:paraId="566F128C" w14:textId="77777777" w:rsidR="004F15A5" w:rsidRDefault="004F15A5" w:rsidP="006C4AD8">
      <w:pPr>
        <w:pStyle w:val="NormalWeb"/>
        <w:spacing w:before="0" w:beforeAutospacing="0"/>
        <w:rPr>
          <w:rFonts w:ascii="Arial Black" w:hAnsi="Arial Black"/>
          <w:b/>
          <w:bCs/>
          <w:color w:val="454545"/>
          <w:sz w:val="28"/>
          <w:szCs w:val="28"/>
          <w:shd w:val="clear" w:color="auto" w:fill="FFFFFF"/>
        </w:rPr>
      </w:pPr>
    </w:p>
    <w:p w14:paraId="3B88B171" w14:textId="77777777" w:rsidR="00E16202" w:rsidRDefault="00E16202" w:rsidP="00E16202">
      <w:pPr>
        <w:pStyle w:val="NoSpacing"/>
        <w:rPr>
          <w:rFonts w:ascii="Times New Roman" w:hAnsi="Times New Roman"/>
          <w:b/>
          <w:bCs/>
          <w:sz w:val="24"/>
          <w:szCs w:val="24"/>
          <w:shd w:val="clear" w:color="auto" w:fill="FFFFFF"/>
        </w:rPr>
      </w:pPr>
      <w:r>
        <w:rPr>
          <w:rFonts w:ascii="Times New Roman" w:hAnsi="Times New Roman"/>
          <w:b/>
          <w:bCs/>
          <w:sz w:val="24"/>
          <w:szCs w:val="24"/>
          <w:shd w:val="clear" w:color="auto" w:fill="FFFFFF"/>
        </w:rPr>
        <w:t xml:space="preserve">Legal Lesson Learned: It is a shame to have 6 years of litigation to receive disability retirement health insurance. </w:t>
      </w:r>
    </w:p>
    <w:p w14:paraId="060C1B83" w14:textId="77777777" w:rsidR="00E16202" w:rsidRDefault="00E16202" w:rsidP="00E16202">
      <w:pPr>
        <w:pStyle w:val="NoSpacing"/>
        <w:rPr>
          <w:rFonts w:ascii="Times New Roman" w:hAnsi="Times New Roman"/>
          <w:b/>
          <w:bCs/>
          <w:sz w:val="24"/>
          <w:szCs w:val="24"/>
          <w:shd w:val="clear" w:color="auto" w:fill="FFFFFF"/>
        </w:rPr>
      </w:pPr>
    </w:p>
    <w:p w14:paraId="198833CE" w14:textId="77777777" w:rsidR="00E16202" w:rsidRDefault="00E16202" w:rsidP="00E16202">
      <w:pPr>
        <w:pStyle w:val="NoSpacing"/>
        <w:ind w:left="720"/>
        <w:rPr>
          <w:rFonts w:ascii="Times New Roman" w:hAnsi="Times New Roman"/>
          <w:sz w:val="24"/>
          <w:szCs w:val="24"/>
          <w:shd w:val="clear" w:color="auto" w:fill="FFFFFF"/>
        </w:rPr>
      </w:pPr>
      <w:r>
        <w:rPr>
          <w:rFonts w:ascii="Times New Roman" w:hAnsi="Times New Roman"/>
          <w:sz w:val="24"/>
          <w:szCs w:val="24"/>
          <w:shd w:val="clear" w:color="auto" w:fill="FFFFFF"/>
        </w:rPr>
        <w:t xml:space="preserve">Note: Under the State statute, he was entitled to free insurance for a line-of-duty injury. </w:t>
      </w:r>
    </w:p>
    <w:p w14:paraId="193816B1" w14:textId="77777777" w:rsidR="00E16202" w:rsidRPr="00C13929" w:rsidRDefault="00E16202" w:rsidP="00E16202">
      <w:pPr>
        <w:pStyle w:val="NoSpacing"/>
        <w:ind w:left="720"/>
        <w:rPr>
          <w:rFonts w:ascii="Times New Roman" w:hAnsi="Times New Roman"/>
          <w:sz w:val="24"/>
          <w:szCs w:val="24"/>
          <w:shd w:val="clear" w:color="auto" w:fill="FFFFFF"/>
        </w:rPr>
      </w:pPr>
      <w:r>
        <w:rPr>
          <w:rFonts w:ascii="Times New Roman" w:hAnsi="Times New Roman"/>
          <w:sz w:val="24"/>
          <w:szCs w:val="24"/>
          <w:shd w:val="clear" w:color="auto" w:fill="FFFFFF"/>
        </w:rPr>
        <w:t>[Footnote 1.] “</w:t>
      </w:r>
      <w:r w:rsidRPr="00C13929">
        <w:rPr>
          <w:rFonts w:ascii="Times New Roman" w:hAnsi="Times New Roman"/>
          <w:sz w:val="24"/>
          <w:szCs w:val="24"/>
          <w:shd w:val="clear" w:color="auto" w:fill="FFFFFF"/>
        </w:rPr>
        <w:t xml:space="preserve">A </w:t>
      </w:r>
      <w:r>
        <w:rPr>
          <w:rFonts w:ascii="Times New Roman" w:hAnsi="Times New Roman"/>
          <w:sz w:val="24"/>
          <w:szCs w:val="24"/>
          <w:shd w:val="clear" w:color="auto" w:fill="FFFFFF"/>
        </w:rPr>
        <w:t>‘</w:t>
      </w:r>
      <w:r w:rsidRPr="00C13929">
        <w:rPr>
          <w:rFonts w:ascii="Times New Roman" w:hAnsi="Times New Roman"/>
          <w:sz w:val="24"/>
          <w:szCs w:val="24"/>
          <w:shd w:val="clear" w:color="auto" w:fill="FFFFFF"/>
        </w:rPr>
        <w:t>catastrophic injury</w:t>
      </w:r>
      <w:r>
        <w:rPr>
          <w:rFonts w:ascii="Times New Roman" w:hAnsi="Times New Roman"/>
          <w:sz w:val="24"/>
          <w:szCs w:val="24"/>
          <w:shd w:val="clear" w:color="auto" w:fill="FFFFFF"/>
        </w:rPr>
        <w:t>’</w:t>
      </w:r>
      <w:r w:rsidRPr="00C13929">
        <w:rPr>
          <w:rFonts w:ascii="Times New Roman" w:hAnsi="Times New Roman"/>
          <w:sz w:val="24"/>
          <w:szCs w:val="24"/>
          <w:shd w:val="clear" w:color="auto" w:fill="FFFFFF"/>
        </w:rPr>
        <w:t xml:space="preserve"> is defined as </w:t>
      </w:r>
      <w:r>
        <w:rPr>
          <w:rFonts w:ascii="Times New Roman" w:hAnsi="Times New Roman"/>
          <w:sz w:val="24"/>
          <w:szCs w:val="24"/>
          <w:shd w:val="clear" w:color="auto" w:fill="FFFFFF"/>
        </w:rPr>
        <w:t>‘</w:t>
      </w:r>
      <w:r w:rsidRPr="00C13929">
        <w:rPr>
          <w:rFonts w:ascii="Times New Roman" w:hAnsi="Times New Roman"/>
          <w:sz w:val="24"/>
          <w:szCs w:val="24"/>
          <w:shd w:val="clear" w:color="auto" w:fill="FFFFFF"/>
        </w:rPr>
        <w:t>an injury resulting in a line-of-duty disability</w:t>
      </w:r>
      <w:r>
        <w:rPr>
          <w:rFonts w:ascii="Times New Roman" w:hAnsi="Times New Roman"/>
          <w:sz w:val="24"/>
          <w:szCs w:val="24"/>
          <w:shd w:val="clear" w:color="auto" w:fill="FFFFFF"/>
        </w:rPr>
        <w:t>’</w:t>
      </w:r>
      <w:r w:rsidRPr="00C13929">
        <w:rPr>
          <w:rFonts w:ascii="Times New Roman" w:hAnsi="Times New Roman"/>
          <w:sz w:val="24"/>
          <w:szCs w:val="24"/>
          <w:shd w:val="clear" w:color="auto" w:fill="FFFFFF"/>
        </w:rPr>
        <w:t xml:space="preserve"> under</w:t>
      </w:r>
      <w:r>
        <w:rPr>
          <w:rFonts w:ascii="Times New Roman" w:hAnsi="Times New Roman"/>
          <w:sz w:val="24"/>
          <w:szCs w:val="24"/>
          <w:shd w:val="clear" w:color="auto" w:fill="FFFFFF"/>
        </w:rPr>
        <w:t xml:space="preserve"> </w:t>
      </w:r>
      <w:r w:rsidRPr="00C13929">
        <w:rPr>
          <w:rFonts w:ascii="Times New Roman" w:hAnsi="Times New Roman"/>
          <w:sz w:val="24"/>
          <w:szCs w:val="24"/>
          <w:shd w:val="clear" w:color="auto" w:fill="FFFFFF"/>
        </w:rPr>
        <w:t>section 4-110 of the Illinois Pension Code (40 ILCS 5/4-110 (West 2000)). Krohe v. City of Bloomington,</w:t>
      </w:r>
      <w:r>
        <w:rPr>
          <w:rFonts w:ascii="Times New Roman" w:hAnsi="Times New Roman"/>
          <w:sz w:val="24"/>
          <w:szCs w:val="24"/>
          <w:shd w:val="clear" w:color="auto" w:fill="FFFFFF"/>
        </w:rPr>
        <w:t xml:space="preserve"> </w:t>
      </w:r>
      <w:r w:rsidRPr="00C13929">
        <w:rPr>
          <w:rFonts w:ascii="Times New Roman" w:hAnsi="Times New Roman"/>
          <w:sz w:val="24"/>
          <w:szCs w:val="24"/>
          <w:shd w:val="clear" w:color="auto" w:fill="FFFFFF"/>
        </w:rPr>
        <w:t>204 Ill. 2d 392, 400 (2003).</w:t>
      </w:r>
    </w:p>
    <w:p w14:paraId="32247426" w14:textId="77777777" w:rsidR="00E16202" w:rsidRDefault="00E16202" w:rsidP="006C4AD8">
      <w:pPr>
        <w:pStyle w:val="NormalWeb"/>
        <w:spacing w:before="0" w:beforeAutospacing="0"/>
        <w:rPr>
          <w:rFonts w:ascii="Arial Black" w:hAnsi="Arial Black"/>
          <w:b/>
          <w:bCs/>
          <w:color w:val="454545"/>
          <w:sz w:val="28"/>
          <w:szCs w:val="28"/>
          <w:shd w:val="clear" w:color="auto" w:fill="FFFFFF"/>
        </w:rPr>
      </w:pPr>
    </w:p>
    <w:p w14:paraId="6568EAA9" w14:textId="77777777" w:rsidR="004F15A5" w:rsidRDefault="004F15A5" w:rsidP="006C4AD8">
      <w:pPr>
        <w:pStyle w:val="NormalWeb"/>
        <w:spacing w:before="0" w:beforeAutospacing="0"/>
        <w:rPr>
          <w:rFonts w:ascii="Arial Black" w:hAnsi="Arial Black"/>
          <w:b/>
          <w:bCs/>
          <w:color w:val="454545"/>
          <w:sz w:val="28"/>
          <w:szCs w:val="28"/>
          <w:shd w:val="clear" w:color="auto" w:fill="FFFFFF"/>
        </w:rPr>
      </w:pPr>
    </w:p>
    <w:p w14:paraId="499DFDDE" w14:textId="707FABAB" w:rsidR="00562A25" w:rsidRDefault="00364F21" w:rsidP="006C4AD8">
      <w:pPr>
        <w:pStyle w:val="NormalWeb"/>
        <w:spacing w:before="0" w:beforeAutospacing="0"/>
        <w:rPr>
          <w:rFonts w:ascii="Arial Black" w:hAnsi="Arial Black"/>
          <w:b/>
          <w:bCs/>
          <w:color w:val="454545"/>
          <w:sz w:val="28"/>
          <w:szCs w:val="28"/>
          <w:shd w:val="clear" w:color="auto" w:fill="FFFFFF"/>
        </w:rPr>
      </w:pPr>
      <w:r>
        <w:rPr>
          <w:rFonts w:ascii="Arial Black" w:hAnsi="Arial Black"/>
          <w:b/>
          <w:bCs/>
          <w:color w:val="454545"/>
          <w:sz w:val="28"/>
          <w:szCs w:val="28"/>
          <w:shd w:val="clear" w:color="auto" w:fill="FFFFFF"/>
        </w:rPr>
        <w:lastRenderedPageBreak/>
        <w:t>6-13</w:t>
      </w:r>
      <w:r w:rsidR="002A0697">
        <w:rPr>
          <w:rFonts w:ascii="Arial Black" w:hAnsi="Arial Black"/>
          <w:b/>
          <w:bCs/>
          <w:color w:val="454545"/>
          <w:sz w:val="28"/>
          <w:szCs w:val="28"/>
          <w:shd w:val="clear" w:color="auto" w:fill="FFFFFF"/>
        </w:rPr>
        <w:t>4</w:t>
      </w:r>
    </w:p>
    <w:p w14:paraId="6D78F0FA" w14:textId="77777777" w:rsidR="00364F21" w:rsidRDefault="00364F21" w:rsidP="00364F21">
      <w:pPr>
        <w:pStyle w:val="NormalWeb"/>
        <w:rPr>
          <w:rFonts w:ascii="Arial Black" w:hAnsi="Arial Black"/>
          <w:b/>
          <w:bCs/>
          <w:color w:val="454545"/>
          <w:sz w:val="28"/>
          <w:szCs w:val="28"/>
          <w:shd w:val="clear" w:color="auto" w:fill="FFFFFF"/>
        </w:rPr>
      </w:pPr>
      <w:r>
        <w:rPr>
          <w:rFonts w:ascii="Arial Black" w:hAnsi="Arial Black"/>
          <w:b/>
          <w:bCs/>
          <w:color w:val="454545"/>
          <w:sz w:val="28"/>
          <w:szCs w:val="28"/>
          <w:shd w:val="clear" w:color="auto" w:fill="FFFFFF"/>
        </w:rPr>
        <w:t>LA: NEW TIMEKEEPING SYSTEM – ALL FF REQUIRED FINGERPRINTS - UPHELD BY U.S. DISTRICT COURT</w:t>
      </w:r>
    </w:p>
    <w:p w14:paraId="53C1AAEB" w14:textId="77777777" w:rsidR="00364F21" w:rsidRPr="0071601A" w:rsidRDefault="00364F21" w:rsidP="00364F21">
      <w:pPr>
        <w:pStyle w:val="NormalWeb"/>
        <w:rPr>
          <w:shd w:val="clear" w:color="auto" w:fill="FFFFFF"/>
        </w:rPr>
      </w:pPr>
      <w:r w:rsidRPr="0071601A">
        <w:rPr>
          <w:color w:val="454545"/>
          <w:shd w:val="clear" w:color="auto" w:fill="FFFFFF"/>
        </w:rPr>
        <w:t xml:space="preserve">On July 22, 2024, in </w:t>
      </w:r>
      <w:proofErr w:type="spellStart"/>
      <w:r w:rsidRPr="0071601A">
        <w:rPr>
          <w:color w:val="454545"/>
          <w:u w:val="single"/>
          <w:shd w:val="clear" w:color="auto" w:fill="FFFFFF"/>
        </w:rPr>
        <w:t>Chistopher</w:t>
      </w:r>
      <w:proofErr w:type="spellEnd"/>
      <w:r w:rsidRPr="0071601A">
        <w:rPr>
          <w:color w:val="454545"/>
          <w:u w:val="single"/>
          <w:shd w:val="clear" w:color="auto" w:fill="FFFFFF"/>
        </w:rPr>
        <w:t xml:space="preserve"> Perre, et al. v. East Bank Consolidated Special Service Fire Protection Section</w:t>
      </w:r>
      <w:r w:rsidRPr="0071601A">
        <w:rPr>
          <w:color w:val="454545"/>
          <w:shd w:val="clear" w:color="auto" w:fill="FFFFFF"/>
        </w:rPr>
        <w:t>, five firefighters filed a lawsuit challenging new “</w:t>
      </w:r>
      <w:r w:rsidRPr="0071601A">
        <w:rPr>
          <w:shd w:val="clear" w:color="auto" w:fill="FFFFFF"/>
        </w:rPr>
        <w:t xml:space="preserve">Kronos” timekeeping security system where </w:t>
      </w:r>
      <w:r w:rsidRPr="0071601A">
        <w:rPr>
          <w:color w:val="454545"/>
          <w:shd w:val="clear" w:color="auto" w:fill="FFFFFF"/>
        </w:rPr>
        <w:t>their fingerprints must be taken.  U.S. District Court Judge Wendy B. Vitter, in a lengthy decision reviewing U.S. Supreme Court and lower court decisions, dismissed the lawsuit.  “</w:t>
      </w:r>
      <w:r w:rsidRPr="0071601A">
        <w:rPr>
          <w:shd w:val="clear" w:color="auto" w:fill="FFFFFF"/>
        </w:rPr>
        <w:t>However, even assuming such mandatory fingerprint collection qualifies as a Fourth Amendment search, Plaintiffs fail to show that the search was unreasonable… The intrusion undertaken by Defendants therefore satisfies the legitimate government interest in timekeeping and ensuring that public funds related to employee salaries are used for their intended purpose. The fingerprinting policy was justified at its inception.”</w:t>
      </w:r>
      <w:r w:rsidRPr="0071601A">
        <w:t xml:space="preserve"> </w:t>
      </w:r>
      <w:hyperlink r:id="rId1098" w:history="1">
        <w:r w:rsidRPr="0071601A">
          <w:rPr>
            <w:rStyle w:val="Hyperlink"/>
            <w:shd w:val="clear" w:color="auto" w:fill="FFFFFF"/>
          </w:rPr>
          <w:t>https://cases.justia.com/federal/district-courts/louisiana/laedce/2:2023cv00439/259406/50/0.pdf?ts=1721728516</w:t>
        </w:r>
      </w:hyperlink>
      <w:r w:rsidRPr="0071601A">
        <w:rPr>
          <w:shd w:val="clear" w:color="auto" w:fill="FFFFFF"/>
        </w:rPr>
        <w:t xml:space="preserve"> </w:t>
      </w:r>
    </w:p>
    <w:p w14:paraId="47C6DC34" w14:textId="77777777" w:rsidR="00364F21" w:rsidRDefault="00364F21" w:rsidP="00364F21">
      <w:pPr>
        <w:pStyle w:val="NoSpacing"/>
        <w:rPr>
          <w:rFonts w:ascii="Times New Roman" w:hAnsi="Times New Roman"/>
          <w:sz w:val="24"/>
          <w:szCs w:val="24"/>
          <w:shd w:val="clear" w:color="auto" w:fill="FFFFFF"/>
        </w:rPr>
      </w:pPr>
      <w:r>
        <w:rPr>
          <w:rFonts w:ascii="Times New Roman" w:hAnsi="Times New Roman"/>
          <w:sz w:val="24"/>
          <w:szCs w:val="24"/>
          <w:shd w:val="clear" w:color="auto" w:fill="FFFFFF"/>
        </w:rPr>
        <w:t>THE COURT HELD:</w:t>
      </w:r>
    </w:p>
    <w:p w14:paraId="32FA80C5" w14:textId="77777777" w:rsidR="00364F21" w:rsidRDefault="00364F21" w:rsidP="00364F21">
      <w:pPr>
        <w:pStyle w:val="NoSpacing"/>
        <w:rPr>
          <w:rFonts w:ascii="Times New Roman" w:hAnsi="Times New Roman"/>
          <w:sz w:val="24"/>
          <w:szCs w:val="24"/>
          <w:shd w:val="clear" w:color="auto" w:fill="FFFFFF"/>
        </w:rPr>
      </w:pPr>
    </w:p>
    <w:p w14:paraId="4F2AE327" w14:textId="77777777" w:rsidR="00364F21" w:rsidRDefault="00364F21" w:rsidP="00364F21">
      <w:pPr>
        <w:pStyle w:val="NoSpacing"/>
        <w:ind w:left="720"/>
        <w:rPr>
          <w:rFonts w:ascii="Times New Roman" w:hAnsi="Times New Roman"/>
          <w:sz w:val="24"/>
          <w:szCs w:val="24"/>
          <w:shd w:val="clear" w:color="auto" w:fill="FFFFFF"/>
        </w:rPr>
      </w:pPr>
      <w:r>
        <w:rPr>
          <w:rFonts w:ascii="Times New Roman" w:hAnsi="Times New Roman"/>
          <w:sz w:val="24"/>
          <w:szCs w:val="24"/>
          <w:shd w:val="clear" w:color="auto" w:fill="FFFFFF"/>
        </w:rPr>
        <w:t>“</w:t>
      </w:r>
      <w:r w:rsidRPr="00E01FC6">
        <w:rPr>
          <w:rFonts w:ascii="Times New Roman" w:hAnsi="Times New Roman"/>
          <w:sz w:val="24"/>
          <w:szCs w:val="24"/>
          <w:shd w:val="clear" w:color="auto" w:fill="FFFFFF"/>
        </w:rPr>
        <w:t xml:space="preserve">While the fingerprinting in this case likely constituted a search under </w:t>
      </w:r>
      <w:r w:rsidRPr="00E01FC6">
        <w:rPr>
          <w:rFonts w:ascii="Times New Roman" w:hAnsi="Times New Roman"/>
          <w:i/>
          <w:iCs/>
          <w:sz w:val="24"/>
          <w:szCs w:val="24"/>
          <w:shd w:val="clear" w:color="auto" w:fill="FFFFFF"/>
        </w:rPr>
        <w:t>Jones</w:t>
      </w:r>
      <w:r w:rsidRPr="00E01FC6">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w:t>
      </w:r>
      <w:r w:rsidRPr="00E01FC6">
        <w:rPr>
          <w:rFonts w:ascii="Times New Roman" w:hAnsi="Times New Roman"/>
          <w:sz w:val="24"/>
          <w:szCs w:val="24"/>
          <w:shd w:val="clear" w:color="auto" w:fill="FFFFFF"/>
        </w:rPr>
        <w:t xml:space="preserve">the search did not run afoul of the Fourth Amendment. The scope of the </w:t>
      </w:r>
      <w:proofErr w:type="gramStart"/>
      <w:r w:rsidRPr="00E01FC6">
        <w:rPr>
          <w:rFonts w:ascii="Times New Roman" w:hAnsi="Times New Roman"/>
          <w:sz w:val="24"/>
          <w:szCs w:val="24"/>
          <w:shd w:val="clear" w:color="auto" w:fill="FFFFFF"/>
        </w:rPr>
        <w:t>particular</w:t>
      </w:r>
      <w:r>
        <w:rPr>
          <w:rFonts w:ascii="Times New Roman" w:hAnsi="Times New Roman"/>
          <w:sz w:val="24"/>
          <w:szCs w:val="24"/>
          <w:shd w:val="clear" w:color="auto" w:fill="FFFFFF"/>
        </w:rPr>
        <w:t xml:space="preserve"> </w:t>
      </w:r>
      <w:r w:rsidRPr="00E01FC6">
        <w:rPr>
          <w:rFonts w:ascii="Times New Roman" w:hAnsi="Times New Roman"/>
          <w:sz w:val="24"/>
          <w:szCs w:val="24"/>
          <w:shd w:val="clear" w:color="auto" w:fill="FFFFFF"/>
        </w:rPr>
        <w:t>intrusion</w:t>
      </w:r>
      <w:proofErr w:type="gramEnd"/>
      <w:r w:rsidRPr="00E01FC6">
        <w:rPr>
          <w:rFonts w:ascii="Times New Roman" w:hAnsi="Times New Roman"/>
          <w:sz w:val="24"/>
          <w:szCs w:val="24"/>
          <w:shd w:val="clear" w:color="auto" w:fill="FFFFFF"/>
        </w:rPr>
        <w:t xml:space="preserve"> and the </w:t>
      </w:r>
      <w:proofErr w:type="gramStart"/>
      <w:r w:rsidRPr="00E01FC6">
        <w:rPr>
          <w:rFonts w:ascii="Times New Roman" w:hAnsi="Times New Roman"/>
          <w:sz w:val="24"/>
          <w:szCs w:val="24"/>
          <w:shd w:val="clear" w:color="auto" w:fill="FFFFFF"/>
        </w:rPr>
        <w:t>manner in which</w:t>
      </w:r>
      <w:proofErr w:type="gramEnd"/>
      <w:r w:rsidRPr="00E01FC6">
        <w:rPr>
          <w:rFonts w:ascii="Times New Roman" w:hAnsi="Times New Roman"/>
          <w:sz w:val="24"/>
          <w:szCs w:val="24"/>
          <w:shd w:val="clear" w:color="auto" w:fill="FFFFFF"/>
        </w:rPr>
        <w:t xml:space="preserve"> it was collected in this case were minimal. The</w:t>
      </w:r>
      <w:r>
        <w:rPr>
          <w:rFonts w:ascii="Times New Roman" w:hAnsi="Times New Roman"/>
          <w:sz w:val="24"/>
          <w:szCs w:val="24"/>
          <w:shd w:val="clear" w:color="auto" w:fill="FFFFFF"/>
        </w:rPr>
        <w:t xml:space="preserve"> </w:t>
      </w:r>
      <w:r w:rsidRPr="00E01FC6">
        <w:rPr>
          <w:rFonts w:ascii="Times New Roman" w:hAnsi="Times New Roman"/>
          <w:sz w:val="24"/>
          <w:szCs w:val="24"/>
          <w:shd w:val="clear" w:color="auto" w:fill="FFFFFF"/>
        </w:rPr>
        <w:t>timekeeping justification for the intrusion constitutes a legitimate work-related,</w:t>
      </w:r>
      <w:r>
        <w:rPr>
          <w:rFonts w:ascii="Times New Roman" w:hAnsi="Times New Roman"/>
          <w:sz w:val="24"/>
          <w:szCs w:val="24"/>
          <w:shd w:val="clear" w:color="auto" w:fill="FFFFFF"/>
        </w:rPr>
        <w:t xml:space="preserve"> </w:t>
      </w:r>
      <w:r w:rsidRPr="00E01FC6">
        <w:rPr>
          <w:rFonts w:ascii="Times New Roman" w:hAnsi="Times New Roman"/>
          <w:sz w:val="24"/>
          <w:szCs w:val="24"/>
          <w:shd w:val="clear" w:color="auto" w:fill="FFFFFF"/>
        </w:rPr>
        <w:t>non</w:t>
      </w:r>
      <w:r>
        <w:rPr>
          <w:rFonts w:ascii="Times New Roman" w:hAnsi="Times New Roman"/>
          <w:sz w:val="24"/>
          <w:szCs w:val="24"/>
          <w:shd w:val="clear" w:color="auto" w:fill="FFFFFF"/>
        </w:rPr>
        <w:t>-</w:t>
      </w:r>
      <w:r w:rsidRPr="00E01FC6">
        <w:rPr>
          <w:rFonts w:ascii="Times New Roman" w:hAnsi="Times New Roman"/>
          <w:sz w:val="24"/>
          <w:szCs w:val="24"/>
          <w:shd w:val="clear" w:color="auto" w:fill="FFFFFF"/>
        </w:rPr>
        <w:t>investigatory intrusion that satisfies the reasonableness standard in terms of its</w:t>
      </w:r>
      <w:r>
        <w:rPr>
          <w:rFonts w:ascii="Times New Roman" w:hAnsi="Times New Roman"/>
          <w:sz w:val="24"/>
          <w:szCs w:val="24"/>
          <w:shd w:val="clear" w:color="auto" w:fill="FFFFFF"/>
        </w:rPr>
        <w:t xml:space="preserve"> </w:t>
      </w:r>
      <w:r w:rsidRPr="00E01FC6">
        <w:rPr>
          <w:rFonts w:ascii="Times New Roman" w:hAnsi="Times New Roman"/>
          <w:sz w:val="24"/>
          <w:szCs w:val="24"/>
          <w:shd w:val="clear" w:color="auto" w:fill="FFFFFF"/>
        </w:rPr>
        <w:t>inception and scope. Therefore, the fingerprinting of Plaintiffs was not an</w:t>
      </w:r>
      <w:r>
        <w:rPr>
          <w:rFonts w:ascii="Times New Roman" w:hAnsi="Times New Roman"/>
          <w:sz w:val="24"/>
          <w:szCs w:val="24"/>
          <w:shd w:val="clear" w:color="auto" w:fill="FFFFFF"/>
        </w:rPr>
        <w:t xml:space="preserve"> </w:t>
      </w:r>
      <w:r w:rsidRPr="00E01FC6">
        <w:rPr>
          <w:rFonts w:ascii="Times New Roman" w:hAnsi="Times New Roman"/>
          <w:sz w:val="24"/>
          <w:szCs w:val="24"/>
          <w:shd w:val="clear" w:color="auto" w:fill="FFFFFF"/>
        </w:rPr>
        <w:t>unreasonable search in violation of the Fourth Amendment. Because the Plaintiffs</w:t>
      </w:r>
      <w:r>
        <w:rPr>
          <w:rFonts w:ascii="Times New Roman" w:hAnsi="Times New Roman"/>
          <w:sz w:val="24"/>
          <w:szCs w:val="24"/>
          <w:shd w:val="clear" w:color="auto" w:fill="FFFFFF"/>
        </w:rPr>
        <w:t xml:space="preserve"> </w:t>
      </w:r>
      <w:r w:rsidRPr="00E01FC6">
        <w:rPr>
          <w:rFonts w:ascii="Times New Roman" w:hAnsi="Times New Roman"/>
          <w:sz w:val="24"/>
          <w:szCs w:val="24"/>
          <w:shd w:val="clear" w:color="auto" w:fill="FFFFFF"/>
        </w:rPr>
        <w:t xml:space="preserve">cannot demonstrate an underlying constitutional violation, their § 1983 </w:t>
      </w:r>
      <w:r w:rsidRPr="004220C8">
        <w:rPr>
          <w:rFonts w:ascii="Times New Roman" w:hAnsi="Times New Roman"/>
          <w:i/>
          <w:iCs/>
          <w:sz w:val="24"/>
          <w:szCs w:val="24"/>
          <w:shd w:val="clear" w:color="auto" w:fill="FFFFFF"/>
        </w:rPr>
        <w:t xml:space="preserve">Monell </w:t>
      </w:r>
      <w:r w:rsidRPr="004220C8">
        <w:rPr>
          <w:rFonts w:ascii="Times New Roman" w:hAnsi="Times New Roman"/>
          <w:sz w:val="24"/>
          <w:szCs w:val="24"/>
          <w:shd w:val="clear" w:color="auto" w:fill="FFFFFF"/>
        </w:rPr>
        <w:t>claims against the Defendants necessarily fail. Likewise, the Plaintiffs’ Louisiana</w:t>
      </w:r>
      <w:r>
        <w:rPr>
          <w:rFonts w:ascii="Times New Roman" w:hAnsi="Times New Roman"/>
          <w:sz w:val="24"/>
          <w:szCs w:val="24"/>
          <w:shd w:val="clear" w:color="auto" w:fill="FFFFFF"/>
        </w:rPr>
        <w:t xml:space="preserve"> </w:t>
      </w:r>
      <w:r w:rsidRPr="004220C8">
        <w:rPr>
          <w:rFonts w:ascii="Times New Roman" w:hAnsi="Times New Roman"/>
          <w:sz w:val="24"/>
          <w:szCs w:val="24"/>
          <w:shd w:val="clear" w:color="auto" w:fill="FFFFFF"/>
        </w:rPr>
        <w:t>constitutional claims also fail.</w:t>
      </w:r>
      <w:r>
        <w:rPr>
          <w:rFonts w:ascii="Times New Roman" w:hAnsi="Times New Roman"/>
          <w:sz w:val="24"/>
          <w:szCs w:val="24"/>
          <w:shd w:val="clear" w:color="auto" w:fill="FFFFFF"/>
        </w:rPr>
        <w:t>”</w:t>
      </w:r>
    </w:p>
    <w:p w14:paraId="30960912" w14:textId="77777777" w:rsidR="004F15A5" w:rsidRDefault="004F15A5" w:rsidP="004F15A5">
      <w:pPr>
        <w:pStyle w:val="NoSpacing"/>
        <w:rPr>
          <w:rFonts w:ascii="Times New Roman" w:hAnsi="Times New Roman"/>
          <w:b/>
          <w:bCs/>
          <w:sz w:val="24"/>
          <w:szCs w:val="24"/>
          <w:shd w:val="clear" w:color="auto" w:fill="FFFFFF"/>
        </w:rPr>
      </w:pPr>
    </w:p>
    <w:p w14:paraId="173CA355" w14:textId="160DF5A9" w:rsidR="004F15A5" w:rsidRPr="005136BE" w:rsidRDefault="004F15A5" w:rsidP="004F15A5">
      <w:pPr>
        <w:pStyle w:val="NoSpacing"/>
        <w:rPr>
          <w:rFonts w:ascii="Times New Roman" w:hAnsi="Times New Roman"/>
          <w:b/>
          <w:bCs/>
          <w:sz w:val="24"/>
          <w:szCs w:val="24"/>
          <w:shd w:val="clear" w:color="auto" w:fill="FFFFFF"/>
        </w:rPr>
      </w:pPr>
      <w:r>
        <w:rPr>
          <w:rFonts w:ascii="Times New Roman" w:hAnsi="Times New Roman"/>
          <w:b/>
          <w:bCs/>
          <w:sz w:val="24"/>
          <w:szCs w:val="24"/>
          <w:shd w:val="clear" w:color="auto" w:fill="FFFFFF"/>
        </w:rPr>
        <w:t>Legal Lesson Learned: There is little case law on fingerprinting of employees; this decision is extremely well researched.</w:t>
      </w:r>
    </w:p>
    <w:p w14:paraId="5170BFBF" w14:textId="0C52AEC7" w:rsidR="00364F21" w:rsidRDefault="004F15A5" w:rsidP="004F15A5">
      <w:pPr>
        <w:pStyle w:val="NormalWeb"/>
        <w:spacing w:before="0" w:beforeAutospacing="0"/>
        <w:rPr>
          <w:rFonts w:ascii="Arial Black" w:hAnsi="Arial Black"/>
          <w:b/>
          <w:bCs/>
          <w:color w:val="454545"/>
          <w:sz w:val="28"/>
          <w:szCs w:val="28"/>
          <w:shd w:val="clear" w:color="auto" w:fill="FFFFFF"/>
        </w:rPr>
      </w:pPr>
      <w:r w:rsidRPr="0071601A">
        <w:rPr>
          <w:color w:val="454545"/>
          <w:shd w:val="clear" w:color="auto" w:fill="FFFFFF"/>
        </w:rPr>
        <w:t xml:space="preserve">Note: See the </w:t>
      </w:r>
      <w:r>
        <w:rPr>
          <w:color w:val="454545"/>
          <w:shd w:val="clear" w:color="auto" w:fill="FFFFFF"/>
        </w:rPr>
        <w:t>“</w:t>
      </w:r>
      <w:r w:rsidRPr="0071601A">
        <w:rPr>
          <w:color w:val="454545"/>
          <w:shd w:val="clear" w:color="auto" w:fill="FFFFFF"/>
        </w:rPr>
        <w:t>Kronos</w:t>
      </w:r>
      <w:r>
        <w:rPr>
          <w:color w:val="454545"/>
          <w:shd w:val="clear" w:color="auto" w:fill="FFFFFF"/>
        </w:rPr>
        <w:t>”</w:t>
      </w:r>
      <w:r w:rsidRPr="0071601A">
        <w:rPr>
          <w:color w:val="454545"/>
          <w:shd w:val="clear" w:color="auto" w:fill="FFFFFF"/>
        </w:rPr>
        <w:t xml:space="preserve"> timekeeping system. </w:t>
      </w:r>
      <w:hyperlink r:id="rId1099" w:history="1">
        <w:r w:rsidRPr="0071601A">
          <w:rPr>
            <w:rStyle w:val="Hyperlink"/>
            <w:shd w:val="clear" w:color="auto" w:fill="FFFFFF"/>
          </w:rPr>
          <w:t>https://www.360connect.com/product-blog/kronos-time-and-attendance-system-types-features-pricing/</w:t>
        </w:r>
      </w:hyperlink>
    </w:p>
    <w:p w14:paraId="06D5BBD6" w14:textId="77777777" w:rsidR="00562A25" w:rsidRDefault="00562A25" w:rsidP="006C4AD8">
      <w:pPr>
        <w:pStyle w:val="NormalWeb"/>
        <w:spacing w:before="0" w:beforeAutospacing="0"/>
        <w:rPr>
          <w:rFonts w:ascii="Arial Black" w:hAnsi="Arial Black"/>
          <w:b/>
          <w:bCs/>
          <w:color w:val="454545"/>
          <w:sz w:val="28"/>
          <w:szCs w:val="28"/>
          <w:shd w:val="clear" w:color="auto" w:fill="FFFFFF"/>
        </w:rPr>
      </w:pPr>
    </w:p>
    <w:p w14:paraId="4E0DF329" w14:textId="77777777" w:rsidR="00562A25" w:rsidRDefault="00562A25" w:rsidP="006C4AD8">
      <w:pPr>
        <w:pStyle w:val="NormalWeb"/>
        <w:spacing w:before="0" w:beforeAutospacing="0"/>
        <w:rPr>
          <w:rFonts w:ascii="Arial Black" w:hAnsi="Arial Black"/>
          <w:b/>
          <w:bCs/>
          <w:color w:val="454545"/>
          <w:sz w:val="28"/>
          <w:szCs w:val="28"/>
          <w:shd w:val="clear" w:color="auto" w:fill="FFFFFF"/>
        </w:rPr>
      </w:pPr>
    </w:p>
    <w:p w14:paraId="75C35C2D" w14:textId="020C7F5B" w:rsidR="00C63CEB" w:rsidRDefault="009F02E2" w:rsidP="006C4AD8">
      <w:pPr>
        <w:pStyle w:val="NormalWeb"/>
        <w:spacing w:before="0" w:beforeAutospacing="0"/>
        <w:rPr>
          <w:rFonts w:ascii="Arial Black" w:hAnsi="Arial Black"/>
          <w:b/>
          <w:bCs/>
          <w:color w:val="454545"/>
          <w:sz w:val="28"/>
          <w:szCs w:val="28"/>
          <w:shd w:val="clear" w:color="auto" w:fill="FFFFFF"/>
        </w:rPr>
      </w:pPr>
      <w:r>
        <w:rPr>
          <w:rFonts w:ascii="Arial Black" w:hAnsi="Arial Black"/>
          <w:b/>
          <w:bCs/>
          <w:color w:val="454545"/>
          <w:sz w:val="28"/>
          <w:szCs w:val="28"/>
          <w:shd w:val="clear" w:color="auto" w:fill="FFFFFF"/>
        </w:rPr>
        <w:t>6-13</w:t>
      </w:r>
      <w:r w:rsidR="002A0697">
        <w:rPr>
          <w:rFonts w:ascii="Arial Black" w:hAnsi="Arial Black"/>
          <w:b/>
          <w:bCs/>
          <w:color w:val="454545"/>
          <w:sz w:val="28"/>
          <w:szCs w:val="28"/>
          <w:shd w:val="clear" w:color="auto" w:fill="FFFFFF"/>
        </w:rPr>
        <w:t>3</w:t>
      </w:r>
    </w:p>
    <w:p w14:paraId="24C3F924" w14:textId="77777777" w:rsidR="00A905C2" w:rsidRPr="000F466D" w:rsidRDefault="00A905C2" w:rsidP="00A905C2">
      <w:pPr>
        <w:pStyle w:val="NormalWeb"/>
        <w:rPr>
          <w:rFonts w:ascii="Arial Black" w:hAnsi="Arial Black"/>
          <w:sz w:val="28"/>
          <w:szCs w:val="28"/>
        </w:rPr>
      </w:pPr>
      <w:r>
        <w:rPr>
          <w:rFonts w:ascii="Arial Black" w:hAnsi="Arial Black"/>
          <w:sz w:val="28"/>
          <w:szCs w:val="28"/>
        </w:rPr>
        <w:t>IL: CORONARY ARTERY DISEASE – LT. 28 YEARS FIRE SERVICE – CAN’T PROVE CAUSED BY JOB – NO WORK COMP</w:t>
      </w:r>
    </w:p>
    <w:p w14:paraId="0D39A263" w14:textId="77777777" w:rsidR="00A905C2" w:rsidRDefault="00A905C2" w:rsidP="00A905C2">
      <w:pPr>
        <w:pStyle w:val="NormalWeb"/>
      </w:pPr>
      <w:r>
        <w:t xml:space="preserve">On May 24, 2024, in </w:t>
      </w:r>
      <w:r w:rsidRPr="00110426">
        <w:rPr>
          <w:u w:val="single"/>
        </w:rPr>
        <w:t>Jerry Faruzzi v. The Illinois Workers Compensation Commission</w:t>
      </w:r>
      <w:r>
        <w:t xml:space="preserve">, the Court of Appeals of Illinois, First District, Workers’ Compensation Commission Division, held (5 to 0) that the firefighter failed to prove the artery disease was caused by the job. The Court held: </w:t>
      </w:r>
    </w:p>
    <w:p w14:paraId="77176E4D" w14:textId="77777777" w:rsidR="00A905C2" w:rsidRDefault="00A905C2" w:rsidP="00A905C2">
      <w:pPr>
        <w:pStyle w:val="NormalWeb"/>
        <w:ind w:left="720" w:firstLine="60"/>
      </w:pPr>
      <w:r>
        <w:t xml:space="preserve">“The claimant argues that Dr. Moisan's testimony that the claimant's firefighting activities contributed in part to his development of coronary artery disease is a judicial admission by the Village based on Dr. Moisan's position as medical director for the Village's fire department. We disagree…. As noted earlier, Dr. Moisan's causation opinion is hardly unequivocal. When asked directly whether the claimant's </w:t>
      </w:r>
      <w:r>
        <w:lastRenderedPageBreak/>
        <w:t>coronary artery disease was caused or contributed to by his firefighting duties, Dr. Moisan stated: ‘I can't know that</w:t>
      </w:r>
      <w:proofErr w:type="gramStart"/>
      <w:r>
        <w:t>.</w:t>
      </w:r>
      <w:proofErr w:type="gramEnd"/>
      <w:r>
        <w:t xml:space="preserve"> I can't exclude it.’” </w:t>
      </w:r>
      <w:hyperlink r:id="rId1100" w:history="1">
        <w:r w:rsidRPr="00F80308">
          <w:rPr>
            <w:rStyle w:val="Hyperlink"/>
          </w:rPr>
          <w:t>https://ilcourtsaudio.blob.core.windows.net/antilles-resources/resources/db67e7e2-0717-4638-8c31-3e01bcc193d9/Faruzzi%20v.%20Illinois%20Workers%27%20Compensation%20Comm%27n,%202024%20IL%20App%20(1st)%20231896WC-U.pdf</w:t>
        </w:r>
      </w:hyperlink>
      <w:r>
        <w:t xml:space="preserve"> </w:t>
      </w:r>
    </w:p>
    <w:p w14:paraId="2C422B3B" w14:textId="77777777" w:rsidR="009C6DC9" w:rsidRDefault="009C6DC9" w:rsidP="009C6DC9">
      <w:pPr>
        <w:pStyle w:val="NormalWeb"/>
        <w:rPr>
          <w:b/>
          <w:bCs/>
        </w:rPr>
      </w:pPr>
      <w:r>
        <w:rPr>
          <w:b/>
          <w:bCs/>
        </w:rPr>
        <w:t xml:space="preserve">Legal Lesson Learned:  Extremely difficult to prove coronary artery disease caused by the job. </w:t>
      </w:r>
    </w:p>
    <w:p w14:paraId="01812EC9" w14:textId="77777777" w:rsidR="009C6DC9" w:rsidRPr="009E5A90" w:rsidRDefault="009C6DC9" w:rsidP="009C6DC9">
      <w:pPr>
        <w:pStyle w:val="Heading1"/>
        <w:ind w:left="720"/>
        <w:rPr>
          <w:sz w:val="24"/>
          <w:szCs w:val="24"/>
        </w:rPr>
      </w:pPr>
      <w:r w:rsidRPr="009E5A90">
        <w:rPr>
          <w:sz w:val="24"/>
          <w:szCs w:val="24"/>
        </w:rPr>
        <w:t xml:space="preserve">Note: In Ohio, the legislature has enacted a “statutory presumption” law for certain firefighter diseases.  Section 4123.68 </w:t>
      </w:r>
      <w:r w:rsidRPr="009E5A90">
        <w:rPr>
          <w:rStyle w:val="codes-separator"/>
          <w:rFonts w:eastAsiaTheme="minorHAnsi"/>
          <w:sz w:val="24"/>
          <w:szCs w:val="24"/>
        </w:rPr>
        <w:t>|</w:t>
      </w:r>
      <w:r w:rsidRPr="009E5A90">
        <w:rPr>
          <w:sz w:val="24"/>
          <w:szCs w:val="24"/>
        </w:rPr>
        <w:t xml:space="preserve"> Schedule of compensable occupational diseases. </w:t>
      </w:r>
      <w:hyperlink r:id="rId1101" w:history="1">
        <w:r w:rsidRPr="00F80308">
          <w:rPr>
            <w:rStyle w:val="Hyperlink"/>
            <w:sz w:val="24"/>
            <w:szCs w:val="24"/>
          </w:rPr>
          <w:t>https://codes.ohio.gov/ohio-revised-code/section-4123.68</w:t>
        </w:r>
      </w:hyperlink>
      <w:r>
        <w:rPr>
          <w:sz w:val="24"/>
          <w:szCs w:val="24"/>
        </w:rPr>
        <w:t xml:space="preserve"> </w:t>
      </w:r>
    </w:p>
    <w:p w14:paraId="53EC78E9" w14:textId="77777777" w:rsidR="009C6DC9" w:rsidRDefault="009C6DC9" w:rsidP="009C6DC9">
      <w:pPr>
        <w:pStyle w:val="NormalWeb"/>
        <w:ind w:left="720"/>
      </w:pPr>
      <w:r>
        <w:t>For example:</w:t>
      </w:r>
    </w:p>
    <w:p w14:paraId="31E75CB6" w14:textId="77777777" w:rsidR="009C6DC9" w:rsidRDefault="009C6DC9" w:rsidP="009C6DC9">
      <w:pPr>
        <w:pStyle w:val="NormalWeb"/>
        <w:ind w:left="1440"/>
      </w:pPr>
      <w:r>
        <w:t>“(W) Cardiovascular, pulmonary, or respiratory diseases incurred by firefighters or police officers following exposure to heat, smoke, toxic gases, chemical fumes and other toxic substances: Any cardiovascular, pulmonary, or respiratory disease of a firefighter or police officer caused or induced by the cumulative effect of exposure to heat, the inhalation of smoke, toxic gases, chemical fumes and other toxic substances in the performance of the firefighter's or police officer's duty constitutes a presumption, which may be refuted by affirmative evidence, that such occurred in the course of and arising out of the firefighter's or police officer's employment.</w:t>
      </w:r>
    </w:p>
    <w:p w14:paraId="13DC7DCC" w14:textId="77777777" w:rsidR="009C6DC9" w:rsidRPr="00797268" w:rsidRDefault="009C6DC9" w:rsidP="009C6DC9">
      <w:pPr>
        <w:pStyle w:val="NormalWeb"/>
        <w:ind w:left="1440"/>
      </w:pPr>
      <w:r>
        <w:t>***</w:t>
      </w:r>
    </w:p>
    <w:p w14:paraId="0CD2C01F" w14:textId="77777777" w:rsidR="009C6DC9" w:rsidRPr="00EE37D5" w:rsidRDefault="009C6DC9" w:rsidP="009C6DC9">
      <w:pPr>
        <w:pStyle w:val="NormalWeb"/>
        <w:ind w:left="1440"/>
        <w:rPr>
          <w:b/>
          <w:bCs/>
        </w:rPr>
      </w:pPr>
      <w:r>
        <w:t xml:space="preserve">(X)(1) Cancer contracted by a firefighter: Cancer contracted by a firefighter who has been assigned to at least six years of hazardous duty as a firefighter constitutes a presumption that the cancer was contracted in the course of and arising out of the firefighter's employment if the firefighter was exposed to an agent classified by the international agency for research on cancer or its successor organization as a group 1 or 2A carcinogen.” </w:t>
      </w:r>
    </w:p>
    <w:p w14:paraId="0C2123E8" w14:textId="77777777" w:rsidR="009C6DC9" w:rsidRDefault="009C6DC9" w:rsidP="009C6DC9">
      <w:pPr>
        <w:pStyle w:val="NormalWeb"/>
        <w:ind w:left="720"/>
      </w:pPr>
      <w:r>
        <w:t xml:space="preserve">See IAFF list of states with statutory presumption laws. </w:t>
      </w:r>
      <w:hyperlink r:id="rId1102" w:history="1">
        <w:r w:rsidRPr="00F80308">
          <w:rPr>
            <w:rStyle w:val="Hyperlink"/>
          </w:rPr>
          <w:t>https://www.iaff.org/presumptive-health/</w:t>
        </w:r>
      </w:hyperlink>
      <w:r>
        <w:t xml:space="preserve"> </w:t>
      </w:r>
    </w:p>
    <w:p w14:paraId="278DA56C" w14:textId="77777777" w:rsidR="009F02E2" w:rsidRDefault="009F02E2" w:rsidP="006C4AD8">
      <w:pPr>
        <w:pStyle w:val="NormalWeb"/>
        <w:spacing w:before="0" w:beforeAutospacing="0"/>
        <w:rPr>
          <w:rFonts w:ascii="Arial Black" w:hAnsi="Arial Black"/>
          <w:b/>
          <w:bCs/>
          <w:color w:val="454545"/>
          <w:sz w:val="28"/>
          <w:szCs w:val="28"/>
          <w:shd w:val="clear" w:color="auto" w:fill="FFFFFF"/>
        </w:rPr>
      </w:pPr>
    </w:p>
    <w:p w14:paraId="31C637F1" w14:textId="2CC1D7DF" w:rsidR="00C63CEB" w:rsidRDefault="00C63CEB" w:rsidP="006C4AD8">
      <w:pPr>
        <w:pStyle w:val="NormalWeb"/>
        <w:spacing w:before="0" w:beforeAutospacing="0"/>
        <w:rPr>
          <w:rFonts w:ascii="Arial Black" w:hAnsi="Arial Black"/>
          <w:b/>
          <w:bCs/>
          <w:color w:val="454545"/>
          <w:sz w:val="28"/>
          <w:szCs w:val="28"/>
          <w:shd w:val="clear" w:color="auto" w:fill="FFFFFF"/>
        </w:rPr>
      </w:pPr>
      <w:r>
        <w:rPr>
          <w:rFonts w:ascii="Arial Black" w:hAnsi="Arial Black"/>
          <w:b/>
          <w:bCs/>
          <w:color w:val="454545"/>
          <w:sz w:val="28"/>
          <w:szCs w:val="28"/>
          <w:shd w:val="clear" w:color="auto" w:fill="FFFFFF"/>
        </w:rPr>
        <w:t>6-13</w:t>
      </w:r>
      <w:r w:rsidR="002A0697">
        <w:rPr>
          <w:rFonts w:ascii="Arial Black" w:hAnsi="Arial Black"/>
          <w:b/>
          <w:bCs/>
          <w:color w:val="454545"/>
          <w:sz w:val="28"/>
          <w:szCs w:val="28"/>
          <w:shd w:val="clear" w:color="auto" w:fill="FFFFFF"/>
        </w:rPr>
        <w:t>2</w:t>
      </w:r>
    </w:p>
    <w:p w14:paraId="16ECB341" w14:textId="77777777" w:rsidR="00DC3D8E" w:rsidRDefault="00DC3D8E" w:rsidP="00DC3D8E">
      <w:pPr>
        <w:pStyle w:val="NormalWeb"/>
        <w:spacing w:before="0" w:beforeAutospacing="0"/>
        <w:rPr>
          <w:rFonts w:ascii="Arial Black" w:hAnsi="Arial Black"/>
          <w:b/>
          <w:bCs/>
          <w:color w:val="454545"/>
          <w:sz w:val="28"/>
          <w:szCs w:val="28"/>
          <w:shd w:val="clear" w:color="auto" w:fill="FFFFFF"/>
        </w:rPr>
      </w:pPr>
      <w:r w:rsidRPr="009E0BBC">
        <w:rPr>
          <w:rFonts w:ascii="Arial Black" w:hAnsi="Arial Black"/>
          <w:b/>
          <w:bCs/>
          <w:color w:val="454545"/>
          <w:sz w:val="28"/>
          <w:szCs w:val="28"/>
          <w:shd w:val="clear" w:color="auto" w:fill="FFFFFF"/>
        </w:rPr>
        <w:t xml:space="preserve">PA: </w:t>
      </w:r>
      <w:r>
        <w:rPr>
          <w:rFonts w:ascii="Arial Black" w:hAnsi="Arial Black"/>
          <w:b/>
          <w:bCs/>
          <w:color w:val="454545"/>
          <w:sz w:val="28"/>
          <w:szCs w:val="28"/>
          <w:shd w:val="clear" w:color="auto" w:fill="FFFFFF"/>
        </w:rPr>
        <w:t xml:space="preserve">PHILADELPHIA FF - </w:t>
      </w:r>
      <w:r w:rsidRPr="009E0BBC">
        <w:rPr>
          <w:rFonts w:ascii="Arial Black" w:hAnsi="Arial Black"/>
          <w:b/>
          <w:bCs/>
          <w:color w:val="454545"/>
          <w:sz w:val="28"/>
          <w:szCs w:val="28"/>
          <w:shd w:val="clear" w:color="auto" w:fill="FFFFFF"/>
        </w:rPr>
        <w:t xml:space="preserve">TRANSGENDER </w:t>
      </w:r>
      <w:r>
        <w:rPr>
          <w:rFonts w:ascii="Arial Black" w:hAnsi="Arial Black"/>
          <w:b/>
          <w:bCs/>
          <w:color w:val="454545"/>
          <w:sz w:val="28"/>
          <w:szCs w:val="28"/>
          <w:shd w:val="clear" w:color="auto" w:fill="FFFFFF"/>
        </w:rPr>
        <w:t xml:space="preserve">FEMALE - DENIED </w:t>
      </w:r>
      <w:r w:rsidRPr="009E0BBC">
        <w:rPr>
          <w:rFonts w:ascii="Arial Black" w:hAnsi="Arial Black"/>
          <w:b/>
          <w:bCs/>
          <w:color w:val="454545"/>
          <w:sz w:val="28"/>
          <w:szCs w:val="28"/>
          <w:shd w:val="clear" w:color="auto" w:fill="FFFFFF"/>
        </w:rPr>
        <w:t>INSUR</w:t>
      </w:r>
      <w:r>
        <w:rPr>
          <w:rFonts w:ascii="Arial Black" w:hAnsi="Arial Black"/>
          <w:b/>
          <w:bCs/>
          <w:color w:val="454545"/>
          <w:sz w:val="28"/>
          <w:szCs w:val="28"/>
          <w:shd w:val="clear" w:color="auto" w:fill="FFFFFF"/>
        </w:rPr>
        <w:t>. “FACIAL SURGERY” – CASE DISMISSED / CAN REFILE</w:t>
      </w:r>
    </w:p>
    <w:p w14:paraId="11A5892D" w14:textId="77777777" w:rsidR="00DC3D8E" w:rsidRDefault="00DC3D8E" w:rsidP="00DC3D8E">
      <w:pPr>
        <w:pStyle w:val="NormalWeb"/>
        <w:spacing w:before="0" w:beforeAutospacing="0"/>
      </w:pPr>
      <w:r w:rsidRPr="000B7D4B">
        <w:rPr>
          <w:color w:val="454545"/>
          <w:shd w:val="clear" w:color="auto" w:fill="FFFFFF"/>
        </w:rPr>
        <w:t xml:space="preserve">On May 16, 2024, in </w:t>
      </w:r>
      <w:r w:rsidRPr="00885806">
        <w:rPr>
          <w:color w:val="454545"/>
          <w:u w:val="single"/>
          <w:shd w:val="clear" w:color="auto" w:fill="FFFFFF"/>
        </w:rPr>
        <w:t>Jane Doe [not actual name] v. City of Philadelphia, Independent Blue Cross, Firefighters’ &amp; Paramedics Union, IADD Local 22</w:t>
      </w:r>
      <w:r>
        <w:rPr>
          <w:color w:val="454545"/>
          <w:shd w:val="clear" w:color="auto" w:fill="FFFFFF"/>
        </w:rPr>
        <w:t>, the plaintiff, a member of the FD for three decades, was denied insurance coverage for “</w:t>
      </w:r>
      <w:r>
        <w:t xml:space="preserve">facial feminization surgery.”  </w:t>
      </w:r>
      <w:r>
        <w:rPr>
          <w:color w:val="454545"/>
          <w:shd w:val="clear" w:color="auto" w:fill="FFFFFF"/>
        </w:rPr>
        <w:t xml:space="preserve">United States District Court Judge </w:t>
      </w:r>
      <w:r>
        <w:t>Wendy Beetlestone granted the defendants’ motion to dismiss her lawsuit since it is not specific regarding alleged unlawful conduct of each of the three defendants, but the dismissal is “without prejudice” meaning she can refile with a more specific Complaint.  The plaintiff had filed an EEOC complaint and received a “Right to Sue” letter from EEOC, so she has properly taken steps to file a lawsuit. The Court held:</w:t>
      </w:r>
    </w:p>
    <w:p w14:paraId="168C3E8B" w14:textId="77777777" w:rsidR="00DC3D8E" w:rsidRDefault="00DC3D8E" w:rsidP="00DC3D8E">
      <w:pPr>
        <w:pStyle w:val="NormalWeb"/>
        <w:ind w:left="720"/>
      </w:pPr>
      <w:r>
        <w:t xml:space="preserve">“Here, Doe levies most of her allegations against Defendants as a whole, without identifying the conduct for which the </w:t>
      </w:r>
      <w:proofErr w:type="gramStart"/>
      <w:r>
        <w:t>City</w:t>
      </w:r>
      <w:proofErr w:type="gramEnd"/>
      <w:r>
        <w:t xml:space="preserve"> specifically is responsible. The only non-conclusory allegations against the City are </w:t>
      </w:r>
      <w:r>
        <w:lastRenderedPageBreak/>
        <w:t>that: (1) it employed Doe; (2) as her employer, the City was ‘responsible for the provision of benefits to [her] including employer-sponsored healthcare benefits;’ (3) the City funded that plan; and, (4) ‘[</w:t>
      </w:r>
      <w:proofErr w:type="spellStart"/>
      <w:r>
        <w:t>i</w:t>
      </w:r>
      <w:proofErr w:type="spellEnd"/>
      <w:r>
        <w:t xml:space="preserve">]t is believed and therefore averred that’ the City, along with the other Defendants ‘exercised extensive control over benefits,’ including health insurance. The key allegations relating to Defendants' liability-that they denied Doe health insurance coverage for treatments necessary to treat her gender dysphoria and misapplied her policy's cosmetic surgery exclusion in doing so-do not distinguish between the conduct of the City, Independence Blue Cross, and Local 22. The Amended Complaint therefore does not </w:t>
      </w:r>
      <w:proofErr w:type="gramStart"/>
      <w:r>
        <w:t>plead</w:t>
      </w:r>
      <w:proofErr w:type="gramEnd"/>
      <w:r>
        <w:t xml:space="preserve"> facts sufficient to show that Doe is plausibly entitled to relief from the City.</w:t>
      </w:r>
    </w:p>
    <w:p w14:paraId="1D482102" w14:textId="77777777" w:rsidR="00DC3D8E" w:rsidRDefault="00DC3D8E" w:rsidP="00DC3D8E">
      <w:pPr>
        <w:pStyle w:val="NormalWeb"/>
        <w:ind w:left="720"/>
      </w:pPr>
      <w:r>
        <w:t>***</w:t>
      </w:r>
    </w:p>
    <w:p w14:paraId="7326FA47" w14:textId="77777777" w:rsidR="00DC3D8E" w:rsidRDefault="00DC3D8E" w:rsidP="00DC3D8E">
      <w:pPr>
        <w:pStyle w:val="NormalWeb"/>
        <w:spacing w:before="0" w:beforeAutospacing="0"/>
        <w:ind w:left="720" w:firstLine="60"/>
      </w:pPr>
      <w:r>
        <w:t xml:space="preserve">For the foregoing reasons, the City of Philadelphia's Motion to Dismiss will be granted, and Doe's Amended Complaint will be dismissed without prejudice.”  </w:t>
      </w:r>
      <w:hyperlink r:id="rId1103" w:history="1">
        <w:r w:rsidRPr="00DF21B2">
          <w:rPr>
            <w:rStyle w:val="Hyperlink"/>
          </w:rPr>
          <w:t>https://casetext.com/case/doe-v-city-of-philadelphia-5</w:t>
        </w:r>
      </w:hyperlink>
      <w:r>
        <w:t xml:space="preserve"> </w:t>
      </w:r>
    </w:p>
    <w:p w14:paraId="4352044C" w14:textId="77777777" w:rsidR="009F02E2" w:rsidRPr="007D3354" w:rsidRDefault="009F02E2" w:rsidP="009F02E2">
      <w:pPr>
        <w:pStyle w:val="NormalWeb"/>
        <w:spacing w:before="0" w:beforeAutospacing="0"/>
        <w:rPr>
          <w:b/>
          <w:bCs/>
          <w:color w:val="454545"/>
          <w:shd w:val="clear" w:color="auto" w:fill="FFFFFF"/>
        </w:rPr>
      </w:pPr>
      <w:r w:rsidRPr="007D3354">
        <w:rPr>
          <w:b/>
          <w:bCs/>
        </w:rPr>
        <w:t xml:space="preserve">Legal Lesson Learned: This lawsuit will likely be refiled, focusing on the Insurance Company’s cosmetic surgery exclusion. </w:t>
      </w:r>
    </w:p>
    <w:p w14:paraId="3C7BA024" w14:textId="77777777" w:rsidR="009F02E2" w:rsidRDefault="009F02E2" w:rsidP="009F02E2">
      <w:pPr>
        <w:pStyle w:val="NormalWeb"/>
        <w:spacing w:before="0" w:beforeAutospacing="0"/>
        <w:ind w:left="720"/>
        <w:rPr>
          <w:b/>
          <w:bCs/>
          <w:color w:val="454545"/>
          <w:shd w:val="clear" w:color="auto" w:fill="FFFFFF"/>
        </w:rPr>
      </w:pPr>
      <w:r w:rsidRPr="007E1F50">
        <w:rPr>
          <w:color w:val="000000" w:themeColor="text1"/>
          <w:shd w:val="clear" w:color="auto" w:fill="FFFFFF"/>
        </w:rPr>
        <w:t>Note: See this abstract (Aug. 12, 2023):</w:t>
      </w:r>
      <w:r w:rsidRPr="007E1F50">
        <w:rPr>
          <w:b/>
          <w:bCs/>
          <w:color w:val="000000" w:themeColor="text1"/>
          <w:shd w:val="clear" w:color="auto" w:fill="FFFFFF"/>
        </w:rPr>
        <w:t xml:space="preserve"> </w:t>
      </w:r>
      <w:r>
        <w:rPr>
          <w:b/>
          <w:bCs/>
          <w:color w:val="000000" w:themeColor="text1"/>
          <w:shd w:val="clear" w:color="auto" w:fill="FFFFFF"/>
        </w:rPr>
        <w:t>“</w:t>
      </w:r>
      <w:r w:rsidRPr="007E1F50">
        <w:rPr>
          <w:color w:val="000000" w:themeColor="text1"/>
        </w:rPr>
        <w:t>The Limited Coverage of Facial Feminization Surgery in the United States: A Literature Review of Policy Constraints and Implications</w:t>
      </w:r>
      <w:r>
        <w:rPr>
          <w:color w:val="000000" w:themeColor="text1"/>
        </w:rPr>
        <w:t xml:space="preserve">.” </w:t>
      </w:r>
      <w:hyperlink r:id="rId1104" w:history="1">
        <w:r w:rsidRPr="00DF21B2">
          <w:rPr>
            <w:rStyle w:val="Hyperlink"/>
          </w:rPr>
          <w:t>https://www.ncbi.nlm.nih.gov/pmc/articles/PMC10455106/</w:t>
        </w:r>
      </w:hyperlink>
      <w:r>
        <w:t xml:space="preserve"> </w:t>
      </w:r>
    </w:p>
    <w:p w14:paraId="6DBB5852" w14:textId="77777777" w:rsidR="009F02E2" w:rsidRDefault="009F02E2" w:rsidP="009F02E2">
      <w:pPr>
        <w:pStyle w:val="NormalWeb"/>
        <w:spacing w:before="0" w:beforeAutospacing="0"/>
        <w:ind w:left="1440"/>
        <w:rPr>
          <w:b/>
          <w:bCs/>
          <w:color w:val="454545"/>
          <w:shd w:val="clear" w:color="auto" w:fill="FFFFFF"/>
        </w:rPr>
      </w:pPr>
      <w:r>
        <w:t xml:space="preserve">“In 2014, the Department of Human Health Services (HHS) lifted the transgender exclusion policy, leading to an increase in policies regarding GASs for both private and state insurance. However, there are differences in medical necessity requirements among policies, which may not align with the World Professional Association for Transgender Health (WPATH) criteria. States that prohibit exclusion tend to offer better coverage for FFS. These states are mainly located in the western and northeast regions, whereas states in the southern and middle east regions have less coverage. Among the procedures, chondrolaryngoplasty is the most covered, while facial and cervical rhytidectomy are the least covered. To enhance transgender care, it is crucial to reach a consensus on how to offer coverage for facial feminization surgery. However, there is a lack of adequate research on this topic, and there is a need for resources and tools to assess the results of FFS procedures.” </w:t>
      </w:r>
    </w:p>
    <w:p w14:paraId="47383A6C" w14:textId="77777777" w:rsidR="009F02E2" w:rsidRDefault="009F02E2" w:rsidP="009F02E2">
      <w:pPr>
        <w:pStyle w:val="NormalWeb"/>
        <w:spacing w:before="0" w:beforeAutospacing="0"/>
        <w:ind w:left="720"/>
        <w:rPr>
          <w:color w:val="454545"/>
          <w:shd w:val="clear" w:color="auto" w:fill="FFFFFF"/>
        </w:rPr>
      </w:pPr>
      <w:r w:rsidRPr="00546DEF">
        <w:rPr>
          <w:color w:val="454545"/>
          <w:shd w:val="clear" w:color="auto" w:fill="FFFFFF"/>
        </w:rPr>
        <w:t>See also</w:t>
      </w:r>
      <w:r>
        <w:rPr>
          <w:color w:val="454545"/>
          <w:shd w:val="clear" w:color="auto" w:fill="FFFFFF"/>
        </w:rPr>
        <w:t xml:space="preserve">:  May 13, </w:t>
      </w:r>
      <w:proofErr w:type="gramStart"/>
      <w:r>
        <w:rPr>
          <w:color w:val="454545"/>
          <w:shd w:val="clear" w:color="auto" w:fill="FFFFFF"/>
        </w:rPr>
        <w:t>2024</w:t>
      </w:r>
      <w:proofErr w:type="gramEnd"/>
      <w:r>
        <w:rPr>
          <w:color w:val="454545"/>
          <w:shd w:val="clear" w:color="auto" w:fill="FFFFFF"/>
        </w:rPr>
        <w:t xml:space="preserve"> decision by U.S. Court of Appeals for the 11</w:t>
      </w:r>
      <w:r w:rsidRPr="00BF4B65">
        <w:rPr>
          <w:color w:val="454545"/>
          <w:shd w:val="clear" w:color="auto" w:fill="FFFFFF"/>
          <w:vertAlign w:val="superscript"/>
        </w:rPr>
        <w:t>th</w:t>
      </w:r>
      <w:r>
        <w:rPr>
          <w:color w:val="454545"/>
          <w:shd w:val="clear" w:color="auto" w:fill="FFFFFF"/>
        </w:rPr>
        <w:t xml:space="preserve"> Circuit, </w:t>
      </w:r>
      <w:r w:rsidRPr="007F4E32">
        <w:rPr>
          <w:color w:val="454545"/>
          <w:u w:val="single"/>
          <w:shd w:val="clear" w:color="auto" w:fill="FFFFFF"/>
        </w:rPr>
        <w:t>Anna Lang v. Houston County, Georg</w:t>
      </w:r>
      <w:r>
        <w:rPr>
          <w:color w:val="454545"/>
          <w:u w:val="single"/>
          <w:shd w:val="clear" w:color="auto" w:fill="FFFFFF"/>
        </w:rPr>
        <w:t>ia</w:t>
      </w:r>
      <w:r>
        <w:rPr>
          <w:color w:val="454545"/>
          <w:shd w:val="clear" w:color="auto" w:fill="FFFFFF"/>
        </w:rPr>
        <w:t xml:space="preserve">: </w:t>
      </w:r>
    </w:p>
    <w:p w14:paraId="53262C28" w14:textId="77777777" w:rsidR="009F02E2" w:rsidRPr="00C65EDF" w:rsidRDefault="009F02E2" w:rsidP="009F02E2">
      <w:pPr>
        <w:pStyle w:val="NoSpacing"/>
        <w:ind w:left="1440"/>
        <w:rPr>
          <w:rFonts w:ascii="Times New Roman" w:hAnsi="Times New Roman"/>
          <w:sz w:val="24"/>
          <w:szCs w:val="24"/>
          <w:shd w:val="clear" w:color="auto" w:fill="FFFFFF"/>
        </w:rPr>
      </w:pPr>
      <w:r>
        <w:rPr>
          <w:rFonts w:ascii="Times New Roman" w:hAnsi="Times New Roman"/>
          <w:sz w:val="24"/>
          <w:szCs w:val="24"/>
          <w:shd w:val="clear" w:color="auto" w:fill="FFFFFF"/>
        </w:rPr>
        <w:t>“</w:t>
      </w:r>
      <w:r w:rsidRPr="005C61F2">
        <w:rPr>
          <w:rFonts w:ascii="Times New Roman" w:hAnsi="Times New Roman"/>
          <w:sz w:val="24"/>
          <w:szCs w:val="24"/>
          <w:shd w:val="clear" w:color="auto" w:fill="FFFFFF"/>
        </w:rPr>
        <w:t>Anna Lange is a transgender woman</w:t>
      </w:r>
      <w:r>
        <w:rPr>
          <w:rFonts w:ascii="Times New Roman" w:hAnsi="Times New Roman"/>
          <w:sz w:val="24"/>
          <w:szCs w:val="24"/>
          <w:shd w:val="clear" w:color="auto" w:fill="FFFFFF"/>
        </w:rPr>
        <w:t xml:space="preserve">…. </w:t>
      </w:r>
      <w:r w:rsidRPr="00C65EDF">
        <w:rPr>
          <w:rFonts w:ascii="Times New Roman" w:hAnsi="Times New Roman"/>
          <w:sz w:val="24"/>
          <w:szCs w:val="24"/>
          <w:shd w:val="clear" w:color="auto" w:fill="FFFFFF"/>
        </w:rPr>
        <w:t>Lange was formally diagnosed with gender dysphoria by a</w:t>
      </w:r>
      <w:r>
        <w:rPr>
          <w:rFonts w:ascii="Times New Roman" w:hAnsi="Times New Roman"/>
          <w:sz w:val="24"/>
          <w:szCs w:val="24"/>
          <w:shd w:val="clear" w:color="auto" w:fill="FFFFFF"/>
        </w:rPr>
        <w:t xml:space="preserve"> </w:t>
      </w:r>
      <w:r w:rsidRPr="00C65EDF">
        <w:rPr>
          <w:rFonts w:ascii="Times New Roman" w:hAnsi="Times New Roman"/>
          <w:sz w:val="24"/>
          <w:szCs w:val="24"/>
          <w:shd w:val="clear" w:color="auto" w:fill="FFFFFF"/>
        </w:rPr>
        <w:t>healthcare provider in 2017. The next year, Lange informed the</w:t>
      </w:r>
      <w:r>
        <w:rPr>
          <w:rFonts w:ascii="Times New Roman" w:hAnsi="Times New Roman"/>
          <w:sz w:val="24"/>
          <w:szCs w:val="24"/>
          <w:shd w:val="clear" w:color="auto" w:fill="FFFFFF"/>
        </w:rPr>
        <w:t xml:space="preserve"> </w:t>
      </w:r>
      <w:r w:rsidRPr="00C65EDF">
        <w:rPr>
          <w:rFonts w:ascii="Times New Roman" w:hAnsi="Times New Roman"/>
          <w:sz w:val="24"/>
          <w:szCs w:val="24"/>
          <w:shd w:val="clear" w:color="auto" w:fill="FFFFFF"/>
        </w:rPr>
        <w:t>Sheriff’s Office that she was transgender and would be living as a</w:t>
      </w:r>
      <w:r>
        <w:rPr>
          <w:rFonts w:ascii="Times New Roman" w:hAnsi="Times New Roman"/>
          <w:sz w:val="24"/>
          <w:szCs w:val="24"/>
          <w:shd w:val="clear" w:color="auto" w:fill="FFFFFF"/>
        </w:rPr>
        <w:t xml:space="preserve"> </w:t>
      </w:r>
      <w:r w:rsidRPr="00C65EDF">
        <w:rPr>
          <w:rFonts w:ascii="Times New Roman" w:hAnsi="Times New Roman"/>
          <w:sz w:val="24"/>
          <w:szCs w:val="24"/>
          <w:shd w:val="clear" w:color="auto" w:fill="FFFFFF"/>
        </w:rPr>
        <w:t>woman. Following her formal diagnosis, Lange’s healthcare providers started her on a treatment plan to align her physical characteristics with her gender identity. The plan comprised of hormone</w:t>
      </w:r>
      <w:r>
        <w:rPr>
          <w:rFonts w:ascii="Times New Roman" w:hAnsi="Times New Roman"/>
          <w:sz w:val="24"/>
          <w:szCs w:val="24"/>
          <w:shd w:val="clear" w:color="auto" w:fill="FFFFFF"/>
        </w:rPr>
        <w:t xml:space="preserve"> </w:t>
      </w:r>
      <w:r w:rsidRPr="00C65EDF">
        <w:rPr>
          <w:rFonts w:ascii="Times New Roman" w:hAnsi="Times New Roman"/>
          <w:sz w:val="24"/>
          <w:szCs w:val="24"/>
          <w:shd w:val="clear" w:color="auto" w:fill="FFFFFF"/>
        </w:rPr>
        <w:t>therapy and gender-affirming surgery, both of which are shown to</w:t>
      </w:r>
      <w:r>
        <w:rPr>
          <w:rFonts w:ascii="Times New Roman" w:hAnsi="Times New Roman"/>
          <w:sz w:val="24"/>
          <w:szCs w:val="24"/>
          <w:shd w:val="clear" w:color="auto" w:fill="FFFFFF"/>
        </w:rPr>
        <w:t xml:space="preserve"> </w:t>
      </w:r>
      <w:r w:rsidRPr="00C65EDF">
        <w:rPr>
          <w:rFonts w:ascii="Times New Roman" w:hAnsi="Times New Roman"/>
          <w:sz w:val="24"/>
          <w:szCs w:val="24"/>
          <w:shd w:val="clear" w:color="auto" w:fill="FFFFFF"/>
        </w:rPr>
        <w:t>alleviate symptoms of gender dysphoria. In 2018, her healthcare</w:t>
      </w:r>
    </w:p>
    <w:p w14:paraId="7A78DC16" w14:textId="77777777" w:rsidR="009F02E2" w:rsidRPr="00C65EDF" w:rsidRDefault="009F02E2" w:rsidP="009F02E2">
      <w:pPr>
        <w:pStyle w:val="NoSpacing"/>
        <w:ind w:left="1440"/>
        <w:rPr>
          <w:rFonts w:ascii="Times New Roman" w:hAnsi="Times New Roman"/>
          <w:sz w:val="24"/>
          <w:szCs w:val="24"/>
          <w:shd w:val="clear" w:color="auto" w:fill="FFFFFF"/>
        </w:rPr>
      </w:pPr>
      <w:r w:rsidRPr="00C65EDF">
        <w:rPr>
          <w:rFonts w:ascii="Times New Roman" w:hAnsi="Times New Roman"/>
          <w:sz w:val="24"/>
          <w:szCs w:val="24"/>
          <w:shd w:val="clear" w:color="auto" w:fill="FFFFFF"/>
        </w:rPr>
        <w:t>providers determined that a vaginoplasty—a surgical procedure to</w:t>
      </w:r>
      <w:r>
        <w:rPr>
          <w:rFonts w:ascii="Times New Roman" w:hAnsi="Times New Roman"/>
          <w:sz w:val="24"/>
          <w:szCs w:val="24"/>
          <w:shd w:val="clear" w:color="auto" w:fill="FFFFFF"/>
        </w:rPr>
        <w:t xml:space="preserve"> </w:t>
      </w:r>
      <w:r w:rsidRPr="00C65EDF">
        <w:rPr>
          <w:rFonts w:ascii="Times New Roman" w:hAnsi="Times New Roman"/>
          <w:sz w:val="24"/>
          <w:szCs w:val="24"/>
          <w:shd w:val="clear" w:color="auto" w:fill="FFFFFF"/>
        </w:rPr>
        <w:t>feminize her genitals—was medically necessary.</w:t>
      </w:r>
      <w:r>
        <w:rPr>
          <w:rFonts w:ascii="Times New Roman" w:hAnsi="Times New Roman"/>
          <w:sz w:val="24"/>
          <w:szCs w:val="24"/>
          <w:shd w:val="clear" w:color="auto" w:fill="FFFFFF"/>
        </w:rPr>
        <w:t xml:space="preserve"> </w:t>
      </w:r>
      <w:r w:rsidRPr="00C65EDF">
        <w:rPr>
          <w:rFonts w:ascii="Times New Roman" w:hAnsi="Times New Roman"/>
          <w:sz w:val="24"/>
          <w:szCs w:val="24"/>
          <w:shd w:val="clear" w:color="auto" w:fill="FFFFFF"/>
        </w:rPr>
        <w:t xml:space="preserve">Lange turned to her health insurance to cover her </w:t>
      </w:r>
      <w:proofErr w:type="gramStart"/>
      <w:r w:rsidRPr="00C65EDF">
        <w:rPr>
          <w:rFonts w:ascii="Times New Roman" w:hAnsi="Times New Roman"/>
          <w:sz w:val="24"/>
          <w:szCs w:val="24"/>
          <w:shd w:val="clear" w:color="auto" w:fill="FFFFFF"/>
        </w:rPr>
        <w:t>medically</w:t>
      </w:r>
      <w:r>
        <w:rPr>
          <w:rFonts w:ascii="Times New Roman" w:hAnsi="Times New Roman"/>
          <w:sz w:val="24"/>
          <w:szCs w:val="24"/>
          <w:shd w:val="clear" w:color="auto" w:fill="FFFFFF"/>
        </w:rPr>
        <w:t xml:space="preserve"> </w:t>
      </w:r>
      <w:r w:rsidRPr="00C65EDF">
        <w:rPr>
          <w:rFonts w:ascii="Times New Roman" w:hAnsi="Times New Roman"/>
          <w:sz w:val="24"/>
          <w:szCs w:val="24"/>
          <w:shd w:val="clear" w:color="auto" w:fill="FFFFFF"/>
        </w:rPr>
        <w:t>necessary</w:t>
      </w:r>
      <w:proofErr w:type="gramEnd"/>
      <w:r w:rsidRPr="00C65EDF">
        <w:rPr>
          <w:rFonts w:ascii="Times New Roman" w:hAnsi="Times New Roman"/>
          <w:sz w:val="24"/>
          <w:szCs w:val="24"/>
          <w:shd w:val="clear" w:color="auto" w:fill="FFFFFF"/>
        </w:rPr>
        <w:t xml:space="preserve"> surgery. However, Lange’s request for coverage was </w:t>
      </w:r>
      <w:r>
        <w:rPr>
          <w:rFonts w:ascii="Times New Roman" w:hAnsi="Times New Roman"/>
          <w:sz w:val="24"/>
          <w:szCs w:val="24"/>
          <w:shd w:val="clear" w:color="auto" w:fill="FFFFFF"/>
        </w:rPr>
        <w:t>denied</w:t>
      </w:r>
      <w:r w:rsidRPr="00C65EDF">
        <w:rPr>
          <w:rFonts w:ascii="Times New Roman" w:hAnsi="Times New Roman"/>
          <w:sz w:val="24"/>
          <w:szCs w:val="24"/>
          <w:shd w:val="clear" w:color="auto" w:fill="FFFFFF"/>
        </w:rPr>
        <w:t xml:space="preserve"> based on the Health Plan’s exclusion of </w:t>
      </w:r>
      <w:r>
        <w:rPr>
          <w:rFonts w:ascii="Times New Roman" w:hAnsi="Times New Roman"/>
          <w:sz w:val="24"/>
          <w:szCs w:val="24"/>
          <w:shd w:val="clear" w:color="auto" w:fill="FFFFFF"/>
        </w:rPr>
        <w:t>‘</w:t>
      </w:r>
      <w:r w:rsidRPr="00C65EDF">
        <w:rPr>
          <w:rFonts w:ascii="Times New Roman" w:hAnsi="Times New Roman"/>
          <w:sz w:val="24"/>
          <w:szCs w:val="24"/>
          <w:shd w:val="clear" w:color="auto" w:fill="FFFFFF"/>
        </w:rPr>
        <w:t>[d]rugs for sex change</w:t>
      </w:r>
    </w:p>
    <w:p w14:paraId="09A024DE" w14:textId="77777777" w:rsidR="009F02E2" w:rsidRPr="007A5B05" w:rsidRDefault="009F02E2" w:rsidP="009F02E2">
      <w:pPr>
        <w:pStyle w:val="NoSpacing"/>
        <w:ind w:left="1440"/>
        <w:rPr>
          <w:rFonts w:ascii="Times New Roman" w:hAnsi="Times New Roman"/>
          <w:sz w:val="24"/>
          <w:szCs w:val="24"/>
          <w:shd w:val="clear" w:color="auto" w:fill="FFFFFF"/>
        </w:rPr>
      </w:pPr>
      <w:r w:rsidRPr="00C65EDF">
        <w:rPr>
          <w:rFonts w:ascii="Times New Roman" w:hAnsi="Times New Roman"/>
          <w:sz w:val="24"/>
          <w:szCs w:val="24"/>
          <w:shd w:val="clear" w:color="auto" w:fill="FFFFFF"/>
        </w:rPr>
        <w:t>surgery</w:t>
      </w:r>
      <w:r>
        <w:rPr>
          <w:rFonts w:ascii="Times New Roman" w:hAnsi="Times New Roman"/>
          <w:sz w:val="24"/>
          <w:szCs w:val="24"/>
          <w:shd w:val="clear" w:color="auto" w:fill="FFFFFF"/>
        </w:rPr>
        <w:t xml:space="preserve">’ </w:t>
      </w:r>
      <w:r w:rsidRPr="00C65EDF">
        <w:rPr>
          <w:rFonts w:ascii="Times New Roman" w:hAnsi="Times New Roman"/>
          <w:sz w:val="24"/>
          <w:szCs w:val="24"/>
          <w:shd w:val="clear" w:color="auto" w:fill="FFFFFF"/>
        </w:rPr>
        <w:t xml:space="preserve">and </w:t>
      </w:r>
      <w:r>
        <w:rPr>
          <w:rFonts w:ascii="Times New Roman" w:hAnsi="Times New Roman"/>
          <w:sz w:val="24"/>
          <w:szCs w:val="24"/>
          <w:shd w:val="clear" w:color="auto" w:fill="FFFFFF"/>
        </w:rPr>
        <w:t>‘</w:t>
      </w:r>
      <w:r w:rsidRPr="00C65EDF">
        <w:rPr>
          <w:rFonts w:ascii="Times New Roman" w:hAnsi="Times New Roman"/>
          <w:sz w:val="24"/>
          <w:szCs w:val="24"/>
          <w:shd w:val="clear" w:color="auto" w:fill="FFFFFF"/>
        </w:rPr>
        <w:t>[s]</w:t>
      </w:r>
      <w:proofErr w:type="spellStart"/>
      <w:r w:rsidRPr="00C65EDF">
        <w:rPr>
          <w:rFonts w:ascii="Times New Roman" w:hAnsi="Times New Roman"/>
          <w:sz w:val="24"/>
          <w:szCs w:val="24"/>
          <w:shd w:val="clear" w:color="auto" w:fill="FFFFFF"/>
        </w:rPr>
        <w:t>ervices</w:t>
      </w:r>
      <w:proofErr w:type="spellEnd"/>
      <w:r w:rsidRPr="00C65EDF">
        <w:rPr>
          <w:rFonts w:ascii="Times New Roman" w:hAnsi="Times New Roman"/>
          <w:sz w:val="24"/>
          <w:szCs w:val="24"/>
          <w:shd w:val="clear" w:color="auto" w:fill="FFFFFF"/>
        </w:rPr>
        <w:t xml:space="preserve"> and supplies for a sex change and/or the</w:t>
      </w:r>
      <w:r>
        <w:rPr>
          <w:rFonts w:ascii="Times New Roman" w:hAnsi="Times New Roman"/>
          <w:sz w:val="24"/>
          <w:szCs w:val="24"/>
          <w:shd w:val="clear" w:color="auto" w:fill="FFFFFF"/>
        </w:rPr>
        <w:t xml:space="preserve"> </w:t>
      </w:r>
      <w:r w:rsidRPr="00C65EDF">
        <w:rPr>
          <w:rFonts w:ascii="Times New Roman" w:hAnsi="Times New Roman"/>
          <w:sz w:val="24"/>
          <w:szCs w:val="24"/>
          <w:shd w:val="clear" w:color="auto" w:fill="FFFFFF"/>
        </w:rPr>
        <w:t>reversal of a sex change</w:t>
      </w:r>
      <w:r>
        <w:rPr>
          <w:rFonts w:ascii="Times New Roman" w:hAnsi="Times New Roman"/>
          <w:sz w:val="24"/>
          <w:szCs w:val="24"/>
          <w:shd w:val="clear" w:color="auto" w:fill="FFFFFF"/>
        </w:rPr>
        <w:t>’</w:t>
      </w:r>
      <w:r w:rsidRPr="00C65EDF">
        <w:rPr>
          <w:rFonts w:ascii="Times New Roman" w:hAnsi="Times New Roman"/>
          <w:sz w:val="24"/>
          <w:szCs w:val="24"/>
          <w:shd w:val="clear" w:color="auto" w:fill="FFFFFF"/>
        </w:rPr>
        <w:t xml:space="preserve"> (together, the Exclusion)</w:t>
      </w:r>
      <w:r>
        <w:rPr>
          <w:rFonts w:ascii="Times New Roman" w:hAnsi="Times New Roman"/>
          <w:sz w:val="24"/>
          <w:szCs w:val="24"/>
          <w:shd w:val="clear" w:color="auto" w:fill="FFFFFF"/>
        </w:rPr>
        <w:t xml:space="preserve">…. </w:t>
      </w:r>
      <w:r w:rsidRPr="007A5B05">
        <w:rPr>
          <w:rFonts w:ascii="Times New Roman" w:hAnsi="Times New Roman"/>
          <w:sz w:val="24"/>
          <w:szCs w:val="24"/>
          <w:shd w:val="clear" w:color="auto" w:fill="FFFFFF"/>
        </w:rPr>
        <w:t>In granting summary judgment to Lange on the Title VII</w:t>
      </w:r>
      <w:r>
        <w:rPr>
          <w:rFonts w:ascii="Times New Roman" w:hAnsi="Times New Roman"/>
          <w:sz w:val="24"/>
          <w:szCs w:val="24"/>
          <w:shd w:val="clear" w:color="auto" w:fill="FFFFFF"/>
        </w:rPr>
        <w:t xml:space="preserve"> </w:t>
      </w:r>
      <w:r w:rsidRPr="007A5B05">
        <w:rPr>
          <w:rFonts w:ascii="Times New Roman" w:hAnsi="Times New Roman"/>
          <w:sz w:val="24"/>
          <w:szCs w:val="24"/>
          <w:shd w:val="clear" w:color="auto" w:fill="FFFFFF"/>
        </w:rPr>
        <w:t>claim, the district court found the Exclusion facially discriminatory</w:t>
      </w:r>
    </w:p>
    <w:p w14:paraId="5FB30946" w14:textId="77777777" w:rsidR="009F02E2" w:rsidRDefault="009F02E2" w:rsidP="009F02E2">
      <w:pPr>
        <w:pStyle w:val="NoSpacing"/>
        <w:ind w:left="1440"/>
        <w:rPr>
          <w:rFonts w:ascii="Times New Roman" w:hAnsi="Times New Roman"/>
          <w:sz w:val="24"/>
          <w:szCs w:val="24"/>
          <w:shd w:val="clear" w:color="auto" w:fill="FFFFFF"/>
        </w:rPr>
      </w:pPr>
      <w:r w:rsidRPr="007A5B05">
        <w:rPr>
          <w:rFonts w:ascii="Times New Roman" w:hAnsi="Times New Roman"/>
          <w:sz w:val="24"/>
          <w:szCs w:val="24"/>
          <w:shd w:val="clear" w:color="auto" w:fill="FFFFFF"/>
        </w:rPr>
        <w:t>as a matter of law. The Title VII claim then proceeded to trial, and</w:t>
      </w:r>
      <w:r>
        <w:rPr>
          <w:rFonts w:ascii="Times New Roman" w:hAnsi="Times New Roman"/>
          <w:sz w:val="24"/>
          <w:szCs w:val="24"/>
          <w:shd w:val="clear" w:color="auto" w:fill="FFFFFF"/>
        </w:rPr>
        <w:t xml:space="preserve"> </w:t>
      </w:r>
      <w:r w:rsidRPr="007A5B05">
        <w:rPr>
          <w:rFonts w:ascii="Times New Roman" w:hAnsi="Times New Roman"/>
          <w:sz w:val="24"/>
          <w:szCs w:val="24"/>
          <w:shd w:val="clear" w:color="auto" w:fill="FFFFFF"/>
        </w:rPr>
        <w:t>a jury awarded Lange $60,000 in damages. After trial, the district</w:t>
      </w:r>
      <w:r>
        <w:rPr>
          <w:rFonts w:ascii="Times New Roman" w:hAnsi="Times New Roman"/>
          <w:sz w:val="24"/>
          <w:szCs w:val="24"/>
          <w:shd w:val="clear" w:color="auto" w:fill="FFFFFF"/>
        </w:rPr>
        <w:t xml:space="preserve"> </w:t>
      </w:r>
      <w:r w:rsidRPr="007A5B05">
        <w:rPr>
          <w:rFonts w:ascii="Times New Roman" w:hAnsi="Times New Roman"/>
          <w:sz w:val="24"/>
          <w:szCs w:val="24"/>
          <w:shd w:val="clear" w:color="auto" w:fill="FFFFFF"/>
        </w:rPr>
        <w:t xml:space="preserve">court entered an order declaring that the Exclusion </w:t>
      </w:r>
      <w:r w:rsidRPr="007A5B05">
        <w:rPr>
          <w:rFonts w:ascii="Times New Roman" w:hAnsi="Times New Roman"/>
          <w:sz w:val="24"/>
          <w:szCs w:val="24"/>
          <w:shd w:val="clear" w:color="auto" w:fill="FFFFFF"/>
        </w:rPr>
        <w:lastRenderedPageBreak/>
        <w:t>violated Title</w:t>
      </w:r>
      <w:r>
        <w:rPr>
          <w:rFonts w:ascii="Times New Roman" w:hAnsi="Times New Roman"/>
          <w:sz w:val="24"/>
          <w:szCs w:val="24"/>
          <w:shd w:val="clear" w:color="auto" w:fill="FFFFFF"/>
        </w:rPr>
        <w:t xml:space="preserve"> </w:t>
      </w:r>
      <w:r w:rsidRPr="007A5B05">
        <w:rPr>
          <w:rFonts w:ascii="Times New Roman" w:hAnsi="Times New Roman"/>
          <w:sz w:val="24"/>
          <w:szCs w:val="24"/>
          <w:shd w:val="clear" w:color="auto" w:fill="FFFFFF"/>
        </w:rPr>
        <w:t>VII and permanently enjoined the Sheriff and Houston County</w:t>
      </w:r>
      <w:r>
        <w:rPr>
          <w:rFonts w:ascii="Times New Roman" w:hAnsi="Times New Roman"/>
          <w:sz w:val="24"/>
          <w:szCs w:val="24"/>
          <w:shd w:val="clear" w:color="auto" w:fill="FFFFFF"/>
        </w:rPr>
        <w:t xml:space="preserve"> </w:t>
      </w:r>
      <w:r w:rsidRPr="007A5B05">
        <w:rPr>
          <w:rFonts w:ascii="Times New Roman" w:hAnsi="Times New Roman"/>
          <w:sz w:val="24"/>
          <w:szCs w:val="24"/>
          <w:shd w:val="clear" w:color="auto" w:fill="FFFFFF"/>
        </w:rPr>
        <w:t xml:space="preserve">from any further enforcement or application of the </w:t>
      </w:r>
      <w:proofErr w:type="gramStart"/>
      <w:r w:rsidRPr="007A5B05">
        <w:rPr>
          <w:rFonts w:ascii="Times New Roman" w:hAnsi="Times New Roman"/>
          <w:sz w:val="24"/>
          <w:szCs w:val="24"/>
          <w:shd w:val="clear" w:color="auto" w:fill="FFFFFF"/>
        </w:rPr>
        <w:t>Exclusion.</w:t>
      </w:r>
      <w:r>
        <w:rPr>
          <w:rFonts w:ascii="Times New Roman" w:hAnsi="Times New Roman"/>
          <w:sz w:val="24"/>
          <w:szCs w:val="24"/>
          <w:shd w:val="clear" w:color="auto" w:fill="FFFFFF"/>
        </w:rPr>
        <w:t>”</w:t>
      </w:r>
      <w:proofErr w:type="gramEnd"/>
    </w:p>
    <w:p w14:paraId="7277BE35" w14:textId="77777777" w:rsidR="009F02E2" w:rsidRDefault="009F02E2" w:rsidP="009F02E2">
      <w:pPr>
        <w:pStyle w:val="NoSpacing"/>
        <w:ind w:left="1440"/>
        <w:rPr>
          <w:rFonts w:ascii="Times New Roman" w:hAnsi="Times New Roman"/>
          <w:sz w:val="24"/>
          <w:szCs w:val="24"/>
          <w:shd w:val="clear" w:color="auto" w:fill="FFFFFF"/>
        </w:rPr>
      </w:pPr>
    </w:p>
    <w:p w14:paraId="76C8FA27" w14:textId="77777777" w:rsidR="009F02E2" w:rsidRDefault="009F02E2" w:rsidP="009F02E2">
      <w:pPr>
        <w:pStyle w:val="NoSpacing"/>
        <w:ind w:left="1440"/>
        <w:rPr>
          <w:rFonts w:ascii="Times New Roman" w:hAnsi="Times New Roman"/>
          <w:sz w:val="24"/>
          <w:szCs w:val="24"/>
          <w:shd w:val="clear" w:color="auto" w:fill="FFFFFF"/>
        </w:rPr>
      </w:pPr>
      <w:r>
        <w:rPr>
          <w:rFonts w:ascii="Times New Roman" w:hAnsi="Times New Roman"/>
          <w:sz w:val="24"/>
          <w:szCs w:val="24"/>
          <w:shd w:val="clear" w:color="auto" w:fill="FFFFFF"/>
        </w:rPr>
        <w:t>The 11</w:t>
      </w:r>
      <w:r w:rsidRPr="007A5B05">
        <w:rPr>
          <w:rFonts w:ascii="Times New Roman" w:hAnsi="Times New Roman"/>
          <w:sz w:val="24"/>
          <w:szCs w:val="24"/>
          <w:shd w:val="clear" w:color="auto" w:fill="FFFFFF"/>
          <w:vertAlign w:val="superscript"/>
        </w:rPr>
        <w:t>th</w:t>
      </w:r>
      <w:r>
        <w:rPr>
          <w:rFonts w:ascii="Times New Roman" w:hAnsi="Times New Roman"/>
          <w:sz w:val="24"/>
          <w:szCs w:val="24"/>
          <w:shd w:val="clear" w:color="auto" w:fill="FFFFFF"/>
        </w:rPr>
        <w:t xml:space="preserve"> Circuit agreed:</w:t>
      </w:r>
    </w:p>
    <w:p w14:paraId="17319099" w14:textId="77777777" w:rsidR="009F02E2" w:rsidRDefault="009F02E2" w:rsidP="009F02E2">
      <w:pPr>
        <w:pStyle w:val="NoSpacing"/>
        <w:ind w:left="1440"/>
        <w:rPr>
          <w:rFonts w:ascii="Times New Roman" w:hAnsi="Times New Roman"/>
          <w:sz w:val="24"/>
          <w:szCs w:val="24"/>
          <w:shd w:val="clear" w:color="auto" w:fill="FFFFFF"/>
        </w:rPr>
      </w:pPr>
    </w:p>
    <w:p w14:paraId="6384FCBF" w14:textId="77777777" w:rsidR="009F02E2" w:rsidRPr="00017ECB" w:rsidRDefault="009F02E2" w:rsidP="009F02E2">
      <w:pPr>
        <w:pStyle w:val="NoSpacing"/>
        <w:ind w:left="1440"/>
        <w:rPr>
          <w:rFonts w:ascii="Times New Roman" w:hAnsi="Times New Roman"/>
          <w:sz w:val="24"/>
          <w:szCs w:val="24"/>
          <w:shd w:val="clear" w:color="auto" w:fill="FFFFFF"/>
        </w:rPr>
      </w:pPr>
      <w:r>
        <w:rPr>
          <w:rFonts w:ascii="Times New Roman" w:hAnsi="Times New Roman"/>
          <w:sz w:val="24"/>
          <w:szCs w:val="24"/>
          <w:shd w:val="clear" w:color="auto" w:fill="FFFFFF"/>
        </w:rPr>
        <w:t>“[W]</w:t>
      </w:r>
      <w:r w:rsidRPr="00017ECB">
        <w:rPr>
          <w:rFonts w:ascii="Times New Roman" w:hAnsi="Times New Roman"/>
          <w:sz w:val="24"/>
          <w:szCs w:val="24"/>
          <w:shd w:val="clear" w:color="auto" w:fill="FFFFFF"/>
        </w:rPr>
        <w:t>e conclude that the district court was correct in finding that the Exclusion violated Title VII. There is no genuine dispute of fact or law</w:t>
      </w:r>
      <w:r>
        <w:rPr>
          <w:rFonts w:ascii="Times New Roman" w:hAnsi="Times New Roman"/>
          <w:sz w:val="24"/>
          <w:szCs w:val="24"/>
          <w:shd w:val="clear" w:color="auto" w:fill="FFFFFF"/>
        </w:rPr>
        <w:t xml:space="preserve"> </w:t>
      </w:r>
      <w:r w:rsidRPr="00017ECB">
        <w:rPr>
          <w:rFonts w:ascii="Times New Roman" w:hAnsi="Times New Roman"/>
          <w:sz w:val="24"/>
          <w:szCs w:val="24"/>
          <w:shd w:val="clear" w:color="auto" w:fill="FFFFFF"/>
        </w:rPr>
        <w:t>as to whether the Exclusion unlawfully discriminates against Lange</w:t>
      </w:r>
      <w:r>
        <w:rPr>
          <w:rFonts w:ascii="Times New Roman" w:hAnsi="Times New Roman"/>
          <w:sz w:val="24"/>
          <w:szCs w:val="24"/>
          <w:shd w:val="clear" w:color="auto" w:fill="FFFFFF"/>
        </w:rPr>
        <w:t xml:space="preserve"> </w:t>
      </w:r>
      <w:r w:rsidRPr="00017ECB">
        <w:rPr>
          <w:rFonts w:ascii="Times New Roman" w:hAnsi="Times New Roman"/>
          <w:sz w:val="24"/>
          <w:szCs w:val="24"/>
          <w:shd w:val="clear" w:color="auto" w:fill="FFFFFF"/>
        </w:rPr>
        <w:t>and other transgender persons. The Exclusion is a blanket denial</w:t>
      </w:r>
      <w:r>
        <w:rPr>
          <w:rFonts w:ascii="Times New Roman" w:hAnsi="Times New Roman"/>
          <w:sz w:val="24"/>
          <w:szCs w:val="24"/>
          <w:shd w:val="clear" w:color="auto" w:fill="FFFFFF"/>
        </w:rPr>
        <w:t xml:space="preserve"> </w:t>
      </w:r>
      <w:r w:rsidRPr="00017ECB">
        <w:rPr>
          <w:rFonts w:ascii="Times New Roman" w:hAnsi="Times New Roman"/>
          <w:sz w:val="24"/>
          <w:szCs w:val="24"/>
          <w:shd w:val="clear" w:color="auto" w:fill="FFFFFF"/>
        </w:rPr>
        <w:t>of coverage for gender-affirming surgery. Health Plan participants</w:t>
      </w:r>
      <w:r>
        <w:rPr>
          <w:rFonts w:ascii="Times New Roman" w:hAnsi="Times New Roman"/>
          <w:sz w:val="24"/>
          <w:szCs w:val="24"/>
          <w:shd w:val="clear" w:color="auto" w:fill="FFFFFF"/>
        </w:rPr>
        <w:t xml:space="preserve"> </w:t>
      </w:r>
      <w:r w:rsidRPr="00017ECB">
        <w:rPr>
          <w:rFonts w:ascii="Times New Roman" w:hAnsi="Times New Roman"/>
          <w:sz w:val="24"/>
          <w:szCs w:val="24"/>
          <w:shd w:val="clear" w:color="auto" w:fill="FFFFFF"/>
        </w:rPr>
        <w:t>who are transgender are the only participants who would seek gender-affirming surgery. Because transgender persons are the only</w:t>
      </w:r>
      <w:r>
        <w:rPr>
          <w:rFonts w:ascii="Times New Roman" w:hAnsi="Times New Roman"/>
          <w:sz w:val="24"/>
          <w:szCs w:val="24"/>
          <w:shd w:val="clear" w:color="auto" w:fill="FFFFFF"/>
        </w:rPr>
        <w:t xml:space="preserve"> </w:t>
      </w:r>
      <w:r w:rsidRPr="00017ECB">
        <w:rPr>
          <w:rFonts w:ascii="Times New Roman" w:hAnsi="Times New Roman"/>
          <w:sz w:val="24"/>
          <w:szCs w:val="24"/>
          <w:shd w:val="clear" w:color="auto" w:fill="FFFFFF"/>
        </w:rPr>
        <w:t>plan participants who qualify for gender-affirming surgery, the plan</w:t>
      </w:r>
      <w:r>
        <w:rPr>
          <w:rFonts w:ascii="Times New Roman" w:hAnsi="Times New Roman"/>
          <w:sz w:val="24"/>
          <w:szCs w:val="24"/>
          <w:shd w:val="clear" w:color="auto" w:fill="FFFFFF"/>
        </w:rPr>
        <w:t xml:space="preserve"> </w:t>
      </w:r>
      <w:r w:rsidRPr="00017ECB">
        <w:rPr>
          <w:rFonts w:ascii="Times New Roman" w:hAnsi="Times New Roman"/>
          <w:sz w:val="24"/>
          <w:szCs w:val="24"/>
          <w:shd w:val="clear" w:color="auto" w:fill="FFFFFF"/>
        </w:rPr>
        <w:t>denies health care coverage based on transgender status.</w:t>
      </w:r>
      <w:r>
        <w:rPr>
          <w:rFonts w:ascii="Times New Roman" w:hAnsi="Times New Roman"/>
          <w:sz w:val="24"/>
          <w:szCs w:val="24"/>
          <w:shd w:val="clear" w:color="auto" w:fill="FFFFFF"/>
        </w:rPr>
        <w:t xml:space="preserve">” </w:t>
      </w:r>
      <w:hyperlink r:id="rId1105" w:history="1">
        <w:r w:rsidRPr="003E1588">
          <w:rPr>
            <w:rStyle w:val="Hyperlink"/>
            <w:rFonts w:ascii="Times New Roman" w:hAnsi="Times New Roman"/>
            <w:sz w:val="24"/>
            <w:szCs w:val="24"/>
            <w:shd w:val="clear" w:color="auto" w:fill="FFFFFF"/>
          </w:rPr>
          <w:t>https://media.ca11.uscourts.gov/opinions/pub/files/202213626.pdf</w:t>
        </w:r>
      </w:hyperlink>
      <w:r>
        <w:rPr>
          <w:rFonts w:ascii="Times New Roman" w:hAnsi="Times New Roman"/>
          <w:sz w:val="24"/>
          <w:szCs w:val="24"/>
          <w:shd w:val="clear" w:color="auto" w:fill="FFFFFF"/>
        </w:rPr>
        <w:t xml:space="preserve"> </w:t>
      </w:r>
    </w:p>
    <w:p w14:paraId="3669E115" w14:textId="77777777" w:rsidR="00DC3D8E" w:rsidRDefault="00DC3D8E" w:rsidP="006C4AD8">
      <w:pPr>
        <w:pStyle w:val="NormalWeb"/>
        <w:spacing w:before="0" w:beforeAutospacing="0"/>
        <w:rPr>
          <w:rFonts w:ascii="Arial Black" w:hAnsi="Arial Black"/>
          <w:b/>
          <w:bCs/>
          <w:color w:val="454545"/>
          <w:sz w:val="28"/>
          <w:szCs w:val="28"/>
          <w:shd w:val="clear" w:color="auto" w:fill="FFFFFF"/>
        </w:rPr>
      </w:pPr>
    </w:p>
    <w:p w14:paraId="355E5168" w14:textId="77777777" w:rsidR="00C63CEB" w:rsidRDefault="00C63CEB" w:rsidP="006C4AD8">
      <w:pPr>
        <w:pStyle w:val="NormalWeb"/>
        <w:spacing w:before="0" w:beforeAutospacing="0"/>
        <w:rPr>
          <w:rFonts w:ascii="Arial Black" w:hAnsi="Arial Black"/>
          <w:b/>
          <w:bCs/>
          <w:color w:val="454545"/>
          <w:sz w:val="28"/>
          <w:szCs w:val="28"/>
          <w:shd w:val="clear" w:color="auto" w:fill="FFFFFF"/>
        </w:rPr>
      </w:pPr>
    </w:p>
    <w:p w14:paraId="155CB732" w14:textId="754EF3A1" w:rsidR="003F14B8" w:rsidRDefault="003F14B8" w:rsidP="006C4AD8">
      <w:pPr>
        <w:pStyle w:val="NormalWeb"/>
        <w:spacing w:before="0" w:beforeAutospacing="0"/>
        <w:rPr>
          <w:rFonts w:ascii="Arial Black" w:hAnsi="Arial Black"/>
          <w:b/>
          <w:bCs/>
          <w:color w:val="454545"/>
          <w:sz w:val="28"/>
          <w:szCs w:val="28"/>
          <w:shd w:val="clear" w:color="auto" w:fill="FFFFFF"/>
        </w:rPr>
      </w:pPr>
      <w:r>
        <w:rPr>
          <w:rFonts w:ascii="Arial Black" w:hAnsi="Arial Black"/>
          <w:b/>
          <w:bCs/>
          <w:color w:val="454545"/>
          <w:sz w:val="28"/>
          <w:szCs w:val="28"/>
          <w:shd w:val="clear" w:color="auto" w:fill="FFFFFF"/>
        </w:rPr>
        <w:t>6-13</w:t>
      </w:r>
      <w:r w:rsidR="002A0697">
        <w:rPr>
          <w:rFonts w:ascii="Arial Black" w:hAnsi="Arial Black"/>
          <w:b/>
          <w:bCs/>
          <w:color w:val="454545"/>
          <w:sz w:val="28"/>
          <w:szCs w:val="28"/>
          <w:shd w:val="clear" w:color="auto" w:fill="FFFFFF"/>
        </w:rPr>
        <w:t>1</w:t>
      </w:r>
    </w:p>
    <w:p w14:paraId="6299ACD8" w14:textId="77777777" w:rsidR="00E018F9" w:rsidRPr="00DC6B8D" w:rsidRDefault="00E018F9" w:rsidP="00E018F9">
      <w:pPr>
        <w:pStyle w:val="NormalWeb"/>
        <w:spacing w:before="0" w:beforeAutospacing="0"/>
        <w:rPr>
          <w:rFonts w:ascii="Arial Black" w:hAnsi="Arial Black"/>
          <w:b/>
          <w:bCs/>
          <w:color w:val="454545"/>
          <w:sz w:val="28"/>
          <w:szCs w:val="28"/>
          <w:shd w:val="clear" w:color="auto" w:fill="FFFFFF"/>
        </w:rPr>
      </w:pPr>
      <w:r>
        <w:rPr>
          <w:rFonts w:ascii="Arial Black" w:hAnsi="Arial Black"/>
          <w:b/>
          <w:bCs/>
          <w:color w:val="454545"/>
          <w:sz w:val="28"/>
          <w:szCs w:val="28"/>
          <w:shd w:val="clear" w:color="auto" w:fill="FFFFFF"/>
        </w:rPr>
        <w:t xml:space="preserve">NJ: EMT SLIPPED ON ICE – RETIRED – ACCIDENTAL DISABILITY PENSION DENIED – NOT “UNEXPECTED” </w:t>
      </w:r>
    </w:p>
    <w:p w14:paraId="3C88B6B5" w14:textId="77777777" w:rsidR="00E018F9" w:rsidRDefault="00E018F9" w:rsidP="00E018F9">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On May 14, 2024, in </w:t>
      </w:r>
      <w:r w:rsidRPr="00530983">
        <w:rPr>
          <w:rFonts w:ascii="Times New Roman" w:eastAsia="Times New Roman" w:hAnsi="Times New Roman"/>
          <w:sz w:val="24"/>
          <w:szCs w:val="24"/>
          <w:u w:val="single"/>
        </w:rPr>
        <w:t>Dennis McCool v. Board of Trustees, Public Employees’ Retirement System</w:t>
      </w:r>
      <w:r>
        <w:rPr>
          <w:rFonts w:ascii="Times New Roman" w:eastAsia="Times New Roman" w:hAnsi="Times New Roman"/>
          <w:sz w:val="24"/>
          <w:szCs w:val="24"/>
        </w:rPr>
        <w:t>, the Superior Court of New Jersey, Appellate Division, upheld the Board and the Administrative Law Judge decision denying ADR [accidental disability pension] benefits. ADR is 72.7% of base salary at time of traumatic event, ordinary is 43.6% of final average salary.</w:t>
      </w:r>
      <w:r w:rsidRPr="0084019C">
        <w:t xml:space="preserve"> </w:t>
      </w:r>
      <w:hyperlink r:id="rId1106" w:history="1">
        <w:r w:rsidRPr="008C767B">
          <w:rPr>
            <w:rStyle w:val="Hyperlink"/>
            <w:rFonts w:ascii="Times New Roman" w:eastAsia="Times New Roman" w:hAnsi="Times New Roman"/>
            <w:sz w:val="24"/>
            <w:szCs w:val="24"/>
          </w:rPr>
          <w:t>https://www.nj.gov/treasury/pensions/documents/factsheets/fact15.pdf</w:t>
        </w:r>
      </w:hyperlink>
      <w:r>
        <w:rPr>
          <w:rFonts w:ascii="Times New Roman" w:eastAsia="Times New Roman" w:hAnsi="Times New Roman"/>
          <w:sz w:val="24"/>
          <w:szCs w:val="24"/>
        </w:rPr>
        <w:t xml:space="preserve">.  The Court held (3 to 0): </w:t>
      </w:r>
    </w:p>
    <w:p w14:paraId="63D6083B" w14:textId="77777777" w:rsidR="00E018F9" w:rsidRPr="00560FAA" w:rsidRDefault="00E018F9" w:rsidP="00E018F9">
      <w:pPr>
        <w:spacing w:before="100" w:beforeAutospacing="1" w:after="100" w:afterAutospacing="1" w:line="240" w:lineRule="auto"/>
        <w:ind w:firstLine="720"/>
        <w:rPr>
          <w:rFonts w:ascii="Times New Roman" w:eastAsia="Times New Roman" w:hAnsi="Times New Roman"/>
          <w:sz w:val="24"/>
          <w:szCs w:val="24"/>
        </w:rPr>
      </w:pPr>
      <w:r>
        <w:rPr>
          <w:rFonts w:ascii="Times New Roman" w:eastAsia="Times New Roman" w:hAnsi="Times New Roman"/>
          <w:sz w:val="24"/>
          <w:szCs w:val="24"/>
        </w:rPr>
        <w:t>“</w:t>
      </w:r>
      <w:r w:rsidRPr="00560FAA">
        <w:rPr>
          <w:rFonts w:ascii="Times New Roman" w:eastAsia="Times New Roman" w:hAnsi="Times New Roman"/>
          <w:sz w:val="24"/>
          <w:szCs w:val="24"/>
        </w:rPr>
        <w:t xml:space="preserve">On January 4, 2019, petitioner applied for ADR benefits. In his application he wrote: </w:t>
      </w:r>
    </w:p>
    <w:p w14:paraId="2506AE68" w14:textId="77777777" w:rsidR="00E018F9" w:rsidRPr="00560FAA" w:rsidRDefault="00E018F9" w:rsidP="00E018F9">
      <w:pPr>
        <w:spacing w:after="100" w:line="240" w:lineRule="auto"/>
        <w:ind w:left="1440"/>
        <w:rPr>
          <w:rFonts w:ascii="Times New Roman" w:eastAsia="Times New Roman" w:hAnsi="Times New Roman"/>
          <w:sz w:val="24"/>
          <w:szCs w:val="24"/>
        </w:rPr>
      </w:pPr>
      <w:r w:rsidRPr="00560FAA">
        <w:rPr>
          <w:rFonts w:ascii="Times New Roman" w:eastAsia="Times New Roman" w:hAnsi="Times New Roman"/>
          <w:sz w:val="24"/>
          <w:szCs w:val="24"/>
        </w:rPr>
        <w:t>On January 9</w:t>
      </w:r>
      <w:proofErr w:type="gramStart"/>
      <w:r w:rsidRPr="00560FAA">
        <w:rPr>
          <w:rFonts w:ascii="Times New Roman" w:eastAsia="Times New Roman" w:hAnsi="Times New Roman"/>
          <w:sz w:val="24"/>
          <w:szCs w:val="24"/>
        </w:rPr>
        <w:t xml:space="preserve"> 2018</w:t>
      </w:r>
      <w:proofErr w:type="gramEnd"/>
      <w:r w:rsidRPr="00560FAA">
        <w:rPr>
          <w:rFonts w:ascii="Times New Roman" w:eastAsia="Times New Roman" w:hAnsi="Times New Roman"/>
          <w:sz w:val="24"/>
          <w:szCs w:val="24"/>
        </w:rPr>
        <w:t xml:space="preserve">[,] I slipped on icy snowy steps returning to vehicle from assisting a patient into residence[,] which resulted in a large piece of disc shearing off and compressing [my] sciatic nerve. I then underwent multiple surgeries and now have permanent nerve damage[,] a spinal nerve stimulator[,] and limited mobility. </w:t>
      </w:r>
    </w:p>
    <w:p w14:paraId="0C5D7FA3" w14:textId="77777777" w:rsidR="00E018F9" w:rsidRDefault="00E018F9" w:rsidP="00E018F9">
      <w:pPr>
        <w:spacing w:before="100" w:beforeAutospacing="1" w:after="100" w:afterAutospacing="1" w:line="240" w:lineRule="auto"/>
        <w:ind w:left="540"/>
        <w:rPr>
          <w:rFonts w:ascii="Times New Roman" w:eastAsia="Times New Roman" w:hAnsi="Times New Roman"/>
          <w:sz w:val="24"/>
          <w:szCs w:val="24"/>
        </w:rPr>
      </w:pPr>
      <w:r w:rsidRPr="00560FAA">
        <w:rPr>
          <w:rFonts w:ascii="Times New Roman" w:eastAsia="Times New Roman" w:hAnsi="Times New Roman"/>
          <w:sz w:val="24"/>
          <w:szCs w:val="24"/>
        </w:rPr>
        <w:t xml:space="preserve">On October 17, 2019, the Board denied McCool's application for ADR benefits because his disability was not the result of a traumatic event that was </w:t>
      </w:r>
      <w:r>
        <w:rPr>
          <w:rFonts w:ascii="Times New Roman" w:eastAsia="Times New Roman" w:hAnsi="Times New Roman"/>
          <w:sz w:val="24"/>
          <w:szCs w:val="24"/>
        </w:rPr>
        <w:t>‘</w:t>
      </w:r>
      <w:r w:rsidRPr="00560FAA">
        <w:rPr>
          <w:rFonts w:ascii="Times New Roman" w:eastAsia="Times New Roman" w:hAnsi="Times New Roman"/>
          <w:sz w:val="24"/>
          <w:szCs w:val="24"/>
        </w:rPr>
        <w:t>undesigned and unexpected.</w:t>
      </w:r>
      <w:r>
        <w:rPr>
          <w:rFonts w:ascii="Times New Roman" w:eastAsia="Times New Roman" w:hAnsi="Times New Roman"/>
          <w:sz w:val="24"/>
          <w:szCs w:val="24"/>
        </w:rPr>
        <w:t>’</w:t>
      </w:r>
    </w:p>
    <w:p w14:paraId="79F63800" w14:textId="77777777" w:rsidR="00E018F9" w:rsidRDefault="00E018F9" w:rsidP="00E018F9">
      <w:pPr>
        <w:spacing w:before="100" w:beforeAutospacing="1" w:after="100" w:afterAutospacing="1" w:line="240" w:lineRule="auto"/>
        <w:ind w:left="540"/>
        <w:rPr>
          <w:rFonts w:ascii="Times New Roman" w:eastAsia="Times New Roman" w:hAnsi="Times New Roman"/>
          <w:sz w:val="24"/>
          <w:szCs w:val="24"/>
        </w:rPr>
      </w:pPr>
      <w:r>
        <w:rPr>
          <w:rFonts w:ascii="Times New Roman" w:eastAsia="Times New Roman" w:hAnsi="Times New Roman"/>
          <w:sz w:val="24"/>
          <w:szCs w:val="24"/>
        </w:rPr>
        <w:t>***</w:t>
      </w:r>
    </w:p>
    <w:p w14:paraId="75CF4325" w14:textId="77777777" w:rsidR="00E018F9" w:rsidRDefault="00E018F9" w:rsidP="00E018F9">
      <w:pPr>
        <w:pStyle w:val="NormalWeb"/>
        <w:ind w:left="540"/>
      </w:pPr>
      <w:r>
        <w:t xml:space="preserve">McCool's contention that his case is </w:t>
      </w:r>
      <w:proofErr w:type="gramStart"/>
      <w:r>
        <w:t>similar to</w:t>
      </w:r>
      <w:proofErr w:type="gramEnd"/>
      <w:r>
        <w:t xml:space="preserve"> </w:t>
      </w:r>
      <w:r>
        <w:rPr>
          <w:rStyle w:val="Emphasis"/>
          <w:rFonts w:eastAsiaTheme="majorEastAsia"/>
        </w:rPr>
        <w:t>Richardson</w:t>
      </w:r>
      <w:r>
        <w:t xml:space="preserve"> and </w:t>
      </w:r>
      <w:r>
        <w:rPr>
          <w:rStyle w:val="Emphasis"/>
          <w:rFonts w:eastAsiaTheme="majorEastAsia"/>
        </w:rPr>
        <w:t>Moran v. Board of Trustees, Police &amp;Firemen's Retirement System</w:t>
      </w:r>
      <w:r>
        <w:t xml:space="preserve">, 438 </w:t>
      </w:r>
      <w:proofErr w:type="spellStart"/>
      <w:r>
        <w:t>N.J.Super</w:t>
      </w:r>
      <w:proofErr w:type="spellEnd"/>
      <w:r>
        <w:t xml:space="preserve">. 346 (App. Div. 2014), is not convincing. In </w:t>
      </w:r>
      <w:r>
        <w:rPr>
          <w:rStyle w:val="Emphasis"/>
          <w:rFonts w:eastAsiaTheme="majorEastAsia"/>
        </w:rPr>
        <w:t>Richardson</w:t>
      </w:r>
      <w:r>
        <w:t xml:space="preserve">, a corrections officer was injured while attempting to subdue an inmate. 192 N.J. at 193. There, the officer straddled the inmate to hold him down. </w:t>
      </w:r>
      <w:r>
        <w:rPr>
          <w:rStyle w:val="Emphasis"/>
          <w:rFonts w:eastAsiaTheme="majorEastAsia"/>
        </w:rPr>
        <w:t>Ibid.</w:t>
      </w:r>
      <w:r>
        <w:t xml:space="preserve"> The inmate continued to kick, punch, and throw his body around, and eventually pulled himself loose. </w:t>
      </w:r>
      <w:r>
        <w:rPr>
          <w:rStyle w:val="Emphasis"/>
          <w:rFonts w:eastAsiaTheme="majorEastAsia"/>
        </w:rPr>
        <w:t>Ibid.</w:t>
      </w:r>
      <w:r>
        <w:t xml:space="preserve"> The inmate then forcefully jerked up from the ground and knocked the officer backward, injuring him. </w:t>
      </w:r>
      <w:r>
        <w:rPr>
          <w:rStyle w:val="Emphasis"/>
          <w:rFonts w:eastAsiaTheme="majorEastAsia"/>
        </w:rPr>
        <w:t>Ibid.</w:t>
      </w:r>
      <w:r>
        <w:t xml:space="preserve"> </w:t>
      </w:r>
    </w:p>
    <w:p w14:paraId="2B4FD90E" w14:textId="77777777" w:rsidR="00E018F9" w:rsidRDefault="00E018F9" w:rsidP="00E018F9">
      <w:pPr>
        <w:pStyle w:val="NormalWeb"/>
        <w:ind w:left="540"/>
      </w:pPr>
      <w:r>
        <w:t xml:space="preserve">In </w:t>
      </w:r>
      <w:r>
        <w:rPr>
          <w:rStyle w:val="Emphasis"/>
          <w:rFonts w:eastAsiaTheme="majorEastAsia"/>
        </w:rPr>
        <w:t>Moran,</w:t>
      </w:r>
      <w:r>
        <w:t xml:space="preserve"> the court found an undesigned and unexpected event occurred when a ‘combination of unusual circumstances . . . led to [the member's] injury.’ 438 </w:t>
      </w:r>
      <w:proofErr w:type="spellStart"/>
      <w:r>
        <w:t>N.J.Super</w:t>
      </w:r>
      <w:proofErr w:type="spellEnd"/>
      <w:r>
        <w:t xml:space="preserve">. at 354. In that case, a firefighter was injured after kicking down a door to a burning building because he heard voices yelling from inside. </w:t>
      </w:r>
      <w:r>
        <w:rPr>
          <w:rStyle w:val="Emphasis"/>
          <w:rFonts w:eastAsiaTheme="majorEastAsia"/>
        </w:rPr>
        <w:t>Id.</w:t>
      </w:r>
      <w:r>
        <w:t xml:space="preserve"> at </w:t>
      </w:r>
      <w:r>
        <w:lastRenderedPageBreak/>
        <w:t xml:space="preserve">349-50. The firefighter was part of the ‘engine company’ that brought </w:t>
      </w:r>
      <w:proofErr w:type="gramStart"/>
      <w:r>
        <w:t>hoses</w:t>
      </w:r>
      <w:proofErr w:type="gramEnd"/>
      <w:r>
        <w:t xml:space="preserve"> to burning buildings and not part of the ‘truck company’ that brought equipment used to forcibly enter buildings. </w:t>
      </w:r>
      <w:r>
        <w:rPr>
          <w:rStyle w:val="Emphasis"/>
          <w:rFonts w:eastAsiaTheme="majorEastAsia"/>
        </w:rPr>
        <w:t>Id.</w:t>
      </w:r>
      <w:r>
        <w:t xml:space="preserve"> at 349. The ‘truck company’ was running late so the firefighter attempted to rescue victims trapped inside the building despite not having the proper equipment. </w:t>
      </w:r>
      <w:r>
        <w:rPr>
          <w:rStyle w:val="Emphasis"/>
          <w:rFonts w:eastAsiaTheme="majorEastAsia"/>
        </w:rPr>
        <w:t>Id.</w:t>
      </w:r>
      <w:r>
        <w:t xml:space="preserve"> at 354. We concluded the firefighter's injury was caused by an undesigned and unexpected event because the firefighter faced unusual circumstances, including the presence of victims inside the burning building, the "truck company's" delay, and the lack of equipment to break down the door. </w:t>
      </w:r>
      <w:r>
        <w:rPr>
          <w:rStyle w:val="Emphasis"/>
          <w:rFonts w:eastAsiaTheme="majorEastAsia"/>
        </w:rPr>
        <w:t>Ibid.</w:t>
      </w:r>
      <w:r>
        <w:t xml:space="preserve"> </w:t>
      </w:r>
    </w:p>
    <w:p w14:paraId="3146B63E" w14:textId="77777777" w:rsidR="00E018F9" w:rsidRDefault="00E018F9" w:rsidP="00E018F9">
      <w:pPr>
        <w:pStyle w:val="NormalWeb"/>
        <w:ind w:left="540"/>
      </w:pPr>
      <w:r>
        <w:t xml:space="preserve">Unlike in </w:t>
      </w:r>
      <w:r>
        <w:rPr>
          <w:rStyle w:val="Emphasis"/>
          <w:rFonts w:eastAsiaTheme="majorEastAsia"/>
        </w:rPr>
        <w:t>Richardson</w:t>
      </w:r>
      <w:r>
        <w:t xml:space="preserve"> and </w:t>
      </w:r>
      <w:r>
        <w:rPr>
          <w:rStyle w:val="Emphasis"/>
          <w:rFonts w:eastAsiaTheme="majorEastAsia"/>
        </w:rPr>
        <w:t>Moran</w:t>
      </w:r>
      <w:r>
        <w:t xml:space="preserve">, petitioner's injury did not result from an ‘unexpected happening.’ He did not face unusual circumstances like in </w:t>
      </w:r>
      <w:r>
        <w:rPr>
          <w:rStyle w:val="Emphasis"/>
          <w:rFonts w:eastAsiaTheme="majorEastAsia"/>
        </w:rPr>
        <w:t>Moran</w:t>
      </w:r>
      <w:r>
        <w:t xml:space="preserve">; nor was he injured as </w:t>
      </w:r>
      <w:proofErr w:type="spellStart"/>
      <w:proofErr w:type="gramStart"/>
      <w:r>
        <w:t>a</w:t>
      </w:r>
      <w:proofErr w:type="spellEnd"/>
      <w:proofErr w:type="gramEnd"/>
      <w:r>
        <w:t xml:space="preserve"> individual like in </w:t>
      </w:r>
      <w:r>
        <w:rPr>
          <w:rStyle w:val="Emphasis"/>
          <w:rFonts w:eastAsiaTheme="majorEastAsia"/>
        </w:rPr>
        <w:t>Richardson</w:t>
      </w:r>
      <w:r>
        <w:t xml:space="preserve">. After considering </w:t>
      </w:r>
      <w:proofErr w:type="gramStart"/>
      <w:r>
        <w:t>all of</w:t>
      </w:r>
      <w:proofErr w:type="gramEnd"/>
      <w:r>
        <w:t xml:space="preserve"> the evidence presented and the applicable legal standards, the ALJ determined McCool failed to prove by a preponderance of the evidence his disability was caused by an undesigned and unexpected event. The ALJ's decision was based on ample findings supported by substantial credible evidence in the record and was not arbitrary, capricious, or unreasonable. We discern no basis to disturb the Board's decision </w:t>
      </w:r>
      <w:proofErr w:type="gramStart"/>
      <w:r>
        <w:t>adopting</w:t>
      </w:r>
      <w:proofErr w:type="gramEnd"/>
      <w:r>
        <w:t xml:space="preserve"> the ALJ's findings and </w:t>
      </w:r>
      <w:proofErr w:type="gramStart"/>
      <w:r>
        <w:t>denying</w:t>
      </w:r>
      <w:proofErr w:type="gramEnd"/>
      <w:r>
        <w:t xml:space="preserve"> McCool's application for ADR benefits. </w:t>
      </w:r>
    </w:p>
    <w:p w14:paraId="00CA3F4B" w14:textId="77777777" w:rsidR="00E018F9" w:rsidRPr="00560FAA" w:rsidRDefault="00E018F9" w:rsidP="00E018F9">
      <w:pPr>
        <w:pStyle w:val="NormalWeb"/>
        <w:ind w:left="540"/>
      </w:pPr>
      <w:r>
        <w:t xml:space="preserve">The Board's decision is supported by sufficient credible evidence on the </w:t>
      </w:r>
      <w:proofErr w:type="gramStart"/>
      <w:r>
        <w:t>record as a whole</w:t>
      </w:r>
      <w:proofErr w:type="gramEnd"/>
      <w:r>
        <w:t xml:space="preserve">. </w:t>
      </w:r>
      <w:r>
        <w:rPr>
          <w:rStyle w:val="Emphasis"/>
          <w:rFonts w:eastAsiaTheme="majorEastAsia"/>
        </w:rPr>
        <w:t>R.</w:t>
      </w:r>
      <w:r>
        <w:t xml:space="preserve"> 2:11-3(e)(1)(D). To the extent we have not otherwise addressed McCool's arguments, they are without sufficient merit to warrant discussion in a written opinion. </w:t>
      </w:r>
      <w:r>
        <w:rPr>
          <w:rStyle w:val="Emphasis"/>
          <w:rFonts w:eastAsiaTheme="majorEastAsia"/>
        </w:rPr>
        <w:t>R.</w:t>
      </w:r>
      <w:r>
        <w:t xml:space="preserve"> 2:11-3(e)(1)(E).”</w:t>
      </w:r>
      <w:r w:rsidRPr="00C602E7">
        <w:t xml:space="preserve"> </w:t>
      </w:r>
      <w:hyperlink r:id="rId1107" w:history="1">
        <w:r w:rsidRPr="008C767B">
          <w:rPr>
            <w:rStyle w:val="Hyperlink"/>
          </w:rPr>
          <w:t>https://www.njcourts.gov/system/files/court-opinions/2024/a3332-21.pdf</w:t>
        </w:r>
      </w:hyperlink>
      <w:r>
        <w:t xml:space="preserve"> </w:t>
      </w:r>
      <w:r w:rsidRPr="00560FAA">
        <w:t xml:space="preserve"> </w:t>
      </w:r>
    </w:p>
    <w:p w14:paraId="45BCA169" w14:textId="77777777" w:rsidR="00C63CEB" w:rsidRPr="001D4B2A" w:rsidRDefault="00C63CEB" w:rsidP="00C63CEB">
      <w:pPr>
        <w:pStyle w:val="NormalWeb"/>
        <w:rPr>
          <w:b/>
          <w:bCs/>
        </w:rPr>
      </w:pPr>
      <w:r w:rsidRPr="001D4B2A">
        <w:rPr>
          <w:b/>
          <w:bCs/>
        </w:rPr>
        <w:t>Legal Lesson Learned:</w:t>
      </w:r>
      <w:r>
        <w:rPr>
          <w:b/>
          <w:bCs/>
        </w:rPr>
        <w:t xml:space="preserve"> Enhanced accidental disability pension for traumatic injury is limited to those injuries that are an “unexpected.”</w:t>
      </w:r>
    </w:p>
    <w:p w14:paraId="30E88095" w14:textId="77777777" w:rsidR="00E018F9" w:rsidRDefault="00E018F9" w:rsidP="006C4AD8">
      <w:pPr>
        <w:pStyle w:val="NormalWeb"/>
        <w:spacing w:before="0" w:beforeAutospacing="0"/>
        <w:rPr>
          <w:rFonts w:ascii="Arial Black" w:hAnsi="Arial Black"/>
          <w:b/>
          <w:bCs/>
          <w:color w:val="454545"/>
          <w:sz w:val="28"/>
          <w:szCs w:val="28"/>
          <w:shd w:val="clear" w:color="auto" w:fill="FFFFFF"/>
        </w:rPr>
      </w:pPr>
    </w:p>
    <w:p w14:paraId="3611B9F0" w14:textId="77777777" w:rsidR="003F14B8" w:rsidRDefault="003F14B8" w:rsidP="006C4AD8">
      <w:pPr>
        <w:pStyle w:val="NormalWeb"/>
        <w:spacing w:before="0" w:beforeAutospacing="0"/>
        <w:rPr>
          <w:rFonts w:ascii="Arial Black" w:hAnsi="Arial Black"/>
          <w:b/>
          <w:bCs/>
          <w:color w:val="454545"/>
          <w:sz w:val="28"/>
          <w:szCs w:val="28"/>
          <w:shd w:val="clear" w:color="auto" w:fill="FFFFFF"/>
        </w:rPr>
      </w:pPr>
    </w:p>
    <w:p w14:paraId="2459F776" w14:textId="03652378" w:rsidR="0060031B" w:rsidRDefault="0060031B" w:rsidP="006C4AD8">
      <w:pPr>
        <w:pStyle w:val="NormalWeb"/>
        <w:spacing w:before="0" w:beforeAutospacing="0"/>
        <w:rPr>
          <w:rFonts w:ascii="Arial Black" w:hAnsi="Arial Black"/>
          <w:b/>
          <w:bCs/>
          <w:color w:val="454545"/>
          <w:sz w:val="28"/>
          <w:szCs w:val="28"/>
          <w:shd w:val="clear" w:color="auto" w:fill="FFFFFF"/>
        </w:rPr>
      </w:pPr>
      <w:r>
        <w:rPr>
          <w:rFonts w:ascii="Arial Black" w:hAnsi="Arial Black"/>
          <w:b/>
          <w:bCs/>
          <w:color w:val="454545"/>
          <w:sz w:val="28"/>
          <w:szCs w:val="28"/>
          <w:shd w:val="clear" w:color="auto" w:fill="FFFFFF"/>
        </w:rPr>
        <w:t>6-13</w:t>
      </w:r>
      <w:r w:rsidR="002A0697">
        <w:rPr>
          <w:rFonts w:ascii="Arial Black" w:hAnsi="Arial Black"/>
          <w:b/>
          <w:bCs/>
          <w:color w:val="454545"/>
          <w:sz w:val="28"/>
          <w:szCs w:val="28"/>
          <w:shd w:val="clear" w:color="auto" w:fill="FFFFFF"/>
        </w:rPr>
        <w:t>0</w:t>
      </w:r>
    </w:p>
    <w:p w14:paraId="56260724" w14:textId="7A6C35D4" w:rsidR="006C4AD8" w:rsidRDefault="006C4AD8" w:rsidP="006C4AD8">
      <w:pPr>
        <w:pStyle w:val="NormalWeb"/>
        <w:spacing w:before="0" w:beforeAutospacing="0"/>
        <w:rPr>
          <w:b/>
          <w:bCs/>
          <w:color w:val="454545"/>
          <w:shd w:val="clear" w:color="auto" w:fill="FFFFFF"/>
        </w:rPr>
      </w:pPr>
      <w:r>
        <w:rPr>
          <w:rFonts w:ascii="Arial Black" w:hAnsi="Arial Black"/>
          <w:b/>
          <w:bCs/>
          <w:color w:val="454545"/>
          <w:sz w:val="28"/>
          <w:szCs w:val="28"/>
          <w:shd w:val="clear" w:color="auto" w:fill="FFFFFF"/>
        </w:rPr>
        <w:t xml:space="preserve">WV: VOL. FIRE CHIEF HEARING LOSS AS COAL MINOR (17.5%) – CLAIM ADDITIONAL LOSS FD DENIED / DIABETES  </w:t>
      </w:r>
    </w:p>
    <w:p w14:paraId="0BECCF51" w14:textId="77777777" w:rsidR="006C4AD8" w:rsidRDefault="006C4AD8" w:rsidP="006C4AD8">
      <w:pPr>
        <w:pStyle w:val="NoSpacing"/>
        <w:rPr>
          <w:rFonts w:ascii="Times New Roman" w:hAnsi="Times New Roman"/>
          <w:sz w:val="24"/>
          <w:szCs w:val="24"/>
        </w:rPr>
      </w:pPr>
      <w:r>
        <w:rPr>
          <w:rFonts w:ascii="Times New Roman" w:hAnsi="Times New Roman"/>
          <w:sz w:val="24"/>
          <w:szCs w:val="24"/>
        </w:rPr>
        <w:t xml:space="preserve">On March 25, 2024, in </w:t>
      </w:r>
      <w:r w:rsidRPr="00D22B5A">
        <w:rPr>
          <w:rFonts w:ascii="Times New Roman" w:hAnsi="Times New Roman"/>
          <w:sz w:val="24"/>
          <w:szCs w:val="24"/>
          <w:u w:val="single"/>
        </w:rPr>
        <w:t>Wilburn T. Preece, Jr. v. Kermit Volunteer Fire Department</w:t>
      </w:r>
      <w:r>
        <w:rPr>
          <w:rFonts w:ascii="Times New Roman" w:hAnsi="Times New Roman"/>
          <w:sz w:val="24"/>
          <w:szCs w:val="24"/>
        </w:rPr>
        <w:t xml:space="preserve">, the West Virginia Intermediate Court of Appeals upheld (3 to 0) the Administrative Law Judge, and the </w:t>
      </w:r>
      <w:r w:rsidRPr="00AD6935">
        <w:rPr>
          <w:rFonts w:ascii="Times New Roman" w:hAnsi="Times New Roman"/>
          <w:sz w:val="24"/>
          <w:szCs w:val="24"/>
        </w:rPr>
        <w:t xml:space="preserve">Workers' Compensation Board of Review </w:t>
      </w:r>
      <w:r>
        <w:rPr>
          <w:rFonts w:ascii="Times New Roman" w:hAnsi="Times New Roman"/>
          <w:sz w:val="24"/>
          <w:szCs w:val="24"/>
        </w:rPr>
        <w:t xml:space="preserve">decision denying him additional worker’s comp.  He had previously been granted 17.5% </w:t>
      </w:r>
      <w:r w:rsidRPr="00781DB6">
        <w:rPr>
          <w:rFonts w:ascii="Times New Roman" w:hAnsi="Times New Roman"/>
          <w:sz w:val="24"/>
          <w:szCs w:val="24"/>
        </w:rPr>
        <w:t>permanent partial disability</w:t>
      </w:r>
      <w:r>
        <w:rPr>
          <w:rFonts w:ascii="Times New Roman" w:hAnsi="Times New Roman"/>
          <w:sz w:val="24"/>
          <w:szCs w:val="24"/>
        </w:rPr>
        <w:t xml:space="preserve"> (PPD)</w:t>
      </w:r>
      <w:r w:rsidRPr="00781DB6">
        <w:rPr>
          <w:rFonts w:ascii="Times New Roman" w:hAnsi="Times New Roman"/>
          <w:sz w:val="24"/>
          <w:szCs w:val="24"/>
        </w:rPr>
        <w:t xml:space="preserve"> award</w:t>
      </w:r>
      <w:r>
        <w:rPr>
          <w:rFonts w:ascii="Times New Roman" w:hAnsi="Times New Roman"/>
          <w:sz w:val="24"/>
          <w:szCs w:val="24"/>
        </w:rPr>
        <w:t xml:space="preserve"> in 2015 related to work as a minor and failed to prove additional hearing loss (22%) was due to service starting in 2014 as the Fire Chief at the volunteer fire department.  </w:t>
      </w:r>
    </w:p>
    <w:p w14:paraId="4D4D7809" w14:textId="77777777" w:rsidR="003956F7" w:rsidRDefault="003956F7" w:rsidP="003956F7">
      <w:pPr>
        <w:pStyle w:val="NoSpacing"/>
        <w:rPr>
          <w:rFonts w:ascii="Times New Roman" w:hAnsi="Times New Roman"/>
          <w:sz w:val="24"/>
          <w:szCs w:val="24"/>
          <w:shd w:val="clear" w:color="auto" w:fill="FFFFFF"/>
        </w:rPr>
      </w:pPr>
    </w:p>
    <w:p w14:paraId="5A819468" w14:textId="16978171" w:rsidR="003956F7" w:rsidRPr="004C0299" w:rsidRDefault="003956F7" w:rsidP="003956F7">
      <w:pPr>
        <w:pStyle w:val="NoSpacing"/>
        <w:rPr>
          <w:rFonts w:ascii="Times New Roman" w:hAnsi="Times New Roman"/>
          <w:sz w:val="24"/>
          <w:szCs w:val="24"/>
        </w:rPr>
      </w:pPr>
      <w:r>
        <w:rPr>
          <w:rFonts w:ascii="Times New Roman" w:hAnsi="Times New Roman"/>
          <w:sz w:val="24"/>
          <w:szCs w:val="24"/>
          <w:shd w:val="clear" w:color="auto" w:fill="FFFFFF"/>
        </w:rPr>
        <w:t>THE COURT HELD:</w:t>
      </w:r>
    </w:p>
    <w:p w14:paraId="79520472" w14:textId="77777777" w:rsidR="003956F7" w:rsidRPr="00781DB6" w:rsidRDefault="003956F7" w:rsidP="006C4AD8">
      <w:pPr>
        <w:pStyle w:val="NoSpacing"/>
        <w:rPr>
          <w:rFonts w:ascii="Times New Roman" w:hAnsi="Times New Roman"/>
          <w:sz w:val="24"/>
          <w:szCs w:val="24"/>
        </w:rPr>
      </w:pPr>
    </w:p>
    <w:p w14:paraId="44F45D83" w14:textId="77777777" w:rsidR="006C4AD8" w:rsidRPr="00FD334E" w:rsidRDefault="006C4AD8" w:rsidP="006C4AD8">
      <w:pPr>
        <w:pStyle w:val="NoSpacing"/>
        <w:ind w:left="720"/>
        <w:rPr>
          <w:rFonts w:ascii="Times New Roman" w:hAnsi="Times New Roman"/>
          <w:sz w:val="24"/>
          <w:szCs w:val="24"/>
        </w:rPr>
      </w:pPr>
      <w:r w:rsidRPr="00FD334E">
        <w:rPr>
          <w:rFonts w:ascii="Times New Roman" w:hAnsi="Times New Roman"/>
          <w:sz w:val="24"/>
          <w:szCs w:val="24"/>
        </w:rPr>
        <w:t xml:space="preserve">“Mr. Preece was evaluated by David Phillips, M.D., who drafted a report dated December 14, 2022. Dr. Phillips found that Mr. Preece had a total of 22% </w:t>
      </w:r>
      <w:proofErr w:type="gramStart"/>
      <w:r w:rsidRPr="00FD334E">
        <w:rPr>
          <w:rFonts w:ascii="Times New Roman" w:hAnsi="Times New Roman"/>
          <w:sz w:val="24"/>
          <w:szCs w:val="24"/>
        </w:rPr>
        <w:t>whole</w:t>
      </w:r>
      <w:proofErr w:type="gramEnd"/>
      <w:r w:rsidRPr="00FD334E">
        <w:rPr>
          <w:rFonts w:ascii="Times New Roman" w:hAnsi="Times New Roman"/>
          <w:sz w:val="24"/>
          <w:szCs w:val="24"/>
        </w:rPr>
        <w:t xml:space="preserve"> </w:t>
      </w:r>
      <w:proofErr w:type="gramStart"/>
      <w:r w:rsidRPr="00FD334E">
        <w:rPr>
          <w:rFonts w:ascii="Times New Roman" w:hAnsi="Times New Roman"/>
          <w:sz w:val="24"/>
          <w:szCs w:val="24"/>
        </w:rPr>
        <w:t>person</w:t>
      </w:r>
      <w:proofErr w:type="gramEnd"/>
      <w:r w:rsidRPr="00FD334E">
        <w:rPr>
          <w:rFonts w:ascii="Times New Roman" w:hAnsi="Times New Roman"/>
          <w:sz w:val="24"/>
          <w:szCs w:val="24"/>
        </w:rPr>
        <w:t xml:space="preserve"> </w:t>
      </w:r>
      <w:proofErr w:type="gramStart"/>
      <w:r w:rsidRPr="00FD334E">
        <w:rPr>
          <w:rFonts w:ascii="Times New Roman" w:hAnsi="Times New Roman"/>
          <w:sz w:val="24"/>
          <w:szCs w:val="24"/>
        </w:rPr>
        <w:t>impairment (</w:t>
      </w:r>
      <w:r>
        <w:rPr>
          <w:rFonts w:ascii="Times New Roman" w:hAnsi="Times New Roman"/>
          <w:sz w:val="24"/>
          <w:szCs w:val="24"/>
        </w:rPr>
        <w:t>‘</w:t>
      </w:r>
      <w:proofErr w:type="gramEnd"/>
      <w:r w:rsidRPr="00FD334E">
        <w:rPr>
          <w:rFonts w:ascii="Times New Roman" w:hAnsi="Times New Roman"/>
          <w:sz w:val="24"/>
          <w:szCs w:val="24"/>
        </w:rPr>
        <w:t>WPI</w:t>
      </w:r>
      <w:r>
        <w:rPr>
          <w:rFonts w:ascii="Times New Roman" w:hAnsi="Times New Roman"/>
          <w:sz w:val="24"/>
          <w:szCs w:val="24"/>
        </w:rPr>
        <w:t>’</w:t>
      </w:r>
      <w:r w:rsidRPr="00FD334E">
        <w:rPr>
          <w:rFonts w:ascii="Times New Roman" w:hAnsi="Times New Roman"/>
          <w:sz w:val="24"/>
          <w:szCs w:val="24"/>
        </w:rPr>
        <w:t>) related to hearing loss. Dr. Phillips noted that Mr. Preece has a medical history of diabetes, hypertension, and elevated cholesterol, all of which can contribute to progressive hearing loss. Thus, Dr. Phillips attributed 17.5% of Mr. Preece's hearing loss to prior mining occupational noise exposure and 4.5% to nonoccupational factors.</w:t>
      </w:r>
    </w:p>
    <w:p w14:paraId="6DB453C9" w14:textId="77777777" w:rsidR="006C4AD8" w:rsidRPr="00AA7464" w:rsidRDefault="006C4AD8" w:rsidP="006C4AD8">
      <w:pPr>
        <w:pStyle w:val="NoSpacing"/>
        <w:ind w:left="720"/>
        <w:rPr>
          <w:rFonts w:ascii="Times New Roman" w:hAnsi="Times New Roman"/>
          <w:sz w:val="24"/>
          <w:szCs w:val="24"/>
        </w:rPr>
      </w:pPr>
    </w:p>
    <w:p w14:paraId="39FF471F" w14:textId="77777777" w:rsidR="006C4AD8" w:rsidRDefault="006C4AD8" w:rsidP="006C4AD8">
      <w:pPr>
        <w:pStyle w:val="NoSpacing"/>
        <w:ind w:left="720"/>
        <w:rPr>
          <w:rFonts w:ascii="Times New Roman" w:hAnsi="Times New Roman"/>
          <w:sz w:val="24"/>
          <w:szCs w:val="24"/>
        </w:rPr>
      </w:pPr>
      <w:r>
        <w:rPr>
          <w:rFonts w:ascii="Times New Roman" w:hAnsi="Times New Roman"/>
          <w:sz w:val="24"/>
          <w:szCs w:val="24"/>
        </w:rPr>
        <w:t>***</w:t>
      </w:r>
    </w:p>
    <w:p w14:paraId="115848E8" w14:textId="77777777" w:rsidR="006C4AD8" w:rsidRDefault="006C4AD8" w:rsidP="006C4AD8">
      <w:pPr>
        <w:pStyle w:val="NoSpacing"/>
        <w:ind w:left="720"/>
        <w:rPr>
          <w:rFonts w:ascii="Times New Roman" w:hAnsi="Times New Roman"/>
          <w:sz w:val="24"/>
          <w:szCs w:val="24"/>
        </w:rPr>
      </w:pPr>
    </w:p>
    <w:p w14:paraId="02F19B31" w14:textId="77777777" w:rsidR="006C4AD8" w:rsidRPr="00215DCD" w:rsidRDefault="006C4AD8" w:rsidP="006C4AD8">
      <w:pPr>
        <w:pStyle w:val="NoSpacing"/>
        <w:ind w:left="720"/>
        <w:rPr>
          <w:rFonts w:ascii="Times New Roman" w:hAnsi="Times New Roman"/>
          <w:b/>
          <w:bCs/>
          <w:color w:val="454545"/>
          <w:sz w:val="24"/>
          <w:szCs w:val="24"/>
          <w:shd w:val="clear" w:color="auto" w:fill="FFFFFF"/>
        </w:rPr>
      </w:pPr>
      <w:r w:rsidRPr="00215DCD">
        <w:rPr>
          <w:rFonts w:ascii="Times New Roman" w:hAnsi="Times New Roman"/>
          <w:sz w:val="24"/>
          <w:szCs w:val="24"/>
        </w:rPr>
        <w:t xml:space="preserve">Upon review, we cannot conclude that the Board was clearly wrong in finding that Mr. Preece failed to establish that his job as fire chief has caused additional hearing loss. As the Supreme Court of Appeals of West Virginia has set forth, "[t]he 'clearly wrong' and the 'arbitrary and capricious' standards of review are deferential ones which presume an agency's actions are valid as long as the decision is supported by substantial evidence or </w:t>
      </w:r>
      <w:proofErr w:type="gramStart"/>
      <w:r w:rsidRPr="00215DCD">
        <w:rPr>
          <w:rFonts w:ascii="Times New Roman" w:hAnsi="Times New Roman"/>
          <w:sz w:val="24"/>
          <w:szCs w:val="24"/>
        </w:rPr>
        <w:t>by</w:t>
      </w:r>
      <w:proofErr w:type="gramEnd"/>
      <w:r w:rsidRPr="00215DCD">
        <w:rPr>
          <w:rFonts w:ascii="Times New Roman" w:hAnsi="Times New Roman"/>
          <w:sz w:val="24"/>
          <w:szCs w:val="24"/>
        </w:rPr>
        <w:t xml:space="preserve"> a rational basis." Syl. Pt. 3, </w:t>
      </w:r>
      <w:r w:rsidRPr="00215DCD">
        <w:rPr>
          <w:rStyle w:val="Emphasis"/>
          <w:rFonts w:ascii="Times New Roman" w:hAnsi="Times New Roman"/>
          <w:sz w:val="24"/>
          <w:szCs w:val="24"/>
        </w:rPr>
        <w:t>In re Queen</w:t>
      </w:r>
      <w:r w:rsidRPr="00215DCD">
        <w:rPr>
          <w:rFonts w:ascii="Times New Roman" w:hAnsi="Times New Roman"/>
          <w:sz w:val="24"/>
          <w:szCs w:val="24"/>
        </w:rPr>
        <w:t>, 196 W.Va. 442, 473 S.E.2d 483 (1996). With this deferential standard of review in mind, we cannot conclude that the Board was clearly wrong in affirming the claim administrator's order rejecting the claim.</w:t>
      </w:r>
      <w:r>
        <w:rPr>
          <w:rFonts w:ascii="Times New Roman" w:hAnsi="Times New Roman"/>
          <w:sz w:val="24"/>
          <w:szCs w:val="24"/>
        </w:rPr>
        <w:t>”</w:t>
      </w:r>
      <w:r w:rsidRPr="000A3EB7">
        <w:t xml:space="preserve"> </w:t>
      </w:r>
      <w:hyperlink r:id="rId1108" w:history="1">
        <w:r w:rsidRPr="007E7996">
          <w:rPr>
            <w:rStyle w:val="Hyperlink"/>
            <w:rFonts w:ascii="Times New Roman" w:hAnsi="Times New Roman"/>
            <w:sz w:val="24"/>
            <w:szCs w:val="24"/>
          </w:rPr>
          <w:t>https://public.fastcase.com/H1P9uiW3J20SFp%2BGCG%2BxLadhvM%2BTk6CyYLUbfEuOSnynNWxAhyJMu40rylJQnWa9?utm_medium=email&amp;_hsmi=226712652&amp;_hsenc=p2ANqtz-_Dihe0VmJESjxgjqn36kOhagQU45bmN7CEHRIuj2470_KUhcV7wrW-Y9ruG8-Hj5g_txVmqO_R_d6e-gS-IENa_oPFKQ&amp;utm_content=226712652&amp;utm_source=hs_email</w:t>
        </w:r>
      </w:hyperlink>
      <w:r>
        <w:rPr>
          <w:rFonts w:ascii="Times New Roman" w:hAnsi="Times New Roman"/>
          <w:sz w:val="24"/>
          <w:szCs w:val="24"/>
        </w:rPr>
        <w:t xml:space="preserve"> </w:t>
      </w:r>
    </w:p>
    <w:p w14:paraId="09DB4F0A" w14:textId="77777777" w:rsidR="006C4AD8" w:rsidRDefault="006C4AD8" w:rsidP="006C4AD8">
      <w:pPr>
        <w:pStyle w:val="NoSpacing"/>
        <w:rPr>
          <w:rFonts w:ascii="Times New Roman" w:hAnsi="Times New Roman"/>
          <w:sz w:val="24"/>
          <w:szCs w:val="24"/>
        </w:rPr>
      </w:pPr>
    </w:p>
    <w:p w14:paraId="3D73FADE" w14:textId="77777777" w:rsidR="006C4AD8" w:rsidRDefault="006C4AD8" w:rsidP="006C4AD8">
      <w:pPr>
        <w:pStyle w:val="NoSpacing"/>
        <w:rPr>
          <w:rFonts w:ascii="Times New Roman" w:hAnsi="Times New Roman"/>
          <w:sz w:val="24"/>
          <w:szCs w:val="24"/>
        </w:rPr>
      </w:pPr>
    </w:p>
    <w:p w14:paraId="2994A667" w14:textId="77777777" w:rsidR="006C4AD8" w:rsidRPr="008B6467" w:rsidRDefault="006C4AD8" w:rsidP="006C4AD8">
      <w:pPr>
        <w:pStyle w:val="NormalWeb"/>
        <w:rPr>
          <w:b/>
          <w:bCs/>
        </w:rPr>
      </w:pPr>
      <w:r w:rsidRPr="008B6467">
        <w:rPr>
          <w:b/>
          <w:bCs/>
        </w:rPr>
        <w:t>Legal Lesson Learned: Hearing loss can be attributed to multiple factors, including diabetes, hypertension, and elevated cholesterol.</w:t>
      </w:r>
    </w:p>
    <w:p w14:paraId="46C0753D" w14:textId="77777777" w:rsidR="006C4AD8" w:rsidRDefault="006C4AD8" w:rsidP="006C4AD8">
      <w:pPr>
        <w:pStyle w:val="NoSpacing"/>
        <w:rPr>
          <w:rFonts w:ascii="Times New Roman" w:hAnsi="Times New Roman"/>
          <w:sz w:val="24"/>
          <w:szCs w:val="24"/>
        </w:rPr>
      </w:pPr>
    </w:p>
    <w:p w14:paraId="605E8B5C" w14:textId="77777777" w:rsidR="006C4AD8" w:rsidRDefault="006C4AD8" w:rsidP="006C4AD8">
      <w:pPr>
        <w:pStyle w:val="NormalWeb"/>
        <w:spacing w:before="0" w:beforeAutospacing="0"/>
        <w:rPr>
          <w:b/>
          <w:bCs/>
          <w:color w:val="454545"/>
          <w:shd w:val="clear" w:color="auto" w:fill="FFFFFF"/>
        </w:rPr>
      </w:pPr>
    </w:p>
    <w:p w14:paraId="26153F56" w14:textId="387FF3E1" w:rsidR="006C4AD8" w:rsidRDefault="0060031B" w:rsidP="006C4AD8">
      <w:pPr>
        <w:pStyle w:val="NormalWeb"/>
        <w:spacing w:before="0" w:beforeAutospacing="0"/>
        <w:rPr>
          <w:rFonts w:ascii="Arial Black" w:hAnsi="Arial Black"/>
          <w:b/>
          <w:bCs/>
          <w:color w:val="454545"/>
          <w:sz w:val="28"/>
          <w:szCs w:val="28"/>
          <w:shd w:val="clear" w:color="auto" w:fill="FFFFFF"/>
        </w:rPr>
      </w:pPr>
      <w:r>
        <w:rPr>
          <w:rFonts w:ascii="Arial Black" w:hAnsi="Arial Black"/>
          <w:b/>
          <w:bCs/>
          <w:color w:val="454545"/>
          <w:sz w:val="28"/>
          <w:szCs w:val="28"/>
          <w:shd w:val="clear" w:color="auto" w:fill="FFFFFF"/>
        </w:rPr>
        <w:t>6-1</w:t>
      </w:r>
      <w:r w:rsidR="002A0697">
        <w:rPr>
          <w:rFonts w:ascii="Arial Black" w:hAnsi="Arial Black"/>
          <w:b/>
          <w:bCs/>
          <w:color w:val="454545"/>
          <w:sz w:val="28"/>
          <w:szCs w:val="28"/>
          <w:shd w:val="clear" w:color="auto" w:fill="FFFFFF"/>
        </w:rPr>
        <w:t>29</w:t>
      </w:r>
    </w:p>
    <w:p w14:paraId="586D680E" w14:textId="77777777" w:rsidR="006C4AD8" w:rsidRDefault="006C4AD8" w:rsidP="006C4AD8">
      <w:pPr>
        <w:pStyle w:val="NormalWeb"/>
        <w:spacing w:before="0" w:beforeAutospacing="0"/>
        <w:rPr>
          <w:rFonts w:ascii="Arial Black" w:hAnsi="Arial Black"/>
          <w:b/>
          <w:bCs/>
          <w:color w:val="454545"/>
          <w:sz w:val="28"/>
          <w:szCs w:val="28"/>
          <w:shd w:val="clear" w:color="auto" w:fill="FFFFFF"/>
        </w:rPr>
      </w:pPr>
      <w:r>
        <w:rPr>
          <w:rFonts w:ascii="Arial Black" w:hAnsi="Arial Black"/>
          <w:b/>
          <w:bCs/>
          <w:color w:val="454545"/>
          <w:sz w:val="28"/>
          <w:szCs w:val="28"/>
          <w:shd w:val="clear" w:color="auto" w:fill="FFFFFF"/>
        </w:rPr>
        <w:t>TX:  PANCREATIC CANCER NOT COVERD UNDER FF PRESUMPTION LAW – WIDOW DENIED WORK COMP</w:t>
      </w:r>
    </w:p>
    <w:p w14:paraId="783DCD94" w14:textId="77777777" w:rsidR="006C4AD8" w:rsidRDefault="006C4AD8" w:rsidP="006C4AD8">
      <w:pPr>
        <w:pStyle w:val="NormalWeb"/>
        <w:rPr>
          <w:color w:val="454545"/>
          <w:shd w:val="clear" w:color="auto" w:fill="FFFFFF"/>
        </w:rPr>
      </w:pPr>
      <w:r>
        <w:rPr>
          <w:color w:val="454545"/>
          <w:shd w:val="clear" w:color="auto" w:fill="FFFFFF"/>
        </w:rPr>
        <w:t xml:space="preserve">On March 7, 2024, in </w:t>
      </w:r>
      <w:r w:rsidRPr="003F27FF">
        <w:rPr>
          <w:color w:val="454545"/>
          <w:u w:val="single"/>
          <w:shd w:val="clear" w:color="auto" w:fill="FFFFFF"/>
        </w:rPr>
        <w:t>City of Stephenville v. Anna Belew, et al</w:t>
      </w:r>
      <w:r>
        <w:rPr>
          <w:color w:val="454545"/>
          <w:shd w:val="clear" w:color="auto" w:fill="FFFFFF"/>
        </w:rPr>
        <w:t xml:space="preserve">., the Eleventh Court of Appeals of Texas, held (3 to 0) in a lengthy decision, that the City’s appeal is granted, reversing the award of workers comp death benefits to widow of </w:t>
      </w:r>
      <w:r w:rsidRPr="00DF56EC">
        <w:rPr>
          <w:color w:val="454545"/>
          <w:shd w:val="clear" w:color="auto" w:fill="FFFFFF"/>
        </w:rPr>
        <w:t>Michael Belew, a firefighter for the City of</w:t>
      </w:r>
      <w:r>
        <w:rPr>
          <w:color w:val="454545"/>
          <w:shd w:val="clear" w:color="auto" w:fill="FFFFFF"/>
        </w:rPr>
        <w:t xml:space="preserve"> </w:t>
      </w:r>
      <w:r w:rsidRPr="00DF56EC">
        <w:rPr>
          <w:color w:val="454545"/>
          <w:shd w:val="clear" w:color="auto" w:fill="FFFFFF"/>
        </w:rPr>
        <w:t>Stephenville who passed away in 2014 after a battle with pancreatic</w:t>
      </w:r>
      <w:r>
        <w:rPr>
          <w:color w:val="454545"/>
          <w:shd w:val="clear" w:color="auto" w:fill="FFFFFF"/>
        </w:rPr>
        <w:t xml:space="preserve"> </w:t>
      </w:r>
      <w:r w:rsidRPr="00DF56EC">
        <w:rPr>
          <w:color w:val="454545"/>
          <w:shd w:val="clear" w:color="auto" w:fill="FFFFFF"/>
        </w:rPr>
        <w:t>cancer.</w:t>
      </w:r>
    </w:p>
    <w:p w14:paraId="04920658" w14:textId="77777777" w:rsidR="003956F7" w:rsidRPr="004C0299" w:rsidRDefault="003956F7" w:rsidP="003956F7">
      <w:pPr>
        <w:pStyle w:val="NoSpacing"/>
        <w:rPr>
          <w:rFonts w:ascii="Times New Roman" w:hAnsi="Times New Roman"/>
          <w:sz w:val="24"/>
          <w:szCs w:val="24"/>
        </w:rPr>
      </w:pPr>
      <w:r>
        <w:rPr>
          <w:rFonts w:ascii="Times New Roman" w:hAnsi="Times New Roman"/>
          <w:sz w:val="24"/>
          <w:szCs w:val="24"/>
          <w:shd w:val="clear" w:color="auto" w:fill="FFFFFF"/>
        </w:rPr>
        <w:t>THE COURT HELD:</w:t>
      </w:r>
    </w:p>
    <w:p w14:paraId="7604A790" w14:textId="77777777" w:rsidR="006C4AD8" w:rsidRDefault="006C4AD8" w:rsidP="006C4AD8">
      <w:pPr>
        <w:pStyle w:val="NoSpacing"/>
        <w:ind w:left="720"/>
        <w:rPr>
          <w:rFonts w:ascii="Times New Roman" w:hAnsi="Times New Roman"/>
          <w:sz w:val="24"/>
          <w:szCs w:val="24"/>
          <w:shd w:val="clear" w:color="auto" w:fill="FFFFFF"/>
        </w:rPr>
      </w:pPr>
      <w:r>
        <w:rPr>
          <w:rFonts w:ascii="Times New Roman" w:hAnsi="Times New Roman"/>
          <w:sz w:val="24"/>
          <w:szCs w:val="24"/>
          <w:shd w:val="clear" w:color="auto" w:fill="FFFFFF"/>
        </w:rPr>
        <w:t>“</w:t>
      </w:r>
      <w:r w:rsidRPr="00B55288">
        <w:rPr>
          <w:rFonts w:ascii="Times New Roman" w:hAnsi="Times New Roman"/>
          <w:sz w:val="24"/>
          <w:szCs w:val="24"/>
          <w:shd w:val="clear" w:color="auto" w:fill="FFFFFF"/>
        </w:rPr>
        <w:t xml:space="preserve">The IARC </w:t>
      </w:r>
      <w:r w:rsidRPr="00B81F19">
        <w:rPr>
          <w:rFonts w:ascii="Times New Roman" w:hAnsi="Times New Roman"/>
          <w:sz w:val="24"/>
          <w:szCs w:val="24"/>
          <w:shd w:val="clear" w:color="auto" w:fill="FFFFFF"/>
        </w:rPr>
        <w:t>[</w:t>
      </w:r>
      <w:r w:rsidRPr="00B81F19">
        <w:rPr>
          <w:rFonts w:ascii="Times New Roman" w:hAnsi="Times New Roman"/>
          <w:sz w:val="24"/>
          <w:szCs w:val="24"/>
        </w:rPr>
        <w:t>International Agency for Research on Cancer</w:t>
      </w:r>
      <w:r>
        <w:t xml:space="preserve">] </w:t>
      </w:r>
      <w:r w:rsidRPr="00B55288">
        <w:rPr>
          <w:rFonts w:ascii="Times New Roman" w:hAnsi="Times New Roman"/>
          <w:sz w:val="24"/>
          <w:szCs w:val="24"/>
          <w:shd w:val="clear" w:color="auto" w:fill="FFFFFF"/>
        </w:rPr>
        <w:t>is the cancer research agency of the World Health Organization.</w:t>
      </w:r>
      <w:r>
        <w:rPr>
          <w:rFonts w:ascii="Times New Roman" w:hAnsi="Times New Roman"/>
          <w:sz w:val="24"/>
          <w:szCs w:val="24"/>
          <w:shd w:val="clear" w:color="auto" w:fill="FFFFFF"/>
        </w:rPr>
        <w:t xml:space="preserve"> </w:t>
      </w:r>
      <w:r w:rsidRPr="00B55288">
        <w:rPr>
          <w:rFonts w:ascii="Times New Roman" w:hAnsi="Times New Roman"/>
          <w:sz w:val="24"/>
          <w:szCs w:val="24"/>
          <w:shd w:val="clear" w:color="auto" w:fill="FFFFFF"/>
        </w:rPr>
        <w:t>The IARC conducts critical reviews and evaluations on the carcinogenicity of a wide</w:t>
      </w:r>
      <w:r>
        <w:rPr>
          <w:rFonts w:ascii="Times New Roman" w:hAnsi="Times New Roman"/>
          <w:sz w:val="24"/>
          <w:szCs w:val="24"/>
          <w:shd w:val="clear" w:color="auto" w:fill="FFFFFF"/>
        </w:rPr>
        <w:t xml:space="preserve"> </w:t>
      </w:r>
      <w:r w:rsidRPr="00B55288">
        <w:rPr>
          <w:rFonts w:ascii="Times New Roman" w:hAnsi="Times New Roman"/>
          <w:sz w:val="24"/>
          <w:szCs w:val="24"/>
          <w:shd w:val="clear" w:color="auto" w:fill="FFFFFF"/>
        </w:rPr>
        <w:t>range of human exposures. These are done by a working group of experts in the</w:t>
      </w:r>
      <w:r>
        <w:rPr>
          <w:rFonts w:ascii="Times New Roman" w:hAnsi="Times New Roman"/>
          <w:sz w:val="24"/>
          <w:szCs w:val="24"/>
          <w:shd w:val="clear" w:color="auto" w:fill="FFFFFF"/>
        </w:rPr>
        <w:t xml:space="preserve"> </w:t>
      </w:r>
      <w:r w:rsidRPr="00B55288">
        <w:rPr>
          <w:rFonts w:ascii="Times New Roman" w:hAnsi="Times New Roman"/>
          <w:sz w:val="24"/>
          <w:szCs w:val="24"/>
          <w:shd w:val="clear" w:color="auto" w:fill="FFFFFF"/>
        </w:rPr>
        <w:t>subject field and the IARC publishes the results of this working group’s evaluations</w:t>
      </w:r>
      <w:r>
        <w:rPr>
          <w:rFonts w:ascii="Times New Roman" w:hAnsi="Times New Roman"/>
          <w:sz w:val="24"/>
          <w:szCs w:val="24"/>
          <w:shd w:val="clear" w:color="auto" w:fill="FFFFFF"/>
        </w:rPr>
        <w:t xml:space="preserve"> </w:t>
      </w:r>
      <w:r w:rsidRPr="00B55288">
        <w:rPr>
          <w:rFonts w:ascii="Times New Roman" w:hAnsi="Times New Roman"/>
          <w:sz w:val="24"/>
          <w:szCs w:val="24"/>
          <w:shd w:val="clear" w:color="auto" w:fill="FFFFFF"/>
        </w:rPr>
        <w:t>in monographs.</w:t>
      </w:r>
    </w:p>
    <w:p w14:paraId="2B9D48CF" w14:textId="77777777" w:rsidR="006C4AD8" w:rsidRDefault="006C4AD8" w:rsidP="006C4AD8">
      <w:pPr>
        <w:pStyle w:val="NoSpacing"/>
        <w:ind w:left="720"/>
        <w:rPr>
          <w:rFonts w:ascii="Times New Roman" w:hAnsi="Times New Roman"/>
          <w:sz w:val="24"/>
          <w:szCs w:val="24"/>
          <w:shd w:val="clear" w:color="auto" w:fill="FFFFFF"/>
        </w:rPr>
      </w:pPr>
    </w:p>
    <w:p w14:paraId="4BFEECAA" w14:textId="77777777" w:rsidR="006C4AD8" w:rsidRDefault="006C4AD8" w:rsidP="006C4AD8">
      <w:pPr>
        <w:pStyle w:val="NoSpacing"/>
        <w:ind w:left="720"/>
        <w:rPr>
          <w:rFonts w:ascii="Times New Roman" w:hAnsi="Times New Roman"/>
          <w:sz w:val="24"/>
          <w:szCs w:val="24"/>
          <w:shd w:val="clear" w:color="auto" w:fill="FFFFFF"/>
        </w:rPr>
      </w:pPr>
      <w:r>
        <w:rPr>
          <w:rFonts w:ascii="Times New Roman" w:hAnsi="Times New Roman"/>
          <w:sz w:val="24"/>
          <w:szCs w:val="24"/>
          <w:shd w:val="clear" w:color="auto" w:fill="FFFFFF"/>
        </w:rPr>
        <w:t>***</w:t>
      </w:r>
    </w:p>
    <w:p w14:paraId="0DCA09D5" w14:textId="77777777" w:rsidR="006C4AD8" w:rsidRDefault="006C4AD8" w:rsidP="006C4AD8">
      <w:pPr>
        <w:pStyle w:val="NoSpacing"/>
        <w:ind w:left="720"/>
        <w:rPr>
          <w:rFonts w:ascii="Times New Roman" w:hAnsi="Times New Roman"/>
          <w:sz w:val="24"/>
          <w:szCs w:val="24"/>
          <w:shd w:val="clear" w:color="auto" w:fill="FFFFFF"/>
        </w:rPr>
      </w:pPr>
    </w:p>
    <w:p w14:paraId="1AE7DC37" w14:textId="77777777" w:rsidR="006C4AD8" w:rsidRDefault="006C4AD8" w:rsidP="006C4AD8">
      <w:pPr>
        <w:pStyle w:val="NoSpacing"/>
        <w:ind w:left="720"/>
        <w:rPr>
          <w:rFonts w:ascii="Times New Roman" w:hAnsi="Times New Roman"/>
          <w:sz w:val="24"/>
          <w:szCs w:val="24"/>
          <w:shd w:val="clear" w:color="auto" w:fill="FFFFFF"/>
        </w:rPr>
      </w:pPr>
      <w:r>
        <w:rPr>
          <w:rFonts w:ascii="Times New Roman" w:hAnsi="Times New Roman"/>
          <w:sz w:val="24"/>
          <w:szCs w:val="24"/>
          <w:shd w:val="clear" w:color="auto" w:fill="FFFFFF"/>
        </w:rPr>
        <w:t>A</w:t>
      </w:r>
      <w:r w:rsidRPr="003E7505">
        <w:rPr>
          <w:rFonts w:ascii="Times New Roman" w:hAnsi="Times New Roman"/>
          <w:sz w:val="24"/>
          <w:szCs w:val="24"/>
          <w:shd w:val="clear" w:color="auto" w:fill="FFFFFF"/>
        </w:rPr>
        <w:t xml:space="preserve">ppellees </w:t>
      </w:r>
      <w:r>
        <w:rPr>
          <w:rFonts w:ascii="Times New Roman" w:hAnsi="Times New Roman"/>
          <w:sz w:val="24"/>
          <w:szCs w:val="24"/>
          <w:shd w:val="clear" w:color="auto" w:fill="FFFFFF"/>
        </w:rPr>
        <w:t xml:space="preserve">[widow and family] </w:t>
      </w:r>
      <w:r w:rsidRPr="003E7505">
        <w:rPr>
          <w:rFonts w:ascii="Times New Roman" w:hAnsi="Times New Roman"/>
          <w:sz w:val="24"/>
          <w:szCs w:val="24"/>
          <w:shd w:val="clear" w:color="auto" w:fill="FFFFFF"/>
        </w:rPr>
        <w:t>did not proffer any</w:t>
      </w:r>
      <w:r>
        <w:rPr>
          <w:rFonts w:ascii="Times New Roman" w:hAnsi="Times New Roman"/>
          <w:sz w:val="24"/>
          <w:szCs w:val="24"/>
          <w:shd w:val="clear" w:color="auto" w:fill="FFFFFF"/>
        </w:rPr>
        <w:t xml:space="preserve"> </w:t>
      </w:r>
      <w:r w:rsidRPr="003E7505">
        <w:rPr>
          <w:rFonts w:ascii="Times New Roman" w:hAnsi="Times New Roman"/>
          <w:sz w:val="24"/>
          <w:szCs w:val="24"/>
          <w:shd w:val="clear" w:color="auto" w:fill="FFFFFF"/>
        </w:rPr>
        <w:t>expert testimony or opinions, or other evidence for that matter, to explain and</w:t>
      </w:r>
      <w:r>
        <w:rPr>
          <w:rFonts w:ascii="Times New Roman" w:hAnsi="Times New Roman"/>
          <w:sz w:val="24"/>
          <w:szCs w:val="24"/>
          <w:shd w:val="clear" w:color="auto" w:fill="FFFFFF"/>
        </w:rPr>
        <w:t xml:space="preserve"> </w:t>
      </w:r>
      <w:r w:rsidRPr="003E7505">
        <w:rPr>
          <w:rFonts w:ascii="Times New Roman" w:hAnsi="Times New Roman"/>
          <w:sz w:val="24"/>
          <w:szCs w:val="24"/>
          <w:shd w:val="clear" w:color="auto" w:fill="FFFFFF"/>
        </w:rPr>
        <w:t>support their nuanced argument that individual studies within the Monograph</w:t>
      </w:r>
      <w:r>
        <w:rPr>
          <w:rFonts w:ascii="Times New Roman" w:hAnsi="Times New Roman"/>
          <w:sz w:val="24"/>
          <w:szCs w:val="24"/>
          <w:shd w:val="clear" w:color="auto" w:fill="FFFFFF"/>
        </w:rPr>
        <w:t xml:space="preserve"> </w:t>
      </w:r>
      <w:r w:rsidRPr="003E7505">
        <w:rPr>
          <w:rFonts w:ascii="Times New Roman" w:hAnsi="Times New Roman"/>
          <w:sz w:val="24"/>
          <w:szCs w:val="24"/>
          <w:shd w:val="clear" w:color="auto" w:fill="FFFFFF"/>
        </w:rPr>
        <w:t xml:space="preserve">indicate that the IARC has </w:t>
      </w:r>
      <w:r>
        <w:rPr>
          <w:rFonts w:ascii="Times New Roman" w:hAnsi="Times New Roman"/>
          <w:sz w:val="24"/>
          <w:szCs w:val="24"/>
          <w:shd w:val="clear" w:color="auto" w:fill="FFFFFF"/>
        </w:rPr>
        <w:t>‘</w:t>
      </w:r>
      <w:r w:rsidRPr="003E7505">
        <w:rPr>
          <w:rFonts w:ascii="Times New Roman" w:hAnsi="Times New Roman"/>
          <w:sz w:val="24"/>
          <w:szCs w:val="24"/>
          <w:shd w:val="clear" w:color="auto" w:fill="FFFFFF"/>
        </w:rPr>
        <w:t>determined</w:t>
      </w:r>
      <w:r>
        <w:rPr>
          <w:rFonts w:ascii="Times New Roman" w:hAnsi="Times New Roman"/>
          <w:sz w:val="24"/>
          <w:szCs w:val="24"/>
          <w:shd w:val="clear" w:color="auto" w:fill="FFFFFF"/>
        </w:rPr>
        <w:t>’</w:t>
      </w:r>
      <w:r w:rsidRPr="003E7505">
        <w:rPr>
          <w:rFonts w:ascii="Times New Roman" w:hAnsi="Times New Roman"/>
          <w:sz w:val="24"/>
          <w:szCs w:val="24"/>
          <w:shd w:val="clear" w:color="auto" w:fill="FFFFFF"/>
        </w:rPr>
        <w:t xml:space="preserve"> pancreatic cancer to be a type of cancer that</w:t>
      </w:r>
      <w:r>
        <w:rPr>
          <w:rFonts w:ascii="Times New Roman" w:hAnsi="Times New Roman"/>
          <w:sz w:val="24"/>
          <w:szCs w:val="24"/>
          <w:shd w:val="clear" w:color="auto" w:fill="FFFFFF"/>
        </w:rPr>
        <w:t xml:space="preserve"> i</w:t>
      </w:r>
      <w:r w:rsidRPr="00296A1A">
        <w:rPr>
          <w:rFonts w:ascii="Times New Roman" w:hAnsi="Times New Roman"/>
          <w:sz w:val="24"/>
          <w:szCs w:val="24"/>
          <w:shd w:val="clear" w:color="auto" w:fill="FFFFFF"/>
        </w:rPr>
        <w:t>s covered by the statute.</w:t>
      </w:r>
      <w:r>
        <w:rPr>
          <w:rFonts w:ascii="Times New Roman" w:hAnsi="Times New Roman"/>
          <w:sz w:val="24"/>
          <w:szCs w:val="24"/>
          <w:shd w:val="clear" w:color="auto" w:fill="FFFFFF"/>
        </w:rPr>
        <w:t xml:space="preserve"> </w:t>
      </w:r>
      <w:r w:rsidRPr="005A181E">
        <w:rPr>
          <w:rFonts w:ascii="Times New Roman" w:hAnsi="Times New Roman"/>
          <w:sz w:val="24"/>
          <w:szCs w:val="24"/>
          <w:shd w:val="clear" w:color="auto" w:fill="FFFFFF"/>
        </w:rPr>
        <w:t xml:space="preserve">On the other hand, the </w:t>
      </w:r>
      <w:proofErr w:type="gramStart"/>
      <w:r w:rsidRPr="005A181E">
        <w:rPr>
          <w:rFonts w:ascii="Times New Roman" w:hAnsi="Times New Roman"/>
          <w:sz w:val="24"/>
          <w:szCs w:val="24"/>
          <w:shd w:val="clear" w:color="auto" w:fill="FFFFFF"/>
        </w:rPr>
        <w:t>City</w:t>
      </w:r>
      <w:proofErr w:type="gramEnd"/>
      <w:r w:rsidRPr="005A181E">
        <w:rPr>
          <w:rFonts w:ascii="Times New Roman" w:hAnsi="Times New Roman"/>
          <w:sz w:val="24"/>
          <w:szCs w:val="24"/>
          <w:shd w:val="clear" w:color="auto" w:fill="FFFFFF"/>
        </w:rPr>
        <w:t xml:space="preserve"> presented the affidavits of two qualified experts,</w:t>
      </w:r>
      <w:r>
        <w:rPr>
          <w:rFonts w:ascii="Times New Roman" w:hAnsi="Times New Roman"/>
          <w:sz w:val="24"/>
          <w:szCs w:val="24"/>
          <w:shd w:val="clear" w:color="auto" w:fill="FFFFFF"/>
        </w:rPr>
        <w:t xml:space="preserve"> </w:t>
      </w:r>
      <w:r w:rsidRPr="005A181E">
        <w:rPr>
          <w:rFonts w:ascii="Times New Roman" w:hAnsi="Times New Roman"/>
          <w:sz w:val="24"/>
          <w:szCs w:val="24"/>
          <w:shd w:val="clear" w:color="auto" w:fill="FFFFFF"/>
        </w:rPr>
        <w:t>each of whom opined that the IARC has not determined that pancreatic cancer is a</w:t>
      </w:r>
      <w:r>
        <w:rPr>
          <w:rFonts w:ascii="Times New Roman" w:hAnsi="Times New Roman"/>
          <w:sz w:val="24"/>
          <w:szCs w:val="24"/>
          <w:shd w:val="clear" w:color="auto" w:fill="FFFFFF"/>
        </w:rPr>
        <w:t xml:space="preserve"> </w:t>
      </w:r>
      <w:r w:rsidRPr="005A181E">
        <w:rPr>
          <w:rFonts w:ascii="Times New Roman" w:hAnsi="Times New Roman"/>
          <w:sz w:val="24"/>
          <w:szCs w:val="24"/>
          <w:shd w:val="clear" w:color="auto" w:fill="FFFFFF"/>
        </w:rPr>
        <w:t>type of cancer that is covered by the statut</w:t>
      </w:r>
      <w:r>
        <w:rPr>
          <w:rFonts w:ascii="Times New Roman" w:hAnsi="Times New Roman"/>
          <w:sz w:val="24"/>
          <w:szCs w:val="24"/>
          <w:shd w:val="clear" w:color="auto" w:fill="FFFFFF"/>
        </w:rPr>
        <w:t>e.”</w:t>
      </w:r>
    </w:p>
    <w:p w14:paraId="4BF7E76C" w14:textId="77777777" w:rsidR="006C4AD8" w:rsidRDefault="006C4AD8" w:rsidP="006C4AD8">
      <w:pPr>
        <w:pStyle w:val="NoSpacing"/>
        <w:ind w:left="720"/>
        <w:rPr>
          <w:rFonts w:ascii="Times New Roman" w:hAnsi="Times New Roman"/>
          <w:sz w:val="24"/>
          <w:szCs w:val="24"/>
          <w:shd w:val="clear" w:color="auto" w:fill="FFFFFF"/>
        </w:rPr>
      </w:pPr>
    </w:p>
    <w:p w14:paraId="00B926BA" w14:textId="77777777" w:rsidR="006C4AD8" w:rsidRPr="00E362EA" w:rsidRDefault="006C4AD8" w:rsidP="006C4AD8">
      <w:pPr>
        <w:pStyle w:val="NoSpacing"/>
        <w:rPr>
          <w:rFonts w:ascii="Times New Roman" w:hAnsi="Times New Roman"/>
          <w:b/>
          <w:bCs/>
          <w:sz w:val="24"/>
          <w:szCs w:val="24"/>
          <w:shd w:val="clear" w:color="auto" w:fill="FFFFFF"/>
        </w:rPr>
      </w:pPr>
      <w:r w:rsidRPr="00E362EA">
        <w:rPr>
          <w:rFonts w:ascii="Times New Roman" w:hAnsi="Times New Roman"/>
          <w:b/>
          <w:bCs/>
          <w:sz w:val="24"/>
          <w:szCs w:val="24"/>
          <w:shd w:val="clear" w:color="auto" w:fill="FFFFFF"/>
        </w:rPr>
        <w:t>Legal Lesson Learned:</w:t>
      </w:r>
      <w:r>
        <w:rPr>
          <w:rFonts w:ascii="Times New Roman" w:hAnsi="Times New Roman"/>
          <w:b/>
          <w:bCs/>
          <w:sz w:val="24"/>
          <w:szCs w:val="24"/>
          <w:shd w:val="clear" w:color="auto" w:fill="FFFFFF"/>
        </w:rPr>
        <w:t xml:space="preserve"> Under the firefighter statutory presumption law must show that IARC has classified the cancer as likely caused by the job. </w:t>
      </w:r>
    </w:p>
    <w:p w14:paraId="5A0F5B46" w14:textId="77777777" w:rsidR="006C4AD8" w:rsidRDefault="006C4AD8" w:rsidP="006C4AD8">
      <w:pPr>
        <w:pStyle w:val="NoSpacing"/>
        <w:rPr>
          <w:rFonts w:ascii="Times New Roman" w:hAnsi="Times New Roman"/>
          <w:sz w:val="24"/>
          <w:szCs w:val="24"/>
          <w:shd w:val="clear" w:color="auto" w:fill="FFFFFF"/>
        </w:rPr>
      </w:pPr>
    </w:p>
    <w:p w14:paraId="1A2D84FE" w14:textId="77777777" w:rsidR="006C4AD8" w:rsidRDefault="006C4AD8" w:rsidP="006C4AD8">
      <w:pPr>
        <w:pStyle w:val="NoSpacing"/>
        <w:rPr>
          <w:rFonts w:ascii="Times New Roman" w:hAnsi="Times New Roman"/>
          <w:sz w:val="24"/>
          <w:szCs w:val="24"/>
          <w:shd w:val="clear" w:color="auto" w:fill="FFFFFF"/>
        </w:rPr>
      </w:pPr>
    </w:p>
    <w:p w14:paraId="5F53CD2D" w14:textId="77777777" w:rsidR="006C4AD8" w:rsidRDefault="006C4AD8" w:rsidP="006C4AD8">
      <w:pPr>
        <w:pStyle w:val="NoSpacing"/>
        <w:rPr>
          <w:rFonts w:ascii="Times New Roman" w:hAnsi="Times New Roman"/>
          <w:sz w:val="24"/>
          <w:szCs w:val="24"/>
        </w:rPr>
      </w:pPr>
    </w:p>
    <w:p w14:paraId="2CF32D70" w14:textId="77777777" w:rsidR="006C4AD8" w:rsidRDefault="006C4AD8" w:rsidP="006C4AD8">
      <w:pPr>
        <w:pStyle w:val="NoSpacing"/>
        <w:rPr>
          <w:rFonts w:ascii="Times New Roman" w:hAnsi="Times New Roman"/>
          <w:sz w:val="24"/>
          <w:szCs w:val="24"/>
        </w:rPr>
      </w:pPr>
    </w:p>
    <w:p w14:paraId="1ED1FA8F" w14:textId="0B56C466" w:rsidR="0060031B" w:rsidRPr="0060031B" w:rsidRDefault="0060031B" w:rsidP="006C4AD8">
      <w:pPr>
        <w:pStyle w:val="NormalWeb"/>
        <w:spacing w:before="0" w:beforeAutospacing="0"/>
        <w:rPr>
          <w:rFonts w:ascii="Arial Black" w:hAnsi="Arial Black"/>
          <w:b/>
          <w:bCs/>
        </w:rPr>
      </w:pPr>
      <w:r w:rsidRPr="0060031B">
        <w:rPr>
          <w:rFonts w:ascii="Arial Black" w:hAnsi="Arial Black"/>
          <w:b/>
          <w:bCs/>
        </w:rPr>
        <w:t>6-1</w:t>
      </w:r>
      <w:r w:rsidR="00D11FBB">
        <w:rPr>
          <w:rFonts w:ascii="Arial Black" w:hAnsi="Arial Black"/>
          <w:b/>
          <w:bCs/>
        </w:rPr>
        <w:t>2</w:t>
      </w:r>
      <w:r w:rsidR="002A0697">
        <w:rPr>
          <w:rFonts w:ascii="Arial Black" w:hAnsi="Arial Black"/>
          <w:b/>
          <w:bCs/>
        </w:rPr>
        <w:t>8</w:t>
      </w:r>
    </w:p>
    <w:p w14:paraId="3CDF6C58" w14:textId="1D77FA81" w:rsidR="006C4AD8" w:rsidRDefault="006C4AD8" w:rsidP="006C4AD8">
      <w:pPr>
        <w:pStyle w:val="NormalWeb"/>
        <w:spacing w:before="0" w:beforeAutospacing="0"/>
        <w:rPr>
          <w:rFonts w:ascii="Arial Black" w:hAnsi="Arial Black"/>
          <w:sz w:val="28"/>
          <w:szCs w:val="28"/>
        </w:rPr>
      </w:pPr>
      <w:r>
        <w:rPr>
          <w:rFonts w:ascii="Arial Black" w:hAnsi="Arial Black"/>
          <w:sz w:val="28"/>
          <w:szCs w:val="28"/>
        </w:rPr>
        <w:t>WI: PART-TIME CAPTAIN LOST TITLE – ALL OFFICERS MUST APPROVED COMMISSION - DUE PROCESS CASE PROCEED</w:t>
      </w:r>
    </w:p>
    <w:p w14:paraId="624C2DFB" w14:textId="77777777" w:rsidR="006C4AD8" w:rsidRDefault="006C4AD8" w:rsidP="006C4AD8">
      <w:pPr>
        <w:pStyle w:val="NormalWeb"/>
        <w:spacing w:before="0" w:beforeAutospacing="0"/>
      </w:pPr>
      <w:r>
        <w:t xml:space="preserve">On March 20, 2024, in </w:t>
      </w:r>
      <w:r w:rsidRPr="008A4F1E">
        <w:rPr>
          <w:u w:val="single"/>
        </w:rPr>
        <w:t>Richard Haffner v. Joshua Bell, The City of New Richmond, et al.</w:t>
      </w:r>
      <w:r>
        <w:t xml:space="preserve">, United States District Court Judge James D. Peterson, U.S. District Court for Western District of Wisconsin, held that Fire Chief Joshua Bell is dismissed since he enjoys qualified immunity, the part-time Captain was denied due process in loss of his rank. </w:t>
      </w:r>
    </w:p>
    <w:p w14:paraId="468119D8" w14:textId="77777777" w:rsidR="003956F7" w:rsidRPr="004C0299" w:rsidRDefault="003956F7" w:rsidP="003956F7">
      <w:pPr>
        <w:pStyle w:val="NoSpacing"/>
        <w:rPr>
          <w:rFonts w:ascii="Times New Roman" w:hAnsi="Times New Roman"/>
          <w:sz w:val="24"/>
          <w:szCs w:val="24"/>
        </w:rPr>
      </w:pPr>
      <w:r>
        <w:rPr>
          <w:rFonts w:ascii="Times New Roman" w:hAnsi="Times New Roman"/>
          <w:sz w:val="24"/>
          <w:szCs w:val="24"/>
          <w:shd w:val="clear" w:color="auto" w:fill="FFFFFF"/>
        </w:rPr>
        <w:t>THE COURT HELD:</w:t>
      </w:r>
    </w:p>
    <w:p w14:paraId="46E1D770" w14:textId="77777777" w:rsidR="003956F7" w:rsidRDefault="003956F7" w:rsidP="006C4AD8">
      <w:pPr>
        <w:pStyle w:val="NormalWeb"/>
        <w:spacing w:before="0" w:beforeAutospacing="0"/>
        <w:ind w:left="720"/>
      </w:pPr>
    </w:p>
    <w:p w14:paraId="1F8CD100" w14:textId="7A165C5A" w:rsidR="006C4AD8" w:rsidRDefault="006C4AD8" w:rsidP="006C4AD8">
      <w:pPr>
        <w:pStyle w:val="NormalWeb"/>
        <w:spacing w:before="0" w:beforeAutospacing="0"/>
        <w:ind w:left="720"/>
      </w:pPr>
      <w:r>
        <w:t xml:space="preserve">“For years, the City of New Richmond elected the subordinate officers in its fire department without the formal approval of the city's Police and Fire Commission. This process did not conform to state law. In 2021, the city brought its promotion practices into compliance, and it authorized its fire chief, defendant Joshua Bell, to start fresh with a new slate of officers. Plaintiff Richard Haffner is a part-time firefighter with the department. At the time of the change in promotion practice, he was a captain and the health and safety officer. But he was not among those whom Bell chose as new officers. Haffner contends that defendants demoted him from his officer positions without providing </w:t>
      </w:r>
      <w:proofErr w:type="gramStart"/>
      <w:r>
        <w:t>him</w:t>
      </w:r>
      <w:proofErr w:type="gramEnd"/>
      <w:r>
        <w:t xml:space="preserve"> the procedural protection he was due under state law, violating his right to due process under the Fourteenth Amendment.</w:t>
      </w:r>
    </w:p>
    <w:p w14:paraId="783AA62B" w14:textId="77777777" w:rsidR="006C4AD8" w:rsidRPr="004628C1" w:rsidRDefault="006C4AD8" w:rsidP="006C4AD8">
      <w:pPr>
        <w:pStyle w:val="NormalWeb"/>
        <w:spacing w:before="0" w:beforeAutospacing="0"/>
        <w:ind w:left="720"/>
        <w:rPr>
          <w:rFonts w:ascii="Arial Black" w:hAnsi="Arial Black"/>
          <w:sz w:val="28"/>
          <w:szCs w:val="28"/>
        </w:rPr>
      </w:pPr>
      <w:r>
        <w:t>***</w:t>
      </w:r>
    </w:p>
    <w:p w14:paraId="7D05B029" w14:textId="77777777" w:rsidR="006C4AD8" w:rsidRDefault="006C4AD8" w:rsidP="006C4AD8">
      <w:pPr>
        <w:ind w:left="720"/>
        <w:rPr>
          <w:rFonts w:ascii="Times New Roman" w:hAnsi="Times New Roman"/>
          <w:sz w:val="24"/>
          <w:szCs w:val="24"/>
        </w:rPr>
      </w:pPr>
      <w:r w:rsidRPr="004628C1">
        <w:rPr>
          <w:rFonts w:ascii="Times New Roman" w:hAnsi="Times New Roman"/>
          <w:sz w:val="24"/>
          <w:szCs w:val="24"/>
        </w:rPr>
        <w:t xml:space="preserve">Under </w:t>
      </w:r>
      <w:proofErr w:type="gramStart"/>
      <w:r w:rsidRPr="004628C1">
        <w:rPr>
          <w:rStyle w:val="Emphasis"/>
          <w:rFonts w:ascii="Times New Roman" w:hAnsi="Times New Roman"/>
          <w:sz w:val="24"/>
          <w:szCs w:val="24"/>
        </w:rPr>
        <w:t>Loudermill</w:t>
      </w:r>
      <w:r w:rsidRPr="004628C1">
        <w:rPr>
          <w:rFonts w:ascii="Times New Roman" w:hAnsi="Times New Roman"/>
          <w:sz w:val="24"/>
          <w:szCs w:val="24"/>
        </w:rPr>
        <w:t xml:space="preserve">, </w:t>
      </w:r>
      <w:r>
        <w:rPr>
          <w:rFonts w:ascii="Times New Roman" w:hAnsi="Times New Roman"/>
          <w:sz w:val="24"/>
          <w:szCs w:val="24"/>
        </w:rPr>
        <w:t>‘</w:t>
      </w:r>
      <w:proofErr w:type="gramEnd"/>
      <w:r w:rsidRPr="004628C1">
        <w:rPr>
          <w:rFonts w:ascii="Times New Roman" w:hAnsi="Times New Roman"/>
          <w:sz w:val="24"/>
          <w:szCs w:val="24"/>
        </w:rPr>
        <w:t xml:space="preserve">some kind of </w:t>
      </w:r>
      <w:proofErr w:type="gramStart"/>
      <w:r w:rsidRPr="004628C1">
        <w:rPr>
          <w:rFonts w:ascii="Times New Roman" w:hAnsi="Times New Roman"/>
          <w:sz w:val="24"/>
          <w:szCs w:val="24"/>
        </w:rPr>
        <w:t>a hearing</w:t>
      </w:r>
      <w:r>
        <w:rPr>
          <w:rFonts w:ascii="Times New Roman" w:hAnsi="Times New Roman"/>
          <w:sz w:val="24"/>
          <w:szCs w:val="24"/>
        </w:rPr>
        <w:t>’</w:t>
      </w:r>
      <w:proofErr w:type="gramEnd"/>
      <w:r w:rsidRPr="004628C1">
        <w:rPr>
          <w:rFonts w:ascii="Times New Roman" w:hAnsi="Times New Roman"/>
          <w:sz w:val="24"/>
          <w:szCs w:val="24"/>
        </w:rPr>
        <w:t xml:space="preserve"> is required before discharging an employee with a property interest. 470 U.S. at 542. The court need not define the minimum procedural requirement here other than to say that it is more than the nothing that Haffner got.</w:t>
      </w:r>
    </w:p>
    <w:p w14:paraId="5E440E80" w14:textId="77777777" w:rsidR="006C4AD8" w:rsidRDefault="006C4AD8" w:rsidP="006C4AD8">
      <w:pPr>
        <w:ind w:left="720"/>
        <w:rPr>
          <w:rFonts w:ascii="Times New Roman" w:hAnsi="Times New Roman"/>
          <w:sz w:val="24"/>
          <w:szCs w:val="24"/>
        </w:rPr>
      </w:pPr>
      <w:r>
        <w:rPr>
          <w:rFonts w:ascii="Times New Roman" w:hAnsi="Times New Roman"/>
          <w:sz w:val="24"/>
          <w:szCs w:val="24"/>
        </w:rPr>
        <w:t>***</w:t>
      </w:r>
    </w:p>
    <w:p w14:paraId="73ED3D35" w14:textId="77777777" w:rsidR="006C4AD8" w:rsidRPr="00F803ED" w:rsidRDefault="006C4AD8" w:rsidP="006C4AD8">
      <w:pPr>
        <w:ind w:left="720"/>
        <w:rPr>
          <w:rFonts w:ascii="Times New Roman" w:hAnsi="Times New Roman"/>
          <w:sz w:val="24"/>
          <w:szCs w:val="24"/>
        </w:rPr>
      </w:pPr>
      <w:r>
        <w:t> </w:t>
      </w:r>
      <w:r w:rsidRPr="006B660C">
        <w:rPr>
          <w:rFonts w:ascii="Times New Roman" w:hAnsi="Times New Roman"/>
          <w:sz w:val="24"/>
          <w:szCs w:val="24"/>
        </w:rPr>
        <w:t>Defendants' argument is based on a statutory interpretation. In essence, defendants contend that the statutory protections in § 62.13(5)(</w:t>
      </w:r>
      <w:proofErr w:type="spellStart"/>
      <w:r w:rsidRPr="006B660C">
        <w:rPr>
          <w:rFonts w:ascii="Times New Roman" w:hAnsi="Times New Roman"/>
          <w:sz w:val="24"/>
          <w:szCs w:val="24"/>
        </w:rPr>
        <w:t>em</w:t>
      </w:r>
      <w:proofErr w:type="spellEnd"/>
      <w:r w:rsidRPr="006B660C">
        <w:rPr>
          <w:rFonts w:ascii="Times New Roman" w:hAnsi="Times New Roman"/>
          <w:sz w:val="24"/>
          <w:szCs w:val="24"/>
        </w:rPr>
        <w:t xml:space="preserve">) are available only to officers whose hiring or promotion was approved by the commission, as required by § 62.13(4)(a). Nothing in the text of the statute supports </w:t>
      </w:r>
      <w:proofErr w:type="gramStart"/>
      <w:r w:rsidRPr="006B660C">
        <w:rPr>
          <w:rFonts w:ascii="Times New Roman" w:hAnsi="Times New Roman"/>
          <w:sz w:val="24"/>
          <w:szCs w:val="24"/>
        </w:rPr>
        <w:t>such a</w:t>
      </w:r>
      <w:proofErr w:type="gramEnd"/>
      <w:r w:rsidRPr="006B660C">
        <w:rPr>
          <w:rFonts w:ascii="Times New Roman" w:hAnsi="Times New Roman"/>
          <w:sz w:val="24"/>
          <w:szCs w:val="24"/>
        </w:rPr>
        <w:t xml:space="preserve"> reading. And this interpretation would allow a municipality to avoid affording job protection to its firefighters and law enforcement officers simply by withholding commission approval of their hiring and promotion. This is an absurd result that frustrates the purpose of the statute, so the court must reject the defendants' interpretation.</w:t>
      </w:r>
      <w:r>
        <w:rPr>
          <w:rFonts w:ascii="Times New Roman" w:hAnsi="Times New Roman"/>
          <w:sz w:val="24"/>
          <w:szCs w:val="24"/>
        </w:rPr>
        <w:t xml:space="preserve">” </w:t>
      </w:r>
      <w:hyperlink r:id="rId1109" w:history="1">
        <w:r w:rsidRPr="001C375D">
          <w:rPr>
            <w:rStyle w:val="Hyperlink"/>
            <w:rFonts w:ascii="Times New Roman" w:hAnsi="Times New Roman"/>
            <w:sz w:val="24"/>
            <w:szCs w:val="24"/>
          </w:rPr>
          <w:t>https://public.fastcase.com/H1P9uiW3J20SFp%2BGCG%2BxLTokB0aoklJy6U6lHfy%2FfW4XgHUeDnfzCtV2IraSxfBK?utm_medium=email&amp;_hsmi=226712652&amp;_hsenc=p2ANqtz-_gim38WUKhev0Avzaj483M_b7fed8rsJvlzMdOQbFB_Jpk5Z-</w:t>
        </w:r>
      </w:hyperlink>
      <w:r>
        <w:rPr>
          <w:rFonts w:ascii="Times New Roman" w:hAnsi="Times New Roman"/>
          <w:sz w:val="24"/>
          <w:szCs w:val="24"/>
        </w:rPr>
        <w:t xml:space="preserve"> </w:t>
      </w:r>
    </w:p>
    <w:p w14:paraId="28C92297" w14:textId="77777777" w:rsidR="0060031B" w:rsidRPr="00681787" w:rsidRDefault="0060031B" w:rsidP="0060031B">
      <w:pPr>
        <w:pStyle w:val="NormalWeb"/>
        <w:spacing w:before="0" w:beforeAutospacing="0"/>
        <w:rPr>
          <w:b/>
          <w:bCs/>
        </w:rPr>
      </w:pPr>
      <w:r>
        <w:rPr>
          <w:b/>
          <w:bCs/>
        </w:rPr>
        <w:t>Legal Lesson Learned: Provide due process (such as a hearing before Commission) before removing officer’s title.</w:t>
      </w:r>
    </w:p>
    <w:p w14:paraId="6F882CA7" w14:textId="77777777" w:rsidR="006C4AD8" w:rsidRDefault="006C4AD8" w:rsidP="00EF1133">
      <w:pPr>
        <w:rPr>
          <w:rFonts w:ascii="Arial Black" w:hAnsi="Arial Black"/>
          <w:b/>
          <w:sz w:val="24"/>
          <w:szCs w:val="24"/>
        </w:rPr>
      </w:pPr>
    </w:p>
    <w:p w14:paraId="0E390E3B" w14:textId="373D02EC" w:rsidR="00AD7949" w:rsidRDefault="00AD7949" w:rsidP="00EF1133">
      <w:pPr>
        <w:rPr>
          <w:rFonts w:ascii="Arial Black" w:hAnsi="Arial Black"/>
          <w:b/>
          <w:sz w:val="24"/>
          <w:szCs w:val="24"/>
        </w:rPr>
      </w:pPr>
      <w:r>
        <w:rPr>
          <w:rFonts w:ascii="Arial Black" w:hAnsi="Arial Black"/>
          <w:b/>
          <w:sz w:val="24"/>
          <w:szCs w:val="24"/>
        </w:rPr>
        <w:t>6-12</w:t>
      </w:r>
      <w:r w:rsidR="002A0697">
        <w:rPr>
          <w:rFonts w:ascii="Arial Black" w:hAnsi="Arial Black"/>
          <w:b/>
          <w:sz w:val="24"/>
          <w:szCs w:val="24"/>
        </w:rPr>
        <w:t>7</w:t>
      </w:r>
    </w:p>
    <w:p w14:paraId="037D73FF" w14:textId="77777777" w:rsidR="00C42282" w:rsidRPr="00461960" w:rsidRDefault="00C42282" w:rsidP="00C42282">
      <w:pPr>
        <w:pStyle w:val="NormalWeb"/>
        <w:rPr>
          <w:rFonts w:ascii="Arial Black" w:hAnsi="Arial Black"/>
          <w:b/>
          <w:bCs/>
          <w:sz w:val="28"/>
          <w:szCs w:val="28"/>
        </w:rPr>
      </w:pPr>
      <w:r>
        <w:rPr>
          <w:rFonts w:ascii="Arial Black" w:hAnsi="Arial Black"/>
          <w:b/>
          <w:bCs/>
          <w:sz w:val="28"/>
          <w:szCs w:val="28"/>
        </w:rPr>
        <w:lastRenderedPageBreak/>
        <w:t>NY: FDNY FF – ALLERGIC REACTION TO COVID 2</w:t>
      </w:r>
      <w:r w:rsidRPr="00D16292">
        <w:rPr>
          <w:rFonts w:ascii="Arial Black" w:hAnsi="Arial Black"/>
          <w:b/>
          <w:bCs/>
          <w:sz w:val="28"/>
          <w:szCs w:val="28"/>
          <w:vertAlign w:val="superscript"/>
        </w:rPr>
        <w:t>ND</w:t>
      </w:r>
      <w:r>
        <w:rPr>
          <w:rFonts w:ascii="Arial Black" w:hAnsi="Arial Black"/>
          <w:b/>
          <w:bCs/>
          <w:sz w:val="28"/>
          <w:szCs w:val="28"/>
        </w:rPr>
        <w:t xml:space="preserve"> SHOT – FORCED RETIRE – NOT “ACCIDENTAL” DISAB. RETIREMENT</w:t>
      </w:r>
    </w:p>
    <w:p w14:paraId="7ED7C0D8" w14:textId="77777777" w:rsidR="00C42282" w:rsidRDefault="00C42282" w:rsidP="00C42282">
      <w:pPr>
        <w:pStyle w:val="NormalWeb"/>
      </w:pPr>
      <w:r w:rsidRPr="008E4A59">
        <w:t xml:space="preserve">On Feb. 12, 2024, in </w:t>
      </w:r>
      <w:r w:rsidRPr="00BB0CE6">
        <w:rPr>
          <w:u w:val="single"/>
        </w:rPr>
        <w:t>O'Brian Pastran v. New York City Fire Pension Fund</w:t>
      </w:r>
      <w:r>
        <w:t xml:space="preserve">, Judge Arlene P. Bluth, Supreme Court, New York County, held that two Medical Boards voted to award the firefighter “ordinary” disability retirement, not accidental (75%) and there in not sufficient medical basis to reverse the Boards decision.  </w:t>
      </w:r>
    </w:p>
    <w:p w14:paraId="360E1C0D" w14:textId="77777777" w:rsidR="00C42282" w:rsidRPr="008E4A59" w:rsidRDefault="00C42282" w:rsidP="00C42282">
      <w:pPr>
        <w:pStyle w:val="NormalWeb"/>
      </w:pPr>
      <w:r>
        <w:t>The Judge held:</w:t>
      </w:r>
    </w:p>
    <w:p w14:paraId="5656E2AE" w14:textId="77777777" w:rsidR="00C42282" w:rsidRDefault="00C42282" w:rsidP="00C42282">
      <w:pPr>
        <w:ind w:left="720"/>
        <w:rPr>
          <w:rFonts w:ascii="Times New Roman" w:hAnsi="Times New Roman"/>
          <w:sz w:val="24"/>
          <w:szCs w:val="24"/>
        </w:rPr>
      </w:pPr>
      <w:r>
        <w:rPr>
          <w:rFonts w:ascii="Times New Roman" w:hAnsi="Times New Roman"/>
          <w:sz w:val="24"/>
          <w:szCs w:val="24"/>
        </w:rPr>
        <w:t>“</w:t>
      </w:r>
      <w:r w:rsidRPr="00461960">
        <w:rPr>
          <w:rFonts w:ascii="Times New Roman" w:hAnsi="Times New Roman"/>
          <w:sz w:val="24"/>
          <w:szCs w:val="24"/>
        </w:rPr>
        <w:t>Although it appears the Board of Trustees seriously considered granting petitioner ADR, petitioner unfortunately did not prevail in the final vote. That this Court may have significant admiration for petitioner's many years of service for the FDNY and compassion for his current physical ailments is not a sufficient basis upon which this Court can substitute its own judgment for that of respondents.</w:t>
      </w:r>
      <w:r>
        <w:rPr>
          <w:rFonts w:ascii="Times New Roman" w:hAnsi="Times New Roman"/>
          <w:sz w:val="24"/>
          <w:szCs w:val="24"/>
        </w:rPr>
        <w:t xml:space="preserve">” </w:t>
      </w:r>
      <w:hyperlink r:id="rId1110" w:history="1">
        <w:r w:rsidRPr="00644350">
          <w:rPr>
            <w:rStyle w:val="Hyperlink"/>
            <w:rFonts w:ascii="Times New Roman" w:hAnsi="Times New Roman"/>
            <w:sz w:val="24"/>
            <w:szCs w:val="24"/>
          </w:rPr>
          <w:t>https://casetext.com/case/pastrana-v-nyc-fire-pension-fund</w:t>
        </w:r>
      </w:hyperlink>
      <w:r>
        <w:rPr>
          <w:rFonts w:ascii="Times New Roman" w:hAnsi="Times New Roman"/>
          <w:sz w:val="24"/>
          <w:szCs w:val="24"/>
        </w:rPr>
        <w:t xml:space="preserve"> </w:t>
      </w:r>
    </w:p>
    <w:p w14:paraId="2C907A06" w14:textId="77777777" w:rsidR="00C42282" w:rsidRDefault="00C42282" w:rsidP="00C42282">
      <w:pPr>
        <w:pStyle w:val="NormalWeb"/>
      </w:pPr>
      <w:r w:rsidRPr="00195947">
        <w:rPr>
          <w:b/>
          <w:bCs/>
        </w:rPr>
        <w:t>Legal Lesson Learned:</w:t>
      </w:r>
      <w:r>
        <w:rPr>
          <w:b/>
          <w:bCs/>
        </w:rPr>
        <w:t xml:space="preserve"> To receive accidental disability retirement (75%), the firefighter must prove he became permanently incapacitated (physically or mentally) as result of an on-the-job accident not due to his willful negligence. </w:t>
      </w:r>
      <w:hyperlink r:id="rId1111" w:history="1">
        <w:r w:rsidRPr="00E8503C">
          <w:rPr>
            <w:rStyle w:val="Hyperlink"/>
          </w:rPr>
          <w:t>https://www.osc.ny.gov/retirement/publications/1512/accidental-disability</w:t>
        </w:r>
      </w:hyperlink>
      <w:r w:rsidRPr="00E8503C">
        <w:t xml:space="preserve"> </w:t>
      </w:r>
    </w:p>
    <w:p w14:paraId="38556BD6" w14:textId="77777777" w:rsidR="00C42282" w:rsidRDefault="00C42282" w:rsidP="00EF1133">
      <w:pPr>
        <w:rPr>
          <w:rFonts w:ascii="Arial Black" w:hAnsi="Arial Black"/>
          <w:b/>
          <w:sz w:val="24"/>
          <w:szCs w:val="24"/>
        </w:rPr>
      </w:pPr>
    </w:p>
    <w:p w14:paraId="63B478E1" w14:textId="77777777" w:rsidR="00AD7949" w:rsidRDefault="00AD7949" w:rsidP="00EF1133">
      <w:pPr>
        <w:rPr>
          <w:rFonts w:ascii="Arial Black" w:hAnsi="Arial Black"/>
          <w:b/>
          <w:sz w:val="24"/>
          <w:szCs w:val="24"/>
        </w:rPr>
      </w:pPr>
    </w:p>
    <w:p w14:paraId="43F9A71C" w14:textId="29BFB144" w:rsidR="00D73F92" w:rsidRDefault="00D73F92" w:rsidP="00EF1133">
      <w:pPr>
        <w:rPr>
          <w:rFonts w:ascii="Arial Black" w:hAnsi="Arial Black"/>
          <w:b/>
          <w:sz w:val="24"/>
          <w:szCs w:val="24"/>
        </w:rPr>
      </w:pPr>
      <w:r>
        <w:rPr>
          <w:rFonts w:ascii="Arial Black" w:hAnsi="Arial Black"/>
          <w:b/>
          <w:sz w:val="24"/>
          <w:szCs w:val="24"/>
        </w:rPr>
        <w:t>6-12</w:t>
      </w:r>
      <w:r w:rsidR="002A0697">
        <w:rPr>
          <w:rFonts w:ascii="Arial Black" w:hAnsi="Arial Black"/>
          <w:b/>
          <w:sz w:val="24"/>
          <w:szCs w:val="24"/>
        </w:rPr>
        <w:t>6</w:t>
      </w:r>
    </w:p>
    <w:p w14:paraId="07C0FC7C" w14:textId="77777777" w:rsidR="00255984" w:rsidRDefault="00255984" w:rsidP="00255984">
      <w:pPr>
        <w:pStyle w:val="NoSpacing"/>
        <w:rPr>
          <w:rFonts w:ascii="Arial Black" w:hAnsi="Arial Black"/>
          <w:sz w:val="28"/>
          <w:szCs w:val="28"/>
        </w:rPr>
      </w:pPr>
      <w:r>
        <w:rPr>
          <w:rFonts w:ascii="Arial Black" w:hAnsi="Arial Black"/>
          <w:sz w:val="28"/>
          <w:szCs w:val="28"/>
        </w:rPr>
        <w:t>VA: FF FRACTURED HIP 2014 – SCREWS – 6 YRS LATER TOTAL HIP – DENIED TEMP. TOTAL / PERM. IMPAIRMENT</w:t>
      </w:r>
    </w:p>
    <w:p w14:paraId="11A2CB62" w14:textId="77777777" w:rsidR="00255984" w:rsidRDefault="00255984" w:rsidP="00255984">
      <w:pPr>
        <w:pStyle w:val="NoSpacing"/>
        <w:rPr>
          <w:rFonts w:ascii="Arial Black" w:hAnsi="Arial Black"/>
          <w:sz w:val="28"/>
          <w:szCs w:val="28"/>
        </w:rPr>
      </w:pPr>
    </w:p>
    <w:p w14:paraId="2D613A21" w14:textId="77777777" w:rsidR="00255984" w:rsidRDefault="00255984" w:rsidP="00255984">
      <w:pPr>
        <w:pStyle w:val="NoSpacing"/>
        <w:rPr>
          <w:rFonts w:ascii="Times New Roman" w:hAnsi="Times New Roman"/>
          <w:sz w:val="24"/>
          <w:szCs w:val="24"/>
        </w:rPr>
      </w:pPr>
      <w:r>
        <w:rPr>
          <w:rFonts w:ascii="Times New Roman" w:hAnsi="Times New Roman"/>
          <w:sz w:val="24"/>
          <w:szCs w:val="24"/>
        </w:rPr>
        <w:t xml:space="preserve">On Jan. 30, 2024, in </w:t>
      </w:r>
      <w:r w:rsidRPr="00A14439">
        <w:rPr>
          <w:rFonts w:ascii="Times New Roman" w:hAnsi="Times New Roman"/>
          <w:sz w:val="24"/>
          <w:szCs w:val="24"/>
          <w:u w:val="single"/>
        </w:rPr>
        <w:t>Joshua Stanton v. Virginia Beach – Fire Operations</w:t>
      </w:r>
      <w:r>
        <w:rPr>
          <w:rFonts w:ascii="Times New Roman" w:hAnsi="Times New Roman"/>
          <w:sz w:val="24"/>
          <w:szCs w:val="24"/>
        </w:rPr>
        <w:t xml:space="preserve">, the Court of Appeals of Virginia, held (3 to 0) that Virginia Worker’s Compensation Commission properly held that the firefighter was not entitled to temporary total and permanent impairment coverage for a “changed condition.”  On Aug. 30, </w:t>
      </w:r>
      <w:proofErr w:type="gramStart"/>
      <w:r>
        <w:rPr>
          <w:rFonts w:ascii="Times New Roman" w:hAnsi="Times New Roman"/>
          <w:sz w:val="24"/>
          <w:szCs w:val="24"/>
        </w:rPr>
        <w:t>2014</w:t>
      </w:r>
      <w:proofErr w:type="gramEnd"/>
      <w:r>
        <w:rPr>
          <w:rFonts w:ascii="Times New Roman" w:hAnsi="Times New Roman"/>
          <w:sz w:val="24"/>
          <w:szCs w:val="24"/>
        </w:rPr>
        <w:t xml:space="preserve"> he fractured his hip on duty (3 screws), and </w:t>
      </w:r>
      <w:proofErr w:type="gramStart"/>
      <w:r>
        <w:rPr>
          <w:rFonts w:ascii="Times New Roman" w:hAnsi="Times New Roman"/>
          <w:sz w:val="24"/>
          <w:szCs w:val="24"/>
        </w:rPr>
        <w:t>returned</w:t>
      </w:r>
      <w:proofErr w:type="gramEnd"/>
      <w:r>
        <w:rPr>
          <w:rFonts w:ascii="Times New Roman" w:hAnsi="Times New Roman"/>
          <w:sz w:val="24"/>
          <w:szCs w:val="24"/>
        </w:rPr>
        <w:t xml:space="preserve"> full duty Sept. 2015.  He then worked full duty for net six </w:t>
      </w:r>
      <w:proofErr w:type="gramStart"/>
      <w:r>
        <w:rPr>
          <w:rFonts w:ascii="Times New Roman" w:hAnsi="Times New Roman"/>
          <w:sz w:val="24"/>
          <w:szCs w:val="24"/>
        </w:rPr>
        <w:t>year</w:t>
      </w:r>
      <w:proofErr w:type="gramEnd"/>
      <w:r>
        <w:rPr>
          <w:rFonts w:ascii="Times New Roman" w:hAnsi="Times New Roman"/>
          <w:sz w:val="24"/>
          <w:szCs w:val="24"/>
        </w:rPr>
        <w:t>, until he needed total hip replacement Aug. 31, 2021; on light duty until returned full duty Nov. 2021.  The Court agreed with the Commission - his claim for t</w:t>
      </w:r>
      <w:r w:rsidRPr="005A7E8F">
        <w:rPr>
          <w:rFonts w:ascii="Times New Roman" w:hAnsi="Times New Roman"/>
          <w:sz w:val="24"/>
          <w:szCs w:val="24"/>
        </w:rPr>
        <w:t xml:space="preserve">emporary total disability and permanent impairment </w:t>
      </w:r>
      <w:r>
        <w:rPr>
          <w:rFonts w:ascii="Times New Roman" w:hAnsi="Times New Roman"/>
          <w:sz w:val="24"/>
          <w:szCs w:val="24"/>
        </w:rPr>
        <w:t xml:space="preserve">were </w:t>
      </w:r>
      <w:r w:rsidRPr="005A7E8F">
        <w:rPr>
          <w:rFonts w:ascii="Times New Roman" w:hAnsi="Times New Roman"/>
          <w:sz w:val="24"/>
          <w:szCs w:val="24"/>
        </w:rPr>
        <w:t>untimely</w:t>
      </w:r>
      <w:r>
        <w:rPr>
          <w:rFonts w:ascii="Times New Roman" w:hAnsi="Times New Roman"/>
          <w:sz w:val="24"/>
          <w:szCs w:val="24"/>
        </w:rPr>
        <w:t xml:space="preserve"> since not made with two </w:t>
      </w:r>
      <w:proofErr w:type="gramStart"/>
      <w:r>
        <w:rPr>
          <w:rFonts w:ascii="Times New Roman" w:hAnsi="Times New Roman"/>
          <w:sz w:val="24"/>
          <w:szCs w:val="24"/>
        </w:rPr>
        <w:t>year</w:t>
      </w:r>
      <w:proofErr w:type="gramEnd"/>
      <w:r>
        <w:rPr>
          <w:rFonts w:ascii="Times New Roman" w:hAnsi="Times New Roman"/>
          <w:sz w:val="24"/>
          <w:szCs w:val="24"/>
        </w:rPr>
        <w:t xml:space="preserve"> of last </w:t>
      </w:r>
      <w:proofErr w:type="gramStart"/>
      <w:r>
        <w:rPr>
          <w:rFonts w:ascii="Times New Roman" w:hAnsi="Times New Roman"/>
          <w:sz w:val="24"/>
          <w:szCs w:val="24"/>
        </w:rPr>
        <w:t>workers</w:t>
      </w:r>
      <w:proofErr w:type="gramEnd"/>
      <w:r>
        <w:rPr>
          <w:rFonts w:ascii="Times New Roman" w:hAnsi="Times New Roman"/>
          <w:sz w:val="24"/>
          <w:szCs w:val="24"/>
        </w:rPr>
        <w:t xml:space="preserve"> comp payment (six years prior).</w:t>
      </w:r>
    </w:p>
    <w:p w14:paraId="05FFE16D" w14:textId="77777777" w:rsidR="00255984" w:rsidRDefault="00255984" w:rsidP="00255984">
      <w:pPr>
        <w:pStyle w:val="NoSpacing"/>
        <w:rPr>
          <w:rFonts w:ascii="Times New Roman" w:hAnsi="Times New Roman"/>
          <w:sz w:val="24"/>
          <w:szCs w:val="24"/>
        </w:rPr>
      </w:pPr>
    </w:p>
    <w:p w14:paraId="4477D97B" w14:textId="77777777" w:rsidR="00255984" w:rsidRDefault="00255984" w:rsidP="00255984">
      <w:pPr>
        <w:pStyle w:val="NoSpacing"/>
        <w:ind w:left="720"/>
        <w:rPr>
          <w:rFonts w:ascii="Times New Roman" w:hAnsi="Times New Roman"/>
          <w:sz w:val="24"/>
          <w:szCs w:val="24"/>
        </w:rPr>
      </w:pPr>
      <w:r>
        <w:rPr>
          <w:rFonts w:ascii="Times New Roman" w:hAnsi="Times New Roman"/>
          <w:sz w:val="24"/>
          <w:szCs w:val="24"/>
        </w:rPr>
        <w:t>“T</w:t>
      </w:r>
      <w:r w:rsidRPr="00CB1BAF">
        <w:rPr>
          <w:rFonts w:ascii="Times New Roman" w:hAnsi="Times New Roman"/>
          <w:sz w:val="24"/>
          <w:szCs w:val="24"/>
        </w:rPr>
        <w:t>hus, September of 2015 was the last time that</w:t>
      </w:r>
      <w:r>
        <w:rPr>
          <w:rFonts w:ascii="Times New Roman" w:hAnsi="Times New Roman"/>
          <w:sz w:val="24"/>
          <w:szCs w:val="24"/>
        </w:rPr>
        <w:t xml:space="preserve"> </w:t>
      </w:r>
      <w:r w:rsidRPr="00CB1BAF">
        <w:rPr>
          <w:rFonts w:ascii="Times New Roman" w:hAnsi="Times New Roman"/>
          <w:sz w:val="24"/>
          <w:szCs w:val="24"/>
        </w:rPr>
        <w:t xml:space="preserve">Stanton received compensation </w:t>
      </w:r>
      <w:r>
        <w:rPr>
          <w:rFonts w:ascii="Times New Roman" w:hAnsi="Times New Roman"/>
          <w:sz w:val="24"/>
          <w:szCs w:val="24"/>
        </w:rPr>
        <w:t>‘</w:t>
      </w:r>
      <w:r w:rsidRPr="00CB1BAF">
        <w:rPr>
          <w:rFonts w:ascii="Times New Roman" w:hAnsi="Times New Roman"/>
          <w:sz w:val="24"/>
          <w:szCs w:val="24"/>
        </w:rPr>
        <w:t>pursuant to an award.</w:t>
      </w:r>
      <w:r>
        <w:rPr>
          <w:rFonts w:ascii="Times New Roman" w:hAnsi="Times New Roman"/>
          <w:sz w:val="24"/>
          <w:szCs w:val="24"/>
        </w:rPr>
        <w:t>’</w:t>
      </w:r>
      <w:r w:rsidRPr="00CB1BAF">
        <w:rPr>
          <w:rFonts w:ascii="Times New Roman" w:hAnsi="Times New Roman"/>
          <w:sz w:val="24"/>
          <w:szCs w:val="24"/>
        </w:rPr>
        <w:t xml:space="preserve"> As a result, the two-year statute of</w:t>
      </w:r>
      <w:r>
        <w:rPr>
          <w:rFonts w:ascii="Times New Roman" w:hAnsi="Times New Roman"/>
          <w:sz w:val="24"/>
          <w:szCs w:val="24"/>
        </w:rPr>
        <w:t xml:space="preserve"> </w:t>
      </w:r>
      <w:r w:rsidRPr="00CB1BAF">
        <w:rPr>
          <w:rFonts w:ascii="Times New Roman" w:hAnsi="Times New Roman"/>
          <w:sz w:val="24"/>
          <w:szCs w:val="24"/>
        </w:rPr>
        <w:t>limitations period under Code § 65.2-708(A) began in September of 2015, and any tolling of</w:t>
      </w:r>
      <w:r>
        <w:rPr>
          <w:rFonts w:ascii="Times New Roman" w:hAnsi="Times New Roman"/>
          <w:sz w:val="24"/>
          <w:szCs w:val="24"/>
        </w:rPr>
        <w:t xml:space="preserve"> </w:t>
      </w:r>
      <w:r w:rsidRPr="00CB1BAF">
        <w:rPr>
          <w:rFonts w:ascii="Times New Roman" w:hAnsi="Times New Roman"/>
          <w:sz w:val="24"/>
          <w:szCs w:val="24"/>
        </w:rPr>
        <w:t>subsection (A) due to the fulfillment of the conditions described in subsection (C) would need to</w:t>
      </w:r>
      <w:r>
        <w:rPr>
          <w:rFonts w:ascii="Times New Roman" w:hAnsi="Times New Roman"/>
          <w:sz w:val="24"/>
          <w:szCs w:val="24"/>
        </w:rPr>
        <w:t xml:space="preserve"> </w:t>
      </w:r>
      <w:r w:rsidRPr="00CB1BAF">
        <w:rPr>
          <w:rFonts w:ascii="Times New Roman" w:hAnsi="Times New Roman"/>
          <w:sz w:val="24"/>
          <w:szCs w:val="24"/>
        </w:rPr>
        <w:t>have occurred in the following 24 months. Since Stanton was not placed on light duty again until</w:t>
      </w:r>
      <w:r>
        <w:rPr>
          <w:rFonts w:ascii="Times New Roman" w:hAnsi="Times New Roman"/>
          <w:sz w:val="24"/>
          <w:szCs w:val="24"/>
        </w:rPr>
        <w:t xml:space="preserve"> </w:t>
      </w:r>
      <w:r w:rsidRPr="00CB1BAF">
        <w:rPr>
          <w:rFonts w:ascii="Times New Roman" w:hAnsi="Times New Roman"/>
          <w:sz w:val="24"/>
          <w:szCs w:val="24"/>
        </w:rPr>
        <w:t>six years later in October of 2021 after undergoing hip replacement surgery, he may have fulfilled</w:t>
      </w:r>
      <w:r>
        <w:rPr>
          <w:rFonts w:ascii="Times New Roman" w:hAnsi="Times New Roman"/>
          <w:sz w:val="24"/>
          <w:szCs w:val="24"/>
        </w:rPr>
        <w:t xml:space="preserve"> </w:t>
      </w:r>
      <w:r w:rsidRPr="00CB1BAF">
        <w:rPr>
          <w:rFonts w:ascii="Times New Roman" w:hAnsi="Times New Roman"/>
          <w:sz w:val="24"/>
          <w:szCs w:val="24"/>
        </w:rPr>
        <w:t>the conditions as expressed in subsection (C), but he did so outside of the statute of limitations of</w:t>
      </w:r>
      <w:r>
        <w:rPr>
          <w:rFonts w:ascii="Times New Roman" w:hAnsi="Times New Roman"/>
          <w:sz w:val="24"/>
          <w:szCs w:val="24"/>
        </w:rPr>
        <w:t xml:space="preserve"> </w:t>
      </w:r>
      <w:r w:rsidRPr="00CB1BAF">
        <w:rPr>
          <w:rFonts w:ascii="Times New Roman" w:hAnsi="Times New Roman"/>
          <w:sz w:val="24"/>
          <w:szCs w:val="24"/>
        </w:rPr>
        <w:t>subsection (A). Therefore, we find no error in the Commission’s finding and affirm the</w:t>
      </w:r>
      <w:r>
        <w:rPr>
          <w:rFonts w:ascii="Times New Roman" w:hAnsi="Times New Roman"/>
          <w:sz w:val="24"/>
          <w:szCs w:val="24"/>
        </w:rPr>
        <w:t xml:space="preserve"> </w:t>
      </w:r>
      <w:r w:rsidRPr="000E7188">
        <w:rPr>
          <w:rFonts w:ascii="Times New Roman" w:hAnsi="Times New Roman"/>
          <w:sz w:val="24"/>
          <w:szCs w:val="24"/>
        </w:rPr>
        <w:t>Commission’s decision</w:t>
      </w:r>
      <w:r>
        <w:rPr>
          <w:rFonts w:ascii="Times New Roman" w:hAnsi="Times New Roman"/>
          <w:sz w:val="24"/>
          <w:szCs w:val="24"/>
        </w:rPr>
        <w:t xml:space="preserve">.” </w:t>
      </w:r>
      <w:hyperlink r:id="rId1112" w:history="1">
        <w:r w:rsidRPr="00665549">
          <w:rPr>
            <w:rStyle w:val="Hyperlink"/>
            <w:rFonts w:ascii="Times New Roman" w:hAnsi="Times New Roman"/>
            <w:sz w:val="24"/>
            <w:szCs w:val="24"/>
          </w:rPr>
          <w:t>https://cases.justia.com/virginia/court-of-appeals-published/2024-0344-23-1.pdf?ts=1706633278</w:t>
        </w:r>
      </w:hyperlink>
      <w:r>
        <w:rPr>
          <w:rFonts w:ascii="Times New Roman" w:hAnsi="Times New Roman"/>
          <w:sz w:val="24"/>
          <w:szCs w:val="24"/>
        </w:rPr>
        <w:t xml:space="preserve"> </w:t>
      </w:r>
    </w:p>
    <w:p w14:paraId="4C187E9F" w14:textId="77777777" w:rsidR="00D73F92" w:rsidRDefault="00D73F92" w:rsidP="00EF1133">
      <w:pPr>
        <w:rPr>
          <w:rFonts w:ascii="Arial Black" w:hAnsi="Arial Black"/>
          <w:b/>
          <w:sz w:val="24"/>
          <w:szCs w:val="24"/>
        </w:rPr>
      </w:pPr>
    </w:p>
    <w:p w14:paraId="07C249E1" w14:textId="77777777" w:rsidR="00A763AF" w:rsidRPr="001662AE" w:rsidRDefault="00A763AF" w:rsidP="00A763AF">
      <w:pPr>
        <w:pStyle w:val="NoSpacing"/>
        <w:rPr>
          <w:rFonts w:ascii="Times New Roman" w:hAnsi="Times New Roman"/>
          <w:b/>
          <w:bCs/>
          <w:sz w:val="24"/>
          <w:szCs w:val="24"/>
        </w:rPr>
      </w:pPr>
      <w:r w:rsidRPr="001662AE">
        <w:rPr>
          <w:rFonts w:ascii="Times New Roman" w:hAnsi="Times New Roman"/>
          <w:b/>
          <w:bCs/>
          <w:sz w:val="24"/>
          <w:szCs w:val="24"/>
        </w:rPr>
        <w:lastRenderedPageBreak/>
        <w:t xml:space="preserve">Legal Lesson Learned: The parties agreed that if he had received a prosthesis in 2014, instead of three screws, then a “repair replacement” of the prosthesis in 2021 would have been covered. </w:t>
      </w:r>
    </w:p>
    <w:p w14:paraId="22254842" w14:textId="77777777" w:rsidR="000C0691" w:rsidRDefault="000C0691" w:rsidP="00EF1133">
      <w:pPr>
        <w:rPr>
          <w:rFonts w:ascii="Arial Black" w:hAnsi="Arial Black"/>
          <w:b/>
          <w:sz w:val="24"/>
          <w:szCs w:val="24"/>
        </w:rPr>
      </w:pPr>
    </w:p>
    <w:p w14:paraId="3FB7A6E0" w14:textId="77777777" w:rsidR="00D73F92" w:rsidRDefault="00D73F92" w:rsidP="00EF1133">
      <w:pPr>
        <w:rPr>
          <w:rFonts w:ascii="Arial Black" w:hAnsi="Arial Black"/>
          <w:b/>
          <w:sz w:val="24"/>
          <w:szCs w:val="24"/>
        </w:rPr>
      </w:pPr>
    </w:p>
    <w:p w14:paraId="54FAEB81" w14:textId="77777777" w:rsidR="00D73F92" w:rsidRDefault="00D73F92" w:rsidP="00EF1133">
      <w:pPr>
        <w:rPr>
          <w:rFonts w:ascii="Arial Black" w:hAnsi="Arial Black"/>
          <w:b/>
          <w:sz w:val="24"/>
          <w:szCs w:val="24"/>
        </w:rPr>
      </w:pPr>
    </w:p>
    <w:p w14:paraId="338BCD41" w14:textId="77777777" w:rsidR="002744EE" w:rsidRDefault="002744EE" w:rsidP="00EF1133">
      <w:pPr>
        <w:rPr>
          <w:rFonts w:ascii="Arial Black" w:hAnsi="Arial Black"/>
          <w:b/>
          <w:sz w:val="24"/>
          <w:szCs w:val="24"/>
        </w:rPr>
      </w:pPr>
    </w:p>
    <w:p w14:paraId="0E824F22" w14:textId="449FD04F" w:rsidR="00F33E0E" w:rsidRDefault="004668C7" w:rsidP="00EF1133">
      <w:pPr>
        <w:rPr>
          <w:rFonts w:ascii="Arial Black" w:hAnsi="Arial Black"/>
          <w:b/>
          <w:sz w:val="24"/>
          <w:szCs w:val="24"/>
        </w:rPr>
      </w:pPr>
      <w:r>
        <w:rPr>
          <w:rFonts w:ascii="Arial Black" w:hAnsi="Arial Black"/>
          <w:b/>
          <w:sz w:val="24"/>
          <w:szCs w:val="24"/>
        </w:rPr>
        <w:t>6-12</w:t>
      </w:r>
      <w:r w:rsidR="002A0697">
        <w:rPr>
          <w:rFonts w:ascii="Arial Black" w:hAnsi="Arial Black"/>
          <w:b/>
          <w:sz w:val="24"/>
          <w:szCs w:val="24"/>
        </w:rPr>
        <w:t>5</w:t>
      </w:r>
    </w:p>
    <w:p w14:paraId="7A744957" w14:textId="77777777" w:rsidR="00542190" w:rsidRDefault="00542190" w:rsidP="00542190">
      <w:pPr>
        <w:pStyle w:val="NormalWeb"/>
        <w:rPr>
          <w:rFonts w:ascii="Arial Black" w:hAnsi="Arial Black"/>
          <w:sz w:val="28"/>
          <w:szCs w:val="28"/>
        </w:rPr>
      </w:pPr>
      <w:r>
        <w:rPr>
          <w:rFonts w:ascii="Arial Black" w:hAnsi="Arial Black"/>
          <w:sz w:val="28"/>
          <w:szCs w:val="28"/>
        </w:rPr>
        <w:t xml:space="preserve">TN: PTSD - </w:t>
      </w:r>
      <w:r w:rsidRPr="003C4F4B">
        <w:rPr>
          <w:rFonts w:ascii="Arial Black" w:hAnsi="Arial Black"/>
          <w:sz w:val="28"/>
          <w:szCs w:val="28"/>
        </w:rPr>
        <w:t>CHATTANOOGA</w:t>
      </w:r>
      <w:r>
        <w:rPr>
          <w:rFonts w:ascii="Arial Black" w:hAnsi="Arial Black"/>
          <w:sz w:val="28"/>
          <w:szCs w:val="28"/>
        </w:rPr>
        <w:t xml:space="preserve"> – COURT ORDERS FIRE &amp; POLICE FUND GRANT FF JOB-RELATED DISAB. PENSION </w:t>
      </w:r>
    </w:p>
    <w:p w14:paraId="5A2E8631" w14:textId="77777777" w:rsidR="00542190" w:rsidRDefault="00542190" w:rsidP="00542190">
      <w:pPr>
        <w:pStyle w:val="NormalWeb"/>
      </w:pPr>
      <w:r>
        <w:t xml:space="preserve">On Dec. 18, 2023, in </w:t>
      </w:r>
      <w:r w:rsidRPr="001D0F2C">
        <w:rPr>
          <w:u w:val="single"/>
        </w:rPr>
        <w:t xml:space="preserve">Matthew Long v. Chattanooga Fire </w:t>
      </w:r>
      <w:proofErr w:type="gramStart"/>
      <w:r w:rsidRPr="001D0F2C">
        <w:rPr>
          <w:u w:val="single"/>
        </w:rPr>
        <w:t>And</w:t>
      </w:r>
      <w:proofErr w:type="gramEnd"/>
      <w:r w:rsidRPr="001D0F2C">
        <w:rPr>
          <w:u w:val="single"/>
        </w:rPr>
        <w:t xml:space="preserve"> Police Fund</w:t>
      </w:r>
      <w:r>
        <w:t>, the Court of Appeals of Tennessee held (3 to 0) that trial court judge properly ordered the Fund a job-</w:t>
      </w:r>
      <w:proofErr w:type="gramStart"/>
      <w:r>
        <w:t>related disability</w:t>
      </w:r>
      <w:proofErr w:type="gramEnd"/>
      <w:r>
        <w:t xml:space="preserve"> pension for firefighter’s PTSD. Board’s policy requiring proof of “undesigned and unexpected” traumatic event makes it impossible for most fire and police to receive pension. The Court wrote: “The Policy provides that an applicant can only obtain benefits for a job-related disability based on PTSD if the disability “is a direct result of a traumatic event that is . . . b. undesigned and unexpected[.]” However, the Policy makes no effort to define the term ‘unexpected,’ nor is that term defined in any controlling legal authority or caselaw. As a result, this portion of the Policy is ambiguous.  *** Here, “unexpected” is not defined in the Plan, and there is no binding Tennessee caselaw construing a similar plan provision. Yet, the Fund essentially argues that the term “unexpected” should be construed to mean that the event giving rise to benefits is entirely unforeseeable.” *** Accordingly, the Board relied on an undefined, ambiguous term in the Plan to deny Long’s benefits and then offered no explanation as to its reasoning. Inasmuch as the Board construed the Plan’s terms in favor of the Fund, instead of in favor of Long, its decision was arbitrary, capricious, and contrary to Tennessee law.” </w:t>
      </w:r>
      <w:hyperlink r:id="rId1113" w:history="1">
        <w:r w:rsidRPr="0044657D">
          <w:rPr>
            <w:rStyle w:val="Hyperlink"/>
          </w:rPr>
          <w:t>https://cases.justia.com/tennessee/court-of-appeals/2023-e2022-01151-coa-r3-cv.pdf?ts=1703121841</w:t>
        </w:r>
      </w:hyperlink>
      <w:r>
        <w:t xml:space="preserve"> </w:t>
      </w:r>
    </w:p>
    <w:p w14:paraId="3C3CF2C0" w14:textId="77777777" w:rsidR="002744EE" w:rsidRPr="00EE0B9A" w:rsidRDefault="002744EE" w:rsidP="002744EE">
      <w:pPr>
        <w:pStyle w:val="NoSpacing"/>
        <w:rPr>
          <w:rFonts w:ascii="Times New Roman" w:hAnsi="Times New Roman"/>
          <w:b/>
          <w:bCs/>
          <w:sz w:val="24"/>
          <w:szCs w:val="24"/>
        </w:rPr>
      </w:pPr>
      <w:r w:rsidRPr="00EE0B9A">
        <w:rPr>
          <w:rFonts w:ascii="Times New Roman" w:hAnsi="Times New Roman"/>
          <w:b/>
          <w:bCs/>
          <w:sz w:val="24"/>
          <w:szCs w:val="24"/>
        </w:rPr>
        <w:t xml:space="preserve">Legal Lesson Learned: </w:t>
      </w:r>
      <w:r>
        <w:rPr>
          <w:rFonts w:ascii="Times New Roman" w:hAnsi="Times New Roman"/>
          <w:b/>
          <w:bCs/>
          <w:sz w:val="24"/>
          <w:szCs w:val="24"/>
        </w:rPr>
        <w:t xml:space="preserve"> The Board needs to better define “unexpected” traumatic events that will be covered for PTSD disability pension. </w:t>
      </w:r>
    </w:p>
    <w:p w14:paraId="09398639" w14:textId="77777777" w:rsidR="002744EE" w:rsidRDefault="002744EE" w:rsidP="002744EE">
      <w:pPr>
        <w:pStyle w:val="NoSpacing"/>
        <w:rPr>
          <w:rFonts w:ascii="Times New Roman" w:hAnsi="Times New Roman"/>
          <w:sz w:val="24"/>
          <w:szCs w:val="24"/>
        </w:rPr>
      </w:pPr>
    </w:p>
    <w:p w14:paraId="7EDEF459" w14:textId="77777777" w:rsidR="002744EE" w:rsidRDefault="002744EE" w:rsidP="002744EE">
      <w:pPr>
        <w:pStyle w:val="NoSpacing"/>
        <w:ind w:left="720"/>
      </w:pPr>
      <w:r>
        <w:rPr>
          <w:rFonts w:ascii="Times New Roman" w:hAnsi="Times New Roman"/>
          <w:sz w:val="24"/>
          <w:szCs w:val="24"/>
        </w:rPr>
        <w:t xml:space="preserve">Note: See video of oral argument before Court of Appeals in this case. </w:t>
      </w:r>
      <w:hyperlink r:id="rId1114" w:anchor="fpstate=ive&amp;vld=cid:c519e51a,vid:fx8S8hEp9_s,st:0" w:history="1">
        <w:r w:rsidRPr="00A7078E">
          <w:rPr>
            <w:rStyle w:val="Hyperlink"/>
          </w:rPr>
          <w:t>https://www.google.com/search?channel=frsc&amp;client=firefox-b-1-d&amp;q=MATTHEW+LONG+v.+CHATTANOOGA+FIRE+AND+POLICE+PENSION+FUND+No.+E2022-01151-COA-R3-CV+%7C+June+20%2C+2023+Session+%7C+#fpstate=ive&amp;vld=cid:c519e51a,vid:fx8S8hEp9_s,st:0</w:t>
        </w:r>
      </w:hyperlink>
    </w:p>
    <w:p w14:paraId="37A4F4F8" w14:textId="77777777" w:rsidR="004668C7" w:rsidRDefault="004668C7" w:rsidP="00EF1133">
      <w:pPr>
        <w:rPr>
          <w:rFonts w:ascii="Arial Black" w:hAnsi="Arial Black"/>
          <w:b/>
          <w:sz w:val="24"/>
          <w:szCs w:val="24"/>
        </w:rPr>
      </w:pPr>
    </w:p>
    <w:p w14:paraId="07D20297" w14:textId="77777777" w:rsidR="004668C7" w:rsidRDefault="004668C7" w:rsidP="00EF1133">
      <w:pPr>
        <w:rPr>
          <w:rFonts w:ascii="Arial Black" w:hAnsi="Arial Black"/>
          <w:b/>
          <w:sz w:val="24"/>
          <w:szCs w:val="24"/>
        </w:rPr>
      </w:pPr>
    </w:p>
    <w:p w14:paraId="4D7F707D" w14:textId="4A4A40B3" w:rsidR="00554962" w:rsidRDefault="00554962" w:rsidP="00EF1133">
      <w:pPr>
        <w:rPr>
          <w:rFonts w:ascii="Arial Black" w:hAnsi="Arial Black"/>
          <w:b/>
          <w:sz w:val="24"/>
          <w:szCs w:val="24"/>
        </w:rPr>
      </w:pPr>
      <w:r>
        <w:rPr>
          <w:rFonts w:ascii="Arial Black" w:hAnsi="Arial Black"/>
          <w:b/>
          <w:sz w:val="24"/>
          <w:szCs w:val="24"/>
        </w:rPr>
        <w:t>6-12</w:t>
      </w:r>
      <w:r w:rsidR="002A0697">
        <w:rPr>
          <w:rFonts w:ascii="Arial Black" w:hAnsi="Arial Black"/>
          <w:b/>
          <w:sz w:val="24"/>
          <w:szCs w:val="24"/>
        </w:rPr>
        <w:t>4</w:t>
      </w:r>
    </w:p>
    <w:p w14:paraId="71156FBD" w14:textId="77777777" w:rsidR="00F33E0E" w:rsidRPr="008F275A" w:rsidRDefault="00F33E0E" w:rsidP="00F33E0E">
      <w:pPr>
        <w:pStyle w:val="NormalWeb"/>
        <w:rPr>
          <w:rFonts w:ascii="Arial Black" w:hAnsi="Arial Black"/>
          <w:sz w:val="28"/>
          <w:szCs w:val="28"/>
        </w:rPr>
      </w:pPr>
      <w:r>
        <w:rPr>
          <w:rFonts w:ascii="Arial Black" w:hAnsi="Arial Black"/>
          <w:sz w:val="28"/>
          <w:szCs w:val="28"/>
        </w:rPr>
        <w:t>FL: FF HEART REPLACEMENT – STATUTORY PRESUMPTION -  COUNTY FAILED PROVE CAUSED BY OFF DUTY COVID-19</w:t>
      </w:r>
    </w:p>
    <w:p w14:paraId="2108FE6D" w14:textId="5E6CA530" w:rsidR="00F33E0E" w:rsidRPr="00F33E0E" w:rsidRDefault="00F33E0E" w:rsidP="00F33E0E">
      <w:pPr>
        <w:rPr>
          <w:rFonts w:ascii="Times New Roman" w:hAnsi="Times New Roman"/>
          <w:b/>
          <w:sz w:val="24"/>
          <w:szCs w:val="24"/>
        </w:rPr>
      </w:pPr>
      <w:r w:rsidRPr="00F33E0E">
        <w:rPr>
          <w:rFonts w:ascii="Times New Roman" w:hAnsi="Times New Roman"/>
          <w:sz w:val="24"/>
          <w:szCs w:val="24"/>
        </w:rPr>
        <w:t xml:space="preserve">On Dec. 13, 2023, in </w:t>
      </w:r>
      <w:r w:rsidRPr="00F33E0E">
        <w:rPr>
          <w:rFonts w:ascii="Times New Roman" w:hAnsi="Times New Roman"/>
          <w:sz w:val="24"/>
          <w:szCs w:val="24"/>
          <w:u w:val="single"/>
        </w:rPr>
        <w:t>Seminole County, Florisa and John Eastern Company, Inc. v. Chad Braden</w:t>
      </w:r>
      <w:r w:rsidRPr="00F33E0E">
        <w:rPr>
          <w:rFonts w:ascii="Times New Roman" w:hAnsi="Times New Roman"/>
          <w:sz w:val="24"/>
          <w:szCs w:val="24"/>
        </w:rPr>
        <w:t xml:space="preserve">, the Florida Court of Appeals, First District, held (3 to 0) that the Judge of Compensation Claims (JCC), properly awarded </w:t>
      </w:r>
      <w:r w:rsidRPr="00F33E0E">
        <w:rPr>
          <w:rFonts w:ascii="Times New Roman" w:hAnsi="Times New Roman"/>
          <w:sz w:val="24"/>
          <w:szCs w:val="24"/>
        </w:rPr>
        <w:lastRenderedPageBreak/>
        <w:t xml:space="preserve">workers' compensation benefits to firefighter Chad Braden. The Court wrote: “Rather, we consider only whether Seminole County met its burden to overcome the statutory burden of work causation. Under these facts, we find competent evidence supports the JCC's determination that Seminole County failed to rebut the statutory presumption.”  </w:t>
      </w:r>
      <w:hyperlink r:id="rId1115" w:history="1">
        <w:r w:rsidRPr="00F33E0E">
          <w:rPr>
            <w:rStyle w:val="Hyperlink"/>
            <w:rFonts w:ascii="Times New Roman" w:hAnsi="Times New Roman"/>
            <w:sz w:val="24"/>
            <w:szCs w:val="24"/>
          </w:rPr>
          <w:t>https://public.fastcase.com/ZZhmr5v9wN%2FXOe5IsQ%2FqD597Cj8vEFtFKU6dv%2BnWYID0RND2DGxx0gwPm3LnKjbN?utm_medium=email&amp;_hsmi=226712652&amp;_hsenc=p2ANqtz-9VqkDv3iEaCOhGJ0e7W649YKVFgXPPT1K4rwfEfIma89pOhcAxwCchfIpHNeRMlfH4gAwQhfXkNV3ClRJYpxBL670A4g&amp;utm_content=226712652&amp;utm_source=hs_email</w:t>
        </w:r>
      </w:hyperlink>
    </w:p>
    <w:p w14:paraId="16EEA3AE" w14:textId="77777777" w:rsidR="004668C7" w:rsidRDefault="004668C7" w:rsidP="004668C7">
      <w:pPr>
        <w:pStyle w:val="NormalWeb"/>
        <w:rPr>
          <w:b/>
          <w:bCs/>
        </w:rPr>
      </w:pPr>
      <w:r w:rsidRPr="000664E1">
        <w:rPr>
          <w:b/>
          <w:bCs/>
        </w:rPr>
        <w:t>Legal Lesson Learned:</w:t>
      </w:r>
      <w:r>
        <w:rPr>
          <w:b/>
          <w:bCs/>
        </w:rPr>
        <w:t xml:space="preserve"> The FL statutory presumption properly puts burden on employer to prove heart issues were not caused by the job. </w:t>
      </w:r>
    </w:p>
    <w:p w14:paraId="26524411" w14:textId="77777777" w:rsidR="00554962" w:rsidRDefault="00554962" w:rsidP="00EF1133">
      <w:pPr>
        <w:rPr>
          <w:rFonts w:ascii="Arial Black" w:hAnsi="Arial Black"/>
          <w:b/>
          <w:sz w:val="24"/>
          <w:szCs w:val="24"/>
        </w:rPr>
      </w:pPr>
    </w:p>
    <w:p w14:paraId="46A0881E" w14:textId="77777777" w:rsidR="00554962" w:rsidRDefault="00554962" w:rsidP="00EF1133">
      <w:pPr>
        <w:rPr>
          <w:rFonts w:ascii="Arial Black" w:hAnsi="Arial Black"/>
          <w:b/>
          <w:sz w:val="24"/>
          <w:szCs w:val="24"/>
        </w:rPr>
      </w:pPr>
    </w:p>
    <w:p w14:paraId="49277BC9" w14:textId="28637DCA" w:rsidR="00841FB9" w:rsidRDefault="00841FB9" w:rsidP="00EF1133">
      <w:pPr>
        <w:rPr>
          <w:rFonts w:ascii="Arial Black" w:hAnsi="Arial Black"/>
          <w:b/>
          <w:sz w:val="24"/>
          <w:szCs w:val="24"/>
        </w:rPr>
      </w:pPr>
      <w:r>
        <w:rPr>
          <w:rFonts w:ascii="Arial Black" w:hAnsi="Arial Black"/>
          <w:b/>
          <w:sz w:val="24"/>
          <w:szCs w:val="24"/>
        </w:rPr>
        <w:t>6-12</w:t>
      </w:r>
      <w:r w:rsidR="002A0697">
        <w:rPr>
          <w:rFonts w:ascii="Arial Black" w:hAnsi="Arial Black"/>
          <w:b/>
          <w:sz w:val="24"/>
          <w:szCs w:val="24"/>
        </w:rPr>
        <w:t>3</w:t>
      </w:r>
    </w:p>
    <w:p w14:paraId="5A5776CA" w14:textId="77777777" w:rsidR="00841FB9" w:rsidRDefault="00841FB9" w:rsidP="00841FB9">
      <w:pPr>
        <w:pStyle w:val="NormalWeb"/>
        <w:rPr>
          <w:rFonts w:ascii="Arial Black" w:hAnsi="Arial Black"/>
          <w:b/>
          <w:bCs/>
          <w:sz w:val="28"/>
          <w:szCs w:val="28"/>
        </w:rPr>
      </w:pPr>
      <w:r>
        <w:rPr>
          <w:rFonts w:ascii="Arial Black" w:hAnsi="Arial Black"/>
          <w:b/>
          <w:bCs/>
          <w:sz w:val="28"/>
          <w:szCs w:val="28"/>
        </w:rPr>
        <w:t xml:space="preserve">OR: PROSTATE CANCER – STAUTORY PRESUMPTION – EMPLOYER FAILED TO OVERCOME PRESUMPTION </w:t>
      </w:r>
    </w:p>
    <w:p w14:paraId="68750709" w14:textId="77777777" w:rsidR="00841FB9" w:rsidRDefault="00841FB9" w:rsidP="00841FB9">
      <w:pPr>
        <w:pStyle w:val="NormalWeb"/>
      </w:pPr>
      <w:r w:rsidRPr="00561FB7">
        <w:t xml:space="preserve">On Dec. 6, 2023, </w:t>
      </w:r>
      <w:r w:rsidRPr="00532D49">
        <w:rPr>
          <w:u w:val="single"/>
        </w:rPr>
        <w:t xml:space="preserve">In the Matter of the Compensation of Stephen Smith;  Marion County Fire </w:t>
      </w:r>
      <w:proofErr w:type="gramStart"/>
      <w:r w:rsidRPr="00532D49">
        <w:rPr>
          <w:u w:val="single"/>
        </w:rPr>
        <w:t>District #1</w:t>
      </w:r>
      <w:proofErr w:type="gramEnd"/>
      <w:r w:rsidRPr="00532D49">
        <w:rPr>
          <w:u w:val="single"/>
        </w:rPr>
        <w:t xml:space="preserve"> v. Stephen Smith</w:t>
      </w:r>
      <w:r>
        <w:t xml:space="preserve">, the Court of Appeals of Oregon held (3 to 0; nonprecedential memorandum </w:t>
      </w:r>
      <w:proofErr w:type="spellStart"/>
      <w:r>
        <w:t>opinio</w:t>
      </w:r>
      <w:proofErr w:type="spellEnd"/>
      <w:r>
        <w:t xml:space="preserve">) that the Workers’ Compensation Board properly held for the firefighter.  The Court wrote: “This case concerns whether the Workers' Compensation Board (board) properly construed and applied the so-called ‘firefighter's presumption’ when it reversed employer's denial of claimant's occupational disease claim. *** The board reasoned that Dr. Beer's opinion was largely based on the conclusion that the causes of prostate cancer are unknown. The board correctly noted that in </w:t>
      </w:r>
      <w:r>
        <w:rPr>
          <w:rStyle w:val="Emphasis"/>
        </w:rPr>
        <w:t>Thompson,</w:t>
      </w:r>
      <w:r>
        <w:t xml:space="preserve"> the Supreme Court held that </w:t>
      </w:r>
      <w:proofErr w:type="gramStart"/>
      <w:r>
        <w:t>an</w:t>
      </w:r>
      <w:proofErr w:type="gramEnd"/>
      <w:r>
        <w:t xml:space="preserve"> opinion that the cause of a condition is unknown is "a confession of an inability to identify a cause," rather than evidence that the condition was not related to employment. </w:t>
      </w:r>
      <w:r>
        <w:rPr>
          <w:rStyle w:val="Emphasis"/>
        </w:rPr>
        <w:t>Thompson,</w:t>
      </w:r>
      <w:r>
        <w:t xml:space="preserve"> 360 Or at 168. The board went on to note several internal inconsistencies in Dr. Beer's opinion that left the board unpersuaded by the opinion. We conclude that the board's representation of Dr. Beer's opinion is reasonable and supported by substantial evidence. While employer characterizes Dr. Beer's opinion differently, we are not convinced that the board was required to view the opinion the way employer urges. The board reasonably could find, for the reasons the board stated, that Dr. Beer's evidence did not meet employer's burden of persuasion.” </w:t>
      </w:r>
      <w:hyperlink r:id="rId1116" w:history="1">
        <w:r w:rsidRPr="002D5A3E">
          <w:rPr>
            <w:rStyle w:val="Hyperlink"/>
          </w:rPr>
          <w:t>https://casetext.com/case/marion-cnty-fire-dist-1-v-smith-in-re-smith</w:t>
        </w:r>
      </w:hyperlink>
      <w:r>
        <w:t xml:space="preserve"> </w:t>
      </w:r>
    </w:p>
    <w:p w14:paraId="0A3917F7" w14:textId="77777777" w:rsidR="00554962" w:rsidRDefault="00554962" w:rsidP="00554962">
      <w:pPr>
        <w:pStyle w:val="NormalWeb"/>
        <w:rPr>
          <w:b/>
          <w:bCs/>
        </w:rPr>
      </w:pPr>
      <w:r w:rsidRPr="006C2F5A">
        <w:rPr>
          <w:b/>
          <w:bCs/>
        </w:rPr>
        <w:t>Legal Lesson Learned:</w:t>
      </w:r>
      <w:r>
        <w:rPr>
          <w:b/>
          <w:bCs/>
        </w:rPr>
        <w:t xml:space="preserve"> With the statutory presumption, the employer failed to rebut the presumption that the firefighter’s prostate cancer resulted from his employment as a firefighter. </w:t>
      </w:r>
    </w:p>
    <w:p w14:paraId="4B59223E" w14:textId="77777777" w:rsidR="00554962" w:rsidRPr="00F54637" w:rsidRDefault="00554962" w:rsidP="00554962">
      <w:pPr>
        <w:pStyle w:val="NormalWeb"/>
        <w:ind w:left="720"/>
      </w:pPr>
      <w:r w:rsidRPr="00F54637">
        <w:t>Note: The Court</w:t>
      </w:r>
      <w:r>
        <w:t xml:space="preserve"> of Appeals</w:t>
      </w:r>
      <w:r w:rsidRPr="00F54637">
        <w:t xml:space="preserve"> on same date</w:t>
      </w:r>
      <w:r>
        <w:t>, Dec. 6, 2023,</w:t>
      </w:r>
      <w:r w:rsidRPr="00F54637">
        <w:t xml:space="preserve"> upheld the award to another</w:t>
      </w:r>
      <w:r>
        <w:t xml:space="preserve"> Oregon</w:t>
      </w:r>
      <w:r w:rsidRPr="00F54637">
        <w:t xml:space="preserve"> firefighter</w:t>
      </w:r>
      <w:r>
        <w:t xml:space="preserve"> with another fire department. In the Matter of the Compensation of Robert M. Shannon, Claimant. v. Robert M. Shannon. North Douglas County Fire &amp; EMS. </w:t>
      </w:r>
      <w:hyperlink r:id="rId1117" w:history="1">
        <w:r w:rsidRPr="002D5A3E">
          <w:rPr>
            <w:rStyle w:val="Hyperlink"/>
          </w:rPr>
          <w:t>https://casetext.com/case/n-douglas-cnty-fire-ems-v-shannon-in-re-shannon</w:t>
        </w:r>
      </w:hyperlink>
      <w:r w:rsidRPr="00F54637">
        <w:t xml:space="preserve"> </w:t>
      </w:r>
    </w:p>
    <w:p w14:paraId="77F84341" w14:textId="77777777" w:rsidR="00554962" w:rsidRDefault="00554962" w:rsidP="00841FB9">
      <w:pPr>
        <w:pStyle w:val="NormalWeb"/>
      </w:pPr>
    </w:p>
    <w:p w14:paraId="3EDB32F1" w14:textId="1088390B" w:rsidR="000516E6" w:rsidRDefault="000516E6" w:rsidP="00EF1133">
      <w:pPr>
        <w:rPr>
          <w:rFonts w:ascii="Arial Black" w:hAnsi="Arial Black"/>
          <w:b/>
          <w:sz w:val="24"/>
          <w:szCs w:val="24"/>
        </w:rPr>
      </w:pPr>
      <w:r>
        <w:rPr>
          <w:rFonts w:ascii="Arial Black" w:hAnsi="Arial Black"/>
          <w:b/>
          <w:sz w:val="24"/>
          <w:szCs w:val="24"/>
        </w:rPr>
        <w:t>6-12</w:t>
      </w:r>
      <w:r w:rsidR="002A0697">
        <w:rPr>
          <w:rFonts w:ascii="Arial Black" w:hAnsi="Arial Black"/>
          <w:b/>
          <w:sz w:val="24"/>
          <w:szCs w:val="24"/>
        </w:rPr>
        <w:t>2</w:t>
      </w:r>
    </w:p>
    <w:p w14:paraId="2D565E84" w14:textId="77777777" w:rsidR="001B28A9" w:rsidRDefault="001B28A9" w:rsidP="001B28A9">
      <w:pPr>
        <w:pStyle w:val="NormalWeb"/>
        <w:rPr>
          <w:rFonts w:ascii="Arial Black" w:hAnsi="Arial Black"/>
          <w:sz w:val="28"/>
          <w:szCs w:val="28"/>
        </w:rPr>
      </w:pPr>
      <w:r>
        <w:rPr>
          <w:rFonts w:ascii="Arial Black" w:hAnsi="Arial Black"/>
          <w:sz w:val="28"/>
          <w:szCs w:val="28"/>
        </w:rPr>
        <w:lastRenderedPageBreak/>
        <w:t>CO: FF HAND INJURED - LIGHT DUTY / RETIRED - MUST FILE EEOC CHARGE IN 300 DAYS AFTER INFORMED FD RETIRING</w:t>
      </w:r>
    </w:p>
    <w:p w14:paraId="121C83CD" w14:textId="6574C3D2" w:rsidR="000516E6" w:rsidRDefault="001B28A9" w:rsidP="001B28A9">
      <w:pPr>
        <w:rPr>
          <w:rStyle w:val="Hyperlink"/>
          <w:rFonts w:ascii="Times New Roman" w:hAnsi="Times New Roman"/>
          <w:sz w:val="24"/>
          <w:szCs w:val="24"/>
        </w:rPr>
      </w:pPr>
      <w:r w:rsidRPr="001B28A9">
        <w:rPr>
          <w:rFonts w:ascii="Times New Roman" w:hAnsi="Times New Roman"/>
          <w:sz w:val="24"/>
          <w:szCs w:val="24"/>
        </w:rPr>
        <w:t xml:space="preserve">On Nov. 13, 2023, in </w:t>
      </w:r>
      <w:r w:rsidRPr="001B28A9">
        <w:rPr>
          <w:rFonts w:ascii="Times New Roman" w:hAnsi="Times New Roman"/>
          <w:sz w:val="24"/>
          <w:szCs w:val="24"/>
          <w:u w:val="single"/>
        </w:rPr>
        <w:t>David Perez v. City and County of Denver</w:t>
      </w:r>
      <w:r w:rsidRPr="001B28A9">
        <w:rPr>
          <w:rFonts w:ascii="Times New Roman" w:hAnsi="Times New Roman"/>
          <w:sz w:val="24"/>
          <w:szCs w:val="24"/>
        </w:rPr>
        <w:t xml:space="preserve">, the U.S. Court of Appeals for Tenth Circuit (Denver) held (3 to 0) that trial court properly dismissed the lawsuit for failure to timely file charge with EEOC.  The firefighter represented himself (pro se) instead of retaining an attorney. He also failed to timely file the lawsuit (90 days) when he </w:t>
      </w:r>
      <w:proofErr w:type="gramStart"/>
      <w:r w:rsidRPr="001B28A9">
        <w:rPr>
          <w:rFonts w:ascii="Times New Roman" w:hAnsi="Times New Roman"/>
          <w:sz w:val="24"/>
          <w:szCs w:val="24"/>
        </w:rPr>
        <w:t>received “</w:t>
      </w:r>
      <w:proofErr w:type="gramEnd"/>
      <w:r w:rsidRPr="001B28A9">
        <w:rPr>
          <w:rFonts w:ascii="Times New Roman" w:hAnsi="Times New Roman"/>
          <w:sz w:val="24"/>
          <w:szCs w:val="24"/>
        </w:rPr>
        <w:t xml:space="preserve">Right </w:t>
      </w:r>
      <w:proofErr w:type="gramStart"/>
      <w:r w:rsidRPr="001B28A9">
        <w:rPr>
          <w:rFonts w:ascii="Times New Roman" w:hAnsi="Times New Roman"/>
          <w:sz w:val="24"/>
          <w:szCs w:val="24"/>
        </w:rPr>
        <w:t>To</w:t>
      </w:r>
      <w:proofErr w:type="gramEnd"/>
      <w:r w:rsidRPr="001B28A9">
        <w:rPr>
          <w:rFonts w:ascii="Times New Roman" w:hAnsi="Times New Roman"/>
          <w:sz w:val="24"/>
          <w:szCs w:val="24"/>
        </w:rPr>
        <w:t xml:space="preserve"> Sue” letter from EEOC. </w:t>
      </w:r>
      <w:hyperlink r:id="rId1118" w:history="1">
        <w:r w:rsidRPr="001B28A9">
          <w:rPr>
            <w:rStyle w:val="Hyperlink"/>
            <w:rFonts w:ascii="Times New Roman" w:hAnsi="Times New Roman"/>
            <w:sz w:val="24"/>
            <w:szCs w:val="24"/>
          </w:rPr>
          <w:t>https://casetext.com/case/perez-v-city-of-denver-4</w:t>
        </w:r>
      </w:hyperlink>
    </w:p>
    <w:p w14:paraId="52201B1B" w14:textId="77777777" w:rsidR="0079037C" w:rsidRDefault="0079037C" w:rsidP="0079037C">
      <w:pPr>
        <w:pStyle w:val="NormalWeb"/>
        <w:rPr>
          <w:b/>
          <w:bCs/>
        </w:rPr>
      </w:pPr>
      <w:r w:rsidRPr="00863139">
        <w:rPr>
          <w:b/>
          <w:bCs/>
        </w:rPr>
        <w:t xml:space="preserve">Legal Lesson Learned: </w:t>
      </w:r>
      <w:r>
        <w:rPr>
          <w:b/>
          <w:bCs/>
        </w:rPr>
        <w:t xml:space="preserve">The time requirements for filing charge with </w:t>
      </w:r>
      <w:proofErr w:type="gramStart"/>
      <w:r>
        <w:rPr>
          <w:b/>
          <w:bCs/>
        </w:rPr>
        <w:t>EEOC, and</w:t>
      </w:r>
      <w:proofErr w:type="gramEnd"/>
      <w:r>
        <w:rPr>
          <w:b/>
          <w:bCs/>
        </w:rPr>
        <w:t xml:space="preserve"> then filing lawsuit after right-to-sue EEOC letter must be followed; even by those handling case pro se (no attorney).</w:t>
      </w:r>
    </w:p>
    <w:p w14:paraId="30CA0B4B" w14:textId="77777777" w:rsidR="0079037C" w:rsidRPr="001B28A9" w:rsidRDefault="0079037C" w:rsidP="001B28A9">
      <w:pPr>
        <w:rPr>
          <w:rFonts w:ascii="Times New Roman" w:hAnsi="Times New Roman"/>
          <w:b/>
          <w:sz w:val="24"/>
          <w:szCs w:val="24"/>
        </w:rPr>
      </w:pPr>
    </w:p>
    <w:p w14:paraId="3CF2A6BC" w14:textId="77777777" w:rsidR="000516E6" w:rsidRDefault="000516E6" w:rsidP="00EF1133">
      <w:pPr>
        <w:rPr>
          <w:rFonts w:ascii="Arial Black" w:hAnsi="Arial Black"/>
          <w:b/>
          <w:sz w:val="24"/>
          <w:szCs w:val="24"/>
        </w:rPr>
      </w:pPr>
    </w:p>
    <w:p w14:paraId="0BDF3C95" w14:textId="70D82113" w:rsidR="00A65FD8" w:rsidRDefault="00A65FD8" w:rsidP="00EF1133">
      <w:pPr>
        <w:rPr>
          <w:rFonts w:ascii="Arial Black" w:hAnsi="Arial Black"/>
          <w:b/>
          <w:sz w:val="24"/>
          <w:szCs w:val="24"/>
        </w:rPr>
      </w:pPr>
      <w:r>
        <w:rPr>
          <w:rFonts w:ascii="Arial Black" w:hAnsi="Arial Black"/>
          <w:b/>
          <w:sz w:val="24"/>
          <w:szCs w:val="24"/>
        </w:rPr>
        <w:t>6-12</w:t>
      </w:r>
      <w:r w:rsidR="002A0697">
        <w:rPr>
          <w:rFonts w:ascii="Arial Black" w:hAnsi="Arial Black"/>
          <w:b/>
          <w:sz w:val="24"/>
          <w:szCs w:val="24"/>
        </w:rPr>
        <w:t>1</w:t>
      </w:r>
    </w:p>
    <w:p w14:paraId="629D2590" w14:textId="77777777" w:rsidR="00A65FD8" w:rsidRPr="00EE3B90" w:rsidRDefault="00A65FD8" w:rsidP="00A65FD8">
      <w:pPr>
        <w:pStyle w:val="NormalWeb"/>
        <w:rPr>
          <w:rFonts w:ascii="Arial Black" w:hAnsi="Arial Black"/>
          <w:b/>
          <w:bCs/>
          <w:sz w:val="28"/>
          <w:szCs w:val="28"/>
        </w:rPr>
      </w:pPr>
      <w:r>
        <w:rPr>
          <w:rFonts w:ascii="Arial Black" w:hAnsi="Arial Black"/>
          <w:b/>
          <w:bCs/>
          <w:sz w:val="28"/>
          <w:szCs w:val="28"/>
        </w:rPr>
        <w:t xml:space="preserve">FL: FF DIED BRAIN CANCER – WIDOW ENTITLED TO $150,000 DEATH BENEFITS –PLUS THE PRIOR $25K </w:t>
      </w:r>
    </w:p>
    <w:p w14:paraId="41B6FC13" w14:textId="77777777" w:rsidR="00A65FD8" w:rsidRDefault="00A65FD8" w:rsidP="00A65FD8">
      <w:pPr>
        <w:pStyle w:val="NormalWeb"/>
      </w:pPr>
      <w:r>
        <w:t xml:space="preserve">On Oct. 25, 2023, in </w:t>
      </w:r>
      <w:r w:rsidRPr="00353608">
        <w:rPr>
          <w:u w:val="single"/>
        </w:rPr>
        <w:t>Christy Siena v. Orange County Fire Rescue / CCMSI</w:t>
      </w:r>
      <w:r>
        <w:t xml:space="preserve">, the Florida Court of Appeals, First District, held (3 to 0) that the Worker’s Comp. Judge of Compensation Claims is reversed, and widow is entitled to $150, 000. Under Florida statute, a </w:t>
      </w:r>
      <w:proofErr w:type="gramStart"/>
      <w:r>
        <w:t>firefighter</w:t>
      </w:r>
      <w:proofErr w:type="gramEnd"/>
      <w:r>
        <w:t xml:space="preserve"> when diagnosed with </w:t>
      </w:r>
      <w:proofErr w:type="gramStart"/>
      <w:r>
        <w:t>cancer</w:t>
      </w:r>
      <w:proofErr w:type="gramEnd"/>
      <w:r>
        <w:t xml:space="preserve"> is entitled to a one-time cash payout of $25,000.  Eric Siena received that amount when he was diagnosed with glioblastoma in January 2020; he died in May of 2021. The Court held: “In this appeal we consider whether receipt of medical, indemnity, and death benefits through section 112.1816, Florida Statutes, bars receipt of death benefits under section 440.16, Florida Statutes. We conclude that it does not and set aside the order below.” </w:t>
      </w:r>
      <w:hyperlink r:id="rId1119" w:history="1">
        <w:r w:rsidRPr="00956CFD">
          <w:rPr>
            <w:rStyle w:val="Hyperlink"/>
            <w:rFonts w:eastAsiaTheme="majorEastAsia"/>
          </w:rPr>
          <w:t>https://caselaw.findlaw.com/court/fl-district-court-of-appeal/115346402.html</w:t>
        </w:r>
      </w:hyperlink>
      <w:r>
        <w:t xml:space="preserve"> </w:t>
      </w:r>
    </w:p>
    <w:p w14:paraId="0C2780B5" w14:textId="77777777" w:rsidR="00A65FD8" w:rsidRDefault="00A65FD8" w:rsidP="00A65FD8">
      <w:pPr>
        <w:pStyle w:val="defaultstyledtext-tl066j-0"/>
        <w:rPr>
          <w:b/>
          <w:bCs/>
        </w:rPr>
      </w:pPr>
      <w:r w:rsidRPr="00C71B53">
        <w:rPr>
          <w:b/>
          <w:bCs/>
        </w:rPr>
        <w:t xml:space="preserve">Legal Lesson Learned: </w:t>
      </w:r>
      <w:r>
        <w:rPr>
          <w:b/>
          <w:bCs/>
        </w:rPr>
        <w:t>The Court has properly examined the legislative intent when interpreting the statutes.</w:t>
      </w:r>
    </w:p>
    <w:p w14:paraId="62814FA2" w14:textId="77777777" w:rsidR="00A65FD8" w:rsidRDefault="00A65FD8" w:rsidP="00A65FD8">
      <w:pPr>
        <w:pStyle w:val="NormalWeb"/>
        <w:ind w:left="720"/>
      </w:pPr>
      <w:r w:rsidRPr="009C192C">
        <w:t>Note:</w:t>
      </w:r>
      <w:r>
        <w:rPr>
          <w:b/>
          <w:bCs/>
        </w:rPr>
        <w:t xml:space="preserve"> </w:t>
      </w:r>
      <w:r>
        <w:t xml:space="preserve">See Oct. 25, </w:t>
      </w:r>
      <w:proofErr w:type="gramStart"/>
      <w:r>
        <w:t>2023</w:t>
      </w:r>
      <w:proofErr w:type="gramEnd"/>
      <w:r>
        <w:t xml:space="preserve"> article, “</w:t>
      </w:r>
      <w:r w:rsidRPr="00C71B53">
        <w:t xml:space="preserve">Appeals court ruling paves way for Orange County firefighter’s widow to seek workers’ comp payout.” </w:t>
      </w:r>
      <w:hyperlink r:id="rId1120" w:history="1">
        <w:r w:rsidRPr="00956CFD">
          <w:rPr>
            <w:rStyle w:val="Hyperlink"/>
            <w:rFonts w:eastAsiaTheme="majorEastAsia"/>
          </w:rPr>
          <w:t>https://www.wftv.com/news/local/appeals-court-ruling-paves-way-orange-county-firefighters-widow-seek-workers-comp-payout/QFOHSP22XNHLXLGDFDZYKLTKMM/</w:t>
        </w:r>
      </w:hyperlink>
      <w:r>
        <w:t xml:space="preserve"> </w:t>
      </w:r>
    </w:p>
    <w:p w14:paraId="15D8D651" w14:textId="77777777" w:rsidR="00A65FD8" w:rsidRDefault="00A65FD8" w:rsidP="00A65FD8">
      <w:pPr>
        <w:pStyle w:val="NormalWeb"/>
        <w:ind w:left="720"/>
      </w:pPr>
      <w:r>
        <w:t>ORANGE COUNTY, Fla. — A First District Court of Appeals judge has ruled in favor of an Orange County firefighter’s widow, who was fighting for payment promised to her under state law after her husband died of work-related cancer.</w:t>
      </w:r>
    </w:p>
    <w:p w14:paraId="3AA29A72" w14:textId="77777777" w:rsidR="00A65FD8" w:rsidRDefault="00A65FD8" w:rsidP="00A65FD8">
      <w:pPr>
        <w:pStyle w:val="defaultstyledtext-tl066j-0"/>
        <w:ind w:left="720"/>
      </w:pPr>
      <w:r>
        <w:t>The ruling clears the way for her to petition for $150,000 in workers’ compensation benefits related to her husband’s death; something Orange County had questioned whether she was entitled to seek because her husband had accepted a one-time $25,000 payout when he was first diagnosed with work-related brain cancer.</w:t>
      </w:r>
    </w:p>
    <w:p w14:paraId="0B0BEA06" w14:textId="77777777" w:rsidR="00A65FD8" w:rsidRDefault="00A65FD8" w:rsidP="00A65FD8">
      <w:pPr>
        <w:pStyle w:val="defaultstyledtext-tl066j-0"/>
        <w:ind w:left="720"/>
      </w:pPr>
      <w:r>
        <w:t>Eric Siena was on the top of his game as an Orange County firefighter before being diagnosed with glioblastoma in January 2020. The devastating brain cancer would take his life in May of 2021.</w:t>
      </w:r>
    </w:p>
    <w:p w14:paraId="631D9D27" w14:textId="77777777" w:rsidR="00A65FD8" w:rsidRDefault="00A65FD8" w:rsidP="00A65FD8">
      <w:pPr>
        <w:pStyle w:val="defaultstyledtext-tl066j-0"/>
        <w:ind w:left="720"/>
      </w:pPr>
      <w:r>
        <w:lastRenderedPageBreak/>
        <w:t>His wife Christy, who was also a first responder, was left alone to fight the system instead of fires.</w:t>
      </w:r>
    </w:p>
    <w:p w14:paraId="0222CB1F" w14:textId="77777777" w:rsidR="00A65FD8" w:rsidRDefault="00A65FD8" w:rsidP="00A65FD8">
      <w:pPr>
        <w:pStyle w:val="defaultstyledtext-tl066j-0"/>
        <w:ind w:left="720"/>
      </w:pPr>
      <w:r>
        <w:t>‘There’s not another decision in the state that has dealt with this issue so far,’ attorney Geoff Bichler said during a previous interview with 9 Investigates. Bichler has been fighting with Siena for the $150,000 payment, arguing that because each portion of the payout is covered by separate portions of the statute, receiving one does not prevent descendants from applying for the other.</w:t>
      </w:r>
    </w:p>
    <w:p w14:paraId="0BD71199" w14:textId="77777777" w:rsidR="00A65FD8" w:rsidRDefault="00A65FD8" w:rsidP="00A65FD8">
      <w:pPr>
        <w:pStyle w:val="defaultstyledtext-tl066j-0"/>
        <w:ind w:left="720"/>
      </w:pPr>
      <w:r>
        <w:t xml:space="preserve">‘Most employers are operating from the assumption that if they pay this benefit, they’re off the hook for worker’s compensation, and we do not agree with that,’ Bichler </w:t>
      </w:r>
      <w:proofErr w:type="gramStart"/>
      <w:r>
        <w:t>said.”</w:t>
      </w:r>
      <w:proofErr w:type="gramEnd"/>
    </w:p>
    <w:p w14:paraId="71FF1A34" w14:textId="77777777" w:rsidR="00A65FD8" w:rsidRDefault="00A65FD8" w:rsidP="00EF1133">
      <w:pPr>
        <w:rPr>
          <w:rFonts w:ascii="Arial Black" w:hAnsi="Arial Black"/>
          <w:b/>
          <w:sz w:val="24"/>
          <w:szCs w:val="24"/>
        </w:rPr>
      </w:pPr>
    </w:p>
    <w:p w14:paraId="67D2BEEB" w14:textId="7DD21865" w:rsidR="00A65FD8" w:rsidRDefault="00A65FD8" w:rsidP="00EF1133">
      <w:pPr>
        <w:rPr>
          <w:rFonts w:ascii="Arial Black" w:hAnsi="Arial Black"/>
          <w:b/>
          <w:sz w:val="24"/>
          <w:szCs w:val="24"/>
        </w:rPr>
      </w:pPr>
      <w:r>
        <w:rPr>
          <w:rFonts w:ascii="Arial Black" w:hAnsi="Arial Black"/>
          <w:b/>
          <w:sz w:val="24"/>
          <w:szCs w:val="24"/>
        </w:rPr>
        <w:t>6-12</w:t>
      </w:r>
      <w:r w:rsidR="002A0697">
        <w:rPr>
          <w:rFonts w:ascii="Arial Black" w:hAnsi="Arial Black"/>
          <w:b/>
          <w:sz w:val="24"/>
          <w:szCs w:val="24"/>
        </w:rPr>
        <w:t>0</w:t>
      </w:r>
    </w:p>
    <w:p w14:paraId="1570C17B" w14:textId="77777777" w:rsidR="00A65FD8" w:rsidRDefault="00A65FD8" w:rsidP="00A65FD8">
      <w:pPr>
        <w:pStyle w:val="NormalWeb"/>
        <w:rPr>
          <w:rFonts w:ascii="Arial Black" w:hAnsi="Arial Black"/>
          <w:b/>
          <w:bCs/>
          <w:sz w:val="28"/>
          <w:szCs w:val="28"/>
        </w:rPr>
      </w:pPr>
      <w:r>
        <w:rPr>
          <w:rFonts w:ascii="Arial Black" w:hAnsi="Arial Black"/>
          <w:b/>
          <w:bCs/>
          <w:sz w:val="28"/>
          <w:szCs w:val="28"/>
        </w:rPr>
        <w:t>OH: CINCINNATI FF – THYROID CANCER – OHIO STATUTORY PRESUMPTION – FF FINALLY WINS WORKERS COMP.</w:t>
      </w:r>
    </w:p>
    <w:p w14:paraId="21BB4C59" w14:textId="77777777" w:rsidR="00A65FD8" w:rsidRDefault="00A65FD8" w:rsidP="00A65FD8">
      <w:pPr>
        <w:pStyle w:val="NormalWeb"/>
      </w:pPr>
      <w:r>
        <w:t xml:space="preserve">On </w:t>
      </w:r>
      <w:proofErr w:type="gramStart"/>
      <w:r>
        <w:t>Oct,</w:t>
      </w:r>
      <w:proofErr w:type="gramEnd"/>
      <w:r>
        <w:t xml:space="preserve"> 5, 2023, in </w:t>
      </w:r>
      <w:r>
        <w:rPr>
          <w:u w:val="single"/>
        </w:rPr>
        <w:t>State ex rel. City of Cincinnati v. Industrial Commission of Ohio  (Joseph C. Conley)</w:t>
      </w:r>
      <w:r>
        <w:t xml:space="preserve">, the Ohio Court of Appeals, Tenth District, refused the City’s petition for a writ of mandamus, and upheld the Industrial Commission’s award of workers comp for the firefighter. The Court held: “Although Dr. [Rafid] </w:t>
      </w:r>
      <w:proofErr w:type="spellStart"/>
      <w:r>
        <w:t>Kakel</w:t>
      </w:r>
      <w:proofErr w:type="spellEnd"/>
      <w:r>
        <w:t xml:space="preserve">, M.D. </w:t>
      </w:r>
      <w:proofErr w:type="spellStart"/>
      <w:r>
        <w:t>Kakel</w:t>
      </w:r>
      <w:proofErr w:type="spellEnd"/>
      <w:r>
        <w:t xml:space="preserve"> opined that Conley's exposure to the carcinogens may not have been the cause of Conley's thyroid cancer, Dr. </w:t>
      </w:r>
      <w:proofErr w:type="spellStart"/>
      <w:r>
        <w:t>Kakel's</w:t>
      </w:r>
      <w:proofErr w:type="spellEnd"/>
      <w:r>
        <w:t xml:space="preserve"> report did not show by a preponderance of competent scientific evidence that Conley's exposure to the carcinogens </w:t>
      </w:r>
      <w:r>
        <w:rPr>
          <w:rStyle w:val="Emphasis"/>
        </w:rPr>
        <w:t>did not or could not have</w:t>
      </w:r>
      <w:r>
        <w:t xml:space="preserve"> caused Conley's thyroid cancer. Thus, because Cincinnati put forth insufficient evidence to rebut the statutory presumption in R.C. 4123.68(X), the SHO's [Staff Hearing Officer] order contained a clear mistake of law.” </w:t>
      </w:r>
      <w:hyperlink r:id="rId1121" w:history="1">
        <w:r>
          <w:rPr>
            <w:rStyle w:val="Hyperlink"/>
          </w:rPr>
          <w:t>https://casetext.com/case/state-ex-rel-city-of-cincinnati-v-indus-commn-of-ohio</w:t>
        </w:r>
      </w:hyperlink>
      <w:r>
        <w:t xml:space="preserve"> </w:t>
      </w:r>
    </w:p>
    <w:p w14:paraId="6A39C5A4" w14:textId="77777777" w:rsidR="00A65FD8" w:rsidRDefault="00A65FD8" w:rsidP="00A65FD8">
      <w:pPr>
        <w:pStyle w:val="NormalWeb"/>
        <w:rPr>
          <w:b/>
          <w:bCs/>
        </w:rPr>
      </w:pPr>
      <w:r>
        <w:rPr>
          <w:b/>
          <w:bCs/>
        </w:rPr>
        <w:t xml:space="preserve">Legal Lesson Learned:  It was a three-year fight, with numerous appeals, but the firefighter was victorious under the Ohio statutory presumption statute. </w:t>
      </w:r>
    </w:p>
    <w:p w14:paraId="520402E3" w14:textId="77777777" w:rsidR="00A65FD8" w:rsidRDefault="00A65FD8" w:rsidP="00EF1133">
      <w:pPr>
        <w:rPr>
          <w:rFonts w:ascii="Arial Black" w:hAnsi="Arial Black"/>
          <w:b/>
          <w:sz w:val="24"/>
          <w:szCs w:val="24"/>
        </w:rPr>
      </w:pPr>
    </w:p>
    <w:p w14:paraId="4136FF35" w14:textId="50D8AC96" w:rsidR="00A65FD8" w:rsidRDefault="00A65FD8" w:rsidP="00EF1133">
      <w:pPr>
        <w:rPr>
          <w:rFonts w:ascii="Arial Black" w:hAnsi="Arial Black"/>
          <w:b/>
          <w:sz w:val="24"/>
          <w:szCs w:val="24"/>
        </w:rPr>
      </w:pPr>
      <w:r>
        <w:rPr>
          <w:rFonts w:ascii="Arial Black" w:hAnsi="Arial Black"/>
          <w:b/>
          <w:sz w:val="24"/>
          <w:szCs w:val="24"/>
        </w:rPr>
        <w:t>6-1</w:t>
      </w:r>
      <w:r w:rsidR="002A0697">
        <w:rPr>
          <w:rFonts w:ascii="Arial Black" w:hAnsi="Arial Black"/>
          <w:b/>
          <w:sz w:val="24"/>
          <w:szCs w:val="24"/>
        </w:rPr>
        <w:t>19</w:t>
      </w:r>
    </w:p>
    <w:p w14:paraId="4FEAD6CC" w14:textId="77777777" w:rsidR="00832745" w:rsidRPr="00BF3F98" w:rsidRDefault="00832745" w:rsidP="00832745">
      <w:pPr>
        <w:pStyle w:val="NormalWeb"/>
        <w:rPr>
          <w:rFonts w:ascii="Arial Black" w:hAnsi="Arial Black"/>
          <w:b/>
          <w:bCs/>
          <w:sz w:val="28"/>
          <w:szCs w:val="28"/>
        </w:rPr>
      </w:pPr>
      <w:r w:rsidRPr="00BF3F98">
        <w:rPr>
          <w:rFonts w:ascii="Arial Black" w:hAnsi="Arial Black"/>
          <w:b/>
          <w:bCs/>
          <w:sz w:val="28"/>
          <w:szCs w:val="28"/>
        </w:rPr>
        <w:t>PA: VOL. FF WITH CHRONIC LYMPHOCTIC LEUKEMIA [CLE] – DENIED WORK COMP - NO MEDICAL STUDIES LINKED JOB</w:t>
      </w:r>
    </w:p>
    <w:p w14:paraId="1253D223" w14:textId="7F3F2034" w:rsidR="00A65FD8" w:rsidRDefault="00832745" w:rsidP="00832745">
      <w:pPr>
        <w:rPr>
          <w:rFonts w:ascii="Arial Black" w:hAnsi="Arial Black"/>
          <w:b/>
          <w:sz w:val="24"/>
          <w:szCs w:val="24"/>
        </w:rPr>
      </w:pPr>
      <w:r w:rsidRPr="00BF3F98">
        <w:rPr>
          <w:rFonts w:ascii="Times New Roman" w:hAnsi="Times New Roman"/>
          <w:sz w:val="24"/>
          <w:szCs w:val="24"/>
        </w:rPr>
        <w:t xml:space="preserve">On April 14, 2023, </w:t>
      </w:r>
      <w:r w:rsidRPr="00BF3F98">
        <w:rPr>
          <w:rFonts w:ascii="Times New Roman" w:hAnsi="Times New Roman"/>
          <w:sz w:val="24"/>
          <w:szCs w:val="24"/>
          <w:u w:val="single"/>
        </w:rPr>
        <w:t>in Nicholas Caruccio v. Shrewsbury Borough (Workers’ Compensation Appeal Board)</w:t>
      </w:r>
      <w:r w:rsidRPr="00BF3F98">
        <w:rPr>
          <w:rFonts w:ascii="Times New Roman" w:hAnsi="Times New Roman"/>
          <w:sz w:val="24"/>
          <w:szCs w:val="24"/>
        </w:rPr>
        <w:t xml:space="preserve">, the Commonwealth Court of Pennsylvania held (3 to 0; unpublished opinion) that even though PA has a firefighter statutory presumption law, the Workers Comp administrative law judge properly concluded there is no medical evidence that CLE was caused by his exposure to carcinogens.  The Court held: “Based on our review of the evidence, and the WCJ’s findings and credibility determinations, Claimant was unable to establish Section 108(r) general causation. In other words, based on the credited evidence, Claimant failed to demonstrate that his exposure to several IARC Group 1 carcinogens possibly caused his CLL.  In this case, Claimant’s expert, Dr. Guidotti, conceded that there is no specific epidemiological evidence demonstrating a link between CLL and exposure to benzene, TCE, or dioxins. Report of Dr. Guidotti at 5-6. *** In response, Dr. Sandler [employer’s expert] noted his agreement with Dr. Guidotti that ‘there is no scientific/medical literature, comprehensive </w:t>
      </w:r>
      <w:r w:rsidRPr="00BF3F98">
        <w:rPr>
          <w:rFonts w:ascii="Times New Roman" w:hAnsi="Times New Roman"/>
          <w:sz w:val="24"/>
          <w:szCs w:val="24"/>
        </w:rPr>
        <w:lastRenderedPageBreak/>
        <w:t xml:space="preserve">assessments and meta-analyses to show a causal relationship between possible firefighter </w:t>
      </w:r>
      <w:proofErr w:type="gramStart"/>
      <w:r w:rsidRPr="00BF3F98">
        <w:rPr>
          <w:rFonts w:ascii="Times New Roman" w:hAnsi="Times New Roman"/>
          <w:sz w:val="24"/>
          <w:szCs w:val="24"/>
        </w:rPr>
        <w:t>exposures</w:t>
      </w:r>
      <w:proofErr w:type="gramEnd"/>
      <w:r w:rsidRPr="00BF3F98">
        <w:rPr>
          <w:rFonts w:ascii="Times New Roman" w:hAnsi="Times New Roman"/>
          <w:sz w:val="24"/>
          <w:szCs w:val="24"/>
        </w:rPr>
        <w:t xml:space="preserve"> especially those potentially received as a volunteer firefighter and the development of CLL/SCL.’ Report of Dr. Sandler at 7 (double emphasis in original). *** As in Malone, the WCJ considered the evidence and made a reasoned decision to credit one expert opinion over another. Cf. Malone. In this case, the WCJ found Dr. Sandler’s opinion credible and rejected the opinion of Dr. Guidotti. This decision was neither arbitrary nor capricious and is supported by substantial evidence of record. See Morocho, 167 A.3d at 858 n.4; Kriebel, 29 A.3d at 769. We therefore decline to overturn the WCJ’s findings on appeal.”</w:t>
      </w:r>
      <w:hyperlink r:id="rId1122" w:history="1">
        <w:r w:rsidRPr="00BF3F98">
          <w:rPr>
            <w:rStyle w:val="Hyperlink"/>
            <w:rFonts w:ascii="Times New Roman" w:eastAsiaTheme="majorEastAsia" w:hAnsi="Times New Roman"/>
            <w:sz w:val="24"/>
            <w:szCs w:val="24"/>
          </w:rPr>
          <w:t>https://www.pacourts.us/assets/opinions/Commonwealth/out/726CD22_10-3-23.pdf?cb=1</w:t>
        </w:r>
      </w:hyperlink>
    </w:p>
    <w:p w14:paraId="44D4881D" w14:textId="77777777" w:rsidR="00832745" w:rsidRPr="000755D1" w:rsidRDefault="00832745" w:rsidP="00832745">
      <w:pPr>
        <w:pStyle w:val="NormalWeb"/>
        <w:rPr>
          <w:b/>
          <w:bCs/>
        </w:rPr>
      </w:pPr>
      <w:r w:rsidRPr="000755D1">
        <w:rPr>
          <w:b/>
          <w:bCs/>
        </w:rPr>
        <w:t xml:space="preserve">Legal Lesson Learned: </w:t>
      </w:r>
      <w:r>
        <w:rPr>
          <w:b/>
          <w:bCs/>
        </w:rPr>
        <w:t xml:space="preserve">Firefighters with cancer still must provide credible evidence that Group 1 carcinogens can cause their cancer. </w:t>
      </w:r>
    </w:p>
    <w:p w14:paraId="0CAA0922" w14:textId="77777777" w:rsidR="00A65FD8" w:rsidRDefault="00A65FD8" w:rsidP="00EF1133">
      <w:pPr>
        <w:rPr>
          <w:rFonts w:ascii="Arial Black" w:hAnsi="Arial Black"/>
          <w:b/>
          <w:sz w:val="24"/>
          <w:szCs w:val="24"/>
        </w:rPr>
      </w:pPr>
    </w:p>
    <w:p w14:paraId="47BD11BD" w14:textId="77777777" w:rsidR="00A65FD8" w:rsidRDefault="00A65FD8" w:rsidP="00EF1133">
      <w:pPr>
        <w:rPr>
          <w:rFonts w:ascii="Arial Black" w:hAnsi="Arial Black"/>
          <w:b/>
          <w:sz w:val="24"/>
          <w:szCs w:val="24"/>
        </w:rPr>
      </w:pPr>
    </w:p>
    <w:p w14:paraId="327490B6" w14:textId="757CF6A1" w:rsidR="00411936" w:rsidRDefault="00411936" w:rsidP="00EF1133">
      <w:pPr>
        <w:rPr>
          <w:rFonts w:ascii="Arial Black" w:hAnsi="Arial Black"/>
          <w:b/>
          <w:sz w:val="24"/>
          <w:szCs w:val="24"/>
        </w:rPr>
      </w:pPr>
      <w:r>
        <w:rPr>
          <w:rFonts w:ascii="Arial Black" w:hAnsi="Arial Black"/>
          <w:b/>
          <w:sz w:val="24"/>
          <w:szCs w:val="24"/>
        </w:rPr>
        <w:t>6-11</w:t>
      </w:r>
      <w:r w:rsidR="002A0697">
        <w:rPr>
          <w:rFonts w:ascii="Arial Black" w:hAnsi="Arial Black"/>
          <w:b/>
          <w:sz w:val="24"/>
          <w:szCs w:val="24"/>
        </w:rPr>
        <w:t>8</w:t>
      </w:r>
    </w:p>
    <w:p w14:paraId="6D93090B" w14:textId="77777777" w:rsidR="00411936" w:rsidRPr="009850B1" w:rsidRDefault="00411936" w:rsidP="00411936">
      <w:pPr>
        <w:pStyle w:val="NormalWeb"/>
        <w:rPr>
          <w:rFonts w:ascii="Arial Black" w:hAnsi="Arial Black"/>
          <w:sz w:val="28"/>
          <w:szCs w:val="28"/>
        </w:rPr>
      </w:pPr>
      <w:r>
        <w:rPr>
          <w:rFonts w:ascii="Arial Black" w:hAnsi="Arial Black"/>
          <w:sz w:val="28"/>
          <w:szCs w:val="28"/>
        </w:rPr>
        <w:t>AR: FF BRAIN CANCER 2020 – NEW STATE LAW IN 2021  STATUTORY PRESUMPTION – COVERED UNDER NEW LAW</w:t>
      </w:r>
    </w:p>
    <w:p w14:paraId="3CCECDFA" w14:textId="77777777" w:rsidR="00411936" w:rsidRDefault="00411936" w:rsidP="00411936">
      <w:pPr>
        <w:pStyle w:val="NormalWeb"/>
      </w:pPr>
      <w:r>
        <w:t>On July 11, 2023</w:t>
      </w:r>
      <w:proofErr w:type="gramStart"/>
      <w:r>
        <w:t>, in</w:t>
      </w:r>
      <w:proofErr w:type="gramEnd"/>
      <w:r>
        <w:t xml:space="preserve"> </w:t>
      </w:r>
      <w:r w:rsidRPr="001E5789">
        <w:rPr>
          <w:u w:val="single"/>
        </w:rPr>
        <w:t>Robert Vande Krol v. The Industrial Commission of Arizona, et al</w:t>
      </w:r>
      <w:r>
        <w:t xml:space="preserve">., the Court of Appeals of Arizona, First Division, held (3 to 0) that the Industrial Commission’s Administrative Law Judge incorrectly applied 2017 statute where there was no statutory presumption. The firefighter (18 years on the job; age 50 when cancer was detected); when the ALJ held the 3-day hearing the new 2021 statutory presumption statute was in effect.  The Court held this was a “procedural” change in law, and ALJ should have followed it.  The FF is entitled to workers comp coverage unless the insurance company for the FD has clear and convincing evidence that cancer was not caused by the job. </w:t>
      </w:r>
    </w:p>
    <w:p w14:paraId="64C0C7B6" w14:textId="77777777" w:rsidR="00411936" w:rsidRDefault="00411936" w:rsidP="00411936">
      <w:pPr>
        <w:pStyle w:val="NormalWeb"/>
      </w:pPr>
      <w:r>
        <w:t>The Court held:</w:t>
      </w:r>
    </w:p>
    <w:p w14:paraId="52BA6D6E" w14:textId="77777777" w:rsidR="00411936" w:rsidRDefault="00411936" w:rsidP="00411936">
      <w:pPr>
        <w:pStyle w:val="NormalWeb"/>
      </w:pPr>
      <w:r>
        <w:t xml:space="preserve">“The 2021 statute contains a </w:t>
      </w:r>
      <w:r>
        <w:rPr>
          <w:rStyle w:val="Emphasis"/>
        </w:rPr>
        <w:t>procedural</w:t>
      </w:r>
      <w:r>
        <w:t xml:space="preserve"> presumption-the presumption is rebuttable and disappears with clear and convincing evidence of ‘a specific cause of the cancer other than an occupational exposure to a carcinogen.’ A.R.S. § 23-901.09(E). *** Arizona's workers' compensation system provides covered firefighters with benefits for workplace injuries. Yet not all firefighting injuries are alike. Physical injuries stemming from perceptible dangers (like burns or smoke inhalation from rushing into a burning building) are easily provable. Occupational diseases stemming from imperceptible dangers (like cancer from inhaling carcinogens or other noxious chemicals) are more difficult (if not impossible) to prove, particularly as to causation. *** We conclude the 2021 statute applies to Vande Krol's workers' compensation claim, and we, therefore, need not address whether the ALJ correctly interpreted the 2017 statute. Because </w:t>
      </w:r>
      <w:proofErr w:type="gramStart"/>
      <w:r>
        <w:t>the ALJ</w:t>
      </w:r>
      <w:proofErr w:type="gramEnd"/>
      <w:r>
        <w:t xml:space="preserve"> did not apply the 2021 statute, we set aside the award of non-compensation. The parties and the ALJ all correctly agreed Vande Krol satisfied the elements necessary to invoke the presumption in the 2021 statute. We </w:t>
      </w:r>
      <w:proofErr w:type="gramStart"/>
      <w:r>
        <w:t>remand to allow the</w:t>
      </w:r>
      <w:proofErr w:type="gramEnd"/>
      <w:r>
        <w:t xml:space="preserve"> ALJ </w:t>
      </w:r>
      <w:proofErr w:type="gramStart"/>
      <w:r>
        <w:t>to determine</w:t>
      </w:r>
      <w:proofErr w:type="gramEnd"/>
      <w:r>
        <w:t xml:space="preserve"> in the first instance whether Benchmark [Insurance Company] presented clear and convincing evidence to rebut the presumption. *** Distilled down, we apply a rather straightforward framework: applying a new procedural statute to a future procedure is not applying the statute retroactively and is generally permissible.”  </w:t>
      </w:r>
      <w:hyperlink r:id="rId1123" w:history="1">
        <w:r w:rsidRPr="007B2850">
          <w:rPr>
            <w:rStyle w:val="Hyperlink"/>
            <w:rFonts w:eastAsiaTheme="majorEastAsia"/>
          </w:rPr>
          <w:t>https://public.fastcase.com/ZZhmr5v9wN%2FXOe5IsQ%2FqD%2FaLdDTUZ9Bp4i3kiVRF7d97YDP9rIPdBi21RNkcNkR5tUpl7J0i2aSQMqXbficIjpy79lKVHToNjy22tiJ4vWE%3D?utm_medium=email&amp;_hsmi=226712652&amp;_hsenc=p2ANqtz-9MD5NcRenWzxZK3r0B0IWrLCE0j3XNAkXqR3ZxFb7wcv_xjopQQNgTmJWg80Fq-GGoAscEcs0qRLFtSd9eSgTH9vCqyg&amp;utm_content=226712652&amp;utm_source=hs_email</w:t>
        </w:r>
      </w:hyperlink>
      <w:r>
        <w:t xml:space="preserve"> </w:t>
      </w:r>
    </w:p>
    <w:p w14:paraId="78DE78FC" w14:textId="77777777" w:rsidR="00411936" w:rsidRDefault="00411936" w:rsidP="00411936">
      <w:pPr>
        <w:pStyle w:val="NormalWeb"/>
        <w:rPr>
          <w:b/>
          <w:bCs/>
        </w:rPr>
      </w:pPr>
      <w:r w:rsidRPr="00321A87">
        <w:rPr>
          <w:b/>
          <w:bCs/>
        </w:rPr>
        <w:lastRenderedPageBreak/>
        <w:t xml:space="preserve">Legal Lesson Learned: </w:t>
      </w:r>
      <w:r>
        <w:rPr>
          <w:b/>
          <w:bCs/>
        </w:rPr>
        <w:t xml:space="preserve">Great decision; firefighter is protected by the new “procedural” statutory presumption law. </w:t>
      </w:r>
    </w:p>
    <w:p w14:paraId="1FB392FF" w14:textId="77777777" w:rsidR="00411936" w:rsidRDefault="00411936" w:rsidP="00EF1133">
      <w:pPr>
        <w:rPr>
          <w:rFonts w:ascii="Arial Black" w:hAnsi="Arial Black"/>
          <w:b/>
          <w:sz w:val="24"/>
          <w:szCs w:val="24"/>
        </w:rPr>
      </w:pPr>
    </w:p>
    <w:p w14:paraId="09C954F4" w14:textId="77777777" w:rsidR="00411936" w:rsidRDefault="00411936" w:rsidP="00EF1133">
      <w:pPr>
        <w:rPr>
          <w:rFonts w:ascii="Arial Black" w:hAnsi="Arial Black"/>
          <w:b/>
          <w:sz w:val="24"/>
          <w:szCs w:val="24"/>
        </w:rPr>
      </w:pPr>
    </w:p>
    <w:p w14:paraId="177B68CD" w14:textId="0D2217C8" w:rsidR="00FE60DA" w:rsidRDefault="00BC4628" w:rsidP="00EF1133">
      <w:pPr>
        <w:rPr>
          <w:rFonts w:ascii="Arial Black" w:hAnsi="Arial Black"/>
          <w:b/>
          <w:sz w:val="24"/>
          <w:szCs w:val="24"/>
        </w:rPr>
      </w:pPr>
      <w:r>
        <w:rPr>
          <w:rFonts w:ascii="Arial Black" w:hAnsi="Arial Black"/>
          <w:b/>
          <w:sz w:val="24"/>
          <w:szCs w:val="24"/>
        </w:rPr>
        <w:t>6-11</w:t>
      </w:r>
      <w:r w:rsidR="002A0697">
        <w:rPr>
          <w:rFonts w:ascii="Arial Black" w:hAnsi="Arial Black"/>
          <w:b/>
          <w:sz w:val="24"/>
          <w:szCs w:val="24"/>
        </w:rPr>
        <w:t>7</w:t>
      </w:r>
    </w:p>
    <w:p w14:paraId="27FBE35E" w14:textId="77777777" w:rsidR="00BC4628" w:rsidRDefault="00BC4628" w:rsidP="00BC4628">
      <w:pPr>
        <w:spacing w:before="100" w:beforeAutospacing="1" w:after="100" w:afterAutospacing="1" w:line="240" w:lineRule="auto"/>
        <w:rPr>
          <w:rFonts w:ascii="Arial Black" w:hAnsi="Arial Black"/>
          <w:sz w:val="28"/>
          <w:szCs w:val="28"/>
        </w:rPr>
      </w:pPr>
      <w:r>
        <w:rPr>
          <w:rFonts w:ascii="Arial Black" w:hAnsi="Arial Black"/>
          <w:sz w:val="28"/>
          <w:szCs w:val="28"/>
        </w:rPr>
        <w:t>PA: KIDNEY CANCER AFTER HE RETIRED - 37 YRS CITY FF - NOW TWP FIRE MARSHAL – CITY’S WORK. COMP. LIABLE</w:t>
      </w:r>
    </w:p>
    <w:p w14:paraId="054E5A67" w14:textId="77777777" w:rsidR="00BC4628" w:rsidRDefault="00BC4628" w:rsidP="00BC4628">
      <w:pPr>
        <w:pStyle w:val="NormalWeb"/>
      </w:pPr>
      <w:r>
        <w:t xml:space="preserve">On July 6, 2023, in </w:t>
      </w:r>
      <w:r w:rsidRPr="009B0261">
        <w:rPr>
          <w:u w:val="single"/>
        </w:rPr>
        <w:t>City of Chester v. John Gresch and Nether Providence Township (Workers’ Compensation Appeal Board)</w:t>
      </w:r>
      <w:r>
        <w:t xml:space="preserve">, the Commonwealth Court of Pennsylvania, held (3 to 0; unpublished decision) that the Worker’s Compensation Board properly held that the City, not the Township, must </w:t>
      </w:r>
      <w:proofErr w:type="gramStart"/>
      <w:r>
        <w:t>covered</w:t>
      </w:r>
      <w:proofErr w:type="gramEnd"/>
      <w:r>
        <w:t xml:space="preserve"> his disability claim. </w:t>
      </w:r>
    </w:p>
    <w:p w14:paraId="29EEDF4F" w14:textId="77777777" w:rsidR="00BC4628" w:rsidRPr="009B0261" w:rsidRDefault="00BC4628" w:rsidP="00BC4628">
      <w:pPr>
        <w:pStyle w:val="NormalWeb"/>
      </w:pPr>
      <w:r w:rsidRPr="009B0261">
        <w:t xml:space="preserve">The Court held: </w:t>
      </w:r>
      <w:r>
        <w:t>“</w:t>
      </w:r>
      <w:r w:rsidRPr="009B0261">
        <w:t xml:space="preserve">Although Claimant worked for the Township more recently, for two years immediately preceding his diagnosis, Claimant credibly testified that he responded to six or seven fires in total while employed by the Township. In contrast, Claimant responded to 12 fires per month while employed by the </w:t>
      </w:r>
      <w:proofErr w:type="gramStart"/>
      <w:r w:rsidRPr="009B0261">
        <w:t>City</w:t>
      </w:r>
      <w:proofErr w:type="gramEnd"/>
      <w:r w:rsidRPr="009B0261">
        <w:t xml:space="preserve">. It is therefore obvious that Claimant's actual exposure to the relevant group 1 carcinogens was far greater while employed by the </w:t>
      </w:r>
      <w:proofErr w:type="gramStart"/>
      <w:r w:rsidRPr="009B0261">
        <w:t>City</w:t>
      </w:r>
      <w:proofErr w:type="gramEnd"/>
      <w:r w:rsidRPr="009B0261">
        <w:t xml:space="preserve"> than the Township. Thus, the </w:t>
      </w:r>
      <w:proofErr w:type="gramStart"/>
      <w:r w:rsidRPr="009B0261">
        <w:t>City</w:t>
      </w:r>
      <w:proofErr w:type="gramEnd"/>
      <w:r w:rsidRPr="009B0261">
        <w:t xml:space="preserve"> is liable for the payment of Claimant's workers' compensation </w:t>
      </w:r>
      <w:proofErr w:type="gramStart"/>
      <w:r w:rsidRPr="009B0261">
        <w:t>benefits.</w:t>
      </w:r>
      <w:r>
        <w:t>”</w:t>
      </w:r>
      <w:proofErr w:type="gramEnd"/>
      <w:r>
        <w:t xml:space="preserve"> </w:t>
      </w:r>
      <w:hyperlink r:id="rId1124" w:history="1">
        <w:r w:rsidRPr="00812663">
          <w:rPr>
            <w:rStyle w:val="Hyperlink"/>
          </w:rPr>
          <w:t>https://law.justia.com/cases/pennsylvania/commonwealth-court/2023/1040-c-d-2021.html</w:t>
        </w:r>
      </w:hyperlink>
      <w:r>
        <w:t xml:space="preserve"> </w:t>
      </w:r>
    </w:p>
    <w:p w14:paraId="08711EE1" w14:textId="77777777" w:rsidR="00BC4628" w:rsidRDefault="00BC4628" w:rsidP="00BC4628">
      <w:pPr>
        <w:spacing w:before="100" w:beforeAutospacing="1" w:after="100" w:afterAutospacing="1" w:line="240" w:lineRule="auto"/>
        <w:rPr>
          <w:rFonts w:ascii="Times New Roman" w:hAnsi="Times New Roman"/>
          <w:b/>
          <w:bCs/>
          <w:sz w:val="24"/>
          <w:szCs w:val="24"/>
        </w:rPr>
      </w:pPr>
      <w:r w:rsidRPr="009B0261">
        <w:rPr>
          <w:rFonts w:ascii="Times New Roman" w:hAnsi="Times New Roman"/>
          <w:b/>
          <w:bCs/>
          <w:sz w:val="24"/>
          <w:szCs w:val="24"/>
        </w:rPr>
        <w:t xml:space="preserve">Legal Lesson Learned: </w:t>
      </w:r>
      <w:r>
        <w:rPr>
          <w:rFonts w:ascii="Times New Roman" w:hAnsi="Times New Roman"/>
          <w:b/>
          <w:bCs/>
          <w:sz w:val="24"/>
          <w:szCs w:val="24"/>
        </w:rPr>
        <w:t xml:space="preserve">Another case where a city’s worker’s comp representative seeks to avoid clear legal obligation. </w:t>
      </w:r>
    </w:p>
    <w:p w14:paraId="1151AE43" w14:textId="77777777" w:rsidR="00FE60DA" w:rsidRDefault="00FE60DA" w:rsidP="00EF1133">
      <w:pPr>
        <w:rPr>
          <w:rFonts w:ascii="Arial Black" w:hAnsi="Arial Black"/>
          <w:b/>
          <w:sz w:val="24"/>
          <w:szCs w:val="24"/>
        </w:rPr>
      </w:pPr>
    </w:p>
    <w:p w14:paraId="32288A8D" w14:textId="73D31D4E" w:rsidR="00BC4628" w:rsidRDefault="00BC4628" w:rsidP="00EF1133">
      <w:pPr>
        <w:rPr>
          <w:rFonts w:ascii="Arial Black" w:hAnsi="Arial Black"/>
          <w:b/>
          <w:sz w:val="24"/>
          <w:szCs w:val="24"/>
        </w:rPr>
      </w:pPr>
      <w:r>
        <w:rPr>
          <w:rFonts w:ascii="Arial Black" w:hAnsi="Arial Black"/>
          <w:b/>
          <w:sz w:val="24"/>
          <w:szCs w:val="24"/>
        </w:rPr>
        <w:t>6-11</w:t>
      </w:r>
      <w:r w:rsidR="002A0697">
        <w:rPr>
          <w:rFonts w:ascii="Arial Black" w:hAnsi="Arial Black"/>
          <w:b/>
          <w:sz w:val="24"/>
          <w:szCs w:val="24"/>
        </w:rPr>
        <w:t>6</w:t>
      </w:r>
    </w:p>
    <w:p w14:paraId="08FC405A" w14:textId="77777777" w:rsidR="00BC4628" w:rsidRDefault="00BC4628" w:rsidP="00BC4628">
      <w:pPr>
        <w:spacing w:before="100" w:beforeAutospacing="1" w:after="100" w:afterAutospacing="1" w:line="240" w:lineRule="auto"/>
        <w:rPr>
          <w:rFonts w:ascii="Arial Black" w:eastAsia="Times New Roman" w:hAnsi="Arial Black"/>
          <w:sz w:val="28"/>
          <w:szCs w:val="28"/>
        </w:rPr>
      </w:pPr>
      <w:r>
        <w:rPr>
          <w:rFonts w:ascii="Arial Black" w:eastAsia="Times New Roman" w:hAnsi="Arial Black"/>
          <w:sz w:val="28"/>
          <w:szCs w:val="28"/>
        </w:rPr>
        <w:t>NJ: FF / EMT INJURED BACK MOVING PT TO HOSPITAL BED – ORDINARY DISABILITY – NOT A “TRAUMATIC EVENT”</w:t>
      </w:r>
    </w:p>
    <w:p w14:paraId="503D7544" w14:textId="77777777" w:rsidR="00BC4628" w:rsidRDefault="00BC4628" w:rsidP="00BC4628">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On June 30, 2023, in </w:t>
      </w:r>
      <w:r w:rsidRPr="00A33FA3">
        <w:rPr>
          <w:rFonts w:ascii="Times New Roman" w:eastAsia="Times New Roman" w:hAnsi="Times New Roman"/>
          <w:sz w:val="24"/>
          <w:szCs w:val="24"/>
          <w:u w:val="single"/>
        </w:rPr>
        <w:t>John Karolinski v. Board of Trustees, Public Employees’ Retirement System</w:t>
      </w:r>
      <w:r>
        <w:rPr>
          <w:rFonts w:ascii="Times New Roman" w:eastAsia="Times New Roman" w:hAnsi="Times New Roman"/>
          <w:sz w:val="24"/>
          <w:szCs w:val="24"/>
        </w:rPr>
        <w:t xml:space="preserve">, the Superior Court of New Jersey, Appellate Division, held (2 to 0) that while the firefighter / EMT is entitled to ordinary disability retirement benefits, he is not entitled to accidental benefits for a “traumatic event.”  </w:t>
      </w:r>
      <w:r w:rsidRPr="00A33FA3">
        <w:rPr>
          <w:rFonts w:ascii="Times New Roman" w:eastAsia="Times New Roman" w:hAnsi="Times New Roman"/>
          <w:sz w:val="24"/>
          <w:szCs w:val="24"/>
        </w:rPr>
        <w:t xml:space="preserve">The </w:t>
      </w:r>
      <w:r>
        <w:rPr>
          <w:rFonts w:ascii="Times New Roman" w:eastAsia="Times New Roman" w:hAnsi="Times New Roman"/>
          <w:sz w:val="24"/>
          <w:szCs w:val="24"/>
        </w:rPr>
        <w:t xml:space="preserve">Court agreed with the </w:t>
      </w:r>
      <w:r w:rsidRPr="00A33FA3">
        <w:rPr>
          <w:rFonts w:ascii="Times New Roman" w:eastAsia="Times New Roman" w:hAnsi="Times New Roman"/>
          <w:sz w:val="24"/>
          <w:szCs w:val="24"/>
        </w:rPr>
        <w:t>Administrative Law Judge</w:t>
      </w:r>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there</w:t>
      </w:r>
      <w:proofErr w:type="gramEnd"/>
      <w:r>
        <w:rPr>
          <w:rFonts w:ascii="Times New Roman" w:eastAsia="Times New Roman" w:hAnsi="Times New Roman"/>
          <w:sz w:val="24"/>
          <w:szCs w:val="24"/>
        </w:rPr>
        <w:t xml:space="preserve"> firefighter was performing </w:t>
      </w:r>
      <w:proofErr w:type="gramStart"/>
      <w:r>
        <w:rPr>
          <w:rFonts w:ascii="Times New Roman" w:eastAsia="Times New Roman" w:hAnsi="Times New Roman"/>
          <w:sz w:val="24"/>
          <w:szCs w:val="24"/>
        </w:rPr>
        <w:t>task</w:t>
      </w:r>
      <w:proofErr w:type="gramEnd"/>
      <w:r>
        <w:rPr>
          <w:rFonts w:ascii="Times New Roman" w:eastAsia="Times New Roman" w:hAnsi="Times New Roman"/>
          <w:sz w:val="24"/>
          <w:szCs w:val="24"/>
        </w:rPr>
        <w:t xml:space="preserve"> he had done many times.</w:t>
      </w:r>
    </w:p>
    <w:p w14:paraId="60C890DC" w14:textId="77777777" w:rsidR="00BC4628" w:rsidRPr="00A33FA3" w:rsidRDefault="00BC4628" w:rsidP="00BC4628">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The Court held: </w:t>
      </w:r>
      <w:r>
        <w:rPr>
          <w:rFonts w:ascii="Times New Roman" w:hAnsi="Times New Roman"/>
          <w:sz w:val="24"/>
          <w:szCs w:val="24"/>
        </w:rPr>
        <w:t>“</w:t>
      </w:r>
      <w:r w:rsidRPr="00A33FA3">
        <w:rPr>
          <w:rFonts w:ascii="Times New Roman" w:hAnsi="Times New Roman"/>
          <w:sz w:val="24"/>
          <w:szCs w:val="24"/>
        </w:rPr>
        <w:t>Petitioner testified he was injured while transferring a patient from a stretcher to the catheterization table, a job duty he had performed ‘hundreds of time[s]’ and was trained to do. It was petitioner's work effort that caused his disability. He stated it was common for patients to be ‘freaking out.</w:t>
      </w:r>
      <w:r>
        <w:rPr>
          <w:rFonts w:ascii="Times New Roman" w:hAnsi="Times New Roman"/>
          <w:sz w:val="24"/>
          <w:szCs w:val="24"/>
        </w:rPr>
        <w:t xml:space="preserve">’ </w:t>
      </w:r>
      <w:r w:rsidRPr="00A33FA3">
        <w:rPr>
          <w:rFonts w:ascii="Times New Roman" w:hAnsi="Times New Roman"/>
          <w:sz w:val="24"/>
          <w:szCs w:val="24"/>
        </w:rPr>
        <w:t xml:space="preserve">Therefore, it was not unexpected for a patient to be uncooperative during the transfer process. Moreover, he </w:t>
      </w:r>
      <w:proofErr w:type="gramStart"/>
      <w:r w:rsidRPr="00A33FA3">
        <w:rPr>
          <w:rFonts w:ascii="Times New Roman" w:hAnsi="Times New Roman"/>
          <w:sz w:val="24"/>
          <w:szCs w:val="24"/>
        </w:rPr>
        <w:t>testified</w:t>
      </w:r>
      <w:proofErr w:type="gramEnd"/>
      <w:r w:rsidRPr="00A33FA3">
        <w:rPr>
          <w:rFonts w:ascii="Times New Roman" w:hAnsi="Times New Roman"/>
          <w:sz w:val="24"/>
          <w:szCs w:val="24"/>
        </w:rPr>
        <w:t xml:space="preserve"> the way in which he transfers a patient-using a double </w:t>
      </w:r>
      <w:proofErr w:type="gramStart"/>
      <w:r w:rsidRPr="00A33FA3">
        <w:rPr>
          <w:rFonts w:ascii="Times New Roman" w:hAnsi="Times New Roman"/>
          <w:sz w:val="24"/>
          <w:szCs w:val="24"/>
        </w:rPr>
        <w:t>sheet-‘</w:t>
      </w:r>
      <w:proofErr w:type="gramEnd"/>
      <w:r w:rsidRPr="00A33FA3">
        <w:rPr>
          <w:rFonts w:ascii="Times New Roman" w:hAnsi="Times New Roman"/>
          <w:sz w:val="24"/>
          <w:szCs w:val="24"/>
        </w:rPr>
        <w:t xml:space="preserve">makes it a lot easier to move . . . a patient </w:t>
      </w:r>
      <w:proofErr w:type="gramStart"/>
      <w:r w:rsidRPr="00A33FA3">
        <w:rPr>
          <w:rFonts w:ascii="Times New Roman" w:hAnsi="Times New Roman"/>
          <w:sz w:val="24"/>
          <w:szCs w:val="24"/>
        </w:rPr>
        <w:t>that[] [</w:t>
      </w:r>
      <w:proofErr w:type="gramEnd"/>
      <w:r w:rsidRPr="00A33FA3">
        <w:rPr>
          <w:rFonts w:ascii="Times New Roman" w:hAnsi="Times New Roman"/>
          <w:sz w:val="24"/>
          <w:szCs w:val="24"/>
        </w:rPr>
        <w:t>is] not cooperating.’ It was not an ‘unexpected happening’ that petitioner would need to help a patient to prevent a fall during a transfer.”</w:t>
      </w:r>
      <w:r>
        <w:rPr>
          <w:rFonts w:ascii="Times New Roman" w:hAnsi="Times New Roman"/>
          <w:sz w:val="24"/>
          <w:szCs w:val="24"/>
        </w:rPr>
        <w:t xml:space="preserve"> </w:t>
      </w:r>
      <w:hyperlink r:id="rId1125" w:history="1">
        <w:r w:rsidRPr="00812663">
          <w:rPr>
            <w:rStyle w:val="Hyperlink"/>
            <w:sz w:val="24"/>
            <w:szCs w:val="24"/>
          </w:rPr>
          <w:t>https://www.njcourts.gov/system/files/court-opinions/2023/a3333-21.pdf</w:t>
        </w:r>
      </w:hyperlink>
      <w:r>
        <w:rPr>
          <w:rFonts w:ascii="Times New Roman" w:eastAsia="Times New Roman" w:hAnsi="Times New Roman"/>
          <w:sz w:val="24"/>
          <w:szCs w:val="24"/>
        </w:rPr>
        <w:t xml:space="preserve"> </w:t>
      </w:r>
    </w:p>
    <w:p w14:paraId="35D0F98C" w14:textId="77777777" w:rsidR="00BC4628" w:rsidRPr="00954CB5" w:rsidRDefault="00BC4628" w:rsidP="00BC4628">
      <w:pPr>
        <w:spacing w:before="100" w:beforeAutospacing="1" w:after="100" w:afterAutospacing="1" w:line="240" w:lineRule="auto"/>
        <w:rPr>
          <w:rFonts w:ascii="Times New Roman" w:eastAsia="Times New Roman" w:hAnsi="Times New Roman"/>
          <w:b/>
          <w:bCs/>
          <w:sz w:val="24"/>
          <w:szCs w:val="24"/>
        </w:rPr>
      </w:pPr>
      <w:r w:rsidRPr="00954CB5">
        <w:rPr>
          <w:rFonts w:ascii="Times New Roman" w:hAnsi="Times New Roman"/>
          <w:b/>
          <w:bCs/>
          <w:sz w:val="24"/>
          <w:szCs w:val="24"/>
        </w:rPr>
        <w:lastRenderedPageBreak/>
        <w:t xml:space="preserve">Legal Lesson Learned: Under NJ law, accidental disability </w:t>
      </w:r>
      <w:r>
        <w:rPr>
          <w:rFonts w:ascii="Times New Roman" w:hAnsi="Times New Roman"/>
          <w:b/>
          <w:bCs/>
          <w:sz w:val="24"/>
          <w:szCs w:val="24"/>
        </w:rPr>
        <w:t xml:space="preserve">with enhanced compensation </w:t>
      </w:r>
      <w:r w:rsidRPr="00954CB5">
        <w:rPr>
          <w:rFonts w:ascii="Times New Roman" w:hAnsi="Times New Roman"/>
          <w:b/>
          <w:bCs/>
          <w:sz w:val="24"/>
          <w:szCs w:val="24"/>
        </w:rPr>
        <w:t>is only for fire &amp; EMS personnel "permanently and totally disabled as a direct result of a traumatic event occurring during and as a result of the performance of [their] regular or assigned duties.”</w:t>
      </w:r>
    </w:p>
    <w:p w14:paraId="10277B32" w14:textId="77777777" w:rsidR="00BC4628" w:rsidRDefault="00BC4628" w:rsidP="00EF1133">
      <w:pPr>
        <w:rPr>
          <w:rFonts w:ascii="Arial Black" w:hAnsi="Arial Black"/>
          <w:b/>
          <w:sz w:val="24"/>
          <w:szCs w:val="24"/>
        </w:rPr>
      </w:pPr>
    </w:p>
    <w:p w14:paraId="00D2A871" w14:textId="6213896E" w:rsidR="00BC4628" w:rsidRDefault="00BC4628" w:rsidP="00EF1133">
      <w:pPr>
        <w:rPr>
          <w:rFonts w:ascii="Arial Black" w:hAnsi="Arial Black"/>
          <w:b/>
          <w:sz w:val="24"/>
          <w:szCs w:val="24"/>
        </w:rPr>
      </w:pPr>
      <w:r>
        <w:rPr>
          <w:rFonts w:ascii="Arial Black" w:hAnsi="Arial Black"/>
          <w:b/>
          <w:sz w:val="24"/>
          <w:szCs w:val="24"/>
        </w:rPr>
        <w:t>6-11</w:t>
      </w:r>
      <w:r w:rsidR="002A0697">
        <w:rPr>
          <w:rFonts w:ascii="Arial Black" w:hAnsi="Arial Black"/>
          <w:b/>
          <w:sz w:val="24"/>
          <w:szCs w:val="24"/>
        </w:rPr>
        <w:t>5</w:t>
      </w:r>
    </w:p>
    <w:p w14:paraId="25C2ED0E" w14:textId="77777777" w:rsidR="00BC4628" w:rsidRPr="00FE3A79" w:rsidRDefault="00BC4628" w:rsidP="00BC4628">
      <w:pPr>
        <w:pStyle w:val="NormalWeb"/>
        <w:rPr>
          <w:rFonts w:ascii="Arial Black" w:hAnsi="Arial Black"/>
          <w:sz w:val="28"/>
          <w:szCs w:val="28"/>
        </w:rPr>
      </w:pPr>
      <w:r>
        <w:rPr>
          <w:rFonts w:ascii="Arial Black" w:hAnsi="Arial Black"/>
          <w:sz w:val="28"/>
          <w:szCs w:val="28"/>
        </w:rPr>
        <w:t>RI: RETIRED PROVIDENCE FF – CANCER – COVERED BY STATE’S DISABILITY, EVEN IF CITY HAS RETIREMENT PLAN</w:t>
      </w:r>
    </w:p>
    <w:p w14:paraId="420CF6DF" w14:textId="77777777" w:rsidR="00BC4628" w:rsidRDefault="00BC4628" w:rsidP="00BC4628">
      <w:pPr>
        <w:pStyle w:val="NormalWeb"/>
      </w:pPr>
      <w:r>
        <w:t xml:space="preserve">On June 26, 2023, in </w:t>
      </w:r>
      <w:r w:rsidRPr="00FE3A79">
        <w:rPr>
          <w:u w:val="single"/>
        </w:rPr>
        <w:t xml:space="preserve">The Providence Retired Police </w:t>
      </w:r>
      <w:proofErr w:type="gramStart"/>
      <w:r w:rsidRPr="00FE3A79">
        <w:rPr>
          <w:u w:val="single"/>
        </w:rPr>
        <w:t>And</w:t>
      </w:r>
      <w:proofErr w:type="gramEnd"/>
      <w:r w:rsidRPr="00FE3A79">
        <w:rPr>
          <w:u w:val="single"/>
        </w:rPr>
        <w:t xml:space="preserve"> Firefighter’s Association v. The City of Providence</w:t>
      </w:r>
      <w:r>
        <w:t xml:space="preserve">, Judge </w:t>
      </w:r>
      <w:r w:rsidRPr="00FE3A79">
        <w:t>R. David Cruise</w:t>
      </w:r>
      <w:r>
        <w:t xml:space="preserve">, Superior Court of Rhode Island, held that retired Providence firefighters, who develop cancer, are covered for disability benefits under the state’s 1986 statutory presumption law, even though City of Providence does not participate in the State’s “Municipal Employee Retirement System” and in 2008 enacted its own statutory presumption ordinance under its retirement plan.  </w:t>
      </w:r>
    </w:p>
    <w:p w14:paraId="0667991D" w14:textId="77777777" w:rsidR="00BC4628" w:rsidRDefault="00BC4628" w:rsidP="00BC4628">
      <w:pPr>
        <w:pStyle w:val="NormalWeb"/>
      </w:pPr>
      <w:r>
        <w:t>The Court held: “</w:t>
      </w:r>
      <w:r w:rsidRPr="00981B02">
        <w:t xml:space="preserve">The Court agrees with Plaintiff that our Supreme Court's decision in </w:t>
      </w:r>
      <w:r w:rsidRPr="00981B02">
        <w:rPr>
          <w:rStyle w:val="Emphasis"/>
          <w:rFonts w:eastAsiaTheme="majorEastAsia"/>
        </w:rPr>
        <w:t>East Providence</w:t>
      </w:r>
      <w:r w:rsidRPr="00981B02">
        <w:t xml:space="preserve"> </w:t>
      </w:r>
      <w:r w:rsidRPr="004F140E">
        <w:t>[</w:t>
      </w:r>
      <w:r w:rsidRPr="004F140E">
        <w:rPr>
          <w:rStyle w:val="Emphasis"/>
          <w:rFonts w:eastAsiaTheme="majorEastAsia"/>
        </w:rPr>
        <w:t>v. IAFF Local,</w:t>
      </w:r>
      <w:r w:rsidRPr="004F140E">
        <w:t xml:space="preserve"> 850, 982 A.2d 1281 (R.I. 2009)],</w:t>
      </w:r>
      <w:r>
        <w:t xml:space="preserve"> s</w:t>
      </w:r>
      <w:r w:rsidRPr="00981B02">
        <w:t xml:space="preserve">upports that § 45-19.1-3 does not restrict its application to only firefighters of municipalities that participate in the MERS…. Furthermore, it is apparent that § 45-19.1-3 was intended to provide cancer disability benefits to </w:t>
      </w:r>
      <w:r w:rsidRPr="00981B02">
        <w:rPr>
          <w:rStyle w:val="Emphasis"/>
          <w:rFonts w:eastAsiaTheme="majorEastAsia"/>
        </w:rPr>
        <w:t>all</w:t>
      </w:r>
      <w:r w:rsidRPr="00981B02">
        <w:t xml:space="preserve"> firefighters in the State, in accordance with the legislative intent and our Supreme Court's explanation in </w:t>
      </w:r>
      <w:r w:rsidRPr="00981B02">
        <w:rPr>
          <w:rStyle w:val="Emphasis"/>
          <w:rFonts w:eastAsiaTheme="majorEastAsia"/>
        </w:rPr>
        <w:t>East Providence</w:t>
      </w:r>
      <w:r w:rsidRPr="00981B02">
        <w:t>, and it would be absurd for the Court to conclude that Providence firefighters are excluded from said benefits when § 45-19.1-3 is meant to apply to all firefighters.</w:t>
      </w:r>
      <w:r>
        <w:t xml:space="preserve">” </w:t>
      </w:r>
      <w:hyperlink r:id="rId1126" w:history="1">
        <w:r w:rsidRPr="00812663">
          <w:rPr>
            <w:rStyle w:val="Hyperlink"/>
          </w:rPr>
          <w:t>https://casetext.com/case/the-providence-retired-police-firefighters-assn-v-city-of-providence</w:t>
        </w:r>
      </w:hyperlink>
      <w:r>
        <w:t xml:space="preserve"> </w:t>
      </w:r>
    </w:p>
    <w:p w14:paraId="4385A2DC" w14:textId="77777777" w:rsidR="00BC4628" w:rsidRDefault="00BC4628" w:rsidP="00BC4628">
      <w:pPr>
        <w:spacing w:before="100" w:beforeAutospacing="1" w:after="100" w:afterAutospacing="1" w:line="240" w:lineRule="auto"/>
        <w:rPr>
          <w:rFonts w:ascii="Times New Roman" w:eastAsia="Times New Roman" w:hAnsi="Times New Roman"/>
          <w:b/>
          <w:bCs/>
          <w:sz w:val="24"/>
          <w:szCs w:val="24"/>
        </w:rPr>
      </w:pPr>
      <w:r>
        <w:rPr>
          <w:rFonts w:ascii="Times New Roman" w:eastAsia="Times New Roman" w:hAnsi="Times New Roman"/>
          <w:b/>
          <w:bCs/>
          <w:sz w:val="24"/>
          <w:szCs w:val="24"/>
        </w:rPr>
        <w:t xml:space="preserve">Legal Lesson Learned: The state-wide retirement system fortunately includes a statutory presumption for cancer that includes retirees. </w:t>
      </w:r>
    </w:p>
    <w:p w14:paraId="78C5A6F6" w14:textId="77777777" w:rsidR="00BC4628" w:rsidRPr="00F115F8" w:rsidRDefault="00BC4628" w:rsidP="00BC4628">
      <w:pPr>
        <w:pStyle w:val="Heading1"/>
        <w:ind w:left="720"/>
        <w:rPr>
          <w:b w:val="0"/>
          <w:bCs w:val="0"/>
          <w:sz w:val="24"/>
          <w:szCs w:val="24"/>
        </w:rPr>
      </w:pPr>
      <w:r w:rsidRPr="00F115F8">
        <w:rPr>
          <w:b w:val="0"/>
          <w:bCs w:val="0"/>
          <w:kern w:val="0"/>
          <w:sz w:val="24"/>
          <w:szCs w:val="24"/>
        </w:rPr>
        <w:t xml:space="preserve">Note: See July 5, </w:t>
      </w:r>
      <w:proofErr w:type="gramStart"/>
      <w:r w:rsidRPr="00F115F8">
        <w:rPr>
          <w:b w:val="0"/>
          <w:bCs w:val="0"/>
          <w:kern w:val="0"/>
          <w:sz w:val="24"/>
          <w:szCs w:val="24"/>
        </w:rPr>
        <w:t>2023</w:t>
      </w:r>
      <w:proofErr w:type="gramEnd"/>
      <w:r w:rsidRPr="00F115F8">
        <w:rPr>
          <w:b w:val="0"/>
          <w:bCs w:val="0"/>
          <w:kern w:val="0"/>
          <w:sz w:val="24"/>
          <w:szCs w:val="24"/>
        </w:rPr>
        <w:t xml:space="preserve"> article on the case, “</w:t>
      </w:r>
      <w:r w:rsidRPr="00F115F8">
        <w:rPr>
          <w:b w:val="0"/>
          <w:bCs w:val="0"/>
          <w:sz w:val="24"/>
          <w:szCs w:val="24"/>
        </w:rPr>
        <w:t xml:space="preserve">Retired Providence firefighters not barred from cancer benefits.” </w:t>
      </w:r>
      <w:hyperlink r:id="rId1127" w:history="1">
        <w:r w:rsidRPr="00F115F8">
          <w:rPr>
            <w:rStyle w:val="Hyperlink"/>
            <w:b w:val="0"/>
            <w:bCs w:val="0"/>
            <w:sz w:val="24"/>
            <w:szCs w:val="24"/>
          </w:rPr>
          <w:t>https://rilawyersweekly.com/blog/2023/07/05/retired-providence-firefighters-not-barred-from-cancer-benefits/</w:t>
        </w:r>
      </w:hyperlink>
      <w:r w:rsidRPr="00F115F8">
        <w:rPr>
          <w:b w:val="0"/>
          <w:bCs w:val="0"/>
          <w:sz w:val="24"/>
          <w:szCs w:val="24"/>
        </w:rPr>
        <w:t xml:space="preserve"> </w:t>
      </w:r>
    </w:p>
    <w:p w14:paraId="6D74B9CB" w14:textId="77777777" w:rsidR="00BC4628" w:rsidRDefault="00BC4628" w:rsidP="00EF1133">
      <w:pPr>
        <w:rPr>
          <w:rFonts w:ascii="Arial Black" w:hAnsi="Arial Black"/>
          <w:b/>
          <w:sz w:val="24"/>
          <w:szCs w:val="24"/>
        </w:rPr>
      </w:pPr>
    </w:p>
    <w:p w14:paraId="09F4F789" w14:textId="4BCAF48C" w:rsidR="00FE60DA" w:rsidRDefault="00BC4628" w:rsidP="00EF1133">
      <w:pPr>
        <w:rPr>
          <w:rFonts w:ascii="Arial Black" w:hAnsi="Arial Black"/>
          <w:b/>
          <w:sz w:val="24"/>
          <w:szCs w:val="24"/>
        </w:rPr>
      </w:pPr>
      <w:r>
        <w:rPr>
          <w:rFonts w:ascii="Arial Black" w:hAnsi="Arial Black"/>
          <w:b/>
          <w:sz w:val="24"/>
          <w:szCs w:val="24"/>
        </w:rPr>
        <w:t>6-11</w:t>
      </w:r>
      <w:r w:rsidR="002A0697">
        <w:rPr>
          <w:rFonts w:ascii="Arial Black" w:hAnsi="Arial Black"/>
          <w:b/>
          <w:sz w:val="24"/>
          <w:szCs w:val="24"/>
        </w:rPr>
        <w:t>4</w:t>
      </w:r>
    </w:p>
    <w:p w14:paraId="3280DD8E" w14:textId="77777777" w:rsidR="00BC4628" w:rsidRDefault="00BC4628" w:rsidP="00BC4628">
      <w:pPr>
        <w:pStyle w:val="NormalWeb"/>
        <w:rPr>
          <w:rFonts w:ascii="Arial Black" w:hAnsi="Arial Black"/>
          <w:sz w:val="28"/>
          <w:szCs w:val="28"/>
        </w:rPr>
      </w:pPr>
      <w:r>
        <w:rPr>
          <w:rFonts w:ascii="Arial Black" w:hAnsi="Arial Black"/>
          <w:sz w:val="28"/>
          <w:szCs w:val="28"/>
        </w:rPr>
        <w:t>CT: PART-TIME FF – HEART - SEEKS DISABILITY BONUS PAID FF HIRED PRIOR JULY 1, 1996 – AVER. 20 HRS / WEEK</w:t>
      </w:r>
    </w:p>
    <w:p w14:paraId="13697E2D" w14:textId="77777777" w:rsidR="00BC4628" w:rsidRDefault="00BC4628" w:rsidP="00BC4628">
      <w:pPr>
        <w:pStyle w:val="NormalWeb"/>
      </w:pPr>
      <w:r>
        <w:t xml:space="preserve">On June 20, 2023, in </w:t>
      </w:r>
      <w:r w:rsidRPr="00993113">
        <w:rPr>
          <w:u w:val="single"/>
        </w:rPr>
        <w:t xml:space="preserve">Christopher A. Clark v. Town of Waterford, </w:t>
      </w:r>
      <w:proofErr w:type="spellStart"/>
      <w:r w:rsidRPr="00993113">
        <w:rPr>
          <w:u w:val="single"/>
        </w:rPr>
        <w:t>Cohanzie</w:t>
      </w:r>
      <w:proofErr w:type="spellEnd"/>
      <w:r w:rsidRPr="00993113">
        <w:rPr>
          <w:u w:val="single"/>
        </w:rPr>
        <w:t xml:space="preserve"> Fire Department, et al.</w:t>
      </w:r>
      <w:r>
        <w:t xml:space="preserve">, the Supreme Court of Connecticut, held (6 to 1) </w:t>
      </w:r>
      <w:r w:rsidRPr="00221594">
        <w:t>that the Town correctly contended that</w:t>
      </w:r>
      <w:r>
        <w:t xml:space="preserve"> a state statute awarding municipal police and firefighters hired prior to July 1, 1996 with enhanced benefits for heart </w:t>
      </w:r>
      <w:r w:rsidRPr="005B1FFB">
        <w:t>or hypertension disease</w:t>
      </w:r>
      <w:r>
        <w:t xml:space="preserve"> (get benefits as if they suffered on duty personal injury), but only if they worked an average of 20 hours a week or more. Case </w:t>
      </w:r>
      <w:proofErr w:type="gramStart"/>
      <w:r>
        <w:t>remanded</w:t>
      </w:r>
      <w:proofErr w:type="gramEnd"/>
      <w:r>
        <w:t xml:space="preserve"> to determine if he met this hourly requirement when he served as a part-time firefighter starting in 1992.</w:t>
      </w:r>
    </w:p>
    <w:p w14:paraId="511A3487" w14:textId="77777777" w:rsidR="00BC4628" w:rsidRPr="00993113" w:rsidRDefault="00BC4628" w:rsidP="00BC4628">
      <w:pPr>
        <w:pStyle w:val="NormalWeb"/>
      </w:pPr>
      <w:r>
        <w:t>The Court held: “</w:t>
      </w:r>
      <w:r w:rsidRPr="005B1FFB">
        <w:t xml:space="preserve">Because the </w:t>
      </w:r>
      <w:r>
        <w:t xml:space="preserve">[Workers Comp.] </w:t>
      </w:r>
      <w:r w:rsidRPr="005B1FFB">
        <w:t xml:space="preserve">commissioner did not apply the correct legal standard in failing to make a finding as to whether the plaintiff had customarily worked the requisite twenty hours per week prior </w:t>
      </w:r>
      <w:r w:rsidRPr="005B1FFB">
        <w:lastRenderedPageBreak/>
        <w:t>to his hiring as a full-time firefighter, the plaintiff is entitled to have the commissioner decide that factual issue</w:t>
      </w:r>
      <w:r>
        <w:t xml:space="preserve">.” </w:t>
      </w:r>
      <w:hyperlink r:id="rId1128" w:history="1">
        <w:r w:rsidRPr="00812663">
          <w:rPr>
            <w:rStyle w:val="Hyperlink"/>
          </w:rPr>
          <w:t>https://casetext.com/case/clark-v-town-of-waterford-1</w:t>
        </w:r>
      </w:hyperlink>
      <w:r>
        <w:t xml:space="preserve"> </w:t>
      </w:r>
    </w:p>
    <w:p w14:paraId="5DD3720F" w14:textId="77777777" w:rsidR="00BC4628" w:rsidRPr="00295415" w:rsidRDefault="00BC4628" w:rsidP="00BC4628">
      <w:pPr>
        <w:pStyle w:val="NormalWeb"/>
        <w:rPr>
          <w:b/>
          <w:bCs/>
        </w:rPr>
      </w:pPr>
      <w:r w:rsidRPr="00295415">
        <w:rPr>
          <w:b/>
          <w:bCs/>
        </w:rPr>
        <w:t xml:space="preserve">Legal Lesson Learned: </w:t>
      </w:r>
      <w:r>
        <w:rPr>
          <w:b/>
          <w:bCs/>
        </w:rPr>
        <w:t>This is unusual decision; per the Dissent, the Court is reversing 70 years of history awarding disability benefits to all uniformed members of municipal fire departments.</w:t>
      </w:r>
    </w:p>
    <w:p w14:paraId="13CBA0BD" w14:textId="77777777" w:rsidR="00BC4628" w:rsidRPr="00F115F8" w:rsidRDefault="00BC4628" w:rsidP="00BC4628">
      <w:pPr>
        <w:pStyle w:val="Heading1"/>
        <w:ind w:left="720"/>
        <w:rPr>
          <w:b w:val="0"/>
          <w:bCs w:val="0"/>
          <w:sz w:val="24"/>
          <w:szCs w:val="24"/>
        </w:rPr>
      </w:pPr>
      <w:r w:rsidRPr="00F115F8">
        <w:rPr>
          <w:b w:val="0"/>
          <w:bCs w:val="0"/>
          <w:sz w:val="24"/>
          <w:szCs w:val="24"/>
        </w:rPr>
        <w:t xml:space="preserve">Note: See June 26, </w:t>
      </w:r>
      <w:proofErr w:type="gramStart"/>
      <w:r w:rsidRPr="00F115F8">
        <w:rPr>
          <w:b w:val="0"/>
          <w:bCs w:val="0"/>
          <w:sz w:val="24"/>
          <w:szCs w:val="24"/>
        </w:rPr>
        <w:t>2023</w:t>
      </w:r>
      <w:proofErr w:type="gramEnd"/>
      <w:r w:rsidRPr="00F115F8">
        <w:rPr>
          <w:b w:val="0"/>
          <w:bCs w:val="0"/>
          <w:sz w:val="24"/>
          <w:szCs w:val="24"/>
        </w:rPr>
        <w:t xml:space="preserve"> article, “Connecticut High Court Nixes Workers’ Comp for Firefighter </w:t>
      </w:r>
      <w:proofErr w:type="gramStart"/>
      <w:r w:rsidRPr="00F115F8">
        <w:rPr>
          <w:b w:val="0"/>
          <w:bCs w:val="0"/>
          <w:sz w:val="24"/>
          <w:szCs w:val="24"/>
        </w:rPr>
        <w:t>With</w:t>
      </w:r>
      <w:proofErr w:type="gramEnd"/>
      <w:r w:rsidRPr="00F115F8">
        <w:rPr>
          <w:b w:val="0"/>
          <w:bCs w:val="0"/>
          <w:sz w:val="24"/>
          <w:szCs w:val="24"/>
        </w:rPr>
        <w:t xml:space="preserve"> Heart Condition.” </w:t>
      </w:r>
      <w:hyperlink r:id="rId1129" w:history="1">
        <w:r w:rsidRPr="00F115F8">
          <w:rPr>
            <w:rStyle w:val="Hyperlink"/>
            <w:b w:val="0"/>
            <w:bCs w:val="0"/>
            <w:sz w:val="24"/>
            <w:szCs w:val="24"/>
          </w:rPr>
          <w:t>https://www.insurancejournal.com/news/east/2023/06/26/727250.htm#</w:t>
        </w:r>
      </w:hyperlink>
      <w:r w:rsidRPr="00F115F8">
        <w:rPr>
          <w:b w:val="0"/>
          <w:bCs w:val="0"/>
          <w:sz w:val="24"/>
          <w:szCs w:val="24"/>
        </w:rPr>
        <w:t xml:space="preserve"> </w:t>
      </w:r>
    </w:p>
    <w:p w14:paraId="61B687B4" w14:textId="77777777" w:rsidR="00BC4628" w:rsidRDefault="00BC4628" w:rsidP="00EF1133">
      <w:pPr>
        <w:rPr>
          <w:rFonts w:ascii="Arial Black" w:hAnsi="Arial Black"/>
          <w:b/>
          <w:sz w:val="24"/>
          <w:szCs w:val="24"/>
        </w:rPr>
      </w:pPr>
    </w:p>
    <w:p w14:paraId="580EF268" w14:textId="77777777" w:rsidR="00FE60DA" w:rsidRDefault="00FE60DA" w:rsidP="00EF1133">
      <w:pPr>
        <w:rPr>
          <w:rFonts w:ascii="Arial Black" w:hAnsi="Arial Black"/>
          <w:b/>
          <w:sz w:val="24"/>
          <w:szCs w:val="24"/>
        </w:rPr>
      </w:pPr>
    </w:p>
    <w:p w14:paraId="674FB872" w14:textId="778F9BC4" w:rsidR="00477016" w:rsidRDefault="00477016" w:rsidP="00EF1133">
      <w:pPr>
        <w:rPr>
          <w:rFonts w:ascii="Arial Black" w:hAnsi="Arial Black"/>
          <w:b/>
          <w:sz w:val="24"/>
          <w:szCs w:val="24"/>
        </w:rPr>
      </w:pPr>
      <w:r>
        <w:rPr>
          <w:rFonts w:ascii="Arial Black" w:hAnsi="Arial Black"/>
          <w:b/>
          <w:sz w:val="24"/>
          <w:szCs w:val="24"/>
        </w:rPr>
        <w:t>6-11</w:t>
      </w:r>
      <w:r w:rsidR="002A0697">
        <w:rPr>
          <w:rFonts w:ascii="Arial Black" w:hAnsi="Arial Black"/>
          <w:b/>
          <w:sz w:val="24"/>
          <w:szCs w:val="24"/>
        </w:rPr>
        <w:t>3</w:t>
      </w:r>
    </w:p>
    <w:p w14:paraId="3DF14A5F" w14:textId="77777777" w:rsidR="00477016" w:rsidRPr="00683B6E" w:rsidRDefault="00477016" w:rsidP="00477016">
      <w:pPr>
        <w:pStyle w:val="NormalWeb"/>
        <w:rPr>
          <w:rStyle w:val="markedcontent"/>
          <w:rFonts w:ascii="Arial Black" w:hAnsi="Arial Black"/>
          <w:sz w:val="28"/>
          <w:szCs w:val="28"/>
        </w:rPr>
      </w:pPr>
      <w:bookmarkStart w:id="226" w:name="_Hlk136859176"/>
      <w:r>
        <w:rPr>
          <w:rStyle w:val="markedcontent"/>
          <w:rFonts w:ascii="Arial Black" w:hAnsi="Arial Black"/>
          <w:sz w:val="28"/>
          <w:szCs w:val="28"/>
        </w:rPr>
        <w:t xml:space="preserve">MI:  ARMY FF NOT PROMOTED CAPTAIN – RATED BELOW 2 OTHERS – NO RETALITION / COMMENTS HIS “B-SIZE BRA” </w:t>
      </w:r>
    </w:p>
    <w:bookmarkEnd w:id="226"/>
    <w:p w14:paraId="6CBEFE58" w14:textId="77777777" w:rsidR="00477016" w:rsidRDefault="00477016" w:rsidP="00477016">
      <w:pPr>
        <w:pStyle w:val="NormalWeb"/>
      </w:pPr>
      <w:r>
        <w:rPr>
          <w:rStyle w:val="markedcontent"/>
        </w:rPr>
        <w:t xml:space="preserve">On June 2, 2023, in </w:t>
      </w:r>
      <w:r w:rsidRPr="00CD5BF6">
        <w:rPr>
          <w:rStyle w:val="markedcontent"/>
          <w:u w:val="single"/>
        </w:rPr>
        <w:t>Joe Dasilva v. Mark Esper, et al</w:t>
      </w:r>
      <w:r>
        <w:rPr>
          <w:rStyle w:val="markedcontent"/>
        </w:rPr>
        <w:t xml:space="preserve">., U.S. District Court Judge Mark A. </w:t>
      </w:r>
      <w:proofErr w:type="spellStart"/>
      <w:r>
        <w:rPr>
          <w:rStyle w:val="markedcontent"/>
        </w:rPr>
        <w:t>Golsmith</w:t>
      </w:r>
      <w:proofErr w:type="spellEnd"/>
      <w:r>
        <w:rPr>
          <w:rStyle w:val="markedcontent"/>
        </w:rPr>
        <w:t xml:space="preserve">, U.S. District Court for Eastern District of Michigan, Southern Division, granted U.S, Army’s motion for summary judgment, dismissing the lawsuit by the firefighter / EMT.  He claimed that the Chief of the Fire Division, </w:t>
      </w:r>
      <w:r>
        <w:t xml:space="preserve">Martin Potter, </w:t>
      </w:r>
      <w:r>
        <w:rPr>
          <w:rStyle w:val="markedcontent"/>
        </w:rPr>
        <w:t xml:space="preserve">who served on the three-member promotion panel in 2019, denied him promotion because he had filed EEOC complaints against him in 2017 and 2018 after comments  such as, </w:t>
      </w:r>
      <w:r>
        <w:t xml:space="preserve">“I bet you can wear a B-sized bra.” </w:t>
      </w:r>
      <w:hyperlink r:id="rId1130" w:history="1">
        <w:r w:rsidRPr="005E5A42">
          <w:rPr>
            <w:rStyle w:val="Hyperlink"/>
          </w:rPr>
          <w:t>https://casetext.com/case/dasilva-v-esper-1</w:t>
        </w:r>
      </w:hyperlink>
      <w:r>
        <w:t xml:space="preserve"> </w:t>
      </w:r>
    </w:p>
    <w:p w14:paraId="76305C05" w14:textId="77777777" w:rsidR="00477016" w:rsidRDefault="00477016" w:rsidP="00477016">
      <w:pPr>
        <w:pStyle w:val="NormalWeb"/>
        <w:ind w:left="720"/>
      </w:pPr>
      <w:r>
        <w:t>“Dasilva alleges that Potter created a hostile work environment by sexually harassing him…. According to Dasilva, Potter ‘continuously’ told him from 2008 until 2018, ‘I bet you can wear a B-sized bra….’ Potter also allegedly once asked Dasilva how much breast implants cost and once stated, ‘Hey, Dasilva [bet] you can . . . hold this pencil under . . . your breasts</w:t>
      </w:r>
      <w:proofErr w:type="gramStart"/>
      <w:r>
        <w:t>…..</w:t>
      </w:r>
      <w:proofErr w:type="gramEnd"/>
      <w:r>
        <w:t>”’ Dasilva further asserts that Potter retaliated against him for reporting the sexual harassment. *** The Army asserts that Dasilva was not selected for the position of captain because he was less qualified than the candidate who was selected, Shane Biehl…. The three individuals who interviewed and rated Dasilva's abilities when Dasilva applied for the position-Potter, Assistant Chief Adam Todd, and Assistant Chief Lesley Tillman-submitted declarations stating that they did not deem Dasilva qualified for the position…. The rating criteria sheets attached to the declarations show that all three individuals rated Dasilva the second lowest of the eight individuals who applied for the position</w:t>
      </w:r>
      <w:proofErr w:type="gramStart"/>
      <w:r>
        <w:t>…..</w:t>
      </w:r>
      <w:proofErr w:type="gramEnd"/>
      <w:r>
        <w:t xml:space="preserve"> Out of 110 total points, they scored the highest-scoring applicant between 48-52 points higher than Dasilva…. The interview rating sheets attached to the declarations show that Potter and Tillman found that Dasilva did not demonstrate leadership performance skills….Todd's interview rating sheet shows that Todd found that Dasilva lacked evidence of numerous performance skills, including leadership, customer service, motivating others, team building, and ‘planning, prioritizing, and goal setting…..’ It also states that Dasilva ‘does not demonstrate abilities needed to effectively lead at the GS-8 level’ and ‘should continue to improve and work </w:t>
      </w:r>
      <w:proofErr w:type="spellStart"/>
      <w:r>
        <w:t>towar</w:t>
      </w:r>
      <w:proofErr w:type="spellEnd"/>
      <w:r>
        <w:t>[d] engaging in activity to help….’ Defendants' reason for not promoting Dasilva to captain-that he was not qualified-satisfies their burden of proof at this stage.”</w:t>
      </w:r>
    </w:p>
    <w:p w14:paraId="384714F1" w14:textId="77777777" w:rsidR="00477016" w:rsidRPr="000D14A8" w:rsidRDefault="00477016" w:rsidP="00477016">
      <w:pPr>
        <w:pStyle w:val="NormalWeb"/>
        <w:rPr>
          <w:b/>
          <w:bCs/>
        </w:rPr>
      </w:pPr>
      <w:r w:rsidRPr="000D14A8">
        <w:rPr>
          <w:b/>
          <w:bCs/>
        </w:rPr>
        <w:t>Legal Lesson Learned:</w:t>
      </w:r>
      <w:r>
        <w:rPr>
          <w:b/>
          <w:bCs/>
        </w:rPr>
        <w:t xml:space="preserve"> Promotion panel score sheets carry great weight.  FD officers need to be cautious about comments on firefighter appearance – male or female. </w:t>
      </w:r>
    </w:p>
    <w:p w14:paraId="0F43FA98" w14:textId="77777777" w:rsidR="00477016" w:rsidRDefault="00477016" w:rsidP="00EF1133">
      <w:pPr>
        <w:rPr>
          <w:rFonts w:ascii="Arial Black" w:hAnsi="Arial Black"/>
          <w:b/>
          <w:sz w:val="24"/>
          <w:szCs w:val="24"/>
        </w:rPr>
      </w:pPr>
    </w:p>
    <w:p w14:paraId="1CE03F25" w14:textId="3875709E" w:rsidR="00477016" w:rsidRDefault="00477016" w:rsidP="00EF1133">
      <w:pPr>
        <w:rPr>
          <w:rFonts w:ascii="Arial Black" w:hAnsi="Arial Black"/>
          <w:b/>
          <w:sz w:val="24"/>
          <w:szCs w:val="24"/>
        </w:rPr>
      </w:pPr>
      <w:r>
        <w:rPr>
          <w:rFonts w:ascii="Arial Black" w:hAnsi="Arial Black"/>
          <w:b/>
          <w:sz w:val="24"/>
          <w:szCs w:val="24"/>
        </w:rPr>
        <w:lastRenderedPageBreak/>
        <w:t>6-11</w:t>
      </w:r>
      <w:r w:rsidR="002A0697">
        <w:rPr>
          <w:rFonts w:ascii="Arial Black" w:hAnsi="Arial Black"/>
          <w:b/>
          <w:sz w:val="24"/>
          <w:szCs w:val="24"/>
        </w:rPr>
        <w:t>2</w:t>
      </w:r>
    </w:p>
    <w:p w14:paraId="2271E22E" w14:textId="77777777" w:rsidR="00477016" w:rsidRPr="00907F57" w:rsidRDefault="00477016" w:rsidP="00477016">
      <w:pPr>
        <w:pStyle w:val="NormalWeb"/>
        <w:rPr>
          <w:rFonts w:ascii="Arial Black" w:hAnsi="Arial Black"/>
          <w:sz w:val="28"/>
          <w:szCs w:val="28"/>
        </w:rPr>
      </w:pPr>
      <w:bookmarkStart w:id="227" w:name="_Hlk136859401"/>
      <w:r>
        <w:rPr>
          <w:rFonts w:ascii="Arial Black" w:hAnsi="Arial Black"/>
          <w:sz w:val="28"/>
          <w:szCs w:val="28"/>
        </w:rPr>
        <w:t xml:space="preserve">IL: GAY CHICAGO FF – CLAIMS FEMALE MGR. ASKED FOR SEX / HARASSED – CITY SLOW INVEST. - CASE PROCEED </w:t>
      </w:r>
    </w:p>
    <w:bookmarkEnd w:id="227"/>
    <w:p w14:paraId="05FEBEC7" w14:textId="77777777" w:rsidR="00477016" w:rsidRDefault="00477016" w:rsidP="00477016">
      <w:pPr>
        <w:pStyle w:val="NormalWeb"/>
      </w:pPr>
      <w:r>
        <w:t xml:space="preserve">On May 18, 2023, in </w:t>
      </w:r>
      <w:r w:rsidRPr="001D0C15">
        <w:rPr>
          <w:u w:val="single"/>
        </w:rPr>
        <w:t>James Mundo v. City of Chicago and Janice Hogan</w:t>
      </w:r>
      <w:r>
        <w:t xml:space="preserve">, U.S. District Court Judge Matthew F. Kennelly, U.S. District Court for Northern District of Illinois, Eastern Division, denied the City’s motion for summary judgment on firefighter’s asserts a hostile work environment claim under Title VII of the Civil Rights Act of 1964.   The Court described allegations.  </w:t>
      </w:r>
      <w:hyperlink r:id="rId1131" w:history="1">
        <w:r w:rsidRPr="00B93E1E">
          <w:rPr>
            <w:rStyle w:val="Hyperlink"/>
            <w:rFonts w:eastAsiaTheme="majorEastAsia"/>
          </w:rPr>
          <w:t>https://public.fastcase.com/ZZhmr5v9wN%2FXOe5IsQ%2FqD20iR7BWmLId4hSDI3nXqVWgPhPXw%2BQtkDECKs6HrcpaaA0bYVe7yei9SfZEfso10IPB%2B%2BM5XAOSsASvTO6V770%3D?utm_medium=email&amp;_hsmi=226712652&amp;_hsenc=p2ANqtz-8Ok8gGNpyLe8hTDi80EaJgVLaHo-pifPeTe8oohUIZEvo8GKO7wbe6cb01t7sw656xUcVdVRiPGkXPM8qU1b5G_smouQ&amp;utm_content=226712652&amp;utm_source=hs_email</w:t>
        </w:r>
      </w:hyperlink>
      <w:r>
        <w:t xml:space="preserve"> </w:t>
      </w:r>
    </w:p>
    <w:p w14:paraId="18E99763" w14:textId="77777777" w:rsidR="00477016" w:rsidRDefault="00477016" w:rsidP="00477016">
      <w:pPr>
        <w:pStyle w:val="NormalWeb"/>
        <w:ind w:left="720"/>
      </w:pPr>
      <w:r>
        <w:t xml:space="preserve">“On October 5, 2018, Mundo and his husband Dave met with Malec [Steven Malec, the Assistant Commissioner of Internal Affairs] over lunch. During their meeting, Mundo handed Malec a six page, typed document listing </w:t>
      </w:r>
      <w:proofErr w:type="gramStart"/>
      <w:r>
        <w:t>a number of</w:t>
      </w:r>
      <w:proofErr w:type="gramEnd"/>
      <w:r>
        <w:t xml:space="preserve"> instances of sexual harassment that he said he had experienced at Hogan's hands. *** The entries range from October 1, </w:t>
      </w:r>
      <w:proofErr w:type="gramStart"/>
      <w:r>
        <w:t>2016</w:t>
      </w:r>
      <w:proofErr w:type="gramEnd"/>
      <w:r>
        <w:t xml:space="preserve"> to October 11, 2018. The reported incidents include, among other things: Hogan repeatedly asking Mundo to have sex with her and to masturbate in front of her (and on one occasion, onto her phone); hitting Mundo over the head; undressing in front of him at least twenty times; making comments about her genitalia and comparing it to a flower; saying that she and Mundo would be perfect together if he wasn't gay; using homophobic slurs; saying that she needed to ‘get laid; and threatening to send Mundo back to the field if he didn't comply with her demands. *** Deputy Commissioner Vasquez and </w:t>
      </w:r>
      <w:proofErr w:type="spellStart"/>
      <w:r>
        <w:t>DeCamp</w:t>
      </w:r>
      <w:proofErr w:type="spellEnd"/>
      <w:r>
        <w:t xml:space="preserve"> did not sit down with Hogan </w:t>
      </w:r>
      <w:r w:rsidRPr="001D0C15">
        <w:t>[Deputy Chief of L</w:t>
      </w:r>
      <w:r>
        <w:t xml:space="preserve">abor Relations Division] until a month after Mundo made his official complaint, and in the interim they allowed her to remain in her then-current position. After their interview, Vasquez and </w:t>
      </w:r>
      <w:proofErr w:type="spellStart"/>
      <w:r>
        <w:t>DeCamp</w:t>
      </w:r>
      <w:proofErr w:type="spellEnd"/>
      <w:r>
        <w:t xml:space="preserve"> allowed Hogan to move back to her career service rank of firefighter/paramedic despite her admission that she had engaged in some of the conduct that Mundo accused her of. Moreover, the EEO Division did not begin conducting interviews </w:t>
      </w:r>
      <w:proofErr w:type="gramStart"/>
      <w:r>
        <w:t>of</w:t>
      </w:r>
      <w:proofErr w:type="gramEnd"/>
      <w:r>
        <w:t xml:space="preserve"> </w:t>
      </w:r>
      <w:proofErr w:type="gramStart"/>
      <w:r>
        <w:t>the parties</w:t>
      </w:r>
      <w:proofErr w:type="gramEnd"/>
      <w:r>
        <w:t xml:space="preserve"> and witnesses until another month after that (December 2018). Nor did the EEO Division complete its investigation until over a year and one-half later, on July 10, 2020. And despite Commander Ford's statement that he found Hogan's conduct to be ‘egregious,’ she did not serve her suspension until almost seven months later, on January 29, 2021. Finally, although Hogan and Mundo ceased working together the very same </w:t>
      </w:r>
      <w:proofErr w:type="gramStart"/>
      <w:r>
        <w:t>day</w:t>
      </w:r>
      <w:proofErr w:type="gramEnd"/>
      <w:r>
        <w:t xml:space="preserve"> he made his complaint to Malec, a reasonable jury could find that was due to Mundo taking medical leave, not any remedial action on the City's part.” </w:t>
      </w:r>
    </w:p>
    <w:p w14:paraId="12B7E07B" w14:textId="77777777" w:rsidR="00477016" w:rsidRPr="00DB7D01" w:rsidRDefault="00477016" w:rsidP="00477016">
      <w:pPr>
        <w:pStyle w:val="NormalWeb"/>
        <w:rPr>
          <w:b/>
          <w:bCs/>
        </w:rPr>
      </w:pPr>
      <w:r w:rsidRPr="00DB7D01">
        <w:rPr>
          <w:b/>
          <w:bCs/>
        </w:rPr>
        <w:t>Legal Lesson Learned:</w:t>
      </w:r>
      <w:r>
        <w:rPr>
          <w:b/>
          <w:bCs/>
        </w:rPr>
        <w:t xml:space="preserve"> Internal complaints </w:t>
      </w:r>
      <w:proofErr w:type="gramStart"/>
      <w:r>
        <w:rPr>
          <w:b/>
          <w:bCs/>
        </w:rPr>
        <w:t>of</w:t>
      </w:r>
      <w:proofErr w:type="gramEnd"/>
      <w:r>
        <w:rPr>
          <w:b/>
          <w:bCs/>
        </w:rPr>
        <w:t xml:space="preserve"> hostile work environment should be promptly investigated and corrective action taken.</w:t>
      </w:r>
    </w:p>
    <w:p w14:paraId="0DDAEAE4" w14:textId="77777777" w:rsidR="00477016" w:rsidRDefault="00477016" w:rsidP="00EF1133">
      <w:pPr>
        <w:rPr>
          <w:rFonts w:ascii="Arial Black" w:hAnsi="Arial Black"/>
          <w:b/>
          <w:sz w:val="24"/>
          <w:szCs w:val="24"/>
        </w:rPr>
      </w:pPr>
    </w:p>
    <w:p w14:paraId="276F88CF" w14:textId="6675FE0D" w:rsidR="007A0E71" w:rsidRDefault="007A0E71" w:rsidP="00EF1133">
      <w:pPr>
        <w:rPr>
          <w:rFonts w:ascii="Arial Black" w:hAnsi="Arial Black"/>
          <w:b/>
          <w:sz w:val="24"/>
          <w:szCs w:val="24"/>
        </w:rPr>
      </w:pPr>
      <w:r>
        <w:rPr>
          <w:rFonts w:ascii="Arial Black" w:hAnsi="Arial Black"/>
          <w:b/>
          <w:sz w:val="24"/>
          <w:szCs w:val="24"/>
        </w:rPr>
        <w:t>6-11</w:t>
      </w:r>
      <w:r w:rsidR="002A0697">
        <w:rPr>
          <w:rFonts w:ascii="Arial Black" w:hAnsi="Arial Black"/>
          <w:b/>
          <w:sz w:val="24"/>
          <w:szCs w:val="24"/>
        </w:rPr>
        <w:t>1</w:t>
      </w:r>
    </w:p>
    <w:p w14:paraId="37BAE7AE" w14:textId="33BCFCED" w:rsidR="007A0E71" w:rsidRPr="00806668" w:rsidRDefault="007A0E71" w:rsidP="007A0E71">
      <w:pPr>
        <w:pStyle w:val="NoSpacing"/>
        <w:rPr>
          <w:rFonts w:ascii="Arial Black" w:hAnsi="Arial Black"/>
          <w:sz w:val="28"/>
          <w:szCs w:val="28"/>
        </w:rPr>
      </w:pPr>
      <w:r w:rsidRPr="00806668">
        <w:rPr>
          <w:rFonts w:ascii="Arial Black" w:hAnsi="Arial Black"/>
          <w:sz w:val="28"/>
          <w:szCs w:val="28"/>
        </w:rPr>
        <w:t>KY</w:t>
      </w:r>
      <w:r w:rsidR="00CF133C">
        <w:rPr>
          <w:rFonts w:ascii="Arial Black" w:hAnsi="Arial Black"/>
          <w:sz w:val="28"/>
          <w:szCs w:val="28"/>
        </w:rPr>
        <w:t xml:space="preserve">: </w:t>
      </w:r>
      <w:r w:rsidRPr="00806668">
        <w:rPr>
          <w:rFonts w:ascii="Arial Black" w:hAnsi="Arial Black"/>
          <w:sz w:val="28"/>
          <w:szCs w:val="28"/>
        </w:rPr>
        <w:t>FF</w:t>
      </w:r>
      <w:r>
        <w:rPr>
          <w:rFonts w:ascii="Arial Black" w:hAnsi="Arial Black"/>
          <w:sz w:val="28"/>
          <w:szCs w:val="28"/>
        </w:rPr>
        <w:t xml:space="preserve"> HAD BOTH KNEES REPLACED – WORK RELATED TRAUMA - PERMANENT PARTIAL D</w:t>
      </w:r>
      <w:r w:rsidRPr="00806668">
        <w:rPr>
          <w:rFonts w:ascii="Arial Black" w:hAnsi="Arial Black"/>
          <w:sz w:val="28"/>
          <w:szCs w:val="28"/>
        </w:rPr>
        <w:t xml:space="preserve">ISABILITY </w:t>
      </w:r>
    </w:p>
    <w:p w14:paraId="1856D14F" w14:textId="77777777" w:rsidR="007A0E71" w:rsidRDefault="007A0E71" w:rsidP="007A0E71">
      <w:pPr>
        <w:pStyle w:val="NoSpacing"/>
      </w:pPr>
    </w:p>
    <w:p w14:paraId="55A88808" w14:textId="77777777" w:rsidR="007A0E71" w:rsidRDefault="007A0E71" w:rsidP="007A0E71">
      <w:pPr>
        <w:pStyle w:val="NoSpacing"/>
        <w:rPr>
          <w:rFonts w:ascii="Times New Roman" w:hAnsi="Times New Roman"/>
          <w:sz w:val="24"/>
          <w:szCs w:val="24"/>
        </w:rPr>
      </w:pPr>
      <w:r w:rsidRPr="003C1643">
        <w:rPr>
          <w:rFonts w:ascii="Times New Roman" w:hAnsi="Times New Roman"/>
          <w:sz w:val="24"/>
          <w:szCs w:val="24"/>
          <w:u w:val="single"/>
        </w:rPr>
        <w:t>Lexington Fayette Urban County Government v. Michael Gosper, et al</w:t>
      </w:r>
      <w:r w:rsidRPr="003C1643">
        <w:rPr>
          <w:rFonts w:ascii="Times New Roman" w:hAnsi="Times New Roman"/>
          <w:sz w:val="24"/>
          <w:szCs w:val="24"/>
        </w:rPr>
        <w:t xml:space="preserve">., Supreme Court of Kentucky, </w:t>
      </w:r>
      <w:hyperlink r:id="rId1132" w:history="1">
        <w:r w:rsidRPr="003C1643">
          <w:rPr>
            <w:rStyle w:val="Hyperlink"/>
            <w:rFonts w:ascii="Times New Roman" w:hAnsi="Times New Roman"/>
            <w:sz w:val="24"/>
            <w:szCs w:val="24"/>
          </w:rPr>
          <w:t>https://casetext.com/case/lexington-fayette-urban-cnty-govt-v-gosper-1</w:t>
        </w:r>
      </w:hyperlink>
      <w:r w:rsidRPr="003C1643">
        <w:rPr>
          <w:rFonts w:ascii="Times New Roman" w:hAnsi="Times New Roman"/>
          <w:sz w:val="24"/>
          <w:szCs w:val="24"/>
        </w:rPr>
        <w:t xml:space="preserve"> </w:t>
      </w:r>
    </w:p>
    <w:p w14:paraId="1926DC56" w14:textId="6DB0242B" w:rsidR="00546A79" w:rsidRPr="003C1643" w:rsidRDefault="00CF133C" w:rsidP="007A0E71">
      <w:pPr>
        <w:pStyle w:val="NoSpacing"/>
        <w:rPr>
          <w:rFonts w:ascii="Times New Roman" w:hAnsi="Times New Roman"/>
          <w:sz w:val="24"/>
          <w:szCs w:val="24"/>
        </w:rPr>
      </w:pPr>
      <w:r>
        <w:rPr>
          <w:rFonts w:ascii="Times New Roman" w:hAnsi="Times New Roman"/>
          <w:sz w:val="24"/>
          <w:szCs w:val="24"/>
        </w:rPr>
        <w:lastRenderedPageBreak/>
        <w:t>4/27/2023</w:t>
      </w:r>
    </w:p>
    <w:p w14:paraId="3D778DEC" w14:textId="77777777" w:rsidR="007A0E71" w:rsidRPr="003C1643" w:rsidRDefault="007A0E71" w:rsidP="007A0E71">
      <w:pPr>
        <w:pStyle w:val="NoSpacing"/>
        <w:rPr>
          <w:rFonts w:ascii="Times New Roman" w:hAnsi="Times New Roman"/>
          <w:sz w:val="24"/>
          <w:szCs w:val="24"/>
        </w:rPr>
      </w:pPr>
    </w:p>
    <w:p w14:paraId="5C421277" w14:textId="77777777" w:rsidR="007A0E71" w:rsidRDefault="007A0E71" w:rsidP="007A0E71">
      <w:pPr>
        <w:pStyle w:val="NormalWeb"/>
        <w:rPr>
          <w:b/>
          <w:bCs/>
        </w:rPr>
      </w:pPr>
      <w:r>
        <w:rPr>
          <w:b/>
          <w:bCs/>
        </w:rPr>
        <w:t xml:space="preserve">Legal Lesson Learned: Testimony concerning 18 years of strenuous on duty activities was important. </w:t>
      </w:r>
    </w:p>
    <w:p w14:paraId="2F99BB80" w14:textId="77777777" w:rsidR="007A0E71" w:rsidRDefault="007A0E71" w:rsidP="00EF1133">
      <w:pPr>
        <w:rPr>
          <w:rFonts w:ascii="Arial Black" w:hAnsi="Arial Black"/>
          <w:b/>
          <w:sz w:val="24"/>
          <w:szCs w:val="24"/>
        </w:rPr>
      </w:pPr>
    </w:p>
    <w:p w14:paraId="0E702D2D" w14:textId="1D09652C" w:rsidR="007A0E71" w:rsidRDefault="007A0E71" w:rsidP="00EF1133">
      <w:pPr>
        <w:rPr>
          <w:rFonts w:ascii="Arial Black" w:hAnsi="Arial Black"/>
          <w:b/>
          <w:sz w:val="24"/>
          <w:szCs w:val="24"/>
        </w:rPr>
      </w:pPr>
      <w:r>
        <w:rPr>
          <w:rFonts w:ascii="Arial Black" w:hAnsi="Arial Black"/>
          <w:b/>
          <w:sz w:val="24"/>
          <w:szCs w:val="24"/>
        </w:rPr>
        <w:t>6-1</w:t>
      </w:r>
      <w:r w:rsidR="00227BDE">
        <w:rPr>
          <w:rFonts w:ascii="Arial Black" w:hAnsi="Arial Black"/>
          <w:b/>
          <w:sz w:val="24"/>
          <w:szCs w:val="24"/>
        </w:rPr>
        <w:t>1</w:t>
      </w:r>
      <w:r w:rsidR="002A0697">
        <w:rPr>
          <w:rFonts w:ascii="Arial Black" w:hAnsi="Arial Black"/>
          <w:b/>
          <w:sz w:val="24"/>
          <w:szCs w:val="24"/>
        </w:rPr>
        <w:t>0</w:t>
      </w:r>
    </w:p>
    <w:p w14:paraId="65F4DD95" w14:textId="33E24254" w:rsidR="007A0E71" w:rsidRPr="000218A8" w:rsidRDefault="007A0E71" w:rsidP="007A0E71">
      <w:pPr>
        <w:pStyle w:val="NoSpacing"/>
        <w:rPr>
          <w:rFonts w:ascii="Arial Black" w:hAnsi="Arial Black"/>
          <w:sz w:val="28"/>
          <w:szCs w:val="28"/>
        </w:rPr>
      </w:pPr>
      <w:r w:rsidRPr="000218A8">
        <w:rPr>
          <w:rFonts w:ascii="Arial Black" w:hAnsi="Arial Black"/>
          <w:sz w:val="28"/>
          <w:szCs w:val="28"/>
        </w:rPr>
        <w:t>TX</w:t>
      </w:r>
      <w:r w:rsidR="00CF133C">
        <w:rPr>
          <w:rFonts w:ascii="Arial Black" w:hAnsi="Arial Black"/>
          <w:sz w:val="28"/>
          <w:szCs w:val="28"/>
        </w:rPr>
        <w:t xml:space="preserve">: </w:t>
      </w:r>
      <w:r w:rsidRPr="000218A8">
        <w:rPr>
          <w:rFonts w:ascii="Arial Black" w:hAnsi="Arial Black"/>
          <w:sz w:val="28"/>
          <w:szCs w:val="28"/>
        </w:rPr>
        <w:t xml:space="preserve">FF NOT HIRED BY SAN ANTONIO FD – </w:t>
      </w:r>
      <w:r>
        <w:rPr>
          <w:rFonts w:ascii="Arial Black" w:hAnsi="Arial Black"/>
          <w:sz w:val="28"/>
          <w:szCs w:val="28"/>
        </w:rPr>
        <w:t>ONLY CITY EMPLOYEES CAN APPEAL CITY</w:t>
      </w:r>
      <w:r w:rsidRPr="000218A8">
        <w:rPr>
          <w:rFonts w:ascii="Arial Black" w:hAnsi="Arial Black"/>
          <w:sz w:val="28"/>
          <w:szCs w:val="28"/>
        </w:rPr>
        <w:t xml:space="preserve"> CIVIL SERVICE COMM.</w:t>
      </w:r>
    </w:p>
    <w:p w14:paraId="7DE57EFB" w14:textId="77777777" w:rsidR="007A0E71" w:rsidRDefault="007A0E71" w:rsidP="007A0E71">
      <w:pPr>
        <w:pStyle w:val="NoSpacing"/>
      </w:pPr>
    </w:p>
    <w:p w14:paraId="68456BED" w14:textId="77777777" w:rsidR="007A0E71" w:rsidRDefault="007A0E71" w:rsidP="007A0E71">
      <w:pPr>
        <w:pStyle w:val="NoSpacing"/>
        <w:rPr>
          <w:rFonts w:ascii="Times New Roman" w:hAnsi="Times New Roman"/>
          <w:sz w:val="24"/>
          <w:szCs w:val="24"/>
        </w:rPr>
      </w:pPr>
      <w:r w:rsidRPr="003C1643">
        <w:rPr>
          <w:rFonts w:ascii="Times New Roman" w:hAnsi="Times New Roman"/>
          <w:sz w:val="24"/>
          <w:szCs w:val="24"/>
          <w:u w:val="single"/>
        </w:rPr>
        <w:t xml:space="preserve">The City of San Antonio Fire Fighters’ </w:t>
      </w:r>
      <w:proofErr w:type="gramStart"/>
      <w:r w:rsidRPr="003C1643">
        <w:rPr>
          <w:rFonts w:ascii="Times New Roman" w:hAnsi="Times New Roman"/>
          <w:sz w:val="24"/>
          <w:szCs w:val="24"/>
          <w:u w:val="single"/>
        </w:rPr>
        <w:t>And</w:t>
      </w:r>
      <w:proofErr w:type="gramEnd"/>
      <w:r w:rsidRPr="003C1643">
        <w:rPr>
          <w:rFonts w:ascii="Times New Roman" w:hAnsi="Times New Roman"/>
          <w:sz w:val="24"/>
          <w:szCs w:val="24"/>
          <w:u w:val="single"/>
        </w:rPr>
        <w:t xml:space="preserve"> Police Officers’ Civil Service Commission, et al. v. Gabriel Saenz</w:t>
      </w:r>
      <w:r w:rsidRPr="003C1643">
        <w:rPr>
          <w:rFonts w:ascii="Times New Roman" w:hAnsi="Times New Roman"/>
          <w:sz w:val="24"/>
          <w:szCs w:val="24"/>
        </w:rPr>
        <w:t xml:space="preserve">, Court of Appeals of Texas, Fourth District, San Antonio. </w:t>
      </w:r>
      <w:hyperlink r:id="rId1133" w:history="1">
        <w:r w:rsidRPr="003C1643">
          <w:rPr>
            <w:rStyle w:val="Hyperlink"/>
            <w:rFonts w:ascii="Times New Roman" w:hAnsi="Times New Roman"/>
            <w:sz w:val="24"/>
            <w:szCs w:val="24"/>
          </w:rPr>
          <w:t>https://law.justia.com/cases/texas/fourth-court-of-appeals/2023/04-22-00347-cv.html</w:t>
        </w:r>
      </w:hyperlink>
      <w:r w:rsidRPr="003C1643">
        <w:rPr>
          <w:rFonts w:ascii="Times New Roman" w:hAnsi="Times New Roman"/>
          <w:sz w:val="24"/>
          <w:szCs w:val="24"/>
        </w:rPr>
        <w:t xml:space="preserve"> </w:t>
      </w:r>
    </w:p>
    <w:p w14:paraId="4E8C2112" w14:textId="6AF60273" w:rsidR="00CF133C" w:rsidRPr="003C1643" w:rsidRDefault="00CF133C" w:rsidP="007A0E71">
      <w:pPr>
        <w:pStyle w:val="NoSpacing"/>
        <w:rPr>
          <w:rFonts w:ascii="Times New Roman" w:hAnsi="Times New Roman"/>
          <w:sz w:val="24"/>
          <w:szCs w:val="24"/>
        </w:rPr>
      </w:pPr>
      <w:r>
        <w:rPr>
          <w:rFonts w:ascii="Times New Roman" w:hAnsi="Times New Roman"/>
          <w:sz w:val="24"/>
          <w:szCs w:val="24"/>
        </w:rPr>
        <w:t>4/27/2023</w:t>
      </w:r>
    </w:p>
    <w:p w14:paraId="764E7DCA" w14:textId="77777777" w:rsidR="007A0E71" w:rsidRDefault="007A0E71" w:rsidP="00EF1133">
      <w:pPr>
        <w:rPr>
          <w:rFonts w:ascii="Arial Black" w:hAnsi="Arial Black"/>
          <w:b/>
          <w:sz w:val="24"/>
          <w:szCs w:val="24"/>
        </w:rPr>
      </w:pPr>
    </w:p>
    <w:p w14:paraId="789FE2D2" w14:textId="77777777" w:rsidR="007A0E71" w:rsidRDefault="007A0E71" w:rsidP="007A0E71">
      <w:pPr>
        <w:pStyle w:val="NormalWeb"/>
        <w:rPr>
          <w:b/>
          <w:bCs/>
        </w:rPr>
      </w:pPr>
      <w:r>
        <w:rPr>
          <w:b/>
          <w:bCs/>
        </w:rPr>
        <w:t xml:space="preserve">Legal Lesson Learned: Civil Service Commission appeals are only for city employees. </w:t>
      </w:r>
    </w:p>
    <w:p w14:paraId="3BBDBA46" w14:textId="77777777" w:rsidR="007A0E71" w:rsidRDefault="007A0E71" w:rsidP="00EF1133">
      <w:pPr>
        <w:rPr>
          <w:rFonts w:ascii="Arial Black" w:hAnsi="Arial Black"/>
          <w:b/>
          <w:sz w:val="24"/>
          <w:szCs w:val="24"/>
        </w:rPr>
      </w:pPr>
    </w:p>
    <w:p w14:paraId="11FAC368" w14:textId="77777777" w:rsidR="007A0E71" w:rsidRDefault="007A0E71" w:rsidP="00EF1133">
      <w:pPr>
        <w:rPr>
          <w:rFonts w:ascii="Arial Black" w:hAnsi="Arial Black"/>
          <w:b/>
          <w:sz w:val="24"/>
          <w:szCs w:val="24"/>
        </w:rPr>
      </w:pPr>
    </w:p>
    <w:p w14:paraId="67FE4841" w14:textId="20EF6AD5" w:rsidR="007A0E71" w:rsidRDefault="007A0E71" w:rsidP="00EF1133">
      <w:pPr>
        <w:rPr>
          <w:rFonts w:ascii="Arial Black" w:hAnsi="Arial Black"/>
          <w:b/>
          <w:sz w:val="24"/>
          <w:szCs w:val="24"/>
        </w:rPr>
      </w:pPr>
      <w:r>
        <w:rPr>
          <w:rFonts w:ascii="Arial Black" w:hAnsi="Arial Black"/>
          <w:b/>
          <w:sz w:val="24"/>
          <w:szCs w:val="24"/>
        </w:rPr>
        <w:t>6-1</w:t>
      </w:r>
      <w:r w:rsidR="00B877B2">
        <w:rPr>
          <w:rFonts w:ascii="Arial Black" w:hAnsi="Arial Black"/>
          <w:b/>
          <w:sz w:val="24"/>
          <w:szCs w:val="24"/>
        </w:rPr>
        <w:t>09</w:t>
      </w:r>
    </w:p>
    <w:p w14:paraId="0DAACF9B" w14:textId="77777777" w:rsidR="007A0E71" w:rsidRPr="009A765C" w:rsidRDefault="007A0E71" w:rsidP="007A0E71">
      <w:pPr>
        <w:pStyle w:val="NoSpacing"/>
        <w:rPr>
          <w:rFonts w:ascii="Arial Black" w:hAnsi="Arial Black"/>
          <w:sz w:val="28"/>
          <w:szCs w:val="28"/>
        </w:rPr>
      </w:pPr>
      <w:r w:rsidRPr="009A765C">
        <w:rPr>
          <w:rFonts w:ascii="Arial Black" w:hAnsi="Arial Black"/>
          <w:sz w:val="28"/>
          <w:szCs w:val="28"/>
        </w:rPr>
        <w:t xml:space="preserve">IL (4/24/2023) – FF - LEUKEMIA – </w:t>
      </w:r>
      <w:r>
        <w:rPr>
          <w:rFonts w:ascii="Arial Black" w:hAnsi="Arial Black"/>
          <w:sz w:val="28"/>
          <w:szCs w:val="28"/>
        </w:rPr>
        <w:t xml:space="preserve">RECEIVES </w:t>
      </w:r>
      <w:r w:rsidRPr="009A765C">
        <w:rPr>
          <w:rFonts w:ascii="Arial Black" w:hAnsi="Arial Black"/>
          <w:sz w:val="28"/>
          <w:szCs w:val="28"/>
        </w:rPr>
        <w:t>LINE OF DUTY DISABILTY PENSION &amp; PAID HEALTH INSURANCE</w:t>
      </w:r>
    </w:p>
    <w:p w14:paraId="6CEB268D" w14:textId="77777777" w:rsidR="007A0E71" w:rsidRDefault="007A0E71" w:rsidP="007A0E71">
      <w:pPr>
        <w:pStyle w:val="NoSpacing"/>
      </w:pPr>
    </w:p>
    <w:p w14:paraId="022ED0F9" w14:textId="5178084E" w:rsidR="007A0E71" w:rsidRDefault="007A0E71" w:rsidP="007A0E71">
      <w:r w:rsidRPr="003C1643">
        <w:rPr>
          <w:rFonts w:ascii="Times New Roman" w:hAnsi="Times New Roman"/>
          <w:sz w:val="24"/>
          <w:szCs w:val="24"/>
          <w:u w:val="single"/>
        </w:rPr>
        <w:t xml:space="preserve">James Ivetic, on behalf of his spouse, Nancy </w:t>
      </w:r>
      <w:proofErr w:type="spellStart"/>
      <w:r w:rsidRPr="003C1643">
        <w:rPr>
          <w:rFonts w:ascii="Times New Roman" w:hAnsi="Times New Roman"/>
          <w:sz w:val="24"/>
          <w:szCs w:val="24"/>
          <w:u w:val="single"/>
        </w:rPr>
        <w:t>Ivetic</w:t>
      </w:r>
      <w:proofErr w:type="spellEnd"/>
      <w:r w:rsidRPr="003C1643">
        <w:rPr>
          <w:rFonts w:ascii="Times New Roman" w:hAnsi="Times New Roman"/>
          <w:sz w:val="24"/>
          <w:szCs w:val="24"/>
          <w:u w:val="single"/>
        </w:rPr>
        <w:t xml:space="preserve"> v. Bensenville Fire Protection District No. 2</w:t>
      </w:r>
      <w:r w:rsidRPr="003C1643">
        <w:rPr>
          <w:rFonts w:ascii="Times New Roman" w:hAnsi="Times New Roman"/>
          <w:sz w:val="24"/>
          <w:szCs w:val="24"/>
        </w:rPr>
        <w:t xml:space="preserve">, Court of Appeals of Illinois, First District, First Division. </w:t>
      </w:r>
      <w:hyperlink r:id="rId1134" w:history="1">
        <w:r w:rsidR="002A0697" w:rsidRPr="00792717">
          <w:rPr>
            <w:rStyle w:val="Hyperlink"/>
            <w:rFonts w:ascii="Times New Roman" w:hAnsi="Times New Roman"/>
            <w:sz w:val="24"/>
            <w:szCs w:val="24"/>
          </w:rPr>
          <w:t>https://ilcourtsaudio.blob.core.windows.net/antilles- resources/resources/467a406e-7cd0-4d26-a9c9-2d169ea7237c/Ivetic%20v.%20Bensenville%20Fire%20Protection%20District%20No.3,%202023%20IL%20App%20(1st)%20220879-U.pdf</w:t>
        </w:r>
      </w:hyperlink>
    </w:p>
    <w:p w14:paraId="4A250EC2" w14:textId="13D1E9C5" w:rsidR="002A0697" w:rsidRDefault="002A0697" w:rsidP="007A0E71">
      <w:pPr>
        <w:rPr>
          <w:rFonts w:ascii="Arial Black" w:hAnsi="Arial Black"/>
          <w:b/>
          <w:sz w:val="24"/>
          <w:szCs w:val="24"/>
        </w:rPr>
      </w:pPr>
      <w:r>
        <w:t>4/24/2023</w:t>
      </w:r>
    </w:p>
    <w:p w14:paraId="3B30B91E" w14:textId="77777777" w:rsidR="007A0E71" w:rsidRPr="003C1643" w:rsidRDefault="007A0E71" w:rsidP="007A0E71">
      <w:pPr>
        <w:pStyle w:val="NormalWeb"/>
        <w:rPr>
          <w:b/>
          <w:bCs/>
        </w:rPr>
      </w:pPr>
      <w:r w:rsidRPr="003C1643">
        <w:rPr>
          <w:b/>
          <w:bCs/>
        </w:rPr>
        <w:t xml:space="preserve">Legal Lesson Learned:  Firefighter entitled to health insurance benefit for him and his wife. </w:t>
      </w:r>
    </w:p>
    <w:p w14:paraId="4020FE30" w14:textId="77777777" w:rsidR="007A0E71" w:rsidRDefault="007A0E71" w:rsidP="00EF1133">
      <w:pPr>
        <w:rPr>
          <w:rFonts w:ascii="Arial Black" w:hAnsi="Arial Black"/>
          <w:b/>
          <w:sz w:val="24"/>
          <w:szCs w:val="24"/>
        </w:rPr>
      </w:pPr>
    </w:p>
    <w:p w14:paraId="64F4A4DB" w14:textId="070A2BB9" w:rsidR="007A0E71" w:rsidRDefault="007A0E71" w:rsidP="00EF1133">
      <w:pPr>
        <w:rPr>
          <w:rFonts w:ascii="Arial Black" w:hAnsi="Arial Black"/>
          <w:b/>
          <w:sz w:val="24"/>
          <w:szCs w:val="24"/>
        </w:rPr>
      </w:pPr>
      <w:r>
        <w:rPr>
          <w:rFonts w:ascii="Arial Black" w:hAnsi="Arial Black"/>
          <w:b/>
          <w:sz w:val="24"/>
          <w:szCs w:val="24"/>
        </w:rPr>
        <w:t>6-10</w:t>
      </w:r>
      <w:r w:rsidR="00B877B2">
        <w:rPr>
          <w:rFonts w:ascii="Arial Black" w:hAnsi="Arial Black"/>
          <w:b/>
          <w:sz w:val="24"/>
          <w:szCs w:val="24"/>
        </w:rPr>
        <w:t>8</w:t>
      </w:r>
    </w:p>
    <w:p w14:paraId="1803F61E" w14:textId="17EC8C9E" w:rsidR="007A0E71" w:rsidRPr="00A23E14" w:rsidRDefault="007A0E71" w:rsidP="007A0E71">
      <w:pPr>
        <w:pStyle w:val="NoSpacing"/>
        <w:rPr>
          <w:rFonts w:ascii="Arial Black" w:hAnsi="Arial Black"/>
          <w:sz w:val="28"/>
          <w:szCs w:val="28"/>
        </w:rPr>
      </w:pPr>
      <w:r w:rsidRPr="00A23E14">
        <w:rPr>
          <w:rFonts w:ascii="Arial Black" w:hAnsi="Arial Black"/>
          <w:sz w:val="28"/>
          <w:szCs w:val="28"/>
        </w:rPr>
        <w:t>PA</w:t>
      </w:r>
      <w:r w:rsidR="00B877B2">
        <w:rPr>
          <w:rFonts w:ascii="Arial Black" w:hAnsi="Arial Black"/>
          <w:sz w:val="28"/>
          <w:szCs w:val="28"/>
        </w:rPr>
        <w:t xml:space="preserve">: </w:t>
      </w:r>
      <w:r w:rsidRPr="00A23E14">
        <w:rPr>
          <w:rFonts w:ascii="Arial Black" w:hAnsi="Arial Black"/>
          <w:sz w:val="28"/>
          <w:szCs w:val="28"/>
        </w:rPr>
        <w:t xml:space="preserve">FF RIGHT SHOULDER </w:t>
      </w:r>
      <w:r>
        <w:rPr>
          <w:rFonts w:ascii="Arial Black" w:hAnsi="Arial Black"/>
          <w:sz w:val="28"/>
          <w:szCs w:val="28"/>
        </w:rPr>
        <w:t xml:space="preserve">INJURY </w:t>
      </w:r>
      <w:r w:rsidRPr="00A23E14">
        <w:rPr>
          <w:rFonts w:ascii="Arial Black" w:hAnsi="Arial Black"/>
          <w:sz w:val="28"/>
          <w:szCs w:val="28"/>
        </w:rPr>
        <w:t xml:space="preserve">– LIGHT DUTY UNTIL </w:t>
      </w:r>
      <w:r>
        <w:rPr>
          <w:rFonts w:ascii="Arial Black" w:hAnsi="Arial Black"/>
          <w:sz w:val="28"/>
          <w:szCs w:val="28"/>
        </w:rPr>
        <w:t xml:space="preserve">FELT HE HAD </w:t>
      </w:r>
      <w:r w:rsidRPr="00A23E14">
        <w:rPr>
          <w:rFonts w:ascii="Arial Black" w:hAnsi="Arial Black"/>
          <w:sz w:val="28"/>
          <w:szCs w:val="28"/>
        </w:rPr>
        <w:t>RETIRE</w:t>
      </w:r>
      <w:r>
        <w:rPr>
          <w:rFonts w:ascii="Arial Black" w:hAnsi="Arial Black"/>
          <w:sz w:val="28"/>
          <w:szCs w:val="28"/>
        </w:rPr>
        <w:t xml:space="preserve"> – DISABILITY BENEFITS </w:t>
      </w:r>
    </w:p>
    <w:p w14:paraId="6B058F79" w14:textId="77777777" w:rsidR="007A0E71" w:rsidRDefault="007A0E71" w:rsidP="007A0E71">
      <w:pPr>
        <w:pStyle w:val="NoSpacing"/>
      </w:pPr>
    </w:p>
    <w:p w14:paraId="4F5E0619" w14:textId="77777777" w:rsidR="007A0E71" w:rsidRPr="003C1643" w:rsidRDefault="007A0E71" w:rsidP="007A0E71">
      <w:pPr>
        <w:pStyle w:val="NoSpacing"/>
        <w:rPr>
          <w:rFonts w:ascii="Times New Roman" w:hAnsi="Times New Roman"/>
          <w:sz w:val="24"/>
          <w:szCs w:val="24"/>
        </w:rPr>
      </w:pPr>
      <w:r w:rsidRPr="003C1643">
        <w:rPr>
          <w:rFonts w:ascii="Times New Roman" w:hAnsi="Times New Roman"/>
          <w:sz w:val="24"/>
          <w:szCs w:val="24"/>
          <w:u w:val="single"/>
        </w:rPr>
        <w:lastRenderedPageBreak/>
        <w:t>City of Wilkes-Barre v. Thomas Snyder (Workers’ Compensation Appeal Board)</w:t>
      </w:r>
      <w:r w:rsidRPr="003C1643">
        <w:rPr>
          <w:rFonts w:ascii="Times New Roman" w:hAnsi="Times New Roman"/>
          <w:sz w:val="24"/>
          <w:szCs w:val="24"/>
        </w:rPr>
        <w:t xml:space="preserve">, Commonwealth Court of Pennsylvania. </w:t>
      </w:r>
      <w:hyperlink r:id="rId1135" w:history="1">
        <w:r w:rsidRPr="003C1643">
          <w:rPr>
            <w:rStyle w:val="Hyperlink"/>
            <w:rFonts w:ascii="Times New Roman" w:hAnsi="Times New Roman"/>
            <w:sz w:val="24"/>
            <w:szCs w:val="24"/>
          </w:rPr>
          <w:t>https://casetext.com/case/city-of-wilkes-barre-v-snyder</w:t>
        </w:r>
      </w:hyperlink>
      <w:r w:rsidRPr="003C1643">
        <w:rPr>
          <w:rFonts w:ascii="Times New Roman" w:hAnsi="Times New Roman"/>
          <w:sz w:val="24"/>
          <w:szCs w:val="24"/>
        </w:rPr>
        <w:t xml:space="preserve"> </w:t>
      </w:r>
    </w:p>
    <w:p w14:paraId="651CD1B5" w14:textId="478AD09D" w:rsidR="007A0E71" w:rsidRPr="003C1643" w:rsidRDefault="007A0E71" w:rsidP="007A0E71">
      <w:pPr>
        <w:pStyle w:val="NoSpacing"/>
        <w:rPr>
          <w:rFonts w:ascii="Times New Roman" w:hAnsi="Times New Roman"/>
          <w:sz w:val="24"/>
          <w:szCs w:val="24"/>
        </w:rPr>
      </w:pPr>
      <w:r w:rsidRPr="003C1643">
        <w:rPr>
          <w:rFonts w:ascii="Times New Roman" w:hAnsi="Times New Roman"/>
          <w:sz w:val="24"/>
          <w:szCs w:val="24"/>
        </w:rPr>
        <w:t>[Unpublished Decision.]</w:t>
      </w:r>
      <w:r w:rsidR="00B877B2">
        <w:rPr>
          <w:rFonts w:ascii="Times New Roman" w:hAnsi="Times New Roman"/>
          <w:sz w:val="24"/>
          <w:szCs w:val="24"/>
        </w:rPr>
        <w:t xml:space="preserve"> 4/20/2023</w:t>
      </w:r>
    </w:p>
    <w:p w14:paraId="499A7814" w14:textId="77777777" w:rsidR="007A0E71" w:rsidRDefault="007A0E71" w:rsidP="00EF1133">
      <w:pPr>
        <w:rPr>
          <w:rFonts w:ascii="Arial Black" w:hAnsi="Arial Black"/>
          <w:b/>
          <w:sz w:val="24"/>
          <w:szCs w:val="24"/>
        </w:rPr>
      </w:pPr>
    </w:p>
    <w:p w14:paraId="74918EA5" w14:textId="77777777" w:rsidR="007A0E71" w:rsidRPr="003C1643" w:rsidRDefault="007A0E71" w:rsidP="007A0E71">
      <w:pPr>
        <w:pStyle w:val="NoSpacing"/>
        <w:rPr>
          <w:rFonts w:ascii="Times New Roman" w:hAnsi="Times New Roman"/>
          <w:b/>
          <w:bCs/>
          <w:sz w:val="24"/>
          <w:szCs w:val="24"/>
        </w:rPr>
      </w:pPr>
      <w:r w:rsidRPr="003C1643">
        <w:rPr>
          <w:rFonts w:ascii="Times New Roman" w:hAnsi="Times New Roman"/>
          <w:b/>
          <w:bCs/>
          <w:sz w:val="24"/>
          <w:szCs w:val="24"/>
        </w:rPr>
        <w:t xml:space="preserve">Legal Lesson Learned:  If injury will not allow you to return full duty, document with management the need for disability retirement. </w:t>
      </w:r>
    </w:p>
    <w:p w14:paraId="337A440E" w14:textId="77777777" w:rsidR="007A0E71" w:rsidRDefault="007A0E71" w:rsidP="00EF1133">
      <w:pPr>
        <w:rPr>
          <w:rFonts w:ascii="Arial Black" w:hAnsi="Arial Black"/>
          <w:b/>
          <w:sz w:val="24"/>
          <w:szCs w:val="24"/>
        </w:rPr>
      </w:pPr>
    </w:p>
    <w:p w14:paraId="2F7A68ED" w14:textId="7B4FA9D4" w:rsidR="007A0E71" w:rsidRDefault="007A0E71" w:rsidP="00EF1133">
      <w:pPr>
        <w:rPr>
          <w:rFonts w:ascii="Arial Black" w:hAnsi="Arial Black"/>
          <w:b/>
          <w:sz w:val="24"/>
          <w:szCs w:val="24"/>
        </w:rPr>
      </w:pPr>
      <w:r>
        <w:rPr>
          <w:rFonts w:ascii="Arial Black" w:hAnsi="Arial Black"/>
          <w:b/>
          <w:sz w:val="24"/>
          <w:szCs w:val="24"/>
        </w:rPr>
        <w:t>6-10</w:t>
      </w:r>
      <w:r w:rsidR="00FF7C63">
        <w:rPr>
          <w:rFonts w:ascii="Arial Black" w:hAnsi="Arial Black"/>
          <w:b/>
          <w:sz w:val="24"/>
          <w:szCs w:val="24"/>
        </w:rPr>
        <w:t>7</w:t>
      </w:r>
    </w:p>
    <w:p w14:paraId="7901C0E7" w14:textId="77777777" w:rsidR="00B877B2" w:rsidRDefault="007A0E71" w:rsidP="007A0E71">
      <w:pPr>
        <w:pStyle w:val="NoSpacing"/>
        <w:rPr>
          <w:rFonts w:ascii="Arial Black" w:hAnsi="Arial Black"/>
          <w:sz w:val="28"/>
          <w:szCs w:val="28"/>
        </w:rPr>
      </w:pPr>
      <w:r w:rsidRPr="00811A7B">
        <w:rPr>
          <w:rFonts w:ascii="Arial Black" w:hAnsi="Arial Black"/>
          <w:sz w:val="28"/>
          <w:szCs w:val="28"/>
        </w:rPr>
        <w:t>NY</w:t>
      </w:r>
      <w:r w:rsidR="00FF7C63">
        <w:rPr>
          <w:rFonts w:ascii="Arial Black" w:hAnsi="Arial Black"/>
          <w:sz w:val="28"/>
          <w:szCs w:val="28"/>
        </w:rPr>
        <w:t xml:space="preserve">: </w:t>
      </w:r>
    </w:p>
    <w:p w14:paraId="72A4DAD9" w14:textId="180BD2F1" w:rsidR="007A0E71" w:rsidRPr="00811A7B" w:rsidRDefault="007A0E71" w:rsidP="007A0E71">
      <w:pPr>
        <w:pStyle w:val="NoSpacing"/>
        <w:rPr>
          <w:rFonts w:ascii="Arial Black" w:hAnsi="Arial Black"/>
          <w:sz w:val="28"/>
          <w:szCs w:val="28"/>
        </w:rPr>
      </w:pPr>
      <w:r w:rsidRPr="00811A7B">
        <w:rPr>
          <w:rFonts w:ascii="Arial Black" w:hAnsi="Arial Black"/>
          <w:sz w:val="28"/>
          <w:szCs w:val="28"/>
        </w:rPr>
        <w:t xml:space="preserve">FDNY – </w:t>
      </w:r>
      <w:r>
        <w:rPr>
          <w:rFonts w:ascii="Arial Black" w:hAnsi="Arial Black"/>
          <w:sz w:val="28"/>
          <w:szCs w:val="28"/>
        </w:rPr>
        <w:t xml:space="preserve">HIP </w:t>
      </w:r>
      <w:r w:rsidRPr="00811A7B">
        <w:rPr>
          <w:rFonts w:ascii="Arial Black" w:hAnsi="Arial Black"/>
          <w:sz w:val="28"/>
          <w:szCs w:val="28"/>
        </w:rPr>
        <w:t xml:space="preserve">INJURY AT FIRE </w:t>
      </w:r>
      <w:r>
        <w:rPr>
          <w:rFonts w:ascii="Arial Black" w:hAnsi="Arial Black"/>
          <w:sz w:val="28"/>
          <w:szCs w:val="28"/>
        </w:rPr>
        <w:t>–</w:t>
      </w:r>
      <w:r w:rsidRPr="00811A7B">
        <w:rPr>
          <w:rFonts w:ascii="Arial Black" w:hAnsi="Arial Black"/>
          <w:sz w:val="28"/>
          <w:szCs w:val="28"/>
        </w:rPr>
        <w:t xml:space="preserve"> </w:t>
      </w:r>
      <w:r>
        <w:rPr>
          <w:rFonts w:ascii="Arial Black" w:hAnsi="Arial Black"/>
          <w:sz w:val="28"/>
          <w:szCs w:val="28"/>
        </w:rPr>
        <w:t xml:space="preserve">ORDINARY DISABILITY - </w:t>
      </w:r>
      <w:r w:rsidRPr="00811A7B">
        <w:rPr>
          <w:rFonts w:ascii="Arial Black" w:hAnsi="Arial Black"/>
          <w:sz w:val="28"/>
          <w:szCs w:val="28"/>
        </w:rPr>
        <w:t>NO</w:t>
      </w:r>
      <w:r>
        <w:rPr>
          <w:rFonts w:ascii="Arial Black" w:hAnsi="Arial Black"/>
          <w:sz w:val="28"/>
          <w:szCs w:val="28"/>
        </w:rPr>
        <w:t>T</w:t>
      </w:r>
      <w:r w:rsidRPr="00811A7B">
        <w:rPr>
          <w:rFonts w:ascii="Arial Black" w:hAnsi="Arial Black"/>
          <w:sz w:val="28"/>
          <w:szCs w:val="28"/>
        </w:rPr>
        <w:t xml:space="preserve"> ACCIDENTAL DISAB</w:t>
      </w:r>
      <w:r>
        <w:rPr>
          <w:rFonts w:ascii="Arial Black" w:hAnsi="Arial Black"/>
          <w:sz w:val="28"/>
          <w:szCs w:val="28"/>
        </w:rPr>
        <w:t xml:space="preserve"> - </w:t>
      </w:r>
      <w:r w:rsidRPr="00811A7B">
        <w:rPr>
          <w:rFonts w:ascii="Arial Black" w:hAnsi="Arial Black"/>
          <w:sz w:val="28"/>
          <w:szCs w:val="28"/>
        </w:rPr>
        <w:t xml:space="preserve">DEGENERATIVE </w:t>
      </w:r>
      <w:r>
        <w:rPr>
          <w:rFonts w:ascii="Arial Black" w:hAnsi="Arial Black"/>
          <w:sz w:val="28"/>
          <w:szCs w:val="28"/>
        </w:rPr>
        <w:t>HIP</w:t>
      </w:r>
    </w:p>
    <w:p w14:paraId="396C9EAF" w14:textId="77777777" w:rsidR="007A0E71" w:rsidRDefault="007A0E71" w:rsidP="007A0E71">
      <w:pPr>
        <w:pStyle w:val="NoSpacing"/>
      </w:pPr>
    </w:p>
    <w:p w14:paraId="17107020" w14:textId="77777777" w:rsidR="007A0E71" w:rsidRPr="003C1643" w:rsidRDefault="007A0E71" w:rsidP="007A0E71">
      <w:pPr>
        <w:pStyle w:val="NoSpacing"/>
        <w:rPr>
          <w:rFonts w:ascii="Times New Roman" w:hAnsi="Times New Roman"/>
          <w:sz w:val="24"/>
          <w:szCs w:val="24"/>
        </w:rPr>
      </w:pPr>
      <w:r w:rsidRPr="003C1643">
        <w:rPr>
          <w:rFonts w:ascii="Times New Roman" w:hAnsi="Times New Roman"/>
          <w:sz w:val="24"/>
          <w:szCs w:val="24"/>
          <w:u w:val="single"/>
        </w:rPr>
        <w:t>Kevin Barnabee v. The New York City Fire Pension Fund, et al</w:t>
      </w:r>
      <w:r w:rsidRPr="003C1643">
        <w:rPr>
          <w:rFonts w:ascii="Times New Roman" w:hAnsi="Times New Roman"/>
          <w:sz w:val="24"/>
          <w:szCs w:val="24"/>
        </w:rPr>
        <w:t xml:space="preserve">., Supreme Court, New York County. </w:t>
      </w:r>
      <w:hyperlink r:id="rId1136" w:history="1">
        <w:r w:rsidRPr="003C1643">
          <w:rPr>
            <w:rStyle w:val="Hyperlink"/>
            <w:rFonts w:ascii="Times New Roman" w:hAnsi="Times New Roman"/>
            <w:sz w:val="24"/>
            <w:szCs w:val="24"/>
          </w:rPr>
          <w:t>https://casetext.com/case/barnabee-v-the-nyc-fire-pension-fund</w:t>
        </w:r>
      </w:hyperlink>
      <w:r w:rsidRPr="003C1643">
        <w:rPr>
          <w:rFonts w:ascii="Times New Roman" w:hAnsi="Times New Roman"/>
          <w:sz w:val="24"/>
          <w:szCs w:val="24"/>
        </w:rPr>
        <w:t xml:space="preserve"> </w:t>
      </w:r>
    </w:p>
    <w:p w14:paraId="6CAA3937" w14:textId="2EB8A533" w:rsidR="007A0E71" w:rsidRPr="003C1643" w:rsidRDefault="00FF7C63" w:rsidP="007A0E71">
      <w:pPr>
        <w:pStyle w:val="NoSpacing"/>
        <w:rPr>
          <w:rFonts w:ascii="Times New Roman" w:hAnsi="Times New Roman"/>
          <w:sz w:val="24"/>
          <w:szCs w:val="24"/>
        </w:rPr>
      </w:pPr>
      <w:r>
        <w:rPr>
          <w:rFonts w:ascii="Times New Roman" w:hAnsi="Times New Roman"/>
          <w:sz w:val="24"/>
          <w:szCs w:val="24"/>
        </w:rPr>
        <w:t>4/10/2023</w:t>
      </w:r>
    </w:p>
    <w:p w14:paraId="106CBA1F" w14:textId="77777777" w:rsidR="00227BDE" w:rsidRPr="003C1643" w:rsidRDefault="00227BDE" w:rsidP="00227BDE">
      <w:pPr>
        <w:pStyle w:val="NormalWeb"/>
        <w:rPr>
          <w:b/>
          <w:bCs/>
        </w:rPr>
      </w:pPr>
      <w:r w:rsidRPr="003C1643">
        <w:rPr>
          <w:b/>
          <w:bCs/>
        </w:rPr>
        <w:t xml:space="preserve">Legal Lesson Learned: Degenerative hip medical history does not qualify for accidental disability benefits. </w:t>
      </w:r>
    </w:p>
    <w:p w14:paraId="3E98453C" w14:textId="77777777" w:rsidR="007A0E71" w:rsidRDefault="007A0E71" w:rsidP="00EF1133">
      <w:pPr>
        <w:rPr>
          <w:rFonts w:ascii="Arial Black" w:hAnsi="Arial Black"/>
          <w:b/>
          <w:sz w:val="24"/>
          <w:szCs w:val="24"/>
        </w:rPr>
      </w:pPr>
    </w:p>
    <w:p w14:paraId="233259AC" w14:textId="77777777" w:rsidR="007A0E71" w:rsidRDefault="007A0E71" w:rsidP="00EF1133">
      <w:pPr>
        <w:rPr>
          <w:rFonts w:ascii="Arial Black" w:hAnsi="Arial Black"/>
          <w:b/>
          <w:sz w:val="24"/>
          <w:szCs w:val="24"/>
        </w:rPr>
      </w:pPr>
    </w:p>
    <w:p w14:paraId="1F029A0F" w14:textId="7AFD8C3F" w:rsidR="003F788B" w:rsidRDefault="003F788B" w:rsidP="00EF1133">
      <w:pPr>
        <w:rPr>
          <w:rFonts w:ascii="Arial Black" w:hAnsi="Arial Black"/>
          <w:b/>
          <w:sz w:val="24"/>
          <w:szCs w:val="24"/>
        </w:rPr>
      </w:pPr>
      <w:r>
        <w:rPr>
          <w:rFonts w:ascii="Arial Black" w:hAnsi="Arial Black"/>
          <w:b/>
          <w:sz w:val="24"/>
          <w:szCs w:val="24"/>
        </w:rPr>
        <w:t>6-10</w:t>
      </w:r>
      <w:r w:rsidR="00FF7C63">
        <w:rPr>
          <w:rFonts w:ascii="Arial Black" w:hAnsi="Arial Black"/>
          <w:b/>
          <w:sz w:val="24"/>
          <w:szCs w:val="24"/>
        </w:rPr>
        <w:t>6</w:t>
      </w:r>
    </w:p>
    <w:p w14:paraId="129A4EBF" w14:textId="77777777" w:rsidR="003F788B" w:rsidRDefault="003F788B" w:rsidP="003F788B">
      <w:pPr>
        <w:pStyle w:val="NormalWeb"/>
        <w:rPr>
          <w:rFonts w:ascii="Arial Black" w:hAnsi="Arial Black"/>
          <w:sz w:val="28"/>
          <w:szCs w:val="28"/>
        </w:rPr>
      </w:pPr>
      <w:r>
        <w:rPr>
          <w:rFonts w:ascii="Arial Black" w:hAnsi="Arial Black"/>
          <w:sz w:val="28"/>
          <w:szCs w:val="28"/>
        </w:rPr>
        <w:t xml:space="preserve">IL: PART-TIME FF – CLAIMED RETALIATION FOR SUPPORTING MAYOR’S OPPONENT IN 2005 – NO CASE  </w:t>
      </w:r>
    </w:p>
    <w:p w14:paraId="44CB9ED2" w14:textId="77777777" w:rsidR="003F788B" w:rsidRDefault="003F788B" w:rsidP="003F788B">
      <w:pPr>
        <w:pStyle w:val="NormalWeb"/>
      </w:pPr>
      <w:r>
        <w:t xml:space="preserve">On March 30, 2023, in </w:t>
      </w:r>
      <w:r>
        <w:rPr>
          <w:u w:val="single"/>
        </w:rPr>
        <w:t>Brian E. Carroll v. City of Oak Forest</w:t>
      </w:r>
      <w:r>
        <w:t xml:space="preserve">, U.S. District Court Judge L. Jorge Alonso, U.S., District Court for Northern District of Illinois, Eastern District, granted the City’s motion for summary judgment; insufficient evidence of “retaliation because of his political activities while he was employed as a part-time firefighter with the City of Oak Forest.” </w:t>
      </w:r>
    </w:p>
    <w:p w14:paraId="5298C949" w14:textId="77777777" w:rsidR="003F788B" w:rsidRDefault="003F788B" w:rsidP="003F788B">
      <w:pPr>
        <w:pStyle w:val="NormalWeb"/>
        <w:ind w:left="720"/>
      </w:pPr>
      <w:r>
        <w:t xml:space="preserve">The Court described his claims: “In 2005, Carroll and his father, Edward Carroll, campaigned for a candidate running against JoAnn Kelly, one of the mayoral candidates for the City of Oak Forest at that time. Edward Carroll was an outspoken member of the Oak Forest political community who served as an alderman and a three-term commissioner of the Oak Forest Board of Fire and Police Commissioners (hereafter the ‘Board’)….Carroll claims that, because of his campaigning and political affiliations, he has been harassed and retaliated against while working as a part-time firefighter with the Oak Forest Fire Department. To wit, he claims that he was subjected to general harassment within the department; made fun of for his reaction to his mother passing away in 2006; threatened with ‘blackballing,’ termination, and other reprimands; not allowed to join the South Suburban Emergency Response Team; refused accommodations for light-duty work after an injury in 2019; and refused additional hours for part-time firefighters in the department in 2019.”  He also claimed he was improperly denied an opportunity to take full-time exam in 2018 (he was not eligible; over age 35), having failed 2014 written exam.  </w:t>
      </w:r>
      <w:hyperlink r:id="rId1137" w:history="1">
        <w:r>
          <w:rPr>
            <w:rStyle w:val="Hyperlink"/>
          </w:rPr>
          <w:t>https://public.fastcase.com/J%2FJP6pdidelsXxEE4k%2BLMqXEJeUJZsYN8XwYWOyUlC0GPh%2F%2Bwkq0xl5anyRaTE9QaHRZkEBmW2yHOKZORN4PlxYhmnon1IB%2FHyIvmx43UH0%3D?utm_medium=email&amp;_hsmi=226712652&amp;_hsenc=p2ANqtz-9rfqpJ9UH1QBxXvlnF05ow2K3pkk0BVnTTX6Sp6SY3f-pdahd0e2LayjJ1D5QImVRxXi3oa7lL84FVoA8yZRWqxdZ-pA&amp;utm_content=226712652&amp;utm_source=hs_email</w:t>
        </w:r>
      </w:hyperlink>
      <w:r>
        <w:t xml:space="preserve"> </w:t>
      </w:r>
    </w:p>
    <w:p w14:paraId="4A6EDE0B" w14:textId="77777777" w:rsidR="003F788B" w:rsidRDefault="003F788B" w:rsidP="003F788B">
      <w:pPr>
        <w:pStyle w:val="NormalWeb"/>
        <w:ind w:left="720"/>
      </w:pPr>
      <w:r>
        <w:t>“Even if the Court reached the merits, however, Carroll does not come forward with sufficient evidence to sustain a First Amendment claim based on the alleged pre-2017 acts of retaliation. For starters, his claim about general harassment is too vague to survive summary judgment.</w:t>
      </w:r>
    </w:p>
    <w:p w14:paraId="1A4934C0" w14:textId="77777777" w:rsidR="003F788B" w:rsidRDefault="003F788B" w:rsidP="003F788B">
      <w:pPr>
        <w:pStyle w:val="NormalWeb"/>
        <w:ind w:left="720"/>
      </w:pPr>
      <w:r>
        <w:t>***</w:t>
      </w:r>
    </w:p>
    <w:p w14:paraId="05795AAF" w14:textId="77777777" w:rsidR="003F788B" w:rsidRDefault="003F788B" w:rsidP="003F788B">
      <w:pPr>
        <w:pStyle w:val="NormalWeb"/>
        <w:ind w:left="720"/>
      </w:pPr>
      <w:r>
        <w:t xml:space="preserve">Likewise, the record does not demonstrate any retaliation related to the 2014 firefighter exam. Any such claim suffers from a causation deficiency because the Board allowed Carroll to sit for the exam and he did not pass it because he failed the written portion. He does not dispute that he failed the written portion or assert that the Board purposefully failed him because of his political activities. Instead, he claims that comments directed toward him by Nagel “rattled” him and prevented him from passing the written portion of the test. But the Court finds that no reasonable juror could infer that he failed to pass the exam because of Nagel's comment, even if the comment was rude or disparaging. </w:t>
      </w:r>
      <w:r>
        <w:rPr>
          <w:rStyle w:val="Emphasis"/>
        </w:rPr>
        <w:t>See Riley v. City of Kokomo</w:t>
      </w:r>
      <w:r>
        <w:t>, 909 F.3d 182, 192 (7th Cir. 2018) (declining to draw an unreasonable inference at summary judgment).”</w:t>
      </w:r>
    </w:p>
    <w:p w14:paraId="1B989024" w14:textId="77777777" w:rsidR="003F788B" w:rsidRDefault="003F788B" w:rsidP="003F788B">
      <w:pPr>
        <w:pStyle w:val="NormalWeb"/>
        <w:rPr>
          <w:b/>
          <w:bCs/>
        </w:rPr>
      </w:pPr>
      <w:r>
        <w:rPr>
          <w:b/>
          <w:bCs/>
        </w:rPr>
        <w:t xml:space="preserve">Legal Lesson Learned: The plaintiff failed to prove retaliation for his 2005 political activities; his allegations of harassment were too vague.  </w:t>
      </w:r>
    </w:p>
    <w:p w14:paraId="46DE8121" w14:textId="77777777" w:rsidR="003F788B" w:rsidRDefault="003F788B" w:rsidP="003F788B">
      <w:pPr>
        <w:pStyle w:val="NormalWeb"/>
      </w:pPr>
    </w:p>
    <w:p w14:paraId="3D3AC4BD" w14:textId="4154263D" w:rsidR="003F788B" w:rsidRDefault="003F788B" w:rsidP="00EF1133">
      <w:pPr>
        <w:rPr>
          <w:rFonts w:ascii="Arial Black" w:hAnsi="Arial Black"/>
          <w:b/>
          <w:sz w:val="24"/>
          <w:szCs w:val="24"/>
        </w:rPr>
      </w:pPr>
      <w:r>
        <w:rPr>
          <w:rFonts w:ascii="Arial Black" w:hAnsi="Arial Black"/>
          <w:b/>
          <w:sz w:val="24"/>
          <w:szCs w:val="24"/>
        </w:rPr>
        <w:t>6-10</w:t>
      </w:r>
      <w:r w:rsidR="00FF7C63">
        <w:rPr>
          <w:rFonts w:ascii="Arial Black" w:hAnsi="Arial Black"/>
          <w:b/>
          <w:sz w:val="24"/>
          <w:szCs w:val="24"/>
        </w:rPr>
        <w:t>5</w:t>
      </w:r>
    </w:p>
    <w:p w14:paraId="79E86101" w14:textId="77777777" w:rsidR="003F788B" w:rsidRDefault="003F788B" w:rsidP="003F788B">
      <w:pPr>
        <w:pStyle w:val="NormalWeb"/>
        <w:rPr>
          <w:rFonts w:ascii="Arial Black" w:hAnsi="Arial Black"/>
          <w:sz w:val="28"/>
          <w:szCs w:val="28"/>
        </w:rPr>
      </w:pPr>
      <w:r>
        <w:rPr>
          <w:rFonts w:ascii="Arial Black" w:hAnsi="Arial Black"/>
          <w:sz w:val="28"/>
          <w:szCs w:val="28"/>
        </w:rPr>
        <w:t>IL:  FF STROKE – GETS ON DUTY DISABILITY PENSION – BLOOD THINNER 3 YRS PRIOR – STATUTORY PRESUMPTION</w:t>
      </w:r>
    </w:p>
    <w:p w14:paraId="62DE527B" w14:textId="77777777" w:rsidR="003F788B" w:rsidRDefault="003F788B" w:rsidP="003F788B">
      <w:pPr>
        <w:pStyle w:val="NormalWeb"/>
      </w:pPr>
      <w:r>
        <w:t xml:space="preserve">On March 22, 2023, in </w:t>
      </w:r>
      <w:r>
        <w:rPr>
          <w:u w:val="single"/>
        </w:rPr>
        <w:t>The City of East Peoria, Illinois v. Charles Melton II</w:t>
      </w:r>
      <w:r>
        <w:t xml:space="preserve">, the Court of Appeals of Illinois, Fourth District, upheld the decision of the Board of Trustees of the Firefighter’s Pension Fund of the City of East Peoria, which voted “three to two in favor of an oral motion to find that the disability resulted from service as a firefighter, entitling him to an       occupational disease disability pension.” Lieutenant Melton (age 56) was at home on March 11, </w:t>
      </w:r>
      <w:proofErr w:type="gramStart"/>
      <w:r>
        <w:t>2020</w:t>
      </w:r>
      <w:proofErr w:type="gramEnd"/>
      <w:r>
        <w:t xml:space="preserve"> and suffered right cerebellar ischemic stroke and has fully recovered but must remain on blood thinner rest of his life. Per NFPA 1582, he was not allowed to return to full duty for one year, and FD had no light duty. On July 8, 2020, he applied for an occupational disease disability pension. The Pension Board majority vote relied on report of one of three Independent Medical Experts who reviewed his file (none did physical exam or testified before the Board) that "one cannot discount the cumulative effects of active-duty firefighting in regard to his stroke."  The City </w:t>
      </w:r>
      <w:proofErr w:type="gramStart"/>
      <w:r>
        <w:t>appealed</w:t>
      </w:r>
      <w:proofErr w:type="gramEnd"/>
      <w:r>
        <w:t xml:space="preserve"> the Pension Board’s decision. </w:t>
      </w:r>
    </w:p>
    <w:p w14:paraId="060F20EA" w14:textId="77777777" w:rsidR="003F788B" w:rsidRDefault="003F788B" w:rsidP="003F788B">
      <w:pPr>
        <w:pStyle w:val="NormalWeb"/>
      </w:pPr>
      <w:r>
        <w:t xml:space="preserve">The Court of Appeals ruled </w:t>
      </w:r>
      <w:proofErr w:type="gramStart"/>
      <w:r>
        <w:t>the</w:t>
      </w:r>
      <w:proofErr w:type="gramEnd"/>
      <w:r>
        <w:t xml:space="preserve"> Independent Medical Experts were not required by state law to physically examine the firefighter.  The Court also held he was entitled to a work-related disability pension, referencing state statutory presumption statute.  </w:t>
      </w:r>
    </w:p>
    <w:p w14:paraId="0D6E5786" w14:textId="77777777" w:rsidR="003F788B" w:rsidRDefault="003F788B" w:rsidP="003F788B">
      <w:pPr>
        <w:pStyle w:val="NormalWeb"/>
        <w:ind w:left="720"/>
      </w:pPr>
      <w:r>
        <w:t xml:space="preserve">“We conclude that the Board's finding that Melton's stroke resulted from his ‘service as a firefighter’ was not against the manifest weight of the evidence.”  *** Melton himself does not dispute that he had numerous preexisting conditions that could have contributed to the stroke. However, a firefighter is ‘not </w:t>
      </w:r>
      <w:r>
        <w:lastRenderedPageBreak/>
        <w:t xml:space="preserve">required to prove that a duty-related accident or illness was the primary or originating cause of his disability; rather, he only needed to prove that a duty-related accident or illness aggravated, contributed, or exacerbated his disability.’ </w:t>
      </w:r>
      <w:r>
        <w:rPr>
          <w:rStyle w:val="Emphasis"/>
        </w:rPr>
        <w:t>Covello v. Village of Schaumburg Firefighters' Pension Fund</w:t>
      </w:r>
      <w:r>
        <w:t xml:space="preserve">, 2018 IL App (1st) 172350, ¶ 43. In other words, Melton did not have to prove that his stroke resulted solely from his firefighting duties. Though the City disputes that Melton demonstrated that he was subject to hazardous work conditions, Melton testified that his duties included being on firefighting calls and that he performed </w:t>
      </w:r>
      <w:proofErr w:type="gramStart"/>
      <w:r>
        <w:t>all of</w:t>
      </w:r>
      <w:proofErr w:type="gramEnd"/>
      <w:r>
        <w:t xml:space="preserve"> the duties listed in the job description for his position. The occupational disease disability statute itself, section 4-110.1, includes legislative findings that firefighters are exposed to dangerous conditions </w:t>
      </w:r>
      <w:proofErr w:type="gramStart"/>
      <w:r>
        <w:t>as a result of</w:t>
      </w:r>
      <w:proofErr w:type="gramEnd"/>
      <w:r>
        <w:t xml:space="preserve"> their employment. See also </w:t>
      </w:r>
      <w:r>
        <w:rPr>
          <w:rStyle w:val="Emphasis"/>
        </w:rPr>
        <w:t>Bremer v. City of Rockford</w:t>
      </w:r>
      <w:r>
        <w:t>, 2016 IL 119889, ¶ 31 ("[S]</w:t>
      </w:r>
      <w:proofErr w:type="spellStart"/>
      <w:r>
        <w:t>ection</w:t>
      </w:r>
      <w:proofErr w:type="spellEnd"/>
      <w:r>
        <w:t xml:space="preserve"> 4-110.1 recognizes that firefighters work in dangerous conditions and provides compensation when a firefighter contracts one of the listed diseases from repeated exposure to those conditions over a set period of time."); </w:t>
      </w:r>
      <w:r>
        <w:rPr>
          <w:rStyle w:val="Emphasis"/>
        </w:rPr>
        <w:t>Lindemulder</w:t>
      </w:r>
      <w:r>
        <w:t xml:space="preserve">, 408 Ill.App.3d at 503 ("Courts are not empowered to adjudicate the accuracy of legislative findings, but must accord great deference to the legislature's fact-finding authority."). As these diseases are recognized as possibly resulting from repeated exposures over long periods of time, that Melton suffered the stroke at home as opposed to while at work does not undermine his claim.” </w:t>
      </w:r>
      <w:hyperlink r:id="rId1138" w:history="1">
        <w:r>
          <w:rPr>
            <w:rStyle w:val="Hyperlink"/>
          </w:rPr>
          <w:t>https://public.fastcase.com/J%2FJP6pdidelsXxEE4k%2BLMk0xZflerRl5zZ1fWOEI5mhvpVlhWjp%2F9QDqlOI9DDnF8Aa9%2BfFIJaxfznSW2LItCr2%2FIZnHCYIIWW3H5dl8900%3D?utm_medium=email&amp;_hsmi=226712652&amp;_hsenc=p2ANqtz-9FKeS83U96VoJDZ5OFHU1pICbtYjQvhKtRkoV1KLCJmMon6gHAySjMj0YQylycLU_jnNetJR4aMTbAa4E7Rm7YwE3nmg&amp;utm_content=226712652&amp;utm_source=hs_email</w:t>
        </w:r>
      </w:hyperlink>
      <w:r>
        <w:t xml:space="preserve"> </w:t>
      </w:r>
    </w:p>
    <w:p w14:paraId="5D207117" w14:textId="77777777" w:rsidR="003F788B" w:rsidRDefault="003F788B" w:rsidP="003F788B">
      <w:pPr>
        <w:pStyle w:val="NormalWeb"/>
      </w:pPr>
      <w:r>
        <w:t>One of three IME, Dr. Williamson-Link, wrote a helpful report:</w:t>
      </w:r>
    </w:p>
    <w:p w14:paraId="409F6F26" w14:textId="77777777" w:rsidR="003F788B" w:rsidRDefault="003F788B" w:rsidP="003F788B">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 xml:space="preserve">“Dr. Jeffrey D. Williamson-Link, who was board certified in occupational medicine, similarly outlined Melton's medical history. </w:t>
      </w:r>
      <w:proofErr w:type="gramStart"/>
      <w:r>
        <w:rPr>
          <w:rFonts w:ascii="Times New Roman" w:eastAsia="Times New Roman" w:hAnsi="Times New Roman"/>
          <w:sz w:val="24"/>
          <w:szCs w:val="24"/>
        </w:rPr>
        <w:t>On the subject of the</w:t>
      </w:r>
      <w:proofErr w:type="gramEnd"/>
      <w:r>
        <w:rPr>
          <w:rFonts w:ascii="Times New Roman" w:eastAsia="Times New Roman" w:hAnsi="Times New Roman"/>
          <w:sz w:val="24"/>
          <w:szCs w:val="24"/>
        </w:rPr>
        <w:t xml:space="preserve"> nature and extent of any disability, Williamson-Link stated that Melton suffered from a cerebellar infarction that would, under NFPA 1582, require a waiting period of at least 12 months and </w:t>
      </w:r>
      <w:proofErr w:type="gramStart"/>
      <w:r>
        <w:rPr>
          <w:rFonts w:ascii="Times New Roman" w:eastAsia="Times New Roman" w:hAnsi="Times New Roman"/>
          <w:sz w:val="24"/>
          <w:szCs w:val="24"/>
        </w:rPr>
        <w:t>meeting</w:t>
      </w:r>
      <w:proofErr w:type="gramEnd"/>
      <w:r>
        <w:rPr>
          <w:rFonts w:ascii="Times New Roman" w:eastAsia="Times New Roman" w:hAnsi="Times New Roman"/>
          <w:sz w:val="24"/>
          <w:szCs w:val="24"/>
        </w:rPr>
        <w:t xml:space="preserve"> additional criteria before being considered to return to active duty without limitations or restrictions. ‘Additionally [Melton was] also on long term anticoagulation treatment for history of Factor V Leiden and Pulmonary Embolism which would restrict him from performing Essential Job Task #8 which involves climbing ladders, operating from heights and uneven surfaces.’ The lifelong need to remain on anticoagulation would prevent him from being "able to be </w:t>
      </w:r>
      <w:proofErr w:type="gramStart"/>
      <w:r>
        <w:rPr>
          <w:rFonts w:ascii="Times New Roman" w:eastAsia="Times New Roman" w:hAnsi="Times New Roman"/>
          <w:sz w:val="24"/>
          <w:szCs w:val="24"/>
        </w:rPr>
        <w:t>cleared</w:t>
      </w:r>
      <w:proofErr w:type="gramEnd"/>
      <w:r>
        <w:rPr>
          <w:rFonts w:ascii="Times New Roman" w:eastAsia="Times New Roman" w:hAnsi="Times New Roman"/>
          <w:sz w:val="24"/>
          <w:szCs w:val="24"/>
        </w:rPr>
        <w:t xml:space="preserve"> for full firefighting duties.’ In response to the question of whether any disabilities were the result of service as a firefighter, Williamson-Link wrote: </w:t>
      </w:r>
    </w:p>
    <w:p w14:paraId="3F77DEF2" w14:textId="77777777" w:rsidR="003F788B" w:rsidRDefault="003F788B" w:rsidP="003F788B">
      <w:pPr>
        <w:spacing w:after="100" w:line="240" w:lineRule="auto"/>
        <w:ind w:left="1440"/>
        <w:rPr>
          <w:rFonts w:ascii="Times New Roman" w:eastAsia="Times New Roman" w:hAnsi="Times New Roman"/>
          <w:sz w:val="24"/>
          <w:szCs w:val="24"/>
        </w:rPr>
      </w:pPr>
      <w:r>
        <w:rPr>
          <w:rFonts w:ascii="Times New Roman" w:eastAsia="Times New Roman" w:hAnsi="Times New Roman"/>
          <w:sz w:val="24"/>
          <w:szCs w:val="24"/>
        </w:rPr>
        <w:t xml:space="preserve">‘It is my medical opinion that one cannot discount the cumulative effects of active duty of Firefighting </w:t>
      </w:r>
      <w:proofErr w:type="gramStart"/>
      <w:r>
        <w:rPr>
          <w:rFonts w:ascii="Times New Roman" w:eastAsia="Times New Roman" w:hAnsi="Times New Roman"/>
          <w:sz w:val="24"/>
          <w:szCs w:val="24"/>
        </w:rPr>
        <w:t>in regards to</w:t>
      </w:r>
      <w:proofErr w:type="gramEnd"/>
      <w:r>
        <w:rPr>
          <w:rFonts w:ascii="Times New Roman" w:eastAsia="Times New Roman" w:hAnsi="Times New Roman"/>
          <w:sz w:val="24"/>
          <w:szCs w:val="24"/>
        </w:rPr>
        <w:t xml:space="preserve"> his stroke. Though the firefighter did have other risk factors, the occupational stressors of active firefighting </w:t>
      </w:r>
      <w:proofErr w:type="gramStart"/>
      <w:r>
        <w:rPr>
          <w:rFonts w:ascii="Times New Roman" w:eastAsia="Times New Roman" w:hAnsi="Times New Roman"/>
          <w:sz w:val="24"/>
          <w:szCs w:val="24"/>
        </w:rPr>
        <w:t>is</w:t>
      </w:r>
      <w:proofErr w:type="gramEnd"/>
      <w:r>
        <w:rPr>
          <w:rFonts w:ascii="Times New Roman" w:eastAsia="Times New Roman" w:hAnsi="Times New Roman"/>
          <w:sz w:val="24"/>
          <w:szCs w:val="24"/>
        </w:rPr>
        <w:t xml:space="preserve"> well-documented and its effects on the Cardiovascular System. </w:t>
      </w:r>
      <w:proofErr w:type="gramStart"/>
      <w:r>
        <w:rPr>
          <w:rFonts w:ascii="Times New Roman" w:eastAsia="Times New Roman" w:hAnsi="Times New Roman"/>
          <w:sz w:val="24"/>
          <w:szCs w:val="24"/>
        </w:rPr>
        <w:t>Additionally</w:t>
      </w:r>
      <w:proofErr w:type="gramEnd"/>
      <w:r>
        <w:rPr>
          <w:rFonts w:ascii="Times New Roman" w:eastAsia="Times New Roman" w:hAnsi="Times New Roman"/>
          <w:sz w:val="24"/>
          <w:szCs w:val="24"/>
        </w:rPr>
        <w:t xml:space="preserve"> the Firefighter has a history of Factor V </w:t>
      </w:r>
      <w:proofErr w:type="gramStart"/>
      <w:r>
        <w:rPr>
          <w:rFonts w:ascii="Times New Roman" w:eastAsia="Times New Roman" w:hAnsi="Times New Roman"/>
          <w:sz w:val="24"/>
          <w:szCs w:val="24"/>
        </w:rPr>
        <w:t>Leiden, and</w:t>
      </w:r>
      <w:proofErr w:type="gramEnd"/>
      <w:r>
        <w:rPr>
          <w:rFonts w:ascii="Times New Roman" w:eastAsia="Times New Roman" w:hAnsi="Times New Roman"/>
          <w:sz w:val="24"/>
          <w:szCs w:val="24"/>
        </w:rPr>
        <w:t xml:space="preserve"> has subsequently developed Pulmonary Embolism. Based on the review of the medical records, this appears to be a genetic disorder and would not be considered to be part of cumulative effects of active duty." </w:t>
      </w:r>
    </w:p>
    <w:p w14:paraId="74B0B118" w14:textId="77777777" w:rsidR="003F788B" w:rsidRDefault="003F788B" w:rsidP="003F788B">
      <w:pPr>
        <w:pStyle w:val="NormalWeb"/>
        <w:ind w:left="720"/>
        <w:rPr>
          <w:b/>
          <w:bCs/>
        </w:rPr>
      </w:pPr>
      <w:r>
        <w:t xml:space="preserve"> </w:t>
      </w:r>
      <w:r>
        <w:rPr>
          <w:b/>
          <w:bCs/>
        </w:rPr>
        <w:t xml:space="preserve">Legal Lesson Learned: The Court relied on language in the Illinois statutory presumption statute. </w:t>
      </w:r>
    </w:p>
    <w:p w14:paraId="3986D4FD" w14:textId="77777777" w:rsidR="003F788B" w:rsidRDefault="003F788B" w:rsidP="003F788B">
      <w:pPr>
        <w:pStyle w:val="NormalWeb"/>
        <w:ind w:left="1440"/>
        <w:rPr>
          <w:kern w:val="36"/>
        </w:rPr>
      </w:pPr>
      <w:r>
        <w:t xml:space="preserve">Note: See Ohio Revised Code, </w:t>
      </w:r>
      <w:r>
        <w:rPr>
          <w:kern w:val="36"/>
        </w:rPr>
        <w:t xml:space="preserve">Section 4123.68 | Schedule of compensable occupational diseases. </w:t>
      </w:r>
      <w:hyperlink r:id="rId1139" w:history="1">
        <w:r>
          <w:rPr>
            <w:rStyle w:val="Hyperlink"/>
          </w:rPr>
          <w:t>https://codes.ohio.gov/ohio-revised-code/section-4123.68</w:t>
        </w:r>
      </w:hyperlink>
      <w:r>
        <w:rPr>
          <w:kern w:val="36"/>
        </w:rPr>
        <w:t xml:space="preserve">. </w:t>
      </w:r>
      <w:r>
        <w:t xml:space="preserve">(W) Cardiovascular, pulmonary, or respiratory diseases incurred by firefighters or police officers following exposure to heat, smoke, toxic gases, chemical fumes and other toxic substances: Any cardiovascular, pulmonary, or respiratory disease of a firefighter or police officer caused or induced by the cumulative effect of exposure to heat, the inhalation of smoke, toxic gases, chemical fumes and other toxic substances in the performance of the firefighter's or police officer's duty constitutes a </w:t>
      </w:r>
      <w:r>
        <w:lastRenderedPageBreak/>
        <w:t>presumption, which may be refuted by affirmative evidence, that such occurred in the course of and arising out of the firefighter's or police officer's employment.”</w:t>
      </w:r>
    </w:p>
    <w:p w14:paraId="58C63217" w14:textId="77777777" w:rsidR="003F788B" w:rsidRDefault="003F788B" w:rsidP="00EF1133">
      <w:pPr>
        <w:rPr>
          <w:rFonts w:ascii="Arial Black" w:hAnsi="Arial Black"/>
          <w:b/>
          <w:sz w:val="24"/>
          <w:szCs w:val="24"/>
        </w:rPr>
      </w:pPr>
    </w:p>
    <w:p w14:paraId="798294AE" w14:textId="7C8702B0" w:rsidR="00EF1133" w:rsidRDefault="002D64A4" w:rsidP="00EF1133">
      <w:pPr>
        <w:rPr>
          <w:rFonts w:ascii="Arial Black" w:hAnsi="Arial Black"/>
          <w:b/>
          <w:sz w:val="24"/>
          <w:szCs w:val="24"/>
        </w:rPr>
      </w:pPr>
      <w:r>
        <w:rPr>
          <w:rFonts w:ascii="Arial Black" w:hAnsi="Arial Black"/>
          <w:b/>
          <w:sz w:val="24"/>
          <w:szCs w:val="24"/>
        </w:rPr>
        <w:t>6-10</w:t>
      </w:r>
      <w:r w:rsidR="00FF7C63">
        <w:rPr>
          <w:rFonts w:ascii="Arial Black" w:hAnsi="Arial Black"/>
          <w:b/>
          <w:sz w:val="24"/>
          <w:szCs w:val="24"/>
        </w:rPr>
        <w:t>4</w:t>
      </w:r>
    </w:p>
    <w:p w14:paraId="756D8721" w14:textId="77777777" w:rsidR="002D64A4" w:rsidRDefault="002D64A4" w:rsidP="002D64A4">
      <w:pPr>
        <w:pStyle w:val="NormalWeb"/>
        <w:rPr>
          <w:rFonts w:ascii="Arial Black" w:hAnsi="Arial Black"/>
          <w:sz w:val="28"/>
          <w:szCs w:val="28"/>
        </w:rPr>
      </w:pPr>
      <w:bookmarkStart w:id="228" w:name="_Hlk129180485"/>
      <w:r>
        <w:rPr>
          <w:rFonts w:ascii="Arial Black" w:hAnsi="Arial Black"/>
          <w:sz w:val="28"/>
          <w:szCs w:val="28"/>
        </w:rPr>
        <w:t>LA: NASAL CANCER – FF WINS WORK COMP – STATUTORY PRESUMPTION – “CANNOT RULE OUT” CAUSED BY THE JOB</w:t>
      </w:r>
    </w:p>
    <w:p w14:paraId="05E5FE18" w14:textId="77777777" w:rsidR="002D64A4" w:rsidRDefault="002D64A4" w:rsidP="002D64A4">
      <w:pPr>
        <w:pStyle w:val="NormalWeb"/>
      </w:pPr>
      <w:r>
        <w:t xml:space="preserve">On March 1, 2023, in </w:t>
      </w:r>
      <w:r w:rsidRPr="00AF372B">
        <w:rPr>
          <w:u w:val="single"/>
        </w:rPr>
        <w:t>James Schexnayder v. Jefferson Parish Fire Department</w:t>
      </w:r>
      <w:r>
        <w:t xml:space="preserve">, the Court of Appeals of Louisiana, Fifth Circuit held (3 to 0) that Office of Workers Comp (OWC) judge erred in dismissing claimant's petition and we reverse the judgment appealed, based on the state “statutory presumption” law for firefighters who have cancer.  “In this case, it is undisputed that claimant has been employed in the classified service as a firefighter for the Jefferson Parish Fire Department for more than 31 years and is still employed as a professional firefighter with the Parish and actively fighting fires today. Therefore, he is clearly entitled to the presumption set forth in the Cancer Act. Upon review of all evidence presented at trial, we find that the Parish did not rebut the presumption sufficiently to dismiss claimant's petition. Although the Parish put forth evidence to demonstrate that the type of lymphoma claimant has been diagnosed with is generally caused by the EBV virus, the claimant presented evidence that such a diagnosis is multifactorial and that the etiology is complicated. The evidence claimant introduced clearly demonstrated that claimant's employment could not be ruled out as a contributing factor to his disease.” </w:t>
      </w:r>
      <w:hyperlink r:id="rId1140" w:history="1">
        <w:r w:rsidRPr="003C2BFF">
          <w:rPr>
            <w:rStyle w:val="Hyperlink"/>
            <w:rFonts w:eastAsiaTheme="majorEastAsia"/>
          </w:rPr>
          <w:t>https://www.fifthcircuit.org/dmzdocs/OI/PO/2023/E7D4F8B7-C22B-4814-BFD0-4E0FF0BBD0BE.pdf</w:t>
        </w:r>
      </w:hyperlink>
      <w:r>
        <w:t xml:space="preserve"> </w:t>
      </w:r>
    </w:p>
    <w:p w14:paraId="635190FE" w14:textId="77777777" w:rsidR="002D64A4" w:rsidRDefault="002D64A4" w:rsidP="002D64A4">
      <w:pPr>
        <w:pStyle w:val="NormalWeb"/>
        <w:ind w:left="720"/>
      </w:pPr>
      <w:r>
        <w:t xml:space="preserve">“The [Firefighter Cancer] Act embodies the social policy of the state which recognizes that firemen are subjected during their career to the hazards of smoke, heat, and nauseous fumes from all kinds of toxic chemicals…. The legislature recognized that this exposure could cause a fireman to become the victim of cancer and the presumption relieves the claimant from the necessity of proving an occupational causation of the disease. </w:t>
      </w:r>
    </w:p>
    <w:p w14:paraId="4B345BE8" w14:textId="77777777" w:rsidR="002D64A4" w:rsidRDefault="002D64A4" w:rsidP="002D64A4">
      <w:pPr>
        <w:pStyle w:val="NormalWeb"/>
        <w:ind w:left="720"/>
      </w:pPr>
      <w:r>
        <w:t>***</w:t>
      </w:r>
    </w:p>
    <w:p w14:paraId="32B6A1E2" w14:textId="77777777" w:rsidR="002D64A4" w:rsidRDefault="002D64A4" w:rsidP="002D64A4">
      <w:pPr>
        <w:pStyle w:val="NormalWeb"/>
        <w:ind w:left="720"/>
      </w:pPr>
      <w:r>
        <w:t>We find the evidence presented at trial could not rule out that claimant's more than 30-year employment actively fighting fires could not have contributed to his diagnoses of lymphoma in this case. Consequently, we find the OWJ was clearly erroneous in dismissing claimant's 1008.”</w:t>
      </w:r>
    </w:p>
    <w:p w14:paraId="236D2356" w14:textId="49EE32DB" w:rsidR="002D64A4" w:rsidRDefault="002D64A4" w:rsidP="002D64A4">
      <w:pPr>
        <w:pStyle w:val="NormalWeb"/>
        <w:rPr>
          <w:b/>
          <w:bCs/>
        </w:rPr>
      </w:pPr>
      <w:r w:rsidRPr="006C7ECC">
        <w:rPr>
          <w:b/>
          <w:bCs/>
        </w:rPr>
        <w:t>Legal Lesson Learned:</w:t>
      </w:r>
      <w:r>
        <w:rPr>
          <w:b/>
          <w:bCs/>
        </w:rPr>
        <w:t xml:space="preserve"> Another case where the “statutory presumption” was the deciding factor.  FF should keep records of fires and other chemical exposures.  </w:t>
      </w:r>
    </w:p>
    <w:p w14:paraId="5221CE81" w14:textId="58C50AE5" w:rsidR="002D64A4" w:rsidRDefault="002D64A4" w:rsidP="002D64A4">
      <w:pPr>
        <w:pStyle w:val="NormalWeb"/>
        <w:rPr>
          <w:b/>
          <w:bCs/>
        </w:rPr>
      </w:pPr>
    </w:p>
    <w:p w14:paraId="1A3FCAEF" w14:textId="693E0F9C" w:rsidR="002D64A4" w:rsidRPr="00FF0339" w:rsidRDefault="002D64A4" w:rsidP="002D64A4">
      <w:pPr>
        <w:pStyle w:val="NormalWeb"/>
        <w:rPr>
          <w:rFonts w:ascii="Arial Black" w:hAnsi="Arial Black"/>
          <w:sz w:val="28"/>
          <w:szCs w:val="28"/>
        </w:rPr>
      </w:pPr>
      <w:r w:rsidRPr="00FF0339">
        <w:rPr>
          <w:rFonts w:ascii="Arial Black" w:hAnsi="Arial Black"/>
          <w:sz w:val="28"/>
          <w:szCs w:val="28"/>
        </w:rPr>
        <w:t>6-10</w:t>
      </w:r>
      <w:r w:rsidR="00FF7C63">
        <w:rPr>
          <w:rFonts w:ascii="Arial Black" w:hAnsi="Arial Black"/>
          <w:sz w:val="28"/>
          <w:szCs w:val="28"/>
        </w:rPr>
        <w:t>3</w:t>
      </w:r>
    </w:p>
    <w:p w14:paraId="27ADF6EA" w14:textId="77777777" w:rsidR="002D64A4" w:rsidRPr="001377C6" w:rsidRDefault="002D64A4" w:rsidP="002D64A4">
      <w:pPr>
        <w:pStyle w:val="NormalWeb"/>
        <w:rPr>
          <w:rFonts w:ascii="Arial Black" w:hAnsi="Arial Black"/>
          <w:b/>
          <w:bCs/>
          <w:sz w:val="28"/>
          <w:szCs w:val="28"/>
        </w:rPr>
      </w:pPr>
      <w:r>
        <w:rPr>
          <w:rFonts w:ascii="Arial Black" w:hAnsi="Arial Black"/>
          <w:b/>
          <w:bCs/>
          <w:sz w:val="28"/>
          <w:szCs w:val="28"/>
        </w:rPr>
        <w:t>MA: FIRE CHIEF CONTRACT NOT RENEWED AFTER 5</w:t>
      </w:r>
      <w:r w:rsidRPr="001377C6">
        <w:rPr>
          <w:rFonts w:ascii="Arial Black" w:hAnsi="Arial Black"/>
          <w:b/>
          <w:bCs/>
          <w:sz w:val="28"/>
          <w:szCs w:val="28"/>
          <w:vertAlign w:val="superscript"/>
        </w:rPr>
        <w:t>th</w:t>
      </w:r>
      <w:r>
        <w:rPr>
          <w:rFonts w:ascii="Arial Black" w:hAnsi="Arial Black"/>
          <w:b/>
          <w:bCs/>
          <w:sz w:val="28"/>
          <w:szCs w:val="28"/>
        </w:rPr>
        <w:t xml:space="preserve"> YEARS – DIDN’T HAVE LIFETIME APPOINTMENT</w:t>
      </w:r>
    </w:p>
    <w:p w14:paraId="57E63D28" w14:textId="77777777" w:rsidR="002D64A4" w:rsidRPr="001377C6" w:rsidRDefault="002D64A4" w:rsidP="002D64A4">
      <w:pPr>
        <w:pStyle w:val="NormalWeb"/>
      </w:pPr>
      <w:r>
        <w:t xml:space="preserve">On Feb. 24, 2023, in </w:t>
      </w:r>
      <w:r w:rsidRPr="001377C6">
        <w:rPr>
          <w:u w:val="single"/>
        </w:rPr>
        <w:t>Mark Tetreault v. Board of Selectmen of Lynnfield</w:t>
      </w:r>
      <w:r>
        <w:t xml:space="preserve">, the Appeals Court of Massachusetts, Essex, held (3 to 0) that that the town did not violate the “strong chief” statute, the town charter, or the town's personnel bylaws by electing in 2018 not to renew Tetreault's contract.  </w:t>
      </w:r>
      <w:r w:rsidRPr="00EF4D33">
        <w:t>The</w:t>
      </w:r>
      <w:r>
        <w:t xml:space="preserve"> Court noted: “Tetreault suggests </w:t>
      </w:r>
      <w:r>
        <w:lastRenderedPageBreak/>
        <w:t xml:space="preserve">that its purpose was to protect fire chiefs from ‘political machinations’ and to allow them independence in the discharge of their duties. He argues that this purpose would be undermined by our interpretation. We disagree. ***  Even if the strong chief statute could be interpreted to provide fire chiefs with lifetime tenure -- a doubtful proposition -- Tetreault waived any such statutory right by </w:t>
      </w:r>
      <w:proofErr w:type="gramStart"/>
      <w:r>
        <w:t>entering into</w:t>
      </w:r>
      <w:proofErr w:type="gramEnd"/>
      <w:r>
        <w:t xml:space="preserve"> the employment contract. When he did so, he knew that the contract had language and terms that conflicted with what he professes was his belief about the meaning of the strong chief statute. As we have said, however, nothing would prohibit a fire chief from </w:t>
      </w:r>
      <w:proofErr w:type="gramStart"/>
      <w:r>
        <w:t>entering into</w:t>
      </w:r>
      <w:proofErr w:type="gramEnd"/>
      <w:r>
        <w:t xml:space="preserve"> an employment contract on terms that differ from the strong chief statute, and G. L. c. 41, § 108O, expressly permits that course of action.” </w:t>
      </w:r>
      <w:hyperlink r:id="rId1141" w:history="1">
        <w:r w:rsidRPr="00CE4DCE">
          <w:rPr>
            <w:rStyle w:val="Hyperlink"/>
            <w:rFonts w:eastAsiaTheme="majorEastAsia"/>
          </w:rPr>
          <w:t>https://www.socialaw.com/services/slip-opinions/slip-opinion-details/mark-tetreault-vs.-board-of-selectmen-of-lynnfield</w:t>
        </w:r>
      </w:hyperlink>
      <w:r>
        <w:t xml:space="preserve"> </w:t>
      </w:r>
    </w:p>
    <w:p w14:paraId="36C512AE" w14:textId="77777777" w:rsidR="002D64A4" w:rsidRDefault="002D64A4" w:rsidP="002D64A4">
      <w:pPr>
        <w:pStyle w:val="NormalWeb"/>
        <w:ind w:left="720"/>
      </w:pPr>
      <w:r>
        <w:t xml:space="preserve">“In December 2013, the board appointed Tetreault as the town's fire chief ‘subject to the successful negotiation of an employment contract.’ During those negotiations, in discussing the contract provision that he </w:t>
      </w:r>
      <w:proofErr w:type="gramStart"/>
      <w:r>
        <w:t>serve</w:t>
      </w:r>
      <w:proofErr w:type="gramEnd"/>
      <w:r>
        <w:t xml:space="preserve"> as an employee at will during an initial six-month probationary period, Tetreault told the town administrator that it was his understanding that under the strong chief statute, a chief ‘only could be terminated for cause.’ Tetreault asked to include in the contract language that provided that ‘[n]</w:t>
      </w:r>
      <w:proofErr w:type="spellStart"/>
      <w:r>
        <w:t>othing</w:t>
      </w:r>
      <w:proofErr w:type="spellEnd"/>
      <w:r>
        <w:t xml:space="preserve"> in this agreement shall diminish the authority, duty, and protections granted under [G. L. c. 48, § 42],’ and that the contract was ‘in accordance with [G. L. c. 41, § 108O].’ The town administrator declined to do so, and no reference to either statute was included in the contract.”</w:t>
      </w:r>
    </w:p>
    <w:p w14:paraId="416A6D4F" w14:textId="77777777" w:rsidR="002D64A4" w:rsidRDefault="002D64A4" w:rsidP="002D64A4">
      <w:pPr>
        <w:pStyle w:val="NormalWeb"/>
        <w:rPr>
          <w:b/>
          <w:bCs/>
        </w:rPr>
      </w:pPr>
      <w:r w:rsidRPr="00577551">
        <w:rPr>
          <w:b/>
          <w:bCs/>
        </w:rPr>
        <w:t>Legal Lesson Learned:</w:t>
      </w:r>
      <w:r>
        <w:rPr>
          <w:b/>
          <w:bCs/>
        </w:rPr>
        <w:t xml:space="preserve"> Fire Chiefs when negotiating an employment contract should have a clear provision on basis for non-renewal of the contract; wise to have an attorney review. </w:t>
      </w:r>
    </w:p>
    <w:p w14:paraId="409649A0" w14:textId="77777777" w:rsidR="002D64A4" w:rsidRPr="006C7ECC" w:rsidRDefault="002D64A4" w:rsidP="002D64A4">
      <w:pPr>
        <w:pStyle w:val="NormalWeb"/>
        <w:rPr>
          <w:b/>
          <w:bCs/>
        </w:rPr>
      </w:pPr>
    </w:p>
    <w:bookmarkEnd w:id="228"/>
    <w:p w14:paraId="1F96F92E" w14:textId="77777777" w:rsidR="002D64A4" w:rsidRDefault="002D64A4" w:rsidP="00EF1133">
      <w:pPr>
        <w:rPr>
          <w:rFonts w:ascii="Arial Black" w:hAnsi="Arial Black"/>
          <w:b/>
          <w:sz w:val="24"/>
          <w:szCs w:val="24"/>
        </w:rPr>
      </w:pPr>
    </w:p>
    <w:p w14:paraId="416F9D9E" w14:textId="01A68C81" w:rsidR="007959C9" w:rsidRDefault="008A4533" w:rsidP="00EF1133">
      <w:pPr>
        <w:rPr>
          <w:rFonts w:ascii="Arial Black" w:hAnsi="Arial Black"/>
          <w:b/>
          <w:sz w:val="24"/>
          <w:szCs w:val="24"/>
        </w:rPr>
      </w:pPr>
      <w:r>
        <w:rPr>
          <w:rFonts w:ascii="Arial Black" w:hAnsi="Arial Black"/>
          <w:b/>
          <w:sz w:val="24"/>
          <w:szCs w:val="24"/>
        </w:rPr>
        <w:t>6-10</w:t>
      </w:r>
      <w:r w:rsidR="00FF7C63">
        <w:rPr>
          <w:rFonts w:ascii="Arial Black" w:hAnsi="Arial Black"/>
          <w:b/>
          <w:sz w:val="24"/>
          <w:szCs w:val="24"/>
        </w:rPr>
        <w:t>2</w:t>
      </w:r>
    </w:p>
    <w:p w14:paraId="1808E9E0" w14:textId="77777777" w:rsidR="008A4533" w:rsidRPr="00E81735" w:rsidRDefault="008A4533" w:rsidP="008A4533">
      <w:pPr>
        <w:pStyle w:val="NormalWeb"/>
        <w:rPr>
          <w:rFonts w:ascii="Arial Black" w:hAnsi="Arial Black"/>
          <w:sz w:val="28"/>
          <w:szCs w:val="28"/>
        </w:rPr>
      </w:pPr>
      <w:r>
        <w:rPr>
          <w:rFonts w:ascii="Arial Black" w:hAnsi="Arial Black"/>
          <w:sz w:val="28"/>
          <w:szCs w:val="28"/>
        </w:rPr>
        <w:t xml:space="preserve">PA: VOLUNTEER FF – KIDNEY / COLON CANCER – GETS WORK COMP UNDER PA “STATUTORY PRESUMPTION” </w:t>
      </w:r>
    </w:p>
    <w:p w14:paraId="2900FECC" w14:textId="77777777" w:rsidR="008A4533" w:rsidRDefault="008A4533" w:rsidP="008A4533">
      <w:pPr>
        <w:pStyle w:val="NormalWeb"/>
      </w:pPr>
      <w:r>
        <w:t xml:space="preserve">On Jan. 10, 2023, in </w:t>
      </w:r>
      <w:r w:rsidRPr="00FE6967">
        <w:rPr>
          <w:u w:val="single"/>
        </w:rPr>
        <w:t>Volunteer Fire Companies of Lower Saucon v. David Cawley (Workers’ Compensation Appeal Board</w:t>
      </w:r>
      <w:r>
        <w:t xml:space="preserve">,  the Commonwealth Court of Pennsylvania held (3 to 0; unpublished opinion) that the Administrative Law Judge, and the Appeal Board, both properly held that the volunteer firefighter, with over 20 years of service, and over 1,000 fires, who worked in Fire Station that did not extract diesel smoke, was entitled to worker’s comp for his kidney and colon cancers. Under the PA statutory presumption statute, firefighters with over 4 years on the job, with no cancer when they joined fire service, only had to </w:t>
      </w:r>
      <w:r w:rsidRPr="00FE6967">
        <w:t>prove</w:t>
      </w:r>
      <w:r>
        <w:t xml:space="preserve"> a</w:t>
      </w:r>
      <w:r w:rsidRPr="00FE6967">
        <w:rPr>
          <w:b/>
          <w:bCs/>
        </w:rPr>
        <w:t xml:space="preserve"> “</w:t>
      </w:r>
      <w:r w:rsidRPr="00FE6967">
        <w:rPr>
          <w:rStyle w:val="Strong"/>
        </w:rPr>
        <w:t>general causative link between the claimant</w:t>
      </w:r>
      <w:r w:rsidRPr="00FE6967">
        <w:rPr>
          <w:b/>
          <w:bCs/>
        </w:rPr>
        <w:t>'</w:t>
      </w:r>
      <w:r w:rsidRPr="00FE6967">
        <w:rPr>
          <w:rStyle w:val="Strong"/>
        </w:rPr>
        <w:t>s type of cancer and a Group 1 carcinogen</w:t>
      </w:r>
      <w:r w:rsidRPr="00FE6967">
        <w:rPr>
          <w:b/>
          <w:bCs/>
        </w:rPr>
        <w:t>.”</w:t>
      </w:r>
      <w:r>
        <w:t xml:space="preserve"> The Court held: “In other words, the claimant </w:t>
      </w:r>
      <w:r>
        <w:rPr>
          <w:rStyle w:val="Emphasis"/>
        </w:rPr>
        <w:t>must produce evidence that it is possible</w:t>
      </w:r>
      <w:r>
        <w:t xml:space="preserve"> that the carcinogen in question caused the type of cancer with which the claimant is afflicted. It does </w:t>
      </w:r>
      <w:r>
        <w:rPr>
          <w:rStyle w:val="Emphasis"/>
        </w:rPr>
        <w:t xml:space="preserve">not require the claimant to prove that the identified Group 1 carcinogen </w:t>
      </w:r>
      <w:proofErr w:type="gramStart"/>
      <w:r>
        <w:rPr>
          <w:rStyle w:val="Emphasis"/>
        </w:rPr>
        <w:t>actually</w:t>
      </w:r>
      <w:r>
        <w:t xml:space="preserve"> caused</w:t>
      </w:r>
      <w:proofErr w:type="gramEnd"/>
      <w:r>
        <w:t xml:space="preserve"> claimant's cancer.”</w:t>
      </w:r>
      <w:hyperlink r:id="rId1142" w:history="1">
        <w:r w:rsidRPr="00D25822">
          <w:rPr>
            <w:rStyle w:val="Hyperlink"/>
          </w:rPr>
          <w:t>https://law.justia.com/cases/pennsylvania/commonwealth-court/2023/12-c-d-2022.html</w:t>
        </w:r>
      </w:hyperlink>
      <w:r>
        <w:t xml:space="preserve"> </w:t>
      </w:r>
    </w:p>
    <w:p w14:paraId="263B8DB9" w14:textId="77777777" w:rsidR="008A4533" w:rsidRDefault="008A4533" w:rsidP="008A4533">
      <w:pPr>
        <w:pStyle w:val="NormalWeb"/>
        <w:ind w:left="720"/>
      </w:pPr>
      <w:r>
        <w:t xml:space="preserve">“Here, Claimant testified that he has always worked at the same firehouse, which operates three diesel-powered vehicles, and it does not have a diesel fuel emissions capture system….  He could see and smell diesel fuel emissions on every fire call for approximately five to eight minutes before the trucks pulled out of the firehouse, during which time he was not wearing breathing protection. …  He was also exposed while the trucks are running at every fire scene…. Claimant recalled that the firehouse apparatus door, walls, and ceiling were covered in diesel fuel soot, which he periodically participated in cleaning without being given personal protective equipment. </w:t>
      </w:r>
    </w:p>
    <w:p w14:paraId="55B8B77A" w14:textId="77777777" w:rsidR="008A4533" w:rsidRDefault="008A4533" w:rsidP="008A4533">
      <w:pPr>
        <w:pStyle w:val="NormalWeb"/>
        <w:ind w:left="720" w:firstLine="60"/>
      </w:pPr>
      <w:r>
        <w:lastRenderedPageBreak/>
        <w:t>Claimant described that he fought at least 1,000 interior and exterior fires over the years, including house, car, trash, brush, and warehouse fires…. Claimant presented Employer's pre-</w:t>
      </w:r>
      <w:proofErr w:type="spellStart"/>
      <w:r>
        <w:t>PennFIRS</w:t>
      </w:r>
      <w:proofErr w:type="spellEnd"/>
      <w:r>
        <w:t xml:space="preserve"> and </w:t>
      </w:r>
      <w:proofErr w:type="spellStart"/>
      <w:r>
        <w:t>PennFIRS</w:t>
      </w:r>
      <w:proofErr w:type="spellEnd"/>
      <w:r>
        <w:t xml:space="preserve"> reports reflecting his firefighting since 1979. He stated that he participated in all firefighting stages, including: the attack phase (entry, search, rescue, ventilation and suppression), the overhaul phase, the salvage phase, and the fire investigation phase, all of which exposed him to soot and smoke…. Claimant explained that, although firefighters now use self-contained breathing apparatuses (SCBAs) for all types of fires and phases, for the first 20 years or so of his service, SCBAs were not used for exterior fires, car fires, overhaul, or salvage.</w:t>
      </w:r>
    </w:p>
    <w:p w14:paraId="2A63AD88" w14:textId="77777777" w:rsidR="008A4533" w:rsidRDefault="008A4533" w:rsidP="008A4533">
      <w:pPr>
        <w:pStyle w:val="NormalWeb"/>
        <w:ind w:left="720" w:firstLine="60"/>
        <w:rPr>
          <w:rStyle w:val="Emphasis"/>
        </w:rPr>
      </w:pPr>
      <w:r>
        <w:t>***</w:t>
      </w:r>
    </w:p>
    <w:p w14:paraId="4D051345" w14:textId="77777777" w:rsidR="008A4533" w:rsidRDefault="008A4533" w:rsidP="008A4533">
      <w:pPr>
        <w:pStyle w:val="NormalWeb"/>
        <w:ind w:left="720"/>
      </w:pPr>
      <w:r>
        <w:t xml:space="preserve">“The express language of </w:t>
      </w:r>
      <w:r>
        <w:rPr>
          <w:rStyle w:val="Strong"/>
        </w:rPr>
        <w:t>Section 108(r)</w:t>
      </w:r>
      <w:r>
        <w:t xml:space="preserve"> [</w:t>
      </w:r>
      <w:r>
        <w:rPr>
          <w:rStyle w:val="Strong"/>
        </w:rPr>
        <w:t>of the Act</w:t>
      </w:r>
      <w:r>
        <w:t xml:space="preserve">], namely that the claimant has a ‘cancer . . . which is caused by exposure to a known (Group 1) carcinogen’ clearly imposes an initial burden of causation on the claimant. Importantly, however, the provision </w:t>
      </w:r>
      <w:r>
        <w:rPr>
          <w:rStyle w:val="Strong"/>
        </w:rPr>
        <w:t>only requires the claimant to establish a general causative link between the claimant</w:t>
      </w:r>
      <w:r>
        <w:t>'</w:t>
      </w:r>
      <w:r>
        <w:rPr>
          <w:rStyle w:val="Strong"/>
        </w:rPr>
        <w:t>s type of cancer and a Group 1 carcinogen</w:t>
      </w:r>
      <w:r>
        <w:t>…. Section 108(r) [of the Act] embodies a legislative acknowledgement that firefighting is a dangerous occupation that routinely exposes firefighters to Group 1 carcinogens that are known to cause various types of cancers. The ‘general causation’ requirement under Section 108(r) [of the Act] constitutes a recognition that different types of cancers have different etiologies, and it weeds out claims for compensation for cancers with no known link to Group 1 carcinogens. The burden imposed by Section 108(r) [of the Act] is not a heavy burden.”</w:t>
      </w:r>
    </w:p>
    <w:p w14:paraId="56C1283D" w14:textId="77777777" w:rsidR="008A4533" w:rsidRPr="005B7454" w:rsidRDefault="008A4533" w:rsidP="008A4533">
      <w:pPr>
        <w:pStyle w:val="NormalWeb"/>
        <w:rPr>
          <w:b/>
          <w:bCs/>
        </w:rPr>
      </w:pPr>
      <w:r w:rsidRPr="005B7454">
        <w:rPr>
          <w:b/>
          <w:bCs/>
        </w:rPr>
        <w:t>Legal Lesson Learned:</w:t>
      </w:r>
      <w:r>
        <w:rPr>
          <w:b/>
          <w:bCs/>
        </w:rPr>
        <w:t xml:space="preserve"> Statutory presumption statute in Pennsylvania, and many other states, is very helpful.   </w:t>
      </w:r>
    </w:p>
    <w:p w14:paraId="4B3194C2" w14:textId="77777777" w:rsidR="008A4533" w:rsidRDefault="008A4533" w:rsidP="008A4533">
      <w:pPr>
        <w:pStyle w:val="NormalWeb"/>
      </w:pPr>
    </w:p>
    <w:p w14:paraId="29711B73" w14:textId="7336E4EA" w:rsidR="008A4533" w:rsidRDefault="008A4533" w:rsidP="00EF1133">
      <w:pPr>
        <w:rPr>
          <w:rFonts w:ascii="Arial Black" w:hAnsi="Arial Black"/>
          <w:b/>
          <w:sz w:val="24"/>
          <w:szCs w:val="24"/>
        </w:rPr>
      </w:pPr>
    </w:p>
    <w:p w14:paraId="1BF8D28E" w14:textId="1737D3C0" w:rsidR="008A4533" w:rsidRDefault="008A4533" w:rsidP="00EF1133">
      <w:pPr>
        <w:rPr>
          <w:rFonts w:ascii="Arial Black" w:hAnsi="Arial Black"/>
          <w:b/>
          <w:sz w:val="24"/>
          <w:szCs w:val="24"/>
        </w:rPr>
      </w:pPr>
      <w:r>
        <w:rPr>
          <w:rFonts w:ascii="Arial Black" w:hAnsi="Arial Black"/>
          <w:b/>
          <w:sz w:val="24"/>
          <w:szCs w:val="24"/>
        </w:rPr>
        <w:t>6-10</w:t>
      </w:r>
      <w:r w:rsidR="00FF7C63">
        <w:rPr>
          <w:rFonts w:ascii="Arial Black" w:hAnsi="Arial Black"/>
          <w:b/>
          <w:sz w:val="24"/>
          <w:szCs w:val="24"/>
        </w:rPr>
        <w:t>1</w:t>
      </w:r>
    </w:p>
    <w:p w14:paraId="48019C73" w14:textId="00DBCD29" w:rsidR="008A4533" w:rsidRDefault="008A4533" w:rsidP="00EF1133">
      <w:pPr>
        <w:rPr>
          <w:rFonts w:ascii="Arial Black" w:hAnsi="Arial Black"/>
          <w:b/>
          <w:sz w:val="24"/>
          <w:szCs w:val="24"/>
        </w:rPr>
      </w:pPr>
    </w:p>
    <w:p w14:paraId="218EEB18" w14:textId="77777777" w:rsidR="008A4533" w:rsidRPr="00BF0E9D" w:rsidRDefault="008A4533" w:rsidP="008A4533">
      <w:pPr>
        <w:pStyle w:val="NormalWeb"/>
        <w:rPr>
          <w:rFonts w:ascii="Arial Black" w:hAnsi="Arial Black"/>
          <w:sz w:val="28"/>
          <w:szCs w:val="28"/>
        </w:rPr>
      </w:pPr>
      <w:r>
        <w:rPr>
          <w:rFonts w:ascii="Arial Black" w:hAnsi="Arial Black"/>
          <w:sz w:val="28"/>
          <w:szCs w:val="28"/>
        </w:rPr>
        <w:t>AL:  ASSISTANT FIRE CHIEF – ARRESTED DOMESTIC VIOLENCE - RETIRED “IMMEDIATELY” – NOT FORCED</w:t>
      </w:r>
    </w:p>
    <w:p w14:paraId="02DDBE6B" w14:textId="77777777" w:rsidR="008A4533" w:rsidRDefault="008A4533" w:rsidP="008A4533">
      <w:pPr>
        <w:pStyle w:val="NormalWeb"/>
      </w:pPr>
      <w:r>
        <w:t xml:space="preserve">On Jan. 6, 2023, in </w:t>
      </w:r>
      <w:r w:rsidRPr="00BF0E9D">
        <w:rPr>
          <w:u w:val="single"/>
        </w:rPr>
        <w:t>Kenneth Bolling v. City of Montgomery</w:t>
      </w:r>
      <w:r>
        <w:t xml:space="preserve">, U.S. District Court Judge A. Austin Huffaker, Jr., U.S. District Court for Middle District of Alabama (Northern Division), held that after holding a bench trial May 16-17, 2022 and July 11, 2022, he found that Assistant Fire Bolling’s allegation that Fire Chief directed him to immediate resign after his arrest for domestic violence was not credible.  Bolling was second in command at the FD, 33 years of service, was arrested on June 27, </w:t>
      </w:r>
      <w:proofErr w:type="gramStart"/>
      <w:r>
        <w:t>2018</w:t>
      </w:r>
      <w:proofErr w:type="gramEnd"/>
      <w:r>
        <w:t xml:space="preserve"> for alleged domestic violence against his former girlfriend the night before.  When released from jail after 12-hour mandatory hold, he first called the City’s retirement specialist for estimate of his retirement payout.  He then met with Fire Chief </w:t>
      </w:r>
      <w:proofErr w:type="spellStart"/>
      <w:r>
        <w:t>Miford</w:t>
      </w:r>
      <w:proofErr w:type="spellEnd"/>
      <w:r>
        <w:t xml:space="preserve"> Jordan, and Chief of Staff Chief of Staff John Petrey, and signed a suspension with pay document.  He then when to retirement specialist, obtained retirement document, and signed for “immediate retirement” (not giving 7-days’ notice led to forfeiture of accrued leave and sick time). The Court held:  “And finally, and perhaps most persuasively, on the morning he turned himself into the city police-</w:t>
      </w:r>
      <w:r>
        <w:rPr>
          <w:rStyle w:val="Emphasis"/>
        </w:rPr>
        <w:t>before</w:t>
      </w:r>
      <w:r>
        <w:t xml:space="preserve"> his parking lot discussion with Chief Jordan and </w:t>
      </w:r>
      <w:r>
        <w:rPr>
          <w:rStyle w:val="Emphasis"/>
        </w:rPr>
        <w:t>before</w:t>
      </w:r>
      <w:r>
        <w:t xml:space="preserve"> the Petrey office meeting-Bolling called city retirement specialist Kim Neese to obtain an estimate of retirement benefit payouts should he decide to retire immediately. This uncoerced, self-initiated action supports the inference that Bolling intended to resign (or at least was seriously considering it) prior to </w:t>
      </w:r>
      <w:r>
        <w:lastRenderedPageBreak/>
        <w:t xml:space="preserve">any discussion with Chief Jordan and Petrey about his termination and supposed loss of retirement benefits.” </w:t>
      </w:r>
      <w:hyperlink r:id="rId1143" w:history="1">
        <w:r w:rsidRPr="00D25822">
          <w:rPr>
            <w:rStyle w:val="Hyperlink"/>
          </w:rPr>
          <w:t>https://public.fastcase.com/J%2FJP6pdidelsXxEE4k%2BLMqkdD5%2F9vomvqFlCkCXbHBZeshVe9dMO69n26VvOOGQ0AfFNIJdHHotvSTHs4WCcjg4h%2FMs%2B3ZGL0GmuYT%2B2kk4%3D?utm_medium=email&amp;_hsmi=226712652&amp;_hsenc=p2ANqtz-9blRBfGvWcvPfjP94U0OWp5xjRToJRFC1FgT4HNxkVt3pCFWJPlaIDL-9MMTlNfF1ZXM41l3Otj_VuO__ziHrFsLR4IQ&amp;utm_content=226712652&amp;utm_source=hs_email</w:t>
        </w:r>
      </w:hyperlink>
      <w:r>
        <w:t xml:space="preserve"> </w:t>
      </w:r>
    </w:p>
    <w:p w14:paraId="0FDEBDAB" w14:textId="77777777" w:rsidR="008A4533" w:rsidRDefault="008A4533" w:rsidP="008A4533">
      <w:pPr>
        <w:pStyle w:val="NormalWeb"/>
        <w:ind w:left="720"/>
      </w:pPr>
      <w:r>
        <w:t xml:space="preserve">“According to Chief Jordan, in the parking garage and on the way to Petrey's office, Bolling kept repeating that he should not have gone over to his </w:t>
      </w:r>
      <w:proofErr w:type="spellStart"/>
      <w:proofErr w:type="gramStart"/>
      <w:r>
        <w:t>ex girlfriend’s</w:t>
      </w:r>
      <w:proofErr w:type="spellEnd"/>
      <w:proofErr w:type="gramEnd"/>
      <w:r>
        <w:t xml:space="preserve"> house. Chief Jordan also testified that the two did not talk about anything related to Bolling's employment status at the time.  According to Bolling, the discussion was somewhat different. Per Bolling, Chief Jordan approached Bolling in the parking lot, hugged him, and told him, “They [are] going to fire you.” Chief Jordan also said, “Bolling, I'm talking to you like a brother [T]here </w:t>
      </w:r>
      <w:proofErr w:type="spellStart"/>
      <w:r>
        <w:t>ain't</w:t>
      </w:r>
      <w:proofErr w:type="spellEnd"/>
      <w:r>
        <w:t xml:space="preserve"> no fighting this.” </w:t>
      </w:r>
    </w:p>
    <w:p w14:paraId="6F1EFA16" w14:textId="77777777" w:rsidR="008A4533" w:rsidRDefault="008A4533" w:rsidP="008A4533">
      <w:pPr>
        <w:pStyle w:val="NormalWeb"/>
        <w:ind w:left="720"/>
      </w:pPr>
      <w:r>
        <w:t>***</w:t>
      </w:r>
    </w:p>
    <w:p w14:paraId="126D1698" w14:textId="77777777" w:rsidR="008A4533" w:rsidRDefault="008A4533" w:rsidP="008A4533">
      <w:pPr>
        <w:pStyle w:val="NormalWeb"/>
        <w:ind w:left="720"/>
      </w:pPr>
      <w:r>
        <w:t>Chief Jordan further testified that he never told Bolling that he was being terminated, that he should resign, or that he would lose his benefits if he did not resign. Simply put, according to Chief Jordan, they never discussed resignation or termination whatsoever during the meeting. This version of events was fully corroborated by Petrey, who reiterated in his testimony that Bolling was put on administrative leave without ever discussing resignation, retirement, or termination, and that Bolling acknowledged being put on administrative leave while an investigation into the arrest was conducted.</w:t>
      </w:r>
    </w:p>
    <w:p w14:paraId="7E0872FF" w14:textId="77777777" w:rsidR="008A4533" w:rsidRDefault="008A4533" w:rsidP="008A4533">
      <w:pPr>
        <w:pStyle w:val="NormalWeb"/>
        <w:ind w:left="720"/>
      </w:pPr>
      <w:r>
        <w:t>***</w:t>
      </w:r>
    </w:p>
    <w:p w14:paraId="2530A02B" w14:textId="77777777" w:rsidR="008A4533" w:rsidRDefault="008A4533" w:rsidP="008A4533">
      <w:pPr>
        <w:pStyle w:val="NormalWeb"/>
        <w:ind w:left="720"/>
      </w:pPr>
      <w:r>
        <w:t xml:space="preserve">Footnote 2: </w:t>
      </w:r>
      <w:r w:rsidRPr="009B4536">
        <w:t>From Bolling's standpoint, resignation ended any city investigation into the domestic violence incident over which criminal charges had been initiated and therefore Bolling would have avoided having to sit and answer questions during the interview about the incident as well as the other incidents, allegations, and convictions of domestic violence against Bolling over the years, and arguably would have allowed him to separate in good standing. During the trial, there was much testimony and evidence about other domestic violations incidents, criminal charges and convictions against Bolling. The Court fails to see the relevancy of his domestic violence history other than the impact it may have had in his decision to resign, effective immediately.</w:t>
      </w:r>
    </w:p>
    <w:p w14:paraId="557D4B17" w14:textId="77777777" w:rsidR="008A4533" w:rsidRPr="009B4536" w:rsidRDefault="008A4533" w:rsidP="008A4533">
      <w:pPr>
        <w:pStyle w:val="NormalWeb"/>
        <w:rPr>
          <w:b/>
          <w:bCs/>
        </w:rPr>
      </w:pPr>
      <w:r w:rsidRPr="009B4536">
        <w:rPr>
          <w:b/>
          <w:bCs/>
        </w:rPr>
        <w:t>Legal Lesson Learned:</w:t>
      </w:r>
      <w:r>
        <w:rPr>
          <w:b/>
          <w:bCs/>
        </w:rPr>
        <w:t xml:space="preserve"> Do not make hasty retirement decisions.</w:t>
      </w:r>
    </w:p>
    <w:p w14:paraId="42B69768" w14:textId="77777777" w:rsidR="008A4533" w:rsidRDefault="008A4533" w:rsidP="008A4533">
      <w:pPr>
        <w:pStyle w:val="NormalWeb"/>
        <w:ind w:left="720"/>
      </w:pPr>
      <w:r>
        <w:t xml:space="preserve">Note:  The Court is an earlier decision in this case , April 2, 2020, wrote: “Bolling has never been convicted of domestic violence, but he has been charged with domestic violence at least eight times during his career.” </w:t>
      </w:r>
      <w:hyperlink r:id="rId1144" w:history="1">
        <w:r w:rsidRPr="00D25822">
          <w:rPr>
            <w:rStyle w:val="Hyperlink"/>
          </w:rPr>
          <w:t>https://casetext.com/case/bolling-v-city-of-montgomery</w:t>
        </w:r>
      </w:hyperlink>
      <w:r>
        <w:t xml:space="preserve"> </w:t>
      </w:r>
    </w:p>
    <w:p w14:paraId="71DB59C1" w14:textId="77777777" w:rsidR="008A4533" w:rsidRDefault="008A4533" w:rsidP="008A4533">
      <w:pPr>
        <w:pStyle w:val="NormalWeb"/>
        <w:ind w:left="720"/>
      </w:pPr>
    </w:p>
    <w:p w14:paraId="0B5A4828" w14:textId="77777777" w:rsidR="008A4533" w:rsidRDefault="008A4533" w:rsidP="00EF1133">
      <w:pPr>
        <w:rPr>
          <w:rFonts w:ascii="Arial Black" w:hAnsi="Arial Black"/>
          <w:b/>
          <w:sz w:val="24"/>
          <w:szCs w:val="24"/>
        </w:rPr>
      </w:pPr>
    </w:p>
    <w:p w14:paraId="4F9C9290" w14:textId="77777777" w:rsidR="007959C9" w:rsidRDefault="007959C9" w:rsidP="00EF1133">
      <w:pPr>
        <w:rPr>
          <w:rFonts w:ascii="Arial Black" w:hAnsi="Arial Black"/>
          <w:b/>
          <w:sz w:val="24"/>
          <w:szCs w:val="24"/>
        </w:rPr>
      </w:pPr>
    </w:p>
    <w:p w14:paraId="742E3D60" w14:textId="2011C56F" w:rsidR="00BA3CDE" w:rsidRDefault="00BA3CDE" w:rsidP="00EF1133">
      <w:pPr>
        <w:rPr>
          <w:rFonts w:ascii="Arial Black" w:hAnsi="Arial Black"/>
          <w:b/>
          <w:sz w:val="24"/>
          <w:szCs w:val="24"/>
        </w:rPr>
      </w:pPr>
      <w:r>
        <w:rPr>
          <w:rFonts w:ascii="Arial Black" w:hAnsi="Arial Black"/>
          <w:b/>
          <w:sz w:val="24"/>
          <w:szCs w:val="24"/>
        </w:rPr>
        <w:t>6-10</w:t>
      </w:r>
      <w:r w:rsidR="00FF7C63">
        <w:rPr>
          <w:rFonts w:ascii="Arial Black" w:hAnsi="Arial Black"/>
          <w:b/>
          <w:sz w:val="24"/>
          <w:szCs w:val="24"/>
        </w:rPr>
        <w:t>0</w:t>
      </w:r>
    </w:p>
    <w:p w14:paraId="6A11D359" w14:textId="77777777" w:rsidR="00BA3CDE" w:rsidRPr="003B67CB" w:rsidRDefault="00BA3CDE" w:rsidP="00BA3CDE">
      <w:pPr>
        <w:pStyle w:val="NormalWeb"/>
        <w:rPr>
          <w:rFonts w:ascii="Arial Black" w:hAnsi="Arial Black"/>
          <w:b/>
          <w:bCs/>
          <w:sz w:val="28"/>
          <w:szCs w:val="28"/>
        </w:rPr>
      </w:pPr>
      <w:r>
        <w:rPr>
          <w:rFonts w:ascii="Arial Black" w:hAnsi="Arial Black"/>
          <w:b/>
          <w:bCs/>
          <w:sz w:val="28"/>
          <w:szCs w:val="28"/>
        </w:rPr>
        <w:t xml:space="preserve">NJ: FF BACK INJURY CARRYING PATIENT – NOT “UNEXPECTED” - DENIED ACCID. DISABILIY PENSION </w:t>
      </w:r>
    </w:p>
    <w:p w14:paraId="48E5E5DB" w14:textId="77777777" w:rsidR="00BA3CDE" w:rsidRDefault="00BA3CDE" w:rsidP="00BA3CDE">
      <w:pPr>
        <w:pStyle w:val="NormalWeb"/>
      </w:pPr>
      <w:r>
        <w:lastRenderedPageBreak/>
        <w:t xml:space="preserve">On Dec. 16, 2022, in </w:t>
      </w:r>
      <w:r w:rsidRPr="003B67CB">
        <w:rPr>
          <w:u w:val="single"/>
        </w:rPr>
        <w:t>Dennis Coaxum v. Board of Trustees, Police and Firemen’s Retirement System</w:t>
      </w:r>
      <w:r>
        <w:t xml:space="preserve">, the Superior Court of New Jersey, Appellate Division, held (2 to 0) that the Administrative Law Judge properly concluded that the injury suffered by the Atlantic City firefighter was not "undesigned and unexpected” as required under State law for accidental disability retirement benefits (ADRB).  The ALJ found Dennis failed to satisfy, by a preponderance of the evidence, the July 18, </w:t>
      </w:r>
      <w:proofErr w:type="gramStart"/>
      <w:r>
        <w:t>2017</w:t>
      </w:r>
      <w:proofErr w:type="gramEnd"/>
      <w:r>
        <w:t xml:space="preserve"> incident was "undesigned and unexpected."  Additionally, the ALJ questioned Dennis' credibility given his lack of disclosure about the patient grabbing the railing on any form or to any doctor prior to his testimony.</w:t>
      </w:r>
    </w:p>
    <w:p w14:paraId="36AFEB4F" w14:textId="77777777" w:rsidR="00BA3CDE" w:rsidRDefault="00BA3CDE" w:rsidP="00BA3CDE">
      <w:pPr>
        <w:pStyle w:val="NormalWeb"/>
        <w:ind w:left="720"/>
      </w:pPr>
      <w:r>
        <w:t xml:space="preserve">“Dennis was performing his normal job duties on the date of the incident. He had been trained to transport people to medical facilities. While the utilization of a stair chair was more common and preferable, Dennis had been supplied with and trained to use a Reeves Sleeve and had utilized it to move patients on previous occasions. He conceded he was trained to move patients in different types of areas and under different circumstances. He testified he was trained to lift things over his head as a firefighter. The record is bereft of any indication Dennis' injury arose from anything other than ordinary strenuous work effort.” </w:t>
      </w:r>
      <w:hyperlink r:id="rId1145" w:history="1">
        <w:r w:rsidRPr="00237809">
          <w:rPr>
            <w:rStyle w:val="Hyperlink"/>
            <w:rFonts w:eastAsiaTheme="majorEastAsia"/>
          </w:rPr>
          <w:t>https://casetext.com/case/coaxum-v-bd-of-trs</w:t>
        </w:r>
      </w:hyperlink>
      <w:r>
        <w:t xml:space="preserve"> </w:t>
      </w:r>
    </w:p>
    <w:p w14:paraId="15E30CFE" w14:textId="77777777" w:rsidR="00BA3CDE" w:rsidRDefault="00BA3CDE" w:rsidP="00BA3CDE">
      <w:pPr>
        <w:pStyle w:val="NormalWeb"/>
        <w:rPr>
          <w:b/>
          <w:bCs/>
        </w:rPr>
      </w:pPr>
      <w:r w:rsidRPr="000502FD">
        <w:rPr>
          <w:b/>
          <w:bCs/>
        </w:rPr>
        <w:t>Legal Lesson Learned:</w:t>
      </w:r>
      <w:r>
        <w:rPr>
          <w:b/>
          <w:bCs/>
        </w:rPr>
        <w:t xml:space="preserve">  Thoroughly document in all reports that the patient grabbed the railing. </w:t>
      </w:r>
    </w:p>
    <w:p w14:paraId="63A9C5F9" w14:textId="77777777" w:rsidR="00BA3CDE" w:rsidRDefault="00BA3CDE" w:rsidP="00EF1133">
      <w:pPr>
        <w:rPr>
          <w:rFonts w:ascii="Arial Black" w:hAnsi="Arial Black"/>
          <w:b/>
          <w:sz w:val="24"/>
          <w:szCs w:val="24"/>
        </w:rPr>
      </w:pPr>
    </w:p>
    <w:p w14:paraId="02D6A6EE" w14:textId="77777777" w:rsidR="00BA3CDE" w:rsidRDefault="00BA3CDE" w:rsidP="00EF1133">
      <w:pPr>
        <w:rPr>
          <w:rFonts w:ascii="Arial Black" w:hAnsi="Arial Black"/>
          <w:b/>
          <w:sz w:val="24"/>
          <w:szCs w:val="24"/>
        </w:rPr>
      </w:pPr>
    </w:p>
    <w:p w14:paraId="2B74590B" w14:textId="28FE1369" w:rsidR="006C79BE" w:rsidRDefault="006C79BE" w:rsidP="00EF1133">
      <w:pPr>
        <w:rPr>
          <w:rFonts w:ascii="Arial Black" w:hAnsi="Arial Black"/>
          <w:b/>
          <w:sz w:val="24"/>
          <w:szCs w:val="24"/>
        </w:rPr>
      </w:pPr>
      <w:r>
        <w:rPr>
          <w:rFonts w:ascii="Arial Black" w:hAnsi="Arial Black"/>
          <w:b/>
          <w:sz w:val="24"/>
          <w:szCs w:val="24"/>
        </w:rPr>
        <w:t>6-</w:t>
      </w:r>
      <w:r w:rsidR="00FF7C63">
        <w:rPr>
          <w:rFonts w:ascii="Arial Black" w:hAnsi="Arial Black"/>
          <w:b/>
          <w:sz w:val="24"/>
          <w:szCs w:val="24"/>
        </w:rPr>
        <w:t>99</w:t>
      </w:r>
    </w:p>
    <w:p w14:paraId="15A77FF6" w14:textId="77777777" w:rsidR="006C79BE" w:rsidRPr="00E86687" w:rsidRDefault="006C79BE" w:rsidP="006C79BE">
      <w:pPr>
        <w:rPr>
          <w:rFonts w:ascii="Arial Black" w:hAnsi="Arial Black"/>
          <w:sz w:val="28"/>
          <w:szCs w:val="28"/>
        </w:rPr>
      </w:pPr>
      <w:r>
        <w:rPr>
          <w:rFonts w:ascii="Arial Black" w:hAnsi="Arial Black"/>
          <w:sz w:val="28"/>
          <w:szCs w:val="28"/>
        </w:rPr>
        <w:t>SC: FF BACK INJURY - WORKERS COMP AWARDED FOR “REPETITIVE TRAUMA INJURY” – ALJ REVERSED</w:t>
      </w:r>
    </w:p>
    <w:p w14:paraId="55E4B2CB" w14:textId="77777777" w:rsidR="006C79BE" w:rsidRDefault="006C79BE" w:rsidP="006C79BE">
      <w:pPr>
        <w:pStyle w:val="NormalWeb"/>
      </w:pPr>
      <w:r w:rsidRPr="00E86687">
        <w:t xml:space="preserve">On Dec. 7, 2022, </w:t>
      </w:r>
      <w:r>
        <w:t xml:space="preserve">in </w:t>
      </w:r>
      <w:r w:rsidRPr="00E86687">
        <w:rPr>
          <w:u w:val="single"/>
        </w:rPr>
        <w:t>Nicholas B. Thompson v. Bluffton Township Fire District, et al</w:t>
      </w:r>
      <w:r>
        <w:t xml:space="preserve">., the Court of Appeals of South Carolina, held (3 to 0) that Administrative Law Judge is reversed, since there is substantial evidence of repetitive trauma injury caused by his work as a firefighter. He began experiencing back pain in </w:t>
      </w:r>
      <w:proofErr w:type="gramStart"/>
      <w:r>
        <w:t>2014, but</w:t>
      </w:r>
      <w:proofErr w:type="gramEnd"/>
      <w:r>
        <w:t xml:space="preserve"> was able to perform firefighter duties. </w:t>
      </w:r>
      <w:r w:rsidRPr="00E86687">
        <w:t xml:space="preserve">In 2016, Thompson </w:t>
      </w:r>
      <w:r>
        <w:t xml:space="preserve">identified </w:t>
      </w:r>
      <w:r w:rsidRPr="00E86687">
        <w:t xml:space="preserve">three specific instances where his back pain was "significant" at work. </w:t>
      </w:r>
      <w:r>
        <w:t xml:space="preserve">In </w:t>
      </w:r>
      <w:r w:rsidRPr="00E86687">
        <w:t xml:space="preserve">late spring of 2016, Thompson responded to a "lift and assist call" to help a four-hundred-pound woman rise from the floor of her home. </w:t>
      </w:r>
      <w:r>
        <w:t xml:space="preserve"> On </w:t>
      </w:r>
      <w:r w:rsidRPr="00E86687">
        <w:t>July 9, 2016</w:t>
      </w:r>
      <w:r>
        <w:t xml:space="preserve">, he </w:t>
      </w:r>
      <w:r w:rsidRPr="00E86687">
        <w:t>was at the scene of a large house fire (the Belfair Fire)</w:t>
      </w:r>
      <w:r>
        <w:t xml:space="preserve"> where he handled high-pressure hose and replaced SCBAs.  In October 2016, he used chains in </w:t>
      </w:r>
      <w:r w:rsidRPr="00E86687">
        <w:t>aftermath of Hurricane Matthew</w:t>
      </w:r>
      <w:r>
        <w:t xml:space="preserve">. In January 2017, Thompson reported to his Battalion Chief that his back pain was affecting his ability to do his job and underwent MRI that revealed he had a bulging disc, disc degeneration, and nerve impingement in his lower back. The Court was particularly critical of ALJ’s criticism that </w:t>
      </w:r>
      <w:proofErr w:type="gramStart"/>
      <w:r>
        <w:t>firefighter</w:t>
      </w:r>
      <w:proofErr w:type="gramEnd"/>
      <w:r>
        <w:t xml:space="preserve"> did not file reports of injury from these incidents.  </w:t>
      </w:r>
    </w:p>
    <w:p w14:paraId="41ABF8F4" w14:textId="77777777" w:rsidR="006C79BE" w:rsidRDefault="006C79BE" w:rsidP="006C79BE">
      <w:pPr>
        <w:pStyle w:val="NormalWeb"/>
        <w:ind w:left="720"/>
      </w:pPr>
      <w:r>
        <w:t>“</w:t>
      </w:r>
      <w:r w:rsidRPr="00BF6A0E">
        <w:rPr>
          <w:rStyle w:val="markedcontent"/>
        </w:rPr>
        <w:t>We find Thompson, although</w:t>
      </w:r>
      <w:r>
        <w:rPr>
          <w:rStyle w:val="markedcontent"/>
        </w:rPr>
        <w:t xml:space="preserve"> </w:t>
      </w:r>
      <w:r w:rsidRPr="00BF6A0E">
        <w:rPr>
          <w:rStyle w:val="markedcontent"/>
        </w:rPr>
        <w:t>experiencing and receiving treatment for back pain from 2014 until 2016, could not</w:t>
      </w:r>
      <w:r>
        <w:rPr>
          <w:rStyle w:val="markedcontent"/>
        </w:rPr>
        <w:t xml:space="preserve"> </w:t>
      </w:r>
      <w:r w:rsidRPr="00BF6A0E">
        <w:rPr>
          <w:rStyle w:val="markedcontent"/>
        </w:rPr>
        <w:t>have reasonably known it was a compensable repetitive trauma injury until February</w:t>
      </w:r>
      <w:r>
        <w:rPr>
          <w:rStyle w:val="markedcontent"/>
        </w:rPr>
        <w:t xml:space="preserve"> </w:t>
      </w:r>
      <w:r w:rsidRPr="00BF6A0E">
        <w:rPr>
          <w:rStyle w:val="markedcontent"/>
        </w:rPr>
        <w:t>2017, when the pain from his gradual onset injury became so intense that he was</w:t>
      </w:r>
      <w:r>
        <w:rPr>
          <w:rStyle w:val="markedcontent"/>
        </w:rPr>
        <w:t xml:space="preserve"> </w:t>
      </w:r>
      <w:r w:rsidRPr="00BF6A0E">
        <w:rPr>
          <w:rStyle w:val="markedcontent"/>
        </w:rPr>
        <w:t>unable to complete daily duties as a firefighter and he sought medical treatment from</w:t>
      </w:r>
      <w:r>
        <w:rPr>
          <w:rStyle w:val="markedcontent"/>
        </w:rPr>
        <w:t xml:space="preserve"> </w:t>
      </w:r>
      <w:r w:rsidRPr="00BF6A0E">
        <w:rPr>
          <w:rStyle w:val="markedcontent"/>
        </w:rPr>
        <w:t>Dr. Cramer</w:t>
      </w:r>
      <w:r>
        <w:rPr>
          <w:rStyle w:val="markedcontent"/>
        </w:rPr>
        <w:t xml:space="preserve">…. </w:t>
      </w:r>
      <w:r w:rsidRPr="00E73268">
        <w:t xml:space="preserve">We also find Thompson presented competent medical evidence </w:t>
      </w:r>
      <w:r>
        <w:t>‘</w:t>
      </w:r>
      <w:r w:rsidRPr="00E73268">
        <w:t>that there is a direct causal relationship between the condition under which the work is performed and the injury.</w:t>
      </w:r>
      <w:r>
        <w:t>’</w:t>
      </w:r>
      <w:r w:rsidRPr="00E73268">
        <w:t xml:space="preserve"> § 42-1-172(D). Dr. Lindley was under no misapprehension about the duties Thompson was required to perform as a firefighter when giving his opinion about the cause of Thompson's repetitive trauma injury, and it was his expert medical opinion-recited in both his July 11, 2017 letter and in his sworn deposition testimony-that to a reasonable degree of medical certainty, Thompson's repeated activity of picking up heavy objects and people caused </w:t>
      </w:r>
      <w:r w:rsidRPr="00E73268">
        <w:lastRenderedPageBreak/>
        <w:t>Thompson's L4-5 disc protrusion with radiculopathy, nerve impingement, and bowel and bladder issues.</w:t>
      </w:r>
      <w:r>
        <w:t xml:space="preserve">” </w:t>
      </w:r>
      <w:hyperlink r:id="rId1146" w:history="1">
        <w:r w:rsidRPr="00622894">
          <w:rPr>
            <w:rStyle w:val="Hyperlink"/>
          </w:rPr>
          <w:t>https://law.justia.com/cases/south-carolina/court-of-appeals/2022/2022-up-437.html</w:t>
        </w:r>
      </w:hyperlink>
      <w:r>
        <w:t xml:space="preserve"> </w:t>
      </w:r>
    </w:p>
    <w:p w14:paraId="7D7A6EFF" w14:textId="77777777" w:rsidR="006C79BE" w:rsidRPr="00E73268" w:rsidRDefault="006C79BE" w:rsidP="006C79BE">
      <w:pPr>
        <w:rPr>
          <w:rFonts w:ascii="Times New Roman" w:hAnsi="Times New Roman"/>
          <w:b/>
          <w:bCs/>
          <w:sz w:val="24"/>
          <w:szCs w:val="24"/>
        </w:rPr>
      </w:pPr>
      <w:r w:rsidRPr="00E73268">
        <w:rPr>
          <w:rFonts w:ascii="Times New Roman" w:hAnsi="Times New Roman"/>
          <w:b/>
          <w:bCs/>
          <w:sz w:val="24"/>
          <w:szCs w:val="24"/>
        </w:rPr>
        <w:t>Legal Lesson Learned:</w:t>
      </w:r>
      <w:r>
        <w:rPr>
          <w:rFonts w:ascii="Times New Roman" w:hAnsi="Times New Roman"/>
          <w:b/>
          <w:bCs/>
          <w:sz w:val="24"/>
          <w:szCs w:val="24"/>
        </w:rPr>
        <w:t xml:space="preserve"> Excellent decision based on substantial testimony about the firefighter’s strenuous job duties. </w:t>
      </w:r>
    </w:p>
    <w:p w14:paraId="5D011BFB" w14:textId="77777777" w:rsidR="006C79BE" w:rsidRDefault="006C79BE" w:rsidP="006C79BE">
      <w:pPr>
        <w:pStyle w:val="NormalWeb"/>
      </w:pPr>
    </w:p>
    <w:p w14:paraId="1E574966" w14:textId="77777777" w:rsidR="006C79BE" w:rsidRDefault="006C79BE" w:rsidP="00EF1133">
      <w:pPr>
        <w:rPr>
          <w:rFonts w:ascii="Arial Black" w:hAnsi="Arial Black"/>
          <w:b/>
          <w:sz w:val="24"/>
          <w:szCs w:val="24"/>
        </w:rPr>
      </w:pPr>
    </w:p>
    <w:p w14:paraId="7F2960A1" w14:textId="77777777" w:rsidR="006C79BE" w:rsidRDefault="006C79BE" w:rsidP="00EF1133">
      <w:pPr>
        <w:rPr>
          <w:rFonts w:ascii="Arial Black" w:hAnsi="Arial Black"/>
          <w:b/>
          <w:sz w:val="24"/>
          <w:szCs w:val="24"/>
        </w:rPr>
      </w:pPr>
    </w:p>
    <w:p w14:paraId="7D617C63" w14:textId="77777777" w:rsidR="006C79BE" w:rsidRDefault="006C79BE" w:rsidP="00EF1133">
      <w:pPr>
        <w:rPr>
          <w:rFonts w:ascii="Arial Black" w:hAnsi="Arial Black"/>
          <w:b/>
          <w:sz w:val="24"/>
          <w:szCs w:val="24"/>
        </w:rPr>
      </w:pPr>
    </w:p>
    <w:p w14:paraId="3596749D" w14:textId="06B31B61" w:rsidR="00B87D79" w:rsidRDefault="00B87D79" w:rsidP="00EF1133">
      <w:pPr>
        <w:rPr>
          <w:rFonts w:ascii="Arial Black" w:hAnsi="Arial Black"/>
          <w:b/>
          <w:sz w:val="24"/>
          <w:szCs w:val="24"/>
        </w:rPr>
      </w:pPr>
      <w:r>
        <w:rPr>
          <w:rFonts w:ascii="Arial Black" w:hAnsi="Arial Black"/>
          <w:b/>
          <w:sz w:val="24"/>
          <w:szCs w:val="24"/>
        </w:rPr>
        <w:t>6-9</w:t>
      </w:r>
      <w:r w:rsidR="00FF7C63">
        <w:rPr>
          <w:rFonts w:ascii="Arial Black" w:hAnsi="Arial Black"/>
          <w:b/>
          <w:sz w:val="24"/>
          <w:szCs w:val="24"/>
        </w:rPr>
        <w:t>8</w:t>
      </w:r>
    </w:p>
    <w:p w14:paraId="6A018D38" w14:textId="77777777" w:rsidR="00B87D79" w:rsidRDefault="00B87D79" w:rsidP="00B87D79">
      <w:pPr>
        <w:pStyle w:val="NormalWeb"/>
        <w:rPr>
          <w:rFonts w:ascii="Arial Black" w:hAnsi="Arial Black"/>
          <w:sz w:val="28"/>
          <w:szCs w:val="28"/>
        </w:rPr>
      </w:pPr>
      <w:r>
        <w:rPr>
          <w:rFonts w:ascii="Arial Black" w:hAnsi="Arial Black"/>
          <w:sz w:val="28"/>
          <w:szCs w:val="28"/>
        </w:rPr>
        <w:t>IL: FIRE CHIEF – SEVERANCE – PENSION MUST INCLUDE 4 ½ MONTHS ON PAID LEAVE AND 3% PAY INCREASE FOR FF</w:t>
      </w:r>
    </w:p>
    <w:p w14:paraId="58938F75" w14:textId="77777777" w:rsidR="00B87D79" w:rsidRDefault="00B87D79" w:rsidP="00B87D79">
      <w:pPr>
        <w:pStyle w:val="NormalWeb"/>
      </w:pPr>
      <w:r>
        <w:t xml:space="preserve">On Nov. 30, 2022, in </w:t>
      </w:r>
      <w:r w:rsidRPr="00CE1473">
        <w:rPr>
          <w:u w:val="single"/>
        </w:rPr>
        <w:t>Kenneth Brucki v. Orland Fire Protection District, et al</w:t>
      </w:r>
      <w:r>
        <w:t xml:space="preserve">., the Court of Appeals of Illinois, Third Division, held (3 to 0) that Pension Board is reversed; the Fire Chief’s pension should be increased based on his salary with 3% increase to $186,449 (from $181,220), and shall include his pay while on administrative leave. The Fire Chief had been under investigation and “Brucki agreed to pay $12,500 as reimbursement for charges on the </w:t>
      </w:r>
      <w:proofErr w:type="gramStart"/>
      <w:r>
        <w:t>District's</w:t>
      </w:r>
      <w:proofErr w:type="gramEnd"/>
      <w:r>
        <w:t xml:space="preserve"> credit cards.”</w:t>
      </w:r>
    </w:p>
    <w:p w14:paraId="2FF36DD9" w14:textId="77777777" w:rsidR="00B87D79" w:rsidRDefault="00B87D79" w:rsidP="00B87D79">
      <w:pPr>
        <w:pStyle w:val="NormalWeb"/>
        <w:ind w:left="720"/>
      </w:pPr>
      <w:r>
        <w:t xml:space="preserve">“After his 50th birthday in October 2017, Brucki was entitled to a pension. In his pension application, he listed his last day worked as January 4, 2016, and his annual pensionable salary as $186,449, which included the 3% adjustment on January 1, 2016. The pension fund submitted paperwork indicating that his last day was August 20, 2015, and his salary was $181,220. </w:t>
      </w:r>
    </w:p>
    <w:p w14:paraId="28C9D85A" w14:textId="77777777" w:rsidR="00B87D79" w:rsidRDefault="00B87D79" w:rsidP="00B87D79">
      <w:pPr>
        <w:pStyle w:val="NormalWeb"/>
        <w:ind w:left="720"/>
      </w:pPr>
      <w:r>
        <w:t>***</w:t>
      </w:r>
    </w:p>
    <w:p w14:paraId="643BED0A" w14:textId="627DC936" w:rsidR="00B87D79" w:rsidRPr="00B87D79" w:rsidRDefault="00B87D79" w:rsidP="00B87D79">
      <w:pPr>
        <w:ind w:left="720"/>
        <w:rPr>
          <w:rFonts w:ascii="Times New Roman" w:hAnsi="Times New Roman"/>
          <w:b/>
          <w:sz w:val="24"/>
          <w:szCs w:val="24"/>
        </w:rPr>
      </w:pPr>
      <w:r w:rsidRPr="00B87D79">
        <w:rPr>
          <w:rFonts w:ascii="Times New Roman" w:hAnsi="Times New Roman"/>
          <w:sz w:val="24"/>
          <w:szCs w:val="24"/>
        </w:rPr>
        <w:t xml:space="preserve">We thus reverse the decision of the Board and the circuit court and remand with instructions to recalculate and award pension benefits to Brucki based on a final date of service of January 4, 2016, and an annual salary amount which includes the 3% adjustment - $186,449.” </w:t>
      </w:r>
      <w:hyperlink r:id="rId1147" w:history="1">
        <w:r w:rsidRPr="00B87D79">
          <w:rPr>
            <w:rStyle w:val="Hyperlink"/>
            <w:rFonts w:ascii="Times New Roman" w:eastAsiaTheme="majorEastAsia" w:hAnsi="Times New Roman"/>
            <w:sz w:val="24"/>
            <w:szCs w:val="24"/>
          </w:rPr>
          <w:t>https://ilcourtsaudio.blob.core.windows.net/antilles-resources/resources/aec16a44-b27a-4304-97c1-5c133043b2dd/Brucki%20v.%20Orland%20Fire%20Protection%20District,%202022%20IL%20App%20(1st)%20220288-U.pdf</w:t>
        </w:r>
      </w:hyperlink>
    </w:p>
    <w:p w14:paraId="75695449" w14:textId="77777777" w:rsidR="00B87D79" w:rsidRPr="00F058AD" w:rsidRDefault="00B87D79" w:rsidP="00B87D79">
      <w:pPr>
        <w:pStyle w:val="NormalWeb"/>
        <w:rPr>
          <w:b/>
          <w:bCs/>
        </w:rPr>
      </w:pPr>
      <w:r w:rsidRPr="00F058AD">
        <w:rPr>
          <w:b/>
          <w:bCs/>
        </w:rPr>
        <w:t>Legal Lesson Learned:</w:t>
      </w:r>
      <w:r>
        <w:rPr>
          <w:b/>
          <w:bCs/>
        </w:rPr>
        <w:t xml:space="preserve"> When negotiating a severance agreement with 4 ½ months of paid leave, the parties should include a clause regarding how those </w:t>
      </w:r>
      <w:proofErr w:type="gramStart"/>
      <w:r>
        <w:rPr>
          <w:b/>
          <w:bCs/>
        </w:rPr>
        <w:t>months</w:t>
      </w:r>
      <w:proofErr w:type="gramEnd"/>
      <w:r>
        <w:rPr>
          <w:b/>
          <w:bCs/>
        </w:rPr>
        <w:t xml:space="preserve"> and any pay increases would impact pension calculations. </w:t>
      </w:r>
    </w:p>
    <w:p w14:paraId="64D36E47" w14:textId="77777777" w:rsidR="00B87D79" w:rsidRPr="00F058AD" w:rsidRDefault="00B87D79" w:rsidP="00B87D79">
      <w:pPr>
        <w:pStyle w:val="Heading1"/>
        <w:ind w:left="720"/>
        <w:rPr>
          <w:b w:val="0"/>
          <w:bCs w:val="0"/>
          <w:sz w:val="24"/>
          <w:szCs w:val="24"/>
        </w:rPr>
      </w:pPr>
      <w:r w:rsidRPr="00F058AD">
        <w:rPr>
          <w:b w:val="0"/>
          <w:bCs w:val="0"/>
          <w:sz w:val="24"/>
          <w:szCs w:val="24"/>
        </w:rPr>
        <w:t xml:space="preserve">Note: See Aug. 23, </w:t>
      </w:r>
      <w:proofErr w:type="gramStart"/>
      <w:r w:rsidRPr="00F058AD">
        <w:rPr>
          <w:b w:val="0"/>
          <w:bCs w:val="0"/>
          <w:sz w:val="24"/>
          <w:szCs w:val="24"/>
        </w:rPr>
        <w:t>2011</w:t>
      </w:r>
      <w:proofErr w:type="gramEnd"/>
      <w:r w:rsidRPr="00F058AD">
        <w:rPr>
          <w:b w:val="0"/>
          <w:bCs w:val="0"/>
          <w:sz w:val="24"/>
          <w:szCs w:val="24"/>
        </w:rPr>
        <w:t xml:space="preserve"> article, Orland fire chief retires under cloud: 'I didn't do anything wrong.' </w:t>
      </w:r>
      <w:hyperlink r:id="rId1148" w:history="1">
        <w:r w:rsidRPr="00F058AD">
          <w:rPr>
            <w:rStyle w:val="Hyperlink"/>
            <w:rFonts w:eastAsiaTheme="majorEastAsia"/>
            <w:b w:val="0"/>
            <w:bCs w:val="0"/>
            <w:sz w:val="24"/>
            <w:szCs w:val="24"/>
          </w:rPr>
          <w:t>https://www.chicagotribune.com/news/breaking/chi-retiring-orland-fire-chief-i-didnt-do-anything-wrong-20110823-story.html</w:t>
        </w:r>
      </w:hyperlink>
      <w:r w:rsidRPr="00F058AD">
        <w:rPr>
          <w:b w:val="0"/>
          <w:bCs w:val="0"/>
          <w:sz w:val="24"/>
          <w:szCs w:val="24"/>
        </w:rPr>
        <w:t xml:space="preserve"> </w:t>
      </w:r>
    </w:p>
    <w:p w14:paraId="3437C912" w14:textId="77777777" w:rsidR="00B87D79" w:rsidRDefault="00B87D79" w:rsidP="00EF1133">
      <w:pPr>
        <w:rPr>
          <w:rFonts w:ascii="Arial Black" w:hAnsi="Arial Black"/>
          <w:b/>
          <w:sz w:val="24"/>
          <w:szCs w:val="24"/>
        </w:rPr>
      </w:pPr>
    </w:p>
    <w:p w14:paraId="636D96E9" w14:textId="77777777" w:rsidR="00B87D79" w:rsidRDefault="00B87D79" w:rsidP="00EF1133">
      <w:pPr>
        <w:rPr>
          <w:rFonts w:ascii="Arial Black" w:hAnsi="Arial Black"/>
          <w:b/>
          <w:sz w:val="24"/>
          <w:szCs w:val="24"/>
        </w:rPr>
      </w:pPr>
    </w:p>
    <w:p w14:paraId="77EF82F8" w14:textId="77777777" w:rsidR="00B87D79" w:rsidRDefault="00B87D79" w:rsidP="00EF1133">
      <w:pPr>
        <w:rPr>
          <w:rFonts w:ascii="Arial Black" w:hAnsi="Arial Black"/>
          <w:b/>
          <w:sz w:val="24"/>
          <w:szCs w:val="24"/>
        </w:rPr>
      </w:pPr>
    </w:p>
    <w:p w14:paraId="0EE088C5" w14:textId="5F553AA2" w:rsidR="00B87D79" w:rsidRDefault="00B87D79" w:rsidP="00EF1133">
      <w:pPr>
        <w:rPr>
          <w:rFonts w:ascii="Arial Black" w:hAnsi="Arial Black"/>
          <w:b/>
          <w:sz w:val="24"/>
          <w:szCs w:val="24"/>
        </w:rPr>
      </w:pPr>
      <w:r>
        <w:rPr>
          <w:rFonts w:ascii="Arial Black" w:hAnsi="Arial Black"/>
          <w:b/>
          <w:sz w:val="24"/>
          <w:szCs w:val="24"/>
        </w:rPr>
        <w:t>6-9</w:t>
      </w:r>
      <w:r w:rsidR="00FF7C63">
        <w:rPr>
          <w:rFonts w:ascii="Arial Black" w:hAnsi="Arial Black"/>
          <w:b/>
          <w:sz w:val="24"/>
          <w:szCs w:val="24"/>
        </w:rPr>
        <w:t>7</w:t>
      </w:r>
    </w:p>
    <w:p w14:paraId="6FB0873B" w14:textId="77777777" w:rsidR="00B87D79" w:rsidRDefault="00B87D79" w:rsidP="00B87D79">
      <w:pPr>
        <w:pStyle w:val="NormalWeb"/>
        <w:rPr>
          <w:rFonts w:ascii="Arial Black" w:hAnsi="Arial Black"/>
          <w:sz w:val="28"/>
          <w:szCs w:val="28"/>
        </w:rPr>
      </w:pPr>
      <w:r>
        <w:rPr>
          <w:rFonts w:ascii="Arial Black" w:hAnsi="Arial Black"/>
          <w:sz w:val="28"/>
          <w:szCs w:val="28"/>
        </w:rPr>
        <w:t>IL: FF STROKE AT HOME – “CUMULATIVE EFFECTS OF ACTIVE DUTY” – OCCUP. DISEASE DISABILITY PENSION</w:t>
      </w:r>
    </w:p>
    <w:p w14:paraId="6240D2E6" w14:textId="77777777" w:rsidR="00B87D79" w:rsidRDefault="00B87D79" w:rsidP="00B87D79">
      <w:pPr>
        <w:pStyle w:val="NormalWeb"/>
      </w:pPr>
      <w:r>
        <w:t xml:space="preserve">On Nov. 29, 2022, in </w:t>
      </w:r>
      <w:r w:rsidRPr="009F7136">
        <w:rPr>
          <w:u w:val="single"/>
        </w:rPr>
        <w:t>The City of East Peoria, Illinois v. Charles Melton, II, et al</w:t>
      </w:r>
      <w:r>
        <w:t xml:space="preserve">., the Court of Appeals of Illinois, Fourth District, held (3 to 0) that the Pension Board properly held that the 56-year-old Lieutenant was entitled to the disability pension. NFPA </w:t>
      </w:r>
      <w:proofErr w:type="gramStart"/>
      <w:r>
        <w:t>requires wait</w:t>
      </w:r>
      <w:proofErr w:type="gramEnd"/>
      <w:r>
        <w:t xml:space="preserve"> one year after stroke to return to work; but he can’t ever return since on blood thinner from 2017 pulmonary embolism. City argued that the stroke was not caused by the job, but from blood thinner,  but Board had three physicians review his medical records (not statutory requirement they give him physical exam) and a physician </w:t>
      </w:r>
      <w:proofErr w:type="gramStart"/>
      <w:r>
        <w:t>said</w:t>
      </w:r>
      <w:proofErr w:type="gramEnd"/>
      <w:r>
        <w:t xml:space="preserve"> “</w:t>
      </w:r>
      <w:r w:rsidRPr="009F7136">
        <w:t xml:space="preserve">cannot discount the cumulative effects of active duty of Firefighting </w:t>
      </w:r>
      <w:proofErr w:type="gramStart"/>
      <w:r w:rsidRPr="009F7136">
        <w:t>in regards to</w:t>
      </w:r>
      <w:proofErr w:type="gramEnd"/>
      <w:r w:rsidRPr="009F7136">
        <w:t xml:space="preserve"> his stroke.</w:t>
      </w:r>
      <w:r>
        <w:t xml:space="preserve">” </w:t>
      </w:r>
    </w:p>
    <w:p w14:paraId="6BE7B41E" w14:textId="77777777" w:rsidR="00B87D79" w:rsidRDefault="00B87D79" w:rsidP="00B87D79">
      <w:pPr>
        <w:pStyle w:val="NormalWeb"/>
        <w:ind w:left="720"/>
      </w:pPr>
      <w:r>
        <w:t xml:space="preserve">“The Board argues that Melton's pre-existing medical conditions, including his prior voluntary use of anticoagulants, does not disqualify him from receiving an occupational disease pension. The Board argues that there was no evidence that Melton was prohibited from performing full unrestricted duties prior to his stroke and that he continued those duties even after voluntarily beginning the medications in 2017. The Board argues that there is no dispute that Melton suffered a stroke, and </w:t>
      </w:r>
      <w:proofErr w:type="gramStart"/>
      <w:r>
        <w:t>as a result of</w:t>
      </w:r>
      <w:proofErr w:type="gramEnd"/>
      <w:r>
        <w:t xml:space="preserve"> the stroke he thereafter was prescribed a mandatory, higher dose of anticoagulants that he must take for the rest of his life.</w:t>
      </w:r>
    </w:p>
    <w:p w14:paraId="32F5D8B0" w14:textId="77777777" w:rsidR="00B87D79" w:rsidRDefault="00B87D79" w:rsidP="00B87D79">
      <w:pPr>
        <w:pStyle w:val="NormalWeb"/>
        <w:ind w:left="720"/>
      </w:pPr>
      <w:r>
        <w:t>***</w:t>
      </w:r>
    </w:p>
    <w:p w14:paraId="1C86A019" w14:textId="77777777" w:rsidR="00B87D79" w:rsidRPr="009F7136" w:rsidRDefault="00B87D79" w:rsidP="00B87D79">
      <w:pPr>
        <w:pStyle w:val="NormalWeb"/>
        <w:ind w:left="720"/>
      </w:pPr>
      <w:r>
        <w:t xml:space="preserve">We conclude that the Board's finding that Melton's stroke resulted from his ‘service as a firefighter’ was not against the manifest weight of the evidence.” </w:t>
      </w:r>
      <w:hyperlink r:id="rId1149" w:history="1">
        <w:r w:rsidRPr="00736457">
          <w:rPr>
            <w:rStyle w:val="Hyperlink"/>
            <w:rFonts w:eastAsiaTheme="majorEastAsia"/>
          </w:rPr>
          <w:t>https://ilcourtsaudio.blob.core.windows.net/antilles-resources/resources/afeb172a-b7f7-45e5-889d-a00b38f164df/City%20of%20East%20Peoria%20v.%20Melton,%202022%20IL%20App%20(4th)%20220281-U.pdf</w:t>
        </w:r>
      </w:hyperlink>
      <w:r>
        <w:t xml:space="preserve"> </w:t>
      </w:r>
    </w:p>
    <w:p w14:paraId="49D66FC6" w14:textId="77777777" w:rsidR="00B87D79" w:rsidRPr="006C71D8" w:rsidRDefault="00B87D79" w:rsidP="00B87D79">
      <w:pPr>
        <w:pStyle w:val="NormalWeb"/>
        <w:rPr>
          <w:b/>
          <w:bCs/>
        </w:rPr>
      </w:pPr>
      <w:r w:rsidRPr="006C71D8">
        <w:rPr>
          <w:b/>
          <w:bCs/>
        </w:rPr>
        <w:t>Legal Lesson Learned: The Board relied on physician’s report that “</w:t>
      </w:r>
      <w:r w:rsidRPr="009F7136">
        <w:rPr>
          <w:b/>
          <w:bCs/>
        </w:rPr>
        <w:t xml:space="preserve">cannot discount the cumulative effects of active duty of Firefighting </w:t>
      </w:r>
      <w:proofErr w:type="gramStart"/>
      <w:r w:rsidRPr="009F7136">
        <w:rPr>
          <w:b/>
          <w:bCs/>
        </w:rPr>
        <w:t>in regards</w:t>
      </w:r>
      <w:r>
        <w:rPr>
          <w:b/>
          <w:bCs/>
        </w:rPr>
        <w:t xml:space="preserve"> </w:t>
      </w:r>
      <w:r w:rsidRPr="009F7136">
        <w:rPr>
          <w:b/>
          <w:bCs/>
        </w:rPr>
        <w:t>to</w:t>
      </w:r>
      <w:proofErr w:type="gramEnd"/>
      <w:r w:rsidRPr="009F7136">
        <w:rPr>
          <w:b/>
          <w:bCs/>
        </w:rPr>
        <w:t xml:space="preserve"> his stroke.</w:t>
      </w:r>
      <w:r w:rsidRPr="006C71D8">
        <w:rPr>
          <w:b/>
          <w:bCs/>
        </w:rPr>
        <w:t xml:space="preserve">” </w:t>
      </w:r>
    </w:p>
    <w:p w14:paraId="2EE9A954" w14:textId="31D0CDD7" w:rsidR="00804F3A" w:rsidRDefault="00804F3A" w:rsidP="00EF1133">
      <w:pPr>
        <w:rPr>
          <w:rFonts w:ascii="Arial Black" w:hAnsi="Arial Black"/>
          <w:b/>
          <w:sz w:val="24"/>
          <w:szCs w:val="24"/>
        </w:rPr>
      </w:pPr>
      <w:r>
        <w:rPr>
          <w:rFonts w:ascii="Arial Black" w:hAnsi="Arial Black"/>
          <w:b/>
          <w:sz w:val="24"/>
          <w:szCs w:val="24"/>
        </w:rPr>
        <w:t>6-9</w:t>
      </w:r>
      <w:r w:rsidR="00FF7C63">
        <w:rPr>
          <w:rFonts w:ascii="Arial Black" w:hAnsi="Arial Black"/>
          <w:b/>
          <w:sz w:val="24"/>
          <w:szCs w:val="24"/>
        </w:rPr>
        <w:t>6</w:t>
      </w:r>
    </w:p>
    <w:p w14:paraId="48121EE9" w14:textId="77777777" w:rsidR="00804F3A" w:rsidRPr="00815A5D" w:rsidRDefault="00804F3A" w:rsidP="00804F3A">
      <w:pPr>
        <w:pStyle w:val="NormalWeb"/>
        <w:rPr>
          <w:rFonts w:ascii="Arial Black" w:hAnsi="Arial Black"/>
          <w:b/>
          <w:bCs/>
          <w:sz w:val="28"/>
          <w:szCs w:val="28"/>
        </w:rPr>
      </w:pPr>
      <w:r>
        <w:rPr>
          <w:rFonts w:ascii="Arial Black" w:hAnsi="Arial Black"/>
          <w:b/>
          <w:bCs/>
          <w:sz w:val="28"/>
          <w:szCs w:val="28"/>
        </w:rPr>
        <w:t xml:space="preserve">NY: FF ON DUTY INJURED RIGHT HIP – MRI SHOWED HISTORY JOINT DISEASE – NO ACCIDENTAL DISAB. </w:t>
      </w:r>
    </w:p>
    <w:p w14:paraId="7A389ABF" w14:textId="77777777" w:rsidR="00804F3A" w:rsidRDefault="00804F3A" w:rsidP="00804F3A">
      <w:pPr>
        <w:pStyle w:val="NormalWeb"/>
      </w:pPr>
      <w:r w:rsidRPr="00AC10D4">
        <w:t xml:space="preserve">On </w:t>
      </w:r>
      <w:r>
        <w:t xml:space="preserve">Oct. 26, 2022, </w:t>
      </w:r>
      <w:r w:rsidRPr="00AC10D4">
        <w:rPr>
          <w:u w:val="single"/>
        </w:rPr>
        <w:t>In the Matter of Joseph M. Kearney v. Daniel A. Nigro, et al.,</w:t>
      </w:r>
      <w:r>
        <w:t xml:space="preserve"> the Supreme Court of New York held (4 to 0), 2022 NY Slip Op 06007, that the Pension Fund properly denied the firefighter’s application for accidental disability retirement benefits and retired him on ordinary disability retirement benefits. Although the firefighter was disabled due to his right hip injury, this disabling condition was causally related to chronic degenerative joint disease, not a work-related injury. </w:t>
      </w:r>
    </w:p>
    <w:p w14:paraId="689583E0" w14:textId="77777777" w:rsidR="00804F3A" w:rsidRPr="00AC10D4" w:rsidRDefault="00804F3A" w:rsidP="00804F3A">
      <w:pPr>
        <w:pStyle w:val="NormalWeb"/>
        <w:ind w:left="720"/>
        <w:rPr>
          <w:b/>
          <w:bCs/>
        </w:rPr>
      </w:pPr>
      <w:r w:rsidRPr="00AC10D4">
        <w:rPr>
          <w:rFonts w:eastAsiaTheme="minorHAnsi"/>
        </w:rPr>
        <w:t xml:space="preserve">Here, the Medical Board's initial determination that the petitioner's </w:t>
      </w:r>
      <w:r>
        <w:rPr>
          <w:rFonts w:eastAsiaTheme="minorHAnsi"/>
        </w:rPr>
        <w:t>‘</w:t>
      </w:r>
      <w:r w:rsidRPr="00AC10D4">
        <w:rPr>
          <w:rFonts w:eastAsiaTheme="minorHAnsi"/>
        </w:rPr>
        <w:t>right hip disability is causally related to Chronic Degenerative Joint Disease,</w:t>
      </w:r>
      <w:r>
        <w:rPr>
          <w:rFonts w:eastAsiaTheme="minorHAnsi"/>
        </w:rPr>
        <w:t>’</w:t>
      </w:r>
      <w:r w:rsidRPr="00AC10D4">
        <w:rPr>
          <w:rFonts w:eastAsiaTheme="minorHAnsi"/>
        </w:rPr>
        <w:t xml:space="preserve"> which remained unchanged upon further consideration, </w:t>
      </w:r>
      <w:r w:rsidRPr="00AC10D4">
        <w:rPr>
          <w:rFonts w:eastAsiaTheme="minorHAnsi"/>
        </w:rPr>
        <w:lastRenderedPageBreak/>
        <w:t>was supported by credible evidence, consisting of the results of the MRI performed on August 14, 2015</w:t>
      </w:r>
      <w:r>
        <w:rPr>
          <w:rFonts w:eastAsiaTheme="minorHAnsi"/>
        </w:rPr>
        <w:t xml:space="preserve">…. </w:t>
      </w:r>
      <w:r w:rsidRPr="00AC10D4">
        <w:rPr>
          <w:rFonts w:eastAsiaTheme="minorHAnsi"/>
        </w:rPr>
        <w:t>Accordingly, it cannot be determined as a matter of law that the petitioner's disability was caused by his May 2015 accident. Moreover, contrary to the petitioner's contention, the record does not support a determination, as a matter of law, that his pre-existing degenerative condition was exacerbated by the accident</w:t>
      </w:r>
      <w:r>
        <w:rPr>
          <w:rFonts w:eastAsiaTheme="minorHAnsi"/>
        </w:rPr>
        <w:t>….”</w:t>
      </w:r>
      <w:hyperlink r:id="rId1150" w:history="1">
        <w:r w:rsidRPr="007662E8">
          <w:rPr>
            <w:rStyle w:val="Hyperlink"/>
            <w:rFonts w:eastAsiaTheme="minorHAnsi"/>
          </w:rPr>
          <w:t>https://caselaw.findlaw.com/ny-supreme-court/1972528.html</w:t>
        </w:r>
      </w:hyperlink>
      <w:r>
        <w:rPr>
          <w:rFonts w:eastAsiaTheme="minorHAnsi"/>
        </w:rPr>
        <w:t xml:space="preserve"> </w:t>
      </w:r>
    </w:p>
    <w:p w14:paraId="5C8C09D1" w14:textId="77777777" w:rsidR="00804F3A" w:rsidRPr="00AC10D4" w:rsidRDefault="00804F3A" w:rsidP="00804F3A">
      <w:pPr>
        <w:pStyle w:val="NormalWeb"/>
        <w:rPr>
          <w:b/>
          <w:bCs/>
        </w:rPr>
      </w:pPr>
      <w:r>
        <w:rPr>
          <w:b/>
          <w:bCs/>
        </w:rPr>
        <w:t xml:space="preserve">Legal Lesson Learned:  Hip replacement was not due to a work-related injury; ordinary retirement. </w:t>
      </w:r>
    </w:p>
    <w:p w14:paraId="4DF195F1" w14:textId="77777777" w:rsidR="00804F3A" w:rsidRDefault="00804F3A" w:rsidP="00EF1133">
      <w:pPr>
        <w:rPr>
          <w:rFonts w:ascii="Arial Black" w:hAnsi="Arial Black"/>
          <w:b/>
          <w:sz w:val="24"/>
          <w:szCs w:val="24"/>
        </w:rPr>
      </w:pPr>
    </w:p>
    <w:p w14:paraId="25DA10C3" w14:textId="77777777" w:rsidR="00804F3A" w:rsidRDefault="00804F3A" w:rsidP="00EF1133">
      <w:pPr>
        <w:rPr>
          <w:rFonts w:ascii="Arial Black" w:hAnsi="Arial Black"/>
          <w:b/>
          <w:sz w:val="24"/>
          <w:szCs w:val="24"/>
        </w:rPr>
      </w:pPr>
    </w:p>
    <w:p w14:paraId="670C6C59" w14:textId="13184F2C" w:rsidR="00E8117B" w:rsidRDefault="00E8117B" w:rsidP="00EF1133">
      <w:pPr>
        <w:rPr>
          <w:rFonts w:ascii="Arial Black" w:hAnsi="Arial Black"/>
          <w:b/>
          <w:sz w:val="24"/>
          <w:szCs w:val="24"/>
        </w:rPr>
      </w:pPr>
      <w:r>
        <w:rPr>
          <w:rFonts w:ascii="Arial Black" w:hAnsi="Arial Black"/>
          <w:b/>
          <w:sz w:val="24"/>
          <w:szCs w:val="24"/>
        </w:rPr>
        <w:t>6-9</w:t>
      </w:r>
      <w:r w:rsidR="00FF7C63">
        <w:rPr>
          <w:rFonts w:ascii="Arial Black" w:hAnsi="Arial Black"/>
          <w:b/>
          <w:sz w:val="24"/>
          <w:szCs w:val="24"/>
        </w:rPr>
        <w:t>5</w:t>
      </w:r>
    </w:p>
    <w:p w14:paraId="03FF7C59" w14:textId="77777777" w:rsidR="00E8117B" w:rsidRDefault="00E8117B" w:rsidP="00E8117B">
      <w:pPr>
        <w:pStyle w:val="NormalWeb"/>
        <w:rPr>
          <w:rFonts w:ascii="Arial Black" w:hAnsi="Arial Black"/>
          <w:b/>
          <w:bCs/>
          <w:sz w:val="28"/>
          <w:szCs w:val="28"/>
        </w:rPr>
      </w:pPr>
      <w:r>
        <w:rPr>
          <w:rFonts w:ascii="Arial Black" w:hAnsi="Arial Black"/>
          <w:b/>
          <w:bCs/>
          <w:sz w:val="28"/>
          <w:szCs w:val="28"/>
        </w:rPr>
        <w:t>NY: ON-THE-JOB FOOT INJURY / SHOULDER INJURY - NOT UNEPECTED “ACCIDENTS” – NO DISABILITY RETIREMENT</w:t>
      </w:r>
    </w:p>
    <w:p w14:paraId="7B521BF3" w14:textId="77777777" w:rsidR="00E8117B" w:rsidRPr="00E8117B" w:rsidRDefault="00E8117B" w:rsidP="00E8117B">
      <w:pPr>
        <w:pStyle w:val="NormalWeb"/>
      </w:pPr>
      <w:r w:rsidRPr="00E8117B">
        <w:t xml:space="preserve">On Sept. 29, 2022, in </w:t>
      </w:r>
      <w:r w:rsidRPr="00E8117B">
        <w:rPr>
          <w:u w:val="single"/>
        </w:rPr>
        <w:t>Matter of Elaine R. Berman v. Thomas P. DiNapoli, State Comptroller</w:t>
      </w:r>
      <w:r w:rsidRPr="00E8117B">
        <w:t xml:space="preserve">, the  Supreme Court of New York, Third Department, held (5 to 0) that souse of a deceased firefighter was not entitled to accidental disability payments. The Court agreed with the Hearing Officer that the firefighter’s foot injury and back injury occurred </w:t>
      </w:r>
      <w:proofErr w:type="gramStart"/>
      <w:r w:rsidRPr="00E8117B">
        <w:t>during the course of</w:t>
      </w:r>
      <w:proofErr w:type="gramEnd"/>
      <w:r w:rsidRPr="00E8117B">
        <w:t xml:space="preserve"> routine employment duties and were a risk inherent in the performance thereof.  </w:t>
      </w:r>
    </w:p>
    <w:p w14:paraId="152B2C6D" w14:textId="18072D45" w:rsidR="00E8117B" w:rsidRPr="00E8117B" w:rsidRDefault="00E8117B" w:rsidP="00E8117B">
      <w:pPr>
        <w:rPr>
          <w:rFonts w:ascii="Times New Roman" w:hAnsi="Times New Roman"/>
          <w:b/>
          <w:sz w:val="24"/>
          <w:szCs w:val="24"/>
        </w:rPr>
      </w:pPr>
      <w:r w:rsidRPr="00E8117B">
        <w:rPr>
          <w:rFonts w:ascii="Times New Roman" w:hAnsi="Times New Roman"/>
          <w:sz w:val="24"/>
          <w:szCs w:val="24"/>
        </w:rPr>
        <w:t xml:space="preserve">“Petitioner's burden was to demonstrate that decedent's disability arose out of an accident, which, for purposes of the Retirement and Social Security Law, is defined as ‘a sudden, fortuitous mischance, unexpected, out of the ordinary, and injurious in impact.’ *** </w:t>
      </w:r>
      <w:r w:rsidRPr="00E8117B">
        <w:rPr>
          <w:rFonts w:ascii="Times New Roman" w:eastAsiaTheme="minorHAnsi" w:hAnsi="Times New Roman"/>
          <w:sz w:val="24"/>
          <w:szCs w:val="24"/>
        </w:rPr>
        <w:t>His resulting injury was not caused by a sudden and unexpected event. As such, substantial evidence supports respondent's finding that the incident did not constitute an accident.”</w:t>
      </w:r>
      <w:hyperlink r:id="rId1151" w:history="1">
        <w:r w:rsidRPr="00E8117B">
          <w:rPr>
            <w:rStyle w:val="Hyperlink"/>
            <w:rFonts w:ascii="Times New Roman" w:hAnsi="Times New Roman"/>
            <w:sz w:val="24"/>
            <w:szCs w:val="24"/>
          </w:rPr>
          <w:t>https://public.fastcase.com/J%2FJP6pdidelsXxEE4k%2BLMgZsxRPxIagHaOxK3V7dyuXFeFyB6fz1Dln4tTh4Jm%2FUrhr8rAmwFuGj0jKVlSZT92lB7laeHNqW0rDlXNrGxCk%3D?utm_medium=email&amp;_hsmi=226712652&amp;_hsenc=p2ANqtz-88sbIkrx-fKIJNKIHom0LKoVEBAjtP4sRnfpcv7MlL8ga8F7YTwpRtQY7XbucL3D6C1qELcyLUMrsKcjyI3sLUlue5QA&amp;utm_content=226712652&amp;utm_source=hs_email</w:t>
        </w:r>
      </w:hyperlink>
    </w:p>
    <w:p w14:paraId="2B0451A4" w14:textId="77777777" w:rsidR="00E8117B" w:rsidRDefault="00E8117B" w:rsidP="00E8117B">
      <w:pPr>
        <w:pStyle w:val="NormalWeb"/>
        <w:rPr>
          <w:b/>
          <w:bCs/>
        </w:rPr>
      </w:pPr>
      <w:r>
        <w:rPr>
          <w:b/>
          <w:bCs/>
        </w:rPr>
        <w:t>Legal Lesson Learned: In New York, accidental disability retirement benefits are only for on-the-job accidents that are “sudden, fortuitous mischance, unexpected, out of the ordinary, and injurious in impact.”</w:t>
      </w:r>
    </w:p>
    <w:p w14:paraId="022D6364" w14:textId="300D3511" w:rsidR="00E8117B" w:rsidRDefault="00E8117B" w:rsidP="00EF1133">
      <w:pPr>
        <w:rPr>
          <w:rFonts w:ascii="Arial Black" w:hAnsi="Arial Black"/>
          <w:b/>
          <w:sz w:val="24"/>
          <w:szCs w:val="24"/>
        </w:rPr>
      </w:pPr>
    </w:p>
    <w:p w14:paraId="05B9903E" w14:textId="6DC5C59E" w:rsidR="00E8117B" w:rsidRDefault="00E8117B" w:rsidP="00EF1133">
      <w:pPr>
        <w:rPr>
          <w:rFonts w:ascii="Arial Black" w:hAnsi="Arial Black"/>
          <w:b/>
          <w:sz w:val="24"/>
          <w:szCs w:val="24"/>
        </w:rPr>
      </w:pPr>
      <w:r>
        <w:rPr>
          <w:rFonts w:ascii="Arial Black" w:hAnsi="Arial Black"/>
          <w:b/>
          <w:sz w:val="24"/>
          <w:szCs w:val="24"/>
        </w:rPr>
        <w:t>6-9</w:t>
      </w:r>
      <w:r w:rsidR="00FF7C63">
        <w:rPr>
          <w:rFonts w:ascii="Arial Black" w:hAnsi="Arial Black"/>
          <w:b/>
          <w:sz w:val="24"/>
          <w:szCs w:val="24"/>
        </w:rPr>
        <w:t>4</w:t>
      </w:r>
    </w:p>
    <w:p w14:paraId="0E5E2E01" w14:textId="77777777" w:rsidR="00E8117B" w:rsidRDefault="00E8117B" w:rsidP="00E8117B">
      <w:pPr>
        <w:pStyle w:val="NormalWeb"/>
        <w:rPr>
          <w:rFonts w:ascii="Arial Black" w:hAnsi="Arial Black"/>
          <w:b/>
          <w:bCs/>
          <w:sz w:val="28"/>
          <w:szCs w:val="28"/>
        </w:rPr>
      </w:pPr>
      <w:r>
        <w:rPr>
          <w:rFonts w:ascii="Arial Black" w:hAnsi="Arial Black"/>
          <w:b/>
          <w:bCs/>
          <w:sz w:val="28"/>
          <w:szCs w:val="28"/>
        </w:rPr>
        <w:t xml:space="preserve">IL: FF KIDNEY CANCER – WINS WORKERS COMP – REBUTTABLE PRESUMPTION STATUTE, EXPERT OPINION  </w:t>
      </w:r>
    </w:p>
    <w:p w14:paraId="4E179B9A" w14:textId="77777777" w:rsidR="00E8117B" w:rsidRDefault="00E8117B" w:rsidP="00E8117B">
      <w:pPr>
        <w:pStyle w:val="NormalWeb"/>
      </w:pPr>
      <w:r>
        <w:t xml:space="preserve">On Sept. 15, 2022, in </w:t>
      </w:r>
      <w:r>
        <w:rPr>
          <w:u w:val="single"/>
        </w:rPr>
        <w:t>City of Springfield v. The Illinois Workers’ Compensation Commission et al. (Matt Wood)</w:t>
      </w:r>
      <w:r>
        <w:t xml:space="preserve">, the Court of Appeals of Illinois, Fourth District (Workers; Compensation Commission Division) held (5 </w:t>
      </w:r>
      <w:r>
        <w:lastRenderedPageBreak/>
        <w:t xml:space="preserve">to 0) that the arbitrator and the Worker’s Comp Commission properly held that the firefighter was entitled to workers comp under the Illinois “rebuttable presumption” statute. </w:t>
      </w:r>
    </w:p>
    <w:p w14:paraId="7AB94878" w14:textId="77777777" w:rsidR="00E8117B" w:rsidRDefault="00E8117B" w:rsidP="00E8117B">
      <w:pPr>
        <w:pStyle w:val="NormalWeb"/>
        <w:ind w:left="720"/>
      </w:pPr>
      <w:r>
        <w:t xml:space="preserve">“[T]he Commission's finding that the claimant's kidney cancer arose out of and in the course of his employment was not against the manifest weight of the evidence. *** The arbitrator found that given the claimant [Matt Wood] was a firefighter for about 16 years on September 6, 2013, and he had kidney cancer that resulted in a disability, his kidney cancer shall be rebuttably presumed to (1) arise out of and in the course of his employment and (2) be causally connected to the hazards or exposures of the employment (820 ILCS 310/1(d) (West 2012)).” </w:t>
      </w:r>
      <w:hyperlink r:id="rId1152" w:history="1">
        <w:r w:rsidRPr="0078619C">
          <w:rPr>
            <w:rStyle w:val="Hyperlink"/>
          </w:rPr>
          <w:t>https://ilcourtsaudio.blob.core.windows.net/antilles-resources/resources/eba608df-6fa9-4d1a-8a11-f48abce29596/City%20of%20Springfield%20v.%20Illinois%20Workers'%20Compensation%20Comm'n,%202022%20IL%20App%20(4th)%20210604WC-U.pdf</w:t>
        </w:r>
      </w:hyperlink>
    </w:p>
    <w:p w14:paraId="097419E2" w14:textId="77777777" w:rsidR="00E8117B" w:rsidRDefault="00E8117B" w:rsidP="00E8117B">
      <w:pPr>
        <w:pStyle w:val="NormalWeb"/>
        <w:rPr>
          <w:b/>
          <w:bCs/>
        </w:rPr>
      </w:pPr>
      <w:r>
        <w:rPr>
          <w:b/>
          <w:bCs/>
        </w:rPr>
        <w:t xml:space="preserve">Legal Lesson Learned: Having an expert who has studied firefighter </w:t>
      </w:r>
      <w:proofErr w:type="gramStart"/>
      <w:r>
        <w:rPr>
          <w:b/>
          <w:bCs/>
        </w:rPr>
        <w:t>cancers</w:t>
      </w:r>
      <w:proofErr w:type="gramEnd"/>
      <w:r>
        <w:rPr>
          <w:b/>
          <w:bCs/>
        </w:rPr>
        <w:t xml:space="preserve"> is essential when presenting a workers’ compensation claim. </w:t>
      </w:r>
    </w:p>
    <w:p w14:paraId="4611AF32" w14:textId="77777777" w:rsidR="00E8117B" w:rsidRDefault="00E8117B" w:rsidP="00E8117B">
      <w:pPr>
        <w:pStyle w:val="NormalWeb"/>
        <w:ind w:left="720"/>
      </w:pPr>
      <w:r>
        <w:t xml:space="preserve">Note: The Court cited Firefighter Matt Wood’s testimony about changes in protocol in wearing SCBAs during overhaul and other cancer prevention SOGs.  </w:t>
      </w:r>
    </w:p>
    <w:p w14:paraId="2F7ADE91" w14:textId="77777777" w:rsidR="00E8117B" w:rsidRDefault="00E8117B" w:rsidP="00E8117B">
      <w:pPr>
        <w:pStyle w:val="NormalWeb"/>
        <w:ind w:left="720"/>
      </w:pPr>
      <w:r>
        <w:t xml:space="preserve">“The claimant testified that his firefighting duties were the same while in all three positions, which included actively fighting fires. He stated that he responded to approximately four fires per month. The claimant responded to fires at residential homes, structural fires, building fires, and fires in cars, rubbish, and brush. When he responded to a fire, he wore his bunker gear, which consisted of a fire suit, pants, coat, helmet, gloves, hat, mask, and a self-contained breathing apparatus (SCBA), which is a backpack that carries a cylinder holding air. The claimant testified that new procedures went into effect four years ago and now firefighters would keep their SCBA on until an </w:t>
      </w:r>
      <w:proofErr w:type="gramStart"/>
      <w:r>
        <w:t>on shift</w:t>
      </w:r>
      <w:proofErr w:type="gramEnd"/>
      <w:r>
        <w:t xml:space="preserve"> safety officer determined with a Lower Explosive Limit (LEL) monitor, that all gas levels were within normal range and it was safe to take the equipment off. He stated that this resulted in the firefighters' masks remaining on much longer while they were performing their overhaul duties. Other changes also went into effect at that time, such as the firefighters having a spare set of gear ready and wet wipes at the scene to clean their face, neck, and hands.” </w:t>
      </w:r>
      <w:hyperlink r:id="rId1153" w:history="1">
        <w:r>
          <w:rPr>
            <w:rStyle w:val="Hyperlink"/>
          </w:rPr>
          <w:t>https://ilcourtsaudio.blob.core.windows.net/antilles-resources/resources/eba608df-6fa9-4d1a-8a11-f48abce29596/City%20of%20Springfield%20v.%20Illinois%20Workers'%20Compensation%20Comm'n,%202022%20IL%20App%20(4th)%20210604WC-U.pdf</w:t>
        </w:r>
      </w:hyperlink>
      <w:r>
        <w:t xml:space="preserve"> </w:t>
      </w:r>
    </w:p>
    <w:p w14:paraId="17B92C82" w14:textId="77777777" w:rsidR="00E8117B" w:rsidRDefault="00E8117B" w:rsidP="00E8117B">
      <w:pPr>
        <w:pStyle w:val="NormalWeb"/>
        <w:ind w:left="1440"/>
      </w:pPr>
    </w:p>
    <w:p w14:paraId="35ED23CF" w14:textId="77777777" w:rsidR="00E8117B" w:rsidRPr="00CB79E4" w:rsidRDefault="00E8117B" w:rsidP="00E8117B">
      <w:pPr>
        <w:pStyle w:val="NormalWeb"/>
        <w:ind w:firstLine="720"/>
      </w:pPr>
      <w:r w:rsidRPr="00CB79E4">
        <w:t xml:space="preserve">Illinois Rebuttable Presumption: </w:t>
      </w:r>
    </w:p>
    <w:p w14:paraId="658398F5" w14:textId="77777777" w:rsidR="00E8117B" w:rsidRPr="00CB79E4" w:rsidRDefault="00E8117B" w:rsidP="00E8117B">
      <w:pPr>
        <w:pStyle w:val="NormalWeb"/>
        <w:ind w:left="720"/>
      </w:pPr>
      <w:r w:rsidRPr="00CB79E4">
        <w:t>“</w:t>
      </w:r>
      <w:r w:rsidRPr="00CB79E4">
        <w:rPr>
          <w:rStyle w:val="HTMLCode"/>
          <w:rFonts w:ascii="Times New Roman" w:eastAsiaTheme="majorEastAsia" w:hAnsi="Times New Roman" w:cs="Times New Roman"/>
          <w:sz w:val="24"/>
          <w:szCs w:val="24"/>
        </w:rPr>
        <w:t xml:space="preserve">Any condition or impairment of health of an employee employed as a firefighter, emergency medical technician (EMT), emergency medical technician-intermediate (EMT-I), advanced emergency medical technician (A-EMT), or paramedic which results directly or indirectly from any bloodborne pathogen, lung or respiratory disease or condition, heart or vascular disease or condition, hypertension, tuberculosis, or cancer resulting in any disability (temporary, permanent, total, or partial) to the employee shall be rebuttably presumed to arise out of and in the course of the employee's firefighting, EMT, EMT-I, A-EMT, or paramedic employment and, further, shall be rebuttably presumed to be causally connected to the hazards or exposures of the employment. This presumption shall also apply to any hernia or hearing loss suffered by an employee employed as a firefighter, EMT, EMT-I, A-EMT, or paramedic. However, this presumption shall not apply to any employee who has been employed as a firefighter, EMT, EMT-I, A-EMT, or paramedic for less than 5 years at the time he or she files an Application for Adjustment of Claim concerning this condition or impairment with the Illinois Workers' </w:t>
      </w:r>
      <w:r w:rsidRPr="00CB79E4">
        <w:rPr>
          <w:rStyle w:val="HTMLCode"/>
          <w:rFonts w:ascii="Times New Roman" w:eastAsiaTheme="majorEastAsia" w:hAnsi="Times New Roman" w:cs="Times New Roman"/>
          <w:sz w:val="24"/>
          <w:szCs w:val="24"/>
        </w:rPr>
        <w:lastRenderedPageBreak/>
        <w:t xml:space="preserve">Compensation Commission.” </w:t>
      </w:r>
      <w:hyperlink r:id="rId1154" w:history="1">
        <w:r w:rsidRPr="00CB79E4">
          <w:rPr>
            <w:rStyle w:val="Hyperlink"/>
          </w:rPr>
          <w:t>https://www.ilga.gov/legislation/ilcs/ilcs3.asp?ActID=2431&amp;ChapterID=68</w:t>
        </w:r>
      </w:hyperlink>
      <w:r w:rsidRPr="00CB79E4">
        <w:rPr>
          <w:rStyle w:val="HTMLCode"/>
          <w:rFonts w:ascii="Times New Roman" w:eastAsiaTheme="majorEastAsia" w:hAnsi="Times New Roman" w:cs="Times New Roman"/>
          <w:sz w:val="24"/>
          <w:szCs w:val="24"/>
        </w:rPr>
        <w:t xml:space="preserve"> </w:t>
      </w:r>
    </w:p>
    <w:p w14:paraId="5F1A488D" w14:textId="77777777" w:rsidR="00E8117B" w:rsidRDefault="00E8117B" w:rsidP="00EF1133">
      <w:pPr>
        <w:rPr>
          <w:rFonts w:ascii="Arial Black" w:hAnsi="Arial Black"/>
          <w:b/>
          <w:sz w:val="24"/>
          <w:szCs w:val="24"/>
        </w:rPr>
      </w:pPr>
    </w:p>
    <w:p w14:paraId="222DBE32" w14:textId="77777777" w:rsidR="00E8117B" w:rsidRDefault="00E8117B" w:rsidP="00EF1133">
      <w:pPr>
        <w:rPr>
          <w:rFonts w:ascii="Arial Black" w:hAnsi="Arial Black"/>
          <w:b/>
          <w:sz w:val="24"/>
          <w:szCs w:val="24"/>
        </w:rPr>
      </w:pPr>
    </w:p>
    <w:p w14:paraId="4E134FD3" w14:textId="02D03CAE" w:rsidR="006D2C51" w:rsidRDefault="006D2C51" w:rsidP="00EF1133">
      <w:pPr>
        <w:rPr>
          <w:rFonts w:ascii="Arial Black" w:hAnsi="Arial Black"/>
          <w:b/>
          <w:sz w:val="24"/>
          <w:szCs w:val="24"/>
        </w:rPr>
      </w:pPr>
      <w:r>
        <w:rPr>
          <w:rFonts w:ascii="Arial Black" w:hAnsi="Arial Black"/>
          <w:b/>
          <w:sz w:val="24"/>
          <w:szCs w:val="24"/>
        </w:rPr>
        <w:t>6-9</w:t>
      </w:r>
      <w:r w:rsidR="00FF7C63">
        <w:rPr>
          <w:rFonts w:ascii="Arial Black" w:hAnsi="Arial Black"/>
          <w:b/>
          <w:sz w:val="24"/>
          <w:szCs w:val="24"/>
        </w:rPr>
        <w:t>3</w:t>
      </w:r>
    </w:p>
    <w:p w14:paraId="2F7B079B" w14:textId="77777777" w:rsidR="006C4BDE" w:rsidRDefault="006C4BDE" w:rsidP="006C4BDE">
      <w:pPr>
        <w:spacing w:before="100" w:beforeAutospacing="1" w:after="100" w:afterAutospacing="1" w:line="240" w:lineRule="auto"/>
        <w:rPr>
          <w:rFonts w:ascii="Arial Black" w:hAnsi="Arial Black"/>
          <w:sz w:val="28"/>
          <w:szCs w:val="28"/>
        </w:rPr>
      </w:pPr>
      <w:r>
        <w:rPr>
          <w:rFonts w:ascii="Arial Black" w:hAnsi="Arial Black"/>
          <w:sz w:val="28"/>
          <w:szCs w:val="28"/>
        </w:rPr>
        <w:t>NY: FDNY KNEE INJURY – 7</w:t>
      </w:r>
      <w:r w:rsidRPr="00D97113">
        <w:rPr>
          <w:rFonts w:ascii="Arial Black" w:hAnsi="Arial Black"/>
          <w:sz w:val="28"/>
          <w:szCs w:val="28"/>
          <w:vertAlign w:val="superscript"/>
        </w:rPr>
        <w:t>th</w:t>
      </w:r>
      <w:r>
        <w:rPr>
          <w:rFonts w:ascii="Arial Black" w:hAnsi="Arial Black"/>
          <w:sz w:val="28"/>
          <w:szCs w:val="28"/>
        </w:rPr>
        <w:t xml:space="preserve"> ON JOB - BUT ARTHRITIS - COURT AWARDS 75% ACCIDENTAL DISAB. RETIREMENT </w:t>
      </w:r>
    </w:p>
    <w:p w14:paraId="1DDF8872" w14:textId="77777777" w:rsidR="006C4BDE" w:rsidRDefault="006C4BDE" w:rsidP="006C4BDE">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On July 11, 2022, in </w:t>
      </w:r>
      <w:r w:rsidRPr="000836BE">
        <w:rPr>
          <w:rFonts w:ascii="Times New Roman" w:hAnsi="Times New Roman"/>
          <w:sz w:val="24"/>
          <w:szCs w:val="24"/>
          <w:u w:val="single"/>
        </w:rPr>
        <w:t>David J. Lamar v. Daniel Nigro, the Board of Trustees of the New York City Fire Department, et al</w:t>
      </w:r>
      <w:r>
        <w:rPr>
          <w:rFonts w:ascii="Times New Roman" w:hAnsi="Times New Roman"/>
          <w:sz w:val="24"/>
          <w:szCs w:val="24"/>
        </w:rPr>
        <w:t xml:space="preserve">., the Supreme Court, New York County held (2 to 0; unpublished opinion) granted the retired firefighter’s </w:t>
      </w:r>
      <w:r w:rsidRPr="000836BE">
        <w:rPr>
          <w:rFonts w:ascii="Times New Roman" w:hAnsi="Times New Roman"/>
          <w:sz w:val="24"/>
          <w:szCs w:val="24"/>
        </w:rPr>
        <w:t>petition to reverse respondents' determination denying petitioner's application for accident disability retirement (</w:t>
      </w:r>
      <w:r>
        <w:rPr>
          <w:rFonts w:ascii="Times New Roman" w:hAnsi="Times New Roman"/>
          <w:sz w:val="24"/>
          <w:szCs w:val="24"/>
        </w:rPr>
        <w:t>‘</w:t>
      </w:r>
      <w:r w:rsidRPr="000836BE">
        <w:rPr>
          <w:rFonts w:ascii="Times New Roman" w:hAnsi="Times New Roman"/>
          <w:sz w:val="24"/>
          <w:szCs w:val="24"/>
        </w:rPr>
        <w:t>ADR</w:t>
      </w:r>
      <w:r>
        <w:rPr>
          <w:rFonts w:ascii="Times New Roman" w:hAnsi="Times New Roman"/>
          <w:sz w:val="24"/>
          <w:szCs w:val="24"/>
        </w:rPr>
        <w:t>’</w:t>
      </w:r>
      <w:r w:rsidRPr="000836BE">
        <w:rPr>
          <w:rFonts w:ascii="Times New Roman" w:hAnsi="Times New Roman"/>
          <w:sz w:val="24"/>
          <w:szCs w:val="24"/>
        </w:rPr>
        <w:t>) benefits</w:t>
      </w:r>
      <w:r>
        <w:rPr>
          <w:rFonts w:ascii="Times New Roman" w:hAnsi="Times New Roman"/>
          <w:sz w:val="24"/>
          <w:szCs w:val="24"/>
        </w:rPr>
        <w:t xml:space="preserve"> [$75%] </w:t>
      </w:r>
      <w:r w:rsidRPr="000836BE">
        <w:rPr>
          <w:rFonts w:ascii="Times New Roman" w:hAnsi="Times New Roman"/>
          <w:sz w:val="24"/>
          <w:szCs w:val="24"/>
        </w:rPr>
        <w:t>is granted and he is entitled to benefits retroactive to his date of retirement.</w:t>
      </w:r>
      <w:r>
        <w:rPr>
          <w:rFonts w:ascii="Times New Roman" w:hAnsi="Times New Roman"/>
          <w:sz w:val="24"/>
          <w:szCs w:val="24"/>
        </w:rPr>
        <w:t xml:space="preserve">  </w:t>
      </w:r>
      <w:hyperlink r:id="rId1155" w:history="1">
        <w:r w:rsidRPr="00355029">
          <w:rPr>
            <w:rStyle w:val="Hyperlink"/>
            <w:rFonts w:ascii="Times New Roman" w:eastAsia="Times New Roman" w:hAnsi="Times New Roman"/>
            <w:sz w:val="24"/>
            <w:szCs w:val="24"/>
          </w:rPr>
          <w:t>https://cases.justia.com/new-york/other-courts/2022-2022-ny-slip-op-32197-u.pdf?ts=1657833320</w:t>
        </w:r>
      </w:hyperlink>
    </w:p>
    <w:p w14:paraId="46B4B6F5" w14:textId="77777777" w:rsidR="006C4BDE" w:rsidRPr="00134EB1" w:rsidRDefault="006C4BDE" w:rsidP="006C4BDE">
      <w:pPr>
        <w:spacing w:before="100" w:beforeAutospacing="1" w:after="100" w:afterAutospacing="1" w:line="240" w:lineRule="auto"/>
        <w:rPr>
          <w:rFonts w:ascii="Times New Roman" w:eastAsia="Times New Roman" w:hAnsi="Times New Roman"/>
          <w:b/>
          <w:bCs/>
          <w:sz w:val="24"/>
          <w:szCs w:val="24"/>
        </w:rPr>
      </w:pPr>
      <w:r w:rsidRPr="00134EB1">
        <w:rPr>
          <w:rFonts w:ascii="Times New Roman" w:eastAsia="Times New Roman" w:hAnsi="Times New Roman"/>
          <w:b/>
          <w:bCs/>
          <w:sz w:val="24"/>
          <w:szCs w:val="24"/>
        </w:rPr>
        <w:t xml:space="preserve">Legal Lesson Learned: Nice to see Court recognizing </w:t>
      </w:r>
      <w:r w:rsidRPr="00134EB1">
        <w:rPr>
          <w:rFonts w:ascii="Times New Roman" w:hAnsi="Times New Roman"/>
          <w:b/>
          <w:bCs/>
          <w:sz w:val="24"/>
          <w:szCs w:val="24"/>
        </w:rPr>
        <w:t>that “years pass</w:t>
      </w:r>
      <w:r>
        <w:rPr>
          <w:rFonts w:ascii="Times New Roman" w:hAnsi="Times New Roman"/>
          <w:b/>
          <w:bCs/>
          <w:sz w:val="24"/>
          <w:szCs w:val="24"/>
        </w:rPr>
        <w:t xml:space="preserve"> </w:t>
      </w:r>
      <w:r w:rsidRPr="00134EB1">
        <w:rPr>
          <w:rFonts w:ascii="Times New Roman" w:hAnsi="Times New Roman"/>
          <w:b/>
          <w:bCs/>
          <w:sz w:val="24"/>
          <w:szCs w:val="24"/>
        </w:rPr>
        <w:t xml:space="preserve">and knees can get worse due to degenerative conditions,” but firefighter still entitled to ADR because this was clearly aggravated by </w:t>
      </w:r>
      <w:proofErr w:type="spellStart"/>
      <w:proofErr w:type="gramStart"/>
      <w:r w:rsidRPr="00134EB1">
        <w:rPr>
          <w:rFonts w:ascii="Times New Roman" w:hAnsi="Times New Roman"/>
          <w:b/>
          <w:bCs/>
          <w:sz w:val="24"/>
          <w:szCs w:val="24"/>
        </w:rPr>
        <w:t>a</w:t>
      </w:r>
      <w:proofErr w:type="spellEnd"/>
      <w:proofErr w:type="gramEnd"/>
      <w:r w:rsidRPr="00134EB1">
        <w:rPr>
          <w:rFonts w:ascii="Times New Roman" w:hAnsi="Times New Roman"/>
          <w:b/>
          <w:bCs/>
          <w:sz w:val="24"/>
          <w:szCs w:val="24"/>
        </w:rPr>
        <w:t xml:space="preserve"> on-the-job injury. </w:t>
      </w:r>
    </w:p>
    <w:p w14:paraId="146AE8C0" w14:textId="77777777" w:rsidR="006D2C51" w:rsidRDefault="006D2C51" w:rsidP="00EF1133">
      <w:pPr>
        <w:rPr>
          <w:rFonts w:ascii="Arial Black" w:hAnsi="Arial Black"/>
          <w:b/>
          <w:sz w:val="24"/>
          <w:szCs w:val="24"/>
        </w:rPr>
      </w:pPr>
    </w:p>
    <w:p w14:paraId="5E96F905" w14:textId="41F57F97" w:rsidR="007F3F5A" w:rsidRDefault="007F3F5A" w:rsidP="00EF1133">
      <w:pPr>
        <w:rPr>
          <w:rFonts w:ascii="Arial Black" w:hAnsi="Arial Black"/>
          <w:b/>
          <w:sz w:val="24"/>
          <w:szCs w:val="24"/>
        </w:rPr>
      </w:pPr>
      <w:r>
        <w:rPr>
          <w:rFonts w:ascii="Arial Black" w:hAnsi="Arial Black"/>
          <w:b/>
          <w:sz w:val="24"/>
          <w:szCs w:val="24"/>
        </w:rPr>
        <w:t>6-9</w:t>
      </w:r>
      <w:r w:rsidR="00FF7C63">
        <w:rPr>
          <w:rFonts w:ascii="Arial Black" w:hAnsi="Arial Black"/>
          <w:b/>
          <w:sz w:val="24"/>
          <w:szCs w:val="24"/>
        </w:rPr>
        <w:t>2</w:t>
      </w:r>
    </w:p>
    <w:p w14:paraId="2B5D5AD2" w14:textId="77777777" w:rsidR="007F3F5A" w:rsidRDefault="007F3F5A" w:rsidP="007F3F5A">
      <w:pPr>
        <w:spacing w:before="100" w:beforeAutospacing="1" w:after="100" w:afterAutospacing="1" w:line="240" w:lineRule="auto"/>
        <w:rPr>
          <w:rStyle w:val="markedcontent"/>
          <w:rFonts w:ascii="Arial Black" w:hAnsi="Arial Black"/>
          <w:sz w:val="28"/>
          <w:szCs w:val="28"/>
        </w:rPr>
      </w:pPr>
      <w:r>
        <w:rPr>
          <w:rStyle w:val="markedcontent"/>
          <w:rFonts w:ascii="Arial Black" w:hAnsi="Arial Black"/>
          <w:b/>
          <w:bCs/>
          <w:sz w:val="28"/>
          <w:szCs w:val="28"/>
        </w:rPr>
        <w:t>U.S. SUP. CT:  USERRA – TX STATE TROOPER RETURNING FROM IRAQ – LUNG ISSUES – CAN SUE IN STATE COURT</w:t>
      </w:r>
    </w:p>
    <w:p w14:paraId="3771FD9C" w14:textId="77777777" w:rsidR="007F3F5A" w:rsidRDefault="007F3F5A" w:rsidP="007F3F5A">
      <w:pPr>
        <w:spacing w:before="100" w:beforeAutospacing="1" w:after="100" w:afterAutospacing="1" w:line="240" w:lineRule="auto"/>
        <w:rPr>
          <w:rStyle w:val="markedcontent"/>
          <w:rFonts w:ascii="Times New Roman" w:hAnsi="Times New Roman"/>
          <w:sz w:val="24"/>
          <w:szCs w:val="24"/>
        </w:rPr>
      </w:pPr>
      <w:r>
        <w:rPr>
          <w:rStyle w:val="markedcontent"/>
          <w:rFonts w:ascii="Times New Roman" w:hAnsi="Times New Roman"/>
          <w:sz w:val="24"/>
          <w:szCs w:val="24"/>
        </w:rPr>
        <w:t xml:space="preserve">On June 29, 2022, in </w:t>
      </w:r>
      <w:r>
        <w:rPr>
          <w:rStyle w:val="markedcontent"/>
          <w:rFonts w:ascii="Times New Roman" w:hAnsi="Times New Roman"/>
          <w:sz w:val="24"/>
          <w:szCs w:val="24"/>
          <w:u w:val="single"/>
        </w:rPr>
        <w:t>Torres v. Texas Department of Public Safety</w:t>
      </w:r>
      <w:r>
        <w:rPr>
          <w:rStyle w:val="markedcontent"/>
          <w:rFonts w:ascii="Times New Roman" w:hAnsi="Times New Roman"/>
          <w:sz w:val="24"/>
          <w:szCs w:val="24"/>
        </w:rPr>
        <w:t xml:space="preserve">, the U.S. Supreme Court held (4 to 0) that the former State Trooper can sue his employer in state court for violation of USERRA [Uniformed Services Employment and Reemployment Rights Act of 1994]; he is not required to sue in federal court.  Le Roy Torres returned from active military service in Iraq with lung issues from “burn pits” and </w:t>
      </w:r>
      <w:r>
        <w:rPr>
          <w:rFonts w:ascii="Times New Roman" w:hAnsi="Times New Roman"/>
          <w:sz w:val="24"/>
          <w:szCs w:val="24"/>
        </w:rPr>
        <w:t xml:space="preserve">but requested to be placed in a different position other than as a state trooper, since his lung damage precluded him from performing </w:t>
      </w:r>
      <w:proofErr w:type="gramStart"/>
      <w:r>
        <w:rPr>
          <w:rFonts w:ascii="Times New Roman" w:hAnsi="Times New Roman"/>
          <w:sz w:val="24"/>
          <w:szCs w:val="24"/>
        </w:rPr>
        <w:t>all of</w:t>
      </w:r>
      <w:proofErr w:type="gramEnd"/>
      <w:r>
        <w:rPr>
          <w:rFonts w:ascii="Times New Roman" w:hAnsi="Times New Roman"/>
          <w:sz w:val="24"/>
          <w:szCs w:val="24"/>
        </w:rPr>
        <w:t xml:space="preserve"> his duties. DPS declined the request and offered him a temporary position as a state trooper, stating that if he did not report to duty, his employment would be terminated. Torres resigned. He </w:t>
      </w:r>
      <w:proofErr w:type="gramStart"/>
      <w:r>
        <w:rPr>
          <w:rFonts w:ascii="Times New Roman" w:hAnsi="Times New Roman"/>
          <w:sz w:val="24"/>
          <w:szCs w:val="24"/>
        </w:rPr>
        <w:t>sued</w:t>
      </w:r>
      <w:proofErr w:type="gramEnd"/>
      <w:r>
        <w:rPr>
          <w:rFonts w:ascii="Times New Roman" w:hAnsi="Times New Roman"/>
          <w:sz w:val="24"/>
          <w:szCs w:val="24"/>
        </w:rPr>
        <w:t xml:space="preserve"> in state court, but Texas court of appeals said that </w:t>
      </w:r>
      <w:proofErr w:type="gramStart"/>
      <w:r>
        <w:rPr>
          <w:rFonts w:ascii="Times New Roman" w:hAnsi="Times New Roman"/>
          <w:sz w:val="24"/>
          <w:szCs w:val="24"/>
        </w:rPr>
        <w:t>he</w:t>
      </w:r>
      <w:proofErr w:type="gramEnd"/>
      <w:r>
        <w:rPr>
          <w:rFonts w:ascii="Times New Roman" w:hAnsi="Times New Roman"/>
          <w:sz w:val="24"/>
          <w:szCs w:val="24"/>
        </w:rPr>
        <w:t xml:space="preserve"> only remedy is in federal court.  The lawsuit will now proceed in State </w:t>
      </w:r>
      <w:proofErr w:type="gramStart"/>
      <w:r>
        <w:rPr>
          <w:rFonts w:ascii="Times New Roman" w:hAnsi="Times New Roman"/>
          <w:sz w:val="24"/>
          <w:szCs w:val="24"/>
        </w:rPr>
        <w:t>court</w:t>
      </w:r>
      <w:proofErr w:type="gramEnd"/>
      <w:r>
        <w:rPr>
          <w:rFonts w:ascii="Times New Roman" w:hAnsi="Times New Roman"/>
          <w:sz w:val="24"/>
          <w:szCs w:val="24"/>
        </w:rPr>
        <w:t xml:space="preserve"> and a jury will be asked to award damages. </w:t>
      </w:r>
      <w:hyperlink r:id="rId1156" w:history="1">
        <w:r>
          <w:rPr>
            <w:rStyle w:val="Hyperlink"/>
            <w:sz w:val="24"/>
            <w:szCs w:val="24"/>
          </w:rPr>
          <w:t>https://www.supremecourt.gov/opinions/21pdf/20-603_o758.pdf</w:t>
        </w:r>
      </w:hyperlink>
      <w:r>
        <w:rPr>
          <w:rStyle w:val="markedcontent"/>
          <w:rFonts w:ascii="Times New Roman" w:hAnsi="Times New Roman"/>
          <w:sz w:val="24"/>
          <w:szCs w:val="24"/>
        </w:rPr>
        <w:t xml:space="preserve"> </w:t>
      </w:r>
    </w:p>
    <w:p w14:paraId="7706807C" w14:textId="77777777" w:rsidR="007F3F5A" w:rsidRDefault="007F3F5A" w:rsidP="007F3F5A">
      <w:pPr>
        <w:spacing w:before="100" w:beforeAutospacing="1" w:after="100" w:afterAutospacing="1" w:line="240" w:lineRule="auto"/>
        <w:rPr>
          <w:b/>
          <w:bCs/>
        </w:rPr>
      </w:pPr>
      <w:r>
        <w:rPr>
          <w:rStyle w:val="markedcontent"/>
          <w:rFonts w:ascii="Times New Roman" w:hAnsi="Times New Roman"/>
          <w:b/>
          <w:bCs/>
          <w:sz w:val="24"/>
          <w:szCs w:val="24"/>
        </w:rPr>
        <w:t xml:space="preserve">Legal Lesson Learned: Fire &amp; EMS departments must comply with USERRA, and failure to comply can lead to lawsuits in State court with a jury awarding </w:t>
      </w:r>
      <w:proofErr w:type="gramStart"/>
      <w:r>
        <w:rPr>
          <w:rStyle w:val="markedcontent"/>
          <w:rFonts w:ascii="Times New Roman" w:hAnsi="Times New Roman"/>
          <w:b/>
          <w:bCs/>
          <w:sz w:val="24"/>
          <w:szCs w:val="24"/>
        </w:rPr>
        <w:t>damages</w:t>
      </w:r>
      <w:proofErr w:type="gramEnd"/>
      <w:r>
        <w:rPr>
          <w:rStyle w:val="markedcontent"/>
          <w:rFonts w:ascii="Times New Roman" w:hAnsi="Times New Roman"/>
          <w:b/>
          <w:bCs/>
          <w:sz w:val="24"/>
          <w:szCs w:val="24"/>
        </w:rPr>
        <w:t xml:space="preserve">. </w:t>
      </w:r>
    </w:p>
    <w:p w14:paraId="78E849A2" w14:textId="77777777" w:rsidR="007F3F5A" w:rsidRDefault="007F3F5A" w:rsidP="00EF1133">
      <w:pPr>
        <w:rPr>
          <w:rFonts w:ascii="Arial Black" w:hAnsi="Arial Black"/>
          <w:b/>
          <w:sz w:val="24"/>
          <w:szCs w:val="24"/>
        </w:rPr>
      </w:pPr>
    </w:p>
    <w:p w14:paraId="46FA1073" w14:textId="6F05E5E0" w:rsidR="00FC62FF" w:rsidRDefault="00FC62FF" w:rsidP="00EF1133">
      <w:pPr>
        <w:rPr>
          <w:rFonts w:ascii="Arial Black" w:hAnsi="Arial Black"/>
          <w:b/>
          <w:sz w:val="24"/>
          <w:szCs w:val="24"/>
        </w:rPr>
      </w:pPr>
      <w:r>
        <w:rPr>
          <w:rFonts w:ascii="Arial Black" w:hAnsi="Arial Black"/>
          <w:b/>
          <w:sz w:val="24"/>
          <w:szCs w:val="24"/>
        </w:rPr>
        <w:t>6-9</w:t>
      </w:r>
      <w:r w:rsidR="00FF7C63">
        <w:rPr>
          <w:rFonts w:ascii="Arial Black" w:hAnsi="Arial Black"/>
          <w:b/>
          <w:sz w:val="24"/>
          <w:szCs w:val="24"/>
        </w:rPr>
        <w:t>1</w:t>
      </w:r>
      <w:r w:rsidR="00156E5D">
        <w:rPr>
          <w:rFonts w:ascii="Arial Black" w:hAnsi="Arial Black"/>
          <w:b/>
          <w:sz w:val="24"/>
          <w:szCs w:val="24"/>
        </w:rPr>
        <w:t xml:space="preserve"> [also filed, Chap. 17]</w:t>
      </w:r>
    </w:p>
    <w:p w14:paraId="3D614908" w14:textId="77777777" w:rsidR="00FC62FF" w:rsidRDefault="00FC62FF" w:rsidP="00FC62FF">
      <w:pPr>
        <w:spacing w:before="100" w:beforeAutospacing="1" w:after="100" w:afterAutospacing="1" w:line="240" w:lineRule="auto"/>
        <w:rPr>
          <w:rFonts w:ascii="Arial Black" w:eastAsia="Times New Roman" w:hAnsi="Arial Black"/>
          <w:sz w:val="28"/>
          <w:szCs w:val="28"/>
        </w:rPr>
      </w:pPr>
      <w:r>
        <w:rPr>
          <w:rFonts w:ascii="Arial Black" w:eastAsia="Times New Roman" w:hAnsi="Arial Black"/>
          <w:sz w:val="28"/>
          <w:szCs w:val="28"/>
        </w:rPr>
        <w:lastRenderedPageBreak/>
        <w:t xml:space="preserve">OH: FIRE CHIEF “RETIRE / REHIRE” NEXT DAY IS LAWFUL – CIVIL SERVICE POSTING JOB ONLY WHEN A “VACANCY” </w:t>
      </w:r>
    </w:p>
    <w:p w14:paraId="583B9C62" w14:textId="77777777" w:rsidR="00FC62FF" w:rsidRDefault="00FC62FF" w:rsidP="00FC62FF">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On June 27, 2022, in </w:t>
      </w:r>
      <w:r>
        <w:rPr>
          <w:rFonts w:ascii="Times New Roman" w:hAnsi="Times New Roman"/>
          <w:sz w:val="24"/>
          <w:szCs w:val="24"/>
          <w:u w:val="single"/>
        </w:rPr>
        <w:t xml:space="preserve">State of Ohio ex re. The International Association of Fire Fighters, Local 1536, AFL-CIO v. John Barbush, In His Official Capacity </w:t>
      </w:r>
      <w:proofErr w:type="gramStart"/>
      <w:r>
        <w:rPr>
          <w:rFonts w:ascii="Times New Roman" w:hAnsi="Times New Roman"/>
          <w:sz w:val="24"/>
          <w:szCs w:val="24"/>
          <w:u w:val="single"/>
        </w:rPr>
        <w:t>As</w:t>
      </w:r>
      <w:proofErr w:type="gramEnd"/>
      <w:r>
        <w:rPr>
          <w:rFonts w:ascii="Times New Roman" w:hAnsi="Times New Roman"/>
          <w:sz w:val="24"/>
          <w:szCs w:val="24"/>
          <w:u w:val="single"/>
        </w:rPr>
        <w:t xml:space="preserve"> Maor </w:t>
      </w:r>
      <w:proofErr w:type="gramStart"/>
      <w:r>
        <w:rPr>
          <w:rFonts w:ascii="Times New Roman" w:hAnsi="Times New Roman"/>
          <w:sz w:val="24"/>
          <w:szCs w:val="24"/>
          <w:u w:val="single"/>
        </w:rPr>
        <w:t>And</w:t>
      </w:r>
      <w:proofErr w:type="gramEnd"/>
      <w:r>
        <w:rPr>
          <w:rFonts w:ascii="Times New Roman" w:hAnsi="Times New Roman"/>
          <w:sz w:val="24"/>
          <w:szCs w:val="24"/>
          <w:u w:val="single"/>
        </w:rPr>
        <w:t xml:space="preserve"> Director </w:t>
      </w:r>
      <w:proofErr w:type="gramStart"/>
      <w:r>
        <w:rPr>
          <w:rFonts w:ascii="Times New Roman" w:hAnsi="Times New Roman"/>
          <w:sz w:val="24"/>
          <w:szCs w:val="24"/>
          <w:u w:val="single"/>
        </w:rPr>
        <w:t>Of</w:t>
      </w:r>
      <w:proofErr w:type="gramEnd"/>
      <w:r>
        <w:rPr>
          <w:rFonts w:ascii="Times New Roman" w:hAnsi="Times New Roman"/>
          <w:sz w:val="24"/>
          <w:szCs w:val="24"/>
          <w:u w:val="single"/>
        </w:rPr>
        <w:t xml:space="preserve"> Public Safety, et. al., and James G. Powers</w:t>
      </w:r>
      <w:r>
        <w:rPr>
          <w:rFonts w:ascii="Times New Roman" w:hAnsi="Times New Roman"/>
          <w:sz w:val="24"/>
          <w:szCs w:val="24"/>
        </w:rPr>
        <w:t xml:space="preserve">, the Court of Appeals of Ohio, Eleventh District (Lake County), held (2 to 1) that trial court properly held that there was no “vacancy” in the Fire Chiefs position since he retired on Jan. 6, 2020, and was rehired the next day. Local 1536 argued [and the Dissenting Judge agreed] that the position should have been </w:t>
      </w:r>
      <w:proofErr w:type="gramStart"/>
      <w:r>
        <w:rPr>
          <w:rFonts w:ascii="Times New Roman" w:hAnsi="Times New Roman"/>
          <w:sz w:val="24"/>
          <w:szCs w:val="24"/>
        </w:rPr>
        <w:t>submitted</w:t>
      </w:r>
      <w:proofErr w:type="gramEnd"/>
      <w:r>
        <w:rPr>
          <w:rFonts w:ascii="Times New Roman" w:hAnsi="Times New Roman"/>
          <w:sz w:val="24"/>
          <w:szCs w:val="24"/>
        </w:rPr>
        <w:t xml:space="preserve"> the City’s Civil Service Commission, and the position filled through a competitive promotional examination process where four Captains were eligible to apply. </w:t>
      </w:r>
      <w:hyperlink r:id="rId1157" w:history="1">
        <w:r>
          <w:rPr>
            <w:rStyle w:val="Hyperlink"/>
            <w:sz w:val="24"/>
            <w:szCs w:val="24"/>
          </w:rPr>
          <w:t>https://www.leagle.com/decision/inohco20220627386</w:t>
        </w:r>
      </w:hyperlink>
      <w:r>
        <w:rPr>
          <w:rFonts w:ascii="Times New Roman" w:hAnsi="Times New Roman"/>
          <w:sz w:val="24"/>
          <w:szCs w:val="24"/>
        </w:rPr>
        <w:t xml:space="preserve"> </w:t>
      </w:r>
    </w:p>
    <w:p w14:paraId="0B204B03" w14:textId="77777777" w:rsidR="00156E5D" w:rsidRDefault="00156E5D" w:rsidP="00156E5D">
      <w:pPr>
        <w:spacing w:before="100" w:beforeAutospacing="1" w:after="100" w:afterAutospacing="1" w:line="240" w:lineRule="auto"/>
        <w:rPr>
          <w:rFonts w:ascii="Times New Roman" w:eastAsia="Times New Roman" w:hAnsi="Times New Roman"/>
          <w:b/>
          <w:bCs/>
          <w:sz w:val="24"/>
          <w:szCs w:val="24"/>
        </w:rPr>
      </w:pPr>
      <w:r>
        <w:rPr>
          <w:rFonts w:ascii="Times New Roman" w:hAnsi="Times New Roman"/>
          <w:b/>
          <w:bCs/>
          <w:sz w:val="24"/>
          <w:szCs w:val="24"/>
        </w:rPr>
        <w:t xml:space="preserve">Legal Lesson Learned: In Ohio, other fire chiefs have also done “retire / rehire.” </w:t>
      </w:r>
    </w:p>
    <w:p w14:paraId="70EA6FE7" w14:textId="77777777" w:rsidR="00156E5D" w:rsidRPr="00102BDF" w:rsidRDefault="00156E5D" w:rsidP="00156E5D">
      <w:pPr>
        <w:pStyle w:val="Heading1"/>
        <w:ind w:left="720"/>
        <w:rPr>
          <w:b w:val="0"/>
          <w:bCs w:val="0"/>
          <w:sz w:val="24"/>
          <w:szCs w:val="24"/>
        </w:rPr>
      </w:pPr>
      <w:r w:rsidRPr="00102BDF">
        <w:rPr>
          <w:b w:val="0"/>
          <w:bCs w:val="0"/>
          <w:sz w:val="24"/>
          <w:szCs w:val="24"/>
        </w:rPr>
        <w:t xml:space="preserve">For example, see: “Fairfield able to rehire retired fire chief” (March 15, 2011): </w:t>
      </w:r>
      <w:hyperlink r:id="rId1158" w:history="1">
        <w:r w:rsidRPr="00102BDF">
          <w:rPr>
            <w:rStyle w:val="Hyperlink"/>
            <w:b w:val="0"/>
            <w:bCs w:val="0"/>
            <w:sz w:val="24"/>
            <w:szCs w:val="24"/>
          </w:rPr>
          <w:t>https://www.journal-news.com/news/local/fairfield-able-rehire-retired-fire-chief/JMPkJQCqJ2eIDqbu2eI8RK/</w:t>
        </w:r>
      </w:hyperlink>
      <w:r w:rsidRPr="00102BDF">
        <w:rPr>
          <w:b w:val="0"/>
          <w:bCs w:val="0"/>
          <w:sz w:val="24"/>
          <w:szCs w:val="24"/>
        </w:rPr>
        <w:t xml:space="preserve"> </w:t>
      </w:r>
    </w:p>
    <w:p w14:paraId="6CD3EB80" w14:textId="77777777" w:rsidR="00156E5D" w:rsidRPr="00102BDF" w:rsidRDefault="00156E5D" w:rsidP="00156E5D">
      <w:pPr>
        <w:pStyle w:val="Heading1"/>
        <w:ind w:left="720"/>
        <w:rPr>
          <w:b w:val="0"/>
          <w:bCs w:val="0"/>
          <w:sz w:val="24"/>
          <w:szCs w:val="24"/>
        </w:rPr>
      </w:pPr>
      <w:r w:rsidRPr="00102BDF">
        <w:rPr>
          <w:b w:val="0"/>
          <w:bCs w:val="0"/>
          <w:sz w:val="24"/>
          <w:szCs w:val="24"/>
        </w:rPr>
        <w:t xml:space="preserve">“West Carrollton to rehire fire chief after Valentine’s week retirement” (Feb. 13, 2019): </w:t>
      </w:r>
      <w:hyperlink r:id="rId1159" w:history="1">
        <w:r w:rsidRPr="00102BDF">
          <w:rPr>
            <w:rStyle w:val="Hyperlink"/>
            <w:b w:val="0"/>
            <w:bCs w:val="0"/>
            <w:sz w:val="24"/>
            <w:szCs w:val="24"/>
          </w:rPr>
          <w:t>https://www.daytondailynews.com/news/west-carrollton-rehire-fire-chief-after-valentine-week-retirement/XSsYoJpSmxdkIIZtoGUpzJ/</w:t>
        </w:r>
      </w:hyperlink>
      <w:r w:rsidRPr="00102BDF">
        <w:rPr>
          <w:b w:val="0"/>
          <w:bCs w:val="0"/>
          <w:sz w:val="24"/>
          <w:szCs w:val="24"/>
        </w:rPr>
        <w:t xml:space="preserve"> </w:t>
      </w:r>
    </w:p>
    <w:p w14:paraId="7E877B0F" w14:textId="77777777" w:rsidR="00FC62FF" w:rsidRDefault="00FC62FF" w:rsidP="00EF1133">
      <w:pPr>
        <w:rPr>
          <w:rFonts w:ascii="Arial Black" w:hAnsi="Arial Black"/>
          <w:b/>
          <w:sz w:val="24"/>
          <w:szCs w:val="24"/>
        </w:rPr>
      </w:pPr>
    </w:p>
    <w:p w14:paraId="363F5A16" w14:textId="77777777" w:rsidR="00FC62FF" w:rsidRDefault="00FC62FF" w:rsidP="00EF1133">
      <w:pPr>
        <w:rPr>
          <w:rFonts w:ascii="Arial Black" w:hAnsi="Arial Black"/>
          <w:b/>
          <w:sz w:val="24"/>
          <w:szCs w:val="24"/>
        </w:rPr>
      </w:pPr>
    </w:p>
    <w:p w14:paraId="57258129" w14:textId="77777777" w:rsidR="00FC62FF" w:rsidRDefault="00FC62FF" w:rsidP="00EF1133">
      <w:pPr>
        <w:rPr>
          <w:rFonts w:ascii="Arial Black" w:hAnsi="Arial Black"/>
          <w:b/>
          <w:sz w:val="24"/>
          <w:szCs w:val="24"/>
        </w:rPr>
      </w:pPr>
    </w:p>
    <w:p w14:paraId="29759BB5" w14:textId="6108A0CF" w:rsidR="0002742E" w:rsidRDefault="0002742E" w:rsidP="00EF1133">
      <w:pPr>
        <w:rPr>
          <w:rFonts w:ascii="Arial Black" w:hAnsi="Arial Black"/>
          <w:b/>
          <w:sz w:val="24"/>
          <w:szCs w:val="24"/>
        </w:rPr>
      </w:pPr>
      <w:r>
        <w:rPr>
          <w:rFonts w:ascii="Arial Black" w:hAnsi="Arial Black"/>
          <w:b/>
          <w:sz w:val="24"/>
          <w:szCs w:val="24"/>
        </w:rPr>
        <w:t>6-9</w:t>
      </w:r>
      <w:r w:rsidR="00FF7C63">
        <w:rPr>
          <w:rFonts w:ascii="Arial Black" w:hAnsi="Arial Black"/>
          <w:b/>
          <w:sz w:val="24"/>
          <w:szCs w:val="24"/>
        </w:rPr>
        <w:t>0</w:t>
      </w:r>
    </w:p>
    <w:p w14:paraId="5306DDBC" w14:textId="77777777" w:rsidR="0002742E" w:rsidRPr="00A8477F" w:rsidRDefault="0002742E" w:rsidP="0002742E">
      <w:pPr>
        <w:spacing w:before="100" w:beforeAutospacing="1" w:after="100" w:afterAutospacing="1" w:line="240" w:lineRule="auto"/>
        <w:rPr>
          <w:rFonts w:ascii="Arial Black" w:eastAsia="Times New Roman" w:hAnsi="Arial Black"/>
          <w:sz w:val="28"/>
          <w:szCs w:val="28"/>
        </w:rPr>
      </w:pPr>
      <w:r>
        <w:rPr>
          <w:rFonts w:ascii="Arial Black" w:eastAsia="Times New Roman" w:hAnsi="Arial Black"/>
          <w:b/>
          <w:bCs/>
          <w:sz w:val="28"/>
          <w:szCs w:val="28"/>
        </w:rPr>
        <w:t xml:space="preserve">ID: FF DIED LEUKEMIA – WIDOW WINS WORKER COMP APPEAL - STATE SUP. CT. STAUTORY </w:t>
      </w:r>
      <w:r>
        <w:rPr>
          <w:rFonts w:ascii="Arial Black" w:eastAsia="Times New Roman" w:hAnsi="Arial Black"/>
          <w:sz w:val="28"/>
          <w:szCs w:val="28"/>
        </w:rPr>
        <w:t>PRESUMPTION</w:t>
      </w:r>
    </w:p>
    <w:p w14:paraId="49754685" w14:textId="77777777" w:rsidR="0002742E" w:rsidRPr="00241167" w:rsidRDefault="0002742E" w:rsidP="0002742E">
      <w:pPr>
        <w:spacing w:before="100" w:beforeAutospacing="1" w:after="100" w:afterAutospacing="1" w:line="240" w:lineRule="auto"/>
        <w:rPr>
          <w:rFonts w:ascii="Times New Roman" w:eastAsia="Times New Roman" w:hAnsi="Times New Roman"/>
          <w:sz w:val="24"/>
          <w:szCs w:val="24"/>
        </w:rPr>
      </w:pPr>
      <w:r w:rsidRPr="00A8477F">
        <w:rPr>
          <w:rFonts w:ascii="Times New Roman" w:eastAsia="Times New Roman" w:hAnsi="Times New Roman"/>
          <w:sz w:val="24"/>
          <w:szCs w:val="24"/>
        </w:rPr>
        <w:t xml:space="preserve">On </w:t>
      </w:r>
      <w:r>
        <w:rPr>
          <w:rFonts w:ascii="Times New Roman" w:eastAsia="Times New Roman" w:hAnsi="Times New Roman"/>
          <w:sz w:val="24"/>
          <w:szCs w:val="24"/>
        </w:rPr>
        <w:t xml:space="preserve">April 29, 2022, in </w:t>
      </w:r>
      <w:r w:rsidRPr="00241167">
        <w:rPr>
          <w:rFonts w:ascii="Times New Roman" w:eastAsia="Times New Roman" w:hAnsi="Times New Roman"/>
          <w:sz w:val="24"/>
          <w:szCs w:val="24"/>
          <w:u w:val="single"/>
        </w:rPr>
        <w:t>Richard Nelson v. City of Pocatello</w:t>
      </w:r>
      <w:r>
        <w:rPr>
          <w:rFonts w:ascii="Times New Roman" w:eastAsia="Times New Roman" w:hAnsi="Times New Roman"/>
          <w:sz w:val="24"/>
          <w:szCs w:val="24"/>
        </w:rPr>
        <w:t xml:space="preserve">, the Supreme Court of Idaho held (5 to 0) that the 2016 statutory presumption statute is </w:t>
      </w:r>
      <w:proofErr w:type="gramStart"/>
      <w:r>
        <w:rPr>
          <w:rFonts w:ascii="Times New Roman" w:eastAsia="Times New Roman" w:hAnsi="Times New Roman"/>
          <w:sz w:val="24"/>
          <w:szCs w:val="24"/>
        </w:rPr>
        <w:t>constitutional</w:t>
      </w:r>
      <w:proofErr w:type="gramEnd"/>
      <w:r>
        <w:rPr>
          <w:rFonts w:ascii="Times New Roman" w:eastAsia="Times New Roman" w:hAnsi="Times New Roman"/>
          <w:sz w:val="24"/>
          <w:szCs w:val="24"/>
        </w:rPr>
        <w:t xml:space="preserve"> and the Industrial Commission properly held that the </w:t>
      </w:r>
      <w:proofErr w:type="gramStart"/>
      <w:r>
        <w:rPr>
          <w:rFonts w:ascii="Times New Roman" w:eastAsia="Times New Roman" w:hAnsi="Times New Roman"/>
          <w:sz w:val="24"/>
          <w:szCs w:val="24"/>
        </w:rPr>
        <w:t>City</w:t>
      </w:r>
      <w:proofErr w:type="gramEnd"/>
      <w:r>
        <w:rPr>
          <w:rFonts w:ascii="Times New Roman" w:eastAsia="Times New Roman" w:hAnsi="Times New Roman"/>
          <w:sz w:val="24"/>
          <w:szCs w:val="24"/>
        </w:rPr>
        <w:t xml:space="preserve"> failed to present “substantial evidence” to rebut that presumption.  Richard Nelson served </w:t>
      </w:r>
      <w:proofErr w:type="gramStart"/>
      <w:r>
        <w:rPr>
          <w:rFonts w:ascii="Times New Roman" w:eastAsia="Times New Roman" w:hAnsi="Times New Roman"/>
          <w:sz w:val="24"/>
          <w:szCs w:val="24"/>
        </w:rPr>
        <w:t>21-years</w:t>
      </w:r>
      <w:proofErr w:type="gramEnd"/>
      <w:r>
        <w:rPr>
          <w:rFonts w:ascii="Times New Roman" w:eastAsia="Times New Roman" w:hAnsi="Times New Roman"/>
          <w:sz w:val="24"/>
          <w:szCs w:val="24"/>
        </w:rPr>
        <w:t xml:space="preserve"> as a career firefighter, retired in 2014 and in 2018 was diagnosed with </w:t>
      </w:r>
      <w:r w:rsidRPr="00241167">
        <w:rPr>
          <w:rFonts w:ascii="Times New Roman" w:hAnsi="Times New Roman"/>
          <w:sz w:val="24"/>
          <w:szCs w:val="24"/>
        </w:rPr>
        <w:t>early-stage chronic lymphocytic leukemia ("CLL")</w:t>
      </w:r>
      <w:r>
        <w:rPr>
          <w:rFonts w:ascii="Times New Roman" w:hAnsi="Times New Roman"/>
          <w:sz w:val="24"/>
          <w:szCs w:val="24"/>
        </w:rPr>
        <w:t xml:space="preserve">.  </w:t>
      </w:r>
      <w:hyperlink r:id="rId1160" w:history="1">
        <w:r w:rsidRPr="00C50FC4">
          <w:rPr>
            <w:rStyle w:val="Hyperlink"/>
            <w:rFonts w:ascii="Times New Roman" w:hAnsi="Times New Roman"/>
            <w:sz w:val="24"/>
            <w:szCs w:val="24"/>
          </w:rPr>
          <w:t>https://isc.idaho.gov/opinions/49171.pdf</w:t>
        </w:r>
      </w:hyperlink>
      <w:r>
        <w:rPr>
          <w:rFonts w:ascii="Times New Roman" w:hAnsi="Times New Roman"/>
          <w:sz w:val="24"/>
          <w:szCs w:val="24"/>
        </w:rPr>
        <w:t xml:space="preserve"> </w:t>
      </w:r>
    </w:p>
    <w:p w14:paraId="1359ADF3" w14:textId="77777777" w:rsidR="0002742E" w:rsidRPr="008066A3" w:rsidRDefault="0002742E" w:rsidP="0002742E">
      <w:pPr>
        <w:spacing w:before="100" w:beforeAutospacing="1" w:after="100" w:afterAutospacing="1" w:line="240" w:lineRule="auto"/>
        <w:ind w:left="90"/>
        <w:rPr>
          <w:rFonts w:ascii="Times New Roman" w:hAnsi="Times New Roman"/>
          <w:b/>
          <w:bCs/>
          <w:sz w:val="24"/>
          <w:szCs w:val="24"/>
        </w:rPr>
      </w:pPr>
      <w:r w:rsidRPr="008066A3">
        <w:rPr>
          <w:rFonts w:ascii="Times New Roman" w:hAnsi="Times New Roman"/>
          <w:b/>
          <w:bCs/>
          <w:sz w:val="24"/>
          <w:szCs w:val="24"/>
        </w:rPr>
        <w:t xml:space="preserve">Legal Lesson Learned: </w:t>
      </w:r>
      <w:r>
        <w:rPr>
          <w:rFonts w:ascii="Times New Roman" w:hAnsi="Times New Roman"/>
          <w:b/>
          <w:bCs/>
          <w:sz w:val="24"/>
          <w:szCs w:val="24"/>
        </w:rPr>
        <w:t xml:space="preserve">Excellent decision; Court also cited IAFF brief listing numerous decisions in other states upholding firefighter cancer statutory presumptions. </w:t>
      </w:r>
    </w:p>
    <w:p w14:paraId="2F6BAC63" w14:textId="77777777" w:rsidR="0002742E" w:rsidRDefault="0002742E" w:rsidP="00EF1133">
      <w:pPr>
        <w:rPr>
          <w:rFonts w:ascii="Arial Black" w:hAnsi="Arial Black"/>
          <w:b/>
          <w:sz w:val="24"/>
          <w:szCs w:val="24"/>
        </w:rPr>
      </w:pPr>
    </w:p>
    <w:p w14:paraId="1AC37D27" w14:textId="01A63BB3" w:rsidR="0002742E" w:rsidRDefault="0002742E" w:rsidP="00EF1133">
      <w:pPr>
        <w:rPr>
          <w:rFonts w:ascii="Arial Black" w:hAnsi="Arial Black"/>
          <w:b/>
          <w:sz w:val="24"/>
          <w:szCs w:val="24"/>
        </w:rPr>
      </w:pPr>
      <w:r>
        <w:rPr>
          <w:rFonts w:ascii="Arial Black" w:hAnsi="Arial Black"/>
          <w:b/>
          <w:sz w:val="24"/>
          <w:szCs w:val="24"/>
        </w:rPr>
        <w:t>6-</w:t>
      </w:r>
      <w:r w:rsidR="00FF7C63">
        <w:rPr>
          <w:rFonts w:ascii="Arial Black" w:hAnsi="Arial Black"/>
          <w:b/>
          <w:sz w:val="24"/>
          <w:szCs w:val="24"/>
        </w:rPr>
        <w:t>89</w:t>
      </w:r>
    </w:p>
    <w:p w14:paraId="1F4CF0CE" w14:textId="77777777" w:rsidR="0002742E" w:rsidRPr="00C42D64" w:rsidRDefault="0002742E" w:rsidP="0002742E">
      <w:pPr>
        <w:spacing w:before="100" w:beforeAutospacing="1" w:after="100" w:afterAutospacing="1" w:line="240" w:lineRule="auto"/>
        <w:rPr>
          <w:rFonts w:ascii="Arial Black" w:eastAsia="Times New Roman" w:hAnsi="Arial Black"/>
          <w:sz w:val="28"/>
          <w:szCs w:val="28"/>
        </w:rPr>
      </w:pPr>
      <w:r>
        <w:rPr>
          <w:rFonts w:ascii="Arial Black" w:eastAsia="Times New Roman" w:hAnsi="Arial Black"/>
          <w:b/>
          <w:bCs/>
          <w:sz w:val="28"/>
          <w:szCs w:val="28"/>
        </w:rPr>
        <w:t xml:space="preserve">NV: FF RE-INJURED SHOULDER – CAN RE-OPEN WORKERS </w:t>
      </w:r>
      <w:r w:rsidRPr="00C42D64">
        <w:rPr>
          <w:rFonts w:ascii="Arial Black" w:eastAsia="Times New Roman" w:hAnsi="Arial Black"/>
          <w:sz w:val="28"/>
          <w:szCs w:val="28"/>
        </w:rPr>
        <w:t xml:space="preserve">COMP CLAIM BECAUSE </w:t>
      </w:r>
      <w:r>
        <w:rPr>
          <w:rFonts w:ascii="Arial Black" w:eastAsia="Times New Roman" w:hAnsi="Arial Black"/>
          <w:sz w:val="28"/>
          <w:szCs w:val="28"/>
        </w:rPr>
        <w:t xml:space="preserve">HE </w:t>
      </w:r>
      <w:r w:rsidRPr="00C42D64">
        <w:rPr>
          <w:rFonts w:ascii="Arial Black" w:eastAsia="Times New Roman" w:hAnsi="Arial Black"/>
          <w:sz w:val="28"/>
          <w:szCs w:val="28"/>
        </w:rPr>
        <w:t xml:space="preserve">LOST </w:t>
      </w:r>
      <w:r>
        <w:rPr>
          <w:rFonts w:ascii="Arial Black" w:eastAsia="Times New Roman" w:hAnsi="Arial Black"/>
          <w:sz w:val="28"/>
          <w:szCs w:val="28"/>
        </w:rPr>
        <w:t>INCOME</w:t>
      </w:r>
      <w:r w:rsidRPr="00C42D64">
        <w:rPr>
          <w:rFonts w:ascii="Arial Black" w:eastAsia="Times New Roman" w:hAnsi="Arial Black"/>
          <w:sz w:val="28"/>
          <w:szCs w:val="28"/>
        </w:rPr>
        <w:t xml:space="preserve"> </w:t>
      </w:r>
      <w:r>
        <w:rPr>
          <w:rFonts w:ascii="Arial Black" w:eastAsia="Times New Roman" w:hAnsi="Arial Black"/>
          <w:sz w:val="28"/>
          <w:szCs w:val="28"/>
        </w:rPr>
        <w:t xml:space="preserve">FIRST INJURY </w:t>
      </w:r>
    </w:p>
    <w:p w14:paraId="65BED98A" w14:textId="77777777" w:rsidR="0002742E" w:rsidRDefault="0002742E" w:rsidP="0002742E">
      <w:pPr>
        <w:spacing w:before="100" w:beforeAutospacing="1" w:after="100" w:afterAutospacing="1" w:line="240" w:lineRule="auto"/>
        <w:rPr>
          <w:rFonts w:ascii="Times New Roman" w:eastAsia="Times New Roman" w:hAnsi="Times New Roman"/>
          <w:sz w:val="24"/>
          <w:szCs w:val="24"/>
        </w:rPr>
      </w:pPr>
      <w:r w:rsidRPr="00C42D64">
        <w:rPr>
          <w:rFonts w:ascii="Times New Roman" w:eastAsia="Times New Roman" w:hAnsi="Times New Roman"/>
          <w:sz w:val="24"/>
          <w:szCs w:val="24"/>
        </w:rPr>
        <w:lastRenderedPageBreak/>
        <w:t xml:space="preserve">On </w:t>
      </w:r>
      <w:r>
        <w:rPr>
          <w:rFonts w:ascii="Times New Roman" w:eastAsia="Times New Roman" w:hAnsi="Times New Roman"/>
          <w:sz w:val="24"/>
          <w:szCs w:val="24"/>
        </w:rPr>
        <w:t xml:space="preserve">April 20, 2022, in </w:t>
      </w:r>
      <w:r w:rsidRPr="00C42D64">
        <w:rPr>
          <w:rFonts w:ascii="Times New Roman" w:eastAsia="Times New Roman" w:hAnsi="Times New Roman"/>
          <w:sz w:val="24"/>
          <w:szCs w:val="24"/>
          <w:u w:val="single"/>
        </w:rPr>
        <w:t>City of Henderson, et al. v. Jason Law</w:t>
      </w:r>
      <w:r>
        <w:rPr>
          <w:rFonts w:ascii="Times New Roman" w:eastAsia="Times New Roman" w:hAnsi="Times New Roman"/>
          <w:sz w:val="24"/>
          <w:szCs w:val="24"/>
        </w:rPr>
        <w:t xml:space="preserve">, the Court of Appeals of Nevada, held (3 to 0), unpublished decision, that the firefighter under state law was entitled to re-open his claim for “lifetime” since he lost wage during the first injury – overtime pay while on light duty.  The firefighter injured his left shoulder on duty in 2021, and for two months while on light duty he was not eligible for overtime; in Aug. 2016 he reinjured it in a </w:t>
      </w:r>
      <w:proofErr w:type="gramStart"/>
      <w:r>
        <w:rPr>
          <w:rFonts w:ascii="Times New Roman" w:eastAsia="Times New Roman" w:hAnsi="Times New Roman"/>
          <w:sz w:val="24"/>
          <w:szCs w:val="24"/>
        </w:rPr>
        <w:t>firefighters</w:t>
      </w:r>
      <w:proofErr w:type="gramEnd"/>
      <w:r>
        <w:rPr>
          <w:rFonts w:ascii="Times New Roman" w:eastAsia="Times New Roman" w:hAnsi="Times New Roman"/>
          <w:sz w:val="24"/>
          <w:szCs w:val="24"/>
        </w:rPr>
        <w:t xml:space="preserve"> versus police officers football game. </w:t>
      </w:r>
      <w:hyperlink r:id="rId1161" w:history="1">
        <w:r w:rsidRPr="00C50FC4">
          <w:rPr>
            <w:rStyle w:val="Hyperlink"/>
            <w:rFonts w:ascii="Times New Roman" w:eastAsia="Times New Roman" w:hAnsi="Times New Roman"/>
            <w:sz w:val="24"/>
            <w:szCs w:val="24"/>
          </w:rPr>
          <w:t>https://casetext.com/case/city-of-henderson-v-law</w:t>
        </w:r>
      </w:hyperlink>
      <w:r>
        <w:rPr>
          <w:rFonts w:ascii="Times New Roman" w:eastAsia="Times New Roman" w:hAnsi="Times New Roman"/>
          <w:sz w:val="24"/>
          <w:szCs w:val="24"/>
        </w:rPr>
        <w:t xml:space="preserve">  </w:t>
      </w:r>
    </w:p>
    <w:p w14:paraId="466F4150" w14:textId="77777777" w:rsidR="0009438D" w:rsidRDefault="0002742E" w:rsidP="0002742E">
      <w:pPr>
        <w:spacing w:before="100" w:beforeAutospacing="1" w:after="100" w:afterAutospacing="1" w:line="240" w:lineRule="auto"/>
        <w:rPr>
          <w:rFonts w:ascii="Times New Roman" w:eastAsia="Times New Roman" w:hAnsi="Times New Roman"/>
          <w:b/>
          <w:bCs/>
          <w:sz w:val="24"/>
          <w:szCs w:val="24"/>
        </w:rPr>
      </w:pPr>
      <w:r w:rsidRPr="00B174B3">
        <w:rPr>
          <w:rFonts w:ascii="Times New Roman" w:eastAsia="Times New Roman" w:hAnsi="Times New Roman"/>
          <w:b/>
          <w:bCs/>
          <w:sz w:val="24"/>
          <w:szCs w:val="24"/>
        </w:rPr>
        <w:t xml:space="preserve">Legal Lesson Learned: </w:t>
      </w:r>
      <w:r>
        <w:rPr>
          <w:rFonts w:ascii="Times New Roman" w:eastAsia="Times New Roman" w:hAnsi="Times New Roman"/>
          <w:b/>
          <w:bCs/>
          <w:sz w:val="24"/>
          <w:szCs w:val="24"/>
        </w:rPr>
        <w:t xml:space="preserve">Under this decision, </w:t>
      </w:r>
      <w:proofErr w:type="gramStart"/>
      <w:r>
        <w:rPr>
          <w:rFonts w:ascii="Times New Roman" w:eastAsia="Times New Roman" w:hAnsi="Times New Roman"/>
          <w:b/>
          <w:bCs/>
          <w:sz w:val="24"/>
          <w:szCs w:val="24"/>
        </w:rPr>
        <w:t>loss wages</w:t>
      </w:r>
      <w:proofErr w:type="gramEnd"/>
      <w:r>
        <w:rPr>
          <w:rFonts w:ascii="Times New Roman" w:eastAsia="Times New Roman" w:hAnsi="Times New Roman"/>
          <w:b/>
          <w:bCs/>
          <w:sz w:val="24"/>
          <w:szCs w:val="24"/>
        </w:rPr>
        <w:t xml:space="preserve"> </w:t>
      </w:r>
      <w:proofErr w:type="gramStart"/>
      <w:r>
        <w:rPr>
          <w:rFonts w:ascii="Times New Roman" w:eastAsia="Times New Roman" w:hAnsi="Times New Roman"/>
          <w:b/>
          <w:bCs/>
          <w:sz w:val="24"/>
          <w:szCs w:val="24"/>
        </w:rPr>
        <w:t>includes</w:t>
      </w:r>
      <w:proofErr w:type="gramEnd"/>
      <w:r>
        <w:rPr>
          <w:rFonts w:ascii="Times New Roman" w:eastAsia="Times New Roman" w:hAnsi="Times New Roman"/>
          <w:b/>
          <w:bCs/>
          <w:sz w:val="24"/>
          <w:szCs w:val="24"/>
        </w:rPr>
        <w:t xml:space="preserve"> loss of overtime pay.  </w:t>
      </w:r>
    </w:p>
    <w:p w14:paraId="156E99C6" w14:textId="7B602E4D" w:rsidR="0009438D" w:rsidRPr="0009438D" w:rsidRDefault="0009438D" w:rsidP="0009438D">
      <w:pPr>
        <w:spacing w:before="100" w:beforeAutospacing="1" w:after="100" w:afterAutospacing="1" w:line="240" w:lineRule="auto"/>
        <w:ind w:left="720"/>
      </w:pPr>
      <w:r w:rsidRPr="0009438D">
        <w:rPr>
          <w:rFonts w:ascii="Times New Roman" w:eastAsia="Times New Roman" w:hAnsi="Times New Roman"/>
          <w:sz w:val="24"/>
          <w:szCs w:val="24"/>
        </w:rPr>
        <w:t xml:space="preserve">Note: To avoid workers </w:t>
      </w:r>
      <w:proofErr w:type="gramStart"/>
      <w:r w:rsidRPr="0009438D">
        <w:rPr>
          <w:rFonts w:ascii="Times New Roman" w:eastAsia="Times New Roman" w:hAnsi="Times New Roman"/>
          <w:sz w:val="24"/>
          <w:szCs w:val="24"/>
        </w:rPr>
        <w:t>comp liability</w:t>
      </w:r>
      <w:proofErr w:type="gramEnd"/>
      <w:r w:rsidRPr="0009438D">
        <w:rPr>
          <w:rFonts w:ascii="Times New Roman" w:eastAsia="Times New Roman" w:hAnsi="Times New Roman"/>
          <w:sz w:val="24"/>
          <w:szCs w:val="24"/>
        </w:rPr>
        <w:t xml:space="preserve"> for personnel playing in off-duty sporting events, some employers will require </w:t>
      </w:r>
      <w:proofErr w:type="gramStart"/>
      <w:r w:rsidRPr="0009438D">
        <w:rPr>
          <w:rFonts w:ascii="Times New Roman" w:eastAsia="Times New Roman" w:hAnsi="Times New Roman"/>
          <w:sz w:val="24"/>
          <w:szCs w:val="24"/>
        </w:rPr>
        <w:t>employee</w:t>
      </w:r>
      <w:proofErr w:type="gramEnd"/>
      <w:r w:rsidRPr="0009438D">
        <w:rPr>
          <w:rFonts w:ascii="Times New Roman" w:eastAsia="Times New Roman" w:hAnsi="Times New Roman"/>
          <w:sz w:val="24"/>
          <w:szCs w:val="24"/>
        </w:rPr>
        <w:t xml:space="preserve"> to sign a waiver. </w:t>
      </w:r>
      <w:r>
        <w:rPr>
          <w:rFonts w:ascii="Times New Roman" w:eastAsia="Times New Roman" w:hAnsi="Times New Roman"/>
          <w:sz w:val="24"/>
          <w:szCs w:val="24"/>
        </w:rPr>
        <w:t xml:space="preserve">See Ohio BWC: </w:t>
      </w:r>
      <w:r>
        <w:rPr>
          <w:rFonts w:ascii="Times New Roman" w:hAnsi="Times New Roman"/>
          <w:sz w:val="24"/>
          <w:szCs w:val="24"/>
        </w:rPr>
        <w:t>“</w:t>
      </w:r>
      <w:r w:rsidRPr="0009438D">
        <w:rPr>
          <w:rFonts w:ascii="Times New Roman" w:hAnsi="Times New Roman"/>
          <w:sz w:val="24"/>
          <w:szCs w:val="24"/>
        </w:rPr>
        <w:t xml:space="preserve">It's BWC's policy that an injury or disability incurred during voluntary participation in an employer sponsored recreation or fitness activity is </w:t>
      </w:r>
      <w:r w:rsidRPr="0009438D">
        <w:rPr>
          <w:rStyle w:val="Strong"/>
          <w:rFonts w:ascii="Times New Roman" w:hAnsi="Times New Roman"/>
          <w:sz w:val="24"/>
          <w:szCs w:val="24"/>
        </w:rPr>
        <w:t>not</w:t>
      </w:r>
      <w:r w:rsidRPr="0009438D">
        <w:rPr>
          <w:rFonts w:ascii="Times New Roman" w:hAnsi="Times New Roman"/>
          <w:sz w:val="24"/>
          <w:szCs w:val="24"/>
        </w:rPr>
        <w:t xml:space="preserve"> compensable</w:t>
      </w:r>
      <w:r w:rsidRPr="0009438D">
        <w:rPr>
          <w:rStyle w:val="Strong"/>
          <w:rFonts w:ascii="Times New Roman" w:hAnsi="Times New Roman"/>
          <w:sz w:val="24"/>
          <w:szCs w:val="24"/>
        </w:rPr>
        <w:t xml:space="preserve"> if </w:t>
      </w:r>
      <w:r w:rsidRPr="0009438D">
        <w:rPr>
          <w:rFonts w:ascii="Times New Roman" w:hAnsi="Times New Roman"/>
          <w:sz w:val="24"/>
          <w:szCs w:val="24"/>
        </w:rPr>
        <w:t>the injured worker signed a waiver of the right to workers' compensation benefits prior to engaging in the recreation or fitness activity.</w:t>
      </w:r>
      <w:r>
        <w:rPr>
          <w:rFonts w:ascii="Times New Roman" w:hAnsi="Times New Roman"/>
          <w:sz w:val="24"/>
          <w:szCs w:val="24"/>
        </w:rPr>
        <w:t xml:space="preserve">” </w:t>
      </w:r>
      <w:hyperlink r:id="rId1162" w:history="1">
        <w:r w:rsidRPr="00107D95">
          <w:rPr>
            <w:rStyle w:val="Hyperlink"/>
            <w:rFonts w:ascii="Times New Roman" w:hAnsi="Times New Roman"/>
            <w:sz w:val="24"/>
            <w:szCs w:val="24"/>
          </w:rPr>
          <w:t>https://info.bwc.ohio.gov/for-employers/workers-compensation-claims/recreational-waiver</w:t>
        </w:r>
      </w:hyperlink>
      <w:r>
        <w:rPr>
          <w:rFonts w:ascii="Times New Roman" w:hAnsi="Times New Roman"/>
          <w:sz w:val="24"/>
          <w:szCs w:val="24"/>
        </w:rPr>
        <w:t xml:space="preserve"> </w:t>
      </w:r>
    </w:p>
    <w:p w14:paraId="4F7A5F60" w14:textId="77777777" w:rsidR="0002742E" w:rsidRDefault="0002742E" w:rsidP="00EF1133">
      <w:pPr>
        <w:rPr>
          <w:rFonts w:ascii="Arial Black" w:hAnsi="Arial Black"/>
          <w:b/>
          <w:sz w:val="24"/>
          <w:szCs w:val="24"/>
        </w:rPr>
      </w:pPr>
    </w:p>
    <w:p w14:paraId="1CFC6FD3" w14:textId="45A014E4" w:rsidR="00727951" w:rsidRDefault="00727951" w:rsidP="00EF1133">
      <w:pPr>
        <w:rPr>
          <w:rFonts w:ascii="Arial Black" w:hAnsi="Arial Black"/>
          <w:b/>
          <w:sz w:val="24"/>
          <w:szCs w:val="24"/>
        </w:rPr>
      </w:pPr>
      <w:r>
        <w:rPr>
          <w:rFonts w:ascii="Arial Black" w:hAnsi="Arial Black"/>
          <w:b/>
          <w:sz w:val="24"/>
          <w:szCs w:val="24"/>
        </w:rPr>
        <w:t>6-8</w:t>
      </w:r>
      <w:r w:rsidR="00FF7C63">
        <w:rPr>
          <w:rFonts w:ascii="Arial Black" w:hAnsi="Arial Black"/>
          <w:b/>
          <w:sz w:val="24"/>
          <w:szCs w:val="24"/>
        </w:rPr>
        <w:t>8</w:t>
      </w:r>
    </w:p>
    <w:p w14:paraId="788BC477" w14:textId="77777777" w:rsidR="00727951" w:rsidRPr="00421F16" w:rsidRDefault="00727951" w:rsidP="00727951">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CA: FF PAY - CITY COUNCIL DOES NOT HAVE TO COMPARE PAY FF IN 5 CITIES – “MEASURE F” UNENFORCEABLE</w:t>
      </w:r>
    </w:p>
    <w:p w14:paraId="24FCF342" w14:textId="77777777" w:rsidR="00727951" w:rsidRDefault="00727951" w:rsidP="00727951">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On March 24, 2022, in </w:t>
      </w:r>
      <w:r w:rsidRPr="00421F16">
        <w:rPr>
          <w:rFonts w:ascii="Times New Roman" w:eastAsia="Times New Roman" w:hAnsi="Times New Roman"/>
          <w:sz w:val="24"/>
          <w:szCs w:val="24"/>
          <w:u w:val="single"/>
        </w:rPr>
        <w:t>Pacifica Firefighters Association v. City of Pacifica</w:t>
      </w:r>
      <w:r>
        <w:rPr>
          <w:rFonts w:ascii="Times New Roman" w:eastAsia="Times New Roman" w:hAnsi="Times New Roman"/>
          <w:sz w:val="24"/>
          <w:szCs w:val="24"/>
        </w:rPr>
        <w:t xml:space="preserve">, the California Court of Appeals, First District (Second Division) held (3 to 0) that the trial court judge properly denied the FF Association’s petition requiring the City to follow “Measure F” after an impasse in negotiations in 2019.  </w:t>
      </w:r>
      <w:hyperlink r:id="rId1163" w:history="1">
        <w:r w:rsidRPr="00B25BE6">
          <w:rPr>
            <w:rStyle w:val="Hyperlink"/>
            <w:rFonts w:ascii="Times New Roman" w:eastAsia="Times New Roman" w:hAnsi="Times New Roman"/>
            <w:sz w:val="24"/>
            <w:szCs w:val="24"/>
          </w:rPr>
          <w:t>https://law.justia.com/cases/california/court-of-appeal/2022/a161575.html</w:t>
        </w:r>
      </w:hyperlink>
      <w:r>
        <w:rPr>
          <w:rFonts w:ascii="Times New Roman" w:eastAsia="Times New Roman" w:hAnsi="Times New Roman"/>
          <w:sz w:val="24"/>
          <w:szCs w:val="24"/>
        </w:rPr>
        <w:t xml:space="preserve"> </w:t>
      </w:r>
    </w:p>
    <w:p w14:paraId="170CDF5B" w14:textId="77777777" w:rsidR="00727951" w:rsidRDefault="00727951" w:rsidP="00727951">
      <w:pPr>
        <w:spacing w:before="100" w:beforeAutospacing="1" w:after="100" w:afterAutospacing="1" w:line="240" w:lineRule="auto"/>
        <w:ind w:left="720"/>
        <w:rPr>
          <w:rFonts w:ascii="Times New Roman" w:eastAsia="Times New Roman" w:hAnsi="Times New Roman"/>
          <w:sz w:val="24"/>
          <w:szCs w:val="24"/>
        </w:rPr>
      </w:pPr>
      <w:r>
        <w:rPr>
          <w:rFonts w:ascii="Times New Roman" w:hAnsi="Times New Roman"/>
          <w:sz w:val="24"/>
          <w:szCs w:val="24"/>
        </w:rPr>
        <w:t>“</w:t>
      </w:r>
      <w:r w:rsidRPr="00036D7B">
        <w:rPr>
          <w:rFonts w:ascii="Times New Roman" w:hAnsi="Times New Roman"/>
          <w:sz w:val="24"/>
          <w:szCs w:val="24"/>
        </w:rPr>
        <w:t xml:space="preserve">Measure F addresses the compensation of employees in a single city department; the voters sought to ensure that if negotiations failed, firefighters in Pacifica would receive compensation commensurate with that of firefighters in neighboring cities. Laudable as their purpose may have been, the voters were considering one part of a complicated puzzle in isolation. Voters do not have access to the detailed financial information necessary to see the puzzle as a whole and weigh competing demands on a finite city treasury. In specifically directing the </w:t>
      </w:r>
      <w:r>
        <w:rPr>
          <w:rFonts w:ascii="Times New Roman" w:hAnsi="Times New Roman"/>
          <w:sz w:val="24"/>
          <w:szCs w:val="24"/>
        </w:rPr>
        <w:t>‘</w:t>
      </w:r>
      <w:r w:rsidRPr="00036D7B">
        <w:rPr>
          <w:rFonts w:ascii="Times New Roman" w:hAnsi="Times New Roman"/>
          <w:sz w:val="24"/>
          <w:szCs w:val="24"/>
        </w:rPr>
        <w:t>city council</w:t>
      </w:r>
      <w:r>
        <w:rPr>
          <w:rFonts w:ascii="Times New Roman" w:hAnsi="Times New Roman"/>
          <w:sz w:val="24"/>
          <w:szCs w:val="24"/>
        </w:rPr>
        <w:t>’</w:t>
      </w:r>
      <w:r w:rsidRPr="00036D7B">
        <w:rPr>
          <w:rFonts w:ascii="Times New Roman" w:hAnsi="Times New Roman"/>
          <w:sz w:val="24"/>
          <w:szCs w:val="24"/>
        </w:rPr>
        <w:t xml:space="preserve"> to </w:t>
      </w:r>
      <w:r>
        <w:rPr>
          <w:rFonts w:ascii="Times New Roman" w:hAnsi="Times New Roman"/>
          <w:sz w:val="24"/>
          <w:szCs w:val="24"/>
        </w:rPr>
        <w:t>‘</w:t>
      </w:r>
      <w:r w:rsidRPr="00036D7B">
        <w:rPr>
          <w:rFonts w:ascii="Times New Roman" w:hAnsi="Times New Roman"/>
          <w:sz w:val="24"/>
          <w:szCs w:val="24"/>
        </w:rPr>
        <w:t>fix the compensation of all appointive officers and employees</w:t>
      </w:r>
      <w:r>
        <w:rPr>
          <w:rFonts w:ascii="Times New Roman" w:hAnsi="Times New Roman"/>
          <w:sz w:val="24"/>
          <w:szCs w:val="24"/>
        </w:rPr>
        <w:t>’</w:t>
      </w:r>
      <w:r w:rsidRPr="00036D7B">
        <w:rPr>
          <w:rFonts w:ascii="Times New Roman" w:hAnsi="Times New Roman"/>
          <w:sz w:val="24"/>
          <w:szCs w:val="24"/>
        </w:rPr>
        <w:t xml:space="preserve"> (§ 36506), the Legislature must have intended to avoid the disruption to city operations that could result if the electorate could require a general law city to pay its firefighters higher salaries than the city council deemed appropriate by requiring salaries no less than those in another jurisdiction.</w:t>
      </w:r>
      <w:r>
        <w:rPr>
          <w:rFonts w:ascii="Times New Roman" w:hAnsi="Times New Roman"/>
          <w:sz w:val="24"/>
          <w:szCs w:val="24"/>
        </w:rPr>
        <w:t xml:space="preserve"> </w:t>
      </w:r>
      <w:r w:rsidRPr="00036D7B">
        <w:rPr>
          <w:rFonts w:ascii="Times New Roman" w:hAnsi="Times New Roman"/>
          <w:sz w:val="24"/>
          <w:szCs w:val="24"/>
        </w:rPr>
        <w:t xml:space="preserve">We therefore agree with the trial court that Measure F is unenforceable as a usurpation of authority the Legislature granted exclusively to the city </w:t>
      </w:r>
      <w:proofErr w:type="gramStart"/>
      <w:r w:rsidRPr="00036D7B">
        <w:rPr>
          <w:rFonts w:ascii="Times New Roman" w:hAnsi="Times New Roman"/>
          <w:sz w:val="24"/>
          <w:szCs w:val="24"/>
        </w:rPr>
        <w:t>council.</w:t>
      </w:r>
      <w:r>
        <w:rPr>
          <w:rFonts w:ascii="Times New Roman" w:hAnsi="Times New Roman"/>
          <w:sz w:val="24"/>
          <w:szCs w:val="24"/>
        </w:rPr>
        <w:t>”</w:t>
      </w:r>
      <w:proofErr w:type="gramEnd"/>
      <w:r>
        <w:rPr>
          <w:rFonts w:ascii="Times New Roman" w:hAnsi="Times New Roman"/>
          <w:sz w:val="24"/>
          <w:szCs w:val="24"/>
        </w:rPr>
        <w:t xml:space="preserve"> </w:t>
      </w:r>
      <w:hyperlink r:id="rId1164" w:history="1">
        <w:r w:rsidRPr="00B25BE6">
          <w:rPr>
            <w:rStyle w:val="Hyperlink"/>
            <w:rFonts w:ascii="Times New Roman" w:eastAsia="Times New Roman" w:hAnsi="Times New Roman"/>
            <w:sz w:val="24"/>
            <w:szCs w:val="24"/>
          </w:rPr>
          <w:t>https://law.justia.com/cases/california/court-of-appeal/2022/a161575.html</w:t>
        </w:r>
      </w:hyperlink>
      <w:r>
        <w:rPr>
          <w:rFonts w:ascii="Times New Roman" w:eastAsia="Times New Roman" w:hAnsi="Times New Roman"/>
          <w:sz w:val="24"/>
          <w:szCs w:val="24"/>
        </w:rPr>
        <w:t xml:space="preserve"> </w:t>
      </w:r>
    </w:p>
    <w:p w14:paraId="1675592E" w14:textId="77777777" w:rsidR="00727951" w:rsidRDefault="00727951" w:rsidP="00727951">
      <w:pPr>
        <w:spacing w:before="100" w:beforeAutospacing="1" w:after="100" w:afterAutospacing="1" w:line="240" w:lineRule="auto"/>
        <w:rPr>
          <w:rFonts w:ascii="Times New Roman" w:eastAsia="Times New Roman" w:hAnsi="Times New Roman"/>
          <w:b/>
          <w:bCs/>
          <w:sz w:val="24"/>
          <w:szCs w:val="24"/>
        </w:rPr>
      </w:pPr>
      <w:r w:rsidRPr="00036D7B">
        <w:rPr>
          <w:rFonts w:ascii="Times New Roman" w:eastAsia="Times New Roman" w:hAnsi="Times New Roman"/>
          <w:b/>
          <w:bCs/>
          <w:sz w:val="24"/>
          <w:szCs w:val="24"/>
        </w:rPr>
        <w:t xml:space="preserve">Legal Lesson Learned: </w:t>
      </w:r>
      <w:r w:rsidRPr="00DC6AC7">
        <w:rPr>
          <w:rFonts w:ascii="Times New Roman" w:eastAsia="Times New Roman" w:hAnsi="Times New Roman"/>
          <w:b/>
          <w:bCs/>
          <w:sz w:val="24"/>
          <w:szCs w:val="24"/>
        </w:rPr>
        <w:t xml:space="preserve">The </w:t>
      </w:r>
      <w:r>
        <w:rPr>
          <w:rFonts w:ascii="Times New Roman" w:eastAsia="Times New Roman" w:hAnsi="Times New Roman"/>
          <w:b/>
          <w:bCs/>
          <w:sz w:val="24"/>
          <w:szCs w:val="24"/>
        </w:rPr>
        <w:t>California</w:t>
      </w:r>
      <w:r w:rsidRPr="00DC6AC7">
        <w:rPr>
          <w:rFonts w:ascii="Times New Roman" w:eastAsia="Times New Roman" w:hAnsi="Times New Roman"/>
          <w:b/>
          <w:bCs/>
          <w:sz w:val="24"/>
          <w:szCs w:val="24"/>
        </w:rPr>
        <w:t xml:space="preserve"> legislature has enacted procedures when the parties are at an impasse in negotiations</w:t>
      </w:r>
      <w:r>
        <w:rPr>
          <w:rFonts w:ascii="Times New Roman" w:eastAsia="Times New Roman" w:hAnsi="Times New Roman"/>
          <w:b/>
          <w:bCs/>
          <w:sz w:val="24"/>
          <w:szCs w:val="24"/>
        </w:rPr>
        <w:t>, and city voters cannot overturn those provisions.</w:t>
      </w:r>
      <w:r w:rsidRPr="00DC6AC7">
        <w:rPr>
          <w:rFonts w:ascii="Times New Roman" w:eastAsia="Times New Roman" w:hAnsi="Times New Roman"/>
          <w:b/>
          <w:bCs/>
          <w:sz w:val="24"/>
          <w:szCs w:val="24"/>
        </w:rPr>
        <w:t xml:space="preserve"> </w:t>
      </w:r>
    </w:p>
    <w:p w14:paraId="0977A79C" w14:textId="2EEAEB2A" w:rsidR="00727951" w:rsidRDefault="00727951" w:rsidP="00727951">
      <w:pPr>
        <w:rPr>
          <w:rFonts w:ascii="Arial Black" w:hAnsi="Arial Black"/>
          <w:b/>
          <w:sz w:val="24"/>
          <w:szCs w:val="24"/>
        </w:rPr>
      </w:pPr>
      <w:r w:rsidRPr="0039112E">
        <w:rPr>
          <w:rFonts w:ascii="Times New Roman" w:eastAsia="Times New Roman" w:hAnsi="Times New Roman"/>
          <w:sz w:val="24"/>
          <w:szCs w:val="24"/>
        </w:rPr>
        <w:t>Note: “</w:t>
      </w:r>
      <w:r w:rsidRPr="0039112E">
        <w:rPr>
          <w:rFonts w:ascii="Times New Roman" w:hAnsi="Times New Roman"/>
          <w:sz w:val="24"/>
          <w:szCs w:val="24"/>
        </w:rPr>
        <w:t xml:space="preserve">The Meyers-Milias-Brown Act (1968) governs the labor-management relations in California local government, including cities, counties, and most special districts.” </w:t>
      </w:r>
      <w:hyperlink r:id="rId1165" w:history="1">
        <w:r w:rsidRPr="0039112E">
          <w:rPr>
            <w:rStyle w:val="Hyperlink"/>
            <w:rFonts w:ascii="Times New Roman" w:hAnsi="Times New Roman"/>
            <w:sz w:val="24"/>
            <w:szCs w:val="24"/>
          </w:rPr>
          <w:t>https://capeunion.org/contracts/meyers-milias-brown-act</w:t>
        </w:r>
      </w:hyperlink>
    </w:p>
    <w:p w14:paraId="7FBFE8AF" w14:textId="77777777" w:rsidR="00727951" w:rsidRDefault="00727951" w:rsidP="00EF1133">
      <w:pPr>
        <w:rPr>
          <w:rFonts w:ascii="Arial Black" w:hAnsi="Arial Black"/>
          <w:b/>
          <w:sz w:val="24"/>
          <w:szCs w:val="24"/>
        </w:rPr>
      </w:pPr>
    </w:p>
    <w:p w14:paraId="60736E6A" w14:textId="77777777" w:rsidR="00727951" w:rsidRDefault="00727951" w:rsidP="00EF1133">
      <w:pPr>
        <w:rPr>
          <w:rFonts w:ascii="Arial Black" w:hAnsi="Arial Black"/>
          <w:b/>
          <w:sz w:val="24"/>
          <w:szCs w:val="24"/>
        </w:rPr>
      </w:pPr>
    </w:p>
    <w:p w14:paraId="3649F5DE" w14:textId="230CC917" w:rsidR="009A3D9F" w:rsidRDefault="009A3D9F" w:rsidP="00EF1133">
      <w:pPr>
        <w:rPr>
          <w:rFonts w:ascii="Arial Black" w:hAnsi="Arial Black"/>
          <w:b/>
          <w:sz w:val="24"/>
          <w:szCs w:val="24"/>
        </w:rPr>
      </w:pPr>
      <w:r>
        <w:rPr>
          <w:rFonts w:ascii="Arial Black" w:hAnsi="Arial Black"/>
          <w:b/>
          <w:sz w:val="24"/>
          <w:szCs w:val="24"/>
        </w:rPr>
        <w:t>6-8</w:t>
      </w:r>
      <w:r w:rsidR="00FF7C63">
        <w:rPr>
          <w:rFonts w:ascii="Arial Black" w:hAnsi="Arial Black"/>
          <w:b/>
          <w:sz w:val="24"/>
          <w:szCs w:val="24"/>
        </w:rPr>
        <w:t>7</w:t>
      </w:r>
    </w:p>
    <w:p w14:paraId="35683431" w14:textId="77777777" w:rsidR="009A3D9F" w:rsidRPr="006122C5" w:rsidRDefault="009A3D9F" w:rsidP="009A3D9F">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IL: STATE “CATASTROPHIC INJURY” BENEFITS – CITY CAN’T DENY TO FF / PD WHO CAN DO “GAINFUL WORK”</w:t>
      </w:r>
    </w:p>
    <w:p w14:paraId="79A7036E" w14:textId="77777777" w:rsidR="009A3D9F" w:rsidRDefault="009A3D9F" w:rsidP="009A3D9F">
      <w:pPr>
        <w:spacing w:before="100" w:beforeAutospacing="1" w:after="100" w:afterAutospacing="1" w:line="240" w:lineRule="auto"/>
        <w:rPr>
          <w:rFonts w:ascii="Times New Roman" w:eastAsia="Times New Roman" w:hAnsi="Times New Roman"/>
          <w:sz w:val="24"/>
          <w:szCs w:val="24"/>
        </w:rPr>
      </w:pPr>
      <w:r w:rsidRPr="004E0E0D">
        <w:rPr>
          <w:rFonts w:ascii="Times New Roman" w:eastAsia="Times New Roman" w:hAnsi="Times New Roman"/>
          <w:sz w:val="24"/>
          <w:szCs w:val="24"/>
        </w:rPr>
        <w:t>On Jan. 21, 2022</w:t>
      </w:r>
      <w:r>
        <w:rPr>
          <w:rFonts w:ascii="Times New Roman" w:eastAsia="Times New Roman" w:hAnsi="Times New Roman"/>
          <w:sz w:val="24"/>
          <w:szCs w:val="24"/>
        </w:rPr>
        <w:t xml:space="preserve">, </w:t>
      </w:r>
      <w:r w:rsidRPr="004E0E0D">
        <w:rPr>
          <w:rFonts w:ascii="Times New Roman" w:eastAsia="Times New Roman" w:hAnsi="Times New Roman"/>
          <w:sz w:val="24"/>
          <w:szCs w:val="24"/>
        </w:rPr>
        <w:t xml:space="preserve">in </w:t>
      </w:r>
      <w:r w:rsidRPr="004E0E0D">
        <w:rPr>
          <w:rFonts w:ascii="Times New Roman" w:eastAsia="Times New Roman" w:hAnsi="Times New Roman"/>
          <w:sz w:val="24"/>
          <w:szCs w:val="24"/>
          <w:u w:val="single"/>
        </w:rPr>
        <w:t>IAFF Local 50 v. The City of Peoria</w:t>
      </w:r>
      <w:r w:rsidRPr="004E0E0D">
        <w:rPr>
          <w:rFonts w:ascii="Times New Roman" w:eastAsia="Times New Roman" w:hAnsi="Times New Roman"/>
          <w:sz w:val="24"/>
          <w:szCs w:val="24"/>
        </w:rPr>
        <w:t>, the Supreme Court of Illinois held (7 to 0)</w:t>
      </w:r>
      <w:r>
        <w:rPr>
          <w:rFonts w:ascii="Times New Roman" w:eastAsia="Times New Roman" w:hAnsi="Times New Roman"/>
          <w:sz w:val="24"/>
          <w:szCs w:val="24"/>
        </w:rPr>
        <w:t>, that the city does not have “home rule” authority to enact an ordinance restricting state pension law for career firefighters and police officers. “</w:t>
      </w:r>
      <w:r w:rsidRPr="00E32542">
        <w:rPr>
          <w:rFonts w:ascii="Times New Roman" w:eastAsia="Times New Roman" w:hAnsi="Times New Roman"/>
          <w:sz w:val="24"/>
          <w:szCs w:val="24"/>
        </w:rPr>
        <w:t>Under the ordinance, if a firefighter can volunteer part-time as a store greeter, he or she will not be considered to have suffered a catastrophic injury-even if that firefighter is not compensated.</w:t>
      </w:r>
      <w:r>
        <w:rPr>
          <w:rFonts w:ascii="Times New Roman" w:eastAsia="Times New Roman" w:hAnsi="Times New Roman"/>
          <w:sz w:val="24"/>
          <w:szCs w:val="24"/>
        </w:rPr>
        <w:t xml:space="preserve">” The Illinois 1997 </w:t>
      </w:r>
      <w:r w:rsidRPr="00302251">
        <w:rPr>
          <w:rFonts w:ascii="Times New Roman" w:eastAsia="Times New Roman" w:hAnsi="Times New Roman"/>
          <w:sz w:val="24"/>
          <w:szCs w:val="24"/>
        </w:rPr>
        <w:t>Public Safety Employee Benefits Act</w:t>
      </w:r>
      <w:r>
        <w:rPr>
          <w:rFonts w:ascii="Times New Roman" w:eastAsia="Times New Roman" w:hAnsi="Times New Roman"/>
          <w:sz w:val="24"/>
          <w:szCs w:val="24"/>
        </w:rPr>
        <w:t xml:space="preserve">, as interpreted by state Supreme Court, covers injured firefighters and police </w:t>
      </w:r>
      <w:proofErr w:type="gramStart"/>
      <w:r>
        <w:rPr>
          <w:rFonts w:ascii="Times New Roman" w:eastAsia="Times New Roman" w:hAnsi="Times New Roman"/>
          <w:sz w:val="24"/>
          <w:szCs w:val="24"/>
        </w:rPr>
        <w:t>who can</w:t>
      </w:r>
      <w:proofErr w:type="gramEnd"/>
      <w:r>
        <w:rPr>
          <w:rFonts w:ascii="Times New Roman" w:eastAsia="Times New Roman" w:hAnsi="Times New Roman"/>
          <w:sz w:val="24"/>
          <w:szCs w:val="24"/>
        </w:rPr>
        <w:t xml:space="preserve"> no longer perform their public safety jobs, but may be able to do other work. Their employer “</w:t>
      </w:r>
      <w:r w:rsidRPr="00BB5C6D">
        <w:rPr>
          <w:rFonts w:ascii="Times New Roman" w:eastAsia="Times New Roman" w:hAnsi="Times New Roman"/>
          <w:sz w:val="24"/>
          <w:szCs w:val="24"/>
        </w:rPr>
        <w:t>shall pay the entire premium of the employer's health insurance plan for the injured employee, the injured employee's spouse, and for each dependent child of the injured employee."</w:t>
      </w:r>
      <w:r>
        <w:rPr>
          <w:rFonts w:ascii="Times New Roman" w:eastAsia="Times New Roman" w:hAnsi="Times New Roman"/>
          <w:sz w:val="24"/>
          <w:szCs w:val="24"/>
        </w:rPr>
        <w:t xml:space="preserve"> </w:t>
      </w:r>
      <w:hyperlink r:id="rId1166" w:history="1">
        <w:r w:rsidRPr="00A83547">
          <w:rPr>
            <w:rStyle w:val="Hyperlink"/>
          </w:rPr>
          <w:t>https://ilcourtsaudio.blob.core.windows.net/antilles-resources/resources/51e43aff-4d85-414d-b8bb-128a5f970896/Int%20Assn%20of%20Fire%20Fighters,%20Local%2050%20v.%20City%20of%20Peoria,%202021%20IL%20127040.pdf</w:t>
        </w:r>
      </w:hyperlink>
    </w:p>
    <w:p w14:paraId="358BF0D0" w14:textId="77777777" w:rsidR="009A3D9F" w:rsidRPr="00302251" w:rsidRDefault="009A3D9F" w:rsidP="009A3D9F">
      <w:pPr>
        <w:spacing w:before="100" w:beforeAutospacing="1" w:after="100" w:afterAutospacing="1" w:line="240" w:lineRule="auto"/>
        <w:rPr>
          <w:rFonts w:ascii="Times New Roman" w:eastAsia="Times New Roman" w:hAnsi="Times New Roman"/>
          <w:b/>
          <w:bCs/>
          <w:sz w:val="24"/>
          <w:szCs w:val="24"/>
        </w:rPr>
      </w:pPr>
      <w:r w:rsidRPr="00A62F01">
        <w:rPr>
          <w:rFonts w:ascii="Times New Roman" w:eastAsia="Times New Roman" w:hAnsi="Times New Roman"/>
          <w:b/>
          <w:bCs/>
          <w:sz w:val="24"/>
          <w:szCs w:val="24"/>
        </w:rPr>
        <w:t>Legal Lesson Learned:</w:t>
      </w:r>
      <w:r>
        <w:rPr>
          <w:rFonts w:ascii="Times New Roman" w:eastAsia="Times New Roman" w:hAnsi="Times New Roman"/>
          <w:b/>
          <w:bCs/>
          <w:sz w:val="24"/>
          <w:szCs w:val="24"/>
        </w:rPr>
        <w:t xml:space="preserve"> The Court prevented this “Home Rule” city from seeking to avoid financial obligations under the state statute.</w:t>
      </w:r>
    </w:p>
    <w:p w14:paraId="45930D0B" w14:textId="77777777" w:rsidR="009A3D9F" w:rsidRDefault="009A3D9F" w:rsidP="00EF1133">
      <w:pPr>
        <w:rPr>
          <w:rFonts w:ascii="Arial Black" w:hAnsi="Arial Black"/>
          <w:b/>
          <w:sz w:val="24"/>
          <w:szCs w:val="24"/>
        </w:rPr>
      </w:pPr>
    </w:p>
    <w:p w14:paraId="577D9922" w14:textId="77777777" w:rsidR="009A3D9F" w:rsidRDefault="009A3D9F" w:rsidP="00EF1133">
      <w:pPr>
        <w:rPr>
          <w:rFonts w:ascii="Arial Black" w:hAnsi="Arial Black"/>
          <w:b/>
          <w:sz w:val="24"/>
          <w:szCs w:val="24"/>
        </w:rPr>
      </w:pPr>
    </w:p>
    <w:p w14:paraId="1E5CDFAB" w14:textId="023C63E4" w:rsidR="00433119" w:rsidRDefault="00433119" w:rsidP="00EF1133">
      <w:pPr>
        <w:rPr>
          <w:rFonts w:ascii="Arial Black" w:hAnsi="Arial Black"/>
          <w:b/>
          <w:sz w:val="24"/>
          <w:szCs w:val="24"/>
        </w:rPr>
      </w:pPr>
      <w:r>
        <w:rPr>
          <w:rFonts w:ascii="Arial Black" w:hAnsi="Arial Black"/>
          <w:b/>
          <w:sz w:val="24"/>
          <w:szCs w:val="24"/>
        </w:rPr>
        <w:t>6-8</w:t>
      </w:r>
      <w:r w:rsidR="00FF7C63">
        <w:rPr>
          <w:rFonts w:ascii="Arial Black" w:hAnsi="Arial Black"/>
          <w:b/>
          <w:sz w:val="24"/>
          <w:szCs w:val="24"/>
        </w:rPr>
        <w:t>6</w:t>
      </w:r>
    </w:p>
    <w:p w14:paraId="1CCC98C0" w14:textId="77777777" w:rsidR="00433119" w:rsidRDefault="00433119" w:rsidP="00433119">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 xml:space="preserve">IL: PENSION - INJURED MOVING WATERBOTTLES AT STATION – FF GETS PENSION FOR “ACT OF DUTY” INJURIES </w:t>
      </w:r>
    </w:p>
    <w:p w14:paraId="700CAF20" w14:textId="77777777" w:rsidR="00433119" w:rsidRDefault="00433119" w:rsidP="00433119">
      <w:pPr>
        <w:spacing w:before="100" w:beforeAutospacing="1" w:after="100" w:afterAutospacing="1" w:line="240" w:lineRule="auto"/>
        <w:rPr>
          <w:rFonts w:ascii="Times New Roman" w:eastAsia="Times New Roman" w:hAnsi="Times New Roman"/>
          <w:sz w:val="24"/>
          <w:szCs w:val="24"/>
        </w:rPr>
      </w:pPr>
      <w:r w:rsidRPr="00945A33">
        <w:rPr>
          <w:rFonts w:ascii="Times New Roman" w:eastAsia="Times New Roman" w:hAnsi="Times New Roman"/>
          <w:sz w:val="24"/>
          <w:szCs w:val="24"/>
        </w:rPr>
        <w:t xml:space="preserve">On </w:t>
      </w:r>
      <w:r>
        <w:rPr>
          <w:rFonts w:ascii="Times New Roman" w:eastAsia="Times New Roman" w:hAnsi="Times New Roman"/>
          <w:sz w:val="24"/>
          <w:szCs w:val="24"/>
        </w:rPr>
        <w:t xml:space="preserve">Dec. 28, 2021, in </w:t>
      </w:r>
      <w:r w:rsidRPr="00945A33">
        <w:rPr>
          <w:rFonts w:ascii="Times New Roman" w:eastAsia="Times New Roman" w:hAnsi="Times New Roman"/>
          <w:sz w:val="24"/>
          <w:szCs w:val="24"/>
          <w:u w:val="single"/>
        </w:rPr>
        <w:t>The Village of Roselle v. The Board of Trustees of the Roselle Firefighters’ Pension Fund, and Ryan Case</w:t>
      </w:r>
      <w:r>
        <w:rPr>
          <w:rFonts w:ascii="Times New Roman" w:eastAsia="Times New Roman" w:hAnsi="Times New Roman"/>
          <w:sz w:val="24"/>
          <w:szCs w:val="24"/>
        </w:rPr>
        <w:t xml:space="preserve">, the Court of Appeals of Illinois, Second District, held (3 to 0) that the Circuit Court judge had improperly reversed the Board of </w:t>
      </w:r>
      <w:proofErr w:type="gramStart"/>
      <w:r>
        <w:rPr>
          <w:rFonts w:ascii="Times New Roman" w:eastAsia="Times New Roman" w:hAnsi="Times New Roman"/>
          <w:sz w:val="24"/>
          <w:szCs w:val="24"/>
        </w:rPr>
        <w:t>Trustees</w:t>
      </w:r>
      <w:proofErr w:type="gramEnd"/>
      <w:r>
        <w:rPr>
          <w:rFonts w:ascii="Times New Roman" w:eastAsia="Times New Roman" w:hAnsi="Times New Roman"/>
          <w:sz w:val="24"/>
          <w:szCs w:val="24"/>
        </w:rPr>
        <w:t xml:space="preserve"> decision, and firefighter Ryan Case is entitled to a disability pension.  His failure to inform the Village of prior back problems when working at four prior fire department is not a defense; it was the back injury on Sept. 18, </w:t>
      </w:r>
      <w:proofErr w:type="gramStart"/>
      <w:r>
        <w:rPr>
          <w:rFonts w:ascii="Times New Roman" w:eastAsia="Times New Roman" w:hAnsi="Times New Roman"/>
          <w:sz w:val="24"/>
          <w:szCs w:val="24"/>
        </w:rPr>
        <w:t>2016</w:t>
      </w:r>
      <w:proofErr w:type="gramEnd"/>
      <w:r>
        <w:rPr>
          <w:rFonts w:ascii="Times New Roman" w:eastAsia="Times New Roman" w:hAnsi="Times New Roman"/>
          <w:sz w:val="24"/>
          <w:szCs w:val="24"/>
        </w:rPr>
        <w:t xml:space="preserve"> when moving the bottles which led to the disability</w:t>
      </w:r>
    </w:p>
    <w:p w14:paraId="567D37A5" w14:textId="31A7535D" w:rsidR="00433119" w:rsidRDefault="00433119" w:rsidP="00433119">
      <w:pPr>
        <w:ind w:left="720"/>
        <w:rPr>
          <w:rFonts w:ascii="Arial Black" w:hAnsi="Arial Black"/>
          <w:b/>
          <w:sz w:val="24"/>
          <w:szCs w:val="24"/>
        </w:rPr>
      </w:pPr>
      <w:r>
        <w:rPr>
          <w:rFonts w:ascii="Times New Roman" w:eastAsia="Times New Roman" w:hAnsi="Times New Roman"/>
          <w:sz w:val="24"/>
          <w:szCs w:val="24"/>
        </w:rPr>
        <w:t>“</w:t>
      </w:r>
      <w:r w:rsidRPr="00526A4D">
        <w:rPr>
          <w:rFonts w:ascii="Times New Roman" w:eastAsia="Times New Roman" w:hAnsi="Times New Roman"/>
          <w:sz w:val="24"/>
          <w:szCs w:val="24"/>
        </w:rPr>
        <w:t xml:space="preserve">As for the Village's assertion that the Board applied too broad a definition of </w:t>
      </w:r>
      <w:r>
        <w:rPr>
          <w:rFonts w:ascii="Times New Roman" w:eastAsia="Times New Roman" w:hAnsi="Times New Roman"/>
          <w:sz w:val="24"/>
          <w:szCs w:val="24"/>
        </w:rPr>
        <w:t>‘</w:t>
      </w:r>
      <w:r w:rsidRPr="00526A4D">
        <w:rPr>
          <w:rFonts w:ascii="Times New Roman" w:eastAsia="Times New Roman" w:hAnsi="Times New Roman"/>
          <w:sz w:val="24"/>
          <w:szCs w:val="24"/>
        </w:rPr>
        <w:t>act of duty,</w:t>
      </w:r>
      <w:r>
        <w:rPr>
          <w:rFonts w:ascii="Times New Roman" w:eastAsia="Times New Roman" w:hAnsi="Times New Roman"/>
          <w:sz w:val="24"/>
          <w:szCs w:val="24"/>
        </w:rPr>
        <w:t>’</w:t>
      </w:r>
      <w:r w:rsidRPr="00526A4D">
        <w:rPr>
          <w:rFonts w:ascii="Times New Roman" w:eastAsia="Times New Roman" w:hAnsi="Times New Roman"/>
          <w:sz w:val="24"/>
          <w:szCs w:val="24"/>
        </w:rPr>
        <w:t xml:space="preserve"> that complaint is more properly directed at the General Assembly, which chose to define the term</w:t>
      </w:r>
      <w:r w:rsidRPr="00945A33">
        <w:rPr>
          <w:rFonts w:ascii="Times New Roman" w:eastAsia="Times New Roman" w:hAnsi="Times New Roman"/>
          <w:sz w:val="24"/>
          <w:szCs w:val="24"/>
        </w:rPr>
        <w:t xml:space="preserve"> </w:t>
      </w:r>
      <w:r w:rsidRPr="00526A4D">
        <w:rPr>
          <w:rFonts w:ascii="Times New Roman" w:eastAsia="Times New Roman" w:hAnsi="Times New Roman"/>
          <w:sz w:val="24"/>
          <w:szCs w:val="24"/>
        </w:rPr>
        <w:t>broadly. The Board's duty was not to craft its own, narrower definition but to apply the definition provided in the Code. The Board did just that, and we find no error in its decision.</w:t>
      </w:r>
      <w:r>
        <w:rPr>
          <w:rFonts w:ascii="Times New Roman" w:eastAsia="Times New Roman" w:hAnsi="Times New Roman"/>
          <w:sz w:val="24"/>
          <w:szCs w:val="24"/>
        </w:rPr>
        <w:t xml:space="preserve">”  </w:t>
      </w:r>
      <w:hyperlink r:id="rId1167" w:history="1">
        <w:r w:rsidRPr="00EC5853">
          <w:rPr>
            <w:rStyle w:val="Hyperlink"/>
            <w:rFonts w:ascii="Times New Roman" w:eastAsia="Times New Roman" w:hAnsi="Times New Roman"/>
            <w:sz w:val="24"/>
            <w:szCs w:val="24"/>
          </w:rPr>
          <w:t>https://ilcourtsaudio.blob.core.windows.net/antilles-resources/resources/2cab1835-a4bd-4f15-be52-5bbea6ed2024/Roselle%20v.%20BOT%20of%20the%20Roselle%20Firefighters%20Pension%20Fund,%202021%20IL%20App%20(2d)%20200360.pdf</w:t>
        </w:r>
      </w:hyperlink>
    </w:p>
    <w:p w14:paraId="2BBAF51B" w14:textId="77777777" w:rsidR="00433119" w:rsidRPr="00FB5E08" w:rsidRDefault="00433119" w:rsidP="00433119">
      <w:pPr>
        <w:spacing w:before="100" w:beforeAutospacing="1" w:after="100" w:afterAutospacing="1" w:line="240" w:lineRule="auto"/>
        <w:rPr>
          <w:rFonts w:ascii="Times New Roman" w:eastAsia="Times New Roman" w:hAnsi="Times New Roman"/>
          <w:b/>
          <w:bCs/>
          <w:sz w:val="24"/>
          <w:szCs w:val="24"/>
        </w:rPr>
      </w:pPr>
      <w:r w:rsidRPr="00FB5E08">
        <w:rPr>
          <w:rFonts w:ascii="Times New Roman" w:eastAsia="Times New Roman" w:hAnsi="Times New Roman"/>
          <w:b/>
          <w:bCs/>
          <w:sz w:val="24"/>
          <w:szCs w:val="24"/>
        </w:rPr>
        <w:t>Legal Lesson Learned:</w:t>
      </w:r>
      <w:r>
        <w:rPr>
          <w:rFonts w:ascii="Times New Roman" w:eastAsia="Times New Roman" w:hAnsi="Times New Roman"/>
          <w:b/>
          <w:bCs/>
          <w:sz w:val="24"/>
          <w:szCs w:val="24"/>
        </w:rPr>
        <w:t xml:space="preserve"> To avoid “surprises” concerning medical conditions of new hires, Fire Departments can (1) require release of prior medical records, and (2) condition hiring on passing medical examination.  </w:t>
      </w:r>
    </w:p>
    <w:p w14:paraId="71013C7A" w14:textId="77777777" w:rsidR="00433119" w:rsidRDefault="00433119" w:rsidP="00EF1133">
      <w:pPr>
        <w:rPr>
          <w:rFonts w:ascii="Arial Black" w:hAnsi="Arial Black"/>
          <w:b/>
          <w:sz w:val="24"/>
          <w:szCs w:val="24"/>
        </w:rPr>
      </w:pPr>
    </w:p>
    <w:p w14:paraId="1C27CF9C" w14:textId="2C99124D" w:rsidR="00433119" w:rsidRDefault="00433119" w:rsidP="00EF1133">
      <w:pPr>
        <w:rPr>
          <w:rFonts w:ascii="Arial Black" w:hAnsi="Arial Black"/>
          <w:b/>
          <w:sz w:val="24"/>
          <w:szCs w:val="24"/>
        </w:rPr>
      </w:pPr>
      <w:r>
        <w:rPr>
          <w:rFonts w:ascii="Arial Black" w:hAnsi="Arial Black"/>
          <w:b/>
          <w:sz w:val="24"/>
          <w:szCs w:val="24"/>
        </w:rPr>
        <w:t>6-8</w:t>
      </w:r>
      <w:r w:rsidR="00FF7C63">
        <w:rPr>
          <w:rFonts w:ascii="Arial Black" w:hAnsi="Arial Black"/>
          <w:b/>
          <w:sz w:val="24"/>
          <w:szCs w:val="24"/>
        </w:rPr>
        <w:t>5</w:t>
      </w:r>
    </w:p>
    <w:p w14:paraId="0D58B441" w14:textId="77777777" w:rsidR="00433119" w:rsidRPr="00635F06" w:rsidRDefault="00433119" w:rsidP="00433119">
      <w:pPr>
        <w:spacing w:before="100" w:beforeAutospacing="1" w:after="100" w:afterAutospacing="1" w:line="240" w:lineRule="auto"/>
        <w:rPr>
          <w:rFonts w:ascii="Arial Black" w:hAnsi="Arial Black"/>
          <w:sz w:val="28"/>
          <w:szCs w:val="28"/>
        </w:rPr>
      </w:pPr>
      <w:r>
        <w:rPr>
          <w:rFonts w:ascii="Arial Black" w:hAnsi="Arial Black"/>
          <w:sz w:val="28"/>
          <w:szCs w:val="28"/>
        </w:rPr>
        <w:t>IL: INJURED CHICAGO FFs PENSION - FREE AGE 65 – THEN MUST USE MEDICARE – PAY FOR ANY SUPPLEMENTAL</w:t>
      </w:r>
    </w:p>
    <w:p w14:paraId="1F07CA27" w14:textId="77777777" w:rsidR="00433119" w:rsidRPr="00FA3336" w:rsidRDefault="00433119" w:rsidP="00433119">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On Dec. 23, 2021, in </w:t>
      </w:r>
      <w:r w:rsidRPr="0089175F">
        <w:rPr>
          <w:rFonts w:ascii="Times New Roman" w:hAnsi="Times New Roman"/>
          <w:sz w:val="24"/>
          <w:szCs w:val="24"/>
          <w:u w:val="single"/>
        </w:rPr>
        <w:t>Thomas Barry, et al. v. City of Chicago</w:t>
      </w:r>
      <w:r>
        <w:rPr>
          <w:rFonts w:ascii="Times New Roman" w:hAnsi="Times New Roman"/>
          <w:sz w:val="24"/>
          <w:szCs w:val="24"/>
        </w:rPr>
        <w:t xml:space="preserve">, the Court of Appeals of Illinois, First District (Fourth Division) held (3 to 0) that the City’s obligation to provide premium-free participation in its group plan for active-duty firefighters ended when the plaintiffs became eligible for Medicare. Unfortunately, the </w:t>
      </w:r>
      <w:proofErr w:type="gramStart"/>
      <w:r w:rsidRPr="00FA3336">
        <w:rPr>
          <w:rFonts w:ascii="Times New Roman" w:hAnsi="Times New Roman"/>
          <w:sz w:val="24"/>
          <w:szCs w:val="24"/>
        </w:rPr>
        <w:t>City</w:t>
      </w:r>
      <w:proofErr w:type="gramEnd"/>
      <w:r w:rsidRPr="00FA3336">
        <w:rPr>
          <w:rFonts w:ascii="Times New Roman" w:hAnsi="Times New Roman"/>
          <w:sz w:val="24"/>
          <w:szCs w:val="24"/>
        </w:rPr>
        <w:t xml:space="preserve"> </w:t>
      </w:r>
      <w:r>
        <w:rPr>
          <w:rFonts w:ascii="Times New Roman" w:hAnsi="Times New Roman"/>
          <w:sz w:val="24"/>
          <w:szCs w:val="24"/>
        </w:rPr>
        <w:t xml:space="preserve">had also </w:t>
      </w:r>
      <w:r w:rsidRPr="00FA3336">
        <w:rPr>
          <w:rFonts w:ascii="Times New Roman" w:hAnsi="Times New Roman"/>
          <w:sz w:val="24"/>
          <w:szCs w:val="24"/>
        </w:rPr>
        <w:t>allowed plaintiffs to participate in its Medicare supplement retiree health care plan until that plan was discontinued in December 2016.</w:t>
      </w:r>
    </w:p>
    <w:p w14:paraId="08E2F7EA" w14:textId="77777777" w:rsidR="00433119" w:rsidRPr="00635F06" w:rsidRDefault="00433119" w:rsidP="00433119">
      <w:pPr>
        <w:spacing w:before="100" w:beforeAutospacing="1" w:after="100" w:afterAutospacing="1" w:line="240" w:lineRule="auto"/>
        <w:ind w:left="720"/>
        <w:rPr>
          <w:rFonts w:ascii="Times New Roman" w:eastAsia="Times New Roman" w:hAnsi="Times New Roman"/>
          <w:sz w:val="24"/>
          <w:szCs w:val="24"/>
        </w:rPr>
      </w:pPr>
      <w:r>
        <w:rPr>
          <w:rFonts w:ascii="Times New Roman" w:hAnsi="Times New Roman"/>
          <w:sz w:val="24"/>
          <w:szCs w:val="24"/>
        </w:rPr>
        <w:t>“</w:t>
      </w:r>
      <w:r w:rsidRPr="00635F06">
        <w:rPr>
          <w:rFonts w:ascii="Times New Roman" w:eastAsia="Times New Roman" w:hAnsi="Times New Roman"/>
          <w:sz w:val="24"/>
          <w:szCs w:val="24"/>
        </w:rPr>
        <w:t xml:space="preserve">We reject plaintiffs' argument that the Act guarantees lifetime premium-free health insurance under the City's group plan because the Act neither references Medicare nor states that benefits cease at a certain age. This argument seeks to add words to the Act that the legislature did not use and fails to </w:t>
      </w:r>
      <w:proofErr w:type="gramStart"/>
      <w:r w:rsidRPr="00635F06">
        <w:rPr>
          <w:rFonts w:ascii="Times New Roman" w:eastAsia="Times New Roman" w:hAnsi="Times New Roman"/>
          <w:sz w:val="24"/>
          <w:szCs w:val="24"/>
        </w:rPr>
        <w:t>construe</w:t>
      </w:r>
      <w:proofErr w:type="gramEnd"/>
      <w:r w:rsidRPr="00635F06">
        <w:rPr>
          <w:rFonts w:ascii="Times New Roman" w:eastAsia="Times New Roman" w:hAnsi="Times New Roman"/>
          <w:sz w:val="24"/>
          <w:szCs w:val="24"/>
        </w:rPr>
        <w:t xml:space="preserve"> the entire statute coherently. Although the Act does guarantee that injured firefighters will always have some type of health insurance coverage, whether from their former employer or another source like Medicare, the Act never states that premium-free coverage under the employer's group plan must last a lifetime. </w:t>
      </w:r>
      <w:r w:rsidRPr="00635F06">
        <w:rPr>
          <w:rFonts w:ascii="Times New Roman" w:hAnsi="Times New Roman"/>
          <w:sz w:val="24"/>
          <w:szCs w:val="24"/>
        </w:rPr>
        <w:t>Instead, section 10(a)(1) of the Act explicitly limits the employer's obligation to pay premiums for its group health insurance plan when benefits are payable from any other source. The public employer's obligation to pay the premiums is not reduced based on the beneficiaries' age per se but rather based on the existence of benefits payable "from any other source." 820 ILCS 320/10(a)(1) (West 2018).</w:t>
      </w:r>
      <w:r>
        <w:rPr>
          <w:rFonts w:ascii="Times New Roman" w:hAnsi="Times New Roman"/>
          <w:sz w:val="24"/>
          <w:szCs w:val="24"/>
        </w:rPr>
        <w:t xml:space="preserve">” </w:t>
      </w:r>
      <w:hyperlink r:id="rId1168" w:history="1">
        <w:r w:rsidRPr="00EC5853">
          <w:rPr>
            <w:rStyle w:val="Hyperlink"/>
            <w:rFonts w:ascii="Times New Roman" w:hAnsi="Times New Roman"/>
            <w:sz w:val="24"/>
            <w:szCs w:val="24"/>
          </w:rPr>
          <w:t>https://casetext.com/case/barry-v-the-city-of-chicago</w:t>
        </w:r>
      </w:hyperlink>
      <w:r>
        <w:rPr>
          <w:rFonts w:ascii="Times New Roman" w:hAnsi="Times New Roman"/>
          <w:sz w:val="24"/>
          <w:szCs w:val="24"/>
        </w:rPr>
        <w:t xml:space="preserve"> </w:t>
      </w:r>
    </w:p>
    <w:p w14:paraId="3A68F6F5" w14:textId="77777777" w:rsidR="00433119" w:rsidRDefault="00433119" w:rsidP="00433119">
      <w:pPr>
        <w:spacing w:before="100" w:beforeAutospacing="1" w:after="100" w:afterAutospacing="1" w:line="240" w:lineRule="auto"/>
        <w:rPr>
          <w:rFonts w:ascii="Times New Roman" w:eastAsia="Times New Roman" w:hAnsi="Times New Roman"/>
          <w:b/>
          <w:bCs/>
          <w:sz w:val="24"/>
          <w:szCs w:val="24"/>
        </w:rPr>
      </w:pPr>
      <w:r w:rsidRPr="00C10A06">
        <w:rPr>
          <w:rFonts w:ascii="Times New Roman" w:eastAsia="Times New Roman" w:hAnsi="Times New Roman"/>
          <w:b/>
          <w:bCs/>
          <w:sz w:val="24"/>
          <w:szCs w:val="24"/>
        </w:rPr>
        <w:t xml:space="preserve">Legal Lesson Learned: </w:t>
      </w:r>
      <w:r>
        <w:rPr>
          <w:rFonts w:ascii="Times New Roman" w:eastAsia="Times New Roman" w:hAnsi="Times New Roman"/>
          <w:b/>
          <w:bCs/>
          <w:sz w:val="24"/>
          <w:szCs w:val="24"/>
        </w:rPr>
        <w:t xml:space="preserve"> The medically retired firefighters must pay for Medicare supplemental retiree health care insurance.  </w:t>
      </w:r>
    </w:p>
    <w:p w14:paraId="431A8464" w14:textId="77777777" w:rsidR="00433119" w:rsidRDefault="00433119" w:rsidP="00EF1133">
      <w:pPr>
        <w:rPr>
          <w:rFonts w:ascii="Arial Black" w:hAnsi="Arial Black"/>
          <w:b/>
          <w:sz w:val="24"/>
          <w:szCs w:val="24"/>
        </w:rPr>
      </w:pPr>
    </w:p>
    <w:p w14:paraId="0D3FC633" w14:textId="75CC3222" w:rsidR="00433119" w:rsidRDefault="00433119" w:rsidP="00EF1133">
      <w:pPr>
        <w:rPr>
          <w:rFonts w:ascii="Arial Black" w:hAnsi="Arial Black"/>
          <w:b/>
          <w:sz w:val="24"/>
          <w:szCs w:val="24"/>
        </w:rPr>
      </w:pPr>
      <w:r>
        <w:rPr>
          <w:rFonts w:ascii="Arial Black" w:hAnsi="Arial Black"/>
          <w:b/>
          <w:sz w:val="24"/>
          <w:szCs w:val="24"/>
        </w:rPr>
        <w:t>6-8</w:t>
      </w:r>
      <w:r w:rsidR="00FF7C63">
        <w:rPr>
          <w:rFonts w:ascii="Arial Black" w:hAnsi="Arial Black"/>
          <w:b/>
          <w:sz w:val="24"/>
          <w:szCs w:val="24"/>
        </w:rPr>
        <w:t>4</w:t>
      </w:r>
    </w:p>
    <w:p w14:paraId="7A128F32" w14:textId="77777777" w:rsidR="00433119" w:rsidRPr="005B2B58" w:rsidRDefault="00433119" w:rsidP="00433119">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PA: ASTHMA / LUNG ISSUES - 11 YEARS FIRE SCENES PHOTOS - WORKERS COMP IF CAN PROVE JOB CAUSED</w:t>
      </w:r>
    </w:p>
    <w:p w14:paraId="350C6707" w14:textId="77777777" w:rsidR="00433119" w:rsidRPr="0096799C" w:rsidRDefault="00433119" w:rsidP="00433119">
      <w:pPr>
        <w:rPr>
          <w:rFonts w:ascii="Times New Roman" w:hAnsi="Times New Roman"/>
          <w:sz w:val="24"/>
          <w:szCs w:val="24"/>
        </w:rPr>
      </w:pPr>
      <w:r w:rsidRPr="0096799C">
        <w:rPr>
          <w:rFonts w:ascii="Times New Roman" w:hAnsi="Times New Roman"/>
          <w:sz w:val="24"/>
          <w:szCs w:val="24"/>
        </w:rPr>
        <w:t xml:space="preserve">On Dec. 23, 2021, in </w:t>
      </w:r>
      <w:r w:rsidRPr="0096799C">
        <w:rPr>
          <w:rFonts w:ascii="Times New Roman" w:hAnsi="Times New Roman"/>
          <w:sz w:val="24"/>
          <w:szCs w:val="24"/>
          <w:u w:val="single"/>
        </w:rPr>
        <w:t xml:space="preserve">Peter </w:t>
      </w:r>
      <w:proofErr w:type="spellStart"/>
      <w:r w:rsidRPr="0096799C">
        <w:rPr>
          <w:rFonts w:ascii="Times New Roman" w:hAnsi="Times New Roman"/>
          <w:sz w:val="24"/>
          <w:szCs w:val="24"/>
          <w:u w:val="single"/>
        </w:rPr>
        <w:t>DiLaqua</w:t>
      </w:r>
      <w:proofErr w:type="spellEnd"/>
      <w:r w:rsidRPr="0096799C">
        <w:rPr>
          <w:rFonts w:ascii="Times New Roman" w:hAnsi="Times New Roman"/>
          <w:sz w:val="24"/>
          <w:szCs w:val="24"/>
          <w:u w:val="single"/>
        </w:rPr>
        <w:t xml:space="preserve"> v. City of Philadelphia Fire Department</w:t>
      </w:r>
      <w:r w:rsidRPr="0096799C">
        <w:rPr>
          <w:rFonts w:ascii="Times New Roman" w:hAnsi="Times New Roman"/>
          <w:sz w:val="24"/>
          <w:szCs w:val="24"/>
        </w:rPr>
        <w:t xml:space="preserve">, the Commonwealth Court of Pennsylvania held (3 to 0) that the firefighters’ claim is remanded for further evidence to be presented to the Workers Comp Judge; the court reversed the Workers’ Compensation Review Board that had overturned the WCJ’s finding that the firefighter’s asthma and RADS (Reactive Airways Dysfunction Syndrome) were job related. </w:t>
      </w:r>
    </w:p>
    <w:p w14:paraId="78F8C10A" w14:textId="37D946BE" w:rsidR="00433119" w:rsidRDefault="00433119" w:rsidP="00433119">
      <w:pPr>
        <w:ind w:left="720"/>
        <w:rPr>
          <w:rFonts w:ascii="Arial Black" w:hAnsi="Arial Black"/>
          <w:b/>
          <w:sz w:val="24"/>
          <w:szCs w:val="24"/>
        </w:rPr>
      </w:pPr>
      <w:r>
        <w:rPr>
          <w:rFonts w:ascii="Times New Roman" w:hAnsi="Times New Roman"/>
          <w:sz w:val="24"/>
          <w:szCs w:val="24"/>
        </w:rPr>
        <w:t>“</w:t>
      </w:r>
      <w:r w:rsidRPr="00AE0D89">
        <w:rPr>
          <w:rFonts w:ascii="Times New Roman" w:hAnsi="Times New Roman"/>
          <w:sz w:val="24"/>
          <w:szCs w:val="24"/>
        </w:rPr>
        <w:t>At the WCJ hearings, Claimant testified</w:t>
      </w:r>
      <w:r>
        <w:rPr>
          <w:rFonts w:ascii="Times New Roman" w:hAnsi="Times New Roman"/>
          <w:sz w:val="24"/>
          <w:szCs w:val="24"/>
          <w:vertAlign w:val="superscript"/>
        </w:rPr>
        <w:t xml:space="preserve"> </w:t>
      </w:r>
      <w:r w:rsidRPr="00AE0D89">
        <w:rPr>
          <w:rFonts w:ascii="Times New Roman" w:hAnsi="Times New Roman"/>
          <w:sz w:val="24"/>
          <w:szCs w:val="24"/>
        </w:rPr>
        <w:t>that, although Employer provided respiratory protection equipment when he fought fires for the first two years of his employment, Employer did not provide such equipment when he photographed fire scenes for the VCU</w:t>
      </w:r>
      <w:r>
        <w:rPr>
          <w:rFonts w:ascii="Times New Roman" w:hAnsi="Times New Roman"/>
          <w:sz w:val="24"/>
          <w:szCs w:val="24"/>
        </w:rPr>
        <w:t xml:space="preserve"> </w:t>
      </w:r>
      <w:r w:rsidRPr="00AE0D89">
        <w:rPr>
          <w:rFonts w:ascii="Times New Roman" w:hAnsi="Times New Roman"/>
          <w:sz w:val="24"/>
          <w:szCs w:val="24"/>
        </w:rPr>
        <w:t>[Visual Communication Unit ]….</w:t>
      </w:r>
      <w:r>
        <w:t xml:space="preserve"> </w:t>
      </w:r>
      <w:r w:rsidRPr="00AE0D89">
        <w:rPr>
          <w:rFonts w:ascii="Times New Roman" w:hAnsi="Times New Roman"/>
          <w:sz w:val="24"/>
          <w:szCs w:val="24"/>
        </w:rPr>
        <w:t>Claimant estimated that he photographed 8 to 10 multiple-alarm fires per year and, over time, he photographed 50 to 70 rooms where deaths occurred</w:t>
      </w:r>
      <w:r>
        <w:rPr>
          <w:rFonts w:ascii="Times New Roman" w:hAnsi="Times New Roman"/>
          <w:sz w:val="24"/>
          <w:szCs w:val="24"/>
        </w:rPr>
        <w:t xml:space="preserve">…. </w:t>
      </w:r>
      <w:r w:rsidRPr="00AE0D89">
        <w:rPr>
          <w:rFonts w:ascii="Times New Roman" w:hAnsi="Times New Roman"/>
          <w:sz w:val="24"/>
          <w:szCs w:val="24"/>
        </w:rPr>
        <w:t xml:space="preserve">Claimant explained that, for multiple alarm fires, he would be at a scene for 8 to 10 hours and, relative to death investigations, he would be at a fire </w:t>
      </w:r>
      <w:r w:rsidRPr="00AE0D89">
        <w:rPr>
          <w:rFonts w:ascii="Times New Roman" w:hAnsi="Times New Roman"/>
          <w:sz w:val="24"/>
          <w:szCs w:val="24"/>
        </w:rPr>
        <w:lastRenderedPageBreak/>
        <w:t>scene for at least 6 hours</w:t>
      </w:r>
      <w:r>
        <w:rPr>
          <w:rFonts w:ascii="Times New Roman" w:hAnsi="Times New Roman"/>
          <w:sz w:val="24"/>
          <w:szCs w:val="24"/>
        </w:rPr>
        <w:t xml:space="preserve">…. </w:t>
      </w:r>
      <w:r w:rsidRPr="00AE0D89">
        <w:rPr>
          <w:rFonts w:ascii="Times New Roman" w:hAnsi="Times New Roman"/>
          <w:sz w:val="24"/>
          <w:szCs w:val="24"/>
        </w:rPr>
        <w:t>Here, key to the Board's and this Court's review is whether Claimant proved his entitlement to WC benefits. Specifically, whether he proved the injury he alleged in the Claim Petition, and whether it was causally related to his employment (or he was entitled to the Presumption). Because those issues cannot be resolved by this Court, this matter must be remanded to the Board and the WCJ for application of the correct legal principles.</w:t>
      </w:r>
      <w:r>
        <w:rPr>
          <w:rFonts w:ascii="Times New Roman" w:hAnsi="Times New Roman"/>
          <w:sz w:val="24"/>
          <w:szCs w:val="24"/>
        </w:rPr>
        <w:t xml:space="preserve">” </w:t>
      </w:r>
      <w:hyperlink r:id="rId1169" w:history="1">
        <w:r w:rsidRPr="00EC5853">
          <w:rPr>
            <w:rStyle w:val="Hyperlink"/>
            <w:rFonts w:ascii="Times New Roman" w:hAnsi="Times New Roman"/>
            <w:sz w:val="24"/>
            <w:szCs w:val="24"/>
          </w:rPr>
          <w:t>https://casetext.com/case/dilaqua-v-city-of-philadelphia-fire-dept-workers-comp-appeal-board</w:t>
        </w:r>
      </w:hyperlink>
    </w:p>
    <w:p w14:paraId="3F2F2D5D" w14:textId="77777777" w:rsidR="00433119" w:rsidRPr="00927BF6" w:rsidRDefault="00433119" w:rsidP="00433119">
      <w:pPr>
        <w:pStyle w:val="NormalWeb"/>
        <w:rPr>
          <w:b/>
          <w:bCs/>
        </w:rPr>
      </w:pPr>
      <w:r w:rsidRPr="00927BF6">
        <w:rPr>
          <w:b/>
          <w:bCs/>
        </w:rPr>
        <w:t>Legal Lesson Learned:</w:t>
      </w:r>
      <w:r>
        <w:rPr>
          <w:b/>
          <w:bCs/>
        </w:rPr>
        <w:t xml:space="preserve"> PA has a helpful statutory presumption for diseases of lungs for </w:t>
      </w:r>
      <w:proofErr w:type="gramStart"/>
      <w:r>
        <w:rPr>
          <w:b/>
          <w:bCs/>
        </w:rPr>
        <w:t>firefighter</w:t>
      </w:r>
      <w:proofErr w:type="gramEnd"/>
      <w:r>
        <w:rPr>
          <w:b/>
          <w:bCs/>
        </w:rPr>
        <w:t xml:space="preserve"> with four or more years of service. </w:t>
      </w:r>
    </w:p>
    <w:p w14:paraId="0FEC2BC5" w14:textId="77777777" w:rsidR="00433119" w:rsidRDefault="00433119" w:rsidP="00433119">
      <w:pPr>
        <w:ind w:left="720"/>
        <w:rPr>
          <w:rFonts w:ascii="Times New Roman" w:hAnsi="Times New Roman"/>
          <w:sz w:val="24"/>
          <w:szCs w:val="24"/>
        </w:rPr>
      </w:pPr>
      <w:r>
        <w:rPr>
          <w:rFonts w:ascii="Times New Roman" w:hAnsi="Times New Roman"/>
          <w:sz w:val="24"/>
          <w:szCs w:val="24"/>
        </w:rPr>
        <w:t xml:space="preserve">Note:  See Ohio Revised Code 742.38, statutory presumption: </w:t>
      </w:r>
      <w:hyperlink r:id="rId1170" w:history="1">
        <w:r w:rsidRPr="001E7A1B">
          <w:rPr>
            <w:rStyle w:val="Hyperlink"/>
            <w:rFonts w:ascii="Times New Roman" w:hAnsi="Times New Roman"/>
            <w:sz w:val="24"/>
            <w:szCs w:val="24"/>
          </w:rPr>
          <w:t>https://codes.ohio.gov/ohio-revised-code/section-742.38</w:t>
        </w:r>
      </w:hyperlink>
      <w:r>
        <w:rPr>
          <w:rFonts w:ascii="Times New Roman" w:hAnsi="Times New Roman"/>
          <w:sz w:val="24"/>
          <w:szCs w:val="24"/>
        </w:rPr>
        <w:t xml:space="preserve"> </w:t>
      </w:r>
    </w:p>
    <w:p w14:paraId="7257D604" w14:textId="77777777" w:rsidR="00433119" w:rsidRPr="00971F78" w:rsidRDefault="00433119" w:rsidP="00433119">
      <w:pPr>
        <w:ind w:left="1440"/>
        <w:rPr>
          <w:rFonts w:ascii="Times New Roman" w:hAnsi="Times New Roman"/>
          <w:b/>
          <w:bCs/>
          <w:sz w:val="24"/>
          <w:szCs w:val="24"/>
        </w:rPr>
      </w:pPr>
      <w:r w:rsidRPr="00971F78">
        <w:rPr>
          <w:rFonts w:ascii="Times New Roman" w:hAnsi="Times New Roman"/>
          <w:sz w:val="24"/>
          <w:szCs w:val="24"/>
        </w:rPr>
        <w:t>(3)(a) A member of the fund [Ohio police and fire pension fund]</w:t>
      </w:r>
      <w:r>
        <w:t xml:space="preserve"> </w:t>
      </w:r>
      <w:r w:rsidRPr="00971F78">
        <w:rPr>
          <w:rFonts w:ascii="Times New Roman" w:hAnsi="Times New Roman"/>
          <w:sz w:val="24"/>
          <w:szCs w:val="24"/>
        </w:rPr>
        <w:t xml:space="preserve">who is permanently disabled as a result of heart disease or any cardiovascular or respiratory disease of a chronic nature, which disease or any evidence of which disease was not revealed by the physical examination passed by the member on entry into the department or another examination specified in rules the board adopts under section </w:t>
      </w:r>
      <w:hyperlink r:id="rId1171" w:history="1">
        <w:r w:rsidRPr="00971F78">
          <w:rPr>
            <w:rStyle w:val="Hyperlink"/>
            <w:rFonts w:ascii="Times New Roman" w:hAnsi="Times New Roman"/>
            <w:sz w:val="24"/>
            <w:szCs w:val="24"/>
          </w:rPr>
          <w:t>742.10</w:t>
        </w:r>
      </w:hyperlink>
      <w:r w:rsidRPr="00971F78">
        <w:rPr>
          <w:rFonts w:ascii="Times New Roman" w:hAnsi="Times New Roman"/>
          <w:sz w:val="24"/>
          <w:szCs w:val="24"/>
        </w:rPr>
        <w:t xml:space="preserve"> of the Revised Code, is presumed to have incurred the disease while performing the member's official duties, unless the contrary is shown by competent evidence. The board may waive the requirement that the absence of disease be evidenced by a physical examination if competent medical evidence of a type specified in rules adopted under section </w:t>
      </w:r>
      <w:hyperlink r:id="rId1172" w:history="1">
        <w:r w:rsidRPr="00971F78">
          <w:rPr>
            <w:rStyle w:val="Hyperlink"/>
            <w:rFonts w:ascii="Times New Roman" w:hAnsi="Times New Roman"/>
            <w:sz w:val="24"/>
            <w:szCs w:val="24"/>
          </w:rPr>
          <w:t>742.10</w:t>
        </w:r>
      </w:hyperlink>
      <w:r w:rsidRPr="00971F78">
        <w:rPr>
          <w:rFonts w:ascii="Times New Roman" w:hAnsi="Times New Roman"/>
          <w:sz w:val="24"/>
          <w:szCs w:val="24"/>
        </w:rPr>
        <w:t xml:space="preserve"> of the Revised Code is submitted documenting that the disease was not evident prior to or at the time of entry into the department.</w:t>
      </w:r>
    </w:p>
    <w:p w14:paraId="2C5B5AA1" w14:textId="77777777" w:rsidR="00433119" w:rsidRDefault="00433119" w:rsidP="00EF1133">
      <w:pPr>
        <w:rPr>
          <w:rFonts w:ascii="Arial Black" w:hAnsi="Arial Black"/>
          <w:b/>
          <w:sz w:val="24"/>
          <w:szCs w:val="24"/>
        </w:rPr>
      </w:pPr>
    </w:p>
    <w:p w14:paraId="5561F4C0" w14:textId="4D97F2F3" w:rsidR="00B5724A" w:rsidRDefault="00B5724A" w:rsidP="00EF1133">
      <w:pPr>
        <w:rPr>
          <w:rFonts w:ascii="Arial Black" w:hAnsi="Arial Black"/>
          <w:b/>
          <w:sz w:val="24"/>
          <w:szCs w:val="24"/>
        </w:rPr>
      </w:pPr>
      <w:r>
        <w:rPr>
          <w:rFonts w:ascii="Arial Black" w:hAnsi="Arial Black"/>
          <w:b/>
          <w:sz w:val="24"/>
          <w:szCs w:val="24"/>
        </w:rPr>
        <w:t>6-8</w:t>
      </w:r>
      <w:r w:rsidR="00FF7C63">
        <w:rPr>
          <w:rFonts w:ascii="Arial Black" w:hAnsi="Arial Black"/>
          <w:b/>
          <w:sz w:val="24"/>
          <w:szCs w:val="24"/>
        </w:rPr>
        <w:t>3</w:t>
      </w:r>
    </w:p>
    <w:p w14:paraId="27072C7B" w14:textId="77777777" w:rsidR="00B5724A" w:rsidRDefault="00B5724A" w:rsidP="00B5724A">
      <w:pPr>
        <w:spacing w:before="100" w:beforeAutospacing="1" w:after="100" w:afterAutospacing="1" w:line="240" w:lineRule="auto"/>
        <w:rPr>
          <w:rFonts w:ascii="Arial Black" w:eastAsia="Times New Roman" w:hAnsi="Arial Black"/>
          <w:sz w:val="28"/>
          <w:szCs w:val="28"/>
        </w:rPr>
      </w:pPr>
      <w:bookmarkStart w:id="229" w:name="_Hlk92113959"/>
      <w:r>
        <w:rPr>
          <w:rFonts w:ascii="Arial Black" w:eastAsia="Times New Roman" w:hAnsi="Arial Black"/>
          <w:sz w:val="28"/>
          <w:szCs w:val="28"/>
        </w:rPr>
        <w:t>PA: FF DIED LUNG CANCER – HEAVY SMOKER - 40% INCREASE - WIFE NO WORKERS COMP DEATH BENEFITS</w:t>
      </w:r>
    </w:p>
    <w:bookmarkEnd w:id="229"/>
    <w:p w14:paraId="59423BFB" w14:textId="77777777" w:rsidR="00B5724A" w:rsidRDefault="00B5724A" w:rsidP="00B5724A">
      <w:pPr>
        <w:spacing w:before="100" w:beforeAutospacing="1" w:after="100" w:afterAutospacing="1" w:line="240" w:lineRule="auto"/>
      </w:pPr>
      <w:r>
        <w:rPr>
          <w:rFonts w:ascii="Times New Roman" w:eastAsia="Times New Roman" w:hAnsi="Times New Roman"/>
          <w:sz w:val="24"/>
          <w:szCs w:val="24"/>
        </w:rPr>
        <w:t xml:space="preserve">On Dec. 13, 2021, in </w:t>
      </w:r>
      <w:r w:rsidRPr="00BF2980">
        <w:rPr>
          <w:rFonts w:ascii="Times New Roman" w:eastAsia="Times New Roman" w:hAnsi="Times New Roman"/>
          <w:sz w:val="24"/>
          <w:szCs w:val="24"/>
          <w:u w:val="single"/>
        </w:rPr>
        <w:t>Vincent Regan v. City of Philadelphia (Workers’ Compensation Appeal Board</w:t>
      </w:r>
      <w:r>
        <w:rPr>
          <w:rFonts w:ascii="Times New Roman" w:eastAsia="Times New Roman" w:hAnsi="Times New Roman"/>
          <w:sz w:val="24"/>
          <w:szCs w:val="24"/>
          <w:u w:val="single"/>
        </w:rPr>
        <w:t>)</w:t>
      </w:r>
      <w:r>
        <w:rPr>
          <w:rFonts w:ascii="Times New Roman" w:eastAsia="Times New Roman" w:hAnsi="Times New Roman"/>
          <w:sz w:val="24"/>
          <w:szCs w:val="24"/>
        </w:rPr>
        <w:t xml:space="preserve">, the Commonwealth Court of Pennsylvania held (3 to 0) that the widow of Vincent Regan is not entitled to workers compensation, since the Administrative Law Judge found the city’s expert witness very credible. He </w:t>
      </w:r>
      <w:r w:rsidRPr="00BB487E">
        <w:rPr>
          <w:rFonts w:ascii="Times New Roman" w:eastAsia="Times New Roman" w:hAnsi="Times New Roman"/>
          <w:sz w:val="24"/>
          <w:szCs w:val="24"/>
        </w:rPr>
        <w:t>stated</w:t>
      </w:r>
      <w:r>
        <w:rPr>
          <w:rFonts w:ascii="Times New Roman" w:eastAsia="Times New Roman" w:hAnsi="Times New Roman"/>
          <w:sz w:val="24"/>
          <w:szCs w:val="24"/>
        </w:rPr>
        <w:t xml:space="preserve"> </w:t>
      </w:r>
      <w:r w:rsidRPr="00BB487E">
        <w:rPr>
          <w:rFonts w:ascii="Times New Roman" w:eastAsia="Times New Roman" w:hAnsi="Times New Roman"/>
          <w:sz w:val="24"/>
          <w:szCs w:val="24"/>
        </w:rPr>
        <w:t xml:space="preserve">that </w:t>
      </w:r>
      <w:r>
        <w:rPr>
          <w:rFonts w:ascii="Times New Roman" w:eastAsia="Times New Roman" w:hAnsi="Times New Roman"/>
          <w:sz w:val="24"/>
          <w:szCs w:val="24"/>
        </w:rPr>
        <w:t>“</w:t>
      </w:r>
      <w:r w:rsidRPr="00BB487E">
        <w:rPr>
          <w:rFonts w:ascii="Times New Roman" w:eastAsia="Times New Roman" w:hAnsi="Times New Roman"/>
          <w:sz w:val="24"/>
          <w:szCs w:val="24"/>
        </w:rPr>
        <w:t xml:space="preserve">medical records revealed that Decedent began smoking at age 16, and quit at age 68 in 2008, with a 40- to 50-pack per year history of tobacco use. He said that the effect of a 40-pack per year history will increase the risk of lung cancer by 40 </w:t>
      </w:r>
      <w:proofErr w:type="gramStart"/>
      <w:r w:rsidRPr="00BB487E">
        <w:rPr>
          <w:rFonts w:ascii="Times New Roman" w:eastAsia="Times New Roman" w:hAnsi="Times New Roman"/>
          <w:sz w:val="24"/>
          <w:szCs w:val="24"/>
        </w:rPr>
        <w:t>times.</w:t>
      </w:r>
      <w:r>
        <w:rPr>
          <w:rFonts w:ascii="Times New Roman" w:eastAsia="Times New Roman" w:hAnsi="Times New Roman"/>
          <w:sz w:val="24"/>
          <w:szCs w:val="24"/>
        </w:rPr>
        <w:t>”</w:t>
      </w:r>
      <w:proofErr w:type="gramEnd"/>
      <w:r>
        <w:rPr>
          <w:rFonts w:ascii="Times New Roman" w:eastAsia="Times New Roman" w:hAnsi="Times New Roman"/>
          <w:sz w:val="24"/>
          <w:szCs w:val="24"/>
        </w:rPr>
        <w:t xml:space="preserve">  The PA statutory presumption law for firefighters was “fully rebutted” by the City’s expert.   </w:t>
      </w:r>
    </w:p>
    <w:p w14:paraId="5D03E918" w14:textId="77777777" w:rsidR="00B5724A" w:rsidRPr="0080447D" w:rsidRDefault="00B5724A" w:rsidP="00B5724A">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w:t>
      </w:r>
      <w:r w:rsidRPr="0080447D">
        <w:rPr>
          <w:rFonts w:ascii="Times New Roman" w:eastAsia="Times New Roman" w:hAnsi="Times New Roman"/>
          <w:sz w:val="24"/>
          <w:szCs w:val="24"/>
        </w:rPr>
        <w:t xml:space="preserve">Because the WCJ's credibility determinations were not made arbitrarily and capriciously and her findings are supported by substantial evidence, the WCJ's decision cannot be disturbed on appeal. </w:t>
      </w:r>
      <w:r w:rsidRPr="0080447D">
        <w:rPr>
          <w:rFonts w:ascii="Times New Roman" w:eastAsia="Times New Roman" w:hAnsi="Times New Roman"/>
          <w:i/>
          <w:iCs/>
          <w:sz w:val="24"/>
          <w:szCs w:val="24"/>
        </w:rPr>
        <w:t>Id.</w:t>
      </w:r>
      <w:r w:rsidRPr="0080447D">
        <w:rPr>
          <w:rFonts w:ascii="Times New Roman" w:eastAsia="Times New Roman" w:hAnsi="Times New Roman"/>
          <w:sz w:val="24"/>
          <w:szCs w:val="24"/>
        </w:rPr>
        <w:t xml:space="preserve"> Further, we conclude that the WCJ's decision sets forth an adequate explanation of her reasons for accepting and rejecting </w:t>
      </w:r>
      <w:proofErr w:type="gramStart"/>
      <w:r w:rsidRPr="0080447D">
        <w:rPr>
          <w:rFonts w:ascii="Times New Roman" w:eastAsia="Times New Roman" w:hAnsi="Times New Roman"/>
          <w:sz w:val="24"/>
          <w:szCs w:val="24"/>
        </w:rPr>
        <w:t>evidence, and</w:t>
      </w:r>
      <w:proofErr w:type="gramEnd"/>
      <w:r w:rsidRPr="0080447D">
        <w:rPr>
          <w:rFonts w:ascii="Times New Roman" w:eastAsia="Times New Roman" w:hAnsi="Times New Roman"/>
          <w:sz w:val="24"/>
          <w:szCs w:val="24"/>
        </w:rPr>
        <w:t xml:space="preserve"> therefore satisfies the reasoned decision requirements of Section 422(a) of the Act. </w:t>
      </w:r>
      <w:r w:rsidRPr="0080447D">
        <w:rPr>
          <w:rFonts w:ascii="Times New Roman" w:eastAsia="Times New Roman" w:hAnsi="Times New Roman"/>
          <w:i/>
          <w:iCs/>
          <w:sz w:val="24"/>
          <w:szCs w:val="24"/>
        </w:rPr>
        <w:t>See id.</w:t>
      </w:r>
      <w:r w:rsidRPr="0080447D">
        <w:rPr>
          <w:rFonts w:ascii="Times New Roman" w:eastAsia="Times New Roman" w:hAnsi="Times New Roman"/>
          <w:sz w:val="24"/>
          <w:szCs w:val="24"/>
        </w:rPr>
        <w:t xml:space="preserve"> at 1089 (noting that Section 422(a) does not require </w:t>
      </w:r>
      <w:r>
        <w:rPr>
          <w:rFonts w:ascii="Times New Roman" w:eastAsia="Times New Roman" w:hAnsi="Times New Roman"/>
          <w:sz w:val="24"/>
          <w:szCs w:val="24"/>
        </w:rPr>
        <w:t>‘</w:t>
      </w:r>
      <w:r w:rsidRPr="0080447D">
        <w:rPr>
          <w:rFonts w:ascii="Times New Roman" w:eastAsia="Times New Roman" w:hAnsi="Times New Roman"/>
          <w:sz w:val="24"/>
          <w:szCs w:val="24"/>
        </w:rPr>
        <w:t>adequate reasons,</w:t>
      </w:r>
      <w:r>
        <w:rPr>
          <w:rFonts w:ascii="Times New Roman" w:eastAsia="Times New Roman" w:hAnsi="Times New Roman"/>
          <w:sz w:val="24"/>
          <w:szCs w:val="24"/>
        </w:rPr>
        <w:t>’</w:t>
      </w:r>
      <w:r w:rsidRPr="0080447D">
        <w:rPr>
          <w:rFonts w:ascii="Times New Roman" w:eastAsia="Times New Roman" w:hAnsi="Times New Roman"/>
          <w:sz w:val="24"/>
          <w:szCs w:val="24"/>
        </w:rPr>
        <w:t xml:space="preserve"> but an adequate explanation for those reasons, </w:t>
      </w:r>
      <w:proofErr w:type="gramStart"/>
      <w:r w:rsidRPr="0080447D">
        <w:rPr>
          <w:rFonts w:ascii="Times New Roman" w:eastAsia="Times New Roman" w:hAnsi="Times New Roman"/>
          <w:sz w:val="24"/>
          <w:szCs w:val="24"/>
        </w:rPr>
        <w:t>in order for</w:t>
      </w:r>
      <w:proofErr w:type="gramEnd"/>
      <w:r w:rsidRPr="0080447D">
        <w:rPr>
          <w:rFonts w:ascii="Times New Roman" w:eastAsia="Times New Roman" w:hAnsi="Times New Roman"/>
          <w:sz w:val="24"/>
          <w:szCs w:val="24"/>
        </w:rPr>
        <w:t xml:space="preserve"> appellate review to be meaningful). </w:t>
      </w:r>
      <w:r>
        <w:rPr>
          <w:rFonts w:ascii="Times New Roman" w:eastAsia="Times New Roman" w:hAnsi="Times New Roman"/>
          <w:sz w:val="24"/>
          <w:szCs w:val="24"/>
        </w:rPr>
        <w:t xml:space="preserve">“ </w:t>
      </w:r>
      <w:hyperlink r:id="rId1173" w:history="1">
        <w:r w:rsidRPr="00EC5853">
          <w:rPr>
            <w:rStyle w:val="Hyperlink"/>
            <w:rFonts w:ascii="Times New Roman" w:eastAsia="Times New Roman" w:hAnsi="Times New Roman"/>
            <w:sz w:val="24"/>
            <w:szCs w:val="24"/>
          </w:rPr>
          <w:t>https://casetext.com/case/regan-v-city-of-philadelphia-workers-comp-appeal-board</w:t>
        </w:r>
      </w:hyperlink>
      <w:r>
        <w:rPr>
          <w:rFonts w:ascii="Times New Roman" w:eastAsia="Times New Roman" w:hAnsi="Times New Roman"/>
          <w:sz w:val="24"/>
          <w:szCs w:val="24"/>
        </w:rPr>
        <w:t xml:space="preserve"> </w:t>
      </w:r>
    </w:p>
    <w:p w14:paraId="38606B72" w14:textId="77777777" w:rsidR="00433119" w:rsidRPr="009459BB" w:rsidRDefault="00433119" w:rsidP="00433119">
      <w:pPr>
        <w:spacing w:before="100" w:beforeAutospacing="1" w:after="100" w:afterAutospacing="1" w:line="240" w:lineRule="auto"/>
        <w:rPr>
          <w:rFonts w:ascii="Times New Roman" w:eastAsia="Times New Roman" w:hAnsi="Times New Roman"/>
          <w:b/>
          <w:bCs/>
          <w:sz w:val="24"/>
          <w:szCs w:val="24"/>
        </w:rPr>
      </w:pPr>
      <w:r w:rsidRPr="009459BB">
        <w:rPr>
          <w:rFonts w:ascii="Times New Roman" w:eastAsia="Times New Roman" w:hAnsi="Times New Roman"/>
          <w:b/>
          <w:bCs/>
          <w:sz w:val="24"/>
          <w:szCs w:val="24"/>
        </w:rPr>
        <w:lastRenderedPageBreak/>
        <w:t xml:space="preserve">Legal Lesson Learned: </w:t>
      </w:r>
      <w:r>
        <w:rPr>
          <w:rFonts w:ascii="Times New Roman" w:eastAsia="Times New Roman" w:hAnsi="Times New Roman"/>
          <w:b/>
          <w:bCs/>
          <w:sz w:val="24"/>
          <w:szCs w:val="24"/>
        </w:rPr>
        <w:t xml:space="preserve"> The statutory presumption for firefighters can be overcome by expert testimony, including evidence the firefighter was a heavy smoker. </w:t>
      </w:r>
    </w:p>
    <w:p w14:paraId="6606C2B6" w14:textId="77777777" w:rsidR="00433119" w:rsidRDefault="00433119" w:rsidP="00433119">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 xml:space="preserve">Note: Ohio statutory presumption includes provision on firefighter use of tobacco products. </w:t>
      </w:r>
      <w:proofErr w:type="gramStart"/>
      <w:r>
        <w:rPr>
          <w:rFonts w:ascii="Times New Roman" w:eastAsia="Times New Roman" w:hAnsi="Times New Roman"/>
          <w:sz w:val="24"/>
          <w:szCs w:val="24"/>
        </w:rPr>
        <w:t>Ohio Rev. Code 4123.68,</w:t>
      </w:r>
      <w:proofErr w:type="gramEnd"/>
      <w:r>
        <w:rPr>
          <w:rFonts w:ascii="Times New Roman" w:eastAsia="Times New Roman" w:hAnsi="Times New Roman"/>
          <w:sz w:val="24"/>
          <w:szCs w:val="24"/>
        </w:rPr>
        <w:t xml:space="preserve"> includes following. </w:t>
      </w:r>
      <w:r w:rsidRPr="00223FC1">
        <w:t xml:space="preserve"> </w:t>
      </w:r>
      <w:hyperlink r:id="rId1174" w:history="1">
        <w:r w:rsidRPr="003A1264">
          <w:rPr>
            <w:rFonts w:ascii="Times New Roman" w:eastAsia="Times New Roman" w:hAnsi="Times New Roman"/>
            <w:sz w:val="24"/>
            <w:szCs w:val="24"/>
          </w:rPr>
          <w:t>https://codes.ohio.gov/ohio-revised-code/section-4123.68</w:t>
        </w:r>
      </w:hyperlink>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i</w:t>
      </w:r>
      <w:proofErr w:type="spellEnd"/>
    </w:p>
    <w:p w14:paraId="2C68B934" w14:textId="77777777" w:rsidR="00433119" w:rsidRDefault="00433119" w:rsidP="00433119">
      <w:pPr>
        <w:spacing w:before="100" w:beforeAutospacing="1" w:after="100" w:afterAutospacing="1" w:line="240" w:lineRule="auto"/>
        <w:ind w:left="1440"/>
        <w:rPr>
          <w:rFonts w:ascii="Times New Roman" w:hAnsi="Times New Roman"/>
          <w:sz w:val="24"/>
          <w:szCs w:val="24"/>
        </w:rPr>
      </w:pPr>
      <w:r>
        <w:rPr>
          <w:rFonts w:ascii="Times New Roman" w:hAnsi="Times New Roman"/>
          <w:sz w:val="24"/>
          <w:szCs w:val="24"/>
        </w:rPr>
        <w:t>“</w:t>
      </w:r>
      <w:r w:rsidRPr="00223FC1">
        <w:rPr>
          <w:rFonts w:ascii="Times New Roman" w:hAnsi="Times New Roman"/>
          <w:sz w:val="24"/>
          <w:szCs w:val="24"/>
        </w:rPr>
        <w:t>(X)(1) Cancer contracted by a firefighter: Cancer contracted by a firefighter who has been assigned to at least six years of hazardous duty as a firefighter constitutes a presumption that the cancer was contracted in the course of and arising out of the firefighter's employment if the firefighter was exposed to an agent classified by the international agency for research on cancer or its successor organization as a group 1 or 2A carcinogen.</w:t>
      </w:r>
    </w:p>
    <w:p w14:paraId="4895C7BF" w14:textId="77777777" w:rsidR="00433119" w:rsidRPr="00223FC1" w:rsidRDefault="00433119" w:rsidP="00433119">
      <w:pPr>
        <w:spacing w:before="100" w:beforeAutospacing="1" w:after="100" w:afterAutospacing="1" w:line="240" w:lineRule="auto"/>
        <w:ind w:left="1440"/>
        <w:rPr>
          <w:rFonts w:ascii="Times New Roman" w:eastAsia="Times New Roman" w:hAnsi="Times New Roman"/>
          <w:sz w:val="24"/>
          <w:szCs w:val="24"/>
        </w:rPr>
      </w:pPr>
      <w:r w:rsidRPr="00223FC1">
        <w:rPr>
          <w:rFonts w:ascii="Times New Roman" w:eastAsia="Times New Roman" w:hAnsi="Times New Roman"/>
          <w:sz w:val="24"/>
          <w:szCs w:val="24"/>
        </w:rPr>
        <w:t>(2) The presumption described in division (X)(1) of this section is rebuttable in any of the following situations:</w:t>
      </w:r>
    </w:p>
    <w:p w14:paraId="351CCBA5" w14:textId="77777777" w:rsidR="00433119" w:rsidRPr="00223FC1" w:rsidRDefault="00433119" w:rsidP="00433119">
      <w:pPr>
        <w:spacing w:before="100" w:beforeAutospacing="1" w:after="100" w:afterAutospacing="1" w:line="240" w:lineRule="auto"/>
        <w:ind w:left="1440"/>
        <w:rPr>
          <w:rFonts w:ascii="Times New Roman" w:eastAsia="Times New Roman" w:hAnsi="Times New Roman"/>
          <w:sz w:val="24"/>
          <w:szCs w:val="24"/>
        </w:rPr>
      </w:pPr>
      <w:r w:rsidRPr="00223FC1">
        <w:rPr>
          <w:rFonts w:ascii="Times New Roman" w:eastAsia="Times New Roman" w:hAnsi="Times New Roman"/>
          <w:sz w:val="24"/>
          <w:szCs w:val="24"/>
        </w:rPr>
        <w:t xml:space="preserve">(a) There is evidence that the firefighter's exposure, outside the scope of the firefighter's official duties, to cigarettes, tobacco products, or other conditions presenting an extremely high risk for the development of the cancer alleged, was probably a significant factor in the cause or progression of the </w:t>
      </w:r>
      <w:proofErr w:type="gramStart"/>
      <w:r w:rsidRPr="00223FC1">
        <w:rPr>
          <w:rFonts w:ascii="Times New Roman" w:eastAsia="Times New Roman" w:hAnsi="Times New Roman"/>
          <w:sz w:val="24"/>
          <w:szCs w:val="24"/>
        </w:rPr>
        <w:t>cancer.</w:t>
      </w:r>
      <w:r>
        <w:rPr>
          <w:rFonts w:ascii="Times New Roman" w:eastAsia="Times New Roman" w:hAnsi="Times New Roman"/>
          <w:sz w:val="24"/>
          <w:szCs w:val="24"/>
        </w:rPr>
        <w:t>”</w:t>
      </w:r>
      <w:proofErr w:type="gramEnd"/>
    </w:p>
    <w:p w14:paraId="02F22A35" w14:textId="1F49D307" w:rsidR="00B5724A" w:rsidRDefault="00B5724A" w:rsidP="00EF1133">
      <w:pPr>
        <w:rPr>
          <w:rFonts w:ascii="Arial Black" w:hAnsi="Arial Black"/>
          <w:b/>
          <w:sz w:val="24"/>
          <w:szCs w:val="24"/>
        </w:rPr>
      </w:pPr>
    </w:p>
    <w:p w14:paraId="6E31679E" w14:textId="77777777" w:rsidR="00B5724A" w:rsidRDefault="00B5724A" w:rsidP="00EF1133">
      <w:pPr>
        <w:rPr>
          <w:rFonts w:ascii="Arial Black" w:hAnsi="Arial Black"/>
          <w:b/>
          <w:sz w:val="24"/>
          <w:szCs w:val="24"/>
        </w:rPr>
      </w:pPr>
    </w:p>
    <w:p w14:paraId="0F9DB5E0" w14:textId="321AB88B" w:rsidR="00B5724A" w:rsidRDefault="00B5724A" w:rsidP="00EF1133">
      <w:pPr>
        <w:rPr>
          <w:rFonts w:ascii="Arial Black" w:hAnsi="Arial Black"/>
          <w:b/>
          <w:sz w:val="24"/>
          <w:szCs w:val="24"/>
        </w:rPr>
      </w:pPr>
      <w:r>
        <w:rPr>
          <w:rFonts w:ascii="Arial Black" w:hAnsi="Arial Black"/>
          <w:b/>
          <w:sz w:val="24"/>
          <w:szCs w:val="24"/>
        </w:rPr>
        <w:t>6-8</w:t>
      </w:r>
      <w:r w:rsidR="00FF7C63">
        <w:rPr>
          <w:rFonts w:ascii="Arial Black" w:hAnsi="Arial Black"/>
          <w:b/>
          <w:sz w:val="24"/>
          <w:szCs w:val="24"/>
        </w:rPr>
        <w:t>2</w:t>
      </w:r>
    </w:p>
    <w:p w14:paraId="3E61DE8B" w14:textId="77777777" w:rsidR="00B5724A" w:rsidRDefault="00B5724A" w:rsidP="00B5724A">
      <w:pPr>
        <w:pStyle w:val="Heading1"/>
        <w:ind w:left="90"/>
        <w:rPr>
          <w:rFonts w:ascii="Arial Black" w:hAnsi="Arial Black"/>
          <w:b w:val="0"/>
          <w:bCs w:val="0"/>
          <w:sz w:val="28"/>
          <w:szCs w:val="28"/>
        </w:rPr>
      </w:pPr>
      <w:r>
        <w:rPr>
          <w:rFonts w:ascii="Arial Black" w:hAnsi="Arial Black"/>
          <w:b w:val="0"/>
          <w:bCs w:val="0"/>
          <w:sz w:val="28"/>
          <w:szCs w:val="28"/>
        </w:rPr>
        <w:t xml:space="preserve">WA: HEART - RETIRED FF - FAILED TO HAVE CARDIOLOGIST TESTIFY HEART CONDITION CAUSE EARLY SYMPTOMS </w:t>
      </w:r>
    </w:p>
    <w:p w14:paraId="4BA36305" w14:textId="77777777" w:rsidR="00B5724A" w:rsidRDefault="00B5724A" w:rsidP="00B5724A">
      <w:pPr>
        <w:pStyle w:val="Heading1"/>
        <w:rPr>
          <w:b w:val="0"/>
          <w:bCs w:val="0"/>
          <w:sz w:val="24"/>
          <w:szCs w:val="24"/>
        </w:rPr>
      </w:pPr>
      <w:r>
        <w:rPr>
          <w:b w:val="0"/>
          <w:bCs w:val="0"/>
          <w:sz w:val="24"/>
          <w:szCs w:val="24"/>
        </w:rPr>
        <w:t xml:space="preserve">On Dec. 7, 2021, in </w:t>
      </w:r>
      <w:r w:rsidRPr="009E02C5">
        <w:rPr>
          <w:b w:val="0"/>
          <w:bCs w:val="0"/>
          <w:sz w:val="24"/>
          <w:szCs w:val="24"/>
          <w:u w:val="single"/>
        </w:rPr>
        <w:t xml:space="preserve">Larry Spohn v. Department of Labor </w:t>
      </w:r>
      <w:proofErr w:type="gramStart"/>
      <w:r w:rsidRPr="009E02C5">
        <w:rPr>
          <w:b w:val="0"/>
          <w:bCs w:val="0"/>
          <w:sz w:val="24"/>
          <w:szCs w:val="24"/>
          <w:u w:val="single"/>
        </w:rPr>
        <w:t>And</w:t>
      </w:r>
      <w:proofErr w:type="gramEnd"/>
      <w:r w:rsidRPr="009E02C5">
        <w:rPr>
          <w:b w:val="0"/>
          <w:bCs w:val="0"/>
          <w:sz w:val="24"/>
          <w:szCs w:val="24"/>
          <w:u w:val="single"/>
        </w:rPr>
        <w:t xml:space="preserve"> Industries</w:t>
      </w:r>
      <w:r>
        <w:rPr>
          <w:b w:val="0"/>
          <w:bCs w:val="0"/>
          <w:sz w:val="24"/>
          <w:szCs w:val="24"/>
        </w:rPr>
        <w:t>, the Court of Appeals of Washington, Division 2, held (3 to 0) that trial court is reversed and should not have granted the firefighter’s claim for workers comp.  The firefighter (firefighter from 1990 to 2013) submitted his application for benefits in 2017, his “</w:t>
      </w:r>
      <w:r w:rsidRPr="00154601">
        <w:rPr>
          <w:b w:val="0"/>
          <w:bCs w:val="0"/>
          <w:sz w:val="24"/>
          <w:szCs w:val="24"/>
        </w:rPr>
        <w:t>application for benefits failed to include a physician's report or medical proof. The Department notified Spohn that it had not received the provider's section of the application four separate times.</w:t>
      </w:r>
      <w:r>
        <w:rPr>
          <w:b w:val="0"/>
          <w:bCs w:val="0"/>
          <w:sz w:val="24"/>
          <w:szCs w:val="24"/>
        </w:rPr>
        <w:t xml:space="preserve">”  </w:t>
      </w:r>
    </w:p>
    <w:p w14:paraId="561A9F91" w14:textId="77777777" w:rsidR="00B5724A" w:rsidRPr="00D038EE" w:rsidRDefault="00B5724A" w:rsidP="00B5724A">
      <w:pPr>
        <w:ind w:left="720"/>
        <w:rPr>
          <w:rFonts w:ascii="Times New Roman" w:hAnsi="Times New Roman"/>
          <w:sz w:val="24"/>
          <w:szCs w:val="24"/>
        </w:rPr>
      </w:pPr>
      <w:r w:rsidRPr="00D038EE">
        <w:rPr>
          <w:rFonts w:ascii="Times New Roman" w:hAnsi="Times New Roman"/>
          <w:sz w:val="24"/>
          <w:szCs w:val="24"/>
        </w:rPr>
        <w:t xml:space="preserve">“Spohn contends that he is entitled to the presumption in RCW 51.32.185(1)(a)(ii) because he provided evidence that he suffered shortness of breath, fatigue, and other symptoms with 72 hours of exposure to smoke, fumes, or toxic substances and within 24 hours of strenuous physical exertion due to firefighting activities. But experiencing symptoms that could reflect a heart condition is not sufficient to trigger the presumption in RCW 51.32.185(1)(a)(ii) without a doctor providing a medical opinion that those symptoms were caused by a heart condition. As our Supreme Court has recognized, testimony about symptoms is not a substitute for a doctor's testimony that the symptoms were evidence of a specific health condition. Gorre, 184 Wn.2d at 38. Medical testimony is required to connect the symptoms that Spohn experienced to a heart problem. Spohn has not provided any admissible medical evidence that the symptoms he experienced were related to a heart problem.” </w:t>
      </w:r>
      <w:hyperlink r:id="rId1175" w:history="1">
        <w:r w:rsidRPr="00EC5853">
          <w:rPr>
            <w:rStyle w:val="Hyperlink"/>
            <w:rFonts w:ascii="Times New Roman" w:hAnsi="Times New Roman"/>
            <w:sz w:val="24"/>
            <w:szCs w:val="24"/>
          </w:rPr>
          <w:t>https://law.justia.com/cases/washington/court-of-appeals-division-ii/2021/54914-0.html</w:t>
        </w:r>
      </w:hyperlink>
      <w:r>
        <w:rPr>
          <w:rFonts w:ascii="Times New Roman" w:hAnsi="Times New Roman"/>
          <w:sz w:val="24"/>
          <w:szCs w:val="24"/>
        </w:rPr>
        <w:t xml:space="preserve"> </w:t>
      </w:r>
    </w:p>
    <w:p w14:paraId="239E2266" w14:textId="77777777" w:rsidR="00B5724A" w:rsidRPr="000B3190" w:rsidRDefault="00B5724A" w:rsidP="00B5724A">
      <w:pPr>
        <w:pStyle w:val="Heading1"/>
        <w:rPr>
          <w:sz w:val="24"/>
          <w:szCs w:val="24"/>
        </w:rPr>
      </w:pPr>
      <w:r w:rsidRPr="000B3190">
        <w:rPr>
          <w:sz w:val="24"/>
          <w:szCs w:val="24"/>
        </w:rPr>
        <w:t>Legal Lesson Learned:  The for</w:t>
      </w:r>
      <w:r>
        <w:rPr>
          <w:sz w:val="24"/>
          <w:szCs w:val="24"/>
        </w:rPr>
        <w:t>mer</w:t>
      </w:r>
      <w:r w:rsidRPr="000B3190">
        <w:rPr>
          <w:sz w:val="24"/>
          <w:szCs w:val="24"/>
        </w:rPr>
        <w:t xml:space="preserve"> firefighter never provided medical testimony to support his claim. </w:t>
      </w:r>
    </w:p>
    <w:p w14:paraId="7E3A65AA" w14:textId="77777777" w:rsidR="00B5724A" w:rsidRDefault="00B5724A" w:rsidP="00EF1133">
      <w:pPr>
        <w:rPr>
          <w:rFonts w:ascii="Arial Black" w:hAnsi="Arial Black"/>
          <w:b/>
          <w:sz w:val="24"/>
          <w:szCs w:val="24"/>
        </w:rPr>
      </w:pPr>
    </w:p>
    <w:p w14:paraId="1394245F" w14:textId="77777777" w:rsidR="00B5724A" w:rsidRDefault="00B5724A" w:rsidP="00EF1133">
      <w:pPr>
        <w:rPr>
          <w:rFonts w:ascii="Arial Black" w:hAnsi="Arial Black"/>
          <w:b/>
          <w:sz w:val="24"/>
          <w:szCs w:val="24"/>
        </w:rPr>
      </w:pPr>
    </w:p>
    <w:p w14:paraId="74AE0AF9" w14:textId="1DD86925" w:rsidR="00D43015" w:rsidRDefault="00D43015" w:rsidP="00EF1133">
      <w:pPr>
        <w:rPr>
          <w:rFonts w:ascii="Arial Black" w:hAnsi="Arial Black"/>
          <w:b/>
          <w:sz w:val="24"/>
          <w:szCs w:val="24"/>
        </w:rPr>
      </w:pPr>
      <w:r>
        <w:rPr>
          <w:rFonts w:ascii="Arial Black" w:hAnsi="Arial Black"/>
          <w:b/>
          <w:sz w:val="24"/>
          <w:szCs w:val="24"/>
        </w:rPr>
        <w:t>6-8</w:t>
      </w:r>
      <w:r w:rsidR="00FF7C63">
        <w:rPr>
          <w:rFonts w:ascii="Arial Black" w:hAnsi="Arial Black"/>
          <w:b/>
          <w:sz w:val="24"/>
          <w:szCs w:val="24"/>
        </w:rPr>
        <w:t>1</w:t>
      </w:r>
    </w:p>
    <w:p w14:paraId="1EB675A9" w14:textId="77777777" w:rsidR="00D43015" w:rsidRPr="001C0F6C" w:rsidRDefault="00D43015" w:rsidP="00D43015">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WA: BLADDER CANCER – FF WINS WORKERS COMP. COVERAGE – STATUTORY PRESUMPTION ALL CANCERS</w:t>
      </w:r>
    </w:p>
    <w:p w14:paraId="58CC980E" w14:textId="77777777" w:rsidR="00D43015" w:rsidRDefault="00D43015" w:rsidP="00D43015">
      <w:pPr>
        <w:spacing w:before="100" w:beforeAutospacing="1" w:after="100" w:afterAutospacing="1" w:line="240" w:lineRule="auto"/>
        <w:rPr>
          <w:rFonts w:ascii="Times New Roman" w:hAnsi="Times New Roman"/>
          <w:sz w:val="24"/>
          <w:szCs w:val="24"/>
        </w:rPr>
      </w:pPr>
      <w:r w:rsidRPr="001C0F6C">
        <w:rPr>
          <w:rFonts w:ascii="Times New Roman" w:eastAsia="Times New Roman" w:hAnsi="Times New Roman"/>
          <w:sz w:val="24"/>
          <w:szCs w:val="24"/>
        </w:rPr>
        <w:t xml:space="preserve">On </w:t>
      </w:r>
      <w:r>
        <w:rPr>
          <w:rFonts w:ascii="Times New Roman" w:eastAsia="Times New Roman" w:hAnsi="Times New Roman"/>
          <w:sz w:val="24"/>
          <w:szCs w:val="24"/>
        </w:rPr>
        <w:t xml:space="preserve">Nov. 9, 2021, in </w:t>
      </w:r>
      <w:r w:rsidRPr="001C0F6C">
        <w:rPr>
          <w:rFonts w:ascii="Times New Roman" w:eastAsia="Times New Roman" w:hAnsi="Times New Roman"/>
          <w:sz w:val="24"/>
          <w:szCs w:val="24"/>
          <w:u w:val="single"/>
        </w:rPr>
        <w:t xml:space="preserve">Stephen T. Bradley v. City of Olympia and Department of Labor </w:t>
      </w:r>
      <w:proofErr w:type="gramStart"/>
      <w:r w:rsidRPr="001C0F6C">
        <w:rPr>
          <w:rFonts w:ascii="Times New Roman" w:eastAsia="Times New Roman" w:hAnsi="Times New Roman"/>
          <w:sz w:val="24"/>
          <w:szCs w:val="24"/>
          <w:u w:val="single"/>
        </w:rPr>
        <w:t>And</w:t>
      </w:r>
      <w:proofErr w:type="gramEnd"/>
      <w:r w:rsidRPr="001C0F6C">
        <w:rPr>
          <w:rFonts w:ascii="Times New Roman" w:eastAsia="Times New Roman" w:hAnsi="Times New Roman"/>
          <w:sz w:val="24"/>
          <w:szCs w:val="24"/>
          <w:u w:val="single"/>
        </w:rPr>
        <w:t xml:space="preserve"> Industries</w:t>
      </w:r>
      <w:r>
        <w:rPr>
          <w:rFonts w:ascii="Times New Roman" w:eastAsia="Times New Roman" w:hAnsi="Times New Roman"/>
          <w:sz w:val="24"/>
          <w:szCs w:val="24"/>
        </w:rPr>
        <w:t xml:space="preserve">, the Court of Appeals of Washington, Division 2, held (3 to 0) that a Superior Court judge properly determined that the firefighter was entitled to workers comp coverage under the state statute, </w:t>
      </w:r>
      <w:r w:rsidRPr="00B014FB">
        <w:rPr>
          <w:rFonts w:ascii="Times New Roman" w:hAnsi="Times New Roman"/>
          <w:sz w:val="24"/>
          <w:szCs w:val="24"/>
        </w:rPr>
        <w:t>RCW 51.32.185(1)(a)(iii).</w:t>
      </w:r>
      <w:r>
        <w:rPr>
          <w:rFonts w:ascii="Times New Roman" w:hAnsi="Times New Roman"/>
          <w:sz w:val="24"/>
          <w:szCs w:val="24"/>
        </w:rPr>
        <w:t xml:space="preserve">  The City argued that firefighting “in general” does not cause bladder cancer, but that is not sufficient to rebut the statutory presumption.  The statute covers all cancers. </w:t>
      </w:r>
    </w:p>
    <w:p w14:paraId="3BF22BC0" w14:textId="77777777" w:rsidR="00D43015" w:rsidRDefault="00D43015" w:rsidP="00D43015">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r w:rsidRPr="00B014FB">
        <w:rPr>
          <w:rFonts w:ascii="Times New Roman" w:hAnsi="Times New Roman"/>
          <w:sz w:val="24"/>
          <w:szCs w:val="24"/>
        </w:rPr>
        <w:t xml:space="preserve">(1)(a) In the case of firefighters as defined in RCW </w:t>
      </w:r>
      <w:hyperlink r:id="rId1176" w:history="1">
        <w:r w:rsidRPr="00B014FB">
          <w:rPr>
            <w:rStyle w:val="Hyperlink"/>
            <w:rFonts w:ascii="Times New Roman" w:hAnsi="Times New Roman"/>
            <w:sz w:val="24"/>
            <w:szCs w:val="24"/>
          </w:rPr>
          <w:t>41.26.030</w:t>
        </w:r>
      </w:hyperlink>
      <w:r w:rsidRPr="00B014FB">
        <w:rPr>
          <w:rFonts w:ascii="Times New Roman" w:hAnsi="Times New Roman"/>
          <w:sz w:val="24"/>
          <w:szCs w:val="24"/>
        </w:rPr>
        <w:t>(17) (a), (b), (c), and (h) who are covered under this title and firefighters, including supervisors, employed on a full-time, fully compensated basis as a firefighter of a private sector employer's fire department that includes over fifty such firefighters, and public employee fire investigators, there shall exist a prima facie presumption that: (</w:t>
      </w:r>
      <w:proofErr w:type="spellStart"/>
      <w:r w:rsidRPr="00B014FB">
        <w:rPr>
          <w:rFonts w:ascii="Times New Roman" w:hAnsi="Times New Roman"/>
          <w:sz w:val="24"/>
          <w:szCs w:val="24"/>
        </w:rPr>
        <w:t>i</w:t>
      </w:r>
      <w:proofErr w:type="spellEnd"/>
      <w:r w:rsidRPr="00B014FB">
        <w:rPr>
          <w:rFonts w:ascii="Times New Roman" w:hAnsi="Times New Roman"/>
          <w:sz w:val="24"/>
          <w:szCs w:val="24"/>
        </w:rPr>
        <w:t xml:space="preserve">) Respiratory disease; (ii) any heart problems, experienced within seventy-two hours of exposure to smoke, fumes, or toxic substances, or experienced within twenty-four hours of strenuous physical exertion due to firefighting activities; (iii) cancer; and (iv) infectious diseases are occupational diseases under RCW </w:t>
      </w:r>
      <w:hyperlink r:id="rId1177" w:history="1">
        <w:r w:rsidRPr="00B014FB">
          <w:rPr>
            <w:rStyle w:val="Hyperlink"/>
            <w:rFonts w:ascii="Times New Roman" w:hAnsi="Times New Roman"/>
            <w:sz w:val="24"/>
            <w:szCs w:val="24"/>
          </w:rPr>
          <w:t>51.08.140</w:t>
        </w:r>
      </w:hyperlink>
      <w:r w:rsidRPr="00B014FB">
        <w:rPr>
          <w:rFonts w:ascii="Times New Roman" w:hAnsi="Times New Roman"/>
          <w:sz w:val="24"/>
          <w:szCs w:val="24"/>
        </w:rPr>
        <w:t>.</w:t>
      </w:r>
      <w:r>
        <w:rPr>
          <w:rFonts w:ascii="Times New Roman" w:hAnsi="Times New Roman"/>
          <w:sz w:val="24"/>
          <w:szCs w:val="24"/>
        </w:rPr>
        <w:t xml:space="preserve">” </w:t>
      </w:r>
      <w:hyperlink r:id="rId1178" w:history="1">
        <w:r w:rsidRPr="00316766">
          <w:rPr>
            <w:rStyle w:val="Hyperlink"/>
            <w:rFonts w:ascii="Times New Roman" w:hAnsi="Times New Roman"/>
            <w:sz w:val="24"/>
            <w:szCs w:val="24"/>
          </w:rPr>
          <w:t>https://apps.leg.wa.gov/rcw/default.aspx?cite=51.32.185</w:t>
        </w:r>
      </w:hyperlink>
      <w:r>
        <w:rPr>
          <w:rFonts w:ascii="Times New Roman" w:hAnsi="Times New Roman"/>
          <w:sz w:val="24"/>
          <w:szCs w:val="24"/>
        </w:rPr>
        <w:t xml:space="preserve"> </w:t>
      </w:r>
    </w:p>
    <w:p w14:paraId="54853659" w14:textId="77777777" w:rsidR="00D43015" w:rsidRPr="00B014FB" w:rsidRDefault="00D43015" w:rsidP="00D43015">
      <w:pPr>
        <w:spacing w:before="100" w:beforeAutospacing="1" w:after="100" w:afterAutospacing="1" w:line="240" w:lineRule="auto"/>
        <w:rPr>
          <w:rFonts w:ascii="Times New Roman" w:eastAsia="Times New Roman" w:hAnsi="Times New Roman"/>
          <w:sz w:val="24"/>
          <w:szCs w:val="24"/>
        </w:rPr>
      </w:pPr>
      <w:r>
        <w:rPr>
          <w:rFonts w:ascii="Times New Roman" w:hAnsi="Times New Roman"/>
          <w:sz w:val="24"/>
          <w:szCs w:val="24"/>
        </w:rPr>
        <w:t>The Court held:</w:t>
      </w:r>
    </w:p>
    <w:p w14:paraId="1582C6C2" w14:textId="77777777" w:rsidR="00D43015" w:rsidRDefault="00D43015" w:rsidP="00D43015">
      <w:pPr>
        <w:spacing w:before="100" w:beforeAutospacing="1" w:after="100" w:afterAutospacing="1" w:line="240" w:lineRule="auto"/>
        <w:ind w:left="720"/>
        <w:rPr>
          <w:rFonts w:ascii="Times New Roman" w:hAnsi="Times New Roman"/>
          <w:sz w:val="24"/>
          <w:szCs w:val="24"/>
        </w:rPr>
      </w:pPr>
      <w:r w:rsidRPr="008B2ECB">
        <w:rPr>
          <w:rFonts w:ascii="Times New Roman" w:hAnsi="Times New Roman"/>
          <w:sz w:val="24"/>
          <w:szCs w:val="24"/>
        </w:rPr>
        <w:t xml:space="preserve">“DLI denied Bradley's workers' compensation claim, and Bradley filed a petition for review with the Board of Industrial Insurance Appeals (Board). To rebut the RCW 51.32.185(1)(a) presumption, the </w:t>
      </w:r>
      <w:proofErr w:type="gramStart"/>
      <w:r w:rsidRPr="008B2ECB">
        <w:rPr>
          <w:rFonts w:ascii="Times New Roman" w:hAnsi="Times New Roman"/>
          <w:sz w:val="24"/>
          <w:szCs w:val="24"/>
        </w:rPr>
        <w:t>City</w:t>
      </w:r>
      <w:proofErr w:type="gramEnd"/>
      <w:r w:rsidRPr="008B2ECB">
        <w:rPr>
          <w:rFonts w:ascii="Times New Roman" w:hAnsi="Times New Roman"/>
          <w:sz w:val="24"/>
          <w:szCs w:val="24"/>
        </w:rPr>
        <w:t xml:space="preserve"> presented medical evidence that firefighting activities </w:t>
      </w:r>
      <w:r w:rsidRPr="008B2ECB">
        <w:rPr>
          <w:rStyle w:val="Emphasis"/>
          <w:rFonts w:ascii="Times New Roman" w:hAnsi="Times New Roman"/>
          <w:sz w:val="24"/>
          <w:szCs w:val="24"/>
        </w:rPr>
        <w:t>in general</w:t>
      </w:r>
      <w:r w:rsidRPr="008B2ECB">
        <w:rPr>
          <w:rFonts w:ascii="Times New Roman" w:hAnsi="Times New Roman"/>
          <w:sz w:val="24"/>
          <w:szCs w:val="24"/>
        </w:rPr>
        <w:t xml:space="preserve"> do not cause bladder cancer. The Board affirmed DLI's denial, finding that the </w:t>
      </w:r>
      <w:proofErr w:type="gramStart"/>
      <w:r w:rsidRPr="008B2ECB">
        <w:rPr>
          <w:rFonts w:ascii="Times New Roman" w:hAnsi="Times New Roman"/>
          <w:sz w:val="24"/>
          <w:szCs w:val="24"/>
        </w:rPr>
        <w:t>City</w:t>
      </w:r>
      <w:proofErr w:type="gramEnd"/>
      <w:r w:rsidRPr="008B2ECB">
        <w:rPr>
          <w:rFonts w:ascii="Times New Roman" w:hAnsi="Times New Roman"/>
          <w:sz w:val="24"/>
          <w:szCs w:val="24"/>
        </w:rPr>
        <w:t xml:space="preserve"> had rebutted the statutory presumption. On appeal, the superior court granted summary judgment in favor of Bradley on the grounds that the City's medical evidence could not rebut the RCW 51.32.185(1)(a) presumption.</w:t>
      </w:r>
    </w:p>
    <w:p w14:paraId="550FAC75" w14:textId="77777777" w:rsidR="00D43015" w:rsidRDefault="00D43015" w:rsidP="00D43015">
      <w:pPr>
        <w:spacing w:before="100" w:beforeAutospacing="1" w:after="100" w:afterAutospacing="1" w:line="240" w:lineRule="auto"/>
        <w:ind w:left="720"/>
        <w:rPr>
          <w:rFonts w:ascii="Times New Roman" w:hAnsi="Times New Roman"/>
          <w:sz w:val="24"/>
          <w:szCs w:val="24"/>
        </w:rPr>
      </w:pPr>
      <w:r w:rsidRPr="000C3B96">
        <w:rPr>
          <w:rFonts w:ascii="Times New Roman" w:hAnsi="Times New Roman"/>
          <w:sz w:val="24"/>
          <w:szCs w:val="24"/>
        </w:rPr>
        <w:t xml:space="preserve">We hold that an employer cannot rebut the presumption under RCW 51.32.185(1)(a) with evidence that firefighting activities </w:t>
      </w:r>
      <w:r w:rsidRPr="000C3B96">
        <w:rPr>
          <w:rStyle w:val="Emphasis"/>
          <w:rFonts w:ascii="Times New Roman" w:hAnsi="Times New Roman"/>
          <w:sz w:val="24"/>
          <w:szCs w:val="24"/>
        </w:rPr>
        <w:t>in general</w:t>
      </w:r>
      <w:r w:rsidRPr="000C3B96">
        <w:rPr>
          <w:rFonts w:ascii="Times New Roman" w:hAnsi="Times New Roman"/>
          <w:sz w:val="24"/>
          <w:szCs w:val="24"/>
        </w:rPr>
        <w:t xml:space="preserve"> do not cause bladder cancer. Instead, to avoid summary judgment an employer must present sufficient evidence that the individual claimant's bladder cancer was caused by nonoccupational factors. Here, summary judgment was appropriate because the City failed to present evidence that created a genuine issue of material fact as to whether nonoccupational factors caused Bradley's bladder cancer.</w:t>
      </w:r>
      <w:r>
        <w:rPr>
          <w:rFonts w:ascii="Times New Roman" w:hAnsi="Times New Roman"/>
          <w:sz w:val="24"/>
          <w:szCs w:val="24"/>
        </w:rPr>
        <w:t xml:space="preserve">” </w:t>
      </w:r>
      <w:hyperlink r:id="rId1179" w:history="1">
        <w:r w:rsidRPr="00316766">
          <w:rPr>
            <w:rStyle w:val="Hyperlink"/>
            <w:rFonts w:ascii="Times New Roman" w:hAnsi="Times New Roman"/>
            <w:sz w:val="24"/>
            <w:szCs w:val="24"/>
          </w:rPr>
          <w:t>https://casetext.com/case/bradley-v-city-of-olympia</w:t>
        </w:r>
      </w:hyperlink>
      <w:r>
        <w:rPr>
          <w:rFonts w:ascii="Times New Roman" w:hAnsi="Times New Roman"/>
          <w:sz w:val="24"/>
          <w:szCs w:val="24"/>
        </w:rPr>
        <w:t xml:space="preserve"> </w:t>
      </w:r>
    </w:p>
    <w:p w14:paraId="25394401" w14:textId="77777777" w:rsidR="00D43015" w:rsidRPr="00502D61" w:rsidRDefault="00D43015" w:rsidP="00D43015">
      <w:pPr>
        <w:spacing w:before="100" w:beforeAutospacing="1" w:after="100" w:afterAutospacing="1" w:line="240" w:lineRule="auto"/>
        <w:rPr>
          <w:rFonts w:ascii="Times New Roman" w:eastAsia="Times New Roman" w:hAnsi="Times New Roman"/>
          <w:b/>
          <w:bCs/>
          <w:sz w:val="24"/>
          <w:szCs w:val="24"/>
        </w:rPr>
      </w:pPr>
      <w:r w:rsidRPr="00502D61">
        <w:rPr>
          <w:rFonts w:ascii="Times New Roman" w:eastAsia="Times New Roman" w:hAnsi="Times New Roman"/>
          <w:b/>
          <w:bCs/>
          <w:sz w:val="24"/>
          <w:szCs w:val="24"/>
        </w:rPr>
        <w:t xml:space="preserve">Legal Lesson Learned: </w:t>
      </w:r>
      <w:r>
        <w:rPr>
          <w:rFonts w:ascii="Times New Roman" w:eastAsia="Times New Roman" w:hAnsi="Times New Roman"/>
          <w:b/>
          <w:bCs/>
          <w:sz w:val="24"/>
          <w:szCs w:val="24"/>
        </w:rPr>
        <w:t xml:space="preserve">Great decision reflecting why a statutory presumption is extremely helpful in firefighter cancer claims. </w:t>
      </w:r>
    </w:p>
    <w:p w14:paraId="4C5C8FA0" w14:textId="77777777" w:rsidR="00D43015" w:rsidRDefault="00D43015" w:rsidP="00EF1133">
      <w:pPr>
        <w:rPr>
          <w:rFonts w:ascii="Arial Black" w:hAnsi="Arial Black"/>
          <w:b/>
          <w:sz w:val="24"/>
          <w:szCs w:val="24"/>
        </w:rPr>
      </w:pPr>
    </w:p>
    <w:p w14:paraId="0532651D" w14:textId="77777777" w:rsidR="00D43015" w:rsidRDefault="00D43015" w:rsidP="00EF1133">
      <w:pPr>
        <w:rPr>
          <w:rFonts w:ascii="Arial Black" w:hAnsi="Arial Black"/>
          <w:b/>
          <w:sz w:val="24"/>
          <w:szCs w:val="24"/>
        </w:rPr>
      </w:pPr>
    </w:p>
    <w:p w14:paraId="132C3C9F" w14:textId="1E9E7F85" w:rsidR="0082055F" w:rsidRDefault="0082055F" w:rsidP="00EF1133">
      <w:pPr>
        <w:rPr>
          <w:rFonts w:ascii="Arial Black" w:hAnsi="Arial Black"/>
          <w:b/>
          <w:sz w:val="24"/>
          <w:szCs w:val="24"/>
        </w:rPr>
      </w:pPr>
      <w:r>
        <w:rPr>
          <w:rFonts w:ascii="Arial Black" w:hAnsi="Arial Black"/>
          <w:b/>
          <w:sz w:val="24"/>
          <w:szCs w:val="24"/>
        </w:rPr>
        <w:t>6-8</w:t>
      </w:r>
      <w:r w:rsidR="00FF7C63">
        <w:rPr>
          <w:rFonts w:ascii="Arial Black" w:hAnsi="Arial Black"/>
          <w:b/>
          <w:sz w:val="24"/>
          <w:szCs w:val="24"/>
        </w:rPr>
        <w:t>0</w:t>
      </w:r>
    </w:p>
    <w:p w14:paraId="7F8105E0" w14:textId="77777777" w:rsidR="0082055F" w:rsidRDefault="0082055F" w:rsidP="0082055F">
      <w:pPr>
        <w:spacing w:before="100" w:beforeAutospacing="1" w:after="100" w:afterAutospacing="1" w:line="240" w:lineRule="auto"/>
        <w:rPr>
          <w:rFonts w:ascii="Arial Black" w:hAnsi="Arial Black"/>
          <w:sz w:val="28"/>
          <w:szCs w:val="28"/>
        </w:rPr>
      </w:pPr>
      <w:r>
        <w:rPr>
          <w:rFonts w:ascii="Arial Black" w:hAnsi="Arial Black"/>
          <w:sz w:val="28"/>
          <w:szCs w:val="28"/>
        </w:rPr>
        <w:lastRenderedPageBreak/>
        <w:t>RI: STATE PENSION BOARD – CAN’T RECOUP $129,000 OVERPAY 15 RETIRED FF – WAITED 6 YEARS INFORM THEM</w:t>
      </w:r>
    </w:p>
    <w:p w14:paraId="13CB6DE5" w14:textId="77777777" w:rsidR="0082055F" w:rsidRDefault="0082055F" w:rsidP="0082055F">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On Oct. 25, 2021, in </w:t>
      </w:r>
      <w:r w:rsidRPr="009967FA">
        <w:rPr>
          <w:rFonts w:ascii="Times New Roman" w:hAnsi="Times New Roman"/>
          <w:sz w:val="24"/>
          <w:szCs w:val="24"/>
          <w:u w:val="single"/>
        </w:rPr>
        <w:t>Frank Andre, et al. v. Employee’s Retirement System of Ohio</w:t>
      </w:r>
      <w:r>
        <w:rPr>
          <w:rFonts w:ascii="Times New Roman" w:hAnsi="Times New Roman"/>
          <w:sz w:val="24"/>
          <w:szCs w:val="24"/>
        </w:rPr>
        <w:t xml:space="preserve">, the Judge Susan E. McGuirl, Superior Court of Rhode Island, Providence, held that while the North Providence Fire Department’s CBA provided that FF overtime pay be reported to State Pension Board as part of their regular wages, this violated state law and must be stopped, but the Board knew of the problem since 2011 and never informed retirees until 2017. </w:t>
      </w:r>
    </w:p>
    <w:p w14:paraId="7E43A60E" w14:textId="77777777" w:rsidR="0082055F" w:rsidRPr="009967FA" w:rsidRDefault="0082055F" w:rsidP="0082055F">
      <w:pPr>
        <w:spacing w:before="100" w:beforeAutospacing="1" w:after="100" w:afterAutospacing="1" w:line="240" w:lineRule="auto"/>
        <w:ind w:left="720"/>
        <w:rPr>
          <w:rFonts w:ascii="Times New Roman" w:eastAsia="Times New Roman" w:hAnsi="Times New Roman"/>
          <w:sz w:val="24"/>
          <w:szCs w:val="24"/>
        </w:rPr>
      </w:pPr>
      <w:r w:rsidRPr="000F1C37">
        <w:rPr>
          <w:rFonts w:ascii="Times New Roman" w:eastAsia="Times New Roman" w:hAnsi="Times New Roman"/>
          <w:sz w:val="24"/>
          <w:szCs w:val="24"/>
        </w:rPr>
        <w:t>“</w:t>
      </w:r>
      <w:r w:rsidRPr="00A71871">
        <w:rPr>
          <w:rFonts w:ascii="Times New Roman" w:eastAsia="Times New Roman" w:hAnsi="Times New Roman"/>
          <w:sz w:val="24"/>
          <w:szCs w:val="24"/>
        </w:rPr>
        <w:t>The record reflects that, in total, the fifteen Petitioners would be required to pay back $129, 286.64</w:t>
      </w:r>
      <w:r w:rsidRPr="000F1C37">
        <w:rPr>
          <w:rFonts w:ascii="Times New Roman" w:eastAsia="Times New Roman" w:hAnsi="Times New Roman"/>
          <w:sz w:val="24"/>
          <w:szCs w:val="24"/>
        </w:rPr>
        <w:t xml:space="preserve">. </w:t>
      </w:r>
      <w:r w:rsidRPr="000F1C37">
        <w:rPr>
          <w:rFonts w:ascii="Times New Roman" w:hAnsi="Times New Roman"/>
          <w:sz w:val="24"/>
          <w:szCs w:val="24"/>
        </w:rPr>
        <w:t>As discussed above, ERSRI had discovered the mistaken overpayment of benefits by early 2011, as evidenced when its internal legal counsel reached out to the Town for assistance in correcting the matter</w:t>
      </w:r>
      <w:r>
        <w:rPr>
          <w:rFonts w:ascii="Times New Roman" w:hAnsi="Times New Roman"/>
          <w:sz w:val="24"/>
          <w:szCs w:val="24"/>
        </w:rPr>
        <w:t xml:space="preserve">…. </w:t>
      </w:r>
      <w:r w:rsidRPr="000F1C37">
        <w:rPr>
          <w:rFonts w:ascii="Times New Roman" w:hAnsi="Times New Roman"/>
          <w:sz w:val="24"/>
          <w:szCs w:val="24"/>
        </w:rPr>
        <w:t>It was not until April and May 2017 that ERSRI informed Petitioners of the overpayments, their cessation, and the recoupment of the overpaid benefits</w:t>
      </w:r>
      <w:r>
        <w:rPr>
          <w:rFonts w:ascii="Times New Roman" w:hAnsi="Times New Roman"/>
          <w:sz w:val="24"/>
          <w:szCs w:val="24"/>
        </w:rPr>
        <w:t xml:space="preserve">… </w:t>
      </w:r>
      <w:r w:rsidRPr="000F1C37">
        <w:rPr>
          <w:rFonts w:ascii="Times New Roman" w:hAnsi="Times New Roman"/>
          <w:sz w:val="24"/>
          <w:szCs w:val="24"/>
        </w:rPr>
        <w:t xml:space="preserve"> In the interim, Petitioners </w:t>
      </w:r>
      <w:proofErr w:type="gramStart"/>
      <w:r w:rsidRPr="000F1C37">
        <w:rPr>
          <w:rFonts w:ascii="Times New Roman" w:hAnsi="Times New Roman"/>
          <w:sz w:val="24"/>
          <w:szCs w:val="24"/>
        </w:rPr>
        <w:t>had continued</w:t>
      </w:r>
      <w:proofErr w:type="gramEnd"/>
      <w:r w:rsidRPr="000F1C37">
        <w:rPr>
          <w:rFonts w:ascii="Times New Roman" w:hAnsi="Times New Roman"/>
          <w:sz w:val="24"/>
          <w:szCs w:val="24"/>
        </w:rPr>
        <w:t xml:space="preserve"> to receive those benefits.</w:t>
      </w:r>
      <w:r>
        <w:rPr>
          <w:rFonts w:ascii="Times New Roman" w:hAnsi="Times New Roman"/>
          <w:sz w:val="24"/>
          <w:szCs w:val="24"/>
        </w:rPr>
        <w:t xml:space="preserve"> *** </w:t>
      </w:r>
      <w:r w:rsidRPr="009967FA">
        <w:rPr>
          <w:rFonts w:ascii="Times New Roman" w:eastAsia="Times New Roman" w:hAnsi="Times New Roman"/>
          <w:sz w:val="24"/>
          <w:szCs w:val="24"/>
        </w:rPr>
        <w:t>While the above emails indicate that ERSRI was in sporadic contact with the Town regarding the need for recalculations, this Court is troubled by the lengthy and recurring gaps between those communications. ERSRI knew that with each pension check they drew, Petitioners received what it considered to be improper benefits. Accordingly, ERSRI needed to act with diligence and expedition to obtain the information required. This Court also notes the apparent lack of urgency with which ERSRI sought to notify Petitioners of the issue, as Petitioners could have been informed of the potential change to their pensions before the exact adjustments were determined.</w:t>
      </w:r>
      <w:r>
        <w:rPr>
          <w:rFonts w:ascii="Times New Roman" w:eastAsia="Times New Roman" w:hAnsi="Times New Roman"/>
          <w:sz w:val="24"/>
          <w:szCs w:val="24"/>
        </w:rPr>
        <w:t xml:space="preserve"> </w:t>
      </w:r>
      <w:r w:rsidRPr="00DF1C6F">
        <w:rPr>
          <w:rFonts w:ascii="Times New Roman" w:eastAsia="Times New Roman" w:hAnsi="Times New Roman"/>
          <w:sz w:val="24"/>
          <w:szCs w:val="24"/>
        </w:rPr>
        <w:t xml:space="preserve">*** </w:t>
      </w:r>
      <w:r w:rsidRPr="00DF1C6F">
        <w:rPr>
          <w:rFonts w:ascii="Times New Roman" w:hAnsi="Times New Roman"/>
          <w:sz w:val="24"/>
          <w:szCs w:val="24"/>
        </w:rPr>
        <w:t>In conclusion, while the Board's interpretation of § 36-8-1(8) as excluding longevity payments calculated with reference to overtime was not an error of law, the Board's decision to unilaterally recoup the overpaid benefits from Petitioners is barred by the doctrines of laches and equitable estoppel. Accordingly, Petitioners' appeal is sustained, and the decision of the Board is hereby reversed. Counsel shall submit the appropriate order for entry.</w:t>
      </w:r>
      <w:r>
        <w:t xml:space="preserve"> </w:t>
      </w:r>
      <w:hyperlink r:id="rId1180" w:history="1">
        <w:r w:rsidRPr="007148A2">
          <w:rPr>
            <w:rStyle w:val="Hyperlink"/>
            <w:sz w:val="24"/>
            <w:szCs w:val="24"/>
          </w:rPr>
          <w:t>https://public.fastcase.com/9SKwsfNqTc6OieYDhNMyM7K54qMUE6VagvA5ZeUquJVblXNtT5CMEmLb%2FOI9awGykkKYC2JU7RwfzsQEOAIcP6T5leBqhSKOtHvIUfiLV%2Fs%3D</w:t>
        </w:r>
      </w:hyperlink>
      <w:r>
        <w:rPr>
          <w:rFonts w:ascii="Times New Roman" w:eastAsia="Times New Roman" w:hAnsi="Times New Roman"/>
          <w:sz w:val="24"/>
          <w:szCs w:val="24"/>
        </w:rPr>
        <w:t xml:space="preserve"> </w:t>
      </w:r>
    </w:p>
    <w:p w14:paraId="3FC2E16A" w14:textId="77777777" w:rsidR="0082055F" w:rsidRPr="00DF1C6F" w:rsidRDefault="0082055F" w:rsidP="0082055F">
      <w:pPr>
        <w:spacing w:before="100" w:beforeAutospacing="1" w:after="100" w:afterAutospacing="1" w:line="240" w:lineRule="auto"/>
        <w:rPr>
          <w:rFonts w:ascii="Times New Roman" w:hAnsi="Times New Roman"/>
          <w:b/>
          <w:bCs/>
          <w:sz w:val="24"/>
          <w:szCs w:val="24"/>
        </w:rPr>
      </w:pPr>
      <w:r w:rsidRPr="00DF1C6F">
        <w:rPr>
          <w:rFonts w:ascii="Times New Roman" w:hAnsi="Times New Roman"/>
          <w:b/>
          <w:bCs/>
          <w:sz w:val="24"/>
          <w:szCs w:val="24"/>
        </w:rPr>
        <w:t>Legal Lesson Learned:</w:t>
      </w:r>
      <w:r>
        <w:rPr>
          <w:rFonts w:ascii="Times New Roman" w:hAnsi="Times New Roman"/>
          <w:b/>
          <w:bCs/>
          <w:sz w:val="24"/>
          <w:szCs w:val="24"/>
        </w:rPr>
        <w:t xml:space="preserve"> Nice to see decision that six-year delay by Pension Board protects retirees from forced payback.  State may appeal this decision. </w:t>
      </w:r>
    </w:p>
    <w:p w14:paraId="732ADF62" w14:textId="77777777" w:rsidR="0082055F" w:rsidRDefault="0082055F" w:rsidP="00EF1133">
      <w:pPr>
        <w:rPr>
          <w:rFonts w:ascii="Arial Black" w:hAnsi="Arial Black"/>
          <w:b/>
          <w:sz w:val="24"/>
          <w:szCs w:val="24"/>
        </w:rPr>
      </w:pPr>
    </w:p>
    <w:p w14:paraId="64DA7A95" w14:textId="10F4E3AA" w:rsidR="0082055F" w:rsidRDefault="0082055F" w:rsidP="00EF1133">
      <w:pPr>
        <w:rPr>
          <w:rFonts w:ascii="Arial Black" w:hAnsi="Arial Black"/>
          <w:b/>
          <w:sz w:val="24"/>
          <w:szCs w:val="24"/>
        </w:rPr>
      </w:pPr>
      <w:r>
        <w:rPr>
          <w:rFonts w:ascii="Arial Black" w:hAnsi="Arial Black"/>
          <w:b/>
          <w:sz w:val="24"/>
          <w:szCs w:val="24"/>
        </w:rPr>
        <w:t>6-</w:t>
      </w:r>
      <w:r w:rsidR="00FF7C63">
        <w:rPr>
          <w:rFonts w:ascii="Arial Black" w:hAnsi="Arial Black"/>
          <w:b/>
          <w:sz w:val="24"/>
          <w:szCs w:val="24"/>
        </w:rPr>
        <w:t>79</w:t>
      </w:r>
    </w:p>
    <w:p w14:paraId="31C9F5E3" w14:textId="77777777" w:rsidR="0082055F" w:rsidRDefault="0082055F" w:rsidP="0082055F">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MT: VOLUNTEER FD IS OWNED BY TOWN – “BUDGET-STRAPPED” TOWN HAS RIGHT TO MANAGE FD BUDGET</w:t>
      </w:r>
    </w:p>
    <w:p w14:paraId="2BEAE154" w14:textId="77777777" w:rsidR="0082055F" w:rsidRPr="0073357D" w:rsidRDefault="0082055F" w:rsidP="0082055F">
      <w:pPr>
        <w:spacing w:before="100" w:beforeAutospacing="1" w:after="100" w:afterAutospacing="1" w:line="240" w:lineRule="auto"/>
        <w:rPr>
          <w:rFonts w:ascii="Times New Roman" w:eastAsia="Times New Roman" w:hAnsi="Times New Roman"/>
          <w:sz w:val="24"/>
          <w:szCs w:val="24"/>
        </w:rPr>
      </w:pPr>
      <w:r w:rsidRPr="00306BD3">
        <w:rPr>
          <w:rFonts w:ascii="Times New Roman" w:eastAsia="Times New Roman" w:hAnsi="Times New Roman"/>
          <w:sz w:val="24"/>
          <w:szCs w:val="24"/>
        </w:rPr>
        <w:t xml:space="preserve">On </w:t>
      </w:r>
      <w:r>
        <w:rPr>
          <w:rFonts w:ascii="Times New Roman" w:eastAsia="Times New Roman" w:hAnsi="Times New Roman"/>
          <w:sz w:val="24"/>
          <w:szCs w:val="24"/>
        </w:rPr>
        <w:t xml:space="preserve">Oct. 19, 2021, in </w:t>
      </w:r>
      <w:r w:rsidRPr="00306BD3">
        <w:rPr>
          <w:rFonts w:ascii="Times New Roman" w:eastAsia="Times New Roman" w:hAnsi="Times New Roman"/>
          <w:sz w:val="24"/>
          <w:szCs w:val="24"/>
          <w:u w:val="single"/>
        </w:rPr>
        <w:t>Town of Ekalaka v, Ekalaka Volunteer Fire Department, Inc</w:t>
      </w:r>
      <w:r>
        <w:rPr>
          <w:rFonts w:ascii="Times New Roman" w:eastAsia="Times New Roman" w:hAnsi="Times New Roman"/>
          <w:sz w:val="24"/>
          <w:szCs w:val="24"/>
        </w:rPr>
        <w:t>., the Supreme Court of Montana held (5 to 0) that District Court judge properly granted summary judgment to the Town. It’s all about the money: “[B]</w:t>
      </w:r>
      <w:proofErr w:type="spellStart"/>
      <w:r w:rsidRPr="0073357D">
        <w:rPr>
          <w:rFonts w:ascii="Times New Roman" w:hAnsi="Times New Roman"/>
          <w:sz w:val="24"/>
          <w:szCs w:val="24"/>
        </w:rPr>
        <w:t>eginning</w:t>
      </w:r>
      <w:proofErr w:type="spellEnd"/>
      <w:r w:rsidRPr="0073357D">
        <w:rPr>
          <w:rFonts w:ascii="Times New Roman" w:hAnsi="Times New Roman"/>
          <w:sz w:val="24"/>
          <w:szCs w:val="24"/>
        </w:rPr>
        <w:t xml:space="preserve"> around 2014, the contract money in the Department’s separate coffers began to swell and outmatch that coming from Town and community funds. The Department now contends that the budget-strapped Town is trying to seize the assets of a private association</w:t>
      </w:r>
      <w:r>
        <w:rPr>
          <w:rFonts w:ascii="Times New Roman" w:hAnsi="Times New Roman"/>
          <w:sz w:val="24"/>
          <w:szCs w:val="24"/>
        </w:rPr>
        <w:t xml:space="preserve">.” </w:t>
      </w:r>
    </w:p>
    <w:p w14:paraId="6CD32183" w14:textId="77777777" w:rsidR="0082055F" w:rsidRPr="008147C2" w:rsidRDefault="0082055F" w:rsidP="0082055F">
      <w:pPr>
        <w:spacing w:before="100" w:beforeAutospacing="1" w:after="100" w:afterAutospacing="1" w:line="240" w:lineRule="auto"/>
        <w:ind w:left="720"/>
        <w:rPr>
          <w:rFonts w:ascii="Times New Roman" w:eastAsia="Times New Roman" w:hAnsi="Times New Roman"/>
          <w:sz w:val="24"/>
          <w:szCs w:val="24"/>
        </w:rPr>
      </w:pPr>
      <w:r w:rsidRPr="008147C2">
        <w:rPr>
          <w:rFonts w:ascii="Times New Roman" w:eastAsia="Times New Roman" w:hAnsi="Times New Roman"/>
          <w:sz w:val="24"/>
          <w:szCs w:val="24"/>
        </w:rPr>
        <w:t>“</w:t>
      </w:r>
      <w:r w:rsidRPr="008147C2">
        <w:rPr>
          <w:rFonts w:ascii="Times New Roman" w:hAnsi="Times New Roman"/>
          <w:sz w:val="24"/>
          <w:szCs w:val="24"/>
        </w:rPr>
        <w:t xml:space="preserve">The Town acknowledges its technically improper department oversight, but it also cites ways in which its management of the department has conformed to what </w:t>
      </w:r>
      <w:r w:rsidRPr="008147C2">
        <w:rPr>
          <w:rStyle w:val="Emphasis"/>
          <w:rFonts w:ascii="Times New Roman" w:hAnsi="Times New Roman"/>
          <w:sz w:val="24"/>
          <w:szCs w:val="24"/>
        </w:rPr>
        <w:t>only</w:t>
      </w:r>
      <w:r w:rsidRPr="008147C2">
        <w:rPr>
          <w:rFonts w:ascii="Times New Roman" w:hAnsi="Times New Roman"/>
          <w:sz w:val="24"/>
          <w:szCs w:val="24"/>
        </w:rPr>
        <w:t xml:space="preserve"> municipalities can do. For example, the town provides workers compensation insurance through the Montana Municipal Interlocal Authority, </w:t>
      </w:r>
      <w:r w:rsidRPr="008147C2">
        <w:rPr>
          <w:rFonts w:ascii="Times New Roman" w:hAnsi="Times New Roman"/>
          <w:sz w:val="24"/>
          <w:szCs w:val="24"/>
        </w:rPr>
        <w:lastRenderedPageBreak/>
        <w:t>which is exclusive to municipal departments. The Town has also maintained property and liability insurance on the Department's vehicles and equipment.</w:t>
      </w:r>
    </w:p>
    <w:p w14:paraId="7AB9A229" w14:textId="77777777" w:rsidR="0082055F" w:rsidRDefault="0082055F" w:rsidP="0082055F">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w:t>
      </w:r>
    </w:p>
    <w:p w14:paraId="3E8EFD99" w14:textId="77777777" w:rsidR="0082055F" w:rsidRDefault="0082055F" w:rsidP="0082055F">
      <w:pPr>
        <w:spacing w:before="100" w:beforeAutospacing="1" w:after="100" w:afterAutospacing="1" w:line="240" w:lineRule="auto"/>
        <w:ind w:left="720"/>
        <w:rPr>
          <w:rFonts w:ascii="Times New Roman" w:eastAsia="Times New Roman" w:hAnsi="Times New Roman"/>
          <w:sz w:val="24"/>
          <w:szCs w:val="24"/>
        </w:rPr>
      </w:pPr>
      <w:proofErr w:type="gramStart"/>
      <w:r w:rsidRPr="00306BD3">
        <w:rPr>
          <w:rFonts w:ascii="Times New Roman" w:eastAsia="Times New Roman" w:hAnsi="Times New Roman"/>
          <w:sz w:val="24"/>
          <w:szCs w:val="24"/>
        </w:rPr>
        <w:t>At most, what</w:t>
      </w:r>
      <w:proofErr w:type="gramEnd"/>
      <w:r w:rsidRPr="00306BD3">
        <w:rPr>
          <w:rFonts w:ascii="Times New Roman" w:eastAsia="Times New Roman" w:hAnsi="Times New Roman"/>
          <w:sz w:val="24"/>
          <w:szCs w:val="24"/>
        </w:rPr>
        <w:t xml:space="preserve"> much of this evidence proves is that Ekalaka's volunteer fire department acted with an amount of delegated independence over the decades that the Town does not contest, and perhaps that some individual volunteers misperceived or lacked the language to correctly describe its municipal ownership. It is not unusual for two parts of a Town's government to interact with each other in ways that require arms-length language, nor is it odd for a fire department to thank its town government for support. Additionally, every piece of evidence the Department presents must be weighed against contrary evidence from the Town, including the perceptions and actions of former Department leaders; the Town's establishment of a relief association under state laws on municipalities; the impressions of third parties like the vehicle donors; mutual aid agreements that exist between </w:t>
      </w:r>
      <w:r w:rsidRPr="00306BD3">
        <w:rPr>
          <w:rFonts w:ascii="Times New Roman" w:eastAsia="Times New Roman" w:hAnsi="Times New Roman"/>
          <w:i/>
          <w:iCs/>
          <w:sz w:val="24"/>
          <w:szCs w:val="24"/>
        </w:rPr>
        <w:t>the Town</w:t>
      </w:r>
      <w:r w:rsidRPr="00306BD3">
        <w:rPr>
          <w:rFonts w:ascii="Times New Roman" w:eastAsia="Times New Roman" w:hAnsi="Times New Roman"/>
          <w:sz w:val="24"/>
          <w:szCs w:val="24"/>
        </w:rPr>
        <w:t xml:space="preserve"> and Carter County, even if arranged or signed by the fire chief; and municipal fire department reports the Town has sent to the Montana State Auditor. </w:t>
      </w:r>
    </w:p>
    <w:p w14:paraId="0EA3B66B" w14:textId="77777777" w:rsidR="0082055F" w:rsidRDefault="0082055F" w:rsidP="0082055F">
      <w:pPr>
        <w:spacing w:before="100" w:beforeAutospacing="1" w:after="100" w:afterAutospacing="1" w:line="240" w:lineRule="auto"/>
        <w:ind w:left="720"/>
        <w:rPr>
          <w:rFonts w:ascii="Times New Roman" w:hAnsi="Times New Roman"/>
          <w:sz w:val="24"/>
          <w:szCs w:val="24"/>
        </w:rPr>
      </w:pPr>
      <w:r w:rsidRPr="00306BD3">
        <w:rPr>
          <w:rFonts w:ascii="Times New Roman" w:hAnsi="Times New Roman"/>
          <w:sz w:val="24"/>
          <w:szCs w:val="24"/>
        </w:rPr>
        <w:t xml:space="preserve">The documentary evidence from the parties overwhelmingly weighs toward declaratory judgment affirming the duly established municipal department. The evidence that the Department claims </w:t>
      </w:r>
      <w:proofErr w:type="gramStart"/>
      <w:r w:rsidRPr="00306BD3">
        <w:rPr>
          <w:rFonts w:ascii="Times New Roman" w:hAnsi="Times New Roman"/>
          <w:sz w:val="24"/>
          <w:szCs w:val="24"/>
        </w:rPr>
        <w:t>exemplifies</w:t>
      </w:r>
      <w:proofErr w:type="gramEnd"/>
      <w:r w:rsidRPr="00306BD3">
        <w:rPr>
          <w:rFonts w:ascii="Times New Roman" w:hAnsi="Times New Roman"/>
          <w:sz w:val="24"/>
          <w:szCs w:val="24"/>
        </w:rPr>
        <w:t xml:space="preserve"> its practical legal sovereignty is equivocal at best, and the Department cites no legal authority for the notion that individual beliefs or vocabulary can excise an agency from town government. As the District Court noted, the Town's extensive financial and managerial delegation to the Department may be ill-advised and </w:t>
      </w:r>
      <w:proofErr w:type="gramStart"/>
      <w:r w:rsidRPr="00306BD3">
        <w:rPr>
          <w:rFonts w:ascii="Times New Roman" w:hAnsi="Times New Roman"/>
          <w:sz w:val="24"/>
          <w:szCs w:val="24"/>
        </w:rPr>
        <w:t>may be</w:t>
      </w:r>
      <w:proofErr w:type="gramEnd"/>
      <w:r w:rsidRPr="00306BD3">
        <w:rPr>
          <w:rFonts w:ascii="Times New Roman" w:hAnsi="Times New Roman"/>
          <w:sz w:val="24"/>
          <w:szCs w:val="24"/>
        </w:rPr>
        <w:t xml:space="preserve"> worth reconsidering</w:t>
      </w:r>
      <w:proofErr w:type="gramStart"/>
      <w:r w:rsidRPr="00306BD3">
        <w:rPr>
          <w:rFonts w:ascii="Times New Roman" w:hAnsi="Times New Roman"/>
          <w:sz w:val="24"/>
          <w:szCs w:val="24"/>
        </w:rPr>
        <w:t>-this</w:t>
      </w:r>
      <w:proofErr w:type="gramEnd"/>
      <w:r w:rsidRPr="00306BD3">
        <w:rPr>
          <w:rFonts w:ascii="Times New Roman" w:hAnsi="Times New Roman"/>
          <w:sz w:val="24"/>
          <w:szCs w:val="24"/>
        </w:rPr>
        <w:t xml:space="preserve"> controversy is proof enough of the pitfalls. But a small municipality's somewhat casual oversight of its volunteer fire department does not give that department a license to declare itself divested.</w:t>
      </w:r>
      <w:r>
        <w:rPr>
          <w:rFonts w:ascii="Times New Roman" w:hAnsi="Times New Roman"/>
          <w:sz w:val="24"/>
          <w:szCs w:val="24"/>
        </w:rPr>
        <w:t xml:space="preserve">” </w:t>
      </w:r>
      <w:hyperlink r:id="rId1181" w:history="1">
        <w:r w:rsidRPr="00764F47">
          <w:rPr>
            <w:rStyle w:val="Hyperlink"/>
            <w:sz w:val="24"/>
            <w:szCs w:val="24"/>
          </w:rPr>
          <w:t>https://cases.justia.com/montana/supreme-court/2021-da-20-0594.pdf?ts=1634679339</w:t>
        </w:r>
      </w:hyperlink>
      <w:r>
        <w:rPr>
          <w:rFonts w:ascii="Times New Roman" w:hAnsi="Times New Roman"/>
          <w:sz w:val="24"/>
          <w:szCs w:val="24"/>
        </w:rPr>
        <w:t xml:space="preserve"> </w:t>
      </w:r>
    </w:p>
    <w:p w14:paraId="65B61863" w14:textId="77777777" w:rsidR="0082055F" w:rsidRPr="00A7736E" w:rsidRDefault="0082055F" w:rsidP="0082055F">
      <w:pPr>
        <w:spacing w:before="100" w:beforeAutospacing="1" w:after="100" w:afterAutospacing="1" w:line="240" w:lineRule="auto"/>
        <w:rPr>
          <w:rFonts w:ascii="Times New Roman" w:eastAsia="Times New Roman" w:hAnsi="Times New Roman"/>
          <w:b/>
          <w:bCs/>
          <w:sz w:val="24"/>
          <w:szCs w:val="24"/>
        </w:rPr>
      </w:pPr>
      <w:r w:rsidRPr="008147C2">
        <w:rPr>
          <w:rFonts w:ascii="Times New Roman" w:eastAsia="Times New Roman" w:hAnsi="Times New Roman"/>
          <w:b/>
          <w:bCs/>
          <w:sz w:val="24"/>
          <w:szCs w:val="24"/>
        </w:rPr>
        <w:t xml:space="preserve">Legal Lesson Learned: </w:t>
      </w:r>
      <w:r>
        <w:rPr>
          <w:rFonts w:ascii="Times New Roman" w:eastAsia="Times New Roman" w:hAnsi="Times New Roman"/>
          <w:b/>
          <w:bCs/>
          <w:sz w:val="24"/>
          <w:szCs w:val="24"/>
        </w:rPr>
        <w:t xml:space="preserve">Volunteer fire departments should have a clear understanding </w:t>
      </w:r>
      <w:proofErr w:type="gramStart"/>
      <w:r>
        <w:rPr>
          <w:rFonts w:ascii="Times New Roman" w:eastAsia="Times New Roman" w:hAnsi="Times New Roman"/>
          <w:b/>
          <w:bCs/>
          <w:sz w:val="24"/>
          <w:szCs w:val="24"/>
        </w:rPr>
        <w:t>on</w:t>
      </w:r>
      <w:proofErr w:type="gramEnd"/>
      <w:r>
        <w:rPr>
          <w:rFonts w:ascii="Times New Roman" w:eastAsia="Times New Roman" w:hAnsi="Times New Roman"/>
          <w:b/>
          <w:bCs/>
          <w:sz w:val="24"/>
          <w:szCs w:val="24"/>
        </w:rPr>
        <w:t xml:space="preserve"> the legal status of that department. </w:t>
      </w:r>
    </w:p>
    <w:p w14:paraId="0CBB6666" w14:textId="77777777" w:rsidR="0082055F" w:rsidRDefault="0082055F" w:rsidP="00EF1133">
      <w:pPr>
        <w:rPr>
          <w:rFonts w:ascii="Arial Black" w:hAnsi="Arial Black"/>
          <w:b/>
          <w:sz w:val="24"/>
          <w:szCs w:val="24"/>
        </w:rPr>
      </w:pPr>
    </w:p>
    <w:p w14:paraId="1CC71435" w14:textId="4F2AD901" w:rsidR="00BD1702" w:rsidRDefault="00BD1702" w:rsidP="00EF1133">
      <w:pPr>
        <w:rPr>
          <w:rFonts w:ascii="Arial Black" w:hAnsi="Arial Black"/>
          <w:b/>
          <w:sz w:val="24"/>
          <w:szCs w:val="24"/>
        </w:rPr>
      </w:pPr>
      <w:r>
        <w:rPr>
          <w:rFonts w:ascii="Arial Black" w:hAnsi="Arial Black"/>
          <w:b/>
          <w:sz w:val="24"/>
          <w:szCs w:val="24"/>
        </w:rPr>
        <w:t>6-7</w:t>
      </w:r>
      <w:r w:rsidR="00FF7C63">
        <w:rPr>
          <w:rFonts w:ascii="Arial Black" w:hAnsi="Arial Black"/>
          <w:b/>
          <w:sz w:val="24"/>
          <w:szCs w:val="24"/>
        </w:rPr>
        <w:t>8</w:t>
      </w:r>
    </w:p>
    <w:p w14:paraId="3F3A9334" w14:textId="77777777" w:rsidR="00BD1702" w:rsidRDefault="00BD1702" w:rsidP="00BD1702">
      <w:pPr>
        <w:spacing w:before="100" w:beforeAutospacing="1" w:after="100" w:afterAutospacing="1" w:line="240" w:lineRule="auto"/>
        <w:rPr>
          <w:rFonts w:ascii="Arial Black" w:eastAsia="Times New Roman" w:hAnsi="Arial Black"/>
          <w:sz w:val="28"/>
          <w:szCs w:val="28"/>
        </w:rPr>
      </w:pPr>
      <w:r>
        <w:rPr>
          <w:rFonts w:ascii="Arial Black" w:eastAsia="Times New Roman" w:hAnsi="Arial Black"/>
          <w:sz w:val="28"/>
          <w:szCs w:val="28"/>
        </w:rPr>
        <w:t xml:space="preserve">OH: CLEVELAND LOCAL 93 – PUBLIC RECORDS - CHIEF’S E-MAILS - FOUR DOC. WERE NOT “ATTY-CLIENT PRIVILEGED” </w:t>
      </w:r>
    </w:p>
    <w:p w14:paraId="452DFC25" w14:textId="77777777" w:rsidR="00BD1702" w:rsidRDefault="00BD1702" w:rsidP="00BD1702">
      <w:pPr>
        <w:spacing w:before="100" w:beforeAutospacing="1" w:after="100" w:afterAutospacing="1" w:line="240" w:lineRule="auto"/>
        <w:rPr>
          <w:rFonts w:ascii="Times New Roman" w:hAnsi="Times New Roman"/>
          <w:sz w:val="24"/>
          <w:szCs w:val="24"/>
        </w:rPr>
      </w:pPr>
      <w:r>
        <w:rPr>
          <w:rFonts w:ascii="Times New Roman" w:eastAsia="Times New Roman" w:hAnsi="Times New Roman"/>
          <w:sz w:val="24"/>
          <w:szCs w:val="24"/>
        </w:rPr>
        <w:t xml:space="preserve">On Oct. 7, 2021, in </w:t>
      </w:r>
      <w:r>
        <w:rPr>
          <w:rFonts w:ascii="Times New Roman" w:eastAsia="Times New Roman" w:hAnsi="Times New Roman"/>
          <w:sz w:val="24"/>
          <w:szCs w:val="24"/>
          <w:u w:val="single"/>
        </w:rPr>
        <w:t>Association of Cleveland Fire Fighters IAFF Local 93 v. City of Cleveland, Department of Law</w:t>
      </w:r>
      <w:r>
        <w:rPr>
          <w:rFonts w:ascii="Times New Roman" w:eastAsia="Times New Roman" w:hAnsi="Times New Roman"/>
          <w:sz w:val="24"/>
          <w:szCs w:val="24"/>
        </w:rPr>
        <w:t xml:space="preserve">, </w:t>
      </w:r>
      <w:r>
        <w:rPr>
          <w:rStyle w:val="font-weight-bold"/>
          <w:rFonts w:ascii="Times New Roman" w:hAnsi="Times New Roman"/>
        </w:rPr>
        <w:t xml:space="preserve">2021 Ohio 3602 (Ohio App. 2021), </w:t>
      </w:r>
      <w:r>
        <w:rPr>
          <w:rFonts w:ascii="Times New Roman" w:eastAsia="Times New Roman" w:hAnsi="Times New Roman"/>
          <w:sz w:val="24"/>
          <w:szCs w:val="24"/>
        </w:rPr>
        <w:t>the Court of Appeals of Ohio, 8</w:t>
      </w:r>
      <w:r>
        <w:rPr>
          <w:rFonts w:ascii="Times New Roman" w:eastAsia="Times New Roman" w:hAnsi="Times New Roman"/>
          <w:sz w:val="24"/>
          <w:szCs w:val="24"/>
          <w:vertAlign w:val="superscript"/>
        </w:rPr>
        <w:t>th</w:t>
      </w:r>
      <w:r>
        <w:rPr>
          <w:rFonts w:ascii="Times New Roman" w:eastAsia="Times New Roman" w:hAnsi="Times New Roman"/>
          <w:sz w:val="24"/>
          <w:szCs w:val="24"/>
        </w:rPr>
        <w:t xml:space="preserve"> District, Cuyahoga County, held (3 to 0) that the four e-mails marked “Attorney-Client Privileged” </w:t>
      </w:r>
      <w:r>
        <w:rPr>
          <w:rFonts w:ascii="Times New Roman" w:hAnsi="Times New Roman"/>
          <w:sz w:val="24"/>
          <w:szCs w:val="24"/>
        </w:rPr>
        <w:t xml:space="preserve">relative to an early morning fire that had occurred in the city on January 26, 2020 were in fact, after in camera review, not privileged. The Ohio Court of Claims granted </w:t>
      </w:r>
      <w:r>
        <w:rPr>
          <w:rFonts w:ascii="Times New Roman" w:eastAsia="Times New Roman" w:hAnsi="Times New Roman"/>
          <w:sz w:val="24"/>
          <w:szCs w:val="24"/>
        </w:rPr>
        <w:t xml:space="preserve">Local 93’s </w:t>
      </w:r>
      <w:r>
        <w:rPr>
          <w:rFonts w:ascii="Times New Roman" w:hAnsi="Times New Roman"/>
          <w:sz w:val="24"/>
          <w:szCs w:val="24"/>
        </w:rPr>
        <w:t xml:space="preserve">public-records request for emails that city of Cleveland Fire Chief Angelo Calvillo (‘Chief Calvillo’ or ‘the Chief’) sent, received, and was copied on from January 26, 2020, through February 5, 2020, including four marked “Attorney-Client Privileged.” </w:t>
      </w:r>
    </w:p>
    <w:p w14:paraId="102EF182" w14:textId="77777777" w:rsidR="00BD1702" w:rsidRDefault="00BD1702" w:rsidP="00BD1702">
      <w:pPr>
        <w:spacing w:after="100" w:line="240" w:lineRule="auto"/>
        <w:ind w:left="810"/>
        <w:rPr>
          <w:rFonts w:ascii="Times New Roman" w:hAnsi="Times New Roman"/>
          <w:sz w:val="24"/>
          <w:szCs w:val="24"/>
        </w:rPr>
      </w:pPr>
      <w:r>
        <w:rPr>
          <w:rFonts w:ascii="Times New Roman" w:hAnsi="Times New Roman"/>
          <w:sz w:val="24"/>
          <w:szCs w:val="24"/>
        </w:rPr>
        <w:t>“Upon review, the first three subject emails did not fall squarely within the attorney-client privilege. They did not seek any kind of legal advice. For example, the one email naming Menzalora as the primary recipient related to a scheduling matter.</w:t>
      </w:r>
    </w:p>
    <w:p w14:paraId="73F3C870" w14:textId="77777777" w:rsidR="00BD1702" w:rsidRDefault="00BD1702" w:rsidP="00BD1702">
      <w:pPr>
        <w:spacing w:after="100" w:line="240" w:lineRule="auto"/>
        <w:ind w:left="810"/>
        <w:rPr>
          <w:rFonts w:ascii="Times New Roman" w:hAnsi="Times New Roman"/>
          <w:sz w:val="24"/>
          <w:szCs w:val="24"/>
        </w:rPr>
      </w:pPr>
      <w:r>
        <w:rPr>
          <w:rFonts w:ascii="Times New Roman" w:hAnsi="Times New Roman"/>
          <w:sz w:val="24"/>
          <w:szCs w:val="24"/>
        </w:rPr>
        <w:t>***</w:t>
      </w:r>
    </w:p>
    <w:p w14:paraId="6A5D6413" w14:textId="77777777" w:rsidR="00BD1702" w:rsidRDefault="00BD1702" w:rsidP="00BD1702">
      <w:pPr>
        <w:spacing w:after="100" w:line="240" w:lineRule="auto"/>
        <w:ind w:left="810"/>
        <w:rPr>
          <w:rFonts w:ascii="Times New Roman" w:hAnsi="Times New Roman"/>
          <w:sz w:val="24"/>
          <w:szCs w:val="24"/>
        </w:rPr>
      </w:pPr>
      <w:r>
        <w:rPr>
          <w:rFonts w:ascii="Times New Roman" w:hAnsi="Times New Roman"/>
          <w:sz w:val="24"/>
          <w:szCs w:val="24"/>
        </w:rPr>
        <w:lastRenderedPageBreak/>
        <w:t xml:space="preserve">The fourth email that was from Chief Calvillo to the Assistant Chief, Division of Fire, is the trickiest. Although Menzalora was copied on the email, the greeting of the email was solely to the Assistant Chief, and the body asked only for the Assistant Chiefs review of a document…. Further, the header in the subject line of the </w:t>
      </w:r>
      <w:proofErr w:type="gramStart"/>
      <w:r>
        <w:rPr>
          <w:rFonts w:ascii="Times New Roman" w:hAnsi="Times New Roman"/>
          <w:sz w:val="24"/>
          <w:szCs w:val="24"/>
        </w:rPr>
        <w:t>emails</w:t>
      </w:r>
      <w:proofErr w:type="gramEnd"/>
      <w:r>
        <w:rPr>
          <w:rFonts w:ascii="Times New Roman" w:hAnsi="Times New Roman"/>
          <w:sz w:val="24"/>
          <w:szCs w:val="24"/>
        </w:rPr>
        <w:t xml:space="preserve"> that they were ‘Attorney-Client </w:t>
      </w:r>
      <w:proofErr w:type="gramStart"/>
      <w:r>
        <w:rPr>
          <w:rFonts w:ascii="Times New Roman" w:hAnsi="Times New Roman"/>
          <w:sz w:val="24"/>
          <w:szCs w:val="24"/>
        </w:rPr>
        <w:t>privilege’</w:t>
      </w:r>
      <w:proofErr w:type="gramEnd"/>
      <w:r>
        <w:rPr>
          <w:rFonts w:ascii="Times New Roman" w:hAnsi="Times New Roman"/>
          <w:sz w:val="24"/>
          <w:szCs w:val="24"/>
        </w:rPr>
        <w:t xml:space="preserve"> do not make them so. The content of the emails </w:t>
      </w:r>
      <w:proofErr w:type="gramStart"/>
      <w:r>
        <w:rPr>
          <w:rFonts w:ascii="Times New Roman" w:hAnsi="Times New Roman"/>
          <w:sz w:val="24"/>
          <w:szCs w:val="24"/>
        </w:rPr>
        <w:t>has to</w:t>
      </w:r>
      <w:proofErr w:type="gramEnd"/>
      <w:r>
        <w:rPr>
          <w:rFonts w:ascii="Times New Roman" w:hAnsi="Times New Roman"/>
          <w:sz w:val="24"/>
          <w:szCs w:val="24"/>
        </w:rPr>
        <w:t xml:space="preserve"> involve attorney-client-privileged information, and our de novo review shows that they did not contain privileged information.</w:t>
      </w:r>
    </w:p>
    <w:p w14:paraId="1BD5229E" w14:textId="77777777" w:rsidR="00BD1702" w:rsidRDefault="00BD1702" w:rsidP="00BD1702">
      <w:pPr>
        <w:spacing w:after="100" w:line="240" w:lineRule="auto"/>
        <w:ind w:left="810"/>
        <w:rPr>
          <w:rFonts w:ascii="Times New Roman" w:hAnsi="Times New Roman"/>
          <w:sz w:val="24"/>
          <w:szCs w:val="24"/>
        </w:rPr>
      </w:pPr>
      <w:r>
        <w:rPr>
          <w:rFonts w:ascii="Times New Roman" w:hAnsi="Times New Roman"/>
          <w:sz w:val="24"/>
          <w:szCs w:val="24"/>
        </w:rPr>
        <w:t>***</w:t>
      </w:r>
    </w:p>
    <w:p w14:paraId="5A9DC896" w14:textId="77777777" w:rsidR="00BD1702" w:rsidRDefault="00BD1702" w:rsidP="00BD1702">
      <w:pPr>
        <w:spacing w:after="100" w:line="240" w:lineRule="auto"/>
        <w:ind w:left="810"/>
        <w:rPr>
          <w:rFonts w:ascii="Times New Roman" w:hAnsi="Times New Roman"/>
          <w:sz w:val="24"/>
          <w:szCs w:val="24"/>
        </w:rPr>
      </w:pPr>
      <w:r>
        <w:rPr>
          <w:rFonts w:ascii="Times New Roman" w:hAnsi="Times New Roman"/>
          <w:sz w:val="24"/>
          <w:szCs w:val="24"/>
        </w:rPr>
        <w:t xml:space="preserve">Upon review, we decline to award attorney fees to Local 93. The record does not demonstrate that the city ‘obviously filed the appeal with the intent to either delay compliance with the Court of Claims' order from which the appeal is taken for no reasonable cause or [to] unduly harass’ Local 93.” </w:t>
      </w:r>
      <w:hyperlink r:id="rId1182" w:history="1">
        <w:r>
          <w:rPr>
            <w:rStyle w:val="Hyperlink"/>
            <w:sz w:val="24"/>
            <w:szCs w:val="24"/>
          </w:rPr>
          <w:t>https://www.leagle.com/decision/inohco20211007389</w:t>
        </w:r>
      </w:hyperlink>
    </w:p>
    <w:p w14:paraId="1A43F41A" w14:textId="77777777" w:rsidR="00BD1702" w:rsidRDefault="00BD1702" w:rsidP="00BD1702">
      <w:pPr>
        <w:tabs>
          <w:tab w:val="left" w:pos="2760"/>
        </w:tabs>
        <w:spacing w:after="100" w:line="240" w:lineRule="auto"/>
        <w:rPr>
          <w:rFonts w:ascii="Times New Roman" w:eastAsia="Times New Roman" w:hAnsi="Times New Roman"/>
          <w:b/>
          <w:bCs/>
          <w:sz w:val="24"/>
          <w:szCs w:val="24"/>
        </w:rPr>
      </w:pPr>
      <w:r>
        <w:rPr>
          <w:rFonts w:ascii="Times New Roman" w:hAnsi="Times New Roman"/>
          <w:b/>
          <w:bCs/>
          <w:sz w:val="24"/>
          <w:szCs w:val="24"/>
        </w:rPr>
        <w:t xml:space="preserve">Legal Lesson Learned: The burden is on the City to prove the documents meet the Attorney-Client Privilege.  Judges [or in Ohio, Special Masters with Ohio Court of Claims] will normally conduct an </w:t>
      </w:r>
      <w:proofErr w:type="gramStart"/>
      <w:r>
        <w:rPr>
          <w:rFonts w:ascii="Times New Roman" w:hAnsi="Times New Roman"/>
          <w:b/>
          <w:bCs/>
          <w:sz w:val="24"/>
          <w:szCs w:val="24"/>
        </w:rPr>
        <w:t>in camera</w:t>
      </w:r>
      <w:proofErr w:type="gramEnd"/>
      <w:r>
        <w:rPr>
          <w:rFonts w:ascii="Times New Roman" w:hAnsi="Times New Roman"/>
          <w:b/>
          <w:bCs/>
          <w:sz w:val="24"/>
          <w:szCs w:val="24"/>
        </w:rPr>
        <w:t xml:space="preserve"> review of the documents claimed to be </w:t>
      </w:r>
      <w:proofErr w:type="gramStart"/>
      <w:r>
        <w:rPr>
          <w:rFonts w:ascii="Times New Roman" w:hAnsi="Times New Roman"/>
          <w:b/>
          <w:bCs/>
          <w:sz w:val="24"/>
          <w:szCs w:val="24"/>
        </w:rPr>
        <w:t>privileged, and</w:t>
      </w:r>
      <w:proofErr w:type="gramEnd"/>
      <w:r>
        <w:rPr>
          <w:rFonts w:ascii="Times New Roman" w:hAnsi="Times New Roman"/>
          <w:b/>
          <w:bCs/>
          <w:sz w:val="24"/>
          <w:szCs w:val="24"/>
        </w:rPr>
        <w:t xml:space="preserve"> then seal the documents for review by Court of Appeals. </w:t>
      </w:r>
    </w:p>
    <w:p w14:paraId="2929F529" w14:textId="77777777" w:rsidR="00BD1702" w:rsidRDefault="00BD1702" w:rsidP="00EF1133">
      <w:pPr>
        <w:rPr>
          <w:rFonts w:ascii="Arial Black" w:hAnsi="Arial Black"/>
          <w:b/>
          <w:sz w:val="24"/>
          <w:szCs w:val="24"/>
        </w:rPr>
      </w:pPr>
    </w:p>
    <w:p w14:paraId="009FF946" w14:textId="77777777" w:rsidR="00BD1702" w:rsidRDefault="00BD1702" w:rsidP="00EF1133">
      <w:pPr>
        <w:rPr>
          <w:rFonts w:ascii="Arial Black" w:hAnsi="Arial Black"/>
          <w:b/>
          <w:sz w:val="24"/>
          <w:szCs w:val="24"/>
        </w:rPr>
      </w:pPr>
    </w:p>
    <w:p w14:paraId="64B5056D" w14:textId="35982584" w:rsidR="00BD263B" w:rsidRDefault="00BD263B" w:rsidP="00EF1133">
      <w:pPr>
        <w:rPr>
          <w:rFonts w:ascii="Arial Black" w:hAnsi="Arial Black"/>
          <w:b/>
          <w:sz w:val="24"/>
          <w:szCs w:val="24"/>
        </w:rPr>
      </w:pPr>
      <w:r>
        <w:rPr>
          <w:rFonts w:ascii="Arial Black" w:hAnsi="Arial Black"/>
          <w:b/>
          <w:sz w:val="24"/>
          <w:szCs w:val="24"/>
        </w:rPr>
        <w:t>6-7</w:t>
      </w:r>
      <w:r w:rsidR="00FF7C63">
        <w:rPr>
          <w:rFonts w:ascii="Arial Black" w:hAnsi="Arial Black"/>
          <w:b/>
          <w:sz w:val="24"/>
          <w:szCs w:val="24"/>
        </w:rPr>
        <w:t>7</w:t>
      </w:r>
    </w:p>
    <w:p w14:paraId="5DF128AA" w14:textId="77777777" w:rsidR="00BD263B" w:rsidRDefault="00BD263B" w:rsidP="00BD263B">
      <w:pPr>
        <w:pStyle w:val="articleparagraph"/>
        <w:rPr>
          <w:rFonts w:ascii="Arial Black" w:hAnsi="Arial Black"/>
          <w:sz w:val="28"/>
          <w:szCs w:val="28"/>
        </w:rPr>
      </w:pPr>
      <w:bookmarkStart w:id="230" w:name="_Hlk81842050"/>
      <w:r>
        <w:rPr>
          <w:rFonts w:ascii="Arial Black" w:hAnsi="Arial Black"/>
          <w:sz w:val="28"/>
          <w:szCs w:val="28"/>
        </w:rPr>
        <w:t>OH:  BATTALION CHIEF’s 1</w:t>
      </w:r>
      <w:r w:rsidRPr="00CF76A9">
        <w:rPr>
          <w:rFonts w:ascii="Arial Black" w:hAnsi="Arial Black"/>
          <w:sz w:val="28"/>
          <w:szCs w:val="28"/>
          <w:vertAlign w:val="superscript"/>
        </w:rPr>
        <w:t>st</w:t>
      </w:r>
      <w:r>
        <w:rPr>
          <w:rFonts w:ascii="Arial Black" w:hAnsi="Arial Black"/>
          <w:sz w:val="28"/>
          <w:szCs w:val="28"/>
        </w:rPr>
        <w:t xml:space="preserve"> AMENDMENT RIGHTS - NEW CHIEF LACKED EMS CE HOURS – LAWSUIT PROCEED</w:t>
      </w:r>
    </w:p>
    <w:bookmarkEnd w:id="230"/>
    <w:p w14:paraId="07B1D9F4" w14:textId="77777777" w:rsidR="00BD263B" w:rsidRDefault="00BD263B" w:rsidP="00BD263B">
      <w:pPr>
        <w:pStyle w:val="articleparagraph"/>
      </w:pPr>
      <w:r>
        <w:t xml:space="preserve">On Sept. 1, 2021, in </w:t>
      </w:r>
      <w:r w:rsidRPr="00F10437">
        <w:rPr>
          <w:u w:val="single"/>
        </w:rPr>
        <w:t>Sean DeCrane v. Edward Eckart, in his official and individual capacities; City of Cleveland</w:t>
      </w:r>
      <w:r>
        <w:t>, the U.S. Court of Appeals for the 6</w:t>
      </w:r>
      <w:r w:rsidRPr="00F10437">
        <w:rPr>
          <w:vertAlign w:val="superscript"/>
        </w:rPr>
        <w:t>th</w:t>
      </w:r>
      <w:r>
        <w:t xml:space="preserve"> Circuit (Cincinnati) held (3 to 0) that a retired Cleveland Battalion Chief’s lawsuit may proceed against the City and the Assistant Safety Director for retaliation, and trial court correctly denied the Safety Director’s motion for summary judgment since he does not enjoy qualified immunity.   The Battalion Chief was a candidate for Fire Chief, and when not selected, he warned the city that the new Fire Chief [</w:t>
      </w:r>
      <w:r w:rsidRPr="0046342A">
        <w:rPr>
          <w:rStyle w:val="markedcontent"/>
        </w:rPr>
        <w:t>Daryl McGinnis</w:t>
      </w:r>
      <w:r>
        <w:rPr>
          <w:rStyle w:val="markedcontent"/>
        </w:rPr>
        <w:t>, who later was suspended and then retired]</w:t>
      </w:r>
      <w:r w:rsidRPr="0046342A">
        <w:rPr>
          <w:rStyle w:val="markedcontent"/>
        </w:rPr>
        <w:t xml:space="preserve">, </w:t>
      </w:r>
      <w:r>
        <w:t xml:space="preserve">lacked continuing education hours for his EMT certificate.  Someone in the Training Division [not DeCrane] then leaked to the Press about the new Fire Chief’s lack of CE hours, and Sean DeCrane claims retaliation started against him. </w:t>
      </w:r>
    </w:p>
    <w:p w14:paraId="4D031119" w14:textId="77777777" w:rsidR="00BD263B" w:rsidRPr="0046342A" w:rsidRDefault="00BD263B" w:rsidP="00BD263B">
      <w:pPr>
        <w:pStyle w:val="articleparagraph"/>
        <w:ind w:left="720"/>
      </w:pPr>
      <w:r>
        <w:rPr>
          <w:rStyle w:val="markedcontent"/>
        </w:rPr>
        <w:t>“</w:t>
      </w:r>
      <w:r w:rsidRPr="0046342A">
        <w:rPr>
          <w:rStyle w:val="markedcontent"/>
        </w:rPr>
        <w:t xml:space="preserve">Someone in the City of Cleveland’s fire department leaked embarrassing information to the media about its chief’s insufficient training hours. Sean DeCrane, the director of the Fire Training Academy, was not that person. But, according to DeCrane, Edward Eckart thought he was. DeCrane alleges that Eckart facilitated several harmful personnel actions against him because of this mistaken </w:t>
      </w:r>
      <w:proofErr w:type="gramStart"/>
      <w:r w:rsidRPr="0046342A">
        <w:rPr>
          <w:rStyle w:val="markedcontent"/>
        </w:rPr>
        <w:t>belief—all</w:t>
      </w:r>
      <w:proofErr w:type="gramEnd"/>
      <w:r w:rsidRPr="0046342A">
        <w:rPr>
          <w:rStyle w:val="markedcontent"/>
        </w:rPr>
        <w:t xml:space="preserve"> in violation of the First Amendment. Eckart’s response? He argues that the First Amendment does not protect speech made as part of an employee’s government job, see Garcetti v. Ceballos, 547 U.S. 410, </w:t>
      </w:r>
      <w:r w:rsidRPr="0046342A">
        <w:br/>
      </w:r>
      <w:r w:rsidRPr="0046342A">
        <w:rPr>
          <w:rStyle w:val="markedcontent"/>
        </w:rPr>
        <w:t>421–22 (2006), and that DeCrane would have leaked the information pursuant to his job duties as the training director. The district court denied Eckart qualified immunity on this argument, holding that our precedent clearly established that DeCrane would have tipped off the media as a private citizen rather than a public employee. We agree and affirm this part of the court’s decision. We dismiss Eckart’s other two arguments for lack of jurisdiction in this appeal’s interlocutory posture.</w:t>
      </w:r>
      <w:r>
        <w:rPr>
          <w:rStyle w:val="markedcontent"/>
        </w:rPr>
        <w:t xml:space="preserve">”  </w:t>
      </w:r>
      <w:hyperlink r:id="rId1183" w:history="1">
        <w:r w:rsidRPr="00843DBD">
          <w:rPr>
            <w:rStyle w:val="Hyperlink"/>
          </w:rPr>
          <w:t>https://www.opn.ca6.uscourts.gov/opinions.pdf/21a0204p-06.pdf</w:t>
        </w:r>
      </w:hyperlink>
      <w:r>
        <w:rPr>
          <w:rStyle w:val="markedcontent"/>
        </w:rPr>
        <w:t xml:space="preserve"> </w:t>
      </w:r>
    </w:p>
    <w:p w14:paraId="48815E18" w14:textId="77777777" w:rsidR="00BD263B" w:rsidRPr="00F74717" w:rsidRDefault="00BD263B" w:rsidP="00BD263B">
      <w:pPr>
        <w:rPr>
          <w:rStyle w:val="markedcontent"/>
          <w:rFonts w:ascii="Times New Roman" w:hAnsi="Times New Roman"/>
          <w:b/>
          <w:bCs/>
          <w:sz w:val="24"/>
          <w:szCs w:val="24"/>
        </w:rPr>
      </w:pPr>
      <w:r w:rsidRPr="00DA62BE">
        <w:rPr>
          <w:rStyle w:val="markedcontent"/>
          <w:rFonts w:ascii="Times New Roman" w:hAnsi="Times New Roman"/>
          <w:b/>
          <w:bCs/>
          <w:sz w:val="24"/>
          <w:szCs w:val="24"/>
        </w:rPr>
        <w:t>Legal Lesson Learned:</w:t>
      </w:r>
      <w:r>
        <w:rPr>
          <w:rStyle w:val="markedcontent"/>
          <w:rFonts w:ascii="Times New Roman" w:hAnsi="Times New Roman"/>
          <w:b/>
          <w:bCs/>
          <w:sz w:val="24"/>
          <w:szCs w:val="24"/>
        </w:rPr>
        <w:t xml:space="preserve"> Important decision. While firefighters and police officers only have “limited” First Amendment rights to post information on social media concerning internal FD matters, but if a city </w:t>
      </w:r>
      <w:r>
        <w:rPr>
          <w:rStyle w:val="markedcontent"/>
          <w:rFonts w:ascii="Times New Roman" w:hAnsi="Times New Roman"/>
          <w:b/>
          <w:bCs/>
          <w:sz w:val="24"/>
          <w:szCs w:val="24"/>
        </w:rPr>
        <w:lastRenderedPageBreak/>
        <w:t xml:space="preserve">official retaliates against an employee for speech protected by the First Amendment, the employee may sue even if the official </w:t>
      </w:r>
      <w:r w:rsidRPr="00F74717">
        <w:rPr>
          <w:rStyle w:val="markedcontent"/>
          <w:rFonts w:ascii="Times New Roman" w:hAnsi="Times New Roman"/>
          <w:b/>
          <w:bCs/>
          <w:i/>
          <w:iCs/>
          <w:sz w:val="24"/>
          <w:szCs w:val="24"/>
        </w:rPr>
        <w:t xml:space="preserve">incorrectly </w:t>
      </w:r>
      <w:r>
        <w:rPr>
          <w:rStyle w:val="markedcontent"/>
          <w:rFonts w:ascii="Times New Roman" w:hAnsi="Times New Roman"/>
          <w:b/>
          <w:bCs/>
          <w:sz w:val="24"/>
          <w:szCs w:val="24"/>
        </w:rPr>
        <w:t xml:space="preserve">believed the employee had leaked information to the press.  </w:t>
      </w:r>
    </w:p>
    <w:p w14:paraId="26038D3F" w14:textId="77777777" w:rsidR="00BD263B" w:rsidRPr="00DC7DCB" w:rsidRDefault="00BD263B" w:rsidP="00BD263B">
      <w:pPr>
        <w:ind w:left="720"/>
        <w:rPr>
          <w:rFonts w:ascii="Times New Roman" w:hAnsi="Times New Roman"/>
          <w:sz w:val="24"/>
          <w:szCs w:val="24"/>
        </w:rPr>
      </w:pPr>
      <w:r w:rsidRPr="00DC7DCB">
        <w:rPr>
          <w:rFonts w:ascii="Times New Roman" w:hAnsi="Times New Roman"/>
          <w:sz w:val="24"/>
          <w:szCs w:val="24"/>
        </w:rPr>
        <w:t xml:space="preserve">Note: See Sept. 2, </w:t>
      </w:r>
      <w:proofErr w:type="gramStart"/>
      <w:r w:rsidRPr="00DC7DCB">
        <w:rPr>
          <w:rFonts w:ascii="Times New Roman" w:hAnsi="Times New Roman"/>
          <w:sz w:val="24"/>
          <w:szCs w:val="24"/>
        </w:rPr>
        <w:t>2021</w:t>
      </w:r>
      <w:proofErr w:type="gramEnd"/>
      <w:r w:rsidRPr="00DC7DCB">
        <w:rPr>
          <w:rFonts w:ascii="Times New Roman" w:hAnsi="Times New Roman"/>
          <w:sz w:val="24"/>
          <w:szCs w:val="24"/>
        </w:rPr>
        <w:t xml:space="preserve"> article, “Federal appellate court upholds First Amendment case brought by retired Cleveland battalion chief.” </w:t>
      </w:r>
      <w:hyperlink r:id="rId1184" w:history="1">
        <w:r w:rsidRPr="00DC7DCB">
          <w:rPr>
            <w:rStyle w:val="Hyperlink"/>
            <w:sz w:val="24"/>
            <w:szCs w:val="24"/>
          </w:rPr>
          <w:t>https://www.cleveland.com/cityhall/2021/09/federal-appellate-court-upholds-first-amendment-case-brought-against-cleveland-by-retired-battalion-chief.html</w:t>
        </w:r>
      </w:hyperlink>
      <w:r w:rsidRPr="00DC7DCB">
        <w:rPr>
          <w:rFonts w:ascii="Times New Roman" w:hAnsi="Times New Roman"/>
          <w:sz w:val="24"/>
          <w:szCs w:val="24"/>
        </w:rPr>
        <w:t xml:space="preserve"> </w:t>
      </w:r>
    </w:p>
    <w:p w14:paraId="714E6B26" w14:textId="77777777" w:rsidR="00BD263B" w:rsidRPr="00DC7DCB" w:rsidRDefault="00BD263B" w:rsidP="00BD263B">
      <w:pPr>
        <w:pStyle w:val="Heading1"/>
        <w:ind w:left="720"/>
        <w:rPr>
          <w:b w:val="0"/>
          <w:bCs w:val="0"/>
          <w:sz w:val="24"/>
          <w:szCs w:val="24"/>
        </w:rPr>
      </w:pPr>
      <w:r w:rsidRPr="00DC7DCB">
        <w:rPr>
          <w:b w:val="0"/>
          <w:bCs w:val="0"/>
          <w:sz w:val="24"/>
          <w:szCs w:val="24"/>
        </w:rPr>
        <w:t xml:space="preserve">See Aug. 4, </w:t>
      </w:r>
      <w:proofErr w:type="gramStart"/>
      <w:r w:rsidRPr="00DC7DCB">
        <w:rPr>
          <w:b w:val="0"/>
          <w:bCs w:val="0"/>
          <w:sz w:val="24"/>
          <w:szCs w:val="24"/>
        </w:rPr>
        <w:t>2013</w:t>
      </w:r>
      <w:proofErr w:type="gramEnd"/>
      <w:r w:rsidRPr="00DC7DCB">
        <w:rPr>
          <w:b w:val="0"/>
          <w:bCs w:val="0"/>
          <w:sz w:val="24"/>
          <w:szCs w:val="24"/>
        </w:rPr>
        <w:t xml:space="preserve"> article, </w:t>
      </w:r>
      <w:r>
        <w:rPr>
          <w:b w:val="0"/>
          <w:bCs w:val="0"/>
          <w:sz w:val="24"/>
          <w:szCs w:val="24"/>
        </w:rPr>
        <w:t>“</w:t>
      </w:r>
      <w:r w:rsidRPr="00DC7DCB">
        <w:rPr>
          <w:b w:val="0"/>
          <w:bCs w:val="0"/>
          <w:sz w:val="24"/>
          <w:szCs w:val="24"/>
        </w:rPr>
        <w:t>Cleveland Fire Chief Daryl McGinnis retires two weeks after being relieved of duties</w:t>
      </w:r>
      <w:r>
        <w:rPr>
          <w:b w:val="0"/>
          <w:bCs w:val="0"/>
          <w:sz w:val="24"/>
          <w:szCs w:val="24"/>
        </w:rPr>
        <w:t>.”  “</w:t>
      </w:r>
      <w:r w:rsidRPr="00DC7DCB">
        <w:rPr>
          <w:b w:val="0"/>
          <w:bCs w:val="0"/>
          <w:sz w:val="24"/>
          <w:szCs w:val="24"/>
        </w:rPr>
        <w:t>A city review of McGinnis' training records revealed that between 2009-12 he had completed only 22 of the required 40 hours of continuing education. The city reported the information a week after The Plain Dealer asked to review his training records.</w:t>
      </w:r>
      <w:r>
        <w:rPr>
          <w:b w:val="0"/>
          <w:bCs w:val="0"/>
          <w:sz w:val="24"/>
          <w:szCs w:val="24"/>
        </w:rPr>
        <w:t xml:space="preserve">” </w:t>
      </w:r>
      <w:hyperlink r:id="rId1185" w:history="1">
        <w:r w:rsidRPr="00843DBD">
          <w:rPr>
            <w:rStyle w:val="Hyperlink"/>
            <w:sz w:val="24"/>
            <w:szCs w:val="24"/>
          </w:rPr>
          <w:t>https://www.cleveland.com/metro/2013/08/cleveland_fire_chief_daryl_mcg.html</w:t>
        </w:r>
      </w:hyperlink>
      <w:r>
        <w:rPr>
          <w:b w:val="0"/>
          <w:bCs w:val="0"/>
          <w:sz w:val="24"/>
          <w:szCs w:val="24"/>
        </w:rPr>
        <w:t xml:space="preserve"> </w:t>
      </w:r>
    </w:p>
    <w:p w14:paraId="3CF389CE" w14:textId="77777777" w:rsidR="00BD263B" w:rsidRDefault="00BD263B" w:rsidP="00EF1133">
      <w:pPr>
        <w:rPr>
          <w:rFonts w:ascii="Arial Black" w:hAnsi="Arial Black"/>
          <w:b/>
          <w:sz w:val="24"/>
          <w:szCs w:val="24"/>
        </w:rPr>
      </w:pPr>
    </w:p>
    <w:p w14:paraId="7C8B3FBF" w14:textId="6035D54A" w:rsidR="005217D5" w:rsidRDefault="005217D5" w:rsidP="00EF1133">
      <w:pPr>
        <w:rPr>
          <w:rFonts w:ascii="Arial Black" w:hAnsi="Arial Black"/>
          <w:b/>
          <w:sz w:val="24"/>
          <w:szCs w:val="24"/>
        </w:rPr>
      </w:pPr>
      <w:r>
        <w:rPr>
          <w:rFonts w:ascii="Arial Black" w:hAnsi="Arial Black"/>
          <w:b/>
          <w:sz w:val="24"/>
          <w:szCs w:val="24"/>
        </w:rPr>
        <w:t>6-7</w:t>
      </w:r>
      <w:r w:rsidR="00FF7C63">
        <w:rPr>
          <w:rFonts w:ascii="Arial Black" w:hAnsi="Arial Black"/>
          <w:b/>
          <w:sz w:val="24"/>
          <w:szCs w:val="24"/>
        </w:rPr>
        <w:t>6</w:t>
      </w:r>
    </w:p>
    <w:p w14:paraId="47E0D5F1" w14:textId="77777777" w:rsidR="005217D5" w:rsidRDefault="005217D5" w:rsidP="00B20474">
      <w:pPr>
        <w:pStyle w:val="Heading1"/>
        <w:rPr>
          <w:rFonts w:ascii="Arial Black" w:hAnsi="Arial Black"/>
          <w:b w:val="0"/>
          <w:bCs w:val="0"/>
          <w:sz w:val="28"/>
          <w:szCs w:val="28"/>
        </w:rPr>
      </w:pPr>
      <w:r w:rsidRPr="00CB17BF">
        <w:rPr>
          <w:rFonts w:ascii="Arial Black" w:hAnsi="Arial Black"/>
          <w:b w:val="0"/>
          <w:bCs w:val="0"/>
          <w:sz w:val="28"/>
          <w:szCs w:val="28"/>
        </w:rPr>
        <w:t xml:space="preserve">CT: </w:t>
      </w:r>
      <w:r>
        <w:rPr>
          <w:rFonts w:ascii="Arial Black" w:hAnsi="Arial Black"/>
          <w:b w:val="0"/>
          <w:bCs w:val="0"/>
          <w:sz w:val="28"/>
          <w:szCs w:val="28"/>
        </w:rPr>
        <w:t>HEART ATTACK - STATUTORY PRESUMPTION FOR “MEMBERS” MUNICIPAL FD - PART-TIMERS COVERED</w:t>
      </w:r>
    </w:p>
    <w:p w14:paraId="177C602F" w14:textId="77777777" w:rsidR="005217D5" w:rsidRDefault="005217D5" w:rsidP="005217D5">
      <w:pPr>
        <w:pStyle w:val="Heading1"/>
        <w:ind w:left="720"/>
        <w:rPr>
          <w:b w:val="0"/>
          <w:bCs w:val="0"/>
          <w:sz w:val="24"/>
          <w:szCs w:val="24"/>
        </w:rPr>
      </w:pPr>
      <w:r>
        <w:rPr>
          <w:b w:val="0"/>
          <w:bCs w:val="0"/>
          <w:sz w:val="24"/>
          <w:szCs w:val="24"/>
        </w:rPr>
        <w:t xml:space="preserve">On July 27, 2021, in </w:t>
      </w:r>
      <w:r w:rsidRPr="00711A5D">
        <w:rPr>
          <w:b w:val="0"/>
          <w:bCs w:val="0"/>
          <w:sz w:val="24"/>
          <w:szCs w:val="24"/>
          <w:u w:val="single"/>
        </w:rPr>
        <w:t xml:space="preserve">Christopher A. Clark v. Town of Waterford, </w:t>
      </w:r>
      <w:proofErr w:type="spellStart"/>
      <w:r w:rsidRPr="00711A5D">
        <w:rPr>
          <w:b w:val="0"/>
          <w:bCs w:val="0"/>
          <w:sz w:val="24"/>
          <w:szCs w:val="24"/>
          <w:u w:val="single"/>
        </w:rPr>
        <w:t>Cohanzie</w:t>
      </w:r>
      <w:proofErr w:type="spellEnd"/>
      <w:r w:rsidRPr="00711A5D">
        <w:rPr>
          <w:b w:val="0"/>
          <w:bCs w:val="0"/>
          <w:sz w:val="24"/>
          <w:szCs w:val="24"/>
          <w:u w:val="single"/>
        </w:rPr>
        <w:t xml:space="preserve"> Fire </w:t>
      </w:r>
      <w:r w:rsidRPr="007400FB">
        <w:rPr>
          <w:b w:val="0"/>
          <w:bCs w:val="0"/>
          <w:sz w:val="24"/>
          <w:szCs w:val="24"/>
          <w:u w:val="single"/>
        </w:rPr>
        <w:t>Department</w:t>
      </w:r>
      <w:r w:rsidRPr="00E20B80">
        <w:rPr>
          <w:b w:val="0"/>
          <w:bCs w:val="0"/>
          <w:sz w:val="24"/>
          <w:szCs w:val="24"/>
        </w:rPr>
        <w:t xml:space="preserve">, </w:t>
      </w:r>
      <w:r>
        <w:rPr>
          <w:b w:val="0"/>
          <w:bCs w:val="0"/>
          <w:sz w:val="24"/>
          <w:szCs w:val="24"/>
        </w:rPr>
        <w:t xml:space="preserve">the Court of Appeals of Connecticut held (3 to 0) that </w:t>
      </w:r>
      <w:r w:rsidRPr="00711A5D">
        <w:rPr>
          <w:b w:val="0"/>
          <w:bCs w:val="0"/>
          <w:sz w:val="24"/>
          <w:szCs w:val="24"/>
        </w:rPr>
        <w:t>Workers' Compensation Commissioner</w:t>
      </w:r>
      <w:r>
        <w:rPr>
          <w:b w:val="0"/>
          <w:bCs w:val="0"/>
          <w:sz w:val="24"/>
          <w:szCs w:val="24"/>
        </w:rPr>
        <w:t xml:space="preserve"> correctly held that the part-time firefighter was a “uniformed member” of a municipal fire department who passed a pre-hire medical exam and therefore covered under the </w:t>
      </w:r>
      <w:r w:rsidRPr="009D0C21">
        <w:rPr>
          <w:b w:val="0"/>
          <w:bCs w:val="0"/>
          <w:sz w:val="24"/>
          <w:szCs w:val="24"/>
        </w:rPr>
        <w:t>Heart and Hypertension Act</w:t>
      </w:r>
      <w:r>
        <w:rPr>
          <w:b w:val="0"/>
          <w:bCs w:val="0"/>
          <w:sz w:val="24"/>
          <w:szCs w:val="24"/>
        </w:rPr>
        <w:t xml:space="preserve">, even if he wasn’t eligible for retirement pension since he didn’t work an average of 20 hours per week or more.  </w:t>
      </w:r>
    </w:p>
    <w:p w14:paraId="1982B88E" w14:textId="77777777" w:rsidR="005217D5" w:rsidRDefault="005217D5" w:rsidP="005217D5">
      <w:pPr>
        <w:pStyle w:val="Heading1"/>
        <w:ind w:left="1440"/>
        <w:rPr>
          <w:b w:val="0"/>
          <w:bCs w:val="0"/>
          <w:sz w:val="24"/>
          <w:szCs w:val="24"/>
        </w:rPr>
      </w:pPr>
      <w:r>
        <w:rPr>
          <w:b w:val="0"/>
          <w:bCs w:val="0"/>
          <w:sz w:val="24"/>
          <w:szCs w:val="24"/>
        </w:rPr>
        <w:t>“</w:t>
      </w:r>
      <w:r w:rsidRPr="00D553CE">
        <w:rPr>
          <w:b w:val="0"/>
          <w:bCs w:val="0"/>
          <w:sz w:val="24"/>
          <w:szCs w:val="24"/>
        </w:rPr>
        <w:t xml:space="preserve">On appeal before us, the town claims that the board erred when it affirmed the commissioner's award because it failed to apply the definition of the term </w:t>
      </w:r>
      <w:r w:rsidRPr="00D553CE">
        <w:rPr>
          <w:rStyle w:val="Emphasis"/>
          <w:b w:val="0"/>
          <w:bCs w:val="0"/>
          <w:sz w:val="24"/>
          <w:szCs w:val="24"/>
        </w:rPr>
        <w:t>member</w:t>
      </w:r>
      <w:r w:rsidRPr="00D553CE">
        <w:rPr>
          <w:b w:val="0"/>
          <w:bCs w:val="0"/>
          <w:sz w:val="24"/>
          <w:szCs w:val="24"/>
        </w:rPr>
        <w:t xml:space="preserve"> provided in § 7-425 (5) when considering whether the plaintiff was </w:t>
      </w:r>
      <w:r>
        <w:rPr>
          <w:b w:val="0"/>
          <w:bCs w:val="0"/>
          <w:sz w:val="24"/>
          <w:szCs w:val="24"/>
        </w:rPr>
        <w:t>‘</w:t>
      </w:r>
      <w:r w:rsidRPr="00D553CE">
        <w:rPr>
          <w:b w:val="0"/>
          <w:bCs w:val="0"/>
          <w:sz w:val="24"/>
          <w:szCs w:val="24"/>
        </w:rPr>
        <w:t>a uniformed member of a paid municipal fire department'</w:t>
      </w:r>
      <w:r>
        <w:rPr>
          <w:b w:val="0"/>
          <w:bCs w:val="0"/>
          <w:sz w:val="24"/>
          <w:szCs w:val="24"/>
        </w:rPr>
        <w:t>’</w:t>
      </w:r>
      <w:r w:rsidRPr="00D553CE">
        <w:rPr>
          <w:b w:val="0"/>
          <w:bCs w:val="0"/>
          <w:sz w:val="24"/>
          <w:szCs w:val="24"/>
        </w:rPr>
        <w:t xml:space="preserve"> eligible for benefits pursuant to § 7-433c. We disagree.</w:t>
      </w:r>
    </w:p>
    <w:p w14:paraId="46EECC05" w14:textId="77777777" w:rsidR="005217D5" w:rsidRDefault="005217D5" w:rsidP="005217D5">
      <w:pPr>
        <w:pStyle w:val="Heading1"/>
        <w:ind w:left="1440"/>
        <w:rPr>
          <w:b w:val="0"/>
          <w:bCs w:val="0"/>
          <w:sz w:val="24"/>
          <w:szCs w:val="24"/>
        </w:rPr>
      </w:pPr>
      <w:r>
        <w:rPr>
          <w:b w:val="0"/>
          <w:bCs w:val="0"/>
          <w:sz w:val="24"/>
          <w:szCs w:val="24"/>
        </w:rPr>
        <w:t>***</w:t>
      </w:r>
    </w:p>
    <w:p w14:paraId="5215AAA4" w14:textId="77777777" w:rsidR="005217D5" w:rsidRPr="00CB17BF" w:rsidRDefault="005217D5" w:rsidP="005217D5">
      <w:pPr>
        <w:pStyle w:val="Heading1"/>
        <w:ind w:left="1440"/>
        <w:rPr>
          <w:b w:val="0"/>
          <w:bCs w:val="0"/>
          <w:sz w:val="24"/>
          <w:szCs w:val="24"/>
        </w:rPr>
      </w:pPr>
      <w:r w:rsidRPr="00CB17BF">
        <w:rPr>
          <w:b w:val="0"/>
          <w:bCs w:val="0"/>
          <w:sz w:val="24"/>
          <w:szCs w:val="24"/>
        </w:rPr>
        <w:t xml:space="preserve">Consequently, § 7-433c requires all municipal employers, as defined in General Statutes § 7-467, to pay compensation and medical care to any </w:t>
      </w:r>
      <w:r>
        <w:rPr>
          <w:b w:val="0"/>
          <w:bCs w:val="0"/>
          <w:sz w:val="24"/>
          <w:szCs w:val="24"/>
        </w:rPr>
        <w:t>‘</w:t>
      </w:r>
      <w:r w:rsidRPr="00CB17BF">
        <w:rPr>
          <w:b w:val="0"/>
          <w:bCs w:val="0"/>
          <w:sz w:val="24"/>
          <w:szCs w:val="24"/>
        </w:rPr>
        <w:t>uniformed member of a paid municipal fire department or regular member of a paid municipal police department</w:t>
      </w:r>
      <w:r>
        <w:rPr>
          <w:b w:val="0"/>
          <w:bCs w:val="0"/>
          <w:sz w:val="24"/>
          <w:szCs w:val="24"/>
        </w:rPr>
        <w:t>’</w:t>
      </w:r>
      <w:r w:rsidRPr="00CB17BF">
        <w:rPr>
          <w:b w:val="0"/>
          <w:bCs w:val="0"/>
          <w:sz w:val="24"/>
          <w:szCs w:val="24"/>
        </w:rPr>
        <w:t xml:space="preserve"> who suffers any condition or impairment of health caused by hypertension or heart disease resulting in death or temporary or permanent, total or partial disability, or dependents, as the case may be.</w:t>
      </w:r>
      <w:r>
        <w:rPr>
          <w:b w:val="0"/>
          <w:bCs w:val="0"/>
          <w:sz w:val="24"/>
          <w:szCs w:val="24"/>
        </w:rPr>
        <w:t xml:space="preserve">” </w:t>
      </w:r>
      <w:hyperlink r:id="rId1186" w:history="1">
        <w:r w:rsidRPr="00D66E15">
          <w:rPr>
            <w:rStyle w:val="Hyperlink"/>
            <w:sz w:val="24"/>
            <w:szCs w:val="24"/>
          </w:rPr>
          <w:t>https://casetext.com/case/clark-v-town-of-waterford</w:t>
        </w:r>
      </w:hyperlink>
      <w:r>
        <w:rPr>
          <w:b w:val="0"/>
          <w:bCs w:val="0"/>
          <w:sz w:val="24"/>
          <w:szCs w:val="24"/>
        </w:rPr>
        <w:t xml:space="preserve"> </w:t>
      </w:r>
    </w:p>
    <w:p w14:paraId="03955DD3" w14:textId="77777777" w:rsidR="005217D5" w:rsidRDefault="005217D5" w:rsidP="005217D5">
      <w:pPr>
        <w:pStyle w:val="Heading1"/>
        <w:ind w:left="720"/>
        <w:rPr>
          <w:sz w:val="24"/>
          <w:szCs w:val="24"/>
        </w:rPr>
      </w:pPr>
      <w:r w:rsidRPr="0021201E">
        <w:rPr>
          <w:sz w:val="24"/>
          <w:szCs w:val="24"/>
        </w:rPr>
        <w:t>Legal Lesson Learned:</w:t>
      </w:r>
      <w:r>
        <w:rPr>
          <w:sz w:val="24"/>
          <w:szCs w:val="24"/>
        </w:rPr>
        <w:t xml:space="preserve"> Statutory presumptions for heart attacks are very helpful, and in Connecticut now applies to career, part-time, and volunteer firefighters who have passed a pre-employment physical.   </w:t>
      </w:r>
    </w:p>
    <w:p w14:paraId="143D28D8" w14:textId="77777777" w:rsidR="005217D5" w:rsidRDefault="005217D5" w:rsidP="005217D5">
      <w:pPr>
        <w:pStyle w:val="NormalWeb"/>
        <w:ind w:left="1440" w:hanging="720"/>
      </w:pPr>
      <w:r w:rsidRPr="00DD5072">
        <w:t xml:space="preserve">Note: </w:t>
      </w:r>
      <w:r w:rsidRPr="00DD5072">
        <w:tab/>
      </w:r>
    </w:p>
    <w:p w14:paraId="09549AFF" w14:textId="77777777" w:rsidR="005217D5" w:rsidRDefault="005217D5" w:rsidP="005217D5">
      <w:pPr>
        <w:pStyle w:val="Heading1"/>
        <w:ind w:left="1440"/>
        <w:rPr>
          <w:sz w:val="24"/>
          <w:szCs w:val="24"/>
        </w:rPr>
      </w:pPr>
      <w:r w:rsidRPr="00F66A5F">
        <w:rPr>
          <w:b w:val="0"/>
          <w:bCs w:val="0"/>
          <w:sz w:val="24"/>
          <w:szCs w:val="24"/>
        </w:rPr>
        <w:t>Check the law in your state: IAFF Presumptive Health Initiative:</w:t>
      </w:r>
      <w:r>
        <w:rPr>
          <w:b w:val="0"/>
          <w:bCs w:val="0"/>
          <w:sz w:val="24"/>
          <w:szCs w:val="24"/>
        </w:rPr>
        <w:t xml:space="preserve"> </w:t>
      </w:r>
      <w:hyperlink r:id="rId1187" w:history="1">
        <w:r w:rsidRPr="004A379F">
          <w:rPr>
            <w:rStyle w:val="Hyperlink"/>
            <w:sz w:val="24"/>
            <w:szCs w:val="24"/>
          </w:rPr>
          <w:t>https://www.iaff.org/presumptive-health/</w:t>
        </w:r>
      </w:hyperlink>
      <w:r>
        <w:rPr>
          <w:b w:val="0"/>
          <w:bCs w:val="0"/>
          <w:sz w:val="24"/>
          <w:szCs w:val="24"/>
        </w:rPr>
        <w:t xml:space="preserve">. </w:t>
      </w:r>
    </w:p>
    <w:p w14:paraId="0DCAE8C7" w14:textId="77777777" w:rsidR="005217D5" w:rsidRPr="006C4B78" w:rsidRDefault="005217D5" w:rsidP="005217D5">
      <w:pPr>
        <w:pStyle w:val="NormalWeb"/>
        <w:ind w:left="1440"/>
        <w:rPr>
          <w:b/>
          <w:bCs/>
        </w:rPr>
      </w:pPr>
      <w:r>
        <w:lastRenderedPageBreak/>
        <w:t>“</w:t>
      </w:r>
      <w:r w:rsidRPr="006C4B78">
        <w:t xml:space="preserve">Connecticut's Heart and Hypertension Act was signed into law in </w:t>
      </w:r>
      <w:proofErr w:type="gramStart"/>
      <w:r w:rsidRPr="006C4B78">
        <w:t>1977, and</w:t>
      </w:r>
      <w:proofErr w:type="gramEnd"/>
      <w:r w:rsidRPr="006C4B78">
        <w:t xml:space="preserve"> allows firefighters and police officers with hypertension and heart disease to receive benefits equivalent to those found in </w:t>
      </w:r>
      <w:hyperlink r:id="rId1188" w:history="1">
        <w:r w:rsidRPr="006C4B78">
          <w:rPr>
            <w:rStyle w:val="Hyperlink"/>
          </w:rPr>
          <w:t xml:space="preserve">workers' compensation </w:t>
        </w:r>
      </w:hyperlink>
      <w:r w:rsidRPr="006C4B78">
        <w:t>without the burden of proving that the condition was in fact caused by their work.</w:t>
      </w:r>
      <w:r>
        <w:rPr>
          <w:b/>
          <w:bCs/>
        </w:rPr>
        <w:t xml:space="preserve"> </w:t>
      </w:r>
      <w:r w:rsidRPr="006C4B78">
        <w:t>Eligibility for compensation under the Heart and Hypertension Act requires that the recipient be a current or former police officer or firefighter, and that a pre-employment physical was conducted that showed no signs of either hypertension or heart disease.</w:t>
      </w:r>
      <w:r>
        <w:t>”</w:t>
      </w:r>
      <w:hyperlink r:id="rId1189" w:history="1">
        <w:r w:rsidRPr="003612CA">
          <w:rPr>
            <w:rStyle w:val="Hyperlink"/>
          </w:rPr>
          <w:t>https://www.schafer-and-schafer.com/workers-compensation/heart-and-hypertension/</w:t>
        </w:r>
      </w:hyperlink>
      <w:r>
        <w:rPr>
          <w:b/>
          <w:bCs/>
        </w:rPr>
        <w:t xml:space="preserve"> </w:t>
      </w:r>
    </w:p>
    <w:p w14:paraId="3C50E05A" w14:textId="77777777" w:rsidR="005217D5" w:rsidRPr="006C4B78" w:rsidRDefault="005217D5" w:rsidP="005217D5">
      <w:pPr>
        <w:pStyle w:val="Heading1"/>
        <w:ind w:left="1440"/>
        <w:rPr>
          <w:b w:val="0"/>
          <w:bCs w:val="0"/>
          <w:sz w:val="24"/>
          <w:szCs w:val="24"/>
        </w:rPr>
      </w:pPr>
      <w:r>
        <w:rPr>
          <w:b w:val="0"/>
          <w:bCs w:val="0"/>
          <w:sz w:val="24"/>
          <w:szCs w:val="24"/>
        </w:rPr>
        <w:t xml:space="preserve">Volunteer firefighters are now also covered, </w:t>
      </w:r>
      <w:r w:rsidRPr="006C4B78">
        <w:rPr>
          <w:b w:val="0"/>
          <w:bCs w:val="0"/>
          <w:sz w:val="24"/>
          <w:szCs w:val="24"/>
        </w:rPr>
        <w:t>“provided such member had previously successfully passed a physical examination by a licensed physician appointed by such department or ambulance service which examination failed to reveal any evidence of such condition.</w:t>
      </w:r>
      <w:r>
        <w:rPr>
          <w:b w:val="0"/>
          <w:bCs w:val="0"/>
          <w:sz w:val="24"/>
          <w:szCs w:val="24"/>
        </w:rPr>
        <w:t xml:space="preserve">” </w:t>
      </w:r>
      <w:hyperlink r:id="rId1190" w:history="1">
        <w:r w:rsidRPr="003612CA">
          <w:rPr>
            <w:rStyle w:val="Hyperlink"/>
            <w:sz w:val="24"/>
            <w:szCs w:val="24"/>
          </w:rPr>
          <w:t>https://wcc.state.ct.us/law/rel-stat/2009/7-314a.htm</w:t>
        </w:r>
      </w:hyperlink>
      <w:r>
        <w:rPr>
          <w:b w:val="0"/>
          <w:bCs w:val="0"/>
          <w:sz w:val="24"/>
          <w:szCs w:val="24"/>
        </w:rPr>
        <w:t xml:space="preserve"> </w:t>
      </w:r>
    </w:p>
    <w:p w14:paraId="05BBB02B" w14:textId="77777777" w:rsidR="005217D5" w:rsidRDefault="005217D5" w:rsidP="005217D5">
      <w:pPr>
        <w:pStyle w:val="Heading1"/>
        <w:ind w:left="1440"/>
        <w:rPr>
          <w:b w:val="0"/>
          <w:bCs w:val="0"/>
          <w:sz w:val="24"/>
          <w:szCs w:val="24"/>
        </w:rPr>
      </w:pPr>
      <w:r>
        <w:rPr>
          <w:b w:val="0"/>
          <w:bCs w:val="0"/>
          <w:sz w:val="24"/>
          <w:szCs w:val="24"/>
        </w:rPr>
        <w:t xml:space="preserve">April 13, 2021: Watch Appellate argument in this case: </w:t>
      </w:r>
      <w:hyperlink r:id="rId1191" w:history="1">
        <w:r w:rsidRPr="00D66E15">
          <w:rPr>
            <w:rStyle w:val="Hyperlink"/>
            <w:sz w:val="24"/>
            <w:szCs w:val="24"/>
          </w:rPr>
          <w:t>https://www.youtube.com/watch?v=-Y6r01Pmcaw</w:t>
        </w:r>
      </w:hyperlink>
      <w:r>
        <w:rPr>
          <w:b w:val="0"/>
          <w:bCs w:val="0"/>
          <w:sz w:val="24"/>
          <w:szCs w:val="24"/>
        </w:rPr>
        <w:t xml:space="preserve"> </w:t>
      </w:r>
    </w:p>
    <w:p w14:paraId="2A422DB9" w14:textId="77777777" w:rsidR="005217D5" w:rsidRDefault="005217D5" w:rsidP="00EF1133">
      <w:pPr>
        <w:rPr>
          <w:rFonts w:ascii="Arial Black" w:hAnsi="Arial Black"/>
          <w:b/>
          <w:sz w:val="24"/>
          <w:szCs w:val="24"/>
        </w:rPr>
      </w:pPr>
    </w:p>
    <w:p w14:paraId="4037BB38" w14:textId="77777777" w:rsidR="005217D5" w:rsidRDefault="005217D5" w:rsidP="00EF1133">
      <w:pPr>
        <w:rPr>
          <w:rFonts w:ascii="Arial Black" w:hAnsi="Arial Black"/>
          <w:b/>
          <w:sz w:val="24"/>
          <w:szCs w:val="24"/>
        </w:rPr>
      </w:pPr>
    </w:p>
    <w:p w14:paraId="5F7DD42E" w14:textId="23001047" w:rsidR="00F27CD5" w:rsidRDefault="00F27CD5" w:rsidP="00EF1133">
      <w:pPr>
        <w:rPr>
          <w:rFonts w:ascii="Arial Black" w:hAnsi="Arial Black"/>
          <w:b/>
          <w:sz w:val="24"/>
          <w:szCs w:val="24"/>
        </w:rPr>
      </w:pPr>
      <w:r>
        <w:rPr>
          <w:rFonts w:ascii="Arial Black" w:hAnsi="Arial Black"/>
          <w:b/>
          <w:sz w:val="24"/>
          <w:szCs w:val="24"/>
        </w:rPr>
        <w:t>6-7</w:t>
      </w:r>
      <w:r w:rsidR="00FF7C63">
        <w:rPr>
          <w:rFonts w:ascii="Arial Black" w:hAnsi="Arial Black"/>
          <w:b/>
          <w:sz w:val="24"/>
          <w:szCs w:val="24"/>
        </w:rPr>
        <w:t>5</w:t>
      </w:r>
    </w:p>
    <w:p w14:paraId="23D9175B" w14:textId="77777777" w:rsidR="00F27CD5" w:rsidRPr="00AA1475" w:rsidRDefault="00F27CD5" w:rsidP="00F27CD5">
      <w:pPr>
        <w:pStyle w:val="NoSpacing"/>
        <w:rPr>
          <w:rFonts w:ascii="Arial Black" w:hAnsi="Arial Black"/>
          <w:sz w:val="28"/>
          <w:szCs w:val="28"/>
        </w:rPr>
      </w:pPr>
      <w:r w:rsidRPr="00AA1475">
        <w:rPr>
          <w:rFonts w:ascii="Arial Black" w:hAnsi="Arial Black"/>
          <w:sz w:val="28"/>
          <w:szCs w:val="28"/>
        </w:rPr>
        <w:t xml:space="preserve">NY: FF </w:t>
      </w:r>
      <w:r>
        <w:rPr>
          <w:rFonts w:ascii="Arial Black" w:hAnsi="Arial Black"/>
          <w:sz w:val="28"/>
          <w:szCs w:val="28"/>
        </w:rPr>
        <w:t xml:space="preserve">RIGHT </w:t>
      </w:r>
      <w:r w:rsidRPr="00AA1475">
        <w:rPr>
          <w:rFonts w:ascii="Arial Black" w:hAnsi="Arial Black"/>
          <w:sz w:val="28"/>
          <w:szCs w:val="28"/>
        </w:rPr>
        <w:t>SHOULDER INJUR</w:t>
      </w:r>
      <w:r>
        <w:rPr>
          <w:rFonts w:ascii="Arial Black" w:hAnsi="Arial Black"/>
          <w:sz w:val="28"/>
          <w:szCs w:val="28"/>
        </w:rPr>
        <w:t>IES – NONE QUALIFY FOR “ACCIDENTAL DISABILITY RETIREMENT [75% TAX FREE]</w:t>
      </w:r>
    </w:p>
    <w:p w14:paraId="5A61C59D" w14:textId="77777777" w:rsidR="00F27CD5" w:rsidRDefault="00F27CD5" w:rsidP="00F27CD5">
      <w:pPr>
        <w:pStyle w:val="NoSpacing"/>
      </w:pPr>
    </w:p>
    <w:p w14:paraId="73E703C7" w14:textId="77777777" w:rsidR="00F27CD5" w:rsidRPr="008A3320" w:rsidRDefault="00F27CD5" w:rsidP="00F27CD5">
      <w:pPr>
        <w:pStyle w:val="NoSpacing"/>
        <w:rPr>
          <w:rFonts w:ascii="Times New Roman" w:hAnsi="Times New Roman"/>
          <w:sz w:val="24"/>
          <w:szCs w:val="24"/>
        </w:rPr>
      </w:pPr>
      <w:r w:rsidRPr="008A3320">
        <w:rPr>
          <w:rFonts w:ascii="Times New Roman" w:hAnsi="Times New Roman"/>
          <w:sz w:val="24"/>
          <w:szCs w:val="24"/>
        </w:rPr>
        <w:t xml:space="preserve">On May 20, 2021, </w:t>
      </w:r>
      <w:r w:rsidRPr="008A3320">
        <w:rPr>
          <w:rFonts w:ascii="Times New Roman" w:hAnsi="Times New Roman"/>
          <w:sz w:val="24"/>
          <w:szCs w:val="24"/>
          <w:u w:val="single"/>
        </w:rPr>
        <w:t>In the Matter of Bernard McGoey v. Thomas P. DiNapoli, as State Comptroller</w:t>
      </w:r>
      <w:r w:rsidRPr="008A3320">
        <w:rPr>
          <w:rFonts w:ascii="Times New Roman" w:hAnsi="Times New Roman"/>
          <w:sz w:val="24"/>
          <w:szCs w:val="24"/>
        </w:rPr>
        <w:t xml:space="preserve">, </w:t>
      </w:r>
      <w:r w:rsidRPr="008A3320">
        <w:rPr>
          <w:rStyle w:val="font-weight-bold"/>
          <w:rFonts w:ascii="Times New Roman" w:hAnsi="Times New Roman"/>
          <w:sz w:val="24"/>
          <w:szCs w:val="24"/>
        </w:rPr>
        <w:t xml:space="preserve">2021 NY Slip Op 3235 (N.Y. App. Div. 2021), </w:t>
      </w:r>
      <w:r w:rsidRPr="008A3320">
        <w:rPr>
          <w:rFonts w:ascii="Times New Roman" w:hAnsi="Times New Roman"/>
          <w:sz w:val="24"/>
          <w:szCs w:val="24"/>
        </w:rPr>
        <w:t xml:space="preserve">the Appellate Division of the Supreme Court of the State of New York, held (3 to 0) that the New York State and Local Police and Fire Retirement System correctly held that the three </w:t>
      </w:r>
      <w:r>
        <w:rPr>
          <w:rFonts w:ascii="Times New Roman" w:hAnsi="Times New Roman"/>
          <w:sz w:val="24"/>
          <w:szCs w:val="24"/>
        </w:rPr>
        <w:t>incidents, including being hit by ice from building,</w:t>
      </w:r>
      <w:r w:rsidRPr="008A3320">
        <w:rPr>
          <w:rFonts w:ascii="Times New Roman" w:hAnsi="Times New Roman"/>
          <w:sz w:val="24"/>
          <w:szCs w:val="24"/>
        </w:rPr>
        <w:t xml:space="preserve"> were part of the normal risks of firefighting, and did not constitute “accidents” within the meaning of state statute, which requires proof of "a sudden, fortuitous mischance, unexpected, out of the ordinary, and injurious in impact."</w:t>
      </w:r>
      <w:r>
        <w:rPr>
          <w:rFonts w:ascii="Times New Roman" w:hAnsi="Times New Roman"/>
          <w:sz w:val="24"/>
          <w:szCs w:val="24"/>
        </w:rPr>
        <w:t xml:space="preserve">  Under NY law, if he has proven an injury from an accident, he would receive a </w:t>
      </w:r>
      <w:r w:rsidRPr="007F639D">
        <w:rPr>
          <w:rFonts w:ascii="Times New Roman" w:hAnsi="Times New Roman"/>
          <w:sz w:val="24"/>
          <w:szCs w:val="24"/>
        </w:rPr>
        <w:t xml:space="preserve">tax-free pension of 75% of their </w:t>
      </w:r>
      <w:r>
        <w:rPr>
          <w:rFonts w:ascii="Times New Roman" w:hAnsi="Times New Roman"/>
          <w:sz w:val="24"/>
          <w:szCs w:val="24"/>
        </w:rPr>
        <w:t>f</w:t>
      </w:r>
      <w:r w:rsidRPr="007F639D">
        <w:rPr>
          <w:rFonts w:ascii="Times New Roman" w:hAnsi="Times New Roman"/>
          <w:sz w:val="24"/>
          <w:szCs w:val="24"/>
        </w:rPr>
        <w:t xml:space="preserve">inal </w:t>
      </w:r>
      <w:r>
        <w:rPr>
          <w:rFonts w:ascii="Times New Roman" w:hAnsi="Times New Roman"/>
          <w:sz w:val="24"/>
          <w:szCs w:val="24"/>
        </w:rPr>
        <w:t>a</w:t>
      </w:r>
      <w:r w:rsidRPr="007F639D">
        <w:rPr>
          <w:rFonts w:ascii="Times New Roman" w:hAnsi="Times New Roman"/>
          <w:sz w:val="24"/>
          <w:szCs w:val="24"/>
        </w:rPr>
        <w:t xml:space="preserve">verage </w:t>
      </w:r>
      <w:r>
        <w:rPr>
          <w:rFonts w:ascii="Times New Roman" w:hAnsi="Times New Roman"/>
          <w:sz w:val="24"/>
          <w:szCs w:val="24"/>
        </w:rPr>
        <w:t>s</w:t>
      </w:r>
      <w:r w:rsidRPr="007F639D">
        <w:rPr>
          <w:rFonts w:ascii="Times New Roman" w:hAnsi="Times New Roman"/>
          <w:sz w:val="24"/>
          <w:szCs w:val="24"/>
        </w:rPr>
        <w:t>alary</w:t>
      </w:r>
      <w:r>
        <w:rPr>
          <w:rFonts w:ascii="Times New Roman" w:hAnsi="Times New Roman"/>
          <w:sz w:val="24"/>
          <w:szCs w:val="24"/>
        </w:rPr>
        <w:t>.</w:t>
      </w:r>
    </w:p>
    <w:p w14:paraId="0088F124" w14:textId="77777777" w:rsidR="00F27CD5" w:rsidRPr="008A3320" w:rsidRDefault="00F27CD5" w:rsidP="00F27CD5">
      <w:pPr>
        <w:pStyle w:val="NormalWeb"/>
        <w:ind w:left="360"/>
      </w:pPr>
      <w:r>
        <w:t>“</w:t>
      </w:r>
      <w:r w:rsidRPr="008A3320">
        <w:t>Petitioner does not dispute, and the record indeed establishes, that petitioner was engaged in the performance of his ordinary firefighting duties during each of the foregoing incidents. *** It also is well established that encountering smoke, water, tangled hose lines, reduced visibility and debris — as well as the corresponding threat of tripping or falling due to such conditions</w:t>
      </w:r>
      <w:r>
        <w:t xml:space="preserve"> … </w:t>
      </w:r>
      <w:r w:rsidRPr="008A3320">
        <w:t>are all risks inherent in the performance of a firefighter's duties</w:t>
      </w:r>
      <w:r>
        <w:t>….</w:t>
      </w:r>
      <w:r w:rsidRPr="008A3320">
        <w:t xml:space="preserve"> </w:t>
      </w:r>
      <w:hyperlink r:id="rId1192" w:history="1">
        <w:r w:rsidRPr="007344F4">
          <w:rPr>
            <w:rStyle w:val="Hyperlink"/>
          </w:rPr>
          <w:t>https://law.justia.com/cases/new-york/appellate-division-third-department/2021/532333.html</w:t>
        </w:r>
      </w:hyperlink>
      <w:r>
        <w:t xml:space="preserve"> </w:t>
      </w:r>
    </w:p>
    <w:p w14:paraId="13023B9A" w14:textId="77777777" w:rsidR="00F27CD5" w:rsidRPr="00E72984" w:rsidRDefault="00F27CD5" w:rsidP="00F27CD5">
      <w:pPr>
        <w:pStyle w:val="NoSpacing"/>
        <w:rPr>
          <w:rFonts w:ascii="Times New Roman" w:hAnsi="Times New Roman"/>
          <w:b/>
          <w:bCs/>
          <w:sz w:val="24"/>
          <w:szCs w:val="24"/>
        </w:rPr>
      </w:pPr>
      <w:r w:rsidRPr="00E72984">
        <w:rPr>
          <w:rFonts w:ascii="Times New Roman" w:hAnsi="Times New Roman"/>
          <w:b/>
          <w:bCs/>
          <w:sz w:val="24"/>
          <w:szCs w:val="24"/>
        </w:rPr>
        <w:t>Legal Lesson Learned:</w:t>
      </w:r>
      <w:r>
        <w:rPr>
          <w:rFonts w:ascii="Times New Roman" w:hAnsi="Times New Roman"/>
          <w:b/>
          <w:bCs/>
          <w:sz w:val="24"/>
          <w:szCs w:val="24"/>
        </w:rPr>
        <w:t xml:space="preserve"> To receive a tax-free pension of 75% of final average salary, the firefighter had to prove injury from a sudden, unexpected occurrence that was not a risk inherent in the job.   </w:t>
      </w:r>
    </w:p>
    <w:p w14:paraId="57B53B11" w14:textId="77777777" w:rsidR="00F27CD5" w:rsidRDefault="00F27CD5" w:rsidP="00F27CD5">
      <w:pPr>
        <w:pStyle w:val="NoSpacing"/>
        <w:rPr>
          <w:rFonts w:ascii="Times New Roman" w:hAnsi="Times New Roman"/>
          <w:sz w:val="24"/>
          <w:szCs w:val="24"/>
        </w:rPr>
      </w:pPr>
    </w:p>
    <w:p w14:paraId="5EA7D6E3" w14:textId="77777777" w:rsidR="00F27CD5" w:rsidRDefault="00F27CD5" w:rsidP="00F27CD5">
      <w:pPr>
        <w:pStyle w:val="NoSpacing"/>
        <w:ind w:left="720"/>
        <w:rPr>
          <w:rFonts w:ascii="Times New Roman" w:hAnsi="Times New Roman"/>
          <w:sz w:val="24"/>
          <w:szCs w:val="24"/>
        </w:rPr>
      </w:pPr>
      <w:r>
        <w:rPr>
          <w:rFonts w:ascii="Times New Roman" w:hAnsi="Times New Roman"/>
          <w:sz w:val="24"/>
          <w:szCs w:val="24"/>
        </w:rPr>
        <w:t xml:space="preserve">Note: </w:t>
      </w:r>
    </w:p>
    <w:p w14:paraId="67EBA8E4" w14:textId="77777777" w:rsidR="00F27CD5" w:rsidRDefault="00F27CD5" w:rsidP="00F27CD5">
      <w:pPr>
        <w:pStyle w:val="NoSpacing"/>
        <w:ind w:left="720"/>
        <w:rPr>
          <w:rFonts w:ascii="Times New Roman" w:hAnsi="Times New Roman"/>
          <w:sz w:val="24"/>
          <w:szCs w:val="24"/>
        </w:rPr>
      </w:pPr>
    </w:p>
    <w:p w14:paraId="56BB1848" w14:textId="77777777" w:rsidR="00F27CD5" w:rsidRPr="005F1FB2" w:rsidRDefault="00F27CD5" w:rsidP="00F27CD5">
      <w:pPr>
        <w:pStyle w:val="Heading3"/>
        <w:ind w:left="720"/>
        <w:rPr>
          <w:rFonts w:ascii="Times New Roman" w:hAnsi="Times New Roman" w:cs="Times New Roman"/>
        </w:rPr>
      </w:pPr>
      <w:r w:rsidRPr="005F1FB2">
        <w:rPr>
          <w:rFonts w:ascii="Times New Roman" w:hAnsi="Times New Roman" w:cs="Times New Roman"/>
          <w:color w:val="auto"/>
        </w:rPr>
        <w:t>See article: NEW YORK COURTS CLARIFY DEFINITION OF 'ACCIDENT' FOR DISABILITY RETIREMENT PURPOSES (Oct. 12, 2018)</w:t>
      </w:r>
      <w:r>
        <w:rPr>
          <w:rFonts w:ascii="Times New Roman" w:hAnsi="Times New Roman" w:cs="Times New Roman"/>
          <w:color w:val="auto"/>
        </w:rPr>
        <w:t xml:space="preserve">: </w:t>
      </w:r>
      <w:hyperlink r:id="rId1193" w:history="1">
        <w:r w:rsidRPr="005F1FB2">
          <w:rPr>
            <w:rStyle w:val="Hyperlink"/>
            <w:rFonts w:cs="Times New Roman"/>
          </w:rPr>
          <w:t>https://www.alexdell.com/news/79/NEW-YORK-COURTS-CLARIFY-DEFINITION-OF-ACCIDENT-FOR-DISABILITY-RETIREMENT-PURPOSES/</w:t>
        </w:r>
      </w:hyperlink>
    </w:p>
    <w:p w14:paraId="629F59BF" w14:textId="77777777" w:rsidR="00F27CD5" w:rsidRDefault="00F27CD5" w:rsidP="00F27CD5">
      <w:pPr>
        <w:pStyle w:val="NoSpacing"/>
        <w:ind w:left="720"/>
        <w:rPr>
          <w:rFonts w:ascii="Times New Roman" w:hAnsi="Times New Roman"/>
          <w:sz w:val="24"/>
          <w:szCs w:val="24"/>
        </w:rPr>
      </w:pPr>
    </w:p>
    <w:p w14:paraId="1642DB31" w14:textId="77777777" w:rsidR="00F27CD5" w:rsidRDefault="00F27CD5" w:rsidP="00F27CD5">
      <w:pPr>
        <w:pStyle w:val="NoSpacing"/>
        <w:ind w:left="1440"/>
        <w:rPr>
          <w:rFonts w:ascii="Times New Roman" w:hAnsi="Times New Roman"/>
          <w:sz w:val="24"/>
          <w:szCs w:val="24"/>
        </w:rPr>
      </w:pPr>
      <w:r>
        <w:rPr>
          <w:rFonts w:ascii="Times New Roman" w:hAnsi="Times New Roman"/>
          <w:sz w:val="24"/>
          <w:szCs w:val="24"/>
        </w:rPr>
        <w:lastRenderedPageBreak/>
        <w:t>“</w:t>
      </w:r>
      <w:r w:rsidRPr="007F639D">
        <w:rPr>
          <w:rFonts w:ascii="Times New Roman" w:hAnsi="Times New Roman"/>
          <w:sz w:val="24"/>
          <w:szCs w:val="24"/>
        </w:rPr>
        <w:t>In New York State, police officers and firefighters</w:t>
      </w:r>
      <w:r>
        <w:rPr>
          <w:rFonts w:ascii="Times New Roman" w:hAnsi="Times New Roman"/>
          <w:sz w:val="24"/>
          <w:szCs w:val="24"/>
        </w:rPr>
        <w:t xml:space="preserve"> </w:t>
      </w:r>
      <w:r w:rsidRPr="007F639D">
        <w:rPr>
          <w:rFonts w:ascii="Times New Roman" w:hAnsi="Times New Roman"/>
          <w:sz w:val="24"/>
          <w:szCs w:val="24"/>
        </w:rPr>
        <w:t xml:space="preserve">who are rendered permanently disabled as the result of an on-the-job </w:t>
      </w:r>
      <w:r>
        <w:rPr>
          <w:rFonts w:ascii="Times New Roman" w:hAnsi="Times New Roman"/>
          <w:sz w:val="24"/>
          <w:szCs w:val="24"/>
        </w:rPr>
        <w:t>‘</w:t>
      </w:r>
      <w:r w:rsidRPr="007F639D">
        <w:rPr>
          <w:rFonts w:ascii="Times New Roman" w:hAnsi="Times New Roman"/>
          <w:sz w:val="24"/>
          <w:szCs w:val="24"/>
        </w:rPr>
        <w:t>accident</w:t>
      </w:r>
      <w:r>
        <w:rPr>
          <w:rFonts w:ascii="Times New Roman" w:hAnsi="Times New Roman"/>
          <w:sz w:val="24"/>
          <w:szCs w:val="24"/>
        </w:rPr>
        <w:t>’</w:t>
      </w:r>
      <w:r w:rsidRPr="007F639D">
        <w:rPr>
          <w:rFonts w:ascii="Times New Roman" w:hAnsi="Times New Roman"/>
          <w:sz w:val="24"/>
          <w:szCs w:val="24"/>
        </w:rPr>
        <w:t xml:space="preserve"> are eligible to receive a tax-free pension of 75% of their Final Average Salary. To qualify, the first responder needs to demonstrate that their work injury meets the definition of an </w:t>
      </w:r>
      <w:r>
        <w:rPr>
          <w:rFonts w:ascii="Times New Roman" w:hAnsi="Times New Roman"/>
          <w:sz w:val="24"/>
          <w:szCs w:val="24"/>
        </w:rPr>
        <w:t>‘</w:t>
      </w:r>
      <w:r w:rsidRPr="007F639D">
        <w:rPr>
          <w:rFonts w:ascii="Times New Roman" w:hAnsi="Times New Roman"/>
          <w:sz w:val="24"/>
          <w:szCs w:val="24"/>
        </w:rPr>
        <w:t xml:space="preserve">accident” as defined over time by New York State courts. An </w:t>
      </w:r>
      <w:r>
        <w:rPr>
          <w:rFonts w:ascii="Times New Roman" w:hAnsi="Times New Roman"/>
          <w:sz w:val="24"/>
          <w:szCs w:val="24"/>
        </w:rPr>
        <w:t>‘</w:t>
      </w:r>
      <w:r w:rsidRPr="007F639D">
        <w:rPr>
          <w:rFonts w:ascii="Times New Roman" w:hAnsi="Times New Roman"/>
          <w:sz w:val="24"/>
          <w:szCs w:val="24"/>
        </w:rPr>
        <w:t>accident</w:t>
      </w:r>
      <w:r>
        <w:rPr>
          <w:rFonts w:ascii="Times New Roman" w:hAnsi="Times New Roman"/>
          <w:sz w:val="24"/>
          <w:szCs w:val="24"/>
        </w:rPr>
        <w:t>’</w:t>
      </w:r>
      <w:r w:rsidRPr="007F639D">
        <w:rPr>
          <w:rFonts w:ascii="Times New Roman" w:hAnsi="Times New Roman"/>
          <w:sz w:val="24"/>
          <w:szCs w:val="24"/>
        </w:rPr>
        <w:t xml:space="preserve"> is a sudden, unexpected occurrence that was not a risk inherent in the work performed. For years, this definition of an </w:t>
      </w:r>
      <w:r>
        <w:rPr>
          <w:rFonts w:ascii="Times New Roman" w:hAnsi="Times New Roman"/>
          <w:sz w:val="24"/>
          <w:szCs w:val="24"/>
        </w:rPr>
        <w:t>‘</w:t>
      </w:r>
      <w:r w:rsidRPr="007F639D">
        <w:rPr>
          <w:rFonts w:ascii="Times New Roman" w:hAnsi="Times New Roman"/>
          <w:sz w:val="24"/>
          <w:szCs w:val="24"/>
        </w:rPr>
        <w:t>accident</w:t>
      </w:r>
      <w:r>
        <w:rPr>
          <w:rFonts w:ascii="Times New Roman" w:hAnsi="Times New Roman"/>
          <w:sz w:val="24"/>
          <w:szCs w:val="24"/>
        </w:rPr>
        <w:t>’</w:t>
      </w:r>
      <w:r w:rsidRPr="007F639D">
        <w:rPr>
          <w:rFonts w:ascii="Times New Roman" w:hAnsi="Times New Roman"/>
          <w:sz w:val="24"/>
          <w:szCs w:val="24"/>
        </w:rPr>
        <w:t xml:space="preserve"> has been fraught with ambiguity and has led to inconsistent decisions, many of which involve cases where the employee was injured as the result of a misstep or fall.</w:t>
      </w:r>
      <w:r>
        <w:rPr>
          <w:rFonts w:ascii="Times New Roman" w:hAnsi="Times New Roman"/>
          <w:sz w:val="24"/>
          <w:szCs w:val="24"/>
        </w:rPr>
        <w:t xml:space="preserve"> </w:t>
      </w:r>
    </w:p>
    <w:p w14:paraId="1DDFA25F" w14:textId="77777777" w:rsidR="00F27CD5" w:rsidRDefault="00F27CD5" w:rsidP="00F27CD5">
      <w:pPr>
        <w:pStyle w:val="NoSpacing"/>
        <w:ind w:left="720"/>
        <w:rPr>
          <w:rFonts w:ascii="Times New Roman" w:hAnsi="Times New Roman"/>
          <w:sz w:val="24"/>
          <w:szCs w:val="24"/>
        </w:rPr>
      </w:pPr>
    </w:p>
    <w:p w14:paraId="2764D980" w14:textId="77777777" w:rsidR="00F27CD5" w:rsidRDefault="00F27CD5" w:rsidP="00F27CD5">
      <w:pPr>
        <w:pStyle w:val="NoSpacing"/>
        <w:ind w:left="720" w:firstLine="720"/>
        <w:rPr>
          <w:rFonts w:ascii="Times New Roman" w:hAnsi="Times New Roman"/>
          <w:sz w:val="24"/>
          <w:szCs w:val="24"/>
        </w:rPr>
      </w:pPr>
      <w:r>
        <w:rPr>
          <w:rFonts w:ascii="Times New Roman" w:hAnsi="Times New Roman"/>
          <w:sz w:val="24"/>
          <w:szCs w:val="24"/>
        </w:rPr>
        <w:t>***</w:t>
      </w:r>
    </w:p>
    <w:p w14:paraId="62F8C5CF" w14:textId="77777777" w:rsidR="00F27CD5" w:rsidRDefault="00F27CD5" w:rsidP="00F27CD5">
      <w:pPr>
        <w:pStyle w:val="NoSpacing"/>
        <w:ind w:left="1440"/>
        <w:rPr>
          <w:rFonts w:ascii="Times New Roman" w:hAnsi="Times New Roman"/>
          <w:sz w:val="24"/>
          <w:szCs w:val="24"/>
        </w:rPr>
      </w:pPr>
      <w:r w:rsidRPr="007F639D">
        <w:rPr>
          <w:rFonts w:ascii="Times New Roman" w:hAnsi="Times New Roman"/>
          <w:sz w:val="24"/>
          <w:szCs w:val="24"/>
        </w:rPr>
        <w:t xml:space="preserve">On February 13, 2018, the New York State Court of Appeals – the highest court in New York – decided two important cases involving applications for accidental disability retirement benefits. In </w:t>
      </w:r>
      <w:r w:rsidRPr="007F639D">
        <w:rPr>
          <w:rFonts w:ascii="Times New Roman" w:hAnsi="Times New Roman"/>
          <w:sz w:val="24"/>
          <w:szCs w:val="24"/>
          <w:u w:val="single"/>
        </w:rPr>
        <w:t>Kelly v. DiNapoli</w:t>
      </w:r>
      <w:r w:rsidRPr="007F639D">
        <w:rPr>
          <w:rFonts w:ascii="Times New Roman" w:hAnsi="Times New Roman"/>
          <w:sz w:val="24"/>
          <w:szCs w:val="24"/>
        </w:rPr>
        <w:t xml:space="preserve"> and </w:t>
      </w:r>
      <w:r w:rsidRPr="007F639D">
        <w:rPr>
          <w:rFonts w:ascii="Times New Roman" w:hAnsi="Times New Roman"/>
          <w:sz w:val="24"/>
          <w:szCs w:val="24"/>
          <w:u w:val="single"/>
        </w:rPr>
        <w:t>Sica v. DiNapoli</w:t>
      </w:r>
      <w:r w:rsidRPr="007F639D">
        <w:rPr>
          <w:rFonts w:ascii="Times New Roman" w:hAnsi="Times New Roman"/>
          <w:sz w:val="24"/>
          <w:szCs w:val="24"/>
        </w:rPr>
        <w:t xml:space="preserve">, the Court ruled that it would no longer require injured workers to demonstrate that they were injured as the result of a hazard that was not </w:t>
      </w:r>
      <w:r>
        <w:rPr>
          <w:rFonts w:ascii="Times New Roman" w:hAnsi="Times New Roman"/>
          <w:sz w:val="24"/>
          <w:szCs w:val="24"/>
        </w:rPr>
        <w:t>‘</w:t>
      </w:r>
      <w:r w:rsidRPr="007F639D">
        <w:rPr>
          <w:rFonts w:ascii="Times New Roman" w:hAnsi="Times New Roman"/>
          <w:sz w:val="24"/>
          <w:szCs w:val="24"/>
        </w:rPr>
        <w:t>readily observable.</w:t>
      </w:r>
      <w:r>
        <w:rPr>
          <w:rFonts w:ascii="Times New Roman" w:hAnsi="Times New Roman"/>
          <w:sz w:val="24"/>
          <w:szCs w:val="24"/>
        </w:rPr>
        <w:t>’</w:t>
      </w:r>
      <w:r w:rsidRPr="007F639D">
        <w:rPr>
          <w:rFonts w:ascii="Times New Roman" w:hAnsi="Times New Roman"/>
          <w:sz w:val="24"/>
          <w:szCs w:val="24"/>
        </w:rPr>
        <w:t xml:space="preserve"> Previously, applications for accidental disability retirement benefits were often denied simply because the hazard that caused the disabling injury was deemed </w:t>
      </w:r>
      <w:r>
        <w:rPr>
          <w:rFonts w:ascii="Times New Roman" w:hAnsi="Times New Roman"/>
          <w:sz w:val="24"/>
          <w:szCs w:val="24"/>
        </w:rPr>
        <w:t>‘</w:t>
      </w:r>
      <w:r w:rsidRPr="007F639D">
        <w:rPr>
          <w:rFonts w:ascii="Times New Roman" w:hAnsi="Times New Roman"/>
          <w:sz w:val="24"/>
          <w:szCs w:val="24"/>
        </w:rPr>
        <w:t>readily observable,</w:t>
      </w:r>
      <w:r>
        <w:rPr>
          <w:rFonts w:ascii="Times New Roman" w:hAnsi="Times New Roman"/>
          <w:sz w:val="24"/>
          <w:szCs w:val="24"/>
        </w:rPr>
        <w:t>’</w:t>
      </w:r>
      <w:r w:rsidRPr="007F639D">
        <w:rPr>
          <w:rFonts w:ascii="Times New Roman" w:hAnsi="Times New Roman"/>
          <w:sz w:val="24"/>
          <w:szCs w:val="24"/>
        </w:rPr>
        <w:t xml:space="preserve"> even if the injured worker did not actually see it at the time of their injury.</w:t>
      </w:r>
      <w:r>
        <w:rPr>
          <w:rFonts w:ascii="Times New Roman" w:hAnsi="Times New Roman"/>
          <w:sz w:val="24"/>
          <w:szCs w:val="24"/>
        </w:rPr>
        <w:t xml:space="preserve">” </w:t>
      </w:r>
    </w:p>
    <w:p w14:paraId="632BD6B7" w14:textId="77777777" w:rsidR="00F27CD5" w:rsidRDefault="00F27CD5" w:rsidP="00EF1133">
      <w:pPr>
        <w:rPr>
          <w:rFonts w:ascii="Arial Black" w:hAnsi="Arial Black"/>
          <w:b/>
          <w:sz w:val="24"/>
          <w:szCs w:val="24"/>
        </w:rPr>
      </w:pPr>
    </w:p>
    <w:p w14:paraId="0ABFE0A2" w14:textId="58AB2841" w:rsidR="00F27CD5" w:rsidRDefault="00F27CD5" w:rsidP="00EF1133">
      <w:pPr>
        <w:rPr>
          <w:rFonts w:ascii="Arial Black" w:hAnsi="Arial Black"/>
          <w:b/>
          <w:sz w:val="24"/>
          <w:szCs w:val="24"/>
        </w:rPr>
      </w:pPr>
      <w:r>
        <w:rPr>
          <w:rFonts w:ascii="Arial Black" w:hAnsi="Arial Black"/>
          <w:b/>
          <w:sz w:val="24"/>
          <w:szCs w:val="24"/>
        </w:rPr>
        <w:t>6-7</w:t>
      </w:r>
      <w:r w:rsidR="00FF7C63">
        <w:rPr>
          <w:rFonts w:ascii="Arial Black" w:hAnsi="Arial Black"/>
          <w:b/>
          <w:sz w:val="24"/>
          <w:szCs w:val="24"/>
        </w:rPr>
        <w:t>4</w:t>
      </w:r>
    </w:p>
    <w:p w14:paraId="235441FE" w14:textId="77777777" w:rsidR="00F27CD5" w:rsidRDefault="00F27CD5" w:rsidP="00F27CD5">
      <w:pPr>
        <w:pStyle w:val="NoSpacing"/>
        <w:rPr>
          <w:rFonts w:ascii="Arial Black" w:hAnsi="Arial Black"/>
          <w:sz w:val="28"/>
          <w:szCs w:val="28"/>
        </w:rPr>
      </w:pPr>
      <w:r>
        <w:rPr>
          <w:rFonts w:ascii="Arial Black" w:hAnsi="Arial Black"/>
          <w:sz w:val="28"/>
          <w:szCs w:val="28"/>
        </w:rPr>
        <w:t xml:space="preserve">NJ: FF INJURED KNEE - SLIPPED ICE AT FIRE – PRE-EXISTING ARTHRITIS - “ACCIDENTAL DISABILITY” DENIED </w:t>
      </w:r>
    </w:p>
    <w:p w14:paraId="727461B8" w14:textId="77777777" w:rsidR="00F27CD5" w:rsidRDefault="00F27CD5" w:rsidP="00F27CD5">
      <w:pPr>
        <w:pStyle w:val="NoSpacing"/>
        <w:rPr>
          <w:rStyle w:val="font-weight-bold"/>
          <w:rFonts w:ascii="Times New Roman" w:hAnsi="Times New Roman"/>
          <w:sz w:val="24"/>
          <w:szCs w:val="24"/>
        </w:rPr>
      </w:pPr>
      <w:r>
        <w:rPr>
          <w:rFonts w:ascii="Times New Roman" w:hAnsi="Times New Roman"/>
          <w:sz w:val="24"/>
          <w:szCs w:val="24"/>
        </w:rPr>
        <w:t xml:space="preserve">On May 20, 2021, in </w:t>
      </w:r>
      <w:r w:rsidRPr="00330426">
        <w:rPr>
          <w:rFonts w:ascii="Times New Roman" w:hAnsi="Times New Roman"/>
          <w:sz w:val="24"/>
          <w:szCs w:val="24"/>
          <w:u w:val="single"/>
        </w:rPr>
        <w:t xml:space="preserve">Matthew Davis v. Board of Trustees, Police </w:t>
      </w:r>
      <w:proofErr w:type="gramStart"/>
      <w:r w:rsidRPr="00330426">
        <w:rPr>
          <w:rFonts w:ascii="Times New Roman" w:hAnsi="Times New Roman"/>
          <w:sz w:val="24"/>
          <w:szCs w:val="24"/>
          <w:u w:val="single"/>
        </w:rPr>
        <w:t>And</w:t>
      </w:r>
      <w:proofErr w:type="gramEnd"/>
      <w:r w:rsidRPr="00330426">
        <w:rPr>
          <w:rFonts w:ascii="Times New Roman" w:hAnsi="Times New Roman"/>
          <w:sz w:val="24"/>
          <w:szCs w:val="24"/>
          <w:u w:val="single"/>
        </w:rPr>
        <w:t xml:space="preserve"> Firemen’s Retirement System</w:t>
      </w:r>
      <w:r>
        <w:rPr>
          <w:rFonts w:ascii="Times New Roman" w:hAnsi="Times New Roman"/>
          <w:sz w:val="24"/>
          <w:szCs w:val="24"/>
        </w:rPr>
        <w:t xml:space="preserve">, the Superior Court of New Jersey, Appellate Division, </w:t>
      </w:r>
      <w:r w:rsidRPr="00330426">
        <w:rPr>
          <w:rStyle w:val="font-weight-bold"/>
          <w:rFonts w:ascii="Times New Roman" w:hAnsi="Times New Roman"/>
          <w:sz w:val="24"/>
          <w:szCs w:val="24"/>
        </w:rPr>
        <w:t xml:space="preserve">Davis v. Bd. of </w:t>
      </w:r>
      <w:proofErr w:type="spellStart"/>
      <w:r w:rsidRPr="00330426">
        <w:rPr>
          <w:rStyle w:val="font-weight-bold"/>
          <w:rFonts w:ascii="Times New Roman" w:hAnsi="Times New Roman"/>
          <w:sz w:val="24"/>
          <w:szCs w:val="24"/>
        </w:rPr>
        <w:t>Trs</w:t>
      </w:r>
      <w:proofErr w:type="spellEnd"/>
      <w:r w:rsidRPr="00330426">
        <w:rPr>
          <w:rStyle w:val="font-weight-bold"/>
          <w:rFonts w:ascii="Times New Roman" w:hAnsi="Times New Roman"/>
          <w:sz w:val="24"/>
          <w:szCs w:val="24"/>
        </w:rPr>
        <w:t>. (N.J. Super. App. Div. 2021)</w:t>
      </w:r>
      <w:r>
        <w:rPr>
          <w:rStyle w:val="font-weight-bold"/>
          <w:rFonts w:ascii="Times New Roman" w:hAnsi="Times New Roman"/>
          <w:sz w:val="24"/>
          <w:szCs w:val="24"/>
        </w:rPr>
        <w:t xml:space="preserve">, in unpublished decision, held (3 to 0) that the firefighter was not entitled to extra “accidental” disability benefits, only ordinary disability, since the 2015 injury was caused by the arthritis and lack of stability in his right knee from the 2005 skiing accident and ACL surgery. </w:t>
      </w:r>
    </w:p>
    <w:p w14:paraId="2EA24C42" w14:textId="75D5D5BD" w:rsidR="00F27CD5" w:rsidRDefault="00F27CD5" w:rsidP="00F27CD5">
      <w:pPr>
        <w:rPr>
          <w:rFonts w:ascii="Arial Black" w:hAnsi="Arial Black"/>
          <w:b/>
          <w:sz w:val="24"/>
          <w:szCs w:val="24"/>
        </w:rPr>
      </w:pPr>
      <w:r>
        <w:rPr>
          <w:rFonts w:ascii="Times New Roman" w:eastAsia="Times New Roman" w:hAnsi="Times New Roman"/>
          <w:sz w:val="24"/>
          <w:szCs w:val="24"/>
        </w:rPr>
        <w:t>“</w:t>
      </w:r>
      <w:r w:rsidRPr="00E26351">
        <w:rPr>
          <w:rFonts w:ascii="Times New Roman" w:eastAsia="Times New Roman" w:hAnsi="Times New Roman"/>
          <w:sz w:val="24"/>
          <w:szCs w:val="24"/>
        </w:rPr>
        <w:t xml:space="preserve">The Board stated that, under </w:t>
      </w:r>
      <w:r w:rsidRPr="00E26351">
        <w:rPr>
          <w:rFonts w:ascii="Times New Roman" w:eastAsia="Times New Roman" w:hAnsi="Times New Roman"/>
          <w:sz w:val="24"/>
          <w:szCs w:val="24"/>
          <w:u w:val="single"/>
        </w:rPr>
        <w:t>Gerba v. Board of Trustees, Public Employees' Retirement System</w:t>
      </w:r>
      <w:r w:rsidRPr="00E26351">
        <w:rPr>
          <w:rFonts w:ascii="Times New Roman" w:eastAsia="Times New Roman" w:hAnsi="Times New Roman"/>
          <w:sz w:val="24"/>
          <w:szCs w:val="24"/>
        </w:rPr>
        <w:t>, 83 N.J. 174, 186 (1980), an individual does not qualify for accidental disability benefits if the disability is caused by an underlying condition, which has not been directly caused, but is only aggravated or ignited by the traumatic event. The Board concluded that the evidence showed that the 2015 incident merely aggravated or ignited Davis's long-standing pre-existing arthritis. Therefore, he is not entitled to accidental disability retirement benefits. There is sufficient credible evidence in the record to support the Board's findings.</w:t>
      </w:r>
      <w:r>
        <w:rPr>
          <w:rFonts w:ascii="Times New Roman" w:eastAsia="Times New Roman" w:hAnsi="Times New Roman"/>
          <w:sz w:val="24"/>
          <w:szCs w:val="24"/>
        </w:rPr>
        <w:t xml:space="preserve">” </w:t>
      </w:r>
      <w:hyperlink r:id="rId1194" w:history="1">
        <w:r w:rsidRPr="007344F4">
          <w:rPr>
            <w:rStyle w:val="Hyperlink"/>
            <w:sz w:val="24"/>
            <w:szCs w:val="24"/>
          </w:rPr>
          <w:t>https://njcourts.gov/attorneys/assets/opinions/appellate/unpublished/a4070-18.pdf</w:t>
        </w:r>
      </w:hyperlink>
    </w:p>
    <w:p w14:paraId="1B1FF44D" w14:textId="77777777" w:rsidR="00F27CD5" w:rsidRPr="00D96A67" w:rsidRDefault="00F27CD5" w:rsidP="00F27CD5">
      <w:pPr>
        <w:pStyle w:val="NormalWeb"/>
        <w:rPr>
          <w:b/>
          <w:bCs/>
        </w:rPr>
      </w:pPr>
      <w:r w:rsidRPr="00D96A67">
        <w:rPr>
          <w:b/>
          <w:bCs/>
        </w:rPr>
        <w:t>Legal Lesson Learned:</w:t>
      </w:r>
      <w:r>
        <w:rPr>
          <w:b/>
          <w:bCs/>
        </w:rPr>
        <w:t xml:space="preserve"> This was a classic “battle of the experts.” An agency’s decision to accept or reject an expert’s testimony will generally be upheld by Courts on appeal. </w:t>
      </w:r>
    </w:p>
    <w:p w14:paraId="508F6A6C" w14:textId="77777777" w:rsidR="00F27CD5" w:rsidRDefault="00F27CD5" w:rsidP="00EF1133">
      <w:pPr>
        <w:rPr>
          <w:rFonts w:ascii="Arial Black" w:hAnsi="Arial Black"/>
          <w:b/>
          <w:sz w:val="24"/>
          <w:szCs w:val="24"/>
        </w:rPr>
      </w:pPr>
    </w:p>
    <w:p w14:paraId="7D9A14E1" w14:textId="77777777" w:rsidR="00F27CD5" w:rsidRDefault="00F27CD5" w:rsidP="00EF1133">
      <w:pPr>
        <w:rPr>
          <w:rFonts w:ascii="Arial Black" w:hAnsi="Arial Black"/>
          <w:b/>
          <w:sz w:val="24"/>
          <w:szCs w:val="24"/>
        </w:rPr>
      </w:pPr>
    </w:p>
    <w:p w14:paraId="2BFECD75" w14:textId="05B02F13" w:rsidR="00F27CD5" w:rsidRDefault="00F27CD5" w:rsidP="00EF1133">
      <w:pPr>
        <w:rPr>
          <w:rFonts w:ascii="Arial Black" w:hAnsi="Arial Black"/>
          <w:b/>
          <w:sz w:val="24"/>
          <w:szCs w:val="24"/>
        </w:rPr>
      </w:pPr>
      <w:r>
        <w:rPr>
          <w:rFonts w:ascii="Arial Black" w:hAnsi="Arial Black"/>
          <w:b/>
          <w:sz w:val="24"/>
          <w:szCs w:val="24"/>
        </w:rPr>
        <w:t>6-7</w:t>
      </w:r>
      <w:r w:rsidR="00FF7C63">
        <w:rPr>
          <w:rFonts w:ascii="Arial Black" w:hAnsi="Arial Black"/>
          <w:b/>
          <w:sz w:val="24"/>
          <w:szCs w:val="24"/>
        </w:rPr>
        <w:t>3</w:t>
      </w:r>
    </w:p>
    <w:p w14:paraId="1B212B2D" w14:textId="77777777" w:rsidR="00F27CD5" w:rsidRDefault="00F27CD5" w:rsidP="00F27CD5">
      <w:pPr>
        <w:pStyle w:val="NoSpacing"/>
        <w:rPr>
          <w:rFonts w:ascii="Arial Black" w:hAnsi="Arial Black"/>
          <w:sz w:val="28"/>
          <w:szCs w:val="28"/>
        </w:rPr>
      </w:pPr>
      <w:r>
        <w:rPr>
          <w:rFonts w:ascii="Arial Black" w:hAnsi="Arial Black"/>
          <w:sz w:val="28"/>
          <w:szCs w:val="28"/>
        </w:rPr>
        <w:t>LA: CITY MUST PAY $1.6 BACKPAY TO CURRENT / RETIRED FF – STATE LAW REQ. “LONGEVITY” PAY AFTER 3 YEARS</w:t>
      </w:r>
    </w:p>
    <w:p w14:paraId="62822132" w14:textId="77777777" w:rsidR="00F27CD5" w:rsidRDefault="00F27CD5" w:rsidP="00F27CD5">
      <w:pPr>
        <w:pStyle w:val="text"/>
      </w:pPr>
      <w:r w:rsidRPr="001B4D08">
        <w:lastRenderedPageBreak/>
        <w:t xml:space="preserve">On </w:t>
      </w:r>
      <w:r>
        <w:t xml:space="preserve">May 13, 2021, in </w:t>
      </w:r>
      <w:r w:rsidRPr="001B4D08">
        <w:rPr>
          <w:u w:val="single"/>
        </w:rPr>
        <w:t>Arnold Lowther, et al. v. Town of Bastrop</w:t>
      </w:r>
      <w:r>
        <w:t xml:space="preserve">, the Supreme Court of Louisiana held (6 to 1) that the </w:t>
      </w:r>
      <w:proofErr w:type="gramStart"/>
      <w:r>
        <w:t>City</w:t>
      </w:r>
      <w:proofErr w:type="gramEnd"/>
      <w:r>
        <w:t xml:space="preserve"> must pay $1,673,805 in backpay to 32 current and former firefighters; </w:t>
      </w:r>
      <w:r w:rsidRPr="0059197A">
        <w:t xml:space="preserve">Louisiana law states that firefighters will receive longevity pay after three continuous years of service. </w:t>
      </w:r>
    </w:p>
    <w:p w14:paraId="35405411" w14:textId="77777777" w:rsidR="00F27CD5" w:rsidRDefault="00F27CD5" w:rsidP="00F27CD5">
      <w:pPr>
        <w:pStyle w:val="NormalWeb"/>
        <w:ind w:left="720"/>
      </w:pPr>
      <w:r>
        <w:t>“</w:t>
      </w:r>
      <w:r w:rsidRPr="0059197A">
        <w:t>The action requested by the Firefighters' amended petition for a writ of mandamus is the City's ministerial duty to appropriate funds necessary to satisfy the May 2019 judgment as required by La. Const. art. VI, § 14(A)(2)(e), La. R.S. 33:1992(A), La. R.S. 33:1992(B), and La. R.S. 33:1969.</w:t>
      </w:r>
      <w:bookmarkStart w:id="231" w:name="fn6"/>
      <w:r w:rsidRPr="0059197A">
        <w:rPr>
          <w:vertAlign w:val="superscript"/>
        </w:rPr>
        <w:fldChar w:fldCharType="begin"/>
      </w:r>
      <w:r w:rsidRPr="0059197A">
        <w:rPr>
          <w:vertAlign w:val="superscript"/>
        </w:rPr>
        <w:instrText xml:space="preserve"> HYPERLINK "https://public.fastcase.com/" \l "fr6" </w:instrText>
      </w:r>
      <w:r w:rsidRPr="0059197A">
        <w:rPr>
          <w:vertAlign w:val="superscript"/>
        </w:rPr>
      </w:r>
      <w:r w:rsidRPr="0059197A">
        <w:rPr>
          <w:vertAlign w:val="superscript"/>
        </w:rPr>
        <w:fldChar w:fldCharType="separate"/>
      </w:r>
      <w:r w:rsidRPr="0059197A">
        <w:rPr>
          <w:rStyle w:val="Hyperlink"/>
          <w:vertAlign w:val="superscript"/>
        </w:rPr>
        <w:t>6</w:t>
      </w:r>
      <w:r w:rsidRPr="0059197A">
        <w:rPr>
          <w:vertAlign w:val="superscript"/>
        </w:rPr>
        <w:fldChar w:fldCharType="end"/>
      </w:r>
      <w:bookmarkEnd w:id="231"/>
      <w:r w:rsidRPr="0059197A">
        <w:t xml:space="preserve"> Accordingly, we find the Firefighters' allegations that the City has failed to perform this duty state a valid cause of action.</w:t>
      </w:r>
      <w:r>
        <w:t xml:space="preserve">” </w:t>
      </w:r>
      <w:hyperlink r:id="rId1195" w:history="1">
        <w:r w:rsidRPr="00416E6F">
          <w:rPr>
            <w:rStyle w:val="Hyperlink"/>
          </w:rPr>
          <w:t>https://www.lasc.org/Opinions/2021/20-1231.C.OPN.pdf</w:t>
        </w:r>
      </w:hyperlink>
      <w:r>
        <w:t xml:space="preserve"> </w:t>
      </w:r>
    </w:p>
    <w:p w14:paraId="19602926" w14:textId="77777777" w:rsidR="00F27CD5" w:rsidRDefault="00F27CD5" w:rsidP="00F27CD5">
      <w:pPr>
        <w:spacing w:before="100" w:beforeAutospacing="1" w:after="100" w:afterAutospacing="1"/>
        <w:rPr>
          <w:rFonts w:ascii="Times New Roman" w:eastAsia="Times New Roman" w:hAnsi="Times New Roman"/>
          <w:b/>
          <w:bCs/>
          <w:sz w:val="24"/>
          <w:szCs w:val="24"/>
        </w:rPr>
      </w:pPr>
      <w:r>
        <w:rPr>
          <w:rFonts w:ascii="Times New Roman" w:eastAsia="Times New Roman" w:hAnsi="Times New Roman"/>
          <w:b/>
          <w:bCs/>
          <w:sz w:val="24"/>
          <w:szCs w:val="24"/>
        </w:rPr>
        <w:t xml:space="preserve">Legal Lesson Learned: The court-ordered </w:t>
      </w:r>
      <w:proofErr w:type="gramStart"/>
      <w:r>
        <w:rPr>
          <w:rFonts w:ascii="Times New Roman" w:eastAsia="Times New Roman" w:hAnsi="Times New Roman"/>
          <w:b/>
          <w:bCs/>
          <w:sz w:val="24"/>
          <w:szCs w:val="24"/>
        </w:rPr>
        <w:t>back pay</w:t>
      </w:r>
      <w:proofErr w:type="gramEnd"/>
      <w:r>
        <w:rPr>
          <w:rFonts w:ascii="Times New Roman" w:eastAsia="Times New Roman" w:hAnsi="Times New Roman"/>
          <w:b/>
          <w:bCs/>
          <w:sz w:val="24"/>
          <w:szCs w:val="24"/>
        </w:rPr>
        <w:t xml:space="preserve"> award must be honored.</w:t>
      </w:r>
    </w:p>
    <w:p w14:paraId="1917693B" w14:textId="77777777" w:rsidR="00F27CD5" w:rsidRDefault="00F27CD5" w:rsidP="00F27CD5">
      <w:pPr>
        <w:pStyle w:val="text"/>
        <w:ind w:left="720"/>
      </w:pPr>
      <w:r>
        <w:t xml:space="preserve">Note: On March 20, 2021, the City held a special election and citizens voted for a 1.4 mil property tax to pay the judgment. </w:t>
      </w:r>
      <w:hyperlink r:id="rId1196" w:history="1">
        <w:r w:rsidRPr="00416E6F">
          <w:rPr>
            <w:rStyle w:val="Hyperlink"/>
          </w:rPr>
          <w:t>https://www.knoe.com/2021/03/21/bastrop-passes-14-million-property-tax/</w:t>
        </w:r>
      </w:hyperlink>
      <w:r>
        <w:t xml:space="preserve"> </w:t>
      </w:r>
    </w:p>
    <w:p w14:paraId="322CBF6C" w14:textId="77777777" w:rsidR="00F27CD5" w:rsidRDefault="00F27CD5" w:rsidP="00F27CD5">
      <w:pPr>
        <w:spacing w:before="100" w:beforeAutospacing="1" w:after="100" w:afterAutospacing="1"/>
        <w:ind w:left="720"/>
      </w:pPr>
      <w:r>
        <w:rPr>
          <w:rFonts w:ascii="Times New Roman" w:eastAsia="Times New Roman" w:hAnsi="Times New Roman"/>
          <w:sz w:val="24"/>
          <w:szCs w:val="24"/>
        </w:rPr>
        <w:t xml:space="preserve">See also: </w:t>
      </w:r>
      <w:r w:rsidRPr="00E42885">
        <w:rPr>
          <w:rFonts w:ascii="Times New Roman" w:eastAsia="Times New Roman" w:hAnsi="Times New Roman"/>
          <w:sz w:val="24"/>
          <w:szCs w:val="24"/>
        </w:rPr>
        <w:t xml:space="preserve">May 6, 2019: </w:t>
      </w:r>
      <w:r>
        <w:rPr>
          <w:rFonts w:ascii="Times New Roman" w:eastAsia="Times New Roman" w:hAnsi="Times New Roman"/>
          <w:sz w:val="24"/>
          <w:szCs w:val="24"/>
        </w:rPr>
        <w:t>“</w:t>
      </w:r>
      <w:r w:rsidRPr="00E42885">
        <w:rPr>
          <w:rFonts w:ascii="Times New Roman" w:hAnsi="Times New Roman"/>
          <w:sz w:val="24"/>
          <w:szCs w:val="24"/>
        </w:rPr>
        <w:t>Bastrop ordered to pay more than $1.6 million to firemen after lawsuit</w:t>
      </w:r>
      <w:r>
        <w:rPr>
          <w:rFonts w:ascii="Times New Roman" w:hAnsi="Times New Roman"/>
          <w:sz w:val="24"/>
          <w:szCs w:val="24"/>
        </w:rPr>
        <w:t xml:space="preserve">.” </w:t>
      </w:r>
      <w:hyperlink r:id="rId1197" w:history="1">
        <w:r w:rsidRPr="00416E6F">
          <w:rPr>
            <w:rStyle w:val="Hyperlink"/>
          </w:rPr>
          <w:t>https://www.knoe.com/content/news/Bastrop-ordered-to-pay-more-than-16-million-to-firemen-after-lawsuit-509570521.html</w:t>
        </w:r>
      </w:hyperlink>
    </w:p>
    <w:p w14:paraId="0EDEF9C8" w14:textId="79B8548B" w:rsidR="00F27CD5" w:rsidRDefault="00F27CD5" w:rsidP="00F27CD5">
      <w:pPr>
        <w:ind w:left="720"/>
        <w:rPr>
          <w:rFonts w:ascii="Arial Black" w:hAnsi="Arial Black"/>
          <w:b/>
          <w:sz w:val="24"/>
          <w:szCs w:val="24"/>
        </w:rPr>
      </w:pPr>
      <w:r w:rsidRPr="001F5FAA">
        <w:rPr>
          <w:rFonts w:ascii="Times New Roman" w:hAnsi="Times New Roman"/>
          <w:sz w:val="24"/>
          <w:szCs w:val="24"/>
        </w:rPr>
        <w:t xml:space="preserve">April 22, 2019: TV </w:t>
      </w:r>
      <w:r>
        <w:rPr>
          <w:rFonts w:ascii="Times New Roman" w:hAnsi="Times New Roman"/>
          <w:sz w:val="24"/>
          <w:szCs w:val="24"/>
        </w:rPr>
        <w:t>v</w:t>
      </w:r>
      <w:r w:rsidRPr="001F5FAA">
        <w:rPr>
          <w:rFonts w:ascii="Times New Roman" w:hAnsi="Times New Roman"/>
          <w:sz w:val="24"/>
          <w:szCs w:val="24"/>
        </w:rPr>
        <w:t>ideo</w:t>
      </w:r>
      <w:r>
        <w:rPr>
          <w:rFonts w:ascii="Times New Roman" w:hAnsi="Times New Roman"/>
          <w:sz w:val="24"/>
          <w:szCs w:val="24"/>
        </w:rPr>
        <w:t xml:space="preserve"> interview current Mayor</w:t>
      </w:r>
      <w:r w:rsidRPr="001F5FAA">
        <w:rPr>
          <w:rFonts w:ascii="Times New Roman" w:hAnsi="Times New Roman"/>
          <w:sz w:val="24"/>
          <w:szCs w:val="24"/>
        </w:rPr>
        <w:t xml:space="preserve">, “Bastrop firefighters fighting for their pay, the mayor says they deserve it.” : </w:t>
      </w:r>
      <w:hyperlink r:id="rId1198" w:history="1">
        <w:r w:rsidRPr="001F5FAA">
          <w:rPr>
            <w:rStyle w:val="Hyperlink"/>
            <w:sz w:val="24"/>
            <w:szCs w:val="24"/>
          </w:rPr>
          <w:t>https://www.myarklamiss.com/news/local-news/bastrop-firefighters-fighting-for-their-pay-the-mayor-says-they-deserve-it/</w:t>
        </w:r>
      </w:hyperlink>
    </w:p>
    <w:p w14:paraId="1311D0E7" w14:textId="77777777" w:rsidR="00F27CD5" w:rsidRDefault="00F27CD5" w:rsidP="00EF1133">
      <w:pPr>
        <w:rPr>
          <w:rFonts w:ascii="Arial Black" w:hAnsi="Arial Black"/>
          <w:b/>
          <w:sz w:val="24"/>
          <w:szCs w:val="24"/>
        </w:rPr>
      </w:pPr>
    </w:p>
    <w:p w14:paraId="6B591346" w14:textId="7C30A5CE" w:rsidR="00BD263B" w:rsidRDefault="00BD263B" w:rsidP="00EF1133">
      <w:pPr>
        <w:rPr>
          <w:rFonts w:ascii="Arial Black" w:hAnsi="Arial Black"/>
          <w:b/>
          <w:sz w:val="24"/>
          <w:szCs w:val="24"/>
        </w:rPr>
      </w:pPr>
      <w:r>
        <w:rPr>
          <w:rFonts w:ascii="Arial Black" w:hAnsi="Arial Black"/>
          <w:b/>
          <w:sz w:val="24"/>
          <w:szCs w:val="24"/>
        </w:rPr>
        <w:t>6-7</w:t>
      </w:r>
      <w:r w:rsidR="00FF7C63">
        <w:rPr>
          <w:rFonts w:ascii="Arial Black" w:hAnsi="Arial Black"/>
          <w:b/>
          <w:sz w:val="24"/>
          <w:szCs w:val="24"/>
        </w:rPr>
        <w:t>2</w:t>
      </w:r>
    </w:p>
    <w:p w14:paraId="3E678A48" w14:textId="77777777" w:rsidR="00BD263B" w:rsidRPr="007A4A18" w:rsidRDefault="00BD263B" w:rsidP="00BD263B">
      <w:pPr>
        <w:pStyle w:val="Heading1"/>
        <w:rPr>
          <w:rFonts w:ascii="Arial Black" w:hAnsi="Arial Black"/>
          <w:b w:val="0"/>
          <w:bCs w:val="0"/>
          <w:sz w:val="28"/>
          <w:szCs w:val="28"/>
        </w:rPr>
      </w:pPr>
      <w:bookmarkStart w:id="232" w:name="_Hlk81842110"/>
      <w:r>
        <w:rPr>
          <w:rFonts w:ascii="Arial Black" w:hAnsi="Arial Black"/>
          <w:b w:val="0"/>
          <w:bCs w:val="0"/>
          <w:sz w:val="28"/>
          <w:szCs w:val="28"/>
        </w:rPr>
        <w:t>MD: BALTIMORE – PENSION 20 YEARS TO 25 YEARS – COLA – BUT CITY MUST PAY $31 MILLION PRIOR RETIREES</w:t>
      </w:r>
    </w:p>
    <w:bookmarkEnd w:id="232"/>
    <w:p w14:paraId="2530D116" w14:textId="77777777" w:rsidR="00BD263B" w:rsidRPr="000A6C3C" w:rsidRDefault="00BD263B" w:rsidP="00BD263B">
      <w:pPr>
        <w:pStyle w:val="Heading1"/>
        <w:rPr>
          <w:rStyle w:val="markedcontent"/>
          <w:b w:val="0"/>
          <w:bCs w:val="0"/>
          <w:sz w:val="24"/>
          <w:szCs w:val="24"/>
        </w:rPr>
      </w:pPr>
      <w:r>
        <w:rPr>
          <w:b w:val="0"/>
          <w:bCs w:val="0"/>
          <w:sz w:val="24"/>
          <w:szCs w:val="24"/>
        </w:rPr>
        <w:t xml:space="preserve">On Aug. 16, 2021, in </w:t>
      </w:r>
      <w:r w:rsidRPr="001A7E4B">
        <w:rPr>
          <w:b w:val="0"/>
          <w:bCs w:val="0"/>
          <w:sz w:val="24"/>
          <w:szCs w:val="24"/>
          <w:u w:val="single"/>
        </w:rPr>
        <w:t>Robert F. Cherry, Jr. et al. v. Mayor and City Council of Baltimore City</w:t>
      </w:r>
      <w:r>
        <w:rPr>
          <w:b w:val="0"/>
          <w:bCs w:val="0"/>
          <w:sz w:val="24"/>
          <w:szCs w:val="24"/>
        </w:rPr>
        <w:t>, the Court of Appeals of Maryland, held (7 to 0) in a class action that the city made “</w:t>
      </w:r>
      <w:r w:rsidRPr="001A7E4B">
        <w:rPr>
          <w:rStyle w:val="markedcontent"/>
          <w:b w:val="0"/>
          <w:bCs w:val="0"/>
          <w:sz w:val="24"/>
          <w:szCs w:val="24"/>
        </w:rPr>
        <w:t>reasonable and necessary prospective change</w:t>
      </w:r>
      <w:r>
        <w:rPr>
          <w:rStyle w:val="markedcontent"/>
          <w:b w:val="0"/>
          <w:bCs w:val="0"/>
          <w:sz w:val="24"/>
          <w:szCs w:val="24"/>
        </w:rPr>
        <w:t xml:space="preserve">s” to protect the retirement plan for current firefighters and police officers.  </w:t>
      </w:r>
      <w:r w:rsidRPr="001A7E4B">
        <w:rPr>
          <w:rStyle w:val="markedcontent"/>
          <w:b w:val="0"/>
          <w:bCs w:val="0"/>
          <w:sz w:val="24"/>
          <w:szCs w:val="24"/>
        </w:rPr>
        <w:t>“Most notably, it replaced a variable post-retirement cost-of-living adjustment that was based entirely on the investment performance of Plan assets with a guaranteed, tiered cost-of-living adjustment that is not market-driven.</w:t>
      </w:r>
      <w:r>
        <w:rPr>
          <w:rStyle w:val="markedcontent"/>
          <w:b w:val="0"/>
          <w:bCs w:val="0"/>
          <w:sz w:val="24"/>
          <w:szCs w:val="24"/>
        </w:rPr>
        <w:t xml:space="preserve">”  Service time was also expanded. </w:t>
      </w:r>
    </w:p>
    <w:p w14:paraId="5CD2062B" w14:textId="77777777" w:rsidR="00BD263B" w:rsidRDefault="00BD263B" w:rsidP="00BD263B">
      <w:pPr>
        <w:pStyle w:val="Heading1"/>
        <w:ind w:left="720"/>
        <w:rPr>
          <w:rStyle w:val="markedcontent"/>
          <w:b w:val="0"/>
          <w:bCs w:val="0"/>
          <w:sz w:val="24"/>
          <w:szCs w:val="24"/>
        </w:rPr>
      </w:pPr>
      <w:r>
        <w:rPr>
          <w:rStyle w:val="markedcontent"/>
          <w:b w:val="0"/>
          <w:bCs w:val="0"/>
          <w:sz w:val="24"/>
          <w:szCs w:val="24"/>
        </w:rPr>
        <w:t>“</w:t>
      </w:r>
      <w:r w:rsidRPr="001A7E4B">
        <w:rPr>
          <w:rStyle w:val="markedcontent"/>
          <w:b w:val="0"/>
          <w:bCs w:val="0"/>
          <w:sz w:val="24"/>
          <w:szCs w:val="24"/>
        </w:rPr>
        <w:t xml:space="preserve">Over the course of time, governing bodies of large cities face many challenges. One </w:t>
      </w:r>
      <w:r w:rsidRPr="001A7E4B">
        <w:rPr>
          <w:b w:val="0"/>
          <w:bCs w:val="0"/>
          <w:sz w:val="24"/>
          <w:szCs w:val="24"/>
        </w:rPr>
        <w:br/>
      </w:r>
      <w:r w:rsidRPr="001A7E4B">
        <w:rPr>
          <w:rStyle w:val="markedcontent"/>
          <w:b w:val="0"/>
          <w:bCs w:val="0"/>
          <w:sz w:val="24"/>
          <w:szCs w:val="24"/>
        </w:rPr>
        <w:t>such challenge that some cities and other local governments may confront is how to change a public pension plan that is actuarially unsound. Often, the public employees who participate in these plans are represented by unions that register legitimate objections to proposed modifications. Taking such action in the face of opposition by public employees can be difficult politically. The challenge is magnified when the city is in dire financial straits. In such a situation, the city may have to choose between the lesser of two evils: change the plan without the consent, and to the consternation, of employees who have devoted their careers to public service; or keep the plan as is and put the city deeper into debt, perhaps even risking financial ruin. In 2010, Baltimore City faced this choice.</w:t>
      </w:r>
    </w:p>
    <w:p w14:paraId="00437CE9" w14:textId="77777777" w:rsidR="00BD263B" w:rsidRDefault="00BD263B" w:rsidP="00BD263B">
      <w:pPr>
        <w:rPr>
          <w:rFonts w:ascii="Arial Black" w:hAnsi="Arial Black"/>
          <w:b/>
          <w:sz w:val="24"/>
          <w:szCs w:val="24"/>
        </w:rPr>
      </w:pPr>
      <w:r w:rsidRPr="001A7E4B">
        <w:rPr>
          <w:rStyle w:val="markedcontent"/>
          <w:sz w:val="24"/>
          <w:szCs w:val="24"/>
        </w:rPr>
        <w:t xml:space="preserve">The record makes clear that the </w:t>
      </w:r>
      <w:proofErr w:type="gramStart"/>
      <w:r w:rsidRPr="001A7E4B">
        <w:rPr>
          <w:rStyle w:val="markedcontent"/>
          <w:sz w:val="24"/>
          <w:szCs w:val="24"/>
        </w:rPr>
        <w:t>City</w:t>
      </w:r>
      <w:proofErr w:type="gramEnd"/>
      <w:r w:rsidRPr="001A7E4B">
        <w:rPr>
          <w:rStyle w:val="markedcontent"/>
          <w:sz w:val="24"/>
          <w:szCs w:val="24"/>
        </w:rPr>
        <w:t xml:space="preserve"> took no pleasure in modifying the Plan with </w:t>
      </w:r>
      <w:r w:rsidRPr="001A7E4B">
        <w:rPr>
          <w:sz w:val="24"/>
          <w:szCs w:val="24"/>
        </w:rPr>
        <w:br/>
      </w:r>
      <w:r w:rsidRPr="001A7E4B">
        <w:rPr>
          <w:rStyle w:val="markedcontent"/>
          <w:sz w:val="24"/>
          <w:szCs w:val="24"/>
        </w:rPr>
        <w:t xml:space="preserve">the enactment of Ordinance 10-306. The City was faced with a lose-lose proposition: either change the terms </w:t>
      </w:r>
      <w:r w:rsidRPr="001A7E4B">
        <w:rPr>
          <w:rStyle w:val="markedcontent"/>
          <w:sz w:val="24"/>
          <w:szCs w:val="24"/>
        </w:rPr>
        <w:lastRenderedPageBreak/>
        <w:t xml:space="preserve">of the Plan and incur the wrath of its </w:t>
      </w:r>
      <w:proofErr w:type="gramStart"/>
      <w:r w:rsidRPr="001A7E4B">
        <w:rPr>
          <w:rStyle w:val="markedcontent"/>
          <w:sz w:val="24"/>
          <w:szCs w:val="24"/>
        </w:rPr>
        <w:t>members, or</w:t>
      </w:r>
      <w:proofErr w:type="gramEnd"/>
      <w:r w:rsidRPr="001A7E4B">
        <w:rPr>
          <w:rStyle w:val="markedcontent"/>
          <w:sz w:val="24"/>
          <w:szCs w:val="24"/>
        </w:rPr>
        <w:t xml:space="preserve"> allow the unsustainable Plan eventually to consume itself from within, harming the Plan members and all City residents. The </w:t>
      </w:r>
      <w:proofErr w:type="gramStart"/>
      <w:r w:rsidRPr="001A7E4B">
        <w:rPr>
          <w:rStyle w:val="markedcontent"/>
          <w:sz w:val="24"/>
          <w:szCs w:val="24"/>
        </w:rPr>
        <w:t>City</w:t>
      </w:r>
      <w:proofErr w:type="gramEnd"/>
      <w:r w:rsidRPr="001A7E4B">
        <w:rPr>
          <w:rStyle w:val="markedcontent"/>
          <w:sz w:val="24"/>
          <w:szCs w:val="24"/>
        </w:rPr>
        <w:t xml:space="preserve"> opted for the former approach. As to the Active Sub-class, Ordinance 10-306’s changes made reasonable and necessary prospective changes. Thus, the City did not breach its contract with the Active Sub-class. However, the Ordinance retrospectively divested Retired and Retirement-Eligible members of the benefits they had earned by reaching Service Retirement eligibility. The City breached its contract with those Sub-classes and is liable for damages to the members as calculated and ordered by the circuit </w:t>
      </w:r>
      <w:proofErr w:type="gramStart"/>
      <w:r w:rsidRPr="001A7E4B">
        <w:rPr>
          <w:rStyle w:val="markedcontent"/>
          <w:sz w:val="24"/>
          <w:szCs w:val="24"/>
        </w:rPr>
        <w:t>court.</w:t>
      </w:r>
      <w:r>
        <w:rPr>
          <w:rStyle w:val="markedcontent"/>
          <w:sz w:val="24"/>
          <w:szCs w:val="24"/>
        </w:rPr>
        <w:t>”</w:t>
      </w:r>
      <w:proofErr w:type="gramEnd"/>
      <w:r>
        <w:rPr>
          <w:rStyle w:val="markedcontent"/>
          <w:sz w:val="24"/>
          <w:szCs w:val="24"/>
        </w:rPr>
        <w:t xml:space="preserve"> </w:t>
      </w:r>
      <w:hyperlink r:id="rId1199" w:history="1">
        <w:r w:rsidRPr="00EE73D5">
          <w:rPr>
            <w:rStyle w:val="Hyperlink"/>
            <w:sz w:val="24"/>
            <w:szCs w:val="24"/>
          </w:rPr>
          <w:t>https://www.courts.state.md.us/data/opinions/coa/2021/36a20.pdf</w:t>
        </w:r>
      </w:hyperlink>
    </w:p>
    <w:p w14:paraId="2A178C2E" w14:textId="77777777" w:rsidR="00BD263B" w:rsidRPr="007B0E98" w:rsidRDefault="00BD263B" w:rsidP="00BD263B">
      <w:pPr>
        <w:pStyle w:val="NormalWeb"/>
        <w:tabs>
          <w:tab w:val="left" w:pos="2890"/>
        </w:tabs>
        <w:rPr>
          <w:b/>
          <w:bCs/>
        </w:rPr>
      </w:pPr>
      <w:r w:rsidRPr="007B0E98">
        <w:rPr>
          <w:rStyle w:val="markedcontent"/>
          <w:b/>
          <w:bCs/>
        </w:rPr>
        <w:t>Legal Lesson Learned</w:t>
      </w:r>
      <w:r>
        <w:rPr>
          <w:rStyle w:val="markedcontent"/>
          <w:b/>
          <w:bCs/>
        </w:rPr>
        <w:t xml:space="preserve">: Changing retirement plans can be painful and impact morale of current </w:t>
      </w:r>
      <w:proofErr w:type="gramStart"/>
      <w:r>
        <w:rPr>
          <w:rStyle w:val="markedcontent"/>
          <w:b/>
          <w:bCs/>
        </w:rPr>
        <w:t>employees, but</w:t>
      </w:r>
      <w:proofErr w:type="gramEnd"/>
      <w:r>
        <w:rPr>
          <w:rStyle w:val="markedcontent"/>
          <w:b/>
          <w:bCs/>
        </w:rPr>
        <w:t xml:space="preserve"> may be lawful under state laws. </w:t>
      </w:r>
    </w:p>
    <w:p w14:paraId="64697FF3" w14:textId="77777777" w:rsidR="00BD263B" w:rsidRPr="007B0E98" w:rsidRDefault="00BD263B" w:rsidP="00BD263B">
      <w:pPr>
        <w:pStyle w:val="Heading1"/>
        <w:ind w:left="720"/>
        <w:rPr>
          <w:b w:val="0"/>
          <w:sz w:val="24"/>
          <w:szCs w:val="24"/>
        </w:rPr>
      </w:pPr>
      <w:r w:rsidRPr="007B0E98">
        <w:rPr>
          <w:b w:val="0"/>
          <w:sz w:val="24"/>
          <w:szCs w:val="24"/>
        </w:rPr>
        <w:t xml:space="preserve">Note: See Aug. 16, </w:t>
      </w:r>
      <w:proofErr w:type="gramStart"/>
      <w:r w:rsidRPr="007B0E98">
        <w:rPr>
          <w:b w:val="0"/>
          <w:sz w:val="24"/>
          <w:szCs w:val="24"/>
        </w:rPr>
        <w:t>2021</w:t>
      </w:r>
      <w:proofErr w:type="gramEnd"/>
      <w:r w:rsidRPr="007B0E98">
        <w:rPr>
          <w:b w:val="0"/>
          <w:sz w:val="24"/>
          <w:szCs w:val="24"/>
        </w:rPr>
        <w:t xml:space="preserve"> article, “Baltimore police and fire unions frustrated by appeals court ruling upholding city’s right to raise retirement age.” </w:t>
      </w:r>
      <w:hyperlink r:id="rId1200" w:history="1">
        <w:r w:rsidRPr="007B0E98">
          <w:rPr>
            <w:rStyle w:val="Hyperlink"/>
            <w:sz w:val="24"/>
            <w:szCs w:val="24"/>
          </w:rPr>
          <w:t>https://www.baltimoresun.com/maryland/baltimore-city/bs-md-ci-lawsuit-opinion-20210817-vlhba6nhe5dnfayycibxat2sli-story.html</w:t>
        </w:r>
      </w:hyperlink>
      <w:r w:rsidRPr="007B0E98">
        <w:rPr>
          <w:b w:val="0"/>
          <w:sz w:val="24"/>
          <w:szCs w:val="24"/>
        </w:rPr>
        <w:t xml:space="preserve">  </w:t>
      </w:r>
    </w:p>
    <w:p w14:paraId="3E5E72CE" w14:textId="77777777" w:rsidR="00BD263B" w:rsidRPr="007B0E98" w:rsidRDefault="00BD263B" w:rsidP="00BD263B">
      <w:pPr>
        <w:pStyle w:val="NormalWeb"/>
        <w:ind w:left="720"/>
        <w:rPr>
          <w:bCs/>
        </w:rPr>
      </w:pPr>
      <w:r>
        <w:t xml:space="preserve">“The Court of Appeals ruling affirmed the lower court’s computation of $31 million in damages to retirees who had already earned their pensions…. The lawsuit came after the city, facing a staggering budget shortfall following the 2008 financial crises, changed its pension plan to require police and firefighters to serve 25 years instead of 20 </w:t>
      </w:r>
      <w:proofErr w:type="gramStart"/>
      <w:r>
        <w:t>in order to</w:t>
      </w:r>
      <w:proofErr w:type="gramEnd"/>
      <w:r>
        <w:t xml:space="preserve"> retire and get benefits.”</w:t>
      </w:r>
    </w:p>
    <w:p w14:paraId="2388490F" w14:textId="77777777" w:rsidR="00BD263B" w:rsidRDefault="00BD263B" w:rsidP="00EF1133">
      <w:pPr>
        <w:rPr>
          <w:rFonts w:ascii="Arial Black" w:hAnsi="Arial Black"/>
          <w:b/>
          <w:sz w:val="24"/>
          <w:szCs w:val="24"/>
        </w:rPr>
      </w:pPr>
    </w:p>
    <w:p w14:paraId="01930713" w14:textId="0CE5ADAE" w:rsidR="0077274E" w:rsidRDefault="0077274E" w:rsidP="00EF1133">
      <w:pPr>
        <w:rPr>
          <w:rFonts w:ascii="Arial Black" w:hAnsi="Arial Black"/>
          <w:b/>
          <w:sz w:val="24"/>
          <w:szCs w:val="24"/>
        </w:rPr>
      </w:pPr>
      <w:r>
        <w:rPr>
          <w:rFonts w:ascii="Arial Black" w:hAnsi="Arial Black"/>
          <w:b/>
          <w:sz w:val="24"/>
          <w:szCs w:val="24"/>
        </w:rPr>
        <w:t>6-7</w:t>
      </w:r>
      <w:r w:rsidR="00FF7C63">
        <w:rPr>
          <w:rFonts w:ascii="Arial Black" w:hAnsi="Arial Black"/>
          <w:b/>
          <w:sz w:val="24"/>
          <w:szCs w:val="24"/>
        </w:rPr>
        <w:t>1</w:t>
      </w:r>
    </w:p>
    <w:p w14:paraId="771AB435" w14:textId="77777777" w:rsidR="0077274E" w:rsidRPr="000A707F" w:rsidRDefault="0077274E" w:rsidP="0077274E">
      <w:pPr>
        <w:rPr>
          <w:rFonts w:ascii="Arial Black" w:hAnsi="Arial Black"/>
          <w:sz w:val="28"/>
          <w:szCs w:val="28"/>
        </w:rPr>
      </w:pPr>
      <w:r>
        <w:rPr>
          <w:rFonts w:ascii="Arial Black" w:hAnsi="Arial Black"/>
          <w:sz w:val="28"/>
          <w:szCs w:val="28"/>
        </w:rPr>
        <w:t>OH: PROMOTION EXAM CAPTAIN – “DISTRACTED, BORED, SLEEPING” EVALUATORS – BUT NO RIGHT TO PROMOTION</w:t>
      </w:r>
    </w:p>
    <w:p w14:paraId="56805AA0" w14:textId="77777777" w:rsidR="0077274E" w:rsidRDefault="0077274E" w:rsidP="0077274E">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On April 14, 2021, in </w:t>
      </w:r>
      <w:r w:rsidRPr="000A707F">
        <w:rPr>
          <w:rFonts w:ascii="Times New Roman" w:hAnsi="Times New Roman"/>
          <w:sz w:val="24"/>
          <w:szCs w:val="24"/>
          <w:u w:val="single"/>
        </w:rPr>
        <w:t>State of Ohio, Ex Rel. Jeffrey Neal v. City of Cincinnati</w:t>
      </w:r>
      <w:r>
        <w:rPr>
          <w:rFonts w:ascii="Times New Roman" w:hAnsi="Times New Roman"/>
          <w:sz w:val="24"/>
          <w:szCs w:val="24"/>
        </w:rPr>
        <w:t xml:space="preserve">, the Ohio Court of Appeals, First Appellate District (Hamilton County) held (3 to 0) that the trial court improperly ordered the City to promote Lt. Neal, Cincinnati Fire Department.   Even if the testing process was flawed in the oral portions (tactical and interview portions} by distracted evaluators, he failed to show a “clear legal right” to the promotion.  In addition, he scored </w:t>
      </w:r>
      <w:r w:rsidRPr="006A44A9">
        <w:rPr>
          <w:rFonts w:ascii="Times New Roman" w:hAnsi="Times New Roman"/>
          <w:sz w:val="24"/>
          <w:szCs w:val="24"/>
        </w:rPr>
        <w:t>42</w:t>
      </w:r>
      <w:r w:rsidRPr="006A44A9">
        <w:rPr>
          <w:rFonts w:ascii="Times New Roman" w:hAnsi="Times New Roman"/>
          <w:sz w:val="24"/>
          <w:szCs w:val="24"/>
          <w:vertAlign w:val="superscript"/>
        </w:rPr>
        <w:t>nd</w:t>
      </w:r>
      <w:r>
        <w:rPr>
          <w:rFonts w:ascii="Times New Roman" w:hAnsi="Times New Roman"/>
          <w:sz w:val="24"/>
          <w:szCs w:val="24"/>
        </w:rPr>
        <w:t xml:space="preserve"> </w:t>
      </w:r>
      <w:r w:rsidRPr="006A44A9">
        <w:rPr>
          <w:rFonts w:ascii="Times New Roman" w:hAnsi="Times New Roman"/>
          <w:sz w:val="24"/>
          <w:szCs w:val="24"/>
        </w:rPr>
        <w:t>out of 54</w:t>
      </w:r>
      <w:r>
        <w:rPr>
          <w:rFonts w:ascii="Times New Roman" w:hAnsi="Times New Roman"/>
          <w:sz w:val="24"/>
          <w:szCs w:val="24"/>
        </w:rPr>
        <w:t xml:space="preserve"> </w:t>
      </w:r>
      <w:r w:rsidRPr="006A44A9">
        <w:rPr>
          <w:rFonts w:ascii="Times New Roman" w:hAnsi="Times New Roman"/>
          <w:sz w:val="24"/>
          <w:szCs w:val="24"/>
        </w:rPr>
        <w:t xml:space="preserve">applicants, with only the top 25 qualifying for promotion. </w:t>
      </w:r>
    </w:p>
    <w:p w14:paraId="15219241" w14:textId="77777777" w:rsidR="0077274E" w:rsidRDefault="0077274E" w:rsidP="0077274E">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r w:rsidRPr="00C76A19">
        <w:rPr>
          <w:rFonts w:ascii="Times New Roman" w:hAnsi="Times New Roman"/>
          <w:sz w:val="24"/>
          <w:szCs w:val="24"/>
        </w:rPr>
        <w:t>Lt.</w:t>
      </w:r>
      <w:r>
        <w:rPr>
          <w:rFonts w:ascii="Times New Roman" w:hAnsi="Times New Roman"/>
          <w:sz w:val="24"/>
          <w:szCs w:val="24"/>
        </w:rPr>
        <w:t xml:space="preserve"> </w:t>
      </w:r>
      <w:r w:rsidRPr="00C76A19">
        <w:rPr>
          <w:rFonts w:ascii="Times New Roman" w:hAnsi="Times New Roman"/>
          <w:sz w:val="24"/>
          <w:szCs w:val="24"/>
        </w:rPr>
        <w:t>Neal disputed</w:t>
      </w:r>
      <w:r>
        <w:rPr>
          <w:rFonts w:ascii="Times New Roman" w:hAnsi="Times New Roman"/>
          <w:sz w:val="24"/>
          <w:szCs w:val="24"/>
        </w:rPr>
        <w:t xml:space="preserve"> </w:t>
      </w:r>
      <w:r w:rsidRPr="00C76A19">
        <w:rPr>
          <w:rFonts w:ascii="Times New Roman" w:hAnsi="Times New Roman"/>
          <w:sz w:val="24"/>
          <w:szCs w:val="24"/>
        </w:rPr>
        <w:t>his exam results, specifically challenging the administration of the tactical and interview portions. These portions of the exam involved, among other things, Lt.</w:t>
      </w:r>
      <w:r>
        <w:rPr>
          <w:rFonts w:ascii="Times New Roman" w:hAnsi="Times New Roman"/>
          <w:sz w:val="24"/>
          <w:szCs w:val="24"/>
        </w:rPr>
        <w:t xml:space="preserve"> </w:t>
      </w:r>
      <w:r w:rsidRPr="00C76A19">
        <w:rPr>
          <w:rFonts w:ascii="Times New Roman" w:hAnsi="Times New Roman"/>
          <w:sz w:val="24"/>
          <w:szCs w:val="24"/>
        </w:rPr>
        <w:t>Neal orally responding to questions posed by assessors. He alleged that the interruptions</w:t>
      </w:r>
      <w:r>
        <w:rPr>
          <w:rFonts w:ascii="Times New Roman" w:hAnsi="Times New Roman"/>
          <w:sz w:val="24"/>
          <w:szCs w:val="24"/>
        </w:rPr>
        <w:t xml:space="preserve"> </w:t>
      </w:r>
      <w:r w:rsidRPr="00C76A19">
        <w:rPr>
          <w:rFonts w:ascii="Times New Roman" w:hAnsi="Times New Roman"/>
          <w:sz w:val="24"/>
          <w:szCs w:val="24"/>
        </w:rPr>
        <w:t>began during the tactical portion, after an</w:t>
      </w:r>
      <w:r>
        <w:rPr>
          <w:rFonts w:ascii="Times New Roman" w:hAnsi="Times New Roman"/>
          <w:sz w:val="24"/>
          <w:szCs w:val="24"/>
        </w:rPr>
        <w:t xml:space="preserve"> </w:t>
      </w:r>
      <w:r w:rsidRPr="00C76A19">
        <w:rPr>
          <w:rFonts w:ascii="Times New Roman" w:hAnsi="Times New Roman"/>
          <w:sz w:val="24"/>
          <w:szCs w:val="24"/>
        </w:rPr>
        <w:t>assessor’s phone went off. Because the phone</w:t>
      </w:r>
      <w:r>
        <w:rPr>
          <w:rFonts w:ascii="Times New Roman" w:hAnsi="Times New Roman"/>
          <w:sz w:val="24"/>
          <w:szCs w:val="24"/>
        </w:rPr>
        <w:t xml:space="preserve"> </w:t>
      </w:r>
      <w:r w:rsidRPr="00C76A19">
        <w:rPr>
          <w:rFonts w:ascii="Times New Roman" w:hAnsi="Times New Roman"/>
          <w:sz w:val="24"/>
          <w:szCs w:val="24"/>
        </w:rPr>
        <w:t>was located across the room in a backpack, the assessor waltzed</w:t>
      </w:r>
      <w:r>
        <w:rPr>
          <w:rFonts w:ascii="Times New Roman" w:hAnsi="Times New Roman"/>
          <w:sz w:val="24"/>
          <w:szCs w:val="24"/>
        </w:rPr>
        <w:t xml:space="preserve"> </w:t>
      </w:r>
      <w:r w:rsidRPr="00C76A19">
        <w:rPr>
          <w:rFonts w:ascii="Times New Roman" w:hAnsi="Times New Roman"/>
          <w:sz w:val="24"/>
          <w:szCs w:val="24"/>
        </w:rPr>
        <w:t>over</w:t>
      </w:r>
      <w:r>
        <w:rPr>
          <w:rFonts w:ascii="Times New Roman" w:hAnsi="Times New Roman"/>
          <w:sz w:val="24"/>
          <w:szCs w:val="24"/>
        </w:rPr>
        <w:t xml:space="preserve"> </w:t>
      </w:r>
      <w:r w:rsidRPr="00C76A19">
        <w:rPr>
          <w:rFonts w:ascii="Times New Roman" w:hAnsi="Times New Roman"/>
          <w:sz w:val="24"/>
          <w:szCs w:val="24"/>
        </w:rPr>
        <w:t>to the backpack, rummaging around before locating the phone to silence it.</w:t>
      </w:r>
      <w:r>
        <w:rPr>
          <w:rFonts w:ascii="Times New Roman" w:hAnsi="Times New Roman"/>
          <w:sz w:val="24"/>
          <w:szCs w:val="24"/>
        </w:rPr>
        <w:t xml:space="preserve"> </w:t>
      </w:r>
      <w:r w:rsidRPr="00C76A19">
        <w:rPr>
          <w:rFonts w:ascii="Times New Roman" w:hAnsi="Times New Roman"/>
          <w:sz w:val="24"/>
          <w:szCs w:val="24"/>
        </w:rPr>
        <w:t>Incredibly, the assessor allegedly spent considerable time reading texts from the phone</w:t>
      </w:r>
      <w:r>
        <w:rPr>
          <w:rFonts w:ascii="Times New Roman" w:hAnsi="Times New Roman"/>
          <w:sz w:val="24"/>
          <w:szCs w:val="24"/>
        </w:rPr>
        <w:t xml:space="preserve"> </w:t>
      </w:r>
      <w:r w:rsidRPr="00C76A19">
        <w:rPr>
          <w:rFonts w:ascii="Times New Roman" w:hAnsi="Times New Roman"/>
          <w:sz w:val="24"/>
          <w:szCs w:val="24"/>
        </w:rPr>
        <w:t>before wandering</w:t>
      </w:r>
      <w:r>
        <w:rPr>
          <w:rFonts w:ascii="Times New Roman" w:hAnsi="Times New Roman"/>
          <w:sz w:val="24"/>
          <w:szCs w:val="24"/>
        </w:rPr>
        <w:t xml:space="preserve"> </w:t>
      </w:r>
      <w:r w:rsidRPr="00C76A19">
        <w:rPr>
          <w:rFonts w:ascii="Times New Roman" w:hAnsi="Times New Roman"/>
          <w:sz w:val="24"/>
          <w:szCs w:val="24"/>
        </w:rPr>
        <w:t>back to the table. And once there, the phone</w:t>
      </w:r>
      <w:r>
        <w:rPr>
          <w:rFonts w:ascii="Times New Roman" w:hAnsi="Times New Roman"/>
          <w:sz w:val="24"/>
          <w:szCs w:val="24"/>
        </w:rPr>
        <w:t xml:space="preserve"> </w:t>
      </w:r>
      <w:r w:rsidRPr="00C76A19">
        <w:rPr>
          <w:rFonts w:ascii="Times New Roman" w:hAnsi="Times New Roman"/>
          <w:sz w:val="24"/>
          <w:szCs w:val="24"/>
        </w:rPr>
        <w:t>repeatedly vibrated, prompting the distracted assessor to engage with the phone and respond to messages, while presumably ignoring Lt. Neal. All of this occurred during an exam where phones were not permitted</w:t>
      </w:r>
      <w:r>
        <w:rPr>
          <w:rFonts w:ascii="Times New Roman" w:hAnsi="Times New Roman"/>
          <w:sz w:val="24"/>
          <w:szCs w:val="24"/>
        </w:rPr>
        <w:t xml:space="preserve"> </w:t>
      </w:r>
      <w:r w:rsidRPr="00C76A19">
        <w:rPr>
          <w:rFonts w:ascii="Times New Roman" w:hAnsi="Times New Roman"/>
          <w:sz w:val="24"/>
          <w:szCs w:val="24"/>
        </w:rPr>
        <w:t>(for obvious reasons, as this episode illustrates).</w:t>
      </w:r>
    </w:p>
    <w:p w14:paraId="43F49131" w14:textId="77777777" w:rsidR="0077274E" w:rsidRDefault="0077274E" w:rsidP="0077274E">
      <w:pPr>
        <w:ind w:left="720"/>
        <w:rPr>
          <w:rFonts w:ascii="Times New Roman" w:hAnsi="Times New Roman"/>
          <w:sz w:val="24"/>
          <w:szCs w:val="24"/>
        </w:rPr>
      </w:pPr>
      <w:r w:rsidRPr="00C76A19">
        <w:rPr>
          <w:rFonts w:ascii="Times New Roman" w:hAnsi="Times New Roman"/>
          <w:sz w:val="24"/>
          <w:szCs w:val="24"/>
        </w:rPr>
        <w:t>These distractions allegedly spilled over to</w:t>
      </w:r>
      <w:r>
        <w:rPr>
          <w:rFonts w:ascii="Times New Roman" w:hAnsi="Times New Roman"/>
          <w:sz w:val="24"/>
          <w:szCs w:val="24"/>
        </w:rPr>
        <w:t xml:space="preserve"> </w:t>
      </w:r>
      <w:r w:rsidRPr="00C76A19">
        <w:rPr>
          <w:rFonts w:ascii="Times New Roman" w:hAnsi="Times New Roman"/>
          <w:sz w:val="24"/>
          <w:szCs w:val="24"/>
        </w:rPr>
        <w:t>the interview portion as well. At one point, an</w:t>
      </w:r>
      <w:r>
        <w:rPr>
          <w:rFonts w:ascii="Times New Roman" w:hAnsi="Times New Roman"/>
          <w:sz w:val="24"/>
          <w:szCs w:val="24"/>
        </w:rPr>
        <w:t xml:space="preserve"> </w:t>
      </w:r>
      <w:r w:rsidRPr="00C76A19">
        <w:rPr>
          <w:rFonts w:ascii="Times New Roman" w:hAnsi="Times New Roman"/>
          <w:sz w:val="24"/>
          <w:szCs w:val="24"/>
        </w:rPr>
        <w:t>assessor was responding to a text message during the entirety of</w:t>
      </w:r>
      <w:r>
        <w:rPr>
          <w:rFonts w:ascii="Times New Roman" w:hAnsi="Times New Roman"/>
          <w:sz w:val="24"/>
          <w:szCs w:val="24"/>
        </w:rPr>
        <w:t xml:space="preserve"> </w:t>
      </w:r>
      <w:r w:rsidRPr="00C76A19">
        <w:rPr>
          <w:rFonts w:ascii="Times New Roman" w:hAnsi="Times New Roman"/>
          <w:sz w:val="24"/>
          <w:szCs w:val="24"/>
        </w:rPr>
        <w:t>Lt.</w:t>
      </w:r>
      <w:r>
        <w:rPr>
          <w:rFonts w:ascii="Times New Roman" w:hAnsi="Times New Roman"/>
          <w:sz w:val="24"/>
          <w:szCs w:val="24"/>
        </w:rPr>
        <w:t xml:space="preserve"> </w:t>
      </w:r>
      <w:r w:rsidRPr="00C76A19">
        <w:rPr>
          <w:rFonts w:ascii="Times New Roman" w:hAnsi="Times New Roman"/>
          <w:sz w:val="24"/>
          <w:szCs w:val="24"/>
        </w:rPr>
        <w:t>Neal’s</w:t>
      </w:r>
      <w:r>
        <w:rPr>
          <w:rFonts w:ascii="Times New Roman" w:hAnsi="Times New Roman"/>
          <w:sz w:val="24"/>
          <w:szCs w:val="24"/>
        </w:rPr>
        <w:t xml:space="preserve"> </w:t>
      </w:r>
      <w:r w:rsidRPr="00C76A19">
        <w:rPr>
          <w:rFonts w:ascii="Times New Roman" w:hAnsi="Times New Roman"/>
          <w:sz w:val="24"/>
          <w:szCs w:val="24"/>
        </w:rPr>
        <w:t>answer to a question. To make matters worse, another assessor allegedly dozed off</w:t>
      </w:r>
      <w:r>
        <w:rPr>
          <w:rFonts w:ascii="Times New Roman" w:hAnsi="Times New Roman"/>
          <w:sz w:val="24"/>
          <w:szCs w:val="24"/>
        </w:rPr>
        <w:t xml:space="preserve"> </w:t>
      </w:r>
      <w:r w:rsidRPr="00C76A19">
        <w:rPr>
          <w:rFonts w:ascii="Times New Roman" w:hAnsi="Times New Roman"/>
          <w:sz w:val="24"/>
          <w:szCs w:val="24"/>
        </w:rPr>
        <w:t>for some</w:t>
      </w:r>
      <w:r>
        <w:rPr>
          <w:rFonts w:ascii="Times New Roman" w:hAnsi="Times New Roman"/>
          <w:sz w:val="24"/>
          <w:szCs w:val="24"/>
        </w:rPr>
        <w:t xml:space="preserve"> </w:t>
      </w:r>
      <w:proofErr w:type="gramStart"/>
      <w:r w:rsidRPr="00C76A19">
        <w:rPr>
          <w:rFonts w:ascii="Times New Roman" w:hAnsi="Times New Roman"/>
          <w:sz w:val="24"/>
          <w:szCs w:val="24"/>
        </w:rPr>
        <w:t>period of</w:t>
      </w:r>
      <w:r>
        <w:rPr>
          <w:rFonts w:ascii="Times New Roman" w:hAnsi="Times New Roman"/>
          <w:sz w:val="24"/>
          <w:szCs w:val="24"/>
        </w:rPr>
        <w:t xml:space="preserve"> </w:t>
      </w:r>
      <w:r w:rsidRPr="00C76A19">
        <w:rPr>
          <w:rFonts w:ascii="Times New Roman" w:hAnsi="Times New Roman"/>
          <w:sz w:val="24"/>
          <w:szCs w:val="24"/>
        </w:rPr>
        <w:t>time</w:t>
      </w:r>
      <w:proofErr w:type="gramEnd"/>
      <w:r w:rsidRPr="00C76A19">
        <w:rPr>
          <w:rFonts w:ascii="Times New Roman" w:hAnsi="Times New Roman"/>
          <w:sz w:val="24"/>
          <w:szCs w:val="24"/>
        </w:rPr>
        <w:t>. In sum,</w:t>
      </w:r>
      <w:r>
        <w:rPr>
          <w:rFonts w:ascii="Times New Roman" w:hAnsi="Times New Roman"/>
          <w:sz w:val="24"/>
          <w:szCs w:val="24"/>
        </w:rPr>
        <w:t xml:space="preserve"> </w:t>
      </w:r>
      <w:proofErr w:type="spellStart"/>
      <w:r w:rsidRPr="00C76A19">
        <w:rPr>
          <w:rFonts w:ascii="Times New Roman" w:hAnsi="Times New Roman"/>
          <w:sz w:val="24"/>
          <w:szCs w:val="24"/>
        </w:rPr>
        <w:t>Lt.Neal</w:t>
      </w:r>
      <w:proofErr w:type="spellEnd"/>
      <w:r>
        <w:rPr>
          <w:rFonts w:ascii="Times New Roman" w:hAnsi="Times New Roman"/>
          <w:sz w:val="24"/>
          <w:szCs w:val="24"/>
        </w:rPr>
        <w:t xml:space="preserve"> </w:t>
      </w:r>
      <w:r w:rsidRPr="00C76A19">
        <w:rPr>
          <w:rFonts w:ascii="Times New Roman" w:hAnsi="Times New Roman"/>
          <w:sz w:val="24"/>
          <w:szCs w:val="24"/>
        </w:rPr>
        <w:t>concludes</w:t>
      </w:r>
      <w:r>
        <w:rPr>
          <w:rFonts w:ascii="Times New Roman" w:hAnsi="Times New Roman"/>
          <w:sz w:val="24"/>
          <w:szCs w:val="24"/>
        </w:rPr>
        <w:t xml:space="preserve"> </w:t>
      </w:r>
      <w:r w:rsidRPr="00C76A19">
        <w:rPr>
          <w:rFonts w:ascii="Times New Roman" w:hAnsi="Times New Roman"/>
          <w:sz w:val="24"/>
          <w:szCs w:val="24"/>
        </w:rPr>
        <w:t xml:space="preserve">that </w:t>
      </w:r>
      <w:r w:rsidRPr="00C76A19">
        <w:rPr>
          <w:rFonts w:ascii="Times New Roman" w:hAnsi="Times New Roman"/>
          <w:sz w:val="24"/>
          <w:szCs w:val="24"/>
        </w:rPr>
        <w:lastRenderedPageBreak/>
        <w:t>these repeated distractions placed</w:t>
      </w:r>
      <w:r>
        <w:rPr>
          <w:rFonts w:ascii="Times New Roman" w:hAnsi="Times New Roman"/>
          <w:sz w:val="24"/>
          <w:szCs w:val="24"/>
        </w:rPr>
        <w:t xml:space="preserve"> </w:t>
      </w:r>
      <w:r w:rsidRPr="00C76A19">
        <w:rPr>
          <w:rFonts w:ascii="Times New Roman" w:hAnsi="Times New Roman"/>
          <w:sz w:val="24"/>
          <w:szCs w:val="24"/>
        </w:rPr>
        <w:t>him at a considerable disadvantage for the tactical and interview portions of the exam</w:t>
      </w:r>
      <w:r>
        <w:rPr>
          <w:rFonts w:ascii="Times New Roman" w:hAnsi="Times New Roman"/>
          <w:sz w:val="24"/>
          <w:szCs w:val="24"/>
        </w:rPr>
        <w:t xml:space="preserve"> </w:t>
      </w:r>
      <w:r w:rsidRPr="00C76A19">
        <w:rPr>
          <w:rFonts w:ascii="Times New Roman" w:hAnsi="Times New Roman"/>
          <w:sz w:val="24"/>
          <w:szCs w:val="24"/>
        </w:rPr>
        <w:t>because, so far as he is aware and the record discloses, other applicants did not encounter similar distractions. As a result, he challenges the legitimacy of the testing process.</w:t>
      </w:r>
    </w:p>
    <w:p w14:paraId="1872ECE1" w14:textId="77777777" w:rsidR="0077274E" w:rsidRDefault="0077274E" w:rsidP="0077274E">
      <w:pPr>
        <w:ind w:left="720"/>
        <w:rPr>
          <w:rFonts w:ascii="Times New Roman" w:hAnsi="Times New Roman"/>
          <w:sz w:val="24"/>
          <w:szCs w:val="24"/>
        </w:rPr>
      </w:pPr>
      <w:r>
        <w:rPr>
          <w:rFonts w:ascii="Times New Roman" w:hAnsi="Times New Roman"/>
          <w:sz w:val="24"/>
          <w:szCs w:val="24"/>
        </w:rPr>
        <w:t>***</w:t>
      </w:r>
    </w:p>
    <w:p w14:paraId="0BF632AE" w14:textId="77777777" w:rsidR="0077274E" w:rsidRPr="006A44A9" w:rsidRDefault="0077274E" w:rsidP="0077274E">
      <w:pPr>
        <w:ind w:left="720"/>
        <w:rPr>
          <w:rFonts w:ascii="Times New Roman" w:hAnsi="Times New Roman"/>
          <w:sz w:val="24"/>
          <w:szCs w:val="24"/>
        </w:rPr>
      </w:pPr>
      <w:r w:rsidRPr="006A44A9">
        <w:rPr>
          <w:rFonts w:ascii="Times New Roman" w:hAnsi="Times New Roman"/>
          <w:sz w:val="24"/>
          <w:szCs w:val="24"/>
        </w:rPr>
        <w:t xml:space="preserve">But therein lies the problem: Lt. Neal did not request a new exam. Nor is that the relief the trial court granted. Instead, Lt. Neal requested—and the trial court ordered—that he be promoted to captain. R.C. 124.45 thus fails to support the relief ordered by the trial court, which explains Lt. Neal’s avoidance of that provision. </w:t>
      </w:r>
    </w:p>
    <w:p w14:paraId="7F0306DD" w14:textId="77777777" w:rsidR="0077274E" w:rsidRDefault="0077274E" w:rsidP="0077274E">
      <w:pPr>
        <w:ind w:left="720"/>
        <w:rPr>
          <w:rFonts w:ascii="Times New Roman" w:hAnsi="Times New Roman"/>
          <w:sz w:val="24"/>
          <w:szCs w:val="24"/>
        </w:rPr>
      </w:pPr>
      <w:r w:rsidRPr="006A44A9">
        <w:rPr>
          <w:rFonts w:ascii="Times New Roman" w:hAnsi="Times New Roman"/>
          <w:sz w:val="24"/>
          <w:szCs w:val="24"/>
        </w:rPr>
        <w:t>It also is worth pausing for a moment to further illustrate the disconnect between a</w:t>
      </w:r>
      <w:r>
        <w:rPr>
          <w:rFonts w:ascii="Times New Roman" w:hAnsi="Times New Roman"/>
          <w:sz w:val="24"/>
          <w:szCs w:val="24"/>
        </w:rPr>
        <w:t xml:space="preserve"> </w:t>
      </w:r>
      <w:r w:rsidRPr="006A44A9">
        <w:rPr>
          <w:rFonts w:ascii="Times New Roman" w:hAnsi="Times New Roman"/>
          <w:sz w:val="24"/>
          <w:szCs w:val="24"/>
        </w:rPr>
        <w:t>flawed testing environment and awarding Lt.</w:t>
      </w:r>
      <w:r>
        <w:rPr>
          <w:rFonts w:ascii="Times New Roman" w:hAnsi="Times New Roman"/>
          <w:sz w:val="24"/>
          <w:szCs w:val="24"/>
        </w:rPr>
        <w:t xml:space="preserve"> </w:t>
      </w:r>
      <w:r w:rsidRPr="006A44A9">
        <w:rPr>
          <w:rFonts w:ascii="Times New Roman" w:hAnsi="Times New Roman"/>
          <w:sz w:val="24"/>
          <w:szCs w:val="24"/>
        </w:rPr>
        <w:t>Neal the promotion. Given Lt. Neal’s</w:t>
      </w:r>
      <w:r>
        <w:rPr>
          <w:rFonts w:ascii="Times New Roman" w:hAnsi="Times New Roman"/>
          <w:sz w:val="24"/>
          <w:szCs w:val="24"/>
        </w:rPr>
        <w:t xml:space="preserve"> </w:t>
      </w:r>
      <w:r w:rsidRPr="006A44A9">
        <w:rPr>
          <w:rFonts w:ascii="Times New Roman" w:hAnsi="Times New Roman"/>
          <w:sz w:val="24"/>
          <w:szCs w:val="24"/>
        </w:rPr>
        <w:t>scores during the untainted portions</w:t>
      </w:r>
      <w:r>
        <w:rPr>
          <w:rFonts w:ascii="Times New Roman" w:hAnsi="Times New Roman"/>
          <w:sz w:val="24"/>
          <w:szCs w:val="24"/>
        </w:rPr>
        <w:t xml:space="preserve"> </w:t>
      </w:r>
      <w:r w:rsidRPr="006A44A9">
        <w:rPr>
          <w:rFonts w:ascii="Times New Roman" w:hAnsi="Times New Roman"/>
          <w:sz w:val="24"/>
          <w:szCs w:val="24"/>
        </w:rPr>
        <w:t>of the test, they suggest that he would not have qualified for promotion even under an ideal testing environment.</w:t>
      </w:r>
      <w:r>
        <w:rPr>
          <w:rFonts w:ascii="Times New Roman" w:hAnsi="Times New Roman"/>
          <w:sz w:val="24"/>
          <w:szCs w:val="24"/>
        </w:rPr>
        <w:t xml:space="preserve">” </w:t>
      </w:r>
      <w:hyperlink r:id="rId1201" w:history="1">
        <w:r w:rsidRPr="0041276B">
          <w:rPr>
            <w:rStyle w:val="Hyperlink"/>
            <w:rFonts w:ascii="Times New Roman" w:hAnsi="Times New Roman"/>
            <w:sz w:val="24"/>
            <w:szCs w:val="24"/>
          </w:rPr>
          <w:t>https://www.hamiltoncountyohio.gov/UserFiles/Servers/Server_3788196/File/releases/2021/C-200202_04142021.pdf</w:t>
        </w:r>
      </w:hyperlink>
    </w:p>
    <w:p w14:paraId="07465937" w14:textId="77777777" w:rsidR="0077274E" w:rsidRDefault="0077274E" w:rsidP="0077274E">
      <w:pPr>
        <w:rPr>
          <w:rFonts w:ascii="Times New Roman" w:hAnsi="Times New Roman"/>
          <w:b/>
          <w:bCs/>
          <w:sz w:val="24"/>
          <w:szCs w:val="24"/>
        </w:rPr>
      </w:pPr>
      <w:r w:rsidRPr="00E15ABE">
        <w:rPr>
          <w:rFonts w:ascii="Times New Roman" w:hAnsi="Times New Roman"/>
          <w:b/>
          <w:bCs/>
          <w:sz w:val="24"/>
          <w:szCs w:val="24"/>
        </w:rPr>
        <w:t>Legal Lesson Learned:</w:t>
      </w:r>
      <w:r>
        <w:rPr>
          <w:rFonts w:ascii="Times New Roman" w:hAnsi="Times New Roman"/>
          <w:b/>
          <w:bCs/>
          <w:sz w:val="24"/>
          <w:szCs w:val="24"/>
        </w:rPr>
        <w:t xml:space="preserve"> These examiners should be reprimanded and removed from further promotion boards. </w:t>
      </w:r>
    </w:p>
    <w:p w14:paraId="30D94316" w14:textId="77777777" w:rsidR="0077274E" w:rsidRDefault="0077274E" w:rsidP="0077274E">
      <w:pPr>
        <w:ind w:left="720"/>
        <w:rPr>
          <w:rFonts w:ascii="Times New Roman" w:hAnsi="Times New Roman"/>
          <w:sz w:val="24"/>
          <w:szCs w:val="24"/>
        </w:rPr>
      </w:pPr>
      <w:r w:rsidRPr="00E15ABE">
        <w:rPr>
          <w:rFonts w:ascii="Times New Roman" w:hAnsi="Times New Roman"/>
          <w:sz w:val="24"/>
          <w:szCs w:val="24"/>
        </w:rPr>
        <w:t>Note:</w:t>
      </w:r>
      <w:r>
        <w:rPr>
          <w:rFonts w:ascii="Times New Roman" w:hAnsi="Times New Roman"/>
          <w:b/>
          <w:bCs/>
          <w:sz w:val="24"/>
          <w:szCs w:val="24"/>
        </w:rPr>
        <w:t xml:space="preserve"> </w:t>
      </w:r>
      <w:r>
        <w:rPr>
          <w:rFonts w:ascii="Times New Roman" w:hAnsi="Times New Roman"/>
          <w:sz w:val="24"/>
          <w:szCs w:val="24"/>
        </w:rPr>
        <w:t xml:space="preserve">In the </w:t>
      </w:r>
      <w:r w:rsidRPr="00DD3AC9">
        <w:rPr>
          <w:rFonts w:ascii="Times New Roman" w:hAnsi="Times New Roman"/>
          <w:sz w:val="24"/>
          <w:szCs w:val="24"/>
          <w:u w:val="single"/>
        </w:rPr>
        <w:t>Lanter</w:t>
      </w:r>
      <w:r>
        <w:rPr>
          <w:rFonts w:ascii="Times New Roman" w:hAnsi="Times New Roman"/>
          <w:sz w:val="24"/>
          <w:szCs w:val="24"/>
        </w:rPr>
        <w:t xml:space="preserve"> case referenced by the Court, </w:t>
      </w:r>
      <w:r w:rsidRPr="00DD3AC9">
        <w:rPr>
          <w:rFonts w:ascii="Times New Roman" w:hAnsi="Times New Roman"/>
          <w:sz w:val="24"/>
          <w:szCs w:val="24"/>
          <w:u w:val="single"/>
        </w:rPr>
        <w:t>State of Ohio, Ex Re. Timothy Lanter v. City of Cincinnati</w:t>
      </w:r>
      <w:r>
        <w:rPr>
          <w:rFonts w:ascii="Times New Roman" w:hAnsi="Times New Roman"/>
          <w:sz w:val="24"/>
          <w:szCs w:val="24"/>
        </w:rPr>
        <w:t xml:space="preserve"> (Oct. 21, 2020) concerned a mandamus action filed by Cincinnati Police Sergeant Timothy Lanter; where the Ohio Court of Appeals reversed a trial judge who had granted relief to the Sergeant. </w:t>
      </w:r>
    </w:p>
    <w:p w14:paraId="19EF6E00" w14:textId="77777777" w:rsidR="0077274E" w:rsidRDefault="0077274E" w:rsidP="0077274E">
      <w:pPr>
        <w:ind w:left="1440"/>
        <w:rPr>
          <w:rFonts w:ascii="Times New Roman" w:hAnsi="Times New Roman"/>
          <w:sz w:val="24"/>
          <w:szCs w:val="24"/>
        </w:rPr>
      </w:pPr>
      <w:r>
        <w:rPr>
          <w:rFonts w:ascii="Times New Roman" w:hAnsi="Times New Roman"/>
          <w:sz w:val="24"/>
          <w:szCs w:val="24"/>
        </w:rPr>
        <w:t>“</w:t>
      </w:r>
      <w:r w:rsidRPr="00DD3AC9">
        <w:rPr>
          <w:rFonts w:ascii="Times New Roman" w:hAnsi="Times New Roman"/>
          <w:sz w:val="24"/>
          <w:szCs w:val="24"/>
        </w:rPr>
        <w:t xml:space="preserve">This dispute arises over an episode allegedly colored by racist overtones. Daryl Spivey, an </w:t>
      </w:r>
      <w:proofErr w:type="gramStart"/>
      <w:r w:rsidRPr="00DD3AC9">
        <w:rPr>
          <w:rFonts w:ascii="Times New Roman" w:hAnsi="Times New Roman"/>
          <w:sz w:val="24"/>
          <w:szCs w:val="24"/>
        </w:rPr>
        <w:t>African-American</w:t>
      </w:r>
      <w:proofErr w:type="gramEnd"/>
      <w:r w:rsidRPr="00DD3AC9">
        <w:rPr>
          <w:rFonts w:ascii="Times New Roman" w:hAnsi="Times New Roman"/>
          <w:sz w:val="24"/>
          <w:szCs w:val="24"/>
        </w:rPr>
        <w:t xml:space="preserve">, worked as a security guard at a building where the elevators cannot be accessed without entering a security code. Needing to use those elevators, Sergeant Lanter approached Mr. Spivey and asked him to enter the security code. Mr. Spivey complied, but he alleges that Sergeant Lanter responded with: </w:t>
      </w:r>
      <w:r>
        <w:rPr>
          <w:rFonts w:ascii="Times New Roman" w:hAnsi="Times New Roman"/>
          <w:sz w:val="24"/>
          <w:szCs w:val="24"/>
        </w:rPr>
        <w:t>‘</w:t>
      </w:r>
      <w:r w:rsidRPr="00DD3AC9">
        <w:rPr>
          <w:rFonts w:ascii="Times New Roman" w:hAnsi="Times New Roman"/>
          <w:sz w:val="24"/>
          <w:szCs w:val="24"/>
        </w:rPr>
        <w:t>Thanks, boy, I appreciate it.</w:t>
      </w:r>
      <w:r>
        <w:rPr>
          <w:rFonts w:ascii="Times New Roman" w:hAnsi="Times New Roman"/>
          <w:sz w:val="24"/>
          <w:szCs w:val="24"/>
        </w:rPr>
        <w:t>’</w:t>
      </w:r>
      <w:r w:rsidRPr="00DD3AC9">
        <w:rPr>
          <w:rFonts w:ascii="Times New Roman" w:hAnsi="Times New Roman"/>
          <w:sz w:val="24"/>
          <w:szCs w:val="24"/>
        </w:rPr>
        <w:t xml:space="preserve"> Mr. Spivey immediately complained to his supervisor and filed a discrimination complaint with the CCA</w:t>
      </w:r>
      <w:r>
        <w:rPr>
          <w:rFonts w:ascii="Times New Roman" w:hAnsi="Times New Roman"/>
          <w:sz w:val="24"/>
          <w:szCs w:val="24"/>
        </w:rPr>
        <w:t>.</w:t>
      </w:r>
    </w:p>
    <w:p w14:paraId="115BA2A9" w14:textId="77777777" w:rsidR="0077274E" w:rsidRDefault="0077274E" w:rsidP="0077274E">
      <w:pPr>
        <w:ind w:left="1440"/>
        <w:rPr>
          <w:rFonts w:ascii="Times New Roman" w:hAnsi="Times New Roman"/>
          <w:sz w:val="24"/>
          <w:szCs w:val="24"/>
        </w:rPr>
      </w:pPr>
      <w:r>
        <w:rPr>
          <w:rFonts w:ascii="Times New Roman" w:hAnsi="Times New Roman"/>
          <w:sz w:val="24"/>
          <w:szCs w:val="24"/>
        </w:rPr>
        <w:t>***</w:t>
      </w:r>
    </w:p>
    <w:p w14:paraId="037BEAC4" w14:textId="77777777" w:rsidR="0077274E" w:rsidRPr="00B61592" w:rsidRDefault="0077274E" w:rsidP="0077274E">
      <w:pPr>
        <w:ind w:left="1440"/>
        <w:rPr>
          <w:rFonts w:ascii="Times New Roman" w:hAnsi="Times New Roman"/>
          <w:sz w:val="24"/>
          <w:szCs w:val="24"/>
        </w:rPr>
      </w:pPr>
      <w:r w:rsidRPr="00B61592">
        <w:rPr>
          <w:rFonts w:ascii="Times New Roman" w:hAnsi="Times New Roman"/>
          <w:sz w:val="24"/>
          <w:szCs w:val="24"/>
        </w:rPr>
        <w:t>The</w:t>
      </w:r>
      <w:r>
        <w:rPr>
          <w:rFonts w:ascii="Times New Roman" w:hAnsi="Times New Roman"/>
          <w:sz w:val="24"/>
          <w:szCs w:val="24"/>
        </w:rPr>
        <w:t xml:space="preserve"> [trial judge in the Hamilton County Court of Common Pleas]</w:t>
      </w:r>
      <w:r w:rsidRPr="00B61592">
        <w:rPr>
          <w:rFonts w:ascii="Times New Roman" w:hAnsi="Times New Roman"/>
          <w:sz w:val="24"/>
          <w:szCs w:val="24"/>
        </w:rPr>
        <w:t xml:space="preserve"> overturned the CCA’s report in the administrative review, determining that the CCA’s findings were not supported by a preponderance of substantial evidence, in part pointing to the conflicting stories of Mr. </w:t>
      </w:r>
      <w:proofErr w:type="spellStart"/>
      <w:r w:rsidRPr="00B61592">
        <w:rPr>
          <w:rFonts w:ascii="Times New Roman" w:hAnsi="Times New Roman"/>
          <w:sz w:val="24"/>
          <w:szCs w:val="24"/>
        </w:rPr>
        <w:t>Vandehatert</w:t>
      </w:r>
      <w:proofErr w:type="spellEnd"/>
      <w:r w:rsidRPr="00B61592">
        <w:rPr>
          <w:rFonts w:ascii="Times New Roman" w:hAnsi="Times New Roman"/>
          <w:sz w:val="24"/>
          <w:szCs w:val="24"/>
        </w:rPr>
        <w:t xml:space="preserve">. But the court dismissed Sergeant Lanter’s mandamus petition because the administrative appeal provided an adequate remedy at law. The City </w:t>
      </w:r>
      <w:proofErr w:type="gramStart"/>
      <w:r w:rsidRPr="00B61592">
        <w:rPr>
          <w:rFonts w:ascii="Times New Roman" w:hAnsi="Times New Roman"/>
          <w:sz w:val="24"/>
          <w:szCs w:val="24"/>
        </w:rPr>
        <w:t>appealed</w:t>
      </w:r>
      <w:proofErr w:type="gramEnd"/>
      <w:r w:rsidRPr="00B61592">
        <w:rPr>
          <w:rFonts w:ascii="Times New Roman" w:hAnsi="Times New Roman"/>
          <w:sz w:val="24"/>
          <w:szCs w:val="24"/>
        </w:rPr>
        <w:t xml:space="preserve"> the trial court’s review of the CCA’s report, prompting Sergeant Lanter to cross-appeal the dismissal of the mandamus petition.</w:t>
      </w:r>
    </w:p>
    <w:p w14:paraId="43EA0B9D" w14:textId="77777777" w:rsidR="0077274E" w:rsidRDefault="0077274E" w:rsidP="0077274E">
      <w:pPr>
        <w:ind w:left="1440"/>
        <w:rPr>
          <w:rFonts w:ascii="Times New Roman" w:hAnsi="Times New Roman"/>
          <w:sz w:val="24"/>
          <w:szCs w:val="24"/>
        </w:rPr>
      </w:pPr>
      <w:r>
        <w:rPr>
          <w:rFonts w:ascii="Times New Roman" w:hAnsi="Times New Roman"/>
          <w:sz w:val="24"/>
          <w:szCs w:val="24"/>
        </w:rPr>
        <w:t>***</w:t>
      </w:r>
    </w:p>
    <w:p w14:paraId="04CC5889" w14:textId="77777777" w:rsidR="0077274E" w:rsidRDefault="0077274E" w:rsidP="0077274E">
      <w:pPr>
        <w:ind w:left="1440"/>
        <w:rPr>
          <w:rFonts w:ascii="Times New Roman" w:hAnsi="Times New Roman"/>
          <w:sz w:val="24"/>
          <w:szCs w:val="24"/>
        </w:rPr>
      </w:pPr>
      <w:r>
        <w:rPr>
          <w:rFonts w:ascii="Times New Roman" w:hAnsi="Times New Roman"/>
          <w:sz w:val="24"/>
          <w:szCs w:val="24"/>
        </w:rPr>
        <w:t xml:space="preserve">[The Ohio Court of Appeals] ruled: </w:t>
      </w:r>
    </w:p>
    <w:p w14:paraId="2E6D32B9" w14:textId="77777777" w:rsidR="0077274E" w:rsidRPr="00E15ABE" w:rsidRDefault="0077274E" w:rsidP="0077274E">
      <w:pPr>
        <w:ind w:left="1440"/>
        <w:rPr>
          <w:rFonts w:ascii="Times New Roman" w:hAnsi="Times New Roman"/>
          <w:b/>
          <w:bCs/>
          <w:sz w:val="24"/>
          <w:szCs w:val="24"/>
        </w:rPr>
      </w:pPr>
      <w:r w:rsidRPr="00E15ABE">
        <w:rPr>
          <w:rFonts w:ascii="Times New Roman" w:hAnsi="Times New Roman"/>
          <w:sz w:val="24"/>
          <w:szCs w:val="24"/>
        </w:rPr>
        <w:t xml:space="preserve">The city of Cincinnati created the Citizen Complaint Authority (CCA) as part of a settlement agreement to a federal lawsuit alleging racial discrimination within the Cincinnati Police Department. The purpose of the CCA is to provide independent review, reporting, and </w:t>
      </w:r>
      <w:r w:rsidRPr="00E15ABE">
        <w:rPr>
          <w:rFonts w:ascii="Times New Roman" w:hAnsi="Times New Roman"/>
          <w:sz w:val="24"/>
          <w:szCs w:val="24"/>
        </w:rPr>
        <w:lastRenderedPageBreak/>
        <w:t xml:space="preserve">recommendations concerning citizen complaints about police conduct. After the CCA sustained a charge of discrimination against Cincinnati police sergeant Timothy Lanter, the police department investigated the matter anew and rejected the CCA’s conclusions, which meant that Sergeant Lanter suffered no adverse employment consequences. Nevertheless, he initiated this litigation seeking to overturn the CCA’s recommendation, and the trial court obliged. We conclude, however, that the trial court lacked subject matter jurisdiction because the matter before the CCA cannot qualify as a </w:t>
      </w:r>
      <w:r>
        <w:rPr>
          <w:rFonts w:ascii="Times New Roman" w:hAnsi="Times New Roman"/>
          <w:sz w:val="24"/>
          <w:szCs w:val="24"/>
        </w:rPr>
        <w:t>‘</w:t>
      </w:r>
      <w:r w:rsidRPr="00E15ABE">
        <w:rPr>
          <w:rFonts w:ascii="Times New Roman" w:hAnsi="Times New Roman"/>
          <w:sz w:val="24"/>
          <w:szCs w:val="24"/>
        </w:rPr>
        <w:t>quasi-judicial</w:t>
      </w:r>
      <w:r>
        <w:rPr>
          <w:rFonts w:ascii="Times New Roman" w:hAnsi="Times New Roman"/>
          <w:sz w:val="24"/>
          <w:szCs w:val="24"/>
        </w:rPr>
        <w:t>’</w:t>
      </w:r>
      <w:r w:rsidRPr="00E15ABE">
        <w:rPr>
          <w:rFonts w:ascii="Times New Roman" w:hAnsi="Times New Roman"/>
          <w:sz w:val="24"/>
          <w:szCs w:val="24"/>
        </w:rPr>
        <w:t xml:space="preserve"> proceeding capable of review by a common pleas court.</w:t>
      </w:r>
      <w:r>
        <w:rPr>
          <w:rFonts w:ascii="Times New Roman" w:hAnsi="Times New Roman"/>
          <w:sz w:val="24"/>
          <w:szCs w:val="24"/>
        </w:rPr>
        <w:t xml:space="preserve">” </w:t>
      </w:r>
      <w:hyperlink r:id="rId1202" w:history="1">
        <w:r w:rsidRPr="0041276B">
          <w:rPr>
            <w:rStyle w:val="Hyperlink"/>
            <w:rFonts w:ascii="Times New Roman" w:hAnsi="Times New Roman"/>
            <w:sz w:val="24"/>
            <w:szCs w:val="24"/>
          </w:rPr>
          <w:t>https://law.justia.com/cases/ohio/first-district-court-of-appeals/2020/c-190708.html</w:t>
        </w:r>
      </w:hyperlink>
      <w:r>
        <w:rPr>
          <w:sz w:val="21"/>
          <w:szCs w:val="21"/>
        </w:rPr>
        <w:t xml:space="preserve"> </w:t>
      </w:r>
      <w:r>
        <w:rPr>
          <w:rFonts w:ascii="Times New Roman" w:hAnsi="Times New Roman"/>
          <w:b/>
          <w:bCs/>
          <w:sz w:val="24"/>
          <w:szCs w:val="24"/>
        </w:rPr>
        <w:t xml:space="preserve"> </w:t>
      </w:r>
    </w:p>
    <w:p w14:paraId="2A749BB0" w14:textId="77777777" w:rsidR="0077274E" w:rsidRDefault="0077274E" w:rsidP="00EF1133">
      <w:pPr>
        <w:rPr>
          <w:rFonts w:ascii="Arial Black" w:hAnsi="Arial Black"/>
          <w:b/>
          <w:sz w:val="24"/>
          <w:szCs w:val="24"/>
        </w:rPr>
      </w:pPr>
    </w:p>
    <w:p w14:paraId="7F50840F" w14:textId="77777777" w:rsidR="0077274E" w:rsidRDefault="0077274E" w:rsidP="00EF1133">
      <w:pPr>
        <w:rPr>
          <w:rFonts w:ascii="Arial Black" w:hAnsi="Arial Black"/>
          <w:b/>
          <w:sz w:val="24"/>
          <w:szCs w:val="24"/>
        </w:rPr>
      </w:pPr>
    </w:p>
    <w:p w14:paraId="14CF9559" w14:textId="77777777" w:rsidR="0077274E" w:rsidRDefault="0077274E" w:rsidP="00EF1133">
      <w:pPr>
        <w:rPr>
          <w:rFonts w:ascii="Arial Black" w:hAnsi="Arial Black"/>
          <w:b/>
          <w:sz w:val="24"/>
          <w:szCs w:val="24"/>
        </w:rPr>
      </w:pPr>
    </w:p>
    <w:p w14:paraId="41248A67" w14:textId="768BB41E" w:rsidR="0077274E" w:rsidRDefault="0077274E" w:rsidP="00EF1133">
      <w:pPr>
        <w:rPr>
          <w:rFonts w:ascii="Arial Black" w:hAnsi="Arial Black"/>
          <w:b/>
          <w:sz w:val="24"/>
          <w:szCs w:val="24"/>
        </w:rPr>
      </w:pPr>
      <w:r>
        <w:rPr>
          <w:rFonts w:ascii="Arial Black" w:hAnsi="Arial Black"/>
          <w:b/>
          <w:sz w:val="24"/>
          <w:szCs w:val="24"/>
        </w:rPr>
        <w:t>6-7</w:t>
      </w:r>
      <w:r w:rsidR="00FF7C63">
        <w:rPr>
          <w:rFonts w:ascii="Arial Black" w:hAnsi="Arial Black"/>
          <w:b/>
          <w:sz w:val="24"/>
          <w:szCs w:val="24"/>
        </w:rPr>
        <w:t>0</w:t>
      </w:r>
    </w:p>
    <w:p w14:paraId="5BC67768" w14:textId="77777777" w:rsidR="0077274E" w:rsidRPr="00FB1BAB" w:rsidRDefault="0077274E" w:rsidP="0077274E">
      <w:pPr>
        <w:pStyle w:val="Heading1"/>
        <w:rPr>
          <w:rFonts w:ascii="Arial Black" w:hAnsi="Arial Black"/>
          <w:sz w:val="28"/>
          <w:szCs w:val="28"/>
        </w:rPr>
      </w:pPr>
      <w:r>
        <w:rPr>
          <w:rFonts w:ascii="Arial Black" w:hAnsi="Arial Black"/>
          <w:sz w:val="28"/>
          <w:szCs w:val="28"/>
        </w:rPr>
        <w:t xml:space="preserve">MO: CARDIAC ARREST AT FORD MOTOR – COMPANY EMER. RESP. TEAM INADEQUATE - WORK COMP. ONLY REMEDY </w:t>
      </w:r>
    </w:p>
    <w:p w14:paraId="67DFADEA" w14:textId="77777777" w:rsidR="0077274E" w:rsidRDefault="0077274E" w:rsidP="0077274E">
      <w:pPr>
        <w:spacing w:before="100" w:beforeAutospacing="1" w:after="100" w:afterAutospacing="1" w:line="240" w:lineRule="auto"/>
        <w:rPr>
          <w:rFonts w:ascii="Times New Roman" w:hAnsi="Times New Roman"/>
          <w:sz w:val="24"/>
          <w:szCs w:val="24"/>
        </w:rPr>
      </w:pPr>
      <w:r w:rsidRPr="00FB1BAB">
        <w:rPr>
          <w:rFonts w:ascii="Times New Roman" w:hAnsi="Times New Roman"/>
          <w:sz w:val="24"/>
          <w:szCs w:val="24"/>
        </w:rPr>
        <w:t xml:space="preserve">On April 13, 2021, in </w:t>
      </w:r>
      <w:r w:rsidRPr="00FB1BAB">
        <w:rPr>
          <w:rFonts w:ascii="Times New Roman" w:hAnsi="Times New Roman"/>
          <w:sz w:val="24"/>
          <w:szCs w:val="24"/>
          <w:u w:val="single"/>
        </w:rPr>
        <w:t xml:space="preserve">Nancy J. </w:t>
      </w:r>
      <w:proofErr w:type="spellStart"/>
      <w:r w:rsidRPr="00FB1BAB">
        <w:rPr>
          <w:rFonts w:ascii="Times New Roman" w:hAnsi="Times New Roman"/>
          <w:sz w:val="24"/>
          <w:szCs w:val="24"/>
          <w:u w:val="single"/>
        </w:rPr>
        <w:t>Ducoulombier</w:t>
      </w:r>
      <w:proofErr w:type="spellEnd"/>
      <w:r w:rsidRPr="00FB1BAB">
        <w:rPr>
          <w:rFonts w:ascii="Times New Roman" w:hAnsi="Times New Roman"/>
          <w:sz w:val="24"/>
          <w:szCs w:val="24"/>
          <w:u w:val="single"/>
        </w:rPr>
        <w:t xml:space="preserve"> v. Ford Motor Company</w:t>
      </w:r>
      <w:r w:rsidRPr="00FB1BAB">
        <w:rPr>
          <w:rFonts w:ascii="Times New Roman" w:hAnsi="Times New Roman"/>
          <w:sz w:val="24"/>
          <w:szCs w:val="24"/>
        </w:rPr>
        <w:t xml:space="preserve">, </w:t>
      </w:r>
      <w:r>
        <w:rPr>
          <w:rFonts w:ascii="Times New Roman" w:hAnsi="Times New Roman"/>
          <w:sz w:val="24"/>
          <w:szCs w:val="24"/>
        </w:rPr>
        <w:t xml:space="preserve">the Missouri Court of Appeal (Western District) held (3 to 0) that the trial court properly granted Ford Motor Company’s motion for summary judgment.  The wife’s sole remedy is Worker’s Compensation, not a jury trial seeking damages, even if the Ford Company’s Emergency Response Team members were slow in calling 911, or slow in moving the patient to a location where responding EMS could </w:t>
      </w:r>
      <w:proofErr w:type="gramStart"/>
      <w:r>
        <w:rPr>
          <w:rFonts w:ascii="Times New Roman" w:hAnsi="Times New Roman"/>
          <w:sz w:val="24"/>
          <w:szCs w:val="24"/>
        </w:rPr>
        <w:t>being</w:t>
      </w:r>
      <w:proofErr w:type="gramEnd"/>
      <w:r>
        <w:rPr>
          <w:rFonts w:ascii="Times New Roman" w:hAnsi="Times New Roman"/>
          <w:sz w:val="24"/>
          <w:szCs w:val="24"/>
        </w:rPr>
        <w:t xml:space="preserve"> treatment.  </w:t>
      </w:r>
    </w:p>
    <w:p w14:paraId="0B1FE1BF" w14:textId="77777777" w:rsidR="0077274E" w:rsidRDefault="0077274E" w:rsidP="0077274E">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r w:rsidRPr="00123691">
        <w:rPr>
          <w:rFonts w:ascii="Times New Roman" w:hAnsi="Times New Roman"/>
          <w:sz w:val="24"/>
          <w:szCs w:val="24"/>
        </w:rPr>
        <w:t xml:space="preserve">Appellant's petition alleges that Ford's negligence caused Mr. </w:t>
      </w:r>
      <w:proofErr w:type="spellStart"/>
      <w:r w:rsidRPr="00123691">
        <w:rPr>
          <w:rFonts w:ascii="Times New Roman" w:hAnsi="Times New Roman"/>
          <w:sz w:val="24"/>
          <w:szCs w:val="24"/>
        </w:rPr>
        <w:t>Ducoulombier's</w:t>
      </w:r>
      <w:proofErr w:type="spellEnd"/>
      <w:r w:rsidRPr="00123691">
        <w:rPr>
          <w:rFonts w:ascii="Times New Roman" w:hAnsi="Times New Roman"/>
          <w:sz w:val="24"/>
          <w:szCs w:val="24"/>
        </w:rPr>
        <w:t xml:space="preserve"> death. More specifically, it alleges that Ford failed to have properly trained responders for Mr. </w:t>
      </w:r>
      <w:proofErr w:type="spellStart"/>
      <w:r w:rsidRPr="00123691">
        <w:rPr>
          <w:rFonts w:ascii="Times New Roman" w:hAnsi="Times New Roman"/>
          <w:sz w:val="24"/>
          <w:szCs w:val="24"/>
        </w:rPr>
        <w:t>Ducoulombier's</w:t>
      </w:r>
      <w:proofErr w:type="spellEnd"/>
      <w:r w:rsidRPr="00123691">
        <w:rPr>
          <w:rFonts w:ascii="Times New Roman" w:hAnsi="Times New Roman"/>
          <w:sz w:val="24"/>
          <w:szCs w:val="24"/>
        </w:rPr>
        <w:t xml:space="preserve"> on-site medical emergency, failed to ensure that the employees who administered CPR to Mr. </w:t>
      </w:r>
      <w:proofErr w:type="spellStart"/>
      <w:r w:rsidRPr="00123691">
        <w:rPr>
          <w:rFonts w:ascii="Times New Roman" w:hAnsi="Times New Roman"/>
          <w:sz w:val="24"/>
          <w:szCs w:val="24"/>
        </w:rPr>
        <w:t>Ducoulombier</w:t>
      </w:r>
      <w:proofErr w:type="spellEnd"/>
      <w:r w:rsidRPr="00123691">
        <w:rPr>
          <w:rFonts w:ascii="Times New Roman" w:hAnsi="Times New Roman"/>
          <w:sz w:val="24"/>
          <w:szCs w:val="24"/>
        </w:rPr>
        <w:t xml:space="preserve"> were properly trained, failed to equip its employees and Emergency Response Team members with proper equipment and devices to be used in Mr. </w:t>
      </w:r>
      <w:proofErr w:type="spellStart"/>
      <w:r w:rsidRPr="00123691">
        <w:rPr>
          <w:rFonts w:ascii="Times New Roman" w:hAnsi="Times New Roman"/>
          <w:sz w:val="24"/>
          <w:szCs w:val="24"/>
        </w:rPr>
        <w:t>Ducoulombier's</w:t>
      </w:r>
      <w:proofErr w:type="spellEnd"/>
      <w:r w:rsidRPr="00123691">
        <w:rPr>
          <w:rFonts w:ascii="Times New Roman" w:hAnsi="Times New Roman"/>
          <w:sz w:val="24"/>
          <w:szCs w:val="24"/>
        </w:rPr>
        <w:t xml:space="preserve"> cardiac life support, and failed to plan for interfacing with community EMS responders for on-site emergencies thereby hindering EMS responders in reaching Mr. </w:t>
      </w:r>
      <w:proofErr w:type="spellStart"/>
      <w:r w:rsidRPr="00123691">
        <w:rPr>
          <w:rFonts w:ascii="Times New Roman" w:hAnsi="Times New Roman"/>
          <w:sz w:val="24"/>
          <w:szCs w:val="24"/>
        </w:rPr>
        <w:t>Ducoulombier</w:t>
      </w:r>
      <w:proofErr w:type="spellEnd"/>
      <w:r w:rsidRPr="00123691">
        <w:rPr>
          <w:rFonts w:ascii="Times New Roman" w:hAnsi="Times New Roman"/>
          <w:sz w:val="24"/>
          <w:szCs w:val="24"/>
        </w:rPr>
        <w:t xml:space="preserve">. </w:t>
      </w:r>
      <w:proofErr w:type="gramStart"/>
      <w:r w:rsidRPr="00123691">
        <w:rPr>
          <w:rFonts w:ascii="Times New Roman" w:hAnsi="Times New Roman"/>
          <w:sz w:val="24"/>
          <w:szCs w:val="24"/>
        </w:rPr>
        <w:t>Further, that</w:t>
      </w:r>
      <w:proofErr w:type="gramEnd"/>
      <w:r w:rsidRPr="00123691">
        <w:rPr>
          <w:rFonts w:ascii="Times New Roman" w:hAnsi="Times New Roman"/>
          <w:sz w:val="24"/>
          <w:szCs w:val="24"/>
        </w:rPr>
        <w:t xml:space="preserve"> Ford did not provide enough Emergency Response Team members within various areas of the plant </w:t>
      </w:r>
      <w:proofErr w:type="gramStart"/>
      <w:r w:rsidRPr="00123691">
        <w:rPr>
          <w:rFonts w:ascii="Times New Roman" w:hAnsi="Times New Roman"/>
          <w:sz w:val="24"/>
          <w:szCs w:val="24"/>
        </w:rPr>
        <w:t>so as to</w:t>
      </w:r>
      <w:proofErr w:type="gramEnd"/>
      <w:r w:rsidRPr="00123691">
        <w:rPr>
          <w:rFonts w:ascii="Times New Roman" w:hAnsi="Times New Roman"/>
          <w:sz w:val="24"/>
          <w:szCs w:val="24"/>
        </w:rPr>
        <w:t xml:space="preserve"> properly respond to </w:t>
      </w:r>
      <w:proofErr w:type="gramStart"/>
      <w:r w:rsidRPr="00123691">
        <w:rPr>
          <w:rFonts w:ascii="Times New Roman" w:hAnsi="Times New Roman"/>
          <w:sz w:val="24"/>
          <w:szCs w:val="24"/>
        </w:rPr>
        <w:t xml:space="preserve">Mr. </w:t>
      </w:r>
      <w:proofErr w:type="spellStart"/>
      <w:r w:rsidRPr="00123691">
        <w:rPr>
          <w:rFonts w:ascii="Times New Roman" w:hAnsi="Times New Roman"/>
          <w:sz w:val="24"/>
          <w:szCs w:val="24"/>
        </w:rPr>
        <w:t>Ducoulombier</w:t>
      </w:r>
      <w:proofErr w:type="spellEnd"/>
      <w:r w:rsidRPr="00123691">
        <w:rPr>
          <w:rFonts w:ascii="Times New Roman" w:hAnsi="Times New Roman"/>
          <w:sz w:val="24"/>
          <w:szCs w:val="24"/>
        </w:rPr>
        <w:t>, and</w:t>
      </w:r>
      <w:proofErr w:type="gramEnd"/>
      <w:r w:rsidRPr="00123691">
        <w:rPr>
          <w:rFonts w:ascii="Times New Roman" w:hAnsi="Times New Roman"/>
          <w:sz w:val="24"/>
          <w:szCs w:val="24"/>
        </w:rPr>
        <w:t xml:space="preserve"> did not provide the Emergency Response Team members it had with appropriate vehicles to transport Mr. </w:t>
      </w:r>
      <w:proofErr w:type="spellStart"/>
      <w:r w:rsidRPr="00123691">
        <w:rPr>
          <w:rFonts w:ascii="Times New Roman" w:hAnsi="Times New Roman"/>
          <w:sz w:val="24"/>
          <w:szCs w:val="24"/>
        </w:rPr>
        <w:t>Ducoulombier</w:t>
      </w:r>
      <w:proofErr w:type="spellEnd"/>
      <w:r w:rsidRPr="00123691">
        <w:rPr>
          <w:rFonts w:ascii="Times New Roman" w:hAnsi="Times New Roman"/>
          <w:sz w:val="24"/>
          <w:szCs w:val="24"/>
        </w:rPr>
        <w:t xml:space="preserve"> to a rendezvous point. </w:t>
      </w:r>
      <w:proofErr w:type="gramStart"/>
      <w:r w:rsidRPr="00123691">
        <w:rPr>
          <w:rFonts w:ascii="Times New Roman" w:hAnsi="Times New Roman"/>
          <w:sz w:val="24"/>
          <w:szCs w:val="24"/>
        </w:rPr>
        <w:t>Finally, that</w:t>
      </w:r>
      <w:proofErr w:type="gramEnd"/>
      <w:r w:rsidRPr="00123691">
        <w:rPr>
          <w:rFonts w:ascii="Times New Roman" w:hAnsi="Times New Roman"/>
          <w:sz w:val="24"/>
          <w:szCs w:val="24"/>
        </w:rPr>
        <w:t xml:space="preserve"> Ford failed to timely notify community EMS responders of Mr. </w:t>
      </w:r>
      <w:proofErr w:type="spellStart"/>
      <w:r w:rsidRPr="00123691">
        <w:rPr>
          <w:rFonts w:ascii="Times New Roman" w:hAnsi="Times New Roman"/>
          <w:sz w:val="24"/>
          <w:szCs w:val="24"/>
        </w:rPr>
        <w:t>Ducoulombier's</w:t>
      </w:r>
      <w:proofErr w:type="spellEnd"/>
      <w:r w:rsidRPr="00123691">
        <w:rPr>
          <w:rFonts w:ascii="Times New Roman" w:hAnsi="Times New Roman"/>
          <w:sz w:val="24"/>
          <w:szCs w:val="24"/>
        </w:rPr>
        <w:t xml:space="preserve"> medical emergency and request their assistance in rendering care.</w:t>
      </w:r>
    </w:p>
    <w:p w14:paraId="612419E7" w14:textId="77777777" w:rsidR="0077274E" w:rsidRPr="00123691" w:rsidRDefault="0077274E" w:rsidP="0077274E">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p>
    <w:p w14:paraId="410291A1" w14:textId="77777777" w:rsidR="0077274E" w:rsidRPr="00FB1BAB" w:rsidRDefault="0077274E" w:rsidP="0077274E">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B</w:t>
      </w:r>
      <w:r w:rsidRPr="00FB1BAB">
        <w:rPr>
          <w:rFonts w:ascii="Times New Roman" w:hAnsi="Times New Roman"/>
          <w:sz w:val="24"/>
          <w:szCs w:val="24"/>
        </w:rPr>
        <w:t xml:space="preserve">ased on the factual allegations set forth in Appellant's pleadings, the same is true here. Mr. </w:t>
      </w:r>
      <w:proofErr w:type="spellStart"/>
      <w:r w:rsidRPr="00FB1BAB">
        <w:rPr>
          <w:rFonts w:ascii="Times New Roman" w:hAnsi="Times New Roman"/>
          <w:sz w:val="24"/>
          <w:szCs w:val="24"/>
        </w:rPr>
        <w:t>Ducoulombier's</w:t>
      </w:r>
      <w:proofErr w:type="spellEnd"/>
      <w:r w:rsidRPr="00FB1BAB">
        <w:rPr>
          <w:rFonts w:ascii="Times New Roman" w:hAnsi="Times New Roman"/>
          <w:sz w:val="24"/>
          <w:szCs w:val="24"/>
        </w:rPr>
        <w:t xml:space="preserve"> presence and purpose for being on Ford's premises on February 25, 2016, was solely due to his employment. As such, exclusive statutory authority to consider the cause and extent of alleged injuries arising from Mr. </w:t>
      </w:r>
      <w:proofErr w:type="spellStart"/>
      <w:r w:rsidRPr="00FB1BAB">
        <w:rPr>
          <w:rFonts w:ascii="Times New Roman" w:hAnsi="Times New Roman"/>
          <w:sz w:val="24"/>
          <w:szCs w:val="24"/>
        </w:rPr>
        <w:t>Ducoulombier's</w:t>
      </w:r>
      <w:proofErr w:type="spellEnd"/>
      <w:r w:rsidRPr="00FB1BAB">
        <w:rPr>
          <w:rFonts w:ascii="Times New Roman" w:hAnsi="Times New Roman"/>
          <w:sz w:val="24"/>
          <w:szCs w:val="24"/>
        </w:rPr>
        <w:t xml:space="preserve"> presence at his workplace lies with the Labor and Industrial Relations Commission.</w:t>
      </w:r>
      <w:r>
        <w:rPr>
          <w:rFonts w:ascii="Times New Roman" w:hAnsi="Times New Roman"/>
          <w:sz w:val="24"/>
          <w:szCs w:val="24"/>
        </w:rPr>
        <w:t xml:space="preserve">” </w:t>
      </w:r>
      <w:hyperlink r:id="rId1203" w:history="1">
        <w:r w:rsidRPr="0041276B">
          <w:rPr>
            <w:rStyle w:val="Hyperlink"/>
            <w:rFonts w:ascii="Times New Roman" w:hAnsi="Times New Roman"/>
            <w:sz w:val="24"/>
            <w:szCs w:val="24"/>
          </w:rPr>
          <w:t>https://law.justia.com/cases/missouri/court-of-appeals/2021/wd83430.html</w:t>
        </w:r>
      </w:hyperlink>
      <w:r>
        <w:rPr>
          <w:rFonts w:ascii="Times New Roman" w:hAnsi="Times New Roman"/>
          <w:sz w:val="24"/>
          <w:szCs w:val="24"/>
        </w:rPr>
        <w:t xml:space="preserve"> </w:t>
      </w:r>
    </w:p>
    <w:p w14:paraId="16488130" w14:textId="77777777" w:rsidR="0077274E" w:rsidRDefault="0077274E" w:rsidP="0077274E">
      <w:pPr>
        <w:spacing w:before="100" w:beforeAutospacing="1" w:after="100" w:afterAutospacing="1" w:line="240" w:lineRule="auto"/>
        <w:rPr>
          <w:rFonts w:ascii="Times New Roman" w:hAnsi="Times New Roman"/>
          <w:b/>
          <w:bCs/>
          <w:sz w:val="24"/>
          <w:szCs w:val="24"/>
        </w:rPr>
      </w:pPr>
      <w:r w:rsidRPr="003B387C">
        <w:rPr>
          <w:rFonts w:ascii="Times New Roman" w:hAnsi="Times New Roman"/>
          <w:b/>
          <w:bCs/>
          <w:sz w:val="24"/>
          <w:szCs w:val="24"/>
        </w:rPr>
        <w:t>Legal Lesson Learned:</w:t>
      </w:r>
      <w:r>
        <w:rPr>
          <w:rFonts w:ascii="Times New Roman" w:hAnsi="Times New Roman"/>
          <w:b/>
          <w:bCs/>
          <w:sz w:val="24"/>
          <w:szCs w:val="24"/>
        </w:rPr>
        <w:t xml:space="preserve">  For workplace injuries and death, workers comp. is normally the exclusive remedy. </w:t>
      </w:r>
    </w:p>
    <w:p w14:paraId="7690D01C" w14:textId="77777777" w:rsidR="0077274E" w:rsidRPr="00F97B96" w:rsidRDefault="0077274E" w:rsidP="0077274E">
      <w:pPr>
        <w:pStyle w:val="Heading1"/>
        <w:ind w:left="720"/>
        <w:rPr>
          <w:b w:val="0"/>
          <w:bCs w:val="0"/>
          <w:sz w:val="24"/>
          <w:szCs w:val="24"/>
        </w:rPr>
      </w:pPr>
      <w:r w:rsidRPr="00F97B96">
        <w:rPr>
          <w:b w:val="0"/>
          <w:bCs w:val="0"/>
          <w:sz w:val="24"/>
          <w:szCs w:val="24"/>
        </w:rPr>
        <w:lastRenderedPageBreak/>
        <w:t xml:space="preserve">Note:  Some states allow lawsuits against employers for “intentional torts.”  Ohio has a very limited statute. Ohio Revised Code 2745.01, “Liability of employer for intentional tort - intent to injure required - exceptions.” </w:t>
      </w:r>
      <w:hyperlink r:id="rId1204" w:history="1">
        <w:r w:rsidRPr="00F97B96">
          <w:rPr>
            <w:rStyle w:val="Hyperlink"/>
            <w:sz w:val="24"/>
            <w:szCs w:val="24"/>
          </w:rPr>
          <w:t>https://codes.ohio.gov/ohio-revised-code/section-2745.01</w:t>
        </w:r>
      </w:hyperlink>
      <w:r w:rsidRPr="00F97B96">
        <w:rPr>
          <w:b w:val="0"/>
          <w:bCs w:val="0"/>
          <w:sz w:val="24"/>
          <w:szCs w:val="24"/>
        </w:rPr>
        <w:t xml:space="preserve"> </w:t>
      </w:r>
    </w:p>
    <w:p w14:paraId="2C8CB72D" w14:textId="77777777" w:rsidR="0077274E" w:rsidRPr="003B387C" w:rsidRDefault="0077274E" w:rsidP="0077274E">
      <w:pPr>
        <w:spacing w:before="100" w:beforeAutospacing="1" w:after="100" w:afterAutospacing="1" w:line="240" w:lineRule="auto"/>
        <w:ind w:left="720"/>
        <w:rPr>
          <w:rFonts w:ascii="Times New Roman" w:eastAsia="Times New Roman" w:hAnsi="Times New Roman"/>
          <w:sz w:val="24"/>
          <w:szCs w:val="24"/>
        </w:rPr>
      </w:pPr>
      <w:r w:rsidRPr="003B387C">
        <w:rPr>
          <w:rFonts w:ascii="Times New Roman" w:eastAsia="Times New Roman" w:hAnsi="Times New Roman"/>
          <w:sz w:val="24"/>
          <w:szCs w:val="24"/>
        </w:rPr>
        <w:t>(A) In an action brought against an employer by an employee, or by the dependent survivors of a deceased employee, for damages resulting from an intentional tort committed by the employer during the course of employment, the employer shall not be liable unless the plaintiff proves that the employer committed the tortious act with the intent to injure another or with the belief that the injury was substantially certain to occur.</w:t>
      </w:r>
    </w:p>
    <w:p w14:paraId="2D5BF1EC" w14:textId="77777777" w:rsidR="0077274E" w:rsidRPr="003B387C" w:rsidRDefault="0077274E" w:rsidP="0077274E">
      <w:pPr>
        <w:spacing w:before="100" w:beforeAutospacing="1" w:after="100" w:afterAutospacing="1" w:line="240" w:lineRule="auto"/>
        <w:ind w:left="720"/>
        <w:rPr>
          <w:rFonts w:ascii="Times New Roman" w:eastAsia="Times New Roman" w:hAnsi="Times New Roman"/>
          <w:sz w:val="24"/>
          <w:szCs w:val="24"/>
        </w:rPr>
      </w:pPr>
      <w:r w:rsidRPr="003B387C">
        <w:rPr>
          <w:rFonts w:ascii="Times New Roman" w:eastAsia="Times New Roman" w:hAnsi="Times New Roman"/>
          <w:sz w:val="24"/>
          <w:szCs w:val="24"/>
        </w:rPr>
        <w:t>(B) As used in this section, "substantially certain" means that an employer acts with deliberate intent to cause an employee to suffer an injury, a disease, a condition, or death.</w:t>
      </w:r>
    </w:p>
    <w:p w14:paraId="3B5CA388" w14:textId="77777777" w:rsidR="0077274E" w:rsidRPr="003B387C" w:rsidRDefault="0077274E" w:rsidP="0077274E">
      <w:pPr>
        <w:spacing w:before="100" w:beforeAutospacing="1" w:after="100" w:afterAutospacing="1" w:line="240" w:lineRule="auto"/>
        <w:ind w:left="720"/>
        <w:rPr>
          <w:rFonts w:ascii="Times New Roman" w:eastAsia="Times New Roman" w:hAnsi="Times New Roman"/>
          <w:sz w:val="24"/>
          <w:szCs w:val="24"/>
        </w:rPr>
      </w:pPr>
      <w:r w:rsidRPr="003B387C">
        <w:rPr>
          <w:rFonts w:ascii="Times New Roman" w:eastAsia="Times New Roman" w:hAnsi="Times New Roman"/>
          <w:sz w:val="24"/>
          <w:szCs w:val="24"/>
        </w:rPr>
        <w:t>(C) Deliberate removal by an employer of an equipment safety guard or deliberate misrepresentation of a toxic or hazardous substance creates a rebuttable presumption that the removal or misrepresentation was committed with intent to injure another if an injury or an occupational disease or condition occurs as a direct result.</w:t>
      </w:r>
    </w:p>
    <w:p w14:paraId="6BFA661B" w14:textId="77777777" w:rsidR="0077274E" w:rsidRPr="003B387C" w:rsidRDefault="0077274E" w:rsidP="0077274E">
      <w:pPr>
        <w:spacing w:before="100" w:beforeAutospacing="1" w:after="100" w:afterAutospacing="1" w:line="240" w:lineRule="auto"/>
        <w:ind w:left="720"/>
        <w:rPr>
          <w:rFonts w:ascii="Times New Roman" w:eastAsia="Times New Roman" w:hAnsi="Times New Roman"/>
          <w:sz w:val="24"/>
          <w:szCs w:val="24"/>
        </w:rPr>
      </w:pPr>
      <w:r w:rsidRPr="003B387C">
        <w:rPr>
          <w:rFonts w:ascii="Times New Roman" w:eastAsia="Times New Roman" w:hAnsi="Times New Roman"/>
          <w:sz w:val="24"/>
          <w:szCs w:val="24"/>
        </w:rPr>
        <w:t xml:space="preserve">(D) This section does not apply to claims arising </w:t>
      </w:r>
      <w:proofErr w:type="gramStart"/>
      <w:r w:rsidRPr="003B387C">
        <w:rPr>
          <w:rFonts w:ascii="Times New Roman" w:eastAsia="Times New Roman" w:hAnsi="Times New Roman"/>
          <w:sz w:val="24"/>
          <w:szCs w:val="24"/>
        </w:rPr>
        <w:t>during the course of</w:t>
      </w:r>
      <w:proofErr w:type="gramEnd"/>
      <w:r w:rsidRPr="003B387C">
        <w:rPr>
          <w:rFonts w:ascii="Times New Roman" w:eastAsia="Times New Roman" w:hAnsi="Times New Roman"/>
          <w:sz w:val="24"/>
          <w:szCs w:val="24"/>
        </w:rPr>
        <w:t xml:space="preserve"> employment involving discrimination, civil rights, retaliation, harassment in violation of Chapter 4112. of the Revised Code, intentional infliction of emotional distress not compensable under Chapters 4121. and 4123. of the Revised Code, contract, promissory estoppel, or defamation.</w:t>
      </w:r>
    </w:p>
    <w:p w14:paraId="322BF799" w14:textId="69FA7D36" w:rsidR="0077274E" w:rsidRDefault="00F27CD5" w:rsidP="00EF1133">
      <w:pPr>
        <w:rPr>
          <w:rFonts w:ascii="Arial Black" w:hAnsi="Arial Black"/>
          <w:b/>
          <w:sz w:val="24"/>
          <w:szCs w:val="24"/>
        </w:rPr>
      </w:pPr>
      <w:r>
        <w:rPr>
          <w:rFonts w:ascii="Arial Black" w:hAnsi="Arial Black"/>
          <w:b/>
          <w:sz w:val="24"/>
          <w:szCs w:val="24"/>
        </w:rPr>
        <w:t>6-</w:t>
      </w:r>
      <w:r w:rsidR="00FF7C63">
        <w:rPr>
          <w:rFonts w:ascii="Arial Black" w:hAnsi="Arial Black"/>
          <w:b/>
          <w:sz w:val="24"/>
          <w:szCs w:val="24"/>
        </w:rPr>
        <w:t>69</w:t>
      </w:r>
    </w:p>
    <w:p w14:paraId="7EA85C1B" w14:textId="77777777" w:rsidR="00F27CD5" w:rsidRPr="00AC6430" w:rsidRDefault="00F27CD5" w:rsidP="00F27CD5">
      <w:pPr>
        <w:pStyle w:val="NoSpacing"/>
        <w:rPr>
          <w:rFonts w:ascii="Arial Black" w:hAnsi="Arial Black"/>
          <w:sz w:val="28"/>
          <w:szCs w:val="28"/>
        </w:rPr>
      </w:pPr>
      <w:r>
        <w:rPr>
          <w:rFonts w:ascii="Arial Black" w:hAnsi="Arial Black"/>
          <w:sz w:val="28"/>
          <w:szCs w:val="28"/>
        </w:rPr>
        <w:t>LA: HEARING LOSS – GRADUAL LOSS OVER CAREER - MED. COVERAGE, BUT NOT PERMANENT PARTIAL DIABILITY</w:t>
      </w:r>
    </w:p>
    <w:p w14:paraId="1BE2649B" w14:textId="77777777" w:rsidR="00F27CD5" w:rsidRDefault="00F27CD5" w:rsidP="00F27CD5">
      <w:pPr>
        <w:pStyle w:val="NoSpacing"/>
        <w:rPr>
          <w:rFonts w:ascii="Times New Roman" w:hAnsi="Times New Roman"/>
          <w:sz w:val="24"/>
          <w:szCs w:val="24"/>
        </w:rPr>
      </w:pPr>
    </w:p>
    <w:p w14:paraId="573A5E42" w14:textId="77777777" w:rsidR="00F27CD5" w:rsidRPr="00AC6430" w:rsidRDefault="00F27CD5" w:rsidP="00F27CD5">
      <w:pPr>
        <w:pStyle w:val="NoSpacing"/>
        <w:rPr>
          <w:rFonts w:ascii="Times New Roman" w:hAnsi="Times New Roman"/>
          <w:sz w:val="24"/>
          <w:szCs w:val="24"/>
        </w:rPr>
      </w:pPr>
      <w:r w:rsidRPr="00AC6430">
        <w:rPr>
          <w:rFonts w:ascii="Times New Roman" w:hAnsi="Times New Roman"/>
          <w:sz w:val="24"/>
          <w:szCs w:val="24"/>
        </w:rPr>
        <w:t xml:space="preserve">On March 24, 2021, in </w:t>
      </w:r>
      <w:r w:rsidRPr="00AC6430">
        <w:rPr>
          <w:rFonts w:ascii="Times New Roman" w:hAnsi="Times New Roman"/>
          <w:sz w:val="24"/>
          <w:szCs w:val="24"/>
          <w:u w:val="single"/>
        </w:rPr>
        <w:t>James J. Hartman, Jr. vs. Bernard Parish Fire Department &amp; FARA</w:t>
      </w:r>
      <w:r w:rsidRPr="00AC6430">
        <w:rPr>
          <w:rFonts w:ascii="Times New Roman" w:hAnsi="Times New Roman"/>
          <w:sz w:val="24"/>
          <w:szCs w:val="24"/>
        </w:rPr>
        <w:t xml:space="preserve">, the Louisiana Supreme Court held (7 to 0) that a gradual loss of hearing by a District Chief does not meet the state’s statute requiring an explosion or other permanent hearing loss “solely due to a single traumatic accident.”  </w:t>
      </w:r>
      <w:r>
        <w:rPr>
          <w:rFonts w:ascii="Times New Roman" w:hAnsi="Times New Roman"/>
          <w:sz w:val="24"/>
          <w:szCs w:val="24"/>
        </w:rPr>
        <w:t xml:space="preserve">He is entitled to </w:t>
      </w:r>
      <w:proofErr w:type="gramStart"/>
      <w:r>
        <w:rPr>
          <w:rFonts w:ascii="Times New Roman" w:hAnsi="Times New Roman"/>
          <w:sz w:val="24"/>
          <w:szCs w:val="24"/>
        </w:rPr>
        <w:t>continuing</w:t>
      </w:r>
      <w:proofErr w:type="gramEnd"/>
      <w:r>
        <w:rPr>
          <w:rFonts w:ascii="Times New Roman" w:hAnsi="Times New Roman"/>
          <w:sz w:val="24"/>
          <w:szCs w:val="24"/>
        </w:rPr>
        <w:t xml:space="preserve"> medical coverage. </w:t>
      </w:r>
    </w:p>
    <w:p w14:paraId="753EDC8B" w14:textId="77777777" w:rsidR="00F27CD5" w:rsidRDefault="00F27CD5" w:rsidP="00F27CD5">
      <w:pPr>
        <w:pStyle w:val="NoSpacing"/>
        <w:rPr>
          <w:rFonts w:ascii="Times New Roman" w:hAnsi="Times New Roman"/>
          <w:sz w:val="24"/>
          <w:szCs w:val="24"/>
        </w:rPr>
      </w:pPr>
    </w:p>
    <w:p w14:paraId="079FC725" w14:textId="77777777" w:rsidR="00F27CD5" w:rsidRPr="00C14B60" w:rsidRDefault="00F27CD5" w:rsidP="00F27CD5">
      <w:pPr>
        <w:pStyle w:val="NoSpacing"/>
        <w:ind w:left="720"/>
        <w:rPr>
          <w:rFonts w:ascii="Times New Roman" w:hAnsi="Times New Roman"/>
          <w:color w:val="303030"/>
          <w:sz w:val="24"/>
          <w:szCs w:val="24"/>
        </w:rPr>
      </w:pPr>
      <w:r w:rsidRPr="00C14B60">
        <w:rPr>
          <w:rFonts w:ascii="Times New Roman" w:hAnsi="Times New Roman"/>
          <w:sz w:val="24"/>
          <w:szCs w:val="24"/>
        </w:rPr>
        <w:t xml:space="preserve">“Applying instead the clear and unambiguous words of the statute, we find that the medical evidence in this case establishes that Mr. Hartman’s hearing loss did not result solely from a single traumatic accident and, thus, he is not entitled to permanent partial disability benefits pursuant to La. R.S. 23:1221(4)(p).” </w:t>
      </w:r>
      <w:hyperlink r:id="rId1205" w:history="1">
        <w:r w:rsidRPr="00C14B60">
          <w:rPr>
            <w:rStyle w:val="Hyperlink"/>
            <w:sz w:val="24"/>
            <w:szCs w:val="24"/>
          </w:rPr>
          <w:t>https://www.lasc.org/Opinions/2021/20-0693.C.OPN.pdf</w:t>
        </w:r>
      </w:hyperlink>
      <w:r w:rsidRPr="00C14B60">
        <w:rPr>
          <w:rFonts w:ascii="Times New Roman" w:hAnsi="Times New Roman"/>
          <w:color w:val="303030"/>
          <w:sz w:val="24"/>
          <w:szCs w:val="24"/>
        </w:rPr>
        <w:t xml:space="preserve"> </w:t>
      </w:r>
    </w:p>
    <w:p w14:paraId="4BE49C89" w14:textId="77777777" w:rsidR="00F27CD5" w:rsidRPr="00AD1A4D" w:rsidRDefault="00F27CD5" w:rsidP="00F27CD5">
      <w:pPr>
        <w:pStyle w:val="NoSpacing"/>
        <w:rPr>
          <w:rFonts w:ascii="Times New Roman" w:hAnsi="Times New Roman"/>
          <w:b/>
          <w:bCs/>
          <w:sz w:val="24"/>
          <w:szCs w:val="24"/>
        </w:rPr>
      </w:pPr>
      <w:r w:rsidRPr="00AD1A4D">
        <w:rPr>
          <w:rFonts w:ascii="Times New Roman" w:hAnsi="Times New Roman"/>
          <w:b/>
          <w:bCs/>
          <w:sz w:val="24"/>
          <w:szCs w:val="24"/>
        </w:rPr>
        <w:t>Legal Lesson Learned:</w:t>
      </w:r>
      <w:r>
        <w:rPr>
          <w:rFonts w:ascii="Times New Roman" w:hAnsi="Times New Roman"/>
          <w:b/>
          <w:bCs/>
          <w:sz w:val="24"/>
          <w:szCs w:val="24"/>
        </w:rPr>
        <w:t xml:space="preserve"> The state statute limits partial disability compensation only if caused by a single traumatic accident. Time to “lobby” the legislature to broaden the statute. </w:t>
      </w:r>
    </w:p>
    <w:p w14:paraId="1C560811" w14:textId="77777777" w:rsidR="00F27CD5" w:rsidRDefault="00F27CD5" w:rsidP="00F27CD5">
      <w:pPr>
        <w:pStyle w:val="NormalWeb"/>
      </w:pPr>
      <w:r>
        <w:rPr>
          <w:sz w:val="38"/>
          <w:szCs w:val="38"/>
        </w:rPr>
        <w:tab/>
      </w:r>
      <w:r>
        <w:t xml:space="preserve">Note: </w:t>
      </w:r>
    </w:p>
    <w:p w14:paraId="2B8034EA" w14:textId="77777777" w:rsidR="00F27CD5" w:rsidRPr="00CC6D9B" w:rsidRDefault="00F27CD5" w:rsidP="00F27CD5">
      <w:pPr>
        <w:pStyle w:val="Heading1"/>
        <w:ind w:left="720"/>
        <w:rPr>
          <w:sz w:val="24"/>
          <w:szCs w:val="24"/>
        </w:rPr>
      </w:pPr>
      <w:r w:rsidRPr="00CB33A6">
        <w:rPr>
          <w:sz w:val="24"/>
          <w:szCs w:val="24"/>
        </w:rPr>
        <w:t xml:space="preserve">Ohio Revised Code: Section 4123.57 </w:t>
      </w:r>
      <w:r w:rsidRPr="00CB33A6">
        <w:rPr>
          <w:rStyle w:val="codes-separator"/>
          <w:sz w:val="24"/>
          <w:szCs w:val="24"/>
        </w:rPr>
        <w:t>|</w:t>
      </w:r>
      <w:r w:rsidRPr="00CB33A6">
        <w:rPr>
          <w:sz w:val="24"/>
          <w:szCs w:val="24"/>
        </w:rPr>
        <w:t xml:space="preserve"> Partial disability compensation</w:t>
      </w:r>
      <w:r w:rsidRPr="00CC6D9B">
        <w:rPr>
          <w:sz w:val="24"/>
          <w:szCs w:val="24"/>
        </w:rPr>
        <w:t>.</w:t>
      </w:r>
      <w:r>
        <w:rPr>
          <w:sz w:val="24"/>
          <w:szCs w:val="24"/>
        </w:rPr>
        <w:t xml:space="preserve"> </w:t>
      </w:r>
      <w:hyperlink r:id="rId1206" w:history="1">
        <w:r w:rsidRPr="00C724D5">
          <w:rPr>
            <w:rStyle w:val="Hyperlink"/>
            <w:sz w:val="24"/>
            <w:szCs w:val="24"/>
          </w:rPr>
          <w:t>https://codes.ohio.gov/ohio-revised-code/section-4123.57</w:t>
        </w:r>
      </w:hyperlink>
      <w:r>
        <w:rPr>
          <w:sz w:val="24"/>
          <w:szCs w:val="24"/>
        </w:rPr>
        <w:t xml:space="preserve"> </w:t>
      </w:r>
    </w:p>
    <w:p w14:paraId="707ACC72" w14:textId="77777777" w:rsidR="00F27CD5" w:rsidRDefault="00F27CD5" w:rsidP="00F27CD5">
      <w:pPr>
        <w:pStyle w:val="NormalWeb"/>
        <w:ind w:left="1440" w:firstLine="720"/>
      </w:pPr>
      <w:r>
        <w:t>“</w:t>
      </w:r>
      <w:r w:rsidRPr="00CC6D9B">
        <w:t>For the permanent and total loss of hearing, one hundred twenty-five weeks; but, except pursuant to the next preceding paragraph, in no case shall an award of compensation be made for less than permanent and total loss of hearing.</w:t>
      </w:r>
      <w:r>
        <w:t>”</w:t>
      </w:r>
    </w:p>
    <w:p w14:paraId="320230A5" w14:textId="77777777" w:rsidR="00F27CD5" w:rsidRPr="00AD1A4D" w:rsidRDefault="00F27CD5" w:rsidP="00F27CD5">
      <w:pPr>
        <w:pStyle w:val="NormalWeb"/>
        <w:ind w:left="720"/>
      </w:pPr>
      <w:r>
        <w:t xml:space="preserve">See also: </w:t>
      </w:r>
      <w:hyperlink r:id="rId1207" w:history="1">
        <w:r w:rsidRPr="00C724D5">
          <w:rPr>
            <w:rStyle w:val="Hyperlink"/>
          </w:rPr>
          <w:t>https://www.monastlaw.com/blog/ohio-workers-compensation-for-hearing-loss.cfm</w:t>
        </w:r>
      </w:hyperlink>
      <w:r>
        <w:t xml:space="preserve"> </w:t>
      </w:r>
    </w:p>
    <w:p w14:paraId="1910EDE7" w14:textId="77777777" w:rsidR="00F27CD5" w:rsidRPr="00AD1A4D" w:rsidRDefault="00F27CD5" w:rsidP="00F27CD5">
      <w:pPr>
        <w:pStyle w:val="NormalWeb"/>
        <w:ind w:left="1170"/>
      </w:pPr>
      <w:r>
        <w:lastRenderedPageBreak/>
        <w:t>“</w:t>
      </w:r>
      <w:r w:rsidRPr="00AD1A4D">
        <w:t xml:space="preserve">Under workers’ compensation law in Ohio, hearing loss is a </w:t>
      </w:r>
      <w:hyperlink r:id="rId1208" w:history="1">
        <w:r w:rsidRPr="00AD1A4D">
          <w:rPr>
            <w:rStyle w:val="Hyperlink"/>
          </w:rPr>
          <w:t>scheduled loss</w:t>
        </w:r>
      </w:hyperlink>
      <w:r w:rsidRPr="00AD1A4D">
        <w:t>, meaning compensation is awarded based on a set schedule. Depending on the extent of your hearing loss, you may obtain benefits for a specific number of weeks:</w:t>
      </w:r>
    </w:p>
    <w:p w14:paraId="39838718" w14:textId="77777777" w:rsidR="00F27CD5" w:rsidRPr="00AD1A4D" w:rsidRDefault="00F27CD5" w:rsidP="00F27CD5">
      <w:pPr>
        <w:numPr>
          <w:ilvl w:val="0"/>
          <w:numId w:val="10"/>
        </w:numPr>
        <w:tabs>
          <w:tab w:val="clear" w:pos="720"/>
          <w:tab w:val="num" w:pos="900"/>
        </w:tabs>
        <w:spacing w:before="100" w:beforeAutospacing="1" w:after="100" w:afterAutospacing="1" w:line="240" w:lineRule="auto"/>
        <w:ind w:firstLine="450"/>
        <w:rPr>
          <w:rFonts w:ascii="Times New Roman" w:hAnsi="Times New Roman"/>
          <w:sz w:val="24"/>
          <w:szCs w:val="24"/>
        </w:rPr>
      </w:pPr>
      <w:r w:rsidRPr="00AD1A4D">
        <w:rPr>
          <w:rFonts w:ascii="Times New Roman" w:hAnsi="Times New Roman"/>
          <w:sz w:val="24"/>
          <w:szCs w:val="24"/>
        </w:rPr>
        <w:t>25 weeks for permanent and total loss of hearing in one ear</w:t>
      </w:r>
    </w:p>
    <w:p w14:paraId="05E264D6" w14:textId="77777777" w:rsidR="00F27CD5" w:rsidRPr="00AD1A4D" w:rsidRDefault="00F27CD5" w:rsidP="00F27CD5">
      <w:pPr>
        <w:numPr>
          <w:ilvl w:val="0"/>
          <w:numId w:val="10"/>
        </w:numPr>
        <w:tabs>
          <w:tab w:val="clear" w:pos="720"/>
          <w:tab w:val="num" w:pos="900"/>
        </w:tabs>
        <w:spacing w:before="100" w:beforeAutospacing="1" w:after="100" w:afterAutospacing="1" w:line="240" w:lineRule="auto"/>
        <w:ind w:firstLine="450"/>
        <w:rPr>
          <w:rFonts w:ascii="Times New Roman" w:hAnsi="Times New Roman"/>
          <w:sz w:val="24"/>
          <w:szCs w:val="24"/>
        </w:rPr>
      </w:pPr>
      <w:r w:rsidRPr="00AD1A4D">
        <w:rPr>
          <w:rFonts w:ascii="Times New Roman" w:hAnsi="Times New Roman"/>
          <w:sz w:val="24"/>
          <w:szCs w:val="24"/>
        </w:rPr>
        <w:t>125 weeks for complete loss of hearing in both ears</w:t>
      </w:r>
    </w:p>
    <w:p w14:paraId="5943134C" w14:textId="77777777" w:rsidR="00F27CD5" w:rsidRDefault="00F27CD5" w:rsidP="00F27CD5">
      <w:pPr>
        <w:pStyle w:val="NormalWeb"/>
        <w:ind w:left="1170"/>
      </w:pPr>
      <w:r w:rsidRPr="00AD1A4D">
        <w:t xml:space="preserve">No award is </w:t>
      </w:r>
      <w:proofErr w:type="gramStart"/>
      <w:r w:rsidRPr="00AD1A4D">
        <w:t>made</w:t>
      </w:r>
      <w:proofErr w:type="gramEnd"/>
      <w:r w:rsidRPr="00AD1A4D">
        <w:t xml:space="preserve"> for anything less than permanent and total loss of hearing in at least one ear. Your benefits can include compensation for up to 100% of the statewide average weekly wage. This amount is determined annually</w:t>
      </w:r>
      <w:r>
        <w:t xml:space="preserve">.” </w:t>
      </w:r>
    </w:p>
    <w:p w14:paraId="5689C71C" w14:textId="77777777" w:rsidR="00F27CD5" w:rsidRDefault="00F27CD5" w:rsidP="00EF1133">
      <w:pPr>
        <w:rPr>
          <w:rFonts w:ascii="Arial Black" w:hAnsi="Arial Black"/>
          <w:b/>
          <w:sz w:val="24"/>
          <w:szCs w:val="24"/>
        </w:rPr>
      </w:pPr>
    </w:p>
    <w:p w14:paraId="3B347FB9" w14:textId="77777777" w:rsidR="0077274E" w:rsidRDefault="0077274E" w:rsidP="00EF1133">
      <w:pPr>
        <w:rPr>
          <w:rFonts w:ascii="Arial Black" w:hAnsi="Arial Black"/>
          <w:b/>
          <w:sz w:val="24"/>
          <w:szCs w:val="24"/>
        </w:rPr>
      </w:pPr>
    </w:p>
    <w:p w14:paraId="1FA1E0E7" w14:textId="4984267B" w:rsidR="00831847" w:rsidRDefault="00831847" w:rsidP="00EF1133">
      <w:pPr>
        <w:rPr>
          <w:rFonts w:ascii="Arial Black" w:hAnsi="Arial Black"/>
          <w:b/>
          <w:sz w:val="24"/>
          <w:szCs w:val="24"/>
        </w:rPr>
      </w:pPr>
      <w:r>
        <w:rPr>
          <w:rFonts w:ascii="Arial Black" w:hAnsi="Arial Black"/>
          <w:b/>
          <w:sz w:val="24"/>
          <w:szCs w:val="24"/>
        </w:rPr>
        <w:t>6-6</w:t>
      </w:r>
      <w:r w:rsidR="00FF7C63">
        <w:rPr>
          <w:rFonts w:ascii="Arial Black" w:hAnsi="Arial Black"/>
          <w:b/>
          <w:sz w:val="24"/>
          <w:szCs w:val="24"/>
        </w:rPr>
        <w:t>8</w:t>
      </w:r>
    </w:p>
    <w:p w14:paraId="6DD3BEA7" w14:textId="77777777" w:rsidR="00831847" w:rsidRPr="00E0778E" w:rsidRDefault="00831847" w:rsidP="00831847">
      <w:pPr>
        <w:pStyle w:val="NoSpacing"/>
        <w:rPr>
          <w:rFonts w:ascii="Arial Black" w:hAnsi="Arial Black"/>
          <w:sz w:val="28"/>
          <w:szCs w:val="28"/>
        </w:rPr>
      </w:pPr>
      <w:r>
        <w:rPr>
          <w:rFonts w:ascii="Arial Black" w:hAnsi="Arial Black"/>
          <w:sz w:val="28"/>
          <w:szCs w:val="28"/>
        </w:rPr>
        <w:t>IL: FF RETIRED AT MANADATORY AGE OF 65 – PENSION - CANNOT THEN ALSO RECEIVE UNEMPLOYMENT COMP</w:t>
      </w:r>
    </w:p>
    <w:p w14:paraId="6F45EBAD" w14:textId="77777777" w:rsidR="00831847" w:rsidRDefault="00831847" w:rsidP="00831847">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On March 16, 2021, in </w:t>
      </w:r>
      <w:r w:rsidRPr="00E0778E">
        <w:rPr>
          <w:rFonts w:ascii="Times New Roman" w:eastAsia="Times New Roman" w:hAnsi="Times New Roman"/>
          <w:sz w:val="24"/>
          <w:szCs w:val="24"/>
          <w:u w:val="single"/>
        </w:rPr>
        <w:t>Prospect Heights Fire Protection District v. The Department of Employment Security</w:t>
      </w:r>
      <w:r>
        <w:rPr>
          <w:rFonts w:ascii="Times New Roman" w:eastAsia="Times New Roman" w:hAnsi="Times New Roman"/>
          <w:sz w:val="24"/>
          <w:szCs w:val="24"/>
          <w:u w:val="single"/>
        </w:rPr>
        <w:t xml:space="preserve"> (Robert J. </w:t>
      </w:r>
      <w:proofErr w:type="spellStart"/>
      <w:r>
        <w:rPr>
          <w:rFonts w:ascii="Times New Roman" w:eastAsia="Times New Roman" w:hAnsi="Times New Roman"/>
          <w:sz w:val="24"/>
          <w:szCs w:val="24"/>
          <w:u w:val="single"/>
        </w:rPr>
        <w:t>Pyzyna</w:t>
      </w:r>
      <w:proofErr w:type="spellEnd"/>
      <w:r>
        <w:rPr>
          <w:rFonts w:ascii="Times New Roman" w:eastAsia="Times New Roman" w:hAnsi="Times New Roman"/>
          <w:sz w:val="24"/>
          <w:szCs w:val="24"/>
          <w:u w:val="single"/>
        </w:rPr>
        <w:t>)</w:t>
      </w:r>
      <w:r w:rsidRPr="00E0778E">
        <w:rPr>
          <w:rFonts w:ascii="Times New Roman" w:eastAsia="Times New Roman" w:hAnsi="Times New Roman"/>
          <w:sz w:val="24"/>
          <w:szCs w:val="24"/>
          <w:u w:val="single"/>
        </w:rPr>
        <w:t>, et al</w:t>
      </w:r>
      <w:r>
        <w:rPr>
          <w:rFonts w:ascii="Times New Roman" w:eastAsia="Times New Roman" w:hAnsi="Times New Roman"/>
          <w:sz w:val="24"/>
          <w:szCs w:val="24"/>
        </w:rPr>
        <w:t xml:space="preserve">., the Appellate Court of Illinois, First Judicial District (Second Division) held (3 to 0), </w:t>
      </w:r>
      <w:r w:rsidRPr="00F50861">
        <w:rPr>
          <w:rFonts w:ascii="Times New Roman" w:hAnsi="Times New Roman"/>
          <w:sz w:val="24"/>
          <w:szCs w:val="24"/>
        </w:rPr>
        <w:t>2021 IL App (1st) 182525</w:t>
      </w:r>
      <w:r>
        <w:rPr>
          <w:rFonts w:ascii="Times New Roman" w:eastAsia="Times New Roman" w:hAnsi="Times New Roman"/>
          <w:sz w:val="24"/>
          <w:szCs w:val="24"/>
        </w:rPr>
        <w:t xml:space="preserve">, that career firefighter Robert Pyzyna, who retired in Nov. 2017 when he reached mandatory retirement age 65, and began drawing a pension, should have not receive unemployment benefits since he was never “laid off.”  This is an important decision for Illinois fire service since it resolves an issue of “first impression.”  Note: </w:t>
      </w:r>
      <w:proofErr w:type="gramStart"/>
      <w:r>
        <w:rPr>
          <w:rFonts w:ascii="Times New Roman" w:eastAsia="Times New Roman" w:hAnsi="Times New Roman"/>
          <w:sz w:val="24"/>
          <w:szCs w:val="24"/>
        </w:rPr>
        <w:t>His is</w:t>
      </w:r>
      <w:proofErr w:type="gramEnd"/>
      <w:r>
        <w:rPr>
          <w:rFonts w:ascii="Times New Roman" w:eastAsia="Times New Roman" w:hAnsi="Times New Roman"/>
          <w:sz w:val="24"/>
          <w:szCs w:val="24"/>
        </w:rPr>
        <w:t xml:space="preserve"> current weekly income is $1,467.27; the unemployment benefit would have been $449.  While an Illinois statute would normally prevent applicants </w:t>
      </w:r>
      <w:proofErr w:type="gramStart"/>
      <w:r>
        <w:rPr>
          <w:rFonts w:ascii="Times New Roman" w:eastAsia="Times New Roman" w:hAnsi="Times New Roman"/>
          <w:sz w:val="24"/>
          <w:szCs w:val="24"/>
        </w:rPr>
        <w:t>to receive</w:t>
      </w:r>
      <w:proofErr w:type="gramEnd"/>
      <w:r>
        <w:rPr>
          <w:rFonts w:ascii="Times New Roman" w:eastAsia="Times New Roman" w:hAnsi="Times New Roman"/>
          <w:sz w:val="24"/>
          <w:szCs w:val="24"/>
        </w:rPr>
        <w:t xml:space="preserve"> unemployment comp if they are already making is excess of that amount, the Court decision was issued so other FF will not pursue such claims. </w:t>
      </w:r>
    </w:p>
    <w:p w14:paraId="686F31F9" w14:textId="77777777" w:rsidR="00831847" w:rsidRDefault="00831847" w:rsidP="00831847">
      <w:pPr>
        <w:spacing w:before="100" w:beforeAutospacing="1" w:after="100" w:afterAutospacing="1" w:line="240" w:lineRule="auto"/>
        <w:ind w:left="720"/>
        <w:rPr>
          <w:rFonts w:ascii="Times New Roman" w:hAnsi="Times New Roman"/>
          <w:sz w:val="24"/>
          <w:szCs w:val="24"/>
        </w:rPr>
      </w:pPr>
      <w:r>
        <w:rPr>
          <w:rFonts w:ascii="Times New Roman" w:eastAsia="Times New Roman" w:hAnsi="Times New Roman"/>
          <w:sz w:val="24"/>
          <w:szCs w:val="24"/>
        </w:rPr>
        <w:t>“</w:t>
      </w:r>
      <w:r w:rsidRPr="00D82A44">
        <w:rPr>
          <w:rFonts w:ascii="Times New Roman" w:eastAsia="Times New Roman" w:hAnsi="Times New Roman"/>
          <w:sz w:val="24"/>
          <w:szCs w:val="24"/>
        </w:rPr>
        <w:t>Here, the issue raised in this appeal is one of first impression, and we find that resolving the issue would aid IDES officials in performing their duties and in properly applying the law. As such, we find that the</w:t>
      </w:r>
      <w:r>
        <w:rPr>
          <w:rFonts w:ascii="Times New Roman" w:eastAsia="Times New Roman" w:hAnsi="Times New Roman"/>
          <w:sz w:val="24"/>
          <w:szCs w:val="24"/>
        </w:rPr>
        <w:t xml:space="preserve"> </w:t>
      </w:r>
      <w:r w:rsidRPr="00D82A44">
        <w:rPr>
          <w:rFonts w:ascii="Times New Roman" w:eastAsia="Times New Roman" w:hAnsi="Times New Roman"/>
          <w:sz w:val="24"/>
          <w:szCs w:val="24"/>
        </w:rPr>
        <w:t xml:space="preserve">second prong of the public interest exception is also satisfied. </w:t>
      </w:r>
      <w:r w:rsidRPr="007A0047">
        <w:rPr>
          <w:rFonts w:ascii="Times New Roman" w:hAnsi="Times New Roman"/>
          <w:sz w:val="24"/>
          <w:szCs w:val="24"/>
        </w:rPr>
        <w:t xml:space="preserve">Finally, with respect to the third factor, given the large number of firefighters employed in this state, we believe that absent a ruling on this issue, questions about the interplay between the Fire Protection Act's mandatory retirement provision and the Unemployment Act are likely to </w:t>
      </w:r>
      <w:proofErr w:type="gramStart"/>
      <w:r w:rsidRPr="007A0047">
        <w:rPr>
          <w:rFonts w:ascii="Times New Roman" w:hAnsi="Times New Roman"/>
          <w:sz w:val="24"/>
          <w:szCs w:val="24"/>
        </w:rPr>
        <w:t>reoccur</w:t>
      </w:r>
      <w:proofErr w:type="gramEnd"/>
      <w:r w:rsidRPr="007A0047">
        <w:rPr>
          <w:rFonts w:ascii="Times New Roman" w:hAnsi="Times New Roman"/>
          <w:sz w:val="24"/>
          <w:szCs w:val="24"/>
        </w:rPr>
        <w:t>.</w:t>
      </w:r>
    </w:p>
    <w:p w14:paraId="0CDD0D7A" w14:textId="77777777" w:rsidR="00831847" w:rsidRDefault="00831847" w:rsidP="00831847">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p>
    <w:p w14:paraId="175ACA01" w14:textId="77777777" w:rsidR="00831847" w:rsidRPr="00F50861" w:rsidRDefault="00831847" w:rsidP="00831847">
      <w:pPr>
        <w:spacing w:before="100" w:beforeAutospacing="1" w:after="100" w:afterAutospacing="1" w:line="240" w:lineRule="auto"/>
        <w:ind w:left="720"/>
        <w:rPr>
          <w:rFonts w:ascii="Times New Roman" w:hAnsi="Times New Roman"/>
          <w:sz w:val="24"/>
          <w:szCs w:val="24"/>
        </w:rPr>
      </w:pPr>
      <w:r w:rsidRPr="00F50861">
        <w:rPr>
          <w:rFonts w:ascii="Times New Roman" w:hAnsi="Times New Roman"/>
          <w:sz w:val="24"/>
          <w:szCs w:val="24"/>
        </w:rPr>
        <w:t>We conclude that an Illinois firefighter who leaves his or her place of employment upon reaching the mandatory retirement age of 65 does so voluntarily absent good cause attributable to the employer and is not eligible to seek unemployment benefits pursuant to the Unemployment Act. Accordingly, we affirm the circuit court judgment reversing the contrary conclusion reached by the Board in this case.</w:t>
      </w:r>
      <w:r>
        <w:rPr>
          <w:rFonts w:ascii="Times New Roman" w:hAnsi="Times New Roman"/>
          <w:sz w:val="24"/>
          <w:szCs w:val="24"/>
        </w:rPr>
        <w:t xml:space="preserve">” </w:t>
      </w:r>
      <w:hyperlink r:id="rId1209" w:history="1">
        <w:r w:rsidRPr="00AB20E4">
          <w:rPr>
            <w:rStyle w:val="Hyperlink"/>
            <w:sz w:val="24"/>
            <w:szCs w:val="24"/>
          </w:rPr>
          <w:t>https://casetext.com/case/prospect-heights-fire-prot-dist-v-dept-of-empt-sec</w:t>
        </w:r>
      </w:hyperlink>
      <w:r>
        <w:rPr>
          <w:rFonts w:ascii="Times New Roman" w:hAnsi="Times New Roman"/>
          <w:sz w:val="24"/>
          <w:szCs w:val="24"/>
        </w:rPr>
        <w:t xml:space="preserve"> </w:t>
      </w:r>
    </w:p>
    <w:p w14:paraId="040E9525" w14:textId="77777777" w:rsidR="00831847" w:rsidRPr="00D82A44" w:rsidRDefault="00831847" w:rsidP="00831847">
      <w:pPr>
        <w:spacing w:before="100" w:beforeAutospacing="1" w:after="100" w:afterAutospacing="1" w:line="240" w:lineRule="auto"/>
        <w:rPr>
          <w:rFonts w:ascii="Times New Roman" w:eastAsia="Times New Roman" w:hAnsi="Times New Roman"/>
          <w:b/>
          <w:bCs/>
          <w:sz w:val="24"/>
          <w:szCs w:val="24"/>
        </w:rPr>
      </w:pPr>
      <w:r w:rsidRPr="0087635A">
        <w:rPr>
          <w:rFonts w:ascii="Times New Roman" w:hAnsi="Times New Roman"/>
          <w:b/>
          <w:bCs/>
          <w:sz w:val="24"/>
          <w:szCs w:val="24"/>
        </w:rPr>
        <w:t>Legal Lesson Learned:</w:t>
      </w:r>
      <w:r>
        <w:rPr>
          <w:rFonts w:ascii="Times New Roman" w:hAnsi="Times New Roman"/>
          <w:b/>
          <w:bCs/>
          <w:sz w:val="24"/>
          <w:szCs w:val="24"/>
        </w:rPr>
        <w:t xml:space="preserve">  Excellent court decision that hopefully will prevent other Illinois firefighters from pursuing unemployment claims after their retirement at age 65. </w:t>
      </w:r>
    </w:p>
    <w:p w14:paraId="3E7C7067" w14:textId="77777777" w:rsidR="00831847" w:rsidRDefault="00831847" w:rsidP="00831847">
      <w:pPr>
        <w:pStyle w:val="NoSpacing"/>
        <w:ind w:left="720"/>
        <w:rPr>
          <w:rFonts w:ascii="Times New Roman" w:hAnsi="Times New Roman"/>
          <w:sz w:val="24"/>
          <w:szCs w:val="24"/>
        </w:rPr>
      </w:pPr>
      <w:r>
        <w:rPr>
          <w:rFonts w:ascii="Times New Roman" w:hAnsi="Times New Roman"/>
          <w:sz w:val="24"/>
          <w:szCs w:val="24"/>
        </w:rPr>
        <w:t xml:space="preserve">Note – Mandatory Retirement: </w:t>
      </w:r>
    </w:p>
    <w:p w14:paraId="46F0EF97" w14:textId="77777777" w:rsidR="00831847" w:rsidRDefault="00831847" w:rsidP="00831847">
      <w:pPr>
        <w:pStyle w:val="NoSpacing"/>
        <w:ind w:left="720"/>
        <w:rPr>
          <w:rFonts w:ascii="Times New Roman" w:hAnsi="Times New Roman"/>
          <w:sz w:val="24"/>
          <w:szCs w:val="24"/>
        </w:rPr>
      </w:pPr>
    </w:p>
    <w:p w14:paraId="24245B55" w14:textId="77777777" w:rsidR="00831847" w:rsidRDefault="00831847" w:rsidP="00831847">
      <w:pPr>
        <w:pStyle w:val="NoSpacing"/>
        <w:ind w:left="720"/>
        <w:rPr>
          <w:rFonts w:ascii="Times New Roman" w:hAnsi="Times New Roman"/>
          <w:color w:val="000000"/>
          <w:sz w:val="24"/>
          <w:szCs w:val="24"/>
        </w:rPr>
      </w:pPr>
      <w:r>
        <w:rPr>
          <w:rFonts w:ascii="Times New Roman" w:hAnsi="Times New Roman"/>
          <w:color w:val="000000"/>
          <w:sz w:val="24"/>
          <w:szCs w:val="24"/>
        </w:rPr>
        <w:lastRenderedPageBreak/>
        <w:t>“</w:t>
      </w:r>
      <w:r w:rsidRPr="0087635A">
        <w:rPr>
          <w:rFonts w:ascii="Times New Roman" w:hAnsi="Times New Roman"/>
          <w:color w:val="000000"/>
          <w:sz w:val="24"/>
          <w:szCs w:val="24"/>
        </w:rPr>
        <w:t xml:space="preserve">After Congress in 1996 permitted age caps for police and fire personnel, Chicago restored its mandatory retirement age of 63 for firefighters. Having lost on their ADEA claim, they asserted that their forced retirements violated due process. The appellate panel held that </w:t>
      </w:r>
      <w:proofErr w:type="gramStart"/>
      <w:r w:rsidRPr="0087635A">
        <w:rPr>
          <w:rFonts w:ascii="Times New Roman" w:hAnsi="Times New Roman"/>
          <w:color w:val="000000"/>
          <w:sz w:val="24"/>
          <w:szCs w:val="24"/>
        </w:rPr>
        <w:t>an involuntary</w:t>
      </w:r>
      <w:proofErr w:type="gramEnd"/>
      <w:r w:rsidRPr="0087635A">
        <w:rPr>
          <w:rFonts w:ascii="Times New Roman" w:hAnsi="Times New Roman"/>
          <w:color w:val="000000"/>
          <w:sz w:val="24"/>
          <w:szCs w:val="24"/>
        </w:rPr>
        <w:t xml:space="preserve"> retirement is not a discharge and the bargaining agreement did not give firefighters a protected property interest in continued employment regardless of their age. Minch v. City of Chicago, #05-2702, 2007 U.S. App. Lexis 11260, 181 LRRM (BNA) 3089 (7th Cir.).</w:t>
      </w:r>
      <w:r>
        <w:rPr>
          <w:rFonts w:ascii="Times New Roman" w:hAnsi="Times New Roman"/>
          <w:color w:val="000000"/>
          <w:sz w:val="24"/>
          <w:szCs w:val="24"/>
        </w:rPr>
        <w:t xml:space="preserve">” </w:t>
      </w:r>
      <w:hyperlink r:id="rId1210" w:history="1">
        <w:r w:rsidRPr="00AB20E4">
          <w:rPr>
            <w:rStyle w:val="Hyperlink"/>
            <w:sz w:val="24"/>
            <w:szCs w:val="24"/>
          </w:rPr>
          <w:t>http://www.aele.org/law/Digests/empl6.html</w:t>
        </w:r>
      </w:hyperlink>
      <w:r>
        <w:rPr>
          <w:rFonts w:ascii="Times New Roman" w:hAnsi="Times New Roman"/>
          <w:color w:val="000000"/>
          <w:sz w:val="24"/>
          <w:szCs w:val="24"/>
        </w:rPr>
        <w:t xml:space="preserve"> </w:t>
      </w:r>
    </w:p>
    <w:p w14:paraId="21D09FCD" w14:textId="77777777" w:rsidR="00831847" w:rsidRDefault="00831847" w:rsidP="00831847">
      <w:pPr>
        <w:pStyle w:val="NoSpacing"/>
        <w:ind w:left="720"/>
        <w:rPr>
          <w:rFonts w:ascii="Times New Roman" w:hAnsi="Times New Roman"/>
          <w:color w:val="000000"/>
          <w:sz w:val="24"/>
          <w:szCs w:val="24"/>
        </w:rPr>
      </w:pPr>
    </w:p>
    <w:p w14:paraId="5B8F3FBB" w14:textId="77777777" w:rsidR="00831847" w:rsidRDefault="00831847" w:rsidP="00831847">
      <w:pPr>
        <w:pStyle w:val="NoSpacing"/>
        <w:ind w:left="720"/>
        <w:rPr>
          <w:rFonts w:ascii="Times New Roman" w:hAnsi="Times New Roman"/>
          <w:color w:val="000000"/>
          <w:sz w:val="24"/>
          <w:szCs w:val="24"/>
        </w:rPr>
      </w:pPr>
      <w:r>
        <w:rPr>
          <w:rFonts w:ascii="Times New Roman" w:hAnsi="Times New Roman"/>
          <w:color w:val="000000"/>
          <w:sz w:val="24"/>
          <w:szCs w:val="24"/>
        </w:rPr>
        <w:t>***</w:t>
      </w:r>
    </w:p>
    <w:p w14:paraId="218CD4FB" w14:textId="77777777" w:rsidR="00831847" w:rsidRDefault="00831847" w:rsidP="00831847">
      <w:pPr>
        <w:pStyle w:val="NoSpacing"/>
        <w:ind w:left="720"/>
        <w:rPr>
          <w:rFonts w:ascii="Times New Roman" w:hAnsi="Times New Roman"/>
          <w:color w:val="000000"/>
          <w:sz w:val="24"/>
          <w:szCs w:val="24"/>
        </w:rPr>
      </w:pPr>
    </w:p>
    <w:p w14:paraId="32D3782D" w14:textId="77777777" w:rsidR="00831847" w:rsidRDefault="00831847" w:rsidP="00831847">
      <w:pPr>
        <w:pStyle w:val="NoSpacing"/>
        <w:ind w:left="720"/>
        <w:rPr>
          <w:rFonts w:ascii="Times New Roman" w:hAnsi="Times New Roman"/>
          <w:sz w:val="24"/>
          <w:szCs w:val="24"/>
        </w:rPr>
      </w:pPr>
      <w:r w:rsidRPr="00990608">
        <w:rPr>
          <w:rFonts w:ascii="Times New Roman" w:hAnsi="Times New Roman"/>
          <w:color w:val="000000"/>
          <w:sz w:val="24"/>
          <w:szCs w:val="24"/>
        </w:rPr>
        <w:t xml:space="preserve">U.S. Department of Interior firefighters: </w:t>
      </w:r>
      <w:r>
        <w:rPr>
          <w:rFonts w:ascii="Times New Roman" w:hAnsi="Times New Roman"/>
          <w:color w:val="000000"/>
          <w:sz w:val="24"/>
          <w:szCs w:val="24"/>
        </w:rPr>
        <w:t>“</w:t>
      </w:r>
      <w:r>
        <w:rPr>
          <w:rFonts w:ascii="Times New Roman" w:hAnsi="Times New Roman"/>
          <w:sz w:val="24"/>
          <w:szCs w:val="24"/>
        </w:rPr>
        <w:t xml:space="preserve">The </w:t>
      </w:r>
      <w:r w:rsidRPr="00990608">
        <w:rPr>
          <w:rFonts w:ascii="Times New Roman" w:hAnsi="Times New Roman"/>
          <w:sz w:val="24"/>
          <w:szCs w:val="24"/>
        </w:rPr>
        <w:t>mandatory retirement age, with</w:t>
      </w:r>
      <w:r>
        <w:rPr>
          <w:rFonts w:ascii="Times New Roman" w:hAnsi="Times New Roman"/>
          <w:sz w:val="24"/>
          <w:szCs w:val="24"/>
        </w:rPr>
        <w:t xml:space="preserve"> </w:t>
      </w:r>
      <w:r w:rsidRPr="00990608">
        <w:rPr>
          <w:rFonts w:ascii="Times New Roman" w:hAnsi="Times New Roman"/>
          <w:sz w:val="24"/>
          <w:szCs w:val="24"/>
        </w:rPr>
        <w:t>20 years covered service</w:t>
      </w:r>
      <w:r>
        <w:rPr>
          <w:rFonts w:ascii="Times New Roman" w:hAnsi="Times New Roman"/>
          <w:sz w:val="24"/>
          <w:szCs w:val="24"/>
        </w:rPr>
        <w:t xml:space="preserve"> </w:t>
      </w:r>
      <w:r w:rsidRPr="00990608">
        <w:rPr>
          <w:rFonts w:ascii="Times New Roman" w:hAnsi="Times New Roman"/>
          <w:sz w:val="24"/>
          <w:szCs w:val="24"/>
        </w:rPr>
        <w:t>is:</w:t>
      </w:r>
      <w:r>
        <w:rPr>
          <w:rFonts w:ascii="Times New Roman" w:hAnsi="Times New Roman"/>
          <w:sz w:val="24"/>
          <w:szCs w:val="24"/>
        </w:rPr>
        <w:t xml:space="preserve"> </w:t>
      </w:r>
      <w:r w:rsidRPr="00990608">
        <w:rPr>
          <w:rFonts w:ascii="Times New Roman" w:hAnsi="Times New Roman"/>
          <w:sz w:val="24"/>
          <w:szCs w:val="24"/>
        </w:rPr>
        <w:t>Firefighters and Law Enforcement Officers - age 57, or any</w:t>
      </w:r>
      <w:r>
        <w:rPr>
          <w:rFonts w:ascii="Times New Roman" w:hAnsi="Times New Roman"/>
          <w:sz w:val="24"/>
          <w:szCs w:val="24"/>
        </w:rPr>
        <w:t xml:space="preserve"> </w:t>
      </w:r>
      <w:r w:rsidRPr="00990608">
        <w:rPr>
          <w:rFonts w:ascii="Times New Roman" w:hAnsi="Times New Roman"/>
          <w:sz w:val="24"/>
          <w:szCs w:val="24"/>
        </w:rPr>
        <w:t>time after age 57, upon reaching 20 years</w:t>
      </w:r>
      <w:r>
        <w:rPr>
          <w:rFonts w:ascii="Times New Roman" w:hAnsi="Times New Roman"/>
          <w:sz w:val="24"/>
          <w:szCs w:val="24"/>
        </w:rPr>
        <w:t xml:space="preserve"> </w:t>
      </w:r>
      <w:r w:rsidRPr="00990608">
        <w:rPr>
          <w:rFonts w:ascii="Times New Roman" w:hAnsi="Times New Roman"/>
          <w:sz w:val="24"/>
          <w:szCs w:val="24"/>
        </w:rPr>
        <w:t>covered service.</w:t>
      </w:r>
      <w:r>
        <w:rPr>
          <w:rFonts w:ascii="Times New Roman" w:hAnsi="Times New Roman"/>
          <w:sz w:val="24"/>
          <w:szCs w:val="24"/>
        </w:rPr>
        <w:t xml:space="preserve">” </w:t>
      </w:r>
      <w:hyperlink r:id="rId1211" w:history="1">
        <w:r w:rsidRPr="00AB20E4">
          <w:rPr>
            <w:rStyle w:val="Hyperlink"/>
            <w:sz w:val="24"/>
            <w:szCs w:val="24"/>
          </w:rPr>
          <w:t>https://www.doi.gov/sites/doi.gov/files/migrated/flert/training/upload/General-FF-LEO-Retirement-Information-Pamphlet.pdf</w:t>
        </w:r>
      </w:hyperlink>
      <w:r>
        <w:rPr>
          <w:rFonts w:ascii="Times New Roman" w:hAnsi="Times New Roman"/>
          <w:sz w:val="24"/>
          <w:szCs w:val="24"/>
        </w:rPr>
        <w:t xml:space="preserve"> </w:t>
      </w:r>
    </w:p>
    <w:p w14:paraId="75B62BC3" w14:textId="77777777" w:rsidR="00831847" w:rsidRDefault="00831847" w:rsidP="00831847">
      <w:pPr>
        <w:pStyle w:val="NoSpacing"/>
        <w:ind w:left="720"/>
        <w:rPr>
          <w:rFonts w:ascii="Times New Roman" w:hAnsi="Times New Roman"/>
          <w:color w:val="000000"/>
          <w:sz w:val="24"/>
          <w:szCs w:val="24"/>
        </w:rPr>
      </w:pPr>
    </w:p>
    <w:p w14:paraId="68B9DABD" w14:textId="77777777" w:rsidR="00831847" w:rsidRPr="00990608" w:rsidRDefault="00831847" w:rsidP="00831847">
      <w:pPr>
        <w:pStyle w:val="NoSpacing"/>
        <w:ind w:left="720"/>
        <w:rPr>
          <w:rFonts w:ascii="Times New Roman" w:hAnsi="Times New Roman"/>
          <w:color w:val="000000"/>
          <w:sz w:val="24"/>
          <w:szCs w:val="24"/>
        </w:rPr>
      </w:pPr>
      <w:r>
        <w:rPr>
          <w:rFonts w:ascii="Times New Roman" w:hAnsi="Times New Roman"/>
          <w:color w:val="000000"/>
          <w:sz w:val="24"/>
          <w:szCs w:val="24"/>
        </w:rPr>
        <w:t>***</w:t>
      </w:r>
    </w:p>
    <w:p w14:paraId="3D096B16" w14:textId="77777777" w:rsidR="00831847" w:rsidRPr="00990608" w:rsidRDefault="00831847" w:rsidP="00831847">
      <w:pPr>
        <w:pStyle w:val="NoSpacing"/>
        <w:rPr>
          <w:rFonts w:ascii="Times New Roman" w:hAnsi="Times New Roman"/>
          <w:sz w:val="24"/>
          <w:szCs w:val="24"/>
        </w:rPr>
      </w:pPr>
    </w:p>
    <w:p w14:paraId="2D5E1072" w14:textId="77777777" w:rsidR="00831847" w:rsidRDefault="00831847" w:rsidP="00831847">
      <w:pPr>
        <w:pStyle w:val="NoSpacing"/>
        <w:ind w:left="720"/>
        <w:rPr>
          <w:rFonts w:ascii="Times New Roman" w:hAnsi="Times New Roman"/>
          <w:sz w:val="24"/>
          <w:szCs w:val="24"/>
        </w:rPr>
      </w:pPr>
      <w:r>
        <w:rPr>
          <w:rFonts w:ascii="Times New Roman" w:hAnsi="Times New Roman"/>
          <w:sz w:val="24"/>
          <w:szCs w:val="24"/>
        </w:rPr>
        <w:t>March 6, 2012: “</w:t>
      </w:r>
      <w:r w:rsidRPr="00990608">
        <w:rPr>
          <w:rFonts w:ascii="Times New Roman" w:hAnsi="Times New Roman"/>
          <w:sz w:val="24"/>
          <w:szCs w:val="24"/>
        </w:rPr>
        <w:t xml:space="preserve">Many states made changes to retirement benefits for uniformed personnel in the wake of the recession. Table 2 shows changes made in 12 states from 2010 to 2011. Some moved to 25 and out plans; new uniformed hires in various classes of employment in Arizona, Connecticut, Hawaii, Maryland, New Jersey, and Rhode Island were placed in 25 and out plans. In 2010 new hazardous duty personnel in Louisiana began in a 25 and out plan, as well. Six other states set higher retirement ages and/or service requirements for some uniformed personnel. Florida, for example, adopted a 60/30 plan for its new special risk class employees and Massachusetts increased retirement ages for three out of four types of law enforcement employees to 50 and 55. In Illinois new uniformed employees of Downstate and Chicago will be required to reach the age of 55 and have at least 10 </w:t>
      </w:r>
      <w:proofErr w:type="spellStart"/>
      <w:r w:rsidRPr="00990608">
        <w:rPr>
          <w:rFonts w:ascii="Times New Roman" w:hAnsi="Times New Roman"/>
          <w:sz w:val="24"/>
          <w:szCs w:val="24"/>
        </w:rPr>
        <w:t>years service</w:t>
      </w:r>
      <w:proofErr w:type="spellEnd"/>
      <w:r w:rsidRPr="00990608">
        <w:rPr>
          <w:rFonts w:ascii="Times New Roman" w:hAnsi="Times New Roman"/>
          <w:sz w:val="24"/>
          <w:szCs w:val="24"/>
        </w:rPr>
        <w:t xml:space="preserve"> to claim a pension.</w:t>
      </w:r>
      <w:r>
        <w:rPr>
          <w:rFonts w:ascii="Times New Roman" w:hAnsi="Times New Roman"/>
          <w:sz w:val="24"/>
          <w:szCs w:val="24"/>
        </w:rPr>
        <w:t xml:space="preserve">” </w:t>
      </w:r>
      <w:hyperlink r:id="rId1212" w:history="1">
        <w:r w:rsidRPr="00AB20E4">
          <w:rPr>
            <w:rStyle w:val="Hyperlink"/>
            <w:sz w:val="24"/>
            <w:szCs w:val="24"/>
          </w:rPr>
          <w:t>https://cbcny.org/research/pension-reform-firefighters-will-not-be-running-burning-buildings-age-65</w:t>
        </w:r>
      </w:hyperlink>
      <w:r>
        <w:rPr>
          <w:rFonts w:ascii="Times New Roman" w:hAnsi="Times New Roman"/>
          <w:sz w:val="24"/>
          <w:szCs w:val="24"/>
        </w:rPr>
        <w:t xml:space="preserve"> </w:t>
      </w:r>
    </w:p>
    <w:p w14:paraId="0CA9BD02" w14:textId="77777777" w:rsidR="00831847" w:rsidRDefault="00831847" w:rsidP="00831847">
      <w:pPr>
        <w:pStyle w:val="NoSpacing"/>
        <w:ind w:left="720"/>
        <w:rPr>
          <w:rFonts w:ascii="Times New Roman" w:hAnsi="Times New Roman"/>
          <w:sz w:val="24"/>
          <w:szCs w:val="24"/>
        </w:rPr>
      </w:pPr>
    </w:p>
    <w:p w14:paraId="66C4B62A" w14:textId="77777777" w:rsidR="00831847" w:rsidRPr="00990608" w:rsidRDefault="00831847" w:rsidP="00831847">
      <w:pPr>
        <w:pStyle w:val="NoSpacing"/>
        <w:ind w:left="720"/>
        <w:rPr>
          <w:rFonts w:ascii="Times New Roman" w:hAnsi="Times New Roman"/>
          <w:sz w:val="24"/>
          <w:szCs w:val="24"/>
        </w:rPr>
      </w:pPr>
      <w:r>
        <w:rPr>
          <w:rFonts w:ascii="Times New Roman" w:hAnsi="Times New Roman"/>
          <w:sz w:val="24"/>
          <w:szCs w:val="24"/>
        </w:rPr>
        <w:t>***</w:t>
      </w:r>
    </w:p>
    <w:p w14:paraId="238D4B31" w14:textId="77777777" w:rsidR="00831847" w:rsidRPr="00990608" w:rsidRDefault="00831847" w:rsidP="00831847">
      <w:pPr>
        <w:pStyle w:val="NoSpacing"/>
        <w:ind w:left="720"/>
        <w:rPr>
          <w:rFonts w:ascii="Times New Roman" w:hAnsi="Times New Roman"/>
          <w:sz w:val="24"/>
          <w:szCs w:val="24"/>
        </w:rPr>
      </w:pPr>
    </w:p>
    <w:p w14:paraId="7E8A59C8" w14:textId="77777777" w:rsidR="00831847" w:rsidRDefault="00831847" w:rsidP="00831847">
      <w:pPr>
        <w:pStyle w:val="NoSpacing"/>
        <w:ind w:left="720"/>
        <w:rPr>
          <w:rFonts w:ascii="Times New Roman" w:hAnsi="Times New Roman"/>
          <w:sz w:val="24"/>
          <w:szCs w:val="24"/>
        </w:rPr>
      </w:pPr>
      <w:r>
        <w:rPr>
          <w:rFonts w:ascii="Times New Roman" w:hAnsi="Times New Roman"/>
          <w:sz w:val="24"/>
          <w:szCs w:val="24"/>
        </w:rPr>
        <w:t xml:space="preserve">March 2, 2002:  </w:t>
      </w:r>
      <w:r w:rsidRPr="0087635A">
        <w:rPr>
          <w:rFonts w:ascii="Times New Roman" w:hAnsi="Times New Roman"/>
          <w:sz w:val="24"/>
          <w:szCs w:val="24"/>
        </w:rPr>
        <w:t>Federal firefighters have a mandatory retirement age of 57. In California the age is 60 and in Chicago, it's 63. Connecticut state law puts the issue under local control.</w:t>
      </w:r>
      <w:r>
        <w:rPr>
          <w:rFonts w:ascii="Times New Roman" w:hAnsi="Times New Roman"/>
          <w:sz w:val="24"/>
          <w:szCs w:val="24"/>
        </w:rPr>
        <w:t xml:space="preserve"> </w:t>
      </w:r>
      <w:hyperlink r:id="rId1213" w:history="1">
        <w:r w:rsidRPr="00AB20E4">
          <w:rPr>
            <w:rStyle w:val="Hyperlink"/>
            <w:sz w:val="24"/>
            <w:szCs w:val="24"/>
          </w:rPr>
          <w:t>https://www.courant.com/news/connecticut/hc-xpm-2002-03-02-0203020027-story.html</w:t>
        </w:r>
      </w:hyperlink>
      <w:r>
        <w:rPr>
          <w:rFonts w:ascii="Times New Roman" w:hAnsi="Times New Roman"/>
          <w:sz w:val="24"/>
          <w:szCs w:val="24"/>
        </w:rPr>
        <w:t xml:space="preserve"> </w:t>
      </w:r>
    </w:p>
    <w:p w14:paraId="1CA35CB2" w14:textId="77777777" w:rsidR="00831847" w:rsidRDefault="00831847" w:rsidP="00831847">
      <w:pPr>
        <w:pStyle w:val="NoSpacing"/>
        <w:ind w:left="720"/>
        <w:rPr>
          <w:rFonts w:ascii="Times New Roman" w:hAnsi="Times New Roman"/>
          <w:sz w:val="24"/>
          <w:szCs w:val="24"/>
        </w:rPr>
      </w:pPr>
    </w:p>
    <w:p w14:paraId="4227E910" w14:textId="77777777" w:rsidR="00831847" w:rsidRDefault="00831847" w:rsidP="00831847">
      <w:pPr>
        <w:pStyle w:val="NoSpacing"/>
        <w:ind w:left="720"/>
        <w:rPr>
          <w:rFonts w:ascii="Times New Roman" w:hAnsi="Times New Roman"/>
          <w:sz w:val="24"/>
          <w:szCs w:val="24"/>
        </w:rPr>
      </w:pPr>
      <w:r>
        <w:rPr>
          <w:rFonts w:ascii="Times New Roman" w:hAnsi="Times New Roman"/>
          <w:sz w:val="24"/>
          <w:szCs w:val="24"/>
        </w:rPr>
        <w:t>***</w:t>
      </w:r>
    </w:p>
    <w:p w14:paraId="1024E0D5" w14:textId="77777777" w:rsidR="00831847" w:rsidRDefault="00831847" w:rsidP="00831847">
      <w:pPr>
        <w:pStyle w:val="NoSpacing"/>
        <w:rPr>
          <w:rFonts w:ascii="Times New Roman" w:hAnsi="Times New Roman"/>
          <w:sz w:val="24"/>
          <w:szCs w:val="24"/>
        </w:rPr>
      </w:pPr>
    </w:p>
    <w:p w14:paraId="71D212EF" w14:textId="77777777" w:rsidR="00831847" w:rsidRPr="006E0916" w:rsidRDefault="00831847" w:rsidP="00831847">
      <w:pPr>
        <w:pStyle w:val="NoSpacing"/>
        <w:ind w:left="720"/>
        <w:rPr>
          <w:rFonts w:ascii="Times New Roman" w:hAnsi="Times New Roman"/>
          <w:sz w:val="24"/>
          <w:szCs w:val="24"/>
        </w:rPr>
      </w:pPr>
      <w:r>
        <w:rPr>
          <w:rFonts w:ascii="Times New Roman" w:hAnsi="Times New Roman"/>
          <w:sz w:val="24"/>
          <w:szCs w:val="24"/>
        </w:rPr>
        <w:t>Aug. 3, 2001: “</w:t>
      </w:r>
      <w:r w:rsidRPr="006E0916">
        <w:rPr>
          <w:rFonts w:ascii="Times New Roman" w:hAnsi="Times New Roman"/>
          <w:sz w:val="24"/>
          <w:szCs w:val="24"/>
        </w:rPr>
        <w:t xml:space="preserve">Federal firefighters will be able to stay on the job until they are 57, under a law President Bush signed on Monday. Under </w:t>
      </w:r>
      <w:proofErr w:type="gramStart"/>
      <w:r w:rsidRPr="006E0916">
        <w:rPr>
          <w:rFonts w:ascii="Times New Roman" w:hAnsi="Times New Roman"/>
          <w:sz w:val="24"/>
          <w:szCs w:val="24"/>
        </w:rPr>
        <w:t>a previous</w:t>
      </w:r>
      <w:proofErr w:type="gramEnd"/>
      <w:r w:rsidRPr="006E0916">
        <w:rPr>
          <w:rFonts w:ascii="Times New Roman" w:hAnsi="Times New Roman"/>
          <w:sz w:val="24"/>
          <w:szCs w:val="24"/>
        </w:rPr>
        <w:t xml:space="preserve"> law, the mandatory retirement age for firefighters was 55. Firefighters must serve for 20 years to receive full retirement benefits.</w:t>
      </w:r>
      <w:r>
        <w:rPr>
          <w:rFonts w:ascii="Times New Roman" w:hAnsi="Times New Roman"/>
          <w:sz w:val="24"/>
          <w:szCs w:val="24"/>
        </w:rPr>
        <w:t xml:space="preserve">” </w:t>
      </w:r>
      <w:hyperlink r:id="rId1214" w:history="1">
        <w:r w:rsidRPr="00AB20E4">
          <w:rPr>
            <w:rStyle w:val="Hyperlink"/>
            <w:sz w:val="24"/>
            <w:szCs w:val="24"/>
          </w:rPr>
          <w:t>https://www.govexec.com/pay-benefits/2001/08/firefighter-retirement-age-rises-to-57/9846/</w:t>
        </w:r>
      </w:hyperlink>
      <w:r>
        <w:rPr>
          <w:rFonts w:ascii="Times New Roman" w:hAnsi="Times New Roman"/>
          <w:sz w:val="24"/>
          <w:szCs w:val="24"/>
        </w:rPr>
        <w:t xml:space="preserve"> </w:t>
      </w:r>
    </w:p>
    <w:p w14:paraId="02649629" w14:textId="67E15864" w:rsidR="00831847" w:rsidRDefault="00831847" w:rsidP="00EF1133">
      <w:pPr>
        <w:rPr>
          <w:rFonts w:ascii="Arial Black" w:hAnsi="Arial Black"/>
          <w:b/>
          <w:sz w:val="24"/>
          <w:szCs w:val="24"/>
        </w:rPr>
      </w:pPr>
    </w:p>
    <w:p w14:paraId="4B08E8B2" w14:textId="2FD3C284" w:rsidR="00831847" w:rsidRDefault="00831847" w:rsidP="00EF1133">
      <w:pPr>
        <w:rPr>
          <w:rFonts w:ascii="Arial Black" w:hAnsi="Arial Black"/>
          <w:b/>
          <w:sz w:val="24"/>
          <w:szCs w:val="24"/>
        </w:rPr>
      </w:pPr>
    </w:p>
    <w:p w14:paraId="69DA113A" w14:textId="77777777" w:rsidR="00831847" w:rsidRDefault="00831847" w:rsidP="00EF1133">
      <w:pPr>
        <w:rPr>
          <w:rFonts w:ascii="Arial Black" w:hAnsi="Arial Black"/>
          <w:b/>
          <w:sz w:val="24"/>
          <w:szCs w:val="24"/>
        </w:rPr>
      </w:pPr>
    </w:p>
    <w:p w14:paraId="7CBC5F7A" w14:textId="0A65C499" w:rsidR="00831847" w:rsidRDefault="00831847" w:rsidP="00EF1133">
      <w:pPr>
        <w:rPr>
          <w:rFonts w:ascii="Arial Black" w:hAnsi="Arial Black"/>
          <w:b/>
          <w:sz w:val="24"/>
          <w:szCs w:val="24"/>
        </w:rPr>
      </w:pPr>
      <w:r>
        <w:rPr>
          <w:rFonts w:ascii="Arial Black" w:hAnsi="Arial Black"/>
          <w:b/>
          <w:sz w:val="24"/>
          <w:szCs w:val="24"/>
        </w:rPr>
        <w:t>6-6</w:t>
      </w:r>
      <w:r w:rsidR="00FF7C63">
        <w:rPr>
          <w:rFonts w:ascii="Arial Black" w:hAnsi="Arial Black"/>
          <w:b/>
          <w:sz w:val="24"/>
          <w:szCs w:val="24"/>
        </w:rPr>
        <w:t>7</w:t>
      </w:r>
    </w:p>
    <w:p w14:paraId="26B5369C" w14:textId="77777777" w:rsidR="00831847" w:rsidRPr="00BC1F41" w:rsidRDefault="00831847" w:rsidP="00831847">
      <w:pPr>
        <w:pStyle w:val="NoSpacing"/>
        <w:rPr>
          <w:rFonts w:ascii="Arial Black" w:hAnsi="Arial Black"/>
          <w:sz w:val="28"/>
          <w:szCs w:val="28"/>
        </w:rPr>
      </w:pPr>
      <w:r>
        <w:rPr>
          <w:rFonts w:ascii="Arial Black" w:hAnsi="Arial Black"/>
          <w:sz w:val="28"/>
          <w:szCs w:val="28"/>
        </w:rPr>
        <w:t xml:space="preserve">PA:  INDEMNIFICATION DENIED – OFF DUTY PD CHASED &amp; PUNCHED 16-YR-OLD SMASHED PUMPKINS AT PD HOME </w:t>
      </w:r>
    </w:p>
    <w:p w14:paraId="10FCC555" w14:textId="77777777" w:rsidR="00831847" w:rsidRPr="00D91F44" w:rsidRDefault="00831847" w:rsidP="00831847">
      <w:pPr>
        <w:pStyle w:val="Heading1"/>
        <w:rPr>
          <w:b w:val="0"/>
          <w:bCs w:val="0"/>
          <w:sz w:val="24"/>
          <w:szCs w:val="24"/>
        </w:rPr>
      </w:pPr>
      <w:r>
        <w:rPr>
          <w:b w:val="0"/>
          <w:bCs w:val="0"/>
          <w:sz w:val="24"/>
          <w:szCs w:val="24"/>
        </w:rPr>
        <w:lastRenderedPageBreak/>
        <w:t xml:space="preserve">On March 10, 2021, in </w:t>
      </w:r>
      <w:r w:rsidRPr="00BC1F41">
        <w:rPr>
          <w:b w:val="0"/>
          <w:bCs w:val="0"/>
          <w:sz w:val="24"/>
          <w:szCs w:val="24"/>
          <w:u w:val="single"/>
        </w:rPr>
        <w:t>Shane McGuire, on behalf of Colby Neidig v. City of Pittsburg</w:t>
      </w:r>
      <w:r>
        <w:rPr>
          <w:b w:val="0"/>
          <w:bCs w:val="0"/>
          <w:sz w:val="24"/>
          <w:szCs w:val="24"/>
        </w:rPr>
        <w:t>, the Commonwealth Court of Pennsylvania, held (3 to 0) that an off-duty police officer (Neidig) was not entitled to indemnification by the City since he was not acting “within the score of his office or duties when he chased a 16-year-old juvenile (McGuire) who had smashed pumpkins on the officer’s front porch, punched the juvenile in the face, and held him until police arrived.    The lawsuit proceeded in Federal court for violation of juvenile’s federal constitutional rights under 42 U.S.C. 1983 and the jury “</w:t>
      </w:r>
      <w:r w:rsidRPr="00396E8F">
        <w:rPr>
          <w:b w:val="0"/>
          <w:bCs w:val="0"/>
          <w:sz w:val="24"/>
          <w:szCs w:val="24"/>
        </w:rPr>
        <w:t>specifically concluded that Neidig acted under color of state law</w:t>
      </w:r>
      <w:r>
        <w:rPr>
          <w:b w:val="0"/>
          <w:bCs w:val="0"/>
          <w:sz w:val="24"/>
          <w:szCs w:val="24"/>
        </w:rPr>
        <w:t>.” The juvenile then sued City of Pittsburg (with officer’s permission) in state court to pay the judgment, but after a 4-day jury trial, the jury found City had no obligation to indemnify the officer, “</w:t>
      </w:r>
      <w:r w:rsidRPr="00D91F44">
        <w:rPr>
          <w:b w:val="0"/>
          <w:bCs w:val="0"/>
          <w:sz w:val="24"/>
          <w:szCs w:val="24"/>
        </w:rPr>
        <w:t>concluding that Neidig had not acted within the scope of his duties when he struck McGuire.</w:t>
      </w:r>
      <w:r>
        <w:rPr>
          <w:b w:val="0"/>
          <w:bCs w:val="0"/>
          <w:sz w:val="24"/>
          <w:szCs w:val="24"/>
        </w:rPr>
        <w:t>”</w:t>
      </w:r>
    </w:p>
    <w:p w14:paraId="4C2B0C5E" w14:textId="77777777" w:rsidR="00831847" w:rsidRPr="001A09F3" w:rsidRDefault="00831847" w:rsidP="00831847">
      <w:pPr>
        <w:pStyle w:val="Heading1"/>
        <w:ind w:left="720"/>
        <w:rPr>
          <w:b w:val="0"/>
          <w:bCs w:val="0"/>
          <w:sz w:val="24"/>
          <w:szCs w:val="24"/>
        </w:rPr>
      </w:pPr>
      <w:r>
        <w:rPr>
          <w:b w:val="0"/>
          <w:bCs w:val="0"/>
          <w:sz w:val="24"/>
          <w:szCs w:val="24"/>
        </w:rPr>
        <w:t>“</w:t>
      </w:r>
      <w:r w:rsidRPr="00DF22C9">
        <w:rPr>
          <w:b w:val="0"/>
          <w:bCs w:val="0"/>
          <w:sz w:val="24"/>
          <w:szCs w:val="24"/>
        </w:rPr>
        <w:t>This Court emphasizes</w:t>
      </w:r>
      <w:r>
        <w:rPr>
          <w:b w:val="0"/>
          <w:bCs w:val="0"/>
          <w:sz w:val="24"/>
          <w:szCs w:val="24"/>
        </w:rPr>
        <w:t xml:space="preserve"> </w:t>
      </w:r>
      <w:r w:rsidRPr="00DF22C9">
        <w:rPr>
          <w:b w:val="0"/>
          <w:bCs w:val="0"/>
          <w:sz w:val="24"/>
          <w:szCs w:val="24"/>
        </w:rPr>
        <w:t>that</w:t>
      </w:r>
      <w:r>
        <w:rPr>
          <w:b w:val="0"/>
          <w:bCs w:val="0"/>
          <w:sz w:val="24"/>
          <w:szCs w:val="24"/>
        </w:rPr>
        <w:t xml:space="preserve"> </w:t>
      </w:r>
      <w:r w:rsidRPr="00DF22C9">
        <w:rPr>
          <w:b w:val="0"/>
          <w:bCs w:val="0"/>
          <w:sz w:val="24"/>
          <w:szCs w:val="24"/>
        </w:rPr>
        <w:t xml:space="preserve">under Section 8548(a) of the </w:t>
      </w:r>
      <w:r>
        <w:rPr>
          <w:b w:val="0"/>
          <w:bCs w:val="0"/>
          <w:sz w:val="24"/>
          <w:szCs w:val="24"/>
        </w:rPr>
        <w:t xml:space="preserve">[PA] </w:t>
      </w:r>
      <w:r w:rsidRPr="00DF22C9">
        <w:rPr>
          <w:b w:val="0"/>
          <w:bCs w:val="0"/>
          <w:sz w:val="24"/>
          <w:szCs w:val="24"/>
        </w:rPr>
        <w:t>Tort Claims Act, a municipality need only indemnify an employee if that employee was acting within the scope of his office or duties</w:t>
      </w:r>
      <w:r>
        <w:rPr>
          <w:b w:val="0"/>
          <w:bCs w:val="0"/>
          <w:sz w:val="24"/>
          <w:szCs w:val="24"/>
        </w:rPr>
        <w:t xml:space="preserve"> </w:t>
      </w:r>
      <w:r w:rsidRPr="00DF22C9">
        <w:rPr>
          <w:b w:val="0"/>
          <w:bCs w:val="0"/>
          <w:sz w:val="24"/>
          <w:szCs w:val="24"/>
        </w:rPr>
        <w:t>at the time the employee caused the injury.</w:t>
      </w:r>
      <w:r>
        <w:rPr>
          <w:b w:val="0"/>
          <w:bCs w:val="0"/>
          <w:sz w:val="24"/>
          <w:szCs w:val="24"/>
        </w:rPr>
        <w:t xml:space="preserve"> </w:t>
      </w:r>
      <w:r w:rsidRPr="00DF22C9">
        <w:rPr>
          <w:b w:val="0"/>
          <w:bCs w:val="0"/>
          <w:sz w:val="24"/>
          <w:szCs w:val="24"/>
        </w:rPr>
        <w:t>Because the jury properly</w:t>
      </w:r>
      <w:r>
        <w:rPr>
          <w:b w:val="0"/>
          <w:bCs w:val="0"/>
          <w:sz w:val="24"/>
          <w:szCs w:val="24"/>
        </w:rPr>
        <w:t xml:space="preserve"> </w:t>
      </w:r>
      <w:r w:rsidRPr="00DF22C9">
        <w:rPr>
          <w:b w:val="0"/>
          <w:bCs w:val="0"/>
          <w:sz w:val="24"/>
          <w:szCs w:val="24"/>
        </w:rPr>
        <w:t>determined that Neidig acted beyond the scope of his employment, and the jury did not reach the willful misconduct issue, this Court need not address McGuire’s willful misconduct arguments</w:t>
      </w:r>
      <w:r>
        <w:rPr>
          <w:b w:val="0"/>
          <w:bCs w:val="0"/>
          <w:sz w:val="24"/>
          <w:szCs w:val="24"/>
        </w:rPr>
        <w:t xml:space="preserve">…. </w:t>
      </w:r>
      <w:r w:rsidRPr="00DF22C9">
        <w:rPr>
          <w:b w:val="0"/>
          <w:bCs w:val="0"/>
          <w:sz w:val="24"/>
          <w:szCs w:val="24"/>
        </w:rPr>
        <w:t xml:space="preserve">For </w:t>
      </w:r>
      <w:proofErr w:type="gramStart"/>
      <w:r w:rsidRPr="00DF22C9">
        <w:rPr>
          <w:b w:val="0"/>
          <w:bCs w:val="0"/>
          <w:sz w:val="24"/>
          <w:szCs w:val="24"/>
        </w:rPr>
        <w:t>all of</w:t>
      </w:r>
      <w:proofErr w:type="gramEnd"/>
      <w:r w:rsidRPr="00DF22C9">
        <w:rPr>
          <w:b w:val="0"/>
          <w:bCs w:val="0"/>
          <w:sz w:val="24"/>
          <w:szCs w:val="24"/>
        </w:rPr>
        <w:t xml:space="preserve"> the above reasons, the trial court’s order is </w:t>
      </w:r>
      <w:proofErr w:type="gramStart"/>
      <w:r w:rsidRPr="00DF22C9">
        <w:rPr>
          <w:b w:val="0"/>
          <w:bCs w:val="0"/>
          <w:sz w:val="24"/>
          <w:szCs w:val="24"/>
        </w:rPr>
        <w:t>affirmed.</w:t>
      </w:r>
      <w:r>
        <w:rPr>
          <w:b w:val="0"/>
          <w:bCs w:val="0"/>
          <w:sz w:val="24"/>
          <w:szCs w:val="24"/>
        </w:rPr>
        <w:t>”</w:t>
      </w:r>
      <w:proofErr w:type="gramEnd"/>
      <w:r>
        <w:rPr>
          <w:b w:val="0"/>
          <w:bCs w:val="0"/>
          <w:sz w:val="24"/>
          <w:szCs w:val="24"/>
        </w:rPr>
        <w:t xml:space="preserve"> </w:t>
      </w:r>
      <w:hyperlink r:id="rId1215" w:history="1">
        <w:r w:rsidRPr="001A09F3">
          <w:rPr>
            <w:rStyle w:val="Hyperlink"/>
            <w:b w:val="0"/>
            <w:bCs w:val="0"/>
            <w:sz w:val="24"/>
            <w:szCs w:val="24"/>
          </w:rPr>
          <w:t>http://www.pacourts.us/assets/opinions/Commonwealth/out/141CD20_3-10-21.pdf?cb=1</w:t>
        </w:r>
      </w:hyperlink>
      <w:r w:rsidRPr="001A09F3">
        <w:rPr>
          <w:b w:val="0"/>
          <w:bCs w:val="0"/>
          <w:sz w:val="24"/>
          <w:szCs w:val="24"/>
        </w:rPr>
        <w:t xml:space="preserve"> </w:t>
      </w:r>
    </w:p>
    <w:p w14:paraId="29F1601F" w14:textId="77777777" w:rsidR="00831847" w:rsidRDefault="00831847" w:rsidP="00831847">
      <w:pPr>
        <w:rPr>
          <w:rFonts w:ascii="Times New Roman" w:hAnsi="Times New Roman"/>
          <w:b/>
          <w:bCs/>
          <w:sz w:val="24"/>
          <w:szCs w:val="24"/>
        </w:rPr>
      </w:pPr>
      <w:r w:rsidRPr="00BA4149">
        <w:rPr>
          <w:rFonts w:ascii="Times New Roman" w:hAnsi="Times New Roman"/>
          <w:b/>
          <w:bCs/>
          <w:sz w:val="24"/>
          <w:szCs w:val="24"/>
        </w:rPr>
        <w:t>Legal Lesson Learned:</w:t>
      </w:r>
      <w:r>
        <w:rPr>
          <w:rFonts w:ascii="Times New Roman" w:hAnsi="Times New Roman"/>
          <w:b/>
          <w:bCs/>
          <w:sz w:val="24"/>
          <w:szCs w:val="24"/>
        </w:rPr>
        <w:t xml:space="preserve">  Indemnification is important for emergency responders, including Fire &amp; EMS.   This decision was reportedly a matter of “first-impression” in PA; in Ohio, the Ohio Supreme Court held that individuals who successfully sue police officers may not then sue the officer’s city to collect the judgment, only the officers may sue. </w:t>
      </w:r>
      <w:r w:rsidRPr="00E3717D">
        <w:rPr>
          <w:rFonts w:ascii="Times New Roman" w:hAnsi="Times New Roman"/>
          <w:b/>
          <w:bCs/>
          <w:sz w:val="24"/>
          <w:szCs w:val="24"/>
          <w:u w:val="single"/>
        </w:rPr>
        <w:t>Ayers v. Cleveland</w:t>
      </w:r>
      <w:r w:rsidRPr="00E3717D">
        <w:rPr>
          <w:rFonts w:ascii="Times New Roman" w:hAnsi="Times New Roman"/>
          <w:b/>
          <w:bCs/>
          <w:sz w:val="24"/>
          <w:szCs w:val="24"/>
        </w:rPr>
        <w:t>, 160 Ohio St.3d 288, 2020-Ohio-1047 (March 25, 2020),</w:t>
      </w:r>
      <w:r w:rsidRPr="00E3717D">
        <w:t xml:space="preserve"> </w:t>
      </w:r>
      <w:hyperlink r:id="rId1216" w:history="1">
        <w:r w:rsidRPr="007A690F">
          <w:rPr>
            <w:rStyle w:val="Hyperlink"/>
            <w:rFonts w:ascii="Times New Roman" w:hAnsi="Times New Roman"/>
            <w:sz w:val="24"/>
            <w:szCs w:val="24"/>
          </w:rPr>
          <w:t>https://www.supremecourt.ohio.gov/rod/docs/pdf/0/2020/2020-Ohio-1047.pdf</w:t>
        </w:r>
      </w:hyperlink>
      <w:r>
        <w:rPr>
          <w:rStyle w:val="Hyperlink"/>
          <w:sz w:val="24"/>
          <w:szCs w:val="24"/>
        </w:rPr>
        <w:t xml:space="preserve"> </w:t>
      </w:r>
    </w:p>
    <w:p w14:paraId="2C015357" w14:textId="77777777" w:rsidR="00831847" w:rsidRDefault="00831847" w:rsidP="00831847">
      <w:pPr>
        <w:pStyle w:val="Heading1"/>
        <w:ind w:left="720"/>
        <w:rPr>
          <w:b w:val="0"/>
          <w:bCs w:val="0"/>
          <w:sz w:val="24"/>
          <w:szCs w:val="24"/>
        </w:rPr>
      </w:pPr>
      <w:r w:rsidRPr="00E3717D">
        <w:rPr>
          <w:b w:val="0"/>
          <w:bCs w:val="0"/>
          <w:sz w:val="24"/>
          <w:szCs w:val="24"/>
        </w:rPr>
        <w:t xml:space="preserve">Note: </w:t>
      </w:r>
    </w:p>
    <w:p w14:paraId="49E6EE6C" w14:textId="77777777" w:rsidR="00831847" w:rsidRPr="00E3717D" w:rsidRDefault="00831847" w:rsidP="00831847">
      <w:pPr>
        <w:pStyle w:val="Heading1"/>
        <w:ind w:left="720"/>
        <w:rPr>
          <w:b w:val="0"/>
          <w:bCs w:val="0"/>
          <w:sz w:val="24"/>
          <w:szCs w:val="24"/>
        </w:rPr>
      </w:pPr>
      <w:r>
        <w:rPr>
          <w:b w:val="0"/>
          <w:bCs w:val="0"/>
          <w:sz w:val="24"/>
          <w:szCs w:val="24"/>
        </w:rPr>
        <w:t xml:space="preserve">On Dec. 16, 2020, the </w:t>
      </w:r>
      <w:r w:rsidRPr="00E3717D">
        <w:rPr>
          <w:b w:val="0"/>
          <w:bCs w:val="0"/>
          <w:sz w:val="24"/>
          <w:szCs w:val="24"/>
        </w:rPr>
        <w:t xml:space="preserve">City of Cincinnati confirmed it will indemnify Dispatchers and Police sued in death of high school students who called 911 when back seat of </w:t>
      </w:r>
      <w:proofErr w:type="spellStart"/>
      <w:r w:rsidRPr="00E3717D">
        <w:rPr>
          <w:b w:val="0"/>
          <w:bCs w:val="0"/>
          <w:sz w:val="24"/>
          <w:szCs w:val="24"/>
        </w:rPr>
        <w:t>mini van</w:t>
      </w:r>
      <w:proofErr w:type="spellEnd"/>
      <w:r w:rsidRPr="00E3717D">
        <w:rPr>
          <w:b w:val="0"/>
          <w:bCs w:val="0"/>
          <w:sz w:val="24"/>
          <w:szCs w:val="24"/>
        </w:rPr>
        <w:t xml:space="preserve"> trapped him.  </w:t>
      </w:r>
      <w:r>
        <w:rPr>
          <w:b w:val="0"/>
          <w:bCs w:val="0"/>
          <w:sz w:val="24"/>
          <w:szCs w:val="24"/>
        </w:rPr>
        <w:t>“</w:t>
      </w:r>
      <w:r w:rsidRPr="00E3717D">
        <w:rPr>
          <w:b w:val="0"/>
          <w:bCs w:val="0"/>
          <w:sz w:val="24"/>
          <w:szCs w:val="24"/>
        </w:rPr>
        <w:t>Kyle Plush wrongful death lawsuit can proceed against 5 Cincinnati employees, appeals court says.</w:t>
      </w:r>
      <w:r>
        <w:rPr>
          <w:b w:val="0"/>
          <w:bCs w:val="0"/>
          <w:sz w:val="24"/>
          <w:szCs w:val="24"/>
        </w:rPr>
        <w:t xml:space="preserve">” </w:t>
      </w:r>
      <w:hyperlink r:id="rId1217" w:history="1">
        <w:r w:rsidRPr="00C72D50">
          <w:rPr>
            <w:rStyle w:val="Hyperlink"/>
            <w:b w:val="0"/>
            <w:bCs w:val="0"/>
            <w:sz w:val="24"/>
            <w:szCs w:val="24"/>
          </w:rPr>
          <w:t>https://www.fox19.com/2020/12/16/kyle-plush-wrongful-death-lawsuit-can-proceed-against-cincinnati-employees-appeals-court-says/</w:t>
        </w:r>
      </w:hyperlink>
      <w:r w:rsidRPr="00E3717D">
        <w:rPr>
          <w:b w:val="0"/>
          <w:bCs w:val="0"/>
          <w:sz w:val="24"/>
          <w:szCs w:val="24"/>
        </w:rPr>
        <w:t xml:space="preserve"> “The city indemnifies employees in their official capacities, meaning the city would be liable for any judgment or settlement involving the employees in their official capacities.” </w:t>
      </w:r>
    </w:p>
    <w:p w14:paraId="3B557974" w14:textId="77777777" w:rsidR="00831847" w:rsidRDefault="00831847" w:rsidP="00831847">
      <w:pPr>
        <w:pStyle w:val="NoSpacing"/>
        <w:ind w:left="720"/>
        <w:rPr>
          <w:rFonts w:ascii="Times New Roman" w:hAnsi="Times New Roman"/>
          <w:sz w:val="24"/>
          <w:szCs w:val="24"/>
        </w:rPr>
      </w:pPr>
      <w:r w:rsidRPr="003F7A4F">
        <w:rPr>
          <w:rFonts w:ascii="Times New Roman" w:hAnsi="Times New Roman"/>
          <w:sz w:val="24"/>
          <w:szCs w:val="24"/>
        </w:rPr>
        <w:t xml:space="preserve">See </w:t>
      </w:r>
      <w:r w:rsidRPr="005C57DC">
        <w:rPr>
          <w:rFonts w:ascii="Times New Roman" w:hAnsi="Times New Roman"/>
          <w:sz w:val="24"/>
          <w:szCs w:val="24"/>
        </w:rPr>
        <w:t xml:space="preserve">Ohio Supreme Court decision in </w:t>
      </w:r>
      <w:r w:rsidRPr="005C57DC">
        <w:rPr>
          <w:rFonts w:ascii="Times New Roman" w:hAnsi="Times New Roman"/>
          <w:sz w:val="24"/>
          <w:szCs w:val="24"/>
          <w:u w:val="single"/>
        </w:rPr>
        <w:t>Ayers v. Cleveland</w:t>
      </w:r>
      <w:r w:rsidRPr="003F7A4F">
        <w:rPr>
          <w:rFonts w:ascii="Times New Roman" w:hAnsi="Times New Roman"/>
          <w:sz w:val="24"/>
          <w:szCs w:val="24"/>
        </w:rPr>
        <w:t xml:space="preserve">, 160 Ohio St.3d 288, 2020-Ohio-1047 (March 25, 2020), </w:t>
      </w:r>
      <w:r>
        <w:rPr>
          <w:rFonts w:ascii="Times New Roman" w:hAnsi="Times New Roman"/>
          <w:sz w:val="24"/>
          <w:szCs w:val="24"/>
        </w:rPr>
        <w:t xml:space="preserve">holding that only employees can sue for indemnification; they cannot assign that right to the person who won a judgment against the employee [in this case, David Ayers, who after a decade in prison was released on a federal habeas corpus claim in 2011]. </w:t>
      </w:r>
    </w:p>
    <w:p w14:paraId="59213746" w14:textId="77777777" w:rsidR="00831847" w:rsidRDefault="00831847" w:rsidP="00831847">
      <w:pPr>
        <w:pStyle w:val="NoSpacing"/>
        <w:ind w:firstLine="720"/>
        <w:rPr>
          <w:rFonts w:ascii="Times New Roman" w:hAnsi="Times New Roman"/>
          <w:sz w:val="24"/>
          <w:szCs w:val="24"/>
        </w:rPr>
      </w:pPr>
      <w:hyperlink r:id="rId1218" w:history="1">
        <w:r w:rsidRPr="006A29A3">
          <w:rPr>
            <w:rStyle w:val="Hyperlink"/>
            <w:sz w:val="24"/>
            <w:szCs w:val="24"/>
          </w:rPr>
          <w:t>https://www.supremecourt.ohio.gov/rod/docs/pdf/0/2020/2020-Ohio-1047.pdf</w:t>
        </w:r>
      </w:hyperlink>
      <w:r w:rsidRPr="003F7A4F">
        <w:rPr>
          <w:rFonts w:ascii="Times New Roman" w:hAnsi="Times New Roman"/>
          <w:sz w:val="24"/>
          <w:szCs w:val="24"/>
        </w:rPr>
        <w:t xml:space="preserve"> </w:t>
      </w:r>
    </w:p>
    <w:p w14:paraId="6A5253FD" w14:textId="77777777" w:rsidR="00831847" w:rsidRPr="003F7A4F" w:rsidRDefault="00831847" w:rsidP="00831847">
      <w:pPr>
        <w:pStyle w:val="NoSpacing"/>
        <w:ind w:firstLine="720"/>
        <w:rPr>
          <w:rFonts w:ascii="Times New Roman" w:hAnsi="Times New Roman"/>
          <w:sz w:val="24"/>
          <w:szCs w:val="24"/>
        </w:rPr>
      </w:pPr>
    </w:p>
    <w:p w14:paraId="736D0FC3" w14:textId="77777777" w:rsidR="00831847" w:rsidRPr="00263A1A" w:rsidRDefault="00831847" w:rsidP="00831847">
      <w:pPr>
        <w:ind w:left="1440"/>
        <w:rPr>
          <w:rFonts w:ascii="Times New Roman" w:hAnsi="Times New Roman"/>
          <w:sz w:val="24"/>
          <w:szCs w:val="24"/>
        </w:rPr>
      </w:pPr>
      <w:r>
        <w:rPr>
          <w:rFonts w:ascii="Times New Roman" w:hAnsi="Times New Roman"/>
          <w:sz w:val="24"/>
          <w:szCs w:val="24"/>
        </w:rPr>
        <w:t>“</w:t>
      </w:r>
      <w:r w:rsidRPr="003F7A4F">
        <w:rPr>
          <w:rFonts w:ascii="Times New Roman" w:hAnsi="Times New Roman"/>
          <w:sz w:val="24"/>
          <w:szCs w:val="24"/>
        </w:rPr>
        <w:t xml:space="preserve">After a trial that involved only claims against </w:t>
      </w:r>
      <w:r>
        <w:rPr>
          <w:rFonts w:ascii="Times New Roman" w:hAnsi="Times New Roman"/>
          <w:sz w:val="24"/>
          <w:szCs w:val="24"/>
        </w:rPr>
        <w:t xml:space="preserve">[Detectives] </w:t>
      </w:r>
      <w:proofErr w:type="spellStart"/>
      <w:r w:rsidRPr="003F7A4F">
        <w:rPr>
          <w:rFonts w:ascii="Times New Roman" w:hAnsi="Times New Roman"/>
          <w:sz w:val="24"/>
          <w:szCs w:val="24"/>
        </w:rPr>
        <w:t>Cipo</w:t>
      </w:r>
      <w:proofErr w:type="spellEnd"/>
      <w:r w:rsidRPr="003F7A4F">
        <w:rPr>
          <w:rFonts w:ascii="Times New Roman" w:hAnsi="Times New Roman"/>
          <w:sz w:val="24"/>
          <w:szCs w:val="24"/>
        </w:rPr>
        <w:t xml:space="preserve"> and Kovach, the jury returned a verdict in Ayers’s favor finding that </w:t>
      </w:r>
      <w:proofErr w:type="spellStart"/>
      <w:r w:rsidRPr="003F7A4F">
        <w:rPr>
          <w:rFonts w:ascii="Times New Roman" w:hAnsi="Times New Roman"/>
          <w:sz w:val="24"/>
          <w:szCs w:val="24"/>
        </w:rPr>
        <w:t>Cipo</w:t>
      </w:r>
      <w:proofErr w:type="spellEnd"/>
      <w:r w:rsidRPr="003F7A4F">
        <w:rPr>
          <w:rFonts w:ascii="Times New Roman" w:hAnsi="Times New Roman"/>
          <w:sz w:val="24"/>
          <w:szCs w:val="24"/>
        </w:rPr>
        <w:t xml:space="preserve"> and Kovach had violated Ayers’s federal constitutional rights. The district court entered a judgment against the detectives in the amount of $13,210,000 and later increased the amount by awarding costs and attorney fees. The detectives twice offered to assign to Ayers any indemnification claims that they might have against the city in exchange for an agreement by Ayers to forgo collection efforts against the detectives personally. Ayers rejected each offer.</w:t>
      </w:r>
      <w:r>
        <w:rPr>
          <w:rFonts w:ascii="Times New Roman" w:hAnsi="Times New Roman"/>
          <w:sz w:val="24"/>
          <w:szCs w:val="24"/>
        </w:rPr>
        <w:t xml:space="preserve"> *** [Ayers filed lawsuit in Ohio. </w:t>
      </w:r>
      <w:r w:rsidRPr="003F7A4F">
        <w:rPr>
          <w:rFonts w:ascii="Times New Roman" w:hAnsi="Times New Roman"/>
          <w:sz w:val="24"/>
          <w:szCs w:val="24"/>
        </w:rPr>
        <w:t>The common pleas court granted Ayers’s motion for summary judgment after concluding that R.C. 2744.07(A)(2) requires Cleveland to indemnify the officers and pay the judgment.</w:t>
      </w:r>
      <w:r>
        <w:rPr>
          <w:rFonts w:ascii="Times New Roman" w:hAnsi="Times New Roman"/>
          <w:sz w:val="24"/>
          <w:szCs w:val="24"/>
        </w:rPr>
        <w:t xml:space="preserve"> *** </w:t>
      </w:r>
      <w:r w:rsidRPr="00263A1A">
        <w:rPr>
          <w:rFonts w:ascii="Times New Roman" w:hAnsi="Times New Roman"/>
          <w:sz w:val="24"/>
          <w:szCs w:val="24"/>
        </w:rPr>
        <w:t xml:space="preserve">The Eighth District Court of Appeals reversed in a two-to-one decision. 2017-Ohio-8571, 99 N.E.3d 1269, ¶ 50. The majority concluded that Ayers, as a judgment creditor, does not have standing to bring a private cause of action against </w:t>
      </w:r>
      <w:r w:rsidRPr="00263A1A">
        <w:rPr>
          <w:rFonts w:ascii="Times New Roman" w:hAnsi="Times New Roman"/>
          <w:sz w:val="24"/>
          <w:szCs w:val="24"/>
        </w:rPr>
        <w:lastRenderedPageBreak/>
        <w:t>the city to enforce the city’s obligations to its employees.</w:t>
      </w:r>
      <w:r>
        <w:rPr>
          <w:rFonts w:ascii="Times New Roman" w:hAnsi="Times New Roman"/>
          <w:sz w:val="24"/>
          <w:szCs w:val="24"/>
        </w:rPr>
        <w:t xml:space="preserve"> *** [Ohio Supreme Court held]</w:t>
      </w:r>
      <w:r w:rsidRPr="00263A1A">
        <w:rPr>
          <w:rFonts w:ascii="Times New Roman" w:hAnsi="Times New Roman"/>
          <w:sz w:val="24"/>
          <w:szCs w:val="24"/>
        </w:rPr>
        <w:t>Based on the unambiguous language of the statute, which serves only to indemnify an employee</w:t>
      </w:r>
      <w:r>
        <w:rPr>
          <w:rFonts w:ascii="Times New Roman" w:hAnsi="Times New Roman"/>
          <w:sz w:val="24"/>
          <w:szCs w:val="24"/>
        </w:rPr>
        <w:t xml:space="preserve"> </w:t>
      </w:r>
      <w:r w:rsidRPr="00263A1A">
        <w:rPr>
          <w:rFonts w:ascii="Times New Roman" w:hAnsi="Times New Roman"/>
          <w:sz w:val="24"/>
          <w:szCs w:val="24"/>
        </w:rPr>
        <w:t>and does not vest any rights in third parties connected to the employee, we conclude that R.C. 2744.07(A)(2) does not permit a judgment creditor to proceed directly against an indemnitor.</w:t>
      </w:r>
      <w:r>
        <w:rPr>
          <w:rFonts w:ascii="Times New Roman" w:hAnsi="Times New Roman"/>
          <w:sz w:val="24"/>
          <w:szCs w:val="24"/>
        </w:rPr>
        <w:t>”</w:t>
      </w:r>
    </w:p>
    <w:p w14:paraId="3A029989" w14:textId="77777777" w:rsidR="00831847" w:rsidRDefault="00831847" w:rsidP="00831847">
      <w:pPr>
        <w:ind w:left="720"/>
        <w:rPr>
          <w:rFonts w:ascii="Times New Roman" w:hAnsi="Times New Roman"/>
          <w:sz w:val="24"/>
          <w:szCs w:val="24"/>
        </w:rPr>
      </w:pPr>
    </w:p>
    <w:p w14:paraId="10C8F39D" w14:textId="77777777" w:rsidR="00831847" w:rsidRDefault="00831847" w:rsidP="00831847">
      <w:pPr>
        <w:ind w:left="720"/>
        <w:rPr>
          <w:rFonts w:ascii="Times New Roman" w:eastAsia="Times New Roman" w:hAnsi="Times New Roman"/>
          <w:sz w:val="24"/>
          <w:szCs w:val="24"/>
        </w:rPr>
      </w:pPr>
      <w:r w:rsidRPr="007A690F">
        <w:rPr>
          <w:rFonts w:ascii="Times New Roman" w:eastAsia="Times New Roman" w:hAnsi="Times New Roman"/>
          <w:sz w:val="24"/>
          <w:szCs w:val="24"/>
        </w:rPr>
        <w:t xml:space="preserve">See also Ohio Revised Code 2744.07(A)(2) - Defending and indemnifying employees: </w:t>
      </w:r>
      <w:hyperlink r:id="rId1219" w:history="1">
        <w:r w:rsidRPr="006A29A3">
          <w:rPr>
            <w:rStyle w:val="Hyperlink"/>
            <w:sz w:val="24"/>
            <w:szCs w:val="24"/>
          </w:rPr>
          <w:t>http://codes.ohio.gov/orc/2744.07</w:t>
        </w:r>
      </w:hyperlink>
      <w:r>
        <w:rPr>
          <w:rFonts w:ascii="Times New Roman" w:eastAsia="Times New Roman" w:hAnsi="Times New Roman"/>
          <w:sz w:val="24"/>
          <w:szCs w:val="24"/>
        </w:rPr>
        <w:t xml:space="preserve"> </w:t>
      </w:r>
    </w:p>
    <w:p w14:paraId="08369585" w14:textId="77777777" w:rsidR="00831847" w:rsidRPr="003F7A4F" w:rsidRDefault="00831847" w:rsidP="00831847">
      <w:pPr>
        <w:spacing w:before="100" w:beforeAutospacing="1" w:after="100" w:afterAutospacing="1" w:line="240" w:lineRule="auto"/>
        <w:ind w:firstLine="720"/>
        <w:rPr>
          <w:rFonts w:ascii="Times New Roman" w:eastAsia="Times New Roman" w:hAnsi="Times New Roman"/>
          <w:sz w:val="24"/>
          <w:szCs w:val="24"/>
        </w:rPr>
      </w:pPr>
      <w:r w:rsidRPr="003F7A4F">
        <w:rPr>
          <w:rFonts w:ascii="Times New Roman" w:eastAsia="Times New Roman" w:hAnsi="Times New Roman"/>
          <w:sz w:val="24"/>
          <w:szCs w:val="24"/>
        </w:rPr>
        <w:t xml:space="preserve">(A) </w:t>
      </w:r>
    </w:p>
    <w:p w14:paraId="3112CDBC" w14:textId="77777777" w:rsidR="00831847" w:rsidRPr="003F7A4F" w:rsidRDefault="00831847" w:rsidP="00831847">
      <w:pPr>
        <w:spacing w:before="100" w:beforeAutospacing="1" w:after="100" w:afterAutospacing="1" w:line="240" w:lineRule="auto"/>
        <w:ind w:left="720"/>
        <w:rPr>
          <w:rFonts w:ascii="Times New Roman" w:eastAsia="Times New Roman" w:hAnsi="Times New Roman"/>
          <w:sz w:val="24"/>
          <w:szCs w:val="24"/>
        </w:rPr>
      </w:pPr>
      <w:r w:rsidRPr="003F7A4F">
        <w:rPr>
          <w:rFonts w:ascii="Times New Roman" w:eastAsia="Times New Roman" w:hAnsi="Times New Roman"/>
          <w:sz w:val="24"/>
          <w:szCs w:val="24"/>
        </w:rPr>
        <w:t xml:space="preserve">(1) Except as otherwise provided in division (A)(2) of this section, a political subdivision shall provide for the defense of an employee, in any state or federal court, in any civil action or proceeding which contains an allegation for damages for injury, death, or loss to person or property caused by an act or omission of the employee in connection with a governmental or proprietary function. Amounts expended by a political subdivision in the defense of its employees shall be from funds appropriated for this purpose or from proceeds of insurance. </w:t>
      </w:r>
    </w:p>
    <w:p w14:paraId="396B6489" w14:textId="77777777" w:rsidR="00831847" w:rsidRPr="003F7A4F" w:rsidRDefault="00831847" w:rsidP="00831847">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w:t>
      </w:r>
      <w:r w:rsidRPr="003F7A4F">
        <w:rPr>
          <w:rFonts w:ascii="Times New Roman" w:eastAsia="Times New Roman" w:hAnsi="Times New Roman"/>
          <w:sz w:val="24"/>
          <w:szCs w:val="24"/>
        </w:rPr>
        <w:t xml:space="preserve">2) A political subdivision does not have the duty to provide for the defense of an employee under division (A)(1) of this section if any of the following </w:t>
      </w:r>
      <w:proofErr w:type="gramStart"/>
      <w:r w:rsidRPr="003F7A4F">
        <w:rPr>
          <w:rFonts w:ascii="Times New Roman" w:eastAsia="Times New Roman" w:hAnsi="Times New Roman"/>
          <w:sz w:val="24"/>
          <w:szCs w:val="24"/>
        </w:rPr>
        <w:t>apply</w:t>
      </w:r>
      <w:proofErr w:type="gramEnd"/>
      <w:r w:rsidRPr="003F7A4F">
        <w:rPr>
          <w:rFonts w:ascii="Times New Roman" w:eastAsia="Times New Roman" w:hAnsi="Times New Roman"/>
          <w:sz w:val="24"/>
          <w:szCs w:val="24"/>
        </w:rPr>
        <w:t xml:space="preserve">: </w:t>
      </w:r>
    </w:p>
    <w:p w14:paraId="67FCC14C" w14:textId="77777777" w:rsidR="00831847" w:rsidRPr="003F7A4F" w:rsidRDefault="00831847" w:rsidP="00831847">
      <w:pPr>
        <w:spacing w:before="100" w:beforeAutospacing="1" w:after="100" w:afterAutospacing="1" w:line="240" w:lineRule="auto"/>
        <w:ind w:firstLine="720"/>
        <w:rPr>
          <w:rFonts w:ascii="Times New Roman" w:eastAsia="Times New Roman" w:hAnsi="Times New Roman"/>
          <w:sz w:val="24"/>
          <w:szCs w:val="24"/>
        </w:rPr>
      </w:pPr>
      <w:r w:rsidRPr="003F7A4F">
        <w:rPr>
          <w:rFonts w:ascii="Times New Roman" w:eastAsia="Times New Roman" w:hAnsi="Times New Roman"/>
          <w:sz w:val="24"/>
          <w:szCs w:val="24"/>
        </w:rPr>
        <w:t xml:space="preserve">(a) The act or omission occurred while the employee was not acting in good faith. </w:t>
      </w:r>
    </w:p>
    <w:p w14:paraId="66905F2B" w14:textId="77777777" w:rsidR="00831847" w:rsidRPr="003F7A4F" w:rsidRDefault="00831847" w:rsidP="00831847">
      <w:pPr>
        <w:spacing w:before="100" w:beforeAutospacing="1" w:after="100" w:afterAutospacing="1" w:line="240" w:lineRule="auto"/>
        <w:ind w:left="720"/>
        <w:rPr>
          <w:rFonts w:ascii="Times New Roman" w:eastAsia="Times New Roman" w:hAnsi="Times New Roman"/>
          <w:sz w:val="24"/>
          <w:szCs w:val="24"/>
        </w:rPr>
      </w:pPr>
      <w:r w:rsidRPr="003F7A4F">
        <w:rPr>
          <w:rFonts w:ascii="Times New Roman" w:eastAsia="Times New Roman" w:hAnsi="Times New Roman"/>
          <w:sz w:val="24"/>
          <w:szCs w:val="24"/>
        </w:rPr>
        <w:t xml:space="preserve">(b) The act or omission occurred while the employee was acting manifestly outside the scope of the employee's employment or official responsibilities. </w:t>
      </w:r>
    </w:p>
    <w:p w14:paraId="4B9FD74D" w14:textId="77777777" w:rsidR="00831847" w:rsidRDefault="00831847" w:rsidP="00831847">
      <w:pPr>
        <w:pStyle w:val="NoSpacing"/>
        <w:rPr>
          <w:rFonts w:ascii="Times New Roman" w:hAnsi="Times New Roman"/>
          <w:sz w:val="24"/>
          <w:szCs w:val="24"/>
        </w:rPr>
      </w:pPr>
    </w:p>
    <w:p w14:paraId="4E138747" w14:textId="77777777" w:rsidR="00831847" w:rsidRPr="00831847" w:rsidRDefault="00831847" w:rsidP="00831847">
      <w:pPr>
        <w:pStyle w:val="Heading2"/>
        <w:ind w:left="720"/>
        <w:rPr>
          <w:rFonts w:ascii="Times New Roman" w:hAnsi="Times New Roman"/>
          <w:b w:val="0"/>
          <w:bCs w:val="0"/>
          <w:i w:val="0"/>
          <w:iCs w:val="0"/>
          <w:sz w:val="24"/>
          <w:szCs w:val="24"/>
        </w:rPr>
      </w:pPr>
      <w:r w:rsidRPr="00831847">
        <w:rPr>
          <w:rFonts w:ascii="Times New Roman" w:hAnsi="Times New Roman"/>
          <w:b w:val="0"/>
          <w:bCs w:val="0"/>
          <w:i w:val="0"/>
          <w:iCs w:val="0"/>
          <w:sz w:val="24"/>
          <w:szCs w:val="24"/>
        </w:rPr>
        <w:t>See also:  Ohio Revised Code 9.87 - Indemnification of public officers and employees.</w:t>
      </w:r>
    </w:p>
    <w:p w14:paraId="5E39949E" w14:textId="77777777" w:rsidR="00831847" w:rsidRPr="00831847" w:rsidRDefault="00831847" w:rsidP="00831847">
      <w:pPr>
        <w:ind w:left="720"/>
        <w:rPr>
          <w:rFonts w:ascii="Times New Roman" w:hAnsi="Times New Roman"/>
          <w:sz w:val="24"/>
          <w:szCs w:val="24"/>
        </w:rPr>
      </w:pPr>
      <w:hyperlink r:id="rId1220" w:history="1">
        <w:r w:rsidRPr="00831847">
          <w:rPr>
            <w:rStyle w:val="Hyperlink"/>
            <w:rFonts w:ascii="Times New Roman" w:hAnsi="Times New Roman"/>
            <w:sz w:val="24"/>
            <w:szCs w:val="24"/>
          </w:rPr>
          <w:t>https://codes.ohio.gov/orc/gp9.87</w:t>
        </w:r>
      </w:hyperlink>
      <w:r w:rsidRPr="00831847">
        <w:rPr>
          <w:rFonts w:ascii="Times New Roman" w:hAnsi="Times New Roman"/>
          <w:sz w:val="24"/>
          <w:szCs w:val="24"/>
        </w:rPr>
        <w:t xml:space="preserve"> </w:t>
      </w:r>
    </w:p>
    <w:p w14:paraId="62076BD4" w14:textId="77777777" w:rsidR="00831847" w:rsidRPr="00A30466" w:rsidRDefault="00831847" w:rsidP="00831847">
      <w:pPr>
        <w:spacing w:before="100" w:beforeAutospacing="1" w:after="100" w:afterAutospacing="1" w:line="240" w:lineRule="auto"/>
        <w:ind w:left="1440"/>
        <w:rPr>
          <w:rFonts w:ascii="Times New Roman" w:eastAsia="Times New Roman" w:hAnsi="Times New Roman"/>
          <w:sz w:val="24"/>
          <w:szCs w:val="24"/>
        </w:rPr>
      </w:pPr>
      <w:proofErr w:type="gramStart"/>
      <w:r>
        <w:rPr>
          <w:rFonts w:ascii="Times New Roman" w:eastAsia="Times New Roman" w:hAnsi="Times New Roman"/>
          <w:sz w:val="24"/>
          <w:szCs w:val="24"/>
        </w:rPr>
        <w:t>“</w:t>
      </w:r>
      <w:r w:rsidRPr="00A30466">
        <w:rPr>
          <w:rFonts w:ascii="Times New Roman" w:eastAsia="Times New Roman" w:hAnsi="Times New Roman"/>
          <w:sz w:val="24"/>
          <w:szCs w:val="24"/>
        </w:rPr>
        <w:t>(B) The</w:t>
      </w:r>
      <w:proofErr w:type="gramEnd"/>
      <w:r w:rsidRPr="00A30466">
        <w:rPr>
          <w:rFonts w:ascii="Times New Roman" w:eastAsia="Times New Roman" w:hAnsi="Times New Roman"/>
          <w:sz w:val="24"/>
          <w:szCs w:val="24"/>
        </w:rPr>
        <w:t xml:space="preserve"> state shall not indemnify an officer or employee under any of the following circumstances: </w:t>
      </w:r>
    </w:p>
    <w:p w14:paraId="51C09C93" w14:textId="77777777" w:rsidR="00831847" w:rsidRDefault="00831847" w:rsidP="00831847">
      <w:pPr>
        <w:spacing w:before="100" w:beforeAutospacing="1" w:after="100" w:afterAutospacing="1" w:line="240" w:lineRule="auto"/>
        <w:ind w:left="1440"/>
        <w:rPr>
          <w:rFonts w:ascii="Times New Roman" w:eastAsia="Times New Roman" w:hAnsi="Times New Roman"/>
          <w:sz w:val="24"/>
          <w:szCs w:val="24"/>
        </w:rPr>
      </w:pPr>
      <w:r w:rsidRPr="00A30466">
        <w:rPr>
          <w:rFonts w:ascii="Times New Roman" w:eastAsia="Times New Roman" w:hAnsi="Times New Roman"/>
          <w:sz w:val="24"/>
          <w:szCs w:val="24"/>
        </w:rPr>
        <w:t xml:space="preserve">(2) When the officer or employee acts manifestly outside the scope of the officer's or employee's employment or official responsibilities, with malicious purpose, in bad faith, or in a wanton or reckless manner, as determined by the employer of the officer or employee or by the attorney </w:t>
      </w:r>
      <w:proofErr w:type="gramStart"/>
      <w:r w:rsidRPr="00A30466">
        <w:rPr>
          <w:rFonts w:ascii="Times New Roman" w:eastAsia="Times New Roman" w:hAnsi="Times New Roman"/>
          <w:sz w:val="24"/>
          <w:szCs w:val="24"/>
        </w:rPr>
        <w:t>general.</w:t>
      </w:r>
      <w:r>
        <w:rPr>
          <w:rFonts w:ascii="Times New Roman" w:eastAsia="Times New Roman" w:hAnsi="Times New Roman"/>
          <w:sz w:val="24"/>
          <w:szCs w:val="24"/>
        </w:rPr>
        <w:t>”</w:t>
      </w:r>
      <w:proofErr w:type="gramEnd"/>
    </w:p>
    <w:p w14:paraId="4E0B7E19" w14:textId="77777777" w:rsidR="00831847" w:rsidRDefault="00831847" w:rsidP="00EF1133">
      <w:pPr>
        <w:rPr>
          <w:rFonts w:ascii="Arial Black" w:hAnsi="Arial Black"/>
          <w:b/>
          <w:sz w:val="24"/>
          <w:szCs w:val="24"/>
        </w:rPr>
      </w:pPr>
    </w:p>
    <w:p w14:paraId="7C51AFC5" w14:textId="77777777" w:rsidR="00831847" w:rsidRDefault="00831847" w:rsidP="00EF1133">
      <w:pPr>
        <w:rPr>
          <w:rFonts w:ascii="Arial Black" w:hAnsi="Arial Black"/>
          <w:b/>
          <w:sz w:val="24"/>
          <w:szCs w:val="24"/>
        </w:rPr>
      </w:pPr>
    </w:p>
    <w:p w14:paraId="6A2B6C76" w14:textId="77777777" w:rsidR="00B03268" w:rsidRDefault="00B03268" w:rsidP="00EF1133">
      <w:pPr>
        <w:rPr>
          <w:rFonts w:ascii="Arial Black" w:hAnsi="Arial Black"/>
          <w:b/>
          <w:sz w:val="24"/>
          <w:szCs w:val="24"/>
        </w:rPr>
      </w:pPr>
    </w:p>
    <w:p w14:paraId="7F7F002D" w14:textId="77777777" w:rsidR="00B03268" w:rsidRDefault="00B03268" w:rsidP="00EF1133">
      <w:pPr>
        <w:rPr>
          <w:rFonts w:ascii="Arial Black" w:hAnsi="Arial Black"/>
          <w:b/>
          <w:sz w:val="24"/>
          <w:szCs w:val="24"/>
        </w:rPr>
      </w:pPr>
    </w:p>
    <w:p w14:paraId="5F6646DF" w14:textId="3FF75820" w:rsidR="00CD5950" w:rsidRDefault="00CD5950" w:rsidP="00EF1133">
      <w:pPr>
        <w:rPr>
          <w:rFonts w:ascii="Arial Black" w:hAnsi="Arial Black"/>
          <w:b/>
          <w:sz w:val="24"/>
          <w:szCs w:val="24"/>
        </w:rPr>
      </w:pPr>
      <w:r>
        <w:rPr>
          <w:rFonts w:ascii="Arial Black" w:hAnsi="Arial Black"/>
          <w:b/>
          <w:sz w:val="24"/>
          <w:szCs w:val="24"/>
        </w:rPr>
        <w:t>6-6</w:t>
      </w:r>
      <w:r w:rsidR="00FF7C63">
        <w:rPr>
          <w:rFonts w:ascii="Arial Black" w:hAnsi="Arial Black"/>
          <w:b/>
          <w:sz w:val="24"/>
          <w:szCs w:val="24"/>
        </w:rPr>
        <w:t>6</w:t>
      </w:r>
    </w:p>
    <w:p w14:paraId="3BC4ABE8" w14:textId="77777777" w:rsidR="00CD5950" w:rsidRPr="00E6324D" w:rsidRDefault="00CD5950" w:rsidP="00CD5950">
      <w:pPr>
        <w:spacing w:before="100" w:beforeAutospacing="1" w:after="100" w:afterAutospacing="1" w:line="240" w:lineRule="auto"/>
        <w:rPr>
          <w:rFonts w:ascii="Arial Black" w:hAnsi="Arial Black"/>
          <w:sz w:val="28"/>
          <w:szCs w:val="28"/>
        </w:rPr>
      </w:pPr>
      <w:bookmarkStart w:id="233" w:name="_Hlk66946865"/>
      <w:r>
        <w:rPr>
          <w:rFonts w:ascii="Arial Black" w:hAnsi="Arial Black"/>
          <w:sz w:val="28"/>
          <w:szCs w:val="28"/>
        </w:rPr>
        <w:lastRenderedPageBreak/>
        <w:t>WA: FF HEART ATTACK - STATUTORY PRESUMPTION – LATER MORE STENTS - ALSO COVERED, ATTORNEY FEES</w:t>
      </w:r>
    </w:p>
    <w:p w14:paraId="0303AC44" w14:textId="77777777" w:rsidR="00CD5950" w:rsidRDefault="00CD5950" w:rsidP="00CD5950">
      <w:pPr>
        <w:spacing w:before="100" w:beforeAutospacing="1" w:after="100" w:afterAutospacing="1" w:line="240" w:lineRule="auto"/>
        <w:rPr>
          <w:rFonts w:ascii="Times New Roman" w:hAnsi="Times New Roman"/>
          <w:sz w:val="24"/>
          <w:szCs w:val="24"/>
        </w:rPr>
      </w:pPr>
      <w:r w:rsidRPr="00750087">
        <w:rPr>
          <w:rFonts w:ascii="Times New Roman" w:hAnsi="Times New Roman"/>
          <w:sz w:val="24"/>
          <w:szCs w:val="24"/>
        </w:rPr>
        <w:t xml:space="preserve">On Feb. 9, 2021, in </w:t>
      </w:r>
      <w:r w:rsidRPr="00750087">
        <w:rPr>
          <w:rFonts w:ascii="Times New Roman" w:hAnsi="Times New Roman"/>
          <w:sz w:val="24"/>
          <w:szCs w:val="24"/>
          <w:u w:val="single"/>
        </w:rPr>
        <w:t xml:space="preserve">Calvin Johnson v. Department </w:t>
      </w:r>
      <w:r>
        <w:rPr>
          <w:rFonts w:ascii="Times New Roman" w:hAnsi="Times New Roman"/>
          <w:sz w:val="24"/>
          <w:szCs w:val="24"/>
          <w:u w:val="single"/>
        </w:rPr>
        <w:t>o</w:t>
      </w:r>
      <w:r w:rsidRPr="00750087">
        <w:rPr>
          <w:rFonts w:ascii="Times New Roman" w:hAnsi="Times New Roman"/>
          <w:sz w:val="24"/>
          <w:szCs w:val="24"/>
          <w:u w:val="single"/>
        </w:rPr>
        <w:t xml:space="preserve">f Labor </w:t>
      </w:r>
      <w:r>
        <w:rPr>
          <w:rFonts w:ascii="Times New Roman" w:hAnsi="Times New Roman"/>
          <w:sz w:val="24"/>
          <w:szCs w:val="24"/>
          <w:u w:val="single"/>
        </w:rPr>
        <w:t>A</w:t>
      </w:r>
      <w:r w:rsidRPr="00750087">
        <w:rPr>
          <w:rFonts w:ascii="Times New Roman" w:hAnsi="Times New Roman"/>
          <w:sz w:val="24"/>
          <w:szCs w:val="24"/>
          <w:u w:val="single"/>
        </w:rPr>
        <w:t>nd Industries</w:t>
      </w:r>
      <w:r>
        <w:rPr>
          <w:rFonts w:ascii="Times New Roman" w:hAnsi="Times New Roman"/>
          <w:sz w:val="24"/>
          <w:szCs w:val="24"/>
        </w:rPr>
        <w:t xml:space="preserve">, the Court of Appeals of the State of Washington (Division II) ruled (3 to 0) that the State’s statutory presumption of firefighter heart attacks covers workers comp. not only for the first heart attack in 2015, but also for subsequent need in 2016 for further stents; he is also entitled to reimbursement of attorney fees for his successful appeal of the denial of coverage on the second event. The statutory presumption applies to “any </w:t>
      </w:r>
      <w:r w:rsidRPr="006178BF">
        <w:rPr>
          <w:rFonts w:ascii="Times New Roman" w:hAnsi="Times New Roman"/>
          <w:sz w:val="24"/>
          <w:szCs w:val="24"/>
        </w:rPr>
        <w:t>heart problems</w:t>
      </w:r>
      <w:r>
        <w:rPr>
          <w:rFonts w:ascii="Times New Roman" w:hAnsi="Times New Roman"/>
          <w:sz w:val="24"/>
          <w:szCs w:val="24"/>
        </w:rPr>
        <w:t xml:space="preserve">, </w:t>
      </w:r>
      <w:r w:rsidRPr="006178BF">
        <w:rPr>
          <w:rFonts w:ascii="Times New Roman" w:hAnsi="Times New Roman"/>
          <w:sz w:val="24"/>
          <w:szCs w:val="24"/>
        </w:rPr>
        <w:t>experienced within seventy-two hours of exposure to smoke, fumes, or toxic substances, or experienced within twenty-four hours of strenuous physical exertion due to firefighting activities</w:t>
      </w:r>
      <w:r>
        <w:rPr>
          <w:rFonts w:ascii="Times New Roman" w:hAnsi="Times New Roman"/>
          <w:sz w:val="24"/>
          <w:szCs w:val="24"/>
        </w:rPr>
        <w:t>.”</w:t>
      </w:r>
    </w:p>
    <w:bookmarkEnd w:id="233"/>
    <w:p w14:paraId="3EF45D08" w14:textId="77777777" w:rsidR="00CD5950" w:rsidRDefault="00CD5950" w:rsidP="00CD5950">
      <w:pPr>
        <w:pStyle w:val="NoSpacing"/>
        <w:ind w:left="720"/>
        <w:rPr>
          <w:rFonts w:ascii="Times New Roman" w:hAnsi="Times New Roman"/>
          <w:sz w:val="24"/>
          <w:szCs w:val="24"/>
        </w:rPr>
      </w:pPr>
      <w:r>
        <w:rPr>
          <w:rFonts w:ascii="Times New Roman" w:hAnsi="Times New Roman"/>
          <w:sz w:val="24"/>
          <w:szCs w:val="24"/>
        </w:rPr>
        <w:t>“</w:t>
      </w:r>
      <w:r w:rsidRPr="00880D79">
        <w:rPr>
          <w:rFonts w:ascii="Times New Roman" w:hAnsi="Times New Roman"/>
          <w:sz w:val="24"/>
          <w:szCs w:val="24"/>
        </w:rPr>
        <w:t>On April 15, 2015, Johnson had a myocardial infarction, commonly referred to as a heart attack. He had experienced physical exertion and exposure to diesel fumes before the heart attack. After Johnson filed an accident report to open a claim, the Department applied to Johnson's claim the presumption that heart problems arising 72 hours from exposure to fumes or 24 hours from exertion are occupational diseases. It then allowed Johnson's claim under RCW 51.32.185. The Department provided treatment and other benefits to Johnson. The Department then closed Johnson's claim on January 21, 2016, with no permanent or partial disability.</w:t>
      </w:r>
    </w:p>
    <w:p w14:paraId="3FA1DBD1" w14:textId="77777777" w:rsidR="00CD5950" w:rsidRDefault="00CD5950" w:rsidP="00CD5950">
      <w:pPr>
        <w:pStyle w:val="NoSpacing"/>
        <w:ind w:left="720"/>
        <w:rPr>
          <w:rFonts w:ascii="Times New Roman" w:hAnsi="Times New Roman"/>
          <w:sz w:val="24"/>
          <w:szCs w:val="24"/>
        </w:rPr>
      </w:pPr>
    </w:p>
    <w:p w14:paraId="3F7ABE96" w14:textId="77777777" w:rsidR="00CD5950" w:rsidRDefault="00CD5950" w:rsidP="00CD5950">
      <w:pPr>
        <w:pStyle w:val="NoSpacing"/>
        <w:ind w:left="720"/>
        <w:rPr>
          <w:rFonts w:ascii="Times New Roman" w:hAnsi="Times New Roman"/>
          <w:sz w:val="24"/>
          <w:szCs w:val="24"/>
        </w:rPr>
      </w:pPr>
      <w:r>
        <w:rPr>
          <w:rFonts w:ascii="Times New Roman" w:hAnsi="Times New Roman"/>
          <w:sz w:val="24"/>
          <w:szCs w:val="24"/>
        </w:rPr>
        <w:t>***</w:t>
      </w:r>
    </w:p>
    <w:p w14:paraId="62EE5C47" w14:textId="77777777" w:rsidR="00CD5950" w:rsidRPr="00880D79" w:rsidRDefault="00CD5950" w:rsidP="00CD5950">
      <w:pPr>
        <w:spacing w:before="100" w:beforeAutospacing="1" w:after="100" w:afterAutospacing="1" w:line="240" w:lineRule="auto"/>
        <w:ind w:left="720"/>
        <w:rPr>
          <w:rFonts w:ascii="Times New Roman" w:hAnsi="Times New Roman"/>
          <w:sz w:val="24"/>
          <w:szCs w:val="24"/>
        </w:rPr>
      </w:pPr>
      <w:r w:rsidRPr="00880D79">
        <w:rPr>
          <w:rFonts w:ascii="Times New Roman" w:hAnsi="Times New Roman"/>
          <w:sz w:val="24"/>
          <w:szCs w:val="24"/>
        </w:rPr>
        <w:t>We hold that under the facts presented and the plain language of RCW 51.32.185(9)(a), Johnson's claim to reopen was a claim for benefits entitling him to an award of attorney fees and costs incurred before the Board. Because Johnson is entitled to a fee award, we affirm the superior court's order requiring the Department to pay Johnson reasonable attorney fees and costs incurred before the Board. We also award Johnson reasonable appellate fees and costs as the prevailing party in this appeal.</w:t>
      </w:r>
      <w:r>
        <w:rPr>
          <w:rFonts w:ascii="Times New Roman" w:hAnsi="Times New Roman"/>
          <w:sz w:val="24"/>
          <w:szCs w:val="24"/>
        </w:rPr>
        <w:t xml:space="preserve">” </w:t>
      </w:r>
      <w:bookmarkStart w:id="234" w:name="_Hlk66946891"/>
      <w:r w:rsidR="00F00958">
        <w:fldChar w:fldCharType="begin"/>
      </w:r>
      <w:r w:rsidR="00F00958">
        <w:instrText xml:space="preserve"> HYPERLINK "https://law.justia.com/cases/washington/court-of-appeals-division-ii/2021/53761-3.html" </w:instrText>
      </w:r>
      <w:r w:rsidR="00F00958">
        <w:fldChar w:fldCharType="separate"/>
      </w:r>
      <w:r w:rsidRPr="00FE7279">
        <w:rPr>
          <w:rStyle w:val="Hyperlink"/>
          <w:rFonts w:ascii="Times New Roman" w:hAnsi="Times New Roman"/>
          <w:sz w:val="24"/>
          <w:szCs w:val="24"/>
        </w:rPr>
        <w:t>https://law.justia.com/cases/washington/court-of-appeals-division-ii/2021/53761-3.html</w:t>
      </w:r>
      <w:r w:rsidR="00F00958">
        <w:rPr>
          <w:rStyle w:val="Hyperlink"/>
          <w:rFonts w:ascii="Times New Roman" w:hAnsi="Times New Roman"/>
          <w:sz w:val="24"/>
          <w:szCs w:val="24"/>
        </w:rPr>
        <w:fldChar w:fldCharType="end"/>
      </w:r>
      <w:r>
        <w:rPr>
          <w:rFonts w:ascii="Times New Roman" w:hAnsi="Times New Roman"/>
          <w:sz w:val="24"/>
          <w:szCs w:val="24"/>
        </w:rPr>
        <w:t xml:space="preserve"> </w:t>
      </w:r>
    </w:p>
    <w:p w14:paraId="2C0FBEC4" w14:textId="77777777" w:rsidR="00CD5950" w:rsidRPr="00880D79" w:rsidRDefault="00CD5950" w:rsidP="00CD5950">
      <w:pPr>
        <w:spacing w:before="100" w:beforeAutospacing="1" w:after="100" w:afterAutospacing="1" w:line="240" w:lineRule="auto"/>
        <w:rPr>
          <w:rFonts w:ascii="Times New Roman" w:eastAsia="Times New Roman" w:hAnsi="Times New Roman"/>
          <w:b/>
          <w:bCs/>
          <w:sz w:val="24"/>
          <w:szCs w:val="24"/>
        </w:rPr>
      </w:pPr>
      <w:r w:rsidRPr="00880D79">
        <w:rPr>
          <w:rFonts w:ascii="Times New Roman" w:hAnsi="Times New Roman"/>
          <w:b/>
          <w:bCs/>
          <w:sz w:val="24"/>
          <w:szCs w:val="24"/>
        </w:rPr>
        <w:t>Legal Lesson Learned:</w:t>
      </w:r>
      <w:r>
        <w:rPr>
          <w:rFonts w:ascii="Times New Roman" w:hAnsi="Times New Roman"/>
          <w:b/>
          <w:bCs/>
          <w:sz w:val="24"/>
          <w:szCs w:val="24"/>
        </w:rPr>
        <w:t xml:space="preserve">  The State of Washington’s statutory presumption applies to heart attacks, and subsequent heart problems. </w:t>
      </w:r>
    </w:p>
    <w:p w14:paraId="731638BF" w14:textId="77777777" w:rsidR="00CD5950" w:rsidRDefault="00CD5950" w:rsidP="00CD5950">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 xml:space="preserve">Note: See State of Washington statute: RCW 51.32.185, “Occupational diseases – presumption of occupational disease for firefighters and fire investigators.” </w:t>
      </w:r>
      <w:hyperlink r:id="rId1221" w:history="1">
        <w:r w:rsidRPr="00FE7279">
          <w:rPr>
            <w:rStyle w:val="Hyperlink"/>
            <w:rFonts w:ascii="Times New Roman" w:hAnsi="Times New Roman"/>
            <w:sz w:val="24"/>
            <w:szCs w:val="24"/>
          </w:rPr>
          <w:t>https://apps.leg.wa.gov/rcw/default.aspx?cite=51.32.185</w:t>
        </w:r>
      </w:hyperlink>
      <w:r>
        <w:rPr>
          <w:rFonts w:ascii="Times New Roman" w:hAnsi="Times New Roman"/>
          <w:sz w:val="24"/>
          <w:szCs w:val="24"/>
        </w:rPr>
        <w:t xml:space="preserve"> </w:t>
      </w:r>
    </w:p>
    <w:p w14:paraId="368BE588" w14:textId="77777777" w:rsidR="00CD5950" w:rsidRPr="006178BF" w:rsidRDefault="00CD5950" w:rsidP="00CD5950">
      <w:pPr>
        <w:spacing w:before="100" w:beforeAutospacing="1" w:after="100" w:afterAutospacing="1" w:line="240" w:lineRule="auto"/>
        <w:ind w:left="720"/>
        <w:rPr>
          <w:rFonts w:ascii="Times New Roman" w:hAnsi="Times New Roman"/>
          <w:sz w:val="24"/>
          <w:szCs w:val="24"/>
        </w:rPr>
      </w:pPr>
      <w:r w:rsidRPr="006178BF">
        <w:rPr>
          <w:rFonts w:ascii="Times New Roman" w:hAnsi="Times New Roman"/>
          <w:sz w:val="24"/>
          <w:szCs w:val="24"/>
        </w:rPr>
        <w:t xml:space="preserve">(1)(a) In the case of firefighters as defined in RCW </w:t>
      </w:r>
      <w:hyperlink r:id="rId1222" w:history="1">
        <w:r w:rsidRPr="006178BF">
          <w:rPr>
            <w:rStyle w:val="Hyperlink"/>
            <w:rFonts w:ascii="Times New Roman" w:hAnsi="Times New Roman"/>
            <w:sz w:val="24"/>
            <w:szCs w:val="24"/>
          </w:rPr>
          <w:t>41.26.030</w:t>
        </w:r>
      </w:hyperlink>
      <w:r w:rsidRPr="006178BF">
        <w:rPr>
          <w:rFonts w:ascii="Times New Roman" w:hAnsi="Times New Roman"/>
          <w:sz w:val="24"/>
          <w:szCs w:val="24"/>
        </w:rPr>
        <w:t>(17) (a), (b), (c), and (h) who are covered under this title and firefighters, including supervisors, employed on a full-time, fully compensated basis as a firefighter of a private sector employer's fire department that includes over fifty such firefighters, and public employee fire investigators, there shall exist a prima facie presumption that: (</w:t>
      </w:r>
      <w:proofErr w:type="spellStart"/>
      <w:r w:rsidRPr="006178BF">
        <w:rPr>
          <w:rFonts w:ascii="Times New Roman" w:hAnsi="Times New Roman"/>
          <w:sz w:val="24"/>
          <w:szCs w:val="24"/>
        </w:rPr>
        <w:t>i</w:t>
      </w:r>
      <w:proofErr w:type="spellEnd"/>
      <w:r w:rsidRPr="006178BF">
        <w:rPr>
          <w:rFonts w:ascii="Times New Roman" w:hAnsi="Times New Roman"/>
          <w:sz w:val="24"/>
          <w:szCs w:val="24"/>
        </w:rPr>
        <w:t xml:space="preserve">) Respiratory disease; (ii) any heart problems, experienced within seventy-two hours of exposure to smoke, fumes, or toxic substances, or experienced within twenty-four hours of strenuous physical exertion due to firefighting activities; (iii) cancer; and (iv) infectious diseases are occupational diseases under RCW </w:t>
      </w:r>
      <w:hyperlink r:id="rId1223" w:history="1">
        <w:r w:rsidRPr="006178BF">
          <w:rPr>
            <w:rStyle w:val="Hyperlink"/>
            <w:rFonts w:ascii="Times New Roman" w:hAnsi="Times New Roman"/>
            <w:sz w:val="24"/>
            <w:szCs w:val="24"/>
          </w:rPr>
          <w:t>51.08.140</w:t>
        </w:r>
      </w:hyperlink>
      <w:r w:rsidRPr="006178BF">
        <w:rPr>
          <w:rFonts w:ascii="Times New Roman" w:hAnsi="Times New Roman"/>
          <w:sz w:val="24"/>
          <w:szCs w:val="24"/>
        </w:rPr>
        <w:t xml:space="preserve">.  </w:t>
      </w:r>
    </w:p>
    <w:bookmarkEnd w:id="234"/>
    <w:p w14:paraId="35348AFC" w14:textId="285F4DF1" w:rsidR="00CD5950" w:rsidRDefault="00CD5950" w:rsidP="00EF1133">
      <w:pPr>
        <w:rPr>
          <w:rFonts w:ascii="Arial Black" w:hAnsi="Arial Black"/>
          <w:b/>
          <w:sz w:val="24"/>
          <w:szCs w:val="24"/>
        </w:rPr>
      </w:pPr>
      <w:r>
        <w:rPr>
          <w:rFonts w:ascii="Arial Black" w:hAnsi="Arial Black"/>
          <w:b/>
          <w:sz w:val="24"/>
          <w:szCs w:val="24"/>
        </w:rPr>
        <w:t>6-6</w:t>
      </w:r>
      <w:r w:rsidR="00FF7C63">
        <w:rPr>
          <w:rFonts w:ascii="Arial Black" w:hAnsi="Arial Black"/>
          <w:b/>
          <w:sz w:val="24"/>
          <w:szCs w:val="24"/>
        </w:rPr>
        <w:t>5</w:t>
      </w:r>
    </w:p>
    <w:p w14:paraId="3C7D2126" w14:textId="77777777" w:rsidR="00CD5950" w:rsidRPr="00F05C54" w:rsidRDefault="00CD5950" w:rsidP="00CD5950">
      <w:pPr>
        <w:pStyle w:val="NormalWeb"/>
        <w:rPr>
          <w:rFonts w:ascii="Arial Black" w:hAnsi="Arial Black"/>
          <w:sz w:val="28"/>
          <w:szCs w:val="28"/>
        </w:rPr>
      </w:pPr>
      <w:bookmarkStart w:id="235" w:name="_Hlk66947419"/>
      <w:r>
        <w:rPr>
          <w:rFonts w:ascii="Arial Black" w:hAnsi="Arial Black"/>
          <w:sz w:val="28"/>
          <w:szCs w:val="28"/>
        </w:rPr>
        <w:t>NV: LIGHT DUTY - CAPTAIN SHOULDER INJURY - REFUSED LIGHT DUTY AFTER SURGERY – TTD PAYMENTS STOPPED</w:t>
      </w:r>
    </w:p>
    <w:p w14:paraId="276D8919" w14:textId="77777777" w:rsidR="00CD5950" w:rsidRDefault="00CD5950" w:rsidP="00CD5950">
      <w:pPr>
        <w:pStyle w:val="NormalWeb"/>
      </w:pPr>
      <w:r>
        <w:lastRenderedPageBreak/>
        <w:t xml:space="preserve">On Feb. 4, 2021, in </w:t>
      </w:r>
      <w:r w:rsidRPr="00E77AA2">
        <w:rPr>
          <w:u w:val="single"/>
        </w:rPr>
        <w:t>Vance Taylor v. Truckee Meadows Fire Protection District</w:t>
      </w:r>
      <w:r>
        <w:t xml:space="preserve">, the Supreme Court of the State of Nevada, held (3 to 0) that the FD’s offer of temporary, light-duty employment (40-hour work week; secretarial duties) was reasonable and in compliance with Nevada law. even if the new schedule required they get a babysitter, and even if he found the secretarial work to “demeaning or humiliating to him.” The Court held that the workers comp administrator was justified in terminating the firefighter’s temporary total disability benefits. </w:t>
      </w:r>
    </w:p>
    <w:bookmarkEnd w:id="235"/>
    <w:p w14:paraId="303149D7" w14:textId="77777777" w:rsidR="00CD5950" w:rsidRDefault="00CD5950" w:rsidP="00CD5950">
      <w:pPr>
        <w:pStyle w:val="NormalWeb"/>
        <w:ind w:left="720"/>
      </w:pPr>
      <w:r>
        <w:t>“Taylor contends that the temporary, light-duty employment offer of secretarial work was not ‘substantially similar’ to his preinjury position in location, hours, or benefits and was thus not a reasonable offer in accordance with NRS 616C.475. He further argues that the offer was not reasonable because it involved different job duties and a different chain of command than his preinjury position and because it was humiliating work. We disagree.</w:t>
      </w:r>
    </w:p>
    <w:p w14:paraId="6DEA9B10" w14:textId="77777777" w:rsidR="00CD5950" w:rsidRDefault="00CD5950" w:rsidP="00CD5950">
      <w:pPr>
        <w:pStyle w:val="NormalWeb"/>
        <w:ind w:firstLine="720"/>
      </w:pPr>
      <w:r>
        <w:t>***</w:t>
      </w:r>
    </w:p>
    <w:p w14:paraId="388D595A" w14:textId="393DEFD9" w:rsidR="00CD5950" w:rsidRDefault="00CD5950" w:rsidP="00CD5950">
      <w:pPr>
        <w:spacing w:before="100" w:beforeAutospacing="1" w:after="100" w:afterAutospacing="1" w:line="240" w:lineRule="auto"/>
        <w:ind w:left="720"/>
        <w:rPr>
          <w:rFonts w:ascii="Times New Roman" w:eastAsia="Times New Roman" w:hAnsi="Times New Roman"/>
          <w:sz w:val="24"/>
          <w:szCs w:val="24"/>
        </w:rPr>
      </w:pPr>
      <w:r w:rsidRPr="00F05C54">
        <w:rPr>
          <w:rFonts w:ascii="Times New Roman" w:eastAsia="Times New Roman" w:hAnsi="Times New Roman"/>
          <w:sz w:val="24"/>
          <w:szCs w:val="24"/>
        </w:rPr>
        <w:t>Notwithstanding the requirement to consider a light-duty employment offer's schedule, we conclude that the light-duty job offered to Taylor was substantially similar to his preinjury firefighter job in terms of hours. Taylor's preinjury employment required that he work 48 hours on and 96 hours off. The offered light-duty job required Taylor to work a typical administrative schedule, from 8 a.m. to 5 p.m. Monday through</w:t>
      </w:r>
      <w:r>
        <w:rPr>
          <w:rFonts w:ascii="Times New Roman" w:eastAsia="Times New Roman" w:hAnsi="Times New Roman"/>
          <w:sz w:val="24"/>
          <w:szCs w:val="24"/>
        </w:rPr>
        <w:t xml:space="preserve"> </w:t>
      </w:r>
      <w:r w:rsidRPr="00F05C54">
        <w:rPr>
          <w:rFonts w:ascii="Times New Roman" w:eastAsia="Times New Roman" w:hAnsi="Times New Roman"/>
          <w:sz w:val="24"/>
          <w:szCs w:val="24"/>
        </w:rPr>
        <w:t>Friday, totaling 40 hours a week. Although the administrative schedule was not identical to Taylor's firefighter schedule, it also did not require him to work unusual hours or an atypical timetable.</w:t>
      </w:r>
    </w:p>
    <w:p w14:paraId="21A99775" w14:textId="77777777" w:rsidR="00CD5950" w:rsidRDefault="00CD5950" w:rsidP="00CD5950">
      <w:pPr>
        <w:pStyle w:val="NormalWeb"/>
      </w:pPr>
      <w:r>
        <w:tab/>
        <w:t>***</w:t>
      </w:r>
    </w:p>
    <w:p w14:paraId="02241B1B" w14:textId="77777777" w:rsidR="00CD5950" w:rsidRDefault="00CD5950" w:rsidP="00CD5950">
      <w:pPr>
        <w:pStyle w:val="NormalWeb"/>
        <w:ind w:left="720"/>
      </w:pPr>
      <w:r>
        <w:t xml:space="preserve">We further reject Taylor's contention that the administrative position was demeaning or humiliating to him. Secretaries and their assistants perform the necessary everyday tasks that are required to run organizations and businesses. The mere fact that an employee feels that a position is beneath him or her does not make the offer unreasonable or invalid.”  </w:t>
      </w:r>
      <w:bookmarkStart w:id="236" w:name="_Hlk66947486"/>
      <w:r w:rsidR="00F00958">
        <w:fldChar w:fldCharType="begin"/>
      </w:r>
      <w:r w:rsidR="00F00958">
        <w:instrText xml:space="preserve"> HYPERLINK "https://law.justia.com/cases/nevada/supreme-court/2021/78971.html" </w:instrText>
      </w:r>
      <w:r w:rsidR="00F00958">
        <w:fldChar w:fldCharType="separate"/>
      </w:r>
      <w:r w:rsidRPr="00B07E35">
        <w:rPr>
          <w:rStyle w:val="Hyperlink"/>
        </w:rPr>
        <w:t>https://law.justia.com/cases/nevada/supreme-court/2021/78971.html</w:t>
      </w:r>
      <w:r w:rsidR="00F00958">
        <w:rPr>
          <w:rStyle w:val="Hyperlink"/>
        </w:rPr>
        <w:fldChar w:fldCharType="end"/>
      </w:r>
    </w:p>
    <w:p w14:paraId="0E688D60" w14:textId="77777777" w:rsidR="00CD5950" w:rsidRPr="00015E59" w:rsidRDefault="00CD5950" w:rsidP="00CD5950">
      <w:pPr>
        <w:pStyle w:val="NormalWeb"/>
        <w:rPr>
          <w:b/>
          <w:bCs/>
        </w:rPr>
      </w:pPr>
      <w:bookmarkStart w:id="237" w:name="_Hlk66947464"/>
      <w:bookmarkEnd w:id="236"/>
      <w:r w:rsidRPr="00015E59">
        <w:rPr>
          <w:b/>
          <w:bCs/>
        </w:rPr>
        <w:t>Legal Lesson Learned:</w:t>
      </w:r>
      <w:r>
        <w:rPr>
          <w:b/>
          <w:bCs/>
        </w:rPr>
        <w:t xml:space="preserve">  The Nevada statute is designed to ‘encourage” employees to accept light duty and get back to full duty as soon as possible. </w:t>
      </w:r>
    </w:p>
    <w:p w14:paraId="5C045BF0" w14:textId="77777777" w:rsidR="00CD5950" w:rsidRDefault="00CD5950" w:rsidP="00CD5950">
      <w:pPr>
        <w:pStyle w:val="NormalWeb"/>
        <w:ind w:left="720"/>
      </w:pPr>
      <w:r>
        <w:t>Note: The FD offered him same gross wages during light duty.</w:t>
      </w:r>
    </w:p>
    <w:p w14:paraId="2E47EBA4" w14:textId="77777777" w:rsidR="00CD5950" w:rsidRPr="00F05C54" w:rsidRDefault="00CD5950" w:rsidP="00CD5950">
      <w:pPr>
        <w:spacing w:before="100" w:beforeAutospacing="1" w:after="100" w:afterAutospacing="1" w:line="240" w:lineRule="auto"/>
        <w:ind w:left="1440"/>
        <w:rPr>
          <w:rFonts w:ascii="Times New Roman" w:eastAsia="Times New Roman" w:hAnsi="Times New Roman"/>
          <w:sz w:val="24"/>
          <w:szCs w:val="24"/>
        </w:rPr>
      </w:pPr>
      <w:r>
        <w:rPr>
          <w:rFonts w:ascii="Times New Roman" w:eastAsia="Times New Roman" w:hAnsi="Times New Roman"/>
          <w:sz w:val="24"/>
          <w:szCs w:val="24"/>
        </w:rPr>
        <w:t>“</w:t>
      </w:r>
      <w:r w:rsidRPr="00F05C54">
        <w:rPr>
          <w:rFonts w:ascii="Times New Roman" w:eastAsia="Times New Roman" w:hAnsi="Times New Roman"/>
          <w:sz w:val="24"/>
          <w:szCs w:val="24"/>
        </w:rPr>
        <w:t>The gross wage that Taylor would have received if he had accepted the temporary, light-duty employment offer was an average of his past 12-week wage history and amounted to $10,115 a month. Taylor argues that the light-duty employment offer was invalid because it did not include overtime pay and did not provide an ability to bank holiday compensatory time. The record shows, however, that the 12-week period used to calculate the offered wage included two holidays, as well as a significant amount of overtime pay—189 hours to be exact. We conclude that because holiday time and overtime pay were included in this gross</w:t>
      </w:r>
      <w:r>
        <w:rPr>
          <w:rFonts w:ascii="Times New Roman" w:eastAsia="Times New Roman" w:hAnsi="Times New Roman"/>
          <w:sz w:val="24"/>
          <w:szCs w:val="24"/>
        </w:rPr>
        <w:t xml:space="preserve"> </w:t>
      </w:r>
      <w:r w:rsidRPr="00F05C54">
        <w:rPr>
          <w:rFonts w:ascii="Times New Roman" w:eastAsia="Times New Roman" w:hAnsi="Times New Roman"/>
          <w:sz w:val="24"/>
          <w:szCs w:val="24"/>
        </w:rPr>
        <w:t xml:space="preserve">wage, the light-duty position provided a substantially similar wage and the same employment benefits as the preinjury </w:t>
      </w:r>
      <w:proofErr w:type="gramStart"/>
      <w:r w:rsidRPr="00F05C54">
        <w:rPr>
          <w:rFonts w:ascii="Times New Roman" w:eastAsia="Times New Roman" w:hAnsi="Times New Roman"/>
          <w:sz w:val="24"/>
          <w:szCs w:val="24"/>
        </w:rPr>
        <w:t>position.</w:t>
      </w:r>
      <w:r>
        <w:rPr>
          <w:rFonts w:ascii="Times New Roman" w:eastAsia="Times New Roman" w:hAnsi="Times New Roman"/>
          <w:sz w:val="24"/>
          <w:szCs w:val="24"/>
        </w:rPr>
        <w:t>”</w:t>
      </w:r>
      <w:proofErr w:type="gramEnd"/>
      <w:r>
        <w:rPr>
          <w:rFonts w:ascii="Times New Roman" w:eastAsia="Times New Roman" w:hAnsi="Times New Roman"/>
          <w:sz w:val="24"/>
          <w:szCs w:val="24"/>
        </w:rPr>
        <w:t xml:space="preserve"> </w:t>
      </w:r>
    </w:p>
    <w:bookmarkEnd w:id="237"/>
    <w:p w14:paraId="5822E6F5" w14:textId="2DA066DE" w:rsidR="00CD5950" w:rsidRDefault="00CD5950" w:rsidP="00EF1133">
      <w:pPr>
        <w:rPr>
          <w:rFonts w:ascii="Arial Black" w:hAnsi="Arial Black"/>
          <w:b/>
          <w:sz w:val="24"/>
          <w:szCs w:val="24"/>
        </w:rPr>
      </w:pPr>
      <w:r>
        <w:rPr>
          <w:rFonts w:ascii="Arial Black" w:hAnsi="Arial Black"/>
          <w:b/>
          <w:sz w:val="24"/>
          <w:szCs w:val="24"/>
        </w:rPr>
        <w:t>6-6</w:t>
      </w:r>
      <w:r w:rsidR="00FF7C63">
        <w:rPr>
          <w:rFonts w:ascii="Arial Black" w:hAnsi="Arial Black"/>
          <w:b/>
          <w:sz w:val="24"/>
          <w:szCs w:val="24"/>
        </w:rPr>
        <w:t>4</w:t>
      </w:r>
    </w:p>
    <w:p w14:paraId="11C9155F" w14:textId="77777777" w:rsidR="00CD5950" w:rsidRDefault="00CD5950" w:rsidP="00CD5950">
      <w:pPr>
        <w:rPr>
          <w:rFonts w:ascii="Arial Black" w:hAnsi="Arial Black"/>
          <w:sz w:val="28"/>
          <w:szCs w:val="28"/>
        </w:rPr>
      </w:pPr>
      <w:r>
        <w:rPr>
          <w:rFonts w:ascii="Arial Black" w:hAnsi="Arial Black"/>
          <w:sz w:val="28"/>
          <w:szCs w:val="28"/>
        </w:rPr>
        <w:t>IL: “CATASTROPHIC INJURY” – LIFETIME HEALTH INSURANCE UNDER STATE LAW – CITY CAN’T RE-DEFINE QUALIFICATIONS</w:t>
      </w:r>
    </w:p>
    <w:p w14:paraId="6A45872B" w14:textId="77777777" w:rsidR="00CD5950" w:rsidRDefault="00CD5950" w:rsidP="00CD5950">
      <w:pPr>
        <w:rPr>
          <w:rFonts w:ascii="Times New Roman" w:hAnsi="Times New Roman"/>
          <w:sz w:val="24"/>
          <w:szCs w:val="24"/>
        </w:rPr>
      </w:pPr>
      <w:r>
        <w:rPr>
          <w:rFonts w:ascii="Times New Roman" w:hAnsi="Times New Roman"/>
          <w:sz w:val="24"/>
          <w:szCs w:val="24"/>
        </w:rPr>
        <w:lastRenderedPageBreak/>
        <w:t xml:space="preserve">On Feb. 1, 2021, in </w:t>
      </w:r>
      <w:r w:rsidRPr="009836FC">
        <w:rPr>
          <w:rFonts w:ascii="Times New Roman" w:hAnsi="Times New Roman"/>
          <w:sz w:val="24"/>
          <w:szCs w:val="24"/>
          <w:u w:val="single"/>
        </w:rPr>
        <w:t>IAFF Local 50 v. The City of Peoria</w:t>
      </w:r>
      <w:r>
        <w:rPr>
          <w:rFonts w:ascii="Times New Roman" w:hAnsi="Times New Roman"/>
          <w:sz w:val="24"/>
          <w:szCs w:val="24"/>
        </w:rPr>
        <w:t xml:space="preserve">, the Appellate Court of Illinois (Third District) held (3 to 0) that the Circuit Court of Peoria County properly awarded summary judgment to the IAFF, holding that the City cannot enact an ordinance that seeks to define (and therefore limit) the state’s </w:t>
      </w:r>
      <w:r w:rsidRPr="009836FC">
        <w:rPr>
          <w:rFonts w:ascii="Times New Roman" w:hAnsi="Times New Roman"/>
          <w:sz w:val="24"/>
          <w:szCs w:val="24"/>
        </w:rPr>
        <w:t>Public Safety Employee Benefits Act (Act)</w:t>
      </w:r>
      <w:r>
        <w:rPr>
          <w:rFonts w:ascii="Times New Roman" w:hAnsi="Times New Roman"/>
          <w:sz w:val="24"/>
          <w:szCs w:val="24"/>
        </w:rPr>
        <w:t xml:space="preserve">, particularly after Illinois Supreme Court has already reviewed the state law and its legislative history.  </w:t>
      </w:r>
    </w:p>
    <w:p w14:paraId="085F7C87" w14:textId="77777777" w:rsidR="00CD5950" w:rsidRDefault="00CD5950" w:rsidP="00CD5950">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w:t>
      </w:r>
      <w:r w:rsidRPr="000331B7">
        <w:rPr>
          <w:rFonts w:ascii="Times New Roman" w:eastAsia="Times New Roman" w:hAnsi="Times New Roman"/>
          <w:sz w:val="24"/>
          <w:szCs w:val="24"/>
        </w:rPr>
        <w:t xml:space="preserve">Peoria City Code § 2-350(b) (amended June 12, 2018). </w:t>
      </w:r>
      <w:r>
        <w:rPr>
          <w:rFonts w:ascii="Times New Roman" w:eastAsia="Times New Roman" w:hAnsi="Times New Roman"/>
          <w:sz w:val="24"/>
          <w:szCs w:val="24"/>
        </w:rPr>
        <w:t>‘</w:t>
      </w:r>
      <w:r w:rsidRPr="000331B7">
        <w:rPr>
          <w:rFonts w:ascii="Times New Roman" w:eastAsia="Times New Roman" w:hAnsi="Times New Roman"/>
          <w:sz w:val="24"/>
          <w:szCs w:val="24"/>
        </w:rPr>
        <w:t>Catastrophic injury</w:t>
      </w:r>
      <w:r>
        <w:rPr>
          <w:rFonts w:ascii="Times New Roman" w:eastAsia="Times New Roman" w:hAnsi="Times New Roman"/>
          <w:sz w:val="24"/>
          <w:szCs w:val="24"/>
        </w:rPr>
        <w:t>’</w:t>
      </w:r>
      <w:r w:rsidRPr="000331B7">
        <w:rPr>
          <w:rFonts w:ascii="Times New Roman" w:eastAsia="Times New Roman" w:hAnsi="Times New Roman"/>
          <w:sz w:val="24"/>
          <w:szCs w:val="24"/>
        </w:rPr>
        <w:t xml:space="preserve"> is defined as </w:t>
      </w:r>
      <w:r>
        <w:rPr>
          <w:rFonts w:ascii="Times New Roman" w:eastAsia="Times New Roman" w:hAnsi="Times New Roman"/>
          <w:sz w:val="24"/>
          <w:szCs w:val="24"/>
        </w:rPr>
        <w:t>‘</w:t>
      </w:r>
      <w:r w:rsidRPr="000331B7">
        <w:rPr>
          <w:rFonts w:ascii="Times New Roman" w:eastAsia="Times New Roman" w:hAnsi="Times New Roman"/>
          <w:sz w:val="24"/>
          <w:szCs w:val="24"/>
        </w:rPr>
        <w:t>[a]n injury, the direct and proximate consequences of which permanently prevent an individual from performing any gainful work.</w:t>
      </w:r>
      <w:r>
        <w:rPr>
          <w:rFonts w:ascii="Times New Roman" w:eastAsia="Times New Roman" w:hAnsi="Times New Roman"/>
          <w:sz w:val="24"/>
          <w:szCs w:val="24"/>
        </w:rPr>
        <w:t>’</w:t>
      </w:r>
      <w:r w:rsidRPr="000331B7">
        <w:rPr>
          <w:rFonts w:ascii="Times New Roman" w:eastAsia="Times New Roman" w:hAnsi="Times New Roman"/>
          <w:sz w:val="24"/>
          <w:szCs w:val="24"/>
        </w:rPr>
        <w:t xml:space="preserve"> </w:t>
      </w:r>
      <w:r w:rsidRPr="000331B7">
        <w:rPr>
          <w:rFonts w:ascii="Times New Roman" w:eastAsia="Times New Roman" w:hAnsi="Times New Roman"/>
          <w:i/>
          <w:iCs/>
          <w:sz w:val="24"/>
          <w:szCs w:val="24"/>
        </w:rPr>
        <w:t>Id</w:t>
      </w:r>
      <w:r w:rsidRPr="000331B7">
        <w:rPr>
          <w:rFonts w:ascii="Times New Roman" w:eastAsia="Times New Roman" w:hAnsi="Times New Roman"/>
          <w:sz w:val="24"/>
          <w:szCs w:val="24"/>
        </w:rPr>
        <w:t xml:space="preserve">. </w:t>
      </w:r>
      <w:r>
        <w:rPr>
          <w:rFonts w:ascii="Times New Roman" w:eastAsia="Times New Roman" w:hAnsi="Times New Roman"/>
          <w:sz w:val="24"/>
          <w:szCs w:val="24"/>
        </w:rPr>
        <w:t>‘</w:t>
      </w:r>
      <w:r w:rsidRPr="000331B7">
        <w:rPr>
          <w:rFonts w:ascii="Times New Roman" w:eastAsia="Times New Roman" w:hAnsi="Times New Roman"/>
          <w:sz w:val="24"/>
          <w:szCs w:val="24"/>
        </w:rPr>
        <w:t>Gainful work</w:t>
      </w:r>
      <w:r>
        <w:rPr>
          <w:rFonts w:ascii="Times New Roman" w:eastAsia="Times New Roman" w:hAnsi="Times New Roman"/>
          <w:sz w:val="24"/>
          <w:szCs w:val="24"/>
        </w:rPr>
        <w:t>’</w:t>
      </w:r>
      <w:r w:rsidRPr="000331B7">
        <w:rPr>
          <w:rFonts w:ascii="Times New Roman" w:eastAsia="Times New Roman" w:hAnsi="Times New Roman"/>
          <w:sz w:val="24"/>
          <w:szCs w:val="24"/>
        </w:rPr>
        <w:t xml:space="preserve"> is defined as </w:t>
      </w:r>
      <w:r>
        <w:rPr>
          <w:rFonts w:ascii="Times New Roman" w:eastAsia="Times New Roman" w:hAnsi="Times New Roman"/>
          <w:sz w:val="24"/>
          <w:szCs w:val="24"/>
        </w:rPr>
        <w:t>‘</w:t>
      </w:r>
      <w:r w:rsidRPr="000331B7">
        <w:rPr>
          <w:rFonts w:ascii="Times New Roman" w:eastAsia="Times New Roman" w:hAnsi="Times New Roman"/>
          <w:sz w:val="24"/>
          <w:szCs w:val="24"/>
        </w:rPr>
        <w:t>[f]</w:t>
      </w:r>
      <w:proofErr w:type="spellStart"/>
      <w:r w:rsidRPr="000331B7">
        <w:rPr>
          <w:rFonts w:ascii="Times New Roman" w:eastAsia="Times New Roman" w:hAnsi="Times New Roman"/>
          <w:sz w:val="24"/>
          <w:szCs w:val="24"/>
        </w:rPr>
        <w:t>ull</w:t>
      </w:r>
      <w:proofErr w:type="spellEnd"/>
      <w:r w:rsidRPr="000331B7">
        <w:rPr>
          <w:rFonts w:ascii="Times New Roman" w:eastAsia="Times New Roman" w:hAnsi="Times New Roman"/>
          <w:sz w:val="24"/>
          <w:szCs w:val="24"/>
        </w:rPr>
        <w:t xml:space="preserve">- or part-time </w:t>
      </w:r>
      <w:proofErr w:type="gramStart"/>
      <w:r w:rsidRPr="000331B7">
        <w:rPr>
          <w:rFonts w:ascii="Times New Roman" w:eastAsia="Times New Roman" w:hAnsi="Times New Roman"/>
          <w:sz w:val="24"/>
          <w:szCs w:val="24"/>
        </w:rPr>
        <w:t>activity</w:t>
      </w:r>
      <w:proofErr w:type="gramEnd"/>
      <w:r w:rsidRPr="000331B7">
        <w:rPr>
          <w:rFonts w:ascii="Times New Roman" w:eastAsia="Times New Roman" w:hAnsi="Times New Roman"/>
          <w:sz w:val="24"/>
          <w:szCs w:val="24"/>
        </w:rPr>
        <w:t xml:space="preserve"> that actually is compensated or commonly is compensated.</w:t>
      </w:r>
      <w:r>
        <w:rPr>
          <w:rFonts w:ascii="Times New Roman" w:eastAsia="Times New Roman" w:hAnsi="Times New Roman"/>
          <w:sz w:val="24"/>
          <w:szCs w:val="24"/>
        </w:rPr>
        <w:t>’</w:t>
      </w:r>
      <w:r w:rsidRPr="000331B7">
        <w:rPr>
          <w:rFonts w:ascii="Times New Roman" w:eastAsia="Times New Roman" w:hAnsi="Times New Roman"/>
          <w:sz w:val="24"/>
          <w:szCs w:val="24"/>
        </w:rPr>
        <w:t xml:space="preserve"> </w:t>
      </w:r>
      <w:r w:rsidRPr="000331B7">
        <w:rPr>
          <w:rFonts w:ascii="Times New Roman" w:eastAsia="Times New Roman" w:hAnsi="Times New Roman"/>
          <w:i/>
          <w:iCs/>
          <w:sz w:val="24"/>
          <w:szCs w:val="24"/>
        </w:rPr>
        <w:t>Id</w:t>
      </w:r>
      <w:r w:rsidRPr="000331B7">
        <w:rPr>
          <w:rFonts w:ascii="Times New Roman" w:eastAsia="Times New Roman" w:hAnsi="Times New Roman"/>
          <w:sz w:val="24"/>
          <w:szCs w:val="24"/>
        </w:rPr>
        <w:t xml:space="preserve">. "Injury" is defined </w:t>
      </w:r>
      <w:proofErr w:type="gramStart"/>
      <w:r w:rsidRPr="000331B7">
        <w:rPr>
          <w:rFonts w:ascii="Times New Roman" w:eastAsia="Times New Roman" w:hAnsi="Times New Roman"/>
          <w:sz w:val="24"/>
          <w:szCs w:val="24"/>
        </w:rPr>
        <w:t>as:</w:t>
      </w:r>
      <w:r>
        <w:rPr>
          <w:rFonts w:ascii="Times New Roman" w:eastAsia="Times New Roman" w:hAnsi="Times New Roman"/>
          <w:sz w:val="24"/>
          <w:szCs w:val="24"/>
        </w:rPr>
        <w:t xml:space="preserve"> ‘</w:t>
      </w:r>
      <w:proofErr w:type="gramEnd"/>
      <w:r w:rsidRPr="000331B7">
        <w:rPr>
          <w:rFonts w:ascii="Times New Roman" w:eastAsia="Times New Roman" w:hAnsi="Times New Roman"/>
          <w:sz w:val="24"/>
          <w:szCs w:val="24"/>
        </w:rPr>
        <w:t>A traumatic physical wound *** directly and proximately caused by external force ***, chemicals, electricity, climatic conditions, infectious disease, radiation, virus, or bacteria, but does not include:</w:t>
      </w:r>
      <w:r>
        <w:rPr>
          <w:rFonts w:ascii="Times New Roman" w:eastAsia="Times New Roman" w:hAnsi="Times New Roman"/>
          <w:sz w:val="24"/>
          <w:szCs w:val="24"/>
        </w:rPr>
        <w:t xml:space="preserve"> </w:t>
      </w:r>
    </w:p>
    <w:p w14:paraId="5238FCD7" w14:textId="77777777" w:rsidR="00CD5950" w:rsidRDefault="00CD5950" w:rsidP="00CD5950">
      <w:pPr>
        <w:spacing w:before="100" w:beforeAutospacing="1" w:after="100" w:afterAutospacing="1" w:line="240" w:lineRule="auto"/>
        <w:ind w:left="1440"/>
        <w:rPr>
          <w:rFonts w:ascii="Times New Roman" w:eastAsia="Times New Roman" w:hAnsi="Times New Roman"/>
          <w:sz w:val="24"/>
          <w:szCs w:val="24"/>
        </w:rPr>
      </w:pPr>
      <w:r w:rsidRPr="000331B7">
        <w:rPr>
          <w:rFonts w:ascii="Times New Roman" w:eastAsia="Times New Roman" w:hAnsi="Times New Roman"/>
          <w:sz w:val="24"/>
          <w:szCs w:val="24"/>
        </w:rPr>
        <w:t>(1) Any occupational disease; or</w:t>
      </w:r>
      <w:r w:rsidRPr="000331B7">
        <w:rPr>
          <w:rFonts w:ascii="Times New Roman" w:eastAsia="Times New Roman" w:hAnsi="Times New Roman"/>
          <w:sz w:val="24"/>
          <w:szCs w:val="24"/>
        </w:rPr>
        <w:br/>
      </w:r>
      <w:r w:rsidRPr="000331B7">
        <w:rPr>
          <w:rFonts w:ascii="Times New Roman" w:eastAsia="Times New Roman" w:hAnsi="Times New Roman"/>
          <w:sz w:val="24"/>
          <w:szCs w:val="24"/>
        </w:rPr>
        <w:br/>
        <w:t>(2) Any condition of the body caused or occasioned by stress or strain.</w:t>
      </w:r>
    </w:p>
    <w:p w14:paraId="6F48ADFA" w14:textId="77777777" w:rsidR="00CD5950" w:rsidRDefault="00CD5950" w:rsidP="00CD5950">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w:t>
      </w:r>
    </w:p>
    <w:p w14:paraId="063E6CB9" w14:textId="5DBD5DCD" w:rsidR="00CD5950" w:rsidRPr="000331B7" w:rsidRDefault="00CD5950" w:rsidP="00CD5950">
      <w:pPr>
        <w:spacing w:before="100" w:beforeAutospacing="1" w:after="100" w:afterAutospacing="1" w:line="240" w:lineRule="auto"/>
        <w:ind w:left="720"/>
        <w:rPr>
          <w:rFonts w:ascii="Times New Roman" w:eastAsia="Times New Roman" w:hAnsi="Times New Roman"/>
          <w:sz w:val="24"/>
          <w:szCs w:val="24"/>
        </w:rPr>
      </w:pPr>
      <w:r w:rsidRPr="000331B7">
        <w:rPr>
          <w:rFonts w:ascii="Times New Roman" w:hAnsi="Times New Roman"/>
          <w:sz w:val="24"/>
          <w:szCs w:val="24"/>
        </w:rPr>
        <w:t xml:space="preserve">We conclude that the City's definitions of </w:t>
      </w:r>
      <w:r>
        <w:rPr>
          <w:rFonts w:ascii="Times New Roman" w:hAnsi="Times New Roman"/>
          <w:sz w:val="24"/>
          <w:szCs w:val="24"/>
        </w:rPr>
        <w:t>‘</w:t>
      </w:r>
      <w:r w:rsidRPr="000331B7">
        <w:rPr>
          <w:rFonts w:ascii="Times New Roman" w:hAnsi="Times New Roman"/>
          <w:sz w:val="24"/>
          <w:szCs w:val="24"/>
        </w:rPr>
        <w:t>catastrophic injury,</w:t>
      </w:r>
      <w:r>
        <w:rPr>
          <w:rFonts w:ascii="Times New Roman" w:hAnsi="Times New Roman"/>
          <w:sz w:val="24"/>
          <w:szCs w:val="24"/>
        </w:rPr>
        <w:t>’</w:t>
      </w:r>
      <w:r w:rsidRPr="000331B7">
        <w:rPr>
          <w:rFonts w:ascii="Times New Roman" w:hAnsi="Times New Roman"/>
          <w:sz w:val="24"/>
          <w:szCs w:val="24"/>
        </w:rPr>
        <w:t xml:space="preserve"> </w:t>
      </w:r>
      <w:r>
        <w:rPr>
          <w:rFonts w:ascii="Times New Roman" w:hAnsi="Times New Roman"/>
          <w:sz w:val="24"/>
          <w:szCs w:val="24"/>
        </w:rPr>
        <w:t>‘</w:t>
      </w:r>
      <w:r w:rsidRPr="000331B7">
        <w:rPr>
          <w:rFonts w:ascii="Times New Roman" w:hAnsi="Times New Roman"/>
          <w:sz w:val="24"/>
          <w:szCs w:val="24"/>
        </w:rPr>
        <w:t>injury,</w:t>
      </w:r>
      <w:r>
        <w:rPr>
          <w:rFonts w:ascii="Times New Roman" w:hAnsi="Times New Roman"/>
          <w:sz w:val="24"/>
          <w:szCs w:val="24"/>
        </w:rPr>
        <w:t>’</w:t>
      </w:r>
      <w:r w:rsidRPr="000331B7">
        <w:rPr>
          <w:rFonts w:ascii="Times New Roman" w:hAnsi="Times New Roman"/>
          <w:sz w:val="24"/>
          <w:szCs w:val="24"/>
        </w:rPr>
        <w:t xml:space="preserve"> and </w:t>
      </w:r>
      <w:r>
        <w:rPr>
          <w:rFonts w:ascii="Times New Roman" w:hAnsi="Times New Roman"/>
          <w:sz w:val="24"/>
          <w:szCs w:val="24"/>
        </w:rPr>
        <w:t>‘</w:t>
      </w:r>
      <w:r w:rsidRPr="000331B7">
        <w:rPr>
          <w:rFonts w:ascii="Times New Roman" w:hAnsi="Times New Roman"/>
          <w:sz w:val="24"/>
          <w:szCs w:val="24"/>
        </w:rPr>
        <w:t>gainful work</w:t>
      </w:r>
      <w:r>
        <w:rPr>
          <w:rFonts w:ascii="Times New Roman" w:hAnsi="Times New Roman"/>
          <w:sz w:val="24"/>
          <w:szCs w:val="24"/>
        </w:rPr>
        <w:t>’</w:t>
      </w:r>
      <w:r w:rsidRPr="000331B7">
        <w:rPr>
          <w:rFonts w:ascii="Times New Roman" w:hAnsi="Times New Roman"/>
          <w:sz w:val="24"/>
          <w:szCs w:val="24"/>
        </w:rPr>
        <w:t xml:space="preserve"> were inconsistent with the substantive requirements of the Act, and the ordinance was not a valid exercise of home rule authority.</w:t>
      </w:r>
      <w:r>
        <w:rPr>
          <w:rFonts w:ascii="Times New Roman" w:hAnsi="Times New Roman"/>
          <w:sz w:val="24"/>
          <w:szCs w:val="24"/>
        </w:rPr>
        <w:t xml:space="preserve">” </w:t>
      </w:r>
      <w:hyperlink r:id="rId1224" w:history="1">
        <w:r w:rsidRPr="002013DF">
          <w:rPr>
            <w:rStyle w:val="Hyperlink"/>
            <w:rFonts w:ascii="Times New Roman" w:hAnsi="Times New Roman"/>
            <w:sz w:val="24"/>
            <w:szCs w:val="24"/>
          </w:rPr>
          <w:t>https://public.fastcase.com/Wl%2B2t%2BeVuI35%2FN70vAMFZhBwSznuAn%2FrUV3euz1vpuZ8G42r7l80quvA5s5OcZyT</w:t>
        </w:r>
      </w:hyperlink>
      <w:r>
        <w:rPr>
          <w:rFonts w:ascii="Times New Roman" w:hAnsi="Times New Roman"/>
          <w:sz w:val="24"/>
          <w:szCs w:val="24"/>
        </w:rPr>
        <w:t xml:space="preserve"> </w:t>
      </w:r>
    </w:p>
    <w:p w14:paraId="3CFE1194" w14:textId="77777777" w:rsidR="00CD5950" w:rsidRPr="00AB7084" w:rsidRDefault="00CD5950" w:rsidP="00CD5950">
      <w:pPr>
        <w:spacing w:before="100" w:beforeAutospacing="1" w:after="100" w:afterAutospacing="1" w:line="240" w:lineRule="auto"/>
        <w:ind w:left="720"/>
        <w:rPr>
          <w:rFonts w:ascii="Times New Roman" w:eastAsia="Times New Roman" w:hAnsi="Times New Roman"/>
          <w:sz w:val="24"/>
          <w:szCs w:val="24"/>
        </w:rPr>
      </w:pPr>
      <w:r w:rsidRPr="00EC6D3D">
        <w:rPr>
          <w:rFonts w:ascii="Times New Roman" w:eastAsia="Times New Roman" w:hAnsi="Times New Roman"/>
          <w:b/>
          <w:bCs/>
          <w:sz w:val="24"/>
          <w:szCs w:val="24"/>
        </w:rPr>
        <w:t>Legal Lesson Learned:</w:t>
      </w:r>
      <w:r>
        <w:rPr>
          <w:rFonts w:ascii="Times New Roman" w:eastAsia="Times New Roman" w:hAnsi="Times New Roman"/>
          <w:b/>
          <w:bCs/>
          <w:sz w:val="24"/>
          <w:szCs w:val="24"/>
        </w:rPr>
        <w:t xml:space="preserve"> Cities under their “home rule” authority cannot enact an ordinance limiting or defining health benefits provided under state statute.  </w:t>
      </w:r>
    </w:p>
    <w:p w14:paraId="005095DB" w14:textId="77777777" w:rsidR="00CD5950" w:rsidRDefault="00CD5950" w:rsidP="00EF1133">
      <w:pPr>
        <w:rPr>
          <w:rFonts w:ascii="Arial Black" w:hAnsi="Arial Black"/>
          <w:b/>
          <w:sz w:val="24"/>
          <w:szCs w:val="24"/>
        </w:rPr>
      </w:pPr>
    </w:p>
    <w:p w14:paraId="6D58EE4E" w14:textId="377283A5" w:rsidR="007F3C7D" w:rsidRDefault="007F3C7D" w:rsidP="00EF1133">
      <w:pPr>
        <w:rPr>
          <w:rFonts w:ascii="Arial Black" w:hAnsi="Arial Black"/>
          <w:b/>
          <w:sz w:val="24"/>
          <w:szCs w:val="24"/>
        </w:rPr>
      </w:pPr>
      <w:r>
        <w:rPr>
          <w:rFonts w:ascii="Arial Black" w:hAnsi="Arial Black"/>
          <w:b/>
          <w:sz w:val="24"/>
          <w:szCs w:val="24"/>
        </w:rPr>
        <w:t>6-6</w:t>
      </w:r>
      <w:r w:rsidR="008F02C3">
        <w:rPr>
          <w:rFonts w:ascii="Arial Black" w:hAnsi="Arial Black"/>
          <w:b/>
          <w:sz w:val="24"/>
          <w:szCs w:val="24"/>
        </w:rPr>
        <w:t>3</w:t>
      </w:r>
    </w:p>
    <w:p w14:paraId="37ECCA80" w14:textId="77777777" w:rsidR="007F3C7D" w:rsidRPr="003F7EAE" w:rsidRDefault="007F3C7D" w:rsidP="007F3C7D">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ME: TOWN’S CHARTER REQUIRES EMPLOYEES &amp; VOL. FF TO RESIGN IN ORDER TO RUN FOR ELECTION – FED. JUDGE UPHOLDS</w:t>
      </w:r>
    </w:p>
    <w:p w14:paraId="122156B6" w14:textId="77777777" w:rsidR="007F3C7D" w:rsidRDefault="007F3C7D" w:rsidP="007F3C7D">
      <w:pPr>
        <w:rPr>
          <w:rFonts w:ascii="Times New Roman" w:hAnsi="Times New Roman"/>
          <w:sz w:val="24"/>
          <w:szCs w:val="24"/>
        </w:rPr>
      </w:pPr>
      <w:r>
        <w:rPr>
          <w:rFonts w:ascii="Times New Roman" w:hAnsi="Times New Roman"/>
          <w:sz w:val="24"/>
          <w:szCs w:val="24"/>
        </w:rPr>
        <w:t xml:space="preserve">On Jan. 21, 2021, in </w:t>
      </w:r>
      <w:r w:rsidRPr="00DC7AB1">
        <w:rPr>
          <w:rFonts w:ascii="Times New Roman" w:hAnsi="Times New Roman"/>
          <w:sz w:val="24"/>
          <w:szCs w:val="24"/>
          <w:u w:val="single"/>
        </w:rPr>
        <w:t>Megan Casey</w:t>
      </w:r>
      <w:r>
        <w:rPr>
          <w:rFonts w:ascii="Times New Roman" w:hAnsi="Times New Roman"/>
          <w:sz w:val="24"/>
          <w:szCs w:val="24"/>
          <w:u w:val="single"/>
        </w:rPr>
        <w:t xml:space="preserve">, </w:t>
      </w:r>
      <w:r w:rsidRPr="00DC7AB1">
        <w:rPr>
          <w:rFonts w:ascii="Times New Roman" w:hAnsi="Times New Roman"/>
          <w:sz w:val="24"/>
          <w:szCs w:val="24"/>
          <w:u w:val="single"/>
        </w:rPr>
        <w:t>et al. v. Town of Yarmouth</w:t>
      </w:r>
      <w:r>
        <w:rPr>
          <w:rFonts w:ascii="Times New Roman" w:hAnsi="Times New Roman"/>
          <w:sz w:val="24"/>
          <w:szCs w:val="24"/>
        </w:rPr>
        <w:t xml:space="preserve">, U.S. District Court Judge George Z. Singal, U.S. District Court, District of Maine held that the Town’s Charter Amendment is constitutional based on the “balancing” test in U.S. Supreme Court’s decision in Pickering v. Board of Education, 391 U.S. 563 (1968).  The Charter Amendment was passed by referendum of voters in Nov. 2018, supported by a group calling itself </w:t>
      </w:r>
      <w:r w:rsidRPr="003575D4">
        <w:rPr>
          <w:rFonts w:ascii="Times New Roman" w:hAnsi="Times New Roman"/>
          <w:sz w:val="24"/>
          <w:szCs w:val="24"/>
        </w:rPr>
        <w:t>"Yarmouth Citizens for Responsible Government</w:t>
      </w:r>
      <w:r>
        <w:rPr>
          <w:rFonts w:ascii="Times New Roman" w:hAnsi="Times New Roman"/>
          <w:sz w:val="24"/>
          <w:szCs w:val="24"/>
        </w:rPr>
        <w:t>.,</w:t>
      </w:r>
      <w:r w:rsidRPr="003575D4">
        <w:rPr>
          <w:rFonts w:ascii="Times New Roman" w:hAnsi="Times New Roman"/>
          <w:sz w:val="24"/>
          <w:szCs w:val="24"/>
        </w:rPr>
        <w:t>"</w:t>
      </w:r>
      <w:r>
        <w:rPr>
          <w:rFonts w:ascii="Times New Roman" w:hAnsi="Times New Roman"/>
          <w:sz w:val="24"/>
          <w:szCs w:val="24"/>
        </w:rPr>
        <w:t xml:space="preserve"> seeking to avoid any conflict of interest by prohibiting any Town employee [apparently this includes volunteer firefighters], current teachers from serving on Council.  Judge also held that the volunteer firefighter Mark </w:t>
      </w:r>
      <w:proofErr w:type="spellStart"/>
      <w:r>
        <w:rPr>
          <w:rFonts w:ascii="Times New Roman" w:hAnsi="Times New Roman"/>
          <w:sz w:val="24"/>
          <w:szCs w:val="24"/>
        </w:rPr>
        <w:t>Reinsborough</w:t>
      </w:r>
      <w:proofErr w:type="spellEnd"/>
      <w:r>
        <w:rPr>
          <w:rFonts w:ascii="Times New Roman" w:hAnsi="Times New Roman"/>
          <w:sz w:val="24"/>
          <w:szCs w:val="24"/>
        </w:rPr>
        <w:t xml:space="preserve"> [as well as his wife, and his father, a former volunteer firefighter] lacked “standing” since none expressed a current intent to run for Council. </w:t>
      </w:r>
    </w:p>
    <w:p w14:paraId="24083F2A" w14:textId="77777777" w:rsidR="007F3C7D" w:rsidRPr="00933346" w:rsidRDefault="007F3C7D" w:rsidP="007F3C7D">
      <w:pPr>
        <w:spacing w:before="100" w:beforeAutospacing="1" w:after="100" w:afterAutospacing="1" w:line="240" w:lineRule="auto"/>
        <w:ind w:left="720"/>
        <w:rPr>
          <w:rFonts w:ascii="Times New Roman" w:eastAsia="Times New Roman" w:hAnsi="Times New Roman"/>
          <w:sz w:val="24"/>
          <w:szCs w:val="24"/>
        </w:rPr>
      </w:pPr>
      <w:r>
        <w:rPr>
          <w:rFonts w:ascii="Times New Roman" w:hAnsi="Times New Roman"/>
          <w:sz w:val="24"/>
          <w:szCs w:val="24"/>
        </w:rPr>
        <w:t>“[T]</w:t>
      </w:r>
      <w:r w:rsidRPr="00865711">
        <w:rPr>
          <w:rFonts w:ascii="Times New Roman" w:hAnsi="Times New Roman"/>
          <w:sz w:val="24"/>
          <w:szCs w:val="24"/>
        </w:rPr>
        <w:t xml:space="preserve">he Supreme Court </w:t>
      </w:r>
      <w:r>
        <w:rPr>
          <w:rFonts w:ascii="Times New Roman" w:hAnsi="Times New Roman"/>
          <w:sz w:val="24"/>
          <w:szCs w:val="24"/>
        </w:rPr>
        <w:t xml:space="preserve">in </w:t>
      </w:r>
      <w:r w:rsidRPr="00924AEC">
        <w:rPr>
          <w:rFonts w:ascii="Times New Roman" w:hAnsi="Times New Roman"/>
          <w:sz w:val="24"/>
          <w:szCs w:val="24"/>
          <w:u w:val="single"/>
        </w:rPr>
        <w:t>Pickering</w:t>
      </w:r>
      <w:r>
        <w:rPr>
          <w:rFonts w:ascii="Times New Roman" w:hAnsi="Times New Roman"/>
          <w:sz w:val="24"/>
          <w:szCs w:val="24"/>
        </w:rPr>
        <w:t xml:space="preserve"> ‘</w:t>
      </w:r>
      <w:r w:rsidRPr="00865711">
        <w:rPr>
          <w:rFonts w:ascii="Times New Roman" w:hAnsi="Times New Roman"/>
          <w:sz w:val="24"/>
          <w:szCs w:val="24"/>
        </w:rPr>
        <w:t>declared that citizens do not surrender their First Amendment rights by accepting public employment.</w:t>
      </w:r>
      <w:r>
        <w:rPr>
          <w:rFonts w:ascii="Times New Roman" w:hAnsi="Times New Roman"/>
          <w:sz w:val="24"/>
          <w:szCs w:val="24"/>
        </w:rPr>
        <w:t>’</w:t>
      </w:r>
      <w:r w:rsidRPr="00865711">
        <w:rPr>
          <w:rFonts w:ascii="Times New Roman" w:hAnsi="Times New Roman"/>
          <w:sz w:val="24"/>
          <w:szCs w:val="24"/>
        </w:rPr>
        <w:t xml:space="preserve"> </w:t>
      </w:r>
      <w:r w:rsidRPr="00865711">
        <w:rPr>
          <w:rFonts w:ascii="Times New Roman" w:hAnsi="Times New Roman"/>
          <w:sz w:val="24"/>
          <w:szCs w:val="24"/>
          <w:u w:val="single"/>
        </w:rPr>
        <w:t>Lane v. Franks</w:t>
      </w:r>
      <w:r w:rsidRPr="00865711">
        <w:rPr>
          <w:rFonts w:ascii="Times New Roman" w:hAnsi="Times New Roman"/>
          <w:sz w:val="24"/>
          <w:szCs w:val="24"/>
        </w:rPr>
        <w:t xml:space="preserve">, 573 U.S. 228, 231 (2014) (describing </w:t>
      </w:r>
      <w:r w:rsidRPr="00865711">
        <w:rPr>
          <w:rFonts w:ascii="Times New Roman" w:hAnsi="Times New Roman"/>
          <w:sz w:val="24"/>
          <w:szCs w:val="24"/>
          <w:u w:val="single"/>
        </w:rPr>
        <w:t>Pickering</w:t>
      </w:r>
      <w:r w:rsidRPr="00865711">
        <w:rPr>
          <w:rFonts w:ascii="Times New Roman" w:hAnsi="Times New Roman"/>
          <w:sz w:val="24"/>
          <w:szCs w:val="24"/>
        </w:rPr>
        <w:t>). However, the Court found that it was necessary "</w:t>
      </w:r>
      <w:r>
        <w:rPr>
          <w:rFonts w:ascii="Times New Roman" w:hAnsi="Times New Roman"/>
          <w:sz w:val="24"/>
          <w:szCs w:val="24"/>
        </w:rPr>
        <w:t>t</w:t>
      </w:r>
      <w:r w:rsidRPr="00865711">
        <w:rPr>
          <w:rFonts w:ascii="Times New Roman" w:hAnsi="Times New Roman"/>
          <w:sz w:val="24"/>
          <w:szCs w:val="24"/>
        </w:rPr>
        <w:t xml:space="preserve">o . . . balance between the interests of the [employee], as a citizen, in commenting upon matters of public concern and the interest of the [government], as an </w:t>
      </w:r>
      <w:r w:rsidRPr="00865711">
        <w:rPr>
          <w:rFonts w:ascii="Times New Roman" w:hAnsi="Times New Roman"/>
          <w:sz w:val="24"/>
          <w:szCs w:val="24"/>
        </w:rPr>
        <w:lastRenderedPageBreak/>
        <w:t>employer, in promoting the efficiency of the public services it performs through its employees.</w:t>
      </w:r>
      <w:r>
        <w:rPr>
          <w:rFonts w:ascii="Times New Roman" w:hAnsi="Times New Roman"/>
          <w:sz w:val="24"/>
          <w:szCs w:val="24"/>
        </w:rPr>
        <w:t>’</w:t>
      </w:r>
      <w:r w:rsidRPr="00865711">
        <w:rPr>
          <w:rFonts w:ascii="Times New Roman" w:hAnsi="Times New Roman"/>
          <w:sz w:val="24"/>
          <w:szCs w:val="24"/>
        </w:rPr>
        <w:t xml:space="preserve"> </w:t>
      </w:r>
      <w:r w:rsidRPr="00865711">
        <w:rPr>
          <w:rFonts w:ascii="Times New Roman" w:hAnsi="Times New Roman"/>
          <w:sz w:val="24"/>
          <w:szCs w:val="24"/>
          <w:u w:val="single"/>
        </w:rPr>
        <w:t>Pickering</w:t>
      </w:r>
      <w:r w:rsidRPr="00865711">
        <w:rPr>
          <w:rFonts w:ascii="Times New Roman" w:hAnsi="Times New Roman"/>
          <w:sz w:val="24"/>
          <w:szCs w:val="24"/>
        </w:rPr>
        <w:t>, 391 U.S. at 568.</w:t>
      </w:r>
      <w:r>
        <w:rPr>
          <w:rFonts w:ascii="Times New Roman" w:hAnsi="Times New Roman"/>
          <w:sz w:val="24"/>
          <w:szCs w:val="24"/>
        </w:rPr>
        <w:t xml:space="preserve"> </w:t>
      </w:r>
      <w:hyperlink r:id="rId1225" w:history="1">
        <w:r w:rsidRPr="00563FF7">
          <w:rPr>
            <w:rStyle w:val="Hyperlink"/>
            <w:rFonts w:ascii="Times New Roman" w:eastAsia="Times New Roman" w:hAnsi="Times New Roman"/>
            <w:sz w:val="24"/>
            <w:szCs w:val="24"/>
          </w:rPr>
          <w:t>https://public.fastcase.com/Wl%2B2t%2BeVuI35%2FN70vAMFZiwHTxExttVvxvtro3%2Fx3JKRataF5Ade5ddShAB2khcY</w:t>
        </w:r>
      </w:hyperlink>
      <w:r>
        <w:rPr>
          <w:rFonts w:ascii="Times New Roman" w:eastAsia="Times New Roman" w:hAnsi="Times New Roman"/>
          <w:sz w:val="24"/>
          <w:szCs w:val="24"/>
        </w:rPr>
        <w:t xml:space="preserve"> </w:t>
      </w:r>
    </w:p>
    <w:p w14:paraId="26386CB8" w14:textId="77777777" w:rsidR="007F3C7D" w:rsidRDefault="007F3C7D" w:rsidP="007F3C7D">
      <w:pPr>
        <w:rPr>
          <w:rFonts w:ascii="Times New Roman" w:hAnsi="Times New Roman"/>
          <w:b/>
          <w:bCs/>
          <w:sz w:val="24"/>
          <w:szCs w:val="24"/>
        </w:rPr>
      </w:pPr>
      <w:r w:rsidRPr="00590EE6">
        <w:rPr>
          <w:rFonts w:ascii="Times New Roman" w:hAnsi="Times New Roman"/>
          <w:b/>
          <w:bCs/>
          <w:sz w:val="24"/>
          <w:szCs w:val="24"/>
        </w:rPr>
        <w:t>Legal Lesson Learned:</w:t>
      </w:r>
      <w:r>
        <w:rPr>
          <w:rFonts w:ascii="Times New Roman" w:hAnsi="Times New Roman"/>
          <w:b/>
          <w:bCs/>
          <w:sz w:val="24"/>
          <w:szCs w:val="24"/>
        </w:rPr>
        <w:t xml:space="preserve">  In many states, there are statutes prohibiting elected officials from voting on matters that could be a “conflict of interest.”  It is rather unusual to see a Charter that prohibits public employees from also serving on Council. </w:t>
      </w:r>
    </w:p>
    <w:p w14:paraId="5DAF944D" w14:textId="77777777" w:rsidR="007F3C7D" w:rsidRPr="00C745B6" w:rsidRDefault="007F3C7D" w:rsidP="007F3C7D">
      <w:pPr>
        <w:ind w:left="720"/>
        <w:rPr>
          <w:rFonts w:ascii="Times New Roman" w:hAnsi="Times New Roman"/>
          <w:sz w:val="24"/>
          <w:szCs w:val="24"/>
        </w:rPr>
      </w:pPr>
      <w:r w:rsidRPr="008B3CA3">
        <w:rPr>
          <w:rFonts w:ascii="Times New Roman" w:hAnsi="Times New Roman"/>
          <w:sz w:val="24"/>
          <w:szCs w:val="24"/>
        </w:rPr>
        <w:t xml:space="preserve">Note:  </w:t>
      </w:r>
      <w:r w:rsidRPr="00C745B6">
        <w:rPr>
          <w:rFonts w:ascii="Times New Roman" w:hAnsi="Times New Roman"/>
          <w:sz w:val="24"/>
          <w:szCs w:val="24"/>
        </w:rPr>
        <w:t xml:space="preserve">The ACLU of Maine brought this lawsuit, and in their </w:t>
      </w:r>
      <w:r>
        <w:rPr>
          <w:rFonts w:ascii="Times New Roman" w:hAnsi="Times New Roman"/>
          <w:sz w:val="24"/>
          <w:szCs w:val="24"/>
        </w:rPr>
        <w:t xml:space="preserve">Aug. 27, </w:t>
      </w:r>
      <w:proofErr w:type="gramStart"/>
      <w:r>
        <w:rPr>
          <w:rFonts w:ascii="Times New Roman" w:hAnsi="Times New Roman"/>
          <w:sz w:val="24"/>
          <w:szCs w:val="24"/>
        </w:rPr>
        <w:t>2019</w:t>
      </w:r>
      <w:proofErr w:type="gramEnd"/>
      <w:r>
        <w:rPr>
          <w:rFonts w:ascii="Times New Roman" w:hAnsi="Times New Roman"/>
          <w:sz w:val="24"/>
          <w:szCs w:val="24"/>
        </w:rPr>
        <w:t xml:space="preserve"> </w:t>
      </w:r>
      <w:r w:rsidRPr="00C745B6">
        <w:rPr>
          <w:rFonts w:ascii="Times New Roman" w:hAnsi="Times New Roman"/>
          <w:sz w:val="24"/>
          <w:szCs w:val="24"/>
        </w:rPr>
        <w:t xml:space="preserve">Press Release stated: </w:t>
      </w:r>
      <w:r>
        <w:rPr>
          <w:rFonts w:ascii="Times New Roman" w:hAnsi="Times New Roman"/>
          <w:sz w:val="24"/>
          <w:szCs w:val="24"/>
        </w:rPr>
        <w:t>“</w:t>
      </w:r>
      <w:r w:rsidRPr="00C745B6">
        <w:rPr>
          <w:rFonts w:ascii="Times New Roman" w:hAnsi="Times New Roman"/>
          <w:sz w:val="24"/>
          <w:szCs w:val="24"/>
        </w:rPr>
        <w:t xml:space="preserve">Courts have consistently held that restrictions like the one adopted by Yarmouth must serve a substantial public interest, and Maine law even specifically anticipates that </w:t>
      </w:r>
      <w:proofErr w:type="gramStart"/>
      <w:r w:rsidRPr="00C745B6">
        <w:rPr>
          <w:rFonts w:ascii="Times New Roman" w:hAnsi="Times New Roman"/>
          <w:sz w:val="24"/>
          <w:szCs w:val="24"/>
        </w:rPr>
        <w:t>school</w:t>
      </w:r>
      <w:r>
        <w:rPr>
          <w:rFonts w:ascii="Times New Roman" w:hAnsi="Times New Roman"/>
          <w:sz w:val="24"/>
          <w:szCs w:val="24"/>
        </w:rPr>
        <w:t xml:space="preserve"> </w:t>
      </w:r>
      <w:r w:rsidRPr="00C745B6">
        <w:rPr>
          <w:rFonts w:ascii="Times New Roman" w:hAnsi="Times New Roman"/>
          <w:sz w:val="24"/>
          <w:szCs w:val="24"/>
        </w:rPr>
        <w:t>teachers</w:t>
      </w:r>
      <w:proofErr w:type="gramEnd"/>
      <w:r w:rsidRPr="00C745B6">
        <w:rPr>
          <w:rFonts w:ascii="Times New Roman" w:hAnsi="Times New Roman"/>
          <w:sz w:val="24"/>
          <w:szCs w:val="24"/>
        </w:rPr>
        <w:t xml:space="preserve"> can and will serve as municipal officers. In August 2017, the town’s own legal counsel concluded that prohibiting town or school employees from serving on the town council could violate their First Amendment rights.</w:t>
      </w:r>
      <w:r>
        <w:rPr>
          <w:rFonts w:ascii="Times New Roman" w:hAnsi="Times New Roman"/>
          <w:sz w:val="24"/>
          <w:szCs w:val="24"/>
        </w:rPr>
        <w:t xml:space="preserve">” </w:t>
      </w:r>
      <w:hyperlink r:id="rId1226" w:history="1">
        <w:r w:rsidRPr="00563FF7">
          <w:rPr>
            <w:rStyle w:val="Hyperlink"/>
            <w:rFonts w:ascii="Times New Roman" w:hAnsi="Times New Roman"/>
            <w:sz w:val="24"/>
            <w:szCs w:val="24"/>
          </w:rPr>
          <w:t>https://www.aclumaine.org/en/press-releases/yarmouth-residents-aclu-challenge-new-restrictions-who-can-run-town-council</w:t>
        </w:r>
      </w:hyperlink>
      <w:r>
        <w:rPr>
          <w:rFonts w:ascii="Times New Roman" w:hAnsi="Times New Roman"/>
          <w:sz w:val="24"/>
          <w:szCs w:val="24"/>
        </w:rPr>
        <w:t xml:space="preserve"> </w:t>
      </w:r>
    </w:p>
    <w:p w14:paraId="33D9366C" w14:textId="77777777" w:rsidR="007F3C7D" w:rsidRPr="008B3CA3" w:rsidRDefault="007F3C7D" w:rsidP="007F3C7D">
      <w:pPr>
        <w:ind w:firstLine="720"/>
        <w:rPr>
          <w:rFonts w:ascii="Times New Roman" w:hAnsi="Times New Roman"/>
          <w:sz w:val="24"/>
          <w:szCs w:val="24"/>
        </w:rPr>
      </w:pPr>
      <w:r>
        <w:rPr>
          <w:rFonts w:ascii="Times New Roman" w:hAnsi="Times New Roman"/>
          <w:sz w:val="24"/>
          <w:szCs w:val="24"/>
        </w:rPr>
        <w:t xml:space="preserve">See:  </w:t>
      </w:r>
      <w:r w:rsidRPr="008B3CA3">
        <w:rPr>
          <w:rFonts w:ascii="Times New Roman" w:hAnsi="Times New Roman"/>
          <w:sz w:val="24"/>
          <w:szCs w:val="24"/>
        </w:rPr>
        <w:t>Ohio Ethics Commission Opinion 91-002 (Aug. 21, 1991)</w:t>
      </w:r>
    </w:p>
    <w:p w14:paraId="2F09AF04" w14:textId="77777777" w:rsidR="007F3C7D" w:rsidRPr="008B3CA3" w:rsidRDefault="007F3C7D" w:rsidP="007F3C7D">
      <w:pPr>
        <w:ind w:left="720"/>
        <w:rPr>
          <w:rFonts w:ascii="Times New Roman" w:hAnsi="Times New Roman"/>
          <w:b/>
          <w:bCs/>
          <w:sz w:val="24"/>
          <w:szCs w:val="24"/>
        </w:rPr>
      </w:pPr>
      <w:r>
        <w:rPr>
          <w:rFonts w:ascii="Times New Roman" w:hAnsi="Times New Roman"/>
          <w:sz w:val="24"/>
          <w:szCs w:val="24"/>
        </w:rPr>
        <w:t>“[T]</w:t>
      </w:r>
      <w:r w:rsidRPr="008B3CA3">
        <w:rPr>
          <w:rFonts w:ascii="Times New Roman" w:hAnsi="Times New Roman"/>
          <w:sz w:val="24"/>
          <w:szCs w:val="24"/>
        </w:rPr>
        <w:t>he Revised Code do not prohibit a city council member from serving as an unpaid volunteer paramedic with the fire department of the city, provided he receives no definite and direct personal pecuniary benefit from such service; and, (3) Division (D) of Section 102.03 of the Revised Code prohibits a city council member who serves as an unpaid volunteer paramedic with the fire department of the city from voting, deliberating, participating in discussions, or otherwise using the authority or influence of his office, either formally or informally, with regard to matters affecting the fire department and its personnel.</w:t>
      </w:r>
      <w:r>
        <w:rPr>
          <w:rFonts w:ascii="Times New Roman" w:hAnsi="Times New Roman"/>
          <w:sz w:val="24"/>
          <w:szCs w:val="24"/>
        </w:rPr>
        <w:t xml:space="preserve">” </w:t>
      </w:r>
      <w:hyperlink r:id="rId1227" w:history="1">
        <w:r w:rsidRPr="00563FF7">
          <w:rPr>
            <w:rStyle w:val="Hyperlink"/>
            <w:rFonts w:ascii="Times New Roman" w:hAnsi="Times New Roman"/>
            <w:sz w:val="24"/>
            <w:szCs w:val="24"/>
          </w:rPr>
          <w:t>https://www.ethics.ohio.gov/advice/opinions/91-002.pdf</w:t>
        </w:r>
      </w:hyperlink>
      <w:r>
        <w:rPr>
          <w:rFonts w:ascii="Times New Roman" w:hAnsi="Times New Roman"/>
          <w:sz w:val="24"/>
          <w:szCs w:val="24"/>
        </w:rPr>
        <w:t xml:space="preserve"> </w:t>
      </w:r>
    </w:p>
    <w:p w14:paraId="24E9A620" w14:textId="3296DFFC" w:rsidR="007F3C7D" w:rsidRDefault="007F3C7D" w:rsidP="00EF1133">
      <w:pPr>
        <w:rPr>
          <w:rFonts w:ascii="Arial Black" w:hAnsi="Arial Black"/>
          <w:b/>
          <w:sz w:val="24"/>
          <w:szCs w:val="24"/>
        </w:rPr>
      </w:pPr>
    </w:p>
    <w:p w14:paraId="611B8F86" w14:textId="77777777" w:rsidR="007F3C7D" w:rsidRDefault="007F3C7D" w:rsidP="00EF1133">
      <w:pPr>
        <w:rPr>
          <w:rFonts w:ascii="Arial Black" w:hAnsi="Arial Black"/>
          <w:b/>
          <w:sz w:val="24"/>
          <w:szCs w:val="24"/>
        </w:rPr>
      </w:pPr>
    </w:p>
    <w:p w14:paraId="2E7813D9" w14:textId="4AC5F615" w:rsidR="007F3C7D" w:rsidRDefault="007F3C7D" w:rsidP="00EF1133">
      <w:pPr>
        <w:rPr>
          <w:rFonts w:ascii="Arial Black" w:hAnsi="Arial Black"/>
          <w:b/>
          <w:sz w:val="24"/>
          <w:szCs w:val="24"/>
        </w:rPr>
      </w:pPr>
      <w:r>
        <w:rPr>
          <w:rFonts w:ascii="Arial Black" w:hAnsi="Arial Black"/>
          <w:b/>
          <w:sz w:val="24"/>
          <w:szCs w:val="24"/>
        </w:rPr>
        <w:t>6-6</w:t>
      </w:r>
      <w:r w:rsidR="008F02C3">
        <w:rPr>
          <w:rFonts w:ascii="Arial Black" w:hAnsi="Arial Black"/>
          <w:b/>
          <w:sz w:val="24"/>
          <w:szCs w:val="24"/>
        </w:rPr>
        <w:t>2</w:t>
      </w:r>
    </w:p>
    <w:p w14:paraId="137733F0" w14:textId="77777777" w:rsidR="007F3C7D" w:rsidRPr="00507F4B" w:rsidRDefault="007F3C7D" w:rsidP="007F3C7D">
      <w:pPr>
        <w:spacing w:before="100" w:beforeAutospacing="1" w:after="100" w:afterAutospacing="1" w:line="240" w:lineRule="auto"/>
        <w:rPr>
          <w:rFonts w:ascii="Arial Black" w:eastAsia="Times New Roman" w:hAnsi="Arial Black"/>
          <w:sz w:val="28"/>
          <w:szCs w:val="28"/>
        </w:rPr>
      </w:pPr>
      <w:r>
        <w:rPr>
          <w:rFonts w:ascii="Arial Black" w:eastAsia="Times New Roman" w:hAnsi="Arial Black"/>
          <w:sz w:val="28"/>
          <w:szCs w:val="28"/>
        </w:rPr>
        <w:t>PA: PROSTATE CANCER – FF DENIED WORKERS COMP – CANCER IS MORE FROM AGE - NOT GROUP I CARCINOGENS</w:t>
      </w:r>
    </w:p>
    <w:p w14:paraId="5F10369B" w14:textId="77777777" w:rsidR="007F3C7D" w:rsidRDefault="007F3C7D" w:rsidP="007F3C7D">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On Jan. 6, 2021, in </w:t>
      </w:r>
      <w:r w:rsidRPr="003A1FC5">
        <w:rPr>
          <w:rFonts w:ascii="Times New Roman" w:eastAsia="Times New Roman" w:hAnsi="Times New Roman"/>
          <w:sz w:val="24"/>
          <w:szCs w:val="24"/>
          <w:u w:val="single"/>
        </w:rPr>
        <w:t>Michael Malone v. Workers’ Compensation Appeal Board (City of Philadelphia)</w:t>
      </w:r>
      <w:r>
        <w:rPr>
          <w:rFonts w:ascii="Times New Roman" w:eastAsia="Times New Roman" w:hAnsi="Times New Roman"/>
          <w:sz w:val="24"/>
          <w:szCs w:val="24"/>
        </w:rPr>
        <w:t xml:space="preserve">, the Commonwealth Court of Pennsylvania held (3 to 0; unreported decision) that the finding by the Workers Compensation Judge that the firefighters’ expert witness failed to show that </w:t>
      </w:r>
      <w:r w:rsidRPr="00D5248C">
        <w:rPr>
          <w:rFonts w:ascii="Times New Roman" w:eastAsia="Times New Roman" w:hAnsi="Times New Roman"/>
          <w:sz w:val="24"/>
          <w:szCs w:val="24"/>
        </w:rPr>
        <w:t>prostate cancer is caused by Group 1 carcinogens.</w:t>
      </w:r>
      <w:r>
        <w:rPr>
          <w:rFonts w:ascii="Times New Roman" w:eastAsia="Times New Roman" w:hAnsi="Times New Roman"/>
          <w:sz w:val="24"/>
          <w:szCs w:val="24"/>
        </w:rPr>
        <w:t xml:space="preserve"> In 2011, the State enacted a statutory presumption for firefighter cancer, but firefighters must still introduce evidence that the firefighter’s particular cancer [prostate cancer] is caused by the job.  </w:t>
      </w:r>
    </w:p>
    <w:p w14:paraId="3C335A22" w14:textId="77777777" w:rsidR="007F3C7D" w:rsidRDefault="007F3C7D" w:rsidP="007F3C7D">
      <w:pPr>
        <w:spacing w:before="100" w:beforeAutospacing="1" w:after="100" w:afterAutospacing="1" w:line="240" w:lineRule="auto"/>
        <w:ind w:left="720"/>
        <w:rPr>
          <w:rFonts w:ascii="Times New Roman" w:hAnsi="Times New Roman"/>
          <w:sz w:val="24"/>
          <w:szCs w:val="24"/>
        </w:rPr>
      </w:pPr>
      <w:r w:rsidRPr="008E2249">
        <w:rPr>
          <w:rFonts w:ascii="Times New Roman" w:eastAsia="Times New Roman" w:hAnsi="Times New Roman"/>
          <w:sz w:val="24"/>
          <w:szCs w:val="24"/>
        </w:rPr>
        <w:t>“</w:t>
      </w:r>
      <w:r w:rsidRPr="008E2249">
        <w:rPr>
          <w:rFonts w:ascii="Times New Roman" w:hAnsi="Times New Roman"/>
          <w:sz w:val="24"/>
          <w:szCs w:val="24"/>
        </w:rPr>
        <w:t xml:space="preserve">In the March 2, </w:t>
      </w:r>
      <w:proofErr w:type="gramStart"/>
      <w:r w:rsidRPr="008E2249">
        <w:rPr>
          <w:rFonts w:ascii="Times New Roman" w:hAnsi="Times New Roman"/>
          <w:sz w:val="24"/>
          <w:szCs w:val="24"/>
        </w:rPr>
        <w:t>2018</w:t>
      </w:r>
      <w:proofErr w:type="gramEnd"/>
      <w:r w:rsidRPr="008E2249">
        <w:rPr>
          <w:rFonts w:ascii="Times New Roman" w:hAnsi="Times New Roman"/>
          <w:sz w:val="24"/>
          <w:szCs w:val="24"/>
        </w:rPr>
        <w:t xml:space="preserve"> Decision, the WCJ found that Claimant did not establish that his prostate cancer was caused by his work as a firefighter and denied the Claim Petition. In doing so, the WCJ found Claimant's testimony wholly credible, noting that Employer did not dispute Claimant's description of his firefighting duties and experiences, presumably including the exposure to smoke and diesel exhaust of which Claimant testified. (Mar. 2, </w:t>
      </w:r>
      <w:proofErr w:type="gramStart"/>
      <w:r w:rsidRPr="008E2249">
        <w:rPr>
          <w:rFonts w:ascii="Times New Roman" w:hAnsi="Times New Roman"/>
          <w:sz w:val="24"/>
          <w:szCs w:val="24"/>
        </w:rPr>
        <w:t>2018</w:t>
      </w:r>
      <w:proofErr w:type="gramEnd"/>
      <w:r w:rsidRPr="008E2249">
        <w:rPr>
          <w:rFonts w:ascii="Times New Roman" w:hAnsi="Times New Roman"/>
          <w:sz w:val="24"/>
          <w:szCs w:val="24"/>
        </w:rPr>
        <w:t xml:space="preserve"> WCJ Decision, FOF ¶ 8.) Concerning the medical testimony, the </w:t>
      </w:r>
      <w:r w:rsidRPr="008E2249">
        <w:rPr>
          <w:rFonts w:ascii="Times New Roman" w:hAnsi="Times New Roman"/>
          <w:sz w:val="24"/>
          <w:szCs w:val="24"/>
        </w:rPr>
        <w:lastRenderedPageBreak/>
        <w:t>WCJ found that Claimant's evidence did not establish that any IARC Group 1 carcinogens are known to cause prostate cancer.</w:t>
      </w:r>
    </w:p>
    <w:p w14:paraId="1915B14E" w14:textId="77777777" w:rsidR="007F3C7D" w:rsidRPr="008E2249" w:rsidRDefault="007F3C7D" w:rsidP="007F3C7D">
      <w:pPr>
        <w:spacing w:before="100" w:beforeAutospacing="1" w:after="100" w:afterAutospacing="1" w:line="240" w:lineRule="auto"/>
        <w:ind w:left="720"/>
        <w:rPr>
          <w:rFonts w:ascii="Times New Roman" w:eastAsia="Times New Roman" w:hAnsi="Times New Roman"/>
          <w:sz w:val="24"/>
          <w:szCs w:val="24"/>
        </w:rPr>
      </w:pPr>
      <w:r>
        <w:rPr>
          <w:rFonts w:ascii="Times New Roman" w:hAnsi="Times New Roman"/>
          <w:sz w:val="24"/>
          <w:szCs w:val="24"/>
        </w:rPr>
        <w:t>***</w:t>
      </w:r>
    </w:p>
    <w:p w14:paraId="703FC6D7" w14:textId="77777777" w:rsidR="007F3C7D" w:rsidRPr="003A1FC5" w:rsidRDefault="007F3C7D" w:rsidP="007F3C7D">
      <w:pPr>
        <w:spacing w:before="100" w:beforeAutospacing="1" w:after="100" w:afterAutospacing="1" w:line="240" w:lineRule="auto"/>
        <w:ind w:left="720"/>
        <w:rPr>
          <w:rFonts w:ascii="Times New Roman" w:hAnsi="Times New Roman"/>
          <w:sz w:val="24"/>
          <w:szCs w:val="24"/>
        </w:rPr>
      </w:pPr>
      <w:r w:rsidRPr="003A1FC5">
        <w:rPr>
          <w:rFonts w:ascii="Times New Roman" w:hAnsi="Times New Roman"/>
          <w:sz w:val="24"/>
          <w:szCs w:val="24"/>
        </w:rPr>
        <w:t xml:space="preserve">As we have discussed, </w:t>
      </w:r>
      <w:proofErr w:type="gramStart"/>
      <w:r w:rsidRPr="003A1FC5">
        <w:rPr>
          <w:rFonts w:ascii="Times New Roman" w:hAnsi="Times New Roman"/>
          <w:sz w:val="24"/>
          <w:szCs w:val="24"/>
        </w:rPr>
        <w:t>the WCJ's</w:t>
      </w:r>
      <w:proofErr w:type="gramEnd"/>
      <w:r w:rsidRPr="003A1FC5">
        <w:rPr>
          <w:rFonts w:ascii="Times New Roman" w:hAnsi="Times New Roman"/>
          <w:sz w:val="24"/>
          <w:szCs w:val="24"/>
        </w:rPr>
        <w:t xml:space="preserve"> decision not to credit Dr. Singer's testimony was an exercise of discretion accompanied by a reasoned explanation, and it must, therefore, stand. We conclude that Claimant has not met his initial burden of demonstrating general causation under Section 108(r) of the Act, and he has not established that his cancer is an occupational disease under that </w:t>
      </w:r>
      <w:proofErr w:type="gramStart"/>
      <w:r w:rsidRPr="003A1FC5">
        <w:rPr>
          <w:rFonts w:ascii="Times New Roman" w:hAnsi="Times New Roman"/>
          <w:sz w:val="24"/>
          <w:szCs w:val="24"/>
        </w:rPr>
        <w:t>section.</w:t>
      </w:r>
      <w:r>
        <w:rPr>
          <w:rFonts w:ascii="Times New Roman" w:hAnsi="Times New Roman"/>
          <w:sz w:val="24"/>
          <w:szCs w:val="24"/>
        </w:rPr>
        <w:t>”</w:t>
      </w:r>
      <w:proofErr w:type="gramEnd"/>
      <w:r>
        <w:rPr>
          <w:rFonts w:ascii="Times New Roman" w:hAnsi="Times New Roman"/>
          <w:sz w:val="24"/>
          <w:szCs w:val="24"/>
        </w:rPr>
        <w:t xml:space="preserve"> </w:t>
      </w:r>
      <w:hyperlink r:id="rId1228" w:history="1">
        <w:r w:rsidRPr="00FA40FF">
          <w:rPr>
            <w:rStyle w:val="Hyperlink"/>
            <w:rFonts w:ascii="Times New Roman" w:hAnsi="Times New Roman"/>
            <w:sz w:val="24"/>
            <w:szCs w:val="24"/>
          </w:rPr>
          <w:t>https://casetext.com/case/malone-v-workers-comp-appeal-bd</w:t>
        </w:r>
      </w:hyperlink>
      <w:r>
        <w:rPr>
          <w:rFonts w:ascii="Times New Roman" w:hAnsi="Times New Roman"/>
          <w:sz w:val="24"/>
          <w:szCs w:val="24"/>
        </w:rPr>
        <w:t xml:space="preserve"> </w:t>
      </w:r>
    </w:p>
    <w:p w14:paraId="69BAD818" w14:textId="77777777" w:rsidR="007F3C7D" w:rsidRDefault="007F3C7D" w:rsidP="007F3C7D">
      <w:pPr>
        <w:rPr>
          <w:rFonts w:ascii="Times New Roman" w:hAnsi="Times New Roman"/>
          <w:b/>
          <w:bCs/>
          <w:sz w:val="24"/>
          <w:szCs w:val="24"/>
        </w:rPr>
      </w:pPr>
      <w:r w:rsidRPr="008E2249">
        <w:rPr>
          <w:rFonts w:ascii="Times New Roman" w:hAnsi="Times New Roman"/>
          <w:b/>
          <w:bCs/>
          <w:sz w:val="24"/>
          <w:szCs w:val="24"/>
        </w:rPr>
        <w:t>Legal Lesson Learned:</w:t>
      </w:r>
      <w:r>
        <w:rPr>
          <w:rFonts w:ascii="Times New Roman" w:hAnsi="Times New Roman"/>
          <w:b/>
          <w:bCs/>
          <w:sz w:val="24"/>
          <w:szCs w:val="24"/>
        </w:rPr>
        <w:t xml:space="preserve"> Even though PA has a statutory presumption, the firefighter must still present expert testimony connecting his </w:t>
      </w:r>
      <w:proofErr w:type="gramStart"/>
      <w:r>
        <w:rPr>
          <w:rFonts w:ascii="Times New Roman" w:hAnsi="Times New Roman"/>
          <w:b/>
          <w:bCs/>
          <w:sz w:val="24"/>
          <w:szCs w:val="24"/>
        </w:rPr>
        <w:t>particular cancer</w:t>
      </w:r>
      <w:proofErr w:type="gramEnd"/>
      <w:r>
        <w:rPr>
          <w:rFonts w:ascii="Times New Roman" w:hAnsi="Times New Roman"/>
          <w:b/>
          <w:bCs/>
          <w:sz w:val="24"/>
          <w:szCs w:val="24"/>
        </w:rPr>
        <w:t xml:space="preserve"> with occupational exposures.  </w:t>
      </w:r>
    </w:p>
    <w:p w14:paraId="4000FA71" w14:textId="77777777" w:rsidR="007F3C7D" w:rsidRPr="008E2249" w:rsidRDefault="007F3C7D" w:rsidP="007F3C7D">
      <w:pPr>
        <w:ind w:left="720"/>
        <w:rPr>
          <w:rFonts w:ascii="Times New Roman" w:hAnsi="Times New Roman"/>
          <w:sz w:val="24"/>
          <w:szCs w:val="24"/>
        </w:rPr>
      </w:pPr>
      <w:r w:rsidRPr="005344DB">
        <w:rPr>
          <w:rFonts w:ascii="Times New Roman" w:hAnsi="Times New Roman"/>
          <w:sz w:val="24"/>
          <w:szCs w:val="24"/>
        </w:rPr>
        <w:t>Note:</w:t>
      </w:r>
      <w:r>
        <w:rPr>
          <w:rFonts w:ascii="Times New Roman" w:hAnsi="Times New Roman"/>
          <w:b/>
          <w:bCs/>
          <w:sz w:val="24"/>
          <w:szCs w:val="24"/>
        </w:rPr>
        <w:t xml:space="preserve"> </w:t>
      </w:r>
      <w:r w:rsidRPr="008E2249">
        <w:rPr>
          <w:rFonts w:ascii="Times New Roman" w:hAnsi="Times New Roman"/>
          <w:sz w:val="24"/>
          <w:szCs w:val="24"/>
        </w:rPr>
        <w:t>PA Supreme Court explained in another case involving malignant melanoma</w:t>
      </w:r>
      <w:r>
        <w:rPr>
          <w:rFonts w:ascii="Times New Roman" w:hAnsi="Times New Roman"/>
          <w:sz w:val="24"/>
          <w:szCs w:val="24"/>
        </w:rPr>
        <w:t xml:space="preserve"> where workers comp was granted. </w:t>
      </w:r>
      <w:r w:rsidRPr="008E2249">
        <w:rPr>
          <w:rFonts w:ascii="Times New Roman" w:hAnsi="Times New Roman"/>
          <w:sz w:val="24"/>
          <w:szCs w:val="24"/>
        </w:rPr>
        <w:t xml:space="preserve">"In other words, the claimant must produce evidence that it is </w:t>
      </w:r>
      <w:r w:rsidRPr="008E2249">
        <w:rPr>
          <w:rFonts w:ascii="Times New Roman" w:hAnsi="Times New Roman"/>
          <w:b/>
          <w:bCs/>
          <w:sz w:val="24"/>
          <w:szCs w:val="24"/>
        </w:rPr>
        <w:t>possible</w:t>
      </w:r>
      <w:r w:rsidRPr="008E2249">
        <w:rPr>
          <w:rFonts w:ascii="Times New Roman" w:hAnsi="Times New Roman"/>
          <w:sz w:val="24"/>
          <w:szCs w:val="24"/>
        </w:rPr>
        <w:t xml:space="preserve"> that the carcinogen in question caused the type of cancer with which the claimant is afflicted."</w:t>
      </w:r>
      <w:r>
        <w:rPr>
          <w:rFonts w:ascii="Times New Roman" w:hAnsi="Times New Roman"/>
          <w:sz w:val="24"/>
          <w:szCs w:val="24"/>
        </w:rPr>
        <w:t xml:space="preserve"> </w:t>
      </w:r>
      <w:r w:rsidRPr="008E2249">
        <w:rPr>
          <w:rFonts w:ascii="Times New Roman" w:hAnsi="Times New Roman"/>
          <w:sz w:val="24"/>
          <w:szCs w:val="24"/>
        </w:rPr>
        <w:t xml:space="preserve">See City of Phila. Fire </w:t>
      </w:r>
      <w:proofErr w:type="spellStart"/>
      <w:r w:rsidRPr="008E2249">
        <w:rPr>
          <w:rFonts w:ascii="Times New Roman" w:hAnsi="Times New Roman"/>
          <w:sz w:val="24"/>
          <w:szCs w:val="24"/>
        </w:rPr>
        <w:t>Dep't</w:t>
      </w:r>
      <w:proofErr w:type="spellEnd"/>
      <w:r w:rsidRPr="008E2249">
        <w:rPr>
          <w:rFonts w:ascii="Times New Roman" w:hAnsi="Times New Roman"/>
          <w:sz w:val="24"/>
          <w:szCs w:val="24"/>
        </w:rPr>
        <w:t xml:space="preserve"> v. Workers' Comp. Appeal Bd. (Sladek), 195 A.3d 197 (Pa. 2018) (Sladek II).</w:t>
      </w:r>
    </w:p>
    <w:p w14:paraId="0094A635" w14:textId="77777777" w:rsidR="007F3C7D" w:rsidRDefault="007F3C7D" w:rsidP="007F3C7D">
      <w:pPr>
        <w:ind w:left="720"/>
        <w:rPr>
          <w:rFonts w:ascii="Times New Roman" w:hAnsi="Times New Roman"/>
          <w:sz w:val="24"/>
          <w:szCs w:val="24"/>
        </w:rPr>
      </w:pPr>
      <w:r>
        <w:rPr>
          <w:rFonts w:ascii="Times New Roman" w:hAnsi="Times New Roman"/>
          <w:sz w:val="24"/>
          <w:szCs w:val="24"/>
        </w:rPr>
        <w:t>See PA Statutory Presumption:</w:t>
      </w:r>
    </w:p>
    <w:p w14:paraId="61B8FAF8" w14:textId="77777777" w:rsidR="007F3C7D" w:rsidRPr="00507F4B" w:rsidRDefault="007F3C7D" w:rsidP="007F3C7D">
      <w:pPr>
        <w:ind w:left="1440" w:firstLine="60"/>
        <w:rPr>
          <w:rFonts w:ascii="Times New Roman" w:eastAsia="Times New Roman" w:hAnsi="Times New Roman"/>
          <w:sz w:val="24"/>
          <w:szCs w:val="24"/>
        </w:rPr>
      </w:pPr>
      <w:r w:rsidRPr="00507F4B">
        <w:rPr>
          <w:rFonts w:ascii="Times New Roman" w:eastAsia="Times New Roman" w:hAnsi="Times New Roman"/>
          <w:sz w:val="24"/>
          <w:szCs w:val="24"/>
        </w:rPr>
        <w:t>Section 301(f) was added to the Act by Section 2 of the Act of July 7, 2011, P.L. 251, and provides, in pertinent part, as follows:</w:t>
      </w:r>
    </w:p>
    <w:p w14:paraId="1080F362" w14:textId="77777777" w:rsidR="007F3C7D" w:rsidRPr="00507F4B" w:rsidRDefault="007F3C7D" w:rsidP="007F3C7D">
      <w:pPr>
        <w:spacing w:after="100" w:line="240" w:lineRule="auto"/>
        <w:ind w:left="1440"/>
        <w:rPr>
          <w:rFonts w:ascii="Times New Roman" w:eastAsia="Times New Roman" w:hAnsi="Times New Roman"/>
          <w:sz w:val="24"/>
          <w:szCs w:val="24"/>
        </w:rPr>
      </w:pPr>
      <w:r>
        <w:rPr>
          <w:rFonts w:ascii="Times New Roman" w:eastAsia="Times New Roman" w:hAnsi="Times New Roman"/>
          <w:sz w:val="24"/>
          <w:szCs w:val="24"/>
        </w:rPr>
        <w:t>“</w:t>
      </w:r>
      <w:r w:rsidRPr="00507F4B">
        <w:rPr>
          <w:rFonts w:ascii="Times New Roman" w:eastAsia="Times New Roman" w:hAnsi="Times New Roman"/>
          <w:sz w:val="24"/>
          <w:szCs w:val="24"/>
        </w:rPr>
        <w:t>Compensation pursuant to cancer suffered by a firefighter shall only be to those firefighters who have served four or more years in continuous firefighting duties, who can establish direct exposure to a carcinogen referred to in section 108(r) relating to cancer by a firefighter and have successfully passed a physical examination prior to asserting a claim under this subsection or prior to engaging in firefighting duties and the examination failed to reveal any evidence of the condition of cancer. The presumption of this subsection may be rebutted by substantial competent evidence that shows that the firefighter's cancer was not caused by the occupation of firefighting. . . .</w:t>
      </w:r>
      <w:r>
        <w:rPr>
          <w:rFonts w:ascii="Times New Roman" w:eastAsia="Times New Roman" w:hAnsi="Times New Roman"/>
          <w:sz w:val="24"/>
          <w:szCs w:val="24"/>
        </w:rPr>
        <w:t xml:space="preserve"> </w:t>
      </w:r>
      <w:r w:rsidRPr="00507F4B">
        <w:rPr>
          <w:rFonts w:ascii="Times New Roman" w:eastAsia="Times New Roman" w:hAnsi="Times New Roman"/>
          <w:sz w:val="24"/>
          <w:szCs w:val="24"/>
        </w:rPr>
        <w:t>The presumption provided for under this subsection shall only apply to claims made within the first three hundred weeks [after the last date of employment in an occupation or industry to which a claimant was exposed to the hazards of disease].</w:t>
      </w:r>
      <w:r>
        <w:rPr>
          <w:rFonts w:ascii="Times New Roman" w:eastAsia="Times New Roman" w:hAnsi="Times New Roman"/>
          <w:sz w:val="24"/>
          <w:szCs w:val="24"/>
        </w:rPr>
        <w:t>”</w:t>
      </w:r>
    </w:p>
    <w:p w14:paraId="04E3D4AC" w14:textId="77777777" w:rsidR="007F3C7D" w:rsidRDefault="007F3C7D" w:rsidP="00EF1133">
      <w:pPr>
        <w:rPr>
          <w:rFonts w:ascii="Arial Black" w:hAnsi="Arial Black"/>
          <w:b/>
          <w:sz w:val="24"/>
          <w:szCs w:val="24"/>
        </w:rPr>
      </w:pPr>
    </w:p>
    <w:p w14:paraId="40B27EAF" w14:textId="31BFCF26" w:rsidR="007F3C7D" w:rsidRDefault="007F3C7D" w:rsidP="00EF1133">
      <w:pPr>
        <w:rPr>
          <w:rFonts w:ascii="Arial Black" w:hAnsi="Arial Black"/>
          <w:b/>
          <w:sz w:val="24"/>
          <w:szCs w:val="24"/>
        </w:rPr>
      </w:pPr>
      <w:r>
        <w:rPr>
          <w:rFonts w:ascii="Arial Black" w:hAnsi="Arial Black"/>
          <w:b/>
          <w:sz w:val="24"/>
          <w:szCs w:val="24"/>
        </w:rPr>
        <w:t>6-6</w:t>
      </w:r>
      <w:r w:rsidR="008F02C3">
        <w:rPr>
          <w:rFonts w:ascii="Arial Black" w:hAnsi="Arial Black"/>
          <w:b/>
          <w:sz w:val="24"/>
          <w:szCs w:val="24"/>
        </w:rPr>
        <w:t>1</w:t>
      </w:r>
    </w:p>
    <w:p w14:paraId="676DF236" w14:textId="77777777" w:rsidR="007F3C7D" w:rsidRPr="00A8166B" w:rsidRDefault="007F3C7D" w:rsidP="007F3C7D">
      <w:pPr>
        <w:spacing w:before="100" w:beforeAutospacing="1" w:after="100" w:afterAutospacing="1" w:line="240" w:lineRule="auto"/>
        <w:rPr>
          <w:rFonts w:ascii="Arial Black" w:hAnsi="Arial Black"/>
          <w:sz w:val="28"/>
          <w:szCs w:val="28"/>
        </w:rPr>
      </w:pPr>
      <w:r>
        <w:rPr>
          <w:rFonts w:ascii="Arial Black" w:hAnsi="Arial Black"/>
          <w:sz w:val="28"/>
          <w:szCs w:val="28"/>
        </w:rPr>
        <w:t>NY: APPLICANT TO FDNY – 5 POINTS “RESIDENCY CREDITS” – AMENDED TAX RETURN INSUFFICIENT PROOF RESIDENCY</w:t>
      </w:r>
    </w:p>
    <w:p w14:paraId="3F269E95" w14:textId="5AEB727F" w:rsidR="007F3C7D" w:rsidRDefault="007F3C7D" w:rsidP="007F3C7D">
      <w:pPr>
        <w:spacing w:before="100" w:beforeAutospacing="1" w:after="100" w:afterAutospacing="1" w:line="240" w:lineRule="auto"/>
        <w:rPr>
          <w:rFonts w:ascii="Times New Roman" w:hAnsi="Times New Roman"/>
          <w:sz w:val="24"/>
          <w:szCs w:val="24"/>
        </w:rPr>
      </w:pPr>
      <w:r w:rsidRPr="00A8166B">
        <w:rPr>
          <w:rFonts w:ascii="Times New Roman" w:hAnsi="Times New Roman"/>
          <w:sz w:val="24"/>
          <w:szCs w:val="24"/>
        </w:rPr>
        <w:t xml:space="preserve">On </w:t>
      </w:r>
      <w:r>
        <w:rPr>
          <w:rFonts w:ascii="Times New Roman" w:hAnsi="Times New Roman"/>
          <w:sz w:val="24"/>
          <w:szCs w:val="24"/>
        </w:rPr>
        <w:t xml:space="preserve">Dec. 28, 2020, </w:t>
      </w:r>
      <w:r w:rsidRPr="00A8166B">
        <w:rPr>
          <w:rFonts w:ascii="Times New Roman" w:hAnsi="Times New Roman"/>
          <w:sz w:val="24"/>
          <w:szCs w:val="24"/>
        </w:rPr>
        <w:t xml:space="preserve">in </w:t>
      </w:r>
      <w:r w:rsidRPr="00A8166B">
        <w:rPr>
          <w:rFonts w:ascii="Times New Roman" w:hAnsi="Times New Roman"/>
          <w:sz w:val="24"/>
          <w:szCs w:val="24"/>
          <w:u w:val="single"/>
        </w:rPr>
        <w:t>John P. Atwell v. New Your City Fire Department, et al</w:t>
      </w:r>
      <w:r>
        <w:rPr>
          <w:rFonts w:ascii="Times New Roman" w:hAnsi="Times New Roman"/>
          <w:sz w:val="24"/>
          <w:szCs w:val="24"/>
        </w:rPr>
        <w:t xml:space="preserve">., Justice Carol E. Edmead, Supreme Court of the State of New York (New York County), </w:t>
      </w:r>
      <w:r w:rsidRPr="001B0200">
        <w:rPr>
          <w:rFonts w:ascii="Times New Roman" w:hAnsi="Times New Roman"/>
          <w:sz w:val="24"/>
          <w:szCs w:val="24"/>
        </w:rPr>
        <w:t>2020 NY Slip Op 34353(U)</w:t>
      </w:r>
      <w:r>
        <w:rPr>
          <w:rFonts w:ascii="Times New Roman" w:hAnsi="Times New Roman"/>
          <w:sz w:val="24"/>
          <w:szCs w:val="24"/>
        </w:rPr>
        <w:t xml:space="preserve">, dismissed the applicant’s petition to overturn the decision of the FD’s Candidate Investigation Division (CID); the Notice Of Examination Notice advised applicants that amended tax returns are not sufficient proof of residency in the city.  His score on the </w:t>
      </w:r>
      <w:proofErr w:type="gramStart"/>
      <w:r>
        <w:rPr>
          <w:rFonts w:ascii="Times New Roman" w:hAnsi="Times New Roman"/>
          <w:sz w:val="24"/>
          <w:szCs w:val="24"/>
        </w:rPr>
        <w:t>Computer</w:t>
      </w:r>
      <w:proofErr w:type="gramEnd"/>
      <w:r>
        <w:rPr>
          <w:rFonts w:ascii="Times New Roman" w:hAnsi="Times New Roman"/>
          <w:sz w:val="24"/>
          <w:szCs w:val="24"/>
        </w:rPr>
        <w:t xml:space="preserve">-Based Test of 99, without the 5 extra residency points, moved him on the hiring list from 552 to 5594.  </w:t>
      </w:r>
    </w:p>
    <w:p w14:paraId="479E9611" w14:textId="77777777" w:rsidR="007F3C7D" w:rsidRPr="001B0200" w:rsidRDefault="007F3C7D" w:rsidP="007F3C7D">
      <w:pPr>
        <w:spacing w:before="100" w:beforeAutospacing="1" w:after="100" w:afterAutospacing="1" w:line="240" w:lineRule="auto"/>
        <w:ind w:left="720"/>
        <w:rPr>
          <w:rFonts w:ascii="Times New Roman" w:eastAsia="Times New Roman" w:hAnsi="Times New Roman"/>
          <w:b/>
          <w:bCs/>
          <w:sz w:val="24"/>
          <w:szCs w:val="24"/>
        </w:rPr>
      </w:pPr>
      <w:r>
        <w:rPr>
          <w:rFonts w:ascii="Times New Roman" w:hAnsi="Times New Roman"/>
          <w:sz w:val="24"/>
          <w:szCs w:val="24"/>
        </w:rPr>
        <w:t>“</w:t>
      </w:r>
      <w:r w:rsidRPr="001B0200">
        <w:rPr>
          <w:rFonts w:ascii="Times New Roman" w:hAnsi="Times New Roman"/>
          <w:sz w:val="24"/>
          <w:szCs w:val="24"/>
        </w:rPr>
        <w:t xml:space="preserve">Here, there was plainly a </w:t>
      </w:r>
      <w:r>
        <w:rPr>
          <w:rFonts w:ascii="Times New Roman" w:hAnsi="Times New Roman"/>
          <w:sz w:val="24"/>
          <w:szCs w:val="24"/>
        </w:rPr>
        <w:t>‘</w:t>
      </w:r>
      <w:r w:rsidRPr="001B0200">
        <w:rPr>
          <w:rFonts w:ascii="Times New Roman" w:hAnsi="Times New Roman"/>
          <w:sz w:val="24"/>
          <w:szCs w:val="24"/>
        </w:rPr>
        <w:t xml:space="preserve">rational </w:t>
      </w:r>
      <w:proofErr w:type="spellStart"/>
      <w:r w:rsidRPr="001B0200">
        <w:rPr>
          <w:rFonts w:ascii="Times New Roman" w:hAnsi="Times New Roman"/>
          <w:sz w:val="24"/>
          <w:szCs w:val="24"/>
        </w:rPr>
        <w:t>basis</w:t>
      </w:r>
      <w:r>
        <w:rPr>
          <w:rFonts w:ascii="Times New Roman" w:hAnsi="Times New Roman"/>
          <w:sz w:val="24"/>
          <w:szCs w:val="24"/>
        </w:rPr>
        <w:t>’</w:t>
      </w:r>
      <w:proofErr w:type="spellEnd"/>
      <w:r>
        <w:rPr>
          <w:rFonts w:ascii="Times New Roman" w:hAnsi="Times New Roman"/>
          <w:sz w:val="24"/>
          <w:szCs w:val="24"/>
        </w:rPr>
        <w:t xml:space="preserve"> </w:t>
      </w:r>
      <w:r w:rsidRPr="001B0200">
        <w:rPr>
          <w:rFonts w:ascii="Times New Roman" w:hAnsi="Times New Roman"/>
          <w:sz w:val="24"/>
          <w:szCs w:val="24"/>
        </w:rPr>
        <w:t xml:space="preserve">for the CID's decision to deny Atwell's application for a residency credit, since the evidence in the administrative record regarding Atwell's alleged NYC </w:t>
      </w:r>
      <w:r w:rsidRPr="001B0200">
        <w:rPr>
          <w:rFonts w:ascii="Times New Roman" w:hAnsi="Times New Roman"/>
          <w:sz w:val="24"/>
          <w:szCs w:val="24"/>
        </w:rPr>
        <w:lastRenderedPageBreak/>
        <w:t xml:space="preserve">residency only included his amended tax return. As noted earlier, the rules set forth in the NOA </w:t>
      </w:r>
      <w:r>
        <w:rPr>
          <w:rFonts w:ascii="Times New Roman" w:hAnsi="Times New Roman"/>
          <w:sz w:val="24"/>
          <w:szCs w:val="24"/>
        </w:rPr>
        <w:t xml:space="preserve">[Notice </w:t>
      </w:r>
      <w:proofErr w:type="gramStart"/>
      <w:r>
        <w:rPr>
          <w:rFonts w:ascii="Times New Roman" w:hAnsi="Times New Roman"/>
          <w:sz w:val="24"/>
          <w:szCs w:val="24"/>
        </w:rPr>
        <w:t>Of</w:t>
      </w:r>
      <w:proofErr w:type="gramEnd"/>
      <w:r>
        <w:rPr>
          <w:rFonts w:ascii="Times New Roman" w:hAnsi="Times New Roman"/>
          <w:sz w:val="24"/>
          <w:szCs w:val="24"/>
        </w:rPr>
        <w:t xml:space="preserve"> Examination] </w:t>
      </w:r>
      <w:r w:rsidRPr="001B0200">
        <w:rPr>
          <w:rFonts w:ascii="Times New Roman" w:hAnsi="Times New Roman"/>
          <w:sz w:val="24"/>
          <w:szCs w:val="24"/>
        </w:rPr>
        <w:t xml:space="preserve">plainly provided that the FDNY would not consider amended tax returns as proof of residency. </w:t>
      </w:r>
      <w:r w:rsidRPr="001B0200">
        <w:rPr>
          <w:rFonts w:ascii="Times New Roman" w:hAnsi="Times New Roman"/>
          <w:i/>
          <w:iCs/>
          <w:sz w:val="24"/>
          <w:szCs w:val="24"/>
        </w:rPr>
        <w:t>See</w:t>
      </w:r>
      <w:r w:rsidRPr="001B0200">
        <w:rPr>
          <w:rFonts w:ascii="Times New Roman" w:hAnsi="Times New Roman"/>
          <w:sz w:val="24"/>
          <w:szCs w:val="24"/>
        </w:rPr>
        <w:t xml:space="preserve"> verified answer, exhibit 1. Therefore, the court concludes that the CID's decision to deny Atwell's application for </w:t>
      </w:r>
      <w:proofErr w:type="gramStart"/>
      <w:r w:rsidRPr="001B0200">
        <w:rPr>
          <w:rFonts w:ascii="Times New Roman" w:hAnsi="Times New Roman"/>
          <w:sz w:val="24"/>
          <w:szCs w:val="24"/>
        </w:rPr>
        <w:t>a residency</w:t>
      </w:r>
      <w:proofErr w:type="gramEnd"/>
      <w:r w:rsidRPr="001B0200">
        <w:rPr>
          <w:rFonts w:ascii="Times New Roman" w:hAnsi="Times New Roman"/>
          <w:sz w:val="24"/>
          <w:szCs w:val="24"/>
        </w:rPr>
        <w:t xml:space="preserve"> credit on his FDNY examination was not arbitrary and capricious. For </w:t>
      </w:r>
      <w:proofErr w:type="gramStart"/>
      <w:r w:rsidRPr="001B0200">
        <w:rPr>
          <w:rFonts w:ascii="Times New Roman" w:hAnsi="Times New Roman"/>
          <w:sz w:val="24"/>
          <w:szCs w:val="24"/>
        </w:rPr>
        <w:t>all of</w:t>
      </w:r>
      <w:proofErr w:type="gramEnd"/>
      <w:r w:rsidRPr="001B0200">
        <w:rPr>
          <w:rFonts w:ascii="Times New Roman" w:hAnsi="Times New Roman"/>
          <w:sz w:val="24"/>
          <w:szCs w:val="24"/>
        </w:rPr>
        <w:t xml:space="preserve"> the foregoing reasons, the court denies so much of Atwell's Article 78 petition as pertained to the FDNY's denial decision.</w:t>
      </w:r>
      <w:r>
        <w:rPr>
          <w:rFonts w:ascii="Times New Roman" w:hAnsi="Times New Roman"/>
          <w:sz w:val="24"/>
          <w:szCs w:val="24"/>
        </w:rPr>
        <w:t xml:space="preserve">” </w:t>
      </w:r>
      <w:hyperlink r:id="rId1229" w:history="1">
        <w:r w:rsidRPr="002F4AC3">
          <w:rPr>
            <w:rStyle w:val="Hyperlink"/>
            <w:rFonts w:ascii="Times New Roman" w:hAnsi="Times New Roman"/>
            <w:sz w:val="24"/>
            <w:szCs w:val="24"/>
          </w:rPr>
          <w:t>https://law.justia.com/cases/new-york/other-courts/2020/2020-ny-slip-op-34353-u.html</w:t>
        </w:r>
      </w:hyperlink>
      <w:r>
        <w:rPr>
          <w:rFonts w:ascii="Times New Roman" w:hAnsi="Times New Roman"/>
          <w:sz w:val="24"/>
          <w:szCs w:val="24"/>
        </w:rPr>
        <w:t xml:space="preserve"> </w:t>
      </w:r>
    </w:p>
    <w:p w14:paraId="78A5FFC9" w14:textId="77777777" w:rsidR="007F3C7D" w:rsidRPr="00B34D05" w:rsidRDefault="007F3C7D" w:rsidP="007F3C7D">
      <w:pPr>
        <w:spacing w:before="100" w:beforeAutospacing="1" w:after="100" w:afterAutospacing="1" w:line="240" w:lineRule="auto"/>
        <w:rPr>
          <w:rFonts w:ascii="Times New Roman" w:eastAsia="Times New Roman" w:hAnsi="Times New Roman"/>
          <w:b/>
          <w:bCs/>
          <w:sz w:val="24"/>
          <w:szCs w:val="24"/>
        </w:rPr>
      </w:pPr>
      <w:r w:rsidRPr="00B34D05">
        <w:rPr>
          <w:rFonts w:ascii="Times New Roman" w:eastAsia="Times New Roman" w:hAnsi="Times New Roman"/>
          <w:b/>
          <w:bCs/>
          <w:sz w:val="24"/>
          <w:szCs w:val="24"/>
        </w:rPr>
        <w:t>Legal Lesson Learned:</w:t>
      </w:r>
      <w:r>
        <w:rPr>
          <w:rFonts w:ascii="Times New Roman" w:eastAsia="Times New Roman" w:hAnsi="Times New Roman"/>
          <w:b/>
          <w:bCs/>
          <w:sz w:val="24"/>
          <w:szCs w:val="24"/>
        </w:rPr>
        <w:t xml:space="preserve">  Applicants need to read and follow the Notice of Examination; if he had “alternate proof of residency” he should have submitted it at the time of the exam. </w:t>
      </w:r>
    </w:p>
    <w:p w14:paraId="30001FBB" w14:textId="77777777" w:rsidR="007F3C7D" w:rsidRDefault="007F3C7D" w:rsidP="00EF1133">
      <w:pPr>
        <w:rPr>
          <w:rFonts w:ascii="Arial Black" w:hAnsi="Arial Black"/>
          <w:b/>
          <w:sz w:val="24"/>
          <w:szCs w:val="24"/>
        </w:rPr>
      </w:pPr>
    </w:p>
    <w:p w14:paraId="6A24C010" w14:textId="5F03AD6D" w:rsidR="005E132A" w:rsidRDefault="005E132A" w:rsidP="00EF1133">
      <w:pPr>
        <w:rPr>
          <w:rFonts w:ascii="Arial Black" w:hAnsi="Arial Black"/>
          <w:b/>
          <w:sz w:val="24"/>
          <w:szCs w:val="24"/>
        </w:rPr>
      </w:pPr>
      <w:r>
        <w:rPr>
          <w:rFonts w:ascii="Arial Black" w:hAnsi="Arial Black"/>
          <w:b/>
          <w:sz w:val="24"/>
          <w:szCs w:val="24"/>
        </w:rPr>
        <w:t>6-6</w:t>
      </w:r>
      <w:r w:rsidR="008F02C3">
        <w:rPr>
          <w:rFonts w:ascii="Arial Black" w:hAnsi="Arial Black"/>
          <w:b/>
          <w:sz w:val="24"/>
          <w:szCs w:val="24"/>
        </w:rPr>
        <w:t>0</w:t>
      </w:r>
    </w:p>
    <w:p w14:paraId="1BECE2AA" w14:textId="77777777" w:rsidR="005E132A" w:rsidRPr="00A5637B" w:rsidRDefault="005E132A" w:rsidP="005E132A">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 xml:space="preserve">OH:  BC’s RETALIATION CASE NOT REINSTATED – CLAIMED CITY INVEST. TRAINING DIV. – PRESS “LEAK” FIRE CHIEF LACKED CE </w:t>
      </w:r>
    </w:p>
    <w:p w14:paraId="69C04D00" w14:textId="77777777" w:rsidR="005E132A" w:rsidRDefault="005E132A" w:rsidP="005E132A">
      <w:pPr>
        <w:spacing w:after="100" w:line="240" w:lineRule="auto"/>
        <w:rPr>
          <w:rFonts w:ascii="Times New Roman" w:eastAsia="Times New Roman" w:hAnsi="Times New Roman"/>
          <w:sz w:val="24"/>
          <w:szCs w:val="24"/>
        </w:rPr>
      </w:pPr>
      <w:r>
        <w:rPr>
          <w:rFonts w:ascii="Times New Roman" w:eastAsia="Times New Roman" w:hAnsi="Times New Roman"/>
          <w:sz w:val="24"/>
          <w:szCs w:val="24"/>
        </w:rPr>
        <w:t xml:space="preserve">On Dec. 23, 2020, in </w:t>
      </w:r>
      <w:r w:rsidRPr="00872791">
        <w:rPr>
          <w:rFonts w:ascii="Times New Roman" w:eastAsia="Times New Roman" w:hAnsi="Times New Roman"/>
          <w:sz w:val="24"/>
          <w:szCs w:val="24"/>
          <w:u w:val="single"/>
        </w:rPr>
        <w:t>Sean DeCrane v. Edward J. Eckart, et al.</w:t>
      </w:r>
      <w:r>
        <w:rPr>
          <w:rFonts w:ascii="Times New Roman" w:eastAsia="Times New Roman" w:hAnsi="Times New Roman"/>
          <w:sz w:val="24"/>
          <w:szCs w:val="24"/>
        </w:rPr>
        <w:t xml:space="preserve">, U.S. Senior District Court Judge Christopher A. Boyko, U.S. District Court, Northern District of Ohio (Eastern Division), has denied his motion for reconsideration of the May 13, </w:t>
      </w:r>
      <w:proofErr w:type="gramStart"/>
      <w:r>
        <w:rPr>
          <w:rFonts w:ascii="Times New Roman" w:eastAsia="Times New Roman" w:hAnsi="Times New Roman"/>
          <w:sz w:val="24"/>
          <w:szCs w:val="24"/>
        </w:rPr>
        <w:t>2020</w:t>
      </w:r>
      <w:proofErr w:type="gramEnd"/>
      <w:r>
        <w:rPr>
          <w:rFonts w:ascii="Times New Roman" w:eastAsia="Times New Roman" w:hAnsi="Times New Roman"/>
          <w:sz w:val="24"/>
          <w:szCs w:val="24"/>
        </w:rPr>
        <w:t xml:space="preserve"> dismissal of his law</w:t>
      </w:r>
      <w:r>
        <w:rPr>
          <w:rFonts w:ascii="Times New Roman" w:eastAsia="Times New Roman" w:hAnsi="Times New Roman"/>
          <w:sz w:val="24"/>
          <w:szCs w:val="24"/>
        </w:rPr>
        <w:softHyphen/>
        <w:t xml:space="preserve">suit claiming retaliation.  He claimed the </w:t>
      </w:r>
      <w:proofErr w:type="gramStart"/>
      <w:r>
        <w:rPr>
          <w:rFonts w:ascii="Times New Roman" w:eastAsia="Times New Roman" w:hAnsi="Times New Roman"/>
          <w:sz w:val="24"/>
          <w:szCs w:val="24"/>
        </w:rPr>
        <w:t>City</w:t>
      </w:r>
      <w:proofErr w:type="gramEnd"/>
      <w:r>
        <w:rPr>
          <w:rFonts w:ascii="Times New Roman" w:eastAsia="Times New Roman" w:hAnsi="Times New Roman"/>
          <w:sz w:val="24"/>
          <w:szCs w:val="24"/>
        </w:rPr>
        <w:t xml:space="preserve"> thought he was the Press leaker and in retaliation started a City “Office of Integrity Control” investigation of the Training Division which he then managed.  </w:t>
      </w:r>
    </w:p>
    <w:p w14:paraId="1156F084" w14:textId="77777777" w:rsidR="005E132A" w:rsidRPr="0047468C" w:rsidRDefault="005E132A" w:rsidP="005E132A">
      <w:pPr>
        <w:spacing w:after="100" w:line="240" w:lineRule="auto"/>
        <w:ind w:left="720"/>
        <w:rPr>
          <w:rFonts w:ascii="Times New Roman" w:eastAsia="Times New Roman" w:hAnsi="Times New Roman"/>
          <w:sz w:val="24"/>
          <w:szCs w:val="24"/>
        </w:rPr>
      </w:pPr>
      <w:r>
        <w:t>“</w:t>
      </w:r>
      <w:r w:rsidRPr="0047468C">
        <w:rPr>
          <w:rFonts w:ascii="Times New Roman" w:hAnsi="Times New Roman"/>
          <w:sz w:val="24"/>
          <w:szCs w:val="24"/>
        </w:rPr>
        <w:t>Plaintiff argued as follows</w:t>
      </w:r>
      <w:r>
        <w:rPr>
          <w:rFonts w:ascii="Times New Roman" w:hAnsi="Times New Roman"/>
          <w:sz w:val="24"/>
          <w:szCs w:val="24"/>
        </w:rPr>
        <w:t>:</w:t>
      </w:r>
    </w:p>
    <w:p w14:paraId="4F55A090" w14:textId="77777777" w:rsidR="005E132A" w:rsidRPr="00A5637B" w:rsidRDefault="005E132A" w:rsidP="005E132A">
      <w:pPr>
        <w:spacing w:after="100" w:line="240" w:lineRule="auto"/>
        <w:ind w:left="1440"/>
        <w:rPr>
          <w:rFonts w:ascii="Times New Roman" w:eastAsia="Times New Roman" w:hAnsi="Times New Roman"/>
          <w:sz w:val="24"/>
          <w:szCs w:val="24"/>
        </w:rPr>
      </w:pPr>
      <w:r w:rsidRPr="00A5637B">
        <w:rPr>
          <w:rFonts w:ascii="Times New Roman" w:eastAsia="Times New Roman" w:hAnsi="Times New Roman"/>
          <w:sz w:val="24"/>
          <w:szCs w:val="24"/>
        </w:rPr>
        <w:t xml:space="preserve">The </w:t>
      </w:r>
      <w:proofErr w:type="gramStart"/>
      <w:r w:rsidRPr="00A5637B">
        <w:rPr>
          <w:rFonts w:ascii="Times New Roman" w:eastAsia="Times New Roman" w:hAnsi="Times New Roman"/>
          <w:sz w:val="24"/>
          <w:szCs w:val="24"/>
        </w:rPr>
        <w:t>City</w:t>
      </w:r>
      <w:proofErr w:type="gramEnd"/>
      <w:r w:rsidRPr="00A5637B">
        <w:rPr>
          <w:rFonts w:ascii="Times New Roman" w:eastAsia="Times New Roman" w:hAnsi="Times New Roman"/>
          <w:sz w:val="24"/>
          <w:szCs w:val="24"/>
        </w:rPr>
        <w:t xml:space="preserve"> engaged in a </w:t>
      </w:r>
      <w:proofErr w:type="gramStart"/>
      <w:r w:rsidRPr="00A5637B">
        <w:rPr>
          <w:rFonts w:ascii="Times New Roman" w:eastAsia="Times New Roman" w:hAnsi="Times New Roman"/>
          <w:sz w:val="24"/>
          <w:szCs w:val="24"/>
        </w:rPr>
        <w:t>years</w:t>
      </w:r>
      <w:proofErr w:type="gramEnd"/>
      <w:r w:rsidRPr="00A5637B">
        <w:rPr>
          <w:rFonts w:ascii="Times New Roman" w:eastAsia="Times New Roman" w:hAnsi="Times New Roman"/>
          <w:sz w:val="24"/>
          <w:szCs w:val="24"/>
        </w:rPr>
        <w:t xml:space="preserve">-long pattern of retaliation against DeCrane, fueled by </w:t>
      </w:r>
      <w:r>
        <w:rPr>
          <w:rFonts w:ascii="Times New Roman" w:eastAsia="Times New Roman" w:hAnsi="Times New Roman"/>
          <w:sz w:val="24"/>
          <w:szCs w:val="24"/>
        </w:rPr>
        <w:t xml:space="preserve">[Assistant Safety Director] </w:t>
      </w:r>
      <w:r w:rsidRPr="00A5637B">
        <w:rPr>
          <w:rFonts w:ascii="Times New Roman" w:eastAsia="Times New Roman" w:hAnsi="Times New Roman"/>
          <w:sz w:val="24"/>
          <w:szCs w:val="24"/>
        </w:rPr>
        <w:t>Eckart</w:t>
      </w:r>
      <w:r>
        <w:rPr>
          <w:rFonts w:ascii="Times New Roman" w:eastAsia="Times New Roman" w:hAnsi="Times New Roman"/>
          <w:sz w:val="24"/>
          <w:szCs w:val="24"/>
        </w:rPr>
        <w:t>’</w:t>
      </w:r>
      <w:r w:rsidRPr="00A5637B">
        <w:rPr>
          <w:rFonts w:ascii="Times New Roman" w:eastAsia="Times New Roman" w:hAnsi="Times New Roman"/>
          <w:sz w:val="24"/>
          <w:szCs w:val="24"/>
        </w:rPr>
        <w:t>s and Mayor Jackson</w:t>
      </w:r>
      <w:r>
        <w:rPr>
          <w:rFonts w:ascii="Times New Roman" w:eastAsia="Times New Roman" w:hAnsi="Times New Roman"/>
          <w:sz w:val="24"/>
          <w:szCs w:val="24"/>
        </w:rPr>
        <w:t>’</w:t>
      </w:r>
      <w:r w:rsidRPr="00A5637B">
        <w:rPr>
          <w:rFonts w:ascii="Times New Roman" w:eastAsia="Times New Roman" w:hAnsi="Times New Roman"/>
          <w:sz w:val="24"/>
          <w:szCs w:val="24"/>
        </w:rPr>
        <w:t>s irritation with DeCrane</w:t>
      </w:r>
      <w:r>
        <w:rPr>
          <w:rFonts w:ascii="Times New Roman" w:eastAsia="Times New Roman" w:hAnsi="Times New Roman"/>
          <w:sz w:val="24"/>
          <w:szCs w:val="24"/>
        </w:rPr>
        <w:t>’</w:t>
      </w:r>
      <w:r w:rsidRPr="00A5637B">
        <w:rPr>
          <w:rFonts w:ascii="Times New Roman" w:eastAsia="Times New Roman" w:hAnsi="Times New Roman"/>
          <w:sz w:val="24"/>
          <w:szCs w:val="24"/>
        </w:rPr>
        <w:t>s protected activity, both real and suspected. Jackson made clear his feelings about the McGinnis leak, leading Defendants to then act against DeCrane with impunity. The City</w:t>
      </w:r>
      <w:r>
        <w:rPr>
          <w:rFonts w:ascii="Times New Roman" w:eastAsia="Times New Roman" w:hAnsi="Times New Roman"/>
          <w:sz w:val="24"/>
          <w:szCs w:val="24"/>
        </w:rPr>
        <w:t>’</w:t>
      </w:r>
      <w:r w:rsidRPr="00A5637B">
        <w:rPr>
          <w:rFonts w:ascii="Times New Roman" w:eastAsia="Times New Roman" w:hAnsi="Times New Roman"/>
          <w:sz w:val="24"/>
          <w:szCs w:val="24"/>
        </w:rPr>
        <w:t>s failure to train most officials on employees</w:t>
      </w:r>
      <w:r>
        <w:rPr>
          <w:rFonts w:ascii="Times New Roman" w:eastAsia="Times New Roman" w:hAnsi="Times New Roman"/>
          <w:sz w:val="24"/>
          <w:szCs w:val="24"/>
        </w:rPr>
        <w:t>’</w:t>
      </w:r>
      <w:r w:rsidRPr="00A5637B">
        <w:rPr>
          <w:rFonts w:ascii="Times New Roman" w:eastAsia="Times New Roman" w:hAnsi="Times New Roman"/>
          <w:sz w:val="24"/>
          <w:szCs w:val="24"/>
        </w:rPr>
        <w:t xml:space="preserve"> First Amendment rights contributed to the retaliatory activity as well. And the retaliation</w:t>
      </w:r>
      <w:r>
        <w:rPr>
          <w:rFonts w:ascii="Times New Roman" w:eastAsia="Times New Roman" w:hAnsi="Times New Roman"/>
          <w:sz w:val="24"/>
          <w:szCs w:val="24"/>
        </w:rPr>
        <w:t>’</w:t>
      </w:r>
      <w:r w:rsidRPr="00A5637B">
        <w:rPr>
          <w:rFonts w:ascii="Times New Roman" w:eastAsia="Times New Roman" w:hAnsi="Times New Roman"/>
          <w:sz w:val="24"/>
          <w:szCs w:val="24"/>
        </w:rPr>
        <w:t xml:space="preserve">s length </w:t>
      </w:r>
      <w:r>
        <w:rPr>
          <w:rFonts w:ascii="Times New Roman" w:eastAsia="Times New Roman" w:hAnsi="Times New Roman"/>
          <w:sz w:val="24"/>
          <w:szCs w:val="24"/>
        </w:rPr>
        <w:t>–</w:t>
      </w:r>
      <w:r w:rsidRPr="00A5637B">
        <w:rPr>
          <w:rFonts w:ascii="Times New Roman" w:eastAsia="Times New Roman" w:hAnsi="Times New Roman"/>
          <w:sz w:val="24"/>
          <w:szCs w:val="24"/>
        </w:rPr>
        <w:t xml:space="preserve"> in terms of time and the measures taken </w:t>
      </w:r>
      <w:r>
        <w:rPr>
          <w:rFonts w:ascii="Times New Roman" w:eastAsia="Times New Roman" w:hAnsi="Times New Roman"/>
          <w:sz w:val="24"/>
          <w:szCs w:val="24"/>
        </w:rPr>
        <w:t>–</w:t>
      </w:r>
      <w:r w:rsidRPr="00A5637B">
        <w:rPr>
          <w:rFonts w:ascii="Times New Roman" w:eastAsia="Times New Roman" w:hAnsi="Times New Roman"/>
          <w:sz w:val="24"/>
          <w:szCs w:val="24"/>
        </w:rPr>
        <w:t xml:space="preserve"> demonstrates the City</w:t>
      </w:r>
      <w:r>
        <w:rPr>
          <w:rFonts w:ascii="Times New Roman" w:eastAsia="Times New Roman" w:hAnsi="Times New Roman"/>
          <w:sz w:val="24"/>
          <w:szCs w:val="24"/>
        </w:rPr>
        <w:t>’</w:t>
      </w:r>
      <w:r w:rsidRPr="00A5637B">
        <w:rPr>
          <w:rFonts w:ascii="Times New Roman" w:eastAsia="Times New Roman" w:hAnsi="Times New Roman"/>
          <w:sz w:val="24"/>
          <w:szCs w:val="24"/>
        </w:rPr>
        <w:t>s deliberate indifference to DeCrane</w:t>
      </w:r>
      <w:r>
        <w:rPr>
          <w:rFonts w:ascii="Times New Roman" w:eastAsia="Times New Roman" w:hAnsi="Times New Roman"/>
          <w:sz w:val="24"/>
          <w:szCs w:val="24"/>
        </w:rPr>
        <w:t>’</w:t>
      </w:r>
      <w:r w:rsidRPr="00A5637B">
        <w:rPr>
          <w:rFonts w:ascii="Times New Roman" w:eastAsia="Times New Roman" w:hAnsi="Times New Roman"/>
          <w:sz w:val="24"/>
          <w:szCs w:val="24"/>
        </w:rPr>
        <w:t>s rights. (ECF DKT #151, p.27).</w:t>
      </w:r>
    </w:p>
    <w:p w14:paraId="22FD9F63" w14:textId="77777777" w:rsidR="005E132A" w:rsidRDefault="005E132A" w:rsidP="005E132A">
      <w:pPr>
        <w:spacing w:before="100" w:beforeAutospacing="1" w:after="100" w:afterAutospacing="1" w:line="240" w:lineRule="auto"/>
        <w:ind w:left="720"/>
        <w:rPr>
          <w:rFonts w:ascii="Times New Roman" w:eastAsia="Times New Roman" w:hAnsi="Times New Roman"/>
          <w:sz w:val="24"/>
          <w:szCs w:val="24"/>
        </w:rPr>
      </w:pPr>
      <w:r w:rsidRPr="00A5637B">
        <w:rPr>
          <w:rFonts w:ascii="Times New Roman" w:eastAsia="Times New Roman" w:hAnsi="Times New Roman"/>
          <w:sz w:val="24"/>
          <w:szCs w:val="24"/>
        </w:rPr>
        <w:t xml:space="preserve">Aside from these declarations, Plaintiff offered no citations (not even in a footnote) to any </w:t>
      </w:r>
      <w:proofErr w:type="gramStart"/>
      <w:r w:rsidRPr="00A5637B">
        <w:rPr>
          <w:rFonts w:ascii="Times New Roman" w:eastAsia="Times New Roman" w:hAnsi="Times New Roman"/>
          <w:sz w:val="24"/>
          <w:szCs w:val="24"/>
        </w:rPr>
        <w:t>previously-detailed</w:t>
      </w:r>
      <w:proofErr w:type="gramEnd"/>
      <w:r w:rsidRPr="00A5637B">
        <w:rPr>
          <w:rFonts w:ascii="Times New Roman" w:eastAsia="Times New Roman" w:hAnsi="Times New Roman"/>
          <w:sz w:val="24"/>
          <w:szCs w:val="24"/>
        </w:rPr>
        <w:t xml:space="preserve"> facts to illustrate a policy, a final </w:t>
      </w:r>
      <w:proofErr w:type="gramStart"/>
      <w:r w:rsidRPr="00A5637B">
        <w:rPr>
          <w:rFonts w:ascii="Times New Roman" w:eastAsia="Times New Roman" w:hAnsi="Times New Roman"/>
          <w:sz w:val="24"/>
          <w:szCs w:val="24"/>
        </w:rPr>
        <w:t>policy-maker</w:t>
      </w:r>
      <w:proofErr w:type="gramEnd"/>
      <w:r w:rsidRPr="00A5637B">
        <w:rPr>
          <w:rFonts w:ascii="Times New Roman" w:eastAsia="Times New Roman" w:hAnsi="Times New Roman"/>
          <w:sz w:val="24"/>
          <w:szCs w:val="24"/>
        </w:rPr>
        <w:t xml:space="preserve"> (particularly as </w:t>
      </w:r>
      <w:proofErr w:type="gramStart"/>
      <w:r w:rsidRPr="00A5637B">
        <w:rPr>
          <w:rFonts w:ascii="Times New Roman" w:eastAsia="Times New Roman" w:hAnsi="Times New Roman"/>
          <w:sz w:val="24"/>
          <w:szCs w:val="24"/>
        </w:rPr>
        <w:t>relates</w:t>
      </w:r>
      <w:proofErr w:type="gramEnd"/>
      <w:r w:rsidRPr="00A5637B">
        <w:rPr>
          <w:rFonts w:ascii="Times New Roman" w:eastAsia="Times New Roman" w:hAnsi="Times New Roman"/>
          <w:sz w:val="24"/>
          <w:szCs w:val="24"/>
        </w:rPr>
        <w:t xml:space="preserve"> to Defendant Eckart), deficient training, nor tolerance of, or indifference to, constitutional violations.</w:t>
      </w:r>
      <w:r>
        <w:rPr>
          <w:rFonts w:ascii="Times New Roman" w:eastAsia="Times New Roman" w:hAnsi="Times New Roman"/>
          <w:sz w:val="24"/>
          <w:szCs w:val="24"/>
        </w:rPr>
        <w:t xml:space="preserve">  </w:t>
      </w:r>
      <w:hyperlink r:id="rId1230" w:history="1">
        <w:r w:rsidRPr="008505F4">
          <w:rPr>
            <w:rStyle w:val="Hyperlink"/>
          </w:rPr>
          <w:t>https://www.leagle.com/decision/infdco20201228943</w:t>
        </w:r>
      </w:hyperlink>
      <w:r>
        <w:rPr>
          <w:rFonts w:ascii="Times New Roman" w:eastAsia="Times New Roman" w:hAnsi="Times New Roman"/>
          <w:sz w:val="24"/>
          <w:szCs w:val="24"/>
        </w:rPr>
        <w:t xml:space="preserve"> </w:t>
      </w:r>
    </w:p>
    <w:p w14:paraId="5411E2FE" w14:textId="77777777" w:rsidR="005E132A" w:rsidRDefault="005E132A" w:rsidP="005E132A">
      <w:pPr>
        <w:pStyle w:val="Heading1"/>
        <w:rPr>
          <w:sz w:val="24"/>
          <w:szCs w:val="24"/>
        </w:rPr>
      </w:pPr>
      <w:r w:rsidRPr="00DD2400">
        <w:rPr>
          <w:sz w:val="24"/>
          <w:szCs w:val="24"/>
        </w:rPr>
        <w:t xml:space="preserve">Legal Lesson Learned: </w:t>
      </w:r>
      <w:r>
        <w:rPr>
          <w:sz w:val="24"/>
          <w:szCs w:val="24"/>
        </w:rPr>
        <w:t xml:space="preserve">The U.S. Supreme Court has placed a heavy burden on plaintiffs suing cities and other municipalities for </w:t>
      </w:r>
      <w:r w:rsidRPr="00DD2400">
        <w:rPr>
          <w:sz w:val="24"/>
          <w:szCs w:val="24"/>
        </w:rPr>
        <w:t xml:space="preserve">deprivation of </w:t>
      </w:r>
      <w:r>
        <w:rPr>
          <w:sz w:val="24"/>
          <w:szCs w:val="24"/>
        </w:rPr>
        <w:t>f</w:t>
      </w:r>
      <w:r w:rsidRPr="00DD2400">
        <w:rPr>
          <w:sz w:val="24"/>
          <w:szCs w:val="24"/>
        </w:rPr>
        <w:t>ederal Constitutional rights under 42 USC 1983</w:t>
      </w:r>
      <w:r>
        <w:rPr>
          <w:sz w:val="24"/>
          <w:szCs w:val="24"/>
        </w:rPr>
        <w:t xml:space="preserve">.   Need to prove that a city policy or a city “final policy maker” is indifferent to constitutional violations. </w:t>
      </w:r>
    </w:p>
    <w:p w14:paraId="4D3E17D1" w14:textId="77777777" w:rsidR="005E132A" w:rsidRDefault="005E132A" w:rsidP="005E132A">
      <w:pPr>
        <w:pStyle w:val="Heading1"/>
        <w:ind w:firstLine="720"/>
        <w:rPr>
          <w:b w:val="0"/>
          <w:bCs w:val="0"/>
          <w:sz w:val="24"/>
          <w:szCs w:val="24"/>
        </w:rPr>
      </w:pPr>
      <w:r>
        <w:rPr>
          <w:b w:val="0"/>
          <w:bCs w:val="0"/>
          <w:sz w:val="24"/>
          <w:szCs w:val="24"/>
        </w:rPr>
        <w:t xml:space="preserve">Note: See these Press articles about the Cleveland FD. </w:t>
      </w:r>
    </w:p>
    <w:p w14:paraId="62249C31" w14:textId="77777777" w:rsidR="005E132A" w:rsidRPr="00721AFF" w:rsidRDefault="005E132A" w:rsidP="005E132A">
      <w:pPr>
        <w:pStyle w:val="Heading1"/>
        <w:ind w:left="720"/>
        <w:rPr>
          <w:b w:val="0"/>
          <w:bCs w:val="0"/>
          <w:sz w:val="24"/>
          <w:szCs w:val="24"/>
        </w:rPr>
      </w:pPr>
      <w:r w:rsidRPr="00691C9E">
        <w:rPr>
          <w:b w:val="0"/>
          <w:bCs w:val="0"/>
          <w:sz w:val="24"/>
          <w:szCs w:val="24"/>
        </w:rPr>
        <w:t>Aug. 14, 2013: “Cleveland Fire Chief to Retire Friday.</w:t>
      </w:r>
      <w:r>
        <w:rPr>
          <w:b w:val="0"/>
          <w:bCs w:val="0"/>
          <w:sz w:val="24"/>
          <w:szCs w:val="24"/>
        </w:rPr>
        <w:t xml:space="preserve">” </w:t>
      </w:r>
      <w:hyperlink r:id="rId1231" w:history="1">
        <w:r w:rsidRPr="00721AFF">
          <w:rPr>
            <w:rStyle w:val="Hyperlink"/>
            <w:b w:val="0"/>
            <w:bCs w:val="0"/>
            <w:sz w:val="24"/>
            <w:szCs w:val="24"/>
          </w:rPr>
          <w:t>https://fox8.com/news/cleveland-fire-chief-to-retire-friday/</w:t>
        </w:r>
      </w:hyperlink>
      <w:r w:rsidRPr="00721AFF">
        <w:rPr>
          <w:b w:val="0"/>
          <w:bCs w:val="0"/>
          <w:sz w:val="24"/>
          <w:szCs w:val="24"/>
        </w:rPr>
        <w:t xml:space="preserve"> </w:t>
      </w:r>
    </w:p>
    <w:p w14:paraId="3188F9E4" w14:textId="77777777" w:rsidR="005E132A" w:rsidRPr="00721AFF" w:rsidRDefault="005E132A" w:rsidP="005E132A">
      <w:pPr>
        <w:pStyle w:val="Heading1"/>
        <w:ind w:left="720"/>
        <w:rPr>
          <w:b w:val="0"/>
          <w:bCs w:val="0"/>
          <w:sz w:val="24"/>
          <w:szCs w:val="24"/>
        </w:rPr>
      </w:pPr>
      <w:r>
        <w:rPr>
          <w:b w:val="0"/>
          <w:bCs w:val="0"/>
          <w:sz w:val="24"/>
          <w:szCs w:val="24"/>
        </w:rPr>
        <w:t xml:space="preserve">Oct. 31, 2016: </w:t>
      </w:r>
      <w:r w:rsidRPr="00691C9E">
        <w:rPr>
          <w:b w:val="0"/>
          <w:bCs w:val="0"/>
          <w:sz w:val="24"/>
          <w:szCs w:val="24"/>
        </w:rPr>
        <w:t>“Retired Cleveland Fire Division battalion chief files First Amendment-retaliation suit against City &amp; senior public-safety officials.</w:t>
      </w:r>
      <w:r>
        <w:rPr>
          <w:b w:val="0"/>
          <w:bCs w:val="0"/>
          <w:sz w:val="24"/>
          <w:szCs w:val="24"/>
        </w:rPr>
        <w:t>”</w:t>
      </w:r>
      <w:r w:rsidRPr="00691C9E">
        <w:rPr>
          <w:b w:val="0"/>
          <w:bCs w:val="0"/>
          <w:sz w:val="24"/>
          <w:szCs w:val="24"/>
        </w:rPr>
        <w:t xml:space="preserve"> </w:t>
      </w:r>
      <w:hyperlink r:id="rId1232" w:history="1">
        <w:r w:rsidRPr="00721AFF">
          <w:rPr>
            <w:rStyle w:val="Hyperlink"/>
            <w:b w:val="0"/>
            <w:bCs w:val="0"/>
            <w:sz w:val="24"/>
            <w:szCs w:val="24"/>
          </w:rPr>
          <w:t>https://www.chandralaw.com/blog/retired-cleveland-fire-division-battalion-chief-files-first-amendment-retaliation-suit-against-city-senior-public-safety-officials</w:t>
        </w:r>
      </w:hyperlink>
      <w:r w:rsidRPr="00721AFF">
        <w:rPr>
          <w:b w:val="0"/>
          <w:bCs w:val="0"/>
          <w:sz w:val="24"/>
          <w:szCs w:val="24"/>
        </w:rPr>
        <w:t xml:space="preserve"> </w:t>
      </w:r>
    </w:p>
    <w:p w14:paraId="2110C89D" w14:textId="77777777" w:rsidR="005E132A" w:rsidRDefault="005E132A" w:rsidP="00EF1133">
      <w:pPr>
        <w:rPr>
          <w:rFonts w:ascii="Arial Black" w:hAnsi="Arial Black"/>
          <w:b/>
          <w:sz w:val="24"/>
          <w:szCs w:val="24"/>
        </w:rPr>
      </w:pPr>
    </w:p>
    <w:p w14:paraId="711C5C5B" w14:textId="755259BB" w:rsidR="005E132A" w:rsidRDefault="005E132A" w:rsidP="00EF1133">
      <w:pPr>
        <w:rPr>
          <w:rFonts w:ascii="Arial Black" w:hAnsi="Arial Black"/>
          <w:b/>
          <w:sz w:val="24"/>
          <w:szCs w:val="24"/>
        </w:rPr>
      </w:pPr>
      <w:r>
        <w:rPr>
          <w:rFonts w:ascii="Arial Black" w:hAnsi="Arial Black"/>
          <w:b/>
          <w:sz w:val="24"/>
          <w:szCs w:val="24"/>
        </w:rPr>
        <w:t>6-</w:t>
      </w:r>
      <w:r w:rsidR="008F02C3">
        <w:rPr>
          <w:rFonts w:ascii="Arial Black" w:hAnsi="Arial Black"/>
          <w:b/>
          <w:sz w:val="24"/>
          <w:szCs w:val="24"/>
        </w:rPr>
        <w:t>59</w:t>
      </w:r>
    </w:p>
    <w:p w14:paraId="3B72369B" w14:textId="77777777" w:rsidR="00737B49" w:rsidRDefault="00737B49" w:rsidP="00737B49">
      <w:pPr>
        <w:tabs>
          <w:tab w:val="left" w:pos="6670"/>
        </w:tabs>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On Dec. 14, 2020, in </w:t>
      </w:r>
      <w:r>
        <w:rPr>
          <w:rFonts w:ascii="Times New Roman" w:hAnsi="Times New Roman"/>
          <w:sz w:val="24"/>
          <w:szCs w:val="24"/>
          <w:u w:val="single"/>
        </w:rPr>
        <w:t>Sean T. Heneghan v. City of Evanston</w:t>
      </w:r>
      <w:r>
        <w:rPr>
          <w:rFonts w:ascii="Times New Roman" w:hAnsi="Times New Roman"/>
          <w:sz w:val="24"/>
          <w:szCs w:val="24"/>
        </w:rPr>
        <w:t>, the Appellate Court of Illinois, First District (First Division), held (3 to 0; unpublished decision) that the City properly denied the firefighter life-time health benefits since he was not responding to an emergency when he and his partner were performing ventilation, the saw malfunctioned, he retrieved an ax from the ground, lost his balance when peeling off roof cover with the ax and severely injured both feet when he fell off the roof.  The Illinois statute provides for life-time insurance or firefighters and family who are killed or suffer catastrophic injury responding to “what is reasonably believed to be an emergency.”</w:t>
      </w:r>
    </w:p>
    <w:p w14:paraId="27A59A2C" w14:textId="77777777" w:rsidR="00737B49" w:rsidRDefault="00737B49" w:rsidP="00737B49">
      <w:pPr>
        <w:tabs>
          <w:tab w:val="left" w:pos="6670"/>
        </w:tabs>
        <w:spacing w:before="100" w:beforeAutospacing="1" w:after="100" w:afterAutospacing="1" w:line="240" w:lineRule="auto"/>
        <w:ind w:left="630"/>
        <w:rPr>
          <w:rFonts w:ascii="Times New Roman" w:hAnsi="Times New Roman"/>
          <w:sz w:val="24"/>
          <w:szCs w:val="24"/>
        </w:rPr>
      </w:pPr>
      <w:r>
        <w:rPr>
          <w:rFonts w:ascii="Times New Roman" w:hAnsi="Times New Roman"/>
          <w:sz w:val="24"/>
          <w:szCs w:val="24"/>
        </w:rPr>
        <w:t>“Plaintiff argues that he was responding to what he reasonably believed to be an emergency when the saw failed during the exercise. We are not persuaded by this argument.</w:t>
      </w:r>
    </w:p>
    <w:p w14:paraId="171856DD" w14:textId="77777777" w:rsidR="00737B49" w:rsidRDefault="00737B49" w:rsidP="00737B49">
      <w:pPr>
        <w:spacing w:before="100" w:beforeAutospacing="1" w:after="100" w:afterAutospacing="1" w:line="240" w:lineRule="auto"/>
        <w:ind w:left="630"/>
        <w:rPr>
          <w:rFonts w:ascii="Times New Roman" w:hAnsi="Times New Roman"/>
          <w:sz w:val="24"/>
          <w:szCs w:val="24"/>
        </w:rPr>
      </w:pPr>
      <w:r>
        <w:rPr>
          <w:rFonts w:ascii="Times New Roman" w:hAnsi="Times New Roman"/>
          <w:sz w:val="24"/>
          <w:szCs w:val="24"/>
        </w:rPr>
        <w:t xml:space="preserve">The failure of the </w:t>
      </w:r>
      <w:proofErr w:type="gramStart"/>
      <w:r>
        <w:rPr>
          <w:rFonts w:ascii="Times New Roman" w:hAnsi="Times New Roman"/>
          <w:sz w:val="24"/>
          <w:szCs w:val="24"/>
        </w:rPr>
        <w:t>saw</w:t>
      </w:r>
      <w:proofErr w:type="gramEnd"/>
      <w:r>
        <w:rPr>
          <w:rFonts w:ascii="Times New Roman" w:hAnsi="Times New Roman"/>
          <w:sz w:val="24"/>
          <w:szCs w:val="24"/>
        </w:rPr>
        <w:t xml:space="preserve"> was certainly an unforeseen development and could reasonably be regarded as an emergency. If the vent covers were not removed, then the firefighters inside the structure would be in imminent danger from fire and explosions. However, plaintiff was able to climb from the roof, retrieve his axe, return to the roof, and pry open the first vent cover. The emergency that plaintiff describes was the failure of the saw and his belief that the vent covers could not be opened. That emergency ended once plaintiff was able to successfully pry open this first cover with his axe.</w:t>
      </w:r>
    </w:p>
    <w:p w14:paraId="1BC91DB3" w14:textId="77777777" w:rsidR="00737B49" w:rsidRDefault="00737B49" w:rsidP="00737B49">
      <w:pPr>
        <w:spacing w:before="100" w:beforeAutospacing="1" w:after="100" w:afterAutospacing="1" w:line="240" w:lineRule="auto"/>
        <w:ind w:left="630"/>
        <w:rPr>
          <w:rFonts w:ascii="Times New Roman" w:hAnsi="Times New Roman"/>
          <w:sz w:val="24"/>
          <w:szCs w:val="24"/>
        </w:rPr>
      </w:pPr>
      <w:r>
        <w:rPr>
          <w:rFonts w:ascii="Times New Roman" w:hAnsi="Times New Roman"/>
          <w:sz w:val="24"/>
          <w:szCs w:val="24"/>
        </w:rPr>
        <w:t>***</w:t>
      </w:r>
    </w:p>
    <w:p w14:paraId="0D852576" w14:textId="77777777" w:rsidR="00737B49" w:rsidRDefault="00737B49" w:rsidP="00737B49">
      <w:pPr>
        <w:spacing w:before="100" w:beforeAutospacing="1" w:after="100" w:afterAutospacing="1" w:line="240" w:lineRule="auto"/>
        <w:ind w:left="630"/>
        <w:rPr>
          <w:rFonts w:ascii="Times New Roman" w:eastAsia="Times New Roman" w:hAnsi="Times New Roman"/>
          <w:sz w:val="24"/>
          <w:szCs w:val="24"/>
        </w:rPr>
      </w:pPr>
      <w:r>
        <w:rPr>
          <w:rFonts w:ascii="Times New Roman" w:eastAsia="Times New Roman" w:hAnsi="Times New Roman"/>
          <w:sz w:val="24"/>
          <w:szCs w:val="24"/>
        </w:rPr>
        <w:t xml:space="preserve">Once he had a suitable replacement for the saw, he was able to continue with the rest of the exercise. He could not reasonably believe that his fellow firefighters were still in imminent danger after finding a replacement tool. He also would have known that it was possible </w:t>
      </w:r>
      <w:proofErr w:type="gramStart"/>
      <w:r>
        <w:rPr>
          <w:rFonts w:ascii="Times New Roman" w:eastAsia="Times New Roman" w:hAnsi="Times New Roman"/>
          <w:sz w:val="24"/>
          <w:szCs w:val="24"/>
        </w:rPr>
        <w:t>the open</w:t>
      </w:r>
      <w:proofErr w:type="gramEnd"/>
      <w:r>
        <w:rPr>
          <w:rFonts w:ascii="Times New Roman" w:eastAsia="Times New Roman" w:hAnsi="Times New Roman"/>
          <w:sz w:val="24"/>
          <w:szCs w:val="24"/>
        </w:rPr>
        <w:t xml:space="preserve"> the remaining vent with his axe. More importantly, he was not injured because of his actions addressing the saw's </w:t>
      </w:r>
      <w:proofErr w:type="gramStart"/>
      <w:r>
        <w:rPr>
          <w:rFonts w:ascii="Times New Roman" w:eastAsia="Times New Roman" w:hAnsi="Times New Roman"/>
          <w:sz w:val="24"/>
          <w:szCs w:val="24"/>
        </w:rPr>
        <w:t>failure.”</w:t>
      </w:r>
      <w:proofErr w:type="gramEnd"/>
      <w:r>
        <w:rPr>
          <w:rFonts w:ascii="Times New Roman" w:eastAsia="Times New Roman" w:hAnsi="Times New Roman"/>
          <w:sz w:val="24"/>
          <w:szCs w:val="24"/>
        </w:rPr>
        <w:t xml:space="preserve"> </w:t>
      </w:r>
      <w:hyperlink r:id="rId1233" w:history="1">
        <w:r>
          <w:rPr>
            <w:rStyle w:val="Hyperlink"/>
          </w:rPr>
          <w:t>https://casetext.com/case/heneghan-v-city-of-evanston</w:t>
        </w:r>
      </w:hyperlink>
      <w:r>
        <w:rPr>
          <w:rFonts w:ascii="Times New Roman" w:eastAsia="Times New Roman" w:hAnsi="Times New Roman"/>
          <w:sz w:val="24"/>
          <w:szCs w:val="24"/>
        </w:rPr>
        <w:t xml:space="preserve"> </w:t>
      </w:r>
    </w:p>
    <w:p w14:paraId="4B99668C" w14:textId="77777777" w:rsidR="00737B49" w:rsidRDefault="00737B49" w:rsidP="00737B49">
      <w:pPr>
        <w:spacing w:before="100" w:beforeAutospacing="1" w:after="100" w:afterAutospacing="1" w:line="240" w:lineRule="auto"/>
        <w:rPr>
          <w:rFonts w:ascii="Times New Roman" w:hAnsi="Times New Roman"/>
          <w:b/>
          <w:bCs/>
          <w:sz w:val="24"/>
          <w:szCs w:val="24"/>
        </w:rPr>
      </w:pPr>
      <w:r>
        <w:rPr>
          <w:rFonts w:ascii="Times New Roman" w:hAnsi="Times New Roman"/>
          <w:b/>
          <w:bCs/>
          <w:sz w:val="24"/>
          <w:szCs w:val="24"/>
        </w:rPr>
        <w:t>Legal Lesson Learned: Terrible injury, but facts clearly show did not occur during an “emergency.”</w:t>
      </w:r>
    </w:p>
    <w:p w14:paraId="56FFDA15" w14:textId="77777777" w:rsidR="00737B49" w:rsidRDefault="00737B49" w:rsidP="00737B49">
      <w:pPr>
        <w:spacing w:before="100" w:beforeAutospacing="1" w:after="100" w:afterAutospacing="1" w:line="240" w:lineRule="auto"/>
        <w:ind w:left="720"/>
        <w:rPr>
          <w:rFonts w:asciiTheme="minorHAnsi" w:hAnsiTheme="minorHAnsi" w:cstheme="minorBidi"/>
        </w:rPr>
      </w:pPr>
      <w:r>
        <w:rPr>
          <w:rFonts w:ascii="Times New Roman" w:hAnsi="Times New Roman"/>
          <w:sz w:val="24"/>
          <w:szCs w:val="24"/>
        </w:rPr>
        <w:t xml:space="preserve">Note:  The Court referenced that Illinois case law does support life-time medical coverage during a training exercise if there is a true emergency. </w:t>
      </w:r>
      <w:r>
        <w:rPr>
          <w:rFonts w:ascii="Times New Roman" w:hAnsi="Times New Roman"/>
          <w:sz w:val="24"/>
          <w:szCs w:val="24"/>
          <w:u w:val="single"/>
        </w:rPr>
        <w:t>Gaffney v. Board of Trustees of Orland Fire Protection District</w:t>
      </w:r>
      <w:r>
        <w:rPr>
          <w:rFonts w:ascii="Times New Roman" w:hAnsi="Times New Roman"/>
          <w:sz w:val="24"/>
          <w:szCs w:val="24"/>
        </w:rPr>
        <w:t xml:space="preserve">, 2012 IL 110012, May 29, 2012, Illinois Supreme Court: </w:t>
      </w:r>
      <w:hyperlink r:id="rId1234" w:history="1">
        <w:r>
          <w:rPr>
            <w:rStyle w:val="Hyperlink"/>
          </w:rPr>
          <w:t>https://courts.illinois.gov/opinions/SupremeCourt/2012/110012.pdf</w:t>
        </w:r>
      </w:hyperlink>
      <w:r>
        <w:t xml:space="preserve"> </w:t>
      </w:r>
    </w:p>
    <w:p w14:paraId="779F75AC" w14:textId="11A9219B" w:rsidR="00737B49" w:rsidRDefault="00737B49" w:rsidP="00737B49">
      <w:pPr>
        <w:rPr>
          <w:rStyle w:val="Hyperlink"/>
        </w:rPr>
      </w:pPr>
      <w:r>
        <w:rPr>
          <w:rFonts w:ascii="Times New Roman" w:hAnsi="Times New Roman"/>
          <w:sz w:val="24"/>
          <w:szCs w:val="24"/>
        </w:rPr>
        <w:t xml:space="preserve">“Gaffney was injured during a live fire training exercise on the third floor of a building. Gaffney wore full fire gear for the exercise, and his battalion chief instructed him to treat the exercise as an actual emergency. As the crew was moving the fire hose from the second floor to the third floor, it became entangled. The smoke from the fire left no visibility. Gaffney followed the hose back down to the second floor and discovered that it was hooked around a loveseat. When Gaffney flipped the loveseat backward, he injured his shoulder. The court held that Gaffney's training exercise became an emergency when the hose became entangled. </w:t>
      </w:r>
      <w:r>
        <w:rPr>
          <w:rFonts w:ascii="Times New Roman" w:hAnsi="Times New Roman"/>
          <w:i/>
          <w:iCs/>
          <w:sz w:val="24"/>
          <w:szCs w:val="24"/>
        </w:rPr>
        <w:t>Id</w:t>
      </w:r>
      <w:r>
        <w:rPr>
          <w:rFonts w:ascii="Times New Roman" w:hAnsi="Times New Roman"/>
          <w:sz w:val="24"/>
          <w:szCs w:val="24"/>
        </w:rPr>
        <w:t xml:space="preserve">. ¶ 66. This unforeseen development involved imminent danger and required an urgent response because it left the crew ‘stranded on the stairwell to the third floor </w:t>
      </w:r>
      <w:r>
        <w:rPr>
          <w:rFonts w:ascii="Times New Roman" w:eastAsia="Times New Roman" w:hAnsi="Times New Roman"/>
          <w:sz w:val="24"/>
          <w:szCs w:val="24"/>
        </w:rPr>
        <w:t>of the burning building with no visibility and no water to put out the fire.</w:t>
      </w:r>
      <w:r>
        <w:rPr>
          <w:rFonts w:ascii="Times New Roman" w:hAnsi="Times New Roman"/>
          <w:sz w:val="24"/>
          <w:szCs w:val="24"/>
        </w:rPr>
        <w:t>’”</w:t>
      </w:r>
      <w:r>
        <w:t xml:space="preserve"> </w:t>
      </w:r>
      <w:hyperlink r:id="rId1235" w:history="1">
        <w:r>
          <w:rPr>
            <w:rStyle w:val="Hyperlink"/>
          </w:rPr>
          <w:t>https://casetext.com/case/heneghan-v-city-of-evanston</w:t>
        </w:r>
      </w:hyperlink>
    </w:p>
    <w:p w14:paraId="207AFA86" w14:textId="28E99789" w:rsidR="00737B49" w:rsidRDefault="00737B49" w:rsidP="00737B49">
      <w:pPr>
        <w:rPr>
          <w:rStyle w:val="Hyperlink"/>
        </w:rPr>
      </w:pPr>
    </w:p>
    <w:p w14:paraId="138B301C" w14:textId="77777777" w:rsidR="00737B49" w:rsidRDefault="00737B49" w:rsidP="00737B49">
      <w:pPr>
        <w:spacing w:before="100" w:beforeAutospacing="1" w:after="100" w:afterAutospacing="1" w:line="240" w:lineRule="auto"/>
        <w:rPr>
          <w:rFonts w:ascii="Arial Black" w:hAnsi="Arial Black"/>
          <w:sz w:val="28"/>
          <w:szCs w:val="28"/>
        </w:rPr>
      </w:pPr>
    </w:p>
    <w:p w14:paraId="5C3EFBA4" w14:textId="77777777" w:rsidR="00737B49" w:rsidRDefault="00737B49" w:rsidP="00737B49">
      <w:pPr>
        <w:spacing w:before="100" w:beforeAutospacing="1" w:after="100" w:afterAutospacing="1" w:line="240" w:lineRule="auto"/>
        <w:rPr>
          <w:rFonts w:ascii="Arial Black" w:hAnsi="Arial Black"/>
          <w:sz w:val="28"/>
          <w:szCs w:val="28"/>
        </w:rPr>
      </w:pPr>
    </w:p>
    <w:p w14:paraId="38B69A42" w14:textId="5A7C67F8" w:rsidR="00737B49" w:rsidRDefault="00737B49" w:rsidP="00737B49">
      <w:pPr>
        <w:spacing w:before="100" w:beforeAutospacing="1" w:after="100" w:afterAutospacing="1" w:line="240" w:lineRule="auto"/>
        <w:rPr>
          <w:rFonts w:ascii="Arial Black" w:hAnsi="Arial Black"/>
          <w:sz w:val="28"/>
          <w:szCs w:val="28"/>
        </w:rPr>
      </w:pPr>
      <w:r>
        <w:rPr>
          <w:rFonts w:ascii="Arial Black" w:hAnsi="Arial Black"/>
          <w:sz w:val="28"/>
          <w:szCs w:val="28"/>
        </w:rPr>
        <w:t>6-5</w:t>
      </w:r>
      <w:r w:rsidR="008F02C3">
        <w:rPr>
          <w:rFonts w:ascii="Arial Black" w:hAnsi="Arial Black"/>
          <w:sz w:val="28"/>
          <w:szCs w:val="28"/>
        </w:rPr>
        <w:t>8</w:t>
      </w:r>
    </w:p>
    <w:p w14:paraId="25825208" w14:textId="7748A388" w:rsidR="00737B49" w:rsidRPr="00950C0A" w:rsidRDefault="00737B49" w:rsidP="00737B49">
      <w:pPr>
        <w:spacing w:before="100" w:beforeAutospacing="1" w:after="100" w:afterAutospacing="1" w:line="240" w:lineRule="auto"/>
        <w:rPr>
          <w:rFonts w:ascii="Arial Black" w:hAnsi="Arial Black"/>
          <w:sz w:val="28"/>
          <w:szCs w:val="28"/>
        </w:rPr>
      </w:pPr>
      <w:r>
        <w:rPr>
          <w:rFonts w:ascii="Arial Black" w:hAnsi="Arial Black"/>
          <w:sz w:val="28"/>
          <w:szCs w:val="28"/>
        </w:rPr>
        <w:t xml:space="preserve">MA: INTERNAL INVESTIGATION – EMPLOYEES PROVIDE INFO – CONDITIONALLY PROTECTED FROM DEFAMATION </w:t>
      </w:r>
    </w:p>
    <w:p w14:paraId="1391B508" w14:textId="77777777" w:rsidR="00737B49" w:rsidRDefault="00737B49" w:rsidP="00737B49">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On Dec. 10, 2020, in </w:t>
      </w:r>
      <w:r w:rsidRPr="005202DF">
        <w:rPr>
          <w:rFonts w:ascii="Times New Roman" w:hAnsi="Times New Roman"/>
          <w:sz w:val="24"/>
          <w:szCs w:val="24"/>
          <w:u w:val="single"/>
        </w:rPr>
        <w:t>Diane Lawless v, Cheryl Estrella</w:t>
      </w:r>
      <w:r>
        <w:rPr>
          <w:rFonts w:ascii="Times New Roman" w:hAnsi="Times New Roman"/>
          <w:sz w:val="24"/>
          <w:szCs w:val="24"/>
        </w:rPr>
        <w:t xml:space="preserve">, the Massachusetts Court of Appeals held (3 to 0) that the trial court properly granted summary judgment and dismissed the lawsuit filed by the former Town Treasurer against a Senior Clerk who provided investigators with a 6-page e-mail documenting misconduct by the Treasurer. </w:t>
      </w:r>
    </w:p>
    <w:p w14:paraId="57DAA941" w14:textId="77777777" w:rsidR="00737B49" w:rsidRPr="005202DF" w:rsidRDefault="00737B49" w:rsidP="00737B49">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r w:rsidRPr="005202DF">
        <w:rPr>
          <w:rFonts w:ascii="Times New Roman" w:hAnsi="Times New Roman"/>
          <w:sz w:val="24"/>
          <w:szCs w:val="24"/>
        </w:rPr>
        <w:t>We conclude that an opinion based on disclosed, nondefamatory facts is not defamatory and that many of the allegedly defamatory statements constitute such opinions.</w:t>
      </w:r>
      <w:r>
        <w:rPr>
          <w:rFonts w:ascii="Times New Roman" w:hAnsi="Times New Roman"/>
          <w:sz w:val="24"/>
          <w:szCs w:val="24"/>
        </w:rPr>
        <w:t xml:space="preserve"> </w:t>
      </w:r>
      <w:r w:rsidRPr="005202DF">
        <w:rPr>
          <w:rFonts w:ascii="Times New Roman" w:hAnsi="Times New Roman"/>
          <w:sz w:val="24"/>
          <w:szCs w:val="24"/>
        </w:rPr>
        <w:t>Further concluding that an employee has a conditional privilege to provide information concerning another employee upon the request of a supervisor and that the plaintiff failed to raise a genuine issue of material fact that would allow a jury to find that this privilege was abused regarding the other statements, we affirm</w:t>
      </w:r>
      <w:r>
        <w:rPr>
          <w:rFonts w:ascii="Times New Roman" w:hAnsi="Times New Roman"/>
          <w:sz w:val="24"/>
          <w:szCs w:val="24"/>
        </w:rPr>
        <w:t xml:space="preserve">.” </w:t>
      </w:r>
      <w:hyperlink r:id="rId1236" w:history="1">
        <w:r w:rsidRPr="007F3E99">
          <w:rPr>
            <w:rStyle w:val="Hyperlink"/>
            <w:rFonts w:ascii="Times New Roman" w:hAnsi="Times New Roman"/>
            <w:sz w:val="24"/>
            <w:szCs w:val="24"/>
          </w:rPr>
          <w:t>https://www.massmunilaw.org/wp-content/uploads/2020/12/DIANE-LAWLESS-v.-CHERYL-ESTRELLA.pdf</w:t>
        </w:r>
      </w:hyperlink>
      <w:r>
        <w:rPr>
          <w:rFonts w:ascii="Times New Roman" w:hAnsi="Times New Roman"/>
          <w:sz w:val="24"/>
          <w:szCs w:val="24"/>
        </w:rPr>
        <w:t xml:space="preserve"> </w:t>
      </w:r>
    </w:p>
    <w:p w14:paraId="1273528A" w14:textId="77777777" w:rsidR="00737B49" w:rsidRDefault="00737B49" w:rsidP="00737B49">
      <w:pPr>
        <w:spacing w:before="100" w:beforeAutospacing="1" w:after="100" w:afterAutospacing="1" w:line="240" w:lineRule="auto"/>
        <w:rPr>
          <w:rFonts w:ascii="Times New Roman" w:hAnsi="Times New Roman"/>
          <w:b/>
          <w:bCs/>
          <w:sz w:val="24"/>
          <w:szCs w:val="24"/>
        </w:rPr>
      </w:pPr>
      <w:r w:rsidRPr="005202DF">
        <w:rPr>
          <w:rFonts w:ascii="Times New Roman" w:hAnsi="Times New Roman"/>
          <w:b/>
          <w:bCs/>
          <w:sz w:val="24"/>
          <w:szCs w:val="24"/>
        </w:rPr>
        <w:t>Legal Lesson Learned:</w:t>
      </w:r>
      <w:r>
        <w:rPr>
          <w:rFonts w:ascii="Times New Roman" w:hAnsi="Times New Roman"/>
          <w:b/>
          <w:bCs/>
          <w:sz w:val="24"/>
          <w:szCs w:val="24"/>
        </w:rPr>
        <w:t xml:space="preserve"> Internal investigations of a public official will often involve co-workers providing statements.  The “conditional privilege” is an important protection of these co-workers.</w:t>
      </w:r>
    </w:p>
    <w:p w14:paraId="6D3234E6" w14:textId="77777777" w:rsidR="00737B49" w:rsidRPr="005D50F1" w:rsidRDefault="00737B49" w:rsidP="00737B49">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 xml:space="preserve">Note: The Court of Appeals referenced a Fire Department case where a co-worker also enjoyed protection from defamation lawsuit under the “conditional privilege.”  Kevin Barrows v. Wareham Fire District (Mass Court of Appeals; Oct. 12, 2012). </w:t>
      </w:r>
      <w:hyperlink r:id="rId1237" w:history="1">
        <w:r w:rsidRPr="007F3E99">
          <w:rPr>
            <w:rStyle w:val="Hyperlink"/>
          </w:rPr>
          <w:t>http://masscases.com/cases/app/82/82massappct623.html</w:t>
        </w:r>
      </w:hyperlink>
      <w:r>
        <w:t xml:space="preserve"> </w:t>
      </w:r>
    </w:p>
    <w:p w14:paraId="4946449C" w14:textId="77777777" w:rsidR="005E132A" w:rsidRDefault="005E132A" w:rsidP="00EF1133">
      <w:pPr>
        <w:rPr>
          <w:rFonts w:ascii="Arial Black" w:hAnsi="Arial Black"/>
          <w:b/>
          <w:sz w:val="24"/>
          <w:szCs w:val="24"/>
        </w:rPr>
      </w:pPr>
    </w:p>
    <w:p w14:paraId="2FEF57CE" w14:textId="77777777" w:rsidR="00737B49" w:rsidRDefault="00737B49" w:rsidP="00EF1133">
      <w:pPr>
        <w:rPr>
          <w:rFonts w:ascii="Arial Black" w:hAnsi="Arial Black"/>
          <w:b/>
          <w:sz w:val="24"/>
          <w:szCs w:val="24"/>
        </w:rPr>
      </w:pPr>
    </w:p>
    <w:p w14:paraId="259B3C9D" w14:textId="7679324B" w:rsidR="005E132A" w:rsidRDefault="005E132A" w:rsidP="00EF1133">
      <w:pPr>
        <w:rPr>
          <w:rFonts w:ascii="Arial Black" w:hAnsi="Arial Black"/>
          <w:b/>
          <w:sz w:val="24"/>
          <w:szCs w:val="24"/>
        </w:rPr>
      </w:pPr>
      <w:r>
        <w:rPr>
          <w:rFonts w:ascii="Arial Black" w:hAnsi="Arial Black"/>
          <w:b/>
          <w:sz w:val="24"/>
          <w:szCs w:val="24"/>
        </w:rPr>
        <w:t>6-5</w:t>
      </w:r>
      <w:r w:rsidR="008F02C3">
        <w:rPr>
          <w:rFonts w:ascii="Arial Black" w:hAnsi="Arial Black"/>
          <w:b/>
          <w:sz w:val="24"/>
          <w:szCs w:val="24"/>
        </w:rPr>
        <w:t>7</w:t>
      </w:r>
    </w:p>
    <w:p w14:paraId="61010149" w14:textId="77777777" w:rsidR="00737B49" w:rsidRDefault="00737B49" w:rsidP="00737B49">
      <w:pPr>
        <w:pStyle w:val="NoSpacing"/>
        <w:rPr>
          <w:rFonts w:ascii="Arial Black" w:eastAsiaTheme="minorHAnsi" w:hAnsi="Arial Black" w:cstheme="minorBidi"/>
          <w:sz w:val="28"/>
          <w:szCs w:val="28"/>
        </w:rPr>
      </w:pPr>
      <w:r>
        <w:rPr>
          <w:rFonts w:ascii="Arial Black" w:hAnsi="Arial Black"/>
          <w:sz w:val="28"/>
          <w:szCs w:val="28"/>
        </w:rPr>
        <w:t>WV: EMT INJURED SHOULDER - FIRED 16 MO. LATER FOR FALSIFICATION DOC. – JURY DECIDED NO RETALIATION</w:t>
      </w:r>
    </w:p>
    <w:p w14:paraId="7E9B45ED" w14:textId="77777777" w:rsidR="00737B49" w:rsidRDefault="00737B49" w:rsidP="00737B49">
      <w:pPr>
        <w:spacing w:before="100" w:beforeAutospacing="1" w:after="100" w:afterAutospacing="1" w:line="240" w:lineRule="auto"/>
        <w:rPr>
          <w:rFonts w:ascii="Times New Roman" w:eastAsia="Times New Roman" w:hAnsi="Times New Roman"/>
          <w:sz w:val="24"/>
          <w:szCs w:val="24"/>
        </w:rPr>
      </w:pPr>
      <w:r>
        <w:rPr>
          <w:rFonts w:ascii="Times New Roman" w:hAnsi="Times New Roman"/>
          <w:sz w:val="24"/>
          <w:szCs w:val="24"/>
        </w:rPr>
        <w:t xml:space="preserve">On Dec. 7, 2020, in </w:t>
      </w:r>
      <w:r>
        <w:rPr>
          <w:rFonts w:ascii="Times New Roman" w:eastAsia="Times New Roman" w:hAnsi="Times New Roman"/>
          <w:sz w:val="24"/>
          <w:szCs w:val="24"/>
          <w:u w:val="single"/>
        </w:rPr>
        <w:t>Terri Smith v. Kanawha County Emergency Ambulance Authority</w:t>
      </w:r>
      <w:r>
        <w:rPr>
          <w:rFonts w:ascii="Times New Roman" w:eastAsia="Times New Roman" w:hAnsi="Times New Roman"/>
          <w:sz w:val="24"/>
          <w:szCs w:val="24"/>
        </w:rPr>
        <w:t xml:space="preserve">, the State of West Virginia Supreme Court of Appeals, held (3 to 2) that after a four-day jury trial the jury held for the employer, and the Court of Appeals held there were no errors in the jury instructions.  The Court also held there was no need to schedule oral argument by counsel (2 Justices disagreed).  The Court did not describe the document that was allegedly falsified.  </w:t>
      </w:r>
    </w:p>
    <w:p w14:paraId="25D69155" w14:textId="77777777" w:rsidR="00737B49" w:rsidRDefault="00737B49" w:rsidP="00737B49">
      <w:pPr>
        <w:spacing w:before="100" w:beforeAutospacing="1" w:after="100" w:afterAutospacing="1" w:line="240" w:lineRule="auto"/>
        <w:ind w:left="720"/>
        <w:rPr>
          <w:rFonts w:ascii="Times New Roman" w:eastAsiaTheme="minorHAnsi" w:hAnsi="Times New Roman"/>
          <w:sz w:val="24"/>
          <w:szCs w:val="24"/>
        </w:rPr>
      </w:pPr>
      <w:r>
        <w:rPr>
          <w:rFonts w:ascii="Times New Roman" w:hAnsi="Times New Roman"/>
          <w:sz w:val="24"/>
          <w:szCs w:val="24"/>
        </w:rPr>
        <w:t>“There is no dispute that petitioner sustained an on-the-job injury or that she instituted proceedings under the Workers' Compensation Act. However, the jury was asked to determine whether the filing of that workers' compensation claim was a ‘significant factor in the employer's decision to discharge’ and found that it was not.</w:t>
      </w:r>
    </w:p>
    <w:p w14:paraId="339223A6" w14:textId="77777777" w:rsidR="00737B49" w:rsidRDefault="00737B49" w:rsidP="00737B49">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lastRenderedPageBreak/>
        <w:t xml:space="preserve">The jury had the opportunity to observe the witnesses during their testimony and examine </w:t>
      </w:r>
      <w:proofErr w:type="gramStart"/>
      <w:r>
        <w:rPr>
          <w:rFonts w:ascii="Times New Roman" w:hAnsi="Times New Roman"/>
          <w:sz w:val="24"/>
          <w:szCs w:val="24"/>
        </w:rPr>
        <w:t>all of</w:t>
      </w:r>
      <w:proofErr w:type="gramEnd"/>
      <w:r>
        <w:rPr>
          <w:rFonts w:ascii="Times New Roman" w:hAnsi="Times New Roman"/>
          <w:sz w:val="24"/>
          <w:szCs w:val="24"/>
        </w:rPr>
        <w:t xml:space="preserve"> the evidence presented. The jury's finding that petitioner's filing of a workers' compensation claim was not a significant factor in her termination satisfies this Court's previously established standard, as petitioner was required to show that it was a significant factor </w:t>
      </w:r>
      <w:proofErr w:type="gramStart"/>
      <w:r>
        <w:rPr>
          <w:rFonts w:ascii="Times New Roman" w:hAnsi="Times New Roman"/>
          <w:sz w:val="24"/>
          <w:szCs w:val="24"/>
        </w:rPr>
        <w:t>in order to</w:t>
      </w:r>
      <w:proofErr w:type="gramEnd"/>
      <w:r>
        <w:rPr>
          <w:rFonts w:ascii="Times New Roman" w:hAnsi="Times New Roman"/>
          <w:sz w:val="24"/>
          <w:szCs w:val="24"/>
        </w:rPr>
        <w:t xml:space="preserve"> establish a prima facie case of discrimination. Syl. Pt. 1, </w:t>
      </w:r>
      <w:r>
        <w:rPr>
          <w:rFonts w:ascii="Times New Roman" w:hAnsi="Times New Roman"/>
          <w:i/>
          <w:iCs/>
          <w:sz w:val="24"/>
          <w:szCs w:val="24"/>
        </w:rPr>
        <w:t>Powell</w:t>
      </w:r>
      <w:r>
        <w:rPr>
          <w:rFonts w:ascii="Times New Roman" w:hAnsi="Times New Roman"/>
          <w:sz w:val="24"/>
          <w:szCs w:val="24"/>
        </w:rPr>
        <w:t xml:space="preserve">, 184 W.Va. at 701, 403 S.E.2d at 718. Therefore, we will not overturn the jury's verdict in favor of respondent on this </w:t>
      </w:r>
      <w:proofErr w:type="gramStart"/>
      <w:r>
        <w:rPr>
          <w:rFonts w:ascii="Times New Roman" w:hAnsi="Times New Roman"/>
          <w:sz w:val="24"/>
          <w:szCs w:val="24"/>
        </w:rPr>
        <w:t>ground.”</w:t>
      </w:r>
      <w:proofErr w:type="gramEnd"/>
      <w:r>
        <w:rPr>
          <w:rFonts w:ascii="Times New Roman" w:hAnsi="Times New Roman"/>
          <w:sz w:val="24"/>
          <w:szCs w:val="24"/>
        </w:rPr>
        <w:t xml:space="preserve"> </w:t>
      </w:r>
      <w:hyperlink r:id="rId1238" w:history="1">
        <w:r>
          <w:rPr>
            <w:rStyle w:val="Hyperlink"/>
          </w:rPr>
          <w:t>https://www.courtlistener.com/opinion/4836452/terri-smith-v-kanawha-county-emergency-ambulance-authority/</w:t>
        </w:r>
      </w:hyperlink>
      <w:r>
        <w:rPr>
          <w:rFonts w:ascii="Times New Roman" w:hAnsi="Times New Roman"/>
          <w:sz w:val="24"/>
          <w:szCs w:val="24"/>
        </w:rPr>
        <w:t xml:space="preserve">? </w:t>
      </w:r>
    </w:p>
    <w:p w14:paraId="5D7D330A" w14:textId="77777777" w:rsidR="00737B49" w:rsidRDefault="00737B49" w:rsidP="00737B49">
      <w:pPr>
        <w:pStyle w:val="NormalWeb"/>
        <w:rPr>
          <w:b/>
          <w:bCs/>
        </w:rPr>
      </w:pPr>
      <w:r>
        <w:rPr>
          <w:b/>
          <w:bCs/>
        </w:rPr>
        <w:t xml:space="preserve">Legal Lesson Learned: Under West Virginia statute, the employee must prove that the workers’ compensation claim was a “significant factor in the employer’s decision to discharge” the employee.  </w:t>
      </w:r>
    </w:p>
    <w:p w14:paraId="35F4EBBA" w14:textId="271BF514" w:rsidR="00737B49" w:rsidRDefault="00737B49" w:rsidP="00737B49">
      <w:pPr>
        <w:ind w:left="720"/>
        <w:rPr>
          <w:rFonts w:ascii="Arial Black" w:hAnsi="Arial Black"/>
          <w:b/>
          <w:sz w:val="24"/>
          <w:szCs w:val="24"/>
        </w:rPr>
      </w:pPr>
      <w:r>
        <w:rPr>
          <w:rFonts w:ascii="Times New Roman" w:hAnsi="Times New Roman"/>
          <w:sz w:val="24"/>
          <w:szCs w:val="24"/>
        </w:rPr>
        <w:t xml:space="preserve">Note: See Jan. 25, </w:t>
      </w:r>
      <w:proofErr w:type="gramStart"/>
      <w:r>
        <w:rPr>
          <w:rFonts w:ascii="Times New Roman" w:hAnsi="Times New Roman"/>
          <w:sz w:val="24"/>
          <w:szCs w:val="24"/>
        </w:rPr>
        <w:t>2017</w:t>
      </w:r>
      <w:proofErr w:type="gramEnd"/>
      <w:r>
        <w:rPr>
          <w:rFonts w:ascii="Times New Roman" w:hAnsi="Times New Roman"/>
          <w:sz w:val="24"/>
          <w:szCs w:val="24"/>
        </w:rPr>
        <w:t xml:space="preserve"> article: “Ambulance service worker blames multiple defendants for injuries.”  *** “According to the complaint, on Dec. 31, 2014, </w:t>
      </w:r>
      <w:proofErr w:type="gramStart"/>
      <w:r>
        <w:rPr>
          <w:rFonts w:ascii="Times New Roman" w:hAnsi="Times New Roman"/>
          <w:sz w:val="24"/>
          <w:szCs w:val="24"/>
        </w:rPr>
        <w:t>as a result of</w:t>
      </w:r>
      <w:proofErr w:type="gramEnd"/>
      <w:r>
        <w:rPr>
          <w:rFonts w:ascii="Times New Roman" w:hAnsi="Times New Roman"/>
          <w:sz w:val="24"/>
          <w:szCs w:val="24"/>
        </w:rPr>
        <w:t xml:space="preserve"> the defendants' negligence, Smith was seriously injured while lifting an obese patient she was required to transport from the Charleston Area Medical Center. The plaintiff alleges the defendants failed to provide sufficient staff and other resources to safely lift the obese patient.” </w:t>
      </w:r>
      <w:hyperlink r:id="rId1239" w:history="1">
        <w:r>
          <w:rPr>
            <w:rStyle w:val="Hyperlink"/>
          </w:rPr>
          <w:t>https://wvrecord.com/stories/511075521-ambulance-service-worker-blames-multiple-defendants-for-injuries</w:t>
        </w:r>
      </w:hyperlink>
    </w:p>
    <w:p w14:paraId="61538E8B" w14:textId="77777777" w:rsidR="005E132A" w:rsidRDefault="005E132A" w:rsidP="00EF1133">
      <w:pPr>
        <w:rPr>
          <w:rFonts w:ascii="Arial Black" w:hAnsi="Arial Black"/>
          <w:b/>
          <w:sz w:val="24"/>
          <w:szCs w:val="24"/>
        </w:rPr>
      </w:pPr>
    </w:p>
    <w:p w14:paraId="1E960E05" w14:textId="3C9006D4" w:rsidR="009E093C" w:rsidRDefault="009E093C" w:rsidP="00EF1133">
      <w:pPr>
        <w:rPr>
          <w:rFonts w:ascii="Arial Black" w:hAnsi="Arial Black"/>
          <w:b/>
          <w:sz w:val="24"/>
          <w:szCs w:val="24"/>
        </w:rPr>
      </w:pPr>
      <w:r>
        <w:rPr>
          <w:rFonts w:ascii="Arial Black" w:hAnsi="Arial Black"/>
          <w:b/>
          <w:sz w:val="24"/>
          <w:szCs w:val="24"/>
        </w:rPr>
        <w:t>6-5</w:t>
      </w:r>
      <w:r w:rsidR="008F02C3">
        <w:rPr>
          <w:rFonts w:ascii="Arial Black" w:hAnsi="Arial Black"/>
          <w:b/>
          <w:sz w:val="24"/>
          <w:szCs w:val="24"/>
        </w:rPr>
        <w:t>6</w:t>
      </w:r>
    </w:p>
    <w:p w14:paraId="61C2B7D2" w14:textId="77777777" w:rsidR="009E093C" w:rsidRPr="00E24ECF" w:rsidRDefault="009E093C" w:rsidP="009E093C">
      <w:pPr>
        <w:pStyle w:val="NoSpacing"/>
        <w:rPr>
          <w:rFonts w:ascii="Arial Black" w:hAnsi="Arial Black"/>
          <w:sz w:val="28"/>
          <w:szCs w:val="28"/>
        </w:rPr>
      </w:pPr>
      <w:r>
        <w:rPr>
          <w:rFonts w:ascii="Arial Black" w:hAnsi="Arial Black"/>
          <w:sz w:val="28"/>
          <w:szCs w:val="28"/>
        </w:rPr>
        <w:t>MO: MANDATORY AGE 65 RETIREMENT – CITY POLICE DEPT - LAWFUL UNDER FEDERAL ADEA FOR POLICE / FIRE</w:t>
      </w:r>
    </w:p>
    <w:p w14:paraId="0612D3BA" w14:textId="77777777" w:rsidR="009E093C" w:rsidRDefault="009E093C" w:rsidP="009E093C">
      <w:pPr>
        <w:pStyle w:val="NormalWeb"/>
      </w:pPr>
      <w:r>
        <w:t xml:space="preserve">On Nov. 16, 2020, in </w:t>
      </w:r>
      <w:r w:rsidRPr="003C0A09">
        <w:rPr>
          <w:u w:val="single"/>
        </w:rPr>
        <w:t>Michael Caruso v. St. Louis, Missouri</w:t>
      </w:r>
      <w:r>
        <w:t xml:space="preserve">, U.S. Magistrate Judge Shirley P. Mensah, U.S. District Court, Eastern District of Missouri (Eastern Division), granted the City’s motion to dismiss; the City has a mandatory age 65 for its police officers, and while occasionally they will grant a one-year extension, there is no requirement to do so.  This is authorized under the federal ADEA, Age Discrimination in Employment Act amendments in 1986; see also EEOC guidance: </w:t>
      </w:r>
      <w:hyperlink r:id="rId1240" w:history="1">
        <w:r w:rsidRPr="00D74D0C">
          <w:rPr>
            <w:rStyle w:val="Hyperlink"/>
          </w:rPr>
          <w:t>https://www.eeoc.gov/statutes/age-discrimination-employment-act-1967</w:t>
        </w:r>
      </w:hyperlink>
      <w:r>
        <w:t xml:space="preserve">  </w:t>
      </w:r>
    </w:p>
    <w:p w14:paraId="1B513148" w14:textId="77777777" w:rsidR="009E093C" w:rsidRPr="003C0A09" w:rsidRDefault="009E093C" w:rsidP="009E093C">
      <w:pPr>
        <w:pStyle w:val="NormalWeb"/>
        <w:ind w:left="720"/>
      </w:pPr>
      <w:r>
        <w:t xml:space="preserve">“Defendant concedes Plaintiff was terminated because of his age but argues Plaintiff's discharge fell within an exemption in the ADEA that allows state and local governments to set a mandatory retirement age for police officers provided certain requirements are met. Specifically, under 29 U.S.C.§ 623(j), state and local governments are allowed to set mandatory retirement ages for firefighters and law enforcement officers if the following two requirements are met: First, the discharge must have been pursuant to a state or local law requiring mandatory retirement by a certain age; and, second, the discharge must be pursuant to a bona fide retirement plan that is not a subterfuge for impermissible age discrimination. 29 U.S.C. § 623(j)(1)-(2). </w:t>
      </w:r>
      <w:r w:rsidRPr="00E24ECF">
        <w:t xml:space="preserve"> To satisfy the first</w:t>
      </w:r>
      <w:r>
        <w:t xml:space="preserve"> </w:t>
      </w:r>
      <w:r w:rsidRPr="00E24ECF">
        <w:t xml:space="preserve">requirement, the mandatory retirement law must </w:t>
      </w:r>
      <w:r w:rsidRPr="00E24ECF">
        <w:rPr>
          <w:i/>
          <w:iCs/>
        </w:rPr>
        <w:t>either</w:t>
      </w:r>
      <w:r w:rsidRPr="00E24ECF">
        <w:t xml:space="preserve"> have been in effect on March 3, </w:t>
      </w:r>
      <w:proofErr w:type="gramStart"/>
      <w:r w:rsidRPr="00E24ECF">
        <w:t>1983</w:t>
      </w:r>
      <w:proofErr w:type="gramEnd"/>
      <w:r w:rsidRPr="00E24ECF">
        <w:t xml:space="preserve"> </w:t>
      </w:r>
      <w:r w:rsidRPr="00E24ECF">
        <w:rPr>
          <w:i/>
          <w:iCs/>
        </w:rPr>
        <w:t>or</w:t>
      </w:r>
      <w:r w:rsidRPr="00E24ECF">
        <w:t xml:space="preserve"> must have been enacted after September 30, 1996; and, if the latter, the discharge must occur no earlier than age fifty-five. </w:t>
      </w:r>
      <w:r w:rsidRPr="00E24ECF">
        <w:rPr>
          <w:i/>
          <w:iCs/>
        </w:rPr>
        <w:t>See Correa-Ruiz v</w:t>
      </w:r>
      <w:r w:rsidRPr="00E24ECF">
        <w:t xml:space="preserve">. </w:t>
      </w:r>
      <w:r w:rsidRPr="00E24ECF">
        <w:rPr>
          <w:i/>
          <w:iCs/>
        </w:rPr>
        <w:t>Fortuno</w:t>
      </w:r>
      <w:r w:rsidRPr="00E24ECF">
        <w:t>, 572 F.3d 1, 9 (1st Cir. 2009) (construing 29 U.S.C.</w:t>
      </w:r>
      <w:r>
        <w:t xml:space="preserve"> </w:t>
      </w:r>
      <w:r w:rsidRPr="00E24ECF">
        <w:t xml:space="preserve">§623(j)(1)(A) and (B)(ii) to mean the discharge must have been </w:t>
      </w:r>
      <w:r>
        <w:t>‘</w:t>
      </w:r>
      <w:r w:rsidRPr="00E24ECF">
        <w:t xml:space="preserve">pursuant to a mandatory retirement plan that </w:t>
      </w:r>
      <w:r w:rsidRPr="00E24ECF">
        <w:rPr>
          <w:i/>
          <w:iCs/>
        </w:rPr>
        <w:t>either</w:t>
      </w:r>
      <w:r w:rsidRPr="00E24ECF">
        <w:t xml:space="preserve"> was in effect on March 3, 1983 </w:t>
      </w:r>
      <w:r w:rsidRPr="00E24ECF">
        <w:rPr>
          <w:i/>
          <w:iCs/>
        </w:rPr>
        <w:t>or</w:t>
      </w:r>
      <w:r w:rsidRPr="00E24ECF">
        <w:t xml:space="preserve"> was enacted after September 30, 1996. The only-age related limitation on the latter option is that the discharge occurs no earlier than age fifty-five.</w:t>
      </w:r>
      <w:r>
        <w:t>’</w:t>
      </w:r>
      <w:r w:rsidRPr="00E24ECF">
        <w:t>).</w:t>
      </w:r>
      <w:r>
        <w:t xml:space="preserve"> </w:t>
      </w:r>
      <w:hyperlink r:id="rId1241" w:history="1">
        <w:r w:rsidRPr="003C0A09">
          <w:rPr>
            <w:rStyle w:val="Hyperlink"/>
          </w:rPr>
          <w:t>https://public.fastcase.com/Wl%2B2t%2BeVuI35%2FN70vAMFZjoMXHbjadZDEq7kSjk%2BwtWPLJ9YZycRPzxEYilorv6v</w:t>
        </w:r>
      </w:hyperlink>
      <w:r w:rsidRPr="003C0A09">
        <w:t xml:space="preserve"> </w:t>
      </w:r>
    </w:p>
    <w:p w14:paraId="22DBC5E7" w14:textId="77777777" w:rsidR="009E093C" w:rsidRDefault="009E093C" w:rsidP="009E093C">
      <w:pPr>
        <w:spacing w:before="100" w:beforeAutospacing="1" w:after="100" w:afterAutospacing="1" w:line="240" w:lineRule="auto"/>
        <w:rPr>
          <w:rFonts w:ascii="Times New Roman" w:eastAsia="Times New Roman" w:hAnsi="Times New Roman"/>
          <w:b/>
          <w:bCs/>
          <w:sz w:val="24"/>
          <w:szCs w:val="24"/>
        </w:rPr>
      </w:pPr>
      <w:r w:rsidRPr="00D53EBE">
        <w:rPr>
          <w:rFonts w:ascii="Times New Roman" w:hAnsi="Times New Roman"/>
          <w:b/>
          <w:bCs/>
          <w:sz w:val="24"/>
          <w:szCs w:val="24"/>
        </w:rPr>
        <w:lastRenderedPageBreak/>
        <w:t>Legal Lesson Learned:</w:t>
      </w:r>
      <w:r w:rsidRPr="00D53EBE">
        <w:rPr>
          <w:rFonts w:ascii="Times New Roman" w:eastAsia="Times New Roman" w:hAnsi="Times New Roman"/>
          <w:b/>
          <w:bCs/>
          <w:sz w:val="24"/>
          <w:szCs w:val="24"/>
        </w:rPr>
        <w:t xml:space="preserve"> </w:t>
      </w:r>
      <w:r>
        <w:rPr>
          <w:rFonts w:ascii="Times New Roman" w:eastAsia="Times New Roman" w:hAnsi="Times New Roman"/>
          <w:b/>
          <w:bCs/>
          <w:sz w:val="24"/>
          <w:szCs w:val="24"/>
        </w:rPr>
        <w:t xml:space="preserve">Federal ADEA statute, amended 1986, authorizes mandatory retirement ages for police and fire. </w:t>
      </w:r>
    </w:p>
    <w:p w14:paraId="6443F067" w14:textId="77777777" w:rsidR="009E093C" w:rsidRPr="003C0A09" w:rsidRDefault="009E093C" w:rsidP="009E093C">
      <w:pPr>
        <w:spacing w:before="100" w:beforeAutospacing="1" w:after="100" w:afterAutospacing="1" w:line="240" w:lineRule="auto"/>
        <w:ind w:left="1440"/>
        <w:rPr>
          <w:rFonts w:ascii="Times New Roman" w:eastAsia="Times New Roman" w:hAnsi="Times New Roman"/>
          <w:sz w:val="24"/>
          <w:szCs w:val="24"/>
        </w:rPr>
      </w:pPr>
      <w:r w:rsidRPr="00D53EBE">
        <w:rPr>
          <w:rFonts w:ascii="Times New Roman" w:eastAsia="Times New Roman" w:hAnsi="Times New Roman"/>
          <w:sz w:val="24"/>
          <w:szCs w:val="24"/>
        </w:rPr>
        <w:t>Note: See Congressional testimony</w:t>
      </w:r>
      <w:r>
        <w:rPr>
          <w:rFonts w:ascii="Times New Roman" w:eastAsia="Times New Roman" w:hAnsi="Times New Roman"/>
          <w:sz w:val="24"/>
          <w:szCs w:val="24"/>
        </w:rPr>
        <w:t>, March 12,</w:t>
      </w:r>
      <w:r w:rsidRPr="00D53EBE">
        <w:rPr>
          <w:rFonts w:ascii="Times New Roman" w:eastAsia="Times New Roman" w:hAnsi="Times New Roman"/>
          <w:sz w:val="24"/>
          <w:szCs w:val="24"/>
        </w:rPr>
        <w:t xml:space="preserve"> 1986</w:t>
      </w:r>
      <w:r>
        <w:rPr>
          <w:rFonts w:ascii="Times New Roman" w:eastAsia="Times New Roman" w:hAnsi="Times New Roman"/>
          <w:sz w:val="24"/>
          <w:szCs w:val="24"/>
        </w:rPr>
        <w:t>, on the proposed exemptions to the ADEA for police and fire.  “</w:t>
      </w:r>
      <w:r w:rsidRPr="00D53EBE">
        <w:rPr>
          <w:rFonts w:ascii="Times New Roman" w:hAnsi="Times New Roman"/>
          <w:sz w:val="24"/>
          <w:szCs w:val="24"/>
        </w:rPr>
        <w:t xml:space="preserve">Air traffic controllers, for instance, must retire at age 56, foreign service officers at age 65, and Federal firefighters and law enforcement officers, including employees of the FBI, Secret Service, and Federal Prison System, must retire at the age of 55. </w:t>
      </w:r>
      <w:hyperlink r:id="rId1242" w:history="1">
        <w:r w:rsidRPr="002F20C3">
          <w:rPr>
            <w:rStyle w:val="Hyperlink"/>
            <w:rFonts w:ascii="Times New Roman" w:hAnsi="Times New Roman"/>
            <w:sz w:val="24"/>
            <w:szCs w:val="24"/>
          </w:rPr>
          <w:t>https://www.ncjrs.gov/pdffiles1/Digitization/103277NCJRS.pdf</w:t>
        </w:r>
      </w:hyperlink>
      <w:r>
        <w:rPr>
          <w:rFonts w:ascii="Times New Roman" w:hAnsi="Times New Roman"/>
          <w:sz w:val="24"/>
          <w:szCs w:val="24"/>
        </w:rPr>
        <w:t xml:space="preserve"> </w:t>
      </w:r>
    </w:p>
    <w:p w14:paraId="2BCB2F69" w14:textId="77777777" w:rsidR="009E093C" w:rsidRDefault="009E093C" w:rsidP="00EF1133">
      <w:pPr>
        <w:rPr>
          <w:rFonts w:ascii="Arial Black" w:hAnsi="Arial Black"/>
          <w:b/>
          <w:sz w:val="24"/>
          <w:szCs w:val="24"/>
        </w:rPr>
      </w:pPr>
    </w:p>
    <w:p w14:paraId="2D648636" w14:textId="77777777" w:rsidR="009E093C" w:rsidRDefault="009E093C" w:rsidP="00EF1133">
      <w:pPr>
        <w:rPr>
          <w:rFonts w:ascii="Arial Black" w:hAnsi="Arial Black"/>
          <w:b/>
          <w:sz w:val="24"/>
          <w:szCs w:val="24"/>
        </w:rPr>
      </w:pPr>
    </w:p>
    <w:p w14:paraId="61699EB5" w14:textId="3CFB7D1A" w:rsidR="009E093C" w:rsidRDefault="009E093C" w:rsidP="00EF1133">
      <w:pPr>
        <w:rPr>
          <w:rFonts w:ascii="Arial Black" w:hAnsi="Arial Black"/>
          <w:b/>
          <w:sz w:val="24"/>
          <w:szCs w:val="24"/>
        </w:rPr>
      </w:pPr>
      <w:r>
        <w:rPr>
          <w:rFonts w:ascii="Arial Black" w:hAnsi="Arial Black"/>
          <w:b/>
          <w:sz w:val="24"/>
          <w:szCs w:val="24"/>
        </w:rPr>
        <w:t>6-5</w:t>
      </w:r>
      <w:r w:rsidR="008F02C3">
        <w:rPr>
          <w:rFonts w:ascii="Arial Black" w:hAnsi="Arial Black"/>
          <w:b/>
          <w:sz w:val="24"/>
          <w:szCs w:val="24"/>
        </w:rPr>
        <w:t>5</w:t>
      </w:r>
    </w:p>
    <w:p w14:paraId="7445A0E6" w14:textId="77777777" w:rsidR="009E093C" w:rsidRPr="00DF42AC" w:rsidRDefault="009E093C" w:rsidP="009E093C">
      <w:pPr>
        <w:pStyle w:val="NoSpacing"/>
        <w:rPr>
          <w:rFonts w:ascii="Arial Black" w:hAnsi="Arial Black"/>
          <w:sz w:val="28"/>
          <w:szCs w:val="28"/>
        </w:rPr>
      </w:pPr>
      <w:r>
        <w:rPr>
          <w:rFonts w:ascii="Arial Black" w:hAnsi="Arial Black"/>
          <w:sz w:val="28"/>
          <w:szCs w:val="28"/>
        </w:rPr>
        <w:t xml:space="preserve">NJ: PENSION SURVIVOR BENEFITS – ONLY IF FEMALE WAS MARRIED TO MALE FF OR “SAME SEX DOMESTIC PARTNER” </w:t>
      </w:r>
    </w:p>
    <w:p w14:paraId="2E3A87CC" w14:textId="77777777" w:rsidR="009E093C" w:rsidRDefault="009E093C" w:rsidP="009E093C">
      <w:pPr>
        <w:pStyle w:val="NoSpacing"/>
      </w:pPr>
    </w:p>
    <w:p w14:paraId="16787AD9" w14:textId="77777777" w:rsidR="009E093C" w:rsidRDefault="009E093C" w:rsidP="009E093C">
      <w:pPr>
        <w:rPr>
          <w:rFonts w:ascii="Times New Roman" w:hAnsi="Times New Roman"/>
          <w:sz w:val="24"/>
          <w:szCs w:val="24"/>
        </w:rPr>
      </w:pPr>
      <w:r w:rsidRPr="00D60D8C">
        <w:rPr>
          <w:rFonts w:ascii="Times New Roman" w:hAnsi="Times New Roman"/>
          <w:sz w:val="24"/>
          <w:szCs w:val="24"/>
        </w:rPr>
        <w:t xml:space="preserve">On Nov. 5, 2020, </w:t>
      </w:r>
      <w:r>
        <w:rPr>
          <w:rFonts w:ascii="Times New Roman" w:hAnsi="Times New Roman"/>
          <w:sz w:val="24"/>
          <w:szCs w:val="24"/>
        </w:rPr>
        <w:t xml:space="preserve">in </w:t>
      </w:r>
      <w:r w:rsidRPr="00D60D8C">
        <w:rPr>
          <w:rFonts w:ascii="Times New Roman" w:hAnsi="Times New Roman"/>
          <w:sz w:val="24"/>
          <w:szCs w:val="24"/>
          <w:u w:val="single"/>
        </w:rPr>
        <w:t>The Matter Of Board Of Trustees Of The Police And Firemen’s Retirement System Of New Jersey – Denial Of Dolores Ortega’s Right To Receive Survivor Benefits</w:t>
      </w:r>
      <w:r>
        <w:rPr>
          <w:rFonts w:ascii="Times New Roman" w:hAnsi="Times New Roman"/>
          <w:sz w:val="24"/>
          <w:szCs w:val="24"/>
        </w:rPr>
        <w:t xml:space="preserve">, the Superior Court of New Jersey Appellate Division, held (3 to 0; unpublished decision) that Ms. Ortega did not qualify for survivor benefits because she was not the member’s widow. </w:t>
      </w:r>
    </w:p>
    <w:p w14:paraId="270D933A" w14:textId="77777777" w:rsidR="009E093C" w:rsidRDefault="009E093C" w:rsidP="009E093C">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r w:rsidRPr="00CB3AF5">
        <w:rPr>
          <w:rFonts w:ascii="Times New Roman" w:hAnsi="Times New Roman"/>
          <w:sz w:val="24"/>
          <w:szCs w:val="24"/>
        </w:rPr>
        <w:t xml:space="preserve">Contrary to appellant's contention, the statutory and regulatory scheme did not discriminate against her </w:t>
      </w:r>
      <w:proofErr w:type="gramStart"/>
      <w:r w:rsidRPr="00CB3AF5">
        <w:rPr>
          <w:rFonts w:ascii="Times New Roman" w:hAnsi="Times New Roman"/>
          <w:sz w:val="24"/>
          <w:szCs w:val="24"/>
        </w:rPr>
        <w:t>on the basis of</w:t>
      </w:r>
      <w:proofErr w:type="gramEnd"/>
      <w:r w:rsidRPr="00CB3AF5">
        <w:rPr>
          <w:rFonts w:ascii="Times New Roman" w:hAnsi="Times New Roman"/>
          <w:sz w:val="24"/>
          <w:szCs w:val="24"/>
        </w:rPr>
        <w:t xml:space="preserve"> her gender. Because she and Koncsol were of opposite sexes, they were free to marry, which would have enabled her to qualify for the </w:t>
      </w:r>
      <w:proofErr w:type="gramStart"/>
      <w:r w:rsidRPr="00CB3AF5">
        <w:rPr>
          <w:rFonts w:ascii="Times New Roman" w:hAnsi="Times New Roman"/>
          <w:sz w:val="24"/>
          <w:szCs w:val="24"/>
        </w:rPr>
        <w:t>survivor</w:t>
      </w:r>
      <w:proofErr w:type="gramEnd"/>
      <w:r w:rsidRPr="00CB3AF5">
        <w:rPr>
          <w:rFonts w:ascii="Times New Roman" w:hAnsi="Times New Roman"/>
          <w:sz w:val="24"/>
          <w:szCs w:val="24"/>
        </w:rPr>
        <w:t xml:space="preserve"> benefit. On the other hand, same-sex couples could not marry when the Act went into effect and, therefore, the Legislature wanted to provide a mechanism limited to them in the Act to ensure that these individuals would have the same right to this benefit as an opposite-sex couple. Thus, there was </w:t>
      </w:r>
      <w:r>
        <w:rPr>
          <w:rFonts w:ascii="Times New Roman" w:hAnsi="Times New Roman"/>
          <w:sz w:val="24"/>
          <w:szCs w:val="24"/>
        </w:rPr>
        <w:t>‘</w:t>
      </w:r>
      <w:r w:rsidRPr="00CB3AF5">
        <w:rPr>
          <w:rFonts w:ascii="Times New Roman" w:hAnsi="Times New Roman"/>
          <w:sz w:val="24"/>
          <w:szCs w:val="24"/>
        </w:rPr>
        <w:t xml:space="preserve">a clear and rational </w:t>
      </w:r>
      <w:proofErr w:type="spellStart"/>
      <w:r w:rsidRPr="00CB3AF5">
        <w:rPr>
          <w:rFonts w:ascii="Times New Roman" w:hAnsi="Times New Roman"/>
          <w:sz w:val="24"/>
          <w:szCs w:val="24"/>
        </w:rPr>
        <w:t>basis</w:t>
      </w:r>
      <w:r>
        <w:rPr>
          <w:rFonts w:ascii="Times New Roman" w:hAnsi="Times New Roman"/>
          <w:sz w:val="24"/>
          <w:szCs w:val="24"/>
        </w:rPr>
        <w:t>’</w:t>
      </w:r>
      <w:proofErr w:type="spellEnd"/>
      <w:r w:rsidRPr="00CB3AF5">
        <w:rPr>
          <w:rFonts w:ascii="Times New Roman" w:hAnsi="Times New Roman"/>
          <w:sz w:val="24"/>
          <w:szCs w:val="24"/>
        </w:rPr>
        <w:t xml:space="preserve"> underlying the Legislature's decision to </w:t>
      </w:r>
      <w:r>
        <w:rPr>
          <w:rFonts w:ascii="Times New Roman" w:hAnsi="Times New Roman"/>
          <w:sz w:val="24"/>
          <w:szCs w:val="24"/>
        </w:rPr>
        <w:t>‘</w:t>
      </w:r>
      <w:proofErr w:type="spellStart"/>
      <w:r w:rsidRPr="00CB3AF5">
        <w:rPr>
          <w:rFonts w:ascii="Times New Roman" w:hAnsi="Times New Roman"/>
          <w:sz w:val="24"/>
          <w:szCs w:val="24"/>
        </w:rPr>
        <w:t>mak</w:t>
      </w:r>
      <w:proofErr w:type="spellEnd"/>
      <w:r w:rsidRPr="00CB3AF5">
        <w:rPr>
          <w:rFonts w:ascii="Times New Roman" w:hAnsi="Times New Roman"/>
          <w:sz w:val="24"/>
          <w:szCs w:val="24"/>
        </w:rPr>
        <w:t>[e] certain health and pension benefits available to dependent domestic partners only in the case of domestic partnerships in which both persons are of the same sex . . . .</w:t>
      </w:r>
      <w:r>
        <w:rPr>
          <w:rFonts w:ascii="Times New Roman" w:hAnsi="Times New Roman"/>
          <w:sz w:val="24"/>
          <w:szCs w:val="24"/>
        </w:rPr>
        <w:t>’</w:t>
      </w:r>
      <w:r w:rsidRPr="00CB3AF5">
        <w:rPr>
          <w:rFonts w:ascii="Times New Roman" w:hAnsi="Times New Roman"/>
          <w:sz w:val="24"/>
          <w:szCs w:val="24"/>
        </w:rPr>
        <w:t xml:space="preserve"> N.J.S.A. 26:8A-2(e).</w:t>
      </w:r>
      <w:r>
        <w:rPr>
          <w:rFonts w:ascii="Times New Roman" w:hAnsi="Times New Roman"/>
          <w:sz w:val="24"/>
          <w:szCs w:val="24"/>
        </w:rPr>
        <w:t xml:space="preserve">” </w:t>
      </w:r>
      <w:hyperlink r:id="rId1243" w:history="1">
        <w:r w:rsidRPr="00D35A04">
          <w:rPr>
            <w:rStyle w:val="Hyperlink"/>
            <w:rFonts w:ascii="Times New Roman" w:hAnsi="Times New Roman"/>
            <w:sz w:val="24"/>
            <w:szCs w:val="24"/>
          </w:rPr>
          <w:t>https://public.fastcase.com/Wl%2B2t%2BeVuI35%2FN70vAMFZvIVF%2BSpwi61gSoehD%2F89NWJSNvj394DBr50iS5GXrLH</w:t>
        </w:r>
      </w:hyperlink>
      <w:r>
        <w:rPr>
          <w:rFonts w:ascii="Times New Roman" w:hAnsi="Times New Roman"/>
          <w:sz w:val="24"/>
          <w:szCs w:val="24"/>
        </w:rPr>
        <w:t xml:space="preserve"> </w:t>
      </w:r>
    </w:p>
    <w:p w14:paraId="5D24A226" w14:textId="77777777" w:rsidR="009E093C" w:rsidRPr="00DF42AC" w:rsidRDefault="009E093C" w:rsidP="009E093C">
      <w:pPr>
        <w:spacing w:before="100" w:beforeAutospacing="1" w:after="100" w:afterAutospacing="1" w:line="240" w:lineRule="auto"/>
        <w:rPr>
          <w:rFonts w:ascii="Times New Roman" w:eastAsia="Times New Roman" w:hAnsi="Times New Roman"/>
          <w:b/>
          <w:bCs/>
          <w:sz w:val="24"/>
          <w:szCs w:val="24"/>
        </w:rPr>
      </w:pPr>
      <w:r w:rsidRPr="00CB3AF5">
        <w:rPr>
          <w:rFonts w:ascii="Times New Roman" w:hAnsi="Times New Roman"/>
          <w:b/>
          <w:bCs/>
          <w:sz w:val="24"/>
          <w:szCs w:val="24"/>
        </w:rPr>
        <w:t>Legal Lesson Learned:</w:t>
      </w:r>
      <w:r>
        <w:rPr>
          <w:rFonts w:ascii="Times New Roman" w:hAnsi="Times New Roman"/>
          <w:b/>
          <w:bCs/>
          <w:sz w:val="24"/>
          <w:szCs w:val="24"/>
        </w:rPr>
        <w:t xml:space="preserve">  It would have been helpful if the state retirement Board had promptly notified the </w:t>
      </w:r>
      <w:proofErr w:type="gramStart"/>
      <w:r>
        <w:rPr>
          <w:rFonts w:ascii="Times New Roman" w:hAnsi="Times New Roman"/>
          <w:b/>
          <w:bCs/>
          <w:sz w:val="24"/>
          <w:szCs w:val="24"/>
        </w:rPr>
        <w:t>firefighter,</w:t>
      </w:r>
      <w:proofErr w:type="gramEnd"/>
      <w:r>
        <w:rPr>
          <w:rFonts w:ascii="Times New Roman" w:hAnsi="Times New Roman"/>
          <w:b/>
          <w:bCs/>
          <w:sz w:val="24"/>
          <w:szCs w:val="24"/>
        </w:rPr>
        <w:t xml:space="preserve"> when he submitted his change of beneficiary, that he had to marry Dolores Ortega. </w:t>
      </w:r>
    </w:p>
    <w:p w14:paraId="3EED1EFF" w14:textId="77777777" w:rsidR="009E093C" w:rsidRDefault="009E093C" w:rsidP="00EF1133">
      <w:pPr>
        <w:rPr>
          <w:rFonts w:ascii="Arial Black" w:hAnsi="Arial Black"/>
          <w:b/>
          <w:sz w:val="24"/>
          <w:szCs w:val="24"/>
        </w:rPr>
      </w:pPr>
    </w:p>
    <w:p w14:paraId="67E054B3" w14:textId="77777777" w:rsidR="009E093C" w:rsidRDefault="009E093C" w:rsidP="00EF1133">
      <w:pPr>
        <w:rPr>
          <w:rFonts w:ascii="Arial Black" w:hAnsi="Arial Black"/>
          <w:b/>
          <w:sz w:val="24"/>
          <w:szCs w:val="24"/>
        </w:rPr>
      </w:pPr>
    </w:p>
    <w:p w14:paraId="7B22431A" w14:textId="77777777" w:rsidR="00B03268" w:rsidRDefault="00B03268" w:rsidP="00EF1133">
      <w:pPr>
        <w:rPr>
          <w:rFonts w:ascii="Arial Black" w:hAnsi="Arial Black"/>
          <w:b/>
          <w:sz w:val="24"/>
          <w:szCs w:val="24"/>
        </w:rPr>
      </w:pPr>
    </w:p>
    <w:p w14:paraId="56ABCC56" w14:textId="61240802" w:rsidR="009E093C" w:rsidRDefault="009E093C" w:rsidP="00EF1133">
      <w:pPr>
        <w:rPr>
          <w:rFonts w:ascii="Arial Black" w:hAnsi="Arial Black"/>
          <w:b/>
          <w:sz w:val="24"/>
          <w:szCs w:val="24"/>
        </w:rPr>
      </w:pPr>
      <w:r>
        <w:rPr>
          <w:rFonts w:ascii="Arial Black" w:hAnsi="Arial Black"/>
          <w:b/>
          <w:sz w:val="24"/>
          <w:szCs w:val="24"/>
        </w:rPr>
        <w:t>6-5</w:t>
      </w:r>
      <w:r w:rsidR="008F02C3">
        <w:rPr>
          <w:rFonts w:ascii="Arial Black" w:hAnsi="Arial Black"/>
          <w:b/>
          <w:sz w:val="24"/>
          <w:szCs w:val="24"/>
        </w:rPr>
        <w:t>4</w:t>
      </w:r>
    </w:p>
    <w:p w14:paraId="0EA378CC" w14:textId="77777777" w:rsidR="009E093C" w:rsidRDefault="009E093C" w:rsidP="009E093C">
      <w:pPr>
        <w:pStyle w:val="NoSpacing"/>
        <w:rPr>
          <w:rFonts w:ascii="Arial Black" w:hAnsi="Arial Black"/>
          <w:sz w:val="28"/>
          <w:szCs w:val="28"/>
        </w:rPr>
      </w:pPr>
      <w:r>
        <w:rPr>
          <w:rFonts w:ascii="Arial Black" w:hAnsi="Arial Black"/>
          <w:sz w:val="28"/>
          <w:szCs w:val="28"/>
        </w:rPr>
        <w:t xml:space="preserve">DE:  WHISTLEBLOWER CASE DISMISSED – FIRE CHIEF CONVICTED, TO PRISON, BUT MONEY STOLEN NOT CITY FUNDS </w:t>
      </w:r>
    </w:p>
    <w:p w14:paraId="305DF530" w14:textId="77777777" w:rsidR="009E093C" w:rsidRDefault="009E093C" w:rsidP="009E093C">
      <w:pPr>
        <w:pStyle w:val="NoSpacing"/>
        <w:rPr>
          <w:rFonts w:ascii="Times New Roman" w:hAnsi="Times New Roman"/>
          <w:sz w:val="24"/>
          <w:szCs w:val="24"/>
        </w:rPr>
      </w:pPr>
    </w:p>
    <w:p w14:paraId="1F940C6E" w14:textId="77777777" w:rsidR="009E093C" w:rsidRPr="00BF6BAF" w:rsidRDefault="009E093C" w:rsidP="009E093C">
      <w:pPr>
        <w:pStyle w:val="NoSpacing"/>
        <w:rPr>
          <w:rFonts w:ascii="Times New Roman" w:hAnsi="Times New Roman"/>
          <w:sz w:val="24"/>
          <w:szCs w:val="24"/>
        </w:rPr>
      </w:pPr>
      <w:r w:rsidRPr="00BF6BAF">
        <w:rPr>
          <w:rFonts w:ascii="Times New Roman" w:hAnsi="Times New Roman"/>
          <w:sz w:val="24"/>
          <w:szCs w:val="24"/>
        </w:rPr>
        <w:t xml:space="preserve">On Oct. 29, 2020, in </w:t>
      </w:r>
      <w:r w:rsidRPr="00BF6BAF">
        <w:rPr>
          <w:rFonts w:ascii="Times New Roman" w:hAnsi="Times New Roman"/>
          <w:sz w:val="24"/>
          <w:szCs w:val="24"/>
          <w:u w:val="single"/>
        </w:rPr>
        <w:t>Thomas Hayman, Jr. v. City of Willington, et al</w:t>
      </w:r>
      <w:r w:rsidRPr="00BF6BAF">
        <w:rPr>
          <w:rFonts w:ascii="Times New Roman" w:hAnsi="Times New Roman"/>
          <w:sz w:val="24"/>
          <w:szCs w:val="24"/>
        </w:rPr>
        <w:t>., U.S. District Court Judge Vivian L. Medinilla granted the City’s motion to dismiss</w:t>
      </w:r>
      <w:r>
        <w:rPr>
          <w:rFonts w:ascii="Times New Roman" w:hAnsi="Times New Roman"/>
          <w:sz w:val="24"/>
          <w:szCs w:val="24"/>
        </w:rPr>
        <w:t xml:space="preserve"> federal Whistleblower lawsuit for his termination for alleged retaliation</w:t>
      </w:r>
      <w:r w:rsidRPr="00BF6BAF">
        <w:rPr>
          <w:rFonts w:ascii="Times New Roman" w:hAnsi="Times New Roman"/>
          <w:sz w:val="24"/>
          <w:szCs w:val="24"/>
        </w:rPr>
        <w:t xml:space="preserve">, since the theft of money by the Fire Chief was not from the </w:t>
      </w:r>
      <w:proofErr w:type="gramStart"/>
      <w:r w:rsidRPr="00BF6BAF">
        <w:rPr>
          <w:rFonts w:ascii="Times New Roman" w:hAnsi="Times New Roman"/>
          <w:sz w:val="24"/>
          <w:szCs w:val="24"/>
        </w:rPr>
        <w:t>City</w:t>
      </w:r>
      <w:proofErr w:type="gramEnd"/>
      <w:r>
        <w:rPr>
          <w:rFonts w:ascii="Times New Roman" w:hAnsi="Times New Roman"/>
          <w:sz w:val="24"/>
          <w:szCs w:val="24"/>
        </w:rPr>
        <w:t xml:space="preserve">.  The money </w:t>
      </w:r>
      <w:r w:rsidRPr="00BF6BAF">
        <w:rPr>
          <w:rFonts w:ascii="Times New Roman" w:hAnsi="Times New Roman"/>
          <w:sz w:val="24"/>
          <w:szCs w:val="24"/>
        </w:rPr>
        <w:t xml:space="preserve">was from “Gallant Blazers Organization,” where </w:t>
      </w:r>
      <w:r>
        <w:rPr>
          <w:rFonts w:ascii="Times New Roman" w:hAnsi="Times New Roman"/>
          <w:sz w:val="24"/>
          <w:szCs w:val="24"/>
        </w:rPr>
        <w:t xml:space="preserve">Fire Chief </w:t>
      </w:r>
      <w:r w:rsidRPr="00BF6BAF">
        <w:rPr>
          <w:rFonts w:ascii="Times New Roman" w:hAnsi="Times New Roman"/>
          <w:sz w:val="24"/>
          <w:szCs w:val="24"/>
        </w:rPr>
        <w:t xml:space="preserve">was President of this professional development group that helped minority firefighters in Wilmington.  See April 26, </w:t>
      </w:r>
      <w:proofErr w:type="gramStart"/>
      <w:r w:rsidRPr="00BF6BAF">
        <w:rPr>
          <w:rFonts w:ascii="Times New Roman" w:hAnsi="Times New Roman"/>
          <w:sz w:val="24"/>
          <w:szCs w:val="24"/>
        </w:rPr>
        <w:t>2019</w:t>
      </w:r>
      <w:proofErr w:type="gramEnd"/>
      <w:r w:rsidRPr="00BF6BAF">
        <w:rPr>
          <w:rFonts w:ascii="Times New Roman" w:hAnsi="Times New Roman"/>
          <w:sz w:val="24"/>
          <w:szCs w:val="24"/>
        </w:rPr>
        <w:t xml:space="preserve"> article: “Former Wilmington fire Chief Anthony Goode gets prison time for theft.” </w:t>
      </w:r>
      <w:hyperlink r:id="rId1244" w:history="1">
        <w:r w:rsidRPr="00BF6BAF">
          <w:rPr>
            <w:rStyle w:val="Hyperlink"/>
            <w:rFonts w:ascii="Times New Roman" w:hAnsi="Times New Roman"/>
            <w:sz w:val="24"/>
            <w:szCs w:val="24"/>
          </w:rPr>
          <w:t>https://www.delawareonline.com/story/news/2019/04/26/former-wilmington-fire-chief-gets-prison-time-theft/3588123002/</w:t>
        </w:r>
      </w:hyperlink>
      <w:r w:rsidRPr="00BF6BAF">
        <w:rPr>
          <w:rFonts w:ascii="Times New Roman" w:hAnsi="Times New Roman"/>
          <w:sz w:val="24"/>
          <w:szCs w:val="24"/>
        </w:rPr>
        <w:t xml:space="preserve"> </w:t>
      </w:r>
    </w:p>
    <w:p w14:paraId="0DAD9136" w14:textId="77777777" w:rsidR="009E093C" w:rsidRDefault="009E093C" w:rsidP="009E093C">
      <w:pPr>
        <w:pStyle w:val="NoSpacing"/>
        <w:rPr>
          <w:rFonts w:ascii="Times New Roman" w:hAnsi="Times New Roman"/>
          <w:sz w:val="24"/>
          <w:szCs w:val="24"/>
        </w:rPr>
      </w:pPr>
    </w:p>
    <w:p w14:paraId="56A86F66" w14:textId="77777777" w:rsidR="009E093C" w:rsidRDefault="009E093C" w:rsidP="009E093C">
      <w:pPr>
        <w:ind w:left="720"/>
        <w:rPr>
          <w:rFonts w:ascii="Times New Roman" w:hAnsi="Times New Roman"/>
          <w:sz w:val="24"/>
          <w:szCs w:val="24"/>
        </w:rPr>
      </w:pPr>
      <w:r>
        <w:rPr>
          <w:rFonts w:ascii="Times New Roman" w:hAnsi="Times New Roman"/>
          <w:sz w:val="24"/>
          <w:szCs w:val="24"/>
        </w:rPr>
        <w:t>“</w:t>
      </w:r>
      <w:r w:rsidRPr="001A3F57">
        <w:rPr>
          <w:rFonts w:ascii="Times New Roman" w:hAnsi="Times New Roman"/>
          <w:sz w:val="24"/>
          <w:szCs w:val="24"/>
        </w:rPr>
        <w:t xml:space="preserve">Accordingly, to state a claim under the Whistleblower Protection Act, Plaintiff must show that any alleged retaliation was for reporting: (1) a violation of financial management or accounting standards; (2) that the violation was related to funds or assets under the control of his </w:t>
      </w:r>
      <w:proofErr w:type="spellStart"/>
      <w:r w:rsidRPr="001A3F57">
        <w:rPr>
          <w:rFonts w:ascii="Times New Roman" w:hAnsi="Times New Roman"/>
          <w:sz w:val="24"/>
          <w:szCs w:val="24"/>
        </w:rPr>
        <w:t>employer;</w:t>
      </w:r>
      <w:bookmarkStart w:id="238" w:name="fn19"/>
      <w:r w:rsidRPr="001A3F57">
        <w:rPr>
          <w:rFonts w:ascii="Times New Roman" w:hAnsi="Times New Roman"/>
          <w:sz w:val="24"/>
          <w:szCs w:val="24"/>
          <w:vertAlign w:val="superscript"/>
        </w:rPr>
        <w:fldChar w:fldCharType="begin"/>
      </w:r>
      <w:r w:rsidRPr="001A3F57">
        <w:rPr>
          <w:rFonts w:ascii="Times New Roman" w:hAnsi="Times New Roman"/>
          <w:sz w:val="24"/>
          <w:szCs w:val="24"/>
          <w:vertAlign w:val="superscript"/>
        </w:rPr>
        <w:instrText xml:space="preserve"> HYPERLINK "https://public.fastcase.com/" \l "fr19" </w:instrText>
      </w:r>
      <w:r w:rsidRPr="001A3F57">
        <w:rPr>
          <w:rFonts w:ascii="Times New Roman" w:hAnsi="Times New Roman"/>
          <w:sz w:val="24"/>
          <w:szCs w:val="24"/>
          <w:vertAlign w:val="superscript"/>
        </w:rPr>
      </w:r>
      <w:r w:rsidRPr="001A3F57">
        <w:rPr>
          <w:rFonts w:ascii="Times New Roman" w:hAnsi="Times New Roman"/>
          <w:sz w:val="24"/>
          <w:szCs w:val="24"/>
          <w:vertAlign w:val="superscript"/>
        </w:rPr>
        <w:fldChar w:fldCharType="separate"/>
      </w:r>
      <w:r w:rsidR="00814FB6">
        <w:rPr>
          <w:rStyle w:val="Hyperlink"/>
        </w:rPr>
        <w:t>https</w:t>
      </w:r>
      <w:proofErr w:type="spellEnd"/>
      <w:r w:rsidR="00814FB6">
        <w:rPr>
          <w:rStyle w:val="Hyperlink"/>
        </w:rPr>
        <w:t>://public.fastcase.com/ - fr19</w:t>
      </w:r>
      <w:r w:rsidRPr="001A3F57">
        <w:rPr>
          <w:rFonts w:ascii="Times New Roman" w:hAnsi="Times New Roman"/>
          <w:sz w:val="24"/>
          <w:szCs w:val="24"/>
          <w:vertAlign w:val="superscript"/>
        </w:rPr>
        <w:fldChar w:fldCharType="end"/>
      </w:r>
      <w:bookmarkEnd w:id="238"/>
      <w:r>
        <w:rPr>
          <w:rFonts w:ascii="Times New Roman" w:hAnsi="Times New Roman"/>
          <w:sz w:val="24"/>
          <w:szCs w:val="24"/>
          <w:vertAlign w:val="superscript"/>
        </w:rPr>
        <w:t xml:space="preserve"> </w:t>
      </w:r>
      <w:r w:rsidRPr="001A3F57">
        <w:rPr>
          <w:rFonts w:ascii="Times New Roman" w:hAnsi="Times New Roman"/>
          <w:sz w:val="24"/>
          <w:szCs w:val="24"/>
        </w:rPr>
        <w:t xml:space="preserve">and (3) that the violation was due to an act or omission of his employer or an agent </w:t>
      </w:r>
      <w:proofErr w:type="spellStart"/>
      <w:r w:rsidRPr="001A3F57">
        <w:rPr>
          <w:rFonts w:ascii="Times New Roman" w:hAnsi="Times New Roman"/>
          <w:sz w:val="24"/>
          <w:szCs w:val="24"/>
        </w:rPr>
        <w:t>thereof.</w:t>
      </w:r>
      <w:bookmarkStart w:id="239" w:name="fn20"/>
      <w:r w:rsidRPr="001A3F57">
        <w:rPr>
          <w:rFonts w:ascii="Times New Roman" w:hAnsi="Times New Roman"/>
          <w:sz w:val="24"/>
          <w:szCs w:val="24"/>
          <w:vertAlign w:val="superscript"/>
        </w:rPr>
        <w:fldChar w:fldCharType="begin"/>
      </w:r>
      <w:r w:rsidRPr="001A3F57">
        <w:rPr>
          <w:rFonts w:ascii="Times New Roman" w:hAnsi="Times New Roman"/>
          <w:sz w:val="24"/>
          <w:szCs w:val="24"/>
          <w:vertAlign w:val="superscript"/>
        </w:rPr>
        <w:instrText xml:space="preserve"> HYPERLINK "https://public.fastcase.com/" \l "fr20" </w:instrText>
      </w:r>
      <w:r w:rsidRPr="001A3F57">
        <w:rPr>
          <w:rFonts w:ascii="Times New Roman" w:hAnsi="Times New Roman"/>
          <w:sz w:val="24"/>
          <w:szCs w:val="24"/>
          <w:vertAlign w:val="superscript"/>
        </w:rPr>
      </w:r>
      <w:r w:rsidRPr="001A3F57">
        <w:rPr>
          <w:rFonts w:ascii="Times New Roman" w:hAnsi="Times New Roman"/>
          <w:sz w:val="24"/>
          <w:szCs w:val="24"/>
          <w:vertAlign w:val="superscript"/>
        </w:rPr>
        <w:fldChar w:fldCharType="separate"/>
      </w:r>
      <w:r w:rsidR="00814FB6">
        <w:rPr>
          <w:rStyle w:val="Hyperlink"/>
        </w:rPr>
        <w:t>https</w:t>
      </w:r>
      <w:proofErr w:type="spellEnd"/>
      <w:r w:rsidR="00814FB6">
        <w:rPr>
          <w:rStyle w:val="Hyperlink"/>
        </w:rPr>
        <w:t>://public.fastcase.com/ - fr20</w:t>
      </w:r>
      <w:r w:rsidRPr="001A3F57">
        <w:rPr>
          <w:rFonts w:ascii="Times New Roman" w:hAnsi="Times New Roman"/>
          <w:sz w:val="24"/>
          <w:szCs w:val="24"/>
          <w:vertAlign w:val="superscript"/>
        </w:rPr>
        <w:fldChar w:fldCharType="end"/>
      </w:r>
      <w:bookmarkEnd w:id="239"/>
      <w:r>
        <w:rPr>
          <w:rFonts w:ascii="Times New Roman" w:hAnsi="Times New Roman"/>
          <w:sz w:val="24"/>
          <w:szCs w:val="24"/>
          <w:vertAlign w:val="superscript"/>
        </w:rPr>
        <w:t xml:space="preserve"> </w:t>
      </w:r>
      <w:r w:rsidRPr="001A3F57">
        <w:rPr>
          <w:rFonts w:ascii="Times New Roman" w:hAnsi="Times New Roman"/>
          <w:sz w:val="24"/>
          <w:szCs w:val="24"/>
        </w:rPr>
        <w:t>Plaintiff fails to satisfy prongs two and three.</w:t>
      </w:r>
    </w:p>
    <w:p w14:paraId="16C69165" w14:textId="77777777" w:rsidR="009E093C" w:rsidRDefault="009E093C" w:rsidP="009E093C">
      <w:pPr>
        <w:ind w:left="720"/>
        <w:rPr>
          <w:rFonts w:ascii="Times New Roman" w:hAnsi="Times New Roman"/>
          <w:sz w:val="24"/>
          <w:szCs w:val="24"/>
        </w:rPr>
      </w:pPr>
      <w:r>
        <w:rPr>
          <w:rFonts w:ascii="Times New Roman" w:hAnsi="Times New Roman"/>
          <w:sz w:val="24"/>
          <w:szCs w:val="24"/>
        </w:rPr>
        <w:t>***</w:t>
      </w:r>
    </w:p>
    <w:p w14:paraId="5AC49466" w14:textId="77777777" w:rsidR="009E093C" w:rsidRDefault="009E093C" w:rsidP="009E093C">
      <w:pPr>
        <w:pStyle w:val="NoSpacing"/>
        <w:ind w:left="720"/>
        <w:rPr>
          <w:rFonts w:ascii="Times New Roman" w:hAnsi="Times New Roman"/>
          <w:sz w:val="24"/>
          <w:szCs w:val="24"/>
        </w:rPr>
      </w:pPr>
      <w:r w:rsidRPr="001A3F57">
        <w:rPr>
          <w:rFonts w:ascii="Times New Roman" w:hAnsi="Times New Roman"/>
          <w:sz w:val="24"/>
          <w:szCs w:val="24"/>
        </w:rPr>
        <w:t xml:space="preserve">Following an investigation, public records </w:t>
      </w:r>
      <w:proofErr w:type="gramStart"/>
      <w:r w:rsidRPr="001A3F57">
        <w:rPr>
          <w:rFonts w:ascii="Times New Roman" w:hAnsi="Times New Roman"/>
          <w:sz w:val="24"/>
          <w:szCs w:val="24"/>
        </w:rPr>
        <w:t>reflect</w:t>
      </w:r>
      <w:proofErr w:type="gramEnd"/>
      <w:r w:rsidRPr="001A3F57">
        <w:rPr>
          <w:rFonts w:ascii="Times New Roman" w:hAnsi="Times New Roman"/>
          <w:sz w:val="24"/>
          <w:szCs w:val="24"/>
        </w:rPr>
        <w:t xml:space="preserve"> that the DOJ brought criminal charges including criminal racketeering and theft against Goode, who subsequently pled guilty to theft of $50,000 or more and unlawful use of a payment card. In 2019, he was sentenced to one year in prison followed by a period of probation</w:t>
      </w:r>
      <w:r>
        <w:rPr>
          <w:rFonts w:ascii="Times New Roman" w:hAnsi="Times New Roman"/>
          <w:sz w:val="24"/>
          <w:szCs w:val="24"/>
        </w:rPr>
        <w:t xml:space="preserve"> </w:t>
      </w:r>
      <w:r w:rsidRPr="001A3F57">
        <w:rPr>
          <w:rFonts w:ascii="Times New Roman" w:hAnsi="Times New Roman"/>
          <w:sz w:val="24"/>
          <w:szCs w:val="24"/>
        </w:rPr>
        <w:t xml:space="preserve">and </w:t>
      </w:r>
      <w:proofErr w:type="gramStart"/>
      <w:r w:rsidRPr="001A3F57">
        <w:rPr>
          <w:rFonts w:ascii="Times New Roman" w:hAnsi="Times New Roman"/>
          <w:sz w:val="24"/>
          <w:szCs w:val="24"/>
        </w:rPr>
        <w:t>repay</w:t>
      </w:r>
      <w:proofErr w:type="gramEnd"/>
      <w:r w:rsidRPr="001A3F57">
        <w:rPr>
          <w:rFonts w:ascii="Times New Roman" w:hAnsi="Times New Roman"/>
          <w:sz w:val="24"/>
          <w:szCs w:val="24"/>
        </w:rPr>
        <w:t xml:space="preserve"> the Gallant Blazers more than $</w:t>
      </w:r>
      <w:proofErr w:type="gramStart"/>
      <w:r w:rsidRPr="001A3F57">
        <w:rPr>
          <w:rFonts w:ascii="Times New Roman" w:hAnsi="Times New Roman"/>
          <w:sz w:val="24"/>
          <w:szCs w:val="24"/>
        </w:rPr>
        <w:t>62,000.</w:t>
      </w:r>
      <w:r>
        <w:rPr>
          <w:rFonts w:ascii="Times New Roman" w:hAnsi="Times New Roman"/>
          <w:sz w:val="24"/>
          <w:szCs w:val="24"/>
        </w:rPr>
        <w:t>”</w:t>
      </w:r>
      <w:proofErr w:type="gramEnd"/>
      <w:r>
        <w:rPr>
          <w:rFonts w:ascii="Times New Roman" w:hAnsi="Times New Roman"/>
          <w:sz w:val="24"/>
          <w:szCs w:val="24"/>
        </w:rPr>
        <w:t xml:space="preserve">  [Footnote 3.]</w:t>
      </w:r>
    </w:p>
    <w:p w14:paraId="427DFC8C" w14:textId="77777777" w:rsidR="009E093C" w:rsidRPr="001A3F57" w:rsidRDefault="009E093C" w:rsidP="009E093C">
      <w:pPr>
        <w:pStyle w:val="NoSpacing"/>
        <w:ind w:left="720"/>
        <w:rPr>
          <w:rFonts w:ascii="Times New Roman" w:hAnsi="Times New Roman"/>
          <w:sz w:val="24"/>
          <w:szCs w:val="24"/>
        </w:rPr>
      </w:pPr>
      <w:hyperlink r:id="rId1245" w:history="1">
        <w:r w:rsidRPr="00BA14DC">
          <w:rPr>
            <w:rStyle w:val="Hyperlink"/>
            <w:rFonts w:ascii="Times New Roman" w:hAnsi="Times New Roman"/>
            <w:sz w:val="24"/>
            <w:szCs w:val="24"/>
          </w:rPr>
          <w:t>https://casetext.com/case/hayman-v-city-of-wilmington</w:t>
        </w:r>
      </w:hyperlink>
      <w:r>
        <w:rPr>
          <w:rFonts w:ascii="Times New Roman" w:hAnsi="Times New Roman"/>
          <w:sz w:val="24"/>
          <w:szCs w:val="24"/>
        </w:rPr>
        <w:t xml:space="preserve"> </w:t>
      </w:r>
    </w:p>
    <w:p w14:paraId="764E6B7C" w14:textId="77777777" w:rsidR="009E093C" w:rsidRPr="00500FB1" w:rsidRDefault="009E093C" w:rsidP="009E093C">
      <w:pPr>
        <w:pStyle w:val="NoSpacing"/>
        <w:tabs>
          <w:tab w:val="left" w:pos="7640"/>
        </w:tabs>
        <w:rPr>
          <w:rFonts w:ascii="Times New Roman" w:hAnsi="Times New Roman"/>
          <w:sz w:val="24"/>
          <w:szCs w:val="24"/>
        </w:rPr>
      </w:pPr>
    </w:p>
    <w:p w14:paraId="55985BD9" w14:textId="77777777" w:rsidR="009E093C" w:rsidRDefault="009E093C" w:rsidP="009E093C">
      <w:pPr>
        <w:pStyle w:val="Heading1"/>
        <w:rPr>
          <w:b w:val="0"/>
          <w:bCs w:val="0"/>
          <w:sz w:val="24"/>
          <w:szCs w:val="24"/>
        </w:rPr>
      </w:pPr>
      <w:r w:rsidRPr="00885D66">
        <w:rPr>
          <w:sz w:val="24"/>
          <w:szCs w:val="24"/>
        </w:rPr>
        <w:t>Legal Lesson Learned: It is unfortunate that the firefighter did not retain legal counsel.</w:t>
      </w:r>
      <w:r w:rsidRPr="00885D66">
        <w:rPr>
          <w:b w:val="0"/>
          <w:bCs w:val="0"/>
          <w:sz w:val="24"/>
          <w:szCs w:val="24"/>
        </w:rPr>
        <w:t xml:space="preserve">  </w:t>
      </w:r>
    </w:p>
    <w:p w14:paraId="51088426" w14:textId="77777777" w:rsidR="009E093C" w:rsidRPr="007668F4" w:rsidRDefault="009E093C" w:rsidP="009E093C">
      <w:pPr>
        <w:pStyle w:val="Heading1"/>
        <w:ind w:left="720"/>
        <w:rPr>
          <w:b w:val="0"/>
          <w:bCs w:val="0"/>
          <w:sz w:val="24"/>
          <w:szCs w:val="24"/>
        </w:rPr>
      </w:pPr>
      <w:r>
        <w:rPr>
          <w:b w:val="0"/>
          <w:bCs w:val="0"/>
          <w:sz w:val="24"/>
          <w:szCs w:val="24"/>
        </w:rPr>
        <w:t xml:space="preserve">Note: </w:t>
      </w:r>
      <w:r w:rsidRPr="00885D66">
        <w:rPr>
          <w:b w:val="0"/>
          <w:bCs w:val="0"/>
          <w:sz w:val="24"/>
          <w:szCs w:val="24"/>
        </w:rPr>
        <w:t xml:space="preserve">If there were any federal funds involved in the theft, </w:t>
      </w:r>
      <w:r>
        <w:rPr>
          <w:b w:val="0"/>
          <w:bCs w:val="0"/>
          <w:sz w:val="24"/>
          <w:szCs w:val="24"/>
        </w:rPr>
        <w:t xml:space="preserve">plaintiff </w:t>
      </w:r>
      <w:r w:rsidRPr="00885D66">
        <w:rPr>
          <w:b w:val="0"/>
          <w:bCs w:val="0"/>
          <w:sz w:val="24"/>
          <w:szCs w:val="24"/>
        </w:rPr>
        <w:t>could have filed a civil whistleblower claim under seal</w:t>
      </w:r>
      <w:r>
        <w:rPr>
          <w:b w:val="0"/>
          <w:bCs w:val="0"/>
          <w:sz w:val="24"/>
          <w:szCs w:val="24"/>
        </w:rPr>
        <w:t xml:space="preserve">, and then </w:t>
      </w:r>
      <w:r w:rsidRPr="00885D66">
        <w:rPr>
          <w:b w:val="0"/>
          <w:bCs w:val="0"/>
          <w:sz w:val="24"/>
          <w:szCs w:val="24"/>
        </w:rPr>
        <w:t>U.S. Attorney’s Office in Delaware</w:t>
      </w:r>
      <w:r>
        <w:rPr>
          <w:b w:val="0"/>
          <w:bCs w:val="0"/>
          <w:sz w:val="24"/>
          <w:szCs w:val="24"/>
        </w:rPr>
        <w:t xml:space="preserve"> and FBI could help  pursue his civil action. </w:t>
      </w:r>
      <w:r w:rsidRPr="00885D66">
        <w:rPr>
          <w:b w:val="0"/>
          <w:bCs w:val="0"/>
          <w:sz w:val="24"/>
          <w:szCs w:val="24"/>
        </w:rPr>
        <w:t xml:space="preserve"> </w:t>
      </w:r>
      <w:r>
        <w:rPr>
          <w:b w:val="0"/>
          <w:bCs w:val="0"/>
          <w:sz w:val="24"/>
          <w:szCs w:val="24"/>
        </w:rPr>
        <w:t>“</w:t>
      </w:r>
      <w:r w:rsidRPr="00C03B09">
        <w:rPr>
          <w:b w:val="0"/>
          <w:bCs w:val="0"/>
          <w:sz w:val="24"/>
          <w:szCs w:val="24"/>
        </w:rPr>
        <w:t>In FY2019, qui tam whistleblowers received $272 million in rewards</w:t>
      </w:r>
      <w:r>
        <w:rPr>
          <w:b w:val="0"/>
          <w:bCs w:val="0"/>
          <w:sz w:val="24"/>
          <w:szCs w:val="24"/>
        </w:rPr>
        <w:t>.”</w:t>
      </w:r>
      <w:r w:rsidRPr="00C03B09">
        <w:t xml:space="preserve"> </w:t>
      </w:r>
      <w:r w:rsidRPr="00C03B09">
        <w:rPr>
          <w:i/>
          <w:iCs/>
          <w:sz w:val="24"/>
          <w:szCs w:val="24"/>
        </w:rPr>
        <w:t>Department of Justice Report Shows Whistleblowers Consistently Rewarded through Qui Tam Lawsuits</w:t>
      </w:r>
      <w:r>
        <w:rPr>
          <w:i/>
          <w:iCs/>
          <w:sz w:val="24"/>
          <w:szCs w:val="24"/>
        </w:rPr>
        <w:t xml:space="preserve">. </w:t>
      </w:r>
      <w:hyperlink r:id="rId1246" w:history="1">
        <w:r w:rsidRPr="007668F4">
          <w:rPr>
            <w:rStyle w:val="Hyperlink"/>
            <w:b w:val="0"/>
            <w:bCs w:val="0"/>
            <w:sz w:val="24"/>
            <w:szCs w:val="24"/>
          </w:rPr>
          <w:t>https://www.natlawreview.com/article/department-justice-report-shows-whistleblowers-consistently-rewarded-through-qui-tam</w:t>
        </w:r>
      </w:hyperlink>
      <w:r w:rsidRPr="007668F4">
        <w:rPr>
          <w:b w:val="0"/>
          <w:bCs w:val="0"/>
          <w:sz w:val="24"/>
          <w:szCs w:val="24"/>
        </w:rPr>
        <w:t xml:space="preserve"> </w:t>
      </w:r>
    </w:p>
    <w:p w14:paraId="4EC28A5C" w14:textId="77777777" w:rsidR="009E093C" w:rsidRDefault="009E093C" w:rsidP="009E093C">
      <w:pPr>
        <w:pStyle w:val="Heading1"/>
        <w:ind w:left="1440" w:hanging="720"/>
        <w:rPr>
          <w:b w:val="0"/>
          <w:bCs w:val="0"/>
          <w:sz w:val="24"/>
          <w:szCs w:val="24"/>
        </w:rPr>
      </w:pPr>
      <w:r>
        <w:rPr>
          <w:b w:val="0"/>
          <w:bCs w:val="0"/>
          <w:sz w:val="24"/>
          <w:szCs w:val="24"/>
        </w:rPr>
        <w:t xml:space="preserve">The State of Delaware also has a whistleblower protection statute. It provides, in part:  </w:t>
      </w:r>
    </w:p>
    <w:p w14:paraId="1842BC1F" w14:textId="77777777" w:rsidR="009E093C" w:rsidRPr="007668F4" w:rsidRDefault="009E093C" w:rsidP="009E093C">
      <w:pPr>
        <w:pStyle w:val="Heading1"/>
        <w:ind w:left="1440"/>
        <w:rPr>
          <w:b w:val="0"/>
          <w:bCs w:val="0"/>
          <w:sz w:val="24"/>
          <w:szCs w:val="24"/>
        </w:rPr>
      </w:pPr>
      <w:r>
        <w:rPr>
          <w:b w:val="0"/>
          <w:bCs w:val="0"/>
          <w:sz w:val="24"/>
          <w:szCs w:val="24"/>
        </w:rPr>
        <w:t>“</w:t>
      </w:r>
      <w:r w:rsidRPr="00C03B09">
        <w:rPr>
          <w:b w:val="0"/>
          <w:bCs w:val="0"/>
          <w:sz w:val="24"/>
          <w:szCs w:val="24"/>
        </w:rPr>
        <w:t>A court, in rendering a judgment in an action brought under this chapter, shall order, as the court considers appropriate, reinstatement of the employee, the payment of back wages, full reinstatement of fringe benefits and seniority rights, expungement of records relating to the disciplinary action or discharge, actual damages, or any combination of these remedies. A court may also award, as part of a judgment in an action brought under this chapter, all or a portion of the costs of litigation, including attorneys’ fees, if the court determines that such an award is appropriate.</w:t>
      </w:r>
      <w:r>
        <w:rPr>
          <w:b w:val="0"/>
          <w:bCs w:val="0"/>
          <w:sz w:val="24"/>
          <w:szCs w:val="24"/>
        </w:rPr>
        <w:t xml:space="preserve">” </w:t>
      </w:r>
      <w:hyperlink r:id="rId1247" w:history="1">
        <w:r w:rsidRPr="007668F4">
          <w:rPr>
            <w:rStyle w:val="Hyperlink"/>
            <w:b w:val="0"/>
            <w:bCs w:val="0"/>
            <w:sz w:val="24"/>
            <w:szCs w:val="24"/>
          </w:rPr>
          <w:t>https://delcode.delaware.gov/title19/c017/index.shtml</w:t>
        </w:r>
      </w:hyperlink>
      <w:r w:rsidRPr="007668F4">
        <w:rPr>
          <w:b w:val="0"/>
          <w:bCs w:val="0"/>
          <w:sz w:val="24"/>
          <w:szCs w:val="24"/>
        </w:rPr>
        <w:t xml:space="preserve"> </w:t>
      </w:r>
    </w:p>
    <w:p w14:paraId="5337BCCA" w14:textId="77777777" w:rsidR="009E093C" w:rsidRDefault="009E093C" w:rsidP="009E093C">
      <w:pPr>
        <w:rPr>
          <w:rFonts w:ascii="Times New Roman" w:hAnsi="Times New Roman"/>
          <w:sz w:val="24"/>
          <w:szCs w:val="24"/>
        </w:rPr>
      </w:pPr>
    </w:p>
    <w:p w14:paraId="3449CF53" w14:textId="77777777" w:rsidR="009E093C" w:rsidRDefault="009E093C" w:rsidP="00EF1133">
      <w:pPr>
        <w:rPr>
          <w:rFonts w:ascii="Arial Black" w:hAnsi="Arial Black"/>
          <w:b/>
          <w:sz w:val="24"/>
          <w:szCs w:val="24"/>
        </w:rPr>
      </w:pPr>
    </w:p>
    <w:p w14:paraId="5BB4AF46" w14:textId="77777777" w:rsidR="009E093C" w:rsidRDefault="009E093C" w:rsidP="00EF1133">
      <w:pPr>
        <w:rPr>
          <w:rFonts w:ascii="Arial Black" w:hAnsi="Arial Black"/>
          <w:b/>
          <w:sz w:val="24"/>
          <w:szCs w:val="24"/>
        </w:rPr>
      </w:pPr>
    </w:p>
    <w:p w14:paraId="7330DF42" w14:textId="41CE56AD" w:rsidR="009E093C" w:rsidRDefault="009E093C" w:rsidP="00EF1133">
      <w:pPr>
        <w:rPr>
          <w:rFonts w:ascii="Arial Black" w:hAnsi="Arial Black"/>
          <w:b/>
          <w:sz w:val="24"/>
          <w:szCs w:val="24"/>
        </w:rPr>
      </w:pPr>
      <w:r>
        <w:rPr>
          <w:rFonts w:ascii="Arial Black" w:hAnsi="Arial Black"/>
          <w:b/>
          <w:sz w:val="24"/>
          <w:szCs w:val="24"/>
        </w:rPr>
        <w:t>6-5</w:t>
      </w:r>
      <w:r w:rsidR="008F02C3">
        <w:rPr>
          <w:rFonts w:ascii="Arial Black" w:hAnsi="Arial Black"/>
          <w:b/>
          <w:sz w:val="24"/>
          <w:szCs w:val="24"/>
        </w:rPr>
        <w:t>3</w:t>
      </w:r>
    </w:p>
    <w:p w14:paraId="3862857D" w14:textId="77777777" w:rsidR="009E093C" w:rsidRDefault="009E093C" w:rsidP="009E093C">
      <w:pPr>
        <w:pStyle w:val="NoSpacing"/>
        <w:rPr>
          <w:rFonts w:ascii="Arial Black" w:hAnsi="Arial Black"/>
          <w:sz w:val="28"/>
          <w:szCs w:val="28"/>
        </w:rPr>
      </w:pPr>
      <w:r>
        <w:rPr>
          <w:rFonts w:ascii="Arial Black" w:hAnsi="Arial Black"/>
          <w:sz w:val="28"/>
          <w:szCs w:val="28"/>
        </w:rPr>
        <w:lastRenderedPageBreak/>
        <w:t>MI: DEPUTY SHERIFF REPORTED MISUSE DRUG FORFEITURE FUNDS – 1</w:t>
      </w:r>
      <w:r w:rsidRPr="00EB4193">
        <w:rPr>
          <w:rFonts w:ascii="Arial Black" w:hAnsi="Arial Black"/>
          <w:sz w:val="28"/>
          <w:szCs w:val="28"/>
          <w:vertAlign w:val="superscript"/>
        </w:rPr>
        <w:t>st</w:t>
      </w:r>
      <w:r>
        <w:rPr>
          <w:rFonts w:ascii="Arial Black" w:hAnsi="Arial Black"/>
          <w:sz w:val="28"/>
          <w:szCs w:val="28"/>
        </w:rPr>
        <w:t xml:space="preserve"> AMEND. ONLY IF SPEAKING AS “PRIVATE CITIZEN” </w:t>
      </w:r>
    </w:p>
    <w:p w14:paraId="36A7E55A" w14:textId="77777777" w:rsidR="009E093C" w:rsidRDefault="009E093C" w:rsidP="009E093C">
      <w:pPr>
        <w:pStyle w:val="NoSpacing"/>
        <w:rPr>
          <w:rFonts w:ascii="Arial Black" w:hAnsi="Arial Black"/>
          <w:sz w:val="28"/>
          <w:szCs w:val="28"/>
        </w:rPr>
      </w:pPr>
    </w:p>
    <w:p w14:paraId="62167879" w14:textId="77777777" w:rsidR="009E093C" w:rsidRDefault="009E093C" w:rsidP="009E093C">
      <w:pPr>
        <w:pStyle w:val="NoSpacing"/>
        <w:rPr>
          <w:rFonts w:ascii="Times New Roman" w:hAnsi="Times New Roman"/>
          <w:sz w:val="24"/>
          <w:szCs w:val="24"/>
        </w:rPr>
      </w:pPr>
      <w:r>
        <w:rPr>
          <w:rFonts w:ascii="Times New Roman" w:hAnsi="Times New Roman"/>
          <w:sz w:val="24"/>
          <w:szCs w:val="24"/>
        </w:rPr>
        <w:t xml:space="preserve">On Oct. 9, 2020, in </w:t>
      </w:r>
      <w:r w:rsidRPr="00FE06D1">
        <w:rPr>
          <w:rFonts w:ascii="Times New Roman" w:hAnsi="Times New Roman"/>
          <w:sz w:val="24"/>
          <w:szCs w:val="24"/>
          <w:u w:val="single"/>
        </w:rPr>
        <w:t>Garrett De</w:t>
      </w:r>
      <w:r>
        <w:rPr>
          <w:rFonts w:ascii="Times New Roman" w:hAnsi="Times New Roman"/>
          <w:sz w:val="24"/>
          <w:szCs w:val="24"/>
          <w:u w:val="single"/>
        </w:rPr>
        <w:t>W</w:t>
      </w:r>
      <w:r w:rsidRPr="00FE06D1">
        <w:rPr>
          <w:rFonts w:ascii="Times New Roman" w:hAnsi="Times New Roman"/>
          <w:sz w:val="24"/>
          <w:szCs w:val="24"/>
          <w:u w:val="single"/>
        </w:rPr>
        <w:t xml:space="preserve">yse v. </w:t>
      </w:r>
      <w:r>
        <w:rPr>
          <w:rFonts w:ascii="Times New Roman" w:hAnsi="Times New Roman"/>
          <w:sz w:val="24"/>
          <w:szCs w:val="24"/>
          <w:u w:val="single"/>
        </w:rPr>
        <w:t xml:space="preserve">William L. Federspiel, Heather Beyerlein, and </w:t>
      </w:r>
      <w:r w:rsidRPr="00FE06D1">
        <w:rPr>
          <w:rFonts w:ascii="Times New Roman" w:hAnsi="Times New Roman"/>
          <w:sz w:val="24"/>
          <w:szCs w:val="24"/>
          <w:u w:val="single"/>
        </w:rPr>
        <w:t>County of Saginaw, et al</w:t>
      </w:r>
      <w:r>
        <w:rPr>
          <w:rFonts w:ascii="Times New Roman" w:hAnsi="Times New Roman"/>
          <w:sz w:val="24"/>
          <w:szCs w:val="24"/>
        </w:rPr>
        <w:t>., the U.S. Court of Appeals for 6</w:t>
      </w:r>
      <w:r w:rsidRPr="00FE06D1">
        <w:rPr>
          <w:rFonts w:ascii="Times New Roman" w:hAnsi="Times New Roman"/>
          <w:sz w:val="24"/>
          <w:szCs w:val="24"/>
          <w:vertAlign w:val="superscript"/>
        </w:rPr>
        <w:t>th</w:t>
      </w:r>
      <w:r>
        <w:rPr>
          <w:rFonts w:ascii="Times New Roman" w:hAnsi="Times New Roman"/>
          <w:sz w:val="24"/>
          <w:szCs w:val="24"/>
        </w:rPr>
        <w:t xml:space="preserve"> Circuit (Cincinnati), held (3 to 0; unreported decision) the trial court judge properly dismissed the First Amendment retaliation lawsuit by Deputy who reported to County Finance Director possible misuse of drug forfeiture funds.  The Deputy </w:t>
      </w:r>
      <w:proofErr w:type="gramStart"/>
      <w:r>
        <w:rPr>
          <w:rFonts w:ascii="Times New Roman" w:hAnsi="Times New Roman"/>
          <w:sz w:val="24"/>
          <w:szCs w:val="24"/>
        </w:rPr>
        <w:t>was in charge of</w:t>
      </w:r>
      <w:proofErr w:type="gramEnd"/>
      <w:r>
        <w:rPr>
          <w:rFonts w:ascii="Times New Roman" w:hAnsi="Times New Roman"/>
          <w:sz w:val="24"/>
          <w:szCs w:val="24"/>
        </w:rPr>
        <w:t xml:space="preserve"> Property &amp; Evidence Room and was reporting on an item related to his official duties; he was not “speaking” as a private citizen reporting on an item of great public concern.   </w:t>
      </w:r>
    </w:p>
    <w:p w14:paraId="13189E70" w14:textId="77777777" w:rsidR="009E093C" w:rsidRDefault="009E093C" w:rsidP="009E093C">
      <w:pPr>
        <w:pStyle w:val="NoSpacing"/>
        <w:rPr>
          <w:rFonts w:ascii="Times New Roman" w:hAnsi="Times New Roman"/>
          <w:sz w:val="24"/>
          <w:szCs w:val="24"/>
        </w:rPr>
      </w:pPr>
    </w:p>
    <w:p w14:paraId="3282F86B" w14:textId="77777777" w:rsidR="009E093C" w:rsidRDefault="009E093C" w:rsidP="009E093C">
      <w:pPr>
        <w:pStyle w:val="NoSpacing"/>
        <w:ind w:left="720"/>
        <w:rPr>
          <w:rFonts w:ascii="Times New Roman" w:hAnsi="Times New Roman"/>
          <w:sz w:val="24"/>
          <w:szCs w:val="24"/>
        </w:rPr>
      </w:pPr>
      <w:r>
        <w:rPr>
          <w:rFonts w:ascii="Times New Roman" w:hAnsi="Times New Roman"/>
          <w:sz w:val="24"/>
          <w:szCs w:val="24"/>
        </w:rPr>
        <w:t>“</w:t>
      </w:r>
      <w:r w:rsidRPr="002D5EC1">
        <w:rPr>
          <w:rFonts w:ascii="Times New Roman" w:hAnsi="Times New Roman"/>
          <w:sz w:val="24"/>
          <w:szCs w:val="24"/>
        </w:rPr>
        <w:t>In reaching this</w:t>
      </w:r>
      <w:r>
        <w:rPr>
          <w:rFonts w:ascii="Times New Roman" w:hAnsi="Times New Roman"/>
          <w:sz w:val="24"/>
          <w:szCs w:val="24"/>
        </w:rPr>
        <w:t xml:space="preserve"> </w:t>
      </w:r>
      <w:r w:rsidRPr="002D5EC1">
        <w:rPr>
          <w:rFonts w:ascii="Times New Roman" w:hAnsi="Times New Roman"/>
          <w:sz w:val="24"/>
          <w:szCs w:val="24"/>
        </w:rPr>
        <w:t>outcome, we do not question DeWyse’s motivation, nor</w:t>
      </w:r>
      <w:r>
        <w:rPr>
          <w:rFonts w:ascii="Times New Roman" w:hAnsi="Times New Roman"/>
          <w:sz w:val="24"/>
          <w:szCs w:val="24"/>
        </w:rPr>
        <w:t xml:space="preserve"> </w:t>
      </w:r>
      <w:r w:rsidRPr="002D5EC1">
        <w:rPr>
          <w:rFonts w:ascii="Times New Roman" w:hAnsi="Times New Roman"/>
          <w:sz w:val="24"/>
          <w:szCs w:val="24"/>
        </w:rPr>
        <w:t>do we</w:t>
      </w:r>
      <w:r>
        <w:rPr>
          <w:rFonts w:ascii="Times New Roman" w:hAnsi="Times New Roman"/>
          <w:sz w:val="24"/>
          <w:szCs w:val="24"/>
        </w:rPr>
        <w:t xml:space="preserve"> </w:t>
      </w:r>
      <w:r w:rsidRPr="002D5EC1">
        <w:rPr>
          <w:rFonts w:ascii="Times New Roman" w:hAnsi="Times New Roman"/>
          <w:sz w:val="24"/>
          <w:szCs w:val="24"/>
        </w:rPr>
        <w:t>condone</w:t>
      </w:r>
      <w:r>
        <w:rPr>
          <w:rFonts w:ascii="Times New Roman" w:hAnsi="Times New Roman"/>
          <w:sz w:val="24"/>
          <w:szCs w:val="24"/>
        </w:rPr>
        <w:t xml:space="preserve"> </w:t>
      </w:r>
      <w:r w:rsidRPr="002D5EC1">
        <w:rPr>
          <w:rFonts w:ascii="Times New Roman" w:hAnsi="Times New Roman"/>
          <w:sz w:val="24"/>
          <w:szCs w:val="24"/>
        </w:rPr>
        <w:t>disciplining</w:t>
      </w:r>
      <w:r>
        <w:rPr>
          <w:rFonts w:ascii="Times New Roman" w:hAnsi="Times New Roman"/>
          <w:sz w:val="24"/>
          <w:szCs w:val="24"/>
        </w:rPr>
        <w:t xml:space="preserve"> </w:t>
      </w:r>
      <w:r w:rsidRPr="002D5EC1">
        <w:rPr>
          <w:rFonts w:ascii="Times New Roman" w:hAnsi="Times New Roman"/>
          <w:sz w:val="24"/>
          <w:szCs w:val="24"/>
        </w:rPr>
        <w:t>public employees</w:t>
      </w:r>
      <w:r>
        <w:rPr>
          <w:rFonts w:ascii="Times New Roman" w:hAnsi="Times New Roman"/>
          <w:sz w:val="24"/>
          <w:szCs w:val="24"/>
        </w:rPr>
        <w:t xml:space="preserve"> </w:t>
      </w:r>
      <w:r w:rsidRPr="002D5EC1">
        <w:rPr>
          <w:rFonts w:ascii="Times New Roman" w:hAnsi="Times New Roman"/>
          <w:sz w:val="24"/>
          <w:szCs w:val="24"/>
        </w:rPr>
        <w:t>for raising concerns about government mismanagement or</w:t>
      </w:r>
      <w:r>
        <w:rPr>
          <w:rFonts w:ascii="Times New Roman" w:hAnsi="Times New Roman"/>
          <w:sz w:val="24"/>
          <w:szCs w:val="24"/>
        </w:rPr>
        <w:t xml:space="preserve"> </w:t>
      </w:r>
      <w:r w:rsidRPr="002D5EC1">
        <w:rPr>
          <w:rFonts w:ascii="Times New Roman" w:hAnsi="Times New Roman"/>
          <w:sz w:val="24"/>
          <w:szCs w:val="24"/>
        </w:rPr>
        <w:t>corruption.</w:t>
      </w:r>
      <w:r>
        <w:rPr>
          <w:rFonts w:ascii="Times New Roman" w:hAnsi="Times New Roman"/>
          <w:sz w:val="24"/>
          <w:szCs w:val="24"/>
        </w:rPr>
        <w:t xml:space="preserve"> </w:t>
      </w:r>
      <w:r w:rsidRPr="002D5EC1">
        <w:rPr>
          <w:rFonts w:ascii="Times New Roman" w:hAnsi="Times New Roman"/>
          <w:sz w:val="24"/>
          <w:szCs w:val="24"/>
        </w:rPr>
        <w:t>See Mayhew, 859 F.3d at 466.</w:t>
      </w:r>
      <w:r>
        <w:rPr>
          <w:rFonts w:ascii="Times New Roman" w:hAnsi="Times New Roman"/>
          <w:sz w:val="24"/>
          <w:szCs w:val="24"/>
        </w:rPr>
        <w:t xml:space="preserve"> </w:t>
      </w:r>
      <w:r w:rsidRPr="002D5EC1">
        <w:rPr>
          <w:rFonts w:ascii="Times New Roman" w:hAnsi="Times New Roman"/>
          <w:sz w:val="24"/>
          <w:szCs w:val="24"/>
        </w:rPr>
        <w:t>But</w:t>
      </w:r>
      <w:r>
        <w:rPr>
          <w:rFonts w:ascii="Times New Roman" w:hAnsi="Times New Roman"/>
          <w:sz w:val="24"/>
          <w:szCs w:val="24"/>
        </w:rPr>
        <w:t xml:space="preserve"> </w:t>
      </w:r>
      <w:r w:rsidRPr="002D5EC1">
        <w:rPr>
          <w:rFonts w:ascii="Times New Roman" w:hAnsi="Times New Roman"/>
          <w:sz w:val="24"/>
          <w:szCs w:val="24"/>
        </w:rPr>
        <w:t>in this public employment setting, laudable intent</w:t>
      </w:r>
      <w:r>
        <w:rPr>
          <w:rFonts w:ascii="Times New Roman" w:hAnsi="Times New Roman"/>
          <w:sz w:val="24"/>
          <w:szCs w:val="24"/>
        </w:rPr>
        <w:t xml:space="preserve"> </w:t>
      </w:r>
      <w:r w:rsidRPr="002D5EC1">
        <w:rPr>
          <w:rFonts w:ascii="Times New Roman" w:hAnsi="Times New Roman"/>
          <w:sz w:val="24"/>
          <w:szCs w:val="24"/>
        </w:rPr>
        <w:t>alone</w:t>
      </w:r>
      <w:r>
        <w:rPr>
          <w:rFonts w:ascii="Times New Roman" w:hAnsi="Times New Roman"/>
          <w:sz w:val="24"/>
          <w:szCs w:val="24"/>
        </w:rPr>
        <w:t xml:space="preserve"> </w:t>
      </w:r>
      <w:r w:rsidRPr="002D5EC1">
        <w:rPr>
          <w:rFonts w:ascii="Times New Roman" w:hAnsi="Times New Roman"/>
          <w:sz w:val="24"/>
          <w:szCs w:val="24"/>
        </w:rPr>
        <w:t>is not enough to secure First Amendment protection. See Haddad, 910 F.3d at 249–50. As</w:t>
      </w:r>
      <w:r>
        <w:rPr>
          <w:rFonts w:ascii="Times New Roman" w:hAnsi="Times New Roman"/>
          <w:sz w:val="24"/>
          <w:szCs w:val="24"/>
        </w:rPr>
        <w:t xml:space="preserve"> </w:t>
      </w:r>
      <w:r w:rsidRPr="002D5EC1">
        <w:rPr>
          <w:rFonts w:ascii="Times New Roman" w:hAnsi="Times New Roman"/>
          <w:sz w:val="24"/>
          <w:szCs w:val="24"/>
        </w:rPr>
        <w:t>DeWyse’s communications</w:t>
      </w:r>
      <w:r>
        <w:rPr>
          <w:rFonts w:ascii="Times New Roman" w:hAnsi="Times New Roman"/>
          <w:sz w:val="24"/>
          <w:szCs w:val="24"/>
        </w:rPr>
        <w:t xml:space="preserve"> </w:t>
      </w:r>
      <w:r w:rsidRPr="002D5EC1">
        <w:rPr>
          <w:rFonts w:ascii="Times New Roman" w:hAnsi="Times New Roman"/>
          <w:sz w:val="24"/>
          <w:szCs w:val="24"/>
        </w:rPr>
        <w:t>fell within the scope of his employment and were</w:t>
      </w:r>
      <w:r>
        <w:rPr>
          <w:rFonts w:ascii="Times New Roman" w:hAnsi="Times New Roman"/>
          <w:sz w:val="24"/>
          <w:szCs w:val="24"/>
        </w:rPr>
        <w:t xml:space="preserve"> </w:t>
      </w:r>
      <w:r w:rsidRPr="002D5EC1">
        <w:rPr>
          <w:rFonts w:ascii="Times New Roman" w:hAnsi="Times New Roman"/>
          <w:sz w:val="24"/>
          <w:szCs w:val="24"/>
        </w:rPr>
        <w:t>made pursuant to his assigned duties, he</w:t>
      </w:r>
      <w:r>
        <w:rPr>
          <w:rFonts w:ascii="Times New Roman" w:hAnsi="Times New Roman"/>
          <w:sz w:val="24"/>
          <w:szCs w:val="24"/>
        </w:rPr>
        <w:t xml:space="preserve"> </w:t>
      </w:r>
      <w:r w:rsidRPr="002D5EC1">
        <w:rPr>
          <w:rFonts w:ascii="Times New Roman" w:hAnsi="Times New Roman"/>
          <w:sz w:val="24"/>
          <w:szCs w:val="24"/>
        </w:rPr>
        <w:t>spoke as a public employee, meaning</w:t>
      </w:r>
      <w:r>
        <w:rPr>
          <w:rFonts w:ascii="Times New Roman" w:hAnsi="Times New Roman"/>
          <w:sz w:val="24"/>
          <w:szCs w:val="24"/>
        </w:rPr>
        <w:t xml:space="preserve"> </w:t>
      </w:r>
      <w:r w:rsidRPr="002D5EC1">
        <w:rPr>
          <w:rFonts w:ascii="Times New Roman" w:hAnsi="Times New Roman"/>
          <w:sz w:val="24"/>
          <w:szCs w:val="24"/>
        </w:rPr>
        <w:t>his speech is unprotected.</w:t>
      </w:r>
      <w:r>
        <w:rPr>
          <w:rFonts w:ascii="Times New Roman" w:hAnsi="Times New Roman"/>
          <w:sz w:val="24"/>
          <w:szCs w:val="24"/>
        </w:rPr>
        <w:t xml:space="preserve">” </w:t>
      </w:r>
      <w:hyperlink r:id="rId1248" w:history="1">
        <w:r w:rsidRPr="00AA126E">
          <w:rPr>
            <w:rStyle w:val="Hyperlink"/>
            <w:rFonts w:ascii="Times New Roman" w:hAnsi="Times New Roman"/>
            <w:sz w:val="24"/>
            <w:szCs w:val="24"/>
          </w:rPr>
          <w:t>https://www.opn.ca6.uscourts.gov/opinions.pdf/20a0579n-06.pdf</w:t>
        </w:r>
      </w:hyperlink>
      <w:r>
        <w:rPr>
          <w:rFonts w:ascii="Times New Roman" w:hAnsi="Times New Roman"/>
          <w:sz w:val="24"/>
          <w:szCs w:val="24"/>
        </w:rPr>
        <w:t xml:space="preserve"> </w:t>
      </w:r>
    </w:p>
    <w:p w14:paraId="09F5DE6C" w14:textId="538036CD" w:rsidR="009E093C" w:rsidRDefault="009E093C" w:rsidP="00EF1133">
      <w:pPr>
        <w:rPr>
          <w:rFonts w:ascii="Arial Black" w:hAnsi="Arial Black"/>
          <w:b/>
          <w:sz w:val="24"/>
          <w:szCs w:val="24"/>
        </w:rPr>
      </w:pPr>
    </w:p>
    <w:p w14:paraId="75AAE181" w14:textId="77777777" w:rsidR="009E093C" w:rsidRDefault="009E093C" w:rsidP="009E093C">
      <w:pPr>
        <w:pStyle w:val="NoSpacing"/>
        <w:rPr>
          <w:rFonts w:ascii="Times New Roman" w:hAnsi="Times New Roman"/>
          <w:b/>
          <w:bCs/>
          <w:sz w:val="24"/>
          <w:szCs w:val="24"/>
        </w:rPr>
      </w:pPr>
      <w:r w:rsidRPr="00323F41">
        <w:rPr>
          <w:rFonts w:ascii="Times New Roman" w:hAnsi="Times New Roman"/>
          <w:b/>
          <w:bCs/>
          <w:sz w:val="24"/>
          <w:szCs w:val="24"/>
        </w:rPr>
        <w:t>Legal Lesson Learned:</w:t>
      </w:r>
      <w:r>
        <w:rPr>
          <w:rFonts w:ascii="Times New Roman" w:hAnsi="Times New Roman"/>
          <w:b/>
          <w:bCs/>
          <w:sz w:val="24"/>
          <w:szCs w:val="24"/>
        </w:rPr>
        <w:t xml:space="preserve"> If the Deputy Sheriff had gone to his union, County Prosecutor, FBI or County Commissioners, then his “speech” may have been protected.</w:t>
      </w:r>
    </w:p>
    <w:p w14:paraId="379A06FA" w14:textId="77777777" w:rsidR="009E093C" w:rsidRDefault="009E093C" w:rsidP="009E093C">
      <w:pPr>
        <w:pStyle w:val="NoSpacing"/>
        <w:rPr>
          <w:rFonts w:ascii="Times New Roman" w:hAnsi="Times New Roman"/>
          <w:b/>
          <w:bCs/>
          <w:sz w:val="24"/>
          <w:szCs w:val="24"/>
        </w:rPr>
      </w:pPr>
    </w:p>
    <w:p w14:paraId="2B0A7B10" w14:textId="77777777" w:rsidR="009E093C" w:rsidRPr="00EA56DC" w:rsidRDefault="009E093C" w:rsidP="009E093C">
      <w:pPr>
        <w:pStyle w:val="NoSpacing"/>
        <w:ind w:left="720"/>
        <w:rPr>
          <w:rFonts w:ascii="Times New Roman" w:hAnsi="Times New Roman"/>
          <w:sz w:val="24"/>
          <w:szCs w:val="24"/>
        </w:rPr>
      </w:pPr>
      <w:r w:rsidRPr="00EA56DC">
        <w:rPr>
          <w:rFonts w:ascii="Times New Roman" w:hAnsi="Times New Roman"/>
          <w:sz w:val="24"/>
          <w:szCs w:val="24"/>
        </w:rPr>
        <w:t>Note: The 6</w:t>
      </w:r>
      <w:r w:rsidRPr="00EA56DC">
        <w:rPr>
          <w:rFonts w:ascii="Times New Roman" w:hAnsi="Times New Roman"/>
          <w:sz w:val="24"/>
          <w:szCs w:val="24"/>
          <w:vertAlign w:val="superscript"/>
        </w:rPr>
        <w:t>th</w:t>
      </w:r>
      <w:r w:rsidRPr="00EA56DC">
        <w:rPr>
          <w:rFonts w:ascii="Times New Roman" w:hAnsi="Times New Roman"/>
          <w:sz w:val="24"/>
          <w:szCs w:val="24"/>
        </w:rPr>
        <w:t xml:space="preserve"> Circuit </w:t>
      </w:r>
      <w:r>
        <w:rPr>
          <w:rFonts w:ascii="Times New Roman" w:hAnsi="Times New Roman"/>
          <w:sz w:val="24"/>
          <w:szCs w:val="24"/>
        </w:rPr>
        <w:t xml:space="preserve">judges in this case </w:t>
      </w:r>
      <w:r w:rsidRPr="00EA56DC">
        <w:rPr>
          <w:rFonts w:ascii="Times New Roman" w:hAnsi="Times New Roman"/>
          <w:sz w:val="24"/>
          <w:szCs w:val="24"/>
        </w:rPr>
        <w:t xml:space="preserve">described </w:t>
      </w:r>
      <w:r>
        <w:rPr>
          <w:rFonts w:ascii="Times New Roman" w:hAnsi="Times New Roman"/>
          <w:sz w:val="24"/>
          <w:szCs w:val="24"/>
        </w:rPr>
        <w:t xml:space="preserve">a </w:t>
      </w:r>
      <w:r w:rsidRPr="00EA56DC">
        <w:rPr>
          <w:rFonts w:ascii="Times New Roman" w:hAnsi="Times New Roman"/>
          <w:sz w:val="24"/>
          <w:szCs w:val="24"/>
        </w:rPr>
        <w:t>recent decision where public employee was protected by 1</w:t>
      </w:r>
      <w:r w:rsidRPr="00EA56DC">
        <w:rPr>
          <w:rFonts w:ascii="Times New Roman" w:hAnsi="Times New Roman"/>
          <w:sz w:val="24"/>
          <w:szCs w:val="24"/>
          <w:vertAlign w:val="superscript"/>
        </w:rPr>
        <w:t>st</w:t>
      </w:r>
      <w:r w:rsidRPr="00EA56DC">
        <w:rPr>
          <w:rFonts w:ascii="Times New Roman" w:hAnsi="Times New Roman"/>
          <w:sz w:val="24"/>
          <w:szCs w:val="24"/>
        </w:rPr>
        <w:t xml:space="preserve"> Amendment. </w:t>
      </w:r>
    </w:p>
    <w:p w14:paraId="4C1FF146" w14:textId="77777777" w:rsidR="009E093C" w:rsidRDefault="009E093C" w:rsidP="009E093C">
      <w:pPr>
        <w:pStyle w:val="NoSpacing"/>
        <w:ind w:left="720"/>
        <w:rPr>
          <w:rFonts w:ascii="Times New Roman" w:hAnsi="Times New Roman"/>
          <w:sz w:val="24"/>
          <w:szCs w:val="24"/>
        </w:rPr>
      </w:pPr>
    </w:p>
    <w:p w14:paraId="0077E9D1" w14:textId="77777777" w:rsidR="009E093C" w:rsidRPr="00323F41" w:rsidRDefault="009E093C" w:rsidP="009E093C">
      <w:pPr>
        <w:pStyle w:val="NoSpacing"/>
        <w:ind w:left="1440"/>
        <w:rPr>
          <w:rFonts w:ascii="Times New Roman" w:hAnsi="Times New Roman"/>
          <w:sz w:val="24"/>
          <w:szCs w:val="24"/>
        </w:rPr>
      </w:pPr>
      <w:r>
        <w:rPr>
          <w:rFonts w:ascii="Times New Roman" w:hAnsi="Times New Roman"/>
          <w:sz w:val="24"/>
          <w:szCs w:val="24"/>
        </w:rPr>
        <w:t>“</w:t>
      </w:r>
      <w:r w:rsidRPr="00323F41">
        <w:rPr>
          <w:rFonts w:ascii="Times New Roman" w:hAnsi="Times New Roman"/>
          <w:sz w:val="24"/>
          <w:szCs w:val="24"/>
        </w:rPr>
        <w:t>Our recent decision,</w:t>
      </w:r>
      <w:r>
        <w:rPr>
          <w:rFonts w:ascii="Times New Roman" w:hAnsi="Times New Roman"/>
          <w:sz w:val="24"/>
          <w:szCs w:val="24"/>
        </w:rPr>
        <w:t xml:space="preserve"> </w:t>
      </w:r>
      <w:r w:rsidRPr="00323F41">
        <w:rPr>
          <w:rFonts w:ascii="Times New Roman" w:hAnsi="Times New Roman"/>
          <w:sz w:val="24"/>
          <w:szCs w:val="24"/>
        </w:rPr>
        <w:t xml:space="preserve">Mertins v. City of Mount Clemens, 817 F. </w:t>
      </w:r>
      <w:proofErr w:type="spellStart"/>
      <w:r w:rsidRPr="00323F41">
        <w:rPr>
          <w:rFonts w:ascii="Times New Roman" w:hAnsi="Times New Roman"/>
          <w:sz w:val="24"/>
          <w:szCs w:val="24"/>
        </w:rPr>
        <w:t>App’x</w:t>
      </w:r>
      <w:proofErr w:type="spellEnd"/>
      <w:r w:rsidRPr="00323F41">
        <w:rPr>
          <w:rFonts w:ascii="Times New Roman" w:hAnsi="Times New Roman"/>
          <w:sz w:val="24"/>
          <w:szCs w:val="24"/>
        </w:rPr>
        <w:t xml:space="preserve"> 126 (6</w:t>
      </w:r>
      <w:r w:rsidRPr="00753DA9">
        <w:rPr>
          <w:rFonts w:ascii="Times New Roman" w:hAnsi="Times New Roman"/>
          <w:sz w:val="24"/>
          <w:szCs w:val="24"/>
          <w:vertAlign w:val="superscript"/>
        </w:rPr>
        <w:t>th</w:t>
      </w:r>
      <w:r w:rsidRPr="00323F41">
        <w:rPr>
          <w:rFonts w:ascii="Times New Roman" w:hAnsi="Times New Roman"/>
          <w:sz w:val="24"/>
          <w:szCs w:val="24"/>
        </w:rPr>
        <w:t xml:space="preserve"> Cir. 2020),</w:t>
      </w:r>
      <w:r>
        <w:rPr>
          <w:rFonts w:ascii="Times New Roman" w:hAnsi="Times New Roman"/>
          <w:sz w:val="24"/>
          <w:szCs w:val="24"/>
        </w:rPr>
        <w:t xml:space="preserve"> </w:t>
      </w:r>
      <w:r w:rsidRPr="00323F41">
        <w:rPr>
          <w:rFonts w:ascii="Times New Roman" w:hAnsi="Times New Roman"/>
          <w:sz w:val="24"/>
          <w:szCs w:val="24"/>
        </w:rPr>
        <w:t>does not counsel otherwise. There, a city finance department employee discovered the city was overbilling residents for utilities</w:t>
      </w:r>
      <w:r>
        <w:rPr>
          <w:rFonts w:ascii="Times New Roman" w:hAnsi="Times New Roman"/>
          <w:sz w:val="24"/>
          <w:szCs w:val="24"/>
        </w:rPr>
        <w:t>….</w:t>
      </w:r>
      <w:r w:rsidRPr="00323F41">
        <w:rPr>
          <w:rFonts w:ascii="Times New Roman" w:hAnsi="Times New Roman"/>
          <w:sz w:val="24"/>
          <w:szCs w:val="24"/>
        </w:rPr>
        <w:t>Yet when the employee raised the issue with her supervisors, she was subjected to reprimands and harassment</w:t>
      </w:r>
      <w:r>
        <w:rPr>
          <w:rFonts w:ascii="Times New Roman" w:hAnsi="Times New Roman"/>
          <w:sz w:val="24"/>
          <w:szCs w:val="24"/>
        </w:rPr>
        <w:t>…</w:t>
      </w:r>
      <w:r w:rsidRPr="00323F41">
        <w:rPr>
          <w:rFonts w:ascii="Times New Roman" w:hAnsi="Times New Roman"/>
          <w:sz w:val="24"/>
          <w:szCs w:val="24"/>
        </w:rPr>
        <w:t xml:space="preserve"> The employee then raised these same concerns with her union, local prosecutors, the FBI, and city commissioners. Id.</w:t>
      </w:r>
      <w:r>
        <w:rPr>
          <w:rFonts w:ascii="Times New Roman" w:hAnsi="Times New Roman"/>
          <w:sz w:val="24"/>
          <w:szCs w:val="24"/>
        </w:rPr>
        <w:t xml:space="preserve"> </w:t>
      </w:r>
      <w:r w:rsidRPr="00323F41">
        <w:rPr>
          <w:rFonts w:ascii="Times New Roman" w:hAnsi="Times New Roman"/>
          <w:sz w:val="24"/>
          <w:szCs w:val="24"/>
        </w:rPr>
        <w:t>At the same time, she continued to face discipline from her supervisors. Id.</w:t>
      </w:r>
      <w:r>
        <w:rPr>
          <w:rFonts w:ascii="Times New Roman" w:hAnsi="Times New Roman"/>
          <w:sz w:val="24"/>
          <w:szCs w:val="24"/>
        </w:rPr>
        <w:t xml:space="preserve"> </w:t>
      </w:r>
      <w:r w:rsidRPr="00323F41">
        <w:rPr>
          <w:rFonts w:ascii="Times New Roman" w:hAnsi="Times New Roman"/>
          <w:sz w:val="24"/>
          <w:szCs w:val="24"/>
        </w:rPr>
        <w:t xml:space="preserve">The employee eventually filed a First Amendment retaliation claim against her supervisors, and we later reversed the district court’s grant of summary judgment for the </w:t>
      </w:r>
      <w:proofErr w:type="gramStart"/>
      <w:r w:rsidRPr="00323F41">
        <w:rPr>
          <w:rFonts w:ascii="Times New Roman" w:hAnsi="Times New Roman"/>
          <w:sz w:val="24"/>
          <w:szCs w:val="24"/>
        </w:rPr>
        <w:t>defendants.</w:t>
      </w:r>
      <w:r>
        <w:rPr>
          <w:rFonts w:ascii="Times New Roman" w:hAnsi="Times New Roman"/>
          <w:sz w:val="24"/>
          <w:szCs w:val="24"/>
        </w:rPr>
        <w:t>”</w:t>
      </w:r>
      <w:proofErr w:type="gramEnd"/>
      <w:r>
        <w:rPr>
          <w:rFonts w:ascii="Times New Roman" w:hAnsi="Times New Roman"/>
          <w:sz w:val="24"/>
          <w:szCs w:val="24"/>
        </w:rPr>
        <w:t xml:space="preserve">   [June 5, </w:t>
      </w:r>
      <w:proofErr w:type="gramStart"/>
      <w:r>
        <w:rPr>
          <w:rFonts w:ascii="Times New Roman" w:hAnsi="Times New Roman"/>
          <w:sz w:val="24"/>
          <w:szCs w:val="24"/>
        </w:rPr>
        <w:t>2020</w:t>
      </w:r>
      <w:proofErr w:type="gramEnd"/>
      <w:r>
        <w:rPr>
          <w:rFonts w:ascii="Times New Roman" w:hAnsi="Times New Roman"/>
          <w:sz w:val="24"/>
          <w:szCs w:val="24"/>
        </w:rPr>
        <w:t xml:space="preserve"> decision of 6</w:t>
      </w:r>
      <w:r w:rsidRPr="000C02CA">
        <w:rPr>
          <w:rFonts w:ascii="Times New Roman" w:hAnsi="Times New Roman"/>
          <w:sz w:val="24"/>
          <w:szCs w:val="24"/>
          <w:vertAlign w:val="superscript"/>
        </w:rPr>
        <w:t>th</w:t>
      </w:r>
      <w:r>
        <w:rPr>
          <w:rFonts w:ascii="Times New Roman" w:hAnsi="Times New Roman"/>
          <w:sz w:val="24"/>
          <w:szCs w:val="24"/>
        </w:rPr>
        <w:t xml:space="preserve"> Circuit: </w:t>
      </w:r>
      <w:hyperlink r:id="rId1249" w:history="1">
        <w:r w:rsidRPr="00AA126E">
          <w:rPr>
            <w:rStyle w:val="Hyperlink"/>
            <w:rFonts w:ascii="Times New Roman" w:hAnsi="Times New Roman"/>
            <w:sz w:val="24"/>
            <w:szCs w:val="24"/>
          </w:rPr>
          <w:t>https://law.justia.com/cases/federal/appellate-courts/ca6/19-1416/19-1416-2020-06-05.html</w:t>
        </w:r>
      </w:hyperlink>
      <w:r>
        <w:rPr>
          <w:rFonts w:ascii="Times New Roman" w:hAnsi="Times New Roman"/>
          <w:sz w:val="24"/>
          <w:szCs w:val="24"/>
        </w:rPr>
        <w:t xml:space="preserve">] </w:t>
      </w:r>
    </w:p>
    <w:p w14:paraId="1351B32C" w14:textId="77777777" w:rsidR="009E093C" w:rsidRDefault="009E093C" w:rsidP="009E093C">
      <w:pPr>
        <w:pStyle w:val="NoSpacing"/>
        <w:rPr>
          <w:rFonts w:ascii="Times New Roman" w:hAnsi="Times New Roman"/>
          <w:b/>
          <w:bCs/>
          <w:sz w:val="24"/>
          <w:szCs w:val="24"/>
        </w:rPr>
      </w:pPr>
    </w:p>
    <w:p w14:paraId="405353F6" w14:textId="77777777" w:rsidR="009E093C" w:rsidRDefault="009E093C" w:rsidP="009E093C">
      <w:pPr>
        <w:pStyle w:val="NoSpacing"/>
        <w:ind w:left="1440"/>
      </w:pPr>
      <w:r w:rsidRPr="000C02CA">
        <w:rPr>
          <w:rFonts w:ascii="Times New Roman" w:hAnsi="Times New Roman"/>
          <w:sz w:val="24"/>
          <w:szCs w:val="24"/>
        </w:rPr>
        <w:t xml:space="preserve">Many states have enacted whistleblower protection statutes. </w:t>
      </w:r>
      <w:r w:rsidRPr="00323F41">
        <w:rPr>
          <w:rFonts w:ascii="Times New Roman" w:hAnsi="Times New Roman"/>
          <w:sz w:val="24"/>
          <w:szCs w:val="24"/>
        </w:rPr>
        <w:t xml:space="preserve">For example: </w:t>
      </w:r>
      <w:r>
        <w:rPr>
          <w:rFonts w:ascii="Times New Roman" w:hAnsi="Times New Roman"/>
          <w:sz w:val="24"/>
          <w:szCs w:val="24"/>
        </w:rPr>
        <w:t>Ohio Revised Code</w:t>
      </w:r>
      <w:r w:rsidRPr="00323F41">
        <w:rPr>
          <w:rFonts w:ascii="Times New Roman" w:hAnsi="Times New Roman"/>
          <w:sz w:val="24"/>
          <w:szCs w:val="24"/>
        </w:rPr>
        <w:t xml:space="preserve"> 4113.52</w:t>
      </w:r>
      <w:r>
        <w:rPr>
          <w:rFonts w:ascii="Times New Roman" w:hAnsi="Times New Roman"/>
          <w:sz w:val="24"/>
          <w:szCs w:val="24"/>
        </w:rPr>
        <w:t>, ”</w:t>
      </w:r>
      <w:r w:rsidRPr="00323F41">
        <w:rPr>
          <w:rFonts w:ascii="Times New Roman" w:hAnsi="Times New Roman"/>
          <w:sz w:val="24"/>
          <w:szCs w:val="24"/>
        </w:rPr>
        <w:t>Reporting violation of law by employer or fellow employee</w:t>
      </w:r>
      <w:r>
        <w:t>.”</w:t>
      </w:r>
    </w:p>
    <w:p w14:paraId="57C8D374" w14:textId="77777777" w:rsidR="009E093C" w:rsidRDefault="009E093C" w:rsidP="009E093C">
      <w:pPr>
        <w:pStyle w:val="NormalWeb"/>
        <w:ind w:left="1830"/>
      </w:pPr>
      <w:r>
        <w:t xml:space="preserve">“(1)  (a) If an employee becomes aware in the course of the employee’s employment of a violation of any state or federal statute or any ordinance or regulation of a political subdivision that the employee’s employer has authority to correct, and the employee reasonably believes that the violation is a criminal offense that is likely to cause an imminent risk of physical harm to persons or a hazard to public health or safety , a felony, or an improper solicitation for a contribution, the employee orally shall notify the employee’s supervisor or other responsible officer of the employee’s employer of the violation and subsequently shall file with that supervisor or officer a written report that provides sufficient detail to identify and describe the violation. If the employer does not correct the violation or make a reasonable and good faith effort to correct the violation within twenty-four hours after the oral notification or the receipt of the report, whichever is earlier, the employee may file a written report that provides sufficient detail to identify and describe the violation with </w:t>
      </w:r>
      <w:r>
        <w:lastRenderedPageBreak/>
        <w:t xml:space="preserve">the prosecuting authority of the county or municipal corporation where the violation occurred, with a peace officer, with the inspector general if the violation is within the inspector general’s jurisdiction, or with any other appropriate public official or agency that has regulatory authority over the employer and the industry, trade, or business in which the employer is engaged.”  </w:t>
      </w:r>
      <w:hyperlink r:id="rId1250" w:history="1">
        <w:r w:rsidRPr="00AA126E">
          <w:rPr>
            <w:rStyle w:val="Hyperlink"/>
          </w:rPr>
          <w:t>http://codes.ohio.gov/orc/4113.52</w:t>
        </w:r>
      </w:hyperlink>
      <w:r>
        <w:t xml:space="preserve"> </w:t>
      </w:r>
    </w:p>
    <w:p w14:paraId="4E64EB72" w14:textId="77777777" w:rsidR="009E093C" w:rsidRDefault="009E093C" w:rsidP="009E093C">
      <w:pPr>
        <w:pStyle w:val="NoSpacing"/>
        <w:ind w:left="720" w:firstLine="720"/>
        <w:rPr>
          <w:rFonts w:ascii="Times New Roman" w:hAnsi="Times New Roman"/>
          <w:sz w:val="24"/>
          <w:szCs w:val="24"/>
        </w:rPr>
      </w:pPr>
      <w:r>
        <w:rPr>
          <w:rFonts w:ascii="Times New Roman" w:hAnsi="Times New Roman"/>
          <w:sz w:val="24"/>
          <w:szCs w:val="24"/>
        </w:rPr>
        <w:t xml:space="preserve">See also other Ohio statutes:  </w:t>
      </w:r>
    </w:p>
    <w:p w14:paraId="10A95A3F" w14:textId="77777777" w:rsidR="009E093C" w:rsidRDefault="009E093C" w:rsidP="009E093C">
      <w:pPr>
        <w:pStyle w:val="NoSpacing"/>
        <w:ind w:left="720" w:firstLine="720"/>
        <w:rPr>
          <w:rFonts w:ascii="Times New Roman" w:hAnsi="Times New Roman"/>
          <w:sz w:val="24"/>
          <w:szCs w:val="24"/>
        </w:rPr>
      </w:pPr>
    </w:p>
    <w:p w14:paraId="4BF7D098" w14:textId="77777777" w:rsidR="009E093C" w:rsidRPr="00323F41" w:rsidRDefault="009E093C" w:rsidP="009E093C">
      <w:pPr>
        <w:pStyle w:val="NoSpacing"/>
        <w:ind w:left="1440"/>
        <w:rPr>
          <w:rFonts w:ascii="Times New Roman" w:hAnsi="Times New Roman"/>
          <w:b/>
          <w:bCs/>
          <w:sz w:val="24"/>
          <w:szCs w:val="24"/>
        </w:rPr>
      </w:pPr>
      <w:r>
        <w:rPr>
          <w:rFonts w:ascii="Times New Roman" w:hAnsi="Times New Roman"/>
          <w:sz w:val="24"/>
          <w:szCs w:val="24"/>
        </w:rPr>
        <w:t>“</w:t>
      </w:r>
      <w:r w:rsidRPr="00323F41">
        <w:rPr>
          <w:rFonts w:ascii="Times New Roman" w:hAnsi="Times New Roman"/>
          <w:sz w:val="24"/>
          <w:szCs w:val="24"/>
        </w:rPr>
        <w:t>Ohio has a general whistleblower protection statute that protects whistleblowers who report suspected felonies, crimes that may cause physical harm, and crimes that may produce a hazard to the public health or safety. Also, several other Ohio statutes contain anti-retaliation provisions. Employees who engage in protected activities under laws in the following subject areas are protected from retaliation: abuse or neglect of residents at health-care facility, discrimination, minimum wage, wage discrimination, and workers</w:t>
      </w:r>
      <w:r>
        <w:rPr>
          <w:rFonts w:ascii="Times New Roman" w:hAnsi="Times New Roman"/>
          <w:sz w:val="24"/>
          <w:szCs w:val="24"/>
        </w:rPr>
        <w:t>’</w:t>
      </w:r>
      <w:r w:rsidRPr="00323F41">
        <w:rPr>
          <w:rFonts w:ascii="Times New Roman" w:hAnsi="Times New Roman"/>
          <w:sz w:val="24"/>
          <w:szCs w:val="24"/>
        </w:rPr>
        <w:t xml:space="preserve"> compensation.” </w:t>
      </w:r>
      <w:hyperlink r:id="rId1251" w:history="1">
        <w:r w:rsidRPr="00323F41">
          <w:rPr>
            <w:rStyle w:val="Hyperlink"/>
            <w:rFonts w:ascii="Times New Roman" w:hAnsi="Times New Roman"/>
            <w:sz w:val="24"/>
            <w:szCs w:val="24"/>
          </w:rPr>
          <w:t>https://www.workplacefairness.org/whistleblower-retaliation-claim-OH</w:t>
        </w:r>
      </w:hyperlink>
      <w:r w:rsidRPr="00323F41">
        <w:rPr>
          <w:rFonts w:ascii="Times New Roman" w:hAnsi="Times New Roman"/>
          <w:sz w:val="24"/>
          <w:szCs w:val="24"/>
        </w:rPr>
        <w:t xml:space="preserve"> </w:t>
      </w:r>
    </w:p>
    <w:p w14:paraId="78C3413E" w14:textId="77777777" w:rsidR="009E093C" w:rsidRDefault="009E093C" w:rsidP="00EF1133">
      <w:pPr>
        <w:rPr>
          <w:rFonts w:ascii="Arial Black" w:hAnsi="Arial Black"/>
          <w:b/>
          <w:sz w:val="24"/>
          <w:szCs w:val="24"/>
        </w:rPr>
      </w:pPr>
    </w:p>
    <w:p w14:paraId="3ED44651" w14:textId="77777777" w:rsidR="009E093C" w:rsidRDefault="009E093C" w:rsidP="00EF1133">
      <w:pPr>
        <w:rPr>
          <w:rFonts w:ascii="Arial Black" w:hAnsi="Arial Black"/>
          <w:b/>
          <w:sz w:val="24"/>
          <w:szCs w:val="24"/>
        </w:rPr>
      </w:pPr>
    </w:p>
    <w:p w14:paraId="70F1EBC6" w14:textId="77777777" w:rsidR="009E093C" w:rsidRDefault="009E093C" w:rsidP="00EF1133">
      <w:pPr>
        <w:rPr>
          <w:rFonts w:ascii="Arial Black" w:hAnsi="Arial Black"/>
          <w:b/>
          <w:sz w:val="24"/>
          <w:szCs w:val="24"/>
        </w:rPr>
      </w:pPr>
    </w:p>
    <w:p w14:paraId="330431A7" w14:textId="15C107A1" w:rsidR="00DD03E3" w:rsidRDefault="00DD03E3" w:rsidP="00EF1133">
      <w:pPr>
        <w:rPr>
          <w:rFonts w:ascii="Arial Black" w:hAnsi="Arial Black"/>
          <w:b/>
          <w:sz w:val="24"/>
          <w:szCs w:val="24"/>
        </w:rPr>
      </w:pPr>
      <w:r>
        <w:rPr>
          <w:rFonts w:ascii="Arial Black" w:hAnsi="Arial Black"/>
          <w:b/>
          <w:sz w:val="24"/>
          <w:szCs w:val="24"/>
        </w:rPr>
        <w:t>6-5</w:t>
      </w:r>
      <w:r w:rsidR="008F02C3">
        <w:rPr>
          <w:rFonts w:ascii="Arial Black" w:hAnsi="Arial Black"/>
          <w:b/>
          <w:sz w:val="24"/>
          <w:szCs w:val="24"/>
        </w:rPr>
        <w:t>2</w:t>
      </w:r>
    </w:p>
    <w:p w14:paraId="11CDA428" w14:textId="77777777" w:rsidR="00DD03E3" w:rsidRPr="001A1A8E" w:rsidRDefault="00DD03E3" w:rsidP="00DD03E3">
      <w:pPr>
        <w:pStyle w:val="NormalWeb"/>
        <w:rPr>
          <w:rFonts w:ascii="Arial Black" w:hAnsi="Arial Black"/>
          <w:sz w:val="28"/>
          <w:szCs w:val="28"/>
        </w:rPr>
      </w:pPr>
      <w:r w:rsidRPr="001A1A8E">
        <w:rPr>
          <w:rFonts w:ascii="Arial Black" w:hAnsi="Arial Black"/>
          <w:sz w:val="28"/>
          <w:szCs w:val="28"/>
        </w:rPr>
        <w:t>NJ:</w:t>
      </w:r>
      <w:r>
        <w:rPr>
          <w:rFonts w:ascii="Arial Black" w:hAnsi="Arial Black"/>
          <w:sz w:val="28"/>
          <w:szCs w:val="28"/>
        </w:rPr>
        <w:t xml:space="preserve"> RECRUIT FIRED AFTER GRADUATION – PRIOR TO ACADEMY HAD ALTERED INSURANCE CARD TO SHOW ADDRESS IN CITY - REINSTATED</w:t>
      </w:r>
    </w:p>
    <w:p w14:paraId="191F5C43" w14:textId="77777777" w:rsidR="00DD03E3" w:rsidRDefault="00DD03E3" w:rsidP="00DD03E3">
      <w:pPr>
        <w:spacing w:before="100" w:beforeAutospacing="1" w:after="100" w:afterAutospacing="1" w:line="240" w:lineRule="auto"/>
        <w:rPr>
          <w:rFonts w:ascii="Times New Roman" w:eastAsia="Times New Roman" w:hAnsi="Times New Roman"/>
          <w:sz w:val="24"/>
          <w:szCs w:val="24"/>
        </w:rPr>
      </w:pPr>
      <w:r w:rsidRPr="001A48DE">
        <w:rPr>
          <w:rFonts w:ascii="Times New Roman" w:eastAsia="Times New Roman" w:hAnsi="Times New Roman"/>
          <w:sz w:val="24"/>
          <w:szCs w:val="24"/>
        </w:rPr>
        <w:t xml:space="preserve">On Oct. 19, 2020, </w:t>
      </w:r>
      <w:r w:rsidRPr="001A48DE">
        <w:rPr>
          <w:rFonts w:ascii="Times New Roman" w:eastAsia="Times New Roman" w:hAnsi="Times New Roman"/>
          <w:sz w:val="24"/>
          <w:szCs w:val="24"/>
          <w:u w:val="single"/>
        </w:rPr>
        <w:t>In The Matter of Christopher D’Amico, City of Plainfield, Fire Department</w:t>
      </w:r>
      <w:r>
        <w:rPr>
          <w:rFonts w:ascii="Times New Roman" w:eastAsia="Times New Roman" w:hAnsi="Times New Roman"/>
          <w:sz w:val="24"/>
          <w:szCs w:val="24"/>
          <w:u w:val="single"/>
        </w:rPr>
        <w:t xml:space="preserve">, </w:t>
      </w:r>
      <w:r>
        <w:rPr>
          <w:rFonts w:ascii="Times New Roman" w:eastAsia="Times New Roman" w:hAnsi="Times New Roman"/>
          <w:sz w:val="24"/>
          <w:szCs w:val="24"/>
        </w:rPr>
        <w:t>the Superior Court of New Jersey, Appellate Division, held (2 to 0) in unpublished decision, that  the New Jersey Civil Service Commission, based on the findings of their Administrative Law Judge, properly ordered the City to rehire the firefighter, with back and seniority rights. The Fire Chief also supported the re-hire decision.</w:t>
      </w:r>
    </w:p>
    <w:p w14:paraId="632345FD" w14:textId="77777777" w:rsidR="00DD03E3" w:rsidRPr="001A48DE" w:rsidRDefault="00DD03E3" w:rsidP="00DD03E3">
      <w:pPr>
        <w:spacing w:before="100" w:beforeAutospacing="1" w:after="100" w:afterAutospacing="1" w:line="240" w:lineRule="auto"/>
        <w:ind w:left="720"/>
        <w:rPr>
          <w:rFonts w:ascii="Times New Roman" w:hAnsi="Times New Roman"/>
          <w:sz w:val="24"/>
          <w:szCs w:val="24"/>
        </w:rPr>
      </w:pPr>
      <w:r>
        <w:rPr>
          <w:rFonts w:ascii="Times New Roman" w:eastAsia="Times New Roman" w:hAnsi="Times New Roman"/>
          <w:sz w:val="24"/>
          <w:szCs w:val="24"/>
        </w:rPr>
        <w:t>“</w:t>
      </w:r>
      <w:r w:rsidRPr="001A48DE">
        <w:rPr>
          <w:rFonts w:ascii="Times New Roman" w:hAnsi="Times New Roman"/>
          <w:sz w:val="24"/>
          <w:szCs w:val="24"/>
        </w:rPr>
        <w:t xml:space="preserve">After reviewing the City's exceptions, the Commission agreed with the ALJ. It held D'Amico provided his true address on the card and the addition of correct information on the document did not indicate a lack of character or morals to be a firefighter. Even if it were, the Commission concluded the </w:t>
      </w:r>
      <w:proofErr w:type="gramStart"/>
      <w:r w:rsidRPr="001A48DE">
        <w:rPr>
          <w:rFonts w:ascii="Times New Roman" w:hAnsi="Times New Roman"/>
          <w:sz w:val="24"/>
          <w:szCs w:val="24"/>
        </w:rPr>
        <w:t>City</w:t>
      </w:r>
      <w:proofErr w:type="gramEnd"/>
      <w:r w:rsidRPr="001A48DE">
        <w:rPr>
          <w:rFonts w:ascii="Times New Roman" w:hAnsi="Times New Roman"/>
          <w:sz w:val="24"/>
          <w:szCs w:val="24"/>
        </w:rPr>
        <w:t xml:space="preserve"> was aware of the altered document in May 2017, before D'Amico was hired and attended the fire academy. In addition, because D'Amico was on the job for only three or four hours at the time he was terminated, the Commission concluded the </w:t>
      </w:r>
      <w:proofErr w:type="gramStart"/>
      <w:r w:rsidRPr="001A48DE">
        <w:rPr>
          <w:rFonts w:ascii="Times New Roman" w:hAnsi="Times New Roman"/>
          <w:sz w:val="24"/>
          <w:szCs w:val="24"/>
        </w:rPr>
        <w:t>City</w:t>
      </w:r>
      <w:proofErr w:type="gramEnd"/>
      <w:r w:rsidRPr="001A48DE">
        <w:rPr>
          <w:rFonts w:ascii="Times New Roman" w:hAnsi="Times New Roman"/>
          <w:sz w:val="24"/>
          <w:szCs w:val="24"/>
        </w:rPr>
        <w:t xml:space="preserve"> had the burden of proving D'Amico was guilty of the charges. Based on its findings, the Commission reinstated D'Amico, and awarded him back pay, benefits, and seniority status.</w:t>
      </w:r>
      <w:r>
        <w:rPr>
          <w:rFonts w:ascii="Times New Roman" w:hAnsi="Times New Roman"/>
          <w:sz w:val="24"/>
          <w:szCs w:val="24"/>
        </w:rPr>
        <w:t xml:space="preserve">” </w:t>
      </w:r>
      <w:hyperlink r:id="rId1252" w:history="1">
        <w:r w:rsidRPr="003B2E68">
          <w:rPr>
            <w:rStyle w:val="Hyperlink"/>
            <w:rFonts w:ascii="Times New Roman" w:hAnsi="Times New Roman"/>
            <w:sz w:val="24"/>
            <w:szCs w:val="24"/>
          </w:rPr>
          <w:t>https://public.fastcase.com/Wl%2B2t%2BeVuI35%2FN70vAMFZt8kW6J16QTt9TZ%2FuwcLGfAQlmvmDCIs7SYJL9UeqqRt</w:t>
        </w:r>
      </w:hyperlink>
      <w:r>
        <w:rPr>
          <w:rFonts w:ascii="Times New Roman" w:hAnsi="Times New Roman"/>
          <w:sz w:val="24"/>
          <w:szCs w:val="24"/>
        </w:rPr>
        <w:t xml:space="preserve"> </w:t>
      </w:r>
    </w:p>
    <w:p w14:paraId="764015A2" w14:textId="77777777" w:rsidR="00DD03E3" w:rsidRDefault="00DD03E3" w:rsidP="00DD03E3">
      <w:pPr>
        <w:spacing w:before="100" w:beforeAutospacing="1" w:after="100" w:afterAutospacing="1" w:line="240" w:lineRule="auto"/>
        <w:rPr>
          <w:rFonts w:ascii="Times New Roman" w:eastAsia="Times New Roman" w:hAnsi="Times New Roman"/>
          <w:b/>
          <w:bCs/>
          <w:sz w:val="24"/>
          <w:szCs w:val="24"/>
        </w:rPr>
      </w:pPr>
      <w:r w:rsidRPr="006D1272">
        <w:rPr>
          <w:rFonts w:ascii="Times New Roman" w:eastAsia="Times New Roman" w:hAnsi="Times New Roman"/>
          <w:b/>
          <w:bCs/>
          <w:sz w:val="24"/>
          <w:szCs w:val="24"/>
        </w:rPr>
        <w:t>Legal Lesson Learned:</w:t>
      </w:r>
      <w:r>
        <w:rPr>
          <w:rFonts w:ascii="Times New Roman" w:eastAsia="Times New Roman" w:hAnsi="Times New Roman"/>
          <w:b/>
          <w:bCs/>
          <w:sz w:val="24"/>
          <w:szCs w:val="24"/>
        </w:rPr>
        <w:t xml:space="preserve"> Civil Service Commissions can perform valuable service; Courts will normally uphold unless “arbitrary, capricious, unreasonable, or lacked sufficient credible evidence in the record. </w:t>
      </w:r>
    </w:p>
    <w:p w14:paraId="138AECDA" w14:textId="77777777" w:rsidR="00DD03E3" w:rsidRDefault="00DD03E3" w:rsidP="00DD03E3">
      <w:pPr>
        <w:spacing w:before="100" w:beforeAutospacing="1" w:after="100" w:afterAutospacing="1" w:line="240" w:lineRule="auto"/>
        <w:ind w:left="720"/>
        <w:rPr>
          <w:rFonts w:ascii="Times New Roman" w:hAnsi="Times New Roman"/>
          <w:sz w:val="24"/>
          <w:szCs w:val="24"/>
        </w:rPr>
      </w:pPr>
      <w:r w:rsidRPr="006F79CC">
        <w:rPr>
          <w:rFonts w:ascii="Times New Roman" w:eastAsia="Times New Roman" w:hAnsi="Times New Roman"/>
          <w:sz w:val="24"/>
          <w:szCs w:val="24"/>
        </w:rPr>
        <w:t>Note:</w:t>
      </w:r>
      <w:r>
        <w:rPr>
          <w:rFonts w:ascii="Times New Roman" w:eastAsia="Times New Roman" w:hAnsi="Times New Roman"/>
          <w:b/>
          <w:bCs/>
          <w:sz w:val="24"/>
          <w:szCs w:val="24"/>
        </w:rPr>
        <w:t xml:space="preserve"> </w:t>
      </w:r>
      <w:r w:rsidRPr="006D1272">
        <w:rPr>
          <w:rFonts w:ascii="Times New Roman" w:hAnsi="Times New Roman"/>
          <w:sz w:val="24"/>
          <w:szCs w:val="24"/>
        </w:rPr>
        <w:t>The Ohio Supreme Court, in Lima v State,</w:t>
      </w:r>
      <w:r>
        <w:rPr>
          <w:rFonts w:ascii="Times New Roman" w:hAnsi="Times New Roman"/>
          <w:sz w:val="24"/>
          <w:szCs w:val="24"/>
        </w:rPr>
        <w:t xml:space="preserve"> on June 10, 2009, </w:t>
      </w:r>
      <w:r w:rsidRPr="006D1272">
        <w:rPr>
          <w:rFonts w:ascii="Times New Roman" w:hAnsi="Times New Roman"/>
          <w:sz w:val="24"/>
          <w:szCs w:val="24"/>
        </w:rPr>
        <w:t>2009-Ohio-2597, held 5-2 that a state law</w:t>
      </w:r>
      <w:r>
        <w:rPr>
          <w:rFonts w:ascii="Times New Roman" w:hAnsi="Times New Roman"/>
          <w:sz w:val="24"/>
          <w:szCs w:val="24"/>
        </w:rPr>
        <w:t xml:space="preserve"> </w:t>
      </w:r>
      <w:r w:rsidRPr="006D1272">
        <w:rPr>
          <w:rFonts w:ascii="Times New Roman" w:hAnsi="Times New Roman"/>
          <w:sz w:val="24"/>
          <w:szCs w:val="24"/>
        </w:rPr>
        <w:t>prohibiting general residency requirements for public</w:t>
      </w:r>
      <w:r>
        <w:rPr>
          <w:rFonts w:ascii="Times New Roman" w:hAnsi="Times New Roman"/>
          <w:sz w:val="24"/>
          <w:szCs w:val="24"/>
        </w:rPr>
        <w:t xml:space="preserve"> </w:t>
      </w:r>
      <w:r w:rsidRPr="006D1272">
        <w:rPr>
          <w:rFonts w:ascii="Times New Roman" w:hAnsi="Times New Roman"/>
          <w:sz w:val="24"/>
          <w:szCs w:val="24"/>
        </w:rPr>
        <w:t xml:space="preserve">employees is valid and supersedes local </w:t>
      </w:r>
      <w:r w:rsidRPr="006D1272">
        <w:rPr>
          <w:rFonts w:ascii="Times New Roman" w:hAnsi="Times New Roman"/>
          <w:sz w:val="24"/>
          <w:szCs w:val="24"/>
        </w:rPr>
        <w:lastRenderedPageBreak/>
        <w:t>laws</w:t>
      </w:r>
      <w:r>
        <w:rPr>
          <w:rFonts w:ascii="Times New Roman" w:hAnsi="Times New Roman"/>
          <w:sz w:val="24"/>
          <w:szCs w:val="24"/>
        </w:rPr>
        <w:t xml:space="preserve"> that might require residency.  </w:t>
      </w:r>
      <w:hyperlink r:id="rId1253" w:history="1">
        <w:r w:rsidRPr="003B2E68">
          <w:rPr>
            <w:rStyle w:val="Hyperlink"/>
            <w:rFonts w:ascii="Times New Roman" w:hAnsi="Times New Roman"/>
            <w:sz w:val="24"/>
            <w:szCs w:val="24"/>
          </w:rPr>
          <w:t>https://www.supremecourt.ohio.gov/rod/docs/pdf/0/2009/2009-Ohio-2597.pdf</w:t>
        </w:r>
      </w:hyperlink>
      <w:r>
        <w:rPr>
          <w:rFonts w:ascii="Times New Roman" w:hAnsi="Times New Roman"/>
          <w:sz w:val="24"/>
          <w:szCs w:val="24"/>
        </w:rPr>
        <w:t xml:space="preserve"> </w:t>
      </w:r>
    </w:p>
    <w:p w14:paraId="53AD2A8E" w14:textId="77777777" w:rsidR="00DD03E3" w:rsidRPr="00B5449A" w:rsidRDefault="00DD03E3" w:rsidP="00DD03E3">
      <w:pPr>
        <w:spacing w:before="100" w:beforeAutospacing="1" w:after="100" w:afterAutospacing="1" w:line="240" w:lineRule="auto"/>
        <w:ind w:left="720"/>
        <w:rPr>
          <w:rFonts w:ascii="Times New Roman" w:eastAsia="Times New Roman" w:hAnsi="Times New Roman"/>
          <w:sz w:val="24"/>
          <w:szCs w:val="24"/>
        </w:rPr>
      </w:pPr>
      <w:r w:rsidRPr="00B5449A">
        <w:rPr>
          <w:rFonts w:ascii="Times New Roman" w:eastAsia="Times New Roman" w:hAnsi="Times New Roman"/>
          <w:sz w:val="24"/>
          <w:szCs w:val="24"/>
        </w:rPr>
        <w:t>For Ohio firefighters</w:t>
      </w:r>
      <w:r>
        <w:rPr>
          <w:rFonts w:ascii="Times New Roman" w:eastAsia="Times New Roman" w:hAnsi="Times New Roman"/>
          <w:sz w:val="24"/>
          <w:szCs w:val="24"/>
        </w:rPr>
        <w:t xml:space="preserve"> and other emergency responders</w:t>
      </w:r>
      <w:r w:rsidRPr="00B5449A">
        <w:rPr>
          <w:rFonts w:ascii="Times New Roman" w:eastAsia="Times New Roman" w:hAnsi="Times New Roman"/>
          <w:sz w:val="24"/>
          <w:szCs w:val="24"/>
        </w:rPr>
        <w:t xml:space="preserve">, </w:t>
      </w:r>
      <w:r>
        <w:rPr>
          <w:rFonts w:ascii="Times New Roman" w:eastAsia="Times New Roman" w:hAnsi="Times New Roman"/>
          <w:sz w:val="24"/>
          <w:szCs w:val="24"/>
        </w:rPr>
        <w:t xml:space="preserve">a </w:t>
      </w:r>
      <w:r w:rsidRPr="00B5449A">
        <w:rPr>
          <w:rFonts w:ascii="Times New Roman" w:eastAsia="Times New Roman" w:hAnsi="Times New Roman"/>
          <w:sz w:val="24"/>
          <w:szCs w:val="24"/>
        </w:rPr>
        <w:t xml:space="preserve">political subdivision may require </w:t>
      </w:r>
      <w:r>
        <w:rPr>
          <w:rFonts w:ascii="Times New Roman" w:eastAsia="Times New Roman" w:hAnsi="Times New Roman"/>
          <w:sz w:val="24"/>
          <w:szCs w:val="24"/>
        </w:rPr>
        <w:t xml:space="preserve">that they </w:t>
      </w:r>
      <w:r w:rsidRPr="00B5449A">
        <w:rPr>
          <w:rFonts w:ascii="Times New Roman" w:eastAsia="Times New Roman" w:hAnsi="Times New Roman"/>
          <w:sz w:val="24"/>
          <w:szCs w:val="24"/>
        </w:rPr>
        <w:t>live in the county or adjacent county</w:t>
      </w:r>
      <w:r>
        <w:rPr>
          <w:rFonts w:ascii="Times New Roman" w:eastAsia="Times New Roman" w:hAnsi="Times New Roman"/>
          <w:sz w:val="24"/>
          <w:szCs w:val="24"/>
        </w:rPr>
        <w:t xml:space="preserve">. </w:t>
      </w:r>
      <w:r w:rsidRPr="00B5449A">
        <w:rPr>
          <w:rFonts w:ascii="Times New Roman" w:eastAsia="Times New Roman" w:hAnsi="Times New Roman"/>
          <w:sz w:val="24"/>
          <w:szCs w:val="24"/>
        </w:rPr>
        <w:t xml:space="preserve"> ORC 9.481: </w:t>
      </w:r>
      <w:hyperlink r:id="rId1254" w:history="1">
        <w:r w:rsidRPr="00B5449A">
          <w:rPr>
            <w:rStyle w:val="Hyperlink"/>
            <w:rFonts w:ascii="Times New Roman" w:eastAsia="Times New Roman" w:hAnsi="Times New Roman"/>
            <w:sz w:val="24"/>
            <w:szCs w:val="24"/>
          </w:rPr>
          <w:t>http://codes.ohio.gov/orc/gp9.481</w:t>
        </w:r>
      </w:hyperlink>
      <w:r w:rsidRPr="00B5449A">
        <w:rPr>
          <w:rFonts w:ascii="Times New Roman" w:eastAsia="Times New Roman" w:hAnsi="Times New Roman"/>
          <w:sz w:val="24"/>
          <w:szCs w:val="24"/>
        </w:rPr>
        <w:t xml:space="preserve"> </w:t>
      </w:r>
    </w:p>
    <w:p w14:paraId="35466EBD" w14:textId="77777777" w:rsidR="00DD03E3" w:rsidRPr="006D1272" w:rsidRDefault="00DD03E3" w:rsidP="00DD03E3">
      <w:pPr>
        <w:spacing w:before="100" w:beforeAutospacing="1" w:after="100" w:afterAutospacing="1" w:line="240" w:lineRule="auto"/>
        <w:ind w:left="1440"/>
        <w:rPr>
          <w:rFonts w:ascii="Times New Roman" w:eastAsia="Times New Roman" w:hAnsi="Times New Roman"/>
          <w:b/>
          <w:bCs/>
          <w:sz w:val="24"/>
          <w:szCs w:val="24"/>
        </w:rPr>
      </w:pPr>
      <w:r>
        <w:rPr>
          <w:rFonts w:ascii="Times New Roman" w:hAnsi="Times New Roman"/>
          <w:sz w:val="24"/>
          <w:szCs w:val="24"/>
        </w:rPr>
        <w:t>“</w:t>
      </w:r>
      <w:r w:rsidRPr="00B5449A">
        <w:rPr>
          <w:rFonts w:ascii="Times New Roman" w:hAnsi="Times New Roman"/>
          <w:sz w:val="24"/>
          <w:szCs w:val="24"/>
        </w:rPr>
        <w:t xml:space="preserve">To ensure adequate response times by certain employees of political subdivisions to emergencies or disasters while ensuring that those employees generally are free to reside throughout the state, the electors of any political subdivision may file an initiative petition to submit a local law to the electorate, or the legislative authority of the political subdivision may adopt an ordinance or resolution, that requires any individual employed by that political subdivision, as a condition of employment, to reside either in the county where the political subdivision is located or in any adjacent county in this state. </w:t>
      </w:r>
      <w:r>
        <w:rPr>
          <w:rFonts w:ascii="Times New Roman" w:hAnsi="Times New Roman"/>
          <w:sz w:val="24"/>
          <w:szCs w:val="24"/>
        </w:rPr>
        <w:t>“</w:t>
      </w:r>
    </w:p>
    <w:p w14:paraId="6CEB703A" w14:textId="77777777" w:rsidR="00F824FE" w:rsidRPr="00033598" w:rsidRDefault="00F824FE" w:rsidP="00F824FE">
      <w:pPr>
        <w:spacing w:before="100" w:beforeAutospacing="1" w:after="100" w:afterAutospacing="1" w:line="240" w:lineRule="auto"/>
        <w:rPr>
          <w:rFonts w:ascii="Times New Roman" w:eastAsia="Times New Roman" w:hAnsi="Times New Roman"/>
          <w:b/>
          <w:bCs/>
          <w:sz w:val="24"/>
          <w:szCs w:val="24"/>
        </w:rPr>
      </w:pPr>
      <w:r w:rsidRPr="00033598">
        <w:rPr>
          <w:rFonts w:ascii="Times New Roman" w:hAnsi="Times New Roman"/>
          <w:b/>
          <w:bCs/>
          <w:sz w:val="24"/>
          <w:szCs w:val="24"/>
        </w:rPr>
        <w:t>Legal Lessons Learned</w:t>
      </w:r>
      <w:r>
        <w:rPr>
          <w:rFonts w:ascii="Times New Roman" w:hAnsi="Times New Roman"/>
          <w:b/>
          <w:bCs/>
          <w:sz w:val="24"/>
          <w:szCs w:val="24"/>
        </w:rPr>
        <w:t xml:space="preserve">:  If unclear about records being requested, City had obligation to request clarification. </w:t>
      </w:r>
    </w:p>
    <w:p w14:paraId="1F3D3F8F" w14:textId="77777777" w:rsidR="00F824FE" w:rsidRDefault="00F824FE" w:rsidP="00F824FE">
      <w:pPr>
        <w:spacing w:before="100" w:beforeAutospacing="1" w:after="100" w:afterAutospacing="1" w:line="240" w:lineRule="auto"/>
        <w:ind w:firstLine="720"/>
        <w:rPr>
          <w:rFonts w:ascii="Times New Roman" w:hAnsi="Times New Roman"/>
          <w:sz w:val="24"/>
          <w:szCs w:val="24"/>
        </w:rPr>
      </w:pPr>
      <w:r>
        <w:rPr>
          <w:rFonts w:ascii="Times New Roman" w:hAnsi="Times New Roman"/>
          <w:sz w:val="24"/>
          <w:szCs w:val="24"/>
        </w:rPr>
        <w:t xml:space="preserve">Note: </w:t>
      </w:r>
    </w:p>
    <w:p w14:paraId="0BBC0660" w14:textId="77777777" w:rsidR="00F824FE" w:rsidRDefault="00F824FE" w:rsidP="00F824FE">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 xml:space="preserve">RECOVER ONLY FILING FEE: Ohio Rev. Code Section 2743.75(F)(3)(b): </w:t>
      </w:r>
      <w:hyperlink r:id="rId1255" w:history="1">
        <w:r w:rsidRPr="005E64DB">
          <w:rPr>
            <w:rStyle w:val="Hyperlink"/>
            <w:rFonts w:ascii="Times New Roman" w:hAnsi="Times New Roman"/>
            <w:sz w:val="24"/>
            <w:szCs w:val="24"/>
          </w:rPr>
          <w:t>http://codes.ohio.gov/orc/2743.75</w:t>
        </w:r>
      </w:hyperlink>
    </w:p>
    <w:p w14:paraId="474D57E8" w14:textId="77777777" w:rsidR="00F824FE" w:rsidRDefault="00F824FE" w:rsidP="00F824FE">
      <w:pPr>
        <w:spacing w:before="100" w:beforeAutospacing="1" w:after="100" w:afterAutospacing="1" w:line="240" w:lineRule="auto"/>
        <w:ind w:left="720"/>
        <w:rPr>
          <w:rFonts w:ascii="Times New Roman" w:hAnsi="Times New Roman"/>
          <w:sz w:val="24"/>
          <w:szCs w:val="24"/>
        </w:rPr>
      </w:pPr>
      <w:r w:rsidRPr="003801C1">
        <w:rPr>
          <w:rFonts w:ascii="Times New Roman" w:hAnsi="Times New Roman"/>
          <w:sz w:val="24"/>
          <w:szCs w:val="24"/>
        </w:rPr>
        <w:t xml:space="preserve">(b) The aggrieved person shall be entitled to recover from the public office or person responsible for the public records the amount of the filing fee of twenty-five dollars and any other costs associated with the action that are incurred by the aggrieved person, but shall not be entitled to recover attorney's fees, except that division (G)(2) of this section applies if an appeal is taken under division (G)(1) of this section. </w:t>
      </w:r>
    </w:p>
    <w:p w14:paraId="7D32409C" w14:textId="77777777" w:rsidR="00F824FE" w:rsidRDefault="00F824FE" w:rsidP="00F824FE">
      <w:pPr>
        <w:spacing w:before="100" w:beforeAutospacing="1" w:after="100" w:afterAutospacing="1" w:line="240" w:lineRule="auto"/>
        <w:ind w:left="720"/>
        <w:rPr>
          <w:rFonts w:ascii="Times New Roman" w:hAnsi="Times New Roman"/>
          <w:sz w:val="24"/>
          <w:szCs w:val="24"/>
        </w:rPr>
      </w:pPr>
    </w:p>
    <w:p w14:paraId="0BE59F01" w14:textId="77777777" w:rsidR="00F824FE" w:rsidRPr="00D2685F" w:rsidRDefault="00F824FE" w:rsidP="00F824FE">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 xml:space="preserve">RECOVER ATTORNEY FEES:  Section </w:t>
      </w:r>
      <w:r w:rsidRPr="00D2685F">
        <w:rPr>
          <w:rFonts w:ascii="Times New Roman" w:hAnsi="Times New Roman"/>
          <w:sz w:val="24"/>
          <w:szCs w:val="24"/>
        </w:rPr>
        <w:t xml:space="preserve">149.43: </w:t>
      </w:r>
      <w:hyperlink r:id="rId1256" w:history="1">
        <w:r w:rsidRPr="005E64DB">
          <w:rPr>
            <w:rStyle w:val="Hyperlink"/>
            <w:rFonts w:ascii="Times New Roman" w:hAnsi="Times New Roman"/>
            <w:sz w:val="24"/>
            <w:szCs w:val="24"/>
          </w:rPr>
          <w:t>https://law.justia.com/codes/ohio/2006/orc/jd_14943-4d7.html</w:t>
        </w:r>
      </w:hyperlink>
      <w:r w:rsidRPr="00D2685F">
        <w:rPr>
          <w:rFonts w:ascii="Times New Roman" w:hAnsi="Times New Roman"/>
          <w:sz w:val="24"/>
          <w:szCs w:val="24"/>
        </w:rPr>
        <w:t xml:space="preserve"> </w:t>
      </w:r>
    </w:p>
    <w:p w14:paraId="0311A66F" w14:textId="77777777" w:rsidR="00F824FE" w:rsidRPr="00033598" w:rsidRDefault="00F824FE" w:rsidP="00F824FE">
      <w:pPr>
        <w:spacing w:before="100" w:beforeAutospacing="1" w:after="100" w:afterAutospacing="1" w:line="240" w:lineRule="auto"/>
        <w:ind w:left="720"/>
        <w:rPr>
          <w:rFonts w:ascii="Times New Roman" w:hAnsi="Times New Roman"/>
          <w:sz w:val="24"/>
          <w:szCs w:val="24"/>
        </w:rPr>
      </w:pPr>
      <w:r w:rsidRPr="00033598">
        <w:rPr>
          <w:rFonts w:ascii="Times New Roman" w:hAnsi="Times New Roman"/>
          <w:sz w:val="24"/>
          <w:szCs w:val="24"/>
        </w:rPr>
        <w:t>(C)  If a person allegedly is aggrieved by the failure of a public office to promptly prepare a public record and to make it available to the person for inspection in accordance with division (B) of this section, or if a person who has requested a copy of a public record allegedly is aggrieved by the failure of a public office or the person responsible for the public record to make a copy available to the person allegedly aggrieved in accordance with division (B) of this section, the person allegedly aggrieved may commence a mandamus action to obtain a judgment that orders the public office or the person responsible for the public record to comply with division (B) of this section and that awards reasonable attorney's fees to the person that instituted the mandamus action. The mandamus action may be commenced in the court of common pleas of the county in which division (B) of this section allegedly was not complied with, in the supreme court pursuant to its original jurisdiction under Section 2 of Article IV, Ohio Constitution, or in the court of appeals for the appellate district in which division (B) of this section allegedly was not complied with pursuant to its original jurisdiction under Section 3 of Article IV, Ohio Constitution. </w:t>
      </w:r>
    </w:p>
    <w:p w14:paraId="44E05360" w14:textId="77777777" w:rsidR="00F824FE" w:rsidRDefault="00F824FE" w:rsidP="00EF1133">
      <w:pPr>
        <w:rPr>
          <w:rFonts w:ascii="Arial Black" w:hAnsi="Arial Black"/>
          <w:b/>
          <w:sz w:val="24"/>
          <w:szCs w:val="24"/>
        </w:rPr>
      </w:pPr>
    </w:p>
    <w:p w14:paraId="0CF2D171" w14:textId="77777777" w:rsidR="00F824FE" w:rsidRDefault="00F824FE" w:rsidP="00EF1133">
      <w:pPr>
        <w:rPr>
          <w:rFonts w:ascii="Arial Black" w:hAnsi="Arial Black"/>
          <w:b/>
          <w:sz w:val="24"/>
          <w:szCs w:val="24"/>
        </w:rPr>
      </w:pPr>
    </w:p>
    <w:p w14:paraId="4457B992" w14:textId="5F38466E" w:rsidR="00F824FE" w:rsidRDefault="00F824FE" w:rsidP="00EF1133">
      <w:pPr>
        <w:rPr>
          <w:rFonts w:ascii="Arial Black" w:hAnsi="Arial Black"/>
          <w:b/>
          <w:sz w:val="24"/>
          <w:szCs w:val="24"/>
        </w:rPr>
      </w:pPr>
      <w:r>
        <w:rPr>
          <w:rFonts w:ascii="Arial Black" w:hAnsi="Arial Black"/>
          <w:b/>
          <w:sz w:val="24"/>
          <w:szCs w:val="24"/>
        </w:rPr>
        <w:lastRenderedPageBreak/>
        <w:t>6-51</w:t>
      </w:r>
    </w:p>
    <w:p w14:paraId="2813E3F4" w14:textId="77777777" w:rsidR="00F824FE" w:rsidRDefault="00F824FE" w:rsidP="00F824FE">
      <w:pPr>
        <w:spacing w:before="100" w:beforeAutospacing="1" w:after="100" w:afterAutospacing="1" w:line="240" w:lineRule="auto"/>
        <w:rPr>
          <w:rFonts w:ascii="Arial Black" w:hAnsi="Arial Black"/>
          <w:sz w:val="28"/>
          <w:szCs w:val="28"/>
        </w:rPr>
      </w:pPr>
      <w:r>
        <w:rPr>
          <w:rFonts w:ascii="Arial Black" w:hAnsi="Arial Black"/>
          <w:sz w:val="28"/>
          <w:szCs w:val="28"/>
        </w:rPr>
        <w:t>OH:  CLEVELAND LOCAL 93 – PUBLIC RECORDS REQUEST FOR FD’s 2019 EXPENSE REPORTS – CITY RESPONSE WAS INADEQUATE</w:t>
      </w:r>
    </w:p>
    <w:p w14:paraId="1E1CC502" w14:textId="77777777" w:rsidR="00F824FE" w:rsidRDefault="00F824FE" w:rsidP="00F824FE">
      <w:pPr>
        <w:spacing w:before="100" w:beforeAutospacing="1" w:after="100" w:afterAutospacing="1" w:line="240" w:lineRule="auto"/>
        <w:rPr>
          <w:rFonts w:ascii="Times New Roman" w:hAnsi="Times New Roman"/>
          <w:sz w:val="24"/>
          <w:szCs w:val="24"/>
        </w:rPr>
      </w:pPr>
      <w:r w:rsidRPr="005713F8">
        <w:rPr>
          <w:rFonts w:ascii="Times New Roman" w:hAnsi="Times New Roman"/>
          <w:sz w:val="24"/>
          <w:szCs w:val="24"/>
        </w:rPr>
        <w:t xml:space="preserve">On Sept. 22, 2020, in </w:t>
      </w:r>
      <w:r w:rsidRPr="005713F8">
        <w:rPr>
          <w:rFonts w:ascii="Times New Roman" w:hAnsi="Times New Roman"/>
          <w:sz w:val="24"/>
          <w:szCs w:val="24"/>
          <w:u w:val="single"/>
        </w:rPr>
        <w:t>Association of Cleveland Fire Fighters IAFF Local 93 v. City of Cleveland,</w:t>
      </w:r>
      <w:r>
        <w:rPr>
          <w:rFonts w:ascii="Times New Roman" w:hAnsi="Times New Roman"/>
          <w:sz w:val="24"/>
          <w:szCs w:val="24"/>
        </w:rPr>
        <w:t xml:space="preserve"> Court of Claims of Ohio, Special Master Jeff Clark, after mediation, published his Report and Recommendations to the Court of Claim, findings that City failed to promptly produce Excel records showing 2019 expense records [Dec. 31, 2019 request; City produced some financial records Feb. 12, 2020, but FD expense records not produced until May 20, 2020].  If the City was unclear about the records being </w:t>
      </w:r>
      <w:proofErr w:type="gramStart"/>
      <w:r>
        <w:rPr>
          <w:rFonts w:ascii="Times New Roman" w:hAnsi="Times New Roman"/>
          <w:sz w:val="24"/>
          <w:szCs w:val="24"/>
        </w:rPr>
        <w:t>requested</w:t>
      </w:r>
      <w:proofErr w:type="gramEnd"/>
      <w:r>
        <w:rPr>
          <w:rFonts w:ascii="Times New Roman" w:hAnsi="Times New Roman"/>
          <w:sz w:val="24"/>
          <w:szCs w:val="24"/>
        </w:rPr>
        <w:t xml:space="preserve"> it had obligation under Ohio code to ask Local 93 to clarify.  The only remedy, however, is $25 filing fee under Ohio Revised Code </w:t>
      </w:r>
      <w:r w:rsidRPr="003801C1">
        <w:rPr>
          <w:rFonts w:ascii="Times New Roman" w:hAnsi="Times New Roman"/>
          <w:sz w:val="24"/>
          <w:szCs w:val="24"/>
        </w:rPr>
        <w:t>2743.75(F)(3)(b).</w:t>
      </w:r>
      <w:r>
        <w:rPr>
          <w:rFonts w:ascii="Times New Roman" w:hAnsi="Times New Roman"/>
          <w:sz w:val="24"/>
          <w:szCs w:val="24"/>
        </w:rPr>
        <w:t xml:space="preserve"> </w:t>
      </w:r>
      <w:proofErr w:type="gramStart"/>
      <w:r>
        <w:rPr>
          <w:rFonts w:ascii="Times New Roman" w:hAnsi="Times New Roman"/>
          <w:sz w:val="24"/>
          <w:szCs w:val="24"/>
        </w:rPr>
        <w:t>In order to</w:t>
      </w:r>
      <w:proofErr w:type="gramEnd"/>
      <w:r>
        <w:rPr>
          <w:rFonts w:ascii="Times New Roman" w:hAnsi="Times New Roman"/>
          <w:sz w:val="24"/>
          <w:szCs w:val="24"/>
        </w:rPr>
        <w:t xml:space="preserve"> recover </w:t>
      </w:r>
      <w:proofErr w:type="spellStart"/>
      <w:proofErr w:type="gramStart"/>
      <w:r>
        <w:rPr>
          <w:rFonts w:ascii="Times New Roman" w:hAnsi="Times New Roman"/>
          <w:sz w:val="24"/>
          <w:szCs w:val="24"/>
        </w:rPr>
        <w:t>attorneys</w:t>
      </w:r>
      <w:proofErr w:type="spellEnd"/>
      <w:proofErr w:type="gramEnd"/>
      <w:r>
        <w:rPr>
          <w:rFonts w:ascii="Times New Roman" w:hAnsi="Times New Roman"/>
          <w:sz w:val="24"/>
          <w:szCs w:val="24"/>
        </w:rPr>
        <w:t xml:space="preserve"> fees, Local 93 </w:t>
      </w:r>
      <w:proofErr w:type="gramStart"/>
      <w:r>
        <w:rPr>
          <w:rFonts w:ascii="Times New Roman" w:hAnsi="Times New Roman"/>
          <w:sz w:val="24"/>
          <w:szCs w:val="24"/>
        </w:rPr>
        <w:t>would have had</w:t>
      </w:r>
      <w:proofErr w:type="gramEnd"/>
      <w:r>
        <w:rPr>
          <w:rFonts w:ascii="Times New Roman" w:hAnsi="Times New Roman"/>
          <w:sz w:val="24"/>
          <w:szCs w:val="24"/>
        </w:rPr>
        <w:t xml:space="preserve"> to file a mandamus action in Court of Common Pleas under Section 149.43.  </w:t>
      </w:r>
    </w:p>
    <w:p w14:paraId="50BEAE80" w14:textId="77777777" w:rsidR="00F824FE" w:rsidRPr="00D2685F" w:rsidRDefault="00F824FE" w:rsidP="00F824FE">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r w:rsidRPr="00D2685F">
        <w:rPr>
          <w:rFonts w:ascii="Times New Roman" w:hAnsi="Times New Roman"/>
          <w:sz w:val="24"/>
          <w:szCs w:val="24"/>
        </w:rPr>
        <w:t xml:space="preserve">Presented with a request that it considered ambiguous, Cleveland had an obligation to </w:t>
      </w:r>
      <w:r>
        <w:rPr>
          <w:rFonts w:ascii="Times New Roman" w:hAnsi="Times New Roman"/>
          <w:sz w:val="24"/>
          <w:szCs w:val="24"/>
        </w:rPr>
        <w:t>‘</w:t>
      </w:r>
      <w:r w:rsidRPr="00D2685F">
        <w:rPr>
          <w:rFonts w:ascii="Times New Roman" w:hAnsi="Times New Roman"/>
          <w:sz w:val="24"/>
          <w:szCs w:val="24"/>
        </w:rPr>
        <w:t>provide the requester with an opportunity to revise the request by informing the requester of the manner in which records are maintained by the public office and accessed in the ordinary course of the public office's or person's duties.</w:t>
      </w:r>
      <w:r>
        <w:rPr>
          <w:rFonts w:ascii="Times New Roman" w:hAnsi="Times New Roman"/>
          <w:sz w:val="24"/>
          <w:szCs w:val="24"/>
        </w:rPr>
        <w:t>’</w:t>
      </w:r>
      <w:r w:rsidRPr="00D2685F">
        <w:rPr>
          <w:rFonts w:ascii="Times New Roman" w:hAnsi="Times New Roman"/>
          <w:sz w:val="24"/>
          <w:szCs w:val="24"/>
        </w:rPr>
        <w:t xml:space="preserve"> R.C. 149.43(B)(2). When Local 93 contacted Cleveland on February 12, 2020 and objected that the record provided was not the record that it sought, Cleveland's proper response was not to offer that Local 93 could send another email (Response at 4), but instead to affirmatively </w:t>
      </w:r>
      <w:r w:rsidRPr="00D2685F">
        <w:rPr>
          <w:rFonts w:ascii="Times New Roman" w:hAnsi="Times New Roman"/>
          <w:i/>
          <w:iCs/>
          <w:sz w:val="24"/>
          <w:szCs w:val="24"/>
        </w:rPr>
        <w:t>inform</w:t>
      </w:r>
      <w:r w:rsidRPr="00D2685F">
        <w:rPr>
          <w:rFonts w:ascii="Times New Roman" w:hAnsi="Times New Roman"/>
          <w:sz w:val="24"/>
          <w:szCs w:val="24"/>
        </w:rPr>
        <w:t xml:space="preserve"> Local 93 of the manner in which itemized expense reports for the Cleveland Division of Fire were maintained and accessed in the ordinary course of duty. As demonstrated in the record, Cleveland kept and used more than one such report.</w:t>
      </w:r>
      <w:r>
        <w:rPr>
          <w:rFonts w:ascii="Times New Roman" w:hAnsi="Times New Roman"/>
          <w:sz w:val="24"/>
          <w:szCs w:val="24"/>
        </w:rPr>
        <w:t xml:space="preserve">” </w:t>
      </w:r>
      <w:hyperlink r:id="rId1257" w:history="1">
        <w:r w:rsidRPr="005E64DB">
          <w:rPr>
            <w:rStyle w:val="Hyperlink"/>
            <w:rFonts w:ascii="Times New Roman" w:hAnsi="Times New Roman"/>
            <w:sz w:val="24"/>
            <w:szCs w:val="24"/>
          </w:rPr>
          <w:t>https://scholar.google.com/scholar_case?case=5871380462060471996&amp;q=Association+of+Cleveland+Fire+Fighters+IAFF+Local+93+v.+City+of+Cleveland,&amp;hl=en&amp;as_sdt=6,36&amp;as_vis=1</w:t>
        </w:r>
      </w:hyperlink>
      <w:r>
        <w:rPr>
          <w:rFonts w:ascii="Times New Roman" w:hAnsi="Times New Roman"/>
          <w:sz w:val="24"/>
          <w:szCs w:val="24"/>
        </w:rPr>
        <w:t xml:space="preserve"> </w:t>
      </w:r>
    </w:p>
    <w:p w14:paraId="7964B8D6" w14:textId="77777777" w:rsidR="00F824FE" w:rsidRDefault="00F824FE" w:rsidP="00EF1133">
      <w:pPr>
        <w:rPr>
          <w:rFonts w:ascii="Arial Black" w:hAnsi="Arial Black"/>
          <w:b/>
          <w:sz w:val="24"/>
          <w:szCs w:val="24"/>
        </w:rPr>
      </w:pPr>
    </w:p>
    <w:p w14:paraId="11EBBBC4" w14:textId="77777777" w:rsidR="00F824FE" w:rsidRDefault="00F824FE" w:rsidP="00EF1133">
      <w:pPr>
        <w:rPr>
          <w:rFonts w:ascii="Arial Black" w:hAnsi="Arial Black"/>
          <w:b/>
          <w:sz w:val="24"/>
          <w:szCs w:val="24"/>
        </w:rPr>
      </w:pPr>
    </w:p>
    <w:p w14:paraId="5ADB23E1" w14:textId="77777777" w:rsidR="00F824FE" w:rsidRDefault="00F824FE" w:rsidP="00EF1133">
      <w:pPr>
        <w:rPr>
          <w:rFonts w:ascii="Arial Black" w:hAnsi="Arial Black"/>
          <w:b/>
          <w:sz w:val="24"/>
          <w:szCs w:val="24"/>
        </w:rPr>
      </w:pPr>
    </w:p>
    <w:p w14:paraId="259B3B12" w14:textId="1B8F1311" w:rsidR="00557CA2" w:rsidRDefault="00557CA2" w:rsidP="00EF1133">
      <w:pPr>
        <w:rPr>
          <w:rFonts w:ascii="Arial Black" w:hAnsi="Arial Black"/>
          <w:b/>
          <w:sz w:val="24"/>
          <w:szCs w:val="24"/>
        </w:rPr>
      </w:pPr>
      <w:r>
        <w:rPr>
          <w:rFonts w:ascii="Arial Black" w:hAnsi="Arial Black"/>
          <w:b/>
          <w:sz w:val="24"/>
          <w:szCs w:val="24"/>
        </w:rPr>
        <w:t>6-50</w:t>
      </w:r>
    </w:p>
    <w:p w14:paraId="22465E70" w14:textId="77777777" w:rsidR="00557CA2" w:rsidRDefault="00557CA2" w:rsidP="00557CA2">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MD: EMT NECK INJURY – STATE STATUTE INCLUDED PARAMEDICS, FF BUT NOT “EMTs” – SHE IS COVERED</w:t>
      </w:r>
    </w:p>
    <w:p w14:paraId="00A1BD24" w14:textId="77777777" w:rsidR="00557CA2" w:rsidRDefault="00557CA2" w:rsidP="00557CA2">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On Aug. 26, 2020, in </w:t>
      </w:r>
      <w:r>
        <w:rPr>
          <w:rFonts w:ascii="Times New Roman" w:eastAsia="Times New Roman" w:hAnsi="Times New Roman"/>
          <w:sz w:val="24"/>
          <w:szCs w:val="24"/>
          <w:u w:val="single"/>
        </w:rPr>
        <w:t>Ashley N. Downer v. Baltimore County, Maryland</w:t>
      </w:r>
      <w:r>
        <w:rPr>
          <w:rFonts w:ascii="Times New Roman" w:eastAsia="Times New Roman" w:hAnsi="Times New Roman"/>
          <w:sz w:val="24"/>
          <w:szCs w:val="24"/>
        </w:rPr>
        <w:t xml:space="preserve">, the Court of Special Appeals of Maryland, held (3 to 0) that EMTs are covered by the 1987 statute that awards increased compensation to a “public safety employee” injured on the job, even though the statute did not specifically include EMTs in its definitions [receives two-thirds of her average weekly wage, instead of one-third].  The Court reversed the Circuit Court trial judge and held: </w:t>
      </w:r>
    </w:p>
    <w:p w14:paraId="57E1C85F" w14:textId="77777777" w:rsidR="00557CA2" w:rsidRDefault="00557CA2" w:rsidP="00557CA2">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w:t>
      </w:r>
      <w:r>
        <w:rPr>
          <w:rFonts w:ascii="Times New Roman" w:hAnsi="Times New Roman"/>
          <w:sz w:val="24"/>
          <w:szCs w:val="24"/>
        </w:rPr>
        <w:t xml:space="preserve">The Court concludes that the term "paramedic" was used by the legislature in accordance with its commonly understood </w:t>
      </w:r>
      <w:proofErr w:type="gramStart"/>
      <w:r>
        <w:rPr>
          <w:rFonts w:ascii="Times New Roman" w:hAnsi="Times New Roman"/>
          <w:sz w:val="24"/>
          <w:szCs w:val="24"/>
        </w:rPr>
        <w:t>meaning,  and</w:t>
      </w:r>
      <w:proofErr w:type="gramEnd"/>
      <w:r>
        <w:rPr>
          <w:rFonts w:ascii="Times New Roman" w:hAnsi="Times New Roman"/>
          <w:sz w:val="24"/>
          <w:szCs w:val="24"/>
        </w:rPr>
        <w:t xml:space="preserve"> includes persons who are also known as emergency medical technicians.</w:t>
      </w:r>
      <w:r>
        <w:rPr>
          <w:rFonts w:ascii="Times New Roman" w:eastAsia="Times New Roman" w:hAnsi="Times New Roman"/>
          <w:sz w:val="24"/>
          <w:szCs w:val="24"/>
        </w:rPr>
        <w:t xml:space="preserve"> *** </w:t>
      </w:r>
      <w:r>
        <w:rPr>
          <w:rFonts w:ascii="Times New Roman" w:hAnsi="Times New Roman"/>
          <w:sz w:val="24"/>
          <w:szCs w:val="24"/>
        </w:rPr>
        <w:t>We conclude that Ms. Downer should have been considered a public safety employee within the definition of LE § 9-628(a)(1).”</w:t>
      </w:r>
      <w:r>
        <w:rPr>
          <w:rFonts w:ascii="Times New Roman" w:eastAsia="Times New Roman" w:hAnsi="Times New Roman"/>
          <w:sz w:val="24"/>
          <w:szCs w:val="24"/>
        </w:rPr>
        <w:t xml:space="preserve"> </w:t>
      </w:r>
      <w:hyperlink r:id="rId1258" w:history="1">
        <w:r>
          <w:rPr>
            <w:rStyle w:val="Hyperlink"/>
            <w:sz w:val="24"/>
            <w:szCs w:val="24"/>
          </w:rPr>
          <w:t>https://law.justia.com/cases/maryland/court-of-special-appeals/2020/2498-17.html</w:t>
        </w:r>
      </w:hyperlink>
      <w:r>
        <w:rPr>
          <w:rFonts w:ascii="Times New Roman" w:eastAsia="Times New Roman" w:hAnsi="Times New Roman"/>
          <w:sz w:val="24"/>
          <w:szCs w:val="24"/>
        </w:rPr>
        <w:t xml:space="preserve"> </w:t>
      </w:r>
    </w:p>
    <w:p w14:paraId="7721E80A" w14:textId="77777777" w:rsidR="00557CA2" w:rsidRDefault="00557CA2" w:rsidP="00557CA2">
      <w:pPr>
        <w:spacing w:before="100" w:beforeAutospacing="1" w:after="100" w:afterAutospacing="1" w:line="240" w:lineRule="auto"/>
        <w:rPr>
          <w:rFonts w:ascii="Times New Roman" w:eastAsia="Times New Roman" w:hAnsi="Times New Roman"/>
          <w:b/>
          <w:bCs/>
          <w:sz w:val="24"/>
          <w:szCs w:val="24"/>
        </w:rPr>
      </w:pPr>
      <w:r>
        <w:rPr>
          <w:rFonts w:ascii="Times New Roman" w:eastAsia="Times New Roman" w:hAnsi="Times New Roman"/>
          <w:b/>
          <w:bCs/>
          <w:sz w:val="24"/>
          <w:szCs w:val="24"/>
        </w:rPr>
        <w:lastRenderedPageBreak/>
        <w:t xml:space="preserve">Legal Lessons Learned: Nice to see Court broadly interpreting a workers compensation statute broadly. </w:t>
      </w:r>
    </w:p>
    <w:p w14:paraId="62CEC2DE" w14:textId="77777777" w:rsidR="00557CA2" w:rsidRDefault="00557CA2" w:rsidP="00EF1133">
      <w:pPr>
        <w:rPr>
          <w:rFonts w:ascii="Arial Black" w:hAnsi="Arial Black"/>
          <w:b/>
          <w:sz w:val="24"/>
          <w:szCs w:val="24"/>
        </w:rPr>
      </w:pPr>
    </w:p>
    <w:p w14:paraId="2701FB75" w14:textId="4F35ECEB" w:rsidR="00557CA2" w:rsidRDefault="00557CA2" w:rsidP="00EF1133">
      <w:pPr>
        <w:rPr>
          <w:rFonts w:ascii="Arial Black" w:hAnsi="Arial Black"/>
          <w:b/>
          <w:sz w:val="24"/>
          <w:szCs w:val="24"/>
        </w:rPr>
      </w:pPr>
      <w:r>
        <w:rPr>
          <w:rFonts w:ascii="Arial Black" w:hAnsi="Arial Black"/>
          <w:b/>
          <w:sz w:val="24"/>
          <w:szCs w:val="24"/>
        </w:rPr>
        <w:t>6-49</w:t>
      </w:r>
    </w:p>
    <w:p w14:paraId="08E1822B" w14:textId="77777777" w:rsidR="00557CA2" w:rsidRDefault="00557CA2" w:rsidP="00557CA2">
      <w:pPr>
        <w:spacing w:before="100" w:beforeAutospacing="1" w:after="100" w:afterAutospacing="1" w:line="240" w:lineRule="auto"/>
        <w:rPr>
          <w:rFonts w:ascii="Arial Black" w:hAnsi="Arial Black" w:cstheme="minorBidi"/>
          <w:sz w:val="28"/>
          <w:szCs w:val="28"/>
        </w:rPr>
      </w:pPr>
      <w:r>
        <w:rPr>
          <w:rFonts w:ascii="Arial Black" w:hAnsi="Arial Black"/>
          <w:sz w:val="28"/>
          <w:szCs w:val="28"/>
        </w:rPr>
        <w:t>WA: FF HEART ATTACK – FAMILY HISTORY - JURY FOUND CAUSED BY PLAQUE – STAT. PRESUMPTION OVERCOME</w:t>
      </w:r>
    </w:p>
    <w:p w14:paraId="4E4B7234" w14:textId="77777777" w:rsidR="00557CA2" w:rsidRDefault="00557CA2" w:rsidP="00557CA2">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On Aug. 18, 2020, in </w:t>
      </w:r>
      <w:r>
        <w:rPr>
          <w:rFonts w:ascii="Times New Roman" w:hAnsi="Times New Roman"/>
          <w:sz w:val="24"/>
          <w:szCs w:val="24"/>
          <w:u w:val="single"/>
        </w:rPr>
        <w:t xml:space="preserve">Andrew P. Leitner v. City of Tacoma and Department of Labor </w:t>
      </w:r>
      <w:proofErr w:type="gramStart"/>
      <w:r>
        <w:rPr>
          <w:rFonts w:ascii="Times New Roman" w:hAnsi="Times New Roman"/>
          <w:sz w:val="24"/>
          <w:szCs w:val="24"/>
          <w:u w:val="single"/>
        </w:rPr>
        <w:t>And</w:t>
      </w:r>
      <w:proofErr w:type="gramEnd"/>
      <w:r>
        <w:rPr>
          <w:rFonts w:ascii="Times New Roman" w:hAnsi="Times New Roman"/>
          <w:sz w:val="24"/>
          <w:szCs w:val="24"/>
          <w:u w:val="single"/>
        </w:rPr>
        <w:t xml:space="preserve"> Industries</w:t>
      </w:r>
      <w:r>
        <w:rPr>
          <w:rFonts w:ascii="Times New Roman" w:hAnsi="Times New Roman"/>
          <w:sz w:val="24"/>
          <w:szCs w:val="24"/>
        </w:rPr>
        <w:t xml:space="preserve">, the Court of Appeals of the State of Washington, Division II, held (3 to 0; unpublished decision) that the trial court gave a proper instruction to the jury, and the jury’s verdict will not be reversed. </w:t>
      </w:r>
    </w:p>
    <w:p w14:paraId="3F6912C7" w14:textId="77777777" w:rsidR="00557CA2" w:rsidRDefault="00557CA2" w:rsidP="00557CA2">
      <w:pPr>
        <w:pStyle w:val="NormalWeb"/>
        <w:ind w:left="720"/>
      </w:pPr>
      <w:r>
        <w:t xml:space="preserve">“Ultimately, the question of whether Leitner's other heart problems qualified for application of the statutory presumption was a factual question for the jury. The question of whether the Board incorrectly applied the presumption by failing to address Leitner's other heart problems was also a question for the jury. Therefore, we conclude that Leitner's argument that the superior court erred by failing to reverse or modify the Board's findings and decision lacks merit.”   </w:t>
      </w:r>
      <w:hyperlink r:id="rId1259" w:history="1">
        <w:r>
          <w:rPr>
            <w:rStyle w:val="Hyperlink"/>
            <w:rFonts w:eastAsiaTheme="majorEastAsia"/>
          </w:rPr>
          <w:t>https://law.justia.com/cases/washington/court-of-appeals-division-ii/2020/52908-4.html</w:t>
        </w:r>
      </w:hyperlink>
    </w:p>
    <w:p w14:paraId="3F5314E1" w14:textId="77777777" w:rsidR="00557CA2" w:rsidRDefault="00557CA2" w:rsidP="00557CA2">
      <w:pPr>
        <w:spacing w:before="100" w:beforeAutospacing="1" w:after="100" w:afterAutospacing="1" w:line="240" w:lineRule="auto"/>
        <w:rPr>
          <w:rFonts w:ascii="Times New Roman" w:eastAsia="Times New Roman" w:hAnsi="Times New Roman"/>
          <w:b/>
          <w:bCs/>
          <w:sz w:val="24"/>
          <w:szCs w:val="24"/>
        </w:rPr>
      </w:pPr>
      <w:r>
        <w:rPr>
          <w:rFonts w:ascii="Times New Roman" w:hAnsi="Times New Roman"/>
          <w:b/>
          <w:bCs/>
          <w:sz w:val="24"/>
          <w:szCs w:val="24"/>
        </w:rPr>
        <w:t xml:space="preserve">Legal Lessons Learned: Under the State of Washington statute, the employer can seek a jury trial on the issue of the cause of a firefighter’s heart attack. </w:t>
      </w:r>
    </w:p>
    <w:p w14:paraId="7154E4B6" w14:textId="77777777" w:rsidR="00557CA2" w:rsidRDefault="00557CA2" w:rsidP="00557CA2">
      <w:pPr>
        <w:spacing w:before="100" w:beforeAutospacing="1" w:after="100" w:afterAutospacing="1" w:line="240" w:lineRule="auto"/>
        <w:ind w:left="720"/>
        <w:rPr>
          <w:rFonts w:ascii="Times New Roman" w:eastAsiaTheme="minorHAnsi" w:hAnsi="Times New Roman"/>
          <w:sz w:val="24"/>
          <w:szCs w:val="24"/>
        </w:rPr>
      </w:pPr>
      <w:r>
        <w:rPr>
          <w:rFonts w:ascii="Times New Roman" w:hAnsi="Times New Roman"/>
          <w:sz w:val="24"/>
          <w:szCs w:val="24"/>
        </w:rPr>
        <w:t xml:space="preserve">Note: The State of Washington statutory presumption, RCW 51.32.185: </w:t>
      </w:r>
      <w:hyperlink r:id="rId1260" w:history="1">
        <w:r>
          <w:rPr>
            <w:rStyle w:val="Hyperlink"/>
            <w:sz w:val="24"/>
            <w:szCs w:val="24"/>
          </w:rPr>
          <w:t>https://app.leg.wa.gov/rcw/default.aspx?cite=51.32.185</w:t>
        </w:r>
      </w:hyperlink>
      <w:r>
        <w:rPr>
          <w:rFonts w:ascii="Times New Roman" w:hAnsi="Times New Roman"/>
          <w:sz w:val="24"/>
          <w:szCs w:val="24"/>
        </w:rPr>
        <w:t xml:space="preserve"> </w:t>
      </w:r>
    </w:p>
    <w:p w14:paraId="66E45073" w14:textId="0D87694C" w:rsidR="00557CA2" w:rsidRDefault="00557CA2" w:rsidP="00557CA2">
      <w:pPr>
        <w:ind w:left="1440"/>
        <w:rPr>
          <w:rFonts w:ascii="Times New Roman" w:hAnsi="Times New Roman"/>
          <w:sz w:val="24"/>
          <w:szCs w:val="24"/>
        </w:rPr>
      </w:pPr>
      <w:r>
        <w:rPr>
          <w:rFonts w:ascii="Times New Roman" w:hAnsi="Times New Roman"/>
          <w:sz w:val="24"/>
          <w:szCs w:val="24"/>
        </w:rPr>
        <w:t xml:space="preserve">(1)(a) In the case of firefighters as defined in RCW </w:t>
      </w:r>
      <w:hyperlink r:id="rId1261" w:history="1">
        <w:r>
          <w:rPr>
            <w:rStyle w:val="Hyperlink"/>
            <w:sz w:val="24"/>
            <w:szCs w:val="24"/>
          </w:rPr>
          <w:t>41.26.030</w:t>
        </w:r>
      </w:hyperlink>
      <w:r>
        <w:rPr>
          <w:rFonts w:ascii="Times New Roman" w:hAnsi="Times New Roman"/>
          <w:sz w:val="24"/>
          <w:szCs w:val="24"/>
        </w:rPr>
        <w:t>(17) (a), (b), (c), and (h) who are covered under this title and firefighters, including supervisors, employed on a full-time, fully compensated basis as a firefighter of a private sector employer's fire department that includes over fifty such firefighters, and public employee fire investigators, there shall exist a prima facie presumption that: (</w:t>
      </w:r>
      <w:proofErr w:type="spellStart"/>
      <w:r>
        <w:rPr>
          <w:rFonts w:ascii="Times New Roman" w:hAnsi="Times New Roman"/>
          <w:sz w:val="24"/>
          <w:szCs w:val="24"/>
        </w:rPr>
        <w:t>i</w:t>
      </w:r>
      <w:proofErr w:type="spellEnd"/>
      <w:r>
        <w:rPr>
          <w:rFonts w:ascii="Times New Roman" w:hAnsi="Times New Roman"/>
          <w:sz w:val="24"/>
          <w:szCs w:val="24"/>
        </w:rPr>
        <w:t xml:space="preserve">) Respiratory disease; (ii) any heart problems, experienced within seventy-two hours of exposure to smoke, fumes, or toxic substances, or experienced within twenty-four hours of strenuous physical exertion due to firefighting activities; (iii) cancer; and (iv) infectious diseases are occupational diseases under RCW </w:t>
      </w:r>
      <w:hyperlink r:id="rId1262" w:history="1">
        <w:r>
          <w:rPr>
            <w:rStyle w:val="Hyperlink"/>
            <w:sz w:val="24"/>
            <w:szCs w:val="24"/>
          </w:rPr>
          <w:t>51.08.140</w:t>
        </w:r>
      </w:hyperlink>
      <w:r>
        <w:rPr>
          <w:rFonts w:ascii="Times New Roman" w:hAnsi="Times New Roman"/>
          <w:sz w:val="24"/>
          <w:szCs w:val="24"/>
        </w:rPr>
        <w:t>.</w:t>
      </w:r>
    </w:p>
    <w:p w14:paraId="5FEF2910" w14:textId="77777777" w:rsidR="00557CA2" w:rsidRDefault="00557CA2" w:rsidP="00557CA2">
      <w:pPr>
        <w:pStyle w:val="NormalWeb"/>
        <w:ind w:left="720"/>
      </w:pPr>
      <w:r>
        <w:t>On April 24, 2019, the Governor signed an amendment to the statute, including additional cancers covered by the statutory presumption:</w:t>
      </w:r>
    </w:p>
    <w:p w14:paraId="0B6A523C" w14:textId="75072A1E" w:rsidR="00557CA2" w:rsidRDefault="00557CA2" w:rsidP="00557CA2">
      <w:pPr>
        <w:rPr>
          <w:rFonts w:ascii="Arial Black" w:hAnsi="Arial Black"/>
          <w:b/>
          <w:sz w:val="24"/>
          <w:szCs w:val="24"/>
        </w:rPr>
      </w:pPr>
      <w:r>
        <w:t xml:space="preserve">(10)(a)The director must create an advisory committee on occupational disease presumptions. The purposes of the advisory30committee are to review scientific evidence and to make recommendations to the legislature on additional diseases or disorders for inclusion under this section. </w:t>
      </w:r>
      <w:hyperlink r:id="rId1263" w:history="1">
        <w:r>
          <w:rPr>
            <w:rStyle w:val="Hyperlink"/>
            <w:rFonts w:eastAsiaTheme="majorEastAsia"/>
          </w:rPr>
          <w:t>http://lawfilesext.leg.wa.gov/biennium/2019-20/Pdf/Bills/Session%20Laws/House/1913.SL.pdf?cite=2019%20c%20133%20%C2%A7%201</w:t>
        </w:r>
      </w:hyperlink>
    </w:p>
    <w:p w14:paraId="4FCF79B5" w14:textId="77777777" w:rsidR="00557CA2" w:rsidRDefault="00557CA2" w:rsidP="00EF1133">
      <w:pPr>
        <w:rPr>
          <w:rFonts w:ascii="Arial Black" w:hAnsi="Arial Black"/>
          <w:b/>
          <w:sz w:val="24"/>
          <w:szCs w:val="24"/>
        </w:rPr>
      </w:pPr>
    </w:p>
    <w:p w14:paraId="1EFB8E91" w14:textId="12187865" w:rsidR="006B2083" w:rsidRDefault="006B2083" w:rsidP="00EF1133">
      <w:pPr>
        <w:rPr>
          <w:rFonts w:ascii="Arial Black" w:hAnsi="Arial Black"/>
          <w:b/>
          <w:sz w:val="24"/>
          <w:szCs w:val="24"/>
        </w:rPr>
      </w:pPr>
      <w:r>
        <w:rPr>
          <w:rFonts w:ascii="Arial Black" w:hAnsi="Arial Black"/>
          <w:b/>
          <w:sz w:val="24"/>
          <w:szCs w:val="24"/>
        </w:rPr>
        <w:t>6-48</w:t>
      </w:r>
    </w:p>
    <w:p w14:paraId="741951BD" w14:textId="77777777" w:rsidR="006B2083" w:rsidRPr="00683FEB" w:rsidRDefault="006B2083" w:rsidP="006B2083">
      <w:pPr>
        <w:pStyle w:val="NoSpacing"/>
        <w:rPr>
          <w:rFonts w:ascii="Arial Black" w:hAnsi="Arial Black"/>
          <w:sz w:val="28"/>
          <w:szCs w:val="28"/>
        </w:rPr>
      </w:pPr>
      <w:r w:rsidRPr="00683FEB">
        <w:rPr>
          <w:rFonts w:ascii="Arial Black" w:hAnsi="Arial Black"/>
          <w:sz w:val="28"/>
          <w:szCs w:val="28"/>
        </w:rPr>
        <w:lastRenderedPageBreak/>
        <w:t>NY:</w:t>
      </w:r>
      <w:r>
        <w:rPr>
          <w:rFonts w:ascii="Arial Black" w:hAnsi="Arial Black"/>
          <w:sz w:val="28"/>
          <w:szCs w:val="28"/>
        </w:rPr>
        <w:t xml:space="preserve"> FF WITH BAD HIP -– CLAIMED ON DUTY INJURY CAUSED – DEGENTIVE HISTORY - GETS ONLY “ORDINARY” PENSION</w:t>
      </w:r>
    </w:p>
    <w:p w14:paraId="0A61C137" w14:textId="77777777" w:rsidR="006B2083" w:rsidRDefault="006B2083" w:rsidP="006B2083">
      <w:pPr>
        <w:pStyle w:val="NoSpacing"/>
        <w:rPr>
          <w:rFonts w:ascii="Times New Roman" w:hAnsi="Times New Roman"/>
          <w:sz w:val="24"/>
          <w:szCs w:val="24"/>
        </w:rPr>
      </w:pPr>
    </w:p>
    <w:p w14:paraId="633E10B4" w14:textId="77777777" w:rsidR="006B2083" w:rsidRDefault="006B2083" w:rsidP="006B2083">
      <w:pPr>
        <w:pStyle w:val="NoSpacing"/>
        <w:rPr>
          <w:rFonts w:ascii="Times New Roman" w:hAnsi="Times New Roman"/>
          <w:sz w:val="24"/>
          <w:szCs w:val="24"/>
        </w:rPr>
      </w:pPr>
      <w:r w:rsidRPr="00D32613">
        <w:rPr>
          <w:rFonts w:ascii="Times New Roman" w:hAnsi="Times New Roman"/>
          <w:sz w:val="24"/>
          <w:szCs w:val="24"/>
        </w:rPr>
        <w:t xml:space="preserve">On July 15, 2020, in the case of </w:t>
      </w:r>
      <w:r w:rsidRPr="00D32613">
        <w:rPr>
          <w:rFonts w:ascii="Times New Roman" w:hAnsi="Times New Roman"/>
          <w:sz w:val="24"/>
          <w:szCs w:val="24"/>
          <w:u w:val="single"/>
        </w:rPr>
        <w:t>In the Matter of Robert Giuliano v. New York Fire Department Pension Fund, et al</w:t>
      </w:r>
      <w:r w:rsidRPr="00D32613">
        <w:rPr>
          <w:rFonts w:ascii="Times New Roman" w:hAnsi="Times New Roman"/>
          <w:sz w:val="24"/>
          <w:szCs w:val="24"/>
        </w:rPr>
        <w:t xml:space="preserve">., </w:t>
      </w:r>
      <w:r w:rsidRPr="00D32613">
        <w:rPr>
          <w:rFonts w:ascii="Times New Roman" w:eastAsia="Times New Roman" w:hAnsi="Times New Roman"/>
          <w:sz w:val="24"/>
          <w:szCs w:val="24"/>
        </w:rPr>
        <w:t>the Supreme Court of the State of New York, Appellate Division, Second</w:t>
      </w:r>
      <w:r>
        <w:rPr>
          <w:rFonts w:ascii="Times New Roman" w:eastAsia="Times New Roman" w:hAnsi="Times New Roman"/>
          <w:sz w:val="24"/>
          <w:szCs w:val="24"/>
        </w:rPr>
        <w:t xml:space="preserve"> </w:t>
      </w:r>
      <w:r w:rsidRPr="00D32613">
        <w:rPr>
          <w:rFonts w:ascii="Times New Roman" w:eastAsia="Times New Roman" w:hAnsi="Times New Roman"/>
          <w:sz w:val="24"/>
          <w:szCs w:val="24"/>
        </w:rPr>
        <w:t xml:space="preserve">Judicial Department, upheld (5 to 0) the trial court’s decision denying the firefighter’s </w:t>
      </w:r>
      <w:r w:rsidRPr="00D32613">
        <w:rPr>
          <w:rFonts w:ascii="Times New Roman" w:hAnsi="Times New Roman"/>
          <w:sz w:val="24"/>
          <w:szCs w:val="24"/>
        </w:rPr>
        <w:t>application for accidental disability retirement benefits; while he and his surgeon claimed likely caused by on the job injury, MRI showed degenerative history.</w:t>
      </w:r>
      <w:r>
        <w:rPr>
          <w:rFonts w:ascii="Times New Roman" w:hAnsi="Times New Roman"/>
          <w:sz w:val="24"/>
          <w:szCs w:val="24"/>
        </w:rPr>
        <w:t xml:space="preserve"> Court wrote: “</w:t>
      </w:r>
      <w:r w:rsidRPr="00FB2CC3">
        <w:rPr>
          <w:rFonts w:ascii="Times New Roman" w:hAnsi="Times New Roman"/>
          <w:sz w:val="24"/>
          <w:szCs w:val="24"/>
        </w:rPr>
        <w:t>The Medical Board’s findings differ from</w:t>
      </w:r>
      <w:r>
        <w:rPr>
          <w:rFonts w:ascii="Times New Roman" w:hAnsi="Times New Roman"/>
          <w:sz w:val="24"/>
          <w:szCs w:val="24"/>
        </w:rPr>
        <w:t xml:space="preserve"> </w:t>
      </w:r>
      <w:r w:rsidRPr="00FB2CC3">
        <w:rPr>
          <w:rFonts w:ascii="Times New Roman" w:hAnsi="Times New Roman"/>
          <w:sz w:val="24"/>
          <w:szCs w:val="24"/>
        </w:rPr>
        <w:t>those of</w:t>
      </w:r>
      <w:r>
        <w:rPr>
          <w:rFonts w:ascii="Times New Roman" w:hAnsi="Times New Roman"/>
          <w:sz w:val="24"/>
          <w:szCs w:val="24"/>
        </w:rPr>
        <w:t xml:space="preserve"> </w:t>
      </w:r>
      <w:r w:rsidRPr="00FB2CC3">
        <w:rPr>
          <w:rFonts w:ascii="Times New Roman" w:hAnsi="Times New Roman"/>
          <w:sz w:val="24"/>
          <w:szCs w:val="24"/>
        </w:rPr>
        <w:t>the petitioner’s</w:t>
      </w:r>
      <w:r>
        <w:rPr>
          <w:rFonts w:ascii="Times New Roman" w:hAnsi="Times New Roman"/>
          <w:sz w:val="24"/>
          <w:szCs w:val="24"/>
        </w:rPr>
        <w:t xml:space="preserve"> </w:t>
      </w:r>
      <w:r w:rsidRPr="00FB2CC3">
        <w:rPr>
          <w:rFonts w:ascii="Times New Roman" w:hAnsi="Times New Roman"/>
          <w:sz w:val="24"/>
          <w:szCs w:val="24"/>
        </w:rPr>
        <w:t>surgeon,</w:t>
      </w:r>
      <w:r>
        <w:rPr>
          <w:rFonts w:ascii="Times New Roman" w:hAnsi="Times New Roman"/>
          <w:sz w:val="24"/>
          <w:szCs w:val="24"/>
        </w:rPr>
        <w:t xml:space="preserve"> </w:t>
      </w:r>
      <w:r w:rsidRPr="00FB2CC3">
        <w:rPr>
          <w:rFonts w:ascii="Times New Roman" w:hAnsi="Times New Roman"/>
          <w:sz w:val="24"/>
          <w:szCs w:val="24"/>
        </w:rPr>
        <w:t>who found that it was likely that the petitioner’s condition was causally</w:t>
      </w:r>
      <w:r>
        <w:rPr>
          <w:rFonts w:ascii="Times New Roman" w:hAnsi="Times New Roman"/>
          <w:sz w:val="24"/>
          <w:szCs w:val="24"/>
        </w:rPr>
        <w:t xml:space="preserve"> </w:t>
      </w:r>
      <w:r w:rsidRPr="00FB2CC3">
        <w:rPr>
          <w:rFonts w:ascii="Times New Roman" w:hAnsi="Times New Roman"/>
          <w:sz w:val="24"/>
          <w:szCs w:val="24"/>
        </w:rPr>
        <w:t xml:space="preserve">related to work injuries and that the petitioner may have exacerbated a pre-existing condition. However, </w:t>
      </w:r>
      <w:r>
        <w:rPr>
          <w:rFonts w:ascii="Times New Roman" w:hAnsi="Times New Roman"/>
          <w:sz w:val="24"/>
          <w:szCs w:val="24"/>
        </w:rPr>
        <w:t>‘</w:t>
      </w:r>
      <w:r w:rsidRPr="00FB2CC3">
        <w:rPr>
          <w:rFonts w:ascii="Times New Roman" w:hAnsi="Times New Roman"/>
          <w:sz w:val="24"/>
          <w:szCs w:val="24"/>
        </w:rPr>
        <w:t>[w]here conflicting medical evidence and medical reports are presented to the Medical</w:t>
      </w:r>
      <w:r>
        <w:rPr>
          <w:rFonts w:ascii="Times New Roman" w:hAnsi="Times New Roman"/>
          <w:sz w:val="24"/>
          <w:szCs w:val="24"/>
        </w:rPr>
        <w:t xml:space="preserve"> </w:t>
      </w:r>
      <w:r w:rsidRPr="00FB2CC3">
        <w:rPr>
          <w:rFonts w:ascii="Times New Roman" w:hAnsi="Times New Roman"/>
          <w:sz w:val="24"/>
          <w:szCs w:val="24"/>
        </w:rPr>
        <w:t>Board, it is solely within the province of the Medical Board to resolve such conflicts</w:t>
      </w:r>
      <w:r>
        <w:rPr>
          <w:rFonts w:ascii="Times New Roman" w:hAnsi="Times New Roman"/>
          <w:sz w:val="24"/>
          <w:szCs w:val="24"/>
        </w:rPr>
        <w:t xml:space="preserve">.’” </w:t>
      </w:r>
    </w:p>
    <w:p w14:paraId="5F13AC4B" w14:textId="77777777" w:rsidR="006B2083" w:rsidRDefault="006B2083" w:rsidP="006B2083">
      <w:pPr>
        <w:pStyle w:val="NoSpacing"/>
        <w:rPr>
          <w:rFonts w:ascii="Times New Roman" w:hAnsi="Times New Roman"/>
          <w:sz w:val="24"/>
          <w:szCs w:val="24"/>
        </w:rPr>
      </w:pPr>
      <w:hyperlink r:id="rId1264" w:history="1">
        <w:r w:rsidRPr="000603D4">
          <w:rPr>
            <w:rStyle w:val="Hyperlink"/>
            <w:rFonts w:ascii="Times New Roman" w:hAnsi="Times New Roman"/>
            <w:sz w:val="24"/>
            <w:szCs w:val="24"/>
          </w:rPr>
          <w:t>http://www.nycourts.gov/courts/AD2/Handdowns/2020/Decisions/D63333.pdf</w:t>
        </w:r>
      </w:hyperlink>
      <w:r>
        <w:rPr>
          <w:rFonts w:ascii="Times New Roman" w:hAnsi="Times New Roman"/>
          <w:sz w:val="24"/>
          <w:szCs w:val="24"/>
        </w:rPr>
        <w:t xml:space="preserve"> </w:t>
      </w:r>
    </w:p>
    <w:p w14:paraId="0A2161B7" w14:textId="77777777" w:rsidR="006B2083" w:rsidRDefault="006B2083" w:rsidP="006B2083">
      <w:pPr>
        <w:pStyle w:val="NoSpacing"/>
        <w:rPr>
          <w:rFonts w:ascii="Times New Roman" w:hAnsi="Times New Roman"/>
          <w:b/>
          <w:bCs/>
          <w:sz w:val="24"/>
          <w:szCs w:val="24"/>
        </w:rPr>
      </w:pPr>
    </w:p>
    <w:p w14:paraId="338F91CF" w14:textId="6B3C7A01" w:rsidR="006B2083" w:rsidRPr="00D32613" w:rsidRDefault="006B2083" w:rsidP="006B2083">
      <w:pPr>
        <w:pStyle w:val="NoSpacing"/>
        <w:rPr>
          <w:rFonts w:ascii="Times New Roman" w:hAnsi="Times New Roman"/>
          <w:b/>
          <w:bCs/>
          <w:sz w:val="24"/>
          <w:szCs w:val="24"/>
        </w:rPr>
      </w:pPr>
      <w:r w:rsidRPr="00D32613">
        <w:rPr>
          <w:rFonts w:ascii="Times New Roman" w:hAnsi="Times New Roman"/>
          <w:b/>
          <w:bCs/>
          <w:sz w:val="24"/>
          <w:szCs w:val="24"/>
        </w:rPr>
        <w:t xml:space="preserve">Legal Lesson Learned: </w:t>
      </w:r>
      <w:r>
        <w:rPr>
          <w:rFonts w:ascii="Times New Roman" w:hAnsi="Times New Roman"/>
          <w:b/>
          <w:bCs/>
          <w:sz w:val="24"/>
          <w:szCs w:val="24"/>
        </w:rPr>
        <w:t>Appellate courts will generally follow the findings of a Medical Board, supported by medical documentation.</w:t>
      </w:r>
    </w:p>
    <w:p w14:paraId="40D48217" w14:textId="77777777" w:rsidR="006B2083" w:rsidRDefault="006B2083" w:rsidP="00EF1133">
      <w:pPr>
        <w:rPr>
          <w:rFonts w:ascii="Arial Black" w:hAnsi="Arial Black"/>
          <w:b/>
          <w:sz w:val="24"/>
          <w:szCs w:val="24"/>
        </w:rPr>
      </w:pPr>
    </w:p>
    <w:p w14:paraId="13FB72E8" w14:textId="77777777" w:rsidR="006B2083" w:rsidRDefault="006B2083" w:rsidP="00EF1133">
      <w:pPr>
        <w:rPr>
          <w:rFonts w:ascii="Arial Black" w:hAnsi="Arial Black"/>
          <w:b/>
          <w:sz w:val="24"/>
          <w:szCs w:val="24"/>
        </w:rPr>
      </w:pPr>
    </w:p>
    <w:p w14:paraId="6A85CBAE" w14:textId="77777777" w:rsidR="006B2083" w:rsidRDefault="006B2083" w:rsidP="00EF1133">
      <w:pPr>
        <w:rPr>
          <w:rFonts w:ascii="Arial Black" w:hAnsi="Arial Black"/>
          <w:b/>
          <w:sz w:val="24"/>
          <w:szCs w:val="24"/>
        </w:rPr>
      </w:pPr>
    </w:p>
    <w:p w14:paraId="27B9AF9A" w14:textId="3073EE32" w:rsidR="006B2083" w:rsidRDefault="006B2083" w:rsidP="00EF1133">
      <w:pPr>
        <w:rPr>
          <w:rFonts w:ascii="Arial Black" w:hAnsi="Arial Black"/>
          <w:b/>
          <w:sz w:val="24"/>
          <w:szCs w:val="24"/>
        </w:rPr>
      </w:pPr>
      <w:r>
        <w:rPr>
          <w:rFonts w:ascii="Arial Black" w:hAnsi="Arial Black"/>
          <w:b/>
          <w:sz w:val="24"/>
          <w:szCs w:val="24"/>
        </w:rPr>
        <w:t>6-47</w:t>
      </w:r>
    </w:p>
    <w:p w14:paraId="38923EA9" w14:textId="77777777" w:rsidR="006B2083" w:rsidRDefault="006B2083" w:rsidP="006B2083">
      <w:pPr>
        <w:pStyle w:val="NoSpacing"/>
        <w:rPr>
          <w:rFonts w:ascii="Arial" w:hAnsi="Arial" w:cs="Arial"/>
          <w:sz w:val="30"/>
          <w:szCs w:val="30"/>
        </w:rPr>
      </w:pPr>
      <w:r w:rsidRPr="00244752">
        <w:rPr>
          <w:rFonts w:ascii="Arial Black" w:hAnsi="Arial Black"/>
          <w:sz w:val="28"/>
          <w:szCs w:val="28"/>
        </w:rPr>
        <w:t>R</w:t>
      </w:r>
      <w:r>
        <w:rPr>
          <w:rFonts w:ascii="Arial Black" w:hAnsi="Arial Black"/>
          <w:sz w:val="28"/>
          <w:szCs w:val="28"/>
        </w:rPr>
        <w:t>I: FISCAL EMERGENCY – FIRE &amp; POLICE RETIREES MUST NOW ENROLL IN MEDICARE - CITY MUST PAY GAP COVERAGE</w:t>
      </w:r>
    </w:p>
    <w:p w14:paraId="5D7ABA6D" w14:textId="77777777" w:rsidR="006B2083" w:rsidRDefault="006B2083" w:rsidP="006B2083">
      <w:pPr>
        <w:pStyle w:val="NoSpacing"/>
        <w:rPr>
          <w:rFonts w:ascii="Times New Roman" w:hAnsi="Times New Roman"/>
          <w:sz w:val="24"/>
          <w:szCs w:val="24"/>
        </w:rPr>
      </w:pPr>
    </w:p>
    <w:p w14:paraId="484ECA0E" w14:textId="77777777" w:rsidR="006B2083" w:rsidRPr="004473E9" w:rsidRDefault="006B2083" w:rsidP="006B2083">
      <w:pPr>
        <w:pStyle w:val="NoSpacing"/>
        <w:rPr>
          <w:rFonts w:ascii="Times New Roman" w:hAnsi="Times New Roman"/>
          <w:sz w:val="24"/>
          <w:szCs w:val="24"/>
        </w:rPr>
      </w:pPr>
      <w:r w:rsidRPr="004473E9">
        <w:rPr>
          <w:rFonts w:ascii="Times New Roman" w:hAnsi="Times New Roman"/>
          <w:sz w:val="24"/>
          <w:szCs w:val="24"/>
        </w:rPr>
        <w:t xml:space="preserve">On June 30, 2020, in </w:t>
      </w:r>
      <w:r w:rsidRPr="004473E9">
        <w:rPr>
          <w:rFonts w:ascii="Times New Roman" w:hAnsi="Times New Roman"/>
          <w:sz w:val="24"/>
          <w:szCs w:val="24"/>
          <w:u w:val="single"/>
        </w:rPr>
        <w:t>Manuel Andrews, Jr. et al. v. James Lombardi, Treasurer of the City of Providence, Rhode Island</w:t>
      </w:r>
      <w:r w:rsidRPr="004473E9">
        <w:rPr>
          <w:rFonts w:ascii="Times New Roman" w:hAnsi="Times New Roman"/>
          <w:sz w:val="24"/>
          <w:szCs w:val="24"/>
        </w:rPr>
        <w:t xml:space="preserve">, the Supreme Court of Rhode Island held (5 to 0) that the 2011 state statute authorizing municipalities to require retirees at age 65 to go on Medicare Part A was lawful, but the City of Providence must also pay for retiree supplemental benefits under Medicare Parts B &amp; D, as the City had agreed in a settlement with some of the retirees. The Court wrote: </w:t>
      </w:r>
      <w:r>
        <w:rPr>
          <w:rFonts w:ascii="Times New Roman" w:hAnsi="Times New Roman"/>
          <w:sz w:val="24"/>
          <w:szCs w:val="24"/>
        </w:rPr>
        <w:t>“</w:t>
      </w:r>
      <w:r w:rsidRPr="004473E9">
        <w:rPr>
          <w:rFonts w:ascii="Times New Roman" w:hAnsi="Times New Roman"/>
          <w:sz w:val="24"/>
          <w:szCs w:val="24"/>
        </w:rPr>
        <w:t>We are convinced nevertheless that the controversy ought to be resolved by awarding the plaintiffs the same remedies for health care</w:t>
      </w:r>
      <w:r>
        <w:rPr>
          <w:rFonts w:ascii="Times New Roman" w:hAnsi="Times New Roman"/>
          <w:sz w:val="24"/>
          <w:szCs w:val="24"/>
        </w:rPr>
        <w:t xml:space="preserve"> </w:t>
      </w:r>
      <w:r w:rsidRPr="004473E9">
        <w:rPr>
          <w:rFonts w:ascii="Times New Roman" w:hAnsi="Times New Roman"/>
          <w:sz w:val="24"/>
          <w:szCs w:val="24"/>
        </w:rPr>
        <w:t>as provided in the 2011 lawsuit’s settlement agreement</w:t>
      </w:r>
      <w:r>
        <w:rPr>
          <w:rFonts w:ascii="Times New Roman" w:hAnsi="Times New Roman"/>
          <w:sz w:val="24"/>
          <w:szCs w:val="24"/>
        </w:rPr>
        <w:t xml:space="preserve"> </w:t>
      </w:r>
      <w:r w:rsidRPr="004473E9">
        <w:rPr>
          <w:rFonts w:ascii="Times New Roman" w:hAnsi="Times New Roman"/>
          <w:sz w:val="24"/>
          <w:szCs w:val="24"/>
        </w:rPr>
        <w:t>approved in the 2013 Final and Consent Judgment. It is nothing more than what the City has agreed to provide for the opt-in retirees and indeed</w:t>
      </w:r>
      <w:r>
        <w:rPr>
          <w:rFonts w:ascii="Times New Roman" w:hAnsi="Times New Roman"/>
          <w:sz w:val="24"/>
          <w:szCs w:val="24"/>
        </w:rPr>
        <w:t xml:space="preserve"> </w:t>
      </w:r>
      <w:r w:rsidRPr="004473E9">
        <w:rPr>
          <w:rFonts w:ascii="Times New Roman" w:hAnsi="Times New Roman"/>
          <w:sz w:val="24"/>
          <w:szCs w:val="24"/>
        </w:rPr>
        <w:t>is contemplated in the 2011 Medicare Ordinance,</w:t>
      </w:r>
      <w:r>
        <w:rPr>
          <w:rFonts w:ascii="Times New Roman" w:hAnsi="Times New Roman"/>
          <w:sz w:val="24"/>
          <w:szCs w:val="24"/>
        </w:rPr>
        <w:t xml:space="preserve"> </w:t>
      </w:r>
      <w:r w:rsidRPr="004473E9">
        <w:rPr>
          <w:rFonts w:ascii="Times New Roman" w:hAnsi="Times New Roman"/>
          <w:sz w:val="24"/>
          <w:szCs w:val="24"/>
        </w:rPr>
        <w:t xml:space="preserve">which allows for the City’s payment of </w:t>
      </w:r>
      <w:r>
        <w:rPr>
          <w:rFonts w:ascii="Times New Roman" w:hAnsi="Times New Roman"/>
          <w:sz w:val="24"/>
          <w:szCs w:val="24"/>
        </w:rPr>
        <w:t>‘</w:t>
      </w:r>
      <w:r w:rsidRPr="004473E9">
        <w:rPr>
          <w:rFonts w:ascii="Times New Roman" w:hAnsi="Times New Roman"/>
          <w:sz w:val="24"/>
          <w:szCs w:val="24"/>
        </w:rPr>
        <w:t>Medicare supplement or gap coverage</w:t>
      </w:r>
      <w:r>
        <w:rPr>
          <w:rFonts w:ascii="Times New Roman" w:hAnsi="Times New Roman"/>
          <w:sz w:val="24"/>
          <w:szCs w:val="24"/>
        </w:rPr>
        <w:t>’</w:t>
      </w:r>
      <w:r w:rsidRPr="004473E9">
        <w:rPr>
          <w:rFonts w:ascii="Times New Roman" w:hAnsi="Times New Roman"/>
          <w:sz w:val="24"/>
          <w:szCs w:val="24"/>
        </w:rPr>
        <w:t xml:space="preserve"> when </w:t>
      </w:r>
      <w:r>
        <w:rPr>
          <w:rFonts w:ascii="Times New Roman" w:hAnsi="Times New Roman"/>
          <w:sz w:val="24"/>
          <w:szCs w:val="24"/>
        </w:rPr>
        <w:t>‘</w:t>
      </w:r>
      <w:r w:rsidRPr="004473E9">
        <w:rPr>
          <w:rFonts w:ascii="Times New Roman" w:hAnsi="Times New Roman"/>
          <w:sz w:val="24"/>
          <w:szCs w:val="24"/>
        </w:rPr>
        <w:t>otherwise provided by ordinance or contract.</w:t>
      </w:r>
      <w:r>
        <w:rPr>
          <w:rFonts w:ascii="Times New Roman" w:hAnsi="Times New Roman"/>
          <w:sz w:val="24"/>
          <w:szCs w:val="24"/>
        </w:rPr>
        <w:t>’”</w:t>
      </w:r>
      <w:r w:rsidRPr="004473E9">
        <w:t xml:space="preserve"> </w:t>
      </w:r>
      <w:hyperlink r:id="rId1265" w:anchor="search=Manuel%20Andrews%2C%20Jr" w:history="1">
        <w:r w:rsidRPr="00BC34AA">
          <w:rPr>
            <w:rStyle w:val="Hyperlink"/>
            <w:rFonts w:ascii="Times New Roman" w:hAnsi="Times New Roman"/>
            <w:sz w:val="24"/>
            <w:szCs w:val="24"/>
          </w:rPr>
          <w:t>https://www.courts.ri.gov/Courts/SupremeCourt/SupremeOpinions/17-255,256,257,260.pdf#search=Manuel%20Andrews%2C%20Jr</w:t>
        </w:r>
      </w:hyperlink>
      <w:r>
        <w:rPr>
          <w:rFonts w:ascii="Times New Roman" w:hAnsi="Times New Roman"/>
          <w:sz w:val="24"/>
          <w:szCs w:val="24"/>
        </w:rPr>
        <w:t xml:space="preserve"> </w:t>
      </w:r>
    </w:p>
    <w:p w14:paraId="5DEB734B" w14:textId="77777777" w:rsidR="006B2083" w:rsidRDefault="006B2083" w:rsidP="006B2083">
      <w:pPr>
        <w:pStyle w:val="NoSpacing"/>
        <w:rPr>
          <w:rFonts w:ascii="Times New Roman" w:hAnsi="Times New Roman"/>
          <w:b/>
          <w:bCs/>
          <w:sz w:val="24"/>
          <w:szCs w:val="24"/>
        </w:rPr>
      </w:pPr>
    </w:p>
    <w:p w14:paraId="4236FDB0" w14:textId="3C3BD1C6" w:rsidR="006B2083" w:rsidRPr="0002321F" w:rsidRDefault="006B2083" w:rsidP="006B2083">
      <w:pPr>
        <w:pStyle w:val="NoSpacing"/>
        <w:rPr>
          <w:rFonts w:ascii="Times New Roman" w:hAnsi="Times New Roman"/>
          <w:b/>
          <w:bCs/>
          <w:sz w:val="24"/>
          <w:szCs w:val="24"/>
        </w:rPr>
      </w:pPr>
      <w:r w:rsidRPr="0002321F">
        <w:rPr>
          <w:rFonts w:ascii="Times New Roman" w:hAnsi="Times New Roman"/>
          <w:b/>
          <w:bCs/>
          <w:sz w:val="24"/>
          <w:szCs w:val="24"/>
        </w:rPr>
        <w:t>Legal Lesson Learned:</w:t>
      </w:r>
      <w:r>
        <w:rPr>
          <w:rFonts w:ascii="Times New Roman" w:hAnsi="Times New Roman"/>
          <w:b/>
          <w:bCs/>
          <w:sz w:val="24"/>
          <w:szCs w:val="24"/>
        </w:rPr>
        <w:t xml:space="preserve"> State can enact a statute authorizing municipalities to require retirees to switch to Medicare coverage, but litigation may lead to settlements and Court decisions requiring the “gap” insurance is also paid by the municipality. </w:t>
      </w:r>
    </w:p>
    <w:p w14:paraId="14635816" w14:textId="77777777" w:rsidR="006B2083" w:rsidRDefault="006B2083" w:rsidP="00EF1133">
      <w:pPr>
        <w:rPr>
          <w:rFonts w:ascii="Arial Black" w:hAnsi="Arial Black"/>
          <w:b/>
          <w:sz w:val="24"/>
          <w:szCs w:val="24"/>
        </w:rPr>
      </w:pPr>
    </w:p>
    <w:p w14:paraId="248BAEE2" w14:textId="77777777" w:rsidR="006B2083" w:rsidRDefault="006B2083" w:rsidP="00EF1133">
      <w:pPr>
        <w:rPr>
          <w:rFonts w:ascii="Arial Black" w:hAnsi="Arial Black"/>
          <w:b/>
          <w:sz w:val="24"/>
          <w:szCs w:val="24"/>
        </w:rPr>
      </w:pPr>
    </w:p>
    <w:p w14:paraId="0A7E2A5E" w14:textId="77777777" w:rsidR="006B2083" w:rsidRDefault="006B2083" w:rsidP="00EF1133">
      <w:pPr>
        <w:rPr>
          <w:rFonts w:ascii="Arial Black" w:hAnsi="Arial Black"/>
          <w:b/>
          <w:sz w:val="24"/>
          <w:szCs w:val="24"/>
        </w:rPr>
      </w:pPr>
    </w:p>
    <w:p w14:paraId="716809E7" w14:textId="1DC0DA29" w:rsidR="007105B3" w:rsidRDefault="007105B3" w:rsidP="00EF1133">
      <w:pPr>
        <w:rPr>
          <w:rFonts w:ascii="Arial Black" w:hAnsi="Arial Black"/>
          <w:b/>
          <w:sz w:val="24"/>
          <w:szCs w:val="24"/>
        </w:rPr>
      </w:pPr>
      <w:r>
        <w:rPr>
          <w:rFonts w:ascii="Arial Black" w:hAnsi="Arial Black"/>
          <w:b/>
          <w:sz w:val="24"/>
          <w:szCs w:val="24"/>
        </w:rPr>
        <w:t>6-46</w:t>
      </w:r>
    </w:p>
    <w:p w14:paraId="46930089" w14:textId="77777777" w:rsidR="007105B3" w:rsidRPr="004F5401" w:rsidRDefault="007105B3" w:rsidP="007105B3">
      <w:pPr>
        <w:pStyle w:val="NoSpacing"/>
        <w:rPr>
          <w:rFonts w:ascii="Arial Black" w:hAnsi="Arial Black"/>
          <w:sz w:val="28"/>
          <w:szCs w:val="28"/>
        </w:rPr>
      </w:pPr>
      <w:r w:rsidRPr="004F5401">
        <w:rPr>
          <w:rFonts w:ascii="Arial Black" w:hAnsi="Arial Black"/>
          <w:sz w:val="28"/>
          <w:szCs w:val="28"/>
        </w:rPr>
        <w:lastRenderedPageBreak/>
        <w:t xml:space="preserve">OH: </w:t>
      </w:r>
      <w:r>
        <w:rPr>
          <w:rFonts w:ascii="Arial Black" w:hAnsi="Arial Black"/>
          <w:sz w:val="28"/>
          <w:szCs w:val="28"/>
        </w:rPr>
        <w:t xml:space="preserve">FF SUES MAYOR – FIRST AMEND. RIGHT POST YARD SIGNS – UPSET CITY INSPECTOR DIDN’T FIND DEFECTS NEW HOME </w:t>
      </w:r>
    </w:p>
    <w:p w14:paraId="108853C0" w14:textId="77777777" w:rsidR="007105B3" w:rsidRDefault="007105B3" w:rsidP="007105B3">
      <w:pPr>
        <w:pStyle w:val="NoSpacing"/>
        <w:rPr>
          <w:rFonts w:ascii="Times New Roman" w:hAnsi="Times New Roman"/>
          <w:sz w:val="24"/>
          <w:szCs w:val="24"/>
        </w:rPr>
      </w:pPr>
    </w:p>
    <w:p w14:paraId="1BAD5EE1" w14:textId="04906921" w:rsidR="007105B3" w:rsidRDefault="007105B3" w:rsidP="007105B3">
      <w:pPr>
        <w:rPr>
          <w:rStyle w:val="Hyperlink"/>
          <w:rFonts w:ascii="Times New Roman" w:hAnsi="Times New Roman"/>
          <w:sz w:val="24"/>
          <w:szCs w:val="24"/>
        </w:rPr>
      </w:pPr>
      <w:r w:rsidRPr="008263A3">
        <w:rPr>
          <w:rFonts w:ascii="Times New Roman" w:hAnsi="Times New Roman"/>
          <w:sz w:val="24"/>
          <w:szCs w:val="24"/>
        </w:rPr>
        <w:t xml:space="preserve">On </w:t>
      </w:r>
      <w:r>
        <w:rPr>
          <w:rFonts w:ascii="Times New Roman" w:hAnsi="Times New Roman"/>
          <w:sz w:val="24"/>
          <w:szCs w:val="24"/>
        </w:rPr>
        <w:t xml:space="preserve">June 22, 2020, in </w:t>
      </w:r>
      <w:r w:rsidRPr="008263A3">
        <w:rPr>
          <w:rFonts w:ascii="Times New Roman" w:hAnsi="Times New Roman"/>
          <w:sz w:val="24"/>
          <w:szCs w:val="24"/>
          <w:u w:val="single"/>
        </w:rPr>
        <w:t>Scott Solarz v. James Gaven &amp; City of Olmstead Falls</w:t>
      </w:r>
      <w:r>
        <w:rPr>
          <w:rFonts w:ascii="Times New Roman" w:hAnsi="Times New Roman"/>
          <w:sz w:val="24"/>
          <w:szCs w:val="24"/>
        </w:rPr>
        <w:t xml:space="preserve">, U.S. District Court Judge Christopher A Boyko, U.S. District Court for Northern District of Ohio (Eastern Division), denied the </w:t>
      </w:r>
      <w:proofErr w:type="gramStart"/>
      <w:r>
        <w:rPr>
          <w:rFonts w:ascii="Times New Roman" w:hAnsi="Times New Roman"/>
          <w:sz w:val="24"/>
          <w:szCs w:val="24"/>
        </w:rPr>
        <w:t>Mayor’s</w:t>
      </w:r>
      <w:proofErr w:type="gramEnd"/>
      <w:r>
        <w:rPr>
          <w:rFonts w:ascii="Times New Roman" w:hAnsi="Times New Roman"/>
          <w:sz w:val="24"/>
          <w:szCs w:val="24"/>
        </w:rPr>
        <w:t xml:space="preserve"> motion to dismiss based on qualified immunity, but did dismiss the </w:t>
      </w:r>
      <w:proofErr w:type="gramStart"/>
      <w:r>
        <w:rPr>
          <w:rFonts w:ascii="Times New Roman" w:hAnsi="Times New Roman"/>
          <w:sz w:val="24"/>
          <w:szCs w:val="24"/>
        </w:rPr>
        <w:t>City</w:t>
      </w:r>
      <w:proofErr w:type="gramEnd"/>
      <w:r>
        <w:rPr>
          <w:rFonts w:ascii="Times New Roman" w:hAnsi="Times New Roman"/>
          <w:sz w:val="24"/>
          <w:szCs w:val="24"/>
        </w:rPr>
        <w:t xml:space="preserve"> on basis of governmental immunity. as a defendant. Court wrote: “</w:t>
      </w:r>
      <w:r w:rsidRPr="004F5401">
        <w:rPr>
          <w:rFonts w:ascii="Times New Roman" w:eastAsia="Times New Roman" w:hAnsi="Times New Roman"/>
          <w:sz w:val="24"/>
          <w:szCs w:val="24"/>
        </w:rPr>
        <w:t>On May 14, 2019, Plaintiff attended a City Council meeting</w:t>
      </w:r>
      <w:r>
        <w:rPr>
          <w:rFonts w:ascii="Times New Roman" w:eastAsia="Times New Roman" w:hAnsi="Times New Roman"/>
          <w:sz w:val="24"/>
          <w:szCs w:val="24"/>
        </w:rPr>
        <w:t xml:space="preserve"> [he lives in City of Olmstead </w:t>
      </w:r>
      <w:proofErr w:type="gramStart"/>
      <w:r>
        <w:rPr>
          <w:rFonts w:ascii="Times New Roman" w:eastAsia="Times New Roman" w:hAnsi="Times New Roman"/>
          <w:sz w:val="24"/>
          <w:szCs w:val="24"/>
        </w:rPr>
        <w:t>Falls, and</w:t>
      </w:r>
      <w:proofErr w:type="gramEnd"/>
      <w:r>
        <w:rPr>
          <w:rFonts w:ascii="Times New Roman" w:eastAsia="Times New Roman" w:hAnsi="Times New Roman"/>
          <w:sz w:val="24"/>
          <w:szCs w:val="24"/>
        </w:rPr>
        <w:t xml:space="preserve"> is a firefighter with City of Rocky River]</w:t>
      </w:r>
      <w:r w:rsidRPr="004F5401">
        <w:rPr>
          <w:rFonts w:ascii="Times New Roman" w:eastAsia="Times New Roman" w:hAnsi="Times New Roman"/>
          <w:sz w:val="24"/>
          <w:szCs w:val="24"/>
        </w:rPr>
        <w:t xml:space="preserve">. Allegedly, Plaintiff and Defendant Graven had a heated exchange over the improper inspection </w:t>
      </w:r>
      <w:r>
        <w:rPr>
          <w:rFonts w:ascii="Times New Roman" w:eastAsia="Times New Roman" w:hAnsi="Times New Roman"/>
          <w:sz w:val="24"/>
          <w:szCs w:val="24"/>
        </w:rPr>
        <w:t xml:space="preserve">[of his home in 2016] </w:t>
      </w:r>
      <w:r w:rsidRPr="004F5401">
        <w:rPr>
          <w:rFonts w:ascii="Times New Roman" w:eastAsia="Times New Roman" w:hAnsi="Times New Roman"/>
          <w:sz w:val="24"/>
          <w:szCs w:val="24"/>
        </w:rPr>
        <w:t>and the refusal to provide Plaintiff with reimbursement</w:t>
      </w:r>
      <w:r>
        <w:rPr>
          <w:rFonts w:ascii="Times New Roman" w:eastAsia="Times New Roman" w:hAnsi="Times New Roman"/>
          <w:sz w:val="24"/>
          <w:szCs w:val="24"/>
        </w:rPr>
        <w:t xml:space="preserve"> [for cost of arbitration with builder]</w:t>
      </w:r>
      <w:r w:rsidRPr="004F5401">
        <w:rPr>
          <w:rFonts w:ascii="Times New Roman" w:eastAsia="Times New Roman" w:hAnsi="Times New Roman"/>
          <w:sz w:val="24"/>
          <w:szCs w:val="24"/>
        </w:rPr>
        <w:t xml:space="preserve">. Plaintiff felt the </w:t>
      </w:r>
      <w:proofErr w:type="gramStart"/>
      <w:r w:rsidRPr="004F5401">
        <w:rPr>
          <w:rFonts w:ascii="Times New Roman" w:eastAsia="Times New Roman" w:hAnsi="Times New Roman"/>
          <w:sz w:val="24"/>
          <w:szCs w:val="24"/>
        </w:rPr>
        <w:t>Mayor</w:t>
      </w:r>
      <w:proofErr w:type="gramEnd"/>
      <w:r w:rsidRPr="004F5401">
        <w:rPr>
          <w:rFonts w:ascii="Times New Roman" w:eastAsia="Times New Roman" w:hAnsi="Times New Roman"/>
          <w:sz w:val="24"/>
          <w:szCs w:val="24"/>
        </w:rPr>
        <w:t xml:space="preserve"> treated him disrespectfully and caused him to suffer public humiliation.</w:t>
      </w:r>
      <w:r>
        <w:rPr>
          <w:rFonts w:ascii="Times New Roman" w:eastAsia="Times New Roman" w:hAnsi="Times New Roman"/>
          <w:sz w:val="24"/>
          <w:szCs w:val="24"/>
        </w:rPr>
        <w:t xml:space="preserve"> </w:t>
      </w:r>
      <w:r w:rsidRPr="004F5401">
        <w:rPr>
          <w:rFonts w:ascii="Times New Roman" w:eastAsia="Times New Roman" w:hAnsi="Times New Roman"/>
          <w:sz w:val="24"/>
          <w:szCs w:val="24"/>
        </w:rPr>
        <w:t xml:space="preserve"> In June of 2019, Plaintiff created </w:t>
      </w:r>
      <w:proofErr w:type="gramStart"/>
      <w:r w:rsidRPr="004F5401">
        <w:rPr>
          <w:rFonts w:ascii="Times New Roman" w:eastAsia="Times New Roman" w:hAnsi="Times New Roman"/>
          <w:sz w:val="24"/>
          <w:szCs w:val="24"/>
        </w:rPr>
        <w:t>three</w:t>
      </w:r>
      <w:r>
        <w:rPr>
          <w:rFonts w:ascii="Times New Roman" w:eastAsia="Times New Roman" w:hAnsi="Times New Roman"/>
          <w:sz w:val="24"/>
          <w:szCs w:val="24"/>
        </w:rPr>
        <w:t xml:space="preserve"> </w:t>
      </w:r>
      <w:r w:rsidRPr="004F5401">
        <w:rPr>
          <w:rFonts w:ascii="Times New Roman" w:eastAsia="Times New Roman" w:hAnsi="Times New Roman"/>
          <w:sz w:val="24"/>
          <w:szCs w:val="24"/>
        </w:rPr>
        <w:t>yard</w:t>
      </w:r>
      <w:proofErr w:type="gramEnd"/>
      <w:r w:rsidRPr="004F5401">
        <w:rPr>
          <w:rFonts w:ascii="Times New Roman" w:eastAsia="Times New Roman" w:hAnsi="Times New Roman"/>
          <w:sz w:val="24"/>
          <w:szCs w:val="24"/>
        </w:rPr>
        <w:t xml:space="preserve"> signs - one was placed in his yard and the others in his two friends' yards. The signs </w:t>
      </w:r>
      <w:proofErr w:type="gramStart"/>
      <w:r w:rsidRPr="004F5401">
        <w:rPr>
          <w:rFonts w:ascii="Times New Roman" w:eastAsia="Times New Roman" w:hAnsi="Times New Roman"/>
          <w:sz w:val="24"/>
          <w:szCs w:val="24"/>
        </w:rPr>
        <w:t xml:space="preserve">read: </w:t>
      </w:r>
      <w:r>
        <w:rPr>
          <w:rFonts w:ascii="Times New Roman" w:eastAsia="Times New Roman" w:hAnsi="Times New Roman"/>
          <w:sz w:val="24"/>
          <w:szCs w:val="24"/>
        </w:rPr>
        <w:t>‘</w:t>
      </w:r>
      <w:proofErr w:type="gramEnd"/>
      <w:r w:rsidRPr="004F5401">
        <w:rPr>
          <w:rFonts w:ascii="Times New Roman" w:eastAsia="Times New Roman" w:hAnsi="Times New Roman"/>
          <w:sz w:val="24"/>
          <w:szCs w:val="24"/>
        </w:rPr>
        <w:t>VETERANS AND FIRE FIGHTERS AGAINST NO HONOR MAYOR GRAVEN.</w:t>
      </w:r>
      <w:r>
        <w:rPr>
          <w:rFonts w:ascii="Times New Roman" w:eastAsia="Times New Roman" w:hAnsi="Times New Roman"/>
          <w:sz w:val="24"/>
          <w:szCs w:val="24"/>
        </w:rPr>
        <w:t xml:space="preserve">’ *** </w:t>
      </w:r>
      <w:r w:rsidRPr="004F5401">
        <w:rPr>
          <w:rFonts w:ascii="Times New Roman" w:eastAsia="Times New Roman" w:hAnsi="Times New Roman"/>
          <w:sz w:val="24"/>
          <w:szCs w:val="24"/>
        </w:rPr>
        <w:t xml:space="preserve">According to the Complaint, </w:t>
      </w:r>
      <w:proofErr w:type="gramStart"/>
      <w:r w:rsidRPr="004F5401">
        <w:rPr>
          <w:rFonts w:ascii="Times New Roman" w:eastAsia="Times New Roman" w:hAnsi="Times New Roman"/>
          <w:sz w:val="24"/>
          <w:szCs w:val="24"/>
        </w:rPr>
        <w:t>in an effort to</w:t>
      </w:r>
      <w:proofErr w:type="gramEnd"/>
      <w:r w:rsidRPr="004F5401">
        <w:rPr>
          <w:rFonts w:ascii="Times New Roman" w:eastAsia="Times New Roman" w:hAnsi="Times New Roman"/>
          <w:sz w:val="24"/>
          <w:szCs w:val="24"/>
        </w:rPr>
        <w:t xml:space="preserve"> punish Plaintiff and to force him to remove</w:t>
      </w:r>
      <w:r>
        <w:rPr>
          <w:rFonts w:ascii="Times New Roman" w:eastAsia="Times New Roman" w:hAnsi="Times New Roman"/>
          <w:sz w:val="24"/>
          <w:szCs w:val="24"/>
        </w:rPr>
        <w:t xml:space="preserve"> </w:t>
      </w:r>
      <w:r w:rsidRPr="004F5401">
        <w:rPr>
          <w:rFonts w:ascii="Times New Roman" w:eastAsia="Times New Roman" w:hAnsi="Times New Roman"/>
          <w:sz w:val="24"/>
          <w:szCs w:val="24"/>
        </w:rPr>
        <w:t>the signs, Defendant Graven</w:t>
      </w:r>
      <w:r>
        <w:rPr>
          <w:rFonts w:ascii="Times New Roman" w:eastAsia="Times New Roman" w:hAnsi="Times New Roman"/>
          <w:sz w:val="24"/>
          <w:szCs w:val="24"/>
        </w:rPr>
        <w:t xml:space="preserve"> … </w:t>
      </w:r>
      <w:r w:rsidRPr="004F5401">
        <w:rPr>
          <w:rFonts w:ascii="Times New Roman" w:eastAsia="Times New Roman" w:hAnsi="Times New Roman"/>
          <w:sz w:val="24"/>
          <w:szCs w:val="24"/>
        </w:rPr>
        <w:t>contacted the Mayor of the City of Rocky River, the Fire Chief for the City of Rocky River, and Plaintiff's union president on or about June 29, 2019.</w:t>
      </w:r>
      <w:r>
        <w:rPr>
          <w:rFonts w:ascii="Times New Roman" w:eastAsia="Times New Roman" w:hAnsi="Times New Roman"/>
          <w:sz w:val="24"/>
          <w:szCs w:val="24"/>
        </w:rPr>
        <w:t xml:space="preserve"> *** </w:t>
      </w:r>
      <w:r w:rsidRPr="00897312">
        <w:rPr>
          <w:rFonts w:ascii="Times New Roman" w:hAnsi="Times New Roman"/>
          <w:sz w:val="24"/>
          <w:szCs w:val="24"/>
        </w:rPr>
        <w:t>Throughout the Complaint, Plaintiff alleges that Graven acted in his official capacity and/or under color of state law</w:t>
      </w:r>
      <w:r>
        <w:rPr>
          <w:rFonts w:ascii="Times New Roman" w:hAnsi="Times New Roman"/>
          <w:sz w:val="24"/>
          <w:szCs w:val="24"/>
        </w:rPr>
        <w:t>…</w:t>
      </w:r>
      <w:r w:rsidRPr="00897312">
        <w:rPr>
          <w:rFonts w:ascii="Times New Roman" w:hAnsi="Times New Roman"/>
          <w:sz w:val="24"/>
          <w:szCs w:val="24"/>
        </w:rPr>
        <w:t xml:space="preserve">. A mayor is a "person" who is constitutionally subject to liability under § 1983. </w:t>
      </w:r>
      <w:r w:rsidRPr="00897312">
        <w:rPr>
          <w:rFonts w:ascii="Times New Roman" w:hAnsi="Times New Roman"/>
          <w:i/>
          <w:iCs/>
          <w:sz w:val="24"/>
          <w:szCs w:val="24"/>
        </w:rPr>
        <w:t>Monell v</w:t>
      </w:r>
      <w:r w:rsidRPr="00897312">
        <w:rPr>
          <w:rFonts w:ascii="Times New Roman" w:hAnsi="Times New Roman"/>
          <w:sz w:val="24"/>
          <w:szCs w:val="24"/>
        </w:rPr>
        <w:t xml:space="preserve">. </w:t>
      </w:r>
      <w:r w:rsidRPr="00897312">
        <w:rPr>
          <w:rFonts w:ascii="Times New Roman" w:hAnsi="Times New Roman"/>
          <w:i/>
          <w:iCs/>
          <w:sz w:val="24"/>
          <w:szCs w:val="24"/>
        </w:rPr>
        <w:t>Department of Social Services</w:t>
      </w:r>
      <w:r w:rsidRPr="00897312">
        <w:rPr>
          <w:rFonts w:ascii="Times New Roman" w:hAnsi="Times New Roman"/>
          <w:sz w:val="24"/>
          <w:szCs w:val="24"/>
        </w:rPr>
        <w:t>, 436 U.S. 658 (1978).</w:t>
      </w:r>
      <w:r>
        <w:rPr>
          <w:rFonts w:ascii="Times New Roman" w:hAnsi="Times New Roman"/>
          <w:sz w:val="24"/>
          <w:szCs w:val="24"/>
        </w:rPr>
        <w:t xml:space="preserve"> *** T</w:t>
      </w:r>
      <w:r w:rsidRPr="00897312">
        <w:rPr>
          <w:rFonts w:ascii="Times New Roman" w:hAnsi="Times New Roman"/>
          <w:sz w:val="24"/>
          <w:szCs w:val="24"/>
        </w:rPr>
        <w:t>he Court concludes that, without some factual elucidation, it cannot find that Defendant Graven is entitled to qualified immunity.</w:t>
      </w:r>
      <w:r>
        <w:rPr>
          <w:rFonts w:ascii="Times New Roman" w:hAnsi="Times New Roman"/>
          <w:sz w:val="24"/>
          <w:szCs w:val="24"/>
        </w:rPr>
        <w:t xml:space="preserve">” </w:t>
      </w:r>
      <w:hyperlink r:id="rId1266" w:history="1">
        <w:r w:rsidRPr="0037669D">
          <w:rPr>
            <w:rStyle w:val="Hyperlink"/>
            <w:rFonts w:ascii="Times New Roman" w:hAnsi="Times New Roman"/>
            <w:sz w:val="24"/>
            <w:szCs w:val="24"/>
          </w:rPr>
          <w:t>https://public.fastcase.com/Wl%2B2t%2BeVuI35%2FN70vAMFZp5steAbFsjz8D5zs28wLVD2J2xhMYzUEH8PyP%2BVbQO%2B</w:t>
        </w:r>
      </w:hyperlink>
    </w:p>
    <w:p w14:paraId="6F2BF62F" w14:textId="77777777" w:rsidR="007105B3" w:rsidRDefault="007105B3" w:rsidP="007105B3">
      <w:pPr>
        <w:pStyle w:val="NoSpacing"/>
        <w:rPr>
          <w:rFonts w:ascii="Times New Roman" w:hAnsi="Times New Roman"/>
          <w:b/>
          <w:bCs/>
          <w:sz w:val="24"/>
          <w:szCs w:val="24"/>
        </w:rPr>
      </w:pPr>
    </w:p>
    <w:p w14:paraId="221CF47D" w14:textId="54FFAA0F" w:rsidR="007105B3" w:rsidRDefault="007105B3" w:rsidP="007105B3">
      <w:pPr>
        <w:pStyle w:val="NoSpacing"/>
        <w:rPr>
          <w:rFonts w:ascii="Times New Roman" w:hAnsi="Times New Roman"/>
          <w:b/>
          <w:bCs/>
          <w:sz w:val="24"/>
          <w:szCs w:val="24"/>
        </w:rPr>
      </w:pPr>
      <w:r w:rsidRPr="00C254E9">
        <w:rPr>
          <w:rFonts w:ascii="Times New Roman" w:hAnsi="Times New Roman"/>
          <w:b/>
          <w:bCs/>
          <w:sz w:val="24"/>
          <w:szCs w:val="24"/>
        </w:rPr>
        <w:t>Legal Lessons Learned:</w:t>
      </w:r>
      <w:r>
        <w:rPr>
          <w:rFonts w:ascii="Times New Roman" w:hAnsi="Times New Roman"/>
          <w:b/>
          <w:bCs/>
          <w:sz w:val="24"/>
          <w:szCs w:val="24"/>
        </w:rPr>
        <w:t xml:space="preserve"> Firefighters enjoy First Amendment rights to post yard signs involving personal matters; only limited rights concerning fire department matters.  </w:t>
      </w:r>
    </w:p>
    <w:p w14:paraId="4BDC1EE0" w14:textId="77777777" w:rsidR="007105B3" w:rsidRDefault="007105B3" w:rsidP="007105B3">
      <w:pPr>
        <w:pStyle w:val="NoSpacing"/>
        <w:rPr>
          <w:rFonts w:ascii="Times New Roman" w:hAnsi="Times New Roman"/>
          <w:b/>
          <w:bCs/>
          <w:sz w:val="24"/>
          <w:szCs w:val="24"/>
        </w:rPr>
      </w:pPr>
    </w:p>
    <w:p w14:paraId="56994B72" w14:textId="77777777" w:rsidR="007105B3" w:rsidRPr="00F65042" w:rsidRDefault="007105B3" w:rsidP="007105B3">
      <w:pPr>
        <w:pStyle w:val="NoSpacing"/>
        <w:ind w:left="720"/>
        <w:rPr>
          <w:rFonts w:ascii="Times New Roman" w:hAnsi="Times New Roman"/>
          <w:b/>
          <w:bCs/>
          <w:sz w:val="24"/>
          <w:szCs w:val="24"/>
        </w:rPr>
      </w:pPr>
      <w:r w:rsidRPr="00572796">
        <w:rPr>
          <w:rFonts w:ascii="Times New Roman" w:hAnsi="Times New Roman"/>
          <w:sz w:val="24"/>
          <w:szCs w:val="24"/>
        </w:rPr>
        <w:t xml:space="preserve">Note: City of Olmstead Falls was dismissed from </w:t>
      </w:r>
      <w:r>
        <w:rPr>
          <w:rFonts w:ascii="Times New Roman" w:hAnsi="Times New Roman"/>
          <w:sz w:val="24"/>
          <w:szCs w:val="24"/>
        </w:rPr>
        <w:t xml:space="preserve">lawsuit since this case did not involve any City policy or ordinances, based on the </w:t>
      </w:r>
      <w:r w:rsidRPr="00572796">
        <w:rPr>
          <w:rFonts w:ascii="Times New Roman" w:hAnsi="Times New Roman"/>
          <w:sz w:val="24"/>
          <w:szCs w:val="24"/>
        </w:rPr>
        <w:t xml:space="preserve">U.S. Supreme Court decision in </w:t>
      </w:r>
      <w:r w:rsidRPr="00F65042">
        <w:rPr>
          <w:rStyle w:val="Strong"/>
          <w:rFonts w:ascii="Times New Roman" w:hAnsi="Times New Roman"/>
          <w:b w:val="0"/>
          <w:bCs w:val="0"/>
          <w:sz w:val="24"/>
          <w:szCs w:val="24"/>
          <w:u w:val="single"/>
        </w:rPr>
        <w:t xml:space="preserve">Monell v. Department of Soc. </w:t>
      </w:r>
      <w:proofErr w:type="spellStart"/>
      <w:r w:rsidRPr="00F65042">
        <w:rPr>
          <w:rStyle w:val="Strong"/>
          <w:rFonts w:ascii="Times New Roman" w:hAnsi="Times New Roman"/>
          <w:b w:val="0"/>
          <w:bCs w:val="0"/>
          <w:sz w:val="24"/>
          <w:szCs w:val="24"/>
          <w:u w:val="single"/>
        </w:rPr>
        <w:t>Svcs</w:t>
      </w:r>
      <w:proofErr w:type="spellEnd"/>
      <w:r w:rsidRPr="00F65042">
        <w:rPr>
          <w:rStyle w:val="Strong"/>
          <w:rFonts w:ascii="Times New Roman" w:hAnsi="Times New Roman"/>
          <w:b w:val="0"/>
          <w:bCs w:val="0"/>
          <w:sz w:val="24"/>
          <w:szCs w:val="24"/>
        </w:rPr>
        <w:t xml:space="preserve">., 436 U.S. 658 (1978), where the New York City Board of Education forced pregnant teachers to take medical leave before such leave was required for medical reasons.  The U.S. Supreme Court held that NYC can be sued for damages for their unconstitutional policy, which the city wisely dropped. </w:t>
      </w:r>
      <w:hyperlink r:id="rId1267" w:history="1">
        <w:r w:rsidRPr="00F65042">
          <w:rPr>
            <w:rStyle w:val="Hyperlink"/>
            <w:rFonts w:ascii="Times New Roman" w:hAnsi="Times New Roman"/>
            <w:b/>
            <w:bCs/>
            <w:sz w:val="24"/>
            <w:szCs w:val="24"/>
          </w:rPr>
          <w:t>https://supreme.justia.com/cases/federal/us/436/658/</w:t>
        </w:r>
      </w:hyperlink>
      <w:r w:rsidRPr="00F65042">
        <w:rPr>
          <w:rStyle w:val="Strong"/>
          <w:rFonts w:ascii="Times New Roman" w:hAnsi="Times New Roman"/>
          <w:b w:val="0"/>
          <w:bCs w:val="0"/>
          <w:sz w:val="24"/>
          <w:szCs w:val="24"/>
        </w:rPr>
        <w:t xml:space="preserve"> </w:t>
      </w:r>
      <w:r w:rsidRPr="00F65042">
        <w:rPr>
          <w:rFonts w:ascii="Times New Roman" w:hAnsi="Times New Roman"/>
          <w:b/>
          <w:bCs/>
          <w:sz w:val="24"/>
          <w:szCs w:val="24"/>
        </w:rPr>
        <w:t xml:space="preserve">  </w:t>
      </w:r>
    </w:p>
    <w:p w14:paraId="756E88BB" w14:textId="2C8073E8" w:rsidR="007105B3" w:rsidRDefault="007105B3" w:rsidP="007105B3">
      <w:pPr>
        <w:rPr>
          <w:rStyle w:val="Hyperlink"/>
          <w:rFonts w:ascii="Times New Roman" w:hAnsi="Times New Roman"/>
          <w:sz w:val="24"/>
          <w:szCs w:val="24"/>
        </w:rPr>
      </w:pPr>
    </w:p>
    <w:p w14:paraId="56EB5C6D" w14:textId="77777777" w:rsidR="007105B3" w:rsidRDefault="007105B3" w:rsidP="007105B3">
      <w:pPr>
        <w:rPr>
          <w:rFonts w:ascii="Arial Black" w:hAnsi="Arial Black"/>
          <w:b/>
          <w:sz w:val="24"/>
          <w:szCs w:val="24"/>
        </w:rPr>
      </w:pPr>
    </w:p>
    <w:p w14:paraId="41FE17E2" w14:textId="3F50D94E" w:rsidR="006744D3" w:rsidRDefault="006744D3" w:rsidP="00EF1133">
      <w:pPr>
        <w:rPr>
          <w:rFonts w:ascii="Arial Black" w:hAnsi="Arial Black"/>
          <w:b/>
          <w:sz w:val="24"/>
          <w:szCs w:val="24"/>
        </w:rPr>
      </w:pPr>
      <w:r>
        <w:rPr>
          <w:rFonts w:ascii="Arial Black" w:hAnsi="Arial Black"/>
          <w:b/>
          <w:sz w:val="24"/>
          <w:szCs w:val="24"/>
        </w:rPr>
        <w:t>6-45</w:t>
      </w:r>
    </w:p>
    <w:p w14:paraId="404F3775" w14:textId="77777777" w:rsidR="006744D3" w:rsidRPr="00575185" w:rsidRDefault="006744D3" w:rsidP="006744D3">
      <w:pPr>
        <w:spacing w:after="0" w:line="240" w:lineRule="auto"/>
        <w:jc w:val="both"/>
        <w:rPr>
          <w:rFonts w:ascii="Arial Black" w:eastAsia="Times New Roman" w:hAnsi="Arial Black"/>
          <w:b/>
          <w:bCs/>
          <w:sz w:val="28"/>
          <w:szCs w:val="28"/>
        </w:rPr>
      </w:pPr>
      <w:r w:rsidRPr="00575185">
        <w:rPr>
          <w:rFonts w:ascii="Arial Black" w:eastAsia="Times New Roman" w:hAnsi="Arial Black"/>
          <w:b/>
          <w:bCs/>
          <w:sz w:val="28"/>
          <w:szCs w:val="28"/>
        </w:rPr>
        <w:t xml:space="preserve">MD:  FF </w:t>
      </w:r>
      <w:r>
        <w:rPr>
          <w:rFonts w:ascii="Arial Black" w:eastAsia="Times New Roman" w:hAnsi="Arial Black"/>
          <w:b/>
          <w:bCs/>
          <w:sz w:val="28"/>
          <w:szCs w:val="28"/>
        </w:rPr>
        <w:t xml:space="preserve">WITH </w:t>
      </w:r>
      <w:r w:rsidRPr="00575185">
        <w:rPr>
          <w:rFonts w:ascii="Arial Black" w:eastAsia="Times New Roman" w:hAnsi="Arial Black"/>
          <w:b/>
          <w:bCs/>
          <w:sz w:val="28"/>
          <w:szCs w:val="28"/>
        </w:rPr>
        <w:t>HERNIA</w:t>
      </w:r>
      <w:r>
        <w:rPr>
          <w:rFonts w:ascii="Arial Black" w:eastAsia="Times New Roman" w:hAnsi="Arial Black"/>
          <w:b/>
          <w:bCs/>
          <w:sz w:val="28"/>
          <w:szCs w:val="28"/>
        </w:rPr>
        <w:t xml:space="preserve"> – DENIED WORKERS COMP – IN MARYLAND JUST “SPRAIN” – NOT OCCPATIONAL DISEASE UNLESS CAUSED BY “ACCIDENTAL PERSONAL INJURY” </w:t>
      </w:r>
    </w:p>
    <w:p w14:paraId="3A0F5194" w14:textId="77777777" w:rsidR="006744D3" w:rsidRPr="00025F21" w:rsidRDefault="006744D3" w:rsidP="006744D3">
      <w:pPr>
        <w:spacing w:after="0" w:line="240" w:lineRule="auto"/>
        <w:ind w:left="720"/>
        <w:jc w:val="both"/>
        <w:rPr>
          <w:rFonts w:ascii="Times New Roman" w:eastAsia="Times New Roman" w:hAnsi="Times New Roman"/>
          <w:sz w:val="27"/>
          <w:szCs w:val="27"/>
        </w:rPr>
      </w:pPr>
    </w:p>
    <w:p w14:paraId="78B97EF1" w14:textId="77777777" w:rsidR="006744D3" w:rsidRDefault="006744D3" w:rsidP="006744D3">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On May 28, 2020, in </w:t>
      </w:r>
      <w:r w:rsidRPr="00575185">
        <w:rPr>
          <w:rFonts w:ascii="Times New Roman" w:eastAsia="Times New Roman" w:hAnsi="Times New Roman"/>
          <w:sz w:val="24"/>
          <w:szCs w:val="24"/>
          <w:u w:val="single"/>
        </w:rPr>
        <w:t>Justin Greer v. Montgomery County, Maryland</w:t>
      </w:r>
      <w:r>
        <w:rPr>
          <w:rFonts w:ascii="Times New Roman" w:eastAsia="Times New Roman" w:hAnsi="Times New Roman"/>
          <w:sz w:val="24"/>
          <w:szCs w:val="24"/>
        </w:rPr>
        <w:t xml:space="preserve">, the Court of Special Appeals of Maryland held (3 to 0) that the Workers Compensation Commission, and the trial court properly denied the firefighter’s workers comp claim for inguinal (groin area) hernia. </w:t>
      </w:r>
      <w:hyperlink r:id="rId1268" w:history="1">
        <w:r w:rsidRPr="003F3822">
          <w:rPr>
            <w:rStyle w:val="Hyperlink"/>
            <w:sz w:val="24"/>
            <w:szCs w:val="24"/>
          </w:rPr>
          <w:t>https://mdcourts.gov/data/opinions/cosa/2020/3381s18.pdf</w:t>
        </w:r>
      </w:hyperlink>
      <w:r>
        <w:rPr>
          <w:rFonts w:ascii="Times New Roman" w:eastAsia="Times New Roman" w:hAnsi="Times New Roman"/>
          <w:sz w:val="24"/>
          <w:szCs w:val="24"/>
        </w:rPr>
        <w:t xml:space="preserve"> </w:t>
      </w:r>
    </w:p>
    <w:p w14:paraId="74ED129D" w14:textId="77777777" w:rsidR="006744D3" w:rsidRDefault="006744D3" w:rsidP="006744D3">
      <w:pPr>
        <w:spacing w:after="0" w:line="240" w:lineRule="auto"/>
        <w:jc w:val="both"/>
        <w:rPr>
          <w:rFonts w:ascii="Times New Roman" w:hAnsi="Times New Roman"/>
          <w:b/>
          <w:bCs/>
          <w:sz w:val="24"/>
          <w:szCs w:val="24"/>
        </w:rPr>
      </w:pPr>
    </w:p>
    <w:p w14:paraId="493DD709" w14:textId="361C40C2" w:rsidR="006744D3" w:rsidRDefault="006744D3" w:rsidP="006744D3">
      <w:pPr>
        <w:spacing w:after="0" w:line="240" w:lineRule="auto"/>
        <w:jc w:val="both"/>
        <w:rPr>
          <w:rFonts w:ascii="Times New Roman" w:hAnsi="Times New Roman"/>
          <w:b/>
          <w:bCs/>
          <w:sz w:val="24"/>
          <w:szCs w:val="24"/>
        </w:rPr>
      </w:pPr>
      <w:r w:rsidRPr="001759E2">
        <w:rPr>
          <w:rFonts w:ascii="Times New Roman" w:hAnsi="Times New Roman"/>
          <w:b/>
          <w:bCs/>
          <w:sz w:val="24"/>
          <w:szCs w:val="24"/>
        </w:rPr>
        <w:lastRenderedPageBreak/>
        <w:t>Legal Lessons Learned:</w:t>
      </w:r>
      <w:r>
        <w:rPr>
          <w:rFonts w:ascii="Times New Roman" w:hAnsi="Times New Roman"/>
          <w:b/>
          <w:bCs/>
          <w:sz w:val="24"/>
          <w:szCs w:val="24"/>
        </w:rPr>
        <w:t xml:space="preserve"> Courts when reviewing administrative agency decisions will generally give deference to the agency’s interpretation of a statute enforced by that agency.  </w:t>
      </w:r>
    </w:p>
    <w:p w14:paraId="01273A2A" w14:textId="77777777" w:rsidR="006744D3" w:rsidRDefault="006744D3" w:rsidP="00EF1133">
      <w:pPr>
        <w:rPr>
          <w:rFonts w:ascii="Arial Black" w:hAnsi="Arial Black"/>
          <w:b/>
          <w:sz w:val="24"/>
          <w:szCs w:val="24"/>
        </w:rPr>
      </w:pPr>
    </w:p>
    <w:p w14:paraId="7B97B02B" w14:textId="77777777" w:rsidR="006744D3" w:rsidRDefault="006744D3" w:rsidP="00EF1133">
      <w:pPr>
        <w:rPr>
          <w:rFonts w:ascii="Arial Black" w:hAnsi="Arial Black"/>
          <w:b/>
          <w:sz w:val="24"/>
          <w:szCs w:val="24"/>
        </w:rPr>
      </w:pPr>
    </w:p>
    <w:p w14:paraId="0D5E6818" w14:textId="4BE7182F" w:rsidR="004E22C3" w:rsidRDefault="004E22C3" w:rsidP="00EF1133">
      <w:pPr>
        <w:rPr>
          <w:rFonts w:ascii="Arial Black" w:hAnsi="Arial Black"/>
          <w:b/>
          <w:sz w:val="24"/>
          <w:szCs w:val="24"/>
        </w:rPr>
      </w:pPr>
      <w:r>
        <w:rPr>
          <w:rFonts w:ascii="Arial Black" w:hAnsi="Arial Black"/>
          <w:b/>
          <w:sz w:val="24"/>
          <w:szCs w:val="24"/>
        </w:rPr>
        <w:t>6-44</w:t>
      </w:r>
    </w:p>
    <w:p w14:paraId="72871779" w14:textId="77777777" w:rsidR="004E22C3" w:rsidRPr="00970612" w:rsidRDefault="004E22C3" w:rsidP="004E22C3">
      <w:pPr>
        <w:spacing w:before="100" w:beforeAutospacing="1" w:after="100" w:afterAutospacing="1" w:line="240" w:lineRule="auto"/>
        <w:jc w:val="both"/>
        <w:rPr>
          <w:rFonts w:ascii="Arial Black" w:eastAsia="Times New Roman" w:hAnsi="Arial Black"/>
          <w:b/>
          <w:bCs/>
          <w:sz w:val="28"/>
          <w:szCs w:val="28"/>
        </w:rPr>
      </w:pPr>
      <w:r w:rsidRPr="00970612">
        <w:rPr>
          <w:rFonts w:ascii="Arial Black" w:eastAsia="Times New Roman" w:hAnsi="Arial Black"/>
          <w:b/>
          <w:bCs/>
          <w:sz w:val="28"/>
          <w:szCs w:val="28"/>
        </w:rPr>
        <w:t>OR:</w:t>
      </w:r>
      <w:r>
        <w:rPr>
          <w:rFonts w:ascii="Arial Black" w:eastAsia="Times New Roman" w:hAnsi="Arial Black"/>
          <w:b/>
          <w:bCs/>
          <w:sz w:val="28"/>
          <w:szCs w:val="28"/>
        </w:rPr>
        <w:t xml:space="preserve"> WORKERS COMP DENIED – FF WITH NON-HODGKIN’S LYMPHOMA – MEDICAL EXPERT DID NOT ESTABLISH THAT SMOKE EXPOSURE WAS MAJOR CONTRIBUTING CAUSE</w:t>
      </w:r>
    </w:p>
    <w:p w14:paraId="439C6C4D" w14:textId="077BE0DE" w:rsidR="004E22C3" w:rsidRDefault="004E22C3" w:rsidP="004E22C3">
      <w:pPr>
        <w:spacing w:before="100" w:beforeAutospacing="1" w:after="100" w:afterAutospacing="1" w:line="240" w:lineRule="auto"/>
        <w:jc w:val="both"/>
        <w:rPr>
          <w:rFonts w:ascii="Times New Roman" w:hAnsi="Times New Roman"/>
          <w:sz w:val="24"/>
          <w:szCs w:val="24"/>
        </w:rPr>
      </w:pPr>
      <w:r w:rsidRPr="00970612">
        <w:rPr>
          <w:rFonts w:ascii="Times New Roman" w:eastAsia="Times New Roman" w:hAnsi="Times New Roman"/>
          <w:sz w:val="24"/>
          <w:szCs w:val="24"/>
        </w:rPr>
        <w:t xml:space="preserve">On May 21, 2020, </w:t>
      </w:r>
      <w:r w:rsidRPr="00970612">
        <w:rPr>
          <w:rFonts w:ascii="Times New Roman" w:hAnsi="Times New Roman"/>
          <w:sz w:val="24"/>
          <w:szCs w:val="24"/>
          <w:u w:val="single"/>
        </w:rPr>
        <w:t xml:space="preserve">In </w:t>
      </w:r>
      <w:proofErr w:type="gramStart"/>
      <w:r w:rsidRPr="00970612">
        <w:rPr>
          <w:rFonts w:ascii="Times New Roman" w:hAnsi="Times New Roman"/>
          <w:sz w:val="24"/>
          <w:szCs w:val="24"/>
          <w:u w:val="single"/>
        </w:rPr>
        <w:t>The</w:t>
      </w:r>
      <w:proofErr w:type="gramEnd"/>
      <w:r w:rsidRPr="00970612">
        <w:rPr>
          <w:rFonts w:ascii="Times New Roman" w:hAnsi="Times New Roman"/>
          <w:sz w:val="24"/>
          <w:szCs w:val="24"/>
          <w:u w:val="single"/>
        </w:rPr>
        <w:t xml:space="preserve"> Matter </w:t>
      </w:r>
      <w:proofErr w:type="gramStart"/>
      <w:r w:rsidRPr="00970612">
        <w:rPr>
          <w:rFonts w:ascii="Times New Roman" w:hAnsi="Times New Roman"/>
          <w:sz w:val="24"/>
          <w:szCs w:val="24"/>
          <w:u w:val="single"/>
        </w:rPr>
        <w:t>Of</w:t>
      </w:r>
      <w:proofErr w:type="gramEnd"/>
      <w:r w:rsidRPr="00970612">
        <w:rPr>
          <w:rFonts w:ascii="Times New Roman" w:hAnsi="Times New Roman"/>
          <w:sz w:val="24"/>
          <w:szCs w:val="24"/>
          <w:u w:val="single"/>
        </w:rPr>
        <w:t xml:space="preserve"> </w:t>
      </w:r>
      <w:proofErr w:type="gramStart"/>
      <w:r w:rsidRPr="00970612">
        <w:rPr>
          <w:rFonts w:ascii="Times New Roman" w:hAnsi="Times New Roman"/>
          <w:sz w:val="24"/>
          <w:szCs w:val="24"/>
          <w:u w:val="single"/>
        </w:rPr>
        <w:t>The</w:t>
      </w:r>
      <w:proofErr w:type="gramEnd"/>
      <w:r w:rsidRPr="00970612">
        <w:rPr>
          <w:rFonts w:ascii="Times New Roman" w:hAnsi="Times New Roman"/>
          <w:sz w:val="24"/>
          <w:szCs w:val="24"/>
          <w:u w:val="single"/>
        </w:rPr>
        <w:t xml:space="preserve"> Compensation </w:t>
      </w:r>
      <w:proofErr w:type="gramStart"/>
      <w:r w:rsidRPr="00970612">
        <w:rPr>
          <w:rFonts w:ascii="Times New Roman" w:hAnsi="Times New Roman"/>
          <w:sz w:val="24"/>
          <w:szCs w:val="24"/>
          <w:u w:val="single"/>
        </w:rPr>
        <w:t>Of</w:t>
      </w:r>
      <w:proofErr w:type="gramEnd"/>
      <w:r w:rsidRPr="00970612">
        <w:rPr>
          <w:rFonts w:ascii="Times New Roman" w:hAnsi="Times New Roman"/>
          <w:sz w:val="24"/>
          <w:szCs w:val="24"/>
          <w:u w:val="single"/>
        </w:rPr>
        <w:t xml:space="preserve"> Alvin D. Rohrscheib, Claimant</w:t>
      </w:r>
      <w:r>
        <w:rPr>
          <w:b/>
          <w:bCs/>
        </w:rPr>
        <w:t xml:space="preserve">,  </w:t>
      </w:r>
      <w:r w:rsidRPr="00685BD9">
        <w:rPr>
          <w:rFonts w:ascii="Times New Roman" w:eastAsia="Times New Roman" w:hAnsi="Times New Roman"/>
          <w:sz w:val="24"/>
          <w:szCs w:val="24"/>
        </w:rPr>
        <w:t xml:space="preserve">72 </w:t>
      </w:r>
      <w:r w:rsidRPr="002F309C">
        <w:rPr>
          <w:rFonts w:ascii="Times New Roman" w:eastAsia="Times New Roman" w:hAnsi="Times New Roman"/>
          <w:sz w:val="24"/>
          <w:szCs w:val="24"/>
        </w:rPr>
        <w:t>Van Natta 421, WCB Case No. 18-02473</w:t>
      </w:r>
      <w:r>
        <w:rPr>
          <w:rFonts w:ascii="Times New Roman" w:eastAsia="Times New Roman" w:hAnsi="Times New Roman"/>
          <w:sz w:val="24"/>
          <w:szCs w:val="24"/>
        </w:rPr>
        <w:t xml:space="preserve">, </w:t>
      </w:r>
      <w:r>
        <w:rPr>
          <w:b/>
          <w:bCs/>
        </w:rPr>
        <w:t xml:space="preserve"> </w:t>
      </w:r>
      <w:r w:rsidRPr="00970612">
        <w:rPr>
          <w:rFonts w:ascii="Times New Roman" w:hAnsi="Times New Roman"/>
          <w:sz w:val="24"/>
          <w:szCs w:val="24"/>
        </w:rPr>
        <w:t>the Oregon Workers' Compensation Division</w:t>
      </w:r>
      <w:r>
        <w:rPr>
          <w:rFonts w:ascii="Times New Roman" w:hAnsi="Times New Roman"/>
          <w:sz w:val="24"/>
          <w:szCs w:val="24"/>
        </w:rPr>
        <w:t xml:space="preserve">, Reviewing Panel upheld (2 to 0) the Administrative Law Judge </w:t>
      </w:r>
      <w:r w:rsidRPr="00970612">
        <w:rPr>
          <w:rFonts w:ascii="Times New Roman" w:hAnsi="Times New Roman"/>
          <w:sz w:val="24"/>
          <w:szCs w:val="24"/>
        </w:rPr>
        <w:t>order that upheld the self-insured employer's denials of his occupational disease claim for non-Hodgkin's lymphoma</w:t>
      </w:r>
      <w:r>
        <w:rPr>
          <w:rFonts w:ascii="Times New Roman" w:hAnsi="Times New Roman"/>
          <w:sz w:val="24"/>
          <w:szCs w:val="24"/>
        </w:rPr>
        <w:t xml:space="preserve">.  </w:t>
      </w:r>
      <w:hyperlink r:id="rId1269" w:history="1">
        <w:r w:rsidR="006744D3" w:rsidRPr="00E74BA3">
          <w:rPr>
            <w:rStyle w:val="Hyperlink"/>
            <w:rFonts w:ascii="Times New Roman" w:hAnsi="Times New Roman"/>
            <w:sz w:val="24"/>
            <w:szCs w:val="24"/>
          </w:rPr>
          <w:t>https://public.fastcase.com/Wl%2B2t%2BeVuI35%2FN70vAMFZmh5C6Al26quhK4NpqFpqP3dNIvTBMbQP47YmW18oezY</w:t>
        </w:r>
      </w:hyperlink>
      <w:r w:rsidR="006744D3">
        <w:rPr>
          <w:rFonts w:ascii="Times New Roman" w:hAnsi="Times New Roman"/>
          <w:sz w:val="24"/>
          <w:szCs w:val="24"/>
        </w:rPr>
        <w:t xml:space="preserve"> </w:t>
      </w:r>
    </w:p>
    <w:p w14:paraId="088DFF40" w14:textId="77777777" w:rsidR="006744D3" w:rsidRDefault="006744D3" w:rsidP="006744D3">
      <w:pPr>
        <w:spacing w:before="100" w:beforeAutospacing="1" w:after="100" w:afterAutospacing="1" w:line="240" w:lineRule="auto"/>
        <w:rPr>
          <w:rFonts w:ascii="Times New Roman" w:eastAsia="Times New Roman" w:hAnsi="Times New Roman"/>
          <w:b/>
          <w:bCs/>
          <w:sz w:val="24"/>
          <w:szCs w:val="24"/>
        </w:rPr>
      </w:pPr>
      <w:r w:rsidRPr="00970612">
        <w:rPr>
          <w:rFonts w:ascii="Times New Roman" w:eastAsia="Times New Roman" w:hAnsi="Times New Roman"/>
          <w:b/>
          <w:bCs/>
          <w:sz w:val="24"/>
          <w:szCs w:val="24"/>
        </w:rPr>
        <w:t>Legal Lessons Learned:</w:t>
      </w:r>
      <w:r>
        <w:rPr>
          <w:rFonts w:ascii="Times New Roman" w:eastAsia="Times New Roman" w:hAnsi="Times New Roman"/>
          <w:b/>
          <w:bCs/>
          <w:sz w:val="24"/>
          <w:szCs w:val="24"/>
        </w:rPr>
        <w:t xml:space="preserve"> Many states have now enacted statutory presumption laws, including Oregon.  </w:t>
      </w:r>
      <w:hyperlink r:id="rId1270" w:history="1">
        <w:r w:rsidRPr="00E26203">
          <w:rPr>
            <w:rStyle w:val="Hyperlink"/>
            <w:sz w:val="24"/>
            <w:szCs w:val="24"/>
          </w:rPr>
          <w:t>https://www.firstrespondercenter.org/cancer/toolsresources/presumptive-legislation-firefighter-cancer-state/</w:t>
        </w:r>
      </w:hyperlink>
      <w:r>
        <w:rPr>
          <w:rFonts w:ascii="Times New Roman" w:eastAsia="Times New Roman" w:hAnsi="Times New Roman"/>
          <w:b/>
          <w:bCs/>
          <w:sz w:val="24"/>
          <w:szCs w:val="24"/>
        </w:rPr>
        <w:t xml:space="preserve">  </w:t>
      </w:r>
    </w:p>
    <w:p w14:paraId="4A85E050" w14:textId="77777777" w:rsidR="006744D3" w:rsidRDefault="006744D3" w:rsidP="006744D3">
      <w:pPr>
        <w:pStyle w:val="Heading3"/>
        <w:ind w:left="1440"/>
        <w:jc w:val="both"/>
        <w:rPr>
          <w:rFonts w:ascii="Times New Roman" w:hAnsi="Times New Roman" w:cs="Times New Roman"/>
          <w:color w:val="auto"/>
        </w:rPr>
      </w:pPr>
      <w:r w:rsidRPr="002F309C">
        <w:rPr>
          <w:rFonts w:ascii="Times New Roman" w:eastAsia="Times New Roman" w:hAnsi="Times New Roman" w:cs="Times New Roman"/>
          <w:color w:val="auto"/>
        </w:rPr>
        <w:t>Note: See article, Jan. 4, 2010,</w:t>
      </w:r>
      <w:r w:rsidRPr="002F309C">
        <w:rPr>
          <w:rFonts w:ascii="Times New Roman" w:eastAsia="Times New Roman" w:hAnsi="Times New Roman" w:cs="Times New Roman"/>
          <w:b/>
          <w:bCs/>
          <w:color w:val="auto"/>
        </w:rPr>
        <w:t xml:space="preserve"> “</w:t>
      </w:r>
      <w:r w:rsidRPr="002F309C">
        <w:rPr>
          <w:rFonts w:ascii="Times New Roman" w:hAnsi="Times New Roman" w:cs="Times New Roman"/>
          <w:color w:val="auto"/>
        </w:rPr>
        <w:t>Oregon's Expanded Cancer Presumption Law Takes Effect,</w:t>
      </w:r>
      <w:r>
        <w:rPr>
          <w:rFonts w:ascii="Times New Roman" w:hAnsi="Times New Roman" w:cs="Times New Roman"/>
          <w:color w:val="auto"/>
        </w:rPr>
        <w:t xml:space="preserve"> s</w:t>
      </w:r>
      <w:r w:rsidRPr="002F309C">
        <w:rPr>
          <w:rFonts w:ascii="Times New Roman" w:hAnsi="Times New Roman" w:cs="Times New Roman"/>
          <w:color w:val="auto"/>
        </w:rPr>
        <w:t>igned by Gov. Ted Kulongoski last March, the law added 12 types of cancer to existing firefighter presumptions for employment-caused occupational diseases under workers' comp.</w:t>
      </w:r>
      <w:r>
        <w:rPr>
          <w:rFonts w:ascii="Times New Roman" w:hAnsi="Times New Roman" w:cs="Times New Roman"/>
          <w:color w:val="auto"/>
        </w:rPr>
        <w:t>”</w:t>
      </w:r>
      <w:r w:rsidRPr="002F309C">
        <w:t xml:space="preserve"> </w:t>
      </w:r>
      <w:r w:rsidRPr="002F309C">
        <w:rPr>
          <w:rFonts w:ascii="Times New Roman" w:hAnsi="Times New Roman" w:cs="Times New Roman"/>
          <w:color w:val="auto"/>
        </w:rPr>
        <w:t>[including non-Hodgkin's lymphoma]</w:t>
      </w:r>
      <w:r>
        <w:rPr>
          <w:rFonts w:ascii="Times New Roman" w:hAnsi="Times New Roman" w:cs="Times New Roman"/>
          <w:color w:val="auto"/>
        </w:rPr>
        <w:t>.</w:t>
      </w:r>
    </w:p>
    <w:p w14:paraId="0CFB4165" w14:textId="77777777" w:rsidR="006744D3" w:rsidRPr="006744D3" w:rsidRDefault="006744D3" w:rsidP="006744D3">
      <w:pPr>
        <w:pStyle w:val="Heading3"/>
        <w:ind w:left="1440"/>
        <w:jc w:val="both"/>
        <w:rPr>
          <w:rFonts w:ascii="Times New Roman" w:eastAsia="Times New Roman" w:hAnsi="Times New Roman" w:cs="Times New Roman"/>
          <w:b/>
          <w:bCs/>
        </w:rPr>
      </w:pPr>
      <w:hyperlink r:id="rId1271" w:history="1">
        <w:r w:rsidRPr="006744D3">
          <w:rPr>
            <w:rStyle w:val="Hyperlink"/>
            <w:rFonts w:ascii="Times New Roman" w:hAnsi="Times New Roman" w:cs="Times New Roman"/>
          </w:rPr>
          <w:t>https://ohsonline.com/articles/2010/01/04/expanded-cancer-presumption-law.aspx</w:t>
        </w:r>
      </w:hyperlink>
    </w:p>
    <w:p w14:paraId="557487B5" w14:textId="77777777" w:rsidR="004E22C3" w:rsidRDefault="004E22C3" w:rsidP="00EF1133">
      <w:pPr>
        <w:rPr>
          <w:rFonts w:ascii="Arial Black" w:hAnsi="Arial Black"/>
          <w:b/>
          <w:sz w:val="24"/>
          <w:szCs w:val="24"/>
        </w:rPr>
      </w:pPr>
    </w:p>
    <w:p w14:paraId="232FEADC" w14:textId="77777777" w:rsidR="004E22C3" w:rsidRDefault="004E22C3" w:rsidP="00EF1133">
      <w:pPr>
        <w:rPr>
          <w:rFonts w:ascii="Arial Black" w:hAnsi="Arial Black"/>
          <w:b/>
          <w:sz w:val="24"/>
          <w:szCs w:val="24"/>
        </w:rPr>
      </w:pPr>
    </w:p>
    <w:p w14:paraId="5E1B444F" w14:textId="77777777" w:rsidR="00B03268" w:rsidRDefault="00B03268" w:rsidP="00EF1133">
      <w:pPr>
        <w:rPr>
          <w:rFonts w:ascii="Arial Black" w:hAnsi="Arial Black"/>
          <w:b/>
          <w:sz w:val="24"/>
          <w:szCs w:val="24"/>
        </w:rPr>
      </w:pPr>
    </w:p>
    <w:p w14:paraId="5DE15349" w14:textId="77777777" w:rsidR="00B03268" w:rsidRDefault="00B03268" w:rsidP="00EF1133">
      <w:pPr>
        <w:rPr>
          <w:rFonts w:ascii="Arial Black" w:hAnsi="Arial Black"/>
          <w:b/>
          <w:sz w:val="24"/>
          <w:szCs w:val="24"/>
        </w:rPr>
      </w:pPr>
    </w:p>
    <w:p w14:paraId="73C7402E" w14:textId="571864D6" w:rsidR="004E22C3" w:rsidRDefault="004E22C3" w:rsidP="00EF1133">
      <w:pPr>
        <w:rPr>
          <w:rFonts w:ascii="Arial Black" w:hAnsi="Arial Black"/>
          <w:b/>
          <w:sz w:val="24"/>
          <w:szCs w:val="24"/>
        </w:rPr>
      </w:pPr>
      <w:r>
        <w:rPr>
          <w:rFonts w:ascii="Arial Black" w:hAnsi="Arial Black"/>
          <w:b/>
          <w:sz w:val="24"/>
          <w:szCs w:val="24"/>
        </w:rPr>
        <w:t>6-43</w:t>
      </w:r>
    </w:p>
    <w:p w14:paraId="7525322D" w14:textId="77777777" w:rsidR="004E22C3" w:rsidRPr="003A738E" w:rsidRDefault="004E22C3" w:rsidP="004E22C3">
      <w:pPr>
        <w:spacing w:before="100" w:beforeAutospacing="1" w:after="100" w:afterAutospacing="1" w:line="240" w:lineRule="auto"/>
        <w:jc w:val="both"/>
        <w:rPr>
          <w:rFonts w:ascii="Arial Black" w:eastAsia="Times New Roman" w:hAnsi="Arial Black"/>
          <w:b/>
          <w:bCs/>
          <w:sz w:val="28"/>
          <w:szCs w:val="28"/>
        </w:rPr>
      </w:pPr>
      <w:r w:rsidRPr="003A738E">
        <w:rPr>
          <w:rFonts w:ascii="Arial Black" w:eastAsia="Times New Roman" w:hAnsi="Arial Black"/>
          <w:b/>
          <w:bCs/>
          <w:sz w:val="28"/>
          <w:szCs w:val="28"/>
        </w:rPr>
        <w:t xml:space="preserve">LA: </w:t>
      </w:r>
      <w:r>
        <w:rPr>
          <w:rFonts w:ascii="Arial Black" w:eastAsia="Times New Roman" w:hAnsi="Arial Black"/>
          <w:b/>
          <w:bCs/>
          <w:sz w:val="28"/>
          <w:szCs w:val="28"/>
        </w:rPr>
        <w:t>HEARING LOSS – WORKERS COMP DENIED – UNDER LOUISIANA LAW ONLY IF LOSS FROM A SINGLE TRAUMATIC ACCIDENT</w:t>
      </w:r>
    </w:p>
    <w:p w14:paraId="2F02E46F" w14:textId="77777777" w:rsidR="004E22C3" w:rsidRPr="00685BD9" w:rsidRDefault="004E22C3" w:rsidP="004E22C3">
      <w:pPr>
        <w:pStyle w:val="NoSpacing"/>
        <w:rPr>
          <w:rFonts w:ascii="Times New Roman" w:hAnsi="Times New Roman"/>
          <w:sz w:val="24"/>
          <w:szCs w:val="24"/>
        </w:rPr>
      </w:pPr>
      <w:r w:rsidRPr="00685BD9">
        <w:rPr>
          <w:rFonts w:ascii="Times New Roman" w:hAnsi="Times New Roman"/>
          <w:sz w:val="24"/>
          <w:szCs w:val="24"/>
        </w:rPr>
        <w:t xml:space="preserve">On May 20, 2020, in </w:t>
      </w:r>
      <w:r w:rsidRPr="00685BD9">
        <w:rPr>
          <w:rFonts w:ascii="Times New Roman" w:hAnsi="Times New Roman"/>
          <w:sz w:val="24"/>
          <w:szCs w:val="24"/>
          <w:u w:val="single"/>
        </w:rPr>
        <w:t>James L. Hartman, Jr. v. St. Bernard Parish Fire Department, et al</w:t>
      </w:r>
      <w:r w:rsidRPr="00685BD9">
        <w:rPr>
          <w:rFonts w:ascii="Times New Roman" w:hAnsi="Times New Roman"/>
          <w:sz w:val="24"/>
          <w:szCs w:val="24"/>
        </w:rPr>
        <w:t>., the Court of Appeals, Fourth Circuit, State of Louisiana, affirmed the Office of Workers’ Compensation judge, deny benefits to District Chief Hartman.</w:t>
      </w:r>
    </w:p>
    <w:p w14:paraId="1D023916" w14:textId="77777777" w:rsidR="004E22C3" w:rsidRPr="003A738E" w:rsidRDefault="004E22C3" w:rsidP="004E22C3">
      <w:pPr>
        <w:pStyle w:val="NoSpacing"/>
      </w:pPr>
      <w:hyperlink r:id="rId1272" w:history="1">
        <w:r w:rsidRPr="00685BD9">
          <w:rPr>
            <w:rStyle w:val="Hyperlink"/>
            <w:rFonts w:ascii="Times New Roman" w:eastAsia="Times New Roman" w:hAnsi="Times New Roman"/>
            <w:sz w:val="24"/>
            <w:szCs w:val="24"/>
          </w:rPr>
          <w:t>http://41af3k34gprx4f6bg12df75i.wpengine.netdna-cdn.com/wp-content/uploads/sites/19/2020/05/Hartman-v.-St.-Bernard-Parish-Fire-Dep_t_-2020-La.-App.pdf</w:t>
        </w:r>
      </w:hyperlink>
      <w:r>
        <w:t xml:space="preserve"> </w:t>
      </w:r>
    </w:p>
    <w:p w14:paraId="4E386935" w14:textId="77777777" w:rsidR="004E22C3" w:rsidRPr="00EF0D90" w:rsidRDefault="004E22C3" w:rsidP="004E22C3">
      <w:pPr>
        <w:spacing w:before="100" w:beforeAutospacing="1" w:after="100" w:afterAutospacing="1" w:line="240" w:lineRule="auto"/>
        <w:jc w:val="both"/>
        <w:rPr>
          <w:rFonts w:ascii="Times New Roman" w:hAnsi="Times New Roman"/>
          <w:b/>
          <w:bCs/>
          <w:sz w:val="24"/>
          <w:szCs w:val="24"/>
        </w:rPr>
      </w:pPr>
      <w:r w:rsidRPr="00EF0D90">
        <w:rPr>
          <w:rFonts w:ascii="Times New Roman" w:hAnsi="Times New Roman"/>
          <w:b/>
          <w:bCs/>
          <w:sz w:val="24"/>
          <w:szCs w:val="24"/>
        </w:rPr>
        <w:lastRenderedPageBreak/>
        <w:t>Legal Lessons Learned: Where hearing protection when on apparatus using siren, or near equipment with load noises.</w:t>
      </w:r>
    </w:p>
    <w:p w14:paraId="2737F3A7" w14:textId="77777777" w:rsidR="004E22C3" w:rsidRDefault="004E22C3" w:rsidP="00EF1133">
      <w:pPr>
        <w:rPr>
          <w:rFonts w:ascii="Arial Black" w:hAnsi="Arial Black"/>
          <w:b/>
          <w:sz w:val="24"/>
          <w:szCs w:val="24"/>
        </w:rPr>
      </w:pPr>
    </w:p>
    <w:p w14:paraId="7B1EB2ED" w14:textId="77777777" w:rsidR="004E22C3" w:rsidRDefault="004E22C3" w:rsidP="00EF1133">
      <w:pPr>
        <w:rPr>
          <w:rFonts w:ascii="Arial Black" w:hAnsi="Arial Black"/>
          <w:b/>
          <w:sz w:val="24"/>
          <w:szCs w:val="24"/>
        </w:rPr>
      </w:pPr>
    </w:p>
    <w:p w14:paraId="2490850D" w14:textId="288B17D9" w:rsidR="004E22C3" w:rsidRDefault="004E22C3" w:rsidP="00EF1133">
      <w:pPr>
        <w:rPr>
          <w:rFonts w:ascii="Arial Black" w:hAnsi="Arial Black"/>
          <w:b/>
          <w:sz w:val="24"/>
          <w:szCs w:val="24"/>
        </w:rPr>
      </w:pPr>
      <w:r>
        <w:rPr>
          <w:rFonts w:ascii="Arial Black" w:hAnsi="Arial Black"/>
          <w:b/>
          <w:sz w:val="24"/>
          <w:szCs w:val="24"/>
        </w:rPr>
        <w:t>6-42</w:t>
      </w:r>
    </w:p>
    <w:p w14:paraId="3F9CEED3" w14:textId="77777777" w:rsidR="004E22C3" w:rsidRPr="00450CB3" w:rsidRDefault="004E22C3" w:rsidP="004E22C3">
      <w:pPr>
        <w:spacing w:before="100" w:beforeAutospacing="1" w:after="100" w:afterAutospacing="1" w:line="240" w:lineRule="auto"/>
        <w:rPr>
          <w:rFonts w:ascii="Arial Black" w:hAnsi="Arial Black" w:cs="Arial"/>
          <w:sz w:val="28"/>
          <w:szCs w:val="28"/>
        </w:rPr>
      </w:pPr>
      <w:r w:rsidRPr="00450CB3">
        <w:rPr>
          <w:rFonts w:ascii="Arial Black" w:hAnsi="Arial Black" w:cs="Arial"/>
          <w:sz w:val="28"/>
          <w:szCs w:val="28"/>
        </w:rPr>
        <w:t xml:space="preserve">PA: </w:t>
      </w:r>
      <w:r>
        <w:rPr>
          <w:rFonts w:ascii="Arial Black" w:hAnsi="Arial Black" w:cs="Arial"/>
          <w:sz w:val="28"/>
          <w:szCs w:val="28"/>
        </w:rPr>
        <w:t xml:space="preserve">KIDNEY CANCER – FF RETIRED 2006, KIDNEY CANCER / SURGERY IN 2015 – PA 2011 STATUTORY PRESUMPTION LAW ALLOWS COVERAGE BACK TO 600 WEEKS  </w:t>
      </w:r>
    </w:p>
    <w:p w14:paraId="1BB9BD39" w14:textId="0282FA8F" w:rsidR="004E22C3" w:rsidRDefault="004E22C3" w:rsidP="004E22C3">
      <w:pPr>
        <w:rPr>
          <w:rFonts w:ascii="Arial Black" w:hAnsi="Arial Black"/>
          <w:b/>
          <w:sz w:val="24"/>
          <w:szCs w:val="24"/>
        </w:rPr>
      </w:pPr>
      <w:r w:rsidRPr="00450CB3">
        <w:rPr>
          <w:rFonts w:ascii="Times New Roman" w:hAnsi="Times New Roman"/>
          <w:sz w:val="24"/>
          <w:szCs w:val="24"/>
        </w:rPr>
        <w:t xml:space="preserve">On May 6, 2020, in </w:t>
      </w:r>
      <w:r w:rsidRPr="00450CB3">
        <w:rPr>
          <w:rFonts w:ascii="Times New Roman" w:hAnsi="Times New Roman"/>
          <w:sz w:val="24"/>
          <w:szCs w:val="24"/>
          <w:u w:val="single"/>
        </w:rPr>
        <w:t>City of Johnstown v. Workers’ Compensation Appeals Board</w:t>
      </w:r>
      <w:r>
        <w:rPr>
          <w:rFonts w:ascii="Times New Roman" w:hAnsi="Times New Roman"/>
          <w:sz w:val="24"/>
          <w:szCs w:val="24"/>
        </w:rPr>
        <w:t xml:space="preserve"> (Michael Sevanick), the Commonwealth Court of Pennsylvania held (3 to 0) in unreported decision that </w:t>
      </w:r>
      <w:r w:rsidRPr="00BD099B">
        <w:rPr>
          <w:rFonts w:ascii="Times New Roman" w:hAnsi="Times New Roman"/>
          <w:sz w:val="24"/>
          <w:szCs w:val="24"/>
        </w:rPr>
        <w:t>“Claimant timely filed his Petition, and it was supported by the substantial, competent evidence of record. The WCJ and the Board correctly applied the standards set out in the Act</w:t>
      </w:r>
      <w:r>
        <w:rPr>
          <w:rFonts w:ascii="Times New Roman" w:hAnsi="Times New Roman"/>
          <w:sz w:val="24"/>
          <w:szCs w:val="24"/>
        </w:rPr>
        <w:t xml:space="preserve"> </w:t>
      </w:r>
      <w:r w:rsidRPr="00BD099B">
        <w:rPr>
          <w:rFonts w:ascii="Times New Roman" w:hAnsi="Times New Roman"/>
          <w:sz w:val="24"/>
          <w:szCs w:val="24"/>
        </w:rPr>
        <w:t>and in the pertinent case law.”</w:t>
      </w:r>
      <w:r>
        <w:rPr>
          <w:rFonts w:ascii="Times New Roman" w:hAnsi="Times New Roman"/>
          <w:sz w:val="24"/>
          <w:szCs w:val="24"/>
        </w:rPr>
        <w:t xml:space="preserve"> </w:t>
      </w:r>
      <w:hyperlink r:id="rId1273" w:anchor="search=%22Sevanick%22" w:history="1">
        <w:r w:rsidRPr="008C168C">
          <w:rPr>
            <w:rStyle w:val="Hyperlink"/>
            <w:sz w:val="24"/>
            <w:szCs w:val="24"/>
          </w:rPr>
          <w:t>http://www.pacourts.us/assets/opinions/Commonwealth/out/1156cd19_5-6-20.pdf#search=%22Sevanick%22</w:t>
        </w:r>
      </w:hyperlink>
    </w:p>
    <w:p w14:paraId="2462C1EB" w14:textId="77777777" w:rsidR="004E22C3" w:rsidRPr="00F200DE" w:rsidRDefault="004E22C3" w:rsidP="004E22C3">
      <w:pPr>
        <w:spacing w:before="100" w:beforeAutospacing="1" w:after="100" w:afterAutospacing="1" w:line="240" w:lineRule="auto"/>
        <w:rPr>
          <w:rFonts w:ascii="Times New Roman" w:hAnsi="Times New Roman"/>
          <w:b/>
          <w:bCs/>
          <w:sz w:val="24"/>
          <w:szCs w:val="24"/>
        </w:rPr>
      </w:pPr>
      <w:r w:rsidRPr="00F200DE">
        <w:rPr>
          <w:rFonts w:ascii="Times New Roman" w:hAnsi="Times New Roman"/>
          <w:b/>
          <w:bCs/>
          <w:sz w:val="24"/>
          <w:szCs w:val="24"/>
        </w:rPr>
        <w:t>Legal Lessons Learned:</w:t>
      </w:r>
      <w:r>
        <w:rPr>
          <w:rFonts w:ascii="Times New Roman" w:hAnsi="Times New Roman"/>
          <w:b/>
          <w:bCs/>
          <w:sz w:val="24"/>
          <w:szCs w:val="24"/>
        </w:rPr>
        <w:t xml:space="preserve"> Fortunately, PA has enacted a statutory presumption statute that includes firefighters who retired within 600 weeks prior to enactment of the statute. </w:t>
      </w:r>
    </w:p>
    <w:p w14:paraId="61AA1F94" w14:textId="77777777" w:rsidR="004E22C3" w:rsidRDefault="004E22C3" w:rsidP="00EF1133">
      <w:pPr>
        <w:rPr>
          <w:rFonts w:ascii="Arial Black" w:hAnsi="Arial Black"/>
          <w:b/>
          <w:sz w:val="24"/>
          <w:szCs w:val="24"/>
        </w:rPr>
      </w:pPr>
    </w:p>
    <w:p w14:paraId="6DB5995D" w14:textId="0D75221B" w:rsidR="002147DA" w:rsidRDefault="002147DA" w:rsidP="00EF1133">
      <w:pPr>
        <w:rPr>
          <w:rFonts w:ascii="Arial Black" w:hAnsi="Arial Black"/>
          <w:b/>
          <w:sz w:val="24"/>
          <w:szCs w:val="24"/>
        </w:rPr>
      </w:pPr>
      <w:r>
        <w:rPr>
          <w:rFonts w:ascii="Arial Black" w:hAnsi="Arial Black"/>
          <w:b/>
          <w:sz w:val="24"/>
          <w:szCs w:val="24"/>
        </w:rPr>
        <w:t>6-41</w:t>
      </w:r>
    </w:p>
    <w:p w14:paraId="6F7E75C0" w14:textId="77777777" w:rsidR="002147DA" w:rsidRDefault="002147DA" w:rsidP="002147DA">
      <w:pPr>
        <w:pStyle w:val="NoSpacing"/>
        <w:rPr>
          <w:b/>
          <w:bCs/>
          <w:sz w:val="24"/>
          <w:szCs w:val="24"/>
        </w:rPr>
      </w:pPr>
      <w:bookmarkStart w:id="240" w:name="_Hlk39764354"/>
      <w:r w:rsidRPr="00FF2F39">
        <w:rPr>
          <w:rFonts w:ascii="Arial Black" w:hAnsi="Arial Black"/>
          <w:sz w:val="28"/>
          <w:szCs w:val="28"/>
        </w:rPr>
        <w:t>KY:</w:t>
      </w:r>
      <w:r>
        <w:rPr>
          <w:rFonts w:ascii="Arial Black" w:hAnsi="Arial Black"/>
          <w:sz w:val="28"/>
          <w:szCs w:val="28"/>
        </w:rPr>
        <w:t xml:space="preserve">  HARASSMENT OF ATHEIST FF – SUPERVISOR TOOK NO ACTION, URGED RESIGN - RETALIATION CASE REINSTATED</w:t>
      </w:r>
    </w:p>
    <w:p w14:paraId="6178327F" w14:textId="77777777" w:rsidR="002147DA" w:rsidRDefault="002147DA" w:rsidP="002147DA">
      <w:pPr>
        <w:pStyle w:val="NoSpacing"/>
        <w:rPr>
          <w:b/>
          <w:bCs/>
          <w:sz w:val="24"/>
          <w:szCs w:val="24"/>
        </w:rPr>
      </w:pPr>
    </w:p>
    <w:p w14:paraId="5B3613C4" w14:textId="77777777" w:rsidR="002147DA" w:rsidRPr="000A5D76" w:rsidRDefault="002147DA" w:rsidP="002147DA">
      <w:pPr>
        <w:pStyle w:val="NoSpacing"/>
        <w:tabs>
          <w:tab w:val="left" w:pos="7070"/>
        </w:tabs>
        <w:rPr>
          <w:rFonts w:ascii="Times New Roman" w:hAnsi="Times New Roman"/>
          <w:b/>
          <w:bCs/>
          <w:sz w:val="24"/>
          <w:szCs w:val="24"/>
        </w:rPr>
      </w:pPr>
      <w:r w:rsidRPr="000A5D76">
        <w:rPr>
          <w:rFonts w:ascii="Times New Roman" w:hAnsi="Times New Roman"/>
          <w:bCs/>
          <w:sz w:val="24"/>
          <w:szCs w:val="24"/>
        </w:rPr>
        <w:t xml:space="preserve">On April 22, 2020, in </w:t>
      </w:r>
      <w:r w:rsidRPr="000A5D76">
        <w:rPr>
          <w:rFonts w:ascii="Times New Roman" w:hAnsi="Times New Roman"/>
          <w:bCs/>
          <w:sz w:val="24"/>
          <w:szCs w:val="24"/>
          <w:u w:val="single"/>
        </w:rPr>
        <w:t>Jeffery Queen v. City of Bowling Green, KY</w:t>
      </w:r>
      <w:r w:rsidRPr="000A5D76">
        <w:rPr>
          <w:rFonts w:ascii="Times New Roman" w:hAnsi="Times New Roman"/>
          <w:bCs/>
          <w:sz w:val="24"/>
          <w:szCs w:val="24"/>
        </w:rPr>
        <w:t>, the U.S. Court of Appeals for the 6</w:t>
      </w:r>
      <w:r w:rsidRPr="000A5D76">
        <w:rPr>
          <w:rFonts w:ascii="Times New Roman" w:hAnsi="Times New Roman"/>
          <w:bCs/>
          <w:sz w:val="24"/>
          <w:szCs w:val="24"/>
          <w:vertAlign w:val="superscript"/>
        </w:rPr>
        <w:t>th</w:t>
      </w:r>
      <w:r w:rsidRPr="000A5D76">
        <w:rPr>
          <w:rFonts w:ascii="Times New Roman" w:hAnsi="Times New Roman"/>
          <w:bCs/>
          <w:sz w:val="24"/>
          <w:szCs w:val="24"/>
        </w:rPr>
        <w:t xml:space="preserve"> Circuit (Cincinnati) held (3 to 0) that the U.S. District Court judge in Bowling Green improperly dismissed the retaliation lawsuit against the plaintiff’s supervisor.  The firefighter worked at Bowling Green FD for five years, and after one year he complained to his </w:t>
      </w:r>
      <w:proofErr w:type="gramStart"/>
      <w:r w:rsidRPr="000A5D76">
        <w:rPr>
          <w:rFonts w:ascii="Times New Roman" w:hAnsi="Times New Roman"/>
          <w:bCs/>
          <w:sz w:val="24"/>
          <w:szCs w:val="24"/>
        </w:rPr>
        <w:t>Supervisor</w:t>
      </w:r>
      <w:proofErr w:type="gramEnd"/>
      <w:r w:rsidRPr="000A5D76">
        <w:rPr>
          <w:rFonts w:ascii="Times New Roman" w:hAnsi="Times New Roman"/>
          <w:bCs/>
          <w:sz w:val="24"/>
          <w:szCs w:val="24"/>
        </w:rPr>
        <w:t xml:space="preserve">.  He was urged to quit, and no corrective action was taken; he finally resigned in </w:t>
      </w:r>
      <w:proofErr w:type="gramStart"/>
      <w:r w:rsidRPr="000A5D76">
        <w:rPr>
          <w:rFonts w:ascii="Times New Roman" w:hAnsi="Times New Roman"/>
          <w:bCs/>
          <w:sz w:val="24"/>
          <w:szCs w:val="24"/>
        </w:rPr>
        <w:t>May,</w:t>
      </w:r>
      <w:proofErr w:type="gramEnd"/>
      <w:r w:rsidRPr="000A5D76">
        <w:rPr>
          <w:rFonts w:ascii="Times New Roman" w:hAnsi="Times New Roman"/>
          <w:bCs/>
          <w:sz w:val="24"/>
          <w:szCs w:val="24"/>
        </w:rPr>
        <w:t xml:space="preserve"> 2016. </w:t>
      </w:r>
    </w:p>
    <w:p w14:paraId="44A13A0B" w14:textId="77777777" w:rsidR="002147DA" w:rsidRPr="000A5D76" w:rsidRDefault="002147DA" w:rsidP="002147DA">
      <w:pPr>
        <w:pStyle w:val="NoSpacing"/>
        <w:ind w:left="720"/>
        <w:rPr>
          <w:rFonts w:ascii="Times New Roman" w:hAnsi="Times New Roman"/>
          <w:b/>
          <w:bCs/>
          <w:sz w:val="24"/>
          <w:szCs w:val="24"/>
        </w:rPr>
      </w:pPr>
    </w:p>
    <w:p w14:paraId="783C8ACA" w14:textId="77777777" w:rsidR="002147DA" w:rsidRPr="000A5D76" w:rsidRDefault="002147DA" w:rsidP="002147DA">
      <w:pPr>
        <w:pStyle w:val="NoSpacing"/>
        <w:ind w:left="720"/>
        <w:rPr>
          <w:rFonts w:ascii="Times New Roman" w:hAnsi="Times New Roman"/>
          <w:b/>
          <w:bCs/>
          <w:sz w:val="24"/>
          <w:szCs w:val="24"/>
        </w:rPr>
      </w:pPr>
      <w:r w:rsidRPr="000A5D76">
        <w:rPr>
          <w:rFonts w:ascii="Times New Roman" w:hAnsi="Times New Roman"/>
          <w:bCs/>
          <w:sz w:val="24"/>
          <w:szCs w:val="24"/>
        </w:rPr>
        <w:t xml:space="preserve">“A reasonable jury could conclude that [the Supervisor] Rockrohr’s subsequent conduct after receiving Queen’s complaint about the harassment he faced at the Bowling Green Fire Department (which conduct included Rockrohr’s suggestion that Queen ‘should get employment elsewhere’  because ‘things [were] not working out’) went far enough to amount to a materially adverse action. Indeed, Rockrohr’s specific admonition made directly to Queen that he ‘should get employment elsewhere’ could be interpreted by reasonable jurors to convey the message that Queen was no longer welcome at the Fire Department, thus amounting to a constructive termination of Queen’s </w:t>
      </w:r>
      <w:proofErr w:type="gramStart"/>
      <w:r w:rsidRPr="000A5D76">
        <w:rPr>
          <w:rFonts w:ascii="Times New Roman" w:hAnsi="Times New Roman"/>
          <w:bCs/>
          <w:sz w:val="24"/>
          <w:szCs w:val="24"/>
        </w:rPr>
        <w:t>employment.”</w:t>
      </w:r>
      <w:proofErr w:type="gramEnd"/>
    </w:p>
    <w:p w14:paraId="45A55C92" w14:textId="77777777" w:rsidR="002147DA" w:rsidRPr="000A5D76" w:rsidRDefault="002147DA" w:rsidP="002147DA">
      <w:pPr>
        <w:pStyle w:val="NoSpacing"/>
        <w:ind w:left="720"/>
        <w:rPr>
          <w:rFonts w:ascii="Times New Roman" w:hAnsi="Times New Roman"/>
          <w:b/>
          <w:bCs/>
          <w:sz w:val="24"/>
          <w:szCs w:val="24"/>
        </w:rPr>
      </w:pPr>
      <w:hyperlink r:id="rId1274" w:history="1">
        <w:r w:rsidRPr="000A5D76">
          <w:rPr>
            <w:rStyle w:val="Hyperlink"/>
            <w:rFonts w:ascii="Times New Roman" w:hAnsi="Times New Roman"/>
            <w:b/>
            <w:sz w:val="24"/>
            <w:szCs w:val="24"/>
          </w:rPr>
          <w:t>https://www.opn.ca6.uscourts.gov/opinions.pdf/20a0123p-06.pdf</w:t>
        </w:r>
      </w:hyperlink>
      <w:r w:rsidRPr="000A5D76">
        <w:rPr>
          <w:rFonts w:ascii="Times New Roman" w:hAnsi="Times New Roman"/>
          <w:bCs/>
          <w:sz w:val="24"/>
          <w:szCs w:val="24"/>
        </w:rPr>
        <w:t xml:space="preserve"> </w:t>
      </w:r>
    </w:p>
    <w:bookmarkEnd w:id="240"/>
    <w:p w14:paraId="0FC60F57" w14:textId="77777777" w:rsidR="002147DA" w:rsidRDefault="002147DA" w:rsidP="002147DA">
      <w:pPr>
        <w:pStyle w:val="NoSpacing"/>
        <w:rPr>
          <w:rFonts w:ascii="Times New Roman" w:hAnsi="Times New Roman"/>
          <w:b/>
          <w:bCs/>
          <w:sz w:val="24"/>
          <w:szCs w:val="24"/>
        </w:rPr>
      </w:pPr>
    </w:p>
    <w:p w14:paraId="08754EA9" w14:textId="73D4EBCB" w:rsidR="002147DA" w:rsidRPr="000A5D76" w:rsidRDefault="002147DA" w:rsidP="002147DA">
      <w:pPr>
        <w:pStyle w:val="NoSpacing"/>
        <w:rPr>
          <w:rFonts w:ascii="Times New Roman" w:hAnsi="Times New Roman"/>
          <w:b/>
          <w:bCs/>
          <w:sz w:val="24"/>
          <w:szCs w:val="24"/>
        </w:rPr>
      </w:pPr>
      <w:bookmarkStart w:id="241" w:name="_Hlk40510447"/>
      <w:r w:rsidRPr="000A5D76">
        <w:rPr>
          <w:rFonts w:ascii="Times New Roman" w:hAnsi="Times New Roman"/>
          <w:b/>
          <w:bCs/>
          <w:sz w:val="24"/>
          <w:szCs w:val="24"/>
        </w:rPr>
        <w:t xml:space="preserve">Legal Lessons Learned: When a firefighter complains of harassment, the </w:t>
      </w:r>
      <w:r w:rsidR="00C4249D">
        <w:rPr>
          <w:rFonts w:ascii="Times New Roman" w:hAnsi="Times New Roman"/>
          <w:b/>
          <w:bCs/>
          <w:sz w:val="24"/>
          <w:szCs w:val="24"/>
        </w:rPr>
        <w:t xml:space="preserve">FD Officer should promptly advise the Fire </w:t>
      </w:r>
      <w:proofErr w:type="gramStart"/>
      <w:r w:rsidR="00C4249D">
        <w:rPr>
          <w:rFonts w:ascii="Times New Roman" w:hAnsi="Times New Roman"/>
          <w:b/>
          <w:bCs/>
          <w:sz w:val="24"/>
          <w:szCs w:val="24"/>
        </w:rPr>
        <w:t xml:space="preserve">Chief, </w:t>
      </w:r>
      <w:r w:rsidRPr="000A5D76">
        <w:rPr>
          <w:rFonts w:ascii="Times New Roman" w:hAnsi="Times New Roman"/>
          <w:b/>
          <w:bCs/>
          <w:sz w:val="24"/>
          <w:szCs w:val="24"/>
        </w:rPr>
        <w:t>and</w:t>
      </w:r>
      <w:proofErr w:type="gramEnd"/>
      <w:r w:rsidRPr="000A5D76">
        <w:rPr>
          <w:rFonts w:ascii="Times New Roman" w:hAnsi="Times New Roman"/>
          <w:b/>
          <w:bCs/>
          <w:sz w:val="24"/>
          <w:szCs w:val="24"/>
        </w:rPr>
        <w:t xml:space="preserve"> promptly investigate and stop any harassment behavior. </w:t>
      </w:r>
    </w:p>
    <w:bookmarkEnd w:id="241"/>
    <w:p w14:paraId="6F2563DF" w14:textId="77777777" w:rsidR="002147DA" w:rsidRDefault="002147DA" w:rsidP="00EF1133">
      <w:pPr>
        <w:rPr>
          <w:rFonts w:ascii="Arial Black" w:hAnsi="Arial Black"/>
          <w:b/>
          <w:sz w:val="24"/>
          <w:szCs w:val="24"/>
        </w:rPr>
      </w:pPr>
    </w:p>
    <w:p w14:paraId="4C39DB1C" w14:textId="77777777" w:rsidR="002147DA" w:rsidRDefault="002147DA" w:rsidP="00EF1133">
      <w:pPr>
        <w:rPr>
          <w:rFonts w:ascii="Arial Black" w:hAnsi="Arial Black"/>
          <w:b/>
          <w:sz w:val="24"/>
          <w:szCs w:val="24"/>
        </w:rPr>
      </w:pPr>
    </w:p>
    <w:p w14:paraId="697CCD76" w14:textId="6AC96BCF" w:rsidR="002147DA" w:rsidRDefault="002147DA" w:rsidP="00EF1133">
      <w:pPr>
        <w:rPr>
          <w:rFonts w:ascii="Arial Black" w:hAnsi="Arial Black"/>
          <w:b/>
          <w:sz w:val="24"/>
          <w:szCs w:val="24"/>
        </w:rPr>
      </w:pPr>
      <w:r>
        <w:rPr>
          <w:rFonts w:ascii="Arial Black" w:hAnsi="Arial Black"/>
          <w:b/>
          <w:sz w:val="24"/>
          <w:szCs w:val="24"/>
        </w:rPr>
        <w:t>6-40</w:t>
      </w:r>
    </w:p>
    <w:p w14:paraId="780420E9" w14:textId="77777777" w:rsidR="002147DA" w:rsidRDefault="002147DA" w:rsidP="002147DA">
      <w:pPr>
        <w:pStyle w:val="NoSpacing"/>
        <w:rPr>
          <w:rFonts w:ascii="Arial Black" w:hAnsi="Arial Black"/>
          <w:sz w:val="28"/>
          <w:szCs w:val="28"/>
        </w:rPr>
      </w:pPr>
      <w:bookmarkStart w:id="242" w:name="_Hlk39764432"/>
      <w:r>
        <w:rPr>
          <w:rFonts w:ascii="Arial Black" w:hAnsi="Arial Black"/>
          <w:sz w:val="28"/>
          <w:szCs w:val="28"/>
        </w:rPr>
        <w:t xml:space="preserve">AR: WORKER’S COMP DENIED - TESTICULAR CANCER – HAD AS YOUTH – NOT COVERED BY PRESUMPTION STATUTE </w:t>
      </w:r>
    </w:p>
    <w:p w14:paraId="516F8082" w14:textId="77777777" w:rsidR="002147DA" w:rsidRDefault="002147DA" w:rsidP="002147DA">
      <w:pPr>
        <w:pStyle w:val="NoSpacing"/>
        <w:ind w:left="720"/>
        <w:rPr>
          <w:b/>
          <w:bCs/>
          <w:sz w:val="24"/>
          <w:szCs w:val="24"/>
        </w:rPr>
      </w:pPr>
    </w:p>
    <w:p w14:paraId="3DA1CA6D" w14:textId="77777777" w:rsidR="002147DA" w:rsidRPr="000A5D76" w:rsidRDefault="002147DA" w:rsidP="002147DA">
      <w:pPr>
        <w:pStyle w:val="NoSpacing"/>
        <w:rPr>
          <w:rFonts w:ascii="Times New Roman" w:hAnsi="Times New Roman"/>
          <w:b/>
          <w:bCs/>
          <w:sz w:val="24"/>
          <w:szCs w:val="24"/>
        </w:rPr>
      </w:pPr>
      <w:r w:rsidRPr="000A5D76">
        <w:rPr>
          <w:rFonts w:ascii="Times New Roman" w:hAnsi="Times New Roman"/>
          <w:bCs/>
          <w:sz w:val="24"/>
          <w:szCs w:val="24"/>
        </w:rPr>
        <w:t xml:space="preserve">On April 21, 2020, </w:t>
      </w:r>
      <w:r w:rsidRPr="000A5D76">
        <w:rPr>
          <w:rFonts w:ascii="Times New Roman" w:hAnsi="Times New Roman"/>
          <w:bCs/>
          <w:sz w:val="24"/>
          <w:szCs w:val="24"/>
          <w:u w:val="single"/>
        </w:rPr>
        <w:t>Wesley Forbach v. The Industrial Commission of Arizona &amp; City of Flagstaff</w:t>
      </w:r>
      <w:r w:rsidRPr="000A5D76">
        <w:rPr>
          <w:rFonts w:ascii="Times New Roman" w:hAnsi="Times New Roman"/>
          <w:bCs/>
          <w:sz w:val="24"/>
          <w:szCs w:val="24"/>
        </w:rPr>
        <w:t xml:space="preserve">, the Arizona Court of Appeal (Division One), held in unpublished opinion (3 to 0) that his surgery for removal of left testicle was not covered by worker’s comp.  The Arizona statutory presumption statute requires proof that the “carcinogen is reasonably related to the cancer.” The proof was particularly difficult in this case since the firefighter as a </w:t>
      </w:r>
      <w:proofErr w:type="gramStart"/>
      <w:r w:rsidRPr="000A5D76">
        <w:rPr>
          <w:rFonts w:ascii="Times New Roman" w:hAnsi="Times New Roman"/>
          <w:bCs/>
          <w:sz w:val="24"/>
          <w:szCs w:val="24"/>
        </w:rPr>
        <w:t>teenage</w:t>
      </w:r>
      <w:proofErr w:type="gramEnd"/>
      <w:r w:rsidRPr="000A5D76">
        <w:rPr>
          <w:rFonts w:ascii="Times New Roman" w:hAnsi="Times New Roman"/>
          <w:bCs/>
          <w:sz w:val="24"/>
          <w:szCs w:val="24"/>
        </w:rPr>
        <w:t xml:space="preserve"> had testicular cancer and his right testicle was removed.</w:t>
      </w:r>
    </w:p>
    <w:p w14:paraId="02DF9137" w14:textId="77777777" w:rsidR="002147DA" w:rsidRPr="000A5D76" w:rsidRDefault="002147DA" w:rsidP="002147DA">
      <w:pPr>
        <w:pStyle w:val="NoSpacing"/>
        <w:ind w:left="720"/>
        <w:rPr>
          <w:rFonts w:ascii="Times New Roman" w:hAnsi="Times New Roman"/>
          <w:b/>
          <w:bCs/>
          <w:sz w:val="24"/>
          <w:szCs w:val="24"/>
        </w:rPr>
      </w:pPr>
    </w:p>
    <w:p w14:paraId="55D2A7BF" w14:textId="77777777" w:rsidR="002147DA" w:rsidRPr="000A5D76" w:rsidRDefault="002147DA" w:rsidP="002147DA">
      <w:pPr>
        <w:pStyle w:val="NoSpacing"/>
        <w:ind w:left="720"/>
        <w:rPr>
          <w:rFonts w:ascii="Times New Roman" w:hAnsi="Times New Roman"/>
          <w:b/>
          <w:bCs/>
          <w:sz w:val="24"/>
          <w:szCs w:val="24"/>
        </w:rPr>
      </w:pPr>
      <w:r w:rsidRPr="000A5D76">
        <w:rPr>
          <w:rFonts w:ascii="Times New Roman" w:hAnsi="Times New Roman"/>
          <w:bCs/>
          <w:sz w:val="24"/>
          <w:szCs w:val="24"/>
        </w:rPr>
        <w:t>“The Administrative Law Judge (‘ALJ’) determined that Forbach was not entitled to a statutory presumption in his favor and, therefore, had not established a causal connection between his disease and his employment. We affirm.”</w:t>
      </w:r>
    </w:p>
    <w:p w14:paraId="0D7A3025" w14:textId="77777777" w:rsidR="002147DA" w:rsidRPr="000A5D76" w:rsidRDefault="002147DA" w:rsidP="002147DA">
      <w:pPr>
        <w:pStyle w:val="NoSpacing"/>
        <w:ind w:left="720"/>
        <w:rPr>
          <w:rFonts w:ascii="Times New Roman" w:hAnsi="Times New Roman"/>
          <w:b/>
          <w:bCs/>
          <w:sz w:val="24"/>
          <w:szCs w:val="24"/>
        </w:rPr>
      </w:pPr>
      <w:hyperlink r:id="rId1275" w:history="1">
        <w:r w:rsidRPr="000A5D76">
          <w:rPr>
            <w:rStyle w:val="Hyperlink"/>
            <w:rFonts w:ascii="Times New Roman" w:hAnsi="Times New Roman"/>
            <w:b/>
            <w:sz w:val="24"/>
            <w:szCs w:val="24"/>
          </w:rPr>
          <w:t>https://www.azcourts.gov/Portals/0/OpinionFiles/Div1/2020/1%20CA-IC%2019-0036%20-%20Forbach.pdf</w:t>
        </w:r>
      </w:hyperlink>
      <w:r w:rsidRPr="000A5D76">
        <w:rPr>
          <w:rFonts w:ascii="Times New Roman" w:hAnsi="Times New Roman"/>
          <w:bCs/>
          <w:sz w:val="24"/>
          <w:szCs w:val="24"/>
        </w:rPr>
        <w:t xml:space="preserve"> </w:t>
      </w:r>
    </w:p>
    <w:bookmarkEnd w:id="242"/>
    <w:p w14:paraId="394C0AF5" w14:textId="77777777" w:rsidR="002147DA" w:rsidRDefault="002147DA" w:rsidP="002147DA">
      <w:pPr>
        <w:pStyle w:val="NoSpacing"/>
        <w:rPr>
          <w:rFonts w:ascii="Times New Roman" w:hAnsi="Times New Roman"/>
          <w:b/>
          <w:bCs/>
          <w:sz w:val="24"/>
          <w:szCs w:val="24"/>
        </w:rPr>
      </w:pPr>
    </w:p>
    <w:p w14:paraId="21A9C70B" w14:textId="2B50B759" w:rsidR="002147DA" w:rsidRPr="000A5D76" w:rsidRDefault="002147DA" w:rsidP="002147DA">
      <w:pPr>
        <w:pStyle w:val="NoSpacing"/>
        <w:rPr>
          <w:rFonts w:ascii="Times New Roman" w:hAnsi="Times New Roman"/>
          <w:b/>
          <w:bCs/>
          <w:sz w:val="24"/>
          <w:szCs w:val="24"/>
        </w:rPr>
      </w:pPr>
      <w:bookmarkStart w:id="243" w:name="_Hlk40510494"/>
      <w:r w:rsidRPr="000A5D76">
        <w:rPr>
          <w:rFonts w:ascii="Times New Roman" w:hAnsi="Times New Roman"/>
          <w:b/>
          <w:bCs/>
          <w:sz w:val="24"/>
          <w:szCs w:val="24"/>
        </w:rPr>
        <w:t xml:space="preserve">Legal Lessons Learned:  Firefighters should keep a list of runs where they have been exposed to smoke or </w:t>
      </w:r>
      <w:r w:rsidR="00C4249D">
        <w:rPr>
          <w:rFonts w:ascii="Times New Roman" w:hAnsi="Times New Roman"/>
          <w:b/>
          <w:bCs/>
          <w:sz w:val="24"/>
          <w:szCs w:val="24"/>
        </w:rPr>
        <w:t xml:space="preserve">other </w:t>
      </w:r>
      <w:r w:rsidRPr="000A5D76">
        <w:rPr>
          <w:rFonts w:ascii="Times New Roman" w:hAnsi="Times New Roman"/>
          <w:b/>
          <w:bCs/>
          <w:sz w:val="24"/>
          <w:szCs w:val="24"/>
        </w:rPr>
        <w:t xml:space="preserve">chemicals, but even with such a list, without a State statutory presumption statute that specifically includes testicular cancer, it is very difficult to prove what caused this </w:t>
      </w:r>
      <w:proofErr w:type="gramStart"/>
      <w:r w:rsidRPr="000A5D76">
        <w:rPr>
          <w:rFonts w:ascii="Times New Roman" w:hAnsi="Times New Roman"/>
          <w:b/>
          <w:bCs/>
          <w:sz w:val="24"/>
          <w:szCs w:val="24"/>
        </w:rPr>
        <w:t>particular cancer</w:t>
      </w:r>
      <w:proofErr w:type="gramEnd"/>
      <w:r w:rsidRPr="000A5D76">
        <w:rPr>
          <w:rFonts w:ascii="Times New Roman" w:hAnsi="Times New Roman"/>
          <w:b/>
          <w:bCs/>
          <w:sz w:val="24"/>
          <w:szCs w:val="24"/>
        </w:rPr>
        <w:t xml:space="preserve">. </w:t>
      </w:r>
    </w:p>
    <w:bookmarkEnd w:id="243"/>
    <w:p w14:paraId="0945C119" w14:textId="77777777" w:rsidR="002147DA" w:rsidRPr="000A5D76" w:rsidRDefault="002147DA" w:rsidP="002147DA">
      <w:pPr>
        <w:pStyle w:val="NoSpacing"/>
        <w:rPr>
          <w:rFonts w:ascii="Times New Roman" w:hAnsi="Times New Roman"/>
          <w:sz w:val="24"/>
          <w:szCs w:val="24"/>
        </w:rPr>
      </w:pPr>
    </w:p>
    <w:p w14:paraId="540D963A" w14:textId="77777777" w:rsidR="002147DA" w:rsidRPr="000A5D76" w:rsidRDefault="002147DA" w:rsidP="002147DA">
      <w:pPr>
        <w:pStyle w:val="NoSpacing"/>
        <w:ind w:left="720"/>
        <w:rPr>
          <w:rFonts w:ascii="Times New Roman" w:hAnsi="Times New Roman"/>
          <w:b/>
          <w:bCs/>
          <w:sz w:val="24"/>
          <w:szCs w:val="24"/>
        </w:rPr>
      </w:pPr>
      <w:r w:rsidRPr="000A5D76">
        <w:rPr>
          <w:rFonts w:ascii="Times New Roman" w:hAnsi="Times New Roman"/>
          <w:bCs/>
          <w:sz w:val="24"/>
          <w:szCs w:val="24"/>
        </w:rPr>
        <w:t xml:space="preserve">Note: Court described the Arizona statutory presumption.  </w:t>
      </w:r>
    </w:p>
    <w:p w14:paraId="2849071D" w14:textId="77777777" w:rsidR="002147DA" w:rsidRPr="000A5D76" w:rsidRDefault="002147DA" w:rsidP="002147DA">
      <w:pPr>
        <w:pStyle w:val="NoSpacing"/>
        <w:ind w:left="720"/>
        <w:rPr>
          <w:rFonts w:ascii="Times New Roman" w:hAnsi="Times New Roman"/>
          <w:b/>
          <w:bCs/>
          <w:sz w:val="24"/>
          <w:szCs w:val="24"/>
        </w:rPr>
      </w:pPr>
    </w:p>
    <w:p w14:paraId="14A2A76C" w14:textId="77777777" w:rsidR="002147DA" w:rsidRPr="000A5D76" w:rsidRDefault="002147DA" w:rsidP="002147DA">
      <w:pPr>
        <w:pStyle w:val="NoSpacing"/>
        <w:ind w:left="1440"/>
        <w:rPr>
          <w:rFonts w:ascii="Times New Roman" w:hAnsi="Times New Roman"/>
          <w:b/>
          <w:bCs/>
          <w:sz w:val="24"/>
          <w:szCs w:val="24"/>
        </w:rPr>
      </w:pPr>
      <w:r w:rsidRPr="000A5D76">
        <w:rPr>
          <w:rFonts w:ascii="Times New Roman" w:hAnsi="Times New Roman"/>
          <w:bCs/>
          <w:sz w:val="24"/>
          <w:szCs w:val="24"/>
        </w:rPr>
        <w:t>“Starting in 2001, with a significant amendment in 2017, the Legislature created a statutory presumption of industrial causation for firefighters and police officers who contract certain diseases under certain conditions. *** Arizona Revised Statutes section 23-901.01(B) lists diseases that, if contracted by firefighters or police officers, will be presumed to be occupational diseases that arose out of employment if the four requirements in subsection (C) of the statute are met….</w:t>
      </w:r>
    </w:p>
    <w:p w14:paraId="3EFDA371" w14:textId="77777777" w:rsidR="002147DA" w:rsidRPr="000A5D76" w:rsidRDefault="002147DA" w:rsidP="002147DA">
      <w:pPr>
        <w:pStyle w:val="NoSpacing"/>
        <w:rPr>
          <w:rFonts w:ascii="Times New Roman" w:hAnsi="Times New Roman"/>
          <w:b/>
          <w:bCs/>
          <w:sz w:val="24"/>
          <w:szCs w:val="24"/>
        </w:rPr>
      </w:pPr>
    </w:p>
    <w:p w14:paraId="2373EB49" w14:textId="77777777" w:rsidR="002147DA" w:rsidRPr="000A5D76" w:rsidRDefault="002147DA" w:rsidP="002147DA">
      <w:pPr>
        <w:pStyle w:val="NoSpacing"/>
        <w:ind w:left="2160"/>
        <w:rPr>
          <w:rFonts w:ascii="Times New Roman" w:hAnsi="Times New Roman"/>
          <w:b/>
          <w:bCs/>
          <w:sz w:val="24"/>
          <w:szCs w:val="24"/>
        </w:rPr>
      </w:pPr>
      <w:r>
        <w:rPr>
          <w:rFonts w:ascii="Times New Roman" w:hAnsi="Times New Roman"/>
          <w:bCs/>
          <w:sz w:val="24"/>
          <w:szCs w:val="24"/>
        </w:rPr>
        <w:t>“</w:t>
      </w:r>
      <w:r w:rsidRPr="000A5D76">
        <w:rPr>
          <w:rFonts w:ascii="Times New Roman" w:hAnsi="Times New Roman"/>
          <w:bCs/>
          <w:sz w:val="24"/>
          <w:szCs w:val="24"/>
        </w:rPr>
        <w:t>3. The firefighter or peace officer was [</w:t>
      </w:r>
      <w:proofErr w:type="spellStart"/>
      <w:r w:rsidRPr="000A5D76">
        <w:rPr>
          <w:rFonts w:ascii="Times New Roman" w:hAnsi="Times New Roman"/>
          <w:bCs/>
          <w:sz w:val="24"/>
          <w:szCs w:val="24"/>
        </w:rPr>
        <w:t>i</w:t>
      </w:r>
      <w:proofErr w:type="spellEnd"/>
      <w:r w:rsidRPr="000A5D76">
        <w:rPr>
          <w:rFonts w:ascii="Times New Roman" w:hAnsi="Times New Roman"/>
          <w:bCs/>
          <w:sz w:val="24"/>
          <w:szCs w:val="24"/>
        </w:rPr>
        <w:t>]exposed to a known carcinogen as defined by the international agency for research on cancer and [ii] informed the department of this exposure, and [iii] the carcinogen is reasonably related to the cancer.”</w:t>
      </w:r>
    </w:p>
    <w:p w14:paraId="6C23509B" w14:textId="5D13BC10" w:rsidR="002147DA" w:rsidRDefault="002147DA" w:rsidP="00EF1133">
      <w:pPr>
        <w:rPr>
          <w:rFonts w:ascii="Arial Black" w:hAnsi="Arial Black"/>
          <w:b/>
          <w:sz w:val="24"/>
          <w:szCs w:val="24"/>
        </w:rPr>
      </w:pPr>
    </w:p>
    <w:p w14:paraId="5922A0C8" w14:textId="207EF2DF" w:rsidR="002147DA" w:rsidRDefault="002147DA" w:rsidP="00EF1133">
      <w:pPr>
        <w:rPr>
          <w:rFonts w:ascii="Arial Black" w:hAnsi="Arial Black"/>
          <w:b/>
          <w:sz w:val="24"/>
          <w:szCs w:val="24"/>
        </w:rPr>
      </w:pPr>
    </w:p>
    <w:p w14:paraId="4138232A" w14:textId="77777777" w:rsidR="002147DA" w:rsidRDefault="002147DA" w:rsidP="00EF1133">
      <w:pPr>
        <w:rPr>
          <w:rFonts w:ascii="Arial Black" w:hAnsi="Arial Black"/>
          <w:b/>
          <w:sz w:val="24"/>
          <w:szCs w:val="24"/>
        </w:rPr>
      </w:pPr>
    </w:p>
    <w:p w14:paraId="1EB2C408" w14:textId="73E32585" w:rsidR="002147DA" w:rsidRDefault="002147DA" w:rsidP="00EF1133">
      <w:pPr>
        <w:rPr>
          <w:rFonts w:ascii="Arial Black" w:hAnsi="Arial Black"/>
          <w:b/>
          <w:sz w:val="24"/>
          <w:szCs w:val="24"/>
        </w:rPr>
      </w:pPr>
      <w:r>
        <w:rPr>
          <w:rFonts w:ascii="Arial Black" w:hAnsi="Arial Black"/>
          <w:b/>
          <w:sz w:val="24"/>
          <w:szCs w:val="24"/>
        </w:rPr>
        <w:t>6-39</w:t>
      </w:r>
    </w:p>
    <w:p w14:paraId="37FF7DA4" w14:textId="3B071FAC" w:rsidR="002147DA" w:rsidRPr="00AC4AF3" w:rsidRDefault="002147DA" w:rsidP="002147DA">
      <w:pPr>
        <w:pStyle w:val="NoSpacing"/>
        <w:rPr>
          <w:rFonts w:ascii="Arial Black" w:hAnsi="Arial Black"/>
          <w:sz w:val="28"/>
          <w:szCs w:val="28"/>
        </w:rPr>
      </w:pPr>
      <w:bookmarkStart w:id="244" w:name="_Hlk39764496"/>
      <w:r w:rsidRPr="00AC4AF3">
        <w:rPr>
          <w:rFonts w:ascii="Arial Black" w:hAnsi="Arial Black"/>
          <w:sz w:val="28"/>
          <w:szCs w:val="28"/>
        </w:rPr>
        <w:t xml:space="preserve">NC: </w:t>
      </w:r>
      <w:r>
        <w:rPr>
          <w:rFonts w:ascii="Arial Black" w:hAnsi="Arial Black"/>
          <w:sz w:val="28"/>
          <w:szCs w:val="28"/>
        </w:rPr>
        <w:t>WORKER’S COMP - DENIED FOR HEARING LOSS – MINOR MVA AMBULANCE - BACK INJURY WAS COVERED</w:t>
      </w:r>
    </w:p>
    <w:p w14:paraId="5F83D9B6" w14:textId="77777777" w:rsidR="002147DA" w:rsidRDefault="002147DA" w:rsidP="002147DA">
      <w:pPr>
        <w:pStyle w:val="NoSpacing"/>
        <w:rPr>
          <w:b/>
          <w:bCs/>
          <w:sz w:val="24"/>
          <w:szCs w:val="24"/>
        </w:rPr>
      </w:pPr>
    </w:p>
    <w:p w14:paraId="604412DA" w14:textId="77777777" w:rsidR="002147DA" w:rsidRPr="000A5D76" w:rsidRDefault="002147DA" w:rsidP="002147DA">
      <w:pPr>
        <w:pStyle w:val="NoSpacing"/>
        <w:rPr>
          <w:rFonts w:ascii="Times New Roman" w:hAnsi="Times New Roman"/>
          <w:b/>
          <w:bCs/>
          <w:sz w:val="24"/>
          <w:szCs w:val="24"/>
        </w:rPr>
      </w:pPr>
      <w:r w:rsidRPr="000A5D76">
        <w:rPr>
          <w:rFonts w:ascii="Times New Roman" w:hAnsi="Times New Roman"/>
          <w:bCs/>
          <w:sz w:val="24"/>
          <w:szCs w:val="24"/>
        </w:rPr>
        <w:lastRenderedPageBreak/>
        <w:t xml:space="preserve">On April 7, 2020, in </w:t>
      </w:r>
      <w:r w:rsidRPr="000A5D76">
        <w:rPr>
          <w:rFonts w:ascii="Times New Roman" w:hAnsi="Times New Roman"/>
          <w:bCs/>
          <w:sz w:val="24"/>
          <w:szCs w:val="24"/>
          <w:u w:val="single"/>
        </w:rPr>
        <w:t xml:space="preserve">Travis Martin v. WakeMed &amp; Key Risk Management Services, </w:t>
      </w:r>
      <w:r w:rsidRPr="000A5D76">
        <w:rPr>
          <w:rFonts w:ascii="Times New Roman" w:hAnsi="Times New Roman"/>
          <w:bCs/>
          <w:sz w:val="24"/>
          <w:szCs w:val="24"/>
        </w:rPr>
        <w:t xml:space="preserve">the Court of Appeals of North Carolina held (3 to 0) in an unpublished opinion that the North Carolina Industrial Compensation properly denied the EMT’s claim for loss of hearing in both ears. </w:t>
      </w:r>
    </w:p>
    <w:p w14:paraId="2E941913" w14:textId="77777777" w:rsidR="002147DA" w:rsidRPr="000A5D76" w:rsidRDefault="002147DA" w:rsidP="002147DA">
      <w:pPr>
        <w:pStyle w:val="NoSpacing"/>
        <w:rPr>
          <w:rFonts w:ascii="Times New Roman" w:hAnsi="Times New Roman"/>
          <w:b/>
          <w:bCs/>
          <w:sz w:val="24"/>
          <w:szCs w:val="24"/>
        </w:rPr>
      </w:pPr>
    </w:p>
    <w:p w14:paraId="0292CC9E" w14:textId="77777777" w:rsidR="002147DA" w:rsidRPr="000A5D76" w:rsidRDefault="002147DA" w:rsidP="002147DA">
      <w:pPr>
        <w:pStyle w:val="NoSpacing"/>
        <w:ind w:left="720"/>
        <w:rPr>
          <w:rFonts w:ascii="Times New Roman" w:hAnsi="Times New Roman"/>
          <w:b/>
          <w:bCs/>
          <w:sz w:val="24"/>
          <w:szCs w:val="24"/>
        </w:rPr>
      </w:pPr>
      <w:r w:rsidRPr="000A5D76">
        <w:rPr>
          <w:rFonts w:ascii="Times New Roman" w:hAnsi="Times New Roman"/>
          <w:bCs/>
          <w:sz w:val="24"/>
          <w:szCs w:val="24"/>
        </w:rPr>
        <w:t>“The Commission found that the record evidence, including plaintiff’s testimony, did not reveal plaintiff ever discussing a loud noise or a certain degree of noise during the motor vehicle accident sufficient to cause plaintiff to sustain asymmetric bilateral hearing loss. Moreover, the motor vehicle collision on 13 April 2016 “’resulted in only minimal damage to [the vehicle plaintiff was driving].’ Based on the preponderance of evidence in view of the entire record, the Commission found that ‘insufficient evidence exists to establish a causal connection between the 13 April 2016 motor vehicle accident and [p]</w:t>
      </w:r>
      <w:proofErr w:type="spellStart"/>
      <w:r w:rsidRPr="000A5D76">
        <w:rPr>
          <w:rFonts w:ascii="Times New Roman" w:hAnsi="Times New Roman"/>
          <w:bCs/>
          <w:sz w:val="24"/>
          <w:szCs w:val="24"/>
        </w:rPr>
        <w:t>laintiff’s</w:t>
      </w:r>
      <w:proofErr w:type="spellEnd"/>
      <w:r w:rsidRPr="000A5D76">
        <w:rPr>
          <w:rFonts w:ascii="Times New Roman" w:hAnsi="Times New Roman"/>
          <w:bCs/>
          <w:sz w:val="24"/>
          <w:szCs w:val="24"/>
        </w:rPr>
        <w:t xml:space="preserve"> alleged injury to his ears, including bilateral hearing loss.” </w:t>
      </w:r>
      <w:hyperlink r:id="rId1276" w:history="1">
        <w:r w:rsidRPr="000A5D76">
          <w:rPr>
            <w:rStyle w:val="Hyperlink"/>
            <w:rFonts w:ascii="Times New Roman" w:hAnsi="Times New Roman"/>
            <w:b/>
            <w:sz w:val="24"/>
            <w:szCs w:val="24"/>
          </w:rPr>
          <w:t>https://appellate.nccourts.org/opinions/?c=2&amp;pdf=38946</w:t>
        </w:r>
      </w:hyperlink>
      <w:r w:rsidRPr="000A5D76">
        <w:rPr>
          <w:rFonts w:ascii="Times New Roman" w:hAnsi="Times New Roman"/>
          <w:bCs/>
          <w:sz w:val="24"/>
          <w:szCs w:val="24"/>
        </w:rPr>
        <w:t xml:space="preserve"> </w:t>
      </w:r>
    </w:p>
    <w:bookmarkEnd w:id="244"/>
    <w:p w14:paraId="5D759841" w14:textId="77777777" w:rsidR="002147DA" w:rsidRDefault="002147DA" w:rsidP="002147DA">
      <w:pPr>
        <w:pStyle w:val="NoSpacing"/>
        <w:rPr>
          <w:rFonts w:ascii="Times New Roman" w:hAnsi="Times New Roman"/>
          <w:b/>
          <w:bCs/>
          <w:sz w:val="24"/>
          <w:szCs w:val="24"/>
        </w:rPr>
      </w:pPr>
    </w:p>
    <w:p w14:paraId="6F12067E" w14:textId="18C1CA2B" w:rsidR="002147DA" w:rsidRPr="000A5D76" w:rsidRDefault="002147DA" w:rsidP="002147DA">
      <w:pPr>
        <w:pStyle w:val="NoSpacing"/>
        <w:rPr>
          <w:rFonts w:ascii="Times New Roman" w:hAnsi="Times New Roman"/>
          <w:b/>
          <w:bCs/>
          <w:sz w:val="24"/>
          <w:szCs w:val="24"/>
        </w:rPr>
      </w:pPr>
      <w:bookmarkStart w:id="245" w:name="_Hlk40510594"/>
      <w:r w:rsidRPr="000A5D76">
        <w:rPr>
          <w:rFonts w:ascii="Times New Roman" w:hAnsi="Times New Roman"/>
          <w:b/>
          <w:bCs/>
          <w:sz w:val="24"/>
          <w:szCs w:val="24"/>
        </w:rPr>
        <w:t xml:space="preserve">Legal Lessons Learned:  With a minor MVA, it is difficult to understand the EMT’s claim that he lost hearing in both ears. </w:t>
      </w:r>
    </w:p>
    <w:bookmarkEnd w:id="245"/>
    <w:p w14:paraId="218FFA19" w14:textId="77777777" w:rsidR="002147DA" w:rsidRPr="000A5D76" w:rsidRDefault="002147DA" w:rsidP="002147DA">
      <w:pPr>
        <w:pStyle w:val="NoSpacing"/>
        <w:rPr>
          <w:rFonts w:ascii="Times New Roman" w:hAnsi="Times New Roman"/>
          <w:b/>
          <w:bCs/>
          <w:sz w:val="24"/>
          <w:szCs w:val="24"/>
        </w:rPr>
      </w:pPr>
    </w:p>
    <w:p w14:paraId="52DCF66F" w14:textId="77777777" w:rsidR="002147DA" w:rsidRDefault="002147DA" w:rsidP="00EF1133">
      <w:pPr>
        <w:rPr>
          <w:rFonts w:ascii="Arial Black" w:hAnsi="Arial Black"/>
          <w:b/>
          <w:sz w:val="24"/>
          <w:szCs w:val="24"/>
        </w:rPr>
      </w:pPr>
    </w:p>
    <w:p w14:paraId="107D2CBC" w14:textId="77777777" w:rsidR="002147DA" w:rsidRDefault="002147DA" w:rsidP="00EF1133">
      <w:pPr>
        <w:rPr>
          <w:rFonts w:ascii="Arial Black" w:hAnsi="Arial Black"/>
          <w:b/>
          <w:sz w:val="24"/>
          <w:szCs w:val="24"/>
        </w:rPr>
      </w:pPr>
    </w:p>
    <w:p w14:paraId="31257DA4" w14:textId="01E6DB71" w:rsidR="002147DA" w:rsidRDefault="002147DA" w:rsidP="00EF1133">
      <w:pPr>
        <w:rPr>
          <w:rFonts w:ascii="Arial Black" w:hAnsi="Arial Black"/>
          <w:b/>
          <w:sz w:val="24"/>
          <w:szCs w:val="24"/>
        </w:rPr>
      </w:pPr>
      <w:r>
        <w:rPr>
          <w:rFonts w:ascii="Arial Black" w:hAnsi="Arial Black"/>
          <w:b/>
          <w:sz w:val="24"/>
          <w:szCs w:val="24"/>
        </w:rPr>
        <w:t>6-38</w:t>
      </w:r>
    </w:p>
    <w:p w14:paraId="0A0CEA28" w14:textId="77777777" w:rsidR="002147DA" w:rsidRPr="00B71D71" w:rsidRDefault="002147DA" w:rsidP="002147DA">
      <w:pPr>
        <w:pStyle w:val="NoSpacing"/>
        <w:rPr>
          <w:rFonts w:ascii="Arial Black" w:hAnsi="Arial Black"/>
          <w:sz w:val="28"/>
          <w:szCs w:val="28"/>
        </w:rPr>
      </w:pPr>
      <w:r w:rsidRPr="00B71D71">
        <w:rPr>
          <w:rFonts w:ascii="Arial Black" w:hAnsi="Arial Black"/>
          <w:sz w:val="28"/>
          <w:szCs w:val="28"/>
        </w:rPr>
        <w:t xml:space="preserve">MD: </w:t>
      </w:r>
      <w:r>
        <w:rPr>
          <w:rFonts w:ascii="Arial Black" w:hAnsi="Arial Black"/>
          <w:sz w:val="28"/>
          <w:szCs w:val="28"/>
        </w:rPr>
        <w:t xml:space="preserve"> WORKER’S COMP – GRANTED FOR ANKLE INJURY – AFTER SHIFT SPENT NIGHT AT STATION – AUTHORIZED</w:t>
      </w:r>
    </w:p>
    <w:p w14:paraId="3AD8DA83" w14:textId="38226C02" w:rsidR="002147DA" w:rsidRDefault="002147DA" w:rsidP="002147DA">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On April 7, 2020, in </w:t>
      </w:r>
      <w:r w:rsidRPr="00EC156E">
        <w:rPr>
          <w:rFonts w:ascii="Times New Roman" w:eastAsia="Times New Roman" w:hAnsi="Times New Roman"/>
          <w:sz w:val="24"/>
          <w:szCs w:val="24"/>
          <w:u w:val="single"/>
        </w:rPr>
        <w:t>Montgomery County, Maryland v. John T. Maloney</w:t>
      </w:r>
      <w:r>
        <w:rPr>
          <w:rFonts w:ascii="Times New Roman" w:eastAsia="Times New Roman" w:hAnsi="Times New Roman"/>
          <w:sz w:val="24"/>
          <w:szCs w:val="24"/>
        </w:rPr>
        <w:t xml:space="preserve">, the Court of Special Appeals of Maryland, held (3 to 0) that the FF, even though he was off duty, was entitled to workers comp, confirming the holdings of both the Workers Compensation Commission, and Circuit Court judge who held evidentiary hearing.    </w:t>
      </w:r>
    </w:p>
    <w:p w14:paraId="2C4397C7" w14:textId="77777777" w:rsidR="002147DA" w:rsidRDefault="002147DA" w:rsidP="002147DA">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w:t>
      </w:r>
      <w:r w:rsidRPr="00B71D71">
        <w:rPr>
          <w:rFonts w:ascii="Times New Roman" w:eastAsia="Times New Roman" w:hAnsi="Times New Roman"/>
          <w:sz w:val="24"/>
          <w:szCs w:val="24"/>
        </w:rPr>
        <w:t xml:space="preserve">In Maryland, employers must compensate </w:t>
      </w:r>
      <w:r>
        <w:rPr>
          <w:rFonts w:ascii="Times New Roman" w:eastAsia="Times New Roman" w:hAnsi="Times New Roman"/>
          <w:sz w:val="24"/>
          <w:szCs w:val="24"/>
        </w:rPr>
        <w:t>‘</w:t>
      </w:r>
      <w:r w:rsidRPr="00B71D71">
        <w:rPr>
          <w:rFonts w:ascii="Times New Roman" w:eastAsia="Times New Roman" w:hAnsi="Times New Roman"/>
          <w:sz w:val="24"/>
          <w:szCs w:val="24"/>
        </w:rPr>
        <w:t>covered employee[s]</w:t>
      </w:r>
      <w:r>
        <w:rPr>
          <w:rFonts w:ascii="Times New Roman" w:eastAsia="Times New Roman" w:hAnsi="Times New Roman"/>
          <w:sz w:val="24"/>
          <w:szCs w:val="24"/>
        </w:rPr>
        <w:t>’</w:t>
      </w:r>
      <w:r w:rsidRPr="00B71D71">
        <w:rPr>
          <w:rFonts w:ascii="Times New Roman" w:eastAsia="Times New Roman" w:hAnsi="Times New Roman"/>
          <w:sz w:val="24"/>
          <w:szCs w:val="24"/>
        </w:rPr>
        <w:t xml:space="preserve"> for certain accidental personal injuries. Lab. &amp; </w:t>
      </w:r>
      <w:proofErr w:type="spellStart"/>
      <w:r w:rsidRPr="00B71D71">
        <w:rPr>
          <w:rFonts w:ascii="Times New Roman" w:eastAsia="Times New Roman" w:hAnsi="Times New Roman"/>
          <w:sz w:val="24"/>
          <w:szCs w:val="24"/>
        </w:rPr>
        <w:t>Empl</w:t>
      </w:r>
      <w:proofErr w:type="spellEnd"/>
      <w:r w:rsidRPr="00B71D71">
        <w:rPr>
          <w:rFonts w:ascii="Times New Roman" w:eastAsia="Times New Roman" w:hAnsi="Times New Roman"/>
          <w:sz w:val="24"/>
          <w:szCs w:val="24"/>
        </w:rPr>
        <w:t xml:space="preserve">. § 9-501. A compensable </w:t>
      </w:r>
      <w:r>
        <w:rPr>
          <w:rFonts w:ascii="Times New Roman" w:eastAsia="Times New Roman" w:hAnsi="Times New Roman"/>
          <w:sz w:val="24"/>
          <w:szCs w:val="24"/>
        </w:rPr>
        <w:t>‘</w:t>
      </w:r>
      <w:r w:rsidRPr="00B71D71">
        <w:rPr>
          <w:rFonts w:ascii="Times New Roman" w:eastAsia="Times New Roman" w:hAnsi="Times New Roman"/>
          <w:sz w:val="24"/>
          <w:szCs w:val="24"/>
        </w:rPr>
        <w:t>accidental personal injury</w:t>
      </w:r>
      <w:r>
        <w:rPr>
          <w:rFonts w:ascii="Times New Roman" w:eastAsia="Times New Roman" w:hAnsi="Times New Roman"/>
          <w:sz w:val="24"/>
          <w:szCs w:val="24"/>
        </w:rPr>
        <w:t>’</w:t>
      </w:r>
      <w:r w:rsidRPr="00B71D71">
        <w:rPr>
          <w:rFonts w:ascii="Times New Roman" w:eastAsia="Times New Roman" w:hAnsi="Times New Roman"/>
          <w:sz w:val="24"/>
          <w:szCs w:val="24"/>
        </w:rPr>
        <w:t xml:space="preserve"> is one that </w:t>
      </w:r>
      <w:r>
        <w:rPr>
          <w:rFonts w:ascii="Times New Roman" w:eastAsia="Times New Roman" w:hAnsi="Times New Roman"/>
          <w:sz w:val="24"/>
          <w:szCs w:val="24"/>
        </w:rPr>
        <w:t>‘</w:t>
      </w:r>
      <w:r w:rsidRPr="00B71D71">
        <w:rPr>
          <w:rFonts w:ascii="Times New Roman" w:eastAsia="Times New Roman" w:hAnsi="Times New Roman"/>
          <w:sz w:val="24"/>
          <w:szCs w:val="24"/>
        </w:rPr>
        <w:t>arises out of and in the course of employment.</w:t>
      </w:r>
      <w:r>
        <w:rPr>
          <w:rFonts w:ascii="Times New Roman" w:eastAsia="Times New Roman" w:hAnsi="Times New Roman"/>
          <w:sz w:val="24"/>
          <w:szCs w:val="24"/>
        </w:rPr>
        <w:t>’</w:t>
      </w:r>
      <w:r w:rsidRPr="00B71D71">
        <w:rPr>
          <w:rFonts w:ascii="Times New Roman" w:eastAsia="Times New Roman" w:hAnsi="Times New Roman"/>
          <w:sz w:val="24"/>
          <w:szCs w:val="24"/>
        </w:rPr>
        <w:t xml:space="preserve"> Lab. &amp; </w:t>
      </w:r>
      <w:proofErr w:type="spellStart"/>
      <w:r w:rsidRPr="00B71D71">
        <w:rPr>
          <w:rFonts w:ascii="Times New Roman" w:eastAsia="Times New Roman" w:hAnsi="Times New Roman"/>
          <w:sz w:val="24"/>
          <w:szCs w:val="24"/>
        </w:rPr>
        <w:t>Empl</w:t>
      </w:r>
      <w:proofErr w:type="spellEnd"/>
      <w:r w:rsidRPr="00B71D71">
        <w:rPr>
          <w:rFonts w:ascii="Times New Roman" w:eastAsia="Times New Roman" w:hAnsi="Times New Roman"/>
          <w:sz w:val="24"/>
          <w:szCs w:val="24"/>
        </w:rPr>
        <w:t xml:space="preserve">. § 9-101(b). At the end of the </w:t>
      </w:r>
      <w:r w:rsidRPr="00B71D71">
        <w:rPr>
          <w:rFonts w:ascii="Times New Roman" w:eastAsia="Times New Roman" w:hAnsi="Times New Roman"/>
          <w:i/>
          <w:iCs/>
          <w:sz w:val="24"/>
          <w:szCs w:val="24"/>
        </w:rPr>
        <w:t>de novo</w:t>
      </w:r>
      <w:r w:rsidRPr="00B71D71">
        <w:rPr>
          <w:rFonts w:ascii="Times New Roman" w:eastAsia="Times New Roman" w:hAnsi="Times New Roman"/>
          <w:sz w:val="24"/>
          <w:szCs w:val="24"/>
        </w:rPr>
        <w:t xml:space="preserve"> evidentiary hearing, the circuit court concluded that Maloney's firehouse injury met these criteria—that it arose out of and in the course of his employment. The County's second appellate contention is that this conclusion by the circuit court was in error. To support its position, the County focuses mainly on the </w:t>
      </w:r>
      <w:proofErr w:type="gramStart"/>
      <w:r w:rsidRPr="00B71D71">
        <w:rPr>
          <w:rFonts w:ascii="Times New Roman" w:eastAsia="Times New Roman" w:hAnsi="Times New Roman"/>
          <w:sz w:val="24"/>
          <w:szCs w:val="24"/>
        </w:rPr>
        <w:t>facts</w:t>
      </w:r>
      <w:proofErr w:type="gramEnd"/>
      <w:r>
        <w:rPr>
          <w:rFonts w:ascii="Times New Roman" w:eastAsia="Times New Roman" w:hAnsi="Times New Roman"/>
          <w:sz w:val="24"/>
          <w:szCs w:val="24"/>
        </w:rPr>
        <w:t xml:space="preserve"> </w:t>
      </w:r>
      <w:r w:rsidRPr="00B71D71">
        <w:rPr>
          <w:rFonts w:ascii="Times New Roman" w:eastAsia="Times New Roman" w:hAnsi="Times New Roman"/>
          <w:sz w:val="24"/>
          <w:szCs w:val="24"/>
        </w:rPr>
        <w:t>that Maloney was not on duty when he was injured, that he was not required to stay at Station 33 that night, and that he chose to stay there for his own convenience.</w:t>
      </w:r>
      <w:r>
        <w:rPr>
          <w:rFonts w:ascii="Times New Roman" w:eastAsia="Times New Roman" w:hAnsi="Times New Roman"/>
          <w:sz w:val="24"/>
          <w:szCs w:val="24"/>
        </w:rPr>
        <w:t xml:space="preserve"> </w:t>
      </w:r>
      <w:r w:rsidRPr="00B71D71">
        <w:rPr>
          <w:rFonts w:ascii="Times New Roman" w:eastAsia="Times New Roman" w:hAnsi="Times New Roman"/>
          <w:sz w:val="24"/>
          <w:szCs w:val="24"/>
        </w:rPr>
        <w:t>  These arguments are not persuasive.</w:t>
      </w:r>
      <w:r>
        <w:rPr>
          <w:rFonts w:ascii="Times New Roman" w:eastAsia="Times New Roman" w:hAnsi="Times New Roman"/>
          <w:sz w:val="24"/>
          <w:szCs w:val="24"/>
        </w:rPr>
        <w:t xml:space="preserve">” </w:t>
      </w:r>
      <w:hyperlink r:id="rId1277" w:history="1">
        <w:r w:rsidRPr="000B08B8">
          <w:rPr>
            <w:rStyle w:val="Hyperlink"/>
            <w:rFonts w:ascii="Times New Roman" w:hAnsi="Times New Roman"/>
            <w:sz w:val="24"/>
            <w:szCs w:val="24"/>
          </w:rPr>
          <w:t>https://public.fastcase.com/Wl%2B2t%2BeVuI35%2FN70vAMFZv4uc1sCbMG5dFxJ8lan7QREifr4yKlj8U3C7mB5N4Yr</w:t>
        </w:r>
      </w:hyperlink>
      <w:r>
        <w:rPr>
          <w:rFonts w:ascii="Times New Roman" w:eastAsia="Times New Roman" w:hAnsi="Times New Roman"/>
          <w:sz w:val="24"/>
          <w:szCs w:val="24"/>
        </w:rPr>
        <w:t xml:space="preserve"> </w:t>
      </w:r>
    </w:p>
    <w:p w14:paraId="73810425" w14:textId="77777777" w:rsidR="002147DA" w:rsidRPr="000A5D76" w:rsidRDefault="002147DA" w:rsidP="002147DA">
      <w:pPr>
        <w:pStyle w:val="NoSpacing"/>
        <w:rPr>
          <w:rFonts w:ascii="Times New Roman" w:eastAsia="Times New Roman" w:hAnsi="Times New Roman"/>
          <w:b/>
          <w:bCs/>
          <w:sz w:val="24"/>
          <w:szCs w:val="24"/>
        </w:rPr>
      </w:pPr>
      <w:r w:rsidRPr="000A5D76">
        <w:rPr>
          <w:rFonts w:ascii="Times New Roman" w:hAnsi="Times New Roman"/>
          <w:b/>
          <w:bCs/>
          <w:sz w:val="24"/>
          <w:szCs w:val="24"/>
        </w:rPr>
        <w:t xml:space="preserve">Legal Lessons Learned: Given the fact that off duty firefighters are routinely allowed to spend the night at a station, it is hard to understand why the County fought this claim. </w:t>
      </w:r>
    </w:p>
    <w:p w14:paraId="092C001F" w14:textId="77777777" w:rsidR="002147DA" w:rsidRDefault="002147DA" w:rsidP="00EF1133">
      <w:pPr>
        <w:rPr>
          <w:rFonts w:ascii="Arial Black" w:hAnsi="Arial Black"/>
          <w:b/>
          <w:sz w:val="24"/>
          <w:szCs w:val="24"/>
        </w:rPr>
      </w:pPr>
    </w:p>
    <w:p w14:paraId="6D5B2668" w14:textId="0651BF7E" w:rsidR="005F0E6D" w:rsidRDefault="005F0E6D" w:rsidP="00EF1133">
      <w:pPr>
        <w:rPr>
          <w:rFonts w:ascii="Arial Black" w:hAnsi="Arial Black"/>
          <w:b/>
          <w:sz w:val="24"/>
          <w:szCs w:val="24"/>
        </w:rPr>
      </w:pPr>
      <w:r>
        <w:rPr>
          <w:rFonts w:ascii="Arial Black" w:hAnsi="Arial Black"/>
          <w:b/>
          <w:sz w:val="24"/>
          <w:szCs w:val="24"/>
        </w:rPr>
        <w:t>6-37</w:t>
      </w:r>
    </w:p>
    <w:p w14:paraId="7CDDC22B" w14:textId="77777777" w:rsidR="002147DA" w:rsidRPr="00B21DE4" w:rsidRDefault="002147DA" w:rsidP="002147DA">
      <w:pPr>
        <w:pStyle w:val="NoSpacing"/>
        <w:rPr>
          <w:rFonts w:ascii="Arial Black" w:hAnsi="Arial Black"/>
          <w:sz w:val="28"/>
          <w:szCs w:val="28"/>
        </w:rPr>
      </w:pPr>
      <w:r w:rsidRPr="00B21DE4">
        <w:rPr>
          <w:rFonts w:ascii="Arial Black" w:hAnsi="Arial Black"/>
          <w:sz w:val="28"/>
          <w:szCs w:val="28"/>
        </w:rPr>
        <w:t>IL</w:t>
      </w:r>
      <w:r>
        <w:rPr>
          <w:rFonts w:ascii="Arial Black" w:hAnsi="Arial Black"/>
          <w:sz w:val="28"/>
          <w:szCs w:val="28"/>
        </w:rPr>
        <w:t xml:space="preserve">:  VILLAGE RESIDENCY REQ. – FIRED – MARRIED CHICAGO TEACHER, PRIMARY RESIDENCE NOT MOTHER’S HOUSE </w:t>
      </w:r>
    </w:p>
    <w:p w14:paraId="7569A9FB" w14:textId="536481C6" w:rsidR="002147DA" w:rsidRDefault="002147DA" w:rsidP="002147DA">
      <w:pPr>
        <w:spacing w:before="100" w:beforeAutospacing="1" w:after="100" w:afterAutospacing="1" w:line="240" w:lineRule="auto"/>
        <w:rPr>
          <w:rFonts w:ascii="Times New Roman" w:hAnsi="Times New Roman"/>
          <w:sz w:val="24"/>
          <w:szCs w:val="24"/>
        </w:rPr>
      </w:pPr>
      <w:r>
        <w:rPr>
          <w:rFonts w:ascii="Times New Roman" w:hAnsi="Times New Roman"/>
          <w:sz w:val="24"/>
          <w:szCs w:val="24"/>
        </w:rPr>
        <w:lastRenderedPageBreak/>
        <w:t xml:space="preserve">On March 31, 2020, in </w:t>
      </w:r>
      <w:r w:rsidRPr="00B21DE4">
        <w:rPr>
          <w:rFonts w:ascii="Times New Roman" w:hAnsi="Times New Roman"/>
          <w:sz w:val="24"/>
          <w:szCs w:val="24"/>
          <w:u w:val="single"/>
        </w:rPr>
        <w:t>Anthony Figueroa v. The Board of Fire And Police Commissioners Of The Village of Melrose Park, Illinois</w:t>
      </w:r>
      <w:r>
        <w:rPr>
          <w:rFonts w:ascii="Times New Roman" w:hAnsi="Times New Roman"/>
          <w:sz w:val="24"/>
          <w:szCs w:val="24"/>
        </w:rPr>
        <w:t xml:space="preserve">, the Appellate Court of Illinois (First District) held (3 to 0) in unpublished decision, held that the trial judge in Circuit Court properly refused to overturn the Board’s decision to terminate the firefighter’s employment, even though he showed he had part-time residency in his mother’s home in the Village.  The room he used in his mother’s house was also used by his mother. </w:t>
      </w:r>
    </w:p>
    <w:p w14:paraId="35F115CA" w14:textId="71AB0BD3" w:rsidR="002147DA" w:rsidRDefault="002147DA" w:rsidP="002147DA">
      <w:pPr>
        <w:ind w:left="720"/>
        <w:rPr>
          <w:rFonts w:ascii="Arial Black" w:hAnsi="Arial Black"/>
          <w:b/>
          <w:sz w:val="24"/>
          <w:szCs w:val="24"/>
        </w:rPr>
      </w:pPr>
      <w:r>
        <w:rPr>
          <w:rFonts w:ascii="Times New Roman" w:hAnsi="Times New Roman"/>
          <w:sz w:val="24"/>
          <w:szCs w:val="24"/>
        </w:rPr>
        <w:t>“</w:t>
      </w:r>
      <w:r w:rsidRPr="00B21DE4">
        <w:rPr>
          <w:rFonts w:ascii="Times New Roman" w:hAnsi="Times New Roman"/>
          <w:sz w:val="24"/>
          <w:szCs w:val="24"/>
        </w:rPr>
        <w:t xml:space="preserve">Giving the statutory language its plain and ordinary meaning, the Village’s residency requirement clearly and unambiguously </w:t>
      </w:r>
      <w:proofErr w:type="gramStart"/>
      <w:r w:rsidRPr="00B21DE4">
        <w:rPr>
          <w:rFonts w:ascii="Times New Roman" w:hAnsi="Times New Roman"/>
          <w:sz w:val="24"/>
          <w:szCs w:val="24"/>
        </w:rPr>
        <w:t>provided that</w:t>
      </w:r>
      <w:proofErr w:type="gramEnd"/>
      <w:r w:rsidRPr="00B21DE4">
        <w:rPr>
          <w:rFonts w:ascii="Times New Roman" w:hAnsi="Times New Roman"/>
          <w:sz w:val="24"/>
          <w:szCs w:val="24"/>
        </w:rPr>
        <w:t xml:space="preserve"> Figueroa had to live within the boundaries of the Village in a home that was his primary or most important residence throughout his period of employment. Contrary to Figueroa’s argument on appeal, the record establishes that the Board did not erroneously construe the ordinance to mean that he could not have more than one residence.</w:t>
      </w:r>
      <w:r>
        <w:rPr>
          <w:rFonts w:ascii="Times New Roman" w:hAnsi="Times New Roman"/>
          <w:sz w:val="24"/>
          <w:szCs w:val="24"/>
        </w:rPr>
        <w:t xml:space="preserve">”  </w:t>
      </w:r>
      <w:hyperlink r:id="rId1278" w:history="1">
        <w:r w:rsidRPr="00656322">
          <w:rPr>
            <w:rStyle w:val="Hyperlink"/>
            <w:rFonts w:ascii="Times New Roman" w:hAnsi="Times New Roman"/>
            <w:sz w:val="24"/>
            <w:szCs w:val="24"/>
          </w:rPr>
          <w:t>https://courts.illinois.gov/R23_Orders/AppellateCourt/2020/1stDistrict/1181708_R23.pdf</w:t>
        </w:r>
      </w:hyperlink>
    </w:p>
    <w:p w14:paraId="3C2361A7" w14:textId="77777777" w:rsidR="002147DA" w:rsidRPr="00AE3A49" w:rsidRDefault="002147DA" w:rsidP="002147DA">
      <w:pPr>
        <w:tabs>
          <w:tab w:val="left" w:pos="2930"/>
        </w:tabs>
        <w:spacing w:before="100" w:beforeAutospacing="1" w:after="100" w:afterAutospacing="1" w:line="240" w:lineRule="auto"/>
        <w:rPr>
          <w:rFonts w:ascii="Times New Roman" w:hAnsi="Times New Roman"/>
          <w:b/>
          <w:bCs/>
          <w:sz w:val="24"/>
          <w:szCs w:val="24"/>
        </w:rPr>
      </w:pPr>
      <w:r w:rsidRPr="00AE3A49">
        <w:rPr>
          <w:rFonts w:ascii="Times New Roman" w:hAnsi="Times New Roman"/>
          <w:b/>
          <w:bCs/>
          <w:sz w:val="24"/>
          <w:szCs w:val="24"/>
        </w:rPr>
        <w:t xml:space="preserve">Legal Lessons Learned: If the FF had purchased a home, or leased an apartment in the Village, took all his mail there, and kept Fire Chief informed, there may have never been charges brought. </w:t>
      </w:r>
    </w:p>
    <w:p w14:paraId="34660BE6" w14:textId="77777777" w:rsidR="002147DA" w:rsidRPr="00AE3A49" w:rsidRDefault="002147DA" w:rsidP="002147DA">
      <w:pPr>
        <w:pStyle w:val="NoSpacing"/>
        <w:ind w:left="720"/>
        <w:rPr>
          <w:rFonts w:ascii="Times New Roman" w:hAnsi="Times New Roman"/>
          <w:b/>
          <w:bCs/>
          <w:sz w:val="24"/>
          <w:szCs w:val="24"/>
        </w:rPr>
      </w:pPr>
      <w:r w:rsidRPr="00AE3A49">
        <w:rPr>
          <w:rFonts w:ascii="Times New Roman" w:hAnsi="Times New Roman"/>
          <w:bCs/>
          <w:sz w:val="24"/>
          <w:szCs w:val="24"/>
        </w:rPr>
        <w:t xml:space="preserve">Note: Some states, including Ohio, have abolished local residency requirements for emergency responders.  See Ohio Revised Code 9.481, “reside either in the county where the political subdivision is located or in any adjacent county in this state.” </w:t>
      </w:r>
      <w:hyperlink r:id="rId1279" w:history="1">
        <w:r w:rsidRPr="00AE3A49">
          <w:rPr>
            <w:rStyle w:val="Hyperlink"/>
            <w:rFonts w:ascii="Times New Roman" w:hAnsi="Times New Roman"/>
            <w:b/>
            <w:sz w:val="24"/>
            <w:szCs w:val="24"/>
          </w:rPr>
          <w:t>http://codes.ohio.gov/orc/gp9.481</w:t>
        </w:r>
      </w:hyperlink>
      <w:r w:rsidRPr="00AE3A49">
        <w:rPr>
          <w:rFonts w:ascii="Times New Roman" w:hAnsi="Times New Roman"/>
          <w:bCs/>
          <w:sz w:val="24"/>
          <w:szCs w:val="24"/>
        </w:rPr>
        <w:t xml:space="preserve"> </w:t>
      </w:r>
    </w:p>
    <w:p w14:paraId="3263228A" w14:textId="77777777" w:rsidR="005F0E6D" w:rsidRDefault="005F0E6D" w:rsidP="00EF1133">
      <w:pPr>
        <w:rPr>
          <w:rFonts w:ascii="Arial Black" w:hAnsi="Arial Black"/>
          <w:b/>
          <w:sz w:val="24"/>
          <w:szCs w:val="24"/>
        </w:rPr>
      </w:pPr>
    </w:p>
    <w:p w14:paraId="0FECC280" w14:textId="5CDD5718" w:rsidR="007540BD" w:rsidRDefault="007540BD" w:rsidP="00EF1133">
      <w:pPr>
        <w:rPr>
          <w:rFonts w:ascii="Arial Black" w:hAnsi="Arial Black"/>
          <w:b/>
          <w:sz w:val="24"/>
          <w:szCs w:val="24"/>
        </w:rPr>
      </w:pPr>
      <w:r>
        <w:rPr>
          <w:rFonts w:ascii="Arial Black" w:hAnsi="Arial Black"/>
          <w:b/>
          <w:sz w:val="24"/>
          <w:szCs w:val="24"/>
        </w:rPr>
        <w:t>6-36</w:t>
      </w:r>
    </w:p>
    <w:p w14:paraId="5B00557E" w14:textId="77777777" w:rsidR="007540BD" w:rsidRPr="00E81CA1" w:rsidRDefault="007540BD" w:rsidP="007540BD">
      <w:pPr>
        <w:spacing w:before="100" w:beforeAutospacing="1" w:after="100" w:afterAutospacing="1" w:line="240" w:lineRule="auto"/>
        <w:rPr>
          <w:rFonts w:ascii="Arial Black" w:eastAsia="Times New Roman" w:hAnsi="Arial Black"/>
          <w:b/>
          <w:bCs/>
          <w:sz w:val="28"/>
          <w:szCs w:val="28"/>
        </w:rPr>
      </w:pPr>
      <w:r w:rsidRPr="00E81CA1">
        <w:rPr>
          <w:rFonts w:ascii="Arial Black" w:eastAsia="Times New Roman" w:hAnsi="Arial Black"/>
          <w:b/>
          <w:bCs/>
          <w:sz w:val="28"/>
          <w:szCs w:val="28"/>
        </w:rPr>
        <w:t xml:space="preserve">TX: </w:t>
      </w:r>
      <w:r>
        <w:rPr>
          <w:rFonts w:ascii="Arial Black" w:eastAsia="Times New Roman" w:hAnsi="Arial Black"/>
          <w:b/>
          <w:bCs/>
          <w:sz w:val="28"/>
          <w:szCs w:val="28"/>
        </w:rPr>
        <w:t xml:space="preserve"> TESTICULAR CANCER – FF WORKERS COMP – CITY FAILED TO RAISE DEFENSE THAT FF DIDN’T FILE CLAIM WITHIN 1-YEAR </w:t>
      </w:r>
    </w:p>
    <w:p w14:paraId="36DCB9FC" w14:textId="77777777" w:rsidR="007540BD" w:rsidRDefault="007540BD" w:rsidP="007540BD">
      <w:pPr>
        <w:spacing w:before="100" w:beforeAutospacing="1" w:after="100" w:afterAutospacing="1" w:line="240" w:lineRule="auto"/>
        <w:rPr>
          <w:rFonts w:ascii="Times New Roman" w:eastAsia="Times New Roman" w:hAnsi="Times New Roman"/>
          <w:sz w:val="24"/>
          <w:szCs w:val="24"/>
        </w:rPr>
      </w:pPr>
      <w:r w:rsidRPr="009A62F9">
        <w:rPr>
          <w:rFonts w:ascii="Times New Roman" w:eastAsia="Times New Roman" w:hAnsi="Times New Roman"/>
          <w:sz w:val="24"/>
          <w:szCs w:val="24"/>
        </w:rPr>
        <w:t xml:space="preserve">On March 25, 2020, in </w:t>
      </w:r>
      <w:r w:rsidRPr="009A62F9">
        <w:rPr>
          <w:rFonts w:ascii="Times New Roman" w:eastAsia="Times New Roman" w:hAnsi="Times New Roman"/>
          <w:sz w:val="24"/>
          <w:szCs w:val="24"/>
          <w:u w:val="single"/>
        </w:rPr>
        <w:t>City of Dallas v. Gregory D. Thompson</w:t>
      </w:r>
      <w:r>
        <w:rPr>
          <w:rFonts w:ascii="Times New Roman" w:eastAsia="Times New Roman" w:hAnsi="Times New Roman"/>
          <w:sz w:val="24"/>
          <w:szCs w:val="24"/>
        </w:rPr>
        <w:t xml:space="preserve">, the Court of Appeals, Twelfth Court of Appeals District, Tyler, Texas held (3 to 0) that the firefighter is entitled to workers compensation coverage for his cancer. </w:t>
      </w:r>
    </w:p>
    <w:p w14:paraId="4CD7D203" w14:textId="77777777" w:rsidR="007540BD" w:rsidRDefault="007540BD" w:rsidP="007540BD">
      <w:pPr>
        <w:pStyle w:val="NoSpacing"/>
        <w:ind w:left="720"/>
        <w:rPr>
          <w:rFonts w:ascii="Times New Roman" w:hAnsi="Times New Roman"/>
          <w:bCs/>
          <w:sz w:val="24"/>
          <w:szCs w:val="24"/>
        </w:rPr>
      </w:pPr>
      <w:r w:rsidRPr="007C7258">
        <w:rPr>
          <w:rFonts w:ascii="Times New Roman" w:hAnsi="Times New Roman"/>
          <w:bCs/>
          <w:sz w:val="24"/>
          <w:szCs w:val="24"/>
        </w:rPr>
        <w:t xml:space="preserve">“The record supports the ALJ’s determination that Dallas did not raise its defense regarding Thompson’s failure to file a claim within one year of his injury within a reasonable amount of time after it became </w:t>
      </w:r>
    </w:p>
    <w:p w14:paraId="0EA09249" w14:textId="77777777" w:rsidR="007540BD" w:rsidRDefault="007540BD" w:rsidP="007540BD">
      <w:pPr>
        <w:pStyle w:val="NoSpacing"/>
        <w:rPr>
          <w:rFonts w:ascii="Times New Roman" w:hAnsi="Times New Roman"/>
          <w:bCs/>
          <w:sz w:val="24"/>
          <w:szCs w:val="24"/>
        </w:rPr>
      </w:pPr>
    </w:p>
    <w:p w14:paraId="4118C227" w14:textId="77777777" w:rsidR="007540BD" w:rsidRDefault="007540BD" w:rsidP="007540BD">
      <w:pPr>
        <w:pStyle w:val="NoSpacing"/>
        <w:rPr>
          <w:rFonts w:ascii="Times New Roman" w:hAnsi="Times New Roman"/>
          <w:bCs/>
          <w:sz w:val="24"/>
          <w:szCs w:val="24"/>
        </w:rPr>
      </w:pPr>
    </w:p>
    <w:p w14:paraId="6DDD1E84" w14:textId="77777777" w:rsidR="007540BD" w:rsidRDefault="007540BD" w:rsidP="007540BD">
      <w:pPr>
        <w:pStyle w:val="NoSpacing"/>
        <w:ind w:left="720"/>
        <w:rPr>
          <w:rFonts w:ascii="Times New Roman" w:hAnsi="Times New Roman"/>
          <w:bCs/>
          <w:sz w:val="24"/>
          <w:szCs w:val="24"/>
        </w:rPr>
      </w:pPr>
      <w:r w:rsidRPr="007C7258">
        <w:rPr>
          <w:rFonts w:ascii="Times New Roman" w:hAnsi="Times New Roman"/>
          <w:bCs/>
          <w:sz w:val="24"/>
          <w:szCs w:val="24"/>
        </w:rPr>
        <w:t xml:space="preserve">available. Therefore, Thompson showed as a matter of law that Dallas waived its one-year defense. Accordingly, the trial court did not err in denying Dallas’s motion for summary judgment and granting </w:t>
      </w:r>
    </w:p>
    <w:p w14:paraId="56E8B1AD" w14:textId="77777777" w:rsidR="007540BD" w:rsidRPr="007C7258" w:rsidRDefault="007540BD" w:rsidP="007540BD">
      <w:pPr>
        <w:pStyle w:val="NoSpacing"/>
        <w:ind w:left="720"/>
        <w:rPr>
          <w:rFonts w:ascii="Times New Roman" w:eastAsia="Times New Roman" w:hAnsi="Times New Roman"/>
          <w:b/>
          <w:bCs/>
          <w:sz w:val="24"/>
          <w:szCs w:val="24"/>
        </w:rPr>
      </w:pPr>
      <w:r w:rsidRPr="007C7258">
        <w:rPr>
          <w:rFonts w:ascii="Times New Roman" w:hAnsi="Times New Roman"/>
          <w:bCs/>
          <w:sz w:val="24"/>
          <w:szCs w:val="24"/>
        </w:rPr>
        <w:t xml:space="preserve">Thompson’s cross-motion for summary judgment.” </w:t>
      </w:r>
      <w:hyperlink r:id="rId1280" w:history="1">
        <w:r w:rsidRPr="007C7258">
          <w:rPr>
            <w:rStyle w:val="Hyperlink"/>
            <w:rFonts w:ascii="Times New Roman" w:hAnsi="Times New Roman"/>
            <w:b/>
            <w:sz w:val="24"/>
            <w:szCs w:val="24"/>
          </w:rPr>
          <w:t>http://www.search.txcourts.gov/SearchMedia.aspx?MediaVersionID=0d5f8f8d-dca0-42cf-9f3d-0b9f0ec4a868&amp;coa=coa12&amp;DT=Opinion&amp;MediaID=3cca35a6-dea2-4898-8844-a6d0a0f59f70</w:t>
        </w:r>
      </w:hyperlink>
    </w:p>
    <w:p w14:paraId="37F52047" w14:textId="77777777" w:rsidR="007540BD" w:rsidRPr="007C7258" w:rsidRDefault="007540BD" w:rsidP="007540BD">
      <w:pPr>
        <w:pStyle w:val="NoSpacing"/>
        <w:rPr>
          <w:rFonts w:ascii="Times New Roman" w:hAnsi="Times New Roman"/>
          <w:b/>
          <w:bCs/>
          <w:sz w:val="24"/>
          <w:szCs w:val="24"/>
        </w:rPr>
      </w:pPr>
    </w:p>
    <w:p w14:paraId="218A7C68" w14:textId="334F6FB2" w:rsidR="007540BD" w:rsidRDefault="007540BD" w:rsidP="00EF1133">
      <w:pPr>
        <w:rPr>
          <w:rFonts w:ascii="Arial Black" w:hAnsi="Arial Black"/>
          <w:b/>
          <w:sz w:val="24"/>
          <w:szCs w:val="24"/>
        </w:rPr>
      </w:pPr>
      <w:r w:rsidRPr="007C7258">
        <w:rPr>
          <w:rFonts w:ascii="Times New Roman" w:hAnsi="Times New Roman"/>
          <w:b/>
          <w:bCs/>
          <w:sz w:val="24"/>
          <w:szCs w:val="24"/>
        </w:rPr>
        <w:t>Legal Lessons Learned:  Many states have now enacted a “statutory presumption” regarding firefighter cancer</w:t>
      </w:r>
      <w:r w:rsidRPr="007C7258">
        <w:rPr>
          <w:rFonts w:ascii="Times New Roman" w:hAnsi="Times New Roman"/>
          <w:sz w:val="24"/>
          <w:szCs w:val="24"/>
        </w:rPr>
        <w:t xml:space="preserve">.  </w:t>
      </w:r>
      <w:r w:rsidRPr="007C7258">
        <w:rPr>
          <w:rFonts w:ascii="Times New Roman" w:hAnsi="Times New Roman"/>
          <w:bCs/>
          <w:sz w:val="24"/>
          <w:szCs w:val="24"/>
        </w:rPr>
        <w:t xml:space="preserve">See list of 33 states with statutory presumption statutes: </w:t>
      </w:r>
      <w:hyperlink r:id="rId1281" w:history="1">
        <w:r w:rsidRPr="007C7258">
          <w:rPr>
            <w:rStyle w:val="Hyperlink"/>
            <w:rFonts w:ascii="Times New Roman" w:hAnsi="Times New Roman"/>
            <w:b/>
            <w:sz w:val="24"/>
            <w:szCs w:val="24"/>
          </w:rPr>
          <w:t>https://www.firstrespondercenter.org/cancer/toolsresources/presumptive-legislation-firefighter-cancer-state/</w:t>
        </w:r>
      </w:hyperlink>
    </w:p>
    <w:p w14:paraId="3645B285" w14:textId="77777777" w:rsidR="007540BD" w:rsidRDefault="007540BD" w:rsidP="00A06387">
      <w:pPr>
        <w:pStyle w:val="NoSpacing"/>
        <w:rPr>
          <w:rFonts w:ascii="Arial Black" w:hAnsi="Arial Black"/>
          <w:sz w:val="28"/>
          <w:szCs w:val="28"/>
        </w:rPr>
      </w:pPr>
    </w:p>
    <w:p w14:paraId="39FFD0B3" w14:textId="0880F60A" w:rsidR="007540BD" w:rsidRDefault="007540BD" w:rsidP="00A06387">
      <w:pPr>
        <w:pStyle w:val="NoSpacing"/>
        <w:rPr>
          <w:rFonts w:ascii="Arial Black" w:hAnsi="Arial Black"/>
          <w:sz w:val="28"/>
          <w:szCs w:val="28"/>
        </w:rPr>
      </w:pPr>
      <w:r>
        <w:rPr>
          <w:rFonts w:ascii="Arial Black" w:hAnsi="Arial Black"/>
          <w:sz w:val="28"/>
          <w:szCs w:val="28"/>
        </w:rPr>
        <w:t>6-35</w:t>
      </w:r>
    </w:p>
    <w:p w14:paraId="566B8DA9" w14:textId="772676CA" w:rsidR="007540BD" w:rsidRDefault="007540BD" w:rsidP="00A06387">
      <w:pPr>
        <w:pStyle w:val="NoSpacing"/>
        <w:rPr>
          <w:rFonts w:ascii="Arial Black" w:hAnsi="Arial Black"/>
          <w:sz w:val="28"/>
          <w:szCs w:val="28"/>
        </w:rPr>
      </w:pPr>
    </w:p>
    <w:p w14:paraId="2ABB613A" w14:textId="77777777" w:rsidR="007540BD" w:rsidRPr="001456AA" w:rsidRDefault="007540BD" w:rsidP="007540BD">
      <w:pPr>
        <w:pStyle w:val="NoSpacing"/>
        <w:rPr>
          <w:rFonts w:ascii="Arial Black" w:hAnsi="Arial Black"/>
          <w:sz w:val="28"/>
          <w:szCs w:val="28"/>
        </w:rPr>
      </w:pPr>
      <w:r w:rsidRPr="001456AA">
        <w:rPr>
          <w:rFonts w:ascii="Arial Black" w:hAnsi="Arial Black"/>
          <w:sz w:val="28"/>
          <w:szCs w:val="28"/>
        </w:rPr>
        <w:lastRenderedPageBreak/>
        <w:t xml:space="preserve">IL: </w:t>
      </w:r>
      <w:r>
        <w:rPr>
          <w:rFonts w:ascii="Arial Black" w:hAnsi="Arial Black"/>
          <w:sz w:val="28"/>
          <w:szCs w:val="28"/>
        </w:rPr>
        <w:t>MANDATORY RETIREMENT FOR CHICAGO FF – AGE 63 – FF’S AGE DISCRIMINATION CASE DISMISSED</w:t>
      </w:r>
    </w:p>
    <w:p w14:paraId="718DBCBE" w14:textId="77777777" w:rsidR="007540BD" w:rsidRDefault="007540BD" w:rsidP="007540BD">
      <w:pPr>
        <w:pStyle w:val="NoSpacing"/>
      </w:pPr>
    </w:p>
    <w:p w14:paraId="658EBA95" w14:textId="77777777" w:rsidR="007540BD" w:rsidRPr="00E32D40" w:rsidRDefault="007540BD" w:rsidP="007540BD">
      <w:pPr>
        <w:pStyle w:val="NoSpacing"/>
        <w:rPr>
          <w:rFonts w:ascii="Times New Roman" w:hAnsi="Times New Roman"/>
          <w:b/>
          <w:bCs/>
          <w:sz w:val="24"/>
          <w:szCs w:val="24"/>
        </w:rPr>
      </w:pPr>
      <w:r w:rsidRPr="00E32D40">
        <w:rPr>
          <w:rFonts w:ascii="Times New Roman" w:hAnsi="Times New Roman"/>
          <w:bCs/>
          <w:sz w:val="24"/>
          <w:szCs w:val="24"/>
        </w:rPr>
        <w:t xml:space="preserve">On March 25, 2020, in </w:t>
      </w:r>
      <w:r w:rsidRPr="00E32D40">
        <w:rPr>
          <w:rFonts w:ascii="Times New Roman" w:hAnsi="Times New Roman"/>
          <w:bCs/>
          <w:sz w:val="24"/>
          <w:szCs w:val="24"/>
          <w:u w:val="single"/>
        </w:rPr>
        <w:t>Gerald Barry v. City of Chicago</w:t>
      </w:r>
      <w:r w:rsidRPr="00E32D40">
        <w:rPr>
          <w:rFonts w:ascii="Times New Roman" w:hAnsi="Times New Roman"/>
          <w:bCs/>
          <w:sz w:val="24"/>
          <w:szCs w:val="24"/>
        </w:rPr>
        <w:t xml:space="preserve">, U.S. District Court Judge John Robert Blakey, U.S. District Court for the Northern District of Illinois, Eastern Division, granted the City’s motion to dismiss.  This is his fourth amended complaint; the first three were dismissed because he failed to file an EEOC complaint within 300 days of the alleged discriminatory events.   </w:t>
      </w:r>
    </w:p>
    <w:p w14:paraId="2F98E62F" w14:textId="77777777" w:rsidR="007540BD" w:rsidRDefault="007540BD" w:rsidP="007540BD">
      <w:pPr>
        <w:pStyle w:val="NoSpacing"/>
        <w:rPr>
          <w:b/>
          <w:bCs/>
          <w:sz w:val="24"/>
          <w:szCs w:val="24"/>
        </w:rPr>
      </w:pPr>
    </w:p>
    <w:p w14:paraId="17C35CD0" w14:textId="77777777" w:rsidR="007540BD" w:rsidRPr="007C7258" w:rsidRDefault="007540BD" w:rsidP="007540BD">
      <w:pPr>
        <w:pStyle w:val="NoSpacing"/>
        <w:ind w:left="720"/>
        <w:rPr>
          <w:rFonts w:ascii="Times New Roman" w:hAnsi="Times New Roman"/>
          <w:b/>
          <w:bCs/>
          <w:sz w:val="24"/>
          <w:szCs w:val="24"/>
        </w:rPr>
      </w:pPr>
      <w:r w:rsidRPr="007C7258">
        <w:rPr>
          <w:rFonts w:ascii="Times New Roman" w:hAnsi="Times New Roman"/>
          <w:bCs/>
          <w:sz w:val="24"/>
          <w:szCs w:val="24"/>
        </w:rPr>
        <w:t>“Consistent with this new allegation, the operative complaint alleges that, on April 1, 2018, Plaintiff ‘lost the health care coverage that he had from the City of Chicago, resulting in a significant diminishment of his benefits.’ [39] at 5. He alleges that the loss of health care benefits is ‘consequential to the misapplication of the Mandatory Retirement Ordinance’ and that the City's decision to take away his health care coverage violates his rights under the ‘Lilly Ledbetter amendment to the Equal Pay Act.’</w:t>
      </w:r>
    </w:p>
    <w:p w14:paraId="3CCC52D5" w14:textId="77777777" w:rsidR="007540BD" w:rsidRPr="007C7258" w:rsidRDefault="007540BD" w:rsidP="007540BD">
      <w:pPr>
        <w:pStyle w:val="NoSpacing"/>
        <w:ind w:left="720"/>
        <w:rPr>
          <w:rFonts w:ascii="Times New Roman" w:hAnsi="Times New Roman"/>
          <w:b/>
          <w:bCs/>
          <w:sz w:val="24"/>
          <w:szCs w:val="24"/>
        </w:rPr>
      </w:pPr>
    </w:p>
    <w:p w14:paraId="059282DC" w14:textId="77777777" w:rsidR="007540BD" w:rsidRPr="007C7258" w:rsidRDefault="007540BD" w:rsidP="007540BD">
      <w:pPr>
        <w:pStyle w:val="NoSpacing"/>
        <w:ind w:left="720"/>
        <w:rPr>
          <w:rFonts w:ascii="Times New Roman" w:hAnsi="Times New Roman"/>
          <w:b/>
          <w:bCs/>
          <w:sz w:val="24"/>
          <w:szCs w:val="24"/>
        </w:rPr>
      </w:pPr>
      <w:r w:rsidRPr="007C7258">
        <w:rPr>
          <w:rFonts w:ascii="Times New Roman" w:hAnsi="Times New Roman"/>
          <w:bCs/>
          <w:sz w:val="24"/>
          <w:szCs w:val="24"/>
        </w:rPr>
        <w:t>***</w:t>
      </w:r>
    </w:p>
    <w:p w14:paraId="60B2DE5A" w14:textId="77777777" w:rsidR="007540BD" w:rsidRPr="007C7258" w:rsidRDefault="007540BD" w:rsidP="007540BD">
      <w:pPr>
        <w:pStyle w:val="NoSpacing"/>
        <w:ind w:left="720"/>
        <w:rPr>
          <w:rFonts w:ascii="Times New Roman" w:hAnsi="Times New Roman"/>
          <w:b/>
          <w:bCs/>
          <w:sz w:val="24"/>
          <w:szCs w:val="24"/>
        </w:rPr>
      </w:pPr>
    </w:p>
    <w:p w14:paraId="490917E2" w14:textId="77777777" w:rsidR="007540BD" w:rsidRPr="007C7258" w:rsidRDefault="007540BD" w:rsidP="007540BD">
      <w:pPr>
        <w:pStyle w:val="NoSpacing"/>
        <w:ind w:left="720"/>
        <w:rPr>
          <w:rFonts w:ascii="Times New Roman" w:hAnsi="Times New Roman"/>
          <w:b/>
          <w:bCs/>
          <w:sz w:val="24"/>
          <w:szCs w:val="24"/>
        </w:rPr>
      </w:pPr>
      <w:r w:rsidRPr="007C7258">
        <w:rPr>
          <w:rFonts w:ascii="Times New Roman" w:hAnsi="Times New Roman"/>
          <w:bCs/>
          <w:sz w:val="24"/>
          <w:szCs w:val="24"/>
        </w:rPr>
        <w:t xml:space="preserve">Thus, to state a claim under the ADEA, Plaintiff must at least allege that age was the reason for the challenged adverse employment action. </w:t>
      </w:r>
      <w:r w:rsidRPr="007C7258">
        <w:rPr>
          <w:rFonts w:ascii="Times New Roman" w:hAnsi="Times New Roman"/>
          <w:bCs/>
          <w:i/>
          <w:iCs/>
          <w:sz w:val="24"/>
          <w:szCs w:val="24"/>
        </w:rPr>
        <w:t>E</w:t>
      </w:r>
      <w:r w:rsidRPr="007C7258">
        <w:rPr>
          <w:rFonts w:ascii="Times New Roman" w:hAnsi="Times New Roman"/>
          <w:bCs/>
          <w:sz w:val="24"/>
          <w:szCs w:val="24"/>
        </w:rPr>
        <w:t>.</w:t>
      </w:r>
      <w:r w:rsidRPr="007C7258">
        <w:rPr>
          <w:rFonts w:ascii="Times New Roman" w:hAnsi="Times New Roman"/>
          <w:bCs/>
          <w:i/>
          <w:iCs/>
          <w:sz w:val="24"/>
          <w:szCs w:val="24"/>
        </w:rPr>
        <w:t>g</w:t>
      </w:r>
      <w:r w:rsidRPr="007C7258">
        <w:rPr>
          <w:rFonts w:ascii="Times New Roman" w:hAnsi="Times New Roman"/>
          <w:bCs/>
          <w:sz w:val="24"/>
          <w:szCs w:val="24"/>
        </w:rPr>
        <w:t xml:space="preserve">., </w:t>
      </w:r>
      <w:r w:rsidRPr="007C7258">
        <w:rPr>
          <w:rFonts w:ascii="Times New Roman" w:hAnsi="Times New Roman"/>
          <w:bCs/>
          <w:i/>
          <w:iCs/>
          <w:sz w:val="24"/>
          <w:szCs w:val="24"/>
        </w:rPr>
        <w:t>Gross v</w:t>
      </w:r>
      <w:r w:rsidRPr="007C7258">
        <w:rPr>
          <w:rFonts w:ascii="Times New Roman" w:hAnsi="Times New Roman"/>
          <w:bCs/>
          <w:sz w:val="24"/>
          <w:szCs w:val="24"/>
        </w:rPr>
        <w:t xml:space="preserve">. </w:t>
      </w:r>
      <w:r w:rsidRPr="007C7258">
        <w:rPr>
          <w:rFonts w:ascii="Times New Roman" w:hAnsi="Times New Roman"/>
          <w:bCs/>
          <w:i/>
          <w:iCs/>
          <w:sz w:val="24"/>
          <w:szCs w:val="24"/>
        </w:rPr>
        <w:t>FBL Fin</w:t>
      </w:r>
      <w:r w:rsidRPr="007C7258">
        <w:rPr>
          <w:rFonts w:ascii="Times New Roman" w:hAnsi="Times New Roman"/>
          <w:bCs/>
          <w:sz w:val="24"/>
          <w:szCs w:val="24"/>
        </w:rPr>
        <w:t xml:space="preserve">. </w:t>
      </w:r>
      <w:r w:rsidRPr="007C7258">
        <w:rPr>
          <w:rFonts w:ascii="Times New Roman" w:hAnsi="Times New Roman"/>
          <w:bCs/>
          <w:i/>
          <w:iCs/>
          <w:sz w:val="24"/>
          <w:szCs w:val="24"/>
        </w:rPr>
        <w:t>Servs</w:t>
      </w:r>
      <w:r w:rsidRPr="007C7258">
        <w:rPr>
          <w:rFonts w:ascii="Times New Roman" w:hAnsi="Times New Roman"/>
          <w:bCs/>
          <w:sz w:val="24"/>
          <w:szCs w:val="24"/>
        </w:rPr>
        <w:t xml:space="preserve">., </w:t>
      </w:r>
      <w:r w:rsidRPr="007C7258">
        <w:rPr>
          <w:rFonts w:ascii="Times New Roman" w:hAnsi="Times New Roman"/>
          <w:bCs/>
          <w:i/>
          <w:iCs/>
          <w:sz w:val="24"/>
          <w:szCs w:val="24"/>
        </w:rPr>
        <w:t>Inc</w:t>
      </w:r>
      <w:r w:rsidRPr="007C7258">
        <w:rPr>
          <w:rFonts w:ascii="Times New Roman" w:hAnsi="Times New Roman"/>
          <w:bCs/>
          <w:sz w:val="24"/>
          <w:szCs w:val="24"/>
        </w:rPr>
        <w:t xml:space="preserve">., 557 U.S. 167, 180 (2009). And such an allegation is wholly absent here. Plaintiff checked the box marked ‘age’ on the Court's form employment discrimination complaint, </w:t>
      </w:r>
      <w:r w:rsidRPr="007C7258">
        <w:rPr>
          <w:rFonts w:ascii="Times New Roman" w:hAnsi="Times New Roman"/>
          <w:bCs/>
          <w:i/>
          <w:iCs/>
          <w:sz w:val="24"/>
          <w:szCs w:val="24"/>
        </w:rPr>
        <w:t>see</w:t>
      </w:r>
      <w:r w:rsidRPr="007C7258">
        <w:rPr>
          <w:rFonts w:ascii="Times New Roman" w:hAnsi="Times New Roman"/>
          <w:bCs/>
          <w:sz w:val="24"/>
          <w:szCs w:val="24"/>
        </w:rPr>
        <w:t xml:space="preserve"> [39] at 3; Case No. 19 C 2275, [1] at 3, but he fails to allege any facts to support an age discrimination claim. He alleges that the loss of health care coverage ‘was a violation of his rights under the Lilly Ledbetter amendment to the Equal Pay Act,’ [39] at 5; [1] at 5, but he does not say why or how. He alleges that the loss of health care: resulted ‘from the discriminatory mandatory retirement on April 16, 2016’; was ‘consequential to the misapplication of the Mandatory Retirement Ordinance’; and was part of a "continual effort of discrimination." [39] at 5; [1] at 5. But he never explains why the forced retirement constituted </w:t>
      </w:r>
      <w:proofErr w:type="gramStart"/>
      <w:r w:rsidRPr="007C7258">
        <w:rPr>
          <w:rFonts w:ascii="Times New Roman" w:hAnsi="Times New Roman"/>
          <w:bCs/>
          <w:sz w:val="24"/>
          <w:szCs w:val="24"/>
        </w:rPr>
        <w:t>a discriminatory</w:t>
      </w:r>
      <w:proofErr w:type="gramEnd"/>
      <w:r w:rsidRPr="007C7258">
        <w:rPr>
          <w:rFonts w:ascii="Times New Roman" w:hAnsi="Times New Roman"/>
          <w:bCs/>
          <w:sz w:val="24"/>
          <w:szCs w:val="24"/>
        </w:rPr>
        <w:t xml:space="preserve"> action or how the </w:t>
      </w:r>
      <w:proofErr w:type="gramStart"/>
      <w:r w:rsidRPr="007C7258">
        <w:rPr>
          <w:rFonts w:ascii="Times New Roman" w:hAnsi="Times New Roman"/>
          <w:bCs/>
          <w:sz w:val="24"/>
          <w:szCs w:val="24"/>
        </w:rPr>
        <w:t>City</w:t>
      </w:r>
      <w:proofErr w:type="gramEnd"/>
      <w:r w:rsidRPr="007C7258">
        <w:rPr>
          <w:rFonts w:ascii="Times New Roman" w:hAnsi="Times New Roman"/>
          <w:bCs/>
          <w:sz w:val="24"/>
          <w:szCs w:val="24"/>
        </w:rPr>
        <w:t xml:space="preserve"> misapplied the MRO.</w:t>
      </w:r>
    </w:p>
    <w:p w14:paraId="7CE6163C" w14:textId="77777777" w:rsidR="007540BD" w:rsidRPr="007C7258" w:rsidRDefault="007540BD" w:rsidP="007540BD">
      <w:pPr>
        <w:pStyle w:val="NoSpacing"/>
        <w:ind w:left="720"/>
        <w:rPr>
          <w:rFonts w:ascii="Times New Roman" w:hAnsi="Times New Roman"/>
          <w:b/>
          <w:bCs/>
          <w:sz w:val="24"/>
          <w:szCs w:val="24"/>
        </w:rPr>
      </w:pPr>
      <w:hyperlink r:id="rId1282" w:history="1">
        <w:r w:rsidRPr="007C7258">
          <w:rPr>
            <w:rStyle w:val="Hyperlink"/>
            <w:rFonts w:ascii="Times New Roman" w:hAnsi="Times New Roman"/>
            <w:b/>
            <w:sz w:val="24"/>
            <w:szCs w:val="24"/>
          </w:rPr>
          <w:t>https://public.fastcase.com/Wl%2B2t%2BeVuI35%2FN70vAMFZqIZGQiBixrRs%2FhIZFdJSEICCexWSoup5Rgc2fSfyUDA</w:t>
        </w:r>
      </w:hyperlink>
      <w:r w:rsidRPr="007C7258">
        <w:rPr>
          <w:rFonts w:ascii="Times New Roman" w:hAnsi="Times New Roman"/>
          <w:bCs/>
          <w:sz w:val="24"/>
          <w:szCs w:val="24"/>
        </w:rPr>
        <w:t xml:space="preserve"> </w:t>
      </w:r>
    </w:p>
    <w:p w14:paraId="21EFF389" w14:textId="77777777" w:rsidR="007540BD" w:rsidRPr="007C7258" w:rsidRDefault="007540BD" w:rsidP="007540BD">
      <w:pPr>
        <w:pStyle w:val="NoSpacing"/>
        <w:ind w:left="720"/>
        <w:rPr>
          <w:rFonts w:ascii="Times New Roman" w:hAnsi="Times New Roman"/>
          <w:b/>
          <w:bCs/>
          <w:sz w:val="24"/>
          <w:szCs w:val="24"/>
        </w:rPr>
      </w:pPr>
    </w:p>
    <w:p w14:paraId="0D5E8C70" w14:textId="77777777" w:rsidR="007540BD" w:rsidRPr="007C7258" w:rsidRDefault="007540BD" w:rsidP="007540BD">
      <w:pPr>
        <w:pStyle w:val="NoSpacing"/>
        <w:ind w:left="720"/>
        <w:rPr>
          <w:rFonts w:ascii="Times New Roman" w:hAnsi="Times New Roman"/>
          <w:b/>
          <w:bCs/>
          <w:sz w:val="24"/>
          <w:szCs w:val="24"/>
        </w:rPr>
      </w:pPr>
      <w:r w:rsidRPr="007C7258">
        <w:rPr>
          <w:rFonts w:ascii="Times New Roman" w:hAnsi="Times New Roman"/>
          <w:bCs/>
          <w:sz w:val="24"/>
          <w:szCs w:val="24"/>
        </w:rPr>
        <w:t xml:space="preserve">Note: “As of December 31, 2000, the CFD’s compulsory retirement age is 63 for firefighters. There is no current compulsory retirement age for paramedics.” </w:t>
      </w:r>
      <w:hyperlink r:id="rId1283" w:history="1">
        <w:r w:rsidRPr="007C7258">
          <w:rPr>
            <w:rStyle w:val="Hyperlink"/>
            <w:rFonts w:ascii="Times New Roman" w:hAnsi="Times New Roman"/>
            <w:b/>
            <w:sz w:val="24"/>
            <w:szCs w:val="24"/>
          </w:rPr>
          <w:t>https://www.fabf.org/PDF/SummaryOfBenefits.pdf</w:t>
        </w:r>
      </w:hyperlink>
    </w:p>
    <w:p w14:paraId="7F3E6AF7" w14:textId="77777777" w:rsidR="007540BD" w:rsidRPr="007C7258" w:rsidRDefault="007540BD" w:rsidP="007540BD">
      <w:pPr>
        <w:pStyle w:val="NoSpacing"/>
        <w:ind w:left="720"/>
        <w:rPr>
          <w:rFonts w:ascii="Times New Roman" w:hAnsi="Times New Roman"/>
          <w:b/>
          <w:bCs/>
          <w:sz w:val="24"/>
          <w:szCs w:val="24"/>
        </w:rPr>
      </w:pPr>
    </w:p>
    <w:p w14:paraId="7D3E9A7A" w14:textId="77777777" w:rsidR="007540BD" w:rsidRPr="007C7258" w:rsidRDefault="007540BD" w:rsidP="007540BD">
      <w:pPr>
        <w:pStyle w:val="NoSpacing"/>
        <w:rPr>
          <w:rFonts w:ascii="Times New Roman" w:hAnsi="Times New Roman"/>
          <w:b/>
          <w:bCs/>
          <w:sz w:val="24"/>
          <w:szCs w:val="24"/>
        </w:rPr>
      </w:pPr>
      <w:r w:rsidRPr="007C7258">
        <w:rPr>
          <w:rFonts w:ascii="Times New Roman" w:hAnsi="Times New Roman"/>
          <w:b/>
          <w:bCs/>
          <w:sz w:val="24"/>
          <w:szCs w:val="24"/>
        </w:rPr>
        <w:t xml:space="preserve">Legal Lessons Learned: </w:t>
      </w:r>
      <w:r>
        <w:rPr>
          <w:rFonts w:ascii="Times New Roman" w:hAnsi="Times New Roman"/>
          <w:b/>
          <w:bCs/>
          <w:sz w:val="24"/>
          <w:szCs w:val="24"/>
        </w:rPr>
        <w:t xml:space="preserve">A city ordinance mandating a </w:t>
      </w:r>
      <w:r w:rsidRPr="007C7258">
        <w:rPr>
          <w:rFonts w:ascii="Times New Roman" w:hAnsi="Times New Roman"/>
          <w:b/>
          <w:bCs/>
          <w:sz w:val="24"/>
          <w:szCs w:val="24"/>
        </w:rPr>
        <w:t xml:space="preserve">retirement age for firefighters does not violate the Age Discrimination in Employment Act of 1967, or the </w:t>
      </w:r>
      <w:r w:rsidRPr="007C7258">
        <w:rPr>
          <w:rFonts w:ascii="Times New Roman" w:eastAsia="Times New Roman" w:hAnsi="Times New Roman"/>
          <w:b/>
          <w:bCs/>
          <w:sz w:val="24"/>
          <w:szCs w:val="24"/>
        </w:rPr>
        <w:t>Lilly Ledbetter Fair Pay Act of 2009.</w:t>
      </w:r>
    </w:p>
    <w:p w14:paraId="19A820E4" w14:textId="77777777" w:rsidR="007540BD" w:rsidRDefault="007540BD" w:rsidP="00A06387">
      <w:pPr>
        <w:pStyle w:val="NoSpacing"/>
        <w:rPr>
          <w:rFonts w:ascii="Arial Black" w:hAnsi="Arial Black"/>
          <w:sz w:val="28"/>
          <w:szCs w:val="28"/>
        </w:rPr>
      </w:pPr>
    </w:p>
    <w:p w14:paraId="72A3C127" w14:textId="77777777" w:rsidR="007540BD" w:rsidRDefault="007540BD" w:rsidP="00A06387">
      <w:pPr>
        <w:pStyle w:val="NoSpacing"/>
        <w:rPr>
          <w:rFonts w:ascii="Arial Black" w:hAnsi="Arial Black"/>
          <w:sz w:val="28"/>
          <w:szCs w:val="28"/>
        </w:rPr>
      </w:pPr>
    </w:p>
    <w:p w14:paraId="2432ADEA" w14:textId="77777777" w:rsidR="007540BD" w:rsidRDefault="007540BD" w:rsidP="00A06387">
      <w:pPr>
        <w:pStyle w:val="NoSpacing"/>
        <w:rPr>
          <w:rFonts w:ascii="Arial Black" w:hAnsi="Arial Black"/>
          <w:sz w:val="28"/>
          <w:szCs w:val="28"/>
        </w:rPr>
      </w:pPr>
    </w:p>
    <w:p w14:paraId="33A2F0A2" w14:textId="0F35F633" w:rsidR="007540BD" w:rsidRDefault="007540BD" w:rsidP="00A06387">
      <w:pPr>
        <w:pStyle w:val="NoSpacing"/>
        <w:rPr>
          <w:rFonts w:ascii="Arial Black" w:hAnsi="Arial Black"/>
          <w:sz w:val="28"/>
          <w:szCs w:val="28"/>
        </w:rPr>
      </w:pPr>
      <w:r>
        <w:rPr>
          <w:rFonts w:ascii="Arial Black" w:hAnsi="Arial Black"/>
          <w:sz w:val="28"/>
          <w:szCs w:val="28"/>
        </w:rPr>
        <w:t>6-34</w:t>
      </w:r>
    </w:p>
    <w:p w14:paraId="7BC4ED62" w14:textId="4CD3CFB2" w:rsidR="007540BD" w:rsidRDefault="007540BD" w:rsidP="00A06387">
      <w:pPr>
        <w:pStyle w:val="NoSpacing"/>
        <w:rPr>
          <w:rFonts w:ascii="Arial Black" w:hAnsi="Arial Black"/>
          <w:sz w:val="28"/>
          <w:szCs w:val="28"/>
        </w:rPr>
      </w:pPr>
    </w:p>
    <w:p w14:paraId="7C603A6D" w14:textId="77777777" w:rsidR="007540BD" w:rsidRPr="00651DAF" w:rsidRDefault="007540BD" w:rsidP="007540BD">
      <w:pPr>
        <w:pStyle w:val="NoSpacing"/>
        <w:rPr>
          <w:rFonts w:ascii="Arial Black" w:hAnsi="Arial Black"/>
          <w:b/>
          <w:bCs/>
          <w:sz w:val="28"/>
          <w:szCs w:val="28"/>
        </w:rPr>
      </w:pPr>
      <w:r w:rsidRPr="00651DAF">
        <w:rPr>
          <w:rFonts w:ascii="Arial Black" w:hAnsi="Arial Black"/>
          <w:bCs/>
          <w:sz w:val="28"/>
          <w:szCs w:val="28"/>
        </w:rPr>
        <w:t xml:space="preserve">CT: </w:t>
      </w:r>
      <w:r>
        <w:rPr>
          <w:rFonts w:ascii="Arial Black" w:hAnsi="Arial Black"/>
          <w:bCs/>
          <w:sz w:val="28"/>
          <w:szCs w:val="28"/>
        </w:rPr>
        <w:t xml:space="preserve">RETIRED FF – WORKER’S COMP FOR HYPERTENSION – NOW CORONARY ARTERY DISEASE IS ALSO COVERED </w:t>
      </w:r>
    </w:p>
    <w:p w14:paraId="12AE5452" w14:textId="77777777" w:rsidR="007540BD" w:rsidRDefault="007540BD" w:rsidP="007540BD">
      <w:pPr>
        <w:pStyle w:val="NoSpacing"/>
        <w:rPr>
          <w:b/>
          <w:bCs/>
          <w:sz w:val="24"/>
          <w:szCs w:val="24"/>
        </w:rPr>
      </w:pPr>
    </w:p>
    <w:p w14:paraId="44E596D8" w14:textId="77777777" w:rsidR="007540BD" w:rsidRPr="00E0273B" w:rsidRDefault="007540BD" w:rsidP="007540BD">
      <w:pPr>
        <w:pStyle w:val="NoSpacing"/>
        <w:rPr>
          <w:rFonts w:ascii="Times New Roman" w:hAnsi="Times New Roman"/>
          <w:b/>
          <w:bCs/>
          <w:sz w:val="24"/>
          <w:szCs w:val="24"/>
        </w:rPr>
      </w:pPr>
      <w:r w:rsidRPr="00E0273B">
        <w:rPr>
          <w:rFonts w:ascii="Times New Roman" w:hAnsi="Times New Roman"/>
          <w:bCs/>
          <w:sz w:val="24"/>
          <w:szCs w:val="24"/>
        </w:rPr>
        <w:t xml:space="preserve">On March 10, 2020, in </w:t>
      </w:r>
      <w:r w:rsidRPr="00E0273B">
        <w:rPr>
          <w:rFonts w:ascii="Times New Roman" w:hAnsi="Times New Roman"/>
          <w:bCs/>
          <w:sz w:val="24"/>
          <w:szCs w:val="24"/>
          <w:u w:val="single"/>
        </w:rPr>
        <w:t>John Coughlin v. Stamford Fire Department, et al</w:t>
      </w:r>
      <w:r w:rsidRPr="00E0273B">
        <w:rPr>
          <w:rFonts w:ascii="Times New Roman" w:hAnsi="Times New Roman"/>
          <w:bCs/>
          <w:sz w:val="24"/>
          <w:szCs w:val="24"/>
        </w:rPr>
        <w:t xml:space="preserve">., the Supreme Court of Connecticut held (7 to 0) that a firefighter who had a compensable </w:t>
      </w:r>
      <w:proofErr w:type="gramStart"/>
      <w:r w:rsidRPr="00E0273B">
        <w:rPr>
          <w:rFonts w:ascii="Times New Roman" w:hAnsi="Times New Roman"/>
          <w:bCs/>
          <w:sz w:val="24"/>
          <w:szCs w:val="24"/>
        </w:rPr>
        <w:t>workers</w:t>
      </w:r>
      <w:proofErr w:type="gramEnd"/>
      <w:r w:rsidRPr="00E0273B">
        <w:rPr>
          <w:rFonts w:ascii="Times New Roman" w:hAnsi="Times New Roman"/>
          <w:bCs/>
          <w:sz w:val="24"/>
          <w:szCs w:val="24"/>
        </w:rPr>
        <w:t xml:space="preserve"> comp claim approved in 2011, and retired in 2013, is also covered for heart disease detected after his retirement. </w:t>
      </w:r>
    </w:p>
    <w:p w14:paraId="36D8BA21" w14:textId="77777777" w:rsidR="007540BD" w:rsidRDefault="007540BD" w:rsidP="007540BD">
      <w:pPr>
        <w:pStyle w:val="NoSpacing"/>
        <w:rPr>
          <w:b/>
          <w:bCs/>
          <w:sz w:val="24"/>
          <w:szCs w:val="24"/>
        </w:rPr>
      </w:pPr>
    </w:p>
    <w:p w14:paraId="56277D7C" w14:textId="43100AFC" w:rsidR="007540BD" w:rsidRDefault="007540BD" w:rsidP="007540BD">
      <w:pPr>
        <w:pStyle w:val="NoSpacing"/>
        <w:ind w:left="720"/>
        <w:rPr>
          <w:rFonts w:ascii="Times New Roman" w:hAnsi="Times New Roman"/>
          <w:bCs/>
          <w:sz w:val="24"/>
          <w:szCs w:val="24"/>
        </w:rPr>
      </w:pPr>
      <w:r w:rsidRPr="007C7258">
        <w:rPr>
          <w:rFonts w:ascii="Times New Roman" w:hAnsi="Times New Roman"/>
          <w:bCs/>
          <w:sz w:val="24"/>
          <w:szCs w:val="24"/>
        </w:rPr>
        <w:lastRenderedPageBreak/>
        <w:t>“The plaintiff responds that his heart disease claim was timely because it flowed from his compensable claim for hypertension, and neither a plain reading of § 7-433c nor this court’s interpretation of that statute requires</w:t>
      </w:r>
    </w:p>
    <w:p w14:paraId="4405D616" w14:textId="77777777" w:rsidR="007540BD" w:rsidRDefault="007540BD" w:rsidP="007540BD">
      <w:pPr>
        <w:pStyle w:val="NoSpacing"/>
        <w:ind w:left="720"/>
        <w:rPr>
          <w:rFonts w:ascii="Times New Roman" w:hAnsi="Times New Roman"/>
          <w:bCs/>
          <w:sz w:val="24"/>
          <w:szCs w:val="24"/>
        </w:rPr>
      </w:pPr>
      <w:r w:rsidRPr="007C7258">
        <w:rPr>
          <w:rFonts w:ascii="Times New Roman" w:hAnsi="Times New Roman"/>
          <w:bCs/>
          <w:sz w:val="24"/>
          <w:szCs w:val="24"/>
        </w:rPr>
        <w:t xml:space="preserve">hypertension and heart disease to be treated as separate diseases when they are causally related. We agree with the plaintiff and, accordingly, affirm the decision of the board. </w:t>
      </w:r>
    </w:p>
    <w:p w14:paraId="2EF2F43E" w14:textId="77777777" w:rsidR="007540BD" w:rsidRDefault="007540BD" w:rsidP="007540BD">
      <w:pPr>
        <w:pStyle w:val="NoSpacing"/>
        <w:ind w:firstLine="720"/>
        <w:rPr>
          <w:rFonts w:ascii="Times New Roman" w:hAnsi="Times New Roman"/>
          <w:bCs/>
          <w:sz w:val="24"/>
          <w:szCs w:val="24"/>
        </w:rPr>
      </w:pPr>
    </w:p>
    <w:p w14:paraId="3990B7BB" w14:textId="77777777" w:rsidR="007540BD" w:rsidRPr="007C7258" w:rsidRDefault="007540BD" w:rsidP="007540BD">
      <w:pPr>
        <w:pStyle w:val="NoSpacing"/>
        <w:ind w:firstLine="720"/>
        <w:rPr>
          <w:rFonts w:ascii="Times New Roman" w:hAnsi="Times New Roman"/>
          <w:b/>
          <w:bCs/>
          <w:sz w:val="24"/>
          <w:szCs w:val="24"/>
        </w:rPr>
      </w:pPr>
      <w:r w:rsidRPr="007C7258">
        <w:rPr>
          <w:rFonts w:ascii="Times New Roman" w:hAnsi="Times New Roman"/>
          <w:bCs/>
          <w:sz w:val="24"/>
          <w:szCs w:val="24"/>
        </w:rPr>
        <w:t>***</w:t>
      </w:r>
    </w:p>
    <w:p w14:paraId="7FE5462A" w14:textId="77777777" w:rsidR="007540BD" w:rsidRPr="007C7258" w:rsidRDefault="007540BD" w:rsidP="007540BD">
      <w:pPr>
        <w:pStyle w:val="NoSpacing"/>
        <w:rPr>
          <w:rFonts w:ascii="Times New Roman" w:hAnsi="Times New Roman"/>
          <w:b/>
          <w:bCs/>
          <w:sz w:val="24"/>
          <w:szCs w:val="24"/>
        </w:rPr>
      </w:pPr>
    </w:p>
    <w:p w14:paraId="19C1B32B" w14:textId="77777777" w:rsidR="007540BD" w:rsidRPr="007C7258" w:rsidRDefault="007540BD" w:rsidP="007540BD">
      <w:pPr>
        <w:pStyle w:val="NoSpacing"/>
        <w:ind w:left="720"/>
        <w:rPr>
          <w:rFonts w:ascii="Times New Roman" w:hAnsi="Times New Roman"/>
          <w:b/>
          <w:bCs/>
          <w:sz w:val="24"/>
          <w:szCs w:val="24"/>
        </w:rPr>
      </w:pPr>
      <w:r w:rsidRPr="007C7258">
        <w:rPr>
          <w:rFonts w:ascii="Times New Roman" w:hAnsi="Times New Roman"/>
          <w:bCs/>
          <w:sz w:val="24"/>
          <w:szCs w:val="24"/>
        </w:rPr>
        <w:t>It follows that a claim for a heart disease that occurred after an initial compensable claim for hypertension pursuant to § 7-433c may qualify for benefits without the need to file a new notice of claim, as long as there is a causal connection between the two injuries, as required by the act.</w:t>
      </w:r>
    </w:p>
    <w:p w14:paraId="3703407A" w14:textId="77777777" w:rsidR="007540BD" w:rsidRPr="007C7258" w:rsidRDefault="007540BD" w:rsidP="007540BD">
      <w:pPr>
        <w:pStyle w:val="NoSpacing"/>
        <w:ind w:firstLine="720"/>
        <w:rPr>
          <w:rFonts w:ascii="Times New Roman" w:hAnsi="Times New Roman"/>
          <w:b/>
          <w:bCs/>
          <w:sz w:val="24"/>
          <w:szCs w:val="24"/>
        </w:rPr>
      </w:pPr>
      <w:hyperlink r:id="rId1284" w:history="1">
        <w:r w:rsidRPr="007C7258">
          <w:rPr>
            <w:rStyle w:val="Hyperlink"/>
            <w:rFonts w:ascii="Times New Roman" w:hAnsi="Times New Roman"/>
            <w:b/>
            <w:sz w:val="24"/>
            <w:szCs w:val="24"/>
          </w:rPr>
          <w:t>https://www.jud.ct.gov/external/supapp/Cases/AROcr/CR334/334CR12.pdf</w:t>
        </w:r>
      </w:hyperlink>
      <w:r w:rsidRPr="007C7258">
        <w:rPr>
          <w:rFonts w:ascii="Times New Roman" w:hAnsi="Times New Roman"/>
          <w:bCs/>
          <w:sz w:val="24"/>
          <w:szCs w:val="24"/>
        </w:rPr>
        <w:t xml:space="preserve"> </w:t>
      </w:r>
    </w:p>
    <w:p w14:paraId="74D3CCAF" w14:textId="6D5823C3" w:rsidR="007540BD" w:rsidRDefault="007540BD" w:rsidP="00A06387">
      <w:pPr>
        <w:pStyle w:val="NoSpacing"/>
        <w:rPr>
          <w:rFonts w:ascii="Arial Black" w:hAnsi="Arial Black"/>
          <w:sz w:val="28"/>
          <w:szCs w:val="28"/>
        </w:rPr>
      </w:pPr>
    </w:p>
    <w:p w14:paraId="432E327A" w14:textId="77777777" w:rsidR="007540BD" w:rsidRPr="007C7258" w:rsidRDefault="007540BD" w:rsidP="007540BD">
      <w:pPr>
        <w:spacing w:before="100" w:beforeAutospacing="1" w:after="100" w:afterAutospacing="1" w:line="240" w:lineRule="auto"/>
        <w:rPr>
          <w:rFonts w:ascii="Times New Roman" w:eastAsia="Times New Roman" w:hAnsi="Times New Roman"/>
          <w:b/>
          <w:bCs/>
          <w:sz w:val="24"/>
          <w:szCs w:val="24"/>
        </w:rPr>
      </w:pPr>
      <w:r w:rsidRPr="007C7258">
        <w:rPr>
          <w:rFonts w:ascii="Times New Roman" w:eastAsia="Times New Roman" w:hAnsi="Times New Roman"/>
          <w:b/>
          <w:bCs/>
          <w:sz w:val="24"/>
          <w:szCs w:val="24"/>
        </w:rPr>
        <w:t xml:space="preserve">Legal Lessons Learned:  A helpful decision that makes lots of sense; clear relationship between hypertension and </w:t>
      </w:r>
      <w:r>
        <w:rPr>
          <w:rFonts w:ascii="Times New Roman" w:eastAsia="Times New Roman" w:hAnsi="Times New Roman"/>
          <w:b/>
          <w:bCs/>
          <w:sz w:val="24"/>
          <w:szCs w:val="24"/>
        </w:rPr>
        <w:t xml:space="preserve">later having </w:t>
      </w:r>
      <w:r w:rsidRPr="007C7258">
        <w:rPr>
          <w:rFonts w:ascii="Times New Roman" w:eastAsia="Times New Roman" w:hAnsi="Times New Roman"/>
          <w:b/>
          <w:bCs/>
          <w:sz w:val="24"/>
          <w:szCs w:val="24"/>
        </w:rPr>
        <w:t>coronary heart disease.</w:t>
      </w:r>
    </w:p>
    <w:p w14:paraId="6960D73D" w14:textId="77777777" w:rsidR="007540BD" w:rsidRDefault="007540BD" w:rsidP="00A06387">
      <w:pPr>
        <w:pStyle w:val="NoSpacing"/>
        <w:rPr>
          <w:rFonts w:ascii="Arial Black" w:hAnsi="Arial Black"/>
          <w:sz w:val="28"/>
          <w:szCs w:val="28"/>
        </w:rPr>
      </w:pPr>
    </w:p>
    <w:p w14:paraId="60BBE562" w14:textId="77777777" w:rsidR="007540BD" w:rsidRDefault="007540BD" w:rsidP="00A06387">
      <w:pPr>
        <w:pStyle w:val="NoSpacing"/>
        <w:rPr>
          <w:rFonts w:ascii="Arial Black" w:hAnsi="Arial Black"/>
          <w:sz w:val="28"/>
          <w:szCs w:val="28"/>
        </w:rPr>
      </w:pPr>
    </w:p>
    <w:p w14:paraId="0313E65B" w14:textId="0CF65231" w:rsidR="00663160" w:rsidRDefault="00997329" w:rsidP="00A06387">
      <w:pPr>
        <w:pStyle w:val="NoSpacing"/>
        <w:rPr>
          <w:rFonts w:ascii="Arial Black" w:hAnsi="Arial Black"/>
          <w:sz w:val="28"/>
          <w:szCs w:val="28"/>
        </w:rPr>
      </w:pPr>
      <w:r>
        <w:rPr>
          <w:rFonts w:ascii="Arial Black" w:hAnsi="Arial Black"/>
          <w:sz w:val="28"/>
          <w:szCs w:val="28"/>
        </w:rPr>
        <w:t>6-33</w:t>
      </w:r>
    </w:p>
    <w:p w14:paraId="5561702C" w14:textId="16193B9A" w:rsidR="00997329" w:rsidRDefault="00997329" w:rsidP="00A06387">
      <w:pPr>
        <w:pStyle w:val="NoSpacing"/>
        <w:rPr>
          <w:rFonts w:ascii="Arial Black" w:hAnsi="Arial Black"/>
          <w:sz w:val="28"/>
          <w:szCs w:val="28"/>
        </w:rPr>
      </w:pPr>
    </w:p>
    <w:p w14:paraId="214B212A" w14:textId="77777777" w:rsidR="00997329" w:rsidRPr="00455FEE" w:rsidRDefault="00997329" w:rsidP="00997329">
      <w:pPr>
        <w:pStyle w:val="NoSpacing"/>
        <w:rPr>
          <w:rFonts w:ascii="Arial Black" w:hAnsi="Arial Black"/>
          <w:sz w:val="28"/>
          <w:szCs w:val="28"/>
        </w:rPr>
      </w:pPr>
      <w:r w:rsidRPr="00455FEE">
        <w:rPr>
          <w:rFonts w:ascii="Arial Black" w:hAnsi="Arial Black"/>
          <w:sz w:val="28"/>
          <w:szCs w:val="28"/>
        </w:rPr>
        <w:t xml:space="preserve">LA: </w:t>
      </w:r>
      <w:r>
        <w:rPr>
          <w:rFonts w:ascii="Arial Black" w:hAnsi="Arial Black"/>
          <w:sz w:val="28"/>
          <w:szCs w:val="28"/>
        </w:rPr>
        <w:t xml:space="preserve">RIDING OUT-OF-RANK – INJUNCTION UPHELD - FD MAY NOT THREATEN FF WITH DISCIPLINE FOR REFUSING </w:t>
      </w:r>
    </w:p>
    <w:p w14:paraId="5A43FAFC" w14:textId="77777777" w:rsidR="00997329" w:rsidRPr="00465FB3" w:rsidRDefault="00997329" w:rsidP="00997329">
      <w:pPr>
        <w:spacing w:before="100" w:beforeAutospacing="1" w:after="100" w:afterAutospacing="1" w:line="240" w:lineRule="auto"/>
        <w:rPr>
          <w:rFonts w:ascii="Times New Roman" w:eastAsia="Times New Roman" w:hAnsi="Times New Roman"/>
          <w:sz w:val="24"/>
          <w:szCs w:val="24"/>
        </w:rPr>
      </w:pPr>
      <w:r w:rsidRPr="00465FB3">
        <w:rPr>
          <w:rFonts w:ascii="Times New Roman" w:eastAsia="Times New Roman" w:hAnsi="Times New Roman"/>
          <w:sz w:val="24"/>
          <w:szCs w:val="24"/>
        </w:rPr>
        <w:t xml:space="preserve">On March 4, 2020, in </w:t>
      </w:r>
      <w:r w:rsidRPr="00465FB3">
        <w:rPr>
          <w:rFonts w:ascii="Times New Roman" w:eastAsia="Times New Roman" w:hAnsi="Times New Roman"/>
          <w:sz w:val="24"/>
          <w:szCs w:val="24"/>
          <w:u w:val="single"/>
        </w:rPr>
        <w:t>Brian Drumm, et al. v. City of Kenner</w:t>
      </w:r>
      <w:r w:rsidRPr="00465FB3">
        <w:rPr>
          <w:rFonts w:ascii="Times New Roman" w:eastAsia="Times New Roman" w:hAnsi="Times New Roman"/>
          <w:sz w:val="24"/>
          <w:szCs w:val="24"/>
        </w:rPr>
        <w:t>, the Fifth Circuit Court of Appeals of Louisiana upheld (2 to 1) the trial court’s injunction.</w:t>
      </w:r>
    </w:p>
    <w:p w14:paraId="611040D6" w14:textId="4B39DEE1" w:rsidR="00997329" w:rsidRDefault="00997329" w:rsidP="00997329">
      <w:pPr>
        <w:pStyle w:val="NoSpacing"/>
        <w:ind w:left="720"/>
        <w:rPr>
          <w:rStyle w:val="Hyperlink"/>
          <w:rFonts w:ascii="Times New Roman" w:hAnsi="Times New Roman"/>
          <w:bCs/>
          <w:sz w:val="24"/>
          <w:szCs w:val="24"/>
        </w:rPr>
      </w:pPr>
      <w:r w:rsidRPr="00465FB3">
        <w:rPr>
          <w:rFonts w:ascii="Times New Roman" w:hAnsi="Times New Roman"/>
          <w:bCs/>
          <w:sz w:val="24"/>
          <w:szCs w:val="24"/>
        </w:rPr>
        <w:t xml:space="preserve">“Kenner’s position, that the Fire Chief may force persons to work jobs outside their class against their will under threat of disciplinary action denies the existence of a voluntary, contractual agreement of employment in which both parties may freely negotiate their duties and responsibilities. Recognizing that plaintiffs’ employment with Kenner is a voluntary, contractual agreement, we conclude that the ‘appointment’ referenced in La. R.S. 33:2496 is </w:t>
      </w:r>
      <w:proofErr w:type="gramStart"/>
      <w:r w:rsidRPr="00465FB3">
        <w:rPr>
          <w:rFonts w:ascii="Times New Roman" w:hAnsi="Times New Roman"/>
          <w:bCs/>
          <w:sz w:val="24"/>
          <w:szCs w:val="24"/>
        </w:rPr>
        <w:t>in the nature of an</w:t>
      </w:r>
      <w:proofErr w:type="gramEnd"/>
      <w:r w:rsidRPr="00465FB3">
        <w:rPr>
          <w:rFonts w:ascii="Times New Roman" w:hAnsi="Times New Roman"/>
          <w:bCs/>
          <w:sz w:val="24"/>
          <w:szCs w:val="24"/>
        </w:rPr>
        <w:t xml:space="preserve"> offer and acceptance of employment. Forcing an employee to work out of class against his will under threat of discipline or other employment action is an unlawful act, and therefore plaintiffs were not required to show irreparable harm. Accordingly, we find Kenner’s argument that the district court legally erred in granting the preliminary injunction is without merit. </w:t>
      </w:r>
      <w:hyperlink r:id="rId1285" w:history="1">
        <w:r w:rsidRPr="00465FB3">
          <w:rPr>
            <w:rStyle w:val="Hyperlink"/>
            <w:rFonts w:ascii="Times New Roman" w:hAnsi="Times New Roman"/>
            <w:bCs/>
            <w:sz w:val="24"/>
            <w:szCs w:val="24"/>
          </w:rPr>
          <w:t>http://www.fifthcircuit.org/dmzdocs/OI/PO/2020/54FCDF86-AA62-4720-B56D-B5FDC85663B0.pdf</w:t>
        </w:r>
      </w:hyperlink>
    </w:p>
    <w:p w14:paraId="092731D0" w14:textId="77777777" w:rsidR="00997329" w:rsidRDefault="00997329" w:rsidP="00997329">
      <w:pPr>
        <w:pStyle w:val="NoSpacing"/>
        <w:rPr>
          <w:rFonts w:ascii="Times New Roman" w:hAnsi="Times New Roman"/>
          <w:b/>
          <w:bCs/>
          <w:sz w:val="24"/>
          <w:szCs w:val="24"/>
        </w:rPr>
      </w:pPr>
    </w:p>
    <w:p w14:paraId="4E36EDF7" w14:textId="2D5AA2E0" w:rsidR="00997329" w:rsidRPr="00465FB3" w:rsidRDefault="00997329" w:rsidP="00997329">
      <w:pPr>
        <w:pStyle w:val="NoSpacing"/>
        <w:rPr>
          <w:rFonts w:ascii="Times New Roman" w:hAnsi="Times New Roman"/>
          <w:b/>
          <w:bCs/>
          <w:sz w:val="24"/>
          <w:szCs w:val="24"/>
        </w:rPr>
      </w:pPr>
      <w:r w:rsidRPr="00465FB3">
        <w:rPr>
          <w:rFonts w:ascii="Times New Roman" w:hAnsi="Times New Roman"/>
          <w:b/>
          <w:bCs/>
          <w:sz w:val="24"/>
          <w:szCs w:val="24"/>
        </w:rPr>
        <w:t>Legal Lessons Learned:  Riding-out-rank is quite common in career FDs and is obviously a method to reduce overtime costs. The Court noted this testimony:  “The interim Fire Chief testified that when he needed a captain for a shift, he did not ask already qualified captains to step in temporarily because paying them overtime is more expensive than paying lower ranked employees an extra $1.16/hour to work out of class.”</w:t>
      </w:r>
    </w:p>
    <w:p w14:paraId="2C53FE97" w14:textId="77777777" w:rsidR="00997329" w:rsidRPr="00465FB3" w:rsidRDefault="00997329" w:rsidP="00997329">
      <w:pPr>
        <w:pStyle w:val="NoSpacing"/>
        <w:ind w:left="720"/>
        <w:rPr>
          <w:rFonts w:ascii="Times New Roman" w:hAnsi="Times New Roman"/>
          <w:sz w:val="24"/>
          <w:szCs w:val="24"/>
        </w:rPr>
      </w:pPr>
    </w:p>
    <w:p w14:paraId="06282C44" w14:textId="77777777" w:rsidR="00997329" w:rsidRDefault="00997329" w:rsidP="00997329">
      <w:pPr>
        <w:pStyle w:val="NoSpacing"/>
        <w:rPr>
          <w:rFonts w:ascii="Arial Black" w:hAnsi="Arial Black"/>
          <w:sz w:val="28"/>
          <w:szCs w:val="28"/>
        </w:rPr>
      </w:pPr>
    </w:p>
    <w:p w14:paraId="03EADC05" w14:textId="77777777" w:rsidR="00997329" w:rsidRDefault="00997329" w:rsidP="00A06387">
      <w:pPr>
        <w:pStyle w:val="NoSpacing"/>
        <w:rPr>
          <w:rFonts w:ascii="Arial Black" w:hAnsi="Arial Black"/>
          <w:sz w:val="28"/>
          <w:szCs w:val="28"/>
        </w:rPr>
      </w:pPr>
    </w:p>
    <w:p w14:paraId="0365AE14" w14:textId="19F5C09C" w:rsidR="00663160" w:rsidRDefault="00663160" w:rsidP="00A06387">
      <w:pPr>
        <w:pStyle w:val="NoSpacing"/>
        <w:rPr>
          <w:rFonts w:ascii="Arial Black" w:hAnsi="Arial Black"/>
          <w:sz w:val="28"/>
          <w:szCs w:val="28"/>
        </w:rPr>
      </w:pPr>
      <w:r>
        <w:rPr>
          <w:rFonts w:ascii="Arial Black" w:hAnsi="Arial Black"/>
          <w:sz w:val="28"/>
          <w:szCs w:val="28"/>
        </w:rPr>
        <w:t>6-32</w:t>
      </w:r>
    </w:p>
    <w:p w14:paraId="53A88647" w14:textId="77777777" w:rsidR="00663160" w:rsidRDefault="00663160" w:rsidP="00A06387">
      <w:pPr>
        <w:pStyle w:val="NoSpacing"/>
        <w:rPr>
          <w:rFonts w:ascii="Arial Black" w:hAnsi="Arial Black"/>
          <w:sz w:val="28"/>
          <w:szCs w:val="28"/>
        </w:rPr>
      </w:pPr>
    </w:p>
    <w:p w14:paraId="47E311C1" w14:textId="77777777" w:rsidR="00997329" w:rsidRPr="00D7391F" w:rsidRDefault="00997329" w:rsidP="00997329">
      <w:pPr>
        <w:pStyle w:val="NoSpacing"/>
        <w:rPr>
          <w:rFonts w:ascii="Arial Black" w:hAnsi="Arial Black"/>
          <w:sz w:val="28"/>
          <w:szCs w:val="28"/>
        </w:rPr>
      </w:pPr>
      <w:r w:rsidRPr="00D7391F">
        <w:rPr>
          <w:rFonts w:ascii="Arial Black" w:hAnsi="Arial Black"/>
          <w:sz w:val="28"/>
          <w:szCs w:val="28"/>
        </w:rPr>
        <w:t>NC</w:t>
      </w:r>
      <w:r>
        <w:rPr>
          <w:rFonts w:ascii="Arial Black" w:hAnsi="Arial Black"/>
          <w:sz w:val="28"/>
          <w:szCs w:val="28"/>
        </w:rPr>
        <w:t>:  FIREFIGHTER / ALSO FD BOARD MEMBER – OPPOSED NEW AERIAL - FIRED – FREE SPEECH LAWSUIT TO PROCEED</w:t>
      </w:r>
    </w:p>
    <w:p w14:paraId="6D2CFDBD" w14:textId="77777777" w:rsidR="00997329" w:rsidRPr="00465FB3" w:rsidRDefault="00997329" w:rsidP="00997329">
      <w:pPr>
        <w:spacing w:before="100" w:beforeAutospacing="1" w:after="100" w:afterAutospacing="1" w:line="240" w:lineRule="auto"/>
        <w:rPr>
          <w:rFonts w:ascii="Times New Roman" w:eastAsia="Times New Roman" w:hAnsi="Times New Roman"/>
          <w:sz w:val="24"/>
          <w:szCs w:val="24"/>
        </w:rPr>
      </w:pPr>
      <w:r w:rsidRPr="00465FB3">
        <w:rPr>
          <w:rFonts w:ascii="Times New Roman" w:eastAsia="Times New Roman" w:hAnsi="Times New Roman"/>
          <w:sz w:val="24"/>
          <w:szCs w:val="24"/>
        </w:rPr>
        <w:t xml:space="preserve">On March 2, 2020, in </w:t>
      </w:r>
      <w:r w:rsidRPr="00465FB3">
        <w:rPr>
          <w:rFonts w:ascii="Times New Roman" w:eastAsia="Times New Roman" w:hAnsi="Times New Roman"/>
          <w:sz w:val="24"/>
          <w:szCs w:val="24"/>
          <w:u w:val="single"/>
        </w:rPr>
        <w:t xml:space="preserve">Michael Cole v. Andrew Weatherman &amp; Lake Norman Volunteer Fire </w:t>
      </w:r>
      <w:proofErr w:type="gramStart"/>
      <w:r w:rsidRPr="00465FB3">
        <w:rPr>
          <w:rFonts w:ascii="Times New Roman" w:eastAsia="Times New Roman" w:hAnsi="Times New Roman"/>
          <w:sz w:val="24"/>
          <w:szCs w:val="24"/>
          <w:u w:val="single"/>
        </w:rPr>
        <w:t>And</w:t>
      </w:r>
      <w:proofErr w:type="gramEnd"/>
      <w:r w:rsidRPr="00465FB3">
        <w:rPr>
          <w:rFonts w:ascii="Times New Roman" w:eastAsia="Times New Roman" w:hAnsi="Times New Roman"/>
          <w:sz w:val="24"/>
          <w:szCs w:val="24"/>
          <w:u w:val="single"/>
        </w:rPr>
        <w:t xml:space="preserve"> Rescue Department</w:t>
      </w:r>
      <w:r w:rsidRPr="00465FB3">
        <w:rPr>
          <w:rFonts w:ascii="Times New Roman" w:eastAsia="Times New Roman" w:hAnsi="Times New Roman"/>
          <w:sz w:val="24"/>
          <w:szCs w:val="24"/>
        </w:rPr>
        <w:t xml:space="preserve">, et al., U.S. District Court Judge Kenneth D. Ball, Western District of North Carolina (Statesville Division) held that the lawsuit may proceed; plaintiff was one of 20 paid firefighters on this “volunteer” fire department. </w:t>
      </w:r>
    </w:p>
    <w:p w14:paraId="1FEB7762" w14:textId="36A0BDB8" w:rsidR="00997329" w:rsidRPr="00465FB3" w:rsidRDefault="00997329" w:rsidP="00997329">
      <w:pPr>
        <w:spacing w:before="100" w:beforeAutospacing="1" w:after="100" w:afterAutospacing="1" w:line="240" w:lineRule="auto"/>
        <w:ind w:left="720"/>
        <w:rPr>
          <w:rFonts w:ascii="Times New Roman" w:eastAsia="Times New Roman" w:hAnsi="Times New Roman"/>
          <w:sz w:val="24"/>
          <w:szCs w:val="24"/>
        </w:rPr>
      </w:pPr>
      <w:r w:rsidRPr="00465FB3">
        <w:rPr>
          <w:rFonts w:ascii="Times New Roman" w:eastAsia="Times New Roman" w:hAnsi="Times New Roman"/>
          <w:sz w:val="24"/>
          <w:szCs w:val="24"/>
        </w:rPr>
        <w:t xml:space="preserve">“Defendants contend that Plaintiff's free speech claim fails because he was speaking as an employee on an internal LKNVFD[Lake Norman Volunteer Fire &amp; Rescue Department] matter. The Court disagrees. Plaintiff's Amended Complaint alleges that he was a member of ‘the statutorily authorized commission of the fire protection district, which administered the taxes levied for and appropriated to it by the County.’ (Doc. No. 13, at ¶ 11). This Board is comprised of employees and volunteers of the LKNVFD as well as members of the community at large. </w:t>
      </w:r>
      <w:r w:rsidRPr="00465FB3">
        <w:rPr>
          <w:rFonts w:ascii="Times New Roman" w:eastAsia="Times New Roman" w:hAnsi="Times New Roman"/>
          <w:i/>
          <w:iCs/>
          <w:sz w:val="24"/>
          <w:szCs w:val="24"/>
        </w:rPr>
        <w:t>Id</w:t>
      </w:r>
      <w:r w:rsidRPr="00465FB3">
        <w:rPr>
          <w:rFonts w:ascii="Times New Roman" w:eastAsia="Times New Roman" w:hAnsi="Times New Roman"/>
          <w:sz w:val="24"/>
          <w:szCs w:val="24"/>
        </w:rPr>
        <w:t xml:space="preserve">. Even though Plaintiff was an employee of LKNVFD, Plaintiff alleges that his statements opposing the purchase of the new truck were made as a citizen duly elected to the board and not as a firefighter exercising his job duties as an employee of LKNVFD. His comments on the wasteful expenditure of public money appropriated from a special tax levy on property in the fire protection district are adequately alleged to be a public matter, not purely an internal employment issue. </w:t>
      </w:r>
      <w:r w:rsidRPr="00465FB3">
        <w:rPr>
          <w:rFonts w:ascii="Times New Roman" w:eastAsia="Times New Roman" w:hAnsi="Times New Roman"/>
          <w:i/>
          <w:iCs/>
          <w:sz w:val="24"/>
          <w:szCs w:val="24"/>
        </w:rPr>
        <w:t>See Pickering v</w:t>
      </w:r>
      <w:r w:rsidRPr="00465FB3">
        <w:rPr>
          <w:rFonts w:ascii="Times New Roman" w:eastAsia="Times New Roman" w:hAnsi="Times New Roman"/>
          <w:sz w:val="24"/>
          <w:szCs w:val="24"/>
        </w:rPr>
        <w:t xml:space="preserve">. </w:t>
      </w:r>
      <w:r w:rsidRPr="00465FB3">
        <w:rPr>
          <w:rFonts w:ascii="Times New Roman" w:eastAsia="Times New Roman" w:hAnsi="Times New Roman"/>
          <w:i/>
          <w:iCs/>
          <w:sz w:val="24"/>
          <w:szCs w:val="24"/>
        </w:rPr>
        <w:t>Bd</w:t>
      </w:r>
      <w:r w:rsidRPr="00465FB3">
        <w:rPr>
          <w:rFonts w:ascii="Times New Roman" w:eastAsia="Times New Roman" w:hAnsi="Times New Roman"/>
          <w:sz w:val="24"/>
          <w:szCs w:val="24"/>
        </w:rPr>
        <w:t xml:space="preserve">. </w:t>
      </w:r>
      <w:r w:rsidRPr="00465FB3">
        <w:rPr>
          <w:rFonts w:ascii="Times New Roman" w:eastAsia="Times New Roman" w:hAnsi="Times New Roman"/>
          <w:i/>
          <w:iCs/>
          <w:sz w:val="24"/>
          <w:szCs w:val="24"/>
        </w:rPr>
        <w:t>of Educ</w:t>
      </w:r>
      <w:r w:rsidRPr="00465FB3">
        <w:rPr>
          <w:rFonts w:ascii="Times New Roman" w:eastAsia="Times New Roman" w:hAnsi="Times New Roman"/>
          <w:sz w:val="24"/>
          <w:szCs w:val="24"/>
        </w:rPr>
        <w:t xml:space="preserve">., 391 U.S. 563, (1968) (holding that a teacher's concerns about a school board's use of tax dollars was a matter of public concern); </w:t>
      </w:r>
      <w:proofErr w:type="spellStart"/>
      <w:r w:rsidRPr="00465FB3">
        <w:rPr>
          <w:rFonts w:ascii="Times New Roman" w:eastAsia="Times New Roman" w:hAnsi="Times New Roman"/>
          <w:i/>
          <w:iCs/>
          <w:sz w:val="24"/>
          <w:szCs w:val="24"/>
        </w:rPr>
        <w:t>Urofsky</w:t>
      </w:r>
      <w:proofErr w:type="spellEnd"/>
      <w:r w:rsidRPr="00465FB3">
        <w:rPr>
          <w:rFonts w:ascii="Times New Roman" w:eastAsia="Times New Roman" w:hAnsi="Times New Roman"/>
          <w:i/>
          <w:iCs/>
          <w:sz w:val="24"/>
          <w:szCs w:val="24"/>
        </w:rPr>
        <w:t xml:space="preserve"> v</w:t>
      </w:r>
      <w:r w:rsidRPr="00465FB3">
        <w:rPr>
          <w:rFonts w:ascii="Times New Roman" w:eastAsia="Times New Roman" w:hAnsi="Times New Roman"/>
          <w:sz w:val="24"/>
          <w:szCs w:val="24"/>
        </w:rPr>
        <w:t xml:space="preserve">. </w:t>
      </w:r>
      <w:r w:rsidRPr="00465FB3">
        <w:rPr>
          <w:rFonts w:ascii="Times New Roman" w:eastAsia="Times New Roman" w:hAnsi="Times New Roman"/>
          <w:i/>
          <w:iCs/>
          <w:sz w:val="24"/>
          <w:szCs w:val="24"/>
        </w:rPr>
        <w:t>Gilmore</w:t>
      </w:r>
      <w:r w:rsidRPr="00465FB3">
        <w:rPr>
          <w:rFonts w:ascii="Times New Roman" w:eastAsia="Times New Roman" w:hAnsi="Times New Roman"/>
          <w:sz w:val="24"/>
          <w:szCs w:val="24"/>
        </w:rPr>
        <w:t>, 216 F.3d 401, 406-07 (4th Cir. 2000) (</w:t>
      </w:r>
      <w:proofErr w:type="spellStart"/>
      <w:r w:rsidRPr="00465FB3">
        <w:rPr>
          <w:rFonts w:ascii="Times New Roman" w:eastAsia="Times New Roman" w:hAnsi="Times New Roman"/>
          <w:sz w:val="24"/>
          <w:szCs w:val="24"/>
        </w:rPr>
        <w:t>en</w:t>
      </w:r>
      <w:proofErr w:type="spellEnd"/>
      <w:r w:rsidRPr="00465FB3">
        <w:rPr>
          <w:rFonts w:ascii="Times New Roman" w:eastAsia="Times New Roman" w:hAnsi="Times New Roman"/>
          <w:sz w:val="24"/>
          <w:szCs w:val="24"/>
        </w:rPr>
        <w:t xml:space="preserve"> banc) (noting speech upon matters of ‘social, political, or other interest to a community’ is protected under the First Amendment). </w:t>
      </w:r>
      <w:hyperlink r:id="rId1286" w:history="1">
        <w:r w:rsidRPr="00465FB3">
          <w:rPr>
            <w:rStyle w:val="Hyperlink"/>
            <w:rFonts w:ascii="Times New Roman" w:eastAsia="Times New Roman" w:hAnsi="Times New Roman"/>
            <w:sz w:val="24"/>
            <w:szCs w:val="24"/>
          </w:rPr>
          <w:t>https://public.fastcase.com/Wl%2B2t%2BeVuI35%2FN70vAMFZnbY8dI3hkArUDoxTqO4WI%2Fa6TeM7CmZuz1%2Ftkv0oKJ0</w:t>
        </w:r>
      </w:hyperlink>
      <w:r w:rsidRPr="00465FB3">
        <w:rPr>
          <w:rFonts w:ascii="Times New Roman" w:eastAsia="Times New Roman" w:hAnsi="Times New Roman"/>
          <w:sz w:val="24"/>
          <w:szCs w:val="24"/>
        </w:rPr>
        <w:t xml:space="preserve"> </w:t>
      </w:r>
    </w:p>
    <w:p w14:paraId="79F275FA" w14:textId="77777777" w:rsidR="00997329" w:rsidRPr="00465FB3" w:rsidRDefault="00997329" w:rsidP="00997329">
      <w:pPr>
        <w:pStyle w:val="NoSpacing"/>
        <w:rPr>
          <w:rFonts w:ascii="Times New Roman" w:hAnsi="Times New Roman"/>
          <w:b/>
          <w:bCs/>
          <w:sz w:val="24"/>
          <w:szCs w:val="24"/>
        </w:rPr>
      </w:pPr>
      <w:r w:rsidRPr="00465FB3">
        <w:rPr>
          <w:rFonts w:ascii="Times New Roman" w:hAnsi="Times New Roman"/>
          <w:b/>
          <w:bCs/>
          <w:sz w:val="24"/>
          <w:szCs w:val="24"/>
        </w:rPr>
        <w:t xml:space="preserve">Legal Lessons Learned: Another decision reviewing the U.S. Supreme Court’s “balancing test.”  FD </w:t>
      </w:r>
      <w:proofErr w:type="gramStart"/>
      <w:r w:rsidRPr="00465FB3">
        <w:rPr>
          <w:rFonts w:ascii="Times New Roman" w:hAnsi="Times New Roman"/>
          <w:b/>
          <w:bCs/>
          <w:sz w:val="24"/>
          <w:szCs w:val="24"/>
        </w:rPr>
        <w:t>need</w:t>
      </w:r>
      <w:proofErr w:type="gramEnd"/>
      <w:r w:rsidRPr="00465FB3">
        <w:rPr>
          <w:rFonts w:ascii="Times New Roman" w:hAnsi="Times New Roman"/>
          <w:b/>
          <w:bCs/>
          <w:sz w:val="24"/>
          <w:szCs w:val="24"/>
        </w:rPr>
        <w:t xml:space="preserve"> to use extreme caution in terminating a firefighter for speaking on matters of public concern, particularly if they also serve on the FD’s Board. </w:t>
      </w:r>
    </w:p>
    <w:p w14:paraId="65A4F446" w14:textId="77777777" w:rsidR="00997329" w:rsidRPr="00465FB3" w:rsidRDefault="00997329" w:rsidP="00997329">
      <w:pPr>
        <w:spacing w:before="100" w:beforeAutospacing="1" w:after="100" w:afterAutospacing="1" w:line="240" w:lineRule="auto"/>
        <w:rPr>
          <w:rFonts w:ascii="Times New Roman" w:eastAsia="Times New Roman" w:hAnsi="Times New Roman"/>
          <w:b/>
          <w:bCs/>
          <w:sz w:val="24"/>
          <w:szCs w:val="24"/>
        </w:rPr>
      </w:pPr>
    </w:p>
    <w:p w14:paraId="07630A86" w14:textId="77777777" w:rsidR="00663160" w:rsidRDefault="00663160" w:rsidP="00A06387">
      <w:pPr>
        <w:pStyle w:val="NoSpacing"/>
        <w:rPr>
          <w:rFonts w:ascii="Arial Black" w:hAnsi="Arial Black"/>
          <w:sz w:val="28"/>
          <w:szCs w:val="28"/>
        </w:rPr>
      </w:pPr>
    </w:p>
    <w:p w14:paraId="328BC352" w14:textId="77777777" w:rsidR="00663160" w:rsidRDefault="00663160" w:rsidP="00A06387">
      <w:pPr>
        <w:pStyle w:val="NoSpacing"/>
        <w:rPr>
          <w:rFonts w:ascii="Arial Black" w:hAnsi="Arial Black"/>
          <w:sz w:val="28"/>
          <w:szCs w:val="28"/>
        </w:rPr>
      </w:pPr>
    </w:p>
    <w:p w14:paraId="6F146580" w14:textId="77777777" w:rsidR="00B03268" w:rsidRDefault="00B03268" w:rsidP="00A06387">
      <w:pPr>
        <w:pStyle w:val="NoSpacing"/>
        <w:rPr>
          <w:rFonts w:ascii="Arial Black" w:hAnsi="Arial Black"/>
          <w:sz w:val="28"/>
          <w:szCs w:val="28"/>
        </w:rPr>
      </w:pPr>
    </w:p>
    <w:p w14:paraId="0FC4E5E4" w14:textId="702FA686" w:rsidR="00663160" w:rsidRDefault="00663160" w:rsidP="00A06387">
      <w:pPr>
        <w:pStyle w:val="NoSpacing"/>
        <w:rPr>
          <w:rFonts w:ascii="Arial Black" w:hAnsi="Arial Black"/>
          <w:sz w:val="28"/>
          <w:szCs w:val="28"/>
        </w:rPr>
      </w:pPr>
      <w:r>
        <w:rPr>
          <w:rFonts w:ascii="Arial Black" w:hAnsi="Arial Black"/>
          <w:sz w:val="28"/>
          <w:szCs w:val="28"/>
        </w:rPr>
        <w:t>6-31</w:t>
      </w:r>
    </w:p>
    <w:p w14:paraId="6C9E9F66" w14:textId="1C55F183" w:rsidR="00663160" w:rsidRDefault="00663160" w:rsidP="00A06387">
      <w:pPr>
        <w:pStyle w:val="NoSpacing"/>
        <w:rPr>
          <w:rFonts w:ascii="Arial Black" w:hAnsi="Arial Black"/>
          <w:sz w:val="28"/>
          <w:szCs w:val="28"/>
        </w:rPr>
      </w:pPr>
    </w:p>
    <w:p w14:paraId="7788273E" w14:textId="77777777" w:rsidR="00663160" w:rsidRPr="00504D9F" w:rsidRDefault="00663160" w:rsidP="00663160">
      <w:pPr>
        <w:pStyle w:val="NoSpacing"/>
        <w:rPr>
          <w:rFonts w:ascii="Arial Black" w:hAnsi="Arial Black"/>
          <w:b/>
          <w:bCs/>
          <w:sz w:val="28"/>
          <w:szCs w:val="28"/>
        </w:rPr>
      </w:pPr>
      <w:r>
        <w:rPr>
          <w:rFonts w:ascii="Arial Black" w:hAnsi="Arial Black"/>
          <w:bCs/>
          <w:sz w:val="28"/>
          <w:szCs w:val="28"/>
        </w:rPr>
        <w:t>OH: CAPTAIN PROMOTION – SENIORITY POINTS ONLY FOR THOSE SCORED AT LEAST 70 – NEW SELECTION</w:t>
      </w:r>
    </w:p>
    <w:p w14:paraId="3D56695E" w14:textId="77777777" w:rsidR="00663160" w:rsidRPr="00465FB3" w:rsidRDefault="00663160" w:rsidP="00663160">
      <w:pPr>
        <w:pStyle w:val="Heading1"/>
        <w:rPr>
          <w:b w:val="0"/>
          <w:bCs w:val="0"/>
          <w:sz w:val="24"/>
          <w:szCs w:val="24"/>
        </w:rPr>
      </w:pPr>
      <w:r w:rsidRPr="00465FB3">
        <w:rPr>
          <w:b w:val="0"/>
          <w:bCs w:val="0"/>
          <w:sz w:val="24"/>
          <w:szCs w:val="24"/>
        </w:rPr>
        <w:t xml:space="preserve">On Feb. 5, 2020, in </w:t>
      </w:r>
      <w:r w:rsidRPr="00465FB3">
        <w:rPr>
          <w:b w:val="0"/>
          <w:bCs w:val="0"/>
          <w:sz w:val="24"/>
          <w:szCs w:val="24"/>
          <w:u w:val="single"/>
        </w:rPr>
        <w:t xml:space="preserve">State ex rel. Michael A. </w:t>
      </w:r>
      <w:proofErr w:type="spellStart"/>
      <w:r w:rsidRPr="00465FB3">
        <w:rPr>
          <w:b w:val="0"/>
          <w:bCs w:val="0"/>
          <w:sz w:val="24"/>
          <w:szCs w:val="24"/>
          <w:u w:val="single"/>
        </w:rPr>
        <w:t>Rimroth</w:t>
      </w:r>
      <w:proofErr w:type="spellEnd"/>
      <w:r w:rsidRPr="00465FB3">
        <w:rPr>
          <w:b w:val="0"/>
          <w:bCs w:val="0"/>
          <w:sz w:val="24"/>
          <w:szCs w:val="24"/>
          <w:u w:val="single"/>
        </w:rPr>
        <w:t xml:space="preserve"> v. City of Harrison</w:t>
      </w:r>
      <w:r w:rsidRPr="00465FB3">
        <w:rPr>
          <w:b w:val="0"/>
          <w:bCs w:val="0"/>
          <w:sz w:val="24"/>
          <w:szCs w:val="24"/>
        </w:rPr>
        <w:t xml:space="preserve">, the Ohio Court of Appeals for the First District (Hamilton County), held (3 to 0) that the promotion of the candidate who only scored 65 was inappropriate, since only the two candidates (plaintiff and one other) who scored 70 or higher were entitled to added points for seniority.  The Court reversed the trial judge’s order for a new written test, since the test was fair.  Case sent back to the city’s Civil Service Commission, and Mayor can now make a new promotion decision between plaintiff (scored 74) and the other candidate (scored 75).  </w:t>
      </w:r>
    </w:p>
    <w:p w14:paraId="3714FEA9" w14:textId="77777777" w:rsidR="00663160" w:rsidRPr="00465FB3" w:rsidRDefault="00663160" w:rsidP="00663160">
      <w:pPr>
        <w:pStyle w:val="NoSpacing"/>
        <w:ind w:left="720"/>
        <w:rPr>
          <w:rFonts w:ascii="Times New Roman" w:hAnsi="Times New Roman"/>
          <w:b/>
          <w:bCs/>
          <w:sz w:val="24"/>
          <w:szCs w:val="24"/>
        </w:rPr>
      </w:pPr>
      <w:r w:rsidRPr="00465FB3">
        <w:rPr>
          <w:rFonts w:ascii="Times New Roman" w:hAnsi="Times New Roman"/>
          <w:bCs/>
          <w:sz w:val="24"/>
          <w:szCs w:val="24"/>
        </w:rPr>
        <w:lastRenderedPageBreak/>
        <w:t xml:space="preserve">“[Michael] </w:t>
      </w:r>
      <w:proofErr w:type="spellStart"/>
      <w:r w:rsidRPr="00465FB3">
        <w:rPr>
          <w:rFonts w:ascii="Times New Roman" w:hAnsi="Times New Roman"/>
          <w:bCs/>
          <w:sz w:val="24"/>
          <w:szCs w:val="24"/>
        </w:rPr>
        <w:t>Rimroth</w:t>
      </w:r>
      <w:proofErr w:type="spellEnd"/>
      <w:r w:rsidRPr="00465FB3">
        <w:rPr>
          <w:rFonts w:ascii="Times New Roman" w:hAnsi="Times New Roman"/>
          <w:bCs/>
          <w:sz w:val="24"/>
          <w:szCs w:val="24"/>
        </w:rPr>
        <w:t xml:space="preserve"> was a firefighter employed by the city of Harrison. On April 4, 2015, he took the written promotional examination for the position of fire captain, along with firefighters Dennis Helcher and Cameron Kugler. Kugler received a score of 75, </w:t>
      </w:r>
      <w:proofErr w:type="spellStart"/>
      <w:r w:rsidRPr="00465FB3">
        <w:rPr>
          <w:rFonts w:ascii="Times New Roman" w:hAnsi="Times New Roman"/>
          <w:bCs/>
          <w:sz w:val="24"/>
          <w:szCs w:val="24"/>
        </w:rPr>
        <w:t>Rimroth</w:t>
      </w:r>
      <w:proofErr w:type="spellEnd"/>
      <w:r w:rsidRPr="00465FB3">
        <w:rPr>
          <w:rFonts w:ascii="Times New Roman" w:hAnsi="Times New Roman"/>
          <w:bCs/>
          <w:sz w:val="24"/>
          <w:szCs w:val="24"/>
        </w:rPr>
        <w:t xml:space="preserve"> received a 74, and </w:t>
      </w:r>
      <w:proofErr w:type="spellStart"/>
      <w:r w:rsidRPr="00465FB3">
        <w:rPr>
          <w:rFonts w:ascii="Times New Roman" w:hAnsi="Times New Roman"/>
          <w:bCs/>
          <w:sz w:val="24"/>
          <w:szCs w:val="24"/>
        </w:rPr>
        <w:t>Helcher</w:t>
      </w:r>
      <w:proofErr w:type="spellEnd"/>
      <w:r w:rsidRPr="00465FB3">
        <w:rPr>
          <w:rFonts w:ascii="Times New Roman" w:hAnsi="Times New Roman"/>
          <w:bCs/>
          <w:sz w:val="24"/>
          <w:szCs w:val="24"/>
        </w:rPr>
        <w:t xml:space="preserve"> received a 65. </w:t>
      </w:r>
      <w:proofErr w:type="gramStart"/>
      <w:r w:rsidRPr="00465FB3">
        <w:rPr>
          <w:rFonts w:ascii="Times New Roman" w:hAnsi="Times New Roman"/>
          <w:bCs/>
          <w:sz w:val="24"/>
          <w:szCs w:val="24"/>
        </w:rPr>
        <w:t>A passing</w:t>
      </w:r>
      <w:proofErr w:type="gramEnd"/>
      <w:r w:rsidRPr="00465FB3">
        <w:rPr>
          <w:rFonts w:ascii="Times New Roman" w:hAnsi="Times New Roman"/>
          <w:bCs/>
          <w:sz w:val="24"/>
          <w:szCs w:val="24"/>
        </w:rPr>
        <w:t xml:space="preserve"> score for the examination was 70. As a result, only Kugler and </w:t>
      </w:r>
      <w:proofErr w:type="spellStart"/>
      <w:r w:rsidRPr="00465FB3">
        <w:rPr>
          <w:rFonts w:ascii="Times New Roman" w:hAnsi="Times New Roman"/>
          <w:bCs/>
          <w:sz w:val="24"/>
          <w:szCs w:val="24"/>
        </w:rPr>
        <w:t>Rimroth</w:t>
      </w:r>
      <w:proofErr w:type="spellEnd"/>
      <w:r w:rsidRPr="00465FB3">
        <w:rPr>
          <w:rFonts w:ascii="Times New Roman" w:hAnsi="Times New Roman"/>
          <w:bCs/>
          <w:sz w:val="24"/>
          <w:szCs w:val="24"/>
        </w:rPr>
        <w:t xml:space="preserve"> were listed as having passed the examination. ***  In this case, both sides agree that it was inappropriate for the commission to include the service credit before determining if the candidates received a passing score. We agree with this consensus. The issue that remains is determining if the trial court's remedy was proper and, if not, what remedy lies for the violation of the statute. *** The proper remedy, therefore, is to remand the cause to the civil service commission for the appropriate award of credit to only those individuals who had received a passing score on the written examination: Kugler and </w:t>
      </w:r>
      <w:proofErr w:type="spellStart"/>
      <w:r w:rsidRPr="00465FB3">
        <w:rPr>
          <w:rFonts w:ascii="Times New Roman" w:hAnsi="Times New Roman"/>
          <w:bCs/>
          <w:sz w:val="24"/>
          <w:szCs w:val="24"/>
        </w:rPr>
        <w:t>Rimroth</w:t>
      </w:r>
      <w:proofErr w:type="spellEnd"/>
      <w:r w:rsidRPr="00465FB3">
        <w:rPr>
          <w:rFonts w:ascii="Times New Roman" w:hAnsi="Times New Roman"/>
          <w:bCs/>
          <w:sz w:val="24"/>
          <w:szCs w:val="24"/>
        </w:rPr>
        <w:t xml:space="preserve">. Once those scores are calculated, the commission should forward the resulting list for further </w:t>
      </w:r>
      <w:proofErr w:type="gramStart"/>
      <w:r w:rsidRPr="00465FB3">
        <w:rPr>
          <w:rFonts w:ascii="Times New Roman" w:hAnsi="Times New Roman"/>
          <w:bCs/>
          <w:sz w:val="24"/>
          <w:szCs w:val="24"/>
        </w:rPr>
        <w:t>consideration.”</w:t>
      </w:r>
      <w:proofErr w:type="gramEnd"/>
      <w:r w:rsidRPr="00465FB3">
        <w:rPr>
          <w:rFonts w:ascii="Times New Roman" w:hAnsi="Times New Roman"/>
          <w:bCs/>
          <w:sz w:val="24"/>
          <w:szCs w:val="24"/>
        </w:rPr>
        <w:t xml:space="preserve"> </w:t>
      </w:r>
      <w:hyperlink r:id="rId1287" w:history="1">
        <w:r w:rsidRPr="00465FB3">
          <w:rPr>
            <w:rStyle w:val="Hyperlink"/>
            <w:rFonts w:ascii="Times New Roman" w:hAnsi="Times New Roman"/>
            <w:bCs/>
            <w:sz w:val="24"/>
            <w:szCs w:val="24"/>
          </w:rPr>
          <w:t>https://www.leagle.com/decision/inohco20200205714</w:t>
        </w:r>
      </w:hyperlink>
      <w:r w:rsidRPr="00465FB3">
        <w:rPr>
          <w:rFonts w:ascii="Times New Roman" w:hAnsi="Times New Roman"/>
          <w:bCs/>
          <w:sz w:val="24"/>
          <w:szCs w:val="24"/>
        </w:rPr>
        <w:t xml:space="preserve"> </w:t>
      </w:r>
    </w:p>
    <w:p w14:paraId="281EDFF8" w14:textId="61AC8D19" w:rsidR="00663160" w:rsidRDefault="00663160" w:rsidP="00A06387">
      <w:pPr>
        <w:pStyle w:val="NoSpacing"/>
        <w:rPr>
          <w:rFonts w:ascii="Arial Black" w:hAnsi="Arial Black"/>
          <w:sz w:val="28"/>
          <w:szCs w:val="28"/>
        </w:rPr>
      </w:pPr>
    </w:p>
    <w:p w14:paraId="32E1884A" w14:textId="77777777" w:rsidR="00663160" w:rsidRPr="00465FB3" w:rsidRDefault="00663160" w:rsidP="00663160">
      <w:pPr>
        <w:pStyle w:val="NoSpacing"/>
        <w:tabs>
          <w:tab w:val="left" w:pos="2880"/>
        </w:tabs>
        <w:rPr>
          <w:rFonts w:ascii="Times New Roman" w:eastAsia="Times New Roman" w:hAnsi="Times New Roman"/>
          <w:b/>
          <w:bCs/>
          <w:sz w:val="24"/>
          <w:szCs w:val="24"/>
        </w:rPr>
      </w:pPr>
      <w:r w:rsidRPr="00465FB3">
        <w:rPr>
          <w:rFonts w:ascii="Times New Roman" w:hAnsi="Times New Roman"/>
          <w:b/>
          <w:bCs/>
          <w:sz w:val="24"/>
          <w:szCs w:val="24"/>
        </w:rPr>
        <w:t xml:space="preserve">Legal Lessons Learned: Promotion processes should clearly specify when seniority and military credits can be added to test scores. </w:t>
      </w:r>
    </w:p>
    <w:p w14:paraId="33ADF01E" w14:textId="11364D1C" w:rsidR="00663160" w:rsidRDefault="00663160" w:rsidP="00A06387">
      <w:pPr>
        <w:pStyle w:val="NoSpacing"/>
        <w:rPr>
          <w:rFonts w:ascii="Arial Black" w:hAnsi="Arial Black"/>
          <w:sz w:val="28"/>
          <w:szCs w:val="28"/>
        </w:rPr>
      </w:pPr>
      <w:r>
        <w:rPr>
          <w:rFonts w:ascii="Arial Black" w:hAnsi="Arial Black"/>
          <w:sz w:val="28"/>
          <w:szCs w:val="28"/>
        </w:rPr>
        <w:t xml:space="preserve"> </w:t>
      </w:r>
    </w:p>
    <w:p w14:paraId="091AFC41" w14:textId="77777777" w:rsidR="00663160" w:rsidRDefault="00663160" w:rsidP="00A06387">
      <w:pPr>
        <w:pStyle w:val="NoSpacing"/>
        <w:rPr>
          <w:rFonts w:ascii="Arial Black" w:hAnsi="Arial Black"/>
          <w:sz w:val="28"/>
          <w:szCs w:val="28"/>
        </w:rPr>
      </w:pPr>
    </w:p>
    <w:p w14:paraId="5D3EECC4" w14:textId="77777777" w:rsidR="00663160" w:rsidRDefault="00663160" w:rsidP="00A06387">
      <w:pPr>
        <w:pStyle w:val="NoSpacing"/>
        <w:rPr>
          <w:rFonts w:ascii="Arial Black" w:hAnsi="Arial Black"/>
          <w:sz w:val="28"/>
          <w:szCs w:val="28"/>
        </w:rPr>
      </w:pPr>
    </w:p>
    <w:p w14:paraId="72A34ECB" w14:textId="6B4BFD3D" w:rsidR="00C9355B" w:rsidRDefault="00C9355B" w:rsidP="00A06387">
      <w:pPr>
        <w:pStyle w:val="NoSpacing"/>
        <w:rPr>
          <w:rFonts w:ascii="Arial Black" w:hAnsi="Arial Black"/>
          <w:sz w:val="28"/>
          <w:szCs w:val="28"/>
        </w:rPr>
      </w:pPr>
      <w:r>
        <w:rPr>
          <w:rFonts w:ascii="Arial Black" w:hAnsi="Arial Black"/>
          <w:sz w:val="28"/>
          <w:szCs w:val="28"/>
        </w:rPr>
        <w:t>6-</w:t>
      </w:r>
      <w:r w:rsidR="00177094">
        <w:rPr>
          <w:rFonts w:ascii="Arial Black" w:hAnsi="Arial Black"/>
          <w:sz w:val="28"/>
          <w:szCs w:val="28"/>
        </w:rPr>
        <w:t>30</w:t>
      </w:r>
    </w:p>
    <w:p w14:paraId="6D154D02" w14:textId="65382B1A" w:rsidR="00C9355B" w:rsidRDefault="00C9355B" w:rsidP="00A06387">
      <w:pPr>
        <w:pStyle w:val="NoSpacing"/>
        <w:rPr>
          <w:rFonts w:ascii="Arial Black" w:hAnsi="Arial Black"/>
          <w:sz w:val="28"/>
          <w:szCs w:val="28"/>
        </w:rPr>
      </w:pPr>
    </w:p>
    <w:p w14:paraId="76C0F5C0" w14:textId="77777777" w:rsidR="00C9355B" w:rsidRDefault="00C9355B" w:rsidP="00C9355B">
      <w:pPr>
        <w:pStyle w:val="NoSpacing"/>
        <w:rPr>
          <w:rFonts w:ascii="Arial Black" w:hAnsi="Arial Black"/>
          <w:b/>
          <w:bCs/>
          <w:sz w:val="28"/>
          <w:szCs w:val="28"/>
        </w:rPr>
      </w:pPr>
      <w:r>
        <w:rPr>
          <w:rFonts w:ascii="Arial Black" w:hAnsi="Arial Black"/>
          <w:bCs/>
          <w:sz w:val="28"/>
          <w:szCs w:val="28"/>
        </w:rPr>
        <w:t xml:space="preserve">IL: HOUSE FIRE - FF FELL BACKWARDS, INJURED HER BACK – AWARDED LINE-OF-DUTY PENSION – CITY APPEAL DENIED </w:t>
      </w:r>
    </w:p>
    <w:p w14:paraId="63A0CA8C" w14:textId="77777777" w:rsidR="00C9355B" w:rsidRDefault="00C9355B" w:rsidP="00C9355B">
      <w:pPr>
        <w:pStyle w:val="NoSpacing"/>
        <w:rPr>
          <w:b/>
          <w:bCs/>
          <w:sz w:val="24"/>
          <w:szCs w:val="24"/>
        </w:rPr>
      </w:pPr>
    </w:p>
    <w:p w14:paraId="2A874A2E" w14:textId="77777777" w:rsidR="00C9355B" w:rsidRPr="00695030" w:rsidRDefault="00C9355B" w:rsidP="00C9355B">
      <w:pPr>
        <w:pStyle w:val="NoSpacing"/>
        <w:rPr>
          <w:rFonts w:ascii="Times New Roman" w:hAnsi="Times New Roman"/>
          <w:b/>
          <w:bCs/>
          <w:sz w:val="24"/>
          <w:szCs w:val="24"/>
        </w:rPr>
      </w:pPr>
      <w:r w:rsidRPr="00695030">
        <w:rPr>
          <w:rFonts w:ascii="Times New Roman" w:hAnsi="Times New Roman"/>
          <w:bCs/>
          <w:sz w:val="24"/>
          <w:szCs w:val="24"/>
        </w:rPr>
        <w:t xml:space="preserve">On Jan. 27, 2020, in </w:t>
      </w:r>
      <w:r w:rsidRPr="00695030">
        <w:rPr>
          <w:rFonts w:ascii="Times New Roman" w:hAnsi="Times New Roman"/>
          <w:bCs/>
          <w:sz w:val="24"/>
          <w:szCs w:val="24"/>
          <w:u w:val="single"/>
        </w:rPr>
        <w:t>City of Peoria v. The Firefighters Pension Fund of the City of Peoria and Angela Allen</w:t>
      </w:r>
      <w:r w:rsidRPr="00695030">
        <w:rPr>
          <w:rFonts w:ascii="Times New Roman" w:hAnsi="Times New Roman"/>
          <w:bCs/>
          <w:sz w:val="24"/>
          <w:szCs w:val="24"/>
        </w:rPr>
        <w:t xml:space="preserve">, the Appellate Court of Illinois, Third District, held (3 to 0) upheld the decision of the Board of Trustees of the pension fund to award line-of-duty death benefits. The city sought to reverse the Trustees, arguing the firefighter had a psychological disorder not caused by her fall. </w:t>
      </w:r>
    </w:p>
    <w:p w14:paraId="2335A114" w14:textId="77777777" w:rsidR="00C9355B" w:rsidRPr="00695030" w:rsidRDefault="00C9355B" w:rsidP="00C9355B">
      <w:pPr>
        <w:pStyle w:val="NoSpacing"/>
        <w:rPr>
          <w:rFonts w:ascii="Times New Roman" w:hAnsi="Times New Roman"/>
          <w:b/>
          <w:bCs/>
          <w:sz w:val="24"/>
          <w:szCs w:val="24"/>
        </w:rPr>
      </w:pPr>
    </w:p>
    <w:p w14:paraId="5B7131FD" w14:textId="77777777" w:rsidR="00C9355B" w:rsidRPr="00695030" w:rsidRDefault="00C9355B" w:rsidP="00C9355B">
      <w:pPr>
        <w:pStyle w:val="NoSpacing"/>
        <w:ind w:left="720"/>
        <w:rPr>
          <w:rFonts w:ascii="Times New Roman" w:hAnsi="Times New Roman"/>
          <w:b/>
          <w:bCs/>
          <w:sz w:val="24"/>
          <w:szCs w:val="24"/>
        </w:rPr>
      </w:pPr>
      <w:r w:rsidRPr="00695030">
        <w:rPr>
          <w:rFonts w:ascii="Times New Roman" w:hAnsi="Times New Roman"/>
          <w:bCs/>
          <w:sz w:val="24"/>
          <w:szCs w:val="24"/>
        </w:rPr>
        <w:t xml:space="preserve">“In reaching that conclusion, we reject the City's assertion that the Pension Board somehow erred by finding that Allen was disabled due to her psychological conditions when Allen's specific allegation in her disability pension application was that she was disabled due to a vestibular/ocular motor disorder. Although Allen listed her condition in the application as a vestibular/ocular motor disorder, many of the symptoms that Allen also listed in the application as being from a vestibular disorder were the same symptoms that Allen was found to be suffering from </w:t>
      </w:r>
      <w:proofErr w:type="gramStart"/>
      <w:r w:rsidRPr="00695030">
        <w:rPr>
          <w:rFonts w:ascii="Times New Roman" w:hAnsi="Times New Roman"/>
          <w:bCs/>
          <w:sz w:val="24"/>
          <w:szCs w:val="24"/>
        </w:rPr>
        <w:t>as a result of</w:t>
      </w:r>
      <w:proofErr w:type="gramEnd"/>
      <w:r w:rsidRPr="00695030">
        <w:rPr>
          <w:rFonts w:ascii="Times New Roman" w:hAnsi="Times New Roman"/>
          <w:bCs/>
          <w:sz w:val="24"/>
          <w:szCs w:val="24"/>
        </w:rPr>
        <w:t xml:space="preserve"> her psychological disorders. Thus, we believe that Allen sufficiently alleged the nature of her disability in her disability pension application. Indeed, the City has made no argument on appeal that it was surprised by the evidence presented or that the </w:t>
      </w:r>
      <w:proofErr w:type="gramStart"/>
      <w:r w:rsidRPr="00695030">
        <w:rPr>
          <w:rFonts w:ascii="Times New Roman" w:hAnsi="Times New Roman"/>
          <w:bCs/>
          <w:sz w:val="24"/>
          <w:szCs w:val="24"/>
        </w:rPr>
        <w:t>manner in which</w:t>
      </w:r>
      <w:proofErr w:type="gramEnd"/>
      <w:r w:rsidRPr="00695030">
        <w:rPr>
          <w:rFonts w:ascii="Times New Roman" w:hAnsi="Times New Roman"/>
          <w:bCs/>
          <w:sz w:val="24"/>
          <w:szCs w:val="24"/>
        </w:rPr>
        <w:t xml:space="preserve"> Allen's condition was described in the application somehow deprived the City of a fair opportunity to prepare for the hearing before the Pension Board.” </w:t>
      </w:r>
      <w:hyperlink r:id="rId1288" w:history="1">
        <w:r w:rsidRPr="00695030">
          <w:rPr>
            <w:rStyle w:val="Hyperlink"/>
            <w:rFonts w:ascii="Times New Roman" w:hAnsi="Times New Roman"/>
            <w:b/>
            <w:sz w:val="24"/>
            <w:szCs w:val="24"/>
          </w:rPr>
          <w:t>https://courts.illinois.gov/R23_Orders/AppellateCourt/2020/3rdDistrict/3190055_R23.pdf</w:t>
        </w:r>
      </w:hyperlink>
      <w:r w:rsidRPr="00695030">
        <w:rPr>
          <w:rFonts w:ascii="Times New Roman" w:hAnsi="Times New Roman"/>
          <w:bCs/>
          <w:sz w:val="24"/>
          <w:szCs w:val="24"/>
        </w:rPr>
        <w:t xml:space="preserve"> </w:t>
      </w:r>
    </w:p>
    <w:p w14:paraId="3F8AF809" w14:textId="77777777" w:rsidR="00C9355B" w:rsidRDefault="00C9355B" w:rsidP="00C9355B">
      <w:pPr>
        <w:pStyle w:val="NoSpacing"/>
        <w:rPr>
          <w:rFonts w:ascii="Times New Roman" w:hAnsi="Times New Roman"/>
          <w:b/>
          <w:bCs/>
          <w:sz w:val="24"/>
          <w:szCs w:val="24"/>
        </w:rPr>
      </w:pPr>
    </w:p>
    <w:p w14:paraId="72F4B7C5" w14:textId="313B0065" w:rsidR="00C9355B" w:rsidRPr="00695030" w:rsidRDefault="00C9355B" w:rsidP="00C9355B">
      <w:pPr>
        <w:pStyle w:val="NoSpacing"/>
        <w:rPr>
          <w:rFonts w:ascii="Times New Roman" w:hAnsi="Times New Roman"/>
          <w:b/>
          <w:bCs/>
          <w:sz w:val="24"/>
          <w:szCs w:val="24"/>
        </w:rPr>
      </w:pPr>
      <w:r w:rsidRPr="00695030">
        <w:rPr>
          <w:rFonts w:ascii="Times New Roman" w:hAnsi="Times New Roman"/>
          <w:b/>
          <w:bCs/>
          <w:sz w:val="24"/>
          <w:szCs w:val="24"/>
        </w:rPr>
        <w:t xml:space="preserve">Legal Lessons Learned:  </w:t>
      </w:r>
      <w:r>
        <w:rPr>
          <w:rFonts w:ascii="Times New Roman" w:hAnsi="Times New Roman"/>
          <w:b/>
          <w:bCs/>
          <w:sz w:val="24"/>
          <w:szCs w:val="24"/>
        </w:rPr>
        <w:t xml:space="preserve">Under </w:t>
      </w:r>
      <w:r w:rsidRPr="00695030">
        <w:rPr>
          <w:rFonts w:ascii="Times New Roman" w:hAnsi="Times New Roman"/>
          <w:b/>
          <w:bCs/>
          <w:sz w:val="24"/>
          <w:szCs w:val="24"/>
        </w:rPr>
        <w:t>Illinois statute and court precedents</w:t>
      </w:r>
      <w:r>
        <w:rPr>
          <w:rFonts w:ascii="Times New Roman" w:hAnsi="Times New Roman"/>
          <w:b/>
          <w:bCs/>
          <w:sz w:val="24"/>
          <w:szCs w:val="24"/>
        </w:rPr>
        <w:t xml:space="preserve">, </w:t>
      </w:r>
      <w:r w:rsidRPr="00695030">
        <w:rPr>
          <w:rFonts w:ascii="Times New Roman" w:hAnsi="Times New Roman"/>
          <w:b/>
          <w:bCs/>
          <w:sz w:val="24"/>
          <w:szCs w:val="24"/>
        </w:rPr>
        <w:t xml:space="preserve">pension applications by firefighters must be “liberally construed” in favor of the firefighter. </w:t>
      </w:r>
    </w:p>
    <w:p w14:paraId="36DA7B82" w14:textId="77777777" w:rsidR="00C9355B" w:rsidRDefault="00C9355B" w:rsidP="00A06387">
      <w:pPr>
        <w:pStyle w:val="NoSpacing"/>
        <w:rPr>
          <w:rFonts w:ascii="Arial Black" w:hAnsi="Arial Black"/>
          <w:sz w:val="28"/>
          <w:szCs w:val="28"/>
        </w:rPr>
      </w:pPr>
    </w:p>
    <w:p w14:paraId="43495ADD" w14:textId="77777777" w:rsidR="00B03268" w:rsidRDefault="00B03268" w:rsidP="00A06387">
      <w:pPr>
        <w:pStyle w:val="NoSpacing"/>
        <w:rPr>
          <w:rFonts w:ascii="Arial Black" w:hAnsi="Arial Black"/>
          <w:sz w:val="28"/>
          <w:szCs w:val="28"/>
        </w:rPr>
      </w:pPr>
    </w:p>
    <w:p w14:paraId="2E0F56D3" w14:textId="768E11AF" w:rsidR="00C9355B" w:rsidRDefault="00C9355B" w:rsidP="00A06387">
      <w:pPr>
        <w:pStyle w:val="NoSpacing"/>
        <w:rPr>
          <w:rFonts w:ascii="Arial Black" w:hAnsi="Arial Black"/>
          <w:sz w:val="28"/>
          <w:szCs w:val="28"/>
        </w:rPr>
      </w:pPr>
      <w:r>
        <w:rPr>
          <w:rFonts w:ascii="Arial Black" w:hAnsi="Arial Black"/>
          <w:sz w:val="28"/>
          <w:szCs w:val="28"/>
        </w:rPr>
        <w:t>6-29</w:t>
      </w:r>
    </w:p>
    <w:p w14:paraId="2F4A87B0" w14:textId="77777777" w:rsidR="00C9355B" w:rsidRDefault="00C9355B" w:rsidP="00C9355B">
      <w:pPr>
        <w:spacing w:before="100" w:beforeAutospacing="1" w:after="100" w:afterAutospacing="1"/>
        <w:rPr>
          <w:rFonts w:ascii="Arial Black" w:eastAsia="Times New Roman" w:hAnsi="Arial Black"/>
          <w:bCs/>
          <w:sz w:val="28"/>
          <w:szCs w:val="28"/>
        </w:rPr>
      </w:pPr>
      <w:r w:rsidRPr="005463FA">
        <w:rPr>
          <w:rFonts w:ascii="Arial Black" w:eastAsia="Times New Roman" w:hAnsi="Arial Black"/>
          <w:bCs/>
          <w:sz w:val="28"/>
          <w:szCs w:val="28"/>
        </w:rPr>
        <w:lastRenderedPageBreak/>
        <w:t xml:space="preserve">IL: </w:t>
      </w:r>
      <w:r>
        <w:rPr>
          <w:rFonts w:ascii="Arial Black" w:eastAsia="Times New Roman" w:hAnsi="Arial Black"/>
          <w:bCs/>
          <w:sz w:val="28"/>
          <w:szCs w:val="28"/>
        </w:rPr>
        <w:t>PARAMEDIC LIFTING WEIGHTS – CLAIMED RIGHT FOOT INJURY – LATER VIDEOTAPED WORKING OUT, WALKING OK – CLAIM DENIED</w:t>
      </w:r>
    </w:p>
    <w:p w14:paraId="5793B94E" w14:textId="71B5CDF1" w:rsidR="00C9355B" w:rsidRDefault="00C9355B" w:rsidP="00E40E39">
      <w:pPr>
        <w:spacing w:before="100" w:beforeAutospacing="1" w:after="100" w:afterAutospacing="1"/>
        <w:rPr>
          <w:rFonts w:ascii="Times New Roman" w:hAnsi="Times New Roman"/>
          <w:bCs/>
          <w:sz w:val="24"/>
          <w:szCs w:val="24"/>
        </w:rPr>
      </w:pPr>
      <w:r w:rsidRPr="004236BE">
        <w:rPr>
          <w:rFonts w:ascii="Times New Roman" w:eastAsia="Times New Roman" w:hAnsi="Times New Roman"/>
          <w:sz w:val="24"/>
          <w:szCs w:val="24"/>
        </w:rPr>
        <w:t xml:space="preserve">On Dec. 27, 2019, in </w:t>
      </w:r>
      <w:r w:rsidRPr="004236BE">
        <w:rPr>
          <w:rFonts w:ascii="Times New Roman" w:eastAsia="Times New Roman" w:hAnsi="Times New Roman"/>
          <w:sz w:val="24"/>
          <w:szCs w:val="24"/>
          <w:u w:val="single"/>
        </w:rPr>
        <w:t>Brian Isenhardt v. Illinois Workers’ Compensation Commission</w:t>
      </w:r>
      <w:r w:rsidRPr="004236BE">
        <w:rPr>
          <w:rFonts w:ascii="Times New Roman" w:eastAsia="Times New Roman" w:hAnsi="Times New Roman"/>
          <w:sz w:val="24"/>
          <w:szCs w:val="24"/>
        </w:rPr>
        <w:t xml:space="preserve">, the Appellate Court of Illinois, First District / Workers’ Compensation Commission Division, held (5 to 0) that the Commission had properly denied the firefighter’s claim.  </w:t>
      </w:r>
    </w:p>
    <w:p w14:paraId="5938BA74" w14:textId="77777777" w:rsidR="00C9355B" w:rsidRPr="004236BE" w:rsidRDefault="00C9355B" w:rsidP="00C9355B">
      <w:pPr>
        <w:spacing w:before="100" w:beforeAutospacing="1" w:after="100" w:afterAutospacing="1"/>
        <w:ind w:left="720"/>
        <w:rPr>
          <w:rFonts w:ascii="Times New Roman" w:hAnsi="Times New Roman"/>
          <w:b/>
          <w:bCs/>
          <w:sz w:val="24"/>
          <w:szCs w:val="24"/>
        </w:rPr>
      </w:pPr>
      <w:r w:rsidRPr="004236BE">
        <w:rPr>
          <w:rFonts w:ascii="Times New Roman" w:hAnsi="Times New Roman"/>
          <w:bCs/>
          <w:sz w:val="24"/>
          <w:szCs w:val="24"/>
        </w:rPr>
        <w:t xml:space="preserve">“The Village also called Erik Ekstrom, a private investigator hired to investigate the claimant. Ekstrom testified that, during his surveillance on January 13, 2015, he observed the claimant walking with a normal gait, taking out the trash, and performing chest exercises at the gym. According to Ekstrom, on January 15, 2015, he observed the claimant walking with a usual gait without the assistance of crutches on his entrance and exit from the gym. He also observed the claimant on the treadmill, lifting </w:t>
      </w:r>
      <w:proofErr w:type="gramStart"/>
      <w:r w:rsidRPr="004236BE">
        <w:rPr>
          <w:rFonts w:ascii="Times New Roman" w:hAnsi="Times New Roman"/>
          <w:bCs/>
          <w:sz w:val="24"/>
          <w:szCs w:val="24"/>
        </w:rPr>
        <w:t>50 to 70 pound</w:t>
      </w:r>
      <w:proofErr w:type="gramEnd"/>
      <w:r w:rsidRPr="004236BE">
        <w:rPr>
          <w:rFonts w:ascii="Times New Roman" w:hAnsi="Times New Roman"/>
          <w:bCs/>
          <w:sz w:val="24"/>
          <w:szCs w:val="24"/>
        </w:rPr>
        <w:t xml:space="preserve"> weights above his head, while simultaneously </w:t>
      </w:r>
      <w:proofErr w:type="spellStart"/>
      <w:r w:rsidRPr="004236BE">
        <w:rPr>
          <w:rFonts w:ascii="Times New Roman" w:hAnsi="Times New Roman"/>
          <w:bCs/>
          <w:sz w:val="24"/>
          <w:szCs w:val="24"/>
        </w:rPr>
        <w:t>lexing</w:t>
      </w:r>
      <w:proofErr w:type="spellEnd"/>
      <w:r w:rsidRPr="004236BE">
        <w:rPr>
          <w:rFonts w:ascii="Times New Roman" w:hAnsi="Times New Roman"/>
          <w:bCs/>
          <w:sz w:val="24"/>
          <w:szCs w:val="24"/>
        </w:rPr>
        <w:t xml:space="preserve"> both ankles and standing on his “tippy toes,” without appearing to be in pain. Ekstrom recorded video during his surveillance, and a DVD of that video was admitted into evidence. </w:t>
      </w:r>
    </w:p>
    <w:p w14:paraId="7055DB2A" w14:textId="77777777" w:rsidR="00C9355B" w:rsidRPr="004236BE" w:rsidRDefault="00C9355B" w:rsidP="00C9355B">
      <w:pPr>
        <w:spacing w:before="100" w:beforeAutospacing="1" w:after="100" w:afterAutospacing="1"/>
        <w:ind w:left="720"/>
        <w:rPr>
          <w:rFonts w:ascii="Times New Roman" w:eastAsia="Times New Roman" w:hAnsi="Times New Roman"/>
          <w:b/>
          <w:bCs/>
          <w:sz w:val="24"/>
          <w:szCs w:val="24"/>
        </w:rPr>
      </w:pPr>
      <w:r w:rsidRPr="004236BE">
        <w:rPr>
          <w:rFonts w:ascii="Times New Roman" w:hAnsi="Times New Roman"/>
          <w:bCs/>
          <w:sz w:val="24"/>
          <w:szCs w:val="24"/>
        </w:rPr>
        <w:t>***</w:t>
      </w:r>
    </w:p>
    <w:p w14:paraId="28C5D119" w14:textId="77777777" w:rsidR="00C9355B" w:rsidRPr="004236BE" w:rsidRDefault="00C9355B" w:rsidP="00C9355B">
      <w:pPr>
        <w:pStyle w:val="NoSpacing"/>
        <w:ind w:left="720"/>
        <w:rPr>
          <w:rFonts w:ascii="Times New Roman" w:hAnsi="Times New Roman"/>
          <w:b/>
          <w:bCs/>
          <w:sz w:val="24"/>
          <w:szCs w:val="24"/>
        </w:rPr>
      </w:pPr>
      <w:r w:rsidRPr="004236BE">
        <w:rPr>
          <w:rFonts w:ascii="Times New Roman" w:hAnsi="Times New Roman"/>
          <w:bCs/>
          <w:sz w:val="24"/>
          <w:szCs w:val="24"/>
        </w:rPr>
        <w:t xml:space="preserve">The Commission found the claimant’s testimony not credible and found his ‘subjective complaints’ of pain ‘questionable’ based on his ankle and foot MRIs, which did not reveal any acute pathology, as well as the testimonies of both [HR employee] Majda and Eriksom, who observed the claimant, subsequent to November 8, 2014, weightlifting and walking normally without assistance or apparent pain.” </w:t>
      </w:r>
      <w:hyperlink r:id="rId1289" w:history="1">
        <w:r w:rsidRPr="004236BE">
          <w:rPr>
            <w:rStyle w:val="Hyperlink"/>
            <w:rFonts w:ascii="Times New Roman" w:hAnsi="Times New Roman"/>
            <w:b/>
            <w:sz w:val="24"/>
            <w:szCs w:val="24"/>
          </w:rPr>
          <w:t>https://courts.illinois.gov/R23_Orders/WorkersComp/2020/1190373WC_R23.pdf</w:t>
        </w:r>
      </w:hyperlink>
      <w:r w:rsidRPr="004236BE">
        <w:rPr>
          <w:rFonts w:ascii="Times New Roman" w:hAnsi="Times New Roman"/>
          <w:bCs/>
          <w:sz w:val="24"/>
          <w:szCs w:val="24"/>
        </w:rPr>
        <w:t xml:space="preserve"> </w:t>
      </w:r>
    </w:p>
    <w:p w14:paraId="68909A50" w14:textId="77777777" w:rsidR="00C9355B" w:rsidRDefault="00C9355B" w:rsidP="00C9355B">
      <w:pPr>
        <w:pStyle w:val="NoSpacing"/>
        <w:tabs>
          <w:tab w:val="left" w:pos="3210"/>
        </w:tabs>
        <w:rPr>
          <w:rFonts w:ascii="Times New Roman" w:hAnsi="Times New Roman"/>
          <w:b/>
          <w:bCs/>
          <w:sz w:val="24"/>
          <w:szCs w:val="24"/>
        </w:rPr>
      </w:pPr>
    </w:p>
    <w:p w14:paraId="5F243CEE" w14:textId="0C425A58" w:rsidR="00C9355B" w:rsidRPr="004236BE" w:rsidRDefault="00C9355B" w:rsidP="00C9355B">
      <w:pPr>
        <w:pStyle w:val="NoSpacing"/>
        <w:tabs>
          <w:tab w:val="left" w:pos="3210"/>
        </w:tabs>
        <w:rPr>
          <w:rFonts w:ascii="Times New Roman" w:hAnsi="Times New Roman"/>
          <w:b/>
          <w:bCs/>
          <w:sz w:val="24"/>
          <w:szCs w:val="24"/>
        </w:rPr>
      </w:pPr>
      <w:r w:rsidRPr="004236BE">
        <w:rPr>
          <w:rFonts w:ascii="Times New Roman" w:hAnsi="Times New Roman"/>
          <w:b/>
          <w:bCs/>
          <w:sz w:val="24"/>
          <w:szCs w:val="24"/>
        </w:rPr>
        <w:t>Legal Lessons Learned:  The private investigator’s video, and the report of the independent medical examiner</w:t>
      </w:r>
      <w:r>
        <w:rPr>
          <w:rFonts w:ascii="Times New Roman" w:hAnsi="Times New Roman"/>
          <w:b/>
          <w:bCs/>
          <w:sz w:val="24"/>
          <w:szCs w:val="24"/>
        </w:rPr>
        <w:t>, and testimony by HR employee, all</w:t>
      </w:r>
      <w:r w:rsidRPr="004236BE">
        <w:rPr>
          <w:rFonts w:ascii="Times New Roman" w:hAnsi="Times New Roman"/>
          <w:b/>
          <w:bCs/>
          <w:sz w:val="24"/>
          <w:szCs w:val="24"/>
        </w:rPr>
        <w:t xml:space="preserve"> led to denial of the claim. </w:t>
      </w:r>
    </w:p>
    <w:p w14:paraId="6D995B25" w14:textId="77777777" w:rsidR="00C9355B" w:rsidRDefault="00C9355B" w:rsidP="00A06387">
      <w:pPr>
        <w:pStyle w:val="NoSpacing"/>
        <w:rPr>
          <w:rFonts w:ascii="Arial Black" w:hAnsi="Arial Black"/>
          <w:sz w:val="28"/>
          <w:szCs w:val="28"/>
        </w:rPr>
      </w:pPr>
    </w:p>
    <w:p w14:paraId="27D8882C" w14:textId="38ECBFAD" w:rsidR="00C9355B" w:rsidRDefault="00C9355B" w:rsidP="00A06387">
      <w:pPr>
        <w:pStyle w:val="NoSpacing"/>
        <w:rPr>
          <w:rFonts w:ascii="Arial Black" w:hAnsi="Arial Black"/>
          <w:sz w:val="28"/>
          <w:szCs w:val="28"/>
        </w:rPr>
      </w:pPr>
    </w:p>
    <w:p w14:paraId="6D821275" w14:textId="320AFEB4" w:rsidR="00C9355B" w:rsidRDefault="00C9355B" w:rsidP="00A06387">
      <w:pPr>
        <w:pStyle w:val="NoSpacing"/>
        <w:rPr>
          <w:rFonts w:ascii="Arial Black" w:hAnsi="Arial Black"/>
          <w:sz w:val="28"/>
          <w:szCs w:val="28"/>
        </w:rPr>
      </w:pPr>
    </w:p>
    <w:p w14:paraId="6AD9FDF4" w14:textId="77777777" w:rsidR="00C9355B" w:rsidRDefault="00C9355B" w:rsidP="00A06387">
      <w:pPr>
        <w:pStyle w:val="NoSpacing"/>
        <w:rPr>
          <w:rFonts w:ascii="Arial Black" w:hAnsi="Arial Black"/>
          <w:sz w:val="28"/>
          <w:szCs w:val="28"/>
        </w:rPr>
      </w:pPr>
    </w:p>
    <w:p w14:paraId="1BB8B635" w14:textId="77777777" w:rsidR="00F27CD5" w:rsidRDefault="00F27CD5" w:rsidP="00A06387">
      <w:pPr>
        <w:pStyle w:val="NoSpacing"/>
        <w:rPr>
          <w:rFonts w:ascii="Arial Black" w:hAnsi="Arial Black"/>
          <w:sz w:val="28"/>
          <w:szCs w:val="28"/>
        </w:rPr>
      </w:pPr>
    </w:p>
    <w:p w14:paraId="35303F2E" w14:textId="4AB1A2A0" w:rsidR="007C6FEF" w:rsidRDefault="007C6FEF" w:rsidP="00A06387">
      <w:pPr>
        <w:pStyle w:val="NoSpacing"/>
        <w:rPr>
          <w:rFonts w:ascii="Arial Black" w:hAnsi="Arial Black"/>
          <w:sz w:val="28"/>
          <w:szCs w:val="28"/>
        </w:rPr>
      </w:pPr>
      <w:r>
        <w:rPr>
          <w:rFonts w:ascii="Arial Black" w:hAnsi="Arial Black"/>
          <w:sz w:val="28"/>
          <w:szCs w:val="28"/>
        </w:rPr>
        <w:t>6-28</w:t>
      </w:r>
    </w:p>
    <w:p w14:paraId="526835EF" w14:textId="5C60C775" w:rsidR="007C6FEF" w:rsidRDefault="007C6FEF" w:rsidP="00A06387">
      <w:pPr>
        <w:pStyle w:val="NoSpacing"/>
        <w:rPr>
          <w:rFonts w:ascii="Arial Black" w:hAnsi="Arial Black"/>
          <w:sz w:val="28"/>
          <w:szCs w:val="28"/>
        </w:rPr>
      </w:pPr>
    </w:p>
    <w:p w14:paraId="6B8E3B07" w14:textId="77777777" w:rsidR="007C6FEF" w:rsidRPr="00B01F90" w:rsidRDefault="007C6FEF" w:rsidP="007C6FEF">
      <w:pPr>
        <w:rPr>
          <w:rFonts w:ascii="Arial Black" w:hAnsi="Arial Black"/>
          <w:sz w:val="28"/>
          <w:szCs w:val="28"/>
        </w:rPr>
      </w:pPr>
      <w:r w:rsidRPr="00B01F90">
        <w:rPr>
          <w:rFonts w:ascii="Arial Black" w:hAnsi="Arial Black"/>
          <w:sz w:val="28"/>
          <w:szCs w:val="28"/>
        </w:rPr>
        <w:t>PA</w:t>
      </w:r>
      <w:r>
        <w:rPr>
          <w:rFonts w:ascii="Arial Black" w:hAnsi="Arial Black"/>
          <w:sz w:val="28"/>
          <w:szCs w:val="28"/>
        </w:rPr>
        <w:t xml:space="preserve">: </w:t>
      </w:r>
      <w:r w:rsidRPr="00B01F90">
        <w:rPr>
          <w:rFonts w:ascii="Arial Black" w:hAnsi="Arial Black"/>
          <w:sz w:val="28"/>
          <w:szCs w:val="28"/>
        </w:rPr>
        <w:t>PHIL</w:t>
      </w:r>
      <w:r>
        <w:rPr>
          <w:rFonts w:ascii="Arial Black" w:hAnsi="Arial Black"/>
          <w:sz w:val="28"/>
          <w:szCs w:val="28"/>
        </w:rPr>
        <w:t xml:space="preserve">ADEPHIA </w:t>
      </w:r>
      <w:r w:rsidRPr="00B01F90">
        <w:rPr>
          <w:rFonts w:ascii="Arial Black" w:hAnsi="Arial Black"/>
          <w:sz w:val="28"/>
          <w:szCs w:val="28"/>
        </w:rPr>
        <w:t xml:space="preserve">FF WITH LUNG CANCER – SMOKER </w:t>
      </w:r>
      <w:r>
        <w:rPr>
          <w:rFonts w:ascii="Arial Black" w:hAnsi="Arial Black"/>
          <w:sz w:val="28"/>
          <w:szCs w:val="28"/>
        </w:rPr>
        <w:t>–</w:t>
      </w:r>
      <w:r w:rsidRPr="00B01F90">
        <w:rPr>
          <w:rFonts w:ascii="Arial Black" w:hAnsi="Arial Black"/>
          <w:sz w:val="28"/>
          <w:szCs w:val="28"/>
        </w:rPr>
        <w:t xml:space="preserve"> </w:t>
      </w:r>
      <w:r>
        <w:rPr>
          <w:rFonts w:ascii="Arial Black" w:hAnsi="Arial Black"/>
          <w:sz w:val="28"/>
          <w:szCs w:val="28"/>
        </w:rPr>
        <w:t xml:space="preserve">WILL RECEIVE WORKERS COMP BENEFITS – 2011 </w:t>
      </w:r>
      <w:r w:rsidRPr="00B01F90">
        <w:rPr>
          <w:rFonts w:ascii="Arial Black" w:hAnsi="Arial Black"/>
          <w:sz w:val="28"/>
          <w:szCs w:val="28"/>
        </w:rPr>
        <w:t>STATUTORY PRESUMPTION</w:t>
      </w:r>
      <w:r>
        <w:rPr>
          <w:rFonts w:ascii="Arial Black" w:hAnsi="Arial Black"/>
          <w:sz w:val="28"/>
          <w:szCs w:val="28"/>
        </w:rPr>
        <w:t xml:space="preserve"> LAW</w:t>
      </w:r>
    </w:p>
    <w:p w14:paraId="4A7B614C" w14:textId="77777777" w:rsidR="007C6FEF" w:rsidRDefault="007C6FEF" w:rsidP="007C6FEF">
      <w:pPr>
        <w:rPr>
          <w:rFonts w:ascii="Times New Roman" w:hAnsi="Times New Roman"/>
          <w:sz w:val="24"/>
          <w:szCs w:val="24"/>
        </w:rPr>
      </w:pPr>
      <w:r w:rsidRPr="00B01F90">
        <w:rPr>
          <w:rFonts w:ascii="Times New Roman" w:hAnsi="Times New Roman"/>
          <w:sz w:val="24"/>
          <w:szCs w:val="24"/>
        </w:rPr>
        <w:t xml:space="preserve">On Jan. 3, 2020, in </w:t>
      </w:r>
      <w:r w:rsidRPr="00B01F90">
        <w:rPr>
          <w:rFonts w:ascii="Times New Roman" w:hAnsi="Times New Roman"/>
          <w:sz w:val="24"/>
          <w:szCs w:val="24"/>
          <w:u w:val="single"/>
        </w:rPr>
        <w:t>Wayne Deloatch v. Workers’ Compensation Appeal Board (City of Philadelphia)</w:t>
      </w:r>
      <w:r>
        <w:rPr>
          <w:rFonts w:ascii="Times New Roman" w:hAnsi="Times New Roman"/>
          <w:sz w:val="24"/>
          <w:szCs w:val="24"/>
        </w:rPr>
        <w:t xml:space="preserve">, the Commonwealth Court of Pennsylvania held (3 to 0) that the firefighter is entitled to benefits.  </w:t>
      </w:r>
    </w:p>
    <w:p w14:paraId="7A506DDB" w14:textId="77777777" w:rsidR="007C6FEF" w:rsidRPr="00F56F6D" w:rsidRDefault="007C6FEF" w:rsidP="007C6FEF">
      <w:pPr>
        <w:spacing w:before="100" w:beforeAutospacing="1" w:after="100" w:afterAutospacing="1" w:line="240" w:lineRule="auto"/>
        <w:ind w:left="720"/>
        <w:rPr>
          <w:rFonts w:ascii="Times New Roman" w:eastAsia="Times New Roman" w:hAnsi="Times New Roman"/>
          <w:sz w:val="24"/>
          <w:szCs w:val="24"/>
        </w:rPr>
      </w:pPr>
      <w:r w:rsidRPr="00B01F90">
        <w:rPr>
          <w:rFonts w:ascii="Times New Roman" w:eastAsia="Times New Roman" w:hAnsi="Times New Roman"/>
          <w:sz w:val="24"/>
          <w:szCs w:val="24"/>
        </w:rPr>
        <w:t>“</w:t>
      </w:r>
      <w:r w:rsidRPr="00B01F90">
        <w:rPr>
          <w:rFonts w:ascii="Times New Roman" w:hAnsi="Times New Roman"/>
          <w:sz w:val="24"/>
          <w:szCs w:val="24"/>
        </w:rPr>
        <w:t>During Claimant's firefighting career (20 years), he fought approximately 200-300 fires, including building, house, car, dumpster, trash, grass, and field fires, which exposed him to smoke.</w:t>
      </w:r>
      <w:r>
        <w:rPr>
          <w:rFonts w:ascii="Times New Roman" w:hAnsi="Times New Roman"/>
          <w:sz w:val="24"/>
          <w:szCs w:val="24"/>
        </w:rPr>
        <w:t xml:space="preserve"> *** </w:t>
      </w:r>
      <w:r w:rsidRPr="00B01F90">
        <w:rPr>
          <w:rFonts w:ascii="Times New Roman" w:eastAsia="Times New Roman" w:hAnsi="Times New Roman"/>
          <w:sz w:val="24"/>
          <w:szCs w:val="24"/>
        </w:rPr>
        <w:t>Claimant did not use the SCBA during exterior firefighting—</w:t>
      </w:r>
      <w:r w:rsidRPr="00B01F90">
        <w:rPr>
          <w:rFonts w:ascii="Times New Roman" w:eastAsia="Times New Roman" w:hAnsi="Times New Roman"/>
          <w:i/>
          <w:iCs/>
          <w:sz w:val="24"/>
          <w:szCs w:val="24"/>
        </w:rPr>
        <w:t>i</w:t>
      </w:r>
      <w:r w:rsidRPr="00B01F90">
        <w:rPr>
          <w:rFonts w:ascii="Times New Roman" w:eastAsia="Times New Roman" w:hAnsi="Times New Roman"/>
          <w:sz w:val="24"/>
          <w:szCs w:val="24"/>
        </w:rPr>
        <w:t>.</w:t>
      </w:r>
      <w:r w:rsidRPr="00B01F90">
        <w:rPr>
          <w:rFonts w:ascii="Times New Roman" w:eastAsia="Times New Roman" w:hAnsi="Times New Roman"/>
          <w:i/>
          <w:iCs/>
          <w:sz w:val="24"/>
          <w:szCs w:val="24"/>
        </w:rPr>
        <w:t>e</w:t>
      </w:r>
      <w:r w:rsidRPr="00B01F90">
        <w:rPr>
          <w:rFonts w:ascii="Times New Roman" w:eastAsia="Times New Roman" w:hAnsi="Times New Roman"/>
          <w:sz w:val="24"/>
          <w:szCs w:val="24"/>
        </w:rPr>
        <w:t xml:space="preserve">., outdoor firefighting—or overhaul, which entailed </w:t>
      </w:r>
      <w:r>
        <w:rPr>
          <w:rFonts w:ascii="Times New Roman" w:eastAsia="Times New Roman" w:hAnsi="Times New Roman"/>
          <w:sz w:val="24"/>
          <w:szCs w:val="24"/>
        </w:rPr>
        <w:t>‘</w:t>
      </w:r>
      <w:r w:rsidRPr="00B01F90">
        <w:rPr>
          <w:rFonts w:ascii="Times New Roman" w:eastAsia="Times New Roman" w:hAnsi="Times New Roman"/>
          <w:sz w:val="24"/>
          <w:szCs w:val="24"/>
        </w:rPr>
        <w:t>ripping of walls, ceilings, searching for any hidden fire and extinguishing that if it's visible.</w:t>
      </w:r>
      <w:r>
        <w:rPr>
          <w:rFonts w:ascii="Times New Roman" w:eastAsia="Times New Roman" w:hAnsi="Times New Roman"/>
          <w:sz w:val="24"/>
          <w:szCs w:val="24"/>
        </w:rPr>
        <w:t xml:space="preserve">’… </w:t>
      </w:r>
      <w:r w:rsidRPr="00B01F90">
        <w:rPr>
          <w:rFonts w:ascii="Times New Roman" w:eastAsia="Times New Roman" w:hAnsi="Times New Roman"/>
          <w:sz w:val="24"/>
          <w:szCs w:val="24"/>
        </w:rPr>
        <w:t xml:space="preserve">After exposure to each fire incident, Claimant's body would be coated in soot, and Claimant would often </w:t>
      </w:r>
      <w:r w:rsidRPr="00B01F90">
        <w:rPr>
          <w:rFonts w:ascii="Times New Roman" w:eastAsia="Times New Roman" w:hAnsi="Times New Roman"/>
          <w:sz w:val="24"/>
          <w:szCs w:val="24"/>
        </w:rPr>
        <w:lastRenderedPageBreak/>
        <w:t>find soot in his nasal secretions up to a week after exposure</w:t>
      </w:r>
      <w:r>
        <w:rPr>
          <w:rFonts w:ascii="Times New Roman" w:eastAsia="Times New Roman" w:hAnsi="Times New Roman"/>
          <w:sz w:val="24"/>
          <w:szCs w:val="24"/>
        </w:rPr>
        <w:t xml:space="preserve">…. </w:t>
      </w:r>
      <w:r w:rsidRPr="00B01F90">
        <w:rPr>
          <w:rFonts w:ascii="Times New Roman" w:eastAsia="Times New Roman" w:hAnsi="Times New Roman"/>
          <w:sz w:val="24"/>
          <w:szCs w:val="24"/>
        </w:rPr>
        <w:t>Claimant further testified that he stopped smoking cigarettes in 2011, but had a 30 to 35-year-long smoking history</w:t>
      </w:r>
      <w:r>
        <w:rPr>
          <w:rFonts w:ascii="Times New Roman" w:eastAsia="Times New Roman" w:hAnsi="Times New Roman"/>
          <w:sz w:val="24"/>
          <w:szCs w:val="24"/>
        </w:rPr>
        <w:t xml:space="preserve">… </w:t>
      </w:r>
      <w:r w:rsidRPr="00B01F90">
        <w:rPr>
          <w:rFonts w:ascii="Times New Roman" w:eastAsia="Times New Roman" w:hAnsi="Times New Roman"/>
          <w:sz w:val="24"/>
          <w:szCs w:val="24"/>
        </w:rPr>
        <w:t>During that period, Claimant recalled smoking only one pack of cigarettes per week</w:t>
      </w:r>
      <w:r>
        <w:rPr>
          <w:rFonts w:ascii="Times New Roman" w:eastAsia="Times New Roman" w:hAnsi="Times New Roman"/>
          <w:sz w:val="24"/>
          <w:szCs w:val="24"/>
        </w:rPr>
        <w:t xml:space="preserve">…. </w:t>
      </w:r>
      <w:r w:rsidRPr="00B01F90">
        <w:rPr>
          <w:rFonts w:ascii="Times New Roman" w:eastAsia="Times New Roman" w:hAnsi="Times New Roman"/>
          <w:sz w:val="24"/>
          <w:szCs w:val="24"/>
        </w:rPr>
        <w:t xml:space="preserve">Firefighters were permitted to smoke in the fire stations, and Claimant worked with smokers during his career as a firefighter. </w:t>
      </w:r>
      <w:r>
        <w:rPr>
          <w:rFonts w:ascii="Times New Roman" w:eastAsia="Times New Roman" w:hAnsi="Times New Roman"/>
          <w:sz w:val="24"/>
          <w:szCs w:val="24"/>
        </w:rPr>
        <w:t xml:space="preserve">*** </w:t>
      </w:r>
      <w:r w:rsidRPr="00F56F6D">
        <w:rPr>
          <w:rFonts w:ascii="Times New Roman" w:eastAsia="Times New Roman" w:hAnsi="Times New Roman"/>
          <w:sz w:val="24"/>
          <w:szCs w:val="24"/>
        </w:rPr>
        <w:t>For the reasons set forth above, Claimant established that he was entitled to the statutory presumption under Section 301(f) of the Act, being that his lung cancer was caused by the occupation of firefighting. Employer failed to rebut the statutory presumption with substantial competent evidence that Claimant's</w:t>
      </w:r>
      <w:r>
        <w:rPr>
          <w:rFonts w:ascii="Times New Roman" w:eastAsia="Times New Roman" w:hAnsi="Times New Roman"/>
          <w:sz w:val="24"/>
          <w:szCs w:val="24"/>
        </w:rPr>
        <w:t xml:space="preserve"> </w:t>
      </w:r>
      <w:r w:rsidRPr="00F56F6D">
        <w:rPr>
          <w:rFonts w:ascii="Times New Roman" w:eastAsia="Times New Roman" w:hAnsi="Times New Roman"/>
          <w:sz w:val="24"/>
          <w:szCs w:val="24"/>
        </w:rPr>
        <w:t xml:space="preserve">cancer was caused by something other than his workplace exposure to IARC Group 1 carcinogens linked to lung cancer. </w:t>
      </w:r>
      <w:hyperlink r:id="rId1290" w:history="1">
        <w:r w:rsidRPr="00B01F90">
          <w:rPr>
            <w:rStyle w:val="Hyperlink"/>
            <w:rFonts w:ascii="Times New Roman" w:eastAsia="Times New Roman" w:hAnsi="Times New Roman"/>
            <w:sz w:val="24"/>
            <w:szCs w:val="24"/>
          </w:rPr>
          <w:t>https://public.fastcase.com/Wl%2B2t%2BeVuI35%2FN70vAMFZi2NtCwkTvdiKyrWKXTmtjwARSxGp50rXf7QoqUpwr%2BO</w:t>
        </w:r>
      </w:hyperlink>
      <w:r w:rsidRPr="00B01F90">
        <w:rPr>
          <w:rFonts w:ascii="Times New Roman" w:eastAsia="Times New Roman" w:hAnsi="Times New Roman"/>
          <w:sz w:val="24"/>
          <w:szCs w:val="24"/>
        </w:rPr>
        <w:t xml:space="preserve"> </w:t>
      </w:r>
    </w:p>
    <w:p w14:paraId="07D0AD1F" w14:textId="77777777" w:rsidR="007C6FEF" w:rsidRDefault="007C6FEF" w:rsidP="00A06387">
      <w:pPr>
        <w:pStyle w:val="NoSpacing"/>
        <w:rPr>
          <w:rFonts w:ascii="Arial Black" w:hAnsi="Arial Black"/>
          <w:sz w:val="28"/>
          <w:szCs w:val="28"/>
        </w:rPr>
      </w:pPr>
    </w:p>
    <w:p w14:paraId="3F6E0C59" w14:textId="77777777" w:rsidR="007C6FEF" w:rsidRDefault="007C6FEF" w:rsidP="00A06387">
      <w:pPr>
        <w:pStyle w:val="NoSpacing"/>
        <w:rPr>
          <w:rFonts w:ascii="Arial Black" w:hAnsi="Arial Black"/>
          <w:sz w:val="28"/>
          <w:szCs w:val="28"/>
        </w:rPr>
      </w:pPr>
    </w:p>
    <w:p w14:paraId="54CC9EBF" w14:textId="77777777" w:rsidR="007C6FEF" w:rsidRDefault="007C6FEF" w:rsidP="00A06387">
      <w:pPr>
        <w:pStyle w:val="NoSpacing"/>
        <w:rPr>
          <w:rFonts w:ascii="Arial Black" w:hAnsi="Arial Black"/>
          <w:sz w:val="28"/>
          <w:szCs w:val="28"/>
        </w:rPr>
      </w:pPr>
    </w:p>
    <w:p w14:paraId="1BF140C3" w14:textId="7BDC7DA2" w:rsidR="007C6FEF" w:rsidRDefault="007C6FEF" w:rsidP="00A06387">
      <w:pPr>
        <w:pStyle w:val="NoSpacing"/>
        <w:rPr>
          <w:rFonts w:ascii="Arial Black" w:hAnsi="Arial Black"/>
          <w:sz w:val="28"/>
          <w:szCs w:val="28"/>
        </w:rPr>
      </w:pPr>
      <w:r>
        <w:rPr>
          <w:rFonts w:ascii="Arial Black" w:hAnsi="Arial Black"/>
          <w:sz w:val="28"/>
          <w:szCs w:val="28"/>
        </w:rPr>
        <w:t>6-27</w:t>
      </w:r>
    </w:p>
    <w:p w14:paraId="2FD1BD7D" w14:textId="3EF71137" w:rsidR="007C6FEF" w:rsidRDefault="007C6FEF" w:rsidP="007C6FEF">
      <w:pPr>
        <w:rPr>
          <w:rFonts w:ascii="Arial Black" w:hAnsi="Arial Black"/>
          <w:sz w:val="28"/>
          <w:szCs w:val="28"/>
        </w:rPr>
      </w:pPr>
      <w:r w:rsidRPr="00407E0E">
        <w:rPr>
          <w:rFonts w:ascii="Arial Black" w:hAnsi="Arial Black"/>
          <w:sz w:val="28"/>
          <w:szCs w:val="28"/>
        </w:rPr>
        <w:t>RI:</w:t>
      </w:r>
      <w:r>
        <w:rPr>
          <w:rFonts w:ascii="Arial Black" w:hAnsi="Arial Black"/>
          <w:sz w:val="28"/>
          <w:szCs w:val="28"/>
        </w:rPr>
        <w:t xml:space="preserve"> CRANSTON FF – 20 YRS ON FD - DIED COLON CANCER 2017 – RI SUPREME COURT DENIES WIDOW ACCIDENTAL DISABILITY PENSION</w:t>
      </w:r>
    </w:p>
    <w:p w14:paraId="1C5F38B5" w14:textId="77777777" w:rsidR="007C6FEF" w:rsidRDefault="007C6FEF" w:rsidP="007C6FEF">
      <w:pPr>
        <w:rPr>
          <w:b/>
          <w:bCs/>
        </w:rPr>
      </w:pPr>
      <w:r w:rsidRPr="00212873">
        <w:rPr>
          <w:rFonts w:ascii="Times New Roman" w:hAnsi="Times New Roman"/>
          <w:sz w:val="24"/>
          <w:szCs w:val="24"/>
        </w:rPr>
        <w:t xml:space="preserve">On Dec. 18, </w:t>
      </w:r>
      <w:proofErr w:type="gramStart"/>
      <w:r w:rsidRPr="00212873">
        <w:rPr>
          <w:rFonts w:ascii="Times New Roman" w:hAnsi="Times New Roman"/>
          <w:sz w:val="24"/>
          <w:szCs w:val="24"/>
        </w:rPr>
        <w:t>2019</w:t>
      </w:r>
      <w:proofErr w:type="gramEnd"/>
      <w:r w:rsidRPr="00212873">
        <w:rPr>
          <w:rFonts w:ascii="Times New Roman" w:hAnsi="Times New Roman"/>
          <w:sz w:val="24"/>
          <w:szCs w:val="24"/>
        </w:rPr>
        <w:t xml:space="preserve"> in </w:t>
      </w:r>
      <w:r w:rsidRPr="00212873">
        <w:rPr>
          <w:rFonts w:ascii="Times New Roman" w:hAnsi="Times New Roman"/>
          <w:sz w:val="24"/>
          <w:szCs w:val="24"/>
          <w:u w:val="single"/>
        </w:rPr>
        <w:t>Corrine A. Lang as Executrix of Estate of Kevin Land v. Municipal Employees’ Retirement System of Rhode Island</w:t>
      </w:r>
      <w:r w:rsidRPr="00212873">
        <w:rPr>
          <w:rFonts w:ascii="Times New Roman" w:hAnsi="Times New Roman"/>
          <w:sz w:val="24"/>
          <w:szCs w:val="24"/>
        </w:rPr>
        <w:t xml:space="preserve">, the Supreme Court of Rode Island </w:t>
      </w:r>
      <w:r>
        <w:rPr>
          <w:rFonts w:ascii="Times New Roman" w:hAnsi="Times New Roman"/>
          <w:sz w:val="24"/>
          <w:szCs w:val="24"/>
        </w:rPr>
        <w:t xml:space="preserve">ruled </w:t>
      </w:r>
      <w:r w:rsidRPr="00212873">
        <w:rPr>
          <w:rFonts w:ascii="Times New Roman" w:hAnsi="Times New Roman"/>
          <w:sz w:val="24"/>
          <w:szCs w:val="24"/>
        </w:rPr>
        <w:t>(4 to 1)</w:t>
      </w:r>
      <w:r>
        <w:rPr>
          <w:rFonts w:ascii="Times New Roman" w:hAnsi="Times New Roman"/>
          <w:sz w:val="24"/>
          <w:szCs w:val="24"/>
        </w:rPr>
        <w:t xml:space="preserve"> that the widow was not entitled to an award of accidental disability benefits, reversing the </w:t>
      </w:r>
      <w:r w:rsidRPr="00212873">
        <w:rPr>
          <w:rFonts w:ascii="Times New Roman" w:hAnsi="Times New Roman"/>
          <w:sz w:val="24"/>
          <w:szCs w:val="24"/>
        </w:rPr>
        <w:t>Appellate Division of the Workers’ Compensation Court</w:t>
      </w:r>
      <w:r>
        <w:rPr>
          <w:rFonts w:ascii="Times New Roman" w:hAnsi="Times New Roman"/>
          <w:sz w:val="24"/>
          <w:szCs w:val="24"/>
        </w:rPr>
        <w:t>.</w:t>
      </w:r>
    </w:p>
    <w:p w14:paraId="0E961C8B" w14:textId="0C0F387F" w:rsidR="007C6FEF" w:rsidRDefault="007C6FEF" w:rsidP="009F1927">
      <w:pPr>
        <w:pStyle w:val="NoSpacing"/>
        <w:ind w:left="720"/>
        <w:rPr>
          <w:rFonts w:ascii="Arial Black" w:hAnsi="Arial Black"/>
          <w:sz w:val="28"/>
          <w:szCs w:val="28"/>
        </w:rPr>
      </w:pPr>
      <w:r>
        <w:rPr>
          <w:rFonts w:ascii="Times New Roman" w:hAnsi="Times New Roman"/>
          <w:sz w:val="24"/>
          <w:szCs w:val="24"/>
        </w:rPr>
        <w:t>“</w:t>
      </w:r>
      <w:r w:rsidRPr="00212873">
        <w:rPr>
          <w:rFonts w:ascii="Times New Roman" w:hAnsi="Times New Roman"/>
          <w:sz w:val="24"/>
          <w:szCs w:val="24"/>
        </w:rPr>
        <w:t>To conclude that the language in § 45-19.1-1 creates a conclusive presumption would not only render the statutory definition of occupational cancer in § 45-19.1-2(d) meaningless</w:t>
      </w:r>
      <w:r>
        <w:rPr>
          <w:rFonts w:ascii="Times New Roman" w:hAnsi="Times New Roman"/>
          <w:sz w:val="24"/>
          <w:szCs w:val="24"/>
        </w:rPr>
        <w:t xml:space="preserve"> </w:t>
      </w:r>
      <w:r w:rsidRPr="00212873">
        <w:rPr>
          <w:rFonts w:ascii="Times New Roman" w:hAnsi="Times New Roman"/>
          <w:sz w:val="24"/>
          <w:szCs w:val="24"/>
        </w:rPr>
        <w:t xml:space="preserve">and create a right not found within the </w:t>
      </w:r>
      <w:proofErr w:type="gramStart"/>
      <w:r w:rsidRPr="00212873">
        <w:rPr>
          <w:rFonts w:ascii="Times New Roman" w:hAnsi="Times New Roman"/>
          <w:sz w:val="24"/>
          <w:szCs w:val="24"/>
        </w:rPr>
        <w:t>statute,</w:t>
      </w:r>
      <w:r>
        <w:rPr>
          <w:rFonts w:ascii="Times New Roman" w:hAnsi="Times New Roman"/>
          <w:sz w:val="24"/>
          <w:szCs w:val="24"/>
        </w:rPr>
        <w:t xml:space="preserve"> </w:t>
      </w:r>
      <w:r w:rsidRPr="00212873">
        <w:rPr>
          <w:rFonts w:ascii="Times New Roman" w:hAnsi="Times New Roman"/>
          <w:sz w:val="24"/>
          <w:szCs w:val="24"/>
        </w:rPr>
        <w:t>but</w:t>
      </w:r>
      <w:proofErr w:type="gramEnd"/>
      <w:r w:rsidRPr="00212873">
        <w:rPr>
          <w:rFonts w:ascii="Times New Roman" w:hAnsi="Times New Roman"/>
          <w:sz w:val="24"/>
          <w:szCs w:val="24"/>
        </w:rPr>
        <w:t xml:space="preserve"> would also construe the statute to reach an absurd result. For example, a conclusive presumption that all cancers in firefighters are occupational cancers would mean that a firefighter who</w:t>
      </w:r>
      <w:r>
        <w:rPr>
          <w:rFonts w:ascii="Times New Roman" w:hAnsi="Times New Roman"/>
          <w:sz w:val="24"/>
          <w:szCs w:val="24"/>
        </w:rPr>
        <w:t xml:space="preserve"> </w:t>
      </w:r>
      <w:r w:rsidRPr="00212873">
        <w:rPr>
          <w:rFonts w:ascii="Times New Roman" w:hAnsi="Times New Roman"/>
          <w:sz w:val="24"/>
          <w:szCs w:val="24"/>
        </w:rPr>
        <w:t>smoked four packs</w:t>
      </w:r>
      <w:r>
        <w:rPr>
          <w:rFonts w:ascii="Times New Roman" w:hAnsi="Times New Roman"/>
          <w:sz w:val="24"/>
          <w:szCs w:val="24"/>
        </w:rPr>
        <w:t xml:space="preserve"> </w:t>
      </w:r>
      <w:r w:rsidRPr="00212873">
        <w:rPr>
          <w:rFonts w:ascii="Times New Roman" w:hAnsi="Times New Roman"/>
          <w:sz w:val="24"/>
          <w:szCs w:val="24"/>
        </w:rPr>
        <w:t>of cigarettes a day</w:t>
      </w:r>
      <w:r>
        <w:rPr>
          <w:rFonts w:ascii="Times New Roman" w:hAnsi="Times New Roman"/>
          <w:sz w:val="24"/>
          <w:szCs w:val="24"/>
        </w:rPr>
        <w:t xml:space="preserve"> </w:t>
      </w:r>
      <w:r w:rsidRPr="00212873">
        <w:rPr>
          <w:rFonts w:ascii="Times New Roman" w:hAnsi="Times New Roman"/>
          <w:sz w:val="24"/>
          <w:szCs w:val="24"/>
        </w:rPr>
        <w:t>for decades</w:t>
      </w:r>
      <w:r>
        <w:rPr>
          <w:rFonts w:ascii="Times New Roman" w:hAnsi="Times New Roman"/>
          <w:sz w:val="24"/>
          <w:szCs w:val="24"/>
        </w:rPr>
        <w:t xml:space="preserve"> </w:t>
      </w:r>
      <w:r w:rsidRPr="00212873">
        <w:rPr>
          <w:rFonts w:ascii="Times New Roman" w:hAnsi="Times New Roman"/>
          <w:sz w:val="24"/>
          <w:szCs w:val="24"/>
        </w:rPr>
        <w:t>would receive an occupational cancer disability benefit despite not having proved</w:t>
      </w:r>
      <w:r>
        <w:rPr>
          <w:rFonts w:ascii="Times New Roman" w:hAnsi="Times New Roman"/>
          <w:sz w:val="24"/>
          <w:szCs w:val="24"/>
        </w:rPr>
        <w:t xml:space="preserve"> </w:t>
      </w:r>
      <w:r w:rsidRPr="00212873">
        <w:rPr>
          <w:rFonts w:ascii="Times New Roman" w:hAnsi="Times New Roman"/>
          <w:sz w:val="24"/>
          <w:szCs w:val="24"/>
        </w:rPr>
        <w:t>that his cancer was related</w:t>
      </w:r>
      <w:r>
        <w:rPr>
          <w:rFonts w:ascii="Times New Roman" w:hAnsi="Times New Roman"/>
          <w:sz w:val="24"/>
          <w:szCs w:val="24"/>
        </w:rPr>
        <w:t xml:space="preserve"> </w:t>
      </w:r>
      <w:r w:rsidRPr="00212873">
        <w:rPr>
          <w:rFonts w:ascii="Times New Roman" w:hAnsi="Times New Roman"/>
          <w:sz w:val="24"/>
          <w:szCs w:val="24"/>
        </w:rPr>
        <w:t>to exposure on the job.</w:t>
      </w:r>
      <w:r>
        <w:rPr>
          <w:rFonts w:ascii="Times New Roman" w:hAnsi="Times New Roman"/>
          <w:sz w:val="24"/>
          <w:szCs w:val="24"/>
        </w:rPr>
        <w:t xml:space="preserve"> </w:t>
      </w:r>
      <w:r w:rsidRPr="00212873">
        <w:rPr>
          <w:rFonts w:ascii="Times New Roman" w:hAnsi="Times New Roman"/>
          <w:sz w:val="24"/>
          <w:szCs w:val="24"/>
        </w:rPr>
        <w:t xml:space="preserve">Similarly, a conclusive presumption would provide occupational cancer benefits to a firefighter who contracted cancer </w:t>
      </w:r>
      <w:proofErr w:type="gramStart"/>
      <w:r w:rsidRPr="00212873">
        <w:rPr>
          <w:rFonts w:ascii="Times New Roman" w:hAnsi="Times New Roman"/>
          <w:sz w:val="24"/>
          <w:szCs w:val="24"/>
        </w:rPr>
        <w:t>as a result of</w:t>
      </w:r>
      <w:proofErr w:type="gramEnd"/>
      <w:r w:rsidRPr="00212873">
        <w:rPr>
          <w:rFonts w:ascii="Times New Roman" w:hAnsi="Times New Roman"/>
          <w:sz w:val="24"/>
          <w:szCs w:val="24"/>
        </w:rPr>
        <w:t xml:space="preserve"> exposure to</w:t>
      </w:r>
      <w:r>
        <w:rPr>
          <w:rFonts w:ascii="Times New Roman" w:hAnsi="Times New Roman"/>
          <w:sz w:val="24"/>
          <w:szCs w:val="24"/>
        </w:rPr>
        <w:t xml:space="preserve"> </w:t>
      </w:r>
      <w:r w:rsidRPr="00212873">
        <w:rPr>
          <w:rFonts w:ascii="Times New Roman" w:hAnsi="Times New Roman"/>
          <w:sz w:val="24"/>
          <w:szCs w:val="24"/>
        </w:rPr>
        <w:t>pesticides while landscaping in his</w:t>
      </w:r>
      <w:r>
        <w:rPr>
          <w:rFonts w:ascii="Times New Roman" w:hAnsi="Times New Roman"/>
          <w:sz w:val="24"/>
          <w:szCs w:val="24"/>
        </w:rPr>
        <w:t xml:space="preserve"> </w:t>
      </w:r>
      <w:r w:rsidRPr="00212873">
        <w:rPr>
          <w:rFonts w:ascii="Times New Roman" w:hAnsi="Times New Roman"/>
          <w:sz w:val="24"/>
          <w:szCs w:val="24"/>
        </w:rPr>
        <w:t>or her</w:t>
      </w:r>
      <w:r>
        <w:rPr>
          <w:rFonts w:ascii="Times New Roman" w:hAnsi="Times New Roman"/>
          <w:sz w:val="24"/>
          <w:szCs w:val="24"/>
        </w:rPr>
        <w:t xml:space="preserve"> </w:t>
      </w:r>
      <w:r w:rsidRPr="00212873">
        <w:rPr>
          <w:rFonts w:ascii="Times New Roman" w:hAnsi="Times New Roman"/>
          <w:sz w:val="24"/>
          <w:szCs w:val="24"/>
        </w:rPr>
        <w:t>yard.</w:t>
      </w:r>
      <w:r>
        <w:rPr>
          <w:rFonts w:ascii="Times New Roman" w:hAnsi="Times New Roman"/>
          <w:sz w:val="24"/>
          <w:szCs w:val="24"/>
        </w:rPr>
        <w:t xml:space="preserve"> </w:t>
      </w:r>
      <w:r w:rsidRPr="00212873">
        <w:rPr>
          <w:rFonts w:ascii="Times New Roman" w:hAnsi="Times New Roman"/>
          <w:sz w:val="24"/>
          <w:szCs w:val="24"/>
        </w:rPr>
        <w:t>We do not believe the General Assembly would have extended such broad</w:t>
      </w:r>
      <w:r>
        <w:rPr>
          <w:rFonts w:ascii="Times New Roman" w:hAnsi="Times New Roman"/>
          <w:sz w:val="24"/>
          <w:szCs w:val="24"/>
        </w:rPr>
        <w:t xml:space="preserve"> </w:t>
      </w:r>
      <w:r w:rsidRPr="00212873">
        <w:rPr>
          <w:rFonts w:ascii="Times New Roman" w:hAnsi="Times New Roman"/>
          <w:sz w:val="24"/>
          <w:szCs w:val="24"/>
        </w:rPr>
        <w:t>benefits to all firefighters without expressly providing for</w:t>
      </w:r>
      <w:r>
        <w:rPr>
          <w:rFonts w:ascii="Times New Roman" w:hAnsi="Times New Roman"/>
          <w:sz w:val="24"/>
          <w:szCs w:val="24"/>
        </w:rPr>
        <w:t xml:space="preserve"> </w:t>
      </w:r>
      <w:r w:rsidRPr="00212873">
        <w:rPr>
          <w:rFonts w:ascii="Times New Roman" w:hAnsi="Times New Roman"/>
          <w:sz w:val="24"/>
          <w:szCs w:val="24"/>
        </w:rPr>
        <w:t>such</w:t>
      </w:r>
      <w:r>
        <w:rPr>
          <w:rFonts w:ascii="Times New Roman" w:hAnsi="Times New Roman"/>
          <w:sz w:val="24"/>
          <w:szCs w:val="24"/>
        </w:rPr>
        <w:t xml:space="preserve"> </w:t>
      </w:r>
      <w:r w:rsidRPr="00212873">
        <w:rPr>
          <w:rFonts w:ascii="Times New Roman" w:hAnsi="Times New Roman"/>
          <w:sz w:val="24"/>
          <w:szCs w:val="24"/>
        </w:rPr>
        <w:t>in clear and unambiguous language.</w:t>
      </w:r>
      <w:r>
        <w:rPr>
          <w:rFonts w:ascii="Times New Roman" w:hAnsi="Times New Roman"/>
          <w:sz w:val="24"/>
          <w:szCs w:val="24"/>
        </w:rPr>
        <w:t xml:space="preserve">” </w:t>
      </w:r>
      <w:hyperlink r:id="rId1291" w:history="1">
        <w:r w:rsidRPr="005F7F38">
          <w:rPr>
            <w:rStyle w:val="Hyperlink"/>
            <w:rFonts w:ascii="Times New Roman" w:hAnsi="Times New Roman"/>
            <w:sz w:val="24"/>
            <w:szCs w:val="24"/>
          </w:rPr>
          <w:t>https://www.courts.ri.gov/Courts/SupremeCourt/SupremeOpinions/17-295.pdf</w:t>
        </w:r>
      </w:hyperlink>
    </w:p>
    <w:p w14:paraId="078BFD58" w14:textId="38B0BF00" w:rsidR="007C6FEF" w:rsidRDefault="007C6FEF" w:rsidP="00A06387">
      <w:pPr>
        <w:pStyle w:val="NoSpacing"/>
        <w:rPr>
          <w:rFonts w:ascii="Arial Black" w:hAnsi="Arial Black"/>
          <w:sz w:val="28"/>
          <w:szCs w:val="28"/>
        </w:rPr>
      </w:pPr>
    </w:p>
    <w:p w14:paraId="6F9C3319" w14:textId="14D33386" w:rsidR="009F1927" w:rsidRPr="009F1927" w:rsidRDefault="009F1927" w:rsidP="00A06387">
      <w:pPr>
        <w:pStyle w:val="NoSpacing"/>
        <w:rPr>
          <w:rFonts w:ascii="Times New Roman" w:hAnsi="Times New Roman"/>
          <w:b/>
          <w:bCs/>
          <w:sz w:val="24"/>
          <w:szCs w:val="24"/>
        </w:rPr>
      </w:pPr>
      <w:r w:rsidRPr="009F1927">
        <w:rPr>
          <w:rFonts w:ascii="Times New Roman" w:hAnsi="Times New Roman"/>
          <w:b/>
          <w:bCs/>
          <w:sz w:val="24"/>
          <w:szCs w:val="24"/>
        </w:rPr>
        <w:t>Legal Lessons Learned:</w:t>
      </w:r>
      <w:r>
        <w:rPr>
          <w:rFonts w:ascii="Times New Roman" w:hAnsi="Times New Roman"/>
          <w:b/>
          <w:bCs/>
          <w:sz w:val="24"/>
          <w:szCs w:val="24"/>
        </w:rPr>
        <w:t xml:space="preserve"> </w:t>
      </w:r>
      <w:r w:rsidRPr="009F1927">
        <w:rPr>
          <w:rFonts w:ascii="Times New Roman" w:hAnsi="Times New Roman"/>
          <w:b/>
          <w:bCs/>
          <w:sz w:val="24"/>
          <w:szCs w:val="24"/>
        </w:rPr>
        <w:t>Hopefully the Rhode Island legislature will promptly amend the statutory presumption statute</w:t>
      </w:r>
      <w:r>
        <w:rPr>
          <w:rFonts w:ascii="Times New Roman" w:hAnsi="Times New Roman"/>
          <w:b/>
          <w:bCs/>
          <w:sz w:val="24"/>
          <w:szCs w:val="24"/>
        </w:rPr>
        <w:t xml:space="preserve"> t</w:t>
      </w:r>
      <w:r w:rsidRPr="009F1927">
        <w:rPr>
          <w:rFonts w:ascii="Times New Roman" w:hAnsi="Times New Roman"/>
          <w:b/>
          <w:bCs/>
          <w:sz w:val="24"/>
          <w:szCs w:val="24"/>
        </w:rPr>
        <w:t xml:space="preserve">o clarify the burden of proof when firefighters have can </w:t>
      </w:r>
      <w:r>
        <w:rPr>
          <w:rFonts w:ascii="Times New Roman" w:hAnsi="Times New Roman"/>
          <w:b/>
          <w:bCs/>
          <w:sz w:val="24"/>
          <w:szCs w:val="24"/>
        </w:rPr>
        <w:t>be entitled to coverage.</w:t>
      </w:r>
    </w:p>
    <w:p w14:paraId="2C46F1A3" w14:textId="77777777" w:rsidR="009F1927" w:rsidRDefault="009F1927" w:rsidP="003464C5">
      <w:pPr>
        <w:rPr>
          <w:rFonts w:ascii="Times New Roman" w:hAnsi="Times New Roman"/>
          <w:bCs/>
          <w:sz w:val="24"/>
          <w:szCs w:val="24"/>
        </w:rPr>
      </w:pPr>
    </w:p>
    <w:p w14:paraId="557F7C5C" w14:textId="77777777" w:rsidR="007C6FEF" w:rsidRDefault="007C6FEF" w:rsidP="00A06387">
      <w:pPr>
        <w:pStyle w:val="NoSpacing"/>
        <w:rPr>
          <w:rFonts w:ascii="Arial Black" w:hAnsi="Arial Black"/>
          <w:sz w:val="28"/>
          <w:szCs w:val="28"/>
        </w:rPr>
      </w:pPr>
    </w:p>
    <w:p w14:paraId="29B521B5" w14:textId="2082D058" w:rsidR="00A52325" w:rsidRDefault="00A52325" w:rsidP="00A06387">
      <w:pPr>
        <w:pStyle w:val="NoSpacing"/>
        <w:rPr>
          <w:rFonts w:ascii="Arial Black" w:hAnsi="Arial Black"/>
          <w:sz w:val="28"/>
          <w:szCs w:val="28"/>
        </w:rPr>
      </w:pPr>
      <w:r>
        <w:rPr>
          <w:rFonts w:ascii="Arial Black" w:hAnsi="Arial Black"/>
          <w:sz w:val="28"/>
          <w:szCs w:val="28"/>
        </w:rPr>
        <w:t>6-26</w:t>
      </w:r>
    </w:p>
    <w:p w14:paraId="704048D5" w14:textId="6D3719CC" w:rsidR="00A52325" w:rsidRDefault="00A52325" w:rsidP="00A06387">
      <w:pPr>
        <w:pStyle w:val="NoSpacing"/>
        <w:rPr>
          <w:rFonts w:ascii="Arial Black" w:hAnsi="Arial Black"/>
          <w:sz w:val="28"/>
          <w:szCs w:val="28"/>
        </w:rPr>
      </w:pPr>
    </w:p>
    <w:p w14:paraId="00F9FC01" w14:textId="77777777" w:rsidR="00A52325" w:rsidRDefault="00A52325" w:rsidP="00A52325">
      <w:pPr>
        <w:pStyle w:val="NoSpacing"/>
        <w:rPr>
          <w:rFonts w:ascii="Arial Black" w:hAnsi="Arial Black" w:cstheme="minorBidi"/>
          <w:sz w:val="28"/>
          <w:szCs w:val="28"/>
        </w:rPr>
      </w:pPr>
      <w:r>
        <w:rPr>
          <w:rFonts w:ascii="Arial Black" w:hAnsi="Arial Black"/>
          <w:sz w:val="28"/>
          <w:szCs w:val="28"/>
        </w:rPr>
        <w:t xml:space="preserve">NY:  FDNY FF RESIGNED – PLED GUILTY TO FELONY - LYING TO FBI &amp; DOJ – NO RIGHT TO REINSTATEMENT </w:t>
      </w:r>
    </w:p>
    <w:p w14:paraId="11456ED5" w14:textId="77777777" w:rsidR="00A52325" w:rsidRDefault="00A52325" w:rsidP="00A52325">
      <w:pPr>
        <w:spacing w:before="100" w:beforeAutospacing="1" w:after="100" w:afterAutospacing="1" w:line="240" w:lineRule="auto"/>
        <w:rPr>
          <w:rFonts w:ascii="Times New Roman" w:hAnsi="Times New Roman"/>
          <w:sz w:val="24"/>
          <w:szCs w:val="24"/>
        </w:rPr>
      </w:pPr>
      <w:r>
        <w:rPr>
          <w:rFonts w:ascii="Times New Roman" w:hAnsi="Times New Roman"/>
          <w:sz w:val="24"/>
          <w:szCs w:val="24"/>
        </w:rPr>
        <w:lastRenderedPageBreak/>
        <w:t xml:space="preserve">On Nov. 8, 2019, in </w:t>
      </w:r>
      <w:r>
        <w:rPr>
          <w:rFonts w:ascii="Times New Roman" w:hAnsi="Times New Roman"/>
          <w:sz w:val="24"/>
          <w:szCs w:val="24"/>
          <w:u w:val="single"/>
        </w:rPr>
        <w:t xml:space="preserve">Stephen </w:t>
      </w:r>
      <w:proofErr w:type="spellStart"/>
      <w:r>
        <w:rPr>
          <w:rFonts w:ascii="Times New Roman" w:hAnsi="Times New Roman"/>
          <w:sz w:val="24"/>
          <w:szCs w:val="24"/>
          <w:u w:val="single"/>
        </w:rPr>
        <w:t>Mcanulty</w:t>
      </w:r>
      <w:proofErr w:type="spellEnd"/>
      <w:r>
        <w:rPr>
          <w:rFonts w:ascii="Times New Roman" w:hAnsi="Times New Roman"/>
          <w:sz w:val="24"/>
          <w:szCs w:val="24"/>
          <w:u w:val="single"/>
        </w:rPr>
        <w:t xml:space="preserve"> v. Fire Department of City of New York</w:t>
      </w:r>
      <w:r>
        <w:rPr>
          <w:rFonts w:ascii="Times New Roman" w:hAnsi="Times New Roman"/>
          <w:sz w:val="24"/>
          <w:szCs w:val="24"/>
        </w:rPr>
        <w:t>, NY Supreme Court / Kings County (Judge Katherine A. Levine), the judge held the FDNY had no obligation to rehire the firefighter eight years after he resigned.</w:t>
      </w:r>
    </w:p>
    <w:p w14:paraId="2FB9AB43" w14:textId="77777777" w:rsidR="00A52325" w:rsidRDefault="00A52325" w:rsidP="00A52325">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 xml:space="preserve">“In sum, petitioner has not shown that the FDNY in any way violated lawful </w:t>
      </w:r>
      <w:proofErr w:type="gramStart"/>
      <w:r>
        <w:rPr>
          <w:rFonts w:ascii="Times New Roman" w:hAnsi="Times New Roman"/>
          <w:sz w:val="24"/>
          <w:szCs w:val="24"/>
        </w:rPr>
        <w:t>procedure, or</w:t>
      </w:r>
      <w:proofErr w:type="gramEnd"/>
      <w:r>
        <w:rPr>
          <w:rFonts w:ascii="Times New Roman" w:hAnsi="Times New Roman"/>
          <w:sz w:val="24"/>
          <w:szCs w:val="24"/>
        </w:rPr>
        <w:t xml:space="preserve"> deviated from the standards set forth in the PRR (55 RCNY Appendix A) § 6.2.1(a) and (b), and POL § 30(1)(e). The court finds that </w:t>
      </w:r>
      <w:proofErr w:type="gramStart"/>
      <w:r>
        <w:rPr>
          <w:rFonts w:ascii="Times New Roman" w:hAnsi="Times New Roman"/>
          <w:sz w:val="24"/>
          <w:szCs w:val="24"/>
        </w:rPr>
        <w:t>respondent's</w:t>
      </w:r>
      <w:proofErr w:type="gramEnd"/>
      <w:r>
        <w:rPr>
          <w:rFonts w:ascii="Times New Roman" w:hAnsi="Times New Roman"/>
          <w:sz w:val="24"/>
          <w:szCs w:val="24"/>
        </w:rPr>
        <w:t xml:space="preserve"> determination was reasonably based on the facts and </w:t>
      </w:r>
      <w:proofErr w:type="gramStart"/>
      <w:r>
        <w:rPr>
          <w:rFonts w:ascii="Times New Roman" w:hAnsi="Times New Roman"/>
          <w:sz w:val="24"/>
          <w:szCs w:val="24"/>
        </w:rPr>
        <w:t>law, and</w:t>
      </w:r>
      <w:proofErr w:type="gramEnd"/>
      <w:r>
        <w:rPr>
          <w:rFonts w:ascii="Times New Roman" w:hAnsi="Times New Roman"/>
          <w:sz w:val="24"/>
          <w:szCs w:val="24"/>
        </w:rPr>
        <w:t xml:space="preserve"> was not arbitrary and capricious or an abuse of discretion. Therefore, the petition is denied. This constitutes the decision and order of the court.” </w:t>
      </w:r>
      <w:hyperlink r:id="rId1292" w:history="1">
        <w:r>
          <w:rPr>
            <w:rStyle w:val="Hyperlink"/>
            <w:rFonts w:ascii="Times New Roman" w:hAnsi="Times New Roman"/>
            <w:sz w:val="24"/>
            <w:szCs w:val="24"/>
          </w:rPr>
          <w:t>https://law.justia.com/cases/new-york/other-courts/2019/2019-ny-slip-op-29363.html</w:t>
        </w:r>
      </w:hyperlink>
      <w:r>
        <w:rPr>
          <w:rFonts w:ascii="Times New Roman" w:hAnsi="Times New Roman"/>
          <w:sz w:val="24"/>
          <w:szCs w:val="24"/>
        </w:rPr>
        <w:t xml:space="preserve"> </w:t>
      </w:r>
    </w:p>
    <w:p w14:paraId="75CC0547" w14:textId="77777777" w:rsidR="00A52325" w:rsidRDefault="00A52325" w:rsidP="00A52325">
      <w:pPr>
        <w:spacing w:before="100" w:beforeAutospacing="1" w:after="100" w:afterAutospacing="1" w:line="240" w:lineRule="auto"/>
        <w:rPr>
          <w:rFonts w:ascii="Times New Roman" w:hAnsi="Times New Roman"/>
          <w:b/>
          <w:bCs/>
          <w:sz w:val="24"/>
          <w:szCs w:val="24"/>
        </w:rPr>
      </w:pPr>
      <w:r>
        <w:rPr>
          <w:rFonts w:ascii="Times New Roman" w:hAnsi="Times New Roman"/>
          <w:b/>
          <w:bCs/>
          <w:sz w:val="24"/>
          <w:szCs w:val="24"/>
        </w:rPr>
        <w:t xml:space="preserve">Legal Lessons Learned:  FDNY was legally barred from reinstating a convicted felon whose conviction had never been vacated.  </w:t>
      </w:r>
    </w:p>
    <w:p w14:paraId="7E21E32C" w14:textId="77777777" w:rsidR="00A52325" w:rsidRDefault="00A52325" w:rsidP="00A06387">
      <w:pPr>
        <w:pStyle w:val="NoSpacing"/>
        <w:rPr>
          <w:rFonts w:ascii="Arial Black" w:hAnsi="Arial Black"/>
          <w:sz w:val="28"/>
          <w:szCs w:val="28"/>
        </w:rPr>
      </w:pPr>
    </w:p>
    <w:p w14:paraId="45110975" w14:textId="77777777" w:rsidR="00A52325" w:rsidRDefault="00A52325" w:rsidP="00A06387">
      <w:pPr>
        <w:pStyle w:val="NoSpacing"/>
        <w:rPr>
          <w:rFonts w:ascii="Arial Black" w:hAnsi="Arial Black"/>
          <w:sz w:val="28"/>
          <w:szCs w:val="28"/>
        </w:rPr>
      </w:pPr>
    </w:p>
    <w:p w14:paraId="0694928F" w14:textId="7515169A" w:rsidR="00A06387" w:rsidRDefault="00A06387" w:rsidP="00A06387">
      <w:pPr>
        <w:pStyle w:val="NoSpacing"/>
        <w:rPr>
          <w:rFonts w:ascii="Arial Black" w:hAnsi="Arial Black"/>
          <w:sz w:val="28"/>
          <w:szCs w:val="28"/>
        </w:rPr>
      </w:pPr>
      <w:r>
        <w:rPr>
          <w:rFonts w:ascii="Arial Black" w:hAnsi="Arial Black"/>
          <w:sz w:val="28"/>
          <w:szCs w:val="28"/>
        </w:rPr>
        <w:t>6-25</w:t>
      </w:r>
    </w:p>
    <w:p w14:paraId="2C6180D5" w14:textId="77777777" w:rsidR="00A06387" w:rsidRDefault="00A06387" w:rsidP="00A06387">
      <w:pPr>
        <w:pStyle w:val="NoSpacing"/>
        <w:rPr>
          <w:rFonts w:ascii="Arial Black" w:hAnsi="Arial Black"/>
          <w:sz w:val="28"/>
          <w:szCs w:val="28"/>
        </w:rPr>
      </w:pPr>
    </w:p>
    <w:p w14:paraId="2FD2CAC0" w14:textId="2AAE94F0" w:rsidR="00A06387" w:rsidRDefault="00A06387" w:rsidP="00A06387">
      <w:pPr>
        <w:pStyle w:val="NoSpacing"/>
        <w:rPr>
          <w:rFonts w:ascii="Arial Black" w:hAnsi="Arial Black"/>
          <w:sz w:val="28"/>
          <w:szCs w:val="28"/>
        </w:rPr>
      </w:pPr>
      <w:r>
        <w:rPr>
          <w:rFonts w:ascii="Arial Black" w:hAnsi="Arial Black"/>
          <w:sz w:val="28"/>
          <w:szCs w:val="28"/>
        </w:rPr>
        <w:t xml:space="preserve">WA: FF BRAIN MELANOMA - WINS PERMANENT DISABILITY – PREV. DENIED TEMPORARY DISAB, MELANOMA ON BACK </w:t>
      </w:r>
      <w:r>
        <w:rPr>
          <w:rFonts w:ascii="Arial Black" w:hAnsi="Arial Black"/>
          <w:sz w:val="28"/>
          <w:szCs w:val="28"/>
        </w:rPr>
        <w:br/>
      </w:r>
    </w:p>
    <w:p w14:paraId="44B8FB12" w14:textId="77777777" w:rsidR="00A06387" w:rsidRPr="009F1927" w:rsidRDefault="00A06387" w:rsidP="00A06387">
      <w:pPr>
        <w:pStyle w:val="NoSpacing"/>
        <w:rPr>
          <w:rFonts w:ascii="Times New Roman" w:hAnsi="Times New Roman"/>
          <w:sz w:val="24"/>
          <w:szCs w:val="24"/>
        </w:rPr>
      </w:pPr>
      <w:r w:rsidRPr="009F1927">
        <w:rPr>
          <w:rFonts w:ascii="Times New Roman" w:hAnsi="Times New Roman"/>
          <w:bCs/>
          <w:sz w:val="24"/>
          <w:szCs w:val="24"/>
        </w:rPr>
        <w:t xml:space="preserve">On Oct. 17, 2019, in </w:t>
      </w:r>
      <w:r w:rsidRPr="009F1927">
        <w:rPr>
          <w:rFonts w:ascii="Times New Roman" w:hAnsi="Times New Roman"/>
          <w:bCs/>
          <w:sz w:val="24"/>
          <w:szCs w:val="24"/>
          <w:u w:val="single"/>
        </w:rPr>
        <w:t>Michael Weaver v. City of Everett and State of Washington, Department of Labor &amp; Industries</w:t>
      </w:r>
      <w:r w:rsidRPr="009F1927">
        <w:rPr>
          <w:rFonts w:ascii="Times New Roman" w:hAnsi="Times New Roman"/>
          <w:bCs/>
          <w:sz w:val="24"/>
          <w:szCs w:val="24"/>
        </w:rPr>
        <w:t xml:space="preserve">, the Supreme Court of State of Washington, held (9 to 0) that the firefighter’s melanoma was an occupational disease entitling his to permanent disability benefits, even though the State had previously denied him temporary disability. </w:t>
      </w:r>
    </w:p>
    <w:p w14:paraId="0784BAC8" w14:textId="77777777" w:rsidR="00A06387" w:rsidRPr="009F1927" w:rsidRDefault="00A06387" w:rsidP="00A06387">
      <w:pPr>
        <w:pStyle w:val="NoSpacing"/>
        <w:rPr>
          <w:rFonts w:ascii="Times New Roman" w:hAnsi="Times New Roman"/>
          <w:b/>
          <w:bCs/>
          <w:sz w:val="24"/>
          <w:szCs w:val="24"/>
        </w:rPr>
      </w:pPr>
    </w:p>
    <w:p w14:paraId="09FE4AF3" w14:textId="77777777" w:rsidR="00A06387" w:rsidRPr="009F1927" w:rsidRDefault="00A06387" w:rsidP="00A06387">
      <w:pPr>
        <w:pStyle w:val="NoSpacing"/>
        <w:ind w:left="720"/>
        <w:rPr>
          <w:rFonts w:ascii="Times New Roman" w:hAnsi="Times New Roman"/>
          <w:b/>
          <w:bCs/>
          <w:sz w:val="24"/>
          <w:szCs w:val="24"/>
        </w:rPr>
      </w:pPr>
      <w:r w:rsidRPr="009F1927">
        <w:rPr>
          <w:rFonts w:ascii="Times New Roman" w:hAnsi="Times New Roman"/>
          <w:bCs/>
          <w:sz w:val="24"/>
          <w:szCs w:val="24"/>
        </w:rPr>
        <w:t xml:space="preserve">“We conclude that the substantial disparity of relief between Weaver's temporary and permanent disability claims kept Weaver from fully and vigorously litigating the issue at the temporary disability claim stage. Therefore, because applying the doctrine in this instance would work an injustice and contravene public policy, we hold that collateral estoppel does not </w:t>
      </w:r>
      <w:proofErr w:type="gramStart"/>
      <w:r w:rsidRPr="009F1927">
        <w:rPr>
          <w:rFonts w:ascii="Times New Roman" w:hAnsi="Times New Roman"/>
          <w:bCs/>
          <w:sz w:val="24"/>
          <w:szCs w:val="24"/>
        </w:rPr>
        <w:t>apply.”</w:t>
      </w:r>
      <w:proofErr w:type="gramEnd"/>
    </w:p>
    <w:p w14:paraId="7B8DF9E8" w14:textId="77777777" w:rsidR="00A06387" w:rsidRPr="009F1927" w:rsidRDefault="00A06387" w:rsidP="00A06387">
      <w:pPr>
        <w:pStyle w:val="NoSpacing"/>
        <w:ind w:left="720"/>
        <w:rPr>
          <w:rFonts w:ascii="Times New Roman" w:hAnsi="Times New Roman"/>
          <w:b/>
          <w:bCs/>
          <w:sz w:val="24"/>
          <w:szCs w:val="24"/>
        </w:rPr>
      </w:pPr>
      <w:hyperlink r:id="rId1293" w:history="1">
        <w:r w:rsidRPr="009F1927">
          <w:rPr>
            <w:rStyle w:val="Hyperlink"/>
            <w:rFonts w:ascii="Times New Roman" w:hAnsi="Times New Roman"/>
            <w:bCs/>
            <w:sz w:val="24"/>
            <w:szCs w:val="24"/>
          </w:rPr>
          <w:t>https://cases.justia.com/washington/supreme-court/2019-96189-1.pdf?ts=1571325618</w:t>
        </w:r>
      </w:hyperlink>
      <w:r w:rsidRPr="009F1927">
        <w:rPr>
          <w:rFonts w:ascii="Times New Roman" w:hAnsi="Times New Roman"/>
          <w:bCs/>
          <w:sz w:val="24"/>
          <w:szCs w:val="24"/>
        </w:rPr>
        <w:t xml:space="preserve"> </w:t>
      </w:r>
    </w:p>
    <w:p w14:paraId="6D0105BF" w14:textId="77777777" w:rsidR="009F1927" w:rsidRPr="009F1927" w:rsidRDefault="009F1927" w:rsidP="00A06387">
      <w:pPr>
        <w:pStyle w:val="NoSpacing"/>
        <w:rPr>
          <w:rFonts w:ascii="Times New Roman" w:hAnsi="Times New Roman"/>
          <w:b/>
          <w:bCs/>
          <w:sz w:val="24"/>
          <w:szCs w:val="24"/>
        </w:rPr>
      </w:pPr>
    </w:p>
    <w:p w14:paraId="395EE568" w14:textId="274DC165" w:rsidR="00A06387" w:rsidRPr="009F1927" w:rsidRDefault="00A06387" w:rsidP="00A06387">
      <w:pPr>
        <w:pStyle w:val="NoSpacing"/>
        <w:rPr>
          <w:rFonts w:ascii="Times New Roman" w:hAnsi="Times New Roman"/>
          <w:b/>
          <w:bCs/>
          <w:sz w:val="24"/>
          <w:szCs w:val="24"/>
        </w:rPr>
      </w:pPr>
      <w:r w:rsidRPr="009F1927">
        <w:rPr>
          <w:rFonts w:ascii="Times New Roman" w:hAnsi="Times New Roman"/>
          <w:b/>
          <w:bCs/>
          <w:sz w:val="24"/>
          <w:szCs w:val="24"/>
        </w:rPr>
        <w:t>Legal Lessons Learned: Nice to see Court supporting a firefighter’s cancer claim, to avoid an “injustice.”</w:t>
      </w:r>
    </w:p>
    <w:p w14:paraId="08939695" w14:textId="77777777" w:rsidR="00A06387" w:rsidRPr="009F1927" w:rsidRDefault="00A06387" w:rsidP="00A06387">
      <w:pPr>
        <w:pStyle w:val="NoSpacing"/>
        <w:ind w:left="720"/>
        <w:rPr>
          <w:rFonts w:ascii="Times New Roman" w:hAnsi="Times New Roman"/>
          <w:b/>
          <w:bCs/>
          <w:sz w:val="24"/>
          <w:szCs w:val="24"/>
        </w:rPr>
      </w:pPr>
    </w:p>
    <w:p w14:paraId="10B92AE0" w14:textId="77777777" w:rsidR="00A06387" w:rsidRDefault="00A06387" w:rsidP="00A06387">
      <w:pPr>
        <w:pStyle w:val="NoSpacing"/>
        <w:rPr>
          <w:b/>
          <w:bCs/>
          <w:sz w:val="24"/>
          <w:szCs w:val="24"/>
        </w:rPr>
      </w:pPr>
    </w:p>
    <w:p w14:paraId="4F08270A" w14:textId="056C5035" w:rsidR="00A06387" w:rsidRPr="0005503D" w:rsidRDefault="00A06387" w:rsidP="0005503D">
      <w:pPr>
        <w:pStyle w:val="NoSpacing"/>
        <w:rPr>
          <w:rFonts w:ascii="Times New Roman" w:hAnsi="Times New Roman"/>
          <w:sz w:val="24"/>
          <w:szCs w:val="24"/>
        </w:rPr>
      </w:pPr>
    </w:p>
    <w:p w14:paraId="3AC5B2C0" w14:textId="77777777" w:rsidR="00A06387" w:rsidRDefault="00A06387" w:rsidP="00EF1133">
      <w:pPr>
        <w:rPr>
          <w:rFonts w:ascii="Arial Black" w:hAnsi="Arial Black"/>
          <w:b/>
          <w:sz w:val="24"/>
          <w:szCs w:val="24"/>
        </w:rPr>
      </w:pPr>
    </w:p>
    <w:p w14:paraId="0FCC6887" w14:textId="77777777" w:rsidR="00A06387" w:rsidRDefault="00A06387" w:rsidP="00EF1133">
      <w:pPr>
        <w:rPr>
          <w:rFonts w:ascii="Arial Black" w:hAnsi="Arial Black"/>
          <w:b/>
          <w:sz w:val="24"/>
          <w:szCs w:val="24"/>
        </w:rPr>
      </w:pPr>
    </w:p>
    <w:p w14:paraId="1003FB7E" w14:textId="4D675248" w:rsidR="00853142" w:rsidRDefault="00853142" w:rsidP="00EF1133">
      <w:pPr>
        <w:rPr>
          <w:rFonts w:ascii="Arial Black" w:hAnsi="Arial Black"/>
          <w:b/>
          <w:sz w:val="24"/>
          <w:szCs w:val="24"/>
        </w:rPr>
      </w:pPr>
      <w:r>
        <w:rPr>
          <w:rFonts w:ascii="Arial Black" w:hAnsi="Arial Black"/>
          <w:b/>
          <w:sz w:val="24"/>
          <w:szCs w:val="24"/>
        </w:rPr>
        <w:t>6-2</w:t>
      </w:r>
      <w:r w:rsidR="005B0774">
        <w:rPr>
          <w:rFonts w:ascii="Arial Black" w:hAnsi="Arial Black"/>
          <w:b/>
          <w:sz w:val="24"/>
          <w:szCs w:val="24"/>
        </w:rPr>
        <w:t>4</w:t>
      </w:r>
    </w:p>
    <w:p w14:paraId="142BC532" w14:textId="77777777" w:rsidR="00853142" w:rsidRPr="00866BD5" w:rsidRDefault="00853142" w:rsidP="00853142">
      <w:pPr>
        <w:pStyle w:val="NoSpacing"/>
        <w:rPr>
          <w:rFonts w:ascii="Arial Black" w:hAnsi="Arial Black"/>
          <w:b/>
          <w:bCs/>
          <w:sz w:val="28"/>
          <w:szCs w:val="28"/>
        </w:rPr>
      </w:pPr>
      <w:r w:rsidRPr="00866BD5">
        <w:rPr>
          <w:rFonts w:ascii="Arial Black" w:hAnsi="Arial Black"/>
          <w:b/>
          <w:bCs/>
          <w:sz w:val="28"/>
          <w:szCs w:val="28"/>
        </w:rPr>
        <w:t xml:space="preserve">OH: </w:t>
      </w:r>
      <w:r>
        <w:rPr>
          <w:rFonts w:ascii="Arial Black" w:hAnsi="Arial Black"/>
          <w:b/>
          <w:bCs/>
          <w:sz w:val="28"/>
          <w:szCs w:val="28"/>
        </w:rPr>
        <w:t>FD LT. DEMOTED WITHIN 1-YR OF PROMOTION – NOT “PROBATIONARY EMPLOYEE” – MAY FILE GRIEVANCE / ARBITRATION</w:t>
      </w:r>
    </w:p>
    <w:p w14:paraId="6E38D84B" w14:textId="77777777" w:rsidR="00853142" w:rsidRDefault="00853142" w:rsidP="00853142">
      <w:pPr>
        <w:pStyle w:val="NoSpacing"/>
      </w:pPr>
    </w:p>
    <w:p w14:paraId="15CE99E1" w14:textId="77777777" w:rsidR="00853142" w:rsidRPr="00866BD5" w:rsidRDefault="00853142" w:rsidP="00853142">
      <w:pPr>
        <w:pStyle w:val="NoSpacing"/>
        <w:rPr>
          <w:rFonts w:ascii="Times New Roman" w:hAnsi="Times New Roman"/>
          <w:sz w:val="24"/>
          <w:szCs w:val="24"/>
        </w:rPr>
      </w:pPr>
      <w:r w:rsidRPr="00866BD5">
        <w:rPr>
          <w:rFonts w:ascii="Times New Roman" w:hAnsi="Times New Roman"/>
          <w:sz w:val="24"/>
          <w:szCs w:val="24"/>
        </w:rPr>
        <w:t xml:space="preserve">On Sept. 18, 2019, in </w:t>
      </w:r>
      <w:r w:rsidRPr="00866BD5">
        <w:rPr>
          <w:rFonts w:ascii="Times New Roman" w:hAnsi="Times New Roman"/>
          <w:sz w:val="24"/>
          <w:szCs w:val="24"/>
          <w:u w:val="single"/>
        </w:rPr>
        <w:t>Steve Conti v. Mayfield Village</w:t>
      </w:r>
      <w:r>
        <w:rPr>
          <w:rFonts w:ascii="Times New Roman" w:hAnsi="Times New Roman"/>
          <w:sz w:val="24"/>
          <w:szCs w:val="24"/>
        </w:rPr>
        <w:t xml:space="preserve">,  U.S. District Court Judge James S. Gwin, U.S. District Court for the Northern District of Ohio, denied the City’s motion for summary judgement, and rejected the </w:t>
      </w:r>
      <w:r>
        <w:rPr>
          <w:rFonts w:ascii="Times New Roman" w:hAnsi="Times New Roman"/>
          <w:sz w:val="24"/>
          <w:szCs w:val="24"/>
        </w:rPr>
        <w:lastRenderedPageBreak/>
        <w:t>City’s claim that the Lieutenant “</w:t>
      </w:r>
      <w:r w:rsidRPr="00866BD5">
        <w:rPr>
          <w:rFonts w:ascii="Times New Roman" w:hAnsi="Times New Roman"/>
          <w:sz w:val="24"/>
          <w:szCs w:val="24"/>
        </w:rPr>
        <w:t>did not have a property interest in his probationary lieutenant position</w:t>
      </w:r>
      <w:r>
        <w:rPr>
          <w:rFonts w:ascii="Times New Roman" w:hAnsi="Times New Roman"/>
          <w:sz w:val="24"/>
          <w:szCs w:val="24"/>
        </w:rPr>
        <w:t xml:space="preserve">.” </w:t>
      </w:r>
      <w:hyperlink r:id="rId1294" w:history="1">
        <w:r w:rsidRPr="00BA29A7">
          <w:rPr>
            <w:rStyle w:val="Hyperlink"/>
            <w:rFonts w:ascii="Times New Roman" w:hAnsi="Times New Roman"/>
            <w:sz w:val="24"/>
            <w:szCs w:val="24"/>
          </w:rPr>
          <w:t>https://www.courtlistener.com/recap/gov.uscourts.ohnd.252466/gov.uscourts.ohnd.252466.26.0.pdf</w:t>
        </w:r>
      </w:hyperlink>
      <w:r>
        <w:rPr>
          <w:rFonts w:ascii="Times New Roman" w:hAnsi="Times New Roman"/>
          <w:sz w:val="24"/>
          <w:szCs w:val="24"/>
        </w:rPr>
        <w:t xml:space="preserve"> </w:t>
      </w:r>
    </w:p>
    <w:p w14:paraId="31F1FE1E" w14:textId="77777777" w:rsidR="00853142" w:rsidRPr="00866BD5" w:rsidRDefault="00853142" w:rsidP="00853142">
      <w:pPr>
        <w:pStyle w:val="NoSpacing"/>
        <w:rPr>
          <w:rFonts w:ascii="Times New Roman" w:hAnsi="Times New Roman"/>
          <w:sz w:val="24"/>
          <w:szCs w:val="24"/>
        </w:rPr>
      </w:pPr>
    </w:p>
    <w:p w14:paraId="2BAE9346" w14:textId="77777777" w:rsidR="00853142" w:rsidRDefault="00853142" w:rsidP="00853142">
      <w:pPr>
        <w:pStyle w:val="NoSpacing"/>
        <w:ind w:firstLine="720"/>
        <w:rPr>
          <w:rFonts w:ascii="Times New Roman" w:hAnsi="Times New Roman"/>
          <w:sz w:val="24"/>
          <w:szCs w:val="24"/>
        </w:rPr>
      </w:pPr>
      <w:r>
        <w:rPr>
          <w:rFonts w:ascii="Times New Roman" w:hAnsi="Times New Roman"/>
          <w:sz w:val="24"/>
          <w:szCs w:val="24"/>
        </w:rPr>
        <w:t>Judge Gwin wrote:</w:t>
      </w:r>
    </w:p>
    <w:p w14:paraId="6354BE1E" w14:textId="77777777" w:rsidR="00853142" w:rsidRDefault="00853142" w:rsidP="00853142">
      <w:pPr>
        <w:pStyle w:val="NoSpacing"/>
        <w:ind w:firstLine="720"/>
        <w:rPr>
          <w:rFonts w:ascii="Times New Roman" w:hAnsi="Times New Roman"/>
          <w:sz w:val="24"/>
          <w:szCs w:val="24"/>
        </w:rPr>
      </w:pPr>
    </w:p>
    <w:p w14:paraId="450E6EFF" w14:textId="77777777" w:rsidR="00853142" w:rsidRPr="00866BD5" w:rsidRDefault="00853142" w:rsidP="00853142">
      <w:pPr>
        <w:pStyle w:val="NoSpacing"/>
        <w:ind w:left="720"/>
        <w:rPr>
          <w:rFonts w:ascii="Times New Roman" w:hAnsi="Times New Roman"/>
          <w:sz w:val="24"/>
          <w:szCs w:val="24"/>
        </w:rPr>
      </w:pPr>
      <w:r>
        <w:rPr>
          <w:rFonts w:ascii="Times New Roman" w:hAnsi="Times New Roman"/>
          <w:sz w:val="24"/>
          <w:szCs w:val="24"/>
        </w:rPr>
        <w:t>“</w:t>
      </w:r>
      <w:r w:rsidRPr="00866BD5">
        <w:rPr>
          <w:rFonts w:ascii="Times New Roman" w:hAnsi="Times New Roman"/>
          <w:sz w:val="24"/>
          <w:szCs w:val="24"/>
        </w:rPr>
        <w:t xml:space="preserve">Defendant points to the </w:t>
      </w:r>
      <w:r>
        <w:rPr>
          <w:rFonts w:ascii="Times New Roman" w:hAnsi="Times New Roman"/>
          <w:sz w:val="24"/>
          <w:szCs w:val="24"/>
        </w:rPr>
        <w:t>‘</w:t>
      </w:r>
      <w:r w:rsidRPr="00866BD5">
        <w:rPr>
          <w:rFonts w:ascii="Times New Roman" w:hAnsi="Times New Roman"/>
          <w:sz w:val="24"/>
          <w:szCs w:val="24"/>
        </w:rPr>
        <w:t>Fire Lieutenant, Class B – Probationary</w:t>
      </w:r>
      <w:r>
        <w:rPr>
          <w:rFonts w:ascii="Times New Roman" w:hAnsi="Times New Roman"/>
          <w:sz w:val="24"/>
          <w:szCs w:val="24"/>
        </w:rPr>
        <w:t>’</w:t>
      </w:r>
      <w:r w:rsidRPr="00866BD5">
        <w:rPr>
          <w:rFonts w:ascii="Times New Roman" w:hAnsi="Times New Roman"/>
          <w:sz w:val="24"/>
          <w:szCs w:val="24"/>
        </w:rPr>
        <w:t xml:space="preserve"> position in Section 21.1’s salary schedule as support its reading that Plaintiff was a probationary employee. However, the placement of the undefined term </w:t>
      </w:r>
      <w:r>
        <w:rPr>
          <w:rFonts w:ascii="Times New Roman" w:hAnsi="Times New Roman"/>
          <w:sz w:val="24"/>
          <w:szCs w:val="24"/>
        </w:rPr>
        <w:t>‘</w:t>
      </w:r>
      <w:r w:rsidRPr="00866BD5">
        <w:rPr>
          <w:rFonts w:ascii="Times New Roman" w:hAnsi="Times New Roman"/>
          <w:sz w:val="24"/>
          <w:szCs w:val="24"/>
        </w:rPr>
        <w:t>Probationary</w:t>
      </w:r>
      <w:r>
        <w:rPr>
          <w:rFonts w:ascii="Times New Roman" w:hAnsi="Times New Roman"/>
          <w:sz w:val="24"/>
          <w:szCs w:val="24"/>
        </w:rPr>
        <w:t xml:space="preserve">’ </w:t>
      </w:r>
      <w:r w:rsidRPr="00866BD5">
        <w:rPr>
          <w:rFonts w:ascii="Times New Roman" w:hAnsi="Times New Roman"/>
          <w:sz w:val="24"/>
          <w:szCs w:val="24"/>
        </w:rPr>
        <w:t>after a promotional position without further explanation is hardly dispositive of this matter. Defendant’s argument ignores the other CBA references to probationary employees that distinguishes between probationary employees and promoted employees.</w:t>
      </w:r>
    </w:p>
    <w:p w14:paraId="55C50E44" w14:textId="77777777" w:rsidR="00853142" w:rsidRDefault="00853142" w:rsidP="00853142">
      <w:pPr>
        <w:pStyle w:val="NoSpacing"/>
      </w:pPr>
    </w:p>
    <w:p w14:paraId="1B226892" w14:textId="77777777" w:rsidR="00853142" w:rsidRPr="007438B9" w:rsidRDefault="00853142" w:rsidP="00853142">
      <w:pPr>
        <w:pStyle w:val="NoSpacing"/>
        <w:rPr>
          <w:rFonts w:ascii="Times New Roman" w:hAnsi="Times New Roman"/>
          <w:b/>
          <w:bCs/>
          <w:sz w:val="24"/>
          <w:szCs w:val="24"/>
        </w:rPr>
      </w:pPr>
      <w:r w:rsidRPr="007438B9">
        <w:rPr>
          <w:rFonts w:ascii="Times New Roman" w:hAnsi="Times New Roman"/>
          <w:b/>
          <w:bCs/>
          <w:sz w:val="24"/>
          <w:szCs w:val="24"/>
        </w:rPr>
        <w:t xml:space="preserve">Legal Lessons Learned: </w:t>
      </w:r>
      <w:r>
        <w:rPr>
          <w:rFonts w:ascii="Times New Roman" w:hAnsi="Times New Roman"/>
          <w:b/>
          <w:bCs/>
          <w:sz w:val="24"/>
          <w:szCs w:val="24"/>
        </w:rPr>
        <w:t xml:space="preserve">If promoted personnel are to be treated as “probationary” for the first year after probation, clearly state this in the CBA or Employee Handbook.   See Sept. 18, </w:t>
      </w:r>
      <w:proofErr w:type="gramStart"/>
      <w:r>
        <w:rPr>
          <w:rFonts w:ascii="Times New Roman" w:hAnsi="Times New Roman"/>
          <w:b/>
          <w:bCs/>
          <w:sz w:val="24"/>
          <w:szCs w:val="24"/>
        </w:rPr>
        <w:t>2013</w:t>
      </w:r>
      <w:proofErr w:type="gramEnd"/>
      <w:r>
        <w:rPr>
          <w:rFonts w:ascii="Times New Roman" w:hAnsi="Times New Roman"/>
          <w:b/>
          <w:bCs/>
          <w:sz w:val="24"/>
          <w:szCs w:val="24"/>
        </w:rPr>
        <w:t xml:space="preserve"> article and photo – hiring Steve Conti and two other firefighters: </w:t>
      </w:r>
      <w:hyperlink r:id="rId1295" w:history="1">
        <w:r w:rsidRPr="00BA29A7">
          <w:rPr>
            <w:rStyle w:val="Hyperlink"/>
            <w:rFonts w:ascii="Times New Roman" w:hAnsi="Times New Roman"/>
            <w:b/>
            <w:bCs/>
            <w:sz w:val="24"/>
            <w:szCs w:val="24"/>
          </w:rPr>
          <w:t>https://patch.com/ohio/mayfield-hillcrest/mayfield-village-introduces-three-new-firefighters</w:t>
        </w:r>
      </w:hyperlink>
      <w:r>
        <w:rPr>
          <w:rFonts w:ascii="Times New Roman" w:hAnsi="Times New Roman"/>
          <w:b/>
          <w:bCs/>
          <w:sz w:val="24"/>
          <w:szCs w:val="24"/>
        </w:rPr>
        <w:t xml:space="preserve"> </w:t>
      </w:r>
    </w:p>
    <w:p w14:paraId="12125F24" w14:textId="77777777" w:rsidR="00853142" w:rsidRPr="001C6D4E" w:rsidRDefault="00853142" w:rsidP="00853142">
      <w:pPr>
        <w:pStyle w:val="NoSpacing"/>
        <w:rPr>
          <w:rFonts w:ascii="Times New Roman" w:hAnsi="Times New Roman"/>
          <w:sz w:val="24"/>
          <w:szCs w:val="24"/>
        </w:rPr>
      </w:pPr>
    </w:p>
    <w:p w14:paraId="17D20D29" w14:textId="77777777" w:rsidR="00A67C57" w:rsidRPr="001C6D4E" w:rsidRDefault="00A67C57" w:rsidP="00853142">
      <w:pPr>
        <w:pStyle w:val="NoSpacing"/>
        <w:rPr>
          <w:rFonts w:ascii="Times New Roman" w:hAnsi="Times New Roman"/>
          <w:sz w:val="24"/>
          <w:szCs w:val="24"/>
        </w:rPr>
      </w:pPr>
    </w:p>
    <w:p w14:paraId="42A91EB0" w14:textId="77777777" w:rsidR="00853142" w:rsidRDefault="00853142" w:rsidP="00853142">
      <w:pPr>
        <w:pStyle w:val="NoSpacing"/>
        <w:rPr>
          <w:rFonts w:ascii="Times New Roman" w:hAnsi="Times New Roman"/>
          <w:sz w:val="24"/>
          <w:szCs w:val="24"/>
        </w:rPr>
      </w:pPr>
    </w:p>
    <w:p w14:paraId="6B7190DE" w14:textId="099DB33C" w:rsidR="009F0F05" w:rsidRDefault="009F0F05" w:rsidP="00EF1133">
      <w:pPr>
        <w:rPr>
          <w:rFonts w:ascii="Arial Black" w:hAnsi="Arial Black"/>
          <w:b/>
          <w:sz w:val="24"/>
          <w:szCs w:val="24"/>
        </w:rPr>
      </w:pPr>
      <w:r>
        <w:rPr>
          <w:rFonts w:ascii="Arial Black" w:hAnsi="Arial Black"/>
          <w:b/>
          <w:sz w:val="24"/>
          <w:szCs w:val="24"/>
        </w:rPr>
        <w:t>6-2</w:t>
      </w:r>
      <w:r w:rsidR="005B0774">
        <w:rPr>
          <w:rFonts w:ascii="Arial Black" w:hAnsi="Arial Black"/>
          <w:b/>
          <w:sz w:val="24"/>
          <w:szCs w:val="24"/>
        </w:rPr>
        <w:t>3</w:t>
      </w:r>
    </w:p>
    <w:p w14:paraId="69342D9A" w14:textId="77777777" w:rsidR="009F0F05" w:rsidRDefault="009F0F05" w:rsidP="009F0F05">
      <w:pPr>
        <w:rPr>
          <w:rFonts w:ascii="Arial Black" w:hAnsi="Arial Black"/>
          <w:sz w:val="28"/>
          <w:szCs w:val="28"/>
        </w:rPr>
      </w:pPr>
      <w:r w:rsidRPr="00F03F21">
        <w:rPr>
          <w:rFonts w:ascii="Arial Black" w:hAnsi="Arial Black"/>
          <w:sz w:val="28"/>
          <w:szCs w:val="28"/>
        </w:rPr>
        <w:t xml:space="preserve">IL: </w:t>
      </w:r>
      <w:r>
        <w:rPr>
          <w:rFonts w:ascii="Arial Black" w:hAnsi="Arial Black"/>
          <w:sz w:val="28"/>
          <w:szCs w:val="28"/>
        </w:rPr>
        <w:t xml:space="preserve"> BACK INJURIES - COURT AWARDS “ON DUTY” DISABILITY - CUMULATIVE EFFECT OF FIREFIGHTING </w:t>
      </w:r>
    </w:p>
    <w:p w14:paraId="11C65BB1" w14:textId="77777777" w:rsidR="009F0F05" w:rsidRPr="00076FC1" w:rsidRDefault="009F0F05" w:rsidP="009F0F05">
      <w:pPr>
        <w:rPr>
          <w:rFonts w:ascii="Times New Roman" w:hAnsi="Times New Roman"/>
          <w:sz w:val="24"/>
          <w:szCs w:val="24"/>
        </w:rPr>
      </w:pPr>
      <w:r w:rsidRPr="00FD63A6">
        <w:rPr>
          <w:rFonts w:ascii="Times New Roman" w:hAnsi="Times New Roman"/>
          <w:sz w:val="24"/>
          <w:szCs w:val="24"/>
        </w:rPr>
        <w:t xml:space="preserve">On Sept. 6, 2019, in </w:t>
      </w:r>
      <w:r w:rsidRPr="003D1DE7">
        <w:rPr>
          <w:rFonts w:ascii="Times New Roman" w:hAnsi="Times New Roman"/>
          <w:sz w:val="24"/>
          <w:szCs w:val="24"/>
          <w:u w:val="single"/>
        </w:rPr>
        <w:t>Jerry Valadez v. Harvey Firefighter’s Pension Fund, et al.</w:t>
      </w:r>
      <w:r>
        <w:rPr>
          <w:rFonts w:ascii="Times New Roman" w:hAnsi="Times New Roman"/>
          <w:sz w:val="24"/>
          <w:szCs w:val="24"/>
        </w:rPr>
        <w:t>, the Appellate Court of Illinois, First Judicial District / 6</w:t>
      </w:r>
      <w:r w:rsidRPr="00F67974">
        <w:rPr>
          <w:rFonts w:ascii="Times New Roman" w:hAnsi="Times New Roman"/>
          <w:sz w:val="24"/>
          <w:szCs w:val="24"/>
          <w:vertAlign w:val="superscript"/>
        </w:rPr>
        <w:t>th</w:t>
      </w:r>
      <w:r>
        <w:rPr>
          <w:rFonts w:ascii="Times New Roman" w:hAnsi="Times New Roman"/>
          <w:sz w:val="24"/>
          <w:szCs w:val="24"/>
        </w:rPr>
        <w:t xml:space="preserve"> Division, held (3 to 0) that the firefighter is entitled to a “on duty” disability.  </w:t>
      </w:r>
      <w:r w:rsidRPr="00F67974">
        <w:rPr>
          <w:rFonts w:ascii="Times New Roman" w:hAnsi="Times New Roman"/>
          <w:sz w:val="24"/>
          <w:szCs w:val="24"/>
        </w:rPr>
        <w:t>2019 IL App (1st) 181900-U (Ill. App., 2019)</w:t>
      </w:r>
      <w:r>
        <w:rPr>
          <w:rFonts w:ascii="Times New Roman" w:hAnsi="Times New Roman"/>
          <w:sz w:val="24"/>
          <w:szCs w:val="24"/>
        </w:rPr>
        <w:t xml:space="preserve">.  </w:t>
      </w:r>
      <w:hyperlink r:id="rId1296" w:history="1">
        <w:r w:rsidRPr="00076FC1">
          <w:rPr>
            <w:rStyle w:val="Hyperlink"/>
            <w:rFonts w:ascii="Times New Roman" w:hAnsi="Times New Roman"/>
            <w:sz w:val="24"/>
            <w:szCs w:val="24"/>
          </w:rPr>
          <w:t>https://courts.illinois.gov/R23_Orders/AppellateCourt/2019/1stDistrict/1181900_R23.pdf</w:t>
        </w:r>
      </w:hyperlink>
    </w:p>
    <w:p w14:paraId="01B85A9D" w14:textId="77777777" w:rsidR="009F0F05" w:rsidRDefault="009F0F05" w:rsidP="009F0F05">
      <w:pPr>
        <w:rPr>
          <w:rFonts w:ascii="Times New Roman" w:hAnsi="Times New Roman"/>
          <w:sz w:val="24"/>
          <w:szCs w:val="24"/>
        </w:rPr>
      </w:pPr>
      <w:r>
        <w:rPr>
          <w:rFonts w:ascii="Times New Roman" w:hAnsi="Times New Roman"/>
          <w:sz w:val="24"/>
          <w:szCs w:val="24"/>
        </w:rPr>
        <w:t xml:space="preserve">Justice Harris wrote opinion, overturning the Administrative Board:  </w:t>
      </w:r>
    </w:p>
    <w:p w14:paraId="3899C6C0" w14:textId="70C74AF2" w:rsidR="009F0F05" w:rsidRDefault="009F0F05" w:rsidP="009F1927">
      <w:pPr>
        <w:ind w:left="720"/>
        <w:rPr>
          <w:rFonts w:ascii="Times New Roman" w:hAnsi="Times New Roman"/>
          <w:sz w:val="24"/>
          <w:szCs w:val="24"/>
        </w:rPr>
      </w:pPr>
      <w:r>
        <w:rPr>
          <w:rFonts w:ascii="Times New Roman" w:hAnsi="Times New Roman"/>
          <w:sz w:val="24"/>
          <w:szCs w:val="24"/>
        </w:rPr>
        <w:t>“</w:t>
      </w:r>
      <w:r w:rsidRPr="006C49C9">
        <w:rPr>
          <w:rFonts w:ascii="Times New Roman" w:hAnsi="Times New Roman"/>
          <w:sz w:val="24"/>
          <w:szCs w:val="24"/>
        </w:rPr>
        <w:t xml:space="preserve">Although the Board agreed with Dr. </w:t>
      </w:r>
      <w:proofErr w:type="spellStart"/>
      <w:r w:rsidRPr="006C49C9">
        <w:rPr>
          <w:rFonts w:ascii="Times New Roman" w:hAnsi="Times New Roman"/>
          <w:sz w:val="24"/>
          <w:szCs w:val="24"/>
        </w:rPr>
        <w:t>Pelinkovic</w:t>
      </w:r>
      <w:proofErr w:type="spellEnd"/>
      <w:r w:rsidRPr="006C49C9">
        <w:rPr>
          <w:rFonts w:ascii="Times New Roman" w:hAnsi="Times New Roman"/>
          <w:sz w:val="24"/>
          <w:szCs w:val="24"/>
        </w:rPr>
        <w:t xml:space="preserve"> and Dr. Gleason that plaintiff was permanently disabled, it disagreed with their determination that the October 21, 2015, incident, or the cumulative effects of acts of </w:t>
      </w:r>
      <w:proofErr w:type="spellStart"/>
      <w:r w:rsidRPr="006C49C9">
        <w:rPr>
          <w:rFonts w:ascii="Times New Roman" w:hAnsi="Times New Roman"/>
          <w:sz w:val="24"/>
          <w:szCs w:val="24"/>
        </w:rPr>
        <w:t>fire fighting</w:t>
      </w:r>
      <w:proofErr w:type="spellEnd"/>
      <w:r w:rsidRPr="006C49C9">
        <w:rPr>
          <w:rFonts w:ascii="Times New Roman" w:hAnsi="Times New Roman"/>
          <w:sz w:val="24"/>
          <w:szCs w:val="24"/>
        </w:rPr>
        <w:t>, contributed to his disability. Instead, they credited Dr. Graf’s opinion that plaintiff’s condition is solely the result of his preexisting lower back issues.</w:t>
      </w:r>
      <w:r>
        <w:rPr>
          <w:rFonts w:ascii="Times New Roman" w:hAnsi="Times New Roman"/>
          <w:sz w:val="24"/>
          <w:szCs w:val="24"/>
        </w:rPr>
        <w:t xml:space="preserve">  ***</w:t>
      </w:r>
      <w:r w:rsidR="009F1927">
        <w:rPr>
          <w:rFonts w:ascii="Times New Roman" w:hAnsi="Times New Roman"/>
          <w:sz w:val="24"/>
          <w:szCs w:val="24"/>
        </w:rPr>
        <w:t xml:space="preserve"> </w:t>
      </w:r>
      <w:r w:rsidRPr="004A2CCB">
        <w:rPr>
          <w:rFonts w:ascii="Times New Roman" w:hAnsi="Times New Roman"/>
          <w:sz w:val="24"/>
          <w:szCs w:val="24"/>
        </w:rPr>
        <w:t>Dr. Graf’s decision to place great weight on plaintiff’s MRIs, with no consideration of whether plaintiff’s extrication of a victim weighing over 300 pounds and another over 200 pounds could have aggravated his preexisting condition, renders his opinion unreliable.</w:t>
      </w:r>
      <w:r>
        <w:rPr>
          <w:rFonts w:ascii="Times New Roman" w:hAnsi="Times New Roman"/>
          <w:sz w:val="24"/>
          <w:szCs w:val="24"/>
        </w:rPr>
        <w:t>”</w:t>
      </w:r>
    </w:p>
    <w:p w14:paraId="56318945" w14:textId="77777777" w:rsidR="009F0F05" w:rsidRPr="00AD64CA" w:rsidRDefault="009F0F05" w:rsidP="009F0F05">
      <w:pPr>
        <w:pStyle w:val="NoSpacing"/>
        <w:rPr>
          <w:b/>
          <w:bCs/>
        </w:rPr>
      </w:pPr>
      <w:r w:rsidRPr="00AD64CA">
        <w:rPr>
          <w:rFonts w:ascii="Times New Roman" w:hAnsi="Times New Roman"/>
          <w:b/>
          <w:bCs/>
          <w:sz w:val="24"/>
          <w:szCs w:val="24"/>
        </w:rPr>
        <w:t xml:space="preserve">Legal Lessons Learned: </w:t>
      </w:r>
      <w:r>
        <w:rPr>
          <w:rFonts w:ascii="Times New Roman" w:hAnsi="Times New Roman"/>
          <w:b/>
          <w:bCs/>
          <w:sz w:val="24"/>
          <w:szCs w:val="24"/>
        </w:rPr>
        <w:t xml:space="preserve"> Overturning Administrative Board decision is rare; the firefighter made an excellent record with testimony of two treating physicians. </w:t>
      </w:r>
    </w:p>
    <w:p w14:paraId="6D256988" w14:textId="77777777" w:rsidR="00715CF2" w:rsidRDefault="00715CF2" w:rsidP="00715CF2">
      <w:pPr>
        <w:rPr>
          <w:rFonts w:ascii="Times New Roman" w:hAnsi="Times New Roman"/>
          <w:bCs/>
          <w:sz w:val="24"/>
          <w:szCs w:val="24"/>
        </w:rPr>
      </w:pPr>
    </w:p>
    <w:p w14:paraId="3A27B6C1" w14:textId="25E5382A" w:rsidR="00EF1133" w:rsidRDefault="00EF1133" w:rsidP="00EF1133">
      <w:pPr>
        <w:rPr>
          <w:rFonts w:ascii="Arial Black" w:hAnsi="Arial Black"/>
          <w:b/>
          <w:sz w:val="24"/>
          <w:szCs w:val="24"/>
        </w:rPr>
      </w:pPr>
      <w:r>
        <w:rPr>
          <w:rFonts w:ascii="Arial Black" w:hAnsi="Arial Black"/>
          <w:b/>
          <w:sz w:val="24"/>
          <w:szCs w:val="24"/>
        </w:rPr>
        <w:t>6</w:t>
      </w:r>
      <w:r w:rsidRPr="00EF1133">
        <w:rPr>
          <w:rFonts w:ascii="Arial Black" w:hAnsi="Arial Black"/>
          <w:b/>
          <w:sz w:val="24"/>
          <w:szCs w:val="24"/>
        </w:rPr>
        <w:t>-</w:t>
      </w:r>
      <w:r>
        <w:rPr>
          <w:rFonts w:ascii="Arial Black" w:hAnsi="Arial Black"/>
          <w:b/>
          <w:sz w:val="24"/>
          <w:szCs w:val="24"/>
        </w:rPr>
        <w:t>2</w:t>
      </w:r>
      <w:r w:rsidR="005B0774">
        <w:rPr>
          <w:rFonts w:ascii="Arial Black" w:hAnsi="Arial Black"/>
          <w:b/>
          <w:sz w:val="24"/>
          <w:szCs w:val="24"/>
        </w:rPr>
        <w:t>2</w:t>
      </w:r>
    </w:p>
    <w:p w14:paraId="506BFCEA" w14:textId="7263A9C4" w:rsidR="00F326E5" w:rsidRDefault="00F326E5" w:rsidP="00F326E5">
      <w:pPr>
        <w:pStyle w:val="NoSpacing"/>
        <w:rPr>
          <w:rFonts w:ascii="Arial Black" w:hAnsi="Arial Black"/>
          <w:b/>
          <w:sz w:val="28"/>
          <w:szCs w:val="28"/>
        </w:rPr>
      </w:pPr>
      <w:bookmarkStart w:id="246" w:name="_Hlk7343020"/>
      <w:r w:rsidRPr="00680B03">
        <w:rPr>
          <w:rFonts w:ascii="Arial Black" w:hAnsi="Arial Black"/>
          <w:sz w:val="28"/>
          <w:szCs w:val="28"/>
        </w:rPr>
        <w:t xml:space="preserve">PA: </w:t>
      </w:r>
      <w:r>
        <w:rPr>
          <w:rFonts w:ascii="Arial Black" w:hAnsi="Arial Black"/>
          <w:sz w:val="28"/>
          <w:szCs w:val="28"/>
        </w:rPr>
        <w:t xml:space="preserve"> CAN’T RETIRE AT AGE 50 –CITY AND UNION IN CBA ESTABLISHED MINIMUM AGE AT 55 </w:t>
      </w:r>
    </w:p>
    <w:p w14:paraId="0F32058C" w14:textId="77777777" w:rsidR="009F1927" w:rsidRDefault="00F326E5" w:rsidP="00F326E5">
      <w:pPr>
        <w:pStyle w:val="NoSpacing"/>
        <w:rPr>
          <w:rFonts w:ascii="Times New Roman" w:hAnsi="Times New Roman"/>
          <w:sz w:val="24"/>
          <w:szCs w:val="24"/>
        </w:rPr>
      </w:pPr>
      <w:r w:rsidRPr="009F1927">
        <w:rPr>
          <w:rFonts w:ascii="Times New Roman" w:hAnsi="Times New Roman"/>
          <w:sz w:val="24"/>
          <w:szCs w:val="24"/>
        </w:rPr>
        <w:t xml:space="preserve">On March 25, 2019, in </w:t>
      </w:r>
      <w:r w:rsidRPr="009F1927">
        <w:rPr>
          <w:rFonts w:ascii="Times New Roman" w:hAnsi="Times New Roman"/>
          <w:sz w:val="24"/>
          <w:szCs w:val="24"/>
          <w:u w:val="single"/>
        </w:rPr>
        <w:t>Joseph C. Bongivengo v. City of New Castle Pension Plan Board and The City of New Castle</w:t>
      </w:r>
      <w:r w:rsidRPr="009F1927">
        <w:rPr>
          <w:rFonts w:ascii="Times New Roman" w:hAnsi="Times New Roman"/>
          <w:sz w:val="24"/>
          <w:szCs w:val="24"/>
        </w:rPr>
        <w:t xml:space="preserve">, the Commonwealth Court of Pennsylvania held (3 to 0): </w:t>
      </w:r>
    </w:p>
    <w:p w14:paraId="0BB6A836" w14:textId="77777777" w:rsidR="009F1927" w:rsidRDefault="009F1927" w:rsidP="00F326E5">
      <w:pPr>
        <w:pStyle w:val="NoSpacing"/>
        <w:rPr>
          <w:rFonts w:ascii="Times New Roman" w:hAnsi="Times New Roman"/>
          <w:sz w:val="24"/>
          <w:szCs w:val="24"/>
        </w:rPr>
      </w:pPr>
    </w:p>
    <w:p w14:paraId="59D28EF9" w14:textId="795FE72C" w:rsidR="00F326E5" w:rsidRPr="009F1927" w:rsidRDefault="00F326E5" w:rsidP="009F1927">
      <w:pPr>
        <w:pStyle w:val="NoSpacing"/>
        <w:ind w:left="720" w:firstLine="60"/>
        <w:rPr>
          <w:rFonts w:ascii="Times New Roman" w:hAnsi="Times New Roman"/>
          <w:sz w:val="24"/>
          <w:szCs w:val="24"/>
        </w:rPr>
      </w:pPr>
      <w:r w:rsidRPr="009F1927">
        <w:rPr>
          <w:rFonts w:ascii="Times New Roman" w:hAnsi="Times New Roman"/>
          <w:sz w:val="24"/>
          <w:szCs w:val="24"/>
        </w:rPr>
        <w:lastRenderedPageBreak/>
        <w:t xml:space="preserve">“This ruling also disposes of Bongivengo’s argument that the </w:t>
      </w:r>
      <w:proofErr w:type="gramStart"/>
      <w:r w:rsidRPr="009F1927">
        <w:rPr>
          <w:rFonts w:ascii="Times New Roman" w:hAnsi="Times New Roman"/>
          <w:sz w:val="24"/>
          <w:szCs w:val="24"/>
        </w:rPr>
        <w:t>City</w:t>
      </w:r>
      <w:proofErr w:type="gramEnd"/>
      <w:r w:rsidRPr="009F1927">
        <w:rPr>
          <w:rFonts w:ascii="Times New Roman" w:hAnsi="Times New Roman"/>
          <w:sz w:val="24"/>
          <w:szCs w:val="24"/>
        </w:rPr>
        <w:t xml:space="preserve"> violated Section 607(e) of Act 205 because it did not engage in collective bargaining before it implemented the new age and years of service requirements. As noted above, the </w:t>
      </w:r>
      <w:proofErr w:type="gramStart"/>
      <w:r w:rsidRPr="009F1927">
        <w:rPr>
          <w:rFonts w:ascii="Times New Roman" w:hAnsi="Times New Roman"/>
          <w:sz w:val="24"/>
          <w:szCs w:val="24"/>
        </w:rPr>
        <w:t>City</w:t>
      </w:r>
      <w:proofErr w:type="gramEnd"/>
      <w:r w:rsidRPr="009F1927">
        <w:rPr>
          <w:rFonts w:ascii="Times New Roman" w:hAnsi="Times New Roman"/>
          <w:sz w:val="24"/>
          <w:szCs w:val="24"/>
        </w:rPr>
        <w:t xml:space="preserve"> and the Union did collectively bargain for the age and years of service requirement, as first reflected in the 1992 CBA and subsequently in every CBA </w:t>
      </w:r>
      <w:proofErr w:type="gramStart"/>
      <w:r w:rsidRPr="009F1927">
        <w:rPr>
          <w:rFonts w:ascii="Times New Roman" w:hAnsi="Times New Roman"/>
          <w:sz w:val="24"/>
          <w:szCs w:val="24"/>
        </w:rPr>
        <w:t>thereafter.”</w:t>
      </w:r>
      <w:proofErr w:type="gramEnd"/>
      <w:r w:rsidRPr="009F1927">
        <w:rPr>
          <w:rFonts w:ascii="Times New Roman" w:hAnsi="Times New Roman"/>
          <w:sz w:val="24"/>
          <w:szCs w:val="24"/>
        </w:rPr>
        <w:t xml:space="preserve"> </w:t>
      </w:r>
      <w:hyperlink r:id="rId1297" w:history="1">
        <w:r w:rsidRPr="009F1927">
          <w:rPr>
            <w:rStyle w:val="Hyperlink"/>
            <w:rFonts w:ascii="Times New Roman" w:hAnsi="Times New Roman"/>
            <w:sz w:val="24"/>
            <w:szCs w:val="24"/>
          </w:rPr>
          <w:t>http://www.pacourts.us/assets/opinions/Commonwealth/out/877CD18_3-25-19.pdf?cb=1</w:t>
        </w:r>
      </w:hyperlink>
      <w:r w:rsidRPr="009F1927">
        <w:rPr>
          <w:rFonts w:ascii="Times New Roman" w:hAnsi="Times New Roman"/>
          <w:sz w:val="24"/>
          <w:szCs w:val="24"/>
        </w:rPr>
        <w:t xml:space="preserve"> </w:t>
      </w:r>
    </w:p>
    <w:p w14:paraId="4CC2526E" w14:textId="77777777" w:rsidR="00E40E39" w:rsidRDefault="00E40E39" w:rsidP="00F326E5">
      <w:pPr>
        <w:pStyle w:val="NoSpacing"/>
        <w:rPr>
          <w:rFonts w:ascii="Times New Roman" w:hAnsi="Times New Roman"/>
          <w:b/>
          <w:sz w:val="24"/>
          <w:szCs w:val="24"/>
        </w:rPr>
      </w:pPr>
      <w:bookmarkStart w:id="247" w:name="_Hlk6755053"/>
    </w:p>
    <w:p w14:paraId="7DC3CADC" w14:textId="181084C6" w:rsidR="00F326E5" w:rsidRPr="009F1927" w:rsidRDefault="00F326E5" w:rsidP="00F326E5">
      <w:pPr>
        <w:pStyle w:val="NoSpacing"/>
        <w:rPr>
          <w:rFonts w:ascii="Times New Roman" w:hAnsi="Times New Roman"/>
          <w:b/>
          <w:sz w:val="24"/>
          <w:szCs w:val="24"/>
        </w:rPr>
      </w:pPr>
      <w:r w:rsidRPr="009F1927">
        <w:rPr>
          <w:rFonts w:ascii="Times New Roman" w:hAnsi="Times New Roman"/>
          <w:b/>
          <w:sz w:val="24"/>
          <w:szCs w:val="24"/>
        </w:rPr>
        <w:t xml:space="preserve">Legal Lessons Learned: City and Union agreement controls minimum retirement age. </w:t>
      </w:r>
      <w:bookmarkEnd w:id="247"/>
    </w:p>
    <w:bookmarkEnd w:id="246"/>
    <w:p w14:paraId="217F3DDB" w14:textId="6F346EBB" w:rsidR="00527EDF" w:rsidRDefault="00527EDF" w:rsidP="00F326E5">
      <w:pPr>
        <w:pStyle w:val="NoSpacing"/>
        <w:rPr>
          <w:b/>
          <w:sz w:val="24"/>
          <w:szCs w:val="24"/>
        </w:rPr>
      </w:pPr>
    </w:p>
    <w:p w14:paraId="4988DD91" w14:textId="22A8D13B" w:rsidR="009F1927" w:rsidRDefault="009F1927" w:rsidP="00F326E5">
      <w:pPr>
        <w:pStyle w:val="NoSpacing"/>
        <w:rPr>
          <w:b/>
          <w:sz w:val="24"/>
          <w:szCs w:val="24"/>
        </w:rPr>
      </w:pPr>
    </w:p>
    <w:p w14:paraId="416F77D6" w14:textId="77777777" w:rsidR="009F1927" w:rsidRDefault="009F1927" w:rsidP="00F326E5">
      <w:pPr>
        <w:pStyle w:val="NoSpacing"/>
        <w:rPr>
          <w:sz w:val="24"/>
          <w:szCs w:val="24"/>
        </w:rPr>
      </w:pPr>
    </w:p>
    <w:p w14:paraId="6E8B5245" w14:textId="7DCE07A4" w:rsidR="00EF1133" w:rsidRDefault="00EF1133" w:rsidP="00EF1133">
      <w:pPr>
        <w:rPr>
          <w:rFonts w:ascii="Arial Black" w:hAnsi="Arial Black"/>
          <w:b/>
          <w:sz w:val="24"/>
          <w:szCs w:val="24"/>
        </w:rPr>
      </w:pPr>
      <w:r>
        <w:rPr>
          <w:rFonts w:ascii="Arial Black" w:hAnsi="Arial Black"/>
          <w:b/>
          <w:sz w:val="24"/>
          <w:szCs w:val="24"/>
        </w:rPr>
        <w:t>6</w:t>
      </w:r>
      <w:r w:rsidRPr="00EF1133">
        <w:rPr>
          <w:rFonts w:ascii="Arial Black" w:hAnsi="Arial Black"/>
          <w:b/>
          <w:sz w:val="24"/>
          <w:szCs w:val="24"/>
        </w:rPr>
        <w:t>-</w:t>
      </w:r>
      <w:r w:rsidR="005F7D6B">
        <w:rPr>
          <w:rFonts w:ascii="Arial Black" w:hAnsi="Arial Black"/>
          <w:b/>
          <w:sz w:val="24"/>
          <w:szCs w:val="24"/>
        </w:rPr>
        <w:t>2</w:t>
      </w:r>
      <w:r w:rsidR="005B0774">
        <w:rPr>
          <w:rFonts w:ascii="Arial Black" w:hAnsi="Arial Black"/>
          <w:b/>
          <w:sz w:val="24"/>
          <w:szCs w:val="24"/>
        </w:rPr>
        <w:t>1</w:t>
      </w:r>
    </w:p>
    <w:p w14:paraId="5724CFAB" w14:textId="7474B963" w:rsidR="00527EDF" w:rsidRDefault="00527EDF" w:rsidP="00527EDF">
      <w:pPr>
        <w:pStyle w:val="NoSpacing"/>
        <w:rPr>
          <w:rFonts w:ascii="Arial Black" w:hAnsi="Arial Black"/>
          <w:sz w:val="28"/>
          <w:szCs w:val="28"/>
        </w:rPr>
      </w:pPr>
      <w:bookmarkStart w:id="248" w:name="_Hlk10126961"/>
      <w:r>
        <w:rPr>
          <w:rFonts w:ascii="Arial Black" w:hAnsi="Arial Black"/>
          <w:sz w:val="28"/>
          <w:szCs w:val="28"/>
        </w:rPr>
        <w:t xml:space="preserve">OH: FF CANCER - LUMBAR SPINE LYMPHOMA – CITY CONTESTED – FF FILED FOR COSTS / ATTY FEES, CITY LATE IN RESPONDING, MUST PAY </w:t>
      </w:r>
    </w:p>
    <w:p w14:paraId="3A3FAB1F" w14:textId="77777777" w:rsidR="00527EDF" w:rsidRDefault="00527EDF" w:rsidP="00527EDF">
      <w:pPr>
        <w:pStyle w:val="NoSpacing"/>
        <w:rPr>
          <w:rFonts w:ascii="Arial Black" w:hAnsi="Arial Black"/>
          <w:sz w:val="28"/>
          <w:szCs w:val="28"/>
        </w:rPr>
      </w:pPr>
    </w:p>
    <w:p w14:paraId="3794A73E" w14:textId="77777777" w:rsidR="00527EDF" w:rsidRPr="002F51DD" w:rsidRDefault="00527EDF" w:rsidP="00527EDF">
      <w:pPr>
        <w:pStyle w:val="NoSpacing"/>
        <w:rPr>
          <w:rFonts w:ascii="Times New Roman" w:hAnsi="Times New Roman"/>
          <w:sz w:val="24"/>
          <w:szCs w:val="24"/>
        </w:rPr>
      </w:pPr>
      <w:r w:rsidRPr="002F51DD">
        <w:rPr>
          <w:rFonts w:ascii="Times New Roman" w:hAnsi="Times New Roman"/>
          <w:sz w:val="24"/>
          <w:szCs w:val="24"/>
        </w:rPr>
        <w:t xml:space="preserve">On May 23, 2019, in </w:t>
      </w:r>
      <w:r w:rsidRPr="002F51DD">
        <w:rPr>
          <w:rFonts w:ascii="Times New Roman" w:hAnsi="Times New Roman"/>
          <w:sz w:val="24"/>
          <w:szCs w:val="24"/>
          <w:u w:val="single"/>
        </w:rPr>
        <w:t>Robert T. Rodgers v. City of Rocky River, et al</w:t>
      </w:r>
      <w:r>
        <w:rPr>
          <w:rFonts w:ascii="Times New Roman" w:hAnsi="Times New Roman"/>
          <w:sz w:val="24"/>
          <w:szCs w:val="24"/>
        </w:rPr>
        <w:t xml:space="preserve">., 2010 Ohio 2006 (Ohio App, 2019), the Ohio Court of Appeals for Cuyahoga County (3 to 0), upheld the trial court’s order that City reimburse the firefighter for his costs and attorney fees of $3,734.45. </w:t>
      </w:r>
    </w:p>
    <w:p w14:paraId="5CE0CD57" w14:textId="77777777" w:rsidR="00527EDF" w:rsidRDefault="00527EDF" w:rsidP="00527EDF">
      <w:pPr>
        <w:pStyle w:val="NoSpacing"/>
        <w:rPr>
          <w:rFonts w:ascii="Arial Black" w:hAnsi="Arial Black"/>
          <w:sz w:val="28"/>
          <w:szCs w:val="28"/>
        </w:rPr>
      </w:pPr>
    </w:p>
    <w:p w14:paraId="373257F3" w14:textId="77777777" w:rsidR="00527EDF" w:rsidRDefault="00527EDF" w:rsidP="00527EDF">
      <w:pPr>
        <w:pStyle w:val="NoSpacing"/>
        <w:ind w:left="720"/>
      </w:pPr>
      <w:r>
        <w:rPr>
          <w:rFonts w:ascii="Times New Roman" w:hAnsi="Times New Roman"/>
          <w:sz w:val="24"/>
          <w:szCs w:val="24"/>
        </w:rPr>
        <w:t>“[W]e</w:t>
      </w:r>
      <w:r w:rsidRPr="00D82AA5">
        <w:rPr>
          <w:rFonts w:ascii="Times New Roman" w:hAnsi="Times New Roman"/>
          <w:sz w:val="24"/>
          <w:szCs w:val="24"/>
        </w:rPr>
        <w:t xml:space="preserve"> note that the plain language of R.C. 4123.512(F) authorizes the award of attorney fees and costs against </w:t>
      </w:r>
      <w:r>
        <w:rPr>
          <w:rFonts w:ascii="Times New Roman" w:hAnsi="Times New Roman"/>
          <w:sz w:val="24"/>
          <w:szCs w:val="24"/>
        </w:rPr>
        <w:t>‘</w:t>
      </w:r>
      <w:r w:rsidRPr="00D82AA5">
        <w:rPr>
          <w:rFonts w:ascii="Times New Roman" w:hAnsi="Times New Roman"/>
          <w:sz w:val="24"/>
          <w:szCs w:val="24"/>
        </w:rPr>
        <w:t>the employer</w:t>
      </w:r>
      <w:r>
        <w:rPr>
          <w:rFonts w:ascii="Times New Roman" w:hAnsi="Times New Roman"/>
          <w:sz w:val="24"/>
          <w:szCs w:val="24"/>
        </w:rPr>
        <w:t xml:space="preserve">’ </w:t>
      </w:r>
      <w:r w:rsidRPr="00D82AA5">
        <w:rPr>
          <w:rFonts w:ascii="Times New Roman" w:hAnsi="Times New Roman"/>
          <w:sz w:val="24"/>
          <w:szCs w:val="24"/>
        </w:rPr>
        <w:t xml:space="preserve">who contests an injured worker’s right to participate in the workers’ compensation system after an injured worker’s right to participate is established. The statute does not differentiate between public and private employers, unlike in R.C. 4123.01(B) where the legislature provided different definitions of “employers” — public (political subdivisions) and private. This demonstrates that the legislature had the ability to establish immunity for political subdivisions or public employers from an award of attorney fees and </w:t>
      </w:r>
      <w:proofErr w:type="gramStart"/>
      <w:r w:rsidRPr="00D82AA5">
        <w:rPr>
          <w:rFonts w:ascii="Times New Roman" w:hAnsi="Times New Roman"/>
          <w:sz w:val="24"/>
          <w:szCs w:val="24"/>
        </w:rPr>
        <w:t>costs,</w:t>
      </w:r>
      <w:r>
        <w:rPr>
          <w:rFonts w:ascii="Times New Roman" w:hAnsi="Times New Roman"/>
          <w:sz w:val="24"/>
          <w:szCs w:val="24"/>
        </w:rPr>
        <w:t xml:space="preserve"> </w:t>
      </w:r>
      <w:r w:rsidRPr="00D82AA5">
        <w:rPr>
          <w:rFonts w:ascii="Times New Roman" w:hAnsi="Times New Roman"/>
          <w:sz w:val="24"/>
          <w:szCs w:val="24"/>
        </w:rPr>
        <w:t>but</w:t>
      </w:r>
      <w:proofErr w:type="gramEnd"/>
      <w:r w:rsidRPr="00D82AA5">
        <w:rPr>
          <w:rFonts w:ascii="Times New Roman" w:hAnsi="Times New Roman"/>
          <w:sz w:val="24"/>
          <w:szCs w:val="24"/>
        </w:rPr>
        <w:t xml:space="preserve"> elected not to do so. </w:t>
      </w:r>
    </w:p>
    <w:p w14:paraId="2164DAD9" w14:textId="77777777" w:rsidR="00527EDF" w:rsidRDefault="00527EDF" w:rsidP="00527EDF">
      <w:pPr>
        <w:pStyle w:val="NoSpacing"/>
        <w:ind w:firstLine="720"/>
      </w:pPr>
      <w:hyperlink r:id="rId1298" w:history="1">
        <w:r w:rsidRPr="00BA6FF6">
          <w:rPr>
            <w:rStyle w:val="Hyperlink"/>
          </w:rPr>
          <w:t>https://cases.justia.com/ohio/eighth-district-court-of-appeals/2019-108059.pdf?ts=1558624525</w:t>
        </w:r>
      </w:hyperlink>
      <w:r>
        <w:t xml:space="preserve"> </w:t>
      </w:r>
    </w:p>
    <w:p w14:paraId="42639428" w14:textId="77777777" w:rsidR="00527EDF" w:rsidRDefault="00527EDF" w:rsidP="00527EDF">
      <w:pPr>
        <w:pStyle w:val="NoSpacing"/>
        <w:rPr>
          <w:rFonts w:ascii="Times New Roman" w:hAnsi="Times New Roman"/>
          <w:b/>
          <w:sz w:val="24"/>
          <w:szCs w:val="24"/>
        </w:rPr>
      </w:pPr>
      <w:bookmarkStart w:id="249" w:name="_Hlk10127002"/>
      <w:bookmarkEnd w:id="248"/>
    </w:p>
    <w:p w14:paraId="06754DAA" w14:textId="5D312BA0" w:rsidR="00527EDF" w:rsidRPr="00135A21" w:rsidRDefault="00527EDF" w:rsidP="00527EDF">
      <w:pPr>
        <w:pStyle w:val="NoSpacing"/>
        <w:rPr>
          <w:rFonts w:ascii="Times New Roman" w:hAnsi="Times New Roman"/>
          <w:b/>
          <w:sz w:val="24"/>
          <w:szCs w:val="24"/>
        </w:rPr>
      </w:pPr>
      <w:r w:rsidRPr="00135A21">
        <w:rPr>
          <w:rFonts w:ascii="Times New Roman" w:hAnsi="Times New Roman"/>
          <w:b/>
          <w:sz w:val="24"/>
          <w:szCs w:val="24"/>
        </w:rPr>
        <w:t xml:space="preserve">Legal Lessons Learned: </w:t>
      </w:r>
      <w:r>
        <w:rPr>
          <w:rFonts w:ascii="Times New Roman" w:hAnsi="Times New Roman"/>
          <w:b/>
          <w:sz w:val="24"/>
          <w:szCs w:val="24"/>
        </w:rPr>
        <w:t xml:space="preserve"> City failed to timely appeal award of costs and attorney fees; no statute protects city from liability for court cost and attorney fees. </w:t>
      </w:r>
    </w:p>
    <w:bookmarkEnd w:id="249"/>
    <w:p w14:paraId="00B1EDFE" w14:textId="032C577C" w:rsidR="00527EDF" w:rsidRPr="00254438" w:rsidRDefault="00527EDF" w:rsidP="00F326E5">
      <w:pPr>
        <w:pStyle w:val="NoSpacing"/>
        <w:rPr>
          <w:sz w:val="24"/>
          <w:szCs w:val="24"/>
        </w:rPr>
      </w:pPr>
    </w:p>
    <w:p w14:paraId="4AFAF734" w14:textId="77777777" w:rsidR="00F326E5" w:rsidRDefault="00F326E5" w:rsidP="00F326E5">
      <w:pPr>
        <w:pStyle w:val="NoSpacing"/>
        <w:rPr>
          <w:b/>
          <w:sz w:val="24"/>
          <w:szCs w:val="24"/>
        </w:rPr>
      </w:pPr>
    </w:p>
    <w:p w14:paraId="5653F92F" w14:textId="77777777" w:rsidR="00EF1133" w:rsidRDefault="00EF1133" w:rsidP="00EF1133">
      <w:pPr>
        <w:rPr>
          <w:rFonts w:ascii="Arial Black" w:hAnsi="Arial Black"/>
          <w:b/>
          <w:sz w:val="24"/>
          <w:szCs w:val="24"/>
        </w:rPr>
      </w:pPr>
      <w:bookmarkStart w:id="250" w:name="_Hlk7343060"/>
    </w:p>
    <w:p w14:paraId="44FFF05F" w14:textId="71A89486" w:rsidR="00EF1133" w:rsidRDefault="00EF1133" w:rsidP="00EF1133">
      <w:pPr>
        <w:rPr>
          <w:rFonts w:ascii="Arial Black" w:hAnsi="Arial Black"/>
          <w:b/>
          <w:sz w:val="24"/>
          <w:szCs w:val="24"/>
        </w:rPr>
      </w:pPr>
      <w:r>
        <w:rPr>
          <w:rFonts w:ascii="Arial Black" w:hAnsi="Arial Black"/>
          <w:b/>
          <w:sz w:val="24"/>
          <w:szCs w:val="24"/>
        </w:rPr>
        <w:t>6</w:t>
      </w:r>
      <w:r w:rsidRPr="00EF1133">
        <w:rPr>
          <w:rFonts w:ascii="Arial Black" w:hAnsi="Arial Black"/>
          <w:b/>
          <w:sz w:val="24"/>
          <w:szCs w:val="24"/>
        </w:rPr>
        <w:t>-</w:t>
      </w:r>
      <w:r w:rsidR="005B0774">
        <w:rPr>
          <w:rFonts w:ascii="Arial Black" w:hAnsi="Arial Black"/>
          <w:b/>
          <w:sz w:val="24"/>
          <w:szCs w:val="24"/>
        </w:rPr>
        <w:t>20</w:t>
      </w:r>
    </w:p>
    <w:p w14:paraId="7C5CCD6C" w14:textId="675932CE" w:rsidR="00527EDF" w:rsidRDefault="00527EDF" w:rsidP="00527EDF">
      <w:pPr>
        <w:pStyle w:val="NoSpacing"/>
        <w:rPr>
          <w:rFonts w:ascii="Arial Black" w:hAnsi="Arial Black"/>
          <w:sz w:val="28"/>
          <w:szCs w:val="28"/>
        </w:rPr>
      </w:pPr>
      <w:r w:rsidRPr="008C7754">
        <w:rPr>
          <w:rFonts w:ascii="Arial Black" w:hAnsi="Arial Black"/>
          <w:sz w:val="28"/>
          <w:szCs w:val="28"/>
        </w:rPr>
        <w:t xml:space="preserve">IL: </w:t>
      </w:r>
      <w:r>
        <w:rPr>
          <w:rFonts w:ascii="Arial Black" w:hAnsi="Arial Black"/>
          <w:sz w:val="28"/>
          <w:szCs w:val="28"/>
        </w:rPr>
        <w:t xml:space="preserve">FF KIDNEY CANCER – WORK. COMP. GRANTED – EXPERT WITNESS CAUSED BY JOB, NOT OBESITY &amp; HYPERTENSION </w:t>
      </w:r>
    </w:p>
    <w:p w14:paraId="637A92C8" w14:textId="44A1892E" w:rsidR="00527EDF" w:rsidRPr="00114E9B" w:rsidRDefault="00527EDF" w:rsidP="00527EDF">
      <w:pPr>
        <w:rPr>
          <w:rFonts w:ascii="Times New Roman" w:hAnsi="Times New Roman"/>
          <w:sz w:val="24"/>
          <w:szCs w:val="24"/>
        </w:rPr>
      </w:pPr>
      <w:r w:rsidRPr="00114E9B">
        <w:rPr>
          <w:rFonts w:ascii="Times New Roman" w:hAnsi="Times New Roman"/>
          <w:sz w:val="24"/>
          <w:szCs w:val="24"/>
        </w:rPr>
        <w:t xml:space="preserve">On May 10, 2019, in </w:t>
      </w:r>
      <w:r w:rsidRPr="00114E9B">
        <w:rPr>
          <w:rFonts w:ascii="Times New Roman" w:hAnsi="Times New Roman"/>
          <w:sz w:val="24"/>
          <w:szCs w:val="24"/>
          <w:u w:val="single"/>
        </w:rPr>
        <w:t>City of Peoria v. Illinois Workers’ Compensation Commission (Bryan Grant</w:t>
      </w:r>
      <w:r w:rsidRPr="00114E9B">
        <w:rPr>
          <w:rFonts w:ascii="Times New Roman" w:hAnsi="Times New Roman"/>
          <w:sz w:val="24"/>
          <w:szCs w:val="24"/>
        </w:rPr>
        <w:t>), the Appellate Court of Illinois, Third District, Workers Comp Division, held (5 to 0) that the firefighter’s cancer was caused by the job.</w:t>
      </w:r>
    </w:p>
    <w:p w14:paraId="093AD023" w14:textId="77777777" w:rsidR="00527EDF" w:rsidRDefault="00527EDF" w:rsidP="00527EDF">
      <w:pPr>
        <w:pStyle w:val="NoSpacing"/>
        <w:ind w:left="720"/>
        <w:rPr>
          <w:rFonts w:ascii="Times New Roman" w:hAnsi="Times New Roman"/>
          <w:sz w:val="24"/>
          <w:szCs w:val="24"/>
        </w:rPr>
      </w:pPr>
      <w:r w:rsidRPr="00114E9B">
        <w:rPr>
          <w:rFonts w:ascii="Times New Roman" w:hAnsi="Times New Roman"/>
          <w:sz w:val="24"/>
          <w:szCs w:val="24"/>
        </w:rPr>
        <w:t>“By finding that the petitioner’s workplace exposures to carcinogenic gases caused his kidney cancer, the Illinois Workers’ Compensation Commission did not make a finding that was against the manifest weight of the evidence.”</w:t>
      </w:r>
    </w:p>
    <w:p w14:paraId="1F32BC66" w14:textId="304F7E4C" w:rsidR="00527EDF" w:rsidRDefault="00527EDF" w:rsidP="00527EDF">
      <w:pPr>
        <w:pStyle w:val="NoSpacing"/>
        <w:ind w:left="720"/>
        <w:rPr>
          <w:rStyle w:val="Hyperlink"/>
          <w:rFonts w:ascii="Times New Roman" w:hAnsi="Times New Roman"/>
          <w:sz w:val="24"/>
          <w:szCs w:val="24"/>
        </w:rPr>
      </w:pPr>
      <w:hyperlink r:id="rId1299" w:history="1">
        <w:r w:rsidRPr="00114E9B">
          <w:rPr>
            <w:rStyle w:val="Hyperlink"/>
            <w:rFonts w:ascii="Times New Roman" w:hAnsi="Times New Roman"/>
            <w:sz w:val="24"/>
            <w:szCs w:val="24"/>
          </w:rPr>
          <w:t>http://www.illinoiscourts.gov/R23_Orders/WorkersComp/2019/3180397WC_R23.pdf</w:t>
        </w:r>
      </w:hyperlink>
    </w:p>
    <w:p w14:paraId="23429176" w14:textId="4BD31590" w:rsidR="00527EDF" w:rsidRDefault="00527EDF" w:rsidP="00527EDF">
      <w:pPr>
        <w:pStyle w:val="NoSpacing"/>
        <w:rPr>
          <w:rStyle w:val="Hyperlink"/>
          <w:rFonts w:ascii="Times New Roman" w:hAnsi="Times New Roman"/>
          <w:sz w:val="24"/>
          <w:szCs w:val="24"/>
        </w:rPr>
      </w:pPr>
    </w:p>
    <w:p w14:paraId="6BA0AE4E" w14:textId="77777777" w:rsidR="00527EDF" w:rsidRDefault="00527EDF" w:rsidP="00527EDF">
      <w:pPr>
        <w:pStyle w:val="NoSpacing"/>
        <w:rPr>
          <w:rFonts w:ascii="Times New Roman" w:hAnsi="Times New Roman"/>
          <w:b/>
          <w:sz w:val="24"/>
          <w:szCs w:val="24"/>
        </w:rPr>
      </w:pPr>
      <w:bookmarkStart w:id="251" w:name="_Hlk10127098"/>
      <w:r w:rsidRPr="00A0664F">
        <w:rPr>
          <w:rFonts w:ascii="Times New Roman" w:hAnsi="Times New Roman"/>
          <w:b/>
          <w:sz w:val="24"/>
          <w:szCs w:val="24"/>
        </w:rPr>
        <w:lastRenderedPageBreak/>
        <w:t xml:space="preserve">Legal Lessons Learned: </w:t>
      </w:r>
      <w:r>
        <w:rPr>
          <w:rFonts w:ascii="Times New Roman" w:hAnsi="Times New Roman"/>
          <w:b/>
          <w:sz w:val="24"/>
          <w:szCs w:val="24"/>
        </w:rPr>
        <w:t xml:space="preserve"> Many states, including Illinois, have now enacted a statutory presumption on FF cancer.  But some employers are contesting claims, particularly if FF has poor health history.   </w:t>
      </w:r>
    </w:p>
    <w:p w14:paraId="0E4BD0D0" w14:textId="77777777" w:rsidR="00527EDF" w:rsidRDefault="00527EDF" w:rsidP="00527EDF">
      <w:pPr>
        <w:pStyle w:val="NoSpacing"/>
        <w:ind w:left="720"/>
        <w:rPr>
          <w:rFonts w:ascii="Times New Roman" w:hAnsi="Times New Roman"/>
          <w:sz w:val="24"/>
          <w:szCs w:val="24"/>
        </w:rPr>
      </w:pPr>
    </w:p>
    <w:p w14:paraId="0D967363" w14:textId="77777777" w:rsidR="00527EDF" w:rsidRPr="001922D5" w:rsidRDefault="00527EDF" w:rsidP="00527EDF">
      <w:pPr>
        <w:pStyle w:val="NoSpacing"/>
        <w:ind w:left="720"/>
        <w:rPr>
          <w:rFonts w:ascii="Times New Roman" w:hAnsi="Times New Roman"/>
          <w:sz w:val="24"/>
          <w:szCs w:val="24"/>
        </w:rPr>
      </w:pPr>
      <w:r>
        <w:rPr>
          <w:rFonts w:ascii="Times New Roman" w:hAnsi="Times New Roman"/>
          <w:sz w:val="24"/>
          <w:szCs w:val="24"/>
        </w:rPr>
        <w:t>S</w:t>
      </w:r>
      <w:r w:rsidRPr="00A0664F">
        <w:rPr>
          <w:rFonts w:ascii="Times New Roman" w:hAnsi="Times New Roman"/>
          <w:sz w:val="24"/>
          <w:szCs w:val="24"/>
        </w:rPr>
        <w:t xml:space="preserve">ee </w:t>
      </w:r>
      <w:r>
        <w:rPr>
          <w:rFonts w:ascii="Times New Roman" w:hAnsi="Times New Roman"/>
          <w:sz w:val="24"/>
          <w:szCs w:val="24"/>
        </w:rPr>
        <w:t xml:space="preserve">also </w:t>
      </w:r>
      <w:r w:rsidRPr="00A0664F">
        <w:rPr>
          <w:rFonts w:ascii="Times New Roman" w:hAnsi="Times New Roman"/>
          <w:sz w:val="24"/>
          <w:szCs w:val="24"/>
        </w:rPr>
        <w:t xml:space="preserve">this article on </w:t>
      </w:r>
      <w:r>
        <w:rPr>
          <w:rFonts w:ascii="Times New Roman" w:hAnsi="Times New Roman"/>
          <w:sz w:val="24"/>
          <w:szCs w:val="24"/>
        </w:rPr>
        <w:t xml:space="preserve">2017 </w:t>
      </w:r>
      <w:r w:rsidRPr="00A0664F">
        <w:rPr>
          <w:rFonts w:ascii="Times New Roman" w:hAnsi="Times New Roman"/>
          <w:sz w:val="24"/>
          <w:szCs w:val="24"/>
        </w:rPr>
        <w:t>case involving Illinois firefighter who suffered a heart attack</w:t>
      </w:r>
      <w:r>
        <w:rPr>
          <w:rFonts w:ascii="Times New Roman" w:hAnsi="Times New Roman"/>
          <w:sz w:val="24"/>
          <w:szCs w:val="24"/>
        </w:rPr>
        <w:t>. “</w:t>
      </w:r>
      <w:r w:rsidRPr="001922D5">
        <w:rPr>
          <w:rFonts w:ascii="Times New Roman" w:hAnsi="Times New Roman"/>
          <w:sz w:val="24"/>
          <w:szCs w:val="24"/>
        </w:rPr>
        <w:t>In this case, the petitioner was an obese smoker, mildly diabetic, and with a family history of heart disease.</w:t>
      </w:r>
      <w:r>
        <w:rPr>
          <w:rFonts w:ascii="Times New Roman" w:hAnsi="Times New Roman"/>
          <w:sz w:val="24"/>
          <w:szCs w:val="24"/>
        </w:rPr>
        <w:t>”</w:t>
      </w:r>
      <w:r w:rsidRPr="001922D5">
        <w:rPr>
          <w:rFonts w:ascii="Times New Roman" w:hAnsi="Times New Roman"/>
          <w:sz w:val="24"/>
          <w:szCs w:val="24"/>
        </w:rPr>
        <w:t xml:space="preserve"> </w:t>
      </w:r>
      <w:hyperlink r:id="rId1300" w:history="1">
        <w:r w:rsidRPr="001922D5">
          <w:rPr>
            <w:rStyle w:val="Hyperlink"/>
            <w:rFonts w:ascii="Times New Roman" w:hAnsi="Times New Roman"/>
            <w:sz w:val="24"/>
            <w:szCs w:val="24"/>
          </w:rPr>
          <w:t>http://inmanfitzgibbons.com/illinois-wc-alert-rebutting-the-6f-presumption/</w:t>
        </w:r>
      </w:hyperlink>
      <w:r w:rsidRPr="001922D5">
        <w:rPr>
          <w:rFonts w:ascii="Times New Roman" w:hAnsi="Times New Roman"/>
          <w:sz w:val="24"/>
          <w:szCs w:val="24"/>
        </w:rPr>
        <w:t xml:space="preserve"> </w:t>
      </w:r>
    </w:p>
    <w:p w14:paraId="5FD55CCD" w14:textId="77777777" w:rsidR="00527EDF" w:rsidRPr="006E0B93" w:rsidRDefault="00527EDF" w:rsidP="00527EDF">
      <w:pPr>
        <w:pStyle w:val="NoSpacing"/>
        <w:ind w:left="720"/>
        <w:rPr>
          <w:rFonts w:ascii="Times New Roman" w:hAnsi="Times New Roman"/>
          <w:sz w:val="24"/>
          <w:szCs w:val="24"/>
        </w:rPr>
      </w:pPr>
      <w:r w:rsidRPr="00A0664F">
        <w:rPr>
          <w:rFonts w:ascii="Times New Roman" w:hAnsi="Times New Roman"/>
          <w:sz w:val="24"/>
          <w:szCs w:val="24"/>
        </w:rPr>
        <w:t>The Court further quoted the bill sponsor as saying, “[s]o don’t think it’s conclusive that simply because you have lung cancer, you’re going to get compensation of the Worker’s Compensation Act. What we’re saying is, we’ll get you to the hearing. Then the other side can bring in evidence that you smoked for thirty (30) years and therefore, it wasn’t a result of the actions taken at work.” </w:t>
      </w:r>
      <w:r w:rsidRPr="00A0664F">
        <w:rPr>
          <w:rStyle w:val="Emphasis"/>
          <w:rFonts w:ascii="Times New Roman" w:hAnsi="Times New Roman"/>
          <w:sz w:val="24"/>
          <w:szCs w:val="24"/>
        </w:rPr>
        <w:t>Id.</w:t>
      </w:r>
      <w:r w:rsidRPr="00A0664F">
        <w:rPr>
          <w:rFonts w:ascii="Times New Roman" w:hAnsi="Times New Roman"/>
          <w:sz w:val="24"/>
          <w:szCs w:val="24"/>
        </w:rPr>
        <w:t> at 82.</w:t>
      </w:r>
      <w:r>
        <w:rPr>
          <w:rFonts w:ascii="Times New Roman" w:hAnsi="Times New Roman"/>
          <w:sz w:val="24"/>
          <w:szCs w:val="24"/>
        </w:rPr>
        <w:t xml:space="preserve"> </w:t>
      </w:r>
      <w:r w:rsidRPr="006E0B93">
        <w:rPr>
          <w:rStyle w:val="Emphasis"/>
          <w:rFonts w:ascii="Times New Roman" w:hAnsi="Times New Roman"/>
          <w:sz w:val="24"/>
          <w:szCs w:val="24"/>
        </w:rPr>
        <w:t>Johnston v. Illinois Workers’ Comp. Comm’n</w:t>
      </w:r>
      <w:r w:rsidRPr="006E0B93">
        <w:rPr>
          <w:rFonts w:ascii="Times New Roman" w:hAnsi="Times New Roman"/>
          <w:sz w:val="24"/>
          <w:szCs w:val="24"/>
        </w:rPr>
        <w:t>, 2017 IL App (2d) 160010WC.</w:t>
      </w:r>
    </w:p>
    <w:bookmarkEnd w:id="251"/>
    <w:p w14:paraId="7BEF09E7" w14:textId="1C5BE5E5" w:rsidR="00527EDF" w:rsidRDefault="00527EDF" w:rsidP="00527EDF">
      <w:pPr>
        <w:pStyle w:val="NoSpacing"/>
        <w:rPr>
          <w:rStyle w:val="Hyperlink"/>
          <w:rFonts w:ascii="Times New Roman" w:hAnsi="Times New Roman"/>
          <w:sz w:val="24"/>
          <w:szCs w:val="24"/>
        </w:rPr>
      </w:pPr>
    </w:p>
    <w:p w14:paraId="770C6CAF" w14:textId="77777777" w:rsidR="00EF1133" w:rsidRDefault="00EF1133" w:rsidP="00527EDF">
      <w:pPr>
        <w:pStyle w:val="NoSpacing"/>
        <w:rPr>
          <w:rFonts w:ascii="Arial Black" w:hAnsi="Arial Black"/>
          <w:sz w:val="28"/>
          <w:szCs w:val="28"/>
        </w:rPr>
      </w:pPr>
      <w:bookmarkStart w:id="252" w:name="_Hlk10127150"/>
    </w:p>
    <w:p w14:paraId="0057E7E8" w14:textId="3613A613" w:rsidR="00EF1133" w:rsidRDefault="00EF1133" w:rsidP="00EF1133">
      <w:pPr>
        <w:rPr>
          <w:rFonts w:ascii="Arial Black" w:hAnsi="Arial Black"/>
          <w:sz w:val="28"/>
          <w:szCs w:val="28"/>
        </w:rPr>
      </w:pPr>
      <w:r>
        <w:rPr>
          <w:rFonts w:ascii="Arial Black" w:hAnsi="Arial Black"/>
          <w:b/>
          <w:sz w:val="24"/>
          <w:szCs w:val="24"/>
        </w:rPr>
        <w:t>6</w:t>
      </w:r>
      <w:r w:rsidRPr="00EF1133">
        <w:rPr>
          <w:rFonts w:ascii="Arial Black" w:hAnsi="Arial Black"/>
          <w:b/>
          <w:sz w:val="24"/>
          <w:szCs w:val="24"/>
        </w:rPr>
        <w:t>-1</w:t>
      </w:r>
      <w:r w:rsidR="005B0774">
        <w:rPr>
          <w:rFonts w:ascii="Arial Black" w:hAnsi="Arial Black"/>
          <w:b/>
          <w:sz w:val="24"/>
          <w:szCs w:val="24"/>
        </w:rPr>
        <w:t>9</w:t>
      </w:r>
    </w:p>
    <w:p w14:paraId="0292BE1A" w14:textId="32B2619F" w:rsidR="00527EDF" w:rsidRDefault="00527EDF" w:rsidP="00527EDF">
      <w:pPr>
        <w:pStyle w:val="NoSpacing"/>
        <w:rPr>
          <w:rFonts w:ascii="Arial Black" w:hAnsi="Arial Black"/>
          <w:sz w:val="28"/>
          <w:szCs w:val="28"/>
        </w:rPr>
      </w:pPr>
      <w:r w:rsidRPr="005F044F">
        <w:rPr>
          <w:rFonts w:ascii="Arial Black" w:hAnsi="Arial Black"/>
          <w:sz w:val="28"/>
          <w:szCs w:val="28"/>
        </w:rPr>
        <w:t xml:space="preserve">NJ: </w:t>
      </w:r>
      <w:r>
        <w:rPr>
          <w:rFonts w:ascii="Arial Black" w:hAnsi="Arial Black"/>
          <w:sz w:val="28"/>
          <w:szCs w:val="28"/>
        </w:rPr>
        <w:t>FF’s BACK INJURY - PLASTIC CHAIR COLLAPSED - PRIOR BACK ISSUES – NOT “ACCIDENTAL” DISABILITY, ONLY “ORDINARY” DISAB.</w:t>
      </w:r>
    </w:p>
    <w:p w14:paraId="5293A597" w14:textId="77777777" w:rsidR="00527EDF" w:rsidRDefault="00527EDF" w:rsidP="00527EDF">
      <w:pPr>
        <w:pStyle w:val="NoSpacing"/>
        <w:rPr>
          <w:rFonts w:ascii="Arial Black" w:hAnsi="Arial Black"/>
          <w:sz w:val="28"/>
          <w:szCs w:val="28"/>
        </w:rPr>
      </w:pPr>
    </w:p>
    <w:p w14:paraId="054469E7" w14:textId="77777777" w:rsidR="00527EDF" w:rsidRPr="00BE460E" w:rsidRDefault="00527EDF" w:rsidP="00527EDF">
      <w:pPr>
        <w:pStyle w:val="NoSpacing"/>
        <w:rPr>
          <w:rFonts w:ascii="Times New Roman" w:hAnsi="Times New Roman"/>
          <w:sz w:val="24"/>
          <w:szCs w:val="24"/>
        </w:rPr>
      </w:pPr>
      <w:r>
        <w:rPr>
          <w:rFonts w:ascii="Times New Roman" w:hAnsi="Times New Roman"/>
          <w:sz w:val="24"/>
          <w:szCs w:val="24"/>
        </w:rPr>
        <w:t xml:space="preserve">On </w:t>
      </w:r>
      <w:bookmarkStart w:id="253" w:name="_Hlk39831259"/>
      <w:r>
        <w:rPr>
          <w:rFonts w:ascii="Times New Roman" w:hAnsi="Times New Roman"/>
          <w:sz w:val="24"/>
          <w:szCs w:val="24"/>
        </w:rPr>
        <w:t xml:space="preserve">May 10, 2019, in </w:t>
      </w:r>
      <w:r w:rsidRPr="00BE460E">
        <w:rPr>
          <w:rFonts w:ascii="Times New Roman" w:hAnsi="Times New Roman"/>
          <w:sz w:val="24"/>
          <w:szCs w:val="24"/>
          <w:u w:val="single"/>
        </w:rPr>
        <w:t>Terrence Crowder v. Board of Trustees, Police &amp; Firemen’s Retirement System</w:t>
      </w:r>
      <w:bookmarkEnd w:id="253"/>
      <w:r w:rsidRPr="00BE460E">
        <w:rPr>
          <w:rFonts w:ascii="Times New Roman" w:hAnsi="Times New Roman"/>
          <w:sz w:val="24"/>
          <w:szCs w:val="24"/>
        </w:rPr>
        <w:t>, the Superior Court of New Jersey, Appellate Division,</w:t>
      </w:r>
      <w:r>
        <w:rPr>
          <w:rFonts w:ascii="Times New Roman" w:hAnsi="Times New Roman"/>
          <w:sz w:val="24"/>
          <w:szCs w:val="24"/>
          <w:u w:val="single"/>
        </w:rPr>
        <w:t xml:space="preserve"> </w:t>
      </w:r>
      <w:r>
        <w:rPr>
          <w:rFonts w:ascii="Times New Roman" w:hAnsi="Times New Roman"/>
          <w:sz w:val="24"/>
          <w:szCs w:val="24"/>
        </w:rPr>
        <w:t>held (2 to 0) that Deputy Chief was not entitled to 72.7% accidental disability retirement, only “ordinary” disability retirement (43.6%).</w:t>
      </w:r>
    </w:p>
    <w:p w14:paraId="2C9F7772" w14:textId="77777777" w:rsidR="00527EDF" w:rsidRDefault="00527EDF" w:rsidP="00527EDF">
      <w:pPr>
        <w:pStyle w:val="NoSpacing"/>
        <w:rPr>
          <w:rFonts w:ascii="Times New Roman" w:hAnsi="Times New Roman"/>
          <w:sz w:val="24"/>
          <w:szCs w:val="24"/>
        </w:rPr>
      </w:pPr>
    </w:p>
    <w:p w14:paraId="7CB6108D" w14:textId="77777777" w:rsidR="00527EDF" w:rsidRDefault="00527EDF" w:rsidP="00527EDF">
      <w:pPr>
        <w:pStyle w:val="NoSpacing"/>
        <w:ind w:left="720"/>
        <w:rPr>
          <w:rFonts w:ascii="Times New Roman" w:hAnsi="Times New Roman"/>
          <w:sz w:val="24"/>
          <w:szCs w:val="24"/>
        </w:rPr>
      </w:pPr>
      <w:r>
        <w:rPr>
          <w:rFonts w:ascii="Times New Roman" w:hAnsi="Times New Roman"/>
          <w:sz w:val="24"/>
          <w:szCs w:val="24"/>
        </w:rPr>
        <w:t>“</w:t>
      </w:r>
      <w:r w:rsidRPr="00CA7133">
        <w:rPr>
          <w:rFonts w:ascii="Times New Roman" w:hAnsi="Times New Roman"/>
          <w:sz w:val="24"/>
          <w:szCs w:val="24"/>
        </w:rPr>
        <w:t>The 2008 incident was not the direct cause of</w:t>
      </w:r>
      <w:r>
        <w:rPr>
          <w:rFonts w:ascii="Times New Roman" w:hAnsi="Times New Roman"/>
          <w:sz w:val="24"/>
          <w:szCs w:val="24"/>
        </w:rPr>
        <w:t xml:space="preserve"> </w:t>
      </w:r>
      <w:r w:rsidRPr="00CA7133">
        <w:rPr>
          <w:rFonts w:ascii="Times New Roman" w:hAnsi="Times New Roman"/>
          <w:sz w:val="24"/>
          <w:szCs w:val="24"/>
        </w:rPr>
        <w:t>Crowder's disability. Rather,</w:t>
      </w:r>
      <w:r>
        <w:rPr>
          <w:rFonts w:ascii="Times New Roman" w:hAnsi="Times New Roman"/>
          <w:sz w:val="24"/>
          <w:szCs w:val="24"/>
        </w:rPr>
        <w:t xml:space="preserve"> </w:t>
      </w:r>
      <w:r w:rsidRPr="00CA7133">
        <w:rPr>
          <w:rFonts w:ascii="Times New Roman" w:hAnsi="Times New Roman"/>
          <w:sz w:val="24"/>
          <w:szCs w:val="24"/>
        </w:rPr>
        <w:t>as the ALJ correctly found, Crowder's</w:t>
      </w:r>
      <w:r>
        <w:rPr>
          <w:rFonts w:ascii="Times New Roman" w:hAnsi="Times New Roman"/>
          <w:sz w:val="24"/>
          <w:szCs w:val="24"/>
        </w:rPr>
        <w:t xml:space="preserve"> </w:t>
      </w:r>
      <w:r w:rsidRPr="00CA7133">
        <w:rPr>
          <w:rFonts w:ascii="Times New Roman" w:hAnsi="Times New Roman"/>
          <w:sz w:val="24"/>
          <w:szCs w:val="24"/>
        </w:rPr>
        <w:t xml:space="preserve">preexisting degenerative condition, which was aggravated by the 2008 incident, was the essential significant or the substantial contributing cause of his </w:t>
      </w:r>
      <w:proofErr w:type="gramStart"/>
      <w:r w:rsidRPr="00CA7133">
        <w:rPr>
          <w:rFonts w:ascii="Times New Roman" w:hAnsi="Times New Roman"/>
          <w:sz w:val="24"/>
          <w:szCs w:val="24"/>
        </w:rPr>
        <w:t>disability.</w:t>
      </w:r>
      <w:r>
        <w:rPr>
          <w:rFonts w:ascii="Times New Roman" w:hAnsi="Times New Roman"/>
          <w:sz w:val="24"/>
          <w:szCs w:val="24"/>
        </w:rPr>
        <w:t>”</w:t>
      </w:r>
      <w:proofErr w:type="gramEnd"/>
    </w:p>
    <w:bookmarkStart w:id="254" w:name="_Hlk39831287"/>
    <w:p w14:paraId="6FA5DDA4" w14:textId="77777777" w:rsidR="00527EDF" w:rsidRPr="00CA7133" w:rsidRDefault="00374417" w:rsidP="00527EDF">
      <w:pPr>
        <w:pStyle w:val="NoSpacing"/>
        <w:ind w:left="720"/>
        <w:rPr>
          <w:rFonts w:ascii="Times New Roman" w:hAnsi="Times New Roman"/>
          <w:sz w:val="24"/>
          <w:szCs w:val="24"/>
        </w:rPr>
      </w:pPr>
      <w:r>
        <w:fldChar w:fldCharType="begin"/>
      </w:r>
      <w:r>
        <w:instrText xml:space="preserve"> HYPERLINK "https://njcourts.gov/attorneys/assets/opinions/appellate/unpublished/a0094-17.pdf" </w:instrText>
      </w:r>
      <w:r>
        <w:fldChar w:fldCharType="separate"/>
      </w:r>
      <w:r w:rsidR="00527EDF" w:rsidRPr="002620E3">
        <w:rPr>
          <w:rStyle w:val="Hyperlink"/>
          <w:rFonts w:ascii="Times New Roman" w:hAnsi="Times New Roman"/>
          <w:sz w:val="24"/>
          <w:szCs w:val="24"/>
        </w:rPr>
        <w:t>https://njcourts.gov/attorneys/assets/opinions/appellate/unpublished/a0094-17.pdf</w:t>
      </w:r>
      <w:r>
        <w:rPr>
          <w:rStyle w:val="Hyperlink"/>
          <w:rFonts w:ascii="Times New Roman" w:hAnsi="Times New Roman"/>
          <w:sz w:val="24"/>
          <w:szCs w:val="24"/>
        </w:rPr>
        <w:fldChar w:fldCharType="end"/>
      </w:r>
      <w:r w:rsidR="00527EDF">
        <w:rPr>
          <w:rFonts w:ascii="Times New Roman" w:hAnsi="Times New Roman"/>
          <w:sz w:val="24"/>
          <w:szCs w:val="24"/>
        </w:rPr>
        <w:t xml:space="preserve"> </w:t>
      </w:r>
    </w:p>
    <w:p w14:paraId="3EDAB032" w14:textId="77777777" w:rsidR="00527EDF" w:rsidRDefault="00527EDF" w:rsidP="00527EDF">
      <w:pPr>
        <w:pStyle w:val="NoSpacing"/>
        <w:rPr>
          <w:rFonts w:ascii="Times New Roman" w:hAnsi="Times New Roman"/>
          <w:b/>
          <w:sz w:val="24"/>
          <w:szCs w:val="24"/>
        </w:rPr>
      </w:pPr>
      <w:bookmarkStart w:id="255" w:name="_Hlk10127233"/>
      <w:bookmarkEnd w:id="252"/>
      <w:bookmarkEnd w:id="254"/>
    </w:p>
    <w:p w14:paraId="3CD6AB30" w14:textId="58AEA41C" w:rsidR="00527EDF" w:rsidRPr="00C8192B" w:rsidRDefault="00527EDF" w:rsidP="00527EDF">
      <w:pPr>
        <w:pStyle w:val="NoSpacing"/>
        <w:rPr>
          <w:rFonts w:ascii="Times New Roman" w:hAnsi="Times New Roman"/>
          <w:b/>
          <w:sz w:val="24"/>
          <w:szCs w:val="24"/>
        </w:rPr>
      </w:pPr>
      <w:r w:rsidRPr="00C8192B">
        <w:rPr>
          <w:rFonts w:ascii="Times New Roman" w:hAnsi="Times New Roman"/>
          <w:b/>
          <w:sz w:val="24"/>
          <w:szCs w:val="24"/>
        </w:rPr>
        <w:t xml:space="preserve">Legal Lessons Learned: </w:t>
      </w:r>
      <w:r>
        <w:rPr>
          <w:rFonts w:ascii="Times New Roman" w:hAnsi="Times New Roman"/>
          <w:b/>
          <w:sz w:val="24"/>
          <w:szCs w:val="24"/>
        </w:rPr>
        <w:t xml:space="preserve">Aggravating a pre-existing degenerative condition does not meet the requirements of the state statute. Suggestion - get rid of plastic chairs in the station. </w:t>
      </w:r>
    </w:p>
    <w:p w14:paraId="12721D64" w14:textId="77777777" w:rsidR="00527EDF" w:rsidRDefault="00527EDF" w:rsidP="00527EDF">
      <w:pPr>
        <w:pStyle w:val="NoSpacing"/>
        <w:ind w:firstLine="720"/>
        <w:rPr>
          <w:rFonts w:ascii="Times New Roman" w:hAnsi="Times New Roman"/>
          <w:sz w:val="24"/>
          <w:szCs w:val="24"/>
        </w:rPr>
      </w:pPr>
    </w:p>
    <w:p w14:paraId="3EDE4DB6" w14:textId="77777777" w:rsidR="00527EDF" w:rsidRPr="00DE64B9" w:rsidRDefault="00527EDF" w:rsidP="00527EDF">
      <w:pPr>
        <w:pStyle w:val="NoSpacing"/>
        <w:ind w:left="720"/>
        <w:rPr>
          <w:rFonts w:ascii="Times New Roman" w:hAnsi="Times New Roman"/>
          <w:b/>
          <w:sz w:val="24"/>
          <w:szCs w:val="24"/>
        </w:rPr>
      </w:pPr>
      <w:r w:rsidRPr="00DE64B9">
        <w:rPr>
          <w:rFonts w:ascii="Times New Roman" w:hAnsi="Times New Roman"/>
          <w:sz w:val="24"/>
          <w:szCs w:val="24"/>
        </w:rPr>
        <w:t xml:space="preserve">See this article on the case, </w:t>
      </w:r>
      <w:bookmarkStart w:id="256" w:name="_Hlk39831133"/>
      <w:r w:rsidRPr="00DE64B9">
        <w:rPr>
          <w:rFonts w:ascii="Times New Roman" w:hAnsi="Times New Roman"/>
          <w:sz w:val="24"/>
          <w:szCs w:val="24"/>
        </w:rPr>
        <w:t xml:space="preserve">“Former Camden firefighter loses court fight over disability retirement benefits.” (May 14, 2019). </w:t>
      </w:r>
      <w:hyperlink r:id="rId1301" w:history="1">
        <w:r w:rsidRPr="00DE64B9">
          <w:rPr>
            <w:rStyle w:val="Hyperlink"/>
            <w:rFonts w:ascii="Times New Roman" w:hAnsi="Times New Roman"/>
            <w:sz w:val="24"/>
            <w:szCs w:val="24"/>
          </w:rPr>
          <w:t>https://www.courierpostonline.com/story/news/2019/05/14/terremce-crowder-camden-fire-department-deputy-chief-loses-disability-benefits-dispute/1194598001/</w:t>
        </w:r>
      </w:hyperlink>
      <w:bookmarkEnd w:id="256"/>
      <w:r w:rsidRPr="00DE64B9">
        <w:rPr>
          <w:rFonts w:ascii="Times New Roman" w:hAnsi="Times New Roman"/>
          <w:sz w:val="24"/>
          <w:szCs w:val="24"/>
        </w:rPr>
        <w:t xml:space="preserve"> </w:t>
      </w:r>
    </w:p>
    <w:p w14:paraId="7158046C" w14:textId="77777777" w:rsidR="00527EDF" w:rsidRPr="00DE64B9" w:rsidRDefault="00527EDF" w:rsidP="00527EDF">
      <w:pPr>
        <w:pStyle w:val="NoSpacing"/>
        <w:ind w:left="720"/>
        <w:rPr>
          <w:rFonts w:ascii="Times New Roman" w:hAnsi="Times New Roman"/>
          <w:sz w:val="24"/>
          <w:szCs w:val="24"/>
        </w:rPr>
      </w:pPr>
      <w:r w:rsidRPr="00DE64B9">
        <w:rPr>
          <w:rFonts w:ascii="Times New Roman" w:hAnsi="Times New Roman"/>
          <w:sz w:val="24"/>
          <w:szCs w:val="24"/>
        </w:rPr>
        <w:t>“According to the state Treasury’s website, an ordinary disability retirement pays 43.6 percent of an employee’s salary averaged over his or her last three years of service. In contrast, an accidental disability retirement pays 72.7 percent of the base salary at the time of the ‘traumatic event.’”</w:t>
      </w:r>
    </w:p>
    <w:bookmarkEnd w:id="255"/>
    <w:p w14:paraId="0CD1D77B" w14:textId="77777777" w:rsidR="0097592D" w:rsidRDefault="0097592D" w:rsidP="0097592D">
      <w:pPr>
        <w:pStyle w:val="NoSpacing"/>
        <w:rPr>
          <w:rFonts w:ascii="Times New Roman" w:hAnsi="Times New Roman"/>
          <w:sz w:val="24"/>
          <w:szCs w:val="24"/>
        </w:rPr>
      </w:pPr>
    </w:p>
    <w:p w14:paraId="0B140BCA" w14:textId="28931B8E" w:rsidR="0097592D" w:rsidRDefault="0097592D" w:rsidP="0097592D">
      <w:pPr>
        <w:pStyle w:val="NoSpacing"/>
        <w:rPr>
          <w:rFonts w:ascii="Times New Roman" w:hAnsi="Times New Roman"/>
          <w:sz w:val="24"/>
          <w:szCs w:val="24"/>
        </w:rPr>
      </w:pPr>
    </w:p>
    <w:p w14:paraId="1F5AEF7C" w14:textId="77777777" w:rsidR="005F7D6B" w:rsidRDefault="005F7D6B" w:rsidP="00EF1133">
      <w:pPr>
        <w:rPr>
          <w:rFonts w:ascii="Arial Black" w:hAnsi="Arial Black"/>
          <w:b/>
          <w:sz w:val="24"/>
          <w:szCs w:val="24"/>
        </w:rPr>
      </w:pPr>
    </w:p>
    <w:p w14:paraId="083A518F" w14:textId="6768BE79" w:rsidR="00660046" w:rsidRDefault="00660046" w:rsidP="00EF1133">
      <w:pPr>
        <w:rPr>
          <w:rFonts w:ascii="Arial Black" w:hAnsi="Arial Black"/>
          <w:b/>
          <w:sz w:val="24"/>
          <w:szCs w:val="24"/>
        </w:rPr>
      </w:pPr>
      <w:r>
        <w:rPr>
          <w:rFonts w:ascii="Arial Black" w:hAnsi="Arial Black"/>
          <w:b/>
          <w:sz w:val="24"/>
          <w:szCs w:val="24"/>
        </w:rPr>
        <w:t>6-18</w:t>
      </w:r>
    </w:p>
    <w:p w14:paraId="5779DE15" w14:textId="77777777" w:rsidR="00660046" w:rsidRPr="00660046" w:rsidRDefault="00660046" w:rsidP="00EF1133">
      <w:pPr>
        <w:rPr>
          <w:rFonts w:ascii="Arial Black" w:hAnsi="Arial Black" w:cs="Arial"/>
          <w:sz w:val="28"/>
          <w:szCs w:val="28"/>
        </w:rPr>
      </w:pPr>
      <w:r w:rsidRPr="00660046">
        <w:rPr>
          <w:rFonts w:ascii="Arial Black" w:hAnsi="Arial Black" w:cs="Arial"/>
          <w:sz w:val="28"/>
          <w:szCs w:val="28"/>
        </w:rPr>
        <w:t>NY: FDNY APPLICANT - PLED GUILTY MJ – CIVIL SERVICE COMM. PUT HIM BACK ON ELIGIBILITY LIST – LIST NOW EXPIRED - NOT HIRED</w:t>
      </w:r>
    </w:p>
    <w:p w14:paraId="386005B1" w14:textId="21EF063F" w:rsidR="00660046" w:rsidRPr="0036327D" w:rsidRDefault="00660046" w:rsidP="00EF1133">
      <w:pPr>
        <w:rPr>
          <w:rFonts w:ascii="Times New Roman" w:hAnsi="Times New Roman"/>
          <w:sz w:val="24"/>
          <w:szCs w:val="24"/>
        </w:rPr>
      </w:pPr>
      <w:r w:rsidRPr="0036327D">
        <w:rPr>
          <w:rFonts w:ascii="Times New Roman" w:hAnsi="Times New Roman"/>
          <w:sz w:val="24"/>
          <w:szCs w:val="24"/>
        </w:rPr>
        <w:t xml:space="preserve">On April 18, 2019, In </w:t>
      </w:r>
      <w:proofErr w:type="gramStart"/>
      <w:r w:rsidRPr="0036327D">
        <w:rPr>
          <w:rFonts w:ascii="Times New Roman" w:hAnsi="Times New Roman"/>
          <w:sz w:val="24"/>
          <w:szCs w:val="24"/>
        </w:rPr>
        <w:t>The</w:t>
      </w:r>
      <w:proofErr w:type="gramEnd"/>
      <w:r w:rsidRPr="0036327D">
        <w:rPr>
          <w:rFonts w:ascii="Times New Roman" w:hAnsi="Times New Roman"/>
          <w:sz w:val="24"/>
          <w:szCs w:val="24"/>
        </w:rPr>
        <w:t xml:space="preserve"> Matter </w:t>
      </w:r>
      <w:proofErr w:type="gramStart"/>
      <w:r w:rsidRPr="0036327D">
        <w:rPr>
          <w:rFonts w:ascii="Times New Roman" w:hAnsi="Times New Roman"/>
          <w:sz w:val="24"/>
          <w:szCs w:val="24"/>
        </w:rPr>
        <w:t>Of</w:t>
      </w:r>
      <w:proofErr w:type="gramEnd"/>
      <w:r w:rsidRPr="0036327D">
        <w:rPr>
          <w:rFonts w:ascii="Times New Roman" w:hAnsi="Times New Roman"/>
          <w:sz w:val="24"/>
          <w:szCs w:val="24"/>
        </w:rPr>
        <w:t xml:space="preserve"> </w:t>
      </w:r>
      <w:proofErr w:type="gramStart"/>
      <w:r w:rsidRPr="0036327D">
        <w:rPr>
          <w:rFonts w:ascii="Times New Roman" w:hAnsi="Times New Roman"/>
          <w:sz w:val="24"/>
          <w:szCs w:val="24"/>
        </w:rPr>
        <w:t>The</w:t>
      </w:r>
      <w:proofErr w:type="gramEnd"/>
      <w:r w:rsidRPr="0036327D">
        <w:rPr>
          <w:rFonts w:ascii="Times New Roman" w:hAnsi="Times New Roman"/>
          <w:sz w:val="24"/>
          <w:szCs w:val="24"/>
        </w:rPr>
        <w:t xml:space="preserve"> Application </w:t>
      </w:r>
      <w:proofErr w:type="gramStart"/>
      <w:r w:rsidRPr="0036327D">
        <w:rPr>
          <w:rFonts w:ascii="Times New Roman" w:hAnsi="Times New Roman"/>
          <w:sz w:val="24"/>
          <w:szCs w:val="24"/>
        </w:rPr>
        <w:t>Of</w:t>
      </w:r>
      <w:proofErr w:type="gramEnd"/>
      <w:r w:rsidRPr="0036327D">
        <w:rPr>
          <w:rFonts w:ascii="Times New Roman" w:hAnsi="Times New Roman"/>
          <w:sz w:val="24"/>
          <w:szCs w:val="24"/>
        </w:rPr>
        <w:t xml:space="preserve"> Christopher Redden v. The City of New York, a judge on NY Supreme Court, Kings County, denied the applicant’s request to be placed on a “special eligible list.” </w:t>
      </w:r>
      <w:r w:rsidRPr="0036327D">
        <w:rPr>
          <w:rFonts w:ascii="Times New Roman" w:hAnsi="Times New Roman"/>
          <w:sz w:val="24"/>
          <w:szCs w:val="24"/>
        </w:rPr>
        <w:lastRenderedPageBreak/>
        <w:t xml:space="preserve">Redden v. City of N.Y., 2019 NY Slip Op 50647(U) (N.Y. Sup. Ct., 2019). “Being named on an eligible list does not create any vested right to be appointed; at most it conveys the right to be considered and the possibility of an appointment. *** Thus, the FDNY, as a civil service department, has the discretion to disqualify a candidate on the eligible list who has been found guilty of a crime. </w:t>
      </w:r>
      <w:hyperlink r:id="rId1302" w:history="1">
        <w:r w:rsidRPr="0036327D">
          <w:rPr>
            <w:rStyle w:val="Hyperlink"/>
            <w:rFonts w:ascii="Times New Roman" w:hAnsi="Times New Roman"/>
            <w:sz w:val="24"/>
            <w:szCs w:val="24"/>
          </w:rPr>
          <w:t>https://law.justia.com/cases/new-york/other-courts/2019/2019-ny-slip-op-50647-u.html</w:t>
        </w:r>
      </w:hyperlink>
      <w:r w:rsidRPr="0036327D">
        <w:rPr>
          <w:rFonts w:ascii="Times New Roman" w:hAnsi="Times New Roman"/>
          <w:sz w:val="24"/>
          <w:szCs w:val="24"/>
        </w:rPr>
        <w:t xml:space="preserve"> </w:t>
      </w:r>
    </w:p>
    <w:p w14:paraId="69CF6E62" w14:textId="5FBD5542" w:rsidR="00660046" w:rsidRPr="0036327D" w:rsidRDefault="00660046" w:rsidP="00EF1133">
      <w:pPr>
        <w:rPr>
          <w:rFonts w:ascii="Times New Roman" w:hAnsi="Times New Roman"/>
          <w:b/>
          <w:bCs/>
          <w:sz w:val="24"/>
          <w:szCs w:val="24"/>
        </w:rPr>
      </w:pPr>
      <w:r w:rsidRPr="0036327D">
        <w:rPr>
          <w:rFonts w:ascii="Times New Roman" w:hAnsi="Times New Roman"/>
          <w:b/>
          <w:bCs/>
          <w:sz w:val="24"/>
          <w:szCs w:val="24"/>
        </w:rPr>
        <w:t xml:space="preserve">Legal Lessons Learned: After eligibility list expires, applicant must wait for next exam. If he </w:t>
      </w:r>
      <w:proofErr w:type="gramStart"/>
      <w:r w:rsidRPr="0036327D">
        <w:rPr>
          <w:rFonts w:ascii="Times New Roman" w:hAnsi="Times New Roman"/>
          <w:b/>
          <w:bCs/>
          <w:sz w:val="24"/>
          <w:szCs w:val="24"/>
        </w:rPr>
        <w:t>is then</w:t>
      </w:r>
      <w:proofErr w:type="gramEnd"/>
      <w:r w:rsidRPr="0036327D">
        <w:rPr>
          <w:rFonts w:ascii="Times New Roman" w:hAnsi="Times New Roman"/>
          <w:b/>
          <w:bCs/>
          <w:sz w:val="24"/>
          <w:szCs w:val="24"/>
        </w:rPr>
        <w:t xml:space="preserve"> too old to apply, then he is without a remedy. </w:t>
      </w:r>
    </w:p>
    <w:p w14:paraId="7B13B0DA" w14:textId="2E94D0F5" w:rsidR="00660046" w:rsidRPr="0036327D" w:rsidRDefault="00660046" w:rsidP="00EF1133">
      <w:pPr>
        <w:rPr>
          <w:rFonts w:ascii="Times New Roman" w:hAnsi="Times New Roman"/>
          <w:sz w:val="24"/>
          <w:szCs w:val="24"/>
        </w:rPr>
      </w:pPr>
    </w:p>
    <w:p w14:paraId="3B9D3F45" w14:textId="77777777" w:rsidR="00660046" w:rsidRPr="00660046" w:rsidRDefault="00660046" w:rsidP="00EF1133">
      <w:pPr>
        <w:rPr>
          <w:rFonts w:ascii="Arial Black" w:hAnsi="Arial Black"/>
          <w:b/>
          <w:bCs/>
          <w:sz w:val="24"/>
          <w:szCs w:val="24"/>
        </w:rPr>
      </w:pPr>
    </w:p>
    <w:p w14:paraId="2BE436E8" w14:textId="3D748EF6" w:rsidR="005F7D6B" w:rsidRDefault="005F7D6B" w:rsidP="00EF1133">
      <w:pPr>
        <w:rPr>
          <w:rFonts w:ascii="Arial Black" w:hAnsi="Arial Black"/>
          <w:b/>
          <w:sz w:val="24"/>
          <w:szCs w:val="24"/>
        </w:rPr>
      </w:pPr>
      <w:r>
        <w:rPr>
          <w:rFonts w:ascii="Arial Black" w:hAnsi="Arial Black"/>
          <w:b/>
          <w:sz w:val="24"/>
          <w:szCs w:val="24"/>
        </w:rPr>
        <w:t>6-17</w:t>
      </w:r>
    </w:p>
    <w:p w14:paraId="7817ECAB" w14:textId="77777777" w:rsidR="005F7D6B" w:rsidRDefault="005F7D6B" w:rsidP="00EF1133">
      <w:pPr>
        <w:rPr>
          <w:rFonts w:ascii="Arial Black" w:hAnsi="Arial Black" w:cs="Arial"/>
          <w:sz w:val="28"/>
          <w:szCs w:val="28"/>
        </w:rPr>
      </w:pPr>
      <w:r w:rsidRPr="005F7D6B">
        <w:rPr>
          <w:rFonts w:ascii="Arial Black" w:hAnsi="Arial Black" w:cs="Arial"/>
          <w:sz w:val="28"/>
          <w:szCs w:val="28"/>
        </w:rPr>
        <w:t>PA: FIREFIGHTER TRIED TO RETIRE AT AGE 50 – BUT CITY AND UNION IN CBA SET THE MINIMUM AGE AT 55 – STATE MIN. OF 50 NOT APPLY</w:t>
      </w:r>
    </w:p>
    <w:p w14:paraId="21EC1437" w14:textId="2788C3EC" w:rsidR="005F7D6B" w:rsidRPr="0036327D" w:rsidRDefault="005F7D6B" w:rsidP="00EF1133">
      <w:pPr>
        <w:rPr>
          <w:rFonts w:ascii="Times New Roman" w:hAnsi="Times New Roman"/>
          <w:b/>
          <w:sz w:val="24"/>
          <w:szCs w:val="24"/>
        </w:rPr>
      </w:pPr>
      <w:r w:rsidRPr="0036327D">
        <w:rPr>
          <w:rFonts w:ascii="Times New Roman" w:hAnsi="Times New Roman"/>
          <w:sz w:val="24"/>
          <w:szCs w:val="24"/>
        </w:rPr>
        <w:t xml:space="preserve">On March 25, 2019, in Joseph C. Bongivengo v. City of New Castle Pension Plan Board and The City of New Castle, the Commonwealth Court of Pennsylvania held (3 to 0): “This ruling also disposes of Bongivengo’s argument that the City violated Section 607(e) of Act 205 because it did not engage in collective bargaining before it implemented the new age and years of service requirements. As noted above, the </w:t>
      </w:r>
      <w:proofErr w:type="gramStart"/>
      <w:r w:rsidRPr="0036327D">
        <w:rPr>
          <w:rFonts w:ascii="Times New Roman" w:hAnsi="Times New Roman"/>
          <w:sz w:val="24"/>
          <w:szCs w:val="24"/>
        </w:rPr>
        <w:t>City</w:t>
      </w:r>
      <w:proofErr w:type="gramEnd"/>
      <w:r w:rsidRPr="0036327D">
        <w:rPr>
          <w:rFonts w:ascii="Times New Roman" w:hAnsi="Times New Roman"/>
          <w:sz w:val="24"/>
          <w:szCs w:val="24"/>
        </w:rPr>
        <w:t xml:space="preserve"> and the Union did collectively bargain for the age and years of service requirement, as first reflected in the 1992 CBA and subsequently in every CBA </w:t>
      </w:r>
      <w:proofErr w:type="gramStart"/>
      <w:r w:rsidRPr="0036327D">
        <w:rPr>
          <w:rFonts w:ascii="Times New Roman" w:hAnsi="Times New Roman"/>
          <w:sz w:val="24"/>
          <w:szCs w:val="24"/>
        </w:rPr>
        <w:t>thereafter.”</w:t>
      </w:r>
      <w:proofErr w:type="gramEnd"/>
      <w:r w:rsidRPr="0036327D">
        <w:rPr>
          <w:rFonts w:ascii="Times New Roman" w:hAnsi="Times New Roman"/>
          <w:sz w:val="24"/>
          <w:szCs w:val="24"/>
        </w:rPr>
        <w:t xml:space="preserve"> </w:t>
      </w:r>
      <w:hyperlink r:id="rId1303" w:history="1">
        <w:r w:rsidRPr="0036327D">
          <w:rPr>
            <w:rStyle w:val="Hyperlink"/>
            <w:rFonts w:ascii="Times New Roman" w:hAnsi="Times New Roman"/>
            <w:sz w:val="24"/>
            <w:szCs w:val="24"/>
          </w:rPr>
          <w:t>http://www.pacourts.us/assets/opinions/Commonwealth/out/877CD18_3-25-19.pdf?cb=1</w:t>
        </w:r>
      </w:hyperlink>
      <w:r w:rsidRPr="0036327D">
        <w:rPr>
          <w:rFonts w:ascii="Times New Roman" w:hAnsi="Times New Roman"/>
          <w:sz w:val="24"/>
          <w:szCs w:val="24"/>
        </w:rPr>
        <w:t xml:space="preserve"> </w:t>
      </w:r>
    </w:p>
    <w:p w14:paraId="44BC7287" w14:textId="5990DA7C" w:rsidR="005F7D6B" w:rsidRPr="0036327D" w:rsidRDefault="005F7D6B" w:rsidP="00EF1133">
      <w:pPr>
        <w:rPr>
          <w:rFonts w:ascii="Times New Roman" w:hAnsi="Times New Roman"/>
          <w:b/>
          <w:bCs/>
          <w:sz w:val="24"/>
          <w:szCs w:val="24"/>
        </w:rPr>
      </w:pPr>
      <w:r w:rsidRPr="0036327D">
        <w:rPr>
          <w:rFonts w:ascii="Times New Roman" w:hAnsi="Times New Roman"/>
          <w:b/>
          <w:bCs/>
          <w:sz w:val="24"/>
          <w:szCs w:val="24"/>
        </w:rPr>
        <w:t xml:space="preserve">Legal Lessons Learned: Firefighters represented by a union are bound to the terms of the CBA, including minimum age until eligible to retire. </w:t>
      </w:r>
    </w:p>
    <w:p w14:paraId="0F63D48B" w14:textId="1E210D97" w:rsidR="005F7D6B" w:rsidRPr="0036327D" w:rsidRDefault="005F7D6B" w:rsidP="00EF1133">
      <w:pPr>
        <w:rPr>
          <w:rFonts w:ascii="Times New Roman" w:hAnsi="Times New Roman"/>
          <w:bCs/>
          <w:sz w:val="24"/>
          <w:szCs w:val="24"/>
        </w:rPr>
      </w:pPr>
    </w:p>
    <w:p w14:paraId="77177B4A" w14:textId="77777777" w:rsidR="005F7D6B" w:rsidRDefault="005F7D6B" w:rsidP="00EF1133">
      <w:pPr>
        <w:rPr>
          <w:rFonts w:ascii="Arial Black" w:hAnsi="Arial Black"/>
          <w:b/>
          <w:sz w:val="24"/>
          <w:szCs w:val="24"/>
        </w:rPr>
      </w:pPr>
    </w:p>
    <w:p w14:paraId="6D7592A8" w14:textId="797818FF" w:rsidR="00527EDF" w:rsidRDefault="00EF1133" w:rsidP="00EF1133">
      <w:pPr>
        <w:rPr>
          <w:sz w:val="24"/>
          <w:szCs w:val="24"/>
        </w:rPr>
      </w:pPr>
      <w:r>
        <w:rPr>
          <w:rFonts w:ascii="Arial Black" w:hAnsi="Arial Black"/>
          <w:b/>
          <w:sz w:val="24"/>
          <w:szCs w:val="24"/>
        </w:rPr>
        <w:t>6</w:t>
      </w:r>
      <w:r w:rsidRPr="00EF1133">
        <w:rPr>
          <w:rFonts w:ascii="Arial Black" w:hAnsi="Arial Black"/>
          <w:b/>
          <w:sz w:val="24"/>
          <w:szCs w:val="24"/>
        </w:rPr>
        <w:t>-1</w:t>
      </w:r>
      <w:r>
        <w:rPr>
          <w:rFonts w:ascii="Arial Black" w:hAnsi="Arial Black"/>
          <w:b/>
          <w:sz w:val="24"/>
          <w:szCs w:val="24"/>
        </w:rPr>
        <w:t>6</w:t>
      </w:r>
    </w:p>
    <w:p w14:paraId="73DFE9A9" w14:textId="71E0331B" w:rsidR="00F326E5" w:rsidRDefault="00F326E5" w:rsidP="00F326E5">
      <w:pPr>
        <w:pStyle w:val="NoSpacing"/>
        <w:rPr>
          <w:rFonts w:ascii="Arial Black" w:hAnsi="Arial Black"/>
          <w:sz w:val="28"/>
          <w:szCs w:val="28"/>
        </w:rPr>
      </w:pPr>
      <w:r w:rsidRPr="009120E5">
        <w:rPr>
          <w:rFonts w:ascii="Arial Black" w:hAnsi="Arial Black"/>
          <w:sz w:val="28"/>
          <w:szCs w:val="28"/>
        </w:rPr>
        <w:t>MI</w:t>
      </w:r>
      <w:r>
        <w:rPr>
          <w:rFonts w:ascii="Arial Black" w:hAnsi="Arial Black"/>
          <w:sz w:val="28"/>
          <w:szCs w:val="28"/>
        </w:rPr>
        <w:t>:  FIRE CHIEF RESIGNED, TOWNSHIP ISSUED PRESS RELEASE - NOT DEFAMATION OR “FALSE LIGHT”</w:t>
      </w:r>
    </w:p>
    <w:p w14:paraId="7C49A7E3" w14:textId="77777777" w:rsidR="009F1927" w:rsidRDefault="00F326E5" w:rsidP="00F326E5">
      <w:pPr>
        <w:pStyle w:val="NoSpacing"/>
        <w:rPr>
          <w:rFonts w:ascii="Times New Roman" w:hAnsi="Times New Roman"/>
          <w:sz w:val="24"/>
          <w:szCs w:val="24"/>
        </w:rPr>
      </w:pPr>
      <w:r w:rsidRPr="009F1927">
        <w:rPr>
          <w:rFonts w:ascii="Times New Roman" w:hAnsi="Times New Roman"/>
          <w:sz w:val="24"/>
          <w:szCs w:val="24"/>
        </w:rPr>
        <w:t xml:space="preserve">On Feb. 26, 2019, in </w:t>
      </w:r>
      <w:r w:rsidRPr="009F1927">
        <w:rPr>
          <w:rStyle w:val="highlight"/>
          <w:rFonts w:ascii="Times New Roman" w:hAnsi="Times New Roman"/>
          <w:sz w:val="24"/>
          <w:szCs w:val="24"/>
          <w:u w:val="single"/>
        </w:rPr>
        <w:t>Richard</w:t>
      </w:r>
      <w:r w:rsidRPr="009F1927">
        <w:rPr>
          <w:rFonts w:ascii="Times New Roman" w:hAnsi="Times New Roman"/>
          <w:sz w:val="24"/>
          <w:szCs w:val="24"/>
          <w:u w:val="single"/>
        </w:rPr>
        <w:t xml:space="preserve"> </w:t>
      </w:r>
      <w:r w:rsidRPr="009F1927">
        <w:rPr>
          <w:rStyle w:val="highlight"/>
          <w:rFonts w:ascii="Times New Roman" w:hAnsi="Times New Roman"/>
          <w:sz w:val="24"/>
          <w:szCs w:val="24"/>
          <w:u w:val="single"/>
        </w:rPr>
        <w:t>Marinucci</w:t>
      </w:r>
      <w:r w:rsidRPr="009F1927">
        <w:rPr>
          <w:rFonts w:ascii="Times New Roman" w:hAnsi="Times New Roman"/>
          <w:sz w:val="24"/>
          <w:szCs w:val="24"/>
          <w:u w:val="single"/>
        </w:rPr>
        <w:t xml:space="preserve"> v. Charter Township of Northville, et al.</w:t>
      </w:r>
      <w:r w:rsidRPr="009F1927">
        <w:rPr>
          <w:rFonts w:ascii="Times New Roman" w:hAnsi="Times New Roman"/>
          <w:sz w:val="24"/>
          <w:szCs w:val="24"/>
        </w:rPr>
        <w:t xml:space="preserve">, State of Michigan Court of Appeals, held (3 to 0) in an unpublished decision, </w:t>
      </w:r>
    </w:p>
    <w:p w14:paraId="02658227" w14:textId="77777777" w:rsidR="009F1927" w:rsidRDefault="009F1927" w:rsidP="00F326E5">
      <w:pPr>
        <w:pStyle w:val="NoSpacing"/>
        <w:rPr>
          <w:rFonts w:ascii="Times New Roman" w:hAnsi="Times New Roman"/>
          <w:sz w:val="24"/>
          <w:szCs w:val="24"/>
        </w:rPr>
      </w:pPr>
    </w:p>
    <w:p w14:paraId="7013F55F" w14:textId="30BA9EA9" w:rsidR="00F326E5" w:rsidRPr="009F1927" w:rsidRDefault="00F326E5" w:rsidP="009F1927">
      <w:pPr>
        <w:pStyle w:val="NoSpacing"/>
        <w:ind w:left="720"/>
        <w:rPr>
          <w:rFonts w:ascii="Times New Roman" w:hAnsi="Times New Roman"/>
          <w:sz w:val="24"/>
          <w:szCs w:val="24"/>
        </w:rPr>
      </w:pPr>
      <w:r w:rsidRPr="009F1927">
        <w:rPr>
          <w:rFonts w:ascii="Times New Roman" w:hAnsi="Times New Roman"/>
          <w:sz w:val="24"/>
          <w:szCs w:val="24"/>
        </w:rPr>
        <w:t xml:space="preserve">“Further, plaintiff offers no evidence to show that informing the public that he had resigned was unreasonable or highly objectionable. Although plaintiff contends that the statements made to the media placed him in a false light, plaintiff does not explain how the statements negatively affected him.” </w:t>
      </w:r>
      <w:hyperlink r:id="rId1304" w:anchor="search=%22RICHARD%20A.%20MARINUCCI%22" w:history="1">
        <w:r w:rsidRPr="009F1927">
          <w:rPr>
            <w:rStyle w:val="Hyperlink"/>
            <w:rFonts w:ascii="Times New Roman" w:hAnsi="Times New Roman"/>
            <w:sz w:val="24"/>
            <w:szCs w:val="24"/>
          </w:rPr>
          <w:t>http://publicdocs.courts.mi.gov/opinions/final/coa/20190226_c340579_35_340579.opn.pdf#search=%22RICHARD%20A.%20MARINUCCI%22</w:t>
        </w:r>
      </w:hyperlink>
    </w:p>
    <w:p w14:paraId="045623EB" w14:textId="77777777" w:rsidR="009F1927" w:rsidRDefault="009F1927" w:rsidP="00F326E5">
      <w:pPr>
        <w:pStyle w:val="NoSpacing"/>
        <w:rPr>
          <w:rFonts w:ascii="Times New Roman" w:hAnsi="Times New Roman"/>
          <w:b/>
          <w:sz w:val="24"/>
          <w:szCs w:val="24"/>
        </w:rPr>
      </w:pPr>
    </w:p>
    <w:p w14:paraId="48B93CD1" w14:textId="0B3ED3F5" w:rsidR="00F326E5" w:rsidRPr="009F1927" w:rsidRDefault="00F326E5" w:rsidP="00F326E5">
      <w:pPr>
        <w:pStyle w:val="NoSpacing"/>
        <w:rPr>
          <w:rFonts w:ascii="Times New Roman" w:hAnsi="Times New Roman"/>
          <w:b/>
          <w:sz w:val="24"/>
          <w:szCs w:val="24"/>
        </w:rPr>
      </w:pPr>
      <w:r w:rsidRPr="009F1927">
        <w:rPr>
          <w:rFonts w:ascii="Times New Roman" w:hAnsi="Times New Roman"/>
          <w:b/>
          <w:sz w:val="24"/>
          <w:szCs w:val="24"/>
        </w:rPr>
        <w:lastRenderedPageBreak/>
        <w:t>Legal Lessons Learned:  When a Fire Chief resigns, the employer may report this fact to the press.  Avoid financial situations where there may be an “appearance of impropriety.”</w:t>
      </w:r>
    </w:p>
    <w:p w14:paraId="4A1ED720" w14:textId="77777777" w:rsidR="00C17A9D" w:rsidRDefault="00C17A9D" w:rsidP="00F326E5">
      <w:pPr>
        <w:rPr>
          <w:bCs/>
          <w:sz w:val="24"/>
          <w:szCs w:val="24"/>
        </w:rPr>
      </w:pPr>
    </w:p>
    <w:bookmarkEnd w:id="250"/>
    <w:p w14:paraId="251505BE" w14:textId="77ACA488" w:rsidR="00F326E5" w:rsidRDefault="00F326E5" w:rsidP="00F326E5">
      <w:pPr>
        <w:pStyle w:val="NoSpacing"/>
        <w:rPr>
          <w:b/>
          <w:sz w:val="24"/>
          <w:szCs w:val="24"/>
        </w:rPr>
      </w:pPr>
    </w:p>
    <w:p w14:paraId="3530F2DE" w14:textId="52DC2559" w:rsidR="009F1927" w:rsidRDefault="009F1927" w:rsidP="00F326E5">
      <w:pPr>
        <w:pStyle w:val="NoSpacing"/>
        <w:rPr>
          <w:b/>
          <w:sz w:val="24"/>
          <w:szCs w:val="24"/>
        </w:rPr>
      </w:pPr>
    </w:p>
    <w:p w14:paraId="6291A165" w14:textId="77777777" w:rsidR="009F1927" w:rsidRDefault="009F1927" w:rsidP="00F326E5">
      <w:pPr>
        <w:pStyle w:val="NoSpacing"/>
        <w:rPr>
          <w:b/>
          <w:sz w:val="24"/>
          <w:szCs w:val="24"/>
        </w:rPr>
      </w:pPr>
    </w:p>
    <w:p w14:paraId="0B9D5D54" w14:textId="3F0AC817" w:rsidR="00EF1133" w:rsidRDefault="00EF1133" w:rsidP="00EF1133">
      <w:pPr>
        <w:rPr>
          <w:rFonts w:ascii="Arial Black" w:hAnsi="Arial Black"/>
          <w:bCs/>
          <w:sz w:val="28"/>
          <w:szCs w:val="28"/>
        </w:rPr>
      </w:pPr>
      <w:r>
        <w:rPr>
          <w:rFonts w:ascii="Arial Black" w:hAnsi="Arial Black"/>
          <w:b/>
          <w:sz w:val="24"/>
          <w:szCs w:val="24"/>
        </w:rPr>
        <w:t>6</w:t>
      </w:r>
      <w:r w:rsidRPr="00EF1133">
        <w:rPr>
          <w:rFonts w:ascii="Arial Black" w:hAnsi="Arial Black"/>
          <w:b/>
          <w:sz w:val="24"/>
          <w:szCs w:val="24"/>
        </w:rPr>
        <w:t>-1</w:t>
      </w:r>
      <w:r>
        <w:rPr>
          <w:rFonts w:ascii="Arial Black" w:hAnsi="Arial Black"/>
          <w:b/>
          <w:sz w:val="24"/>
          <w:szCs w:val="24"/>
        </w:rPr>
        <w:t>5</w:t>
      </w:r>
      <w:bookmarkStart w:id="257" w:name="_Hlk7343098"/>
    </w:p>
    <w:p w14:paraId="758689DF" w14:textId="5ECD78BA" w:rsidR="00F326E5" w:rsidRDefault="00F326E5" w:rsidP="00F326E5">
      <w:pPr>
        <w:pStyle w:val="NoSpacing"/>
        <w:rPr>
          <w:rFonts w:ascii="Arial Black" w:hAnsi="Arial Black"/>
          <w:b/>
          <w:bCs/>
          <w:sz w:val="28"/>
          <w:szCs w:val="28"/>
        </w:rPr>
      </w:pPr>
      <w:r w:rsidRPr="00B555E0">
        <w:rPr>
          <w:rFonts w:ascii="Arial Black" w:hAnsi="Arial Black"/>
          <w:bCs/>
          <w:sz w:val="28"/>
          <w:szCs w:val="28"/>
        </w:rPr>
        <w:t>KS: WORKERS COMP –</w:t>
      </w:r>
      <w:r>
        <w:rPr>
          <w:rFonts w:ascii="Arial Black" w:hAnsi="Arial Black"/>
          <w:bCs/>
          <w:sz w:val="28"/>
          <w:szCs w:val="28"/>
        </w:rPr>
        <w:t xml:space="preserve"> 2008 &amp; 2010 BACK INJURIES –COVERED SINCE FILED CLAIM 2 YEARS OF LAST PAYMENT </w:t>
      </w:r>
    </w:p>
    <w:p w14:paraId="13719D2B" w14:textId="77777777" w:rsidR="009F1927" w:rsidRDefault="009F1927" w:rsidP="00F326E5">
      <w:pPr>
        <w:pStyle w:val="NoSpacing"/>
        <w:rPr>
          <w:rFonts w:ascii="Times New Roman" w:hAnsi="Times New Roman"/>
          <w:sz w:val="24"/>
          <w:szCs w:val="24"/>
        </w:rPr>
      </w:pPr>
    </w:p>
    <w:p w14:paraId="0FF6AE63" w14:textId="77777777" w:rsidR="009F1927" w:rsidRDefault="00F326E5" w:rsidP="00F326E5">
      <w:pPr>
        <w:pStyle w:val="NoSpacing"/>
        <w:rPr>
          <w:rFonts w:ascii="Times New Roman" w:hAnsi="Times New Roman"/>
          <w:sz w:val="24"/>
          <w:szCs w:val="24"/>
        </w:rPr>
      </w:pPr>
      <w:r w:rsidRPr="009F1927">
        <w:rPr>
          <w:rFonts w:ascii="Times New Roman" w:hAnsi="Times New Roman"/>
          <w:sz w:val="24"/>
          <w:szCs w:val="24"/>
        </w:rPr>
        <w:t xml:space="preserve">On Feb. 8, 2019, in </w:t>
      </w:r>
      <w:r w:rsidRPr="009F1927">
        <w:rPr>
          <w:rFonts w:ascii="Times New Roman" w:hAnsi="Times New Roman"/>
          <w:sz w:val="24"/>
          <w:szCs w:val="24"/>
          <w:u w:val="single"/>
        </w:rPr>
        <w:t>Paul H. Schneider v. City of Lawrence</w:t>
      </w:r>
      <w:r w:rsidRPr="009F1927">
        <w:rPr>
          <w:rFonts w:ascii="Times New Roman" w:hAnsi="Times New Roman"/>
          <w:sz w:val="24"/>
          <w:szCs w:val="24"/>
        </w:rPr>
        <w:t xml:space="preserve">, the Court of Appeals of State of Kansas (3 to 0), overturned the Workers Compensation Board, and granted the firefighter’s claim for coverage of two on-duty back injuries (2008; 2010). Kansas statute requires workers comp request for a hearing be filed within 3 years of the injury, or “within two years of the date of the last payment of compensation.” The Court held, </w:t>
      </w:r>
    </w:p>
    <w:p w14:paraId="05792E21" w14:textId="77777777" w:rsidR="009F1927" w:rsidRDefault="009F1927" w:rsidP="00F326E5">
      <w:pPr>
        <w:pStyle w:val="NoSpacing"/>
        <w:rPr>
          <w:rFonts w:ascii="Times New Roman" w:hAnsi="Times New Roman"/>
          <w:sz w:val="24"/>
          <w:szCs w:val="24"/>
        </w:rPr>
      </w:pPr>
    </w:p>
    <w:p w14:paraId="45642FEA" w14:textId="058CCBF5" w:rsidR="00F326E5" w:rsidRPr="009F1927" w:rsidRDefault="00F326E5" w:rsidP="009F1927">
      <w:pPr>
        <w:pStyle w:val="NoSpacing"/>
        <w:ind w:left="720"/>
        <w:rPr>
          <w:rFonts w:ascii="Times New Roman" w:hAnsi="Times New Roman"/>
          <w:sz w:val="24"/>
          <w:szCs w:val="24"/>
        </w:rPr>
      </w:pPr>
      <w:r w:rsidRPr="009F1927">
        <w:rPr>
          <w:rFonts w:ascii="Times New Roman" w:hAnsi="Times New Roman"/>
          <w:sz w:val="24"/>
          <w:szCs w:val="24"/>
        </w:rPr>
        <w:t xml:space="preserve">“Here, because Schneider received compensation from the City in December 2015 and in January 2016 and because he filed his applications for hearings in January 2016, his applications under the revived two-year statute of limitations were timely.” </w:t>
      </w:r>
      <w:hyperlink r:id="rId1305" w:history="1">
        <w:r w:rsidRPr="009F1927">
          <w:rPr>
            <w:rStyle w:val="Hyperlink"/>
            <w:rFonts w:ascii="Times New Roman" w:hAnsi="Times New Roman"/>
            <w:sz w:val="24"/>
            <w:szCs w:val="24"/>
          </w:rPr>
          <w:t>https://www.courtlistener.com/pdf/2019/02/08/schneider_v._city_of_lawrence.pdf</w:t>
        </w:r>
      </w:hyperlink>
      <w:r w:rsidRPr="009F1927">
        <w:rPr>
          <w:rFonts w:ascii="Times New Roman" w:hAnsi="Times New Roman"/>
          <w:sz w:val="24"/>
          <w:szCs w:val="24"/>
        </w:rPr>
        <w:t xml:space="preserve"> </w:t>
      </w:r>
    </w:p>
    <w:p w14:paraId="246892AC" w14:textId="77777777" w:rsidR="009F1927" w:rsidRDefault="009F1927" w:rsidP="00F326E5">
      <w:pPr>
        <w:pStyle w:val="NoSpacing"/>
        <w:rPr>
          <w:rFonts w:ascii="Times New Roman" w:hAnsi="Times New Roman"/>
          <w:b/>
          <w:sz w:val="24"/>
          <w:szCs w:val="24"/>
        </w:rPr>
      </w:pPr>
    </w:p>
    <w:p w14:paraId="2F8F003F" w14:textId="14EB5D57" w:rsidR="00F326E5" w:rsidRPr="009F1927" w:rsidRDefault="00F326E5" w:rsidP="00F326E5">
      <w:pPr>
        <w:pStyle w:val="NoSpacing"/>
        <w:rPr>
          <w:rFonts w:ascii="Times New Roman" w:hAnsi="Times New Roman"/>
          <w:b/>
          <w:sz w:val="24"/>
          <w:szCs w:val="24"/>
        </w:rPr>
      </w:pPr>
      <w:r w:rsidRPr="009F1927">
        <w:rPr>
          <w:rFonts w:ascii="Times New Roman" w:hAnsi="Times New Roman"/>
          <w:b/>
          <w:sz w:val="24"/>
          <w:szCs w:val="24"/>
        </w:rPr>
        <w:t>Legal Lesson Learned:  Workers comp statutes of limitation are designed to require prompt disclosure of workplace injuries.  The City may decide to appeal this decision to the Kansas Supreme Court.</w:t>
      </w:r>
    </w:p>
    <w:p w14:paraId="29374DC1" w14:textId="77777777" w:rsidR="00F326E5" w:rsidRPr="00BB2214" w:rsidRDefault="00F326E5" w:rsidP="00F326E5">
      <w:pPr>
        <w:pStyle w:val="NoSpacing"/>
        <w:rPr>
          <w:b/>
          <w:sz w:val="24"/>
          <w:szCs w:val="24"/>
        </w:rPr>
      </w:pPr>
    </w:p>
    <w:p w14:paraId="49AEBF54" w14:textId="77777777" w:rsidR="00F326E5" w:rsidRPr="009F1927" w:rsidRDefault="00F326E5" w:rsidP="00F326E5">
      <w:pPr>
        <w:pStyle w:val="NoSpacing"/>
        <w:ind w:left="720"/>
        <w:rPr>
          <w:rFonts w:ascii="Times New Roman" w:hAnsi="Times New Roman"/>
          <w:sz w:val="24"/>
          <w:szCs w:val="24"/>
        </w:rPr>
      </w:pPr>
      <w:r w:rsidRPr="009F1927">
        <w:rPr>
          <w:rFonts w:ascii="Times New Roman" w:hAnsi="Times New Roman"/>
          <w:sz w:val="24"/>
          <w:szCs w:val="24"/>
        </w:rPr>
        <w:t xml:space="preserve">Note:  See Aug. 4, </w:t>
      </w:r>
      <w:proofErr w:type="gramStart"/>
      <w:r w:rsidRPr="009F1927">
        <w:rPr>
          <w:rFonts w:ascii="Times New Roman" w:hAnsi="Times New Roman"/>
          <w:sz w:val="24"/>
          <w:szCs w:val="24"/>
        </w:rPr>
        <w:t>2017</w:t>
      </w:r>
      <w:proofErr w:type="gramEnd"/>
      <w:r w:rsidRPr="009F1927">
        <w:rPr>
          <w:rFonts w:ascii="Times New Roman" w:hAnsi="Times New Roman"/>
          <w:sz w:val="24"/>
          <w:szCs w:val="24"/>
        </w:rPr>
        <w:t xml:space="preserve"> article: “Ohio General Assembly Alters Statute of Limitation for Workers' Compensation Claims”</w:t>
      </w:r>
    </w:p>
    <w:p w14:paraId="4FEEC7AA" w14:textId="77777777" w:rsidR="00F326E5" w:rsidRPr="009F1927" w:rsidRDefault="00F326E5" w:rsidP="00F326E5">
      <w:pPr>
        <w:ind w:left="720"/>
        <w:rPr>
          <w:rFonts w:ascii="Times New Roman" w:hAnsi="Times New Roman"/>
          <w:sz w:val="24"/>
          <w:szCs w:val="24"/>
        </w:rPr>
      </w:pPr>
      <w:hyperlink r:id="rId1306" w:history="1">
        <w:r w:rsidRPr="009F1927">
          <w:rPr>
            <w:rStyle w:val="Hyperlink"/>
            <w:rFonts w:ascii="Times New Roman" w:hAnsi="Times New Roman"/>
            <w:sz w:val="24"/>
            <w:szCs w:val="24"/>
          </w:rPr>
          <w:t>http://www.kwgd.com/ohio-general-assembly-alters-statute-of-limitation-for-workers-compensation-claims</w:t>
        </w:r>
      </w:hyperlink>
      <w:r w:rsidRPr="009F1927">
        <w:rPr>
          <w:rStyle w:val="access"/>
          <w:rFonts w:ascii="Times New Roman" w:hAnsi="Times New Roman"/>
          <w:sz w:val="24"/>
          <w:szCs w:val="24"/>
        </w:rPr>
        <w:t xml:space="preserve"> </w:t>
      </w:r>
      <w:r w:rsidRPr="009F1927">
        <w:rPr>
          <w:rFonts w:ascii="Times New Roman" w:hAnsi="Times New Roman"/>
          <w:sz w:val="24"/>
          <w:szCs w:val="24"/>
        </w:rPr>
        <w:t xml:space="preserve"> </w:t>
      </w:r>
    </w:p>
    <w:p w14:paraId="166EAFE8" w14:textId="77777777" w:rsidR="00F326E5" w:rsidRPr="009F2867" w:rsidRDefault="00F326E5" w:rsidP="00F326E5">
      <w:pPr>
        <w:pStyle w:val="NormalWeb"/>
        <w:ind w:left="720"/>
      </w:pPr>
      <w:r w:rsidRPr="009F2867">
        <w:t xml:space="preserve">“As part of the biennial budget process the Ohio General Assembly passed House Bill 27 to create the workers compensation budget for 2018-2019. In addition to establishing the budget the bill also amended sections of the Ohio Revised Code that </w:t>
      </w:r>
      <w:proofErr w:type="gramStart"/>
      <w:r w:rsidRPr="009F2867">
        <w:t>relate</w:t>
      </w:r>
      <w:proofErr w:type="gramEnd"/>
      <w:r w:rsidRPr="009F2867">
        <w:t xml:space="preserve"> to workers compensation law. Mainly among the changes, the bill shortens the statute of limitations for an employee to file a workers compensation claim against Ohio Employers.</w:t>
      </w:r>
      <w:r w:rsidRPr="009F2867">
        <w:br/>
      </w:r>
      <w:r w:rsidRPr="009F2867">
        <w:br/>
        <w:t xml:space="preserve">Current law requires an employee to bring a workers’ compensation claim within two years from the date of injury or death.  Effective September 29, 2017, all workers compensation claims must be filed within one year from the date of injury or death. After that date, if new claims are not brought within the </w:t>
      </w:r>
      <w:proofErr w:type="gramStart"/>
      <w:r w:rsidRPr="009F2867">
        <w:t>one year</w:t>
      </w:r>
      <w:proofErr w:type="gramEnd"/>
      <w:r w:rsidRPr="009F2867">
        <w:t xml:space="preserve"> limitation the claim will be forever barred and there can be no recovery.  All claims with a date of injury after September 29, </w:t>
      </w:r>
      <w:proofErr w:type="gramStart"/>
      <w:r w:rsidRPr="009F2867">
        <w:t>2017</w:t>
      </w:r>
      <w:proofErr w:type="gramEnd"/>
      <w:r w:rsidRPr="009F2867">
        <w:t xml:space="preserve"> are subject to the new limitation.  The amendment attempts to strike a balance between allowing a sufficient time for a claim to be brought while not prejudicing employers by allowing claims to be filed long after any contemporaneous evidence has since vanished.”  </w:t>
      </w:r>
    </w:p>
    <w:bookmarkEnd w:id="257"/>
    <w:p w14:paraId="10353B6E" w14:textId="77777777" w:rsidR="00F326E5" w:rsidRDefault="00F326E5" w:rsidP="00F326E5">
      <w:pPr>
        <w:rPr>
          <w:sz w:val="24"/>
          <w:szCs w:val="24"/>
        </w:rPr>
      </w:pPr>
    </w:p>
    <w:p w14:paraId="1D407CE4" w14:textId="2EED406E" w:rsidR="00EF1133" w:rsidRDefault="00EF1133" w:rsidP="00F326E5">
      <w:pPr>
        <w:rPr>
          <w:rFonts w:ascii="Arial Black" w:hAnsi="Arial Black"/>
          <w:sz w:val="28"/>
          <w:szCs w:val="28"/>
        </w:rPr>
      </w:pPr>
      <w:bookmarkStart w:id="258" w:name="_Hlk7343175"/>
      <w:r>
        <w:rPr>
          <w:rFonts w:ascii="Arial Black" w:hAnsi="Arial Black"/>
          <w:b/>
          <w:sz w:val="24"/>
          <w:szCs w:val="24"/>
        </w:rPr>
        <w:t>6</w:t>
      </w:r>
      <w:r w:rsidRPr="00EF1133">
        <w:rPr>
          <w:rFonts w:ascii="Arial Black" w:hAnsi="Arial Black"/>
          <w:b/>
          <w:sz w:val="24"/>
          <w:szCs w:val="24"/>
        </w:rPr>
        <w:t>-1</w:t>
      </w:r>
      <w:r>
        <w:rPr>
          <w:rFonts w:ascii="Arial Black" w:hAnsi="Arial Black"/>
          <w:b/>
          <w:sz w:val="24"/>
          <w:szCs w:val="24"/>
        </w:rPr>
        <w:t>4</w:t>
      </w:r>
    </w:p>
    <w:p w14:paraId="6535AEEB" w14:textId="360C9F1A" w:rsidR="00F326E5" w:rsidRDefault="00F326E5" w:rsidP="00F326E5">
      <w:pPr>
        <w:rPr>
          <w:rFonts w:ascii="Arial Black" w:hAnsi="Arial Black"/>
          <w:sz w:val="28"/>
          <w:szCs w:val="28"/>
        </w:rPr>
      </w:pPr>
      <w:r w:rsidRPr="00C34523">
        <w:rPr>
          <w:rFonts w:ascii="Arial Black" w:hAnsi="Arial Black"/>
          <w:sz w:val="28"/>
          <w:szCs w:val="28"/>
        </w:rPr>
        <w:lastRenderedPageBreak/>
        <w:t xml:space="preserve">OH: </w:t>
      </w:r>
      <w:r>
        <w:rPr>
          <w:rFonts w:ascii="Arial Black" w:hAnsi="Arial Black"/>
          <w:sz w:val="28"/>
          <w:szCs w:val="28"/>
        </w:rPr>
        <w:t xml:space="preserve">FIRE CHIEF’S AGE / ADA LAWSUIT DISMISSED – DIDN’T FILE WITH EEOC – </w:t>
      </w:r>
      <w:r w:rsidR="005353F2">
        <w:rPr>
          <w:rFonts w:ascii="Arial Black" w:hAnsi="Arial Black"/>
          <w:sz w:val="28"/>
          <w:szCs w:val="28"/>
        </w:rPr>
        <w:t xml:space="preserve">MUST </w:t>
      </w:r>
      <w:r>
        <w:rPr>
          <w:rFonts w:ascii="Arial Black" w:hAnsi="Arial Black"/>
          <w:sz w:val="28"/>
          <w:szCs w:val="28"/>
        </w:rPr>
        <w:t>EXHAUST ADMIN</w:t>
      </w:r>
      <w:r w:rsidR="005353F2">
        <w:rPr>
          <w:rFonts w:ascii="Arial Black" w:hAnsi="Arial Black"/>
          <w:sz w:val="28"/>
          <w:szCs w:val="28"/>
        </w:rPr>
        <w:t xml:space="preserve">ISTRATIVE </w:t>
      </w:r>
      <w:r>
        <w:rPr>
          <w:rFonts w:ascii="Arial Black" w:hAnsi="Arial Black"/>
          <w:sz w:val="28"/>
          <w:szCs w:val="28"/>
        </w:rPr>
        <w:t>REMEDIES</w:t>
      </w:r>
    </w:p>
    <w:p w14:paraId="1E9F24DE" w14:textId="77777777" w:rsidR="009F1927" w:rsidRDefault="00F326E5" w:rsidP="00F326E5">
      <w:pPr>
        <w:rPr>
          <w:rFonts w:ascii="Times New Roman" w:hAnsi="Times New Roman"/>
          <w:bCs/>
          <w:sz w:val="24"/>
          <w:szCs w:val="24"/>
        </w:rPr>
      </w:pPr>
      <w:r w:rsidRPr="009F1927">
        <w:rPr>
          <w:rFonts w:ascii="Times New Roman" w:hAnsi="Times New Roman"/>
          <w:bCs/>
          <w:sz w:val="24"/>
          <w:szCs w:val="24"/>
        </w:rPr>
        <w:t xml:space="preserve">On Dec. 6, 2018, in </w:t>
      </w:r>
      <w:bookmarkStart w:id="259" w:name="_Hlk7178252"/>
      <w:r w:rsidRPr="009F1927">
        <w:rPr>
          <w:rFonts w:ascii="Times New Roman" w:hAnsi="Times New Roman"/>
          <w:bCs/>
          <w:sz w:val="24"/>
          <w:szCs w:val="24"/>
          <w:u w:val="single"/>
        </w:rPr>
        <w:t>Jay W. Keller v. City of Bucyrus</w:t>
      </w:r>
      <w:r w:rsidRPr="009F1927">
        <w:rPr>
          <w:rFonts w:ascii="Times New Roman" w:hAnsi="Times New Roman"/>
          <w:bCs/>
          <w:sz w:val="24"/>
          <w:szCs w:val="24"/>
        </w:rPr>
        <w:t>,</w:t>
      </w:r>
      <w:bookmarkEnd w:id="259"/>
      <w:r w:rsidRPr="009F1927">
        <w:rPr>
          <w:rFonts w:ascii="Times New Roman" w:hAnsi="Times New Roman"/>
          <w:bCs/>
          <w:sz w:val="24"/>
          <w:szCs w:val="24"/>
        </w:rPr>
        <w:t xml:space="preserve"> U.S. District Court Judge James S. Gwin, granted the City’s motion to dismiss. </w:t>
      </w:r>
    </w:p>
    <w:p w14:paraId="578463E8" w14:textId="5A560A06" w:rsidR="00F326E5" w:rsidRPr="009F1927" w:rsidRDefault="00F326E5" w:rsidP="009F1927">
      <w:pPr>
        <w:ind w:left="720"/>
        <w:rPr>
          <w:rFonts w:ascii="Times New Roman" w:hAnsi="Times New Roman"/>
          <w:sz w:val="24"/>
          <w:szCs w:val="24"/>
        </w:rPr>
      </w:pPr>
      <w:r w:rsidRPr="009F1927">
        <w:rPr>
          <w:rFonts w:ascii="Times New Roman" w:hAnsi="Times New Roman"/>
          <w:sz w:val="24"/>
          <w:szCs w:val="24"/>
        </w:rPr>
        <w:t xml:space="preserve">“Plaintiff Keller claims that Defendants discriminated against him because of his age and his disability in violation of federal law by requiring him to complete a physical examination. However, Plaintiff needed to file his age and disability discrimination claims with the Equal Employment Opportunity </w:t>
      </w:r>
      <w:proofErr w:type="gramStart"/>
      <w:r w:rsidRPr="009F1927">
        <w:rPr>
          <w:rFonts w:ascii="Times New Roman" w:hAnsi="Times New Roman"/>
          <w:sz w:val="24"/>
          <w:szCs w:val="24"/>
        </w:rPr>
        <w:t>Commission (‘</w:t>
      </w:r>
      <w:proofErr w:type="gramEnd"/>
      <w:r w:rsidRPr="009F1927">
        <w:rPr>
          <w:rFonts w:ascii="Times New Roman" w:hAnsi="Times New Roman"/>
          <w:sz w:val="24"/>
          <w:szCs w:val="24"/>
        </w:rPr>
        <w:t xml:space="preserve">EEOC’) before bringing this lawsuit. Because Plaintiff has not exhausted his administrative remedies, the Court dismisses his federal discrimination claims without prejudice.”  </w:t>
      </w:r>
      <w:hyperlink r:id="rId1307" w:history="1">
        <w:r w:rsidRPr="009F1927">
          <w:rPr>
            <w:rStyle w:val="Hyperlink"/>
            <w:rFonts w:ascii="Times New Roman" w:hAnsi="Times New Roman"/>
            <w:sz w:val="24"/>
            <w:szCs w:val="24"/>
          </w:rPr>
          <w:t>https://cases.justia.com/federal/district-courts/ohio/ohndce/1:2018cv02242/247535/15/0.pdf?ts=1544190248</w:t>
        </w:r>
      </w:hyperlink>
      <w:r w:rsidRPr="009F1927">
        <w:rPr>
          <w:rFonts w:ascii="Times New Roman" w:hAnsi="Times New Roman"/>
          <w:sz w:val="24"/>
          <w:szCs w:val="24"/>
        </w:rPr>
        <w:t xml:space="preserve"> </w:t>
      </w:r>
    </w:p>
    <w:p w14:paraId="0CF9A2C3" w14:textId="77777777" w:rsidR="00F326E5" w:rsidRPr="009F1927" w:rsidRDefault="00F326E5" w:rsidP="00F326E5">
      <w:pPr>
        <w:pStyle w:val="NoSpacing"/>
        <w:rPr>
          <w:rFonts w:ascii="Times New Roman" w:hAnsi="Times New Roman"/>
          <w:b/>
          <w:sz w:val="24"/>
          <w:szCs w:val="24"/>
        </w:rPr>
      </w:pPr>
      <w:r w:rsidRPr="009F1927">
        <w:rPr>
          <w:rFonts w:ascii="Times New Roman" w:hAnsi="Times New Roman"/>
          <w:b/>
          <w:sz w:val="24"/>
          <w:szCs w:val="24"/>
        </w:rPr>
        <w:t>Legal Lessons Learned: (1) FDs should have written policy regarding when personnel on leave will be required to pass medical or physical fitness for duty testing, and any retraining of job skills; and (2) must timely file EEOC charge to pursue federal ADA case.</w:t>
      </w:r>
    </w:p>
    <w:p w14:paraId="66841D0F" w14:textId="77777777" w:rsidR="009F1927" w:rsidRDefault="00F326E5" w:rsidP="00F326E5">
      <w:pPr>
        <w:pStyle w:val="NoSpacing"/>
        <w:rPr>
          <w:rFonts w:ascii="Times New Roman" w:hAnsi="Times New Roman"/>
          <w:b/>
          <w:sz w:val="24"/>
          <w:szCs w:val="24"/>
        </w:rPr>
      </w:pPr>
      <w:r w:rsidRPr="009F1927">
        <w:rPr>
          <w:rFonts w:ascii="Times New Roman" w:hAnsi="Times New Roman"/>
          <w:b/>
          <w:sz w:val="24"/>
          <w:szCs w:val="24"/>
        </w:rPr>
        <w:t xml:space="preserve"> </w:t>
      </w:r>
      <w:r w:rsidRPr="009F1927">
        <w:rPr>
          <w:rFonts w:ascii="Times New Roman" w:hAnsi="Times New Roman"/>
          <w:b/>
          <w:sz w:val="24"/>
          <w:szCs w:val="24"/>
        </w:rPr>
        <w:tab/>
      </w:r>
    </w:p>
    <w:p w14:paraId="0C12CD51" w14:textId="31CB7CEB" w:rsidR="00F326E5" w:rsidRPr="009F1927" w:rsidRDefault="00F326E5" w:rsidP="009F1927">
      <w:pPr>
        <w:pStyle w:val="NoSpacing"/>
        <w:ind w:firstLine="720"/>
        <w:rPr>
          <w:rFonts w:ascii="Times New Roman" w:hAnsi="Times New Roman"/>
          <w:sz w:val="24"/>
          <w:szCs w:val="24"/>
        </w:rPr>
      </w:pPr>
      <w:r w:rsidRPr="009F1927">
        <w:rPr>
          <w:rFonts w:ascii="Times New Roman" w:hAnsi="Times New Roman"/>
          <w:sz w:val="24"/>
          <w:szCs w:val="24"/>
        </w:rPr>
        <w:t xml:space="preserve">See U.S. Department of Justice web: </w:t>
      </w:r>
    </w:p>
    <w:p w14:paraId="485B621C" w14:textId="77777777" w:rsidR="00F326E5" w:rsidRPr="009F1927" w:rsidRDefault="00F326E5" w:rsidP="00F326E5">
      <w:pPr>
        <w:pStyle w:val="NoSpacing"/>
        <w:ind w:firstLine="720"/>
        <w:rPr>
          <w:rFonts w:ascii="Times New Roman" w:eastAsia="Times New Roman" w:hAnsi="Times New Roman"/>
          <w:sz w:val="24"/>
          <w:szCs w:val="24"/>
        </w:rPr>
      </w:pPr>
      <w:r w:rsidRPr="009F1927">
        <w:rPr>
          <w:rFonts w:ascii="Times New Roman" w:hAnsi="Times New Roman"/>
          <w:sz w:val="24"/>
          <w:szCs w:val="24"/>
        </w:rPr>
        <w:t xml:space="preserve">“Filing a Complaint with the Equal Employment Opportunity Commission.  </w:t>
      </w:r>
    </w:p>
    <w:p w14:paraId="74CFA329" w14:textId="77777777" w:rsidR="00F326E5" w:rsidRPr="009F1927" w:rsidRDefault="00F326E5" w:rsidP="00F326E5">
      <w:pPr>
        <w:pStyle w:val="NoSpacing"/>
        <w:ind w:left="720"/>
        <w:rPr>
          <w:rFonts w:ascii="Times New Roman" w:eastAsia="Times New Roman" w:hAnsi="Times New Roman"/>
          <w:sz w:val="24"/>
          <w:szCs w:val="24"/>
        </w:rPr>
      </w:pPr>
      <w:r w:rsidRPr="009F1927">
        <w:rPr>
          <w:rFonts w:ascii="Times New Roman" w:eastAsia="Times New Roman" w:hAnsi="Times New Roman"/>
          <w:sz w:val="24"/>
          <w:szCs w:val="24"/>
        </w:rPr>
        <w:t xml:space="preserve">If you think you have been discriminated against in employment </w:t>
      </w:r>
      <w:proofErr w:type="gramStart"/>
      <w:r w:rsidRPr="009F1927">
        <w:rPr>
          <w:rFonts w:ascii="Times New Roman" w:eastAsia="Times New Roman" w:hAnsi="Times New Roman"/>
          <w:sz w:val="24"/>
          <w:szCs w:val="24"/>
        </w:rPr>
        <w:t>on the basis of</w:t>
      </w:r>
      <w:proofErr w:type="gramEnd"/>
      <w:r w:rsidRPr="009F1927">
        <w:rPr>
          <w:rFonts w:ascii="Times New Roman" w:eastAsia="Times New Roman" w:hAnsi="Times New Roman"/>
          <w:sz w:val="24"/>
          <w:szCs w:val="24"/>
        </w:rPr>
        <w:t xml:space="preserve"> disability, you should contact the </w:t>
      </w:r>
      <w:hyperlink r:id="rId1308" w:history="1">
        <w:r w:rsidRPr="009F1927">
          <w:rPr>
            <w:rFonts w:ascii="Times New Roman" w:eastAsia="Times New Roman" w:hAnsi="Times New Roman"/>
            <w:bCs/>
            <w:color w:val="0000FF"/>
            <w:sz w:val="24"/>
            <w:szCs w:val="24"/>
            <w:u w:val="single"/>
          </w:rPr>
          <w:t>U.S. Equal Employment Opportunity Commission</w:t>
        </w:r>
      </w:hyperlink>
      <w:r w:rsidRPr="009F1927">
        <w:rPr>
          <w:rFonts w:ascii="Times New Roman" w:eastAsia="Times New Roman" w:hAnsi="Times New Roman"/>
          <w:sz w:val="24"/>
          <w:szCs w:val="24"/>
        </w:rPr>
        <w:t xml:space="preserve"> (EEOC).  A charge of discrimination generally must be filed within 180 days of the alleged discrimination. You may have up to 300 days to file a charge if there is a State or local law that provides relief for discrimination </w:t>
      </w:r>
      <w:proofErr w:type="gramStart"/>
      <w:r w:rsidRPr="009F1927">
        <w:rPr>
          <w:rFonts w:ascii="Times New Roman" w:eastAsia="Times New Roman" w:hAnsi="Times New Roman"/>
          <w:sz w:val="24"/>
          <w:szCs w:val="24"/>
        </w:rPr>
        <w:t>on the basis of</w:t>
      </w:r>
      <w:proofErr w:type="gramEnd"/>
      <w:r w:rsidRPr="009F1927">
        <w:rPr>
          <w:rFonts w:ascii="Times New Roman" w:eastAsia="Times New Roman" w:hAnsi="Times New Roman"/>
          <w:sz w:val="24"/>
          <w:szCs w:val="24"/>
        </w:rPr>
        <w:t xml:space="preserve"> disability.  However, to protect your rights, it is best to </w:t>
      </w:r>
      <w:hyperlink r:id="rId1309" w:history="1">
        <w:r w:rsidRPr="009F1927">
          <w:rPr>
            <w:rFonts w:ascii="Times New Roman" w:eastAsia="Times New Roman" w:hAnsi="Times New Roman"/>
            <w:bCs/>
            <w:color w:val="0000FF"/>
            <w:sz w:val="24"/>
            <w:szCs w:val="24"/>
            <w:u w:val="single"/>
          </w:rPr>
          <w:t>contact the EEOC</w:t>
        </w:r>
      </w:hyperlink>
      <w:r w:rsidRPr="009F1927">
        <w:rPr>
          <w:rFonts w:ascii="Times New Roman" w:eastAsia="Times New Roman" w:hAnsi="Times New Roman"/>
          <w:sz w:val="24"/>
          <w:szCs w:val="24"/>
        </w:rPr>
        <w:t xml:space="preserve"> promptly if discrimination is suspected. After your complaint is filed with the EEOC, the EEOC investigates the charge.  If the EEOC determines that there is reasonable cause to believe that the charge is true, the EEOC attempts to conciliate or settle the charge.  If conciliation is unsuccessful, the EEOC refers charges against state and local government </w:t>
      </w:r>
      <w:proofErr w:type="gramStart"/>
      <w:r w:rsidRPr="009F1927">
        <w:rPr>
          <w:rFonts w:ascii="Times New Roman" w:eastAsia="Times New Roman" w:hAnsi="Times New Roman"/>
          <w:sz w:val="24"/>
          <w:szCs w:val="24"/>
        </w:rPr>
        <w:t>employers</w:t>
      </w:r>
      <w:proofErr w:type="gramEnd"/>
      <w:r w:rsidRPr="009F1927">
        <w:rPr>
          <w:rFonts w:ascii="Times New Roman" w:eastAsia="Times New Roman" w:hAnsi="Times New Roman"/>
          <w:sz w:val="24"/>
          <w:szCs w:val="24"/>
        </w:rPr>
        <w:t xml:space="preserve"> to the Department of Justice.  The Department of Justice </w:t>
      </w:r>
      <w:proofErr w:type="gramStart"/>
      <w:r w:rsidRPr="009F1927">
        <w:rPr>
          <w:rFonts w:ascii="Times New Roman" w:eastAsia="Times New Roman" w:hAnsi="Times New Roman"/>
          <w:sz w:val="24"/>
          <w:szCs w:val="24"/>
        </w:rPr>
        <w:t>makes a determination</w:t>
      </w:r>
      <w:proofErr w:type="gramEnd"/>
      <w:r w:rsidRPr="009F1927">
        <w:rPr>
          <w:rFonts w:ascii="Times New Roman" w:eastAsia="Times New Roman" w:hAnsi="Times New Roman"/>
          <w:sz w:val="24"/>
          <w:szCs w:val="24"/>
        </w:rPr>
        <w:t xml:space="preserve"> whether to bring a lawsuit based on the charge.  If it decides not to bring a lawsuit, the Department </w:t>
      </w:r>
      <w:proofErr w:type="gramStart"/>
      <w:r w:rsidRPr="009F1927">
        <w:rPr>
          <w:rFonts w:ascii="Times New Roman" w:eastAsia="Times New Roman" w:hAnsi="Times New Roman"/>
          <w:sz w:val="24"/>
          <w:szCs w:val="24"/>
        </w:rPr>
        <w:t>issues</w:t>
      </w:r>
      <w:proofErr w:type="gramEnd"/>
      <w:r w:rsidRPr="009F1927">
        <w:rPr>
          <w:rFonts w:ascii="Times New Roman" w:eastAsia="Times New Roman" w:hAnsi="Times New Roman"/>
          <w:sz w:val="24"/>
          <w:szCs w:val="24"/>
        </w:rPr>
        <w:t xml:space="preserve"> </w:t>
      </w:r>
      <w:proofErr w:type="gramStart"/>
      <w:r w:rsidRPr="009F1927">
        <w:rPr>
          <w:rFonts w:ascii="Times New Roman" w:eastAsia="Times New Roman" w:hAnsi="Times New Roman"/>
          <w:sz w:val="24"/>
          <w:szCs w:val="24"/>
        </w:rPr>
        <w:t>to the</w:t>
      </w:r>
      <w:proofErr w:type="gramEnd"/>
      <w:r w:rsidRPr="009F1927">
        <w:rPr>
          <w:rFonts w:ascii="Times New Roman" w:eastAsia="Times New Roman" w:hAnsi="Times New Roman"/>
          <w:sz w:val="24"/>
          <w:szCs w:val="24"/>
        </w:rPr>
        <w:t xml:space="preserve"> charging </w:t>
      </w:r>
      <w:proofErr w:type="gramStart"/>
      <w:r w:rsidRPr="009F1927">
        <w:rPr>
          <w:rFonts w:ascii="Times New Roman" w:eastAsia="Times New Roman" w:hAnsi="Times New Roman"/>
          <w:sz w:val="24"/>
          <w:szCs w:val="24"/>
        </w:rPr>
        <w:t>party</w:t>
      </w:r>
      <w:proofErr w:type="gramEnd"/>
      <w:r w:rsidRPr="009F1927">
        <w:rPr>
          <w:rFonts w:ascii="Times New Roman" w:eastAsia="Times New Roman" w:hAnsi="Times New Roman"/>
          <w:sz w:val="24"/>
          <w:szCs w:val="24"/>
        </w:rPr>
        <w:t xml:space="preserve"> </w:t>
      </w:r>
      <w:proofErr w:type="gramStart"/>
      <w:r w:rsidRPr="009F1927">
        <w:rPr>
          <w:rFonts w:ascii="Times New Roman" w:eastAsia="Times New Roman" w:hAnsi="Times New Roman"/>
          <w:sz w:val="24"/>
          <w:szCs w:val="24"/>
        </w:rPr>
        <w:t>a notice</w:t>
      </w:r>
      <w:proofErr w:type="gramEnd"/>
      <w:r w:rsidRPr="009F1927">
        <w:rPr>
          <w:rFonts w:ascii="Times New Roman" w:eastAsia="Times New Roman" w:hAnsi="Times New Roman"/>
          <w:sz w:val="24"/>
          <w:szCs w:val="24"/>
        </w:rPr>
        <w:t xml:space="preserve"> of right to sue.  Charges against private employers are retained by the EEOC for a determination of whether to bring a lawsuit based on the charge or issue a notice of right to sue.” </w:t>
      </w:r>
      <w:hyperlink r:id="rId1310" w:history="1">
        <w:r w:rsidRPr="009F1927">
          <w:rPr>
            <w:rStyle w:val="Hyperlink"/>
            <w:rFonts w:ascii="Times New Roman" w:hAnsi="Times New Roman"/>
            <w:sz w:val="24"/>
            <w:szCs w:val="24"/>
          </w:rPr>
          <w:t>https://www.ada.gov/filing_eeoc_complaint.htm</w:t>
        </w:r>
      </w:hyperlink>
      <w:r w:rsidRPr="009F1927">
        <w:rPr>
          <w:rFonts w:ascii="Times New Roman" w:eastAsia="Times New Roman" w:hAnsi="Times New Roman"/>
          <w:sz w:val="24"/>
          <w:szCs w:val="24"/>
        </w:rPr>
        <w:t xml:space="preserve"> </w:t>
      </w:r>
    </w:p>
    <w:bookmarkEnd w:id="258"/>
    <w:p w14:paraId="3D694FAE" w14:textId="77777777" w:rsidR="00FB71EA" w:rsidRPr="009F1927" w:rsidRDefault="00FB71EA" w:rsidP="00F326E5">
      <w:pPr>
        <w:rPr>
          <w:rFonts w:ascii="Times New Roman" w:hAnsi="Times New Roman"/>
          <w:sz w:val="24"/>
          <w:szCs w:val="24"/>
        </w:rPr>
      </w:pPr>
    </w:p>
    <w:p w14:paraId="67376462" w14:textId="77777777" w:rsidR="00F326E5" w:rsidRDefault="00F326E5" w:rsidP="00F326E5">
      <w:pPr>
        <w:pStyle w:val="NoSpacing"/>
        <w:rPr>
          <w:rStyle w:val="dfm-title"/>
          <w:sz w:val="24"/>
          <w:szCs w:val="24"/>
        </w:rPr>
      </w:pPr>
    </w:p>
    <w:p w14:paraId="5312E9F4" w14:textId="77777777" w:rsidR="00F326E5" w:rsidRDefault="00F326E5" w:rsidP="00F326E5">
      <w:pPr>
        <w:pStyle w:val="NoSpacing"/>
        <w:rPr>
          <w:rStyle w:val="dfm-title"/>
          <w:sz w:val="24"/>
          <w:szCs w:val="24"/>
        </w:rPr>
      </w:pPr>
    </w:p>
    <w:p w14:paraId="446BEABA" w14:textId="520572A9" w:rsidR="00EF1133" w:rsidRDefault="00EF1133" w:rsidP="00EF1133">
      <w:pPr>
        <w:rPr>
          <w:rStyle w:val="dfm-title"/>
          <w:rFonts w:ascii="Arial Black" w:hAnsi="Arial Black"/>
          <w:b/>
          <w:sz w:val="28"/>
          <w:szCs w:val="28"/>
        </w:rPr>
      </w:pPr>
      <w:r>
        <w:rPr>
          <w:rFonts w:ascii="Arial Black" w:hAnsi="Arial Black"/>
          <w:b/>
          <w:sz w:val="24"/>
          <w:szCs w:val="24"/>
        </w:rPr>
        <w:t>6</w:t>
      </w:r>
      <w:r w:rsidRPr="00EF1133">
        <w:rPr>
          <w:rFonts w:ascii="Arial Black" w:hAnsi="Arial Black"/>
          <w:b/>
          <w:sz w:val="24"/>
          <w:szCs w:val="24"/>
        </w:rPr>
        <w:t>-1</w:t>
      </w:r>
      <w:r>
        <w:rPr>
          <w:rFonts w:ascii="Arial Black" w:hAnsi="Arial Black"/>
          <w:b/>
          <w:sz w:val="24"/>
          <w:szCs w:val="24"/>
        </w:rPr>
        <w:t>3</w:t>
      </w:r>
      <w:bookmarkStart w:id="260" w:name="_Hlk7343200"/>
    </w:p>
    <w:p w14:paraId="595EEB56" w14:textId="57E69841" w:rsidR="00F326E5" w:rsidRPr="00CA3D6F" w:rsidRDefault="00F326E5" w:rsidP="00F326E5">
      <w:pPr>
        <w:pStyle w:val="NoSpacing"/>
        <w:rPr>
          <w:rStyle w:val="dfm-title"/>
          <w:b/>
          <w:sz w:val="24"/>
          <w:szCs w:val="24"/>
        </w:rPr>
      </w:pPr>
      <w:r w:rsidRPr="00732C84">
        <w:rPr>
          <w:rStyle w:val="dfm-title"/>
          <w:rFonts w:ascii="Arial Black" w:hAnsi="Arial Black"/>
          <w:b/>
          <w:sz w:val="28"/>
          <w:szCs w:val="28"/>
        </w:rPr>
        <w:t>PA: HOSPITAL EMPLOYEE RECORDS HACKED; EMPLOYEES MAY SUE HOSPITAL</w:t>
      </w:r>
      <w:r>
        <w:rPr>
          <w:rStyle w:val="dfm-title"/>
          <w:rFonts w:ascii="Arial Black" w:hAnsi="Arial Black"/>
          <w:b/>
          <w:sz w:val="24"/>
          <w:szCs w:val="24"/>
        </w:rPr>
        <w:t xml:space="preserve"> </w:t>
      </w:r>
      <w:r w:rsidRPr="00CA3D6F">
        <w:rPr>
          <w:rStyle w:val="dfm-title"/>
          <w:b/>
          <w:sz w:val="24"/>
          <w:szCs w:val="24"/>
        </w:rPr>
        <w:t>[also filed, Chap. 13]</w:t>
      </w:r>
    </w:p>
    <w:p w14:paraId="37C0205F" w14:textId="77777777" w:rsidR="009F1927" w:rsidRDefault="00F326E5" w:rsidP="00F326E5">
      <w:pPr>
        <w:rPr>
          <w:rFonts w:ascii="Times New Roman" w:eastAsia="Times New Roman" w:hAnsi="Times New Roman"/>
          <w:sz w:val="24"/>
          <w:szCs w:val="24"/>
        </w:rPr>
      </w:pPr>
      <w:r w:rsidRPr="009F1927">
        <w:rPr>
          <w:rFonts w:ascii="Times New Roman" w:hAnsi="Times New Roman"/>
          <w:sz w:val="24"/>
          <w:szCs w:val="24"/>
        </w:rPr>
        <w:t xml:space="preserve">On Nov. 21, 2018, in </w:t>
      </w:r>
      <w:r w:rsidRPr="009F1927">
        <w:rPr>
          <w:rFonts w:ascii="Times New Roman" w:hAnsi="Times New Roman"/>
          <w:sz w:val="24"/>
          <w:szCs w:val="24"/>
          <w:u w:val="single"/>
        </w:rPr>
        <w:t>Barbara A. Dittman, et al. v.</w:t>
      </w:r>
      <w:r w:rsidRPr="009F1927">
        <w:rPr>
          <w:rFonts w:ascii="Times New Roman" w:hAnsi="Times New Roman"/>
          <w:sz w:val="24"/>
          <w:szCs w:val="24"/>
        </w:rPr>
        <w:t xml:space="preserve"> </w:t>
      </w:r>
      <w:r w:rsidRPr="009F1927">
        <w:rPr>
          <w:rFonts w:ascii="Times New Roman" w:eastAsia="Times New Roman" w:hAnsi="Times New Roman"/>
          <w:sz w:val="24"/>
          <w:szCs w:val="24"/>
          <w:u w:val="single"/>
        </w:rPr>
        <w:t>UPMC d/b/a The University of Pittsburgh Medical Center, et al.</w:t>
      </w:r>
      <w:r w:rsidRPr="009F1927">
        <w:rPr>
          <w:rFonts w:ascii="Times New Roman" w:eastAsia="Times New Roman" w:hAnsi="Times New Roman"/>
          <w:sz w:val="24"/>
          <w:szCs w:val="24"/>
        </w:rPr>
        <w:t xml:space="preserve">, the PA Supreme Court ruled (4 to 3), the lawsuit was reinstated against the hospital. </w:t>
      </w:r>
    </w:p>
    <w:p w14:paraId="297728AC" w14:textId="0F187152" w:rsidR="00F326E5" w:rsidRPr="009F1927" w:rsidRDefault="00F326E5" w:rsidP="009F1927">
      <w:pPr>
        <w:ind w:left="720"/>
        <w:rPr>
          <w:rFonts w:ascii="Times New Roman" w:hAnsi="Times New Roman"/>
          <w:sz w:val="24"/>
          <w:szCs w:val="24"/>
        </w:rPr>
      </w:pPr>
      <w:r w:rsidRPr="009F1927">
        <w:rPr>
          <w:rFonts w:ascii="Times New Roman" w:eastAsia="Times New Roman" w:hAnsi="Times New Roman"/>
          <w:sz w:val="24"/>
          <w:szCs w:val="24"/>
        </w:rPr>
        <w:t>“We hold that an employer has a legal duty to exercise reasonable care to safeguard its employees’ sensitive personal information stored by the employer on an internet-</w:t>
      </w:r>
      <w:r w:rsidRPr="009F1927">
        <w:rPr>
          <w:rFonts w:ascii="Times New Roman" w:hAnsi="Times New Roman"/>
          <w:sz w:val="24"/>
          <w:szCs w:val="24"/>
        </w:rPr>
        <w:t xml:space="preserve">accessible computer system.” </w:t>
      </w:r>
      <w:bookmarkStart w:id="261" w:name="_Hlk39831698"/>
      <w:r w:rsidR="00374417">
        <w:fldChar w:fldCharType="begin"/>
      </w:r>
      <w:r w:rsidR="00374417">
        <w:instrText xml:space="preserve"> HYPERLINK "http://www.pacourts.us/assets/opinions/Supreme/out/Majority%20Opinion%20%20VacatedRemanded%20%2010378165044604409.pdf?cb=1" </w:instrText>
      </w:r>
      <w:r w:rsidR="00374417">
        <w:fldChar w:fldCharType="separate"/>
      </w:r>
      <w:r w:rsidRPr="009F1927">
        <w:rPr>
          <w:rStyle w:val="Hyperlink"/>
          <w:rFonts w:ascii="Times New Roman" w:hAnsi="Times New Roman"/>
          <w:sz w:val="24"/>
          <w:szCs w:val="24"/>
        </w:rPr>
        <w:t>http://www.pacourts.us/assets/opinions/Supreme/out/Majority%20Opinion%20%20VacatedRemanded%20%2010378165044604409.pdf?cb=1</w:t>
      </w:r>
      <w:r w:rsidR="00374417">
        <w:rPr>
          <w:rStyle w:val="Hyperlink"/>
          <w:rFonts w:ascii="Times New Roman" w:hAnsi="Times New Roman"/>
          <w:sz w:val="24"/>
          <w:szCs w:val="24"/>
        </w:rPr>
        <w:fldChar w:fldCharType="end"/>
      </w:r>
      <w:r w:rsidRPr="009F1927">
        <w:rPr>
          <w:rFonts w:ascii="Times New Roman" w:hAnsi="Times New Roman"/>
          <w:sz w:val="24"/>
          <w:szCs w:val="24"/>
        </w:rPr>
        <w:t xml:space="preserve"> </w:t>
      </w:r>
    </w:p>
    <w:bookmarkEnd w:id="261"/>
    <w:p w14:paraId="5B600D93" w14:textId="77777777" w:rsidR="00F326E5" w:rsidRPr="009F1927" w:rsidRDefault="00F326E5" w:rsidP="00F326E5">
      <w:pPr>
        <w:pStyle w:val="Heading1"/>
        <w:rPr>
          <w:b w:val="0"/>
          <w:sz w:val="24"/>
          <w:szCs w:val="24"/>
        </w:rPr>
      </w:pPr>
      <w:r w:rsidRPr="009F1927">
        <w:rPr>
          <w:sz w:val="24"/>
          <w:szCs w:val="24"/>
        </w:rPr>
        <w:lastRenderedPageBreak/>
        <w:t xml:space="preserve">Legal Lessons Learned:  This is an important decision that will now proceed to trial or settlement. Hopefully this decision will prompt employers in PA, and other states, including Fire &amp; EMS agencies, to review their electronic data safeguards with IT experts.  </w:t>
      </w:r>
    </w:p>
    <w:bookmarkEnd w:id="260"/>
    <w:p w14:paraId="676CE6FE" w14:textId="77777777" w:rsidR="00EF1133" w:rsidRDefault="00EF1133" w:rsidP="00EF1133">
      <w:pPr>
        <w:rPr>
          <w:rFonts w:ascii="Arial Black" w:hAnsi="Arial Black"/>
          <w:b/>
          <w:sz w:val="24"/>
          <w:szCs w:val="24"/>
        </w:rPr>
      </w:pPr>
    </w:p>
    <w:p w14:paraId="068610BE" w14:textId="1DB2978E" w:rsidR="00EF1133" w:rsidRDefault="00EF1133" w:rsidP="00EF1133">
      <w:pPr>
        <w:rPr>
          <w:rFonts w:ascii="Arial Black" w:hAnsi="Arial Black"/>
          <w:b/>
          <w:sz w:val="24"/>
          <w:szCs w:val="24"/>
        </w:rPr>
      </w:pPr>
      <w:r>
        <w:rPr>
          <w:rFonts w:ascii="Arial Black" w:hAnsi="Arial Black"/>
          <w:b/>
          <w:sz w:val="24"/>
          <w:szCs w:val="24"/>
        </w:rPr>
        <w:t>6</w:t>
      </w:r>
      <w:r w:rsidRPr="00EF1133">
        <w:rPr>
          <w:rFonts w:ascii="Arial Black" w:hAnsi="Arial Black"/>
          <w:b/>
          <w:sz w:val="24"/>
          <w:szCs w:val="24"/>
        </w:rPr>
        <w:t>-1</w:t>
      </w:r>
      <w:r>
        <w:rPr>
          <w:rFonts w:ascii="Arial Black" w:hAnsi="Arial Black"/>
          <w:b/>
          <w:sz w:val="24"/>
          <w:szCs w:val="24"/>
        </w:rPr>
        <w:t>2</w:t>
      </w:r>
    </w:p>
    <w:p w14:paraId="458C04D5" w14:textId="3E7F0DA6" w:rsidR="00F326E5" w:rsidRPr="00732C84" w:rsidRDefault="00F326E5" w:rsidP="00F326E5">
      <w:pPr>
        <w:pStyle w:val="NoSpacing"/>
        <w:rPr>
          <w:rStyle w:val="dfm-title"/>
          <w:rFonts w:ascii="Arial Black" w:hAnsi="Arial Black"/>
          <w:b/>
          <w:sz w:val="28"/>
          <w:szCs w:val="28"/>
        </w:rPr>
      </w:pPr>
      <w:bookmarkStart w:id="262" w:name="_Hlk7343236"/>
      <w:r>
        <w:rPr>
          <w:rStyle w:val="dfm-title"/>
          <w:rFonts w:ascii="Arial Black" w:hAnsi="Arial Black"/>
          <w:b/>
          <w:sz w:val="28"/>
          <w:szCs w:val="28"/>
        </w:rPr>
        <w:t xml:space="preserve">U.S. </w:t>
      </w:r>
      <w:r w:rsidRPr="00732C84">
        <w:rPr>
          <w:rStyle w:val="dfm-title"/>
          <w:rFonts w:ascii="Arial Black" w:hAnsi="Arial Black"/>
          <w:b/>
          <w:sz w:val="28"/>
          <w:szCs w:val="28"/>
        </w:rPr>
        <w:t>SUPREME COURT: AGE DISCRIMINATION ACT APPLIES PUBLIC AGENCIES</w:t>
      </w:r>
      <w:r>
        <w:rPr>
          <w:rStyle w:val="dfm-title"/>
          <w:rFonts w:ascii="Arial Black" w:hAnsi="Arial Black"/>
          <w:b/>
          <w:sz w:val="28"/>
          <w:szCs w:val="28"/>
        </w:rPr>
        <w:t xml:space="preserve"> – EVEN LESS 20 EMPLOYEES</w:t>
      </w:r>
    </w:p>
    <w:p w14:paraId="17BC8F00" w14:textId="77777777" w:rsidR="009F1927" w:rsidRDefault="00F326E5" w:rsidP="00F326E5">
      <w:pPr>
        <w:rPr>
          <w:rFonts w:ascii="Times New Roman" w:eastAsia="Times New Roman" w:hAnsi="Times New Roman"/>
          <w:sz w:val="24"/>
          <w:szCs w:val="24"/>
        </w:rPr>
      </w:pPr>
      <w:r w:rsidRPr="009F1927">
        <w:rPr>
          <w:rFonts w:ascii="Times New Roman" w:eastAsia="Times New Roman" w:hAnsi="Times New Roman"/>
          <w:sz w:val="24"/>
          <w:szCs w:val="24"/>
        </w:rPr>
        <w:t xml:space="preserve">On </w:t>
      </w:r>
      <w:bookmarkStart w:id="263" w:name="_Hlk39831926"/>
      <w:r w:rsidRPr="009F1927">
        <w:rPr>
          <w:rFonts w:ascii="Times New Roman" w:eastAsia="Times New Roman" w:hAnsi="Times New Roman"/>
          <w:sz w:val="24"/>
          <w:szCs w:val="24"/>
        </w:rPr>
        <w:t xml:space="preserve">Nov. 6, 2018, in </w:t>
      </w:r>
      <w:r w:rsidRPr="009F1927">
        <w:rPr>
          <w:rFonts w:ascii="Times New Roman" w:eastAsia="Times New Roman" w:hAnsi="Times New Roman"/>
          <w:sz w:val="24"/>
          <w:szCs w:val="24"/>
          <w:u w:val="single"/>
        </w:rPr>
        <w:t>Mount Lemmon Fire District v. Guido, et al.</w:t>
      </w:r>
      <w:r w:rsidRPr="009F1927">
        <w:rPr>
          <w:rFonts w:ascii="Times New Roman" w:eastAsia="Times New Roman" w:hAnsi="Times New Roman"/>
          <w:sz w:val="24"/>
          <w:szCs w:val="24"/>
        </w:rPr>
        <w:t xml:space="preserve">, </w:t>
      </w:r>
      <w:bookmarkEnd w:id="263"/>
      <w:r w:rsidRPr="009F1927">
        <w:rPr>
          <w:rFonts w:ascii="Times New Roman" w:eastAsia="Times New Roman" w:hAnsi="Times New Roman"/>
          <w:sz w:val="24"/>
          <w:szCs w:val="24"/>
        </w:rPr>
        <w:t xml:space="preserve">the U.S. Supreme Court (8 to 0) held: </w:t>
      </w:r>
    </w:p>
    <w:p w14:paraId="27A248CE" w14:textId="053D323A" w:rsidR="00F326E5" w:rsidRPr="009F1927" w:rsidRDefault="00F326E5" w:rsidP="009F1927">
      <w:pPr>
        <w:ind w:left="720"/>
        <w:rPr>
          <w:rFonts w:ascii="Times New Roman" w:eastAsia="Times New Roman" w:hAnsi="Times New Roman"/>
          <w:sz w:val="24"/>
          <w:szCs w:val="24"/>
        </w:rPr>
      </w:pPr>
      <w:r w:rsidRPr="009F1927">
        <w:rPr>
          <w:rFonts w:ascii="Times New Roman" w:eastAsia="Times New Roman" w:hAnsi="Times New Roman"/>
          <w:sz w:val="24"/>
          <w:szCs w:val="24"/>
        </w:rPr>
        <w:t>“</w:t>
      </w:r>
      <w:proofErr w:type="gramStart"/>
      <w:r w:rsidRPr="009F1927">
        <w:rPr>
          <w:rFonts w:ascii="Times New Roman" w:eastAsia="Times New Roman" w:hAnsi="Times New Roman"/>
          <w:sz w:val="24"/>
          <w:szCs w:val="24"/>
        </w:rPr>
        <w:t>that</w:t>
      </w:r>
      <w:proofErr w:type="gramEnd"/>
      <w:r w:rsidRPr="009F1927">
        <w:rPr>
          <w:rFonts w:ascii="Times New Roman" w:eastAsia="Times New Roman" w:hAnsi="Times New Roman"/>
          <w:sz w:val="24"/>
          <w:szCs w:val="24"/>
        </w:rPr>
        <w:t xml:space="preserve"> state and local governments are ‘employer[s]’ covered by the ADEA regardless of their size” [while private employers are only covered if have 20 or more employees]. </w:t>
      </w:r>
      <w:bookmarkStart w:id="264" w:name="_Hlk39831949"/>
      <w:r w:rsidR="00374417">
        <w:fldChar w:fldCharType="begin"/>
      </w:r>
      <w:r w:rsidR="00374417">
        <w:instrText xml:space="preserve"> HYPERLINK "https://www.supremecourt.gov/opinions/18pdf/17-587_n7ip.pdf" </w:instrText>
      </w:r>
      <w:r w:rsidR="00374417">
        <w:fldChar w:fldCharType="separate"/>
      </w:r>
      <w:r w:rsidRPr="009F1927">
        <w:rPr>
          <w:rStyle w:val="Hyperlink"/>
          <w:rFonts w:ascii="Times New Roman" w:hAnsi="Times New Roman"/>
          <w:sz w:val="24"/>
          <w:szCs w:val="24"/>
        </w:rPr>
        <w:t>https://www.supremecourt.gov/opinions/18pdf/17-587_n7ip.pdf</w:t>
      </w:r>
      <w:r w:rsidR="00374417">
        <w:rPr>
          <w:rStyle w:val="Hyperlink"/>
          <w:rFonts w:ascii="Times New Roman" w:hAnsi="Times New Roman"/>
          <w:sz w:val="24"/>
          <w:szCs w:val="24"/>
        </w:rPr>
        <w:fldChar w:fldCharType="end"/>
      </w:r>
      <w:r w:rsidRPr="009F1927">
        <w:rPr>
          <w:rFonts w:ascii="Times New Roman" w:eastAsia="Times New Roman" w:hAnsi="Times New Roman"/>
          <w:sz w:val="24"/>
          <w:szCs w:val="24"/>
        </w:rPr>
        <w:t xml:space="preserve"> </w:t>
      </w:r>
    </w:p>
    <w:bookmarkEnd w:id="264"/>
    <w:p w14:paraId="17CFD01E" w14:textId="77777777" w:rsidR="00F326E5" w:rsidRPr="009F1927" w:rsidRDefault="00F326E5" w:rsidP="00F326E5">
      <w:pPr>
        <w:rPr>
          <w:rFonts w:ascii="Times New Roman" w:eastAsia="Times New Roman" w:hAnsi="Times New Roman"/>
          <w:b/>
          <w:sz w:val="24"/>
          <w:szCs w:val="24"/>
        </w:rPr>
      </w:pPr>
      <w:r w:rsidRPr="009F1927">
        <w:rPr>
          <w:rFonts w:ascii="Times New Roman" w:eastAsia="Times New Roman" w:hAnsi="Times New Roman"/>
          <w:b/>
          <w:sz w:val="24"/>
          <w:szCs w:val="24"/>
        </w:rPr>
        <w:t>Legal Lessons Learned:  The two former Captains may now proceed with their lawsuit.  Fire &amp; EMS departments, when conducting layoffs, should carefully document their rational for any layoffs not involving the “last hired.”</w:t>
      </w:r>
    </w:p>
    <w:p w14:paraId="503543DE" w14:textId="37C6A1C2" w:rsidR="00F326E5" w:rsidRPr="009F1927" w:rsidRDefault="00F326E5" w:rsidP="009F1927">
      <w:pPr>
        <w:rPr>
          <w:rFonts w:ascii="Times New Roman" w:eastAsia="Times New Roman" w:hAnsi="Times New Roman"/>
          <w:sz w:val="24"/>
          <w:szCs w:val="24"/>
        </w:rPr>
      </w:pPr>
      <w:r w:rsidRPr="009F1927">
        <w:rPr>
          <w:rFonts w:ascii="Times New Roman" w:eastAsia="Times New Roman" w:hAnsi="Times New Roman"/>
          <w:sz w:val="24"/>
          <w:szCs w:val="24"/>
        </w:rPr>
        <w:t xml:space="preserve">   See 9</w:t>
      </w:r>
      <w:r w:rsidRPr="009F1927">
        <w:rPr>
          <w:rFonts w:ascii="Times New Roman" w:eastAsia="Times New Roman" w:hAnsi="Times New Roman"/>
          <w:sz w:val="24"/>
          <w:szCs w:val="24"/>
          <w:vertAlign w:val="superscript"/>
        </w:rPr>
        <w:t>th</w:t>
      </w:r>
      <w:r w:rsidRPr="009F1927">
        <w:rPr>
          <w:rFonts w:ascii="Times New Roman" w:eastAsia="Times New Roman" w:hAnsi="Times New Roman"/>
          <w:sz w:val="24"/>
          <w:szCs w:val="24"/>
        </w:rPr>
        <w:t xml:space="preserve"> Circuit decision:</w:t>
      </w:r>
    </w:p>
    <w:p w14:paraId="26798A2B" w14:textId="77777777" w:rsidR="00F326E5" w:rsidRPr="009F1927" w:rsidRDefault="00F326E5" w:rsidP="00F326E5">
      <w:pPr>
        <w:ind w:left="720"/>
        <w:rPr>
          <w:rFonts w:ascii="Times New Roman" w:eastAsia="Times New Roman" w:hAnsi="Times New Roman"/>
          <w:sz w:val="24"/>
          <w:szCs w:val="24"/>
        </w:rPr>
      </w:pPr>
      <w:r w:rsidRPr="009F1927">
        <w:rPr>
          <w:rFonts w:ascii="Times New Roman" w:hAnsi="Times New Roman"/>
          <w:sz w:val="24"/>
          <w:szCs w:val="24"/>
        </w:rPr>
        <w:t xml:space="preserve">“John Guido and Dennis Rankin were both hired in 2000 by Mount Lemmon Fire District, a political subdivision of the State of Arizona. Guido and Rankin served as full-time firefighter Captains. They were the two oldest full-time employees at the Fire District when they were terminated on June 15, 2009, Guido at forty-six years of age and Rankin at fifty-four.” </w:t>
      </w:r>
      <w:hyperlink r:id="rId1311" w:history="1">
        <w:r w:rsidRPr="009F1927">
          <w:rPr>
            <w:rStyle w:val="Hyperlink"/>
            <w:rFonts w:ascii="Times New Roman" w:hAnsi="Times New Roman"/>
            <w:sz w:val="24"/>
            <w:szCs w:val="24"/>
          </w:rPr>
          <w:t>https://caselaw.findlaw.com/us-9th-circuit/1864754.html</w:t>
        </w:r>
      </w:hyperlink>
      <w:r w:rsidRPr="009F1927">
        <w:rPr>
          <w:rFonts w:ascii="Times New Roman" w:hAnsi="Times New Roman"/>
          <w:sz w:val="24"/>
          <w:szCs w:val="24"/>
        </w:rPr>
        <w:t xml:space="preserve"> </w:t>
      </w:r>
    </w:p>
    <w:p w14:paraId="1FB66A64" w14:textId="77777777" w:rsidR="00F326E5" w:rsidRPr="009F1927" w:rsidRDefault="00F326E5" w:rsidP="00F326E5">
      <w:pPr>
        <w:pStyle w:val="NoSpacing"/>
        <w:ind w:left="720"/>
        <w:rPr>
          <w:rFonts w:ascii="Times New Roman" w:hAnsi="Times New Roman"/>
          <w:sz w:val="24"/>
          <w:szCs w:val="24"/>
        </w:rPr>
      </w:pPr>
      <w:r w:rsidRPr="009F1927">
        <w:rPr>
          <w:rFonts w:ascii="Times New Roman" w:hAnsi="Times New Roman"/>
          <w:sz w:val="24"/>
          <w:szCs w:val="24"/>
        </w:rPr>
        <w:t xml:space="preserve">Note:  Ohio has enacted the Ohio Data Protection Act, effective Nov. 2, 2018 (to be in Ohio Revised Code 1354.01-05), which provides companies with an affirmative defense to lawsuits involving release of personal information, if the company has a written cybersecurity program that conforms to the NIST Cybersecurity Framework. </w:t>
      </w:r>
      <w:hyperlink r:id="rId1312" w:history="1">
        <w:r w:rsidRPr="009F1927">
          <w:rPr>
            <w:rStyle w:val="Hyperlink"/>
            <w:rFonts w:ascii="Times New Roman" w:hAnsi="Times New Roman"/>
            <w:sz w:val="24"/>
            <w:szCs w:val="24"/>
          </w:rPr>
          <w:t>https://www.legislature.ohio.gov/legislation/legislation-summary?id=GA132-SB-220</w:t>
        </w:r>
      </w:hyperlink>
      <w:r w:rsidRPr="009F1927">
        <w:rPr>
          <w:rFonts w:ascii="Times New Roman" w:hAnsi="Times New Roman"/>
          <w:sz w:val="24"/>
          <w:szCs w:val="24"/>
        </w:rPr>
        <w:t xml:space="preserve">.  See Sept. 20, </w:t>
      </w:r>
      <w:proofErr w:type="gramStart"/>
      <w:r w:rsidRPr="009F1927">
        <w:rPr>
          <w:rFonts w:ascii="Times New Roman" w:hAnsi="Times New Roman"/>
          <w:sz w:val="24"/>
          <w:szCs w:val="24"/>
        </w:rPr>
        <w:t>2018</w:t>
      </w:r>
      <w:proofErr w:type="gramEnd"/>
      <w:r w:rsidRPr="009F1927">
        <w:rPr>
          <w:rFonts w:ascii="Times New Roman" w:hAnsi="Times New Roman"/>
          <w:sz w:val="24"/>
          <w:szCs w:val="24"/>
        </w:rPr>
        <w:t xml:space="preserve"> article, “New Ohio law incentivizes businesses that comply with cybersecurity programs,” </w:t>
      </w:r>
      <w:hyperlink r:id="rId1313" w:history="1">
        <w:r w:rsidRPr="009F1927">
          <w:rPr>
            <w:rStyle w:val="Hyperlink"/>
            <w:rFonts w:ascii="Times New Roman" w:hAnsi="Times New Roman"/>
            <w:sz w:val="24"/>
            <w:szCs w:val="24"/>
          </w:rPr>
          <w:t>https://www.bizjournals.com/columbus/news/2018/09/20/new-ohio-law-incentivizes-businesses-that-comply.html</w:t>
        </w:r>
      </w:hyperlink>
    </w:p>
    <w:p w14:paraId="341C3ED8" w14:textId="77777777" w:rsidR="00F326E5" w:rsidRPr="009F1927" w:rsidRDefault="00F326E5" w:rsidP="00F326E5">
      <w:pPr>
        <w:pStyle w:val="NoSpacing"/>
        <w:rPr>
          <w:rStyle w:val="dfm-title"/>
          <w:rFonts w:ascii="Times New Roman" w:hAnsi="Times New Roman"/>
          <w:sz w:val="24"/>
          <w:szCs w:val="24"/>
        </w:rPr>
      </w:pPr>
    </w:p>
    <w:bookmarkEnd w:id="262"/>
    <w:p w14:paraId="14C842DA" w14:textId="6DA8F9DA" w:rsidR="00EF1133" w:rsidRDefault="00EF1133" w:rsidP="00EF1133">
      <w:pPr>
        <w:rPr>
          <w:rFonts w:ascii="Arial Black" w:hAnsi="Arial Black"/>
          <w:sz w:val="28"/>
          <w:szCs w:val="28"/>
        </w:rPr>
      </w:pPr>
      <w:r>
        <w:rPr>
          <w:rFonts w:ascii="Arial Black" w:hAnsi="Arial Black"/>
          <w:b/>
          <w:sz w:val="24"/>
          <w:szCs w:val="24"/>
        </w:rPr>
        <w:t>6</w:t>
      </w:r>
      <w:r w:rsidRPr="00EF1133">
        <w:rPr>
          <w:rFonts w:ascii="Arial Black" w:hAnsi="Arial Black"/>
          <w:b/>
          <w:sz w:val="24"/>
          <w:szCs w:val="24"/>
        </w:rPr>
        <w:t>-1</w:t>
      </w:r>
      <w:r>
        <w:rPr>
          <w:rFonts w:ascii="Arial Black" w:hAnsi="Arial Black"/>
          <w:b/>
          <w:sz w:val="24"/>
          <w:szCs w:val="24"/>
        </w:rPr>
        <w:t>1</w:t>
      </w:r>
      <w:bookmarkStart w:id="265" w:name="_Hlk7343286"/>
    </w:p>
    <w:p w14:paraId="334AB698" w14:textId="12093068" w:rsidR="00F326E5" w:rsidRDefault="00F326E5" w:rsidP="00F326E5">
      <w:pPr>
        <w:pStyle w:val="NoSpacing"/>
        <w:rPr>
          <w:rFonts w:ascii="Arial Black" w:hAnsi="Arial Black"/>
          <w:sz w:val="28"/>
          <w:szCs w:val="28"/>
        </w:rPr>
      </w:pPr>
      <w:r w:rsidRPr="002C2C77">
        <w:rPr>
          <w:rFonts w:ascii="Arial Black" w:hAnsi="Arial Black"/>
          <w:sz w:val="28"/>
          <w:szCs w:val="28"/>
        </w:rPr>
        <w:t>TN</w:t>
      </w:r>
      <w:r>
        <w:rPr>
          <w:rFonts w:ascii="Arial Black" w:hAnsi="Arial Black"/>
          <w:sz w:val="28"/>
          <w:szCs w:val="28"/>
        </w:rPr>
        <w:t>:  FIRE CHIEF FIRED – AT-WILL EMPLOYEE –</w:t>
      </w:r>
      <w:r w:rsidR="009F1927">
        <w:rPr>
          <w:rFonts w:ascii="Arial Black" w:hAnsi="Arial Black"/>
          <w:sz w:val="28"/>
          <w:szCs w:val="28"/>
        </w:rPr>
        <w:t xml:space="preserve"> </w:t>
      </w:r>
      <w:r>
        <w:rPr>
          <w:rFonts w:ascii="Arial Black" w:hAnsi="Arial Black"/>
          <w:sz w:val="28"/>
          <w:szCs w:val="28"/>
        </w:rPr>
        <w:t>COUNTY CAN</w:t>
      </w:r>
      <w:r w:rsidR="005353F2">
        <w:rPr>
          <w:rFonts w:ascii="Arial Black" w:hAnsi="Arial Black"/>
          <w:sz w:val="28"/>
          <w:szCs w:val="28"/>
        </w:rPr>
        <w:t>’T</w:t>
      </w:r>
      <w:r>
        <w:rPr>
          <w:rFonts w:ascii="Arial Black" w:hAnsi="Arial Black"/>
          <w:sz w:val="28"/>
          <w:szCs w:val="28"/>
        </w:rPr>
        <w:t xml:space="preserve"> GRANT CIVIL SERVICE PROTECTION</w:t>
      </w:r>
    </w:p>
    <w:p w14:paraId="544BA7E7" w14:textId="77777777" w:rsidR="00F326E5" w:rsidRPr="009F1927" w:rsidRDefault="00F326E5" w:rsidP="00F326E5">
      <w:pPr>
        <w:rPr>
          <w:rFonts w:ascii="Times New Roman" w:eastAsia="Times New Roman" w:hAnsi="Times New Roman"/>
          <w:sz w:val="24"/>
          <w:szCs w:val="24"/>
        </w:rPr>
      </w:pPr>
      <w:r w:rsidRPr="009F1927">
        <w:rPr>
          <w:rFonts w:ascii="Times New Roman" w:hAnsi="Times New Roman"/>
          <w:sz w:val="24"/>
          <w:szCs w:val="24"/>
        </w:rPr>
        <w:t xml:space="preserve">On Oct. 19, 2018, in </w:t>
      </w:r>
      <w:r w:rsidRPr="009F1927">
        <w:rPr>
          <w:rFonts w:ascii="Times New Roman" w:hAnsi="Times New Roman"/>
          <w:sz w:val="24"/>
          <w:szCs w:val="24"/>
          <w:u w:val="single"/>
        </w:rPr>
        <w:t>William Smallwood v. Cocke County Government</w:t>
      </w:r>
      <w:r w:rsidRPr="009F1927">
        <w:rPr>
          <w:rFonts w:ascii="Times New Roman" w:hAnsi="Times New Roman"/>
          <w:sz w:val="24"/>
          <w:szCs w:val="24"/>
        </w:rPr>
        <w:t>, the U.S. Court of Appeals for 6</w:t>
      </w:r>
      <w:r w:rsidRPr="009F1927">
        <w:rPr>
          <w:rFonts w:ascii="Times New Roman" w:hAnsi="Times New Roman"/>
          <w:sz w:val="24"/>
          <w:szCs w:val="24"/>
          <w:vertAlign w:val="superscript"/>
        </w:rPr>
        <w:t>th</w:t>
      </w:r>
      <w:r w:rsidRPr="009F1927">
        <w:rPr>
          <w:rFonts w:ascii="Times New Roman" w:hAnsi="Times New Roman"/>
          <w:sz w:val="24"/>
          <w:szCs w:val="24"/>
        </w:rPr>
        <w:t xml:space="preserve"> Circuit (Cincinnati, OH), held (3 to 0) in an unpublished opinion, that the District Court properly granted summary judgment to the County. “</w:t>
      </w:r>
      <w:r w:rsidRPr="009F1927">
        <w:rPr>
          <w:rFonts w:ascii="Times New Roman" w:eastAsia="Times New Roman" w:hAnsi="Times New Roman"/>
          <w:sz w:val="24"/>
          <w:szCs w:val="24"/>
        </w:rPr>
        <w:t>Regardless of whether Smallwood’s termination was politically motivated, as Fire Chief, he could be terminated for political reasons.”</w:t>
      </w:r>
      <w:r w:rsidRPr="009F1927">
        <w:rPr>
          <w:rFonts w:ascii="Times New Roman" w:hAnsi="Times New Roman"/>
          <w:sz w:val="24"/>
          <w:szCs w:val="24"/>
        </w:rPr>
        <w:t xml:space="preserve"> </w:t>
      </w:r>
      <w:hyperlink r:id="rId1314" w:history="1">
        <w:r w:rsidRPr="009F1927">
          <w:rPr>
            <w:rStyle w:val="Hyperlink"/>
            <w:rFonts w:ascii="Times New Roman" w:hAnsi="Times New Roman"/>
            <w:sz w:val="24"/>
            <w:szCs w:val="24"/>
          </w:rPr>
          <w:t>http://www.opn.ca6.uscourts.gov/opinions.pdf/18a0522n-06.pdf</w:t>
        </w:r>
      </w:hyperlink>
      <w:r w:rsidRPr="009F1927">
        <w:rPr>
          <w:rFonts w:ascii="Times New Roman" w:eastAsia="Times New Roman" w:hAnsi="Times New Roman"/>
          <w:sz w:val="24"/>
          <w:szCs w:val="24"/>
        </w:rPr>
        <w:t xml:space="preserve"> </w:t>
      </w:r>
    </w:p>
    <w:p w14:paraId="75753C14" w14:textId="77777777" w:rsidR="00F326E5" w:rsidRPr="009F1927" w:rsidRDefault="00F326E5" w:rsidP="00F326E5">
      <w:pPr>
        <w:pStyle w:val="NoSpacing"/>
        <w:rPr>
          <w:rFonts w:ascii="Times New Roman" w:hAnsi="Times New Roman"/>
          <w:b/>
          <w:sz w:val="24"/>
          <w:szCs w:val="24"/>
        </w:rPr>
      </w:pPr>
      <w:r w:rsidRPr="009F1927">
        <w:rPr>
          <w:rFonts w:ascii="Times New Roman" w:hAnsi="Times New Roman"/>
          <w:b/>
          <w:sz w:val="24"/>
          <w:szCs w:val="24"/>
        </w:rPr>
        <w:t xml:space="preserve">Legal Lessons Learned:  At-will employees may be terminated without </w:t>
      </w:r>
      <w:proofErr w:type="gramStart"/>
      <w:r w:rsidRPr="009F1927">
        <w:rPr>
          <w:rFonts w:ascii="Times New Roman" w:hAnsi="Times New Roman"/>
          <w:b/>
          <w:sz w:val="24"/>
          <w:szCs w:val="24"/>
        </w:rPr>
        <w:t>a hearing</w:t>
      </w:r>
      <w:proofErr w:type="gramEnd"/>
      <w:r w:rsidRPr="009F1927">
        <w:rPr>
          <w:rFonts w:ascii="Times New Roman" w:hAnsi="Times New Roman"/>
          <w:b/>
          <w:sz w:val="24"/>
          <w:szCs w:val="24"/>
        </w:rPr>
        <w:t xml:space="preserve">.  </w:t>
      </w:r>
    </w:p>
    <w:bookmarkEnd w:id="265"/>
    <w:p w14:paraId="2D8ED270" w14:textId="77777777" w:rsidR="00F326E5" w:rsidRPr="009F1927" w:rsidRDefault="00F326E5" w:rsidP="00F326E5">
      <w:pPr>
        <w:ind w:left="720"/>
        <w:rPr>
          <w:rFonts w:ascii="Times New Roman" w:eastAsia="Times New Roman" w:hAnsi="Times New Roman"/>
          <w:sz w:val="24"/>
          <w:szCs w:val="24"/>
        </w:rPr>
      </w:pPr>
    </w:p>
    <w:p w14:paraId="6B119D7E" w14:textId="77777777" w:rsidR="009F1927" w:rsidRDefault="009F1927" w:rsidP="00EF1133">
      <w:pPr>
        <w:rPr>
          <w:rFonts w:ascii="Arial Black" w:hAnsi="Arial Black"/>
          <w:b/>
          <w:sz w:val="24"/>
          <w:szCs w:val="24"/>
        </w:rPr>
      </w:pPr>
    </w:p>
    <w:p w14:paraId="02A7C8E7" w14:textId="3C9995B9" w:rsidR="00EF1133" w:rsidRDefault="00EF1133" w:rsidP="00EF1133">
      <w:pPr>
        <w:rPr>
          <w:rFonts w:ascii="Arial Black" w:hAnsi="Arial Black"/>
          <w:b/>
          <w:sz w:val="24"/>
          <w:szCs w:val="24"/>
        </w:rPr>
      </w:pPr>
      <w:r>
        <w:rPr>
          <w:rFonts w:ascii="Arial Black" w:hAnsi="Arial Black"/>
          <w:b/>
          <w:sz w:val="24"/>
          <w:szCs w:val="24"/>
        </w:rPr>
        <w:t>6</w:t>
      </w:r>
      <w:r w:rsidRPr="00EF1133">
        <w:rPr>
          <w:rFonts w:ascii="Arial Black" w:hAnsi="Arial Black"/>
          <w:b/>
          <w:sz w:val="24"/>
          <w:szCs w:val="24"/>
        </w:rPr>
        <w:t>-1</w:t>
      </w:r>
      <w:r>
        <w:rPr>
          <w:rFonts w:ascii="Arial Black" w:hAnsi="Arial Black"/>
          <w:b/>
          <w:sz w:val="24"/>
          <w:szCs w:val="24"/>
        </w:rPr>
        <w:t>0</w:t>
      </w:r>
    </w:p>
    <w:p w14:paraId="3D465DED" w14:textId="20086348" w:rsidR="00F326E5" w:rsidRPr="00732C84" w:rsidRDefault="00F326E5" w:rsidP="00F326E5">
      <w:pPr>
        <w:rPr>
          <w:rFonts w:ascii="Times New Roman" w:hAnsi="Times New Roman"/>
          <w:sz w:val="24"/>
          <w:szCs w:val="24"/>
        </w:rPr>
      </w:pPr>
      <w:bookmarkStart w:id="266" w:name="_Hlk7343322"/>
      <w:r w:rsidRPr="00732C84">
        <w:rPr>
          <w:rFonts w:ascii="Arial Black" w:hAnsi="Arial Black"/>
          <w:sz w:val="28"/>
          <w:szCs w:val="28"/>
        </w:rPr>
        <w:t xml:space="preserve">NY: </w:t>
      </w:r>
      <w:r>
        <w:rPr>
          <w:rFonts w:ascii="Arial Black" w:hAnsi="Arial Black"/>
          <w:sz w:val="28"/>
          <w:szCs w:val="28"/>
        </w:rPr>
        <w:t xml:space="preserve">AMBULANCE BACK STEP NOT LOWERED - </w:t>
      </w:r>
      <w:r w:rsidRPr="00732C84">
        <w:rPr>
          <w:rFonts w:ascii="Arial Black" w:hAnsi="Arial Black"/>
          <w:sz w:val="28"/>
          <w:szCs w:val="28"/>
        </w:rPr>
        <w:t xml:space="preserve">FF </w:t>
      </w:r>
      <w:r>
        <w:rPr>
          <w:rFonts w:ascii="Arial Black" w:hAnsi="Arial Black"/>
          <w:sz w:val="28"/>
          <w:szCs w:val="28"/>
        </w:rPr>
        <w:t xml:space="preserve">ENTITLED TO ACCIDENTAL RETIREMENT BENEFITS </w:t>
      </w:r>
      <w:r w:rsidRPr="00732C84">
        <w:rPr>
          <w:rFonts w:ascii="Times New Roman" w:hAnsi="Times New Roman"/>
          <w:sz w:val="24"/>
          <w:szCs w:val="24"/>
        </w:rPr>
        <w:t xml:space="preserve">[also filed, Chap. 13] </w:t>
      </w:r>
    </w:p>
    <w:p w14:paraId="4F8E17CD" w14:textId="77777777" w:rsidR="00F326E5" w:rsidRPr="009F1927" w:rsidRDefault="00F326E5" w:rsidP="00F326E5">
      <w:pPr>
        <w:rPr>
          <w:rFonts w:ascii="Times New Roman" w:eastAsia="Times New Roman" w:hAnsi="Times New Roman"/>
          <w:sz w:val="24"/>
          <w:szCs w:val="24"/>
        </w:rPr>
      </w:pPr>
      <w:r w:rsidRPr="009F1927">
        <w:rPr>
          <w:rFonts w:ascii="Times New Roman" w:eastAsia="Times New Roman" w:hAnsi="Times New Roman"/>
          <w:sz w:val="24"/>
          <w:szCs w:val="24"/>
        </w:rPr>
        <w:t xml:space="preserve">On Sept. 6, 2018, </w:t>
      </w:r>
      <w:r w:rsidRPr="009F1927">
        <w:rPr>
          <w:rFonts w:ascii="Times New Roman" w:eastAsia="Times New Roman" w:hAnsi="Times New Roman"/>
          <w:sz w:val="24"/>
          <w:szCs w:val="24"/>
          <w:u w:val="single"/>
        </w:rPr>
        <w:t>In The Matter Of Gregg A. Loia v. Thomas P. Di Napoli, State Comptroller</w:t>
      </w:r>
      <w:r w:rsidRPr="009F1927">
        <w:rPr>
          <w:rFonts w:ascii="Times New Roman" w:eastAsia="Times New Roman" w:hAnsi="Times New Roman"/>
          <w:sz w:val="24"/>
          <w:szCs w:val="24"/>
        </w:rPr>
        <w:t xml:space="preserve">,  the NY Supreme Court, Appellate Division (Third Judicial Department) held (3 to 0) the injured firefighter is entitled to accidental retirement benefits since the back step of the ambulance had not been lowered by EMS personnel, and he suffered an “accident” on the “malfunctioning piece of equipment that was designed, under normal circumstances, to promote safety.” </w:t>
      </w:r>
      <w:hyperlink r:id="rId1315" w:history="1">
        <w:r w:rsidRPr="009F1927">
          <w:rPr>
            <w:rStyle w:val="Hyperlink"/>
            <w:rFonts w:ascii="Times New Roman" w:hAnsi="Times New Roman"/>
            <w:sz w:val="24"/>
            <w:szCs w:val="24"/>
          </w:rPr>
          <w:t>http://decisions.courts.state.ny.us/ad3/Decisions/2018/526165.pdf</w:t>
        </w:r>
      </w:hyperlink>
      <w:r w:rsidRPr="009F1927">
        <w:rPr>
          <w:rFonts w:ascii="Times New Roman" w:eastAsia="Times New Roman" w:hAnsi="Times New Roman"/>
          <w:sz w:val="24"/>
          <w:szCs w:val="24"/>
        </w:rPr>
        <w:t xml:space="preserve"> </w:t>
      </w:r>
    </w:p>
    <w:p w14:paraId="1933F0FC" w14:textId="77777777" w:rsidR="00F326E5" w:rsidRPr="009F1927" w:rsidRDefault="00F326E5" w:rsidP="00F326E5">
      <w:pPr>
        <w:rPr>
          <w:rFonts w:ascii="Times New Roman" w:eastAsia="Times New Roman" w:hAnsi="Times New Roman"/>
          <w:b/>
          <w:sz w:val="24"/>
          <w:szCs w:val="24"/>
        </w:rPr>
      </w:pPr>
      <w:r w:rsidRPr="009F1927">
        <w:rPr>
          <w:rFonts w:ascii="Times New Roman" w:eastAsia="Times New Roman" w:hAnsi="Times New Roman"/>
          <w:b/>
          <w:sz w:val="24"/>
          <w:szCs w:val="24"/>
        </w:rPr>
        <w:t xml:space="preserve">Legal Lessons Learned:  Fire &amp; EMS personnel should document any on the job injury (including, in this case, photos of the ambulance step) and obtain statements from others on the scene.  It is unfortunate that a dispute over disability retirement benefits has been in litigation since 2012.  </w:t>
      </w:r>
    </w:p>
    <w:bookmarkEnd w:id="266"/>
    <w:p w14:paraId="78B0C165" w14:textId="77777777" w:rsidR="00F326E5" w:rsidRDefault="00F326E5" w:rsidP="00F326E5">
      <w:pPr>
        <w:pStyle w:val="NoSpacing"/>
        <w:rPr>
          <w:rStyle w:val="dfm-title"/>
          <w:b/>
          <w:sz w:val="24"/>
          <w:szCs w:val="24"/>
        </w:rPr>
      </w:pPr>
    </w:p>
    <w:p w14:paraId="149F5F5A" w14:textId="77777777" w:rsidR="00F27CD5" w:rsidRDefault="00F27CD5" w:rsidP="00F326E5">
      <w:pPr>
        <w:rPr>
          <w:rFonts w:ascii="Arial Black" w:hAnsi="Arial Black"/>
          <w:b/>
          <w:sz w:val="24"/>
          <w:szCs w:val="24"/>
        </w:rPr>
      </w:pPr>
    </w:p>
    <w:p w14:paraId="1293C9CE" w14:textId="77777777" w:rsidR="00F27CD5" w:rsidRDefault="00F27CD5" w:rsidP="00F326E5">
      <w:pPr>
        <w:rPr>
          <w:rFonts w:ascii="Arial Black" w:hAnsi="Arial Black"/>
          <w:b/>
          <w:sz w:val="24"/>
          <w:szCs w:val="24"/>
        </w:rPr>
      </w:pPr>
    </w:p>
    <w:p w14:paraId="2FF83555" w14:textId="4119B724" w:rsidR="00F326E5" w:rsidRPr="009F2867" w:rsidRDefault="00EF1133" w:rsidP="00F326E5">
      <w:pPr>
        <w:rPr>
          <w:sz w:val="24"/>
          <w:szCs w:val="24"/>
        </w:rPr>
      </w:pPr>
      <w:r>
        <w:rPr>
          <w:rFonts w:ascii="Arial Black" w:hAnsi="Arial Black"/>
          <w:b/>
          <w:sz w:val="24"/>
          <w:szCs w:val="24"/>
        </w:rPr>
        <w:t>6</w:t>
      </w:r>
      <w:r w:rsidRPr="00EF1133">
        <w:rPr>
          <w:rFonts w:ascii="Arial Black" w:hAnsi="Arial Black"/>
          <w:b/>
          <w:sz w:val="24"/>
          <w:szCs w:val="24"/>
        </w:rPr>
        <w:t>-</w:t>
      </w:r>
      <w:r>
        <w:rPr>
          <w:rFonts w:ascii="Arial Black" w:hAnsi="Arial Black"/>
          <w:b/>
          <w:sz w:val="24"/>
          <w:szCs w:val="24"/>
        </w:rPr>
        <w:t>9</w:t>
      </w:r>
    </w:p>
    <w:p w14:paraId="29350A44" w14:textId="7CD59645" w:rsidR="00F326E5" w:rsidRPr="00732C84" w:rsidRDefault="00F326E5" w:rsidP="00F326E5">
      <w:pPr>
        <w:rPr>
          <w:rFonts w:ascii="Arial Black" w:hAnsi="Arial Black"/>
          <w:sz w:val="28"/>
          <w:szCs w:val="28"/>
        </w:rPr>
      </w:pPr>
      <w:bookmarkStart w:id="267" w:name="_Hlk7343376"/>
      <w:r w:rsidRPr="00732C84">
        <w:rPr>
          <w:rFonts w:ascii="Arial Black" w:hAnsi="Arial Black"/>
          <w:sz w:val="28"/>
          <w:szCs w:val="28"/>
        </w:rPr>
        <w:t>MD: P</w:t>
      </w:r>
      <w:r>
        <w:rPr>
          <w:rFonts w:ascii="Arial Black" w:hAnsi="Arial Black"/>
          <w:sz w:val="28"/>
          <w:szCs w:val="28"/>
        </w:rPr>
        <w:t xml:space="preserve">ARAMEDIC WTH DEGENERATIVE KNEE TEARS – JURY FOUND WORK RELATED – COURT UPHOLDS </w:t>
      </w:r>
    </w:p>
    <w:p w14:paraId="54012B00" w14:textId="77777777" w:rsidR="009F1927" w:rsidRDefault="00F326E5" w:rsidP="00F326E5">
      <w:pPr>
        <w:rPr>
          <w:rFonts w:ascii="Times New Roman" w:hAnsi="Times New Roman"/>
          <w:sz w:val="24"/>
          <w:szCs w:val="24"/>
        </w:rPr>
      </w:pPr>
      <w:r w:rsidRPr="009F1927">
        <w:rPr>
          <w:rFonts w:ascii="Times New Roman" w:hAnsi="Times New Roman"/>
          <w:sz w:val="24"/>
          <w:szCs w:val="24"/>
        </w:rPr>
        <w:t xml:space="preserve">On Aug. 30, 2018, in </w:t>
      </w:r>
      <w:r w:rsidRPr="009F1927">
        <w:rPr>
          <w:rFonts w:ascii="Times New Roman" w:hAnsi="Times New Roman"/>
          <w:sz w:val="24"/>
          <w:szCs w:val="24"/>
          <w:u w:val="single"/>
        </w:rPr>
        <w:t>Baltimore County v. Michael Quinlan</w:t>
      </w:r>
      <w:r w:rsidRPr="009F1927">
        <w:rPr>
          <w:rFonts w:ascii="Times New Roman" w:hAnsi="Times New Roman"/>
          <w:sz w:val="24"/>
          <w:szCs w:val="24"/>
        </w:rPr>
        <w:t xml:space="preserve">, the Court </w:t>
      </w:r>
      <w:proofErr w:type="gramStart"/>
      <w:r w:rsidRPr="009F1927">
        <w:rPr>
          <w:rFonts w:ascii="Times New Roman" w:hAnsi="Times New Roman"/>
          <w:sz w:val="24"/>
          <w:szCs w:val="24"/>
        </w:rPr>
        <w:t>Of</w:t>
      </w:r>
      <w:proofErr w:type="gramEnd"/>
      <w:r w:rsidRPr="009F1927">
        <w:rPr>
          <w:rFonts w:ascii="Times New Roman" w:hAnsi="Times New Roman"/>
          <w:sz w:val="24"/>
          <w:szCs w:val="24"/>
        </w:rPr>
        <w:t xml:space="preserve"> Special Appeals </w:t>
      </w:r>
      <w:proofErr w:type="gramStart"/>
      <w:r w:rsidRPr="009F1927">
        <w:rPr>
          <w:rFonts w:ascii="Times New Roman" w:hAnsi="Times New Roman"/>
          <w:sz w:val="24"/>
          <w:szCs w:val="24"/>
        </w:rPr>
        <w:t>Of</w:t>
      </w:r>
      <w:proofErr w:type="gramEnd"/>
      <w:r w:rsidRPr="009F1927">
        <w:rPr>
          <w:rFonts w:ascii="Times New Roman" w:hAnsi="Times New Roman"/>
          <w:sz w:val="24"/>
          <w:szCs w:val="24"/>
        </w:rPr>
        <w:t xml:space="preserve"> Maryland, held (3 to 0) that his menisci tears are work related.  The Court wrote:  </w:t>
      </w:r>
    </w:p>
    <w:p w14:paraId="54B01CF0" w14:textId="7D7386A4" w:rsidR="00F326E5" w:rsidRPr="009F1927" w:rsidRDefault="00F326E5" w:rsidP="009F1927">
      <w:pPr>
        <w:ind w:left="720"/>
        <w:rPr>
          <w:rFonts w:ascii="Times New Roman" w:eastAsia="Times New Roman" w:hAnsi="Times New Roman"/>
          <w:b/>
          <w:sz w:val="24"/>
          <w:szCs w:val="24"/>
        </w:rPr>
      </w:pPr>
      <w:r w:rsidRPr="009F1927">
        <w:rPr>
          <w:rFonts w:ascii="Times New Roman" w:hAnsi="Times New Roman"/>
          <w:sz w:val="24"/>
          <w:szCs w:val="24"/>
        </w:rPr>
        <w:t>“</w:t>
      </w:r>
      <w:r w:rsidRPr="009F1927">
        <w:rPr>
          <w:rFonts w:ascii="Times New Roman" w:eastAsia="Times New Roman" w:hAnsi="Times New Roman"/>
          <w:sz w:val="24"/>
          <w:szCs w:val="24"/>
        </w:rPr>
        <w:t>In sum, Mr. Quinlan met the statutory requirements of LE § 9-502(d)(1) by establishing at trial that the degenerative menisci tears were an occupational disease through testimony that showed That repetitive kneeling and squatting is (1) a regular part of a paramedic’s job and (2) a risk factor for developing menisci tears, which Dr. Cochran explained are ‘part of the continuum of osteoarthritis. ‘…. This was sufficient evidence for the jury to determine that, ‘but for the work-related activities[,]’ his condition would not have developed…. We will not second guess the jury’s fact finding on appeal.”</w:t>
      </w:r>
      <w:r w:rsidR="009F1927">
        <w:rPr>
          <w:rFonts w:ascii="Times New Roman" w:eastAsia="Times New Roman" w:hAnsi="Times New Roman"/>
          <w:sz w:val="24"/>
          <w:szCs w:val="24"/>
        </w:rPr>
        <w:t xml:space="preserve"> </w:t>
      </w:r>
      <w:hyperlink r:id="rId1316" w:history="1">
        <w:r w:rsidRPr="009F1927">
          <w:rPr>
            <w:rStyle w:val="Hyperlink"/>
            <w:rFonts w:ascii="Times New Roman" w:hAnsi="Times New Roman"/>
            <w:sz w:val="24"/>
            <w:szCs w:val="24"/>
          </w:rPr>
          <w:t>https://www.courts.state.md.us/data/opinions/cosa/2018/0319s17.pdf</w:t>
        </w:r>
      </w:hyperlink>
      <w:r w:rsidRPr="009F1927">
        <w:rPr>
          <w:rFonts w:ascii="Times New Roman" w:eastAsia="Times New Roman" w:hAnsi="Times New Roman"/>
          <w:b/>
          <w:sz w:val="24"/>
          <w:szCs w:val="24"/>
        </w:rPr>
        <w:t xml:space="preserve"> </w:t>
      </w:r>
    </w:p>
    <w:p w14:paraId="035305B9" w14:textId="77777777" w:rsidR="00F326E5" w:rsidRPr="009F1927" w:rsidRDefault="00F326E5" w:rsidP="00F326E5">
      <w:pPr>
        <w:rPr>
          <w:rFonts w:ascii="Times New Roman" w:eastAsia="Times New Roman" w:hAnsi="Times New Roman"/>
          <w:b/>
          <w:sz w:val="24"/>
          <w:szCs w:val="24"/>
        </w:rPr>
      </w:pPr>
      <w:r w:rsidRPr="009F1927">
        <w:rPr>
          <w:rFonts w:ascii="Times New Roman" w:eastAsia="Times New Roman" w:hAnsi="Times New Roman"/>
          <w:b/>
          <w:sz w:val="24"/>
          <w:szCs w:val="24"/>
        </w:rPr>
        <w:t>Legal Lessons Learned:  Expert testimony particularly critical for claims involving degenerative knee or other similar conditions.</w:t>
      </w:r>
    </w:p>
    <w:bookmarkEnd w:id="267"/>
    <w:p w14:paraId="230F3837" w14:textId="77777777" w:rsidR="00F326E5" w:rsidRPr="00FE294E" w:rsidRDefault="00F326E5" w:rsidP="00F326E5">
      <w:pPr>
        <w:rPr>
          <w:rFonts w:eastAsia="Times New Roman"/>
          <w:sz w:val="24"/>
          <w:szCs w:val="24"/>
        </w:rPr>
      </w:pPr>
    </w:p>
    <w:p w14:paraId="275477DC" w14:textId="62C07030" w:rsidR="005353F2" w:rsidRDefault="00EF1133" w:rsidP="00EF1133">
      <w:pPr>
        <w:rPr>
          <w:sz w:val="24"/>
          <w:szCs w:val="24"/>
        </w:rPr>
      </w:pPr>
      <w:bookmarkStart w:id="268" w:name="_Hlk7343415"/>
      <w:r>
        <w:rPr>
          <w:rFonts w:ascii="Arial Black" w:hAnsi="Arial Black"/>
          <w:b/>
          <w:sz w:val="24"/>
          <w:szCs w:val="24"/>
        </w:rPr>
        <w:t>6</w:t>
      </w:r>
      <w:r w:rsidRPr="00EF1133">
        <w:rPr>
          <w:rFonts w:ascii="Arial Black" w:hAnsi="Arial Black"/>
          <w:b/>
          <w:sz w:val="24"/>
          <w:szCs w:val="24"/>
        </w:rPr>
        <w:t>-</w:t>
      </w:r>
      <w:r>
        <w:rPr>
          <w:rFonts w:ascii="Arial Black" w:hAnsi="Arial Black"/>
          <w:b/>
          <w:sz w:val="24"/>
          <w:szCs w:val="24"/>
        </w:rPr>
        <w:t>8</w:t>
      </w:r>
    </w:p>
    <w:p w14:paraId="19EC5DB1" w14:textId="28F2E275" w:rsidR="00F326E5" w:rsidRPr="008A5B80" w:rsidRDefault="00F326E5" w:rsidP="00F326E5">
      <w:pPr>
        <w:pStyle w:val="NoSpacing"/>
        <w:rPr>
          <w:rFonts w:ascii="Arial Black" w:hAnsi="Arial Black"/>
          <w:sz w:val="24"/>
          <w:szCs w:val="24"/>
        </w:rPr>
      </w:pPr>
      <w:r w:rsidRPr="00732C84">
        <w:rPr>
          <w:rFonts w:ascii="Arial Black" w:hAnsi="Arial Black"/>
          <w:b/>
          <w:sz w:val="28"/>
          <w:szCs w:val="28"/>
        </w:rPr>
        <w:lastRenderedPageBreak/>
        <w:t xml:space="preserve">LA: </w:t>
      </w:r>
      <w:r>
        <w:rPr>
          <w:rFonts w:ascii="Arial Black" w:hAnsi="Arial Black"/>
          <w:b/>
          <w:sz w:val="28"/>
          <w:szCs w:val="28"/>
        </w:rPr>
        <w:t xml:space="preserve">FREE SPEECH CASE </w:t>
      </w:r>
      <w:r w:rsidR="005353F2">
        <w:rPr>
          <w:rFonts w:ascii="Arial Black" w:hAnsi="Arial Black"/>
          <w:b/>
          <w:sz w:val="28"/>
          <w:szCs w:val="28"/>
        </w:rPr>
        <w:t xml:space="preserve">NOT DISMISSED </w:t>
      </w:r>
      <w:r>
        <w:rPr>
          <w:rFonts w:ascii="Arial Black" w:hAnsi="Arial Black"/>
          <w:b/>
          <w:sz w:val="28"/>
          <w:szCs w:val="28"/>
        </w:rPr>
        <w:t xml:space="preserve">- TWO PARAMEDICS FIRED AFTER LETTER TO BOARD ABOUT MGT </w:t>
      </w:r>
      <w:r w:rsidRPr="008A5B80">
        <w:rPr>
          <w:sz w:val="24"/>
          <w:szCs w:val="24"/>
        </w:rPr>
        <w:t>[also filed, Chap. 13]</w:t>
      </w:r>
    </w:p>
    <w:p w14:paraId="23B2BDC5" w14:textId="77777777" w:rsidR="009F1927" w:rsidRDefault="00F326E5" w:rsidP="00F326E5">
      <w:pPr>
        <w:rPr>
          <w:rFonts w:ascii="Times New Roman" w:hAnsi="Times New Roman"/>
          <w:sz w:val="24"/>
          <w:szCs w:val="24"/>
        </w:rPr>
      </w:pPr>
      <w:r w:rsidRPr="009F1927">
        <w:rPr>
          <w:rFonts w:ascii="Times New Roman" w:hAnsi="Times New Roman"/>
          <w:sz w:val="24"/>
          <w:szCs w:val="24"/>
        </w:rPr>
        <w:t xml:space="preserve">On July 18, 2018, in </w:t>
      </w:r>
      <w:r w:rsidRPr="009F1927">
        <w:rPr>
          <w:rFonts w:ascii="Times New Roman" w:hAnsi="Times New Roman"/>
          <w:sz w:val="24"/>
          <w:szCs w:val="24"/>
          <w:u w:val="single"/>
        </w:rPr>
        <w:t>Patrick Alan Benfield &amp; Brian Warren v. Joe Magee, et al</w:t>
      </w:r>
      <w:r w:rsidRPr="009F1927">
        <w:rPr>
          <w:rFonts w:ascii="Times New Roman" w:hAnsi="Times New Roman"/>
          <w:sz w:val="24"/>
          <w:szCs w:val="24"/>
        </w:rPr>
        <w:t xml:space="preserve">., U.S. District Court Judge Elizabeth Foote, Western District of Louisiana, held that a lawsuit by two paramedics fired by Desoto Parish EMS may proceed to trial.  They were fired after Warren wrote a letter to a member of the Desoto Parish Police Jury (they </w:t>
      </w:r>
      <w:proofErr w:type="gramStart"/>
      <w:r w:rsidRPr="009F1927">
        <w:rPr>
          <w:rFonts w:ascii="Times New Roman" w:hAnsi="Times New Roman"/>
          <w:sz w:val="24"/>
          <w:szCs w:val="24"/>
        </w:rPr>
        <w:t>appoint</w:t>
      </w:r>
      <w:proofErr w:type="gramEnd"/>
      <w:r w:rsidRPr="009F1927">
        <w:rPr>
          <w:rFonts w:ascii="Times New Roman" w:hAnsi="Times New Roman"/>
          <w:sz w:val="24"/>
          <w:szCs w:val="24"/>
        </w:rPr>
        <w:t xml:space="preserve"> the Board of Commissioners of the Desoto Parish EMS).   The Judge ruled:</w:t>
      </w:r>
    </w:p>
    <w:p w14:paraId="0B96C184" w14:textId="1B270064" w:rsidR="00F326E5" w:rsidRPr="009F1927" w:rsidRDefault="00F326E5" w:rsidP="009F1927">
      <w:pPr>
        <w:ind w:left="720"/>
        <w:rPr>
          <w:rFonts w:ascii="Times New Roman" w:hAnsi="Times New Roman"/>
          <w:sz w:val="24"/>
          <w:szCs w:val="24"/>
        </w:rPr>
      </w:pPr>
      <w:r w:rsidRPr="009F1927">
        <w:rPr>
          <w:rFonts w:ascii="Times New Roman" w:hAnsi="Times New Roman"/>
          <w:sz w:val="24"/>
          <w:szCs w:val="24"/>
        </w:rPr>
        <w:t xml:space="preserve">“The motion [to dismiss] is DENIED as to Warren’s free speech claim because the facts alleged establish that his letter was protected speech.”  </w:t>
      </w:r>
      <w:hyperlink r:id="rId1317" w:history="1">
        <w:r w:rsidRPr="009F1927">
          <w:rPr>
            <w:rStyle w:val="Hyperlink"/>
            <w:rFonts w:ascii="Times New Roman" w:hAnsi="Times New Roman"/>
            <w:sz w:val="24"/>
            <w:szCs w:val="24"/>
          </w:rPr>
          <w:t>https://cases.justia.com/federal/district-courts/louisiana/lawdce/5:2018cv00034/160852/18/0.pdf?ts=1532079100</w:t>
        </w:r>
      </w:hyperlink>
    </w:p>
    <w:p w14:paraId="318AA611" w14:textId="77777777" w:rsidR="00F326E5" w:rsidRPr="009F1927" w:rsidRDefault="00F326E5" w:rsidP="00F326E5">
      <w:pPr>
        <w:rPr>
          <w:rFonts w:ascii="Times New Roman" w:hAnsi="Times New Roman"/>
          <w:b/>
          <w:sz w:val="24"/>
          <w:szCs w:val="24"/>
        </w:rPr>
      </w:pPr>
      <w:r w:rsidRPr="009F1927">
        <w:rPr>
          <w:rFonts w:ascii="Times New Roman" w:hAnsi="Times New Roman"/>
          <w:b/>
          <w:sz w:val="24"/>
          <w:szCs w:val="24"/>
        </w:rPr>
        <w:t xml:space="preserve">Legal Lessons Learned: First Amendment </w:t>
      </w:r>
      <w:proofErr w:type="gramStart"/>
      <w:r w:rsidRPr="009F1927">
        <w:rPr>
          <w:rFonts w:ascii="Times New Roman" w:hAnsi="Times New Roman"/>
          <w:b/>
          <w:sz w:val="24"/>
          <w:szCs w:val="24"/>
        </w:rPr>
        <w:t>free speech</w:t>
      </w:r>
      <w:proofErr w:type="gramEnd"/>
      <w:r w:rsidRPr="009F1927">
        <w:rPr>
          <w:rFonts w:ascii="Times New Roman" w:hAnsi="Times New Roman"/>
          <w:b/>
          <w:sz w:val="24"/>
          <w:szCs w:val="24"/>
        </w:rPr>
        <w:t xml:space="preserve"> cases are </w:t>
      </w:r>
      <w:proofErr w:type="gramStart"/>
      <w:r w:rsidRPr="009F1927">
        <w:rPr>
          <w:rFonts w:ascii="Times New Roman" w:hAnsi="Times New Roman"/>
          <w:b/>
          <w:sz w:val="24"/>
          <w:szCs w:val="24"/>
        </w:rPr>
        <w:t>increasing</w:t>
      </w:r>
      <w:proofErr w:type="gramEnd"/>
      <w:r w:rsidRPr="009F1927">
        <w:rPr>
          <w:rFonts w:ascii="Times New Roman" w:hAnsi="Times New Roman"/>
          <w:b/>
          <w:sz w:val="24"/>
          <w:szCs w:val="24"/>
        </w:rPr>
        <w:t xml:space="preserve"> </w:t>
      </w:r>
      <w:proofErr w:type="gramStart"/>
      <w:r w:rsidRPr="009F1927">
        <w:rPr>
          <w:rFonts w:ascii="Times New Roman" w:hAnsi="Times New Roman"/>
          <w:b/>
          <w:sz w:val="24"/>
          <w:szCs w:val="24"/>
        </w:rPr>
        <w:t>being permitted</w:t>
      </w:r>
      <w:proofErr w:type="gramEnd"/>
      <w:r w:rsidRPr="009F1927">
        <w:rPr>
          <w:rFonts w:ascii="Times New Roman" w:hAnsi="Times New Roman"/>
          <w:b/>
          <w:sz w:val="24"/>
          <w:szCs w:val="24"/>
        </w:rPr>
        <w:t xml:space="preserve"> to go to the jury.  Fire &amp; EMS Departments should thoroughly document reasons for termination, including employees who serve “at will.”</w:t>
      </w:r>
    </w:p>
    <w:bookmarkEnd w:id="268"/>
    <w:p w14:paraId="2F11AE19" w14:textId="77777777" w:rsidR="00F326E5" w:rsidRPr="0002048B" w:rsidRDefault="00F326E5" w:rsidP="00F326E5">
      <w:pPr>
        <w:pStyle w:val="NoSpacing"/>
        <w:rPr>
          <w:b/>
          <w:sz w:val="24"/>
          <w:szCs w:val="24"/>
        </w:rPr>
      </w:pPr>
      <w:r>
        <w:rPr>
          <w:b/>
          <w:sz w:val="24"/>
          <w:szCs w:val="24"/>
        </w:rPr>
        <w:t xml:space="preserve"> </w:t>
      </w:r>
    </w:p>
    <w:p w14:paraId="27F63C96" w14:textId="5DB5F1BD" w:rsidR="00EF1133" w:rsidRDefault="00EF1133" w:rsidP="00EF1133">
      <w:pPr>
        <w:rPr>
          <w:rFonts w:ascii="Arial Black" w:hAnsi="Arial Black"/>
          <w:b/>
          <w:sz w:val="24"/>
          <w:szCs w:val="24"/>
        </w:rPr>
      </w:pPr>
      <w:r>
        <w:rPr>
          <w:rFonts w:ascii="Arial Black" w:hAnsi="Arial Black"/>
          <w:b/>
          <w:sz w:val="24"/>
          <w:szCs w:val="24"/>
        </w:rPr>
        <w:t>6-7</w:t>
      </w:r>
    </w:p>
    <w:p w14:paraId="37E32AA7" w14:textId="08E6730E" w:rsidR="00F326E5" w:rsidRPr="009F1927" w:rsidRDefault="00F326E5" w:rsidP="00F326E5">
      <w:pPr>
        <w:pStyle w:val="NoSpacing"/>
        <w:rPr>
          <w:rFonts w:ascii="Times New Roman" w:hAnsi="Times New Roman"/>
          <w:sz w:val="24"/>
          <w:szCs w:val="24"/>
        </w:rPr>
      </w:pPr>
      <w:bookmarkStart w:id="269" w:name="_Hlk7343500"/>
      <w:r w:rsidRPr="008A5B80">
        <w:rPr>
          <w:rFonts w:ascii="Arial Black" w:hAnsi="Arial Black"/>
          <w:b/>
          <w:sz w:val="28"/>
          <w:szCs w:val="28"/>
        </w:rPr>
        <w:t xml:space="preserve">WY:  </w:t>
      </w:r>
      <w:r>
        <w:rPr>
          <w:rFonts w:ascii="Arial Black" w:hAnsi="Arial Black"/>
          <w:b/>
          <w:sz w:val="28"/>
          <w:szCs w:val="28"/>
        </w:rPr>
        <w:t xml:space="preserve">VOLUNTEER FIREFIGHTERS MAY BE IN UNION – STATE STATUTE </w:t>
      </w:r>
      <w:r w:rsidRPr="009F1927">
        <w:rPr>
          <w:rFonts w:ascii="Times New Roman" w:hAnsi="Times New Roman"/>
          <w:sz w:val="24"/>
          <w:szCs w:val="24"/>
        </w:rPr>
        <w:t>[also filed, Chap. 18]</w:t>
      </w:r>
    </w:p>
    <w:p w14:paraId="20E81FA9" w14:textId="4876AB86" w:rsidR="00F326E5" w:rsidRDefault="00F326E5" w:rsidP="00F326E5">
      <w:pPr>
        <w:pStyle w:val="NoSpacing"/>
        <w:rPr>
          <w:rFonts w:ascii="Times New Roman" w:hAnsi="Times New Roman"/>
          <w:bCs/>
          <w:sz w:val="24"/>
          <w:szCs w:val="24"/>
        </w:rPr>
      </w:pPr>
      <w:r w:rsidRPr="009F1927">
        <w:rPr>
          <w:rFonts w:ascii="Times New Roman" w:hAnsi="Times New Roman"/>
          <w:bCs/>
          <w:sz w:val="24"/>
          <w:szCs w:val="24"/>
        </w:rPr>
        <w:t xml:space="preserve">On July 6, 2018, in </w:t>
      </w:r>
      <w:r w:rsidRPr="009F1927">
        <w:rPr>
          <w:rFonts w:ascii="Times New Roman" w:hAnsi="Times New Roman"/>
          <w:bCs/>
          <w:sz w:val="24"/>
          <w:szCs w:val="24"/>
          <w:u w:val="single"/>
        </w:rPr>
        <w:t>IAFF Local 5058 v. Gillette / Wright / Campbell County Fire Protection Joint Powers Board, and IAFF Local 5067 v. Teton County and Town of Jackson</w:t>
      </w:r>
      <w:r w:rsidRPr="009F1927">
        <w:rPr>
          <w:rFonts w:ascii="Times New Roman" w:hAnsi="Times New Roman"/>
          <w:bCs/>
          <w:sz w:val="24"/>
          <w:szCs w:val="24"/>
        </w:rPr>
        <w:t xml:space="preserve">, the Wyoming Supreme Court held (5 to 0) that the two new unions were not properly elected, and the Fire Districts did not need to negotiate collective bargaining agreements, because the “volunteer” and “pool” firefighters all receive pay for making runs.  </w:t>
      </w:r>
    </w:p>
    <w:p w14:paraId="0B9F17DD" w14:textId="77777777" w:rsidR="009F1927" w:rsidRPr="009F1927" w:rsidRDefault="009F1927" w:rsidP="00F326E5">
      <w:pPr>
        <w:pStyle w:val="NoSpacing"/>
        <w:rPr>
          <w:rFonts w:ascii="Times New Roman" w:hAnsi="Times New Roman"/>
          <w:bCs/>
          <w:sz w:val="24"/>
          <w:szCs w:val="24"/>
        </w:rPr>
      </w:pPr>
    </w:p>
    <w:p w14:paraId="04136BD1" w14:textId="77777777" w:rsidR="00F326E5" w:rsidRPr="009F1927" w:rsidRDefault="00F326E5" w:rsidP="00F326E5">
      <w:pPr>
        <w:ind w:left="720"/>
        <w:rPr>
          <w:rFonts w:ascii="Times New Roman" w:hAnsi="Times New Roman"/>
          <w:bCs/>
          <w:sz w:val="24"/>
          <w:szCs w:val="24"/>
        </w:rPr>
      </w:pPr>
      <w:r w:rsidRPr="009F1927">
        <w:rPr>
          <w:rFonts w:ascii="Times New Roman" w:eastAsia="Times New Roman" w:hAnsi="Times New Roman"/>
          <w:sz w:val="24"/>
          <w:szCs w:val="24"/>
        </w:rPr>
        <w:t xml:space="preserve">“The district courts in both cases held that the Wyoming Collective Bargaining for Fire Fighters Act’s definition of ‘fire fighters’ includes volunteers because they are ‘paid members of . . . regularly constituted fire department[s].’ Consequently, the district courts concluded that IAFF Local 5058 and IAFF Local 5067, which were formed by and consist of only full-time, career fire fighters, were not properly constituted bargaining units under the Act. We affirm. </w:t>
      </w:r>
      <w:hyperlink r:id="rId1318" w:history="1">
        <w:r w:rsidRPr="009F1927">
          <w:rPr>
            <w:rStyle w:val="Hyperlink"/>
            <w:rFonts w:ascii="Times New Roman" w:hAnsi="Times New Roman"/>
            <w:sz w:val="24"/>
            <w:szCs w:val="24"/>
          </w:rPr>
          <w:t>https://services.courts.state.wy.us/Documents/Opinions/2018WY75.pdf</w:t>
        </w:r>
      </w:hyperlink>
      <w:r w:rsidRPr="009F1927">
        <w:rPr>
          <w:rFonts w:ascii="Times New Roman" w:hAnsi="Times New Roman"/>
          <w:bCs/>
          <w:sz w:val="24"/>
          <w:szCs w:val="24"/>
        </w:rPr>
        <w:t xml:space="preserve"> </w:t>
      </w:r>
    </w:p>
    <w:p w14:paraId="781BE719" w14:textId="77777777" w:rsidR="00F326E5" w:rsidRPr="009F1927" w:rsidRDefault="00F326E5" w:rsidP="00F326E5">
      <w:pPr>
        <w:rPr>
          <w:rFonts w:ascii="Times New Roman" w:hAnsi="Times New Roman"/>
          <w:b/>
          <w:sz w:val="24"/>
          <w:szCs w:val="24"/>
        </w:rPr>
      </w:pPr>
      <w:r w:rsidRPr="009F1927">
        <w:rPr>
          <w:rFonts w:ascii="Times New Roman" w:hAnsi="Times New Roman"/>
          <w:b/>
          <w:sz w:val="24"/>
          <w:szCs w:val="24"/>
        </w:rPr>
        <w:t>Legal Lessons Learned:  Drafting of legislative language is very important, along with creating a clear “legislative history” to avoid any question about whether volunteer and part-time firefighters can be covered in a collective bargaining agreement.</w:t>
      </w:r>
    </w:p>
    <w:bookmarkEnd w:id="269"/>
    <w:p w14:paraId="617D906F" w14:textId="77777777" w:rsidR="00F326E5" w:rsidRDefault="00F326E5" w:rsidP="00F326E5">
      <w:pPr>
        <w:pStyle w:val="NoSpacing"/>
        <w:rPr>
          <w:rFonts w:eastAsia="Times New Roman"/>
          <w:sz w:val="24"/>
          <w:szCs w:val="24"/>
        </w:rPr>
      </w:pPr>
    </w:p>
    <w:p w14:paraId="291AD0F6" w14:textId="77777777" w:rsidR="00F326E5" w:rsidRDefault="00F326E5" w:rsidP="00F326E5">
      <w:pPr>
        <w:pStyle w:val="NoSpacing"/>
        <w:rPr>
          <w:rFonts w:eastAsia="Times New Roman"/>
          <w:sz w:val="24"/>
          <w:szCs w:val="24"/>
        </w:rPr>
      </w:pPr>
    </w:p>
    <w:p w14:paraId="75A9B025" w14:textId="77777777" w:rsidR="00EF1133" w:rsidRDefault="00EF1133" w:rsidP="00F326E5">
      <w:pPr>
        <w:pStyle w:val="NoSpacing"/>
        <w:rPr>
          <w:rFonts w:ascii="Arial Black" w:eastAsia="Times New Roman" w:hAnsi="Arial Black"/>
          <w:sz w:val="28"/>
          <w:szCs w:val="28"/>
        </w:rPr>
      </w:pPr>
      <w:bookmarkStart w:id="270" w:name="_Hlk7343549"/>
    </w:p>
    <w:p w14:paraId="50DA2D35" w14:textId="47C692B0" w:rsidR="00EF1133" w:rsidRDefault="00EF1133" w:rsidP="00EF1133">
      <w:pPr>
        <w:rPr>
          <w:rFonts w:ascii="Arial Black" w:eastAsia="Times New Roman" w:hAnsi="Arial Black"/>
          <w:sz w:val="28"/>
          <w:szCs w:val="28"/>
        </w:rPr>
      </w:pPr>
      <w:r>
        <w:rPr>
          <w:rFonts w:ascii="Arial Black" w:hAnsi="Arial Black"/>
          <w:b/>
          <w:sz w:val="24"/>
          <w:szCs w:val="24"/>
        </w:rPr>
        <w:t>6</w:t>
      </w:r>
      <w:r w:rsidRPr="00EF1133">
        <w:rPr>
          <w:rFonts w:ascii="Arial Black" w:hAnsi="Arial Black"/>
          <w:b/>
          <w:sz w:val="24"/>
          <w:szCs w:val="24"/>
        </w:rPr>
        <w:t>-</w:t>
      </w:r>
      <w:r>
        <w:rPr>
          <w:rFonts w:ascii="Arial Black" w:hAnsi="Arial Black"/>
          <w:b/>
          <w:sz w:val="24"/>
          <w:szCs w:val="24"/>
        </w:rPr>
        <w:t>6</w:t>
      </w:r>
    </w:p>
    <w:p w14:paraId="04CF30A8" w14:textId="48932AB5" w:rsidR="00F326E5" w:rsidRPr="008A5B80" w:rsidRDefault="00F326E5" w:rsidP="00F326E5">
      <w:pPr>
        <w:pStyle w:val="NoSpacing"/>
        <w:rPr>
          <w:rFonts w:ascii="Arial Black" w:eastAsia="Times New Roman" w:hAnsi="Arial Black"/>
          <w:sz w:val="28"/>
          <w:szCs w:val="28"/>
        </w:rPr>
      </w:pPr>
      <w:r w:rsidRPr="008A5B80">
        <w:rPr>
          <w:rFonts w:ascii="Arial Black" w:eastAsia="Times New Roman" w:hAnsi="Arial Black"/>
          <w:sz w:val="28"/>
          <w:szCs w:val="28"/>
        </w:rPr>
        <w:t>NJ: BOROUGH CANNOT ENFORCE $5,000 PENALTY – PROB</w:t>
      </w:r>
      <w:r>
        <w:rPr>
          <w:rFonts w:ascii="Arial Black" w:eastAsia="Times New Roman" w:hAnsi="Arial Black"/>
          <w:sz w:val="28"/>
          <w:szCs w:val="28"/>
        </w:rPr>
        <w:t xml:space="preserve">. POLICE OFFICER </w:t>
      </w:r>
      <w:r w:rsidRPr="008A5B80">
        <w:rPr>
          <w:rFonts w:ascii="Arial Black" w:eastAsia="Times New Roman" w:hAnsi="Arial Black"/>
          <w:sz w:val="28"/>
          <w:szCs w:val="28"/>
        </w:rPr>
        <w:t xml:space="preserve">JOINS ANOTHER PD </w:t>
      </w:r>
    </w:p>
    <w:p w14:paraId="445E9BAE" w14:textId="77777777" w:rsidR="009F1927" w:rsidRDefault="00F326E5" w:rsidP="00F326E5">
      <w:pPr>
        <w:pStyle w:val="NoSpacing"/>
        <w:rPr>
          <w:rFonts w:ascii="Times New Roman" w:eastAsia="Times New Roman" w:hAnsi="Times New Roman"/>
          <w:sz w:val="24"/>
          <w:szCs w:val="24"/>
        </w:rPr>
      </w:pPr>
      <w:r w:rsidRPr="009F1927">
        <w:rPr>
          <w:rFonts w:ascii="Times New Roman" w:eastAsia="Times New Roman" w:hAnsi="Times New Roman"/>
          <w:sz w:val="24"/>
          <w:szCs w:val="24"/>
        </w:rPr>
        <w:t xml:space="preserve">On June 21, 2018, in </w:t>
      </w:r>
      <w:r w:rsidRPr="009F1927">
        <w:rPr>
          <w:rFonts w:ascii="Times New Roman" w:eastAsia="Times New Roman" w:hAnsi="Times New Roman"/>
          <w:sz w:val="24"/>
          <w:szCs w:val="24"/>
          <w:u w:val="single"/>
        </w:rPr>
        <w:t>Borough of Madison v. Kevin Marhefka</w:t>
      </w:r>
      <w:r w:rsidRPr="009F1927">
        <w:rPr>
          <w:rFonts w:ascii="Times New Roman" w:eastAsia="Times New Roman" w:hAnsi="Times New Roman"/>
          <w:sz w:val="24"/>
          <w:szCs w:val="24"/>
        </w:rPr>
        <w:t xml:space="preserve">, the Superior Court of New Jersey / Appellate Division (2 to 0) held </w:t>
      </w:r>
    </w:p>
    <w:p w14:paraId="1B8A54DB" w14:textId="545B0F16" w:rsidR="00F326E5" w:rsidRPr="009F1927" w:rsidRDefault="00F326E5" w:rsidP="009F1927">
      <w:pPr>
        <w:pStyle w:val="NoSpacing"/>
        <w:ind w:left="720"/>
        <w:rPr>
          <w:rFonts w:ascii="Times New Roman" w:eastAsia="Times New Roman" w:hAnsi="Times New Roman"/>
          <w:sz w:val="24"/>
          <w:szCs w:val="24"/>
        </w:rPr>
      </w:pPr>
      <w:r w:rsidRPr="009F1927">
        <w:rPr>
          <w:rFonts w:ascii="Times New Roman" w:eastAsia="Times New Roman" w:hAnsi="Times New Roman"/>
          <w:sz w:val="24"/>
          <w:szCs w:val="24"/>
        </w:rPr>
        <w:t xml:space="preserve">“As the Borough's complaint sought only to collect that unenforceable $5000 penalty, the complaint was properly dismissed with prejudice regardless of whether the penalty was negotiated with the PBA.” </w:t>
      </w:r>
      <w:hyperlink r:id="rId1319" w:history="1">
        <w:r w:rsidRPr="009F1927">
          <w:rPr>
            <w:rStyle w:val="Hyperlink"/>
            <w:rFonts w:ascii="Times New Roman" w:hAnsi="Times New Roman"/>
            <w:sz w:val="24"/>
            <w:szCs w:val="24"/>
          </w:rPr>
          <w:t>https://www.njcourts.gov/attorneys/assets/opinions/appellate/unpublished/a5206-15.pdf?cacheID=tO9Al6f</w:t>
        </w:r>
      </w:hyperlink>
      <w:r w:rsidRPr="009F1927">
        <w:rPr>
          <w:rFonts w:ascii="Times New Roman" w:eastAsia="Times New Roman" w:hAnsi="Times New Roman"/>
          <w:sz w:val="24"/>
          <w:szCs w:val="24"/>
        </w:rPr>
        <w:t xml:space="preserve"> </w:t>
      </w:r>
    </w:p>
    <w:p w14:paraId="4644B185" w14:textId="77777777" w:rsidR="009F1927" w:rsidRDefault="009F1927" w:rsidP="00F326E5">
      <w:pPr>
        <w:rPr>
          <w:rFonts w:ascii="Times New Roman" w:eastAsia="Times New Roman" w:hAnsi="Times New Roman"/>
          <w:b/>
          <w:sz w:val="24"/>
          <w:szCs w:val="24"/>
        </w:rPr>
      </w:pPr>
    </w:p>
    <w:p w14:paraId="24E61566" w14:textId="6426F9A9" w:rsidR="00F326E5" w:rsidRPr="009F1927" w:rsidRDefault="00F326E5" w:rsidP="00F326E5">
      <w:pPr>
        <w:rPr>
          <w:rFonts w:ascii="Times New Roman" w:eastAsia="Times New Roman" w:hAnsi="Times New Roman"/>
          <w:b/>
          <w:sz w:val="24"/>
          <w:szCs w:val="24"/>
        </w:rPr>
      </w:pPr>
      <w:r w:rsidRPr="009F1927">
        <w:rPr>
          <w:rFonts w:ascii="Times New Roman" w:eastAsia="Times New Roman" w:hAnsi="Times New Roman"/>
          <w:b/>
          <w:sz w:val="24"/>
          <w:szCs w:val="24"/>
        </w:rPr>
        <w:t>Legal Lessons Learned: Penalties for resigning to take a new job are often challenged, and difficult to enforce, as compared to reimbursement for training costs and equipment. Some states impose training costs on the new public employer, such as NJ (2013 statute).</w:t>
      </w:r>
    </w:p>
    <w:p w14:paraId="29CFBA9B" w14:textId="77777777" w:rsidR="00F326E5" w:rsidRPr="00776A71" w:rsidRDefault="00F326E5" w:rsidP="00F326E5">
      <w:pPr>
        <w:pStyle w:val="NormalWeb"/>
        <w:ind w:firstLine="720"/>
        <w:rPr>
          <w:bCs/>
        </w:rPr>
      </w:pPr>
      <w:hyperlink r:id="rId1320" w:history="1">
        <w:r w:rsidRPr="00776A71">
          <w:rPr>
            <w:rStyle w:val="Hyperlink"/>
          </w:rPr>
          <w:t>https://law.justia.com/codes/new-jersey/2013/title-40a/section-40a-14-178/</w:t>
        </w:r>
      </w:hyperlink>
      <w:r w:rsidRPr="00776A71">
        <w:rPr>
          <w:bCs/>
        </w:rPr>
        <w:t xml:space="preserve"> </w:t>
      </w:r>
    </w:p>
    <w:p w14:paraId="213689E7" w14:textId="77777777" w:rsidR="00F326E5" w:rsidRPr="00776A71" w:rsidRDefault="00F326E5" w:rsidP="00F326E5">
      <w:pPr>
        <w:pStyle w:val="NormalWeb"/>
        <w:ind w:left="720"/>
        <w:rPr>
          <w:bCs/>
        </w:rPr>
      </w:pPr>
      <w:r w:rsidRPr="00776A71">
        <w:rPr>
          <w:bCs/>
        </w:rPr>
        <w:t>40A:14-178 Liability for training costs; terms defined.</w:t>
      </w:r>
      <w:r w:rsidRPr="00776A71">
        <w:br/>
      </w:r>
      <w:r w:rsidRPr="00776A71">
        <w:br/>
        <w:t>1. a. Whenever a person who resigned as a member of a county or municipal law enforcement agency is appointed to another county or municipal law enforcement agency, the police department of an educational institution pursuant to P.L.1970, c.211 (C.18A:6-4.2 et seq.), a State law enforcement agency or the New Jersey Transit Police Department pursuant to section 2 of P.L.1989, c.291 (C.27:25-15.1) within 120 days of resignation, and that person held a probationary appointment at the time of resignation or held a permanent appointment for 30 days or less prior to resignation, the county or municipal law enforcement agency, educational institution or State law enforcement agency appointing the person, or the New Jersey Transit Corporation, is liable to the former county or municipal employer, as appropriate, for the total certified costs incurred by the former employer in the examination, hiring, and training of the person.</w:t>
      </w:r>
    </w:p>
    <w:bookmarkEnd w:id="270"/>
    <w:p w14:paraId="00832108" w14:textId="77777777" w:rsidR="005353F2" w:rsidRDefault="005353F2" w:rsidP="00F326E5">
      <w:pPr>
        <w:pStyle w:val="NoSpacing"/>
        <w:rPr>
          <w:sz w:val="24"/>
          <w:szCs w:val="24"/>
        </w:rPr>
      </w:pPr>
    </w:p>
    <w:p w14:paraId="587B0A56" w14:textId="77777777" w:rsidR="00F27CD5" w:rsidRDefault="00F27CD5" w:rsidP="00EF1133">
      <w:pPr>
        <w:rPr>
          <w:rFonts w:ascii="Arial Black" w:hAnsi="Arial Black"/>
          <w:b/>
          <w:sz w:val="24"/>
          <w:szCs w:val="24"/>
        </w:rPr>
      </w:pPr>
    </w:p>
    <w:p w14:paraId="54B7D71C" w14:textId="36AAFB64" w:rsidR="005353F2" w:rsidRDefault="00EF1133" w:rsidP="00EF1133">
      <w:pPr>
        <w:rPr>
          <w:sz w:val="24"/>
          <w:szCs w:val="24"/>
        </w:rPr>
      </w:pPr>
      <w:r>
        <w:rPr>
          <w:rFonts w:ascii="Arial Black" w:hAnsi="Arial Black"/>
          <w:b/>
          <w:sz w:val="24"/>
          <w:szCs w:val="24"/>
        </w:rPr>
        <w:t>6</w:t>
      </w:r>
      <w:r w:rsidRPr="00EF1133">
        <w:rPr>
          <w:rFonts w:ascii="Arial Black" w:hAnsi="Arial Black"/>
          <w:b/>
          <w:sz w:val="24"/>
          <w:szCs w:val="24"/>
        </w:rPr>
        <w:t>-</w:t>
      </w:r>
      <w:r>
        <w:rPr>
          <w:rFonts w:ascii="Arial Black" w:hAnsi="Arial Black"/>
          <w:b/>
          <w:sz w:val="24"/>
          <w:szCs w:val="24"/>
        </w:rPr>
        <w:t>5</w:t>
      </w:r>
    </w:p>
    <w:p w14:paraId="20F0DA8E" w14:textId="77777777" w:rsidR="005353F2" w:rsidRDefault="005353F2" w:rsidP="00F326E5">
      <w:pPr>
        <w:pStyle w:val="NoSpacing"/>
        <w:rPr>
          <w:sz w:val="24"/>
          <w:szCs w:val="24"/>
        </w:rPr>
      </w:pPr>
    </w:p>
    <w:p w14:paraId="4455223C" w14:textId="1025DB87" w:rsidR="00F326E5" w:rsidRDefault="00F326E5" w:rsidP="00F326E5">
      <w:pPr>
        <w:pStyle w:val="NoSpacing"/>
        <w:rPr>
          <w:rFonts w:ascii="Arial Black" w:hAnsi="Arial Black"/>
          <w:b/>
          <w:sz w:val="28"/>
          <w:szCs w:val="28"/>
        </w:rPr>
      </w:pPr>
      <w:bookmarkStart w:id="271" w:name="_Hlk7343575"/>
      <w:r w:rsidRPr="009C2749">
        <w:rPr>
          <w:rFonts w:ascii="Arial Black" w:hAnsi="Arial Black"/>
          <w:b/>
          <w:sz w:val="28"/>
          <w:szCs w:val="28"/>
        </w:rPr>
        <w:t>VA</w:t>
      </w:r>
      <w:r>
        <w:rPr>
          <w:rFonts w:ascii="Arial Black" w:hAnsi="Arial Black"/>
          <w:b/>
          <w:sz w:val="28"/>
          <w:szCs w:val="28"/>
        </w:rPr>
        <w:t xml:space="preserve">: THROAT CANCER – RETIRED FF GETS WORKERS COMP – BUT NOT HEALTH INSURANCE </w:t>
      </w:r>
    </w:p>
    <w:p w14:paraId="0BFC0DE7" w14:textId="757E1C74" w:rsidR="00F326E5" w:rsidRPr="009F1927" w:rsidRDefault="00F326E5" w:rsidP="00F326E5">
      <w:pPr>
        <w:rPr>
          <w:rStyle w:val="Hyperlink"/>
          <w:rFonts w:ascii="Times New Roman" w:hAnsi="Times New Roman"/>
          <w:sz w:val="24"/>
          <w:szCs w:val="24"/>
        </w:rPr>
      </w:pPr>
      <w:r w:rsidRPr="009F1927">
        <w:rPr>
          <w:rFonts w:ascii="Times New Roman" w:eastAsia="Times New Roman" w:hAnsi="Times New Roman"/>
          <w:sz w:val="24"/>
          <w:szCs w:val="24"/>
        </w:rPr>
        <w:t xml:space="preserve">On June 7, 2018, in </w:t>
      </w:r>
      <w:r w:rsidRPr="009F1927">
        <w:rPr>
          <w:rFonts w:ascii="Times New Roman" w:eastAsia="Times New Roman" w:hAnsi="Times New Roman"/>
          <w:sz w:val="24"/>
          <w:szCs w:val="24"/>
          <w:u w:val="single"/>
        </w:rPr>
        <w:t>Eddie R. Jones, Sr. v. Commonwealth of Virginia</w:t>
      </w:r>
      <w:r w:rsidRPr="009F1927">
        <w:rPr>
          <w:rFonts w:ascii="Times New Roman" w:eastAsia="Times New Roman" w:hAnsi="Times New Roman"/>
          <w:sz w:val="24"/>
          <w:szCs w:val="24"/>
        </w:rPr>
        <w:t xml:space="preserve">, the VA Supreme Court (7 to 0) held: “Throat cancer is properly considered an occupational disease which arose out of Jones’s employment. He is entitled to and has been awarded benefits under the Workers’ Compensation Act. However, the occupational disease did not result in a disability while Jones was still carrying out his duties as a firefighter. Therefore, he is not entitled to insurance benefits under Code § 9.1-401(B), because he does not meet the definition of a ‘disabled person’ under the Act.”   </w:t>
      </w:r>
      <w:r w:rsidRPr="009F1927">
        <w:rPr>
          <w:rStyle w:val="Hyperlink"/>
          <w:rFonts w:ascii="Times New Roman" w:hAnsi="Times New Roman"/>
          <w:sz w:val="24"/>
          <w:szCs w:val="24"/>
        </w:rPr>
        <w:t>http://www.courts.state.va.us/opinions/opnscvwp/1170639.pdf</w:t>
      </w:r>
    </w:p>
    <w:p w14:paraId="5FAE139C" w14:textId="77777777" w:rsidR="00F326E5" w:rsidRPr="009F1927" w:rsidRDefault="00F326E5" w:rsidP="00F326E5">
      <w:pPr>
        <w:rPr>
          <w:rFonts w:ascii="Times New Roman" w:eastAsia="Times New Roman" w:hAnsi="Times New Roman"/>
          <w:b/>
          <w:sz w:val="24"/>
          <w:szCs w:val="24"/>
        </w:rPr>
      </w:pPr>
      <w:r w:rsidRPr="009F1927">
        <w:rPr>
          <w:rFonts w:ascii="Times New Roman" w:eastAsia="Times New Roman" w:hAnsi="Times New Roman"/>
          <w:b/>
          <w:sz w:val="24"/>
          <w:szCs w:val="24"/>
        </w:rPr>
        <w:t xml:space="preserve">Legal Lessons Learned: At least 34 states have now enacted statutory presumptions, with wide variety of coverages.  This case illustrates the importance of clear statutory language about disability benefits when cancer is detected after retirement. </w:t>
      </w:r>
    </w:p>
    <w:p w14:paraId="34332675" w14:textId="77777777" w:rsidR="00F326E5" w:rsidRPr="009F1927" w:rsidRDefault="00F326E5" w:rsidP="00F326E5">
      <w:pPr>
        <w:ind w:firstLine="720"/>
        <w:rPr>
          <w:rFonts w:ascii="Times New Roman" w:eastAsia="Times New Roman" w:hAnsi="Times New Roman"/>
          <w:sz w:val="24"/>
          <w:szCs w:val="24"/>
        </w:rPr>
      </w:pPr>
      <w:r w:rsidRPr="009F1927">
        <w:rPr>
          <w:rFonts w:ascii="Times New Roman" w:eastAsia="Times New Roman" w:hAnsi="Times New Roman"/>
          <w:sz w:val="24"/>
          <w:szCs w:val="24"/>
        </w:rPr>
        <w:t xml:space="preserve">See these resources: </w:t>
      </w:r>
    </w:p>
    <w:p w14:paraId="295727BA" w14:textId="77777777" w:rsidR="00F326E5" w:rsidRPr="009F1927" w:rsidRDefault="00F326E5" w:rsidP="00F326E5">
      <w:pPr>
        <w:ind w:firstLine="720"/>
        <w:rPr>
          <w:rStyle w:val="Hyperlink"/>
          <w:rFonts w:ascii="Times New Roman" w:hAnsi="Times New Roman"/>
          <w:sz w:val="24"/>
          <w:szCs w:val="24"/>
        </w:rPr>
      </w:pPr>
      <w:hyperlink r:id="rId1321" w:anchor="contentid=48598" w:history="1">
        <w:r w:rsidRPr="009F1927">
          <w:rPr>
            <w:rStyle w:val="Hyperlink"/>
            <w:rFonts w:ascii="Times New Roman" w:hAnsi="Times New Roman"/>
            <w:sz w:val="24"/>
            <w:szCs w:val="24"/>
          </w:rPr>
          <w:t>http://client.prod.iaff.org/#contentid=48598</w:t>
        </w:r>
      </w:hyperlink>
      <w:r w:rsidRPr="009F1927">
        <w:rPr>
          <w:rStyle w:val="Hyperlink"/>
          <w:rFonts w:ascii="Times New Roman" w:hAnsi="Times New Roman"/>
          <w:sz w:val="24"/>
          <w:szCs w:val="24"/>
        </w:rPr>
        <w:t>;</w:t>
      </w:r>
    </w:p>
    <w:p w14:paraId="0F9BE084" w14:textId="77777777" w:rsidR="00F326E5" w:rsidRPr="009F1927" w:rsidRDefault="00F326E5" w:rsidP="00F326E5">
      <w:pPr>
        <w:ind w:left="720"/>
        <w:rPr>
          <w:rFonts w:ascii="Times New Roman" w:eastAsia="Times New Roman" w:hAnsi="Times New Roman"/>
          <w:sz w:val="24"/>
          <w:szCs w:val="24"/>
        </w:rPr>
      </w:pPr>
      <w:hyperlink r:id="rId1322" w:history="1">
        <w:r w:rsidRPr="009F1927">
          <w:rPr>
            <w:rStyle w:val="Hyperlink"/>
            <w:rFonts w:ascii="Times New Roman" w:hAnsi="Times New Roman"/>
            <w:sz w:val="24"/>
            <w:szCs w:val="24"/>
          </w:rPr>
          <w:t>https://legislature.vermont.gov/assets/Documents/2018/WorkGroups/House%20Commerce/Bills/H.197/H.197~Laura%20Backus%20Hall~NCCI%20White%20Paper%20on%20Firefighter%20Presumptive%20Coverage~3-16-2017.pdf</w:t>
        </w:r>
      </w:hyperlink>
      <w:r w:rsidRPr="009F1927">
        <w:rPr>
          <w:rFonts w:ascii="Times New Roman" w:eastAsia="Times New Roman" w:hAnsi="Times New Roman"/>
          <w:sz w:val="24"/>
          <w:szCs w:val="24"/>
        </w:rPr>
        <w:t xml:space="preserve"> </w:t>
      </w:r>
    </w:p>
    <w:p w14:paraId="6A00E88A" w14:textId="77777777" w:rsidR="00F326E5" w:rsidRPr="009F1927" w:rsidRDefault="00F326E5" w:rsidP="00F326E5">
      <w:pPr>
        <w:ind w:firstLine="720"/>
        <w:rPr>
          <w:rFonts w:ascii="Times New Roman" w:eastAsia="Times New Roman" w:hAnsi="Times New Roman"/>
          <w:sz w:val="24"/>
          <w:szCs w:val="24"/>
        </w:rPr>
      </w:pPr>
      <w:hyperlink r:id="rId1323" w:history="1">
        <w:r w:rsidRPr="009F1927">
          <w:rPr>
            <w:rStyle w:val="Hyperlink"/>
            <w:rFonts w:ascii="Times New Roman" w:hAnsi="Times New Roman"/>
            <w:sz w:val="24"/>
            <w:szCs w:val="24"/>
          </w:rPr>
          <w:t>http://tkolb.net/firereports/presumptionreport2009.pdf</w:t>
        </w:r>
      </w:hyperlink>
      <w:r w:rsidRPr="009F1927">
        <w:rPr>
          <w:rFonts w:ascii="Times New Roman" w:eastAsia="Times New Roman" w:hAnsi="Times New Roman"/>
          <w:sz w:val="24"/>
          <w:szCs w:val="24"/>
        </w:rPr>
        <w:t xml:space="preserve"> </w:t>
      </w:r>
    </w:p>
    <w:p w14:paraId="3FE5E600" w14:textId="77777777" w:rsidR="00F326E5" w:rsidRPr="009F2867" w:rsidRDefault="00F326E5" w:rsidP="00F326E5">
      <w:pPr>
        <w:ind w:left="720"/>
        <w:rPr>
          <w:rFonts w:eastAsia="Times New Roman"/>
          <w:sz w:val="24"/>
          <w:szCs w:val="24"/>
        </w:rPr>
      </w:pPr>
      <w:hyperlink r:id="rId1324" w:history="1">
        <w:r w:rsidRPr="009F2867">
          <w:rPr>
            <w:rStyle w:val="Hyperlink"/>
            <w:sz w:val="24"/>
            <w:szCs w:val="24"/>
          </w:rPr>
          <w:t>https://www.firstrespondercenter.org/cancer/toolsresources/presumptive-legislation-firefighter-cancer-state/</w:t>
        </w:r>
      </w:hyperlink>
      <w:r w:rsidRPr="009F2867">
        <w:rPr>
          <w:rFonts w:eastAsia="Times New Roman"/>
          <w:sz w:val="24"/>
          <w:szCs w:val="24"/>
        </w:rPr>
        <w:t xml:space="preserve"> </w:t>
      </w:r>
    </w:p>
    <w:bookmarkEnd w:id="271"/>
    <w:p w14:paraId="5B39C82D" w14:textId="77777777" w:rsidR="00EF1133" w:rsidRDefault="00EF1133" w:rsidP="00F326E5">
      <w:pPr>
        <w:rPr>
          <w:rFonts w:ascii="Arial Black" w:hAnsi="Arial Black"/>
          <w:b/>
          <w:sz w:val="24"/>
          <w:szCs w:val="24"/>
        </w:rPr>
      </w:pPr>
    </w:p>
    <w:p w14:paraId="71B56F1B" w14:textId="2833831D" w:rsidR="00F326E5" w:rsidRPr="00145CFB" w:rsidRDefault="00EF1133" w:rsidP="00F326E5">
      <w:pPr>
        <w:rPr>
          <w:rFonts w:eastAsia="Times New Roman"/>
          <w:b/>
          <w:sz w:val="24"/>
          <w:szCs w:val="24"/>
        </w:rPr>
      </w:pPr>
      <w:r>
        <w:rPr>
          <w:rFonts w:ascii="Arial Black" w:hAnsi="Arial Black"/>
          <w:b/>
          <w:sz w:val="24"/>
          <w:szCs w:val="24"/>
        </w:rPr>
        <w:t>6</w:t>
      </w:r>
      <w:r w:rsidRPr="00EF1133">
        <w:rPr>
          <w:rFonts w:ascii="Arial Black" w:hAnsi="Arial Black"/>
          <w:b/>
          <w:sz w:val="24"/>
          <w:szCs w:val="24"/>
        </w:rPr>
        <w:t>-</w:t>
      </w:r>
      <w:r>
        <w:rPr>
          <w:rFonts w:ascii="Arial Black" w:hAnsi="Arial Black"/>
          <w:b/>
          <w:sz w:val="24"/>
          <w:szCs w:val="24"/>
        </w:rPr>
        <w:t>4</w:t>
      </w:r>
    </w:p>
    <w:p w14:paraId="5874483B" w14:textId="1763902E" w:rsidR="00F326E5" w:rsidRPr="00512C93" w:rsidRDefault="00F326E5" w:rsidP="00F326E5">
      <w:pPr>
        <w:pStyle w:val="NoSpacing"/>
        <w:rPr>
          <w:rFonts w:ascii="Arial Black" w:hAnsi="Arial Black"/>
          <w:b/>
          <w:sz w:val="28"/>
          <w:szCs w:val="28"/>
        </w:rPr>
      </w:pPr>
      <w:bookmarkStart w:id="272" w:name="_Hlk7343609"/>
      <w:r w:rsidRPr="00512C93">
        <w:rPr>
          <w:rFonts w:ascii="Arial Black" w:hAnsi="Arial Black"/>
          <w:b/>
          <w:sz w:val="28"/>
          <w:szCs w:val="28"/>
        </w:rPr>
        <w:t>PA</w:t>
      </w:r>
      <w:r>
        <w:rPr>
          <w:rFonts w:ascii="Arial Black" w:hAnsi="Arial Black"/>
          <w:b/>
          <w:sz w:val="28"/>
          <w:szCs w:val="28"/>
        </w:rPr>
        <w:t xml:space="preserve">: </w:t>
      </w:r>
      <w:r w:rsidR="005353F2">
        <w:rPr>
          <w:rFonts w:ascii="Arial Black" w:hAnsi="Arial Black"/>
          <w:b/>
          <w:sz w:val="28"/>
          <w:szCs w:val="28"/>
        </w:rPr>
        <w:t xml:space="preserve">BREAST </w:t>
      </w:r>
      <w:r w:rsidRPr="00512C93">
        <w:rPr>
          <w:rFonts w:ascii="Arial Black" w:hAnsi="Arial Black"/>
          <w:b/>
          <w:sz w:val="28"/>
          <w:szCs w:val="28"/>
        </w:rPr>
        <w:t>C</w:t>
      </w:r>
      <w:r>
        <w:rPr>
          <w:rFonts w:ascii="Arial Black" w:hAnsi="Arial Black"/>
          <w:b/>
          <w:sz w:val="28"/>
          <w:szCs w:val="28"/>
        </w:rPr>
        <w:t>ANCER – RETIRED FF GETS MEDICAL COVERAGE BACK TO DATE OF RETIREMENT</w:t>
      </w:r>
    </w:p>
    <w:p w14:paraId="48A8ED2A" w14:textId="77777777" w:rsidR="009F1927" w:rsidRDefault="00F326E5" w:rsidP="00F326E5">
      <w:pPr>
        <w:rPr>
          <w:rFonts w:ascii="Times New Roman" w:eastAsia="Times New Roman" w:hAnsi="Times New Roman"/>
          <w:sz w:val="24"/>
          <w:szCs w:val="24"/>
        </w:rPr>
      </w:pPr>
      <w:r w:rsidRPr="009F1927">
        <w:rPr>
          <w:rFonts w:ascii="Times New Roman" w:eastAsia="Times New Roman" w:hAnsi="Times New Roman"/>
          <w:sz w:val="24"/>
          <w:szCs w:val="24"/>
        </w:rPr>
        <w:t xml:space="preserve">On June 1, 2018, in </w:t>
      </w:r>
      <w:r w:rsidRPr="009F1927">
        <w:rPr>
          <w:rFonts w:ascii="Times New Roman" w:eastAsia="Times New Roman" w:hAnsi="Times New Roman"/>
          <w:sz w:val="24"/>
          <w:szCs w:val="24"/>
          <w:u w:val="single"/>
        </w:rPr>
        <w:t>City of Pittsburg and UPMC Benefit Management Systems, Inv. v. Workers Compensation Appeal Board (Flaherty</w:t>
      </w:r>
      <w:r w:rsidRPr="009F1927">
        <w:rPr>
          <w:rFonts w:ascii="Times New Roman" w:eastAsia="Times New Roman" w:hAnsi="Times New Roman"/>
          <w:sz w:val="24"/>
          <w:szCs w:val="24"/>
        </w:rPr>
        <w:t xml:space="preserve">), the Commonwealth Court of Pennsylvania upheld (3 to 0) the Board, </w:t>
      </w:r>
    </w:p>
    <w:p w14:paraId="0003EF28" w14:textId="6F23BA24" w:rsidR="00F326E5" w:rsidRPr="009F1927" w:rsidRDefault="00F326E5" w:rsidP="009F1927">
      <w:pPr>
        <w:ind w:left="720"/>
        <w:rPr>
          <w:rFonts w:ascii="Times New Roman" w:hAnsi="Times New Roman"/>
          <w:sz w:val="24"/>
          <w:szCs w:val="24"/>
        </w:rPr>
      </w:pPr>
      <w:r w:rsidRPr="009F1927">
        <w:rPr>
          <w:rFonts w:ascii="Times New Roman" w:eastAsia="Times New Roman" w:hAnsi="Times New Roman"/>
          <w:sz w:val="24"/>
          <w:szCs w:val="24"/>
        </w:rPr>
        <w:t>“</w:t>
      </w:r>
      <w:proofErr w:type="gramStart"/>
      <w:r w:rsidRPr="009F1927">
        <w:rPr>
          <w:rFonts w:ascii="Times New Roman" w:hAnsi="Times New Roman"/>
          <w:sz w:val="24"/>
          <w:szCs w:val="24"/>
        </w:rPr>
        <w:t>holding</w:t>
      </w:r>
      <w:proofErr w:type="gramEnd"/>
      <w:r w:rsidRPr="009F1927">
        <w:rPr>
          <w:rFonts w:ascii="Times New Roman" w:hAnsi="Times New Roman"/>
          <w:sz w:val="24"/>
          <w:szCs w:val="24"/>
        </w:rPr>
        <w:t xml:space="preserve"> that Anne Marie Flaherty (Claimant) gave notice to Employer within 21 days of when she knew or should have known that her cancer was work-related. Because Claimant gave notice within 21 days, she was entitled to benefits from September 10, 2004, the date she left </w:t>
      </w:r>
      <w:proofErr w:type="gramStart"/>
      <w:r w:rsidRPr="009F1927">
        <w:rPr>
          <w:rFonts w:ascii="Times New Roman" w:hAnsi="Times New Roman"/>
          <w:sz w:val="24"/>
          <w:szCs w:val="24"/>
        </w:rPr>
        <w:t>work</w:t>
      </w:r>
      <w:proofErr w:type="gramEnd"/>
      <w:r w:rsidRPr="009F1927">
        <w:rPr>
          <w:rFonts w:ascii="Times New Roman" w:hAnsi="Times New Roman"/>
          <w:sz w:val="24"/>
          <w:szCs w:val="24"/>
        </w:rPr>
        <w:t xml:space="preserve"> due to her injury, as opposed to September 23, 2011, the date she filed her claim petition.” </w:t>
      </w:r>
      <w:hyperlink r:id="rId1325" w:history="1">
        <w:r w:rsidRPr="009F1927">
          <w:rPr>
            <w:rStyle w:val="Hyperlink"/>
            <w:rFonts w:ascii="Times New Roman" w:hAnsi="Times New Roman"/>
            <w:sz w:val="24"/>
            <w:szCs w:val="24"/>
          </w:rPr>
          <w:t>https://caselaw.findlaw.com/pa-commonwealth-court/1897108.html</w:t>
        </w:r>
      </w:hyperlink>
      <w:r w:rsidRPr="009F1927">
        <w:rPr>
          <w:rFonts w:ascii="Times New Roman" w:hAnsi="Times New Roman"/>
          <w:sz w:val="24"/>
          <w:szCs w:val="24"/>
        </w:rPr>
        <w:t xml:space="preserve"> </w:t>
      </w:r>
    </w:p>
    <w:p w14:paraId="31FA7E57" w14:textId="77777777" w:rsidR="00F326E5" w:rsidRPr="009F1927" w:rsidRDefault="00F326E5" w:rsidP="00F326E5">
      <w:pPr>
        <w:rPr>
          <w:rFonts w:ascii="Times New Roman" w:eastAsia="Times New Roman" w:hAnsi="Times New Roman"/>
          <w:b/>
          <w:sz w:val="24"/>
          <w:szCs w:val="24"/>
        </w:rPr>
      </w:pPr>
      <w:r w:rsidRPr="009F1927">
        <w:rPr>
          <w:rFonts w:ascii="Times New Roman" w:eastAsia="Times New Roman" w:hAnsi="Times New Roman"/>
          <w:b/>
          <w:sz w:val="24"/>
          <w:szCs w:val="24"/>
        </w:rPr>
        <w:t>Legal Lessons Learned:  Timely notice of claim is important, even with statutory presumption.</w:t>
      </w:r>
    </w:p>
    <w:bookmarkEnd w:id="272"/>
    <w:p w14:paraId="71CD9AE8" w14:textId="77777777" w:rsidR="00F326E5" w:rsidRPr="009F2867" w:rsidRDefault="00F326E5" w:rsidP="00F326E5">
      <w:pPr>
        <w:pStyle w:val="NoSpacing"/>
        <w:rPr>
          <w:rFonts w:ascii="Arial Black" w:hAnsi="Arial Black"/>
          <w:b/>
          <w:sz w:val="24"/>
          <w:szCs w:val="24"/>
        </w:rPr>
      </w:pPr>
    </w:p>
    <w:p w14:paraId="77BCB2FF" w14:textId="77777777" w:rsidR="00F326E5" w:rsidRPr="009F2867" w:rsidRDefault="00F326E5" w:rsidP="00F326E5">
      <w:pPr>
        <w:pStyle w:val="NoSpacing"/>
        <w:rPr>
          <w:b/>
          <w:sz w:val="24"/>
          <w:szCs w:val="24"/>
        </w:rPr>
      </w:pPr>
    </w:p>
    <w:p w14:paraId="18635B1C" w14:textId="77777777" w:rsidR="00F27CD5" w:rsidRDefault="00F27CD5" w:rsidP="00F326E5">
      <w:pPr>
        <w:rPr>
          <w:rFonts w:ascii="Arial Black" w:hAnsi="Arial Black"/>
          <w:b/>
          <w:sz w:val="24"/>
          <w:szCs w:val="24"/>
        </w:rPr>
      </w:pPr>
    </w:p>
    <w:p w14:paraId="1D2BDAD9" w14:textId="7C95C2E9" w:rsidR="00F326E5" w:rsidRDefault="00EF1133" w:rsidP="00F326E5">
      <w:pPr>
        <w:rPr>
          <w:sz w:val="24"/>
          <w:szCs w:val="24"/>
        </w:rPr>
      </w:pPr>
      <w:r>
        <w:rPr>
          <w:rFonts w:ascii="Arial Black" w:hAnsi="Arial Black"/>
          <w:b/>
          <w:sz w:val="24"/>
          <w:szCs w:val="24"/>
        </w:rPr>
        <w:t>6</w:t>
      </w:r>
      <w:r w:rsidRPr="00EF1133">
        <w:rPr>
          <w:rFonts w:ascii="Arial Black" w:hAnsi="Arial Black"/>
          <w:b/>
          <w:sz w:val="24"/>
          <w:szCs w:val="24"/>
        </w:rPr>
        <w:t>-</w:t>
      </w:r>
      <w:r>
        <w:rPr>
          <w:rFonts w:ascii="Arial Black" w:hAnsi="Arial Black"/>
          <w:b/>
          <w:sz w:val="24"/>
          <w:szCs w:val="24"/>
        </w:rPr>
        <w:t>3</w:t>
      </w:r>
    </w:p>
    <w:p w14:paraId="36777433" w14:textId="619EE8C9" w:rsidR="00F326E5" w:rsidRPr="009F2867" w:rsidRDefault="00F326E5" w:rsidP="00F326E5">
      <w:pPr>
        <w:rPr>
          <w:sz w:val="24"/>
          <w:szCs w:val="24"/>
        </w:rPr>
      </w:pPr>
      <w:bookmarkStart w:id="273" w:name="_Hlk7343690"/>
      <w:r w:rsidRPr="00512C93">
        <w:rPr>
          <w:rFonts w:ascii="Arial Black" w:hAnsi="Arial Black"/>
          <w:b/>
          <w:sz w:val="28"/>
          <w:szCs w:val="28"/>
        </w:rPr>
        <w:t>U.S. S</w:t>
      </w:r>
      <w:r>
        <w:rPr>
          <w:rFonts w:ascii="Arial Black" w:hAnsi="Arial Black"/>
          <w:b/>
          <w:sz w:val="28"/>
          <w:szCs w:val="28"/>
        </w:rPr>
        <w:t xml:space="preserve">UP. COURT – ENFORCES ARBITRATION AGREEMENTS – EMPLOYEE CAN’T SUE </w:t>
      </w:r>
      <w:r w:rsidRPr="009F2867">
        <w:rPr>
          <w:sz w:val="24"/>
          <w:szCs w:val="24"/>
        </w:rPr>
        <w:t>[also filed, Chap. 17]</w:t>
      </w:r>
    </w:p>
    <w:p w14:paraId="1FB1994D" w14:textId="77777777" w:rsidR="00F326E5" w:rsidRPr="009F1927" w:rsidRDefault="00F326E5" w:rsidP="00F326E5">
      <w:pPr>
        <w:pStyle w:val="NoSpacing"/>
        <w:rPr>
          <w:rFonts w:ascii="Times New Roman" w:hAnsi="Times New Roman"/>
          <w:sz w:val="24"/>
          <w:szCs w:val="24"/>
        </w:rPr>
      </w:pPr>
      <w:r w:rsidRPr="009F1927">
        <w:rPr>
          <w:rFonts w:ascii="Times New Roman" w:hAnsi="Times New Roman"/>
          <w:sz w:val="24"/>
          <w:szCs w:val="24"/>
        </w:rPr>
        <w:t xml:space="preserve">On May 21, 2018, in </w:t>
      </w:r>
      <w:r w:rsidRPr="009F1927">
        <w:rPr>
          <w:rFonts w:ascii="Times New Roman" w:hAnsi="Times New Roman"/>
          <w:sz w:val="24"/>
          <w:szCs w:val="24"/>
          <w:u w:val="single"/>
        </w:rPr>
        <w:t>Epic Systems Corp. v. Lewis</w:t>
      </w:r>
      <w:r w:rsidRPr="009F1927">
        <w:rPr>
          <w:rFonts w:ascii="Times New Roman" w:hAnsi="Times New Roman"/>
          <w:sz w:val="24"/>
          <w:szCs w:val="24"/>
        </w:rPr>
        <w:t>, the U.S. Supreme Court (5 to 4), 584 U.S. ___ (2018), in a decision written by newly appointed Justice Gorsuch, held:</w:t>
      </w:r>
    </w:p>
    <w:p w14:paraId="4405A5B4" w14:textId="77777777" w:rsidR="009F1927" w:rsidRDefault="009F1927" w:rsidP="00F326E5">
      <w:pPr>
        <w:pStyle w:val="NoSpacing"/>
        <w:ind w:left="720"/>
        <w:rPr>
          <w:rFonts w:ascii="Times New Roman" w:eastAsia="Times New Roman" w:hAnsi="Times New Roman"/>
          <w:sz w:val="24"/>
          <w:szCs w:val="24"/>
        </w:rPr>
      </w:pPr>
    </w:p>
    <w:p w14:paraId="7B52F177" w14:textId="2AEC3DA5" w:rsidR="00F326E5" w:rsidRPr="009F1927" w:rsidRDefault="00F326E5" w:rsidP="00F326E5">
      <w:pPr>
        <w:pStyle w:val="NoSpacing"/>
        <w:ind w:left="720"/>
        <w:rPr>
          <w:rFonts w:ascii="Times New Roman" w:hAnsi="Times New Roman"/>
          <w:sz w:val="24"/>
          <w:szCs w:val="24"/>
        </w:rPr>
      </w:pPr>
      <w:r w:rsidRPr="009F1927">
        <w:rPr>
          <w:rFonts w:ascii="Times New Roman" w:eastAsia="Times New Roman" w:hAnsi="Times New Roman"/>
          <w:sz w:val="24"/>
          <w:szCs w:val="24"/>
        </w:rPr>
        <w:t xml:space="preserve">“Should employees and employers be allowed to agree that any disputes between them will be resolved through one-on-one arbitration? Or should employees always be permitted to bring their claims in class or collective actions, no matter what they agreed with their employers?  As a matter of policy these questions are surely debatable. But as a matter of law the answer is clear. In the Federal Arbitration Act, Congress has instructed federal courts to enforce arbitration agreements according to their terms—including terms providing for individualized proceedings.” </w:t>
      </w:r>
      <w:hyperlink r:id="rId1326" w:history="1">
        <w:r w:rsidRPr="009F1927">
          <w:rPr>
            <w:rStyle w:val="Hyperlink"/>
            <w:rFonts w:ascii="Times New Roman" w:hAnsi="Times New Roman"/>
            <w:sz w:val="24"/>
            <w:szCs w:val="24"/>
          </w:rPr>
          <w:t>https://www.supremecourt.gov/opinions/17pdf/16-285_q8l1.pdf</w:t>
        </w:r>
      </w:hyperlink>
    </w:p>
    <w:p w14:paraId="380661E9" w14:textId="77777777" w:rsidR="00F326E5" w:rsidRPr="009F1927" w:rsidRDefault="00F326E5" w:rsidP="00F326E5">
      <w:pPr>
        <w:pStyle w:val="statutory-body-3em"/>
        <w:rPr>
          <w:b/>
        </w:rPr>
      </w:pPr>
      <w:r w:rsidRPr="009F1927">
        <w:rPr>
          <w:b/>
        </w:rPr>
        <w:t xml:space="preserve">Legal Lessons Learned:  This decision is one of the most important businesses cases before the Court.  Many employers, including private ambulance companies, will now be encouraged to have new hires sign an arbitration document.  </w:t>
      </w:r>
    </w:p>
    <w:p w14:paraId="67E6EEE6" w14:textId="77777777" w:rsidR="00F326E5" w:rsidRPr="00776A71" w:rsidRDefault="00F326E5" w:rsidP="00F326E5">
      <w:pPr>
        <w:pStyle w:val="statutory-body-3em"/>
        <w:ind w:left="720"/>
      </w:pPr>
      <w:r w:rsidRPr="00776A71">
        <w:t xml:space="preserve">AFL-CIO President Richard Trauma was quoted, “Five justices on the Supreme Court decided that it is acceptable for working people to have their legal rights taken away by corporations in order to keep </w:t>
      </w:r>
      <w:r w:rsidRPr="00776A71">
        <w:lastRenderedPageBreak/>
        <w:t xml:space="preserve">their jobs.” </w:t>
      </w:r>
      <w:hyperlink r:id="rId1327" w:history="1">
        <w:r w:rsidRPr="00776A71">
          <w:rPr>
            <w:rStyle w:val="Hyperlink"/>
          </w:rPr>
          <w:t>https://www.sfgate.com/news/article/Supreme-Court-rules-that-companies-can-require-12931130.php</w:t>
        </w:r>
      </w:hyperlink>
      <w:r w:rsidRPr="00776A71">
        <w:t xml:space="preserve"> </w:t>
      </w:r>
    </w:p>
    <w:p w14:paraId="2167E3CB" w14:textId="77777777" w:rsidR="00F326E5" w:rsidRPr="009F2867" w:rsidRDefault="00F326E5" w:rsidP="00F326E5">
      <w:pPr>
        <w:pStyle w:val="NormalWeb"/>
        <w:ind w:left="720"/>
      </w:pPr>
      <w:r w:rsidRPr="009F1927">
        <w:t xml:space="preserve">Note:  see Jan. 15, 2019 U.S. Supreme Court decision in New Prime, Inc. v. Oliveira, </w:t>
      </w:r>
      <w:r w:rsidRPr="009F1927">
        <w:rPr>
          <w:rStyle w:val="Strong"/>
        </w:rPr>
        <w:t>Holding</w:t>
      </w:r>
      <w:r w:rsidRPr="009F1927">
        <w:t xml:space="preserve">: A court should determine whether the Federal Arbitration Act’s Section 1 exclusion for disputes involving the “contracts of employment” of certain transportation workers applies before ordering arbitration; here, truck driver Dominic Oliveira’s independent contractor operating agreement with New Prime Inc. falls within that exception. </w:t>
      </w:r>
      <w:r w:rsidRPr="009F1927">
        <w:rPr>
          <w:rStyle w:val="Strong"/>
        </w:rPr>
        <w:t>Judgment</w:t>
      </w:r>
      <w:r w:rsidRPr="009F1927">
        <w:t xml:space="preserve">: </w:t>
      </w:r>
      <w:hyperlink r:id="rId1328" w:tgtFrame="_blank" w:history="1">
        <w:r w:rsidRPr="009F1927">
          <w:rPr>
            <w:rStyle w:val="Hyperlink"/>
          </w:rPr>
          <w:t>Affirmed</w:t>
        </w:r>
      </w:hyperlink>
      <w:r w:rsidRPr="009F1927">
        <w:t>, 8-0, in an opinion by Justice Gorsuch on January 15, 2019. Justice</w:t>
      </w:r>
      <w:r w:rsidRPr="009F2867">
        <w:t xml:space="preserve"> Ginsburg filed a concurring opinion. Justice Kavanaugh took no part in the consideration or decision of the case. </w:t>
      </w:r>
      <w:hyperlink r:id="rId1329" w:history="1">
        <w:r w:rsidRPr="009F2867">
          <w:rPr>
            <w:rStyle w:val="Hyperlink"/>
          </w:rPr>
          <w:t>https://www.scotusblog.com/case-files/cases/new-prime-inc-v-oliveira/</w:t>
        </w:r>
      </w:hyperlink>
      <w:r w:rsidRPr="009F2867">
        <w:t xml:space="preserve"> </w:t>
      </w:r>
    </w:p>
    <w:p w14:paraId="2CAA8189" w14:textId="77777777" w:rsidR="00EF1133" w:rsidRDefault="00EF1133" w:rsidP="00EF1133">
      <w:pPr>
        <w:rPr>
          <w:rFonts w:ascii="Arial Black" w:hAnsi="Arial Black"/>
          <w:b/>
          <w:sz w:val="24"/>
          <w:szCs w:val="24"/>
        </w:rPr>
      </w:pPr>
      <w:bookmarkStart w:id="274" w:name="_Hlk515004207"/>
      <w:bookmarkEnd w:id="273"/>
    </w:p>
    <w:p w14:paraId="2E1F70BD" w14:textId="3822DDFA" w:rsidR="00F326E5" w:rsidRDefault="00EF1133" w:rsidP="00EF1133">
      <w:pPr>
        <w:rPr>
          <w:b/>
          <w:sz w:val="24"/>
          <w:szCs w:val="24"/>
        </w:rPr>
      </w:pPr>
      <w:r>
        <w:rPr>
          <w:rFonts w:ascii="Arial Black" w:hAnsi="Arial Black"/>
          <w:b/>
          <w:sz w:val="24"/>
          <w:szCs w:val="24"/>
        </w:rPr>
        <w:t>6</w:t>
      </w:r>
      <w:r w:rsidRPr="00EF1133">
        <w:rPr>
          <w:rFonts w:ascii="Arial Black" w:hAnsi="Arial Black"/>
          <w:b/>
          <w:sz w:val="24"/>
          <w:szCs w:val="24"/>
        </w:rPr>
        <w:t>-</w:t>
      </w:r>
      <w:r>
        <w:rPr>
          <w:rFonts w:ascii="Arial Black" w:hAnsi="Arial Black"/>
          <w:b/>
          <w:sz w:val="24"/>
          <w:szCs w:val="24"/>
        </w:rPr>
        <w:t>2</w:t>
      </w:r>
    </w:p>
    <w:p w14:paraId="0734C56D" w14:textId="28554A14" w:rsidR="00F326E5" w:rsidRDefault="00F326E5" w:rsidP="00F326E5">
      <w:pPr>
        <w:pStyle w:val="NoSpacing"/>
        <w:rPr>
          <w:rFonts w:ascii="Arial Black" w:hAnsi="Arial Black"/>
          <w:sz w:val="28"/>
          <w:szCs w:val="28"/>
        </w:rPr>
      </w:pPr>
      <w:bookmarkStart w:id="275" w:name="_Hlk7343724"/>
      <w:r>
        <w:rPr>
          <w:rFonts w:ascii="Arial Black" w:hAnsi="Arial Black"/>
          <w:sz w:val="28"/>
          <w:szCs w:val="28"/>
        </w:rPr>
        <w:t>MD: COLLECTIVE BARGAINING – COUNTY MUST BARGAIN OVER CHANGE IN HEALTH INSURANCE BENEFITS</w:t>
      </w:r>
    </w:p>
    <w:bookmarkEnd w:id="274"/>
    <w:p w14:paraId="6588E62D" w14:textId="77777777" w:rsidR="009F1927" w:rsidRDefault="00F326E5" w:rsidP="00F326E5">
      <w:pPr>
        <w:rPr>
          <w:rFonts w:ascii="Times New Roman" w:hAnsi="Times New Roman"/>
          <w:sz w:val="24"/>
          <w:szCs w:val="24"/>
        </w:rPr>
      </w:pPr>
      <w:r w:rsidRPr="009F1927">
        <w:rPr>
          <w:rFonts w:ascii="Times New Roman" w:hAnsi="Times New Roman"/>
          <w:sz w:val="24"/>
          <w:szCs w:val="24"/>
        </w:rPr>
        <w:t xml:space="preserve">On March 28, 2018, in </w:t>
      </w:r>
      <w:r w:rsidRPr="009F1927">
        <w:rPr>
          <w:rFonts w:ascii="Times New Roman" w:hAnsi="Times New Roman"/>
          <w:sz w:val="24"/>
          <w:szCs w:val="24"/>
          <w:u w:val="single"/>
        </w:rPr>
        <w:t>O’Brien Atkinson, et al. v. Anne Arundel County</w:t>
      </w:r>
      <w:r w:rsidRPr="009F1927">
        <w:rPr>
          <w:rFonts w:ascii="Times New Roman" w:hAnsi="Times New Roman"/>
          <w:sz w:val="24"/>
          <w:szCs w:val="24"/>
        </w:rPr>
        <w:t xml:space="preserve">, the Court of Appeals of Maryland, held (3 to 0) that the County cannot unilaterally change health benefits; case is remanded to trial court. </w:t>
      </w:r>
    </w:p>
    <w:p w14:paraId="0E869402" w14:textId="1E029E8A" w:rsidR="00F326E5" w:rsidRPr="009F1927" w:rsidRDefault="00F326E5" w:rsidP="009F1927">
      <w:pPr>
        <w:ind w:left="720"/>
        <w:rPr>
          <w:rFonts w:ascii="Times New Roman" w:hAnsi="Times New Roman"/>
          <w:sz w:val="24"/>
          <w:szCs w:val="24"/>
        </w:rPr>
      </w:pPr>
      <w:r w:rsidRPr="009F1927">
        <w:rPr>
          <w:rFonts w:ascii="Times New Roman" w:hAnsi="Times New Roman"/>
          <w:sz w:val="24"/>
          <w:szCs w:val="24"/>
        </w:rPr>
        <w:t xml:space="preserve">“We leave it to the parties and trial court, applying the balancing test on remand, to ascertain the scope of collective bargaining rights over health insurance benefits as mandated under §§ 811 and 812 of the Charter.” </w:t>
      </w:r>
      <w:hyperlink r:id="rId1330" w:history="1">
        <w:r w:rsidRPr="009F1927">
          <w:rPr>
            <w:rStyle w:val="Hyperlink"/>
            <w:rFonts w:ascii="Times New Roman" w:hAnsi="Times New Roman"/>
            <w:sz w:val="24"/>
            <w:szCs w:val="24"/>
          </w:rPr>
          <w:t>file:///C:/Users/lawre/AppData/Local/Microsoft/Windows/INetCache/IE/CTCRXJ99/0788s16.pdf</w:t>
        </w:r>
      </w:hyperlink>
      <w:r w:rsidRPr="009F1927">
        <w:rPr>
          <w:rFonts w:ascii="Times New Roman" w:hAnsi="Times New Roman"/>
          <w:sz w:val="24"/>
          <w:szCs w:val="24"/>
        </w:rPr>
        <w:t xml:space="preserve"> </w:t>
      </w:r>
    </w:p>
    <w:p w14:paraId="5BE8C70C" w14:textId="77777777" w:rsidR="00F326E5" w:rsidRPr="009F1927" w:rsidRDefault="00F326E5" w:rsidP="00F326E5">
      <w:pPr>
        <w:rPr>
          <w:rFonts w:ascii="Times New Roman" w:hAnsi="Times New Roman"/>
          <w:b/>
          <w:sz w:val="24"/>
          <w:szCs w:val="24"/>
        </w:rPr>
      </w:pPr>
      <w:r w:rsidRPr="009F1927">
        <w:rPr>
          <w:rFonts w:ascii="Times New Roman" w:hAnsi="Times New Roman"/>
          <w:b/>
          <w:sz w:val="24"/>
          <w:szCs w:val="24"/>
        </w:rPr>
        <w:t xml:space="preserve">LEGAL LESSONS LEARNED: The County Charter mandated collective bargaining and arbitration. </w:t>
      </w:r>
    </w:p>
    <w:bookmarkEnd w:id="275"/>
    <w:p w14:paraId="0DFA70BF" w14:textId="77777777" w:rsidR="00EF1133" w:rsidRDefault="00EF1133" w:rsidP="00EF1133">
      <w:pPr>
        <w:rPr>
          <w:rFonts w:ascii="Arial Black" w:hAnsi="Arial Black"/>
          <w:b/>
          <w:sz w:val="24"/>
          <w:szCs w:val="24"/>
        </w:rPr>
      </w:pPr>
    </w:p>
    <w:p w14:paraId="297EB295" w14:textId="77777777" w:rsidR="00F27CD5" w:rsidRDefault="00F27CD5" w:rsidP="00EF1133">
      <w:pPr>
        <w:rPr>
          <w:rFonts w:ascii="Arial Black" w:hAnsi="Arial Black"/>
          <w:b/>
          <w:sz w:val="24"/>
          <w:szCs w:val="24"/>
        </w:rPr>
      </w:pPr>
    </w:p>
    <w:p w14:paraId="5A4F467D" w14:textId="13E09346" w:rsidR="00EF1133" w:rsidRDefault="00EF1133" w:rsidP="00EF1133">
      <w:pPr>
        <w:rPr>
          <w:rFonts w:ascii="Arial Black" w:hAnsi="Arial Black"/>
          <w:b/>
          <w:sz w:val="24"/>
          <w:szCs w:val="24"/>
        </w:rPr>
      </w:pPr>
      <w:r>
        <w:rPr>
          <w:rFonts w:ascii="Arial Black" w:hAnsi="Arial Black"/>
          <w:b/>
          <w:sz w:val="24"/>
          <w:szCs w:val="24"/>
        </w:rPr>
        <w:t>6</w:t>
      </w:r>
      <w:r w:rsidRPr="00EF1133">
        <w:rPr>
          <w:rFonts w:ascii="Arial Black" w:hAnsi="Arial Black"/>
          <w:b/>
          <w:sz w:val="24"/>
          <w:szCs w:val="24"/>
        </w:rPr>
        <w:t>-1</w:t>
      </w:r>
    </w:p>
    <w:p w14:paraId="6C6185C1" w14:textId="48D52178" w:rsidR="00255E41" w:rsidRPr="00255E41" w:rsidRDefault="00F326E5" w:rsidP="00255E41">
      <w:pPr>
        <w:pStyle w:val="NoSpacing"/>
        <w:rPr>
          <w:rFonts w:ascii="Times New Roman" w:hAnsi="Times New Roman"/>
          <w:b/>
          <w:sz w:val="24"/>
          <w:szCs w:val="24"/>
        </w:rPr>
      </w:pPr>
      <w:bookmarkStart w:id="276" w:name="_Hlk515004318"/>
      <w:bookmarkStart w:id="277" w:name="_Hlk7343765"/>
      <w:r>
        <w:rPr>
          <w:rFonts w:ascii="Arial Black" w:hAnsi="Arial Black"/>
          <w:sz w:val="28"/>
          <w:szCs w:val="28"/>
        </w:rPr>
        <w:t>RI: “DISABLED” FF IS VIDEOTAPED WEIGHTLIFTING – DISABILITY PENSION BENEFITS TERMINATED</w:t>
      </w:r>
      <w:r w:rsidR="00255E41">
        <w:rPr>
          <w:rFonts w:ascii="Arial Black" w:hAnsi="Arial Black"/>
          <w:sz w:val="28"/>
          <w:szCs w:val="28"/>
        </w:rPr>
        <w:t xml:space="preserve"> </w:t>
      </w:r>
      <w:r w:rsidR="00255E41" w:rsidRPr="00255E41">
        <w:rPr>
          <w:rFonts w:ascii="Times New Roman" w:hAnsi="Times New Roman"/>
          <w:sz w:val="24"/>
          <w:szCs w:val="24"/>
        </w:rPr>
        <w:t>[also filed, Chap. 16]</w:t>
      </w:r>
    </w:p>
    <w:p w14:paraId="1DB0B58D" w14:textId="299FA3F4" w:rsidR="00F326E5" w:rsidRDefault="00F326E5" w:rsidP="00F326E5">
      <w:pPr>
        <w:pStyle w:val="NoSpacing"/>
        <w:rPr>
          <w:b/>
          <w:sz w:val="24"/>
          <w:szCs w:val="24"/>
        </w:rPr>
      </w:pPr>
    </w:p>
    <w:bookmarkEnd w:id="276"/>
    <w:p w14:paraId="3A4BE366" w14:textId="1AB834EE" w:rsidR="009F1927" w:rsidRDefault="00F326E5" w:rsidP="00F326E5">
      <w:pPr>
        <w:pStyle w:val="NoSpacing"/>
        <w:rPr>
          <w:rFonts w:ascii="Times New Roman" w:hAnsi="Times New Roman"/>
          <w:color w:val="4A4A4A"/>
          <w:sz w:val="24"/>
          <w:szCs w:val="24"/>
          <w:lang w:val="en"/>
        </w:rPr>
      </w:pPr>
      <w:r w:rsidRPr="009F1927">
        <w:rPr>
          <w:rFonts w:ascii="Times New Roman" w:hAnsi="Times New Roman"/>
          <w:color w:val="4A4A4A"/>
          <w:sz w:val="24"/>
          <w:szCs w:val="24"/>
          <w:lang w:val="en"/>
        </w:rPr>
        <w:t xml:space="preserve">On </w:t>
      </w:r>
      <w:bookmarkStart w:id="278" w:name="_Hlk39832586"/>
      <w:r w:rsidRPr="009F1927">
        <w:rPr>
          <w:rFonts w:ascii="Times New Roman" w:hAnsi="Times New Roman"/>
          <w:color w:val="4A4A4A"/>
          <w:sz w:val="24"/>
          <w:szCs w:val="24"/>
          <w:lang w:val="en"/>
        </w:rPr>
        <w:t>Feb. 2</w:t>
      </w:r>
      <w:r w:rsidR="007E6FE3">
        <w:rPr>
          <w:rFonts w:ascii="Times New Roman" w:hAnsi="Times New Roman"/>
          <w:color w:val="4A4A4A"/>
          <w:sz w:val="24"/>
          <w:szCs w:val="24"/>
          <w:lang w:val="en"/>
        </w:rPr>
        <w:t>0</w:t>
      </w:r>
      <w:r w:rsidRPr="009F1927">
        <w:rPr>
          <w:rFonts w:ascii="Times New Roman" w:hAnsi="Times New Roman"/>
          <w:color w:val="4A4A4A"/>
          <w:sz w:val="24"/>
          <w:szCs w:val="24"/>
          <w:lang w:val="en"/>
        </w:rPr>
        <w:t xml:space="preserve">, 2018, in </w:t>
      </w:r>
      <w:r w:rsidRPr="009F1927">
        <w:rPr>
          <w:rFonts w:ascii="Times New Roman" w:hAnsi="Times New Roman"/>
          <w:color w:val="4A4A4A"/>
          <w:sz w:val="24"/>
          <w:szCs w:val="24"/>
          <w:u w:val="single"/>
          <w:lang w:val="en"/>
        </w:rPr>
        <w:t>John Sauro v. James Lombardi, in his capacity as Treasurer of the City of Providence, et al</w:t>
      </w:r>
      <w:bookmarkEnd w:id="278"/>
      <w:r w:rsidRPr="009F1927">
        <w:rPr>
          <w:rFonts w:ascii="Times New Roman" w:hAnsi="Times New Roman"/>
          <w:color w:val="4A4A4A"/>
          <w:sz w:val="24"/>
          <w:szCs w:val="24"/>
          <w:u w:val="single"/>
          <w:lang w:val="en"/>
        </w:rPr>
        <w:t>.</w:t>
      </w:r>
      <w:r w:rsidRPr="009F1927">
        <w:rPr>
          <w:rFonts w:ascii="Times New Roman" w:hAnsi="Times New Roman"/>
          <w:color w:val="4A4A4A"/>
          <w:sz w:val="24"/>
          <w:szCs w:val="24"/>
          <w:lang w:val="en"/>
        </w:rPr>
        <w:t>, the State Supreme Court held,</w:t>
      </w:r>
    </w:p>
    <w:p w14:paraId="49B40278" w14:textId="77777777" w:rsidR="009F1927" w:rsidRDefault="009F1927" w:rsidP="00F326E5">
      <w:pPr>
        <w:pStyle w:val="NoSpacing"/>
        <w:rPr>
          <w:rFonts w:ascii="Times New Roman" w:hAnsi="Times New Roman"/>
          <w:color w:val="4A4A4A"/>
          <w:sz w:val="24"/>
          <w:szCs w:val="24"/>
          <w:lang w:val="en"/>
        </w:rPr>
      </w:pPr>
    </w:p>
    <w:p w14:paraId="1F319853" w14:textId="09BAA657" w:rsidR="00F326E5" w:rsidRPr="009F1927" w:rsidRDefault="00F326E5" w:rsidP="009F1927">
      <w:pPr>
        <w:pStyle w:val="NoSpacing"/>
        <w:ind w:left="720" w:firstLine="60"/>
        <w:rPr>
          <w:rFonts w:ascii="Times New Roman" w:hAnsi="Times New Roman"/>
          <w:sz w:val="24"/>
          <w:szCs w:val="24"/>
        </w:rPr>
      </w:pPr>
      <w:r w:rsidRPr="009F1927">
        <w:rPr>
          <w:rFonts w:ascii="Times New Roman" w:hAnsi="Times New Roman"/>
          <w:color w:val="4A4A4A"/>
          <w:sz w:val="24"/>
          <w:szCs w:val="24"/>
          <w:lang w:val="en"/>
        </w:rPr>
        <w:t>“</w:t>
      </w:r>
      <w:proofErr w:type="gramStart"/>
      <w:r w:rsidRPr="009F1927">
        <w:rPr>
          <w:rFonts w:ascii="Times New Roman" w:hAnsi="Times New Roman"/>
          <w:color w:val="4A4A4A"/>
          <w:sz w:val="24"/>
          <w:szCs w:val="24"/>
          <w:lang w:val="en"/>
        </w:rPr>
        <w:t>we</w:t>
      </w:r>
      <w:proofErr w:type="gramEnd"/>
      <w:r w:rsidRPr="009F1927">
        <w:rPr>
          <w:rFonts w:ascii="Times New Roman" w:hAnsi="Times New Roman"/>
          <w:color w:val="4A4A4A"/>
          <w:sz w:val="24"/>
          <w:szCs w:val="24"/>
          <w:lang w:val="en"/>
        </w:rPr>
        <w:t xml:space="preserve"> conclude that the decision of the trial justice declaring that the plaintiff’s pension benefits should be reinstated and he should be placed on a waiting list to resume active service was erroneous, overlooked material evidence, and was clearly wrong</w:t>
      </w:r>
      <w:hyperlink r:id="rId1331" w:history="1">
        <w:r w:rsidR="007E6FE3" w:rsidRPr="00C200DE">
          <w:rPr>
            <w:rStyle w:val="Hyperlink"/>
            <w:rFonts w:ascii="Times New Roman" w:hAnsi="Times New Roman"/>
            <w:sz w:val="24"/>
            <w:szCs w:val="24"/>
            <w:lang w:val="en"/>
          </w:rPr>
          <w:t>https://www.courts.ri.gov/Courts/SupremeCourt/SupremeOpinions/16-170.pdf</w:t>
        </w:r>
      </w:hyperlink>
      <w:r w:rsidR="007E6FE3">
        <w:rPr>
          <w:rFonts w:ascii="Times New Roman" w:hAnsi="Times New Roman"/>
          <w:color w:val="4A4A4A"/>
          <w:sz w:val="24"/>
          <w:szCs w:val="24"/>
          <w:u w:val="single"/>
          <w:lang w:val="en"/>
        </w:rPr>
        <w:t xml:space="preserve"> </w:t>
      </w:r>
      <w:r w:rsidR="007E6FE3">
        <w:rPr>
          <w:rFonts w:ascii="Times New Roman" w:hAnsi="Times New Roman"/>
          <w:color w:val="4A4A4A"/>
          <w:sz w:val="24"/>
          <w:szCs w:val="24"/>
          <w:lang w:val="en"/>
        </w:rPr>
        <w:t xml:space="preserve"> </w:t>
      </w:r>
    </w:p>
    <w:p w14:paraId="682AC40C" w14:textId="77777777" w:rsidR="009F1927" w:rsidRDefault="009F1927" w:rsidP="00F326E5">
      <w:pPr>
        <w:rPr>
          <w:rFonts w:ascii="Times New Roman" w:hAnsi="Times New Roman"/>
          <w:b/>
          <w:color w:val="4A4A4A"/>
          <w:sz w:val="24"/>
          <w:szCs w:val="24"/>
          <w:lang w:val="en"/>
        </w:rPr>
      </w:pPr>
    </w:p>
    <w:p w14:paraId="4CAD612C" w14:textId="346A2C1A" w:rsidR="00F326E5" w:rsidRPr="009F1927" w:rsidRDefault="00F326E5" w:rsidP="00F326E5">
      <w:pPr>
        <w:rPr>
          <w:rFonts w:ascii="Times New Roman" w:hAnsi="Times New Roman"/>
          <w:b/>
          <w:color w:val="4A4A4A"/>
          <w:sz w:val="24"/>
          <w:szCs w:val="24"/>
          <w:lang w:val="en"/>
        </w:rPr>
      </w:pPr>
      <w:r w:rsidRPr="009F1927">
        <w:rPr>
          <w:rFonts w:ascii="Times New Roman" w:hAnsi="Times New Roman"/>
          <w:b/>
          <w:color w:val="4A4A4A"/>
          <w:sz w:val="24"/>
          <w:szCs w:val="24"/>
          <w:lang w:val="en"/>
        </w:rPr>
        <w:t>LEGAL LESSONS LEARNED:  Accidental disability pension benefits are for those with a continuing work-place injury; cases like this can lead to public perception of pension fraud.</w:t>
      </w:r>
    </w:p>
    <w:bookmarkEnd w:id="277"/>
    <w:p w14:paraId="40D82572" w14:textId="77777777" w:rsidR="00F326E5" w:rsidRPr="009F2867" w:rsidRDefault="00F326E5" w:rsidP="00F326E5">
      <w:pPr>
        <w:rPr>
          <w:rFonts w:ascii="Arial Black" w:hAnsi="Arial Black"/>
          <w:b/>
          <w:sz w:val="40"/>
          <w:szCs w:val="40"/>
        </w:rPr>
      </w:pPr>
    </w:p>
    <w:p w14:paraId="6C2FBDF2" w14:textId="77777777" w:rsidR="007C4C98" w:rsidRDefault="00F326E5" w:rsidP="009F1927">
      <w:pPr>
        <w:rPr>
          <w:rFonts w:ascii="Arial Black" w:hAnsi="Arial Black"/>
          <w:sz w:val="40"/>
          <w:szCs w:val="40"/>
        </w:rPr>
      </w:pPr>
      <w:r>
        <w:rPr>
          <w:rFonts w:ascii="Arial Black" w:hAnsi="Arial Black"/>
          <w:sz w:val="40"/>
          <w:szCs w:val="40"/>
        </w:rPr>
        <w:br w:type="page"/>
      </w:r>
    </w:p>
    <w:p w14:paraId="6B0FDAAC" w14:textId="3D9604EC" w:rsidR="0097062D" w:rsidRDefault="0097062D">
      <w:pPr>
        <w:spacing w:after="0" w:line="240" w:lineRule="auto"/>
        <w:rPr>
          <w:rFonts w:ascii="Arial Black" w:hAnsi="Arial Black"/>
          <w:sz w:val="40"/>
          <w:szCs w:val="40"/>
        </w:rPr>
      </w:pPr>
      <w:r>
        <w:rPr>
          <w:rFonts w:ascii="Arial Black" w:hAnsi="Arial Black"/>
          <w:sz w:val="40"/>
          <w:szCs w:val="40"/>
        </w:rPr>
        <w:lastRenderedPageBreak/>
        <w:br w:type="page"/>
      </w:r>
    </w:p>
    <w:p w14:paraId="6F775CEC" w14:textId="2A8A7ED3" w:rsidR="00F326E5" w:rsidRDefault="0097062D" w:rsidP="009F1927">
      <w:pPr>
        <w:rPr>
          <w:rFonts w:ascii="Arial Black" w:hAnsi="Arial Black"/>
          <w:sz w:val="40"/>
          <w:szCs w:val="40"/>
        </w:rPr>
      </w:pPr>
      <w:r>
        <w:rPr>
          <w:rFonts w:ascii="Arial Black" w:hAnsi="Arial Black"/>
          <w:sz w:val="40"/>
          <w:szCs w:val="40"/>
        </w:rPr>
        <w:lastRenderedPageBreak/>
        <w:t>C</w:t>
      </w:r>
      <w:r w:rsidR="00F326E5" w:rsidRPr="007732FA">
        <w:rPr>
          <w:rFonts w:ascii="Arial Black" w:hAnsi="Arial Black"/>
          <w:sz w:val="40"/>
          <w:szCs w:val="40"/>
        </w:rPr>
        <w:t>hap. 7</w:t>
      </w:r>
      <w:r w:rsidR="002B1283">
        <w:rPr>
          <w:rFonts w:ascii="Arial Black" w:hAnsi="Arial Black"/>
          <w:sz w:val="40"/>
          <w:szCs w:val="40"/>
        </w:rPr>
        <w:t xml:space="preserve">   </w:t>
      </w:r>
      <w:r w:rsidR="00F326E5" w:rsidRPr="007732FA">
        <w:rPr>
          <w:rFonts w:ascii="Arial Black" w:hAnsi="Arial Black"/>
          <w:sz w:val="40"/>
          <w:szCs w:val="40"/>
        </w:rPr>
        <w:t>Sexual Harassment</w:t>
      </w:r>
      <w:r w:rsidR="002147DA">
        <w:rPr>
          <w:rFonts w:ascii="Arial Black" w:hAnsi="Arial Black"/>
          <w:sz w:val="40"/>
          <w:szCs w:val="40"/>
        </w:rPr>
        <w:t>,</w:t>
      </w:r>
      <w:r w:rsidR="003F660F">
        <w:rPr>
          <w:rFonts w:ascii="Arial Black" w:hAnsi="Arial Black"/>
          <w:sz w:val="40"/>
          <w:szCs w:val="40"/>
        </w:rPr>
        <w:t xml:space="preserve"> including </w:t>
      </w:r>
      <w:r w:rsidR="00F326E5" w:rsidRPr="007732FA">
        <w:rPr>
          <w:rFonts w:ascii="Arial Black" w:hAnsi="Arial Black"/>
          <w:sz w:val="40"/>
          <w:szCs w:val="40"/>
        </w:rPr>
        <w:t>Pregnancy Discrimination</w:t>
      </w:r>
    </w:p>
    <w:p w14:paraId="6B8B0762" w14:textId="4083F621" w:rsidR="00BC3D44" w:rsidRDefault="00BC3D44" w:rsidP="00BC3D44">
      <w:pPr>
        <w:pStyle w:val="NoSpacing"/>
        <w:rPr>
          <w:rFonts w:ascii="Arial Black" w:hAnsi="Arial Black"/>
          <w:sz w:val="28"/>
          <w:szCs w:val="28"/>
        </w:rPr>
      </w:pPr>
      <w:r>
        <w:rPr>
          <w:rFonts w:ascii="Arial Black" w:hAnsi="Arial Black"/>
          <w:sz w:val="28"/>
          <w:szCs w:val="28"/>
        </w:rPr>
        <w:t>7-94</w:t>
      </w:r>
    </w:p>
    <w:p w14:paraId="59B66E8D" w14:textId="77777777" w:rsidR="00BC3D44" w:rsidRDefault="00BC3D44" w:rsidP="00BC3D44">
      <w:pPr>
        <w:pStyle w:val="NoSpacing"/>
        <w:rPr>
          <w:rFonts w:ascii="Arial Black" w:hAnsi="Arial Black"/>
          <w:sz w:val="28"/>
          <w:szCs w:val="28"/>
        </w:rPr>
      </w:pPr>
    </w:p>
    <w:p w14:paraId="2323249A" w14:textId="4FA72154" w:rsidR="00BC3D44" w:rsidRPr="00C26E83" w:rsidRDefault="00BC3D44" w:rsidP="00BC3D44">
      <w:pPr>
        <w:pStyle w:val="NoSpacing"/>
        <w:rPr>
          <w:rFonts w:ascii="Arial Black" w:hAnsi="Arial Black"/>
          <w:sz w:val="28"/>
          <w:szCs w:val="28"/>
        </w:rPr>
      </w:pPr>
      <w:r w:rsidRPr="00C26E83">
        <w:rPr>
          <w:rFonts w:ascii="Arial Black" w:hAnsi="Arial Black"/>
          <w:sz w:val="28"/>
          <w:szCs w:val="28"/>
        </w:rPr>
        <w:t xml:space="preserve">OH: </w:t>
      </w:r>
      <w:r>
        <w:rPr>
          <w:rFonts w:ascii="Arial Black" w:hAnsi="Arial Black"/>
          <w:sz w:val="28"/>
          <w:szCs w:val="28"/>
        </w:rPr>
        <w:t xml:space="preserve">FEMALE </w:t>
      </w:r>
      <w:r>
        <w:rPr>
          <w:rFonts w:ascii="Arial Black" w:hAnsi="Arial Black"/>
          <w:b/>
          <w:sz w:val="28"/>
          <w:szCs w:val="28"/>
        </w:rPr>
        <w:t xml:space="preserve">EMT FIRED – PORN PHOTOS MALE EMT / WIFE </w:t>
      </w:r>
    </w:p>
    <w:p w14:paraId="163FE5C4" w14:textId="77777777" w:rsidR="00BC3D44" w:rsidRPr="00C26E83" w:rsidRDefault="00BC3D44" w:rsidP="00BC3D44">
      <w:pPr>
        <w:pStyle w:val="NoSpacing"/>
      </w:pPr>
    </w:p>
    <w:p w14:paraId="2C5E3E10" w14:textId="77777777" w:rsidR="00BC3D44" w:rsidRPr="00C26E83" w:rsidRDefault="00BC3D44" w:rsidP="00BC3D44">
      <w:pPr>
        <w:pStyle w:val="NoSpacing"/>
      </w:pPr>
      <w:r w:rsidRPr="00C26E83">
        <w:t xml:space="preserve">On July 17, 2026, in </w:t>
      </w:r>
      <w:r w:rsidRPr="00C26E83">
        <w:rPr>
          <w:u w:val="single"/>
        </w:rPr>
        <w:t>Gertrude Crisp v. Scioto Ambulance District</w:t>
      </w:r>
      <w:r w:rsidRPr="00C26E83">
        <w:t xml:space="preserve">, the United States Court of Appeals for the Sixth Circuit (Cincinnati) held (3 to 0) that U.S. District Court judge properly granted summary judgment to the Ambulance District in Portsmouth, Ohio; the court discussed the “craziness” conduct of a male EMT trying to put plaintiff in a trash can, and also the plaintiff’s conduct several years later sharing online pornographic images of the male EMT and his wife.  </w:t>
      </w:r>
      <w:hyperlink r:id="rId1332" w:history="1">
        <w:r w:rsidRPr="00C26E83">
          <w:rPr>
            <w:rStyle w:val="Hyperlink"/>
          </w:rPr>
          <w:t>https://cases.justia.com/federal/appellate-courts/ca6/25-3885/25-3885-2026-07-17.pdf?ts=1784323840</w:t>
        </w:r>
      </w:hyperlink>
      <w:r w:rsidRPr="00C26E83">
        <w:t xml:space="preserve"> </w:t>
      </w:r>
    </w:p>
    <w:p w14:paraId="367FA595" w14:textId="77777777" w:rsidR="00BC3D44" w:rsidRDefault="00BC3D44" w:rsidP="00BC3D44">
      <w:pPr>
        <w:pStyle w:val="NoSpacing"/>
      </w:pPr>
    </w:p>
    <w:p w14:paraId="5A0020B1" w14:textId="77777777" w:rsidR="00BC3D44" w:rsidRDefault="00BC3D44" w:rsidP="00BC3D44">
      <w:pPr>
        <w:pStyle w:val="NoSpacing"/>
      </w:pPr>
    </w:p>
    <w:p w14:paraId="51F2FECA" w14:textId="77777777" w:rsidR="00BC3D44" w:rsidRDefault="00BC3D44" w:rsidP="00BC3D44">
      <w:pPr>
        <w:pStyle w:val="NoSpacing"/>
      </w:pPr>
      <w:r w:rsidRPr="00C26E83">
        <w:t>THE COURT WROTE: “According to Gertrude Crisp, an emergency medical technician, ‘the inmates run[] the insane asylum’ at her former workplace, the Scioto Ambulance District…. Part of the craziness, Crisp claims, is a time when another EMT at Scioto (Joshua Gullett) groped her and tried to stuff her into a trash can while on the job. When Crisp complained, a supervisor separated them and required that they never work the same shift, but Gullett faced no other repercussions. Crisp pursued no legal redress against Gullett or Scioto at that time. Instead, Crisp waited several years to respond, and when she did, it was in her own way crazy. One day, she recalled that there were allegedly pornographic images of Gullett and his wife online. While at work, she showed those images to several EMTs. Scioto fired Crisp for doing that, and Crisp sued, asserting that the firing was retaliatory under state and federal anti-discrimination law. The district court disagreed, and so do we.</w:t>
      </w:r>
    </w:p>
    <w:p w14:paraId="72257913" w14:textId="77777777" w:rsidR="00BC3D44" w:rsidRDefault="00BC3D44" w:rsidP="00BC3D44">
      <w:pPr>
        <w:pStyle w:val="NoSpacing"/>
      </w:pPr>
    </w:p>
    <w:p w14:paraId="22A2CB1C" w14:textId="77777777" w:rsidR="00BC3D44" w:rsidRDefault="00BC3D44" w:rsidP="00BC3D44">
      <w:pPr>
        <w:pStyle w:val="NoSpacing"/>
      </w:pPr>
      <w:r w:rsidRPr="00C26E83">
        <w:t xml:space="preserve"> *** </w:t>
      </w:r>
    </w:p>
    <w:p w14:paraId="5A56B8BA" w14:textId="77777777" w:rsidR="00BC3D44" w:rsidRPr="00C26E83" w:rsidRDefault="00BC3D44" w:rsidP="00BC3D44">
      <w:pPr>
        <w:pStyle w:val="NoSpacing"/>
      </w:pPr>
      <w:r w:rsidRPr="00C26E83">
        <w:t xml:space="preserve">Thus, to win relief from our court, Crisp is essentially left to persuade us that a jury could find her employer violated Title VII when it fired her for sharing nude images of a co-worker while on the clock. That she has not done. The district court’s judgment is AFFIRMED.” </w:t>
      </w:r>
    </w:p>
    <w:p w14:paraId="4BF9A351" w14:textId="77777777" w:rsidR="00BC3D44" w:rsidRDefault="00BC3D44" w:rsidP="00BC3D44">
      <w:pPr>
        <w:pStyle w:val="NoSpacing"/>
      </w:pPr>
    </w:p>
    <w:p w14:paraId="42FB3BE8" w14:textId="77777777" w:rsidR="00BC3D44" w:rsidRPr="00C53A3F" w:rsidRDefault="00BC3D44" w:rsidP="00BC3D44">
      <w:pPr>
        <w:pStyle w:val="NoSpacing"/>
        <w:rPr>
          <w:b/>
          <w:bCs/>
        </w:rPr>
      </w:pPr>
      <w:r w:rsidRPr="00C53A3F">
        <w:rPr>
          <w:b/>
        </w:rPr>
        <w:t xml:space="preserve">Legal lesson learned: If employer had formally disciplined the male EMT, then perhaps the “craziness” would have stopped. </w:t>
      </w:r>
    </w:p>
    <w:p w14:paraId="35A84683" w14:textId="77777777" w:rsidR="00C26E25" w:rsidRDefault="00C26E25" w:rsidP="00851CFA">
      <w:pPr>
        <w:pStyle w:val="NoSpacing"/>
        <w:rPr>
          <w:rFonts w:ascii="Arial Black" w:hAnsi="Arial Black"/>
          <w:sz w:val="28"/>
          <w:szCs w:val="28"/>
        </w:rPr>
      </w:pPr>
    </w:p>
    <w:p w14:paraId="6E21BF92" w14:textId="77777777" w:rsidR="00BC3D44" w:rsidRDefault="00BC3D44" w:rsidP="00851CFA">
      <w:pPr>
        <w:pStyle w:val="NoSpacing"/>
        <w:rPr>
          <w:rFonts w:ascii="Arial Black" w:hAnsi="Arial Black"/>
          <w:sz w:val="28"/>
          <w:szCs w:val="28"/>
        </w:rPr>
      </w:pPr>
    </w:p>
    <w:p w14:paraId="03D87C3F" w14:textId="77777777" w:rsidR="00BC3D44" w:rsidRDefault="00BC3D44" w:rsidP="00851CFA">
      <w:pPr>
        <w:pStyle w:val="NoSpacing"/>
        <w:rPr>
          <w:rFonts w:ascii="Arial Black" w:hAnsi="Arial Black"/>
          <w:sz w:val="28"/>
          <w:szCs w:val="28"/>
        </w:rPr>
      </w:pPr>
    </w:p>
    <w:p w14:paraId="7921A524" w14:textId="1FBF2AC5" w:rsidR="00851CFA" w:rsidRDefault="00851CFA" w:rsidP="00851CFA">
      <w:pPr>
        <w:pStyle w:val="NoSpacing"/>
        <w:rPr>
          <w:rFonts w:ascii="Arial Black" w:hAnsi="Arial Black"/>
          <w:sz w:val="28"/>
          <w:szCs w:val="28"/>
        </w:rPr>
      </w:pPr>
      <w:r>
        <w:rPr>
          <w:rFonts w:ascii="Arial Black" w:hAnsi="Arial Black"/>
          <w:sz w:val="28"/>
          <w:szCs w:val="28"/>
        </w:rPr>
        <w:t>7-93</w:t>
      </w:r>
    </w:p>
    <w:p w14:paraId="73FAD747" w14:textId="77777777" w:rsidR="00851CFA" w:rsidRDefault="00851CFA" w:rsidP="00C235E8">
      <w:pPr>
        <w:pStyle w:val="NoSpacing"/>
        <w:rPr>
          <w:rFonts w:ascii="Arial Black" w:hAnsi="Arial Black"/>
          <w:sz w:val="28"/>
          <w:szCs w:val="28"/>
        </w:rPr>
      </w:pPr>
    </w:p>
    <w:p w14:paraId="1FA2CC72" w14:textId="77777777" w:rsidR="00BC4C9B" w:rsidRPr="008129D1" w:rsidRDefault="00BC4C9B" w:rsidP="00BC4C9B">
      <w:pPr>
        <w:pStyle w:val="NoSpacing"/>
        <w:rPr>
          <w:rFonts w:ascii="Arial Black" w:hAnsi="Arial Black"/>
          <w:b/>
          <w:sz w:val="28"/>
          <w:szCs w:val="28"/>
        </w:rPr>
      </w:pPr>
      <w:r>
        <w:rPr>
          <w:rFonts w:ascii="Arial Black" w:hAnsi="Arial Black"/>
          <w:b/>
          <w:sz w:val="28"/>
          <w:szCs w:val="28"/>
        </w:rPr>
        <w:t xml:space="preserve">IL: ONLY FEM - PORN MAG – SEX TALK - “SHEENA BUCKS”  </w:t>
      </w:r>
    </w:p>
    <w:p w14:paraId="438A0209" w14:textId="77777777" w:rsidR="00BC4C9B" w:rsidRDefault="00BC4C9B" w:rsidP="00BC4C9B">
      <w:pPr>
        <w:pStyle w:val="NoSpacing"/>
        <w:rPr>
          <w:b/>
        </w:rPr>
      </w:pPr>
    </w:p>
    <w:p w14:paraId="207CFE32" w14:textId="77777777" w:rsidR="00BC4C9B" w:rsidRDefault="00BC4C9B" w:rsidP="00BC4C9B">
      <w:pPr>
        <w:pStyle w:val="NoSpacing"/>
      </w:pPr>
      <w:r w:rsidRPr="005024CF">
        <w:t xml:space="preserve">On June 26, 2026, in </w:t>
      </w:r>
      <w:r w:rsidRPr="00EE302B">
        <w:rPr>
          <w:u w:val="single"/>
        </w:rPr>
        <w:t>Sheena Amble v. City of Rockford Fire Department</w:t>
      </w:r>
      <w:r>
        <w:t>, U.S. District Court Judge Iain D. Johnston, United States District Court for Northern District of Illinois, Western Division, held that her sexual harassment claim may proceed. However, conditions were not so severe that jury will not be asked if she was constructively forced to retire. The Court wrote: “</w:t>
      </w:r>
      <w:r w:rsidRPr="0080289D">
        <w:t>Within a few months</w:t>
      </w:r>
      <w:r>
        <w:t xml:space="preserve"> [of being </w:t>
      </w:r>
      <w:r w:rsidRPr="00A51A98">
        <w:t>transferred to Fire Station #4 in January 2019</w:t>
      </w:r>
      <w:r>
        <w:t>; only female at that station]</w:t>
      </w:r>
      <w:r w:rsidRPr="0080289D">
        <w:t>, pornographic magazines depicting nude females were left in a restroom, at least one crude conversation regarding oral sex occurred in Amble's presence, and play money depicting Amble's image was left on at least two occasions on a fire station bulletin board. This is sufficiently related to Amble's sex to survive summary judgment.</w:t>
      </w:r>
      <w:r>
        <w:t xml:space="preserve">” </w:t>
      </w:r>
      <w:hyperlink r:id="rId1333" w:history="1">
        <w:r w:rsidRPr="00E96FE1">
          <w:rPr>
            <w:rStyle w:val="Hyperlink"/>
          </w:rPr>
          <w:t>https://public.fastcase.com/Jhe1Qn%2BmJndQYQU6z%2FeNm4EknQ9bna34cDUqwi843otGfsnh4A%2FeYA9Hr6KrteFypi</w:t>
        </w:r>
        <w:r w:rsidRPr="00E96FE1">
          <w:rPr>
            <w:rStyle w:val="Hyperlink"/>
          </w:rPr>
          <w:lastRenderedPageBreak/>
          <w:t>4%2BJsSKfbktA3m%2FwjVXVmU7hL2EQjK1ikmyt15wjVE%3D?utm_medium=email&amp;_hsenc=p2ANqtz--0s-Gqa1uWmBF4bwmJiG-zFePE1DiZBvElWG9MDL4AExGpxO5pGHEbiE5NOgiOIpfGRDMDibK3WS6s5HJa2qaBlry6oQ&amp;_hsmi=226712652&amp;utm_content=226712652&amp;utm_source=hs_email</w:t>
        </w:r>
      </w:hyperlink>
      <w:r>
        <w:t xml:space="preserve"> </w:t>
      </w:r>
    </w:p>
    <w:p w14:paraId="76307F5B" w14:textId="77777777" w:rsidR="00BC4C9B" w:rsidRDefault="00BC4C9B" w:rsidP="00BC4C9B">
      <w:pPr>
        <w:pStyle w:val="NoSpacing"/>
      </w:pPr>
    </w:p>
    <w:p w14:paraId="3D92B2EE" w14:textId="77777777" w:rsidR="00BC4C9B" w:rsidRDefault="00BC4C9B" w:rsidP="00BC4C9B">
      <w:pPr>
        <w:pStyle w:val="NoSpacing"/>
        <w:rPr>
          <w:bCs/>
        </w:rPr>
      </w:pPr>
    </w:p>
    <w:p w14:paraId="3FE72B74" w14:textId="77777777" w:rsidR="00BC4C9B" w:rsidRDefault="00BC4C9B" w:rsidP="00BC4C9B">
      <w:pPr>
        <w:pStyle w:val="NoSpacing"/>
        <w:rPr>
          <w:b/>
        </w:rPr>
      </w:pPr>
      <w:r w:rsidRPr="00613EDA">
        <w:rPr>
          <w:b/>
        </w:rPr>
        <w:t>FACTS:</w:t>
      </w:r>
    </w:p>
    <w:p w14:paraId="227AD690" w14:textId="77777777" w:rsidR="00BC4C9B" w:rsidRDefault="00BC4C9B" w:rsidP="00BC4C9B">
      <w:pPr>
        <w:pStyle w:val="NoSpacing"/>
        <w:rPr>
          <w:b/>
        </w:rPr>
      </w:pPr>
    </w:p>
    <w:p w14:paraId="5D86087C" w14:textId="77777777" w:rsidR="00BC4C9B" w:rsidRDefault="00BC4C9B" w:rsidP="00BC4C9B">
      <w:pPr>
        <w:pStyle w:val="NoSpacing"/>
      </w:pPr>
      <w:r>
        <w:t>“</w:t>
      </w:r>
      <w:r w:rsidRPr="00EB4692">
        <w:t>Amble was hired by RFD on March 29, 2004</w:t>
      </w:r>
      <w:r>
        <w:t xml:space="preserve">. </w:t>
      </w:r>
      <w:r w:rsidRPr="00EB4692">
        <w:t xml:space="preserve">Other than a short stint of employment with the Madison, Wisconsin Fire Department in 2006-2007, Amble remained employed by RFD until her resignation in May 2019. </w:t>
      </w:r>
    </w:p>
    <w:p w14:paraId="7A006365" w14:textId="77777777" w:rsidR="00BC4C9B" w:rsidRDefault="00BC4C9B" w:rsidP="00BC4C9B">
      <w:pPr>
        <w:pStyle w:val="NoSpacing"/>
      </w:pPr>
    </w:p>
    <w:p w14:paraId="7BF21E89" w14:textId="77777777" w:rsidR="00BC4C9B" w:rsidRDefault="00BC4C9B" w:rsidP="00BC4C9B">
      <w:pPr>
        <w:pStyle w:val="NoSpacing"/>
      </w:pPr>
      <w:r>
        <w:t>***</w:t>
      </w:r>
    </w:p>
    <w:p w14:paraId="128A6FEC" w14:textId="77777777" w:rsidR="00BC4C9B" w:rsidRDefault="00BC4C9B" w:rsidP="00BC4C9B">
      <w:pPr>
        <w:pStyle w:val="NoSpacing"/>
      </w:pPr>
      <w:r w:rsidRPr="00A51A98">
        <w:t>Notwithstanding the denied station transfer in 2011, Amble was transferred to Fire Station #4 in January 2019</w:t>
      </w:r>
      <w:r>
        <w:t xml:space="preserve">…. </w:t>
      </w:r>
      <w:r w:rsidRPr="00A51A98">
        <w:t xml:space="preserve">While at Fire Station #4, Amble was present or subject to at least one conversation of a sexual nature, including two male firefighters crudely conversing in Amble's presence, questioning how vegans would </w:t>
      </w:r>
      <w:r>
        <w:t>‘</w:t>
      </w:r>
      <w:r w:rsidRPr="00A51A98">
        <w:t>suck dick,</w:t>
      </w:r>
      <w:r>
        <w:t>’</w:t>
      </w:r>
      <w:r w:rsidRPr="00A51A98">
        <w:t xml:space="preserve"> with one of them also stating that he would </w:t>
      </w:r>
      <w:r>
        <w:t>‘</w:t>
      </w:r>
      <w:r w:rsidRPr="00A51A98">
        <w:t>suck your dick so good.</w:t>
      </w:r>
      <w:r>
        <w:t xml:space="preserve">’ </w:t>
      </w:r>
    </w:p>
    <w:p w14:paraId="63F477D7" w14:textId="77777777" w:rsidR="00BC4C9B" w:rsidRDefault="00BC4C9B" w:rsidP="00BC4C9B">
      <w:pPr>
        <w:pStyle w:val="NoSpacing"/>
      </w:pPr>
    </w:p>
    <w:p w14:paraId="34A65B68" w14:textId="77777777" w:rsidR="00BC4C9B" w:rsidRDefault="00BC4C9B" w:rsidP="00BC4C9B">
      <w:pPr>
        <w:pStyle w:val="NoSpacing"/>
      </w:pPr>
      <w:r>
        <w:t>***</w:t>
      </w:r>
    </w:p>
    <w:p w14:paraId="6D0D78A0" w14:textId="77777777" w:rsidR="00BC4C9B" w:rsidRDefault="00BC4C9B" w:rsidP="00BC4C9B">
      <w:pPr>
        <w:pStyle w:val="NoSpacing"/>
      </w:pPr>
    </w:p>
    <w:p w14:paraId="38D975C8" w14:textId="77777777" w:rsidR="00BC4C9B" w:rsidRDefault="00BC4C9B" w:rsidP="00BC4C9B">
      <w:pPr>
        <w:pStyle w:val="NoSpacing"/>
      </w:pPr>
      <w:r w:rsidRPr="00686CD2">
        <w:t>Next, Amble found pornographic magazines in the restroom of another station</w:t>
      </w:r>
      <w:r>
        <w:t xml:space="preserve">…. </w:t>
      </w:r>
      <w:r w:rsidRPr="00686CD2">
        <w:t xml:space="preserve"> And Amble reported finding play money photoshopped with her image on it- apparently dubbed </w:t>
      </w:r>
      <w:r>
        <w:t>‘</w:t>
      </w:r>
      <w:r w:rsidRPr="00686CD2">
        <w:t>Sheena Bucks</w:t>
      </w:r>
      <w:r>
        <w:t>’</w:t>
      </w:r>
      <w:r w:rsidRPr="00686CD2">
        <w:t>-</w:t>
      </w:r>
      <w:r>
        <w:t xml:space="preserve"> </w:t>
      </w:r>
      <w:r w:rsidRPr="00686CD2">
        <w:t xml:space="preserve">on two separate occasions. Amble was the only female assigned to Fire Station #4. </w:t>
      </w:r>
    </w:p>
    <w:p w14:paraId="0988439D" w14:textId="77777777" w:rsidR="00BC4C9B" w:rsidRDefault="00BC4C9B" w:rsidP="00BC4C9B">
      <w:pPr>
        <w:pStyle w:val="NoSpacing"/>
      </w:pPr>
    </w:p>
    <w:p w14:paraId="4B969C3A" w14:textId="77777777" w:rsidR="00BC4C9B" w:rsidRDefault="00BC4C9B" w:rsidP="00BC4C9B">
      <w:pPr>
        <w:pStyle w:val="NoSpacing"/>
      </w:pPr>
      <w:r>
        <w:t xml:space="preserve">Paragraph 6: </w:t>
      </w:r>
      <w:r w:rsidRPr="001C7B3D">
        <w:t xml:space="preserve">As to this last point, a disputed fact remains </w:t>
      </w:r>
      <w:r w:rsidRPr="001C7B3D">
        <w:rPr>
          <w:i/>
          <w:iCs/>
        </w:rPr>
        <w:t>why</w:t>
      </w:r>
      <w:r w:rsidRPr="001C7B3D">
        <w:t xml:space="preserve"> another RFD employee made and published this image. Amble uses it as evidence of further sexual harassment, describing it as a “humiliating display[]... contributing] to a hostile environment.” </w:t>
      </w:r>
      <w:r>
        <w:t>…</w:t>
      </w:r>
      <w:r w:rsidRPr="001C7B3D">
        <w:t xml:space="preserve">RFD argues that the money was </w:t>
      </w:r>
      <w:proofErr w:type="gramStart"/>
      <w:r w:rsidRPr="001C7B3D">
        <w:t>actually posted</w:t>
      </w:r>
      <w:proofErr w:type="gramEnd"/>
      <w:r w:rsidRPr="001C7B3D">
        <w:t xml:space="preserve"> in response to Amble's reputation for paying other RFD employees to take shifts for her</w:t>
      </w:r>
      <w:r>
        <w:t xml:space="preserve">…. </w:t>
      </w:r>
      <w:r w:rsidRPr="001C7B3D">
        <w:t xml:space="preserve"> To the extent RFD uses an unproduced document detailing time trades that was sprung on Amble mid-deposition, Amble's objection is sustained for the purpose of summary judgment. In any event, there being an imbalance in time trades doesn't foreclose the possibility that the play money still constituted sexual harassment. That's a question for a jury.</w:t>
      </w:r>
    </w:p>
    <w:p w14:paraId="6BF42DC4" w14:textId="77777777" w:rsidR="00BC4C9B" w:rsidRPr="00EB4692" w:rsidRDefault="00BC4C9B" w:rsidP="00BC4C9B">
      <w:pPr>
        <w:pStyle w:val="NoSpacing"/>
      </w:pPr>
    </w:p>
    <w:p w14:paraId="118CAA19" w14:textId="77777777" w:rsidR="00BC4C9B" w:rsidRDefault="00BC4C9B" w:rsidP="00BC4C9B">
      <w:pPr>
        <w:pStyle w:val="NoSpacing"/>
      </w:pPr>
      <w:r>
        <w:t>***</w:t>
      </w:r>
    </w:p>
    <w:p w14:paraId="5C663827" w14:textId="77777777" w:rsidR="00BC4C9B" w:rsidRDefault="00BC4C9B" w:rsidP="00BC4C9B">
      <w:pPr>
        <w:pStyle w:val="NoSpacing"/>
      </w:pPr>
      <w:r w:rsidRPr="00875D03">
        <w:t>Amble complained to Captain Willie Brown and Human Resources Director Shaurice Hunter about this conduct and an investigation was conducted</w:t>
      </w:r>
      <w:r>
        <w:t xml:space="preserve">…. </w:t>
      </w:r>
      <w:r w:rsidRPr="00875D03">
        <w:t xml:space="preserve">This wasn't a formal disciplinary investigation, but rather an </w:t>
      </w:r>
      <w:r>
        <w:t>‘</w:t>
      </w:r>
      <w:r w:rsidRPr="00875D03">
        <w:t>informal fact-finding process.</w:t>
      </w:r>
      <w:r>
        <w:t>’ …</w:t>
      </w:r>
      <w:r w:rsidRPr="00875D03">
        <w:t xml:space="preserve"> Hunter found violations of rules and regulations but recommended only additional training be provided in sexual harassment, diversity, and business etiquette and professionalism</w:t>
      </w:r>
      <w:r>
        <w:t>…</w:t>
      </w:r>
      <w:r>
        <w:rPr>
          <w:vertAlign w:val="superscript"/>
        </w:rPr>
        <w:t xml:space="preserve">. </w:t>
      </w:r>
      <w:r w:rsidRPr="00875D03">
        <w:t xml:space="preserve"> Brown held meetings to try to resolve the conflict, but after these were unsuccessful, Amble insisted on escalating the </w:t>
      </w:r>
      <w:proofErr w:type="gramStart"/>
      <w:r w:rsidRPr="00875D03">
        <w:t>issues</w:t>
      </w:r>
      <w:r>
        <w:t>.”</w:t>
      </w:r>
      <w:proofErr w:type="gramEnd"/>
    </w:p>
    <w:p w14:paraId="58851D6A" w14:textId="77777777" w:rsidR="00BC4C9B" w:rsidRDefault="00BC4C9B" w:rsidP="00BC4C9B">
      <w:pPr>
        <w:pStyle w:val="NoSpacing"/>
      </w:pPr>
    </w:p>
    <w:p w14:paraId="05C63EE8" w14:textId="77777777" w:rsidR="00BC4C9B" w:rsidRPr="00875D03" w:rsidRDefault="00BC4C9B" w:rsidP="00BC4C9B">
      <w:pPr>
        <w:pStyle w:val="NoSpacing"/>
        <w:rPr>
          <w:b/>
          <w:bCs/>
        </w:rPr>
      </w:pPr>
      <w:r w:rsidRPr="00875D03">
        <w:rPr>
          <w:b/>
        </w:rPr>
        <w:t>COURT HELD:</w:t>
      </w:r>
    </w:p>
    <w:p w14:paraId="21680421" w14:textId="77777777" w:rsidR="00BC4C9B" w:rsidRDefault="00BC4C9B" w:rsidP="00BC4C9B">
      <w:pPr>
        <w:pStyle w:val="NoSpacing"/>
      </w:pPr>
    </w:p>
    <w:p w14:paraId="2E732228" w14:textId="77777777" w:rsidR="00BC4C9B" w:rsidRDefault="00BC4C9B" w:rsidP="00BC4C9B">
      <w:pPr>
        <w:pStyle w:val="NoSpacing"/>
      </w:pPr>
      <w:r>
        <w:t>“</w:t>
      </w:r>
      <w:r w:rsidRPr="00613EDA">
        <w:t xml:space="preserve">In a single paragraph, RFD claims that the harassment suffered by Amble was not sexual harassment, in that it was not “based on” her sex. RFD Memorandum [64] at 15. Amble responds by pointing toward the record indicating sexually inappropriate conversations in the workplace and the presence of pornography- specifically </w:t>
      </w:r>
      <w:proofErr w:type="spellStart"/>
      <w:r w:rsidRPr="00613EDA">
        <w:t>PlayBoy</w:t>
      </w:r>
      <w:proofErr w:type="spellEnd"/>
      <w:r w:rsidRPr="00613EDA">
        <w:t xml:space="preserve"> and </w:t>
      </w:r>
      <w:proofErr w:type="spellStart"/>
      <w:r w:rsidRPr="00613EDA">
        <w:t>PentHouse</w:t>
      </w:r>
      <w:proofErr w:type="spellEnd"/>
      <w:r w:rsidRPr="00613EDA">
        <w:t xml:space="preserve"> magazines-in a setting where she was the only female employee. Amble Response Brief [73] at 4-5</w:t>
      </w:r>
      <w:r>
        <w:t xml:space="preserve">…. </w:t>
      </w:r>
      <w:r w:rsidRPr="00FF490D">
        <w:t xml:space="preserve">Looking specifically to the conduct occurring at RFD though, a reasonable jury </w:t>
      </w:r>
      <w:r>
        <w:t xml:space="preserve"> </w:t>
      </w:r>
      <w:r w:rsidRPr="00FF490D">
        <w:t>could find that the harassment was related to Amble's sex sufficient to constitute sexual harassment</w:t>
      </w:r>
      <w:r>
        <w:t>.”</w:t>
      </w:r>
    </w:p>
    <w:p w14:paraId="11F22CE7" w14:textId="77777777" w:rsidR="00BC4C9B" w:rsidRDefault="00BC4C9B" w:rsidP="00BC4C9B">
      <w:pPr>
        <w:pStyle w:val="NoSpacing"/>
      </w:pPr>
    </w:p>
    <w:p w14:paraId="12B161A1" w14:textId="77777777" w:rsidR="00BC4C9B" w:rsidRDefault="00BC4C9B" w:rsidP="00BC4C9B">
      <w:pPr>
        <w:pStyle w:val="NoSpacing"/>
      </w:pPr>
      <w:r>
        <w:rPr>
          <w:b/>
        </w:rPr>
        <w:t xml:space="preserve">Legal lesson learned: Captain tried to informally handle; best to promptly inform Chief and conduct formal investigation. </w:t>
      </w:r>
      <w:r>
        <w:t xml:space="preserve"> </w:t>
      </w:r>
    </w:p>
    <w:p w14:paraId="39FB0A72" w14:textId="77777777" w:rsidR="00BC4C9B" w:rsidRDefault="00BC4C9B" w:rsidP="00BC4C9B">
      <w:pPr>
        <w:pStyle w:val="NoSpacing"/>
      </w:pPr>
    </w:p>
    <w:p w14:paraId="3658B674" w14:textId="77777777" w:rsidR="00BC4C9B" w:rsidRDefault="00BC4C9B" w:rsidP="00C235E8">
      <w:pPr>
        <w:pStyle w:val="NoSpacing"/>
        <w:rPr>
          <w:rFonts w:ascii="Arial Black" w:hAnsi="Arial Black"/>
          <w:sz w:val="28"/>
          <w:szCs w:val="28"/>
        </w:rPr>
      </w:pPr>
    </w:p>
    <w:p w14:paraId="64E0D045" w14:textId="77777777" w:rsidR="00BC4C9B" w:rsidRDefault="00BC4C9B" w:rsidP="00C235E8">
      <w:pPr>
        <w:pStyle w:val="NoSpacing"/>
        <w:rPr>
          <w:rFonts w:ascii="Arial Black" w:hAnsi="Arial Black"/>
          <w:sz w:val="28"/>
          <w:szCs w:val="28"/>
        </w:rPr>
      </w:pPr>
    </w:p>
    <w:p w14:paraId="615A3AC4" w14:textId="045C52CA" w:rsidR="008E1A23" w:rsidRDefault="00174D48" w:rsidP="00C235E8">
      <w:pPr>
        <w:pStyle w:val="NoSpacing"/>
        <w:rPr>
          <w:rFonts w:ascii="Arial Black" w:hAnsi="Arial Black"/>
          <w:sz w:val="28"/>
          <w:szCs w:val="28"/>
        </w:rPr>
      </w:pPr>
      <w:r>
        <w:rPr>
          <w:rFonts w:ascii="Arial Black" w:hAnsi="Arial Black"/>
          <w:sz w:val="28"/>
          <w:szCs w:val="28"/>
        </w:rPr>
        <w:lastRenderedPageBreak/>
        <w:t>7-92</w:t>
      </w:r>
    </w:p>
    <w:p w14:paraId="627D7365" w14:textId="77777777" w:rsidR="008E1A23" w:rsidRPr="00C028F5" w:rsidRDefault="008E1A23" w:rsidP="008E1A23">
      <w:pPr>
        <w:pStyle w:val="NoSpacing"/>
        <w:rPr>
          <w:bCs/>
        </w:rPr>
      </w:pPr>
    </w:p>
    <w:p w14:paraId="01C0C8DB" w14:textId="77777777" w:rsidR="008E1A23" w:rsidRPr="00387B27" w:rsidRDefault="008E1A23" w:rsidP="008E1A23">
      <w:pPr>
        <w:rPr>
          <w:rFonts w:ascii="Arial Black" w:hAnsi="Arial Black"/>
          <w:b/>
          <w:sz w:val="28"/>
          <w:szCs w:val="28"/>
        </w:rPr>
      </w:pPr>
      <w:r>
        <w:rPr>
          <w:rFonts w:ascii="Arial Black" w:hAnsi="Arial Black"/>
          <w:b/>
          <w:sz w:val="28"/>
          <w:szCs w:val="28"/>
        </w:rPr>
        <w:t>MA: FORMER CHIEF – $1.5M – PROTESTED NIECE DISCRIM</w:t>
      </w:r>
    </w:p>
    <w:p w14:paraId="5BE620E5" w14:textId="77777777" w:rsidR="008E1A23" w:rsidRDefault="008E1A23" w:rsidP="008E1A23">
      <w:pPr>
        <w:pStyle w:val="NoSpacing"/>
        <w:rPr>
          <w:bCs/>
        </w:rPr>
      </w:pPr>
      <w:r>
        <w:t xml:space="preserve">On May 15, 2026, in </w:t>
      </w:r>
      <w:r w:rsidRPr="00EC782D">
        <w:rPr>
          <w:u w:val="single"/>
        </w:rPr>
        <w:t>Kevin C. Robinson v. Town of Mansfield</w:t>
      </w:r>
      <w:r>
        <w:t xml:space="preserve">, the </w:t>
      </w:r>
      <w:r w:rsidRPr="00467B0D">
        <w:t>Supreme Judicial Court of Massachusetts, Plymouth</w:t>
      </w:r>
      <w:r>
        <w:t xml:space="preserve"> held (6 to 0) that the jury award of compensatory and punitive damages is affirmed, and the former Fire Chief can also apply for reimbursement of attorney fees for the appeal.  </w:t>
      </w:r>
      <w:r w:rsidRPr="00E31486">
        <w:t>Robinson began working as a</w:t>
      </w:r>
      <w:r>
        <w:t xml:space="preserve"> </w:t>
      </w:r>
      <w:r w:rsidRPr="00E31486">
        <w:t>firefighter for the town in 1978. In 2003, Robinson was</w:t>
      </w:r>
      <w:r>
        <w:t xml:space="preserve"> </w:t>
      </w:r>
      <w:r w:rsidRPr="00E31486">
        <w:t>appointed fire chief by the town's board of selectmen</w:t>
      </w:r>
      <w:r>
        <w:t>. THE COURT WROTE: “</w:t>
      </w:r>
      <w:r w:rsidRPr="00FA570B">
        <w:t>Both Robinson's brother, Shaun, and Robinson's son, Craig,</w:t>
      </w:r>
      <w:r>
        <w:t xml:space="preserve"> </w:t>
      </w:r>
      <w:r w:rsidRPr="00FA570B">
        <w:t>were firefighters in the department and worked under Robinson's</w:t>
      </w:r>
      <w:r>
        <w:t xml:space="preserve"> </w:t>
      </w:r>
      <w:r w:rsidRPr="00FA570B">
        <w:t>supervision for several years.</w:t>
      </w:r>
      <w:r>
        <w:t xml:space="preserve"> </w:t>
      </w:r>
      <w:r w:rsidRPr="00081490">
        <w:t>In February 2013,</w:t>
      </w:r>
      <w:r>
        <w:t xml:space="preserve"> </w:t>
      </w:r>
      <w:r w:rsidRPr="00081490">
        <w:t>the department had two vacancies. The top two candidates on the</w:t>
      </w:r>
      <w:r>
        <w:t xml:space="preserve"> </w:t>
      </w:r>
      <w:r w:rsidRPr="00081490">
        <w:t>civil service examination, both women, were Jodi Corrigan and</w:t>
      </w:r>
      <w:r>
        <w:t xml:space="preserve"> </w:t>
      </w:r>
      <w:r w:rsidRPr="00081490">
        <w:t>Robinson's niece, Shauna, who was a paramedic. Before Shauna</w:t>
      </w:r>
      <w:r>
        <w:t xml:space="preserve"> </w:t>
      </w:r>
      <w:r w:rsidRPr="00081490">
        <w:t>was hired, Robinson met with the board to discuss potential</w:t>
      </w:r>
      <w:r>
        <w:t xml:space="preserve"> </w:t>
      </w:r>
      <w:r w:rsidRPr="00081490">
        <w:t>conflicts of interest in connection with her employment.</w:t>
      </w:r>
      <w:r>
        <w:t xml:space="preserve"> </w:t>
      </w:r>
      <w:r w:rsidRPr="00081490">
        <w:t>Although nieces are not immediate family members under G. L.</w:t>
      </w:r>
      <w:r>
        <w:t xml:space="preserve"> </w:t>
      </w:r>
      <w:r w:rsidRPr="00081490">
        <w:t>c. 268A, Robinson nevertheless submitted the forms disclosing</w:t>
      </w:r>
      <w:r>
        <w:t xml:space="preserve"> </w:t>
      </w:r>
      <w:r w:rsidRPr="00081490">
        <w:t>his financial interest and the appearance of a conflict of</w:t>
      </w:r>
      <w:r>
        <w:t xml:space="preserve"> </w:t>
      </w:r>
      <w:r w:rsidRPr="00081490">
        <w:t>interest, under § 19 (b) and § 23 (b) (3), as he had done when</w:t>
      </w:r>
      <w:r>
        <w:t xml:space="preserve"> </w:t>
      </w:r>
      <w:r w:rsidRPr="00081490">
        <w:t>Shaun and Craig were hired.</w:t>
      </w:r>
      <w:r>
        <w:t xml:space="preserve"> </w:t>
      </w:r>
      <w:r w:rsidRPr="009B2829">
        <w:t>Robinson also recused himself from</w:t>
      </w:r>
      <w:r>
        <w:t xml:space="preserve"> </w:t>
      </w:r>
      <w:r w:rsidRPr="009B2829">
        <w:t>the hiring process.</w:t>
      </w:r>
      <w:r>
        <w:t xml:space="preserve"> </w:t>
      </w:r>
      <w:r w:rsidRPr="00714E6C">
        <w:t>In October 2013, the board approved Shauna's selection and</w:t>
      </w:r>
      <w:r>
        <w:t xml:space="preserve"> </w:t>
      </w:r>
      <w:r w:rsidRPr="00714E6C">
        <w:t>Robinson's disclosure forms but set several conditions with</w:t>
      </w:r>
      <w:r>
        <w:t xml:space="preserve"> </w:t>
      </w:r>
      <w:r w:rsidRPr="00714E6C">
        <w:t>respect to Robinson's involvement in Shauna, Craig, or Shaun's</w:t>
      </w:r>
      <w:r>
        <w:t xml:space="preserve"> </w:t>
      </w:r>
      <w:r w:rsidRPr="00714E6C">
        <w:t>work. Specifically, as to these family members, Robinson was</w:t>
      </w:r>
      <w:r>
        <w:t xml:space="preserve"> </w:t>
      </w:r>
      <w:r w:rsidRPr="00714E6C">
        <w:t>required to recuse himself from decisions relating to</w:t>
      </w:r>
      <w:r>
        <w:t xml:space="preserve"> </w:t>
      </w:r>
      <w:r w:rsidRPr="00714E6C">
        <w:t>appointments or promotions; prohibited from making any</w:t>
      </w:r>
      <w:r>
        <w:t xml:space="preserve"> </w:t>
      </w:r>
      <w:r w:rsidRPr="00714E6C">
        <w:t>discretionary assignments resulting in additional wages or</w:t>
      </w:r>
      <w:r>
        <w:t xml:space="preserve"> </w:t>
      </w:r>
      <w:r w:rsidRPr="00714E6C">
        <w:t>overtime; and required to refer any disciplinary matters to the</w:t>
      </w:r>
      <w:r>
        <w:t xml:space="preserve"> </w:t>
      </w:r>
      <w:r w:rsidRPr="00A33750">
        <w:t>town administrator, Rocco Longo, who would be responsible for</w:t>
      </w:r>
      <w:r>
        <w:t xml:space="preserve"> </w:t>
      </w:r>
      <w:r w:rsidRPr="00A33750">
        <w:t>investigating the matter and making a recommendation to</w:t>
      </w:r>
      <w:r>
        <w:t xml:space="preserve"> </w:t>
      </w:r>
      <w:r w:rsidRPr="00A33750">
        <w:t>Robinson.</w:t>
      </w:r>
      <w:r>
        <w:t xml:space="preserve"> *** </w:t>
      </w:r>
      <w:r w:rsidRPr="00154D65">
        <w:t xml:space="preserve">Robinson </w:t>
      </w:r>
      <w:r>
        <w:t xml:space="preserve"> </w:t>
      </w:r>
      <w:r w:rsidRPr="00154D65">
        <w:t>alleged that the</w:t>
      </w:r>
      <w:r>
        <w:t xml:space="preserve"> </w:t>
      </w:r>
      <w:r w:rsidRPr="00154D65">
        <w:t>town retaliated against him for complaining that his niece</w:t>
      </w:r>
      <w:r>
        <w:t xml:space="preserve"> … </w:t>
      </w:r>
      <w:r w:rsidRPr="00154D65">
        <w:t>was being</w:t>
      </w:r>
      <w:r>
        <w:t xml:space="preserve"> </w:t>
      </w:r>
      <w:r w:rsidRPr="00154D65">
        <w:t>discriminated against because of her gender. After trial, a</w:t>
      </w:r>
      <w:r>
        <w:t xml:space="preserve"> </w:t>
      </w:r>
      <w:r w:rsidRPr="00154D65">
        <w:t>jury found the town liable for retaliation and awarded Robinson</w:t>
      </w:r>
      <w:r>
        <w:t xml:space="preserve"> </w:t>
      </w:r>
      <w:r w:rsidRPr="00154D65">
        <w:t>compensatory and punitive damages</w:t>
      </w:r>
      <w:r>
        <w:t xml:space="preserve">… </w:t>
      </w:r>
      <w:r w:rsidRPr="00663491">
        <w:t>We conclude that there was sufficient evidence for the jury</w:t>
      </w:r>
      <w:r>
        <w:t xml:space="preserve"> </w:t>
      </w:r>
      <w:r w:rsidRPr="00663491">
        <w:t>to find that the town retaliated against Robinson because he</w:t>
      </w:r>
      <w:r>
        <w:t xml:space="preserve"> </w:t>
      </w:r>
      <w:r w:rsidRPr="00663491">
        <w:t xml:space="preserve">complained of gender </w:t>
      </w:r>
      <w:proofErr w:type="gramStart"/>
      <w:r w:rsidRPr="00663491">
        <w:t>discrimination</w:t>
      </w:r>
      <w:r>
        <w:t>.”</w:t>
      </w:r>
      <w:proofErr w:type="gramEnd"/>
      <w:r>
        <w:t xml:space="preserve"> </w:t>
      </w:r>
      <w:hyperlink r:id="rId1334" w:history="1">
        <w:r w:rsidRPr="008966A9">
          <w:rPr>
            <w:rStyle w:val="Hyperlink"/>
          </w:rPr>
          <w:t>https://www.mass.gov/doc/robinson-v-marshfield-sjc-f13825/download</w:t>
        </w:r>
      </w:hyperlink>
      <w:r>
        <w:t xml:space="preserve"> </w:t>
      </w:r>
    </w:p>
    <w:p w14:paraId="2688D8E5" w14:textId="77777777" w:rsidR="008E1A23" w:rsidRDefault="008E1A23" w:rsidP="008E1A23">
      <w:pPr>
        <w:pStyle w:val="NoSpacing"/>
        <w:rPr>
          <w:bCs/>
        </w:rPr>
      </w:pPr>
    </w:p>
    <w:p w14:paraId="6AF5A2A7" w14:textId="77777777" w:rsidR="008E1A23" w:rsidRDefault="008E1A23" w:rsidP="008E1A23">
      <w:pPr>
        <w:pStyle w:val="NoSpacing"/>
        <w:rPr>
          <w:bCs/>
        </w:rPr>
      </w:pPr>
      <w:r>
        <w:t xml:space="preserve">THE COURT HELD: </w:t>
      </w:r>
      <w:r w:rsidRPr="00154D65">
        <w:t xml:space="preserve"> </w:t>
      </w:r>
      <w:r>
        <w:t xml:space="preserve"> </w:t>
      </w:r>
    </w:p>
    <w:p w14:paraId="6C6DDC39" w14:textId="77777777" w:rsidR="008E1A23" w:rsidRDefault="008E1A23" w:rsidP="008E1A23">
      <w:pPr>
        <w:pStyle w:val="NoSpacing"/>
        <w:rPr>
          <w:bCs/>
        </w:rPr>
      </w:pPr>
    </w:p>
    <w:p w14:paraId="4DA664C7" w14:textId="77777777" w:rsidR="008E1A23" w:rsidRDefault="008E1A23" w:rsidP="008E1A23">
      <w:pPr>
        <w:pStyle w:val="NoSpacing"/>
        <w:ind w:left="720"/>
        <w:rPr>
          <w:bCs/>
        </w:rPr>
      </w:pPr>
      <w:r>
        <w:t xml:space="preserve">“In November 2023, the Town authorized the hiring of the Fire Chief’s niece, Shauna, and another female firefighter, Jodi Corrigan.  While Jodi successfully completed her one-year probationary training, by </w:t>
      </w:r>
      <w:r w:rsidRPr="00E144F8">
        <w:t>early January 2014, multiple supervisors had expressed concerns</w:t>
      </w:r>
      <w:r>
        <w:t xml:space="preserve"> </w:t>
      </w:r>
      <w:r w:rsidRPr="00E144F8">
        <w:t>that Shauna was struggling with her training</w:t>
      </w:r>
      <w:r>
        <w:t xml:space="preserve">. </w:t>
      </w:r>
      <w:r w:rsidRPr="00E75635">
        <w:t>Shauna was evaluated by two outside fire chiefs and a paramedic, none of whom recommended that she be fired. However,</w:t>
      </w:r>
      <w:r>
        <w:t xml:space="preserve"> </w:t>
      </w:r>
      <w:r w:rsidRPr="00E75635">
        <w:t>Town Administrator Rocco Longo</w:t>
      </w:r>
      <w:r>
        <w:t xml:space="preserve"> </w:t>
      </w:r>
      <w:r w:rsidRPr="00E75635">
        <w:t xml:space="preserve">recommended that she be fired. </w:t>
      </w:r>
      <w:r>
        <w:t xml:space="preserve">Chief </w:t>
      </w:r>
      <w:r w:rsidRPr="00E75635">
        <w:t>Robinson spoke up for his niece.</w:t>
      </w:r>
      <w:r>
        <w:t xml:space="preserve">  </w:t>
      </w:r>
      <w:r w:rsidRPr="008B6C87">
        <w:t>Shauna ultimately suffered a shoulder</w:t>
      </w:r>
      <w:r>
        <w:t xml:space="preserve"> </w:t>
      </w:r>
      <w:r w:rsidRPr="008B6C87">
        <w:t>injury that prevented her from reporting to the fire academy,</w:t>
      </w:r>
      <w:r>
        <w:t xml:space="preserve"> </w:t>
      </w:r>
      <w:r w:rsidRPr="008B6C87">
        <w:t>and she resigned on April 13, 2014</w:t>
      </w:r>
      <w:r>
        <w:t xml:space="preserve">…. </w:t>
      </w:r>
      <w:r w:rsidRPr="00C8736C">
        <w:t>Corrigan likewise</w:t>
      </w:r>
      <w:r>
        <w:t xml:space="preserve"> </w:t>
      </w:r>
      <w:r w:rsidRPr="00C8736C">
        <w:t>resigned before the end of her first year and accepted</w:t>
      </w:r>
      <w:r>
        <w:t xml:space="preserve"> </w:t>
      </w:r>
      <w:r w:rsidRPr="00455DC7">
        <w:t>employment with a different fire department because morale at</w:t>
      </w:r>
      <w:r>
        <w:t xml:space="preserve"> </w:t>
      </w:r>
      <w:r w:rsidRPr="00455DC7">
        <w:t>the department was low and there was conflict among the union,</w:t>
      </w:r>
      <w:r>
        <w:t xml:space="preserve"> </w:t>
      </w:r>
      <w:r w:rsidRPr="00455DC7">
        <w:t>Robinson, and other employees</w:t>
      </w:r>
      <w:r>
        <w:t xml:space="preserve">.  </w:t>
      </w:r>
      <w:r w:rsidRPr="00A5359B">
        <w:t xml:space="preserve">On March 12, 2015, Robinson </w:t>
      </w:r>
      <w:r>
        <w:t xml:space="preserve">facing termination </w:t>
      </w:r>
      <w:r w:rsidRPr="00A5359B">
        <w:t>resigned.</w:t>
      </w:r>
      <w:r>
        <w:t xml:space="preserve">  The jury awarded him </w:t>
      </w:r>
      <w:r w:rsidRPr="000A5539">
        <w:t>$1,532,652.80. </w:t>
      </w:r>
      <w:r>
        <w:t xml:space="preserve">THE COURT WROTE: </w:t>
      </w:r>
      <w:r w:rsidRPr="00663491">
        <w:t>We conclude that there was sufficient evidence for the jury</w:t>
      </w:r>
      <w:r>
        <w:t xml:space="preserve"> </w:t>
      </w:r>
      <w:r w:rsidRPr="00663491">
        <w:t>to find that the town retaliated against Robinson because he</w:t>
      </w:r>
      <w:r>
        <w:t xml:space="preserve"> </w:t>
      </w:r>
      <w:r w:rsidRPr="00663491">
        <w:t>complained of gender discrimination.</w:t>
      </w:r>
    </w:p>
    <w:p w14:paraId="0374F9B1" w14:textId="77777777" w:rsidR="008E1A23" w:rsidRDefault="008E1A23" w:rsidP="008E1A23">
      <w:pPr>
        <w:pStyle w:val="NoSpacing"/>
        <w:ind w:left="720"/>
        <w:rPr>
          <w:bCs/>
        </w:rPr>
      </w:pPr>
    </w:p>
    <w:p w14:paraId="399BB525" w14:textId="77777777" w:rsidR="008E1A23" w:rsidRDefault="008E1A23" w:rsidP="008E1A23">
      <w:pPr>
        <w:pStyle w:val="NoSpacing"/>
        <w:ind w:left="720"/>
        <w:rPr>
          <w:bCs/>
        </w:rPr>
      </w:pPr>
      <w:r>
        <w:t>***</w:t>
      </w:r>
    </w:p>
    <w:p w14:paraId="25812EF9" w14:textId="77777777" w:rsidR="008E1A23" w:rsidRDefault="008E1A23" w:rsidP="008E1A23">
      <w:pPr>
        <w:ind w:left="720"/>
        <w:rPr>
          <w:bCs/>
        </w:rPr>
      </w:pPr>
      <w:r w:rsidRPr="00CC2969">
        <w:t>Finally, the evidence was also sufficient for the jury to</w:t>
      </w:r>
      <w:r>
        <w:t xml:space="preserve"> </w:t>
      </w:r>
      <w:r w:rsidRPr="00CC2969">
        <w:t>infer causation, that is, that the town retaliated against</w:t>
      </w:r>
      <w:r>
        <w:t xml:space="preserve"> </w:t>
      </w:r>
      <w:r w:rsidRPr="00CC2969">
        <w:t>Robinson because he complained of gender discrimination</w:t>
      </w:r>
      <w:r>
        <w:t xml:space="preserve">…. </w:t>
      </w:r>
      <w:r w:rsidRPr="002E25C3">
        <w:t>When Robinson began to complain about the unfair</w:t>
      </w:r>
      <w:r>
        <w:t xml:space="preserve"> </w:t>
      </w:r>
      <w:r w:rsidRPr="002E25C3">
        <w:t>treatment of Shauna</w:t>
      </w:r>
      <w:r>
        <w:t xml:space="preserve"> [his niece]</w:t>
      </w:r>
      <w:r w:rsidRPr="002E25C3">
        <w:t>, he had been successfully employed in the</w:t>
      </w:r>
      <w:r>
        <w:t xml:space="preserve"> </w:t>
      </w:r>
      <w:r w:rsidRPr="002E25C3">
        <w:t>department for more than three decades and had been the chief</w:t>
      </w:r>
      <w:r>
        <w:t xml:space="preserve"> </w:t>
      </w:r>
      <w:r w:rsidRPr="002E25C3">
        <w:t>for over one decade. After his complaint, a series of</w:t>
      </w:r>
      <w:r>
        <w:t xml:space="preserve"> </w:t>
      </w:r>
      <w:r w:rsidRPr="002E25C3">
        <w:t>interrelated actions occurred in relatively short order in a way</w:t>
      </w:r>
      <w:r>
        <w:t xml:space="preserve"> </w:t>
      </w:r>
      <w:r w:rsidRPr="002E25C3">
        <w:t>that could be reasonably interpreted as retaliatory</w:t>
      </w:r>
      <w:r>
        <w:t xml:space="preserve">…. </w:t>
      </w:r>
      <w:r w:rsidRPr="00E002D3">
        <w:t>Within ten days of Robinson's reporting of Shaun's</w:t>
      </w:r>
      <w:r>
        <w:t xml:space="preserve"> </w:t>
      </w:r>
      <w:r w:rsidRPr="00E002D3">
        <w:t>complaint that she had not been treated the same as similarly</w:t>
      </w:r>
      <w:r>
        <w:t xml:space="preserve"> </w:t>
      </w:r>
      <w:r w:rsidRPr="00E002D3">
        <w:t xml:space="preserve">situated male employees, Longo </w:t>
      </w:r>
      <w:r>
        <w:t>[</w:t>
      </w:r>
      <w:r w:rsidRPr="00A25082">
        <w:t>Town Administrator Rocco</w:t>
      </w:r>
      <w:r>
        <w:t xml:space="preserve">] </w:t>
      </w:r>
      <w:r w:rsidRPr="00E002D3">
        <w:t xml:space="preserve">and Clifford </w:t>
      </w:r>
      <w:r>
        <w:t>[</w:t>
      </w:r>
      <w:r w:rsidRPr="009640D4">
        <w:t>John Clifford</w:t>
      </w:r>
      <w:r>
        <w:t xml:space="preserve">, the </w:t>
      </w:r>
      <w:r w:rsidRPr="00F23D88">
        <w:t>town's labor</w:t>
      </w:r>
      <w:r>
        <w:t xml:space="preserve"> c</w:t>
      </w:r>
      <w:r w:rsidRPr="00F23D88">
        <w:t>ounsel</w:t>
      </w:r>
      <w:r>
        <w:t xml:space="preserve">] </w:t>
      </w:r>
      <w:r w:rsidRPr="00E002D3">
        <w:t>met with Robinson to</w:t>
      </w:r>
      <w:r>
        <w:t xml:space="preserve"> </w:t>
      </w:r>
      <w:r w:rsidRPr="00E002D3">
        <w:t>discuss a possible conflict of interest in violation of G. L.</w:t>
      </w:r>
      <w:r>
        <w:t xml:space="preserve"> </w:t>
      </w:r>
      <w:r w:rsidRPr="00E002D3">
        <w:t>c. 268A. Approximately three months after Robinson complained</w:t>
      </w:r>
      <w:r>
        <w:t xml:space="preserve"> </w:t>
      </w:r>
      <w:r w:rsidRPr="00E002D3">
        <w:t>to the board that Shauna was being treated unfairly, the board</w:t>
      </w:r>
      <w:r>
        <w:t xml:space="preserve"> </w:t>
      </w:r>
      <w:r w:rsidRPr="00E002D3">
        <w:t>voted not to renew his employment contract and not to increase</w:t>
      </w:r>
      <w:r>
        <w:t xml:space="preserve"> </w:t>
      </w:r>
      <w:r w:rsidRPr="00E002D3">
        <w:t>his salary. Then, almost two months after he refused to retire,</w:t>
      </w:r>
      <w:r>
        <w:t xml:space="preserve"> </w:t>
      </w:r>
      <w:r w:rsidRPr="00E002D3">
        <w:t xml:space="preserve">the </w:t>
      </w:r>
      <w:r w:rsidRPr="00E002D3">
        <w:lastRenderedPageBreak/>
        <w:t>Smith investigation began. Finally, about one month after</w:t>
      </w:r>
      <w:r>
        <w:t xml:space="preserve"> </w:t>
      </w:r>
      <w:r w:rsidRPr="00E002D3">
        <w:t>Galvin notified Smith</w:t>
      </w:r>
      <w:r>
        <w:t xml:space="preserve"> [outside legal counsel conducting Town’s investigation] </w:t>
      </w:r>
      <w:r w:rsidRPr="00E002D3">
        <w:t>about Robinson's apparent assistance in</w:t>
      </w:r>
      <w:r>
        <w:t xml:space="preserve"> </w:t>
      </w:r>
      <w:r w:rsidRPr="00E002D3">
        <w:t xml:space="preserve">Shauna's MCAD </w:t>
      </w:r>
      <w:r>
        <w:t>[</w:t>
      </w:r>
      <w:r w:rsidRPr="006A6DBE">
        <w:t>Massachusetts Commission Against Discrimination</w:t>
      </w:r>
      <w:r>
        <w:t xml:space="preserve">] </w:t>
      </w:r>
      <w:r w:rsidRPr="00E002D3">
        <w:t>complaint, Robinson was escorted from the</w:t>
      </w:r>
      <w:r>
        <w:t xml:space="preserve"> </w:t>
      </w:r>
      <w:r w:rsidRPr="00F065E1">
        <w:t>influence offenses. The timing of these events, demonstrating</w:t>
      </w:r>
      <w:r>
        <w:t xml:space="preserve"> </w:t>
      </w:r>
      <w:r w:rsidRPr="00F065E1">
        <w:t>temporal connections between complaints of discrimination and</w:t>
      </w:r>
      <w:r>
        <w:t xml:space="preserve"> </w:t>
      </w:r>
      <w:r w:rsidRPr="00F065E1">
        <w:t>the town's reaction, is sufficient evidence to support the</w:t>
      </w:r>
      <w:r>
        <w:t xml:space="preserve"> </w:t>
      </w:r>
      <w:r w:rsidRPr="00F065E1">
        <w:t>jury's determination that the town retaliated against Robinson</w:t>
      </w:r>
      <w:r>
        <w:t xml:space="preserve"> </w:t>
      </w:r>
      <w:r w:rsidRPr="00F065E1">
        <w:t>because of his protected activity.</w:t>
      </w:r>
      <w:r>
        <w:t>”</w:t>
      </w:r>
    </w:p>
    <w:p w14:paraId="67F3DAD3" w14:textId="77777777" w:rsidR="008E1A23" w:rsidRDefault="008E1A23" w:rsidP="008E1A23">
      <w:pPr>
        <w:rPr>
          <w:b/>
        </w:rPr>
      </w:pPr>
      <w:r>
        <w:rPr>
          <w:b/>
        </w:rPr>
        <w:t xml:space="preserve">Legal lesson learned:  A Fire Chief was required to recuse himself from discipline concerning his brother, his son and his niece; but had legal right to express concern to Town about gender discrimination to wars his niece. </w:t>
      </w:r>
    </w:p>
    <w:p w14:paraId="111EBEBA" w14:textId="77777777" w:rsidR="008E1A23" w:rsidRDefault="008E1A23" w:rsidP="008E1A23">
      <w:pPr>
        <w:ind w:left="720"/>
        <w:rPr>
          <w:bCs/>
        </w:rPr>
      </w:pPr>
      <w:r>
        <w:t>Note: The niece may have had some training issues.</w:t>
      </w:r>
    </w:p>
    <w:p w14:paraId="63879287" w14:textId="77777777" w:rsidR="008E1A23" w:rsidRDefault="008E1A23" w:rsidP="008E1A23">
      <w:pPr>
        <w:ind w:left="720"/>
        <w:rPr>
          <w:bCs/>
        </w:rPr>
      </w:pPr>
      <w:r>
        <w:t xml:space="preserve">Footnote 4: </w:t>
      </w:r>
    </w:p>
    <w:p w14:paraId="630D1E48" w14:textId="77777777" w:rsidR="008E1A23" w:rsidRDefault="008E1A23" w:rsidP="008E1A23">
      <w:pPr>
        <w:ind w:left="720"/>
        <w:rPr>
          <w:bCs/>
        </w:rPr>
      </w:pPr>
      <w:r>
        <w:t>“</w:t>
      </w:r>
      <w:r w:rsidRPr="00D82CF8">
        <w:t xml:space="preserve">For example, Cipullo </w:t>
      </w:r>
      <w:r>
        <w:t>[</w:t>
      </w:r>
      <w:r w:rsidRPr="00AB76E2">
        <w:t>Captain Louis</w:t>
      </w:r>
      <w:r>
        <w:t xml:space="preserve">] </w:t>
      </w:r>
      <w:r w:rsidRPr="00D82CF8">
        <w:t xml:space="preserve">was concerned that Shauna was too short for the job and that she </w:t>
      </w:r>
      <w:proofErr w:type="gramStart"/>
      <w:r w:rsidRPr="00D82CF8">
        <w:t>was not able to</w:t>
      </w:r>
      <w:proofErr w:type="gramEnd"/>
      <w:r w:rsidRPr="00D82CF8">
        <w:t xml:space="preserve"> reach the trucks’ side ladders, physically throw ground ladders, or raise a twenty-four-foot ladder. Morgan expressed concerns about Shauna's decision-making during emergency calls and indicated on most of her evaluation forms that Shauna needed retraining and her performance fell below expectations. The firefighters union president, Matthew Cohen, observed that Shauna was unable to complete </w:t>
      </w:r>
      <w:r>
        <w:t>‘</w:t>
      </w:r>
      <w:r w:rsidRPr="00D82CF8">
        <w:t>the stair chair of a patient down a few steps</w:t>
      </w:r>
      <w:r>
        <w:t>’</w:t>
      </w:r>
      <w:r w:rsidRPr="00D82CF8">
        <w:t xml:space="preserve"> or interpret </w:t>
      </w:r>
      <w:r>
        <w:t>‘</w:t>
      </w:r>
      <w:r w:rsidRPr="00D82CF8">
        <w:t>a 12-lead [electrocardiogram]</w:t>
      </w:r>
      <w:r>
        <w:t>’</w:t>
      </w:r>
      <w:r w:rsidRPr="00D82CF8">
        <w:t>; she failed to report a gastrointestinal bleed to hospital staff; and she did not know that all patients who accidentally received epinephrine injections had to be transported to the hospital. On January 1, 2014, two months into her one-year probationary period, Cipullo told Shauna that she was running out of time to improve her skills.</w:t>
      </w:r>
      <w:r>
        <w:t xml:space="preserve">” </w:t>
      </w:r>
    </w:p>
    <w:p w14:paraId="094F96D0" w14:textId="77777777" w:rsidR="008E1A23" w:rsidRDefault="008E1A23" w:rsidP="008E1A23">
      <w:pPr>
        <w:ind w:left="720"/>
      </w:pPr>
      <w:r>
        <w:t>See this article: “</w:t>
      </w:r>
      <w:r w:rsidRPr="00707FE8">
        <w:t>Former Marshfield fire chief won more than $1.5 million in retaliation lawsuit against town.</w:t>
      </w:r>
      <w:r>
        <w:t xml:space="preserve">” </w:t>
      </w:r>
      <w:r>
        <w:rPr>
          <w:b/>
        </w:rPr>
        <w:t xml:space="preserve"> </w:t>
      </w:r>
      <w:r w:rsidRPr="0072612F">
        <w:t>Kevin Robinson, chief of the fire department from 2003, was allegedly forced to retire from the department in 2015 when he spoke up for a female family member in the department facing discrimination.</w:t>
      </w:r>
      <w:r>
        <w:t xml:space="preserve"> </w:t>
      </w:r>
      <w:hyperlink r:id="rId1335" w:history="1">
        <w:r w:rsidRPr="006B0B97">
          <w:rPr>
            <w:rStyle w:val="Hyperlink"/>
          </w:rPr>
          <w:t>https://www.boston.com/news/local-news/2024/05/15/former-marshfield-fire-chief-won-more-than-1-5-million-in-retaliation-lawsuit-against-town/</w:t>
        </w:r>
      </w:hyperlink>
    </w:p>
    <w:p w14:paraId="4D595731" w14:textId="77777777" w:rsidR="008E1A23" w:rsidRDefault="008E1A23" w:rsidP="008E1A23">
      <w:pPr>
        <w:pStyle w:val="NoSpacing"/>
        <w:rPr>
          <w:bCs/>
        </w:rPr>
      </w:pPr>
    </w:p>
    <w:p w14:paraId="7772E464" w14:textId="77777777" w:rsidR="008E1A23" w:rsidRDefault="008E1A23" w:rsidP="008E1A23">
      <w:pPr>
        <w:pStyle w:val="NoSpacing"/>
        <w:rPr>
          <w:bCs/>
        </w:rPr>
      </w:pPr>
    </w:p>
    <w:p w14:paraId="0DB0B842" w14:textId="77777777" w:rsidR="008E1A23" w:rsidRDefault="008E1A23" w:rsidP="008E1A23">
      <w:pPr>
        <w:pStyle w:val="NoSpacing"/>
        <w:rPr>
          <w:bCs/>
        </w:rPr>
      </w:pPr>
    </w:p>
    <w:p w14:paraId="4BF98AF3" w14:textId="3A115AE1" w:rsidR="008E1A23" w:rsidRPr="00174D48" w:rsidRDefault="00174D48" w:rsidP="008E1A23">
      <w:pPr>
        <w:pStyle w:val="NoSpacing"/>
        <w:rPr>
          <w:rFonts w:ascii="Arial Black" w:hAnsi="Arial Black"/>
          <w:bCs/>
          <w:sz w:val="24"/>
          <w:szCs w:val="24"/>
        </w:rPr>
      </w:pPr>
      <w:r w:rsidRPr="00174D48">
        <w:rPr>
          <w:rFonts w:ascii="Arial Black" w:hAnsi="Arial Black"/>
          <w:bCs/>
          <w:sz w:val="24"/>
          <w:szCs w:val="24"/>
        </w:rPr>
        <w:t>7-91</w:t>
      </w:r>
    </w:p>
    <w:p w14:paraId="72CA893E" w14:textId="77777777" w:rsidR="00174D48" w:rsidRPr="006C3CFB" w:rsidRDefault="00174D48" w:rsidP="008E1A23">
      <w:pPr>
        <w:pStyle w:val="NoSpacing"/>
        <w:rPr>
          <w:bCs/>
        </w:rPr>
      </w:pPr>
    </w:p>
    <w:p w14:paraId="3F547673" w14:textId="77777777" w:rsidR="008E1A23" w:rsidRDefault="008E1A23" w:rsidP="008E1A23">
      <w:pPr>
        <w:pStyle w:val="NoSpacing"/>
        <w:rPr>
          <w:rFonts w:ascii="Arial Black" w:hAnsi="Arial Black"/>
          <w:sz w:val="28"/>
          <w:szCs w:val="28"/>
        </w:rPr>
      </w:pPr>
      <w:r>
        <w:rPr>
          <w:rFonts w:ascii="Arial Black" w:hAnsi="Arial Black"/>
          <w:sz w:val="28"/>
          <w:szCs w:val="28"/>
        </w:rPr>
        <w:t>VA: FEMALE BC – OUTSIDE FIRM INTERVIEWS - FIRE CHIEF</w:t>
      </w:r>
    </w:p>
    <w:p w14:paraId="26510261" w14:textId="77777777" w:rsidR="008E1A23" w:rsidRDefault="008E1A23" w:rsidP="008E1A23">
      <w:pPr>
        <w:pStyle w:val="NoSpacing"/>
        <w:rPr>
          <w:rFonts w:ascii="Arial Black" w:hAnsi="Arial Black"/>
          <w:sz w:val="28"/>
          <w:szCs w:val="28"/>
        </w:rPr>
      </w:pPr>
    </w:p>
    <w:p w14:paraId="0CD50C99" w14:textId="77777777" w:rsidR="008E1A23" w:rsidRPr="008E7970" w:rsidRDefault="008E1A23" w:rsidP="008E1A23">
      <w:pPr>
        <w:pStyle w:val="NoSpacing"/>
      </w:pPr>
      <w:r>
        <w:t xml:space="preserve">On May 14, 2026, in </w:t>
      </w:r>
      <w:r w:rsidRPr="006C7B0D">
        <w:rPr>
          <w:u w:val="single"/>
        </w:rPr>
        <w:t>Kathleen Stanley McCaffery v. Fairfax County</w:t>
      </w:r>
      <w:r>
        <w:t xml:space="preserve">, U.S. District Court Judge Rossie D. Alston, Jr., </w:t>
      </w:r>
      <w:r w:rsidRPr="00C93EE3">
        <w:t>United States District Court, E</w:t>
      </w:r>
      <w:r>
        <w:t xml:space="preserve">astern District of </w:t>
      </w:r>
      <w:r w:rsidRPr="00C93EE3">
        <w:t>Virginia</w:t>
      </w:r>
      <w:r>
        <w:t xml:space="preserve">, Alexandia Division, held that the Battalion Chief </w:t>
      </w:r>
      <w:r w:rsidRPr="008E7970">
        <w:t>failed to meet her burden as to pretext, and summary judgment will be granted to Defendant on her denial of promotion claims.</w:t>
      </w:r>
      <w:r>
        <w:t xml:space="preserve">  O</w:t>
      </w:r>
      <w:r w:rsidRPr="00181FCF">
        <w:t xml:space="preserve">n June 20, 2018, Plaintiff was interviewed by William Howland from </w:t>
      </w:r>
      <w:proofErr w:type="spellStart"/>
      <w:r w:rsidRPr="00181FCF">
        <w:t>PoliHire</w:t>
      </w:r>
      <w:proofErr w:type="spellEnd"/>
      <w:r w:rsidRPr="00181FCF">
        <w:t>, LLC, a third-party executive recruitment firm that was retained by the County to lead the recruitment and selection process for the Fire Chief vacancy</w:t>
      </w:r>
      <w:r>
        <w:t xml:space="preserve">; she was not selected as one of the three </w:t>
      </w:r>
      <w:proofErr w:type="gramStart"/>
      <w:r>
        <w:t>finalist</w:t>
      </w:r>
      <w:proofErr w:type="gramEnd"/>
      <w:r>
        <w:t>. THE COURT WROTE:</w:t>
      </w:r>
    </w:p>
    <w:p w14:paraId="6450F663" w14:textId="77777777" w:rsidR="008E1A23" w:rsidRDefault="008E1A23" w:rsidP="008E1A23">
      <w:pPr>
        <w:pStyle w:val="NoSpacing"/>
      </w:pPr>
      <w:r>
        <w:t>“</w:t>
      </w:r>
      <w:r w:rsidRPr="00714A3B">
        <w:t>Here, Plaintiff has presented no evidence, beyond her own conclusory opinion, that she was more qualified than Butler</w:t>
      </w:r>
      <w:r>
        <w:t xml:space="preserve"> [</w:t>
      </w:r>
      <w:r w:rsidRPr="009E1E48">
        <w:t>John Butler</w:t>
      </w:r>
      <w:r>
        <w:t xml:space="preserve">, </w:t>
      </w:r>
      <w:r w:rsidRPr="009E1E48">
        <w:t>Fire Chief, Howard County, Maryland, Fire and Rescue Department</w:t>
      </w:r>
      <w:r>
        <w:t xml:space="preserve">]…. </w:t>
      </w:r>
      <w:r w:rsidRPr="00714A3B">
        <w:t xml:space="preserve"> Additionally, even considering Plaintiff's inability to compete theory, based on the record before the Court, any inference of sex discrimination is undermined by: (</w:t>
      </w:r>
      <w:proofErr w:type="spellStart"/>
      <w:r w:rsidRPr="00714A3B">
        <w:t>i</w:t>
      </w:r>
      <w:proofErr w:type="spellEnd"/>
      <w:r w:rsidRPr="00714A3B">
        <w:t>) the fact that Plaintiff fails to allege any sex-based bias on behalf of the third-party selection firm; and (ii) the fact that the third-party selection firm did refer Merrell</w:t>
      </w:r>
      <w:r>
        <w:t xml:space="preserve"> [</w:t>
      </w:r>
      <w:r w:rsidRPr="009E1E48">
        <w:t>Moore Merrell</w:t>
      </w:r>
      <w:r>
        <w:t xml:space="preserve">, </w:t>
      </w:r>
      <w:r w:rsidRPr="009E1E48">
        <w:t>Senior Executive, IAFF</w:t>
      </w:r>
      <w:r>
        <w:t>]</w:t>
      </w:r>
      <w:r w:rsidRPr="00714A3B">
        <w:t>—a woman—for an interview.</w:t>
      </w:r>
      <w:r>
        <w:t xml:space="preserve">” </w:t>
      </w:r>
      <w:r w:rsidRPr="00714A3B">
        <w:t xml:space="preserve"> </w:t>
      </w:r>
      <w:hyperlink r:id="rId1336" w:history="1">
        <w:r w:rsidRPr="003823BB">
          <w:rPr>
            <w:rStyle w:val="Hyperlink"/>
          </w:rPr>
          <w:t>https://www.casemine.com/judgement/us/6a0be85df21cf013d419bfe6</w:t>
        </w:r>
      </w:hyperlink>
      <w:r>
        <w:t xml:space="preserve"> </w:t>
      </w:r>
    </w:p>
    <w:p w14:paraId="110925A2" w14:textId="77777777" w:rsidR="008E1A23" w:rsidRDefault="008E1A23" w:rsidP="008E1A23">
      <w:pPr>
        <w:pStyle w:val="NoSpacing"/>
      </w:pPr>
    </w:p>
    <w:p w14:paraId="26F58062" w14:textId="77777777" w:rsidR="008E1A23" w:rsidRDefault="008E1A23" w:rsidP="008E1A23">
      <w:pPr>
        <w:pStyle w:val="NoSpacing"/>
      </w:pPr>
    </w:p>
    <w:p w14:paraId="334B02D9" w14:textId="77777777" w:rsidR="008E1A23" w:rsidRDefault="008E1A23" w:rsidP="008E1A23">
      <w:pPr>
        <w:pStyle w:val="NoSpacing"/>
      </w:pPr>
      <w:r>
        <w:t>THE COURT HELD:</w:t>
      </w:r>
    </w:p>
    <w:p w14:paraId="5FB9111A" w14:textId="77777777" w:rsidR="008E1A23" w:rsidRDefault="008E1A23" w:rsidP="008E1A23">
      <w:pPr>
        <w:pStyle w:val="NoSpacing"/>
      </w:pPr>
    </w:p>
    <w:p w14:paraId="59D1FD38" w14:textId="77777777" w:rsidR="008E1A23" w:rsidRPr="00D41E9D" w:rsidRDefault="008E1A23" w:rsidP="008E1A23">
      <w:pPr>
        <w:pStyle w:val="NoSpacing"/>
        <w:ind w:firstLine="720"/>
      </w:pPr>
      <w:r>
        <w:t>“</w:t>
      </w:r>
      <w:r w:rsidRPr="00D41E9D">
        <w:t>The undisputed facts are as follows:</w:t>
      </w:r>
    </w:p>
    <w:p w14:paraId="67EC20F6" w14:textId="77777777" w:rsidR="008E1A23" w:rsidRDefault="008E1A23" w:rsidP="008E1A23">
      <w:pPr>
        <w:pStyle w:val="NoSpacing"/>
        <w:ind w:firstLine="720"/>
      </w:pPr>
    </w:p>
    <w:p w14:paraId="68B9727A" w14:textId="77777777" w:rsidR="008E1A23" w:rsidRDefault="008E1A23" w:rsidP="008E1A23">
      <w:pPr>
        <w:pStyle w:val="NoSpacing"/>
        <w:numPr>
          <w:ilvl w:val="0"/>
          <w:numId w:val="43"/>
        </w:numPr>
      </w:pPr>
      <w:r w:rsidRPr="00D41E9D">
        <w:t>Plaintiff was hired by the Fairfax County Fire and Rescue Department ("FRD") in January 1995 and promoted through the ranks throughout her career. Ultimately, Plaintiff was promoted to Battalion Chief in June 2011.</w:t>
      </w:r>
    </w:p>
    <w:p w14:paraId="2D69AEDA" w14:textId="77777777" w:rsidR="008E1A23" w:rsidRDefault="008E1A23" w:rsidP="008E1A23">
      <w:pPr>
        <w:pStyle w:val="NoSpacing"/>
      </w:pPr>
    </w:p>
    <w:p w14:paraId="4A65B6B0" w14:textId="77777777" w:rsidR="008E1A23" w:rsidRPr="00D41E9D" w:rsidRDefault="008E1A23" w:rsidP="008E1A23">
      <w:pPr>
        <w:pStyle w:val="NoSpacing"/>
        <w:ind w:left="720"/>
      </w:pPr>
      <w:r>
        <w:t>***</w:t>
      </w:r>
    </w:p>
    <w:p w14:paraId="3B1E6171" w14:textId="77777777" w:rsidR="008E1A23" w:rsidRDefault="008E1A23" w:rsidP="008E1A23">
      <w:pPr>
        <w:pStyle w:val="NoSpacing"/>
      </w:pPr>
    </w:p>
    <w:p w14:paraId="178D0E49" w14:textId="77777777" w:rsidR="008E1A23" w:rsidRDefault="008E1A23" w:rsidP="008E1A23">
      <w:pPr>
        <w:pStyle w:val="NoSpacing"/>
        <w:ind w:left="720"/>
      </w:pPr>
      <w:r w:rsidRPr="009E1E48">
        <w:t xml:space="preserve">106. </w:t>
      </w:r>
      <w:proofErr w:type="spellStart"/>
      <w:r w:rsidRPr="009E1E48">
        <w:t>PoliHire</w:t>
      </w:r>
      <w:proofErr w:type="spellEnd"/>
      <w:r w:rsidRPr="009E1E48">
        <w:t xml:space="preserve"> independently reviewed and interviewed numerous applicants for the FRD Fire Chief position. Of the applicants initially reviewed and interviewed, Derek Baker (Division Chief of Training and Interim Training and Operations Chief, Virginia Department of Fire Programs); John Butler (Fire Chief, Howard County, Maryland, Fire and Rescue Department); Manuel Fonseca (Assistant Chief (ret.), Nashville, Tennessee, Fire and Rescue Department); Lori Moore Merrell (Senior Executive, IAFF); and Charles Ryan (Assistant Chief, FRD) were selected and referred by </w:t>
      </w:r>
      <w:proofErr w:type="spellStart"/>
      <w:r w:rsidRPr="009E1E48">
        <w:t>PoliHire</w:t>
      </w:r>
      <w:proofErr w:type="spellEnd"/>
      <w:r w:rsidRPr="009E1E48">
        <w:t xml:space="preserve"> to advance to a panel interview for further consideration.</w:t>
      </w:r>
    </w:p>
    <w:p w14:paraId="1969BF05" w14:textId="77777777" w:rsidR="008E1A23" w:rsidRDefault="008E1A23" w:rsidP="008E1A23">
      <w:pPr>
        <w:pStyle w:val="NoSpacing"/>
        <w:ind w:left="720"/>
      </w:pPr>
    </w:p>
    <w:p w14:paraId="08D1D4A6" w14:textId="77777777" w:rsidR="008E1A23" w:rsidRDefault="008E1A23" w:rsidP="008E1A23">
      <w:pPr>
        <w:pStyle w:val="NoSpacing"/>
        <w:ind w:left="720"/>
      </w:pPr>
      <w:r>
        <w:t>***</w:t>
      </w:r>
    </w:p>
    <w:p w14:paraId="74D78FC3" w14:textId="77777777" w:rsidR="008E1A23" w:rsidRPr="009E1E48" w:rsidRDefault="008E1A23" w:rsidP="008E1A23">
      <w:pPr>
        <w:pStyle w:val="NoSpacing"/>
        <w:ind w:left="720"/>
      </w:pPr>
    </w:p>
    <w:p w14:paraId="0CB3132B" w14:textId="77777777" w:rsidR="008E1A23" w:rsidRDefault="008E1A23" w:rsidP="008E1A23">
      <w:pPr>
        <w:pStyle w:val="NoSpacing"/>
        <w:ind w:left="720"/>
      </w:pPr>
      <w:r w:rsidRPr="00A7465B">
        <w:t>108. Of the applicants who advanced to a panel interview, Butler, Merrell, and Ryan were selected and referred by the panel to advance to a final interview with Hill and the Fairfax County Board of Supervisors (the "Board").</w:t>
      </w:r>
    </w:p>
    <w:p w14:paraId="4CF31EAE" w14:textId="77777777" w:rsidR="008E1A23" w:rsidRDefault="008E1A23" w:rsidP="008E1A23">
      <w:pPr>
        <w:pStyle w:val="NoSpacing"/>
        <w:ind w:left="720"/>
      </w:pPr>
    </w:p>
    <w:p w14:paraId="25ECCCAF" w14:textId="77777777" w:rsidR="008E1A23" w:rsidRDefault="008E1A23" w:rsidP="008E1A23">
      <w:pPr>
        <w:pStyle w:val="NoSpacing"/>
        <w:ind w:left="720"/>
      </w:pPr>
      <w:r w:rsidRPr="00A7465B">
        <w:t>109. On July 10, 2018, the Board appointed Butler to serve as the Fire Chief, effective September 1, 2018.</w:t>
      </w:r>
    </w:p>
    <w:p w14:paraId="08751664" w14:textId="77777777" w:rsidR="008E1A23" w:rsidRDefault="008E1A23" w:rsidP="008E1A23">
      <w:pPr>
        <w:pStyle w:val="NoSpacing"/>
      </w:pPr>
    </w:p>
    <w:p w14:paraId="0EE8B261" w14:textId="77777777" w:rsidR="008E1A23" w:rsidRDefault="008E1A23" w:rsidP="008E1A23">
      <w:pPr>
        <w:pStyle w:val="NoSpacing"/>
        <w:ind w:firstLine="720"/>
        <w:rPr>
          <w:vertAlign w:val="superscript"/>
        </w:rPr>
      </w:pPr>
      <w:r w:rsidRPr="00E8660A">
        <w:t xml:space="preserve">110. Plaintiff does not contend that she was more qualified than </w:t>
      </w:r>
      <w:proofErr w:type="gramStart"/>
      <w:r w:rsidRPr="00E8660A">
        <w:t>Butler.</w:t>
      </w:r>
      <w:r>
        <w:rPr>
          <w:vertAlign w:val="superscript"/>
        </w:rPr>
        <w:t>”</w:t>
      </w:r>
      <w:proofErr w:type="gramEnd"/>
    </w:p>
    <w:p w14:paraId="100FE19F" w14:textId="77777777" w:rsidR="008E1A23" w:rsidRDefault="008E1A23" w:rsidP="008E1A23">
      <w:pPr>
        <w:pStyle w:val="NoSpacing"/>
        <w:ind w:firstLine="720"/>
        <w:rPr>
          <w:vertAlign w:val="superscript"/>
        </w:rPr>
      </w:pPr>
    </w:p>
    <w:p w14:paraId="4C4F54F2" w14:textId="77777777" w:rsidR="008E1A23" w:rsidRPr="009E16C5" w:rsidRDefault="008E1A23" w:rsidP="008E1A23">
      <w:pPr>
        <w:rPr>
          <w:b/>
          <w:bCs/>
        </w:rPr>
      </w:pPr>
      <w:r>
        <w:rPr>
          <w:b/>
        </w:rPr>
        <w:t xml:space="preserve">Legal lesson learned: </w:t>
      </w:r>
      <w:r w:rsidRPr="009E16C5">
        <w:rPr>
          <w:b/>
        </w:rPr>
        <w:t>Outside firm independently selected three lead candidates for Fire Chief position</w:t>
      </w:r>
      <w:r>
        <w:rPr>
          <w:b/>
        </w:rPr>
        <w:t>, and plaintiff did not make the cut</w:t>
      </w:r>
      <w:r w:rsidRPr="009E16C5">
        <w:rPr>
          <w:b/>
        </w:rPr>
        <w:t xml:space="preserve">. </w:t>
      </w:r>
    </w:p>
    <w:p w14:paraId="29C03DEA" w14:textId="77777777" w:rsidR="008E1A23" w:rsidRDefault="008E1A23" w:rsidP="00C235E8">
      <w:pPr>
        <w:pStyle w:val="NoSpacing"/>
        <w:rPr>
          <w:rFonts w:ascii="Arial Black" w:hAnsi="Arial Black"/>
          <w:sz w:val="28"/>
          <w:szCs w:val="28"/>
        </w:rPr>
      </w:pPr>
    </w:p>
    <w:p w14:paraId="4D6A5E9C" w14:textId="77777777" w:rsidR="008E1A23" w:rsidRDefault="008E1A23" w:rsidP="00C235E8">
      <w:pPr>
        <w:pStyle w:val="NoSpacing"/>
        <w:rPr>
          <w:rFonts w:ascii="Arial Black" w:hAnsi="Arial Black"/>
          <w:sz w:val="28"/>
          <w:szCs w:val="28"/>
        </w:rPr>
      </w:pPr>
    </w:p>
    <w:p w14:paraId="4C9DF2EE" w14:textId="77777777" w:rsidR="008E1A23" w:rsidRDefault="008E1A23" w:rsidP="00C235E8">
      <w:pPr>
        <w:pStyle w:val="NoSpacing"/>
        <w:rPr>
          <w:rFonts w:ascii="Arial Black" w:hAnsi="Arial Black"/>
          <w:sz w:val="28"/>
          <w:szCs w:val="28"/>
        </w:rPr>
      </w:pPr>
    </w:p>
    <w:p w14:paraId="67202560" w14:textId="04BC733F" w:rsidR="002D45B5" w:rsidRDefault="002D45B5" w:rsidP="00C235E8">
      <w:pPr>
        <w:pStyle w:val="NoSpacing"/>
        <w:rPr>
          <w:rFonts w:ascii="Arial Black" w:hAnsi="Arial Black"/>
          <w:sz w:val="28"/>
          <w:szCs w:val="28"/>
        </w:rPr>
      </w:pPr>
      <w:r>
        <w:rPr>
          <w:rFonts w:ascii="Arial Black" w:hAnsi="Arial Black"/>
          <w:sz w:val="28"/>
          <w:szCs w:val="28"/>
        </w:rPr>
        <w:t>7-90</w:t>
      </w:r>
    </w:p>
    <w:p w14:paraId="4F82C022" w14:textId="77777777" w:rsidR="002D45B5" w:rsidRDefault="002D45B5" w:rsidP="00C235E8">
      <w:pPr>
        <w:pStyle w:val="NoSpacing"/>
        <w:rPr>
          <w:rFonts w:ascii="Arial Black" w:hAnsi="Arial Black"/>
          <w:sz w:val="28"/>
          <w:szCs w:val="28"/>
        </w:rPr>
      </w:pPr>
    </w:p>
    <w:p w14:paraId="2D3A39BE" w14:textId="5746BB0D" w:rsidR="00C235E8" w:rsidRPr="006D598E" w:rsidRDefault="00C235E8" w:rsidP="00C235E8">
      <w:pPr>
        <w:pStyle w:val="NoSpacing"/>
        <w:rPr>
          <w:rFonts w:ascii="Arial Black" w:hAnsi="Arial Black"/>
          <w:sz w:val="28"/>
          <w:szCs w:val="28"/>
        </w:rPr>
      </w:pPr>
      <w:r>
        <w:rPr>
          <w:rFonts w:ascii="Arial Black" w:hAnsi="Arial Black"/>
          <w:sz w:val="28"/>
          <w:szCs w:val="28"/>
        </w:rPr>
        <w:t>IL: CHICAGO - LACK FEMALE BATHROOMS – NO CASE</w:t>
      </w:r>
    </w:p>
    <w:p w14:paraId="2DC5FCC6" w14:textId="77777777" w:rsidR="00C235E8" w:rsidRDefault="00C235E8" w:rsidP="00C235E8">
      <w:pPr>
        <w:pStyle w:val="NoSpacing"/>
      </w:pPr>
    </w:p>
    <w:p w14:paraId="1F7F0E19" w14:textId="77777777" w:rsidR="00C235E8" w:rsidRPr="0005481A" w:rsidRDefault="00C235E8" w:rsidP="00C235E8">
      <w:pPr>
        <w:pStyle w:val="NoSpacing"/>
        <w:rPr>
          <w:bCs/>
        </w:rPr>
      </w:pPr>
      <w:r>
        <w:t xml:space="preserve">On April 23, 2026, in </w:t>
      </w:r>
      <w:r w:rsidRPr="00372C97">
        <w:rPr>
          <w:u w:val="single"/>
        </w:rPr>
        <w:t>Lee Ann McKay v. City of Chicago</w:t>
      </w:r>
      <w:r>
        <w:t xml:space="preserve">, U.S. District Court Judge Rebecca R. </w:t>
      </w:r>
      <w:proofErr w:type="spellStart"/>
      <w:r>
        <w:t>Pallmeyer</w:t>
      </w:r>
      <w:proofErr w:type="spellEnd"/>
      <w:r>
        <w:t xml:space="preserve">, United States District Court for Northern District, </w:t>
      </w:r>
      <w:r w:rsidRPr="0005481A">
        <w:t>Eastern Division</w:t>
      </w:r>
      <w:r>
        <w:t xml:space="preserve"> granted the City’s motion for summary judgment. The plaintiff Fire Engineer-EMT filed a lawsuit pro se [no attorney] referencing that </w:t>
      </w:r>
      <w:r w:rsidRPr="00FA5BCB">
        <w:t>only 32 out of 96 total firehouses in Chicago have dedicated women's facilities</w:t>
      </w:r>
      <w:r>
        <w:t>.  However, “</w:t>
      </w:r>
      <w:r w:rsidRPr="00FA5BCB">
        <w:t>McKay identifies no evidence of that, or anything else that could support a jury finding that her use of a bathroom that was also used by male firefighters created a hostile work environment.</w:t>
      </w:r>
      <w:r>
        <w:t xml:space="preserve">”  </w:t>
      </w:r>
      <w:hyperlink r:id="rId1337" w:history="1">
        <w:r w:rsidRPr="003C3573">
          <w:rPr>
            <w:rStyle w:val="Hyperlink"/>
          </w:rPr>
          <w:t>https://public.fastcase.com/Jhe1Qn%2BmJndQYQU6z%2FeNm28hiR351dlql3mVrX%2BsW%2FImhVx6LSAbrfZ7R6LP8TbVpSsTp59uwiaa1M%2BxYMu%2FQBeMVJpWoOyQUcFN4LagzoA%3D?utm_medium=email&amp;_hsenc=p2ANqtz-_AWahbnWxhCpMGQYhqfNcYdYivaiXkQGNq4hyWsJQjqDO6KUeS-ltttGyoOKYk2fjuNkb2NzSqvCRrJD1Iyf-ei7DoTw&amp;_hsmi=226712652&amp;utm_content=226712652&amp;utm_source=hs_email</w:t>
        </w:r>
      </w:hyperlink>
      <w:r>
        <w:t xml:space="preserve"> </w:t>
      </w:r>
    </w:p>
    <w:p w14:paraId="684CAA93" w14:textId="77777777" w:rsidR="00C235E8" w:rsidRDefault="00C235E8" w:rsidP="00C235E8">
      <w:pPr>
        <w:pStyle w:val="NoSpacing"/>
      </w:pPr>
    </w:p>
    <w:p w14:paraId="6038ACE8" w14:textId="77777777" w:rsidR="00C235E8" w:rsidRDefault="00C235E8" w:rsidP="00C235E8">
      <w:pPr>
        <w:pStyle w:val="NoSpacing"/>
      </w:pPr>
      <w:r w:rsidRPr="00CA2CA0">
        <w:t xml:space="preserve">  </w:t>
      </w:r>
      <w:r>
        <w:t>THE COURT HELD:</w:t>
      </w:r>
    </w:p>
    <w:p w14:paraId="794E2282" w14:textId="77777777" w:rsidR="00C235E8" w:rsidRDefault="00C235E8" w:rsidP="00C235E8">
      <w:pPr>
        <w:pStyle w:val="NoSpacing"/>
      </w:pPr>
    </w:p>
    <w:p w14:paraId="458EDA73" w14:textId="77777777" w:rsidR="00C235E8" w:rsidRDefault="00C235E8" w:rsidP="00C235E8">
      <w:pPr>
        <w:pStyle w:val="NoSpacing"/>
        <w:ind w:left="720"/>
      </w:pPr>
      <w:r>
        <w:t>“</w:t>
      </w:r>
      <w:r w:rsidRPr="00FA5BCB">
        <w:t xml:space="preserve">She first cites to an affidavit submitted by Marek Wisniewski, Deputy Commissioner of the City's Department of Fleet and Facility Management, who states as of January 9, 2026, only 32 out of 96 total firehouses in Chicago </w:t>
      </w:r>
      <w:r w:rsidRPr="00FA5BCB">
        <w:lastRenderedPageBreak/>
        <w:t>have dedicated women's facilities</w:t>
      </w:r>
      <w:r>
        <w:t>….</w:t>
      </w:r>
      <w:r w:rsidRPr="00FA5BCB">
        <w:t xml:space="preserve"> The court presumes Plaintiff contends that the lack of a bathroom available only to women is a violation of Title VII. But the lack of a gendered bathroom, without more, is not discriminatory. There is no indication that women were not allowed to use </w:t>
      </w:r>
      <w:r w:rsidRPr="00FA5BCB">
        <w:rPr>
          <w:i/>
          <w:iCs/>
        </w:rPr>
        <w:t>any</w:t>
      </w:r>
      <w:r w:rsidRPr="00FA5BCB">
        <w:t xml:space="preserve"> restroom, only that the firehouse did not have a women-only restroom on site. Ms. McKay was not being treated differently because of her sex simply because she was asked to share a gender-neutral restroom with her male colleagues. McKay might be able to proceed to trial on a hostile work environment theory if she could show that she was regularly forced to use the toilet or shower in view of her male colleagues, for example, or if the situation in the restrooms led to sexual harassment by coworkers. But McKay identifies no evidence of that, or anything else that could support a jury finding that her use of a bathroom that was also used by male firefighters created a hostile work environment. </w:t>
      </w:r>
      <w:r w:rsidRPr="00FA5BCB">
        <w:rPr>
          <w:i/>
          <w:iCs/>
        </w:rPr>
        <w:t xml:space="preserve">See </w:t>
      </w:r>
      <w:proofErr w:type="spellStart"/>
      <w:r w:rsidRPr="00FA5BCB">
        <w:rPr>
          <w:i/>
          <w:iCs/>
        </w:rPr>
        <w:t>Swyear</w:t>
      </w:r>
      <w:proofErr w:type="spellEnd"/>
      <w:r w:rsidRPr="00FA5BCB">
        <w:rPr>
          <w:i/>
          <w:iCs/>
        </w:rPr>
        <w:t xml:space="preserve"> v. Fare Foods Corp</w:t>
      </w:r>
      <w:r w:rsidRPr="00FA5BCB">
        <w:t xml:space="preserve">., 911 F.3d 874, 880 (7th Cir. 2018) (observing that a plaintiff asserting a hostile work environment claim must show the </w:t>
      </w:r>
      <w:r>
        <w:t>‘</w:t>
      </w:r>
      <w:r w:rsidRPr="00FA5BCB">
        <w:t xml:space="preserve">conduct was so severe or pervasive as to alter the conditions of employment and create a hostile or abusive working environment). </w:t>
      </w:r>
    </w:p>
    <w:p w14:paraId="145F461F" w14:textId="77777777" w:rsidR="00C235E8" w:rsidRDefault="00C235E8" w:rsidP="00C235E8">
      <w:pPr>
        <w:pStyle w:val="NoSpacing"/>
        <w:ind w:left="720"/>
      </w:pPr>
    </w:p>
    <w:p w14:paraId="2611CCA9" w14:textId="77777777" w:rsidR="00C235E8" w:rsidRDefault="00C235E8" w:rsidP="00C235E8">
      <w:pPr>
        <w:pStyle w:val="NoSpacing"/>
        <w:ind w:left="720"/>
      </w:pPr>
      <w:r>
        <w:t>***</w:t>
      </w:r>
    </w:p>
    <w:p w14:paraId="13E5281E" w14:textId="77777777" w:rsidR="00C235E8" w:rsidRDefault="00C235E8" w:rsidP="00C235E8">
      <w:pPr>
        <w:pStyle w:val="NoSpacing"/>
        <w:ind w:left="720"/>
      </w:pPr>
    </w:p>
    <w:p w14:paraId="5940CDA1" w14:textId="77777777" w:rsidR="00C235E8" w:rsidRDefault="00C235E8" w:rsidP="00C235E8">
      <w:pPr>
        <w:pStyle w:val="NoSpacing"/>
        <w:ind w:left="720"/>
      </w:pPr>
      <w:r>
        <w:t>M</w:t>
      </w:r>
      <w:r w:rsidRPr="00457FA7">
        <w:t xml:space="preserve">cKay appears to argue that the City's policy of advantaging members of minority races in making promotion decisions constitutes discrimination </w:t>
      </w:r>
      <w:proofErr w:type="gramStart"/>
      <w:r w:rsidRPr="00457FA7">
        <w:t>on the basis of</w:t>
      </w:r>
      <w:proofErr w:type="gramEnd"/>
      <w:r w:rsidRPr="00457FA7">
        <w:t xml:space="preserve"> race</w:t>
      </w:r>
      <w:r>
        <w:t>….</w:t>
      </w:r>
      <w:r w:rsidRPr="00457FA7">
        <w:t xml:space="preserve"> </w:t>
      </w:r>
    </w:p>
    <w:p w14:paraId="261D8550" w14:textId="77777777" w:rsidR="00C235E8" w:rsidRDefault="00C235E8" w:rsidP="00C235E8">
      <w:pPr>
        <w:pStyle w:val="NoSpacing"/>
        <w:ind w:left="720"/>
      </w:pPr>
    </w:p>
    <w:p w14:paraId="55901026" w14:textId="77777777" w:rsidR="00C235E8" w:rsidRDefault="00C235E8" w:rsidP="00C235E8">
      <w:pPr>
        <w:pStyle w:val="NoSpacing"/>
        <w:ind w:left="1440"/>
      </w:pPr>
      <w:r>
        <w:t xml:space="preserve">Footnote 8: </w:t>
      </w:r>
      <w:r w:rsidRPr="002A757E">
        <w:t xml:space="preserve">The court observes that McKay was eventually offered the promotion more than once, but the offers down out of fear of retaliation. </w:t>
      </w:r>
      <w:r>
        <w:t xml:space="preserve"> </w:t>
      </w:r>
    </w:p>
    <w:p w14:paraId="12C86397" w14:textId="77777777" w:rsidR="00C235E8" w:rsidRDefault="00C235E8" w:rsidP="00C235E8">
      <w:pPr>
        <w:pStyle w:val="NoSpacing"/>
        <w:ind w:left="720"/>
      </w:pPr>
    </w:p>
    <w:p w14:paraId="2CA14CE8" w14:textId="77777777" w:rsidR="00C235E8" w:rsidRDefault="00C235E8" w:rsidP="00C235E8">
      <w:pPr>
        <w:pStyle w:val="NoSpacing"/>
        <w:ind w:left="720"/>
      </w:pPr>
      <w:r w:rsidRPr="00457FA7">
        <w:t xml:space="preserve">The problem with this claim is that the city has offered a lawful justification for its actions: the </w:t>
      </w:r>
      <w:r w:rsidRPr="00457FA7">
        <w:rPr>
          <w:i/>
          <w:iCs/>
        </w:rPr>
        <w:t>Albrecht</w:t>
      </w:r>
      <w:r w:rsidRPr="00457FA7">
        <w:t xml:space="preserve"> consent decree. As the City explains, a consent decree </w:t>
      </w:r>
      <w:proofErr w:type="gramStart"/>
      <w:r w:rsidRPr="00457FA7">
        <w:t>entered into</w:t>
      </w:r>
      <w:proofErr w:type="gramEnd"/>
      <w:r w:rsidRPr="00457FA7">
        <w:t xml:space="preserve"> between the United States and the City of Chicago in the case </w:t>
      </w:r>
      <w:r w:rsidRPr="00457FA7">
        <w:rPr>
          <w:i/>
          <w:iCs/>
        </w:rPr>
        <w:t>United States v. Albrecht</w:t>
      </w:r>
      <w:r w:rsidRPr="00457FA7">
        <w:t>, 80 C 1590 (N.D. Ill. March 31, 1980), required the use of limited racial preferences in promotion decisions at the Chicago Fire Department. McKay does not dispute that the consent decree was in place at the time the promotion decisions at issue were made, or that those individuals promoted before her were promoted due to the consent decree</w:t>
      </w:r>
      <w:r>
        <w:t xml:space="preserve">…. </w:t>
      </w:r>
      <w:r w:rsidRPr="00457FA7">
        <w:t xml:space="preserve">Since she has offered no alternative basis to hold the </w:t>
      </w:r>
      <w:proofErr w:type="gramStart"/>
      <w:r w:rsidRPr="00457FA7">
        <w:t>City</w:t>
      </w:r>
      <w:proofErr w:type="gramEnd"/>
      <w:r w:rsidRPr="00457FA7">
        <w:t xml:space="preserve"> liable under Title VII for its compliance with </w:t>
      </w:r>
      <w:r w:rsidRPr="00457FA7">
        <w:rPr>
          <w:i/>
          <w:iCs/>
        </w:rPr>
        <w:t>Albrecht</w:t>
      </w:r>
      <w:r w:rsidRPr="00457FA7">
        <w:t>, summary judgment is warranted on her race discrimination claim</w:t>
      </w:r>
      <w:r>
        <w:t xml:space="preserve">…. </w:t>
      </w:r>
    </w:p>
    <w:p w14:paraId="43102AD6" w14:textId="77777777" w:rsidR="00C235E8" w:rsidRDefault="00C235E8" w:rsidP="00C235E8">
      <w:pPr>
        <w:pStyle w:val="NoSpacing"/>
        <w:ind w:left="720"/>
      </w:pPr>
    </w:p>
    <w:p w14:paraId="5E482351" w14:textId="77777777" w:rsidR="00C235E8" w:rsidRDefault="00C235E8" w:rsidP="00C235E8">
      <w:pPr>
        <w:pStyle w:val="NoSpacing"/>
        <w:ind w:left="1440"/>
      </w:pPr>
      <w:r>
        <w:t xml:space="preserve">Footnote 5: </w:t>
      </w:r>
      <w:r w:rsidRPr="00C05B5C">
        <w:t xml:space="preserve">The United States and the City of Chicago later jointly moved to terminate the </w:t>
      </w:r>
      <w:r w:rsidRPr="00C05B5C">
        <w:rPr>
          <w:i/>
          <w:iCs/>
        </w:rPr>
        <w:t>Albrecht</w:t>
      </w:r>
      <w:r w:rsidRPr="00C05B5C">
        <w:t xml:space="preserve"> consent decree. On June 16, 2022, this court granted that motion in a separate case. (</w:t>
      </w:r>
      <w:r w:rsidRPr="00C05B5C">
        <w:rPr>
          <w:i/>
          <w:iCs/>
        </w:rPr>
        <w:t>See</w:t>
      </w:r>
      <w:r w:rsidRPr="00C05B5C">
        <w:t xml:space="preserve"> Order Granting Joint Motion to Dissolve in </w:t>
      </w:r>
      <w:r w:rsidRPr="00C05B5C">
        <w:rPr>
          <w:i/>
          <w:iCs/>
        </w:rPr>
        <w:t>Albrecht</w:t>
      </w:r>
      <w:r w:rsidRPr="00C05B5C">
        <w:t>, 80 C 01590 (</w:t>
      </w:r>
      <w:proofErr w:type="spellStart"/>
      <w:r w:rsidRPr="00C05B5C">
        <w:t>Pallmeyer</w:t>
      </w:r>
      <w:proofErr w:type="spellEnd"/>
      <w:r w:rsidRPr="00C05B5C">
        <w:t>, C.J.).)</w:t>
      </w:r>
    </w:p>
    <w:p w14:paraId="107FB086" w14:textId="77777777" w:rsidR="00C235E8" w:rsidRDefault="00C235E8" w:rsidP="00C235E8">
      <w:pPr>
        <w:pStyle w:val="NoSpacing"/>
        <w:ind w:left="720"/>
      </w:pPr>
    </w:p>
    <w:p w14:paraId="0DA3ACD8" w14:textId="77777777" w:rsidR="00C235E8" w:rsidRPr="00A92326" w:rsidRDefault="00C235E8" w:rsidP="00C235E8">
      <w:pPr>
        <w:pStyle w:val="NoSpacing"/>
        <w:rPr>
          <w:b/>
          <w:bCs/>
        </w:rPr>
      </w:pPr>
      <w:r>
        <w:rPr>
          <w:b/>
        </w:rPr>
        <w:t xml:space="preserve">Legal lesson learned: The lack of a “gendered bathroom” without more is not discriminatory. </w:t>
      </w:r>
    </w:p>
    <w:p w14:paraId="5B2A9BBB" w14:textId="77777777" w:rsidR="00C235E8" w:rsidRDefault="00C235E8" w:rsidP="00C235E8">
      <w:pPr>
        <w:pStyle w:val="NoSpacing"/>
      </w:pPr>
    </w:p>
    <w:p w14:paraId="0CA536CB" w14:textId="77777777" w:rsidR="00C235E8" w:rsidRDefault="00C235E8" w:rsidP="00C235E8">
      <w:pPr>
        <w:pStyle w:val="NoSpacing"/>
        <w:rPr>
          <w:bCs/>
        </w:rPr>
      </w:pPr>
    </w:p>
    <w:p w14:paraId="4772163E" w14:textId="13D0174D" w:rsidR="002D45B5" w:rsidRDefault="002D45B5" w:rsidP="002D45B5">
      <w:pPr>
        <w:pStyle w:val="NoSpacing"/>
        <w:rPr>
          <w:rFonts w:ascii="Arial Black" w:hAnsi="Arial Black"/>
          <w:sz w:val="28"/>
          <w:szCs w:val="28"/>
        </w:rPr>
      </w:pPr>
      <w:r>
        <w:rPr>
          <w:rFonts w:ascii="Arial Black" w:hAnsi="Arial Black"/>
          <w:sz w:val="28"/>
          <w:szCs w:val="28"/>
        </w:rPr>
        <w:t>7-89</w:t>
      </w:r>
    </w:p>
    <w:p w14:paraId="3E4E7E33" w14:textId="77777777" w:rsidR="00C6586C" w:rsidRDefault="00C6586C" w:rsidP="00292E1C">
      <w:pPr>
        <w:pStyle w:val="NoSpacing"/>
        <w:rPr>
          <w:rFonts w:ascii="Arial Black" w:hAnsi="Arial Black"/>
          <w:sz w:val="28"/>
          <w:szCs w:val="28"/>
        </w:rPr>
      </w:pPr>
    </w:p>
    <w:p w14:paraId="46415F72" w14:textId="77777777" w:rsidR="002D45B5" w:rsidRDefault="002D45B5" w:rsidP="002D45B5">
      <w:pPr>
        <w:pStyle w:val="NoSpacing"/>
        <w:rPr>
          <w:rFonts w:ascii="Arial Black" w:hAnsi="Arial Black"/>
          <w:b/>
          <w:sz w:val="28"/>
          <w:szCs w:val="28"/>
        </w:rPr>
      </w:pPr>
      <w:r>
        <w:rPr>
          <w:rFonts w:ascii="Arial Black" w:hAnsi="Arial Black"/>
          <w:b/>
          <w:sz w:val="28"/>
          <w:szCs w:val="28"/>
        </w:rPr>
        <w:t>OH: FEMALE EMT – SHOWED PHOTOS NAKED MALE - FIRED</w:t>
      </w:r>
    </w:p>
    <w:p w14:paraId="54F76E95" w14:textId="77777777" w:rsidR="002D45B5" w:rsidRDefault="002D45B5" w:rsidP="002D45B5">
      <w:pPr>
        <w:pStyle w:val="NoSpacing"/>
        <w:rPr>
          <w:rFonts w:ascii="Arial Black" w:hAnsi="Arial Black"/>
          <w:b/>
          <w:sz w:val="28"/>
          <w:szCs w:val="28"/>
        </w:rPr>
      </w:pPr>
    </w:p>
    <w:p w14:paraId="335A1FA0" w14:textId="77777777" w:rsidR="002D45B5" w:rsidRDefault="002D45B5" w:rsidP="002D45B5">
      <w:pPr>
        <w:pStyle w:val="NoSpacing"/>
      </w:pPr>
      <w:r w:rsidRPr="004B4E00">
        <w:t xml:space="preserve">On September 30, 2026, in </w:t>
      </w:r>
      <w:r w:rsidRPr="00F74F59">
        <w:rPr>
          <w:u w:val="single"/>
        </w:rPr>
        <w:t>Gertrude Crisp v. Scioto Ambulance District</w:t>
      </w:r>
      <w:r>
        <w:t>, U.S. District Court Judge J</w:t>
      </w:r>
      <w:r w:rsidRPr="005C66FA">
        <w:t>effery P. Hopkins</w:t>
      </w:r>
      <w:r>
        <w:t xml:space="preserve">, United States District Court for Southern District of Ohio, Western Division, granted summary judgment to the Ambulance District.  The female paramedic, who has been harassed by </w:t>
      </w:r>
      <w:r w:rsidRPr="00367F97">
        <w:t>Joshua Gullett,</w:t>
      </w:r>
      <w:r>
        <w:t xml:space="preserve"> complained to management in Fall 2018, and the Board </w:t>
      </w:r>
      <w:r w:rsidRPr="001E1E28">
        <w:t>responded by directing that Crisp and Gullett would no longer be scheduled together</w:t>
      </w:r>
      <w:r>
        <w:t>.  Thereafter they had limited contact with one another.  But “o</w:t>
      </w:r>
      <w:r w:rsidRPr="00924D3B">
        <w:t>n</w:t>
      </w:r>
      <w:r>
        <w:t xml:space="preserve"> </w:t>
      </w:r>
      <w:r w:rsidRPr="00924D3B">
        <w:t>June 9, 2022, Crisp showed two new Scioto Ambulance District employees—Marissa</w:t>
      </w:r>
      <w:r>
        <w:t xml:space="preserve"> </w:t>
      </w:r>
      <w:r w:rsidRPr="00924D3B">
        <w:t>Campbell and Sandra Thacker—a profile that Gullet maintained on the website Fetlife.com,</w:t>
      </w:r>
      <w:r>
        <w:t xml:space="preserve"> </w:t>
      </w:r>
      <w:r w:rsidRPr="00924D3B">
        <w:t>a sex-solicitation site that Gullet and his wife, Crystal Gullet, used to seek sexual partners.</w:t>
      </w:r>
      <w:r>
        <w:t xml:space="preserve"> </w:t>
      </w:r>
      <w:r w:rsidRPr="00323558">
        <w:t>The profile included several pictures of himself, as well</w:t>
      </w:r>
      <w:r>
        <w:t xml:space="preserve"> </w:t>
      </w:r>
      <w:r w:rsidRPr="0093640C">
        <w:t>as pictures of his wife, and pictures of his erect penis.</w:t>
      </w:r>
      <w:r>
        <w:t xml:space="preserve">”  Gullett learned of this a complained to management. Eric Lutz, a Scioto Ambulance District board member, </w:t>
      </w:r>
      <w:proofErr w:type="gramStart"/>
      <w:r>
        <w:t>conducted an investigation</w:t>
      </w:r>
      <w:proofErr w:type="gramEnd"/>
      <w:r>
        <w:t xml:space="preserve"> that </w:t>
      </w:r>
      <w:proofErr w:type="gramStart"/>
      <w:r>
        <w:t>lead</w:t>
      </w:r>
      <w:proofErr w:type="gramEnd"/>
      <w:r>
        <w:t xml:space="preserve"> to her termination on July 3, 2022.   </w:t>
      </w:r>
    </w:p>
    <w:p w14:paraId="237BFA45" w14:textId="77777777" w:rsidR="002D45B5" w:rsidRDefault="002D45B5" w:rsidP="002D45B5">
      <w:pPr>
        <w:pStyle w:val="NoSpacing"/>
      </w:pPr>
      <w:hyperlink r:id="rId1338" w:history="1">
        <w:r w:rsidRPr="003A6F30">
          <w:rPr>
            <w:rStyle w:val="Hyperlink"/>
          </w:rPr>
          <w:t>https://cases.justia.com/federal/district-courts/ohio/ohsdce/1:2023cv00273/279746/32/0.pdf?ts=1759344788</w:t>
        </w:r>
      </w:hyperlink>
      <w:r>
        <w:t xml:space="preserve"> </w:t>
      </w:r>
    </w:p>
    <w:p w14:paraId="663CE4EF" w14:textId="77777777" w:rsidR="002D45B5" w:rsidRDefault="002D45B5" w:rsidP="002D45B5">
      <w:pPr>
        <w:pStyle w:val="NoSpacing"/>
      </w:pPr>
    </w:p>
    <w:p w14:paraId="492783AF" w14:textId="77777777" w:rsidR="002D45B5" w:rsidRDefault="002D45B5" w:rsidP="002D45B5">
      <w:pPr>
        <w:pStyle w:val="NoSpacing"/>
        <w:rPr>
          <w:bCs/>
        </w:rPr>
      </w:pPr>
      <w:r>
        <w:t xml:space="preserve">THE COURT HELD: </w:t>
      </w:r>
    </w:p>
    <w:p w14:paraId="0BF3A8C5" w14:textId="77777777" w:rsidR="002D45B5" w:rsidRDefault="002D45B5" w:rsidP="002D45B5">
      <w:pPr>
        <w:pStyle w:val="NoSpacing"/>
        <w:rPr>
          <w:bCs/>
        </w:rPr>
      </w:pPr>
    </w:p>
    <w:p w14:paraId="1D9E3907" w14:textId="77777777" w:rsidR="002D45B5" w:rsidRPr="00AA05E2" w:rsidRDefault="002D45B5" w:rsidP="002D45B5">
      <w:pPr>
        <w:pStyle w:val="NoSpacing"/>
        <w:ind w:firstLine="720"/>
        <w:rPr>
          <w:bCs/>
        </w:rPr>
      </w:pPr>
      <w:r>
        <w:t>“</w:t>
      </w:r>
      <w:r w:rsidRPr="00AA05E2">
        <w:t>The details—including that the photos were from Fetlife.com—came out in Lutz’s</w:t>
      </w:r>
    </w:p>
    <w:p w14:paraId="59FE8281" w14:textId="77777777" w:rsidR="002D45B5" w:rsidRPr="00AA05E2" w:rsidRDefault="002D45B5" w:rsidP="002D45B5">
      <w:pPr>
        <w:pStyle w:val="NoSpacing"/>
        <w:ind w:firstLine="720"/>
        <w:rPr>
          <w:bCs/>
        </w:rPr>
      </w:pPr>
      <w:r w:rsidRPr="00AA05E2">
        <w:t>investigation, which he undertook shortly after receiving the report. In his report, Lutz</w:t>
      </w:r>
    </w:p>
    <w:p w14:paraId="13E17B36" w14:textId="77777777" w:rsidR="002D45B5" w:rsidRPr="00AA05E2" w:rsidRDefault="002D45B5" w:rsidP="002D45B5">
      <w:pPr>
        <w:pStyle w:val="NoSpacing"/>
        <w:ind w:firstLine="720"/>
        <w:rPr>
          <w:bCs/>
        </w:rPr>
      </w:pPr>
      <w:r w:rsidRPr="00AA05E2">
        <w:t>summarized his interview with Crisp as follows:</w:t>
      </w:r>
    </w:p>
    <w:p w14:paraId="4C40931E" w14:textId="77777777" w:rsidR="002D45B5" w:rsidRDefault="002D45B5" w:rsidP="002D45B5">
      <w:pPr>
        <w:pStyle w:val="NoSpacing"/>
        <w:rPr>
          <w:bCs/>
        </w:rPr>
      </w:pPr>
    </w:p>
    <w:p w14:paraId="6458D132" w14:textId="77777777" w:rsidR="002D45B5" w:rsidRDefault="002D45B5" w:rsidP="002D45B5">
      <w:pPr>
        <w:pStyle w:val="NoSpacing"/>
        <w:ind w:left="1440"/>
        <w:rPr>
          <w:bCs/>
        </w:rPr>
      </w:pPr>
      <w:r w:rsidRPr="00AA05E2">
        <w:t>She [Crisp] stated without reservation and without apology that she had shown nude</w:t>
      </w:r>
      <w:r>
        <w:t xml:space="preserve"> </w:t>
      </w:r>
      <w:r w:rsidRPr="00AA05E2">
        <w:t>photos of co-worker Josh Gullett to other employees while on duty and while on</w:t>
      </w:r>
      <w:r>
        <w:t xml:space="preserve"> </w:t>
      </w:r>
      <w:r w:rsidRPr="00AA05E2">
        <w:t>premises. Her reported reason for doing so was that (paraphrased) She (Ms. Crisp) did</w:t>
      </w:r>
      <w:r>
        <w:t xml:space="preserve"> </w:t>
      </w:r>
      <w:r w:rsidRPr="00AA05E2">
        <w:t>show the nude photos of Mr. Gullett to the other employees to “warn” them about</w:t>
      </w:r>
      <w:r>
        <w:t xml:space="preserve"> </w:t>
      </w:r>
      <w:r w:rsidRPr="00AA05E2">
        <w:t>“perverted and predatory” men in EMS, that there is a “list” of males in EMS who act</w:t>
      </w:r>
      <w:r>
        <w:t xml:space="preserve"> </w:t>
      </w:r>
      <w:r w:rsidRPr="00166533">
        <w:t>inappropriately toward other women in EMS, that those men may make professionally</w:t>
      </w:r>
      <w:r>
        <w:t xml:space="preserve"> </w:t>
      </w:r>
      <w:r w:rsidRPr="00166533">
        <w:t>inappropriate statements or make inappropriate requests of them . . . . In short, it is</w:t>
      </w:r>
      <w:r>
        <w:t xml:space="preserve"> </w:t>
      </w:r>
      <w:r w:rsidRPr="00166533">
        <w:t>Ms. Crisp’s contention that she showed the photos with the legitimate intention of</w:t>
      </w:r>
      <w:r>
        <w:t xml:space="preserve"> </w:t>
      </w:r>
      <w:r w:rsidRPr="00166533">
        <w:t>“warning” the other employees about alleged and potential male behavior, and that</w:t>
      </w:r>
      <w:r>
        <w:t xml:space="preserve"> </w:t>
      </w:r>
      <w:r w:rsidRPr="00166533">
        <w:t>this nude photo somehow “showed a pattern of behavior,” justified, and verified her</w:t>
      </w:r>
      <w:r>
        <w:t xml:space="preserve"> </w:t>
      </w:r>
      <w:r w:rsidRPr="00166533">
        <w:t>allegations about the other employees.</w:t>
      </w:r>
    </w:p>
    <w:p w14:paraId="3E5E4933" w14:textId="77777777" w:rsidR="002D45B5" w:rsidRDefault="002D45B5" w:rsidP="002D45B5">
      <w:pPr>
        <w:pStyle w:val="NoSpacing"/>
        <w:ind w:left="1440"/>
        <w:rPr>
          <w:bCs/>
        </w:rPr>
      </w:pPr>
    </w:p>
    <w:p w14:paraId="422B01CB" w14:textId="77777777" w:rsidR="002D45B5" w:rsidRPr="001A795C" w:rsidRDefault="002D45B5" w:rsidP="002D45B5">
      <w:pPr>
        <w:pStyle w:val="NoSpacing"/>
        <w:rPr>
          <w:bCs/>
        </w:rPr>
      </w:pPr>
      <w:r>
        <w:tab/>
      </w:r>
      <w:r w:rsidRPr="001A795C">
        <w:t>Lutz concluded the report by</w:t>
      </w:r>
      <w:r>
        <w:t xml:space="preserve"> </w:t>
      </w:r>
      <w:r w:rsidRPr="001A795C">
        <w:t>stating:</w:t>
      </w:r>
    </w:p>
    <w:p w14:paraId="06F0A18A" w14:textId="77777777" w:rsidR="002D45B5" w:rsidRDefault="002D45B5" w:rsidP="002D45B5">
      <w:pPr>
        <w:pStyle w:val="NoSpacing"/>
        <w:rPr>
          <w:bCs/>
        </w:rPr>
      </w:pPr>
    </w:p>
    <w:p w14:paraId="5871E7F9" w14:textId="77777777" w:rsidR="002D45B5" w:rsidRPr="001A795C" w:rsidRDefault="002D45B5" w:rsidP="002D45B5">
      <w:pPr>
        <w:pStyle w:val="NoSpacing"/>
        <w:ind w:left="1440"/>
        <w:rPr>
          <w:bCs/>
        </w:rPr>
      </w:pPr>
      <w:r w:rsidRPr="001A795C">
        <w:t>Showing these photos while on duty, regardless of justification, is inappropriate and</w:t>
      </w:r>
      <w:r>
        <w:t xml:space="preserve"> </w:t>
      </w:r>
      <w:r w:rsidRPr="001A795C">
        <w:t>unprofessional. . . Her actions increase the potential for undesirable work</w:t>
      </w:r>
    </w:p>
    <w:p w14:paraId="24DD282E" w14:textId="77777777" w:rsidR="002D45B5" w:rsidRPr="001A795C" w:rsidRDefault="002D45B5" w:rsidP="002D45B5">
      <w:pPr>
        <w:pStyle w:val="NoSpacing"/>
        <w:ind w:left="720" w:firstLine="720"/>
        <w:rPr>
          <w:bCs/>
        </w:rPr>
      </w:pPr>
      <w:r w:rsidRPr="001A795C">
        <w:t>environments and disagreeable work relationships at [Scioto Ambulance District].</w:t>
      </w:r>
    </w:p>
    <w:p w14:paraId="535B35B1" w14:textId="77777777" w:rsidR="002D45B5" w:rsidRPr="001A795C" w:rsidRDefault="002D45B5" w:rsidP="002D45B5">
      <w:pPr>
        <w:pStyle w:val="NoSpacing"/>
        <w:ind w:left="720" w:firstLine="720"/>
        <w:rPr>
          <w:bCs/>
        </w:rPr>
      </w:pPr>
      <w:r w:rsidRPr="001A795C">
        <w:t>Further, spreading rumors among employees about another staff member being</w:t>
      </w:r>
    </w:p>
    <w:p w14:paraId="6D279DFE" w14:textId="77777777" w:rsidR="002D45B5" w:rsidRDefault="002D45B5" w:rsidP="002D45B5">
      <w:pPr>
        <w:pStyle w:val="NoSpacing"/>
        <w:ind w:left="1440"/>
        <w:rPr>
          <w:bCs/>
        </w:rPr>
      </w:pPr>
      <w:r w:rsidRPr="001A795C">
        <w:t>“perverted” or “being a predator” are inflammatory and unprofessional. Furthermore,</w:t>
      </w:r>
      <w:r>
        <w:t xml:space="preserve"> </w:t>
      </w:r>
      <w:r w:rsidRPr="001A795C">
        <w:t xml:space="preserve">there have been no reports or accusations of any employee </w:t>
      </w:r>
      <w:r w:rsidRPr="00392CE9">
        <w:t>engaging in this type of</w:t>
      </w:r>
      <w:r>
        <w:t xml:space="preserve"> </w:t>
      </w:r>
      <w:r w:rsidRPr="00392CE9">
        <w:t>behavior while on duty or with other employees at any time.</w:t>
      </w:r>
    </w:p>
    <w:p w14:paraId="23E4F92F" w14:textId="77777777" w:rsidR="002D45B5" w:rsidRDefault="002D45B5" w:rsidP="002D45B5">
      <w:pPr>
        <w:pStyle w:val="NoSpacing"/>
        <w:rPr>
          <w:bCs/>
        </w:rPr>
      </w:pPr>
    </w:p>
    <w:p w14:paraId="223846BC" w14:textId="77777777" w:rsidR="002D45B5" w:rsidRDefault="002D45B5" w:rsidP="002D45B5">
      <w:pPr>
        <w:pStyle w:val="NoSpacing"/>
        <w:rPr>
          <w:bCs/>
        </w:rPr>
      </w:pPr>
      <w:r>
        <w:tab/>
        <w:t>***</w:t>
      </w:r>
    </w:p>
    <w:p w14:paraId="63FE58C9" w14:textId="77777777" w:rsidR="002D45B5" w:rsidRDefault="002D45B5" w:rsidP="002D45B5">
      <w:pPr>
        <w:pStyle w:val="NoSpacing"/>
        <w:rPr>
          <w:bCs/>
        </w:rPr>
      </w:pPr>
    </w:p>
    <w:p w14:paraId="2FA10398" w14:textId="77777777" w:rsidR="002D45B5" w:rsidRDefault="002D45B5" w:rsidP="002D45B5">
      <w:pPr>
        <w:pStyle w:val="NoSpacing"/>
        <w:ind w:left="720"/>
        <w:rPr>
          <w:bCs/>
        </w:rPr>
      </w:pPr>
      <w:r w:rsidRPr="00DC4776">
        <w:t>Crisp’s statements to</w:t>
      </w:r>
      <w:r>
        <w:t xml:space="preserve"> </w:t>
      </w:r>
      <w:r w:rsidRPr="00DC4776">
        <w:t>Campbell and Thacker about Mr. Gullett did not, however, amount to reporting sexual</w:t>
      </w:r>
      <w:r>
        <w:t xml:space="preserve"> </w:t>
      </w:r>
      <w:r w:rsidRPr="00DC4776">
        <w:t>misconduct, as they were made to co-workers and did not advocate for any particular action</w:t>
      </w:r>
      <w:r>
        <w:t xml:space="preserve"> </w:t>
      </w:r>
      <w:r w:rsidRPr="00DC4776">
        <w:t>by Scioto Ambulance District. Instead, her reporting was intended to encourage her</w:t>
      </w:r>
      <w:r>
        <w:t xml:space="preserve"> </w:t>
      </w:r>
      <w:r w:rsidRPr="00DC4776">
        <w:t>coworkers—not Scioto Ambulance—to take particular action, such as avoiding Gullett and</w:t>
      </w:r>
      <w:r>
        <w:t xml:space="preserve"> </w:t>
      </w:r>
      <w:r w:rsidRPr="00DC4776">
        <w:t>being on-guard against his advances.</w:t>
      </w:r>
    </w:p>
    <w:p w14:paraId="4F139943" w14:textId="77777777" w:rsidR="002D45B5" w:rsidRDefault="002D45B5" w:rsidP="002D45B5">
      <w:pPr>
        <w:pStyle w:val="NoSpacing"/>
        <w:ind w:firstLine="720"/>
        <w:rPr>
          <w:bCs/>
        </w:rPr>
      </w:pPr>
      <w:r>
        <w:t>***</w:t>
      </w:r>
    </w:p>
    <w:p w14:paraId="3DEB7E46" w14:textId="77777777" w:rsidR="002D45B5" w:rsidRPr="00DF000D" w:rsidRDefault="002D45B5" w:rsidP="002D45B5">
      <w:pPr>
        <w:pStyle w:val="NoSpacing"/>
        <w:ind w:firstLine="720"/>
        <w:rPr>
          <w:bCs/>
        </w:rPr>
      </w:pPr>
      <w:r w:rsidRPr="00DF000D">
        <w:t>The Court further notes that while the category of protected activity for purposes of</w:t>
      </w:r>
    </w:p>
    <w:p w14:paraId="0E582298" w14:textId="77777777" w:rsidR="002D45B5" w:rsidRDefault="002D45B5" w:rsidP="002D45B5">
      <w:pPr>
        <w:pStyle w:val="NoSpacing"/>
        <w:ind w:left="720"/>
        <w:rPr>
          <w:bCs/>
        </w:rPr>
      </w:pPr>
      <w:r w:rsidRPr="00DF000D">
        <w:t xml:space="preserve">Title VII is not tightly </w:t>
      </w:r>
      <w:proofErr w:type="gramStart"/>
      <w:r w:rsidRPr="00DF000D">
        <w:t>constrained,</w:t>
      </w:r>
      <w:proofErr w:type="gramEnd"/>
      <w:r w:rsidRPr="00DF000D">
        <w:t xml:space="preserve"> it also is not unlimited</w:t>
      </w:r>
      <w:r>
        <w:t xml:space="preserve">…. </w:t>
      </w:r>
      <w:r w:rsidRPr="00F6713F">
        <w:t>To summarize, it would stretch the facts of this case too far to conclude that by</w:t>
      </w:r>
      <w:r>
        <w:t xml:space="preserve"> </w:t>
      </w:r>
      <w:r w:rsidRPr="00F6713F">
        <w:t>showing other employees Gullett’s Fetlife.com profile in the course of warning them about</w:t>
      </w:r>
      <w:r>
        <w:t xml:space="preserve"> </w:t>
      </w:r>
      <w:r w:rsidRPr="00AB4407">
        <w:t>possible sexual harassment by him,9 she was “opposing a[] practice,” 42 U.S.C. § 2000e-3(a),</w:t>
      </w:r>
      <w:r>
        <w:t xml:space="preserve"> </w:t>
      </w:r>
      <w:r w:rsidRPr="00AB4407">
        <w:t>of the Scioto County Ambulance District. Further, nothing in the record before the Court</w:t>
      </w:r>
      <w:r>
        <w:t xml:space="preserve"> </w:t>
      </w:r>
      <w:r w:rsidRPr="00AB4407">
        <w:t>suggests that Scioto Ambulance District ignored Crisp’s complaints about Gullet at the</w:t>
      </w:r>
      <w:r>
        <w:t xml:space="preserve"> </w:t>
      </w:r>
      <w:r w:rsidRPr="00AB4407">
        <w:t xml:space="preserve">relevant </w:t>
      </w:r>
      <w:proofErr w:type="gramStart"/>
      <w:r w:rsidRPr="00AB4407">
        <w:t>time period</w:t>
      </w:r>
      <w:proofErr w:type="gramEnd"/>
      <w:r w:rsidRPr="00AB4407">
        <w:t>, given that Crisp chose to make those complaints to coworkers, not to</w:t>
      </w:r>
      <w:r>
        <w:t xml:space="preserve"> </w:t>
      </w:r>
      <w:r w:rsidRPr="00AB4407">
        <w:t>their employer. For these reasons, Defendant is entitled to summary judgment on Crisp’s</w:t>
      </w:r>
      <w:r>
        <w:t xml:space="preserve"> </w:t>
      </w:r>
      <w:r w:rsidRPr="00AB4407">
        <w:t>retaliation claims (Counts II and IV).</w:t>
      </w:r>
      <w:r>
        <w:t>”</w:t>
      </w:r>
    </w:p>
    <w:p w14:paraId="6633C88E" w14:textId="77777777" w:rsidR="002D45B5" w:rsidRDefault="002D45B5" w:rsidP="002D45B5">
      <w:pPr>
        <w:pStyle w:val="NoSpacing"/>
        <w:ind w:left="720"/>
        <w:rPr>
          <w:bCs/>
        </w:rPr>
      </w:pPr>
    </w:p>
    <w:p w14:paraId="6BA1D749" w14:textId="77777777" w:rsidR="002D45B5" w:rsidRDefault="002D45B5" w:rsidP="002D45B5">
      <w:pPr>
        <w:pStyle w:val="NoSpacing"/>
        <w:rPr>
          <w:bCs/>
        </w:rPr>
      </w:pPr>
      <w:r>
        <w:rPr>
          <w:b/>
        </w:rPr>
        <w:t>Legal lesson learned:  The plaintiff may have been motivated to “warn” co-workers, but it was not a “protected activity” to show a web profile and nude photo of the male.</w:t>
      </w:r>
    </w:p>
    <w:p w14:paraId="1CAA245A" w14:textId="77777777" w:rsidR="002D45B5" w:rsidRDefault="002D45B5" w:rsidP="00292E1C">
      <w:pPr>
        <w:pStyle w:val="NoSpacing"/>
        <w:rPr>
          <w:rFonts w:ascii="Arial Black" w:hAnsi="Arial Black"/>
          <w:sz w:val="28"/>
          <w:szCs w:val="28"/>
        </w:rPr>
      </w:pPr>
    </w:p>
    <w:p w14:paraId="55F84FA4" w14:textId="77777777" w:rsidR="00C235E8" w:rsidRDefault="00C235E8" w:rsidP="00292E1C">
      <w:pPr>
        <w:pStyle w:val="NoSpacing"/>
        <w:rPr>
          <w:rFonts w:ascii="Arial Black" w:hAnsi="Arial Black"/>
          <w:sz w:val="28"/>
          <w:szCs w:val="28"/>
        </w:rPr>
      </w:pPr>
    </w:p>
    <w:p w14:paraId="4C543634" w14:textId="77777777" w:rsidR="00C235E8" w:rsidRDefault="00C235E8" w:rsidP="00292E1C">
      <w:pPr>
        <w:pStyle w:val="NoSpacing"/>
        <w:rPr>
          <w:rFonts w:ascii="Arial Black" w:hAnsi="Arial Black"/>
          <w:sz w:val="28"/>
          <w:szCs w:val="28"/>
        </w:rPr>
      </w:pPr>
    </w:p>
    <w:p w14:paraId="64DA7EAA" w14:textId="77777777" w:rsidR="00C235E8" w:rsidRDefault="00C235E8" w:rsidP="00292E1C">
      <w:pPr>
        <w:pStyle w:val="NoSpacing"/>
        <w:rPr>
          <w:rFonts w:ascii="Arial Black" w:hAnsi="Arial Black"/>
          <w:sz w:val="28"/>
          <w:szCs w:val="28"/>
        </w:rPr>
      </w:pPr>
    </w:p>
    <w:p w14:paraId="393A4E8B" w14:textId="55B03B29" w:rsidR="007B6232" w:rsidRDefault="007B6232" w:rsidP="00292E1C">
      <w:pPr>
        <w:pStyle w:val="NoSpacing"/>
        <w:rPr>
          <w:rFonts w:ascii="Arial Black" w:hAnsi="Arial Black"/>
          <w:sz w:val="28"/>
          <w:szCs w:val="28"/>
        </w:rPr>
      </w:pPr>
      <w:r>
        <w:rPr>
          <w:rFonts w:ascii="Arial Black" w:hAnsi="Arial Black"/>
          <w:sz w:val="28"/>
          <w:szCs w:val="28"/>
        </w:rPr>
        <w:t>7-88</w:t>
      </w:r>
    </w:p>
    <w:p w14:paraId="6033FD87" w14:textId="77777777" w:rsidR="007B6232" w:rsidRDefault="007B6232" w:rsidP="00292E1C">
      <w:pPr>
        <w:pStyle w:val="NoSpacing"/>
        <w:rPr>
          <w:rFonts w:ascii="Arial Black" w:hAnsi="Arial Black"/>
          <w:sz w:val="28"/>
          <w:szCs w:val="28"/>
        </w:rPr>
      </w:pPr>
    </w:p>
    <w:p w14:paraId="1A27B3E5" w14:textId="77777777" w:rsidR="00487B33" w:rsidRPr="00E50243" w:rsidRDefault="00487B33" w:rsidP="00487B33">
      <w:pPr>
        <w:pStyle w:val="NoSpacing"/>
        <w:rPr>
          <w:rFonts w:ascii="Arial Black" w:hAnsi="Arial Black"/>
          <w:b/>
          <w:sz w:val="28"/>
          <w:szCs w:val="28"/>
        </w:rPr>
      </w:pPr>
      <w:r>
        <w:rPr>
          <w:rFonts w:ascii="Arial Black" w:hAnsi="Arial Black"/>
          <w:b/>
          <w:sz w:val="28"/>
          <w:szCs w:val="28"/>
        </w:rPr>
        <w:t>CT: FEMALE CAPT – ORDER PORN REMOVED – RETALIATION</w:t>
      </w:r>
    </w:p>
    <w:p w14:paraId="002D0C45" w14:textId="77777777" w:rsidR="00487B33" w:rsidRDefault="00487B33" w:rsidP="00487B33">
      <w:pPr>
        <w:pStyle w:val="NoSpacing"/>
      </w:pPr>
    </w:p>
    <w:p w14:paraId="5B3C6FC2" w14:textId="77777777" w:rsidR="00487B33" w:rsidRDefault="00487B33" w:rsidP="00487B33">
      <w:pPr>
        <w:pStyle w:val="NoSpacing"/>
      </w:pPr>
      <w:r>
        <w:t xml:space="preserve">On March 10, 2026, in </w:t>
      </w:r>
      <w:r w:rsidRPr="00726ABA">
        <w:rPr>
          <w:u w:val="single"/>
        </w:rPr>
        <w:t>Melanie Depamphilis v. Town of Newington</w:t>
      </w:r>
      <w:r w:rsidRPr="00AC20D2">
        <w:t>, et al.,</w:t>
      </w:r>
      <w:r>
        <w:t xml:space="preserve"> U.S. District Court Judge Sarala v. </w:t>
      </w:r>
      <w:proofErr w:type="spellStart"/>
      <w:r>
        <w:t>Nagala</w:t>
      </w:r>
      <w:proofErr w:type="spellEnd"/>
      <w:r>
        <w:t xml:space="preserve">, United States District Court for the District of Connecticut, denied the municipal defendant’s motion to dismiss the hostile work environment claims, which will now proceed to pre-trial discovery.  Claims alleging a Town official policy or custom that led to the hostile work environment were dismissed.  The plaintiff was the </w:t>
      </w:r>
      <w:proofErr w:type="gramStart"/>
      <w:r>
        <w:t>Captain</w:t>
      </w:r>
      <w:proofErr w:type="gramEnd"/>
      <w:r>
        <w:t xml:space="preserve"> in charge of the Town’s Fire Company No. 2 (and a 2018 retired lieutenant from Hartford Fire Department). On July 10, </w:t>
      </w:r>
      <w:proofErr w:type="gramStart"/>
      <w:r>
        <w:t>2023</w:t>
      </w:r>
      <w:proofErr w:type="gramEnd"/>
      <w:r>
        <w:t xml:space="preserve"> she learned of a firefighter having pornography in his locker, and she ordered it removed; the firefighter did so but demanded to know who told her about the materials.  Based on other allegations, on August 17, </w:t>
      </w:r>
      <w:proofErr w:type="gramStart"/>
      <w:r>
        <w:t>2023</w:t>
      </w:r>
      <w:proofErr w:type="gramEnd"/>
      <w:r>
        <w:t xml:space="preserve"> she was placed on administrative leave; and restored to her position as Captain on November 6, </w:t>
      </w:r>
      <w:proofErr w:type="gramStart"/>
      <w:r>
        <w:t>2023</w:t>
      </w:r>
      <w:proofErr w:type="gramEnd"/>
      <w:r>
        <w:t xml:space="preserve"> </w:t>
      </w:r>
      <w:r w:rsidRPr="002A7501">
        <w:t>but also that she would be placed on a one-year probation based on her “actions and behaviors” and “issues related to the morale at Company 2</w:t>
      </w:r>
      <w:r>
        <w:t>.</w:t>
      </w:r>
      <w:r w:rsidRPr="002A7501">
        <w:t>”</w:t>
      </w:r>
      <w:r>
        <w:t xml:space="preserve"> </w:t>
      </w:r>
      <w:hyperlink r:id="rId1339" w:history="1">
        <w:r w:rsidRPr="00502BCE">
          <w:rPr>
            <w:rStyle w:val="Hyperlink"/>
          </w:rPr>
          <w:t>https://cases.justia.com/federal/district-courts/connecticut/ctdce/3:2025cv00524/164327/45/0.pdf?ts=1773222843</w:t>
        </w:r>
      </w:hyperlink>
      <w:r>
        <w:t xml:space="preserve"> </w:t>
      </w:r>
    </w:p>
    <w:p w14:paraId="38984443" w14:textId="77777777" w:rsidR="00487B33" w:rsidRDefault="00487B33" w:rsidP="00487B33">
      <w:pPr>
        <w:pStyle w:val="NoSpacing"/>
      </w:pPr>
    </w:p>
    <w:p w14:paraId="447F9DF3" w14:textId="77777777" w:rsidR="00487B33" w:rsidRDefault="00487B33" w:rsidP="00487B33">
      <w:pPr>
        <w:pStyle w:val="NoSpacing"/>
      </w:pPr>
      <w:r>
        <w:t>THE COURT HELD:  “</w:t>
      </w:r>
      <w:r w:rsidRPr="006764CD">
        <w:t>The Court concludes that Plaintiff has plausibly stated a claim that she was subjected to a hostile work environment under both Title VII and the CFEPA</w:t>
      </w:r>
      <w:r>
        <w:t xml:space="preserve">…. </w:t>
      </w:r>
      <w:r w:rsidRPr="00F562F1">
        <w:t>Examining the totality of the circumstances, Plaintiff's complaint alleges facts supporting a reasonable inference that the Municipal Defendants subjected Plaintiff to negative treatment because of her sex.</w:t>
      </w:r>
    </w:p>
    <w:p w14:paraId="6EDB446C" w14:textId="77777777" w:rsidR="00487B33" w:rsidRDefault="00487B33" w:rsidP="00487B33">
      <w:pPr>
        <w:pStyle w:val="NoSpacing"/>
      </w:pPr>
    </w:p>
    <w:p w14:paraId="6CDCD892" w14:textId="77777777" w:rsidR="00487B33" w:rsidRDefault="00487B33" w:rsidP="00487B33">
      <w:pPr>
        <w:pStyle w:val="NoSpacing"/>
      </w:pPr>
      <w:r>
        <w:t>***</w:t>
      </w:r>
    </w:p>
    <w:p w14:paraId="6F6D4442" w14:textId="77777777" w:rsidR="00487B33" w:rsidRDefault="00487B33" w:rsidP="00487B33">
      <w:pPr>
        <w:pStyle w:val="NoSpacing"/>
      </w:pPr>
    </w:p>
    <w:p w14:paraId="4DE0957B" w14:textId="77777777" w:rsidR="00487B33" w:rsidRPr="008655CD" w:rsidRDefault="00487B33" w:rsidP="00487B33">
      <w:pPr>
        <w:pStyle w:val="NoSpacing"/>
      </w:pPr>
      <w:r w:rsidRPr="008655CD">
        <w:t xml:space="preserve">First, the Second Circuit has noted that the mere presence of pornography in a workplace can alter a female plaintiff's </w:t>
      </w:r>
      <w:r>
        <w:t>‘</w:t>
      </w:r>
      <w:r w:rsidRPr="008655CD">
        <w:t xml:space="preserve">status in </w:t>
      </w:r>
      <w:proofErr w:type="spellStart"/>
      <w:r w:rsidRPr="008655CD">
        <w:t>th</w:t>
      </w:r>
      <w:proofErr w:type="spellEnd"/>
      <w:r w:rsidRPr="008655CD">
        <w:t>[at] workplace.</w:t>
      </w:r>
      <w:r>
        <w:t>’</w:t>
      </w:r>
      <w:r w:rsidRPr="008655CD">
        <w:t xml:space="preserve"> </w:t>
      </w:r>
      <w:r w:rsidRPr="008655CD">
        <w:rPr>
          <w:i/>
          <w:iCs/>
        </w:rPr>
        <w:t>Wolak v. Spucci</w:t>
      </w:r>
      <w:r w:rsidRPr="008655CD">
        <w:t xml:space="preserve">, 217 F.3d 157, 161 (2d Cir. 2000); </w:t>
      </w:r>
      <w:proofErr w:type="gramStart"/>
      <w:r w:rsidRPr="008655CD">
        <w:rPr>
          <w:i/>
          <w:iCs/>
        </w:rPr>
        <w:t>see also</w:t>
      </w:r>
      <w:proofErr w:type="gramEnd"/>
      <w:r w:rsidRPr="008655CD">
        <w:rPr>
          <w:i/>
          <w:iCs/>
        </w:rPr>
        <w:t xml:space="preserve"> Patane</w:t>
      </w:r>
      <w:r w:rsidRPr="008655CD">
        <w:t xml:space="preserve">, 508 F.3d at 114. Although Plaintiff does not allege she was directly exposed to these materials like the plaintiffs in </w:t>
      </w:r>
      <w:r w:rsidRPr="008655CD">
        <w:rPr>
          <w:i/>
          <w:iCs/>
        </w:rPr>
        <w:t>Wolak</w:t>
      </w:r>
      <w:r w:rsidRPr="008655CD">
        <w:t xml:space="preserve"> and </w:t>
      </w:r>
      <w:r w:rsidRPr="008655CD">
        <w:rPr>
          <w:i/>
          <w:iCs/>
        </w:rPr>
        <w:t>Patane</w:t>
      </w:r>
      <w:r w:rsidRPr="008655CD">
        <w:t xml:space="preserve">, the presence of </w:t>
      </w:r>
    </w:p>
    <w:p w14:paraId="3BD3731D" w14:textId="77777777" w:rsidR="00487B33" w:rsidRDefault="00487B33" w:rsidP="00487B33">
      <w:pPr>
        <w:pStyle w:val="NoSpacing"/>
      </w:pPr>
      <w:r w:rsidRPr="008655CD">
        <w:t xml:space="preserve">pornography in a male firefighter's locker can be considered </w:t>
      </w:r>
      <w:r>
        <w:t>‘</w:t>
      </w:r>
      <w:r w:rsidRPr="008655CD">
        <w:t>particularly offensive to women and intended to provoke Plaintiff's reaction as a woman,</w:t>
      </w:r>
      <w:r>
        <w:t>’</w:t>
      </w:r>
      <w:r w:rsidRPr="008655CD">
        <w:t xml:space="preserve"> for purposes of stating a plausible claim of a hostile work environment</w:t>
      </w:r>
      <w:r>
        <w:t xml:space="preserve">…. </w:t>
      </w:r>
    </w:p>
    <w:p w14:paraId="39F3FACC" w14:textId="77777777" w:rsidR="00487B33" w:rsidRDefault="00487B33" w:rsidP="00487B33">
      <w:pPr>
        <w:pStyle w:val="NoSpacing"/>
      </w:pPr>
    </w:p>
    <w:p w14:paraId="5FE94717" w14:textId="77777777" w:rsidR="00487B33" w:rsidRDefault="00487B33" w:rsidP="00487B33">
      <w:pPr>
        <w:pStyle w:val="NoSpacing"/>
      </w:pPr>
      <w:r w:rsidRPr="007478EC">
        <w:t>When considered in combination with the pornography incident, these allegations, taken as true, show that both the Individual and Municipal Defendants undermined, denigrated, and affirmatively sidelined Plaintiff—a decorated female leader in the NVPD. Thus, they state a plausible claim that the Municipal Defendants created hostile work environment for Plaintiff because of her sex.</w:t>
      </w:r>
      <w:r>
        <w:t>”</w:t>
      </w:r>
    </w:p>
    <w:p w14:paraId="1359152D" w14:textId="77777777" w:rsidR="00487B33" w:rsidRDefault="00487B33" w:rsidP="00487B33">
      <w:pPr>
        <w:pStyle w:val="NoSpacing"/>
      </w:pPr>
    </w:p>
    <w:p w14:paraId="5B8E0E54" w14:textId="77777777" w:rsidR="00487B33" w:rsidRPr="006A39CE" w:rsidRDefault="00487B33" w:rsidP="00487B33">
      <w:pPr>
        <w:pStyle w:val="NoSpacing"/>
        <w:rPr>
          <w:b/>
          <w:bCs/>
        </w:rPr>
      </w:pPr>
      <w:r w:rsidRPr="006A39CE">
        <w:rPr>
          <w:b/>
        </w:rPr>
        <w:t xml:space="preserve">Legal lesson learned: </w:t>
      </w:r>
      <w:r>
        <w:rPr>
          <w:b/>
        </w:rPr>
        <w:t xml:space="preserve">The presence of pornography can “alter a female’s status in the workplace. </w:t>
      </w:r>
    </w:p>
    <w:p w14:paraId="73C88215" w14:textId="77777777" w:rsidR="00487B33" w:rsidRDefault="00487B33" w:rsidP="00487B33">
      <w:pPr>
        <w:pStyle w:val="NoSpacing"/>
      </w:pPr>
    </w:p>
    <w:p w14:paraId="10F8A869" w14:textId="77777777" w:rsidR="007B6232" w:rsidRDefault="007B6232" w:rsidP="00292E1C">
      <w:pPr>
        <w:pStyle w:val="NoSpacing"/>
        <w:rPr>
          <w:rFonts w:ascii="Arial Black" w:hAnsi="Arial Black"/>
          <w:sz w:val="28"/>
          <w:szCs w:val="28"/>
        </w:rPr>
      </w:pPr>
    </w:p>
    <w:p w14:paraId="1F738C5A" w14:textId="77777777" w:rsidR="007B6232" w:rsidRDefault="007B6232" w:rsidP="00292E1C">
      <w:pPr>
        <w:pStyle w:val="NoSpacing"/>
        <w:rPr>
          <w:rFonts w:ascii="Arial Black" w:hAnsi="Arial Black"/>
          <w:sz w:val="28"/>
          <w:szCs w:val="28"/>
        </w:rPr>
      </w:pPr>
    </w:p>
    <w:p w14:paraId="55E7E88D" w14:textId="0CE3EFCF" w:rsidR="004578CE" w:rsidRDefault="00027641" w:rsidP="00292E1C">
      <w:pPr>
        <w:pStyle w:val="NoSpacing"/>
        <w:rPr>
          <w:rFonts w:ascii="Arial Black" w:hAnsi="Arial Black"/>
          <w:sz w:val="28"/>
          <w:szCs w:val="28"/>
        </w:rPr>
      </w:pPr>
      <w:r>
        <w:rPr>
          <w:rFonts w:ascii="Arial Black" w:hAnsi="Arial Black"/>
          <w:sz w:val="28"/>
          <w:szCs w:val="28"/>
        </w:rPr>
        <w:t>7-</w:t>
      </w:r>
      <w:r w:rsidR="001C06FF">
        <w:rPr>
          <w:rFonts w:ascii="Arial Black" w:hAnsi="Arial Black"/>
          <w:sz w:val="28"/>
          <w:szCs w:val="28"/>
        </w:rPr>
        <w:t>87</w:t>
      </w:r>
    </w:p>
    <w:p w14:paraId="78524C4A" w14:textId="77777777" w:rsidR="001C06FF" w:rsidRDefault="001C06FF" w:rsidP="00292E1C">
      <w:pPr>
        <w:pStyle w:val="NoSpacing"/>
        <w:rPr>
          <w:rFonts w:ascii="Arial Black" w:hAnsi="Arial Black"/>
          <w:sz w:val="28"/>
          <w:szCs w:val="28"/>
        </w:rPr>
      </w:pPr>
    </w:p>
    <w:p w14:paraId="12FE208E" w14:textId="77777777" w:rsidR="003F5F35" w:rsidRPr="00D6142A" w:rsidRDefault="003F5F35" w:rsidP="003F5F35">
      <w:pPr>
        <w:pStyle w:val="NoSpacing"/>
        <w:rPr>
          <w:rFonts w:ascii="Arial Black" w:hAnsi="Arial Black"/>
          <w:bCs/>
          <w:sz w:val="28"/>
          <w:szCs w:val="28"/>
        </w:rPr>
      </w:pPr>
      <w:r>
        <w:rPr>
          <w:rFonts w:ascii="Arial Black" w:hAnsi="Arial Black"/>
          <w:sz w:val="28"/>
          <w:szCs w:val="28"/>
        </w:rPr>
        <w:t>DC: HOSTILE WORK ENVIRON – BY SGT – CASE PROCEED</w:t>
      </w:r>
    </w:p>
    <w:p w14:paraId="3A33B01E" w14:textId="77777777" w:rsidR="003F5F35" w:rsidRDefault="003F5F35" w:rsidP="003F5F35">
      <w:pPr>
        <w:pStyle w:val="NoSpacing"/>
        <w:rPr>
          <w:bCs/>
        </w:rPr>
      </w:pPr>
    </w:p>
    <w:p w14:paraId="6BF84224" w14:textId="77777777" w:rsidR="003F5F35" w:rsidRDefault="003F5F35" w:rsidP="003F5F35">
      <w:pPr>
        <w:pStyle w:val="NoSpacing"/>
        <w:rPr>
          <w:bCs/>
        </w:rPr>
      </w:pPr>
      <w:r>
        <w:t xml:space="preserve">On February 12, 2026, in </w:t>
      </w:r>
      <w:r w:rsidRPr="00DD44A7">
        <w:rPr>
          <w:u w:val="single"/>
        </w:rPr>
        <w:t>Whitney Ward v. District of Columbia</w:t>
      </w:r>
      <w:r>
        <w:t xml:space="preserve">, U.S. District Court Judge Reggie B. Walton, </w:t>
      </w:r>
      <w:r w:rsidRPr="00A610BD">
        <w:t>United States District Court, District of Columbia</w:t>
      </w:r>
      <w:r>
        <w:t xml:space="preserve">, held that the hostile work atmosphere case may proceed based on her allegation [black female in Fire Investigations Unit] of conduct by her direct supervisor, but there was no evidence of retaliation by the fire department after filing an EEOC complaint (she was promoted to Sergeant in October 2024 and transferred to an Engine company).  THE COURT HELD: </w:t>
      </w:r>
      <w:r w:rsidRPr="003358D2">
        <w:t>The plaintiff alleges that Sgt. F</w:t>
      </w:r>
      <w:r>
        <w:t>ord  ‘</w:t>
      </w:r>
      <w:r w:rsidRPr="003358D2">
        <w:t>inappropriate and overly sexual conduct</w:t>
      </w:r>
      <w:r>
        <w:t>’</w:t>
      </w:r>
      <w:r w:rsidRPr="003358D2">
        <w:t xml:space="preserve"> continued </w:t>
      </w:r>
      <w:r>
        <w:t>‘</w:t>
      </w:r>
      <w:r w:rsidRPr="003358D2">
        <w:t>over the course of years,</w:t>
      </w:r>
      <w:r>
        <w:t xml:space="preserve">’ … </w:t>
      </w:r>
      <w:r w:rsidRPr="003358D2">
        <w:t xml:space="preserve">and that </w:t>
      </w:r>
      <w:r>
        <w:t>‘</w:t>
      </w:r>
      <w:r w:rsidRPr="003358D2">
        <w:t>Sgt. F</w:t>
      </w:r>
      <w:r>
        <w:t>ord</w:t>
      </w:r>
      <w:r w:rsidRPr="003358D2">
        <w:t xml:space="preserve"> </w:t>
      </w:r>
      <w:r>
        <w:t xml:space="preserve"> </w:t>
      </w:r>
      <w:r w:rsidRPr="003358D2">
        <w:t>comments were accompanied by lewd and suggestive non-verbal traits, such as tone of voice and facial expressions</w:t>
      </w:r>
      <w:r>
        <w:t xml:space="preserve">’ </w:t>
      </w:r>
      <w:r w:rsidRPr="003358D2">
        <w:t xml:space="preserve"> that the plaintiff represents </w:t>
      </w:r>
      <w:r>
        <w:t>‘</w:t>
      </w:r>
      <w:r w:rsidRPr="003358D2">
        <w:t>made clear that his comments were of a flirtatious or solicitous nature, which made [her] extremely uncomfortable[,]</w:t>
      </w:r>
      <w:r>
        <w:t xml:space="preserve">’ … </w:t>
      </w:r>
      <w:r w:rsidRPr="003358D2">
        <w:t xml:space="preserve">The plaintiff states that she was the only woman on her shift and </w:t>
      </w:r>
      <w:r>
        <w:t>‘</w:t>
      </w:r>
      <w:r w:rsidRPr="003358D2">
        <w:t>[Sgt.]</w:t>
      </w:r>
      <w:r>
        <w:t xml:space="preserve"> </w:t>
      </w:r>
      <w:r w:rsidRPr="003358D2">
        <w:t>F</w:t>
      </w:r>
      <w:r>
        <w:t xml:space="preserve">ord </w:t>
      </w:r>
      <w:r w:rsidRPr="003358D2">
        <w:t>repeated objectification and sexualization</w:t>
      </w:r>
      <w:r>
        <w:t>’</w:t>
      </w:r>
      <w:r w:rsidRPr="003358D2">
        <w:t xml:space="preserve"> made her </w:t>
      </w:r>
      <w:r>
        <w:t>‘</w:t>
      </w:r>
      <w:r w:rsidRPr="003358D2">
        <w:t xml:space="preserve">go [through] </w:t>
      </w:r>
      <w:r w:rsidRPr="003358D2">
        <w:lastRenderedPageBreak/>
        <w:t>extra lengths and efforts to be taken seriously by her male colleagues.</w:t>
      </w:r>
      <w:r>
        <w:t xml:space="preserve">’ … </w:t>
      </w:r>
      <w:r w:rsidRPr="003358D2">
        <w:t xml:space="preserve"> </w:t>
      </w:r>
      <w:r w:rsidRPr="00AB090B">
        <w:t>Then, during a shift change on or about June 21, 2023, while the plaintiff was speaking with a friend and colleague about a new tattoo on her leg</w:t>
      </w:r>
      <w:r>
        <w:t xml:space="preserve"> … </w:t>
      </w:r>
      <w:r w:rsidRPr="00AB090B">
        <w:t>Sgt</w:t>
      </w:r>
      <w:r>
        <w:t xml:space="preserve">, </w:t>
      </w:r>
      <w:r w:rsidRPr="003358D2">
        <w:t>F</w:t>
      </w:r>
      <w:r>
        <w:t xml:space="preserve">ord </w:t>
      </w:r>
      <w:r w:rsidRPr="00AB090B">
        <w:t xml:space="preserve">approached the plaintiff </w:t>
      </w:r>
      <w:r>
        <w:t>‘</w:t>
      </w:r>
      <w:r w:rsidRPr="00AB090B">
        <w:t>in an aggressive manner and stated, ‘Is that flavored ink they used? What flavor is that?</w:t>
      </w:r>
      <w:r>
        <w:t xml:space="preserve">’ … </w:t>
      </w:r>
      <w:r w:rsidRPr="00AB090B">
        <w:t xml:space="preserve">with </w:t>
      </w:r>
      <w:r>
        <w:t>‘</w:t>
      </w:r>
      <w:r w:rsidRPr="00AB090B">
        <w:t>an expression on his face like he was salivating or hungry to taste something[,]</w:t>
      </w:r>
      <w:r>
        <w:t xml:space="preserve">’ …  </w:t>
      </w:r>
      <w:r w:rsidRPr="00AB090B">
        <w:t>Another colleague intervened, telling Sgt. F</w:t>
      </w:r>
      <w:r>
        <w:t xml:space="preserve"> </w:t>
      </w:r>
      <w:r w:rsidRPr="00AB090B">
        <w:t xml:space="preserve">that he </w:t>
      </w:r>
      <w:r>
        <w:t>‘</w:t>
      </w:r>
      <w:r w:rsidRPr="00AB090B">
        <w:t>better back up and leave her alone[.]</w:t>
      </w:r>
      <w:r>
        <w:t xml:space="preserve"> … </w:t>
      </w:r>
      <w:r w:rsidRPr="000215FD">
        <w:t>The plaintiff reported Sgt.</w:t>
      </w:r>
      <w:r>
        <w:t xml:space="preserve"> </w:t>
      </w:r>
      <w:r w:rsidRPr="003358D2">
        <w:t>F</w:t>
      </w:r>
      <w:r>
        <w:t xml:space="preserve">ord </w:t>
      </w:r>
      <w:r w:rsidRPr="000215FD">
        <w:t>to Capt. Brian Phillips</w:t>
      </w:r>
      <w:r>
        <w:t xml:space="preserve"> … </w:t>
      </w:r>
      <w:r w:rsidRPr="000215FD">
        <w:t xml:space="preserve">who </w:t>
      </w:r>
      <w:r>
        <w:t>‘</w:t>
      </w:r>
      <w:r w:rsidRPr="000215FD">
        <w:t>called Sgt. Ford into his office and told [him] that his conduct was unacceptable, especially given that Sgt. Ford was ostensibly an [Equal Employment Opportunity (‘EEO')] counselor for the department</w:t>
      </w:r>
      <w:r>
        <w:t xml:space="preserve">.’… </w:t>
      </w:r>
      <w:r w:rsidRPr="004A28FA">
        <w:t>In response to what had occurred, the plaintiff filed an EEO complaint on January 8, 2024</w:t>
      </w:r>
      <w:r>
        <w:t xml:space="preserve">. *** </w:t>
      </w:r>
      <w:r w:rsidRPr="00A07375">
        <w:t>As the Court has already concluded, the plaintiff alleges that Sgt.</w:t>
      </w:r>
      <w:r>
        <w:t xml:space="preserve"> </w:t>
      </w:r>
      <w:r w:rsidRPr="003358D2">
        <w:t>F</w:t>
      </w:r>
      <w:r>
        <w:t xml:space="preserve">ord </w:t>
      </w:r>
      <w:r w:rsidRPr="00A07375">
        <w:t>conduct was both frequent and lasted over the course of years, and that Sgt.</w:t>
      </w:r>
      <w:r w:rsidRPr="00FB3525">
        <w:t xml:space="preserve"> </w:t>
      </w:r>
      <w:r w:rsidRPr="003358D2">
        <w:t>F</w:t>
      </w:r>
      <w:r>
        <w:t>ord.</w:t>
      </w:r>
      <w:r w:rsidRPr="00A07375">
        <w:t xml:space="preserve"> comments and actions were sufficiently humiliating or degrading to support her Title VII hostile work environment claim at this stage of the case.</w:t>
      </w:r>
      <w:r>
        <w:t>”</w:t>
      </w:r>
    </w:p>
    <w:p w14:paraId="2E0E57B7" w14:textId="77777777" w:rsidR="003F5F35" w:rsidRDefault="003F5F35" w:rsidP="003F5F35">
      <w:pPr>
        <w:pStyle w:val="NoSpacing"/>
        <w:rPr>
          <w:bCs/>
        </w:rPr>
      </w:pPr>
    </w:p>
    <w:p w14:paraId="7747CC09" w14:textId="77777777" w:rsidR="003F5F35" w:rsidRPr="00704126" w:rsidRDefault="003F5F35" w:rsidP="003F5F35">
      <w:pPr>
        <w:pStyle w:val="NoSpacing"/>
        <w:rPr>
          <w:b/>
          <w:bCs/>
        </w:rPr>
      </w:pPr>
      <w:r>
        <w:rPr>
          <w:b/>
        </w:rPr>
        <w:t xml:space="preserve">Legal lesson learned: Comments by a Supervisor can lead to a hostile work environment lawsuit against the employer. </w:t>
      </w:r>
    </w:p>
    <w:p w14:paraId="186B7D31" w14:textId="77777777" w:rsidR="003F5F35" w:rsidRDefault="003F5F35" w:rsidP="003F5F35">
      <w:pPr>
        <w:pStyle w:val="NoSpacing"/>
      </w:pPr>
    </w:p>
    <w:p w14:paraId="721A1120" w14:textId="77777777" w:rsidR="001C06FF" w:rsidRDefault="001C06FF" w:rsidP="00292E1C">
      <w:pPr>
        <w:pStyle w:val="NoSpacing"/>
        <w:rPr>
          <w:rFonts w:ascii="Arial Black" w:hAnsi="Arial Black"/>
          <w:sz w:val="28"/>
          <w:szCs w:val="28"/>
        </w:rPr>
      </w:pPr>
    </w:p>
    <w:p w14:paraId="42B6121B" w14:textId="77777777" w:rsidR="004578CE" w:rsidRDefault="004578CE" w:rsidP="00292E1C">
      <w:pPr>
        <w:pStyle w:val="NoSpacing"/>
        <w:rPr>
          <w:rFonts w:ascii="Arial Black" w:hAnsi="Arial Black"/>
          <w:sz w:val="28"/>
          <w:szCs w:val="28"/>
        </w:rPr>
      </w:pPr>
    </w:p>
    <w:p w14:paraId="2C7F453D" w14:textId="77777777" w:rsidR="004578CE" w:rsidRDefault="004578CE" w:rsidP="00292E1C">
      <w:pPr>
        <w:pStyle w:val="NoSpacing"/>
        <w:rPr>
          <w:rFonts w:ascii="Arial Black" w:hAnsi="Arial Black"/>
          <w:sz w:val="28"/>
          <w:szCs w:val="28"/>
        </w:rPr>
      </w:pPr>
    </w:p>
    <w:p w14:paraId="59780365" w14:textId="5DE16F7F" w:rsidR="00C6586C" w:rsidRDefault="00C6586C" w:rsidP="00292E1C">
      <w:pPr>
        <w:pStyle w:val="NoSpacing"/>
        <w:rPr>
          <w:rFonts w:ascii="Arial Black" w:hAnsi="Arial Black"/>
          <w:sz w:val="28"/>
          <w:szCs w:val="28"/>
        </w:rPr>
      </w:pPr>
      <w:r>
        <w:rPr>
          <w:rFonts w:ascii="Arial Black" w:hAnsi="Arial Black"/>
          <w:sz w:val="28"/>
          <w:szCs w:val="28"/>
        </w:rPr>
        <w:t>7-86</w:t>
      </w:r>
    </w:p>
    <w:p w14:paraId="488FA2E9" w14:textId="77777777" w:rsidR="00C6586C" w:rsidRDefault="00C6586C" w:rsidP="00292E1C">
      <w:pPr>
        <w:pStyle w:val="NoSpacing"/>
        <w:rPr>
          <w:rFonts w:ascii="Arial Black" w:hAnsi="Arial Black"/>
          <w:sz w:val="28"/>
          <w:szCs w:val="28"/>
        </w:rPr>
      </w:pPr>
    </w:p>
    <w:p w14:paraId="27C9FC8E" w14:textId="345E2555" w:rsidR="00C6586C" w:rsidRPr="00111FFC" w:rsidRDefault="00C6586C" w:rsidP="00C6586C">
      <w:pPr>
        <w:rPr>
          <w:rFonts w:ascii="Arial Black" w:hAnsi="Arial Black"/>
          <w:b/>
          <w:sz w:val="28"/>
          <w:szCs w:val="28"/>
        </w:rPr>
      </w:pPr>
      <w:r>
        <w:rPr>
          <w:rFonts w:ascii="Arial Black" w:hAnsi="Arial Black"/>
          <w:b/>
          <w:sz w:val="28"/>
          <w:szCs w:val="28"/>
        </w:rPr>
        <w:t xml:space="preserve">VA: FEMALE EMT - FIRED WRONG DATE </w:t>
      </w:r>
      <w:r w:rsidR="007E7FBC">
        <w:rPr>
          <w:rFonts w:ascii="Arial Black" w:hAnsi="Arial Black"/>
          <w:b/>
          <w:sz w:val="28"/>
          <w:szCs w:val="28"/>
        </w:rPr>
        <w:t xml:space="preserve">ON </w:t>
      </w:r>
      <w:r>
        <w:rPr>
          <w:rFonts w:ascii="Arial Black" w:hAnsi="Arial Black"/>
          <w:b/>
          <w:sz w:val="28"/>
          <w:szCs w:val="28"/>
        </w:rPr>
        <w:t xml:space="preserve">RPT – </w:t>
      </w:r>
      <w:r w:rsidR="004035C1">
        <w:rPr>
          <w:rFonts w:ascii="Arial Black" w:hAnsi="Arial Black"/>
          <w:b/>
          <w:sz w:val="28"/>
          <w:szCs w:val="28"/>
        </w:rPr>
        <w:t xml:space="preserve">CASE </w:t>
      </w:r>
      <w:r>
        <w:rPr>
          <w:rFonts w:ascii="Arial Black" w:hAnsi="Arial Black"/>
          <w:b/>
          <w:sz w:val="28"/>
          <w:szCs w:val="28"/>
        </w:rPr>
        <w:t xml:space="preserve">PROCEED  </w:t>
      </w:r>
    </w:p>
    <w:p w14:paraId="0AEA9899" w14:textId="77777777" w:rsidR="00C6586C" w:rsidRPr="00A47355" w:rsidRDefault="00C6586C" w:rsidP="00C6586C">
      <w:pPr>
        <w:pStyle w:val="NoSpacing"/>
      </w:pPr>
      <w:r>
        <w:t xml:space="preserve">On January 22, 2026, in </w:t>
      </w:r>
      <w:r w:rsidRPr="00F05AFE">
        <w:rPr>
          <w:u w:val="single"/>
        </w:rPr>
        <w:t>Jada Marshall v. Accomack County Department of Public Safety</w:t>
      </w:r>
      <w:r>
        <w:t>, U.S. District Court Judge Raymond A. Jackson, United States District Court for Eastern District of Virginia,  Norfolk, denied defense motion to dismiss the lawsuit. “</w:t>
      </w:r>
      <w:r w:rsidRPr="000F0BD1">
        <w:t>When reviewed in totality, Plaintiffs workplace circumstances establish conditions sufficient for a sex-based hostile workplace claim to survive at this stage.</w:t>
      </w:r>
      <w:r>
        <w:t xml:space="preserve">” </w:t>
      </w:r>
      <w:hyperlink r:id="rId1340" w:history="1">
        <w:r w:rsidRPr="003F4532">
          <w:rPr>
            <w:rStyle w:val="Hyperlink"/>
          </w:rPr>
          <w:t>https://cases.justia.com/federal/district-courts/virginia/vaedce/2:2025cv00255/573201/8/0.pdf?ts=1769187301</w:t>
        </w:r>
      </w:hyperlink>
      <w:r>
        <w:t xml:space="preserve"> </w:t>
      </w:r>
    </w:p>
    <w:p w14:paraId="64ECE438" w14:textId="77777777" w:rsidR="00C6586C" w:rsidRDefault="00C6586C" w:rsidP="00C6586C">
      <w:pPr>
        <w:pStyle w:val="NoSpacing"/>
      </w:pPr>
    </w:p>
    <w:p w14:paraId="6EFC32D9" w14:textId="77777777" w:rsidR="00C6586C" w:rsidRDefault="00C6586C" w:rsidP="00C6586C">
      <w:pPr>
        <w:pStyle w:val="NoSpacing"/>
      </w:pPr>
      <w:r>
        <w:t xml:space="preserve">THE COURT HELD: </w:t>
      </w:r>
    </w:p>
    <w:p w14:paraId="5C37AE5C" w14:textId="77777777" w:rsidR="00C6586C" w:rsidRDefault="00C6586C" w:rsidP="00C6586C">
      <w:pPr>
        <w:pStyle w:val="NoSpacing"/>
      </w:pPr>
    </w:p>
    <w:p w14:paraId="5F28DF41" w14:textId="77777777" w:rsidR="00C6586C" w:rsidRDefault="00C6586C" w:rsidP="00C6586C">
      <w:pPr>
        <w:pStyle w:val="NoSpacing"/>
        <w:ind w:left="720"/>
      </w:pPr>
      <w:r>
        <w:t>“</w:t>
      </w:r>
      <w:r w:rsidRPr="00FD2B4B">
        <w:t>Plaintiff began employment on September 5, 2023</w:t>
      </w:r>
      <w:r>
        <w:t xml:space="preserve">…. </w:t>
      </w:r>
      <w:r w:rsidRPr="00FD2B4B">
        <w:t xml:space="preserve"> As a condition of her employment, Plaintiff was required to complete Advanced EMT and Firefighter training at the Fire Academy within 12 months of her date of hire</w:t>
      </w:r>
      <w:r>
        <w:t xml:space="preserve">… </w:t>
      </w:r>
      <w:r w:rsidRPr="00FD2B4B">
        <w:t xml:space="preserve"> On October 12, 2023, Plaintiffs Fire Academy instructor, Phillip </w:t>
      </w:r>
      <w:proofErr w:type="gramStart"/>
      <w:r w:rsidRPr="00FD2B4B">
        <w:t>Kelly (</w:t>
      </w:r>
      <w:r>
        <w:t>‘</w:t>
      </w:r>
      <w:proofErr w:type="gramEnd"/>
      <w:r w:rsidRPr="00FD2B4B">
        <w:t xml:space="preserve">Instructor </w:t>
      </w:r>
      <w:proofErr w:type="gramStart"/>
      <w:r w:rsidRPr="00FD2B4B">
        <w:t>Kelly</w:t>
      </w:r>
      <w:r>
        <w:t>’</w:t>
      </w:r>
      <w:r w:rsidRPr="00FD2B4B">
        <w:t>)</w:t>
      </w:r>
      <w:proofErr w:type="gramEnd"/>
      <w:r w:rsidRPr="00FD2B4B">
        <w:t xml:space="preserve">, sent Plaintiff a text message stating, </w:t>
      </w:r>
      <w:r>
        <w:t>‘</w:t>
      </w:r>
      <w:r w:rsidRPr="00FD2B4B">
        <w:t>I would ask you out if I was not married.</w:t>
      </w:r>
      <w:r>
        <w:t xml:space="preserve">’ … </w:t>
      </w:r>
      <w:r w:rsidRPr="006B05C1">
        <w:t>Plaintiff reported the perceived harassment to her supervisor, Captain Shawn Malone (</w:t>
      </w:r>
      <w:r>
        <w:t>‘</w:t>
      </w:r>
      <w:r w:rsidRPr="006B05C1">
        <w:t>Cpt. Malone</w:t>
      </w:r>
      <w:r>
        <w:t>’</w:t>
      </w:r>
      <w:r w:rsidRPr="006B05C1">
        <w:t>)</w:t>
      </w:r>
      <w:r>
        <w:t>…. P</w:t>
      </w:r>
      <w:r w:rsidRPr="006B05C1">
        <w:t xml:space="preserve">laintiff alleges that, following this report, Cpt. Malone </w:t>
      </w:r>
      <w:r>
        <w:t>‘</w:t>
      </w:r>
      <w:r w:rsidRPr="006B05C1">
        <w:t>blamed</w:t>
      </w:r>
      <w:r>
        <w:t>’</w:t>
      </w:r>
      <w:r w:rsidRPr="006B05C1">
        <w:t xml:space="preserve"> and </w:t>
      </w:r>
      <w:r>
        <w:t>‘</w:t>
      </w:r>
      <w:r w:rsidRPr="006B05C1">
        <w:t>belittled</w:t>
      </w:r>
      <w:r>
        <w:t>’</w:t>
      </w:r>
      <w:r w:rsidRPr="006B05C1">
        <w:t xml:space="preserve"> her, rather than disciplining Instructor Kelly or reporting her complaint to the County Administrator as required by DPS policy</w:t>
      </w:r>
      <w:r>
        <w:t xml:space="preserve">…. </w:t>
      </w:r>
      <w:r w:rsidRPr="006B05C1">
        <w:t xml:space="preserve">Cpt. Malone also told Plaintiff that </w:t>
      </w:r>
      <w:r>
        <w:t>‘</w:t>
      </w:r>
      <w:r w:rsidRPr="006B05C1">
        <w:t>she was not mature or mentally fit enough to work for DPS,</w:t>
      </w:r>
      <w:r>
        <w:t>’</w:t>
      </w:r>
      <w:r w:rsidRPr="006B05C1">
        <w:t xml:space="preserve"> </w:t>
      </w:r>
      <w:r>
        <w:t>‘</w:t>
      </w:r>
      <w:r w:rsidRPr="006B05C1">
        <w:t>she needed therapy</w:t>
      </w:r>
      <w:r>
        <w:t>’</w:t>
      </w:r>
      <w:r w:rsidRPr="006B05C1">
        <w:t xml:space="preserve"> and </w:t>
      </w:r>
      <w:r>
        <w:t>‘</w:t>
      </w:r>
      <w:r w:rsidRPr="006B05C1">
        <w:t>she should get her home life straight.</w:t>
      </w:r>
      <w:r>
        <w:t xml:space="preserve">’ … </w:t>
      </w:r>
      <w:r w:rsidRPr="006B05C1">
        <w:t xml:space="preserve">Cpt. Malone also spoke to coworkers about Plaintiff, allegedly saying Plaintiff had engaged in sexual relationships with other co-workers and that Plaintiff should </w:t>
      </w:r>
      <w:r>
        <w:t>‘</w:t>
      </w:r>
      <w:r w:rsidRPr="006B05C1">
        <w:t>close her legs and do her job.</w:t>
      </w:r>
      <w:r>
        <w:t xml:space="preserve">’ … </w:t>
      </w:r>
      <w:r w:rsidRPr="00A47355">
        <w:t>On March 1, 2024, HR sent Plaintiff a letter granting her thirty additional days to complete the required training shifts</w:t>
      </w:r>
      <w:r>
        <w:t xml:space="preserve">…. </w:t>
      </w:r>
      <w:r w:rsidRPr="00A47355">
        <w:t>Plaintiff subsequently completed all required clinical shifts during the granted extension and submitted documentation to Defendant to verify the completed shifts</w:t>
      </w:r>
      <w:r>
        <w:t xml:space="preserve">…. </w:t>
      </w:r>
      <w:r w:rsidRPr="00A47355">
        <w:t>However, Plaintiff realized she incorrectly entered a date on the paperwork</w:t>
      </w:r>
      <w:r>
        <w:t xml:space="preserve">…. </w:t>
      </w:r>
      <w:r w:rsidRPr="00A47355">
        <w:t>Plaintiff attempted to correct the documents, but Defendant did not accept her correction</w:t>
      </w:r>
      <w:r>
        <w:t xml:space="preserve">…. </w:t>
      </w:r>
      <w:r w:rsidRPr="00A47355">
        <w:t>Instead, Defendant informed Plaintiff that she was being terminated, and cited the filing error as the sole reason for her termination</w:t>
      </w:r>
      <w:r>
        <w:t xml:space="preserve">…. </w:t>
      </w:r>
      <w:r w:rsidRPr="00A47355">
        <w:t>On March 26, 2024, Plaintiff received a letter from Defendant formalizing her termination.</w:t>
      </w:r>
    </w:p>
    <w:p w14:paraId="3E09A6AB" w14:textId="77777777" w:rsidR="00C6586C" w:rsidRDefault="00C6586C" w:rsidP="00C6586C">
      <w:pPr>
        <w:pStyle w:val="NoSpacing"/>
        <w:ind w:left="720"/>
      </w:pPr>
    </w:p>
    <w:p w14:paraId="134BB0BC" w14:textId="77777777" w:rsidR="00C6586C" w:rsidRPr="00A47355" w:rsidRDefault="00C6586C" w:rsidP="00C6586C">
      <w:pPr>
        <w:pStyle w:val="NoSpacing"/>
        <w:ind w:left="720"/>
      </w:pPr>
      <w:r>
        <w:t xml:space="preserve">*** </w:t>
      </w:r>
      <w:r w:rsidRPr="00A47355">
        <w:t xml:space="preserve"> </w:t>
      </w:r>
    </w:p>
    <w:p w14:paraId="59C7E221" w14:textId="77777777" w:rsidR="00C6586C" w:rsidRDefault="00C6586C" w:rsidP="00C6586C">
      <w:pPr>
        <w:pStyle w:val="NoSpacing"/>
        <w:ind w:left="720"/>
        <w:rPr>
          <w:b/>
          <w:bCs/>
        </w:rPr>
      </w:pPr>
      <w:r w:rsidRPr="00962B39">
        <w:t xml:space="preserve">Instructor Kelly's implicit proposition, in addition to Cpt. Malone's disparaging comments about Plaintiff </w:t>
      </w:r>
      <w:r>
        <w:t>‘</w:t>
      </w:r>
      <w:r w:rsidRPr="00962B39">
        <w:t>keeping her legs closed,</w:t>
      </w:r>
      <w:r>
        <w:t>’</w:t>
      </w:r>
      <w:r w:rsidRPr="00962B39">
        <w:t xml:space="preserve"> indicate inappropriate sexual discussion by Plaintiffs superiors in her workplace. And, although a hostile workplace claim must meet a demanding standard, courts in this district have found that sexual </w:t>
      </w:r>
      <w:r w:rsidRPr="00962B39">
        <w:lastRenderedPageBreak/>
        <w:t xml:space="preserve">harassment by one's supervisor is more likely to meet that standard because of the influence the supervisor may have on the workplace and </w:t>
      </w:r>
      <w:proofErr w:type="gramStart"/>
      <w:r w:rsidRPr="00962B39">
        <w:t>in light of</w:t>
      </w:r>
      <w:proofErr w:type="gramEnd"/>
      <w:r w:rsidRPr="00962B39">
        <w:t xml:space="preserve"> the inherent power imbalance</w:t>
      </w:r>
      <w:r>
        <w:t xml:space="preserve">.” </w:t>
      </w:r>
    </w:p>
    <w:p w14:paraId="643AF0EA" w14:textId="77777777" w:rsidR="00C6586C" w:rsidRDefault="00C6586C" w:rsidP="00C6586C">
      <w:pPr>
        <w:pStyle w:val="NoSpacing"/>
        <w:rPr>
          <w:b/>
          <w:bCs/>
        </w:rPr>
      </w:pPr>
    </w:p>
    <w:p w14:paraId="4439348C" w14:textId="77777777" w:rsidR="00C6586C" w:rsidRDefault="00C6586C" w:rsidP="00C6586C">
      <w:pPr>
        <w:pStyle w:val="NoSpacing"/>
        <w:rPr>
          <w:b/>
          <w:bCs/>
        </w:rPr>
      </w:pPr>
      <w:r>
        <w:rPr>
          <w:b/>
        </w:rPr>
        <w:t xml:space="preserve">Legal lesson learned: If an officer believes FF / EMT is not mentally “not fit for the job” then work with HR to get employee professionally evaluated. </w:t>
      </w:r>
    </w:p>
    <w:p w14:paraId="61A1BC25" w14:textId="77777777" w:rsidR="00C6586C" w:rsidRDefault="00C6586C" w:rsidP="00C6586C">
      <w:pPr>
        <w:pStyle w:val="NoSpacing"/>
        <w:rPr>
          <w:b/>
          <w:bCs/>
        </w:rPr>
      </w:pPr>
    </w:p>
    <w:p w14:paraId="75F73570" w14:textId="77777777" w:rsidR="00C6586C" w:rsidRDefault="00C6586C" w:rsidP="00292E1C">
      <w:pPr>
        <w:pStyle w:val="NoSpacing"/>
        <w:rPr>
          <w:rFonts w:ascii="Arial Black" w:hAnsi="Arial Black"/>
          <w:sz w:val="28"/>
          <w:szCs w:val="28"/>
        </w:rPr>
      </w:pPr>
    </w:p>
    <w:p w14:paraId="31562364" w14:textId="77777777" w:rsidR="00C6586C" w:rsidRDefault="00C6586C" w:rsidP="00292E1C">
      <w:pPr>
        <w:pStyle w:val="NoSpacing"/>
        <w:rPr>
          <w:rFonts w:ascii="Arial Black" w:hAnsi="Arial Black"/>
          <w:sz w:val="28"/>
          <w:szCs w:val="28"/>
        </w:rPr>
      </w:pPr>
    </w:p>
    <w:p w14:paraId="7E211B60" w14:textId="6C270E22" w:rsidR="007774D2" w:rsidRDefault="00215605" w:rsidP="00292E1C">
      <w:pPr>
        <w:pStyle w:val="NoSpacing"/>
        <w:rPr>
          <w:rFonts w:ascii="Arial Black" w:hAnsi="Arial Black"/>
          <w:sz w:val="28"/>
          <w:szCs w:val="28"/>
        </w:rPr>
      </w:pPr>
      <w:r>
        <w:rPr>
          <w:rFonts w:ascii="Arial Black" w:hAnsi="Arial Black"/>
          <w:sz w:val="28"/>
          <w:szCs w:val="28"/>
        </w:rPr>
        <w:t>7-85</w:t>
      </w:r>
    </w:p>
    <w:p w14:paraId="57612908" w14:textId="77777777" w:rsidR="00215605" w:rsidRDefault="00215605" w:rsidP="00292E1C">
      <w:pPr>
        <w:pStyle w:val="NoSpacing"/>
        <w:rPr>
          <w:rFonts w:ascii="Arial Black" w:hAnsi="Arial Black"/>
          <w:sz w:val="28"/>
          <w:szCs w:val="28"/>
        </w:rPr>
      </w:pPr>
    </w:p>
    <w:p w14:paraId="4365C3FE" w14:textId="77777777" w:rsidR="00215605" w:rsidRPr="00475917" w:rsidRDefault="00215605" w:rsidP="00215605">
      <w:pPr>
        <w:rPr>
          <w:rFonts w:ascii="Arial Black" w:hAnsi="Arial Black"/>
          <w:sz w:val="28"/>
          <w:szCs w:val="28"/>
        </w:rPr>
      </w:pPr>
      <w:r>
        <w:rPr>
          <w:rFonts w:ascii="Arial Black" w:hAnsi="Arial Black"/>
          <w:sz w:val="28"/>
          <w:szCs w:val="28"/>
        </w:rPr>
        <w:t xml:space="preserve">DE: EMT / VOL. FD – “OFFENSIVE JOKES” – FIRING UPHELD </w:t>
      </w:r>
    </w:p>
    <w:p w14:paraId="321CC0D0" w14:textId="77777777" w:rsidR="00215605" w:rsidRPr="00CC347E" w:rsidRDefault="00215605" w:rsidP="00215605">
      <w:r>
        <w:t xml:space="preserve">On November 25, 2025, in </w:t>
      </w:r>
      <w:r w:rsidRPr="00161B10">
        <w:rPr>
          <w:u w:val="single"/>
        </w:rPr>
        <w:t xml:space="preserve">Steven Germain v. Cara Viera, </w:t>
      </w:r>
      <w:r>
        <w:rPr>
          <w:u w:val="single"/>
        </w:rPr>
        <w:t xml:space="preserve">et al., </w:t>
      </w:r>
      <w:r w:rsidRPr="00161B10">
        <w:rPr>
          <w:u w:val="single"/>
        </w:rPr>
        <w:t xml:space="preserve">Mill Creek Board of Directors, </w:t>
      </w:r>
      <w:r>
        <w:t xml:space="preserve">Judge </w:t>
      </w:r>
      <w:r w:rsidRPr="00FE1B2D">
        <w:t>Sonia Augusthy</w:t>
      </w:r>
      <w:r>
        <w:t xml:space="preserve">, </w:t>
      </w:r>
      <w:r w:rsidRPr="00FE1B2D">
        <w:t>Superior Court of Delaware</w:t>
      </w:r>
      <w:r>
        <w:t>, granted the defendants’ motion to dismiss.  The Fire Department is a non-profit, non-governmental entity.  The plaintiff claimed [pro se – not represented by an attorney] was not granted due process; fired by the Board of Directors without a hearing five days after sending an e-mail to female that he claimed was merely an “offensive joke.” THE COURT WROTE: “</w:t>
      </w:r>
      <w:r w:rsidRPr="00706508">
        <w:t xml:space="preserve">Steven Germain, a longtime volunteer of a non-profit private entity, admittedly sent a text message to a female associate, indicating he </w:t>
      </w:r>
      <w:r>
        <w:t>‘</w:t>
      </w:r>
      <w:r w:rsidRPr="00706508">
        <w:t>had a mental thought of slapping her on the butt.</w:t>
      </w:r>
      <w:r>
        <w:t xml:space="preserve"> </w:t>
      </w:r>
      <w:r w:rsidRPr="00AD6501">
        <w:t>She responded that would be inappropriate. He acknowledged she was correct and apologized. This incident was reported.</w:t>
      </w:r>
      <w:r>
        <w:t xml:space="preserve">*** </w:t>
      </w:r>
      <w:r w:rsidRPr="006115E8">
        <w:t xml:space="preserve">Plaintiff was notified of the issue and given an opportunity to respond. In a written response he admitted to </w:t>
      </w:r>
      <w:r>
        <w:t>‘</w:t>
      </w:r>
      <w:r w:rsidRPr="006115E8">
        <w:t>offensive jokes,</w:t>
      </w:r>
      <w:r>
        <w:t>’</w:t>
      </w:r>
      <w:r w:rsidRPr="006115E8">
        <w:t xml:space="preserve"> which expressly violates the policy he cites. The </w:t>
      </w:r>
      <w:r>
        <w:t>‘</w:t>
      </w:r>
      <w:r w:rsidRPr="006115E8">
        <w:t>government</w:t>
      </w:r>
      <w:r>
        <w:t>’</w:t>
      </w:r>
      <w:r w:rsidRPr="006115E8">
        <w:t xml:space="preserve"> interest of Mill Creek is to ensure a safe and respectful environment for members and the community they serve. Even under the facts as alleged by Plaintiff, he received sufficient due process</w:t>
      </w:r>
      <w:r>
        <w:t xml:space="preserve">…. </w:t>
      </w:r>
      <w:r w:rsidRPr="002724DC">
        <w:t>As for defamation, Defendants argue Plaintiff failed to identify a defamatory statement within the Complaint. Further, they argue because Plaintiff admitted making the comment, and acknowledged it as an offensive joke</w:t>
      </w:r>
      <w:r>
        <w:t xml:space="preserve">.” </w:t>
      </w:r>
      <w:hyperlink r:id="rId1341" w:history="1">
        <w:r w:rsidRPr="00CC347E">
          <w:rPr>
            <w:rStyle w:val="Hyperlink"/>
          </w:rPr>
          <w:t>https://cases.justia.com/delaware/superior-court/2025-n25c-08-098-ssa.pdf?ts=1764099129</w:t>
        </w:r>
      </w:hyperlink>
      <w:r w:rsidRPr="00CC347E">
        <w:t xml:space="preserve"> </w:t>
      </w:r>
    </w:p>
    <w:p w14:paraId="141DC7BA" w14:textId="77777777" w:rsidR="00215605" w:rsidRDefault="00215605" w:rsidP="00215605">
      <w:r>
        <w:t>THE COURT HELD:</w:t>
      </w:r>
    </w:p>
    <w:p w14:paraId="5583EE14" w14:textId="77777777" w:rsidR="00215605" w:rsidRDefault="00215605" w:rsidP="00215605">
      <w:pPr>
        <w:ind w:firstLine="720"/>
      </w:pPr>
      <w:r>
        <w:t>“</w:t>
      </w:r>
      <w:r w:rsidRPr="00B8450A">
        <w:t>Plaintiff was a volunteer with the Fire Department for over 14 years.</w:t>
      </w:r>
    </w:p>
    <w:p w14:paraId="4151685B" w14:textId="77777777" w:rsidR="00215605" w:rsidRDefault="00215605" w:rsidP="00215605">
      <w:pPr>
        <w:ind w:firstLine="720"/>
      </w:pPr>
      <w:r>
        <w:t>***</w:t>
      </w:r>
    </w:p>
    <w:p w14:paraId="6B1D44E5" w14:textId="77777777" w:rsidR="00215605" w:rsidRPr="00B73F86" w:rsidRDefault="00215605" w:rsidP="00215605">
      <w:pPr>
        <w:ind w:left="720"/>
      </w:pPr>
      <w:r w:rsidRPr="00B73F86">
        <w:t xml:space="preserve">After the text exchange outlined above, Plaintiff was notified by letter that Fire Department leadership received a formal complaint, alleging a violation of the sexual harassment and conduct policies. The letter notified </w:t>
      </w:r>
      <w:proofErr w:type="gramStart"/>
      <w:r w:rsidRPr="00B73F86">
        <w:t>Plaintiff</w:t>
      </w:r>
      <w:proofErr w:type="gramEnd"/>
      <w:r w:rsidRPr="00B73F86">
        <w:t xml:space="preserve"> an investigation had been initiated. He was suspended. He was instructed not to have contact with the Fire Department while the investigation was pending. The letter from leadership did not specify the conduct at issue. </w:t>
      </w:r>
    </w:p>
    <w:p w14:paraId="5CE8FD3A" w14:textId="77777777" w:rsidR="00215605" w:rsidRDefault="00215605" w:rsidP="00215605">
      <w:pPr>
        <w:ind w:left="720"/>
      </w:pPr>
      <w:r w:rsidRPr="00B73F86">
        <w:t xml:space="preserve">The same day, Plaintiff replied via email. Within, he provided the factual background for the incident outlined above and attached to the Complaint. Specifically, the email advised Plaintiff engaged a female colleague in a text exchange wherein he stated he had </w:t>
      </w:r>
      <w:r>
        <w:t>‘</w:t>
      </w:r>
      <w:r w:rsidRPr="00B73F86">
        <w:t>a funny thing to share, but don't get mad or something like that.</w:t>
      </w:r>
      <w:r>
        <w:t>’</w:t>
      </w:r>
      <w:r w:rsidRPr="00B73F86">
        <w:t xml:space="preserve"> This responsive email from Plaintiff went on to describe his next text to his female colleague as, </w:t>
      </w:r>
      <w:r>
        <w:t>‘</w:t>
      </w:r>
      <w:r w:rsidRPr="00B73F86">
        <w:t>I said it was funny when I was coming into the meeting hall, and everyone was there she was reaching over the table to Andrew, and I said it was funny because I had a mental thought of slapping her on the butt.</w:t>
      </w:r>
      <w:r>
        <w:t>’</w:t>
      </w:r>
      <w:r w:rsidRPr="00B73F86">
        <w:t xml:space="preserve"> This email from Plaintiff described the exchange as </w:t>
      </w:r>
      <w:r>
        <w:t>‘</w:t>
      </w:r>
      <w:r w:rsidRPr="00B73F86">
        <w:t>common silly banter.</w:t>
      </w:r>
      <w:r>
        <w:t>’</w:t>
      </w:r>
      <w:r w:rsidRPr="00B73F86">
        <w:t xml:space="preserve"> Plaintiff stated he </w:t>
      </w:r>
      <w:r>
        <w:t>‘</w:t>
      </w:r>
      <w:r w:rsidRPr="00B73F86">
        <w:t>will take 100% responsibility for my comment</w:t>
      </w:r>
      <w:r>
        <w:t>.’”</w:t>
      </w:r>
    </w:p>
    <w:p w14:paraId="7147739B" w14:textId="77777777" w:rsidR="00215605" w:rsidRDefault="00215605" w:rsidP="00215605">
      <w:pPr>
        <w:rPr>
          <w:b/>
          <w:bCs/>
        </w:rPr>
      </w:pPr>
      <w:r>
        <w:rPr>
          <w:b/>
        </w:rPr>
        <w:lastRenderedPageBreak/>
        <w:t xml:space="preserve">Legal lesson learned: Sexual comments are not “common silly banter.”  </w:t>
      </w:r>
    </w:p>
    <w:p w14:paraId="7662B279" w14:textId="77777777" w:rsidR="00215605" w:rsidRDefault="00215605" w:rsidP="00292E1C">
      <w:pPr>
        <w:pStyle w:val="NoSpacing"/>
        <w:rPr>
          <w:rFonts w:ascii="Arial Black" w:hAnsi="Arial Black"/>
          <w:sz w:val="28"/>
          <w:szCs w:val="28"/>
        </w:rPr>
      </w:pPr>
    </w:p>
    <w:p w14:paraId="5176852C" w14:textId="77777777" w:rsidR="00215605" w:rsidRDefault="00215605" w:rsidP="00292E1C">
      <w:pPr>
        <w:pStyle w:val="NoSpacing"/>
        <w:rPr>
          <w:rFonts w:ascii="Arial Black" w:hAnsi="Arial Black"/>
          <w:sz w:val="28"/>
          <w:szCs w:val="28"/>
        </w:rPr>
      </w:pPr>
    </w:p>
    <w:p w14:paraId="059B0652" w14:textId="335D0A1D" w:rsidR="00215605" w:rsidRDefault="00215605" w:rsidP="00292E1C">
      <w:pPr>
        <w:pStyle w:val="NoSpacing"/>
        <w:rPr>
          <w:rFonts w:ascii="Arial Black" w:hAnsi="Arial Black"/>
          <w:sz w:val="28"/>
          <w:szCs w:val="28"/>
        </w:rPr>
      </w:pPr>
      <w:r>
        <w:rPr>
          <w:rFonts w:ascii="Arial Black" w:hAnsi="Arial Black"/>
          <w:sz w:val="28"/>
          <w:szCs w:val="28"/>
        </w:rPr>
        <w:t>7-84</w:t>
      </w:r>
    </w:p>
    <w:p w14:paraId="318D1917" w14:textId="77777777" w:rsidR="00BC64C2" w:rsidRDefault="00BC64C2" w:rsidP="00292E1C">
      <w:pPr>
        <w:pStyle w:val="NoSpacing"/>
        <w:rPr>
          <w:rFonts w:ascii="Arial Black" w:hAnsi="Arial Black"/>
          <w:sz w:val="28"/>
          <w:szCs w:val="28"/>
        </w:rPr>
      </w:pPr>
    </w:p>
    <w:p w14:paraId="53B4D2D7" w14:textId="6AAD6556" w:rsidR="00BC64C2" w:rsidRPr="00D2161F" w:rsidRDefault="00BC64C2" w:rsidP="00BC64C2">
      <w:pPr>
        <w:pStyle w:val="NoSpacing"/>
        <w:rPr>
          <w:rFonts w:ascii="Arial Black" w:hAnsi="Arial Black"/>
          <w:sz w:val="28"/>
          <w:szCs w:val="28"/>
        </w:rPr>
      </w:pPr>
      <w:r>
        <w:rPr>
          <w:rFonts w:ascii="Arial Black" w:hAnsi="Arial Black"/>
          <w:sz w:val="28"/>
          <w:szCs w:val="28"/>
        </w:rPr>
        <w:t xml:space="preserve">TX: CHIEF 30 DAY SUSP – FEMALE B/C &amp; CAPT FIRED </w:t>
      </w:r>
    </w:p>
    <w:p w14:paraId="5B0956C6" w14:textId="77777777" w:rsidR="00BC64C2" w:rsidRDefault="00BC64C2" w:rsidP="00BC64C2">
      <w:pPr>
        <w:pStyle w:val="NoSpacing"/>
      </w:pPr>
    </w:p>
    <w:p w14:paraId="1052CD83" w14:textId="77777777" w:rsidR="00BC64C2" w:rsidRDefault="00BC64C2" w:rsidP="00BC64C2">
      <w:pPr>
        <w:pStyle w:val="NoSpacing"/>
      </w:pPr>
      <w:r>
        <w:t xml:space="preserve">On October 29, 2025, in </w:t>
      </w:r>
      <w:r w:rsidRPr="000D00D9">
        <w:rPr>
          <w:u w:val="single"/>
        </w:rPr>
        <w:t>Brittany Garner and David Daigle v. Travis County Emergency Services District No</w:t>
      </w:r>
      <w:r>
        <w:rPr>
          <w:u w:val="single"/>
        </w:rPr>
        <w:t>.</w:t>
      </w:r>
      <w:r w:rsidRPr="000D00D9">
        <w:rPr>
          <w:u w:val="single"/>
        </w:rPr>
        <w:t xml:space="preserve"> 1</w:t>
      </w:r>
      <w:r>
        <w:t xml:space="preserve">, U.S. District Court Judge Robert Pitman, </w:t>
      </w:r>
      <w:r w:rsidRPr="00234FD9">
        <w:t xml:space="preserve">United States District Court, </w:t>
      </w:r>
      <w:r>
        <w:t xml:space="preserve">Western District, </w:t>
      </w:r>
      <w:r w:rsidRPr="00234FD9">
        <w:t>Austin Division</w:t>
      </w:r>
      <w:r>
        <w:t xml:space="preserve">, held that Battalion Chief Brittany Garner (fired Dec. 23, 2023), and Captain David Daigle (fired Dec. 15, 2023) may proceed together in a joint trial for alleged retaliation.  The Fire Chief was suspended for one month in May 2023 after Brittany Garner made allegations sexual harassment by the Chief. She </w:t>
      </w:r>
      <w:r w:rsidRPr="00BE05C9">
        <w:t>is the only woman in upper management within TCESD1, and her EEOC charge alleges that Chief Norman criticized her for “mothering” her crew.</w:t>
      </w:r>
      <w:r>
        <w:t xml:space="preserve"> David made other complaints about the Fire Chief.  THE COURT WROTE: “</w:t>
      </w:r>
      <w:r w:rsidRPr="00B73C81">
        <w:t>Plaintiffs plead that they worked for the same entity at the same location, worked under the same chief, both reported th</w:t>
      </w:r>
      <w:r>
        <w:t>e</w:t>
      </w:r>
      <w:r w:rsidRPr="00B73C81">
        <w:t xml:space="preserve"> chief for sexual harassment, were both terminated within one week of each other in December 2023, and were terminated based upon fabricated allegations without the opportunity to meaningfully defend themselves</w:t>
      </w:r>
      <w:r>
        <w:t xml:space="preserve">. </w:t>
      </w:r>
      <w:r w:rsidRPr="005E3A18">
        <w:t xml:space="preserve">Their retaliation claims are therefore logically related and do arise out of the same series of transactions or </w:t>
      </w:r>
      <w:proofErr w:type="gramStart"/>
      <w:r w:rsidRPr="005E3A18">
        <w:t>occurrences</w:t>
      </w:r>
      <w:r>
        <w:t>.”</w:t>
      </w:r>
      <w:proofErr w:type="gramEnd"/>
      <w:r>
        <w:t xml:space="preserve"> </w:t>
      </w:r>
    </w:p>
    <w:p w14:paraId="53A2DD6D" w14:textId="77777777" w:rsidR="00BC64C2" w:rsidRDefault="00BC64C2" w:rsidP="00BC64C2">
      <w:pPr>
        <w:pStyle w:val="NoSpacing"/>
      </w:pPr>
    </w:p>
    <w:p w14:paraId="2A157956" w14:textId="77777777" w:rsidR="00BC64C2" w:rsidRDefault="00BC64C2" w:rsidP="00BC64C2">
      <w:pPr>
        <w:pStyle w:val="NoSpacing"/>
      </w:pPr>
      <w:r>
        <w:t>THE COURT HELD:</w:t>
      </w:r>
    </w:p>
    <w:p w14:paraId="14DCB0CF" w14:textId="77777777" w:rsidR="00BC64C2" w:rsidRDefault="00BC64C2" w:rsidP="00BC64C2">
      <w:pPr>
        <w:pStyle w:val="NoSpacing"/>
        <w:ind w:left="720"/>
      </w:pPr>
    </w:p>
    <w:p w14:paraId="7177C37F" w14:textId="77777777" w:rsidR="00BC64C2" w:rsidRDefault="00BC64C2" w:rsidP="00BC64C2">
      <w:pPr>
        <w:pStyle w:val="NoSpacing"/>
        <w:ind w:left="720"/>
      </w:pPr>
      <w:r>
        <w:t>“</w:t>
      </w:r>
      <w:r w:rsidRPr="00D55493">
        <w:t>Garner was employed as a Battalion Chief; she alleges that she was the highest-ranking woman within TCESD1 and the only woman in upper management</w:t>
      </w:r>
      <w:r>
        <w:t xml:space="preserve">…. </w:t>
      </w:r>
      <w:r w:rsidRPr="00D55493">
        <w:t>Daigle was employed as a Captain</w:t>
      </w:r>
      <w:r>
        <w:t xml:space="preserve">…. </w:t>
      </w:r>
      <w:r w:rsidRPr="00D55493">
        <w:t>Both had worked at TCESD1 since 2008.</w:t>
      </w:r>
    </w:p>
    <w:p w14:paraId="1A93D839" w14:textId="77777777" w:rsidR="00BC64C2" w:rsidRDefault="00BC64C2" w:rsidP="00BC64C2">
      <w:pPr>
        <w:pStyle w:val="NoSpacing"/>
        <w:ind w:left="720"/>
      </w:pPr>
    </w:p>
    <w:p w14:paraId="34DACA90" w14:textId="77777777" w:rsidR="00BC64C2" w:rsidRDefault="00BC64C2" w:rsidP="00BC64C2">
      <w:pPr>
        <w:pStyle w:val="NoSpacing"/>
        <w:ind w:left="720"/>
      </w:pPr>
      <w:r>
        <w:t>***</w:t>
      </w:r>
    </w:p>
    <w:p w14:paraId="4899D792" w14:textId="77777777" w:rsidR="00BC64C2" w:rsidRDefault="00BC64C2" w:rsidP="00BC64C2">
      <w:pPr>
        <w:pStyle w:val="NoSpacing"/>
        <w:ind w:left="720"/>
      </w:pPr>
      <w:r w:rsidRPr="00CD35A3">
        <w:t xml:space="preserve">The timeline of Garner's protected activities and the alleged adverse actions taken against  harassment and gender discrimination in February 2023; (2) she subsequently repeated these complaints to Borchardt, who was </w:t>
      </w:r>
      <w:r>
        <w:t>‘</w:t>
      </w:r>
      <w:r w:rsidRPr="00CD35A3">
        <w:t>a friend</w:t>
      </w:r>
      <w:r>
        <w:t>’</w:t>
      </w:r>
      <w:r w:rsidRPr="00CD35A3">
        <w:t xml:space="preserve"> of Chief Norman's and </w:t>
      </w:r>
      <w:r>
        <w:t>‘</w:t>
      </w:r>
      <w:r w:rsidRPr="00CD35A3">
        <w:t>re-surveyed</w:t>
      </w:r>
      <w:r>
        <w:t>’</w:t>
      </w:r>
      <w:r w:rsidRPr="00CD35A3">
        <w:t xml:space="preserve"> the TCESD1 employees in approximately April 2023; (3) in May 2023, which was approximately one month after she made complaints to Borchardt, Chief Norman </w:t>
      </w:r>
      <w:r>
        <w:t>‘</w:t>
      </w:r>
      <w:r w:rsidRPr="00CD35A3">
        <w:t>blamed</w:t>
      </w:r>
      <w:r>
        <w:t>’</w:t>
      </w:r>
      <w:r w:rsidRPr="00CD35A3">
        <w:t xml:space="preserve"> schedule changes on Garner, such that she was </w:t>
      </w:r>
      <w:r>
        <w:t>‘</w:t>
      </w:r>
      <w:r w:rsidRPr="00CD35A3">
        <w:t>ostracized . . . by the other male officers and firefighters,</w:t>
      </w:r>
      <w:r>
        <w:t>’</w:t>
      </w:r>
      <w:r w:rsidRPr="00CD35A3">
        <w:t xml:space="preserve"> and Chief Norman allegedly asked one of Garner's subordinates to report to him any information he could use to justify terminating Garner; (4) on October 4, 2023, Garner was placed on leave pending an investigation into her conversation with FF Colunga; (5) on October 26, 2023, Garner filed a written complaint of retaliation against ESD1 and Chief Norman; and (6) on December 23, 2023, Garner was terminated.</w:t>
      </w:r>
    </w:p>
    <w:p w14:paraId="50EFCD09" w14:textId="77777777" w:rsidR="00BC64C2" w:rsidRDefault="00BC64C2" w:rsidP="00BC64C2">
      <w:pPr>
        <w:pStyle w:val="NoSpacing"/>
        <w:ind w:left="720"/>
      </w:pPr>
    </w:p>
    <w:p w14:paraId="1A99B9AC" w14:textId="77777777" w:rsidR="00BC64C2" w:rsidRDefault="00BC64C2" w:rsidP="00BC64C2">
      <w:pPr>
        <w:pStyle w:val="NoSpacing"/>
        <w:ind w:left="720"/>
      </w:pPr>
      <w:r>
        <w:t>***</w:t>
      </w:r>
      <w:r w:rsidRPr="00CD35A3">
        <w:t xml:space="preserve"> </w:t>
      </w:r>
    </w:p>
    <w:p w14:paraId="1674C870" w14:textId="77777777" w:rsidR="00BC64C2" w:rsidRDefault="00BC64C2" w:rsidP="00BC64C2">
      <w:pPr>
        <w:pStyle w:val="NoSpacing"/>
      </w:pPr>
    </w:p>
    <w:p w14:paraId="193A3912" w14:textId="77777777" w:rsidR="00BC64C2" w:rsidRDefault="00BC64C2" w:rsidP="00BC64C2">
      <w:pPr>
        <w:pStyle w:val="NoSpacing"/>
        <w:ind w:left="720"/>
      </w:pPr>
      <w:r w:rsidRPr="00D73FD2">
        <w:t>Finally, many of the same witnesses would be expected to testify regarding each Plaintiffs' claims, and it would be burdensome for those witnesses to be required to testify on a similar issue- retaliation at TCESD1 for reporting sexual harassment-twice. This factor therefore weighs against severance. For the reasons stated above, the Court finds that Plaintiffs' claims should not be severed.</w:t>
      </w:r>
      <w:r>
        <w:t>”</w:t>
      </w:r>
    </w:p>
    <w:p w14:paraId="69AC2CD8" w14:textId="77777777" w:rsidR="00BC64C2" w:rsidRDefault="00BC64C2" w:rsidP="00BC64C2">
      <w:pPr>
        <w:pStyle w:val="NoSpacing"/>
        <w:ind w:left="720"/>
      </w:pPr>
    </w:p>
    <w:p w14:paraId="0D415B59" w14:textId="77777777" w:rsidR="00BC64C2" w:rsidRPr="00CD35A3" w:rsidRDefault="00BC64C2" w:rsidP="00BC64C2">
      <w:pPr>
        <w:pStyle w:val="NoSpacing"/>
        <w:rPr>
          <w:b/>
          <w:bCs/>
        </w:rPr>
      </w:pPr>
      <w:r>
        <w:rPr>
          <w:b/>
        </w:rPr>
        <w:t xml:space="preserve">Legal lesson learned: Case will now proceed to trial with both plaintiffs. </w:t>
      </w:r>
    </w:p>
    <w:p w14:paraId="1243F258" w14:textId="77777777" w:rsidR="00BC64C2" w:rsidRDefault="00BC64C2" w:rsidP="00292E1C">
      <w:pPr>
        <w:pStyle w:val="NoSpacing"/>
        <w:rPr>
          <w:rFonts w:ascii="Arial Black" w:hAnsi="Arial Black"/>
          <w:sz w:val="28"/>
          <w:szCs w:val="28"/>
        </w:rPr>
      </w:pPr>
    </w:p>
    <w:p w14:paraId="7AE79801" w14:textId="77777777" w:rsidR="00215605" w:rsidRDefault="00215605" w:rsidP="00292E1C">
      <w:pPr>
        <w:pStyle w:val="NoSpacing"/>
        <w:rPr>
          <w:rFonts w:ascii="Arial Black" w:hAnsi="Arial Black"/>
          <w:sz w:val="28"/>
          <w:szCs w:val="28"/>
        </w:rPr>
      </w:pPr>
    </w:p>
    <w:p w14:paraId="22FB1715" w14:textId="274E1E27" w:rsidR="007774D2" w:rsidRDefault="007774D2" w:rsidP="00292E1C">
      <w:pPr>
        <w:pStyle w:val="NoSpacing"/>
        <w:rPr>
          <w:rFonts w:ascii="Arial Black" w:hAnsi="Arial Black"/>
          <w:sz w:val="28"/>
          <w:szCs w:val="28"/>
        </w:rPr>
      </w:pPr>
      <w:r>
        <w:rPr>
          <w:rFonts w:ascii="Arial Black" w:hAnsi="Arial Black"/>
          <w:sz w:val="28"/>
          <w:szCs w:val="28"/>
        </w:rPr>
        <w:t>7-83</w:t>
      </w:r>
    </w:p>
    <w:p w14:paraId="4C0B4FCA" w14:textId="77777777" w:rsidR="009D5C36" w:rsidRDefault="009D5C36" w:rsidP="00292E1C">
      <w:pPr>
        <w:pStyle w:val="NoSpacing"/>
        <w:rPr>
          <w:rFonts w:ascii="Arial Black" w:hAnsi="Arial Black"/>
          <w:sz w:val="28"/>
          <w:szCs w:val="28"/>
        </w:rPr>
      </w:pPr>
    </w:p>
    <w:p w14:paraId="0FA5AE58" w14:textId="3B2221E3" w:rsidR="009D5C36" w:rsidRDefault="009D5C36" w:rsidP="009D5C36">
      <w:pPr>
        <w:pStyle w:val="NoSpacing"/>
        <w:rPr>
          <w:rFonts w:ascii="Arial Black" w:hAnsi="Arial Black"/>
          <w:sz w:val="28"/>
          <w:szCs w:val="28"/>
        </w:rPr>
      </w:pPr>
      <w:r w:rsidRPr="00ED6A85">
        <w:rPr>
          <w:rFonts w:ascii="Arial Black" w:hAnsi="Arial Black"/>
          <w:sz w:val="28"/>
          <w:szCs w:val="28"/>
        </w:rPr>
        <w:lastRenderedPageBreak/>
        <w:t xml:space="preserve">MT: </w:t>
      </w:r>
      <w:r>
        <w:rPr>
          <w:rFonts w:ascii="Arial Black" w:hAnsi="Arial Black"/>
          <w:sz w:val="28"/>
          <w:szCs w:val="28"/>
        </w:rPr>
        <w:t xml:space="preserve">EMT - NO RETALIATION </w:t>
      </w:r>
      <w:r w:rsidR="00CD4C27">
        <w:rPr>
          <w:rFonts w:ascii="Arial Black" w:hAnsi="Arial Black"/>
          <w:sz w:val="28"/>
          <w:szCs w:val="28"/>
        </w:rPr>
        <w:t>–</w:t>
      </w:r>
      <w:r>
        <w:rPr>
          <w:rFonts w:ascii="Arial Black" w:hAnsi="Arial Black"/>
          <w:sz w:val="28"/>
          <w:szCs w:val="28"/>
        </w:rPr>
        <w:t xml:space="preserve"> </w:t>
      </w:r>
      <w:r w:rsidR="00CD4C27">
        <w:rPr>
          <w:rFonts w:ascii="Arial Black" w:hAnsi="Arial Black"/>
          <w:sz w:val="28"/>
          <w:szCs w:val="28"/>
        </w:rPr>
        <w:t xml:space="preserve">DEPT. </w:t>
      </w:r>
      <w:r>
        <w:rPr>
          <w:rFonts w:ascii="Arial Black" w:hAnsi="Arial Black"/>
          <w:sz w:val="28"/>
          <w:szCs w:val="28"/>
        </w:rPr>
        <w:t>NARCAN TRAINING BY MD</w:t>
      </w:r>
    </w:p>
    <w:p w14:paraId="1CEC0E7B" w14:textId="77777777" w:rsidR="00AF2FA3" w:rsidRDefault="00AF2FA3" w:rsidP="009D5C36">
      <w:pPr>
        <w:pStyle w:val="NoSpacing"/>
      </w:pPr>
    </w:p>
    <w:p w14:paraId="386C9475" w14:textId="69C09A4B" w:rsidR="009D5C36" w:rsidRDefault="009D5C36" w:rsidP="009D5C36">
      <w:pPr>
        <w:pStyle w:val="NoSpacing"/>
        <w:rPr>
          <w:b/>
        </w:rPr>
      </w:pPr>
      <w:r>
        <w:t xml:space="preserve">On Oct. 7, 2025, in </w:t>
      </w:r>
      <w:r w:rsidRPr="00A50E57">
        <w:rPr>
          <w:u w:val="single"/>
        </w:rPr>
        <w:t>Daniela Vaccaro v. Three Forks Area Ambulance Service</w:t>
      </w:r>
      <w:r>
        <w:t xml:space="preserve">, the Supreme Court of Montana held (5 to 0; unpublished opinion) that District Court judge properly affirmed the Human Rights Commission investigators findings of no retaliation with her two complaints of retaliation.   The Plaintiff became a volunteer EMT in Feb. 2021, but was terminated in </w:t>
      </w:r>
      <w:proofErr w:type="gramStart"/>
      <w:r>
        <w:t>June,</w:t>
      </w:r>
      <w:proofErr w:type="gramEnd"/>
      <w:r>
        <w:t xml:space="preserve"> 2021 (court did not describe reason).  She filed a claim of “</w:t>
      </w:r>
      <w:r w:rsidRPr="00853552">
        <w:t>marital status discriminatio</w:t>
      </w:r>
      <w:r>
        <w:t xml:space="preserve">n” (her husband is on 5-member Board) with the Human Rights Commission and the Ambulance Service agreed to a “no fault” settlement and returned her to duty.  In the first Board meeting upon her return, she offered to teach a Narcan class, but instead the Board retained services of a well-known physician.  She filed a complaint of retaliation with the Commission.  When she returned from vacation, she was asked to pass a skills test on Narcan and filed another complaint with the Commission. </w:t>
      </w:r>
      <w:hyperlink r:id="rId1342" w:history="1">
        <w:r w:rsidRPr="006D5F93">
          <w:rPr>
            <w:rStyle w:val="Hyperlink"/>
            <w:b/>
          </w:rPr>
          <w:t>https://cases.justia.com/montana/supreme-court/2025-da-24-0672.pdf?ts=1759872027</w:t>
        </w:r>
      </w:hyperlink>
      <w:r>
        <w:rPr>
          <w:b/>
        </w:rPr>
        <w:t xml:space="preserve"> </w:t>
      </w:r>
    </w:p>
    <w:p w14:paraId="388818EE" w14:textId="77777777" w:rsidR="009D5C36" w:rsidRDefault="009D5C36" w:rsidP="009D5C36">
      <w:pPr>
        <w:pStyle w:val="NoSpacing"/>
        <w:rPr>
          <w:bCs/>
        </w:rPr>
      </w:pPr>
    </w:p>
    <w:p w14:paraId="583146CA" w14:textId="77777777" w:rsidR="009D5C36" w:rsidRDefault="009D5C36" w:rsidP="009D5C36">
      <w:pPr>
        <w:pStyle w:val="NoSpacing"/>
        <w:rPr>
          <w:bCs/>
        </w:rPr>
      </w:pPr>
      <w:r>
        <w:t>THE COURT HELD:</w:t>
      </w:r>
    </w:p>
    <w:p w14:paraId="75759589" w14:textId="77777777" w:rsidR="009D5C36" w:rsidRDefault="009D5C36" w:rsidP="009D5C36">
      <w:pPr>
        <w:pStyle w:val="NoSpacing"/>
        <w:rPr>
          <w:bCs/>
        </w:rPr>
      </w:pPr>
    </w:p>
    <w:p w14:paraId="3AF6A706" w14:textId="77777777" w:rsidR="009D5C36" w:rsidRPr="0044125F" w:rsidRDefault="009D5C36" w:rsidP="009D5C36">
      <w:pPr>
        <w:pStyle w:val="NoSpacing"/>
        <w:rPr>
          <w:bCs/>
        </w:rPr>
      </w:pPr>
      <w:r>
        <w:tab/>
        <w:t>“</w:t>
      </w:r>
      <w:r w:rsidRPr="0044125F">
        <w:t>Upon review of the administrative record, we agree with the District Court that the</w:t>
      </w:r>
    </w:p>
    <w:p w14:paraId="23726D91" w14:textId="77777777" w:rsidR="009D5C36" w:rsidRPr="0044125F" w:rsidRDefault="009D5C36" w:rsidP="009D5C36">
      <w:pPr>
        <w:pStyle w:val="NoSpacing"/>
        <w:ind w:firstLine="720"/>
        <w:rPr>
          <w:bCs/>
        </w:rPr>
      </w:pPr>
      <w:r w:rsidRPr="0044125F">
        <w:t>investigations into Vaccaro’s complaints were comprehensively conducted, an apparent</w:t>
      </w:r>
    </w:p>
    <w:p w14:paraId="77E22C17" w14:textId="77777777" w:rsidR="009D5C36" w:rsidRDefault="009D5C36" w:rsidP="009D5C36">
      <w:pPr>
        <w:pStyle w:val="NoSpacing"/>
        <w:ind w:firstLine="720"/>
        <w:rPr>
          <w:bCs/>
        </w:rPr>
      </w:pPr>
      <w:r w:rsidRPr="0044125F">
        <w:t>effort to leave no stone unturned to review her allegations.</w:t>
      </w:r>
    </w:p>
    <w:p w14:paraId="3AC25515" w14:textId="77777777" w:rsidR="009D5C36" w:rsidRDefault="009D5C36" w:rsidP="009D5C36">
      <w:pPr>
        <w:pStyle w:val="NoSpacing"/>
        <w:ind w:firstLine="720"/>
        <w:rPr>
          <w:bCs/>
        </w:rPr>
      </w:pPr>
    </w:p>
    <w:p w14:paraId="4C46E1AB" w14:textId="77777777" w:rsidR="009D5C36" w:rsidRDefault="009D5C36" w:rsidP="009D5C36">
      <w:pPr>
        <w:pStyle w:val="NoSpacing"/>
        <w:ind w:firstLine="720"/>
        <w:rPr>
          <w:bCs/>
        </w:rPr>
      </w:pPr>
      <w:r>
        <w:t>***</w:t>
      </w:r>
    </w:p>
    <w:p w14:paraId="564C2B32" w14:textId="77777777" w:rsidR="009D5C36" w:rsidRDefault="009D5C36" w:rsidP="009D5C36">
      <w:pPr>
        <w:pStyle w:val="NoSpacing"/>
        <w:ind w:firstLine="720"/>
        <w:rPr>
          <w:bCs/>
        </w:rPr>
      </w:pPr>
    </w:p>
    <w:p w14:paraId="43220158" w14:textId="77777777" w:rsidR="009D5C36" w:rsidRDefault="009D5C36" w:rsidP="009D5C36">
      <w:pPr>
        <w:pStyle w:val="NoSpacing"/>
        <w:ind w:left="720"/>
        <w:rPr>
          <w:bCs/>
        </w:rPr>
      </w:pPr>
      <w:r>
        <w:t>T</w:t>
      </w:r>
      <w:r w:rsidRPr="00915E7C">
        <w:t>urning to the evidence, the</w:t>
      </w:r>
      <w:r>
        <w:t xml:space="preserve"> </w:t>
      </w:r>
      <w:r w:rsidRPr="00915E7C">
        <w:t>investigator found that, although a formal process was not conducted for selection of a</w:t>
      </w:r>
      <w:r>
        <w:t xml:space="preserve"> </w:t>
      </w:r>
      <w:r w:rsidRPr="001B63BA">
        <w:t xml:space="preserve">trainer, the evidence showed that </w:t>
      </w:r>
      <w:r>
        <w:t>‘</w:t>
      </w:r>
      <w:r w:rsidRPr="001B63BA">
        <w:t>Dr. Andrews, a trainer well known to TFAAS, offered</w:t>
      </w:r>
      <w:r>
        <w:t xml:space="preserve"> </w:t>
      </w:r>
      <w:r w:rsidRPr="001B63BA">
        <w:t>extensive medical experience and hands on administration of Narcan in emergencies. In</w:t>
      </w:r>
      <w:r>
        <w:t xml:space="preserve"> </w:t>
      </w:r>
      <w:r w:rsidRPr="001B63BA">
        <w:t>contrast, Vaccaro offered limited EMT experience and no experience administering Narcan</w:t>
      </w:r>
      <w:r>
        <w:t xml:space="preserve"> </w:t>
      </w:r>
      <w:r w:rsidRPr="001B63BA">
        <w:t>outside of a classroom setting.</w:t>
      </w:r>
      <w:r>
        <w:t>’</w:t>
      </w:r>
    </w:p>
    <w:p w14:paraId="0A9A6131" w14:textId="77777777" w:rsidR="009D5C36" w:rsidRDefault="009D5C36" w:rsidP="009D5C36">
      <w:pPr>
        <w:pStyle w:val="NoSpacing"/>
        <w:ind w:left="720"/>
        <w:rPr>
          <w:bCs/>
        </w:rPr>
      </w:pPr>
    </w:p>
    <w:p w14:paraId="5F8F4E92" w14:textId="77777777" w:rsidR="009D5C36" w:rsidRDefault="009D5C36" w:rsidP="009D5C36">
      <w:pPr>
        <w:pStyle w:val="NoSpacing"/>
        <w:ind w:left="720"/>
        <w:rPr>
          <w:bCs/>
        </w:rPr>
      </w:pPr>
      <w:r>
        <w:t>***</w:t>
      </w:r>
    </w:p>
    <w:p w14:paraId="17C6129B" w14:textId="77777777" w:rsidR="009D5C36" w:rsidRDefault="009D5C36" w:rsidP="009D5C36">
      <w:pPr>
        <w:pStyle w:val="NoSpacing"/>
        <w:ind w:left="720"/>
        <w:rPr>
          <w:bCs/>
        </w:rPr>
      </w:pPr>
      <w:r w:rsidRPr="005363C9">
        <w:t>Shortly thereafter, Vaccaro filed the second discrimination by retaliation claim</w:t>
      </w:r>
      <w:r>
        <w:t xml:space="preserve"> [</w:t>
      </w:r>
      <w:proofErr w:type="gramStart"/>
      <w:r>
        <w:t>July,</w:t>
      </w:r>
      <w:proofErr w:type="gramEnd"/>
      <w:r>
        <w:t xml:space="preserve"> 2022]</w:t>
      </w:r>
      <w:r w:rsidRPr="005363C9">
        <w:t>,</w:t>
      </w:r>
      <w:r>
        <w:t xml:space="preserve"> </w:t>
      </w:r>
      <w:r w:rsidRPr="005363C9">
        <w:t>which was given claim number HRB Case No. 0230107 and assigned to a different</w:t>
      </w:r>
      <w:r>
        <w:t xml:space="preserve"> </w:t>
      </w:r>
      <w:r w:rsidRPr="005363C9">
        <w:t>investigator. Vaccaro alleged that the Board had required her to complete a skills test</w:t>
      </w:r>
      <w:r>
        <w:t xml:space="preserve"> [August 2022]… </w:t>
      </w:r>
      <w:r w:rsidRPr="007E487B">
        <w:t>Assessing the evidence,</w:t>
      </w:r>
      <w:r>
        <w:t xml:space="preserve"> </w:t>
      </w:r>
      <w:r w:rsidRPr="007E487B">
        <w:t>the investigator found that Vaccaro was not the only EMT who was asked to perform a</w:t>
      </w:r>
      <w:r>
        <w:t xml:space="preserve"> </w:t>
      </w:r>
      <w:r w:rsidRPr="007E487B">
        <w:t>skills test for administration of Narcan, and that other EMTs had completed the test.</w:t>
      </w:r>
      <w:r>
        <w:t>”</w:t>
      </w:r>
    </w:p>
    <w:p w14:paraId="24C47670" w14:textId="77777777" w:rsidR="009D5C36" w:rsidRDefault="009D5C36" w:rsidP="009D5C36">
      <w:pPr>
        <w:pStyle w:val="NoSpacing"/>
        <w:ind w:left="720"/>
        <w:rPr>
          <w:bCs/>
        </w:rPr>
      </w:pPr>
    </w:p>
    <w:p w14:paraId="20006E06" w14:textId="74E0775E" w:rsidR="009D5C36" w:rsidRPr="007E487B" w:rsidRDefault="009D5C36" w:rsidP="009D5C36">
      <w:pPr>
        <w:pStyle w:val="NoSpacing"/>
        <w:rPr>
          <w:b/>
        </w:rPr>
      </w:pPr>
      <w:r>
        <w:rPr>
          <w:b/>
        </w:rPr>
        <w:t xml:space="preserve">Lesson learned:  The Ambulance company provided HR Commission investigators with legitimate business reasons for its decisions. </w:t>
      </w:r>
    </w:p>
    <w:p w14:paraId="4B898CA8" w14:textId="77777777" w:rsidR="009D5C36" w:rsidRDefault="009D5C36" w:rsidP="009D5C36">
      <w:pPr>
        <w:pStyle w:val="NoSpacing"/>
        <w:rPr>
          <w:bCs/>
        </w:rPr>
      </w:pPr>
    </w:p>
    <w:p w14:paraId="5DBBFB54" w14:textId="77777777" w:rsidR="009D5C36" w:rsidRDefault="009D5C36" w:rsidP="00292E1C">
      <w:pPr>
        <w:pStyle w:val="NoSpacing"/>
        <w:rPr>
          <w:rFonts w:ascii="Arial Black" w:hAnsi="Arial Black"/>
          <w:sz w:val="28"/>
          <w:szCs w:val="28"/>
        </w:rPr>
      </w:pPr>
    </w:p>
    <w:p w14:paraId="4A48600F" w14:textId="77777777" w:rsidR="007774D2" w:rsidRDefault="007774D2" w:rsidP="00292E1C">
      <w:pPr>
        <w:pStyle w:val="NoSpacing"/>
        <w:rPr>
          <w:rFonts w:ascii="Arial Black" w:hAnsi="Arial Black"/>
          <w:sz w:val="28"/>
          <w:szCs w:val="28"/>
        </w:rPr>
      </w:pPr>
    </w:p>
    <w:p w14:paraId="0DE0CA5C" w14:textId="77777777" w:rsidR="007774D2" w:rsidRDefault="007774D2" w:rsidP="00292E1C">
      <w:pPr>
        <w:pStyle w:val="NoSpacing"/>
        <w:rPr>
          <w:rFonts w:ascii="Arial Black" w:hAnsi="Arial Black"/>
          <w:sz w:val="28"/>
          <w:szCs w:val="28"/>
        </w:rPr>
      </w:pPr>
    </w:p>
    <w:p w14:paraId="77AAB3B3" w14:textId="5599F1DF" w:rsidR="001567BB" w:rsidRDefault="001567BB" w:rsidP="00292E1C">
      <w:pPr>
        <w:pStyle w:val="NoSpacing"/>
        <w:rPr>
          <w:rFonts w:ascii="Arial Black" w:hAnsi="Arial Black"/>
          <w:sz w:val="28"/>
          <w:szCs w:val="28"/>
        </w:rPr>
      </w:pPr>
      <w:r>
        <w:rPr>
          <w:rFonts w:ascii="Arial Black" w:hAnsi="Arial Black"/>
          <w:sz w:val="28"/>
          <w:szCs w:val="28"/>
        </w:rPr>
        <w:t>7</w:t>
      </w:r>
      <w:r w:rsidR="00283EDF">
        <w:rPr>
          <w:rFonts w:ascii="Arial Black" w:hAnsi="Arial Black"/>
          <w:sz w:val="28"/>
          <w:szCs w:val="28"/>
        </w:rPr>
        <w:t>-</w:t>
      </w:r>
      <w:r>
        <w:rPr>
          <w:rFonts w:ascii="Arial Black" w:hAnsi="Arial Black"/>
          <w:sz w:val="28"/>
          <w:szCs w:val="28"/>
        </w:rPr>
        <w:t>82</w:t>
      </w:r>
    </w:p>
    <w:p w14:paraId="695D8324" w14:textId="77777777" w:rsidR="001567BB" w:rsidRDefault="001567BB" w:rsidP="00292E1C">
      <w:pPr>
        <w:pStyle w:val="NoSpacing"/>
        <w:rPr>
          <w:rFonts w:ascii="Arial Black" w:hAnsi="Arial Black"/>
          <w:sz w:val="28"/>
          <w:szCs w:val="28"/>
        </w:rPr>
      </w:pPr>
    </w:p>
    <w:p w14:paraId="3C8CB1D8" w14:textId="6ABCD5A8" w:rsidR="00292E1C" w:rsidRDefault="00292E1C" w:rsidP="00292E1C">
      <w:pPr>
        <w:pStyle w:val="NoSpacing"/>
        <w:rPr>
          <w:rFonts w:ascii="Arial Black" w:hAnsi="Arial Black"/>
          <w:bCs/>
          <w:sz w:val="28"/>
          <w:szCs w:val="28"/>
        </w:rPr>
      </w:pPr>
      <w:r>
        <w:rPr>
          <w:rFonts w:ascii="Arial Black" w:hAnsi="Arial Black"/>
          <w:sz w:val="28"/>
          <w:szCs w:val="28"/>
        </w:rPr>
        <w:t xml:space="preserve">NY: FD 20 YRS – NO FEMALE FF – CONSENT DECREE / CPAT </w:t>
      </w:r>
    </w:p>
    <w:p w14:paraId="7C8F7917" w14:textId="77777777" w:rsidR="00292E1C" w:rsidRDefault="00292E1C" w:rsidP="00292E1C">
      <w:pPr>
        <w:pStyle w:val="NoSpacing"/>
        <w:rPr>
          <w:bCs/>
        </w:rPr>
      </w:pPr>
    </w:p>
    <w:p w14:paraId="27256E74" w14:textId="3EABC648" w:rsidR="00292E1C" w:rsidRDefault="00292E1C" w:rsidP="00292E1C">
      <w:pPr>
        <w:pStyle w:val="NoSpacing"/>
      </w:pPr>
      <w:r>
        <w:t xml:space="preserve">On September 26, 2025, in </w:t>
      </w:r>
      <w:r w:rsidRPr="00D65A20">
        <w:rPr>
          <w:u w:val="single"/>
        </w:rPr>
        <w:t>Brittany Montana v. City of Mount Vernon</w:t>
      </w:r>
      <w:r>
        <w:t xml:space="preserve">, U.S. District Court Judge Kenneth M. Karas, United States District Court for Southern District of New York, denied Ms. Montana’s motion for summary judgment; must prove discrimination at trial using statistical evidence.  She took written exam on March 8, </w:t>
      </w:r>
      <w:proofErr w:type="gramStart"/>
      <w:r>
        <w:t>2014</w:t>
      </w:r>
      <w:proofErr w:type="gramEnd"/>
      <w:r>
        <w:t xml:space="preserve"> and scored the highest, but her times on physical fitness agility ranked her 119 on eligibility list (never hired during 2015 – 2019 list period).  After pre-trial discovery in this case, plaintiff sought summary judgment based on fact that Mount Vernon Fire Department has not hired any female firefighters in 25 years.  The Court “</w:t>
      </w:r>
      <w:r w:rsidRPr="00D675AA">
        <w:t>is certainly troubled by the lack of women hired by MVFD, this fact, alone, demonstrates nothing more than a “bottom line [gender] imbalance</w:t>
      </w:r>
      <w:r>
        <w:t>.</w:t>
      </w:r>
      <w:r w:rsidRPr="00D675AA">
        <w:t>”</w:t>
      </w:r>
      <w:r>
        <w:t xml:space="preserve">  On </w:t>
      </w:r>
      <w:proofErr w:type="gramStart"/>
      <w:r>
        <w:t>Dec,</w:t>
      </w:r>
      <w:proofErr w:type="gramEnd"/>
      <w:r>
        <w:t xml:space="preserve"> 23, 2024, </w:t>
      </w:r>
      <w:r>
        <w:lastRenderedPageBreak/>
        <w:t xml:space="preserve">the United States filed a motion to amend its two consent decrees (entered 1981) with the fire department, and on June 3, 2025, with concurrence of Vulcan Society of Westchester County, the consent decree now requires use of </w:t>
      </w:r>
      <w:r w:rsidRPr="0072608B">
        <w:t>Candidate Physical Ability Test (CPAT)</w:t>
      </w:r>
      <w:r>
        <w:t xml:space="preserve"> in future testing. </w:t>
      </w:r>
      <w:r w:rsidR="00416BB6">
        <w:t xml:space="preserve"> </w:t>
      </w:r>
      <w:hyperlink r:id="rId1343" w:history="1">
        <w:r w:rsidR="00416BB6" w:rsidRPr="00824C83">
          <w:rPr>
            <w:rStyle w:val="Hyperlink"/>
          </w:rPr>
          <w:t>https://cases.justia.com/federal/district-courts/new-york/nysdce/7:2021cv00260/552036/95/0.pdf?ts=1758978240</w:t>
        </w:r>
      </w:hyperlink>
    </w:p>
    <w:p w14:paraId="0510406D" w14:textId="77777777" w:rsidR="00416BB6" w:rsidRDefault="00416BB6" w:rsidP="00292E1C">
      <w:pPr>
        <w:pStyle w:val="NoSpacing"/>
      </w:pPr>
    </w:p>
    <w:p w14:paraId="620B1ECC" w14:textId="77777777" w:rsidR="00292E1C" w:rsidRDefault="00292E1C" w:rsidP="00292E1C">
      <w:pPr>
        <w:pStyle w:val="NoSpacing"/>
      </w:pPr>
    </w:p>
    <w:p w14:paraId="5FA95CF6" w14:textId="77777777" w:rsidR="00292E1C" w:rsidRPr="002F708D" w:rsidRDefault="00292E1C" w:rsidP="00292E1C">
      <w:pPr>
        <w:pStyle w:val="NoSpacing"/>
        <w:rPr>
          <w:b/>
          <w:bCs/>
        </w:rPr>
      </w:pPr>
      <w:r w:rsidRPr="002F708D">
        <w:rPr>
          <w:b/>
        </w:rPr>
        <w:t xml:space="preserve">THE COURT HELD: </w:t>
      </w:r>
    </w:p>
    <w:p w14:paraId="7F6035EF" w14:textId="77777777" w:rsidR="00292E1C" w:rsidRPr="002F708D" w:rsidRDefault="00292E1C" w:rsidP="00292E1C">
      <w:pPr>
        <w:pStyle w:val="NoSpacing"/>
        <w:rPr>
          <w:b/>
          <w:bCs/>
        </w:rPr>
      </w:pPr>
    </w:p>
    <w:p w14:paraId="29021999" w14:textId="77777777" w:rsidR="00292E1C" w:rsidRDefault="00292E1C" w:rsidP="00292E1C">
      <w:pPr>
        <w:pStyle w:val="NoSpacing"/>
        <w:ind w:left="720"/>
      </w:pPr>
      <w:r>
        <w:t>“</w:t>
      </w:r>
      <w:r w:rsidRPr="001A5D64">
        <w:t>Plaintiff, who is a woman</w:t>
      </w:r>
      <w:r>
        <w:t xml:space="preserve"> … </w:t>
      </w:r>
      <w:r w:rsidRPr="001A5D64">
        <w:t>took the written exam on or about March 8, 2014</w:t>
      </w:r>
      <w:r>
        <w:t xml:space="preserve">…. </w:t>
      </w:r>
      <w:r w:rsidRPr="001A5D64">
        <w:t xml:space="preserve"> She passed the written examination and then took the physical agility test</w:t>
      </w:r>
      <w:r>
        <w:t xml:space="preserve">…. </w:t>
      </w:r>
      <w:r w:rsidRPr="003876D4">
        <w:t>The physical agility test was composed of several tasks, some of which were pass/fail and some of which were timed</w:t>
      </w:r>
      <w:r>
        <w:t>….</w:t>
      </w:r>
      <w:r w:rsidRPr="003876D4">
        <w:t xml:space="preserve">Those with the highest scores (i.e., those who had the fastest times) on the agility test were ranked highest on an </w:t>
      </w:r>
      <w:r>
        <w:t>‘</w:t>
      </w:r>
      <w:r w:rsidRPr="003876D4">
        <w:t>eligibility list.</w:t>
      </w:r>
      <w:r>
        <w:t xml:space="preserve">’,,, </w:t>
      </w:r>
      <w:r w:rsidRPr="001A5D64">
        <w:t>Based on her performance in the agility test, Plaintiff ranked 119th on the “eligibility list</w:t>
      </w:r>
      <w:r>
        <w:t xml:space="preserve">….’ </w:t>
      </w:r>
      <w:r w:rsidRPr="001A5D64">
        <w:t>That performance made her the highest scoring female on the examination</w:t>
      </w:r>
      <w:r>
        <w:t xml:space="preserve"> ….</w:t>
      </w:r>
      <w:r w:rsidRPr="001A5D64">
        <w:t>, but because she was not a top ranked candidate on the eligibility list, she was not interviewed for a position at MVFD</w:t>
      </w:r>
      <w:r>
        <w:t xml:space="preserve">… </w:t>
      </w:r>
      <w:r w:rsidRPr="001A5D64">
        <w:t xml:space="preserve"> The eligibility list remained in use from 2015 to 2019</w:t>
      </w:r>
      <w:r>
        <w:t xml:space="preserve"> ….</w:t>
      </w:r>
      <w:r w:rsidRPr="001A5D64">
        <w:t>and no female firefighters were hired from that list</w:t>
      </w:r>
      <w:r>
        <w:t xml:space="preserve"> …. </w:t>
      </w:r>
      <w:r w:rsidRPr="001A5D64">
        <w:t xml:space="preserve">In fact, MVFD has not hired a female firefighter in 25 years. </w:t>
      </w:r>
    </w:p>
    <w:p w14:paraId="509CBB27" w14:textId="77777777" w:rsidR="00292E1C" w:rsidRDefault="00292E1C" w:rsidP="00292E1C">
      <w:pPr>
        <w:pStyle w:val="NoSpacing"/>
        <w:ind w:left="720"/>
      </w:pPr>
    </w:p>
    <w:p w14:paraId="27C4A654" w14:textId="77777777" w:rsidR="00292E1C" w:rsidRDefault="00292E1C" w:rsidP="00292E1C">
      <w:pPr>
        <w:pStyle w:val="NoSpacing"/>
        <w:ind w:left="720"/>
      </w:pPr>
      <w:r>
        <w:t>***</w:t>
      </w:r>
    </w:p>
    <w:p w14:paraId="3E2DB237" w14:textId="77777777" w:rsidR="00292E1C" w:rsidRDefault="00292E1C" w:rsidP="00292E1C">
      <w:pPr>
        <w:pStyle w:val="NoSpacing"/>
        <w:ind w:left="720"/>
      </w:pPr>
      <w:r w:rsidRPr="000A483E">
        <w:t xml:space="preserve">In the instant case, Plaintiff </w:t>
      </w:r>
      <w:r>
        <w:t>‘</w:t>
      </w:r>
      <w:r w:rsidRPr="000A483E">
        <w:t>has not come forward with a statistical analysis of any kind.</w:t>
      </w:r>
      <w:r>
        <w:t>’</w:t>
      </w:r>
      <w:r w:rsidRPr="000A483E">
        <w:t xml:space="preserve"> </w:t>
      </w:r>
      <w:r>
        <w:rPr>
          <w:i/>
          <w:iCs/>
        </w:rPr>
        <w:t xml:space="preserve">… </w:t>
      </w:r>
      <w:r w:rsidRPr="000A483E">
        <w:t>She has not demonstrated a statistically significant disparity in the hiring of women versus men based on the testing regime at issue.</w:t>
      </w:r>
      <w:r>
        <w:t xml:space="preserve"> </w:t>
      </w:r>
      <w:r w:rsidRPr="002F708D">
        <w:t xml:space="preserve">Instead, she contends that the fact that MVFD has not hired a single woman in nearly 25 years is </w:t>
      </w:r>
      <w:r>
        <w:t>‘</w:t>
      </w:r>
      <w:r w:rsidRPr="002F708D">
        <w:t>a fact that by itself is sufficient to support an inference of discrimination.</w:t>
      </w:r>
      <w:r>
        <w:t xml:space="preserve">’ … </w:t>
      </w:r>
      <w:r w:rsidRPr="002F708D">
        <w:t xml:space="preserve">Although the Court is certainly troubled by the lack of women hired by MVFD, this fact, alone, demonstrates nothing more than a </w:t>
      </w:r>
      <w:r>
        <w:t>‘</w:t>
      </w:r>
      <w:r w:rsidRPr="002F708D">
        <w:t>bottom line [gender] imbalance,</w:t>
      </w:r>
      <w:r>
        <w:t>’</w:t>
      </w:r>
      <w:r w:rsidRPr="002F708D">
        <w:t xml:space="preserve"> </w:t>
      </w:r>
      <w:r w:rsidRPr="002F708D">
        <w:rPr>
          <w:i/>
          <w:iCs/>
        </w:rPr>
        <w:t xml:space="preserve">United Prob. Officers </w:t>
      </w:r>
      <w:proofErr w:type="spellStart"/>
      <w:r w:rsidRPr="002F708D">
        <w:rPr>
          <w:i/>
          <w:iCs/>
        </w:rPr>
        <w:t>Ass'n</w:t>
      </w:r>
      <w:proofErr w:type="spellEnd"/>
      <w:r w:rsidRPr="002F708D">
        <w:t xml:space="preserve">, 2022 WL 875864, at *6, and is therefore insufficient to allow the Court to conclude that Defendants' testing practices violate Title VII and the NYSHRL as a matter of law, </w:t>
      </w:r>
      <w:r w:rsidRPr="002F708D">
        <w:rPr>
          <w:i/>
          <w:iCs/>
        </w:rPr>
        <w:t>see Hopkins v. Bridgeport Bd. of Educ</w:t>
      </w:r>
      <w:r w:rsidRPr="002F708D">
        <w:t>., 834 F.Supp.2d 58, 69 (D. Conn. 2011) (</w:t>
      </w:r>
      <w:r>
        <w:t>‘</w:t>
      </w:r>
      <w:r w:rsidRPr="002F708D">
        <w:t>[The p]</w:t>
      </w:r>
      <w:proofErr w:type="spellStart"/>
      <w:r w:rsidRPr="002F708D">
        <w:t>laintiff</w:t>
      </w:r>
      <w:proofErr w:type="spellEnd"/>
      <w:r w:rsidRPr="002F708D">
        <w:t xml:space="preserve"> has only demonstrated that at the bottom line there is a [gender] imbalance in the workforce which could be the result of any number of factors. Plaintiff has failed to provide evidence that links this </w:t>
      </w:r>
      <w:proofErr w:type="gramStart"/>
      <w:r w:rsidRPr="002F708D">
        <w:t>bottom line</w:t>
      </w:r>
      <w:proofErr w:type="gramEnd"/>
      <w:r w:rsidRPr="002F708D">
        <w:t xml:space="preserve"> imbalance to Defendant's purported practice or policy ....</w:t>
      </w:r>
      <w:r>
        <w:t>’</w:t>
      </w:r>
      <w:r w:rsidRPr="002F708D">
        <w:t>).</w:t>
      </w:r>
      <w:r>
        <w:t>”</w:t>
      </w:r>
      <w:r w:rsidRPr="005A40A8">
        <w:t xml:space="preserve"> </w:t>
      </w:r>
      <w:hyperlink r:id="rId1344" w:history="1">
        <w:r w:rsidRPr="00586BA9">
          <w:rPr>
            <w:rStyle w:val="Hyperlink"/>
          </w:rPr>
          <w:t>https://public.fastcase.com/jaEE2PXzRXmZ99jOLMt1Iuq7qc0gfVcydq4UksJKYaPvhnQoV2Tur9kW43Sd%2BCHWkw1LFd5eYMpsqupxEAJwLBiVNyDEOcfOyFpt494LsV4%3D?utm_medium=email&amp;_hsenc=p2ANqtz-9JDPujkqcb7TpRksmi2p_USQgVGerxf-hzLRNOYIOWKeqjT-lj5XLhttLuYWUDIXmtoE1M_nS89zbeKXXmbJi1pvu4VQ&amp;_hsmi=226712652&amp;utm_content=226712652&amp;utm_source=hs_email</w:t>
        </w:r>
      </w:hyperlink>
      <w:r>
        <w:t xml:space="preserve"> </w:t>
      </w:r>
    </w:p>
    <w:p w14:paraId="7A1ACFAE" w14:textId="77777777" w:rsidR="00292E1C" w:rsidRDefault="00292E1C" w:rsidP="00292E1C">
      <w:pPr>
        <w:pStyle w:val="NoSpacing"/>
        <w:ind w:left="720"/>
      </w:pPr>
    </w:p>
    <w:p w14:paraId="719E2F08" w14:textId="77777777" w:rsidR="00292E1C" w:rsidRDefault="00292E1C" w:rsidP="00292E1C">
      <w:pPr>
        <w:pStyle w:val="NoSpacing"/>
      </w:pPr>
    </w:p>
    <w:p w14:paraId="5C7F4A9A" w14:textId="77777777" w:rsidR="00292E1C" w:rsidRDefault="00292E1C" w:rsidP="00292E1C">
      <w:pPr>
        <w:pStyle w:val="NoSpacing"/>
        <w:rPr>
          <w:b/>
          <w:bCs/>
        </w:rPr>
      </w:pPr>
      <w:r>
        <w:rPr>
          <w:b/>
        </w:rPr>
        <w:t>KEY FACTS:</w:t>
      </w:r>
    </w:p>
    <w:p w14:paraId="1A5DEA29" w14:textId="77777777" w:rsidR="00292E1C" w:rsidRDefault="00292E1C" w:rsidP="00292E1C">
      <w:pPr>
        <w:pStyle w:val="NoSpacing"/>
        <w:ind w:left="720"/>
      </w:pPr>
    </w:p>
    <w:p w14:paraId="1FECF62C" w14:textId="77777777" w:rsidR="00292E1C" w:rsidRDefault="00292E1C" w:rsidP="00292E1C">
      <w:pPr>
        <w:pStyle w:val="NoSpacing"/>
        <w:ind w:left="720"/>
      </w:pPr>
      <w:r>
        <w:t>“</w:t>
      </w:r>
      <w:r w:rsidRPr="00974082">
        <w:t>At the time of Plaintiff's application, applicants to MVFD were required to pass a written exam and a physical agility test before they could be considered for employment</w:t>
      </w:r>
      <w:r>
        <w:t xml:space="preserve">…. </w:t>
      </w:r>
      <w:r w:rsidRPr="00974082">
        <w:t>The written test was pass/fail</w:t>
      </w:r>
      <w:r>
        <w:t>….</w:t>
      </w:r>
      <w:r w:rsidRPr="00974082">
        <w:t>If an applicant passed the written test, they were permitted to take the physical agility test</w:t>
      </w:r>
      <w:r>
        <w:t>….</w:t>
      </w:r>
      <w:r w:rsidRPr="00974082">
        <w:t>The physical agility test was composed of several tasks, some of which were pass/fail and some of which were timed</w:t>
      </w:r>
      <w:r>
        <w:t>….</w:t>
      </w:r>
      <w:r w:rsidRPr="00974082">
        <w:t xml:space="preserve">Those with the highest scores (i.e., those who had the fastest times) on the agility test were ranked highest on an </w:t>
      </w:r>
      <w:r>
        <w:t>‘</w:t>
      </w:r>
      <w:r w:rsidRPr="00974082">
        <w:t>eligibility list</w:t>
      </w:r>
      <w:r>
        <w:t>….’</w:t>
      </w:r>
    </w:p>
    <w:p w14:paraId="60ACB034" w14:textId="77777777" w:rsidR="00292E1C" w:rsidRDefault="00292E1C" w:rsidP="00292E1C">
      <w:pPr>
        <w:pStyle w:val="NoSpacing"/>
        <w:ind w:left="720"/>
      </w:pPr>
    </w:p>
    <w:p w14:paraId="5BF099E6" w14:textId="77777777" w:rsidR="00292E1C" w:rsidRPr="00974082" w:rsidRDefault="00292E1C" w:rsidP="00292E1C">
      <w:pPr>
        <w:pStyle w:val="NoSpacing"/>
        <w:ind w:left="720"/>
      </w:pPr>
      <w:r w:rsidRPr="00974082">
        <w:t>The Civil Service Commission pulled its applicants to interview for open positions from the eligibility list in rank order</w:t>
      </w:r>
      <w:r>
        <w:t xml:space="preserve">…. </w:t>
      </w:r>
      <w:r w:rsidRPr="00974082">
        <w:t xml:space="preserve">Thus, the applicants who performed best on the agility test were most likely to be asked to interview for an open position. This testing structure was mandated by two consent decrees </w:t>
      </w:r>
      <w:proofErr w:type="gramStart"/>
      <w:r w:rsidRPr="00974082">
        <w:t>entered</w:t>
      </w:r>
      <w:r>
        <w:t xml:space="preserve"> </w:t>
      </w:r>
      <w:r w:rsidRPr="00974082">
        <w:t>into</w:t>
      </w:r>
      <w:proofErr w:type="gramEnd"/>
      <w:r w:rsidRPr="00974082">
        <w:t xml:space="preserve"> by Defendants with the Department of Justice in 1981. See generally Vulcan Soc. of Westchester </w:t>
      </w:r>
      <w:proofErr w:type="spellStart"/>
      <w:r w:rsidRPr="00974082">
        <w:t>Cnty</w:t>
      </w:r>
      <w:proofErr w:type="spellEnd"/>
      <w:r w:rsidRPr="00974082">
        <w:t xml:space="preserve">., Inc. v. Fire </w:t>
      </w:r>
      <w:proofErr w:type="spellStart"/>
      <w:r w:rsidRPr="00974082">
        <w:t>Dep't</w:t>
      </w:r>
      <w:proofErr w:type="spellEnd"/>
      <w:r w:rsidRPr="00974082">
        <w:t xml:space="preserve"> of City of White Plains, 505 </w:t>
      </w:r>
      <w:proofErr w:type="spellStart"/>
      <w:r w:rsidRPr="00974082">
        <w:t>F.Supp</w:t>
      </w:r>
      <w:proofErr w:type="spellEnd"/>
      <w:r w:rsidRPr="00974082">
        <w:t>. 955 (S.D.N.Y. 1981).</w:t>
      </w:r>
      <w:r>
        <w:t>”</w:t>
      </w:r>
      <w:r w:rsidRPr="00974082">
        <w:t xml:space="preserve"> </w:t>
      </w:r>
      <w:r>
        <w:t xml:space="preserve"> </w:t>
      </w:r>
      <w:r w:rsidRPr="00974082">
        <w:t>         </w:t>
      </w:r>
    </w:p>
    <w:p w14:paraId="384CF2AF" w14:textId="77777777" w:rsidR="00292E1C" w:rsidRPr="002F708D" w:rsidRDefault="00292E1C" w:rsidP="00292E1C">
      <w:pPr>
        <w:pStyle w:val="NoSpacing"/>
        <w:rPr>
          <w:b/>
          <w:bCs/>
        </w:rPr>
      </w:pPr>
    </w:p>
    <w:p w14:paraId="7B06ED27" w14:textId="77777777" w:rsidR="00292E1C" w:rsidRPr="00D4601C" w:rsidRDefault="00292E1C" w:rsidP="00292E1C">
      <w:pPr>
        <w:pStyle w:val="NoSpacing"/>
        <w:rPr>
          <w:b/>
          <w:bCs/>
        </w:rPr>
      </w:pPr>
      <w:r>
        <w:rPr>
          <w:b/>
        </w:rPr>
        <w:t xml:space="preserve">Legal lesson learned: The CPAT has been approved in numerous cases. </w:t>
      </w:r>
    </w:p>
    <w:p w14:paraId="53C4D93E" w14:textId="77777777" w:rsidR="00292E1C" w:rsidRDefault="00292E1C" w:rsidP="00292E1C">
      <w:pPr>
        <w:pStyle w:val="NoSpacing"/>
      </w:pPr>
    </w:p>
    <w:p w14:paraId="41CF04E7" w14:textId="77777777" w:rsidR="00292E1C" w:rsidRDefault="00292E1C" w:rsidP="00292E1C">
      <w:pPr>
        <w:pStyle w:val="NoSpacing"/>
        <w:ind w:left="720"/>
      </w:pPr>
      <w:r>
        <w:lastRenderedPageBreak/>
        <w:t>Note: “</w:t>
      </w:r>
      <w:r w:rsidRPr="00793F18">
        <w:t xml:space="preserve">The IAFF/IAFC Fire Service Joint Labor-Management Wellness-Fitness Task Force was established in 1997 to address the need for a holistic, non-punitive approach to wellness and fitness in the fire service. </w:t>
      </w:r>
      <w:r>
        <w:t xml:space="preserve"> </w:t>
      </w:r>
      <w:r w:rsidRPr="00793F18">
        <w:t>Recognizing that some municipalities were hiring candidates who lacked the physical capacity for a successful career, the Task Force unanimously agreed to create a standardized pre-employment test. This effort led to the development and validation of the Candidate Physical Ability Test (CPAT), now the industry standard for hiring fire fighters.</w:t>
      </w:r>
      <w:r>
        <w:t xml:space="preserve">” </w:t>
      </w:r>
      <w:hyperlink r:id="rId1345" w:history="1">
        <w:r w:rsidRPr="00586BA9">
          <w:rPr>
            <w:rStyle w:val="Hyperlink"/>
          </w:rPr>
          <w:t>https://www.iaff.org/cpat/</w:t>
        </w:r>
      </w:hyperlink>
    </w:p>
    <w:p w14:paraId="7210320E" w14:textId="77777777" w:rsidR="00292E1C" w:rsidRDefault="00292E1C" w:rsidP="00F326E5">
      <w:pPr>
        <w:pStyle w:val="NoSpacing"/>
        <w:rPr>
          <w:rFonts w:ascii="Arial Black" w:hAnsi="Arial Black"/>
          <w:b/>
          <w:bCs/>
          <w:sz w:val="24"/>
          <w:szCs w:val="24"/>
        </w:rPr>
      </w:pPr>
    </w:p>
    <w:p w14:paraId="7D810FEC" w14:textId="77777777" w:rsidR="00292E1C" w:rsidRDefault="00292E1C" w:rsidP="00F326E5">
      <w:pPr>
        <w:pStyle w:val="NoSpacing"/>
        <w:rPr>
          <w:rFonts w:ascii="Arial Black" w:hAnsi="Arial Black"/>
          <w:b/>
          <w:bCs/>
          <w:sz w:val="24"/>
          <w:szCs w:val="24"/>
        </w:rPr>
      </w:pPr>
    </w:p>
    <w:p w14:paraId="2B492C56" w14:textId="77777777" w:rsidR="00292E1C" w:rsidRDefault="00292E1C" w:rsidP="00F326E5">
      <w:pPr>
        <w:pStyle w:val="NoSpacing"/>
        <w:rPr>
          <w:rFonts w:ascii="Arial Black" w:hAnsi="Arial Black"/>
          <w:b/>
          <w:bCs/>
          <w:sz w:val="24"/>
          <w:szCs w:val="24"/>
        </w:rPr>
      </w:pPr>
    </w:p>
    <w:p w14:paraId="1294D04C" w14:textId="77777777" w:rsidR="00292E1C" w:rsidRDefault="00292E1C" w:rsidP="00F326E5">
      <w:pPr>
        <w:pStyle w:val="NoSpacing"/>
        <w:rPr>
          <w:rFonts w:ascii="Arial Black" w:hAnsi="Arial Black"/>
          <w:b/>
          <w:bCs/>
          <w:sz w:val="24"/>
          <w:szCs w:val="24"/>
        </w:rPr>
      </w:pPr>
    </w:p>
    <w:p w14:paraId="2DDAC38D" w14:textId="77777777" w:rsidR="00292E1C" w:rsidRDefault="00292E1C" w:rsidP="00F326E5">
      <w:pPr>
        <w:pStyle w:val="NoSpacing"/>
        <w:rPr>
          <w:rFonts w:ascii="Arial Black" w:hAnsi="Arial Black"/>
          <w:b/>
          <w:bCs/>
          <w:sz w:val="24"/>
          <w:szCs w:val="24"/>
        </w:rPr>
      </w:pPr>
    </w:p>
    <w:p w14:paraId="13C1DAF6" w14:textId="7207BC96" w:rsidR="00571037" w:rsidRDefault="000624FD" w:rsidP="00F326E5">
      <w:pPr>
        <w:pStyle w:val="NoSpacing"/>
        <w:rPr>
          <w:rFonts w:ascii="Arial Black" w:hAnsi="Arial Black"/>
          <w:b/>
          <w:bCs/>
          <w:sz w:val="24"/>
          <w:szCs w:val="24"/>
        </w:rPr>
      </w:pPr>
      <w:r>
        <w:rPr>
          <w:rFonts w:ascii="Arial Black" w:hAnsi="Arial Black"/>
          <w:b/>
          <w:bCs/>
          <w:sz w:val="24"/>
          <w:szCs w:val="24"/>
        </w:rPr>
        <w:t>7-81</w:t>
      </w:r>
    </w:p>
    <w:p w14:paraId="0B203811" w14:textId="77777777" w:rsidR="000624FD" w:rsidRDefault="000624FD" w:rsidP="00F326E5">
      <w:pPr>
        <w:pStyle w:val="NoSpacing"/>
        <w:rPr>
          <w:rFonts w:ascii="Arial Black" w:hAnsi="Arial Black"/>
          <w:b/>
          <w:bCs/>
          <w:sz w:val="24"/>
          <w:szCs w:val="24"/>
        </w:rPr>
      </w:pPr>
    </w:p>
    <w:p w14:paraId="7A93A472" w14:textId="0ADBE1E4" w:rsidR="001567BB" w:rsidRDefault="001567BB" w:rsidP="001567BB">
      <w:pPr>
        <w:rPr>
          <w:rFonts w:ascii="Arial Black" w:hAnsi="Arial Black"/>
          <w:b/>
          <w:sz w:val="28"/>
          <w:szCs w:val="28"/>
        </w:rPr>
      </w:pPr>
      <w:r>
        <w:rPr>
          <w:rFonts w:ascii="Arial Black" w:hAnsi="Arial Black"/>
          <w:b/>
          <w:sz w:val="28"/>
          <w:szCs w:val="28"/>
        </w:rPr>
        <w:t>NY: FEMALE COMPLAINT - B/C TRANSFER - NO</w:t>
      </w:r>
      <w:r w:rsidR="00830C38">
        <w:rPr>
          <w:rFonts w:ascii="Arial Black" w:hAnsi="Arial Black"/>
          <w:b/>
          <w:sz w:val="28"/>
          <w:szCs w:val="28"/>
        </w:rPr>
        <w:t>T</w:t>
      </w:r>
      <w:r>
        <w:rPr>
          <w:rFonts w:ascii="Arial Black" w:hAnsi="Arial Black"/>
          <w:b/>
          <w:sz w:val="28"/>
          <w:szCs w:val="28"/>
        </w:rPr>
        <w:t xml:space="preserve"> RETALIATION</w:t>
      </w:r>
    </w:p>
    <w:p w14:paraId="0D18AAE5" w14:textId="77777777" w:rsidR="001567BB" w:rsidRDefault="001567BB" w:rsidP="001567BB">
      <w:pPr>
        <w:rPr>
          <w:bCs/>
        </w:rPr>
      </w:pPr>
      <w:r w:rsidRPr="00242546">
        <w:t xml:space="preserve">On September 22, 2025, in </w:t>
      </w:r>
      <w:r w:rsidRPr="00242546">
        <w:rPr>
          <w:u w:val="single"/>
        </w:rPr>
        <w:t>Michael McGraff v. Fire Department of City of New York and the City of New York</w:t>
      </w:r>
      <w:r>
        <w:t xml:space="preserve">, U.S. District Court Judge Nicholas G. </w:t>
      </w:r>
      <w:proofErr w:type="spellStart"/>
      <w:r>
        <w:t>Garaufis</w:t>
      </w:r>
      <w:proofErr w:type="spellEnd"/>
      <w:r>
        <w:t xml:space="preserve">, United States District Court for Eastern District of New York, granted the City’s motion for summary judgment. Female medic filed complaint on April 3, </w:t>
      </w:r>
      <w:proofErr w:type="gramStart"/>
      <w:r>
        <w:t>2015</w:t>
      </w:r>
      <w:proofErr w:type="gramEnd"/>
      <w:r>
        <w:t xml:space="preserve"> with </w:t>
      </w:r>
      <w:r w:rsidRPr="00823799">
        <w:t>FDNY EEO</w:t>
      </w:r>
      <w:r>
        <w:t xml:space="preserve">.   Battalion Chief </w:t>
      </w:r>
      <w:r w:rsidRPr="00146805">
        <w:t xml:space="preserve">McGrath's </w:t>
      </w:r>
      <w:r>
        <w:t xml:space="preserve">was transferred from </w:t>
      </w:r>
      <w:r w:rsidRPr="0004737E">
        <w:t>Battalion 47 in Far Rockaway, Queens</w:t>
      </w:r>
      <w:r>
        <w:t xml:space="preserve"> to </w:t>
      </w:r>
      <w:r w:rsidRPr="00BB6518">
        <w:t>Queens Borough Command</w:t>
      </w:r>
      <w:r>
        <w:t xml:space="preserve">. </w:t>
      </w:r>
      <w:r w:rsidRPr="00823799">
        <w:t>On May 16, 2016, McGrath filed his own complaints with the FDNY EEO</w:t>
      </w:r>
      <w:r>
        <w:t xml:space="preserve">, </w:t>
      </w:r>
      <w:r w:rsidRPr="00146805">
        <w:t xml:space="preserve">alleged </w:t>
      </w:r>
      <w:r>
        <w:t>he</w:t>
      </w:r>
      <w:r w:rsidRPr="00146805">
        <w:t xml:space="preserve"> “was transferred and demoted due to his race (Caucasian) and gender (male), and that Arroyo received differential treatment because she is female and Hispanic.” </w:t>
      </w:r>
      <w:r>
        <w:t xml:space="preserve"> On</w:t>
      </w:r>
      <w:r w:rsidRPr="00002337">
        <w:t xml:space="preserve"> August 15, 2016, the FDNY EEO Office issued a memorandum to the Fire Commissioner Daniel A. Nigro substantiating Arroyo's sexual harassment complaint against McGrath</w:t>
      </w:r>
      <w:r>
        <w:t xml:space="preserve">.  November 10, 2016, McGrath’s complaint was dismissed with a </w:t>
      </w:r>
      <w:r w:rsidRPr="00B67D5B">
        <w:t>“no probable cause” determination</w:t>
      </w:r>
      <w:r>
        <w:t xml:space="preserve">.  He filed this lawsuit on March 15, 2017, against the female medic and the FD,  </w:t>
      </w:r>
      <w:r w:rsidRPr="00CC3044">
        <w:t xml:space="preserve">alleging </w:t>
      </w:r>
      <w:r>
        <w:t>“</w:t>
      </w:r>
      <w:r w:rsidRPr="00CC3044">
        <w:t>racial discrimination and retaliation under federal, state, and local laws, violation of his free speech rights, and several tort and contract claims</w:t>
      </w:r>
      <w:r>
        <w:t>.”</w:t>
      </w:r>
    </w:p>
    <w:p w14:paraId="0660C1E0" w14:textId="77777777" w:rsidR="001567BB" w:rsidRPr="004554EA" w:rsidRDefault="001567BB" w:rsidP="001567BB">
      <w:pPr>
        <w:rPr>
          <w:bCs/>
        </w:rPr>
      </w:pPr>
      <w:r w:rsidRPr="00EF6273">
        <w:rPr>
          <w:b/>
        </w:rPr>
        <w:t>THE COURT HELD</w:t>
      </w:r>
      <w:r>
        <w:t>: “</w:t>
      </w:r>
      <w:r w:rsidRPr="004554EA">
        <w:t xml:space="preserve">Based on this extensive investigation, the FDNY EEO Office determined as follows: </w:t>
      </w:r>
    </w:p>
    <w:p w14:paraId="48FA6812" w14:textId="77777777" w:rsidR="001567BB" w:rsidRPr="004554EA" w:rsidRDefault="001567BB" w:rsidP="001567BB">
      <w:pPr>
        <w:ind w:left="720"/>
        <w:rPr>
          <w:bCs/>
        </w:rPr>
      </w:pPr>
      <w:r w:rsidRPr="004554EA">
        <w:t xml:space="preserve">[T]he evidence shows that it is more likely than not that: McGrath and Arroyo spent time together after work hours in a non-platonic manner; Arroyo advised McGrath that she did not wish to purse a relationship; McGrath confronted Arroyo about unsubstantiated rumors of sexual misconduct in the workplace without addressing such alleged misconduct within his, and Arroyo's, chain of command; suggested and/or threatened Arroyo with a transfer to a different station; and recommended to Arroyo's supervisors that she be transferred to a different station. Viewing the totality of circumstances, such conduct constitutes sexual harassment in violation of the EEO Policy. </w:t>
      </w:r>
    </w:p>
    <w:p w14:paraId="49774F22" w14:textId="77777777" w:rsidR="001567BB" w:rsidRDefault="001567BB" w:rsidP="001567BB">
      <w:pPr>
        <w:rPr>
          <w:bCs/>
        </w:rPr>
      </w:pPr>
      <w:r>
        <w:t>***</w:t>
      </w:r>
    </w:p>
    <w:p w14:paraId="0123A7F8" w14:textId="77777777" w:rsidR="001567BB" w:rsidRPr="00705FAD" w:rsidRDefault="001567BB" w:rsidP="001567BB">
      <w:r w:rsidRPr="00284816">
        <w:t>The evidence shows that the FDNY</w:t>
      </w:r>
      <w:r>
        <w:t xml:space="preserve"> </w:t>
      </w:r>
      <w:r w:rsidRPr="00284816">
        <w:t xml:space="preserve">EEO Office substantiated Arroyo's complaint against McGrath and brought disciplinary charges against McGrath not </w:t>
      </w:r>
      <w:proofErr w:type="gramStart"/>
      <w:r w:rsidRPr="00284816">
        <w:t>as a result of</w:t>
      </w:r>
      <w:proofErr w:type="gramEnd"/>
      <w:r w:rsidRPr="00284816">
        <w:t xml:space="preserve"> McGrath's Agency Complaints, but because of the FDNY EEO Office's extensive fact-finding that validated Arroyo's sexual harassment allegations. McGrath's scant evidence showing a causal link between his protected activity and the alleged retaliatory actions is insufficient to defeat Defendants' motion for summary judgment.</w:t>
      </w:r>
      <w:r>
        <w:t xml:space="preserve">” </w:t>
      </w:r>
      <w:hyperlink r:id="rId1346" w:history="1">
        <w:r w:rsidRPr="00705FAD">
          <w:rPr>
            <w:rStyle w:val="Hyperlink"/>
          </w:rPr>
          <w:t>https://public.fastcase.com/jaEE2PXzRXmZ99jOLMt1Ith2qIaSeggCoLDpY1bED9tguFhWPV6Zo6qPtk3o63Z4?utm_medium=email&amp;_hsenc=p2ANqtz-_k3-Q52FXjJQN9NeOgWdHNDXhdU7FtsE1Qhtjng3_RTOztkpkvOWiDZxLNU-kndNaS-F1RaBe3KZirW8vwSyzK6BF9eQ&amp;_hsmi=226712652&amp;utm_content=226712652&amp;utm_source=hs_email</w:t>
        </w:r>
      </w:hyperlink>
    </w:p>
    <w:p w14:paraId="4FEF75B0" w14:textId="77777777" w:rsidR="001567BB" w:rsidRDefault="001567BB" w:rsidP="001567BB">
      <w:r w:rsidRPr="00EF6273">
        <w:rPr>
          <w:b/>
        </w:rPr>
        <w:lastRenderedPageBreak/>
        <w:t>KEY FACTS</w:t>
      </w:r>
      <w:r>
        <w:t xml:space="preserve">: </w:t>
      </w:r>
    </w:p>
    <w:p w14:paraId="3082BB4E" w14:textId="77777777" w:rsidR="001567BB" w:rsidRDefault="001567BB" w:rsidP="001567BB">
      <w:pPr>
        <w:ind w:left="720"/>
      </w:pPr>
      <w:r>
        <w:t>“</w:t>
      </w:r>
      <w:r w:rsidRPr="00A841D8">
        <w:t>Michael McGrath is a white, male, retired FDNY officer</w:t>
      </w:r>
      <w:r>
        <w:t xml:space="preserve">…. </w:t>
      </w:r>
      <w:r w:rsidRPr="00A841D8">
        <w:t>McGrath began his career as a fireman at the FDNY in 1979 and was employed by the FDNY until he retired on February 15, 2018</w:t>
      </w:r>
      <w:r>
        <w:t xml:space="preserve">…. </w:t>
      </w:r>
      <w:r w:rsidRPr="00A841D8">
        <w:t>Throughout his career at the FDNY, he was promoted several times, eventually becoming Battalion Commander for FDNY Battalion 47 in Far Rockaway, Queens in 2003</w:t>
      </w:r>
      <w:r>
        <w:t xml:space="preserve">…. </w:t>
      </w:r>
      <w:r w:rsidRPr="00A841D8">
        <w:t xml:space="preserve">Two years into his command of FNDY Battalion 47, Battalion 47 became a </w:t>
      </w:r>
      <w:r>
        <w:t>‘</w:t>
      </w:r>
      <w:r w:rsidRPr="00A841D8">
        <w:t xml:space="preserve">joint </w:t>
      </w:r>
      <w:proofErr w:type="spellStart"/>
      <w:r w:rsidRPr="00A841D8">
        <w:t>facilit</w:t>
      </w:r>
      <w:proofErr w:type="spellEnd"/>
      <w:r w:rsidRPr="00A841D8">
        <w:t>[y]</w:t>
      </w:r>
      <w:r>
        <w:t xml:space="preserve">’ </w:t>
      </w:r>
      <w:r w:rsidRPr="00A841D8">
        <w:t>housing both Fire Operations and EMS Operations</w:t>
      </w:r>
      <w:r>
        <w:t xml:space="preserve">…. </w:t>
      </w:r>
      <w:r w:rsidRPr="00A841D8">
        <w:t xml:space="preserve">The court refers to the joint facility where McGrath worked as the </w:t>
      </w:r>
      <w:r>
        <w:t>‘</w:t>
      </w:r>
      <w:r w:rsidRPr="00A841D8">
        <w:t>Firehouse.</w:t>
      </w:r>
      <w:r>
        <w:t>’</w:t>
      </w:r>
      <w:r w:rsidRPr="00A841D8">
        <w:t xml:space="preserve"> Both Fire Operations and EMS Operations housed in the Firehouse share common areas, including a gym, terrace, locker rooms, and bathrooms</w:t>
      </w:r>
      <w:r>
        <w:t xml:space="preserve">…. </w:t>
      </w:r>
    </w:p>
    <w:p w14:paraId="22586087" w14:textId="77777777" w:rsidR="001567BB" w:rsidRDefault="001567BB" w:rsidP="001567BB">
      <w:pPr>
        <w:ind w:left="720"/>
      </w:pPr>
      <w:r w:rsidRPr="00BC781F">
        <w:t>In January 2014, McGrath met Marilyn Arroyo, an EMS Paramedic, when Arroyo was involved in a motor vehicle accident to which McGrath responded</w:t>
      </w:r>
      <w:r>
        <w:t xml:space="preserve">…. </w:t>
      </w:r>
      <w:r w:rsidRPr="00BC781F">
        <w:t>It is undisputed that McGrath and Arroyo met several times after they first met</w:t>
      </w:r>
      <w:r>
        <w:t xml:space="preserve"> … </w:t>
      </w:r>
      <w:r w:rsidRPr="00BC781F">
        <w:t xml:space="preserve">but the parties dispute whether these meetings were dates or </w:t>
      </w:r>
      <w:r>
        <w:t>‘</w:t>
      </w:r>
      <w:r w:rsidRPr="00BC781F">
        <w:t>merely two co-workers getting together because Arroyo asked for job-related advice due to having family members interested in applying to the FDNY,</w:t>
      </w:r>
      <w:r>
        <w:t xml:space="preserve">’ …. </w:t>
      </w:r>
      <w:r w:rsidRPr="00BC781F">
        <w:t>McGrath claims that shortly after meeting Arroyo, he began hearing rumors that Arroyo was having sex with a firefighter inside of the Firehouse</w:t>
      </w:r>
      <w:r>
        <w:t xml:space="preserve">…. </w:t>
      </w:r>
      <w:r w:rsidRPr="00BC781F">
        <w:t>McGrath first approached Arroyo's supervisor Chief Steven Russo with the allegations; Russo told McGrath that he would speak with Arroyo and get back to McGrath by the end of the day</w:t>
      </w:r>
      <w:r>
        <w:t>….</w:t>
      </w:r>
      <w:r w:rsidRPr="00BC781F">
        <w:t xml:space="preserve"> Russo did not get back to McGrath that day</w:t>
      </w:r>
      <w:r>
        <w:t xml:space="preserve">…. </w:t>
      </w:r>
      <w:r w:rsidRPr="00BC781F">
        <w:t>On March 15, 2015, McGrath approached Arroyo and discussed the allegations with her</w:t>
      </w:r>
      <w:r>
        <w:t xml:space="preserve">…. </w:t>
      </w:r>
      <w:r w:rsidRPr="00BC781F">
        <w:t>McGrath then brought the allegations to Assistant Chief Edward Baggott and Division Commander James DiDomencio</w:t>
      </w:r>
      <w:r>
        <w:t xml:space="preserve">…. </w:t>
      </w:r>
      <w:r w:rsidRPr="00BC781F">
        <w:t>DiDomenico told McGrath that while the FDNY Bureau of Investigations and Trials (</w:t>
      </w:r>
      <w:r>
        <w:t>‘</w:t>
      </w:r>
      <w:proofErr w:type="spellStart"/>
      <w:r w:rsidRPr="00BC781F">
        <w:t>BITs</w:t>
      </w:r>
      <w:r>
        <w:t>’</w:t>
      </w:r>
      <w:proofErr w:type="spellEnd"/>
      <w:r w:rsidRPr="00BC781F">
        <w:t>) was not going to investigate the allegations, Arroyo's EMS supervisor would speak with her</w:t>
      </w:r>
      <w:r>
        <w:t xml:space="preserve">…. </w:t>
      </w:r>
      <w:r w:rsidRPr="00BC781F">
        <w:t xml:space="preserve">Shortly thereafter, DiDomenico instructed all Battalion Commanders (including McGrath) to give </w:t>
      </w:r>
      <w:r>
        <w:t>‘</w:t>
      </w:r>
      <w:r w:rsidRPr="00BC781F">
        <w:t>drills on inappropriate behavior.</w:t>
      </w:r>
      <w:r>
        <w:t>’</w:t>
      </w:r>
      <w:r w:rsidRPr="00BC781F">
        <w:t xml:space="preserve"> </w:t>
      </w:r>
    </w:p>
    <w:p w14:paraId="337BCF92" w14:textId="77777777" w:rsidR="001567BB" w:rsidRDefault="001567BB" w:rsidP="001567BB">
      <w:pPr>
        <w:ind w:left="720"/>
      </w:pPr>
      <w:r>
        <w:t>***</w:t>
      </w:r>
    </w:p>
    <w:p w14:paraId="2FD6D42E" w14:textId="77777777" w:rsidR="001567BB" w:rsidRPr="002C11C5" w:rsidRDefault="001567BB" w:rsidP="001567BB">
      <w:pPr>
        <w:ind w:left="720"/>
      </w:pPr>
      <w:r w:rsidRPr="002C11C5">
        <w:t xml:space="preserve"> 1. Arroyo FDNY EEO Complaint </w:t>
      </w:r>
    </w:p>
    <w:p w14:paraId="5F96AEC4" w14:textId="77777777" w:rsidR="001567BB" w:rsidRDefault="001567BB" w:rsidP="001567BB">
      <w:pPr>
        <w:ind w:left="720"/>
      </w:pPr>
      <w:r w:rsidRPr="002C11C5">
        <w:t> On April 3, 2015, Arroyo submitted a complaint to the FDNYs Equal Opportunity Employment (</w:t>
      </w:r>
      <w:r>
        <w:t>‘</w:t>
      </w:r>
      <w:r w:rsidRPr="002C11C5">
        <w:t>EEO</w:t>
      </w:r>
      <w:r>
        <w:t>’</w:t>
      </w:r>
      <w:r w:rsidRPr="002C11C5">
        <w:t>) Office alleging that McGrath sexually harassed her</w:t>
      </w:r>
      <w:r>
        <w:t xml:space="preserve">…. </w:t>
      </w:r>
      <w:r w:rsidRPr="002C11C5">
        <w:t xml:space="preserve">The Arroyo FDNY EEO Complaint alleged that on March 15, 2015, McGrath asked Arroyo to meet him in the Firehouse's mechanical room, where McGrath </w:t>
      </w:r>
      <w:r>
        <w:t>‘</w:t>
      </w:r>
      <w:r w:rsidRPr="002C11C5">
        <w:t>informed [Arroyo] that firemen's wives were making complaints about [Arroyo] with regard to rumors of inappropriate behavior with numerous firefighters from Battalion 47 as well as police officers from the local precincts.</w:t>
      </w:r>
      <w:r>
        <w:t>’ …</w:t>
      </w:r>
      <w:r w:rsidRPr="002C11C5">
        <w:t xml:space="preserve">Arroyo alleged further that McGrath </w:t>
      </w:r>
      <w:r>
        <w:t>‘</w:t>
      </w:r>
      <w:r w:rsidRPr="002C11C5">
        <w:t xml:space="preserve">claimed that the wives were unhappy with [Arroyo] having a personal relationship with a </w:t>
      </w:r>
      <w:proofErr w:type="gramStart"/>
      <w:r w:rsidRPr="002C11C5">
        <w:t>35 year old</w:t>
      </w:r>
      <w:proofErr w:type="gramEnd"/>
      <w:r w:rsidRPr="002C11C5">
        <w:t xml:space="preserve"> fireman from E268.” </w:t>
      </w:r>
      <w:r>
        <w:t xml:space="preserve">… </w:t>
      </w:r>
      <w:r w:rsidRPr="002C11C5">
        <w:t xml:space="preserve"> Arroyo claimed that McGrath said he could </w:t>
      </w:r>
      <w:r>
        <w:t>‘</w:t>
      </w:r>
      <w:r w:rsidRPr="002C11C5">
        <w:t>make this all go away</w:t>
      </w:r>
      <w:r>
        <w:t>’</w:t>
      </w:r>
      <w:r w:rsidRPr="002C11C5">
        <w:t xml:space="preserve"> if she agreed to transfer to another EMS Station and gave her until the following day to let him know her decision.</w:t>
      </w:r>
    </w:p>
    <w:p w14:paraId="32BB8F0A" w14:textId="77777777" w:rsidR="001567BB" w:rsidRPr="002C11C5" w:rsidRDefault="001567BB" w:rsidP="001567BB">
      <w:pPr>
        <w:ind w:left="720"/>
      </w:pPr>
      <w:r>
        <w:t>***</w:t>
      </w:r>
    </w:p>
    <w:p w14:paraId="606B3372" w14:textId="77777777" w:rsidR="001567BB" w:rsidRDefault="001567BB" w:rsidP="001567BB">
      <w:pPr>
        <w:ind w:left="720"/>
      </w:pPr>
      <w:r w:rsidRPr="00AC185E">
        <w:t> In March or April 2015, the FDNY reassigned McGrath to Queens Borough Command</w:t>
      </w:r>
      <w:proofErr w:type="gramStart"/>
      <w:r>
        <w:t>…..</w:t>
      </w:r>
      <w:proofErr w:type="gramEnd"/>
      <w:r>
        <w:t xml:space="preserve"> </w:t>
      </w:r>
      <w:r w:rsidRPr="00AC185E">
        <w:t xml:space="preserve">McGrath alleges that he was reassigned </w:t>
      </w:r>
      <w:r>
        <w:t>‘</w:t>
      </w:r>
      <w:r w:rsidRPr="00AC185E">
        <w:t>without warning</w:t>
      </w:r>
      <w:r>
        <w:t>’</w:t>
      </w:r>
      <w:r w:rsidRPr="00AC185E">
        <w:t xml:space="preserve"> and </w:t>
      </w:r>
      <w:r>
        <w:t>‘</w:t>
      </w:r>
      <w:r w:rsidRPr="00AC185E">
        <w:t xml:space="preserve">stripped </w:t>
      </w:r>
      <w:proofErr w:type="gramStart"/>
      <w:r w:rsidRPr="00AC185E">
        <w:t>of</w:t>
      </w:r>
      <w:proofErr w:type="gramEnd"/>
      <w:r w:rsidRPr="00AC185E">
        <w:t xml:space="preserve"> his duties.</w:t>
      </w:r>
      <w:r>
        <w:t>’</w:t>
      </w:r>
    </w:p>
    <w:p w14:paraId="0BA17AD4" w14:textId="77777777" w:rsidR="001567BB" w:rsidRDefault="001567BB" w:rsidP="001567BB">
      <w:pPr>
        <w:ind w:left="720"/>
      </w:pPr>
      <w:r>
        <w:t>***</w:t>
      </w:r>
    </w:p>
    <w:p w14:paraId="4CF1C565" w14:textId="77777777" w:rsidR="001567BB" w:rsidRDefault="001567BB" w:rsidP="001567BB">
      <w:pPr>
        <w:ind w:left="720"/>
      </w:pPr>
      <w:r w:rsidRPr="00B13F8B">
        <w:t>2. McGrath Agency Complaints</w:t>
      </w:r>
    </w:p>
    <w:p w14:paraId="722E9E3D" w14:textId="77777777" w:rsidR="001567BB" w:rsidRDefault="001567BB" w:rsidP="001567BB">
      <w:pPr>
        <w:ind w:left="720"/>
      </w:pPr>
      <w:r w:rsidRPr="0064124C">
        <w:t>On May 16, 2016, McGrath filed his own complaints with the FDNY EEO Office, the New York State Department of Human Rights (</w:t>
      </w:r>
      <w:r>
        <w:t>‘</w:t>
      </w:r>
      <w:r w:rsidRPr="0064124C">
        <w:t>NYSDHR</w:t>
      </w:r>
      <w:r>
        <w:t>’</w:t>
      </w:r>
      <w:r w:rsidRPr="0064124C">
        <w:t>), and the United States Equal Employment Opportunity Commission (</w:t>
      </w:r>
      <w:r>
        <w:t>‘</w:t>
      </w:r>
      <w:r w:rsidRPr="0064124C">
        <w:t>US EEOC</w:t>
      </w:r>
      <w:r>
        <w:t>’</w:t>
      </w:r>
      <w:r w:rsidRPr="0064124C">
        <w:t xml:space="preserve">) (collectively, </w:t>
      </w:r>
      <w:r>
        <w:t>‘</w:t>
      </w:r>
      <w:r w:rsidRPr="0064124C">
        <w:t>Agency Complaints</w:t>
      </w:r>
      <w:r>
        <w:t>’</w:t>
      </w:r>
      <w:r w:rsidRPr="0064124C">
        <w:t>)</w:t>
      </w:r>
      <w:r>
        <w:t xml:space="preserve">…. </w:t>
      </w:r>
      <w:r w:rsidRPr="0064124C">
        <w:t xml:space="preserve">According to an internal FDNY memorandum, McGrath's FDNY EEO </w:t>
      </w:r>
      <w:r w:rsidRPr="0064124C">
        <w:lastRenderedPageBreak/>
        <w:t xml:space="preserve">complaint alleged that McGrath </w:t>
      </w:r>
      <w:r>
        <w:t>‘</w:t>
      </w:r>
      <w:r w:rsidRPr="0064124C">
        <w:t>was transferred and demoted due to his race (Caucasian) and gender (male), and that Arroyo received differential treatment because she is female and Hispanic.</w:t>
      </w:r>
      <w:r>
        <w:t>’</w:t>
      </w:r>
      <w:r w:rsidRPr="0064124C">
        <w:t xml:space="preserve"> (Nguyen Mem.)</w:t>
      </w:r>
    </w:p>
    <w:p w14:paraId="01796F3E" w14:textId="77777777" w:rsidR="001567BB" w:rsidRDefault="001567BB" w:rsidP="001567BB">
      <w:pPr>
        <w:ind w:left="720"/>
      </w:pPr>
      <w:r>
        <w:t>***</w:t>
      </w:r>
    </w:p>
    <w:p w14:paraId="2AAD5259" w14:textId="77777777" w:rsidR="001567BB" w:rsidRDefault="001567BB" w:rsidP="001567BB">
      <w:pPr>
        <w:ind w:left="720"/>
      </w:pPr>
      <w:r w:rsidRPr="00A8314F">
        <w:t>On September 9, 2016, BIT served McGrath with four charges under the FDNYs internal rules and regulations relating to sexual harassment, making false statements, and general conduct</w:t>
      </w:r>
      <w:r>
        <w:t>.”</w:t>
      </w:r>
    </w:p>
    <w:p w14:paraId="563CFC58" w14:textId="77777777" w:rsidR="001567BB" w:rsidRPr="00284816" w:rsidRDefault="001567BB" w:rsidP="001567BB">
      <w:pPr>
        <w:rPr>
          <w:b/>
          <w:bCs/>
        </w:rPr>
      </w:pPr>
      <w:r>
        <w:rPr>
          <w:b/>
        </w:rPr>
        <w:t>Legal lesson learned: FD conducted thorough investigation.</w:t>
      </w:r>
    </w:p>
    <w:p w14:paraId="7CA9A367" w14:textId="77777777" w:rsidR="001567BB" w:rsidRPr="00F05C98" w:rsidRDefault="001567BB" w:rsidP="001567BB">
      <w:pPr>
        <w:ind w:left="720"/>
      </w:pPr>
    </w:p>
    <w:p w14:paraId="6F1D9EFD" w14:textId="77777777" w:rsidR="000624FD" w:rsidRDefault="000624FD" w:rsidP="004C2EC5">
      <w:pPr>
        <w:pStyle w:val="NoSpacing"/>
        <w:rPr>
          <w:rFonts w:ascii="Arial Black" w:hAnsi="Arial Black"/>
          <w:b/>
          <w:bCs/>
          <w:sz w:val="24"/>
          <w:szCs w:val="24"/>
        </w:rPr>
      </w:pPr>
    </w:p>
    <w:p w14:paraId="4BF9CE48" w14:textId="19E4870C" w:rsidR="002F205D" w:rsidRDefault="002F205D" w:rsidP="004C2EC5">
      <w:pPr>
        <w:pStyle w:val="NoSpacing"/>
        <w:rPr>
          <w:rFonts w:ascii="Arial Black" w:hAnsi="Arial Black"/>
          <w:b/>
          <w:bCs/>
          <w:sz w:val="24"/>
          <w:szCs w:val="24"/>
        </w:rPr>
      </w:pPr>
      <w:r>
        <w:rPr>
          <w:rFonts w:ascii="Arial Black" w:hAnsi="Arial Black"/>
          <w:b/>
          <w:bCs/>
          <w:sz w:val="24"/>
          <w:szCs w:val="24"/>
        </w:rPr>
        <w:t>7-80</w:t>
      </w:r>
    </w:p>
    <w:p w14:paraId="2D439DEF" w14:textId="77777777" w:rsidR="002F205D" w:rsidRDefault="002F205D" w:rsidP="002F205D">
      <w:pPr>
        <w:pStyle w:val="NoSpacing"/>
        <w:rPr>
          <w:rFonts w:ascii="Arial Black" w:hAnsi="Arial Black"/>
          <w:sz w:val="28"/>
          <w:szCs w:val="28"/>
        </w:rPr>
      </w:pPr>
      <w:r>
        <w:rPr>
          <w:rFonts w:ascii="Arial Black" w:hAnsi="Arial Black"/>
          <w:sz w:val="28"/>
          <w:szCs w:val="28"/>
        </w:rPr>
        <w:t xml:space="preserve">IL: GENITALIA / HOMO / RACIST - TEXT MESSAGE GROUP </w:t>
      </w:r>
    </w:p>
    <w:p w14:paraId="160E9399" w14:textId="77777777" w:rsidR="002F205D" w:rsidRPr="006959F8" w:rsidRDefault="002F205D" w:rsidP="002F205D">
      <w:pPr>
        <w:pStyle w:val="NoSpacing"/>
        <w:rPr>
          <w:rFonts w:ascii="Times New Roman" w:hAnsi="Times New Roman"/>
          <w:sz w:val="24"/>
          <w:szCs w:val="24"/>
        </w:rPr>
      </w:pPr>
      <w:r w:rsidRPr="006959F8">
        <w:rPr>
          <w:rFonts w:ascii="Times New Roman" w:hAnsi="Times New Roman"/>
          <w:sz w:val="24"/>
          <w:szCs w:val="24"/>
        </w:rPr>
        <w:t xml:space="preserve"> </w:t>
      </w:r>
    </w:p>
    <w:p w14:paraId="0587292F" w14:textId="484109C8" w:rsidR="002F205D" w:rsidRPr="006959F8" w:rsidRDefault="002F205D" w:rsidP="002F205D">
      <w:pPr>
        <w:pStyle w:val="NoSpacing"/>
        <w:rPr>
          <w:rFonts w:ascii="Times New Roman" w:hAnsi="Times New Roman"/>
          <w:sz w:val="24"/>
          <w:szCs w:val="24"/>
        </w:rPr>
      </w:pPr>
      <w:r w:rsidRPr="006959F8">
        <w:rPr>
          <w:rFonts w:ascii="Times New Roman" w:hAnsi="Times New Roman"/>
          <w:sz w:val="24"/>
          <w:szCs w:val="24"/>
        </w:rPr>
        <w:t xml:space="preserve">On July 23, 2025, in </w:t>
      </w:r>
      <w:r w:rsidRPr="006959F8">
        <w:rPr>
          <w:rFonts w:ascii="Times New Roman" w:hAnsi="Times New Roman"/>
          <w:sz w:val="24"/>
          <w:szCs w:val="24"/>
          <w:u w:val="single"/>
        </w:rPr>
        <w:t>David Stieglitz v. City of Chicago, et al</w:t>
      </w:r>
      <w:r w:rsidRPr="006959F8">
        <w:rPr>
          <w:rFonts w:ascii="Times New Roman" w:hAnsi="Times New Roman"/>
          <w:sz w:val="24"/>
          <w:szCs w:val="24"/>
        </w:rPr>
        <w:t xml:space="preserve">., U.S. District Court Judge Franklin U. Valderrama, United States District Court for Northern District of Illinois (Eastern Division) denied the City’s motion to dismiss retaliation lawsuit; pre-trial discovery will now proceed for plaintiff (who is white).  The plaintiff has been a Chicago firefighter since 2005; in July 2000 he was added to a text message group from his firehouse; the chat excluded female firefighters, and included pictures of genitalia, homophobic and racist texts and inappropriate gifs.  He also complained about inappropriate conduct directed at his minor son during a visit to the firehouse, during which he was asked about his sexual orientation. He asked his Lieutenant and his Battalion Chief to be removed from the text message group and stop the conduct, but they took no action. In 2021 and 2022 he filed complaints with City EEOC and OIG, and retaliation started. His lawsuit claims: “he was ostracized by his coworkers, threatened with discipline for reporting illegal behavior, brought up on false internal review charges, the station cook spit on his plate at dinner, he had doors slammed in his face, and he was transferred from his assigned house.”  THE COURT HELD: “The Supreme Court recently clarified that to establish an adverse employment action under Title VII, a plaintiff need only show ‘some harm’ respecting an identifiable term or condition of employment, rather than a ‘significant’ disadvantage. </w:t>
      </w:r>
      <w:r w:rsidRPr="006959F8">
        <w:rPr>
          <w:rFonts w:ascii="Times New Roman" w:hAnsi="Times New Roman"/>
          <w:i/>
          <w:iCs/>
          <w:sz w:val="24"/>
          <w:szCs w:val="24"/>
        </w:rPr>
        <w:t>Muldrow v. City of St. Louis</w:t>
      </w:r>
      <w:r w:rsidRPr="006959F8">
        <w:rPr>
          <w:rFonts w:ascii="Times New Roman" w:hAnsi="Times New Roman"/>
          <w:sz w:val="24"/>
          <w:szCs w:val="24"/>
        </w:rPr>
        <w:t xml:space="preserve">, Mo., 601 U.S. 346, 355 (2024). </w:t>
      </w:r>
      <w:hyperlink r:id="rId1347" w:history="1">
        <w:r w:rsidRPr="006959F8">
          <w:rPr>
            <w:rStyle w:val="Hyperlink"/>
            <w:rFonts w:ascii="Times New Roman" w:hAnsi="Times New Roman"/>
            <w:sz w:val="24"/>
            <w:szCs w:val="24"/>
          </w:rPr>
          <w:t>https://www.courthousenews.com/wp-content/uploads/2025/07/illinois-court-allows-firefighter-emt-to-sue-over-sexually-hostile-environment.pdf</w:t>
        </w:r>
      </w:hyperlink>
    </w:p>
    <w:p w14:paraId="68862B53" w14:textId="77777777" w:rsidR="00E73444" w:rsidRPr="006959F8" w:rsidRDefault="00E73444" w:rsidP="002F205D">
      <w:pPr>
        <w:pStyle w:val="NoSpacing"/>
        <w:rPr>
          <w:rFonts w:ascii="Times New Roman" w:hAnsi="Times New Roman"/>
          <w:b/>
          <w:bCs/>
          <w:sz w:val="24"/>
          <w:szCs w:val="24"/>
        </w:rPr>
      </w:pPr>
    </w:p>
    <w:p w14:paraId="2281D8AD" w14:textId="77777777" w:rsidR="0069598C" w:rsidRPr="006959F8" w:rsidRDefault="0069598C" w:rsidP="0069598C">
      <w:pPr>
        <w:pStyle w:val="NoSpacing"/>
        <w:rPr>
          <w:rFonts w:ascii="Times New Roman" w:hAnsi="Times New Roman"/>
          <w:b/>
          <w:bCs/>
          <w:sz w:val="24"/>
          <w:szCs w:val="24"/>
        </w:rPr>
      </w:pPr>
      <w:r w:rsidRPr="006959F8">
        <w:rPr>
          <w:rFonts w:ascii="Times New Roman" w:hAnsi="Times New Roman"/>
          <w:b/>
          <w:sz w:val="24"/>
          <w:szCs w:val="24"/>
        </w:rPr>
        <w:t xml:space="preserve">Legal lesson learned:   Fire Station text message groups, like other forms of communication, can lead to litigation.  Under the U.S. Supreme Court’s April 17, </w:t>
      </w:r>
      <w:proofErr w:type="gramStart"/>
      <w:r w:rsidRPr="006959F8">
        <w:rPr>
          <w:rFonts w:ascii="Times New Roman" w:hAnsi="Times New Roman"/>
          <w:b/>
          <w:sz w:val="24"/>
          <w:szCs w:val="24"/>
        </w:rPr>
        <w:t>2024</w:t>
      </w:r>
      <w:proofErr w:type="gramEnd"/>
      <w:r w:rsidRPr="006959F8">
        <w:rPr>
          <w:rFonts w:ascii="Times New Roman" w:hAnsi="Times New Roman"/>
          <w:b/>
          <w:sz w:val="24"/>
          <w:szCs w:val="24"/>
        </w:rPr>
        <w:t xml:space="preserve"> decision in </w:t>
      </w:r>
      <w:r w:rsidRPr="006959F8">
        <w:rPr>
          <w:rFonts w:ascii="Times New Roman" w:hAnsi="Times New Roman"/>
          <w:b/>
          <w:i/>
          <w:iCs/>
          <w:sz w:val="24"/>
          <w:szCs w:val="24"/>
        </w:rPr>
        <w:t xml:space="preserve">Muldrow v. City of St. Louis, </w:t>
      </w:r>
      <w:r w:rsidRPr="006959F8">
        <w:rPr>
          <w:rFonts w:ascii="Times New Roman" w:hAnsi="Times New Roman"/>
          <w:b/>
          <w:sz w:val="24"/>
          <w:szCs w:val="24"/>
        </w:rPr>
        <w:t xml:space="preserve">lawsuits claiming retaliation need only allege “some harms” to proceed with pre-trial discovery. </w:t>
      </w:r>
      <w:hyperlink r:id="rId1348" w:history="1">
        <w:r w:rsidRPr="006959F8">
          <w:rPr>
            <w:rStyle w:val="Hyperlink"/>
            <w:rFonts w:ascii="Times New Roman" w:hAnsi="Times New Roman"/>
            <w:b/>
            <w:sz w:val="24"/>
            <w:szCs w:val="24"/>
          </w:rPr>
          <w:t>https://www.supremecourt.gov/opinions/23pdf/22-193_q86b.pdf</w:t>
        </w:r>
      </w:hyperlink>
      <w:r w:rsidRPr="006959F8">
        <w:rPr>
          <w:rFonts w:ascii="Times New Roman" w:hAnsi="Times New Roman"/>
          <w:b/>
          <w:sz w:val="24"/>
          <w:szCs w:val="24"/>
        </w:rPr>
        <w:t xml:space="preserve"> </w:t>
      </w:r>
    </w:p>
    <w:p w14:paraId="6A62170C" w14:textId="77777777" w:rsidR="0069598C" w:rsidRPr="006959F8" w:rsidRDefault="0069598C" w:rsidP="0069598C">
      <w:pPr>
        <w:pStyle w:val="NoSpacing"/>
        <w:rPr>
          <w:rFonts w:ascii="Times New Roman" w:hAnsi="Times New Roman"/>
          <w:b/>
          <w:bCs/>
          <w:sz w:val="24"/>
          <w:szCs w:val="24"/>
        </w:rPr>
      </w:pPr>
    </w:p>
    <w:p w14:paraId="501B1C06" w14:textId="77777777" w:rsidR="0069598C" w:rsidRPr="006959F8" w:rsidRDefault="0069598C" w:rsidP="0069598C">
      <w:pPr>
        <w:pStyle w:val="NoSpacing"/>
        <w:ind w:left="720"/>
        <w:rPr>
          <w:rFonts w:ascii="Times New Roman" w:hAnsi="Times New Roman"/>
          <w:sz w:val="24"/>
          <w:szCs w:val="24"/>
        </w:rPr>
      </w:pPr>
      <w:r w:rsidRPr="006959F8">
        <w:rPr>
          <w:rFonts w:ascii="Times New Roman" w:hAnsi="Times New Roman"/>
          <w:sz w:val="24"/>
          <w:szCs w:val="24"/>
        </w:rPr>
        <w:t xml:space="preserve">Note:  Plaintiff in 2017 filed an EEOC complaint and then sued the </w:t>
      </w:r>
      <w:proofErr w:type="gramStart"/>
      <w:r w:rsidRPr="006959F8">
        <w:rPr>
          <w:rFonts w:ascii="Times New Roman" w:hAnsi="Times New Roman"/>
          <w:sz w:val="24"/>
          <w:szCs w:val="24"/>
        </w:rPr>
        <w:t>City</w:t>
      </w:r>
      <w:proofErr w:type="gramEnd"/>
      <w:r w:rsidRPr="006959F8">
        <w:rPr>
          <w:rFonts w:ascii="Times New Roman" w:hAnsi="Times New Roman"/>
          <w:sz w:val="24"/>
          <w:szCs w:val="24"/>
        </w:rPr>
        <w:t xml:space="preserve">, claiming racial discrimination (he is white) about his Black Captain assigning two additional firefighters to drive Truck 19. The trial court judge after pre-trial discovery granted summary judgement to the </w:t>
      </w:r>
      <w:proofErr w:type="gramStart"/>
      <w:r w:rsidRPr="006959F8">
        <w:rPr>
          <w:rFonts w:ascii="Times New Roman" w:hAnsi="Times New Roman"/>
          <w:sz w:val="24"/>
          <w:szCs w:val="24"/>
        </w:rPr>
        <w:t>City</w:t>
      </w:r>
      <w:proofErr w:type="gramEnd"/>
      <w:r w:rsidRPr="006959F8">
        <w:rPr>
          <w:rFonts w:ascii="Times New Roman" w:hAnsi="Times New Roman"/>
          <w:sz w:val="24"/>
          <w:szCs w:val="24"/>
        </w:rPr>
        <w:t>.  On July 12, 2022, the U.S. Court of Appeals for 7</w:t>
      </w:r>
      <w:r w:rsidRPr="006959F8">
        <w:rPr>
          <w:rFonts w:ascii="Times New Roman" w:hAnsi="Times New Roman"/>
          <w:sz w:val="24"/>
          <w:szCs w:val="24"/>
          <w:vertAlign w:val="superscript"/>
        </w:rPr>
        <w:t>th</w:t>
      </w:r>
      <w:r w:rsidRPr="006959F8">
        <w:rPr>
          <w:rFonts w:ascii="Times New Roman" w:hAnsi="Times New Roman"/>
          <w:sz w:val="24"/>
          <w:szCs w:val="24"/>
        </w:rPr>
        <w:t xml:space="preserve"> Circuit (Chicago) held that his race discrimination case was properly dismissed. </w:t>
      </w:r>
      <w:hyperlink r:id="rId1349" w:history="1">
        <w:r w:rsidRPr="006959F8">
          <w:rPr>
            <w:rStyle w:val="Hyperlink"/>
            <w:rFonts w:ascii="Times New Roman" w:hAnsi="Times New Roman"/>
            <w:sz w:val="24"/>
            <w:szCs w:val="24"/>
          </w:rPr>
          <w:t>https://media.ca7.uscourts.gov/cgi-bin/rssExec.pl?Submit=Display&amp;Path=Y2022/D07-12/C:21-2784:J:PerCuriam:aut:T:npDp:N:2902357:S:0</w:t>
        </w:r>
      </w:hyperlink>
      <w:r w:rsidRPr="006959F8">
        <w:rPr>
          <w:rFonts w:ascii="Times New Roman" w:hAnsi="Times New Roman"/>
          <w:sz w:val="24"/>
          <w:szCs w:val="24"/>
        </w:rPr>
        <w:t xml:space="preserve"> </w:t>
      </w:r>
    </w:p>
    <w:p w14:paraId="3B0EE4E7" w14:textId="77777777" w:rsidR="0069598C" w:rsidRPr="006959F8" w:rsidRDefault="0069598C" w:rsidP="0069598C">
      <w:pPr>
        <w:pStyle w:val="NoSpacing"/>
        <w:ind w:left="720"/>
        <w:rPr>
          <w:rFonts w:ascii="Times New Roman" w:hAnsi="Times New Roman"/>
          <w:sz w:val="24"/>
          <w:szCs w:val="24"/>
        </w:rPr>
      </w:pPr>
    </w:p>
    <w:p w14:paraId="457039C6" w14:textId="77777777" w:rsidR="0069598C" w:rsidRPr="006959F8" w:rsidRDefault="0069598C" w:rsidP="0069598C">
      <w:pPr>
        <w:pStyle w:val="NoSpacing"/>
        <w:ind w:left="1440"/>
        <w:rPr>
          <w:rFonts w:ascii="Times New Roman" w:hAnsi="Times New Roman"/>
          <w:sz w:val="24"/>
          <w:szCs w:val="24"/>
        </w:rPr>
      </w:pPr>
      <w:r w:rsidRPr="006959F8">
        <w:rPr>
          <w:rFonts w:ascii="Times New Roman" w:hAnsi="Times New Roman"/>
          <w:sz w:val="24"/>
          <w:szCs w:val="24"/>
        </w:rPr>
        <w:t xml:space="preserve">“David Stieglitz, a Chicago firefighter, sued the City of Chicago under Title VII of the Civil Rights Act of 1964 for race discrimination and retaliation. He alleged that his captain deprived him of lucrative opportunities to drive a fire truck because of his race (White) and that, after he protested, the Chicago Fire Department retaliated against him by briefly suspending him from driving. The district court granted the City’s motion for summary judgment, concluding that Stieglitz lacked evidence to dispute the City’s non-discriminatory reasons for scheduling </w:t>
      </w:r>
      <w:r w:rsidRPr="006959F8">
        <w:rPr>
          <w:rFonts w:ascii="Times New Roman" w:hAnsi="Times New Roman"/>
          <w:sz w:val="24"/>
          <w:szCs w:val="24"/>
        </w:rPr>
        <w:lastRenderedPageBreak/>
        <w:t>multiple drivers and for the suspension. Because a jury could not reasonably infer from the evidence any intent to discriminate or retaliate, we affirm”</w:t>
      </w:r>
    </w:p>
    <w:p w14:paraId="4E3D58BB" w14:textId="77777777" w:rsidR="0069598C" w:rsidRDefault="0069598C" w:rsidP="002F205D">
      <w:pPr>
        <w:pStyle w:val="NoSpacing"/>
        <w:rPr>
          <w:rFonts w:ascii="Arial Black" w:hAnsi="Arial Black"/>
          <w:b/>
          <w:bCs/>
          <w:sz w:val="24"/>
          <w:szCs w:val="24"/>
        </w:rPr>
      </w:pPr>
    </w:p>
    <w:p w14:paraId="3CAC8C5E" w14:textId="77777777" w:rsidR="002F205D" w:rsidRDefault="002F205D" w:rsidP="004C2EC5">
      <w:pPr>
        <w:pStyle w:val="NoSpacing"/>
        <w:rPr>
          <w:rFonts w:ascii="Arial Black" w:hAnsi="Arial Black"/>
          <w:b/>
          <w:bCs/>
          <w:sz w:val="24"/>
          <w:szCs w:val="24"/>
        </w:rPr>
      </w:pPr>
    </w:p>
    <w:p w14:paraId="6DCFE024" w14:textId="77777777" w:rsidR="002F205D" w:rsidRDefault="002F205D" w:rsidP="004C2EC5">
      <w:pPr>
        <w:pStyle w:val="NoSpacing"/>
        <w:rPr>
          <w:rFonts w:ascii="Arial Black" w:hAnsi="Arial Black"/>
          <w:b/>
          <w:bCs/>
          <w:sz w:val="24"/>
          <w:szCs w:val="24"/>
        </w:rPr>
      </w:pPr>
    </w:p>
    <w:p w14:paraId="7A1966F8" w14:textId="77777777" w:rsidR="002F205D" w:rsidRDefault="002F205D" w:rsidP="004C2EC5">
      <w:pPr>
        <w:pStyle w:val="NoSpacing"/>
        <w:rPr>
          <w:rFonts w:ascii="Arial Black" w:hAnsi="Arial Black"/>
          <w:b/>
          <w:bCs/>
          <w:sz w:val="24"/>
          <w:szCs w:val="24"/>
        </w:rPr>
      </w:pPr>
    </w:p>
    <w:p w14:paraId="2679312F" w14:textId="77777777" w:rsidR="002F205D" w:rsidRDefault="002F205D" w:rsidP="004C2EC5">
      <w:pPr>
        <w:pStyle w:val="NoSpacing"/>
        <w:rPr>
          <w:rFonts w:ascii="Arial Black" w:hAnsi="Arial Black"/>
          <w:b/>
          <w:bCs/>
          <w:sz w:val="24"/>
          <w:szCs w:val="24"/>
        </w:rPr>
      </w:pPr>
    </w:p>
    <w:p w14:paraId="6F5FED96" w14:textId="3B903620" w:rsidR="004C2EC5" w:rsidRDefault="004C2EC5" w:rsidP="004C2EC5">
      <w:pPr>
        <w:pStyle w:val="NoSpacing"/>
        <w:rPr>
          <w:rFonts w:ascii="Arial Black" w:hAnsi="Arial Black"/>
          <w:b/>
          <w:bCs/>
          <w:sz w:val="24"/>
          <w:szCs w:val="24"/>
        </w:rPr>
      </w:pPr>
      <w:r>
        <w:rPr>
          <w:rFonts w:ascii="Arial Black" w:hAnsi="Arial Black"/>
          <w:b/>
          <w:bCs/>
          <w:sz w:val="24"/>
          <w:szCs w:val="24"/>
        </w:rPr>
        <w:t>7-7</w:t>
      </w:r>
      <w:r w:rsidR="00092DAC">
        <w:rPr>
          <w:rFonts w:ascii="Arial Black" w:hAnsi="Arial Black"/>
          <w:b/>
          <w:bCs/>
          <w:sz w:val="24"/>
          <w:szCs w:val="24"/>
        </w:rPr>
        <w:t>9</w:t>
      </w:r>
    </w:p>
    <w:p w14:paraId="6BAFD43F" w14:textId="77777777" w:rsidR="002F205D" w:rsidRDefault="002F205D" w:rsidP="00FB15FE">
      <w:pPr>
        <w:rPr>
          <w:rFonts w:ascii="Arial Black" w:hAnsi="Arial Black"/>
          <w:b/>
          <w:sz w:val="28"/>
          <w:szCs w:val="28"/>
        </w:rPr>
      </w:pPr>
    </w:p>
    <w:p w14:paraId="1F9489F4" w14:textId="65ECB607" w:rsidR="00FB15FE" w:rsidRPr="00221AA5" w:rsidRDefault="00FB15FE" w:rsidP="00FB15FE">
      <w:pPr>
        <w:rPr>
          <w:rFonts w:ascii="Arial Black" w:hAnsi="Arial Black"/>
          <w:b/>
          <w:sz w:val="28"/>
          <w:szCs w:val="28"/>
        </w:rPr>
      </w:pPr>
      <w:r>
        <w:rPr>
          <w:rFonts w:ascii="Arial Black" w:hAnsi="Arial Black"/>
          <w:b/>
          <w:sz w:val="28"/>
          <w:szCs w:val="28"/>
        </w:rPr>
        <w:t>U.S. SUP. CT: “STRAIGHT” FEMALE</w:t>
      </w:r>
      <w:r w:rsidR="00E6658C">
        <w:rPr>
          <w:rFonts w:ascii="Arial Black" w:hAnsi="Arial Black"/>
          <w:b/>
          <w:sz w:val="28"/>
          <w:szCs w:val="28"/>
        </w:rPr>
        <w:t xml:space="preserve"> RIGHTS</w:t>
      </w:r>
      <w:r>
        <w:rPr>
          <w:rFonts w:ascii="Arial Black" w:hAnsi="Arial Black"/>
          <w:b/>
          <w:sz w:val="28"/>
          <w:szCs w:val="28"/>
        </w:rPr>
        <w:t xml:space="preserve"> – MGT FAVORED GAYS</w:t>
      </w:r>
    </w:p>
    <w:p w14:paraId="207D15DB" w14:textId="77777777" w:rsidR="00FB15FE" w:rsidRPr="002A313D" w:rsidRDefault="00FB15FE" w:rsidP="00FB15FE">
      <w:pPr>
        <w:pStyle w:val="NoSpacing"/>
        <w:rPr>
          <w:rFonts w:ascii="Times New Roman" w:hAnsi="Times New Roman"/>
          <w:bCs/>
          <w:sz w:val="24"/>
          <w:szCs w:val="24"/>
        </w:rPr>
      </w:pPr>
      <w:r w:rsidRPr="002A313D">
        <w:rPr>
          <w:rFonts w:ascii="Times New Roman" w:hAnsi="Times New Roman"/>
          <w:sz w:val="24"/>
          <w:szCs w:val="24"/>
        </w:rPr>
        <w:t xml:space="preserve">On June 5, 2025, in </w:t>
      </w:r>
      <w:r w:rsidRPr="002A313D">
        <w:rPr>
          <w:rFonts w:ascii="Times New Roman" w:hAnsi="Times New Roman"/>
          <w:sz w:val="24"/>
          <w:szCs w:val="24"/>
          <w:u w:val="single"/>
        </w:rPr>
        <w:t>Marlean Ames v. Ohio Department of Youth Services</w:t>
      </w:r>
      <w:r w:rsidRPr="002A313D">
        <w:rPr>
          <w:rFonts w:ascii="Times New Roman" w:hAnsi="Times New Roman"/>
          <w:sz w:val="24"/>
          <w:szCs w:val="24"/>
        </w:rPr>
        <w:t>, the United States Supreme Court held (9 to 0) that heterosexual and other majority group employees may sue employers who they allege made promotion or other job assignments in favor of gay employees.  The Court rejected the requirement of the 6</w:t>
      </w:r>
      <w:r w:rsidRPr="002A313D">
        <w:rPr>
          <w:rFonts w:ascii="Times New Roman" w:hAnsi="Times New Roman"/>
          <w:sz w:val="24"/>
          <w:szCs w:val="24"/>
          <w:vertAlign w:val="superscript"/>
        </w:rPr>
        <w:t>th</w:t>
      </w:r>
      <w:r w:rsidRPr="002A313D">
        <w:rPr>
          <w:rFonts w:ascii="Times New Roman" w:hAnsi="Times New Roman"/>
          <w:sz w:val="24"/>
          <w:szCs w:val="24"/>
        </w:rPr>
        <w:t xml:space="preserve"> Circuit (Cincinnati) and some other Circuits that for lawsuit by majority employee making claim of discrimination to survive summary judgment, the majority plaintiff must include detailed facts showing the “background circumstances” of the workplace “rare” discriminatory practices.  THE COURT HELD: “Congress left no room for courts to impose special requirements on majority-group plaintiffs alone.”</w:t>
      </w:r>
    </w:p>
    <w:p w14:paraId="79BC3F95" w14:textId="77777777" w:rsidR="00FB15FE" w:rsidRPr="002A313D" w:rsidRDefault="00FB15FE" w:rsidP="00FB15FE">
      <w:pPr>
        <w:rPr>
          <w:rFonts w:ascii="Times New Roman" w:hAnsi="Times New Roman"/>
          <w:bCs/>
          <w:sz w:val="24"/>
          <w:szCs w:val="24"/>
        </w:rPr>
      </w:pPr>
      <w:hyperlink r:id="rId1350" w:history="1">
        <w:r w:rsidRPr="002A313D">
          <w:rPr>
            <w:rStyle w:val="Hyperlink"/>
            <w:rFonts w:ascii="Times New Roman" w:hAnsi="Times New Roman"/>
            <w:sz w:val="24"/>
            <w:szCs w:val="24"/>
          </w:rPr>
          <w:t>https://www.supremecourt.gov/opinions/24pdf/23-1039_c0n2.pdf</w:t>
        </w:r>
      </w:hyperlink>
      <w:r w:rsidRPr="002A313D">
        <w:rPr>
          <w:rFonts w:ascii="Times New Roman" w:hAnsi="Times New Roman"/>
          <w:sz w:val="24"/>
          <w:szCs w:val="24"/>
        </w:rPr>
        <w:t xml:space="preserve"> </w:t>
      </w:r>
    </w:p>
    <w:p w14:paraId="70F9452D" w14:textId="77777777" w:rsidR="002A313D" w:rsidRPr="002A313D" w:rsidRDefault="002A313D" w:rsidP="002A313D">
      <w:pPr>
        <w:pStyle w:val="NoSpacing"/>
        <w:rPr>
          <w:rFonts w:ascii="Times New Roman" w:hAnsi="Times New Roman"/>
          <w:b/>
          <w:sz w:val="24"/>
          <w:szCs w:val="24"/>
        </w:rPr>
      </w:pPr>
      <w:r w:rsidRPr="002A313D">
        <w:rPr>
          <w:rFonts w:ascii="Times New Roman" w:hAnsi="Times New Roman"/>
          <w:b/>
          <w:sz w:val="24"/>
          <w:szCs w:val="24"/>
        </w:rPr>
        <w:t xml:space="preserve">Legal lesson learned: Unanimous Court opinion – Title VII of the Civil Rights Act of 1964 does not impose a high standard of proof for majority-group plaintiffs. </w:t>
      </w:r>
    </w:p>
    <w:p w14:paraId="5A2822D8" w14:textId="77777777" w:rsidR="00F40B03" w:rsidRPr="002A313D" w:rsidRDefault="00F40B03" w:rsidP="00F326E5">
      <w:pPr>
        <w:pStyle w:val="NoSpacing"/>
        <w:rPr>
          <w:rFonts w:ascii="Times New Roman" w:hAnsi="Times New Roman"/>
          <w:b/>
          <w:bCs/>
          <w:sz w:val="24"/>
          <w:szCs w:val="24"/>
        </w:rPr>
      </w:pPr>
    </w:p>
    <w:p w14:paraId="7C5E10BE" w14:textId="77777777" w:rsidR="00F40B03" w:rsidRDefault="00F40B03" w:rsidP="00F326E5">
      <w:pPr>
        <w:pStyle w:val="NoSpacing"/>
        <w:rPr>
          <w:rFonts w:ascii="Arial Black" w:hAnsi="Arial Black"/>
          <w:b/>
          <w:bCs/>
          <w:sz w:val="24"/>
          <w:szCs w:val="24"/>
        </w:rPr>
      </w:pPr>
    </w:p>
    <w:p w14:paraId="12E4BEF7" w14:textId="77777777" w:rsidR="004C2EC5" w:rsidRDefault="004C2EC5" w:rsidP="00BD31D3">
      <w:pPr>
        <w:rPr>
          <w:rFonts w:ascii="Arial Black" w:hAnsi="Arial Black"/>
          <w:sz w:val="28"/>
          <w:szCs w:val="28"/>
        </w:rPr>
      </w:pPr>
    </w:p>
    <w:p w14:paraId="23FFF287" w14:textId="7C8074F8" w:rsidR="004C2EC5" w:rsidRDefault="004C2EC5" w:rsidP="004C2EC5">
      <w:pPr>
        <w:pStyle w:val="NoSpacing"/>
        <w:rPr>
          <w:rFonts w:ascii="Arial Black" w:hAnsi="Arial Black"/>
          <w:b/>
          <w:bCs/>
          <w:sz w:val="24"/>
          <w:szCs w:val="24"/>
        </w:rPr>
      </w:pPr>
      <w:r>
        <w:rPr>
          <w:rFonts w:ascii="Arial Black" w:hAnsi="Arial Black"/>
          <w:b/>
          <w:bCs/>
          <w:sz w:val="24"/>
          <w:szCs w:val="24"/>
        </w:rPr>
        <w:t>7-78</w:t>
      </w:r>
    </w:p>
    <w:p w14:paraId="26D823E5" w14:textId="77777777" w:rsidR="004C2EC5" w:rsidRDefault="004C2EC5" w:rsidP="00BD31D3">
      <w:pPr>
        <w:rPr>
          <w:rFonts w:ascii="Arial Black" w:hAnsi="Arial Black"/>
          <w:sz w:val="28"/>
          <w:szCs w:val="28"/>
        </w:rPr>
      </w:pPr>
    </w:p>
    <w:p w14:paraId="04FDF0FB" w14:textId="2F4C8D5E" w:rsidR="00BD31D3" w:rsidRPr="00427BC4" w:rsidRDefault="00BD31D3" w:rsidP="00BD31D3">
      <w:pPr>
        <w:rPr>
          <w:rFonts w:ascii="Arial Black" w:hAnsi="Arial Black"/>
          <w:sz w:val="28"/>
          <w:szCs w:val="28"/>
        </w:rPr>
      </w:pPr>
      <w:r>
        <w:rPr>
          <w:rFonts w:ascii="Arial Black" w:hAnsi="Arial Black"/>
          <w:sz w:val="28"/>
          <w:szCs w:val="28"/>
        </w:rPr>
        <w:t xml:space="preserve">OK: 2 FEMALES NOT PROMOTED – NO OUTSIDE PANEL USED </w:t>
      </w:r>
    </w:p>
    <w:p w14:paraId="1D128C33" w14:textId="77777777" w:rsidR="00BD31D3" w:rsidRPr="00DB7CAF" w:rsidRDefault="00BD31D3" w:rsidP="00BD31D3">
      <w:pPr>
        <w:pStyle w:val="NoSpacing"/>
        <w:rPr>
          <w:rFonts w:ascii="Times New Roman" w:hAnsi="Times New Roman"/>
          <w:sz w:val="24"/>
          <w:szCs w:val="24"/>
        </w:rPr>
      </w:pPr>
      <w:r w:rsidRPr="00DB7CAF">
        <w:rPr>
          <w:rFonts w:ascii="Times New Roman" w:hAnsi="Times New Roman"/>
          <w:sz w:val="24"/>
          <w:szCs w:val="24"/>
        </w:rPr>
        <w:t xml:space="preserve">On June 2, 2025, in </w:t>
      </w:r>
      <w:r w:rsidRPr="00DB7CAF">
        <w:rPr>
          <w:rFonts w:ascii="Times New Roman" w:hAnsi="Times New Roman"/>
          <w:sz w:val="24"/>
          <w:szCs w:val="24"/>
          <w:u w:val="single"/>
        </w:rPr>
        <w:t>Greta J. Hurt; Julie D, Lynn v. City of Tulsa, Oklahoma</w:t>
      </w:r>
      <w:r w:rsidRPr="00DB7CAF">
        <w:rPr>
          <w:rFonts w:ascii="Times New Roman" w:hAnsi="Times New Roman"/>
          <w:sz w:val="24"/>
          <w:szCs w:val="24"/>
        </w:rPr>
        <w:t xml:space="preserve">, U.S. District Court Judge John D. Russell, United States District Court for the Northern District of Oklahoma, denied the City’s motion for summary judgment on the “failure-to-promote” claim, after two male District Chiefs were selected by 3-person Panel (including Fire Chief and Deputy Chief, and a retired Fire Chief from Georgia), because “the evidence of record could permit a jury to find that the Department's stated reasons for promoting the [two males] are pretextual.”  Plaintiffs’ claims of retaliation after filing EEOC charge and hostile work atmosphere were dismissed.  In 2021, the Department announced two openings for Assistant Fire Chief – four applicants were all qualified.  In </w:t>
      </w:r>
      <w:proofErr w:type="gramStart"/>
      <w:r w:rsidRPr="00DB7CAF">
        <w:rPr>
          <w:rFonts w:ascii="Times New Roman" w:hAnsi="Times New Roman"/>
          <w:sz w:val="24"/>
          <w:szCs w:val="24"/>
        </w:rPr>
        <w:t>July,</w:t>
      </w:r>
      <w:proofErr w:type="gramEnd"/>
      <w:r w:rsidRPr="00DB7CAF">
        <w:rPr>
          <w:rFonts w:ascii="Times New Roman" w:hAnsi="Times New Roman"/>
          <w:sz w:val="24"/>
          <w:szCs w:val="24"/>
        </w:rPr>
        <w:t xml:space="preserve"> 2021 the Fire Chief changed process, with union permission – instead of an outside assessment panel, with rank order of best candidates, he established the internal panel.   THE COURT HELD: “Could a jury find that the Department's decision to forgo the established procedure was the product of a desire to save the city and the candidates the cost and burden of an assessment? The answer to that question is yes. Could a jury also find, based on Mr. Lay's testimony, that Chief Baker and Deputy Chief Goins departed from the AOP process because they wanted to pick their preferred candidates, regardless of how well they performed on an impartial assessment? The answer to that question is also yes.” </w:t>
      </w:r>
    </w:p>
    <w:p w14:paraId="1F497530" w14:textId="6B995126" w:rsidR="007426EF" w:rsidRPr="00DB7CAF" w:rsidRDefault="00BD31D3" w:rsidP="00BD31D3">
      <w:pPr>
        <w:pStyle w:val="NoSpacing"/>
        <w:rPr>
          <w:rFonts w:ascii="Times New Roman" w:hAnsi="Times New Roman"/>
          <w:sz w:val="24"/>
          <w:szCs w:val="24"/>
        </w:rPr>
      </w:pPr>
      <w:hyperlink r:id="rId1351" w:history="1">
        <w:r w:rsidRPr="00DB7CAF">
          <w:rPr>
            <w:rStyle w:val="Hyperlink"/>
            <w:rFonts w:ascii="Times New Roman" w:hAnsi="Times New Roman"/>
            <w:sz w:val="24"/>
            <w:szCs w:val="24"/>
          </w:rPr>
          <w:t>https://ktul.com/resources/pdf/dc103f10-071a-4876-bf70-774bb3ddb220-HurtLynnv.COTSummaryJudgmentDecision.pdf</w:t>
        </w:r>
      </w:hyperlink>
    </w:p>
    <w:p w14:paraId="4E2717BE" w14:textId="77777777" w:rsidR="00DB7CAF" w:rsidRPr="00DB7CAF" w:rsidRDefault="00DB7CAF" w:rsidP="00BD31D3">
      <w:pPr>
        <w:pStyle w:val="NoSpacing"/>
        <w:rPr>
          <w:rFonts w:ascii="Times New Roman" w:hAnsi="Times New Roman"/>
          <w:sz w:val="24"/>
          <w:szCs w:val="24"/>
        </w:rPr>
      </w:pPr>
    </w:p>
    <w:p w14:paraId="332898EB" w14:textId="77777777" w:rsidR="00DB7CAF" w:rsidRPr="00DB7CAF" w:rsidRDefault="00DB7CAF" w:rsidP="00DB7CAF">
      <w:pPr>
        <w:rPr>
          <w:rFonts w:ascii="Times New Roman" w:hAnsi="Times New Roman"/>
          <w:b/>
          <w:bCs/>
          <w:sz w:val="24"/>
          <w:szCs w:val="24"/>
        </w:rPr>
      </w:pPr>
      <w:r w:rsidRPr="00DB7CAF">
        <w:rPr>
          <w:rFonts w:ascii="Times New Roman" w:hAnsi="Times New Roman"/>
          <w:b/>
          <w:sz w:val="24"/>
          <w:szCs w:val="24"/>
        </w:rPr>
        <w:t xml:space="preserve">Legal lesson learned: Follow the </w:t>
      </w:r>
      <w:r w:rsidRPr="00DB7CAF">
        <w:rPr>
          <w:rFonts w:ascii="Times New Roman" w:hAnsi="Times New Roman"/>
          <w:b/>
          <w:bCs/>
          <w:sz w:val="24"/>
          <w:szCs w:val="24"/>
        </w:rPr>
        <w:t xml:space="preserve">normal </w:t>
      </w:r>
      <w:r w:rsidRPr="00DB7CAF">
        <w:rPr>
          <w:rFonts w:ascii="Times New Roman" w:hAnsi="Times New Roman"/>
          <w:b/>
          <w:sz w:val="24"/>
          <w:szCs w:val="24"/>
        </w:rPr>
        <w:t xml:space="preserve">promotion process, including </w:t>
      </w:r>
      <w:r w:rsidRPr="00DB7CAF">
        <w:rPr>
          <w:rFonts w:ascii="Times New Roman" w:hAnsi="Times New Roman"/>
          <w:b/>
          <w:bCs/>
          <w:sz w:val="24"/>
          <w:szCs w:val="24"/>
        </w:rPr>
        <w:t>use of an</w:t>
      </w:r>
      <w:r w:rsidRPr="00DB7CAF">
        <w:rPr>
          <w:rFonts w:ascii="Times New Roman" w:hAnsi="Times New Roman"/>
          <w:b/>
          <w:sz w:val="24"/>
          <w:szCs w:val="24"/>
        </w:rPr>
        <w:t xml:space="preserve"> outside Assessment Panel doing ranking order. unless all applicants </w:t>
      </w:r>
      <w:r w:rsidRPr="00DB7CAF">
        <w:rPr>
          <w:rFonts w:ascii="Times New Roman" w:hAnsi="Times New Roman"/>
          <w:b/>
          <w:bCs/>
          <w:sz w:val="24"/>
          <w:szCs w:val="24"/>
        </w:rPr>
        <w:t xml:space="preserve">voluntarily </w:t>
      </w:r>
      <w:r w:rsidRPr="00DB7CAF">
        <w:rPr>
          <w:rFonts w:ascii="Times New Roman" w:hAnsi="Times New Roman"/>
          <w:b/>
          <w:sz w:val="24"/>
          <w:szCs w:val="24"/>
        </w:rPr>
        <w:t xml:space="preserve">agree </w:t>
      </w:r>
      <w:r w:rsidRPr="00DB7CAF">
        <w:rPr>
          <w:rFonts w:ascii="Times New Roman" w:hAnsi="Times New Roman"/>
          <w:b/>
          <w:bCs/>
          <w:sz w:val="24"/>
          <w:szCs w:val="24"/>
        </w:rPr>
        <w:t xml:space="preserve">in writing </w:t>
      </w:r>
      <w:r w:rsidRPr="00DB7CAF">
        <w:rPr>
          <w:rFonts w:ascii="Times New Roman" w:hAnsi="Times New Roman"/>
          <w:b/>
          <w:sz w:val="24"/>
          <w:szCs w:val="24"/>
        </w:rPr>
        <w:t xml:space="preserve">to the change. </w:t>
      </w:r>
    </w:p>
    <w:p w14:paraId="1BCC75B2" w14:textId="77777777" w:rsidR="004C2EC5" w:rsidRDefault="004C2EC5" w:rsidP="004C2EC5">
      <w:pPr>
        <w:pStyle w:val="NoSpacing"/>
        <w:rPr>
          <w:rFonts w:ascii="Arial Black" w:hAnsi="Arial Black"/>
          <w:b/>
          <w:bCs/>
          <w:sz w:val="24"/>
          <w:szCs w:val="24"/>
        </w:rPr>
      </w:pPr>
    </w:p>
    <w:p w14:paraId="65D5E237" w14:textId="77777777" w:rsidR="004C2EC5" w:rsidRDefault="004C2EC5" w:rsidP="004C2EC5">
      <w:pPr>
        <w:pStyle w:val="NoSpacing"/>
        <w:rPr>
          <w:rFonts w:ascii="Arial Black" w:hAnsi="Arial Black"/>
          <w:b/>
          <w:bCs/>
          <w:sz w:val="24"/>
          <w:szCs w:val="24"/>
        </w:rPr>
      </w:pPr>
    </w:p>
    <w:p w14:paraId="090D1872" w14:textId="0DCBFDD7" w:rsidR="004C2EC5" w:rsidRDefault="004C2EC5" w:rsidP="004C2EC5">
      <w:pPr>
        <w:pStyle w:val="NoSpacing"/>
        <w:rPr>
          <w:rFonts w:ascii="Arial Black" w:hAnsi="Arial Black"/>
          <w:b/>
          <w:bCs/>
          <w:sz w:val="24"/>
          <w:szCs w:val="24"/>
        </w:rPr>
      </w:pPr>
      <w:r>
        <w:rPr>
          <w:rFonts w:ascii="Arial Black" w:hAnsi="Arial Black"/>
          <w:b/>
          <w:bCs/>
          <w:sz w:val="24"/>
          <w:szCs w:val="24"/>
        </w:rPr>
        <w:t>7-77</w:t>
      </w:r>
    </w:p>
    <w:p w14:paraId="7FA68AD2" w14:textId="77777777" w:rsidR="00DB7CAF" w:rsidRDefault="00DB7CAF" w:rsidP="00BD31D3">
      <w:pPr>
        <w:pStyle w:val="NoSpacing"/>
        <w:rPr>
          <w:rFonts w:ascii="Arial Black" w:hAnsi="Arial Black"/>
          <w:b/>
          <w:bCs/>
          <w:sz w:val="24"/>
          <w:szCs w:val="24"/>
        </w:rPr>
      </w:pPr>
    </w:p>
    <w:p w14:paraId="346B078A" w14:textId="77777777" w:rsidR="004C2EC5" w:rsidRDefault="004C2EC5" w:rsidP="00BD31D3">
      <w:pPr>
        <w:pStyle w:val="NoSpacing"/>
        <w:rPr>
          <w:rFonts w:ascii="Arial Black" w:hAnsi="Arial Black"/>
          <w:b/>
          <w:bCs/>
          <w:sz w:val="24"/>
          <w:szCs w:val="24"/>
        </w:rPr>
      </w:pPr>
    </w:p>
    <w:p w14:paraId="1C3EEDAA" w14:textId="77777777" w:rsidR="00A307BA" w:rsidRPr="00EB6137" w:rsidRDefault="00A307BA" w:rsidP="00A307BA">
      <w:pPr>
        <w:rPr>
          <w:rFonts w:ascii="Arial Black" w:hAnsi="Arial Black"/>
          <w:sz w:val="28"/>
          <w:szCs w:val="28"/>
        </w:rPr>
      </w:pPr>
      <w:r>
        <w:rPr>
          <w:rFonts w:ascii="Arial Black" w:hAnsi="Arial Black"/>
          <w:sz w:val="28"/>
          <w:szCs w:val="28"/>
        </w:rPr>
        <w:t>KS: FEMALE NOT PROMOTED - HR DIDN’T REVIEW SCORES</w:t>
      </w:r>
    </w:p>
    <w:p w14:paraId="291D43F0" w14:textId="35304A21" w:rsidR="00F40B03" w:rsidRPr="005A38AE" w:rsidRDefault="00A307BA" w:rsidP="00A307BA">
      <w:pPr>
        <w:pStyle w:val="NoSpacing"/>
        <w:rPr>
          <w:rFonts w:ascii="Times New Roman" w:hAnsi="Times New Roman"/>
          <w:b/>
          <w:bCs/>
          <w:sz w:val="24"/>
          <w:szCs w:val="24"/>
        </w:rPr>
      </w:pPr>
      <w:r w:rsidRPr="005A38AE">
        <w:rPr>
          <w:rFonts w:ascii="Times New Roman" w:hAnsi="Times New Roman"/>
          <w:sz w:val="24"/>
          <w:szCs w:val="24"/>
        </w:rPr>
        <w:t xml:space="preserve">On May 30, 2025, in </w:t>
      </w:r>
      <w:r w:rsidRPr="005A38AE">
        <w:rPr>
          <w:rFonts w:ascii="Times New Roman" w:hAnsi="Times New Roman"/>
          <w:sz w:val="24"/>
          <w:szCs w:val="24"/>
          <w:u w:val="single"/>
        </w:rPr>
        <w:t>Barbara Hack v. City of Topeka, Kansas</w:t>
      </w:r>
      <w:r w:rsidRPr="005A38AE">
        <w:rPr>
          <w:rFonts w:ascii="Times New Roman" w:hAnsi="Times New Roman"/>
          <w:sz w:val="24"/>
          <w:szCs w:val="24"/>
        </w:rPr>
        <w:t xml:space="preserve">, U.S. District Court Judge Julie A. Robinson, United States District Court for the District of Kansas, denied the City’s motion for summary judgment; retired Captain Hack can now proceed to jury trial.  “In sum, the Court finds that the City’s failure to utilize H.R. during the promotion process is the type of procedural irregularity that calls into question whether the City’s stated reason for failing to promote Plaintiff is a pretext for discrimination.”  In 2022, the Fire Department had several senior management positions open, including four District Chief positions.  </w:t>
      </w:r>
      <w:proofErr w:type="gramStart"/>
      <w:r w:rsidRPr="005A38AE">
        <w:rPr>
          <w:rFonts w:ascii="Times New Roman" w:hAnsi="Times New Roman"/>
          <w:sz w:val="24"/>
          <w:szCs w:val="24"/>
        </w:rPr>
        <w:t>So</w:t>
      </w:r>
      <w:proofErr w:type="gramEnd"/>
      <w:r w:rsidRPr="005A38AE">
        <w:rPr>
          <w:rFonts w:ascii="Times New Roman" w:hAnsi="Times New Roman"/>
          <w:sz w:val="24"/>
          <w:szCs w:val="24"/>
        </w:rPr>
        <w:t xml:space="preserve"> Fire Chief decided to “streamline” the process, where one Panel would consider all seven applicants for the four positions, instead holding four separate promotion Panel interviews. The Panel included one internal member (Deputy Fire Chief Antony Standifer) and three external member (an attorney / former counsel for union; retired Kansas City Fire Chief; Deputy Fire Chief of Olathe Fire Department) and they rated Plaintiff 6</w:t>
      </w:r>
      <w:r w:rsidRPr="005A38AE">
        <w:rPr>
          <w:rFonts w:ascii="Times New Roman" w:hAnsi="Times New Roman"/>
          <w:sz w:val="24"/>
          <w:szCs w:val="24"/>
          <w:vertAlign w:val="superscript"/>
        </w:rPr>
        <w:t>th</w:t>
      </w:r>
      <w:r w:rsidRPr="005A38AE">
        <w:rPr>
          <w:rFonts w:ascii="Times New Roman" w:hAnsi="Times New Roman"/>
          <w:sz w:val="24"/>
          <w:szCs w:val="24"/>
        </w:rPr>
        <w:t xml:space="preserve"> of the 7 candidates (score of 131; top four were 171, 168, 164, 161).  The Director of HR testified that scores by Deputy Fire Chief Standifer would be “outliers” had H.R. reviewed them before the offers were made; he scored plaintiff only 23, compared to her ratings by others of 41, 34. 34]. THE COURT HELD: “However, when the totality of the evidence is reviewed, including the minimal role played by the City’s H.R. department, a reasonable jury could determine that the City’s stated reason for not promoting Plaintiff is pretext for gender discrimination…. H.R. was not used to </w:t>
      </w:r>
      <w:proofErr w:type="gramStart"/>
      <w:r w:rsidRPr="005A38AE">
        <w:rPr>
          <w:rFonts w:ascii="Times New Roman" w:hAnsi="Times New Roman"/>
          <w:sz w:val="24"/>
          <w:szCs w:val="24"/>
        </w:rPr>
        <w:t>review</w:t>
      </w:r>
      <w:proofErr w:type="gramEnd"/>
      <w:r w:rsidRPr="005A38AE">
        <w:rPr>
          <w:rFonts w:ascii="Times New Roman" w:hAnsi="Times New Roman"/>
          <w:sz w:val="24"/>
          <w:szCs w:val="24"/>
        </w:rPr>
        <w:t xml:space="preserve"> the interview questions or interview packets. H.R. was not used to review or provide Phillips with the applicants’ disciplinary histories. H.R. was not used to review the selections before job offers were made.”  </w:t>
      </w:r>
      <w:hyperlink r:id="rId1352" w:history="1">
        <w:r w:rsidRPr="005A38AE">
          <w:rPr>
            <w:rStyle w:val="Hyperlink"/>
            <w:rFonts w:ascii="Times New Roman" w:hAnsi="Times New Roman"/>
            <w:sz w:val="24"/>
            <w:szCs w:val="24"/>
          </w:rPr>
          <w:t>https://cases.justia.com/federal/district-courts/kansas/ksdce/2:2023cv02410/149154/93/0.pdf?ts=1748685326</w:t>
        </w:r>
      </w:hyperlink>
    </w:p>
    <w:p w14:paraId="00B463A5" w14:textId="77777777" w:rsidR="00A307BA" w:rsidRPr="005A38AE" w:rsidRDefault="00A307BA" w:rsidP="00F326E5">
      <w:pPr>
        <w:pStyle w:val="NoSpacing"/>
        <w:rPr>
          <w:rFonts w:ascii="Times New Roman" w:hAnsi="Times New Roman"/>
          <w:b/>
          <w:bCs/>
          <w:sz w:val="24"/>
          <w:szCs w:val="24"/>
        </w:rPr>
      </w:pPr>
    </w:p>
    <w:p w14:paraId="6593B960" w14:textId="77777777" w:rsidR="005A38AE" w:rsidRPr="005A38AE" w:rsidRDefault="005A38AE" w:rsidP="005A38AE">
      <w:pPr>
        <w:pStyle w:val="NoSpacing"/>
        <w:rPr>
          <w:rFonts w:ascii="Times New Roman" w:hAnsi="Times New Roman"/>
          <w:b/>
          <w:bCs/>
          <w:sz w:val="24"/>
          <w:szCs w:val="24"/>
        </w:rPr>
      </w:pPr>
      <w:r w:rsidRPr="005A38AE">
        <w:rPr>
          <w:rFonts w:ascii="Times New Roman" w:hAnsi="Times New Roman"/>
          <w:b/>
          <w:sz w:val="24"/>
          <w:szCs w:val="24"/>
        </w:rPr>
        <w:t xml:space="preserve">Legal Lesson learned: </w:t>
      </w:r>
      <w:r w:rsidRPr="005A38AE">
        <w:rPr>
          <w:rFonts w:ascii="Times New Roman" w:hAnsi="Times New Roman"/>
          <w:b/>
          <w:bCs/>
          <w:sz w:val="24"/>
          <w:szCs w:val="24"/>
        </w:rPr>
        <w:t xml:space="preserve">Follow normal promotion process, including </w:t>
      </w:r>
      <w:r w:rsidRPr="005A38AE">
        <w:rPr>
          <w:rFonts w:ascii="Times New Roman" w:hAnsi="Times New Roman"/>
          <w:b/>
          <w:sz w:val="24"/>
          <w:szCs w:val="24"/>
        </w:rPr>
        <w:t xml:space="preserve">HR reviewing Panel scores and providing Fire Chief with disciplinary history of candidates prior to promotion decisions. </w:t>
      </w:r>
    </w:p>
    <w:p w14:paraId="1DBEACFF" w14:textId="77777777" w:rsidR="00A307BA" w:rsidRPr="005A38AE" w:rsidRDefault="00A307BA" w:rsidP="00F326E5">
      <w:pPr>
        <w:pStyle w:val="NoSpacing"/>
        <w:rPr>
          <w:rFonts w:ascii="Times New Roman" w:hAnsi="Times New Roman"/>
          <w:b/>
          <w:bCs/>
          <w:sz w:val="24"/>
          <w:szCs w:val="24"/>
        </w:rPr>
      </w:pPr>
    </w:p>
    <w:p w14:paraId="7EFBC845" w14:textId="77777777" w:rsidR="00A307BA" w:rsidRDefault="00A307BA" w:rsidP="00F326E5">
      <w:pPr>
        <w:pStyle w:val="NoSpacing"/>
        <w:rPr>
          <w:rFonts w:ascii="Arial Black" w:hAnsi="Arial Black"/>
          <w:b/>
          <w:bCs/>
          <w:sz w:val="24"/>
          <w:szCs w:val="24"/>
        </w:rPr>
      </w:pPr>
    </w:p>
    <w:p w14:paraId="19F2C9B6" w14:textId="77777777" w:rsidR="00F40B03" w:rsidRDefault="00F40B03" w:rsidP="00F326E5">
      <w:pPr>
        <w:pStyle w:val="NoSpacing"/>
        <w:rPr>
          <w:rFonts w:ascii="Arial Black" w:hAnsi="Arial Black"/>
          <w:b/>
          <w:bCs/>
          <w:sz w:val="24"/>
          <w:szCs w:val="24"/>
        </w:rPr>
      </w:pPr>
    </w:p>
    <w:p w14:paraId="21104EFC" w14:textId="62C42600" w:rsidR="00571037" w:rsidRDefault="00571037" w:rsidP="00F326E5">
      <w:pPr>
        <w:pStyle w:val="NoSpacing"/>
        <w:rPr>
          <w:rFonts w:ascii="Arial Black" w:hAnsi="Arial Black"/>
          <w:b/>
          <w:bCs/>
          <w:sz w:val="24"/>
          <w:szCs w:val="24"/>
        </w:rPr>
      </w:pPr>
      <w:r>
        <w:rPr>
          <w:rFonts w:ascii="Arial Black" w:hAnsi="Arial Black"/>
          <w:b/>
          <w:bCs/>
          <w:sz w:val="24"/>
          <w:szCs w:val="24"/>
        </w:rPr>
        <w:t>7-76</w:t>
      </w:r>
    </w:p>
    <w:p w14:paraId="4ECDB932" w14:textId="77777777" w:rsidR="00571037" w:rsidRDefault="00571037" w:rsidP="00F326E5">
      <w:pPr>
        <w:pStyle w:val="NoSpacing"/>
        <w:rPr>
          <w:rFonts w:ascii="Arial Black" w:hAnsi="Arial Black"/>
          <w:b/>
          <w:bCs/>
          <w:sz w:val="24"/>
          <w:szCs w:val="24"/>
        </w:rPr>
      </w:pPr>
    </w:p>
    <w:p w14:paraId="3240C7D4" w14:textId="5D0AD8CE" w:rsidR="00F366B5" w:rsidRDefault="00F366B5" w:rsidP="00F366B5">
      <w:pPr>
        <w:pStyle w:val="NoSpacing"/>
        <w:rPr>
          <w:rFonts w:ascii="Arial Black" w:hAnsi="Arial Black"/>
          <w:b/>
          <w:sz w:val="28"/>
          <w:szCs w:val="28"/>
        </w:rPr>
      </w:pPr>
      <w:r w:rsidRPr="006F2B87">
        <w:rPr>
          <w:rFonts w:ascii="Arial Black" w:hAnsi="Arial Black"/>
          <w:b/>
          <w:sz w:val="28"/>
          <w:szCs w:val="28"/>
        </w:rPr>
        <w:t xml:space="preserve">CA: TOPLESS PHOTO – </w:t>
      </w:r>
      <w:r w:rsidR="00D90945">
        <w:rPr>
          <w:rFonts w:ascii="Arial Black" w:hAnsi="Arial Black"/>
          <w:b/>
          <w:sz w:val="28"/>
          <w:szCs w:val="28"/>
        </w:rPr>
        <w:t xml:space="preserve">WAS </w:t>
      </w:r>
      <w:r w:rsidRPr="006F2B87">
        <w:rPr>
          <w:rFonts w:ascii="Arial Black" w:hAnsi="Arial Black"/>
          <w:b/>
          <w:sz w:val="28"/>
          <w:szCs w:val="28"/>
        </w:rPr>
        <w:t xml:space="preserve">NOT </w:t>
      </w:r>
      <w:r w:rsidR="00D90945">
        <w:rPr>
          <w:rFonts w:ascii="Arial Black" w:hAnsi="Arial Black"/>
          <w:b/>
          <w:sz w:val="28"/>
          <w:szCs w:val="28"/>
        </w:rPr>
        <w:t xml:space="preserve">FEMALE </w:t>
      </w:r>
      <w:r w:rsidRPr="006F2B87">
        <w:rPr>
          <w:rFonts w:ascii="Arial Black" w:hAnsi="Arial Black"/>
          <w:b/>
          <w:sz w:val="28"/>
          <w:szCs w:val="28"/>
        </w:rPr>
        <w:t>PD CAPT</w:t>
      </w:r>
      <w:r>
        <w:rPr>
          <w:rFonts w:ascii="Arial Black" w:hAnsi="Arial Black"/>
          <w:b/>
          <w:bCs/>
          <w:sz w:val="28"/>
          <w:szCs w:val="28"/>
        </w:rPr>
        <w:t xml:space="preserve"> – MGT. INACTION </w:t>
      </w:r>
      <w:r w:rsidR="00D90945">
        <w:rPr>
          <w:rFonts w:ascii="Arial Black" w:hAnsi="Arial Black"/>
          <w:b/>
          <w:bCs/>
          <w:sz w:val="28"/>
          <w:szCs w:val="28"/>
        </w:rPr>
        <w:t>–</w:t>
      </w:r>
      <w:r>
        <w:rPr>
          <w:rFonts w:ascii="Arial Black" w:hAnsi="Arial Black"/>
          <w:b/>
          <w:bCs/>
          <w:sz w:val="28"/>
          <w:szCs w:val="28"/>
        </w:rPr>
        <w:t xml:space="preserve"> </w:t>
      </w:r>
      <w:r w:rsidR="00D90945">
        <w:rPr>
          <w:rFonts w:ascii="Arial Black" w:hAnsi="Arial Black"/>
          <w:b/>
          <w:bCs/>
          <w:sz w:val="28"/>
          <w:szCs w:val="28"/>
        </w:rPr>
        <w:t xml:space="preserve">JURY </w:t>
      </w:r>
      <w:r w:rsidRPr="006F2B87">
        <w:rPr>
          <w:rFonts w:ascii="Arial Black" w:hAnsi="Arial Black"/>
          <w:b/>
          <w:sz w:val="28"/>
          <w:szCs w:val="28"/>
        </w:rPr>
        <w:t xml:space="preserve">$4M </w:t>
      </w:r>
    </w:p>
    <w:p w14:paraId="718305C4" w14:textId="77777777" w:rsidR="00300DA5" w:rsidRDefault="00300DA5" w:rsidP="00F366B5">
      <w:pPr>
        <w:pStyle w:val="NoSpacing"/>
        <w:rPr>
          <w:rFonts w:ascii="Times New Roman" w:hAnsi="Times New Roman"/>
          <w:sz w:val="24"/>
          <w:szCs w:val="24"/>
        </w:rPr>
      </w:pPr>
    </w:p>
    <w:p w14:paraId="5AEEC49C" w14:textId="403FFABD" w:rsidR="00F366B5" w:rsidRPr="00F366B5" w:rsidRDefault="00F366B5" w:rsidP="00F366B5">
      <w:pPr>
        <w:pStyle w:val="NoSpacing"/>
        <w:rPr>
          <w:rFonts w:ascii="Times New Roman" w:hAnsi="Times New Roman"/>
          <w:bCs/>
          <w:sz w:val="24"/>
          <w:szCs w:val="24"/>
        </w:rPr>
      </w:pPr>
      <w:r w:rsidRPr="00F366B5">
        <w:rPr>
          <w:rFonts w:ascii="Times New Roman" w:hAnsi="Times New Roman"/>
          <w:sz w:val="24"/>
          <w:szCs w:val="24"/>
        </w:rPr>
        <w:t xml:space="preserve">On May 23, 2025, in </w:t>
      </w:r>
      <w:r w:rsidRPr="00F366B5">
        <w:rPr>
          <w:rFonts w:ascii="Times New Roman" w:hAnsi="Times New Roman"/>
          <w:sz w:val="24"/>
          <w:szCs w:val="24"/>
          <w:u w:val="single"/>
        </w:rPr>
        <w:t>Lillian Carranza v. City of Los Angeles</w:t>
      </w:r>
      <w:r w:rsidRPr="00F366B5">
        <w:rPr>
          <w:rFonts w:ascii="Times New Roman" w:hAnsi="Times New Roman"/>
          <w:sz w:val="24"/>
          <w:szCs w:val="24"/>
        </w:rPr>
        <w:t xml:space="preserve">, the Court of Appeal of California, Second Appellate District (Division Seven) held (3 to 0) that jury properly awarded the LA PD Captain $4 million, plus attorney fees of $610,050.  While the photo was </w:t>
      </w:r>
      <w:proofErr w:type="gramStart"/>
      <w:r w:rsidRPr="00F366B5">
        <w:rPr>
          <w:rFonts w:ascii="Times New Roman" w:hAnsi="Times New Roman"/>
          <w:sz w:val="24"/>
          <w:szCs w:val="24"/>
        </w:rPr>
        <w:t>actually not</w:t>
      </w:r>
      <w:proofErr w:type="gramEnd"/>
      <w:r w:rsidRPr="00F366B5">
        <w:rPr>
          <w:rFonts w:ascii="Times New Roman" w:hAnsi="Times New Roman"/>
          <w:sz w:val="24"/>
          <w:szCs w:val="24"/>
        </w:rPr>
        <w:t xml:space="preserve"> of Captain Carranza, many officers shared the photo and believed it was her.  </w:t>
      </w:r>
    </w:p>
    <w:p w14:paraId="14F96DEA" w14:textId="77777777" w:rsidR="00F366B5" w:rsidRPr="00F366B5" w:rsidRDefault="00F366B5" w:rsidP="00F366B5">
      <w:pPr>
        <w:pStyle w:val="NoSpacing"/>
        <w:rPr>
          <w:rFonts w:ascii="Times New Roman" w:hAnsi="Times New Roman"/>
          <w:bCs/>
          <w:sz w:val="24"/>
          <w:szCs w:val="24"/>
        </w:rPr>
      </w:pPr>
    </w:p>
    <w:p w14:paraId="3FFA6A4C" w14:textId="77777777" w:rsidR="00F366B5" w:rsidRPr="00F366B5" w:rsidRDefault="00F366B5" w:rsidP="00F366B5">
      <w:pPr>
        <w:pStyle w:val="NoSpacing"/>
        <w:rPr>
          <w:rFonts w:ascii="Times New Roman" w:hAnsi="Times New Roman"/>
          <w:bCs/>
          <w:sz w:val="24"/>
          <w:szCs w:val="24"/>
        </w:rPr>
      </w:pPr>
      <w:r w:rsidRPr="00F366B5">
        <w:rPr>
          <w:rFonts w:ascii="Times New Roman" w:hAnsi="Times New Roman"/>
          <w:sz w:val="24"/>
          <w:szCs w:val="24"/>
        </w:rPr>
        <w:t xml:space="preserve">The Court wrote: “On appeal, the City does not challenge the jury’s findings that the challenged conduct was unwelcome, that it occurred because of Carranza’s sex, and that the City failed to take immediate corrective </w:t>
      </w:r>
      <w:r w:rsidRPr="00F366B5">
        <w:rPr>
          <w:rFonts w:ascii="Times New Roman" w:hAnsi="Times New Roman"/>
          <w:sz w:val="24"/>
          <w:szCs w:val="24"/>
        </w:rPr>
        <w:lastRenderedPageBreak/>
        <w:t xml:space="preserve">action after learning that on-duty LAPD officers were viewing, electronically sharing, and joking with colleagues about the degrading photo of Carranza. Instead, the City contends only that there was insubstantial evidence that the harassment was sufficiently severe or pervasive to alter the conditions of Carranza’s employment and create an abusive work environment. *** We conclude substantial evidence supported the jury’s determination that Carranza endured severe or pervasive harassment that altered the conditions of her workplace, based on her secondhand knowledge that the photo was widely circulating around the Department.” </w:t>
      </w:r>
    </w:p>
    <w:p w14:paraId="04CCB99C" w14:textId="77777777" w:rsidR="00F366B5" w:rsidRDefault="00F366B5" w:rsidP="00F366B5">
      <w:pPr>
        <w:pStyle w:val="NoSpacing"/>
        <w:rPr>
          <w:rFonts w:ascii="Times New Roman" w:hAnsi="Times New Roman"/>
          <w:sz w:val="24"/>
          <w:szCs w:val="24"/>
        </w:rPr>
      </w:pPr>
      <w:hyperlink r:id="rId1353" w:history="1">
        <w:r w:rsidRPr="00F366B5">
          <w:rPr>
            <w:rStyle w:val="Hyperlink"/>
            <w:rFonts w:ascii="Times New Roman" w:hAnsi="Times New Roman"/>
            <w:sz w:val="24"/>
            <w:szCs w:val="24"/>
          </w:rPr>
          <w:t>https://cases.justia.com/california/court-of-appeal/2025-b327196.pdf?ts=1748039442</w:t>
        </w:r>
      </w:hyperlink>
      <w:r w:rsidRPr="00F366B5">
        <w:rPr>
          <w:rFonts w:ascii="Times New Roman" w:hAnsi="Times New Roman"/>
          <w:sz w:val="24"/>
          <w:szCs w:val="24"/>
        </w:rPr>
        <w:t xml:space="preserve"> </w:t>
      </w:r>
    </w:p>
    <w:p w14:paraId="13E63EFE" w14:textId="77777777" w:rsidR="00F366B5" w:rsidRDefault="00F366B5" w:rsidP="00F366B5">
      <w:pPr>
        <w:pStyle w:val="NoSpacing"/>
        <w:rPr>
          <w:rFonts w:ascii="Times New Roman" w:hAnsi="Times New Roman"/>
          <w:sz w:val="24"/>
          <w:szCs w:val="24"/>
        </w:rPr>
      </w:pPr>
    </w:p>
    <w:p w14:paraId="4D06125C" w14:textId="77777777" w:rsidR="004B09B1" w:rsidRPr="004B09B1" w:rsidRDefault="004B09B1" w:rsidP="004B09B1">
      <w:pPr>
        <w:pStyle w:val="NoSpacing"/>
        <w:rPr>
          <w:rFonts w:ascii="Times New Roman" w:hAnsi="Times New Roman"/>
          <w:b/>
          <w:bCs/>
          <w:sz w:val="24"/>
          <w:szCs w:val="24"/>
        </w:rPr>
      </w:pPr>
      <w:r w:rsidRPr="004B09B1">
        <w:rPr>
          <w:rFonts w:ascii="Times New Roman" w:hAnsi="Times New Roman"/>
          <w:b/>
          <w:sz w:val="24"/>
          <w:szCs w:val="24"/>
        </w:rPr>
        <w:t xml:space="preserve">Legal Lesson Learned: Given the widespread sharing of the photo, LAPD management needed to take prompt corrective action. </w:t>
      </w:r>
    </w:p>
    <w:p w14:paraId="7CFB2B3C" w14:textId="77777777" w:rsidR="004B09B1" w:rsidRPr="006F2B87" w:rsidRDefault="004B09B1" w:rsidP="004B09B1">
      <w:pPr>
        <w:pStyle w:val="NoSpacing"/>
      </w:pPr>
    </w:p>
    <w:p w14:paraId="662F98DB" w14:textId="77777777" w:rsidR="00F366B5" w:rsidRPr="00F366B5" w:rsidRDefault="00F366B5" w:rsidP="00F366B5">
      <w:pPr>
        <w:pStyle w:val="NoSpacing"/>
        <w:rPr>
          <w:rFonts w:ascii="Times New Roman" w:hAnsi="Times New Roman"/>
          <w:sz w:val="24"/>
          <w:szCs w:val="24"/>
        </w:rPr>
      </w:pPr>
    </w:p>
    <w:p w14:paraId="505ED953" w14:textId="77777777" w:rsidR="00571037" w:rsidRDefault="00571037" w:rsidP="00F326E5">
      <w:pPr>
        <w:pStyle w:val="NoSpacing"/>
        <w:rPr>
          <w:rFonts w:ascii="Arial Black" w:hAnsi="Arial Black"/>
          <w:b/>
          <w:bCs/>
          <w:sz w:val="24"/>
          <w:szCs w:val="24"/>
        </w:rPr>
      </w:pPr>
    </w:p>
    <w:p w14:paraId="212EF325" w14:textId="4E91F488" w:rsidR="006D679A" w:rsidRDefault="001E56C7" w:rsidP="00F326E5">
      <w:pPr>
        <w:pStyle w:val="NoSpacing"/>
        <w:rPr>
          <w:rFonts w:ascii="Arial Black" w:hAnsi="Arial Black"/>
          <w:b/>
          <w:bCs/>
          <w:sz w:val="24"/>
          <w:szCs w:val="24"/>
        </w:rPr>
      </w:pPr>
      <w:r>
        <w:rPr>
          <w:rFonts w:ascii="Arial Black" w:hAnsi="Arial Black"/>
          <w:b/>
          <w:bCs/>
          <w:sz w:val="24"/>
          <w:szCs w:val="24"/>
        </w:rPr>
        <w:t>7-7</w:t>
      </w:r>
      <w:r w:rsidR="006A6ED6">
        <w:rPr>
          <w:rFonts w:ascii="Arial Black" w:hAnsi="Arial Black"/>
          <w:b/>
          <w:bCs/>
          <w:sz w:val="24"/>
          <w:szCs w:val="24"/>
        </w:rPr>
        <w:t>5</w:t>
      </w:r>
    </w:p>
    <w:p w14:paraId="3EBABEE4" w14:textId="77777777" w:rsidR="001E56C7" w:rsidRDefault="001E56C7" w:rsidP="00F326E5">
      <w:pPr>
        <w:pStyle w:val="NoSpacing"/>
        <w:rPr>
          <w:rFonts w:ascii="Arial Black" w:hAnsi="Arial Black"/>
          <w:b/>
          <w:bCs/>
          <w:sz w:val="24"/>
          <w:szCs w:val="24"/>
        </w:rPr>
      </w:pPr>
    </w:p>
    <w:p w14:paraId="457FA534" w14:textId="77777777" w:rsidR="00A25870" w:rsidRPr="002D3594" w:rsidRDefault="00A25870" w:rsidP="00A25870">
      <w:pPr>
        <w:pStyle w:val="NoSpacing"/>
        <w:rPr>
          <w:rFonts w:ascii="Arial Black" w:hAnsi="Arial Black"/>
          <w:sz w:val="28"/>
          <w:szCs w:val="28"/>
        </w:rPr>
      </w:pPr>
      <w:r>
        <w:rPr>
          <w:rFonts w:ascii="Arial Black" w:hAnsi="Arial Black"/>
          <w:sz w:val="28"/>
          <w:szCs w:val="28"/>
        </w:rPr>
        <w:t xml:space="preserve">OH: FD APPLICANT – ALLEGEDLY RAPED BY RECRUITING LT. </w:t>
      </w:r>
    </w:p>
    <w:p w14:paraId="4CF192BB" w14:textId="77777777" w:rsidR="00A25870" w:rsidRDefault="00A25870" w:rsidP="00A25870">
      <w:pPr>
        <w:pStyle w:val="NoSpacing"/>
      </w:pPr>
    </w:p>
    <w:p w14:paraId="744CE87B" w14:textId="6A96FDC7" w:rsidR="00A25870" w:rsidRPr="001E56C7" w:rsidRDefault="00A25870" w:rsidP="00A25870">
      <w:pPr>
        <w:pStyle w:val="NoSpacing"/>
        <w:rPr>
          <w:rFonts w:ascii="Times New Roman" w:hAnsi="Times New Roman"/>
          <w:b/>
          <w:bCs/>
          <w:sz w:val="24"/>
          <w:szCs w:val="24"/>
        </w:rPr>
      </w:pPr>
      <w:r w:rsidRPr="001E56C7">
        <w:rPr>
          <w:rFonts w:ascii="Times New Roman" w:hAnsi="Times New Roman"/>
          <w:sz w:val="24"/>
          <w:szCs w:val="24"/>
        </w:rPr>
        <w:t xml:space="preserve">On March 19, 2025, in </w:t>
      </w:r>
      <w:r w:rsidRPr="001E56C7">
        <w:rPr>
          <w:rFonts w:ascii="Times New Roman" w:hAnsi="Times New Roman"/>
          <w:sz w:val="24"/>
          <w:szCs w:val="24"/>
          <w:u w:val="single"/>
        </w:rPr>
        <w:t>Rebecca Bryant v. City of Cincinnati, et al</w:t>
      </w:r>
      <w:r w:rsidRPr="001E56C7">
        <w:rPr>
          <w:rFonts w:ascii="Times New Roman" w:hAnsi="Times New Roman"/>
          <w:sz w:val="24"/>
          <w:szCs w:val="24"/>
        </w:rPr>
        <w:t xml:space="preserve">., U.S. District Court Judge Douglas R. Cole. U.S. District Court for Southern District of Ohio, Western Division, denied the city’s motion to dismiss claims of hostile work atmosphere, based on her allegation that she was raped by a Lieutenant – FD recruiting officer. The Court rejected the city’s argument that the alleged rape occurred before she was hired, and therefore as a non-employee she cannot claim hostile work atmosphere.  “The </w:t>
      </w:r>
      <w:proofErr w:type="gramStart"/>
      <w:r w:rsidRPr="001E56C7">
        <w:rPr>
          <w:rFonts w:ascii="Times New Roman" w:hAnsi="Times New Roman"/>
          <w:sz w:val="24"/>
          <w:szCs w:val="24"/>
        </w:rPr>
        <w:t>City</w:t>
      </w:r>
      <w:proofErr w:type="gramEnd"/>
      <w:r w:rsidRPr="001E56C7">
        <w:rPr>
          <w:rFonts w:ascii="Times New Roman" w:hAnsi="Times New Roman"/>
          <w:sz w:val="24"/>
          <w:szCs w:val="24"/>
        </w:rPr>
        <w:t xml:space="preserve"> next argues that the Court should dismiss Bryant's hostile-work-environment claims because the principal conduct of which she complains occurred while she was an applicant, not an employee…. True, Title VII applies only to employers. And a hostile work environment refers to conditions that an employee experienced during his or her employment…. But here, Bryant </w:t>
      </w:r>
      <w:r w:rsidRPr="001E56C7">
        <w:rPr>
          <w:rFonts w:ascii="Times New Roman" w:hAnsi="Times New Roman"/>
          <w:i/>
          <w:iCs/>
          <w:sz w:val="24"/>
          <w:szCs w:val="24"/>
        </w:rPr>
        <w:t>is</w:t>
      </w:r>
      <w:r w:rsidRPr="001E56C7">
        <w:rPr>
          <w:rFonts w:ascii="Times New Roman" w:hAnsi="Times New Roman"/>
          <w:sz w:val="24"/>
          <w:szCs w:val="24"/>
        </w:rPr>
        <w:t xml:space="preserve"> complaining about her experience as an employee. As noted above, in her Amended Complaint, she points to a host of alleged wrongs that happened to her while she was employed at CFD. True, she also points to the rape, and that occurred while she was an applicant, but that is, at least in part, to provide context for why working with [the Lieutenant] (while she was employed) might constitute a hostile work environment.”  </w:t>
      </w:r>
      <w:hyperlink r:id="rId1354" w:history="1">
        <w:r w:rsidRPr="001E56C7">
          <w:rPr>
            <w:rStyle w:val="Hyperlink"/>
            <w:rFonts w:ascii="Times New Roman" w:hAnsi="Times New Roman"/>
            <w:sz w:val="24"/>
            <w:szCs w:val="24"/>
          </w:rPr>
          <w:t>https://public.fastcase.com/jaEE2PXzRXmZ99jOLMt1IsID3yHeWup657c7MnfFCGnetXQu%2F2QtQOpoVmwfdEc%2F?utm_medium=email&amp;_hsenc=p2ANqtz-_zTSxdS0F5WCwBxFxJfAdL2TYRGfHTDF8aVNcZ9gK5T6kDk6rrKhGST-fn4w1vDtBgvaoCFHlAWmUNSPCbepcJBy8zVw&amp;_hsmi=226712652&amp;utm_content=226712652&amp;utm_source=hs_email</w:t>
        </w:r>
      </w:hyperlink>
    </w:p>
    <w:p w14:paraId="00B8E806" w14:textId="77777777" w:rsidR="0052426F" w:rsidRPr="001E56C7" w:rsidRDefault="0052426F" w:rsidP="00F326E5">
      <w:pPr>
        <w:pStyle w:val="NoSpacing"/>
        <w:rPr>
          <w:rFonts w:ascii="Times New Roman" w:hAnsi="Times New Roman"/>
          <w:b/>
          <w:bCs/>
          <w:sz w:val="24"/>
          <w:szCs w:val="24"/>
        </w:rPr>
      </w:pPr>
    </w:p>
    <w:p w14:paraId="13EED63C" w14:textId="77777777" w:rsidR="006E0FA5" w:rsidRPr="002729C0" w:rsidRDefault="006E0FA5" w:rsidP="006E0FA5">
      <w:pPr>
        <w:pStyle w:val="NoSpacing"/>
        <w:rPr>
          <w:rFonts w:ascii="Times New Roman" w:hAnsi="Times New Roman"/>
          <w:b/>
          <w:bCs/>
          <w:sz w:val="24"/>
          <w:szCs w:val="24"/>
        </w:rPr>
      </w:pPr>
      <w:r w:rsidRPr="002729C0">
        <w:rPr>
          <w:rFonts w:ascii="Times New Roman" w:hAnsi="Times New Roman"/>
          <w:b/>
          <w:sz w:val="24"/>
          <w:szCs w:val="24"/>
        </w:rPr>
        <w:t xml:space="preserve">Legal Lesson Learned: The City promptly </w:t>
      </w:r>
      <w:proofErr w:type="gramStart"/>
      <w:r w:rsidRPr="002729C0">
        <w:rPr>
          <w:rFonts w:ascii="Times New Roman" w:hAnsi="Times New Roman"/>
          <w:b/>
          <w:sz w:val="24"/>
          <w:szCs w:val="24"/>
        </w:rPr>
        <w:t>conducted an investigation</w:t>
      </w:r>
      <w:proofErr w:type="gramEnd"/>
      <w:r w:rsidRPr="002729C0">
        <w:rPr>
          <w:rFonts w:ascii="Times New Roman" w:hAnsi="Times New Roman"/>
          <w:b/>
          <w:sz w:val="24"/>
          <w:szCs w:val="24"/>
        </w:rPr>
        <w:t xml:space="preserve">; the case will now proceed with pre-trial discovery, including a review of the adequacy of the investigation. </w:t>
      </w:r>
    </w:p>
    <w:p w14:paraId="1E65912D" w14:textId="77777777" w:rsidR="0052426F" w:rsidRDefault="0052426F" w:rsidP="00F326E5">
      <w:pPr>
        <w:pStyle w:val="NoSpacing"/>
        <w:rPr>
          <w:rFonts w:ascii="Arial Black" w:hAnsi="Arial Black"/>
          <w:b/>
          <w:bCs/>
          <w:sz w:val="24"/>
          <w:szCs w:val="24"/>
        </w:rPr>
      </w:pPr>
    </w:p>
    <w:p w14:paraId="50F5BC4A" w14:textId="77777777" w:rsidR="00320105" w:rsidRDefault="00320105" w:rsidP="00F326E5">
      <w:pPr>
        <w:pStyle w:val="NoSpacing"/>
        <w:rPr>
          <w:rFonts w:ascii="Arial Black" w:hAnsi="Arial Black"/>
          <w:b/>
          <w:bCs/>
          <w:sz w:val="24"/>
          <w:szCs w:val="24"/>
        </w:rPr>
      </w:pPr>
    </w:p>
    <w:p w14:paraId="5D7DAE6F" w14:textId="0CC08688" w:rsidR="0052426F" w:rsidRDefault="00642CE9" w:rsidP="00F326E5">
      <w:pPr>
        <w:pStyle w:val="NoSpacing"/>
        <w:rPr>
          <w:rFonts w:ascii="Arial Black" w:hAnsi="Arial Black"/>
          <w:b/>
          <w:bCs/>
          <w:sz w:val="24"/>
          <w:szCs w:val="24"/>
        </w:rPr>
      </w:pPr>
      <w:r>
        <w:rPr>
          <w:rFonts w:ascii="Arial Black" w:hAnsi="Arial Black"/>
          <w:b/>
          <w:bCs/>
          <w:sz w:val="24"/>
          <w:szCs w:val="24"/>
        </w:rPr>
        <w:t>7-74</w:t>
      </w:r>
    </w:p>
    <w:p w14:paraId="2628F80B" w14:textId="77777777" w:rsidR="00320105" w:rsidRDefault="00320105" w:rsidP="00642CE9">
      <w:pPr>
        <w:rPr>
          <w:rFonts w:ascii="Arial Black" w:hAnsi="Arial Black"/>
          <w:sz w:val="28"/>
          <w:szCs w:val="28"/>
        </w:rPr>
      </w:pPr>
    </w:p>
    <w:p w14:paraId="0E4714DF" w14:textId="0DB2F9E1" w:rsidR="00642CE9" w:rsidRPr="00D13FB9" w:rsidRDefault="00642CE9" w:rsidP="00642CE9">
      <w:r>
        <w:rPr>
          <w:rFonts w:ascii="Arial Black" w:hAnsi="Arial Black"/>
          <w:sz w:val="28"/>
          <w:szCs w:val="28"/>
        </w:rPr>
        <w:t xml:space="preserve">DE: D/C RAPED CADET – 35 YRS PRISON - FIRE CHIEF SUED </w:t>
      </w:r>
    </w:p>
    <w:p w14:paraId="57F86795" w14:textId="77777777" w:rsidR="00642CE9" w:rsidRPr="000B584F" w:rsidRDefault="00642CE9" w:rsidP="00642CE9">
      <w:pPr>
        <w:pStyle w:val="NoSpacing"/>
        <w:rPr>
          <w:rFonts w:ascii="Times New Roman" w:hAnsi="Times New Roman"/>
          <w:sz w:val="24"/>
          <w:szCs w:val="24"/>
        </w:rPr>
      </w:pPr>
      <w:r w:rsidRPr="000B584F">
        <w:rPr>
          <w:rFonts w:ascii="Times New Roman" w:hAnsi="Times New Roman"/>
          <w:sz w:val="24"/>
          <w:szCs w:val="24"/>
        </w:rPr>
        <w:t xml:space="preserve">On March 5, 2025, in </w:t>
      </w:r>
      <w:r w:rsidRPr="000B584F">
        <w:rPr>
          <w:rFonts w:ascii="Times New Roman" w:hAnsi="Times New Roman"/>
          <w:sz w:val="24"/>
          <w:szCs w:val="24"/>
          <w:u w:val="single"/>
        </w:rPr>
        <w:t>Laura Liebal, as next friend and guardian of M.M., a minor v. Belvedere Fire Company, et al.</w:t>
      </w:r>
      <w:r w:rsidRPr="000B584F">
        <w:rPr>
          <w:rFonts w:ascii="Times New Roman" w:hAnsi="Times New Roman"/>
          <w:sz w:val="24"/>
          <w:szCs w:val="24"/>
        </w:rPr>
        <w:t xml:space="preserve">, Judge Charkes Butler, Superior Court of Delaware, denied the motion to dismiss the Fire Chief and Board members from this lawsuit. “The Amended Complaint alleges that in 2022, M.M., a 15-year-old minor girl, (‘Plaintiff’), volunteered with the Mill Creek Fire Company. During a joint training exercise between the Mill Creek Fire Company and Defendant Belvedere Volunteer Fire </w:t>
      </w:r>
      <w:proofErr w:type="gramStart"/>
      <w:r w:rsidRPr="000B584F">
        <w:rPr>
          <w:rFonts w:ascii="Times New Roman" w:hAnsi="Times New Roman"/>
          <w:sz w:val="24"/>
          <w:szCs w:val="24"/>
        </w:rPr>
        <w:t>Company (‘</w:t>
      </w:r>
      <w:proofErr w:type="gramEnd"/>
      <w:r w:rsidRPr="000B584F">
        <w:rPr>
          <w:rFonts w:ascii="Times New Roman" w:hAnsi="Times New Roman"/>
          <w:sz w:val="24"/>
          <w:szCs w:val="24"/>
        </w:rPr>
        <w:t xml:space="preserve">Belvedere’), the Deputy Fire Chief </w:t>
      </w:r>
      <w:r w:rsidRPr="000B584F">
        <w:rPr>
          <w:rFonts w:ascii="Times New Roman" w:hAnsi="Times New Roman"/>
          <w:sz w:val="24"/>
          <w:szCs w:val="24"/>
        </w:rPr>
        <w:lastRenderedPageBreak/>
        <w:t xml:space="preserve">for Belvedere Dwayne </w:t>
      </w:r>
      <w:proofErr w:type="gramStart"/>
      <w:r w:rsidRPr="000B584F">
        <w:rPr>
          <w:rFonts w:ascii="Times New Roman" w:hAnsi="Times New Roman"/>
          <w:sz w:val="24"/>
          <w:szCs w:val="24"/>
        </w:rPr>
        <w:t>Pearson (‘</w:t>
      </w:r>
      <w:proofErr w:type="gramEnd"/>
      <w:r w:rsidRPr="000B584F">
        <w:rPr>
          <w:rFonts w:ascii="Times New Roman" w:hAnsi="Times New Roman"/>
          <w:sz w:val="24"/>
          <w:szCs w:val="24"/>
        </w:rPr>
        <w:t xml:space="preserve">Pearson’), began ‘flirting’ with Plaintiff. The Belvedere Fire Chief, Robert </w:t>
      </w:r>
      <w:proofErr w:type="gramStart"/>
      <w:r w:rsidRPr="000B584F">
        <w:rPr>
          <w:rFonts w:ascii="Times New Roman" w:hAnsi="Times New Roman"/>
          <w:sz w:val="24"/>
          <w:szCs w:val="24"/>
        </w:rPr>
        <w:t>Johnson (‘</w:t>
      </w:r>
      <w:proofErr w:type="gramEnd"/>
      <w:r w:rsidRPr="000B584F">
        <w:rPr>
          <w:rFonts w:ascii="Times New Roman" w:hAnsi="Times New Roman"/>
          <w:sz w:val="24"/>
          <w:szCs w:val="24"/>
        </w:rPr>
        <w:t xml:space="preserve">Johnson’), observed Pearson’s behavior. Johnson contacted the Mill Creek Fire Company and learned that Plaintiff was 15 years old. Johnson warned Pearson to ‘stay away’ from Plaintiff. But Pearson did not. The Amended Complaint says that Pearson used one of Belvedere’s vehicles to pick up Plaintiff and commit sex crimes on two separate days in August 2022.”  The Court held that while volunteer fire departments and Board members  have immunity, the Fire Chief can be sued personally if they acted with “wanton negligence.” </w:t>
      </w:r>
      <w:hyperlink r:id="rId1355" w:history="1">
        <w:r w:rsidRPr="000B584F">
          <w:rPr>
            <w:rStyle w:val="Hyperlink"/>
            <w:rFonts w:ascii="Times New Roman" w:hAnsi="Times New Roman"/>
            <w:sz w:val="24"/>
            <w:szCs w:val="24"/>
          </w:rPr>
          <w:t>https://cases.justia.com/delaware/superior-court/2025-n24c-08-154-ceb.pdf?ts=1741208566</w:t>
        </w:r>
      </w:hyperlink>
      <w:r w:rsidRPr="000B584F">
        <w:rPr>
          <w:rFonts w:ascii="Times New Roman" w:hAnsi="Times New Roman"/>
          <w:sz w:val="24"/>
          <w:szCs w:val="24"/>
        </w:rPr>
        <w:t xml:space="preserve"> </w:t>
      </w:r>
    </w:p>
    <w:p w14:paraId="01D61DEF" w14:textId="77777777" w:rsidR="00642CE9" w:rsidRPr="000B584F" w:rsidRDefault="00642CE9" w:rsidP="00F326E5">
      <w:pPr>
        <w:pStyle w:val="NoSpacing"/>
        <w:rPr>
          <w:rFonts w:ascii="Times New Roman" w:hAnsi="Times New Roman"/>
          <w:b/>
          <w:bCs/>
          <w:sz w:val="24"/>
          <w:szCs w:val="24"/>
        </w:rPr>
      </w:pPr>
    </w:p>
    <w:p w14:paraId="1F2B39E9" w14:textId="77777777" w:rsidR="000B584F" w:rsidRPr="000B584F" w:rsidRDefault="000B584F" w:rsidP="000B584F">
      <w:pPr>
        <w:pStyle w:val="NoSpacing"/>
        <w:rPr>
          <w:rFonts w:ascii="Times New Roman" w:hAnsi="Times New Roman"/>
          <w:b/>
          <w:sz w:val="24"/>
          <w:szCs w:val="24"/>
        </w:rPr>
      </w:pPr>
      <w:r w:rsidRPr="000B584F">
        <w:rPr>
          <w:rFonts w:ascii="Times New Roman" w:hAnsi="Times New Roman"/>
          <w:b/>
          <w:sz w:val="24"/>
          <w:szCs w:val="24"/>
        </w:rPr>
        <w:t xml:space="preserve">Legal Lesson Learned: Fire Chiefs must be very aggressive in investigating allegations of sexual and other forms of misconduct, particularly involving minors. </w:t>
      </w:r>
    </w:p>
    <w:p w14:paraId="58596986" w14:textId="77777777" w:rsidR="000B584F" w:rsidRPr="000B584F" w:rsidRDefault="000B584F" w:rsidP="000B584F">
      <w:pPr>
        <w:pStyle w:val="NoSpacing"/>
        <w:rPr>
          <w:rFonts w:ascii="Times New Roman" w:hAnsi="Times New Roman"/>
          <w:bCs/>
          <w:sz w:val="24"/>
          <w:szCs w:val="24"/>
        </w:rPr>
      </w:pPr>
    </w:p>
    <w:p w14:paraId="79321743" w14:textId="77777777" w:rsidR="000B584F" w:rsidRPr="000B584F" w:rsidRDefault="000B584F" w:rsidP="000B584F">
      <w:pPr>
        <w:pStyle w:val="NoSpacing"/>
        <w:ind w:left="720"/>
        <w:rPr>
          <w:rFonts w:ascii="Times New Roman" w:hAnsi="Times New Roman"/>
          <w:bCs/>
          <w:sz w:val="24"/>
          <w:szCs w:val="24"/>
        </w:rPr>
      </w:pPr>
      <w:r w:rsidRPr="000B584F">
        <w:rPr>
          <w:rFonts w:ascii="Times New Roman" w:hAnsi="Times New Roman"/>
          <w:sz w:val="24"/>
          <w:szCs w:val="24"/>
        </w:rPr>
        <w:t xml:space="preserve">Note: See June 14, </w:t>
      </w:r>
      <w:proofErr w:type="gramStart"/>
      <w:r w:rsidRPr="000B584F">
        <w:rPr>
          <w:rFonts w:ascii="Times New Roman" w:hAnsi="Times New Roman"/>
          <w:sz w:val="24"/>
          <w:szCs w:val="24"/>
        </w:rPr>
        <w:t>2024</w:t>
      </w:r>
      <w:proofErr w:type="gramEnd"/>
      <w:r w:rsidRPr="000B584F">
        <w:rPr>
          <w:rFonts w:ascii="Times New Roman" w:hAnsi="Times New Roman"/>
          <w:sz w:val="24"/>
          <w:szCs w:val="24"/>
        </w:rPr>
        <w:t xml:space="preserve"> article, “'Tell the truth now': Girl addresses rapist, former deputy fire chief at sentencing.”</w:t>
      </w:r>
    </w:p>
    <w:p w14:paraId="11B36086" w14:textId="77777777" w:rsidR="000B584F" w:rsidRPr="000B584F" w:rsidRDefault="000B584F" w:rsidP="000B584F">
      <w:pPr>
        <w:pStyle w:val="NoSpacing"/>
        <w:ind w:left="720"/>
        <w:rPr>
          <w:rFonts w:ascii="Times New Roman" w:hAnsi="Times New Roman"/>
          <w:bCs/>
          <w:sz w:val="24"/>
          <w:szCs w:val="24"/>
        </w:rPr>
      </w:pPr>
    </w:p>
    <w:p w14:paraId="298ABFD6" w14:textId="77777777" w:rsidR="000B584F" w:rsidRPr="000B584F" w:rsidRDefault="000B584F" w:rsidP="000B584F">
      <w:pPr>
        <w:pStyle w:val="NoSpacing"/>
        <w:ind w:left="1440"/>
        <w:rPr>
          <w:rFonts w:ascii="Times New Roman" w:hAnsi="Times New Roman"/>
          <w:bCs/>
          <w:sz w:val="24"/>
          <w:szCs w:val="24"/>
        </w:rPr>
      </w:pPr>
      <w:r w:rsidRPr="000B584F">
        <w:rPr>
          <w:rFonts w:ascii="Times New Roman" w:hAnsi="Times New Roman"/>
          <w:sz w:val="24"/>
          <w:szCs w:val="24"/>
        </w:rPr>
        <w:t xml:space="preserve">A girl raped by a former Belvedere deputy fire chief asked him in a courtroom Friday to admit what he had done. Her request was made shortly before Dwayne L. Pearson Jr. was sentenced to 35 years in prison for raping the girl he met through his job in 2022. She was 15 at the time of the </w:t>
      </w:r>
      <w:proofErr w:type="gramStart"/>
      <w:r w:rsidRPr="000B584F">
        <w:rPr>
          <w:rFonts w:ascii="Times New Roman" w:hAnsi="Times New Roman"/>
          <w:sz w:val="24"/>
          <w:szCs w:val="24"/>
        </w:rPr>
        <w:t>incidents</w:t>
      </w:r>
      <w:proofErr w:type="gramEnd"/>
      <w:r w:rsidRPr="000B584F">
        <w:rPr>
          <w:rFonts w:ascii="Times New Roman" w:hAnsi="Times New Roman"/>
          <w:sz w:val="24"/>
          <w:szCs w:val="24"/>
        </w:rPr>
        <w:t xml:space="preserve">. ‘Tell the truth now,’ she told the 41-year-old man who did not look at her, "... so I can find peace in my heart.’” </w:t>
      </w:r>
      <w:hyperlink r:id="rId1356" w:history="1">
        <w:r w:rsidRPr="000B584F">
          <w:rPr>
            <w:rStyle w:val="Hyperlink"/>
            <w:rFonts w:ascii="Times New Roman" w:hAnsi="Times New Roman"/>
            <w:sz w:val="24"/>
            <w:szCs w:val="24"/>
          </w:rPr>
          <w:t>https://www.yahoo.com/news/tell-truth-now-girl-addresses-164857744.html</w:t>
        </w:r>
      </w:hyperlink>
      <w:r w:rsidRPr="000B584F">
        <w:rPr>
          <w:rFonts w:ascii="Times New Roman" w:hAnsi="Times New Roman"/>
          <w:sz w:val="24"/>
          <w:szCs w:val="24"/>
        </w:rPr>
        <w:t xml:space="preserve"> </w:t>
      </w:r>
    </w:p>
    <w:p w14:paraId="3996A09C" w14:textId="77777777" w:rsidR="00642CE9" w:rsidRPr="000B584F" w:rsidRDefault="00642CE9" w:rsidP="00F326E5">
      <w:pPr>
        <w:pStyle w:val="NoSpacing"/>
        <w:rPr>
          <w:rFonts w:ascii="Times New Roman" w:hAnsi="Times New Roman"/>
          <w:b/>
          <w:bCs/>
          <w:sz w:val="24"/>
          <w:szCs w:val="24"/>
        </w:rPr>
      </w:pPr>
    </w:p>
    <w:p w14:paraId="24997622" w14:textId="77777777" w:rsidR="00642CE9" w:rsidRDefault="00642CE9" w:rsidP="00F326E5">
      <w:pPr>
        <w:pStyle w:val="NoSpacing"/>
        <w:rPr>
          <w:rFonts w:ascii="Arial Black" w:hAnsi="Arial Black"/>
          <w:b/>
          <w:bCs/>
          <w:sz w:val="24"/>
          <w:szCs w:val="24"/>
        </w:rPr>
      </w:pPr>
    </w:p>
    <w:p w14:paraId="29CAFFE2" w14:textId="77777777" w:rsidR="00642CE9" w:rsidRDefault="00642CE9" w:rsidP="00F326E5">
      <w:pPr>
        <w:pStyle w:val="NoSpacing"/>
        <w:rPr>
          <w:rFonts w:ascii="Arial Black" w:hAnsi="Arial Black"/>
          <w:b/>
          <w:bCs/>
          <w:sz w:val="24"/>
          <w:szCs w:val="24"/>
        </w:rPr>
      </w:pPr>
    </w:p>
    <w:p w14:paraId="4F98C50D" w14:textId="2E55B9F0" w:rsidR="0089221B" w:rsidRDefault="0086464C" w:rsidP="00F326E5">
      <w:pPr>
        <w:pStyle w:val="NoSpacing"/>
        <w:rPr>
          <w:rFonts w:ascii="Arial Black" w:hAnsi="Arial Black"/>
          <w:b/>
          <w:bCs/>
          <w:sz w:val="24"/>
          <w:szCs w:val="24"/>
        </w:rPr>
      </w:pPr>
      <w:r>
        <w:rPr>
          <w:rFonts w:ascii="Arial Black" w:hAnsi="Arial Black"/>
          <w:b/>
          <w:bCs/>
          <w:sz w:val="24"/>
          <w:szCs w:val="24"/>
        </w:rPr>
        <w:t>7-73</w:t>
      </w:r>
    </w:p>
    <w:p w14:paraId="7B4C1105" w14:textId="77777777" w:rsidR="0086464C" w:rsidRDefault="0086464C" w:rsidP="00F326E5">
      <w:pPr>
        <w:pStyle w:val="NoSpacing"/>
        <w:rPr>
          <w:rFonts w:ascii="Arial Black" w:hAnsi="Arial Black"/>
          <w:b/>
          <w:bCs/>
          <w:sz w:val="24"/>
          <w:szCs w:val="24"/>
        </w:rPr>
      </w:pPr>
    </w:p>
    <w:p w14:paraId="3FB93016" w14:textId="77777777" w:rsidR="00785AA7" w:rsidRDefault="007C5936" w:rsidP="007C5936">
      <w:pPr>
        <w:rPr>
          <w:rFonts w:ascii="Arial Black" w:hAnsi="Arial Black"/>
          <w:sz w:val="28"/>
          <w:szCs w:val="28"/>
        </w:rPr>
      </w:pPr>
      <w:r w:rsidRPr="000B7F2C">
        <w:rPr>
          <w:rFonts w:ascii="Arial Black" w:hAnsi="Arial Black"/>
          <w:sz w:val="28"/>
          <w:szCs w:val="28"/>
        </w:rPr>
        <w:t>TX: FEM</w:t>
      </w:r>
      <w:r w:rsidR="00FD5150">
        <w:rPr>
          <w:rFonts w:ascii="Arial Black" w:hAnsi="Arial Black"/>
          <w:sz w:val="28"/>
          <w:szCs w:val="28"/>
        </w:rPr>
        <w:t xml:space="preserve">. </w:t>
      </w:r>
      <w:r w:rsidRPr="000B7F2C">
        <w:rPr>
          <w:rFonts w:ascii="Arial Black" w:hAnsi="Arial Black"/>
          <w:sz w:val="28"/>
          <w:szCs w:val="28"/>
        </w:rPr>
        <w:t>DIR. EMS FIRED</w:t>
      </w:r>
      <w:r w:rsidR="00785AA7">
        <w:rPr>
          <w:rFonts w:ascii="Arial Black" w:hAnsi="Arial Black"/>
          <w:sz w:val="28"/>
          <w:szCs w:val="28"/>
        </w:rPr>
        <w:t xml:space="preserve"> (60s)</w:t>
      </w:r>
      <w:r w:rsidRPr="000B7F2C">
        <w:rPr>
          <w:rFonts w:ascii="Arial Black" w:hAnsi="Arial Black"/>
          <w:sz w:val="28"/>
          <w:szCs w:val="28"/>
        </w:rPr>
        <w:t xml:space="preserve"> – MALE</w:t>
      </w:r>
      <w:r w:rsidR="00785AA7">
        <w:rPr>
          <w:rFonts w:ascii="Arial Black" w:hAnsi="Arial Black"/>
          <w:sz w:val="28"/>
          <w:szCs w:val="28"/>
        </w:rPr>
        <w:t xml:space="preserve"> (35) HIRED</w:t>
      </w:r>
      <w:r w:rsidRPr="000B7F2C">
        <w:rPr>
          <w:rFonts w:ascii="Arial Black" w:hAnsi="Arial Black"/>
          <w:sz w:val="28"/>
          <w:szCs w:val="28"/>
        </w:rPr>
        <w:t xml:space="preserve"> – </w:t>
      </w:r>
      <w:r w:rsidR="00FD5150">
        <w:rPr>
          <w:rFonts w:ascii="Arial Black" w:hAnsi="Arial Black"/>
          <w:sz w:val="28"/>
          <w:szCs w:val="28"/>
        </w:rPr>
        <w:t>CASE PROCEED</w:t>
      </w:r>
    </w:p>
    <w:p w14:paraId="6153AD38" w14:textId="7AC32483" w:rsidR="00785AA7" w:rsidRPr="000B7F2C" w:rsidRDefault="00785AA7" w:rsidP="007C5936">
      <w:pPr>
        <w:rPr>
          <w:rFonts w:ascii="Arial Black" w:hAnsi="Arial Black"/>
          <w:sz w:val="28"/>
          <w:szCs w:val="28"/>
        </w:rPr>
      </w:pPr>
      <w:hyperlink r:id="rId1357" w:history="1">
        <w:r w:rsidRPr="00004FA3">
          <w:rPr>
            <w:rStyle w:val="Hyperlink"/>
            <w:rFonts w:ascii="Times New Roman" w:hAnsi="Times New Roman"/>
            <w:bCs/>
            <w:sz w:val="24"/>
            <w:szCs w:val="24"/>
          </w:rPr>
          <w:t>https://cases.justia.com/federal/district-courts/texas/txsdce/6:2022cv00002/1858056/21/0.pdf?ts=1664555743</w:t>
        </w:r>
      </w:hyperlink>
    </w:p>
    <w:p w14:paraId="11BD5B26" w14:textId="63E583D3" w:rsidR="004C28EA" w:rsidRPr="004C28EA" w:rsidRDefault="007C5936" w:rsidP="007C5936">
      <w:pPr>
        <w:rPr>
          <w:rFonts w:ascii="Times New Roman" w:hAnsi="Times New Roman"/>
          <w:bCs/>
          <w:sz w:val="24"/>
          <w:szCs w:val="24"/>
        </w:rPr>
      </w:pPr>
      <w:r w:rsidRPr="007C5936">
        <w:rPr>
          <w:rFonts w:ascii="Times New Roman" w:hAnsi="Times New Roman"/>
          <w:sz w:val="24"/>
          <w:szCs w:val="24"/>
        </w:rPr>
        <w:t xml:space="preserve">On Feb. 28, 2025, in </w:t>
      </w:r>
      <w:r w:rsidRPr="007C5936">
        <w:rPr>
          <w:rFonts w:ascii="Times New Roman" w:hAnsi="Times New Roman"/>
          <w:sz w:val="24"/>
          <w:szCs w:val="24"/>
          <w:u w:val="single"/>
        </w:rPr>
        <w:t>Debra Fishbeck v. Lavaca County, Texas, et al</w:t>
      </w:r>
      <w:r w:rsidRPr="007C5936">
        <w:rPr>
          <w:rFonts w:ascii="Times New Roman" w:hAnsi="Times New Roman"/>
          <w:sz w:val="24"/>
          <w:szCs w:val="24"/>
        </w:rPr>
        <w:t xml:space="preserve">., United States District Court Judge Drew B. Tipton, U.S. District Court for Southern District of Texas,  Victoria Division, held that the sexual discrimination and age discrimination claims may proceed to trial.  She is in her 60s; her replacement, Michael Furrh, 35-year-old male, was given large salary increase </w:t>
      </w:r>
      <w:proofErr w:type="gramStart"/>
      <w:r w:rsidRPr="007C5936">
        <w:rPr>
          <w:rFonts w:ascii="Times New Roman" w:hAnsi="Times New Roman"/>
          <w:sz w:val="24"/>
          <w:szCs w:val="24"/>
        </w:rPr>
        <w:t>and also</w:t>
      </w:r>
      <w:proofErr w:type="gramEnd"/>
      <w:r w:rsidRPr="007C5936">
        <w:rPr>
          <w:rFonts w:ascii="Times New Roman" w:hAnsi="Times New Roman"/>
          <w:sz w:val="24"/>
          <w:szCs w:val="24"/>
        </w:rPr>
        <w:t xml:space="preserve"> was allowed to hire a Deputy Director with increased budge.  She, however, cannot sue Furrh for libel or slander; he told local newspaper (without naming her) and Board about missing DEA drug license and a problem with bed bugs at station; no proof false or malice on his part.  </w:t>
      </w:r>
      <w:hyperlink r:id="rId1358" w:history="1">
        <w:r w:rsidR="004C28EA" w:rsidRPr="004C28EA">
          <w:rPr>
            <w:rStyle w:val="Hyperlink"/>
            <w:rFonts w:ascii="Times New Roman" w:hAnsi="Times New Roman"/>
            <w:bCs/>
            <w:sz w:val="24"/>
            <w:szCs w:val="24"/>
          </w:rPr>
          <w:t>https://cases.justia.com/federal/district-courts/texas/txsdce/6:2022cv00002/1858056/21/0.pdf?ts=1664555743</w:t>
        </w:r>
      </w:hyperlink>
      <w:r w:rsidR="004C28EA" w:rsidRPr="004C28EA">
        <w:rPr>
          <w:rFonts w:ascii="Times New Roman" w:hAnsi="Times New Roman"/>
          <w:bCs/>
          <w:sz w:val="24"/>
          <w:szCs w:val="24"/>
        </w:rPr>
        <w:t xml:space="preserve"> </w:t>
      </w:r>
    </w:p>
    <w:p w14:paraId="38A41D60" w14:textId="77777777" w:rsidR="007C5936" w:rsidRPr="007C5936" w:rsidRDefault="007C5936" w:rsidP="007C5936">
      <w:pPr>
        <w:pStyle w:val="NoSpacing"/>
        <w:rPr>
          <w:rFonts w:ascii="Times New Roman" w:hAnsi="Times New Roman"/>
          <w:sz w:val="24"/>
          <w:szCs w:val="24"/>
        </w:rPr>
      </w:pPr>
      <w:r w:rsidRPr="007C5936">
        <w:rPr>
          <w:rFonts w:ascii="Times New Roman" w:hAnsi="Times New Roman"/>
          <w:sz w:val="24"/>
          <w:szCs w:val="24"/>
        </w:rPr>
        <w:t xml:space="preserve">The Court wrote: </w:t>
      </w:r>
    </w:p>
    <w:p w14:paraId="0B07BBFA" w14:textId="77777777" w:rsidR="007C5936" w:rsidRPr="007C5936" w:rsidRDefault="007C5936" w:rsidP="007C5936">
      <w:pPr>
        <w:pStyle w:val="NoSpacing"/>
        <w:rPr>
          <w:rFonts w:ascii="Times New Roman" w:hAnsi="Times New Roman"/>
          <w:sz w:val="24"/>
          <w:szCs w:val="24"/>
        </w:rPr>
      </w:pPr>
    </w:p>
    <w:p w14:paraId="42C31FF7" w14:textId="77777777" w:rsidR="007C5936" w:rsidRPr="007C5936" w:rsidRDefault="007C5936" w:rsidP="007C5936">
      <w:pPr>
        <w:pStyle w:val="NoSpacing"/>
        <w:ind w:left="720"/>
        <w:rPr>
          <w:rFonts w:ascii="Times New Roman" w:hAnsi="Times New Roman"/>
          <w:sz w:val="24"/>
          <w:szCs w:val="24"/>
        </w:rPr>
      </w:pPr>
      <w:r w:rsidRPr="007C5936">
        <w:rPr>
          <w:rFonts w:ascii="Times New Roman" w:hAnsi="Times New Roman"/>
          <w:sz w:val="24"/>
          <w:szCs w:val="24"/>
        </w:rPr>
        <w:t xml:space="preserve">“Defendants offer the following reasons for Fishbeck's termination, which they allege are legitimate and nondiscriminatory: (1) LCRS's operational revenue declined significantly for three years in a row; (2) LCRS received an unsatisfactory third-party audit of its bookkeeping; (3) an EMT resigned shortly after accepting a job with LCRS because of concerns with the department; (4) Fishbeck did not attend Lavaca County Medical Center meetings for several years; and (5) a lack of cleanliness at LCRS facilities. </w:t>
      </w:r>
    </w:p>
    <w:p w14:paraId="52AE1EC5" w14:textId="77777777" w:rsidR="007C5936" w:rsidRPr="007C5936" w:rsidRDefault="007C5936" w:rsidP="007C5936">
      <w:pPr>
        <w:pStyle w:val="NoSpacing"/>
        <w:rPr>
          <w:rFonts w:ascii="Times New Roman" w:hAnsi="Times New Roman"/>
          <w:sz w:val="24"/>
          <w:szCs w:val="24"/>
        </w:rPr>
      </w:pPr>
    </w:p>
    <w:p w14:paraId="7CDF55D0" w14:textId="77777777" w:rsidR="007C5936" w:rsidRPr="007C5936" w:rsidRDefault="007C5936" w:rsidP="007C5936">
      <w:pPr>
        <w:pStyle w:val="NoSpacing"/>
        <w:ind w:firstLine="720"/>
        <w:rPr>
          <w:rFonts w:ascii="Times New Roman" w:hAnsi="Times New Roman"/>
          <w:sz w:val="24"/>
          <w:szCs w:val="24"/>
        </w:rPr>
      </w:pPr>
      <w:r w:rsidRPr="007C5936">
        <w:rPr>
          <w:rFonts w:ascii="Times New Roman" w:hAnsi="Times New Roman"/>
          <w:sz w:val="24"/>
          <w:szCs w:val="24"/>
        </w:rPr>
        <w:t>***</w:t>
      </w:r>
    </w:p>
    <w:p w14:paraId="1EEBFC22" w14:textId="77777777" w:rsidR="007C5936" w:rsidRPr="007C5936" w:rsidRDefault="007C5936" w:rsidP="007C5936">
      <w:pPr>
        <w:pStyle w:val="NoSpacing"/>
        <w:rPr>
          <w:rFonts w:ascii="Times New Roman" w:hAnsi="Times New Roman"/>
          <w:sz w:val="24"/>
          <w:szCs w:val="24"/>
        </w:rPr>
      </w:pPr>
    </w:p>
    <w:p w14:paraId="5E3469A9" w14:textId="77777777" w:rsidR="007C5936" w:rsidRPr="007C5936" w:rsidRDefault="007C5936" w:rsidP="007C5936">
      <w:pPr>
        <w:pStyle w:val="NoSpacing"/>
        <w:ind w:left="720"/>
        <w:rPr>
          <w:rFonts w:ascii="Times New Roman" w:hAnsi="Times New Roman"/>
          <w:sz w:val="24"/>
          <w:szCs w:val="24"/>
        </w:rPr>
      </w:pPr>
      <w:r w:rsidRPr="007C5936">
        <w:rPr>
          <w:rFonts w:ascii="Times New Roman" w:hAnsi="Times New Roman"/>
          <w:sz w:val="24"/>
          <w:szCs w:val="24"/>
        </w:rPr>
        <w:t>Yet after they hired Furrh, he was given every resource (and more) that Fishbeck requested to fix those very deficiencies in the department. (</w:t>
      </w:r>
      <w:r w:rsidRPr="007C5936">
        <w:rPr>
          <w:rFonts w:ascii="Times New Roman" w:hAnsi="Times New Roman"/>
          <w:i/>
          <w:iCs/>
          <w:sz w:val="24"/>
          <w:szCs w:val="24"/>
        </w:rPr>
        <w:t>Id.</w:t>
      </w:r>
      <w:r w:rsidRPr="007C5936">
        <w:rPr>
          <w:rFonts w:ascii="Times New Roman" w:hAnsi="Times New Roman"/>
          <w:sz w:val="24"/>
          <w:szCs w:val="24"/>
        </w:rPr>
        <w:t xml:space="preserve"> at 4-5). In other words, Defendants knew about LCRS's </w:t>
      </w:r>
      <w:r w:rsidRPr="007C5936">
        <w:rPr>
          <w:rFonts w:ascii="Times New Roman" w:hAnsi="Times New Roman"/>
          <w:sz w:val="24"/>
          <w:szCs w:val="24"/>
        </w:rPr>
        <w:lastRenderedPageBreak/>
        <w:t>problems, did not give Fishbeck the tools to succeed, and only considered the problems a terminable offense because they wanted to replace her with a man-one whom they equipped with the same resources they withheld from her…. Fishbeck's evidence, when viewed in the light most favorable to her, shows a genuine dispute about whether Defendants' proffered reasons are a pretext.</w:t>
      </w:r>
    </w:p>
    <w:p w14:paraId="1BC652E9" w14:textId="77777777" w:rsidR="007C5936" w:rsidRPr="007C5936" w:rsidRDefault="007C5936" w:rsidP="007C5936">
      <w:pPr>
        <w:pStyle w:val="NoSpacing"/>
        <w:rPr>
          <w:rFonts w:ascii="Times New Roman" w:hAnsi="Times New Roman"/>
          <w:sz w:val="24"/>
          <w:szCs w:val="24"/>
        </w:rPr>
      </w:pPr>
    </w:p>
    <w:p w14:paraId="2267784F" w14:textId="77777777" w:rsidR="007C5936" w:rsidRPr="007C5936" w:rsidRDefault="007C5936" w:rsidP="007C5936">
      <w:pPr>
        <w:pStyle w:val="NoSpacing"/>
        <w:ind w:firstLine="720"/>
        <w:rPr>
          <w:rFonts w:ascii="Times New Roman" w:hAnsi="Times New Roman"/>
          <w:sz w:val="24"/>
          <w:szCs w:val="24"/>
        </w:rPr>
      </w:pPr>
      <w:r w:rsidRPr="007C5936">
        <w:rPr>
          <w:rFonts w:ascii="Times New Roman" w:hAnsi="Times New Roman"/>
          <w:sz w:val="24"/>
          <w:szCs w:val="24"/>
        </w:rPr>
        <w:t>***</w:t>
      </w:r>
    </w:p>
    <w:p w14:paraId="767F22FF" w14:textId="77777777" w:rsidR="007C5936" w:rsidRPr="007C5936" w:rsidRDefault="007C5936" w:rsidP="007C5936">
      <w:pPr>
        <w:pStyle w:val="NoSpacing"/>
        <w:rPr>
          <w:rFonts w:ascii="Times New Roman" w:hAnsi="Times New Roman"/>
          <w:sz w:val="24"/>
          <w:szCs w:val="24"/>
        </w:rPr>
      </w:pPr>
    </w:p>
    <w:p w14:paraId="066E889A" w14:textId="77777777" w:rsidR="007C5936" w:rsidRPr="007C5936" w:rsidRDefault="007C5936" w:rsidP="007C5936">
      <w:pPr>
        <w:pStyle w:val="NoSpacing"/>
        <w:ind w:left="720"/>
        <w:rPr>
          <w:rFonts w:ascii="Times New Roman" w:hAnsi="Times New Roman"/>
          <w:sz w:val="24"/>
          <w:szCs w:val="24"/>
        </w:rPr>
      </w:pPr>
      <w:r w:rsidRPr="007C5936">
        <w:rPr>
          <w:rFonts w:ascii="Times New Roman" w:hAnsi="Times New Roman"/>
          <w:sz w:val="24"/>
          <w:szCs w:val="24"/>
        </w:rPr>
        <w:t>Fishbeck also offers the Lavaca County 2021 Fiscal Year Budget as evidence of disparate treatment between her and Furrh…. Among other things, the budget shows that the salary for the LCRS Director increased 27.73% after Fishbeck was fired. (</w:t>
      </w:r>
      <w:r w:rsidRPr="007C5936">
        <w:rPr>
          <w:rFonts w:ascii="Times New Roman" w:hAnsi="Times New Roman"/>
          <w:i/>
          <w:iCs/>
          <w:sz w:val="24"/>
          <w:szCs w:val="24"/>
        </w:rPr>
        <w:t>Id.</w:t>
      </w:r>
      <w:r w:rsidRPr="007C5936">
        <w:rPr>
          <w:rFonts w:ascii="Times New Roman" w:hAnsi="Times New Roman"/>
          <w:sz w:val="24"/>
          <w:szCs w:val="24"/>
        </w:rPr>
        <w:t xml:space="preserve"> at 3</w:t>
      </w:r>
      <w:proofErr w:type="gramStart"/>
      <w:r w:rsidRPr="007C5936">
        <w:rPr>
          <w:rFonts w:ascii="Times New Roman" w:hAnsi="Times New Roman"/>
          <w:sz w:val="24"/>
          <w:szCs w:val="24"/>
        </w:rPr>
        <w:t>);…</w:t>
      </w:r>
      <w:proofErr w:type="gramEnd"/>
      <w:r w:rsidRPr="007C5936">
        <w:rPr>
          <w:rFonts w:ascii="Times New Roman" w:hAnsi="Times New Roman"/>
          <w:sz w:val="24"/>
          <w:szCs w:val="24"/>
        </w:rPr>
        <w:t xml:space="preserve"> Fishbeck was paid $58,718 annually, while Furrh was paid $75,000….Fishbeck was not allotted a budget for an assistant; but in FY 2021, the Commissioners Court approved an allocation of $64,500 to hire an LCRS Assistant Director</w:t>
      </w:r>
      <w:proofErr w:type="gramStart"/>
      <w:r w:rsidRPr="007C5936">
        <w:rPr>
          <w:rFonts w:ascii="Times New Roman" w:hAnsi="Times New Roman"/>
          <w:sz w:val="24"/>
          <w:szCs w:val="24"/>
        </w:rPr>
        <w:t>…..</w:t>
      </w:r>
      <w:proofErr w:type="gramEnd"/>
      <w:r w:rsidRPr="007C5936">
        <w:rPr>
          <w:rFonts w:ascii="Times New Roman" w:hAnsi="Times New Roman"/>
          <w:sz w:val="24"/>
          <w:szCs w:val="24"/>
        </w:rPr>
        <w:t xml:space="preserve"> Fishbeck received no financial support from the County's General Fund to supplement LCRS's operations; but in 2021, the Commissioners Court approved a $1,000,000 transfer to supplement LCRS's revenue for Furrh.</w:t>
      </w:r>
    </w:p>
    <w:p w14:paraId="597B2814" w14:textId="77777777" w:rsidR="007C5936" w:rsidRPr="007C5936" w:rsidRDefault="007C5936" w:rsidP="007C5936">
      <w:pPr>
        <w:pStyle w:val="NoSpacing"/>
        <w:rPr>
          <w:rFonts w:ascii="Times New Roman" w:hAnsi="Times New Roman"/>
          <w:sz w:val="24"/>
          <w:szCs w:val="24"/>
        </w:rPr>
      </w:pPr>
    </w:p>
    <w:p w14:paraId="64BD6094" w14:textId="77777777" w:rsidR="007C5936" w:rsidRPr="007C5936" w:rsidRDefault="007C5936" w:rsidP="007C5936">
      <w:pPr>
        <w:pStyle w:val="NoSpacing"/>
        <w:ind w:firstLine="720"/>
        <w:rPr>
          <w:rFonts w:ascii="Times New Roman" w:hAnsi="Times New Roman"/>
          <w:sz w:val="24"/>
          <w:szCs w:val="24"/>
        </w:rPr>
      </w:pPr>
      <w:r w:rsidRPr="007C5936">
        <w:rPr>
          <w:rFonts w:ascii="Times New Roman" w:hAnsi="Times New Roman"/>
          <w:sz w:val="24"/>
          <w:szCs w:val="24"/>
        </w:rPr>
        <w:t>***</w:t>
      </w:r>
    </w:p>
    <w:p w14:paraId="502EFB63" w14:textId="77777777" w:rsidR="007C5936" w:rsidRPr="007C5936" w:rsidRDefault="007C5936" w:rsidP="007C5936">
      <w:pPr>
        <w:pStyle w:val="NoSpacing"/>
        <w:rPr>
          <w:rFonts w:ascii="Times New Roman" w:hAnsi="Times New Roman"/>
          <w:sz w:val="24"/>
          <w:szCs w:val="24"/>
        </w:rPr>
      </w:pPr>
    </w:p>
    <w:p w14:paraId="356ED4D7" w14:textId="77777777" w:rsidR="007C5936" w:rsidRPr="007C5936" w:rsidRDefault="007C5936" w:rsidP="007C5936">
      <w:pPr>
        <w:pStyle w:val="NoSpacing"/>
        <w:ind w:left="720"/>
        <w:rPr>
          <w:rFonts w:ascii="Times New Roman" w:hAnsi="Times New Roman"/>
          <w:sz w:val="24"/>
          <w:szCs w:val="24"/>
        </w:rPr>
      </w:pPr>
      <w:r w:rsidRPr="007C5936">
        <w:rPr>
          <w:rFonts w:ascii="Times New Roman" w:hAnsi="Times New Roman"/>
          <w:sz w:val="24"/>
          <w:szCs w:val="24"/>
        </w:rPr>
        <w:t>As discussed above, Fishbeck has made out her prima facie case of intentional sex discrimination under Title VII and satisfied her burden of disputing Defendants' reasons for firing her.”</w:t>
      </w:r>
    </w:p>
    <w:p w14:paraId="77E807B4" w14:textId="77777777" w:rsidR="007C5936" w:rsidRPr="007C5936" w:rsidRDefault="007C5936" w:rsidP="007C5936">
      <w:pPr>
        <w:pStyle w:val="NoSpacing"/>
        <w:rPr>
          <w:rFonts w:ascii="Times New Roman" w:hAnsi="Times New Roman"/>
          <w:sz w:val="24"/>
          <w:szCs w:val="24"/>
        </w:rPr>
      </w:pPr>
    </w:p>
    <w:p w14:paraId="1B7C8F29" w14:textId="77777777" w:rsidR="007C5936" w:rsidRPr="007C5936" w:rsidRDefault="007C5936" w:rsidP="007C5936">
      <w:pPr>
        <w:pStyle w:val="NoSpacing"/>
        <w:rPr>
          <w:rFonts w:ascii="Times New Roman" w:hAnsi="Times New Roman"/>
          <w:b/>
          <w:bCs/>
          <w:sz w:val="24"/>
          <w:szCs w:val="24"/>
        </w:rPr>
      </w:pPr>
      <w:r w:rsidRPr="007C5936">
        <w:rPr>
          <w:rFonts w:ascii="Times New Roman" w:hAnsi="Times New Roman"/>
          <w:b/>
          <w:sz w:val="24"/>
          <w:szCs w:val="24"/>
        </w:rPr>
        <w:t>Legal Lesson Learned:  Giving 27% increase in salary to younger new hire ($75,000 v. $58,718) is certainly a “red flag” for a jury.  The case will now proceed to trial</w:t>
      </w:r>
      <w:r w:rsidRPr="007C5936">
        <w:rPr>
          <w:rFonts w:ascii="Times New Roman" w:hAnsi="Times New Roman"/>
          <w:b/>
          <w:bCs/>
          <w:sz w:val="24"/>
          <w:szCs w:val="24"/>
        </w:rPr>
        <w:t>.</w:t>
      </w:r>
    </w:p>
    <w:p w14:paraId="1D3208D4" w14:textId="77777777" w:rsidR="0086464C" w:rsidRPr="007C5936" w:rsidRDefault="0086464C" w:rsidP="00F326E5">
      <w:pPr>
        <w:pStyle w:val="NoSpacing"/>
        <w:rPr>
          <w:rFonts w:ascii="Times New Roman" w:hAnsi="Times New Roman"/>
          <w:b/>
          <w:bCs/>
          <w:sz w:val="24"/>
          <w:szCs w:val="24"/>
        </w:rPr>
      </w:pPr>
    </w:p>
    <w:p w14:paraId="6533EEB9" w14:textId="77777777" w:rsidR="0089221B" w:rsidRPr="007C5936" w:rsidRDefault="0089221B" w:rsidP="00F326E5">
      <w:pPr>
        <w:pStyle w:val="NoSpacing"/>
        <w:rPr>
          <w:rFonts w:ascii="Times New Roman" w:hAnsi="Times New Roman"/>
          <w:b/>
          <w:bCs/>
          <w:sz w:val="24"/>
          <w:szCs w:val="24"/>
        </w:rPr>
      </w:pPr>
    </w:p>
    <w:p w14:paraId="618C2FD1" w14:textId="77777777" w:rsidR="0089221B" w:rsidRDefault="0089221B" w:rsidP="00F326E5">
      <w:pPr>
        <w:pStyle w:val="NoSpacing"/>
        <w:rPr>
          <w:rFonts w:ascii="Arial Black" w:hAnsi="Arial Black"/>
          <w:b/>
          <w:bCs/>
          <w:sz w:val="24"/>
          <w:szCs w:val="24"/>
        </w:rPr>
      </w:pPr>
    </w:p>
    <w:p w14:paraId="68FB15DE" w14:textId="145A26B8" w:rsidR="00A84216" w:rsidRDefault="00A84216" w:rsidP="00F326E5">
      <w:pPr>
        <w:pStyle w:val="NoSpacing"/>
        <w:rPr>
          <w:rFonts w:ascii="Arial Black" w:hAnsi="Arial Black"/>
          <w:b/>
          <w:bCs/>
          <w:sz w:val="24"/>
          <w:szCs w:val="24"/>
        </w:rPr>
      </w:pPr>
      <w:r>
        <w:rPr>
          <w:rFonts w:ascii="Arial Black" w:hAnsi="Arial Black"/>
          <w:b/>
          <w:bCs/>
          <w:sz w:val="24"/>
          <w:szCs w:val="24"/>
        </w:rPr>
        <w:t>7-72</w:t>
      </w:r>
    </w:p>
    <w:p w14:paraId="51D6BECF" w14:textId="77777777" w:rsidR="00A84216" w:rsidRDefault="00A84216" w:rsidP="00F326E5">
      <w:pPr>
        <w:pStyle w:val="NoSpacing"/>
        <w:rPr>
          <w:rFonts w:ascii="Arial Black" w:hAnsi="Arial Black"/>
          <w:b/>
          <w:bCs/>
          <w:sz w:val="24"/>
          <w:szCs w:val="24"/>
        </w:rPr>
      </w:pPr>
    </w:p>
    <w:p w14:paraId="522704EB" w14:textId="77777777" w:rsidR="0089221B" w:rsidRPr="000B7F2C" w:rsidRDefault="0089221B" w:rsidP="0089221B">
      <w:pPr>
        <w:rPr>
          <w:rFonts w:ascii="Arial Black" w:hAnsi="Arial Black"/>
          <w:sz w:val="28"/>
          <w:szCs w:val="28"/>
        </w:rPr>
      </w:pPr>
      <w:r w:rsidRPr="000B7F2C">
        <w:rPr>
          <w:rFonts w:ascii="Arial Black" w:hAnsi="Arial Black"/>
          <w:sz w:val="28"/>
          <w:szCs w:val="28"/>
        </w:rPr>
        <w:t>NY: FIRED</w:t>
      </w:r>
      <w:r>
        <w:rPr>
          <w:rFonts w:ascii="Arial Black" w:hAnsi="Arial Black"/>
          <w:sz w:val="28"/>
          <w:szCs w:val="28"/>
        </w:rPr>
        <w:t xml:space="preserve"> - </w:t>
      </w:r>
      <w:r w:rsidRPr="000B7F2C">
        <w:rPr>
          <w:rFonts w:ascii="Arial Black" w:hAnsi="Arial Black"/>
          <w:sz w:val="28"/>
          <w:szCs w:val="28"/>
        </w:rPr>
        <w:t>PROTOCOL C</w:t>
      </w:r>
      <w:r>
        <w:rPr>
          <w:rFonts w:ascii="Arial Black" w:hAnsi="Arial Black"/>
          <w:sz w:val="28"/>
          <w:szCs w:val="28"/>
        </w:rPr>
        <w:t xml:space="preserve">OURSE </w:t>
      </w:r>
      <w:r w:rsidRPr="000B7F2C">
        <w:rPr>
          <w:rFonts w:ascii="Arial Black" w:hAnsi="Arial Black"/>
          <w:sz w:val="28"/>
          <w:szCs w:val="28"/>
        </w:rPr>
        <w:t xml:space="preserve"> - </w:t>
      </w:r>
      <w:r>
        <w:rPr>
          <w:rFonts w:ascii="Arial Black" w:hAnsi="Arial Black"/>
          <w:sz w:val="28"/>
          <w:szCs w:val="28"/>
        </w:rPr>
        <w:t>NOT HOSTILE WORK</w:t>
      </w:r>
    </w:p>
    <w:p w14:paraId="3DF47C12" w14:textId="77777777" w:rsidR="0089221B" w:rsidRPr="0089221B" w:rsidRDefault="0089221B" w:rsidP="0089221B">
      <w:pPr>
        <w:rPr>
          <w:rFonts w:ascii="Times New Roman" w:hAnsi="Times New Roman"/>
          <w:sz w:val="24"/>
          <w:szCs w:val="24"/>
        </w:rPr>
      </w:pPr>
      <w:r w:rsidRPr="0089221B">
        <w:rPr>
          <w:rFonts w:ascii="Times New Roman" w:hAnsi="Times New Roman"/>
          <w:sz w:val="24"/>
          <w:szCs w:val="24"/>
        </w:rPr>
        <w:t xml:space="preserve">On Feb. 17, 2025, in </w:t>
      </w:r>
      <w:r w:rsidRPr="0089221B">
        <w:rPr>
          <w:rFonts w:ascii="Times New Roman" w:hAnsi="Times New Roman"/>
          <w:sz w:val="24"/>
          <w:szCs w:val="24"/>
          <w:u w:val="single"/>
        </w:rPr>
        <w:t>Marcia Parke v. Assist Ambulance</w:t>
      </w:r>
      <w:r w:rsidRPr="0089221B">
        <w:rPr>
          <w:rFonts w:ascii="Times New Roman" w:hAnsi="Times New Roman"/>
          <w:sz w:val="24"/>
          <w:szCs w:val="24"/>
        </w:rPr>
        <w:t xml:space="preserve">, United States District Court Judge Orelia E. Merchant, U.S. District Court for Eastern District of New York, granted the defense motion to dismiss; she was fired for not completing protocol updated course by Dec. 29, 2020.  Her claims of gender and racial discrimination, retaliation, and hostile work environment dismissed – including  claim that there was a hostile workplace when her Supervisor on December 23, </w:t>
      </w:r>
      <w:proofErr w:type="gramStart"/>
      <w:r w:rsidRPr="0089221B">
        <w:rPr>
          <w:rFonts w:ascii="Times New Roman" w:hAnsi="Times New Roman"/>
          <w:sz w:val="24"/>
          <w:szCs w:val="24"/>
        </w:rPr>
        <w:t>2020</w:t>
      </w:r>
      <w:proofErr w:type="gramEnd"/>
      <w:r w:rsidRPr="0089221B">
        <w:rPr>
          <w:rFonts w:ascii="Times New Roman" w:hAnsi="Times New Roman"/>
          <w:sz w:val="24"/>
          <w:szCs w:val="24"/>
        </w:rPr>
        <w:t xml:space="preserve"> ordered to take off her work jacket to confirm she was not wearing uniform shirt.  She had on “low cut” tee shirt.  </w:t>
      </w:r>
      <w:hyperlink r:id="rId1359" w:history="1">
        <w:r w:rsidRPr="0089221B">
          <w:rPr>
            <w:rStyle w:val="Hyperlink"/>
            <w:rFonts w:ascii="Times New Roman" w:hAnsi="Times New Roman"/>
            <w:sz w:val="24"/>
            <w:szCs w:val="24"/>
          </w:rPr>
          <w:t>https://cases.justia.com/federal/district-courts/new-york/nyedce/1:2023cv09066/507538/25/0.pdf?ts=1739862975%20https://media.cadc.uscourts.gov/orders/docs/2025/02/25-5028LDSD.pdf</w:t>
        </w:r>
      </w:hyperlink>
      <w:r w:rsidRPr="0089221B">
        <w:rPr>
          <w:rFonts w:ascii="Times New Roman" w:hAnsi="Times New Roman"/>
          <w:sz w:val="24"/>
          <w:szCs w:val="24"/>
        </w:rPr>
        <w:t xml:space="preserve"> </w:t>
      </w:r>
    </w:p>
    <w:p w14:paraId="67488A11" w14:textId="77777777" w:rsidR="0089221B" w:rsidRPr="0089221B" w:rsidRDefault="0089221B" w:rsidP="0089221B">
      <w:pPr>
        <w:rPr>
          <w:rFonts w:ascii="Times New Roman" w:hAnsi="Times New Roman"/>
          <w:sz w:val="24"/>
          <w:szCs w:val="24"/>
        </w:rPr>
      </w:pPr>
      <w:r w:rsidRPr="0089221B">
        <w:rPr>
          <w:rFonts w:ascii="Times New Roman" w:hAnsi="Times New Roman"/>
          <w:sz w:val="24"/>
          <w:szCs w:val="24"/>
        </w:rPr>
        <w:t>The Court wrote:</w:t>
      </w:r>
    </w:p>
    <w:p w14:paraId="64E58B9C" w14:textId="77777777" w:rsidR="0089221B" w:rsidRPr="0089221B" w:rsidRDefault="0089221B" w:rsidP="0089221B">
      <w:pPr>
        <w:pStyle w:val="NoSpacing"/>
        <w:ind w:firstLine="720"/>
        <w:rPr>
          <w:rFonts w:ascii="Times New Roman" w:hAnsi="Times New Roman"/>
          <w:sz w:val="24"/>
          <w:szCs w:val="24"/>
        </w:rPr>
      </w:pPr>
      <w:r w:rsidRPr="0089221B">
        <w:rPr>
          <w:rFonts w:ascii="Times New Roman" w:hAnsi="Times New Roman"/>
          <w:sz w:val="24"/>
          <w:szCs w:val="24"/>
        </w:rPr>
        <w:t>“Plaintiff alleges that, on or about December 23, 2020, she had spilled coffee on her shirt</w:t>
      </w:r>
    </w:p>
    <w:p w14:paraId="5529CCEB" w14:textId="77777777" w:rsidR="0089221B" w:rsidRPr="0089221B" w:rsidRDefault="0089221B" w:rsidP="0089221B">
      <w:pPr>
        <w:pStyle w:val="NoSpacing"/>
        <w:ind w:left="720"/>
        <w:rPr>
          <w:rFonts w:ascii="Times New Roman" w:hAnsi="Times New Roman"/>
          <w:sz w:val="24"/>
          <w:szCs w:val="24"/>
        </w:rPr>
      </w:pPr>
      <w:r w:rsidRPr="0089221B">
        <w:rPr>
          <w:rFonts w:ascii="Times New Roman" w:hAnsi="Times New Roman"/>
          <w:sz w:val="24"/>
          <w:szCs w:val="24"/>
        </w:rPr>
        <w:t xml:space="preserve">on her way to work and that because the shirt was soaked, she removed it…. While Plaintiff was at work, her supervisor Jason Cohen (“Cohen”) asked her whether she was wearing a work uniform shirt under her jacket….Plaintiff was wearing a ‘low-cut’ t-shirt under her jacket, and she responded that she was not wearing a uniform shirt…. She states that Cohen could have seen that she was not wearing her work uniform, but Cohen nonetheless asked that she unzip her jacket so that he could confirm Plaintiff was not wearing a work uniform shirt and ‘insisted [that] she unzip her jacket more so he could see more.… Plaintiff alleges that Cohen asked her to unzip her jacket a ‘third time’ thereby ‘exposing part </w:t>
      </w:r>
      <w:r w:rsidRPr="0089221B">
        <w:rPr>
          <w:rFonts w:ascii="Times New Roman" w:hAnsi="Times New Roman"/>
          <w:sz w:val="24"/>
          <w:szCs w:val="24"/>
        </w:rPr>
        <w:lastRenderedPageBreak/>
        <w:t>of her [upper] breast.’ … Later that day, Plaintiff met with Cohen, Assistant Ambulance employees Carey Peguese [and another]…where she was informed that she would be suspended.</w:t>
      </w:r>
    </w:p>
    <w:p w14:paraId="3FA726C4" w14:textId="77777777" w:rsidR="0089221B" w:rsidRPr="0089221B" w:rsidRDefault="0089221B" w:rsidP="0089221B">
      <w:pPr>
        <w:pStyle w:val="NoSpacing"/>
        <w:rPr>
          <w:rFonts w:ascii="Times New Roman" w:hAnsi="Times New Roman"/>
          <w:sz w:val="24"/>
          <w:szCs w:val="24"/>
        </w:rPr>
      </w:pPr>
    </w:p>
    <w:p w14:paraId="0A870D6A" w14:textId="77777777" w:rsidR="0089221B" w:rsidRPr="0089221B" w:rsidRDefault="0089221B" w:rsidP="0089221B">
      <w:pPr>
        <w:pStyle w:val="NoSpacing"/>
        <w:ind w:firstLine="720"/>
        <w:rPr>
          <w:rFonts w:ascii="Times New Roman" w:hAnsi="Times New Roman"/>
          <w:sz w:val="24"/>
          <w:szCs w:val="24"/>
        </w:rPr>
      </w:pPr>
      <w:r w:rsidRPr="0089221B">
        <w:rPr>
          <w:rFonts w:ascii="Times New Roman" w:hAnsi="Times New Roman"/>
          <w:sz w:val="24"/>
          <w:szCs w:val="24"/>
        </w:rPr>
        <w:t>***</w:t>
      </w:r>
    </w:p>
    <w:p w14:paraId="7A1A57AC" w14:textId="77777777" w:rsidR="0089221B" w:rsidRPr="0089221B" w:rsidRDefault="0089221B" w:rsidP="0089221B">
      <w:pPr>
        <w:pStyle w:val="NoSpacing"/>
        <w:rPr>
          <w:rFonts w:ascii="Times New Roman" w:hAnsi="Times New Roman"/>
          <w:sz w:val="24"/>
          <w:szCs w:val="24"/>
        </w:rPr>
      </w:pPr>
    </w:p>
    <w:p w14:paraId="5FA25C37" w14:textId="77777777" w:rsidR="0089221B" w:rsidRPr="0089221B" w:rsidRDefault="0089221B" w:rsidP="0089221B">
      <w:pPr>
        <w:pStyle w:val="NoSpacing"/>
        <w:ind w:left="720"/>
        <w:rPr>
          <w:rFonts w:ascii="Times New Roman" w:hAnsi="Times New Roman"/>
          <w:sz w:val="24"/>
          <w:szCs w:val="24"/>
        </w:rPr>
      </w:pPr>
      <w:r w:rsidRPr="0089221B">
        <w:rPr>
          <w:rFonts w:ascii="Times New Roman" w:hAnsi="Times New Roman"/>
          <w:sz w:val="24"/>
          <w:szCs w:val="24"/>
        </w:rPr>
        <w:t>Plaintiff asserts a Title VII sex discrimination claim for harassment on numerous occasions, including the December 23, 2020 incident involving Cohen….to state a claim for hostile work environment, a plaintiff must plead facts that would tend to show the complained of conduct: (1) “is objectively severe or pervasive—that it creates an environment that a reasonable person would find hostile or abusive”; (2) creates an</w:t>
      </w:r>
    </w:p>
    <w:p w14:paraId="72B89832" w14:textId="77777777" w:rsidR="0089221B" w:rsidRPr="0089221B" w:rsidRDefault="0089221B" w:rsidP="0089221B">
      <w:pPr>
        <w:pStyle w:val="NoSpacing"/>
        <w:ind w:left="720"/>
        <w:rPr>
          <w:rFonts w:ascii="Times New Roman" w:hAnsi="Times New Roman"/>
          <w:sz w:val="24"/>
          <w:szCs w:val="24"/>
        </w:rPr>
      </w:pPr>
      <w:r w:rsidRPr="0089221B">
        <w:rPr>
          <w:rFonts w:ascii="Times New Roman" w:hAnsi="Times New Roman"/>
          <w:sz w:val="24"/>
          <w:szCs w:val="24"/>
        </w:rPr>
        <w:t>environment “that the plaintiff subjectively perceives as hostile or abusive”; and (3) ‘creates such an environment because of the plaintiff’s sex.’ Patane v. Clark, 508 F.3d 106, 113 (2d Cir. 2007) (citing Gregory v. Daly, 243 F.3d 687, 691–92 (2d Cir. 2001)) (cleaned up).”</w:t>
      </w:r>
    </w:p>
    <w:p w14:paraId="2EB3BDC9" w14:textId="77777777" w:rsidR="0089221B" w:rsidRPr="0089221B" w:rsidRDefault="0089221B" w:rsidP="0089221B">
      <w:pPr>
        <w:pStyle w:val="NoSpacing"/>
        <w:rPr>
          <w:rFonts w:ascii="Times New Roman" w:hAnsi="Times New Roman"/>
          <w:sz w:val="24"/>
          <w:szCs w:val="24"/>
        </w:rPr>
      </w:pPr>
    </w:p>
    <w:p w14:paraId="4084992B" w14:textId="77777777" w:rsidR="0089221B" w:rsidRPr="0089221B" w:rsidRDefault="0089221B" w:rsidP="0089221B">
      <w:pPr>
        <w:pStyle w:val="NoSpacing"/>
        <w:rPr>
          <w:rFonts w:ascii="Times New Roman" w:hAnsi="Times New Roman"/>
          <w:b/>
          <w:bCs/>
          <w:sz w:val="24"/>
          <w:szCs w:val="24"/>
        </w:rPr>
      </w:pPr>
      <w:r w:rsidRPr="0089221B">
        <w:rPr>
          <w:rFonts w:ascii="Times New Roman" w:hAnsi="Times New Roman"/>
          <w:b/>
          <w:sz w:val="24"/>
          <w:szCs w:val="24"/>
        </w:rPr>
        <w:t xml:space="preserve">Legal Lesson Learned: Hostile work environment claim based on her wearing tee shirt in place of her work shirt properly dismissed. </w:t>
      </w:r>
    </w:p>
    <w:p w14:paraId="39F4D599" w14:textId="77777777" w:rsidR="0089221B" w:rsidRPr="0089221B" w:rsidRDefault="0089221B" w:rsidP="0089221B">
      <w:pPr>
        <w:pStyle w:val="NoSpacing"/>
        <w:rPr>
          <w:rFonts w:ascii="Times New Roman" w:hAnsi="Times New Roman"/>
          <w:sz w:val="24"/>
          <w:szCs w:val="24"/>
        </w:rPr>
      </w:pPr>
    </w:p>
    <w:p w14:paraId="0C413F07" w14:textId="77777777" w:rsidR="00A84216" w:rsidRPr="0089221B" w:rsidRDefault="00A84216" w:rsidP="00F326E5">
      <w:pPr>
        <w:pStyle w:val="NoSpacing"/>
        <w:rPr>
          <w:rFonts w:ascii="Times New Roman" w:hAnsi="Times New Roman"/>
          <w:b/>
          <w:bCs/>
          <w:sz w:val="24"/>
          <w:szCs w:val="24"/>
        </w:rPr>
      </w:pPr>
    </w:p>
    <w:p w14:paraId="4CAAD10B" w14:textId="77777777" w:rsidR="00A84216" w:rsidRPr="0089221B" w:rsidRDefault="00A84216" w:rsidP="00F326E5">
      <w:pPr>
        <w:pStyle w:val="NoSpacing"/>
        <w:rPr>
          <w:rFonts w:ascii="Times New Roman" w:hAnsi="Times New Roman"/>
          <w:b/>
          <w:bCs/>
          <w:sz w:val="24"/>
          <w:szCs w:val="24"/>
        </w:rPr>
      </w:pPr>
    </w:p>
    <w:p w14:paraId="54E6D1B4" w14:textId="77777777" w:rsidR="00A84216" w:rsidRDefault="00A84216" w:rsidP="00F326E5">
      <w:pPr>
        <w:pStyle w:val="NoSpacing"/>
        <w:rPr>
          <w:rFonts w:ascii="Arial Black" w:hAnsi="Arial Black"/>
          <w:b/>
          <w:bCs/>
          <w:sz w:val="24"/>
          <w:szCs w:val="24"/>
        </w:rPr>
      </w:pPr>
    </w:p>
    <w:p w14:paraId="6455727A" w14:textId="502274C7" w:rsidR="000A5F54" w:rsidRDefault="000A5F54" w:rsidP="00F326E5">
      <w:pPr>
        <w:pStyle w:val="NoSpacing"/>
        <w:rPr>
          <w:rFonts w:ascii="Arial Black" w:hAnsi="Arial Black"/>
          <w:b/>
          <w:bCs/>
          <w:sz w:val="24"/>
          <w:szCs w:val="24"/>
        </w:rPr>
      </w:pPr>
      <w:r>
        <w:rPr>
          <w:rFonts w:ascii="Arial Black" w:hAnsi="Arial Black"/>
          <w:b/>
          <w:bCs/>
          <w:sz w:val="24"/>
          <w:szCs w:val="24"/>
        </w:rPr>
        <w:t>7-71</w:t>
      </w:r>
    </w:p>
    <w:p w14:paraId="697340CA" w14:textId="77777777" w:rsidR="00A84216" w:rsidRDefault="00A84216" w:rsidP="00F326E5">
      <w:pPr>
        <w:pStyle w:val="NoSpacing"/>
        <w:rPr>
          <w:rFonts w:ascii="Arial Black" w:hAnsi="Arial Black"/>
          <w:b/>
          <w:bCs/>
          <w:sz w:val="24"/>
          <w:szCs w:val="24"/>
        </w:rPr>
      </w:pPr>
    </w:p>
    <w:p w14:paraId="0B51A222" w14:textId="77777777" w:rsidR="00A84216" w:rsidRPr="000B7F2C" w:rsidRDefault="00A84216" w:rsidP="00A84216">
      <w:pPr>
        <w:rPr>
          <w:rFonts w:ascii="Arial Black" w:hAnsi="Arial Black"/>
          <w:b/>
          <w:sz w:val="28"/>
          <w:szCs w:val="28"/>
        </w:rPr>
      </w:pPr>
      <w:r w:rsidRPr="000B7F2C">
        <w:rPr>
          <w:rFonts w:ascii="Arial Black" w:hAnsi="Arial Black"/>
          <w:b/>
          <w:sz w:val="28"/>
          <w:szCs w:val="28"/>
        </w:rPr>
        <w:t>VA: NEG JOB REFERENCES – SHE “SWINGER” - NO CASE</w:t>
      </w:r>
    </w:p>
    <w:p w14:paraId="55C5A634" w14:textId="77777777" w:rsidR="00A84216" w:rsidRPr="00A84216" w:rsidRDefault="00A84216" w:rsidP="00A84216">
      <w:pPr>
        <w:rPr>
          <w:rFonts w:ascii="Times New Roman" w:hAnsi="Times New Roman"/>
          <w:sz w:val="24"/>
          <w:szCs w:val="24"/>
        </w:rPr>
      </w:pPr>
      <w:r w:rsidRPr="00A84216">
        <w:rPr>
          <w:rFonts w:ascii="Times New Roman" w:hAnsi="Times New Roman"/>
          <w:sz w:val="24"/>
          <w:szCs w:val="24"/>
        </w:rPr>
        <w:t xml:space="preserve">On Jan. 31, 2025, in </w:t>
      </w:r>
      <w:r w:rsidRPr="00A84216">
        <w:rPr>
          <w:rFonts w:ascii="Times New Roman" w:hAnsi="Times New Roman"/>
          <w:sz w:val="24"/>
          <w:szCs w:val="24"/>
          <w:u w:val="single"/>
        </w:rPr>
        <w:t>Natalie Lundberg v. Delta Response Team, LLC and Thomas Walton</w:t>
      </w:r>
      <w:r w:rsidRPr="00A84216">
        <w:rPr>
          <w:rFonts w:ascii="Times New Roman" w:hAnsi="Times New Roman"/>
          <w:sz w:val="24"/>
          <w:szCs w:val="24"/>
        </w:rPr>
        <w:t xml:space="preserve">, United States District Court Judge Jasmine H. Yoon, U.S. District Court for Western District of Virginia, Charlottesville Division, granted defense motion for summary judgment.  The plaintiff applied to two different municipal fire departments; DRT Vice President Tom Walton told the prospective employers she was a “swinger.” He claimed Lundberg had “a very different view on her private life” and that “her and her fiancé are open swingers and partiers and so forth.” </w:t>
      </w:r>
      <w:hyperlink r:id="rId1360" w:history="1">
        <w:r w:rsidRPr="00A84216">
          <w:rPr>
            <w:rStyle w:val="Hyperlink"/>
            <w:rFonts w:ascii="Times New Roman" w:hAnsi="Times New Roman"/>
            <w:sz w:val="24"/>
            <w:szCs w:val="24"/>
          </w:rPr>
          <w:t>https://casetext.com/case/lundberg-v-delta-response-team-llc-1</w:t>
        </w:r>
      </w:hyperlink>
      <w:r w:rsidRPr="00A84216">
        <w:rPr>
          <w:rFonts w:ascii="Times New Roman" w:hAnsi="Times New Roman"/>
          <w:sz w:val="24"/>
          <w:szCs w:val="24"/>
        </w:rPr>
        <w:t xml:space="preserve"> </w:t>
      </w:r>
    </w:p>
    <w:p w14:paraId="1A85FE09" w14:textId="77777777" w:rsidR="00A84216" w:rsidRPr="00A84216" w:rsidRDefault="00A84216" w:rsidP="00A84216">
      <w:pPr>
        <w:rPr>
          <w:rFonts w:ascii="Times New Roman" w:hAnsi="Times New Roman"/>
          <w:sz w:val="24"/>
          <w:szCs w:val="24"/>
        </w:rPr>
      </w:pPr>
      <w:r w:rsidRPr="00A84216">
        <w:rPr>
          <w:rFonts w:ascii="Times New Roman" w:hAnsi="Times New Roman"/>
          <w:sz w:val="24"/>
          <w:szCs w:val="24"/>
        </w:rPr>
        <w:t>The Court wrote:</w:t>
      </w:r>
    </w:p>
    <w:p w14:paraId="216F7211" w14:textId="77777777" w:rsidR="00A84216" w:rsidRPr="00A84216" w:rsidRDefault="00A84216" w:rsidP="00A84216">
      <w:pPr>
        <w:ind w:left="720"/>
        <w:rPr>
          <w:rFonts w:ascii="Times New Roman" w:hAnsi="Times New Roman"/>
          <w:sz w:val="24"/>
          <w:szCs w:val="24"/>
        </w:rPr>
      </w:pPr>
      <w:r w:rsidRPr="00A84216">
        <w:rPr>
          <w:rFonts w:ascii="Times New Roman" w:hAnsi="Times New Roman"/>
          <w:sz w:val="24"/>
          <w:szCs w:val="24"/>
        </w:rPr>
        <w:t xml:space="preserve">“Lundberg applied to two positions with municipal fire departments in late 2021 and early 2022. In November 2021, she applied to work as a firefighter for the City of Lynchburg Fire Department (‘City of Lynchburg’)…. Following the background check, the City of Lynchburg informed Lundberg that she had not been selected for the position. </w:t>
      </w:r>
    </w:p>
    <w:p w14:paraId="4B77C500" w14:textId="77777777" w:rsidR="00A84216" w:rsidRPr="00A84216" w:rsidRDefault="00A84216" w:rsidP="00A84216">
      <w:pPr>
        <w:ind w:firstLine="720"/>
        <w:rPr>
          <w:rFonts w:ascii="Times New Roman" w:hAnsi="Times New Roman"/>
          <w:sz w:val="24"/>
          <w:szCs w:val="24"/>
        </w:rPr>
      </w:pPr>
      <w:r w:rsidRPr="00A84216">
        <w:rPr>
          <w:rFonts w:ascii="Times New Roman" w:hAnsi="Times New Roman"/>
          <w:sz w:val="24"/>
          <w:szCs w:val="24"/>
        </w:rPr>
        <w:t>***</w:t>
      </w:r>
    </w:p>
    <w:p w14:paraId="4CCD6E23" w14:textId="77777777" w:rsidR="00A84216" w:rsidRPr="00A84216" w:rsidRDefault="00A84216" w:rsidP="00A84216">
      <w:pPr>
        <w:ind w:left="720"/>
        <w:rPr>
          <w:rFonts w:ascii="Times New Roman" w:hAnsi="Times New Roman"/>
          <w:sz w:val="24"/>
          <w:szCs w:val="24"/>
        </w:rPr>
      </w:pPr>
      <w:r w:rsidRPr="00A84216">
        <w:rPr>
          <w:rFonts w:ascii="Times New Roman" w:hAnsi="Times New Roman"/>
          <w:sz w:val="24"/>
          <w:szCs w:val="24"/>
        </w:rPr>
        <w:t>Lundberg next applied for a position with Bedford County Fire and Rescue (“Bedford County”)…. On February 16, 2022, she received and accepted a conditional offer of employment, which was contingent on a background investigation and physical and psychological examinations…. Bedford County's background investigator spoke to Lundberg, Walton, and a couple personal references…. On March 7, 2022, Bedford County informed Lundberg that it was rescinding her conditional offer of employment…. The official who made the decision, Bedford County Fire and Rescue Chief Janet Blankenship, affirmatively states that it was not based on the background investigation report or the information Walton provided to the investigator….Instead, Blankenship explains that her decision was based on the results of Lundberg's psychological health evaluation.</w:t>
      </w:r>
    </w:p>
    <w:p w14:paraId="00070617" w14:textId="77777777" w:rsidR="00A84216" w:rsidRPr="00A84216" w:rsidRDefault="00A84216" w:rsidP="00A84216">
      <w:pPr>
        <w:rPr>
          <w:rFonts w:ascii="Times New Roman" w:hAnsi="Times New Roman"/>
          <w:sz w:val="24"/>
          <w:szCs w:val="24"/>
        </w:rPr>
      </w:pPr>
      <w:r w:rsidRPr="00A84216">
        <w:rPr>
          <w:rFonts w:ascii="Times New Roman" w:hAnsi="Times New Roman"/>
          <w:sz w:val="24"/>
          <w:szCs w:val="24"/>
        </w:rPr>
        <w:lastRenderedPageBreak/>
        <w:tab/>
        <w:t>***</w:t>
      </w:r>
    </w:p>
    <w:p w14:paraId="28815DE0" w14:textId="77777777" w:rsidR="00A84216" w:rsidRPr="00A84216" w:rsidRDefault="00A84216" w:rsidP="00A84216">
      <w:pPr>
        <w:ind w:left="720"/>
        <w:rPr>
          <w:rFonts w:ascii="Times New Roman" w:hAnsi="Times New Roman"/>
          <w:sz w:val="24"/>
          <w:szCs w:val="24"/>
        </w:rPr>
      </w:pPr>
      <w:r w:rsidRPr="00A84216">
        <w:rPr>
          <w:rFonts w:ascii="Times New Roman" w:hAnsi="Times New Roman"/>
          <w:sz w:val="24"/>
          <w:szCs w:val="24"/>
        </w:rPr>
        <w:t xml:space="preserve">With four independent references outright recommending against hiring Lundberg for the position, and one (Millner) sharing even more detailed allegations about her sex life, the record does not support a finding that Walton's comments made the City of Lynchburg less likely to hire her. While Lundberg suggests that Walton is well-known in the first-responder community, that fact does not create a jury question on this issue, particularly when all four references who </w:t>
      </w:r>
      <w:proofErr w:type="gramStart"/>
      <w:r w:rsidRPr="00A84216">
        <w:rPr>
          <w:rFonts w:ascii="Times New Roman" w:hAnsi="Times New Roman"/>
          <w:sz w:val="24"/>
          <w:szCs w:val="24"/>
        </w:rPr>
        <w:t>recommended against</w:t>
      </w:r>
      <w:proofErr w:type="gramEnd"/>
      <w:r w:rsidRPr="00A84216">
        <w:rPr>
          <w:rFonts w:ascii="Times New Roman" w:hAnsi="Times New Roman"/>
          <w:sz w:val="24"/>
          <w:szCs w:val="24"/>
        </w:rPr>
        <w:t xml:space="preserve"> hiring her worked as firefighters for the City of Lynchburg at the time she applied.</w:t>
      </w:r>
    </w:p>
    <w:p w14:paraId="05FB12BA" w14:textId="77777777" w:rsidR="00A84216" w:rsidRPr="00A84216" w:rsidRDefault="00A84216" w:rsidP="00A84216">
      <w:pPr>
        <w:ind w:firstLine="720"/>
        <w:rPr>
          <w:rFonts w:ascii="Times New Roman" w:hAnsi="Times New Roman"/>
          <w:sz w:val="24"/>
          <w:szCs w:val="24"/>
        </w:rPr>
      </w:pPr>
      <w:r w:rsidRPr="00A84216">
        <w:rPr>
          <w:rFonts w:ascii="Times New Roman" w:hAnsi="Times New Roman"/>
          <w:sz w:val="24"/>
          <w:szCs w:val="24"/>
        </w:rPr>
        <w:t>***</w:t>
      </w:r>
    </w:p>
    <w:p w14:paraId="0C0A1B1A" w14:textId="77777777" w:rsidR="00A84216" w:rsidRPr="00A84216" w:rsidRDefault="00A84216" w:rsidP="00A84216">
      <w:pPr>
        <w:ind w:left="720"/>
        <w:rPr>
          <w:rFonts w:ascii="Times New Roman" w:hAnsi="Times New Roman"/>
          <w:sz w:val="24"/>
          <w:szCs w:val="24"/>
        </w:rPr>
      </w:pPr>
      <w:r w:rsidRPr="00A84216">
        <w:rPr>
          <w:rFonts w:ascii="Times New Roman" w:hAnsi="Times New Roman"/>
          <w:sz w:val="24"/>
          <w:szCs w:val="24"/>
        </w:rPr>
        <w:t>In sum, even if an employment reference can support a Title VII discrimination claim when it negatively impacts a job application, there is insufficient evidence that Walton's references had such an impact here. For that reason, the court concludes that Lundberg's disparate-</w:t>
      </w:r>
      <w:proofErr w:type="gramStart"/>
      <w:r w:rsidRPr="00A84216">
        <w:rPr>
          <w:rFonts w:ascii="Times New Roman" w:hAnsi="Times New Roman"/>
          <w:sz w:val="24"/>
          <w:szCs w:val="24"/>
        </w:rPr>
        <w:t>treatment discrimination</w:t>
      </w:r>
      <w:proofErr w:type="gramEnd"/>
      <w:r w:rsidRPr="00A84216">
        <w:rPr>
          <w:rFonts w:ascii="Times New Roman" w:hAnsi="Times New Roman"/>
          <w:sz w:val="24"/>
          <w:szCs w:val="24"/>
        </w:rPr>
        <w:t xml:space="preserve"> claims fail as a matter of </w:t>
      </w:r>
      <w:proofErr w:type="gramStart"/>
      <w:r w:rsidRPr="00A84216">
        <w:rPr>
          <w:rFonts w:ascii="Times New Roman" w:hAnsi="Times New Roman"/>
          <w:sz w:val="24"/>
          <w:szCs w:val="24"/>
        </w:rPr>
        <w:t>law.”</w:t>
      </w:r>
      <w:proofErr w:type="gramEnd"/>
    </w:p>
    <w:p w14:paraId="7ABE6A64" w14:textId="77777777" w:rsidR="00A84216" w:rsidRPr="00A84216" w:rsidRDefault="00A84216" w:rsidP="00A84216">
      <w:pPr>
        <w:rPr>
          <w:rFonts w:ascii="Times New Roman" w:hAnsi="Times New Roman"/>
          <w:b/>
          <w:bCs/>
          <w:sz w:val="24"/>
          <w:szCs w:val="24"/>
        </w:rPr>
      </w:pPr>
      <w:r w:rsidRPr="00A84216">
        <w:rPr>
          <w:rFonts w:ascii="Times New Roman" w:hAnsi="Times New Roman"/>
          <w:b/>
          <w:sz w:val="24"/>
          <w:szCs w:val="24"/>
        </w:rPr>
        <w:t>Legal Lesson Learned: Negative job references were from several individuals.</w:t>
      </w:r>
    </w:p>
    <w:p w14:paraId="76047623" w14:textId="77777777" w:rsidR="00A84216" w:rsidRPr="00A84216" w:rsidRDefault="00A84216" w:rsidP="00A84216">
      <w:pPr>
        <w:ind w:left="720"/>
        <w:rPr>
          <w:rFonts w:ascii="Times New Roman" w:hAnsi="Times New Roman"/>
          <w:sz w:val="24"/>
          <w:szCs w:val="24"/>
        </w:rPr>
      </w:pPr>
      <w:r w:rsidRPr="00A84216">
        <w:rPr>
          <w:rFonts w:ascii="Times New Roman" w:hAnsi="Times New Roman"/>
          <w:sz w:val="24"/>
          <w:szCs w:val="24"/>
        </w:rPr>
        <w:t>Note: See Ohio Revised Code: “Section 4113.71 | Immunity of employer as to job performance information disclosures. (B) An employer who is requested by an employee or a prospective employer of an employee to disclose to a prospective employer of that employee information pertaining to the job performance of that employee for the employer and who discloses the requested information to the prospective employer is not liable in damages in a civil action to that employee, the prospective employer, or any other person for any harm sustained as a proximate result of making the disclosure or of any information disclosed, unless the plaintiff in a civil action establishes, either or both of the following:</w:t>
      </w:r>
    </w:p>
    <w:p w14:paraId="243507A4" w14:textId="77777777" w:rsidR="00A84216" w:rsidRPr="00A84216" w:rsidRDefault="00A84216" w:rsidP="00A84216">
      <w:pPr>
        <w:ind w:left="720"/>
        <w:rPr>
          <w:rFonts w:ascii="Times New Roman" w:hAnsi="Times New Roman"/>
          <w:sz w:val="24"/>
          <w:szCs w:val="24"/>
        </w:rPr>
      </w:pPr>
      <w:r w:rsidRPr="00A84216">
        <w:rPr>
          <w:rFonts w:ascii="Times New Roman" w:hAnsi="Times New Roman"/>
          <w:sz w:val="24"/>
          <w:szCs w:val="24"/>
        </w:rPr>
        <w:t xml:space="preserve">(1) By a preponderance of the evidence that the employer disclosed </w:t>
      </w:r>
      <w:proofErr w:type="gramStart"/>
      <w:r w:rsidRPr="00A84216">
        <w:rPr>
          <w:rFonts w:ascii="Times New Roman" w:hAnsi="Times New Roman"/>
          <w:sz w:val="24"/>
          <w:szCs w:val="24"/>
        </w:rPr>
        <w:t>particular information</w:t>
      </w:r>
      <w:proofErr w:type="gramEnd"/>
      <w:r w:rsidRPr="00A84216">
        <w:rPr>
          <w:rFonts w:ascii="Times New Roman" w:hAnsi="Times New Roman"/>
          <w:sz w:val="24"/>
          <w:szCs w:val="24"/>
        </w:rPr>
        <w:t xml:space="preserve"> with the knowledge that it was false, with the deliberate intent to mislead the prospective employer or another person, in bad faith, or with malicious purpose;</w:t>
      </w:r>
    </w:p>
    <w:p w14:paraId="2172D9D9" w14:textId="77777777" w:rsidR="00A84216" w:rsidRPr="00A84216" w:rsidRDefault="00A84216" w:rsidP="00A84216">
      <w:pPr>
        <w:ind w:left="720"/>
        <w:rPr>
          <w:rFonts w:ascii="Times New Roman" w:hAnsi="Times New Roman"/>
          <w:sz w:val="24"/>
          <w:szCs w:val="24"/>
        </w:rPr>
      </w:pPr>
      <w:r w:rsidRPr="00A84216">
        <w:rPr>
          <w:rFonts w:ascii="Times New Roman" w:hAnsi="Times New Roman"/>
          <w:sz w:val="24"/>
          <w:szCs w:val="24"/>
        </w:rPr>
        <w:t xml:space="preserve">(2) By a preponderance of the evidence that the disclosure of particular information by the employer constitutes an unlawful discriminatory practice described in section </w:t>
      </w:r>
      <w:hyperlink r:id="rId1361" w:history="1">
        <w:r w:rsidRPr="00A84216">
          <w:rPr>
            <w:rStyle w:val="Hyperlink"/>
            <w:rFonts w:ascii="Times New Roman" w:hAnsi="Times New Roman"/>
            <w:sz w:val="24"/>
            <w:szCs w:val="24"/>
          </w:rPr>
          <w:t>4112.02</w:t>
        </w:r>
      </w:hyperlink>
      <w:r w:rsidRPr="00A84216">
        <w:rPr>
          <w:rFonts w:ascii="Times New Roman" w:hAnsi="Times New Roman"/>
          <w:sz w:val="24"/>
          <w:szCs w:val="24"/>
        </w:rPr>
        <w:t xml:space="preserve">, </w:t>
      </w:r>
      <w:hyperlink r:id="rId1362" w:history="1">
        <w:r w:rsidRPr="00A84216">
          <w:rPr>
            <w:rStyle w:val="Hyperlink"/>
            <w:rFonts w:ascii="Times New Roman" w:hAnsi="Times New Roman"/>
            <w:sz w:val="24"/>
            <w:szCs w:val="24"/>
          </w:rPr>
          <w:t>4112.021</w:t>
        </w:r>
      </w:hyperlink>
      <w:r w:rsidRPr="00A84216">
        <w:rPr>
          <w:rFonts w:ascii="Times New Roman" w:hAnsi="Times New Roman"/>
          <w:sz w:val="24"/>
          <w:szCs w:val="24"/>
        </w:rPr>
        <w:t xml:space="preserve">, or </w:t>
      </w:r>
      <w:hyperlink r:id="rId1363" w:history="1">
        <w:r w:rsidRPr="00A84216">
          <w:rPr>
            <w:rStyle w:val="Hyperlink"/>
            <w:rFonts w:ascii="Times New Roman" w:hAnsi="Times New Roman"/>
            <w:sz w:val="24"/>
            <w:szCs w:val="24"/>
          </w:rPr>
          <w:t>4112.022</w:t>
        </w:r>
      </w:hyperlink>
      <w:r w:rsidRPr="00A84216">
        <w:rPr>
          <w:rFonts w:ascii="Times New Roman" w:hAnsi="Times New Roman"/>
          <w:sz w:val="24"/>
          <w:szCs w:val="24"/>
        </w:rPr>
        <w:t xml:space="preserve"> of the Revised Code.” </w:t>
      </w:r>
      <w:hyperlink r:id="rId1364" w:history="1">
        <w:r w:rsidRPr="00A84216">
          <w:rPr>
            <w:rStyle w:val="Hyperlink"/>
            <w:rFonts w:ascii="Times New Roman" w:hAnsi="Times New Roman"/>
            <w:sz w:val="24"/>
            <w:szCs w:val="24"/>
          </w:rPr>
          <w:t>https://codes.ohio.gov/ohio-revised-code/section-4113.71</w:t>
        </w:r>
      </w:hyperlink>
      <w:r w:rsidRPr="00A84216">
        <w:rPr>
          <w:rFonts w:ascii="Times New Roman" w:hAnsi="Times New Roman"/>
          <w:sz w:val="24"/>
          <w:szCs w:val="24"/>
        </w:rPr>
        <w:t xml:space="preserve"> </w:t>
      </w:r>
    </w:p>
    <w:p w14:paraId="0272DB3F" w14:textId="77777777" w:rsidR="00A84216" w:rsidRPr="00A84216" w:rsidRDefault="00A84216" w:rsidP="00F326E5">
      <w:pPr>
        <w:pStyle w:val="NoSpacing"/>
        <w:rPr>
          <w:rFonts w:ascii="Times New Roman" w:hAnsi="Times New Roman"/>
          <w:b/>
          <w:bCs/>
          <w:sz w:val="24"/>
          <w:szCs w:val="24"/>
        </w:rPr>
      </w:pPr>
    </w:p>
    <w:p w14:paraId="01D0CE7D" w14:textId="77777777" w:rsidR="000A5F54" w:rsidRDefault="000A5F54" w:rsidP="00F326E5">
      <w:pPr>
        <w:pStyle w:val="NoSpacing"/>
        <w:rPr>
          <w:rFonts w:ascii="Arial Black" w:hAnsi="Arial Black"/>
          <w:b/>
          <w:bCs/>
          <w:sz w:val="24"/>
          <w:szCs w:val="24"/>
        </w:rPr>
      </w:pPr>
    </w:p>
    <w:p w14:paraId="670F68F9" w14:textId="77777777" w:rsidR="000A5F54" w:rsidRDefault="000A5F54" w:rsidP="00F326E5">
      <w:pPr>
        <w:pStyle w:val="NoSpacing"/>
        <w:rPr>
          <w:rFonts w:ascii="Arial Black" w:hAnsi="Arial Black"/>
          <w:b/>
          <w:bCs/>
          <w:sz w:val="24"/>
          <w:szCs w:val="24"/>
        </w:rPr>
      </w:pPr>
    </w:p>
    <w:p w14:paraId="1B3A9AC6" w14:textId="428E458F" w:rsidR="00B83DEF" w:rsidRDefault="006905F6" w:rsidP="00F326E5">
      <w:pPr>
        <w:pStyle w:val="NoSpacing"/>
        <w:rPr>
          <w:rFonts w:ascii="Arial Black" w:hAnsi="Arial Black"/>
          <w:b/>
          <w:bCs/>
          <w:sz w:val="24"/>
          <w:szCs w:val="24"/>
        </w:rPr>
      </w:pPr>
      <w:r>
        <w:rPr>
          <w:rFonts w:ascii="Arial Black" w:hAnsi="Arial Black"/>
          <w:b/>
          <w:bCs/>
          <w:sz w:val="24"/>
          <w:szCs w:val="24"/>
        </w:rPr>
        <w:t>7-70</w:t>
      </w:r>
    </w:p>
    <w:p w14:paraId="7D7EBA32" w14:textId="77777777" w:rsidR="006905F6" w:rsidRDefault="006905F6" w:rsidP="00F326E5">
      <w:pPr>
        <w:pStyle w:val="NoSpacing"/>
        <w:rPr>
          <w:rFonts w:ascii="Arial Black" w:hAnsi="Arial Black"/>
          <w:b/>
          <w:bCs/>
          <w:sz w:val="24"/>
          <w:szCs w:val="24"/>
        </w:rPr>
      </w:pPr>
    </w:p>
    <w:p w14:paraId="782EF4C2" w14:textId="77777777" w:rsidR="006905F6" w:rsidRPr="00A55556" w:rsidRDefault="006905F6" w:rsidP="006905F6">
      <w:pPr>
        <w:pStyle w:val="NoSpacing"/>
        <w:rPr>
          <w:rFonts w:ascii="Arial Black" w:hAnsi="Arial Black"/>
          <w:sz w:val="28"/>
          <w:szCs w:val="28"/>
        </w:rPr>
      </w:pPr>
      <w:r>
        <w:rPr>
          <w:rFonts w:ascii="Arial Black" w:hAnsi="Arial Black"/>
          <w:sz w:val="28"/>
          <w:szCs w:val="28"/>
        </w:rPr>
        <w:t>DC: GENDER IDENTITY – TRUMP EXEC ORDER – US SUP CT</w:t>
      </w:r>
    </w:p>
    <w:p w14:paraId="3C70AA04" w14:textId="77777777" w:rsidR="006905F6" w:rsidRDefault="006905F6" w:rsidP="006905F6">
      <w:pPr>
        <w:pStyle w:val="NoSpacing"/>
      </w:pPr>
    </w:p>
    <w:p w14:paraId="493738E3" w14:textId="77777777" w:rsidR="006905F6" w:rsidRPr="006905F6" w:rsidRDefault="006905F6" w:rsidP="006905F6">
      <w:pPr>
        <w:pStyle w:val="NoSpacing"/>
        <w:rPr>
          <w:rFonts w:ascii="Times New Roman" w:hAnsi="Times New Roman"/>
          <w:sz w:val="24"/>
          <w:szCs w:val="24"/>
        </w:rPr>
      </w:pPr>
      <w:r w:rsidRPr="006905F6">
        <w:rPr>
          <w:rFonts w:ascii="Times New Roman" w:hAnsi="Times New Roman"/>
          <w:sz w:val="24"/>
          <w:szCs w:val="24"/>
        </w:rPr>
        <w:t xml:space="preserve">Jan. 20, 2025: President Trump’s Executive Order - DEFENDING WOMEN FROM GENDER IDEOLOGY EXTREMISM AND RESTORING BIOLOGICAL TRUTH TO THE FEDERAL GOVERNMENT – can modify federal advice to schools and employers on “single-sex spaces” such as bathrooms.   However,  employers must still follow U.S. Supreme Court’s 2020 decision “making it illegal for an employer to rely on an employee’s sex [gay; trans] when deciding to fire that employee.” </w:t>
      </w:r>
      <w:hyperlink r:id="rId1365" w:history="1">
        <w:r w:rsidRPr="006905F6">
          <w:rPr>
            <w:rStyle w:val="Hyperlink"/>
            <w:rFonts w:ascii="Times New Roman" w:hAnsi="Times New Roman"/>
            <w:sz w:val="24"/>
            <w:szCs w:val="24"/>
          </w:rPr>
          <w:t>uch https://www.whitehouse.gov/presidential-actions/2025/01/defending-women-from-gender-ideology-extremism-</w:t>
        </w:r>
        <w:r w:rsidRPr="006905F6">
          <w:rPr>
            <w:rStyle w:val="Hyperlink"/>
            <w:rFonts w:ascii="Times New Roman" w:hAnsi="Times New Roman"/>
            <w:sz w:val="24"/>
            <w:szCs w:val="24"/>
          </w:rPr>
          <w:lastRenderedPageBreak/>
          <w:t>and-restoring-biological-truth-to-the-federal-government/?utm_medium=email&amp;utm_source=web_app&amp;utm_campaign=digest</w:t>
        </w:r>
      </w:hyperlink>
    </w:p>
    <w:p w14:paraId="668E49B5" w14:textId="77777777" w:rsidR="006905F6" w:rsidRPr="006905F6" w:rsidRDefault="006905F6" w:rsidP="006905F6">
      <w:pPr>
        <w:pStyle w:val="NoSpacing"/>
        <w:rPr>
          <w:rFonts w:ascii="Times New Roman" w:hAnsi="Times New Roman"/>
          <w:sz w:val="24"/>
          <w:szCs w:val="24"/>
        </w:rPr>
      </w:pPr>
    </w:p>
    <w:p w14:paraId="7BAE9E82" w14:textId="77777777" w:rsidR="006905F6" w:rsidRPr="006905F6" w:rsidRDefault="006905F6" w:rsidP="006905F6">
      <w:pPr>
        <w:pStyle w:val="NoSpacing"/>
        <w:rPr>
          <w:rFonts w:ascii="Times New Roman" w:hAnsi="Times New Roman"/>
          <w:sz w:val="24"/>
          <w:szCs w:val="24"/>
        </w:rPr>
      </w:pPr>
      <w:r w:rsidRPr="006905F6">
        <w:rPr>
          <w:rFonts w:ascii="Times New Roman" w:hAnsi="Times New Roman"/>
          <w:sz w:val="24"/>
          <w:szCs w:val="24"/>
        </w:rPr>
        <w:t xml:space="preserve">Executive Order includes the following: </w:t>
      </w:r>
    </w:p>
    <w:p w14:paraId="7503E7CB" w14:textId="77777777" w:rsidR="006905F6" w:rsidRPr="006905F6" w:rsidRDefault="006905F6" w:rsidP="006905F6">
      <w:pPr>
        <w:pStyle w:val="NoSpacing"/>
        <w:rPr>
          <w:rFonts w:ascii="Times New Roman" w:hAnsi="Times New Roman"/>
          <w:sz w:val="24"/>
          <w:szCs w:val="24"/>
        </w:rPr>
      </w:pPr>
    </w:p>
    <w:p w14:paraId="31E05FA4" w14:textId="77777777" w:rsidR="006905F6" w:rsidRPr="006905F6" w:rsidRDefault="006905F6" w:rsidP="006905F6">
      <w:pPr>
        <w:pStyle w:val="NoSpacing"/>
        <w:ind w:left="720"/>
        <w:rPr>
          <w:rFonts w:ascii="Times New Roman" w:hAnsi="Times New Roman"/>
          <w:sz w:val="24"/>
          <w:szCs w:val="24"/>
        </w:rPr>
      </w:pPr>
      <w:r w:rsidRPr="006905F6">
        <w:rPr>
          <w:rFonts w:ascii="Times New Roman" w:hAnsi="Times New Roman"/>
          <w:sz w:val="24"/>
          <w:szCs w:val="24"/>
        </w:rPr>
        <w:t>“The prior Administration argued that the Supreme Court’s decision in </w:t>
      </w:r>
      <w:r w:rsidRPr="006905F6">
        <w:rPr>
          <w:rFonts w:ascii="Times New Roman" w:hAnsi="Times New Roman"/>
          <w:i/>
          <w:iCs/>
          <w:sz w:val="24"/>
          <w:szCs w:val="24"/>
        </w:rPr>
        <w:t>Bostock v. Clayton County</w:t>
      </w:r>
      <w:r w:rsidRPr="006905F6">
        <w:rPr>
          <w:rFonts w:ascii="Times New Roman" w:hAnsi="Times New Roman"/>
          <w:sz w:val="24"/>
          <w:szCs w:val="24"/>
        </w:rPr>
        <w:t> (2020), which addressed Title VII of the Civil Rights Act of 1964, requires gender identity-based access to single-sex spaces under, for example, Title IX of the Educational Amendments Act.  This position is legally untenable and has harmed women.  The Attorney General shall therefore immediately issue guidance to agencies to correct the misapplication of the Supreme Court’s decision in </w:t>
      </w:r>
      <w:r w:rsidRPr="006905F6">
        <w:rPr>
          <w:rFonts w:ascii="Times New Roman" w:hAnsi="Times New Roman"/>
          <w:i/>
          <w:iCs/>
          <w:sz w:val="24"/>
          <w:szCs w:val="24"/>
        </w:rPr>
        <w:t>Bostock v. Clayton County</w:t>
      </w:r>
      <w:r w:rsidRPr="006905F6">
        <w:rPr>
          <w:rFonts w:ascii="Times New Roman" w:hAnsi="Times New Roman"/>
          <w:sz w:val="24"/>
          <w:szCs w:val="24"/>
        </w:rPr>
        <w:t xml:space="preserve"> (2020) to sex-based distinctions in agency activities.  In addition, the Attorney General shall issue guidance and assist agencies in protecting sex-based distinctions, which are explicitly permitted under Constitutional and statutory precedent. </w:t>
      </w:r>
    </w:p>
    <w:p w14:paraId="07C1EB07" w14:textId="77777777" w:rsidR="006905F6" w:rsidRPr="006905F6" w:rsidRDefault="006905F6" w:rsidP="006905F6">
      <w:pPr>
        <w:pStyle w:val="NoSpacing"/>
        <w:rPr>
          <w:rFonts w:ascii="Times New Roman" w:hAnsi="Times New Roman"/>
          <w:sz w:val="24"/>
          <w:szCs w:val="24"/>
        </w:rPr>
      </w:pPr>
    </w:p>
    <w:p w14:paraId="356213DB" w14:textId="77777777" w:rsidR="006905F6" w:rsidRPr="006905F6" w:rsidRDefault="006905F6" w:rsidP="006905F6">
      <w:pPr>
        <w:pStyle w:val="NoSpacing"/>
        <w:rPr>
          <w:rFonts w:ascii="Times New Roman" w:hAnsi="Times New Roman"/>
          <w:sz w:val="24"/>
          <w:szCs w:val="24"/>
        </w:rPr>
      </w:pPr>
      <w:r w:rsidRPr="006905F6">
        <w:rPr>
          <w:rFonts w:ascii="Times New Roman" w:hAnsi="Times New Roman"/>
          <w:sz w:val="24"/>
          <w:szCs w:val="24"/>
        </w:rPr>
        <w:t xml:space="preserve">The U.S. Supreme Court in </w:t>
      </w:r>
      <w:r w:rsidRPr="006905F6">
        <w:rPr>
          <w:rFonts w:ascii="Times New Roman" w:hAnsi="Times New Roman"/>
          <w:sz w:val="24"/>
          <w:szCs w:val="24"/>
          <w:u w:val="single"/>
        </w:rPr>
        <w:t>Bostock v. Clayton County</w:t>
      </w:r>
      <w:r w:rsidRPr="006905F6">
        <w:rPr>
          <w:rFonts w:ascii="Times New Roman" w:hAnsi="Times New Roman"/>
          <w:sz w:val="24"/>
          <w:szCs w:val="24"/>
        </w:rPr>
        <w:t xml:space="preserve">, on June 15, </w:t>
      </w:r>
      <w:proofErr w:type="gramStart"/>
      <w:r w:rsidRPr="006905F6">
        <w:rPr>
          <w:rFonts w:ascii="Times New Roman" w:hAnsi="Times New Roman"/>
          <w:sz w:val="24"/>
          <w:szCs w:val="24"/>
        </w:rPr>
        <w:t>2020</w:t>
      </w:r>
      <w:proofErr w:type="gramEnd"/>
      <w:r w:rsidRPr="006905F6">
        <w:rPr>
          <w:rFonts w:ascii="Times New Roman" w:hAnsi="Times New Roman"/>
          <w:sz w:val="24"/>
          <w:szCs w:val="24"/>
        </w:rPr>
        <w:t xml:space="preserve"> held (6 to 3; majority opinion by Justice Neil Gorsuch):  </w:t>
      </w:r>
    </w:p>
    <w:p w14:paraId="0EA087C3" w14:textId="77777777" w:rsidR="006905F6" w:rsidRPr="006905F6" w:rsidRDefault="006905F6" w:rsidP="006905F6">
      <w:pPr>
        <w:pStyle w:val="NoSpacing"/>
        <w:rPr>
          <w:rFonts w:ascii="Times New Roman" w:hAnsi="Times New Roman"/>
          <w:sz w:val="24"/>
          <w:szCs w:val="24"/>
        </w:rPr>
      </w:pPr>
    </w:p>
    <w:p w14:paraId="3F84F717" w14:textId="77777777" w:rsidR="006905F6" w:rsidRPr="006905F6" w:rsidRDefault="006905F6" w:rsidP="006905F6">
      <w:pPr>
        <w:pStyle w:val="NoSpacing"/>
        <w:ind w:left="720"/>
        <w:rPr>
          <w:rFonts w:ascii="Times New Roman" w:hAnsi="Times New Roman"/>
          <w:sz w:val="24"/>
          <w:szCs w:val="24"/>
        </w:rPr>
      </w:pPr>
      <w:r w:rsidRPr="006905F6">
        <w:rPr>
          <w:rFonts w:ascii="Times New Roman" w:hAnsi="Times New Roman"/>
          <w:sz w:val="24"/>
          <w:szCs w:val="24"/>
        </w:rPr>
        <w:t xml:space="preserve">“Today, we must decide whether an employer can fire someone simply for being homosexual or transgender. The answer is clear. An employer who fires an individual for being homosexual or transgender fires that person for traits or actions it would not have questioned in members of a different sex. Sex plays a necessary and undisguisable role in the decision, exactly what Title VII forbids.” </w:t>
      </w:r>
      <w:hyperlink r:id="rId1366" w:history="1">
        <w:r w:rsidRPr="006905F6">
          <w:rPr>
            <w:rStyle w:val="Hyperlink"/>
            <w:rFonts w:ascii="Times New Roman" w:hAnsi="Times New Roman"/>
            <w:sz w:val="24"/>
            <w:szCs w:val="24"/>
          </w:rPr>
          <w:t>https://www.supremecourt.gov/opinions/19pdf/17-1618_hfci.pdf</w:t>
        </w:r>
      </w:hyperlink>
      <w:r w:rsidRPr="006905F6">
        <w:rPr>
          <w:rFonts w:ascii="Times New Roman" w:hAnsi="Times New Roman"/>
          <w:sz w:val="24"/>
          <w:szCs w:val="24"/>
        </w:rPr>
        <w:t xml:space="preserve"> </w:t>
      </w:r>
    </w:p>
    <w:p w14:paraId="6B08107C" w14:textId="77777777" w:rsidR="006905F6" w:rsidRPr="006905F6" w:rsidRDefault="006905F6" w:rsidP="006905F6">
      <w:pPr>
        <w:pStyle w:val="NoSpacing"/>
        <w:rPr>
          <w:rFonts w:ascii="Times New Roman" w:hAnsi="Times New Roman"/>
          <w:sz w:val="24"/>
          <w:szCs w:val="24"/>
        </w:rPr>
      </w:pPr>
    </w:p>
    <w:p w14:paraId="2F6D4ACD" w14:textId="77777777" w:rsidR="006905F6" w:rsidRPr="006905F6" w:rsidRDefault="006905F6" w:rsidP="006905F6">
      <w:pPr>
        <w:pStyle w:val="NoSpacing"/>
        <w:rPr>
          <w:rFonts w:ascii="Times New Roman" w:hAnsi="Times New Roman"/>
          <w:sz w:val="24"/>
          <w:szCs w:val="24"/>
        </w:rPr>
      </w:pPr>
      <w:r w:rsidRPr="006905F6">
        <w:rPr>
          <w:rFonts w:ascii="Times New Roman" w:hAnsi="Times New Roman"/>
          <w:sz w:val="24"/>
          <w:szCs w:val="24"/>
        </w:rPr>
        <w:t xml:space="preserve">Justice Gorsuch reviewed three cases where employees were fired: </w:t>
      </w:r>
    </w:p>
    <w:p w14:paraId="0EDB67BA" w14:textId="77777777" w:rsidR="006905F6" w:rsidRPr="006905F6" w:rsidRDefault="006905F6" w:rsidP="006905F6">
      <w:pPr>
        <w:pStyle w:val="NoSpacing"/>
        <w:rPr>
          <w:rFonts w:ascii="Times New Roman" w:hAnsi="Times New Roman"/>
          <w:sz w:val="24"/>
          <w:szCs w:val="24"/>
        </w:rPr>
      </w:pPr>
    </w:p>
    <w:p w14:paraId="12270877" w14:textId="77777777" w:rsidR="006905F6" w:rsidRPr="006905F6" w:rsidRDefault="006905F6" w:rsidP="006905F6">
      <w:pPr>
        <w:pStyle w:val="NoSpacing"/>
        <w:ind w:left="720"/>
        <w:rPr>
          <w:rFonts w:ascii="Times New Roman" w:hAnsi="Times New Roman"/>
          <w:sz w:val="24"/>
          <w:szCs w:val="24"/>
        </w:rPr>
      </w:pPr>
      <w:r w:rsidRPr="006905F6">
        <w:rPr>
          <w:rFonts w:ascii="Times New Roman" w:hAnsi="Times New Roman"/>
          <w:sz w:val="24"/>
          <w:szCs w:val="24"/>
        </w:rPr>
        <w:t>“Few facts are needed to appreciate the legal question we face. Each of the three cases before us started the same way: An employer fired a long-time employee shortly after</w:t>
      </w:r>
    </w:p>
    <w:p w14:paraId="7E7C720D" w14:textId="77777777" w:rsidR="006905F6" w:rsidRPr="006905F6" w:rsidRDefault="006905F6" w:rsidP="006905F6">
      <w:pPr>
        <w:pStyle w:val="NoSpacing"/>
        <w:ind w:left="720"/>
        <w:rPr>
          <w:rFonts w:ascii="Times New Roman" w:hAnsi="Times New Roman"/>
          <w:sz w:val="24"/>
          <w:szCs w:val="24"/>
        </w:rPr>
      </w:pPr>
      <w:r w:rsidRPr="006905F6">
        <w:rPr>
          <w:rFonts w:ascii="Times New Roman" w:hAnsi="Times New Roman"/>
          <w:sz w:val="24"/>
          <w:szCs w:val="24"/>
        </w:rPr>
        <w:t>the employee revealed that he or she is homosexual or transgender—and allegedly for no reason other than the employee’s homosexuality or transgender status.</w:t>
      </w:r>
    </w:p>
    <w:p w14:paraId="07305F1A" w14:textId="77777777" w:rsidR="006905F6" w:rsidRPr="006905F6" w:rsidRDefault="006905F6" w:rsidP="006905F6">
      <w:pPr>
        <w:pStyle w:val="NoSpacing"/>
        <w:ind w:left="720"/>
        <w:rPr>
          <w:rFonts w:ascii="Times New Roman" w:hAnsi="Times New Roman"/>
          <w:sz w:val="24"/>
          <w:szCs w:val="24"/>
        </w:rPr>
      </w:pPr>
    </w:p>
    <w:p w14:paraId="65BD1E04" w14:textId="77777777" w:rsidR="006905F6" w:rsidRPr="006905F6" w:rsidRDefault="006905F6" w:rsidP="006905F6">
      <w:pPr>
        <w:pStyle w:val="NoSpacing"/>
        <w:ind w:left="720"/>
        <w:rPr>
          <w:rFonts w:ascii="Times New Roman" w:hAnsi="Times New Roman"/>
          <w:sz w:val="24"/>
          <w:szCs w:val="24"/>
        </w:rPr>
      </w:pPr>
      <w:r w:rsidRPr="006905F6">
        <w:rPr>
          <w:rFonts w:ascii="Times New Roman" w:hAnsi="Times New Roman"/>
          <w:sz w:val="24"/>
          <w:szCs w:val="24"/>
        </w:rPr>
        <w:t>[1] Gerald Bostock worked for Clayton County, Georgia, as a child welfare advocate. Under his leadership, the county won national awards for its work. After a decade with the county, Mr. Bostock began participating in a gay recreational softball league. Not long after that, influential members of the community allegedly made disparaging comments about Mr. Bostock’s sexual orientation and participation in the league. Soon, he was fired for conduct ‘unbecoming’ a county employee.</w:t>
      </w:r>
    </w:p>
    <w:p w14:paraId="23357ACA" w14:textId="77777777" w:rsidR="006905F6" w:rsidRPr="006905F6" w:rsidRDefault="006905F6" w:rsidP="006905F6">
      <w:pPr>
        <w:pStyle w:val="NoSpacing"/>
        <w:ind w:left="720"/>
        <w:rPr>
          <w:rFonts w:ascii="Times New Roman" w:hAnsi="Times New Roman"/>
          <w:sz w:val="24"/>
          <w:szCs w:val="24"/>
        </w:rPr>
      </w:pPr>
    </w:p>
    <w:p w14:paraId="55B44A1C" w14:textId="77777777" w:rsidR="006905F6" w:rsidRPr="006905F6" w:rsidRDefault="006905F6" w:rsidP="006905F6">
      <w:pPr>
        <w:pStyle w:val="NoSpacing"/>
        <w:ind w:left="720"/>
        <w:rPr>
          <w:rFonts w:ascii="Times New Roman" w:hAnsi="Times New Roman"/>
          <w:sz w:val="24"/>
          <w:szCs w:val="24"/>
        </w:rPr>
      </w:pPr>
      <w:r w:rsidRPr="006905F6">
        <w:rPr>
          <w:rFonts w:ascii="Times New Roman" w:hAnsi="Times New Roman"/>
          <w:sz w:val="24"/>
          <w:szCs w:val="24"/>
        </w:rPr>
        <w:t>[2] Donald Zarda worked as a skydiving instructor at Altitude Express in New York. After several seasons with the company, Mr. Zarda mentioned that he was gay and, days later, was fired.</w:t>
      </w:r>
    </w:p>
    <w:p w14:paraId="008BECE4" w14:textId="77777777" w:rsidR="006905F6" w:rsidRPr="006905F6" w:rsidRDefault="006905F6" w:rsidP="006905F6">
      <w:pPr>
        <w:pStyle w:val="NoSpacing"/>
        <w:ind w:left="720"/>
        <w:rPr>
          <w:rFonts w:ascii="Times New Roman" w:hAnsi="Times New Roman"/>
          <w:sz w:val="24"/>
          <w:szCs w:val="24"/>
        </w:rPr>
      </w:pPr>
    </w:p>
    <w:p w14:paraId="130B9CB4" w14:textId="77777777" w:rsidR="006905F6" w:rsidRPr="006905F6" w:rsidRDefault="006905F6" w:rsidP="006905F6">
      <w:pPr>
        <w:pStyle w:val="NoSpacing"/>
        <w:ind w:left="720"/>
        <w:rPr>
          <w:rFonts w:ascii="Times New Roman" w:hAnsi="Times New Roman"/>
          <w:sz w:val="24"/>
          <w:szCs w:val="24"/>
        </w:rPr>
      </w:pPr>
      <w:r w:rsidRPr="006905F6">
        <w:rPr>
          <w:rFonts w:ascii="Times New Roman" w:hAnsi="Times New Roman"/>
          <w:sz w:val="24"/>
          <w:szCs w:val="24"/>
        </w:rPr>
        <w:t xml:space="preserve">[3] Aimee Stephens worked at R. G. &amp; G. R. Harris Funeral Homes in Garden City, Michigan. When she got the job, Ms. Stephens presented as a male. </w:t>
      </w:r>
      <w:proofErr w:type="gramStart"/>
      <w:r w:rsidRPr="006905F6">
        <w:rPr>
          <w:rFonts w:ascii="Times New Roman" w:hAnsi="Times New Roman"/>
          <w:sz w:val="24"/>
          <w:szCs w:val="24"/>
        </w:rPr>
        <w:t>But</w:t>
      </w:r>
      <w:proofErr w:type="gramEnd"/>
      <w:r w:rsidRPr="006905F6">
        <w:rPr>
          <w:rFonts w:ascii="Times New Roman" w:hAnsi="Times New Roman"/>
          <w:sz w:val="24"/>
          <w:szCs w:val="24"/>
        </w:rPr>
        <w:t xml:space="preserve"> two years </w:t>
      </w:r>
      <w:proofErr w:type="gramStart"/>
      <w:r w:rsidRPr="006905F6">
        <w:rPr>
          <w:rFonts w:ascii="Times New Roman" w:hAnsi="Times New Roman"/>
          <w:sz w:val="24"/>
          <w:szCs w:val="24"/>
        </w:rPr>
        <w:t>into</w:t>
      </w:r>
      <w:proofErr w:type="gramEnd"/>
      <w:r w:rsidRPr="006905F6">
        <w:rPr>
          <w:rFonts w:ascii="Times New Roman" w:hAnsi="Times New Roman"/>
          <w:sz w:val="24"/>
          <w:szCs w:val="24"/>
        </w:rPr>
        <w:t xml:space="preserve"> her service with the company, she began treatment for despair and loneliness. Ultimately, clinicians diagnosed her with gender dysphoria and recommended that she begin living</w:t>
      </w:r>
    </w:p>
    <w:p w14:paraId="3F876FDF" w14:textId="77777777" w:rsidR="006905F6" w:rsidRPr="006905F6" w:rsidRDefault="006905F6" w:rsidP="006905F6">
      <w:pPr>
        <w:pStyle w:val="NoSpacing"/>
        <w:ind w:left="720"/>
        <w:rPr>
          <w:rFonts w:ascii="Times New Roman" w:hAnsi="Times New Roman"/>
          <w:sz w:val="24"/>
          <w:szCs w:val="24"/>
        </w:rPr>
      </w:pPr>
      <w:r w:rsidRPr="006905F6">
        <w:rPr>
          <w:rFonts w:ascii="Times New Roman" w:hAnsi="Times New Roman"/>
          <w:sz w:val="24"/>
          <w:szCs w:val="24"/>
        </w:rPr>
        <w:t>as a woman. In her sixth year with the company, Ms. Stephens wrote a letter to her employer explaining that she planned to ‘live and work full-time as a woman’ after she</w:t>
      </w:r>
    </w:p>
    <w:p w14:paraId="49DB921E" w14:textId="77777777" w:rsidR="006905F6" w:rsidRPr="006905F6" w:rsidRDefault="006905F6" w:rsidP="006905F6">
      <w:pPr>
        <w:pStyle w:val="NoSpacing"/>
        <w:ind w:left="720"/>
        <w:rPr>
          <w:rFonts w:ascii="Times New Roman" w:hAnsi="Times New Roman"/>
          <w:sz w:val="24"/>
          <w:szCs w:val="24"/>
        </w:rPr>
      </w:pPr>
      <w:r w:rsidRPr="006905F6">
        <w:rPr>
          <w:rFonts w:ascii="Times New Roman" w:hAnsi="Times New Roman"/>
          <w:sz w:val="24"/>
          <w:szCs w:val="24"/>
        </w:rPr>
        <w:t xml:space="preserve">returned from an upcoming vacation. The funeral home fired her before she left, telling her </w:t>
      </w:r>
      <w:proofErr w:type="gramStart"/>
      <w:r w:rsidRPr="006905F6">
        <w:rPr>
          <w:rFonts w:ascii="Times New Roman" w:hAnsi="Times New Roman"/>
          <w:sz w:val="24"/>
          <w:szCs w:val="24"/>
        </w:rPr>
        <w:t>‘this</w:t>
      </w:r>
      <w:proofErr w:type="gramEnd"/>
      <w:r w:rsidRPr="006905F6">
        <w:rPr>
          <w:rFonts w:ascii="Times New Roman" w:hAnsi="Times New Roman"/>
          <w:sz w:val="24"/>
          <w:szCs w:val="24"/>
        </w:rPr>
        <w:t xml:space="preserve"> is not going to work out.’”</w:t>
      </w:r>
    </w:p>
    <w:p w14:paraId="078171CD" w14:textId="77777777" w:rsidR="006905F6" w:rsidRPr="006905F6" w:rsidRDefault="006905F6" w:rsidP="006905F6">
      <w:pPr>
        <w:pStyle w:val="NoSpacing"/>
        <w:ind w:left="720"/>
        <w:rPr>
          <w:rFonts w:ascii="Times New Roman" w:hAnsi="Times New Roman"/>
          <w:sz w:val="24"/>
          <w:szCs w:val="24"/>
        </w:rPr>
      </w:pPr>
    </w:p>
    <w:p w14:paraId="0BF78457" w14:textId="77777777" w:rsidR="006905F6" w:rsidRPr="006905F6" w:rsidRDefault="006905F6" w:rsidP="006905F6">
      <w:pPr>
        <w:pStyle w:val="NoSpacing"/>
        <w:rPr>
          <w:rFonts w:ascii="Times New Roman" w:hAnsi="Times New Roman"/>
          <w:b/>
          <w:bCs/>
          <w:sz w:val="24"/>
          <w:szCs w:val="24"/>
        </w:rPr>
      </w:pPr>
      <w:r w:rsidRPr="006905F6">
        <w:rPr>
          <w:rFonts w:ascii="Times New Roman" w:hAnsi="Times New Roman"/>
          <w:b/>
          <w:sz w:val="24"/>
          <w:szCs w:val="24"/>
        </w:rPr>
        <w:t xml:space="preserve">Legal Lesson Learned:  The U.S. Supreme Court decision in </w:t>
      </w:r>
      <w:r w:rsidRPr="006905F6">
        <w:rPr>
          <w:rFonts w:ascii="Times New Roman" w:hAnsi="Times New Roman"/>
          <w:b/>
          <w:sz w:val="24"/>
          <w:szCs w:val="24"/>
          <w:u w:val="single"/>
        </w:rPr>
        <w:t>Bostock</w:t>
      </w:r>
      <w:r w:rsidRPr="006905F6">
        <w:rPr>
          <w:rFonts w:ascii="Times New Roman" w:hAnsi="Times New Roman"/>
          <w:b/>
          <w:sz w:val="24"/>
          <w:szCs w:val="24"/>
        </w:rPr>
        <w:t xml:space="preserve"> still applies to all employers, including Fire &amp; EMS.  As the Court wrote: “An employer who fires an individual merely for being gay or transgender defies the law.”</w:t>
      </w:r>
    </w:p>
    <w:p w14:paraId="572D1943" w14:textId="77777777" w:rsidR="006905F6" w:rsidRPr="006905F6" w:rsidRDefault="006905F6" w:rsidP="00F326E5">
      <w:pPr>
        <w:pStyle w:val="NoSpacing"/>
        <w:rPr>
          <w:rFonts w:ascii="Times New Roman" w:hAnsi="Times New Roman"/>
          <w:b/>
          <w:bCs/>
          <w:sz w:val="24"/>
          <w:szCs w:val="24"/>
        </w:rPr>
      </w:pPr>
    </w:p>
    <w:p w14:paraId="5074DBC0" w14:textId="77777777" w:rsidR="00B83DEF" w:rsidRDefault="00B83DEF" w:rsidP="00F326E5">
      <w:pPr>
        <w:pStyle w:val="NoSpacing"/>
        <w:rPr>
          <w:rFonts w:ascii="Arial Black" w:hAnsi="Arial Black"/>
          <w:b/>
          <w:bCs/>
          <w:sz w:val="24"/>
          <w:szCs w:val="24"/>
        </w:rPr>
      </w:pPr>
    </w:p>
    <w:p w14:paraId="7FFFE95B" w14:textId="77777777" w:rsidR="00B83DEF" w:rsidRDefault="00B83DEF" w:rsidP="00F326E5">
      <w:pPr>
        <w:pStyle w:val="NoSpacing"/>
        <w:rPr>
          <w:rFonts w:ascii="Arial Black" w:hAnsi="Arial Black"/>
          <w:b/>
          <w:bCs/>
          <w:sz w:val="24"/>
          <w:szCs w:val="24"/>
        </w:rPr>
      </w:pPr>
    </w:p>
    <w:p w14:paraId="477961CE" w14:textId="2E1F40A6" w:rsidR="00AE2F67" w:rsidRDefault="00AB6ADC" w:rsidP="00F326E5">
      <w:pPr>
        <w:pStyle w:val="NoSpacing"/>
        <w:rPr>
          <w:rFonts w:ascii="Arial Black" w:hAnsi="Arial Black"/>
          <w:b/>
          <w:bCs/>
          <w:sz w:val="24"/>
          <w:szCs w:val="24"/>
        </w:rPr>
      </w:pPr>
      <w:r>
        <w:rPr>
          <w:rFonts w:ascii="Arial Black" w:hAnsi="Arial Black"/>
          <w:b/>
          <w:bCs/>
          <w:sz w:val="24"/>
          <w:szCs w:val="24"/>
        </w:rPr>
        <w:t>7-69</w:t>
      </w:r>
    </w:p>
    <w:p w14:paraId="3FA53D05" w14:textId="77777777" w:rsidR="00AB6ADC" w:rsidRDefault="00AB6ADC" w:rsidP="00F326E5">
      <w:pPr>
        <w:pStyle w:val="NoSpacing"/>
        <w:rPr>
          <w:rFonts w:ascii="Arial Black" w:hAnsi="Arial Black"/>
          <w:b/>
          <w:bCs/>
          <w:sz w:val="24"/>
          <w:szCs w:val="24"/>
        </w:rPr>
      </w:pPr>
    </w:p>
    <w:p w14:paraId="67065B1E" w14:textId="77777777" w:rsidR="00562ACD" w:rsidRDefault="00562ACD" w:rsidP="00562ACD">
      <w:pPr>
        <w:pStyle w:val="NoSpacing"/>
        <w:rPr>
          <w:rFonts w:ascii="Arial Black" w:hAnsi="Arial Black"/>
          <w:bCs/>
          <w:sz w:val="28"/>
          <w:szCs w:val="28"/>
        </w:rPr>
      </w:pPr>
      <w:r>
        <w:rPr>
          <w:rFonts w:ascii="Arial Black" w:hAnsi="Arial Black"/>
          <w:sz w:val="28"/>
          <w:szCs w:val="28"/>
        </w:rPr>
        <w:t xml:space="preserve">MD: FIRED – </w:t>
      </w:r>
      <w:r>
        <w:rPr>
          <w:rFonts w:ascii="Arial Black" w:hAnsi="Arial Black"/>
          <w:bCs/>
          <w:sz w:val="28"/>
          <w:szCs w:val="28"/>
        </w:rPr>
        <w:t xml:space="preserve">VOTE </w:t>
      </w:r>
      <w:r>
        <w:rPr>
          <w:rFonts w:ascii="Arial Black" w:hAnsi="Arial Black"/>
          <w:sz w:val="28"/>
          <w:szCs w:val="28"/>
        </w:rPr>
        <w:t>2</w:t>
      </w:r>
      <w:r>
        <w:rPr>
          <w:rFonts w:ascii="Arial Black" w:hAnsi="Arial Black"/>
          <w:bCs/>
          <w:sz w:val="28"/>
          <w:szCs w:val="28"/>
        </w:rPr>
        <w:t xml:space="preserve">-2, NEW HEARING – NO PENSION </w:t>
      </w:r>
    </w:p>
    <w:p w14:paraId="5E94E49A" w14:textId="77777777" w:rsidR="002C54F5" w:rsidRDefault="002C54F5" w:rsidP="002C54F5">
      <w:pPr>
        <w:pStyle w:val="NoSpacing"/>
        <w:rPr>
          <w:bCs/>
        </w:rPr>
      </w:pPr>
    </w:p>
    <w:p w14:paraId="1C191A39" w14:textId="453AC8AE" w:rsidR="002C54F5" w:rsidRPr="008E38FF" w:rsidRDefault="008E38FF" w:rsidP="002C54F5">
      <w:pPr>
        <w:pStyle w:val="NoSpacing"/>
        <w:rPr>
          <w:rFonts w:ascii="Times New Roman" w:hAnsi="Times New Roman"/>
          <w:bCs/>
          <w:sz w:val="24"/>
          <w:szCs w:val="24"/>
        </w:rPr>
      </w:pPr>
      <w:r w:rsidRPr="008E38FF">
        <w:rPr>
          <w:rFonts w:ascii="Times New Roman" w:hAnsi="Times New Roman"/>
          <w:sz w:val="24"/>
          <w:szCs w:val="24"/>
        </w:rPr>
        <w:t xml:space="preserve">On Dec. 17, 2024, in </w:t>
      </w:r>
      <w:r w:rsidRPr="008E38FF">
        <w:rPr>
          <w:rFonts w:ascii="Times New Roman" w:hAnsi="Times New Roman"/>
          <w:sz w:val="24"/>
          <w:szCs w:val="24"/>
          <w:u w:val="single"/>
        </w:rPr>
        <w:t>Baltimore County, Maryland v. Theodore C. Priester, Jr.</w:t>
      </w:r>
      <w:r w:rsidRPr="008E38FF">
        <w:rPr>
          <w:rFonts w:ascii="Times New Roman" w:hAnsi="Times New Roman"/>
          <w:sz w:val="24"/>
          <w:szCs w:val="24"/>
        </w:rPr>
        <w:t xml:space="preserve">, the Appellate Court of Maryland held (3 to 0; unreported decision) that the now retired Captain is entitled to a new decision (instead of a tie vote of 2 to 2) before the Baltimore County Personnel and Salary Advisory Board  (“PSAB”).  While he is no longer entitled to reinstatement, the Board could decide to award him back pay for time from his termination (May 16, 2013) until he applied for retirement (July 31, 2014).  The case has been through numerous appeals and </w:t>
      </w:r>
      <w:proofErr w:type="gramStart"/>
      <w:r w:rsidRPr="008E38FF">
        <w:rPr>
          <w:rFonts w:ascii="Times New Roman" w:hAnsi="Times New Roman"/>
          <w:sz w:val="24"/>
          <w:szCs w:val="24"/>
        </w:rPr>
        <w:t>remands</w:t>
      </w:r>
      <w:proofErr w:type="gramEnd"/>
      <w:r w:rsidRPr="008E38FF">
        <w:rPr>
          <w:rFonts w:ascii="Times New Roman" w:hAnsi="Times New Roman"/>
          <w:sz w:val="24"/>
          <w:szCs w:val="24"/>
        </w:rPr>
        <w:t xml:space="preserve">, including prior decision </w:t>
      </w:r>
      <w:proofErr w:type="gramStart"/>
      <w:r w:rsidRPr="008E38FF">
        <w:rPr>
          <w:rFonts w:ascii="Times New Roman" w:hAnsi="Times New Roman"/>
          <w:sz w:val="24"/>
          <w:szCs w:val="24"/>
        </w:rPr>
        <w:t>denying</w:t>
      </w:r>
      <w:proofErr w:type="gramEnd"/>
      <w:r w:rsidRPr="008E38FF">
        <w:rPr>
          <w:rFonts w:ascii="Times New Roman" w:hAnsi="Times New Roman"/>
          <w:sz w:val="24"/>
          <w:szCs w:val="24"/>
        </w:rPr>
        <w:t xml:space="preserve"> him a pension.  </w:t>
      </w:r>
      <w:hyperlink r:id="rId1367" w:history="1">
        <w:r w:rsidRPr="008E38FF">
          <w:rPr>
            <w:rStyle w:val="Hyperlink"/>
            <w:rFonts w:ascii="Times New Roman" w:hAnsi="Times New Roman"/>
            <w:sz w:val="24"/>
            <w:szCs w:val="24"/>
          </w:rPr>
          <w:t>https://www.mdcourts.gov/sites/default/files/unreported-opinions/1316s22.pdf</w:t>
        </w:r>
      </w:hyperlink>
    </w:p>
    <w:p w14:paraId="4CDCB126" w14:textId="77777777" w:rsidR="008E38FF" w:rsidRPr="008E38FF" w:rsidRDefault="008E38FF" w:rsidP="002C54F5">
      <w:pPr>
        <w:pStyle w:val="NoSpacing"/>
        <w:rPr>
          <w:rFonts w:ascii="Times New Roman" w:hAnsi="Times New Roman"/>
          <w:sz w:val="24"/>
          <w:szCs w:val="24"/>
        </w:rPr>
      </w:pPr>
    </w:p>
    <w:p w14:paraId="0A0FB92E" w14:textId="4BF9E540" w:rsidR="002C54F5" w:rsidRPr="000A21C0" w:rsidRDefault="002C54F5" w:rsidP="002C54F5">
      <w:pPr>
        <w:pStyle w:val="NoSpacing"/>
        <w:rPr>
          <w:rFonts w:ascii="Times New Roman" w:hAnsi="Times New Roman"/>
          <w:bCs/>
          <w:sz w:val="24"/>
          <w:szCs w:val="24"/>
        </w:rPr>
      </w:pPr>
      <w:r w:rsidRPr="000A21C0">
        <w:rPr>
          <w:rFonts w:ascii="Times New Roman" w:hAnsi="Times New Roman"/>
          <w:sz w:val="24"/>
          <w:szCs w:val="24"/>
        </w:rPr>
        <w:t>The Court wrote:</w:t>
      </w:r>
    </w:p>
    <w:p w14:paraId="183FBD3B" w14:textId="77777777" w:rsidR="002C54F5" w:rsidRPr="000A21C0" w:rsidRDefault="002C54F5" w:rsidP="002C54F5">
      <w:pPr>
        <w:pStyle w:val="NoSpacing"/>
        <w:rPr>
          <w:rFonts w:ascii="Times New Roman" w:hAnsi="Times New Roman"/>
          <w:bCs/>
          <w:sz w:val="24"/>
          <w:szCs w:val="24"/>
        </w:rPr>
      </w:pPr>
    </w:p>
    <w:p w14:paraId="604B37A7" w14:textId="77777777" w:rsidR="002C54F5" w:rsidRPr="000A21C0" w:rsidRDefault="002C54F5" w:rsidP="002C54F5">
      <w:pPr>
        <w:pStyle w:val="NoSpacing"/>
        <w:ind w:firstLine="720"/>
        <w:rPr>
          <w:rFonts w:ascii="Times New Roman" w:hAnsi="Times New Roman"/>
          <w:bCs/>
          <w:sz w:val="24"/>
          <w:szCs w:val="24"/>
        </w:rPr>
      </w:pPr>
      <w:r w:rsidRPr="000A21C0">
        <w:rPr>
          <w:rFonts w:ascii="Times New Roman" w:hAnsi="Times New Roman"/>
          <w:sz w:val="24"/>
          <w:szCs w:val="24"/>
        </w:rPr>
        <w:t>“Returning to the appeal before us, we conclude that the circuit court correctly</w:t>
      </w:r>
    </w:p>
    <w:p w14:paraId="40A2FCDA" w14:textId="77777777" w:rsidR="002C54F5" w:rsidRPr="000A21C0" w:rsidRDefault="002C54F5" w:rsidP="002C54F5">
      <w:pPr>
        <w:pStyle w:val="NoSpacing"/>
        <w:ind w:firstLine="720"/>
        <w:rPr>
          <w:rFonts w:ascii="Times New Roman" w:hAnsi="Times New Roman"/>
          <w:bCs/>
          <w:sz w:val="24"/>
          <w:szCs w:val="24"/>
        </w:rPr>
      </w:pPr>
      <w:r w:rsidRPr="000A21C0">
        <w:rPr>
          <w:rFonts w:ascii="Times New Roman" w:hAnsi="Times New Roman"/>
          <w:sz w:val="24"/>
          <w:szCs w:val="24"/>
        </w:rPr>
        <w:t>determined that the PSAB erred in denying Priester’s grievance appeal as moot. Priester’s</w:t>
      </w:r>
    </w:p>
    <w:p w14:paraId="47CB0259" w14:textId="77777777" w:rsidR="002C54F5" w:rsidRPr="000A21C0" w:rsidRDefault="002C54F5" w:rsidP="002C54F5">
      <w:pPr>
        <w:pStyle w:val="NoSpacing"/>
        <w:ind w:firstLine="720"/>
        <w:rPr>
          <w:rFonts w:ascii="Times New Roman" w:hAnsi="Times New Roman"/>
          <w:bCs/>
          <w:sz w:val="24"/>
          <w:szCs w:val="24"/>
        </w:rPr>
      </w:pPr>
      <w:r w:rsidRPr="000A21C0">
        <w:rPr>
          <w:rFonts w:ascii="Times New Roman" w:hAnsi="Times New Roman"/>
          <w:sz w:val="24"/>
          <w:szCs w:val="24"/>
        </w:rPr>
        <w:t>resignation from employment does not preclude him from pursuing a grievance that was</w:t>
      </w:r>
    </w:p>
    <w:p w14:paraId="5225F14A" w14:textId="77777777" w:rsidR="002C54F5" w:rsidRPr="000A21C0" w:rsidRDefault="002C54F5" w:rsidP="002C54F5">
      <w:pPr>
        <w:pStyle w:val="NoSpacing"/>
        <w:ind w:left="720"/>
        <w:rPr>
          <w:rFonts w:ascii="Times New Roman" w:hAnsi="Times New Roman"/>
          <w:bCs/>
          <w:sz w:val="24"/>
          <w:szCs w:val="24"/>
        </w:rPr>
      </w:pPr>
      <w:r w:rsidRPr="000A21C0">
        <w:rPr>
          <w:rFonts w:ascii="Times New Roman" w:hAnsi="Times New Roman"/>
          <w:sz w:val="24"/>
          <w:szCs w:val="24"/>
        </w:rPr>
        <w:t xml:space="preserve">properly filed while he was still employed. Neither the plain language of the County Code nor the MOU supports the County’s claim that an employee’s resignation automatically terminates an ongoing grievance process. *** Therefore, even if PSAB could no longer “reinstate” Priester back to his original position under the MOU should it determine that the termination was not justified, it could still award Priester backpay for the period of time between May 16, 2013 (the date of his effective termination) and July 31, 2014 (when Priester filed for retirement)…. On remand, the PSAB may give the parties an opportunity to submit additional evidence for its consideration. Whether this requires </w:t>
      </w:r>
      <w:proofErr w:type="gramStart"/>
      <w:r w:rsidRPr="000A21C0">
        <w:rPr>
          <w:rFonts w:ascii="Times New Roman" w:hAnsi="Times New Roman"/>
          <w:sz w:val="24"/>
          <w:szCs w:val="24"/>
        </w:rPr>
        <w:t>a full</w:t>
      </w:r>
      <w:proofErr w:type="gramEnd"/>
      <w:r w:rsidRPr="000A21C0">
        <w:rPr>
          <w:rFonts w:ascii="Times New Roman" w:hAnsi="Times New Roman"/>
          <w:sz w:val="24"/>
          <w:szCs w:val="24"/>
        </w:rPr>
        <w:t xml:space="preserve"> evidentiary rehearing is left to the PSAB’s discretion.</w:t>
      </w:r>
    </w:p>
    <w:p w14:paraId="14A67F60" w14:textId="77777777" w:rsidR="002C54F5" w:rsidRPr="000A21C0" w:rsidRDefault="002C54F5" w:rsidP="002C54F5">
      <w:pPr>
        <w:pStyle w:val="NoSpacing"/>
        <w:ind w:left="720"/>
        <w:rPr>
          <w:rFonts w:ascii="Times New Roman" w:hAnsi="Times New Roman"/>
          <w:bCs/>
          <w:sz w:val="24"/>
          <w:szCs w:val="24"/>
        </w:rPr>
      </w:pPr>
    </w:p>
    <w:p w14:paraId="52713108" w14:textId="77777777" w:rsidR="002C54F5" w:rsidRPr="000A21C0" w:rsidRDefault="002C54F5" w:rsidP="002C54F5">
      <w:pPr>
        <w:pStyle w:val="NoSpacing"/>
        <w:ind w:left="720"/>
        <w:rPr>
          <w:rFonts w:ascii="Times New Roman" w:hAnsi="Times New Roman"/>
          <w:bCs/>
          <w:sz w:val="24"/>
          <w:szCs w:val="24"/>
        </w:rPr>
      </w:pPr>
      <w:r w:rsidRPr="000A21C0">
        <w:rPr>
          <w:rFonts w:ascii="Times New Roman" w:hAnsi="Times New Roman"/>
          <w:sz w:val="24"/>
          <w:szCs w:val="24"/>
        </w:rPr>
        <w:t>***</w:t>
      </w:r>
    </w:p>
    <w:p w14:paraId="472122B6" w14:textId="21CC2032" w:rsidR="002C54F5" w:rsidRDefault="002C54F5" w:rsidP="002C54F5">
      <w:pPr>
        <w:pStyle w:val="NoSpacing"/>
        <w:ind w:left="720"/>
        <w:rPr>
          <w:rFonts w:ascii="Times New Roman" w:hAnsi="Times New Roman"/>
          <w:sz w:val="24"/>
          <w:szCs w:val="24"/>
        </w:rPr>
      </w:pPr>
      <w:r w:rsidRPr="000A21C0">
        <w:rPr>
          <w:rFonts w:ascii="Times New Roman" w:hAnsi="Times New Roman"/>
          <w:sz w:val="24"/>
          <w:szCs w:val="24"/>
        </w:rPr>
        <w:t>In Priester II, we reviewed and affirmed the Board’s decision to deny Priester’s</w:t>
      </w:r>
      <w:r w:rsidR="000A21C0">
        <w:rPr>
          <w:rFonts w:ascii="Times New Roman" w:hAnsi="Times New Roman"/>
          <w:sz w:val="24"/>
          <w:szCs w:val="24"/>
        </w:rPr>
        <w:t xml:space="preserve"> </w:t>
      </w:r>
      <w:r w:rsidRPr="000A21C0">
        <w:rPr>
          <w:rFonts w:ascii="Times New Roman" w:hAnsi="Times New Roman"/>
          <w:sz w:val="24"/>
          <w:szCs w:val="24"/>
        </w:rPr>
        <w:t>entire claim for pension benefits. In reaching that conclusion, we recounted the extensive</w:t>
      </w:r>
      <w:r w:rsidR="000A21C0">
        <w:rPr>
          <w:rFonts w:ascii="Times New Roman" w:hAnsi="Times New Roman"/>
          <w:sz w:val="24"/>
          <w:szCs w:val="24"/>
        </w:rPr>
        <w:t xml:space="preserve"> </w:t>
      </w:r>
      <w:r w:rsidRPr="000A21C0">
        <w:rPr>
          <w:rFonts w:ascii="Times New Roman" w:hAnsi="Times New Roman"/>
          <w:sz w:val="24"/>
          <w:szCs w:val="24"/>
        </w:rPr>
        <w:t>testimony offered by Priester’s former colleagues and subordinates regarding his pattern</w:t>
      </w:r>
      <w:r w:rsidR="000A21C0">
        <w:rPr>
          <w:rFonts w:ascii="Times New Roman" w:hAnsi="Times New Roman"/>
          <w:sz w:val="24"/>
          <w:szCs w:val="24"/>
        </w:rPr>
        <w:t xml:space="preserve"> </w:t>
      </w:r>
      <w:r w:rsidRPr="000A21C0">
        <w:rPr>
          <w:rFonts w:ascii="Times New Roman" w:hAnsi="Times New Roman"/>
          <w:sz w:val="24"/>
          <w:szCs w:val="24"/>
        </w:rPr>
        <w:t>of sexually harassing behaviors. Rather, we agreed with the Board that any ‘average adult citizen’ would have known the potential sanctions that might follow from Priester’s behavior, noting that Captain Priester abused his status as a captain by creating a hostile and predatory environment, in which he exhibited a pattern of sexually harassing</w:t>
      </w:r>
      <w:r w:rsidR="000A21C0">
        <w:rPr>
          <w:rFonts w:ascii="Times New Roman" w:hAnsi="Times New Roman"/>
          <w:sz w:val="24"/>
          <w:szCs w:val="24"/>
        </w:rPr>
        <w:t xml:space="preserve"> </w:t>
      </w:r>
      <w:r w:rsidRPr="000A21C0">
        <w:rPr>
          <w:rFonts w:ascii="Times New Roman" w:hAnsi="Times New Roman"/>
          <w:sz w:val="24"/>
          <w:szCs w:val="24"/>
        </w:rPr>
        <w:t>women for his amusement and the amusement of his minions. . . . He was responsible, as captain, for enforcing the very rules that he flagrantly violated.”</w:t>
      </w:r>
    </w:p>
    <w:p w14:paraId="6F8A0645" w14:textId="77777777" w:rsidR="000630E9" w:rsidRDefault="000630E9" w:rsidP="002C54F5">
      <w:pPr>
        <w:pStyle w:val="NoSpacing"/>
        <w:ind w:left="720"/>
        <w:rPr>
          <w:rFonts w:ascii="Times New Roman" w:hAnsi="Times New Roman"/>
          <w:sz w:val="24"/>
          <w:szCs w:val="24"/>
        </w:rPr>
      </w:pPr>
    </w:p>
    <w:p w14:paraId="5A48FC44" w14:textId="77777777" w:rsidR="000630E9" w:rsidRDefault="000630E9" w:rsidP="002C54F5">
      <w:pPr>
        <w:pStyle w:val="NoSpacing"/>
        <w:ind w:left="720"/>
        <w:rPr>
          <w:rFonts w:ascii="Times New Roman" w:hAnsi="Times New Roman"/>
          <w:sz w:val="24"/>
          <w:szCs w:val="24"/>
        </w:rPr>
      </w:pPr>
    </w:p>
    <w:p w14:paraId="6F0E3F81" w14:textId="77777777" w:rsidR="000630E9" w:rsidRPr="000630E9" w:rsidRDefault="000630E9" w:rsidP="000630E9">
      <w:pPr>
        <w:pStyle w:val="NoSpacing"/>
        <w:rPr>
          <w:rFonts w:ascii="Times New Roman" w:hAnsi="Times New Roman"/>
          <w:bCs/>
          <w:sz w:val="24"/>
          <w:szCs w:val="24"/>
        </w:rPr>
      </w:pPr>
      <w:r w:rsidRPr="000630E9">
        <w:rPr>
          <w:rFonts w:ascii="Times New Roman" w:hAnsi="Times New Roman"/>
          <w:sz w:val="24"/>
          <w:szCs w:val="24"/>
        </w:rPr>
        <w:t>HOLDING:</w:t>
      </w:r>
    </w:p>
    <w:p w14:paraId="10A739DE" w14:textId="77777777" w:rsidR="000630E9" w:rsidRPr="000630E9" w:rsidRDefault="000630E9" w:rsidP="000630E9">
      <w:pPr>
        <w:pStyle w:val="NoSpacing"/>
        <w:rPr>
          <w:rFonts w:ascii="Times New Roman" w:hAnsi="Times New Roman"/>
          <w:bCs/>
          <w:sz w:val="24"/>
          <w:szCs w:val="24"/>
        </w:rPr>
      </w:pPr>
    </w:p>
    <w:p w14:paraId="7A63B2D1" w14:textId="77777777" w:rsidR="000630E9" w:rsidRPr="000630E9" w:rsidRDefault="000630E9" w:rsidP="000630E9">
      <w:pPr>
        <w:pStyle w:val="NoSpacing"/>
        <w:ind w:left="720"/>
        <w:rPr>
          <w:rFonts w:ascii="Times New Roman" w:hAnsi="Times New Roman"/>
          <w:bCs/>
          <w:sz w:val="24"/>
          <w:szCs w:val="24"/>
        </w:rPr>
      </w:pPr>
      <w:r w:rsidRPr="000630E9">
        <w:rPr>
          <w:rFonts w:ascii="Times New Roman" w:hAnsi="Times New Roman"/>
          <w:sz w:val="24"/>
          <w:szCs w:val="24"/>
        </w:rPr>
        <w:t>“Without articulating the relevant findings, the PSAB properly apply the relevant law to decide on Priester’s termination. This deficiency—compounded by the reliance on a ‘prior decision’ that does not exist— warrants a remand for the PSAB to make additional factual findings that would enable meaningful judicial review.”</w:t>
      </w:r>
    </w:p>
    <w:p w14:paraId="5DCFEC77" w14:textId="77777777" w:rsidR="000630E9" w:rsidRPr="000630E9" w:rsidRDefault="000630E9" w:rsidP="000630E9">
      <w:pPr>
        <w:pStyle w:val="NoSpacing"/>
        <w:ind w:left="720"/>
        <w:rPr>
          <w:rFonts w:ascii="Times New Roman" w:hAnsi="Times New Roman"/>
          <w:bCs/>
          <w:sz w:val="24"/>
          <w:szCs w:val="24"/>
        </w:rPr>
      </w:pPr>
    </w:p>
    <w:p w14:paraId="0CAF8AD8" w14:textId="77777777" w:rsidR="000630E9" w:rsidRPr="000630E9" w:rsidRDefault="000630E9" w:rsidP="000630E9">
      <w:pPr>
        <w:pStyle w:val="NoSpacing"/>
        <w:rPr>
          <w:rFonts w:ascii="Times New Roman" w:hAnsi="Times New Roman"/>
          <w:b/>
          <w:sz w:val="24"/>
          <w:szCs w:val="24"/>
        </w:rPr>
      </w:pPr>
      <w:r w:rsidRPr="000630E9">
        <w:rPr>
          <w:rFonts w:ascii="Times New Roman" w:hAnsi="Times New Roman"/>
          <w:b/>
          <w:sz w:val="24"/>
          <w:szCs w:val="24"/>
        </w:rPr>
        <w:t>Legal Lesson Learned: This case illustrates the importance of Civil Service Boards making final decisions, supported by findings of fact.   In the event of a tie vote, rehear the case.</w:t>
      </w:r>
    </w:p>
    <w:p w14:paraId="456E2C60" w14:textId="77777777" w:rsidR="000630E9" w:rsidRPr="000630E9" w:rsidRDefault="000630E9" w:rsidP="000630E9">
      <w:pPr>
        <w:pStyle w:val="NoSpacing"/>
        <w:rPr>
          <w:rFonts w:ascii="Times New Roman" w:hAnsi="Times New Roman"/>
          <w:b/>
          <w:sz w:val="24"/>
          <w:szCs w:val="24"/>
        </w:rPr>
      </w:pPr>
    </w:p>
    <w:p w14:paraId="2EA949A6" w14:textId="77777777" w:rsidR="000630E9" w:rsidRDefault="000630E9" w:rsidP="000630E9">
      <w:pPr>
        <w:rPr>
          <w:bCs/>
        </w:rPr>
      </w:pPr>
    </w:p>
    <w:p w14:paraId="2B3017D0" w14:textId="77777777" w:rsidR="000630E9" w:rsidRPr="000A21C0" w:rsidRDefault="000630E9" w:rsidP="002C54F5">
      <w:pPr>
        <w:pStyle w:val="NoSpacing"/>
        <w:ind w:left="720"/>
        <w:rPr>
          <w:rFonts w:ascii="Times New Roman" w:hAnsi="Times New Roman"/>
          <w:bCs/>
          <w:sz w:val="24"/>
          <w:szCs w:val="24"/>
        </w:rPr>
      </w:pPr>
    </w:p>
    <w:p w14:paraId="11238DFE" w14:textId="77777777" w:rsidR="00AE2F67" w:rsidRDefault="00AE2F67" w:rsidP="00F326E5">
      <w:pPr>
        <w:pStyle w:val="NoSpacing"/>
        <w:rPr>
          <w:rFonts w:ascii="Arial Black" w:hAnsi="Arial Black"/>
          <w:b/>
          <w:bCs/>
          <w:sz w:val="24"/>
          <w:szCs w:val="24"/>
        </w:rPr>
      </w:pPr>
    </w:p>
    <w:p w14:paraId="6DFFD68C" w14:textId="096F6287" w:rsidR="00922A0A" w:rsidRDefault="00922A0A" w:rsidP="00F326E5">
      <w:pPr>
        <w:pStyle w:val="NoSpacing"/>
        <w:rPr>
          <w:rFonts w:ascii="Arial Black" w:hAnsi="Arial Black"/>
          <w:b/>
          <w:bCs/>
          <w:sz w:val="24"/>
          <w:szCs w:val="24"/>
        </w:rPr>
      </w:pPr>
      <w:r>
        <w:rPr>
          <w:rFonts w:ascii="Arial Black" w:hAnsi="Arial Black"/>
          <w:b/>
          <w:bCs/>
          <w:sz w:val="24"/>
          <w:szCs w:val="24"/>
        </w:rPr>
        <w:t>7-</w:t>
      </w:r>
      <w:r w:rsidR="00534272">
        <w:rPr>
          <w:rFonts w:ascii="Arial Black" w:hAnsi="Arial Black"/>
          <w:b/>
          <w:bCs/>
          <w:sz w:val="24"/>
          <w:szCs w:val="24"/>
        </w:rPr>
        <w:t>68</w:t>
      </w:r>
    </w:p>
    <w:p w14:paraId="007E59A2" w14:textId="77777777" w:rsidR="00087209" w:rsidRDefault="00087209" w:rsidP="00F326E5">
      <w:pPr>
        <w:pStyle w:val="NoSpacing"/>
        <w:rPr>
          <w:rFonts w:ascii="Arial Black" w:hAnsi="Arial Black"/>
          <w:b/>
          <w:bCs/>
          <w:sz w:val="24"/>
          <w:szCs w:val="24"/>
        </w:rPr>
      </w:pPr>
    </w:p>
    <w:p w14:paraId="21608962" w14:textId="77777777" w:rsidR="00087209" w:rsidRPr="00A54508" w:rsidRDefault="00087209" w:rsidP="00087209">
      <w:pPr>
        <w:rPr>
          <w:rFonts w:ascii="Arial Black" w:hAnsi="Arial Black"/>
          <w:b/>
          <w:sz w:val="28"/>
          <w:szCs w:val="28"/>
        </w:rPr>
      </w:pPr>
      <w:r w:rsidRPr="00A54508">
        <w:rPr>
          <w:rFonts w:ascii="Arial Black" w:hAnsi="Arial Black"/>
          <w:b/>
          <w:sz w:val="28"/>
          <w:szCs w:val="28"/>
        </w:rPr>
        <w:t>US S</w:t>
      </w:r>
      <w:r>
        <w:rPr>
          <w:rFonts w:ascii="Arial Black" w:hAnsi="Arial Black"/>
          <w:b/>
          <w:sz w:val="28"/>
          <w:szCs w:val="28"/>
        </w:rPr>
        <w:t xml:space="preserve">UP CT: “STRAIGHT” CLAIMS DISC BY GAY MGR </w:t>
      </w:r>
    </w:p>
    <w:p w14:paraId="4DFE54B9" w14:textId="77777777" w:rsidR="007F5FF3" w:rsidRPr="007F5FF3" w:rsidRDefault="007F5FF3" w:rsidP="007F5FF3">
      <w:pPr>
        <w:rPr>
          <w:rStyle w:val="Hyperlink"/>
          <w:rFonts w:ascii="Times New Roman" w:hAnsi="Times New Roman"/>
          <w:sz w:val="24"/>
          <w:szCs w:val="24"/>
        </w:rPr>
      </w:pPr>
      <w:r w:rsidRPr="007F5FF3">
        <w:rPr>
          <w:rFonts w:ascii="Times New Roman" w:hAnsi="Times New Roman"/>
          <w:sz w:val="24"/>
          <w:szCs w:val="24"/>
        </w:rPr>
        <w:t xml:space="preserve">On Dec. 16, 2024, in </w:t>
      </w:r>
      <w:r w:rsidRPr="007F5FF3">
        <w:rPr>
          <w:rFonts w:ascii="Times New Roman" w:hAnsi="Times New Roman"/>
          <w:sz w:val="24"/>
          <w:szCs w:val="24"/>
          <w:u w:val="single"/>
        </w:rPr>
        <w:t>Marlean A. Ames, Petitioner v. Ohio Department of Youth Services</w:t>
      </w:r>
      <w:r w:rsidRPr="007F5FF3">
        <w:rPr>
          <w:rFonts w:ascii="Times New Roman" w:hAnsi="Times New Roman"/>
          <w:sz w:val="24"/>
          <w:szCs w:val="24"/>
        </w:rPr>
        <w:t>, the U.S. Department of Justice, Solicitor General, filed an amicus brief with the U.S. Supreme Court that Title VII prohibits racial discrimination against both minorities and those who are in majority (including white and heterosexual plaintiffs), with same standards of proof.  The  6</w:t>
      </w:r>
      <w:r w:rsidRPr="007F5FF3">
        <w:rPr>
          <w:rFonts w:ascii="Times New Roman" w:hAnsi="Times New Roman"/>
          <w:sz w:val="24"/>
          <w:szCs w:val="24"/>
          <w:vertAlign w:val="superscript"/>
        </w:rPr>
        <w:t>th</w:t>
      </w:r>
      <w:r w:rsidRPr="007F5FF3">
        <w:rPr>
          <w:rFonts w:ascii="Times New Roman" w:hAnsi="Times New Roman"/>
          <w:sz w:val="24"/>
          <w:szCs w:val="24"/>
        </w:rPr>
        <w:t xml:space="preserve"> Circuit had upheld the dismissal of the lawsuit by Ms. Ames (heterosexual) since she did show “background circumstances” to support her claim; such as statistical evidence showing a pattern of discrimination at her workplace in favor of gays.  The U.S. Supreme Court on Oct. 4, </w:t>
      </w:r>
      <w:proofErr w:type="gramStart"/>
      <w:r w:rsidRPr="007F5FF3">
        <w:rPr>
          <w:rFonts w:ascii="Times New Roman" w:hAnsi="Times New Roman"/>
          <w:sz w:val="24"/>
          <w:szCs w:val="24"/>
        </w:rPr>
        <w:t>2024</w:t>
      </w:r>
      <w:proofErr w:type="gramEnd"/>
      <w:r w:rsidRPr="007F5FF3">
        <w:rPr>
          <w:rFonts w:ascii="Times New Roman" w:hAnsi="Times New Roman"/>
          <w:sz w:val="24"/>
          <w:szCs w:val="24"/>
        </w:rPr>
        <w:t xml:space="preserve"> agreed to hear Ms. Ames’ appeal; a decision in this case could have significant impact on “reverse discrimination” cases, including fire &amp; EMS. </w:t>
      </w:r>
      <w:hyperlink r:id="rId1368" w:history="1">
        <w:r w:rsidRPr="007F5FF3">
          <w:rPr>
            <w:rStyle w:val="Hyperlink"/>
            <w:rFonts w:ascii="Times New Roman" w:hAnsi="Times New Roman"/>
            <w:sz w:val="24"/>
            <w:szCs w:val="24"/>
          </w:rPr>
          <w:t>https://www.supremecourt.gov/DocketPDF/23/23-1039/335322/20241216192608136_23-1039_Ames_Amicus_Brief_iso_Vacatur.pdf</w:t>
        </w:r>
      </w:hyperlink>
    </w:p>
    <w:p w14:paraId="3575EB13" w14:textId="77777777" w:rsidR="00087209" w:rsidRPr="00087209" w:rsidRDefault="00087209" w:rsidP="00087209">
      <w:pPr>
        <w:pStyle w:val="NoSpacing"/>
        <w:rPr>
          <w:rFonts w:ascii="Times New Roman" w:hAnsi="Times New Roman"/>
          <w:sz w:val="24"/>
          <w:szCs w:val="24"/>
        </w:rPr>
      </w:pPr>
    </w:p>
    <w:p w14:paraId="07C7F563" w14:textId="77777777" w:rsidR="00087209" w:rsidRPr="00087209" w:rsidRDefault="00087209" w:rsidP="00087209">
      <w:pPr>
        <w:pStyle w:val="NoSpacing"/>
        <w:rPr>
          <w:rFonts w:ascii="Times New Roman" w:hAnsi="Times New Roman"/>
          <w:sz w:val="24"/>
          <w:szCs w:val="24"/>
        </w:rPr>
      </w:pPr>
      <w:r w:rsidRPr="00087209">
        <w:rPr>
          <w:rFonts w:ascii="Times New Roman" w:hAnsi="Times New Roman"/>
          <w:sz w:val="24"/>
          <w:szCs w:val="24"/>
        </w:rPr>
        <w:t>The Solicitor General brief included:</w:t>
      </w:r>
    </w:p>
    <w:p w14:paraId="1D1D78AF" w14:textId="77777777" w:rsidR="00087209" w:rsidRPr="00087209" w:rsidRDefault="00087209" w:rsidP="00087209">
      <w:pPr>
        <w:pStyle w:val="NoSpacing"/>
        <w:rPr>
          <w:rFonts w:ascii="Times New Roman" w:hAnsi="Times New Roman"/>
          <w:sz w:val="24"/>
          <w:szCs w:val="24"/>
        </w:rPr>
      </w:pPr>
    </w:p>
    <w:p w14:paraId="0EABA160" w14:textId="77777777" w:rsidR="00087209" w:rsidRPr="00087209" w:rsidRDefault="00087209" w:rsidP="00087209">
      <w:pPr>
        <w:pStyle w:val="NoSpacing"/>
        <w:ind w:firstLine="720"/>
        <w:rPr>
          <w:rFonts w:ascii="Times New Roman" w:hAnsi="Times New Roman"/>
          <w:sz w:val="24"/>
          <w:szCs w:val="24"/>
        </w:rPr>
      </w:pPr>
      <w:r w:rsidRPr="00087209">
        <w:rPr>
          <w:rFonts w:ascii="Times New Roman" w:hAnsi="Times New Roman"/>
          <w:sz w:val="24"/>
          <w:szCs w:val="24"/>
        </w:rPr>
        <w:t>“She [Ms. Ames] alleged, as relevant here, that the denial of a promotion</w:t>
      </w:r>
    </w:p>
    <w:p w14:paraId="695AA482" w14:textId="77777777" w:rsidR="00087209" w:rsidRPr="00087209" w:rsidRDefault="00087209" w:rsidP="00087209">
      <w:pPr>
        <w:pStyle w:val="NoSpacing"/>
        <w:ind w:firstLine="720"/>
        <w:rPr>
          <w:rFonts w:ascii="Times New Roman" w:hAnsi="Times New Roman"/>
          <w:sz w:val="24"/>
          <w:szCs w:val="24"/>
        </w:rPr>
      </w:pPr>
      <w:r w:rsidRPr="00087209">
        <w:rPr>
          <w:rFonts w:ascii="Times New Roman" w:hAnsi="Times New Roman"/>
          <w:sz w:val="24"/>
          <w:szCs w:val="24"/>
        </w:rPr>
        <w:t xml:space="preserve">to Bureau Chief in favor of Frierson, a gay woman, was discrimination based </w:t>
      </w:r>
    </w:p>
    <w:p w14:paraId="5565F7C0" w14:textId="77777777" w:rsidR="00087209" w:rsidRPr="00087209" w:rsidRDefault="00087209" w:rsidP="00087209">
      <w:pPr>
        <w:pStyle w:val="NoSpacing"/>
        <w:ind w:firstLine="720"/>
        <w:rPr>
          <w:rFonts w:ascii="Times New Roman" w:hAnsi="Times New Roman"/>
          <w:sz w:val="24"/>
          <w:szCs w:val="24"/>
        </w:rPr>
      </w:pPr>
      <w:r w:rsidRPr="00087209">
        <w:rPr>
          <w:rFonts w:ascii="Times New Roman" w:hAnsi="Times New Roman"/>
          <w:sz w:val="24"/>
          <w:szCs w:val="24"/>
        </w:rPr>
        <w:t xml:space="preserve">on sexual orientation and that her demotion in favor of Stojsavljevic, a gay man, </w:t>
      </w:r>
    </w:p>
    <w:p w14:paraId="43DE6980" w14:textId="77777777" w:rsidR="00087209" w:rsidRPr="00087209" w:rsidRDefault="00087209" w:rsidP="00087209">
      <w:pPr>
        <w:pStyle w:val="NoSpacing"/>
        <w:ind w:firstLine="720"/>
        <w:rPr>
          <w:rFonts w:ascii="Times New Roman" w:hAnsi="Times New Roman"/>
          <w:sz w:val="24"/>
          <w:szCs w:val="24"/>
        </w:rPr>
      </w:pPr>
      <w:r w:rsidRPr="00087209">
        <w:rPr>
          <w:rFonts w:ascii="Times New Roman" w:hAnsi="Times New Roman"/>
          <w:sz w:val="24"/>
          <w:szCs w:val="24"/>
        </w:rPr>
        <w:t xml:space="preserve">was discrimination based on sexual orientation and sex. *** The requirements of a </w:t>
      </w:r>
    </w:p>
    <w:p w14:paraId="0AB078AE" w14:textId="6895CCDF" w:rsidR="00087209" w:rsidRDefault="00087209" w:rsidP="005A5089">
      <w:pPr>
        <w:pStyle w:val="NoSpacing"/>
        <w:ind w:left="720"/>
      </w:pPr>
      <w:proofErr w:type="gramStart"/>
      <w:r w:rsidRPr="00087209">
        <w:rPr>
          <w:rFonts w:ascii="Times New Roman" w:hAnsi="Times New Roman"/>
          <w:sz w:val="24"/>
          <w:szCs w:val="24"/>
        </w:rPr>
        <w:t>prima</w:t>
      </w:r>
      <w:proofErr w:type="gramEnd"/>
      <w:r w:rsidRPr="00087209">
        <w:rPr>
          <w:rFonts w:ascii="Times New Roman" w:hAnsi="Times New Roman"/>
          <w:sz w:val="24"/>
          <w:szCs w:val="24"/>
        </w:rPr>
        <w:t xml:space="preserve"> facie case </w:t>
      </w:r>
      <w:proofErr w:type="gramStart"/>
      <w:r w:rsidRPr="00087209">
        <w:rPr>
          <w:rFonts w:ascii="Times New Roman" w:hAnsi="Times New Roman"/>
          <w:sz w:val="24"/>
          <w:szCs w:val="24"/>
        </w:rPr>
        <w:t>do</w:t>
      </w:r>
      <w:proofErr w:type="gramEnd"/>
      <w:r w:rsidRPr="00087209">
        <w:rPr>
          <w:rFonts w:ascii="Times New Roman" w:hAnsi="Times New Roman"/>
          <w:sz w:val="24"/>
          <w:szCs w:val="24"/>
        </w:rPr>
        <w:t xml:space="preserve"> not vary depending on the plaintiff ’s protected characteristics. To the contrary, this Court has squarely held that Title VII ‘prohibits racial discrimination against * * * white [plaintiffs] upon the same standards as would be applicable’ if they were Black. </w:t>
      </w:r>
      <w:r w:rsidRPr="00087209">
        <w:rPr>
          <w:rFonts w:ascii="Times New Roman" w:hAnsi="Times New Roman"/>
          <w:sz w:val="24"/>
          <w:szCs w:val="24"/>
          <w:u w:val="single"/>
        </w:rPr>
        <w:t>McDonald</w:t>
      </w:r>
      <w:r w:rsidRPr="00087209">
        <w:rPr>
          <w:rFonts w:ascii="Times New Roman" w:hAnsi="Times New Roman"/>
          <w:sz w:val="24"/>
          <w:szCs w:val="24"/>
        </w:rPr>
        <w:t xml:space="preserve">, 427 U.S. at 280. The EEOC, too, has long understood Title VII to require that the claims of minority- and majority-group plaintiffs be assessed in the same fashion.”   </w:t>
      </w:r>
    </w:p>
    <w:p w14:paraId="0792AF6C" w14:textId="77777777" w:rsidR="00087209" w:rsidRDefault="00087209" w:rsidP="00F326E5">
      <w:pPr>
        <w:pStyle w:val="NoSpacing"/>
        <w:rPr>
          <w:rFonts w:ascii="Arial Black" w:hAnsi="Arial Black"/>
          <w:b/>
          <w:bCs/>
          <w:sz w:val="24"/>
          <w:szCs w:val="24"/>
        </w:rPr>
      </w:pPr>
    </w:p>
    <w:p w14:paraId="37B649D1" w14:textId="77777777" w:rsidR="00AE2F67" w:rsidRPr="00AE2F67" w:rsidRDefault="00AE2F67" w:rsidP="00AE2F67">
      <w:pPr>
        <w:pStyle w:val="NoSpacing"/>
        <w:rPr>
          <w:rFonts w:ascii="Times New Roman" w:hAnsi="Times New Roman"/>
          <w:sz w:val="24"/>
          <w:szCs w:val="24"/>
        </w:rPr>
      </w:pPr>
      <w:r w:rsidRPr="00AE2F67">
        <w:rPr>
          <w:rFonts w:ascii="Times New Roman" w:hAnsi="Times New Roman"/>
          <w:sz w:val="24"/>
          <w:szCs w:val="24"/>
        </w:rPr>
        <w:t>HOLDING: [Note: We must now wait for the U.S. Supreme Court to hear oral argument, and decide the appeal, or remand it to the 6</w:t>
      </w:r>
      <w:r w:rsidRPr="00AE2F67">
        <w:rPr>
          <w:rFonts w:ascii="Times New Roman" w:hAnsi="Times New Roman"/>
          <w:sz w:val="24"/>
          <w:szCs w:val="24"/>
          <w:vertAlign w:val="superscript"/>
        </w:rPr>
        <w:t>th</w:t>
      </w:r>
      <w:r w:rsidRPr="00AE2F67">
        <w:rPr>
          <w:rFonts w:ascii="Times New Roman" w:hAnsi="Times New Roman"/>
          <w:sz w:val="24"/>
          <w:szCs w:val="24"/>
        </w:rPr>
        <w:t xml:space="preserve"> Circuit.]</w:t>
      </w:r>
    </w:p>
    <w:p w14:paraId="673AAD3E" w14:textId="77777777" w:rsidR="00AE2F67" w:rsidRPr="00AE2F67" w:rsidRDefault="00AE2F67" w:rsidP="00AE2F67">
      <w:pPr>
        <w:pStyle w:val="NoSpacing"/>
        <w:rPr>
          <w:rFonts w:ascii="Times New Roman" w:hAnsi="Times New Roman"/>
          <w:sz w:val="24"/>
          <w:szCs w:val="24"/>
        </w:rPr>
      </w:pPr>
    </w:p>
    <w:p w14:paraId="511506F4" w14:textId="77777777" w:rsidR="00AE2F67" w:rsidRPr="00AE2F67" w:rsidRDefault="00AE2F67" w:rsidP="00AE2F67">
      <w:pPr>
        <w:pStyle w:val="NoSpacing"/>
        <w:rPr>
          <w:rFonts w:ascii="Times New Roman" w:hAnsi="Times New Roman"/>
          <w:sz w:val="24"/>
          <w:szCs w:val="24"/>
        </w:rPr>
      </w:pPr>
      <w:r w:rsidRPr="00AE2F67">
        <w:rPr>
          <w:rFonts w:ascii="Times New Roman" w:hAnsi="Times New Roman"/>
          <w:sz w:val="24"/>
          <w:szCs w:val="24"/>
        </w:rPr>
        <w:t>See the 6</w:t>
      </w:r>
      <w:r w:rsidRPr="00AE2F67">
        <w:rPr>
          <w:rFonts w:ascii="Times New Roman" w:hAnsi="Times New Roman"/>
          <w:sz w:val="24"/>
          <w:szCs w:val="24"/>
          <w:vertAlign w:val="superscript"/>
        </w:rPr>
        <w:t>th</w:t>
      </w:r>
      <w:r w:rsidRPr="00AE2F67">
        <w:rPr>
          <w:rFonts w:ascii="Times New Roman" w:hAnsi="Times New Roman"/>
          <w:sz w:val="24"/>
          <w:szCs w:val="24"/>
        </w:rPr>
        <w:t xml:space="preserve"> Circuit decision, Dec. 4, 2023:</w:t>
      </w:r>
    </w:p>
    <w:p w14:paraId="2EB899E8" w14:textId="77777777" w:rsidR="00AE2F67" w:rsidRPr="00AE2F67" w:rsidRDefault="00AE2F67" w:rsidP="00AE2F67">
      <w:pPr>
        <w:pStyle w:val="NoSpacing"/>
        <w:rPr>
          <w:rFonts w:ascii="Times New Roman" w:hAnsi="Times New Roman"/>
          <w:sz w:val="24"/>
          <w:szCs w:val="24"/>
        </w:rPr>
      </w:pPr>
    </w:p>
    <w:p w14:paraId="7AF515E5" w14:textId="77777777" w:rsidR="00AE2F67" w:rsidRPr="00AE2F67" w:rsidRDefault="00AE2F67" w:rsidP="00AE2F67">
      <w:pPr>
        <w:pStyle w:val="NoSpacing"/>
        <w:ind w:left="720"/>
        <w:rPr>
          <w:rFonts w:ascii="Times New Roman" w:hAnsi="Times New Roman"/>
          <w:sz w:val="24"/>
          <w:szCs w:val="24"/>
        </w:rPr>
      </w:pPr>
      <w:r w:rsidRPr="00AE2F67">
        <w:rPr>
          <w:rFonts w:ascii="Times New Roman" w:hAnsi="Times New Roman"/>
          <w:sz w:val="24"/>
          <w:szCs w:val="24"/>
        </w:rPr>
        <w:t xml:space="preserve">“In January 2019, Ohio’s governor appointed Ryan Gies to be the Department’s Director. Walburn [Assistant Director Julie Walburn] and Gies are both heterosexual. *** First, Ames was terminated as PREA Administrator by Walburn and Gies, who are both heterosexual. *** Second, Ames’s only evidence of a pattern of discrimination against heterosexuals is her own demotion and the denial of the Bureau Chief position. Under our caselaw, however, a plaintiff cannot point to her own experience to establish a pattern of discrimination. *** Ames therefore has not made the necessary showing of “background circumstances.” For that </w:t>
      </w:r>
      <w:proofErr w:type="gramStart"/>
      <w:r w:rsidRPr="00AE2F67">
        <w:rPr>
          <w:rFonts w:ascii="Times New Roman" w:hAnsi="Times New Roman"/>
          <w:sz w:val="24"/>
          <w:szCs w:val="24"/>
        </w:rPr>
        <w:t>reason</w:t>
      </w:r>
      <w:proofErr w:type="gramEnd"/>
      <w:r w:rsidRPr="00AE2F67">
        <w:rPr>
          <w:rFonts w:ascii="Times New Roman" w:hAnsi="Times New Roman"/>
          <w:sz w:val="24"/>
          <w:szCs w:val="24"/>
        </w:rPr>
        <w:t xml:space="preserve"> her claim of sexual-orientation discrimination fails.”  </w:t>
      </w:r>
      <w:hyperlink r:id="rId1369" w:history="1">
        <w:r w:rsidRPr="00AE2F67">
          <w:rPr>
            <w:rStyle w:val="Hyperlink"/>
            <w:rFonts w:ascii="Times New Roman" w:hAnsi="Times New Roman"/>
            <w:sz w:val="24"/>
            <w:szCs w:val="24"/>
          </w:rPr>
          <w:t>https://www.opn.ca6.uscourts.gov/opinions.pdf/23a0264p-06.pdf</w:t>
        </w:r>
      </w:hyperlink>
      <w:r w:rsidRPr="00AE2F67">
        <w:rPr>
          <w:rFonts w:ascii="Times New Roman" w:hAnsi="Times New Roman"/>
          <w:sz w:val="24"/>
          <w:szCs w:val="24"/>
        </w:rPr>
        <w:t xml:space="preserve"> </w:t>
      </w:r>
    </w:p>
    <w:p w14:paraId="2755F05F" w14:textId="77777777" w:rsidR="00AE2F67" w:rsidRPr="00AE2F67" w:rsidRDefault="00AE2F67" w:rsidP="00AE2F67">
      <w:pPr>
        <w:pStyle w:val="NoSpacing"/>
        <w:ind w:left="720"/>
        <w:rPr>
          <w:rFonts w:ascii="Times New Roman" w:hAnsi="Times New Roman"/>
          <w:sz w:val="24"/>
          <w:szCs w:val="24"/>
        </w:rPr>
      </w:pPr>
    </w:p>
    <w:p w14:paraId="26F341DB" w14:textId="77777777" w:rsidR="00AE2F67" w:rsidRPr="00AE2F67" w:rsidRDefault="00AE2F67" w:rsidP="00AE2F67">
      <w:pPr>
        <w:pStyle w:val="NoSpacing"/>
        <w:rPr>
          <w:rFonts w:ascii="Times New Roman" w:hAnsi="Times New Roman"/>
          <w:b/>
          <w:bCs/>
          <w:sz w:val="24"/>
          <w:szCs w:val="24"/>
        </w:rPr>
      </w:pPr>
      <w:r w:rsidRPr="00AE2F67">
        <w:rPr>
          <w:rFonts w:ascii="Times New Roman" w:hAnsi="Times New Roman"/>
          <w:b/>
          <w:sz w:val="24"/>
          <w:szCs w:val="24"/>
        </w:rPr>
        <w:t xml:space="preserve">Legal Lesson Learned:  Important case to clarify that Title VII rights are not just for minority employees. </w:t>
      </w:r>
    </w:p>
    <w:p w14:paraId="5D324420" w14:textId="77777777" w:rsidR="00AE2F67" w:rsidRPr="00AE2F67" w:rsidRDefault="00AE2F67" w:rsidP="00AE2F67">
      <w:pPr>
        <w:pStyle w:val="NoSpacing"/>
        <w:rPr>
          <w:rFonts w:ascii="Times New Roman" w:hAnsi="Times New Roman"/>
          <w:sz w:val="24"/>
          <w:szCs w:val="24"/>
        </w:rPr>
      </w:pPr>
    </w:p>
    <w:p w14:paraId="6B1BE5D5" w14:textId="77777777" w:rsidR="00922A0A" w:rsidRDefault="00922A0A" w:rsidP="00F326E5">
      <w:pPr>
        <w:pStyle w:val="NoSpacing"/>
        <w:rPr>
          <w:rFonts w:ascii="Arial Black" w:hAnsi="Arial Black"/>
          <w:b/>
          <w:bCs/>
          <w:sz w:val="24"/>
          <w:szCs w:val="24"/>
        </w:rPr>
      </w:pPr>
    </w:p>
    <w:p w14:paraId="2EEA0D80" w14:textId="77777777" w:rsidR="00922A0A" w:rsidRDefault="00922A0A" w:rsidP="00F326E5">
      <w:pPr>
        <w:pStyle w:val="NoSpacing"/>
        <w:rPr>
          <w:rFonts w:ascii="Arial Black" w:hAnsi="Arial Black"/>
          <w:b/>
          <w:bCs/>
          <w:sz w:val="24"/>
          <w:szCs w:val="24"/>
        </w:rPr>
      </w:pPr>
    </w:p>
    <w:p w14:paraId="2D5636DE" w14:textId="284D0CA0" w:rsidR="006D679A" w:rsidRDefault="006D679A" w:rsidP="00F326E5">
      <w:pPr>
        <w:pStyle w:val="NoSpacing"/>
        <w:rPr>
          <w:rFonts w:ascii="Arial Black" w:hAnsi="Arial Black"/>
          <w:b/>
          <w:bCs/>
          <w:sz w:val="24"/>
          <w:szCs w:val="24"/>
        </w:rPr>
      </w:pPr>
      <w:r>
        <w:rPr>
          <w:rFonts w:ascii="Arial Black" w:hAnsi="Arial Black"/>
          <w:b/>
          <w:bCs/>
          <w:sz w:val="24"/>
          <w:szCs w:val="24"/>
        </w:rPr>
        <w:t>7-67</w:t>
      </w:r>
    </w:p>
    <w:p w14:paraId="012F81BD" w14:textId="77777777" w:rsidR="006D679A" w:rsidRDefault="006D679A" w:rsidP="00F326E5">
      <w:pPr>
        <w:pStyle w:val="NoSpacing"/>
        <w:rPr>
          <w:rFonts w:ascii="Arial Black" w:hAnsi="Arial Black"/>
          <w:b/>
          <w:bCs/>
          <w:sz w:val="24"/>
          <w:szCs w:val="24"/>
        </w:rPr>
      </w:pPr>
    </w:p>
    <w:p w14:paraId="1E9B3EBF" w14:textId="77777777" w:rsidR="005904B5" w:rsidRPr="00D0761D" w:rsidRDefault="005904B5" w:rsidP="005904B5">
      <w:pPr>
        <w:pStyle w:val="NoSpacing"/>
        <w:rPr>
          <w:rFonts w:ascii="Arial Black" w:hAnsi="Arial Black"/>
          <w:sz w:val="28"/>
        </w:rPr>
      </w:pPr>
      <w:r>
        <w:rPr>
          <w:rFonts w:ascii="Arial Black" w:hAnsi="Arial Black"/>
          <w:sz w:val="28"/>
        </w:rPr>
        <w:t>NM: DEPUTY CHIEF FIRED – OFFENSIVE COMMENTS FEMALE CADET: “BEAUTIFUL WOMAN IN HER UNDERWEAR”</w:t>
      </w:r>
    </w:p>
    <w:p w14:paraId="44C2D604" w14:textId="77777777" w:rsidR="005904B5" w:rsidRPr="005904B5" w:rsidRDefault="005904B5" w:rsidP="005904B5">
      <w:pPr>
        <w:pStyle w:val="NoSpacing"/>
        <w:rPr>
          <w:rFonts w:ascii="Times New Roman" w:hAnsi="Times New Roman"/>
          <w:sz w:val="24"/>
          <w:szCs w:val="24"/>
        </w:rPr>
      </w:pPr>
    </w:p>
    <w:p w14:paraId="01992CE0" w14:textId="77777777" w:rsidR="005904B5" w:rsidRPr="005904B5" w:rsidRDefault="005904B5" w:rsidP="005904B5">
      <w:pPr>
        <w:pStyle w:val="NoSpacing"/>
        <w:rPr>
          <w:rFonts w:ascii="Times New Roman" w:hAnsi="Times New Roman"/>
          <w:sz w:val="24"/>
          <w:szCs w:val="24"/>
        </w:rPr>
      </w:pPr>
      <w:r w:rsidRPr="005904B5">
        <w:rPr>
          <w:rFonts w:ascii="Times New Roman" w:hAnsi="Times New Roman"/>
          <w:sz w:val="24"/>
          <w:szCs w:val="24"/>
        </w:rPr>
        <w:t xml:space="preserve">On September 30, 2024, in </w:t>
      </w:r>
      <w:r w:rsidRPr="005904B5">
        <w:rPr>
          <w:rFonts w:ascii="Times New Roman" w:hAnsi="Times New Roman"/>
          <w:sz w:val="24"/>
          <w:szCs w:val="24"/>
          <w:u w:val="single"/>
        </w:rPr>
        <w:t xml:space="preserve">Eric Tafoya v. City of </w:t>
      </w:r>
      <w:proofErr w:type="spellStart"/>
      <w:r w:rsidRPr="005904B5">
        <w:rPr>
          <w:rFonts w:ascii="Times New Roman" w:hAnsi="Times New Roman"/>
          <w:sz w:val="24"/>
          <w:szCs w:val="24"/>
          <w:u w:val="single"/>
        </w:rPr>
        <w:t>Espaaola</w:t>
      </w:r>
      <w:proofErr w:type="spellEnd"/>
      <w:r w:rsidRPr="005904B5">
        <w:rPr>
          <w:rFonts w:ascii="Times New Roman" w:hAnsi="Times New Roman"/>
          <w:sz w:val="24"/>
          <w:szCs w:val="24"/>
        </w:rPr>
        <w:t xml:space="preserve">, the Court of Appeals of New Mexico (3 to 0; unpublished decision) upheld the City’s termination of the Deputy Fire Chief; he made comments to female Cadet who needed smaller fire boots (in front of her female Lieutenant), about his liking her small feet and male firefighters will not complain about working with her -  “I don’t know why they’d complain about seeing a beautiful woman in her underwear.” The City’s Civil Service Commission hearing officer reversed the termination because the inappropriate comments did not create a “hostile work environment.”   The City appealed to state District Court judge, who upheld the termination; the Court of Appeals agreed.  The Court wrote: “[T]he hearing officer appears to have relied on cases involving claims of sexual harassment under the New Mexico Human Rights Act, NMSA 1978, §§ 28-1-1 to -14 (1969, as amended through 2024), when reaching its decision that Tafoya did not violate the City’s sexual harassment policy. Using those cases, Tafoya argued that New Mexico only recognizes ‘hostile work environment’ and ‘quid pro quo’ sexual harassment claims. *** In that regard, we note that the City’s policy is much broader than Tafoya argues. It provides discipline for sexually harassing conduct that had ‘the effect of creating an offensive, intimidating, degrading or hostile work environment.’ Personnel Policy § 1.4.1(B) at 5 (emphasis added).” </w:t>
      </w:r>
      <w:hyperlink r:id="rId1370" w:history="1">
        <w:r w:rsidRPr="005904B5">
          <w:rPr>
            <w:rStyle w:val="Hyperlink"/>
            <w:rFonts w:ascii="Times New Roman" w:hAnsi="Times New Roman"/>
            <w:sz w:val="24"/>
            <w:szCs w:val="24"/>
          </w:rPr>
          <w:t>https://coa.nmcourts.gov/wp-content/uploads/sites/43/2024/09/September-30-2024-Eric-Tafoya-v.-City-of-Espanola-No.-A-1-CA-40276.pdf</w:t>
        </w:r>
      </w:hyperlink>
      <w:r w:rsidRPr="005904B5">
        <w:rPr>
          <w:rFonts w:ascii="Times New Roman" w:hAnsi="Times New Roman"/>
          <w:sz w:val="24"/>
          <w:szCs w:val="24"/>
        </w:rPr>
        <w:t xml:space="preserve"> </w:t>
      </w:r>
    </w:p>
    <w:p w14:paraId="6C5B438C" w14:textId="77777777" w:rsidR="005904B5" w:rsidRPr="005904B5" w:rsidRDefault="005904B5" w:rsidP="005904B5">
      <w:pPr>
        <w:pStyle w:val="NoSpacing"/>
        <w:rPr>
          <w:rFonts w:ascii="Times New Roman" w:hAnsi="Times New Roman"/>
          <w:sz w:val="24"/>
          <w:szCs w:val="24"/>
        </w:rPr>
      </w:pPr>
    </w:p>
    <w:p w14:paraId="043B3837" w14:textId="77777777" w:rsidR="005904B5" w:rsidRPr="005904B5" w:rsidRDefault="005904B5" w:rsidP="005904B5">
      <w:pPr>
        <w:pStyle w:val="NoSpacing"/>
        <w:rPr>
          <w:rFonts w:ascii="Times New Roman" w:hAnsi="Times New Roman"/>
          <w:sz w:val="24"/>
          <w:szCs w:val="24"/>
        </w:rPr>
      </w:pPr>
    </w:p>
    <w:p w14:paraId="6EE859A3" w14:textId="77777777" w:rsidR="005904B5" w:rsidRPr="005904B5" w:rsidRDefault="005904B5" w:rsidP="005904B5">
      <w:pPr>
        <w:pStyle w:val="NoSpacing"/>
        <w:rPr>
          <w:rFonts w:ascii="Times New Roman" w:hAnsi="Times New Roman"/>
          <w:sz w:val="24"/>
          <w:szCs w:val="24"/>
        </w:rPr>
      </w:pPr>
      <w:r w:rsidRPr="005904B5">
        <w:rPr>
          <w:rFonts w:ascii="Times New Roman" w:hAnsi="Times New Roman"/>
          <w:sz w:val="24"/>
          <w:szCs w:val="24"/>
        </w:rPr>
        <w:t>THE COURT HELD:</w:t>
      </w:r>
    </w:p>
    <w:p w14:paraId="62C3C33D" w14:textId="77777777" w:rsidR="005904B5" w:rsidRPr="005904B5" w:rsidRDefault="005904B5" w:rsidP="005904B5">
      <w:pPr>
        <w:pStyle w:val="NoSpacing"/>
        <w:rPr>
          <w:rFonts w:ascii="Times New Roman" w:hAnsi="Times New Roman"/>
          <w:sz w:val="24"/>
          <w:szCs w:val="24"/>
        </w:rPr>
      </w:pPr>
    </w:p>
    <w:p w14:paraId="0B25F346" w14:textId="77777777" w:rsidR="005904B5" w:rsidRPr="005904B5" w:rsidRDefault="005904B5" w:rsidP="005904B5">
      <w:pPr>
        <w:pStyle w:val="NoSpacing"/>
        <w:ind w:left="720"/>
        <w:rPr>
          <w:rFonts w:ascii="Times New Roman" w:hAnsi="Times New Roman"/>
          <w:sz w:val="24"/>
          <w:szCs w:val="24"/>
        </w:rPr>
      </w:pPr>
      <w:r w:rsidRPr="005904B5">
        <w:rPr>
          <w:rFonts w:ascii="Times New Roman" w:hAnsi="Times New Roman"/>
          <w:sz w:val="24"/>
          <w:szCs w:val="24"/>
        </w:rPr>
        <w:t>“The record supports the district court’s determination that Tafoya’s comments, detailed above, constitute sexual flirtation, verbal comments of a sexual nature, or suggestive comments about Cadet Hart’s body, in violation of the City’s sexual harassment policy.</w:t>
      </w:r>
    </w:p>
    <w:p w14:paraId="49F27E6D" w14:textId="77777777" w:rsidR="005904B5" w:rsidRPr="005904B5" w:rsidRDefault="005904B5" w:rsidP="005904B5">
      <w:pPr>
        <w:pStyle w:val="NoSpacing"/>
        <w:ind w:left="720"/>
        <w:rPr>
          <w:rFonts w:ascii="Times New Roman" w:hAnsi="Times New Roman"/>
          <w:sz w:val="24"/>
          <w:szCs w:val="24"/>
        </w:rPr>
      </w:pPr>
    </w:p>
    <w:p w14:paraId="76E8E5B3" w14:textId="77777777" w:rsidR="005904B5" w:rsidRPr="005904B5" w:rsidRDefault="005904B5" w:rsidP="005904B5">
      <w:pPr>
        <w:pStyle w:val="NoSpacing"/>
        <w:ind w:left="720"/>
        <w:rPr>
          <w:rFonts w:ascii="Times New Roman" w:hAnsi="Times New Roman"/>
          <w:sz w:val="24"/>
          <w:szCs w:val="24"/>
        </w:rPr>
      </w:pPr>
      <w:r w:rsidRPr="005904B5">
        <w:rPr>
          <w:rFonts w:ascii="Times New Roman" w:hAnsi="Times New Roman"/>
          <w:sz w:val="24"/>
          <w:szCs w:val="24"/>
        </w:rPr>
        <w:t>***</w:t>
      </w:r>
    </w:p>
    <w:p w14:paraId="5FC0F684" w14:textId="77777777" w:rsidR="005904B5" w:rsidRPr="005904B5" w:rsidRDefault="005904B5" w:rsidP="005904B5">
      <w:pPr>
        <w:pStyle w:val="NoSpacing"/>
        <w:rPr>
          <w:rFonts w:ascii="Times New Roman" w:hAnsi="Times New Roman"/>
          <w:sz w:val="24"/>
          <w:szCs w:val="24"/>
        </w:rPr>
      </w:pPr>
    </w:p>
    <w:p w14:paraId="08BE14C7" w14:textId="77777777" w:rsidR="005904B5" w:rsidRPr="005904B5" w:rsidRDefault="005904B5" w:rsidP="005904B5">
      <w:pPr>
        <w:pStyle w:val="NoSpacing"/>
        <w:ind w:left="720"/>
        <w:rPr>
          <w:rFonts w:ascii="Times New Roman" w:hAnsi="Times New Roman"/>
          <w:sz w:val="24"/>
          <w:szCs w:val="24"/>
        </w:rPr>
      </w:pPr>
      <w:r w:rsidRPr="005904B5">
        <w:rPr>
          <w:rFonts w:ascii="Times New Roman" w:hAnsi="Times New Roman"/>
          <w:sz w:val="24"/>
          <w:szCs w:val="24"/>
        </w:rPr>
        <w:t>The hearing officer made the following findings, which were adopted by the district court: (1) in response to Lieutenant Martinez’s statement that Tafoya’s boots would not fit Cadet Hart because she has ‘tiny feet,’ Tafoya stated that he ‘loves tiny feet’; (2) in response to Cadet Hart’s statement that ‘my feet are tiny because I have high arches,’ Tafoya stated that he ‘loves high arches and flat feet were ugly’; (3) Tafoya instructed Cadet Hart to try on his turnout gear, and Lieutenant Martinez stated it was okay to do so; (4) Tafoya stated, ‘Oh, good, now we get to see her feet’; and (5) when male firefighters were questioning sharing space with a female and seeing her in her underwear, Tafoya interjected, ‘I don’t know why they’d complain about seeing a beautiful woman in her underwear,’ which Cadet Hart perceived as having sexual connotations and made her feel uncomfortable. These findings are supported by the affidavits of both Lieutenant Martinez and Cadet Hart.”</w:t>
      </w:r>
    </w:p>
    <w:p w14:paraId="7F2FBC34" w14:textId="77777777" w:rsidR="005904B5" w:rsidRPr="005904B5" w:rsidRDefault="005904B5" w:rsidP="005904B5">
      <w:pPr>
        <w:pStyle w:val="NoSpacing"/>
        <w:ind w:left="720"/>
        <w:rPr>
          <w:rFonts w:ascii="Times New Roman" w:hAnsi="Times New Roman"/>
          <w:sz w:val="24"/>
          <w:szCs w:val="24"/>
        </w:rPr>
      </w:pPr>
    </w:p>
    <w:p w14:paraId="30AB6E86" w14:textId="77777777" w:rsidR="005904B5" w:rsidRPr="005904B5" w:rsidRDefault="005904B5" w:rsidP="005904B5">
      <w:pPr>
        <w:pStyle w:val="NoSpacing"/>
        <w:rPr>
          <w:rFonts w:ascii="Times New Roman" w:hAnsi="Times New Roman"/>
          <w:b/>
          <w:bCs/>
          <w:sz w:val="24"/>
          <w:szCs w:val="24"/>
        </w:rPr>
      </w:pPr>
      <w:r w:rsidRPr="005904B5">
        <w:rPr>
          <w:rFonts w:ascii="Times New Roman" w:hAnsi="Times New Roman"/>
          <w:b/>
          <w:bCs/>
          <w:sz w:val="24"/>
          <w:szCs w:val="24"/>
        </w:rPr>
        <w:t xml:space="preserve">Legal Lesson Learned: Avoid offensive or degrading comments. </w:t>
      </w:r>
    </w:p>
    <w:p w14:paraId="4E2A559D" w14:textId="77777777" w:rsidR="006D679A" w:rsidRDefault="006D679A" w:rsidP="00F326E5">
      <w:pPr>
        <w:pStyle w:val="NoSpacing"/>
        <w:rPr>
          <w:rFonts w:ascii="Arial Black" w:hAnsi="Arial Black"/>
          <w:b/>
          <w:bCs/>
          <w:sz w:val="24"/>
          <w:szCs w:val="24"/>
        </w:rPr>
      </w:pPr>
    </w:p>
    <w:p w14:paraId="5A8FA857" w14:textId="77777777" w:rsidR="006D679A" w:rsidRDefault="006D679A" w:rsidP="00F326E5">
      <w:pPr>
        <w:pStyle w:val="NoSpacing"/>
        <w:rPr>
          <w:rFonts w:ascii="Arial Black" w:hAnsi="Arial Black"/>
          <w:b/>
          <w:bCs/>
          <w:sz w:val="24"/>
          <w:szCs w:val="24"/>
        </w:rPr>
      </w:pPr>
    </w:p>
    <w:p w14:paraId="1C9CBF3E" w14:textId="5F83B3A5" w:rsidR="00E04891" w:rsidRDefault="00E04891" w:rsidP="00F326E5">
      <w:pPr>
        <w:pStyle w:val="NoSpacing"/>
        <w:rPr>
          <w:rFonts w:ascii="Arial Black" w:hAnsi="Arial Black"/>
          <w:b/>
          <w:bCs/>
          <w:sz w:val="24"/>
          <w:szCs w:val="24"/>
        </w:rPr>
      </w:pPr>
      <w:r>
        <w:rPr>
          <w:rFonts w:ascii="Arial Black" w:hAnsi="Arial Black"/>
          <w:b/>
          <w:bCs/>
          <w:sz w:val="24"/>
          <w:szCs w:val="24"/>
        </w:rPr>
        <w:t>7-66</w:t>
      </w:r>
    </w:p>
    <w:p w14:paraId="5FE19DEC" w14:textId="77777777" w:rsidR="00235836" w:rsidRDefault="00235836" w:rsidP="00F326E5">
      <w:pPr>
        <w:pStyle w:val="NoSpacing"/>
        <w:rPr>
          <w:rFonts w:ascii="Arial Black" w:hAnsi="Arial Black"/>
          <w:b/>
          <w:bCs/>
          <w:sz w:val="24"/>
          <w:szCs w:val="24"/>
        </w:rPr>
      </w:pPr>
    </w:p>
    <w:p w14:paraId="54F3F4A6" w14:textId="77777777" w:rsidR="00235836" w:rsidRDefault="00235836" w:rsidP="00235836">
      <w:pPr>
        <w:pStyle w:val="NoSpacing"/>
        <w:rPr>
          <w:rFonts w:ascii="Arial Black" w:hAnsi="Arial Black"/>
          <w:sz w:val="28"/>
        </w:rPr>
      </w:pPr>
      <w:r>
        <w:rPr>
          <w:rFonts w:ascii="Arial Black" w:hAnsi="Arial Black"/>
          <w:sz w:val="28"/>
        </w:rPr>
        <w:t xml:space="preserve">LA: OFFICE ROMANCE – ADMIN. AIDE FIRED – TROUBLE IN WORKPLACE - DIVORCED A/C, MARRIED FORMER D/C </w:t>
      </w:r>
    </w:p>
    <w:p w14:paraId="2DFD5946" w14:textId="77777777" w:rsidR="00235836" w:rsidRDefault="00235836" w:rsidP="00235836">
      <w:pPr>
        <w:pStyle w:val="NoSpacing"/>
        <w:rPr>
          <w:rFonts w:ascii="Arial Black" w:hAnsi="Arial Black"/>
          <w:sz w:val="28"/>
        </w:rPr>
      </w:pPr>
    </w:p>
    <w:p w14:paraId="6B56AB84" w14:textId="77777777" w:rsidR="00235836" w:rsidRPr="00235836" w:rsidRDefault="00235836" w:rsidP="00235836">
      <w:pPr>
        <w:pStyle w:val="NoSpacing"/>
        <w:rPr>
          <w:rFonts w:ascii="Times New Roman" w:hAnsi="Times New Roman"/>
          <w:sz w:val="24"/>
          <w:szCs w:val="24"/>
        </w:rPr>
      </w:pPr>
      <w:r w:rsidRPr="00235836">
        <w:rPr>
          <w:rFonts w:ascii="Times New Roman" w:hAnsi="Times New Roman"/>
          <w:sz w:val="24"/>
          <w:szCs w:val="24"/>
        </w:rPr>
        <w:lastRenderedPageBreak/>
        <w:t xml:space="preserve">On August 7, 2024, in Stacie </w:t>
      </w:r>
      <w:proofErr w:type="spellStart"/>
      <w:r w:rsidRPr="00235836">
        <w:rPr>
          <w:rFonts w:ascii="Times New Roman" w:hAnsi="Times New Roman"/>
          <w:sz w:val="24"/>
          <w:szCs w:val="24"/>
        </w:rPr>
        <w:t>Dellucky</w:t>
      </w:r>
      <w:proofErr w:type="spellEnd"/>
      <w:r w:rsidRPr="00235836">
        <w:rPr>
          <w:rFonts w:ascii="Times New Roman" w:hAnsi="Times New Roman"/>
          <w:sz w:val="24"/>
          <w:szCs w:val="24"/>
        </w:rPr>
        <w:t xml:space="preserve"> and Frank Dellucky v, St. George Fire Protection District, et al., U.S. Court of Appeals for 5</w:t>
      </w:r>
      <w:r w:rsidRPr="00235836">
        <w:rPr>
          <w:rFonts w:ascii="Times New Roman" w:hAnsi="Times New Roman"/>
          <w:sz w:val="24"/>
          <w:szCs w:val="24"/>
          <w:vertAlign w:val="superscript"/>
        </w:rPr>
        <w:t>th</w:t>
      </w:r>
      <w:r w:rsidRPr="00235836">
        <w:rPr>
          <w:rFonts w:ascii="Times New Roman" w:hAnsi="Times New Roman"/>
          <w:sz w:val="24"/>
          <w:szCs w:val="24"/>
        </w:rPr>
        <w:t xml:space="preserve"> Circuit (New Orleans) held (3 to 0) that trial court properly summary judgment to the FD and fire chief.   The Court wrote: “Here, the challenged government action-the Chief's termination of Stacie-did not prohibit whole classes of people from marrying. Appellants adduced no evidence of a St. George policy barring co-workers from marrying or banning marriages between members of management and their subordinates. The evidence shows that the Chief's decision was motivated by the fact that </w:t>
      </w:r>
      <w:r w:rsidRPr="00235836">
        <w:rPr>
          <w:rFonts w:ascii="Times New Roman" w:hAnsi="Times New Roman"/>
          <w:i/>
          <w:iCs/>
          <w:sz w:val="24"/>
          <w:szCs w:val="24"/>
        </w:rPr>
        <w:t>Stacie</w:t>
      </w:r>
      <w:r w:rsidRPr="00235836">
        <w:rPr>
          <w:rFonts w:ascii="Times New Roman" w:hAnsi="Times New Roman"/>
          <w:sz w:val="24"/>
          <w:szCs w:val="24"/>
        </w:rPr>
        <w:t xml:space="preserve"> [who divorced  Assistant Fire Chief Chad Roberson] married </w:t>
      </w:r>
      <w:r w:rsidRPr="00235836">
        <w:rPr>
          <w:rFonts w:ascii="Times New Roman" w:hAnsi="Times New Roman"/>
          <w:i/>
          <w:iCs/>
          <w:sz w:val="24"/>
          <w:szCs w:val="24"/>
        </w:rPr>
        <w:t xml:space="preserve">Frank </w:t>
      </w:r>
      <w:r w:rsidRPr="00235836">
        <w:rPr>
          <w:rFonts w:ascii="Times New Roman" w:hAnsi="Times New Roman"/>
          <w:sz w:val="24"/>
          <w:szCs w:val="24"/>
        </w:rPr>
        <w:t xml:space="preserve">[Dellucky, now former District Chief]; there is no evidence that the outcome would have been the same if the marriage had been between two other employees. Moreover, Stacie's termination clearly did not discourage or render practically impossible her marriage to Frank: the record indicates that they remain married today. The challenged government action did not directly and substantially interfere with Stacie's or Frank's right to marry. The district court correctly determined that the appropriate standard of review, therefore, is rational basis review. *** Here, the Chief justified terminating Stacie in their conversation in July 2020: Stacie's and Frank's relationship had caused trouble in the workplace in the past, and the Chief had warned them that if their relationship became permanent, they would not be able to work at St. George. Maintaining workplace order and morale and ensuring that the chain-of-command operates effectively is a legitimate objective.” </w:t>
      </w:r>
      <w:hyperlink r:id="rId1371" w:history="1">
        <w:r w:rsidRPr="00235836">
          <w:rPr>
            <w:rStyle w:val="Hyperlink"/>
            <w:rFonts w:ascii="Times New Roman" w:hAnsi="Times New Roman"/>
            <w:sz w:val="24"/>
            <w:szCs w:val="24"/>
          </w:rPr>
          <w:t>https://www.ca5.uscourts.gov/opinions/unpub/23/23-30810.0.pdf</w:t>
        </w:r>
      </w:hyperlink>
      <w:r w:rsidRPr="00235836">
        <w:rPr>
          <w:rFonts w:ascii="Times New Roman" w:hAnsi="Times New Roman"/>
          <w:sz w:val="24"/>
          <w:szCs w:val="24"/>
        </w:rPr>
        <w:t xml:space="preserve"> </w:t>
      </w:r>
    </w:p>
    <w:p w14:paraId="76FEE607" w14:textId="77777777" w:rsidR="00235836" w:rsidRPr="00235836" w:rsidRDefault="00235836" w:rsidP="00235836">
      <w:pPr>
        <w:pStyle w:val="NoSpacing"/>
        <w:rPr>
          <w:rFonts w:ascii="Times New Roman" w:hAnsi="Times New Roman"/>
          <w:sz w:val="24"/>
          <w:szCs w:val="24"/>
        </w:rPr>
      </w:pPr>
    </w:p>
    <w:p w14:paraId="2BCB9D25" w14:textId="77777777" w:rsidR="00235836" w:rsidRPr="00235836" w:rsidRDefault="00235836" w:rsidP="00235836">
      <w:pPr>
        <w:pStyle w:val="NoSpacing"/>
        <w:rPr>
          <w:rFonts w:ascii="Times New Roman" w:hAnsi="Times New Roman"/>
          <w:sz w:val="24"/>
          <w:szCs w:val="24"/>
        </w:rPr>
      </w:pPr>
      <w:r w:rsidRPr="00235836">
        <w:rPr>
          <w:rFonts w:ascii="Times New Roman" w:hAnsi="Times New Roman"/>
          <w:sz w:val="24"/>
          <w:szCs w:val="24"/>
        </w:rPr>
        <w:t>THE COURT HELD:</w:t>
      </w:r>
    </w:p>
    <w:p w14:paraId="3D585EFF" w14:textId="77777777" w:rsidR="00235836" w:rsidRPr="00235836" w:rsidRDefault="00235836" w:rsidP="00235836">
      <w:pPr>
        <w:pStyle w:val="NoSpacing"/>
        <w:ind w:left="720"/>
        <w:rPr>
          <w:rFonts w:ascii="Times New Roman" w:hAnsi="Times New Roman"/>
          <w:sz w:val="24"/>
          <w:szCs w:val="24"/>
        </w:rPr>
      </w:pPr>
    </w:p>
    <w:p w14:paraId="02412C37" w14:textId="77777777" w:rsidR="00235836" w:rsidRPr="00235836" w:rsidRDefault="00235836" w:rsidP="00235836">
      <w:pPr>
        <w:pStyle w:val="NoSpacing"/>
        <w:ind w:left="720"/>
        <w:rPr>
          <w:rFonts w:ascii="Times New Roman" w:hAnsi="Times New Roman"/>
          <w:sz w:val="24"/>
          <w:szCs w:val="24"/>
        </w:rPr>
      </w:pPr>
      <w:r w:rsidRPr="00235836">
        <w:rPr>
          <w:rFonts w:ascii="Times New Roman" w:hAnsi="Times New Roman"/>
          <w:sz w:val="24"/>
          <w:szCs w:val="24"/>
        </w:rPr>
        <w:t xml:space="preserve">”And Appellants' unsupported assertions notwithstanding, the summary judgment record suggests that Stacie's and Frank's relationship threatened the Chief's ability to accomplish that objective. Appellees have proffered summary judgment evidence showing that the Chief's decision to terminate Stacie bore a ‘rational relationship’ to a legitimate objective. </w:t>
      </w:r>
      <w:r w:rsidRPr="00235836">
        <w:rPr>
          <w:rFonts w:ascii="Times New Roman" w:hAnsi="Times New Roman"/>
          <w:i/>
          <w:iCs/>
          <w:sz w:val="24"/>
          <w:szCs w:val="24"/>
        </w:rPr>
        <w:t>Lewis</w:t>
      </w:r>
      <w:r w:rsidRPr="00235836">
        <w:rPr>
          <w:rFonts w:ascii="Times New Roman" w:hAnsi="Times New Roman"/>
          <w:sz w:val="24"/>
          <w:szCs w:val="24"/>
        </w:rPr>
        <w:t>, 2022 WL 10965839, at *3. Accordingly, the Chief's decision to terminate Stacie's employment passes the rational basis test.”</w:t>
      </w:r>
    </w:p>
    <w:p w14:paraId="1949E9B6" w14:textId="77777777" w:rsidR="00235836" w:rsidRPr="00235836" w:rsidRDefault="00235836" w:rsidP="00235836">
      <w:pPr>
        <w:pStyle w:val="NoSpacing"/>
        <w:ind w:left="720"/>
        <w:rPr>
          <w:rFonts w:ascii="Times New Roman" w:hAnsi="Times New Roman"/>
          <w:sz w:val="24"/>
          <w:szCs w:val="24"/>
        </w:rPr>
      </w:pPr>
    </w:p>
    <w:p w14:paraId="06D5F80A" w14:textId="77777777" w:rsidR="00235836" w:rsidRPr="00235836" w:rsidRDefault="00235836" w:rsidP="00235836">
      <w:pPr>
        <w:pStyle w:val="NoSpacing"/>
        <w:rPr>
          <w:rFonts w:ascii="Times New Roman" w:hAnsi="Times New Roman"/>
          <w:b/>
          <w:bCs/>
          <w:sz w:val="24"/>
          <w:szCs w:val="24"/>
        </w:rPr>
      </w:pPr>
      <w:r w:rsidRPr="00235836">
        <w:rPr>
          <w:rFonts w:ascii="Times New Roman" w:hAnsi="Times New Roman"/>
          <w:b/>
          <w:bCs/>
          <w:sz w:val="24"/>
          <w:szCs w:val="24"/>
        </w:rPr>
        <w:t>Legal Lesson Learned:  As the Court wrote: “Maintaining workplace order and morale and ensuring that the chain-of-command operates effectively is a legitimate objective.”</w:t>
      </w:r>
    </w:p>
    <w:p w14:paraId="59993FB8" w14:textId="77777777" w:rsidR="00235836" w:rsidRDefault="00235836" w:rsidP="00235836">
      <w:pPr>
        <w:pStyle w:val="NoSpacing"/>
        <w:jc w:val="center"/>
        <w:rPr>
          <w:szCs w:val="24"/>
        </w:rPr>
      </w:pPr>
    </w:p>
    <w:p w14:paraId="672E5680" w14:textId="77777777" w:rsidR="00235836" w:rsidRDefault="00235836" w:rsidP="00235836">
      <w:pPr>
        <w:pStyle w:val="NoSpacing"/>
        <w:rPr>
          <w:szCs w:val="24"/>
        </w:rPr>
      </w:pPr>
    </w:p>
    <w:p w14:paraId="07309D66" w14:textId="77777777" w:rsidR="00E04891" w:rsidRDefault="00E04891" w:rsidP="00F326E5">
      <w:pPr>
        <w:pStyle w:val="NoSpacing"/>
        <w:rPr>
          <w:rFonts w:ascii="Arial Black" w:hAnsi="Arial Black"/>
          <w:b/>
          <w:bCs/>
          <w:sz w:val="24"/>
          <w:szCs w:val="24"/>
        </w:rPr>
      </w:pPr>
    </w:p>
    <w:p w14:paraId="0395F36F" w14:textId="74F57258" w:rsidR="005D56E5" w:rsidRDefault="00DD6FAF" w:rsidP="00F326E5">
      <w:pPr>
        <w:pStyle w:val="NoSpacing"/>
        <w:rPr>
          <w:rFonts w:ascii="Arial Black" w:hAnsi="Arial Black"/>
          <w:b/>
          <w:bCs/>
          <w:sz w:val="24"/>
          <w:szCs w:val="24"/>
        </w:rPr>
      </w:pPr>
      <w:r>
        <w:rPr>
          <w:rFonts w:ascii="Arial Black" w:hAnsi="Arial Black"/>
          <w:b/>
          <w:bCs/>
          <w:sz w:val="24"/>
          <w:szCs w:val="24"/>
        </w:rPr>
        <w:t>7-65</w:t>
      </w:r>
    </w:p>
    <w:p w14:paraId="74C84B6B" w14:textId="77777777" w:rsidR="00D6205D" w:rsidRDefault="00D6205D" w:rsidP="00F326E5">
      <w:pPr>
        <w:pStyle w:val="NoSpacing"/>
        <w:rPr>
          <w:rFonts w:ascii="Arial Black" w:hAnsi="Arial Black"/>
          <w:b/>
          <w:bCs/>
          <w:sz w:val="24"/>
          <w:szCs w:val="24"/>
        </w:rPr>
      </w:pPr>
    </w:p>
    <w:p w14:paraId="41CF91FD" w14:textId="36FEA821" w:rsidR="00E04891" w:rsidRPr="003E239A" w:rsidRDefault="00E04891" w:rsidP="00E04891">
      <w:pPr>
        <w:pStyle w:val="NoSpacing"/>
        <w:rPr>
          <w:rFonts w:ascii="Arial Black" w:hAnsi="Arial Black"/>
          <w:sz w:val="28"/>
        </w:rPr>
      </w:pPr>
      <w:r>
        <w:rPr>
          <w:rFonts w:ascii="Arial Black" w:hAnsi="Arial Black"/>
          <w:sz w:val="28"/>
        </w:rPr>
        <w:t>VI: SHE WOKE UP FF “SUCKING ON HER BREAST” - CONT. VIOL. - PRIOR CLAIMS ALSO ADMISSIBLE</w:t>
      </w:r>
    </w:p>
    <w:p w14:paraId="28C50595" w14:textId="77777777" w:rsidR="00EA6854" w:rsidRPr="00EA6854" w:rsidRDefault="00EA6854" w:rsidP="00EA6854">
      <w:pPr>
        <w:pStyle w:val="NoSpacing"/>
        <w:rPr>
          <w:rFonts w:ascii="Times New Roman" w:hAnsi="Times New Roman"/>
          <w:sz w:val="24"/>
          <w:szCs w:val="24"/>
        </w:rPr>
      </w:pPr>
    </w:p>
    <w:p w14:paraId="2973F873" w14:textId="77777777" w:rsidR="00EA6854" w:rsidRPr="00EA6854" w:rsidRDefault="00EA6854" w:rsidP="00EA6854">
      <w:pPr>
        <w:pStyle w:val="NoSpacing"/>
        <w:rPr>
          <w:rFonts w:ascii="Times New Roman" w:hAnsi="Times New Roman"/>
          <w:sz w:val="24"/>
          <w:szCs w:val="24"/>
        </w:rPr>
      </w:pPr>
      <w:r w:rsidRPr="00EA6854">
        <w:rPr>
          <w:rFonts w:ascii="Times New Roman" w:hAnsi="Times New Roman"/>
          <w:sz w:val="24"/>
          <w:szCs w:val="24"/>
        </w:rPr>
        <w:t xml:space="preserve">On Aug. 6, 2024, </w:t>
      </w:r>
      <w:r w:rsidRPr="00EA6854">
        <w:rPr>
          <w:rFonts w:ascii="Times New Roman" w:hAnsi="Times New Roman"/>
          <w:sz w:val="24"/>
          <w:szCs w:val="24"/>
          <w:u w:val="single"/>
        </w:rPr>
        <w:t>in Syreeta Gumbs v. Government of the Virgin Island and Association of Firefighters Local 2125</w:t>
      </w:r>
      <w:r w:rsidRPr="00EA6854">
        <w:rPr>
          <w:rFonts w:ascii="Times New Roman" w:hAnsi="Times New Roman"/>
          <w:sz w:val="24"/>
          <w:szCs w:val="24"/>
        </w:rPr>
        <w:t xml:space="preserve">, Judge Denise M. Francois, Superior Court of the Virgin Island, denied the defense motion for summary judgment, finding that the FD failed to adequately investigate complaints of harassment. Her 2017 complaint about “breast sucking” was timely, however under the “continuing violation doctrine” prior incidents can also go to jury. The Court wrote: “It is reasonable to expect that when faced with a sexual harassment complaint, an employer is not relieved of its duty to ensure the work environment is free from sexual harassment once a complaint is made, regardless of whether the alleged victim cooperates or not. *** November 6, 2017, is the date of the last alleged injury…. by fellow firefighter Lionel Warrell while they were both stationed in St. John. After Hurricanes Irma and Maria destroyed the Cruz Bay fire stations' lodging quarters, firefighters working 24-hour shifts were housed at the St. John Westin, and Gumbs was given her own room within a suite. During the early morning on November 6, Gumbs was asleep in her suite when she was ‘woke up to her shirt lifted above her breast and Warrell sucking on her breast without her consent.’ Gumbs screamed and immediately told Worrell to get out of her room; she later confronted him about the incident. Warrell subsequently admitted to Gumbs' allegations.” </w:t>
      </w:r>
      <w:hyperlink r:id="rId1372" w:history="1">
        <w:r w:rsidRPr="00EA6854">
          <w:rPr>
            <w:rStyle w:val="Hyperlink"/>
            <w:rFonts w:ascii="Times New Roman" w:hAnsi="Times New Roman"/>
            <w:sz w:val="24"/>
            <w:szCs w:val="24"/>
          </w:rPr>
          <w:t>https://cdnsm5-hosted.civiclive.com/UserFiles/Servers/Server_12810747/File/Opinions/2024/st2020cv00154%2029U.pdf</w:t>
        </w:r>
      </w:hyperlink>
      <w:r w:rsidRPr="00EA6854">
        <w:rPr>
          <w:rFonts w:ascii="Times New Roman" w:hAnsi="Times New Roman"/>
          <w:sz w:val="24"/>
          <w:szCs w:val="24"/>
        </w:rPr>
        <w:t xml:space="preserve"> </w:t>
      </w:r>
    </w:p>
    <w:p w14:paraId="610F2D04" w14:textId="77777777" w:rsidR="00EA6854" w:rsidRPr="00EA6854" w:rsidRDefault="00EA6854" w:rsidP="00EA6854">
      <w:pPr>
        <w:pStyle w:val="NoSpacing"/>
        <w:rPr>
          <w:rFonts w:ascii="Times New Roman" w:hAnsi="Times New Roman"/>
          <w:sz w:val="24"/>
          <w:szCs w:val="24"/>
        </w:rPr>
      </w:pPr>
    </w:p>
    <w:p w14:paraId="1E3ED91B" w14:textId="77777777" w:rsidR="00EA6854" w:rsidRPr="00EA6854" w:rsidRDefault="00EA6854" w:rsidP="00EA6854">
      <w:pPr>
        <w:pStyle w:val="NoSpacing"/>
        <w:rPr>
          <w:rFonts w:ascii="Times New Roman" w:hAnsi="Times New Roman"/>
          <w:sz w:val="24"/>
          <w:szCs w:val="24"/>
        </w:rPr>
      </w:pPr>
      <w:r w:rsidRPr="00EA6854">
        <w:rPr>
          <w:rFonts w:ascii="Times New Roman" w:hAnsi="Times New Roman"/>
          <w:sz w:val="24"/>
          <w:szCs w:val="24"/>
        </w:rPr>
        <w:t>THE COURT HELD:</w:t>
      </w:r>
    </w:p>
    <w:p w14:paraId="6C1BB4CD" w14:textId="77777777" w:rsidR="00EA6854" w:rsidRPr="00EA6854" w:rsidRDefault="00EA6854" w:rsidP="00EA6854">
      <w:pPr>
        <w:pStyle w:val="NoSpacing"/>
        <w:rPr>
          <w:rFonts w:ascii="Times New Roman" w:hAnsi="Times New Roman"/>
          <w:sz w:val="24"/>
          <w:szCs w:val="24"/>
        </w:rPr>
      </w:pPr>
    </w:p>
    <w:p w14:paraId="7DF40E0F" w14:textId="77777777" w:rsidR="00EA6854" w:rsidRPr="00EA6854" w:rsidRDefault="00EA6854" w:rsidP="00EA6854">
      <w:pPr>
        <w:pStyle w:val="NoSpacing"/>
        <w:ind w:left="720"/>
        <w:rPr>
          <w:rFonts w:ascii="Times New Roman" w:hAnsi="Times New Roman"/>
          <w:sz w:val="24"/>
          <w:szCs w:val="24"/>
        </w:rPr>
      </w:pPr>
      <w:r w:rsidRPr="00EA6854">
        <w:rPr>
          <w:rFonts w:ascii="Times New Roman" w:hAnsi="Times New Roman"/>
          <w:sz w:val="24"/>
          <w:szCs w:val="24"/>
        </w:rPr>
        <w:t xml:space="preserve">“Because Gumbs' most recent claimed injury occurred within the limitations period, the continuing violation doctrine renders Gumbs' 2009 and 2013 claims timely. The Court concludes that a reasonable jury could enter judgment in favor of Gumbs and consider the 2009, 2013, and 2017 incidents of alleged sexual harassment and the </w:t>
      </w:r>
      <w:proofErr w:type="gramStart"/>
      <w:r w:rsidRPr="00EA6854">
        <w:rPr>
          <w:rFonts w:ascii="Times New Roman" w:hAnsi="Times New Roman"/>
          <w:sz w:val="24"/>
          <w:szCs w:val="24"/>
        </w:rPr>
        <w:t>manner in which</w:t>
      </w:r>
      <w:proofErr w:type="gramEnd"/>
      <w:r w:rsidRPr="00EA6854">
        <w:rPr>
          <w:rFonts w:ascii="Times New Roman" w:hAnsi="Times New Roman"/>
          <w:sz w:val="24"/>
          <w:szCs w:val="24"/>
        </w:rPr>
        <w:t xml:space="preserve"> GVI handled those complaints as ongoing, discriminatory practice that created a hostile work environment. Accordingly, summary judgment is denied.</w:t>
      </w:r>
    </w:p>
    <w:p w14:paraId="16CC63BE" w14:textId="77777777" w:rsidR="00EA6854" w:rsidRPr="00EA6854" w:rsidRDefault="00EA6854" w:rsidP="00EA6854">
      <w:pPr>
        <w:pStyle w:val="NoSpacing"/>
        <w:ind w:left="720"/>
        <w:rPr>
          <w:rFonts w:ascii="Times New Roman" w:hAnsi="Times New Roman"/>
          <w:sz w:val="24"/>
          <w:szCs w:val="24"/>
        </w:rPr>
      </w:pPr>
    </w:p>
    <w:p w14:paraId="3A1B211A" w14:textId="77777777" w:rsidR="00EA6854" w:rsidRPr="00EA6854" w:rsidRDefault="00EA6854" w:rsidP="00EA6854">
      <w:pPr>
        <w:pStyle w:val="NoSpacing"/>
        <w:ind w:left="720"/>
        <w:rPr>
          <w:rFonts w:ascii="Times New Roman" w:hAnsi="Times New Roman"/>
          <w:sz w:val="24"/>
          <w:szCs w:val="24"/>
        </w:rPr>
      </w:pPr>
      <w:r w:rsidRPr="00EA6854">
        <w:rPr>
          <w:rFonts w:ascii="Times New Roman" w:hAnsi="Times New Roman"/>
          <w:sz w:val="24"/>
          <w:szCs w:val="24"/>
        </w:rPr>
        <w:t>***</w:t>
      </w:r>
    </w:p>
    <w:p w14:paraId="3DD1BB50" w14:textId="77777777" w:rsidR="00EA6854" w:rsidRPr="00EA6854" w:rsidRDefault="00EA6854" w:rsidP="00EA6854">
      <w:pPr>
        <w:pStyle w:val="NoSpacing"/>
        <w:ind w:left="720"/>
        <w:rPr>
          <w:rFonts w:ascii="Times New Roman" w:hAnsi="Times New Roman"/>
          <w:sz w:val="24"/>
          <w:szCs w:val="24"/>
        </w:rPr>
      </w:pPr>
    </w:p>
    <w:p w14:paraId="320BAFE0" w14:textId="77777777" w:rsidR="00EA6854" w:rsidRPr="00EA6854" w:rsidRDefault="00EA6854" w:rsidP="00EA6854">
      <w:pPr>
        <w:pStyle w:val="NoSpacing"/>
        <w:ind w:left="720"/>
        <w:rPr>
          <w:rFonts w:ascii="Times New Roman" w:hAnsi="Times New Roman"/>
          <w:sz w:val="24"/>
          <w:szCs w:val="24"/>
        </w:rPr>
      </w:pPr>
      <w:r w:rsidRPr="00EA6854">
        <w:rPr>
          <w:rFonts w:ascii="Times New Roman" w:hAnsi="Times New Roman"/>
          <w:sz w:val="24"/>
          <w:szCs w:val="24"/>
        </w:rPr>
        <w:t xml:space="preserve">Drawing all reasonable inferences in favor of Gumbs as the nonmoving party, a trier of fact could find that the incidents reported were not discrete and unrelated but were part of an ongoing discriminatory pattern or practice of sexual based harassment. Although several years lapsed between the alleged conduct, Andre Smith was the same superior to whom Gumbs reported her harassment claims to in both 2009 and 2013. Furthermore, Chief Smith acknowledged that at the time of Gumbs' initial complaint, female fire fighters were relatively new to VIFS. In addition, the agency had not dealt with sexual harassment complaints before </w:t>
      </w:r>
      <w:proofErr w:type="gramStart"/>
      <w:r w:rsidRPr="00EA6854">
        <w:rPr>
          <w:rFonts w:ascii="Times New Roman" w:hAnsi="Times New Roman"/>
          <w:sz w:val="24"/>
          <w:szCs w:val="24"/>
        </w:rPr>
        <w:t>Gumbs</w:t>
      </w:r>
      <w:proofErr w:type="gramEnd"/>
      <w:r w:rsidRPr="00EA6854">
        <w:rPr>
          <w:rFonts w:ascii="Times New Roman" w:hAnsi="Times New Roman"/>
          <w:sz w:val="24"/>
          <w:szCs w:val="24"/>
        </w:rPr>
        <w:t xml:space="preserve"> and the record demonstrates a lack of consistency in the protocol followed in response to each of her complaints.”</w:t>
      </w:r>
    </w:p>
    <w:p w14:paraId="0566E69E" w14:textId="77777777" w:rsidR="00EA6854" w:rsidRPr="00EA6854" w:rsidRDefault="00EA6854" w:rsidP="00EA6854">
      <w:pPr>
        <w:pStyle w:val="NoSpacing"/>
        <w:ind w:left="720"/>
        <w:rPr>
          <w:rFonts w:ascii="Times New Roman" w:hAnsi="Times New Roman"/>
          <w:sz w:val="24"/>
          <w:szCs w:val="24"/>
        </w:rPr>
      </w:pPr>
    </w:p>
    <w:p w14:paraId="57A9DE64" w14:textId="77777777" w:rsidR="00EA6854" w:rsidRPr="00EA6854" w:rsidRDefault="00EA6854" w:rsidP="00EA6854">
      <w:pPr>
        <w:pStyle w:val="NoSpacing"/>
        <w:rPr>
          <w:rFonts w:ascii="Times New Roman" w:hAnsi="Times New Roman"/>
          <w:sz w:val="24"/>
          <w:szCs w:val="24"/>
        </w:rPr>
      </w:pPr>
      <w:r w:rsidRPr="00EA6854">
        <w:rPr>
          <w:rFonts w:ascii="Times New Roman" w:hAnsi="Times New Roman"/>
          <w:sz w:val="24"/>
          <w:szCs w:val="24"/>
        </w:rPr>
        <w:t>FACTS:</w:t>
      </w:r>
    </w:p>
    <w:p w14:paraId="2AC57580" w14:textId="77777777" w:rsidR="00EA6854" w:rsidRPr="00EA6854" w:rsidRDefault="00EA6854" w:rsidP="00EA6854">
      <w:pPr>
        <w:pStyle w:val="NoSpacing"/>
        <w:rPr>
          <w:rFonts w:ascii="Times New Roman" w:hAnsi="Times New Roman"/>
          <w:sz w:val="24"/>
          <w:szCs w:val="24"/>
        </w:rPr>
      </w:pPr>
    </w:p>
    <w:p w14:paraId="74397ACD" w14:textId="77777777" w:rsidR="00EA6854" w:rsidRPr="00EA6854" w:rsidRDefault="00EA6854" w:rsidP="00EA6854">
      <w:pPr>
        <w:pStyle w:val="NoSpacing"/>
        <w:ind w:left="720"/>
        <w:rPr>
          <w:rFonts w:ascii="Times New Roman" w:hAnsi="Times New Roman"/>
          <w:sz w:val="24"/>
          <w:szCs w:val="24"/>
        </w:rPr>
      </w:pPr>
      <w:r w:rsidRPr="00EA6854">
        <w:rPr>
          <w:rFonts w:ascii="Times New Roman" w:hAnsi="Times New Roman"/>
          <w:sz w:val="24"/>
          <w:szCs w:val="24"/>
        </w:rPr>
        <w:t xml:space="preserve">“Gumbs began working as a firefighter with the Virgin Islands Fire Service ("VIFS") in 2007 and alleges that she encountered sexual harassment and sexual assault at the hands of her employer. Gumbs was also a member of VIFS' associated union, the Association of Firefighters Local </w:t>
      </w:r>
      <w:proofErr w:type="gramStart"/>
      <w:r w:rsidRPr="00EA6854">
        <w:rPr>
          <w:rFonts w:ascii="Times New Roman" w:hAnsi="Times New Roman"/>
          <w:sz w:val="24"/>
          <w:szCs w:val="24"/>
        </w:rPr>
        <w:t>2125 (‘</w:t>
      </w:r>
      <w:proofErr w:type="gramEnd"/>
      <w:r w:rsidRPr="00EA6854">
        <w:rPr>
          <w:rFonts w:ascii="Times New Roman" w:hAnsi="Times New Roman"/>
          <w:sz w:val="24"/>
          <w:szCs w:val="24"/>
        </w:rPr>
        <w:t>the Union’).</w:t>
      </w:r>
    </w:p>
    <w:p w14:paraId="5C28F95D" w14:textId="77777777" w:rsidR="00EA6854" w:rsidRPr="00EA6854" w:rsidRDefault="00EA6854" w:rsidP="00EA6854">
      <w:pPr>
        <w:pStyle w:val="NoSpacing"/>
        <w:ind w:left="720"/>
        <w:rPr>
          <w:rFonts w:ascii="Times New Roman" w:hAnsi="Times New Roman"/>
          <w:sz w:val="24"/>
          <w:szCs w:val="24"/>
        </w:rPr>
      </w:pPr>
    </w:p>
    <w:p w14:paraId="2AF35E65" w14:textId="77777777" w:rsidR="00EA6854" w:rsidRPr="00EA6854" w:rsidRDefault="00EA6854" w:rsidP="00EA6854">
      <w:pPr>
        <w:pStyle w:val="NoSpacing"/>
        <w:ind w:left="720"/>
        <w:rPr>
          <w:rFonts w:ascii="Times New Roman" w:hAnsi="Times New Roman"/>
          <w:sz w:val="24"/>
          <w:szCs w:val="24"/>
        </w:rPr>
      </w:pPr>
      <w:r w:rsidRPr="00EA6854">
        <w:rPr>
          <w:rFonts w:ascii="Times New Roman" w:hAnsi="Times New Roman"/>
          <w:sz w:val="24"/>
          <w:szCs w:val="24"/>
        </w:rPr>
        <w:t>***</w:t>
      </w:r>
    </w:p>
    <w:p w14:paraId="55791AF6" w14:textId="77777777" w:rsidR="00EA6854" w:rsidRPr="00EA6854" w:rsidRDefault="00EA6854" w:rsidP="00EA6854">
      <w:pPr>
        <w:pStyle w:val="NoSpacing"/>
        <w:ind w:left="720"/>
        <w:rPr>
          <w:rFonts w:ascii="Times New Roman" w:hAnsi="Times New Roman"/>
          <w:sz w:val="24"/>
          <w:szCs w:val="24"/>
        </w:rPr>
      </w:pPr>
      <w:r w:rsidRPr="00EA6854">
        <w:rPr>
          <w:rFonts w:ascii="Times New Roman" w:hAnsi="Times New Roman"/>
          <w:sz w:val="24"/>
          <w:szCs w:val="24"/>
        </w:rPr>
        <w:t>First, in 2009, Gumbs alleges she was groped by her supervisor [Captain] that she asked to be moved to St. John as a result, and that it took a full month before action was taken on her behalf.</w:t>
      </w:r>
    </w:p>
    <w:p w14:paraId="220C3A24" w14:textId="77777777" w:rsidR="00EA6854" w:rsidRPr="00EA6854" w:rsidRDefault="00EA6854" w:rsidP="00EA6854">
      <w:pPr>
        <w:pStyle w:val="NoSpacing"/>
        <w:ind w:left="720"/>
        <w:rPr>
          <w:rFonts w:ascii="Times New Roman" w:hAnsi="Times New Roman"/>
          <w:sz w:val="24"/>
          <w:szCs w:val="24"/>
        </w:rPr>
      </w:pPr>
    </w:p>
    <w:p w14:paraId="4A1F4AB3" w14:textId="77777777" w:rsidR="00EA6854" w:rsidRPr="00EA6854" w:rsidRDefault="00EA6854" w:rsidP="00EA6854">
      <w:pPr>
        <w:pStyle w:val="NoSpacing"/>
        <w:ind w:left="720"/>
        <w:rPr>
          <w:rFonts w:ascii="Times New Roman" w:hAnsi="Times New Roman"/>
          <w:sz w:val="24"/>
          <w:szCs w:val="24"/>
        </w:rPr>
      </w:pPr>
      <w:r w:rsidRPr="00EA6854">
        <w:rPr>
          <w:rFonts w:ascii="Times New Roman" w:hAnsi="Times New Roman"/>
          <w:sz w:val="24"/>
          <w:szCs w:val="24"/>
        </w:rPr>
        <w:t>***</w:t>
      </w:r>
    </w:p>
    <w:p w14:paraId="2D8183C7" w14:textId="77777777" w:rsidR="00EA6854" w:rsidRPr="00EA6854" w:rsidRDefault="00EA6854" w:rsidP="00EA6854">
      <w:pPr>
        <w:pStyle w:val="NoSpacing"/>
        <w:ind w:left="720"/>
        <w:rPr>
          <w:rFonts w:ascii="Times New Roman" w:hAnsi="Times New Roman"/>
          <w:sz w:val="24"/>
          <w:szCs w:val="24"/>
        </w:rPr>
      </w:pPr>
      <w:r w:rsidRPr="00EA6854">
        <w:rPr>
          <w:rFonts w:ascii="Times New Roman" w:hAnsi="Times New Roman"/>
          <w:sz w:val="24"/>
          <w:szCs w:val="24"/>
        </w:rPr>
        <w:t xml:space="preserve">Looking next to the 2013 complaint, all parties agree that Gumbs reported that Sargeant </w:t>
      </w:r>
      <w:proofErr w:type="spellStart"/>
      <w:r w:rsidRPr="00EA6854">
        <w:rPr>
          <w:rFonts w:ascii="Times New Roman" w:hAnsi="Times New Roman"/>
          <w:sz w:val="24"/>
          <w:szCs w:val="24"/>
        </w:rPr>
        <w:t>Chazmal</w:t>
      </w:r>
      <w:proofErr w:type="spellEnd"/>
      <w:r w:rsidRPr="00EA6854">
        <w:rPr>
          <w:rFonts w:ascii="Times New Roman" w:hAnsi="Times New Roman"/>
          <w:sz w:val="24"/>
          <w:szCs w:val="24"/>
        </w:rPr>
        <w:t xml:space="preserve"> Miller - a fellow firefighter who later became Gumbs' supervisor -showed her sex acts on his phone.”</w:t>
      </w:r>
    </w:p>
    <w:p w14:paraId="5CA93F76" w14:textId="77777777" w:rsidR="00EA6854" w:rsidRPr="00EA6854" w:rsidRDefault="00EA6854" w:rsidP="00EA6854">
      <w:pPr>
        <w:pStyle w:val="NoSpacing"/>
        <w:ind w:left="720"/>
        <w:rPr>
          <w:rFonts w:ascii="Times New Roman" w:hAnsi="Times New Roman"/>
          <w:sz w:val="24"/>
          <w:szCs w:val="24"/>
        </w:rPr>
      </w:pPr>
    </w:p>
    <w:p w14:paraId="63F4675C" w14:textId="77777777" w:rsidR="00EA6854" w:rsidRPr="00EA6854" w:rsidRDefault="00EA6854" w:rsidP="00EA6854">
      <w:pPr>
        <w:pStyle w:val="NoSpacing"/>
        <w:rPr>
          <w:rFonts w:ascii="Times New Roman" w:hAnsi="Times New Roman"/>
          <w:b/>
          <w:bCs/>
          <w:sz w:val="24"/>
          <w:szCs w:val="24"/>
        </w:rPr>
      </w:pPr>
      <w:r w:rsidRPr="00EA6854">
        <w:rPr>
          <w:rFonts w:ascii="Times New Roman" w:hAnsi="Times New Roman"/>
          <w:b/>
          <w:bCs/>
          <w:sz w:val="24"/>
          <w:szCs w:val="24"/>
        </w:rPr>
        <w:t>Legal Lesson Learned: Thoroughly investigate and document correct actions taken for each complaint received, including when complainant does not wish to further proceed.</w:t>
      </w:r>
    </w:p>
    <w:p w14:paraId="322E17EE" w14:textId="77777777" w:rsidR="00EA6854" w:rsidRDefault="00EA6854" w:rsidP="00EA6854">
      <w:pPr>
        <w:pStyle w:val="NoSpacing"/>
        <w:ind w:left="720"/>
        <w:rPr>
          <w:szCs w:val="24"/>
        </w:rPr>
      </w:pPr>
    </w:p>
    <w:p w14:paraId="2D58C155" w14:textId="77777777" w:rsidR="00EA6854" w:rsidRDefault="00EA6854" w:rsidP="00EA6854">
      <w:pPr>
        <w:jc w:val="center"/>
        <w:rPr>
          <w:b/>
          <w:bCs/>
          <w:szCs w:val="24"/>
        </w:rPr>
      </w:pPr>
    </w:p>
    <w:p w14:paraId="52C37CF5" w14:textId="77777777" w:rsidR="00EA6854" w:rsidRDefault="00EA6854" w:rsidP="00F326E5">
      <w:pPr>
        <w:pStyle w:val="NoSpacing"/>
        <w:rPr>
          <w:rFonts w:ascii="Arial Black" w:hAnsi="Arial Black"/>
          <w:b/>
          <w:bCs/>
          <w:sz w:val="24"/>
          <w:szCs w:val="24"/>
        </w:rPr>
      </w:pPr>
    </w:p>
    <w:p w14:paraId="02683A45" w14:textId="77777777" w:rsidR="00DD6FAF" w:rsidRDefault="00DD6FAF" w:rsidP="00F326E5">
      <w:pPr>
        <w:pStyle w:val="NoSpacing"/>
        <w:rPr>
          <w:rFonts w:ascii="Arial Black" w:hAnsi="Arial Black"/>
          <w:b/>
          <w:bCs/>
          <w:sz w:val="24"/>
          <w:szCs w:val="24"/>
        </w:rPr>
      </w:pPr>
    </w:p>
    <w:p w14:paraId="796A8043" w14:textId="77777777" w:rsidR="00DD6FAF" w:rsidRDefault="00DD6FAF" w:rsidP="00F326E5">
      <w:pPr>
        <w:pStyle w:val="NoSpacing"/>
        <w:rPr>
          <w:rFonts w:ascii="Arial Black" w:hAnsi="Arial Black"/>
          <w:b/>
          <w:bCs/>
          <w:sz w:val="24"/>
          <w:szCs w:val="24"/>
        </w:rPr>
      </w:pPr>
    </w:p>
    <w:p w14:paraId="21F311E1" w14:textId="7390145F" w:rsidR="005D56E5" w:rsidRDefault="005D56E5" w:rsidP="00F326E5">
      <w:pPr>
        <w:pStyle w:val="NoSpacing"/>
        <w:rPr>
          <w:rFonts w:ascii="Arial Black" w:hAnsi="Arial Black"/>
          <w:b/>
          <w:bCs/>
          <w:sz w:val="24"/>
          <w:szCs w:val="24"/>
        </w:rPr>
      </w:pPr>
      <w:r>
        <w:rPr>
          <w:rFonts w:ascii="Arial Black" w:hAnsi="Arial Black"/>
          <w:b/>
          <w:bCs/>
          <w:sz w:val="24"/>
          <w:szCs w:val="24"/>
        </w:rPr>
        <w:t>7-64</w:t>
      </w:r>
    </w:p>
    <w:p w14:paraId="3E499C97" w14:textId="77777777" w:rsidR="005D56E5" w:rsidRDefault="005D56E5" w:rsidP="00F326E5">
      <w:pPr>
        <w:pStyle w:val="NoSpacing"/>
        <w:rPr>
          <w:rFonts w:ascii="Arial Black" w:hAnsi="Arial Black"/>
          <w:b/>
          <w:bCs/>
          <w:sz w:val="24"/>
          <w:szCs w:val="24"/>
        </w:rPr>
      </w:pPr>
    </w:p>
    <w:p w14:paraId="6DCAEB3F" w14:textId="77777777" w:rsidR="00257D9A" w:rsidRDefault="00257D9A" w:rsidP="00257D9A">
      <w:pPr>
        <w:pStyle w:val="NormalWeb"/>
        <w:spacing w:before="0" w:beforeAutospacing="0"/>
      </w:pPr>
      <w:r>
        <w:rPr>
          <w:rFonts w:ascii="Arial Black" w:hAnsi="Arial Black"/>
          <w:sz w:val="28"/>
          <w:szCs w:val="28"/>
        </w:rPr>
        <w:t>NB: FEMALE FF FIRED – INVEST. CAPT.  WAREHOUSE FIRE – WON ARBITRATION - CITY SETTLES $650K / ATTY FEES</w:t>
      </w:r>
    </w:p>
    <w:p w14:paraId="1CAFC6BA" w14:textId="77777777" w:rsidR="00257D9A" w:rsidRDefault="00257D9A" w:rsidP="00257D9A">
      <w:pPr>
        <w:rPr>
          <w:rFonts w:ascii="Times New Roman" w:hAnsi="Times New Roman"/>
          <w:sz w:val="24"/>
          <w:szCs w:val="24"/>
        </w:rPr>
      </w:pPr>
      <w:r w:rsidRPr="00A73A7C">
        <w:rPr>
          <w:rFonts w:ascii="Times New Roman" w:hAnsi="Times New Roman"/>
          <w:sz w:val="24"/>
          <w:szCs w:val="24"/>
        </w:rPr>
        <w:t xml:space="preserve">On May 13, 2024, in </w:t>
      </w:r>
      <w:r w:rsidRPr="00A73A7C">
        <w:rPr>
          <w:rFonts w:ascii="Times New Roman" w:hAnsi="Times New Roman"/>
          <w:sz w:val="24"/>
          <w:szCs w:val="24"/>
          <w:u w:val="single"/>
        </w:rPr>
        <w:t>Amanda Benson v. City of Lincoln, et al</w:t>
      </w:r>
      <w:r w:rsidRPr="00A73A7C">
        <w:rPr>
          <w:rFonts w:ascii="Times New Roman" w:hAnsi="Times New Roman"/>
          <w:sz w:val="24"/>
          <w:szCs w:val="24"/>
        </w:rPr>
        <w:t>., United States District Court Judge Brian C. Buescher</w:t>
      </w:r>
      <w:r>
        <w:rPr>
          <w:rFonts w:ascii="Times New Roman" w:hAnsi="Times New Roman"/>
          <w:sz w:val="24"/>
          <w:szCs w:val="24"/>
        </w:rPr>
        <w:t xml:space="preserve"> greatly reduced attorney fees to be award to the plaintiff’s attorneys for “over litigation” of the case [claim. $1,666,600, but court awarded only $638,156].   The judge first described how litigation arose.</w:t>
      </w:r>
    </w:p>
    <w:p w14:paraId="1E678458" w14:textId="77777777" w:rsidR="00257D9A" w:rsidRDefault="00257D9A" w:rsidP="00257D9A">
      <w:pPr>
        <w:pStyle w:val="NormalWeb"/>
        <w:ind w:left="720"/>
      </w:pPr>
      <w:r>
        <w:lastRenderedPageBreak/>
        <w:t xml:space="preserve">“Matters between Benson and Mahler came to a head on April 26, 2021, when LFR was called to a cardboard fire within a warehouse. </w:t>
      </w:r>
      <w:r>
        <w:rPr>
          <w:rStyle w:val="Emphasis"/>
          <w:rFonts w:eastAsiaTheme="majorEastAsia"/>
        </w:rPr>
        <w:t>Filing 378 at 43</w:t>
      </w:r>
      <w:r>
        <w:t xml:space="preserve"> (¶ 224). Benson and T1 arrived at the scene before Mahler and T8. </w:t>
      </w:r>
      <w:r>
        <w:rPr>
          <w:rStyle w:val="Emphasis"/>
          <w:rFonts w:eastAsiaTheme="majorEastAsia"/>
        </w:rPr>
        <w:t>Filing 378 at 44</w:t>
      </w:r>
      <w:r>
        <w:t xml:space="preserve"> (¶ 233). Mahler and his crew were called to the warehouse fire mid-morning. </w:t>
      </w:r>
      <w:proofErr w:type="gramStart"/>
      <w:r>
        <w:rPr>
          <w:rStyle w:val="Emphasis"/>
          <w:rFonts w:eastAsiaTheme="majorEastAsia"/>
        </w:rPr>
        <w:t>Filing</w:t>
      </w:r>
      <w:proofErr w:type="gramEnd"/>
      <w:r>
        <w:rPr>
          <w:rStyle w:val="Emphasis"/>
          <w:rFonts w:eastAsiaTheme="majorEastAsia"/>
        </w:rPr>
        <w:t xml:space="preserve"> 378 at 44</w:t>
      </w:r>
      <w:r>
        <w:t xml:space="preserve"> (¶ 230). The parties disputed several circumstances about that fire and the interaction between Benson and Mahler during that fire. When Benson spoke to and submitted a complaint to her superiors at LFR on May 5, 2021, Benson alleged Mahler had abandoned her during the fire, and that she and her crew could have been killed or injured. </w:t>
      </w:r>
      <w:r>
        <w:rPr>
          <w:rStyle w:val="Emphasis"/>
          <w:rFonts w:eastAsiaTheme="majorEastAsia"/>
        </w:rPr>
        <w:t>Filing 397 at 59</w:t>
      </w:r>
      <w:r>
        <w:t xml:space="preserve"> (¶ 290) (admitting this much of ¶ 290). The LFR </w:t>
      </w:r>
      <w:proofErr w:type="gramStart"/>
      <w:r>
        <w:t>conducted an investigation</w:t>
      </w:r>
      <w:proofErr w:type="gramEnd"/>
      <w:r>
        <w:t xml:space="preserve"> that found no rules violations, although Benson disputed its adequacy. </w:t>
      </w:r>
      <w:proofErr w:type="gramStart"/>
      <w:r>
        <w:rPr>
          <w:rStyle w:val="Emphasis"/>
          <w:rFonts w:eastAsiaTheme="majorEastAsia"/>
        </w:rPr>
        <w:t>Filing</w:t>
      </w:r>
      <w:proofErr w:type="gramEnd"/>
      <w:r>
        <w:rPr>
          <w:rStyle w:val="Emphasis"/>
          <w:rFonts w:eastAsiaTheme="majorEastAsia"/>
        </w:rPr>
        <w:t xml:space="preserve"> 397 at</w:t>
      </w:r>
      <w:r>
        <w:t xml:space="preserve"> </w:t>
      </w:r>
      <w:r>
        <w:rPr>
          <w:rStyle w:val="Emphasis"/>
          <w:rFonts w:eastAsiaTheme="majorEastAsia"/>
        </w:rPr>
        <w:t>60</w:t>
      </w:r>
      <w:r>
        <w:t xml:space="preserve"> (¶ 292). </w:t>
      </w:r>
    </w:p>
    <w:p w14:paraId="044CF558" w14:textId="77777777" w:rsidR="00257D9A" w:rsidRDefault="00257D9A" w:rsidP="00257D9A">
      <w:pPr>
        <w:pStyle w:val="NormalWeb"/>
        <w:ind w:left="720"/>
      </w:pPr>
      <w:r>
        <w:t>***</w:t>
      </w:r>
    </w:p>
    <w:p w14:paraId="176CEE7D" w14:textId="77777777" w:rsidR="00257D9A" w:rsidRDefault="00257D9A" w:rsidP="00257D9A">
      <w:pPr>
        <w:pStyle w:val="NormalWeb"/>
        <w:ind w:left="720"/>
      </w:pPr>
      <w:r>
        <w:t xml:space="preserve">After pre-disciplinary investigations and proceedings, Benson was terminated effective November 2, 2021. </w:t>
      </w:r>
      <w:r>
        <w:rPr>
          <w:rStyle w:val="Emphasis"/>
          <w:rFonts w:eastAsiaTheme="majorEastAsia"/>
        </w:rPr>
        <w:t>Filing 394 at 1</w:t>
      </w:r>
      <w:r>
        <w:t xml:space="preserve"> (¶ 1); </w:t>
      </w:r>
      <w:r>
        <w:rPr>
          <w:rStyle w:val="Emphasis"/>
          <w:rFonts w:eastAsiaTheme="majorEastAsia"/>
        </w:rPr>
        <w:t>see also</w:t>
      </w:r>
      <w:r>
        <w:t xml:space="preserve"> </w:t>
      </w:r>
      <w:r>
        <w:rPr>
          <w:rStyle w:val="Emphasis"/>
          <w:rFonts w:eastAsiaTheme="majorEastAsia"/>
        </w:rPr>
        <w:t>Filing 380</w:t>
      </w:r>
      <w:r>
        <w:t xml:space="preserve">-83 at 4 (dismissal letter). Fire Chief David Engler, who is not a party to this litigation, determined that Benson had made false allegations against Mahler and that her actions were ‘a direct hindrance to the effective performance of LFR's functions and reflect[ed] undue discredit upon the department,’ establishing ‘good cause’ for dismissal. </w:t>
      </w:r>
      <w:r>
        <w:rPr>
          <w:rStyle w:val="Emphasis"/>
          <w:rFonts w:eastAsiaTheme="majorEastAsia"/>
        </w:rPr>
        <w:t>Filing 380 at 3</w:t>
      </w:r>
      <w:r>
        <w:t xml:space="preserve"> (dismissal letter). </w:t>
      </w:r>
    </w:p>
    <w:p w14:paraId="4905E9C2" w14:textId="77777777" w:rsidR="00257D9A" w:rsidRDefault="00257D9A" w:rsidP="00257D9A">
      <w:pPr>
        <w:pStyle w:val="NormalWeb"/>
        <w:ind w:left="720"/>
      </w:pPr>
      <w:r>
        <w:t>***</w:t>
      </w:r>
    </w:p>
    <w:p w14:paraId="02E581BC" w14:textId="77777777" w:rsidR="00257D9A" w:rsidRDefault="00257D9A" w:rsidP="00257D9A">
      <w:pPr>
        <w:pStyle w:val="NormalWeb"/>
        <w:ind w:left="720"/>
      </w:pPr>
      <w:r>
        <w:t xml:space="preserve">Plaintiff's Motion for Approval of Application for Attorney Fees, Expenses, and Costs, </w:t>
      </w:r>
      <w:proofErr w:type="gramStart"/>
      <w:r>
        <w:rPr>
          <w:rStyle w:val="Emphasis"/>
          <w:rFonts w:eastAsiaTheme="majorEastAsia"/>
        </w:rPr>
        <w:t>Filing</w:t>
      </w:r>
      <w:proofErr w:type="gramEnd"/>
      <w:r>
        <w:rPr>
          <w:rStyle w:val="Emphasis"/>
          <w:rFonts w:eastAsiaTheme="majorEastAsia"/>
        </w:rPr>
        <w:t xml:space="preserve"> 502,</w:t>
      </w:r>
      <w:r>
        <w:t xml:space="preserve"> and Plaintiff's Supplemental Motion for Approval of Supplemental Application for Attorney Fees, Expenses, and Costs, </w:t>
      </w:r>
      <w:proofErr w:type="gramStart"/>
      <w:r>
        <w:rPr>
          <w:rStyle w:val="Emphasis"/>
          <w:rFonts w:eastAsiaTheme="majorEastAsia"/>
        </w:rPr>
        <w:t>Filing</w:t>
      </w:r>
      <w:proofErr w:type="gramEnd"/>
      <w:r>
        <w:rPr>
          <w:rStyle w:val="Emphasis"/>
          <w:rFonts w:eastAsiaTheme="majorEastAsia"/>
        </w:rPr>
        <w:t xml:space="preserve"> 513,</w:t>
      </w:r>
      <w:r>
        <w:t xml:space="preserve"> are granted in part and denied in part as follows: </w:t>
      </w:r>
    </w:p>
    <w:p w14:paraId="39AEBD00" w14:textId="77777777" w:rsidR="00257D9A" w:rsidRPr="00F81F98" w:rsidRDefault="00257D9A" w:rsidP="00257D9A">
      <w:pPr>
        <w:ind w:left="720" w:firstLine="720"/>
        <w:rPr>
          <w:rFonts w:ascii="Times New Roman" w:hAnsi="Times New Roman"/>
          <w:sz w:val="24"/>
          <w:szCs w:val="24"/>
        </w:rPr>
      </w:pPr>
      <w:r w:rsidRPr="00F81F98">
        <w:rPr>
          <w:rFonts w:ascii="Times New Roman" w:hAnsi="Times New Roman"/>
          <w:sz w:val="24"/>
          <w:szCs w:val="24"/>
        </w:rPr>
        <w:t xml:space="preserve">a. Plaintiff is awarded $638,156.07 in attorney fees; and </w:t>
      </w:r>
    </w:p>
    <w:p w14:paraId="7F956936" w14:textId="77777777" w:rsidR="00257D9A" w:rsidRPr="00F81F98" w:rsidRDefault="00257D9A" w:rsidP="00257D9A">
      <w:pPr>
        <w:ind w:left="720" w:firstLine="720"/>
        <w:rPr>
          <w:rFonts w:ascii="Times New Roman" w:hAnsi="Times New Roman"/>
          <w:sz w:val="24"/>
          <w:szCs w:val="24"/>
        </w:rPr>
      </w:pPr>
      <w:r w:rsidRPr="00F81F98">
        <w:rPr>
          <w:rFonts w:ascii="Times New Roman" w:hAnsi="Times New Roman"/>
          <w:sz w:val="24"/>
          <w:szCs w:val="24"/>
        </w:rPr>
        <w:t xml:space="preserve">b. Plaintiff is awarded $88,719.97 in expenses and costs. </w:t>
      </w:r>
    </w:p>
    <w:p w14:paraId="6A983F8D" w14:textId="21F24703" w:rsidR="00257D9A" w:rsidRDefault="00257D9A" w:rsidP="00257D9A">
      <w:pPr>
        <w:pStyle w:val="NoSpacing"/>
        <w:rPr>
          <w:rStyle w:val="Hyperlink"/>
          <w:rFonts w:ascii="Times New Roman" w:hAnsi="Times New Roman"/>
          <w:sz w:val="24"/>
          <w:szCs w:val="24"/>
        </w:rPr>
      </w:pPr>
      <w:hyperlink r:id="rId1373" w:history="1">
        <w:r w:rsidRPr="008C767B">
          <w:rPr>
            <w:rStyle w:val="Hyperlink"/>
            <w:rFonts w:ascii="Times New Roman" w:hAnsi="Times New Roman"/>
            <w:sz w:val="24"/>
            <w:szCs w:val="24"/>
          </w:rPr>
          <w:t>https://public.fastcase.com/H1P9uiW3J20SFp%2BGCG%2BxLdAy%2Fo69TrR1K6MVQcVakXAVjkfoheCj%2FALYO7mhCcaM?utm_medium=email&amp;_hsenc=p2ANqtz-_QVKpYjRM7B2Q5-sqKd1q9ccEl8nSIxeJoGOvaUfjL9Y5LBcGC98GOiGM8SvSGdTXKNaMFLIGTEL-_cGBVPHnVUR_G4Q&amp;_hsmi=226712652&amp;utm_content=226712652&amp;utm_source=hs_email</w:t>
        </w:r>
      </w:hyperlink>
    </w:p>
    <w:p w14:paraId="275B6416" w14:textId="77777777" w:rsidR="00DD0039" w:rsidRPr="00F81F98" w:rsidRDefault="00DD0039" w:rsidP="00DD0039">
      <w:pPr>
        <w:rPr>
          <w:rFonts w:ascii="Times New Roman" w:hAnsi="Times New Roman"/>
          <w:b/>
          <w:bCs/>
          <w:sz w:val="24"/>
          <w:szCs w:val="24"/>
        </w:rPr>
      </w:pPr>
      <w:r w:rsidRPr="00F81F98">
        <w:rPr>
          <w:rFonts w:ascii="Times New Roman" w:hAnsi="Times New Roman"/>
          <w:b/>
          <w:bCs/>
          <w:sz w:val="24"/>
          <w:szCs w:val="24"/>
        </w:rPr>
        <w:t xml:space="preserve">Legal Lesson Learned: </w:t>
      </w:r>
      <w:r>
        <w:rPr>
          <w:rFonts w:ascii="Times New Roman" w:hAnsi="Times New Roman"/>
          <w:b/>
          <w:bCs/>
          <w:sz w:val="24"/>
          <w:szCs w:val="24"/>
        </w:rPr>
        <w:t xml:space="preserve">Case wisely settled; along with another case by female FF – see below.   </w:t>
      </w:r>
    </w:p>
    <w:p w14:paraId="781B5C9B" w14:textId="77777777" w:rsidR="00DD0039" w:rsidRPr="00C4461F" w:rsidRDefault="00DD0039" w:rsidP="00DD0039">
      <w:pPr>
        <w:ind w:left="720"/>
        <w:rPr>
          <w:rFonts w:ascii="Times New Roman" w:hAnsi="Times New Roman"/>
          <w:sz w:val="24"/>
          <w:szCs w:val="24"/>
        </w:rPr>
      </w:pPr>
      <w:r>
        <w:rPr>
          <w:rFonts w:ascii="Times New Roman" w:hAnsi="Times New Roman"/>
          <w:sz w:val="24"/>
          <w:szCs w:val="24"/>
        </w:rPr>
        <w:t xml:space="preserve">Note:  Feb. 5, </w:t>
      </w:r>
      <w:proofErr w:type="gramStart"/>
      <w:r>
        <w:rPr>
          <w:rFonts w:ascii="Times New Roman" w:hAnsi="Times New Roman"/>
          <w:sz w:val="24"/>
          <w:szCs w:val="24"/>
        </w:rPr>
        <w:t>2024</w:t>
      </w:r>
      <w:proofErr w:type="gramEnd"/>
      <w:r>
        <w:rPr>
          <w:rFonts w:ascii="Times New Roman" w:hAnsi="Times New Roman"/>
          <w:sz w:val="24"/>
          <w:szCs w:val="24"/>
        </w:rPr>
        <w:t xml:space="preserve"> article. “</w:t>
      </w:r>
      <w:r w:rsidRPr="00C4461F">
        <w:rPr>
          <w:rFonts w:ascii="Times New Roman" w:hAnsi="Times New Roman"/>
          <w:sz w:val="24"/>
          <w:szCs w:val="24"/>
        </w:rPr>
        <w:t>City of Lincoln settles LFR sexual discrimination lawsuits for $900,000</w:t>
      </w:r>
      <w:r>
        <w:rPr>
          <w:rFonts w:ascii="Times New Roman" w:hAnsi="Times New Roman"/>
          <w:sz w:val="24"/>
          <w:szCs w:val="24"/>
        </w:rPr>
        <w:t xml:space="preserve">.” </w:t>
      </w:r>
      <w:hyperlink r:id="rId1374" w:history="1">
        <w:r w:rsidRPr="008C767B">
          <w:rPr>
            <w:rStyle w:val="Hyperlink"/>
            <w:rFonts w:ascii="Times New Roman" w:hAnsi="Times New Roman"/>
            <w:sz w:val="24"/>
            <w:szCs w:val="24"/>
          </w:rPr>
          <w:t>https://www.1011now.com/2024/02/05/city-lincoln-settles-lfr-sexual-discrimination-lawsuits-900000/</w:t>
        </w:r>
      </w:hyperlink>
      <w:r>
        <w:rPr>
          <w:rFonts w:ascii="Times New Roman" w:hAnsi="Times New Roman"/>
          <w:sz w:val="24"/>
          <w:szCs w:val="24"/>
        </w:rPr>
        <w:t xml:space="preserve"> </w:t>
      </w:r>
    </w:p>
    <w:p w14:paraId="4CBCA47D" w14:textId="77777777" w:rsidR="00DD0039" w:rsidRDefault="00DD0039" w:rsidP="00DD0039">
      <w:pPr>
        <w:pStyle w:val="text"/>
        <w:ind w:left="1440"/>
      </w:pPr>
      <w:r>
        <w:t>“The city of Lincoln has settled two lawsuits which alleged sexual discrimination against two former firefighters. City officials released settlement agreements for Jessie Lundvall and Amanda Benson, both of whom had been fired following their lawsuits. Lundvall and Benson will be paid $250,000 and $650,000, respectively. The agreements also ensure city officials and the former firefighters won’t defame one another. In the settlement, the city denied any wrongdoing. Notably, Benson’s agreement allows her to continue pursuing a separate claim against the city as well as her disability pension. Lundvall’s agreement also acknowledges her good standing within Lincoln Fire and Rescue. Benson’s agreement, however, prevents her ability to be reemployed by the city at any time.”</w:t>
      </w:r>
    </w:p>
    <w:p w14:paraId="69D83AF9" w14:textId="77777777" w:rsidR="00DD0039" w:rsidRDefault="00DD0039" w:rsidP="00257D9A">
      <w:pPr>
        <w:pStyle w:val="NoSpacing"/>
        <w:rPr>
          <w:rFonts w:ascii="Arial Black" w:hAnsi="Arial Black"/>
          <w:b/>
          <w:bCs/>
          <w:sz w:val="24"/>
          <w:szCs w:val="24"/>
        </w:rPr>
      </w:pPr>
    </w:p>
    <w:p w14:paraId="2BC5CA4C" w14:textId="77777777" w:rsidR="005D56E5" w:rsidRDefault="005D56E5" w:rsidP="00F326E5">
      <w:pPr>
        <w:pStyle w:val="NoSpacing"/>
        <w:rPr>
          <w:rFonts w:ascii="Arial Black" w:hAnsi="Arial Black"/>
          <w:b/>
          <w:bCs/>
          <w:sz w:val="24"/>
          <w:szCs w:val="24"/>
        </w:rPr>
      </w:pPr>
    </w:p>
    <w:p w14:paraId="24204AB4" w14:textId="77777777" w:rsidR="005D56E5" w:rsidRDefault="005D56E5" w:rsidP="00F326E5">
      <w:pPr>
        <w:pStyle w:val="NoSpacing"/>
        <w:rPr>
          <w:rFonts w:ascii="Arial Black" w:hAnsi="Arial Black"/>
          <w:b/>
          <w:bCs/>
          <w:sz w:val="24"/>
          <w:szCs w:val="24"/>
        </w:rPr>
      </w:pPr>
    </w:p>
    <w:p w14:paraId="4AAD97AF" w14:textId="77777777" w:rsidR="005D56E5" w:rsidRDefault="005D56E5" w:rsidP="00F326E5">
      <w:pPr>
        <w:pStyle w:val="NoSpacing"/>
        <w:rPr>
          <w:rFonts w:ascii="Arial Black" w:hAnsi="Arial Black"/>
          <w:b/>
          <w:bCs/>
          <w:sz w:val="24"/>
          <w:szCs w:val="24"/>
        </w:rPr>
      </w:pPr>
    </w:p>
    <w:p w14:paraId="6741A460" w14:textId="05DEAD5E" w:rsidR="00B52921" w:rsidRDefault="009C6DC9" w:rsidP="00F326E5">
      <w:pPr>
        <w:pStyle w:val="NoSpacing"/>
        <w:rPr>
          <w:rFonts w:ascii="Arial Black" w:hAnsi="Arial Black"/>
          <w:b/>
          <w:bCs/>
          <w:sz w:val="24"/>
          <w:szCs w:val="24"/>
        </w:rPr>
      </w:pPr>
      <w:r>
        <w:rPr>
          <w:rFonts w:ascii="Arial Black" w:hAnsi="Arial Black"/>
          <w:b/>
          <w:bCs/>
          <w:sz w:val="24"/>
          <w:szCs w:val="24"/>
        </w:rPr>
        <w:t>7-63</w:t>
      </w:r>
    </w:p>
    <w:p w14:paraId="5CF10875" w14:textId="77777777" w:rsidR="009C6DC9" w:rsidRDefault="009C6DC9" w:rsidP="00F326E5">
      <w:pPr>
        <w:pStyle w:val="NoSpacing"/>
        <w:rPr>
          <w:rFonts w:ascii="Arial Black" w:hAnsi="Arial Black"/>
          <w:b/>
          <w:bCs/>
          <w:sz w:val="24"/>
          <w:szCs w:val="24"/>
        </w:rPr>
      </w:pPr>
    </w:p>
    <w:p w14:paraId="572EC960" w14:textId="77777777" w:rsidR="0038653D" w:rsidRDefault="0038653D" w:rsidP="0038653D">
      <w:pPr>
        <w:pStyle w:val="NoSpacing"/>
        <w:rPr>
          <w:rFonts w:ascii="Arial Black" w:hAnsi="Arial Black"/>
          <w:sz w:val="28"/>
          <w:szCs w:val="28"/>
          <w:shd w:val="clear" w:color="auto" w:fill="FFFFFF"/>
        </w:rPr>
      </w:pPr>
      <w:r>
        <w:rPr>
          <w:rFonts w:ascii="Arial Black" w:hAnsi="Arial Black"/>
          <w:sz w:val="28"/>
          <w:szCs w:val="28"/>
          <w:shd w:val="clear" w:color="auto" w:fill="FFFFFF"/>
        </w:rPr>
        <w:t>U.S. SUP. CT: FEMALE POLICE OFFICER - JOB TRANSFER WITH NO LOSS OF PAY – LAWSUIT PROCEED “SOME HARM”</w:t>
      </w:r>
    </w:p>
    <w:p w14:paraId="38F059B1" w14:textId="77777777" w:rsidR="0038653D" w:rsidRDefault="0038653D" w:rsidP="0038653D">
      <w:pPr>
        <w:pStyle w:val="NoSpacing"/>
        <w:rPr>
          <w:rFonts w:ascii="Arial Black" w:hAnsi="Arial Black"/>
          <w:sz w:val="28"/>
          <w:szCs w:val="28"/>
          <w:shd w:val="clear" w:color="auto" w:fill="FFFFFF"/>
        </w:rPr>
      </w:pPr>
    </w:p>
    <w:p w14:paraId="77ADB1C4" w14:textId="77777777" w:rsidR="0038653D" w:rsidRDefault="0038653D" w:rsidP="0038653D">
      <w:pPr>
        <w:pStyle w:val="NoSpacing"/>
        <w:rPr>
          <w:rFonts w:ascii="Times New Roman" w:hAnsi="Times New Roman"/>
          <w:sz w:val="24"/>
          <w:szCs w:val="24"/>
        </w:rPr>
      </w:pPr>
      <w:r>
        <w:rPr>
          <w:rFonts w:ascii="Times New Roman" w:hAnsi="Times New Roman"/>
          <w:sz w:val="24"/>
          <w:szCs w:val="24"/>
          <w:shd w:val="clear" w:color="auto" w:fill="FFFFFF"/>
        </w:rPr>
        <w:t xml:space="preserve">On April 17, 2024, in </w:t>
      </w:r>
      <w:r w:rsidRPr="00512F10">
        <w:rPr>
          <w:rFonts w:ascii="Times New Roman" w:hAnsi="Times New Roman"/>
          <w:sz w:val="24"/>
          <w:szCs w:val="24"/>
          <w:u w:val="single"/>
          <w:shd w:val="clear" w:color="auto" w:fill="FFFFFF"/>
        </w:rPr>
        <w:t>Jatonya Clayborn Muldrow v. City of St. Louis, Missouri, et al</w:t>
      </w:r>
      <w:r>
        <w:rPr>
          <w:rFonts w:ascii="Times New Roman" w:hAnsi="Times New Roman"/>
          <w:sz w:val="24"/>
          <w:szCs w:val="24"/>
          <w:shd w:val="clear" w:color="auto" w:fill="FFFFFF"/>
        </w:rPr>
        <w:t>., the United States Supreme Court held (9 to 0) that Police Sergeant Muldrow’s lawsuit may proceed with pre-trial discovery; the case had been dismissed by a U.S. District Court judge, and the dismissal upheld by three-judge panel of U.S. Court of Appeals for 8</w:t>
      </w:r>
      <w:r w:rsidRPr="003A2084">
        <w:rPr>
          <w:rFonts w:ascii="Times New Roman" w:hAnsi="Times New Roman"/>
          <w:sz w:val="24"/>
          <w:szCs w:val="24"/>
          <w:shd w:val="clear" w:color="auto" w:fill="FFFFFF"/>
          <w:vertAlign w:val="superscript"/>
        </w:rPr>
        <w:t>th</w:t>
      </w:r>
      <w:r>
        <w:rPr>
          <w:rFonts w:ascii="Times New Roman" w:hAnsi="Times New Roman"/>
          <w:sz w:val="24"/>
          <w:szCs w:val="24"/>
          <w:shd w:val="clear" w:color="auto" w:fill="FFFFFF"/>
        </w:rPr>
        <w:t xml:space="preserve"> Circuit. T</w:t>
      </w:r>
      <w:r w:rsidRPr="00AD5F6F">
        <w:rPr>
          <w:rFonts w:ascii="Times New Roman" w:hAnsi="Times New Roman"/>
          <w:sz w:val="24"/>
          <w:szCs w:val="24"/>
          <w:shd w:val="clear" w:color="auto" w:fill="FFFFFF"/>
        </w:rPr>
        <w:t xml:space="preserve">he </w:t>
      </w:r>
      <w:r>
        <w:rPr>
          <w:rFonts w:ascii="Times New Roman" w:hAnsi="Times New Roman"/>
          <w:sz w:val="24"/>
          <w:szCs w:val="24"/>
          <w:shd w:val="clear" w:color="auto" w:fill="FFFFFF"/>
        </w:rPr>
        <w:t xml:space="preserve">U.S. Supreme </w:t>
      </w:r>
      <w:r w:rsidRPr="00AD5F6F">
        <w:rPr>
          <w:rFonts w:ascii="Times New Roman" w:hAnsi="Times New Roman"/>
          <w:sz w:val="24"/>
          <w:szCs w:val="24"/>
          <w:shd w:val="clear" w:color="auto" w:fill="FFFFFF"/>
        </w:rPr>
        <w:t xml:space="preserve">Court held (opinion by Justice </w:t>
      </w:r>
      <w:r w:rsidRPr="00AD5F6F">
        <w:rPr>
          <w:rFonts w:ascii="Times New Roman" w:hAnsi="Times New Roman"/>
          <w:sz w:val="24"/>
          <w:szCs w:val="24"/>
        </w:rPr>
        <w:t>Elena Kagan) held:</w:t>
      </w:r>
    </w:p>
    <w:p w14:paraId="5D899D91" w14:textId="77777777" w:rsidR="0038653D" w:rsidRDefault="0038653D" w:rsidP="0038653D">
      <w:pPr>
        <w:pStyle w:val="NoSpacing"/>
        <w:rPr>
          <w:rFonts w:ascii="Times New Roman" w:hAnsi="Times New Roman"/>
          <w:sz w:val="24"/>
          <w:szCs w:val="24"/>
        </w:rPr>
      </w:pPr>
    </w:p>
    <w:p w14:paraId="036EBD23" w14:textId="77777777" w:rsidR="0038653D" w:rsidRDefault="0038653D" w:rsidP="0038653D">
      <w:pPr>
        <w:pStyle w:val="NoSpacing"/>
        <w:ind w:left="720"/>
        <w:rPr>
          <w:rFonts w:ascii="Times New Roman" w:hAnsi="Times New Roman"/>
          <w:sz w:val="24"/>
          <w:szCs w:val="24"/>
          <w:shd w:val="clear" w:color="auto" w:fill="FFFFFF"/>
        </w:rPr>
      </w:pPr>
      <w:r>
        <w:rPr>
          <w:rFonts w:ascii="Times New Roman" w:hAnsi="Times New Roman"/>
          <w:sz w:val="24"/>
          <w:szCs w:val="24"/>
          <w:shd w:val="clear" w:color="auto" w:fill="FFFFFF"/>
        </w:rPr>
        <w:t>“</w:t>
      </w:r>
      <w:r w:rsidRPr="001855A6">
        <w:rPr>
          <w:rFonts w:ascii="Times New Roman" w:hAnsi="Times New Roman"/>
          <w:sz w:val="24"/>
          <w:szCs w:val="24"/>
          <w:shd w:val="clear" w:color="auto" w:fill="FFFFFF"/>
        </w:rPr>
        <w:t>The courts below rejected the claim on the ground that the</w:t>
      </w:r>
      <w:r>
        <w:rPr>
          <w:rFonts w:ascii="Times New Roman" w:hAnsi="Times New Roman"/>
          <w:sz w:val="24"/>
          <w:szCs w:val="24"/>
          <w:shd w:val="clear" w:color="auto" w:fill="FFFFFF"/>
        </w:rPr>
        <w:t xml:space="preserve"> </w:t>
      </w:r>
      <w:r w:rsidRPr="001855A6">
        <w:rPr>
          <w:rFonts w:ascii="Times New Roman" w:hAnsi="Times New Roman"/>
          <w:sz w:val="24"/>
          <w:szCs w:val="24"/>
          <w:shd w:val="clear" w:color="auto" w:fill="FFFFFF"/>
        </w:rPr>
        <w:t xml:space="preserve">transfer did not cause Muldrow a </w:t>
      </w:r>
      <w:r>
        <w:rPr>
          <w:rFonts w:ascii="Times New Roman" w:hAnsi="Times New Roman"/>
          <w:sz w:val="24"/>
          <w:szCs w:val="24"/>
          <w:shd w:val="clear" w:color="auto" w:fill="FFFFFF"/>
        </w:rPr>
        <w:t>‘</w:t>
      </w:r>
      <w:r w:rsidRPr="001855A6">
        <w:rPr>
          <w:rFonts w:ascii="Times New Roman" w:hAnsi="Times New Roman"/>
          <w:sz w:val="24"/>
          <w:szCs w:val="24"/>
          <w:shd w:val="clear" w:color="auto" w:fill="FFFFFF"/>
        </w:rPr>
        <w:t>significant</w:t>
      </w:r>
      <w:r>
        <w:rPr>
          <w:rFonts w:ascii="Times New Roman" w:hAnsi="Times New Roman"/>
          <w:sz w:val="24"/>
          <w:szCs w:val="24"/>
          <w:shd w:val="clear" w:color="auto" w:fill="FFFFFF"/>
        </w:rPr>
        <w:t>’</w:t>
      </w:r>
      <w:r w:rsidRPr="001855A6">
        <w:rPr>
          <w:rFonts w:ascii="Times New Roman" w:hAnsi="Times New Roman"/>
          <w:sz w:val="24"/>
          <w:szCs w:val="24"/>
          <w:shd w:val="clear" w:color="auto" w:fill="FFFFFF"/>
        </w:rPr>
        <w:t xml:space="preserve"> employment</w:t>
      </w:r>
      <w:r>
        <w:rPr>
          <w:rFonts w:ascii="Times New Roman" w:hAnsi="Times New Roman"/>
          <w:sz w:val="24"/>
          <w:szCs w:val="24"/>
          <w:shd w:val="clear" w:color="auto" w:fill="FFFFFF"/>
        </w:rPr>
        <w:t xml:space="preserve"> </w:t>
      </w:r>
      <w:r w:rsidRPr="001855A6">
        <w:rPr>
          <w:rFonts w:ascii="Times New Roman" w:hAnsi="Times New Roman"/>
          <w:sz w:val="24"/>
          <w:szCs w:val="24"/>
          <w:shd w:val="clear" w:color="auto" w:fill="FFFFFF"/>
        </w:rPr>
        <w:t>disadvantage. Other courts have used similar standards in</w:t>
      </w:r>
      <w:r>
        <w:rPr>
          <w:rFonts w:ascii="Times New Roman" w:hAnsi="Times New Roman"/>
          <w:sz w:val="24"/>
          <w:szCs w:val="24"/>
          <w:shd w:val="clear" w:color="auto" w:fill="FFFFFF"/>
        </w:rPr>
        <w:t xml:space="preserve"> </w:t>
      </w:r>
      <w:r w:rsidRPr="001855A6">
        <w:rPr>
          <w:rFonts w:ascii="Times New Roman" w:hAnsi="Times New Roman"/>
          <w:sz w:val="24"/>
          <w:szCs w:val="24"/>
          <w:shd w:val="clear" w:color="auto" w:fill="FFFFFF"/>
        </w:rPr>
        <w:t>addressing Title VII suits arising from job transfers.</w:t>
      </w:r>
      <w:r>
        <w:rPr>
          <w:rFonts w:ascii="Times New Roman" w:hAnsi="Times New Roman"/>
          <w:sz w:val="24"/>
          <w:szCs w:val="24"/>
          <w:shd w:val="clear" w:color="auto" w:fill="FFFFFF"/>
        </w:rPr>
        <w:t xml:space="preserve"> </w:t>
      </w:r>
      <w:r w:rsidRPr="001855A6">
        <w:rPr>
          <w:rFonts w:ascii="Times New Roman" w:hAnsi="Times New Roman"/>
          <w:sz w:val="24"/>
          <w:szCs w:val="24"/>
          <w:shd w:val="clear" w:color="auto" w:fill="FFFFFF"/>
        </w:rPr>
        <w:t xml:space="preserve">Today, we </w:t>
      </w:r>
      <w:proofErr w:type="gramStart"/>
      <w:r w:rsidRPr="001855A6">
        <w:rPr>
          <w:rFonts w:ascii="Times New Roman" w:hAnsi="Times New Roman"/>
          <w:sz w:val="24"/>
          <w:szCs w:val="24"/>
          <w:shd w:val="clear" w:color="auto" w:fill="FFFFFF"/>
        </w:rPr>
        <w:t>disapprove</w:t>
      </w:r>
      <w:proofErr w:type="gramEnd"/>
      <w:r w:rsidRPr="001855A6">
        <w:rPr>
          <w:rFonts w:ascii="Times New Roman" w:hAnsi="Times New Roman"/>
          <w:sz w:val="24"/>
          <w:szCs w:val="24"/>
          <w:shd w:val="clear" w:color="auto" w:fill="FFFFFF"/>
        </w:rPr>
        <w:t xml:space="preserve"> that approach. Although an employee must show some harm from a forced transfer to prevail in a Title VII suit, she need not show that the injury</w:t>
      </w:r>
      <w:r>
        <w:rPr>
          <w:rFonts w:ascii="Times New Roman" w:hAnsi="Times New Roman"/>
          <w:sz w:val="24"/>
          <w:szCs w:val="24"/>
          <w:shd w:val="clear" w:color="auto" w:fill="FFFFFF"/>
        </w:rPr>
        <w:t xml:space="preserve"> </w:t>
      </w:r>
      <w:r w:rsidRPr="001855A6">
        <w:rPr>
          <w:rFonts w:ascii="Times New Roman" w:hAnsi="Times New Roman"/>
          <w:sz w:val="24"/>
          <w:szCs w:val="24"/>
          <w:shd w:val="clear" w:color="auto" w:fill="FFFFFF"/>
        </w:rPr>
        <w:t>satisfies a significance test. Title VII’s text nowhere establishes that high bar.</w:t>
      </w:r>
      <w:r>
        <w:rPr>
          <w:rFonts w:ascii="Times New Roman" w:hAnsi="Times New Roman"/>
          <w:sz w:val="24"/>
          <w:szCs w:val="24"/>
          <w:shd w:val="clear" w:color="auto" w:fill="FFFFFF"/>
        </w:rPr>
        <w:t xml:space="preserve">”  </w:t>
      </w:r>
      <w:hyperlink r:id="rId1375" w:history="1">
        <w:r w:rsidRPr="0018507D">
          <w:rPr>
            <w:rStyle w:val="Hyperlink"/>
            <w:rFonts w:ascii="Times New Roman" w:hAnsi="Times New Roman"/>
            <w:sz w:val="24"/>
            <w:szCs w:val="24"/>
            <w:shd w:val="clear" w:color="auto" w:fill="FFFFFF"/>
          </w:rPr>
          <w:t>https://www.supremecourt.gov/opinions/23pdf/22-193_q86b.pdf</w:t>
        </w:r>
      </w:hyperlink>
      <w:r>
        <w:rPr>
          <w:rFonts w:ascii="Times New Roman" w:hAnsi="Times New Roman"/>
          <w:sz w:val="24"/>
          <w:szCs w:val="24"/>
          <w:shd w:val="clear" w:color="auto" w:fill="FFFFFF"/>
        </w:rPr>
        <w:t xml:space="preserve"> </w:t>
      </w:r>
    </w:p>
    <w:p w14:paraId="4A5AAC0D" w14:textId="77777777" w:rsidR="0038653D" w:rsidRDefault="0038653D" w:rsidP="0038653D">
      <w:pPr>
        <w:pStyle w:val="NoSpacing"/>
        <w:ind w:left="720"/>
        <w:rPr>
          <w:rFonts w:ascii="Times New Roman" w:hAnsi="Times New Roman"/>
          <w:sz w:val="24"/>
          <w:szCs w:val="24"/>
          <w:shd w:val="clear" w:color="auto" w:fill="FFFFFF"/>
        </w:rPr>
      </w:pPr>
    </w:p>
    <w:p w14:paraId="71F58FE7" w14:textId="77777777" w:rsidR="005D56E5" w:rsidRPr="00F0094C" w:rsidRDefault="005D56E5" w:rsidP="005D56E5">
      <w:pPr>
        <w:pStyle w:val="NoSpacing"/>
        <w:rPr>
          <w:rFonts w:ascii="Times New Roman" w:hAnsi="Times New Roman"/>
          <w:b/>
          <w:bCs/>
          <w:sz w:val="24"/>
          <w:szCs w:val="24"/>
          <w:shd w:val="clear" w:color="auto" w:fill="FFFFFF"/>
        </w:rPr>
      </w:pPr>
      <w:r w:rsidRPr="00F0094C">
        <w:rPr>
          <w:rFonts w:ascii="Times New Roman" w:hAnsi="Times New Roman"/>
          <w:b/>
          <w:bCs/>
          <w:sz w:val="24"/>
          <w:szCs w:val="24"/>
          <w:shd w:val="clear" w:color="auto" w:fill="FFFFFF"/>
        </w:rPr>
        <w:t>Legal Lesson Learned:</w:t>
      </w:r>
      <w:r>
        <w:rPr>
          <w:rFonts w:ascii="Times New Roman" w:hAnsi="Times New Roman"/>
          <w:b/>
          <w:bCs/>
          <w:sz w:val="24"/>
          <w:szCs w:val="24"/>
          <w:shd w:val="clear" w:color="auto" w:fill="FFFFFF"/>
        </w:rPr>
        <w:t xml:space="preserve"> This unanimous decision sends a clear message that job transfers can be basis of Title VII litigation. </w:t>
      </w:r>
    </w:p>
    <w:p w14:paraId="749E92FE" w14:textId="77777777" w:rsidR="005D56E5" w:rsidRDefault="005D56E5" w:rsidP="005D56E5">
      <w:pPr>
        <w:pStyle w:val="NoSpacing"/>
        <w:rPr>
          <w:shd w:val="clear" w:color="auto" w:fill="FFFFFF"/>
        </w:rPr>
      </w:pPr>
    </w:p>
    <w:p w14:paraId="5D04B60F" w14:textId="77777777" w:rsidR="009C6DC9" w:rsidRDefault="009C6DC9" w:rsidP="00F326E5">
      <w:pPr>
        <w:pStyle w:val="NoSpacing"/>
        <w:rPr>
          <w:rFonts w:ascii="Arial Black" w:hAnsi="Arial Black"/>
          <w:b/>
          <w:bCs/>
          <w:sz w:val="24"/>
          <w:szCs w:val="24"/>
        </w:rPr>
      </w:pPr>
    </w:p>
    <w:p w14:paraId="6764222E" w14:textId="77777777" w:rsidR="00B52921" w:rsidRDefault="00B52921" w:rsidP="00F326E5">
      <w:pPr>
        <w:pStyle w:val="NoSpacing"/>
        <w:rPr>
          <w:rFonts w:ascii="Arial Black" w:hAnsi="Arial Black"/>
          <w:b/>
          <w:bCs/>
          <w:sz w:val="24"/>
          <w:szCs w:val="24"/>
        </w:rPr>
      </w:pPr>
    </w:p>
    <w:p w14:paraId="78056E9C" w14:textId="73785EF4" w:rsidR="00B52921" w:rsidRDefault="00480F72" w:rsidP="00F326E5">
      <w:pPr>
        <w:pStyle w:val="NoSpacing"/>
        <w:rPr>
          <w:rFonts w:ascii="Arial Black" w:hAnsi="Arial Black"/>
          <w:b/>
          <w:bCs/>
          <w:sz w:val="24"/>
          <w:szCs w:val="24"/>
        </w:rPr>
      </w:pPr>
      <w:r>
        <w:rPr>
          <w:rFonts w:ascii="Arial Black" w:hAnsi="Arial Black"/>
          <w:b/>
          <w:bCs/>
          <w:sz w:val="24"/>
          <w:szCs w:val="24"/>
        </w:rPr>
        <w:t>7-62</w:t>
      </w:r>
    </w:p>
    <w:p w14:paraId="2B560460" w14:textId="77777777" w:rsidR="00B52921" w:rsidRDefault="00B52921" w:rsidP="00B52921">
      <w:pPr>
        <w:pStyle w:val="NormalWeb"/>
        <w:rPr>
          <w:rFonts w:ascii="Arial Black" w:hAnsi="Arial Black"/>
          <w:sz w:val="28"/>
          <w:szCs w:val="28"/>
        </w:rPr>
      </w:pPr>
      <w:r>
        <w:rPr>
          <w:rFonts w:ascii="Arial Black" w:hAnsi="Arial Black"/>
          <w:sz w:val="28"/>
          <w:szCs w:val="28"/>
        </w:rPr>
        <w:t>FL:  DELAY REINSTATING FEMALE RECRUIT - TRIAL COURT $150 / DAY FINE FD SET ASIDE - $750K JURY VERDICT 2021</w:t>
      </w:r>
    </w:p>
    <w:p w14:paraId="1DF29837" w14:textId="77777777" w:rsidR="00B52921" w:rsidRDefault="00B52921" w:rsidP="00B52921">
      <w:pPr>
        <w:pStyle w:val="NormalWeb"/>
      </w:pPr>
      <w:r>
        <w:t xml:space="preserve">On April 24, 2024, in </w:t>
      </w:r>
      <w:r w:rsidRPr="00E7263C">
        <w:rPr>
          <w:u w:val="single"/>
        </w:rPr>
        <w:t>Palm Beach County v. Sharon Wilson</w:t>
      </w:r>
      <w:r>
        <w:t xml:space="preserve">, the </w:t>
      </w:r>
      <w:r w:rsidRPr="004979C1">
        <w:t>District Court of Appeal of Florida, Fourth District</w:t>
      </w:r>
      <w:r>
        <w:t xml:space="preserve">, held that trial court improperly imposed a $150 / day fine on the FD for any delay in reinstating her to the next training academy.  Wilson was hired in April 2015 and fractured her wrist in recruit school; written up for violations and resigned.  In Dec. 2021 Jury awarded her $750,000 and Court ordered her reinstated.  The Court of Appeals held that trial court judge violated FD’s due process rights when the judge proposed sanctioning the County if the County failed to reinstate Wilson by the specified reinstatement date. The trial court stated, “if I just ordered [Wilson] to be reinstated, you know what, [the County] could just sit on [its] hands and wait years and years and years to reinstate her. So, there </w:t>
      </w:r>
      <w:proofErr w:type="gramStart"/>
      <w:r>
        <w:t>has to</w:t>
      </w:r>
      <w:proofErr w:type="gramEnd"/>
      <w:r>
        <w:t xml:space="preserve"> be a monetary sanction, so to speak, for [the County] to act in a timely manner on the Court's directives that [the County] hire[s] her.” </w:t>
      </w:r>
      <w:hyperlink r:id="rId1376" w:history="1">
        <w:r w:rsidRPr="00E2199F">
          <w:rPr>
            <w:rStyle w:val="Hyperlink"/>
          </w:rPr>
          <w:t>https://caselaw.findlaw.com/court/fl-district-court-of-appeal/116085347.html</w:t>
        </w:r>
      </w:hyperlink>
      <w:r>
        <w:t xml:space="preserve"> </w:t>
      </w:r>
    </w:p>
    <w:p w14:paraId="7EC63870" w14:textId="77777777" w:rsidR="00B52921" w:rsidRDefault="00B52921" w:rsidP="00B52921">
      <w:pPr>
        <w:pStyle w:val="NormalWeb"/>
      </w:pPr>
      <w:r>
        <w:t>COURT HELD:</w:t>
      </w:r>
    </w:p>
    <w:p w14:paraId="15702550" w14:textId="77777777" w:rsidR="00B52921" w:rsidRDefault="00B52921" w:rsidP="00B52921">
      <w:pPr>
        <w:pStyle w:val="NormalWeb"/>
        <w:ind w:left="720"/>
      </w:pPr>
      <w:r>
        <w:t xml:space="preserve">“As discussed below, we reverse the trial court's premature and speculative imposition of a daily fine…. The County argues that the trial court denied the County due process when, during the hearing on Wilson's motion, it </w:t>
      </w:r>
      <w:proofErr w:type="spellStart"/>
      <w:r>
        <w:t>sua</w:t>
      </w:r>
      <w:proofErr w:type="spellEnd"/>
      <w:r>
        <w:t xml:space="preserve"> sponte proposed a monetary sanction if the County failed to timely reinstate Wilson. We agree with the County.”</w:t>
      </w:r>
    </w:p>
    <w:p w14:paraId="0A1CF24E" w14:textId="77777777" w:rsidR="00B52921" w:rsidRPr="00B06CBE" w:rsidRDefault="00B52921" w:rsidP="00B52921">
      <w:pPr>
        <w:pStyle w:val="NormalWeb"/>
        <w:rPr>
          <w:b/>
          <w:bCs/>
        </w:rPr>
      </w:pPr>
      <w:r w:rsidRPr="00B06CBE">
        <w:rPr>
          <w:b/>
          <w:bCs/>
        </w:rPr>
        <w:t>Legal Lesson Learned:</w:t>
      </w:r>
      <w:r>
        <w:rPr>
          <w:b/>
          <w:bCs/>
        </w:rPr>
        <w:t xml:space="preserve"> Monetary sanction on employer cannot be imposed without evidence of breach of a court order.  </w:t>
      </w:r>
    </w:p>
    <w:p w14:paraId="62A99C01" w14:textId="77777777" w:rsidR="00480F72" w:rsidRDefault="00480F72" w:rsidP="00B52921">
      <w:pPr>
        <w:rPr>
          <w:rFonts w:ascii="Arial Black" w:hAnsi="Arial Black"/>
          <w:sz w:val="28"/>
          <w:szCs w:val="28"/>
        </w:rPr>
      </w:pPr>
    </w:p>
    <w:p w14:paraId="13884D71" w14:textId="72B9F2EE" w:rsidR="00B52921" w:rsidRDefault="00480F72" w:rsidP="00B52921">
      <w:pPr>
        <w:rPr>
          <w:rFonts w:ascii="Arial Black" w:hAnsi="Arial Black"/>
          <w:sz w:val="28"/>
          <w:szCs w:val="28"/>
        </w:rPr>
      </w:pPr>
      <w:r>
        <w:rPr>
          <w:rFonts w:ascii="Arial Black" w:hAnsi="Arial Black"/>
          <w:sz w:val="28"/>
          <w:szCs w:val="28"/>
        </w:rPr>
        <w:t>7-61</w:t>
      </w:r>
    </w:p>
    <w:p w14:paraId="441C23BC" w14:textId="77777777" w:rsidR="00B52921" w:rsidRPr="0041351C" w:rsidRDefault="00B52921" w:rsidP="00B52921">
      <w:pPr>
        <w:pStyle w:val="NormalWeb"/>
        <w:spacing w:before="0" w:beforeAutospacing="0"/>
        <w:rPr>
          <w:rFonts w:ascii="Arial Black" w:hAnsi="Arial Black"/>
          <w:sz w:val="28"/>
          <w:szCs w:val="28"/>
        </w:rPr>
      </w:pPr>
      <w:r>
        <w:rPr>
          <w:rFonts w:ascii="Arial Black" w:hAnsi="Arial Black"/>
          <w:sz w:val="28"/>
          <w:szCs w:val="28"/>
        </w:rPr>
        <w:t>VA: “OPENLY BISEXUAL” EMT – NEG. JOB REFERENCES - VP AMBUL. CO. TOLD OTHERS “ODD DUCK” – CASE PROCEED</w:t>
      </w:r>
    </w:p>
    <w:p w14:paraId="0693AFA7" w14:textId="77777777" w:rsidR="00B52921" w:rsidRDefault="00B52921" w:rsidP="00B52921">
      <w:pPr>
        <w:pStyle w:val="NormalWeb"/>
      </w:pPr>
      <w:r w:rsidRPr="00480F72">
        <w:rPr>
          <w:rStyle w:val="Strong"/>
          <w:rFonts w:eastAsiaTheme="majorEastAsia"/>
          <w:b w:val="0"/>
          <w:bCs w:val="0"/>
        </w:rPr>
        <w:t xml:space="preserve">On April 18, 2024, in </w:t>
      </w:r>
      <w:r w:rsidRPr="00480F72">
        <w:rPr>
          <w:rStyle w:val="Strong"/>
          <w:rFonts w:eastAsiaTheme="majorEastAsia"/>
          <w:b w:val="0"/>
          <w:bCs w:val="0"/>
          <w:u w:val="single"/>
        </w:rPr>
        <w:t>Natalie Lundberg v, Delta Response Team, LLC and Thomas Walton</w:t>
      </w:r>
      <w:r w:rsidRPr="00480F72">
        <w:rPr>
          <w:rStyle w:val="Strong"/>
          <w:rFonts w:eastAsiaTheme="majorEastAsia"/>
          <w:b w:val="0"/>
          <w:bCs w:val="0"/>
        </w:rPr>
        <w:t xml:space="preserve">, United States District Court Judge Robert S. Ballo, U.S. District Court for Western District of Virginia (Charlottesville Division) held that defense motion to dismiss claims is denied regarding her claim of “sexual orientation discrimination / disparate treatment theory.” </w:t>
      </w:r>
      <w:r>
        <w:t xml:space="preserve">Lundberg </w:t>
      </w:r>
      <w:proofErr w:type="gramStart"/>
      <w:r>
        <w:t>interviewed with</w:t>
      </w:r>
      <w:proofErr w:type="gramEnd"/>
      <w:r>
        <w:t xml:space="preserve"> both the City of Lynchburg Fire Department and Bedford County Fire and Rescue and accepted a conditional offer of employment from Bedford on February 16, 2022. Both FDs withdrew their interest after speaking with Walton. The Court dismissed other claims, including the claim for intentional infliction of emotional distress.  </w:t>
      </w:r>
      <w:hyperlink r:id="rId1377" w:history="1">
        <w:r w:rsidRPr="00E2199F">
          <w:rPr>
            <w:rStyle w:val="Hyperlink"/>
          </w:rPr>
          <w:t>https://casetext.com/case/lundberg-v-delta-response-team-llc</w:t>
        </w:r>
      </w:hyperlink>
      <w:r>
        <w:t xml:space="preserve"> </w:t>
      </w:r>
    </w:p>
    <w:p w14:paraId="6AC650AA" w14:textId="77777777" w:rsidR="00B52921" w:rsidRDefault="00B52921" w:rsidP="00B52921">
      <w:pPr>
        <w:pStyle w:val="NormalWeb"/>
      </w:pPr>
      <w:r>
        <w:t xml:space="preserve">COURT HELD: </w:t>
      </w:r>
    </w:p>
    <w:p w14:paraId="55117009" w14:textId="77777777" w:rsidR="00B52921" w:rsidRDefault="00B52921" w:rsidP="00B52921">
      <w:pPr>
        <w:pStyle w:val="NormalWeb"/>
        <w:ind w:left="720"/>
      </w:pPr>
      <w:r>
        <w:t>“Lundberg states a plausible claim for sexual orientation discrimination against Delta Response based on her allegations of disparate treatment in the workplace. Lundberg alleges discrimination based on her sexual orientation when Walton provided a negative job reference, which for purposes of the motion to dismiss, I consider an adverse employment action. Absent direct evidence</w:t>
      </w:r>
      <w:r>
        <w:rPr>
          <w:vertAlign w:val="superscript"/>
        </w:rPr>
        <w:t>[</w:t>
      </w:r>
      <w:bookmarkStart w:id="279" w:name="FN12"/>
      <w:r>
        <w:rPr>
          <w:vertAlign w:val="superscript"/>
        </w:rPr>
        <w:fldChar w:fldCharType="begin"/>
      </w:r>
      <w:r>
        <w:rPr>
          <w:vertAlign w:val="superscript"/>
        </w:rPr>
        <w:instrText>HYPERLINK "https://public.fastcase.com/" \l "ftn.FN12"</w:instrText>
      </w:r>
      <w:r>
        <w:rPr>
          <w:vertAlign w:val="superscript"/>
        </w:rPr>
      </w:r>
      <w:r>
        <w:rPr>
          <w:vertAlign w:val="superscript"/>
        </w:rPr>
        <w:fldChar w:fldCharType="separate"/>
      </w:r>
      <w:r>
        <w:rPr>
          <w:rStyle w:val="Hyperlink"/>
          <w:rFonts w:eastAsiaTheme="majorEastAsia"/>
          <w:vertAlign w:val="superscript"/>
        </w:rPr>
        <w:t>12</w:t>
      </w:r>
      <w:r>
        <w:rPr>
          <w:vertAlign w:val="superscript"/>
        </w:rPr>
        <w:fldChar w:fldCharType="end"/>
      </w:r>
      <w:bookmarkEnd w:id="279"/>
      <w:r>
        <w:rPr>
          <w:vertAlign w:val="superscript"/>
        </w:rPr>
        <w:t>]</w:t>
      </w:r>
      <w:r>
        <w:t xml:space="preserve">, the elements of a </w:t>
      </w:r>
      <w:r>
        <w:rPr>
          <w:rStyle w:val="Emphasis"/>
          <w:rFonts w:eastAsiaTheme="majorEastAsia"/>
        </w:rPr>
        <w:t>prima facie</w:t>
      </w:r>
      <w:r>
        <w:t xml:space="preserve"> case of disparate treatment under Title VII are (1) membership in a protected class; (2) satisfactory job performance; (3) an adverse employment action; and (4) similarly situated employees outside the protected class who received more favorable treatment. </w:t>
      </w:r>
      <w:r>
        <w:rPr>
          <w:rStyle w:val="Emphasis"/>
          <w:rFonts w:eastAsiaTheme="majorEastAsia"/>
        </w:rPr>
        <w:t xml:space="preserve">Tabb v. Bd. Of Educ. Of Durham Pub. </w:t>
      </w:r>
      <w:proofErr w:type="spellStart"/>
      <w:r>
        <w:rPr>
          <w:rStyle w:val="Emphasis"/>
          <w:rFonts w:eastAsiaTheme="majorEastAsia"/>
        </w:rPr>
        <w:t>Scs</w:t>
      </w:r>
      <w:proofErr w:type="spellEnd"/>
      <w:r>
        <w:t xml:space="preserve">. 29 F.4th 148, 157 (4th Cir. 2022); </w:t>
      </w:r>
      <w:r>
        <w:rPr>
          <w:rStyle w:val="Emphasis"/>
          <w:rFonts w:eastAsiaTheme="majorEastAsia"/>
        </w:rPr>
        <w:t>Coleman</w:t>
      </w:r>
      <w:r>
        <w:t xml:space="preserve">, 626 F.3d at 190. Disparate treatment requires proof of discriminatory motive ‘although [that motive] can in some situations be inferred from the mere fact of differences in treatment.’ </w:t>
      </w:r>
      <w:r>
        <w:rPr>
          <w:rStyle w:val="Emphasis"/>
          <w:rFonts w:eastAsiaTheme="majorEastAsia"/>
        </w:rPr>
        <w:t>Int'l Bhd. of Teamsters v. United States</w:t>
      </w:r>
      <w:r>
        <w:t>, 431 U.S. 324, 335 n.15 (1977).”</w:t>
      </w:r>
    </w:p>
    <w:p w14:paraId="5DC9EECF" w14:textId="77777777" w:rsidR="00B52921" w:rsidRPr="002C51E2" w:rsidRDefault="00B52921" w:rsidP="00B52921">
      <w:pPr>
        <w:pStyle w:val="NormalWeb"/>
        <w:rPr>
          <w:b/>
          <w:bCs/>
        </w:rPr>
      </w:pPr>
      <w:r w:rsidRPr="002C51E2">
        <w:rPr>
          <w:b/>
          <w:bCs/>
        </w:rPr>
        <w:t>Legal Lesson Learned:</w:t>
      </w:r>
      <w:r>
        <w:rPr>
          <w:b/>
          <w:bCs/>
        </w:rPr>
        <w:t xml:space="preserve"> If an employee requests a job reference, consider declining the request if this </w:t>
      </w:r>
      <w:proofErr w:type="gramStart"/>
      <w:r>
        <w:rPr>
          <w:b/>
          <w:bCs/>
        </w:rPr>
        <w:t>would not all be</w:t>
      </w:r>
      <w:proofErr w:type="gramEnd"/>
      <w:r>
        <w:rPr>
          <w:b/>
          <w:bCs/>
        </w:rPr>
        <w:t xml:space="preserve"> positive. Some employers direct Managers to not give job references, positive or negative. </w:t>
      </w:r>
    </w:p>
    <w:p w14:paraId="26DB5138" w14:textId="77777777" w:rsidR="00B52921" w:rsidRDefault="00B52921" w:rsidP="00B52921">
      <w:pPr>
        <w:pStyle w:val="Heading1"/>
        <w:ind w:left="720"/>
        <w:rPr>
          <w:color w:val="000000" w:themeColor="text1"/>
          <w:sz w:val="24"/>
          <w:szCs w:val="24"/>
        </w:rPr>
      </w:pPr>
      <w:r w:rsidRPr="001C276F">
        <w:rPr>
          <w:color w:val="000000" w:themeColor="text1"/>
          <w:sz w:val="24"/>
          <w:szCs w:val="24"/>
        </w:rPr>
        <w:t xml:space="preserve">Note: See Ohio Revised Code Section 4113.71 </w:t>
      </w:r>
      <w:r w:rsidRPr="001C276F">
        <w:rPr>
          <w:rStyle w:val="codes-separator"/>
          <w:color w:val="000000" w:themeColor="text1"/>
          <w:sz w:val="24"/>
          <w:szCs w:val="24"/>
        </w:rPr>
        <w:t>|</w:t>
      </w:r>
      <w:r w:rsidRPr="001C276F">
        <w:rPr>
          <w:color w:val="000000" w:themeColor="text1"/>
          <w:sz w:val="24"/>
          <w:szCs w:val="24"/>
        </w:rPr>
        <w:t xml:space="preserve"> Immunity of employer as to job performance information disclosures.</w:t>
      </w:r>
      <w:r>
        <w:rPr>
          <w:color w:val="000000" w:themeColor="text1"/>
          <w:sz w:val="24"/>
          <w:szCs w:val="24"/>
        </w:rPr>
        <w:t xml:space="preserve"> </w:t>
      </w:r>
      <w:hyperlink r:id="rId1378" w:history="1">
        <w:r w:rsidRPr="00E2199F">
          <w:rPr>
            <w:rStyle w:val="Hyperlink"/>
            <w:sz w:val="24"/>
            <w:szCs w:val="24"/>
          </w:rPr>
          <w:t>https://codes.ohio.gov/ohio-revised-code/section-4113.71</w:t>
        </w:r>
      </w:hyperlink>
      <w:r>
        <w:rPr>
          <w:color w:val="000000" w:themeColor="text1"/>
          <w:sz w:val="24"/>
          <w:szCs w:val="24"/>
        </w:rPr>
        <w:t xml:space="preserve"> </w:t>
      </w:r>
    </w:p>
    <w:p w14:paraId="46C798E6" w14:textId="77777777" w:rsidR="00B52921" w:rsidRDefault="00B52921" w:rsidP="00B52921">
      <w:pPr>
        <w:pStyle w:val="NormalWeb"/>
        <w:ind w:left="720"/>
      </w:pPr>
      <w:r>
        <w:t>(B) An employer who is requested by an employee or a prospective employer of an employee to disclose to a prospective employer of that employee information pertaining to the job performance of that employee for the employer and who discloses the requested information to the prospective employer is not liable in damages in a civil action to that employee, the prospective employer, or any other person for any harm sustained as a proximate result of making the disclosure or of any information disclosed, unless the plaintiff in a civil action establishes, either or both of the following:</w:t>
      </w:r>
    </w:p>
    <w:p w14:paraId="72419B4C" w14:textId="77777777" w:rsidR="00B52921" w:rsidRDefault="00B52921" w:rsidP="00B52921">
      <w:pPr>
        <w:pStyle w:val="NormalWeb"/>
        <w:ind w:left="720"/>
      </w:pPr>
      <w:r>
        <w:t xml:space="preserve">(1) By a preponderance of the evidence that the employer disclosed </w:t>
      </w:r>
      <w:proofErr w:type="gramStart"/>
      <w:r>
        <w:t>particular information</w:t>
      </w:r>
      <w:proofErr w:type="gramEnd"/>
      <w:r>
        <w:t xml:space="preserve"> with the knowledge that it was false, with the deliberate intent to mislead the prospective employer or another person, in bad faith, or with malicious purpose;</w:t>
      </w:r>
    </w:p>
    <w:p w14:paraId="59EFBA74" w14:textId="77777777" w:rsidR="00B52921" w:rsidRDefault="00B52921" w:rsidP="00B52921">
      <w:pPr>
        <w:pStyle w:val="NormalWeb"/>
        <w:ind w:left="720"/>
      </w:pPr>
      <w:r>
        <w:t xml:space="preserve">(2) By a preponderance of the evidence that the disclosure of </w:t>
      </w:r>
      <w:proofErr w:type="gramStart"/>
      <w:r>
        <w:t>particular information</w:t>
      </w:r>
      <w:proofErr w:type="gramEnd"/>
      <w:r>
        <w:t xml:space="preserve"> by the employer constitutes an unlawful discriminatory practice described in section </w:t>
      </w:r>
      <w:hyperlink r:id="rId1379" w:history="1">
        <w:r>
          <w:rPr>
            <w:rStyle w:val="Hyperlink"/>
            <w:rFonts w:eastAsiaTheme="majorEastAsia"/>
          </w:rPr>
          <w:t>4112.02</w:t>
        </w:r>
      </w:hyperlink>
      <w:r>
        <w:t xml:space="preserve">, </w:t>
      </w:r>
      <w:hyperlink r:id="rId1380" w:history="1">
        <w:r>
          <w:rPr>
            <w:rStyle w:val="Hyperlink"/>
            <w:rFonts w:eastAsiaTheme="majorEastAsia"/>
          </w:rPr>
          <w:t>4112.021</w:t>
        </w:r>
      </w:hyperlink>
      <w:r>
        <w:t xml:space="preserve">, or </w:t>
      </w:r>
      <w:hyperlink r:id="rId1381" w:history="1">
        <w:r>
          <w:rPr>
            <w:rStyle w:val="Hyperlink"/>
            <w:rFonts w:eastAsiaTheme="majorEastAsia"/>
          </w:rPr>
          <w:t>4112.022</w:t>
        </w:r>
      </w:hyperlink>
      <w:r>
        <w:t xml:space="preserve"> of the Revised Code.</w:t>
      </w:r>
    </w:p>
    <w:p w14:paraId="71517D17" w14:textId="77777777" w:rsidR="00B52921" w:rsidRDefault="00B52921" w:rsidP="00B52921">
      <w:pPr>
        <w:pStyle w:val="NormalWeb"/>
        <w:spacing w:before="0" w:beforeAutospacing="0"/>
        <w:rPr>
          <w:rFonts w:ascii="Arial Black" w:hAnsi="Arial Black"/>
          <w:b/>
          <w:bCs/>
          <w:color w:val="454545"/>
          <w:sz w:val="28"/>
          <w:szCs w:val="28"/>
          <w:shd w:val="clear" w:color="auto" w:fill="FFFFFF"/>
        </w:rPr>
      </w:pPr>
      <w:r>
        <w:rPr>
          <w:rFonts w:ascii="Arial Black" w:hAnsi="Arial Black"/>
          <w:b/>
          <w:bCs/>
          <w:color w:val="454545"/>
          <w:sz w:val="28"/>
          <w:szCs w:val="28"/>
          <w:shd w:val="clear" w:color="auto" w:fill="FFFFFF"/>
        </w:rPr>
        <w:lastRenderedPageBreak/>
        <w:t>7-60</w:t>
      </w:r>
    </w:p>
    <w:p w14:paraId="3BAC983C" w14:textId="2EC25C08" w:rsidR="00B52921" w:rsidRDefault="00B52921" w:rsidP="00B52921">
      <w:pPr>
        <w:pStyle w:val="NormalWeb"/>
        <w:spacing w:before="0" w:beforeAutospacing="0"/>
        <w:rPr>
          <w:b/>
          <w:bCs/>
          <w:color w:val="454545"/>
          <w:shd w:val="clear" w:color="auto" w:fill="FFFFFF"/>
        </w:rPr>
      </w:pPr>
      <w:r>
        <w:rPr>
          <w:rFonts w:ascii="Arial Black" w:hAnsi="Arial Black"/>
          <w:b/>
          <w:bCs/>
          <w:color w:val="454545"/>
          <w:sz w:val="28"/>
          <w:szCs w:val="28"/>
          <w:shd w:val="clear" w:color="auto" w:fill="FFFFFF"/>
        </w:rPr>
        <w:t xml:space="preserve">U.S. SUP. CT. – LANDMARK CASE: JOB TRANSFER / SEXUAL HAR. – FEMALE SGT. MUST ONLY SHOW “SOME HARM” </w:t>
      </w:r>
    </w:p>
    <w:p w14:paraId="67591A59" w14:textId="77777777" w:rsidR="00B52921" w:rsidRPr="00EB06FE" w:rsidRDefault="00B52921" w:rsidP="00B52921">
      <w:pPr>
        <w:pStyle w:val="NoSpacing"/>
        <w:rPr>
          <w:rFonts w:ascii="Times New Roman" w:hAnsi="Times New Roman"/>
          <w:color w:val="454545"/>
          <w:sz w:val="24"/>
          <w:szCs w:val="24"/>
          <w:shd w:val="clear" w:color="auto" w:fill="FFFFFF"/>
        </w:rPr>
      </w:pPr>
      <w:r w:rsidRPr="00EB06FE">
        <w:rPr>
          <w:rFonts w:ascii="Times New Roman" w:hAnsi="Times New Roman"/>
          <w:color w:val="454545"/>
          <w:sz w:val="24"/>
          <w:szCs w:val="24"/>
          <w:shd w:val="clear" w:color="auto" w:fill="FFFFFF"/>
        </w:rPr>
        <w:t xml:space="preserve">On April 17, 2024, in </w:t>
      </w:r>
      <w:r w:rsidRPr="00EB06FE">
        <w:rPr>
          <w:rFonts w:ascii="Times New Roman" w:hAnsi="Times New Roman"/>
          <w:color w:val="454545"/>
          <w:sz w:val="24"/>
          <w:szCs w:val="24"/>
          <w:u w:val="single"/>
          <w:shd w:val="clear" w:color="auto" w:fill="FFFFFF"/>
        </w:rPr>
        <w:t>Jatonya Clayborn Muldrow v. City of St. Louis, Missouri, et al.,</w:t>
      </w:r>
      <w:r w:rsidRPr="00EB06FE">
        <w:rPr>
          <w:rFonts w:ascii="Times New Roman" w:hAnsi="Times New Roman"/>
          <w:color w:val="454545"/>
          <w:sz w:val="24"/>
          <w:szCs w:val="24"/>
          <w:shd w:val="clear" w:color="auto" w:fill="FFFFFF"/>
        </w:rPr>
        <w:t xml:space="preserve"> the United States Supreme Court held (9 to 0) that trial court should not have granted summary judgment to the city, and 8</w:t>
      </w:r>
      <w:r w:rsidRPr="00EB06FE">
        <w:rPr>
          <w:rFonts w:ascii="Times New Roman" w:hAnsi="Times New Roman"/>
          <w:color w:val="454545"/>
          <w:sz w:val="24"/>
          <w:szCs w:val="24"/>
          <w:shd w:val="clear" w:color="auto" w:fill="FFFFFF"/>
          <w:vertAlign w:val="superscript"/>
        </w:rPr>
        <w:t>th</w:t>
      </w:r>
      <w:r w:rsidRPr="00EB06FE">
        <w:rPr>
          <w:rFonts w:ascii="Times New Roman" w:hAnsi="Times New Roman"/>
          <w:color w:val="454545"/>
          <w:sz w:val="24"/>
          <w:szCs w:val="24"/>
          <w:shd w:val="clear" w:color="auto" w:fill="FFFFFF"/>
        </w:rPr>
        <w:t xml:space="preserve"> Circuit Court of Appeals had applied too tough a standard for employees claiming job transfer was because of sexual harassment (“materially significant disadvantage”).  </w:t>
      </w:r>
      <w:r w:rsidRPr="00EB06FE">
        <w:rPr>
          <w:rFonts w:ascii="Times New Roman" w:hAnsi="Times New Roman"/>
          <w:sz w:val="24"/>
          <w:szCs w:val="24"/>
        </w:rPr>
        <w:t xml:space="preserve">Sergeant Jatonya Clayborn Muldrow maintains that her employer, the St. Louis Police Department, transferred her from one job to another because she is a woman. </w:t>
      </w:r>
      <w:r w:rsidRPr="00EB06FE">
        <w:rPr>
          <w:rFonts w:ascii="Times New Roman" w:hAnsi="Times New Roman"/>
          <w:color w:val="454545"/>
          <w:sz w:val="24"/>
          <w:szCs w:val="24"/>
          <w:shd w:val="clear" w:color="auto" w:fill="FFFFFF"/>
        </w:rPr>
        <w:t xml:space="preserve">Sergeant Muldrow was in Intelligence Division, worked M-F, vehicle, FBI cases, and her new male boss moved her out (back to street patrol) because wanted male sergeant.  Under new </w:t>
      </w:r>
      <w:proofErr w:type="gramStart"/>
      <w:r w:rsidRPr="00EB06FE">
        <w:rPr>
          <w:rFonts w:ascii="Times New Roman" w:hAnsi="Times New Roman"/>
          <w:color w:val="454545"/>
          <w:sz w:val="24"/>
          <w:szCs w:val="24"/>
          <w:shd w:val="clear" w:color="auto" w:fill="FFFFFF"/>
        </w:rPr>
        <w:t>standard</w:t>
      </w:r>
      <w:proofErr w:type="gramEnd"/>
      <w:r w:rsidRPr="00EB06FE">
        <w:rPr>
          <w:rFonts w:ascii="Times New Roman" w:hAnsi="Times New Roman"/>
          <w:color w:val="454545"/>
          <w:sz w:val="24"/>
          <w:szCs w:val="24"/>
          <w:shd w:val="clear" w:color="auto" w:fill="FFFFFF"/>
        </w:rPr>
        <w:t xml:space="preserve">, she must only that that the job transfer brought about some harm with respect to an identifiable term or condition of employment, but that harm need not be significant. </w:t>
      </w:r>
      <w:hyperlink r:id="rId1382" w:history="1">
        <w:r w:rsidRPr="00EB06FE">
          <w:rPr>
            <w:rStyle w:val="Hyperlink"/>
            <w:rFonts w:ascii="Times New Roman" w:hAnsi="Times New Roman"/>
            <w:sz w:val="24"/>
            <w:szCs w:val="24"/>
            <w:shd w:val="clear" w:color="auto" w:fill="FFFFFF"/>
          </w:rPr>
          <w:t>https://www.supremecourt.gov/opinions/23pdf/22-193_q86b.pdf</w:t>
        </w:r>
      </w:hyperlink>
      <w:r w:rsidRPr="00EB06FE">
        <w:rPr>
          <w:rFonts w:ascii="Times New Roman" w:hAnsi="Times New Roman"/>
          <w:color w:val="454545"/>
          <w:sz w:val="24"/>
          <w:szCs w:val="24"/>
          <w:shd w:val="clear" w:color="auto" w:fill="FFFFFF"/>
        </w:rPr>
        <w:t xml:space="preserve"> </w:t>
      </w:r>
    </w:p>
    <w:p w14:paraId="6054BF64" w14:textId="77777777" w:rsidR="00B52921" w:rsidRDefault="00B52921" w:rsidP="00B52921">
      <w:pPr>
        <w:pStyle w:val="NormalWeb"/>
        <w:spacing w:before="0" w:beforeAutospacing="0"/>
        <w:rPr>
          <w:color w:val="454545"/>
          <w:shd w:val="clear" w:color="auto" w:fill="FFFFFF"/>
        </w:rPr>
      </w:pPr>
    </w:p>
    <w:p w14:paraId="2E3F5138" w14:textId="77777777" w:rsidR="00B52921" w:rsidRPr="00A0436B" w:rsidRDefault="00B52921" w:rsidP="00B52921">
      <w:pPr>
        <w:pStyle w:val="NormalWeb"/>
        <w:spacing w:before="0" w:beforeAutospacing="0"/>
        <w:rPr>
          <w:color w:val="454545"/>
          <w:shd w:val="clear" w:color="auto" w:fill="FFFFFF"/>
        </w:rPr>
      </w:pPr>
      <w:r>
        <w:rPr>
          <w:color w:val="454545"/>
          <w:shd w:val="clear" w:color="auto" w:fill="FFFFFF"/>
        </w:rPr>
        <w:t xml:space="preserve">COURT HELD (opinion by Justice Elena Kagan): </w:t>
      </w:r>
    </w:p>
    <w:p w14:paraId="4E1BAEC7" w14:textId="77777777" w:rsidR="00B52921" w:rsidRDefault="00B52921" w:rsidP="00B52921">
      <w:pPr>
        <w:pStyle w:val="NoSpacing"/>
        <w:ind w:left="720"/>
        <w:rPr>
          <w:rFonts w:ascii="Times New Roman" w:hAnsi="Times New Roman"/>
          <w:sz w:val="24"/>
          <w:szCs w:val="24"/>
          <w:shd w:val="clear" w:color="auto" w:fill="FFFFFF"/>
        </w:rPr>
      </w:pPr>
      <w:r>
        <w:rPr>
          <w:shd w:val="clear" w:color="auto" w:fill="FFFFFF"/>
        </w:rPr>
        <w:t>“</w:t>
      </w:r>
      <w:r w:rsidRPr="00EB06FE">
        <w:rPr>
          <w:rFonts w:ascii="Times New Roman" w:hAnsi="Times New Roman"/>
          <w:sz w:val="24"/>
          <w:szCs w:val="24"/>
          <w:shd w:val="clear" w:color="auto" w:fill="FFFFFF"/>
        </w:rPr>
        <w:t>The courts below rejected the claim on the ground that the</w:t>
      </w:r>
      <w:r>
        <w:rPr>
          <w:rFonts w:ascii="Times New Roman" w:hAnsi="Times New Roman"/>
          <w:sz w:val="24"/>
          <w:szCs w:val="24"/>
          <w:shd w:val="clear" w:color="auto" w:fill="FFFFFF"/>
        </w:rPr>
        <w:t xml:space="preserve"> </w:t>
      </w:r>
      <w:r w:rsidRPr="00EB06FE">
        <w:rPr>
          <w:rFonts w:ascii="Times New Roman" w:hAnsi="Times New Roman"/>
          <w:sz w:val="24"/>
          <w:szCs w:val="24"/>
          <w:shd w:val="clear" w:color="auto" w:fill="FFFFFF"/>
        </w:rPr>
        <w:t xml:space="preserve">transfer did not cause Muldrow a </w:t>
      </w:r>
      <w:r>
        <w:rPr>
          <w:rFonts w:ascii="Times New Roman" w:hAnsi="Times New Roman"/>
          <w:sz w:val="24"/>
          <w:szCs w:val="24"/>
          <w:shd w:val="clear" w:color="auto" w:fill="FFFFFF"/>
        </w:rPr>
        <w:t>‘</w:t>
      </w:r>
      <w:r w:rsidRPr="00EB06FE">
        <w:rPr>
          <w:rFonts w:ascii="Times New Roman" w:hAnsi="Times New Roman"/>
          <w:sz w:val="24"/>
          <w:szCs w:val="24"/>
          <w:shd w:val="clear" w:color="auto" w:fill="FFFFFF"/>
        </w:rPr>
        <w:t>significant</w:t>
      </w:r>
      <w:r>
        <w:rPr>
          <w:rFonts w:ascii="Times New Roman" w:hAnsi="Times New Roman"/>
          <w:sz w:val="24"/>
          <w:szCs w:val="24"/>
          <w:shd w:val="clear" w:color="auto" w:fill="FFFFFF"/>
        </w:rPr>
        <w:t xml:space="preserve">’ </w:t>
      </w:r>
      <w:r w:rsidRPr="00EB06FE">
        <w:rPr>
          <w:rFonts w:ascii="Times New Roman" w:hAnsi="Times New Roman"/>
          <w:sz w:val="24"/>
          <w:szCs w:val="24"/>
          <w:shd w:val="clear" w:color="auto" w:fill="FFFFFF"/>
        </w:rPr>
        <w:t>employment</w:t>
      </w:r>
      <w:r>
        <w:rPr>
          <w:rFonts w:ascii="Times New Roman" w:hAnsi="Times New Roman"/>
          <w:sz w:val="24"/>
          <w:szCs w:val="24"/>
          <w:shd w:val="clear" w:color="auto" w:fill="FFFFFF"/>
        </w:rPr>
        <w:t xml:space="preserve"> </w:t>
      </w:r>
      <w:r w:rsidRPr="00EB06FE">
        <w:rPr>
          <w:rFonts w:ascii="Times New Roman" w:hAnsi="Times New Roman"/>
          <w:sz w:val="24"/>
          <w:szCs w:val="24"/>
          <w:shd w:val="clear" w:color="auto" w:fill="FFFFFF"/>
        </w:rPr>
        <w:t>disadvantage. Other courts have used similar standards in</w:t>
      </w:r>
      <w:r>
        <w:rPr>
          <w:rFonts w:ascii="Times New Roman" w:hAnsi="Times New Roman"/>
          <w:sz w:val="24"/>
          <w:szCs w:val="24"/>
          <w:shd w:val="clear" w:color="auto" w:fill="FFFFFF"/>
        </w:rPr>
        <w:t xml:space="preserve"> </w:t>
      </w:r>
      <w:r w:rsidRPr="00EB06FE">
        <w:rPr>
          <w:rFonts w:ascii="Times New Roman" w:hAnsi="Times New Roman"/>
          <w:sz w:val="24"/>
          <w:szCs w:val="24"/>
          <w:shd w:val="clear" w:color="auto" w:fill="FFFFFF"/>
        </w:rPr>
        <w:t>addressing Title VII suits arising from job transfers.</w:t>
      </w:r>
      <w:r>
        <w:rPr>
          <w:rFonts w:ascii="Times New Roman" w:hAnsi="Times New Roman"/>
          <w:sz w:val="24"/>
          <w:szCs w:val="24"/>
          <w:shd w:val="clear" w:color="auto" w:fill="FFFFFF"/>
        </w:rPr>
        <w:t xml:space="preserve"> </w:t>
      </w:r>
      <w:r w:rsidRPr="00EB06FE">
        <w:rPr>
          <w:rFonts w:ascii="Times New Roman" w:hAnsi="Times New Roman"/>
          <w:sz w:val="24"/>
          <w:szCs w:val="24"/>
          <w:shd w:val="clear" w:color="auto" w:fill="FFFFFF"/>
        </w:rPr>
        <w:t xml:space="preserve">Today, we </w:t>
      </w:r>
      <w:proofErr w:type="gramStart"/>
      <w:r w:rsidRPr="00EB06FE">
        <w:rPr>
          <w:rFonts w:ascii="Times New Roman" w:hAnsi="Times New Roman"/>
          <w:sz w:val="24"/>
          <w:szCs w:val="24"/>
          <w:shd w:val="clear" w:color="auto" w:fill="FFFFFF"/>
        </w:rPr>
        <w:t>disapprove</w:t>
      </w:r>
      <w:proofErr w:type="gramEnd"/>
      <w:r w:rsidRPr="00EB06FE">
        <w:rPr>
          <w:rFonts w:ascii="Times New Roman" w:hAnsi="Times New Roman"/>
          <w:sz w:val="24"/>
          <w:szCs w:val="24"/>
          <w:shd w:val="clear" w:color="auto" w:fill="FFFFFF"/>
        </w:rPr>
        <w:t xml:space="preserve"> that approach. Although an employee must show some harm from a forced transfer to prevail in a Title VII suit, she need not show that the injury</w:t>
      </w:r>
      <w:r>
        <w:rPr>
          <w:rFonts w:ascii="Times New Roman" w:hAnsi="Times New Roman"/>
          <w:sz w:val="24"/>
          <w:szCs w:val="24"/>
          <w:shd w:val="clear" w:color="auto" w:fill="FFFFFF"/>
        </w:rPr>
        <w:t xml:space="preserve"> </w:t>
      </w:r>
      <w:r w:rsidRPr="00EB06FE">
        <w:rPr>
          <w:rFonts w:ascii="Times New Roman" w:hAnsi="Times New Roman"/>
          <w:sz w:val="24"/>
          <w:szCs w:val="24"/>
          <w:shd w:val="clear" w:color="auto" w:fill="FFFFFF"/>
        </w:rPr>
        <w:t>satisfies a significance test. Title VII’s text nowhere establishes that high bar.</w:t>
      </w:r>
    </w:p>
    <w:p w14:paraId="170CF58B" w14:textId="77777777" w:rsidR="00B52921" w:rsidRPr="00EB06FE" w:rsidRDefault="00B52921" w:rsidP="00B52921">
      <w:pPr>
        <w:pStyle w:val="NoSpacing"/>
        <w:ind w:left="720"/>
        <w:rPr>
          <w:rFonts w:ascii="Times New Roman" w:hAnsi="Times New Roman"/>
          <w:sz w:val="24"/>
          <w:szCs w:val="24"/>
          <w:shd w:val="clear" w:color="auto" w:fill="FFFFFF"/>
        </w:rPr>
      </w:pPr>
    </w:p>
    <w:p w14:paraId="67348287" w14:textId="77777777" w:rsidR="00B52921" w:rsidRDefault="00B52921" w:rsidP="00B52921">
      <w:pPr>
        <w:pStyle w:val="NoSpacing"/>
        <w:ind w:left="720"/>
        <w:rPr>
          <w:rFonts w:ascii="Times New Roman" w:hAnsi="Times New Roman"/>
          <w:sz w:val="24"/>
          <w:szCs w:val="24"/>
        </w:rPr>
      </w:pPr>
      <w:r w:rsidRPr="00EB06FE">
        <w:rPr>
          <w:rFonts w:ascii="Times New Roman" w:hAnsi="Times New Roman"/>
          <w:sz w:val="24"/>
          <w:szCs w:val="24"/>
        </w:rPr>
        <w:t xml:space="preserve">The District Court, viewing the matter differently, granted the </w:t>
      </w:r>
      <w:proofErr w:type="gramStart"/>
      <w:r w:rsidRPr="00EB06FE">
        <w:rPr>
          <w:rFonts w:ascii="Times New Roman" w:hAnsi="Times New Roman"/>
          <w:sz w:val="24"/>
          <w:szCs w:val="24"/>
        </w:rPr>
        <w:t>City</w:t>
      </w:r>
      <w:proofErr w:type="gramEnd"/>
      <w:r w:rsidRPr="00EB06FE">
        <w:rPr>
          <w:rFonts w:ascii="Times New Roman" w:hAnsi="Times New Roman"/>
          <w:sz w:val="24"/>
          <w:szCs w:val="24"/>
        </w:rPr>
        <w:t xml:space="preserve"> summary judgment. Under Circuit precedent, the court explained, Muldrow needed to show that her transfer effected a ‘significant’ change in working</w:t>
      </w:r>
      <w:r w:rsidRPr="00356E5C">
        <w:rPr>
          <w:rFonts w:ascii="Times New Roman" w:hAnsi="Times New Roman"/>
          <w:sz w:val="24"/>
          <w:szCs w:val="24"/>
        </w:rPr>
        <w:t xml:space="preserve"> conditions producing </w:t>
      </w:r>
      <w:r>
        <w:rPr>
          <w:rFonts w:ascii="Times New Roman" w:hAnsi="Times New Roman"/>
          <w:sz w:val="24"/>
          <w:szCs w:val="24"/>
        </w:rPr>
        <w:t>‘</w:t>
      </w:r>
      <w:r w:rsidRPr="00356E5C">
        <w:rPr>
          <w:rFonts w:ascii="Times New Roman" w:hAnsi="Times New Roman"/>
          <w:sz w:val="24"/>
          <w:szCs w:val="24"/>
        </w:rPr>
        <w:t>material employment disadvantage.</w:t>
      </w:r>
      <w:r>
        <w:rPr>
          <w:rFonts w:ascii="Times New Roman" w:hAnsi="Times New Roman"/>
          <w:sz w:val="24"/>
          <w:szCs w:val="24"/>
        </w:rPr>
        <w:t xml:space="preserve">’ </w:t>
      </w:r>
      <w:r w:rsidRPr="00356E5C">
        <w:rPr>
          <w:rFonts w:ascii="Times New Roman" w:hAnsi="Times New Roman"/>
          <w:sz w:val="24"/>
          <w:szCs w:val="24"/>
        </w:rPr>
        <w:t>2020 WL 5505113, *8–*9. And Muldrow, the court held,</w:t>
      </w:r>
      <w:r>
        <w:rPr>
          <w:rFonts w:ascii="Times New Roman" w:hAnsi="Times New Roman"/>
          <w:sz w:val="24"/>
          <w:szCs w:val="24"/>
        </w:rPr>
        <w:t xml:space="preserve"> </w:t>
      </w:r>
      <w:r w:rsidRPr="00356E5C">
        <w:rPr>
          <w:rFonts w:ascii="Times New Roman" w:hAnsi="Times New Roman"/>
          <w:sz w:val="24"/>
          <w:szCs w:val="24"/>
        </w:rPr>
        <w:t xml:space="preserve">could not meet that </w:t>
      </w:r>
      <w:proofErr w:type="gramStart"/>
      <w:r w:rsidRPr="00356E5C">
        <w:rPr>
          <w:rFonts w:ascii="Times New Roman" w:hAnsi="Times New Roman"/>
          <w:sz w:val="24"/>
          <w:szCs w:val="24"/>
        </w:rPr>
        <w:t>heightened-injury</w:t>
      </w:r>
      <w:proofErr w:type="gramEnd"/>
      <w:r w:rsidRPr="00356E5C">
        <w:rPr>
          <w:rFonts w:ascii="Times New Roman" w:hAnsi="Times New Roman"/>
          <w:sz w:val="24"/>
          <w:szCs w:val="24"/>
        </w:rPr>
        <w:t xml:space="preserve"> standard. </w:t>
      </w:r>
      <w:r>
        <w:rPr>
          <w:rFonts w:ascii="Times New Roman" w:hAnsi="Times New Roman"/>
          <w:sz w:val="24"/>
          <w:szCs w:val="24"/>
        </w:rPr>
        <w:t>‘</w:t>
      </w:r>
      <w:r w:rsidRPr="00356E5C">
        <w:rPr>
          <w:rFonts w:ascii="Times New Roman" w:hAnsi="Times New Roman"/>
          <w:sz w:val="24"/>
          <w:szCs w:val="24"/>
        </w:rPr>
        <w:t>[S]he experienced no change in salary or rank.</w:t>
      </w:r>
      <w:r>
        <w:rPr>
          <w:rFonts w:ascii="Times New Roman" w:hAnsi="Times New Roman"/>
          <w:sz w:val="24"/>
          <w:szCs w:val="24"/>
        </w:rPr>
        <w:t xml:space="preserve">’ </w:t>
      </w:r>
      <w:r w:rsidRPr="00356E5C">
        <w:rPr>
          <w:rFonts w:ascii="Times New Roman" w:hAnsi="Times New Roman"/>
          <w:sz w:val="24"/>
          <w:szCs w:val="24"/>
        </w:rPr>
        <w:t>Id., at *9. Her loss</w:t>
      </w:r>
      <w:r>
        <w:rPr>
          <w:rFonts w:ascii="Times New Roman" w:hAnsi="Times New Roman"/>
          <w:sz w:val="24"/>
          <w:szCs w:val="24"/>
        </w:rPr>
        <w:t xml:space="preserve"> </w:t>
      </w:r>
      <w:r w:rsidRPr="00356E5C">
        <w:rPr>
          <w:rFonts w:ascii="Times New Roman" w:hAnsi="Times New Roman"/>
          <w:sz w:val="24"/>
          <w:szCs w:val="24"/>
        </w:rPr>
        <w:t xml:space="preserve">of </w:t>
      </w:r>
      <w:r>
        <w:rPr>
          <w:rFonts w:ascii="Times New Roman" w:hAnsi="Times New Roman"/>
          <w:sz w:val="24"/>
          <w:szCs w:val="24"/>
        </w:rPr>
        <w:t>‘</w:t>
      </w:r>
      <w:r w:rsidRPr="00356E5C">
        <w:rPr>
          <w:rFonts w:ascii="Times New Roman" w:hAnsi="Times New Roman"/>
          <w:sz w:val="24"/>
          <w:szCs w:val="24"/>
        </w:rPr>
        <w:t>the networking [opportunities] available in Intelligence</w:t>
      </w:r>
      <w:r>
        <w:rPr>
          <w:rFonts w:ascii="Times New Roman" w:hAnsi="Times New Roman"/>
          <w:sz w:val="24"/>
          <w:szCs w:val="24"/>
        </w:rPr>
        <w:t xml:space="preserve"> </w:t>
      </w:r>
      <w:r w:rsidRPr="00356E5C">
        <w:rPr>
          <w:rFonts w:ascii="Times New Roman" w:hAnsi="Times New Roman"/>
          <w:sz w:val="24"/>
          <w:szCs w:val="24"/>
        </w:rPr>
        <w:t>was immaterial because she had not provided evidence that</w:t>
      </w:r>
      <w:r>
        <w:rPr>
          <w:rFonts w:ascii="Times New Roman" w:hAnsi="Times New Roman"/>
          <w:sz w:val="24"/>
          <w:szCs w:val="24"/>
        </w:rPr>
        <w:t xml:space="preserve"> </w:t>
      </w:r>
      <w:r w:rsidRPr="00356E5C">
        <w:rPr>
          <w:rFonts w:ascii="Times New Roman" w:hAnsi="Times New Roman"/>
          <w:sz w:val="24"/>
          <w:szCs w:val="24"/>
        </w:rPr>
        <w:t xml:space="preserve">it had harmed her </w:t>
      </w:r>
      <w:r>
        <w:rPr>
          <w:rFonts w:ascii="Times New Roman" w:hAnsi="Times New Roman"/>
          <w:sz w:val="24"/>
          <w:szCs w:val="24"/>
        </w:rPr>
        <w:t>‘</w:t>
      </w:r>
      <w:r w:rsidRPr="00356E5C">
        <w:rPr>
          <w:rFonts w:ascii="Times New Roman" w:hAnsi="Times New Roman"/>
          <w:sz w:val="24"/>
          <w:szCs w:val="24"/>
        </w:rPr>
        <w:t>career prospects.</w:t>
      </w:r>
      <w:r>
        <w:rPr>
          <w:rFonts w:ascii="Times New Roman" w:hAnsi="Times New Roman"/>
          <w:sz w:val="24"/>
          <w:szCs w:val="24"/>
        </w:rPr>
        <w:t>’</w:t>
      </w:r>
      <w:r w:rsidRPr="00356E5C">
        <w:rPr>
          <w:rFonts w:ascii="Times New Roman" w:hAnsi="Times New Roman"/>
          <w:sz w:val="24"/>
          <w:szCs w:val="24"/>
        </w:rPr>
        <w:t xml:space="preserve"> Id., at *8. And given</w:t>
      </w:r>
      <w:r>
        <w:rPr>
          <w:rFonts w:ascii="Times New Roman" w:hAnsi="Times New Roman"/>
          <w:sz w:val="24"/>
          <w:szCs w:val="24"/>
        </w:rPr>
        <w:t xml:space="preserve"> </w:t>
      </w:r>
      <w:r w:rsidRPr="00356E5C">
        <w:rPr>
          <w:rFonts w:ascii="Times New Roman" w:hAnsi="Times New Roman"/>
          <w:sz w:val="24"/>
          <w:szCs w:val="24"/>
        </w:rPr>
        <w:t xml:space="preserve">her continued </w:t>
      </w:r>
      <w:r>
        <w:rPr>
          <w:rFonts w:ascii="Times New Roman" w:hAnsi="Times New Roman"/>
          <w:sz w:val="24"/>
          <w:szCs w:val="24"/>
        </w:rPr>
        <w:t>‘</w:t>
      </w:r>
      <w:r w:rsidRPr="00356E5C">
        <w:rPr>
          <w:rFonts w:ascii="Times New Roman" w:hAnsi="Times New Roman"/>
          <w:sz w:val="24"/>
          <w:szCs w:val="24"/>
        </w:rPr>
        <w:t>supervisory role,</w:t>
      </w:r>
      <w:r>
        <w:rPr>
          <w:rFonts w:ascii="Times New Roman" w:hAnsi="Times New Roman"/>
          <w:sz w:val="24"/>
          <w:szCs w:val="24"/>
        </w:rPr>
        <w:t>’</w:t>
      </w:r>
      <w:r w:rsidRPr="00356E5C">
        <w:rPr>
          <w:rFonts w:ascii="Times New Roman" w:hAnsi="Times New Roman"/>
          <w:sz w:val="24"/>
          <w:szCs w:val="24"/>
        </w:rPr>
        <w:t xml:space="preserve"> she had not </w:t>
      </w:r>
      <w:r>
        <w:rPr>
          <w:rFonts w:ascii="Times New Roman" w:hAnsi="Times New Roman"/>
          <w:sz w:val="24"/>
          <w:szCs w:val="24"/>
        </w:rPr>
        <w:t>‘</w:t>
      </w:r>
      <w:r w:rsidRPr="00356E5C">
        <w:rPr>
          <w:rFonts w:ascii="Times New Roman" w:hAnsi="Times New Roman"/>
          <w:sz w:val="24"/>
          <w:szCs w:val="24"/>
        </w:rPr>
        <w:t>suffered a</w:t>
      </w:r>
      <w:r>
        <w:rPr>
          <w:rFonts w:ascii="Times New Roman" w:hAnsi="Times New Roman"/>
          <w:sz w:val="24"/>
          <w:szCs w:val="24"/>
        </w:rPr>
        <w:t xml:space="preserve"> </w:t>
      </w:r>
      <w:r w:rsidRPr="00356E5C">
        <w:rPr>
          <w:rFonts w:ascii="Times New Roman" w:hAnsi="Times New Roman"/>
          <w:sz w:val="24"/>
          <w:szCs w:val="24"/>
        </w:rPr>
        <w:t xml:space="preserve">significant alteration to her work </w:t>
      </w:r>
      <w:proofErr w:type="gramStart"/>
      <w:r w:rsidRPr="00356E5C">
        <w:rPr>
          <w:rFonts w:ascii="Times New Roman" w:hAnsi="Times New Roman"/>
          <w:sz w:val="24"/>
          <w:szCs w:val="24"/>
        </w:rPr>
        <w:t>responsibilities.”</w:t>
      </w:r>
      <w:proofErr w:type="gramEnd"/>
    </w:p>
    <w:p w14:paraId="64805540" w14:textId="77777777" w:rsidR="00B52921" w:rsidRDefault="00B52921" w:rsidP="00B52921">
      <w:pPr>
        <w:pStyle w:val="NoSpacing"/>
        <w:ind w:left="720"/>
        <w:rPr>
          <w:rFonts w:ascii="Times New Roman" w:hAnsi="Times New Roman"/>
          <w:sz w:val="24"/>
          <w:szCs w:val="24"/>
        </w:rPr>
      </w:pPr>
    </w:p>
    <w:p w14:paraId="3A183DA4" w14:textId="77777777" w:rsidR="00B52921" w:rsidRDefault="00B52921" w:rsidP="00B52921">
      <w:pPr>
        <w:pStyle w:val="NoSpacing"/>
        <w:ind w:left="720"/>
        <w:rPr>
          <w:rFonts w:ascii="Times New Roman" w:hAnsi="Times New Roman"/>
          <w:sz w:val="24"/>
          <w:szCs w:val="24"/>
        </w:rPr>
      </w:pPr>
    </w:p>
    <w:p w14:paraId="4F01906C" w14:textId="77777777" w:rsidR="00B52921" w:rsidRPr="002E281A" w:rsidRDefault="00B52921" w:rsidP="00B52921">
      <w:pPr>
        <w:pStyle w:val="NoSpacing"/>
        <w:rPr>
          <w:rFonts w:ascii="Times New Roman" w:hAnsi="Times New Roman"/>
          <w:b/>
          <w:bCs/>
          <w:sz w:val="24"/>
          <w:szCs w:val="24"/>
        </w:rPr>
      </w:pPr>
      <w:r w:rsidRPr="002E281A">
        <w:rPr>
          <w:rFonts w:ascii="Times New Roman" w:hAnsi="Times New Roman"/>
          <w:b/>
          <w:bCs/>
          <w:sz w:val="24"/>
          <w:szCs w:val="24"/>
        </w:rPr>
        <w:t>Legal Lesson Learned:</w:t>
      </w:r>
      <w:r>
        <w:rPr>
          <w:rFonts w:ascii="Times New Roman" w:hAnsi="Times New Roman"/>
          <w:b/>
          <w:bCs/>
          <w:sz w:val="24"/>
          <w:szCs w:val="24"/>
        </w:rPr>
        <w:t xml:space="preserve"> This is a “landmark” decision; the new “some harm” standard will be widely applied not only in job transfer cases but also a wide variety of other employment decisions. </w:t>
      </w:r>
    </w:p>
    <w:p w14:paraId="0A0E62E5" w14:textId="77777777" w:rsidR="00B52921" w:rsidRDefault="00B52921" w:rsidP="00B52921">
      <w:pPr>
        <w:pStyle w:val="NoSpacing"/>
        <w:rPr>
          <w:rFonts w:ascii="Times New Roman" w:hAnsi="Times New Roman"/>
          <w:sz w:val="24"/>
          <w:szCs w:val="24"/>
        </w:rPr>
      </w:pPr>
    </w:p>
    <w:p w14:paraId="64F48EA1" w14:textId="77777777" w:rsidR="00B52921" w:rsidRPr="00CD1C63" w:rsidRDefault="00B52921" w:rsidP="00B52921">
      <w:pPr>
        <w:pStyle w:val="NoSpacing"/>
        <w:ind w:left="720"/>
        <w:rPr>
          <w:rFonts w:ascii="Times New Roman" w:hAnsi="Times New Roman"/>
          <w:sz w:val="24"/>
          <w:szCs w:val="24"/>
        </w:rPr>
      </w:pPr>
      <w:r w:rsidRPr="00CD1C63">
        <w:rPr>
          <w:rFonts w:ascii="Times New Roman" w:hAnsi="Times New Roman"/>
          <w:sz w:val="24"/>
          <w:szCs w:val="24"/>
        </w:rPr>
        <w:t>Note: Justice</w:t>
      </w:r>
      <w:r>
        <w:rPr>
          <w:rFonts w:ascii="Times New Roman" w:hAnsi="Times New Roman"/>
          <w:sz w:val="24"/>
          <w:szCs w:val="24"/>
        </w:rPr>
        <w:t xml:space="preserve"> Michael</w:t>
      </w:r>
      <w:r w:rsidRPr="00CD1C63">
        <w:rPr>
          <w:rFonts w:ascii="Times New Roman" w:hAnsi="Times New Roman"/>
          <w:sz w:val="24"/>
          <w:szCs w:val="24"/>
        </w:rPr>
        <w:t xml:space="preserve"> Kavanaugh in his concurring decision focused on impact of this decision</w:t>
      </w:r>
    </w:p>
    <w:p w14:paraId="1510B379" w14:textId="77777777" w:rsidR="00B52921" w:rsidRDefault="00B52921" w:rsidP="00B52921">
      <w:pPr>
        <w:pStyle w:val="NoSpacing"/>
        <w:ind w:left="720"/>
        <w:rPr>
          <w:rFonts w:ascii="Times New Roman" w:hAnsi="Times New Roman"/>
          <w:sz w:val="24"/>
          <w:szCs w:val="24"/>
        </w:rPr>
      </w:pPr>
    </w:p>
    <w:p w14:paraId="3CC1DB89" w14:textId="77777777" w:rsidR="00B52921" w:rsidRPr="00CD1C63" w:rsidRDefault="00B52921" w:rsidP="00B52921">
      <w:pPr>
        <w:pStyle w:val="NoSpacing"/>
        <w:ind w:left="720"/>
        <w:rPr>
          <w:rFonts w:ascii="Times New Roman" w:hAnsi="Times New Roman"/>
          <w:sz w:val="24"/>
          <w:szCs w:val="24"/>
        </w:rPr>
      </w:pPr>
      <w:r>
        <w:rPr>
          <w:rFonts w:ascii="Times New Roman" w:hAnsi="Times New Roman"/>
          <w:sz w:val="24"/>
          <w:szCs w:val="24"/>
        </w:rPr>
        <w:t>“</w:t>
      </w:r>
      <w:r w:rsidRPr="00CD1C63">
        <w:rPr>
          <w:rFonts w:ascii="Times New Roman" w:hAnsi="Times New Roman"/>
          <w:sz w:val="24"/>
          <w:szCs w:val="24"/>
        </w:rPr>
        <w:t>All of that said, the Court’s new some-harm requirement</w:t>
      </w:r>
      <w:r>
        <w:rPr>
          <w:rFonts w:ascii="Times New Roman" w:hAnsi="Times New Roman"/>
          <w:sz w:val="24"/>
          <w:szCs w:val="24"/>
        </w:rPr>
        <w:t xml:space="preserve"> </w:t>
      </w:r>
      <w:r w:rsidRPr="00CD1C63">
        <w:rPr>
          <w:rFonts w:ascii="Times New Roman" w:hAnsi="Times New Roman"/>
          <w:sz w:val="24"/>
          <w:szCs w:val="24"/>
        </w:rPr>
        <w:t>appears to be a relatively low bar. Importantly, the Court</w:t>
      </w:r>
      <w:r>
        <w:rPr>
          <w:rFonts w:ascii="Times New Roman" w:hAnsi="Times New Roman"/>
          <w:sz w:val="24"/>
          <w:szCs w:val="24"/>
        </w:rPr>
        <w:t xml:space="preserve"> </w:t>
      </w:r>
      <w:r w:rsidRPr="00CD1C63">
        <w:rPr>
          <w:rFonts w:ascii="Times New Roman" w:hAnsi="Times New Roman"/>
          <w:sz w:val="24"/>
          <w:szCs w:val="24"/>
        </w:rPr>
        <w:t xml:space="preserve">emphasizes that </w:t>
      </w:r>
      <w:r>
        <w:rPr>
          <w:rFonts w:ascii="Times New Roman" w:hAnsi="Times New Roman"/>
          <w:sz w:val="24"/>
          <w:szCs w:val="24"/>
        </w:rPr>
        <w:t>‘</w:t>
      </w:r>
      <w:r w:rsidRPr="00CD1C63">
        <w:rPr>
          <w:rFonts w:ascii="Times New Roman" w:hAnsi="Times New Roman"/>
          <w:sz w:val="24"/>
          <w:szCs w:val="24"/>
        </w:rPr>
        <w:t>some harm</w:t>
      </w:r>
      <w:r>
        <w:rPr>
          <w:rFonts w:ascii="Times New Roman" w:hAnsi="Times New Roman"/>
          <w:sz w:val="24"/>
          <w:szCs w:val="24"/>
        </w:rPr>
        <w:t>’</w:t>
      </w:r>
      <w:r w:rsidRPr="00CD1C63">
        <w:rPr>
          <w:rFonts w:ascii="Times New Roman" w:hAnsi="Times New Roman"/>
          <w:sz w:val="24"/>
          <w:szCs w:val="24"/>
        </w:rPr>
        <w:t xml:space="preserve"> is less than significant harm,</w:t>
      </w:r>
    </w:p>
    <w:p w14:paraId="740FE18C" w14:textId="77777777" w:rsidR="00B52921" w:rsidRPr="00CD1C63" w:rsidRDefault="00B52921" w:rsidP="00B52921">
      <w:pPr>
        <w:pStyle w:val="NoSpacing"/>
        <w:ind w:left="720"/>
        <w:rPr>
          <w:rFonts w:ascii="Times New Roman" w:hAnsi="Times New Roman"/>
          <w:sz w:val="24"/>
          <w:szCs w:val="24"/>
        </w:rPr>
      </w:pPr>
      <w:r w:rsidRPr="00CD1C63">
        <w:rPr>
          <w:rFonts w:ascii="Times New Roman" w:hAnsi="Times New Roman"/>
          <w:sz w:val="24"/>
          <w:szCs w:val="24"/>
        </w:rPr>
        <w:t>serious harm, or substantial harm. Ante, at 6. Therefore,</w:t>
      </w:r>
      <w:r>
        <w:rPr>
          <w:rFonts w:ascii="Times New Roman" w:hAnsi="Times New Roman"/>
          <w:sz w:val="24"/>
          <w:szCs w:val="24"/>
        </w:rPr>
        <w:t xml:space="preserve"> </w:t>
      </w:r>
      <w:r w:rsidRPr="00CD1C63">
        <w:rPr>
          <w:rFonts w:ascii="Times New Roman" w:hAnsi="Times New Roman"/>
          <w:sz w:val="24"/>
          <w:szCs w:val="24"/>
        </w:rPr>
        <w:t>anyone who has been transferred because of race, color,</w:t>
      </w:r>
      <w:r>
        <w:rPr>
          <w:rFonts w:ascii="Times New Roman" w:hAnsi="Times New Roman"/>
          <w:sz w:val="24"/>
          <w:szCs w:val="24"/>
        </w:rPr>
        <w:t xml:space="preserve"> </w:t>
      </w:r>
      <w:r w:rsidRPr="00CD1C63">
        <w:rPr>
          <w:rFonts w:ascii="Times New Roman" w:hAnsi="Times New Roman"/>
          <w:sz w:val="24"/>
          <w:szCs w:val="24"/>
        </w:rPr>
        <w:t>religion, sex, or national origin should easily be able to show</w:t>
      </w:r>
    </w:p>
    <w:p w14:paraId="204C9C57" w14:textId="77777777" w:rsidR="00B52921" w:rsidRPr="00CD1C63" w:rsidRDefault="00B52921" w:rsidP="00B52921">
      <w:pPr>
        <w:pStyle w:val="NoSpacing"/>
        <w:ind w:left="720"/>
        <w:rPr>
          <w:rFonts w:ascii="Times New Roman" w:hAnsi="Times New Roman"/>
          <w:sz w:val="24"/>
          <w:szCs w:val="24"/>
        </w:rPr>
      </w:pPr>
      <w:r w:rsidRPr="00CD1C63">
        <w:rPr>
          <w:rFonts w:ascii="Times New Roman" w:hAnsi="Times New Roman"/>
          <w:sz w:val="24"/>
          <w:szCs w:val="24"/>
        </w:rPr>
        <w:t>some additional harm—whether in money, time,</w:t>
      </w:r>
      <w:r>
        <w:rPr>
          <w:rFonts w:ascii="Times New Roman" w:hAnsi="Times New Roman"/>
          <w:sz w:val="24"/>
          <w:szCs w:val="24"/>
        </w:rPr>
        <w:t xml:space="preserve"> </w:t>
      </w:r>
      <w:r w:rsidRPr="00CD1C63">
        <w:rPr>
          <w:rFonts w:ascii="Times New Roman" w:hAnsi="Times New Roman"/>
          <w:sz w:val="24"/>
          <w:szCs w:val="24"/>
        </w:rPr>
        <w:t>satisfaction, schedule, convenience, commuting costs or</w:t>
      </w:r>
      <w:r>
        <w:rPr>
          <w:rFonts w:ascii="Times New Roman" w:hAnsi="Times New Roman"/>
          <w:sz w:val="24"/>
          <w:szCs w:val="24"/>
        </w:rPr>
        <w:t xml:space="preserve"> </w:t>
      </w:r>
      <w:r w:rsidRPr="00CD1C63">
        <w:rPr>
          <w:rFonts w:ascii="Times New Roman" w:hAnsi="Times New Roman"/>
          <w:sz w:val="24"/>
          <w:szCs w:val="24"/>
        </w:rPr>
        <w:t>time, prestige, status, career prospects, interest level,</w:t>
      </w:r>
      <w:r>
        <w:rPr>
          <w:rFonts w:ascii="Times New Roman" w:hAnsi="Times New Roman"/>
          <w:sz w:val="24"/>
          <w:szCs w:val="24"/>
        </w:rPr>
        <w:t xml:space="preserve"> </w:t>
      </w:r>
      <w:r w:rsidRPr="00CD1C63">
        <w:rPr>
          <w:rFonts w:ascii="Times New Roman" w:hAnsi="Times New Roman"/>
          <w:sz w:val="24"/>
          <w:szCs w:val="24"/>
        </w:rPr>
        <w:t>perks, professional relationships, networking</w:t>
      </w:r>
      <w:r>
        <w:rPr>
          <w:rFonts w:ascii="Times New Roman" w:hAnsi="Times New Roman"/>
          <w:sz w:val="24"/>
          <w:szCs w:val="24"/>
        </w:rPr>
        <w:t xml:space="preserve"> </w:t>
      </w:r>
      <w:r w:rsidRPr="00CD1C63">
        <w:rPr>
          <w:rFonts w:ascii="Times New Roman" w:hAnsi="Times New Roman"/>
          <w:sz w:val="24"/>
          <w:szCs w:val="24"/>
        </w:rPr>
        <w:t>opportunities, effects on family obligations, or the like.</w:t>
      </w:r>
      <w:r>
        <w:rPr>
          <w:rFonts w:ascii="Times New Roman" w:hAnsi="Times New Roman"/>
          <w:sz w:val="24"/>
          <w:szCs w:val="24"/>
        </w:rPr>
        <w:t>”</w:t>
      </w:r>
    </w:p>
    <w:p w14:paraId="36167F69" w14:textId="77777777" w:rsidR="00B52921" w:rsidRDefault="00B52921" w:rsidP="00B52921">
      <w:pPr>
        <w:rPr>
          <w:rFonts w:ascii="Arial Black" w:hAnsi="Arial Black"/>
          <w:sz w:val="28"/>
          <w:szCs w:val="28"/>
        </w:rPr>
      </w:pPr>
    </w:p>
    <w:p w14:paraId="2CE26F59" w14:textId="77777777" w:rsidR="00B52921" w:rsidRDefault="00B52921" w:rsidP="00F326E5">
      <w:pPr>
        <w:pStyle w:val="NoSpacing"/>
        <w:rPr>
          <w:rFonts w:ascii="Arial Black" w:hAnsi="Arial Black"/>
          <w:b/>
          <w:bCs/>
          <w:sz w:val="24"/>
          <w:szCs w:val="24"/>
        </w:rPr>
      </w:pPr>
    </w:p>
    <w:p w14:paraId="115EE191" w14:textId="77777777" w:rsidR="00B52921" w:rsidRDefault="00B52921" w:rsidP="00F326E5">
      <w:pPr>
        <w:pStyle w:val="NoSpacing"/>
        <w:rPr>
          <w:rFonts w:ascii="Arial Black" w:hAnsi="Arial Black"/>
          <w:b/>
          <w:bCs/>
          <w:sz w:val="24"/>
          <w:szCs w:val="24"/>
        </w:rPr>
      </w:pPr>
    </w:p>
    <w:p w14:paraId="2005FA0B" w14:textId="77777777" w:rsidR="00B52921" w:rsidRDefault="00B52921" w:rsidP="00F326E5">
      <w:pPr>
        <w:pStyle w:val="NoSpacing"/>
        <w:rPr>
          <w:rFonts w:ascii="Arial Black" w:hAnsi="Arial Black"/>
          <w:b/>
          <w:bCs/>
          <w:sz w:val="24"/>
          <w:szCs w:val="24"/>
        </w:rPr>
      </w:pPr>
    </w:p>
    <w:p w14:paraId="2663EE2F" w14:textId="77777777" w:rsidR="00B52921" w:rsidRDefault="00B52921" w:rsidP="00F326E5">
      <w:pPr>
        <w:pStyle w:val="NoSpacing"/>
        <w:rPr>
          <w:rFonts w:ascii="Arial Black" w:hAnsi="Arial Black"/>
          <w:b/>
          <w:bCs/>
          <w:sz w:val="24"/>
          <w:szCs w:val="24"/>
        </w:rPr>
      </w:pPr>
    </w:p>
    <w:p w14:paraId="5E31E56F" w14:textId="77777777" w:rsidR="00B52921" w:rsidRDefault="00B52921" w:rsidP="00F326E5">
      <w:pPr>
        <w:pStyle w:val="NoSpacing"/>
        <w:rPr>
          <w:rFonts w:ascii="Arial Black" w:hAnsi="Arial Black"/>
          <w:b/>
          <w:bCs/>
          <w:sz w:val="24"/>
          <w:szCs w:val="24"/>
        </w:rPr>
      </w:pPr>
    </w:p>
    <w:p w14:paraId="7E3AB5B9" w14:textId="77777777" w:rsidR="00B52921" w:rsidRDefault="00B52921" w:rsidP="00F326E5">
      <w:pPr>
        <w:pStyle w:val="NoSpacing"/>
        <w:rPr>
          <w:rFonts w:ascii="Arial Black" w:hAnsi="Arial Black"/>
          <w:b/>
          <w:bCs/>
          <w:sz w:val="24"/>
          <w:szCs w:val="24"/>
        </w:rPr>
      </w:pPr>
    </w:p>
    <w:p w14:paraId="04787010" w14:textId="77777777" w:rsidR="00B52921" w:rsidRDefault="00B52921" w:rsidP="00F326E5">
      <w:pPr>
        <w:pStyle w:val="NoSpacing"/>
        <w:rPr>
          <w:rFonts w:ascii="Arial Black" w:hAnsi="Arial Black"/>
          <w:b/>
          <w:bCs/>
          <w:sz w:val="24"/>
          <w:szCs w:val="24"/>
        </w:rPr>
      </w:pPr>
    </w:p>
    <w:p w14:paraId="2D864645" w14:textId="2D5A83A1" w:rsidR="00820998" w:rsidRDefault="00772D62" w:rsidP="00F326E5">
      <w:pPr>
        <w:pStyle w:val="NoSpacing"/>
        <w:rPr>
          <w:rFonts w:ascii="Arial Black" w:hAnsi="Arial Black"/>
          <w:b/>
          <w:bCs/>
          <w:sz w:val="24"/>
          <w:szCs w:val="24"/>
        </w:rPr>
      </w:pPr>
      <w:r>
        <w:rPr>
          <w:rFonts w:ascii="Arial Black" w:hAnsi="Arial Black"/>
          <w:b/>
          <w:bCs/>
          <w:sz w:val="24"/>
          <w:szCs w:val="24"/>
        </w:rPr>
        <w:t>7-59</w:t>
      </w:r>
    </w:p>
    <w:p w14:paraId="5F3343AD" w14:textId="77777777" w:rsidR="005251B2" w:rsidRPr="001E7114" w:rsidRDefault="005251B2" w:rsidP="005251B2">
      <w:pPr>
        <w:pStyle w:val="NormalWeb"/>
        <w:rPr>
          <w:rFonts w:ascii="Arial Black" w:hAnsi="Arial Black"/>
          <w:b/>
          <w:bCs/>
          <w:sz w:val="28"/>
          <w:szCs w:val="28"/>
        </w:rPr>
      </w:pPr>
      <w:r w:rsidRPr="001E7114">
        <w:rPr>
          <w:rFonts w:ascii="Arial Black" w:hAnsi="Arial Black"/>
          <w:b/>
          <w:bCs/>
          <w:sz w:val="28"/>
          <w:szCs w:val="28"/>
        </w:rPr>
        <w:t xml:space="preserve">NV: FD VISITOR – KISSING </w:t>
      </w:r>
      <w:r>
        <w:rPr>
          <w:rFonts w:ascii="Arial Black" w:hAnsi="Arial Black"/>
          <w:b/>
          <w:bCs/>
          <w:sz w:val="28"/>
          <w:szCs w:val="28"/>
        </w:rPr>
        <w:t xml:space="preserve">IN </w:t>
      </w:r>
      <w:r w:rsidRPr="001E7114">
        <w:rPr>
          <w:rFonts w:ascii="Arial Black" w:hAnsi="Arial Black"/>
          <w:b/>
          <w:bCs/>
          <w:sz w:val="28"/>
          <w:szCs w:val="28"/>
        </w:rPr>
        <w:t xml:space="preserve">BUNK ROOM - FF REPORTED </w:t>
      </w:r>
      <w:r>
        <w:rPr>
          <w:rFonts w:ascii="Arial Black" w:hAnsi="Arial Black"/>
          <w:b/>
          <w:bCs/>
          <w:sz w:val="28"/>
          <w:szCs w:val="28"/>
        </w:rPr>
        <w:t>TO MGT</w:t>
      </w:r>
      <w:r w:rsidRPr="001E7114">
        <w:rPr>
          <w:rFonts w:ascii="Arial Black" w:hAnsi="Arial Black"/>
          <w:b/>
          <w:bCs/>
          <w:sz w:val="28"/>
          <w:szCs w:val="28"/>
        </w:rPr>
        <w:t>, NEWSPAPER</w:t>
      </w:r>
      <w:r>
        <w:rPr>
          <w:rFonts w:ascii="Arial Black" w:hAnsi="Arial Black"/>
          <w:b/>
          <w:bCs/>
          <w:sz w:val="28"/>
          <w:szCs w:val="28"/>
        </w:rPr>
        <w:t xml:space="preserve"> ARTICLE</w:t>
      </w:r>
      <w:r w:rsidRPr="001E7114">
        <w:rPr>
          <w:rFonts w:ascii="Arial Black" w:hAnsi="Arial Black"/>
          <w:b/>
          <w:bCs/>
          <w:sz w:val="28"/>
          <w:szCs w:val="28"/>
        </w:rPr>
        <w:t xml:space="preserve"> – CASE DISMISSED</w:t>
      </w:r>
    </w:p>
    <w:p w14:paraId="4CB827A7" w14:textId="77777777" w:rsidR="005251B2" w:rsidRPr="005535D1" w:rsidRDefault="005251B2" w:rsidP="005251B2">
      <w:pPr>
        <w:pStyle w:val="NoSpacing"/>
        <w:rPr>
          <w:rFonts w:ascii="Times New Roman" w:hAnsi="Times New Roman"/>
          <w:sz w:val="24"/>
          <w:szCs w:val="24"/>
        </w:rPr>
      </w:pPr>
      <w:r w:rsidRPr="005535D1">
        <w:rPr>
          <w:rFonts w:ascii="Times New Roman" w:hAnsi="Times New Roman"/>
          <w:sz w:val="24"/>
          <w:szCs w:val="24"/>
        </w:rPr>
        <w:t xml:space="preserve">On Feb. 29, </w:t>
      </w:r>
      <w:proofErr w:type="gramStart"/>
      <w:r w:rsidRPr="005535D1">
        <w:rPr>
          <w:rFonts w:ascii="Times New Roman" w:hAnsi="Times New Roman"/>
          <w:sz w:val="24"/>
          <w:szCs w:val="24"/>
        </w:rPr>
        <w:t>2024</w:t>
      </w:r>
      <w:proofErr w:type="gramEnd"/>
      <w:r w:rsidRPr="005535D1">
        <w:rPr>
          <w:rFonts w:ascii="Times New Roman" w:hAnsi="Times New Roman"/>
          <w:sz w:val="24"/>
          <w:szCs w:val="24"/>
        </w:rPr>
        <w:t xml:space="preserve"> in </w:t>
      </w:r>
      <w:r w:rsidRPr="005535D1">
        <w:rPr>
          <w:rFonts w:ascii="Times New Roman" w:hAnsi="Times New Roman"/>
          <w:sz w:val="24"/>
          <w:szCs w:val="24"/>
          <w:u w:val="single"/>
        </w:rPr>
        <w:t>Eric Scheumann v. City of Las Vegas, Las Vegas Fire &amp; Rescue</w:t>
      </w:r>
      <w:r w:rsidRPr="005535D1">
        <w:rPr>
          <w:rFonts w:ascii="Times New Roman" w:hAnsi="Times New Roman"/>
          <w:sz w:val="24"/>
          <w:szCs w:val="24"/>
        </w:rPr>
        <w:t>, U.S. District Court Judge Jennifer A. Dorsey granted the defense motion for summary judgment. “Eric Scheumann brings this employment action against City of Las Vegas Fire &amp; Rescue for events arising from an August 2017 visit to his fire station by guests of a coworker. Scheumann claims that he overheard kissing noises coming from his coworker’s dorm, the same coworker showed him and the visiting guests a 15-second pornographic video of ‘a man’s genitalia eclipsing the sun’ later that same day, and Scheumann suffered retaliation because he reported the incidents and his superiors’ inadequate handling of them.”</w:t>
      </w:r>
    </w:p>
    <w:p w14:paraId="4FD60969" w14:textId="77777777" w:rsidR="005251B2" w:rsidRDefault="005251B2" w:rsidP="005251B2">
      <w:pPr>
        <w:pStyle w:val="NormalWeb"/>
      </w:pPr>
      <w:r>
        <w:t>Court held:</w:t>
      </w:r>
    </w:p>
    <w:p w14:paraId="6133CF85" w14:textId="77777777" w:rsidR="005251B2" w:rsidRPr="00C676FC" w:rsidRDefault="005251B2" w:rsidP="005251B2">
      <w:pPr>
        <w:pStyle w:val="NoSpacing"/>
        <w:ind w:firstLine="720"/>
        <w:rPr>
          <w:rFonts w:ascii="Times New Roman" w:hAnsi="Times New Roman"/>
          <w:sz w:val="24"/>
          <w:szCs w:val="24"/>
        </w:rPr>
      </w:pPr>
      <w:r>
        <w:rPr>
          <w:rFonts w:ascii="Times New Roman" w:hAnsi="Times New Roman"/>
          <w:sz w:val="24"/>
          <w:szCs w:val="24"/>
        </w:rPr>
        <w:t>“</w:t>
      </w:r>
      <w:proofErr w:type="gramStart"/>
      <w:r w:rsidRPr="00C676FC">
        <w:rPr>
          <w:rFonts w:ascii="Times New Roman" w:hAnsi="Times New Roman"/>
          <w:sz w:val="24"/>
          <w:szCs w:val="24"/>
        </w:rPr>
        <w:t>So</w:t>
      </w:r>
      <w:proofErr w:type="gramEnd"/>
      <w:r w:rsidRPr="00C676FC">
        <w:rPr>
          <w:rFonts w:ascii="Times New Roman" w:hAnsi="Times New Roman"/>
          <w:sz w:val="24"/>
          <w:szCs w:val="24"/>
        </w:rPr>
        <w:t xml:space="preserve"> there is no evidence to support Scheumann’s negligent-retention theory, and his</w:t>
      </w:r>
    </w:p>
    <w:p w14:paraId="1BACFB02" w14:textId="77777777" w:rsidR="005251B2" w:rsidRDefault="005251B2" w:rsidP="005251B2">
      <w:pPr>
        <w:pStyle w:val="NoSpacing"/>
        <w:ind w:left="720"/>
      </w:pPr>
      <w:r w:rsidRPr="00C676FC">
        <w:rPr>
          <w:rFonts w:ascii="Times New Roman" w:hAnsi="Times New Roman"/>
          <w:sz w:val="24"/>
          <w:szCs w:val="24"/>
        </w:rPr>
        <w:t>negligent-training and negligent-supervision theories suffer from breach and causation voids.</w:t>
      </w:r>
      <w:r>
        <w:rPr>
          <w:rFonts w:ascii="Times New Roman" w:hAnsi="Times New Roman"/>
          <w:sz w:val="24"/>
          <w:szCs w:val="24"/>
        </w:rPr>
        <w:t xml:space="preserve"> </w:t>
      </w:r>
      <w:r w:rsidRPr="00C676FC">
        <w:rPr>
          <w:rFonts w:ascii="Times New Roman" w:hAnsi="Times New Roman"/>
          <w:sz w:val="24"/>
          <w:szCs w:val="24"/>
        </w:rPr>
        <w:t>This leaves no genuine disputes of fact as to Scheumann’s negligent training, supervision, and</w:t>
      </w:r>
      <w:r>
        <w:rPr>
          <w:rFonts w:ascii="Times New Roman" w:hAnsi="Times New Roman"/>
          <w:sz w:val="24"/>
          <w:szCs w:val="24"/>
        </w:rPr>
        <w:t xml:space="preserve"> </w:t>
      </w:r>
      <w:r w:rsidRPr="00C676FC">
        <w:rPr>
          <w:rFonts w:ascii="Times New Roman" w:hAnsi="Times New Roman"/>
          <w:sz w:val="24"/>
          <w:szCs w:val="24"/>
        </w:rPr>
        <w:t xml:space="preserve">retention claim because he hasn’t shown that Fire &amp; Rescue </w:t>
      </w:r>
      <w:r>
        <w:rPr>
          <w:rFonts w:ascii="Times New Roman" w:hAnsi="Times New Roman"/>
          <w:sz w:val="24"/>
          <w:szCs w:val="24"/>
        </w:rPr>
        <w:t>‘</w:t>
      </w:r>
      <w:r w:rsidRPr="00C676FC">
        <w:rPr>
          <w:rFonts w:ascii="Times New Roman" w:hAnsi="Times New Roman"/>
          <w:sz w:val="24"/>
          <w:szCs w:val="24"/>
        </w:rPr>
        <w:t>failed to use reasonable care in the</w:t>
      </w:r>
      <w:r>
        <w:rPr>
          <w:rFonts w:ascii="Times New Roman" w:hAnsi="Times New Roman"/>
          <w:sz w:val="24"/>
          <w:szCs w:val="24"/>
        </w:rPr>
        <w:t xml:space="preserve"> </w:t>
      </w:r>
      <w:r w:rsidRPr="00C676FC">
        <w:rPr>
          <w:rFonts w:ascii="Times New Roman" w:hAnsi="Times New Roman"/>
          <w:sz w:val="24"/>
          <w:szCs w:val="24"/>
        </w:rPr>
        <w:t>training, supervision, and retention of its employees to ensure their fitness for their respective</w:t>
      </w:r>
      <w:r>
        <w:rPr>
          <w:rFonts w:ascii="Times New Roman" w:hAnsi="Times New Roman"/>
          <w:sz w:val="24"/>
          <w:szCs w:val="24"/>
        </w:rPr>
        <w:t xml:space="preserve"> </w:t>
      </w:r>
      <w:r w:rsidRPr="00C676FC">
        <w:rPr>
          <w:rFonts w:ascii="Times New Roman" w:hAnsi="Times New Roman"/>
          <w:sz w:val="24"/>
          <w:szCs w:val="24"/>
        </w:rPr>
        <w:t>positions.”145 So I grant summary judgment in Fire &amp; Rescue’s favor on these remaining</w:t>
      </w:r>
      <w:r>
        <w:rPr>
          <w:rFonts w:ascii="Times New Roman" w:hAnsi="Times New Roman"/>
          <w:sz w:val="24"/>
          <w:szCs w:val="24"/>
        </w:rPr>
        <w:t xml:space="preserve"> </w:t>
      </w:r>
      <w:r w:rsidRPr="00C676FC">
        <w:rPr>
          <w:rFonts w:ascii="Times New Roman" w:hAnsi="Times New Roman"/>
          <w:sz w:val="24"/>
          <w:szCs w:val="24"/>
        </w:rPr>
        <w:t>negligence-based claims, too</w:t>
      </w:r>
      <w:r>
        <w:rPr>
          <w:rFonts w:ascii="Times New Roman" w:hAnsi="Times New Roman"/>
          <w:sz w:val="24"/>
          <w:szCs w:val="24"/>
        </w:rPr>
        <w:t xml:space="preserve">.” </w:t>
      </w:r>
      <w:hyperlink r:id="rId1383" w:history="1">
        <w:r w:rsidRPr="00644350">
          <w:rPr>
            <w:rStyle w:val="Hyperlink"/>
          </w:rPr>
          <w:t>https://cases.justia.com/federal/district-courts/nevada/nvdce/2:2021cv01405/151510/46/0.pdf</w:t>
        </w:r>
      </w:hyperlink>
      <w:r>
        <w:t xml:space="preserve"> </w:t>
      </w:r>
    </w:p>
    <w:p w14:paraId="6024C2F9" w14:textId="77777777" w:rsidR="005251B2" w:rsidRPr="00A932F2" w:rsidRDefault="005251B2" w:rsidP="005251B2">
      <w:pPr>
        <w:pStyle w:val="NormalWeb"/>
        <w:rPr>
          <w:b/>
          <w:bCs/>
        </w:rPr>
      </w:pPr>
      <w:r w:rsidRPr="00A932F2">
        <w:rPr>
          <w:b/>
          <w:bCs/>
        </w:rPr>
        <w:t xml:space="preserve">Legal Lesson Learned: Have a clear visitor policy that </w:t>
      </w:r>
      <w:r>
        <w:rPr>
          <w:b/>
          <w:bCs/>
        </w:rPr>
        <w:t xml:space="preserve">prohibits </w:t>
      </w:r>
      <w:r w:rsidRPr="00A932F2">
        <w:rPr>
          <w:b/>
          <w:bCs/>
        </w:rPr>
        <w:t xml:space="preserve">visitors </w:t>
      </w:r>
      <w:r>
        <w:rPr>
          <w:b/>
          <w:bCs/>
        </w:rPr>
        <w:t xml:space="preserve">in bunk </w:t>
      </w:r>
      <w:proofErr w:type="gramStart"/>
      <w:r>
        <w:rPr>
          <w:b/>
          <w:bCs/>
        </w:rPr>
        <w:t>room</w:t>
      </w:r>
      <w:proofErr w:type="gramEnd"/>
      <w:r>
        <w:rPr>
          <w:b/>
          <w:bCs/>
        </w:rPr>
        <w:t xml:space="preserve">. </w:t>
      </w:r>
    </w:p>
    <w:p w14:paraId="7D58C39D" w14:textId="77777777" w:rsidR="005251B2" w:rsidRDefault="005251B2" w:rsidP="005251B2">
      <w:pPr>
        <w:pStyle w:val="Heading1"/>
        <w:ind w:left="720"/>
        <w:rPr>
          <w:b w:val="0"/>
          <w:bCs w:val="0"/>
          <w:sz w:val="24"/>
          <w:szCs w:val="24"/>
        </w:rPr>
      </w:pPr>
      <w:r w:rsidRPr="000542CC">
        <w:rPr>
          <w:b w:val="0"/>
          <w:bCs w:val="0"/>
          <w:sz w:val="24"/>
          <w:szCs w:val="24"/>
        </w:rPr>
        <w:t xml:space="preserve">Note: See Sept. 21, </w:t>
      </w:r>
      <w:proofErr w:type="gramStart"/>
      <w:r w:rsidRPr="000542CC">
        <w:rPr>
          <w:b w:val="0"/>
          <w:bCs w:val="0"/>
          <w:sz w:val="24"/>
          <w:szCs w:val="24"/>
        </w:rPr>
        <w:t>2017</w:t>
      </w:r>
      <w:proofErr w:type="gramEnd"/>
      <w:r w:rsidRPr="000542CC">
        <w:rPr>
          <w:b w:val="0"/>
          <w:bCs w:val="0"/>
          <w:sz w:val="24"/>
          <w:szCs w:val="24"/>
        </w:rPr>
        <w:t xml:space="preserve"> article: “Sex, cover-up at Las Vegas fire station alleged in document.” </w:t>
      </w:r>
      <w:hyperlink r:id="rId1384" w:history="1">
        <w:r w:rsidRPr="000542CC">
          <w:rPr>
            <w:rStyle w:val="Hyperlink"/>
            <w:b w:val="0"/>
            <w:bCs w:val="0"/>
            <w:sz w:val="24"/>
            <w:szCs w:val="24"/>
          </w:rPr>
          <w:t>https://www.reviewjournal.com/local/sex-cover-up-at-las-vegas-fire-station-alleged-in-document/</w:t>
        </w:r>
      </w:hyperlink>
      <w:r w:rsidRPr="000542CC">
        <w:rPr>
          <w:b w:val="0"/>
          <w:bCs w:val="0"/>
          <w:sz w:val="24"/>
          <w:szCs w:val="24"/>
        </w:rPr>
        <w:t xml:space="preserve"> </w:t>
      </w:r>
    </w:p>
    <w:p w14:paraId="51555339" w14:textId="77777777" w:rsidR="005251B2" w:rsidRDefault="005251B2" w:rsidP="005251B2">
      <w:pPr>
        <w:pStyle w:val="NormalWeb"/>
      </w:pPr>
    </w:p>
    <w:p w14:paraId="06DCC9B8" w14:textId="77777777" w:rsidR="005251B2" w:rsidRDefault="005251B2" w:rsidP="00F326E5">
      <w:pPr>
        <w:pStyle w:val="NoSpacing"/>
        <w:rPr>
          <w:rFonts w:ascii="Arial Black" w:hAnsi="Arial Black"/>
          <w:b/>
          <w:bCs/>
          <w:sz w:val="24"/>
          <w:szCs w:val="24"/>
        </w:rPr>
      </w:pPr>
    </w:p>
    <w:p w14:paraId="23B63846" w14:textId="77777777" w:rsidR="00772D62" w:rsidRDefault="00772D62" w:rsidP="00F326E5">
      <w:pPr>
        <w:pStyle w:val="NoSpacing"/>
        <w:rPr>
          <w:rFonts w:ascii="Arial Black" w:hAnsi="Arial Black"/>
          <w:b/>
          <w:bCs/>
          <w:sz w:val="24"/>
          <w:szCs w:val="24"/>
        </w:rPr>
      </w:pPr>
    </w:p>
    <w:p w14:paraId="40F1923E" w14:textId="77777777" w:rsidR="00772D62" w:rsidRDefault="00772D62" w:rsidP="00F326E5">
      <w:pPr>
        <w:pStyle w:val="NoSpacing"/>
        <w:rPr>
          <w:rFonts w:ascii="Arial Black" w:hAnsi="Arial Black"/>
          <w:b/>
          <w:bCs/>
          <w:sz w:val="24"/>
          <w:szCs w:val="24"/>
        </w:rPr>
      </w:pPr>
    </w:p>
    <w:p w14:paraId="1CFEF835" w14:textId="2099A23C" w:rsidR="0061488E" w:rsidRDefault="0061488E" w:rsidP="00F326E5">
      <w:pPr>
        <w:pStyle w:val="NoSpacing"/>
        <w:rPr>
          <w:rFonts w:ascii="Arial Black" w:hAnsi="Arial Black"/>
          <w:b/>
          <w:bCs/>
          <w:sz w:val="24"/>
          <w:szCs w:val="24"/>
        </w:rPr>
      </w:pPr>
      <w:r>
        <w:rPr>
          <w:rFonts w:ascii="Arial Black" w:hAnsi="Arial Black"/>
          <w:b/>
          <w:bCs/>
          <w:sz w:val="24"/>
          <w:szCs w:val="24"/>
        </w:rPr>
        <w:t>7-58</w:t>
      </w:r>
    </w:p>
    <w:p w14:paraId="605B9E92" w14:textId="77777777" w:rsidR="00451608" w:rsidRPr="004A5B4B" w:rsidRDefault="00451608" w:rsidP="00451608">
      <w:pPr>
        <w:pStyle w:val="NormalWeb"/>
        <w:rPr>
          <w:rFonts w:ascii="Arial Black" w:hAnsi="Arial Black"/>
          <w:b/>
          <w:bCs/>
          <w:sz w:val="28"/>
          <w:szCs w:val="28"/>
        </w:rPr>
      </w:pPr>
      <w:r>
        <w:rPr>
          <w:rFonts w:ascii="Arial Black" w:hAnsi="Arial Black"/>
          <w:b/>
          <w:bCs/>
          <w:sz w:val="28"/>
          <w:szCs w:val="28"/>
        </w:rPr>
        <w:t>DC: LT. ON DUTY GRABBED BREASTS FEMALE FF – CONV. –HOSTILE WORKPLACE CASE PROCEED - NOT RETALIATION</w:t>
      </w:r>
    </w:p>
    <w:p w14:paraId="35DF2F57" w14:textId="77777777" w:rsidR="00451608" w:rsidRPr="005235E2" w:rsidRDefault="00451608" w:rsidP="00451608">
      <w:pPr>
        <w:pStyle w:val="NormalWeb"/>
      </w:pPr>
      <w:r w:rsidRPr="005235E2">
        <w:t xml:space="preserve">On Jan. 29, 2024, in </w:t>
      </w:r>
      <w:r w:rsidRPr="005235E2">
        <w:rPr>
          <w:u w:val="single"/>
        </w:rPr>
        <w:t>Anaje Boyd v. District of Columbia</w:t>
      </w:r>
      <w:r w:rsidRPr="005235E2">
        <w:t xml:space="preserve">, U.S. District Court Judge Rudolph Contreras, U.S. District Court for District of Columbia, held that the plaintiffs claim for hostile work environment may proceed with pre-trial discovery, but the claim of retaliation for FD delay in conducting are internal investigation is </w:t>
      </w:r>
      <w:r w:rsidRPr="005235E2">
        <w:lastRenderedPageBreak/>
        <w:t>dismissed.  When she filed a complaint with the Police Department, the FD’s EEO officer (Amy Mauro) and Internal Affairs Captain Melonie Barnes told her to hold off filing EEOC charge while criminal case was proceeding.</w:t>
      </w:r>
    </w:p>
    <w:p w14:paraId="169C4CE5" w14:textId="4E27F073" w:rsidR="0061488E" w:rsidRPr="005235E2" w:rsidRDefault="00451608" w:rsidP="00451608">
      <w:pPr>
        <w:pStyle w:val="NoSpacing"/>
        <w:rPr>
          <w:rStyle w:val="Hyperlink"/>
          <w:rFonts w:ascii="Times New Roman" w:hAnsi="Times New Roman"/>
          <w:sz w:val="24"/>
          <w:szCs w:val="24"/>
        </w:rPr>
      </w:pPr>
      <w:r w:rsidRPr="005235E2">
        <w:rPr>
          <w:rFonts w:ascii="Times New Roman" w:hAnsi="Times New Roman"/>
          <w:sz w:val="24"/>
          <w:szCs w:val="24"/>
        </w:rPr>
        <w:t xml:space="preserve">“Although Boyd's written narrative does mention that Mauro and Cpt. Barnes instructed her that she could not file an EEO complaint until the criminal proceedings against Lt. Jordan had concluded, </w:t>
      </w:r>
      <w:r w:rsidRPr="005235E2">
        <w:rPr>
          <w:rStyle w:val="Emphasis"/>
          <w:rFonts w:ascii="Times New Roman" w:hAnsi="Times New Roman"/>
          <w:sz w:val="24"/>
          <w:szCs w:val="24"/>
        </w:rPr>
        <w:t>see</w:t>
      </w:r>
      <w:r w:rsidRPr="005235E2">
        <w:rPr>
          <w:rFonts w:ascii="Times New Roman" w:hAnsi="Times New Roman"/>
          <w:sz w:val="24"/>
          <w:szCs w:val="24"/>
        </w:rPr>
        <w:t xml:space="preserve"> EEOC Charge at 5; </w:t>
      </w:r>
      <w:r w:rsidRPr="005235E2">
        <w:rPr>
          <w:rStyle w:val="Emphasis"/>
          <w:rFonts w:ascii="Times New Roman" w:hAnsi="Times New Roman"/>
          <w:sz w:val="24"/>
          <w:szCs w:val="24"/>
        </w:rPr>
        <w:t>see also</w:t>
      </w:r>
      <w:r w:rsidRPr="005235E2">
        <w:rPr>
          <w:rFonts w:ascii="Times New Roman" w:hAnsi="Times New Roman"/>
          <w:sz w:val="24"/>
          <w:szCs w:val="24"/>
        </w:rPr>
        <w:t xml:space="preserve"> Pl.'s </w:t>
      </w:r>
      <w:proofErr w:type="spellStart"/>
      <w:r w:rsidRPr="005235E2">
        <w:rPr>
          <w:rFonts w:ascii="Times New Roman" w:hAnsi="Times New Roman"/>
          <w:sz w:val="24"/>
          <w:szCs w:val="24"/>
        </w:rPr>
        <w:t>Opp'n</w:t>
      </w:r>
      <w:proofErr w:type="spellEnd"/>
      <w:r w:rsidRPr="005235E2">
        <w:rPr>
          <w:rFonts w:ascii="Times New Roman" w:hAnsi="Times New Roman"/>
          <w:sz w:val="24"/>
          <w:szCs w:val="24"/>
        </w:rPr>
        <w:t xml:space="preserve"> at 9 (arguing that the inclusion of these facts satisfies the exhaustion requirement), there is nothing in that narrative that suggests-in any way-that Boyd viewed Mauro's or Cpt. Barnes's instructions to be retaliatory…. Rather, Boyd's description of Mauro's and Cpt. Barnes's acts is best (and most reasonably) understood as providing support for why she delayed in filing her formal discrimination complaint. That being so-and given the absence of any other factual allegations that suggest Boyd was describing a retaliation claim-the Court cannot conclude that Boyd's complaint would have ‘reasonably give[n] rise to an investigation’ into retaliation (as opposed to an investigation solely focused on sex discrimination and sexual harassment).” </w:t>
      </w:r>
      <w:hyperlink r:id="rId1385" w:history="1">
        <w:r w:rsidRPr="005235E2">
          <w:rPr>
            <w:rStyle w:val="Hyperlink"/>
            <w:rFonts w:ascii="Times New Roman" w:hAnsi="Times New Roman"/>
            <w:sz w:val="24"/>
            <w:szCs w:val="24"/>
          </w:rPr>
          <w:t>https://public.fastcase.com/ZZhmr5v9wN%2FXOe5IsQ%2FqD6jMQR25voU2zetCo1HgS1zBk8tCI%2FmKZ0pb%2BYQBY4PYbj2YxbwIVSZ2pGprXwG4UQ35c6nwrJlu7u4tvaka%2BGk%3D?utm_medium=email&amp;_hsmi=226712652&amp;_hsenc=p2ANqtz-8k0z7Ow52c-ClX2b2IdaHNx0isoBG6vg98c6p6ibbt9CVV8mr3zs9YYXJjoYif24S7rYOdhr1XcCDTZ_K6Y2uCJJR3PQ&amp;utm_content=226712652&amp;utm_source=hs_email</w:t>
        </w:r>
      </w:hyperlink>
    </w:p>
    <w:p w14:paraId="51C14711" w14:textId="77777777" w:rsidR="005235E2" w:rsidRPr="005235E2" w:rsidRDefault="005235E2" w:rsidP="00451608">
      <w:pPr>
        <w:pStyle w:val="NoSpacing"/>
        <w:rPr>
          <w:rStyle w:val="Hyperlink"/>
          <w:rFonts w:ascii="Times New Roman" w:hAnsi="Times New Roman"/>
          <w:sz w:val="24"/>
          <w:szCs w:val="24"/>
        </w:rPr>
      </w:pPr>
    </w:p>
    <w:p w14:paraId="1FAC7ACC" w14:textId="77777777" w:rsidR="005235E2" w:rsidRPr="005235E2" w:rsidRDefault="005235E2" w:rsidP="005235E2">
      <w:pPr>
        <w:rPr>
          <w:rFonts w:ascii="Times New Roman" w:hAnsi="Times New Roman"/>
          <w:b/>
          <w:bCs/>
          <w:sz w:val="24"/>
          <w:szCs w:val="24"/>
        </w:rPr>
      </w:pPr>
      <w:r w:rsidRPr="005235E2">
        <w:rPr>
          <w:rFonts w:ascii="Times New Roman" w:hAnsi="Times New Roman"/>
          <w:b/>
          <w:bCs/>
          <w:sz w:val="24"/>
          <w:szCs w:val="24"/>
        </w:rPr>
        <w:t xml:space="preserve">Legal Lesson Learned:  An on-duty assault is shocking. The court opinion does not mention whether the Lt. Antwan Jordan was fired, or whether he received jail time.  </w:t>
      </w:r>
    </w:p>
    <w:p w14:paraId="36EFB27C" w14:textId="77777777" w:rsidR="005235E2" w:rsidRPr="005235E2" w:rsidRDefault="005235E2" w:rsidP="005235E2">
      <w:pPr>
        <w:pStyle w:val="Heading1"/>
        <w:ind w:left="720"/>
        <w:rPr>
          <w:b w:val="0"/>
          <w:bCs w:val="0"/>
          <w:sz w:val="24"/>
          <w:szCs w:val="24"/>
        </w:rPr>
      </w:pPr>
      <w:r w:rsidRPr="005235E2">
        <w:rPr>
          <w:b w:val="0"/>
          <w:bCs w:val="0"/>
          <w:sz w:val="24"/>
          <w:szCs w:val="24"/>
        </w:rPr>
        <w:t xml:space="preserve">Note:  A Google search reveals a prior incident on March 7, </w:t>
      </w:r>
      <w:proofErr w:type="gramStart"/>
      <w:r w:rsidRPr="005235E2">
        <w:rPr>
          <w:b w:val="0"/>
          <w:bCs w:val="0"/>
          <w:sz w:val="24"/>
          <w:szCs w:val="24"/>
        </w:rPr>
        <w:t>2014</w:t>
      </w:r>
      <w:proofErr w:type="gramEnd"/>
      <w:r w:rsidRPr="005235E2">
        <w:rPr>
          <w:b w:val="0"/>
          <w:bCs w:val="0"/>
          <w:sz w:val="24"/>
          <w:szCs w:val="24"/>
        </w:rPr>
        <w:t xml:space="preserve"> that appears to be same individual. “Wednesday, firefighter Antwan Jordon was arrested outside of firehouse Engine 15 and charged with misdemeanor sex abuse. Surveillance video shows Jordan, in uniform, slapping a woman’s buttocks at a Southeast D.C. elementary school, according to Fox 5.  A fire department spokesman says … Jordan [has] been placed on administrative leave.” </w:t>
      </w:r>
      <w:hyperlink r:id="rId1386" w:history="1">
        <w:r w:rsidRPr="005235E2">
          <w:rPr>
            <w:rStyle w:val="Hyperlink"/>
            <w:b w:val="0"/>
            <w:bCs w:val="0"/>
            <w:sz w:val="24"/>
            <w:szCs w:val="24"/>
          </w:rPr>
          <w:t>https://wtop.com/news/2014/03/dc-firefighter-charged-with-filling-fake-prescriptions/</w:t>
        </w:r>
      </w:hyperlink>
    </w:p>
    <w:p w14:paraId="15D82267" w14:textId="77777777" w:rsidR="005235E2" w:rsidRDefault="005235E2" w:rsidP="00451608">
      <w:pPr>
        <w:pStyle w:val="NoSpacing"/>
        <w:rPr>
          <w:rFonts w:ascii="Arial Black" w:hAnsi="Arial Black"/>
          <w:b/>
          <w:bCs/>
          <w:sz w:val="24"/>
          <w:szCs w:val="24"/>
        </w:rPr>
      </w:pPr>
    </w:p>
    <w:p w14:paraId="4FB4C5A3" w14:textId="77777777" w:rsidR="0061488E" w:rsidRDefault="0061488E" w:rsidP="00F326E5">
      <w:pPr>
        <w:pStyle w:val="NoSpacing"/>
        <w:rPr>
          <w:rFonts w:ascii="Arial Black" w:hAnsi="Arial Black"/>
          <w:b/>
          <w:bCs/>
          <w:sz w:val="24"/>
          <w:szCs w:val="24"/>
        </w:rPr>
      </w:pPr>
    </w:p>
    <w:p w14:paraId="0FA1918F" w14:textId="77777777" w:rsidR="0061488E" w:rsidRDefault="0061488E" w:rsidP="00F326E5">
      <w:pPr>
        <w:pStyle w:val="NoSpacing"/>
        <w:rPr>
          <w:rFonts w:ascii="Arial Black" w:hAnsi="Arial Black"/>
          <w:b/>
          <w:bCs/>
          <w:sz w:val="24"/>
          <w:szCs w:val="24"/>
        </w:rPr>
      </w:pPr>
    </w:p>
    <w:p w14:paraId="471C94E6" w14:textId="7C84D9B9" w:rsidR="002C6181" w:rsidRDefault="002C6181" w:rsidP="00F326E5">
      <w:pPr>
        <w:pStyle w:val="NoSpacing"/>
        <w:rPr>
          <w:rFonts w:ascii="Arial Black" w:hAnsi="Arial Black"/>
          <w:b/>
          <w:bCs/>
          <w:sz w:val="24"/>
          <w:szCs w:val="24"/>
        </w:rPr>
      </w:pPr>
      <w:r>
        <w:rPr>
          <w:rFonts w:ascii="Arial Black" w:hAnsi="Arial Black"/>
          <w:b/>
          <w:bCs/>
          <w:sz w:val="24"/>
          <w:szCs w:val="24"/>
        </w:rPr>
        <w:t>7-</w:t>
      </w:r>
      <w:r w:rsidR="006164CF">
        <w:rPr>
          <w:rFonts w:ascii="Arial Black" w:hAnsi="Arial Black"/>
          <w:b/>
          <w:bCs/>
          <w:sz w:val="24"/>
          <w:szCs w:val="24"/>
        </w:rPr>
        <w:t>57</w:t>
      </w:r>
    </w:p>
    <w:p w14:paraId="59C00EAC" w14:textId="77777777" w:rsidR="006164CF" w:rsidRDefault="006164CF" w:rsidP="00F326E5">
      <w:pPr>
        <w:pStyle w:val="NoSpacing"/>
        <w:rPr>
          <w:rFonts w:ascii="Arial Black" w:hAnsi="Arial Black"/>
          <w:b/>
          <w:bCs/>
          <w:sz w:val="24"/>
          <w:szCs w:val="24"/>
        </w:rPr>
      </w:pPr>
    </w:p>
    <w:p w14:paraId="69E1F1F5" w14:textId="77777777" w:rsidR="00B1569B" w:rsidRDefault="00B1569B" w:rsidP="00B1569B">
      <w:pPr>
        <w:pStyle w:val="NoSpacing"/>
        <w:rPr>
          <w:rFonts w:ascii="Arial Black" w:hAnsi="Arial Black"/>
          <w:sz w:val="28"/>
          <w:szCs w:val="28"/>
        </w:rPr>
      </w:pPr>
      <w:r>
        <w:rPr>
          <w:rFonts w:ascii="Arial Black" w:hAnsi="Arial Black"/>
          <w:sz w:val="28"/>
          <w:szCs w:val="28"/>
        </w:rPr>
        <w:t>IL: CHICAGO FD – FEMALES FAILED PHYSICAL FITNESS – SETTLEMENT / REHIRED – CAN NOW SEEK DAMAGES</w:t>
      </w:r>
    </w:p>
    <w:p w14:paraId="1C0C342D" w14:textId="77777777" w:rsidR="00B1569B" w:rsidRDefault="00B1569B" w:rsidP="00B1569B">
      <w:pPr>
        <w:pStyle w:val="NoSpacing"/>
        <w:rPr>
          <w:rFonts w:ascii="Times New Roman" w:hAnsi="Times New Roman"/>
          <w:sz w:val="24"/>
          <w:szCs w:val="24"/>
        </w:rPr>
      </w:pPr>
    </w:p>
    <w:p w14:paraId="1B3A529B" w14:textId="77777777" w:rsidR="00B1569B" w:rsidRDefault="00B1569B" w:rsidP="00B1569B">
      <w:pPr>
        <w:pStyle w:val="NoSpacing"/>
        <w:rPr>
          <w:rFonts w:ascii="Times New Roman" w:hAnsi="Times New Roman"/>
          <w:sz w:val="24"/>
          <w:szCs w:val="24"/>
        </w:rPr>
      </w:pPr>
      <w:r>
        <w:rPr>
          <w:rFonts w:ascii="Times New Roman" w:hAnsi="Times New Roman"/>
          <w:sz w:val="24"/>
          <w:szCs w:val="24"/>
        </w:rPr>
        <w:t xml:space="preserve">On Jan. 7, 2024, in </w:t>
      </w:r>
      <w:r w:rsidRPr="00D351A0">
        <w:rPr>
          <w:rFonts w:ascii="Times New Roman" w:hAnsi="Times New Roman"/>
          <w:sz w:val="24"/>
          <w:szCs w:val="24"/>
          <w:u w:val="single"/>
        </w:rPr>
        <w:t>Jennifer Livingston, et al. v. City of Chicago</w:t>
      </w:r>
      <w:r>
        <w:rPr>
          <w:rFonts w:ascii="Times New Roman" w:hAnsi="Times New Roman"/>
          <w:sz w:val="24"/>
          <w:szCs w:val="24"/>
        </w:rPr>
        <w:t xml:space="preserve">, U.S. District Court Judge Sara L. Ellis, U.S. District Court for Northern District of Illinois (Eastern Division) held that while most of the five female paramedics (fired 2014 – 2016) have been re-hired under a 2019 settlement agreement, an amended complaint may now be filed to seek uncapped damages. One of the </w:t>
      </w:r>
      <w:proofErr w:type="gramStart"/>
      <w:r>
        <w:rPr>
          <w:rFonts w:ascii="Times New Roman" w:hAnsi="Times New Roman"/>
          <w:sz w:val="24"/>
          <w:szCs w:val="24"/>
        </w:rPr>
        <w:t>medic</w:t>
      </w:r>
      <w:proofErr w:type="gramEnd"/>
      <w:r>
        <w:rPr>
          <w:rFonts w:ascii="Times New Roman" w:hAnsi="Times New Roman"/>
          <w:sz w:val="24"/>
          <w:szCs w:val="24"/>
        </w:rPr>
        <w:t xml:space="preserve"> failed her medical - i</w:t>
      </w:r>
      <w:r w:rsidRPr="00C405EC">
        <w:rPr>
          <w:rFonts w:ascii="Times New Roman" w:hAnsi="Times New Roman"/>
          <w:sz w:val="24"/>
          <w:szCs w:val="24"/>
        </w:rPr>
        <w:t>n March 2019, Dr. William Wong, CFD’s medical director, indicated that he would not</w:t>
      </w:r>
      <w:r>
        <w:rPr>
          <w:rFonts w:ascii="Times New Roman" w:hAnsi="Times New Roman"/>
          <w:sz w:val="24"/>
          <w:szCs w:val="24"/>
        </w:rPr>
        <w:t xml:space="preserve"> c</w:t>
      </w:r>
      <w:r w:rsidRPr="00C405EC">
        <w:rPr>
          <w:rFonts w:ascii="Times New Roman" w:hAnsi="Times New Roman"/>
          <w:sz w:val="24"/>
          <w:szCs w:val="24"/>
        </w:rPr>
        <w:t>lear</w:t>
      </w:r>
      <w:r>
        <w:rPr>
          <w:rFonts w:ascii="Times New Roman" w:hAnsi="Times New Roman"/>
          <w:sz w:val="24"/>
          <w:szCs w:val="24"/>
        </w:rPr>
        <w:t xml:space="preserve"> Donna</w:t>
      </w:r>
      <w:r w:rsidRPr="00C405EC">
        <w:rPr>
          <w:rFonts w:ascii="Times New Roman" w:hAnsi="Times New Roman"/>
          <w:sz w:val="24"/>
          <w:szCs w:val="24"/>
        </w:rPr>
        <w:t xml:space="preserve"> Griffin for reinstatement because she used </w:t>
      </w:r>
      <w:r>
        <w:rPr>
          <w:rFonts w:ascii="Times New Roman" w:hAnsi="Times New Roman"/>
          <w:sz w:val="24"/>
          <w:szCs w:val="24"/>
        </w:rPr>
        <w:t xml:space="preserve">prescription </w:t>
      </w:r>
      <w:r w:rsidRPr="00C405EC">
        <w:rPr>
          <w:rFonts w:ascii="Times New Roman" w:hAnsi="Times New Roman"/>
          <w:sz w:val="24"/>
          <w:szCs w:val="24"/>
        </w:rPr>
        <w:t>alprazolam and trazadone</w:t>
      </w:r>
      <w:r>
        <w:rPr>
          <w:rFonts w:ascii="Times New Roman" w:hAnsi="Times New Roman"/>
          <w:sz w:val="24"/>
          <w:szCs w:val="24"/>
        </w:rPr>
        <w:t xml:space="preserve"> for “</w:t>
      </w:r>
      <w:r w:rsidRPr="0010197C">
        <w:rPr>
          <w:rFonts w:ascii="Times New Roman" w:hAnsi="Times New Roman"/>
          <w:sz w:val="24"/>
          <w:szCs w:val="24"/>
        </w:rPr>
        <w:t xml:space="preserve">adjustment disorder with anxious mood and secondary insomnia.”  </w:t>
      </w:r>
      <w:r>
        <w:rPr>
          <w:rFonts w:ascii="Times New Roman" w:hAnsi="Times New Roman"/>
          <w:sz w:val="24"/>
          <w:szCs w:val="24"/>
        </w:rPr>
        <w:t xml:space="preserve">Ms. Griffin has filed a separate lawsuit, and Judge Ellis declined to combine it with this case.  [See note below for information in </w:t>
      </w:r>
      <w:r w:rsidRPr="00E96729">
        <w:rPr>
          <w:rFonts w:ascii="Times New Roman" w:hAnsi="Times New Roman"/>
          <w:sz w:val="24"/>
          <w:szCs w:val="24"/>
          <w:u w:val="single"/>
        </w:rPr>
        <w:t>Griffin v. City of Chicago</w:t>
      </w:r>
      <w:r>
        <w:rPr>
          <w:rFonts w:ascii="Times New Roman" w:hAnsi="Times New Roman"/>
          <w:sz w:val="24"/>
          <w:szCs w:val="24"/>
        </w:rPr>
        <w:t xml:space="preserve"> case.] </w:t>
      </w:r>
    </w:p>
    <w:p w14:paraId="277FB6E3" w14:textId="77777777" w:rsidR="00B1569B" w:rsidRDefault="00B1569B" w:rsidP="00B1569B">
      <w:pPr>
        <w:pStyle w:val="NoSpacing"/>
        <w:rPr>
          <w:rFonts w:ascii="Times New Roman" w:hAnsi="Times New Roman"/>
          <w:sz w:val="24"/>
          <w:szCs w:val="24"/>
        </w:rPr>
      </w:pPr>
    </w:p>
    <w:p w14:paraId="6997ED3E" w14:textId="77777777" w:rsidR="00B1569B" w:rsidRDefault="00B1569B" w:rsidP="00B1569B">
      <w:pPr>
        <w:pStyle w:val="NoSpacing"/>
        <w:ind w:left="720"/>
        <w:rPr>
          <w:rFonts w:ascii="Times New Roman" w:hAnsi="Times New Roman"/>
          <w:sz w:val="24"/>
          <w:szCs w:val="24"/>
        </w:rPr>
      </w:pPr>
      <w:r>
        <w:rPr>
          <w:rFonts w:ascii="Times New Roman" w:hAnsi="Times New Roman"/>
          <w:sz w:val="24"/>
          <w:szCs w:val="24"/>
        </w:rPr>
        <w:t>“T</w:t>
      </w:r>
      <w:r w:rsidRPr="00D32039">
        <w:rPr>
          <w:rFonts w:ascii="Times New Roman" w:hAnsi="Times New Roman"/>
          <w:sz w:val="24"/>
          <w:szCs w:val="24"/>
        </w:rPr>
        <w:t xml:space="preserve">he </w:t>
      </w:r>
      <w:r>
        <w:rPr>
          <w:rFonts w:ascii="Times New Roman" w:hAnsi="Times New Roman"/>
          <w:sz w:val="24"/>
          <w:szCs w:val="24"/>
        </w:rPr>
        <w:t xml:space="preserve">(Oct. 2016) </w:t>
      </w:r>
      <w:r w:rsidRPr="00D32039">
        <w:rPr>
          <w:rFonts w:ascii="Times New Roman" w:hAnsi="Times New Roman"/>
          <w:sz w:val="24"/>
          <w:szCs w:val="24"/>
        </w:rPr>
        <w:t>complaint alleges that this hostility manifests itself in a</w:t>
      </w:r>
      <w:r>
        <w:rPr>
          <w:rFonts w:ascii="Times New Roman" w:hAnsi="Times New Roman"/>
          <w:sz w:val="24"/>
          <w:szCs w:val="24"/>
        </w:rPr>
        <w:t xml:space="preserve"> </w:t>
      </w:r>
      <w:r w:rsidRPr="00D32039">
        <w:rPr>
          <w:rFonts w:ascii="Times New Roman" w:hAnsi="Times New Roman"/>
          <w:sz w:val="24"/>
          <w:szCs w:val="24"/>
        </w:rPr>
        <w:t>number of other contexts,</w:t>
      </w:r>
      <w:r>
        <w:rPr>
          <w:rFonts w:ascii="Times New Roman" w:hAnsi="Times New Roman"/>
          <w:sz w:val="24"/>
          <w:szCs w:val="24"/>
        </w:rPr>
        <w:t xml:space="preserve"> </w:t>
      </w:r>
      <w:r w:rsidRPr="00D32039">
        <w:rPr>
          <w:rFonts w:ascii="Times New Roman" w:hAnsi="Times New Roman"/>
          <w:sz w:val="24"/>
          <w:szCs w:val="24"/>
        </w:rPr>
        <w:t>including: 1) the City’s failure to properly accommodate nursing mothers; 2) the City’s failure to</w:t>
      </w:r>
      <w:r>
        <w:rPr>
          <w:rFonts w:ascii="Times New Roman" w:hAnsi="Times New Roman"/>
          <w:sz w:val="24"/>
          <w:szCs w:val="24"/>
        </w:rPr>
        <w:t xml:space="preserve"> </w:t>
      </w:r>
      <w:r w:rsidRPr="00D32039">
        <w:rPr>
          <w:rFonts w:ascii="Times New Roman" w:hAnsi="Times New Roman"/>
          <w:sz w:val="24"/>
          <w:szCs w:val="24"/>
        </w:rPr>
        <w:lastRenderedPageBreak/>
        <w:t>provide adequate bathrooms, locker facilities, and sleeping quarters; 3) episodes of verbal and</w:t>
      </w:r>
      <w:r>
        <w:rPr>
          <w:rFonts w:ascii="Times New Roman" w:hAnsi="Times New Roman"/>
          <w:sz w:val="24"/>
          <w:szCs w:val="24"/>
        </w:rPr>
        <w:t xml:space="preserve"> </w:t>
      </w:r>
      <w:r w:rsidRPr="00D32039">
        <w:rPr>
          <w:rFonts w:ascii="Times New Roman" w:hAnsi="Times New Roman"/>
          <w:sz w:val="24"/>
          <w:szCs w:val="24"/>
        </w:rPr>
        <w:t>physical harassment and intimidation; and 4) sexually discriminatory treatment by the CFD’s</w:t>
      </w:r>
      <w:r>
        <w:rPr>
          <w:rFonts w:ascii="Times New Roman" w:hAnsi="Times New Roman"/>
          <w:sz w:val="24"/>
          <w:szCs w:val="24"/>
        </w:rPr>
        <w:t xml:space="preserve"> </w:t>
      </w:r>
      <w:r w:rsidRPr="00D32039">
        <w:rPr>
          <w:rFonts w:ascii="Times New Roman" w:hAnsi="Times New Roman"/>
          <w:sz w:val="24"/>
          <w:szCs w:val="24"/>
        </w:rPr>
        <w:t>Medical Division.</w:t>
      </w:r>
      <w:r>
        <w:rPr>
          <w:rFonts w:ascii="Times New Roman" w:hAnsi="Times New Roman"/>
          <w:sz w:val="24"/>
          <w:szCs w:val="24"/>
        </w:rPr>
        <w:t xml:space="preserve">  </w:t>
      </w:r>
    </w:p>
    <w:p w14:paraId="04754802" w14:textId="77777777" w:rsidR="00B1569B" w:rsidRDefault="00B1569B" w:rsidP="00B1569B">
      <w:pPr>
        <w:pStyle w:val="NoSpacing"/>
        <w:ind w:left="720"/>
        <w:rPr>
          <w:rFonts w:ascii="Times New Roman" w:hAnsi="Times New Roman"/>
          <w:sz w:val="24"/>
          <w:szCs w:val="24"/>
        </w:rPr>
      </w:pPr>
    </w:p>
    <w:p w14:paraId="22581818" w14:textId="77777777" w:rsidR="00B1569B" w:rsidRDefault="00B1569B" w:rsidP="00B1569B">
      <w:pPr>
        <w:pStyle w:val="NoSpacing"/>
        <w:ind w:left="720"/>
        <w:rPr>
          <w:rFonts w:ascii="Times New Roman" w:hAnsi="Times New Roman"/>
          <w:sz w:val="24"/>
          <w:szCs w:val="24"/>
        </w:rPr>
      </w:pPr>
      <w:r>
        <w:rPr>
          <w:rFonts w:ascii="Times New Roman" w:hAnsi="Times New Roman"/>
          <w:sz w:val="24"/>
          <w:szCs w:val="24"/>
        </w:rPr>
        <w:t>***</w:t>
      </w:r>
    </w:p>
    <w:p w14:paraId="28A1205F" w14:textId="77777777" w:rsidR="00B1569B" w:rsidRDefault="00B1569B" w:rsidP="00B1569B">
      <w:pPr>
        <w:pStyle w:val="NoSpacing"/>
        <w:rPr>
          <w:rFonts w:ascii="Times New Roman" w:hAnsi="Times New Roman"/>
          <w:sz w:val="24"/>
          <w:szCs w:val="24"/>
        </w:rPr>
      </w:pPr>
    </w:p>
    <w:p w14:paraId="48639336" w14:textId="77777777" w:rsidR="00B1569B" w:rsidRDefault="00B1569B" w:rsidP="00B1569B">
      <w:pPr>
        <w:pStyle w:val="NoSpacing"/>
        <w:ind w:left="720"/>
        <w:rPr>
          <w:rFonts w:ascii="Times New Roman" w:hAnsi="Times New Roman"/>
          <w:sz w:val="24"/>
          <w:szCs w:val="24"/>
        </w:rPr>
      </w:pPr>
      <w:r w:rsidRPr="00F6220F">
        <w:rPr>
          <w:rFonts w:ascii="Times New Roman" w:hAnsi="Times New Roman"/>
          <w:sz w:val="24"/>
          <w:szCs w:val="24"/>
        </w:rPr>
        <w:t xml:space="preserve">Plaintiffs seek to add new theories of recovery under § 1983 </w:t>
      </w:r>
      <w:r>
        <w:rPr>
          <w:rFonts w:ascii="Times New Roman" w:hAnsi="Times New Roman"/>
          <w:sz w:val="24"/>
          <w:szCs w:val="24"/>
        </w:rPr>
        <w:t xml:space="preserve">[violation of Constitutional rights under 42 USC 1983] </w:t>
      </w:r>
      <w:r w:rsidRPr="00F6220F">
        <w:rPr>
          <w:rFonts w:ascii="Times New Roman" w:hAnsi="Times New Roman"/>
          <w:sz w:val="24"/>
          <w:szCs w:val="24"/>
        </w:rPr>
        <w:t xml:space="preserve">and ICRA </w:t>
      </w:r>
      <w:r>
        <w:rPr>
          <w:rFonts w:ascii="Times New Roman" w:hAnsi="Times New Roman"/>
          <w:sz w:val="24"/>
          <w:szCs w:val="24"/>
        </w:rPr>
        <w:t>[</w:t>
      </w:r>
      <w:r w:rsidRPr="004167DE">
        <w:rPr>
          <w:rFonts w:ascii="Times New Roman" w:hAnsi="Times New Roman"/>
          <w:sz w:val="24"/>
          <w:szCs w:val="24"/>
        </w:rPr>
        <w:t>Illinois Civil</w:t>
      </w:r>
      <w:r>
        <w:rPr>
          <w:rFonts w:ascii="Times New Roman" w:hAnsi="Times New Roman"/>
          <w:sz w:val="24"/>
          <w:szCs w:val="24"/>
        </w:rPr>
        <w:t xml:space="preserve"> </w:t>
      </w:r>
      <w:r w:rsidRPr="004167DE">
        <w:rPr>
          <w:rFonts w:ascii="Times New Roman" w:hAnsi="Times New Roman"/>
          <w:sz w:val="24"/>
          <w:szCs w:val="24"/>
        </w:rPr>
        <w:t>Rights Act of 200</w:t>
      </w:r>
      <w:r>
        <w:rPr>
          <w:rFonts w:ascii="Times New Roman" w:hAnsi="Times New Roman"/>
          <w:sz w:val="24"/>
          <w:szCs w:val="24"/>
        </w:rPr>
        <w:t xml:space="preserve">3] </w:t>
      </w:r>
      <w:r w:rsidRPr="00F6220F">
        <w:rPr>
          <w:rFonts w:ascii="Times New Roman" w:hAnsi="Times New Roman"/>
          <w:sz w:val="24"/>
          <w:szCs w:val="24"/>
        </w:rPr>
        <w:t>based on the same</w:t>
      </w:r>
      <w:r>
        <w:rPr>
          <w:rFonts w:ascii="Times New Roman" w:hAnsi="Times New Roman"/>
          <w:sz w:val="24"/>
          <w:szCs w:val="24"/>
        </w:rPr>
        <w:t xml:space="preserve"> </w:t>
      </w:r>
      <w:r w:rsidRPr="00F6220F">
        <w:rPr>
          <w:rFonts w:ascii="Times New Roman" w:hAnsi="Times New Roman"/>
          <w:sz w:val="24"/>
          <w:szCs w:val="24"/>
        </w:rPr>
        <w:t>factual allegations laid out in the original complaint. Plaintiffs argue this is because § 1983 and</w:t>
      </w:r>
      <w:r>
        <w:rPr>
          <w:rFonts w:ascii="Times New Roman" w:hAnsi="Times New Roman"/>
          <w:sz w:val="24"/>
          <w:szCs w:val="24"/>
        </w:rPr>
        <w:t xml:space="preserve"> </w:t>
      </w:r>
      <w:r w:rsidRPr="00F6220F">
        <w:rPr>
          <w:rFonts w:ascii="Times New Roman" w:hAnsi="Times New Roman"/>
          <w:sz w:val="24"/>
          <w:szCs w:val="24"/>
        </w:rPr>
        <w:t>ICRA do not carry a statutory cap on economic damages as Title VII does</w:t>
      </w:r>
      <w:r>
        <w:rPr>
          <w:rFonts w:ascii="Times New Roman" w:hAnsi="Times New Roman"/>
          <w:sz w:val="24"/>
          <w:szCs w:val="24"/>
        </w:rPr>
        <w:t xml:space="preserve">…. </w:t>
      </w:r>
      <w:r w:rsidRPr="0041110B">
        <w:rPr>
          <w:rFonts w:ascii="Times New Roman" w:hAnsi="Times New Roman"/>
          <w:sz w:val="24"/>
          <w:szCs w:val="24"/>
        </w:rPr>
        <w:t>As such, Plaintiffs</w:t>
      </w:r>
      <w:r>
        <w:rPr>
          <w:rFonts w:ascii="Times New Roman" w:hAnsi="Times New Roman"/>
          <w:sz w:val="24"/>
          <w:szCs w:val="24"/>
        </w:rPr>
        <w:t xml:space="preserve"> </w:t>
      </w:r>
      <w:r w:rsidRPr="0041110B">
        <w:rPr>
          <w:rFonts w:ascii="Times New Roman" w:hAnsi="Times New Roman"/>
          <w:sz w:val="24"/>
          <w:szCs w:val="24"/>
        </w:rPr>
        <w:t>may amend their complaint to include their proposed § 1983 and ICRA claims.</w:t>
      </w:r>
    </w:p>
    <w:p w14:paraId="2F134906" w14:textId="77777777" w:rsidR="00B1569B" w:rsidRDefault="00B1569B" w:rsidP="00B1569B">
      <w:pPr>
        <w:pStyle w:val="NoSpacing"/>
        <w:ind w:left="720"/>
        <w:rPr>
          <w:rFonts w:ascii="Times New Roman" w:hAnsi="Times New Roman"/>
          <w:sz w:val="24"/>
          <w:szCs w:val="24"/>
        </w:rPr>
      </w:pPr>
    </w:p>
    <w:p w14:paraId="11E52CD2" w14:textId="77777777" w:rsidR="00B1569B" w:rsidRDefault="00B1569B" w:rsidP="00B1569B">
      <w:pPr>
        <w:pStyle w:val="NoSpacing"/>
        <w:ind w:left="720"/>
        <w:rPr>
          <w:rFonts w:ascii="Times New Roman" w:hAnsi="Times New Roman"/>
          <w:sz w:val="24"/>
          <w:szCs w:val="24"/>
        </w:rPr>
      </w:pPr>
      <w:r>
        <w:rPr>
          <w:rFonts w:ascii="Times New Roman" w:hAnsi="Times New Roman"/>
          <w:sz w:val="24"/>
          <w:szCs w:val="24"/>
        </w:rPr>
        <w:t>***</w:t>
      </w:r>
    </w:p>
    <w:p w14:paraId="1FF52C43" w14:textId="77777777" w:rsidR="00B1569B" w:rsidRDefault="00B1569B" w:rsidP="00B1569B">
      <w:pPr>
        <w:pStyle w:val="NoSpacing"/>
        <w:ind w:left="720"/>
        <w:rPr>
          <w:rFonts w:ascii="Times New Roman" w:hAnsi="Times New Roman"/>
          <w:sz w:val="24"/>
          <w:szCs w:val="24"/>
        </w:rPr>
      </w:pPr>
    </w:p>
    <w:p w14:paraId="1BAFD41E" w14:textId="77777777" w:rsidR="00B1569B" w:rsidRDefault="00B1569B" w:rsidP="00B1569B">
      <w:pPr>
        <w:pStyle w:val="NoSpacing"/>
        <w:ind w:left="720"/>
        <w:rPr>
          <w:rFonts w:ascii="Times New Roman" w:hAnsi="Times New Roman"/>
          <w:sz w:val="24"/>
          <w:szCs w:val="24"/>
        </w:rPr>
      </w:pPr>
      <w:r w:rsidRPr="009B574D">
        <w:rPr>
          <w:rFonts w:ascii="Times New Roman" w:hAnsi="Times New Roman"/>
          <w:sz w:val="24"/>
          <w:szCs w:val="24"/>
        </w:rPr>
        <w:t xml:space="preserve">Plaintiffs may file a first amended complaint to add these theories of liability. </w:t>
      </w:r>
    </w:p>
    <w:p w14:paraId="43694B34" w14:textId="77777777" w:rsidR="00B1569B" w:rsidRDefault="00B1569B" w:rsidP="00B1569B">
      <w:pPr>
        <w:pStyle w:val="NoSpacing"/>
        <w:ind w:left="720"/>
        <w:rPr>
          <w:rFonts w:ascii="Times New Roman" w:hAnsi="Times New Roman"/>
          <w:sz w:val="24"/>
          <w:szCs w:val="24"/>
        </w:rPr>
      </w:pPr>
      <w:r w:rsidRPr="009B574D">
        <w:rPr>
          <w:rFonts w:ascii="Times New Roman" w:hAnsi="Times New Roman"/>
          <w:sz w:val="24"/>
          <w:szCs w:val="24"/>
        </w:rPr>
        <w:t>But because</w:t>
      </w:r>
      <w:r>
        <w:rPr>
          <w:rFonts w:ascii="Times New Roman" w:hAnsi="Times New Roman"/>
          <w:sz w:val="24"/>
          <w:szCs w:val="24"/>
        </w:rPr>
        <w:t xml:space="preserve"> </w:t>
      </w:r>
      <w:r w:rsidRPr="009B574D">
        <w:rPr>
          <w:rFonts w:ascii="Times New Roman" w:hAnsi="Times New Roman"/>
          <w:sz w:val="24"/>
          <w:szCs w:val="24"/>
        </w:rPr>
        <w:t>Griffin’s additional claims</w:t>
      </w:r>
      <w:r>
        <w:rPr>
          <w:rFonts w:ascii="Times New Roman" w:hAnsi="Times New Roman"/>
          <w:sz w:val="24"/>
          <w:szCs w:val="24"/>
        </w:rPr>
        <w:t xml:space="preserve"> </w:t>
      </w:r>
      <w:r w:rsidRPr="009B574D">
        <w:rPr>
          <w:rFonts w:ascii="Times New Roman" w:hAnsi="Times New Roman"/>
          <w:sz w:val="24"/>
          <w:szCs w:val="24"/>
        </w:rPr>
        <w:t>and the allegations regarding the veteran’s preference are either</w:t>
      </w:r>
      <w:r>
        <w:rPr>
          <w:rFonts w:ascii="Times New Roman" w:hAnsi="Times New Roman"/>
          <w:sz w:val="24"/>
          <w:szCs w:val="24"/>
        </w:rPr>
        <w:t xml:space="preserve"> </w:t>
      </w:r>
      <w:r w:rsidRPr="009B574D">
        <w:rPr>
          <w:rFonts w:ascii="Times New Roman" w:hAnsi="Times New Roman"/>
          <w:sz w:val="24"/>
          <w:szCs w:val="24"/>
        </w:rPr>
        <w:t>unnecessary or depend on new factual allegations, Plaintiffs may not include these claims or</w:t>
      </w:r>
      <w:r>
        <w:rPr>
          <w:rFonts w:ascii="Times New Roman" w:hAnsi="Times New Roman"/>
          <w:sz w:val="24"/>
          <w:szCs w:val="24"/>
        </w:rPr>
        <w:t xml:space="preserve"> </w:t>
      </w:r>
      <w:r w:rsidRPr="009B574D">
        <w:rPr>
          <w:rFonts w:ascii="Times New Roman" w:hAnsi="Times New Roman"/>
          <w:sz w:val="24"/>
          <w:szCs w:val="24"/>
        </w:rPr>
        <w:t xml:space="preserve">allegations in their first amended </w:t>
      </w:r>
      <w:proofErr w:type="gramStart"/>
      <w:r w:rsidRPr="009B574D">
        <w:rPr>
          <w:rFonts w:ascii="Times New Roman" w:hAnsi="Times New Roman"/>
          <w:sz w:val="24"/>
          <w:szCs w:val="24"/>
        </w:rPr>
        <w:t>complaint.</w:t>
      </w:r>
      <w:r>
        <w:rPr>
          <w:rFonts w:ascii="Times New Roman" w:hAnsi="Times New Roman"/>
          <w:sz w:val="24"/>
          <w:szCs w:val="24"/>
        </w:rPr>
        <w:t>”</w:t>
      </w:r>
      <w:proofErr w:type="gramEnd"/>
      <w:r>
        <w:rPr>
          <w:rFonts w:ascii="Times New Roman" w:hAnsi="Times New Roman"/>
          <w:sz w:val="24"/>
          <w:szCs w:val="24"/>
        </w:rPr>
        <w:t xml:space="preserve">  </w:t>
      </w:r>
      <w:hyperlink r:id="rId1387" w:history="1">
        <w:r w:rsidRPr="008E4998">
          <w:rPr>
            <w:rStyle w:val="Hyperlink"/>
            <w:rFonts w:ascii="Times New Roman" w:hAnsi="Times New Roman"/>
            <w:sz w:val="24"/>
            <w:szCs w:val="24"/>
          </w:rPr>
          <w:t>https://cases.justia.com/federal/district-courts/illinois/ilndce/1:2016cv10156/332956/258/0.pdf?ts=1582820345</w:t>
        </w:r>
      </w:hyperlink>
      <w:r>
        <w:rPr>
          <w:rFonts w:ascii="Times New Roman" w:hAnsi="Times New Roman"/>
          <w:sz w:val="24"/>
          <w:szCs w:val="24"/>
        </w:rPr>
        <w:t xml:space="preserve"> </w:t>
      </w:r>
    </w:p>
    <w:p w14:paraId="3976EE98" w14:textId="77777777" w:rsidR="00B1569B" w:rsidRDefault="00B1569B" w:rsidP="00B1569B">
      <w:pPr>
        <w:pStyle w:val="NoSpacing"/>
        <w:rPr>
          <w:rFonts w:ascii="Times New Roman" w:hAnsi="Times New Roman"/>
          <w:sz w:val="24"/>
          <w:szCs w:val="24"/>
        </w:rPr>
      </w:pPr>
    </w:p>
    <w:p w14:paraId="3C4E74F6" w14:textId="77777777" w:rsidR="0061488E" w:rsidRPr="007F42F0" w:rsidRDefault="0061488E" w:rsidP="0061488E">
      <w:pPr>
        <w:pStyle w:val="NoSpacing"/>
        <w:rPr>
          <w:rFonts w:ascii="Times New Roman" w:hAnsi="Times New Roman"/>
          <w:b/>
          <w:bCs/>
          <w:sz w:val="24"/>
          <w:szCs w:val="24"/>
        </w:rPr>
      </w:pPr>
      <w:r w:rsidRPr="007F42F0">
        <w:rPr>
          <w:rFonts w:ascii="Times New Roman" w:hAnsi="Times New Roman"/>
          <w:b/>
          <w:bCs/>
          <w:sz w:val="24"/>
          <w:szCs w:val="24"/>
        </w:rPr>
        <w:t xml:space="preserve">Legal Lesson Learned: </w:t>
      </w:r>
      <w:r>
        <w:rPr>
          <w:rFonts w:ascii="Times New Roman" w:hAnsi="Times New Roman"/>
          <w:b/>
          <w:bCs/>
          <w:sz w:val="24"/>
          <w:szCs w:val="24"/>
        </w:rPr>
        <w:t xml:space="preserve">The pre-trial discovery may now proceed in this case seeking uncapped damages.  </w:t>
      </w:r>
    </w:p>
    <w:p w14:paraId="28E9CB40" w14:textId="77777777" w:rsidR="0061488E" w:rsidRDefault="0061488E" w:rsidP="0061488E">
      <w:pPr>
        <w:spacing w:before="100" w:beforeAutospacing="1" w:after="100" w:afterAutospacing="1" w:line="240" w:lineRule="auto"/>
        <w:ind w:left="360"/>
        <w:rPr>
          <w:rFonts w:ascii="Times New Roman" w:eastAsia="Times New Roman" w:hAnsi="Times New Roman"/>
          <w:sz w:val="24"/>
          <w:szCs w:val="24"/>
        </w:rPr>
      </w:pPr>
      <w:r>
        <w:rPr>
          <w:rFonts w:ascii="Times New Roman" w:eastAsia="Times New Roman" w:hAnsi="Times New Roman"/>
          <w:sz w:val="24"/>
          <w:szCs w:val="24"/>
        </w:rPr>
        <w:t>Note: Title VII of the Civil Right Act i</w:t>
      </w:r>
      <w:r w:rsidRPr="00253890">
        <w:rPr>
          <w:rFonts w:ascii="Times New Roman" w:eastAsia="Times New Roman" w:hAnsi="Times New Roman"/>
          <w:sz w:val="24"/>
          <w:szCs w:val="24"/>
        </w:rPr>
        <w:t xml:space="preserve">s subject to the following </w:t>
      </w:r>
      <w:r>
        <w:rPr>
          <w:rFonts w:ascii="Times New Roman" w:eastAsia="Times New Roman" w:hAnsi="Times New Roman"/>
          <w:sz w:val="24"/>
          <w:szCs w:val="24"/>
        </w:rPr>
        <w:t xml:space="preserve">statutory </w:t>
      </w:r>
      <w:r w:rsidRPr="00253890">
        <w:rPr>
          <w:rFonts w:ascii="Times New Roman" w:eastAsia="Times New Roman" w:hAnsi="Times New Roman"/>
          <w:sz w:val="24"/>
          <w:szCs w:val="24"/>
        </w:rPr>
        <w:t>caps</w:t>
      </w:r>
      <w:r>
        <w:rPr>
          <w:rFonts w:ascii="Times New Roman" w:eastAsia="Times New Roman" w:hAnsi="Times New Roman"/>
          <w:sz w:val="24"/>
          <w:szCs w:val="24"/>
        </w:rPr>
        <w:t>.</w:t>
      </w:r>
    </w:p>
    <w:p w14:paraId="2C270D79" w14:textId="77777777" w:rsidR="0061488E" w:rsidRDefault="0061488E" w:rsidP="0061488E">
      <w:pPr>
        <w:pStyle w:val="NormalWeb"/>
        <w:ind w:left="360"/>
      </w:pPr>
      <w:r>
        <w:rPr>
          <w:b/>
          <w:bCs/>
        </w:rPr>
        <w:t>“</w:t>
      </w:r>
      <w:r>
        <w:t xml:space="preserve">Statutory caps limits exists for combined awards of front pay, punitive damages, and compensatory damages. The </w:t>
      </w:r>
      <w:hyperlink r:id="rId1388" w:tgtFrame="_blank" w:tooltip="Title VII Damage Caps: Calculating Your Maximum Exposure" w:history="1">
        <w:r>
          <w:rPr>
            <w:rStyle w:val="Hyperlink"/>
          </w:rPr>
          <w:t>caps</w:t>
        </w:r>
      </w:hyperlink>
      <w:r>
        <w:t xml:space="preserve"> are based upon the number of employees employed by the employer against whom the charge of discrimination has been made. The caps are as follows:</w:t>
      </w:r>
    </w:p>
    <w:p w14:paraId="713CAFC6" w14:textId="77777777" w:rsidR="0061488E" w:rsidRPr="009244F8" w:rsidRDefault="0061488E" w:rsidP="0061488E">
      <w:pPr>
        <w:numPr>
          <w:ilvl w:val="0"/>
          <w:numId w:val="19"/>
        </w:numPr>
        <w:spacing w:before="100" w:beforeAutospacing="1" w:after="100" w:afterAutospacing="1" w:line="240" w:lineRule="auto"/>
        <w:rPr>
          <w:rFonts w:ascii="Times New Roman" w:hAnsi="Times New Roman"/>
          <w:sz w:val="24"/>
          <w:szCs w:val="24"/>
        </w:rPr>
      </w:pPr>
      <w:r w:rsidRPr="009244F8">
        <w:rPr>
          <w:rFonts w:ascii="Times New Roman" w:hAnsi="Times New Roman"/>
          <w:sz w:val="24"/>
          <w:szCs w:val="24"/>
        </w:rPr>
        <w:t>For more than fourteen (14) and less than one hundred and one (101) employees in each of twenty (20) or more calendar weeks in the current or preceding year the cap is $50,000;</w:t>
      </w:r>
    </w:p>
    <w:p w14:paraId="40303072" w14:textId="77777777" w:rsidR="0061488E" w:rsidRPr="009244F8" w:rsidRDefault="0061488E" w:rsidP="0061488E">
      <w:pPr>
        <w:numPr>
          <w:ilvl w:val="0"/>
          <w:numId w:val="19"/>
        </w:numPr>
        <w:spacing w:before="100" w:beforeAutospacing="1" w:after="100" w:afterAutospacing="1" w:line="240" w:lineRule="auto"/>
        <w:rPr>
          <w:rFonts w:ascii="Times New Roman" w:hAnsi="Times New Roman"/>
          <w:sz w:val="24"/>
          <w:szCs w:val="24"/>
        </w:rPr>
      </w:pPr>
      <w:r w:rsidRPr="009244F8">
        <w:rPr>
          <w:rFonts w:ascii="Times New Roman" w:hAnsi="Times New Roman"/>
          <w:sz w:val="24"/>
          <w:szCs w:val="24"/>
        </w:rPr>
        <w:t>For more than one hundred (100) but fewer than two hundred and one (201) employees, the cap is $100,000;</w:t>
      </w:r>
    </w:p>
    <w:p w14:paraId="13BF6673" w14:textId="77777777" w:rsidR="0061488E" w:rsidRPr="009244F8" w:rsidRDefault="0061488E" w:rsidP="0061488E">
      <w:pPr>
        <w:numPr>
          <w:ilvl w:val="0"/>
          <w:numId w:val="19"/>
        </w:numPr>
        <w:spacing w:before="100" w:beforeAutospacing="1" w:after="100" w:afterAutospacing="1" w:line="240" w:lineRule="auto"/>
        <w:rPr>
          <w:rFonts w:ascii="Times New Roman" w:hAnsi="Times New Roman"/>
          <w:sz w:val="24"/>
          <w:szCs w:val="24"/>
        </w:rPr>
      </w:pPr>
      <w:r w:rsidRPr="009244F8">
        <w:rPr>
          <w:rFonts w:ascii="Times New Roman" w:hAnsi="Times New Roman"/>
          <w:sz w:val="24"/>
          <w:szCs w:val="24"/>
        </w:rPr>
        <w:t>For more than two hundred (200) employees but fewer than five hundred and one (501) employees, the cap is $200,000; and</w:t>
      </w:r>
    </w:p>
    <w:p w14:paraId="30CA05DF" w14:textId="77777777" w:rsidR="0061488E" w:rsidRDefault="0061488E" w:rsidP="0061488E">
      <w:pPr>
        <w:numPr>
          <w:ilvl w:val="0"/>
          <w:numId w:val="19"/>
        </w:numPr>
        <w:spacing w:before="100" w:beforeAutospacing="1" w:after="100" w:afterAutospacing="1" w:line="240" w:lineRule="auto"/>
        <w:rPr>
          <w:rFonts w:ascii="Times New Roman" w:hAnsi="Times New Roman"/>
          <w:sz w:val="24"/>
          <w:szCs w:val="24"/>
        </w:rPr>
      </w:pPr>
      <w:r w:rsidRPr="009244F8">
        <w:rPr>
          <w:rFonts w:ascii="Times New Roman" w:hAnsi="Times New Roman"/>
          <w:sz w:val="24"/>
          <w:szCs w:val="24"/>
        </w:rPr>
        <w:t>For an employer with more than five hundred (500) employees, the cap is $300,000.</w:t>
      </w:r>
      <w:r>
        <w:rPr>
          <w:rFonts w:ascii="Times New Roman" w:hAnsi="Times New Roman"/>
          <w:sz w:val="24"/>
          <w:szCs w:val="24"/>
        </w:rPr>
        <w:t>”</w:t>
      </w:r>
    </w:p>
    <w:p w14:paraId="51500969" w14:textId="77777777" w:rsidR="0061488E" w:rsidRDefault="0061488E" w:rsidP="0061488E">
      <w:pPr>
        <w:spacing w:before="100" w:beforeAutospacing="1" w:after="100" w:afterAutospacing="1" w:line="240" w:lineRule="auto"/>
        <w:ind w:left="360"/>
        <w:rPr>
          <w:rFonts w:ascii="Times New Roman" w:eastAsia="Times New Roman" w:hAnsi="Times New Roman"/>
          <w:sz w:val="24"/>
          <w:szCs w:val="24"/>
        </w:rPr>
      </w:pPr>
      <w:r>
        <w:rPr>
          <w:rFonts w:ascii="Times New Roman" w:eastAsia="Times New Roman" w:hAnsi="Times New Roman"/>
          <w:sz w:val="24"/>
          <w:szCs w:val="24"/>
        </w:rPr>
        <w:t xml:space="preserve">Note:  Judge Ellis is also assigned to the separate lawsuit by Donna Griffin.  On Jan. 22, 2024, the Judge ruled: </w:t>
      </w:r>
    </w:p>
    <w:p w14:paraId="0685F357" w14:textId="77777777" w:rsidR="0061488E" w:rsidRDefault="0061488E" w:rsidP="0061488E">
      <w:pPr>
        <w:pStyle w:val="NormalWeb"/>
        <w:ind w:left="720"/>
        <w:rPr>
          <w:b/>
          <w:bCs/>
          <w:sz w:val="40"/>
          <w:szCs w:val="40"/>
        </w:rPr>
      </w:pPr>
      <w:r w:rsidRPr="000F0881">
        <w:t>“Because Griffin presents sufficient evidence to establish a dispute of fact as to whether she was a qualified individual and whether her disability caused her termination from the Academy, the Court denies the City's motion as to Griffin's discrimination claim under the ADA and IHRA. However, because Griffin cannot present admissible evidence that she made a request for accommodation, the Court grants the City's motion as to Griffin's reasonable accommodation claim under the ADA and IHRA.”</w:t>
      </w:r>
      <w:r>
        <w:t xml:space="preserve"> </w:t>
      </w:r>
      <w:hyperlink r:id="rId1389" w:history="1">
        <w:r w:rsidRPr="00663E4B">
          <w:rPr>
            <w:rStyle w:val="Hyperlink"/>
          </w:rPr>
          <w:t>https://public.fastcase.com/ZZhmr5v9wN%2FXOe5IsQ%2FqD6X8aBICmIyWVJScKPpCyRhR7mDWsTx8EU8Grq%2B%2B4ZtL7A%2BZetNPKoBujU7we%2BcNkmURNKpv4aGWRHQtd1T1moA%3D?utm_medium=email&amp;_hsmi=226712652&amp;_hsenc=p2ANqtz-9OBKIBZDi8r8oE28UFobupYGxopyoQah8HvX1c9zj34g5f00t_mZAGDNIEFbeFR3R6TbvecwhsL2yyD5Q92lFJJe2-2g&amp;utm_content=226712652&amp;utm_source=hs_email</w:t>
        </w:r>
      </w:hyperlink>
    </w:p>
    <w:p w14:paraId="3BCE06A6" w14:textId="77777777" w:rsidR="00B1569B" w:rsidRDefault="00B1569B" w:rsidP="00F326E5">
      <w:pPr>
        <w:pStyle w:val="NoSpacing"/>
        <w:rPr>
          <w:rFonts w:ascii="Arial Black" w:hAnsi="Arial Black"/>
          <w:b/>
          <w:bCs/>
          <w:sz w:val="24"/>
          <w:szCs w:val="24"/>
        </w:rPr>
      </w:pPr>
    </w:p>
    <w:p w14:paraId="5E091E36" w14:textId="77777777" w:rsidR="002C6181" w:rsidRDefault="002C6181" w:rsidP="00F326E5">
      <w:pPr>
        <w:pStyle w:val="NoSpacing"/>
        <w:rPr>
          <w:rFonts w:ascii="Arial Black" w:hAnsi="Arial Black"/>
          <w:b/>
          <w:bCs/>
          <w:sz w:val="24"/>
          <w:szCs w:val="24"/>
        </w:rPr>
      </w:pPr>
    </w:p>
    <w:p w14:paraId="042CA2DF" w14:textId="77777777" w:rsidR="002C6181" w:rsidRDefault="002C6181" w:rsidP="00F326E5">
      <w:pPr>
        <w:pStyle w:val="NoSpacing"/>
        <w:rPr>
          <w:rFonts w:ascii="Arial Black" w:hAnsi="Arial Black"/>
          <w:b/>
          <w:bCs/>
          <w:sz w:val="24"/>
          <w:szCs w:val="24"/>
        </w:rPr>
      </w:pPr>
    </w:p>
    <w:p w14:paraId="7D2D6394" w14:textId="1ED8F49B" w:rsidR="00820998" w:rsidRDefault="00820998" w:rsidP="00F326E5">
      <w:pPr>
        <w:pStyle w:val="NoSpacing"/>
        <w:rPr>
          <w:rFonts w:ascii="Arial Black" w:hAnsi="Arial Black"/>
          <w:b/>
          <w:bCs/>
          <w:sz w:val="24"/>
          <w:szCs w:val="24"/>
        </w:rPr>
      </w:pPr>
      <w:r>
        <w:rPr>
          <w:rFonts w:ascii="Arial Black" w:hAnsi="Arial Black"/>
          <w:b/>
          <w:bCs/>
          <w:sz w:val="24"/>
          <w:szCs w:val="24"/>
        </w:rPr>
        <w:t>7-56</w:t>
      </w:r>
    </w:p>
    <w:p w14:paraId="354578E4" w14:textId="77777777" w:rsidR="00C37775" w:rsidRDefault="00C37775" w:rsidP="00C37775">
      <w:pPr>
        <w:pStyle w:val="NormalWeb"/>
        <w:rPr>
          <w:rFonts w:ascii="Arial Black" w:hAnsi="Arial Black"/>
          <w:b/>
          <w:bCs/>
          <w:sz w:val="28"/>
          <w:szCs w:val="28"/>
        </w:rPr>
      </w:pPr>
      <w:r>
        <w:rPr>
          <w:rFonts w:ascii="Arial Black" w:hAnsi="Arial Black"/>
          <w:b/>
          <w:bCs/>
          <w:sz w:val="28"/>
          <w:szCs w:val="28"/>
        </w:rPr>
        <w:t>OH: TRANSGENDER WOMAN / EMT – FIRED FOR SOCIAL MEDIA POSTS / OUTBURST HOSP - CASE DISMISSED</w:t>
      </w:r>
    </w:p>
    <w:p w14:paraId="453B8271" w14:textId="77777777" w:rsidR="00C37775" w:rsidRDefault="00C37775" w:rsidP="00C37775">
      <w:pPr>
        <w:pStyle w:val="NormalWeb"/>
      </w:pPr>
      <w:r w:rsidRPr="00DA2452">
        <w:t>On Dec. 28, 2023</w:t>
      </w:r>
      <w:r>
        <w:t xml:space="preserve">, </w:t>
      </w:r>
      <w:r w:rsidRPr="00DA2452">
        <w:t xml:space="preserve">in </w:t>
      </w:r>
      <w:r w:rsidRPr="00DA2452">
        <w:rPr>
          <w:u w:val="single"/>
        </w:rPr>
        <w:t>Rayne Fedder v. Ohio Medical Transportation, Inc</w:t>
      </w:r>
      <w:r>
        <w:t xml:space="preserve">., U.S. District Court Judge Sarah D. Morrison, U.S. District Court for Southern District of Ohio, Eastern Division, granted the employer’s motion to dismiss; judge overturned recommendation by U.S. Magistrate judge that her ADA claim that she “appeared” as disabled.   </w:t>
      </w:r>
      <w:hyperlink r:id="rId1390" w:history="1">
        <w:r w:rsidRPr="003C00DD">
          <w:rPr>
            <w:rStyle w:val="Hyperlink"/>
          </w:rPr>
          <w:t>https://public.fastcase.com/ZZhmr5v9wN%2FXOe5IsQ%2FqD9BUVBv1kUZp9ZGh4udwVOZOikyKuqCQ4FBlGwYEPhOQ?utm_medium=email&amp;_hsmi=226712652&amp;_hsenc=p2ANqtz-8T0ew8oNT-12TbgKrs2ORAj7WbRAGASG77xIYUvebbTcAbFOuK4r9xkTZLpSPqAw77_8KgP47FqlehaZADxsQlpR3k0g&amp;utm_content=226712652&amp;utm_source=hs_email</w:t>
        </w:r>
      </w:hyperlink>
      <w:r>
        <w:t xml:space="preserve"> </w:t>
      </w:r>
    </w:p>
    <w:p w14:paraId="689DA17C" w14:textId="77777777" w:rsidR="007F6B94" w:rsidRPr="00D6645E" w:rsidRDefault="007F6B94" w:rsidP="007F6B94">
      <w:pPr>
        <w:pStyle w:val="NormalWeb"/>
        <w:rPr>
          <w:b/>
          <w:bCs/>
        </w:rPr>
      </w:pPr>
      <w:r w:rsidRPr="00D6645E">
        <w:rPr>
          <w:b/>
          <w:bCs/>
        </w:rPr>
        <w:t xml:space="preserve">Legal Lesson Learned: </w:t>
      </w:r>
      <w:r>
        <w:rPr>
          <w:b/>
          <w:bCs/>
        </w:rPr>
        <w:t xml:space="preserve">The Supervisor wisely told co-workers to keep am “open mind.” </w:t>
      </w:r>
    </w:p>
    <w:p w14:paraId="606F9F77" w14:textId="77777777" w:rsidR="00C37775" w:rsidRDefault="00C37775" w:rsidP="00F326E5">
      <w:pPr>
        <w:pStyle w:val="NoSpacing"/>
        <w:rPr>
          <w:rFonts w:ascii="Arial Black" w:hAnsi="Arial Black"/>
          <w:b/>
          <w:bCs/>
          <w:sz w:val="24"/>
          <w:szCs w:val="24"/>
        </w:rPr>
      </w:pPr>
    </w:p>
    <w:p w14:paraId="59411A51" w14:textId="77777777" w:rsidR="00820998" w:rsidRDefault="00820998" w:rsidP="00F326E5">
      <w:pPr>
        <w:pStyle w:val="NoSpacing"/>
        <w:rPr>
          <w:rFonts w:ascii="Arial Black" w:hAnsi="Arial Black"/>
          <w:b/>
          <w:bCs/>
          <w:sz w:val="24"/>
          <w:szCs w:val="24"/>
        </w:rPr>
      </w:pPr>
    </w:p>
    <w:p w14:paraId="4467A0D5" w14:textId="5152317B" w:rsidR="00AC3E10" w:rsidRDefault="00AC3E10" w:rsidP="00F326E5">
      <w:pPr>
        <w:pStyle w:val="NoSpacing"/>
        <w:rPr>
          <w:rFonts w:ascii="Arial Black" w:hAnsi="Arial Black"/>
          <w:b/>
          <w:bCs/>
          <w:sz w:val="24"/>
          <w:szCs w:val="24"/>
        </w:rPr>
      </w:pPr>
      <w:r>
        <w:rPr>
          <w:rFonts w:ascii="Arial Black" w:hAnsi="Arial Black"/>
          <w:b/>
          <w:bCs/>
          <w:sz w:val="24"/>
          <w:szCs w:val="24"/>
        </w:rPr>
        <w:t>7-55</w:t>
      </w:r>
    </w:p>
    <w:p w14:paraId="03CF5697" w14:textId="77777777" w:rsidR="00AC3E10" w:rsidRPr="00A151D3" w:rsidRDefault="00AC3E10" w:rsidP="00AC3E10">
      <w:pPr>
        <w:pStyle w:val="NormalWeb"/>
        <w:rPr>
          <w:rFonts w:ascii="Arial Black" w:hAnsi="Arial Black"/>
          <w:sz w:val="28"/>
          <w:szCs w:val="28"/>
        </w:rPr>
      </w:pPr>
      <w:r>
        <w:rPr>
          <w:rFonts w:ascii="Arial Black" w:hAnsi="Arial Black"/>
          <w:sz w:val="28"/>
          <w:szCs w:val="28"/>
        </w:rPr>
        <w:t>CT: FEMALE BAT. CHIEF NOT PROMOTED A/C – JOB DESC. CHANGED - WRITTEN EXAM DROPPED – CASE PROCEED</w:t>
      </w:r>
    </w:p>
    <w:p w14:paraId="443983CC" w14:textId="77777777" w:rsidR="00AC3E10" w:rsidRDefault="00AC3E10" w:rsidP="00AC3E10">
      <w:pPr>
        <w:pStyle w:val="NormalWeb"/>
      </w:pPr>
      <w:r>
        <w:rPr>
          <w:rFonts w:eastAsiaTheme="minorHAnsi"/>
          <w:kern w:val="2"/>
          <w14:ligatures w14:val="standardContextual"/>
        </w:rPr>
        <w:t xml:space="preserve">On Aug. 14, 2023, in </w:t>
      </w:r>
      <w:r w:rsidRPr="00C14243">
        <w:rPr>
          <w:rFonts w:eastAsiaTheme="minorHAnsi"/>
          <w:kern w:val="2"/>
          <w:u w:val="single"/>
          <w14:ligatures w14:val="standardContextual"/>
        </w:rPr>
        <w:t>Eileen Parlato v. Town of East Haven and East Haven Fire Department</w:t>
      </w:r>
      <w:r>
        <w:rPr>
          <w:rFonts w:eastAsiaTheme="minorHAnsi"/>
          <w:kern w:val="2"/>
          <w14:ligatures w14:val="standardContextual"/>
        </w:rPr>
        <w:t xml:space="preserve">, U.S. District Court Judge </w:t>
      </w:r>
      <w:r>
        <w:t xml:space="preserve">Sarala V. </w:t>
      </w:r>
      <w:proofErr w:type="spellStart"/>
      <w:r>
        <w:t>Nagala</w:t>
      </w:r>
      <w:proofErr w:type="spellEnd"/>
      <w:r>
        <w:t xml:space="preserve"> denied in part the Town’s motion to dismiss, holding that the now-retired Battalion Chief, with 29 years on the Fire Department, may proceed with her equal protection / gender discrimination claim that she was not promoted to Assistant Fire Chief in November 2021 because the Fire Chief changed promotion process (including no written exam), she was never presented to the Board of Fire Commissioners, which selected another Battalion Chief with much less experience. </w:t>
      </w:r>
    </w:p>
    <w:p w14:paraId="6D81F1A3" w14:textId="77777777" w:rsidR="00AC3E10" w:rsidRDefault="00AC3E10" w:rsidP="00AC3E10">
      <w:pPr>
        <w:pStyle w:val="NormalWeb"/>
      </w:pPr>
      <w:r>
        <w:tab/>
        <w:t>The Judge held that the complaint identifies specific changes made by the Fire Chief.</w:t>
      </w:r>
    </w:p>
    <w:p w14:paraId="2D1FF3D3" w14:textId="77777777" w:rsidR="00AC3E10" w:rsidRDefault="00AC3E10" w:rsidP="00AC3E10">
      <w:pPr>
        <w:pStyle w:val="NormalWeb"/>
        <w:ind w:left="720"/>
        <w:rPr>
          <w:rFonts w:eastAsiaTheme="minorHAnsi"/>
          <w:kern w:val="2"/>
          <w14:ligatures w14:val="standardContextual"/>
        </w:rPr>
      </w:pPr>
      <w:r>
        <w:rPr>
          <w:rFonts w:eastAsiaTheme="minorHAnsi"/>
          <w:kern w:val="2"/>
          <w14:ligatures w14:val="standardContextual"/>
        </w:rPr>
        <w:t>“</w:t>
      </w:r>
      <w:r w:rsidRPr="00353B08">
        <w:rPr>
          <w:rFonts w:eastAsiaTheme="minorHAnsi"/>
          <w:kern w:val="2"/>
          <w14:ligatures w14:val="standardContextual"/>
        </w:rPr>
        <w:t xml:space="preserve">The Court next concludes, however, that Plaintiff has plausibly alleged a </w:t>
      </w:r>
      <w:r w:rsidRPr="00353B08">
        <w:rPr>
          <w:rFonts w:eastAsiaTheme="minorHAnsi"/>
          <w:i/>
          <w:iCs/>
          <w:kern w:val="2"/>
          <w14:ligatures w14:val="standardContextual"/>
        </w:rPr>
        <w:t>Monell</w:t>
      </w:r>
      <w:r w:rsidRPr="00353B08">
        <w:rPr>
          <w:rFonts w:eastAsiaTheme="minorHAnsi"/>
          <w:kern w:val="2"/>
          <w14:ligatures w14:val="standardContextual"/>
        </w:rPr>
        <w:t xml:space="preserve"> claim for gender discrimination under the theory that Marcarelli was a final policymaker with respect to the decisions he made that prevented Plaintiff from being considered by the Board of Fire Commissioners for the Assistant Chief position. </w:t>
      </w:r>
      <w:proofErr w:type="spellStart"/>
      <w:r w:rsidRPr="00353B08">
        <w:rPr>
          <w:rFonts w:eastAsiaTheme="minorHAnsi"/>
          <w:kern w:val="2"/>
          <w14:ligatures w14:val="standardContextual"/>
        </w:rPr>
        <w:t>Compl</w:t>
      </w:r>
      <w:proofErr w:type="spellEnd"/>
      <w:r w:rsidRPr="00353B08">
        <w:rPr>
          <w:rFonts w:eastAsiaTheme="minorHAnsi"/>
          <w:kern w:val="2"/>
          <w14:ligatures w14:val="standardContextual"/>
        </w:rPr>
        <w:t>. ¶ 116.</w:t>
      </w:r>
    </w:p>
    <w:p w14:paraId="3DD9B800" w14:textId="77777777" w:rsidR="00AC3E10" w:rsidRDefault="00AC3E10" w:rsidP="00AC3E10">
      <w:pPr>
        <w:pStyle w:val="NormalWeb"/>
        <w:ind w:left="720"/>
      </w:pPr>
      <w:r>
        <w:rPr>
          <w:rFonts w:eastAsiaTheme="minorHAnsi"/>
          <w:kern w:val="2"/>
          <w14:ligatures w14:val="standardContextual"/>
        </w:rPr>
        <w:t>***</w:t>
      </w:r>
    </w:p>
    <w:p w14:paraId="6474A360" w14:textId="77777777" w:rsidR="00AC3E10" w:rsidRDefault="00AC3E10" w:rsidP="00AC3E10">
      <w:pPr>
        <w:spacing w:before="100" w:beforeAutospacing="1" w:after="100" w:afterAutospacing="1" w:line="240" w:lineRule="auto"/>
        <w:ind w:left="720"/>
        <w:rPr>
          <w:rFonts w:ascii="Times New Roman" w:hAnsi="Times New Roman"/>
          <w:sz w:val="24"/>
          <w:szCs w:val="24"/>
        </w:rPr>
      </w:pPr>
      <w:r w:rsidRPr="00C14243">
        <w:rPr>
          <w:rFonts w:ascii="Times New Roman" w:hAnsi="Times New Roman"/>
          <w:sz w:val="24"/>
          <w:szCs w:val="24"/>
        </w:rPr>
        <w:t xml:space="preserve">Specifically, the Assistant Chief job posting stated that an external candidate required ten years of supervisory experience, but that an internal candidate required only ten years with the EHFD, regardless of whether the candidate had any supervisory experience during that time. </w:t>
      </w:r>
      <w:r w:rsidRPr="00C14243">
        <w:rPr>
          <w:rFonts w:ascii="Times New Roman" w:hAnsi="Times New Roman"/>
          <w:i/>
          <w:iCs/>
          <w:sz w:val="24"/>
          <w:szCs w:val="24"/>
        </w:rPr>
        <w:t>Id.</w:t>
      </w:r>
      <w:r w:rsidRPr="00C14243">
        <w:rPr>
          <w:rFonts w:ascii="Times New Roman" w:hAnsi="Times New Roman"/>
          <w:sz w:val="24"/>
          <w:szCs w:val="24"/>
        </w:rPr>
        <w:t xml:space="preserve"> In addition, </w:t>
      </w:r>
      <w:r>
        <w:rPr>
          <w:rFonts w:ascii="Times New Roman" w:hAnsi="Times New Roman"/>
          <w:sz w:val="24"/>
          <w:szCs w:val="24"/>
        </w:rPr>
        <w:t xml:space="preserve">[Fire Chief] </w:t>
      </w:r>
      <w:r w:rsidRPr="00C14243">
        <w:rPr>
          <w:rFonts w:ascii="Times New Roman" w:hAnsi="Times New Roman"/>
          <w:sz w:val="24"/>
          <w:szCs w:val="24"/>
        </w:rPr>
        <w:t xml:space="preserve">Marcarelli changed the format of the Assistant Chief hiring process by setting only an oral exam and eliminating the typical written exam requirement, despite that Plaintiff had historically performed well on written exams. </w:t>
      </w:r>
      <w:r w:rsidRPr="00C14243">
        <w:rPr>
          <w:rFonts w:ascii="Times New Roman" w:hAnsi="Times New Roman"/>
          <w:i/>
          <w:iCs/>
          <w:sz w:val="24"/>
          <w:szCs w:val="24"/>
        </w:rPr>
        <w:t>Id.</w:t>
      </w:r>
      <w:r w:rsidRPr="00C14243">
        <w:rPr>
          <w:rFonts w:ascii="Times New Roman" w:hAnsi="Times New Roman"/>
          <w:sz w:val="24"/>
          <w:szCs w:val="24"/>
        </w:rPr>
        <w:t xml:space="preserve"> ¶ 53. Marcarelli also selected the individuals who would comprise the panel of interviewers for the oral exam. </w:t>
      </w:r>
      <w:r w:rsidRPr="00C14243">
        <w:rPr>
          <w:rFonts w:ascii="Times New Roman" w:hAnsi="Times New Roman"/>
          <w:i/>
          <w:iCs/>
          <w:sz w:val="24"/>
          <w:szCs w:val="24"/>
        </w:rPr>
        <w:t>Id.</w:t>
      </w:r>
      <w:r w:rsidRPr="00C14243">
        <w:rPr>
          <w:rFonts w:ascii="Times New Roman" w:hAnsi="Times New Roman"/>
          <w:sz w:val="24"/>
          <w:szCs w:val="24"/>
        </w:rPr>
        <w:t xml:space="preserve"> ¶ 54.</w:t>
      </w:r>
    </w:p>
    <w:p w14:paraId="69AC8FBC" w14:textId="77777777" w:rsidR="00AC3E10" w:rsidRDefault="00AC3E10" w:rsidP="00AC3E10">
      <w:pPr>
        <w:spacing w:before="100" w:beforeAutospacing="1" w:after="100" w:afterAutospacing="1" w:line="240" w:lineRule="auto"/>
        <w:ind w:left="720"/>
      </w:pPr>
      <w:r>
        <w:rPr>
          <w:rFonts w:ascii="Times New Roman" w:hAnsi="Times New Roman"/>
          <w:sz w:val="24"/>
          <w:szCs w:val="24"/>
        </w:rPr>
        <w:lastRenderedPageBreak/>
        <w:t>***</w:t>
      </w:r>
    </w:p>
    <w:p w14:paraId="0BC44673" w14:textId="1C1314C9" w:rsidR="00AC3E10" w:rsidRPr="00AC3E10" w:rsidRDefault="00AC3E10" w:rsidP="00AC3E10">
      <w:pPr>
        <w:pStyle w:val="NoSpacing"/>
        <w:ind w:left="720"/>
        <w:rPr>
          <w:rFonts w:ascii="Times New Roman" w:hAnsi="Times New Roman"/>
          <w:b/>
          <w:bCs/>
          <w:sz w:val="24"/>
          <w:szCs w:val="24"/>
        </w:rPr>
      </w:pPr>
      <w:r w:rsidRPr="00AC3E10">
        <w:rPr>
          <w:rFonts w:ascii="Times New Roman" w:hAnsi="Times New Roman"/>
          <w:sz w:val="24"/>
          <w:szCs w:val="24"/>
        </w:rPr>
        <w:t xml:space="preserve">Importantly, the complaint alleges that Marcarelli </w:t>
      </w:r>
      <w:r w:rsidRPr="00AC3E10">
        <w:rPr>
          <w:rStyle w:val="Emphasis"/>
          <w:rFonts w:ascii="Times New Roman" w:eastAsiaTheme="majorEastAsia" w:hAnsi="Times New Roman"/>
          <w:sz w:val="24"/>
          <w:szCs w:val="24"/>
        </w:rPr>
        <w:t>drafted</w:t>
      </w:r>
      <w:r w:rsidRPr="00AC3E10">
        <w:rPr>
          <w:rFonts w:ascii="Times New Roman" w:hAnsi="Times New Roman"/>
          <w:sz w:val="24"/>
          <w:szCs w:val="24"/>
        </w:rPr>
        <w:t xml:space="preserve"> the job description, </w:t>
      </w:r>
      <w:r w:rsidRPr="00AC3E10">
        <w:rPr>
          <w:rStyle w:val="Emphasis"/>
          <w:rFonts w:ascii="Times New Roman" w:eastAsiaTheme="majorEastAsia" w:hAnsi="Times New Roman"/>
          <w:sz w:val="24"/>
          <w:szCs w:val="24"/>
        </w:rPr>
        <w:t>eliminated</w:t>
      </w:r>
      <w:r w:rsidRPr="00AC3E10">
        <w:rPr>
          <w:rFonts w:ascii="Times New Roman" w:hAnsi="Times New Roman"/>
          <w:sz w:val="24"/>
          <w:szCs w:val="24"/>
        </w:rPr>
        <w:t xml:space="preserve"> the written exam requirement, and </w:t>
      </w:r>
      <w:r w:rsidRPr="00AC3E10">
        <w:rPr>
          <w:rStyle w:val="Emphasis"/>
          <w:rFonts w:ascii="Times New Roman" w:eastAsiaTheme="majorEastAsia" w:hAnsi="Times New Roman"/>
          <w:sz w:val="24"/>
          <w:szCs w:val="24"/>
        </w:rPr>
        <w:t>hand-picked</w:t>
      </w:r>
      <w:r w:rsidRPr="00AC3E10">
        <w:rPr>
          <w:rFonts w:ascii="Times New Roman" w:hAnsi="Times New Roman"/>
          <w:sz w:val="24"/>
          <w:szCs w:val="24"/>
        </w:rPr>
        <w:t xml:space="preserve"> the interviewers. </w:t>
      </w:r>
      <w:proofErr w:type="spellStart"/>
      <w:r w:rsidRPr="00AC3E10">
        <w:rPr>
          <w:rFonts w:ascii="Times New Roman" w:hAnsi="Times New Roman"/>
          <w:sz w:val="24"/>
          <w:szCs w:val="24"/>
        </w:rPr>
        <w:t>Compl</w:t>
      </w:r>
      <w:proofErr w:type="spellEnd"/>
      <w:r w:rsidRPr="00AC3E10">
        <w:rPr>
          <w:rFonts w:ascii="Times New Roman" w:hAnsi="Times New Roman"/>
          <w:sz w:val="24"/>
          <w:szCs w:val="24"/>
        </w:rPr>
        <w:t>. ¶¶ 48, 53-54.</w:t>
      </w:r>
      <w:r w:rsidRPr="00AC3E10">
        <w:rPr>
          <w:rFonts w:ascii="Times New Roman" w:hAnsi="Times New Roman"/>
          <w:sz w:val="24"/>
          <w:szCs w:val="24"/>
          <w:vertAlign w:val="superscript"/>
        </w:rPr>
        <w:t>[</w:t>
      </w:r>
      <w:hyperlink r:id="rId1391" w:anchor="ftn.FN8" w:history="1">
        <w:r w:rsidRPr="00AC3E10">
          <w:rPr>
            <w:rStyle w:val="Hyperlink"/>
            <w:rFonts w:ascii="Times New Roman" w:eastAsiaTheme="majorEastAsia" w:hAnsi="Times New Roman"/>
            <w:sz w:val="24"/>
            <w:szCs w:val="24"/>
            <w:vertAlign w:val="superscript"/>
          </w:rPr>
          <w:t>8</w:t>
        </w:r>
      </w:hyperlink>
      <w:r w:rsidRPr="00AC3E10">
        <w:rPr>
          <w:rFonts w:ascii="Times New Roman" w:hAnsi="Times New Roman"/>
          <w:sz w:val="24"/>
          <w:szCs w:val="24"/>
          <w:vertAlign w:val="superscript"/>
        </w:rPr>
        <w:t>]</w:t>
      </w:r>
      <w:r w:rsidRPr="00AC3E10">
        <w:rPr>
          <w:rFonts w:ascii="Times New Roman" w:hAnsi="Times New Roman"/>
          <w:sz w:val="24"/>
          <w:szCs w:val="24"/>
        </w:rPr>
        <w:t xml:space="preserve"> To the extent further discovery reveals that those decisions were reviewable by the Board of Fire Commissioners, or to the extent that further research demonstrates that the authority to make those decisions was vested in the Board or some other person or entity, Plaintiff may not ultimately prevail on this theory of her </w:t>
      </w:r>
      <w:r w:rsidRPr="00AC3E10">
        <w:rPr>
          <w:rStyle w:val="Emphasis"/>
          <w:rFonts w:ascii="Times New Roman" w:eastAsiaTheme="majorEastAsia" w:hAnsi="Times New Roman"/>
          <w:sz w:val="24"/>
          <w:szCs w:val="24"/>
        </w:rPr>
        <w:t>Monell</w:t>
      </w:r>
      <w:r w:rsidRPr="00AC3E10">
        <w:rPr>
          <w:rFonts w:ascii="Times New Roman" w:hAnsi="Times New Roman"/>
          <w:sz w:val="24"/>
          <w:szCs w:val="24"/>
        </w:rPr>
        <w:t xml:space="preserve"> claim.” </w:t>
      </w:r>
      <w:hyperlink r:id="rId1392" w:history="1">
        <w:r w:rsidRPr="00AC3E10">
          <w:rPr>
            <w:rStyle w:val="Hyperlink"/>
            <w:rFonts w:ascii="Times New Roman" w:eastAsiaTheme="majorEastAsia" w:hAnsi="Times New Roman"/>
            <w:sz w:val="24"/>
            <w:szCs w:val="24"/>
          </w:rPr>
          <w:t>https://public.fastcase.com/ZZhmr5v9wN%2FXOe5IsQ%2FqD%2FNGb7gFooJuC7EPCkPbb8zYGJ%2BdPMtTRazA4SgxbA0Hq%2Bqtj6iK5eurCbJj4Cn6ySK1qzuHHpkHA9cN2Vx6eWo%3D?utm_medium=email&amp;_hsmi=226712652&amp;_hsenc=p2ANqtz-_M4ZQ75NqvFrlpX3gz1MCu7xTgTM0sg-yZbWDDZft-2cApXVRPMU-C3jBD2GmP4Ff9YuyLw19xTYwQuDOoCvQcSGp93w&amp;utm_content=226712652&amp;utm_source=hs_email</w:t>
        </w:r>
      </w:hyperlink>
    </w:p>
    <w:p w14:paraId="36EDDD30" w14:textId="77777777" w:rsidR="00AC3E10" w:rsidRDefault="00AC3E10" w:rsidP="00F326E5">
      <w:pPr>
        <w:pStyle w:val="NoSpacing"/>
        <w:rPr>
          <w:rFonts w:ascii="Arial Black" w:hAnsi="Arial Black"/>
          <w:b/>
          <w:bCs/>
          <w:sz w:val="24"/>
          <w:szCs w:val="24"/>
        </w:rPr>
      </w:pPr>
    </w:p>
    <w:p w14:paraId="0F8D2805" w14:textId="77777777" w:rsidR="00AC3E10" w:rsidRPr="00353B08" w:rsidRDefault="00AC3E10" w:rsidP="00AC3E10">
      <w:pPr>
        <w:pStyle w:val="NormalWeb"/>
        <w:rPr>
          <w:b/>
          <w:bCs/>
        </w:rPr>
      </w:pPr>
      <w:r w:rsidRPr="00353B08">
        <w:rPr>
          <w:rFonts w:eastAsiaTheme="minorHAnsi"/>
          <w:b/>
          <w:bCs/>
          <w:kern w:val="2"/>
          <w14:ligatures w14:val="standardContextual"/>
        </w:rPr>
        <w:t xml:space="preserve">Legal Lesson Learned: </w:t>
      </w:r>
      <w:r>
        <w:rPr>
          <w:rFonts w:eastAsiaTheme="minorHAnsi"/>
          <w:b/>
          <w:bCs/>
          <w:kern w:val="2"/>
          <w14:ligatures w14:val="standardContextual"/>
        </w:rPr>
        <w:t xml:space="preserve">Lawsuit will now proceed with pre-trial discovery.  Be very cautious in changing the promotion process. </w:t>
      </w:r>
    </w:p>
    <w:p w14:paraId="09EA451C" w14:textId="77777777" w:rsidR="00AC3E10" w:rsidRDefault="00AC3E10" w:rsidP="00F326E5">
      <w:pPr>
        <w:pStyle w:val="NoSpacing"/>
        <w:rPr>
          <w:rFonts w:ascii="Arial Black" w:hAnsi="Arial Black"/>
          <w:b/>
          <w:bCs/>
          <w:sz w:val="24"/>
          <w:szCs w:val="24"/>
        </w:rPr>
      </w:pPr>
    </w:p>
    <w:p w14:paraId="1A2EC069" w14:textId="5E4B4D88" w:rsidR="00664ABE" w:rsidRPr="000644B6" w:rsidRDefault="00664ABE" w:rsidP="00F326E5">
      <w:pPr>
        <w:pStyle w:val="NoSpacing"/>
        <w:rPr>
          <w:rFonts w:ascii="Arial Black" w:hAnsi="Arial Black"/>
          <w:b/>
          <w:bCs/>
          <w:sz w:val="24"/>
          <w:szCs w:val="24"/>
        </w:rPr>
      </w:pPr>
      <w:r w:rsidRPr="000644B6">
        <w:rPr>
          <w:rFonts w:ascii="Arial Black" w:hAnsi="Arial Black"/>
          <w:b/>
          <w:bCs/>
          <w:sz w:val="24"/>
          <w:szCs w:val="24"/>
        </w:rPr>
        <w:t>7-54</w:t>
      </w:r>
    </w:p>
    <w:p w14:paraId="16C6CF28" w14:textId="77777777" w:rsidR="000644B6" w:rsidRPr="000644B6" w:rsidRDefault="000644B6" w:rsidP="000644B6">
      <w:pPr>
        <w:pStyle w:val="NormalWeb"/>
        <w:rPr>
          <w:rFonts w:ascii="Arial Black" w:hAnsi="Arial Black"/>
          <w:sz w:val="28"/>
          <w:szCs w:val="28"/>
        </w:rPr>
      </w:pPr>
      <w:r w:rsidRPr="000644B6">
        <w:rPr>
          <w:rFonts w:ascii="Arial Black" w:hAnsi="Arial Black"/>
          <w:sz w:val="28"/>
          <w:szCs w:val="28"/>
        </w:rPr>
        <w:t xml:space="preserve">KY: FF HAD SEX 17-YR-OLD – HE IS IN PRISON 35 YEARS – NO CASE AGAINST CITY / FD FOR “FAILURE TO SUPERVISE” </w:t>
      </w:r>
    </w:p>
    <w:p w14:paraId="6405F185" w14:textId="77777777" w:rsidR="000644B6" w:rsidRPr="000644B6" w:rsidRDefault="000644B6" w:rsidP="000644B6">
      <w:pPr>
        <w:pStyle w:val="NormalWeb"/>
      </w:pPr>
      <w:r w:rsidRPr="000644B6">
        <w:t xml:space="preserve">On July 25, 2023, in </w:t>
      </w:r>
      <w:r w:rsidRPr="000644B6">
        <w:rPr>
          <w:u w:val="single"/>
        </w:rPr>
        <w:t>Emmalee Young v. City of Paris, et al.</w:t>
      </w:r>
      <w:r w:rsidRPr="000644B6">
        <w:t xml:space="preserve">, U.S. District Court Judge Karen K. Caldwell, U.S. District Court for Eastern District of Kentucky, Central Division (Lexington), granted motion for summary judgment on behalf of the </w:t>
      </w:r>
      <w:proofErr w:type="gramStart"/>
      <w:r w:rsidRPr="000644B6">
        <w:t>City</w:t>
      </w:r>
      <w:proofErr w:type="gramEnd"/>
      <w:r w:rsidRPr="000644B6">
        <w:t xml:space="preserve">, Fire Chief, Battalion Chief and police officials. The only remaining defendant is former firefighter William Michael Fields, Jr., now serving 35 years in federal prison. A failure-to-supervise claim is a “rare” claim.  </w:t>
      </w:r>
    </w:p>
    <w:p w14:paraId="13BB30E2" w14:textId="530F59CD" w:rsidR="00664ABE" w:rsidRPr="000644B6" w:rsidRDefault="000644B6" w:rsidP="000644B6">
      <w:pPr>
        <w:pStyle w:val="NoSpacing"/>
        <w:rPr>
          <w:rFonts w:ascii="Times New Roman" w:hAnsi="Times New Roman"/>
          <w:sz w:val="24"/>
          <w:szCs w:val="24"/>
        </w:rPr>
      </w:pPr>
      <w:r w:rsidRPr="000644B6">
        <w:rPr>
          <w:rFonts w:ascii="Times New Roman" w:hAnsi="Times New Roman"/>
          <w:sz w:val="24"/>
          <w:szCs w:val="24"/>
        </w:rPr>
        <w:t xml:space="preserve">The Court held: “As to a failure-to-supervise claim, this is a ‘rare’ claim. *** Young could show the city was deliberately indifferent to the risk that its employees would have sexual intercourse with minors or other nonconsenting individuals with evidence of a pattern of similar constitutional violations, with a record of city employees ‘going unpunished’ for similar constitutional violations or other circumstances tending to show that the city was aware or could have been aware that Fields was prone to have sexual intercourse with minors or other nonconsenting individuals. </w:t>
      </w:r>
      <w:r w:rsidRPr="000644B6">
        <w:rPr>
          <w:rStyle w:val="Emphasis"/>
          <w:rFonts w:ascii="Times New Roman" w:hAnsi="Times New Roman"/>
          <w:sz w:val="24"/>
          <w:szCs w:val="24"/>
        </w:rPr>
        <w:t>Id</w:t>
      </w:r>
      <w:r w:rsidRPr="000644B6">
        <w:rPr>
          <w:rFonts w:ascii="Times New Roman" w:hAnsi="Times New Roman"/>
          <w:sz w:val="24"/>
          <w:szCs w:val="24"/>
        </w:rPr>
        <w:t xml:space="preserve">. Young presents no such evidence. Accordingly, the Court will enter summary judgment in favor of the city of Paris, Kentucky on Young's constitutional claims. *** The issue on this motion is whether Young has presented sufficient facts to lead a reasonable juror to find that the city of Paris, Fields' supervisors at the fire department, or Paris law enforcement officers Royse and Boyer should also be liable for Fields' wrongful conduct. *** Young does not allege, however, that any of the individual defendants other than Fields personally sexually harassed her or violated her bodily integrity. She does not allege that any of the other defendants even had substantial direct interactions with her. She asserts, however, that the other defendants should be held liable for Fields' actions. *** As to Chief Duffy and Battalion Chief Hensley, Young asserts that both are liable for Fields' conduct because they were his supervisors at the Paris Fire Department. *** Young has produced no evidence that Duffy or Hensley was aware that Fields had sexually harassed or violated the bodily integrity of Young or anyone else or that he intended to. Though the deposition testimony established that other members of the Fire Department were aware that Fields had engaged in multiple sexual encounters outside of his marriage, </w:t>
      </w:r>
      <w:proofErr w:type="gramStart"/>
      <w:r w:rsidRPr="000644B6">
        <w:rPr>
          <w:rFonts w:ascii="Times New Roman" w:hAnsi="Times New Roman"/>
          <w:sz w:val="24"/>
          <w:szCs w:val="24"/>
        </w:rPr>
        <w:t>Young</w:t>
      </w:r>
      <w:proofErr w:type="gramEnd"/>
      <w:r w:rsidRPr="000644B6">
        <w:rPr>
          <w:rFonts w:ascii="Times New Roman" w:hAnsi="Times New Roman"/>
          <w:sz w:val="24"/>
          <w:szCs w:val="24"/>
        </w:rPr>
        <w:t xml:space="preserve"> points to no evidence that any other employee was aware that any of Fields' sexual encounters involved nonconsenting women or minors or otherwise constituted </w:t>
      </w:r>
      <w:r w:rsidRPr="000644B6">
        <w:rPr>
          <w:rFonts w:ascii="Times New Roman" w:hAnsi="Times New Roman"/>
          <w:sz w:val="24"/>
          <w:szCs w:val="24"/>
        </w:rPr>
        <w:lastRenderedPageBreak/>
        <w:t xml:space="preserve">sexual harassment or violations of bodily integrity. *** She presents evidence that fire department employees discussed sexual activities and shared nude images of females while on duty. She has also produced evidence that at least some fire department employees engaged in sexual activities with nonemployees at facilities used by the Paris Fire Department like Safety City. Young has pointed to no evidence, however, that any fire department employee other than Fields engaged in sexual behavior with an underage or otherwise nonconsenting individual, which is the kind of constitutional violation suffered by Young.” </w:t>
      </w:r>
      <w:hyperlink r:id="rId1393" w:history="1">
        <w:r w:rsidRPr="000644B6">
          <w:rPr>
            <w:rStyle w:val="Hyperlink"/>
            <w:rFonts w:ascii="Times New Roman" w:eastAsiaTheme="majorEastAsia" w:hAnsi="Times New Roman"/>
            <w:sz w:val="24"/>
            <w:szCs w:val="24"/>
          </w:rPr>
          <w:t>https://public.fastcase.com/ZZhmr5v9wN%2FXOe5IsQ%2FqD4teBhUqY7wvbGAswNzyBMaksiAAx9CoK%2F0glr7LeyIGy7%2BIvTMMfnsD4C1w01llLSbg%2FSmkDMg22UrZNbleClI%3D?utm_medium=email&amp;_hsmi=226712652&amp;_hsenc=p2ANqtz--0kKIYBqY11A1vHL3K3LnOM9OT3ZDxvHId5EPEJRai0C-xgNPiCQqUNedXVxiPbPjxDggmQ5V534mtY9qGSRF7_b-8gg&amp;utm_content=226712652&amp;utm_source=hs_email</w:t>
        </w:r>
      </w:hyperlink>
    </w:p>
    <w:p w14:paraId="7F031CF5" w14:textId="77777777" w:rsidR="00664ABE" w:rsidRDefault="00664ABE" w:rsidP="00F326E5">
      <w:pPr>
        <w:pStyle w:val="NoSpacing"/>
        <w:rPr>
          <w:rFonts w:ascii="Arial Black" w:hAnsi="Arial Black"/>
          <w:sz w:val="24"/>
          <w:szCs w:val="24"/>
        </w:rPr>
      </w:pPr>
    </w:p>
    <w:p w14:paraId="537B694A" w14:textId="77777777" w:rsidR="000644B6" w:rsidRPr="008B55B1" w:rsidRDefault="000644B6" w:rsidP="000644B6">
      <w:pPr>
        <w:pStyle w:val="NormalWeb"/>
        <w:rPr>
          <w:b/>
          <w:bCs/>
        </w:rPr>
      </w:pPr>
      <w:r w:rsidRPr="008B55B1">
        <w:rPr>
          <w:b/>
          <w:bCs/>
        </w:rPr>
        <w:t xml:space="preserve">Legal Lesson Learned: </w:t>
      </w:r>
      <w:r>
        <w:rPr>
          <w:b/>
          <w:bCs/>
        </w:rPr>
        <w:t xml:space="preserve">A “failure to supervise” claim must be backed up with facts showing management knowledge of improper conduct. </w:t>
      </w:r>
    </w:p>
    <w:p w14:paraId="1F89B981" w14:textId="77777777" w:rsidR="000644B6" w:rsidRDefault="000644B6" w:rsidP="00F326E5">
      <w:pPr>
        <w:pStyle w:val="NoSpacing"/>
        <w:rPr>
          <w:rFonts w:ascii="Arial Black" w:hAnsi="Arial Black"/>
          <w:sz w:val="24"/>
          <w:szCs w:val="24"/>
        </w:rPr>
      </w:pPr>
    </w:p>
    <w:p w14:paraId="32610B35" w14:textId="77777777" w:rsidR="000644B6" w:rsidRDefault="000644B6" w:rsidP="00F326E5">
      <w:pPr>
        <w:pStyle w:val="NoSpacing"/>
        <w:rPr>
          <w:rFonts w:ascii="Arial Black" w:hAnsi="Arial Black"/>
          <w:sz w:val="24"/>
          <w:szCs w:val="24"/>
        </w:rPr>
      </w:pPr>
    </w:p>
    <w:p w14:paraId="6E47CC74" w14:textId="77777777" w:rsidR="000644B6" w:rsidRDefault="000644B6" w:rsidP="00F326E5">
      <w:pPr>
        <w:pStyle w:val="NoSpacing"/>
        <w:rPr>
          <w:rFonts w:ascii="Arial Black" w:hAnsi="Arial Black"/>
          <w:sz w:val="24"/>
          <w:szCs w:val="24"/>
        </w:rPr>
      </w:pPr>
    </w:p>
    <w:p w14:paraId="0D4D71D9" w14:textId="4FF7BE2E" w:rsidR="00227BDE" w:rsidRDefault="00411936" w:rsidP="00F326E5">
      <w:pPr>
        <w:pStyle w:val="NoSpacing"/>
        <w:rPr>
          <w:rFonts w:ascii="Arial Black" w:hAnsi="Arial Black"/>
          <w:sz w:val="24"/>
          <w:szCs w:val="24"/>
        </w:rPr>
      </w:pPr>
      <w:r>
        <w:rPr>
          <w:rFonts w:ascii="Arial Black" w:hAnsi="Arial Black"/>
          <w:sz w:val="24"/>
          <w:szCs w:val="24"/>
        </w:rPr>
        <w:t>7-53</w:t>
      </w:r>
    </w:p>
    <w:p w14:paraId="0AD9E391" w14:textId="77777777" w:rsidR="00664ABE" w:rsidRPr="001C1F46" w:rsidRDefault="00664ABE" w:rsidP="00664ABE">
      <w:pPr>
        <w:pStyle w:val="NormalWeb"/>
        <w:rPr>
          <w:rFonts w:ascii="Arial Black" w:hAnsi="Arial Black"/>
          <w:sz w:val="28"/>
          <w:szCs w:val="28"/>
        </w:rPr>
      </w:pPr>
      <w:r>
        <w:rPr>
          <w:rFonts w:ascii="Arial Black" w:hAnsi="Arial Black"/>
          <w:sz w:val="28"/>
          <w:szCs w:val="28"/>
        </w:rPr>
        <w:t>CA: SAN FRAN. FF – HARASSMENT, NASTY COMMENTS BY SUPERVISOR TO FF HUSBAND – LACTATION NOT PRIVATE</w:t>
      </w:r>
    </w:p>
    <w:p w14:paraId="63FBDA5C" w14:textId="77777777" w:rsidR="00664ABE" w:rsidRDefault="00664ABE" w:rsidP="00664ABE">
      <w:pPr>
        <w:pStyle w:val="NormalWeb"/>
      </w:pPr>
      <w:r>
        <w:t xml:space="preserve">On July 13, 2023, in </w:t>
      </w:r>
      <w:r w:rsidRPr="001C1F46">
        <w:rPr>
          <w:u w:val="single"/>
        </w:rPr>
        <w:t>Sarah Perata v. City and County of San Francisco</w:t>
      </w:r>
      <w:r>
        <w:t xml:space="preserve">, U.S. Magistrate Judge Thomas S. Hixson, denied the City’s motion for summary judgment on claims of gender discrimination, including lack of location with a lock for lactation.  She was hired in 2018 as EMT and was a training instructor at Treasure Island.  In 2020 she received a promotion to Captain, subject to six-month probationary period and transferred to Station 49.  Unfortunately, on Dec. 7, 2020, Fire Chief Janine Nicholson sent Plaintiff a letter revoking the promotion based on two investigations - text message incident and training binder incident.  Text Message Incident – proposed 7-day suspension.  Plaintiff's new supervisor at Station 49, Chief Niels Tangherlini, received a message from what appeared to be Plaintiff's phone number stating, “I fucking hate this place.” Multiple other coworkers received texts from what appeared to be Plaintiff's phone number stating, “I hate you,” or “Fuck you.”   Training Binder Incident – proposed 3-day suspension. On February 13, 2020, she and her husband went to Tresure Island to gather her belongings for transfer to Station </w:t>
      </w:r>
      <w:proofErr w:type="gramStart"/>
      <w:r>
        <w:t>49, and</w:t>
      </w:r>
      <w:proofErr w:type="gramEnd"/>
      <w:r>
        <w:t xml:space="preserve"> apparently took training materials. That suspension was withdrawn when Plaintiff provided SFFD relevant materials. </w:t>
      </w:r>
    </w:p>
    <w:p w14:paraId="4FF4ED76" w14:textId="77777777" w:rsidR="00664ABE" w:rsidRDefault="00664ABE" w:rsidP="00664ABE">
      <w:pPr>
        <w:pStyle w:val="NormalWeb"/>
      </w:pPr>
      <w:r>
        <w:t>The Magistrate Judge held:</w:t>
      </w:r>
    </w:p>
    <w:p w14:paraId="0246B33E" w14:textId="77777777" w:rsidR="00664ABE" w:rsidRDefault="00664ABE" w:rsidP="00664ABE">
      <w:pPr>
        <w:pStyle w:val="NormalWeb"/>
      </w:pPr>
      <w:r>
        <w:t xml:space="preserve">HARASSMENT: “Although a close call, the Court finds Plaintiff has established material facts to preclude summary judgment on her harassment claims. Plaintiff testified that her supervisor, Payne [Nicholas Payne, Emergency Medical Services Training section chief for Treasure Island] and his supervisor, ‘constantly’ called Plaintiff and her fellow female coworkers ‘minions,’ and asked them to do the office administrative work. *** Defendant argues that many of the comments are not references to gender, but the Court finds there is sufficient evidence to infer gender bias. For example, Plaintiff's husband testified that Payne said Plaintiff “must give great head because I don't know why you are with </w:t>
      </w:r>
      <w:proofErr w:type="gramStart"/>
      <w:r>
        <w:t>her.”</w:t>
      </w:r>
      <w:proofErr w:type="gramEnd"/>
      <w:r>
        <w:t xml:space="preserve"> *** There is also evidence that Payne and Tibbits [Zachary Tibbits, co-worker] would put Plaintiff's desk figurines in sexual positions.”</w:t>
      </w:r>
    </w:p>
    <w:p w14:paraId="6D571029" w14:textId="77777777" w:rsidR="00664ABE" w:rsidRDefault="00664ABE" w:rsidP="00664ABE">
      <w:pPr>
        <w:pStyle w:val="NormalWeb"/>
      </w:pPr>
      <w:r>
        <w:t xml:space="preserve">LACTATION: “Plaintiff testified that after she was walked in on while using the captain's room she would occasionally go downstairs and ask to use another officer's room…. Drawing all inferences in Plaintiff's favor, it </w:t>
      </w:r>
      <w:r>
        <w:lastRenderedPageBreak/>
        <w:t>is reasonable to infer that if Plaintiff had access to a classroom that reasonably accommodated her lactation, she would not have sought out the officer's room and asked the officer to stand outside. In sum, the Court finds a sufficient factual dispute as to the reasonableness of the accommodations…. Cal. Code Regs. tit. 2, § 11035. ‘An employer shall provide an employee with the use of a room or other location for the employee to express milk in private.... A lactation room or location shall not be a bathroom and shall be . . . shielded from view, and free from intrusion while the employee is expressing milk.’ Cal. Lab. Code § 1031(a)-(b).”</w:t>
      </w:r>
    </w:p>
    <w:p w14:paraId="75B89A7E" w14:textId="4013EF68" w:rsidR="00411936" w:rsidRDefault="00664ABE" w:rsidP="00664ABE">
      <w:pPr>
        <w:pStyle w:val="NoSpacing"/>
        <w:rPr>
          <w:rStyle w:val="Hyperlink"/>
          <w:rFonts w:eastAsiaTheme="majorEastAsia"/>
        </w:rPr>
      </w:pPr>
      <w:hyperlink r:id="rId1394" w:history="1">
        <w:r w:rsidRPr="00AD70CC">
          <w:rPr>
            <w:rStyle w:val="Hyperlink"/>
            <w:rFonts w:eastAsiaTheme="majorEastAsia"/>
          </w:rPr>
          <w:t>https://public.fastcase.com/ZZhmr5v9wN%2FXOe5IsQ%2FqDyz5rhb%2FyBrIG8Au%2Ft3V919eqRG814zcJAmxY3jo6zPUS7MBeKfAuG868JSXjuCSoaubFv3fklmg5wPl%2B%2FhuGG8%3D?utm_medium=email&amp;_hsmi=226712652&amp;_hsenc=p2ANqtz-_V_ICNjbd2RZxHYCrc4la9bLeUstsyddFe2y3dzHQoT8LejGxKFn7KSEl6HhmqEbKKnasxkhMyKJsJTXSn_Oay7PK5pg&amp;utm_content=226712652&amp;utm_source=hs_email</w:t>
        </w:r>
      </w:hyperlink>
    </w:p>
    <w:p w14:paraId="1224AAC8" w14:textId="77777777" w:rsidR="00664ABE" w:rsidRPr="00F266A7" w:rsidRDefault="00664ABE" w:rsidP="00664ABE">
      <w:pPr>
        <w:pStyle w:val="NormalWeb"/>
        <w:rPr>
          <w:b/>
          <w:bCs/>
        </w:rPr>
      </w:pPr>
      <w:r w:rsidRPr="00F266A7">
        <w:rPr>
          <w:b/>
          <w:bCs/>
        </w:rPr>
        <w:t xml:space="preserve">Legal Lesson Learned: Inappropriate comments by a supervisor to </w:t>
      </w:r>
      <w:r>
        <w:rPr>
          <w:b/>
          <w:bCs/>
        </w:rPr>
        <w:t>an e</w:t>
      </w:r>
      <w:r w:rsidRPr="00F266A7">
        <w:rPr>
          <w:b/>
          <w:bCs/>
        </w:rPr>
        <w:t xml:space="preserve">mployee, or to the employee’s spouse, can be used as evidence in a harassment case. </w:t>
      </w:r>
      <w:r>
        <w:rPr>
          <w:b/>
          <w:bCs/>
        </w:rPr>
        <w:t xml:space="preserve"> For </w:t>
      </w:r>
      <w:proofErr w:type="gramStart"/>
      <w:r>
        <w:rPr>
          <w:b/>
          <w:bCs/>
        </w:rPr>
        <w:t>lactating</w:t>
      </w:r>
      <w:proofErr w:type="gramEnd"/>
      <w:r>
        <w:rPr>
          <w:b/>
          <w:bCs/>
        </w:rPr>
        <w:t xml:space="preserve"> employees, provide a location with a lock on the door. </w:t>
      </w:r>
    </w:p>
    <w:p w14:paraId="23B8660B" w14:textId="77777777" w:rsidR="00664ABE" w:rsidRPr="0073072D" w:rsidRDefault="00664ABE" w:rsidP="00664ABE">
      <w:pPr>
        <w:pStyle w:val="Heading1"/>
        <w:ind w:left="720"/>
        <w:rPr>
          <w:b w:val="0"/>
          <w:bCs w:val="0"/>
          <w:sz w:val="24"/>
          <w:szCs w:val="24"/>
        </w:rPr>
      </w:pPr>
      <w:r w:rsidRPr="0073072D">
        <w:rPr>
          <w:b w:val="0"/>
          <w:bCs w:val="0"/>
          <w:sz w:val="24"/>
          <w:szCs w:val="24"/>
        </w:rPr>
        <w:t xml:space="preserve">Note: See U.S. Department of Labor - Fact Sheet #73: FLSA Protections for Employees to Pump Breast Milk at Work, </w:t>
      </w:r>
      <w:hyperlink r:id="rId1395" w:history="1">
        <w:r w:rsidRPr="0073072D">
          <w:rPr>
            <w:rStyle w:val="Hyperlink"/>
            <w:b w:val="0"/>
            <w:bCs w:val="0"/>
            <w:sz w:val="24"/>
            <w:szCs w:val="24"/>
          </w:rPr>
          <w:t>https://www.dol.gov/agencies/whd/fact-sheets/73-flsa-break-time-nursing-mothers</w:t>
        </w:r>
      </w:hyperlink>
      <w:r>
        <w:rPr>
          <w:b w:val="0"/>
          <w:bCs w:val="0"/>
          <w:sz w:val="24"/>
          <w:szCs w:val="24"/>
        </w:rPr>
        <w:t xml:space="preserve">. </w:t>
      </w:r>
      <w:r w:rsidRPr="0073072D">
        <w:rPr>
          <w:b w:val="0"/>
          <w:bCs w:val="0"/>
          <w:sz w:val="24"/>
          <w:szCs w:val="24"/>
        </w:rPr>
        <w:t xml:space="preserve">As of December 29, 2022, nearly all FLSA-covered employees have the right to take needed time and to access an appropriate space to express breast milk for a nursing child for up to one year after the child’s birth. </w:t>
      </w:r>
    </w:p>
    <w:p w14:paraId="742F6DFD" w14:textId="77777777" w:rsidR="00664ABE" w:rsidRPr="0073072D" w:rsidRDefault="00664ABE" w:rsidP="00664ABE">
      <w:pPr>
        <w:pStyle w:val="NormalWeb"/>
        <w:ind w:left="720"/>
      </w:pPr>
      <w:r>
        <w:t xml:space="preserve">PUMP FOR NURSING MOTHERS ACT. </w:t>
      </w:r>
      <w:hyperlink r:id="rId1396" w:history="1">
        <w:r w:rsidRPr="00907E23">
          <w:rPr>
            <w:rStyle w:val="Hyperlink"/>
          </w:rPr>
          <w:t>https://www.dol.gov/sites/dolgov/files/WHD/flsa/PUMP-act_hr2617.pdf</w:t>
        </w:r>
      </w:hyperlink>
      <w:r>
        <w:t xml:space="preserve"> </w:t>
      </w:r>
      <w:r w:rsidRPr="0073072D">
        <w:t>‘(a) IN GENERAL .—An employer shall provide—‘‘(1) a reasonable break time for an employee to express</w:t>
      </w:r>
      <w:r>
        <w:t xml:space="preserve"> </w:t>
      </w:r>
      <w:r w:rsidRPr="0073072D">
        <w:t>breast milk for such employee’s nursing child for 1 year after</w:t>
      </w:r>
      <w:r>
        <w:t xml:space="preserve"> </w:t>
      </w:r>
      <w:r w:rsidRPr="0073072D">
        <w:t>the child’s birth each time such employee has need to express</w:t>
      </w:r>
      <w:r>
        <w:t xml:space="preserve"> </w:t>
      </w:r>
      <w:r w:rsidRPr="0073072D">
        <w:t>the milk; and</w:t>
      </w:r>
      <w:r>
        <w:t xml:space="preserve"> </w:t>
      </w:r>
      <w:r w:rsidRPr="0073072D">
        <w:t>‘‘(2) a place, other than a bathroom, that is shielded from</w:t>
      </w:r>
      <w:r>
        <w:t xml:space="preserve"> </w:t>
      </w:r>
      <w:r w:rsidRPr="0073072D">
        <w:t>view and free from intrusion from coworkers and the public,</w:t>
      </w:r>
      <w:r>
        <w:t xml:space="preserve"> </w:t>
      </w:r>
      <w:r w:rsidRPr="0073072D">
        <w:t>which may be used by an employee to express breast milk.</w:t>
      </w:r>
    </w:p>
    <w:p w14:paraId="7C1A25AF" w14:textId="77777777" w:rsidR="00664ABE" w:rsidRDefault="00664ABE" w:rsidP="00664ABE">
      <w:pPr>
        <w:pStyle w:val="NoSpacing"/>
        <w:rPr>
          <w:rFonts w:ascii="Arial Black" w:hAnsi="Arial Black"/>
          <w:sz w:val="24"/>
          <w:szCs w:val="24"/>
        </w:rPr>
      </w:pPr>
    </w:p>
    <w:p w14:paraId="41538E71" w14:textId="6BFAD39F" w:rsidR="00BC4628" w:rsidRDefault="00BC4628" w:rsidP="00F326E5">
      <w:pPr>
        <w:pStyle w:val="NoSpacing"/>
        <w:rPr>
          <w:rFonts w:ascii="Arial Black" w:hAnsi="Arial Black"/>
          <w:sz w:val="24"/>
          <w:szCs w:val="24"/>
        </w:rPr>
      </w:pPr>
      <w:r>
        <w:rPr>
          <w:rFonts w:ascii="Arial Black" w:hAnsi="Arial Black"/>
          <w:sz w:val="24"/>
          <w:szCs w:val="24"/>
        </w:rPr>
        <w:t>7-52</w:t>
      </w:r>
    </w:p>
    <w:p w14:paraId="365DCC1E" w14:textId="77777777" w:rsidR="00BC4628" w:rsidRPr="00913BD5" w:rsidRDefault="00BC4628" w:rsidP="00BC4628">
      <w:pPr>
        <w:spacing w:before="100" w:beforeAutospacing="1" w:after="100" w:afterAutospacing="1" w:line="240" w:lineRule="auto"/>
        <w:rPr>
          <w:rFonts w:ascii="Arial Black" w:hAnsi="Arial Black"/>
          <w:sz w:val="28"/>
          <w:szCs w:val="28"/>
        </w:rPr>
      </w:pPr>
      <w:r>
        <w:rPr>
          <w:rFonts w:ascii="Arial Black" w:hAnsi="Arial Black"/>
          <w:sz w:val="28"/>
          <w:szCs w:val="28"/>
        </w:rPr>
        <w:t xml:space="preserve">NY: FF STALKING – FEMALE FF STOPPED DATING HIM – U.S. DEPT. JUSTICE SUES – RETALIATION - CONSENT DECREE </w:t>
      </w:r>
    </w:p>
    <w:p w14:paraId="476C7723" w14:textId="77777777" w:rsidR="00BC4628" w:rsidRDefault="00BC4628" w:rsidP="00BC4628">
      <w:pPr>
        <w:rPr>
          <w:rFonts w:ascii="Times New Roman" w:hAnsi="Times New Roman"/>
          <w:sz w:val="24"/>
          <w:szCs w:val="24"/>
        </w:rPr>
      </w:pPr>
      <w:r>
        <w:rPr>
          <w:rFonts w:ascii="Times New Roman" w:hAnsi="Times New Roman"/>
          <w:sz w:val="24"/>
          <w:szCs w:val="24"/>
        </w:rPr>
        <w:t xml:space="preserve">On June 21, 2023, in </w:t>
      </w:r>
      <w:r w:rsidRPr="002549D5">
        <w:rPr>
          <w:rFonts w:ascii="Times New Roman" w:hAnsi="Times New Roman"/>
          <w:sz w:val="24"/>
          <w:szCs w:val="24"/>
          <w:u w:val="single"/>
        </w:rPr>
        <w:t>United States of America v. Town / Village of Harrison, New York; Fire District Two of Harrison, New York; Harrison Volunteer No. 1 of Harrison, New York</w:t>
      </w:r>
      <w:r>
        <w:rPr>
          <w:rFonts w:ascii="Times New Roman" w:hAnsi="Times New Roman"/>
          <w:sz w:val="24"/>
          <w:szCs w:val="24"/>
        </w:rPr>
        <w:t xml:space="preserve">,  U.S. District Court Judge Cathy Seibel, U.S. District Court for Southern District of New York, published the Consent Decree agreed to by all parties, including $425,000 up front payment, new Town policy, annual training.  Volunteer firefighter </w:t>
      </w:r>
      <w:r w:rsidRPr="002549D5">
        <w:rPr>
          <w:rFonts w:ascii="Times New Roman" w:hAnsi="Times New Roman"/>
          <w:sz w:val="24"/>
          <w:szCs w:val="24"/>
        </w:rPr>
        <w:t>Angela Bommarito</w:t>
      </w:r>
      <w:r>
        <w:rPr>
          <w:rFonts w:ascii="Times New Roman" w:hAnsi="Times New Roman"/>
          <w:sz w:val="24"/>
          <w:szCs w:val="24"/>
        </w:rPr>
        <w:t xml:space="preserve">, complained to FD after ending her dating relationship with </w:t>
      </w:r>
      <w:r w:rsidRPr="002549D5">
        <w:rPr>
          <w:rFonts w:ascii="Times New Roman" w:hAnsi="Times New Roman"/>
          <w:sz w:val="24"/>
          <w:szCs w:val="24"/>
        </w:rPr>
        <w:t>Henry Mohr, a senior firefighter</w:t>
      </w:r>
      <w:r>
        <w:rPr>
          <w:rFonts w:ascii="Times New Roman" w:hAnsi="Times New Roman"/>
          <w:sz w:val="24"/>
          <w:szCs w:val="24"/>
        </w:rPr>
        <w:t xml:space="preserve">.  When FD took no action, she filed a police report.  The Police Chief not only took no </w:t>
      </w:r>
      <w:proofErr w:type="gramStart"/>
      <w:r>
        <w:rPr>
          <w:rFonts w:ascii="Times New Roman" w:hAnsi="Times New Roman"/>
          <w:sz w:val="24"/>
          <w:szCs w:val="24"/>
        </w:rPr>
        <w:t>action, but</w:t>
      </w:r>
      <w:proofErr w:type="gramEnd"/>
      <w:r>
        <w:rPr>
          <w:rFonts w:ascii="Times New Roman" w:hAnsi="Times New Roman"/>
          <w:sz w:val="24"/>
          <w:szCs w:val="24"/>
        </w:rPr>
        <w:t xml:space="preserve"> threatened to charge her with filing a false report and prepared a resignation letter which she signed.  Mr. Mohr continued to stalk her even after her resignation, and was arrested May 3, </w:t>
      </w:r>
      <w:proofErr w:type="gramStart"/>
      <w:r>
        <w:rPr>
          <w:rFonts w:ascii="Times New Roman" w:hAnsi="Times New Roman"/>
          <w:sz w:val="24"/>
          <w:szCs w:val="24"/>
        </w:rPr>
        <w:t>2016</w:t>
      </w:r>
      <w:proofErr w:type="gramEnd"/>
      <w:r>
        <w:rPr>
          <w:rFonts w:ascii="Times New Roman" w:hAnsi="Times New Roman"/>
          <w:sz w:val="24"/>
          <w:szCs w:val="24"/>
        </w:rPr>
        <w:t xml:space="preserve"> and </w:t>
      </w:r>
      <w:proofErr w:type="gramStart"/>
      <w:r>
        <w:rPr>
          <w:rFonts w:ascii="Times New Roman" w:hAnsi="Times New Roman"/>
          <w:sz w:val="24"/>
          <w:szCs w:val="24"/>
        </w:rPr>
        <w:t>in</w:t>
      </w:r>
      <w:proofErr w:type="gramEnd"/>
      <w:r>
        <w:rPr>
          <w:rFonts w:ascii="Times New Roman" w:hAnsi="Times New Roman"/>
          <w:sz w:val="24"/>
          <w:szCs w:val="24"/>
        </w:rPr>
        <w:t xml:space="preserve"> July 19, </w:t>
      </w:r>
      <w:proofErr w:type="gramStart"/>
      <w:r>
        <w:rPr>
          <w:rFonts w:ascii="Times New Roman" w:hAnsi="Times New Roman"/>
          <w:sz w:val="24"/>
          <w:szCs w:val="24"/>
        </w:rPr>
        <w:t>2016</w:t>
      </w:r>
      <w:proofErr w:type="gramEnd"/>
      <w:r>
        <w:rPr>
          <w:rFonts w:ascii="Times New Roman" w:hAnsi="Times New Roman"/>
          <w:sz w:val="24"/>
          <w:szCs w:val="24"/>
        </w:rPr>
        <w:t xml:space="preserve"> pled guilty, with protective order.  </w:t>
      </w:r>
    </w:p>
    <w:p w14:paraId="27234432" w14:textId="77777777" w:rsidR="00BC4628" w:rsidRDefault="00BC4628" w:rsidP="00BC4628">
      <w:pPr>
        <w:rPr>
          <w:rFonts w:ascii="Times New Roman" w:hAnsi="Times New Roman"/>
          <w:sz w:val="24"/>
          <w:szCs w:val="24"/>
        </w:rPr>
      </w:pPr>
      <w:r>
        <w:rPr>
          <w:rFonts w:ascii="Times New Roman" w:hAnsi="Times New Roman"/>
          <w:sz w:val="24"/>
          <w:szCs w:val="24"/>
        </w:rPr>
        <w:t>The Consent Decree details the retaliation by Police Chief:</w:t>
      </w:r>
    </w:p>
    <w:p w14:paraId="0EFBFAC6" w14:textId="77777777" w:rsidR="00BC4628" w:rsidRDefault="00BC4628" w:rsidP="00BC4628">
      <w:pPr>
        <w:ind w:left="720"/>
        <w:rPr>
          <w:rFonts w:ascii="Times New Roman" w:hAnsi="Times New Roman"/>
          <w:sz w:val="24"/>
          <w:szCs w:val="24"/>
        </w:rPr>
      </w:pPr>
      <w:r>
        <w:rPr>
          <w:rFonts w:ascii="Times New Roman" w:hAnsi="Times New Roman"/>
          <w:sz w:val="24"/>
          <w:szCs w:val="24"/>
        </w:rPr>
        <w:lastRenderedPageBreak/>
        <w:t>“</w:t>
      </w:r>
      <w:r w:rsidRPr="00FB79A6">
        <w:rPr>
          <w:rFonts w:ascii="Times New Roman" w:hAnsi="Times New Roman"/>
          <w:sz w:val="24"/>
          <w:szCs w:val="24"/>
        </w:rPr>
        <w:t xml:space="preserve">On January 22, 2016, </w:t>
      </w:r>
      <w:r>
        <w:rPr>
          <w:rFonts w:ascii="Times New Roman" w:hAnsi="Times New Roman"/>
          <w:sz w:val="24"/>
          <w:szCs w:val="24"/>
        </w:rPr>
        <w:t xml:space="preserve">[Harrison Police Chief Anthony] </w:t>
      </w:r>
      <w:r w:rsidRPr="00FB79A6">
        <w:rPr>
          <w:rFonts w:ascii="Times New Roman" w:hAnsi="Times New Roman"/>
          <w:sz w:val="24"/>
          <w:szCs w:val="24"/>
        </w:rPr>
        <w:t>Marraccini met with Bommarito. During their meeting, Marraccini suggested that he could arrest Bommarito for her presentation of what Marraccini claimed was incomplete and false information to the Police Department regarding her relationship with Mohr. Marraccini also noted Bommarito's sexual relationships with other Harrison employees. Marraccini told Bommarito that he had to report this information to the Fire Commissioners unless Bommarito resigned. Marraccini prepared a resignation letter for Bommarito, which stated that she would resign from the Fire Department. Bommarito signed the resignation letter.</w:t>
      </w:r>
      <w:r>
        <w:rPr>
          <w:rFonts w:ascii="Times New Roman" w:hAnsi="Times New Roman"/>
          <w:sz w:val="24"/>
          <w:szCs w:val="24"/>
        </w:rPr>
        <w:t xml:space="preserve">” </w:t>
      </w:r>
      <w:hyperlink r:id="rId1397" w:history="1">
        <w:r w:rsidRPr="00812663">
          <w:rPr>
            <w:rStyle w:val="Hyperlink"/>
            <w:sz w:val="24"/>
            <w:szCs w:val="24"/>
          </w:rPr>
          <w:t>https://casetext.com/case/united-states-v-townvill-of-harrison</w:t>
        </w:r>
      </w:hyperlink>
      <w:r>
        <w:rPr>
          <w:rFonts w:ascii="Times New Roman" w:hAnsi="Times New Roman"/>
          <w:sz w:val="24"/>
          <w:szCs w:val="24"/>
        </w:rPr>
        <w:t xml:space="preserve"> </w:t>
      </w:r>
    </w:p>
    <w:p w14:paraId="73925511" w14:textId="77777777" w:rsidR="00BC4628" w:rsidRPr="00133A61" w:rsidRDefault="00BC4628" w:rsidP="00BC4628">
      <w:pPr>
        <w:spacing w:before="100" w:beforeAutospacing="1" w:after="100" w:afterAutospacing="1" w:line="240" w:lineRule="auto"/>
        <w:rPr>
          <w:rFonts w:ascii="Times New Roman" w:eastAsia="Times New Roman" w:hAnsi="Times New Roman"/>
          <w:b/>
          <w:bCs/>
          <w:sz w:val="24"/>
          <w:szCs w:val="24"/>
        </w:rPr>
      </w:pPr>
      <w:r w:rsidRPr="00133A61">
        <w:rPr>
          <w:rFonts w:ascii="Times New Roman" w:hAnsi="Times New Roman"/>
          <w:b/>
          <w:bCs/>
          <w:sz w:val="24"/>
          <w:szCs w:val="24"/>
        </w:rPr>
        <w:t>Legal Lesson Learned:</w:t>
      </w:r>
      <w:r>
        <w:rPr>
          <w:rFonts w:ascii="Times New Roman" w:hAnsi="Times New Roman"/>
          <w:b/>
          <w:bCs/>
          <w:sz w:val="24"/>
          <w:szCs w:val="24"/>
        </w:rPr>
        <w:t xml:space="preserve"> Complaints </w:t>
      </w:r>
      <w:proofErr w:type="gramStart"/>
      <w:r>
        <w:rPr>
          <w:rFonts w:ascii="Times New Roman" w:hAnsi="Times New Roman"/>
          <w:b/>
          <w:bCs/>
          <w:sz w:val="24"/>
          <w:szCs w:val="24"/>
        </w:rPr>
        <w:t>of</w:t>
      </w:r>
      <w:proofErr w:type="gramEnd"/>
      <w:r>
        <w:rPr>
          <w:rFonts w:ascii="Times New Roman" w:hAnsi="Times New Roman"/>
          <w:b/>
          <w:bCs/>
          <w:sz w:val="24"/>
          <w:szCs w:val="24"/>
        </w:rPr>
        <w:t xml:space="preserve"> stalking must be promptly investigated either by FD or the Police Department. </w:t>
      </w:r>
    </w:p>
    <w:p w14:paraId="591FDC93" w14:textId="4FD6509B" w:rsidR="00BC4628" w:rsidRDefault="00BC4628" w:rsidP="00BC4628">
      <w:pPr>
        <w:pStyle w:val="NoSpacing"/>
        <w:rPr>
          <w:rFonts w:ascii="Arial Black" w:hAnsi="Arial Black"/>
          <w:sz w:val="24"/>
          <w:szCs w:val="24"/>
        </w:rPr>
      </w:pPr>
      <w:r w:rsidRPr="0003518A">
        <w:rPr>
          <w:rFonts w:ascii="Times New Roman" w:eastAsia="Times New Roman" w:hAnsi="Times New Roman"/>
          <w:sz w:val="24"/>
          <w:szCs w:val="24"/>
        </w:rPr>
        <w:t xml:space="preserve">Note: See June 8, </w:t>
      </w:r>
      <w:proofErr w:type="gramStart"/>
      <w:r w:rsidRPr="0003518A">
        <w:rPr>
          <w:rFonts w:ascii="Times New Roman" w:eastAsia="Times New Roman" w:hAnsi="Times New Roman"/>
          <w:sz w:val="24"/>
          <w:szCs w:val="24"/>
        </w:rPr>
        <w:t>2023</w:t>
      </w:r>
      <w:proofErr w:type="gramEnd"/>
      <w:r w:rsidRPr="0003518A">
        <w:rPr>
          <w:rFonts w:ascii="Times New Roman" w:eastAsia="Times New Roman" w:hAnsi="Times New Roman"/>
          <w:sz w:val="24"/>
          <w:szCs w:val="24"/>
        </w:rPr>
        <w:t xml:space="preserve"> U.S. Department of Justice Press Release: </w:t>
      </w:r>
      <w:hyperlink r:id="rId1398" w:history="1">
        <w:r w:rsidRPr="00812663">
          <w:rPr>
            <w:rStyle w:val="Hyperlink"/>
            <w:sz w:val="24"/>
            <w:szCs w:val="24"/>
          </w:rPr>
          <w:t>https://www.justice.gov/usao-sdny/pr/united-states-sues-townvillage-harrison-new-york-and-its-fire-department-discrimination</w:t>
        </w:r>
      </w:hyperlink>
    </w:p>
    <w:p w14:paraId="4EAAF0C8" w14:textId="77777777" w:rsidR="00BC4628" w:rsidRDefault="00BC4628" w:rsidP="00F326E5">
      <w:pPr>
        <w:pStyle w:val="NoSpacing"/>
        <w:rPr>
          <w:rFonts w:ascii="Arial Black" w:hAnsi="Arial Black"/>
          <w:sz w:val="24"/>
          <w:szCs w:val="24"/>
        </w:rPr>
      </w:pPr>
    </w:p>
    <w:p w14:paraId="4D8F73B9" w14:textId="3D8C6928" w:rsidR="00477016" w:rsidRDefault="00477016" w:rsidP="00F326E5">
      <w:pPr>
        <w:pStyle w:val="NoSpacing"/>
        <w:rPr>
          <w:rFonts w:ascii="Arial Black" w:hAnsi="Arial Black"/>
          <w:sz w:val="24"/>
          <w:szCs w:val="24"/>
        </w:rPr>
      </w:pPr>
      <w:r>
        <w:rPr>
          <w:rFonts w:ascii="Arial Black" w:hAnsi="Arial Black"/>
          <w:sz w:val="24"/>
          <w:szCs w:val="24"/>
        </w:rPr>
        <w:t>7-51</w:t>
      </w:r>
    </w:p>
    <w:p w14:paraId="6D9DDA1C" w14:textId="77777777" w:rsidR="00477016" w:rsidRPr="00E836C6" w:rsidRDefault="00477016" w:rsidP="00477016">
      <w:pPr>
        <w:pStyle w:val="NormalWeb"/>
        <w:rPr>
          <w:rFonts w:ascii="Arial Black" w:hAnsi="Arial Black"/>
          <w:sz w:val="28"/>
          <w:szCs w:val="28"/>
        </w:rPr>
      </w:pPr>
      <w:bookmarkStart w:id="280" w:name="_Hlk136859646"/>
      <w:r>
        <w:rPr>
          <w:rFonts w:ascii="Arial Black" w:hAnsi="Arial Black"/>
          <w:sz w:val="28"/>
          <w:szCs w:val="28"/>
        </w:rPr>
        <w:t>NY: “CALENDAR GIRL” – FDNY CALENDAR - CASE PROCEED “DISPARATE TREAMENT” AGAINST HER FEMALE CAPTAIN</w:t>
      </w:r>
    </w:p>
    <w:bookmarkEnd w:id="280"/>
    <w:p w14:paraId="5BC54A73" w14:textId="77777777" w:rsidR="00477016" w:rsidRPr="00477016" w:rsidRDefault="00477016" w:rsidP="00477016">
      <w:pPr>
        <w:pStyle w:val="NormalWeb"/>
      </w:pPr>
      <w:r w:rsidRPr="00477016">
        <w:t xml:space="preserve">On May 15, 2023, in </w:t>
      </w:r>
      <w:r w:rsidRPr="00477016">
        <w:rPr>
          <w:u w:val="single"/>
        </w:rPr>
        <w:t>Margot Loth v. City of New York</w:t>
      </w:r>
      <w:r w:rsidRPr="00477016">
        <w:t xml:space="preserve">, Judge Nicholas W. Moyne, Superior Court, New York County, denied the City’s motion to dismiss the lawsuit (unpublished decision).  In this early stage of litigation, the specific allegations support a claim of disparate treatment by female Captain against females.  The Court described allegations. </w:t>
      </w:r>
    </w:p>
    <w:p w14:paraId="13B3A3C1" w14:textId="3AC5F55F" w:rsidR="00477016" w:rsidRPr="00477016" w:rsidRDefault="00477016" w:rsidP="00477016">
      <w:pPr>
        <w:pStyle w:val="NoSpacing"/>
        <w:ind w:left="720"/>
        <w:rPr>
          <w:rFonts w:ascii="Times New Roman" w:hAnsi="Times New Roman"/>
          <w:sz w:val="24"/>
          <w:szCs w:val="24"/>
        </w:rPr>
      </w:pPr>
      <w:r w:rsidRPr="00477016">
        <w:rPr>
          <w:rFonts w:ascii="Times New Roman" w:hAnsi="Times New Roman"/>
          <w:sz w:val="24"/>
          <w:szCs w:val="24"/>
        </w:rPr>
        <w:t xml:space="preserve">“Plaintiff began working for Defendant as a FDNY Haz-Tac Emergency Medical Technician on February 14, 2011. In July 2018, Plaintiff was featured in the FDNY's 2019 Calendar of Heroes. Thereafter, on multiple occasions, Captain Donna Lynn Hannon Tiberi (‘Tiberi’) allegedly referred to Complainant as a ‘calendar girl’ to other FDNY members in a disparaging manner. In November 2018, Plaintiff agreed to participate as a witness in connection with a gender discrimination complaint filed with the FDNY's Equal Employment Opportunity (‘EEO’) office by female Paramedic Carin Rosado (‘Rosado’) against Tiberi. Both Plaintiff and Rosado claimed that they regularly observed Tiberi subjecting female employees to disparate treatment as compared to similarly situated male employees. ***At this early stage of the litigation, dismissal would be inappropriate as the plaintiff has sufficiently pled claims for gender discrimination pursuant to the SHRL {New York State Human Rights Law] and CHR [New York City Human Rights Law]. </w:t>
      </w:r>
      <w:hyperlink r:id="rId1399" w:history="1">
        <w:r w:rsidRPr="00477016">
          <w:rPr>
            <w:rStyle w:val="Hyperlink"/>
            <w:rFonts w:ascii="Times New Roman" w:eastAsiaTheme="majorEastAsia" w:hAnsi="Times New Roman"/>
            <w:sz w:val="24"/>
            <w:szCs w:val="24"/>
          </w:rPr>
          <w:t>https://public.fastcase.com/ZZhmr5v9wN%2FXOe5IsQ%2FqD5GEiR8JSLFSN2NHQUjL%2BLjuVtwCOTZwj5nD2zQQ%2BwtpHt7pljoilZmodoPEUPL5r9NdmF5u2B1LY%2FXPhwSo6GU%3D?utm_medium=email&amp;_hsmi=226712652&amp;_hsenc=p2ANqtz-8SXYDP1HnWQE4kbMGe0V_9TllXrxMri8_HVcmLnhw39Rwsl622P5fZw6IGKcYm90xDZflJsj-2gnz1pneYjju0n1QAHw&amp;utm_content=226712652&amp;utm_source=hs_email</w:t>
        </w:r>
      </w:hyperlink>
    </w:p>
    <w:p w14:paraId="3E5AE0A8" w14:textId="77777777" w:rsidR="00477016" w:rsidRDefault="00477016" w:rsidP="00477016">
      <w:pPr>
        <w:pStyle w:val="NormalWeb"/>
        <w:rPr>
          <w:b/>
          <w:bCs/>
        </w:rPr>
      </w:pPr>
      <w:r>
        <w:rPr>
          <w:b/>
          <w:bCs/>
        </w:rPr>
        <w:t xml:space="preserve">Legal Lesson Learned: Supervisor’s negative comments such as “Calendar girl” can be basis of disparate treatment litigation. </w:t>
      </w:r>
    </w:p>
    <w:p w14:paraId="1AAD3E72" w14:textId="77777777" w:rsidR="00477016" w:rsidRPr="00477016" w:rsidRDefault="00477016" w:rsidP="00F326E5">
      <w:pPr>
        <w:pStyle w:val="NoSpacing"/>
        <w:rPr>
          <w:rFonts w:ascii="Arial Black" w:hAnsi="Arial Black"/>
          <w:b/>
          <w:bCs/>
          <w:sz w:val="24"/>
          <w:szCs w:val="24"/>
        </w:rPr>
      </w:pPr>
    </w:p>
    <w:p w14:paraId="7DA9F968" w14:textId="77777777" w:rsidR="00477016" w:rsidRDefault="00477016" w:rsidP="00F326E5">
      <w:pPr>
        <w:pStyle w:val="NoSpacing"/>
        <w:rPr>
          <w:rFonts w:ascii="Arial Black" w:hAnsi="Arial Black"/>
          <w:sz w:val="24"/>
          <w:szCs w:val="24"/>
        </w:rPr>
      </w:pPr>
    </w:p>
    <w:p w14:paraId="1DA93E07" w14:textId="03415D6E" w:rsidR="00227BDE" w:rsidRDefault="00227BDE" w:rsidP="00F326E5">
      <w:pPr>
        <w:pStyle w:val="NoSpacing"/>
        <w:rPr>
          <w:rFonts w:ascii="Arial Black" w:hAnsi="Arial Black"/>
          <w:sz w:val="24"/>
          <w:szCs w:val="24"/>
        </w:rPr>
      </w:pPr>
      <w:r>
        <w:rPr>
          <w:rFonts w:ascii="Arial Black" w:hAnsi="Arial Black"/>
          <w:sz w:val="24"/>
          <w:szCs w:val="24"/>
        </w:rPr>
        <w:t>7-50</w:t>
      </w:r>
    </w:p>
    <w:p w14:paraId="27E6132D" w14:textId="77777777" w:rsidR="00227BDE" w:rsidRDefault="00227BDE" w:rsidP="00F326E5">
      <w:pPr>
        <w:pStyle w:val="NoSpacing"/>
        <w:rPr>
          <w:rFonts w:ascii="Arial Black" w:hAnsi="Arial Black"/>
          <w:sz w:val="24"/>
          <w:szCs w:val="24"/>
        </w:rPr>
      </w:pPr>
    </w:p>
    <w:p w14:paraId="26CAF472" w14:textId="77777777" w:rsidR="00227BDE" w:rsidRPr="003D49D7" w:rsidRDefault="00227BDE" w:rsidP="00227BDE">
      <w:pPr>
        <w:pStyle w:val="NoSpacing"/>
        <w:rPr>
          <w:rFonts w:ascii="Arial Black" w:hAnsi="Arial Black"/>
          <w:sz w:val="28"/>
          <w:szCs w:val="28"/>
        </w:rPr>
      </w:pPr>
      <w:r w:rsidRPr="003D49D7">
        <w:rPr>
          <w:rFonts w:ascii="Arial Black" w:hAnsi="Arial Black"/>
          <w:sz w:val="28"/>
          <w:szCs w:val="28"/>
        </w:rPr>
        <w:t xml:space="preserve">OH (4/19/2023): EMT </w:t>
      </w:r>
      <w:r>
        <w:rPr>
          <w:rFonts w:ascii="Arial Black" w:hAnsi="Arial Black"/>
          <w:sz w:val="28"/>
          <w:szCs w:val="28"/>
        </w:rPr>
        <w:t xml:space="preserve">IS </w:t>
      </w:r>
      <w:r w:rsidRPr="003D49D7">
        <w:rPr>
          <w:rFonts w:ascii="Arial Black" w:hAnsi="Arial Black"/>
          <w:sz w:val="28"/>
          <w:szCs w:val="28"/>
        </w:rPr>
        <w:t xml:space="preserve">TRANSGENDER WOMAN – FIRED FOR </w:t>
      </w:r>
      <w:r>
        <w:rPr>
          <w:rFonts w:ascii="Arial Black" w:hAnsi="Arial Black"/>
          <w:sz w:val="28"/>
          <w:szCs w:val="28"/>
        </w:rPr>
        <w:t xml:space="preserve">NEG. </w:t>
      </w:r>
      <w:r w:rsidRPr="003D49D7">
        <w:rPr>
          <w:rFonts w:ascii="Arial Black" w:hAnsi="Arial Black"/>
          <w:sz w:val="28"/>
          <w:szCs w:val="28"/>
        </w:rPr>
        <w:t>COMMENTS HOSPITAL STAFF –</w:t>
      </w:r>
      <w:r>
        <w:rPr>
          <w:rFonts w:ascii="Arial Black" w:hAnsi="Arial Black"/>
          <w:sz w:val="28"/>
          <w:szCs w:val="28"/>
        </w:rPr>
        <w:t xml:space="preserve"> CASE BE </w:t>
      </w:r>
      <w:r w:rsidRPr="003D49D7">
        <w:rPr>
          <w:rFonts w:ascii="Arial Black" w:hAnsi="Arial Black"/>
          <w:sz w:val="28"/>
          <w:szCs w:val="28"/>
        </w:rPr>
        <w:t>DISMISSED</w:t>
      </w:r>
    </w:p>
    <w:p w14:paraId="531073EF" w14:textId="77777777" w:rsidR="00227BDE" w:rsidRDefault="00227BDE" w:rsidP="00227BDE">
      <w:pPr>
        <w:pStyle w:val="NoSpacing"/>
      </w:pPr>
    </w:p>
    <w:p w14:paraId="393C6C58" w14:textId="77777777" w:rsidR="00227BDE" w:rsidRPr="003C1643" w:rsidRDefault="00227BDE" w:rsidP="00227BDE">
      <w:pPr>
        <w:pStyle w:val="NoSpacing"/>
        <w:rPr>
          <w:rFonts w:ascii="Times New Roman" w:hAnsi="Times New Roman"/>
          <w:sz w:val="24"/>
          <w:szCs w:val="24"/>
        </w:rPr>
      </w:pPr>
      <w:r w:rsidRPr="003C1643">
        <w:rPr>
          <w:rFonts w:ascii="Times New Roman" w:hAnsi="Times New Roman"/>
          <w:sz w:val="24"/>
          <w:szCs w:val="24"/>
          <w:u w:val="single"/>
        </w:rPr>
        <w:t>Rayne S. Fedder v. Ohio Medical Transportation, Inc</w:t>
      </w:r>
      <w:r w:rsidRPr="003C1643">
        <w:rPr>
          <w:rFonts w:ascii="Times New Roman" w:hAnsi="Times New Roman"/>
          <w:sz w:val="24"/>
          <w:szCs w:val="24"/>
        </w:rPr>
        <w:t xml:space="preserve">., U. S. Magistrate Judge Chelsey M. </w:t>
      </w:r>
      <w:proofErr w:type="spellStart"/>
      <w:r w:rsidRPr="003C1643">
        <w:rPr>
          <w:rFonts w:ascii="Times New Roman" w:hAnsi="Times New Roman"/>
          <w:sz w:val="24"/>
          <w:szCs w:val="24"/>
        </w:rPr>
        <w:t>Vascura</w:t>
      </w:r>
      <w:proofErr w:type="spellEnd"/>
      <w:r w:rsidRPr="003C1643">
        <w:rPr>
          <w:rFonts w:ascii="Times New Roman" w:hAnsi="Times New Roman"/>
          <w:sz w:val="24"/>
          <w:szCs w:val="24"/>
        </w:rPr>
        <w:t xml:space="preserve">, U.S. District Court for Southern District of Ohio, Eastern Division. </w:t>
      </w:r>
    </w:p>
    <w:p w14:paraId="412D34B6" w14:textId="77777777" w:rsidR="00227BDE" w:rsidRPr="003C1643" w:rsidRDefault="00227BDE" w:rsidP="00227BDE">
      <w:pPr>
        <w:pStyle w:val="NoSpacing"/>
        <w:rPr>
          <w:rFonts w:ascii="Times New Roman" w:hAnsi="Times New Roman"/>
          <w:sz w:val="24"/>
          <w:szCs w:val="24"/>
        </w:rPr>
      </w:pPr>
      <w:hyperlink r:id="rId1400" w:history="1">
        <w:r w:rsidRPr="003C1643">
          <w:rPr>
            <w:rStyle w:val="Hyperlink"/>
            <w:rFonts w:ascii="Times New Roman" w:hAnsi="Times New Roman"/>
            <w:sz w:val="24"/>
            <w:szCs w:val="24"/>
          </w:rPr>
          <w:t>https://public.fastcase.com/ZZhmr5v9wN%2FXOe5IsQ%2FqD%2Bhqb5sNCIqd5RJe%2FxM2hjFRyaJ31hb16ZTOa0HcnlDHTYd64r6bH4XUHVSC8TORCsm2%2BcMn7uR9MfnM7VfyK9g%3D?utm_medium=email&amp;_hsmi=226712652&amp;_hsenc=p2ANqtz-9j81kRsw27tcbjTzGhgoW98dbte_kRv0VGtzskzMbh4aiP0Af373qngGXkbsJh41xl15DsBfvJ97QkgeVHOPx0003AwA&amp;utm_content=226712652&amp;utm_source=hs_email</w:t>
        </w:r>
      </w:hyperlink>
      <w:r w:rsidRPr="003C1643">
        <w:rPr>
          <w:rFonts w:ascii="Times New Roman" w:hAnsi="Times New Roman"/>
          <w:sz w:val="24"/>
          <w:szCs w:val="24"/>
        </w:rPr>
        <w:t xml:space="preserve"> </w:t>
      </w:r>
    </w:p>
    <w:p w14:paraId="7E4BEF92" w14:textId="77777777" w:rsidR="00227BDE" w:rsidRPr="003C1643" w:rsidRDefault="00227BDE" w:rsidP="00227BDE">
      <w:pPr>
        <w:pStyle w:val="NoSpacing"/>
        <w:rPr>
          <w:rFonts w:ascii="Times New Roman" w:hAnsi="Times New Roman"/>
          <w:sz w:val="24"/>
          <w:szCs w:val="24"/>
        </w:rPr>
      </w:pPr>
      <w:r w:rsidRPr="003C1643">
        <w:rPr>
          <w:rFonts w:ascii="Times New Roman" w:hAnsi="Times New Roman"/>
          <w:sz w:val="24"/>
          <w:szCs w:val="24"/>
        </w:rPr>
        <w:t xml:space="preserve"> </w:t>
      </w:r>
    </w:p>
    <w:p w14:paraId="4232C2DA" w14:textId="77777777" w:rsidR="00227BDE" w:rsidRPr="00A5293B" w:rsidRDefault="00227BDE" w:rsidP="00227BDE">
      <w:pPr>
        <w:pStyle w:val="NoSpacing"/>
        <w:rPr>
          <w:b/>
          <w:bCs/>
        </w:rPr>
      </w:pPr>
      <w:r w:rsidRPr="003C1643">
        <w:rPr>
          <w:rFonts w:ascii="Times New Roman" w:hAnsi="Times New Roman"/>
          <w:b/>
          <w:bCs/>
          <w:sz w:val="24"/>
          <w:szCs w:val="24"/>
        </w:rPr>
        <w:t>Legal Lesson Learned: EMS must act professionally, not only with patients but also with hospital staff</w:t>
      </w:r>
      <w:r>
        <w:rPr>
          <w:b/>
          <w:bCs/>
        </w:rPr>
        <w:t xml:space="preserve">. </w:t>
      </w:r>
    </w:p>
    <w:p w14:paraId="0B8274E4" w14:textId="77777777" w:rsidR="00227BDE" w:rsidRDefault="00227BDE" w:rsidP="00F326E5">
      <w:pPr>
        <w:pStyle w:val="NoSpacing"/>
        <w:rPr>
          <w:rFonts w:ascii="Arial Black" w:hAnsi="Arial Black"/>
          <w:sz w:val="24"/>
          <w:szCs w:val="24"/>
        </w:rPr>
      </w:pPr>
    </w:p>
    <w:p w14:paraId="7D24C695" w14:textId="77777777" w:rsidR="00227BDE" w:rsidRDefault="00227BDE" w:rsidP="00F326E5">
      <w:pPr>
        <w:pStyle w:val="NoSpacing"/>
        <w:rPr>
          <w:rFonts w:ascii="Arial Black" w:hAnsi="Arial Black"/>
          <w:sz w:val="24"/>
          <w:szCs w:val="24"/>
        </w:rPr>
      </w:pPr>
    </w:p>
    <w:p w14:paraId="3CFF1B6C" w14:textId="00BD66FE" w:rsidR="00104A4C" w:rsidRDefault="003F788B" w:rsidP="00F326E5">
      <w:pPr>
        <w:pStyle w:val="NoSpacing"/>
        <w:rPr>
          <w:rFonts w:ascii="Arial Black" w:hAnsi="Arial Black"/>
          <w:sz w:val="24"/>
          <w:szCs w:val="24"/>
        </w:rPr>
      </w:pPr>
      <w:r>
        <w:rPr>
          <w:rFonts w:ascii="Arial Black" w:hAnsi="Arial Black"/>
          <w:sz w:val="24"/>
          <w:szCs w:val="24"/>
        </w:rPr>
        <w:t>7-49</w:t>
      </w:r>
    </w:p>
    <w:p w14:paraId="5EA3B7A5" w14:textId="49C91F1D" w:rsidR="003F788B" w:rsidRDefault="003F788B" w:rsidP="00F326E5">
      <w:pPr>
        <w:pStyle w:val="NoSpacing"/>
        <w:rPr>
          <w:rFonts w:ascii="Arial Black" w:hAnsi="Arial Black"/>
          <w:sz w:val="24"/>
          <w:szCs w:val="24"/>
        </w:rPr>
      </w:pPr>
    </w:p>
    <w:p w14:paraId="5FD56BF8" w14:textId="77777777" w:rsidR="003F788B" w:rsidRDefault="003F788B" w:rsidP="003F788B">
      <w:pPr>
        <w:pStyle w:val="NormalWeb"/>
        <w:rPr>
          <w:rFonts w:ascii="Arial Black" w:hAnsi="Arial Black"/>
          <w:b/>
          <w:bCs/>
          <w:sz w:val="28"/>
          <w:szCs w:val="28"/>
        </w:rPr>
      </w:pPr>
      <w:r>
        <w:rPr>
          <w:rFonts w:ascii="Arial Black" w:hAnsi="Arial Black"/>
          <w:b/>
          <w:bCs/>
          <w:sz w:val="28"/>
          <w:szCs w:val="28"/>
        </w:rPr>
        <w:t>PA: CRUDE COMMENTS BY MALE SENIOR EMS TO FEMALE EMT – ONE INCIDENT - NOT “HOSTILE WORKPLACE”</w:t>
      </w:r>
    </w:p>
    <w:p w14:paraId="199BFE36" w14:textId="77777777" w:rsidR="003F788B" w:rsidRDefault="003F788B" w:rsidP="003F788B">
      <w:pPr>
        <w:pStyle w:val="NormalWeb"/>
      </w:pPr>
      <w:r>
        <w:t xml:space="preserve">On March 22, 2023, in </w:t>
      </w:r>
      <w:r>
        <w:rPr>
          <w:u w:val="single"/>
        </w:rPr>
        <w:t>Tracy Szyper v. American Medical Response Mid-Atlantic, Inc., et al</w:t>
      </w:r>
      <w:r>
        <w:t>., the U.S. Court of Appeals for Third Circuit (Philadelphia), held (3 to 0; “</w:t>
      </w:r>
      <w:proofErr w:type="gramStart"/>
      <w:r>
        <w:t>Non Precedential</w:t>
      </w:r>
      <w:proofErr w:type="gramEnd"/>
      <w:r>
        <w:t xml:space="preserve">” decision) upheld the dismissal of the lawsuit by U.S. District Court judge Chad F. Kenney.  The plaintiff had only been on the job for one month, when a senior EMS person made crude remarks to her.  When the company did not fire the employee, she resigned and sued.  </w:t>
      </w:r>
    </w:p>
    <w:p w14:paraId="10740D6D" w14:textId="77777777" w:rsidR="003F788B" w:rsidRDefault="003F788B" w:rsidP="003F788B">
      <w:pPr>
        <w:pStyle w:val="NormalWeb"/>
        <w:ind w:left="720"/>
      </w:pPr>
      <w:r>
        <w:t>The 3</w:t>
      </w:r>
      <w:r>
        <w:rPr>
          <w:vertAlign w:val="superscript"/>
        </w:rPr>
        <w:t>rd</w:t>
      </w:r>
      <w:r>
        <w:t xml:space="preserve"> Circuit held: “District Court granted the Defendants' motions for summary judgment on all claims "because the record evidence, even when viewed in the light most favorable to Plaintiff, does not establish that the alleged harassment was sufficiently 'severe or pervasive' to rise to the level of a Title VII or PHRA violation. *** We agree with the District Court that Szyper did not show that Brock's conduct was sufficiently ‘severe or pervasive’ as to ‘alter the conditions of [her] employment and create an abusive working environment.’ </w:t>
      </w:r>
      <w:r>
        <w:rPr>
          <w:rStyle w:val="Emphasis"/>
        </w:rPr>
        <w:t>Meritor Sav. Bank, FSB</w:t>
      </w:r>
      <w:r>
        <w:t xml:space="preserve">, 477 U.S. at 67 (citation and quotation marks omitted). When assessing hostility or abusiveness, courts must look ‘at all the </w:t>
      </w:r>
      <w:proofErr w:type="gramStart"/>
      <w:r>
        <w:t>circumstances,’</w:t>
      </w:r>
      <w:proofErr w:type="gramEnd"/>
      <w:r>
        <w:t xml:space="preserve"> such as the ‘frequency of </w:t>
      </w:r>
      <w:proofErr w:type="gramStart"/>
      <w:r>
        <w:t>the discriminatory</w:t>
      </w:r>
      <w:proofErr w:type="gramEnd"/>
      <w:r>
        <w:t xml:space="preserve"> conduct; its severity; whether it is physically threatening or humiliating, or a mere offensive utterance; and whether it unreasonably interferes with an employee's work performance.’ </w:t>
      </w:r>
      <w:r>
        <w:rPr>
          <w:rStyle w:val="Emphasis"/>
        </w:rPr>
        <w:t>Faragher v. City of Boca Raton,</w:t>
      </w:r>
      <w:r>
        <w:t xml:space="preserve"> 524 U.S. 775, 787-88 (1998) (citation omitted). ‘[O]</w:t>
      </w:r>
      <w:proofErr w:type="spellStart"/>
      <w:r>
        <w:t>ffhand</w:t>
      </w:r>
      <w:proofErr w:type="spellEnd"/>
      <w:r>
        <w:t xml:space="preserve"> comments[ ] and isolated incidents (unless extremely serious) will not amount to discriminatory changes in the 'terms and conditions of employment.'’ </w:t>
      </w:r>
      <w:r>
        <w:rPr>
          <w:rStyle w:val="Emphasis"/>
        </w:rPr>
        <w:t>Id.</w:t>
      </w:r>
      <w:r>
        <w:t xml:space="preserve"> at 788.” </w:t>
      </w:r>
      <w:hyperlink r:id="rId1401" w:history="1">
        <w:r>
          <w:rPr>
            <w:rStyle w:val="Hyperlink"/>
          </w:rPr>
          <w:t>https://www2.ca3.uscourts.gov/opinarch/213272np.pdf</w:t>
        </w:r>
      </w:hyperlink>
      <w:r>
        <w:t xml:space="preserve"> </w:t>
      </w:r>
    </w:p>
    <w:p w14:paraId="4F33BDBA" w14:textId="77777777" w:rsidR="003F788B" w:rsidRDefault="003F788B" w:rsidP="003F788B">
      <w:pPr>
        <w:pStyle w:val="NormalWeb"/>
        <w:ind w:left="720" w:firstLine="60"/>
      </w:pPr>
      <w:r>
        <w:t>“AMR hired Szyper to work as an emergency medical technician…. About a month after Szyper started, [Mr.] Leslie Brock, a more senior employee, grabbed Szyper's wrist and made two crude and offensive sexual comments.</w:t>
      </w:r>
      <w:r>
        <w:rPr>
          <w:vertAlign w:val="superscript"/>
        </w:rPr>
        <w:t xml:space="preserve">  1 </w:t>
      </w:r>
      <w:r>
        <w:t xml:space="preserve"> </w:t>
      </w:r>
    </w:p>
    <w:p w14:paraId="0F026C14" w14:textId="77777777" w:rsidR="003F788B" w:rsidRDefault="003F788B" w:rsidP="003F788B">
      <w:pPr>
        <w:pStyle w:val="NormalWeb"/>
        <w:ind w:left="1440"/>
      </w:pPr>
      <w:r>
        <w:t xml:space="preserve">[Footnote 1] Szyper documented the incident in a report recounting that ‘Brock had told me to cover my ears. I looked at him &amp; said </w:t>
      </w:r>
      <w:proofErr w:type="gramStart"/>
      <w:r>
        <w:t>jokingly</w:t>
      </w:r>
      <w:proofErr w:type="gramEnd"/>
      <w:r>
        <w:t xml:space="preserve"> 'I'm not listening to you anyway.' He asked me again to cover my ears. I cupped my hands over my ears but could still hear what was said. Brock said to [two other employees], 'that made my dick hard.' I </w:t>
      </w:r>
      <w:proofErr w:type="spellStart"/>
      <w:r>
        <w:t>uncupped</w:t>
      </w:r>
      <w:proofErr w:type="spellEnd"/>
      <w:r>
        <w:t xml:space="preserve"> my hands and told </w:t>
      </w:r>
      <w:r>
        <w:lastRenderedPageBreak/>
        <w:t xml:space="preserve">him I heard what he said. Brock then proceeded to grab me </w:t>
      </w:r>
      <w:proofErr w:type="gramStart"/>
      <w:r>
        <w:t>by</w:t>
      </w:r>
      <w:proofErr w:type="gramEnd"/>
      <w:r>
        <w:t xml:space="preserve"> my wrist and say something along the lines of 'Help me fix my problem.' I told him to 'get the fuck off me.' I proceeded to put my cigarette out and go back inside. This incident made me feel extremely uncomfortable." </w:t>
      </w:r>
    </w:p>
    <w:p w14:paraId="6AF8F722" w14:textId="77777777" w:rsidR="003F788B" w:rsidRDefault="003F788B" w:rsidP="003F788B">
      <w:pPr>
        <w:pStyle w:val="NormalWeb"/>
        <w:ind w:left="720"/>
      </w:pPr>
      <w:r>
        <w:t xml:space="preserve">Szyper filed a complaint and was interviewed by Daniel Brown, AMR's operations manager in charge of AMR's Essington Avenue location, and </w:t>
      </w:r>
      <w:proofErr w:type="spellStart"/>
      <w:r>
        <w:t>Sonsaraye</w:t>
      </w:r>
      <w:proofErr w:type="spellEnd"/>
      <w:r>
        <w:t xml:space="preserve"> Byers, an AMR human resources generalist…. Szyper alleged no other incidents of harassment by Brock or any other AMR employees. Byers recommended Brock's termination…. Brown preferred sanctions short of firing, a conclusion shared by Edward Powers, the AMR regional director responsible for Brock's discipline…. AMR issued Brock a ‘Final Written Warning’ for inappropriate behavior, punishment just short of termination…. Szyper resigned from AMR as a result, stating she could not continue working with Brock.’”</w:t>
      </w:r>
    </w:p>
    <w:p w14:paraId="6C2DB235" w14:textId="77777777" w:rsidR="003F788B" w:rsidRDefault="003F788B" w:rsidP="003F788B">
      <w:pPr>
        <w:pStyle w:val="NormalWeb"/>
        <w:rPr>
          <w:b/>
          <w:bCs/>
        </w:rPr>
      </w:pPr>
      <w:r>
        <w:rPr>
          <w:b/>
          <w:bCs/>
        </w:rPr>
        <w:t>Legal Lesson Learned: Inappropriate comments, worthy of discipline; but hard to understand how this resulted in a lawsuit and an appeal to 3</w:t>
      </w:r>
      <w:r>
        <w:rPr>
          <w:b/>
          <w:bCs/>
          <w:vertAlign w:val="superscript"/>
        </w:rPr>
        <w:t>rd</w:t>
      </w:r>
      <w:r>
        <w:rPr>
          <w:b/>
          <w:bCs/>
        </w:rPr>
        <w:t xml:space="preserve"> Circuit. </w:t>
      </w:r>
    </w:p>
    <w:p w14:paraId="43BB8423" w14:textId="77777777" w:rsidR="003F788B" w:rsidRDefault="003F788B" w:rsidP="00F326E5">
      <w:pPr>
        <w:pStyle w:val="NoSpacing"/>
        <w:rPr>
          <w:rFonts w:ascii="Arial Black" w:hAnsi="Arial Black"/>
          <w:sz w:val="24"/>
          <w:szCs w:val="24"/>
        </w:rPr>
      </w:pPr>
    </w:p>
    <w:p w14:paraId="5725F227" w14:textId="77777777" w:rsidR="003F788B" w:rsidRDefault="003F788B" w:rsidP="00F326E5">
      <w:pPr>
        <w:pStyle w:val="NoSpacing"/>
        <w:rPr>
          <w:rFonts w:ascii="Arial Black" w:hAnsi="Arial Black"/>
          <w:sz w:val="24"/>
          <w:szCs w:val="24"/>
        </w:rPr>
      </w:pPr>
    </w:p>
    <w:p w14:paraId="364E43AD" w14:textId="77777777" w:rsidR="003F788B" w:rsidRDefault="003F788B" w:rsidP="00F326E5">
      <w:pPr>
        <w:pStyle w:val="NoSpacing"/>
        <w:rPr>
          <w:rFonts w:ascii="Arial Black" w:hAnsi="Arial Black"/>
          <w:sz w:val="24"/>
          <w:szCs w:val="24"/>
        </w:rPr>
      </w:pPr>
    </w:p>
    <w:p w14:paraId="2380AA56" w14:textId="65C79FE7" w:rsidR="00104A4C" w:rsidRDefault="00104A4C" w:rsidP="00F326E5">
      <w:pPr>
        <w:pStyle w:val="NoSpacing"/>
        <w:rPr>
          <w:rFonts w:ascii="Arial Black" w:hAnsi="Arial Black"/>
          <w:sz w:val="24"/>
          <w:szCs w:val="24"/>
        </w:rPr>
      </w:pPr>
      <w:r>
        <w:rPr>
          <w:rFonts w:ascii="Arial Black" w:hAnsi="Arial Black"/>
          <w:sz w:val="24"/>
          <w:szCs w:val="24"/>
        </w:rPr>
        <w:t>7-48</w:t>
      </w:r>
    </w:p>
    <w:p w14:paraId="2485684A" w14:textId="77777777" w:rsidR="00104A4C" w:rsidRPr="00DF5D1F" w:rsidRDefault="00104A4C" w:rsidP="00104A4C">
      <w:pPr>
        <w:pStyle w:val="Heading1"/>
        <w:rPr>
          <w:rFonts w:ascii="Arial Black" w:hAnsi="Arial Black"/>
          <w:sz w:val="28"/>
          <w:szCs w:val="28"/>
        </w:rPr>
      </w:pPr>
      <w:r>
        <w:rPr>
          <w:rFonts w:ascii="Arial Black" w:hAnsi="Arial Black"/>
          <w:sz w:val="28"/>
          <w:szCs w:val="28"/>
        </w:rPr>
        <w:t xml:space="preserve">DOL: NURSING MOTHERS – FEDERAL “PUMP ACT” – REQUIRES EMPLOYER PROVIDE PRIVATE PLACE TO PUMP </w:t>
      </w:r>
    </w:p>
    <w:p w14:paraId="2CFEA864" w14:textId="77777777" w:rsidR="00104A4C" w:rsidRPr="00DF5D1F" w:rsidRDefault="00104A4C" w:rsidP="00104A4C">
      <w:pPr>
        <w:pStyle w:val="Heading1"/>
        <w:rPr>
          <w:sz w:val="24"/>
          <w:szCs w:val="24"/>
        </w:rPr>
      </w:pPr>
      <w:r>
        <w:rPr>
          <w:b w:val="0"/>
          <w:bCs w:val="0"/>
          <w:sz w:val="24"/>
          <w:szCs w:val="24"/>
        </w:rPr>
        <w:t xml:space="preserve">The U.S. Department of Labor, Wage &amp; Hour Division, has published guidance that Fire &amp; EMS department may find helpful.  All </w:t>
      </w:r>
      <w:proofErr w:type="gramStart"/>
      <w:r>
        <w:rPr>
          <w:b w:val="0"/>
          <w:bCs w:val="0"/>
          <w:sz w:val="24"/>
          <w:szCs w:val="24"/>
        </w:rPr>
        <w:t>employers</w:t>
      </w:r>
      <w:proofErr w:type="gramEnd"/>
      <w:r>
        <w:rPr>
          <w:b w:val="0"/>
          <w:bCs w:val="0"/>
          <w:sz w:val="24"/>
          <w:szCs w:val="24"/>
        </w:rPr>
        <w:t xml:space="preserve"> covered by Fair Labor Standards Act, including Fire &amp; EMS departments, must comply with the new law.  </w:t>
      </w:r>
      <w:r w:rsidRPr="00DF5D1F">
        <w:rPr>
          <w:b w:val="0"/>
          <w:bCs w:val="0"/>
          <w:sz w:val="24"/>
          <w:szCs w:val="24"/>
        </w:rPr>
        <w:t xml:space="preserve">“Frequently Asked Questions – Break Time for Nursing Mothers.” </w:t>
      </w:r>
      <w:hyperlink r:id="rId1402" w:history="1">
        <w:r w:rsidRPr="00DF5D1F">
          <w:rPr>
            <w:rStyle w:val="Hyperlink"/>
            <w:rFonts w:eastAsiaTheme="majorEastAsia"/>
            <w:b w:val="0"/>
            <w:bCs w:val="0"/>
            <w:sz w:val="24"/>
            <w:szCs w:val="24"/>
          </w:rPr>
          <w:t>https://www.dol.gov/agencies/whd/nursing-mothers/faq</w:t>
        </w:r>
      </w:hyperlink>
      <w:r>
        <w:rPr>
          <w:sz w:val="24"/>
          <w:szCs w:val="24"/>
        </w:rPr>
        <w:t xml:space="preserve"> </w:t>
      </w:r>
    </w:p>
    <w:p w14:paraId="408EBF12" w14:textId="77777777" w:rsidR="00104A4C" w:rsidRDefault="00104A4C" w:rsidP="00104A4C">
      <w:pPr>
        <w:pStyle w:val="Heading1"/>
        <w:ind w:left="720"/>
        <w:rPr>
          <w:b w:val="0"/>
          <w:bCs w:val="0"/>
          <w:sz w:val="24"/>
          <w:szCs w:val="24"/>
        </w:rPr>
      </w:pPr>
      <w:r>
        <w:rPr>
          <w:b w:val="0"/>
          <w:bCs w:val="0"/>
          <w:sz w:val="24"/>
          <w:szCs w:val="24"/>
        </w:rPr>
        <w:t>“</w:t>
      </w:r>
      <w:r w:rsidRPr="00C83B69">
        <w:rPr>
          <w:b w:val="0"/>
          <w:bCs w:val="0"/>
          <w:sz w:val="24"/>
          <w:szCs w:val="24"/>
        </w:rPr>
        <w:t>On December 29, 2022, President Biden signed the Consolidated Appropriations Act, 2023, into law. The law includes the PUMP for Nursing Mothers Act (“PUMP Act”), which extends to more nursing employees the rights to receive break time to pump and a private place to pump at work and may impact some of the other information provided below. Under the PUMP Act, most nursing employees have the right to reasonable break time and a place, other than a bathroom, that is shielded from view to express breast milk while at work. This right is available for up to one year after the child’s birth.</w:t>
      </w:r>
    </w:p>
    <w:p w14:paraId="3F44FEF7" w14:textId="77777777" w:rsidR="00104A4C" w:rsidRDefault="00104A4C" w:rsidP="00104A4C">
      <w:pPr>
        <w:pStyle w:val="Heading1"/>
        <w:ind w:left="720"/>
        <w:rPr>
          <w:b w:val="0"/>
          <w:bCs w:val="0"/>
          <w:sz w:val="24"/>
          <w:szCs w:val="24"/>
        </w:rPr>
      </w:pPr>
      <w:r>
        <w:rPr>
          <w:b w:val="0"/>
          <w:bCs w:val="0"/>
          <w:sz w:val="24"/>
          <w:szCs w:val="24"/>
        </w:rPr>
        <w:t>***</w:t>
      </w:r>
    </w:p>
    <w:p w14:paraId="54F61302" w14:textId="77777777" w:rsidR="00104A4C" w:rsidRPr="00CA5605" w:rsidRDefault="00104A4C" w:rsidP="00104A4C">
      <w:pPr>
        <w:pStyle w:val="Heading3"/>
        <w:ind w:left="720"/>
        <w:rPr>
          <w:rFonts w:ascii="Times New Roman" w:hAnsi="Times New Roman" w:cs="Times New Roman"/>
          <w:color w:val="auto"/>
        </w:rPr>
      </w:pPr>
      <w:r w:rsidRPr="00CA5605">
        <w:rPr>
          <w:rFonts w:ascii="Times New Roman" w:hAnsi="Times New Roman" w:cs="Times New Roman"/>
          <w:color w:val="auto"/>
        </w:rPr>
        <w:t>What must an employer provide to workers who need to express breast milk in the workplace?</w:t>
      </w:r>
    </w:p>
    <w:p w14:paraId="7F44264A" w14:textId="77777777" w:rsidR="00104A4C" w:rsidRDefault="00104A4C" w:rsidP="00104A4C">
      <w:pPr>
        <w:pStyle w:val="NormalWeb"/>
        <w:ind w:left="720"/>
      </w:pPr>
      <w:r>
        <w:t>Employers are required to provide a reasonable amount of break time and a space to express milk as frequently as needed by the nursing mother, for up to one year following the birth of the employee’s child. The frequency of breaks needed to express breast milk as well as the duration of each break will likely vary. The space provided by the employer cannot be a bathroom and it must be shielded from view and free from intrusion by coworkers or the public.</w:t>
      </w:r>
    </w:p>
    <w:p w14:paraId="747DDAAB" w14:textId="77777777" w:rsidR="00104A4C" w:rsidRDefault="00104A4C" w:rsidP="00104A4C">
      <w:pPr>
        <w:pStyle w:val="NormalWeb"/>
        <w:ind w:left="720"/>
      </w:pPr>
      <w:r>
        <w:t>***</w:t>
      </w:r>
    </w:p>
    <w:p w14:paraId="1B3AC0A5" w14:textId="77777777" w:rsidR="00104A4C" w:rsidRPr="00CA5605" w:rsidRDefault="00104A4C" w:rsidP="00104A4C">
      <w:pPr>
        <w:pStyle w:val="Heading3"/>
        <w:ind w:left="720"/>
        <w:rPr>
          <w:rFonts w:ascii="Times New Roman" w:hAnsi="Times New Roman" w:cs="Times New Roman"/>
          <w:color w:val="auto"/>
        </w:rPr>
      </w:pPr>
      <w:r w:rsidRPr="00CA5605">
        <w:rPr>
          <w:rFonts w:ascii="Times New Roman" w:hAnsi="Times New Roman" w:cs="Times New Roman"/>
          <w:color w:val="auto"/>
        </w:rPr>
        <w:lastRenderedPageBreak/>
        <w:t>Do employers need to create a permanent, dedicated space for use by nursing mother employees?</w:t>
      </w:r>
    </w:p>
    <w:p w14:paraId="37FD2A6C" w14:textId="77777777" w:rsidR="00104A4C" w:rsidRDefault="00104A4C" w:rsidP="00104A4C">
      <w:pPr>
        <w:pStyle w:val="NormalWeb"/>
        <w:ind w:left="720"/>
      </w:pPr>
      <w:r>
        <w:t xml:space="preserve">No. A space temporarily created or converted into a space for expressing milk or made available when needed by the nursing mother is sufficient provided that the space is shielded from view, and free from any intrusion from co-workers and the public. The location provided must be functional as a space for expressing breast milk. If the space is not dedicated to </w:t>
      </w:r>
      <w:proofErr w:type="gramStart"/>
      <w:r>
        <w:t>the nursing</w:t>
      </w:r>
      <w:proofErr w:type="gramEnd"/>
      <w:r>
        <w:t xml:space="preserve"> mothers’ use, it must be available when needed </w:t>
      </w:r>
      <w:proofErr w:type="gramStart"/>
      <w:r>
        <w:t>in order to</w:t>
      </w:r>
      <w:proofErr w:type="gramEnd"/>
      <w:r>
        <w:t xml:space="preserve"> meet the statutory requirement. Of course, employers may choose to create permanent, dedicated space if they determine that is the best way to meet their obligations under the law.”</w:t>
      </w:r>
    </w:p>
    <w:p w14:paraId="065138B8" w14:textId="77777777" w:rsidR="00104A4C" w:rsidRPr="00CA5605" w:rsidRDefault="00104A4C" w:rsidP="00104A4C">
      <w:pPr>
        <w:pStyle w:val="NormalWeb"/>
        <w:rPr>
          <w:b/>
          <w:bCs/>
        </w:rPr>
      </w:pPr>
      <w:r w:rsidRPr="00CA5605">
        <w:rPr>
          <w:b/>
          <w:bCs/>
        </w:rPr>
        <w:t>Legal Lesson Learned:</w:t>
      </w:r>
      <w:r>
        <w:rPr>
          <w:b/>
          <w:bCs/>
        </w:rPr>
        <w:t xml:space="preserve"> Fire &amp; EMS departments must comply with this new federal law if they have nursing mothers. </w:t>
      </w:r>
    </w:p>
    <w:p w14:paraId="2691054F" w14:textId="77777777" w:rsidR="00104A4C" w:rsidRDefault="00104A4C" w:rsidP="00F326E5">
      <w:pPr>
        <w:pStyle w:val="NoSpacing"/>
        <w:rPr>
          <w:rFonts w:ascii="Arial Black" w:hAnsi="Arial Black"/>
          <w:sz w:val="24"/>
          <w:szCs w:val="24"/>
        </w:rPr>
      </w:pPr>
    </w:p>
    <w:p w14:paraId="75BD7FCD" w14:textId="77777777" w:rsidR="00104A4C" w:rsidRDefault="00104A4C" w:rsidP="00F326E5">
      <w:pPr>
        <w:pStyle w:val="NoSpacing"/>
        <w:rPr>
          <w:rFonts w:ascii="Arial Black" w:hAnsi="Arial Black"/>
          <w:sz w:val="24"/>
          <w:szCs w:val="24"/>
        </w:rPr>
      </w:pPr>
    </w:p>
    <w:p w14:paraId="0B227DBC" w14:textId="1A13695B" w:rsidR="00BA3CDE" w:rsidRDefault="00BA3CDE" w:rsidP="00F326E5">
      <w:pPr>
        <w:pStyle w:val="NoSpacing"/>
        <w:rPr>
          <w:rFonts w:ascii="Arial Black" w:hAnsi="Arial Black"/>
          <w:sz w:val="24"/>
          <w:szCs w:val="24"/>
        </w:rPr>
      </w:pPr>
      <w:r>
        <w:rPr>
          <w:rFonts w:ascii="Arial Black" w:hAnsi="Arial Black"/>
          <w:sz w:val="24"/>
          <w:szCs w:val="24"/>
        </w:rPr>
        <w:t>7-47</w:t>
      </w:r>
    </w:p>
    <w:p w14:paraId="410E1011" w14:textId="77777777" w:rsidR="00BA3CDE" w:rsidRPr="00EB0580" w:rsidRDefault="00BA3CDE" w:rsidP="00BA3CDE">
      <w:pPr>
        <w:rPr>
          <w:rFonts w:ascii="Arial Black" w:hAnsi="Arial Black"/>
          <w:sz w:val="28"/>
          <w:szCs w:val="28"/>
        </w:rPr>
      </w:pPr>
      <w:r>
        <w:rPr>
          <w:rFonts w:ascii="Arial Black" w:hAnsi="Arial Black"/>
          <w:sz w:val="28"/>
          <w:szCs w:val="28"/>
        </w:rPr>
        <w:t>NB: MEDIC 90 DAYS IN JAIL - PRECEPTOR KISSED STUDENT RIDE-ALONG 3 RUNS – WARNED HER NOT TELL - $1000 FINE</w:t>
      </w:r>
    </w:p>
    <w:p w14:paraId="538B3364" w14:textId="77777777" w:rsidR="00BA3CDE" w:rsidRDefault="00BA3CDE" w:rsidP="00BA3CDE">
      <w:pPr>
        <w:pStyle w:val="NormalWeb"/>
      </w:pPr>
      <w:r>
        <w:t xml:space="preserve">On Dec. 20, 2022, in </w:t>
      </w:r>
      <w:r w:rsidRPr="00FA60DB">
        <w:rPr>
          <w:u w:val="single"/>
        </w:rPr>
        <w:t>State of Nebraska v. Monty Betancur</w:t>
      </w:r>
      <w:r>
        <w:t xml:space="preserve">, the Court of Appeals of Nebraska, held (3 to 0; unpublished decision) affirmed the convictions by a jury of for two counts of </w:t>
      </w:r>
      <w:proofErr w:type="gramStart"/>
      <w:r>
        <w:t>third degree</w:t>
      </w:r>
      <w:proofErr w:type="gramEnd"/>
      <w:r>
        <w:t xml:space="preserve"> sexual assault, one count of </w:t>
      </w:r>
      <w:proofErr w:type="gramStart"/>
      <w:r>
        <w:t>first degree</w:t>
      </w:r>
      <w:proofErr w:type="gramEnd"/>
      <w:r>
        <w:t xml:space="preserve"> false imprisonment, and one count of tampering. On Oct. 11, 2020, </w:t>
      </w:r>
      <w:r>
        <w:rPr>
          <w:rStyle w:val="markedcontent"/>
        </w:rPr>
        <w:t xml:space="preserve">22-year-old Ashley M. _____an EMT (and volunteer FF for 3 years), enrolled in paramedic program at </w:t>
      </w:r>
      <w:r>
        <w:t xml:space="preserve">Western Nebraska Community College, did a ride-along shift from 7 am – 7 pm at Valley Ambulance.   </w:t>
      </w:r>
      <w:proofErr w:type="spellStart"/>
      <w:r>
        <w:t>Betanbcur</w:t>
      </w:r>
      <w:proofErr w:type="spellEnd"/>
      <w:r>
        <w:t xml:space="preserve"> was a preceptor for the paramedic program. The Court described the three runs where he kissed her without consent.</w:t>
      </w:r>
    </w:p>
    <w:p w14:paraId="1E3F6DA7" w14:textId="77777777" w:rsidR="00BA3CDE" w:rsidRDefault="00BA3CDE" w:rsidP="00BA3CDE">
      <w:pPr>
        <w:pStyle w:val="NormalWeb"/>
      </w:pPr>
      <w:r>
        <w:t xml:space="preserve">Run No. 1: </w:t>
      </w:r>
    </w:p>
    <w:p w14:paraId="025E6FD8" w14:textId="77777777" w:rsidR="00BA3CDE" w:rsidRDefault="00BA3CDE" w:rsidP="00BA3CDE">
      <w:pPr>
        <w:pStyle w:val="NormalWeb"/>
      </w:pPr>
      <w:r>
        <w:t xml:space="preserve">“After unloading the patient at the hospital, [EMT Taylor] Severyn reported to the ER nurses while Ashley and Betancur walked back to the ambulance bay to clean the ambulance. Ashley </w:t>
      </w:r>
      <w:proofErr w:type="gramStart"/>
      <w:r>
        <w:t>stated, ‘[</w:t>
      </w:r>
      <w:proofErr w:type="gramEnd"/>
      <w:r>
        <w:t xml:space="preserve">Betancur] pulled me to the backside of the ambulance and kind of [grabbed my arm and] pulled me into him, and then through our facemasks, kissed me on the </w:t>
      </w:r>
      <w:proofErr w:type="gramStart"/>
      <w:r>
        <w:t>lips.’”</w:t>
      </w:r>
      <w:proofErr w:type="gramEnd"/>
    </w:p>
    <w:p w14:paraId="7BF57294" w14:textId="77777777" w:rsidR="00BA3CDE" w:rsidRDefault="00BA3CDE" w:rsidP="00BA3CDE">
      <w:pPr>
        <w:pStyle w:val="NormalWeb"/>
      </w:pPr>
      <w:r>
        <w:t>Run No. 2:</w:t>
      </w:r>
    </w:p>
    <w:p w14:paraId="1239920E" w14:textId="77777777" w:rsidR="00BA3CDE" w:rsidRDefault="00BA3CDE" w:rsidP="00BA3CDE">
      <w:pPr>
        <w:pStyle w:val="NormalWeb"/>
      </w:pPr>
      <w:r>
        <w:t>“According to Ashley, when the signal for the second call went off later that morning, the crew was working on stretcher lifting techniques in the ambulance bay at the station. Ashley testified that Severyn went inside the living quarters ‘and at that time [Betancur] came back over to me and [grabbed my arm and] pulled me back in towards him and kissed me for the second time’ while both were wearing masks.”</w:t>
      </w:r>
    </w:p>
    <w:p w14:paraId="45A4D80F" w14:textId="77777777" w:rsidR="00BA3CDE" w:rsidRDefault="00BA3CDE" w:rsidP="00BA3CDE">
      <w:pPr>
        <w:pStyle w:val="NormalWeb"/>
      </w:pPr>
      <w:r>
        <w:t>Run No. 3:</w:t>
      </w:r>
    </w:p>
    <w:p w14:paraId="6001A165" w14:textId="77777777" w:rsidR="00BA3CDE" w:rsidRDefault="00BA3CDE" w:rsidP="00BA3CDE">
      <w:pPr>
        <w:pStyle w:val="NormalWeb"/>
      </w:pPr>
      <w:r>
        <w:t>“Ashley said she was inserting an IV into the patient's wrist and had the patient's wrist ‘on my right leg and was kind of stabilizing it to insert the IV,’ and ‘[Betancur] had one of his hands helping me stabilize it and the other hand was squeezing the inside of my left thigh the whole time.’</w:t>
      </w:r>
    </w:p>
    <w:p w14:paraId="399999C0" w14:textId="77777777" w:rsidR="00BA3CDE" w:rsidRDefault="00BA3CDE" w:rsidP="00BA3CDE">
      <w:pPr>
        <w:pStyle w:val="NormalWeb"/>
      </w:pPr>
      <w:r>
        <w:t>***</w:t>
      </w:r>
    </w:p>
    <w:p w14:paraId="54AC3078" w14:textId="77777777" w:rsidR="00BA3CDE" w:rsidRDefault="00BA3CDE" w:rsidP="00BA3CDE">
      <w:pPr>
        <w:pStyle w:val="NormalWeb"/>
      </w:pPr>
      <w:r>
        <w:lastRenderedPageBreak/>
        <w:t xml:space="preserve">Ashley stated that when the crew arrived back </w:t>
      </w:r>
      <w:proofErr w:type="gramStart"/>
      <w:r>
        <w:t>to</w:t>
      </w:r>
      <w:proofErr w:type="gramEnd"/>
      <w:r>
        <w:t xml:space="preserve"> the Valley Ambulance station, they got out of the ambulance. She </w:t>
      </w:r>
      <w:proofErr w:type="gramStart"/>
      <w:r>
        <w:t>said, ‘</w:t>
      </w:r>
      <w:proofErr w:type="gramEnd"/>
      <w:r>
        <w:t xml:space="preserve">as I got out of the side door, [Betancur] got </w:t>
      </w:r>
      <w:proofErr w:type="gramStart"/>
      <w:r>
        <w:t>of</w:t>
      </w:r>
      <w:proofErr w:type="gramEnd"/>
      <w:r>
        <w:t xml:space="preserve"> [sic] the passenger door and he, again, pulled me to him and kissed me for the third time’; both were still wearing masks. Neither one of them said anything, but Ashley pulled her body back away from him.”</w:t>
      </w:r>
    </w:p>
    <w:p w14:paraId="6CCC3DA3" w14:textId="77777777" w:rsidR="00BA3CDE" w:rsidRDefault="00BA3CDE" w:rsidP="00BA3CDE">
      <w:pPr>
        <w:pStyle w:val="NormalWeb"/>
      </w:pPr>
      <w:r>
        <w:t>End Of Shift Threat / Facebook Messenger</w:t>
      </w:r>
    </w:p>
    <w:p w14:paraId="72659271" w14:textId="77777777" w:rsidR="00BA3CDE" w:rsidRDefault="00BA3CDE" w:rsidP="00BA3CDE">
      <w:pPr>
        <w:pStyle w:val="NormalWeb"/>
      </w:pPr>
      <w:r>
        <w:t xml:space="preserve">“[At end of her shift at 7 pm] as Ashley was getting ready to leave Betancur said, ’If you say anything, I will make your life hell.’” </w:t>
      </w:r>
    </w:p>
    <w:p w14:paraId="3DAFFF8C" w14:textId="77777777" w:rsidR="00BA3CDE" w:rsidRDefault="00BA3CDE" w:rsidP="00BA3CDE">
      <w:pPr>
        <w:pStyle w:val="NormalWeb"/>
      </w:pPr>
      <w:r>
        <w:t>***</w:t>
      </w:r>
    </w:p>
    <w:p w14:paraId="23EB7980" w14:textId="77777777" w:rsidR="00BA3CDE" w:rsidRDefault="00BA3CDE" w:rsidP="00BA3CDE">
      <w:pPr>
        <w:pStyle w:val="NormalWeb"/>
        <w:rPr>
          <w:rStyle w:val="markedcontent"/>
        </w:rPr>
      </w:pPr>
      <w:r w:rsidRPr="009973A1">
        <w:rPr>
          <w:rStyle w:val="markedcontent"/>
        </w:rPr>
        <w:t>At 9:42 p.m. on October 11, 2020, Betancur reached out to Ashley via Facebook</w:t>
      </w:r>
      <w:r w:rsidRPr="009973A1">
        <w:br/>
      </w:r>
      <w:r w:rsidRPr="009973A1">
        <w:rPr>
          <w:rStyle w:val="markedcontent"/>
        </w:rPr>
        <w:t xml:space="preserve">Messenger. Ashley said that she did not open the message </w:t>
      </w:r>
      <w:r>
        <w:rPr>
          <w:rStyle w:val="markedcontent"/>
        </w:rPr>
        <w:t>‘</w:t>
      </w:r>
      <w:r w:rsidRPr="009973A1">
        <w:rPr>
          <w:rStyle w:val="markedcontent"/>
        </w:rPr>
        <w:t>because I didn’t want him to see that I</w:t>
      </w:r>
      <w:r>
        <w:rPr>
          <w:rStyle w:val="markedcontent"/>
        </w:rPr>
        <w:t xml:space="preserve"> </w:t>
      </w:r>
      <w:r w:rsidRPr="009973A1">
        <w:rPr>
          <w:rStyle w:val="markedcontent"/>
        </w:rPr>
        <w:t>had read the message, but I had seen the message</w:t>
      </w:r>
      <w:r>
        <w:rPr>
          <w:rStyle w:val="markedcontent"/>
        </w:rPr>
        <w:t>’</w:t>
      </w:r>
      <w:r w:rsidRPr="009973A1">
        <w:rPr>
          <w:rStyle w:val="markedcontent"/>
        </w:rPr>
        <w:t xml:space="preserve"> on the screen saver. The message, which was</w:t>
      </w:r>
      <w:r>
        <w:rPr>
          <w:rStyle w:val="markedcontent"/>
        </w:rPr>
        <w:t xml:space="preserve"> </w:t>
      </w:r>
      <w:r w:rsidRPr="009973A1">
        <w:rPr>
          <w:rStyle w:val="markedcontent"/>
        </w:rPr>
        <w:t xml:space="preserve">received into evidence, stated, </w:t>
      </w:r>
      <w:r>
        <w:rPr>
          <w:rStyle w:val="markedcontent"/>
        </w:rPr>
        <w:t>‘</w:t>
      </w:r>
      <w:r w:rsidRPr="009973A1">
        <w:rPr>
          <w:rStyle w:val="markedcontent"/>
        </w:rPr>
        <w:t>I want you to be completely honest</w:t>
      </w:r>
      <w:proofErr w:type="gramStart"/>
      <w:r w:rsidRPr="009973A1">
        <w:rPr>
          <w:rStyle w:val="markedcontent"/>
        </w:rPr>
        <w:t>.</w:t>
      </w:r>
      <w:proofErr w:type="gramEnd"/>
      <w:r w:rsidRPr="009973A1">
        <w:rPr>
          <w:rStyle w:val="markedcontent"/>
        </w:rPr>
        <w:t xml:space="preserve"> Were you </w:t>
      </w:r>
      <w:proofErr w:type="gramStart"/>
      <w:r w:rsidRPr="009973A1">
        <w:rPr>
          <w:rStyle w:val="markedcontent"/>
        </w:rPr>
        <w:t xml:space="preserve">at </w:t>
      </w:r>
      <w:proofErr w:type="spellStart"/>
      <w:r w:rsidRPr="009973A1">
        <w:rPr>
          <w:rStyle w:val="markedcontent"/>
        </w:rPr>
        <w:t>anytime</w:t>
      </w:r>
      <w:proofErr w:type="spellEnd"/>
      <w:r w:rsidRPr="009973A1">
        <w:rPr>
          <w:rStyle w:val="markedcontent"/>
        </w:rPr>
        <w:t xml:space="preserve"> today</w:t>
      </w:r>
      <w:r>
        <w:rPr>
          <w:rStyle w:val="markedcontent"/>
        </w:rPr>
        <w:t xml:space="preserve"> </w:t>
      </w:r>
      <w:r w:rsidRPr="009973A1">
        <w:rPr>
          <w:rStyle w:val="markedcontent"/>
        </w:rPr>
        <w:t>uncomfortable</w:t>
      </w:r>
      <w:proofErr w:type="gramEnd"/>
      <w:r w:rsidRPr="009973A1">
        <w:rPr>
          <w:rStyle w:val="markedcontent"/>
        </w:rPr>
        <w:t>??</w:t>
      </w:r>
      <w:r>
        <w:rPr>
          <w:rStyle w:val="markedcontent"/>
        </w:rPr>
        <w:t>’</w:t>
      </w:r>
      <w:r w:rsidRPr="009973A1">
        <w:rPr>
          <w:rStyle w:val="markedcontent"/>
        </w:rPr>
        <w:t xml:space="preserve"> Ashley did not respond to Betancur’s message.</w:t>
      </w:r>
      <w:r>
        <w:rPr>
          <w:rStyle w:val="markedcontent"/>
        </w:rPr>
        <w:t>”</w:t>
      </w:r>
    </w:p>
    <w:p w14:paraId="1BA0DC99" w14:textId="77777777" w:rsidR="00BA3CDE" w:rsidRDefault="00BA3CDE" w:rsidP="00BA3CDE">
      <w:pPr>
        <w:pStyle w:val="NormalWeb"/>
        <w:ind w:left="720"/>
      </w:pPr>
      <w:r>
        <w:rPr>
          <w:rStyle w:val="markedcontent"/>
        </w:rPr>
        <w:t>“</w:t>
      </w:r>
      <w:r w:rsidRPr="009973A1">
        <w:rPr>
          <w:rStyle w:val="markedcontent"/>
        </w:rPr>
        <w:t xml:space="preserve">We disagree with Betancur’s contention that </w:t>
      </w:r>
      <w:r>
        <w:rPr>
          <w:rStyle w:val="markedcontent"/>
        </w:rPr>
        <w:t>‘</w:t>
      </w:r>
      <w:r w:rsidRPr="009973A1">
        <w:rPr>
          <w:rStyle w:val="markedcontent"/>
        </w:rPr>
        <w:t>an unwanted kiss on the victim’s lips by an</w:t>
      </w:r>
      <w:r>
        <w:rPr>
          <w:rStyle w:val="markedcontent"/>
        </w:rPr>
        <w:t xml:space="preserve"> </w:t>
      </w:r>
      <w:r w:rsidRPr="009973A1">
        <w:rPr>
          <w:rStyle w:val="markedcontent"/>
        </w:rPr>
        <w:t>actor using his own lips</w:t>
      </w:r>
      <w:r>
        <w:rPr>
          <w:rStyle w:val="markedcontent"/>
        </w:rPr>
        <w:t>’</w:t>
      </w:r>
      <w:r w:rsidRPr="009973A1">
        <w:rPr>
          <w:rStyle w:val="markedcontent"/>
        </w:rPr>
        <w:t xml:space="preserve"> does not satisfy the requirements for third degree sexua</w:t>
      </w:r>
      <w:r>
        <w:rPr>
          <w:rStyle w:val="markedcontent"/>
        </w:rPr>
        <w:t>l</w:t>
      </w:r>
      <w:r w:rsidRPr="009973A1">
        <w:rPr>
          <w:rStyle w:val="markedcontent"/>
        </w:rPr>
        <w:t xml:space="preserve"> assault in</w:t>
      </w:r>
      <w:r>
        <w:rPr>
          <w:rStyle w:val="markedcontent"/>
        </w:rPr>
        <w:t xml:space="preserve"> </w:t>
      </w:r>
      <w:r w:rsidRPr="009973A1">
        <w:rPr>
          <w:rStyle w:val="markedcontent"/>
        </w:rPr>
        <w:t xml:space="preserve">§ 28-320(1) and (3) because it does not meet the definition of </w:t>
      </w:r>
      <w:r>
        <w:rPr>
          <w:rStyle w:val="markedcontent"/>
        </w:rPr>
        <w:t>‘</w:t>
      </w:r>
      <w:r w:rsidRPr="009973A1">
        <w:rPr>
          <w:rStyle w:val="markedcontent"/>
        </w:rPr>
        <w:t>sexual contact</w:t>
      </w:r>
      <w:r>
        <w:rPr>
          <w:rStyle w:val="markedcontent"/>
        </w:rPr>
        <w:t>’</w:t>
      </w:r>
      <w:r w:rsidRPr="009973A1">
        <w:rPr>
          <w:rStyle w:val="markedcontent"/>
        </w:rPr>
        <w:t xml:space="preserve"> set forth in</w:t>
      </w:r>
      <w:r>
        <w:rPr>
          <w:rStyle w:val="markedcontent"/>
        </w:rPr>
        <w:t xml:space="preserve"> </w:t>
      </w:r>
      <w:r w:rsidRPr="009973A1">
        <w:rPr>
          <w:rStyle w:val="markedcontent"/>
        </w:rPr>
        <w:t xml:space="preserve">§ 28-318(5). As noted by the State, </w:t>
      </w:r>
      <w:r>
        <w:rPr>
          <w:rStyle w:val="markedcontent"/>
        </w:rPr>
        <w:t>‘</w:t>
      </w:r>
      <w:r w:rsidRPr="009973A1">
        <w:rPr>
          <w:rStyle w:val="markedcontent"/>
        </w:rPr>
        <w:t>[§ 28-318(5)] defines sexual contact as the touching of the</w:t>
      </w:r>
      <w:r>
        <w:rPr>
          <w:rStyle w:val="markedcontent"/>
        </w:rPr>
        <w:t xml:space="preserve"> </w:t>
      </w:r>
      <w:r w:rsidRPr="009973A1">
        <w:rPr>
          <w:rStyle w:val="markedcontent"/>
        </w:rPr>
        <w:t xml:space="preserve">victim’s sexual or intimate </w:t>
      </w:r>
      <w:proofErr w:type="spellStart"/>
      <w:r w:rsidRPr="009973A1">
        <w:rPr>
          <w:rStyle w:val="markedcontent"/>
        </w:rPr>
        <w:t>parts”</w:t>
      </w:r>
      <w:r>
        <w:rPr>
          <w:rStyle w:val="markedcontent"/>
        </w:rPr>
        <w:t>’</w:t>
      </w:r>
      <w:r w:rsidRPr="009973A1">
        <w:rPr>
          <w:rStyle w:val="markedcontent"/>
        </w:rPr>
        <w:t>and</w:t>
      </w:r>
      <w:proofErr w:type="spellEnd"/>
      <w:r w:rsidRPr="009973A1">
        <w:rPr>
          <w:rStyle w:val="markedcontent"/>
        </w:rPr>
        <w:t xml:space="preserve"> </w:t>
      </w:r>
      <w:r>
        <w:rPr>
          <w:rStyle w:val="markedcontent"/>
        </w:rPr>
        <w:t>‘</w:t>
      </w:r>
      <w:r w:rsidRPr="009973A1">
        <w:rPr>
          <w:rStyle w:val="markedcontent"/>
        </w:rPr>
        <w:t>in order to give effect to all words of the statute, ‘sexual’</w:t>
      </w:r>
      <w:r>
        <w:rPr>
          <w:rStyle w:val="markedcontent"/>
        </w:rPr>
        <w:t xml:space="preserve"> </w:t>
      </w:r>
      <w:r w:rsidRPr="009973A1">
        <w:rPr>
          <w:rStyle w:val="markedcontent"/>
        </w:rPr>
        <w:t>parts must be something different from ‘intimate’ parts.</w:t>
      </w:r>
      <w:r>
        <w:rPr>
          <w:rStyle w:val="markedcontent"/>
        </w:rPr>
        <w:t>”</w:t>
      </w:r>
      <w:hyperlink r:id="rId1403" w:history="1">
        <w:r w:rsidRPr="007E32CA">
          <w:rPr>
            <w:rStyle w:val="Hyperlink"/>
            <w:rFonts w:eastAsiaTheme="majorEastAsia"/>
          </w:rPr>
          <w:t>https://supremecourt.nebraska.gov/sites/default/files/a21-954m.pdf</w:t>
        </w:r>
      </w:hyperlink>
      <w:r>
        <w:t xml:space="preserve"> </w:t>
      </w:r>
    </w:p>
    <w:p w14:paraId="053B9CCC" w14:textId="77777777" w:rsidR="00BA3CDE" w:rsidRPr="005376D6" w:rsidRDefault="00BA3CDE" w:rsidP="00BA3CDE">
      <w:pPr>
        <w:pStyle w:val="NormalWeb"/>
        <w:rPr>
          <w:b/>
          <w:bCs/>
        </w:rPr>
      </w:pPr>
      <w:r w:rsidRPr="005376D6">
        <w:rPr>
          <w:b/>
          <w:bCs/>
        </w:rPr>
        <w:t xml:space="preserve">Legal Lesson Learned:  The </w:t>
      </w:r>
      <w:r>
        <w:rPr>
          <w:b/>
          <w:bCs/>
        </w:rPr>
        <w:t xml:space="preserve">EMT </w:t>
      </w:r>
      <w:r w:rsidRPr="005376D6">
        <w:rPr>
          <w:b/>
          <w:bCs/>
        </w:rPr>
        <w:t>victim promptly reported the assaults to the Fire Chief, and to the Scottsbluff Police Department</w:t>
      </w:r>
    </w:p>
    <w:p w14:paraId="0C129C97" w14:textId="77777777" w:rsidR="00BA3CDE" w:rsidRDefault="00BA3CDE" w:rsidP="00F326E5">
      <w:pPr>
        <w:pStyle w:val="NoSpacing"/>
        <w:rPr>
          <w:rFonts w:ascii="Arial Black" w:hAnsi="Arial Black"/>
          <w:sz w:val="24"/>
          <w:szCs w:val="24"/>
        </w:rPr>
      </w:pPr>
    </w:p>
    <w:p w14:paraId="023E1CD0" w14:textId="77777777" w:rsidR="00BA3CDE" w:rsidRDefault="00BA3CDE" w:rsidP="00F326E5">
      <w:pPr>
        <w:pStyle w:val="NoSpacing"/>
        <w:rPr>
          <w:rFonts w:ascii="Arial Black" w:hAnsi="Arial Black"/>
          <w:sz w:val="24"/>
          <w:szCs w:val="24"/>
        </w:rPr>
      </w:pPr>
    </w:p>
    <w:p w14:paraId="7CB6A541" w14:textId="77777777" w:rsidR="00BA3CDE" w:rsidRDefault="00BA3CDE" w:rsidP="00F326E5">
      <w:pPr>
        <w:pStyle w:val="NoSpacing"/>
        <w:rPr>
          <w:rFonts w:ascii="Arial Black" w:hAnsi="Arial Black"/>
          <w:sz w:val="24"/>
          <w:szCs w:val="24"/>
        </w:rPr>
      </w:pPr>
    </w:p>
    <w:p w14:paraId="4E1B0688" w14:textId="23E3FEE7" w:rsidR="00727951" w:rsidRDefault="00E8117B" w:rsidP="00F326E5">
      <w:pPr>
        <w:pStyle w:val="NoSpacing"/>
        <w:rPr>
          <w:rFonts w:ascii="Arial Black" w:hAnsi="Arial Black"/>
          <w:sz w:val="24"/>
          <w:szCs w:val="24"/>
        </w:rPr>
      </w:pPr>
      <w:r>
        <w:rPr>
          <w:rFonts w:ascii="Arial Black" w:hAnsi="Arial Black"/>
          <w:sz w:val="24"/>
          <w:szCs w:val="24"/>
        </w:rPr>
        <w:t>7-46</w:t>
      </w:r>
    </w:p>
    <w:p w14:paraId="65415E1E" w14:textId="77777777" w:rsidR="00AC5FED" w:rsidRPr="00921E8A" w:rsidRDefault="00AC5FED" w:rsidP="00AC5FED">
      <w:pPr>
        <w:pStyle w:val="NormalWeb"/>
        <w:rPr>
          <w:rFonts w:ascii="Arial Black" w:hAnsi="Arial Black"/>
          <w:sz w:val="28"/>
          <w:szCs w:val="28"/>
        </w:rPr>
      </w:pPr>
      <w:r>
        <w:rPr>
          <w:rFonts w:ascii="Arial Black" w:hAnsi="Arial Black"/>
          <w:sz w:val="28"/>
          <w:szCs w:val="28"/>
        </w:rPr>
        <w:t xml:space="preserve">NY: EMT WITH ANXIETY – CLAIMED 98% MALES HOSTILE – RETALIATION PROCEED - FIRED 1 MO. SHE FILED EEOC </w:t>
      </w:r>
    </w:p>
    <w:p w14:paraId="17C48D20" w14:textId="77777777" w:rsidR="00AC5FED" w:rsidRDefault="00AC5FED" w:rsidP="00AC5FED">
      <w:pPr>
        <w:pStyle w:val="NormalWeb"/>
      </w:pPr>
      <w:r>
        <w:t xml:space="preserve">On Sept. 30, 2022, in </w:t>
      </w:r>
      <w:r w:rsidRPr="00921E8A">
        <w:rPr>
          <w:u w:val="single"/>
        </w:rPr>
        <w:t xml:space="preserve">Malva M. Freckleton v. </w:t>
      </w:r>
      <w:proofErr w:type="spellStart"/>
      <w:r w:rsidRPr="00921E8A">
        <w:rPr>
          <w:u w:val="single"/>
        </w:rPr>
        <w:t>Ambulnz</w:t>
      </w:r>
      <w:proofErr w:type="spellEnd"/>
      <w:r w:rsidRPr="00921E8A">
        <w:rPr>
          <w:u w:val="single"/>
        </w:rPr>
        <w:t xml:space="preserve"> LLC</w:t>
      </w:r>
      <w:r>
        <w:t xml:space="preserve">, U.S. District Court Judge Ann M. Donnelly, U.S. District Court for Eastern District of New York, granted defense motion to dismiss most of the EMT’s charges (race, age, disability)), but recognizing the plaintiff is proceeding pro se (no attorney), held that her “retaliation” claim may proceed to pre-trial discovery since she was fired within one month of her filing a complaint of discrimination with New York State Division of Human Rights and the federal EEOC.  </w:t>
      </w:r>
    </w:p>
    <w:p w14:paraId="6A66D180" w14:textId="77777777" w:rsidR="00AC5FED" w:rsidRDefault="00AC5FED" w:rsidP="00AC5FED">
      <w:pPr>
        <w:pStyle w:val="NormalWeb"/>
        <w:ind w:left="720"/>
      </w:pPr>
      <w:r>
        <w:t xml:space="preserve">“The plaintiff alleges that “98% [of] male employees harassed [her]…’and ‘there is a conduct of hostility towards a gender which demonstrate the plaintiff is a female’ and ‘male co-workers treated [her] differently by bullying, intimidating, and sabotaging’ her …  and the defendant's adverse actions against are ‘because of sex (male coworkers)….’ These allegations are conclusory and insufficient, even giving the plaintiff the special solicitude that is due </w:t>
      </w:r>
      <w:r>
        <w:rPr>
          <w:rStyle w:val="Emphasis"/>
          <w:rFonts w:eastAsiaTheme="majorEastAsia"/>
        </w:rPr>
        <w:t>pro se</w:t>
      </w:r>
      <w:r>
        <w:t xml:space="preserve"> litigants.</w:t>
      </w:r>
    </w:p>
    <w:p w14:paraId="05800348" w14:textId="77777777" w:rsidR="00AC5FED" w:rsidRDefault="00AC5FED" w:rsidP="00AC5FED">
      <w:pPr>
        <w:pStyle w:val="NormalWeb"/>
        <w:ind w:left="720"/>
      </w:pPr>
      <w:r>
        <w:t>***</w:t>
      </w:r>
    </w:p>
    <w:p w14:paraId="1C8B647A" w14:textId="1B0A843A" w:rsidR="00AC5FED" w:rsidRDefault="00AC5FED" w:rsidP="00AC5FED">
      <w:pPr>
        <w:pStyle w:val="NoSpacing"/>
        <w:rPr>
          <w:rFonts w:ascii="Arial Black" w:hAnsi="Arial Black"/>
          <w:sz w:val="24"/>
          <w:szCs w:val="24"/>
        </w:rPr>
      </w:pPr>
      <w:r>
        <w:lastRenderedPageBreak/>
        <w:t xml:space="preserve">The plaintiff filed her NYSDHR complaint on August 16, 2019, and was fired in September 2019. Recognizing that it is appropriate to take a ‘generous view of retaliatory acts at the motion to dismiss stage,’ </w:t>
      </w:r>
      <w:r>
        <w:rPr>
          <w:rStyle w:val="Emphasis"/>
          <w:rFonts w:eastAsiaTheme="majorEastAsia"/>
        </w:rPr>
        <w:t>Ingrassia</w:t>
      </w:r>
      <w:r>
        <w:t xml:space="preserve">, 130 F.Supp.3d at 723-24 (citing </w:t>
      </w:r>
      <w:r>
        <w:rPr>
          <w:rStyle w:val="Emphasis"/>
          <w:rFonts w:eastAsiaTheme="majorEastAsia"/>
        </w:rPr>
        <w:t>Kelly v. Howard I. Shapiro &amp; Assocs. Consulting Engineers, P.C.</w:t>
      </w:r>
      <w:r>
        <w:t xml:space="preserve">, 716 F.3d 10, 17 (2d Cir. 2013)), and drawing all reasonable inferences in the plaintiff's favor, I conclude that she has adequately alleged causation based on temporal proximity…. Accordingly, the plaintiff sufficiently alleges a retaliation claim based on the filing of her NYSDHR complaint and her subsequent termination.”  </w:t>
      </w:r>
      <w:hyperlink r:id="rId1404" w:history="1">
        <w:r w:rsidRPr="00E7591A">
          <w:rPr>
            <w:rStyle w:val="Hyperlink"/>
          </w:rPr>
          <w:t>https://public.fastcase.com/J%2FJP6pdidelsXxEE4k%2BLMhHGbq56VzoTk1JFKDMbyAsW64naZ9EKqTmGK9O1R3Wr9GeihMDs1Zh2VHQfJhn6l7jf8Y6MJiDUL4WQvVsRKlE%3D?utm_medium=email&amp;_hsmi=226712652&amp;_hsenc=p2ANqtz-8S41Im3p2bNEgWstI4h7IIgl63Egh37Z-OzcnjQev0mJue-BzqLfMZTGtGKB_KMNSyA32EmSFNwIWzkboUxTkEerO4Tg&amp;utm_content=226712652&amp;utm_source=hs_email</w:t>
        </w:r>
      </w:hyperlink>
    </w:p>
    <w:p w14:paraId="7C925B2D" w14:textId="15C0BFC4" w:rsidR="00AC5FED" w:rsidRDefault="00AC5FED" w:rsidP="00F326E5">
      <w:pPr>
        <w:pStyle w:val="NoSpacing"/>
        <w:rPr>
          <w:rFonts w:ascii="Arial Black" w:hAnsi="Arial Black"/>
          <w:sz w:val="24"/>
          <w:szCs w:val="24"/>
        </w:rPr>
      </w:pPr>
    </w:p>
    <w:p w14:paraId="196FCA53" w14:textId="77777777" w:rsidR="00AC5FED" w:rsidRPr="003E1C8A" w:rsidRDefault="00AC5FED" w:rsidP="00AC5FED">
      <w:pPr>
        <w:pStyle w:val="NormalWeb"/>
        <w:rPr>
          <w:b/>
          <w:bCs/>
        </w:rPr>
      </w:pPr>
      <w:r w:rsidRPr="003E1C8A">
        <w:rPr>
          <w:b/>
          <w:bCs/>
        </w:rPr>
        <w:t>Legal Lesson Learned:</w:t>
      </w:r>
      <w:r>
        <w:rPr>
          <w:b/>
          <w:bCs/>
        </w:rPr>
        <w:t xml:space="preserve"> Pro se [no attorney] plaintiff was given opportunity to try to prove retaliation in pre-trial discovery. </w:t>
      </w:r>
    </w:p>
    <w:p w14:paraId="1E8983C5" w14:textId="1C90CD92" w:rsidR="00AC5FED" w:rsidRDefault="00AC5FED" w:rsidP="00F326E5">
      <w:pPr>
        <w:pStyle w:val="NoSpacing"/>
        <w:rPr>
          <w:rFonts w:ascii="Arial Black" w:hAnsi="Arial Black"/>
          <w:sz w:val="24"/>
          <w:szCs w:val="24"/>
        </w:rPr>
      </w:pPr>
    </w:p>
    <w:p w14:paraId="7A2B2BEF" w14:textId="77777777" w:rsidR="00AC5FED" w:rsidRDefault="00AC5FED" w:rsidP="00F326E5">
      <w:pPr>
        <w:pStyle w:val="NoSpacing"/>
        <w:rPr>
          <w:rFonts w:ascii="Arial Black" w:hAnsi="Arial Black"/>
          <w:sz w:val="24"/>
          <w:szCs w:val="24"/>
        </w:rPr>
      </w:pPr>
    </w:p>
    <w:p w14:paraId="44D85E54" w14:textId="37E95864" w:rsidR="00D5141D" w:rsidRDefault="00D5141D" w:rsidP="00F326E5">
      <w:pPr>
        <w:pStyle w:val="NoSpacing"/>
        <w:rPr>
          <w:rFonts w:ascii="Arial Black" w:hAnsi="Arial Black"/>
          <w:sz w:val="24"/>
          <w:szCs w:val="24"/>
        </w:rPr>
      </w:pPr>
      <w:r>
        <w:rPr>
          <w:rFonts w:ascii="Arial Black" w:hAnsi="Arial Black"/>
          <w:sz w:val="24"/>
          <w:szCs w:val="24"/>
        </w:rPr>
        <w:t>7-45</w:t>
      </w:r>
    </w:p>
    <w:p w14:paraId="5AD43885" w14:textId="1A892C5F" w:rsidR="00D5141D" w:rsidRDefault="00D5141D" w:rsidP="00F326E5">
      <w:pPr>
        <w:pStyle w:val="NoSpacing"/>
        <w:rPr>
          <w:rFonts w:ascii="Arial Black" w:hAnsi="Arial Black"/>
          <w:sz w:val="24"/>
          <w:szCs w:val="24"/>
        </w:rPr>
      </w:pPr>
    </w:p>
    <w:p w14:paraId="64E9C075" w14:textId="77777777" w:rsidR="00D5141D" w:rsidRPr="00A81005" w:rsidRDefault="00D5141D" w:rsidP="00D5141D">
      <w:pPr>
        <w:spacing w:before="100" w:beforeAutospacing="1" w:after="100" w:afterAutospacing="1" w:line="240" w:lineRule="auto"/>
        <w:rPr>
          <w:rFonts w:ascii="Arial Black" w:hAnsi="Arial Black"/>
          <w:sz w:val="28"/>
          <w:szCs w:val="28"/>
        </w:rPr>
      </w:pPr>
      <w:r>
        <w:rPr>
          <w:rFonts w:ascii="Arial Black" w:hAnsi="Arial Black"/>
          <w:sz w:val="28"/>
          <w:szCs w:val="28"/>
        </w:rPr>
        <w:t xml:space="preserve">OR: FF TERMINATED SEXUAL HARASSMENT – TEXT MESSAGES, THEFT OF FEMALE UNDERWEAR, ON DUTY SEX </w:t>
      </w:r>
    </w:p>
    <w:p w14:paraId="76892D6E" w14:textId="77777777" w:rsidR="00D5141D" w:rsidRPr="009C2A06" w:rsidRDefault="00D5141D" w:rsidP="00D5141D">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On July 19, 2022, in </w:t>
      </w:r>
      <w:r w:rsidRPr="00A81005">
        <w:rPr>
          <w:rFonts w:ascii="Times New Roman" w:eastAsia="Times New Roman" w:hAnsi="Times New Roman"/>
          <w:sz w:val="24"/>
          <w:szCs w:val="24"/>
          <w:u w:val="single"/>
        </w:rPr>
        <w:t>Larry W. Merrill v. Lane Fire Authority</w:t>
      </w:r>
      <w:r>
        <w:rPr>
          <w:rFonts w:ascii="Times New Roman" w:eastAsia="Times New Roman" w:hAnsi="Times New Roman"/>
          <w:sz w:val="24"/>
          <w:szCs w:val="24"/>
          <w:u w:val="single"/>
        </w:rPr>
        <w:t xml:space="preserve"> </w:t>
      </w:r>
      <w:r w:rsidRPr="001331F1">
        <w:rPr>
          <w:rFonts w:ascii="Times New Roman" w:eastAsia="Times New Roman" w:hAnsi="Times New Roman"/>
          <w:sz w:val="24"/>
          <w:szCs w:val="24"/>
          <w:u w:val="single"/>
        </w:rPr>
        <w:t xml:space="preserve">and </w:t>
      </w:r>
      <w:proofErr w:type="spellStart"/>
      <w:r w:rsidRPr="001331F1">
        <w:rPr>
          <w:rFonts w:ascii="Times New Roman" w:hAnsi="Times New Roman"/>
          <w:sz w:val="24"/>
          <w:szCs w:val="24"/>
          <w:u w:val="single"/>
        </w:rPr>
        <w:t>Stoelk</w:t>
      </w:r>
      <w:proofErr w:type="spellEnd"/>
      <w:r w:rsidRPr="001331F1">
        <w:rPr>
          <w:rFonts w:ascii="Times New Roman" w:hAnsi="Times New Roman"/>
          <w:sz w:val="24"/>
          <w:szCs w:val="24"/>
          <w:u w:val="single"/>
        </w:rPr>
        <w:t xml:space="preserve"> Investigation </w:t>
      </w:r>
      <w:proofErr w:type="gramStart"/>
      <w:r w:rsidRPr="001331F1">
        <w:rPr>
          <w:rFonts w:ascii="Times New Roman" w:hAnsi="Times New Roman"/>
          <w:sz w:val="24"/>
          <w:szCs w:val="24"/>
          <w:u w:val="single"/>
        </w:rPr>
        <w:t>And</w:t>
      </w:r>
      <w:proofErr w:type="gramEnd"/>
      <w:r w:rsidRPr="001331F1">
        <w:rPr>
          <w:rFonts w:ascii="Times New Roman" w:hAnsi="Times New Roman"/>
          <w:sz w:val="24"/>
          <w:szCs w:val="24"/>
          <w:u w:val="single"/>
        </w:rPr>
        <w:t xml:space="preserve"> Consultation, LLC</w:t>
      </w:r>
      <w:r>
        <w:rPr>
          <w:rFonts w:ascii="Times New Roman" w:hAnsi="Times New Roman"/>
          <w:sz w:val="24"/>
          <w:szCs w:val="24"/>
        </w:rPr>
        <w:t xml:space="preserve">, </w:t>
      </w:r>
      <w:r>
        <w:rPr>
          <w:rFonts w:ascii="Times New Roman" w:eastAsia="Times New Roman" w:hAnsi="Times New Roman"/>
          <w:sz w:val="24"/>
          <w:szCs w:val="24"/>
        </w:rPr>
        <w:t xml:space="preserve">U.S. Magistrate Judge Mustafa T. </w:t>
      </w:r>
      <w:proofErr w:type="spellStart"/>
      <w:r>
        <w:rPr>
          <w:rFonts w:ascii="Times New Roman" w:eastAsia="Times New Roman" w:hAnsi="Times New Roman"/>
          <w:sz w:val="24"/>
          <w:szCs w:val="24"/>
        </w:rPr>
        <w:t>Kasubhai</w:t>
      </w:r>
      <w:proofErr w:type="spellEnd"/>
      <w:r>
        <w:rPr>
          <w:rFonts w:ascii="Times New Roman" w:eastAsia="Times New Roman" w:hAnsi="Times New Roman"/>
          <w:sz w:val="24"/>
          <w:szCs w:val="24"/>
        </w:rPr>
        <w:t xml:space="preserve">, U.S. District Court of Oregon (Eugene Division) issued Findings </w:t>
      </w:r>
      <w:proofErr w:type="gramStart"/>
      <w:r>
        <w:rPr>
          <w:rFonts w:ascii="Times New Roman" w:eastAsia="Times New Roman" w:hAnsi="Times New Roman"/>
          <w:sz w:val="24"/>
          <w:szCs w:val="24"/>
        </w:rPr>
        <w:t>And</w:t>
      </w:r>
      <w:proofErr w:type="gramEnd"/>
      <w:r>
        <w:rPr>
          <w:rFonts w:ascii="Times New Roman" w:eastAsia="Times New Roman" w:hAnsi="Times New Roman"/>
          <w:sz w:val="24"/>
          <w:szCs w:val="24"/>
        </w:rPr>
        <w:t xml:space="preserve"> Recommendations that the defense motion for summary judgment be granted. </w:t>
      </w:r>
      <w:r w:rsidRPr="00AA6F0A">
        <w:rPr>
          <w:rFonts w:ascii="Times New Roman" w:eastAsia="Times New Roman" w:hAnsi="Times New Roman"/>
          <w:sz w:val="24"/>
          <w:szCs w:val="24"/>
        </w:rPr>
        <w:t>“</w:t>
      </w:r>
      <w:r w:rsidRPr="00AA6F0A">
        <w:rPr>
          <w:rFonts w:ascii="Times New Roman" w:hAnsi="Times New Roman"/>
          <w:sz w:val="24"/>
          <w:szCs w:val="24"/>
        </w:rPr>
        <w:t>At bottom, Ms. Hutcheson-Warren reported an inappropriate text message that resulted in an investigation into Plaintiff for sexual harassment. Plaintiff received notice of the investigation. The investigation found serious allegations of misconduct. Plaintiff received detailed notice of the allegations-including allegations unrelated to the text message that served as the investigation's genesis-well in advance of his pre-disciplinary hearing and Plaintiff had ample time to prepare written or verbal responses to those allegations. A hearing was held at which Plaintiff had the right to present his side of the story. At the conclusion of the hearing, Chief Ney determined that termination of Plaintiff was appropriate. On this record, the Court concludes Plaintiff received all the process he was due.</w:t>
      </w:r>
      <w:r>
        <w:rPr>
          <w:rFonts w:ascii="Times New Roman" w:hAnsi="Times New Roman"/>
          <w:sz w:val="24"/>
          <w:szCs w:val="24"/>
        </w:rPr>
        <w:t xml:space="preserve">” </w:t>
      </w:r>
      <w:hyperlink r:id="rId1405" w:history="1">
        <w:r w:rsidRPr="00696C47">
          <w:rPr>
            <w:rStyle w:val="Hyperlink"/>
            <w:rFonts w:ascii="Times New Roman" w:hAnsi="Times New Roman"/>
          </w:rPr>
          <w:t>https://casetext.com/case/merrill-v-lane-fire-auth-1</w:t>
        </w:r>
      </w:hyperlink>
      <w:r>
        <w:rPr>
          <w:rFonts w:ascii="Times New Roman" w:hAnsi="Times New Roman"/>
          <w:sz w:val="24"/>
          <w:szCs w:val="24"/>
        </w:rPr>
        <w:t xml:space="preserve"> </w:t>
      </w:r>
    </w:p>
    <w:p w14:paraId="35C7B1B4" w14:textId="77777777" w:rsidR="00D5141D" w:rsidRPr="00AA6F0A" w:rsidRDefault="00D5141D" w:rsidP="00D5141D">
      <w:pPr>
        <w:spacing w:before="100" w:beforeAutospacing="1" w:after="100" w:afterAutospacing="1" w:line="240" w:lineRule="auto"/>
        <w:rPr>
          <w:rFonts w:ascii="Times New Roman" w:eastAsia="Times New Roman" w:hAnsi="Times New Roman"/>
          <w:b/>
          <w:bCs/>
          <w:sz w:val="24"/>
          <w:szCs w:val="24"/>
        </w:rPr>
      </w:pPr>
      <w:r w:rsidRPr="00C358F9">
        <w:rPr>
          <w:rFonts w:ascii="Times New Roman" w:eastAsia="Times New Roman" w:hAnsi="Times New Roman"/>
          <w:b/>
          <w:bCs/>
          <w:sz w:val="24"/>
          <w:szCs w:val="24"/>
        </w:rPr>
        <w:t>Legal Lesson Learned:</w:t>
      </w:r>
      <w:r w:rsidRPr="00AA6F0A">
        <w:rPr>
          <w:rFonts w:ascii="Times New Roman" w:eastAsia="Times New Roman" w:hAnsi="Times New Roman"/>
          <w:b/>
          <w:bCs/>
          <w:sz w:val="24"/>
          <w:szCs w:val="24"/>
        </w:rPr>
        <w:t xml:space="preserve"> </w:t>
      </w:r>
      <w:r>
        <w:rPr>
          <w:rFonts w:ascii="Times New Roman" w:eastAsia="Times New Roman" w:hAnsi="Times New Roman"/>
          <w:b/>
          <w:bCs/>
          <w:sz w:val="24"/>
          <w:szCs w:val="24"/>
        </w:rPr>
        <w:t xml:space="preserve">It was a wise move by the FD’s Legal Counsel to bring in an outside, professional investigator. </w:t>
      </w:r>
    </w:p>
    <w:p w14:paraId="1B77FB20" w14:textId="77777777" w:rsidR="00D5141D" w:rsidRDefault="00D5141D" w:rsidP="00F326E5">
      <w:pPr>
        <w:pStyle w:val="NoSpacing"/>
        <w:rPr>
          <w:rFonts w:ascii="Arial Black" w:hAnsi="Arial Black"/>
          <w:sz w:val="24"/>
          <w:szCs w:val="24"/>
        </w:rPr>
      </w:pPr>
    </w:p>
    <w:p w14:paraId="24B64FF6" w14:textId="77777777" w:rsidR="00D5141D" w:rsidRDefault="00D5141D" w:rsidP="00F326E5">
      <w:pPr>
        <w:pStyle w:val="NoSpacing"/>
        <w:rPr>
          <w:rFonts w:ascii="Arial Black" w:hAnsi="Arial Black"/>
          <w:sz w:val="24"/>
          <w:szCs w:val="24"/>
        </w:rPr>
      </w:pPr>
    </w:p>
    <w:p w14:paraId="402357A4" w14:textId="3BA7856C" w:rsidR="006C4BDE" w:rsidRDefault="006C4BDE" w:rsidP="00F326E5">
      <w:pPr>
        <w:pStyle w:val="NoSpacing"/>
        <w:rPr>
          <w:rFonts w:ascii="Arial Black" w:hAnsi="Arial Black"/>
          <w:sz w:val="24"/>
          <w:szCs w:val="24"/>
        </w:rPr>
      </w:pPr>
      <w:r>
        <w:rPr>
          <w:rFonts w:ascii="Arial Black" w:hAnsi="Arial Black"/>
          <w:sz w:val="24"/>
          <w:szCs w:val="24"/>
        </w:rPr>
        <w:t>7-44 [Also filed, Chap. 14]</w:t>
      </w:r>
    </w:p>
    <w:p w14:paraId="615B8934" w14:textId="77777777" w:rsidR="006C4BDE" w:rsidRPr="00F315B4" w:rsidRDefault="006C4BDE" w:rsidP="006C4BDE">
      <w:pPr>
        <w:spacing w:before="100" w:beforeAutospacing="1" w:after="100" w:afterAutospacing="1" w:line="240" w:lineRule="auto"/>
        <w:rPr>
          <w:rFonts w:ascii="Arial Black" w:hAnsi="Arial Black"/>
          <w:sz w:val="28"/>
          <w:szCs w:val="28"/>
        </w:rPr>
      </w:pPr>
      <w:r>
        <w:rPr>
          <w:rFonts w:ascii="Arial Black" w:hAnsi="Arial Black"/>
          <w:sz w:val="28"/>
          <w:szCs w:val="28"/>
        </w:rPr>
        <w:t>WI: FEMALE FAILS APPLICANT PHYSICAL FITNESS TEST –NOT CPAT, BUT MEETS EEOC GUIDELINES – TEST UPHELD</w:t>
      </w:r>
    </w:p>
    <w:p w14:paraId="0FAB85C2" w14:textId="77777777" w:rsidR="006C4BDE" w:rsidRPr="005403E6" w:rsidRDefault="006C4BDE" w:rsidP="006C4BDE">
      <w:pPr>
        <w:spacing w:before="100" w:beforeAutospacing="1" w:after="100" w:afterAutospacing="1" w:line="240" w:lineRule="auto"/>
        <w:rPr>
          <w:rFonts w:ascii="Times New Roman" w:eastAsia="Times New Roman" w:hAnsi="Times New Roman"/>
          <w:sz w:val="24"/>
          <w:szCs w:val="24"/>
        </w:rPr>
      </w:pPr>
      <w:r w:rsidRPr="00A4532F">
        <w:rPr>
          <w:rFonts w:ascii="Times New Roman" w:hAnsi="Times New Roman"/>
          <w:sz w:val="24"/>
          <w:szCs w:val="24"/>
        </w:rPr>
        <w:t xml:space="preserve">On July 20, 2022, in </w:t>
      </w:r>
      <w:r w:rsidRPr="00A4532F">
        <w:rPr>
          <w:rFonts w:ascii="Times New Roman" w:hAnsi="Times New Roman"/>
          <w:sz w:val="24"/>
          <w:szCs w:val="24"/>
          <w:u w:val="single"/>
        </w:rPr>
        <w:t>Catherine Erdman v. City of Madison</w:t>
      </w:r>
      <w:r>
        <w:rPr>
          <w:rFonts w:ascii="Times New Roman" w:hAnsi="Times New Roman"/>
          <w:sz w:val="24"/>
          <w:szCs w:val="24"/>
        </w:rPr>
        <w:t xml:space="preserve">, U.S. District Court Judge William M. Conley dismissed the lawsuit, findings that the Madison Fire Department in their 2014 applicant testing did not violate Title VII of the Civil Rights Act of 1964, even if more female failed compared to fire departments using the </w:t>
      </w:r>
      <w:r>
        <w:rPr>
          <w:rFonts w:ascii="Times New Roman" w:hAnsi="Times New Roman"/>
          <w:sz w:val="24"/>
          <w:szCs w:val="24"/>
        </w:rPr>
        <w:lastRenderedPageBreak/>
        <w:t xml:space="preserve">CPAT, since the tests were developed by consultants to assess actual job duties and meet the EEOC’s </w:t>
      </w:r>
      <w:r w:rsidRPr="005403E6">
        <w:rPr>
          <w:rFonts w:ascii="Times New Roman" w:eastAsia="Times New Roman" w:hAnsi="Times New Roman"/>
          <w:sz w:val="24"/>
          <w:szCs w:val="24"/>
        </w:rPr>
        <w:t>Uniform Guidelines on Employee Selection Procedures</w:t>
      </w:r>
      <w:r>
        <w:rPr>
          <w:rFonts w:ascii="Times New Roman" w:eastAsia="Times New Roman" w:hAnsi="Times New Roman"/>
          <w:sz w:val="24"/>
          <w:szCs w:val="24"/>
        </w:rPr>
        <w:t xml:space="preserve">. Plaintiff’s lawsuit claimed that she would have passed CPAT [Madison FD’s pass rate for women was 14%; the pass rate for women taking CPAT at Austin, Teas FD was 48%].  </w:t>
      </w:r>
      <w:r>
        <w:rPr>
          <w:rFonts w:ascii="Times New Roman" w:hAnsi="Times New Roman"/>
          <w:sz w:val="24"/>
          <w:szCs w:val="24"/>
        </w:rPr>
        <w:t xml:space="preserve">Plaintiff failed the “pike pole” which required </w:t>
      </w:r>
      <w:r w:rsidRPr="005403E6">
        <w:rPr>
          <w:rFonts w:ascii="Times New Roman" w:eastAsia="Times New Roman" w:hAnsi="Times New Roman"/>
          <w:sz w:val="24"/>
          <w:szCs w:val="24"/>
        </w:rPr>
        <w:t>applicants to stand at least 18 inches back from the ceiling being pulled down with a pike pole to account for safety concerns with</w:t>
      </w:r>
      <w:r>
        <w:rPr>
          <w:rFonts w:ascii="Times New Roman" w:eastAsia="Times New Roman" w:hAnsi="Times New Roman"/>
          <w:sz w:val="24"/>
          <w:szCs w:val="24"/>
        </w:rPr>
        <w:t xml:space="preserve"> test takers </w:t>
      </w:r>
      <w:r w:rsidRPr="005403E6">
        <w:rPr>
          <w:rFonts w:ascii="Times New Roman" w:eastAsia="Times New Roman" w:hAnsi="Times New Roman"/>
          <w:sz w:val="24"/>
          <w:szCs w:val="24"/>
        </w:rPr>
        <w:t>standing directly under the ceiling</w:t>
      </w:r>
      <w:r>
        <w:rPr>
          <w:rFonts w:ascii="Times New Roman" w:eastAsia="Times New Roman" w:hAnsi="Times New Roman"/>
          <w:sz w:val="24"/>
          <w:szCs w:val="24"/>
        </w:rPr>
        <w:t xml:space="preserve">; </w:t>
      </w:r>
      <w:r w:rsidRPr="005403E6">
        <w:rPr>
          <w:rFonts w:ascii="Times New Roman" w:eastAsia="Times New Roman" w:hAnsi="Times New Roman"/>
          <w:sz w:val="24"/>
          <w:szCs w:val="24"/>
        </w:rPr>
        <w:t>the pole was long enough to allow applicants of different heights to adjust the hold to account for that differential.</w:t>
      </w:r>
      <w:r>
        <w:rPr>
          <w:rFonts w:ascii="Times New Roman" w:eastAsia="Times New Roman" w:hAnsi="Times New Roman"/>
          <w:sz w:val="24"/>
          <w:szCs w:val="24"/>
        </w:rPr>
        <w:t xml:space="preserve"> </w:t>
      </w:r>
      <w:hyperlink r:id="rId1406" w:history="1">
        <w:r w:rsidRPr="00355029">
          <w:rPr>
            <w:rStyle w:val="Hyperlink"/>
            <w:rFonts w:ascii="Times New Roman" w:hAnsi="Times New Roman"/>
            <w:sz w:val="24"/>
            <w:szCs w:val="24"/>
          </w:rPr>
          <w:t>https://public.fastcase.com/J%2FJP6pdidelsXxEE4k%2BLMiptlpkB0gZD0zq9ZoOKNJuhacmaRfGRvhQDw8Dzjp093sUgUkI4CwYYkhqoix%2B0P6g4YOgoDnx2kMnRYwj%2FWdA%3D</w:t>
        </w:r>
      </w:hyperlink>
      <w:r>
        <w:rPr>
          <w:rFonts w:ascii="Times New Roman" w:hAnsi="Times New Roman"/>
          <w:sz w:val="24"/>
          <w:szCs w:val="24"/>
        </w:rPr>
        <w:t xml:space="preserve"> </w:t>
      </w:r>
    </w:p>
    <w:p w14:paraId="6149F00D" w14:textId="77777777" w:rsidR="006C4BDE" w:rsidRPr="006E479D" w:rsidRDefault="006C4BDE" w:rsidP="006C4BDE">
      <w:pPr>
        <w:spacing w:before="100" w:beforeAutospacing="1" w:after="100" w:afterAutospacing="1" w:line="240" w:lineRule="auto"/>
        <w:rPr>
          <w:rFonts w:ascii="Times New Roman" w:hAnsi="Times New Roman"/>
          <w:b/>
          <w:bCs/>
          <w:sz w:val="24"/>
          <w:szCs w:val="24"/>
        </w:rPr>
      </w:pPr>
      <w:r w:rsidRPr="00604285">
        <w:rPr>
          <w:rFonts w:ascii="Times New Roman" w:hAnsi="Times New Roman"/>
          <w:b/>
          <w:bCs/>
          <w:sz w:val="24"/>
          <w:szCs w:val="24"/>
        </w:rPr>
        <w:t>Legal Lesson Learned:</w:t>
      </w:r>
      <w:r>
        <w:rPr>
          <w:rFonts w:ascii="Times New Roman" w:hAnsi="Times New Roman"/>
          <w:b/>
          <w:bCs/>
          <w:sz w:val="24"/>
          <w:szCs w:val="24"/>
        </w:rPr>
        <w:t xml:space="preserve"> </w:t>
      </w:r>
      <w:r w:rsidRPr="006E479D">
        <w:rPr>
          <w:rFonts w:ascii="Times New Roman" w:hAnsi="Times New Roman"/>
          <w:b/>
          <w:bCs/>
          <w:sz w:val="24"/>
          <w:szCs w:val="24"/>
        </w:rPr>
        <w:t xml:space="preserve">This alternative test passed EEOC “Uniform Guidelines </w:t>
      </w:r>
      <w:r w:rsidRPr="006E479D">
        <w:rPr>
          <w:rFonts w:ascii="Times New Roman" w:eastAsia="Times New Roman" w:hAnsi="Times New Roman"/>
          <w:b/>
          <w:bCs/>
          <w:sz w:val="24"/>
          <w:szCs w:val="24"/>
        </w:rPr>
        <w:t xml:space="preserve">on Employee Selection Procedures (1978), 29 C.F.R. § 1607, </w:t>
      </w:r>
      <w:r w:rsidRPr="006E479D">
        <w:rPr>
          <w:rFonts w:ascii="Times New Roman" w:eastAsia="Times New Roman" w:hAnsi="Times New Roman"/>
          <w:b/>
          <w:bCs/>
          <w:i/>
          <w:iCs/>
          <w:sz w:val="24"/>
          <w:szCs w:val="24"/>
        </w:rPr>
        <w:t xml:space="preserve">et seq.” </w:t>
      </w:r>
      <w:r w:rsidRPr="006E479D">
        <w:rPr>
          <w:rFonts w:ascii="Times New Roman" w:hAnsi="Times New Roman"/>
          <w:b/>
          <w:bCs/>
          <w:sz w:val="24"/>
          <w:szCs w:val="24"/>
        </w:rPr>
        <w:t xml:space="preserve">  </w:t>
      </w:r>
    </w:p>
    <w:p w14:paraId="568FAFE3" w14:textId="77777777" w:rsidR="006C4BDE" w:rsidRDefault="006C4BDE" w:rsidP="00F326E5">
      <w:pPr>
        <w:pStyle w:val="NoSpacing"/>
        <w:rPr>
          <w:rFonts w:ascii="Arial Black" w:hAnsi="Arial Black"/>
          <w:sz w:val="24"/>
          <w:szCs w:val="24"/>
        </w:rPr>
      </w:pPr>
    </w:p>
    <w:p w14:paraId="5D05D398" w14:textId="77777777" w:rsidR="006C4BDE" w:rsidRDefault="006C4BDE" w:rsidP="00F326E5">
      <w:pPr>
        <w:pStyle w:val="NoSpacing"/>
        <w:rPr>
          <w:rFonts w:ascii="Arial Black" w:hAnsi="Arial Black"/>
          <w:sz w:val="24"/>
          <w:szCs w:val="24"/>
        </w:rPr>
      </w:pPr>
    </w:p>
    <w:p w14:paraId="632853AB" w14:textId="77777777" w:rsidR="006C4BDE" w:rsidRDefault="006C4BDE" w:rsidP="00F326E5">
      <w:pPr>
        <w:pStyle w:val="NoSpacing"/>
        <w:rPr>
          <w:rFonts w:ascii="Arial Black" w:hAnsi="Arial Black"/>
          <w:sz w:val="24"/>
          <w:szCs w:val="24"/>
        </w:rPr>
      </w:pPr>
    </w:p>
    <w:p w14:paraId="19DCDD72" w14:textId="26E61109" w:rsidR="0002742E" w:rsidRDefault="0002742E" w:rsidP="00F326E5">
      <w:pPr>
        <w:pStyle w:val="NoSpacing"/>
        <w:rPr>
          <w:rFonts w:ascii="Arial Black" w:hAnsi="Arial Black"/>
          <w:sz w:val="24"/>
          <w:szCs w:val="24"/>
        </w:rPr>
      </w:pPr>
      <w:r>
        <w:rPr>
          <w:rFonts w:ascii="Arial Black" w:hAnsi="Arial Black"/>
          <w:sz w:val="24"/>
          <w:szCs w:val="24"/>
        </w:rPr>
        <w:t>7-43</w:t>
      </w:r>
    </w:p>
    <w:p w14:paraId="4574BFBB" w14:textId="0AEF07FA" w:rsidR="0002742E" w:rsidRPr="008D7229" w:rsidRDefault="0002742E" w:rsidP="0002742E">
      <w:pPr>
        <w:pStyle w:val="NormalWeb"/>
        <w:rPr>
          <w:rFonts w:ascii="Arial Black" w:hAnsi="Arial Black"/>
          <w:sz w:val="28"/>
          <w:szCs w:val="28"/>
        </w:rPr>
      </w:pPr>
      <w:r>
        <w:rPr>
          <w:rFonts w:ascii="Arial Black" w:hAnsi="Arial Black"/>
          <w:sz w:val="28"/>
          <w:szCs w:val="28"/>
        </w:rPr>
        <w:t xml:space="preserve">GA: TRANSGENDER FIRE CHIEF – FIRED 18 MONTHS AFTER CHANGE - “AT WILL” - NO PROPERTY INTEREST IN JOB </w:t>
      </w:r>
    </w:p>
    <w:p w14:paraId="2AEC4698" w14:textId="77777777" w:rsidR="0002742E" w:rsidRDefault="0002742E" w:rsidP="0002742E">
      <w:pPr>
        <w:pStyle w:val="NormalWeb"/>
      </w:pPr>
      <w:r>
        <w:t xml:space="preserve">On April 18, 2022, in </w:t>
      </w:r>
      <w:r w:rsidRPr="008D7229">
        <w:rPr>
          <w:u w:val="single"/>
        </w:rPr>
        <w:t>Rachel Mosby v. City of Bryson, Georgia</w:t>
      </w:r>
      <w:r>
        <w:t>, the U.S. Court of Appeals for the 11</w:t>
      </w:r>
      <w:r w:rsidRPr="008D7229">
        <w:rPr>
          <w:vertAlign w:val="superscript"/>
        </w:rPr>
        <w:t>th</w:t>
      </w:r>
      <w:r>
        <w:t xml:space="preserve"> Circuit (Atlanta) held (3 to 0; unpublished decision) that the U.S. District Court properly granted summary judgment to the City on her claim of violation of Title VII and ADA [she alleged the City fired her for be transgender; fired 18 months after coming to work dressed as a female].  Mosby was the City of Byron's fire chief for eleven years before being terminated in 2019.  Her initial complaint to EEOC on June 28, </w:t>
      </w:r>
      <w:proofErr w:type="gramStart"/>
      <w:r>
        <w:t>2019</w:t>
      </w:r>
      <w:proofErr w:type="gramEnd"/>
      <w:r>
        <w:t xml:space="preserve"> failed include a sworn statement or notarized affirmation, and U.S. District Court Judge Tilman E. Self III dismissed the lawsuit on that basis. On appeal the 11 Circuit also rejected her claim that Mosby had a property interest in continued employment as the City's fire chief based on a "long-standing personnel policy" allowing department heads to appeal adverse employment actions. </w:t>
      </w:r>
      <w:hyperlink r:id="rId1407" w:history="1">
        <w:r w:rsidRPr="00463170">
          <w:rPr>
            <w:rStyle w:val="Hyperlink"/>
          </w:rPr>
          <w:t>https://media.ca11.uscourts.gov/opinions/unpub/files/202110377.pdf</w:t>
        </w:r>
      </w:hyperlink>
      <w:r>
        <w:t xml:space="preserve"> </w:t>
      </w:r>
    </w:p>
    <w:p w14:paraId="396D1ECD" w14:textId="77777777" w:rsidR="0002742E" w:rsidRPr="0079197C" w:rsidRDefault="0002742E" w:rsidP="0002742E">
      <w:pPr>
        <w:spacing w:before="100" w:beforeAutospacing="1" w:after="100" w:afterAutospacing="1" w:line="240" w:lineRule="auto"/>
        <w:rPr>
          <w:rFonts w:ascii="Times New Roman" w:eastAsia="Times New Roman" w:hAnsi="Times New Roman"/>
          <w:b/>
          <w:bCs/>
          <w:sz w:val="24"/>
          <w:szCs w:val="24"/>
        </w:rPr>
      </w:pPr>
      <w:r w:rsidRPr="009D459E">
        <w:rPr>
          <w:rFonts w:ascii="Times New Roman" w:eastAsia="Times New Roman" w:hAnsi="Times New Roman"/>
          <w:b/>
          <w:bCs/>
          <w:sz w:val="24"/>
          <w:szCs w:val="24"/>
        </w:rPr>
        <w:t>Legal Lesson Learned:</w:t>
      </w:r>
      <w:r>
        <w:rPr>
          <w:rFonts w:ascii="Times New Roman" w:eastAsia="Times New Roman" w:hAnsi="Times New Roman"/>
          <w:b/>
          <w:bCs/>
          <w:sz w:val="24"/>
          <w:szCs w:val="24"/>
        </w:rPr>
        <w:t xml:space="preserve"> “At will” employee, unless protected by “whistleblower” or other statute. </w:t>
      </w:r>
    </w:p>
    <w:p w14:paraId="2A437E9B" w14:textId="77777777" w:rsidR="0002742E" w:rsidRPr="00810D4A" w:rsidRDefault="0002742E" w:rsidP="0002742E">
      <w:pPr>
        <w:spacing w:before="100" w:beforeAutospacing="1" w:after="100" w:afterAutospacing="1" w:line="240" w:lineRule="auto"/>
        <w:ind w:left="720"/>
        <w:rPr>
          <w:rFonts w:ascii="Times New Roman" w:eastAsia="Times New Roman" w:hAnsi="Times New Roman"/>
          <w:b/>
          <w:bCs/>
          <w:sz w:val="24"/>
          <w:szCs w:val="24"/>
        </w:rPr>
      </w:pPr>
      <w:r w:rsidRPr="00810D4A">
        <w:rPr>
          <w:rFonts w:ascii="Times New Roman" w:eastAsia="Times New Roman" w:hAnsi="Times New Roman"/>
          <w:sz w:val="24"/>
          <w:szCs w:val="24"/>
        </w:rPr>
        <w:t>Note: See this article:</w:t>
      </w:r>
      <w:r w:rsidRPr="00810D4A">
        <w:rPr>
          <w:rFonts w:ascii="Times New Roman" w:eastAsia="Times New Roman" w:hAnsi="Times New Roman"/>
          <w:b/>
          <w:bCs/>
          <w:sz w:val="24"/>
          <w:szCs w:val="24"/>
        </w:rPr>
        <w:t xml:space="preserve"> </w:t>
      </w:r>
      <w:r w:rsidRPr="00810D4A">
        <w:rPr>
          <w:rFonts w:ascii="Times New Roman" w:hAnsi="Times New Roman"/>
          <w:sz w:val="24"/>
          <w:szCs w:val="24"/>
        </w:rPr>
        <w:t xml:space="preserve">See this article (Feb. 18, 2021): “Judge dismisses Georgia lawsuit by transgender fire chief.” </w:t>
      </w:r>
      <w:hyperlink r:id="rId1408" w:history="1">
        <w:r w:rsidRPr="00C37F44">
          <w:rPr>
            <w:rStyle w:val="Hyperlink"/>
            <w:rFonts w:ascii="Times New Roman" w:hAnsi="Times New Roman"/>
            <w:sz w:val="24"/>
            <w:szCs w:val="24"/>
          </w:rPr>
          <w:t>https://apnews.com/article/savannah-discrimination-lawsuits-georgia-courts-181c735cb3d5f318ea6a76e14d237b4a</w:t>
        </w:r>
      </w:hyperlink>
      <w:r>
        <w:rPr>
          <w:rFonts w:ascii="Times New Roman" w:hAnsi="Times New Roman"/>
          <w:sz w:val="24"/>
          <w:szCs w:val="24"/>
        </w:rPr>
        <w:t xml:space="preserve"> </w:t>
      </w:r>
    </w:p>
    <w:p w14:paraId="571FC5CA" w14:textId="77777777" w:rsidR="0002742E" w:rsidRDefault="0002742E" w:rsidP="00F326E5">
      <w:pPr>
        <w:pStyle w:val="NoSpacing"/>
        <w:rPr>
          <w:rFonts w:ascii="Arial Black" w:hAnsi="Arial Black"/>
          <w:sz w:val="24"/>
          <w:szCs w:val="24"/>
        </w:rPr>
      </w:pPr>
    </w:p>
    <w:p w14:paraId="23A48E16" w14:textId="77777777" w:rsidR="0002742E" w:rsidRDefault="0002742E" w:rsidP="00F326E5">
      <w:pPr>
        <w:pStyle w:val="NoSpacing"/>
        <w:rPr>
          <w:rFonts w:ascii="Arial Black" w:hAnsi="Arial Black"/>
          <w:sz w:val="24"/>
          <w:szCs w:val="24"/>
        </w:rPr>
      </w:pPr>
    </w:p>
    <w:p w14:paraId="23ECBA71" w14:textId="492821C6" w:rsidR="00727951" w:rsidRDefault="00727951" w:rsidP="00F326E5">
      <w:pPr>
        <w:pStyle w:val="NoSpacing"/>
        <w:rPr>
          <w:rFonts w:ascii="Arial Black" w:hAnsi="Arial Black"/>
          <w:sz w:val="24"/>
          <w:szCs w:val="24"/>
        </w:rPr>
      </w:pPr>
      <w:r>
        <w:rPr>
          <w:rFonts w:ascii="Arial Black" w:hAnsi="Arial Black"/>
          <w:sz w:val="24"/>
          <w:szCs w:val="24"/>
        </w:rPr>
        <w:t>7-42</w:t>
      </w:r>
    </w:p>
    <w:p w14:paraId="4D05FF46" w14:textId="77777777" w:rsidR="00727951" w:rsidRDefault="00727951" w:rsidP="00727951">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VA: FEMALE FIRE INSPECTOR – MADE COMPLAINT PASSED OVER PROMOTIONS – RETALIATION – CASE TO PROCEED</w:t>
      </w:r>
    </w:p>
    <w:p w14:paraId="7A1EECA1" w14:textId="77777777" w:rsidR="00727951" w:rsidRDefault="00727951" w:rsidP="00727951">
      <w:pPr>
        <w:spacing w:before="100" w:beforeAutospacing="1" w:after="100" w:afterAutospacing="1" w:line="240" w:lineRule="auto"/>
        <w:rPr>
          <w:rStyle w:val="Hyperlink"/>
          <w:rFonts w:ascii="Times New Roman" w:hAnsi="Times New Roman"/>
          <w:sz w:val="24"/>
          <w:szCs w:val="24"/>
        </w:rPr>
      </w:pPr>
      <w:r w:rsidRPr="00447DAF">
        <w:rPr>
          <w:rFonts w:ascii="Times New Roman" w:eastAsia="Times New Roman" w:hAnsi="Times New Roman"/>
          <w:sz w:val="24"/>
          <w:szCs w:val="24"/>
        </w:rPr>
        <w:t xml:space="preserve">On </w:t>
      </w:r>
      <w:r>
        <w:rPr>
          <w:rFonts w:ascii="Times New Roman" w:eastAsia="Times New Roman" w:hAnsi="Times New Roman"/>
          <w:sz w:val="24"/>
          <w:szCs w:val="24"/>
        </w:rPr>
        <w:t xml:space="preserve">March 11, 2022, in </w:t>
      </w:r>
      <w:r w:rsidRPr="00447DAF">
        <w:rPr>
          <w:rFonts w:ascii="Times New Roman" w:eastAsia="Times New Roman" w:hAnsi="Times New Roman"/>
          <w:sz w:val="24"/>
          <w:szCs w:val="24"/>
          <w:u w:val="single"/>
        </w:rPr>
        <w:t>Karen Baka v, City of Norfolk, Virginia</w:t>
      </w:r>
      <w:r>
        <w:rPr>
          <w:rFonts w:ascii="Times New Roman" w:eastAsia="Times New Roman" w:hAnsi="Times New Roman"/>
          <w:sz w:val="24"/>
          <w:szCs w:val="24"/>
        </w:rPr>
        <w:t xml:space="preserve">, U.S. District Court Judge Raymond A. Jackson, U.S. District Court for Eastern District of Virginia (Norfolk Division) denied the City’s motion to dismiss this lawsuit by the plaintiff, who is a Fire Investigator in the Norfolk Fire Marshal’s Office and complained about being passed over for several promotions in retaliation for filing internal complaints with the </w:t>
      </w:r>
      <w:r>
        <w:rPr>
          <w:rFonts w:ascii="Times New Roman" w:eastAsia="Times New Roman" w:hAnsi="Times New Roman"/>
          <w:sz w:val="24"/>
          <w:szCs w:val="24"/>
        </w:rPr>
        <w:lastRenderedPageBreak/>
        <w:t xml:space="preserve">City.  Another female Fire Investigator, who retired after 30 years, has filed a similar lawsuit. The Court referenced in  Footnote 1 a TV story about the alleged hostile workplace experience by the two Investigators. </w:t>
      </w:r>
      <w:hyperlink r:id="rId1409" w:history="1">
        <w:r w:rsidRPr="000247F2">
          <w:rPr>
            <w:rStyle w:val="Hyperlink"/>
            <w:rFonts w:ascii="Times New Roman" w:hAnsi="Times New Roman"/>
            <w:sz w:val="24"/>
            <w:szCs w:val="24"/>
          </w:rPr>
          <w:t>https://public.fastcase.com/waZtJvSA54UAurM2rmIZzzCYJhAha3GGo3AEN0d5yD5AXzBU0GIzy8sJKIx0m%2BEEHwIyJuWgbxH4Xd2BL4DW9aTliyBT6bOFBbV5rp7%2BS3s%3D</w:t>
        </w:r>
      </w:hyperlink>
    </w:p>
    <w:p w14:paraId="0F68D247" w14:textId="77777777" w:rsidR="00727951" w:rsidRDefault="00727951" w:rsidP="00727951">
      <w:pPr>
        <w:spacing w:before="100" w:beforeAutospacing="1" w:after="100" w:afterAutospacing="1" w:line="240" w:lineRule="auto"/>
        <w:ind w:left="720"/>
        <w:rPr>
          <w:rFonts w:ascii="Times New Roman" w:hAnsi="Times New Roman"/>
          <w:sz w:val="24"/>
          <w:szCs w:val="24"/>
        </w:rPr>
      </w:pPr>
      <w:r>
        <w:t>“</w:t>
      </w:r>
      <w:r w:rsidRPr="006539C7">
        <w:rPr>
          <w:rFonts w:ascii="Times New Roman" w:hAnsi="Times New Roman"/>
          <w:sz w:val="24"/>
          <w:szCs w:val="24"/>
        </w:rPr>
        <w:t xml:space="preserve">Defendant also claims that it is "immune from tort liability for governmental functions, absent an express waiver of such immunity." </w:t>
      </w:r>
      <w:proofErr w:type="spellStart"/>
      <w:r w:rsidRPr="006539C7">
        <w:rPr>
          <w:rFonts w:ascii="Times New Roman" w:hAnsi="Times New Roman"/>
          <w:sz w:val="24"/>
          <w:szCs w:val="24"/>
        </w:rPr>
        <w:t>Def.'s</w:t>
      </w:r>
      <w:proofErr w:type="spellEnd"/>
      <w:r w:rsidRPr="006539C7">
        <w:rPr>
          <w:rFonts w:ascii="Times New Roman" w:hAnsi="Times New Roman"/>
          <w:sz w:val="24"/>
          <w:szCs w:val="24"/>
        </w:rPr>
        <w:t xml:space="preserve"> Mem. Supp. at 4. Yet, the Supreme Court of Virginia in </w:t>
      </w:r>
      <w:r w:rsidRPr="006539C7">
        <w:rPr>
          <w:rStyle w:val="Emphasis"/>
          <w:rFonts w:ascii="Times New Roman" w:hAnsi="Times New Roman"/>
          <w:sz w:val="24"/>
          <w:szCs w:val="24"/>
        </w:rPr>
        <w:t>Massenburg -</w:t>
      </w:r>
      <w:r w:rsidRPr="006539C7">
        <w:rPr>
          <w:rFonts w:ascii="Times New Roman" w:hAnsi="Times New Roman"/>
          <w:sz w:val="24"/>
          <w:szCs w:val="24"/>
        </w:rPr>
        <w:t xml:space="preserve"> a case upon which Defendant relies - explicitly stated: </w:t>
      </w:r>
      <w:r>
        <w:rPr>
          <w:rFonts w:ascii="Times New Roman" w:hAnsi="Times New Roman"/>
          <w:sz w:val="24"/>
          <w:szCs w:val="24"/>
        </w:rPr>
        <w:t>‘</w:t>
      </w:r>
      <w:r w:rsidRPr="006539C7">
        <w:rPr>
          <w:rFonts w:ascii="Times New Roman" w:hAnsi="Times New Roman"/>
          <w:sz w:val="24"/>
          <w:szCs w:val="24"/>
        </w:rPr>
        <w:t>Unlike counties, which share fully in the sovereign's immunity from tort, whether a municipal corporation is entitled to sovereign immunity protection depends on the type of function it exercises when liability arises.</w:t>
      </w:r>
      <w:r>
        <w:rPr>
          <w:rFonts w:ascii="Times New Roman" w:hAnsi="Times New Roman"/>
          <w:sz w:val="24"/>
          <w:szCs w:val="24"/>
        </w:rPr>
        <w:t>’</w:t>
      </w:r>
      <w:r w:rsidRPr="006539C7">
        <w:rPr>
          <w:rFonts w:ascii="Times New Roman" w:hAnsi="Times New Roman"/>
          <w:sz w:val="24"/>
          <w:szCs w:val="24"/>
        </w:rPr>
        <w:t xml:space="preserve"> 298 Va. at 218 (2019). Indeed, Defendant's reliance on </w:t>
      </w:r>
      <w:r w:rsidRPr="006539C7">
        <w:rPr>
          <w:rStyle w:val="Emphasis"/>
          <w:rFonts w:ascii="Times New Roman" w:hAnsi="Times New Roman"/>
          <w:sz w:val="24"/>
          <w:szCs w:val="24"/>
        </w:rPr>
        <w:t>Ligon</w:t>
      </w:r>
      <w:r w:rsidRPr="006539C7">
        <w:rPr>
          <w:rFonts w:ascii="Times New Roman" w:hAnsi="Times New Roman"/>
          <w:sz w:val="24"/>
          <w:szCs w:val="24"/>
        </w:rPr>
        <w:t xml:space="preserve"> is misplaced because that case dealt specifically with a county employee who </w:t>
      </w:r>
      <w:proofErr w:type="gramStart"/>
      <w:r w:rsidRPr="006539C7">
        <w:rPr>
          <w:rFonts w:ascii="Times New Roman" w:hAnsi="Times New Roman"/>
          <w:sz w:val="24"/>
          <w:szCs w:val="24"/>
        </w:rPr>
        <w:t>brought suit against</w:t>
      </w:r>
      <w:proofErr w:type="gramEnd"/>
      <w:r w:rsidRPr="006539C7">
        <w:rPr>
          <w:rFonts w:ascii="Times New Roman" w:hAnsi="Times New Roman"/>
          <w:sz w:val="24"/>
          <w:szCs w:val="24"/>
        </w:rPr>
        <w:t xml:space="preserve"> the county for which he worked. </w:t>
      </w:r>
      <w:r w:rsidRPr="006539C7">
        <w:rPr>
          <w:rStyle w:val="Emphasis"/>
          <w:rFonts w:ascii="Times New Roman" w:hAnsi="Times New Roman"/>
          <w:sz w:val="24"/>
          <w:szCs w:val="24"/>
        </w:rPr>
        <w:t xml:space="preserve">See Ligon v. </w:t>
      </w:r>
      <w:proofErr w:type="spellStart"/>
      <w:r w:rsidRPr="006539C7">
        <w:rPr>
          <w:rStyle w:val="Emphasis"/>
          <w:rFonts w:ascii="Times New Roman" w:hAnsi="Times New Roman"/>
          <w:sz w:val="24"/>
          <w:szCs w:val="24"/>
        </w:rPr>
        <w:t>Cnty</w:t>
      </w:r>
      <w:proofErr w:type="spellEnd"/>
      <w:r w:rsidRPr="006539C7">
        <w:rPr>
          <w:rStyle w:val="Emphasis"/>
          <w:rFonts w:ascii="Times New Roman" w:hAnsi="Times New Roman"/>
          <w:sz w:val="24"/>
          <w:szCs w:val="24"/>
        </w:rPr>
        <w:t>. of Goochland,</w:t>
      </w:r>
      <w:r w:rsidRPr="006539C7">
        <w:rPr>
          <w:rFonts w:ascii="Times New Roman" w:hAnsi="Times New Roman"/>
          <w:sz w:val="24"/>
          <w:szCs w:val="24"/>
        </w:rPr>
        <w:t xml:space="preserve"> 279 Va. 312, 314 (2010). The </w:t>
      </w:r>
      <w:r w:rsidRPr="006539C7">
        <w:rPr>
          <w:rStyle w:val="Emphasis"/>
          <w:rFonts w:ascii="Times New Roman" w:hAnsi="Times New Roman"/>
          <w:sz w:val="24"/>
          <w:szCs w:val="24"/>
        </w:rPr>
        <w:t>Massenburg</w:t>
      </w:r>
      <w:r w:rsidRPr="006539C7">
        <w:rPr>
          <w:rFonts w:ascii="Times New Roman" w:hAnsi="Times New Roman"/>
          <w:sz w:val="24"/>
          <w:szCs w:val="24"/>
        </w:rPr>
        <w:t xml:space="preserve"> court made clear that counties enjoy immunity protections distinct from those enjoyed by municipalities. Defendant is a municipality, not the Commonwealth or one of its counties.</w:t>
      </w:r>
      <w:r>
        <w:rPr>
          <w:rFonts w:ascii="Times New Roman" w:hAnsi="Times New Roman"/>
          <w:sz w:val="24"/>
          <w:szCs w:val="24"/>
        </w:rPr>
        <w:t xml:space="preserve">’ </w:t>
      </w:r>
      <w:hyperlink r:id="rId1410" w:history="1">
        <w:r w:rsidRPr="000247F2">
          <w:rPr>
            <w:rStyle w:val="Hyperlink"/>
            <w:rFonts w:ascii="Times New Roman" w:hAnsi="Times New Roman"/>
            <w:sz w:val="24"/>
            <w:szCs w:val="24"/>
          </w:rPr>
          <w:t>https://public.fastcase.com/waZtJvSA54UAurM2rmIZzzCYJhAha3GGo3AEN0d5yD5AXzBU0GIzy8sJKIx0m%2BEEHwIyJuWgbxH4Xd2BL4DW9aTliyBT6bOFBbV5rp7%2BS3s%3D</w:t>
        </w:r>
      </w:hyperlink>
    </w:p>
    <w:p w14:paraId="0CF40B0E" w14:textId="77777777" w:rsidR="00727951" w:rsidRDefault="00727951" w:rsidP="00727951">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Footnote 1: </w:t>
      </w:r>
      <w:r w:rsidRPr="003342D2">
        <w:rPr>
          <w:rStyle w:val="Emphasis"/>
          <w:rFonts w:ascii="Times New Roman" w:hAnsi="Times New Roman"/>
          <w:sz w:val="24"/>
          <w:szCs w:val="24"/>
        </w:rPr>
        <w:t>See</w:t>
      </w:r>
      <w:r w:rsidRPr="003342D2">
        <w:rPr>
          <w:rFonts w:ascii="Times New Roman" w:hAnsi="Times New Roman"/>
          <w:sz w:val="24"/>
          <w:szCs w:val="24"/>
        </w:rPr>
        <w:t xml:space="preserve"> Jason Marks, </w:t>
      </w:r>
      <w:r w:rsidRPr="003342D2">
        <w:rPr>
          <w:rStyle w:val="Emphasis"/>
          <w:rFonts w:ascii="Times New Roman" w:hAnsi="Times New Roman"/>
          <w:sz w:val="24"/>
          <w:szCs w:val="24"/>
        </w:rPr>
        <w:t>Special Report: Norfolk Under Fire for Treatment of Female Employees, WAVY.com</w:t>
      </w:r>
      <w:r w:rsidRPr="003342D2">
        <w:rPr>
          <w:rFonts w:ascii="Times New Roman" w:hAnsi="Times New Roman"/>
          <w:sz w:val="24"/>
          <w:szCs w:val="24"/>
        </w:rPr>
        <w:t xml:space="preserve"> (Oct. 24, 2019, 4:11 PM)</w:t>
      </w:r>
      <w:r>
        <w:rPr>
          <w:rFonts w:ascii="Times New Roman" w:hAnsi="Times New Roman"/>
          <w:sz w:val="24"/>
          <w:szCs w:val="24"/>
        </w:rPr>
        <w:t>….</w:t>
      </w:r>
      <w:r w:rsidRPr="003342D2">
        <w:rPr>
          <w:rFonts w:ascii="Times New Roman" w:hAnsi="Times New Roman"/>
          <w:sz w:val="24"/>
          <w:szCs w:val="24"/>
        </w:rPr>
        <w:t xml:space="preserve"> </w:t>
      </w:r>
    </w:p>
    <w:p w14:paraId="0958D754" w14:textId="77777777" w:rsidR="00727951" w:rsidRDefault="00727951" w:rsidP="00727951">
      <w:pPr>
        <w:spacing w:before="100" w:beforeAutospacing="1" w:after="100" w:afterAutospacing="1" w:line="240" w:lineRule="auto"/>
        <w:ind w:left="720"/>
        <w:rPr>
          <w:rFonts w:ascii="Times New Roman" w:eastAsia="Times New Roman" w:hAnsi="Times New Roman"/>
          <w:sz w:val="24"/>
          <w:szCs w:val="24"/>
        </w:rPr>
      </w:pPr>
      <w:r>
        <w:rPr>
          <w:rFonts w:ascii="Times New Roman" w:hAnsi="Times New Roman"/>
          <w:sz w:val="24"/>
          <w:szCs w:val="24"/>
        </w:rPr>
        <w:t xml:space="preserve">[Watch the video and read the article.] </w:t>
      </w:r>
      <w:hyperlink r:id="rId1411" w:history="1">
        <w:r w:rsidRPr="00BA2523">
          <w:rPr>
            <w:rStyle w:val="Hyperlink"/>
            <w:rFonts w:ascii="Times New Roman" w:eastAsia="Times New Roman" w:hAnsi="Times New Roman"/>
            <w:sz w:val="24"/>
            <w:szCs w:val="24"/>
          </w:rPr>
          <w:t>https://www.wavy.com/news/local-news/norfolk/special-report-norfolk-under-fire-for-treatment-of-female-employees/</w:t>
        </w:r>
      </w:hyperlink>
      <w:r w:rsidRPr="003342D2">
        <w:rPr>
          <w:rFonts w:ascii="Times New Roman" w:eastAsia="Times New Roman" w:hAnsi="Times New Roman"/>
          <w:sz w:val="24"/>
          <w:szCs w:val="24"/>
        </w:rPr>
        <w:t xml:space="preserve"> </w:t>
      </w:r>
    </w:p>
    <w:p w14:paraId="304970AE" w14:textId="77777777" w:rsidR="00727951" w:rsidRDefault="00727951" w:rsidP="00727951">
      <w:pPr>
        <w:spacing w:before="100" w:beforeAutospacing="1" w:after="100" w:afterAutospacing="1" w:line="240" w:lineRule="auto"/>
        <w:ind w:left="720"/>
        <w:rPr>
          <w:rFonts w:ascii="Times New Roman" w:hAnsi="Times New Roman"/>
          <w:sz w:val="24"/>
          <w:szCs w:val="24"/>
        </w:rPr>
      </w:pPr>
      <w:r w:rsidRPr="003342D2">
        <w:rPr>
          <w:rFonts w:ascii="Times New Roman" w:hAnsi="Times New Roman"/>
          <w:sz w:val="24"/>
          <w:szCs w:val="24"/>
        </w:rPr>
        <w:t>NORFOLK, Va. (WAVY) – Humiliation and hostility.  That’s what two women claim happened to them in the Norfolk Fire Marshal’s Office.  The women feel they are treated differently than their male co-workers and are taking the city to court.</w:t>
      </w:r>
    </w:p>
    <w:p w14:paraId="0C74A1C6" w14:textId="77777777" w:rsidR="00727951" w:rsidRPr="007D487F" w:rsidRDefault="00727951" w:rsidP="00727951">
      <w:pPr>
        <w:spacing w:before="100" w:beforeAutospacing="1" w:after="100" w:afterAutospacing="1" w:line="240" w:lineRule="auto"/>
        <w:ind w:left="720"/>
        <w:rPr>
          <w:rFonts w:ascii="Times New Roman" w:eastAsia="Times New Roman" w:hAnsi="Times New Roman"/>
          <w:sz w:val="24"/>
          <w:szCs w:val="24"/>
        </w:rPr>
      </w:pPr>
      <w:r w:rsidRPr="007D487F">
        <w:rPr>
          <w:rFonts w:ascii="Times New Roman" w:eastAsia="Times New Roman" w:hAnsi="Times New Roman"/>
          <w:sz w:val="24"/>
          <w:szCs w:val="24"/>
        </w:rPr>
        <w:t>“Changes tend to happen when people pay attention to the problems,” said attorney Barry Montgomery.</w:t>
      </w:r>
      <w:r>
        <w:rPr>
          <w:rFonts w:ascii="Times New Roman" w:eastAsia="Times New Roman" w:hAnsi="Times New Roman"/>
          <w:sz w:val="24"/>
          <w:szCs w:val="24"/>
        </w:rPr>
        <w:t xml:space="preserve"> </w:t>
      </w:r>
      <w:r w:rsidRPr="007D487F">
        <w:rPr>
          <w:rFonts w:ascii="Times New Roman" w:eastAsia="Times New Roman" w:hAnsi="Times New Roman"/>
          <w:sz w:val="24"/>
          <w:szCs w:val="24"/>
        </w:rPr>
        <w:t>Montgomery is the attorney for the two women: Karen Baka, a current Norfolk Fire Marshal, and Karen Barnes, who retired from the Fire Marshal’s Office after 30 years of service.</w:t>
      </w:r>
      <w:r>
        <w:rPr>
          <w:rFonts w:ascii="Times New Roman" w:eastAsia="Times New Roman" w:hAnsi="Times New Roman"/>
          <w:sz w:val="24"/>
          <w:szCs w:val="24"/>
        </w:rPr>
        <w:t xml:space="preserve"> </w:t>
      </w:r>
      <w:r w:rsidRPr="007D487F">
        <w:rPr>
          <w:rFonts w:ascii="Times New Roman" w:eastAsia="Times New Roman" w:hAnsi="Times New Roman"/>
          <w:sz w:val="24"/>
          <w:szCs w:val="24"/>
        </w:rPr>
        <w:t>Baka, who has been with Norfolk Fire since 1985, says she has been overlooked on purpose for promotions.</w:t>
      </w:r>
      <w:r>
        <w:rPr>
          <w:rFonts w:ascii="Times New Roman" w:eastAsia="Times New Roman" w:hAnsi="Times New Roman"/>
          <w:sz w:val="24"/>
          <w:szCs w:val="24"/>
        </w:rPr>
        <w:t xml:space="preserve"> ‘</w:t>
      </w:r>
      <w:r w:rsidRPr="007D487F">
        <w:rPr>
          <w:rFonts w:ascii="Times New Roman" w:eastAsia="Times New Roman" w:hAnsi="Times New Roman"/>
          <w:sz w:val="24"/>
          <w:szCs w:val="24"/>
        </w:rPr>
        <w:t>One of her major complaints is failure to not get promoted,</w:t>
      </w:r>
      <w:r>
        <w:rPr>
          <w:rFonts w:ascii="Times New Roman" w:eastAsia="Times New Roman" w:hAnsi="Times New Roman"/>
          <w:sz w:val="24"/>
          <w:szCs w:val="24"/>
        </w:rPr>
        <w:t>’</w:t>
      </w:r>
      <w:r w:rsidRPr="007D487F">
        <w:rPr>
          <w:rFonts w:ascii="Times New Roman" w:eastAsia="Times New Roman" w:hAnsi="Times New Roman"/>
          <w:sz w:val="24"/>
          <w:szCs w:val="24"/>
        </w:rPr>
        <w:t xml:space="preserve"> Montgomery said.  “She filed for promotion three separate times for lieutenant and was denied each time.  The job went to male firefighters who did not have as much experience as she did.  She noticed that happened after she made her complaints.”</w:t>
      </w:r>
      <w:r>
        <w:rPr>
          <w:rFonts w:ascii="Times New Roman" w:eastAsia="Times New Roman" w:hAnsi="Times New Roman"/>
          <w:sz w:val="24"/>
          <w:szCs w:val="24"/>
        </w:rPr>
        <w:t xml:space="preserve"> </w:t>
      </w:r>
      <w:r w:rsidRPr="007D487F">
        <w:rPr>
          <w:rFonts w:ascii="Times New Roman" w:eastAsia="Times New Roman" w:hAnsi="Times New Roman"/>
          <w:sz w:val="24"/>
          <w:szCs w:val="24"/>
        </w:rPr>
        <w:t xml:space="preserve">Barnes, who retired as a lieutenant, says she felt threatened, humiliated and picked on by her boss.  She was told at times that if she went behind his </w:t>
      </w:r>
      <w:proofErr w:type="gramStart"/>
      <w:r w:rsidRPr="007D487F">
        <w:rPr>
          <w:rFonts w:ascii="Times New Roman" w:eastAsia="Times New Roman" w:hAnsi="Times New Roman"/>
          <w:sz w:val="24"/>
          <w:szCs w:val="24"/>
        </w:rPr>
        <w:t>back</w:t>
      </w:r>
      <w:proofErr w:type="gramEnd"/>
      <w:r w:rsidRPr="007D487F">
        <w:rPr>
          <w:rFonts w:ascii="Times New Roman" w:eastAsia="Times New Roman" w:hAnsi="Times New Roman"/>
          <w:sz w:val="24"/>
          <w:szCs w:val="24"/>
        </w:rPr>
        <w:t xml:space="preserve"> she would feel his wrath.</w:t>
      </w:r>
      <w:r>
        <w:rPr>
          <w:rFonts w:ascii="Times New Roman" w:eastAsia="Times New Roman" w:hAnsi="Times New Roman"/>
          <w:sz w:val="24"/>
          <w:szCs w:val="24"/>
        </w:rPr>
        <w:t>”</w:t>
      </w:r>
    </w:p>
    <w:p w14:paraId="37C43A5F" w14:textId="77777777" w:rsidR="00727951" w:rsidRPr="006539C7" w:rsidRDefault="00727951" w:rsidP="00727951">
      <w:pPr>
        <w:spacing w:before="100" w:beforeAutospacing="1" w:after="100" w:afterAutospacing="1" w:line="240" w:lineRule="auto"/>
        <w:rPr>
          <w:rFonts w:ascii="Times New Roman" w:eastAsia="Times New Roman" w:hAnsi="Times New Roman"/>
          <w:b/>
          <w:bCs/>
          <w:sz w:val="24"/>
          <w:szCs w:val="24"/>
        </w:rPr>
      </w:pPr>
      <w:r w:rsidRPr="006539C7">
        <w:rPr>
          <w:rFonts w:ascii="Times New Roman" w:hAnsi="Times New Roman"/>
          <w:b/>
          <w:bCs/>
          <w:sz w:val="24"/>
          <w:szCs w:val="24"/>
        </w:rPr>
        <w:t>Legal Lesson Learned:</w:t>
      </w:r>
      <w:r>
        <w:rPr>
          <w:rFonts w:ascii="Times New Roman" w:hAnsi="Times New Roman"/>
          <w:b/>
          <w:bCs/>
          <w:sz w:val="24"/>
          <w:szCs w:val="24"/>
        </w:rPr>
        <w:t xml:space="preserve"> Claims of retaliation, particularly after an internal complaint of hostile workplace has been submitted to the employer, can be difficult to defend before a jury. </w:t>
      </w:r>
    </w:p>
    <w:p w14:paraId="7E001876" w14:textId="77777777" w:rsidR="00727951" w:rsidRDefault="00727951" w:rsidP="00727951">
      <w:pPr>
        <w:pStyle w:val="Heading1"/>
        <w:ind w:left="720"/>
        <w:rPr>
          <w:b w:val="0"/>
          <w:bCs w:val="0"/>
          <w:sz w:val="24"/>
          <w:szCs w:val="24"/>
        </w:rPr>
      </w:pPr>
      <w:r w:rsidRPr="00FF3DE1">
        <w:rPr>
          <w:b w:val="0"/>
          <w:bCs w:val="0"/>
          <w:sz w:val="24"/>
          <w:szCs w:val="24"/>
        </w:rPr>
        <w:t xml:space="preserve">Note: </w:t>
      </w:r>
      <w:r>
        <w:rPr>
          <w:b w:val="0"/>
          <w:bCs w:val="0"/>
          <w:sz w:val="24"/>
          <w:szCs w:val="24"/>
        </w:rPr>
        <w:t xml:space="preserve">Reportedly, plaintiff settled a prior lawsuit against the </w:t>
      </w:r>
      <w:proofErr w:type="gramStart"/>
      <w:r>
        <w:rPr>
          <w:b w:val="0"/>
          <w:bCs w:val="0"/>
          <w:sz w:val="24"/>
          <w:szCs w:val="24"/>
        </w:rPr>
        <w:t>City</w:t>
      </w:r>
      <w:proofErr w:type="gramEnd"/>
      <w:r>
        <w:rPr>
          <w:b w:val="0"/>
          <w:bCs w:val="0"/>
          <w:sz w:val="24"/>
          <w:szCs w:val="24"/>
        </w:rPr>
        <w:t xml:space="preserve"> for $87,000. </w:t>
      </w:r>
    </w:p>
    <w:p w14:paraId="64B771C8" w14:textId="77777777" w:rsidR="00727951" w:rsidRPr="00FF3DE1" w:rsidRDefault="00727951" w:rsidP="00727951">
      <w:pPr>
        <w:pStyle w:val="Heading1"/>
        <w:ind w:left="720"/>
        <w:rPr>
          <w:b w:val="0"/>
          <w:bCs w:val="0"/>
          <w:sz w:val="24"/>
          <w:szCs w:val="24"/>
        </w:rPr>
      </w:pPr>
      <w:r>
        <w:rPr>
          <w:b w:val="0"/>
          <w:bCs w:val="0"/>
          <w:sz w:val="24"/>
          <w:szCs w:val="24"/>
        </w:rPr>
        <w:t xml:space="preserve">See </w:t>
      </w:r>
      <w:r w:rsidRPr="00FF3DE1">
        <w:rPr>
          <w:b w:val="0"/>
          <w:bCs w:val="0"/>
          <w:sz w:val="24"/>
          <w:szCs w:val="24"/>
        </w:rPr>
        <w:t xml:space="preserve">March 13, </w:t>
      </w:r>
      <w:proofErr w:type="gramStart"/>
      <w:r w:rsidRPr="00FF3DE1">
        <w:rPr>
          <w:b w:val="0"/>
          <w:bCs w:val="0"/>
          <w:sz w:val="24"/>
          <w:szCs w:val="24"/>
        </w:rPr>
        <w:t>2022</w:t>
      </w:r>
      <w:proofErr w:type="gramEnd"/>
      <w:r>
        <w:rPr>
          <w:b w:val="0"/>
          <w:bCs w:val="0"/>
          <w:sz w:val="24"/>
          <w:szCs w:val="24"/>
        </w:rPr>
        <w:t xml:space="preserve"> article</w:t>
      </w:r>
      <w:r w:rsidRPr="00FF3DE1">
        <w:rPr>
          <w:b w:val="0"/>
          <w:bCs w:val="0"/>
          <w:sz w:val="24"/>
          <w:szCs w:val="24"/>
        </w:rPr>
        <w:t>.</w:t>
      </w:r>
      <w:r>
        <w:rPr>
          <w:sz w:val="24"/>
          <w:szCs w:val="24"/>
        </w:rPr>
        <w:t xml:space="preserve"> “</w:t>
      </w:r>
      <w:r w:rsidRPr="00FF3DE1">
        <w:rPr>
          <w:b w:val="0"/>
          <w:bCs w:val="0"/>
          <w:sz w:val="24"/>
          <w:szCs w:val="24"/>
        </w:rPr>
        <w:t xml:space="preserve">Court Refuses to Dismiss State Law Claims in Norfolk Retaliation Suit.” </w:t>
      </w:r>
      <w:hyperlink r:id="rId1412" w:history="1">
        <w:r w:rsidRPr="000247F2">
          <w:rPr>
            <w:rStyle w:val="Hyperlink"/>
            <w:rFonts w:eastAsiaTheme="majorEastAsia"/>
            <w:b w:val="0"/>
            <w:bCs w:val="0"/>
            <w:sz w:val="24"/>
            <w:szCs w:val="24"/>
          </w:rPr>
          <w:t>https://www.firelawblog.com/2022/03/13/court-refuses-to-dismiss-state-law-claims-in-norfolk-retaliation-suit/</w:t>
        </w:r>
      </w:hyperlink>
      <w:r>
        <w:rPr>
          <w:b w:val="0"/>
          <w:bCs w:val="0"/>
          <w:sz w:val="24"/>
          <w:szCs w:val="24"/>
        </w:rPr>
        <w:t xml:space="preserve"> </w:t>
      </w:r>
    </w:p>
    <w:p w14:paraId="6C94FCDD" w14:textId="77777777" w:rsidR="00727951" w:rsidRDefault="00727951" w:rsidP="00727951">
      <w:pPr>
        <w:pStyle w:val="NormalWeb"/>
        <w:ind w:left="1440"/>
      </w:pPr>
      <w:r>
        <w:t>The US District Court for the Eastern District of Virginia has refused to dismiss the state law claims of a fire investigator with Norfolk Fire-Rescue who alleges sexual harassment, discrimination, retaliation, and violation of Virginia’s Whistleblower Protection Act.</w:t>
      </w:r>
    </w:p>
    <w:p w14:paraId="2AB5AA1D" w14:textId="77777777" w:rsidR="00727951" w:rsidRDefault="00727951" w:rsidP="00727951">
      <w:pPr>
        <w:pStyle w:val="NormalWeb"/>
        <w:ind w:left="1440"/>
      </w:pPr>
      <w:r>
        <w:lastRenderedPageBreak/>
        <w:t xml:space="preserve">Karen Baka filed the suit last year. It was her second suit against the city. Baka had previously filed a gender discrimination suit in 2019. That suit ultimately settled for $87,000. </w:t>
      </w:r>
    </w:p>
    <w:p w14:paraId="68768599" w14:textId="77777777" w:rsidR="00E3473F" w:rsidRDefault="00E3473F" w:rsidP="00F326E5">
      <w:pPr>
        <w:pStyle w:val="NoSpacing"/>
        <w:rPr>
          <w:rFonts w:ascii="Arial Black" w:hAnsi="Arial Black"/>
          <w:sz w:val="24"/>
          <w:szCs w:val="24"/>
        </w:rPr>
      </w:pPr>
    </w:p>
    <w:p w14:paraId="24BCAEE5" w14:textId="4D704E3E" w:rsidR="00727951" w:rsidRDefault="00727951" w:rsidP="00F326E5">
      <w:pPr>
        <w:pStyle w:val="NoSpacing"/>
        <w:rPr>
          <w:rFonts w:ascii="Arial Black" w:hAnsi="Arial Black"/>
          <w:sz w:val="24"/>
          <w:szCs w:val="24"/>
        </w:rPr>
      </w:pPr>
      <w:r>
        <w:rPr>
          <w:rFonts w:ascii="Arial Black" w:hAnsi="Arial Black"/>
          <w:sz w:val="24"/>
          <w:szCs w:val="24"/>
        </w:rPr>
        <w:t xml:space="preserve">7-41 </w:t>
      </w:r>
      <w:r w:rsidRPr="00E3473F">
        <w:rPr>
          <w:rFonts w:ascii="Times New Roman" w:hAnsi="Times New Roman"/>
          <w:sz w:val="24"/>
          <w:szCs w:val="24"/>
        </w:rPr>
        <w:t>[also filed, Chap. 18]</w:t>
      </w:r>
    </w:p>
    <w:p w14:paraId="5155AF29" w14:textId="5F2DA151" w:rsidR="00727951" w:rsidRDefault="00727951" w:rsidP="00F326E5">
      <w:pPr>
        <w:pStyle w:val="NoSpacing"/>
        <w:rPr>
          <w:rFonts w:ascii="Arial Black" w:hAnsi="Arial Black"/>
          <w:sz w:val="24"/>
          <w:szCs w:val="24"/>
        </w:rPr>
      </w:pPr>
    </w:p>
    <w:p w14:paraId="35ADCEBE" w14:textId="77777777" w:rsidR="00727951" w:rsidRPr="00D61E07" w:rsidRDefault="00727951" w:rsidP="00727951">
      <w:pPr>
        <w:pStyle w:val="Heading1"/>
        <w:rPr>
          <w:rFonts w:ascii="Arial Black" w:hAnsi="Arial Black"/>
          <w:sz w:val="28"/>
          <w:szCs w:val="28"/>
        </w:rPr>
      </w:pPr>
      <w:r>
        <w:rPr>
          <w:rFonts w:ascii="Arial Black" w:hAnsi="Arial Black"/>
          <w:sz w:val="28"/>
          <w:szCs w:val="28"/>
        </w:rPr>
        <w:t>DC: SEXUAL HARASSMENT OR ASSAULT – NEW FEDERAL LAW - INVALID EMPLOYEE MANDATORY ARBITRATIONS</w:t>
      </w:r>
    </w:p>
    <w:p w14:paraId="67E11E85" w14:textId="77777777" w:rsidR="00727951" w:rsidRPr="00D61E07" w:rsidRDefault="00727951" w:rsidP="007279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Pr>
          <w:rFonts w:ascii="Times New Roman" w:eastAsia="Times New Roman" w:hAnsi="Times New Roman"/>
          <w:sz w:val="24"/>
          <w:szCs w:val="24"/>
        </w:rPr>
        <w:t>On March 3, 2022, President Biden signed into law the “</w:t>
      </w:r>
      <w:r w:rsidRPr="00D61E07">
        <w:rPr>
          <w:rFonts w:ascii="Times New Roman" w:hAnsi="Times New Roman"/>
          <w:sz w:val="24"/>
          <w:szCs w:val="24"/>
        </w:rPr>
        <w:t>Ending Forced Arbitration of Sexual Assault and Sexual Harassment Act</w:t>
      </w:r>
      <w:r>
        <w:rPr>
          <w:rFonts w:ascii="Times New Roman" w:hAnsi="Times New Roman"/>
          <w:sz w:val="24"/>
          <w:szCs w:val="24"/>
        </w:rPr>
        <w:t xml:space="preserve">.”  The law amends the Federal Arbitration Act to prohibit mandatory arbitration of sexual harassment and sexual assault claims in arbitration agreements. </w:t>
      </w:r>
      <w:hyperlink r:id="rId1413" w:history="1">
        <w:r w:rsidRPr="005A2A16">
          <w:rPr>
            <w:rStyle w:val="Hyperlink"/>
            <w:rFonts w:ascii="Times New Roman" w:eastAsia="Times New Roman" w:hAnsi="Times New Roman"/>
            <w:sz w:val="24"/>
            <w:szCs w:val="24"/>
          </w:rPr>
          <w:t>https://www.congress.gov/bill/117th-congress/house-bill/4445/text</w:t>
        </w:r>
      </w:hyperlink>
    </w:p>
    <w:p w14:paraId="425CC9CE" w14:textId="77777777" w:rsidR="00727951" w:rsidRPr="00AD3667" w:rsidRDefault="00727951" w:rsidP="007279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bCs/>
          <w:sz w:val="24"/>
          <w:szCs w:val="24"/>
        </w:rPr>
      </w:pPr>
    </w:p>
    <w:p w14:paraId="7CB6B67A" w14:textId="77777777" w:rsidR="00727951" w:rsidRPr="00BC5C71" w:rsidRDefault="00727951" w:rsidP="00727951">
      <w:pPr>
        <w:pStyle w:val="ListParagraph"/>
        <w:numPr>
          <w:ilvl w:val="0"/>
          <w:numId w:val="14"/>
        </w:numPr>
        <w:tabs>
          <w:tab w:val="left" w:pos="916"/>
          <w:tab w:val="left" w:pos="99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BC5C71">
        <w:rPr>
          <w:rFonts w:ascii="Times New Roman" w:eastAsia="Times New Roman" w:hAnsi="Times New Roman" w:cs="Times New Roman"/>
          <w:sz w:val="24"/>
          <w:szCs w:val="24"/>
        </w:rPr>
        <w:t xml:space="preserve">In General - Notwithstanding any other provision of this title, at the election of the person alleging conduct constituting a sexual harassment dispute or sexual assault dispute, or the named representative of a class or in a collective action alleging such conduct, no </w:t>
      </w:r>
      <w:proofErr w:type="spellStart"/>
      <w:r w:rsidRPr="00BC5C71">
        <w:rPr>
          <w:rFonts w:ascii="Times New Roman" w:eastAsia="Times New Roman" w:hAnsi="Times New Roman" w:cs="Times New Roman"/>
          <w:sz w:val="24"/>
          <w:szCs w:val="24"/>
        </w:rPr>
        <w:t>predispute</w:t>
      </w:r>
      <w:proofErr w:type="spellEnd"/>
      <w:r w:rsidRPr="00BC5C71">
        <w:rPr>
          <w:rFonts w:ascii="Times New Roman" w:eastAsia="Times New Roman" w:hAnsi="Times New Roman" w:cs="Times New Roman"/>
          <w:sz w:val="24"/>
          <w:szCs w:val="24"/>
        </w:rPr>
        <w:t xml:space="preserve"> arbitration agreement or </w:t>
      </w:r>
      <w:proofErr w:type="spellStart"/>
      <w:r w:rsidRPr="00BC5C71">
        <w:rPr>
          <w:rFonts w:ascii="Times New Roman" w:eastAsia="Times New Roman" w:hAnsi="Times New Roman" w:cs="Times New Roman"/>
          <w:sz w:val="24"/>
          <w:szCs w:val="24"/>
        </w:rPr>
        <w:t>predispute</w:t>
      </w:r>
      <w:proofErr w:type="spellEnd"/>
      <w:r w:rsidRPr="00BC5C71">
        <w:rPr>
          <w:rFonts w:ascii="Times New Roman" w:eastAsia="Times New Roman" w:hAnsi="Times New Roman" w:cs="Times New Roman"/>
          <w:sz w:val="24"/>
          <w:szCs w:val="24"/>
        </w:rPr>
        <w:t xml:space="preserve"> joint-action waiver shall be valid or enforceable with respect to a case which is filed under Federal, Tribal, or State law and relates to the sexual assault dispute or the sexual harassment dispute.</w:t>
      </w:r>
    </w:p>
    <w:p w14:paraId="088373F0" w14:textId="77777777" w:rsidR="00727951" w:rsidRDefault="00727951" w:rsidP="00727951">
      <w:pPr>
        <w:pStyle w:val="HTMLPreformatted"/>
        <w:jc w:val="both"/>
        <w:rPr>
          <w:rFonts w:ascii="Times New Roman" w:hAnsi="Times New Roman" w:cs="Times New Roman"/>
          <w:sz w:val="24"/>
          <w:szCs w:val="24"/>
        </w:rPr>
      </w:pPr>
    </w:p>
    <w:p w14:paraId="36037D5A" w14:textId="77777777" w:rsidR="00727951" w:rsidRPr="002D6970" w:rsidRDefault="00727951" w:rsidP="00727951">
      <w:pPr>
        <w:pStyle w:val="HTMLPreformatted"/>
        <w:numPr>
          <w:ilvl w:val="0"/>
          <w:numId w:val="14"/>
        </w:numPr>
        <w:jc w:val="both"/>
        <w:rPr>
          <w:rFonts w:ascii="Times New Roman" w:hAnsi="Times New Roman" w:cs="Times New Roman"/>
          <w:sz w:val="24"/>
          <w:szCs w:val="24"/>
        </w:rPr>
      </w:pPr>
      <w:r w:rsidRPr="002D6970">
        <w:rPr>
          <w:rFonts w:ascii="Times New Roman" w:hAnsi="Times New Roman" w:cs="Times New Roman"/>
          <w:sz w:val="24"/>
          <w:szCs w:val="24"/>
        </w:rPr>
        <w:t>Determination of Applicability. An issue as to whether this chapter applies with respect to a dispute shall be determined under Federal law. The applicability of this chapter to an agreement to arbitrate and the validity and enforceability of an agreement to which this chapter applies shall be determined by a court, rather than an arbitrator, irrespective of whether the party resisting arbitration challenges the arbitration agreement specifically or in conjunction with other terms of the contract containing such agreement, and irrespective of whether the agreement purports to delegate such determinations to an arbitrator.''</w:t>
      </w:r>
    </w:p>
    <w:p w14:paraId="3EECC441" w14:textId="77777777" w:rsidR="00727951" w:rsidRPr="00D61E07" w:rsidRDefault="00727951" w:rsidP="007279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eastAsia="Times New Roman" w:hAnsi="Times New Roman"/>
          <w:sz w:val="24"/>
          <w:szCs w:val="24"/>
        </w:rPr>
      </w:pPr>
      <w:hyperlink r:id="rId1414" w:history="1">
        <w:r w:rsidRPr="005A2A16">
          <w:rPr>
            <w:rStyle w:val="Hyperlink"/>
            <w:rFonts w:ascii="Times New Roman" w:eastAsia="Times New Roman" w:hAnsi="Times New Roman"/>
            <w:sz w:val="24"/>
            <w:szCs w:val="24"/>
          </w:rPr>
          <w:t>https://www.congress.gov/bill/117th-congress/house-bill/4445/text</w:t>
        </w:r>
      </w:hyperlink>
    </w:p>
    <w:p w14:paraId="1C31D44C" w14:textId="77777777" w:rsidR="00727951" w:rsidRDefault="00727951" w:rsidP="00727951">
      <w:pPr>
        <w:pStyle w:val="Heading1"/>
        <w:rPr>
          <w:sz w:val="24"/>
          <w:szCs w:val="24"/>
        </w:rPr>
      </w:pPr>
      <w:r w:rsidRPr="002D6970">
        <w:rPr>
          <w:sz w:val="24"/>
          <w:szCs w:val="24"/>
        </w:rPr>
        <w:t xml:space="preserve">Legal Lesson Learned: </w:t>
      </w:r>
      <w:r>
        <w:rPr>
          <w:sz w:val="24"/>
          <w:szCs w:val="24"/>
        </w:rPr>
        <w:t xml:space="preserve">Fire &amp; EMS departments should review their Employee Handbooks and other documents and remove any provision requiring arbitration for claims of sexual harassment or sexual assault. </w:t>
      </w:r>
    </w:p>
    <w:p w14:paraId="3EAA238D" w14:textId="77777777" w:rsidR="00727951" w:rsidRDefault="00727951" w:rsidP="00727951">
      <w:pPr>
        <w:pStyle w:val="Heading1"/>
        <w:ind w:left="720"/>
        <w:rPr>
          <w:b w:val="0"/>
          <w:bCs w:val="0"/>
          <w:sz w:val="24"/>
          <w:szCs w:val="24"/>
        </w:rPr>
      </w:pPr>
      <w:r>
        <w:rPr>
          <w:b w:val="0"/>
          <w:bCs w:val="0"/>
          <w:sz w:val="24"/>
          <w:szCs w:val="24"/>
        </w:rPr>
        <w:t xml:space="preserve">Note:  </w:t>
      </w:r>
    </w:p>
    <w:p w14:paraId="2022BE0D" w14:textId="77777777" w:rsidR="00727951" w:rsidRPr="00AD3667" w:rsidRDefault="00727951" w:rsidP="00727951">
      <w:pPr>
        <w:pStyle w:val="Heading2"/>
        <w:ind w:left="720"/>
        <w:rPr>
          <w:rFonts w:ascii="Times New Roman" w:hAnsi="Times New Roman"/>
          <w:sz w:val="24"/>
          <w:szCs w:val="24"/>
        </w:rPr>
      </w:pPr>
      <w:r w:rsidRPr="00AD3667">
        <w:rPr>
          <w:rFonts w:ascii="Times New Roman" w:hAnsi="Times New Roman"/>
          <w:sz w:val="24"/>
          <w:szCs w:val="24"/>
        </w:rPr>
        <w:t xml:space="preserve">March 28, 2022: </w:t>
      </w:r>
      <w:r>
        <w:rPr>
          <w:rFonts w:ascii="Times New Roman" w:hAnsi="Times New Roman"/>
          <w:sz w:val="24"/>
          <w:szCs w:val="24"/>
        </w:rPr>
        <w:t>“</w:t>
      </w:r>
      <w:r w:rsidRPr="00AD3667">
        <w:rPr>
          <w:rFonts w:ascii="Times New Roman" w:hAnsi="Times New Roman"/>
          <w:sz w:val="24"/>
          <w:szCs w:val="24"/>
        </w:rPr>
        <w:t>Moving Away from Mandatory Arbitration Over Sexual Assault and Harassment Claims</w:t>
      </w:r>
      <w:r>
        <w:rPr>
          <w:rFonts w:ascii="Times New Roman" w:hAnsi="Times New Roman"/>
          <w:sz w:val="24"/>
          <w:szCs w:val="24"/>
        </w:rPr>
        <w:t xml:space="preserve">.” </w:t>
      </w:r>
      <w:hyperlink r:id="rId1415" w:history="1">
        <w:r w:rsidRPr="007C2998">
          <w:rPr>
            <w:rStyle w:val="Hyperlink"/>
            <w:rFonts w:ascii="Times New Roman" w:hAnsi="Times New Roman"/>
            <w:sz w:val="24"/>
            <w:szCs w:val="24"/>
          </w:rPr>
          <w:t>https://fisheldowney.com/moving-away-mandatory-arbitration-sexual-assault-harassment-claims/</w:t>
        </w:r>
      </w:hyperlink>
      <w:r>
        <w:rPr>
          <w:rFonts w:ascii="Times New Roman" w:hAnsi="Times New Roman"/>
          <w:sz w:val="24"/>
          <w:szCs w:val="24"/>
        </w:rPr>
        <w:t xml:space="preserve"> </w:t>
      </w:r>
    </w:p>
    <w:p w14:paraId="6FE1CCCA" w14:textId="77777777" w:rsidR="00727951" w:rsidRPr="00AD3667" w:rsidRDefault="00727951" w:rsidP="00727951">
      <w:pPr>
        <w:pStyle w:val="Heading1"/>
        <w:ind w:left="1440"/>
        <w:rPr>
          <w:b w:val="0"/>
          <w:bCs w:val="0"/>
          <w:sz w:val="24"/>
          <w:szCs w:val="24"/>
        </w:rPr>
      </w:pPr>
      <w:r>
        <w:rPr>
          <w:b w:val="0"/>
          <w:bCs w:val="0"/>
          <w:sz w:val="24"/>
          <w:szCs w:val="24"/>
        </w:rPr>
        <w:t>“</w:t>
      </w:r>
      <w:r w:rsidRPr="00AD3667">
        <w:rPr>
          <w:b w:val="0"/>
          <w:bCs w:val="0"/>
          <w:sz w:val="24"/>
          <w:szCs w:val="24"/>
        </w:rPr>
        <w:t xml:space="preserve">Given these changes to the FAA, it is critical for employers to review their arbitration agreements and remove any language indicating sexual assault or harassment claims must be arbitrated. The existence of such provisions could invalidate the agreement </w:t>
      </w:r>
      <w:proofErr w:type="gramStart"/>
      <w:r w:rsidRPr="00AD3667">
        <w:rPr>
          <w:b w:val="0"/>
          <w:bCs w:val="0"/>
          <w:sz w:val="24"/>
          <w:szCs w:val="24"/>
        </w:rPr>
        <w:t>in whole</w:t>
      </w:r>
      <w:proofErr w:type="gramEnd"/>
      <w:r w:rsidRPr="00AD3667">
        <w:rPr>
          <w:b w:val="0"/>
          <w:bCs w:val="0"/>
          <w:sz w:val="24"/>
          <w:szCs w:val="24"/>
        </w:rPr>
        <w:t xml:space="preserve"> or in part. In addition to revising the arbitration agreement provisions in the employee handbook or collective bargaining agreement, employers should also tighten their procedures and requirements for investigating and reporting sexual harassment and assault to avoid liability. In terms of reporting procedures, employers should have clearly defined persons of contact for reporting.</w:t>
      </w:r>
      <w:r>
        <w:rPr>
          <w:b w:val="0"/>
          <w:bCs w:val="0"/>
          <w:sz w:val="24"/>
          <w:szCs w:val="24"/>
        </w:rPr>
        <w:t>”</w:t>
      </w:r>
    </w:p>
    <w:p w14:paraId="447A59F1" w14:textId="77777777" w:rsidR="00727951" w:rsidRDefault="00727951" w:rsidP="00727951">
      <w:pPr>
        <w:pStyle w:val="Heading1"/>
        <w:ind w:left="720"/>
        <w:rPr>
          <w:b w:val="0"/>
          <w:bCs w:val="0"/>
          <w:sz w:val="24"/>
          <w:szCs w:val="24"/>
        </w:rPr>
      </w:pPr>
      <w:r w:rsidRPr="002D6970">
        <w:rPr>
          <w:b w:val="0"/>
          <w:bCs w:val="0"/>
          <w:sz w:val="24"/>
          <w:szCs w:val="24"/>
        </w:rPr>
        <w:t xml:space="preserve">March 3, 2022: “Biden signs bill to end forced arbitration in sexual harassment, assault cases.” </w:t>
      </w:r>
      <w:hyperlink r:id="rId1416" w:history="1">
        <w:r w:rsidRPr="005A2A16">
          <w:rPr>
            <w:rStyle w:val="Hyperlink"/>
            <w:rFonts w:eastAsiaTheme="majorEastAsia"/>
            <w:b w:val="0"/>
            <w:bCs w:val="0"/>
            <w:sz w:val="24"/>
            <w:szCs w:val="24"/>
          </w:rPr>
          <w:t>https://www.kktv.com/2022/03/03/biden-sign-bill-ending-forced-arbitration-sexual-harassment-assault-cases/</w:t>
        </w:r>
      </w:hyperlink>
    </w:p>
    <w:p w14:paraId="24D9566F" w14:textId="77777777" w:rsidR="00727951" w:rsidRPr="002D6970" w:rsidRDefault="00727951" w:rsidP="00727951">
      <w:pPr>
        <w:pStyle w:val="Heading1"/>
        <w:ind w:left="1440"/>
        <w:rPr>
          <w:b w:val="0"/>
          <w:bCs w:val="0"/>
          <w:sz w:val="24"/>
          <w:szCs w:val="24"/>
        </w:rPr>
      </w:pPr>
      <w:r w:rsidRPr="00E42A32">
        <w:rPr>
          <w:b w:val="0"/>
          <w:bCs w:val="0"/>
          <w:sz w:val="24"/>
          <w:szCs w:val="24"/>
        </w:rPr>
        <w:lastRenderedPageBreak/>
        <w:t xml:space="preserve">The law is retroactive, freeing individuals who have been bound by </w:t>
      </w:r>
      <w:proofErr w:type="gramStart"/>
      <w:r w:rsidRPr="00E42A32">
        <w:rPr>
          <w:b w:val="0"/>
          <w:bCs w:val="0"/>
          <w:sz w:val="24"/>
          <w:szCs w:val="24"/>
        </w:rPr>
        <w:t>arbitration language</w:t>
      </w:r>
      <w:proofErr w:type="gramEnd"/>
      <w:r w:rsidRPr="00E42A32">
        <w:rPr>
          <w:b w:val="0"/>
          <w:bCs w:val="0"/>
          <w:sz w:val="24"/>
          <w:szCs w:val="24"/>
        </w:rPr>
        <w:t xml:space="preserve"> to pursue legal action against their harassers.</w:t>
      </w:r>
      <w:r>
        <w:rPr>
          <w:b w:val="0"/>
          <w:bCs w:val="0"/>
          <w:sz w:val="24"/>
          <w:szCs w:val="24"/>
        </w:rPr>
        <w:t xml:space="preserve"> </w:t>
      </w:r>
    </w:p>
    <w:p w14:paraId="40D598AC" w14:textId="77777777" w:rsidR="00727951" w:rsidRPr="00E42A32" w:rsidRDefault="00727951" w:rsidP="00727951">
      <w:pPr>
        <w:pStyle w:val="Heading1"/>
        <w:ind w:left="720"/>
        <w:rPr>
          <w:b w:val="0"/>
          <w:bCs w:val="0"/>
          <w:sz w:val="24"/>
          <w:szCs w:val="24"/>
        </w:rPr>
      </w:pPr>
      <w:r>
        <w:rPr>
          <w:b w:val="0"/>
          <w:bCs w:val="0"/>
          <w:sz w:val="24"/>
          <w:szCs w:val="24"/>
        </w:rPr>
        <w:t>March 1, 2022: “</w:t>
      </w:r>
      <w:r w:rsidRPr="00E42A32">
        <w:rPr>
          <w:b w:val="0"/>
          <w:bCs w:val="0"/>
          <w:sz w:val="24"/>
          <w:szCs w:val="24"/>
        </w:rPr>
        <w:t xml:space="preserve">Congress Votes </w:t>
      </w:r>
      <w:proofErr w:type="gramStart"/>
      <w:r w:rsidRPr="00E42A32">
        <w:rPr>
          <w:b w:val="0"/>
          <w:bCs w:val="0"/>
          <w:sz w:val="24"/>
          <w:szCs w:val="24"/>
        </w:rPr>
        <w:t>To</w:t>
      </w:r>
      <w:proofErr w:type="gramEnd"/>
      <w:r w:rsidRPr="00E42A32">
        <w:rPr>
          <w:b w:val="0"/>
          <w:bCs w:val="0"/>
          <w:sz w:val="24"/>
          <w:szCs w:val="24"/>
        </w:rPr>
        <w:t xml:space="preserve"> End Mandatory Arbitration </w:t>
      </w:r>
      <w:proofErr w:type="gramStart"/>
      <w:r w:rsidRPr="00E42A32">
        <w:rPr>
          <w:b w:val="0"/>
          <w:bCs w:val="0"/>
          <w:sz w:val="24"/>
          <w:szCs w:val="24"/>
        </w:rPr>
        <w:t>Of</w:t>
      </w:r>
      <w:proofErr w:type="gramEnd"/>
      <w:r w:rsidRPr="00E42A32">
        <w:rPr>
          <w:b w:val="0"/>
          <w:bCs w:val="0"/>
          <w:sz w:val="24"/>
          <w:szCs w:val="24"/>
        </w:rPr>
        <w:t xml:space="preserve"> Sexual Assault </w:t>
      </w:r>
      <w:proofErr w:type="gramStart"/>
      <w:r w:rsidRPr="00E42A32">
        <w:rPr>
          <w:b w:val="0"/>
          <w:bCs w:val="0"/>
          <w:sz w:val="24"/>
          <w:szCs w:val="24"/>
        </w:rPr>
        <w:t>And</w:t>
      </w:r>
      <w:proofErr w:type="gramEnd"/>
      <w:r w:rsidRPr="00E42A32">
        <w:rPr>
          <w:b w:val="0"/>
          <w:bCs w:val="0"/>
          <w:sz w:val="24"/>
          <w:szCs w:val="24"/>
        </w:rPr>
        <w:t xml:space="preserve"> Sexual Harassment Claims</w:t>
      </w:r>
      <w:r>
        <w:rPr>
          <w:b w:val="0"/>
          <w:bCs w:val="0"/>
          <w:sz w:val="24"/>
          <w:szCs w:val="24"/>
        </w:rPr>
        <w:t xml:space="preserve">.: </w:t>
      </w:r>
      <w:hyperlink r:id="rId1417" w:history="1">
        <w:r w:rsidRPr="005A2A16">
          <w:rPr>
            <w:rStyle w:val="Hyperlink"/>
            <w:rFonts w:eastAsiaTheme="majorEastAsia"/>
            <w:b w:val="0"/>
            <w:bCs w:val="0"/>
            <w:sz w:val="24"/>
            <w:szCs w:val="24"/>
          </w:rPr>
          <w:t>https://www.natlawreview.com/article/congress-votes-to-end-mandatory-arbitration-sexual-assault-and-sexual-harassment</w:t>
        </w:r>
      </w:hyperlink>
      <w:r>
        <w:rPr>
          <w:b w:val="0"/>
          <w:bCs w:val="0"/>
          <w:sz w:val="24"/>
          <w:szCs w:val="24"/>
        </w:rPr>
        <w:t xml:space="preserve"> </w:t>
      </w:r>
    </w:p>
    <w:p w14:paraId="74929011" w14:textId="77777777" w:rsidR="00727951" w:rsidRDefault="00727951" w:rsidP="00F326E5">
      <w:pPr>
        <w:pStyle w:val="NoSpacing"/>
        <w:rPr>
          <w:rFonts w:ascii="Arial Black" w:hAnsi="Arial Black"/>
          <w:sz w:val="24"/>
          <w:szCs w:val="24"/>
        </w:rPr>
      </w:pPr>
    </w:p>
    <w:p w14:paraId="1EFDC43B" w14:textId="77777777" w:rsidR="00727951" w:rsidRDefault="00727951" w:rsidP="00F326E5">
      <w:pPr>
        <w:pStyle w:val="NoSpacing"/>
        <w:rPr>
          <w:rFonts w:ascii="Arial Black" w:hAnsi="Arial Black"/>
          <w:sz w:val="24"/>
          <w:szCs w:val="24"/>
        </w:rPr>
      </w:pPr>
    </w:p>
    <w:p w14:paraId="2037CC9C" w14:textId="4BB94E4D" w:rsidR="00255E41" w:rsidRPr="005644A4" w:rsidRDefault="005644A4" w:rsidP="00F326E5">
      <w:pPr>
        <w:pStyle w:val="NoSpacing"/>
        <w:rPr>
          <w:rFonts w:ascii="Arial Black" w:hAnsi="Arial Black"/>
          <w:sz w:val="24"/>
          <w:szCs w:val="24"/>
        </w:rPr>
      </w:pPr>
      <w:r w:rsidRPr="005644A4">
        <w:rPr>
          <w:rFonts w:ascii="Arial Black" w:hAnsi="Arial Black"/>
          <w:sz w:val="24"/>
          <w:szCs w:val="24"/>
        </w:rPr>
        <w:t>7-40</w:t>
      </w:r>
    </w:p>
    <w:p w14:paraId="20065990" w14:textId="77777777" w:rsidR="00727951" w:rsidRDefault="00727951" w:rsidP="005644A4">
      <w:pPr>
        <w:rPr>
          <w:rFonts w:ascii="Arial Black" w:hAnsi="Arial Black" w:cs="Arial"/>
          <w:sz w:val="28"/>
          <w:szCs w:val="28"/>
        </w:rPr>
      </w:pPr>
      <w:bookmarkStart w:id="281" w:name="_Hlk92114256"/>
      <w:bookmarkStart w:id="282" w:name="_Hlk7344031"/>
    </w:p>
    <w:p w14:paraId="3D8D325B" w14:textId="50491DBA" w:rsidR="005644A4" w:rsidRPr="00DB2B5C" w:rsidRDefault="005644A4" w:rsidP="005644A4">
      <w:pPr>
        <w:rPr>
          <w:rFonts w:ascii="Arial Black" w:hAnsi="Arial Black" w:cs="Arial"/>
          <w:sz w:val="28"/>
          <w:szCs w:val="28"/>
        </w:rPr>
      </w:pPr>
      <w:r>
        <w:rPr>
          <w:rFonts w:ascii="Arial Black" w:hAnsi="Arial Black" w:cs="Arial"/>
          <w:sz w:val="28"/>
          <w:szCs w:val="28"/>
        </w:rPr>
        <w:t>DE: FEMALE FF LAWSUIT TO PROCEED – “ME TOO” EVIDENCE BY OTHER FF OF HOSTILE WORKPLACE</w:t>
      </w:r>
    </w:p>
    <w:p w14:paraId="6CD1B0C9" w14:textId="77777777" w:rsidR="005644A4" w:rsidRDefault="005644A4" w:rsidP="005644A4">
      <w:pPr>
        <w:rPr>
          <w:rFonts w:ascii="Times New Roman" w:eastAsia="Times New Roman" w:hAnsi="Times New Roman"/>
          <w:sz w:val="24"/>
          <w:szCs w:val="24"/>
        </w:rPr>
      </w:pPr>
      <w:r w:rsidRPr="00835368">
        <w:rPr>
          <w:rFonts w:ascii="Times New Roman" w:hAnsi="Times New Roman"/>
          <w:sz w:val="24"/>
          <w:szCs w:val="24"/>
        </w:rPr>
        <w:t xml:space="preserve">On </w:t>
      </w:r>
      <w:r>
        <w:rPr>
          <w:rFonts w:ascii="Times New Roman" w:hAnsi="Times New Roman"/>
          <w:sz w:val="24"/>
          <w:szCs w:val="24"/>
        </w:rPr>
        <w:t xml:space="preserve">Dec. 3, 2021, in </w:t>
      </w:r>
      <w:r w:rsidRPr="00835368">
        <w:rPr>
          <w:rFonts w:ascii="Times New Roman" w:hAnsi="Times New Roman"/>
          <w:sz w:val="24"/>
          <w:szCs w:val="24"/>
          <w:u w:val="single"/>
        </w:rPr>
        <w:t>April D. Molchan v. Delmar Fire Department, Inc.</w:t>
      </w:r>
      <w:r>
        <w:rPr>
          <w:rFonts w:ascii="Times New Roman" w:hAnsi="Times New Roman"/>
          <w:sz w:val="24"/>
          <w:szCs w:val="24"/>
        </w:rPr>
        <w:t>, U.S. District Court Judge Maryellen Noreika, U.S. District Court for District of Delaware, denied in part the FD’s motion for summary judgment.  The Judge ruled there is sufficient evidence misconduct by former Fire Chief “</w:t>
      </w:r>
      <w:r w:rsidRPr="0082464F">
        <w:rPr>
          <w:rFonts w:ascii="Times New Roman" w:eastAsia="Times New Roman" w:hAnsi="Times New Roman"/>
          <w:sz w:val="24"/>
          <w:szCs w:val="24"/>
        </w:rPr>
        <w:t>because several declarants appear to have experienced or witnessed</w:t>
      </w:r>
      <w:r>
        <w:rPr>
          <w:rFonts w:ascii="Times New Roman" w:eastAsia="Times New Roman" w:hAnsi="Times New Roman"/>
          <w:sz w:val="24"/>
          <w:szCs w:val="24"/>
        </w:rPr>
        <w:t xml:space="preserve">” conduct.”  The Judge dismissed the plaintiff’s retaliation claim; she was removed from paid position, along with two other paid firefighters, based on bylaw changing requiring all personnel to either be paid or volunteer members.  </w:t>
      </w:r>
    </w:p>
    <w:p w14:paraId="43780628" w14:textId="77777777" w:rsidR="005644A4" w:rsidRPr="0082464F" w:rsidRDefault="005644A4" w:rsidP="005644A4">
      <w:pPr>
        <w:spacing w:before="100" w:beforeAutospacing="1" w:after="100" w:afterAutospacing="1" w:line="240" w:lineRule="auto"/>
        <w:ind w:left="720" w:firstLine="60"/>
        <w:rPr>
          <w:rFonts w:ascii="Times New Roman" w:eastAsia="Times New Roman" w:hAnsi="Times New Roman"/>
          <w:sz w:val="24"/>
          <w:szCs w:val="24"/>
        </w:rPr>
      </w:pPr>
      <w:r>
        <w:rPr>
          <w:rFonts w:ascii="Times New Roman" w:eastAsia="Times New Roman" w:hAnsi="Times New Roman"/>
          <w:sz w:val="24"/>
          <w:szCs w:val="24"/>
        </w:rPr>
        <w:t>“</w:t>
      </w:r>
      <w:r w:rsidRPr="00F02628">
        <w:rPr>
          <w:rFonts w:ascii="Times New Roman" w:eastAsia="Times New Roman" w:hAnsi="Times New Roman"/>
          <w:sz w:val="24"/>
          <w:szCs w:val="24"/>
        </w:rPr>
        <w:t xml:space="preserve">According to the Supreme Court, </w:t>
      </w:r>
      <w:r>
        <w:rPr>
          <w:rFonts w:ascii="Times New Roman" w:eastAsia="Times New Roman" w:hAnsi="Times New Roman"/>
          <w:sz w:val="24"/>
          <w:szCs w:val="24"/>
        </w:rPr>
        <w:t>‘</w:t>
      </w:r>
      <w:r w:rsidRPr="00F02628">
        <w:rPr>
          <w:rFonts w:ascii="Times New Roman" w:eastAsia="Times New Roman" w:hAnsi="Times New Roman"/>
          <w:sz w:val="24"/>
          <w:szCs w:val="24"/>
        </w:rPr>
        <w:t>me too</w:t>
      </w:r>
      <w:r>
        <w:rPr>
          <w:rFonts w:ascii="Times New Roman" w:eastAsia="Times New Roman" w:hAnsi="Times New Roman"/>
          <w:sz w:val="24"/>
          <w:szCs w:val="24"/>
        </w:rPr>
        <w:t>’</w:t>
      </w:r>
      <w:r w:rsidRPr="00F02628">
        <w:rPr>
          <w:rFonts w:ascii="Times New Roman" w:eastAsia="Times New Roman" w:hAnsi="Times New Roman"/>
          <w:sz w:val="24"/>
          <w:szCs w:val="24"/>
        </w:rPr>
        <w:t xml:space="preserve"> evidence is neither </w:t>
      </w:r>
      <w:r>
        <w:rPr>
          <w:rFonts w:ascii="Times New Roman" w:eastAsia="Times New Roman" w:hAnsi="Times New Roman"/>
          <w:sz w:val="24"/>
          <w:szCs w:val="24"/>
        </w:rPr>
        <w:t>‘</w:t>
      </w:r>
      <w:r w:rsidRPr="00F02628">
        <w:rPr>
          <w:rFonts w:ascii="Times New Roman" w:eastAsia="Times New Roman" w:hAnsi="Times New Roman"/>
          <w:i/>
          <w:iCs/>
          <w:sz w:val="24"/>
          <w:szCs w:val="24"/>
        </w:rPr>
        <w:t>per se</w:t>
      </w:r>
      <w:r w:rsidRPr="00F02628">
        <w:rPr>
          <w:rFonts w:ascii="Times New Roman" w:eastAsia="Times New Roman" w:hAnsi="Times New Roman"/>
          <w:sz w:val="24"/>
          <w:szCs w:val="24"/>
        </w:rPr>
        <w:t xml:space="preserve"> admissible or </w:t>
      </w:r>
      <w:r w:rsidRPr="00F02628">
        <w:rPr>
          <w:rFonts w:ascii="Times New Roman" w:eastAsia="Times New Roman" w:hAnsi="Times New Roman"/>
          <w:i/>
          <w:iCs/>
          <w:sz w:val="24"/>
          <w:szCs w:val="24"/>
        </w:rPr>
        <w:t>per se</w:t>
      </w:r>
      <w:r w:rsidRPr="00F02628">
        <w:rPr>
          <w:rFonts w:ascii="Times New Roman" w:eastAsia="Times New Roman" w:hAnsi="Times New Roman"/>
          <w:sz w:val="24"/>
          <w:szCs w:val="24"/>
        </w:rPr>
        <w:t xml:space="preserve"> inadmissible.</w:t>
      </w:r>
      <w:r>
        <w:rPr>
          <w:rFonts w:ascii="Times New Roman" w:eastAsia="Times New Roman" w:hAnsi="Times New Roman"/>
          <w:sz w:val="24"/>
          <w:szCs w:val="24"/>
        </w:rPr>
        <w:t>’</w:t>
      </w:r>
      <w:r w:rsidRPr="00F02628">
        <w:rPr>
          <w:rFonts w:ascii="Times New Roman" w:eastAsia="Times New Roman" w:hAnsi="Times New Roman"/>
          <w:sz w:val="24"/>
          <w:szCs w:val="24"/>
        </w:rPr>
        <w:t xml:space="preserve"> </w:t>
      </w:r>
      <w:r w:rsidRPr="00F02628">
        <w:rPr>
          <w:rFonts w:ascii="Times New Roman" w:eastAsia="Times New Roman" w:hAnsi="Times New Roman"/>
          <w:i/>
          <w:iCs/>
          <w:sz w:val="24"/>
          <w:szCs w:val="24"/>
        </w:rPr>
        <w:t>Sprint/United Mgmt. Co. v. Mendelsohn</w:t>
      </w:r>
      <w:r w:rsidRPr="00F02628">
        <w:rPr>
          <w:rFonts w:ascii="Times New Roman" w:eastAsia="Times New Roman" w:hAnsi="Times New Roman"/>
          <w:sz w:val="24"/>
          <w:szCs w:val="24"/>
        </w:rPr>
        <w:t xml:space="preserve">, 552 U.S. 379, 388 (2008). The determination of the relevance of this evidence </w:t>
      </w:r>
      <w:r>
        <w:rPr>
          <w:rFonts w:ascii="Times New Roman" w:eastAsia="Times New Roman" w:hAnsi="Times New Roman"/>
          <w:sz w:val="24"/>
          <w:szCs w:val="24"/>
        </w:rPr>
        <w:t>‘</w:t>
      </w:r>
      <w:r w:rsidRPr="00F02628">
        <w:rPr>
          <w:rFonts w:ascii="Times New Roman" w:eastAsia="Times New Roman" w:hAnsi="Times New Roman"/>
          <w:sz w:val="24"/>
          <w:szCs w:val="24"/>
        </w:rPr>
        <w:t>is fact based and depends on several factors, including how closely related the evidence is to the plaintiff's circumstances and theory of the case.</w:t>
      </w:r>
      <w:r>
        <w:rPr>
          <w:rFonts w:ascii="Times New Roman" w:eastAsia="Times New Roman" w:hAnsi="Times New Roman"/>
          <w:sz w:val="24"/>
          <w:szCs w:val="24"/>
        </w:rPr>
        <w:t>’</w:t>
      </w:r>
      <w:r w:rsidRPr="00F02628">
        <w:rPr>
          <w:rFonts w:ascii="Times New Roman" w:eastAsia="Times New Roman" w:hAnsi="Times New Roman"/>
          <w:sz w:val="24"/>
          <w:szCs w:val="24"/>
        </w:rPr>
        <w:t xml:space="preserve"> </w:t>
      </w:r>
      <w:r w:rsidRPr="00F02628">
        <w:rPr>
          <w:rFonts w:ascii="Times New Roman" w:eastAsia="Times New Roman" w:hAnsi="Times New Roman"/>
          <w:i/>
          <w:iCs/>
          <w:sz w:val="24"/>
          <w:szCs w:val="24"/>
        </w:rPr>
        <w:t>Mandel</w:t>
      </w:r>
      <w:r w:rsidRPr="00F02628">
        <w:rPr>
          <w:rFonts w:ascii="Times New Roman" w:eastAsia="Times New Roman" w:hAnsi="Times New Roman"/>
          <w:sz w:val="24"/>
          <w:szCs w:val="24"/>
        </w:rPr>
        <w:t xml:space="preserve">, 706 F.3d at 167. Here, the Court is persuaded that at least some of the offered </w:t>
      </w:r>
      <w:r>
        <w:rPr>
          <w:rFonts w:ascii="Times New Roman" w:eastAsia="Times New Roman" w:hAnsi="Times New Roman"/>
          <w:sz w:val="24"/>
          <w:szCs w:val="24"/>
        </w:rPr>
        <w:t>‘</w:t>
      </w:r>
      <w:r w:rsidRPr="00F02628">
        <w:rPr>
          <w:rFonts w:ascii="Times New Roman" w:eastAsia="Times New Roman" w:hAnsi="Times New Roman"/>
          <w:sz w:val="24"/>
          <w:szCs w:val="24"/>
        </w:rPr>
        <w:t>me too</w:t>
      </w:r>
      <w:r>
        <w:rPr>
          <w:rFonts w:ascii="Times New Roman" w:eastAsia="Times New Roman" w:hAnsi="Times New Roman"/>
          <w:sz w:val="24"/>
          <w:szCs w:val="24"/>
        </w:rPr>
        <w:t xml:space="preserve">’ </w:t>
      </w:r>
      <w:r w:rsidRPr="00F02628">
        <w:rPr>
          <w:rFonts w:ascii="Times New Roman" w:eastAsia="Times New Roman" w:hAnsi="Times New Roman"/>
          <w:sz w:val="24"/>
          <w:szCs w:val="24"/>
        </w:rPr>
        <w:t xml:space="preserve">evidence is relevant, at least because several declarants appear to have experienced or witnessed Rementer's harassment and suggest that Delmar FD was aware of repeated instances of it. Some of the evidence also suggests that </w:t>
      </w:r>
      <w:r>
        <w:rPr>
          <w:rFonts w:ascii="Times New Roman" w:eastAsia="Times New Roman" w:hAnsi="Times New Roman"/>
          <w:sz w:val="24"/>
          <w:szCs w:val="24"/>
        </w:rPr>
        <w:t xml:space="preserve">[former Fire Chief Andrew] </w:t>
      </w:r>
      <w:r w:rsidRPr="00F02628">
        <w:rPr>
          <w:rFonts w:ascii="Times New Roman" w:eastAsia="Times New Roman" w:hAnsi="Times New Roman"/>
          <w:sz w:val="24"/>
          <w:szCs w:val="24"/>
        </w:rPr>
        <w:t xml:space="preserve">Rementer's conduct was well-known within the fire department and thus may bear on whether Plaintiff subjectively perceived the environment to be abusive. And finding that, the Court is persuaded that genuine issues of material fact exist that preclude summary judgment of Plaintiff's hostile work environment </w:t>
      </w:r>
      <w:proofErr w:type="gramStart"/>
      <w:r w:rsidRPr="00F02628">
        <w:rPr>
          <w:rFonts w:ascii="Times New Roman" w:eastAsia="Times New Roman" w:hAnsi="Times New Roman"/>
          <w:sz w:val="24"/>
          <w:szCs w:val="24"/>
        </w:rPr>
        <w:t>claim.</w:t>
      </w:r>
      <w:r>
        <w:rPr>
          <w:rFonts w:ascii="Times New Roman" w:eastAsia="Times New Roman" w:hAnsi="Times New Roman"/>
          <w:sz w:val="24"/>
          <w:szCs w:val="24"/>
        </w:rPr>
        <w:t>”</w:t>
      </w:r>
      <w:proofErr w:type="gramEnd"/>
      <w:r>
        <w:rPr>
          <w:rFonts w:ascii="Times New Roman" w:eastAsia="Times New Roman" w:hAnsi="Times New Roman"/>
          <w:sz w:val="24"/>
          <w:szCs w:val="24"/>
        </w:rPr>
        <w:t xml:space="preserve"> </w:t>
      </w:r>
      <w:hyperlink r:id="rId1418" w:history="1">
        <w:r w:rsidRPr="004065C6">
          <w:rPr>
            <w:rStyle w:val="Hyperlink"/>
            <w:rFonts w:ascii="Times New Roman" w:eastAsia="Times New Roman" w:hAnsi="Times New Roman"/>
            <w:sz w:val="24"/>
            <w:szCs w:val="24"/>
          </w:rPr>
          <w:t>https://casetext.com/case/molchan-v-delmar-fire-dept-1</w:t>
        </w:r>
      </w:hyperlink>
      <w:r>
        <w:rPr>
          <w:rFonts w:ascii="Times New Roman" w:eastAsia="Times New Roman" w:hAnsi="Times New Roman"/>
          <w:sz w:val="24"/>
          <w:szCs w:val="24"/>
        </w:rPr>
        <w:t xml:space="preserve"> </w:t>
      </w:r>
    </w:p>
    <w:p w14:paraId="43B13FBB" w14:textId="77777777" w:rsidR="005644A4" w:rsidRPr="00FA336A" w:rsidRDefault="005644A4" w:rsidP="005644A4">
      <w:pPr>
        <w:spacing w:before="100" w:beforeAutospacing="1" w:after="100" w:afterAutospacing="1" w:line="240" w:lineRule="auto"/>
        <w:rPr>
          <w:rFonts w:ascii="Times New Roman" w:eastAsia="Times New Roman" w:hAnsi="Times New Roman"/>
          <w:b/>
          <w:bCs/>
          <w:sz w:val="24"/>
          <w:szCs w:val="24"/>
        </w:rPr>
      </w:pPr>
      <w:bookmarkStart w:id="283" w:name="_Hlk92114275"/>
      <w:bookmarkEnd w:id="281"/>
      <w:r w:rsidRPr="00F02628">
        <w:rPr>
          <w:rFonts w:ascii="Times New Roman" w:hAnsi="Times New Roman"/>
          <w:b/>
          <w:bCs/>
          <w:sz w:val="24"/>
          <w:szCs w:val="24"/>
        </w:rPr>
        <w:t>Legal Lesson Learned:</w:t>
      </w:r>
      <w:r>
        <w:rPr>
          <w:rFonts w:ascii="Times New Roman" w:hAnsi="Times New Roman"/>
          <w:b/>
          <w:bCs/>
          <w:sz w:val="24"/>
          <w:szCs w:val="24"/>
        </w:rPr>
        <w:t xml:space="preserve"> “Me too” evidence can be very damaging when presented by numerous witnesses to the jury.  </w:t>
      </w:r>
    </w:p>
    <w:bookmarkEnd w:id="283"/>
    <w:p w14:paraId="003EDB04" w14:textId="77777777" w:rsidR="005644A4" w:rsidRDefault="005644A4" w:rsidP="002B1283">
      <w:pPr>
        <w:rPr>
          <w:rFonts w:ascii="Arial Black" w:hAnsi="Arial Black"/>
          <w:b/>
          <w:sz w:val="24"/>
          <w:szCs w:val="24"/>
        </w:rPr>
      </w:pPr>
    </w:p>
    <w:p w14:paraId="09F88003" w14:textId="77777777" w:rsidR="005644A4" w:rsidRDefault="005644A4" w:rsidP="002B1283">
      <w:pPr>
        <w:rPr>
          <w:rFonts w:ascii="Arial Black" w:hAnsi="Arial Black"/>
          <w:b/>
          <w:sz w:val="24"/>
          <w:szCs w:val="24"/>
        </w:rPr>
      </w:pPr>
    </w:p>
    <w:p w14:paraId="6BC7995B" w14:textId="751D8EB4" w:rsidR="00433119" w:rsidRDefault="00433119" w:rsidP="002B1283">
      <w:pPr>
        <w:rPr>
          <w:rFonts w:ascii="Arial Black" w:hAnsi="Arial Black"/>
          <w:b/>
          <w:sz w:val="24"/>
          <w:szCs w:val="24"/>
        </w:rPr>
      </w:pPr>
      <w:r>
        <w:rPr>
          <w:rFonts w:ascii="Arial Black" w:hAnsi="Arial Black"/>
          <w:b/>
          <w:sz w:val="24"/>
          <w:szCs w:val="24"/>
        </w:rPr>
        <w:t>7-39</w:t>
      </w:r>
    </w:p>
    <w:p w14:paraId="144195DC" w14:textId="77777777" w:rsidR="005644A4" w:rsidRPr="00DB2B5C" w:rsidRDefault="005644A4" w:rsidP="005644A4">
      <w:pPr>
        <w:rPr>
          <w:rFonts w:ascii="Arial Black" w:hAnsi="Arial Black" w:cs="Arial"/>
          <w:sz w:val="28"/>
          <w:szCs w:val="28"/>
        </w:rPr>
      </w:pPr>
      <w:r>
        <w:rPr>
          <w:rFonts w:ascii="Arial Black" w:hAnsi="Arial Black" w:cs="Arial"/>
          <w:sz w:val="28"/>
          <w:szCs w:val="28"/>
        </w:rPr>
        <w:t>DE: FEMALE FF LAWSUIT TO PROCEED – “ME TOO” EVIDENCE BY OTHER FF OF HOSTILE WORKPLACE</w:t>
      </w:r>
    </w:p>
    <w:p w14:paraId="331EC595" w14:textId="77777777" w:rsidR="005644A4" w:rsidRDefault="005644A4" w:rsidP="005644A4">
      <w:pPr>
        <w:rPr>
          <w:rFonts w:ascii="Times New Roman" w:eastAsia="Times New Roman" w:hAnsi="Times New Roman"/>
          <w:sz w:val="24"/>
          <w:szCs w:val="24"/>
        </w:rPr>
      </w:pPr>
      <w:r w:rsidRPr="00835368">
        <w:rPr>
          <w:rFonts w:ascii="Times New Roman" w:hAnsi="Times New Roman"/>
          <w:sz w:val="24"/>
          <w:szCs w:val="24"/>
        </w:rPr>
        <w:lastRenderedPageBreak/>
        <w:t xml:space="preserve">On </w:t>
      </w:r>
      <w:r>
        <w:rPr>
          <w:rFonts w:ascii="Times New Roman" w:hAnsi="Times New Roman"/>
          <w:sz w:val="24"/>
          <w:szCs w:val="24"/>
        </w:rPr>
        <w:t xml:space="preserve">Dec. 3, 2021, in </w:t>
      </w:r>
      <w:r w:rsidRPr="00835368">
        <w:rPr>
          <w:rFonts w:ascii="Times New Roman" w:hAnsi="Times New Roman"/>
          <w:sz w:val="24"/>
          <w:szCs w:val="24"/>
          <w:u w:val="single"/>
        </w:rPr>
        <w:t>April D. Molchan v. Delmar Fire Department, Inc.</w:t>
      </w:r>
      <w:r>
        <w:rPr>
          <w:rFonts w:ascii="Times New Roman" w:hAnsi="Times New Roman"/>
          <w:sz w:val="24"/>
          <w:szCs w:val="24"/>
        </w:rPr>
        <w:t>, U.S. District Court Judge Maryellen Noreika, U.S. District Court for District of Delaware, denied in part the FD’s motion for summary judgment.  The Judge ruled there is sufficient evidence misconduct by former Fire Chief “</w:t>
      </w:r>
      <w:r w:rsidRPr="0082464F">
        <w:rPr>
          <w:rFonts w:ascii="Times New Roman" w:eastAsia="Times New Roman" w:hAnsi="Times New Roman"/>
          <w:sz w:val="24"/>
          <w:szCs w:val="24"/>
        </w:rPr>
        <w:t>because several declarants appear to have experienced or witnessed</w:t>
      </w:r>
      <w:r>
        <w:rPr>
          <w:rFonts w:ascii="Times New Roman" w:eastAsia="Times New Roman" w:hAnsi="Times New Roman"/>
          <w:sz w:val="24"/>
          <w:szCs w:val="24"/>
        </w:rPr>
        <w:t xml:space="preserve">” conduct.”  The Judge dismissed the plaintiff’s retaliation claim; she was removed from paid position, along with two other paid firefighters, based on bylaw changing requiring all personnel to either be paid or volunteer members.  </w:t>
      </w:r>
    </w:p>
    <w:p w14:paraId="3E8EA27F" w14:textId="77777777" w:rsidR="005644A4" w:rsidRPr="0082464F" w:rsidRDefault="005644A4" w:rsidP="005644A4">
      <w:pPr>
        <w:spacing w:before="100" w:beforeAutospacing="1" w:after="100" w:afterAutospacing="1" w:line="240" w:lineRule="auto"/>
        <w:ind w:left="720" w:firstLine="60"/>
        <w:rPr>
          <w:rFonts w:ascii="Times New Roman" w:eastAsia="Times New Roman" w:hAnsi="Times New Roman"/>
          <w:sz w:val="24"/>
          <w:szCs w:val="24"/>
        </w:rPr>
      </w:pPr>
      <w:r>
        <w:rPr>
          <w:rFonts w:ascii="Times New Roman" w:eastAsia="Times New Roman" w:hAnsi="Times New Roman"/>
          <w:sz w:val="24"/>
          <w:szCs w:val="24"/>
        </w:rPr>
        <w:t>“</w:t>
      </w:r>
      <w:r w:rsidRPr="00F02628">
        <w:rPr>
          <w:rFonts w:ascii="Times New Roman" w:eastAsia="Times New Roman" w:hAnsi="Times New Roman"/>
          <w:sz w:val="24"/>
          <w:szCs w:val="24"/>
        </w:rPr>
        <w:t xml:space="preserve">According to the Supreme Court, </w:t>
      </w:r>
      <w:r>
        <w:rPr>
          <w:rFonts w:ascii="Times New Roman" w:eastAsia="Times New Roman" w:hAnsi="Times New Roman"/>
          <w:sz w:val="24"/>
          <w:szCs w:val="24"/>
        </w:rPr>
        <w:t>‘</w:t>
      </w:r>
      <w:r w:rsidRPr="00F02628">
        <w:rPr>
          <w:rFonts w:ascii="Times New Roman" w:eastAsia="Times New Roman" w:hAnsi="Times New Roman"/>
          <w:sz w:val="24"/>
          <w:szCs w:val="24"/>
        </w:rPr>
        <w:t>me too</w:t>
      </w:r>
      <w:r>
        <w:rPr>
          <w:rFonts w:ascii="Times New Roman" w:eastAsia="Times New Roman" w:hAnsi="Times New Roman"/>
          <w:sz w:val="24"/>
          <w:szCs w:val="24"/>
        </w:rPr>
        <w:t>’</w:t>
      </w:r>
      <w:r w:rsidRPr="00F02628">
        <w:rPr>
          <w:rFonts w:ascii="Times New Roman" w:eastAsia="Times New Roman" w:hAnsi="Times New Roman"/>
          <w:sz w:val="24"/>
          <w:szCs w:val="24"/>
        </w:rPr>
        <w:t xml:space="preserve"> evidence is neither </w:t>
      </w:r>
      <w:r>
        <w:rPr>
          <w:rFonts w:ascii="Times New Roman" w:eastAsia="Times New Roman" w:hAnsi="Times New Roman"/>
          <w:sz w:val="24"/>
          <w:szCs w:val="24"/>
        </w:rPr>
        <w:t>‘</w:t>
      </w:r>
      <w:r w:rsidRPr="00F02628">
        <w:rPr>
          <w:rFonts w:ascii="Times New Roman" w:eastAsia="Times New Roman" w:hAnsi="Times New Roman"/>
          <w:i/>
          <w:iCs/>
          <w:sz w:val="24"/>
          <w:szCs w:val="24"/>
        </w:rPr>
        <w:t>per se</w:t>
      </w:r>
      <w:r w:rsidRPr="00F02628">
        <w:rPr>
          <w:rFonts w:ascii="Times New Roman" w:eastAsia="Times New Roman" w:hAnsi="Times New Roman"/>
          <w:sz w:val="24"/>
          <w:szCs w:val="24"/>
        </w:rPr>
        <w:t xml:space="preserve"> admissible or </w:t>
      </w:r>
      <w:r w:rsidRPr="00F02628">
        <w:rPr>
          <w:rFonts w:ascii="Times New Roman" w:eastAsia="Times New Roman" w:hAnsi="Times New Roman"/>
          <w:i/>
          <w:iCs/>
          <w:sz w:val="24"/>
          <w:szCs w:val="24"/>
        </w:rPr>
        <w:t>per se</w:t>
      </w:r>
      <w:r w:rsidRPr="00F02628">
        <w:rPr>
          <w:rFonts w:ascii="Times New Roman" w:eastAsia="Times New Roman" w:hAnsi="Times New Roman"/>
          <w:sz w:val="24"/>
          <w:szCs w:val="24"/>
        </w:rPr>
        <w:t xml:space="preserve"> inadmissible.</w:t>
      </w:r>
      <w:r>
        <w:rPr>
          <w:rFonts w:ascii="Times New Roman" w:eastAsia="Times New Roman" w:hAnsi="Times New Roman"/>
          <w:sz w:val="24"/>
          <w:szCs w:val="24"/>
        </w:rPr>
        <w:t>’</w:t>
      </w:r>
      <w:r w:rsidRPr="00F02628">
        <w:rPr>
          <w:rFonts w:ascii="Times New Roman" w:eastAsia="Times New Roman" w:hAnsi="Times New Roman"/>
          <w:sz w:val="24"/>
          <w:szCs w:val="24"/>
        </w:rPr>
        <w:t xml:space="preserve"> </w:t>
      </w:r>
      <w:r w:rsidRPr="00F02628">
        <w:rPr>
          <w:rFonts w:ascii="Times New Roman" w:eastAsia="Times New Roman" w:hAnsi="Times New Roman"/>
          <w:i/>
          <w:iCs/>
          <w:sz w:val="24"/>
          <w:szCs w:val="24"/>
        </w:rPr>
        <w:t>Sprint/United Mgmt. Co. v. Mendelsohn</w:t>
      </w:r>
      <w:r w:rsidRPr="00F02628">
        <w:rPr>
          <w:rFonts w:ascii="Times New Roman" w:eastAsia="Times New Roman" w:hAnsi="Times New Roman"/>
          <w:sz w:val="24"/>
          <w:szCs w:val="24"/>
        </w:rPr>
        <w:t xml:space="preserve">, 552 U.S. 379, 388 (2008). The determination of the relevance of this evidence </w:t>
      </w:r>
      <w:r>
        <w:rPr>
          <w:rFonts w:ascii="Times New Roman" w:eastAsia="Times New Roman" w:hAnsi="Times New Roman"/>
          <w:sz w:val="24"/>
          <w:szCs w:val="24"/>
        </w:rPr>
        <w:t>‘</w:t>
      </w:r>
      <w:r w:rsidRPr="00F02628">
        <w:rPr>
          <w:rFonts w:ascii="Times New Roman" w:eastAsia="Times New Roman" w:hAnsi="Times New Roman"/>
          <w:sz w:val="24"/>
          <w:szCs w:val="24"/>
        </w:rPr>
        <w:t>is fact based and depends on several factors, including how closely related the evidence is to the plaintiff's circumstances and theory of the case.</w:t>
      </w:r>
      <w:r>
        <w:rPr>
          <w:rFonts w:ascii="Times New Roman" w:eastAsia="Times New Roman" w:hAnsi="Times New Roman"/>
          <w:sz w:val="24"/>
          <w:szCs w:val="24"/>
        </w:rPr>
        <w:t>’</w:t>
      </w:r>
      <w:r w:rsidRPr="00F02628">
        <w:rPr>
          <w:rFonts w:ascii="Times New Roman" w:eastAsia="Times New Roman" w:hAnsi="Times New Roman"/>
          <w:sz w:val="24"/>
          <w:szCs w:val="24"/>
        </w:rPr>
        <w:t xml:space="preserve"> </w:t>
      </w:r>
      <w:r w:rsidRPr="00F02628">
        <w:rPr>
          <w:rFonts w:ascii="Times New Roman" w:eastAsia="Times New Roman" w:hAnsi="Times New Roman"/>
          <w:i/>
          <w:iCs/>
          <w:sz w:val="24"/>
          <w:szCs w:val="24"/>
        </w:rPr>
        <w:t>Mandel</w:t>
      </w:r>
      <w:r w:rsidRPr="00F02628">
        <w:rPr>
          <w:rFonts w:ascii="Times New Roman" w:eastAsia="Times New Roman" w:hAnsi="Times New Roman"/>
          <w:sz w:val="24"/>
          <w:szCs w:val="24"/>
        </w:rPr>
        <w:t xml:space="preserve">, 706 F.3d at 167. Here, the Court is persuaded that at least some of the offered </w:t>
      </w:r>
      <w:r>
        <w:rPr>
          <w:rFonts w:ascii="Times New Roman" w:eastAsia="Times New Roman" w:hAnsi="Times New Roman"/>
          <w:sz w:val="24"/>
          <w:szCs w:val="24"/>
        </w:rPr>
        <w:t>‘</w:t>
      </w:r>
      <w:r w:rsidRPr="00F02628">
        <w:rPr>
          <w:rFonts w:ascii="Times New Roman" w:eastAsia="Times New Roman" w:hAnsi="Times New Roman"/>
          <w:sz w:val="24"/>
          <w:szCs w:val="24"/>
        </w:rPr>
        <w:t>me too</w:t>
      </w:r>
      <w:r>
        <w:rPr>
          <w:rFonts w:ascii="Times New Roman" w:eastAsia="Times New Roman" w:hAnsi="Times New Roman"/>
          <w:sz w:val="24"/>
          <w:szCs w:val="24"/>
        </w:rPr>
        <w:t xml:space="preserve">’ </w:t>
      </w:r>
      <w:r w:rsidRPr="00F02628">
        <w:rPr>
          <w:rFonts w:ascii="Times New Roman" w:eastAsia="Times New Roman" w:hAnsi="Times New Roman"/>
          <w:sz w:val="24"/>
          <w:szCs w:val="24"/>
        </w:rPr>
        <w:t xml:space="preserve">evidence is relevant, at least because several declarants appear to have experienced or witnessed Rementer's harassment and suggest that Delmar FD was aware of repeated instances of it. Some of the evidence also suggests that </w:t>
      </w:r>
      <w:r>
        <w:rPr>
          <w:rFonts w:ascii="Times New Roman" w:eastAsia="Times New Roman" w:hAnsi="Times New Roman"/>
          <w:sz w:val="24"/>
          <w:szCs w:val="24"/>
        </w:rPr>
        <w:t xml:space="preserve">[former Fire Chief Andrew] </w:t>
      </w:r>
      <w:r w:rsidRPr="00F02628">
        <w:rPr>
          <w:rFonts w:ascii="Times New Roman" w:eastAsia="Times New Roman" w:hAnsi="Times New Roman"/>
          <w:sz w:val="24"/>
          <w:szCs w:val="24"/>
        </w:rPr>
        <w:t xml:space="preserve">Rementer's conduct was well-known within the fire department and thus may bear on whether Plaintiff subjectively perceived the environment to be abusive. And finding that, the Court is persuaded that genuine issues of material fact exist that preclude summary judgment of Plaintiff's hostile work environment </w:t>
      </w:r>
      <w:proofErr w:type="gramStart"/>
      <w:r w:rsidRPr="00F02628">
        <w:rPr>
          <w:rFonts w:ascii="Times New Roman" w:eastAsia="Times New Roman" w:hAnsi="Times New Roman"/>
          <w:sz w:val="24"/>
          <w:szCs w:val="24"/>
        </w:rPr>
        <w:t>claim.</w:t>
      </w:r>
      <w:r>
        <w:rPr>
          <w:rFonts w:ascii="Times New Roman" w:eastAsia="Times New Roman" w:hAnsi="Times New Roman"/>
          <w:sz w:val="24"/>
          <w:szCs w:val="24"/>
        </w:rPr>
        <w:t>”</w:t>
      </w:r>
      <w:proofErr w:type="gramEnd"/>
      <w:r>
        <w:rPr>
          <w:rFonts w:ascii="Times New Roman" w:eastAsia="Times New Roman" w:hAnsi="Times New Roman"/>
          <w:sz w:val="24"/>
          <w:szCs w:val="24"/>
        </w:rPr>
        <w:t xml:space="preserve"> </w:t>
      </w:r>
      <w:hyperlink r:id="rId1419" w:history="1">
        <w:r w:rsidRPr="004065C6">
          <w:rPr>
            <w:rStyle w:val="Hyperlink"/>
            <w:rFonts w:ascii="Times New Roman" w:eastAsia="Times New Roman" w:hAnsi="Times New Roman"/>
            <w:sz w:val="24"/>
            <w:szCs w:val="24"/>
          </w:rPr>
          <w:t>https://casetext.com/case/molchan-v-delmar-fire-dept-1</w:t>
        </w:r>
      </w:hyperlink>
      <w:r>
        <w:rPr>
          <w:rFonts w:ascii="Times New Roman" w:eastAsia="Times New Roman" w:hAnsi="Times New Roman"/>
          <w:sz w:val="24"/>
          <w:szCs w:val="24"/>
        </w:rPr>
        <w:t xml:space="preserve"> </w:t>
      </w:r>
    </w:p>
    <w:p w14:paraId="65F45A7C" w14:textId="77777777" w:rsidR="005644A4" w:rsidRPr="00FA336A" w:rsidRDefault="005644A4" w:rsidP="005644A4">
      <w:pPr>
        <w:spacing w:before="100" w:beforeAutospacing="1" w:after="100" w:afterAutospacing="1" w:line="240" w:lineRule="auto"/>
        <w:rPr>
          <w:rFonts w:ascii="Times New Roman" w:eastAsia="Times New Roman" w:hAnsi="Times New Roman"/>
          <w:b/>
          <w:bCs/>
          <w:sz w:val="24"/>
          <w:szCs w:val="24"/>
        </w:rPr>
      </w:pPr>
      <w:r w:rsidRPr="00F02628">
        <w:rPr>
          <w:rFonts w:ascii="Times New Roman" w:hAnsi="Times New Roman"/>
          <w:b/>
          <w:bCs/>
          <w:sz w:val="24"/>
          <w:szCs w:val="24"/>
        </w:rPr>
        <w:t>Legal Lesson Learned:</w:t>
      </w:r>
      <w:r>
        <w:rPr>
          <w:rFonts w:ascii="Times New Roman" w:hAnsi="Times New Roman"/>
          <w:b/>
          <w:bCs/>
          <w:sz w:val="24"/>
          <w:szCs w:val="24"/>
        </w:rPr>
        <w:t xml:space="preserve"> “Me too” evidence can be very damaging when presented by numerous witnesses to the jury.  </w:t>
      </w:r>
    </w:p>
    <w:p w14:paraId="1822C4D3" w14:textId="77777777" w:rsidR="00433119" w:rsidRDefault="00433119" w:rsidP="002B1283">
      <w:pPr>
        <w:rPr>
          <w:rFonts w:ascii="Arial Black" w:hAnsi="Arial Black"/>
          <w:b/>
          <w:sz w:val="24"/>
          <w:szCs w:val="24"/>
        </w:rPr>
      </w:pPr>
    </w:p>
    <w:p w14:paraId="08E4A810" w14:textId="77777777" w:rsidR="00433119" w:rsidRDefault="00433119" w:rsidP="002B1283">
      <w:pPr>
        <w:rPr>
          <w:rFonts w:ascii="Arial Black" w:hAnsi="Arial Black"/>
          <w:b/>
          <w:sz w:val="24"/>
          <w:szCs w:val="24"/>
        </w:rPr>
      </w:pPr>
    </w:p>
    <w:p w14:paraId="3D21A657" w14:textId="63532CA5" w:rsidR="00D43015" w:rsidRDefault="00D43015" w:rsidP="002B1283">
      <w:pPr>
        <w:rPr>
          <w:rFonts w:ascii="Arial Black" w:hAnsi="Arial Black"/>
          <w:b/>
          <w:sz w:val="24"/>
          <w:szCs w:val="24"/>
        </w:rPr>
      </w:pPr>
      <w:r>
        <w:rPr>
          <w:rFonts w:ascii="Arial Black" w:hAnsi="Arial Black"/>
          <w:b/>
          <w:sz w:val="24"/>
          <w:szCs w:val="24"/>
        </w:rPr>
        <w:t>7-38</w:t>
      </w:r>
    </w:p>
    <w:p w14:paraId="7A877E36" w14:textId="77777777" w:rsidR="00D43015" w:rsidRDefault="00D43015" w:rsidP="00D43015">
      <w:pPr>
        <w:spacing w:before="100" w:beforeAutospacing="1" w:after="100" w:afterAutospacing="1" w:line="240" w:lineRule="auto"/>
        <w:rPr>
          <w:rStyle w:val="markedcontent"/>
          <w:rFonts w:ascii="Arial" w:hAnsi="Arial" w:cs="Arial"/>
          <w:sz w:val="30"/>
          <w:szCs w:val="30"/>
        </w:rPr>
      </w:pPr>
      <w:r>
        <w:rPr>
          <w:rStyle w:val="markedcontent"/>
          <w:rFonts w:ascii="Arial Black" w:hAnsi="Arial Black" w:cs="Arial"/>
          <w:sz w:val="28"/>
          <w:szCs w:val="28"/>
        </w:rPr>
        <w:t>MA: FEMALE PROMOTED TO CAPT – NO. 2 ASSESSMENT CENTER – THEN “DEEPLY FLAWED” INTERVIEW FIRE CHIEF / CITY OFFICIALS</w:t>
      </w:r>
    </w:p>
    <w:p w14:paraId="3B01E3F7" w14:textId="77777777" w:rsidR="00D43015" w:rsidRDefault="00D43015" w:rsidP="00D43015">
      <w:pPr>
        <w:spacing w:before="100" w:beforeAutospacing="1" w:after="100" w:afterAutospacing="1" w:line="240" w:lineRule="auto"/>
        <w:rPr>
          <w:rStyle w:val="markedcontent"/>
          <w:rFonts w:ascii="Times New Roman" w:hAnsi="Times New Roman"/>
          <w:sz w:val="24"/>
          <w:szCs w:val="24"/>
        </w:rPr>
      </w:pPr>
      <w:r>
        <w:rPr>
          <w:rStyle w:val="markedcontent"/>
          <w:rFonts w:ascii="Times New Roman" w:hAnsi="Times New Roman"/>
          <w:sz w:val="24"/>
          <w:szCs w:val="24"/>
        </w:rPr>
        <w:t xml:space="preserve">On Nov. 18, 2021, in </w:t>
      </w:r>
      <w:r w:rsidRPr="009658E4">
        <w:rPr>
          <w:rStyle w:val="markedcontent"/>
          <w:rFonts w:ascii="Times New Roman" w:hAnsi="Times New Roman"/>
          <w:sz w:val="24"/>
          <w:szCs w:val="24"/>
          <w:u w:val="single"/>
        </w:rPr>
        <w:t>Tracy Blanchette v. City of Methuen</w:t>
      </w:r>
      <w:r>
        <w:rPr>
          <w:rStyle w:val="markedcontent"/>
          <w:rFonts w:ascii="Times New Roman" w:hAnsi="Times New Roman"/>
          <w:sz w:val="24"/>
          <w:szCs w:val="24"/>
          <w:u w:val="single"/>
        </w:rPr>
        <w:t xml:space="preserve"> and Matthew Tulley, </w:t>
      </w:r>
      <w:r>
        <w:rPr>
          <w:rStyle w:val="markedcontent"/>
          <w:rFonts w:ascii="Times New Roman" w:hAnsi="Times New Roman"/>
          <w:sz w:val="24"/>
          <w:szCs w:val="24"/>
        </w:rPr>
        <w:t xml:space="preserve">the Commonwealth of Massachusetts Civil Service Commission held (5 to 0) that firefighter Tracy Blanchette should have been promoted when a second Captain position came open, instead of firefighter Matthew Tulley, and rejected the City’s argument that she was not promoted because of a poor interview 14 months earlier during first Captain opening.  During that first promotion opportunity, a comprehensive Assessment Center ranked </w:t>
      </w:r>
      <w:proofErr w:type="spellStart"/>
      <w:r>
        <w:rPr>
          <w:rStyle w:val="markedcontent"/>
          <w:rFonts w:ascii="Times New Roman" w:hAnsi="Times New Roman"/>
          <w:sz w:val="24"/>
          <w:szCs w:val="24"/>
        </w:rPr>
        <w:t>Blanchtte</w:t>
      </w:r>
      <w:proofErr w:type="spellEnd"/>
      <w:r>
        <w:rPr>
          <w:rStyle w:val="markedcontent"/>
          <w:rFonts w:ascii="Times New Roman" w:hAnsi="Times New Roman"/>
          <w:sz w:val="24"/>
          <w:szCs w:val="24"/>
        </w:rPr>
        <w:t xml:space="preserve"> No. 2, but during the post-Assessment interviews of the four finalists by Fire Chief, Assistant Fire Chief, HR and Mayor’s Chief of Staff, she was ranked No. 4.  Civil Service Commissioner Cynthia A. </w:t>
      </w:r>
      <w:proofErr w:type="spellStart"/>
      <w:r>
        <w:rPr>
          <w:rStyle w:val="markedcontent"/>
          <w:rFonts w:ascii="Times New Roman" w:hAnsi="Times New Roman"/>
          <w:sz w:val="24"/>
          <w:szCs w:val="24"/>
        </w:rPr>
        <w:t>Ittleman</w:t>
      </w:r>
      <w:proofErr w:type="spellEnd"/>
      <w:r>
        <w:rPr>
          <w:rStyle w:val="markedcontent"/>
          <w:rFonts w:ascii="Times New Roman" w:hAnsi="Times New Roman"/>
          <w:sz w:val="24"/>
          <w:szCs w:val="24"/>
        </w:rPr>
        <w:t xml:space="preserve"> wrote a lengthy scathing decision, focusing on (1) Fire Chiefs prior friendship and 8-10 years working </w:t>
      </w:r>
      <w:proofErr w:type="gramStart"/>
      <w:r>
        <w:rPr>
          <w:rStyle w:val="markedcontent"/>
          <w:rFonts w:ascii="Times New Roman" w:hAnsi="Times New Roman"/>
          <w:sz w:val="24"/>
          <w:szCs w:val="24"/>
        </w:rPr>
        <w:t>off-duty</w:t>
      </w:r>
      <w:proofErr w:type="gramEnd"/>
      <w:r>
        <w:rPr>
          <w:rStyle w:val="markedcontent"/>
          <w:rFonts w:ascii="Times New Roman" w:hAnsi="Times New Roman"/>
          <w:sz w:val="24"/>
          <w:szCs w:val="24"/>
        </w:rPr>
        <w:t xml:space="preserve"> in Matthew Tully’s electrical business, and (2) the post-Assessment Center interviews were never recorded by video or audio (at HR’s recommendation). </w:t>
      </w:r>
    </w:p>
    <w:p w14:paraId="5293486E" w14:textId="77777777" w:rsidR="00D43015" w:rsidRPr="00356803" w:rsidRDefault="00D43015" w:rsidP="00D43015">
      <w:pPr>
        <w:spacing w:after="0" w:line="240" w:lineRule="auto"/>
        <w:ind w:left="720"/>
        <w:rPr>
          <w:rStyle w:val="markedcontent"/>
          <w:rFonts w:ascii="Times New Roman" w:hAnsi="Times New Roman"/>
          <w:sz w:val="24"/>
          <w:szCs w:val="24"/>
        </w:rPr>
      </w:pPr>
      <w:r>
        <w:rPr>
          <w:rFonts w:ascii="Times New Roman" w:eastAsia="Times New Roman" w:hAnsi="Times New Roman"/>
          <w:sz w:val="24"/>
          <w:szCs w:val="24"/>
        </w:rPr>
        <w:t xml:space="preserve">“[The City of] </w:t>
      </w:r>
      <w:r w:rsidRPr="001A7900">
        <w:rPr>
          <w:rFonts w:ascii="Times New Roman" w:eastAsia="Times New Roman" w:hAnsi="Times New Roman"/>
          <w:sz w:val="24"/>
          <w:szCs w:val="24"/>
        </w:rPr>
        <w:t>Methuen has failed to establish by a preponderance of credible evidence that it had reasonable justification to promote a male MFD firefighter to Fire Captain from an eligible list created after a comprehensive Assessment Center in which he ranked below the Appellant, a female firefighter with greater experience. Rather, the evidence shows that Methuen’s decision</w:t>
      </w:r>
      <w:r>
        <w:rPr>
          <w:rFonts w:ascii="Times New Roman" w:eastAsia="Times New Roman" w:hAnsi="Times New Roman"/>
          <w:sz w:val="24"/>
          <w:szCs w:val="24"/>
        </w:rPr>
        <w:t xml:space="preserve"> </w:t>
      </w:r>
      <w:r w:rsidRPr="001A7900">
        <w:rPr>
          <w:rFonts w:ascii="Times New Roman" w:eastAsia="Times New Roman" w:hAnsi="Times New Roman"/>
          <w:sz w:val="24"/>
          <w:szCs w:val="24"/>
        </w:rPr>
        <w:t xml:space="preserve">was based on the use of a highly subjective and flawed interview process intended to nullify the results of the Assessment Center in order to effectuate a predetermined decision to select a candidate favored by the Fire Chief as a matter of personal, not professional, preference, as well as to not disturb the MFD’s male-dominated culture. </w:t>
      </w:r>
      <w:r w:rsidRPr="001A7900">
        <w:rPr>
          <w:rFonts w:ascii="Times New Roman" w:eastAsia="Times New Roman" w:hAnsi="Times New Roman"/>
          <w:sz w:val="24"/>
          <w:szCs w:val="24"/>
        </w:rPr>
        <w:lastRenderedPageBreak/>
        <w:t>This selection process was not conducted on a level playing field and violates basic merit principles of civil service law.</w:t>
      </w:r>
      <w:r>
        <w:rPr>
          <w:rFonts w:ascii="Times New Roman" w:eastAsia="Times New Roman" w:hAnsi="Times New Roman"/>
          <w:sz w:val="24"/>
          <w:szCs w:val="24"/>
        </w:rPr>
        <w:t>”</w:t>
      </w:r>
      <w:r w:rsidRPr="00034238">
        <w:t xml:space="preserve"> </w:t>
      </w:r>
      <w:hyperlink r:id="rId1420" w:history="1">
        <w:r w:rsidRPr="0085682C">
          <w:rPr>
            <w:rStyle w:val="Hyperlink"/>
            <w:rFonts w:ascii="Times New Roman" w:hAnsi="Times New Roman"/>
            <w:sz w:val="24"/>
            <w:szCs w:val="24"/>
          </w:rPr>
          <w:t>https://www.mass.gov/doc/blanchette-tracy-v-city-of-methuen-111821/download</w:t>
        </w:r>
      </w:hyperlink>
      <w:r>
        <w:rPr>
          <w:rStyle w:val="markedcontent"/>
          <w:rFonts w:ascii="Times New Roman" w:hAnsi="Times New Roman"/>
          <w:sz w:val="24"/>
          <w:szCs w:val="24"/>
        </w:rPr>
        <w:t xml:space="preserve"> </w:t>
      </w:r>
    </w:p>
    <w:p w14:paraId="1329700B" w14:textId="383CB01A" w:rsidR="00D43015" w:rsidRDefault="00D43015" w:rsidP="002B1283">
      <w:pPr>
        <w:rPr>
          <w:rFonts w:ascii="Arial Black" w:hAnsi="Arial Black"/>
          <w:b/>
          <w:sz w:val="24"/>
          <w:szCs w:val="24"/>
        </w:rPr>
      </w:pPr>
    </w:p>
    <w:p w14:paraId="3062A91C" w14:textId="77777777" w:rsidR="00D43015" w:rsidRPr="007E2D4F" w:rsidRDefault="00D43015" w:rsidP="00D43015">
      <w:pPr>
        <w:spacing w:before="100" w:beforeAutospacing="1" w:after="100" w:afterAutospacing="1" w:line="240" w:lineRule="auto"/>
        <w:rPr>
          <w:rStyle w:val="markedcontent"/>
          <w:rFonts w:ascii="Times New Roman" w:hAnsi="Times New Roman"/>
          <w:b/>
          <w:bCs/>
          <w:sz w:val="24"/>
          <w:szCs w:val="24"/>
        </w:rPr>
      </w:pPr>
      <w:r w:rsidRPr="007E2D4F">
        <w:rPr>
          <w:rStyle w:val="markedcontent"/>
          <w:rFonts w:ascii="Times New Roman" w:hAnsi="Times New Roman"/>
          <w:b/>
          <w:bCs/>
          <w:sz w:val="24"/>
          <w:szCs w:val="24"/>
        </w:rPr>
        <w:t>Legal Lesson Learned:</w:t>
      </w:r>
      <w:r>
        <w:rPr>
          <w:rStyle w:val="markedcontent"/>
          <w:rFonts w:ascii="Times New Roman" w:hAnsi="Times New Roman"/>
          <w:b/>
          <w:bCs/>
          <w:sz w:val="24"/>
          <w:szCs w:val="24"/>
        </w:rPr>
        <w:t xml:space="preserve"> Video or audio record the post Assessment Center interviews.  The City may now appeal this decision to a court of law. </w:t>
      </w:r>
    </w:p>
    <w:p w14:paraId="53FE5F07" w14:textId="77777777" w:rsidR="00D43015" w:rsidRPr="005450F9" w:rsidRDefault="00D43015" w:rsidP="00D43015">
      <w:pPr>
        <w:spacing w:before="100" w:beforeAutospacing="1" w:after="100" w:afterAutospacing="1" w:line="240" w:lineRule="auto"/>
        <w:ind w:left="720"/>
        <w:rPr>
          <w:rFonts w:ascii="Times New Roman" w:eastAsia="Times New Roman" w:hAnsi="Times New Roman"/>
          <w:sz w:val="24"/>
          <w:szCs w:val="24"/>
        </w:rPr>
      </w:pPr>
      <w:r w:rsidRPr="005450F9">
        <w:rPr>
          <w:rStyle w:val="markedcontent"/>
          <w:rFonts w:ascii="Times New Roman" w:hAnsi="Times New Roman"/>
          <w:sz w:val="24"/>
          <w:szCs w:val="24"/>
        </w:rPr>
        <w:t>Note: See article on the decision:</w:t>
      </w:r>
      <w:r>
        <w:rPr>
          <w:rStyle w:val="markedcontent"/>
          <w:rFonts w:ascii="Times New Roman" w:hAnsi="Times New Roman"/>
          <w:sz w:val="24"/>
          <w:szCs w:val="24"/>
        </w:rPr>
        <w:t xml:space="preserve"> Nov. 24, 2021: </w:t>
      </w:r>
      <w:r w:rsidRPr="005450F9">
        <w:rPr>
          <w:rStyle w:val="markedcontent"/>
          <w:rFonts w:ascii="Times New Roman" w:hAnsi="Times New Roman"/>
          <w:sz w:val="24"/>
          <w:szCs w:val="24"/>
        </w:rPr>
        <w:t>“</w:t>
      </w:r>
      <w:r w:rsidRPr="005450F9">
        <w:rPr>
          <w:rFonts w:ascii="Times New Roman" w:hAnsi="Times New Roman"/>
          <w:sz w:val="24"/>
          <w:szCs w:val="24"/>
        </w:rPr>
        <w:t xml:space="preserve">Civil Service Commission sides with Mass. female FF-EMT passed over for promotion.” </w:t>
      </w:r>
      <w:hyperlink r:id="rId1421" w:history="1">
        <w:r w:rsidRPr="005450F9">
          <w:rPr>
            <w:rStyle w:val="Hyperlink"/>
            <w:rFonts w:ascii="Times New Roman" w:eastAsia="Times New Roman" w:hAnsi="Times New Roman"/>
            <w:sz w:val="24"/>
            <w:szCs w:val="24"/>
          </w:rPr>
          <w:t>https://www.firerescue1.com/discrimination/articles/civil-service-commission-sides-with-mass-female-ff-emt-passed-over-for-promotion-OvMbsXKeZfDYHswZ/?utm_source=twitter&amp;utm_medium=social&amp;utm_campaign=dlvrit</w:t>
        </w:r>
      </w:hyperlink>
      <w:r w:rsidRPr="005450F9">
        <w:rPr>
          <w:rFonts w:ascii="Times New Roman" w:eastAsia="Times New Roman" w:hAnsi="Times New Roman"/>
          <w:sz w:val="24"/>
          <w:szCs w:val="24"/>
        </w:rPr>
        <w:t xml:space="preserve"> </w:t>
      </w:r>
    </w:p>
    <w:p w14:paraId="0B3CA3C0" w14:textId="609070CC" w:rsidR="00D43015" w:rsidRPr="00D43015" w:rsidRDefault="00D43015" w:rsidP="00D43015">
      <w:pPr>
        <w:ind w:left="720"/>
        <w:rPr>
          <w:rFonts w:ascii="Times New Roman" w:hAnsi="Times New Roman"/>
          <w:b/>
          <w:sz w:val="24"/>
          <w:szCs w:val="24"/>
        </w:rPr>
      </w:pPr>
      <w:r w:rsidRPr="00D43015">
        <w:rPr>
          <w:rFonts w:ascii="Times New Roman" w:hAnsi="Times New Roman"/>
          <w:sz w:val="24"/>
          <w:szCs w:val="24"/>
        </w:rPr>
        <w:t xml:space="preserve">See also lawsuit: Nov. 11, 2020: “Mass. FF-EMT files gender discrimination lawsuit, says she was passed over for promotion.”  </w:t>
      </w:r>
      <w:hyperlink r:id="rId1422" w:history="1">
        <w:r w:rsidRPr="00D43015">
          <w:rPr>
            <w:rStyle w:val="Hyperlink"/>
            <w:rFonts w:ascii="Times New Roman" w:hAnsi="Times New Roman"/>
            <w:sz w:val="24"/>
            <w:szCs w:val="24"/>
          </w:rPr>
          <w:t>https://www.firerescue1.com/lawsuit/articles/mass-ff-emt-files-gender-discrimination-lawsuit-says-she-was-passed-over-for-promotion-k1Q0mMWcivLWcHoy/</w:t>
        </w:r>
      </w:hyperlink>
    </w:p>
    <w:p w14:paraId="797353A3" w14:textId="77777777" w:rsidR="00D43015" w:rsidRDefault="00D43015" w:rsidP="002B1283">
      <w:pPr>
        <w:rPr>
          <w:rFonts w:ascii="Arial Black" w:hAnsi="Arial Black"/>
          <w:b/>
          <w:sz w:val="24"/>
          <w:szCs w:val="24"/>
        </w:rPr>
      </w:pPr>
    </w:p>
    <w:p w14:paraId="6884500F" w14:textId="4EF71F29" w:rsidR="00C67B2A" w:rsidRDefault="00C67B2A" w:rsidP="002B1283">
      <w:pPr>
        <w:rPr>
          <w:rFonts w:ascii="Arial Black" w:hAnsi="Arial Black"/>
          <w:b/>
          <w:sz w:val="24"/>
          <w:szCs w:val="24"/>
        </w:rPr>
      </w:pPr>
      <w:r>
        <w:rPr>
          <w:rFonts w:ascii="Arial Black" w:hAnsi="Arial Black"/>
          <w:b/>
          <w:sz w:val="24"/>
          <w:szCs w:val="24"/>
        </w:rPr>
        <w:t>7-37</w:t>
      </w:r>
    </w:p>
    <w:p w14:paraId="176EE1F8" w14:textId="77777777" w:rsidR="00C67B2A" w:rsidRPr="00212250" w:rsidRDefault="00C67B2A" w:rsidP="00C67B2A">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 xml:space="preserve">LA: FIRE CHIEF (Ret) – “AT WILL” JOB – CONFRONTED BY FEMALE HE HAD DISCIPLINED - HE’S FIRED, NO CASE </w:t>
      </w:r>
    </w:p>
    <w:p w14:paraId="13DFA49D" w14:textId="77777777" w:rsidR="00C67B2A" w:rsidRDefault="00C67B2A" w:rsidP="00C67B2A">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On Oct. 28, 2021, in </w:t>
      </w:r>
      <w:r w:rsidRPr="00212250">
        <w:rPr>
          <w:rFonts w:ascii="Times New Roman" w:eastAsia="Times New Roman" w:hAnsi="Times New Roman"/>
          <w:sz w:val="24"/>
          <w:szCs w:val="24"/>
          <w:u w:val="single"/>
        </w:rPr>
        <w:t>Paul Smith v. City of Alexandria</w:t>
      </w:r>
      <w:r>
        <w:rPr>
          <w:rFonts w:ascii="Times New Roman" w:eastAsia="Times New Roman" w:hAnsi="Times New Roman"/>
          <w:sz w:val="24"/>
          <w:szCs w:val="24"/>
        </w:rPr>
        <w:t>, U.S. District Court Judge David C. Joseph, U.S. District Court for Western District of Louisiana (Alexandria Division) granted the City’s motion for summary judgment.  The retired Fire Chief was hired as an “at will” city employee to install smoke detectors in the community and was confronted at a retirement reception for Assistant Chief. The woman who then worked for current Fire Chief confronted him about being at the reception. City said he was fired on the basis that his report to HR falsely stated he had been invited to the retirement reception.</w:t>
      </w:r>
    </w:p>
    <w:p w14:paraId="05BAD363" w14:textId="77777777" w:rsidR="00C67B2A" w:rsidRDefault="00C67B2A" w:rsidP="00C67B2A">
      <w:pPr>
        <w:pStyle w:val="NormalWeb"/>
        <w:ind w:left="720"/>
      </w:pPr>
      <w:r>
        <w:t>“</w:t>
      </w:r>
      <w:r w:rsidRPr="00C522AD">
        <w:t>On May 22, 2019, Plaintiff attended a retirement reception for an Assistant Fire Chief</w:t>
      </w:r>
      <w:r>
        <w:t>….</w:t>
      </w:r>
      <w:r w:rsidRPr="00C522AD">
        <w:t xml:space="preserve"> While at the reception, Fire Department employee Debbye Johnson (</w:t>
      </w:r>
      <w:r>
        <w:t>‘</w:t>
      </w:r>
      <w:r w:rsidRPr="00C522AD">
        <w:t>Johnson</w:t>
      </w:r>
      <w:r>
        <w:t>’</w:t>
      </w:r>
      <w:r w:rsidRPr="00C522AD">
        <w:t xml:space="preserve">) allegedly approached Plaintiff, stuck her finger in his face </w:t>
      </w:r>
      <w:r>
        <w:t>‘</w:t>
      </w:r>
      <w:r w:rsidRPr="00C522AD">
        <w:t>in a hostile manner,</w:t>
      </w:r>
      <w:r>
        <w:t>’</w:t>
      </w:r>
      <w:r w:rsidRPr="00C522AD">
        <w:t xml:space="preserve"> and </w:t>
      </w:r>
      <w:r>
        <w:t>‘</w:t>
      </w:r>
      <w:r w:rsidRPr="00C522AD">
        <w:t>loudly shouted</w:t>
      </w:r>
      <w:r>
        <w:t>’</w:t>
      </w:r>
      <w:r w:rsidRPr="00C522AD">
        <w:t xml:space="preserve"> at Plaintiff, stating, </w:t>
      </w:r>
      <w:r>
        <w:t>‘</w:t>
      </w:r>
      <w:r w:rsidRPr="00C522AD">
        <w:t>your balls must be as big as they ever were for you to come up in here you mother fucker</w:t>
      </w:r>
      <w:r>
        <w:t>….</w:t>
      </w:r>
      <w:r w:rsidRPr="00C522AD">
        <w:t xml:space="preserve">” </w:t>
      </w:r>
    </w:p>
    <w:p w14:paraId="6B4C20DA" w14:textId="77777777" w:rsidR="00C67B2A" w:rsidRDefault="00C67B2A" w:rsidP="00C67B2A">
      <w:pPr>
        <w:pStyle w:val="NormalWeb"/>
        <w:ind w:left="720"/>
      </w:pPr>
      <w:r>
        <w:t xml:space="preserve">As one might expect given the nature of this interaction, Plaintiff and Johnson knew each other and, in fact, had a personal history encompassing several decades. Debbye Johnson was hired by the City in August of 1983 as a Secretary or a ‘Fire Records Clerk…’ On August 18, 1997, Plaintiff, who was then Chief of the Alexandria Fire Department, terminated Johnson's employment for allegedly requesting additional time off after exhausting </w:t>
      </w:r>
      <w:proofErr w:type="gramStart"/>
      <w:r>
        <w:t>all of</w:t>
      </w:r>
      <w:proofErr w:type="gramEnd"/>
      <w:r>
        <w:t xml:space="preserve"> her sick leave, annual leave, and vacation days…. Johnson was then re-hired as a Fire Records Clerk for the City after Plaintiff left the Fire Department and remained in that position from September of 2007 until May of 2014, at which time she became the Fire Chief's Secretary…. Although she was still serving as the Fire Chief's Secretary when she interacted with Plaintiff at the May 22</w:t>
      </w:r>
      <w:r>
        <w:rPr>
          <w:vertAlign w:val="superscript"/>
        </w:rPr>
        <w:t>nd</w:t>
      </w:r>
      <w:r>
        <w:t xml:space="preserve"> reception, she was then suffering from Stage IV cancer. She died approximately four and a half months later. </w:t>
      </w:r>
    </w:p>
    <w:p w14:paraId="62954B9F" w14:textId="77777777" w:rsidR="00C67B2A" w:rsidRDefault="00C67B2A" w:rsidP="00C67B2A">
      <w:pPr>
        <w:pStyle w:val="NormalWeb"/>
        <w:ind w:left="720"/>
      </w:pPr>
      <w:r>
        <w:t>***</w:t>
      </w:r>
    </w:p>
    <w:p w14:paraId="1482F97E" w14:textId="77777777" w:rsidR="00C67B2A" w:rsidRPr="00C522AD" w:rsidRDefault="00C67B2A" w:rsidP="00C67B2A">
      <w:pPr>
        <w:pStyle w:val="NormalWeb"/>
        <w:ind w:left="720"/>
      </w:pPr>
      <w:r>
        <w:t>Plaintiff was, in fact, terminated two weeks after his protected activity. Importantly, however, his June 6, 2019, termination date was also two weeks after: (</w:t>
      </w:r>
      <w:proofErr w:type="spellStart"/>
      <w:r>
        <w:t>i</w:t>
      </w:r>
      <w:proofErr w:type="spellEnd"/>
      <w:r>
        <w:t xml:space="preserve">) Plaintiff's involvement in a public altercation </w:t>
      </w:r>
      <w:r>
        <w:lastRenderedPageBreak/>
        <w:t>with another City employee at an official retirement reception; and (ii) his alleged untruthfulness about having been invited to the retirement reception, which was the reason proffered by the City as its legitimate non-retaliatory reason for Plaintiff's termination. Plaintiff has not provided evidence to show that his complaint of sexual harassment, as opposed to his involvement in the events at the May 22</w:t>
      </w:r>
      <w:r>
        <w:rPr>
          <w:vertAlign w:val="superscript"/>
        </w:rPr>
        <w:t>nd</w:t>
      </w:r>
      <w:r>
        <w:t xml:space="preserve"> retirement reception or his supervisor's belief that he had lied, was the but-for </w:t>
      </w:r>
      <w:proofErr w:type="gramStart"/>
      <w:r>
        <w:t>cause</w:t>
      </w:r>
      <w:proofErr w:type="gramEnd"/>
      <w:r>
        <w:t xml:space="preserve"> of his termination.” </w:t>
      </w:r>
      <w:hyperlink r:id="rId1423" w:history="1">
        <w:r w:rsidRPr="00410682">
          <w:rPr>
            <w:rStyle w:val="Hyperlink"/>
          </w:rPr>
          <w:t>https://public.fastcase.com/9SKwsfNqTc6OieYDhNMyM7EtuTmvkEcI7U0T89k%2BFJTh0eKfnpK7LfgjErs00V3IPt4y6nTMDAAfexS5sEGnBSDT8xghzv1Bl3HZnDYTQZc%3D</w:t>
        </w:r>
      </w:hyperlink>
      <w:r>
        <w:t xml:space="preserve"> </w:t>
      </w:r>
    </w:p>
    <w:p w14:paraId="50BD01C3" w14:textId="77777777" w:rsidR="00C67B2A" w:rsidRPr="008120B4" w:rsidRDefault="00C67B2A" w:rsidP="00C67B2A">
      <w:pPr>
        <w:spacing w:before="100" w:beforeAutospacing="1" w:after="100" w:afterAutospacing="1" w:line="240" w:lineRule="auto"/>
        <w:rPr>
          <w:rFonts w:ascii="Times New Roman" w:eastAsia="Times New Roman" w:hAnsi="Times New Roman"/>
          <w:b/>
          <w:bCs/>
          <w:sz w:val="24"/>
          <w:szCs w:val="24"/>
        </w:rPr>
      </w:pPr>
      <w:r w:rsidRPr="008120B4">
        <w:rPr>
          <w:rFonts w:ascii="Times New Roman" w:eastAsia="Times New Roman" w:hAnsi="Times New Roman"/>
          <w:b/>
          <w:bCs/>
          <w:sz w:val="24"/>
          <w:szCs w:val="24"/>
        </w:rPr>
        <w:t>Legal Lesson Learned:</w:t>
      </w:r>
      <w:r>
        <w:rPr>
          <w:rFonts w:ascii="Times New Roman" w:eastAsia="Times New Roman" w:hAnsi="Times New Roman"/>
          <w:b/>
          <w:bCs/>
          <w:sz w:val="24"/>
          <w:szCs w:val="24"/>
        </w:rPr>
        <w:t xml:space="preserve"> “At will” employees can be fired “with or without notice or cause.”</w:t>
      </w:r>
    </w:p>
    <w:p w14:paraId="20337FE8" w14:textId="77777777" w:rsidR="00C67B2A" w:rsidRDefault="00C67B2A" w:rsidP="002B1283">
      <w:pPr>
        <w:rPr>
          <w:rFonts w:ascii="Arial Black" w:hAnsi="Arial Black"/>
          <w:b/>
          <w:sz w:val="24"/>
          <w:szCs w:val="24"/>
        </w:rPr>
      </w:pPr>
    </w:p>
    <w:p w14:paraId="0332904E" w14:textId="370043BD" w:rsidR="00BD1702" w:rsidRDefault="00BD1702" w:rsidP="002B1283">
      <w:pPr>
        <w:rPr>
          <w:rFonts w:ascii="Arial Black" w:hAnsi="Arial Black"/>
          <w:b/>
          <w:sz w:val="24"/>
          <w:szCs w:val="24"/>
        </w:rPr>
      </w:pPr>
      <w:r>
        <w:rPr>
          <w:rFonts w:ascii="Arial Black" w:hAnsi="Arial Black"/>
          <w:b/>
          <w:sz w:val="24"/>
          <w:szCs w:val="24"/>
        </w:rPr>
        <w:t>7-36</w:t>
      </w:r>
    </w:p>
    <w:p w14:paraId="02EF9286" w14:textId="77777777" w:rsidR="00BD1702" w:rsidRDefault="00BD1702" w:rsidP="00BD1702">
      <w:pPr>
        <w:pStyle w:val="Heading1"/>
        <w:rPr>
          <w:rFonts w:ascii="Arial Black" w:hAnsi="Arial Black"/>
          <w:b w:val="0"/>
          <w:bCs w:val="0"/>
          <w:sz w:val="28"/>
          <w:szCs w:val="28"/>
        </w:rPr>
      </w:pPr>
      <w:r>
        <w:rPr>
          <w:rFonts w:ascii="Arial Black" w:hAnsi="Arial Black"/>
          <w:b w:val="0"/>
          <w:bCs w:val="0"/>
          <w:sz w:val="28"/>
          <w:szCs w:val="28"/>
        </w:rPr>
        <w:t>NY: FDNY “CALENDAR GIRL” – LAWSUIT DISMISSED – NO PROOF OF DISCRIMINATION BY HER FEMALE SUPERVISOR</w:t>
      </w:r>
    </w:p>
    <w:p w14:paraId="3BD4D860" w14:textId="77777777" w:rsidR="00BD1702" w:rsidRDefault="00BD1702" w:rsidP="00BD1702">
      <w:pPr>
        <w:pStyle w:val="Heading1"/>
        <w:rPr>
          <w:noProof/>
          <w:sz w:val="22"/>
          <w:szCs w:val="22"/>
        </w:rPr>
      </w:pPr>
      <w:r>
        <w:rPr>
          <w:b w:val="0"/>
          <w:bCs w:val="0"/>
          <w:sz w:val="22"/>
          <w:szCs w:val="22"/>
        </w:rPr>
        <w:t xml:space="preserve">On September 21, 2021, in </w:t>
      </w:r>
      <w:r>
        <w:rPr>
          <w:b w:val="0"/>
          <w:bCs w:val="0"/>
          <w:sz w:val="22"/>
          <w:szCs w:val="22"/>
          <w:u w:val="single"/>
        </w:rPr>
        <w:t>Margot Loth v. City of New York,</w:t>
      </w:r>
      <w:r>
        <w:rPr>
          <w:b w:val="0"/>
          <w:bCs w:val="0"/>
          <w:sz w:val="22"/>
          <w:szCs w:val="22"/>
        </w:rPr>
        <w:t xml:space="preserve"> U.S. District Court Judge George B. Daniels granted the City’s motion for summary judgment.  In 2019, plaintiff was featured in the NYFD’s “Calendar of Heroes.”   </w:t>
      </w:r>
    </w:p>
    <w:p w14:paraId="6F7DAF78" w14:textId="77777777" w:rsidR="00BD1702" w:rsidRDefault="00BD1702" w:rsidP="00BD1702">
      <w:pPr>
        <w:spacing w:before="100" w:beforeAutospacing="1" w:after="100" w:afterAutospacing="1" w:line="240" w:lineRule="auto"/>
        <w:ind w:left="720"/>
        <w:rPr>
          <w:rFonts w:ascii="Times New Roman" w:eastAsia="Times New Roman" w:hAnsi="Times New Roman"/>
          <w:sz w:val="24"/>
          <w:szCs w:val="24"/>
        </w:rPr>
      </w:pPr>
      <w:r>
        <w:rPr>
          <w:rFonts w:ascii="Times New Roman" w:hAnsi="Times New Roman"/>
          <w:sz w:val="24"/>
          <w:szCs w:val="24"/>
        </w:rPr>
        <w:t>“With regards to the ‘calendar girl’ moniker, Plaintiff [EMT] argues that Tiberi's [Captain Donna Lynn Hannon Tiberi] ‘inherent reference to [</w:t>
      </w:r>
      <w:proofErr w:type="gramStart"/>
      <w:r>
        <w:rPr>
          <w:rFonts w:ascii="Times New Roman" w:hAnsi="Times New Roman"/>
          <w:sz w:val="24"/>
          <w:szCs w:val="24"/>
        </w:rPr>
        <w:t>Plaintiffs</w:t>
      </w:r>
      <w:proofErr w:type="gramEnd"/>
      <w:r>
        <w:rPr>
          <w:rFonts w:ascii="Times New Roman" w:hAnsi="Times New Roman"/>
          <w:sz w:val="24"/>
          <w:szCs w:val="24"/>
        </w:rPr>
        <w:t xml:space="preserve">] gender’ and the fact that the comment was used in a ‘disparaging’ manner, is sufficient to give rise to an inference of discrimination. (Pl.'s Opp. 19.) However, the mere fact that Plaintiffs gender was mentioned is insufficient to establish an inference of discrimination…. Therefore, Plaintiff has failed to plausibly allege that Tiberi's reference to Plaintiff as ‘calendar girl’ supports an inference of discriminatory animus.” </w:t>
      </w:r>
      <w:hyperlink r:id="rId1424" w:history="1">
        <w:r>
          <w:rPr>
            <w:rStyle w:val="Hyperlink"/>
            <w:sz w:val="24"/>
            <w:szCs w:val="24"/>
          </w:rPr>
          <w:t>https://www.leagle.com/decision/infdco20210924575</w:t>
        </w:r>
      </w:hyperlink>
      <w:r>
        <w:rPr>
          <w:rFonts w:ascii="Times New Roman" w:hAnsi="Times New Roman"/>
          <w:sz w:val="24"/>
          <w:szCs w:val="24"/>
        </w:rPr>
        <w:t xml:space="preserve"> </w:t>
      </w:r>
    </w:p>
    <w:p w14:paraId="5B12B132" w14:textId="77777777" w:rsidR="00BD1702" w:rsidRDefault="00BD1702" w:rsidP="00BD1702">
      <w:pPr>
        <w:pStyle w:val="Heading1"/>
        <w:rPr>
          <w:sz w:val="24"/>
          <w:szCs w:val="24"/>
        </w:rPr>
      </w:pPr>
      <w:r>
        <w:rPr>
          <w:sz w:val="24"/>
          <w:szCs w:val="24"/>
        </w:rPr>
        <w:t xml:space="preserve">Legal Lesson Learned: Plaintiff failed to prove her employment was “materially </w:t>
      </w:r>
      <w:proofErr w:type="gramStart"/>
      <w:r>
        <w:rPr>
          <w:sz w:val="24"/>
          <w:szCs w:val="24"/>
        </w:rPr>
        <w:t>change:</w:t>
      </w:r>
      <w:proofErr w:type="gramEnd"/>
      <w:r>
        <w:rPr>
          <w:sz w:val="24"/>
          <w:szCs w:val="24"/>
        </w:rPr>
        <w:t xml:space="preserve"> based on discipline imposed by her Supervisor. </w:t>
      </w:r>
    </w:p>
    <w:p w14:paraId="3FCBA7C2" w14:textId="7724BABB" w:rsidR="00BD1702" w:rsidRPr="00D43015" w:rsidRDefault="00BD1702" w:rsidP="00D43015">
      <w:pPr>
        <w:ind w:left="720"/>
        <w:rPr>
          <w:rFonts w:ascii="Times New Roman" w:hAnsi="Times New Roman"/>
          <w:b/>
          <w:sz w:val="24"/>
          <w:szCs w:val="24"/>
        </w:rPr>
      </w:pPr>
      <w:r w:rsidRPr="00D43015">
        <w:rPr>
          <w:rFonts w:ascii="Times New Roman" w:hAnsi="Times New Roman"/>
          <w:sz w:val="24"/>
          <w:szCs w:val="24"/>
        </w:rPr>
        <w:t xml:space="preserve">Note: See the Oct. 4, </w:t>
      </w:r>
      <w:proofErr w:type="gramStart"/>
      <w:r w:rsidRPr="00D43015">
        <w:rPr>
          <w:rFonts w:ascii="Times New Roman" w:hAnsi="Times New Roman"/>
          <w:sz w:val="24"/>
          <w:szCs w:val="24"/>
        </w:rPr>
        <w:t>2021</w:t>
      </w:r>
      <w:proofErr w:type="gramEnd"/>
      <w:r w:rsidRPr="00D43015">
        <w:rPr>
          <w:rFonts w:ascii="Times New Roman" w:hAnsi="Times New Roman"/>
          <w:sz w:val="24"/>
          <w:szCs w:val="24"/>
        </w:rPr>
        <w:t xml:space="preserve"> article, “Judge dismisses federal gender discrimination suit of FDNY EMT who posed for calendar.”</w:t>
      </w:r>
      <w:r w:rsidRPr="00D43015">
        <w:rPr>
          <w:rFonts w:ascii="Times New Roman" w:hAnsi="Times New Roman"/>
          <w:b/>
          <w:bCs/>
          <w:sz w:val="24"/>
          <w:szCs w:val="24"/>
        </w:rPr>
        <w:t xml:space="preserve">  </w:t>
      </w:r>
      <w:r w:rsidRPr="00D43015">
        <w:rPr>
          <w:rFonts w:ascii="Times New Roman" w:hAnsi="Times New Roman"/>
          <w:sz w:val="24"/>
          <w:szCs w:val="24"/>
        </w:rPr>
        <w:t xml:space="preserve">In a prior posting on the FDNY Foundation's Facebook page, Loth spoke about her reasons for posing for the calendar. ‘I know some very strong and beautiful women from the previous calendars, and they were such an inspiration to me,’ she said. ‘We are a force to be reckoned with in this department. We are comfortable with our skills, strong, confident, and we look out for each other. We are opening doors and breaking glass ceilings, and I am proud to be a part of it.’ </w:t>
      </w:r>
      <w:hyperlink r:id="rId1425" w:history="1">
        <w:r w:rsidRPr="00D43015">
          <w:rPr>
            <w:rStyle w:val="Hyperlink"/>
            <w:rFonts w:ascii="Times New Roman" w:hAnsi="Times New Roman"/>
            <w:sz w:val="24"/>
            <w:szCs w:val="24"/>
          </w:rPr>
          <w:t>https://www.firerescue1.com/lawsuit/articles/judge-dismisses-federal-gender-discrimination-suit-of-fdny-emt-who-posed-for-calendar-v4FDLqPObm3t3BSV/?utm_source=FireRescue1&amp;utm_campaign=dfa53e36a0-EMAIL_CAMPAIGN_2021_10_08_06_27&amp;utm_medium=email&amp;utm_term=0_1d76c7ca1b-dfa53e36a0-91025172</w:t>
        </w:r>
      </w:hyperlink>
    </w:p>
    <w:p w14:paraId="5A71F094" w14:textId="77777777" w:rsidR="00BD1702" w:rsidRDefault="00BD1702" w:rsidP="002B1283">
      <w:pPr>
        <w:rPr>
          <w:rFonts w:ascii="Arial Black" w:hAnsi="Arial Black"/>
          <w:b/>
          <w:sz w:val="24"/>
          <w:szCs w:val="24"/>
        </w:rPr>
      </w:pPr>
    </w:p>
    <w:p w14:paraId="62DC0B26" w14:textId="45D6BF33" w:rsidR="00BD263B" w:rsidRDefault="00BD263B" w:rsidP="002B1283">
      <w:pPr>
        <w:rPr>
          <w:rFonts w:ascii="Arial Black" w:hAnsi="Arial Black"/>
          <w:b/>
          <w:sz w:val="24"/>
          <w:szCs w:val="24"/>
        </w:rPr>
      </w:pPr>
      <w:r>
        <w:rPr>
          <w:rFonts w:ascii="Arial Black" w:hAnsi="Arial Black"/>
          <w:b/>
          <w:sz w:val="24"/>
          <w:szCs w:val="24"/>
        </w:rPr>
        <w:t>7-35</w:t>
      </w:r>
    </w:p>
    <w:p w14:paraId="5C49381F" w14:textId="77777777" w:rsidR="00BD263B" w:rsidRDefault="00BD263B" w:rsidP="00BD263B">
      <w:pPr>
        <w:pStyle w:val="Heading1"/>
        <w:rPr>
          <w:b w:val="0"/>
          <w:bCs w:val="0"/>
          <w:sz w:val="24"/>
          <w:szCs w:val="24"/>
        </w:rPr>
      </w:pPr>
      <w:bookmarkStart w:id="284" w:name="_Hlk81842187"/>
      <w:r>
        <w:rPr>
          <w:rFonts w:ascii="Arial Black" w:hAnsi="Arial Black"/>
          <w:sz w:val="28"/>
          <w:szCs w:val="28"/>
        </w:rPr>
        <w:lastRenderedPageBreak/>
        <w:t xml:space="preserve">NB: FEMALE FF - DENIED “OUTSIDE” INVESTIGATION BY COURT - CAPTAIN NEVER ABANDONED CREW </w:t>
      </w:r>
    </w:p>
    <w:bookmarkEnd w:id="284"/>
    <w:p w14:paraId="7FFAEE1A" w14:textId="77777777" w:rsidR="00BD263B" w:rsidRPr="002F0EFC" w:rsidRDefault="00BD263B" w:rsidP="00BD263B">
      <w:pPr>
        <w:pStyle w:val="Heading1"/>
        <w:rPr>
          <w:b w:val="0"/>
          <w:bCs w:val="0"/>
          <w:sz w:val="24"/>
          <w:szCs w:val="24"/>
        </w:rPr>
      </w:pPr>
      <w:r>
        <w:rPr>
          <w:b w:val="0"/>
          <w:bCs w:val="0"/>
          <w:sz w:val="24"/>
          <w:szCs w:val="24"/>
        </w:rPr>
        <w:t xml:space="preserve">On Aug. 16, 2021, in </w:t>
      </w:r>
      <w:r w:rsidRPr="002F0EFC">
        <w:rPr>
          <w:b w:val="0"/>
          <w:bCs w:val="0"/>
          <w:sz w:val="24"/>
          <w:szCs w:val="24"/>
          <w:u w:val="single"/>
        </w:rPr>
        <w:t>Amanda Benson v. City of Lincoln, Shawn Mahler, et al</w:t>
      </w:r>
      <w:r>
        <w:rPr>
          <w:b w:val="0"/>
          <w:bCs w:val="0"/>
          <w:sz w:val="24"/>
          <w:szCs w:val="24"/>
        </w:rPr>
        <w:t>., Senior District Judge Richard G. Kopf, U.S. District Court for District of Nebraska, who is presiding over plaintiff’s pending lawsuit claiming sexual harassment over the years by Captain Shawn Mahler denied the plaintiff’s request for a preliminary injunction and hearing.  The judge denied her three requests: “(</w:t>
      </w:r>
      <w:r w:rsidRPr="002F0EFC">
        <w:rPr>
          <w:b w:val="0"/>
          <w:bCs w:val="0"/>
          <w:sz w:val="24"/>
          <w:szCs w:val="24"/>
        </w:rPr>
        <w:t xml:space="preserve">1) order the City of Lincoln to immediately initiate disciplinary proceedings against Mahler; </w:t>
      </w:r>
      <w:r>
        <w:rPr>
          <w:b w:val="0"/>
          <w:bCs w:val="0"/>
          <w:sz w:val="24"/>
          <w:szCs w:val="24"/>
        </w:rPr>
        <w:t>(</w:t>
      </w:r>
      <w:r w:rsidRPr="002F0EFC">
        <w:rPr>
          <w:b w:val="0"/>
          <w:bCs w:val="0"/>
          <w:sz w:val="24"/>
          <w:szCs w:val="24"/>
        </w:rPr>
        <w:t xml:space="preserve">2) enjoin Mahler from assignment/dispatch to any fire scene during the pendency of disciplinary proceedings; and </w:t>
      </w:r>
      <w:r>
        <w:rPr>
          <w:b w:val="0"/>
          <w:bCs w:val="0"/>
          <w:sz w:val="24"/>
          <w:szCs w:val="24"/>
        </w:rPr>
        <w:t>(</w:t>
      </w:r>
      <w:r w:rsidRPr="002F0EFC">
        <w:rPr>
          <w:b w:val="0"/>
          <w:bCs w:val="0"/>
          <w:sz w:val="24"/>
          <w:szCs w:val="24"/>
        </w:rPr>
        <w:t>3) appoint an independent, third-party investigator to investigate Plaintiff's complaint about Mahler's actions at the recent warehouse fire."</w:t>
      </w:r>
      <w:r>
        <w:rPr>
          <w:b w:val="0"/>
          <w:bCs w:val="0"/>
          <w:sz w:val="24"/>
          <w:szCs w:val="24"/>
        </w:rPr>
        <w:t xml:space="preserve">  The judge found that no firefighter or officer at that scene of the warehouse fire confirmed her allegation that Captain Mahler had “abandoned” her and no one reported any safety concerns to the Safety Officer.  Federal courts are not “super-personnel departments.” </w:t>
      </w:r>
    </w:p>
    <w:p w14:paraId="588D4A6A" w14:textId="77777777" w:rsidR="00BD263B" w:rsidRDefault="00BD263B" w:rsidP="00BD263B">
      <w:pPr>
        <w:pStyle w:val="Heading1"/>
        <w:ind w:left="720"/>
        <w:rPr>
          <w:b w:val="0"/>
          <w:bCs w:val="0"/>
          <w:sz w:val="24"/>
          <w:szCs w:val="24"/>
        </w:rPr>
      </w:pPr>
      <w:r>
        <w:rPr>
          <w:b w:val="0"/>
          <w:bCs w:val="0"/>
          <w:sz w:val="24"/>
          <w:szCs w:val="24"/>
        </w:rPr>
        <w:t>“</w:t>
      </w:r>
      <w:r w:rsidRPr="00EA597C">
        <w:rPr>
          <w:b w:val="0"/>
          <w:bCs w:val="0"/>
          <w:sz w:val="24"/>
          <w:szCs w:val="24"/>
        </w:rPr>
        <w:t>The relief requested in Plaintiff's Motion is not to remedy discriminatory employment practices, but to impose directives upon LFR regarding whom it should discipline, whom it should send to fire scenes, and whom to investigate—issues in which federal courts should not be involved</w:t>
      </w:r>
      <w:r>
        <w:rPr>
          <w:b w:val="0"/>
          <w:bCs w:val="0"/>
          <w:sz w:val="24"/>
          <w:szCs w:val="24"/>
        </w:rPr>
        <w:t xml:space="preserve">….  </w:t>
      </w:r>
      <w:r w:rsidRPr="002F0EFC">
        <w:rPr>
          <w:b w:val="0"/>
          <w:bCs w:val="0"/>
          <w:i/>
          <w:iCs/>
          <w:sz w:val="24"/>
          <w:szCs w:val="24"/>
        </w:rPr>
        <w:t>See Gardner v. Wal-Mart Stores, Inc.,</w:t>
      </w:r>
      <w:r w:rsidRPr="002F0EFC">
        <w:rPr>
          <w:b w:val="0"/>
          <w:bCs w:val="0"/>
          <w:sz w:val="24"/>
          <w:szCs w:val="24"/>
        </w:rPr>
        <w:t xml:space="preserve"> 2 F.4th 745, 748-49 (8th Cir. 2021) (federal courts are not super-personnel departments who reexamine an employer's business decisions)</w:t>
      </w:r>
      <w:r>
        <w:rPr>
          <w:b w:val="0"/>
          <w:bCs w:val="0"/>
          <w:sz w:val="24"/>
          <w:szCs w:val="24"/>
        </w:rPr>
        <w:t xml:space="preserve">. </w:t>
      </w:r>
    </w:p>
    <w:p w14:paraId="3F6C9ECC" w14:textId="77777777" w:rsidR="00BD263B" w:rsidRDefault="00BD263B" w:rsidP="00BD263B">
      <w:pPr>
        <w:pStyle w:val="Heading1"/>
        <w:ind w:firstLine="720"/>
        <w:rPr>
          <w:b w:val="0"/>
          <w:bCs w:val="0"/>
          <w:sz w:val="24"/>
          <w:szCs w:val="24"/>
        </w:rPr>
      </w:pPr>
      <w:r>
        <w:rPr>
          <w:b w:val="0"/>
          <w:bCs w:val="0"/>
          <w:sz w:val="24"/>
          <w:szCs w:val="24"/>
        </w:rPr>
        <w:t>***</w:t>
      </w:r>
    </w:p>
    <w:p w14:paraId="4514CD3A" w14:textId="77777777" w:rsidR="00BD263B" w:rsidRDefault="00BD263B" w:rsidP="00BD263B">
      <w:pPr>
        <w:pStyle w:val="Heading1"/>
        <w:ind w:left="720"/>
        <w:rPr>
          <w:b w:val="0"/>
          <w:bCs w:val="0"/>
          <w:sz w:val="24"/>
          <w:szCs w:val="24"/>
          <w:vertAlign w:val="superscript"/>
        </w:rPr>
      </w:pPr>
      <w:r w:rsidRPr="002F0EFC">
        <w:rPr>
          <w:b w:val="0"/>
          <w:bCs w:val="0"/>
          <w:sz w:val="24"/>
          <w:szCs w:val="24"/>
        </w:rPr>
        <w:t xml:space="preserve">The evidence shows that, with the exception of Plaintiff, no person on Mahler's and Plaintiff's crew, nor the Incident Commander or the Safety Officer, believed that Mahler was a Ventilation Group Supervisor, that Mahler abandoned Plaintiff and her crew in a dangerous situation, or that Mahler was duty-bound to direct or supervise Plaintiff and her crew. In short, there is no evidence that Plaintiff and Mahler were anything more than peers in the incident at issue. The court declines to grant an injunction against Mahler for failing to direct, supervise, and protect when he was under no duty to do so. The equities of this situation simply do not warrant preliminary injunctive </w:t>
      </w:r>
      <w:proofErr w:type="gramStart"/>
      <w:r w:rsidRPr="002F0EFC">
        <w:rPr>
          <w:b w:val="0"/>
          <w:bCs w:val="0"/>
          <w:sz w:val="24"/>
          <w:szCs w:val="24"/>
        </w:rPr>
        <w:t>relief</w:t>
      </w:r>
      <w:r>
        <w:rPr>
          <w:b w:val="0"/>
          <w:bCs w:val="0"/>
          <w:sz w:val="24"/>
          <w:szCs w:val="24"/>
        </w:rPr>
        <w:t>.”</w:t>
      </w:r>
      <w:proofErr w:type="gramEnd"/>
      <w:r>
        <w:rPr>
          <w:b w:val="0"/>
          <w:bCs w:val="0"/>
          <w:sz w:val="24"/>
          <w:szCs w:val="24"/>
        </w:rPr>
        <w:t xml:space="preserve"> </w:t>
      </w:r>
      <w:hyperlink r:id="rId1426" w:history="1">
        <w:r w:rsidRPr="00EE73D5">
          <w:rPr>
            <w:rStyle w:val="Hyperlink"/>
            <w:sz w:val="24"/>
            <w:szCs w:val="24"/>
          </w:rPr>
          <w:t>https://scholar.google.com/scholar_case?case=18355840808386135290&amp;hl=en&amp;as_sdt=6&amp;as_vis=1&amp;oi=scholarr</w:t>
        </w:r>
      </w:hyperlink>
      <w:r>
        <w:rPr>
          <w:b w:val="0"/>
          <w:bCs w:val="0"/>
          <w:sz w:val="24"/>
          <w:szCs w:val="24"/>
        </w:rPr>
        <w:t xml:space="preserve"> </w:t>
      </w:r>
    </w:p>
    <w:p w14:paraId="311505C4" w14:textId="77777777" w:rsidR="00BD263B" w:rsidRPr="007C2273" w:rsidRDefault="00BD263B" w:rsidP="00BD263B">
      <w:pPr>
        <w:tabs>
          <w:tab w:val="left" w:pos="3090"/>
        </w:tabs>
        <w:spacing w:after="100" w:line="240" w:lineRule="auto"/>
        <w:rPr>
          <w:rFonts w:ascii="Times New Roman" w:eastAsia="Times New Roman" w:hAnsi="Times New Roman"/>
          <w:b/>
          <w:bCs/>
          <w:sz w:val="24"/>
          <w:szCs w:val="24"/>
        </w:rPr>
      </w:pPr>
      <w:r w:rsidRPr="007C2273">
        <w:rPr>
          <w:rFonts w:ascii="Times New Roman" w:hAnsi="Times New Roman"/>
          <w:b/>
          <w:bCs/>
          <w:sz w:val="24"/>
          <w:szCs w:val="24"/>
        </w:rPr>
        <w:t>Legal Lesson Learned</w:t>
      </w:r>
      <w:r>
        <w:rPr>
          <w:rFonts w:ascii="Times New Roman" w:hAnsi="Times New Roman"/>
          <w:b/>
          <w:bCs/>
          <w:sz w:val="24"/>
          <w:szCs w:val="24"/>
        </w:rPr>
        <w:t xml:space="preserve">:  Federal courts will issue injunctions only when there is a threat of “irreparable harm.” </w:t>
      </w:r>
    </w:p>
    <w:p w14:paraId="0E8AF3B8" w14:textId="77777777" w:rsidR="00BD263B" w:rsidRPr="007A4A18" w:rsidRDefault="00BD263B" w:rsidP="00BD263B">
      <w:pPr>
        <w:pStyle w:val="Heading1"/>
        <w:ind w:left="720"/>
        <w:rPr>
          <w:b w:val="0"/>
          <w:bCs w:val="0"/>
          <w:sz w:val="24"/>
          <w:szCs w:val="24"/>
        </w:rPr>
      </w:pPr>
      <w:r w:rsidRPr="007A4A18">
        <w:rPr>
          <w:b w:val="0"/>
          <w:bCs w:val="0"/>
          <w:sz w:val="24"/>
          <w:szCs w:val="24"/>
        </w:rPr>
        <w:t xml:space="preserve">Note: See Aug. 20, </w:t>
      </w:r>
      <w:proofErr w:type="gramStart"/>
      <w:r w:rsidRPr="007A4A18">
        <w:rPr>
          <w:b w:val="0"/>
          <w:bCs w:val="0"/>
          <w:sz w:val="24"/>
          <w:szCs w:val="24"/>
        </w:rPr>
        <w:t>2021</w:t>
      </w:r>
      <w:proofErr w:type="gramEnd"/>
      <w:r w:rsidRPr="007A4A18">
        <w:rPr>
          <w:b w:val="0"/>
          <w:bCs w:val="0"/>
          <w:sz w:val="24"/>
          <w:szCs w:val="24"/>
        </w:rPr>
        <w:t xml:space="preserve"> article:</w:t>
      </w:r>
      <w:r>
        <w:rPr>
          <w:sz w:val="24"/>
          <w:szCs w:val="24"/>
        </w:rPr>
        <w:t xml:space="preserve"> </w:t>
      </w:r>
      <w:r w:rsidRPr="007A4A18">
        <w:rPr>
          <w:b w:val="0"/>
          <w:bCs w:val="0"/>
          <w:sz w:val="24"/>
          <w:szCs w:val="24"/>
        </w:rPr>
        <w:t xml:space="preserve">“Federal judge denies request for injunction, independent review in firefighter's lawsuit.” </w:t>
      </w:r>
      <w:hyperlink r:id="rId1427" w:history="1">
        <w:r w:rsidRPr="00EE73D5">
          <w:rPr>
            <w:rStyle w:val="Hyperlink"/>
            <w:sz w:val="24"/>
            <w:szCs w:val="24"/>
          </w:rPr>
          <w:t>https://journalstar.com/news/local/crime-and-courts/federal-judge-denies-request-for-injunction-independent-review-in-firefights-lawsuit/article_57be96fb-75f1-5b57-90b3-87e7c60cfb50.html</w:t>
        </w:r>
      </w:hyperlink>
      <w:r>
        <w:rPr>
          <w:b w:val="0"/>
          <w:bCs w:val="0"/>
          <w:sz w:val="24"/>
          <w:szCs w:val="24"/>
        </w:rPr>
        <w:t xml:space="preserve"> </w:t>
      </w:r>
    </w:p>
    <w:p w14:paraId="03B48036" w14:textId="77777777" w:rsidR="00BD263B" w:rsidRPr="007A4A18" w:rsidRDefault="00BD263B" w:rsidP="00BD263B">
      <w:pPr>
        <w:spacing w:before="100" w:beforeAutospacing="1" w:after="100" w:afterAutospacing="1" w:line="240" w:lineRule="auto"/>
        <w:ind w:left="1440"/>
        <w:rPr>
          <w:rFonts w:ascii="Times New Roman" w:eastAsia="Times New Roman" w:hAnsi="Times New Roman"/>
          <w:sz w:val="24"/>
          <w:szCs w:val="24"/>
        </w:rPr>
      </w:pPr>
      <w:r>
        <w:rPr>
          <w:rFonts w:ascii="Times New Roman" w:eastAsia="Times New Roman" w:hAnsi="Times New Roman"/>
          <w:sz w:val="24"/>
          <w:szCs w:val="24"/>
        </w:rPr>
        <w:t>“</w:t>
      </w:r>
      <w:r w:rsidRPr="007A4A18">
        <w:rPr>
          <w:rFonts w:ascii="Times New Roman" w:eastAsia="Times New Roman" w:hAnsi="Times New Roman"/>
          <w:sz w:val="24"/>
          <w:szCs w:val="24"/>
        </w:rPr>
        <w:t>In 2018, Benson sued, alleging that the city turned a blind eye to complaints about a hostile work environment, exonerated employees who contributed to it and failed to take steps to fix it.</w:t>
      </w:r>
      <w:r>
        <w:rPr>
          <w:rFonts w:ascii="Times New Roman" w:eastAsia="Times New Roman" w:hAnsi="Times New Roman"/>
          <w:sz w:val="24"/>
          <w:szCs w:val="24"/>
        </w:rPr>
        <w:t xml:space="preserve"> </w:t>
      </w:r>
      <w:r w:rsidRPr="007A4A18">
        <w:rPr>
          <w:rFonts w:ascii="Times New Roman" w:eastAsia="Times New Roman" w:hAnsi="Times New Roman"/>
          <w:sz w:val="24"/>
          <w:szCs w:val="24"/>
        </w:rPr>
        <w:t>The lawsuit followed two others by then-</w:t>
      </w:r>
      <w:proofErr w:type="spellStart"/>
      <w:r w:rsidRPr="007A4A18">
        <w:rPr>
          <w:rFonts w:ascii="Times New Roman" w:eastAsia="Times New Roman" w:hAnsi="Times New Roman"/>
          <w:sz w:val="24"/>
          <w:szCs w:val="24"/>
        </w:rPr>
        <w:t>Capts</w:t>
      </w:r>
      <w:proofErr w:type="spellEnd"/>
      <w:r w:rsidRPr="007A4A18">
        <w:rPr>
          <w:rFonts w:ascii="Times New Roman" w:eastAsia="Times New Roman" w:hAnsi="Times New Roman"/>
          <w:sz w:val="24"/>
          <w:szCs w:val="24"/>
        </w:rPr>
        <w:t>. Brian Giles and Troy Hurd, alleging they faced retaliation for reporting harassment of female firefighters.</w:t>
      </w:r>
      <w:r>
        <w:rPr>
          <w:rFonts w:ascii="Times New Roman" w:eastAsia="Times New Roman" w:hAnsi="Times New Roman"/>
          <w:sz w:val="24"/>
          <w:szCs w:val="24"/>
        </w:rPr>
        <w:t xml:space="preserve"> </w:t>
      </w:r>
      <w:r w:rsidRPr="007A4A18">
        <w:rPr>
          <w:rFonts w:ascii="Times New Roman" w:eastAsia="Times New Roman" w:hAnsi="Times New Roman"/>
          <w:sz w:val="24"/>
          <w:szCs w:val="24"/>
        </w:rPr>
        <w:t>In 2019, a federal jury awarded Hurd $1.1 million. The judgment later was reduced by a judge, and the city agreed to pay Hurd $600,000 to avoid a second trial.</w:t>
      </w:r>
      <w:r>
        <w:rPr>
          <w:rFonts w:ascii="Times New Roman" w:eastAsia="Times New Roman" w:hAnsi="Times New Roman"/>
          <w:sz w:val="24"/>
          <w:szCs w:val="24"/>
        </w:rPr>
        <w:t>”</w:t>
      </w:r>
    </w:p>
    <w:p w14:paraId="6E35847B" w14:textId="77777777" w:rsidR="00BD263B" w:rsidRDefault="00BD263B" w:rsidP="002B1283">
      <w:pPr>
        <w:rPr>
          <w:rFonts w:ascii="Arial Black" w:hAnsi="Arial Black"/>
          <w:b/>
          <w:sz w:val="24"/>
          <w:szCs w:val="24"/>
        </w:rPr>
      </w:pPr>
    </w:p>
    <w:p w14:paraId="7B4A97E2" w14:textId="77777777" w:rsidR="00BD263B" w:rsidRDefault="00BD263B" w:rsidP="002B1283">
      <w:pPr>
        <w:rPr>
          <w:rFonts w:ascii="Arial Black" w:hAnsi="Arial Black"/>
          <w:b/>
          <w:sz w:val="24"/>
          <w:szCs w:val="24"/>
        </w:rPr>
      </w:pPr>
    </w:p>
    <w:p w14:paraId="2D7B7107" w14:textId="2EA4973C" w:rsidR="00BD263B" w:rsidRDefault="00BD263B" w:rsidP="002B1283">
      <w:pPr>
        <w:rPr>
          <w:rFonts w:ascii="Arial Black" w:hAnsi="Arial Black"/>
          <w:b/>
          <w:sz w:val="24"/>
          <w:szCs w:val="24"/>
        </w:rPr>
      </w:pPr>
      <w:r>
        <w:rPr>
          <w:rFonts w:ascii="Arial Black" w:hAnsi="Arial Black"/>
          <w:b/>
          <w:sz w:val="24"/>
          <w:szCs w:val="24"/>
        </w:rPr>
        <w:lastRenderedPageBreak/>
        <w:t>7-34</w:t>
      </w:r>
    </w:p>
    <w:p w14:paraId="3DBF6150" w14:textId="77777777" w:rsidR="00BD263B" w:rsidRPr="0013564B" w:rsidRDefault="00BD263B" w:rsidP="00BD263B">
      <w:pPr>
        <w:pStyle w:val="NormalWeb"/>
        <w:rPr>
          <w:rFonts w:ascii="Arial Black" w:hAnsi="Arial Black"/>
          <w:sz w:val="28"/>
          <w:szCs w:val="28"/>
        </w:rPr>
      </w:pPr>
      <w:bookmarkStart w:id="285" w:name="_Hlk81842244"/>
      <w:r>
        <w:rPr>
          <w:rFonts w:ascii="Arial Black" w:hAnsi="Arial Black"/>
          <w:sz w:val="28"/>
          <w:szCs w:val="28"/>
        </w:rPr>
        <w:t xml:space="preserve">UT: FEMALE BATTALION CHIEF – DEMOTED, TERMINATED –SEXIST COMMENTS SUPERIORS - LAWSUIT MAY PROCEED </w:t>
      </w:r>
    </w:p>
    <w:bookmarkEnd w:id="285"/>
    <w:p w14:paraId="7205176C" w14:textId="77777777" w:rsidR="00BD263B" w:rsidRDefault="00BD263B" w:rsidP="00BD263B">
      <w:pPr>
        <w:pStyle w:val="NormalWeb"/>
        <w:tabs>
          <w:tab w:val="left" w:pos="6730"/>
        </w:tabs>
      </w:pPr>
      <w:r>
        <w:t xml:space="preserve">On Aug. 10, 2021, in </w:t>
      </w:r>
      <w:r w:rsidRPr="0013564B">
        <w:rPr>
          <w:u w:val="single"/>
        </w:rPr>
        <w:t>Martha Ellis v. Salt Lake City Corp, et al</w:t>
      </w:r>
      <w:r>
        <w:t>., U.S. District Court judge Jill N. Parrish granted plaintiff’s motion to reinstate her Equal Protection claim based on her 2016 demotion from Battalion Chief / Fire Marshal to Captain, and termination on March 17, 2017.  The judge referenced her 22-year career with Salt Lake City Fire Department, the first and only female to hold rank of chief officer, and cited numerous offensive comments, including her immediate Supervisor [Deputy Chief] who allegedly “suggested that Ellis ‘throw tampons’ at her employees if they got ‘whiney’ and referred to other women in the Fire Department as ‘bitches’ and called them ‘bitchy.’”</w:t>
      </w:r>
    </w:p>
    <w:p w14:paraId="48607083" w14:textId="77777777" w:rsidR="00BD263B" w:rsidRDefault="00BD263B" w:rsidP="00BD263B">
      <w:pPr>
        <w:pStyle w:val="NormalWeb"/>
        <w:ind w:left="720"/>
      </w:pPr>
      <w:r>
        <w:t xml:space="preserve">“Here, Ellis has included sufficient factual allegations in her Complaint to state a plausible prima facie case of discriminatory demotion. First, she is a woman and is therefore within a protected group. Second, she alleges that she was adversely affected by the demotion because she lost rank and her pay was reduced. </w:t>
      </w:r>
      <w:r>
        <w:rPr>
          <w:rStyle w:val="Emphasis"/>
        </w:rPr>
        <w:t>See</w:t>
      </w:r>
      <w:r>
        <w:t xml:space="preserve"> ECF No. 54 at ¶131. Third, she alleges that she was qualified for the position from which she was demoted because she had held the position for seven years, had obtained postgraduate education, and had an exemplary employment record, including having won various awards. </w:t>
      </w:r>
      <w:r>
        <w:rPr>
          <w:rStyle w:val="Emphasis"/>
        </w:rPr>
        <w:t>See id.</w:t>
      </w:r>
      <w:r>
        <w:t xml:space="preserve"> </w:t>
      </w:r>
      <w:proofErr w:type="gramStart"/>
      <w:r>
        <w:t>at ¶¶</w:t>
      </w:r>
      <w:proofErr w:type="gramEnd"/>
      <w:r>
        <w:t xml:space="preserve"> 20-26. Finally, it can be reasonably inferred from the Complaint that the </w:t>
      </w:r>
      <w:proofErr w:type="gramStart"/>
      <w:r>
        <w:t>City</w:t>
      </w:r>
      <w:proofErr w:type="gramEnd"/>
      <w:r>
        <w:t xml:space="preserve"> did not eliminate the position after Ellis was demoted from it. This is because Ellis alleges that the city improperly failed to reinstate her to her former position even after the Civil Service Commission overturned her demotion. </w:t>
      </w:r>
      <w:r>
        <w:rPr>
          <w:rStyle w:val="Emphasis"/>
        </w:rPr>
        <w:t>See id.</w:t>
      </w:r>
      <w:r>
        <w:t xml:space="preserve"> at ¶¶ 176-178. Accordingly, the court reinstates Ellis's Section 1983 claim for discriminatory </w:t>
      </w:r>
      <w:proofErr w:type="gramStart"/>
      <w:r>
        <w:t>demotion.”</w:t>
      </w:r>
      <w:proofErr w:type="gramEnd"/>
      <w:r>
        <w:t xml:space="preserve"> </w:t>
      </w:r>
      <w:hyperlink r:id="rId1428" w:history="1">
        <w:r w:rsidRPr="00472D9E">
          <w:rPr>
            <w:rStyle w:val="Hyperlink"/>
          </w:rPr>
          <w:t>https://www.leagle.com/decision/infdco20210812991</w:t>
        </w:r>
      </w:hyperlink>
      <w:r>
        <w:t xml:space="preserve"> </w:t>
      </w:r>
    </w:p>
    <w:p w14:paraId="07A6BCD5" w14:textId="77777777" w:rsidR="00BD263B" w:rsidRPr="008729DF" w:rsidRDefault="00BD263B" w:rsidP="00BD263B">
      <w:pPr>
        <w:pStyle w:val="NormalWeb"/>
        <w:rPr>
          <w:b/>
          <w:bCs/>
        </w:rPr>
      </w:pPr>
      <w:r w:rsidRPr="008729DF">
        <w:rPr>
          <w:b/>
          <w:bCs/>
        </w:rPr>
        <w:t>Legal Lesson Learned:</w:t>
      </w:r>
      <w:r>
        <w:rPr>
          <w:b/>
          <w:bCs/>
        </w:rPr>
        <w:t xml:space="preserve"> Inappropriate, sexist comments can lead to EEOC charges and litigation. </w:t>
      </w:r>
    </w:p>
    <w:p w14:paraId="0DB6ED6F" w14:textId="77777777" w:rsidR="00BD263B" w:rsidRDefault="00BD263B" w:rsidP="002B1283">
      <w:pPr>
        <w:rPr>
          <w:rFonts w:ascii="Arial Black" w:hAnsi="Arial Black"/>
          <w:b/>
          <w:sz w:val="24"/>
          <w:szCs w:val="24"/>
        </w:rPr>
      </w:pPr>
    </w:p>
    <w:p w14:paraId="232280B1" w14:textId="77777777" w:rsidR="00BD263B" w:rsidRDefault="00BD263B" w:rsidP="002B1283">
      <w:pPr>
        <w:rPr>
          <w:rFonts w:ascii="Arial Black" w:hAnsi="Arial Black"/>
          <w:b/>
          <w:sz w:val="24"/>
          <w:szCs w:val="24"/>
        </w:rPr>
      </w:pPr>
    </w:p>
    <w:p w14:paraId="3130A682" w14:textId="73ABDBF7" w:rsidR="005217D5" w:rsidRDefault="005217D5" w:rsidP="002B1283">
      <w:pPr>
        <w:rPr>
          <w:rFonts w:ascii="Arial Black" w:hAnsi="Arial Black"/>
          <w:b/>
          <w:sz w:val="24"/>
          <w:szCs w:val="24"/>
        </w:rPr>
      </w:pPr>
      <w:r>
        <w:rPr>
          <w:rFonts w:ascii="Arial Black" w:hAnsi="Arial Black"/>
          <w:b/>
          <w:sz w:val="24"/>
          <w:szCs w:val="24"/>
        </w:rPr>
        <w:t>7-33</w:t>
      </w:r>
    </w:p>
    <w:p w14:paraId="112BE40C" w14:textId="77777777" w:rsidR="005217D5" w:rsidRPr="00827F2A" w:rsidRDefault="005217D5" w:rsidP="005217D5">
      <w:pPr>
        <w:rPr>
          <w:rStyle w:val="markedcontent"/>
          <w:rFonts w:ascii="Arial Black" w:hAnsi="Arial Black"/>
          <w:sz w:val="28"/>
          <w:szCs w:val="28"/>
        </w:rPr>
      </w:pPr>
      <w:r w:rsidRPr="00827F2A">
        <w:rPr>
          <w:rStyle w:val="markedcontent"/>
          <w:rFonts w:ascii="Arial Black" w:hAnsi="Arial Black"/>
          <w:sz w:val="28"/>
          <w:szCs w:val="28"/>
        </w:rPr>
        <w:t>MA:</w:t>
      </w:r>
      <w:r>
        <w:rPr>
          <w:rStyle w:val="markedcontent"/>
          <w:rFonts w:ascii="Arial Black" w:hAnsi="Arial Black"/>
          <w:sz w:val="28"/>
          <w:szCs w:val="28"/>
        </w:rPr>
        <w:t xml:space="preserve">  STATE CIVIL SERVICE COMMISSION ORDERS 3 FF REHIRED – FIRE CHIEF TO BE DISCIPLINED 2016 INCIDENT</w:t>
      </w:r>
    </w:p>
    <w:p w14:paraId="5BD85CAD" w14:textId="77777777" w:rsidR="005217D5" w:rsidRDefault="005217D5" w:rsidP="005217D5">
      <w:pPr>
        <w:rPr>
          <w:rStyle w:val="markedcontent"/>
          <w:rFonts w:ascii="Times New Roman" w:hAnsi="Times New Roman"/>
          <w:sz w:val="24"/>
          <w:szCs w:val="24"/>
        </w:rPr>
      </w:pPr>
      <w:r>
        <w:rPr>
          <w:rStyle w:val="markedcontent"/>
          <w:rFonts w:ascii="Times New Roman" w:hAnsi="Times New Roman"/>
          <w:sz w:val="24"/>
          <w:szCs w:val="24"/>
        </w:rPr>
        <w:t xml:space="preserve">On May 21, 2021, in </w:t>
      </w:r>
      <w:r w:rsidRPr="00827F2A">
        <w:rPr>
          <w:rStyle w:val="markedcontent"/>
          <w:rFonts w:ascii="Times New Roman" w:hAnsi="Times New Roman"/>
          <w:sz w:val="24"/>
          <w:szCs w:val="24"/>
          <w:u w:val="single"/>
        </w:rPr>
        <w:t>Kyle Miltimore, Rebecca Boutin, David Kennedy v. Westfield Fire Commission,</w:t>
      </w:r>
      <w:r>
        <w:rPr>
          <w:rStyle w:val="markedcontent"/>
          <w:rFonts w:ascii="Times New Roman" w:hAnsi="Times New Roman"/>
          <w:sz w:val="24"/>
          <w:szCs w:val="24"/>
        </w:rPr>
        <w:t xml:space="preserve"> the state Civil Service Commission held (5 to 0) that “</w:t>
      </w:r>
      <w:r w:rsidRPr="00827F2A">
        <w:rPr>
          <w:rStyle w:val="markedcontent"/>
          <w:rFonts w:ascii="Times New Roman" w:hAnsi="Times New Roman"/>
          <w:sz w:val="24"/>
          <w:szCs w:val="24"/>
        </w:rPr>
        <w:t>Westfield Fire Commission has not shown, by a preponderance of the evidence, that there was just cause for terminating the Appellants from their employment</w:t>
      </w:r>
      <w:r>
        <w:rPr>
          <w:rStyle w:val="markedcontent"/>
          <w:rFonts w:ascii="Times New Roman" w:hAnsi="Times New Roman"/>
          <w:sz w:val="24"/>
          <w:szCs w:val="24"/>
        </w:rPr>
        <w:t xml:space="preserve">.”  The two male firefighters and female Captain Rebecca Boutin were terminated in December 2019 upon recommendation of outside lawyer hired by the City. Female Captain to serve 30-day suspension, however, for incorrectly telling others that the then-Deputy Chief (now Fire Chief) was going to be arrested for rape.  All to be put back on </w:t>
      </w:r>
      <w:proofErr w:type="gramStart"/>
      <w:r>
        <w:rPr>
          <w:rStyle w:val="markedcontent"/>
          <w:rFonts w:ascii="Times New Roman" w:hAnsi="Times New Roman"/>
          <w:sz w:val="24"/>
          <w:szCs w:val="24"/>
        </w:rPr>
        <w:t>payroll, but</w:t>
      </w:r>
      <w:proofErr w:type="gramEnd"/>
      <w:r>
        <w:rPr>
          <w:rStyle w:val="markedcontent"/>
          <w:rFonts w:ascii="Times New Roman" w:hAnsi="Times New Roman"/>
          <w:sz w:val="24"/>
          <w:szCs w:val="24"/>
        </w:rPr>
        <w:t xml:space="preserve"> not return to work until Fire Chief is disciplined for admittedly grouping a female nurse off duty after a 2016 St. Patrick’s Day parade and the Commission’s other requirements for a “safe work environment” are in place. </w:t>
      </w:r>
    </w:p>
    <w:p w14:paraId="16683B28" w14:textId="77777777" w:rsidR="005217D5" w:rsidRDefault="005217D5" w:rsidP="005217D5">
      <w:pPr>
        <w:ind w:left="720"/>
        <w:rPr>
          <w:rStyle w:val="markedcontent"/>
          <w:rFonts w:ascii="Times New Roman" w:hAnsi="Times New Roman"/>
          <w:sz w:val="24"/>
          <w:szCs w:val="24"/>
        </w:rPr>
      </w:pPr>
      <w:r>
        <w:rPr>
          <w:rStyle w:val="markedcontent"/>
          <w:rFonts w:ascii="Times New Roman" w:hAnsi="Times New Roman"/>
          <w:sz w:val="24"/>
          <w:szCs w:val="24"/>
        </w:rPr>
        <w:t>“</w:t>
      </w:r>
      <w:r w:rsidRPr="00E004CD">
        <w:rPr>
          <w:rStyle w:val="markedcontent"/>
          <w:rFonts w:ascii="Times New Roman" w:hAnsi="Times New Roman"/>
          <w:sz w:val="24"/>
          <w:szCs w:val="24"/>
        </w:rPr>
        <w:t xml:space="preserve">McDonald’s </w:t>
      </w:r>
      <w:r>
        <w:rPr>
          <w:rStyle w:val="markedcontent"/>
          <w:rFonts w:ascii="Times New Roman" w:hAnsi="Times New Roman"/>
          <w:sz w:val="24"/>
          <w:szCs w:val="24"/>
        </w:rPr>
        <w:t xml:space="preserve">[Investigating attorney Dawn McDonald, Esq.] </w:t>
      </w:r>
      <w:r w:rsidRPr="00E004CD">
        <w:rPr>
          <w:rStyle w:val="markedcontent"/>
          <w:rFonts w:ascii="Times New Roman" w:hAnsi="Times New Roman"/>
          <w:sz w:val="24"/>
          <w:szCs w:val="24"/>
        </w:rPr>
        <w:t xml:space="preserve">conclusion that the Appellants damaged the morale of the Westfield Fire Department is without merit and can be addressed summarily. As </w:t>
      </w:r>
      <w:r w:rsidRPr="00E004CD">
        <w:rPr>
          <w:rStyle w:val="markedcontent"/>
          <w:rFonts w:ascii="Times New Roman" w:hAnsi="Times New Roman"/>
          <w:sz w:val="24"/>
          <w:szCs w:val="24"/>
        </w:rPr>
        <w:lastRenderedPageBreak/>
        <w:t>discussed in more detail below regarding disparate treatment, any purported poor morale in the Department cannot be traced back exclusively to the Appellants, but, rather, was attributable to many factors, including, in substantial part, the conduct of the individual who the Westfield Fire Commission has now chosen to lead the Department – Patrick Egloff.</w:t>
      </w:r>
    </w:p>
    <w:p w14:paraId="37B22CFF" w14:textId="77777777" w:rsidR="005217D5" w:rsidRDefault="005217D5" w:rsidP="005217D5">
      <w:pPr>
        <w:ind w:left="720"/>
        <w:rPr>
          <w:rStyle w:val="markedcontent"/>
          <w:rFonts w:ascii="Times New Roman" w:hAnsi="Times New Roman"/>
          <w:sz w:val="24"/>
          <w:szCs w:val="24"/>
        </w:rPr>
      </w:pPr>
      <w:r>
        <w:rPr>
          <w:rStyle w:val="markedcontent"/>
          <w:rFonts w:ascii="Times New Roman" w:hAnsi="Times New Roman"/>
          <w:sz w:val="24"/>
          <w:szCs w:val="24"/>
        </w:rPr>
        <w:t>***</w:t>
      </w:r>
    </w:p>
    <w:p w14:paraId="497506B5" w14:textId="77777777" w:rsidR="005217D5" w:rsidRPr="005309C0" w:rsidRDefault="005217D5" w:rsidP="005217D5">
      <w:pPr>
        <w:ind w:left="720"/>
        <w:rPr>
          <w:rStyle w:val="markedcontent"/>
          <w:rFonts w:ascii="Times New Roman" w:hAnsi="Times New Roman"/>
          <w:sz w:val="24"/>
          <w:szCs w:val="24"/>
        </w:rPr>
      </w:pPr>
      <w:r w:rsidRPr="005309C0">
        <w:rPr>
          <w:rStyle w:val="markedcontent"/>
          <w:rFonts w:ascii="Times New Roman" w:hAnsi="Times New Roman"/>
          <w:sz w:val="24"/>
          <w:szCs w:val="24"/>
        </w:rPr>
        <w:t>McDonald reports that Egloff admitted to the assault on Ms. N (</w:t>
      </w:r>
      <w:r>
        <w:rPr>
          <w:rStyle w:val="markedcontent"/>
          <w:rFonts w:ascii="Times New Roman" w:hAnsi="Times New Roman"/>
          <w:sz w:val="24"/>
          <w:szCs w:val="24"/>
        </w:rPr>
        <w:t>‘</w:t>
      </w:r>
      <w:r w:rsidRPr="005309C0">
        <w:rPr>
          <w:rStyle w:val="markedcontent"/>
          <w:rFonts w:ascii="Times New Roman" w:hAnsi="Times New Roman"/>
          <w:sz w:val="24"/>
          <w:szCs w:val="24"/>
        </w:rPr>
        <w:t>grabbed her by the vagina</w:t>
      </w:r>
      <w:r>
        <w:rPr>
          <w:rStyle w:val="markedcontent"/>
          <w:rFonts w:ascii="Times New Roman" w:hAnsi="Times New Roman"/>
          <w:sz w:val="24"/>
          <w:szCs w:val="24"/>
        </w:rPr>
        <w:t>’</w:t>
      </w:r>
      <w:r w:rsidRPr="005309C0">
        <w:rPr>
          <w:rStyle w:val="markedcontent"/>
          <w:rFonts w:ascii="Times New Roman" w:hAnsi="Times New Roman"/>
          <w:sz w:val="24"/>
          <w:szCs w:val="24"/>
        </w:rPr>
        <w:t xml:space="preserve">). Specifically, McDonald’s report states: </w:t>
      </w:r>
      <w:r w:rsidRPr="005309C0">
        <w:rPr>
          <w:rFonts w:ascii="Times New Roman" w:hAnsi="Times New Roman"/>
          <w:sz w:val="24"/>
          <w:szCs w:val="24"/>
        </w:rPr>
        <w:br/>
      </w:r>
      <w:r w:rsidRPr="005309C0">
        <w:rPr>
          <w:rFonts w:ascii="Times New Roman" w:hAnsi="Times New Roman"/>
          <w:sz w:val="24"/>
          <w:szCs w:val="24"/>
        </w:rPr>
        <w:br/>
      </w:r>
      <w:r w:rsidRPr="005309C0">
        <w:rPr>
          <w:rStyle w:val="markedcontent"/>
          <w:rFonts w:ascii="Times New Roman" w:hAnsi="Times New Roman"/>
          <w:sz w:val="24"/>
          <w:szCs w:val="24"/>
        </w:rPr>
        <w:t>“At some point during the day</w:t>
      </w:r>
      <w:r>
        <w:rPr>
          <w:rStyle w:val="markedcontent"/>
          <w:rFonts w:ascii="Times New Roman" w:hAnsi="Times New Roman"/>
          <w:sz w:val="24"/>
          <w:szCs w:val="24"/>
        </w:rPr>
        <w:t xml:space="preserve"> [out drinking after </w:t>
      </w:r>
      <w:r w:rsidRPr="006A5F67">
        <w:rPr>
          <w:rStyle w:val="markedcontent"/>
          <w:rFonts w:ascii="Times New Roman" w:hAnsi="Times New Roman"/>
          <w:sz w:val="24"/>
          <w:szCs w:val="24"/>
        </w:rPr>
        <w:t>2016 St. Patrick’s Day Parade</w:t>
      </w:r>
      <w:r>
        <w:rPr>
          <w:rStyle w:val="markedcontent"/>
          <w:rFonts w:ascii="Times New Roman" w:hAnsi="Times New Roman"/>
          <w:sz w:val="24"/>
          <w:szCs w:val="24"/>
        </w:rPr>
        <w:t>]</w:t>
      </w:r>
      <w:r w:rsidRPr="005309C0">
        <w:rPr>
          <w:rStyle w:val="markedcontent"/>
          <w:rFonts w:ascii="Times New Roman" w:hAnsi="Times New Roman"/>
          <w:sz w:val="24"/>
          <w:szCs w:val="24"/>
        </w:rPr>
        <w:t xml:space="preserve"> Deputy Egloff went up to [Ms. N] and grabbed her by the vagina. [Ms. N] immediately shoved him off and yelled at him, words to the effect that if he ever laid hands on her again, she would knock him out. He apologized, [Ms. N] accepted his </w:t>
      </w:r>
      <w:proofErr w:type="gramStart"/>
      <w:r w:rsidRPr="005309C0">
        <w:rPr>
          <w:rStyle w:val="markedcontent"/>
          <w:rFonts w:ascii="Times New Roman" w:hAnsi="Times New Roman"/>
          <w:sz w:val="24"/>
          <w:szCs w:val="24"/>
        </w:rPr>
        <w:t>apology</w:t>
      </w:r>
      <w:proofErr w:type="gramEnd"/>
      <w:r w:rsidRPr="005309C0">
        <w:rPr>
          <w:rStyle w:val="markedcontent"/>
          <w:rFonts w:ascii="Times New Roman" w:hAnsi="Times New Roman"/>
          <w:sz w:val="24"/>
          <w:szCs w:val="24"/>
        </w:rPr>
        <w:t xml:space="preserve"> and everyone continued with the festivities and </w:t>
      </w:r>
      <w:proofErr w:type="gramStart"/>
      <w:r w:rsidRPr="005309C0">
        <w:rPr>
          <w:rStyle w:val="markedcontent"/>
          <w:rFonts w:ascii="Times New Roman" w:hAnsi="Times New Roman"/>
          <w:sz w:val="24"/>
          <w:szCs w:val="24"/>
        </w:rPr>
        <w:t>having</w:t>
      </w:r>
      <w:proofErr w:type="gramEnd"/>
      <w:r w:rsidRPr="005309C0">
        <w:rPr>
          <w:rStyle w:val="markedcontent"/>
          <w:rFonts w:ascii="Times New Roman" w:hAnsi="Times New Roman"/>
          <w:sz w:val="24"/>
          <w:szCs w:val="24"/>
        </w:rPr>
        <w:t xml:space="preserve"> a good time. Egloff admits to this incident and further states that a few days later he again called [Ms. N] to profusely apologize for his conduct. He is embarrassed, ashamed and full of remorse at his behavior. [Ms. N] verifies this account and states that as far as she was concerned, it was one drunken incident, it was dealt with and over that day, and there was nothing further to apologize for.” </w:t>
      </w:r>
      <w:r>
        <w:rPr>
          <w:rStyle w:val="markedcontent"/>
          <w:rFonts w:ascii="Times New Roman" w:hAnsi="Times New Roman"/>
          <w:sz w:val="24"/>
          <w:szCs w:val="24"/>
        </w:rPr>
        <w:t>[See page 30 of the opinion.]</w:t>
      </w:r>
    </w:p>
    <w:p w14:paraId="298F1FF4" w14:textId="77777777" w:rsidR="005217D5" w:rsidRPr="00E004CD" w:rsidRDefault="005217D5" w:rsidP="005217D5">
      <w:pPr>
        <w:ind w:left="720"/>
        <w:rPr>
          <w:rStyle w:val="markedcontent"/>
          <w:rFonts w:ascii="Times New Roman" w:hAnsi="Times New Roman"/>
          <w:sz w:val="24"/>
          <w:szCs w:val="24"/>
        </w:rPr>
      </w:pPr>
      <w:hyperlink r:id="rId1429" w:history="1">
        <w:r w:rsidRPr="004A379F">
          <w:rPr>
            <w:rStyle w:val="Hyperlink"/>
            <w:sz w:val="24"/>
            <w:szCs w:val="24"/>
          </w:rPr>
          <w:t>https://www.mass.gov/doc/miltimore-boutin-and-kennedy-v-westfield-fire-commission-52121/download</w:t>
        </w:r>
      </w:hyperlink>
      <w:r>
        <w:rPr>
          <w:rStyle w:val="markedcontent"/>
          <w:rFonts w:ascii="Times New Roman" w:hAnsi="Times New Roman"/>
          <w:sz w:val="24"/>
          <w:szCs w:val="24"/>
        </w:rPr>
        <w:t xml:space="preserve"> </w:t>
      </w:r>
    </w:p>
    <w:p w14:paraId="23C0B740" w14:textId="77777777" w:rsidR="005217D5" w:rsidRPr="00474F9A" w:rsidRDefault="005217D5" w:rsidP="005217D5">
      <w:pPr>
        <w:spacing w:before="100" w:beforeAutospacing="1" w:after="100" w:afterAutospacing="1" w:line="240" w:lineRule="auto"/>
        <w:rPr>
          <w:rFonts w:ascii="Times New Roman" w:hAnsi="Times New Roman"/>
          <w:b/>
          <w:bCs/>
          <w:sz w:val="24"/>
          <w:szCs w:val="24"/>
        </w:rPr>
      </w:pPr>
      <w:r>
        <w:rPr>
          <w:rFonts w:ascii="Times New Roman" w:hAnsi="Times New Roman"/>
          <w:b/>
          <w:bCs/>
          <w:sz w:val="24"/>
          <w:szCs w:val="24"/>
        </w:rPr>
        <w:t>L</w:t>
      </w:r>
      <w:r w:rsidRPr="00474F9A">
        <w:rPr>
          <w:rFonts w:ascii="Times New Roman" w:hAnsi="Times New Roman"/>
          <w:b/>
          <w:bCs/>
          <w:sz w:val="24"/>
          <w:szCs w:val="24"/>
        </w:rPr>
        <w:t xml:space="preserve">egal Lesson Learned: </w:t>
      </w:r>
      <w:r>
        <w:rPr>
          <w:rFonts w:ascii="Times New Roman" w:hAnsi="Times New Roman"/>
          <w:b/>
          <w:bCs/>
          <w:sz w:val="24"/>
          <w:szCs w:val="24"/>
        </w:rPr>
        <w:t>Admitted s</w:t>
      </w:r>
      <w:r w:rsidRPr="00474F9A">
        <w:rPr>
          <w:rFonts w:ascii="Times New Roman" w:hAnsi="Times New Roman"/>
          <w:b/>
          <w:bCs/>
          <w:sz w:val="24"/>
          <w:szCs w:val="24"/>
        </w:rPr>
        <w:t xml:space="preserve">exual misconduct by </w:t>
      </w:r>
      <w:r>
        <w:rPr>
          <w:rFonts w:ascii="Times New Roman" w:hAnsi="Times New Roman"/>
          <w:b/>
          <w:bCs/>
          <w:sz w:val="24"/>
          <w:szCs w:val="24"/>
        </w:rPr>
        <w:t>a senior fire officer is particularly shocking, and discipline must now be imposed.</w:t>
      </w:r>
    </w:p>
    <w:p w14:paraId="3342DCBB" w14:textId="77777777" w:rsidR="005217D5" w:rsidRPr="00474F9A" w:rsidRDefault="005217D5" w:rsidP="005217D5">
      <w:pPr>
        <w:pStyle w:val="NormalWeb"/>
        <w:ind w:left="720"/>
      </w:pPr>
      <w:r w:rsidRPr="00474F9A">
        <w:t xml:space="preserve">Note: See May 24, </w:t>
      </w:r>
      <w:proofErr w:type="gramStart"/>
      <w:r w:rsidRPr="00474F9A">
        <w:t>2021</w:t>
      </w:r>
      <w:proofErr w:type="gramEnd"/>
      <w:r w:rsidRPr="00474F9A">
        <w:t xml:space="preserve"> article, “Termination of 3 Westfield firefighters vacated, commission orders investigation of chief.” </w:t>
      </w:r>
    </w:p>
    <w:p w14:paraId="59684BAC" w14:textId="271ABA8A" w:rsidR="005217D5" w:rsidRPr="005217D5" w:rsidRDefault="005217D5" w:rsidP="005217D5">
      <w:pPr>
        <w:ind w:left="720"/>
        <w:rPr>
          <w:rFonts w:ascii="Times New Roman" w:hAnsi="Times New Roman"/>
          <w:b/>
          <w:sz w:val="24"/>
          <w:szCs w:val="24"/>
        </w:rPr>
      </w:pPr>
      <w:r w:rsidRPr="005217D5">
        <w:rPr>
          <w:rFonts w:ascii="Times New Roman" w:hAnsi="Times New Roman"/>
          <w:sz w:val="24"/>
          <w:szCs w:val="24"/>
        </w:rPr>
        <w:t xml:space="preserve">“The three firefighters were fired back in December 2019 by the Westfield Fire Commission, following an independent report conducted by Attorney Dawn McDonald into the sexual harassment allegations. McDonald’s report also recommended that Egloff should not be promoted to the chief for other reasons.” </w:t>
      </w:r>
      <w:hyperlink r:id="rId1430" w:history="1">
        <w:r w:rsidRPr="005217D5">
          <w:rPr>
            <w:rStyle w:val="Hyperlink"/>
            <w:rFonts w:ascii="Times New Roman" w:hAnsi="Times New Roman"/>
            <w:sz w:val="24"/>
            <w:szCs w:val="24"/>
          </w:rPr>
          <w:t>https://www.wwlp.com/news/local-news/hampden-county/termination-of-3-westfield-firefighters-vacated-commission-orders-investigation-of-chief/</w:t>
        </w:r>
      </w:hyperlink>
    </w:p>
    <w:p w14:paraId="23583571" w14:textId="77777777" w:rsidR="005217D5" w:rsidRDefault="005217D5" w:rsidP="002B1283">
      <w:pPr>
        <w:rPr>
          <w:rFonts w:ascii="Arial Black" w:hAnsi="Arial Black"/>
          <w:b/>
          <w:sz w:val="24"/>
          <w:szCs w:val="24"/>
        </w:rPr>
      </w:pPr>
    </w:p>
    <w:p w14:paraId="45A9BFD6" w14:textId="77777777" w:rsidR="005217D5" w:rsidRDefault="005217D5" w:rsidP="002B1283">
      <w:pPr>
        <w:rPr>
          <w:rFonts w:ascii="Arial Black" w:hAnsi="Arial Black"/>
          <w:b/>
          <w:sz w:val="24"/>
          <w:szCs w:val="24"/>
        </w:rPr>
      </w:pPr>
    </w:p>
    <w:p w14:paraId="2778C74D" w14:textId="0A06E5C7" w:rsidR="00B03268" w:rsidRDefault="00B03268" w:rsidP="002B1283">
      <w:pPr>
        <w:rPr>
          <w:rFonts w:ascii="Arial Black" w:hAnsi="Arial Black"/>
          <w:b/>
          <w:sz w:val="24"/>
          <w:szCs w:val="24"/>
        </w:rPr>
      </w:pPr>
      <w:r>
        <w:rPr>
          <w:rFonts w:ascii="Arial Black" w:hAnsi="Arial Black"/>
          <w:b/>
          <w:sz w:val="24"/>
          <w:szCs w:val="24"/>
        </w:rPr>
        <w:t>7-32</w:t>
      </w:r>
    </w:p>
    <w:p w14:paraId="0879EBB3" w14:textId="77777777" w:rsidR="00B03268" w:rsidRDefault="00B03268" w:rsidP="00B03268">
      <w:pPr>
        <w:pStyle w:val="NoSpacing"/>
        <w:rPr>
          <w:rFonts w:ascii="Arial Black" w:hAnsi="Arial Black"/>
          <w:sz w:val="28"/>
          <w:szCs w:val="28"/>
        </w:rPr>
      </w:pPr>
      <w:r>
        <w:rPr>
          <w:rFonts w:ascii="Arial Black" w:hAnsi="Arial Black"/>
          <w:sz w:val="28"/>
          <w:szCs w:val="28"/>
        </w:rPr>
        <w:t>PA: FEMALE FF TERMINATED BY VOLUNTEER FD – FED. CASE DISMISSED – VOL. FD NOT SEC. 1983 “STATE ACTOR”</w:t>
      </w:r>
    </w:p>
    <w:p w14:paraId="4853E4E7" w14:textId="77777777" w:rsidR="00B03268" w:rsidRDefault="00B03268" w:rsidP="00B03268">
      <w:pPr>
        <w:pStyle w:val="NoSpacing"/>
        <w:rPr>
          <w:rFonts w:ascii="Arial Black" w:hAnsi="Arial Black"/>
          <w:sz w:val="28"/>
          <w:szCs w:val="28"/>
        </w:rPr>
      </w:pPr>
    </w:p>
    <w:p w14:paraId="55815892" w14:textId="77777777" w:rsidR="00B03268" w:rsidRDefault="00B03268" w:rsidP="00B03268">
      <w:pPr>
        <w:pStyle w:val="NoSpacing"/>
        <w:rPr>
          <w:rFonts w:ascii="Times New Roman" w:hAnsi="Times New Roman"/>
          <w:sz w:val="24"/>
          <w:szCs w:val="24"/>
        </w:rPr>
      </w:pPr>
      <w:r>
        <w:rPr>
          <w:rFonts w:ascii="Times New Roman" w:hAnsi="Times New Roman"/>
          <w:sz w:val="24"/>
          <w:szCs w:val="24"/>
        </w:rPr>
        <w:t xml:space="preserve">On May 18, 2021, in </w:t>
      </w:r>
      <w:r w:rsidRPr="00151CAC">
        <w:rPr>
          <w:rFonts w:ascii="Times New Roman" w:hAnsi="Times New Roman"/>
          <w:sz w:val="24"/>
          <w:szCs w:val="24"/>
          <w:u w:val="single"/>
        </w:rPr>
        <w:t>Annie M. Papa v. Neshannock VFD, et al</w:t>
      </w:r>
      <w:r>
        <w:rPr>
          <w:rFonts w:ascii="Times New Roman" w:hAnsi="Times New Roman"/>
          <w:sz w:val="24"/>
          <w:szCs w:val="24"/>
        </w:rPr>
        <w:t xml:space="preserve">., U.S. Senior District Court Judge </w:t>
      </w:r>
    </w:p>
    <w:p w14:paraId="5E2FAD08" w14:textId="77777777" w:rsidR="00B03268" w:rsidRDefault="00B03268" w:rsidP="00B03268">
      <w:pPr>
        <w:pStyle w:val="NoSpacing"/>
        <w:rPr>
          <w:rFonts w:ascii="Times New Roman" w:hAnsi="Times New Roman"/>
          <w:sz w:val="24"/>
          <w:szCs w:val="24"/>
        </w:rPr>
      </w:pPr>
      <w:r w:rsidRPr="00151CAC">
        <w:rPr>
          <w:rFonts w:ascii="Times New Roman" w:hAnsi="Times New Roman"/>
          <w:sz w:val="24"/>
          <w:szCs w:val="24"/>
        </w:rPr>
        <w:t>Joy Flowers Conti</w:t>
      </w:r>
      <w:r>
        <w:rPr>
          <w:rFonts w:ascii="Times New Roman" w:hAnsi="Times New Roman"/>
          <w:sz w:val="24"/>
          <w:szCs w:val="24"/>
        </w:rPr>
        <w:t xml:space="preserve">, U.S. District Court for Western District of Pennsylvania, granted the Volunteer Fire Department’s motion to dismiss the federal lawsuit, since this is a private fire company and not involved in “state action” when terminating a volunteer firefighter; her claims are remanded to state court. </w:t>
      </w:r>
    </w:p>
    <w:p w14:paraId="73D333DF" w14:textId="660DFD7F" w:rsidR="00B03268" w:rsidRDefault="00B03268" w:rsidP="00B03268">
      <w:pPr>
        <w:rPr>
          <w:rFonts w:ascii="Arial Black" w:hAnsi="Arial Black"/>
          <w:b/>
          <w:sz w:val="24"/>
          <w:szCs w:val="24"/>
        </w:rPr>
      </w:pPr>
      <w:r>
        <w:lastRenderedPageBreak/>
        <w:t>“</w:t>
      </w:r>
      <w:r w:rsidRPr="00151CAC">
        <w:t xml:space="preserve">In this case, Papa failed to allege any plausible basis for </w:t>
      </w:r>
      <w:r>
        <w:t>‘</w:t>
      </w:r>
      <w:r w:rsidRPr="00151CAC">
        <w:t>state action</w:t>
      </w:r>
      <w:r>
        <w:t>’</w:t>
      </w:r>
      <w:r w:rsidRPr="00151CAC">
        <w:t xml:space="preserve"> with respect to the conduct at issue in the amended complaint. The actions of which she complains occurred within the scope of her membership obligations in the Neshannock VFD. The crux of her § 1983 claims </w:t>
      </w:r>
      <w:proofErr w:type="gramStart"/>
      <w:r w:rsidRPr="00151CAC">
        <w:t>is</w:t>
      </w:r>
      <w:proofErr w:type="gramEnd"/>
      <w:r w:rsidRPr="00151CAC">
        <w:t xml:space="preserve"> that </w:t>
      </w:r>
      <w:proofErr w:type="gramStart"/>
      <w:r w:rsidRPr="00151CAC">
        <w:t>the Neshannock</w:t>
      </w:r>
      <w:proofErr w:type="gramEnd"/>
      <w:r w:rsidRPr="00151CAC">
        <w:t xml:space="preserve"> VFD's internal disciplinary procedures were improper. As the Supreme Court made clear in </w:t>
      </w:r>
      <w:r w:rsidRPr="00151CAC">
        <w:rPr>
          <w:i/>
          <w:iCs/>
        </w:rPr>
        <w:t>Rendell-Baker</w:t>
      </w:r>
      <w:r w:rsidRPr="00151CAC">
        <w:t>, internal disciplinary decisions of a private volunteer organization do not become state action -- even if the organization itself is heavily involved in a state function.</w:t>
      </w:r>
      <w:r>
        <w:t xml:space="preserve"> </w:t>
      </w:r>
      <w:r w:rsidRPr="00151CAC">
        <w:t>The court concludes that the § 1983 claims are subject to dismissal at this stage of the case.</w:t>
      </w:r>
      <w:r>
        <w:t xml:space="preserve">” </w:t>
      </w:r>
      <w:hyperlink r:id="rId1431" w:history="1">
        <w:r w:rsidRPr="007344F4">
          <w:rPr>
            <w:rStyle w:val="Hyperlink"/>
          </w:rPr>
          <w:t>https://public.fastcase.com/9SKwsfNqTc6OieYDhNMyMx8HeCj7%2FDJBNdWBqE3NyzJHPN6vSl1mv%2F8RhqlJqRKR</w:t>
        </w:r>
      </w:hyperlink>
    </w:p>
    <w:p w14:paraId="41D98BB6" w14:textId="77777777" w:rsidR="00B03268" w:rsidRPr="00C35A71" w:rsidRDefault="00B03268" w:rsidP="00B03268">
      <w:pPr>
        <w:pStyle w:val="NormalWeb"/>
        <w:rPr>
          <w:b/>
          <w:bCs/>
        </w:rPr>
      </w:pPr>
      <w:r w:rsidRPr="00C35A71">
        <w:rPr>
          <w:b/>
          <w:bCs/>
        </w:rPr>
        <w:t>Legal Lesson Learned:</w:t>
      </w:r>
      <w:r>
        <w:rPr>
          <w:b/>
          <w:bCs/>
        </w:rPr>
        <w:t xml:space="preserve"> Vol. fire departments are not generally considered “state actors” under 42 U.S.C. 1983 in federal lawsuits; they may be sued in State courts.</w:t>
      </w:r>
    </w:p>
    <w:p w14:paraId="32EC5993" w14:textId="77777777" w:rsidR="00B03268" w:rsidRDefault="00B03268" w:rsidP="002B1283">
      <w:pPr>
        <w:rPr>
          <w:rFonts w:ascii="Arial Black" w:hAnsi="Arial Black"/>
          <w:b/>
          <w:sz w:val="24"/>
          <w:szCs w:val="24"/>
        </w:rPr>
      </w:pPr>
    </w:p>
    <w:p w14:paraId="0021CBBB" w14:textId="77777777" w:rsidR="00B03268" w:rsidRDefault="00B03268" w:rsidP="002B1283">
      <w:pPr>
        <w:rPr>
          <w:rFonts w:ascii="Arial Black" w:hAnsi="Arial Black"/>
          <w:b/>
          <w:sz w:val="24"/>
          <w:szCs w:val="24"/>
        </w:rPr>
      </w:pPr>
    </w:p>
    <w:p w14:paraId="5C1BD0E8" w14:textId="3035198C" w:rsidR="00274525" w:rsidRDefault="00274525" w:rsidP="002B1283">
      <w:pPr>
        <w:rPr>
          <w:rFonts w:ascii="Arial Black" w:hAnsi="Arial Black"/>
          <w:b/>
          <w:sz w:val="24"/>
          <w:szCs w:val="24"/>
        </w:rPr>
      </w:pPr>
      <w:r>
        <w:rPr>
          <w:rFonts w:ascii="Arial Black" w:hAnsi="Arial Black"/>
          <w:b/>
          <w:sz w:val="24"/>
          <w:szCs w:val="24"/>
        </w:rPr>
        <w:t>7-31</w:t>
      </w:r>
    </w:p>
    <w:p w14:paraId="73A4A721" w14:textId="77777777" w:rsidR="00274525" w:rsidRPr="00421215" w:rsidRDefault="00274525" w:rsidP="00274525">
      <w:pPr>
        <w:pStyle w:val="NormalWeb"/>
        <w:rPr>
          <w:rFonts w:ascii="Arial Black" w:hAnsi="Arial Black"/>
          <w:sz w:val="28"/>
          <w:szCs w:val="28"/>
        </w:rPr>
      </w:pPr>
      <w:bookmarkStart w:id="286" w:name="_Hlk68351408"/>
      <w:r>
        <w:rPr>
          <w:rFonts w:ascii="Arial Black" w:hAnsi="Arial Black"/>
          <w:sz w:val="28"/>
          <w:szCs w:val="28"/>
        </w:rPr>
        <w:t>NJ: FEMALE FF ALLEGED ACADEMY INSTRUCTOR “RAPED AND TORTURED” HER – ACADEMY DISMISSED FROM CASE</w:t>
      </w:r>
    </w:p>
    <w:p w14:paraId="0EAC7F99" w14:textId="77777777" w:rsidR="00274525" w:rsidRDefault="00274525" w:rsidP="00274525">
      <w:pPr>
        <w:pStyle w:val="NormalWeb"/>
      </w:pPr>
      <w:r>
        <w:t xml:space="preserve">On March 26, 2021, in </w:t>
      </w:r>
      <w:r w:rsidRPr="00045581">
        <w:rPr>
          <w:u w:val="single"/>
        </w:rPr>
        <w:t>A.S. v. Ocean County Fire Academy, et al</w:t>
      </w:r>
      <w:r>
        <w:t xml:space="preserve">., U.S. District Court Judge Michael A. Shipp, U.S. District Court of New Jersey (decision Not </w:t>
      </w:r>
      <w:proofErr w:type="gramStart"/>
      <w:r>
        <w:t>For</w:t>
      </w:r>
      <w:proofErr w:type="gramEnd"/>
      <w:r>
        <w:t xml:space="preserve"> Publication) granted the Fire Academy’s motion to </w:t>
      </w:r>
      <w:proofErr w:type="gramStart"/>
      <w:r>
        <w:t>dismiss, and</w:t>
      </w:r>
      <w:proofErr w:type="gramEnd"/>
      <w:r>
        <w:t xml:space="preserve"> declined to keep jurisdiction over state law claims (lawsuit against Instructor can proceed in state court). Plaintiff completed her required hours at the Training Center in April 2018 and became an active firefighter with the Seaside Heights Fire Department. According to the Plaintiff, she and the </w:t>
      </w:r>
      <w:proofErr w:type="gramStart"/>
      <w:r>
        <w:t>Instructor</w:t>
      </w:r>
      <w:proofErr w:type="gramEnd"/>
      <w:r>
        <w:t xml:space="preserve"> [John Syers] had a “brief romantic encounter” in April, "had on again/off again conversations" until September 26, 2018, when she alleges that she was "rape[d], torture[d,] and sexually abuse[d].”  </w:t>
      </w:r>
    </w:p>
    <w:p w14:paraId="0AA7C58F" w14:textId="77777777" w:rsidR="00274525" w:rsidRDefault="00274525" w:rsidP="00274525">
      <w:pPr>
        <w:pStyle w:val="NormalWeb"/>
        <w:ind w:left="720"/>
      </w:pPr>
      <w:r>
        <w:t>“As the Ocean County Defendants correctly observe, however, the Complaint fails to allege any facts that would support Plaintiff's assertions that a custom or policy deprived her of a constitutional right. (</w:t>
      </w:r>
      <w:proofErr w:type="spellStart"/>
      <w:r>
        <w:t>Defs</w:t>
      </w:r>
      <w:proofErr w:type="spellEnd"/>
      <w:r>
        <w:t>.' Moving Br. 11.) Aside from one conclusory allegation that Fire Academy and Training Center employees ‘</w:t>
      </w:r>
      <w:proofErr w:type="spellStart"/>
      <w:r>
        <w:t>refus</w:t>
      </w:r>
      <w:proofErr w:type="spellEnd"/>
      <w:r>
        <w:t>[ed] to respond to Plaintiff's sexual assault on academy premises[,]’ (</w:t>
      </w:r>
      <w:proofErr w:type="spellStart"/>
      <w:r>
        <w:t>Compl</w:t>
      </w:r>
      <w:proofErr w:type="spellEnd"/>
      <w:r>
        <w:t>. 32, ¶ 47), Plaintiff fails to provide any facts demonstrating that the Ocean County Defendants were aware of the rape, (</w:t>
      </w:r>
      <w:r>
        <w:rPr>
          <w:i/>
          <w:iCs/>
        </w:rPr>
        <w:t>see generally id</w:t>
      </w:r>
      <w:r>
        <w:t xml:space="preserve">.; </w:t>
      </w:r>
      <w:r>
        <w:rPr>
          <w:i/>
          <w:iCs/>
        </w:rPr>
        <w:t>see also</w:t>
      </w:r>
      <w:r>
        <w:t xml:space="preserve"> </w:t>
      </w:r>
      <w:proofErr w:type="spellStart"/>
      <w:r>
        <w:t>Defs</w:t>
      </w:r>
      <w:proofErr w:type="spellEnd"/>
      <w:r>
        <w:t>.' Moving Br. 11 (‘The [C]</w:t>
      </w:r>
      <w:proofErr w:type="spellStart"/>
      <w:r>
        <w:t>omplaint</w:t>
      </w:r>
      <w:proofErr w:type="spellEnd"/>
      <w:r>
        <w:t xml:space="preserve"> does not assert that Plaintiff filed any type of grievance or report of alleged harassment, discrimination[,] or 'hostile work environment' during her tenure . . . . Moreover, the voluminous [C]</w:t>
      </w:r>
      <w:proofErr w:type="spellStart"/>
      <w:r>
        <w:t>omplaint</w:t>
      </w:r>
      <w:proofErr w:type="spellEnd"/>
      <w:r>
        <w:t xml:space="preserve"> is devoid of any allegations stating that Plaintiff provided notification . . . </w:t>
      </w:r>
      <w:proofErr w:type="gramStart"/>
      <w:r>
        <w:t>with regard to</w:t>
      </w:r>
      <w:proofErr w:type="gramEnd"/>
      <w:r>
        <w:t xml:space="preserve"> any issues concerning . . . employees or volunteer instructors[.]")). Without such factual allegations, the Court cannot find that Plaintiff has a plausible claim for relief stemming from the Ocean County Defendants' alleged failure to investigate and respond to Sayer’s conduct or train its employees to respond to sexual discrimination, harassment, or violence.</w:t>
      </w:r>
    </w:p>
    <w:p w14:paraId="6152C288" w14:textId="77777777" w:rsidR="00274525" w:rsidRDefault="00274525" w:rsidP="00274525">
      <w:pPr>
        <w:pStyle w:val="NormalWeb"/>
        <w:ind w:left="720"/>
      </w:pPr>
      <w:r>
        <w:t>***</w:t>
      </w:r>
    </w:p>
    <w:p w14:paraId="3EFDD577" w14:textId="77777777" w:rsidR="00274525" w:rsidRDefault="00274525" w:rsidP="00274525">
      <w:pPr>
        <w:pStyle w:val="NormalWeb"/>
        <w:ind w:left="720"/>
      </w:pPr>
      <w:r>
        <w:t xml:space="preserve">The Court, therefore, will decline to exercise supplemental jurisdiction over the state law claims of the Complaint.”  </w:t>
      </w:r>
      <w:hyperlink r:id="rId1432" w:history="1">
        <w:r w:rsidRPr="00B568EC">
          <w:rPr>
            <w:rStyle w:val="Hyperlink"/>
          </w:rPr>
          <w:t>https://casetext.com/case/as-v-ocean-cnty-fire-acad-2</w:t>
        </w:r>
      </w:hyperlink>
      <w:r>
        <w:t xml:space="preserve"> </w:t>
      </w:r>
    </w:p>
    <w:bookmarkEnd w:id="286"/>
    <w:p w14:paraId="2BAB00AB" w14:textId="77777777" w:rsidR="00274525" w:rsidRPr="00101EB6" w:rsidRDefault="00274525" w:rsidP="00274525">
      <w:pPr>
        <w:pStyle w:val="NormalWeb"/>
        <w:rPr>
          <w:b/>
          <w:bCs/>
        </w:rPr>
      </w:pPr>
      <w:r w:rsidRPr="00101EB6">
        <w:rPr>
          <w:b/>
          <w:bCs/>
        </w:rPr>
        <w:lastRenderedPageBreak/>
        <w:t>Legal Lesson Learned:</w:t>
      </w:r>
      <w:r>
        <w:rPr>
          <w:b/>
          <w:bCs/>
        </w:rPr>
        <w:t xml:space="preserve">  Plaintiff failed to provide any proof she informed the Training Academy of being raped.  It is a “best practice” for Training Academies and Fire &amp; EMS Departments to provide all recruits with written procedure on how to file a complaint.  </w:t>
      </w:r>
    </w:p>
    <w:p w14:paraId="0945F8CC" w14:textId="77777777" w:rsidR="00274525" w:rsidRDefault="00274525" w:rsidP="002B1283">
      <w:pPr>
        <w:rPr>
          <w:rFonts w:ascii="Arial Black" w:hAnsi="Arial Black"/>
          <w:b/>
          <w:sz w:val="24"/>
          <w:szCs w:val="24"/>
        </w:rPr>
      </w:pPr>
    </w:p>
    <w:p w14:paraId="16831515" w14:textId="77777777" w:rsidR="00274525" w:rsidRDefault="00274525" w:rsidP="002B1283">
      <w:pPr>
        <w:rPr>
          <w:rFonts w:ascii="Arial Black" w:hAnsi="Arial Black"/>
          <w:b/>
          <w:sz w:val="24"/>
          <w:szCs w:val="24"/>
        </w:rPr>
      </w:pPr>
    </w:p>
    <w:p w14:paraId="18C69C60" w14:textId="322A2967" w:rsidR="00831847" w:rsidRDefault="00831847" w:rsidP="002B1283">
      <w:pPr>
        <w:rPr>
          <w:rFonts w:ascii="Arial Black" w:hAnsi="Arial Black"/>
          <w:b/>
          <w:sz w:val="24"/>
          <w:szCs w:val="24"/>
        </w:rPr>
      </w:pPr>
      <w:r>
        <w:rPr>
          <w:rFonts w:ascii="Arial Black" w:hAnsi="Arial Black"/>
          <w:b/>
          <w:sz w:val="24"/>
          <w:szCs w:val="24"/>
        </w:rPr>
        <w:t>7-30</w:t>
      </w:r>
    </w:p>
    <w:p w14:paraId="6DBCD745" w14:textId="77777777" w:rsidR="00274525" w:rsidRPr="00BD5B0D" w:rsidRDefault="00274525" w:rsidP="00274525">
      <w:pPr>
        <w:pStyle w:val="NoSpacing"/>
        <w:rPr>
          <w:rFonts w:ascii="Arial Black" w:hAnsi="Arial Black"/>
          <w:sz w:val="28"/>
          <w:szCs w:val="28"/>
        </w:rPr>
      </w:pPr>
      <w:bookmarkStart w:id="287" w:name="_Hlk68350680"/>
      <w:r>
        <w:rPr>
          <w:rFonts w:ascii="Arial Black" w:hAnsi="Arial Black"/>
          <w:sz w:val="28"/>
          <w:szCs w:val="28"/>
        </w:rPr>
        <w:t>AR: FEMALE FF ALLEGEDLY RAPED TWICE BY BATTALION CHIEF - MALE HIT ANTENNA – CASE PROCEED FD &amp; CHIEF</w:t>
      </w:r>
    </w:p>
    <w:p w14:paraId="009B71F9" w14:textId="77777777" w:rsidR="00274525" w:rsidRPr="001707D0" w:rsidRDefault="00274525" w:rsidP="00274525">
      <w:pPr>
        <w:spacing w:before="100" w:beforeAutospacing="1" w:after="100" w:afterAutospacing="1" w:line="240" w:lineRule="auto"/>
        <w:rPr>
          <w:rFonts w:ascii="Times New Roman" w:hAnsi="Times New Roman"/>
          <w:sz w:val="24"/>
          <w:szCs w:val="24"/>
        </w:rPr>
      </w:pPr>
      <w:r>
        <w:rPr>
          <w:rFonts w:ascii="Times New Roman" w:eastAsia="Times New Roman" w:hAnsi="Times New Roman"/>
          <w:sz w:val="24"/>
          <w:szCs w:val="24"/>
        </w:rPr>
        <w:t xml:space="preserve">On March 17, 2021, in </w:t>
      </w:r>
      <w:r w:rsidRPr="00055F09">
        <w:rPr>
          <w:rFonts w:ascii="Times New Roman" w:eastAsia="Times New Roman" w:hAnsi="Times New Roman"/>
          <w:sz w:val="24"/>
          <w:szCs w:val="24"/>
          <w:u w:val="single"/>
        </w:rPr>
        <w:t xml:space="preserve">Rene Mendoza &amp; </w:t>
      </w:r>
      <w:r w:rsidRPr="00055F09">
        <w:rPr>
          <w:rFonts w:ascii="Times New Roman" w:hAnsi="Times New Roman"/>
          <w:sz w:val="24"/>
          <w:szCs w:val="24"/>
          <w:u w:val="single"/>
        </w:rPr>
        <w:t xml:space="preserve">Lani Salazar, </w:t>
      </w:r>
      <w:r w:rsidRPr="00055F09">
        <w:rPr>
          <w:rFonts w:ascii="Times New Roman" w:eastAsia="Times New Roman" w:hAnsi="Times New Roman"/>
          <w:sz w:val="24"/>
          <w:szCs w:val="24"/>
          <w:u w:val="single"/>
        </w:rPr>
        <w:t>et al. v. Rio</w:t>
      </w:r>
      <w:r w:rsidRPr="00BD5B0D">
        <w:rPr>
          <w:rFonts w:ascii="Times New Roman" w:eastAsia="Times New Roman" w:hAnsi="Times New Roman"/>
          <w:sz w:val="24"/>
          <w:szCs w:val="24"/>
          <w:u w:val="single"/>
        </w:rPr>
        <w:t xml:space="preserve"> Rico Medical &amp; Fire District, et al</w:t>
      </w:r>
      <w:r>
        <w:rPr>
          <w:rFonts w:ascii="Times New Roman" w:eastAsia="Times New Roman" w:hAnsi="Times New Roman"/>
          <w:sz w:val="24"/>
          <w:szCs w:val="24"/>
        </w:rPr>
        <w:t xml:space="preserve">., U.S. District Court Judge Cindy K. Jorgenson, U.S. District Court for the District of Arizona, issued a pre-trial order; lawsuit against FD and the Battalion Chief will proceed to trial. The trial judge issued her order with this understatement. </w:t>
      </w:r>
      <w:r>
        <w:rPr>
          <w:rFonts w:ascii="Times New Roman" w:hAnsi="Times New Roman"/>
          <w:sz w:val="24"/>
          <w:szCs w:val="24"/>
        </w:rPr>
        <w:t>“</w:t>
      </w:r>
      <w:r w:rsidRPr="001F0A7D">
        <w:rPr>
          <w:rFonts w:ascii="Times New Roman" w:hAnsi="Times New Roman"/>
          <w:sz w:val="24"/>
          <w:szCs w:val="24"/>
        </w:rPr>
        <w:t>In 2016 and 2017, there was a fair amount of questionable activity unrelated to firefighting happening at the Rio Rico Medical &amp; Fire District (</w:t>
      </w:r>
      <w:r>
        <w:rPr>
          <w:rFonts w:ascii="Times New Roman" w:hAnsi="Times New Roman"/>
          <w:sz w:val="24"/>
          <w:szCs w:val="24"/>
        </w:rPr>
        <w:t>‘</w:t>
      </w:r>
      <w:r w:rsidRPr="001F0A7D">
        <w:rPr>
          <w:rFonts w:ascii="Times New Roman" w:hAnsi="Times New Roman"/>
          <w:sz w:val="24"/>
          <w:szCs w:val="24"/>
        </w:rPr>
        <w:t>District</w:t>
      </w:r>
      <w:r>
        <w:rPr>
          <w:rFonts w:ascii="Times New Roman" w:hAnsi="Times New Roman"/>
          <w:sz w:val="24"/>
          <w:szCs w:val="24"/>
        </w:rPr>
        <w:t>’</w:t>
      </w:r>
      <w:r w:rsidRPr="001F0A7D">
        <w:rPr>
          <w:rFonts w:ascii="Times New Roman" w:hAnsi="Times New Roman"/>
          <w:sz w:val="24"/>
          <w:szCs w:val="24"/>
        </w:rPr>
        <w:t>).</w:t>
      </w:r>
      <w:r>
        <w:rPr>
          <w:rFonts w:ascii="Times New Roman" w:hAnsi="Times New Roman"/>
          <w:sz w:val="24"/>
          <w:szCs w:val="24"/>
        </w:rPr>
        <w:t>”</w:t>
      </w:r>
    </w:p>
    <w:p w14:paraId="66701354" w14:textId="77777777" w:rsidR="00274525" w:rsidRDefault="00274525" w:rsidP="00274525">
      <w:pPr>
        <w:pStyle w:val="NoSpacing"/>
        <w:ind w:left="480"/>
        <w:rPr>
          <w:rFonts w:ascii="Times New Roman" w:hAnsi="Times New Roman"/>
          <w:sz w:val="24"/>
          <w:szCs w:val="24"/>
        </w:rPr>
      </w:pPr>
      <w:r>
        <w:rPr>
          <w:rFonts w:ascii="Times New Roman" w:hAnsi="Times New Roman"/>
          <w:sz w:val="24"/>
          <w:szCs w:val="24"/>
        </w:rPr>
        <w:t>“</w:t>
      </w:r>
      <w:r w:rsidRPr="00D46F33">
        <w:rPr>
          <w:rFonts w:ascii="Times New Roman" w:hAnsi="Times New Roman"/>
          <w:sz w:val="24"/>
          <w:szCs w:val="24"/>
        </w:rPr>
        <w:t xml:space="preserve">Beginning in July 2016, Flores began sexually harassing </w:t>
      </w:r>
      <w:r>
        <w:rPr>
          <w:rFonts w:ascii="Times New Roman" w:hAnsi="Times New Roman"/>
          <w:sz w:val="24"/>
          <w:szCs w:val="24"/>
        </w:rPr>
        <w:t xml:space="preserve">[Mrs. Lani] </w:t>
      </w:r>
      <w:r w:rsidRPr="00D46F33">
        <w:rPr>
          <w:rFonts w:ascii="Times New Roman" w:hAnsi="Times New Roman"/>
          <w:sz w:val="24"/>
          <w:szCs w:val="24"/>
        </w:rPr>
        <w:t xml:space="preserve">Salazar, whose promotion he had recently recommended. What started out as unwelcomed sexual advances soon escalated to alleged incidents of rape, the last of which occurred around the 2017 holiday season. A month earlier, Ibarra had struck rookie firefighter </w:t>
      </w:r>
      <w:r>
        <w:rPr>
          <w:rFonts w:ascii="Times New Roman" w:hAnsi="Times New Roman"/>
          <w:sz w:val="24"/>
          <w:szCs w:val="24"/>
        </w:rPr>
        <w:t xml:space="preserve">[Mr. Rene] </w:t>
      </w:r>
      <w:r w:rsidRPr="00D46F33">
        <w:rPr>
          <w:rFonts w:ascii="Times New Roman" w:hAnsi="Times New Roman"/>
          <w:sz w:val="24"/>
          <w:szCs w:val="24"/>
        </w:rPr>
        <w:t xml:space="preserve">Mendoza in the testicles with a radio antenna, laughed, and ran away. Mendoza was also inundated with countless sexually suggestive images sent to him by a fellow firefighter, who frequently referred to Mendoza using sexually offensive slang terms. Two other firefighters exposed themselves to Mendoza, and when he complained of </w:t>
      </w:r>
      <w:proofErr w:type="gramStart"/>
      <w:r w:rsidRPr="00D46F33">
        <w:rPr>
          <w:rFonts w:ascii="Times New Roman" w:hAnsi="Times New Roman"/>
          <w:sz w:val="24"/>
          <w:szCs w:val="24"/>
        </w:rPr>
        <w:t>the harassing</w:t>
      </w:r>
      <w:proofErr w:type="gramEnd"/>
      <w:r w:rsidRPr="00D46F33">
        <w:rPr>
          <w:rFonts w:ascii="Times New Roman" w:hAnsi="Times New Roman"/>
          <w:sz w:val="24"/>
          <w:szCs w:val="24"/>
        </w:rPr>
        <w:t xml:space="preserve"> behavior to a superior, he was half-heartedly instructed to </w:t>
      </w:r>
      <w:r>
        <w:rPr>
          <w:rFonts w:ascii="Times New Roman" w:hAnsi="Times New Roman"/>
          <w:sz w:val="24"/>
          <w:szCs w:val="24"/>
        </w:rPr>
        <w:t>‘</w:t>
      </w:r>
      <w:r w:rsidRPr="00D46F33">
        <w:rPr>
          <w:rFonts w:ascii="Times New Roman" w:hAnsi="Times New Roman"/>
          <w:sz w:val="24"/>
          <w:szCs w:val="24"/>
        </w:rPr>
        <w:t>write an email about it.</w:t>
      </w:r>
      <w:r>
        <w:rPr>
          <w:rFonts w:ascii="Times New Roman" w:hAnsi="Times New Roman"/>
          <w:sz w:val="24"/>
          <w:szCs w:val="24"/>
        </w:rPr>
        <w:t>’</w:t>
      </w:r>
    </w:p>
    <w:p w14:paraId="74A26E5B" w14:textId="77777777" w:rsidR="00274525" w:rsidRDefault="00274525" w:rsidP="00274525">
      <w:pPr>
        <w:pStyle w:val="NoSpacing"/>
        <w:ind w:left="480"/>
        <w:rPr>
          <w:rFonts w:ascii="Times New Roman" w:hAnsi="Times New Roman"/>
          <w:sz w:val="24"/>
          <w:szCs w:val="24"/>
        </w:rPr>
      </w:pPr>
    </w:p>
    <w:p w14:paraId="1670937F" w14:textId="77777777" w:rsidR="00274525" w:rsidRDefault="00274525" w:rsidP="00274525">
      <w:pPr>
        <w:pStyle w:val="NoSpacing"/>
        <w:ind w:left="480"/>
        <w:rPr>
          <w:rFonts w:ascii="Times New Roman" w:hAnsi="Times New Roman"/>
          <w:sz w:val="24"/>
          <w:szCs w:val="24"/>
        </w:rPr>
      </w:pPr>
      <w:r>
        <w:rPr>
          <w:rFonts w:ascii="Times New Roman" w:hAnsi="Times New Roman"/>
          <w:sz w:val="24"/>
          <w:szCs w:val="24"/>
        </w:rPr>
        <w:t>***</w:t>
      </w:r>
    </w:p>
    <w:p w14:paraId="77D71B1E" w14:textId="77777777" w:rsidR="00274525" w:rsidRDefault="00274525" w:rsidP="00274525">
      <w:pPr>
        <w:pStyle w:val="NoSpacing"/>
        <w:ind w:left="480"/>
        <w:rPr>
          <w:rFonts w:ascii="Times New Roman" w:hAnsi="Times New Roman"/>
          <w:sz w:val="24"/>
          <w:szCs w:val="24"/>
        </w:rPr>
      </w:pPr>
    </w:p>
    <w:p w14:paraId="12383FA5" w14:textId="77777777" w:rsidR="00274525" w:rsidRPr="00D46F33" w:rsidRDefault="00274525" w:rsidP="00274525">
      <w:pPr>
        <w:pStyle w:val="NoSpacing"/>
        <w:ind w:left="480"/>
        <w:rPr>
          <w:rFonts w:ascii="Times New Roman" w:hAnsi="Times New Roman"/>
          <w:sz w:val="24"/>
          <w:szCs w:val="24"/>
        </w:rPr>
      </w:pPr>
      <w:r w:rsidRPr="00072BE7">
        <w:rPr>
          <w:rFonts w:ascii="Times New Roman" w:hAnsi="Times New Roman"/>
          <w:sz w:val="24"/>
          <w:szCs w:val="24"/>
        </w:rPr>
        <w:t>Mendoza's Title VII hostile work environment claim against the District, Salazar's Title VII hostile work environment claim against the District, Salazar's Title VII retaliation claim against the District, Mendoza's common law battery claim against Ibarra and the District, Salazar's common law battery claim against Flores and the District, Mendoza's common law assault claim against Ibarra and the District, Salazar's common law assault claim against Flores and the District, Salazar's IIED claim against Flores and the District, and Mr. Salazar's loss of consortium claim against Flores and the District will proceed to trial.</w:t>
      </w:r>
      <w:r>
        <w:rPr>
          <w:rFonts w:ascii="Times New Roman" w:hAnsi="Times New Roman"/>
          <w:sz w:val="24"/>
          <w:szCs w:val="24"/>
        </w:rPr>
        <w:t xml:space="preserve">” </w:t>
      </w:r>
      <w:hyperlink r:id="rId1433" w:history="1">
        <w:r w:rsidRPr="008F3FAE">
          <w:rPr>
            <w:rStyle w:val="Hyperlink"/>
            <w:sz w:val="24"/>
            <w:szCs w:val="24"/>
          </w:rPr>
          <w:t>https://casetext.com/case/mendoza-v-rio-rico-med-1</w:t>
        </w:r>
      </w:hyperlink>
    </w:p>
    <w:p w14:paraId="6BD36D56" w14:textId="77777777" w:rsidR="00274525" w:rsidRDefault="00274525" w:rsidP="00274525">
      <w:pPr>
        <w:pStyle w:val="NoSpacing"/>
        <w:rPr>
          <w:rFonts w:ascii="Times New Roman" w:hAnsi="Times New Roman"/>
          <w:b/>
          <w:bCs/>
          <w:sz w:val="24"/>
          <w:szCs w:val="24"/>
        </w:rPr>
      </w:pPr>
      <w:bookmarkStart w:id="288" w:name="_Hlk68350713"/>
      <w:bookmarkEnd w:id="287"/>
    </w:p>
    <w:p w14:paraId="452E7DF1" w14:textId="400DC88C" w:rsidR="00274525" w:rsidRPr="007D401D" w:rsidRDefault="00274525" w:rsidP="00274525">
      <w:pPr>
        <w:pStyle w:val="NoSpacing"/>
        <w:rPr>
          <w:rFonts w:ascii="Times New Roman" w:hAnsi="Times New Roman"/>
          <w:b/>
          <w:bCs/>
          <w:sz w:val="24"/>
          <w:szCs w:val="24"/>
        </w:rPr>
      </w:pPr>
      <w:r w:rsidRPr="007D401D">
        <w:rPr>
          <w:rFonts w:ascii="Times New Roman" w:hAnsi="Times New Roman"/>
          <w:b/>
          <w:bCs/>
          <w:sz w:val="24"/>
          <w:szCs w:val="24"/>
        </w:rPr>
        <w:t xml:space="preserve">Legal Lessons Learned: </w:t>
      </w:r>
      <w:r>
        <w:rPr>
          <w:rFonts w:ascii="Times New Roman" w:hAnsi="Times New Roman"/>
          <w:b/>
          <w:bCs/>
          <w:sz w:val="24"/>
          <w:szCs w:val="24"/>
        </w:rPr>
        <w:t>Judge’s comment about FD’s “questionable activity” is an understatement; t</w:t>
      </w:r>
      <w:r w:rsidRPr="007D401D">
        <w:rPr>
          <w:rFonts w:ascii="Times New Roman" w:hAnsi="Times New Roman"/>
          <w:b/>
          <w:bCs/>
          <w:sz w:val="24"/>
          <w:szCs w:val="24"/>
        </w:rPr>
        <w:t xml:space="preserve">errible alleged facts will now go before a jury; FDs must promptly investigate claims of workplace harassment. </w:t>
      </w:r>
    </w:p>
    <w:bookmarkEnd w:id="288"/>
    <w:p w14:paraId="6A3E1FE8" w14:textId="77777777" w:rsidR="00274525" w:rsidRDefault="00274525" w:rsidP="002B1283">
      <w:pPr>
        <w:rPr>
          <w:rFonts w:ascii="Arial Black" w:hAnsi="Arial Black"/>
          <w:b/>
          <w:sz w:val="24"/>
          <w:szCs w:val="24"/>
        </w:rPr>
      </w:pPr>
    </w:p>
    <w:p w14:paraId="7265E776" w14:textId="77777777" w:rsidR="00831847" w:rsidRDefault="00831847" w:rsidP="002B1283">
      <w:pPr>
        <w:rPr>
          <w:rFonts w:ascii="Arial Black" w:hAnsi="Arial Black"/>
          <w:b/>
          <w:sz w:val="24"/>
          <w:szCs w:val="24"/>
        </w:rPr>
      </w:pPr>
    </w:p>
    <w:p w14:paraId="3FD0FFCC" w14:textId="1669C2E1" w:rsidR="00831847" w:rsidRDefault="00831847" w:rsidP="002B1283">
      <w:pPr>
        <w:rPr>
          <w:rFonts w:ascii="Arial Black" w:hAnsi="Arial Black"/>
          <w:b/>
          <w:sz w:val="24"/>
          <w:szCs w:val="24"/>
        </w:rPr>
      </w:pPr>
      <w:r>
        <w:rPr>
          <w:rFonts w:ascii="Arial Black" w:hAnsi="Arial Black"/>
          <w:b/>
          <w:sz w:val="24"/>
          <w:szCs w:val="24"/>
        </w:rPr>
        <w:t>7-29</w:t>
      </w:r>
    </w:p>
    <w:p w14:paraId="08085F32" w14:textId="77777777" w:rsidR="00831847" w:rsidRPr="00BD5B0D" w:rsidRDefault="00831847" w:rsidP="00831847">
      <w:pPr>
        <w:pStyle w:val="NoSpacing"/>
        <w:rPr>
          <w:rFonts w:ascii="Arial Black" w:hAnsi="Arial Black"/>
          <w:sz w:val="28"/>
          <w:szCs w:val="28"/>
        </w:rPr>
      </w:pPr>
      <w:r>
        <w:rPr>
          <w:rFonts w:ascii="Arial Black" w:hAnsi="Arial Black"/>
          <w:sz w:val="28"/>
          <w:szCs w:val="28"/>
        </w:rPr>
        <w:t>AR: FEMALE FF ALLEGEDLY RAPED TWICE BY BATTALION CHIEF - MALE HIT ANTENNA – CASE PROCEED FD &amp; CHIEF</w:t>
      </w:r>
    </w:p>
    <w:p w14:paraId="4438B637" w14:textId="77777777" w:rsidR="00831847" w:rsidRPr="001707D0" w:rsidRDefault="00831847" w:rsidP="00831847">
      <w:pPr>
        <w:spacing w:before="100" w:beforeAutospacing="1" w:after="100" w:afterAutospacing="1" w:line="240" w:lineRule="auto"/>
        <w:rPr>
          <w:rFonts w:ascii="Times New Roman" w:hAnsi="Times New Roman"/>
          <w:sz w:val="24"/>
          <w:szCs w:val="24"/>
        </w:rPr>
      </w:pPr>
      <w:r>
        <w:rPr>
          <w:rFonts w:ascii="Times New Roman" w:eastAsia="Times New Roman" w:hAnsi="Times New Roman"/>
          <w:sz w:val="24"/>
          <w:szCs w:val="24"/>
        </w:rPr>
        <w:lastRenderedPageBreak/>
        <w:t xml:space="preserve">On March 17, 2021, in </w:t>
      </w:r>
      <w:r w:rsidRPr="00055F09">
        <w:rPr>
          <w:rFonts w:ascii="Times New Roman" w:eastAsia="Times New Roman" w:hAnsi="Times New Roman"/>
          <w:sz w:val="24"/>
          <w:szCs w:val="24"/>
          <w:u w:val="single"/>
        </w:rPr>
        <w:t xml:space="preserve">Rene Mendoza &amp; </w:t>
      </w:r>
      <w:r w:rsidRPr="00055F09">
        <w:rPr>
          <w:rFonts w:ascii="Times New Roman" w:hAnsi="Times New Roman"/>
          <w:sz w:val="24"/>
          <w:szCs w:val="24"/>
          <w:u w:val="single"/>
        </w:rPr>
        <w:t xml:space="preserve">Lani Salazar, </w:t>
      </w:r>
      <w:r w:rsidRPr="00055F09">
        <w:rPr>
          <w:rFonts w:ascii="Times New Roman" w:eastAsia="Times New Roman" w:hAnsi="Times New Roman"/>
          <w:sz w:val="24"/>
          <w:szCs w:val="24"/>
          <w:u w:val="single"/>
        </w:rPr>
        <w:t>et al. v. Rio</w:t>
      </w:r>
      <w:r w:rsidRPr="00BD5B0D">
        <w:rPr>
          <w:rFonts w:ascii="Times New Roman" w:eastAsia="Times New Roman" w:hAnsi="Times New Roman"/>
          <w:sz w:val="24"/>
          <w:szCs w:val="24"/>
          <w:u w:val="single"/>
        </w:rPr>
        <w:t xml:space="preserve"> Rico Medical &amp; Fire District, et al</w:t>
      </w:r>
      <w:r>
        <w:rPr>
          <w:rFonts w:ascii="Times New Roman" w:eastAsia="Times New Roman" w:hAnsi="Times New Roman"/>
          <w:sz w:val="24"/>
          <w:szCs w:val="24"/>
        </w:rPr>
        <w:t xml:space="preserve">., U.S. District Court Judge Cindy K. Jorgenson, U.S. District Court for the District of Arizona, issued a pre-trial order; lawsuit against FD and the Battalion Chief will proceed to trial. The trial judge issued her order with this understatement. </w:t>
      </w:r>
      <w:r>
        <w:rPr>
          <w:rFonts w:ascii="Times New Roman" w:hAnsi="Times New Roman"/>
          <w:sz w:val="24"/>
          <w:szCs w:val="24"/>
        </w:rPr>
        <w:t>“</w:t>
      </w:r>
      <w:r w:rsidRPr="001F0A7D">
        <w:rPr>
          <w:rFonts w:ascii="Times New Roman" w:hAnsi="Times New Roman"/>
          <w:sz w:val="24"/>
          <w:szCs w:val="24"/>
        </w:rPr>
        <w:t>In 2016 and 2017, there was a fair amount of questionable activity unrelated to firefighting happening at the Rio Rico Medical &amp; Fire District (</w:t>
      </w:r>
      <w:r>
        <w:rPr>
          <w:rFonts w:ascii="Times New Roman" w:hAnsi="Times New Roman"/>
          <w:sz w:val="24"/>
          <w:szCs w:val="24"/>
        </w:rPr>
        <w:t>‘</w:t>
      </w:r>
      <w:r w:rsidRPr="001F0A7D">
        <w:rPr>
          <w:rFonts w:ascii="Times New Roman" w:hAnsi="Times New Roman"/>
          <w:sz w:val="24"/>
          <w:szCs w:val="24"/>
        </w:rPr>
        <w:t>District</w:t>
      </w:r>
      <w:r>
        <w:rPr>
          <w:rFonts w:ascii="Times New Roman" w:hAnsi="Times New Roman"/>
          <w:sz w:val="24"/>
          <w:szCs w:val="24"/>
        </w:rPr>
        <w:t>’</w:t>
      </w:r>
      <w:r w:rsidRPr="001F0A7D">
        <w:rPr>
          <w:rFonts w:ascii="Times New Roman" w:hAnsi="Times New Roman"/>
          <w:sz w:val="24"/>
          <w:szCs w:val="24"/>
        </w:rPr>
        <w:t>).</w:t>
      </w:r>
      <w:r>
        <w:rPr>
          <w:rFonts w:ascii="Times New Roman" w:hAnsi="Times New Roman"/>
          <w:sz w:val="24"/>
          <w:szCs w:val="24"/>
        </w:rPr>
        <w:t>”</w:t>
      </w:r>
    </w:p>
    <w:p w14:paraId="4EB32689" w14:textId="77777777" w:rsidR="00831847" w:rsidRDefault="00831847" w:rsidP="00831847">
      <w:pPr>
        <w:pStyle w:val="NoSpacing"/>
        <w:ind w:left="480"/>
        <w:rPr>
          <w:rFonts w:ascii="Times New Roman" w:hAnsi="Times New Roman"/>
          <w:sz w:val="24"/>
          <w:szCs w:val="24"/>
        </w:rPr>
      </w:pPr>
      <w:r>
        <w:rPr>
          <w:rFonts w:ascii="Times New Roman" w:hAnsi="Times New Roman"/>
          <w:sz w:val="24"/>
          <w:szCs w:val="24"/>
        </w:rPr>
        <w:t>“</w:t>
      </w:r>
      <w:r w:rsidRPr="00D46F33">
        <w:rPr>
          <w:rFonts w:ascii="Times New Roman" w:hAnsi="Times New Roman"/>
          <w:sz w:val="24"/>
          <w:szCs w:val="24"/>
        </w:rPr>
        <w:t xml:space="preserve">Beginning in July 2016, Flores began sexually harassing </w:t>
      </w:r>
      <w:r>
        <w:rPr>
          <w:rFonts w:ascii="Times New Roman" w:hAnsi="Times New Roman"/>
          <w:sz w:val="24"/>
          <w:szCs w:val="24"/>
        </w:rPr>
        <w:t xml:space="preserve">[Mrs. Lani] </w:t>
      </w:r>
      <w:r w:rsidRPr="00D46F33">
        <w:rPr>
          <w:rFonts w:ascii="Times New Roman" w:hAnsi="Times New Roman"/>
          <w:sz w:val="24"/>
          <w:szCs w:val="24"/>
        </w:rPr>
        <w:t xml:space="preserve">Salazar, whose promotion he had recently recommended. What started out as unwelcomed sexual advances soon escalated to alleged incidents of rape, the last of which occurred around the 2017 holiday season. A month earlier, Ibarra had struck rookie firefighter </w:t>
      </w:r>
      <w:r>
        <w:rPr>
          <w:rFonts w:ascii="Times New Roman" w:hAnsi="Times New Roman"/>
          <w:sz w:val="24"/>
          <w:szCs w:val="24"/>
        </w:rPr>
        <w:t xml:space="preserve">[Mr. Rene] </w:t>
      </w:r>
      <w:r w:rsidRPr="00D46F33">
        <w:rPr>
          <w:rFonts w:ascii="Times New Roman" w:hAnsi="Times New Roman"/>
          <w:sz w:val="24"/>
          <w:szCs w:val="24"/>
        </w:rPr>
        <w:t xml:space="preserve">Mendoza in the testicles with a radio antenna, laughed, and ran away. Mendoza was also inundated with countless sexually suggestive images sent to him by a fellow firefighter, who frequently referred to Mendoza using sexually offensive slang terms. Two other firefighters exposed themselves to Mendoza, and when he complained of </w:t>
      </w:r>
      <w:proofErr w:type="gramStart"/>
      <w:r w:rsidRPr="00D46F33">
        <w:rPr>
          <w:rFonts w:ascii="Times New Roman" w:hAnsi="Times New Roman"/>
          <w:sz w:val="24"/>
          <w:szCs w:val="24"/>
        </w:rPr>
        <w:t>the harassing</w:t>
      </w:r>
      <w:proofErr w:type="gramEnd"/>
      <w:r w:rsidRPr="00D46F33">
        <w:rPr>
          <w:rFonts w:ascii="Times New Roman" w:hAnsi="Times New Roman"/>
          <w:sz w:val="24"/>
          <w:szCs w:val="24"/>
        </w:rPr>
        <w:t xml:space="preserve"> behavior to a superior, he was half-heartedly instructed to </w:t>
      </w:r>
      <w:r>
        <w:rPr>
          <w:rFonts w:ascii="Times New Roman" w:hAnsi="Times New Roman"/>
          <w:sz w:val="24"/>
          <w:szCs w:val="24"/>
        </w:rPr>
        <w:t>‘</w:t>
      </w:r>
      <w:r w:rsidRPr="00D46F33">
        <w:rPr>
          <w:rFonts w:ascii="Times New Roman" w:hAnsi="Times New Roman"/>
          <w:sz w:val="24"/>
          <w:szCs w:val="24"/>
        </w:rPr>
        <w:t>write an email about it.</w:t>
      </w:r>
      <w:r>
        <w:rPr>
          <w:rFonts w:ascii="Times New Roman" w:hAnsi="Times New Roman"/>
          <w:sz w:val="24"/>
          <w:szCs w:val="24"/>
        </w:rPr>
        <w:t>’</w:t>
      </w:r>
    </w:p>
    <w:p w14:paraId="49DA2558" w14:textId="77777777" w:rsidR="00831847" w:rsidRDefault="00831847" w:rsidP="00831847">
      <w:pPr>
        <w:pStyle w:val="NoSpacing"/>
        <w:ind w:left="480"/>
        <w:rPr>
          <w:rFonts w:ascii="Times New Roman" w:hAnsi="Times New Roman"/>
          <w:sz w:val="24"/>
          <w:szCs w:val="24"/>
        </w:rPr>
      </w:pPr>
    </w:p>
    <w:p w14:paraId="50D77710" w14:textId="77777777" w:rsidR="00831847" w:rsidRDefault="00831847" w:rsidP="00831847">
      <w:pPr>
        <w:pStyle w:val="NoSpacing"/>
        <w:ind w:left="480"/>
        <w:rPr>
          <w:rFonts w:ascii="Times New Roman" w:hAnsi="Times New Roman"/>
          <w:sz w:val="24"/>
          <w:szCs w:val="24"/>
        </w:rPr>
      </w:pPr>
      <w:r>
        <w:rPr>
          <w:rFonts w:ascii="Times New Roman" w:hAnsi="Times New Roman"/>
          <w:sz w:val="24"/>
          <w:szCs w:val="24"/>
        </w:rPr>
        <w:t>***</w:t>
      </w:r>
    </w:p>
    <w:p w14:paraId="74FF6F56" w14:textId="77777777" w:rsidR="00831847" w:rsidRDefault="00831847" w:rsidP="00831847">
      <w:pPr>
        <w:pStyle w:val="NoSpacing"/>
        <w:ind w:left="480"/>
        <w:rPr>
          <w:rFonts w:ascii="Times New Roman" w:hAnsi="Times New Roman"/>
          <w:sz w:val="24"/>
          <w:szCs w:val="24"/>
        </w:rPr>
      </w:pPr>
    </w:p>
    <w:p w14:paraId="065F1DDF" w14:textId="77777777" w:rsidR="00831847" w:rsidRPr="00D46F33" w:rsidRDefault="00831847" w:rsidP="00831847">
      <w:pPr>
        <w:pStyle w:val="NoSpacing"/>
        <w:ind w:left="480"/>
        <w:rPr>
          <w:rFonts w:ascii="Times New Roman" w:hAnsi="Times New Roman"/>
          <w:sz w:val="24"/>
          <w:szCs w:val="24"/>
        </w:rPr>
      </w:pPr>
      <w:r w:rsidRPr="00072BE7">
        <w:rPr>
          <w:rFonts w:ascii="Times New Roman" w:hAnsi="Times New Roman"/>
          <w:sz w:val="24"/>
          <w:szCs w:val="24"/>
        </w:rPr>
        <w:t>Mendoza's Title VII hostile work environment claim against the District, Salazar's Title VII hostile work environment claim against the District, Salazar's Title VII retaliation claim against the District, Mendoza's common law battery claim against Ibarra and the District, Salazar's common law battery claim against Flores and the District, Mendoza's common law assault claim against Ibarra and the District, Salazar's common law assault claim against Flores and the District, Salazar's IIED claim against Flores and the District, and Mr. Salazar's loss of consortium claim against Flores and the District will proceed to trial.</w:t>
      </w:r>
      <w:r>
        <w:rPr>
          <w:rFonts w:ascii="Times New Roman" w:hAnsi="Times New Roman"/>
          <w:sz w:val="24"/>
          <w:szCs w:val="24"/>
        </w:rPr>
        <w:t xml:space="preserve">” </w:t>
      </w:r>
      <w:hyperlink r:id="rId1434" w:history="1">
        <w:r w:rsidRPr="008F3FAE">
          <w:rPr>
            <w:rStyle w:val="Hyperlink"/>
            <w:sz w:val="24"/>
            <w:szCs w:val="24"/>
          </w:rPr>
          <w:t>https://casetext.com/case/mendoza-v-rio-rico-med-1</w:t>
        </w:r>
      </w:hyperlink>
    </w:p>
    <w:p w14:paraId="2C3BAA7E" w14:textId="59DA664B" w:rsidR="00831847" w:rsidRDefault="00831847" w:rsidP="002B1283">
      <w:pPr>
        <w:rPr>
          <w:rFonts w:ascii="Arial Black" w:hAnsi="Arial Black"/>
          <w:b/>
          <w:sz w:val="24"/>
          <w:szCs w:val="24"/>
        </w:rPr>
      </w:pPr>
    </w:p>
    <w:p w14:paraId="6B897D13" w14:textId="77777777" w:rsidR="00831847" w:rsidRPr="007D401D" w:rsidRDefault="00831847" w:rsidP="00831847">
      <w:pPr>
        <w:pStyle w:val="NoSpacing"/>
        <w:rPr>
          <w:rFonts w:ascii="Times New Roman" w:hAnsi="Times New Roman"/>
          <w:b/>
          <w:bCs/>
          <w:sz w:val="24"/>
          <w:szCs w:val="24"/>
        </w:rPr>
      </w:pPr>
      <w:r w:rsidRPr="007D401D">
        <w:rPr>
          <w:rFonts w:ascii="Times New Roman" w:hAnsi="Times New Roman"/>
          <w:b/>
          <w:bCs/>
          <w:sz w:val="24"/>
          <w:szCs w:val="24"/>
        </w:rPr>
        <w:t xml:space="preserve">Legal Lessons Learned: </w:t>
      </w:r>
      <w:r>
        <w:rPr>
          <w:rFonts w:ascii="Times New Roman" w:hAnsi="Times New Roman"/>
          <w:b/>
          <w:bCs/>
          <w:sz w:val="24"/>
          <w:szCs w:val="24"/>
        </w:rPr>
        <w:t>Judge’s comment about FD’s “questionable activity” is an understatement; t</w:t>
      </w:r>
      <w:r w:rsidRPr="007D401D">
        <w:rPr>
          <w:rFonts w:ascii="Times New Roman" w:hAnsi="Times New Roman"/>
          <w:b/>
          <w:bCs/>
          <w:sz w:val="24"/>
          <w:szCs w:val="24"/>
        </w:rPr>
        <w:t xml:space="preserve">errible alleged facts will now go before a jury; FDs must promptly investigate claims of workplace harassment. </w:t>
      </w:r>
    </w:p>
    <w:p w14:paraId="2A932F47" w14:textId="77777777" w:rsidR="00831847" w:rsidRDefault="00831847" w:rsidP="002B1283">
      <w:pPr>
        <w:rPr>
          <w:rFonts w:ascii="Arial Black" w:hAnsi="Arial Black"/>
          <w:b/>
          <w:sz w:val="24"/>
          <w:szCs w:val="24"/>
        </w:rPr>
      </w:pPr>
    </w:p>
    <w:p w14:paraId="126E2663" w14:textId="77777777" w:rsidR="00831847" w:rsidRDefault="00831847" w:rsidP="002B1283">
      <w:pPr>
        <w:rPr>
          <w:rFonts w:ascii="Arial Black" w:hAnsi="Arial Black"/>
          <w:b/>
          <w:sz w:val="24"/>
          <w:szCs w:val="24"/>
        </w:rPr>
      </w:pPr>
    </w:p>
    <w:p w14:paraId="33181834" w14:textId="4FF2031C" w:rsidR="00EB2493" w:rsidRDefault="00EB2493" w:rsidP="002B1283">
      <w:pPr>
        <w:rPr>
          <w:rFonts w:ascii="Arial Black" w:hAnsi="Arial Black"/>
          <w:b/>
          <w:sz w:val="24"/>
          <w:szCs w:val="24"/>
        </w:rPr>
      </w:pPr>
      <w:r>
        <w:rPr>
          <w:rFonts w:ascii="Arial Black" w:hAnsi="Arial Black"/>
          <w:b/>
          <w:sz w:val="24"/>
          <w:szCs w:val="24"/>
        </w:rPr>
        <w:t>7-28</w:t>
      </w:r>
    </w:p>
    <w:p w14:paraId="3EA7A1E0" w14:textId="77777777" w:rsidR="00EB2493" w:rsidRPr="001074C7" w:rsidRDefault="00EB2493" w:rsidP="00EB2493">
      <w:pPr>
        <w:pStyle w:val="NoSpacing"/>
        <w:rPr>
          <w:rFonts w:ascii="Arial Black" w:hAnsi="Arial Black"/>
          <w:sz w:val="28"/>
          <w:szCs w:val="28"/>
        </w:rPr>
      </w:pPr>
      <w:r>
        <w:rPr>
          <w:rFonts w:ascii="Arial Black" w:hAnsi="Arial Black"/>
          <w:sz w:val="28"/>
          <w:szCs w:val="28"/>
        </w:rPr>
        <w:t>GA: TRANSGENDER FIRE CHIEF – LAWSUIT DISMISSED – EEOC CHARGE NOT SUBMITTED UNDER OATH – “AT WILL” EMPLOYEE</w:t>
      </w:r>
    </w:p>
    <w:p w14:paraId="3FF9DBA0" w14:textId="77777777" w:rsidR="00EB2493" w:rsidRDefault="00EB2493" w:rsidP="00EB2493">
      <w:pPr>
        <w:pStyle w:val="NoSpacing"/>
      </w:pPr>
    </w:p>
    <w:p w14:paraId="6F6B6D60" w14:textId="77777777" w:rsidR="00EB2493" w:rsidRDefault="00EB2493" w:rsidP="00EB2493">
      <w:pPr>
        <w:pStyle w:val="NoSpacing"/>
        <w:rPr>
          <w:rFonts w:ascii="Times New Roman" w:hAnsi="Times New Roman"/>
          <w:sz w:val="24"/>
          <w:szCs w:val="24"/>
        </w:rPr>
      </w:pPr>
      <w:r>
        <w:rPr>
          <w:rFonts w:ascii="Times New Roman" w:hAnsi="Times New Roman"/>
          <w:sz w:val="24"/>
          <w:szCs w:val="24"/>
        </w:rPr>
        <w:t xml:space="preserve">On Jan. 28, 2021 in </w:t>
      </w:r>
      <w:r w:rsidRPr="001074C7">
        <w:rPr>
          <w:rFonts w:ascii="Times New Roman" w:hAnsi="Times New Roman"/>
          <w:sz w:val="24"/>
          <w:szCs w:val="24"/>
          <w:u w:val="single"/>
        </w:rPr>
        <w:t>Rachel Mosby v. City of Byron, Georgia</w:t>
      </w:r>
      <w:r>
        <w:rPr>
          <w:rFonts w:ascii="Times New Roman" w:hAnsi="Times New Roman"/>
          <w:sz w:val="24"/>
          <w:szCs w:val="24"/>
        </w:rPr>
        <w:t xml:space="preserve">, U.S. District Court Judge Clay D. Land granted the City’s motion to dismiss; plaintiff’s EEOC Charge was never signed under oath (not “Verified” as required by federal law); also Judge held that the plaintiff is an “at will” employee not protected by a civil service commission.  Chief Mosby was fired 18 months after first coming to work for her rural fire department as a woman. </w:t>
      </w:r>
    </w:p>
    <w:p w14:paraId="074FFD6E" w14:textId="77777777" w:rsidR="00EB2493" w:rsidRDefault="00EB2493" w:rsidP="00EB2493">
      <w:pPr>
        <w:pStyle w:val="NoSpacing"/>
        <w:rPr>
          <w:rFonts w:ascii="Times New Roman" w:hAnsi="Times New Roman"/>
          <w:sz w:val="24"/>
          <w:szCs w:val="24"/>
        </w:rPr>
      </w:pPr>
    </w:p>
    <w:p w14:paraId="22BA1AB0" w14:textId="77777777" w:rsidR="00EB2493" w:rsidRDefault="00EB2493" w:rsidP="00EB2493">
      <w:pPr>
        <w:ind w:left="720"/>
        <w:rPr>
          <w:rFonts w:ascii="Times New Roman" w:hAnsi="Times New Roman"/>
          <w:sz w:val="24"/>
          <w:szCs w:val="24"/>
        </w:rPr>
      </w:pPr>
      <w:r>
        <w:rPr>
          <w:rFonts w:ascii="Times New Roman" w:hAnsi="Times New Roman"/>
          <w:sz w:val="24"/>
          <w:szCs w:val="24"/>
        </w:rPr>
        <w:t>“</w:t>
      </w:r>
      <w:r w:rsidRPr="004254B6">
        <w:rPr>
          <w:rFonts w:ascii="Times New Roman" w:hAnsi="Times New Roman"/>
          <w:sz w:val="24"/>
          <w:szCs w:val="24"/>
        </w:rPr>
        <w:t xml:space="preserve">This record, as it stands today, does not contain a verified charge, and </w:t>
      </w:r>
      <w:r>
        <w:rPr>
          <w:rFonts w:ascii="Times New Roman" w:hAnsi="Times New Roman"/>
          <w:sz w:val="24"/>
          <w:szCs w:val="24"/>
        </w:rPr>
        <w:t>‘</w:t>
      </w:r>
      <w:r w:rsidRPr="004254B6">
        <w:rPr>
          <w:rFonts w:ascii="Times New Roman" w:hAnsi="Times New Roman"/>
          <w:sz w:val="24"/>
          <w:szCs w:val="24"/>
        </w:rPr>
        <w:t>the statute mandates that charges be made under oath or affirmation.</w:t>
      </w:r>
      <w:r>
        <w:rPr>
          <w:rFonts w:ascii="Times New Roman" w:hAnsi="Times New Roman"/>
          <w:sz w:val="24"/>
          <w:szCs w:val="24"/>
        </w:rPr>
        <w:t xml:space="preserve">’ </w:t>
      </w:r>
      <w:hyperlink r:id="rId1435" w:history="1">
        <w:r w:rsidRPr="004254B6">
          <w:rPr>
            <w:rStyle w:val="Hyperlink"/>
            <w:rFonts w:ascii="Times New Roman" w:hAnsi="Times New Roman"/>
            <w:i/>
            <w:iCs/>
            <w:sz w:val="24"/>
            <w:szCs w:val="24"/>
          </w:rPr>
          <w:t>Vason,</w:t>
        </w:r>
        <w:r w:rsidRPr="004254B6">
          <w:rPr>
            <w:rStyle w:val="Hyperlink"/>
            <w:rFonts w:ascii="Times New Roman" w:hAnsi="Times New Roman"/>
            <w:sz w:val="24"/>
            <w:szCs w:val="24"/>
          </w:rPr>
          <w:t xml:space="preserve"> 240 F.3d at 907</w:t>
        </w:r>
      </w:hyperlink>
      <w:r w:rsidRPr="004254B6">
        <w:rPr>
          <w:rFonts w:ascii="Times New Roman" w:hAnsi="Times New Roman"/>
          <w:sz w:val="24"/>
          <w:szCs w:val="24"/>
        </w:rPr>
        <w:t xml:space="preserve">. Since </w:t>
      </w:r>
      <w:r>
        <w:rPr>
          <w:rFonts w:ascii="Times New Roman" w:hAnsi="Times New Roman"/>
          <w:sz w:val="24"/>
          <w:szCs w:val="24"/>
        </w:rPr>
        <w:t>‘</w:t>
      </w:r>
      <w:r w:rsidRPr="004254B6">
        <w:rPr>
          <w:rFonts w:ascii="Times New Roman" w:hAnsi="Times New Roman"/>
          <w:sz w:val="24"/>
          <w:szCs w:val="24"/>
        </w:rPr>
        <w:t>verification is an absolute condition precedent to suit</w:t>
      </w:r>
      <w:r>
        <w:rPr>
          <w:rFonts w:ascii="Times New Roman" w:hAnsi="Times New Roman"/>
          <w:sz w:val="24"/>
          <w:szCs w:val="24"/>
        </w:rPr>
        <w:t>’</w:t>
      </w:r>
      <w:r w:rsidRPr="004254B6">
        <w:rPr>
          <w:rFonts w:ascii="Times New Roman" w:hAnsi="Times New Roman"/>
          <w:sz w:val="24"/>
          <w:szCs w:val="24"/>
        </w:rPr>
        <w:t xml:space="preserve"> under Title VII (and the ADA) in this circuit, Mosby's lack of verification demands one simple ruling—she did not satisfy an absolute condition precedent before filing her lawsuit. </w:t>
      </w:r>
      <w:r w:rsidRPr="004254B6">
        <w:rPr>
          <w:rFonts w:ascii="Times New Roman" w:hAnsi="Times New Roman"/>
          <w:i/>
          <w:iCs/>
          <w:sz w:val="24"/>
          <w:szCs w:val="24"/>
        </w:rPr>
        <w:t xml:space="preserve">See </w:t>
      </w:r>
      <w:hyperlink r:id="rId1436" w:history="1">
        <w:r w:rsidRPr="004254B6">
          <w:rPr>
            <w:rStyle w:val="Hyperlink"/>
            <w:rFonts w:ascii="Times New Roman" w:hAnsi="Times New Roman"/>
            <w:i/>
            <w:iCs/>
            <w:sz w:val="24"/>
            <w:szCs w:val="24"/>
          </w:rPr>
          <w:t>Vason v. City of Montgomery,</w:t>
        </w:r>
        <w:r w:rsidRPr="004254B6">
          <w:rPr>
            <w:rStyle w:val="Hyperlink"/>
            <w:rFonts w:ascii="Times New Roman" w:hAnsi="Times New Roman"/>
            <w:sz w:val="24"/>
            <w:szCs w:val="24"/>
          </w:rPr>
          <w:t xml:space="preserve"> 86 F. Supp. 2d 1130, 1133 (M.D. Ala. 2000),</w:t>
        </w:r>
      </w:hyperlink>
      <w:r w:rsidRPr="004254B6">
        <w:rPr>
          <w:rFonts w:ascii="Times New Roman" w:hAnsi="Times New Roman"/>
          <w:sz w:val="24"/>
          <w:szCs w:val="24"/>
        </w:rPr>
        <w:t xml:space="preserve"> </w:t>
      </w:r>
      <w:r w:rsidRPr="004254B6">
        <w:rPr>
          <w:rFonts w:ascii="Times New Roman" w:hAnsi="Times New Roman"/>
          <w:i/>
          <w:iCs/>
          <w:sz w:val="24"/>
          <w:szCs w:val="24"/>
        </w:rPr>
        <w:t>aff'd,</w:t>
      </w:r>
      <w:r w:rsidRPr="004254B6">
        <w:rPr>
          <w:rFonts w:ascii="Times New Roman" w:hAnsi="Times New Roman"/>
          <w:sz w:val="24"/>
          <w:szCs w:val="24"/>
        </w:rPr>
        <w:t xml:space="preserve"> </w:t>
      </w:r>
      <w:hyperlink r:id="rId1437" w:history="1">
        <w:r w:rsidRPr="004254B6">
          <w:rPr>
            <w:rStyle w:val="Hyperlink"/>
            <w:rFonts w:ascii="Times New Roman" w:hAnsi="Times New Roman"/>
            <w:sz w:val="24"/>
            <w:szCs w:val="24"/>
          </w:rPr>
          <w:t xml:space="preserve">240 F.3d </w:t>
        </w:r>
        <w:r w:rsidRPr="004254B6">
          <w:rPr>
            <w:rStyle w:val="Hyperlink"/>
            <w:rFonts w:ascii="Times New Roman" w:hAnsi="Times New Roman"/>
            <w:sz w:val="24"/>
            <w:szCs w:val="24"/>
          </w:rPr>
          <w:lastRenderedPageBreak/>
          <w:t>905</w:t>
        </w:r>
      </w:hyperlink>
      <w:r w:rsidRPr="004254B6">
        <w:rPr>
          <w:rFonts w:ascii="Times New Roman" w:hAnsi="Times New Roman"/>
          <w:sz w:val="24"/>
          <w:szCs w:val="24"/>
        </w:rPr>
        <w:t xml:space="preserve"> (alteration adopted). Consequently, Mosby's Title VII and ADA claims are barred as a matter of law.</w:t>
      </w:r>
      <w:r>
        <w:rPr>
          <w:rFonts w:ascii="Times New Roman" w:hAnsi="Times New Roman"/>
          <w:sz w:val="24"/>
          <w:szCs w:val="24"/>
        </w:rPr>
        <w:t>”</w:t>
      </w:r>
    </w:p>
    <w:p w14:paraId="520FAE89" w14:textId="589E8E7A" w:rsidR="00EB2493" w:rsidRDefault="00EB2493" w:rsidP="00EB2493">
      <w:pPr>
        <w:rPr>
          <w:rFonts w:ascii="Arial Black" w:hAnsi="Arial Black"/>
          <w:b/>
          <w:sz w:val="24"/>
          <w:szCs w:val="24"/>
        </w:rPr>
      </w:pPr>
      <w:hyperlink r:id="rId1438" w:history="1">
        <w:r w:rsidRPr="002013DF">
          <w:rPr>
            <w:rStyle w:val="Hyperlink"/>
            <w:rFonts w:ascii="Times New Roman" w:hAnsi="Times New Roman"/>
            <w:sz w:val="24"/>
            <w:szCs w:val="24"/>
          </w:rPr>
          <w:t>https://scholar.google.com/scholar_case?case=1979118509333189928&amp;q=Rachel+MOSBY+v.+CITY+OF+BYRON,+GEORGIA,&amp;hl=en&amp;as_sdt=6,36</w:t>
        </w:r>
      </w:hyperlink>
    </w:p>
    <w:p w14:paraId="338590CC" w14:textId="6C2767B5" w:rsidR="00EB2493" w:rsidRPr="00321109" w:rsidRDefault="00EB2493" w:rsidP="00EB2493">
      <w:pPr>
        <w:tabs>
          <w:tab w:val="left" w:pos="2830"/>
        </w:tabs>
        <w:rPr>
          <w:rFonts w:ascii="Times New Roman" w:hAnsi="Times New Roman"/>
          <w:b/>
          <w:bCs/>
          <w:sz w:val="24"/>
          <w:szCs w:val="24"/>
        </w:rPr>
      </w:pPr>
      <w:r w:rsidRPr="00321109">
        <w:rPr>
          <w:rFonts w:ascii="Times New Roman" w:hAnsi="Times New Roman"/>
          <w:b/>
          <w:bCs/>
          <w:sz w:val="24"/>
          <w:szCs w:val="24"/>
        </w:rPr>
        <w:t>Legal Lesson Learned</w:t>
      </w:r>
      <w:r>
        <w:rPr>
          <w:rFonts w:ascii="Times New Roman" w:hAnsi="Times New Roman"/>
          <w:b/>
          <w:bCs/>
          <w:sz w:val="24"/>
          <w:szCs w:val="24"/>
        </w:rPr>
        <w:t xml:space="preserve">:  EEOC charges must be “verified” (signed under oath); “at will” employees may be terminated without cause; public officials cannot sue for defamation without proof of “malice.”  </w:t>
      </w:r>
      <w:bookmarkStart w:id="289" w:name="_Hlk65911361"/>
      <w:r>
        <w:rPr>
          <w:rFonts w:ascii="Times New Roman" w:hAnsi="Times New Roman"/>
          <w:b/>
          <w:bCs/>
          <w:sz w:val="24"/>
          <w:szCs w:val="24"/>
        </w:rPr>
        <w:t xml:space="preserve">If this case had gone to trial, the jury might have seriously questioned the actions of the employer. </w:t>
      </w:r>
    </w:p>
    <w:bookmarkEnd w:id="289"/>
    <w:p w14:paraId="2610B9A1" w14:textId="77777777" w:rsidR="00EB2493" w:rsidRPr="00321109" w:rsidRDefault="00EB2493" w:rsidP="00EB2493">
      <w:pPr>
        <w:pStyle w:val="Heading1"/>
        <w:ind w:left="720"/>
        <w:rPr>
          <w:b w:val="0"/>
          <w:bCs w:val="0"/>
          <w:sz w:val="24"/>
          <w:szCs w:val="24"/>
        </w:rPr>
      </w:pPr>
      <w:r w:rsidRPr="00321109">
        <w:rPr>
          <w:b w:val="0"/>
          <w:bCs w:val="0"/>
          <w:sz w:val="24"/>
          <w:szCs w:val="24"/>
        </w:rPr>
        <w:t xml:space="preserve">Note:  </w:t>
      </w:r>
      <w:r>
        <w:rPr>
          <w:b w:val="0"/>
          <w:bCs w:val="0"/>
          <w:sz w:val="24"/>
          <w:szCs w:val="24"/>
        </w:rPr>
        <w:t>See:  Feb. 19, 2021: “</w:t>
      </w:r>
      <w:r w:rsidRPr="004254B6">
        <w:rPr>
          <w:b w:val="0"/>
          <w:bCs w:val="0"/>
          <w:sz w:val="24"/>
          <w:szCs w:val="24"/>
        </w:rPr>
        <w:t>Judge dismisses discrimination lawsuit by transgender fire chief</w:t>
      </w:r>
      <w:r>
        <w:rPr>
          <w:b w:val="0"/>
          <w:bCs w:val="0"/>
          <w:sz w:val="24"/>
          <w:szCs w:val="24"/>
        </w:rPr>
        <w:t xml:space="preserve">.” </w:t>
      </w:r>
      <w:r w:rsidRPr="004254B6">
        <w:rPr>
          <w:b w:val="0"/>
          <w:bCs w:val="0"/>
          <w:sz w:val="24"/>
          <w:szCs w:val="24"/>
        </w:rPr>
        <w:t>SAVANNAH, Ga. — A federal judge has dismissed a discrimination lawsuit by a transgender fire chief who led a rural Georgia city's fire department for more than a decade, then got fired 18 months after first coming to work as a woman</w:t>
      </w:r>
      <w:r>
        <w:rPr>
          <w:b w:val="0"/>
          <w:bCs w:val="0"/>
          <w:sz w:val="24"/>
          <w:szCs w:val="24"/>
        </w:rPr>
        <w:t xml:space="preserve">.” </w:t>
      </w:r>
      <w:hyperlink r:id="rId1439" w:history="1">
        <w:r w:rsidRPr="00D403AF">
          <w:rPr>
            <w:rStyle w:val="Hyperlink"/>
            <w:b w:val="0"/>
            <w:bCs w:val="0"/>
            <w:sz w:val="24"/>
            <w:szCs w:val="24"/>
          </w:rPr>
          <w:t>https://www.firerescue1.com/discrimination/articles/judge-dismisses-discrimination-lawsuit-by-transgender-fire-chief-c9ZJzz1mhPH97dsL/?utm_source=FireRescue1+Daily&amp;utm_campaign=34323ded4f-EMAIL_CAMPAIGN_2021_02_19_07_52&amp;utm_medium=email&amp;utm_term=0_758bdbeffe-34323ded4f-41607823</w:t>
        </w:r>
      </w:hyperlink>
      <w:r>
        <w:rPr>
          <w:b w:val="0"/>
          <w:bCs w:val="0"/>
          <w:sz w:val="24"/>
          <w:szCs w:val="24"/>
        </w:rPr>
        <w:t xml:space="preserve"> </w:t>
      </w:r>
    </w:p>
    <w:p w14:paraId="6AAE0EF5" w14:textId="77777777" w:rsidR="00EB2493" w:rsidRPr="004254B6" w:rsidRDefault="00EB2493" w:rsidP="00EB2493">
      <w:pPr>
        <w:pStyle w:val="NoSpacing"/>
        <w:ind w:left="720"/>
        <w:rPr>
          <w:rFonts w:ascii="Times New Roman" w:hAnsi="Times New Roman"/>
          <w:sz w:val="24"/>
          <w:szCs w:val="24"/>
        </w:rPr>
      </w:pPr>
      <w:r w:rsidRPr="004254B6">
        <w:rPr>
          <w:rFonts w:ascii="Times New Roman" w:hAnsi="Times New Roman"/>
          <w:sz w:val="24"/>
          <w:szCs w:val="24"/>
        </w:rPr>
        <w:t xml:space="preserve">See also: “Federal judge dismisses discrimination lawsuit by transgender fire chief in Georgia.” </w:t>
      </w:r>
      <w:hyperlink r:id="rId1440" w:history="1">
        <w:r w:rsidRPr="004254B6">
          <w:rPr>
            <w:rStyle w:val="Hyperlink"/>
            <w:rFonts w:ascii="Times New Roman" w:hAnsi="Times New Roman"/>
            <w:sz w:val="24"/>
            <w:szCs w:val="24"/>
          </w:rPr>
          <w:t>https://www.nbcnews.com/news/us-news/federal-judge-dismisses-discrimination-lawsuit-transgender-fire-chief-georgia-n1258452</w:t>
        </w:r>
      </w:hyperlink>
    </w:p>
    <w:p w14:paraId="5183A507" w14:textId="77777777" w:rsidR="00EB2493" w:rsidRDefault="00EB2493" w:rsidP="002B1283">
      <w:pPr>
        <w:rPr>
          <w:rFonts w:ascii="Arial Black" w:hAnsi="Arial Black"/>
          <w:b/>
          <w:sz w:val="24"/>
          <w:szCs w:val="24"/>
        </w:rPr>
      </w:pPr>
    </w:p>
    <w:p w14:paraId="4C73B106" w14:textId="77777777" w:rsidR="00EB2493" w:rsidRDefault="00EB2493" w:rsidP="002B1283">
      <w:pPr>
        <w:rPr>
          <w:rFonts w:ascii="Arial Black" w:hAnsi="Arial Black"/>
          <w:b/>
          <w:sz w:val="24"/>
          <w:szCs w:val="24"/>
        </w:rPr>
      </w:pPr>
    </w:p>
    <w:p w14:paraId="1E51D146" w14:textId="425EDDE7" w:rsidR="00737B49" w:rsidRDefault="00737B49" w:rsidP="002B1283">
      <w:pPr>
        <w:rPr>
          <w:rFonts w:ascii="Arial Black" w:hAnsi="Arial Black"/>
          <w:b/>
          <w:sz w:val="24"/>
          <w:szCs w:val="24"/>
        </w:rPr>
      </w:pPr>
      <w:r>
        <w:rPr>
          <w:rFonts w:ascii="Arial Black" w:hAnsi="Arial Black"/>
          <w:b/>
          <w:sz w:val="24"/>
          <w:szCs w:val="24"/>
        </w:rPr>
        <w:t>7-27</w:t>
      </w:r>
    </w:p>
    <w:p w14:paraId="7CD45694" w14:textId="2EF41928" w:rsidR="00863F9E" w:rsidRDefault="00863F9E" w:rsidP="00863F9E">
      <w:pPr>
        <w:spacing w:before="100" w:beforeAutospacing="1" w:after="100" w:afterAutospacing="1" w:line="240" w:lineRule="auto"/>
        <w:rPr>
          <w:rFonts w:ascii="Arial Black" w:hAnsi="Arial Black" w:cstheme="minorBidi"/>
          <w:sz w:val="28"/>
          <w:szCs w:val="28"/>
        </w:rPr>
      </w:pPr>
      <w:bookmarkStart w:id="290" w:name="_Hlk66947567"/>
      <w:r>
        <w:rPr>
          <w:rFonts w:ascii="Arial Black" w:hAnsi="Arial Black"/>
          <w:sz w:val="28"/>
          <w:szCs w:val="28"/>
        </w:rPr>
        <w:t xml:space="preserve">MI: JURY FINDS NO SEX HARASSMENT, NO RETALIATION – FF 29-DAY SUSP - POSTED CELL PHONE PHOTO OF HOUSE FIRE </w:t>
      </w:r>
    </w:p>
    <w:p w14:paraId="790A66CB" w14:textId="77777777" w:rsidR="00863F9E" w:rsidRDefault="00863F9E" w:rsidP="00863F9E">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On Dec. 29, 2020, in </w:t>
      </w:r>
      <w:r>
        <w:rPr>
          <w:rFonts w:ascii="Times New Roman" w:hAnsi="Times New Roman"/>
          <w:sz w:val="24"/>
          <w:szCs w:val="24"/>
          <w:u w:val="single"/>
        </w:rPr>
        <w:t>Amy Rygwelski v. City of Flint, et al</w:t>
      </w:r>
      <w:r>
        <w:rPr>
          <w:rFonts w:ascii="Times New Roman" w:hAnsi="Times New Roman"/>
          <w:sz w:val="24"/>
          <w:szCs w:val="24"/>
        </w:rPr>
        <w:t>., the State of Michigan Court of Appeals, held (3 to 0) that the trial court properly upheld the jury decision of no harassment or retaliation.  She filed complaint of sexual harassment after one minor incident with fellow firefighter; was reassigned to another station, and later received a 29-day suspension after the department learned that, while on a fire run, she used her cell phone to take a picture of the rising sun while a house burned in the foreground, posted on social media.</w:t>
      </w:r>
    </w:p>
    <w:bookmarkEnd w:id="290"/>
    <w:p w14:paraId="1F1683D7" w14:textId="77777777" w:rsidR="00863F9E" w:rsidRDefault="00863F9E" w:rsidP="00863F9E">
      <w:pPr>
        <w:spacing w:before="100" w:beforeAutospacing="1" w:after="100" w:afterAutospacing="1" w:line="240" w:lineRule="auto"/>
        <w:ind w:left="720"/>
        <w:rPr>
          <w:rFonts w:ascii="Times New Roman" w:eastAsia="Times New Roman" w:hAnsi="Times New Roman"/>
          <w:b/>
          <w:bCs/>
          <w:sz w:val="24"/>
          <w:szCs w:val="24"/>
        </w:rPr>
      </w:pPr>
      <w:r>
        <w:rPr>
          <w:rFonts w:ascii="Times New Roman" w:hAnsi="Times New Roman"/>
          <w:sz w:val="24"/>
          <w:szCs w:val="24"/>
        </w:rPr>
        <w:t xml:space="preserve">“If the jury were to believe that plaintiff fabricated her claim of sexual harassment, then plaintiff was not engaged in a protected activity. Reporting a fabricated account of harassment would not be an activity protected by the act, because a plaintiff could not possibly be acting upon </w:t>
      </w:r>
      <w:proofErr w:type="gramStart"/>
      <w:r>
        <w:rPr>
          <w:rFonts w:ascii="Times New Roman" w:hAnsi="Times New Roman"/>
          <w:sz w:val="24"/>
          <w:szCs w:val="24"/>
        </w:rPr>
        <w:t>a good</w:t>
      </w:r>
      <w:proofErr w:type="gramEnd"/>
      <w:r>
        <w:rPr>
          <w:rFonts w:ascii="Times New Roman" w:hAnsi="Times New Roman"/>
          <w:sz w:val="24"/>
          <w:szCs w:val="24"/>
        </w:rPr>
        <w:t xml:space="preserve">-faith or reasonable belief of unlawful activity. And because a question of fact existed with respect to whether the sexual harassment </w:t>
      </w:r>
      <w:proofErr w:type="gramStart"/>
      <w:r>
        <w:rPr>
          <w:rFonts w:ascii="Times New Roman" w:hAnsi="Times New Roman"/>
          <w:sz w:val="24"/>
          <w:szCs w:val="24"/>
        </w:rPr>
        <w:t>actually occurred</w:t>
      </w:r>
      <w:proofErr w:type="gramEnd"/>
      <w:r>
        <w:rPr>
          <w:rFonts w:ascii="Times New Roman" w:hAnsi="Times New Roman"/>
          <w:sz w:val="24"/>
          <w:szCs w:val="24"/>
        </w:rPr>
        <w:t xml:space="preserve">, reasonable jurors could have differed with respect to whether plaintiff engaged in protected activity. Accordingly, the trial court did not err when it denied plaintiff’s motion for a directed verdict.” </w:t>
      </w:r>
      <w:bookmarkStart w:id="291" w:name="_Hlk66947588"/>
      <w:r w:rsidR="00F00958">
        <w:fldChar w:fldCharType="begin"/>
      </w:r>
      <w:r w:rsidR="00F00958">
        <w:instrText xml:space="preserve"> HYPERLINK "https://public.fastcase.com/Wl%2B2t%2BeVuI35%2FN70vAMFZhNKndYLJrOSR04H32IgTwa9kDAt3i1qzZBjDxGzNoxz" </w:instrText>
      </w:r>
      <w:r w:rsidR="00F00958">
        <w:fldChar w:fldCharType="separate"/>
      </w:r>
      <w:r>
        <w:rPr>
          <w:rStyle w:val="Hyperlink"/>
        </w:rPr>
        <w:t>https://public.fastcase.com/Wl%2B2t%2BeVuI35%2FN70vAMFZhNKndYLJrOSR04H32IgTwa9kDAt3i1qzZBjDxGzNoxz</w:t>
      </w:r>
      <w:r w:rsidR="00F00958">
        <w:rPr>
          <w:rStyle w:val="Hyperlink"/>
        </w:rPr>
        <w:fldChar w:fldCharType="end"/>
      </w:r>
      <w:r>
        <w:rPr>
          <w:rFonts w:ascii="Times New Roman" w:hAnsi="Times New Roman"/>
          <w:sz w:val="24"/>
          <w:szCs w:val="24"/>
        </w:rPr>
        <w:t xml:space="preserve">  </w:t>
      </w:r>
    </w:p>
    <w:p w14:paraId="42CE8AC4" w14:textId="77777777" w:rsidR="00863F9E" w:rsidRDefault="00863F9E" w:rsidP="00863F9E">
      <w:pPr>
        <w:spacing w:after="100" w:line="240" w:lineRule="auto"/>
        <w:rPr>
          <w:rFonts w:ascii="Times New Roman" w:eastAsia="Times New Roman" w:hAnsi="Times New Roman"/>
          <w:b/>
          <w:bCs/>
          <w:sz w:val="24"/>
          <w:szCs w:val="24"/>
        </w:rPr>
      </w:pPr>
      <w:r>
        <w:rPr>
          <w:rFonts w:ascii="Times New Roman" w:eastAsia="Times New Roman" w:hAnsi="Times New Roman"/>
          <w:b/>
          <w:bCs/>
          <w:sz w:val="24"/>
          <w:szCs w:val="24"/>
        </w:rPr>
        <w:t>Legal Lesson Learned: Plaintiff failed to prove her allegations to the jury.</w:t>
      </w:r>
    </w:p>
    <w:bookmarkEnd w:id="291"/>
    <w:p w14:paraId="06260D2E" w14:textId="77777777" w:rsidR="00863F9E" w:rsidRDefault="00863F9E" w:rsidP="002B1283">
      <w:pPr>
        <w:rPr>
          <w:rFonts w:ascii="Arial Black" w:hAnsi="Arial Black"/>
          <w:b/>
          <w:sz w:val="24"/>
          <w:szCs w:val="24"/>
        </w:rPr>
      </w:pPr>
    </w:p>
    <w:p w14:paraId="330F4090" w14:textId="6B2CA801" w:rsidR="00737B49" w:rsidRDefault="00737B49" w:rsidP="002B1283">
      <w:pPr>
        <w:rPr>
          <w:rFonts w:ascii="Arial Black" w:hAnsi="Arial Black"/>
          <w:b/>
          <w:sz w:val="24"/>
          <w:szCs w:val="24"/>
        </w:rPr>
      </w:pPr>
    </w:p>
    <w:p w14:paraId="25CE69BD" w14:textId="35D31BFD" w:rsidR="00737B49" w:rsidRDefault="00737B49" w:rsidP="002B1283">
      <w:pPr>
        <w:rPr>
          <w:rFonts w:ascii="Arial Black" w:hAnsi="Arial Black"/>
          <w:b/>
          <w:sz w:val="24"/>
          <w:szCs w:val="24"/>
        </w:rPr>
      </w:pPr>
      <w:r>
        <w:rPr>
          <w:rFonts w:ascii="Arial Black" w:hAnsi="Arial Black"/>
          <w:b/>
          <w:sz w:val="24"/>
          <w:szCs w:val="24"/>
        </w:rPr>
        <w:t>7-26</w:t>
      </w:r>
    </w:p>
    <w:p w14:paraId="136021BB" w14:textId="77777777" w:rsidR="00863F9E" w:rsidRDefault="00863F9E" w:rsidP="00863F9E">
      <w:pPr>
        <w:rPr>
          <w:rFonts w:ascii="Arial Black" w:eastAsiaTheme="minorHAnsi" w:hAnsi="Arial Black" w:cstheme="minorBidi"/>
          <w:sz w:val="28"/>
          <w:szCs w:val="28"/>
        </w:rPr>
      </w:pPr>
      <w:bookmarkStart w:id="292" w:name="_Hlk66947667"/>
      <w:r>
        <w:rPr>
          <w:rFonts w:ascii="Arial Black" w:hAnsi="Arial Black"/>
          <w:sz w:val="28"/>
          <w:szCs w:val="28"/>
        </w:rPr>
        <w:t>NY: FF FIRED – SEMEN INSIDE PANTS BELONGING TO FEMALE FF – ARBITRATOR, COURTS UPHOLD FIRING</w:t>
      </w:r>
    </w:p>
    <w:p w14:paraId="69FAAE9D" w14:textId="1B9BAC19" w:rsidR="00863F9E" w:rsidRDefault="00863F9E" w:rsidP="00863F9E">
      <w:pPr>
        <w:rPr>
          <w:rFonts w:ascii="Times New Roman" w:hAnsi="Times New Roman"/>
          <w:sz w:val="24"/>
          <w:szCs w:val="24"/>
        </w:rPr>
      </w:pPr>
      <w:r>
        <w:rPr>
          <w:rFonts w:ascii="Times New Roman" w:hAnsi="Times New Roman"/>
          <w:sz w:val="24"/>
          <w:szCs w:val="24"/>
        </w:rPr>
        <w:t xml:space="preserve">On Dec. 23, 2020, </w:t>
      </w:r>
      <w:r>
        <w:rPr>
          <w:rFonts w:ascii="Times New Roman" w:hAnsi="Times New Roman"/>
          <w:sz w:val="24"/>
          <w:szCs w:val="24"/>
          <w:u w:val="single"/>
        </w:rPr>
        <w:t>In The Matter Of Arbitration Between City of Utica, and Local 32, IAFF (on Behalf of Richard J. Forte)</w:t>
      </w:r>
      <w:r>
        <w:rPr>
          <w:rFonts w:ascii="Times New Roman" w:hAnsi="Times New Roman"/>
          <w:sz w:val="24"/>
          <w:szCs w:val="24"/>
        </w:rPr>
        <w:t xml:space="preserve">, the Supreme Court of the State of New York, Appellate Division (Fourth Judicial District), 2020 NY Slip Op 07783, held (5 to 0) that trial court properly denied his motion to vacate arbitration award in favor of the City. </w:t>
      </w:r>
    </w:p>
    <w:bookmarkEnd w:id="292"/>
    <w:p w14:paraId="5109B944" w14:textId="77777777" w:rsidR="00863F9E" w:rsidRDefault="00863F9E" w:rsidP="00863F9E">
      <w:pPr>
        <w:ind w:left="720"/>
        <w:rPr>
          <w:rFonts w:asciiTheme="minorHAnsi" w:hAnsiTheme="minorHAnsi" w:cstheme="minorBidi"/>
        </w:rPr>
      </w:pPr>
      <w:r>
        <w:rPr>
          <w:rFonts w:ascii="Times New Roman" w:hAnsi="Times New Roman"/>
          <w:sz w:val="24"/>
          <w:szCs w:val="24"/>
        </w:rPr>
        <w:t>“Respondent contends that the arbitrator improperly found him guilty of committing uncharged conduct, i.e., sexual harassment, and determined that termination was the appropriate penalty for that uncharged conduct. We reject that contention.</w:t>
      </w:r>
    </w:p>
    <w:p w14:paraId="7D1545AF" w14:textId="77777777" w:rsidR="00863F9E" w:rsidRDefault="00863F9E" w:rsidP="00863F9E">
      <w:pPr>
        <w:ind w:left="720"/>
        <w:rPr>
          <w:rFonts w:ascii="Times New Roman" w:hAnsi="Times New Roman"/>
          <w:sz w:val="24"/>
          <w:szCs w:val="24"/>
        </w:rPr>
      </w:pPr>
      <w:r>
        <w:rPr>
          <w:rFonts w:ascii="Times New Roman" w:hAnsi="Times New Roman"/>
          <w:sz w:val="24"/>
          <w:szCs w:val="24"/>
        </w:rPr>
        <w:t>Respondent was charged in the notice of disciplinary charges with, inter alia, conduct unbecoming a member of the Utica Fire Department ‘insofar as [he] knowingly and intentionally damage[d] property belonging to a fellow firefighter’ by ‘intentionally, knowingly, and unlawfully, with the intent to damage property, deposit[</w:t>
      </w:r>
      <w:proofErr w:type="spellStart"/>
      <w:r>
        <w:rPr>
          <w:rFonts w:ascii="Times New Roman" w:hAnsi="Times New Roman"/>
          <w:sz w:val="24"/>
          <w:szCs w:val="24"/>
        </w:rPr>
        <w:t>ing</w:t>
      </w:r>
      <w:proofErr w:type="spellEnd"/>
      <w:r>
        <w:rPr>
          <w:rFonts w:ascii="Times New Roman" w:hAnsi="Times New Roman"/>
          <w:sz w:val="24"/>
          <w:szCs w:val="24"/>
        </w:rPr>
        <w:t xml:space="preserve">] [his] semen onto the inside crotch area of a pair of pants belonging to’ a fellow firefighter.” </w:t>
      </w:r>
      <w:bookmarkStart w:id="293" w:name="_Hlk66947690"/>
      <w:r w:rsidR="00F00958">
        <w:fldChar w:fldCharType="begin"/>
      </w:r>
      <w:r w:rsidR="00F00958">
        <w:instrText xml:space="preserve"> HYPERLINK "https://public.fastcase.com/Wl%2B2t%2BeVuI35%2FN70vAMFZp6hsxXEFbDsO880xeA992QVSgi2XCJKDe%2BRTn9MNoHg" </w:instrText>
      </w:r>
      <w:r w:rsidR="00F00958">
        <w:fldChar w:fldCharType="separate"/>
      </w:r>
      <w:r>
        <w:rPr>
          <w:rStyle w:val="Hyperlink"/>
        </w:rPr>
        <w:t>https://public.fastcase.com/Wl%2B2t%2BeVuI35%2FN70vAMFZp6hsxXEFbDsO880xeA992QVSgi2XCJKDe%2BRTn9MNoHg</w:t>
      </w:r>
      <w:r w:rsidR="00F00958">
        <w:rPr>
          <w:rStyle w:val="Hyperlink"/>
        </w:rPr>
        <w:fldChar w:fldCharType="end"/>
      </w:r>
      <w:r>
        <w:rPr>
          <w:rFonts w:ascii="Times New Roman" w:hAnsi="Times New Roman"/>
          <w:sz w:val="24"/>
          <w:szCs w:val="24"/>
        </w:rPr>
        <w:t xml:space="preserve"> </w:t>
      </w:r>
    </w:p>
    <w:p w14:paraId="0F67507F" w14:textId="77777777" w:rsidR="00863F9E" w:rsidRDefault="00863F9E" w:rsidP="00863F9E">
      <w:pPr>
        <w:spacing w:before="100" w:beforeAutospacing="1" w:after="100" w:afterAutospacing="1" w:line="240" w:lineRule="auto"/>
        <w:rPr>
          <w:rFonts w:ascii="Times New Roman" w:eastAsia="Times New Roman" w:hAnsi="Times New Roman"/>
          <w:b/>
          <w:bCs/>
          <w:sz w:val="24"/>
          <w:szCs w:val="24"/>
        </w:rPr>
      </w:pPr>
      <w:r w:rsidRPr="004D6DF3">
        <w:rPr>
          <w:rFonts w:ascii="Times New Roman" w:eastAsia="Times New Roman" w:hAnsi="Times New Roman"/>
          <w:b/>
          <w:bCs/>
          <w:sz w:val="24"/>
          <w:szCs w:val="24"/>
        </w:rPr>
        <w:t>Legal Lesson Learned:</w:t>
      </w:r>
      <w:r>
        <w:rPr>
          <w:rFonts w:ascii="Times New Roman" w:eastAsia="Times New Roman" w:hAnsi="Times New Roman"/>
          <w:b/>
          <w:bCs/>
          <w:sz w:val="24"/>
          <w:szCs w:val="24"/>
        </w:rPr>
        <w:t xml:space="preserve">  Terrible set of facts.</w:t>
      </w:r>
    </w:p>
    <w:p w14:paraId="0987C420" w14:textId="77777777" w:rsidR="00863F9E" w:rsidRPr="004D6DF3" w:rsidRDefault="00863F9E" w:rsidP="00863F9E">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b/>
          <w:bCs/>
          <w:sz w:val="24"/>
          <w:szCs w:val="24"/>
        </w:rPr>
        <w:tab/>
      </w:r>
      <w:r>
        <w:rPr>
          <w:rFonts w:ascii="Times New Roman" w:eastAsia="Times New Roman" w:hAnsi="Times New Roman"/>
          <w:sz w:val="24"/>
          <w:szCs w:val="24"/>
        </w:rPr>
        <w:t xml:space="preserve">Note: This case has been subject of lots of negative Press. </w:t>
      </w:r>
    </w:p>
    <w:bookmarkEnd w:id="293"/>
    <w:p w14:paraId="387BA4A4" w14:textId="77777777" w:rsidR="00863F9E" w:rsidRPr="004D6DF3" w:rsidRDefault="00863F9E" w:rsidP="00863F9E">
      <w:pPr>
        <w:ind w:left="720"/>
        <w:rPr>
          <w:sz w:val="24"/>
          <w:szCs w:val="24"/>
        </w:rPr>
      </w:pPr>
      <w:r>
        <w:rPr>
          <w:rFonts w:ascii="Times New Roman" w:hAnsi="Times New Roman"/>
          <w:sz w:val="24"/>
          <w:szCs w:val="24"/>
        </w:rPr>
        <w:t xml:space="preserve">July 21, 2020: </w:t>
      </w:r>
      <w:r w:rsidRPr="004D6DF3">
        <w:rPr>
          <w:rFonts w:ascii="Times New Roman" w:hAnsi="Times New Roman"/>
          <w:sz w:val="24"/>
          <w:szCs w:val="24"/>
        </w:rPr>
        <w:t>“Court: Former Utica firefighter not entitled to payment.”</w:t>
      </w:r>
      <w:r>
        <w:rPr>
          <w:rFonts w:ascii="Times New Roman" w:hAnsi="Times New Roman"/>
          <w:sz w:val="24"/>
          <w:szCs w:val="24"/>
        </w:rPr>
        <w:t xml:space="preserve"> “</w:t>
      </w:r>
      <w:r w:rsidRPr="004D6DF3">
        <w:rPr>
          <w:rFonts w:ascii="Times New Roman" w:hAnsi="Times New Roman"/>
          <w:sz w:val="24"/>
          <w:szCs w:val="24"/>
        </w:rPr>
        <w:t>Richard Forte was found guilty last September of charges related to a January 2018 incident, during which he ejaculated on a pair of pants owned by a female firefighter. He was sentenced last December to 60 days in the county jail.</w:t>
      </w:r>
      <w:r>
        <w:rPr>
          <w:rFonts w:ascii="Times New Roman" w:hAnsi="Times New Roman"/>
          <w:sz w:val="24"/>
          <w:szCs w:val="24"/>
        </w:rPr>
        <w:t xml:space="preserve">” </w:t>
      </w:r>
      <w:hyperlink r:id="rId1441" w:history="1">
        <w:r w:rsidRPr="008335C2">
          <w:rPr>
            <w:rStyle w:val="Hyperlink"/>
            <w:sz w:val="24"/>
            <w:szCs w:val="24"/>
          </w:rPr>
          <w:t>https://www.uticaod.com/story/news/2020/07/21/court-former-utica-firefighter-not-entitled-to-payment/42260661/</w:t>
        </w:r>
      </w:hyperlink>
      <w:r w:rsidRPr="004D6DF3">
        <w:rPr>
          <w:sz w:val="24"/>
          <w:szCs w:val="24"/>
        </w:rPr>
        <w:t xml:space="preserve"> </w:t>
      </w:r>
    </w:p>
    <w:p w14:paraId="7A67F713" w14:textId="77777777" w:rsidR="00863F9E" w:rsidRPr="004D6DF3" w:rsidRDefault="00863F9E" w:rsidP="00863F9E">
      <w:pPr>
        <w:pStyle w:val="Heading1"/>
        <w:ind w:left="720"/>
        <w:rPr>
          <w:b w:val="0"/>
          <w:bCs w:val="0"/>
          <w:sz w:val="24"/>
          <w:szCs w:val="24"/>
        </w:rPr>
      </w:pPr>
      <w:r w:rsidRPr="004D6DF3">
        <w:rPr>
          <w:b w:val="0"/>
          <w:bCs w:val="0"/>
          <w:sz w:val="24"/>
          <w:szCs w:val="24"/>
        </w:rPr>
        <w:t xml:space="preserve">Sept. 25, 2019: “Ex-Utica firefighter found guilty on all charges.” </w:t>
      </w:r>
      <w:hyperlink r:id="rId1442" w:history="1">
        <w:r w:rsidRPr="008335C2">
          <w:rPr>
            <w:rStyle w:val="Hyperlink"/>
            <w:b w:val="0"/>
            <w:bCs w:val="0"/>
            <w:sz w:val="24"/>
            <w:szCs w:val="24"/>
          </w:rPr>
          <w:t>https://www.uticaod.com/news/20190925/ex-utica-firefighter-found-guilty-on-all-charges</w:t>
        </w:r>
      </w:hyperlink>
      <w:r w:rsidRPr="004D6DF3">
        <w:rPr>
          <w:b w:val="0"/>
          <w:bCs w:val="0"/>
          <w:sz w:val="24"/>
          <w:szCs w:val="24"/>
        </w:rPr>
        <w:t xml:space="preserve"> </w:t>
      </w:r>
    </w:p>
    <w:p w14:paraId="017E8965" w14:textId="77777777" w:rsidR="00863F9E" w:rsidRPr="004D6DF3" w:rsidRDefault="00863F9E" w:rsidP="00863F9E">
      <w:pPr>
        <w:ind w:left="720"/>
        <w:rPr>
          <w:rFonts w:ascii="Times New Roman" w:hAnsi="Times New Roman"/>
          <w:sz w:val="24"/>
          <w:szCs w:val="24"/>
        </w:rPr>
      </w:pPr>
      <w:r>
        <w:rPr>
          <w:rFonts w:ascii="Times New Roman" w:hAnsi="Times New Roman"/>
          <w:sz w:val="24"/>
          <w:szCs w:val="24"/>
        </w:rPr>
        <w:t xml:space="preserve">April 4, 2019: “Utica firefighter fired after sexual harassment claim.” </w:t>
      </w:r>
      <w:hyperlink r:id="rId1443" w:history="1">
        <w:r w:rsidRPr="008335C2">
          <w:rPr>
            <w:rStyle w:val="Hyperlink"/>
            <w:rFonts w:ascii="Times New Roman" w:hAnsi="Times New Roman"/>
            <w:sz w:val="24"/>
            <w:szCs w:val="24"/>
          </w:rPr>
          <w:t>https://www.uticaod.com/news/20190404/utica-firefighter-fired-after-sexual-harassment-claim</w:t>
        </w:r>
      </w:hyperlink>
      <w:r>
        <w:rPr>
          <w:rFonts w:ascii="Times New Roman" w:hAnsi="Times New Roman"/>
          <w:sz w:val="24"/>
          <w:szCs w:val="24"/>
        </w:rPr>
        <w:t xml:space="preserve"> </w:t>
      </w:r>
    </w:p>
    <w:p w14:paraId="07C7A4A6" w14:textId="77777777" w:rsidR="00737B49" w:rsidRDefault="00737B49" w:rsidP="002B1283">
      <w:pPr>
        <w:rPr>
          <w:rFonts w:ascii="Arial Black" w:hAnsi="Arial Black"/>
          <w:b/>
          <w:sz w:val="24"/>
          <w:szCs w:val="24"/>
        </w:rPr>
      </w:pPr>
    </w:p>
    <w:p w14:paraId="08007798" w14:textId="43D61A9C" w:rsidR="00DD03E3" w:rsidRDefault="00DD03E3" w:rsidP="002B1283">
      <w:pPr>
        <w:rPr>
          <w:rFonts w:ascii="Arial Black" w:hAnsi="Arial Black"/>
          <w:b/>
          <w:sz w:val="24"/>
          <w:szCs w:val="24"/>
        </w:rPr>
      </w:pPr>
      <w:r>
        <w:rPr>
          <w:rFonts w:ascii="Arial Black" w:hAnsi="Arial Black"/>
          <w:b/>
          <w:sz w:val="24"/>
          <w:szCs w:val="24"/>
        </w:rPr>
        <w:t>7-25</w:t>
      </w:r>
    </w:p>
    <w:p w14:paraId="2DCB1B6C" w14:textId="77777777" w:rsidR="00DD03E3" w:rsidRPr="00CB26F0" w:rsidRDefault="00DD03E3" w:rsidP="00DD03E3">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lastRenderedPageBreak/>
        <w:t>IL: FEMALE IN CHICAGO FD’s PARAMEDIC ACADEMY – INJURED “LIFTING &amp; MOVING SEQUENCE” – REFUSED RE-HIRE - CASE PROCEED</w:t>
      </w:r>
    </w:p>
    <w:p w14:paraId="63E7D3F3" w14:textId="77777777" w:rsidR="00DD03E3" w:rsidRDefault="00DD03E3" w:rsidP="00DD03E3">
      <w:pPr>
        <w:spacing w:before="100" w:beforeAutospacing="1" w:after="100" w:afterAutospacing="1" w:line="240" w:lineRule="auto"/>
        <w:rPr>
          <w:rFonts w:ascii="Times New Roman" w:hAnsi="Times New Roman"/>
          <w:sz w:val="24"/>
          <w:szCs w:val="24"/>
        </w:rPr>
      </w:pPr>
      <w:r w:rsidRPr="009A19BE">
        <w:rPr>
          <w:rFonts w:ascii="Times New Roman" w:eastAsia="Times New Roman" w:hAnsi="Times New Roman"/>
          <w:sz w:val="24"/>
          <w:szCs w:val="24"/>
        </w:rPr>
        <w:t>On Act. 27, 2020, in</w:t>
      </w:r>
      <w:r>
        <w:rPr>
          <w:rFonts w:ascii="Times New Roman" w:eastAsia="Times New Roman" w:hAnsi="Times New Roman"/>
          <w:sz w:val="24"/>
          <w:szCs w:val="24"/>
        </w:rPr>
        <w:t xml:space="preserve"> </w:t>
      </w:r>
      <w:r w:rsidRPr="009A19BE">
        <w:rPr>
          <w:rFonts w:ascii="Times New Roman" w:eastAsia="Times New Roman" w:hAnsi="Times New Roman"/>
          <w:sz w:val="24"/>
          <w:szCs w:val="24"/>
          <w:u w:val="single"/>
        </w:rPr>
        <w:t>Donna Griffin v. City of Chicago</w:t>
      </w:r>
      <w:r>
        <w:rPr>
          <w:rFonts w:ascii="Times New Roman" w:eastAsia="Times New Roman" w:hAnsi="Times New Roman"/>
          <w:sz w:val="24"/>
          <w:szCs w:val="24"/>
        </w:rPr>
        <w:t xml:space="preserve">, U.S. District Court Judge Sara L. Ellis, Northern District of Illinois, denied City’s motion to dismiss the lawsuit; plaintiff may pursue claim that the CFD administered physical fitness tests solely to eliminate women from the Academy, leading to her injury and termination April 11, 2019, and the City’s refusal to allow her to re-apply after she failed a return-to-work Independent Medical Exam in June 2019 (she was prescribed medications for </w:t>
      </w:r>
      <w:r w:rsidRPr="00D272C9">
        <w:rPr>
          <w:rFonts w:ascii="Times New Roman" w:hAnsi="Times New Roman"/>
          <w:sz w:val="24"/>
          <w:szCs w:val="24"/>
        </w:rPr>
        <w:t>insomnia and adjustment disorder</w:t>
      </w:r>
      <w:r>
        <w:rPr>
          <w:rFonts w:ascii="Times New Roman" w:hAnsi="Times New Roman"/>
          <w:sz w:val="24"/>
          <w:szCs w:val="24"/>
        </w:rPr>
        <w:t>).</w:t>
      </w:r>
    </w:p>
    <w:p w14:paraId="4FBB09B0" w14:textId="77777777" w:rsidR="00DD03E3" w:rsidRDefault="00DD03E3" w:rsidP="00DD03E3">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r w:rsidRPr="00D272C9">
        <w:rPr>
          <w:rFonts w:ascii="Times New Roman" w:hAnsi="Times New Roman"/>
          <w:sz w:val="24"/>
          <w:szCs w:val="24"/>
        </w:rPr>
        <w:t>In October 2016, Griffin (who was known as Donna Ruch at the time</w:t>
      </w:r>
      <w:proofErr w:type="gramStart"/>
      <w:r w:rsidRPr="00D272C9">
        <w:rPr>
          <w:rFonts w:ascii="Times New Roman" w:hAnsi="Times New Roman"/>
          <w:sz w:val="24"/>
          <w:szCs w:val="24"/>
        </w:rPr>
        <w:t>)</w:t>
      </w:r>
      <w:proofErr w:type="gramEnd"/>
      <w:r w:rsidRPr="00D272C9">
        <w:rPr>
          <w:rFonts w:ascii="Times New Roman" w:hAnsi="Times New Roman"/>
          <w:sz w:val="24"/>
          <w:szCs w:val="24"/>
        </w:rPr>
        <w:t xml:space="preserve"> and several other female paramedics filed the </w:t>
      </w:r>
      <w:r w:rsidRPr="00D272C9">
        <w:rPr>
          <w:rFonts w:ascii="Times New Roman" w:hAnsi="Times New Roman"/>
          <w:i/>
          <w:iCs/>
          <w:sz w:val="24"/>
          <w:szCs w:val="24"/>
        </w:rPr>
        <w:t>Livingston</w:t>
      </w:r>
      <w:r w:rsidRPr="00D272C9">
        <w:rPr>
          <w:rFonts w:ascii="Times New Roman" w:hAnsi="Times New Roman"/>
          <w:sz w:val="24"/>
          <w:szCs w:val="24"/>
        </w:rPr>
        <w:t xml:space="preserve"> lawsuit, alleging that the </w:t>
      </w:r>
      <w:proofErr w:type="gramStart"/>
      <w:r w:rsidRPr="00D272C9">
        <w:rPr>
          <w:rFonts w:ascii="Times New Roman" w:hAnsi="Times New Roman"/>
          <w:sz w:val="24"/>
          <w:szCs w:val="24"/>
        </w:rPr>
        <w:t>City</w:t>
      </w:r>
      <w:proofErr w:type="gramEnd"/>
      <w:r w:rsidRPr="00D272C9">
        <w:rPr>
          <w:rFonts w:ascii="Times New Roman" w:hAnsi="Times New Roman"/>
          <w:sz w:val="24"/>
          <w:szCs w:val="24"/>
        </w:rPr>
        <w:t xml:space="preserve"> discriminated against them based on their sex. In connection with the parties' attempts to make progress in settling </w:t>
      </w:r>
      <w:r w:rsidRPr="00D272C9">
        <w:rPr>
          <w:rFonts w:ascii="Times New Roman" w:hAnsi="Times New Roman"/>
          <w:i/>
          <w:iCs/>
          <w:sz w:val="24"/>
          <w:szCs w:val="24"/>
        </w:rPr>
        <w:t>Livingston</w:t>
      </w:r>
      <w:r w:rsidRPr="00D272C9">
        <w:rPr>
          <w:rFonts w:ascii="Times New Roman" w:hAnsi="Times New Roman"/>
          <w:sz w:val="24"/>
          <w:szCs w:val="24"/>
        </w:rPr>
        <w:t>, the City agreed to conditionally hire Griffin as a CFD Fire Paramedic candidate pending medical processing.</w:t>
      </w:r>
    </w:p>
    <w:p w14:paraId="556F7ACE" w14:textId="77777777" w:rsidR="00DD03E3" w:rsidRDefault="00DD03E3" w:rsidP="00DD03E3">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p>
    <w:p w14:paraId="30C710D2" w14:textId="77777777" w:rsidR="00DD03E3" w:rsidRPr="00D272C9" w:rsidRDefault="00DD03E3" w:rsidP="00DD03E3">
      <w:pPr>
        <w:spacing w:before="100" w:beforeAutospacing="1" w:after="100" w:afterAutospacing="1" w:line="240" w:lineRule="auto"/>
        <w:ind w:left="720"/>
        <w:rPr>
          <w:rFonts w:ascii="Times New Roman" w:eastAsia="Times New Roman" w:hAnsi="Times New Roman"/>
          <w:sz w:val="24"/>
          <w:szCs w:val="24"/>
        </w:rPr>
      </w:pPr>
      <w:r w:rsidRPr="00375B7C">
        <w:rPr>
          <w:rFonts w:ascii="Times New Roman" w:hAnsi="Times New Roman"/>
          <w:sz w:val="24"/>
          <w:szCs w:val="24"/>
        </w:rPr>
        <w:t xml:space="preserve">The relevant question is whether Griffin has plausibly alleged that discriminatory and retaliatory motives were the bases underlying the City's June 2019 denial of her application. She has. Griffin alleges that the </w:t>
      </w:r>
      <w:proofErr w:type="gramStart"/>
      <w:r w:rsidRPr="00375B7C">
        <w:rPr>
          <w:rFonts w:ascii="Times New Roman" w:hAnsi="Times New Roman"/>
          <w:sz w:val="24"/>
          <w:szCs w:val="24"/>
        </w:rPr>
        <w:t>City</w:t>
      </w:r>
      <w:proofErr w:type="gramEnd"/>
      <w:r w:rsidRPr="00375B7C">
        <w:rPr>
          <w:rFonts w:ascii="Times New Roman" w:hAnsi="Times New Roman"/>
          <w:sz w:val="24"/>
          <w:szCs w:val="24"/>
        </w:rPr>
        <w:t xml:space="preserve"> </w:t>
      </w:r>
      <w:r>
        <w:rPr>
          <w:rFonts w:ascii="Times New Roman" w:hAnsi="Times New Roman"/>
          <w:sz w:val="24"/>
          <w:szCs w:val="24"/>
        </w:rPr>
        <w:t>‘</w:t>
      </w:r>
      <w:r w:rsidRPr="00375B7C">
        <w:rPr>
          <w:rFonts w:ascii="Times New Roman" w:hAnsi="Times New Roman"/>
          <w:sz w:val="24"/>
          <w:szCs w:val="24"/>
        </w:rPr>
        <w:t>refused to allow her to enter a subsequent training academy</w:t>
      </w:r>
      <w:r>
        <w:rPr>
          <w:rFonts w:ascii="Times New Roman" w:hAnsi="Times New Roman"/>
          <w:sz w:val="24"/>
          <w:szCs w:val="24"/>
        </w:rPr>
        <w:t>’</w:t>
      </w:r>
      <w:r w:rsidRPr="00375B7C">
        <w:rPr>
          <w:rFonts w:ascii="Times New Roman" w:hAnsi="Times New Roman"/>
          <w:sz w:val="24"/>
          <w:szCs w:val="24"/>
        </w:rPr>
        <w:t xml:space="preserve"> class because of her gender, her complaints about illegal sex discrimination, and her disability. </w:t>
      </w:r>
      <w:r w:rsidRPr="00375B7C">
        <w:rPr>
          <w:rFonts w:ascii="Times New Roman" w:hAnsi="Times New Roman"/>
          <w:i/>
          <w:iCs/>
          <w:sz w:val="24"/>
          <w:szCs w:val="24"/>
        </w:rPr>
        <w:t>Griffin</w:t>
      </w:r>
      <w:r w:rsidRPr="00375B7C">
        <w:rPr>
          <w:rFonts w:ascii="Times New Roman" w:hAnsi="Times New Roman"/>
          <w:sz w:val="24"/>
          <w:szCs w:val="24"/>
        </w:rPr>
        <w:t>, Doc. 1 ¶¶ 17, 18, 21, 24-26. She further alleges that the City has allowed men who use alprazolam or trazodone—the medications that Griffin had taken or was taking when she went through the medical evaluation process in March and April 2019—to train and work as Fire Paramedics and that the City has also allowed individuals who have not complained of discrimination to use these medications while training or working as Fire Paramedics. These allegations plausibly state claims for relief based upon the City's June 2019 denial of Griffin's application.</w:t>
      </w:r>
      <w:r>
        <w:rPr>
          <w:rFonts w:ascii="Times New Roman" w:hAnsi="Times New Roman"/>
          <w:sz w:val="24"/>
          <w:szCs w:val="24"/>
        </w:rPr>
        <w:t xml:space="preserve">”  </w:t>
      </w:r>
      <w:hyperlink r:id="rId1444" w:history="1">
        <w:r w:rsidRPr="00EF3739">
          <w:rPr>
            <w:rStyle w:val="Hyperlink"/>
            <w:rFonts w:ascii="Times New Roman" w:hAnsi="Times New Roman"/>
            <w:sz w:val="24"/>
            <w:szCs w:val="24"/>
          </w:rPr>
          <w:t>https://public.fastcase.com/Wl%2B2t%2BeVuI35%2FN70vAMFZs1o8oz3pWgS38oNkfNQDzkHmIv0WM8cJL2w%2BtvmrMCm</w:t>
        </w:r>
      </w:hyperlink>
      <w:r>
        <w:rPr>
          <w:rFonts w:ascii="Times New Roman" w:hAnsi="Times New Roman"/>
          <w:sz w:val="24"/>
          <w:szCs w:val="24"/>
        </w:rPr>
        <w:t xml:space="preserve"> </w:t>
      </w:r>
    </w:p>
    <w:p w14:paraId="0BC49D32" w14:textId="77777777" w:rsidR="00DD03E3" w:rsidRPr="009A19BE" w:rsidRDefault="00DD03E3" w:rsidP="00DD03E3">
      <w:pPr>
        <w:spacing w:before="100" w:beforeAutospacing="1" w:after="100" w:afterAutospacing="1" w:line="240" w:lineRule="auto"/>
        <w:rPr>
          <w:rFonts w:ascii="Times New Roman" w:eastAsia="Times New Roman" w:hAnsi="Times New Roman"/>
          <w:b/>
          <w:bCs/>
          <w:sz w:val="24"/>
          <w:szCs w:val="24"/>
        </w:rPr>
      </w:pPr>
      <w:r w:rsidRPr="00375B7C">
        <w:rPr>
          <w:rFonts w:ascii="Times New Roman" w:hAnsi="Times New Roman"/>
          <w:b/>
          <w:bCs/>
          <w:sz w:val="24"/>
          <w:szCs w:val="24"/>
        </w:rPr>
        <w:t>Legal Lesson Learned:</w:t>
      </w:r>
      <w:r>
        <w:rPr>
          <w:rFonts w:ascii="Times New Roman" w:hAnsi="Times New Roman"/>
          <w:b/>
          <w:bCs/>
          <w:sz w:val="24"/>
          <w:szCs w:val="24"/>
        </w:rPr>
        <w:t xml:space="preserve">  Plaintiff may now proceed with pre-trial discovery, including how the FD has medically dealt with male firefighters using the same medications. </w:t>
      </w:r>
    </w:p>
    <w:p w14:paraId="0C803703" w14:textId="77777777" w:rsidR="00DD03E3" w:rsidRDefault="00DD03E3" w:rsidP="002B1283">
      <w:pPr>
        <w:rPr>
          <w:rFonts w:ascii="Arial Black" w:hAnsi="Arial Black"/>
          <w:b/>
          <w:sz w:val="24"/>
          <w:szCs w:val="24"/>
        </w:rPr>
      </w:pPr>
    </w:p>
    <w:p w14:paraId="27619CAE" w14:textId="77777777" w:rsidR="00DD03E3" w:rsidRDefault="00DD03E3" w:rsidP="002B1283">
      <w:pPr>
        <w:rPr>
          <w:rFonts w:ascii="Arial Black" w:hAnsi="Arial Black"/>
          <w:b/>
          <w:sz w:val="24"/>
          <w:szCs w:val="24"/>
        </w:rPr>
      </w:pPr>
    </w:p>
    <w:p w14:paraId="1A95CE6C" w14:textId="77777777" w:rsidR="00DD03E3" w:rsidRDefault="00DD03E3" w:rsidP="002B1283">
      <w:pPr>
        <w:rPr>
          <w:rFonts w:ascii="Arial Black" w:hAnsi="Arial Black"/>
          <w:b/>
          <w:sz w:val="24"/>
          <w:szCs w:val="24"/>
        </w:rPr>
      </w:pPr>
    </w:p>
    <w:p w14:paraId="008056E8" w14:textId="66C47A54" w:rsidR="006B2083" w:rsidRDefault="006B2083" w:rsidP="002B1283">
      <w:pPr>
        <w:rPr>
          <w:rFonts w:ascii="Arial Black" w:hAnsi="Arial Black"/>
          <w:b/>
          <w:sz w:val="24"/>
          <w:szCs w:val="24"/>
        </w:rPr>
      </w:pPr>
      <w:r>
        <w:rPr>
          <w:rFonts w:ascii="Arial Black" w:hAnsi="Arial Black"/>
          <w:b/>
          <w:sz w:val="24"/>
          <w:szCs w:val="24"/>
        </w:rPr>
        <w:t>7-2</w:t>
      </w:r>
      <w:r w:rsidR="001A653A">
        <w:rPr>
          <w:rFonts w:ascii="Arial Black" w:hAnsi="Arial Black"/>
          <w:b/>
          <w:sz w:val="24"/>
          <w:szCs w:val="24"/>
        </w:rPr>
        <w:t>4</w:t>
      </w:r>
    </w:p>
    <w:p w14:paraId="4D84FD34" w14:textId="77777777" w:rsidR="006B2083" w:rsidRDefault="006B2083" w:rsidP="006B2083">
      <w:pPr>
        <w:pStyle w:val="NoSpacing"/>
        <w:rPr>
          <w:rFonts w:ascii="Arial Black" w:hAnsi="Arial Black"/>
          <w:sz w:val="28"/>
          <w:szCs w:val="28"/>
        </w:rPr>
      </w:pPr>
      <w:r w:rsidRPr="00A5652A">
        <w:rPr>
          <w:rFonts w:ascii="Arial Black" w:hAnsi="Arial Black"/>
          <w:sz w:val="28"/>
          <w:szCs w:val="28"/>
        </w:rPr>
        <w:t xml:space="preserve">NY: </w:t>
      </w:r>
      <w:r>
        <w:rPr>
          <w:rFonts w:ascii="Arial Black" w:hAnsi="Arial Black"/>
          <w:sz w:val="28"/>
          <w:szCs w:val="28"/>
        </w:rPr>
        <w:t xml:space="preserve"> FEMALE FF ON RUN – MALE FF MASTERBATED INTO PANTS SHE HAD LEFT AT STATION – NO PAY AWAITING ARBITRATION</w:t>
      </w:r>
    </w:p>
    <w:p w14:paraId="01F287BD" w14:textId="77777777" w:rsidR="006B2083" w:rsidRDefault="006B2083" w:rsidP="006B2083">
      <w:pPr>
        <w:pStyle w:val="NoSpacing"/>
        <w:ind w:left="720"/>
        <w:rPr>
          <w:rFonts w:ascii="Arial Black" w:hAnsi="Arial Black"/>
          <w:sz w:val="28"/>
          <w:szCs w:val="28"/>
        </w:rPr>
      </w:pPr>
    </w:p>
    <w:p w14:paraId="504E1AF3" w14:textId="77777777" w:rsidR="006B2083" w:rsidRPr="00E16775" w:rsidRDefault="006B2083" w:rsidP="006B2083">
      <w:pPr>
        <w:pStyle w:val="NoSpacing"/>
        <w:rPr>
          <w:rFonts w:ascii="Times New Roman" w:hAnsi="Times New Roman"/>
          <w:sz w:val="24"/>
          <w:szCs w:val="24"/>
        </w:rPr>
      </w:pPr>
      <w:r w:rsidRPr="00BE7A38">
        <w:rPr>
          <w:rFonts w:ascii="Times New Roman" w:hAnsi="Times New Roman"/>
          <w:sz w:val="24"/>
          <w:szCs w:val="24"/>
        </w:rPr>
        <w:t xml:space="preserve">On July 17, 2020, in the case </w:t>
      </w:r>
      <w:r w:rsidRPr="00BE7A38">
        <w:rPr>
          <w:rFonts w:ascii="Times New Roman" w:hAnsi="Times New Roman"/>
          <w:sz w:val="24"/>
          <w:szCs w:val="24"/>
          <w:u w:val="single"/>
        </w:rPr>
        <w:t>In The Matter Of Thomas Cacone v. City of Utica</w:t>
      </w:r>
      <w:r w:rsidRPr="00BE7A38">
        <w:rPr>
          <w:rFonts w:ascii="Times New Roman" w:hAnsi="Times New Roman"/>
          <w:sz w:val="24"/>
          <w:szCs w:val="24"/>
        </w:rPr>
        <w:t xml:space="preserve">, </w:t>
      </w:r>
      <w:r>
        <w:rPr>
          <w:rFonts w:ascii="Times New Roman" w:hAnsi="Times New Roman"/>
          <w:sz w:val="24"/>
          <w:szCs w:val="24"/>
        </w:rPr>
        <w:t xml:space="preserve">the Supreme Court of State of New York, Appellate Division, Judicial Department, held  (5 to 0) that trial court improperly ordered the FD to put the firefighter on paid leave awaiting the arbitration more than 30 days; the arbitration was delayed because the firefighter sought disciplinary records of another firefighter who apparently did similar misconduct. Court </w:t>
      </w:r>
      <w:r>
        <w:rPr>
          <w:rFonts w:ascii="Times New Roman" w:hAnsi="Times New Roman"/>
          <w:sz w:val="24"/>
          <w:szCs w:val="24"/>
        </w:rPr>
        <w:lastRenderedPageBreak/>
        <w:t xml:space="preserve">wrote: </w:t>
      </w:r>
      <w:r w:rsidRPr="00B67C49">
        <w:rPr>
          <w:rFonts w:ascii="Times New Roman" w:hAnsi="Times New Roman"/>
          <w:sz w:val="24"/>
          <w:szCs w:val="24"/>
        </w:rPr>
        <w:t xml:space="preserve">We agree with respondents that petitioner is not entitled to reinstatement or back pay because petitioner was solely responsible for the </w:t>
      </w:r>
      <w:proofErr w:type="gramStart"/>
      <w:r w:rsidRPr="00B67C49">
        <w:rPr>
          <w:rFonts w:ascii="Times New Roman" w:hAnsi="Times New Roman"/>
          <w:sz w:val="24"/>
          <w:szCs w:val="24"/>
        </w:rPr>
        <w:t>delay.</w:t>
      </w:r>
      <w:r>
        <w:rPr>
          <w:rFonts w:ascii="Times New Roman" w:hAnsi="Times New Roman"/>
          <w:sz w:val="24"/>
          <w:szCs w:val="24"/>
        </w:rPr>
        <w:t>”</w:t>
      </w:r>
      <w:proofErr w:type="gramEnd"/>
      <w:r>
        <w:rPr>
          <w:rFonts w:ascii="Times New Roman" w:hAnsi="Times New Roman"/>
          <w:sz w:val="24"/>
          <w:szCs w:val="24"/>
        </w:rPr>
        <w:t xml:space="preserve"> </w:t>
      </w:r>
      <w:hyperlink r:id="rId1445" w:history="1">
        <w:r w:rsidRPr="00E16775">
          <w:rPr>
            <w:rStyle w:val="Hyperlink"/>
            <w:rFonts w:ascii="Times New Roman" w:hAnsi="Times New Roman"/>
            <w:sz w:val="24"/>
            <w:szCs w:val="24"/>
          </w:rPr>
          <w:t>https://public.fastcase.com/Wl%2B2t%2BeVuI35%2FN70vAMFZvXmXpQwu2GjLh16DzgzKzYNu%2FX9mokAK5AXod7BJ9cF</w:t>
        </w:r>
      </w:hyperlink>
      <w:r w:rsidRPr="00E16775">
        <w:rPr>
          <w:rFonts w:ascii="Times New Roman" w:hAnsi="Times New Roman"/>
          <w:sz w:val="24"/>
          <w:szCs w:val="24"/>
        </w:rPr>
        <w:t xml:space="preserve"> </w:t>
      </w:r>
    </w:p>
    <w:p w14:paraId="558F0B1C" w14:textId="77777777" w:rsidR="006B2083" w:rsidRDefault="006B2083" w:rsidP="006B2083">
      <w:pPr>
        <w:pStyle w:val="NoSpacing"/>
        <w:rPr>
          <w:rFonts w:ascii="Times New Roman" w:hAnsi="Times New Roman"/>
          <w:b/>
          <w:bCs/>
          <w:sz w:val="24"/>
          <w:szCs w:val="24"/>
        </w:rPr>
      </w:pPr>
    </w:p>
    <w:p w14:paraId="079B92F7" w14:textId="0E3D0254" w:rsidR="006B2083" w:rsidRDefault="006B2083" w:rsidP="006B2083">
      <w:pPr>
        <w:pStyle w:val="NoSpacing"/>
        <w:rPr>
          <w:rFonts w:ascii="Times New Roman" w:hAnsi="Times New Roman"/>
          <w:b/>
          <w:bCs/>
          <w:sz w:val="24"/>
          <w:szCs w:val="24"/>
        </w:rPr>
      </w:pPr>
      <w:r w:rsidRPr="00BE7A38">
        <w:rPr>
          <w:rFonts w:ascii="Times New Roman" w:hAnsi="Times New Roman"/>
          <w:b/>
          <w:bCs/>
          <w:sz w:val="24"/>
          <w:szCs w:val="24"/>
        </w:rPr>
        <w:t xml:space="preserve">Legal Lessons Learned: </w:t>
      </w:r>
      <w:r>
        <w:rPr>
          <w:rFonts w:ascii="Times New Roman" w:hAnsi="Times New Roman"/>
          <w:b/>
          <w:bCs/>
          <w:sz w:val="24"/>
          <w:szCs w:val="24"/>
        </w:rPr>
        <w:t>The conduct described is totally unacceptable.</w:t>
      </w:r>
    </w:p>
    <w:p w14:paraId="13DFB125" w14:textId="77777777" w:rsidR="006B2083" w:rsidRDefault="006B2083" w:rsidP="002B1283">
      <w:pPr>
        <w:rPr>
          <w:rFonts w:ascii="Arial Black" w:hAnsi="Arial Black"/>
          <w:b/>
          <w:sz w:val="24"/>
          <w:szCs w:val="24"/>
        </w:rPr>
      </w:pPr>
    </w:p>
    <w:p w14:paraId="528AC539" w14:textId="72825A95" w:rsidR="006B2083" w:rsidRPr="001A653A" w:rsidRDefault="001A653A" w:rsidP="002B1283">
      <w:pPr>
        <w:rPr>
          <w:rFonts w:ascii="Times New Roman" w:hAnsi="Times New Roman"/>
          <w:bCs/>
          <w:sz w:val="24"/>
          <w:szCs w:val="24"/>
        </w:rPr>
      </w:pPr>
      <w:r>
        <w:rPr>
          <w:rFonts w:ascii="Arial Black" w:hAnsi="Arial Black"/>
          <w:b/>
          <w:sz w:val="24"/>
          <w:szCs w:val="24"/>
        </w:rPr>
        <w:t xml:space="preserve">7-23 </w:t>
      </w:r>
      <w:r w:rsidRPr="001A653A">
        <w:rPr>
          <w:rFonts w:ascii="Times New Roman" w:hAnsi="Times New Roman"/>
          <w:bCs/>
          <w:sz w:val="24"/>
          <w:szCs w:val="24"/>
        </w:rPr>
        <w:t xml:space="preserve">[also filed, Chap. 16] </w:t>
      </w:r>
    </w:p>
    <w:p w14:paraId="089C12D3" w14:textId="77777777" w:rsidR="001A653A" w:rsidRDefault="001A653A" w:rsidP="001A653A">
      <w:pPr>
        <w:pStyle w:val="NoSpacing"/>
        <w:rPr>
          <w:rFonts w:ascii="Arial Black" w:hAnsi="Arial Black"/>
          <w:sz w:val="28"/>
          <w:szCs w:val="28"/>
        </w:rPr>
      </w:pPr>
      <w:r w:rsidRPr="007B1E77">
        <w:rPr>
          <w:rFonts w:ascii="Arial Black" w:hAnsi="Arial Black"/>
          <w:sz w:val="28"/>
          <w:szCs w:val="28"/>
        </w:rPr>
        <w:t xml:space="preserve">KY: </w:t>
      </w:r>
      <w:r>
        <w:rPr>
          <w:rFonts w:ascii="Arial Black" w:hAnsi="Arial Black"/>
          <w:sz w:val="28"/>
          <w:szCs w:val="28"/>
        </w:rPr>
        <w:t>FF MET 17-YEAR-OLD AT FIRE STATION – CONVICTED HAVING SEX WITH MINOR - TOOK VIDEOS AND PHOTOS</w:t>
      </w:r>
    </w:p>
    <w:p w14:paraId="668AD7EE" w14:textId="77777777" w:rsidR="001A653A" w:rsidRDefault="001A653A" w:rsidP="001A653A">
      <w:pPr>
        <w:pStyle w:val="NoSpacing"/>
        <w:rPr>
          <w:rFonts w:ascii="Times New Roman" w:hAnsi="Times New Roman"/>
          <w:sz w:val="24"/>
          <w:szCs w:val="24"/>
        </w:rPr>
      </w:pPr>
      <w:r w:rsidRPr="007B1E77">
        <w:rPr>
          <w:rFonts w:ascii="Times New Roman" w:hAnsi="Times New Roman"/>
          <w:sz w:val="24"/>
          <w:szCs w:val="24"/>
        </w:rPr>
        <w:t xml:space="preserve">On July 7, 2020, in </w:t>
      </w:r>
      <w:r w:rsidRPr="007B1E77">
        <w:rPr>
          <w:rFonts w:ascii="Times New Roman" w:hAnsi="Times New Roman"/>
          <w:sz w:val="24"/>
          <w:szCs w:val="24"/>
          <w:u w:val="single"/>
        </w:rPr>
        <w:t>United States of America v. William Michael Fields</w:t>
      </w:r>
      <w:r w:rsidRPr="007B1E77">
        <w:rPr>
          <w:rFonts w:ascii="Times New Roman" w:hAnsi="Times New Roman"/>
          <w:sz w:val="24"/>
          <w:szCs w:val="24"/>
        </w:rPr>
        <w:t xml:space="preserve">, </w:t>
      </w:r>
      <w:r>
        <w:rPr>
          <w:rFonts w:ascii="Times New Roman" w:hAnsi="Times New Roman"/>
          <w:sz w:val="24"/>
          <w:szCs w:val="24"/>
        </w:rPr>
        <w:t xml:space="preserve">U.S. District Court Chief Judge Danny C. Reeves, Eastern District of Kentucky, denied the defendant’s motion for judgment of acquittal, or a new trial. The Court wrote: </w:t>
      </w:r>
      <w:r w:rsidRPr="007B1E77">
        <w:rPr>
          <w:rFonts w:ascii="Times New Roman" w:hAnsi="Times New Roman"/>
          <w:sz w:val="24"/>
          <w:szCs w:val="24"/>
        </w:rPr>
        <w:t xml:space="preserve">“Based on the foregoing, there was ample evidence from which the jury could have concluded that, on March 17 and 23, 2019, Fields employed, used, persuaded, induced, or coerced the minor victim to engage in </w:t>
      </w:r>
    </w:p>
    <w:p w14:paraId="778AB6E6" w14:textId="77777777" w:rsidR="001A653A" w:rsidRDefault="001A653A" w:rsidP="001A653A">
      <w:pPr>
        <w:pStyle w:val="NoSpacing"/>
        <w:rPr>
          <w:rFonts w:ascii="Times New Roman" w:hAnsi="Times New Roman"/>
          <w:sz w:val="24"/>
          <w:szCs w:val="24"/>
        </w:rPr>
      </w:pPr>
    </w:p>
    <w:p w14:paraId="1F9795E9" w14:textId="77777777" w:rsidR="001A653A" w:rsidRDefault="001A653A" w:rsidP="001A653A">
      <w:pPr>
        <w:pStyle w:val="NoSpacing"/>
        <w:rPr>
          <w:rFonts w:ascii="Times New Roman" w:hAnsi="Times New Roman"/>
          <w:sz w:val="24"/>
          <w:szCs w:val="24"/>
        </w:rPr>
      </w:pPr>
      <w:r w:rsidRPr="007B1E77">
        <w:rPr>
          <w:rFonts w:ascii="Times New Roman" w:hAnsi="Times New Roman"/>
          <w:sz w:val="24"/>
          <w:szCs w:val="24"/>
        </w:rPr>
        <w:t>sexually explicit conduct for the purpose of producing a visual depiction of that conduct and that the visual depiction was produced or transmitted using materials that were mailed, shipped, or transported in or affecting interstate commerce by any means, including computer.</w:t>
      </w:r>
      <w:r>
        <w:rPr>
          <w:rFonts w:ascii="Times New Roman" w:hAnsi="Times New Roman"/>
          <w:sz w:val="24"/>
          <w:szCs w:val="24"/>
        </w:rPr>
        <w:t xml:space="preserve">” </w:t>
      </w:r>
      <w:hyperlink r:id="rId1446" w:history="1">
        <w:r w:rsidRPr="00FE7BCF">
          <w:rPr>
            <w:rStyle w:val="Hyperlink"/>
            <w:rFonts w:ascii="Times New Roman" w:hAnsi="Times New Roman"/>
            <w:sz w:val="24"/>
            <w:szCs w:val="24"/>
          </w:rPr>
          <w:t>https://casetext.com/case/united-states-v-fields-198</w:t>
        </w:r>
      </w:hyperlink>
      <w:r>
        <w:rPr>
          <w:rFonts w:ascii="Times New Roman" w:hAnsi="Times New Roman"/>
          <w:sz w:val="24"/>
          <w:szCs w:val="24"/>
        </w:rPr>
        <w:t xml:space="preserve"> </w:t>
      </w:r>
    </w:p>
    <w:p w14:paraId="155EC4F8" w14:textId="77777777" w:rsidR="001A653A" w:rsidRDefault="001A653A" w:rsidP="001A653A">
      <w:pPr>
        <w:pStyle w:val="NoSpacing"/>
        <w:rPr>
          <w:rFonts w:ascii="Arial Black" w:hAnsi="Arial Black"/>
          <w:sz w:val="24"/>
          <w:szCs w:val="24"/>
        </w:rPr>
      </w:pPr>
    </w:p>
    <w:p w14:paraId="6FB70FD8" w14:textId="77777777" w:rsidR="001A653A" w:rsidRDefault="001A653A" w:rsidP="001A653A">
      <w:pPr>
        <w:pStyle w:val="NoSpacing"/>
        <w:tabs>
          <w:tab w:val="left" w:pos="2780"/>
        </w:tabs>
        <w:rPr>
          <w:rFonts w:ascii="Times New Roman" w:hAnsi="Times New Roman"/>
          <w:b/>
          <w:bCs/>
          <w:sz w:val="24"/>
          <w:szCs w:val="24"/>
        </w:rPr>
      </w:pPr>
      <w:r w:rsidRPr="00602C23">
        <w:rPr>
          <w:rFonts w:ascii="Times New Roman" w:hAnsi="Times New Roman"/>
          <w:b/>
          <w:bCs/>
          <w:sz w:val="24"/>
          <w:szCs w:val="24"/>
        </w:rPr>
        <w:t>Legal Lesson Learned</w:t>
      </w:r>
      <w:r>
        <w:rPr>
          <w:rFonts w:ascii="Times New Roman" w:hAnsi="Times New Roman"/>
          <w:b/>
          <w:bCs/>
          <w:sz w:val="24"/>
          <w:szCs w:val="24"/>
        </w:rPr>
        <w:t xml:space="preserve">: A firefighter having sex with a minor can be convicted of a federal offense if a video or photos is posted on Internet. </w:t>
      </w:r>
    </w:p>
    <w:p w14:paraId="753836D2" w14:textId="77777777" w:rsidR="001A653A" w:rsidRDefault="001A653A" w:rsidP="002B1283">
      <w:pPr>
        <w:rPr>
          <w:rFonts w:ascii="Arial Black" w:hAnsi="Arial Black"/>
          <w:b/>
          <w:sz w:val="24"/>
          <w:szCs w:val="24"/>
        </w:rPr>
      </w:pPr>
    </w:p>
    <w:p w14:paraId="1B5FACB6" w14:textId="5692A32C" w:rsidR="007105B3" w:rsidRDefault="007105B3" w:rsidP="002B1283">
      <w:pPr>
        <w:rPr>
          <w:rFonts w:ascii="Arial Black" w:hAnsi="Arial Black"/>
          <w:b/>
          <w:sz w:val="24"/>
          <w:szCs w:val="24"/>
        </w:rPr>
      </w:pPr>
      <w:r>
        <w:rPr>
          <w:rFonts w:ascii="Arial Black" w:hAnsi="Arial Black"/>
          <w:b/>
          <w:sz w:val="24"/>
          <w:szCs w:val="24"/>
        </w:rPr>
        <w:t>7-22</w:t>
      </w:r>
    </w:p>
    <w:p w14:paraId="6539743E" w14:textId="77777777" w:rsidR="007105B3" w:rsidRPr="00A71A05" w:rsidRDefault="007105B3" w:rsidP="007105B3">
      <w:pPr>
        <w:spacing w:before="100" w:beforeAutospacing="1" w:after="100" w:afterAutospacing="1" w:line="240" w:lineRule="auto"/>
        <w:rPr>
          <w:rFonts w:ascii="Arial Black" w:hAnsi="Arial Black"/>
          <w:sz w:val="28"/>
          <w:szCs w:val="28"/>
        </w:rPr>
      </w:pPr>
      <w:r w:rsidRPr="00A71A05">
        <w:rPr>
          <w:rFonts w:ascii="Arial Black" w:hAnsi="Arial Black"/>
          <w:sz w:val="28"/>
          <w:szCs w:val="28"/>
        </w:rPr>
        <w:t xml:space="preserve">U.S. SUPREME COURT: </w:t>
      </w:r>
      <w:r>
        <w:rPr>
          <w:rFonts w:ascii="Arial Black" w:hAnsi="Arial Black"/>
          <w:sz w:val="28"/>
          <w:szCs w:val="28"/>
        </w:rPr>
        <w:t xml:space="preserve">HOMESEXUAL AND TRANSGENDER EMPLOYEES COVERED BY TITLE VII </w:t>
      </w:r>
    </w:p>
    <w:p w14:paraId="682D6D86" w14:textId="77777777" w:rsidR="007105B3" w:rsidRDefault="007105B3" w:rsidP="007105B3">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On June 15, 2020, in </w:t>
      </w:r>
      <w:r w:rsidRPr="00A71A05">
        <w:rPr>
          <w:rFonts w:ascii="Times New Roman" w:hAnsi="Times New Roman"/>
          <w:sz w:val="24"/>
          <w:szCs w:val="24"/>
          <w:u w:val="single"/>
        </w:rPr>
        <w:t>Gerald Lynn Bostoc v. Clayton County, Georgia</w:t>
      </w:r>
      <w:r>
        <w:rPr>
          <w:rFonts w:ascii="Times New Roman" w:hAnsi="Times New Roman"/>
          <w:sz w:val="24"/>
          <w:szCs w:val="24"/>
        </w:rPr>
        <w:t>, (plus two other combined cases), held (6 to 3) that an employer cannot fire or otherwise discriminate against someone simply for being a homosexual or transgender.  Justice Neil Gorsuch wrote: “</w:t>
      </w:r>
      <w:r w:rsidRPr="00572796">
        <w:rPr>
          <w:rFonts w:ascii="Times New Roman" w:hAnsi="Times New Roman"/>
          <w:sz w:val="24"/>
          <w:szCs w:val="24"/>
        </w:rPr>
        <w:t xml:space="preserve">Sometimes small gestures can have unexpected consequences. Major initiatives practically guarantee them. In our time, few pieces of federal legislation rank in significance with the Civil Rights Act of 1964. There, in Title VII, Congress outlawed discrimination in the workplace </w:t>
      </w:r>
      <w:proofErr w:type="gramStart"/>
      <w:r w:rsidRPr="00572796">
        <w:rPr>
          <w:rFonts w:ascii="Times New Roman" w:hAnsi="Times New Roman"/>
          <w:sz w:val="24"/>
          <w:szCs w:val="24"/>
        </w:rPr>
        <w:t>on the</w:t>
      </w:r>
      <w:r>
        <w:rPr>
          <w:rFonts w:ascii="Times New Roman" w:hAnsi="Times New Roman"/>
          <w:sz w:val="24"/>
          <w:szCs w:val="24"/>
        </w:rPr>
        <w:t xml:space="preserve"> </w:t>
      </w:r>
      <w:r w:rsidRPr="00572796">
        <w:rPr>
          <w:rFonts w:ascii="Times New Roman" w:hAnsi="Times New Roman"/>
          <w:sz w:val="24"/>
          <w:szCs w:val="24"/>
        </w:rPr>
        <w:t>basis of</w:t>
      </w:r>
      <w:proofErr w:type="gramEnd"/>
      <w:r w:rsidRPr="00572796">
        <w:rPr>
          <w:rFonts w:ascii="Times New Roman" w:hAnsi="Times New Roman"/>
          <w:sz w:val="24"/>
          <w:szCs w:val="24"/>
        </w:rPr>
        <w:t xml:space="preserve"> race, color, religion, sex, or national origin. Today,</w:t>
      </w:r>
      <w:r>
        <w:rPr>
          <w:rFonts w:ascii="Times New Roman" w:hAnsi="Times New Roman"/>
          <w:sz w:val="24"/>
          <w:szCs w:val="24"/>
        </w:rPr>
        <w:t xml:space="preserve"> </w:t>
      </w:r>
      <w:r w:rsidRPr="00572796">
        <w:rPr>
          <w:rFonts w:ascii="Times New Roman" w:hAnsi="Times New Roman"/>
          <w:sz w:val="24"/>
          <w:szCs w:val="24"/>
        </w:rPr>
        <w:t>we must decide whether an employer can fire someone</w:t>
      </w:r>
      <w:r>
        <w:rPr>
          <w:rFonts w:ascii="Times New Roman" w:hAnsi="Times New Roman"/>
          <w:sz w:val="24"/>
          <w:szCs w:val="24"/>
        </w:rPr>
        <w:t xml:space="preserve"> </w:t>
      </w:r>
      <w:r w:rsidRPr="00572796">
        <w:rPr>
          <w:rFonts w:ascii="Times New Roman" w:hAnsi="Times New Roman"/>
          <w:sz w:val="24"/>
          <w:szCs w:val="24"/>
        </w:rPr>
        <w:t>simply for being homosexual or transgender. The answer is clear. An employer who fires an individual for being homosexual or transgender fires that person for traits or actions it would not have questioned in members of a different sex. Sex plays a necessary and undisguisable role in the decision, exactly what Title VII forbids.</w:t>
      </w:r>
      <w:r>
        <w:rPr>
          <w:rFonts w:ascii="Times New Roman" w:hAnsi="Times New Roman"/>
          <w:sz w:val="24"/>
          <w:szCs w:val="24"/>
        </w:rPr>
        <w:t xml:space="preserve">” </w:t>
      </w:r>
      <w:hyperlink r:id="rId1447" w:history="1">
        <w:r w:rsidRPr="0037669D">
          <w:rPr>
            <w:rStyle w:val="Hyperlink"/>
            <w:rFonts w:ascii="Times New Roman" w:hAnsi="Times New Roman"/>
            <w:sz w:val="24"/>
            <w:szCs w:val="24"/>
          </w:rPr>
          <w:t>https://www.supremecourt.gov/opinions/19pdf/17-1618_hfci.pdf</w:t>
        </w:r>
      </w:hyperlink>
      <w:r>
        <w:rPr>
          <w:rFonts w:ascii="Times New Roman" w:hAnsi="Times New Roman"/>
          <w:sz w:val="24"/>
          <w:szCs w:val="24"/>
        </w:rPr>
        <w:t xml:space="preserve"> </w:t>
      </w:r>
    </w:p>
    <w:p w14:paraId="22C3E0B3" w14:textId="77777777" w:rsidR="007105B3" w:rsidRDefault="007105B3" w:rsidP="007105B3">
      <w:pPr>
        <w:pStyle w:val="NoSpacing"/>
        <w:rPr>
          <w:rFonts w:ascii="Times New Roman" w:hAnsi="Times New Roman"/>
          <w:b/>
          <w:bCs/>
          <w:sz w:val="24"/>
          <w:szCs w:val="24"/>
        </w:rPr>
      </w:pPr>
      <w:r w:rsidRPr="002A3AF8">
        <w:rPr>
          <w:rFonts w:ascii="Times New Roman" w:hAnsi="Times New Roman"/>
          <w:b/>
          <w:bCs/>
          <w:sz w:val="24"/>
          <w:szCs w:val="24"/>
        </w:rPr>
        <w:t>Legal Lessons Learned:</w:t>
      </w:r>
      <w:r>
        <w:rPr>
          <w:rFonts w:ascii="Times New Roman" w:hAnsi="Times New Roman"/>
          <w:b/>
          <w:bCs/>
          <w:sz w:val="24"/>
          <w:szCs w:val="24"/>
        </w:rPr>
        <w:t xml:space="preserve"> This is a “landmark” decision.  Fire &amp; EMS Departments should review their non-discrimination policies to include sexual orientation and gender identity. </w:t>
      </w:r>
    </w:p>
    <w:p w14:paraId="4F8FF5F0" w14:textId="77777777" w:rsidR="007105B3" w:rsidRDefault="007105B3" w:rsidP="007105B3">
      <w:pPr>
        <w:rPr>
          <w:rFonts w:ascii="Arial Black" w:hAnsi="Arial Black"/>
          <w:sz w:val="27"/>
          <w:szCs w:val="27"/>
        </w:rPr>
      </w:pPr>
    </w:p>
    <w:p w14:paraId="063CD165" w14:textId="2F73E14B" w:rsidR="006744D3" w:rsidRDefault="006744D3" w:rsidP="002B1283">
      <w:pPr>
        <w:rPr>
          <w:rFonts w:ascii="Arial Black" w:hAnsi="Arial Black"/>
          <w:b/>
          <w:sz w:val="24"/>
          <w:szCs w:val="24"/>
        </w:rPr>
      </w:pPr>
      <w:r>
        <w:rPr>
          <w:rFonts w:ascii="Arial Black" w:hAnsi="Arial Black"/>
          <w:b/>
          <w:sz w:val="24"/>
          <w:szCs w:val="24"/>
        </w:rPr>
        <w:t>7-21</w:t>
      </w:r>
    </w:p>
    <w:p w14:paraId="48277EC7" w14:textId="77777777" w:rsidR="006744D3" w:rsidRDefault="006744D3" w:rsidP="006744D3">
      <w:pPr>
        <w:spacing w:before="100" w:beforeAutospacing="1" w:after="100" w:afterAutospacing="1" w:line="240" w:lineRule="auto"/>
        <w:rPr>
          <w:rFonts w:ascii="Arial Black" w:eastAsia="Times New Roman" w:hAnsi="Arial Black"/>
          <w:sz w:val="28"/>
          <w:szCs w:val="28"/>
        </w:rPr>
      </w:pPr>
      <w:r w:rsidRPr="00DC60E5">
        <w:rPr>
          <w:rFonts w:ascii="Arial Black" w:eastAsia="Times New Roman" w:hAnsi="Arial Black"/>
          <w:sz w:val="28"/>
          <w:szCs w:val="28"/>
        </w:rPr>
        <w:lastRenderedPageBreak/>
        <w:t xml:space="preserve">TX: </w:t>
      </w:r>
      <w:r>
        <w:rPr>
          <w:rFonts w:ascii="Arial Black" w:eastAsia="Times New Roman" w:hAnsi="Arial Black"/>
          <w:sz w:val="28"/>
          <w:szCs w:val="28"/>
        </w:rPr>
        <w:t>HOUSTON FD – U.S. DEPT. JUSTICE LAWSUIT – MALES URINATING WALLS, FLOORS, SINKS WOMENS’ BATHROOM – COLD WATER SHOWERS DISCONNECTED / SPEAKERS</w:t>
      </w:r>
    </w:p>
    <w:p w14:paraId="2E377475" w14:textId="77777777" w:rsidR="006744D3" w:rsidRDefault="006744D3" w:rsidP="006744D3">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On May 15, 2020, </w:t>
      </w:r>
      <w:r w:rsidRPr="00626E79">
        <w:rPr>
          <w:rFonts w:ascii="Times New Roman" w:eastAsia="Times New Roman" w:hAnsi="Times New Roman"/>
          <w:sz w:val="24"/>
          <w:szCs w:val="24"/>
          <w:u w:val="single"/>
        </w:rPr>
        <w:t xml:space="preserve">in United States of America, Jane </w:t>
      </w:r>
      <w:proofErr w:type="spellStart"/>
      <w:r w:rsidRPr="00626E79">
        <w:rPr>
          <w:rFonts w:ascii="Times New Roman" w:eastAsia="Times New Roman" w:hAnsi="Times New Roman"/>
          <w:sz w:val="24"/>
          <w:szCs w:val="24"/>
          <w:u w:val="single"/>
        </w:rPr>
        <w:t>Draycott</w:t>
      </w:r>
      <w:proofErr w:type="spellEnd"/>
      <w:r w:rsidRPr="00626E79">
        <w:rPr>
          <w:rFonts w:ascii="Times New Roman" w:eastAsia="Times New Roman" w:hAnsi="Times New Roman"/>
          <w:sz w:val="24"/>
          <w:szCs w:val="24"/>
          <w:u w:val="single"/>
        </w:rPr>
        <w:t xml:space="preserve"> and Paula Keyes v. The City of Houston, Texas</w:t>
      </w:r>
      <w:r>
        <w:rPr>
          <w:rFonts w:ascii="Times New Roman" w:eastAsia="Times New Roman" w:hAnsi="Times New Roman"/>
          <w:sz w:val="24"/>
          <w:szCs w:val="24"/>
        </w:rPr>
        <w:t xml:space="preserve">, Senior U.S. District Judge Sim Lake, Southern District of Texas (Houston Division) issued a lengthy opinion denying the City’s motion to dismiss case.  U.S. Department of Justice Press Release of Feb. 28, </w:t>
      </w:r>
      <w:proofErr w:type="gramStart"/>
      <w:r>
        <w:rPr>
          <w:rFonts w:ascii="Times New Roman" w:eastAsia="Times New Roman" w:hAnsi="Times New Roman"/>
          <w:sz w:val="24"/>
          <w:szCs w:val="24"/>
        </w:rPr>
        <w:t>2018</w:t>
      </w:r>
      <w:proofErr w:type="gramEnd"/>
      <w:r>
        <w:rPr>
          <w:rFonts w:ascii="Times New Roman" w:eastAsia="Times New Roman" w:hAnsi="Times New Roman"/>
          <w:sz w:val="24"/>
          <w:szCs w:val="24"/>
        </w:rPr>
        <w:t xml:space="preserve"> is eye opening. “</w:t>
      </w:r>
      <w:r w:rsidRPr="009C6CB0">
        <w:rPr>
          <w:rFonts w:ascii="Times New Roman" w:hAnsi="Times New Roman"/>
          <w:sz w:val="24"/>
          <w:szCs w:val="24"/>
        </w:rPr>
        <w:t xml:space="preserve">The lawsuit, filed in the Southern District of Texas, alleges that Jane </w:t>
      </w:r>
      <w:proofErr w:type="spellStart"/>
      <w:r w:rsidRPr="009C6CB0">
        <w:rPr>
          <w:rFonts w:ascii="Times New Roman" w:hAnsi="Times New Roman"/>
          <w:sz w:val="24"/>
          <w:szCs w:val="24"/>
        </w:rPr>
        <w:t>Draycott</w:t>
      </w:r>
      <w:proofErr w:type="spellEnd"/>
      <w:r w:rsidRPr="009C6CB0">
        <w:rPr>
          <w:rFonts w:ascii="Times New Roman" w:hAnsi="Times New Roman"/>
          <w:sz w:val="24"/>
          <w:szCs w:val="24"/>
        </w:rPr>
        <w:t xml:space="preserve"> and Paula Keyes were subjected to a hostile work environment based on sex when they were employed as firefighters at HFD’s Station 54.  According to the complaint, HFD’s hostile work environment included males urinating on the walls, floors and sinks of the women’s bathroom and dormitory, disconnecting the cold water to scald the women while they were showering, and deactivating the female dormitory’s announcement speakers so the women could not respond to emergency calls.  The complaint further alleges that the conduct culminated in death threats and vulgar slurs written on the walls of their work and living spaces at Station 54 and on their personal possessions.  This conduct continued despite at least nine complaints made to management, according to the allegations.”</w:t>
      </w:r>
      <w:r>
        <w:rPr>
          <w:rFonts w:ascii="Times New Roman" w:hAnsi="Times New Roman"/>
          <w:sz w:val="24"/>
          <w:szCs w:val="24"/>
        </w:rPr>
        <w:t xml:space="preserve"> </w:t>
      </w:r>
      <w:hyperlink r:id="rId1448" w:history="1">
        <w:r w:rsidRPr="00931365">
          <w:rPr>
            <w:rStyle w:val="Hyperlink"/>
            <w:sz w:val="24"/>
            <w:szCs w:val="24"/>
          </w:rPr>
          <w:t>https://www.justice.gov/opa/pr/justice-department-files-lawsuit-against-city-houston-sex-discrimination-and-retaliation</w:t>
        </w:r>
      </w:hyperlink>
      <w:r>
        <w:rPr>
          <w:rFonts w:ascii="Times New Roman" w:hAnsi="Times New Roman"/>
          <w:sz w:val="24"/>
          <w:szCs w:val="24"/>
        </w:rPr>
        <w:t xml:space="preserve"> </w:t>
      </w:r>
      <w:r>
        <w:rPr>
          <w:rFonts w:ascii="Times New Roman" w:eastAsia="Times New Roman" w:hAnsi="Times New Roman"/>
          <w:sz w:val="24"/>
          <w:szCs w:val="24"/>
        </w:rPr>
        <w:t xml:space="preserve"> [Jane </w:t>
      </w:r>
      <w:proofErr w:type="spellStart"/>
      <w:r>
        <w:rPr>
          <w:rFonts w:ascii="Times New Roman" w:eastAsia="Times New Roman" w:hAnsi="Times New Roman"/>
          <w:sz w:val="24"/>
          <w:szCs w:val="24"/>
        </w:rPr>
        <w:t>Draycott</w:t>
      </w:r>
      <w:proofErr w:type="spellEnd"/>
      <w:r>
        <w:rPr>
          <w:rFonts w:ascii="Times New Roman" w:eastAsia="Times New Roman" w:hAnsi="Times New Roman"/>
          <w:sz w:val="24"/>
          <w:szCs w:val="24"/>
        </w:rPr>
        <w:t xml:space="preserve"> later resigned from FD; Paula Keyes is now a Captain.] </w:t>
      </w:r>
      <w:hyperlink r:id="rId1449" w:history="1">
        <w:r w:rsidRPr="00931365">
          <w:rPr>
            <w:rStyle w:val="Hyperlink"/>
            <w:sz w:val="24"/>
            <w:szCs w:val="24"/>
          </w:rPr>
          <w:t>https://public.fastcase.com/Wl%2B2t%2BeVuI35%2FN70vAMFZkY2nPlYZ3wtvIBy3YjdhH4Hysc14LIFQvAQrJXSfUWa</w:t>
        </w:r>
      </w:hyperlink>
      <w:r>
        <w:rPr>
          <w:rFonts w:ascii="Times New Roman" w:eastAsia="Times New Roman" w:hAnsi="Times New Roman"/>
          <w:sz w:val="24"/>
          <w:szCs w:val="24"/>
        </w:rPr>
        <w:t xml:space="preserve"> </w:t>
      </w:r>
    </w:p>
    <w:p w14:paraId="11170939" w14:textId="77777777" w:rsidR="00FA7B26" w:rsidRPr="00542658" w:rsidRDefault="00FA7B26" w:rsidP="00FA7B26">
      <w:pPr>
        <w:rPr>
          <w:rFonts w:ascii="Times New Roman" w:hAnsi="Times New Roman"/>
          <w:b/>
          <w:bCs/>
          <w:sz w:val="24"/>
          <w:szCs w:val="24"/>
        </w:rPr>
      </w:pPr>
      <w:r w:rsidRPr="00542658">
        <w:rPr>
          <w:rFonts w:ascii="Times New Roman" w:hAnsi="Times New Roman"/>
          <w:b/>
          <w:bCs/>
          <w:sz w:val="24"/>
          <w:szCs w:val="24"/>
        </w:rPr>
        <w:t>Legal Lessons Learned:</w:t>
      </w:r>
      <w:r>
        <w:rPr>
          <w:rFonts w:ascii="Times New Roman" w:hAnsi="Times New Roman"/>
          <w:b/>
          <w:bCs/>
          <w:sz w:val="24"/>
          <w:szCs w:val="24"/>
        </w:rPr>
        <w:t xml:space="preserve"> Case is now scheduled for trial; serious allegations. </w:t>
      </w:r>
    </w:p>
    <w:p w14:paraId="7FD84642" w14:textId="77777777" w:rsidR="006744D3" w:rsidRDefault="006744D3" w:rsidP="002B1283">
      <w:pPr>
        <w:rPr>
          <w:rFonts w:ascii="Arial Black" w:hAnsi="Arial Black"/>
          <w:b/>
          <w:sz w:val="24"/>
          <w:szCs w:val="24"/>
        </w:rPr>
      </w:pPr>
    </w:p>
    <w:p w14:paraId="6AE2549F" w14:textId="3279A5BE" w:rsidR="002147DA" w:rsidRDefault="002147DA" w:rsidP="002B1283">
      <w:pPr>
        <w:rPr>
          <w:rFonts w:ascii="Arial Black" w:hAnsi="Arial Black"/>
          <w:b/>
          <w:sz w:val="24"/>
          <w:szCs w:val="24"/>
        </w:rPr>
      </w:pPr>
      <w:r>
        <w:rPr>
          <w:rFonts w:ascii="Arial Black" w:hAnsi="Arial Black"/>
          <w:b/>
          <w:sz w:val="24"/>
          <w:szCs w:val="24"/>
        </w:rPr>
        <w:t>7-20 [Also posted, Chap. 14]</w:t>
      </w:r>
    </w:p>
    <w:p w14:paraId="6CCFE8A7" w14:textId="77777777" w:rsidR="002147DA" w:rsidRDefault="002147DA" w:rsidP="002147DA">
      <w:pPr>
        <w:pStyle w:val="NoSpacing"/>
        <w:rPr>
          <w:rFonts w:ascii="Arial Black" w:hAnsi="Arial Black"/>
          <w:sz w:val="28"/>
          <w:szCs w:val="28"/>
        </w:rPr>
      </w:pPr>
      <w:bookmarkStart w:id="294" w:name="_Hlk39764591"/>
      <w:bookmarkStart w:id="295" w:name="_Hlk41155392"/>
      <w:r>
        <w:rPr>
          <w:rFonts w:ascii="Arial Black" w:hAnsi="Arial Black"/>
          <w:sz w:val="28"/>
          <w:szCs w:val="28"/>
        </w:rPr>
        <w:t xml:space="preserve">AL:  PREGNANT EMT – DENIED LIGHT DUTY – AMR CO. PROVIDES ONLY INJURED ON JOB - LAWSUIT REINSTATED </w:t>
      </w:r>
    </w:p>
    <w:p w14:paraId="7F1D3B63" w14:textId="77777777" w:rsidR="002147DA" w:rsidRDefault="002147DA" w:rsidP="002147DA">
      <w:pPr>
        <w:pStyle w:val="NoSpacing"/>
        <w:rPr>
          <w:b/>
          <w:bCs/>
          <w:sz w:val="24"/>
          <w:szCs w:val="24"/>
        </w:rPr>
      </w:pPr>
    </w:p>
    <w:p w14:paraId="1F7C3463" w14:textId="77777777" w:rsidR="002147DA" w:rsidRPr="00AE3A49" w:rsidRDefault="002147DA" w:rsidP="002147DA">
      <w:pPr>
        <w:pStyle w:val="NoSpacing"/>
        <w:rPr>
          <w:rFonts w:ascii="Times New Roman" w:hAnsi="Times New Roman"/>
          <w:b/>
          <w:bCs/>
          <w:sz w:val="24"/>
          <w:szCs w:val="24"/>
        </w:rPr>
      </w:pPr>
      <w:r w:rsidRPr="00AE3A49">
        <w:rPr>
          <w:rFonts w:ascii="Times New Roman" w:hAnsi="Times New Roman"/>
          <w:bCs/>
          <w:sz w:val="24"/>
          <w:szCs w:val="24"/>
        </w:rPr>
        <w:t xml:space="preserve">On April 17, 2020, in </w:t>
      </w:r>
      <w:r w:rsidRPr="00AE3A49">
        <w:rPr>
          <w:rFonts w:ascii="Times New Roman" w:hAnsi="Times New Roman"/>
          <w:bCs/>
          <w:sz w:val="24"/>
          <w:szCs w:val="24"/>
          <w:u w:val="single"/>
        </w:rPr>
        <w:t>Kimberlie Michelle Durham v. Rural/Metro Corporation</w:t>
      </w:r>
      <w:r w:rsidRPr="00AE3A49">
        <w:rPr>
          <w:rFonts w:ascii="Times New Roman" w:hAnsi="Times New Roman"/>
          <w:bCs/>
          <w:sz w:val="24"/>
          <w:szCs w:val="24"/>
        </w:rPr>
        <w:t>, the U.S. Court of Appeals for the 11</w:t>
      </w:r>
      <w:r w:rsidRPr="00AE3A49">
        <w:rPr>
          <w:rFonts w:ascii="Times New Roman" w:hAnsi="Times New Roman"/>
          <w:bCs/>
          <w:sz w:val="24"/>
          <w:szCs w:val="24"/>
          <w:vertAlign w:val="superscript"/>
        </w:rPr>
        <w:t>th</w:t>
      </w:r>
      <w:r w:rsidRPr="00AE3A49">
        <w:rPr>
          <w:rFonts w:ascii="Times New Roman" w:hAnsi="Times New Roman"/>
          <w:bCs/>
          <w:sz w:val="24"/>
          <w:szCs w:val="24"/>
        </w:rPr>
        <w:t xml:space="preserve"> Circuit (Atlanta) held (3 to 0) that the U.S. District Court judge had improperly granted summary judgment to AMR.  </w:t>
      </w:r>
    </w:p>
    <w:p w14:paraId="41F2D2FF" w14:textId="77777777" w:rsidR="002147DA" w:rsidRDefault="002147DA" w:rsidP="002147DA">
      <w:pPr>
        <w:pStyle w:val="NoSpacing"/>
        <w:ind w:left="720"/>
        <w:rPr>
          <w:rFonts w:ascii="Times New Roman" w:hAnsi="Times New Roman"/>
          <w:bCs/>
          <w:sz w:val="24"/>
          <w:szCs w:val="24"/>
        </w:rPr>
      </w:pPr>
    </w:p>
    <w:p w14:paraId="1B956A10" w14:textId="77777777" w:rsidR="002147DA" w:rsidRPr="00AE3A49" w:rsidRDefault="002147DA" w:rsidP="002147DA">
      <w:pPr>
        <w:pStyle w:val="NoSpacing"/>
        <w:ind w:left="720"/>
        <w:rPr>
          <w:rFonts w:ascii="Times New Roman" w:hAnsi="Times New Roman"/>
          <w:sz w:val="24"/>
          <w:szCs w:val="24"/>
        </w:rPr>
      </w:pPr>
      <w:r w:rsidRPr="00AE3A49">
        <w:rPr>
          <w:rFonts w:ascii="Times New Roman" w:hAnsi="Times New Roman"/>
          <w:bCs/>
          <w:sz w:val="24"/>
          <w:szCs w:val="24"/>
        </w:rPr>
        <w:t>“We therefore vacate the grant of summary judgment. Neither a non-pregnant EMT who is limited to lifting 10 or 20 pounds nor a pregnant EMT who is restricted to lifting 50 pounds or less can lift the required 100 pounds to serve as an EMT. Since neither can meet the lifting requirement, they are the same in their ‘inability to work’ as an EMT. And that satisfies the plaintiff’s prima facie requirement to establish that she was ‘similar [to other employees] in their ability or inability to work.’</w:t>
      </w:r>
      <w:r w:rsidRPr="00AE3A49">
        <w:rPr>
          <w:rFonts w:ascii="Times New Roman" w:hAnsi="Times New Roman"/>
          <w:sz w:val="24"/>
          <w:szCs w:val="24"/>
        </w:rPr>
        <w:t xml:space="preserve">” </w:t>
      </w:r>
      <w:hyperlink r:id="rId1450" w:history="1">
        <w:r w:rsidRPr="00AE3A49">
          <w:rPr>
            <w:rStyle w:val="Hyperlink"/>
            <w:rFonts w:ascii="Times New Roman" w:hAnsi="Times New Roman"/>
            <w:b/>
            <w:sz w:val="24"/>
            <w:szCs w:val="24"/>
          </w:rPr>
          <w:t>http://media.ca11.uscourts.gov/opinions/pub/files/201814687.pdf</w:t>
        </w:r>
      </w:hyperlink>
      <w:r w:rsidRPr="00AE3A49">
        <w:rPr>
          <w:rFonts w:ascii="Times New Roman" w:hAnsi="Times New Roman"/>
          <w:sz w:val="24"/>
          <w:szCs w:val="24"/>
        </w:rPr>
        <w:t xml:space="preserve"> </w:t>
      </w:r>
    </w:p>
    <w:bookmarkEnd w:id="294"/>
    <w:p w14:paraId="1B993F0E" w14:textId="77777777" w:rsidR="002147DA" w:rsidRDefault="002147DA" w:rsidP="002147DA">
      <w:pPr>
        <w:pStyle w:val="NoSpacing"/>
        <w:rPr>
          <w:rFonts w:ascii="Times New Roman" w:hAnsi="Times New Roman"/>
          <w:b/>
          <w:bCs/>
          <w:sz w:val="24"/>
          <w:szCs w:val="24"/>
        </w:rPr>
      </w:pPr>
    </w:p>
    <w:p w14:paraId="3E20B1EC" w14:textId="2E5E36CD" w:rsidR="002147DA" w:rsidRPr="00AE3A49" w:rsidRDefault="002147DA" w:rsidP="002147DA">
      <w:pPr>
        <w:pStyle w:val="NoSpacing"/>
        <w:rPr>
          <w:rFonts w:ascii="Times New Roman" w:hAnsi="Times New Roman"/>
          <w:b/>
          <w:bCs/>
          <w:sz w:val="24"/>
          <w:szCs w:val="24"/>
        </w:rPr>
      </w:pPr>
      <w:bookmarkStart w:id="296" w:name="_Hlk40510709"/>
      <w:r w:rsidRPr="00AE3A49">
        <w:rPr>
          <w:rFonts w:ascii="Times New Roman" w:hAnsi="Times New Roman"/>
          <w:b/>
          <w:bCs/>
          <w:sz w:val="24"/>
          <w:szCs w:val="24"/>
        </w:rPr>
        <w:t>Legal Lessons Learned: Congress in enacting the Pregnancy Discrimination Act did not specifically address the issue of light-duty; hopefully</w:t>
      </w:r>
      <w:r w:rsidR="00C4249D">
        <w:rPr>
          <w:rFonts w:ascii="Times New Roman" w:hAnsi="Times New Roman"/>
          <w:b/>
          <w:bCs/>
          <w:sz w:val="24"/>
          <w:szCs w:val="24"/>
        </w:rPr>
        <w:t xml:space="preserve"> </w:t>
      </w:r>
      <w:r w:rsidRPr="00AE3A49">
        <w:rPr>
          <w:rFonts w:ascii="Times New Roman" w:hAnsi="Times New Roman"/>
          <w:b/>
          <w:bCs/>
          <w:sz w:val="24"/>
          <w:szCs w:val="24"/>
        </w:rPr>
        <w:t xml:space="preserve">the U.S. Supreme Court </w:t>
      </w:r>
      <w:r w:rsidR="00C4249D">
        <w:rPr>
          <w:rFonts w:ascii="Times New Roman" w:hAnsi="Times New Roman"/>
          <w:b/>
          <w:bCs/>
          <w:sz w:val="24"/>
          <w:szCs w:val="24"/>
        </w:rPr>
        <w:t xml:space="preserve">in a future case </w:t>
      </w:r>
      <w:r w:rsidRPr="00AE3A49">
        <w:rPr>
          <w:rFonts w:ascii="Times New Roman" w:hAnsi="Times New Roman"/>
          <w:b/>
          <w:bCs/>
          <w:sz w:val="24"/>
          <w:szCs w:val="24"/>
        </w:rPr>
        <w:t xml:space="preserve">will give clear direction on this issue.  </w:t>
      </w:r>
    </w:p>
    <w:bookmarkEnd w:id="296"/>
    <w:p w14:paraId="3B9D1BF8" w14:textId="77777777" w:rsidR="002147DA" w:rsidRDefault="002147DA" w:rsidP="002B1283">
      <w:pPr>
        <w:rPr>
          <w:rFonts w:ascii="Arial Black" w:hAnsi="Arial Black"/>
          <w:b/>
          <w:sz w:val="24"/>
          <w:szCs w:val="24"/>
        </w:rPr>
      </w:pPr>
    </w:p>
    <w:bookmarkEnd w:id="295"/>
    <w:p w14:paraId="1CB0E685" w14:textId="77777777" w:rsidR="002147DA" w:rsidRDefault="002147DA" w:rsidP="002B1283">
      <w:pPr>
        <w:rPr>
          <w:rFonts w:ascii="Arial Black" w:hAnsi="Arial Black"/>
          <w:b/>
          <w:sz w:val="24"/>
          <w:szCs w:val="24"/>
        </w:rPr>
      </w:pPr>
    </w:p>
    <w:p w14:paraId="5B89BE14" w14:textId="07D54B28" w:rsidR="002147DA" w:rsidRDefault="002147DA" w:rsidP="002B1283">
      <w:pPr>
        <w:rPr>
          <w:rFonts w:ascii="Arial Black" w:hAnsi="Arial Black"/>
          <w:b/>
          <w:sz w:val="24"/>
          <w:szCs w:val="24"/>
        </w:rPr>
      </w:pPr>
      <w:r>
        <w:rPr>
          <w:rFonts w:ascii="Arial Black" w:hAnsi="Arial Black"/>
          <w:b/>
          <w:sz w:val="24"/>
          <w:szCs w:val="24"/>
        </w:rPr>
        <w:t>7-19</w:t>
      </w:r>
    </w:p>
    <w:p w14:paraId="693A7B14" w14:textId="77777777" w:rsidR="002147DA" w:rsidRPr="005F2F43" w:rsidRDefault="002147DA" w:rsidP="002147DA">
      <w:pPr>
        <w:pStyle w:val="NoSpacing"/>
        <w:rPr>
          <w:rFonts w:ascii="Arial Black" w:hAnsi="Arial Black"/>
          <w:sz w:val="28"/>
          <w:szCs w:val="28"/>
        </w:rPr>
      </w:pPr>
      <w:bookmarkStart w:id="297" w:name="_Hlk39764654"/>
      <w:r w:rsidRPr="005F2F43">
        <w:rPr>
          <w:rFonts w:ascii="Arial Black" w:hAnsi="Arial Black"/>
          <w:sz w:val="28"/>
          <w:szCs w:val="28"/>
        </w:rPr>
        <w:lastRenderedPageBreak/>
        <w:t>FL:</w:t>
      </w:r>
      <w:r>
        <w:rPr>
          <w:rFonts w:ascii="Arial Black" w:hAnsi="Arial Black"/>
          <w:sz w:val="28"/>
          <w:szCs w:val="28"/>
        </w:rPr>
        <w:t xml:space="preserve"> FEMALE FF RESIGNS, 20 YRS ON FD – CLAIMS HOSTILE WORK ATMOSPHERE, FEW SPECIFICS – CASE DISMISSED</w:t>
      </w:r>
      <w:r w:rsidRPr="005F2F43">
        <w:rPr>
          <w:rFonts w:ascii="Arial Black" w:hAnsi="Arial Black"/>
          <w:sz w:val="28"/>
          <w:szCs w:val="28"/>
        </w:rPr>
        <w:t xml:space="preserve"> </w:t>
      </w:r>
    </w:p>
    <w:p w14:paraId="03909706" w14:textId="77777777" w:rsidR="002147DA" w:rsidRDefault="002147DA" w:rsidP="002147DA">
      <w:pPr>
        <w:pStyle w:val="NoSpacing"/>
        <w:rPr>
          <w:b/>
          <w:bCs/>
          <w:sz w:val="24"/>
          <w:szCs w:val="24"/>
        </w:rPr>
      </w:pPr>
    </w:p>
    <w:p w14:paraId="5CFE62BF" w14:textId="77777777" w:rsidR="002147DA" w:rsidRPr="00AE3A49" w:rsidRDefault="002147DA" w:rsidP="002147DA">
      <w:pPr>
        <w:pStyle w:val="NoSpacing"/>
        <w:rPr>
          <w:rFonts w:ascii="Times New Roman" w:hAnsi="Times New Roman"/>
          <w:b/>
          <w:bCs/>
          <w:sz w:val="24"/>
          <w:szCs w:val="24"/>
        </w:rPr>
      </w:pPr>
      <w:r w:rsidRPr="00AE3A49">
        <w:rPr>
          <w:rFonts w:ascii="Times New Roman" w:hAnsi="Times New Roman"/>
          <w:bCs/>
          <w:sz w:val="24"/>
          <w:szCs w:val="24"/>
        </w:rPr>
        <w:t xml:space="preserve">On </w:t>
      </w:r>
      <w:bookmarkStart w:id="298" w:name="_Hlk39833074"/>
      <w:r w:rsidRPr="00AE3A49">
        <w:rPr>
          <w:rFonts w:ascii="Times New Roman" w:hAnsi="Times New Roman"/>
          <w:bCs/>
          <w:sz w:val="24"/>
          <w:szCs w:val="24"/>
        </w:rPr>
        <w:t xml:space="preserve">April 1, 2020, in </w:t>
      </w:r>
      <w:r w:rsidRPr="00AE3A49">
        <w:rPr>
          <w:rFonts w:ascii="Times New Roman" w:hAnsi="Times New Roman"/>
          <w:bCs/>
          <w:sz w:val="24"/>
          <w:szCs w:val="24"/>
          <w:u w:val="single"/>
        </w:rPr>
        <w:t>Colleen Moore v. San Carlos Park Fire Protection &amp; Rescue</w:t>
      </w:r>
      <w:r w:rsidRPr="00AE3A49">
        <w:rPr>
          <w:rFonts w:ascii="Times New Roman" w:hAnsi="Times New Roman"/>
          <w:bCs/>
          <w:sz w:val="24"/>
          <w:szCs w:val="24"/>
        </w:rPr>
        <w:t xml:space="preserve">, </w:t>
      </w:r>
      <w:bookmarkEnd w:id="298"/>
      <w:r w:rsidRPr="00AE3A49">
        <w:rPr>
          <w:rFonts w:ascii="Times New Roman" w:hAnsi="Times New Roman"/>
          <w:bCs/>
          <w:sz w:val="24"/>
          <w:szCs w:val="24"/>
        </w:rPr>
        <w:t>the U.S. Court of Appeals for the 11</w:t>
      </w:r>
      <w:r w:rsidRPr="00AE3A49">
        <w:rPr>
          <w:rFonts w:ascii="Times New Roman" w:hAnsi="Times New Roman"/>
          <w:bCs/>
          <w:sz w:val="24"/>
          <w:szCs w:val="24"/>
          <w:vertAlign w:val="superscript"/>
        </w:rPr>
        <w:t>th</w:t>
      </w:r>
      <w:r w:rsidRPr="00AE3A49">
        <w:rPr>
          <w:rFonts w:ascii="Times New Roman" w:hAnsi="Times New Roman"/>
          <w:bCs/>
          <w:sz w:val="24"/>
          <w:szCs w:val="24"/>
        </w:rPr>
        <w:t xml:space="preserve"> District (Atlanta) held (3 to 0) in unpublished opinion that the trial court properly granted the FD’s motion to dismiss.  Moore resigned on November 5, 2013, after more than 20 years of service. </w:t>
      </w:r>
    </w:p>
    <w:p w14:paraId="261F219D" w14:textId="77777777" w:rsidR="002147DA" w:rsidRPr="00AE3A49" w:rsidRDefault="002147DA" w:rsidP="002147DA">
      <w:pPr>
        <w:pStyle w:val="NoSpacing"/>
        <w:rPr>
          <w:rFonts w:ascii="Times New Roman" w:hAnsi="Times New Roman"/>
          <w:b/>
          <w:bCs/>
          <w:sz w:val="24"/>
          <w:szCs w:val="24"/>
        </w:rPr>
      </w:pPr>
    </w:p>
    <w:p w14:paraId="135950EA" w14:textId="77777777" w:rsidR="002147DA" w:rsidRPr="00AE3A49" w:rsidRDefault="002147DA" w:rsidP="002147DA">
      <w:pPr>
        <w:pStyle w:val="NoSpacing"/>
        <w:ind w:left="720"/>
        <w:rPr>
          <w:rFonts w:ascii="Times New Roman" w:eastAsia="Times New Roman" w:hAnsi="Times New Roman"/>
          <w:b/>
          <w:bCs/>
          <w:sz w:val="24"/>
          <w:szCs w:val="24"/>
        </w:rPr>
      </w:pPr>
      <w:r w:rsidRPr="00AE3A49">
        <w:rPr>
          <w:rFonts w:ascii="Times New Roman" w:hAnsi="Times New Roman"/>
          <w:bCs/>
          <w:sz w:val="24"/>
          <w:szCs w:val="24"/>
        </w:rPr>
        <w:t xml:space="preserve">“While the complaint lists a series of discrete acts, it does not provide the dates of those acts or mention the supervisor responsible for any alleged acts. Similarly, her EEOC charge alleges Moore was harassed, called ‘the girl,’ and disciplined more severely than men, but does not provide any details supporting those allegations. Without connecting names or dates to each incident, we cannot determine who committed the acts or when they were committed. See Morgan, 536 U.S. at 120. Thus, Moore has not established that the three timely adverse acts are sufficiently related to any of the other </w:t>
      </w:r>
      <w:proofErr w:type="gramStart"/>
      <w:r w:rsidRPr="00AE3A49">
        <w:rPr>
          <w:rFonts w:ascii="Times New Roman" w:hAnsi="Times New Roman"/>
          <w:bCs/>
          <w:sz w:val="24"/>
          <w:szCs w:val="24"/>
        </w:rPr>
        <w:t>complained</w:t>
      </w:r>
      <w:proofErr w:type="gramEnd"/>
      <w:r w:rsidRPr="00AE3A49">
        <w:rPr>
          <w:rFonts w:ascii="Times New Roman" w:hAnsi="Times New Roman"/>
          <w:bCs/>
          <w:sz w:val="24"/>
          <w:szCs w:val="24"/>
        </w:rPr>
        <w:t xml:space="preserve"> of acts, such that they support the same hostile work environment claim. </w:t>
      </w:r>
      <w:bookmarkStart w:id="299" w:name="_Hlk39833092"/>
      <w:r w:rsidR="00374417">
        <w:fldChar w:fldCharType="begin"/>
      </w:r>
      <w:r w:rsidR="00374417">
        <w:instrText xml:space="preserve"> HYPERLINK "http://media.ca11.uscourts.gov/opinions/unpub/files/201910263.pdf" </w:instrText>
      </w:r>
      <w:r w:rsidR="00374417">
        <w:fldChar w:fldCharType="separate"/>
      </w:r>
      <w:r w:rsidRPr="00AE3A49">
        <w:rPr>
          <w:rStyle w:val="Hyperlink"/>
          <w:rFonts w:ascii="Times New Roman" w:hAnsi="Times New Roman"/>
          <w:b/>
          <w:sz w:val="24"/>
          <w:szCs w:val="24"/>
        </w:rPr>
        <w:t>http://media.ca11.uscourts.gov/opinions/unpub/files/201910263.pdf</w:t>
      </w:r>
      <w:r w:rsidR="00374417">
        <w:rPr>
          <w:rStyle w:val="Hyperlink"/>
          <w:rFonts w:ascii="Times New Roman" w:hAnsi="Times New Roman"/>
          <w:b/>
          <w:sz w:val="24"/>
          <w:szCs w:val="24"/>
        </w:rPr>
        <w:fldChar w:fldCharType="end"/>
      </w:r>
      <w:bookmarkEnd w:id="297"/>
      <w:r w:rsidRPr="00AE3A49">
        <w:rPr>
          <w:rFonts w:ascii="Times New Roman" w:hAnsi="Times New Roman"/>
          <w:bCs/>
          <w:sz w:val="24"/>
          <w:szCs w:val="24"/>
        </w:rPr>
        <w:t xml:space="preserve"> </w:t>
      </w:r>
    </w:p>
    <w:bookmarkEnd w:id="299"/>
    <w:p w14:paraId="2AEF925C" w14:textId="77777777" w:rsidR="002147DA" w:rsidRDefault="002147DA" w:rsidP="002147DA">
      <w:pPr>
        <w:pStyle w:val="NoSpacing"/>
        <w:rPr>
          <w:rFonts w:ascii="Times New Roman" w:hAnsi="Times New Roman"/>
          <w:b/>
          <w:bCs/>
          <w:sz w:val="24"/>
          <w:szCs w:val="24"/>
        </w:rPr>
      </w:pPr>
    </w:p>
    <w:p w14:paraId="1AA52516" w14:textId="1B83D0D7" w:rsidR="002147DA" w:rsidRPr="00AE3A49" w:rsidRDefault="002147DA" w:rsidP="002147DA">
      <w:pPr>
        <w:pStyle w:val="NoSpacing"/>
        <w:rPr>
          <w:rFonts w:ascii="Times New Roman" w:hAnsi="Times New Roman"/>
          <w:b/>
          <w:bCs/>
          <w:sz w:val="24"/>
          <w:szCs w:val="24"/>
        </w:rPr>
      </w:pPr>
      <w:r w:rsidRPr="00AE3A49">
        <w:rPr>
          <w:rFonts w:ascii="Times New Roman" w:hAnsi="Times New Roman"/>
          <w:b/>
          <w:bCs/>
          <w:sz w:val="24"/>
          <w:szCs w:val="24"/>
        </w:rPr>
        <w:t xml:space="preserve">Legal Lessons Learned: Fire &amp; EMS departments should have Employee Handbooks requiring employees to promptly file complaints in writing. </w:t>
      </w:r>
    </w:p>
    <w:p w14:paraId="4C8C8346" w14:textId="77777777" w:rsidR="002147DA" w:rsidRPr="00AE3A49" w:rsidRDefault="002147DA" w:rsidP="002147DA">
      <w:pPr>
        <w:pStyle w:val="NoSpacing"/>
        <w:rPr>
          <w:rFonts w:ascii="Times New Roman" w:hAnsi="Times New Roman"/>
          <w:b/>
          <w:bCs/>
          <w:sz w:val="24"/>
          <w:szCs w:val="24"/>
        </w:rPr>
      </w:pPr>
    </w:p>
    <w:p w14:paraId="4594FCCE" w14:textId="77777777" w:rsidR="002147DA" w:rsidRDefault="002147DA" w:rsidP="002147DA">
      <w:pPr>
        <w:pStyle w:val="NoSpacing"/>
        <w:rPr>
          <w:b/>
          <w:bCs/>
          <w:sz w:val="24"/>
          <w:szCs w:val="24"/>
        </w:rPr>
      </w:pPr>
    </w:p>
    <w:p w14:paraId="7FB345A5" w14:textId="77777777" w:rsidR="002147DA" w:rsidRDefault="002147DA" w:rsidP="002147DA">
      <w:pPr>
        <w:pStyle w:val="NoSpacing"/>
        <w:rPr>
          <w:b/>
          <w:bCs/>
          <w:sz w:val="24"/>
          <w:szCs w:val="24"/>
        </w:rPr>
      </w:pPr>
    </w:p>
    <w:p w14:paraId="442D5866" w14:textId="77777777" w:rsidR="002147DA" w:rsidRDefault="002147DA" w:rsidP="002B1283">
      <w:pPr>
        <w:rPr>
          <w:rFonts w:ascii="Arial Black" w:hAnsi="Arial Black"/>
          <w:b/>
          <w:sz w:val="24"/>
          <w:szCs w:val="24"/>
        </w:rPr>
      </w:pPr>
    </w:p>
    <w:p w14:paraId="1E8E684D" w14:textId="77777777" w:rsidR="002147DA" w:rsidRDefault="002147DA" w:rsidP="002B1283">
      <w:pPr>
        <w:rPr>
          <w:rFonts w:ascii="Arial Black" w:hAnsi="Arial Black"/>
          <w:b/>
          <w:sz w:val="24"/>
          <w:szCs w:val="24"/>
        </w:rPr>
      </w:pPr>
    </w:p>
    <w:p w14:paraId="775FA55D" w14:textId="4E4DED1E" w:rsidR="007540BD" w:rsidRDefault="007540BD" w:rsidP="002B1283">
      <w:pPr>
        <w:rPr>
          <w:rFonts w:ascii="Arial Black" w:hAnsi="Arial Black"/>
          <w:b/>
          <w:sz w:val="24"/>
          <w:szCs w:val="24"/>
        </w:rPr>
      </w:pPr>
      <w:r>
        <w:rPr>
          <w:rFonts w:ascii="Arial Black" w:hAnsi="Arial Black"/>
          <w:b/>
          <w:sz w:val="24"/>
          <w:szCs w:val="24"/>
        </w:rPr>
        <w:t>7-18</w:t>
      </w:r>
    </w:p>
    <w:p w14:paraId="1D8E021C" w14:textId="77777777" w:rsidR="007540BD" w:rsidRDefault="007540BD" w:rsidP="007540BD">
      <w:pPr>
        <w:pStyle w:val="NoSpacing"/>
        <w:rPr>
          <w:rFonts w:ascii="Arial Black" w:hAnsi="Arial Black"/>
          <w:sz w:val="28"/>
          <w:szCs w:val="28"/>
        </w:rPr>
      </w:pPr>
      <w:bookmarkStart w:id="300" w:name="_Hlk40510796"/>
      <w:r>
        <w:rPr>
          <w:rFonts w:ascii="Arial Black" w:hAnsi="Arial Black"/>
          <w:sz w:val="28"/>
          <w:szCs w:val="28"/>
        </w:rPr>
        <w:t>TX: “JANE DOE” LAWSUIT DISMISSED - FEMALE FF MUST IDENTIFY HERSELF IN NEW LAWSUIT – CITY, SEVERAL FF DROPPED FROM CASE</w:t>
      </w:r>
    </w:p>
    <w:p w14:paraId="6BF39C46" w14:textId="77777777" w:rsidR="007540BD" w:rsidRPr="00934109" w:rsidRDefault="007540BD" w:rsidP="007540BD">
      <w:pPr>
        <w:pStyle w:val="NoSpacing"/>
        <w:rPr>
          <w:rFonts w:ascii="Arial Black" w:hAnsi="Arial Black"/>
          <w:b/>
          <w:bCs/>
          <w:sz w:val="28"/>
          <w:szCs w:val="28"/>
        </w:rPr>
      </w:pPr>
    </w:p>
    <w:p w14:paraId="7BBF1ACB" w14:textId="77777777" w:rsidR="007540BD" w:rsidRPr="007C7258" w:rsidRDefault="007540BD" w:rsidP="007540BD">
      <w:pPr>
        <w:pStyle w:val="NoSpacing"/>
        <w:rPr>
          <w:rFonts w:ascii="Times New Roman" w:hAnsi="Times New Roman"/>
          <w:b/>
          <w:bCs/>
          <w:sz w:val="24"/>
          <w:szCs w:val="24"/>
        </w:rPr>
      </w:pPr>
      <w:r w:rsidRPr="007C7258">
        <w:rPr>
          <w:rFonts w:ascii="Times New Roman" w:hAnsi="Times New Roman"/>
          <w:bCs/>
          <w:sz w:val="24"/>
          <w:szCs w:val="24"/>
        </w:rPr>
        <w:t xml:space="preserve">On March 10, 2020, in </w:t>
      </w:r>
      <w:r w:rsidRPr="007C7258">
        <w:rPr>
          <w:rFonts w:ascii="Times New Roman" w:hAnsi="Times New Roman"/>
          <w:bCs/>
          <w:sz w:val="24"/>
          <w:szCs w:val="24"/>
          <w:u w:val="single"/>
        </w:rPr>
        <w:t>Female Firefighter Jane Doe v. Fort Worth, Texas, et al.</w:t>
      </w:r>
      <w:r w:rsidRPr="007C7258">
        <w:rPr>
          <w:rFonts w:ascii="Times New Roman" w:hAnsi="Times New Roman"/>
          <w:bCs/>
          <w:sz w:val="24"/>
          <w:szCs w:val="24"/>
        </w:rPr>
        <w:t xml:space="preserve">, U.S. District Court Judge John McBryde, U.S. District Court for Northern District of Texas, Fort Worth Division, ordered that Plaintiff re-file her lawsuit and identify herself.  Only one firefighter remains in the case, since 2-year statute of limitations has run on all her other claims.  The </w:t>
      </w:r>
      <w:proofErr w:type="gramStart"/>
      <w:r w:rsidRPr="007C7258">
        <w:rPr>
          <w:rFonts w:ascii="Times New Roman" w:hAnsi="Times New Roman"/>
          <w:bCs/>
          <w:sz w:val="24"/>
          <w:szCs w:val="24"/>
        </w:rPr>
        <w:t>City</w:t>
      </w:r>
      <w:proofErr w:type="gramEnd"/>
      <w:r w:rsidRPr="007C7258">
        <w:rPr>
          <w:rFonts w:ascii="Times New Roman" w:hAnsi="Times New Roman"/>
          <w:bCs/>
          <w:sz w:val="24"/>
          <w:szCs w:val="24"/>
        </w:rPr>
        <w:t xml:space="preserve"> is also dismissed from the case. </w:t>
      </w:r>
    </w:p>
    <w:bookmarkEnd w:id="300"/>
    <w:p w14:paraId="6D73D734" w14:textId="77777777" w:rsidR="007540BD" w:rsidRPr="007C7258" w:rsidRDefault="007540BD" w:rsidP="007540BD">
      <w:pPr>
        <w:pStyle w:val="NoSpacing"/>
        <w:rPr>
          <w:rFonts w:ascii="Times New Roman" w:hAnsi="Times New Roman"/>
          <w:b/>
          <w:bCs/>
          <w:sz w:val="24"/>
          <w:szCs w:val="24"/>
        </w:rPr>
      </w:pPr>
    </w:p>
    <w:p w14:paraId="1013D0AB" w14:textId="77777777" w:rsidR="007540BD" w:rsidRPr="007C7258" w:rsidRDefault="007540BD" w:rsidP="007540BD">
      <w:pPr>
        <w:pStyle w:val="NoSpacing"/>
        <w:ind w:left="720"/>
        <w:rPr>
          <w:rFonts w:ascii="Times New Roman" w:hAnsi="Times New Roman"/>
          <w:b/>
          <w:bCs/>
          <w:sz w:val="24"/>
          <w:szCs w:val="24"/>
        </w:rPr>
      </w:pPr>
      <w:r w:rsidRPr="007C7258">
        <w:rPr>
          <w:rFonts w:ascii="Times New Roman" w:hAnsi="Times New Roman"/>
          <w:bCs/>
          <w:sz w:val="24"/>
          <w:szCs w:val="24"/>
        </w:rPr>
        <w:t xml:space="preserve">“The law is clear that a plaintiff should only be allowed to proceed anonymously in rare and exceptional cases. Doe v. Stegall, </w:t>
      </w:r>
      <w:hyperlink r:id="rId1451" w:history="1">
        <w:r w:rsidRPr="007C7258">
          <w:rPr>
            <w:rStyle w:val="Hyperlink"/>
            <w:rFonts w:ascii="Times New Roman" w:hAnsi="Times New Roman"/>
            <w:b/>
            <w:sz w:val="24"/>
            <w:szCs w:val="24"/>
          </w:rPr>
          <w:t>653 F.2d 180</w:t>
        </w:r>
      </w:hyperlink>
      <w:r w:rsidRPr="007C7258">
        <w:rPr>
          <w:rFonts w:ascii="Times New Roman" w:hAnsi="Times New Roman"/>
          <w:bCs/>
          <w:sz w:val="24"/>
          <w:szCs w:val="24"/>
        </w:rPr>
        <w:t xml:space="preserve"> (5th Cir. Unit A 1981); Southern Methodist Univ. v. Wynn &amp; Jaffe, </w:t>
      </w:r>
      <w:hyperlink r:id="rId1452" w:history="1">
        <w:r w:rsidRPr="007C7258">
          <w:rPr>
            <w:rStyle w:val="Hyperlink"/>
            <w:rFonts w:ascii="Times New Roman" w:hAnsi="Times New Roman"/>
            <w:b/>
            <w:sz w:val="24"/>
            <w:szCs w:val="24"/>
          </w:rPr>
          <w:t>599 F.2d 707</w:t>
        </w:r>
      </w:hyperlink>
      <w:r w:rsidRPr="007C7258">
        <w:rPr>
          <w:rFonts w:ascii="Times New Roman" w:hAnsi="Times New Roman"/>
          <w:bCs/>
          <w:sz w:val="24"/>
          <w:szCs w:val="24"/>
        </w:rPr>
        <w:t xml:space="preserve"> (5th Cir. 1979). Plaintiff has made no attempt to show that this is such a case, probably because she cannot make the required showing. That plaintiff might suffer personal embarrassment is not enough. Doe v. Frank, </w:t>
      </w:r>
      <w:hyperlink r:id="rId1453" w:history="1">
        <w:r w:rsidRPr="007C7258">
          <w:rPr>
            <w:rStyle w:val="Hyperlink"/>
            <w:rFonts w:ascii="Times New Roman" w:hAnsi="Times New Roman"/>
            <w:b/>
            <w:sz w:val="24"/>
            <w:szCs w:val="24"/>
          </w:rPr>
          <w:t>951 F.2d 320</w:t>
        </w:r>
      </w:hyperlink>
      <w:r w:rsidRPr="007C7258">
        <w:rPr>
          <w:rFonts w:ascii="Times New Roman" w:hAnsi="Times New Roman"/>
          <w:bCs/>
          <w:sz w:val="24"/>
          <w:szCs w:val="24"/>
        </w:rPr>
        <w:t>, 324 (11th Cir. 1992). "Indeed, many courts faced with a request by a victim of sexual assault or harassment seeking to pursue a civil action for monetary damages under a pseudonym have concluded that the plaintiff was not entitled to proceed anonymously." Doe ex rel. Doe v. Harris, No. 14-0802, 2014 WL 4207599, at *2 W.D. La. Aug. 25, 2014) (citing cases). Accordingly, the court will require plaintiff to identify herself. Fed. R. Civ. P. 10(a).</w:t>
      </w:r>
    </w:p>
    <w:p w14:paraId="6338DD73" w14:textId="77777777" w:rsidR="007540BD" w:rsidRPr="007C7258" w:rsidRDefault="007540BD" w:rsidP="007540BD">
      <w:pPr>
        <w:pStyle w:val="NoSpacing"/>
        <w:ind w:left="720"/>
        <w:rPr>
          <w:rFonts w:ascii="Times New Roman" w:hAnsi="Times New Roman"/>
          <w:b/>
          <w:bCs/>
          <w:sz w:val="24"/>
          <w:szCs w:val="24"/>
        </w:rPr>
      </w:pPr>
    </w:p>
    <w:p w14:paraId="179480DD" w14:textId="77777777" w:rsidR="007540BD" w:rsidRPr="007C7258" w:rsidRDefault="007540BD" w:rsidP="007540BD">
      <w:pPr>
        <w:pStyle w:val="NoSpacing"/>
        <w:ind w:left="720"/>
        <w:rPr>
          <w:rFonts w:ascii="Times New Roman" w:hAnsi="Times New Roman"/>
          <w:b/>
          <w:bCs/>
          <w:sz w:val="24"/>
          <w:szCs w:val="24"/>
        </w:rPr>
      </w:pPr>
      <w:r w:rsidRPr="007C7258">
        <w:rPr>
          <w:rFonts w:ascii="Times New Roman" w:hAnsi="Times New Roman"/>
          <w:bCs/>
          <w:sz w:val="24"/>
          <w:szCs w:val="24"/>
        </w:rPr>
        <w:t>***</w:t>
      </w:r>
    </w:p>
    <w:p w14:paraId="372049F8" w14:textId="77777777" w:rsidR="007540BD" w:rsidRPr="007C7258" w:rsidRDefault="007540BD" w:rsidP="007540BD">
      <w:pPr>
        <w:ind w:left="720"/>
        <w:rPr>
          <w:rFonts w:ascii="Times New Roman" w:hAnsi="Times New Roman"/>
          <w:b/>
          <w:bCs/>
          <w:sz w:val="24"/>
          <w:szCs w:val="24"/>
        </w:rPr>
      </w:pPr>
      <w:r w:rsidRPr="007C7258">
        <w:rPr>
          <w:rFonts w:ascii="Times New Roman" w:hAnsi="Times New Roman"/>
          <w:bCs/>
          <w:sz w:val="24"/>
          <w:szCs w:val="24"/>
        </w:rPr>
        <w:lastRenderedPageBreak/>
        <w:t xml:space="preserve">If, as plaintiff contends, she was raped by her co-workers, that was not the result of an intentional choice of City not to provide proper training, especially where plaintiff does not allege that City was ever informed that lack of training was causing its male firefighters to engage in criminal conduct.” </w:t>
      </w:r>
      <w:bookmarkStart w:id="301" w:name="_Hlk40510857"/>
      <w:r w:rsidR="009B50E8">
        <w:fldChar w:fldCharType="begin"/>
      </w:r>
      <w:r w:rsidR="009B50E8">
        <w:instrText xml:space="preserve"> HYPERLINK "https://www.leagle.com/decision/infdco20200316488" </w:instrText>
      </w:r>
      <w:r w:rsidR="009B50E8">
        <w:fldChar w:fldCharType="separate"/>
      </w:r>
      <w:r w:rsidRPr="007C7258">
        <w:rPr>
          <w:rStyle w:val="Hyperlink"/>
          <w:rFonts w:ascii="Times New Roman" w:hAnsi="Times New Roman"/>
          <w:sz w:val="24"/>
          <w:szCs w:val="24"/>
        </w:rPr>
        <w:t>https://www.leagle.com/decision/infdco20200316488</w:t>
      </w:r>
      <w:r w:rsidR="009B50E8">
        <w:rPr>
          <w:rStyle w:val="Hyperlink"/>
          <w:rFonts w:ascii="Times New Roman" w:hAnsi="Times New Roman"/>
          <w:sz w:val="24"/>
          <w:szCs w:val="24"/>
        </w:rPr>
        <w:fldChar w:fldCharType="end"/>
      </w:r>
      <w:r w:rsidRPr="007C7258">
        <w:rPr>
          <w:rFonts w:ascii="Times New Roman" w:hAnsi="Times New Roman"/>
          <w:bCs/>
          <w:sz w:val="24"/>
          <w:szCs w:val="24"/>
        </w:rPr>
        <w:t xml:space="preserve"> </w:t>
      </w:r>
    </w:p>
    <w:p w14:paraId="7D73B159" w14:textId="77777777" w:rsidR="007540BD" w:rsidRPr="007C7258" w:rsidRDefault="007540BD" w:rsidP="007540BD">
      <w:pPr>
        <w:spacing w:before="100" w:beforeAutospacing="1" w:after="100" w:afterAutospacing="1" w:line="240" w:lineRule="auto"/>
        <w:rPr>
          <w:rFonts w:ascii="Times New Roman" w:hAnsi="Times New Roman"/>
          <w:b/>
          <w:bCs/>
          <w:sz w:val="24"/>
          <w:szCs w:val="24"/>
        </w:rPr>
      </w:pPr>
      <w:bookmarkStart w:id="302" w:name="_Hlk40510884"/>
      <w:bookmarkEnd w:id="301"/>
      <w:r w:rsidRPr="007C7258">
        <w:rPr>
          <w:rFonts w:ascii="Times New Roman" w:eastAsia="Times New Roman" w:hAnsi="Times New Roman"/>
          <w:b/>
          <w:bCs/>
          <w:sz w:val="24"/>
          <w:szCs w:val="24"/>
        </w:rPr>
        <w:t xml:space="preserve">Legal Lessons Learned: </w:t>
      </w:r>
      <w:r>
        <w:rPr>
          <w:rFonts w:ascii="Times New Roman" w:eastAsia="Times New Roman" w:hAnsi="Times New Roman"/>
          <w:b/>
          <w:bCs/>
          <w:sz w:val="24"/>
          <w:szCs w:val="24"/>
        </w:rPr>
        <w:t xml:space="preserve">A </w:t>
      </w:r>
      <w:r w:rsidRPr="007C7258">
        <w:rPr>
          <w:rFonts w:ascii="Times New Roman" w:hAnsi="Times New Roman"/>
          <w:b/>
          <w:bCs/>
          <w:sz w:val="24"/>
          <w:szCs w:val="24"/>
        </w:rPr>
        <w:t xml:space="preserve">plaintiff should only be allowed to proceed anonymously in rare and exceptional cases.  </w:t>
      </w:r>
      <w:bookmarkEnd w:id="302"/>
      <w:r w:rsidRPr="007C7258">
        <w:rPr>
          <w:rFonts w:ascii="Times New Roman" w:hAnsi="Times New Roman"/>
          <w:b/>
          <w:bCs/>
          <w:sz w:val="24"/>
          <w:szCs w:val="24"/>
        </w:rPr>
        <w:t>[I have deleted names of the defendants in this case, since Plaintiff hasn’t identified herself.]</w:t>
      </w:r>
    </w:p>
    <w:p w14:paraId="1F9E78D3" w14:textId="204C1D1C" w:rsidR="007540BD" w:rsidRDefault="007540BD" w:rsidP="002B1283">
      <w:pPr>
        <w:rPr>
          <w:rFonts w:ascii="Arial Black" w:hAnsi="Arial Black"/>
          <w:b/>
          <w:sz w:val="24"/>
          <w:szCs w:val="24"/>
        </w:rPr>
      </w:pPr>
    </w:p>
    <w:p w14:paraId="23058EB8" w14:textId="2C71341B" w:rsidR="007540BD" w:rsidRDefault="007540BD" w:rsidP="002B1283">
      <w:pPr>
        <w:rPr>
          <w:rFonts w:ascii="Arial Black" w:hAnsi="Arial Black"/>
          <w:b/>
          <w:sz w:val="24"/>
          <w:szCs w:val="24"/>
        </w:rPr>
      </w:pPr>
      <w:r>
        <w:rPr>
          <w:rFonts w:ascii="Arial Black" w:hAnsi="Arial Black"/>
          <w:b/>
          <w:sz w:val="24"/>
          <w:szCs w:val="24"/>
        </w:rPr>
        <w:t>7-17</w:t>
      </w:r>
    </w:p>
    <w:p w14:paraId="35D1DF62" w14:textId="77777777" w:rsidR="007540BD" w:rsidRPr="00BA763B" w:rsidRDefault="007540BD" w:rsidP="007540BD">
      <w:pPr>
        <w:pStyle w:val="NoSpacing"/>
        <w:rPr>
          <w:rFonts w:ascii="Arial Black" w:hAnsi="Arial Black"/>
          <w:sz w:val="28"/>
          <w:szCs w:val="28"/>
        </w:rPr>
      </w:pPr>
      <w:r>
        <w:rPr>
          <w:rFonts w:ascii="Arial Black" w:hAnsi="Arial Black"/>
          <w:sz w:val="28"/>
          <w:szCs w:val="28"/>
        </w:rPr>
        <w:t xml:space="preserve">IL:  JOKES ABOUT FF BEING “GAY” [HE IS NOT] – CASE DISMISSED – 3 OCCASIONS - NOT AN “OBJECTIVELY” HOSTILE WORK ENVIRONMENT </w:t>
      </w:r>
    </w:p>
    <w:p w14:paraId="4F738B51" w14:textId="77777777" w:rsidR="007540BD" w:rsidRDefault="007540BD" w:rsidP="007540BD">
      <w:pPr>
        <w:pStyle w:val="NoSpacing"/>
      </w:pPr>
    </w:p>
    <w:p w14:paraId="1EB47EAA" w14:textId="77777777" w:rsidR="007540BD" w:rsidRPr="007C7258" w:rsidRDefault="007540BD" w:rsidP="007540BD">
      <w:pPr>
        <w:pStyle w:val="NoSpacing"/>
        <w:rPr>
          <w:rFonts w:ascii="Times New Roman" w:hAnsi="Times New Roman"/>
          <w:b/>
          <w:bCs/>
          <w:sz w:val="24"/>
          <w:szCs w:val="24"/>
        </w:rPr>
      </w:pPr>
      <w:r w:rsidRPr="007C7258">
        <w:rPr>
          <w:rFonts w:ascii="Times New Roman" w:hAnsi="Times New Roman"/>
          <w:bCs/>
          <w:sz w:val="24"/>
          <w:szCs w:val="24"/>
        </w:rPr>
        <w:t xml:space="preserve">On March 9, 2020, in </w:t>
      </w:r>
      <w:r w:rsidRPr="007C7258">
        <w:rPr>
          <w:rFonts w:ascii="Times New Roman" w:hAnsi="Times New Roman"/>
          <w:bCs/>
          <w:sz w:val="24"/>
          <w:szCs w:val="24"/>
          <w:u w:val="single"/>
        </w:rPr>
        <w:t>Justine Bakker v. Mokena Fire Protection District</w:t>
      </w:r>
      <w:r w:rsidRPr="007C7258">
        <w:rPr>
          <w:rFonts w:ascii="Times New Roman" w:hAnsi="Times New Roman"/>
          <w:bCs/>
          <w:sz w:val="24"/>
          <w:szCs w:val="24"/>
        </w:rPr>
        <w:t xml:space="preserve">, U.S. District Court Judge Harry D. </w:t>
      </w:r>
      <w:proofErr w:type="spellStart"/>
      <w:r w:rsidRPr="007C7258">
        <w:rPr>
          <w:rFonts w:ascii="Times New Roman" w:hAnsi="Times New Roman"/>
          <w:bCs/>
          <w:sz w:val="24"/>
          <w:szCs w:val="24"/>
        </w:rPr>
        <w:t>Leinenweber</w:t>
      </w:r>
      <w:proofErr w:type="spellEnd"/>
      <w:r w:rsidRPr="007C7258">
        <w:rPr>
          <w:rFonts w:ascii="Times New Roman" w:hAnsi="Times New Roman"/>
          <w:bCs/>
          <w:sz w:val="24"/>
          <w:szCs w:val="24"/>
        </w:rPr>
        <w:t xml:space="preserve">, U.S. District Court for Northern District of Illinois, Eastern Division, granted the FD’s motion to dismiss. </w:t>
      </w:r>
    </w:p>
    <w:p w14:paraId="0D6C0A3D" w14:textId="77777777" w:rsidR="007540BD" w:rsidRPr="007C7258" w:rsidRDefault="007540BD" w:rsidP="007540BD">
      <w:pPr>
        <w:pStyle w:val="NoSpacing"/>
        <w:rPr>
          <w:rFonts w:ascii="Times New Roman" w:hAnsi="Times New Roman"/>
          <w:b/>
          <w:bCs/>
          <w:sz w:val="24"/>
          <w:szCs w:val="24"/>
        </w:rPr>
      </w:pPr>
    </w:p>
    <w:p w14:paraId="765ECF6A" w14:textId="082D58B0" w:rsidR="007540BD" w:rsidRDefault="007540BD" w:rsidP="007540BD">
      <w:pPr>
        <w:pStyle w:val="NoSpacing"/>
        <w:ind w:left="720"/>
        <w:rPr>
          <w:rFonts w:ascii="Times New Roman" w:hAnsi="Times New Roman"/>
          <w:bCs/>
          <w:sz w:val="24"/>
          <w:szCs w:val="24"/>
        </w:rPr>
      </w:pPr>
      <w:r w:rsidRPr="007C7258">
        <w:rPr>
          <w:rFonts w:ascii="Times New Roman" w:hAnsi="Times New Roman"/>
          <w:bCs/>
          <w:sz w:val="24"/>
          <w:szCs w:val="24"/>
        </w:rPr>
        <w:t xml:space="preserve">The Seventh Circuit set a high bar to establish an objectively hostile work environment. Courts ‘assume employees are generally mature individuals with the thick skin that comes from living in the modern world.’ </w:t>
      </w:r>
    </w:p>
    <w:p w14:paraId="2E480A06" w14:textId="77777777" w:rsidR="007540BD" w:rsidRPr="007C7258" w:rsidRDefault="007540BD" w:rsidP="007540BD">
      <w:pPr>
        <w:pStyle w:val="NoSpacing"/>
        <w:ind w:left="720"/>
        <w:rPr>
          <w:rFonts w:ascii="Times New Roman" w:hAnsi="Times New Roman"/>
          <w:b/>
          <w:bCs/>
          <w:i/>
          <w:iCs/>
          <w:sz w:val="24"/>
          <w:szCs w:val="24"/>
        </w:rPr>
      </w:pPr>
      <w:proofErr w:type="spellStart"/>
      <w:proofErr w:type="gramStart"/>
      <w:r w:rsidRPr="007C7258">
        <w:rPr>
          <w:rFonts w:ascii="Times New Roman" w:hAnsi="Times New Roman"/>
          <w:bCs/>
          <w:i/>
          <w:iCs/>
          <w:sz w:val="24"/>
          <w:szCs w:val="24"/>
        </w:rPr>
        <w:t>Swyear</w:t>
      </w:r>
      <w:proofErr w:type="spellEnd"/>
      <w:proofErr w:type="gramEnd"/>
      <w:r w:rsidRPr="007C7258">
        <w:rPr>
          <w:rFonts w:ascii="Times New Roman" w:hAnsi="Times New Roman"/>
          <w:bCs/>
          <w:sz w:val="24"/>
          <w:szCs w:val="24"/>
        </w:rPr>
        <w:t xml:space="preserve">, 911 F.3d at 881. Employers ‘generally do not face liability for off-color comments, isolated incidents, teasing, and other unpleasantries that are, unfortunately, not uncommon in the workplace.’ </w:t>
      </w:r>
      <w:r w:rsidRPr="007C7258">
        <w:rPr>
          <w:rFonts w:ascii="Times New Roman" w:hAnsi="Times New Roman"/>
          <w:bCs/>
          <w:i/>
          <w:iCs/>
          <w:sz w:val="24"/>
          <w:szCs w:val="24"/>
        </w:rPr>
        <w:t>Id</w:t>
      </w:r>
      <w:r w:rsidRPr="007C7258">
        <w:rPr>
          <w:rFonts w:ascii="Times New Roman" w:hAnsi="Times New Roman"/>
          <w:bCs/>
          <w:sz w:val="24"/>
          <w:szCs w:val="24"/>
        </w:rPr>
        <w:t xml:space="preserve">. Jokes that are ‘crude’ and ‘immature’ do not create employer liability, even though the jokes are ‘boorish,’ inappropriate, and in poor taste. </w:t>
      </w:r>
    </w:p>
    <w:p w14:paraId="1CB54D0B" w14:textId="77777777" w:rsidR="007540BD" w:rsidRPr="007C7258" w:rsidRDefault="007540BD" w:rsidP="007540BD">
      <w:pPr>
        <w:pStyle w:val="NoSpacing"/>
        <w:ind w:left="720"/>
        <w:rPr>
          <w:rFonts w:ascii="Times New Roman" w:hAnsi="Times New Roman"/>
          <w:b/>
          <w:bCs/>
          <w:sz w:val="24"/>
          <w:szCs w:val="24"/>
        </w:rPr>
      </w:pPr>
    </w:p>
    <w:p w14:paraId="72594FB2" w14:textId="77777777" w:rsidR="007540BD" w:rsidRPr="007C7258" w:rsidRDefault="007540BD" w:rsidP="007540BD">
      <w:pPr>
        <w:pStyle w:val="NoSpacing"/>
        <w:ind w:firstLine="720"/>
        <w:rPr>
          <w:rFonts w:ascii="Times New Roman" w:hAnsi="Times New Roman"/>
          <w:b/>
          <w:bCs/>
          <w:sz w:val="24"/>
          <w:szCs w:val="24"/>
        </w:rPr>
      </w:pPr>
      <w:r w:rsidRPr="007C7258">
        <w:rPr>
          <w:rFonts w:ascii="Times New Roman" w:hAnsi="Times New Roman"/>
          <w:bCs/>
          <w:sz w:val="24"/>
          <w:szCs w:val="24"/>
        </w:rPr>
        <w:t>***</w:t>
      </w:r>
    </w:p>
    <w:p w14:paraId="67536269" w14:textId="77777777" w:rsidR="007540BD" w:rsidRPr="007C7258" w:rsidRDefault="007540BD" w:rsidP="007540BD">
      <w:pPr>
        <w:pStyle w:val="NoSpacing"/>
        <w:ind w:left="720"/>
        <w:rPr>
          <w:rFonts w:ascii="Times New Roman" w:hAnsi="Times New Roman"/>
          <w:b/>
          <w:bCs/>
          <w:sz w:val="24"/>
          <w:szCs w:val="24"/>
        </w:rPr>
      </w:pPr>
      <w:r w:rsidRPr="007C7258">
        <w:rPr>
          <w:rFonts w:ascii="Times New Roman" w:hAnsi="Times New Roman"/>
          <w:bCs/>
          <w:sz w:val="24"/>
          <w:szCs w:val="24"/>
        </w:rPr>
        <w:t xml:space="preserve">The set of facts stated in Bakker's Complaint provides no possible path to employer liability. Accordingly, </w:t>
      </w:r>
      <w:proofErr w:type="gramStart"/>
      <w:r w:rsidRPr="007C7258">
        <w:rPr>
          <w:rFonts w:ascii="Times New Roman" w:hAnsi="Times New Roman"/>
          <w:bCs/>
          <w:sz w:val="24"/>
          <w:szCs w:val="24"/>
        </w:rPr>
        <w:t>the Title</w:t>
      </w:r>
      <w:proofErr w:type="gramEnd"/>
      <w:r w:rsidRPr="007C7258">
        <w:rPr>
          <w:rFonts w:ascii="Times New Roman" w:hAnsi="Times New Roman"/>
          <w:bCs/>
          <w:sz w:val="24"/>
          <w:szCs w:val="24"/>
        </w:rPr>
        <w:t xml:space="preserve"> VII claim must fail. Further, because the December 2015 and July 2018 incidents are time-barred and because the August 2018 incident alone cannot establish liability, the Title VII claims must be dismissed with prejudice.”</w:t>
      </w:r>
    </w:p>
    <w:p w14:paraId="04F35501" w14:textId="77777777" w:rsidR="007540BD" w:rsidRPr="007C7258" w:rsidRDefault="007540BD" w:rsidP="007540BD">
      <w:pPr>
        <w:pStyle w:val="NoSpacing"/>
        <w:ind w:left="720"/>
        <w:rPr>
          <w:rFonts w:ascii="Times New Roman" w:hAnsi="Times New Roman"/>
          <w:b/>
          <w:bCs/>
          <w:sz w:val="24"/>
          <w:szCs w:val="24"/>
        </w:rPr>
      </w:pPr>
      <w:hyperlink r:id="rId1454" w:history="1">
        <w:r w:rsidRPr="007C7258">
          <w:rPr>
            <w:rStyle w:val="Hyperlink"/>
            <w:rFonts w:ascii="Times New Roman" w:hAnsi="Times New Roman"/>
            <w:b/>
            <w:sz w:val="24"/>
            <w:szCs w:val="24"/>
          </w:rPr>
          <w:t>https://public.fastcase.com/Wl%2B2t%2BeVuI35%2FN70vAMFZpwObr9UCo7RpBGKfgPOWwVQBI%2BjVLV%2FylH6ScWLGBY%2F</w:t>
        </w:r>
      </w:hyperlink>
      <w:r w:rsidRPr="007C7258">
        <w:rPr>
          <w:rFonts w:ascii="Times New Roman" w:hAnsi="Times New Roman"/>
          <w:bCs/>
          <w:sz w:val="24"/>
          <w:szCs w:val="24"/>
        </w:rPr>
        <w:t xml:space="preserve"> </w:t>
      </w:r>
    </w:p>
    <w:p w14:paraId="0610A856" w14:textId="77777777" w:rsidR="007540BD" w:rsidRPr="007C7258" w:rsidRDefault="007540BD" w:rsidP="007540BD">
      <w:pPr>
        <w:pStyle w:val="NoSpacing"/>
        <w:ind w:left="720"/>
        <w:rPr>
          <w:rFonts w:ascii="Times New Roman" w:hAnsi="Times New Roman"/>
          <w:b/>
          <w:bCs/>
          <w:sz w:val="24"/>
          <w:szCs w:val="24"/>
        </w:rPr>
      </w:pPr>
    </w:p>
    <w:p w14:paraId="6B0C77B7" w14:textId="77777777" w:rsidR="007540BD" w:rsidRPr="007C7258" w:rsidRDefault="007540BD" w:rsidP="007540BD">
      <w:pPr>
        <w:pStyle w:val="NoSpacing"/>
        <w:tabs>
          <w:tab w:val="left" w:pos="3010"/>
        </w:tabs>
        <w:rPr>
          <w:rFonts w:ascii="Times New Roman" w:eastAsia="Times New Roman" w:hAnsi="Times New Roman"/>
          <w:b/>
          <w:bCs/>
          <w:sz w:val="24"/>
          <w:szCs w:val="24"/>
        </w:rPr>
      </w:pPr>
      <w:r w:rsidRPr="007C7258">
        <w:rPr>
          <w:rFonts w:ascii="Times New Roman" w:hAnsi="Times New Roman"/>
          <w:b/>
          <w:bCs/>
          <w:sz w:val="24"/>
          <w:szCs w:val="24"/>
        </w:rPr>
        <w:t xml:space="preserve">Legal Lessons Learned: It’s great to have fun on duty; </w:t>
      </w:r>
      <w:r>
        <w:rPr>
          <w:rFonts w:ascii="Times New Roman" w:hAnsi="Times New Roman"/>
          <w:b/>
          <w:bCs/>
          <w:sz w:val="24"/>
          <w:szCs w:val="24"/>
        </w:rPr>
        <w:t xml:space="preserve">but jokes about sexual orientation are not appropriate. </w:t>
      </w:r>
      <w:r w:rsidRPr="007C7258">
        <w:rPr>
          <w:rFonts w:ascii="Times New Roman" w:hAnsi="Times New Roman"/>
          <w:b/>
          <w:bCs/>
          <w:sz w:val="24"/>
          <w:szCs w:val="24"/>
        </w:rPr>
        <w:t xml:space="preserve">  </w:t>
      </w:r>
    </w:p>
    <w:p w14:paraId="58598D15" w14:textId="77777777" w:rsidR="007540BD" w:rsidRPr="007C7258" w:rsidRDefault="007540BD" w:rsidP="007540BD">
      <w:pPr>
        <w:spacing w:before="100" w:beforeAutospacing="1" w:after="100" w:afterAutospacing="1" w:line="240" w:lineRule="auto"/>
        <w:ind w:left="720"/>
        <w:rPr>
          <w:rFonts w:ascii="Times New Roman" w:eastAsia="Times New Roman" w:hAnsi="Times New Roman"/>
          <w:sz w:val="24"/>
          <w:szCs w:val="24"/>
        </w:rPr>
      </w:pPr>
    </w:p>
    <w:p w14:paraId="0DE8C4C8" w14:textId="77777777" w:rsidR="007540BD" w:rsidRDefault="007540BD" w:rsidP="002B1283">
      <w:pPr>
        <w:rPr>
          <w:rFonts w:ascii="Arial Black" w:hAnsi="Arial Black"/>
          <w:b/>
          <w:sz w:val="24"/>
          <w:szCs w:val="24"/>
        </w:rPr>
      </w:pPr>
    </w:p>
    <w:p w14:paraId="63C40E13" w14:textId="77777777" w:rsidR="007540BD" w:rsidRDefault="007540BD" w:rsidP="002B1283">
      <w:pPr>
        <w:rPr>
          <w:rFonts w:ascii="Arial Black" w:hAnsi="Arial Black"/>
          <w:b/>
          <w:sz w:val="24"/>
          <w:szCs w:val="24"/>
        </w:rPr>
      </w:pPr>
    </w:p>
    <w:p w14:paraId="298F5E61" w14:textId="2B57D646" w:rsidR="00997329" w:rsidRDefault="00997329" w:rsidP="002B1283">
      <w:pPr>
        <w:rPr>
          <w:rFonts w:ascii="Arial Black" w:hAnsi="Arial Black"/>
          <w:b/>
          <w:sz w:val="24"/>
          <w:szCs w:val="24"/>
        </w:rPr>
      </w:pPr>
      <w:r>
        <w:rPr>
          <w:rFonts w:ascii="Arial Black" w:hAnsi="Arial Black"/>
          <w:b/>
          <w:sz w:val="24"/>
          <w:szCs w:val="24"/>
        </w:rPr>
        <w:t>7-16</w:t>
      </w:r>
    </w:p>
    <w:p w14:paraId="0329E2ED" w14:textId="77777777" w:rsidR="00997329" w:rsidRDefault="00997329" w:rsidP="00997329">
      <w:pPr>
        <w:pStyle w:val="NoSpacing"/>
        <w:rPr>
          <w:rFonts w:ascii="Arial Black" w:hAnsi="Arial Black"/>
          <w:sz w:val="28"/>
          <w:szCs w:val="28"/>
        </w:rPr>
      </w:pPr>
      <w:r w:rsidRPr="00855FB3">
        <w:rPr>
          <w:rFonts w:ascii="Arial Black" w:hAnsi="Arial Black"/>
          <w:sz w:val="28"/>
          <w:szCs w:val="28"/>
        </w:rPr>
        <w:lastRenderedPageBreak/>
        <w:t xml:space="preserve">PA: </w:t>
      </w:r>
      <w:r>
        <w:rPr>
          <w:rFonts w:ascii="Arial Black" w:hAnsi="Arial Black"/>
          <w:sz w:val="28"/>
          <w:szCs w:val="28"/>
        </w:rPr>
        <w:t xml:space="preserve">PREGNANT MEDIC – SUPERVISOR COMMENTS – MAY SOON “HATCH” - NOT HOSTILE WORKPLACE – SHE WAS SUSPENDED FOR CAUSE </w:t>
      </w:r>
    </w:p>
    <w:p w14:paraId="33762621" w14:textId="77777777" w:rsidR="00BF4DDE" w:rsidRDefault="00BF4DDE" w:rsidP="00997329">
      <w:pPr>
        <w:pStyle w:val="NoSpacing"/>
        <w:rPr>
          <w:rFonts w:ascii="Arial Black" w:hAnsi="Arial Black"/>
          <w:sz w:val="28"/>
          <w:szCs w:val="28"/>
        </w:rPr>
      </w:pPr>
    </w:p>
    <w:p w14:paraId="267F6941" w14:textId="055BF296" w:rsidR="00997329" w:rsidRPr="00465FB3" w:rsidRDefault="00997329" w:rsidP="00997329">
      <w:pPr>
        <w:pStyle w:val="NoSpacing"/>
        <w:rPr>
          <w:rFonts w:ascii="Times New Roman" w:hAnsi="Times New Roman"/>
          <w:b/>
          <w:bCs/>
          <w:sz w:val="24"/>
          <w:szCs w:val="24"/>
        </w:rPr>
      </w:pPr>
      <w:r w:rsidRPr="00465FB3">
        <w:rPr>
          <w:rFonts w:ascii="Times New Roman" w:hAnsi="Times New Roman"/>
          <w:bCs/>
          <w:sz w:val="24"/>
          <w:szCs w:val="24"/>
        </w:rPr>
        <w:t xml:space="preserve">On March 4, 2020, in </w:t>
      </w:r>
      <w:r w:rsidRPr="00465FB3">
        <w:rPr>
          <w:rFonts w:ascii="Times New Roman" w:hAnsi="Times New Roman"/>
          <w:bCs/>
          <w:sz w:val="24"/>
          <w:szCs w:val="24"/>
          <w:u w:val="single"/>
        </w:rPr>
        <w:t xml:space="preserve">Janel Fritz v. </w:t>
      </w:r>
      <w:proofErr w:type="spellStart"/>
      <w:r w:rsidRPr="00465FB3">
        <w:rPr>
          <w:rFonts w:ascii="Times New Roman" w:hAnsi="Times New Roman"/>
          <w:bCs/>
          <w:sz w:val="24"/>
          <w:szCs w:val="24"/>
          <w:u w:val="single"/>
        </w:rPr>
        <w:t>Uwchlan</w:t>
      </w:r>
      <w:proofErr w:type="spellEnd"/>
      <w:r w:rsidRPr="00465FB3">
        <w:rPr>
          <w:rFonts w:ascii="Times New Roman" w:hAnsi="Times New Roman"/>
          <w:bCs/>
          <w:sz w:val="24"/>
          <w:szCs w:val="24"/>
          <w:u w:val="single"/>
        </w:rPr>
        <w:t xml:space="preserve"> Ambulance Corps, Inc</w:t>
      </w:r>
      <w:r w:rsidRPr="00465FB3">
        <w:rPr>
          <w:rFonts w:ascii="Times New Roman" w:hAnsi="Times New Roman"/>
          <w:bCs/>
          <w:sz w:val="24"/>
          <w:szCs w:val="24"/>
        </w:rPr>
        <w:t xml:space="preserve">., U.S. District Court Judge Nitza I. Alejandro, Eastern District of Pennsylvania, granted defense motion for summary judgment, finding no pregnancy or gender discrimination. </w:t>
      </w:r>
    </w:p>
    <w:p w14:paraId="00F5B51D" w14:textId="77777777" w:rsidR="00997329" w:rsidRPr="00465FB3" w:rsidRDefault="00997329" w:rsidP="00997329">
      <w:pPr>
        <w:pStyle w:val="NoSpacing"/>
        <w:rPr>
          <w:rFonts w:ascii="Times New Roman" w:hAnsi="Times New Roman"/>
          <w:b/>
          <w:bCs/>
          <w:sz w:val="24"/>
          <w:szCs w:val="24"/>
        </w:rPr>
      </w:pPr>
    </w:p>
    <w:p w14:paraId="6D31CC7C" w14:textId="77777777" w:rsidR="00997329" w:rsidRPr="00465FB3" w:rsidRDefault="00997329" w:rsidP="00997329">
      <w:pPr>
        <w:pStyle w:val="NoSpacing"/>
        <w:ind w:left="720"/>
        <w:rPr>
          <w:rFonts w:ascii="Times New Roman" w:hAnsi="Times New Roman"/>
          <w:b/>
          <w:bCs/>
          <w:sz w:val="24"/>
          <w:szCs w:val="24"/>
        </w:rPr>
      </w:pPr>
      <w:r w:rsidRPr="00465FB3">
        <w:rPr>
          <w:rFonts w:ascii="Times New Roman" w:hAnsi="Times New Roman"/>
          <w:bCs/>
          <w:sz w:val="24"/>
          <w:szCs w:val="24"/>
        </w:rPr>
        <w:t xml:space="preserve">“Plaintiff also contends that Defendant's employees repeatedly urged her to begin maternity leave prior to the birth of her child, and prior to the date required and directed by her doctor. When Supervisor John </w:t>
      </w:r>
      <w:proofErr w:type="gramStart"/>
      <w:r w:rsidRPr="00465FB3">
        <w:rPr>
          <w:rFonts w:ascii="Times New Roman" w:hAnsi="Times New Roman"/>
          <w:bCs/>
          <w:sz w:val="24"/>
          <w:szCs w:val="24"/>
        </w:rPr>
        <w:t>Applegate (‘</w:t>
      </w:r>
      <w:proofErr w:type="gramEnd"/>
      <w:r w:rsidRPr="00465FB3">
        <w:rPr>
          <w:rFonts w:ascii="Times New Roman" w:hAnsi="Times New Roman"/>
          <w:bCs/>
          <w:sz w:val="24"/>
          <w:szCs w:val="24"/>
        </w:rPr>
        <w:t xml:space="preserve">Supervisor Applegate’) encouraged Plaintiff to go out on leave earlier than Plaintiff had planned, he told her that he would ‘save her spot’ for twelve weeks. Supervisor Applegate made the following comments to Plaintiff while she was pregnant: 1) Plaintiff's shirt looked like ‘a tent,’ 2) Plaintiff looked like she was ‘ready to pop,’ 3) Plaintiff should not work too hard because she may ‘hatch,’ and 4) Plaintiff should let him know ‘if [she] hatch[es].’ *** “[T]his Court finds that the record does not contain any evidence to support a nexus between Plaintiff's pregnancy and her suspension. The record clearly reflects, and Plaintiff repeatedly acknowledges, that she was suspended for accusing a coworker of benefiting from nepotism. Although Plaintiff baldly contended in her complaint that the proffered reason for her suspension was pretextual and baseless, she continually acknowledges that she was suspended because of her statements about Matthew not being subject to discipline due to his familial relationship with a supervisor. Because there is no nexus between Plaintiff's pregnancy and her suspension, she cannot satisfy the fourth element of her pregnancy discrimination claim. Therefore, summary judgment is granted in favor of Defendant with respect to Plaintiff's pregnancy discrimination </w:t>
      </w:r>
      <w:proofErr w:type="gramStart"/>
      <w:r w:rsidRPr="00465FB3">
        <w:rPr>
          <w:rFonts w:ascii="Times New Roman" w:hAnsi="Times New Roman"/>
          <w:bCs/>
          <w:sz w:val="24"/>
          <w:szCs w:val="24"/>
        </w:rPr>
        <w:t>claim.”</w:t>
      </w:r>
      <w:proofErr w:type="gramEnd"/>
      <w:r w:rsidRPr="00465FB3">
        <w:rPr>
          <w:rFonts w:ascii="Times New Roman" w:hAnsi="Times New Roman"/>
          <w:bCs/>
          <w:sz w:val="24"/>
          <w:szCs w:val="24"/>
        </w:rPr>
        <w:t xml:space="preserve"> </w:t>
      </w:r>
      <w:hyperlink r:id="rId1455" w:history="1">
        <w:r w:rsidRPr="00465FB3">
          <w:rPr>
            <w:rStyle w:val="Hyperlink"/>
            <w:rFonts w:ascii="Times New Roman" w:hAnsi="Times New Roman"/>
            <w:bCs/>
            <w:sz w:val="24"/>
            <w:szCs w:val="24"/>
          </w:rPr>
          <w:t>https://public.fastcase.com/Wl%2B2t%2BeVuI35%2FN70vAMFZsLQ8Zjgb2jk542DjlxpVQs5PCG3jEwwTTQV0VgsrBHY</w:t>
        </w:r>
      </w:hyperlink>
    </w:p>
    <w:p w14:paraId="2A7E9EAB" w14:textId="77777777" w:rsidR="00997329" w:rsidRPr="00465FB3" w:rsidRDefault="00997329" w:rsidP="00997329">
      <w:pPr>
        <w:pStyle w:val="NoSpacing"/>
        <w:ind w:left="720"/>
        <w:rPr>
          <w:rFonts w:ascii="Times New Roman" w:hAnsi="Times New Roman"/>
          <w:b/>
          <w:bCs/>
          <w:sz w:val="24"/>
          <w:szCs w:val="24"/>
        </w:rPr>
      </w:pPr>
    </w:p>
    <w:p w14:paraId="6870EF31" w14:textId="77777777" w:rsidR="00997329" w:rsidRPr="00465FB3" w:rsidRDefault="00997329" w:rsidP="00997329">
      <w:pPr>
        <w:pStyle w:val="NoSpacing"/>
        <w:rPr>
          <w:rFonts w:ascii="Times New Roman" w:hAnsi="Times New Roman"/>
          <w:b/>
          <w:bCs/>
          <w:sz w:val="24"/>
          <w:szCs w:val="24"/>
        </w:rPr>
      </w:pPr>
      <w:r w:rsidRPr="00465FB3">
        <w:rPr>
          <w:rFonts w:ascii="Times New Roman" w:hAnsi="Times New Roman"/>
          <w:b/>
          <w:bCs/>
          <w:sz w:val="24"/>
          <w:szCs w:val="24"/>
        </w:rPr>
        <w:t>Legal Lessons Learned:  Great quote by Court: “As the United States Supreme Court has continuously held, Title VII ‘does not set forth a general civility code for the American workplace.’ Burlington Northern &amp; Santa Fe Ry. v. White, 548 U.S. 53, 68 (2006).”</w:t>
      </w:r>
    </w:p>
    <w:p w14:paraId="1BB8AC47" w14:textId="77777777" w:rsidR="00997329" w:rsidRDefault="00997329" w:rsidP="002B1283">
      <w:pPr>
        <w:rPr>
          <w:rFonts w:ascii="Arial Black" w:hAnsi="Arial Black"/>
          <w:b/>
          <w:sz w:val="24"/>
          <w:szCs w:val="24"/>
        </w:rPr>
      </w:pPr>
    </w:p>
    <w:p w14:paraId="3F7AFB65" w14:textId="123F269A" w:rsidR="00997329" w:rsidRDefault="00997329" w:rsidP="002B1283">
      <w:pPr>
        <w:rPr>
          <w:rFonts w:ascii="Arial Black" w:hAnsi="Arial Black"/>
          <w:b/>
          <w:sz w:val="24"/>
          <w:szCs w:val="24"/>
        </w:rPr>
      </w:pPr>
      <w:r>
        <w:rPr>
          <w:rFonts w:ascii="Arial Black" w:hAnsi="Arial Black"/>
          <w:b/>
          <w:sz w:val="24"/>
          <w:szCs w:val="24"/>
        </w:rPr>
        <w:t>7-15</w:t>
      </w:r>
    </w:p>
    <w:p w14:paraId="50E4C7AE" w14:textId="77777777" w:rsidR="00997329" w:rsidRPr="00AD65BD" w:rsidRDefault="00997329" w:rsidP="00997329">
      <w:pPr>
        <w:pStyle w:val="NoSpacing"/>
        <w:rPr>
          <w:rFonts w:ascii="Arial Black" w:hAnsi="Arial Black"/>
          <w:sz w:val="28"/>
          <w:szCs w:val="28"/>
        </w:rPr>
      </w:pPr>
      <w:r w:rsidRPr="00AD65BD">
        <w:rPr>
          <w:rFonts w:ascii="Arial Black" w:hAnsi="Arial Black"/>
          <w:sz w:val="28"/>
          <w:szCs w:val="28"/>
        </w:rPr>
        <w:t xml:space="preserve">PA:  </w:t>
      </w:r>
      <w:r>
        <w:rPr>
          <w:rFonts w:ascii="Arial Black" w:hAnsi="Arial Black"/>
          <w:sz w:val="28"/>
          <w:szCs w:val="28"/>
        </w:rPr>
        <w:t xml:space="preserve">FEMALE </w:t>
      </w:r>
      <w:r w:rsidRPr="00AD65BD">
        <w:rPr>
          <w:rFonts w:ascii="Arial Black" w:hAnsi="Arial Black"/>
          <w:sz w:val="28"/>
          <w:szCs w:val="28"/>
        </w:rPr>
        <w:t xml:space="preserve">EMS INSTRUCTOR FIRED </w:t>
      </w:r>
      <w:r>
        <w:rPr>
          <w:rFonts w:ascii="Arial Black" w:hAnsi="Arial Black"/>
          <w:sz w:val="28"/>
          <w:szCs w:val="28"/>
        </w:rPr>
        <w:t xml:space="preserve">– RUDE TO </w:t>
      </w:r>
      <w:r w:rsidRPr="00AD65BD">
        <w:rPr>
          <w:rFonts w:ascii="Arial Black" w:hAnsi="Arial Black"/>
          <w:sz w:val="28"/>
          <w:szCs w:val="28"/>
        </w:rPr>
        <w:t>STUDENTS</w:t>
      </w:r>
      <w:r>
        <w:rPr>
          <w:rFonts w:ascii="Arial Black" w:hAnsi="Arial Black"/>
          <w:sz w:val="28"/>
          <w:szCs w:val="28"/>
        </w:rPr>
        <w:t xml:space="preserve"> &amp; STAFF – NOT GENDER DISCRIMINATION </w:t>
      </w:r>
    </w:p>
    <w:p w14:paraId="73CD2DDB" w14:textId="77777777" w:rsidR="00997329" w:rsidRDefault="00997329" w:rsidP="00997329">
      <w:pPr>
        <w:pStyle w:val="NoSpacing"/>
        <w:rPr>
          <w:rFonts w:ascii="EArial Black" w:hAnsi="EArial Black"/>
          <w:sz w:val="28"/>
          <w:szCs w:val="28"/>
        </w:rPr>
      </w:pPr>
    </w:p>
    <w:p w14:paraId="21652DFC" w14:textId="37ED45BA" w:rsidR="00997329" w:rsidRDefault="00997329" w:rsidP="00997329">
      <w:pPr>
        <w:pStyle w:val="NoSpacing"/>
        <w:rPr>
          <w:rFonts w:ascii="Times New Roman" w:hAnsi="Times New Roman"/>
          <w:bCs/>
          <w:sz w:val="24"/>
          <w:szCs w:val="24"/>
        </w:rPr>
      </w:pPr>
      <w:r w:rsidRPr="00465FB3">
        <w:rPr>
          <w:rFonts w:ascii="Times New Roman" w:hAnsi="Times New Roman"/>
          <w:bCs/>
          <w:sz w:val="24"/>
          <w:szCs w:val="24"/>
        </w:rPr>
        <w:t xml:space="preserve">On Feb. 26, 2020, in </w:t>
      </w:r>
      <w:r w:rsidRPr="00465FB3">
        <w:rPr>
          <w:rFonts w:ascii="Times New Roman" w:hAnsi="Times New Roman"/>
          <w:bCs/>
          <w:sz w:val="24"/>
          <w:szCs w:val="24"/>
          <w:u w:val="single"/>
        </w:rPr>
        <w:t>Kimberly Brandt v. Thomas Jefferson University Hospitals, Inc</w:t>
      </w:r>
      <w:r w:rsidRPr="00465FB3">
        <w:rPr>
          <w:rFonts w:ascii="Times New Roman" w:hAnsi="Times New Roman"/>
          <w:bCs/>
          <w:sz w:val="24"/>
          <w:szCs w:val="24"/>
        </w:rPr>
        <w:t xml:space="preserve">., U.S. District Court Judge Harvey Bartle, III, Eastern District of Pennsylvania, granted the Hospital’s motion for summary judgment.  </w:t>
      </w:r>
    </w:p>
    <w:p w14:paraId="2498BE33" w14:textId="77777777" w:rsidR="00997329" w:rsidRPr="00465FB3" w:rsidRDefault="00997329" w:rsidP="00997329">
      <w:pPr>
        <w:pStyle w:val="NoSpacing"/>
        <w:rPr>
          <w:rFonts w:ascii="Times New Roman" w:hAnsi="Times New Roman"/>
          <w:sz w:val="24"/>
          <w:szCs w:val="24"/>
        </w:rPr>
      </w:pPr>
    </w:p>
    <w:p w14:paraId="41A1E71A" w14:textId="77777777" w:rsidR="00997329" w:rsidRPr="00465FB3" w:rsidRDefault="00997329" w:rsidP="00997329">
      <w:pPr>
        <w:ind w:left="720"/>
        <w:rPr>
          <w:rFonts w:ascii="Times New Roman" w:hAnsi="Times New Roman"/>
          <w:sz w:val="24"/>
          <w:szCs w:val="24"/>
        </w:rPr>
      </w:pPr>
      <w:r w:rsidRPr="00465FB3">
        <w:rPr>
          <w:rFonts w:ascii="Times New Roman" w:eastAsia="Times New Roman" w:hAnsi="Times New Roman"/>
          <w:sz w:val="24"/>
          <w:szCs w:val="24"/>
        </w:rPr>
        <w:t xml:space="preserve">“Simply put, the undisputed facts do not suggest that Brandt's employment was terminated due to discrimination in which she was less favored than her male colleagues. By contrast, the record is filled with evidence that suggests her termination was due to her mistreatment of students and unprofessional behavior toward staff. Accordingly, the court will grant the motion of defendant for summary judgment as to Brandt's claims for gender discrimination under Title VII.” </w:t>
      </w:r>
      <w:hyperlink r:id="rId1456" w:history="1">
        <w:r w:rsidRPr="00465FB3">
          <w:rPr>
            <w:rStyle w:val="Hyperlink"/>
            <w:rFonts w:ascii="Times New Roman" w:eastAsia="Times New Roman" w:hAnsi="Times New Roman"/>
            <w:sz w:val="24"/>
            <w:szCs w:val="24"/>
          </w:rPr>
          <w:t>https://public.fastcase.com/Wl%2B2t%2BeVuI35%2FN70vAMFZlbQ%2BrzY3OsVa9hMy3HWGsXkXncgvfLlObTaYTDVckkj</w:t>
        </w:r>
      </w:hyperlink>
    </w:p>
    <w:p w14:paraId="609464D6" w14:textId="77777777" w:rsidR="00997329" w:rsidRPr="00465FB3" w:rsidRDefault="00997329" w:rsidP="00997329">
      <w:pPr>
        <w:spacing w:before="100" w:beforeAutospacing="1" w:after="100" w:afterAutospacing="1" w:line="240" w:lineRule="auto"/>
        <w:rPr>
          <w:rFonts w:ascii="Times New Roman" w:eastAsia="Times New Roman" w:hAnsi="Times New Roman"/>
          <w:b/>
          <w:bCs/>
          <w:sz w:val="24"/>
          <w:szCs w:val="24"/>
        </w:rPr>
      </w:pPr>
      <w:r w:rsidRPr="00465FB3">
        <w:rPr>
          <w:rFonts w:ascii="Times New Roman" w:eastAsia="Times New Roman" w:hAnsi="Times New Roman"/>
          <w:b/>
          <w:bCs/>
          <w:sz w:val="24"/>
          <w:szCs w:val="24"/>
        </w:rPr>
        <w:lastRenderedPageBreak/>
        <w:t>Legal Lessons Learned: Prompt and thorough investigation by employer established breach of Code of Conduct.</w:t>
      </w:r>
    </w:p>
    <w:p w14:paraId="7983D08E" w14:textId="77777777" w:rsidR="00997329" w:rsidRDefault="00997329" w:rsidP="002B1283">
      <w:pPr>
        <w:rPr>
          <w:rFonts w:ascii="Arial Black" w:hAnsi="Arial Black"/>
          <w:b/>
          <w:sz w:val="24"/>
          <w:szCs w:val="24"/>
        </w:rPr>
      </w:pPr>
    </w:p>
    <w:p w14:paraId="1BE30D08" w14:textId="25E7A07E" w:rsidR="00997329" w:rsidRDefault="00997329" w:rsidP="002B1283">
      <w:pPr>
        <w:rPr>
          <w:rFonts w:ascii="Arial Black" w:hAnsi="Arial Black"/>
          <w:b/>
          <w:sz w:val="24"/>
          <w:szCs w:val="24"/>
        </w:rPr>
      </w:pPr>
      <w:r>
        <w:rPr>
          <w:rFonts w:ascii="Arial Black" w:hAnsi="Arial Black"/>
          <w:b/>
          <w:sz w:val="24"/>
          <w:szCs w:val="24"/>
        </w:rPr>
        <w:t>7-14</w:t>
      </w:r>
    </w:p>
    <w:p w14:paraId="32260AA4" w14:textId="77777777" w:rsidR="00997329" w:rsidRPr="009D2D96" w:rsidRDefault="00997329" w:rsidP="00997329">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AR: PUMP BREAST MILK WHILE ON DUTY – FD SPACE “FREE FROM INTRUSION” – $3.8M JURY SET ASIDE / $250K TO SETTLE</w:t>
      </w:r>
    </w:p>
    <w:p w14:paraId="7872FDA8" w14:textId="77777777" w:rsidR="00997329" w:rsidRPr="00465FB3" w:rsidRDefault="00997329" w:rsidP="00997329">
      <w:pPr>
        <w:spacing w:before="100" w:beforeAutospacing="1" w:after="100" w:afterAutospacing="1" w:line="240" w:lineRule="auto"/>
        <w:rPr>
          <w:rFonts w:ascii="Times New Roman" w:hAnsi="Times New Roman"/>
          <w:sz w:val="24"/>
          <w:szCs w:val="24"/>
        </w:rPr>
      </w:pPr>
      <w:r w:rsidRPr="00465FB3">
        <w:rPr>
          <w:rFonts w:ascii="Times New Roman" w:eastAsia="Times New Roman" w:hAnsi="Times New Roman"/>
          <w:sz w:val="24"/>
          <w:szCs w:val="24"/>
        </w:rPr>
        <w:t xml:space="preserve">On </w:t>
      </w:r>
      <w:bookmarkStart w:id="303" w:name="_Hlk39833340"/>
      <w:r w:rsidRPr="00465FB3">
        <w:rPr>
          <w:rFonts w:ascii="Times New Roman" w:eastAsia="Times New Roman" w:hAnsi="Times New Roman"/>
          <w:sz w:val="24"/>
          <w:szCs w:val="24"/>
        </w:rPr>
        <w:t xml:space="preserve">Feb. 24, 2020, in </w:t>
      </w:r>
      <w:r w:rsidRPr="00465FB3">
        <w:rPr>
          <w:rFonts w:ascii="Times New Roman" w:eastAsia="Times New Roman" w:hAnsi="Times New Roman"/>
          <w:sz w:val="24"/>
          <w:szCs w:val="24"/>
          <w:u w:val="single"/>
        </w:rPr>
        <w:t>Carrie Ferrara Clark v. City of Tucson</w:t>
      </w:r>
      <w:bookmarkEnd w:id="303"/>
      <w:r w:rsidRPr="00465FB3">
        <w:rPr>
          <w:rFonts w:ascii="Times New Roman" w:eastAsia="Times New Roman" w:hAnsi="Times New Roman"/>
          <w:sz w:val="24"/>
          <w:szCs w:val="24"/>
        </w:rPr>
        <w:t xml:space="preserve">, U.S. District Court Judge </w:t>
      </w:r>
      <w:r w:rsidRPr="00465FB3">
        <w:rPr>
          <w:rFonts w:ascii="Times New Roman" w:hAnsi="Times New Roman"/>
          <w:sz w:val="24"/>
          <w:szCs w:val="24"/>
        </w:rPr>
        <w:t xml:space="preserve">Cindy K. Jorgenson, District Court for District of Arizona, has given plaintiff thirty days to accept $250,000, or the case must be retried to another jury. The first jury, after 10 days of trial, awarded her $3,800,000. </w:t>
      </w:r>
    </w:p>
    <w:p w14:paraId="6E7A0C31" w14:textId="77777777" w:rsidR="00997329" w:rsidRPr="00465FB3" w:rsidRDefault="00997329" w:rsidP="00997329">
      <w:pPr>
        <w:pStyle w:val="NoSpacing"/>
        <w:ind w:left="810"/>
        <w:rPr>
          <w:rFonts w:ascii="Times New Roman" w:eastAsia="Times New Roman" w:hAnsi="Times New Roman"/>
          <w:b/>
          <w:bCs/>
          <w:sz w:val="24"/>
          <w:szCs w:val="24"/>
        </w:rPr>
      </w:pPr>
      <w:r w:rsidRPr="00465FB3">
        <w:rPr>
          <w:rFonts w:ascii="Times New Roman" w:eastAsia="Times New Roman" w:hAnsi="Times New Roman"/>
          <w:bCs/>
          <w:sz w:val="24"/>
          <w:szCs w:val="24"/>
        </w:rPr>
        <w:t xml:space="preserve">“Plaintiff has been an employee of the City of Tucson Fire Department (‘TFD’) since 2007. In July 2012, Plaintiff gave birth to her first son, Austin Clark, and decided to breast feed while on maternity leave and to pump breast milk when she returned to work. Plaintiff breast fed Austin while on maternity leave and contacted her superiors at TFD to ensure she would have a proper place to pump and express breastmilk when she returned to work. Upon her return to work, Plaintiff believed that the lactation spaces she was being provided were not legally compliant and initiated the underlying lawsuit in 2014. *** </w:t>
      </w:r>
      <w:r w:rsidRPr="00465FB3">
        <w:rPr>
          <w:rFonts w:ascii="Times New Roman" w:hAnsi="Times New Roman"/>
          <w:bCs/>
          <w:sz w:val="24"/>
          <w:szCs w:val="24"/>
        </w:rPr>
        <w:t xml:space="preserve">“The Court finds Defendant's first issue regarding a grossly excessive jury verdict to be sufficient and will not address, in detail, the merits of the remaining issues…. </w:t>
      </w:r>
      <w:r w:rsidRPr="00465FB3">
        <w:rPr>
          <w:rFonts w:ascii="Times New Roman" w:eastAsia="Times New Roman" w:hAnsi="Times New Roman"/>
          <w:bCs/>
          <w:sz w:val="24"/>
          <w:szCs w:val="24"/>
        </w:rPr>
        <w:t xml:space="preserve">Defendant's Motion for Remittitur is granted in the amounts provided above [$250,000]. Plaintiff has thirty (30) days with which to accept or decline the Remittitur. </w:t>
      </w:r>
      <w:bookmarkStart w:id="304" w:name="_Hlk39833376"/>
      <w:r w:rsidR="00374417">
        <w:fldChar w:fldCharType="begin"/>
      </w:r>
      <w:r w:rsidR="00374417">
        <w:instrText xml:space="preserve"> HYPERLINK "https://public.fastcase.com/Wl%2B2t%2BeVuI35%2FN70vAMFZlyCVXNUkgR2hAftJ4kpomV7SzY2G5n3EuslwwvZyCdR" </w:instrText>
      </w:r>
      <w:r w:rsidR="00374417">
        <w:fldChar w:fldCharType="separate"/>
      </w:r>
      <w:r w:rsidRPr="00465FB3">
        <w:rPr>
          <w:rStyle w:val="Hyperlink"/>
          <w:rFonts w:ascii="Times New Roman" w:eastAsia="Times New Roman" w:hAnsi="Times New Roman"/>
          <w:bCs/>
          <w:sz w:val="24"/>
          <w:szCs w:val="24"/>
        </w:rPr>
        <w:t>https://public.fastcase.com/Wl%2B2t%2BeVuI35%2FN70vAMFZlyCVXNUkgR2hAftJ4kpomV7SzY2G5n3EuslwwvZyCdR</w:t>
      </w:r>
      <w:r w:rsidR="00374417">
        <w:rPr>
          <w:rStyle w:val="Hyperlink"/>
          <w:rFonts w:ascii="Times New Roman" w:eastAsia="Times New Roman" w:hAnsi="Times New Roman"/>
          <w:bCs/>
          <w:sz w:val="24"/>
          <w:szCs w:val="24"/>
        </w:rPr>
        <w:fldChar w:fldCharType="end"/>
      </w:r>
      <w:r w:rsidRPr="00465FB3">
        <w:rPr>
          <w:rFonts w:ascii="Times New Roman" w:eastAsia="Times New Roman" w:hAnsi="Times New Roman"/>
          <w:bCs/>
          <w:sz w:val="24"/>
          <w:szCs w:val="24"/>
        </w:rPr>
        <w:t xml:space="preserve"> </w:t>
      </w:r>
    </w:p>
    <w:bookmarkEnd w:id="304"/>
    <w:p w14:paraId="4A1CC36F" w14:textId="77777777" w:rsidR="00997329" w:rsidRDefault="00997329" w:rsidP="00997329">
      <w:pPr>
        <w:spacing w:after="100" w:line="240" w:lineRule="auto"/>
        <w:rPr>
          <w:rFonts w:ascii="Times New Roman" w:eastAsia="Times New Roman" w:hAnsi="Times New Roman"/>
          <w:b/>
          <w:bCs/>
          <w:sz w:val="24"/>
          <w:szCs w:val="24"/>
        </w:rPr>
      </w:pPr>
    </w:p>
    <w:p w14:paraId="6FD49854" w14:textId="672679D5" w:rsidR="00997329" w:rsidRPr="00465FB3" w:rsidRDefault="00997329" w:rsidP="00997329">
      <w:pPr>
        <w:spacing w:after="100" w:line="240" w:lineRule="auto"/>
        <w:rPr>
          <w:rFonts w:ascii="Times New Roman" w:eastAsia="Times New Roman" w:hAnsi="Times New Roman"/>
          <w:b/>
          <w:bCs/>
          <w:sz w:val="24"/>
          <w:szCs w:val="24"/>
        </w:rPr>
      </w:pPr>
      <w:r w:rsidRPr="00465FB3">
        <w:rPr>
          <w:rFonts w:ascii="Times New Roman" w:eastAsia="Times New Roman" w:hAnsi="Times New Roman"/>
          <w:b/>
          <w:bCs/>
          <w:sz w:val="24"/>
          <w:szCs w:val="24"/>
        </w:rPr>
        <w:t>Legal Lessons Learned: Plaintiff must now either accept the lower amount or have new trial.  Employers, including fire &amp; EMS departments must provide “a place, other than a bathroom, that is shielded from view and free from intrusion from coworkers and the public, which may be used by an employee to express breast milk.”</w:t>
      </w:r>
      <w:r w:rsidRPr="00465FB3">
        <w:rPr>
          <w:rFonts w:ascii="Times New Roman" w:eastAsia="Times New Roman" w:hAnsi="Times New Roman"/>
          <w:sz w:val="24"/>
          <w:szCs w:val="24"/>
        </w:rPr>
        <w:t xml:space="preserve"> </w:t>
      </w:r>
      <w:hyperlink r:id="rId1457" w:history="1">
        <w:r w:rsidRPr="00465FB3">
          <w:rPr>
            <w:rStyle w:val="Hyperlink"/>
            <w:rFonts w:ascii="Times New Roman" w:eastAsia="Times New Roman" w:hAnsi="Times New Roman"/>
            <w:b/>
            <w:bCs/>
            <w:sz w:val="24"/>
            <w:szCs w:val="24"/>
          </w:rPr>
          <w:t>https://www.law.cornell.edu/uscode/text/29/207</w:t>
        </w:r>
      </w:hyperlink>
      <w:r w:rsidRPr="00465FB3">
        <w:rPr>
          <w:rFonts w:ascii="Times New Roman" w:eastAsia="Times New Roman" w:hAnsi="Times New Roman"/>
          <w:b/>
          <w:bCs/>
          <w:sz w:val="24"/>
          <w:szCs w:val="24"/>
        </w:rPr>
        <w:t xml:space="preserve"> </w:t>
      </w:r>
    </w:p>
    <w:p w14:paraId="49E4BCA9" w14:textId="77777777" w:rsidR="00997329" w:rsidRDefault="00997329" w:rsidP="00997329">
      <w:pPr>
        <w:spacing w:before="100" w:beforeAutospacing="1" w:after="100" w:afterAutospacing="1" w:line="240" w:lineRule="auto"/>
        <w:rPr>
          <w:rFonts w:ascii="Times New Roman" w:eastAsia="Times New Roman" w:hAnsi="Times New Roman"/>
          <w:sz w:val="24"/>
          <w:szCs w:val="24"/>
        </w:rPr>
      </w:pPr>
      <w:r w:rsidRPr="009D2D96">
        <w:rPr>
          <w:rFonts w:ascii="Times New Roman" w:eastAsia="Times New Roman" w:hAnsi="Times New Roman"/>
          <w:sz w:val="24"/>
          <w:szCs w:val="24"/>
        </w:rPr>
        <w:t xml:space="preserve">         </w:t>
      </w:r>
    </w:p>
    <w:p w14:paraId="5B329EDF" w14:textId="77777777" w:rsidR="00997329" w:rsidRPr="00465FB3" w:rsidRDefault="00997329" w:rsidP="00997329">
      <w:pPr>
        <w:spacing w:before="100" w:beforeAutospacing="1" w:after="100" w:afterAutospacing="1" w:line="240" w:lineRule="auto"/>
        <w:ind w:left="720"/>
        <w:rPr>
          <w:rFonts w:ascii="Times New Roman" w:eastAsia="Times New Roman" w:hAnsi="Times New Roman"/>
          <w:sz w:val="24"/>
          <w:szCs w:val="24"/>
        </w:rPr>
      </w:pPr>
    </w:p>
    <w:p w14:paraId="093F66BC" w14:textId="77777777" w:rsidR="00997329" w:rsidRDefault="00997329" w:rsidP="002B1283">
      <w:pPr>
        <w:rPr>
          <w:rFonts w:ascii="Arial Black" w:hAnsi="Arial Black"/>
          <w:b/>
          <w:sz w:val="24"/>
          <w:szCs w:val="24"/>
        </w:rPr>
      </w:pPr>
    </w:p>
    <w:p w14:paraId="3C7A129D" w14:textId="77777777" w:rsidR="00997329" w:rsidRDefault="00997329" w:rsidP="002B1283">
      <w:pPr>
        <w:rPr>
          <w:rFonts w:ascii="Arial Black" w:hAnsi="Arial Black"/>
          <w:b/>
          <w:sz w:val="24"/>
          <w:szCs w:val="24"/>
        </w:rPr>
      </w:pPr>
    </w:p>
    <w:p w14:paraId="71AD3712" w14:textId="7077BC27" w:rsidR="00177094" w:rsidRDefault="00177094" w:rsidP="002B1283">
      <w:pPr>
        <w:rPr>
          <w:rFonts w:ascii="Arial Black" w:hAnsi="Arial Black"/>
          <w:b/>
          <w:sz w:val="24"/>
          <w:szCs w:val="24"/>
        </w:rPr>
      </w:pPr>
      <w:r>
        <w:rPr>
          <w:rFonts w:ascii="Arial Black" w:hAnsi="Arial Black"/>
          <w:b/>
          <w:sz w:val="24"/>
          <w:szCs w:val="24"/>
        </w:rPr>
        <w:t>7-13</w:t>
      </w:r>
    </w:p>
    <w:p w14:paraId="5D1D0499" w14:textId="77777777" w:rsidR="00177094" w:rsidRDefault="00177094" w:rsidP="00177094">
      <w:pPr>
        <w:pStyle w:val="NoSpacing"/>
        <w:rPr>
          <w:rFonts w:ascii="Arial Black" w:hAnsi="Arial Black"/>
          <w:b/>
          <w:bCs/>
          <w:sz w:val="28"/>
          <w:szCs w:val="28"/>
        </w:rPr>
      </w:pPr>
      <w:bookmarkStart w:id="305" w:name="_Hlk39764858"/>
      <w:r w:rsidRPr="00DE67AC">
        <w:rPr>
          <w:rFonts w:ascii="Arial Black" w:hAnsi="Arial Black"/>
          <w:bCs/>
          <w:sz w:val="28"/>
          <w:szCs w:val="28"/>
        </w:rPr>
        <w:t>GA:</w:t>
      </w:r>
      <w:r>
        <w:rPr>
          <w:rFonts w:ascii="Arial Black" w:hAnsi="Arial Black"/>
          <w:bCs/>
          <w:sz w:val="28"/>
          <w:szCs w:val="28"/>
        </w:rPr>
        <w:t xml:space="preserve"> PRIVATE AMBULANCE – MGR’S OCCASIONAL SEXUAL COMMENTS EMT - WORKED OUT TOGETHER – LAWSUIT DISMISSED</w:t>
      </w:r>
    </w:p>
    <w:p w14:paraId="3D46519A" w14:textId="77777777" w:rsidR="00177094" w:rsidRDefault="00177094" w:rsidP="00177094">
      <w:pPr>
        <w:pStyle w:val="NoSpacing"/>
        <w:rPr>
          <w:rFonts w:ascii="Arial Black" w:hAnsi="Arial Black"/>
          <w:b/>
          <w:bCs/>
          <w:sz w:val="28"/>
          <w:szCs w:val="28"/>
        </w:rPr>
      </w:pPr>
    </w:p>
    <w:p w14:paraId="4DB549A0" w14:textId="6267FF80" w:rsidR="00177094" w:rsidRPr="004236BE" w:rsidRDefault="00177094" w:rsidP="00177094">
      <w:pPr>
        <w:pStyle w:val="NoSpacing"/>
        <w:rPr>
          <w:rFonts w:ascii="Times New Roman" w:hAnsi="Times New Roman"/>
          <w:b/>
          <w:bCs/>
          <w:sz w:val="24"/>
          <w:szCs w:val="24"/>
        </w:rPr>
      </w:pPr>
      <w:r w:rsidRPr="004236BE">
        <w:rPr>
          <w:rFonts w:ascii="Times New Roman" w:hAnsi="Times New Roman"/>
          <w:bCs/>
          <w:sz w:val="24"/>
          <w:szCs w:val="24"/>
        </w:rPr>
        <w:t xml:space="preserve">On Jan. 16, 2020, in </w:t>
      </w:r>
      <w:proofErr w:type="spellStart"/>
      <w:r w:rsidRPr="004236BE">
        <w:rPr>
          <w:rFonts w:ascii="Times New Roman" w:hAnsi="Times New Roman"/>
          <w:bCs/>
          <w:sz w:val="24"/>
          <w:szCs w:val="24"/>
          <w:u w:val="single"/>
        </w:rPr>
        <w:t>D’Marius</w:t>
      </w:r>
      <w:proofErr w:type="spellEnd"/>
      <w:r w:rsidRPr="004236BE">
        <w:rPr>
          <w:rFonts w:ascii="Times New Roman" w:hAnsi="Times New Roman"/>
          <w:bCs/>
          <w:sz w:val="24"/>
          <w:szCs w:val="24"/>
          <w:u w:val="single"/>
        </w:rPr>
        <w:t xml:space="preserve"> Allen v. </w:t>
      </w:r>
      <w:proofErr w:type="spellStart"/>
      <w:r w:rsidRPr="004236BE">
        <w:rPr>
          <w:rFonts w:ascii="Times New Roman" w:hAnsi="Times New Roman"/>
          <w:bCs/>
          <w:sz w:val="24"/>
          <w:szCs w:val="24"/>
          <w:u w:val="single"/>
        </w:rPr>
        <w:t>AmbuiStat</w:t>
      </w:r>
      <w:proofErr w:type="spellEnd"/>
      <w:r w:rsidRPr="004236BE">
        <w:rPr>
          <w:rFonts w:ascii="Times New Roman" w:hAnsi="Times New Roman"/>
          <w:bCs/>
          <w:sz w:val="24"/>
          <w:szCs w:val="24"/>
          <w:u w:val="single"/>
        </w:rPr>
        <w:t>, LLC</w:t>
      </w:r>
      <w:r w:rsidRPr="004236BE">
        <w:rPr>
          <w:rFonts w:ascii="Times New Roman" w:hAnsi="Times New Roman"/>
          <w:bCs/>
          <w:sz w:val="24"/>
          <w:szCs w:val="24"/>
        </w:rPr>
        <w:t>, the U.S. Court of Appeals for the 11</w:t>
      </w:r>
      <w:r w:rsidRPr="004236BE">
        <w:rPr>
          <w:rFonts w:ascii="Times New Roman" w:hAnsi="Times New Roman"/>
          <w:bCs/>
          <w:sz w:val="24"/>
          <w:szCs w:val="24"/>
          <w:vertAlign w:val="superscript"/>
        </w:rPr>
        <w:t>th</w:t>
      </w:r>
      <w:r w:rsidRPr="004236BE">
        <w:rPr>
          <w:rFonts w:ascii="Times New Roman" w:hAnsi="Times New Roman"/>
          <w:bCs/>
          <w:sz w:val="24"/>
          <w:szCs w:val="24"/>
        </w:rPr>
        <w:t xml:space="preserve"> Circuit (Atlanta)</w:t>
      </w:r>
      <w:r w:rsidR="00A84C9A">
        <w:rPr>
          <w:rFonts w:ascii="Times New Roman" w:hAnsi="Times New Roman"/>
          <w:bCs/>
          <w:sz w:val="24"/>
          <w:szCs w:val="24"/>
        </w:rPr>
        <w:t xml:space="preserve">, in unpublished decision, </w:t>
      </w:r>
      <w:r w:rsidRPr="004236BE">
        <w:rPr>
          <w:rFonts w:ascii="Times New Roman" w:hAnsi="Times New Roman"/>
          <w:bCs/>
          <w:sz w:val="24"/>
          <w:szCs w:val="24"/>
        </w:rPr>
        <w:t xml:space="preserve">upheld the U.S. District Court’s grant of summary judgment for the private ambulance company. </w:t>
      </w:r>
    </w:p>
    <w:p w14:paraId="3ED6604F" w14:textId="77777777" w:rsidR="00177094" w:rsidRPr="004236BE" w:rsidRDefault="00177094" w:rsidP="00177094">
      <w:pPr>
        <w:pStyle w:val="NoSpacing"/>
        <w:rPr>
          <w:rFonts w:ascii="Times New Roman" w:hAnsi="Times New Roman"/>
          <w:b/>
          <w:bCs/>
          <w:sz w:val="24"/>
          <w:szCs w:val="24"/>
        </w:rPr>
      </w:pPr>
    </w:p>
    <w:p w14:paraId="6D79E521" w14:textId="09BBAA13" w:rsidR="00177094" w:rsidRPr="004236BE" w:rsidRDefault="00177094" w:rsidP="00177094">
      <w:pPr>
        <w:pStyle w:val="NoSpacing"/>
        <w:ind w:left="720"/>
        <w:rPr>
          <w:rFonts w:ascii="Times New Roman" w:eastAsia="Times New Roman" w:hAnsi="Times New Roman"/>
          <w:b/>
          <w:bCs/>
          <w:sz w:val="24"/>
          <w:szCs w:val="24"/>
        </w:rPr>
      </w:pPr>
      <w:r w:rsidRPr="004236BE">
        <w:rPr>
          <w:rFonts w:ascii="Times New Roman" w:hAnsi="Times New Roman"/>
          <w:bCs/>
          <w:sz w:val="24"/>
          <w:szCs w:val="24"/>
        </w:rPr>
        <w:t xml:space="preserve">“At issue in this case is the fourth element -- whether the harassment was severe or pervasive. As we have </w:t>
      </w:r>
      <w:proofErr w:type="gramStart"/>
      <w:r w:rsidRPr="004236BE">
        <w:rPr>
          <w:rFonts w:ascii="Times New Roman" w:hAnsi="Times New Roman"/>
          <w:bCs/>
          <w:sz w:val="24"/>
          <w:szCs w:val="24"/>
        </w:rPr>
        <w:t>explained, ‘</w:t>
      </w:r>
      <w:proofErr w:type="gramEnd"/>
      <w:r w:rsidRPr="004236BE">
        <w:rPr>
          <w:rFonts w:ascii="Times New Roman" w:hAnsi="Times New Roman"/>
          <w:bCs/>
          <w:sz w:val="24"/>
          <w:szCs w:val="24"/>
        </w:rPr>
        <w:t xml:space="preserve">Title VII is not a civility code, and not all profane or sexual language or conduct will constitute discrimination in the terms and conditions of employment.’ *** Here, Allen points to five isolated comments. These sporadic comments, spread over four months, can hardly be described as </w:t>
      </w:r>
      <w:proofErr w:type="gramStart"/>
      <w:r w:rsidRPr="004236BE">
        <w:rPr>
          <w:rFonts w:ascii="Times New Roman" w:hAnsi="Times New Roman"/>
          <w:bCs/>
          <w:sz w:val="24"/>
          <w:szCs w:val="24"/>
        </w:rPr>
        <w:t>frequent</w:t>
      </w:r>
      <w:proofErr w:type="gramEnd"/>
      <w:r w:rsidRPr="004236BE">
        <w:rPr>
          <w:rFonts w:ascii="Times New Roman" w:hAnsi="Times New Roman"/>
          <w:bCs/>
          <w:sz w:val="24"/>
          <w:szCs w:val="24"/>
        </w:rPr>
        <w:t xml:space="preserve">. Further, the comments appear to have been said in a joking manner, and in the overarching context of Allen being friendly with Santos (or working out together in a gym). Indeed, Allen admitted she was ‘friends outside of work’ with Santos and Rita. </w:t>
      </w:r>
      <w:r w:rsidR="00DB482B">
        <w:rPr>
          <w:rFonts w:ascii="Times New Roman" w:hAnsi="Times New Roman"/>
          <w:bCs/>
          <w:sz w:val="24"/>
          <w:szCs w:val="24"/>
        </w:rPr>
        <w:t xml:space="preserve">*** </w:t>
      </w:r>
      <w:r>
        <w:rPr>
          <w:rFonts w:ascii="Times New Roman" w:hAnsi="Times New Roman"/>
          <w:bCs/>
          <w:sz w:val="24"/>
          <w:szCs w:val="24"/>
        </w:rPr>
        <w:t>I</w:t>
      </w:r>
      <w:r w:rsidRPr="004236BE">
        <w:rPr>
          <w:rFonts w:ascii="Times New Roman" w:hAnsi="Times New Roman"/>
          <w:bCs/>
          <w:sz w:val="24"/>
          <w:szCs w:val="24"/>
        </w:rPr>
        <w:t xml:space="preserve">n short, </w:t>
      </w:r>
      <w:proofErr w:type="gramStart"/>
      <w:r w:rsidRPr="004236BE">
        <w:rPr>
          <w:rFonts w:ascii="Times New Roman" w:hAnsi="Times New Roman"/>
          <w:bCs/>
          <w:sz w:val="24"/>
          <w:szCs w:val="24"/>
        </w:rPr>
        <w:t>Allen’s pervasiveness</w:t>
      </w:r>
      <w:proofErr w:type="gramEnd"/>
      <w:r w:rsidRPr="004236BE">
        <w:rPr>
          <w:rFonts w:ascii="Times New Roman" w:hAnsi="Times New Roman"/>
          <w:bCs/>
          <w:sz w:val="24"/>
          <w:szCs w:val="24"/>
        </w:rPr>
        <w:t xml:space="preserve"> argument fails to </w:t>
      </w:r>
      <w:proofErr w:type="gramStart"/>
      <w:r w:rsidRPr="004236BE">
        <w:rPr>
          <w:rFonts w:ascii="Times New Roman" w:hAnsi="Times New Roman"/>
          <w:bCs/>
          <w:sz w:val="24"/>
          <w:szCs w:val="24"/>
        </w:rPr>
        <w:t>pass</w:t>
      </w:r>
      <w:proofErr w:type="gramEnd"/>
      <w:r w:rsidRPr="004236BE">
        <w:rPr>
          <w:rFonts w:ascii="Times New Roman" w:hAnsi="Times New Roman"/>
          <w:bCs/>
          <w:sz w:val="24"/>
          <w:szCs w:val="24"/>
        </w:rPr>
        <w:t xml:space="preserve"> muster. Plainly, Santos engaged in unsavory and unpleasant conduct. However, as we have emphasized, this type of boorish behavior, with this kind of frequency, is insufficient to constitute pervasiveness for a sexual harassment action under Title VII. After reviewing Allen’s </w:t>
      </w:r>
      <w:proofErr w:type="gramStart"/>
      <w:r w:rsidRPr="004236BE">
        <w:rPr>
          <w:rFonts w:ascii="Times New Roman" w:hAnsi="Times New Roman"/>
          <w:bCs/>
          <w:sz w:val="24"/>
          <w:szCs w:val="24"/>
        </w:rPr>
        <w:t>claims, and</w:t>
      </w:r>
      <w:proofErr w:type="gramEnd"/>
      <w:r w:rsidRPr="004236BE">
        <w:rPr>
          <w:rFonts w:ascii="Times New Roman" w:hAnsi="Times New Roman"/>
          <w:bCs/>
          <w:sz w:val="24"/>
          <w:szCs w:val="24"/>
        </w:rPr>
        <w:t xml:space="preserve"> comparing them against those in which this Court has rejected claims of pervasive harassment, we are required to come to the same </w:t>
      </w:r>
      <w:proofErr w:type="gramStart"/>
      <w:r w:rsidRPr="004236BE">
        <w:rPr>
          <w:rFonts w:ascii="Times New Roman" w:hAnsi="Times New Roman"/>
          <w:bCs/>
          <w:sz w:val="24"/>
          <w:szCs w:val="24"/>
        </w:rPr>
        <w:t>conclusion.</w:t>
      </w:r>
      <w:r w:rsidRPr="004236BE">
        <w:rPr>
          <w:rFonts w:ascii="Times New Roman" w:eastAsia="Times New Roman" w:hAnsi="Times New Roman"/>
          <w:bCs/>
          <w:sz w:val="24"/>
          <w:szCs w:val="24"/>
        </w:rPr>
        <w:t>”</w:t>
      </w:r>
      <w:proofErr w:type="gramEnd"/>
      <w:r w:rsidR="00DB482B">
        <w:rPr>
          <w:rFonts w:ascii="Times New Roman" w:eastAsia="Times New Roman" w:hAnsi="Times New Roman"/>
          <w:bCs/>
          <w:sz w:val="24"/>
          <w:szCs w:val="24"/>
        </w:rPr>
        <w:t xml:space="preserve"> </w:t>
      </w:r>
      <w:hyperlink r:id="rId1458" w:history="1">
        <w:r w:rsidR="00DB482B" w:rsidRPr="007B75B7">
          <w:rPr>
            <w:rStyle w:val="Hyperlink"/>
            <w:rFonts w:ascii="Times New Roman" w:eastAsia="Times New Roman" w:hAnsi="Times New Roman"/>
            <w:bCs/>
            <w:sz w:val="24"/>
            <w:szCs w:val="24"/>
          </w:rPr>
          <w:t>http://media.ca11.uscourts.gov/opinions/unpub/files/201810640.pdf</w:t>
        </w:r>
      </w:hyperlink>
      <w:r w:rsidR="00DB482B">
        <w:rPr>
          <w:rFonts w:ascii="Times New Roman" w:eastAsia="Times New Roman" w:hAnsi="Times New Roman"/>
          <w:bCs/>
          <w:sz w:val="24"/>
          <w:szCs w:val="24"/>
        </w:rPr>
        <w:t xml:space="preserve"> </w:t>
      </w:r>
    </w:p>
    <w:bookmarkEnd w:id="305"/>
    <w:p w14:paraId="7B1C78F8" w14:textId="77777777" w:rsidR="00177094" w:rsidRDefault="00177094" w:rsidP="00177094">
      <w:pPr>
        <w:pStyle w:val="NoSpacing"/>
        <w:tabs>
          <w:tab w:val="left" w:pos="2860"/>
        </w:tabs>
        <w:rPr>
          <w:rFonts w:ascii="Times New Roman" w:hAnsi="Times New Roman"/>
          <w:b/>
          <w:bCs/>
          <w:sz w:val="24"/>
          <w:szCs w:val="24"/>
        </w:rPr>
      </w:pPr>
    </w:p>
    <w:p w14:paraId="669BB3F2" w14:textId="7C664971" w:rsidR="00177094" w:rsidRPr="004236BE" w:rsidRDefault="00177094" w:rsidP="00177094">
      <w:pPr>
        <w:pStyle w:val="NoSpacing"/>
        <w:tabs>
          <w:tab w:val="left" w:pos="2860"/>
        </w:tabs>
        <w:rPr>
          <w:rFonts w:ascii="Times New Roman" w:hAnsi="Times New Roman"/>
          <w:b/>
          <w:bCs/>
          <w:sz w:val="24"/>
          <w:szCs w:val="24"/>
        </w:rPr>
      </w:pPr>
      <w:bookmarkStart w:id="306" w:name="_Hlk40511078"/>
      <w:r w:rsidRPr="004236BE">
        <w:rPr>
          <w:rFonts w:ascii="Times New Roman" w:hAnsi="Times New Roman"/>
          <w:b/>
          <w:bCs/>
          <w:sz w:val="24"/>
          <w:szCs w:val="24"/>
        </w:rPr>
        <w:t xml:space="preserve">Legal Lessons Learned: The manager’s comments to the EMT were clearly inappropriate; if the EMT did not admit to being “friends” and working out together, this lawsuit might have proceeded to trial. </w:t>
      </w:r>
    </w:p>
    <w:bookmarkEnd w:id="306"/>
    <w:p w14:paraId="4A3E8FBC" w14:textId="77777777" w:rsidR="00177094" w:rsidRDefault="00177094" w:rsidP="002B1283">
      <w:pPr>
        <w:rPr>
          <w:rFonts w:ascii="Arial Black" w:hAnsi="Arial Black"/>
          <w:b/>
          <w:sz w:val="24"/>
          <w:szCs w:val="24"/>
        </w:rPr>
      </w:pPr>
    </w:p>
    <w:p w14:paraId="6CB0E8B3" w14:textId="3B86463F" w:rsidR="00177094" w:rsidRDefault="00177094" w:rsidP="002B1283">
      <w:pPr>
        <w:rPr>
          <w:rFonts w:ascii="Arial Black" w:hAnsi="Arial Black"/>
          <w:b/>
          <w:sz w:val="24"/>
          <w:szCs w:val="24"/>
        </w:rPr>
      </w:pPr>
      <w:r>
        <w:rPr>
          <w:rFonts w:ascii="Arial Black" w:hAnsi="Arial Black"/>
          <w:b/>
          <w:sz w:val="24"/>
          <w:szCs w:val="24"/>
        </w:rPr>
        <w:t>7-12</w:t>
      </w:r>
    </w:p>
    <w:p w14:paraId="47E5C330" w14:textId="77777777" w:rsidR="00177094" w:rsidRPr="0066064E" w:rsidRDefault="00177094" w:rsidP="00177094">
      <w:pPr>
        <w:pStyle w:val="NoSpacing"/>
        <w:rPr>
          <w:rFonts w:ascii="Arial Black" w:hAnsi="Arial Black" w:cs="Arial"/>
          <w:sz w:val="28"/>
          <w:szCs w:val="28"/>
        </w:rPr>
      </w:pPr>
      <w:r w:rsidRPr="0066064E">
        <w:rPr>
          <w:rFonts w:ascii="Arial Black" w:hAnsi="Arial Black" w:cs="Arial"/>
          <w:sz w:val="28"/>
          <w:szCs w:val="28"/>
        </w:rPr>
        <w:t xml:space="preserve">KS: </w:t>
      </w:r>
      <w:r>
        <w:rPr>
          <w:rFonts w:ascii="Arial Black" w:hAnsi="Arial Black" w:cs="Arial"/>
          <w:sz w:val="28"/>
          <w:szCs w:val="28"/>
        </w:rPr>
        <w:t xml:space="preserve">FEMALE </w:t>
      </w:r>
      <w:r w:rsidRPr="0066064E">
        <w:rPr>
          <w:rFonts w:ascii="Arial Black" w:hAnsi="Arial Black" w:cs="Arial"/>
          <w:sz w:val="28"/>
          <w:szCs w:val="28"/>
        </w:rPr>
        <w:t>FIRE INSPECTOR</w:t>
      </w:r>
      <w:r>
        <w:rPr>
          <w:rFonts w:ascii="Arial Black" w:hAnsi="Arial Black" w:cs="Arial"/>
          <w:sz w:val="28"/>
          <w:szCs w:val="28"/>
        </w:rPr>
        <w:t xml:space="preserve"> - NEW SCBAs / EXCUSED FROM SCBA TRAINING – RESIGNED - NOT HOSTILE WORKPLACE</w:t>
      </w:r>
    </w:p>
    <w:p w14:paraId="547DF083" w14:textId="77777777" w:rsidR="00177094" w:rsidRPr="0066064E" w:rsidRDefault="00177094" w:rsidP="00177094">
      <w:pPr>
        <w:pStyle w:val="NoSpacing"/>
        <w:rPr>
          <w:b/>
          <w:bCs/>
          <w:sz w:val="24"/>
          <w:szCs w:val="24"/>
        </w:rPr>
      </w:pPr>
    </w:p>
    <w:p w14:paraId="7E80B6E4" w14:textId="77777777" w:rsidR="00177094" w:rsidRPr="004236BE" w:rsidRDefault="00177094" w:rsidP="00177094">
      <w:pPr>
        <w:pStyle w:val="NoSpacing"/>
        <w:rPr>
          <w:rFonts w:ascii="Times New Roman" w:hAnsi="Times New Roman"/>
          <w:b/>
          <w:bCs/>
          <w:sz w:val="24"/>
          <w:szCs w:val="24"/>
        </w:rPr>
      </w:pPr>
      <w:r w:rsidRPr="004236BE">
        <w:rPr>
          <w:rFonts w:ascii="Times New Roman" w:hAnsi="Times New Roman"/>
          <w:bCs/>
          <w:sz w:val="24"/>
          <w:szCs w:val="24"/>
        </w:rPr>
        <w:t xml:space="preserve">On </w:t>
      </w:r>
      <w:bookmarkStart w:id="307" w:name="_Hlk39833617"/>
      <w:r w:rsidRPr="004236BE">
        <w:rPr>
          <w:rFonts w:ascii="Times New Roman" w:hAnsi="Times New Roman"/>
          <w:bCs/>
          <w:sz w:val="24"/>
          <w:szCs w:val="24"/>
        </w:rPr>
        <w:t xml:space="preserve">Jan. 14, 2020, in </w:t>
      </w:r>
      <w:r w:rsidRPr="004236BE">
        <w:rPr>
          <w:rFonts w:ascii="Times New Roman" w:hAnsi="Times New Roman"/>
          <w:bCs/>
          <w:sz w:val="24"/>
          <w:szCs w:val="24"/>
          <w:u w:val="single"/>
        </w:rPr>
        <w:t>Amy Bermudez v. City of Topeka, Kansas</w:t>
      </w:r>
      <w:bookmarkEnd w:id="307"/>
      <w:r w:rsidRPr="004236BE">
        <w:rPr>
          <w:rFonts w:ascii="Times New Roman" w:hAnsi="Times New Roman"/>
          <w:bCs/>
          <w:sz w:val="24"/>
          <w:szCs w:val="24"/>
        </w:rPr>
        <w:t xml:space="preserve">, U.S. District Court Judge Holly L. Teeter, U.S. District Court for the District of Kansas, granted the City’s motion for summary judgment and dismissed the lawsuit. </w:t>
      </w:r>
    </w:p>
    <w:p w14:paraId="2AF538D9" w14:textId="77777777" w:rsidR="00177094" w:rsidRPr="004236BE" w:rsidRDefault="00177094" w:rsidP="00177094">
      <w:pPr>
        <w:pStyle w:val="NoSpacing"/>
        <w:rPr>
          <w:rFonts w:ascii="Times New Roman" w:hAnsi="Times New Roman"/>
          <w:b/>
          <w:bCs/>
          <w:sz w:val="24"/>
          <w:szCs w:val="24"/>
        </w:rPr>
      </w:pPr>
    </w:p>
    <w:p w14:paraId="1C92A597" w14:textId="77777777" w:rsidR="00177094" w:rsidRPr="004236BE" w:rsidRDefault="00177094" w:rsidP="00177094">
      <w:pPr>
        <w:pStyle w:val="NoSpacing"/>
        <w:ind w:left="720"/>
        <w:rPr>
          <w:rFonts w:ascii="Times New Roman" w:hAnsi="Times New Roman"/>
          <w:b/>
          <w:bCs/>
          <w:sz w:val="24"/>
          <w:szCs w:val="24"/>
        </w:rPr>
      </w:pPr>
      <w:r w:rsidRPr="004236BE">
        <w:rPr>
          <w:rFonts w:ascii="Times New Roman" w:hAnsi="Times New Roman"/>
          <w:bCs/>
          <w:sz w:val="24"/>
          <w:szCs w:val="24"/>
        </w:rPr>
        <w:t xml:space="preserve">“The Airpack training incident involved Bermudez asking to be excused from the confidence course, the training chief excusing her, and someone else then making some mild comments to Conway [another female Inspector who didn’t take curse].  Within a week or two, the TFD Twitter account posted a picture of Martin [Fire Marshal; plaintiff’s supervisor] with the caption, ‘No one is immune from training.’ But the tweet featured Martin and did not mention Bermudez. The Court finds that this conduct, even when considered collectively, is not sufficiently severe or pervasive that it would dissuade a reasonable worker from engaging in protected activity…. Both incidents were very </w:t>
      </w:r>
      <w:proofErr w:type="gramStart"/>
      <w:r w:rsidRPr="004236BE">
        <w:rPr>
          <w:rFonts w:ascii="Times New Roman" w:hAnsi="Times New Roman"/>
          <w:bCs/>
          <w:sz w:val="24"/>
          <w:szCs w:val="24"/>
        </w:rPr>
        <w:t>tame</w:t>
      </w:r>
      <w:proofErr w:type="gramEnd"/>
      <w:r w:rsidRPr="004236BE">
        <w:rPr>
          <w:rFonts w:ascii="Times New Roman" w:hAnsi="Times New Roman"/>
          <w:bCs/>
          <w:sz w:val="24"/>
          <w:szCs w:val="24"/>
        </w:rPr>
        <w:t xml:space="preserve"> and neither </w:t>
      </w:r>
      <w:proofErr w:type="gramStart"/>
      <w:r w:rsidRPr="004236BE">
        <w:rPr>
          <w:rFonts w:ascii="Times New Roman" w:hAnsi="Times New Roman"/>
          <w:bCs/>
          <w:sz w:val="24"/>
          <w:szCs w:val="24"/>
        </w:rPr>
        <w:t>was even</w:t>
      </w:r>
      <w:proofErr w:type="gramEnd"/>
      <w:r w:rsidRPr="004236BE">
        <w:rPr>
          <w:rFonts w:ascii="Times New Roman" w:hAnsi="Times New Roman"/>
          <w:bCs/>
          <w:sz w:val="24"/>
          <w:szCs w:val="24"/>
        </w:rPr>
        <w:t xml:space="preserve"> outwardly directed at Bermudez. A remark that someone should do firefighter training to consider themselves a fire inspector and then tweeting that no one is immune from training is, at worst, rude or mildly passive aggressive. But it does not objectively rise to the level of conduct that would dissuade a reasonable employee from engaging in protected conduct….   It is well established that Title VII is not ‘a general civility code for the American workplace.’ Burlington N. &amp; Santa Fe Ry. Co. v. White, 548 U.S. 53, 68 (2006) (quoting Oncale v. Sundowner Offshore Servs., Inc., 523 U.S. 75, 80 (1998)). Nor is it the Court’s role ‘to mandate </w:t>
      </w:r>
      <w:proofErr w:type="gramStart"/>
      <w:r w:rsidRPr="004236BE">
        <w:rPr>
          <w:rFonts w:ascii="Times New Roman" w:hAnsi="Times New Roman"/>
          <w:bCs/>
          <w:sz w:val="24"/>
          <w:szCs w:val="24"/>
        </w:rPr>
        <w:t>that certain</w:t>
      </w:r>
      <w:proofErr w:type="gramEnd"/>
      <w:r w:rsidRPr="004236BE">
        <w:rPr>
          <w:rFonts w:ascii="Times New Roman" w:hAnsi="Times New Roman"/>
          <w:bCs/>
          <w:sz w:val="24"/>
          <w:szCs w:val="24"/>
        </w:rPr>
        <w:t xml:space="preserve"> individuals work on their interpersonal skills and cease engaging in inter-departmental personality conflicts.’ Somoza v. Univ. of Denver, 513 F.3d 1206, 1218 (10th Cir. 2008). </w:t>
      </w:r>
      <w:bookmarkStart w:id="308" w:name="_Hlk39833594"/>
      <w:r w:rsidR="00374417">
        <w:fldChar w:fldCharType="begin"/>
      </w:r>
      <w:r w:rsidR="00374417">
        <w:instrText xml:space="preserve"> HYPERLINK "https://ecf.ksd.uscourts.gov/cgi-bin/show_public_doc?2018cv4141-61" </w:instrText>
      </w:r>
      <w:r w:rsidR="00374417">
        <w:fldChar w:fldCharType="separate"/>
      </w:r>
      <w:r w:rsidRPr="004236BE">
        <w:rPr>
          <w:rStyle w:val="Hyperlink"/>
          <w:rFonts w:ascii="Times New Roman" w:hAnsi="Times New Roman"/>
          <w:b/>
          <w:sz w:val="24"/>
          <w:szCs w:val="24"/>
        </w:rPr>
        <w:t>https://ecf.ksd.uscourts.gov/cgi-bin/show_public_doc?2018cv4141-61</w:t>
      </w:r>
      <w:r w:rsidR="00374417">
        <w:rPr>
          <w:rStyle w:val="Hyperlink"/>
          <w:rFonts w:ascii="Times New Roman" w:hAnsi="Times New Roman"/>
          <w:b/>
          <w:sz w:val="24"/>
          <w:szCs w:val="24"/>
        </w:rPr>
        <w:fldChar w:fldCharType="end"/>
      </w:r>
      <w:r w:rsidRPr="004236BE">
        <w:rPr>
          <w:rFonts w:ascii="Times New Roman" w:hAnsi="Times New Roman"/>
          <w:bCs/>
          <w:sz w:val="24"/>
          <w:szCs w:val="24"/>
        </w:rPr>
        <w:t xml:space="preserve"> </w:t>
      </w:r>
    </w:p>
    <w:bookmarkEnd w:id="308"/>
    <w:p w14:paraId="635CF095" w14:textId="00623B0D" w:rsidR="00177094" w:rsidRDefault="00177094" w:rsidP="002B1283">
      <w:pPr>
        <w:rPr>
          <w:rFonts w:ascii="Arial Black" w:hAnsi="Arial Black"/>
          <w:b/>
          <w:sz w:val="24"/>
          <w:szCs w:val="24"/>
        </w:rPr>
      </w:pPr>
    </w:p>
    <w:p w14:paraId="53801CB1" w14:textId="74D98A44" w:rsidR="00177094" w:rsidRDefault="00177094" w:rsidP="002B1283">
      <w:pPr>
        <w:rPr>
          <w:rFonts w:ascii="Arial Black" w:hAnsi="Arial Black"/>
          <w:b/>
          <w:sz w:val="24"/>
          <w:szCs w:val="24"/>
        </w:rPr>
      </w:pPr>
      <w:r w:rsidRPr="004236BE">
        <w:rPr>
          <w:rFonts w:ascii="Times New Roman" w:hAnsi="Times New Roman"/>
          <w:b/>
          <w:bCs/>
          <w:sz w:val="24"/>
          <w:szCs w:val="24"/>
        </w:rPr>
        <w:t>Legal Lessons Learned:  Plaintiff failed to prove that no “reasonable person” in her position would have felt compelled to resign.</w:t>
      </w:r>
      <w:r w:rsidRPr="004236BE">
        <w:rPr>
          <w:rFonts w:ascii="Times New Roman" w:hAnsi="Times New Roman"/>
          <w:sz w:val="24"/>
          <w:szCs w:val="24"/>
        </w:rPr>
        <w:t xml:space="preserve">  See article on this decision: </w:t>
      </w:r>
      <w:bookmarkStart w:id="309" w:name="_Hlk39833529"/>
      <w:r w:rsidRPr="004236BE">
        <w:rPr>
          <w:rFonts w:ascii="Times New Roman" w:hAnsi="Times New Roman"/>
          <w:sz w:val="24"/>
          <w:szCs w:val="24"/>
        </w:rPr>
        <w:t>“Former Kan. fire inspector loses discrimination lawsuit,” Jan. 21, 2020,</w:t>
      </w:r>
      <w:r w:rsidRPr="004236BE">
        <w:rPr>
          <w:rFonts w:ascii="Times New Roman" w:hAnsi="Times New Roman"/>
          <w:bCs/>
          <w:sz w:val="24"/>
          <w:szCs w:val="24"/>
        </w:rPr>
        <w:t xml:space="preserve"> </w:t>
      </w:r>
      <w:hyperlink r:id="rId1459" w:history="1">
        <w:r w:rsidRPr="004236BE">
          <w:rPr>
            <w:rStyle w:val="Hyperlink"/>
            <w:rFonts w:ascii="Times New Roman" w:hAnsi="Times New Roman"/>
            <w:sz w:val="24"/>
            <w:szCs w:val="24"/>
          </w:rPr>
          <w:t>https://www.firerescue1.com/lawsuit/articles/former-kan-fire-inspector-loses-discrimination-lawsuit-</w:t>
        </w:r>
        <w:r w:rsidRPr="004236BE">
          <w:rPr>
            <w:rStyle w:val="Hyperlink"/>
            <w:rFonts w:ascii="Times New Roman" w:hAnsi="Times New Roman"/>
            <w:sz w:val="24"/>
            <w:szCs w:val="24"/>
          </w:rPr>
          <w:lastRenderedPageBreak/>
          <w:t>7znPnJr96hoozkWc/?utm_source=FireRescue1+Member+Newsletter&amp;utm_campaign=c8726896e1-EMAIL_CAMPAIGN_2020_01_21_07_39&amp;utm_medium=email&amp;utm_term=0_758bdbeffe-c8726896e1-41607823</w:t>
        </w:r>
      </w:hyperlink>
      <w:bookmarkEnd w:id="309"/>
    </w:p>
    <w:p w14:paraId="313DB91E" w14:textId="77777777" w:rsidR="00177094" w:rsidRDefault="00177094" w:rsidP="002B1283">
      <w:pPr>
        <w:rPr>
          <w:rFonts w:ascii="Arial Black" w:hAnsi="Arial Black"/>
          <w:b/>
          <w:sz w:val="24"/>
          <w:szCs w:val="24"/>
        </w:rPr>
      </w:pPr>
    </w:p>
    <w:p w14:paraId="459FBCAF" w14:textId="647681AC" w:rsidR="00177094" w:rsidRDefault="00177094" w:rsidP="002B1283">
      <w:pPr>
        <w:rPr>
          <w:rFonts w:ascii="Arial Black" w:hAnsi="Arial Black"/>
          <w:b/>
          <w:sz w:val="24"/>
          <w:szCs w:val="24"/>
        </w:rPr>
      </w:pPr>
      <w:r>
        <w:rPr>
          <w:rFonts w:ascii="Arial Black" w:hAnsi="Arial Black"/>
          <w:b/>
          <w:sz w:val="24"/>
          <w:szCs w:val="24"/>
        </w:rPr>
        <w:t>7-11</w:t>
      </w:r>
    </w:p>
    <w:p w14:paraId="4112A0BA" w14:textId="77777777" w:rsidR="00177094" w:rsidRPr="005E0291" w:rsidRDefault="00177094" w:rsidP="00177094">
      <w:pPr>
        <w:spacing w:before="100" w:beforeAutospacing="1" w:after="100" w:afterAutospacing="1"/>
        <w:rPr>
          <w:rFonts w:ascii="Arial Black" w:eastAsia="Times New Roman" w:hAnsi="Arial Black"/>
          <w:bCs/>
          <w:sz w:val="28"/>
          <w:szCs w:val="28"/>
        </w:rPr>
      </w:pPr>
      <w:r w:rsidRPr="005E0291">
        <w:rPr>
          <w:rFonts w:ascii="Arial Black" w:eastAsia="Times New Roman" w:hAnsi="Arial Black"/>
          <w:bCs/>
          <w:sz w:val="28"/>
          <w:szCs w:val="28"/>
        </w:rPr>
        <w:t xml:space="preserve">IL: </w:t>
      </w:r>
      <w:r>
        <w:rPr>
          <w:rFonts w:ascii="Arial Black" w:eastAsia="Times New Roman" w:hAnsi="Arial Black"/>
          <w:bCs/>
          <w:sz w:val="28"/>
          <w:szCs w:val="28"/>
        </w:rPr>
        <w:t>CHICAGO FD – PARAMEDIC PHYSICAL FITNESS TESTS – 100% MALES, ONLY 79% FEMALES – LAWSUIT TO PROCEED</w:t>
      </w:r>
    </w:p>
    <w:p w14:paraId="02ACDCA3" w14:textId="77777777" w:rsidR="00177094" w:rsidRPr="004236BE" w:rsidRDefault="00177094" w:rsidP="00177094">
      <w:pPr>
        <w:pStyle w:val="NormalWeb"/>
        <w:rPr>
          <w:b/>
          <w:bCs/>
        </w:rPr>
      </w:pPr>
      <w:r w:rsidRPr="004236BE">
        <w:rPr>
          <w:bCs/>
        </w:rPr>
        <w:t xml:space="preserve">On Jan. 14, 2020, in </w:t>
      </w:r>
      <w:r w:rsidRPr="004236BE">
        <w:rPr>
          <w:bCs/>
          <w:u w:val="single"/>
        </w:rPr>
        <w:t>Jennifer Livingston, et al. v. City of Chicago</w:t>
      </w:r>
      <w:r w:rsidRPr="004236BE">
        <w:rPr>
          <w:bCs/>
        </w:rPr>
        <w:t xml:space="preserve">, U.S. District Court Judge Sara L. Ellis, U.S. District Court, Northern District of Illinois, Eastern Division, denied the City’s motion to dismiss.  Twelve (12) female candidates for Firefighter Paramedic positions filed the lawsuit; 8 had timely filed EEOC charges within 300 days and received “Right </w:t>
      </w:r>
      <w:proofErr w:type="gramStart"/>
      <w:r w:rsidRPr="004236BE">
        <w:rPr>
          <w:bCs/>
        </w:rPr>
        <w:t>To</w:t>
      </w:r>
      <w:proofErr w:type="gramEnd"/>
      <w:r w:rsidRPr="004236BE">
        <w:rPr>
          <w:bCs/>
        </w:rPr>
        <w:t xml:space="preserve"> Sue” letters. </w:t>
      </w:r>
    </w:p>
    <w:p w14:paraId="3C98FD42" w14:textId="77777777" w:rsidR="00177094" w:rsidRPr="004236BE" w:rsidRDefault="00177094" w:rsidP="00177094">
      <w:pPr>
        <w:pStyle w:val="NormalWeb"/>
        <w:ind w:left="720"/>
        <w:rPr>
          <w:b/>
          <w:bCs/>
        </w:rPr>
      </w:pPr>
      <w:r w:rsidRPr="004236BE">
        <w:rPr>
          <w:bCs/>
        </w:rPr>
        <w:t xml:space="preserve">“The </w:t>
      </w:r>
      <w:proofErr w:type="gramStart"/>
      <w:r w:rsidRPr="004236BE">
        <w:rPr>
          <w:bCs/>
        </w:rPr>
        <w:t>City</w:t>
      </w:r>
      <w:proofErr w:type="gramEnd"/>
      <w:r w:rsidRPr="004236BE">
        <w:rPr>
          <w:bCs/>
        </w:rPr>
        <w:t xml:space="preserve"> moves to dismiss Bain, Ruch, Youngren, and Venegas (the ‘Non-Filing Plaintiffs’) because they have not exhausted their administrative remedies, as required by Title VII. Because the Non-Filing Plaintiffs can rely on the single-filing rule to bring their claims based on the charges filed by other plaintiffs in this case, the Court denies the City’s motion to dismiss.</w:t>
      </w:r>
    </w:p>
    <w:p w14:paraId="54388E9D" w14:textId="77777777" w:rsidR="00177094" w:rsidRPr="004236BE" w:rsidRDefault="00177094" w:rsidP="00177094">
      <w:pPr>
        <w:pStyle w:val="NormalWeb"/>
        <w:ind w:left="720"/>
        <w:rPr>
          <w:b/>
          <w:bCs/>
        </w:rPr>
      </w:pPr>
      <w:r w:rsidRPr="004236BE">
        <w:rPr>
          <w:bCs/>
        </w:rPr>
        <w:t>***</w:t>
      </w:r>
    </w:p>
    <w:p w14:paraId="18C41260" w14:textId="77777777" w:rsidR="00177094" w:rsidRPr="004236BE" w:rsidRDefault="00177094" w:rsidP="00177094">
      <w:pPr>
        <w:pStyle w:val="NoSpacing"/>
        <w:ind w:left="720"/>
        <w:rPr>
          <w:rFonts w:ascii="Times New Roman" w:hAnsi="Times New Roman"/>
          <w:b/>
          <w:bCs/>
          <w:sz w:val="24"/>
          <w:szCs w:val="24"/>
        </w:rPr>
      </w:pPr>
      <w:r w:rsidRPr="004236BE">
        <w:rPr>
          <w:rFonts w:ascii="Times New Roman" w:hAnsi="Times New Roman"/>
          <w:bCs/>
          <w:sz w:val="24"/>
          <w:szCs w:val="24"/>
        </w:rPr>
        <w:t xml:space="preserve">To bring a Title VII suit, a plaintiff must have exhausted her administrative remedies by filing a timely EEOC charge and receiving a right to sue letter. Allen v. City of Chicago, 828 F. Supp. 543, 555 (N.D. Ill. 1993). Certain exceptions to this rule exist: under the single-filing rule or “piggybacking” doctrine, “an individual who has not exhausted his administrative options may join a lawsuit filed by another individual who has administratively exhausted.” Simpson v. Cook County Sheriff’s Office, No. 18-cv -553, 2018 WL 3753362, at *2 (N.D. Ill. Aug. 8, 2018); see also Anderson v. Montgomery Ward &amp; Co., 852 F.2d 1008, 1017–18 (7th Cir. 1988).” </w:t>
      </w:r>
      <w:hyperlink r:id="rId1460" w:history="1">
        <w:r w:rsidRPr="004236BE">
          <w:rPr>
            <w:rStyle w:val="Hyperlink"/>
            <w:rFonts w:ascii="Times New Roman" w:hAnsi="Times New Roman"/>
            <w:b/>
            <w:sz w:val="24"/>
            <w:szCs w:val="24"/>
          </w:rPr>
          <w:t>https://cases.justia.com/federal/district-courts/illinois/ilndce/1:2016cv10156/332956/114/0.pdf?ts=1547636381</w:t>
        </w:r>
      </w:hyperlink>
      <w:r w:rsidRPr="004236BE">
        <w:rPr>
          <w:rFonts w:ascii="Times New Roman" w:hAnsi="Times New Roman"/>
          <w:bCs/>
          <w:sz w:val="24"/>
          <w:szCs w:val="24"/>
        </w:rPr>
        <w:t xml:space="preserve"> </w:t>
      </w:r>
    </w:p>
    <w:p w14:paraId="0389B6BA" w14:textId="77777777" w:rsidR="00177094" w:rsidRDefault="00177094" w:rsidP="00177094">
      <w:pPr>
        <w:pStyle w:val="NoSpacing"/>
        <w:rPr>
          <w:rFonts w:ascii="Times New Roman" w:hAnsi="Times New Roman"/>
          <w:b/>
          <w:bCs/>
          <w:sz w:val="24"/>
          <w:szCs w:val="24"/>
        </w:rPr>
      </w:pPr>
    </w:p>
    <w:p w14:paraId="2F6952BB" w14:textId="40BBE695" w:rsidR="00177094" w:rsidRPr="004236BE" w:rsidRDefault="00177094" w:rsidP="00177094">
      <w:pPr>
        <w:pStyle w:val="NoSpacing"/>
        <w:rPr>
          <w:rFonts w:ascii="Times New Roman" w:hAnsi="Times New Roman"/>
          <w:sz w:val="24"/>
          <w:szCs w:val="24"/>
        </w:rPr>
      </w:pPr>
      <w:r w:rsidRPr="004236BE">
        <w:rPr>
          <w:rFonts w:ascii="Times New Roman" w:hAnsi="Times New Roman"/>
          <w:b/>
          <w:bCs/>
          <w:sz w:val="24"/>
          <w:szCs w:val="24"/>
        </w:rPr>
        <w:t>Legal Lessons Learned: Lawsuit may proceed; physical ability tests that have an “adverse impact” on female applicants have been subject of litigation, including U.S. Department of Justice cases.</w:t>
      </w:r>
      <w:r w:rsidRPr="004236BE">
        <w:rPr>
          <w:rFonts w:ascii="Times New Roman" w:hAnsi="Times New Roman"/>
          <w:sz w:val="24"/>
          <w:szCs w:val="24"/>
        </w:rPr>
        <w:t xml:space="preserve">  See EEOC review of litigation involving physical agility tests: “Recruitment &amp; Hiring Gender Disparities in Public Safety Occupations” (June 2018): </w:t>
      </w:r>
      <w:hyperlink r:id="rId1461" w:history="1">
        <w:r w:rsidRPr="004236BE">
          <w:rPr>
            <w:rStyle w:val="Hyperlink"/>
            <w:rFonts w:ascii="Times New Roman" w:hAnsi="Times New Roman"/>
            <w:sz w:val="24"/>
            <w:szCs w:val="24"/>
          </w:rPr>
          <w:t>https://www.eeoc.gov/federal/reports/upload/pspe.pdf</w:t>
        </w:r>
      </w:hyperlink>
      <w:r w:rsidRPr="004236BE">
        <w:rPr>
          <w:rFonts w:ascii="Times New Roman" w:hAnsi="Times New Roman"/>
          <w:sz w:val="24"/>
          <w:szCs w:val="24"/>
        </w:rPr>
        <w:t xml:space="preserve"> [pages 12-13].</w:t>
      </w:r>
    </w:p>
    <w:p w14:paraId="76979D55" w14:textId="77777777" w:rsidR="00177094" w:rsidRPr="004236BE" w:rsidRDefault="00177094" w:rsidP="00177094">
      <w:pPr>
        <w:pStyle w:val="NoSpacing"/>
        <w:ind w:left="720"/>
        <w:rPr>
          <w:rFonts w:ascii="Times New Roman" w:hAnsi="Times New Roman"/>
          <w:b/>
          <w:bCs/>
          <w:sz w:val="24"/>
          <w:szCs w:val="24"/>
        </w:rPr>
      </w:pPr>
    </w:p>
    <w:p w14:paraId="317BB812" w14:textId="77777777" w:rsidR="00177094" w:rsidRPr="004236BE" w:rsidRDefault="00177094" w:rsidP="00177094">
      <w:pPr>
        <w:pStyle w:val="NoSpacing"/>
        <w:ind w:left="720"/>
        <w:rPr>
          <w:rFonts w:ascii="Times New Roman" w:hAnsi="Times New Roman"/>
          <w:b/>
          <w:bCs/>
          <w:sz w:val="24"/>
          <w:szCs w:val="24"/>
        </w:rPr>
      </w:pPr>
      <w:r w:rsidRPr="004236BE">
        <w:rPr>
          <w:rFonts w:ascii="Times New Roman" w:hAnsi="Times New Roman"/>
          <w:bCs/>
          <w:sz w:val="24"/>
          <w:szCs w:val="24"/>
        </w:rPr>
        <w:t>“Once employers could no longer segregate women into peripheral jobs, they began using screening tests for public safety occupations. Initially, height and weight restrictions were used in some public safety jobs to screen applicants, because it was thought that taller and heavier people were more able to perform the presumed physically demanding duties</w:t>
      </w:r>
      <w:r>
        <w:rPr>
          <w:rFonts w:ascii="Times New Roman" w:hAnsi="Times New Roman"/>
          <w:bCs/>
          <w:sz w:val="24"/>
          <w:szCs w:val="24"/>
        </w:rPr>
        <w:t xml:space="preserve"> </w:t>
      </w:r>
      <w:r w:rsidRPr="004236BE">
        <w:rPr>
          <w:rFonts w:ascii="Times New Roman" w:hAnsi="Times New Roman"/>
          <w:bCs/>
          <w:sz w:val="24"/>
          <w:szCs w:val="24"/>
        </w:rPr>
        <w:t>of these jobs. In 1977, the Supreme Court addressed this issue when it rejected an Alabama prison facility’s height and weight restriction because it led to an unjustified disproportionate exclusion, or a ‘disparate impact’, on women. [Dothard v. Rawlinson, 433 U.S.321(1977).]</w:t>
      </w:r>
      <w:r w:rsidRPr="004236BE">
        <w:rPr>
          <w:rFonts w:ascii="Times New Roman" w:hAnsi="Times New Roman"/>
          <w:sz w:val="24"/>
          <w:szCs w:val="24"/>
        </w:rPr>
        <w:t xml:space="preserve"> </w:t>
      </w:r>
      <w:r w:rsidRPr="004236BE">
        <w:rPr>
          <w:rFonts w:ascii="Times New Roman" w:hAnsi="Times New Roman"/>
          <w:bCs/>
          <w:sz w:val="24"/>
          <w:szCs w:val="24"/>
        </w:rPr>
        <w:t xml:space="preserve">When height and weight restrictions thus fell by the wayside, they were replaced by physical ability tests (PATs) to qualify applicants for public safety positions…. PATs were gender‐neutral, requiring the same performance for men and women. This still led to a disparate impact on women who had comparable physical fitness levels as qualified </w:t>
      </w:r>
      <w:proofErr w:type="gramStart"/>
      <w:r w:rsidRPr="004236BE">
        <w:rPr>
          <w:rFonts w:ascii="Times New Roman" w:hAnsi="Times New Roman"/>
          <w:bCs/>
          <w:sz w:val="24"/>
          <w:szCs w:val="24"/>
        </w:rPr>
        <w:t>men, but</w:t>
      </w:r>
      <w:proofErr w:type="gramEnd"/>
      <w:r w:rsidRPr="004236BE">
        <w:rPr>
          <w:rFonts w:ascii="Times New Roman" w:hAnsi="Times New Roman"/>
          <w:bCs/>
          <w:sz w:val="24"/>
          <w:szCs w:val="24"/>
        </w:rPr>
        <w:t xml:space="preserve"> could not reach the required threshold of agender‐neutral test. </w:t>
      </w:r>
    </w:p>
    <w:p w14:paraId="72515D7B" w14:textId="77777777" w:rsidR="00177094" w:rsidRPr="004236BE" w:rsidRDefault="00177094" w:rsidP="00177094">
      <w:pPr>
        <w:pStyle w:val="NoSpacing"/>
        <w:ind w:left="720"/>
        <w:rPr>
          <w:rFonts w:ascii="Times New Roman" w:hAnsi="Times New Roman"/>
          <w:b/>
          <w:bCs/>
          <w:sz w:val="24"/>
          <w:szCs w:val="24"/>
        </w:rPr>
      </w:pPr>
    </w:p>
    <w:p w14:paraId="367C3ACF" w14:textId="77777777" w:rsidR="00177094" w:rsidRPr="004236BE" w:rsidRDefault="00177094" w:rsidP="00177094">
      <w:pPr>
        <w:pStyle w:val="NoSpacing"/>
        <w:ind w:left="720"/>
        <w:rPr>
          <w:rFonts w:ascii="Times New Roman" w:hAnsi="Times New Roman"/>
          <w:b/>
          <w:bCs/>
          <w:sz w:val="24"/>
          <w:szCs w:val="24"/>
        </w:rPr>
      </w:pPr>
      <w:r w:rsidRPr="004236BE">
        <w:rPr>
          <w:rFonts w:ascii="Times New Roman" w:hAnsi="Times New Roman"/>
          <w:bCs/>
          <w:sz w:val="24"/>
          <w:szCs w:val="24"/>
        </w:rPr>
        <w:lastRenderedPageBreak/>
        <w:t>[Footnote 17]: In cases involving a state or local government’s use of PATs to screen law enforcement applicants, the Department of Justice (DOJ), not the EEOC, has authority to bring any lawsuit on behalf of the government…. The DOJ has challenged PATs as discriminatory against women. See ,e.g., Lanning v. Southeastern Penn. Transp. Auth.,181 F.3d 478 (3dCir.1999); United States v. Massachusetts, 781 F.Supp.2d 1(D.Mass.2011) (challenging PAT that has disparate impact against women for prison guard jobs); United States v. City of Erie, 411F.Supp.2d 524 (W.D.Pa.2005)(finding for plaintiff DOJ that unitary PAT for police officers created a disparate impact and the defendant failed to prove that requiring a unitary test time was sufficiently job‐related.”</w:t>
      </w:r>
    </w:p>
    <w:p w14:paraId="56E8EC3E" w14:textId="77777777" w:rsidR="00177094" w:rsidRPr="004236BE" w:rsidRDefault="00177094" w:rsidP="00177094">
      <w:pPr>
        <w:pStyle w:val="NoSpacing"/>
        <w:rPr>
          <w:rFonts w:ascii="Times New Roman" w:hAnsi="Times New Roman"/>
          <w:b/>
          <w:bCs/>
          <w:sz w:val="24"/>
          <w:szCs w:val="24"/>
        </w:rPr>
      </w:pPr>
    </w:p>
    <w:p w14:paraId="28E9E0FF" w14:textId="77777777" w:rsidR="00177094" w:rsidRDefault="00177094" w:rsidP="002B1283">
      <w:pPr>
        <w:rPr>
          <w:rFonts w:ascii="Arial Black" w:hAnsi="Arial Black"/>
          <w:b/>
          <w:sz w:val="24"/>
          <w:szCs w:val="24"/>
        </w:rPr>
      </w:pPr>
    </w:p>
    <w:p w14:paraId="337AF670" w14:textId="1C1670B9" w:rsidR="00DE0F03" w:rsidRDefault="00DE0F03" w:rsidP="002B1283">
      <w:pPr>
        <w:rPr>
          <w:rFonts w:ascii="Arial Black" w:hAnsi="Arial Black"/>
          <w:sz w:val="32"/>
          <w:szCs w:val="32"/>
        </w:rPr>
      </w:pPr>
      <w:r>
        <w:rPr>
          <w:rFonts w:ascii="Arial Black" w:hAnsi="Arial Black"/>
          <w:b/>
          <w:sz w:val="24"/>
          <w:szCs w:val="24"/>
        </w:rPr>
        <w:t>7</w:t>
      </w:r>
      <w:r w:rsidRPr="00EF1133">
        <w:rPr>
          <w:rFonts w:ascii="Arial Black" w:hAnsi="Arial Black"/>
          <w:b/>
          <w:sz w:val="24"/>
          <w:szCs w:val="24"/>
        </w:rPr>
        <w:t>-</w:t>
      </w:r>
      <w:r w:rsidR="005B0774">
        <w:rPr>
          <w:rFonts w:ascii="Arial Black" w:hAnsi="Arial Black"/>
          <w:b/>
          <w:sz w:val="24"/>
          <w:szCs w:val="24"/>
        </w:rPr>
        <w:t>1</w:t>
      </w:r>
      <w:r w:rsidR="00AE0ACC">
        <w:rPr>
          <w:rFonts w:ascii="Arial Black" w:hAnsi="Arial Black"/>
          <w:b/>
          <w:sz w:val="24"/>
          <w:szCs w:val="24"/>
        </w:rPr>
        <w:t>0</w:t>
      </w:r>
    </w:p>
    <w:p w14:paraId="47EF7F9B" w14:textId="6029825C" w:rsidR="002B1283" w:rsidRPr="00DB1DCD" w:rsidRDefault="002B1283" w:rsidP="002B1283">
      <w:pPr>
        <w:rPr>
          <w:rFonts w:ascii="Arial Black" w:hAnsi="Arial Black"/>
          <w:sz w:val="32"/>
          <w:szCs w:val="32"/>
        </w:rPr>
      </w:pPr>
      <w:r>
        <w:rPr>
          <w:rFonts w:ascii="Arial Black" w:hAnsi="Arial Black"/>
          <w:sz w:val="32"/>
          <w:szCs w:val="32"/>
        </w:rPr>
        <w:t xml:space="preserve">TX:  DEP. FIRE CHIEF RESIGNED AFTER HE FACED TWO SEXUAL </w:t>
      </w:r>
      <w:proofErr w:type="gramStart"/>
      <w:r>
        <w:rPr>
          <w:rFonts w:ascii="Arial Black" w:hAnsi="Arial Black"/>
          <w:sz w:val="32"/>
          <w:szCs w:val="32"/>
        </w:rPr>
        <w:t>HARASSMENT</w:t>
      </w:r>
      <w:proofErr w:type="gramEnd"/>
      <w:r>
        <w:rPr>
          <w:rFonts w:ascii="Arial Black" w:hAnsi="Arial Black"/>
          <w:sz w:val="32"/>
          <w:szCs w:val="32"/>
        </w:rPr>
        <w:t xml:space="preserve"> INVEST – LAWSUIT DISMISSAL UPHELD </w:t>
      </w:r>
    </w:p>
    <w:p w14:paraId="49FF3114" w14:textId="4AF790DE" w:rsidR="002B1283" w:rsidRDefault="002B1283" w:rsidP="002B1283">
      <w:pPr>
        <w:rPr>
          <w:rFonts w:ascii="Times New Roman" w:hAnsi="Times New Roman"/>
          <w:sz w:val="24"/>
          <w:szCs w:val="24"/>
        </w:rPr>
      </w:pPr>
      <w:r w:rsidRPr="00DB1DCD">
        <w:rPr>
          <w:rFonts w:ascii="Times New Roman" w:hAnsi="Times New Roman"/>
          <w:sz w:val="24"/>
          <w:szCs w:val="24"/>
        </w:rPr>
        <w:t xml:space="preserve">On July 10, 2019, in </w:t>
      </w:r>
      <w:r w:rsidRPr="00DB1DCD">
        <w:rPr>
          <w:rFonts w:ascii="Times New Roman" w:hAnsi="Times New Roman"/>
          <w:sz w:val="24"/>
          <w:szCs w:val="24"/>
          <w:u w:val="single"/>
        </w:rPr>
        <w:t>Carlos Mandujano v. City of Pharr, Texas</w:t>
      </w:r>
      <w:r w:rsidRPr="00DB1DCD">
        <w:rPr>
          <w:rFonts w:ascii="Times New Roman" w:hAnsi="Times New Roman"/>
          <w:sz w:val="24"/>
          <w:szCs w:val="24"/>
        </w:rPr>
        <w:t xml:space="preserve">, </w:t>
      </w:r>
      <w:r>
        <w:rPr>
          <w:rFonts w:ascii="Times New Roman" w:hAnsi="Times New Roman"/>
          <w:sz w:val="24"/>
          <w:szCs w:val="24"/>
        </w:rPr>
        <w:t xml:space="preserve">the U.S. Court of Appeals for the Fifth Circuit held (3 to 0; unpublished opinion ) that the U.S. District Court judge had properly dismissed his lawsuit claiming the City’s investigations created a hostile work environment and resulted in his “constructive discharge.” </w:t>
      </w:r>
    </w:p>
    <w:p w14:paraId="5E0AA8F3" w14:textId="77777777" w:rsidR="002B1283" w:rsidRDefault="002B1283" w:rsidP="002B1283">
      <w:pPr>
        <w:pStyle w:val="NoSpacing"/>
        <w:ind w:left="720"/>
        <w:rPr>
          <w:rFonts w:ascii="Times New Roman" w:hAnsi="Times New Roman"/>
          <w:sz w:val="24"/>
          <w:szCs w:val="24"/>
        </w:rPr>
      </w:pPr>
      <w:r>
        <w:rPr>
          <w:rFonts w:ascii="Times New Roman" w:hAnsi="Times New Roman"/>
          <w:sz w:val="24"/>
          <w:szCs w:val="24"/>
        </w:rPr>
        <w:t>“</w:t>
      </w:r>
      <w:r w:rsidRPr="00AC2240">
        <w:rPr>
          <w:rFonts w:ascii="Times New Roman" w:hAnsi="Times New Roman"/>
          <w:sz w:val="24"/>
          <w:szCs w:val="24"/>
        </w:rPr>
        <w:t xml:space="preserve">Mandujano’s sex-discrimination claim rests on a theory that the City’s investigations into him created a hostile work environment and resulted in his constructive discharge. To state a claim of constructive discharge, a plaintiff must allege that working conditions became </w:t>
      </w:r>
      <w:r>
        <w:rPr>
          <w:rFonts w:ascii="Times New Roman" w:hAnsi="Times New Roman"/>
          <w:sz w:val="24"/>
          <w:szCs w:val="24"/>
        </w:rPr>
        <w:t>‘</w:t>
      </w:r>
      <w:r w:rsidRPr="00AC2240">
        <w:rPr>
          <w:rFonts w:ascii="Times New Roman" w:hAnsi="Times New Roman"/>
          <w:sz w:val="24"/>
          <w:szCs w:val="24"/>
        </w:rPr>
        <w:t>so intolerable that a reasonable person would have felt compelled to resign.</w:t>
      </w:r>
      <w:r>
        <w:rPr>
          <w:rFonts w:ascii="Times New Roman" w:hAnsi="Times New Roman"/>
          <w:sz w:val="24"/>
          <w:szCs w:val="24"/>
        </w:rPr>
        <w:t>’</w:t>
      </w:r>
      <w:r w:rsidRPr="00AC2240">
        <w:rPr>
          <w:rFonts w:ascii="Times New Roman" w:hAnsi="Times New Roman"/>
          <w:sz w:val="24"/>
          <w:szCs w:val="24"/>
        </w:rPr>
        <w:t xml:space="preserve"> Pa. State Police v. Suders, 542 U.S. 129, 147 (2004). Mandujano’s initial complaint did not plausibly allege that this occurred</w:t>
      </w:r>
      <w:r>
        <w:rPr>
          <w:rFonts w:ascii="Times New Roman" w:hAnsi="Times New Roman"/>
          <w:sz w:val="24"/>
          <w:szCs w:val="24"/>
        </w:rPr>
        <w:t>.”</w:t>
      </w:r>
    </w:p>
    <w:p w14:paraId="5A006691" w14:textId="77777777" w:rsidR="002B1283" w:rsidRDefault="002B1283" w:rsidP="002B1283">
      <w:pPr>
        <w:ind w:left="720"/>
        <w:rPr>
          <w:rFonts w:ascii="Times New Roman" w:hAnsi="Times New Roman"/>
          <w:sz w:val="24"/>
          <w:szCs w:val="24"/>
        </w:rPr>
      </w:pPr>
      <w:hyperlink r:id="rId1462" w:history="1">
        <w:r w:rsidRPr="00455844">
          <w:rPr>
            <w:rStyle w:val="Hyperlink"/>
            <w:rFonts w:ascii="Times New Roman" w:hAnsi="Times New Roman"/>
            <w:sz w:val="24"/>
            <w:szCs w:val="24"/>
          </w:rPr>
          <w:t>https://cases.justia.com/federal/appellate-courts/ca5/18-40561/18-40561-2019-07-10.pdf?ts=1562779857</w:t>
        </w:r>
      </w:hyperlink>
      <w:r>
        <w:rPr>
          <w:rFonts w:ascii="Times New Roman" w:hAnsi="Times New Roman"/>
          <w:sz w:val="24"/>
          <w:szCs w:val="24"/>
        </w:rPr>
        <w:t xml:space="preserve"> </w:t>
      </w:r>
    </w:p>
    <w:p w14:paraId="7DD8EB69" w14:textId="003E4D2B" w:rsidR="00AE0ACC" w:rsidRDefault="002B1283" w:rsidP="00AE0ACC">
      <w:pPr>
        <w:rPr>
          <w:rFonts w:ascii="Times New Roman" w:hAnsi="Times New Roman"/>
          <w:sz w:val="24"/>
          <w:szCs w:val="24"/>
        </w:rPr>
      </w:pPr>
      <w:r w:rsidRPr="002A20ED">
        <w:rPr>
          <w:rFonts w:ascii="Times New Roman" w:hAnsi="Times New Roman"/>
          <w:b/>
          <w:bCs/>
          <w:sz w:val="24"/>
          <w:szCs w:val="24"/>
        </w:rPr>
        <w:t xml:space="preserve">Legal Lessons Learned: </w:t>
      </w:r>
      <w:r>
        <w:rPr>
          <w:rFonts w:ascii="Times New Roman" w:hAnsi="Times New Roman"/>
          <w:b/>
          <w:bCs/>
          <w:sz w:val="24"/>
          <w:szCs w:val="24"/>
        </w:rPr>
        <w:t xml:space="preserve"> Fire &amp; EMS departments, like other employers, have an obligation to investigate claims of sexual harassment; individuals being investigated may obviously feel uncomfortable, but that does not support a claim of hostile workplace.</w:t>
      </w:r>
      <w:r w:rsidR="00AE0ACC">
        <w:rPr>
          <w:rFonts w:ascii="Times New Roman" w:hAnsi="Times New Roman"/>
          <w:b/>
          <w:bCs/>
          <w:sz w:val="24"/>
          <w:szCs w:val="24"/>
        </w:rPr>
        <w:t xml:space="preserve">  </w:t>
      </w:r>
      <w:r w:rsidR="00AE0ACC">
        <w:rPr>
          <w:rFonts w:ascii="Times New Roman" w:hAnsi="Times New Roman"/>
          <w:sz w:val="24"/>
          <w:szCs w:val="24"/>
        </w:rPr>
        <w:t xml:space="preserve">Note:  On Sept. 4, </w:t>
      </w:r>
      <w:proofErr w:type="gramStart"/>
      <w:r w:rsidR="00AE0ACC">
        <w:rPr>
          <w:rFonts w:ascii="Times New Roman" w:hAnsi="Times New Roman"/>
          <w:sz w:val="24"/>
          <w:szCs w:val="24"/>
        </w:rPr>
        <w:t>2019</w:t>
      </w:r>
      <w:proofErr w:type="gramEnd"/>
      <w:r w:rsidR="00AE0ACC">
        <w:rPr>
          <w:rFonts w:ascii="Times New Roman" w:hAnsi="Times New Roman"/>
          <w:sz w:val="24"/>
          <w:szCs w:val="24"/>
        </w:rPr>
        <w:t xml:space="preserve"> the 5</w:t>
      </w:r>
      <w:r w:rsidR="00AE0ACC" w:rsidRPr="00D773BE">
        <w:rPr>
          <w:rFonts w:ascii="Times New Roman" w:hAnsi="Times New Roman"/>
          <w:sz w:val="24"/>
          <w:szCs w:val="24"/>
          <w:vertAlign w:val="superscript"/>
        </w:rPr>
        <w:t>th</w:t>
      </w:r>
      <w:r w:rsidR="00AE0ACC">
        <w:rPr>
          <w:rFonts w:ascii="Times New Roman" w:hAnsi="Times New Roman"/>
          <w:sz w:val="24"/>
          <w:szCs w:val="24"/>
        </w:rPr>
        <w:t xml:space="preserve"> Circuit filed replacement opinion, but with same conclusion – lawsuit properly dismissed: </w:t>
      </w:r>
      <w:hyperlink r:id="rId1463" w:history="1">
        <w:r w:rsidR="00AE0ACC" w:rsidRPr="000D05D3">
          <w:rPr>
            <w:rStyle w:val="Hyperlink"/>
            <w:rFonts w:ascii="Times New Roman" w:hAnsi="Times New Roman"/>
            <w:sz w:val="24"/>
            <w:szCs w:val="24"/>
          </w:rPr>
          <w:t>http://www.ca5.uscourts.gov/opinions/unpub/18/18-40561.1.pdf</w:t>
        </w:r>
      </w:hyperlink>
    </w:p>
    <w:p w14:paraId="00F957E0" w14:textId="56A19E52" w:rsidR="00AE0ACC" w:rsidRDefault="00AE0ACC" w:rsidP="002B1283">
      <w:pPr>
        <w:pStyle w:val="NoSpacing"/>
        <w:rPr>
          <w:rFonts w:ascii="Times New Roman" w:hAnsi="Times New Roman"/>
          <w:sz w:val="24"/>
          <w:szCs w:val="24"/>
        </w:rPr>
      </w:pPr>
    </w:p>
    <w:p w14:paraId="1143A3EE" w14:textId="77777777" w:rsidR="00BF4DDE" w:rsidRPr="00AE0ACC" w:rsidRDefault="00BF4DDE" w:rsidP="002B1283">
      <w:pPr>
        <w:pStyle w:val="NoSpacing"/>
        <w:rPr>
          <w:rFonts w:ascii="Times New Roman" w:hAnsi="Times New Roman"/>
          <w:sz w:val="24"/>
          <w:szCs w:val="24"/>
        </w:rPr>
      </w:pPr>
    </w:p>
    <w:p w14:paraId="76CAA9EE" w14:textId="77777777" w:rsidR="00AE0ACC" w:rsidRDefault="00AE0ACC" w:rsidP="00DE0F03">
      <w:pPr>
        <w:rPr>
          <w:rFonts w:ascii="Arial Black" w:hAnsi="Arial Black"/>
          <w:b/>
          <w:sz w:val="24"/>
          <w:szCs w:val="24"/>
        </w:rPr>
      </w:pPr>
    </w:p>
    <w:p w14:paraId="33DD32B8" w14:textId="376347EA" w:rsidR="002B1283" w:rsidRDefault="00DE0F03" w:rsidP="00DE0F03">
      <w:pPr>
        <w:rPr>
          <w:rFonts w:ascii="Arial Black" w:hAnsi="Arial Black"/>
          <w:sz w:val="28"/>
          <w:szCs w:val="28"/>
        </w:rPr>
      </w:pPr>
      <w:r>
        <w:rPr>
          <w:rFonts w:ascii="Arial Black" w:hAnsi="Arial Black"/>
          <w:b/>
          <w:sz w:val="24"/>
          <w:szCs w:val="24"/>
        </w:rPr>
        <w:t>7</w:t>
      </w:r>
      <w:r w:rsidRPr="00EF1133">
        <w:rPr>
          <w:rFonts w:ascii="Arial Black" w:hAnsi="Arial Black"/>
          <w:b/>
          <w:sz w:val="24"/>
          <w:szCs w:val="24"/>
        </w:rPr>
        <w:t>-</w:t>
      </w:r>
      <w:r w:rsidR="005B0774">
        <w:rPr>
          <w:rFonts w:ascii="Arial Black" w:hAnsi="Arial Black"/>
          <w:b/>
          <w:sz w:val="24"/>
          <w:szCs w:val="24"/>
        </w:rPr>
        <w:t>9</w:t>
      </w:r>
    </w:p>
    <w:p w14:paraId="0D9A3912" w14:textId="57460290" w:rsidR="002B1283" w:rsidRPr="00E232C6" w:rsidRDefault="002B1283" w:rsidP="002B1283">
      <w:pPr>
        <w:pStyle w:val="NoSpacing"/>
        <w:rPr>
          <w:rFonts w:ascii="Arial Black" w:hAnsi="Arial Black"/>
          <w:sz w:val="28"/>
          <w:szCs w:val="28"/>
        </w:rPr>
      </w:pPr>
      <w:r w:rsidRPr="00E232C6">
        <w:rPr>
          <w:rFonts w:ascii="Arial Black" w:hAnsi="Arial Black"/>
          <w:sz w:val="28"/>
          <w:szCs w:val="28"/>
        </w:rPr>
        <w:t xml:space="preserve">PA: </w:t>
      </w:r>
      <w:r>
        <w:rPr>
          <w:rFonts w:ascii="Arial Black" w:hAnsi="Arial Black"/>
          <w:sz w:val="28"/>
          <w:szCs w:val="28"/>
        </w:rPr>
        <w:t>PHILADELPHIA FD – FIRST FEMALE DEPUTY COMM. – LAWSUIT FOR HOSTILE WORKPLACE DISMISSED</w:t>
      </w:r>
    </w:p>
    <w:p w14:paraId="708C26B3" w14:textId="77777777" w:rsidR="002B1283" w:rsidRDefault="002B1283" w:rsidP="002B1283">
      <w:pPr>
        <w:pStyle w:val="NoSpacing"/>
        <w:rPr>
          <w:rFonts w:ascii="Times New Roman" w:hAnsi="Times New Roman"/>
          <w:sz w:val="24"/>
          <w:szCs w:val="24"/>
        </w:rPr>
      </w:pPr>
    </w:p>
    <w:p w14:paraId="4BB5A5F3" w14:textId="77777777" w:rsidR="002B1283" w:rsidRDefault="002B1283" w:rsidP="002B1283">
      <w:pPr>
        <w:pStyle w:val="NoSpacing"/>
        <w:rPr>
          <w:rFonts w:ascii="Times New Roman" w:hAnsi="Times New Roman"/>
          <w:sz w:val="24"/>
          <w:szCs w:val="24"/>
        </w:rPr>
      </w:pPr>
      <w:r w:rsidRPr="008522B7">
        <w:rPr>
          <w:rFonts w:ascii="Times New Roman" w:hAnsi="Times New Roman"/>
          <w:sz w:val="24"/>
          <w:szCs w:val="24"/>
        </w:rPr>
        <w:t xml:space="preserve">On July 9, 2019, in </w:t>
      </w:r>
      <w:r w:rsidRPr="008522B7">
        <w:rPr>
          <w:rFonts w:ascii="Times New Roman" w:hAnsi="Times New Roman"/>
          <w:sz w:val="24"/>
          <w:szCs w:val="24"/>
          <w:u w:val="single"/>
        </w:rPr>
        <w:t>Diane M. Schweizer v. City of Philadelphia</w:t>
      </w:r>
      <w:r w:rsidRPr="008522B7">
        <w:rPr>
          <w:rFonts w:ascii="Times New Roman" w:hAnsi="Times New Roman"/>
          <w:sz w:val="24"/>
          <w:szCs w:val="24"/>
        </w:rPr>
        <w:t xml:space="preserve">, U.S. Magistrate Judge Jacob P. Hart granted the City’s motion for summary judgment. </w:t>
      </w:r>
    </w:p>
    <w:p w14:paraId="12AC3E1C" w14:textId="77777777" w:rsidR="002B1283" w:rsidRDefault="002B1283" w:rsidP="002B1283">
      <w:pPr>
        <w:pStyle w:val="NoSpacing"/>
        <w:rPr>
          <w:rFonts w:ascii="Times New Roman" w:hAnsi="Times New Roman"/>
          <w:sz w:val="24"/>
          <w:szCs w:val="24"/>
        </w:rPr>
      </w:pPr>
    </w:p>
    <w:p w14:paraId="74D7820C" w14:textId="77777777" w:rsidR="002B1283" w:rsidRDefault="002B1283" w:rsidP="002B1283">
      <w:pPr>
        <w:pStyle w:val="NoSpacing"/>
        <w:ind w:left="720"/>
        <w:rPr>
          <w:rFonts w:ascii="Times New Roman" w:hAnsi="Times New Roman"/>
          <w:sz w:val="24"/>
          <w:szCs w:val="24"/>
        </w:rPr>
      </w:pPr>
      <w:r>
        <w:rPr>
          <w:rFonts w:ascii="Times New Roman" w:hAnsi="Times New Roman"/>
          <w:sz w:val="24"/>
          <w:szCs w:val="24"/>
        </w:rPr>
        <w:t>“</w:t>
      </w:r>
      <w:r w:rsidRPr="003660EC">
        <w:rPr>
          <w:rFonts w:ascii="Times New Roman" w:hAnsi="Times New Roman"/>
          <w:sz w:val="24"/>
          <w:szCs w:val="24"/>
        </w:rPr>
        <w:t>At her deposition, Schweizer admitted time and time again that she had no facts to support her belief that her gender underlay the treatment of which she complained. She may indeed have developed a hunch that she would have been treated better if she had been a man, but this is not enough to survive summary judgment</w:t>
      </w:r>
      <w:r>
        <w:rPr>
          <w:rFonts w:ascii="Times New Roman" w:hAnsi="Times New Roman"/>
          <w:sz w:val="24"/>
          <w:szCs w:val="24"/>
        </w:rPr>
        <w:t>.”</w:t>
      </w:r>
    </w:p>
    <w:p w14:paraId="0AA50A50" w14:textId="77777777" w:rsidR="002B1283" w:rsidRDefault="002B1283" w:rsidP="002B1283">
      <w:pPr>
        <w:pStyle w:val="NoSpacing"/>
        <w:ind w:left="720"/>
        <w:rPr>
          <w:rFonts w:ascii="Times New Roman" w:hAnsi="Times New Roman"/>
          <w:sz w:val="24"/>
          <w:szCs w:val="24"/>
        </w:rPr>
      </w:pPr>
      <w:hyperlink r:id="rId1464" w:history="1">
        <w:r w:rsidRPr="00455844">
          <w:rPr>
            <w:rStyle w:val="Hyperlink"/>
            <w:rFonts w:ascii="Times New Roman" w:hAnsi="Times New Roman"/>
            <w:sz w:val="24"/>
            <w:szCs w:val="24"/>
          </w:rPr>
          <w:t>https://cases.justia.com/federal/district-courts/pennsylvania/paedce/2:2017cv05388/537208/50/0.pdf?ts=1562761562</w:t>
        </w:r>
      </w:hyperlink>
      <w:r w:rsidRPr="008522B7">
        <w:rPr>
          <w:rFonts w:ascii="Times New Roman" w:hAnsi="Times New Roman"/>
          <w:sz w:val="24"/>
          <w:szCs w:val="24"/>
        </w:rPr>
        <w:t xml:space="preserve"> </w:t>
      </w:r>
    </w:p>
    <w:p w14:paraId="78894D97" w14:textId="77777777" w:rsidR="002B1283" w:rsidRDefault="002B1283" w:rsidP="002B1283">
      <w:pPr>
        <w:pStyle w:val="NoSpacing"/>
        <w:rPr>
          <w:rFonts w:ascii="Times New Roman" w:hAnsi="Times New Roman"/>
          <w:sz w:val="24"/>
          <w:szCs w:val="24"/>
        </w:rPr>
      </w:pPr>
    </w:p>
    <w:p w14:paraId="63EF3A89" w14:textId="77777777" w:rsidR="002B1283" w:rsidRPr="003660EC" w:rsidRDefault="002B1283" w:rsidP="002B1283">
      <w:pPr>
        <w:pStyle w:val="NoSpacing"/>
        <w:rPr>
          <w:rFonts w:ascii="Times New Roman" w:hAnsi="Times New Roman"/>
          <w:sz w:val="24"/>
          <w:szCs w:val="24"/>
        </w:rPr>
      </w:pPr>
    </w:p>
    <w:p w14:paraId="6BA57AE0" w14:textId="77777777" w:rsidR="002B1283" w:rsidRPr="00491621" w:rsidRDefault="002B1283" w:rsidP="002B1283">
      <w:pPr>
        <w:pStyle w:val="NoSpacing"/>
        <w:rPr>
          <w:rFonts w:ascii="Times New Roman" w:hAnsi="Times New Roman"/>
          <w:b/>
          <w:bCs/>
          <w:sz w:val="24"/>
          <w:szCs w:val="24"/>
        </w:rPr>
      </w:pPr>
      <w:r w:rsidRPr="00491621">
        <w:rPr>
          <w:rFonts w:ascii="Times New Roman" w:hAnsi="Times New Roman"/>
          <w:b/>
          <w:bCs/>
          <w:sz w:val="24"/>
          <w:szCs w:val="24"/>
        </w:rPr>
        <w:t xml:space="preserve">Legal Lessons Learned: The EEOC’s description of workplace harassment includes following: “Petty slights, annoyances, and isolated incidents (unless extremely serious) will not rise to the level of illegality. To be unlawful, the conduct must create a work environment that would be intimidating, hostile, or offensive to reasonable people.”  </w:t>
      </w:r>
      <w:hyperlink r:id="rId1465" w:history="1">
        <w:r w:rsidRPr="00491621">
          <w:rPr>
            <w:rStyle w:val="Hyperlink"/>
            <w:rFonts w:ascii="Times New Roman" w:hAnsi="Times New Roman"/>
            <w:b/>
            <w:bCs/>
            <w:sz w:val="24"/>
            <w:szCs w:val="24"/>
          </w:rPr>
          <w:t>https://www.eeoc.gov/laws/types/harassment.cfm</w:t>
        </w:r>
      </w:hyperlink>
      <w:r w:rsidRPr="00491621">
        <w:rPr>
          <w:rFonts w:ascii="Times New Roman" w:hAnsi="Times New Roman"/>
          <w:b/>
          <w:bCs/>
          <w:sz w:val="24"/>
          <w:szCs w:val="24"/>
        </w:rPr>
        <w:t xml:space="preserve"> </w:t>
      </w:r>
    </w:p>
    <w:p w14:paraId="4667CCCD" w14:textId="77777777" w:rsidR="002B1283" w:rsidRDefault="002B1283" w:rsidP="002B1283">
      <w:pPr>
        <w:pStyle w:val="NoSpacing"/>
        <w:ind w:left="1440"/>
        <w:rPr>
          <w:rFonts w:ascii="Times New Roman" w:hAnsi="Times New Roman"/>
          <w:sz w:val="24"/>
          <w:szCs w:val="24"/>
        </w:rPr>
      </w:pPr>
    </w:p>
    <w:p w14:paraId="4079436D" w14:textId="05677F3F" w:rsidR="002B1283" w:rsidRDefault="002B1283" w:rsidP="00F326E5">
      <w:pPr>
        <w:pStyle w:val="NoSpacing"/>
        <w:rPr>
          <w:sz w:val="24"/>
          <w:szCs w:val="24"/>
        </w:rPr>
      </w:pPr>
    </w:p>
    <w:p w14:paraId="6E927A73" w14:textId="5C6E2D04" w:rsidR="00DE0F03" w:rsidRDefault="00DE0F03" w:rsidP="002B1283">
      <w:pPr>
        <w:rPr>
          <w:rFonts w:ascii="Arial Black" w:hAnsi="Arial Black"/>
          <w:sz w:val="28"/>
          <w:szCs w:val="28"/>
        </w:rPr>
      </w:pPr>
      <w:r>
        <w:rPr>
          <w:rFonts w:ascii="Arial Black" w:hAnsi="Arial Black"/>
          <w:b/>
          <w:sz w:val="24"/>
          <w:szCs w:val="24"/>
        </w:rPr>
        <w:t>7</w:t>
      </w:r>
      <w:r w:rsidRPr="00EF1133">
        <w:rPr>
          <w:rFonts w:ascii="Arial Black" w:hAnsi="Arial Black"/>
          <w:b/>
          <w:sz w:val="24"/>
          <w:szCs w:val="24"/>
        </w:rPr>
        <w:t>-</w:t>
      </w:r>
      <w:r w:rsidR="005B0774">
        <w:rPr>
          <w:rFonts w:ascii="Arial Black" w:hAnsi="Arial Black"/>
          <w:b/>
          <w:sz w:val="24"/>
          <w:szCs w:val="24"/>
        </w:rPr>
        <w:t>8</w:t>
      </w:r>
    </w:p>
    <w:p w14:paraId="2504BB21" w14:textId="6C575CDD" w:rsidR="002B1283" w:rsidRDefault="002B1283" w:rsidP="002B1283">
      <w:pPr>
        <w:rPr>
          <w:rFonts w:ascii="Arial Black" w:hAnsi="Arial Black"/>
          <w:sz w:val="28"/>
          <w:szCs w:val="28"/>
        </w:rPr>
      </w:pPr>
      <w:r w:rsidRPr="00ED0F44">
        <w:rPr>
          <w:rFonts w:ascii="Arial Black" w:hAnsi="Arial Black"/>
          <w:sz w:val="28"/>
          <w:szCs w:val="28"/>
        </w:rPr>
        <w:t xml:space="preserve">IL: </w:t>
      </w:r>
      <w:r>
        <w:rPr>
          <w:rFonts w:ascii="Arial Black" w:hAnsi="Arial Black"/>
          <w:sz w:val="28"/>
          <w:szCs w:val="28"/>
        </w:rPr>
        <w:t xml:space="preserve">CHICAGO FEMALE MEDICS (5) SUE FOR INADEQUATE INVEST – MAY SEE COMPLAINT / INVESTIGATION FILE OF MALE RIDE-ALONG </w:t>
      </w:r>
    </w:p>
    <w:p w14:paraId="418BAB3E" w14:textId="77777777" w:rsidR="002B1283" w:rsidRDefault="002B1283" w:rsidP="002B1283">
      <w:pPr>
        <w:pStyle w:val="NoSpacing"/>
        <w:rPr>
          <w:rFonts w:ascii="Times New Roman" w:hAnsi="Times New Roman"/>
          <w:sz w:val="24"/>
          <w:szCs w:val="24"/>
        </w:rPr>
      </w:pPr>
      <w:r w:rsidRPr="000F4C26">
        <w:rPr>
          <w:rFonts w:ascii="Times New Roman" w:hAnsi="Times New Roman"/>
          <w:sz w:val="24"/>
          <w:szCs w:val="24"/>
        </w:rPr>
        <w:t xml:space="preserve">On July 9, 2019, in </w:t>
      </w:r>
      <w:r w:rsidRPr="000F4C26">
        <w:rPr>
          <w:rFonts w:ascii="Times New Roman" w:hAnsi="Times New Roman"/>
          <w:sz w:val="24"/>
          <w:szCs w:val="24"/>
          <w:u w:val="single"/>
        </w:rPr>
        <w:t>Jane Does 1-5 v. City of Chicago</w:t>
      </w:r>
      <w:r w:rsidRPr="000F4C26">
        <w:rPr>
          <w:rFonts w:ascii="Times New Roman" w:hAnsi="Times New Roman"/>
          <w:sz w:val="24"/>
          <w:szCs w:val="24"/>
        </w:rPr>
        <w:t xml:space="preserve">, U.S. District Court Magistrate Judge Sunil R. Harjani granted the plaintiffs’ motion to compel the </w:t>
      </w:r>
      <w:proofErr w:type="gramStart"/>
      <w:r w:rsidRPr="000F4C26">
        <w:rPr>
          <w:rFonts w:ascii="Times New Roman" w:hAnsi="Times New Roman"/>
          <w:sz w:val="24"/>
          <w:szCs w:val="24"/>
        </w:rPr>
        <w:t>City</w:t>
      </w:r>
      <w:proofErr w:type="gramEnd"/>
      <w:r w:rsidRPr="000F4C26">
        <w:rPr>
          <w:rFonts w:ascii="Times New Roman" w:hAnsi="Times New Roman"/>
          <w:sz w:val="24"/>
          <w:szCs w:val="24"/>
        </w:rPr>
        <w:t xml:space="preserve"> to produce a male student’s allegation that the City’s fire department’s employee sexual assaulted and harassed him during an observational ride-along.</w:t>
      </w:r>
      <w:r>
        <w:rPr>
          <w:rFonts w:ascii="Times New Roman" w:hAnsi="Times New Roman"/>
          <w:sz w:val="24"/>
          <w:szCs w:val="24"/>
        </w:rPr>
        <w:t xml:space="preserve"> </w:t>
      </w:r>
    </w:p>
    <w:p w14:paraId="26354397" w14:textId="77777777" w:rsidR="002B1283" w:rsidRDefault="002B1283" w:rsidP="002B1283">
      <w:pPr>
        <w:pStyle w:val="NoSpacing"/>
        <w:rPr>
          <w:rFonts w:ascii="Times New Roman" w:hAnsi="Times New Roman"/>
          <w:sz w:val="24"/>
          <w:szCs w:val="24"/>
        </w:rPr>
      </w:pPr>
    </w:p>
    <w:p w14:paraId="2345FE8B" w14:textId="2C3035EA" w:rsidR="00BF4DDE" w:rsidRPr="00BF4DDE" w:rsidRDefault="002B1283" w:rsidP="00BF4DDE">
      <w:pPr>
        <w:pStyle w:val="NoSpacing"/>
        <w:ind w:left="720"/>
        <w:rPr>
          <w:rFonts w:ascii="Times New Roman" w:hAnsi="Times New Roman"/>
          <w:sz w:val="24"/>
          <w:szCs w:val="24"/>
        </w:rPr>
      </w:pPr>
      <w:r>
        <w:rPr>
          <w:rFonts w:ascii="Times New Roman" w:hAnsi="Times New Roman"/>
          <w:sz w:val="24"/>
          <w:szCs w:val="24"/>
        </w:rPr>
        <w:t>“</w:t>
      </w:r>
      <w:r w:rsidRPr="000F4C26">
        <w:rPr>
          <w:rFonts w:ascii="Times New Roman" w:hAnsi="Times New Roman"/>
          <w:sz w:val="24"/>
          <w:szCs w:val="24"/>
        </w:rPr>
        <w:t xml:space="preserve">Differing treatment of one gender’s sexual misconduct allegations, compared to the other gender’s treatment, has been found to indicate </w:t>
      </w:r>
      <w:r>
        <w:rPr>
          <w:rFonts w:ascii="Times New Roman" w:hAnsi="Times New Roman"/>
          <w:sz w:val="24"/>
          <w:szCs w:val="24"/>
        </w:rPr>
        <w:t>‘</w:t>
      </w:r>
      <w:r w:rsidRPr="000F4C26">
        <w:rPr>
          <w:rFonts w:ascii="Times New Roman" w:hAnsi="Times New Roman"/>
          <w:sz w:val="24"/>
          <w:szCs w:val="24"/>
        </w:rPr>
        <w:t>an informal yet established custom or policy of discrimination</w:t>
      </w:r>
      <w:r>
        <w:rPr>
          <w:rFonts w:ascii="Times New Roman" w:hAnsi="Times New Roman"/>
          <w:sz w:val="24"/>
          <w:szCs w:val="24"/>
        </w:rPr>
        <w:t>’</w:t>
      </w:r>
      <w:r w:rsidRPr="000F4C26">
        <w:rPr>
          <w:rFonts w:ascii="Times New Roman" w:hAnsi="Times New Roman"/>
          <w:sz w:val="24"/>
          <w:szCs w:val="24"/>
        </w:rPr>
        <w:t xml:space="preserve"> against one gender while treating the other gender’s complaints more seriously. Hicks v. Sheahan, No. 03 C 0327, 2004 WL 3119016, at *18 (N.D. Ill. 2004).</w:t>
      </w:r>
      <w:r w:rsidR="00BF4DDE">
        <w:rPr>
          <w:rFonts w:ascii="Times New Roman" w:hAnsi="Times New Roman"/>
          <w:sz w:val="24"/>
          <w:szCs w:val="24"/>
        </w:rPr>
        <w:t xml:space="preserve"> *** </w:t>
      </w:r>
      <w:r w:rsidRPr="000F4C26">
        <w:rPr>
          <w:rFonts w:ascii="Times New Roman" w:hAnsi="Times New Roman"/>
          <w:sz w:val="24"/>
          <w:szCs w:val="24"/>
        </w:rPr>
        <w:t>Specifically, Plaintiffs’ motion seeks the student’s complaint, the OIG Report, witness statements, documents detailing the allegations, and documents that reflect the outcome of the investigation into the student’s allegation.</w:t>
      </w:r>
      <w:r w:rsidR="00BF4DDE">
        <w:rPr>
          <w:rFonts w:ascii="Times New Roman" w:hAnsi="Times New Roman"/>
          <w:sz w:val="24"/>
          <w:szCs w:val="24"/>
        </w:rPr>
        <w:t xml:space="preserve"> *** </w:t>
      </w:r>
      <w:r w:rsidRPr="000F4C26">
        <w:rPr>
          <w:rFonts w:ascii="Times New Roman" w:hAnsi="Times New Roman"/>
          <w:sz w:val="24"/>
          <w:szCs w:val="24"/>
        </w:rPr>
        <w:t xml:space="preserve">Plaintiffs argue that these documents are relevant to compare how Defendant treats male versus female sexual misconduct complainants. *** Here, the Complaint’s </w:t>
      </w:r>
      <w:r w:rsidRPr="000F4C26">
        <w:rPr>
          <w:rFonts w:ascii="Times New Roman" w:hAnsi="Times New Roman"/>
          <w:sz w:val="24"/>
          <w:szCs w:val="24"/>
          <w:u w:val="single"/>
        </w:rPr>
        <w:t xml:space="preserve">Monell [Monell v. </w:t>
      </w:r>
      <w:proofErr w:type="spellStart"/>
      <w:r w:rsidRPr="000F4C26">
        <w:rPr>
          <w:rFonts w:ascii="Times New Roman" w:hAnsi="Times New Roman"/>
          <w:sz w:val="24"/>
          <w:szCs w:val="24"/>
          <w:u w:val="single"/>
        </w:rPr>
        <w:t>Dep’t</w:t>
      </w:r>
      <w:proofErr w:type="spellEnd"/>
      <w:r w:rsidRPr="000F4C26">
        <w:rPr>
          <w:rFonts w:ascii="Times New Roman" w:hAnsi="Times New Roman"/>
          <w:sz w:val="24"/>
          <w:szCs w:val="24"/>
          <w:u w:val="single"/>
        </w:rPr>
        <w:t xml:space="preserve"> of Social Services</w:t>
      </w:r>
      <w:r w:rsidRPr="000F4C26">
        <w:rPr>
          <w:rFonts w:ascii="Times New Roman" w:hAnsi="Times New Roman"/>
          <w:sz w:val="24"/>
          <w:szCs w:val="24"/>
        </w:rPr>
        <w:t>, 436 U.S. 658 (1978)]</w:t>
      </w:r>
      <w:r>
        <w:rPr>
          <w:sz w:val="27"/>
          <w:szCs w:val="27"/>
        </w:rPr>
        <w:t xml:space="preserve"> </w:t>
      </w:r>
      <w:r w:rsidRPr="000F4C26">
        <w:rPr>
          <w:rFonts w:ascii="Times New Roman" w:hAnsi="Times New Roman"/>
          <w:sz w:val="24"/>
          <w:szCs w:val="24"/>
        </w:rPr>
        <w:t>claim alleges, in part, that Defendant had a discriminatory policy or practice of failing to adequately investigate and discipline its employees accused of sexual misconduct.</w:t>
      </w:r>
      <w:r w:rsidR="00BF4DDE">
        <w:rPr>
          <w:rFonts w:ascii="Times New Roman" w:hAnsi="Times New Roman"/>
          <w:sz w:val="24"/>
          <w:szCs w:val="24"/>
        </w:rPr>
        <w:t>”</w:t>
      </w:r>
      <w:hyperlink r:id="rId1466" w:history="1">
        <w:r w:rsidR="00BF4DDE" w:rsidRPr="002F304C">
          <w:rPr>
            <w:rStyle w:val="Hyperlink"/>
            <w:rFonts w:ascii="Times New Roman" w:hAnsi="Times New Roman"/>
            <w:sz w:val="24"/>
            <w:szCs w:val="24"/>
          </w:rPr>
          <w:t>https://law.justia.com/cases/federal/district-courts/illinois/ilndce/1:2018cv03054/351942/211/</w:t>
        </w:r>
      </w:hyperlink>
      <w:r w:rsidR="00BF4DDE" w:rsidRPr="00BF4DDE">
        <w:rPr>
          <w:rFonts w:ascii="Times New Roman" w:hAnsi="Times New Roman"/>
          <w:sz w:val="24"/>
          <w:szCs w:val="24"/>
        </w:rPr>
        <w:t xml:space="preserve"> </w:t>
      </w:r>
    </w:p>
    <w:p w14:paraId="073F3E01" w14:textId="4F42E546" w:rsidR="002B1283" w:rsidRDefault="002B1283" w:rsidP="002B1283">
      <w:pPr>
        <w:pStyle w:val="NoSpacing"/>
        <w:ind w:left="720"/>
        <w:rPr>
          <w:rFonts w:ascii="Times New Roman" w:hAnsi="Times New Roman"/>
          <w:sz w:val="24"/>
          <w:szCs w:val="24"/>
        </w:rPr>
      </w:pPr>
    </w:p>
    <w:p w14:paraId="79B82112" w14:textId="77777777" w:rsidR="002B1283" w:rsidRPr="00A217F1" w:rsidRDefault="002B1283" w:rsidP="002B1283">
      <w:pPr>
        <w:pStyle w:val="NoSpacing"/>
        <w:ind w:firstLine="720"/>
        <w:rPr>
          <w:rFonts w:ascii="Times New Roman" w:hAnsi="Times New Roman"/>
          <w:b/>
          <w:bCs/>
          <w:sz w:val="24"/>
          <w:szCs w:val="24"/>
        </w:rPr>
      </w:pPr>
    </w:p>
    <w:p w14:paraId="309B8F63" w14:textId="1B76C354" w:rsidR="002B1283" w:rsidRDefault="002B1283" w:rsidP="002B1283">
      <w:pPr>
        <w:pStyle w:val="NoSpacing"/>
        <w:rPr>
          <w:rFonts w:ascii="Times New Roman" w:hAnsi="Times New Roman"/>
          <w:b/>
          <w:bCs/>
          <w:sz w:val="24"/>
          <w:szCs w:val="24"/>
        </w:rPr>
      </w:pPr>
      <w:r w:rsidRPr="00A217F1">
        <w:rPr>
          <w:rFonts w:ascii="Times New Roman" w:hAnsi="Times New Roman"/>
          <w:b/>
          <w:bCs/>
          <w:sz w:val="24"/>
          <w:szCs w:val="24"/>
        </w:rPr>
        <w:t xml:space="preserve">Legal Lessons Learned:  Courts favor pre-trial discovery.  The U.S. Supreme Court in Monell held that municipalities can be liable under § 1983 for deprivations pursuant to official policy or entrenched practices. </w:t>
      </w:r>
    </w:p>
    <w:p w14:paraId="5AD8A041" w14:textId="77777777" w:rsidR="002B1283" w:rsidRPr="00A217F1" w:rsidRDefault="002B1283" w:rsidP="002B1283">
      <w:pPr>
        <w:pStyle w:val="NoSpacing"/>
        <w:rPr>
          <w:rFonts w:ascii="Times New Roman" w:hAnsi="Times New Roman"/>
          <w:b/>
          <w:bCs/>
          <w:sz w:val="24"/>
          <w:szCs w:val="24"/>
        </w:rPr>
      </w:pPr>
      <w:r w:rsidRPr="00A217F1">
        <w:rPr>
          <w:rFonts w:ascii="Times New Roman" w:hAnsi="Times New Roman"/>
          <w:b/>
          <w:bCs/>
          <w:sz w:val="24"/>
          <w:szCs w:val="24"/>
        </w:rPr>
        <w:t xml:space="preserve">Monell v. Department of Social Services, 436 U.S. 658 (1978). </w:t>
      </w:r>
      <w:hyperlink r:id="rId1467" w:history="1">
        <w:r w:rsidRPr="00455844">
          <w:rPr>
            <w:rStyle w:val="Hyperlink"/>
            <w:rFonts w:ascii="Times New Roman" w:hAnsi="Times New Roman"/>
            <w:b/>
            <w:bCs/>
            <w:sz w:val="24"/>
            <w:szCs w:val="24"/>
          </w:rPr>
          <w:t>https://caselaw.findlaw.com/us-supreme-court/436/658.html</w:t>
        </w:r>
      </w:hyperlink>
      <w:r>
        <w:rPr>
          <w:rFonts w:ascii="Times New Roman" w:hAnsi="Times New Roman"/>
          <w:b/>
          <w:bCs/>
          <w:sz w:val="24"/>
          <w:szCs w:val="24"/>
        </w:rPr>
        <w:t xml:space="preserve"> </w:t>
      </w:r>
    </w:p>
    <w:p w14:paraId="4388CEE8" w14:textId="77777777" w:rsidR="002B1283" w:rsidRDefault="002B1283" w:rsidP="002B1283">
      <w:pPr>
        <w:pStyle w:val="NoSpacing"/>
        <w:ind w:left="720"/>
        <w:rPr>
          <w:rFonts w:ascii="Times New Roman" w:hAnsi="Times New Roman"/>
          <w:sz w:val="24"/>
          <w:szCs w:val="24"/>
        </w:rPr>
      </w:pPr>
    </w:p>
    <w:p w14:paraId="72766655" w14:textId="77777777" w:rsidR="002B1283" w:rsidRPr="00E232C6" w:rsidRDefault="002B1283" w:rsidP="002B1283">
      <w:pPr>
        <w:pStyle w:val="NoSpacing"/>
        <w:ind w:left="720"/>
        <w:rPr>
          <w:rFonts w:ascii="Times New Roman" w:hAnsi="Times New Roman"/>
          <w:sz w:val="24"/>
          <w:szCs w:val="24"/>
        </w:rPr>
      </w:pPr>
      <w:r>
        <w:rPr>
          <w:rFonts w:ascii="Times New Roman" w:hAnsi="Times New Roman"/>
          <w:sz w:val="24"/>
          <w:szCs w:val="24"/>
        </w:rPr>
        <w:t>“</w:t>
      </w:r>
      <w:r w:rsidRPr="00E232C6">
        <w:rPr>
          <w:rFonts w:ascii="Times New Roman" w:hAnsi="Times New Roman"/>
          <w:sz w:val="24"/>
          <w:szCs w:val="24"/>
        </w:rPr>
        <w:t xml:space="preserve">To prevail on a Monell claim, a plaintiff must show that: </w:t>
      </w:r>
      <w:r>
        <w:rPr>
          <w:rFonts w:ascii="Times New Roman" w:hAnsi="Times New Roman"/>
          <w:sz w:val="24"/>
          <w:szCs w:val="24"/>
        </w:rPr>
        <w:t>‘</w:t>
      </w:r>
      <w:r w:rsidRPr="00E232C6">
        <w:rPr>
          <w:rFonts w:ascii="Times New Roman" w:hAnsi="Times New Roman"/>
          <w:sz w:val="24"/>
          <w:szCs w:val="24"/>
        </w:rPr>
        <w:t>(1) the City had an express policy that, when enforced, causes a constitutional deprivation; (2) the City had a widespread practice that, although not authorized by written law or express municipal policy, is so permanent and well settled as to constitute a custom or usage within the force of law; or (3) plaintiff's constitutional injury was caused by a person with final policymaking authority.</w:t>
      </w:r>
      <w:r>
        <w:rPr>
          <w:rFonts w:ascii="Times New Roman" w:hAnsi="Times New Roman"/>
          <w:sz w:val="24"/>
          <w:szCs w:val="24"/>
        </w:rPr>
        <w:t>’”</w:t>
      </w:r>
      <w:r w:rsidRPr="00E232C6">
        <w:t xml:space="preserve"> </w:t>
      </w:r>
      <w:hyperlink r:id="rId1468" w:history="1">
        <w:r w:rsidRPr="0028432B">
          <w:rPr>
            <w:rStyle w:val="Hyperlink"/>
            <w:rFonts w:ascii="Times New Roman" w:hAnsi="Times New Roman"/>
            <w:sz w:val="24"/>
            <w:szCs w:val="24"/>
          </w:rPr>
          <w:t>https://cases.justia.com/federal/district-courts/illinois/ilndce/1:2018cv03054/351942/211/0.pdf?ts=1558430418</w:t>
        </w:r>
      </w:hyperlink>
      <w:r>
        <w:rPr>
          <w:rFonts w:ascii="Times New Roman" w:hAnsi="Times New Roman"/>
          <w:sz w:val="24"/>
          <w:szCs w:val="24"/>
        </w:rPr>
        <w:t xml:space="preserve"> </w:t>
      </w:r>
    </w:p>
    <w:p w14:paraId="4340B2BB" w14:textId="77777777" w:rsidR="002B1283" w:rsidRDefault="002B1283" w:rsidP="002B1283">
      <w:pPr>
        <w:rPr>
          <w:rFonts w:ascii="Times New Roman" w:hAnsi="Times New Roman"/>
          <w:sz w:val="24"/>
          <w:szCs w:val="24"/>
        </w:rPr>
      </w:pPr>
    </w:p>
    <w:p w14:paraId="15D2623A" w14:textId="77777777" w:rsidR="0097592D" w:rsidRDefault="0097592D" w:rsidP="00F326E5">
      <w:pPr>
        <w:pStyle w:val="NoSpacing"/>
        <w:rPr>
          <w:rFonts w:ascii="Arial Black" w:hAnsi="Arial Black"/>
          <w:sz w:val="24"/>
          <w:szCs w:val="24"/>
        </w:rPr>
      </w:pPr>
    </w:p>
    <w:p w14:paraId="6E895166" w14:textId="1D425C0F" w:rsidR="002B1283" w:rsidRPr="005B0774" w:rsidRDefault="005B0774" w:rsidP="00F326E5">
      <w:pPr>
        <w:pStyle w:val="NoSpacing"/>
        <w:rPr>
          <w:rFonts w:ascii="Arial Black" w:hAnsi="Arial Black"/>
          <w:sz w:val="24"/>
          <w:szCs w:val="24"/>
        </w:rPr>
      </w:pPr>
      <w:r w:rsidRPr="005B0774">
        <w:rPr>
          <w:rFonts w:ascii="Arial Black" w:hAnsi="Arial Black"/>
          <w:sz w:val="24"/>
          <w:szCs w:val="24"/>
        </w:rPr>
        <w:t>7-7</w:t>
      </w:r>
    </w:p>
    <w:p w14:paraId="383E120A" w14:textId="0FE04715" w:rsidR="005B0774" w:rsidRDefault="005B0774" w:rsidP="00DE0F03">
      <w:pPr>
        <w:rPr>
          <w:rFonts w:ascii="Arial Black" w:hAnsi="Arial Black"/>
          <w:b/>
          <w:sz w:val="24"/>
          <w:szCs w:val="24"/>
        </w:rPr>
      </w:pPr>
    </w:p>
    <w:p w14:paraId="6AF499DB" w14:textId="77777777" w:rsidR="005B0774" w:rsidRPr="005B0774" w:rsidRDefault="005B0774" w:rsidP="00DE0F03">
      <w:pPr>
        <w:rPr>
          <w:rFonts w:ascii="Arial Black" w:hAnsi="Arial Black" w:cs="Arial"/>
          <w:sz w:val="28"/>
          <w:szCs w:val="28"/>
        </w:rPr>
      </w:pPr>
      <w:r w:rsidRPr="005B0774">
        <w:rPr>
          <w:rFonts w:ascii="Arial Black" w:hAnsi="Arial Black" w:cs="Arial"/>
          <w:sz w:val="28"/>
          <w:szCs w:val="28"/>
        </w:rPr>
        <w:t xml:space="preserve">NE: FEMALE FF “HOSTILE WORKPLACE” LAWSUIT MAY PROCEED – JUDGE REF. MALE CAPTAIN’S $1.1M JURY VERDICT AGAINST FD </w:t>
      </w:r>
    </w:p>
    <w:p w14:paraId="682D04F7" w14:textId="77777777" w:rsidR="00BF4DDE" w:rsidRDefault="005B0774" w:rsidP="00DE0F03">
      <w:pPr>
        <w:rPr>
          <w:rFonts w:ascii="Times New Roman" w:hAnsi="Times New Roman"/>
          <w:sz w:val="24"/>
          <w:szCs w:val="24"/>
        </w:rPr>
      </w:pPr>
      <w:r w:rsidRPr="0036327D">
        <w:rPr>
          <w:rFonts w:ascii="Times New Roman" w:hAnsi="Times New Roman"/>
          <w:sz w:val="24"/>
          <w:szCs w:val="24"/>
        </w:rPr>
        <w:t>On April 22, 2019, in Manda Benson v. City of Lincoln, Senior U.S. District Court judge Richard G. Kopf, denied the City’s motion to dismiss:</w:t>
      </w:r>
    </w:p>
    <w:p w14:paraId="2A13AB13" w14:textId="2E70E1EC" w:rsidR="005B0774" w:rsidRPr="0036327D" w:rsidRDefault="005B0774" w:rsidP="00BF4DDE">
      <w:pPr>
        <w:ind w:left="720"/>
        <w:rPr>
          <w:rFonts w:ascii="Times New Roman" w:hAnsi="Times New Roman"/>
          <w:sz w:val="24"/>
          <w:szCs w:val="24"/>
        </w:rPr>
      </w:pPr>
      <w:r w:rsidRPr="0036327D">
        <w:rPr>
          <w:rFonts w:ascii="Times New Roman" w:hAnsi="Times New Roman"/>
          <w:sz w:val="24"/>
          <w:szCs w:val="24"/>
        </w:rPr>
        <w:t xml:space="preserve">“In yet another lawsuit[Footnote 1] alleging that employees of the City of Lincoln and Lincoln Fire and Rescue ... discriminated against, retaliated against, and created a hostile work environment for female firefighters on the basis of sex and/or national origin, Plaintiff Amanda Benson asserts in her Second Amended Complaint (Filing No. 18) the following causes of action (‘COA’) against the City of Lincoln and eight other Defendants in their individual and official capacities... Footnote 1: See Hurd v. City of Lincoln (No. 4:16CV3029) (D. Neb. 2016) and Giles v. City of Lincoln (No. 4:17CV3050) (D. Neb. 2017). *** Footnote 9: The court takes judicial notice of the jury verdict in the amount of $1,177,815.43 in Hurd v. City of Lincoln, No. 4:16CV3029, Filing No. 250 (D. Neb. Feb. 26, 2019), in favor of Troy Hurd and against the City of Lincoln on Hurd's Title VII and NFEPA claim that he was retaliated against after complaining about sexual and national-origin discrimination of a fellow female LF&amp;R firefighter and the resulting hostile work environment. Hurd had complained about the discrimination and hostile work environment to LF&amp;R personnel, City management, and the NEOC/EEOC.” </w:t>
      </w:r>
      <w:r w:rsidR="00BF4DDE">
        <w:rPr>
          <w:rFonts w:ascii="Times New Roman" w:hAnsi="Times New Roman"/>
          <w:sz w:val="24"/>
          <w:szCs w:val="24"/>
        </w:rPr>
        <w:t xml:space="preserve"> </w:t>
      </w:r>
      <w:hyperlink r:id="rId1469" w:history="1">
        <w:r w:rsidR="00BF4DDE" w:rsidRPr="002F304C">
          <w:rPr>
            <w:rStyle w:val="Hyperlink"/>
            <w:rFonts w:ascii="Times New Roman" w:hAnsi="Times New Roman"/>
            <w:sz w:val="24"/>
            <w:szCs w:val="24"/>
          </w:rPr>
          <w:t>https://casetext.com/case/benson-v-city-of-lincoln</w:t>
        </w:r>
      </w:hyperlink>
      <w:r w:rsidR="00BF4DDE">
        <w:rPr>
          <w:rFonts w:ascii="Times New Roman" w:hAnsi="Times New Roman"/>
          <w:sz w:val="24"/>
          <w:szCs w:val="24"/>
        </w:rPr>
        <w:t xml:space="preserve"> </w:t>
      </w:r>
    </w:p>
    <w:p w14:paraId="7A0E731C" w14:textId="77777777" w:rsidR="00BF4DDE" w:rsidRDefault="005B0774" w:rsidP="00DE0F03">
      <w:pPr>
        <w:rPr>
          <w:rFonts w:ascii="Times New Roman" w:hAnsi="Times New Roman"/>
          <w:b/>
          <w:bCs/>
          <w:sz w:val="24"/>
          <w:szCs w:val="24"/>
        </w:rPr>
      </w:pPr>
      <w:r w:rsidRPr="0036327D">
        <w:rPr>
          <w:rFonts w:ascii="Times New Roman" w:hAnsi="Times New Roman"/>
          <w:b/>
          <w:bCs/>
          <w:sz w:val="24"/>
          <w:szCs w:val="24"/>
        </w:rPr>
        <w:t xml:space="preserve">Legal Lessons Learned: The lawsuit will now proceed to trial; Federal juries have returned some very large verdicts.  </w:t>
      </w:r>
    </w:p>
    <w:p w14:paraId="40092AA7" w14:textId="3AB62DF9" w:rsidR="00BF4DDE" w:rsidRDefault="005B0774" w:rsidP="00DE0F03">
      <w:pPr>
        <w:rPr>
          <w:rFonts w:ascii="Times New Roman" w:hAnsi="Times New Roman"/>
          <w:sz w:val="24"/>
          <w:szCs w:val="24"/>
        </w:rPr>
      </w:pPr>
      <w:r w:rsidRPr="00BF4DDE">
        <w:rPr>
          <w:rFonts w:ascii="Times New Roman" w:hAnsi="Times New Roman"/>
          <w:sz w:val="24"/>
          <w:szCs w:val="24"/>
        </w:rPr>
        <w:t xml:space="preserve">See complaint: </w:t>
      </w:r>
      <w:hyperlink r:id="rId1470" w:history="1">
        <w:r w:rsidRPr="00BF4DDE">
          <w:rPr>
            <w:rStyle w:val="Hyperlink"/>
            <w:rFonts w:ascii="Times New Roman" w:hAnsi="Times New Roman"/>
            <w:sz w:val="24"/>
            <w:szCs w:val="24"/>
          </w:rPr>
          <w:t>http://41af3k34gprx4f6bg12df75i.wpengine.netdna-cdn.com/wp-content/uploads/sites/19/2016/03/Hurd-v-Lincoln.pdf</w:t>
        </w:r>
      </w:hyperlink>
      <w:r w:rsidRPr="00BF4DDE">
        <w:rPr>
          <w:rFonts w:ascii="Times New Roman" w:hAnsi="Times New Roman"/>
          <w:sz w:val="24"/>
          <w:szCs w:val="24"/>
        </w:rPr>
        <w:t xml:space="preserve"> </w:t>
      </w:r>
    </w:p>
    <w:p w14:paraId="36463C6C" w14:textId="2AF97BA5" w:rsidR="005B0774" w:rsidRPr="00BF4DDE" w:rsidRDefault="005B0774" w:rsidP="00DE0F03">
      <w:pPr>
        <w:rPr>
          <w:rFonts w:ascii="Times New Roman" w:hAnsi="Times New Roman"/>
          <w:sz w:val="24"/>
          <w:szCs w:val="24"/>
        </w:rPr>
      </w:pPr>
      <w:r w:rsidRPr="00BF4DDE">
        <w:rPr>
          <w:rFonts w:ascii="Times New Roman" w:hAnsi="Times New Roman"/>
          <w:sz w:val="24"/>
          <w:szCs w:val="24"/>
        </w:rPr>
        <w:t xml:space="preserve">See article about the case: </w:t>
      </w:r>
      <w:hyperlink r:id="rId1471" w:history="1">
        <w:r w:rsidRPr="00BF4DDE">
          <w:rPr>
            <w:rStyle w:val="Hyperlink"/>
            <w:rFonts w:ascii="Times New Roman" w:hAnsi="Times New Roman"/>
            <w:sz w:val="24"/>
            <w:szCs w:val="24"/>
          </w:rPr>
          <w:t>https://journalstar.com/news/local/crime-and-courts/female-firefighter-s-discrimination-case-against-the-city-of-lincoln/article_97cf8ac8-bb20-5343-8e10-3faf315b0dd8.html</w:t>
        </w:r>
      </w:hyperlink>
      <w:r w:rsidRPr="00BF4DDE">
        <w:rPr>
          <w:rFonts w:ascii="Times New Roman" w:hAnsi="Times New Roman"/>
          <w:sz w:val="24"/>
          <w:szCs w:val="24"/>
        </w:rPr>
        <w:t xml:space="preserve"> </w:t>
      </w:r>
    </w:p>
    <w:p w14:paraId="7A3B2E81" w14:textId="22246162" w:rsidR="005B0774" w:rsidRPr="005B0774" w:rsidRDefault="005B0774" w:rsidP="00DE0F03">
      <w:pPr>
        <w:rPr>
          <w:rFonts w:ascii="Times New Roman" w:hAnsi="Times New Roman"/>
          <w:bCs/>
          <w:sz w:val="24"/>
          <w:szCs w:val="24"/>
        </w:rPr>
      </w:pPr>
    </w:p>
    <w:p w14:paraId="00169B06" w14:textId="77777777" w:rsidR="005B0774" w:rsidRDefault="005B0774" w:rsidP="00DE0F03">
      <w:pPr>
        <w:rPr>
          <w:rFonts w:ascii="Arial Black" w:hAnsi="Arial Black"/>
          <w:b/>
          <w:sz w:val="24"/>
          <w:szCs w:val="24"/>
        </w:rPr>
      </w:pPr>
    </w:p>
    <w:p w14:paraId="4B360F1F" w14:textId="77777777" w:rsidR="00BF4DDE" w:rsidRDefault="00BF4DDE" w:rsidP="00DE0F03">
      <w:pPr>
        <w:rPr>
          <w:rFonts w:ascii="Arial Black" w:hAnsi="Arial Black"/>
          <w:b/>
          <w:sz w:val="24"/>
          <w:szCs w:val="24"/>
        </w:rPr>
      </w:pPr>
    </w:p>
    <w:p w14:paraId="34039C00" w14:textId="77777777" w:rsidR="00BF4DDE" w:rsidRDefault="00BF4DDE" w:rsidP="00DE0F03">
      <w:pPr>
        <w:rPr>
          <w:rFonts w:ascii="Arial Black" w:hAnsi="Arial Black"/>
          <w:b/>
          <w:sz w:val="24"/>
          <w:szCs w:val="24"/>
        </w:rPr>
      </w:pPr>
    </w:p>
    <w:p w14:paraId="72D9EE62" w14:textId="73EF079A" w:rsidR="002B1283" w:rsidRDefault="00EF1133" w:rsidP="00DE0F03">
      <w:pPr>
        <w:rPr>
          <w:sz w:val="24"/>
          <w:szCs w:val="24"/>
        </w:rPr>
      </w:pPr>
      <w:r>
        <w:rPr>
          <w:rFonts w:ascii="Arial Black" w:hAnsi="Arial Black"/>
          <w:b/>
          <w:sz w:val="24"/>
          <w:szCs w:val="24"/>
        </w:rPr>
        <w:t>7</w:t>
      </w:r>
      <w:r w:rsidRPr="00EF1133">
        <w:rPr>
          <w:rFonts w:ascii="Arial Black" w:hAnsi="Arial Black"/>
          <w:b/>
          <w:sz w:val="24"/>
          <w:szCs w:val="24"/>
        </w:rPr>
        <w:t>-</w:t>
      </w:r>
      <w:r>
        <w:rPr>
          <w:rFonts w:ascii="Arial Black" w:hAnsi="Arial Black"/>
          <w:b/>
          <w:sz w:val="24"/>
          <w:szCs w:val="24"/>
        </w:rPr>
        <w:t>6</w:t>
      </w:r>
    </w:p>
    <w:p w14:paraId="6C658549" w14:textId="6FBBAAF4" w:rsidR="00F326E5" w:rsidRDefault="00F326E5" w:rsidP="00F326E5">
      <w:pPr>
        <w:pStyle w:val="NoSpacing"/>
        <w:rPr>
          <w:rFonts w:ascii="Arial Black" w:hAnsi="Arial Black"/>
          <w:sz w:val="28"/>
          <w:szCs w:val="28"/>
        </w:rPr>
      </w:pPr>
      <w:r w:rsidRPr="00284D6A">
        <w:rPr>
          <w:rFonts w:ascii="Arial Black" w:hAnsi="Arial Black"/>
          <w:sz w:val="28"/>
          <w:szCs w:val="28"/>
        </w:rPr>
        <w:t>AL:  PREGNANT EMT</w:t>
      </w:r>
      <w:r>
        <w:rPr>
          <w:rFonts w:ascii="Arial Black" w:hAnsi="Arial Black"/>
          <w:sz w:val="28"/>
          <w:szCs w:val="28"/>
        </w:rPr>
        <w:t>– SEEKS “LIGHT DUTY” - EEOC SUPPORTING HER APPEAL TO 11</w:t>
      </w:r>
      <w:r w:rsidRPr="00642DD2">
        <w:rPr>
          <w:rFonts w:ascii="Arial Black" w:hAnsi="Arial Black"/>
          <w:sz w:val="28"/>
          <w:szCs w:val="28"/>
          <w:vertAlign w:val="superscript"/>
        </w:rPr>
        <w:t>TH</w:t>
      </w:r>
      <w:r>
        <w:rPr>
          <w:rFonts w:ascii="Arial Black" w:hAnsi="Arial Black"/>
          <w:sz w:val="28"/>
          <w:szCs w:val="28"/>
        </w:rPr>
        <w:t xml:space="preserve"> CIRCUIT </w:t>
      </w:r>
    </w:p>
    <w:p w14:paraId="0DB720FB" w14:textId="77777777" w:rsidR="00F326E5" w:rsidRPr="00BF4DDE" w:rsidRDefault="00F326E5" w:rsidP="00F326E5">
      <w:pPr>
        <w:pStyle w:val="NoSpacing"/>
        <w:rPr>
          <w:rFonts w:ascii="Times New Roman" w:hAnsi="Times New Roman"/>
          <w:sz w:val="24"/>
          <w:szCs w:val="24"/>
        </w:rPr>
      </w:pPr>
      <w:r w:rsidRPr="00BF4DDE">
        <w:rPr>
          <w:rFonts w:ascii="Times New Roman" w:hAnsi="Times New Roman"/>
          <w:sz w:val="24"/>
          <w:szCs w:val="24"/>
        </w:rPr>
        <w:lastRenderedPageBreak/>
        <w:t xml:space="preserve">On Feb. 11, 2019, in </w:t>
      </w:r>
      <w:r w:rsidRPr="00BF4DDE">
        <w:rPr>
          <w:rFonts w:ascii="Times New Roman" w:hAnsi="Times New Roman"/>
          <w:sz w:val="24"/>
          <w:szCs w:val="24"/>
          <w:u w:val="single"/>
        </w:rPr>
        <w:t>Kimberly Michell Durham v. Rural / Metro Corporation</w:t>
      </w:r>
      <w:r w:rsidRPr="00BF4DDE">
        <w:rPr>
          <w:rFonts w:ascii="Times New Roman" w:hAnsi="Times New Roman"/>
          <w:sz w:val="24"/>
          <w:szCs w:val="24"/>
        </w:rPr>
        <w:t>, the Equal Employment Opportunity Commission has filed an amicus brief with the 11</w:t>
      </w:r>
      <w:r w:rsidRPr="00BF4DDE">
        <w:rPr>
          <w:rFonts w:ascii="Times New Roman" w:hAnsi="Times New Roman"/>
          <w:sz w:val="24"/>
          <w:szCs w:val="24"/>
          <w:vertAlign w:val="superscript"/>
        </w:rPr>
        <w:t>th</w:t>
      </w:r>
      <w:r w:rsidRPr="00BF4DDE">
        <w:rPr>
          <w:rFonts w:ascii="Times New Roman" w:hAnsi="Times New Roman"/>
          <w:sz w:val="24"/>
          <w:szCs w:val="24"/>
        </w:rPr>
        <w:t xml:space="preserve"> Circuit (Atlanta), arguing: </w:t>
      </w:r>
    </w:p>
    <w:p w14:paraId="4579008B" w14:textId="77777777" w:rsidR="00F326E5" w:rsidRPr="00BF4DDE" w:rsidRDefault="00F326E5" w:rsidP="00F326E5">
      <w:pPr>
        <w:pStyle w:val="NormalWeb"/>
        <w:ind w:left="720"/>
      </w:pPr>
      <w:r w:rsidRPr="00BF4DDE">
        <w:t xml:space="preserve">“The PDA [Pregnancy Discrimination Act] does not categorically bar employers from maintaining a policy of accommodating only a subset of employees, including those employees with on-the-job injuries. See [U.S. Supreme Court’s 2015 decision in </w:t>
      </w:r>
      <w:proofErr w:type="gramStart"/>
      <w:r w:rsidRPr="00BF4DDE">
        <w:rPr>
          <w:i/>
        </w:rPr>
        <w:t>Young</w:t>
      </w:r>
      <w:proofErr w:type="gramEnd"/>
      <w:r w:rsidRPr="00BF4DDE">
        <w:rPr>
          <w:i/>
        </w:rPr>
        <w:t xml:space="preserve"> v. UPS</w:t>
      </w:r>
      <w:r w:rsidRPr="00BF4DDE">
        <w:t xml:space="preserve">] 135 S. Ct. at 1349-51. However, </w:t>
      </w:r>
      <w:r w:rsidRPr="00BF4DDE">
        <w:rPr>
          <w:i/>
        </w:rPr>
        <w:t>Young</w:t>
      </w:r>
      <w:r w:rsidRPr="00BF4DDE">
        <w:t xml:space="preserve"> allows that a jury may find that an employer’s policy of accommodating only some employees is a pretext for pregnancy </w:t>
      </w:r>
      <w:proofErr w:type="gramStart"/>
      <w:r w:rsidRPr="00BF4DDE">
        <w:t>discrimination.”</w:t>
      </w:r>
      <w:proofErr w:type="gramEnd"/>
      <w:r w:rsidRPr="00BF4DDE">
        <w:t xml:space="preserve"> </w:t>
      </w:r>
      <w:hyperlink r:id="rId1472" w:history="1">
        <w:r w:rsidRPr="00BF4DDE">
          <w:rPr>
            <w:rStyle w:val="Hyperlink"/>
          </w:rPr>
          <w:t>https://assets.documentcloud.org/documents/5745041/Eeoc.pdf</w:t>
        </w:r>
      </w:hyperlink>
      <w:r w:rsidRPr="00BF4DDE">
        <w:t xml:space="preserve"> [Page 31]</w:t>
      </w:r>
    </w:p>
    <w:p w14:paraId="4E16B9A6" w14:textId="5711C36B" w:rsidR="00F326E5" w:rsidRPr="00BF4DDE" w:rsidRDefault="00F326E5" w:rsidP="00F326E5">
      <w:pPr>
        <w:pStyle w:val="NoSpacing"/>
        <w:rPr>
          <w:rFonts w:ascii="Times New Roman" w:hAnsi="Times New Roman"/>
          <w:b/>
          <w:sz w:val="24"/>
          <w:szCs w:val="24"/>
        </w:rPr>
      </w:pPr>
      <w:r w:rsidRPr="00BF4DDE">
        <w:rPr>
          <w:rFonts w:ascii="Times New Roman" w:hAnsi="Times New Roman"/>
          <w:b/>
          <w:sz w:val="24"/>
          <w:szCs w:val="24"/>
        </w:rPr>
        <w:t xml:space="preserve">Legal Lessons Learned:  This is an important case for the fire </w:t>
      </w:r>
      <w:proofErr w:type="gramStart"/>
      <w:r w:rsidRPr="00BF4DDE">
        <w:rPr>
          <w:rFonts w:ascii="Times New Roman" w:hAnsi="Times New Roman"/>
          <w:b/>
          <w:sz w:val="24"/>
          <w:szCs w:val="24"/>
        </w:rPr>
        <w:t>service, and</w:t>
      </w:r>
      <w:proofErr w:type="gramEnd"/>
      <w:r w:rsidRPr="00BF4DDE">
        <w:rPr>
          <w:rFonts w:ascii="Times New Roman" w:hAnsi="Times New Roman"/>
          <w:b/>
          <w:sz w:val="24"/>
          <w:szCs w:val="24"/>
        </w:rPr>
        <w:t xml:space="preserve"> may eventually reach the U.S. Supreme Court.  </w:t>
      </w:r>
    </w:p>
    <w:p w14:paraId="5F82BB95" w14:textId="77777777" w:rsidR="005B0774" w:rsidRDefault="005B0774" w:rsidP="00F326E5">
      <w:pPr>
        <w:pStyle w:val="NoSpacing"/>
        <w:rPr>
          <w:b/>
          <w:sz w:val="24"/>
          <w:szCs w:val="24"/>
        </w:rPr>
      </w:pPr>
    </w:p>
    <w:p w14:paraId="3FB721E6" w14:textId="77777777" w:rsidR="00F326E5" w:rsidRPr="00BF4DDE" w:rsidRDefault="00F326E5" w:rsidP="00F326E5">
      <w:pPr>
        <w:pStyle w:val="NoSpacing"/>
        <w:ind w:left="720"/>
        <w:rPr>
          <w:rStyle w:val="Hyperlink"/>
          <w:rFonts w:ascii="Times New Roman" w:hAnsi="Times New Roman"/>
          <w:sz w:val="24"/>
          <w:szCs w:val="24"/>
        </w:rPr>
      </w:pPr>
      <w:r w:rsidRPr="00BF4DDE">
        <w:rPr>
          <w:rFonts w:ascii="Times New Roman" w:hAnsi="Times New Roman"/>
          <w:sz w:val="24"/>
          <w:szCs w:val="24"/>
        </w:rPr>
        <w:t>Note:  Numerous civil rights groups, including a Better Balance, The National Women’s Law Center and the National Employment Law Project, have filed amicus briefs urging the 11</w:t>
      </w:r>
      <w:r w:rsidRPr="00BF4DDE">
        <w:rPr>
          <w:rFonts w:ascii="Times New Roman" w:hAnsi="Times New Roman"/>
          <w:sz w:val="24"/>
          <w:szCs w:val="24"/>
          <w:vertAlign w:val="superscript"/>
        </w:rPr>
        <w:t>th</w:t>
      </w:r>
      <w:r w:rsidRPr="00BF4DDE">
        <w:rPr>
          <w:rFonts w:ascii="Times New Roman" w:hAnsi="Times New Roman"/>
          <w:sz w:val="24"/>
          <w:szCs w:val="24"/>
        </w:rPr>
        <w:t xml:space="preserve"> Circuit to reverse the Federal District court’s decision. </w:t>
      </w:r>
      <w:hyperlink r:id="rId1473" w:history="1">
        <w:r w:rsidRPr="00BF4DDE">
          <w:rPr>
            <w:rStyle w:val="Hyperlink"/>
            <w:rFonts w:ascii="Times New Roman" w:hAnsi="Times New Roman"/>
            <w:sz w:val="24"/>
            <w:szCs w:val="24"/>
          </w:rPr>
          <w:t>https://assets.documentcloud.org/documents/5745040/Better-Balance.pdf</w:t>
        </w:r>
      </w:hyperlink>
      <w:r w:rsidRPr="00BF4DDE">
        <w:rPr>
          <w:rFonts w:ascii="Times New Roman" w:hAnsi="Times New Roman"/>
          <w:sz w:val="24"/>
          <w:szCs w:val="24"/>
        </w:rPr>
        <w:t xml:space="preserve"> .</w:t>
      </w:r>
      <w:r w:rsidRPr="00BF4DDE">
        <w:rPr>
          <w:rFonts w:ascii="Times New Roman" w:hAnsi="Times New Roman"/>
          <w:bCs/>
          <w:kern w:val="36"/>
          <w:sz w:val="24"/>
          <w:szCs w:val="24"/>
        </w:rPr>
        <w:t xml:space="preserve"> See also Feb. 22, </w:t>
      </w:r>
      <w:proofErr w:type="gramStart"/>
      <w:r w:rsidRPr="00BF4DDE">
        <w:rPr>
          <w:rFonts w:ascii="Times New Roman" w:hAnsi="Times New Roman"/>
          <w:bCs/>
          <w:kern w:val="36"/>
          <w:sz w:val="24"/>
          <w:szCs w:val="24"/>
        </w:rPr>
        <w:t>2019</w:t>
      </w:r>
      <w:proofErr w:type="gramEnd"/>
      <w:r w:rsidRPr="00BF4DDE">
        <w:rPr>
          <w:rFonts w:ascii="Times New Roman" w:hAnsi="Times New Roman"/>
          <w:bCs/>
          <w:kern w:val="36"/>
          <w:sz w:val="24"/>
          <w:szCs w:val="24"/>
        </w:rPr>
        <w:t xml:space="preserve"> article, “11th Circuit Pregnancy Bias Case Tests 2015 Supreme Court Ruling,” </w:t>
      </w:r>
      <w:hyperlink r:id="rId1474" w:history="1">
        <w:r w:rsidRPr="00BF4DDE">
          <w:rPr>
            <w:rStyle w:val="Hyperlink"/>
            <w:rFonts w:ascii="Times New Roman" w:hAnsi="Times New Roman"/>
            <w:sz w:val="24"/>
            <w:szCs w:val="24"/>
          </w:rPr>
          <w:t>https://www.law.com/nationallawjournal/2019/02/22/11th-circuit-pregnancy-bias-case-tests-2015-supreme-court-ruling/</w:t>
        </w:r>
      </w:hyperlink>
      <w:r w:rsidRPr="00BF4DDE">
        <w:rPr>
          <w:rStyle w:val="Hyperlink"/>
          <w:rFonts w:ascii="Times New Roman" w:hAnsi="Times New Roman"/>
          <w:sz w:val="24"/>
          <w:szCs w:val="24"/>
        </w:rPr>
        <w:t xml:space="preserve">  </w:t>
      </w:r>
    </w:p>
    <w:p w14:paraId="3CE90402" w14:textId="77777777" w:rsidR="00EF1133" w:rsidRDefault="00EF1133" w:rsidP="00EF1133">
      <w:pPr>
        <w:rPr>
          <w:rFonts w:ascii="Arial Black" w:hAnsi="Arial Black"/>
          <w:b/>
          <w:sz w:val="24"/>
          <w:szCs w:val="24"/>
        </w:rPr>
      </w:pPr>
    </w:p>
    <w:p w14:paraId="64B17E0B" w14:textId="524B8A4E" w:rsidR="00EF1133" w:rsidRDefault="00EF1133" w:rsidP="00EF1133">
      <w:pPr>
        <w:rPr>
          <w:rFonts w:ascii="Arial Black" w:hAnsi="Arial Black"/>
          <w:b/>
          <w:sz w:val="24"/>
          <w:szCs w:val="24"/>
        </w:rPr>
      </w:pPr>
      <w:r>
        <w:rPr>
          <w:rFonts w:ascii="Arial Black" w:hAnsi="Arial Black"/>
          <w:b/>
          <w:sz w:val="24"/>
          <w:szCs w:val="24"/>
        </w:rPr>
        <w:t>7</w:t>
      </w:r>
      <w:r w:rsidRPr="00EF1133">
        <w:rPr>
          <w:rFonts w:ascii="Arial Black" w:hAnsi="Arial Black"/>
          <w:b/>
          <w:sz w:val="24"/>
          <w:szCs w:val="24"/>
        </w:rPr>
        <w:t>-</w:t>
      </w:r>
      <w:r>
        <w:rPr>
          <w:rFonts w:ascii="Arial Black" w:hAnsi="Arial Black"/>
          <w:b/>
          <w:sz w:val="24"/>
          <w:szCs w:val="24"/>
        </w:rPr>
        <w:t>5</w:t>
      </w:r>
    </w:p>
    <w:p w14:paraId="6D9B460A" w14:textId="363DE123" w:rsidR="00F326E5" w:rsidRDefault="00F326E5" w:rsidP="00F326E5">
      <w:pPr>
        <w:pStyle w:val="NoSpacing"/>
        <w:rPr>
          <w:rFonts w:ascii="Arial Black" w:hAnsi="Arial Black"/>
          <w:b/>
          <w:sz w:val="28"/>
          <w:szCs w:val="28"/>
        </w:rPr>
      </w:pPr>
      <w:bookmarkStart w:id="310" w:name="_Hlk7344079"/>
      <w:bookmarkEnd w:id="282"/>
      <w:r>
        <w:rPr>
          <w:rFonts w:ascii="Arial Black" w:hAnsi="Arial Black"/>
          <w:b/>
          <w:sz w:val="28"/>
          <w:szCs w:val="28"/>
        </w:rPr>
        <w:t>IL</w:t>
      </w:r>
      <w:r w:rsidR="00BF4DDE">
        <w:rPr>
          <w:rFonts w:ascii="Arial Black" w:hAnsi="Arial Black"/>
          <w:b/>
          <w:sz w:val="28"/>
          <w:szCs w:val="28"/>
        </w:rPr>
        <w:t xml:space="preserve">: </w:t>
      </w:r>
      <w:r>
        <w:rPr>
          <w:rFonts w:ascii="Arial Black" w:hAnsi="Arial Black"/>
          <w:b/>
          <w:sz w:val="28"/>
          <w:szCs w:val="28"/>
        </w:rPr>
        <w:t>1</w:t>
      </w:r>
      <w:r w:rsidRPr="006A0855">
        <w:rPr>
          <w:rFonts w:ascii="Arial Black" w:hAnsi="Arial Black"/>
          <w:b/>
          <w:sz w:val="28"/>
          <w:szCs w:val="28"/>
        </w:rPr>
        <w:t xml:space="preserve">2 FEMALES FAILED FITNESS TESTING IN CHICAGO FD PARAMEDIC </w:t>
      </w:r>
      <w:r>
        <w:rPr>
          <w:rFonts w:ascii="Arial Black" w:hAnsi="Arial Black"/>
          <w:b/>
          <w:sz w:val="28"/>
          <w:szCs w:val="28"/>
        </w:rPr>
        <w:t xml:space="preserve">RECRUIT SCHOOL </w:t>
      </w:r>
      <w:r w:rsidRPr="006A0855">
        <w:rPr>
          <w:rFonts w:ascii="Arial Black" w:hAnsi="Arial Black"/>
          <w:b/>
          <w:sz w:val="28"/>
          <w:szCs w:val="28"/>
        </w:rPr>
        <w:t xml:space="preserve">MAY SUE  </w:t>
      </w:r>
    </w:p>
    <w:p w14:paraId="6126DD58" w14:textId="77777777" w:rsidR="00BF4DDE" w:rsidRDefault="00BF4DDE" w:rsidP="00F326E5">
      <w:pPr>
        <w:pStyle w:val="NoSpacing"/>
        <w:rPr>
          <w:rFonts w:ascii="Times New Roman" w:hAnsi="Times New Roman"/>
          <w:sz w:val="24"/>
          <w:szCs w:val="24"/>
        </w:rPr>
      </w:pPr>
    </w:p>
    <w:p w14:paraId="6A5ABC8D" w14:textId="6A6FE165" w:rsidR="00BF4DDE" w:rsidRDefault="00F326E5" w:rsidP="00F326E5">
      <w:pPr>
        <w:pStyle w:val="NoSpacing"/>
        <w:rPr>
          <w:rFonts w:ascii="Times New Roman" w:hAnsi="Times New Roman"/>
          <w:sz w:val="24"/>
          <w:szCs w:val="24"/>
        </w:rPr>
      </w:pPr>
      <w:r w:rsidRPr="00BF4DDE">
        <w:rPr>
          <w:rFonts w:ascii="Times New Roman" w:hAnsi="Times New Roman"/>
          <w:sz w:val="24"/>
          <w:szCs w:val="24"/>
        </w:rPr>
        <w:t xml:space="preserve">On Jan. 14, 2019, in </w:t>
      </w:r>
      <w:r w:rsidRPr="00BF4DDE">
        <w:rPr>
          <w:rFonts w:ascii="Times New Roman" w:hAnsi="Times New Roman"/>
          <w:sz w:val="24"/>
          <w:szCs w:val="24"/>
          <w:u w:val="single"/>
        </w:rPr>
        <w:t>Jennifer Livingston, et al. v. City of Chicago</w:t>
      </w:r>
      <w:r w:rsidRPr="00BF4DDE">
        <w:rPr>
          <w:rFonts w:ascii="Times New Roman" w:hAnsi="Times New Roman"/>
          <w:sz w:val="24"/>
          <w:szCs w:val="24"/>
        </w:rPr>
        <w:t xml:space="preserve">, U.S. District Court Judge Sara L. Ellis, held: </w:t>
      </w:r>
    </w:p>
    <w:p w14:paraId="78DAE3B7" w14:textId="539731B5" w:rsidR="00F326E5" w:rsidRPr="00BF4DDE" w:rsidRDefault="00F326E5" w:rsidP="00BF4DDE">
      <w:pPr>
        <w:pStyle w:val="NoSpacing"/>
        <w:ind w:left="720"/>
        <w:rPr>
          <w:rFonts w:ascii="Times New Roman" w:hAnsi="Times New Roman"/>
          <w:sz w:val="24"/>
          <w:szCs w:val="24"/>
        </w:rPr>
      </w:pPr>
      <w:r w:rsidRPr="00BF4DDE">
        <w:rPr>
          <w:rFonts w:ascii="Times New Roman" w:hAnsi="Times New Roman"/>
          <w:sz w:val="24"/>
          <w:szCs w:val="24"/>
        </w:rPr>
        <w:t>“B</w:t>
      </w:r>
      <w:r w:rsidRPr="00BF4DDE">
        <w:rPr>
          <w:rFonts w:ascii="Times New Roman" w:eastAsia="Times New Roman" w:hAnsi="Times New Roman"/>
          <w:sz w:val="24"/>
          <w:szCs w:val="24"/>
        </w:rPr>
        <w:t>ecause the Non-Filing Plaintiffs can rely on the single-filing rule to bring their claims based on the charges filed by other plaintiffs in this case, the Court denies the City’s motion to dismiss.”</w:t>
      </w:r>
      <w:hyperlink r:id="rId1475" w:history="1">
        <w:r w:rsidRPr="00BF4DDE">
          <w:rPr>
            <w:rStyle w:val="Hyperlink"/>
            <w:rFonts w:ascii="Times New Roman" w:hAnsi="Times New Roman"/>
            <w:sz w:val="24"/>
            <w:szCs w:val="24"/>
          </w:rPr>
          <w:t>https://cases.justia.com/federal/district-courts/illinois/ilndce/1:2016cv10156/332956/114/0.pdf?ts=1547630986</w:t>
        </w:r>
      </w:hyperlink>
    </w:p>
    <w:p w14:paraId="464544DE" w14:textId="77777777" w:rsidR="00BF4DDE" w:rsidRDefault="00BF4DDE" w:rsidP="00F326E5">
      <w:pPr>
        <w:pStyle w:val="NoSpacing"/>
        <w:rPr>
          <w:rFonts w:ascii="Times New Roman" w:hAnsi="Times New Roman"/>
          <w:b/>
          <w:sz w:val="24"/>
          <w:szCs w:val="24"/>
        </w:rPr>
      </w:pPr>
    </w:p>
    <w:p w14:paraId="005EEDE1" w14:textId="36005839" w:rsidR="00F326E5" w:rsidRPr="00BF4DDE" w:rsidRDefault="00F326E5" w:rsidP="00F326E5">
      <w:pPr>
        <w:pStyle w:val="NoSpacing"/>
        <w:rPr>
          <w:rFonts w:ascii="Times New Roman" w:hAnsi="Times New Roman"/>
          <w:b/>
          <w:sz w:val="24"/>
          <w:szCs w:val="24"/>
        </w:rPr>
      </w:pPr>
      <w:r w:rsidRPr="00BF4DDE">
        <w:rPr>
          <w:rFonts w:ascii="Times New Roman" w:hAnsi="Times New Roman"/>
          <w:b/>
          <w:sz w:val="24"/>
          <w:szCs w:val="24"/>
        </w:rPr>
        <w:t xml:space="preserve">Legal Lessons Learned: Physical fitness tests, whether during Recruit School or prior to hiring, that have an adverse impact on females, should be validated by an expert.   </w:t>
      </w:r>
    </w:p>
    <w:p w14:paraId="54D870BB" w14:textId="77777777" w:rsidR="00F326E5" w:rsidRPr="00BF4DDE" w:rsidRDefault="00F326E5" w:rsidP="00F326E5">
      <w:pPr>
        <w:pStyle w:val="NoSpacing"/>
        <w:ind w:left="720"/>
        <w:rPr>
          <w:rFonts w:ascii="Times New Roman" w:hAnsi="Times New Roman"/>
          <w:sz w:val="24"/>
          <w:szCs w:val="24"/>
        </w:rPr>
      </w:pPr>
      <w:r w:rsidRPr="00BF4DDE">
        <w:rPr>
          <w:rFonts w:ascii="Times New Roman" w:hAnsi="Times New Roman"/>
          <w:sz w:val="24"/>
          <w:szCs w:val="24"/>
        </w:rPr>
        <w:t xml:space="preserve">See EEOC guidance, “Use of tests and other selection procedures can also violate the federal anti-discrimination laws if they disproportionately exclude people in a particular group by race, sex, or another covered basis, unless the employer can justify the test or procedure under the law.” </w:t>
      </w:r>
      <w:hyperlink r:id="rId1476" w:history="1">
        <w:r w:rsidRPr="00BF4DDE">
          <w:rPr>
            <w:rStyle w:val="Hyperlink"/>
            <w:rFonts w:ascii="Times New Roman" w:hAnsi="Times New Roman"/>
            <w:sz w:val="24"/>
            <w:szCs w:val="24"/>
          </w:rPr>
          <w:t>https://www.eeoc.gov/policy/docs/factemployment_procedures.html</w:t>
        </w:r>
      </w:hyperlink>
      <w:r w:rsidRPr="00BF4DDE">
        <w:rPr>
          <w:rFonts w:ascii="Times New Roman" w:hAnsi="Times New Roman"/>
          <w:sz w:val="24"/>
          <w:szCs w:val="24"/>
        </w:rPr>
        <w:t xml:space="preserve">  </w:t>
      </w:r>
    </w:p>
    <w:p w14:paraId="0E69A548" w14:textId="77777777" w:rsidR="00F326E5" w:rsidRPr="00BF4DDE" w:rsidRDefault="00F326E5" w:rsidP="00F326E5">
      <w:pPr>
        <w:pStyle w:val="NoSpacing"/>
        <w:ind w:left="720"/>
        <w:rPr>
          <w:rFonts w:ascii="Times New Roman" w:hAnsi="Times New Roman"/>
          <w:sz w:val="24"/>
          <w:szCs w:val="24"/>
        </w:rPr>
      </w:pPr>
      <w:r w:rsidRPr="00BF4DDE">
        <w:rPr>
          <w:rFonts w:ascii="Times New Roman" w:hAnsi="Times New Roman"/>
          <w:sz w:val="24"/>
          <w:szCs w:val="24"/>
        </w:rPr>
        <w:t xml:space="preserve">See EEOC June 13, </w:t>
      </w:r>
      <w:proofErr w:type="gramStart"/>
      <w:r w:rsidRPr="00BF4DDE">
        <w:rPr>
          <w:rFonts w:ascii="Times New Roman" w:hAnsi="Times New Roman"/>
          <w:sz w:val="24"/>
          <w:szCs w:val="24"/>
        </w:rPr>
        <w:t>2018</w:t>
      </w:r>
      <w:proofErr w:type="gramEnd"/>
      <w:r w:rsidRPr="00BF4DDE">
        <w:rPr>
          <w:rFonts w:ascii="Times New Roman" w:hAnsi="Times New Roman"/>
          <w:sz w:val="24"/>
          <w:szCs w:val="24"/>
        </w:rPr>
        <w:t xml:space="preserve"> press release: “CSX Transportation to Pay $3.2 Million To Settle EEOC Disparate Impact Sex Discrimination Case… According to the EEOC's lawsuit, CSXT conducted isokinetic strength testing as a requirement for workers to be hired for various jobs. The EEOC said that the strength test used by CSXT, known as the ‘IPCS </w:t>
      </w:r>
      <w:proofErr w:type="spellStart"/>
      <w:r w:rsidRPr="00BF4DDE">
        <w:rPr>
          <w:rFonts w:ascii="Times New Roman" w:hAnsi="Times New Roman"/>
          <w:sz w:val="24"/>
          <w:szCs w:val="24"/>
        </w:rPr>
        <w:t>Biodex</w:t>
      </w:r>
      <w:proofErr w:type="spellEnd"/>
      <w:r w:rsidRPr="00BF4DDE">
        <w:rPr>
          <w:rFonts w:ascii="Times New Roman" w:hAnsi="Times New Roman"/>
          <w:sz w:val="24"/>
          <w:szCs w:val="24"/>
        </w:rPr>
        <w:t xml:space="preserve">’ test, caused an unlawful discriminatory impact on female workers seeking jobs as conductors, material handler/clerks, and </w:t>
      </w:r>
      <w:proofErr w:type="gramStart"/>
      <w:r w:rsidRPr="00BF4DDE">
        <w:rPr>
          <w:rFonts w:ascii="Times New Roman" w:hAnsi="Times New Roman"/>
          <w:sz w:val="24"/>
          <w:szCs w:val="24"/>
        </w:rPr>
        <w:t>a number of</w:t>
      </w:r>
      <w:proofErr w:type="gramEnd"/>
      <w:r w:rsidRPr="00BF4DDE">
        <w:rPr>
          <w:rFonts w:ascii="Times New Roman" w:hAnsi="Times New Roman"/>
          <w:sz w:val="24"/>
          <w:szCs w:val="24"/>
        </w:rPr>
        <w:t xml:space="preserve"> other job categories. The EEOC also charged that CSXT used two other employment tests, a three-minute step test seeking to measure aerobic capacity and a discontinued arm endurance test, as a requirement for selection into certain jobs, and that those tests also caused an unlawful discriminatory effect on female workers.” </w:t>
      </w:r>
      <w:hyperlink r:id="rId1477" w:history="1">
        <w:r w:rsidRPr="00BF4DDE">
          <w:rPr>
            <w:rStyle w:val="Hyperlink"/>
            <w:rFonts w:ascii="Times New Roman" w:hAnsi="Times New Roman"/>
            <w:sz w:val="24"/>
            <w:szCs w:val="24"/>
          </w:rPr>
          <w:t>https://www.eeoc.gov/eeoc/newsroom/release/6-13-18.cfm</w:t>
        </w:r>
      </w:hyperlink>
      <w:r w:rsidRPr="00BF4DDE">
        <w:rPr>
          <w:rFonts w:ascii="Times New Roman" w:hAnsi="Times New Roman"/>
          <w:sz w:val="24"/>
          <w:szCs w:val="24"/>
        </w:rPr>
        <w:t xml:space="preserve"> </w:t>
      </w:r>
    </w:p>
    <w:p w14:paraId="05F679E0" w14:textId="50CBF9F3" w:rsidR="00F326E5" w:rsidRPr="00BF4DDE" w:rsidRDefault="00F326E5" w:rsidP="00F326E5">
      <w:pPr>
        <w:pStyle w:val="NoSpacing"/>
        <w:ind w:left="720"/>
        <w:rPr>
          <w:rFonts w:ascii="Times New Roman" w:hAnsi="Times New Roman"/>
          <w:sz w:val="24"/>
          <w:szCs w:val="24"/>
        </w:rPr>
      </w:pPr>
    </w:p>
    <w:bookmarkEnd w:id="310"/>
    <w:p w14:paraId="4F5CAF60" w14:textId="77777777" w:rsidR="00BF4DDE" w:rsidRDefault="00BF4DDE" w:rsidP="00EF1133">
      <w:pPr>
        <w:rPr>
          <w:rFonts w:ascii="Arial Black" w:hAnsi="Arial Black"/>
          <w:b/>
          <w:sz w:val="24"/>
          <w:szCs w:val="24"/>
        </w:rPr>
      </w:pPr>
    </w:p>
    <w:p w14:paraId="4F46361F" w14:textId="77777777" w:rsidR="00BF4DDE" w:rsidRDefault="00BF4DDE" w:rsidP="00EF1133">
      <w:pPr>
        <w:rPr>
          <w:rFonts w:ascii="Arial Black" w:hAnsi="Arial Black"/>
          <w:b/>
          <w:sz w:val="24"/>
          <w:szCs w:val="24"/>
        </w:rPr>
      </w:pPr>
    </w:p>
    <w:p w14:paraId="6108A106" w14:textId="31C0DF60" w:rsidR="00EF1133" w:rsidRDefault="00EF1133" w:rsidP="00EF1133">
      <w:pPr>
        <w:rPr>
          <w:rFonts w:ascii="Arial Black" w:hAnsi="Arial Black"/>
          <w:b/>
          <w:sz w:val="24"/>
          <w:szCs w:val="24"/>
        </w:rPr>
      </w:pPr>
      <w:r>
        <w:rPr>
          <w:rFonts w:ascii="Arial Black" w:hAnsi="Arial Black"/>
          <w:b/>
          <w:sz w:val="24"/>
          <w:szCs w:val="24"/>
        </w:rPr>
        <w:t>7</w:t>
      </w:r>
      <w:r w:rsidRPr="00EF1133">
        <w:rPr>
          <w:rFonts w:ascii="Arial Black" w:hAnsi="Arial Black"/>
          <w:b/>
          <w:sz w:val="24"/>
          <w:szCs w:val="24"/>
        </w:rPr>
        <w:t>-</w:t>
      </w:r>
      <w:r>
        <w:rPr>
          <w:rFonts w:ascii="Arial Black" w:hAnsi="Arial Black"/>
          <w:b/>
          <w:sz w:val="24"/>
          <w:szCs w:val="24"/>
        </w:rPr>
        <w:t>4</w:t>
      </w:r>
    </w:p>
    <w:p w14:paraId="461F0FAB" w14:textId="0A94B62C" w:rsidR="00F326E5" w:rsidRDefault="00F326E5" w:rsidP="00F326E5">
      <w:pPr>
        <w:pStyle w:val="NoSpacing"/>
        <w:rPr>
          <w:rFonts w:ascii="Arial Black" w:hAnsi="Arial Black"/>
          <w:sz w:val="28"/>
          <w:szCs w:val="28"/>
        </w:rPr>
      </w:pPr>
      <w:bookmarkStart w:id="311" w:name="_Hlk7344131"/>
      <w:r>
        <w:rPr>
          <w:rFonts w:ascii="Arial Black" w:hAnsi="Arial Black"/>
          <w:sz w:val="28"/>
          <w:szCs w:val="28"/>
        </w:rPr>
        <w:t xml:space="preserve">AL:  PREGNANT EMS – NOT ENTITLED TO LIGHT DUTY, COMPANY POLICY ONLY IF INJURED ON THE JOB </w:t>
      </w:r>
    </w:p>
    <w:p w14:paraId="1FE747EC" w14:textId="77777777" w:rsidR="00BF4DDE" w:rsidRDefault="00F326E5" w:rsidP="00F326E5">
      <w:pPr>
        <w:rPr>
          <w:rFonts w:ascii="Times New Roman" w:hAnsi="Times New Roman"/>
          <w:sz w:val="24"/>
          <w:szCs w:val="24"/>
        </w:rPr>
      </w:pPr>
      <w:r w:rsidRPr="00BF4DDE">
        <w:rPr>
          <w:rFonts w:ascii="Times New Roman" w:hAnsi="Times New Roman"/>
          <w:sz w:val="24"/>
          <w:szCs w:val="24"/>
        </w:rPr>
        <w:t xml:space="preserve">On Oct. 9, 2018, in </w:t>
      </w:r>
      <w:r w:rsidRPr="00BF4DDE">
        <w:rPr>
          <w:rFonts w:ascii="Times New Roman" w:hAnsi="Times New Roman"/>
          <w:sz w:val="24"/>
          <w:szCs w:val="24"/>
          <w:u w:val="single"/>
        </w:rPr>
        <w:t>Kimberly Michelle Durham v. Rural/Metro Corporation</w:t>
      </w:r>
      <w:r w:rsidRPr="00BF4DDE">
        <w:rPr>
          <w:rFonts w:ascii="Times New Roman" w:hAnsi="Times New Roman"/>
          <w:sz w:val="24"/>
          <w:szCs w:val="24"/>
        </w:rPr>
        <w:t xml:space="preserve">, Case No. 4:16-CV-01604-ACA, U.S. District Court Judge granted summary judgment to the employer. Three male EMTs had been granted light duty for injuries to their backs while lifting patients.  The court held, </w:t>
      </w:r>
    </w:p>
    <w:p w14:paraId="30A8F32E" w14:textId="566FF3C2" w:rsidR="00F326E5" w:rsidRPr="00BF4DDE" w:rsidRDefault="00F326E5" w:rsidP="00BF4DDE">
      <w:pPr>
        <w:ind w:left="720"/>
        <w:rPr>
          <w:rFonts w:ascii="Times New Roman" w:hAnsi="Times New Roman"/>
          <w:sz w:val="24"/>
          <w:szCs w:val="24"/>
        </w:rPr>
      </w:pPr>
      <w:r w:rsidRPr="00BF4DDE">
        <w:rPr>
          <w:rFonts w:ascii="Times New Roman" w:hAnsi="Times New Roman"/>
          <w:sz w:val="24"/>
          <w:szCs w:val="24"/>
        </w:rPr>
        <w:t>“</w:t>
      </w:r>
      <w:r w:rsidRPr="00BF4DDE">
        <w:rPr>
          <w:rFonts w:ascii="Times New Roman" w:eastAsia="Times New Roman" w:hAnsi="Times New Roman"/>
          <w:sz w:val="24"/>
          <w:szCs w:val="24"/>
        </w:rPr>
        <w:t xml:space="preserve">Rural/Metro contends that Ms. Durham must offer substantial evidence of employees placed on light duty assignment who were injured off the job </w:t>
      </w:r>
      <w:proofErr w:type="gramStart"/>
      <w:r w:rsidRPr="00BF4DDE">
        <w:rPr>
          <w:rFonts w:ascii="Times New Roman" w:eastAsia="Times New Roman" w:hAnsi="Times New Roman"/>
          <w:sz w:val="24"/>
          <w:szCs w:val="24"/>
        </w:rPr>
        <w:t>in order to</w:t>
      </w:r>
      <w:proofErr w:type="gramEnd"/>
      <w:r w:rsidRPr="00BF4DDE">
        <w:rPr>
          <w:rFonts w:ascii="Times New Roman" w:eastAsia="Times New Roman" w:hAnsi="Times New Roman"/>
          <w:sz w:val="24"/>
          <w:szCs w:val="24"/>
        </w:rPr>
        <w:t xml:space="preserve"> survive summary judgment. This court agrees.”  </w:t>
      </w:r>
      <w:hyperlink r:id="rId1478" w:history="1">
        <w:r w:rsidRPr="00BF4DDE">
          <w:rPr>
            <w:rStyle w:val="Hyperlink"/>
            <w:rFonts w:ascii="Times New Roman" w:hAnsi="Times New Roman"/>
            <w:sz w:val="24"/>
            <w:szCs w:val="24"/>
          </w:rPr>
          <w:t>https://law.justia.com/cases/federal/district-courts/alabama/alndce/4:2016cv01604/160190/55/</w:t>
        </w:r>
      </w:hyperlink>
      <w:r w:rsidRPr="00BF4DDE">
        <w:rPr>
          <w:rFonts w:ascii="Times New Roman" w:hAnsi="Times New Roman"/>
          <w:sz w:val="24"/>
          <w:szCs w:val="24"/>
        </w:rPr>
        <w:t xml:space="preserve"> </w:t>
      </w:r>
    </w:p>
    <w:p w14:paraId="5C86004E" w14:textId="77777777" w:rsidR="00F326E5" w:rsidRPr="00BF4DDE" w:rsidRDefault="00F326E5" w:rsidP="00F326E5">
      <w:pPr>
        <w:pStyle w:val="NoSpacing"/>
        <w:rPr>
          <w:rFonts w:ascii="Times New Roman" w:hAnsi="Times New Roman"/>
          <w:b/>
          <w:sz w:val="24"/>
          <w:szCs w:val="24"/>
        </w:rPr>
      </w:pPr>
      <w:r w:rsidRPr="00BF4DDE">
        <w:rPr>
          <w:rFonts w:ascii="Times New Roman" w:hAnsi="Times New Roman"/>
          <w:b/>
          <w:sz w:val="24"/>
          <w:szCs w:val="24"/>
        </w:rPr>
        <w:t xml:space="preserve">Legal Lessons Learned:  Some are urging Congress to broaden the Pregnancy Discrimination Act; see also EEOC Enforcement Guidance </w:t>
      </w:r>
      <w:proofErr w:type="gramStart"/>
      <w:r w:rsidRPr="00BF4DDE">
        <w:rPr>
          <w:rFonts w:ascii="Times New Roman" w:hAnsi="Times New Roman"/>
          <w:b/>
          <w:sz w:val="24"/>
          <w:szCs w:val="24"/>
        </w:rPr>
        <w:t>On</w:t>
      </w:r>
      <w:proofErr w:type="gramEnd"/>
      <w:r w:rsidRPr="00BF4DDE">
        <w:rPr>
          <w:rFonts w:ascii="Times New Roman" w:hAnsi="Times New Roman"/>
          <w:b/>
          <w:sz w:val="24"/>
          <w:szCs w:val="24"/>
        </w:rPr>
        <w:t xml:space="preserve"> Pregnancy Discrimination: </w:t>
      </w:r>
      <w:hyperlink r:id="rId1479" w:history="1">
        <w:r w:rsidRPr="00BF4DDE">
          <w:rPr>
            <w:rStyle w:val="Hyperlink"/>
            <w:rFonts w:ascii="Times New Roman" w:hAnsi="Times New Roman"/>
            <w:sz w:val="24"/>
            <w:szCs w:val="24"/>
          </w:rPr>
          <w:t>https://www.eeoc.gov/laws/guidance/pregnancy_guidance.cfm</w:t>
        </w:r>
      </w:hyperlink>
      <w:r w:rsidRPr="00BF4DDE">
        <w:rPr>
          <w:rFonts w:ascii="Times New Roman" w:hAnsi="Times New Roman"/>
          <w:b/>
          <w:sz w:val="24"/>
          <w:szCs w:val="24"/>
        </w:rPr>
        <w:t xml:space="preserve"> .</w:t>
      </w:r>
    </w:p>
    <w:bookmarkEnd w:id="311"/>
    <w:p w14:paraId="1BC68CF3" w14:textId="77777777" w:rsidR="00F326E5" w:rsidRPr="00BF4DDE" w:rsidRDefault="00F326E5" w:rsidP="00F326E5">
      <w:pPr>
        <w:pStyle w:val="NoSpacing"/>
        <w:rPr>
          <w:rFonts w:ascii="Times New Roman" w:hAnsi="Times New Roman"/>
          <w:b/>
          <w:sz w:val="24"/>
          <w:szCs w:val="24"/>
        </w:rPr>
      </w:pPr>
    </w:p>
    <w:p w14:paraId="2B1A0D3C" w14:textId="77777777" w:rsidR="00F326E5" w:rsidRDefault="00F326E5" w:rsidP="00F326E5">
      <w:pPr>
        <w:pStyle w:val="NoSpacing"/>
        <w:rPr>
          <w:b/>
          <w:sz w:val="24"/>
          <w:szCs w:val="24"/>
        </w:rPr>
      </w:pPr>
    </w:p>
    <w:p w14:paraId="67516467" w14:textId="77777777" w:rsidR="00BF4DDE" w:rsidRDefault="00BF4DDE" w:rsidP="00F326E5">
      <w:pPr>
        <w:rPr>
          <w:rFonts w:ascii="Arial Black" w:hAnsi="Arial Black"/>
          <w:b/>
          <w:sz w:val="24"/>
          <w:szCs w:val="24"/>
        </w:rPr>
      </w:pPr>
    </w:p>
    <w:p w14:paraId="217A912A" w14:textId="06BEF889" w:rsidR="00F326E5" w:rsidRDefault="00EF1133" w:rsidP="00F326E5">
      <w:pPr>
        <w:rPr>
          <w:sz w:val="24"/>
          <w:szCs w:val="24"/>
        </w:rPr>
      </w:pPr>
      <w:r>
        <w:rPr>
          <w:rFonts w:ascii="Arial Black" w:hAnsi="Arial Black"/>
          <w:b/>
          <w:sz w:val="24"/>
          <w:szCs w:val="24"/>
        </w:rPr>
        <w:t>7</w:t>
      </w:r>
      <w:r w:rsidRPr="00EF1133">
        <w:rPr>
          <w:rFonts w:ascii="Arial Black" w:hAnsi="Arial Black"/>
          <w:b/>
          <w:sz w:val="24"/>
          <w:szCs w:val="24"/>
        </w:rPr>
        <w:t>-</w:t>
      </w:r>
      <w:r>
        <w:rPr>
          <w:rFonts w:ascii="Arial Black" w:hAnsi="Arial Black"/>
          <w:b/>
          <w:sz w:val="24"/>
          <w:szCs w:val="24"/>
        </w:rPr>
        <w:t>3</w:t>
      </w:r>
    </w:p>
    <w:p w14:paraId="30009834" w14:textId="061D70BB" w:rsidR="00F326E5" w:rsidRPr="00746228" w:rsidRDefault="00F326E5" w:rsidP="00F326E5">
      <w:pPr>
        <w:rPr>
          <w:rFonts w:ascii="Arial Black" w:hAnsi="Arial Black"/>
          <w:sz w:val="28"/>
          <w:szCs w:val="28"/>
        </w:rPr>
      </w:pPr>
      <w:bookmarkStart w:id="312" w:name="_Hlk7344170"/>
      <w:r w:rsidRPr="00746228">
        <w:rPr>
          <w:rFonts w:ascii="Arial Black" w:hAnsi="Arial Black"/>
          <w:sz w:val="28"/>
          <w:szCs w:val="28"/>
        </w:rPr>
        <w:t>MI: F</w:t>
      </w:r>
      <w:r>
        <w:rPr>
          <w:rFonts w:ascii="Arial Black" w:hAnsi="Arial Black"/>
          <w:sz w:val="28"/>
          <w:szCs w:val="28"/>
        </w:rPr>
        <w:t>EMALE CAPTAIN NOT SELECTED AS FIRE CHIEF – LACK OF INCIDENT COMMAND</w:t>
      </w:r>
    </w:p>
    <w:p w14:paraId="079BE56B" w14:textId="77777777" w:rsidR="00BF4DDE" w:rsidRDefault="00F326E5" w:rsidP="00F326E5">
      <w:pPr>
        <w:rPr>
          <w:rFonts w:ascii="Times New Roman" w:hAnsi="Times New Roman"/>
          <w:bCs/>
          <w:sz w:val="24"/>
          <w:szCs w:val="24"/>
        </w:rPr>
      </w:pPr>
      <w:r w:rsidRPr="00BF4DDE">
        <w:rPr>
          <w:rFonts w:ascii="Times New Roman" w:hAnsi="Times New Roman"/>
          <w:bCs/>
          <w:sz w:val="24"/>
          <w:szCs w:val="24"/>
        </w:rPr>
        <w:t xml:space="preserve">On Aug. 30, 2018, in </w:t>
      </w:r>
      <w:r w:rsidRPr="00BF4DDE">
        <w:rPr>
          <w:rFonts w:ascii="Times New Roman" w:hAnsi="Times New Roman"/>
          <w:bCs/>
          <w:sz w:val="24"/>
          <w:szCs w:val="24"/>
          <w:u w:val="single"/>
        </w:rPr>
        <w:t>Ona Lee Aguilar v. City of Saginaw and IAFF Local 102</w:t>
      </w:r>
      <w:r w:rsidRPr="00BF4DDE">
        <w:rPr>
          <w:rFonts w:ascii="Times New Roman" w:hAnsi="Times New Roman"/>
          <w:bCs/>
          <w:sz w:val="24"/>
          <w:szCs w:val="24"/>
        </w:rPr>
        <w:t>, the State of Michigan Court of Appeals held 3 to 0 (in unpublished opinion) upheld the dismissal of her lawsuit by trial court.</w:t>
      </w:r>
    </w:p>
    <w:p w14:paraId="0AA16441" w14:textId="228BA869" w:rsidR="00F326E5" w:rsidRPr="00BF4DDE" w:rsidRDefault="00F326E5" w:rsidP="00BF4DDE">
      <w:pPr>
        <w:ind w:left="720"/>
        <w:rPr>
          <w:rFonts w:ascii="Times New Roman" w:hAnsi="Times New Roman"/>
          <w:b/>
          <w:sz w:val="24"/>
          <w:szCs w:val="24"/>
        </w:rPr>
      </w:pPr>
      <w:r w:rsidRPr="00BF4DDE">
        <w:rPr>
          <w:rFonts w:ascii="Times New Roman" w:hAnsi="Times New Roman"/>
          <w:bCs/>
          <w:sz w:val="24"/>
          <w:szCs w:val="24"/>
        </w:rPr>
        <w:t>“</w:t>
      </w:r>
      <w:r w:rsidRPr="00BF4DDE">
        <w:rPr>
          <w:rFonts w:ascii="Times New Roman" w:hAnsi="Times New Roman"/>
          <w:sz w:val="24"/>
          <w:szCs w:val="24"/>
        </w:rPr>
        <w:t>Aguilar is one of a small number of female employees of the Saginaw Fire Department (SFD) and has dealt with harassment and hostility over the years as she worked her way up the ranks in a male-dominated field. Aguilar’s suit, however, was based solely on the city’s 2013 failure to name her as acting or interim fire chief and its 2014 failure to hire her as the city’s permanent fire chief.  The evidence supports that Aguilar’s union discriminated against her and those parties reached a settlement. Although the evidence also supports that Aguilar continues to work in a hostile environment, Aguilar has not created a triable question of fact on her discrimination claims. Accordingly, we are bound to affirm.”</w:t>
      </w:r>
      <w:r w:rsidR="00BF4DDE">
        <w:rPr>
          <w:rFonts w:ascii="Times New Roman" w:hAnsi="Times New Roman"/>
          <w:sz w:val="24"/>
          <w:szCs w:val="24"/>
        </w:rPr>
        <w:t xml:space="preserve"> </w:t>
      </w:r>
      <w:hyperlink r:id="rId1480" w:history="1">
        <w:r w:rsidRPr="00BF4DDE">
          <w:rPr>
            <w:rStyle w:val="Hyperlink"/>
            <w:rFonts w:ascii="Times New Roman" w:hAnsi="Times New Roman"/>
            <w:sz w:val="24"/>
            <w:szCs w:val="24"/>
          </w:rPr>
          <w:t>https://cases.justia.com/michigan/court-of-appeals-unpublished/2018-339016.pdf?ts=1535720483</w:t>
        </w:r>
      </w:hyperlink>
      <w:r w:rsidRPr="00BF4DDE">
        <w:rPr>
          <w:rFonts w:ascii="Times New Roman" w:hAnsi="Times New Roman"/>
          <w:b/>
          <w:sz w:val="24"/>
          <w:szCs w:val="24"/>
        </w:rPr>
        <w:t xml:space="preserve"> </w:t>
      </w:r>
    </w:p>
    <w:p w14:paraId="6C8FD93E" w14:textId="77777777" w:rsidR="00F326E5" w:rsidRPr="00BF4DDE" w:rsidRDefault="00F326E5" w:rsidP="00F326E5">
      <w:pPr>
        <w:rPr>
          <w:rFonts w:ascii="Times New Roman" w:eastAsia="Times New Roman" w:hAnsi="Times New Roman"/>
          <w:b/>
          <w:sz w:val="24"/>
          <w:szCs w:val="24"/>
        </w:rPr>
      </w:pPr>
      <w:r w:rsidRPr="00BF4DDE">
        <w:rPr>
          <w:rFonts w:ascii="Times New Roman" w:eastAsia="Times New Roman" w:hAnsi="Times New Roman"/>
          <w:b/>
          <w:sz w:val="24"/>
          <w:szCs w:val="24"/>
        </w:rPr>
        <w:t xml:space="preserve">Legal Lessons Learned:  Lack of experience in Incident Command is a legitimate, nondiscriminatory reason for not selecting an applicant for Fire Chief. </w:t>
      </w:r>
    </w:p>
    <w:p w14:paraId="0E976592" w14:textId="77777777" w:rsidR="00EF1133" w:rsidRDefault="00EF1133" w:rsidP="00EF1133">
      <w:pPr>
        <w:rPr>
          <w:rFonts w:ascii="Arial Black" w:hAnsi="Arial Black"/>
          <w:b/>
          <w:sz w:val="24"/>
          <w:szCs w:val="24"/>
        </w:rPr>
      </w:pPr>
    </w:p>
    <w:p w14:paraId="108C7FF7" w14:textId="27875A13" w:rsidR="00EF1133" w:rsidRDefault="00EF1133" w:rsidP="00EF1133">
      <w:pPr>
        <w:rPr>
          <w:rFonts w:ascii="Arial Black" w:hAnsi="Arial Black"/>
          <w:b/>
          <w:sz w:val="24"/>
          <w:szCs w:val="24"/>
        </w:rPr>
      </w:pPr>
      <w:r>
        <w:rPr>
          <w:rFonts w:ascii="Arial Black" w:hAnsi="Arial Black"/>
          <w:b/>
          <w:sz w:val="24"/>
          <w:szCs w:val="24"/>
        </w:rPr>
        <w:t>7</w:t>
      </w:r>
      <w:r w:rsidRPr="00EF1133">
        <w:rPr>
          <w:rFonts w:ascii="Arial Black" w:hAnsi="Arial Black"/>
          <w:b/>
          <w:sz w:val="24"/>
          <w:szCs w:val="24"/>
        </w:rPr>
        <w:t>-</w:t>
      </w:r>
      <w:r>
        <w:rPr>
          <w:rFonts w:ascii="Arial Black" w:hAnsi="Arial Black"/>
          <w:b/>
          <w:sz w:val="24"/>
          <w:szCs w:val="24"/>
        </w:rPr>
        <w:t>2</w:t>
      </w:r>
    </w:p>
    <w:p w14:paraId="165E8B99" w14:textId="327A78FF" w:rsidR="00F326E5" w:rsidRPr="00255E41" w:rsidRDefault="00F326E5" w:rsidP="00F326E5">
      <w:pPr>
        <w:pStyle w:val="NoSpacing"/>
        <w:rPr>
          <w:rFonts w:ascii="Arial Black" w:hAnsi="Arial Black"/>
          <w:b/>
          <w:sz w:val="28"/>
          <w:szCs w:val="28"/>
        </w:rPr>
      </w:pPr>
      <w:bookmarkStart w:id="313" w:name="_Hlk7344305"/>
      <w:bookmarkEnd w:id="312"/>
      <w:r w:rsidRPr="00255E41">
        <w:rPr>
          <w:rFonts w:ascii="Arial Black" w:hAnsi="Arial Black"/>
          <w:b/>
          <w:sz w:val="28"/>
          <w:szCs w:val="28"/>
        </w:rPr>
        <w:lastRenderedPageBreak/>
        <w:t>LA: S</w:t>
      </w:r>
      <w:r w:rsidR="00255E41">
        <w:rPr>
          <w:rFonts w:ascii="Arial Black" w:hAnsi="Arial Black"/>
          <w:b/>
          <w:sz w:val="28"/>
          <w:szCs w:val="28"/>
        </w:rPr>
        <w:t xml:space="preserve">EXUAL HARASSMENT COMLAINT PROMPTLY INVESTIGATED – OFFENDER WARNED </w:t>
      </w:r>
    </w:p>
    <w:p w14:paraId="441E3377" w14:textId="77777777" w:rsidR="00F326E5" w:rsidRPr="00BF4DDE" w:rsidRDefault="00F326E5" w:rsidP="00F326E5">
      <w:pPr>
        <w:rPr>
          <w:rFonts w:ascii="Times New Roman" w:hAnsi="Times New Roman"/>
          <w:sz w:val="24"/>
          <w:szCs w:val="24"/>
        </w:rPr>
      </w:pPr>
      <w:r w:rsidRPr="00BF4DDE">
        <w:rPr>
          <w:rFonts w:ascii="Times New Roman" w:hAnsi="Times New Roman"/>
          <w:sz w:val="24"/>
          <w:szCs w:val="24"/>
        </w:rPr>
        <w:t xml:space="preserve">On June 5, 2018, in </w:t>
      </w:r>
      <w:r w:rsidRPr="00BF4DDE">
        <w:rPr>
          <w:rFonts w:ascii="Times New Roman" w:hAnsi="Times New Roman"/>
          <w:sz w:val="24"/>
          <w:szCs w:val="24"/>
          <w:u w:val="single"/>
        </w:rPr>
        <w:t>Shelita Tucker v. United Parcel Service, Inc</w:t>
      </w:r>
      <w:r w:rsidRPr="00BF4DDE">
        <w:rPr>
          <w:rFonts w:ascii="Times New Roman" w:hAnsi="Times New Roman"/>
          <w:sz w:val="24"/>
          <w:szCs w:val="24"/>
        </w:rPr>
        <w:t>., the U.S. Court of Appeals for the 5</w:t>
      </w:r>
      <w:r w:rsidRPr="00BF4DDE">
        <w:rPr>
          <w:rFonts w:ascii="Times New Roman" w:hAnsi="Times New Roman"/>
          <w:sz w:val="24"/>
          <w:szCs w:val="24"/>
          <w:vertAlign w:val="superscript"/>
        </w:rPr>
        <w:t>th</w:t>
      </w:r>
      <w:r w:rsidRPr="00BF4DDE">
        <w:rPr>
          <w:rFonts w:ascii="Times New Roman" w:hAnsi="Times New Roman"/>
          <w:sz w:val="24"/>
          <w:szCs w:val="24"/>
        </w:rPr>
        <w:t xml:space="preserve"> Circuit, held (3 to 0) in an unpublished opinion that the federal district judge properly granted summary judgment to UPS: </w:t>
      </w:r>
    </w:p>
    <w:p w14:paraId="5694ED55" w14:textId="2453BC40" w:rsidR="00F326E5" w:rsidRPr="00BF4DDE" w:rsidRDefault="00F326E5" w:rsidP="00F326E5">
      <w:pPr>
        <w:ind w:left="720"/>
        <w:rPr>
          <w:rFonts w:ascii="Times New Roman" w:eastAsia="Times New Roman" w:hAnsi="Times New Roman"/>
          <w:sz w:val="24"/>
          <w:szCs w:val="24"/>
        </w:rPr>
      </w:pPr>
      <w:r w:rsidRPr="00BF4DDE">
        <w:rPr>
          <w:rFonts w:ascii="Times New Roman" w:hAnsi="Times New Roman"/>
          <w:sz w:val="24"/>
          <w:szCs w:val="24"/>
        </w:rPr>
        <w:t>“We agree with the district court that Tucker failed to discharge her burden to raise a fact issue in this regard. UPS's remedial actions stopped the sexual harassment, and McCaleb neither spoke to nor touched Tucker again. Although McCaleb's presence at</w:t>
      </w:r>
      <w:r w:rsidRPr="00BF4DDE">
        <w:rPr>
          <w:rFonts w:ascii="Times New Roman" w:hAnsi="Times New Roman"/>
          <w:b/>
          <w:sz w:val="24"/>
          <w:szCs w:val="24"/>
        </w:rPr>
        <w:t xml:space="preserve"> </w:t>
      </w:r>
      <w:r w:rsidRPr="00BF4DDE">
        <w:rPr>
          <w:rFonts w:ascii="Times New Roman" w:hAnsi="Times New Roman"/>
          <w:sz w:val="24"/>
          <w:szCs w:val="24"/>
        </w:rPr>
        <w:t>work made her feel uncomfortable, Tucker said she was still able to perform her duties.”</w:t>
      </w:r>
      <w:hyperlink r:id="rId1481" w:history="1">
        <w:r w:rsidRPr="00BF4DDE">
          <w:rPr>
            <w:rStyle w:val="Hyperlink"/>
            <w:rFonts w:ascii="Times New Roman" w:hAnsi="Times New Roman"/>
            <w:sz w:val="24"/>
            <w:szCs w:val="24"/>
          </w:rPr>
          <w:t>http://www.ca5.uscourts.gov/opinions/unpub/17/17-30574.0.pdf</w:t>
        </w:r>
      </w:hyperlink>
      <w:r w:rsidRPr="00BF4DDE">
        <w:rPr>
          <w:rFonts w:ascii="Times New Roman" w:eastAsia="Times New Roman" w:hAnsi="Times New Roman"/>
          <w:sz w:val="24"/>
          <w:szCs w:val="24"/>
        </w:rPr>
        <w:t xml:space="preserve"> </w:t>
      </w:r>
    </w:p>
    <w:p w14:paraId="2A61B869" w14:textId="77777777" w:rsidR="00F326E5" w:rsidRPr="00BF4DDE" w:rsidRDefault="00F326E5" w:rsidP="00F326E5">
      <w:pPr>
        <w:rPr>
          <w:rFonts w:ascii="Times New Roman" w:eastAsia="Times New Roman" w:hAnsi="Times New Roman"/>
          <w:b/>
          <w:sz w:val="24"/>
          <w:szCs w:val="24"/>
        </w:rPr>
      </w:pPr>
      <w:r w:rsidRPr="00BF4DDE">
        <w:rPr>
          <w:rFonts w:ascii="Times New Roman" w:eastAsia="Times New Roman" w:hAnsi="Times New Roman"/>
          <w:b/>
          <w:sz w:val="24"/>
          <w:szCs w:val="24"/>
        </w:rPr>
        <w:t xml:space="preserve">Legal Lessons Learned: Fire &amp; EMS employers should likewise get statements, investigate and take prompt corrective action. </w:t>
      </w:r>
    </w:p>
    <w:p w14:paraId="01EC6885" w14:textId="77777777" w:rsidR="00F326E5" w:rsidRDefault="00F326E5" w:rsidP="00F326E5">
      <w:pPr>
        <w:rPr>
          <w:rFonts w:eastAsia="Times New Roman"/>
          <w:b/>
          <w:sz w:val="24"/>
          <w:szCs w:val="24"/>
        </w:rPr>
      </w:pPr>
    </w:p>
    <w:p w14:paraId="00E7C3E1" w14:textId="77777777" w:rsidR="00EF1133" w:rsidRDefault="00EF1133" w:rsidP="00F326E5">
      <w:pPr>
        <w:pStyle w:val="NoSpacing"/>
        <w:rPr>
          <w:rFonts w:ascii="Arial Black" w:hAnsi="Arial Black"/>
          <w:sz w:val="28"/>
          <w:szCs w:val="28"/>
        </w:rPr>
      </w:pPr>
      <w:bookmarkStart w:id="314" w:name="_Hlk515006402"/>
      <w:bookmarkStart w:id="315" w:name="_Hlk7344381"/>
      <w:bookmarkEnd w:id="313"/>
    </w:p>
    <w:p w14:paraId="637BCB5E" w14:textId="699B10AD" w:rsidR="00EF1133" w:rsidRDefault="00EF1133" w:rsidP="00EF1133">
      <w:pPr>
        <w:rPr>
          <w:rFonts w:ascii="Arial Black" w:hAnsi="Arial Black"/>
          <w:b/>
          <w:sz w:val="24"/>
          <w:szCs w:val="24"/>
        </w:rPr>
      </w:pPr>
      <w:r>
        <w:rPr>
          <w:rFonts w:ascii="Arial Black" w:hAnsi="Arial Black"/>
          <w:b/>
          <w:sz w:val="24"/>
          <w:szCs w:val="24"/>
        </w:rPr>
        <w:t>7</w:t>
      </w:r>
      <w:r w:rsidRPr="00EF1133">
        <w:rPr>
          <w:rFonts w:ascii="Arial Black" w:hAnsi="Arial Black"/>
          <w:b/>
          <w:sz w:val="24"/>
          <w:szCs w:val="24"/>
        </w:rPr>
        <w:t>-1</w:t>
      </w:r>
    </w:p>
    <w:p w14:paraId="657257A8" w14:textId="5B743660" w:rsidR="00F326E5" w:rsidRDefault="00F326E5" w:rsidP="00F326E5">
      <w:pPr>
        <w:pStyle w:val="NoSpacing"/>
        <w:rPr>
          <w:rFonts w:ascii="Arial Black" w:hAnsi="Arial Black"/>
          <w:b/>
          <w:sz w:val="24"/>
          <w:szCs w:val="24"/>
        </w:rPr>
      </w:pPr>
      <w:r w:rsidRPr="004D7942">
        <w:rPr>
          <w:rFonts w:ascii="Arial Black" w:hAnsi="Arial Black"/>
          <w:sz w:val="28"/>
          <w:szCs w:val="28"/>
        </w:rPr>
        <w:t>FL</w:t>
      </w:r>
      <w:r>
        <w:rPr>
          <w:rFonts w:ascii="Arial Black" w:hAnsi="Arial Black"/>
          <w:sz w:val="28"/>
          <w:szCs w:val="28"/>
        </w:rPr>
        <w:t xml:space="preserve">: </w:t>
      </w:r>
      <w:r w:rsidRPr="004D7942">
        <w:rPr>
          <w:rFonts w:ascii="Arial Black" w:hAnsi="Arial Black"/>
          <w:sz w:val="28"/>
          <w:szCs w:val="28"/>
        </w:rPr>
        <w:t>FEMALE CANDIDATE FOR FIRE CHIEF NOT SELECTED – NOT GENDER DISCRIMINATION, BOTH CANDIDATES HIGHLY QUALIFIED</w:t>
      </w:r>
      <w:r>
        <w:rPr>
          <w:rFonts w:ascii="Arial Black" w:hAnsi="Arial Black"/>
          <w:sz w:val="28"/>
          <w:szCs w:val="28"/>
        </w:rPr>
        <w:t xml:space="preserve"> </w:t>
      </w:r>
      <w:bookmarkEnd w:id="314"/>
    </w:p>
    <w:p w14:paraId="293BC67A" w14:textId="77777777" w:rsidR="00BF4DDE" w:rsidRDefault="00F326E5" w:rsidP="00F326E5">
      <w:pPr>
        <w:pStyle w:val="NoSpacing"/>
        <w:rPr>
          <w:rFonts w:ascii="Times New Roman" w:hAnsi="Times New Roman"/>
          <w:sz w:val="24"/>
          <w:szCs w:val="24"/>
        </w:rPr>
      </w:pPr>
      <w:r w:rsidRPr="00BF4DDE">
        <w:rPr>
          <w:rFonts w:ascii="Times New Roman" w:hAnsi="Times New Roman"/>
          <w:sz w:val="24"/>
          <w:szCs w:val="24"/>
        </w:rPr>
        <w:t xml:space="preserve">On Jan. 19, 2018, in </w:t>
      </w:r>
      <w:r w:rsidRPr="00BF4DDE">
        <w:rPr>
          <w:rFonts w:ascii="Times New Roman" w:hAnsi="Times New Roman"/>
          <w:sz w:val="24"/>
          <w:szCs w:val="24"/>
          <w:u w:val="single"/>
        </w:rPr>
        <w:t>Shari Hall v. Marion County Board of County Commissioners</w:t>
      </w:r>
      <w:r w:rsidRPr="00BF4DDE">
        <w:rPr>
          <w:rFonts w:ascii="Times New Roman" w:hAnsi="Times New Roman"/>
          <w:sz w:val="24"/>
          <w:szCs w:val="24"/>
        </w:rPr>
        <w:t xml:space="preserve">, the District Court of Appeal of State of Florida, 5th District, held that: </w:t>
      </w:r>
    </w:p>
    <w:p w14:paraId="4F3A4A30" w14:textId="77777777" w:rsidR="00BF4DDE" w:rsidRDefault="00BF4DDE" w:rsidP="00F326E5">
      <w:pPr>
        <w:pStyle w:val="NoSpacing"/>
        <w:rPr>
          <w:rFonts w:ascii="Times New Roman" w:hAnsi="Times New Roman"/>
          <w:sz w:val="24"/>
          <w:szCs w:val="24"/>
        </w:rPr>
      </w:pPr>
    </w:p>
    <w:p w14:paraId="6E99C1B7" w14:textId="753A0E0F" w:rsidR="00F326E5" w:rsidRPr="00BF4DDE" w:rsidRDefault="00F326E5" w:rsidP="00BF4DDE">
      <w:pPr>
        <w:pStyle w:val="NoSpacing"/>
        <w:ind w:left="720"/>
        <w:rPr>
          <w:rFonts w:ascii="Times New Roman" w:hAnsi="Times New Roman"/>
          <w:sz w:val="24"/>
          <w:szCs w:val="24"/>
        </w:rPr>
      </w:pPr>
      <w:r w:rsidRPr="00BF4DDE">
        <w:rPr>
          <w:rFonts w:ascii="Times New Roman" w:hAnsi="Times New Roman"/>
          <w:sz w:val="24"/>
          <w:szCs w:val="24"/>
        </w:rPr>
        <w:t xml:space="preserve">“Appellant failed in her burden of proving the county offered pretextual </w:t>
      </w:r>
      <w:proofErr w:type="gramStart"/>
      <w:r w:rsidRPr="00BF4DDE">
        <w:rPr>
          <w:rFonts w:ascii="Times New Roman" w:hAnsi="Times New Roman"/>
          <w:sz w:val="24"/>
          <w:szCs w:val="24"/>
        </w:rPr>
        <w:t>reasons, and</w:t>
      </w:r>
      <w:proofErr w:type="gramEnd"/>
      <w:r w:rsidRPr="00BF4DDE">
        <w:rPr>
          <w:rFonts w:ascii="Times New Roman" w:hAnsi="Times New Roman"/>
          <w:sz w:val="24"/>
          <w:szCs w:val="24"/>
        </w:rPr>
        <w:t xml:space="preserve"> thus failed to establish a case of gender discrimination using circumstantial evidence.” Case was remanded so Court can next dispose of retaliation claim. </w:t>
      </w:r>
      <w:hyperlink r:id="rId1482" w:history="1">
        <w:r w:rsidRPr="00BF4DDE">
          <w:rPr>
            <w:rStyle w:val="Hyperlink"/>
            <w:rFonts w:ascii="Times New Roman" w:hAnsi="Times New Roman"/>
            <w:sz w:val="24"/>
            <w:szCs w:val="24"/>
          </w:rPr>
          <w:t>http://www.5dca.org/Opinions/Opin2018/011518/5D17-1183.op.pdf</w:t>
        </w:r>
      </w:hyperlink>
    </w:p>
    <w:p w14:paraId="5E678E77" w14:textId="77777777" w:rsidR="00BF4DDE" w:rsidRDefault="00BF4DDE" w:rsidP="00F326E5">
      <w:pPr>
        <w:pStyle w:val="NoSpacing"/>
        <w:rPr>
          <w:rFonts w:ascii="Times New Roman" w:hAnsi="Times New Roman"/>
          <w:b/>
          <w:sz w:val="24"/>
          <w:szCs w:val="24"/>
        </w:rPr>
      </w:pPr>
    </w:p>
    <w:p w14:paraId="2158BC9D" w14:textId="78E20393" w:rsidR="00F326E5" w:rsidRDefault="00F326E5" w:rsidP="00F824FE">
      <w:pPr>
        <w:pStyle w:val="NoSpacing"/>
        <w:rPr>
          <w:rFonts w:ascii="Arial Black" w:hAnsi="Arial Black"/>
          <w:sz w:val="40"/>
          <w:szCs w:val="40"/>
        </w:rPr>
      </w:pPr>
      <w:r w:rsidRPr="00BF4DDE">
        <w:rPr>
          <w:rFonts w:ascii="Times New Roman" w:hAnsi="Times New Roman"/>
          <w:b/>
          <w:sz w:val="24"/>
          <w:szCs w:val="24"/>
        </w:rPr>
        <w:t xml:space="preserve">Legal Lessons Learned: Two well-qualified qualified candidates for Fire Chief; no proof of gender discrimination. Caution when current Chief tells </w:t>
      </w:r>
      <w:proofErr w:type="gramStart"/>
      <w:r w:rsidRPr="00BF4DDE">
        <w:rPr>
          <w:rFonts w:ascii="Times New Roman" w:hAnsi="Times New Roman"/>
          <w:b/>
          <w:sz w:val="24"/>
          <w:szCs w:val="24"/>
        </w:rPr>
        <w:t>subordinate</w:t>
      </w:r>
      <w:proofErr w:type="gramEnd"/>
      <w:r w:rsidRPr="00BF4DDE">
        <w:rPr>
          <w:rFonts w:ascii="Times New Roman" w:hAnsi="Times New Roman"/>
          <w:b/>
          <w:sz w:val="24"/>
          <w:szCs w:val="24"/>
        </w:rPr>
        <w:t xml:space="preserve"> that they are likely the next Chief.  </w:t>
      </w:r>
      <w:bookmarkEnd w:id="315"/>
    </w:p>
    <w:p w14:paraId="2B95FD70" w14:textId="77777777" w:rsidR="00F824FE" w:rsidRDefault="00F824FE" w:rsidP="00F326E5">
      <w:pPr>
        <w:pStyle w:val="NoSpacing"/>
        <w:rPr>
          <w:rFonts w:ascii="Arial Black" w:hAnsi="Arial Black"/>
          <w:sz w:val="40"/>
          <w:szCs w:val="40"/>
        </w:rPr>
      </w:pPr>
    </w:p>
    <w:p w14:paraId="1052C4AE" w14:textId="013AA8C9" w:rsidR="00DD03E3" w:rsidRDefault="00DD03E3">
      <w:pPr>
        <w:spacing w:after="0" w:line="240" w:lineRule="auto"/>
        <w:rPr>
          <w:rFonts w:ascii="Arial Black" w:hAnsi="Arial Black"/>
          <w:sz w:val="40"/>
          <w:szCs w:val="40"/>
        </w:rPr>
      </w:pPr>
      <w:r>
        <w:rPr>
          <w:rFonts w:ascii="Arial Black" w:hAnsi="Arial Black"/>
          <w:sz w:val="40"/>
          <w:szCs w:val="40"/>
        </w:rPr>
        <w:br w:type="page"/>
      </w:r>
    </w:p>
    <w:p w14:paraId="4269C571" w14:textId="77777777" w:rsidR="00F824FE" w:rsidRDefault="00F824FE" w:rsidP="00F326E5">
      <w:pPr>
        <w:pStyle w:val="NoSpacing"/>
        <w:rPr>
          <w:rFonts w:ascii="Arial Black" w:hAnsi="Arial Black"/>
          <w:sz w:val="40"/>
          <w:szCs w:val="40"/>
        </w:rPr>
      </w:pPr>
    </w:p>
    <w:p w14:paraId="132C1B48" w14:textId="77777777" w:rsidR="00092DAC" w:rsidRDefault="00092DAC" w:rsidP="00F326E5">
      <w:pPr>
        <w:pStyle w:val="NoSpacing"/>
        <w:rPr>
          <w:rFonts w:ascii="Arial Black" w:hAnsi="Arial Black"/>
          <w:sz w:val="40"/>
          <w:szCs w:val="40"/>
        </w:rPr>
      </w:pPr>
    </w:p>
    <w:p w14:paraId="3089C302" w14:textId="77777777" w:rsidR="00092DAC" w:rsidRDefault="00092DAC" w:rsidP="00F326E5">
      <w:pPr>
        <w:pStyle w:val="NoSpacing"/>
        <w:rPr>
          <w:rFonts w:ascii="Arial Black" w:hAnsi="Arial Black"/>
          <w:sz w:val="40"/>
          <w:szCs w:val="40"/>
        </w:rPr>
      </w:pPr>
    </w:p>
    <w:p w14:paraId="30CB340E" w14:textId="77777777" w:rsidR="00092DAC" w:rsidRDefault="00092DAC" w:rsidP="00F326E5">
      <w:pPr>
        <w:pStyle w:val="NoSpacing"/>
        <w:rPr>
          <w:rFonts w:ascii="Arial Black" w:hAnsi="Arial Black"/>
          <w:sz w:val="40"/>
          <w:szCs w:val="40"/>
        </w:rPr>
      </w:pPr>
    </w:p>
    <w:p w14:paraId="47FB9976" w14:textId="77777777" w:rsidR="00092DAC" w:rsidRDefault="00092DAC" w:rsidP="00F326E5">
      <w:pPr>
        <w:pStyle w:val="NoSpacing"/>
        <w:rPr>
          <w:rFonts w:ascii="Arial Black" w:hAnsi="Arial Black"/>
          <w:sz w:val="40"/>
          <w:szCs w:val="40"/>
        </w:rPr>
      </w:pPr>
    </w:p>
    <w:p w14:paraId="67518D0C" w14:textId="77777777" w:rsidR="00092DAC" w:rsidRDefault="00092DAC" w:rsidP="00F326E5">
      <w:pPr>
        <w:pStyle w:val="NoSpacing"/>
        <w:rPr>
          <w:rFonts w:ascii="Arial Black" w:hAnsi="Arial Black"/>
          <w:sz w:val="40"/>
          <w:szCs w:val="40"/>
        </w:rPr>
      </w:pPr>
    </w:p>
    <w:p w14:paraId="25CC1AF0" w14:textId="77777777" w:rsidR="00092DAC" w:rsidRDefault="00092DAC" w:rsidP="00F326E5">
      <w:pPr>
        <w:pStyle w:val="NoSpacing"/>
        <w:rPr>
          <w:rFonts w:ascii="Arial Black" w:hAnsi="Arial Black"/>
          <w:sz w:val="40"/>
          <w:szCs w:val="40"/>
        </w:rPr>
      </w:pPr>
    </w:p>
    <w:p w14:paraId="7C67BF0A" w14:textId="77777777" w:rsidR="00092DAC" w:rsidRDefault="00092DAC" w:rsidP="00F326E5">
      <w:pPr>
        <w:pStyle w:val="NoSpacing"/>
        <w:rPr>
          <w:rFonts w:ascii="Arial Black" w:hAnsi="Arial Black"/>
          <w:sz w:val="40"/>
          <w:szCs w:val="40"/>
        </w:rPr>
      </w:pPr>
    </w:p>
    <w:p w14:paraId="5DA33366" w14:textId="77777777" w:rsidR="00092DAC" w:rsidRDefault="00092DAC" w:rsidP="00F326E5">
      <w:pPr>
        <w:pStyle w:val="NoSpacing"/>
        <w:rPr>
          <w:rFonts w:ascii="Arial Black" w:hAnsi="Arial Black"/>
          <w:sz w:val="40"/>
          <w:szCs w:val="40"/>
        </w:rPr>
      </w:pPr>
    </w:p>
    <w:p w14:paraId="34C9B37D" w14:textId="77777777" w:rsidR="00092DAC" w:rsidRDefault="00092DAC" w:rsidP="00F326E5">
      <w:pPr>
        <w:pStyle w:val="NoSpacing"/>
        <w:rPr>
          <w:rFonts w:ascii="Arial Black" w:hAnsi="Arial Black"/>
          <w:sz w:val="40"/>
          <w:szCs w:val="40"/>
        </w:rPr>
      </w:pPr>
    </w:p>
    <w:p w14:paraId="0B385732" w14:textId="77777777" w:rsidR="00092DAC" w:rsidRDefault="00092DAC" w:rsidP="00F326E5">
      <w:pPr>
        <w:pStyle w:val="NoSpacing"/>
        <w:rPr>
          <w:rFonts w:ascii="Arial Black" w:hAnsi="Arial Black"/>
          <w:sz w:val="40"/>
          <w:szCs w:val="40"/>
        </w:rPr>
      </w:pPr>
    </w:p>
    <w:p w14:paraId="43D6431E" w14:textId="77777777" w:rsidR="00092DAC" w:rsidRDefault="00092DAC" w:rsidP="00F326E5">
      <w:pPr>
        <w:pStyle w:val="NoSpacing"/>
        <w:rPr>
          <w:rFonts w:ascii="Arial Black" w:hAnsi="Arial Black"/>
          <w:sz w:val="40"/>
          <w:szCs w:val="40"/>
        </w:rPr>
      </w:pPr>
    </w:p>
    <w:p w14:paraId="72FB5A0C" w14:textId="77777777" w:rsidR="00092DAC" w:rsidRDefault="00092DAC" w:rsidP="00F326E5">
      <w:pPr>
        <w:pStyle w:val="NoSpacing"/>
        <w:rPr>
          <w:rFonts w:ascii="Arial Black" w:hAnsi="Arial Black"/>
          <w:sz w:val="40"/>
          <w:szCs w:val="40"/>
        </w:rPr>
      </w:pPr>
    </w:p>
    <w:p w14:paraId="1C3DBE09" w14:textId="77777777" w:rsidR="00092DAC" w:rsidRDefault="00092DAC" w:rsidP="00F326E5">
      <w:pPr>
        <w:pStyle w:val="NoSpacing"/>
        <w:rPr>
          <w:rFonts w:ascii="Arial Black" w:hAnsi="Arial Black"/>
          <w:sz w:val="40"/>
          <w:szCs w:val="40"/>
        </w:rPr>
      </w:pPr>
    </w:p>
    <w:p w14:paraId="0C04F5F2" w14:textId="77777777" w:rsidR="00092DAC" w:rsidRDefault="00092DAC" w:rsidP="00F326E5">
      <w:pPr>
        <w:pStyle w:val="NoSpacing"/>
        <w:rPr>
          <w:rFonts w:ascii="Arial Black" w:hAnsi="Arial Black"/>
          <w:sz w:val="40"/>
          <w:szCs w:val="40"/>
        </w:rPr>
      </w:pPr>
    </w:p>
    <w:p w14:paraId="253DBB87" w14:textId="77777777" w:rsidR="00092DAC" w:rsidRDefault="00092DAC" w:rsidP="00F326E5">
      <w:pPr>
        <w:pStyle w:val="NoSpacing"/>
        <w:rPr>
          <w:rFonts w:ascii="Arial Black" w:hAnsi="Arial Black"/>
          <w:sz w:val="40"/>
          <w:szCs w:val="40"/>
        </w:rPr>
      </w:pPr>
    </w:p>
    <w:p w14:paraId="309895FB" w14:textId="77777777" w:rsidR="00092DAC" w:rsidRDefault="00092DAC" w:rsidP="00F326E5">
      <w:pPr>
        <w:pStyle w:val="NoSpacing"/>
        <w:rPr>
          <w:rFonts w:ascii="Arial Black" w:hAnsi="Arial Black"/>
          <w:sz w:val="40"/>
          <w:szCs w:val="40"/>
        </w:rPr>
      </w:pPr>
    </w:p>
    <w:p w14:paraId="6E3D8501" w14:textId="77777777" w:rsidR="00092DAC" w:rsidRDefault="00092DAC" w:rsidP="00F326E5">
      <w:pPr>
        <w:pStyle w:val="NoSpacing"/>
        <w:rPr>
          <w:rFonts w:ascii="Arial Black" w:hAnsi="Arial Black"/>
          <w:sz w:val="40"/>
          <w:szCs w:val="40"/>
        </w:rPr>
      </w:pPr>
    </w:p>
    <w:p w14:paraId="12182089" w14:textId="77777777" w:rsidR="00092DAC" w:rsidRDefault="00092DAC" w:rsidP="00F326E5">
      <w:pPr>
        <w:pStyle w:val="NoSpacing"/>
        <w:rPr>
          <w:rFonts w:ascii="Arial Black" w:hAnsi="Arial Black"/>
          <w:sz w:val="40"/>
          <w:szCs w:val="40"/>
        </w:rPr>
      </w:pPr>
    </w:p>
    <w:p w14:paraId="47E683CB" w14:textId="77777777" w:rsidR="00092DAC" w:rsidRDefault="00092DAC" w:rsidP="00F326E5">
      <w:pPr>
        <w:pStyle w:val="NoSpacing"/>
        <w:rPr>
          <w:rFonts w:ascii="Arial Black" w:hAnsi="Arial Black"/>
          <w:sz w:val="40"/>
          <w:szCs w:val="40"/>
        </w:rPr>
      </w:pPr>
    </w:p>
    <w:p w14:paraId="46938F3E" w14:textId="77777777" w:rsidR="00092DAC" w:rsidRDefault="00092DAC" w:rsidP="00F326E5">
      <w:pPr>
        <w:pStyle w:val="NoSpacing"/>
        <w:rPr>
          <w:rFonts w:ascii="Arial Black" w:hAnsi="Arial Black"/>
          <w:sz w:val="40"/>
          <w:szCs w:val="40"/>
        </w:rPr>
      </w:pPr>
    </w:p>
    <w:p w14:paraId="447F3864" w14:textId="77777777" w:rsidR="00092DAC" w:rsidRDefault="00092DAC" w:rsidP="00F326E5">
      <w:pPr>
        <w:pStyle w:val="NoSpacing"/>
        <w:rPr>
          <w:rFonts w:ascii="Arial Black" w:hAnsi="Arial Black"/>
          <w:sz w:val="40"/>
          <w:szCs w:val="40"/>
        </w:rPr>
      </w:pPr>
    </w:p>
    <w:p w14:paraId="1348AC9F" w14:textId="77777777" w:rsidR="00092DAC" w:rsidRDefault="00092DAC" w:rsidP="00F326E5">
      <w:pPr>
        <w:pStyle w:val="NoSpacing"/>
        <w:rPr>
          <w:rFonts w:ascii="Arial Black" w:hAnsi="Arial Black"/>
          <w:sz w:val="40"/>
          <w:szCs w:val="40"/>
        </w:rPr>
      </w:pPr>
    </w:p>
    <w:p w14:paraId="05166E51" w14:textId="77777777" w:rsidR="00092DAC" w:rsidRDefault="00092DAC" w:rsidP="00F326E5">
      <w:pPr>
        <w:pStyle w:val="NoSpacing"/>
        <w:rPr>
          <w:rFonts w:ascii="Arial Black" w:hAnsi="Arial Black"/>
          <w:sz w:val="40"/>
          <w:szCs w:val="40"/>
        </w:rPr>
      </w:pPr>
    </w:p>
    <w:p w14:paraId="40B4E3A5" w14:textId="77777777" w:rsidR="00092DAC" w:rsidRDefault="00092DAC" w:rsidP="00F326E5">
      <w:pPr>
        <w:pStyle w:val="NoSpacing"/>
        <w:rPr>
          <w:rFonts w:ascii="Arial Black" w:hAnsi="Arial Black"/>
          <w:sz w:val="40"/>
          <w:szCs w:val="40"/>
        </w:rPr>
      </w:pPr>
    </w:p>
    <w:p w14:paraId="64488E60" w14:textId="4892BEF7" w:rsidR="00F326E5" w:rsidRDefault="00F326E5" w:rsidP="00F326E5">
      <w:pPr>
        <w:pStyle w:val="NoSpacing"/>
        <w:rPr>
          <w:rFonts w:ascii="Arial Black" w:hAnsi="Arial Black"/>
          <w:sz w:val="40"/>
          <w:szCs w:val="40"/>
        </w:rPr>
      </w:pPr>
      <w:r w:rsidRPr="007732FA">
        <w:rPr>
          <w:rFonts w:ascii="Arial Black" w:hAnsi="Arial Black"/>
          <w:sz w:val="40"/>
          <w:szCs w:val="40"/>
        </w:rPr>
        <w:lastRenderedPageBreak/>
        <w:t>Chap. 8</w:t>
      </w:r>
      <w:r w:rsidR="002B1283">
        <w:rPr>
          <w:rFonts w:ascii="Arial Black" w:hAnsi="Arial Black"/>
          <w:sz w:val="40"/>
          <w:szCs w:val="40"/>
        </w:rPr>
        <w:t xml:space="preserve"> </w:t>
      </w:r>
      <w:r w:rsidRPr="007732FA">
        <w:rPr>
          <w:rFonts w:ascii="Arial Black" w:hAnsi="Arial Black"/>
          <w:sz w:val="40"/>
          <w:szCs w:val="40"/>
        </w:rPr>
        <w:t>Race Discrimination</w:t>
      </w:r>
    </w:p>
    <w:p w14:paraId="20B09CCF" w14:textId="77777777" w:rsidR="0002742E" w:rsidRDefault="0002742E" w:rsidP="00BC70A3">
      <w:pPr>
        <w:rPr>
          <w:rFonts w:ascii="Arial Black" w:hAnsi="Arial Black"/>
          <w:b/>
          <w:sz w:val="24"/>
          <w:szCs w:val="24"/>
        </w:rPr>
      </w:pPr>
    </w:p>
    <w:p w14:paraId="0824C679" w14:textId="0366C7E9" w:rsidR="00BC3D44" w:rsidRDefault="002E0A5D" w:rsidP="00BC70A3">
      <w:pPr>
        <w:rPr>
          <w:rFonts w:ascii="Arial Black" w:hAnsi="Arial Black"/>
          <w:b/>
          <w:sz w:val="24"/>
          <w:szCs w:val="24"/>
        </w:rPr>
      </w:pPr>
      <w:r>
        <w:rPr>
          <w:rFonts w:ascii="Arial Black" w:hAnsi="Arial Black"/>
          <w:b/>
          <w:sz w:val="24"/>
          <w:szCs w:val="24"/>
        </w:rPr>
        <w:t>8-95</w:t>
      </w:r>
    </w:p>
    <w:p w14:paraId="164399C8" w14:textId="77777777" w:rsidR="002E0A5D" w:rsidRDefault="002E0A5D" w:rsidP="002E0A5D">
      <w:pPr>
        <w:pStyle w:val="NoSpacing"/>
        <w:rPr>
          <w:rFonts w:ascii="Arial Black" w:hAnsi="Arial Black"/>
          <w:b/>
          <w:sz w:val="28"/>
          <w:szCs w:val="28"/>
        </w:rPr>
      </w:pPr>
      <w:r>
        <w:rPr>
          <w:rFonts w:ascii="Arial Black" w:hAnsi="Arial Black"/>
          <w:b/>
          <w:sz w:val="28"/>
          <w:szCs w:val="28"/>
        </w:rPr>
        <w:t>IL: CHICAGO FF PROPERLY FIRED – SEVERAL RACIST POSTS</w:t>
      </w:r>
    </w:p>
    <w:p w14:paraId="3A6F4EFF" w14:textId="77777777" w:rsidR="002E0A5D" w:rsidRDefault="002E0A5D" w:rsidP="002E0A5D">
      <w:pPr>
        <w:pStyle w:val="NoSpacing"/>
        <w:rPr>
          <w:bCs/>
        </w:rPr>
      </w:pPr>
    </w:p>
    <w:p w14:paraId="5B364F19" w14:textId="77777777" w:rsidR="002E0A5D" w:rsidRPr="006B52A4" w:rsidRDefault="002E0A5D" w:rsidP="002E0A5D">
      <w:pPr>
        <w:pStyle w:val="NoSpacing"/>
      </w:pPr>
      <w:r w:rsidRPr="0038059A">
        <w:t xml:space="preserve">On July 16, 2026, in </w:t>
      </w:r>
      <w:r w:rsidRPr="0038059A">
        <w:rPr>
          <w:u w:val="single"/>
        </w:rPr>
        <w:t>Sam Inendino v. Annettee Nance-Holt</w:t>
      </w:r>
      <w:r w:rsidRPr="0038059A">
        <w:t xml:space="preserve">, </w:t>
      </w:r>
      <w:r>
        <w:t xml:space="preserve">the </w:t>
      </w:r>
      <w:r w:rsidRPr="0038059A">
        <w:t>United States Court of Appeals, Seventh Circuit</w:t>
      </w:r>
      <w:r>
        <w:t xml:space="preserve"> (Chicago) held (3 to 0) that trial court properly grated summary judgment to the City based on the firefighter’s 13 racist Facebook posts.  </w:t>
      </w:r>
      <w:hyperlink r:id="rId1483" w:history="1">
        <w:r w:rsidRPr="002B5610">
          <w:rPr>
            <w:rStyle w:val="Hyperlink"/>
          </w:rPr>
          <w:t>https://cases.justia.com/federal/appellate-courts/ca7/24-2908/24-2908-2026-07-16.pdf?ts=1784221283</w:t>
        </w:r>
      </w:hyperlink>
      <w:r>
        <w:t xml:space="preserve"> </w:t>
      </w:r>
    </w:p>
    <w:p w14:paraId="4D855057" w14:textId="77777777" w:rsidR="002E0A5D" w:rsidRDefault="002E0A5D" w:rsidP="002E0A5D">
      <w:pPr>
        <w:pStyle w:val="NoSpacing"/>
        <w:rPr>
          <w:bCs/>
        </w:rPr>
      </w:pPr>
    </w:p>
    <w:p w14:paraId="0E6806C8" w14:textId="77777777" w:rsidR="002E0A5D" w:rsidRDefault="002E0A5D" w:rsidP="002E0A5D">
      <w:pPr>
        <w:pStyle w:val="NoSpacing"/>
        <w:rPr>
          <w:bCs/>
        </w:rPr>
      </w:pPr>
    </w:p>
    <w:p w14:paraId="47D8CCB8" w14:textId="77777777" w:rsidR="002E0A5D" w:rsidRDefault="002E0A5D" w:rsidP="002E0A5D">
      <w:pPr>
        <w:pStyle w:val="NoSpacing"/>
      </w:pPr>
      <w:r>
        <w:t>THE COURT WROTE: “</w:t>
      </w:r>
      <w:r w:rsidRPr="006B52A4">
        <w:t>For sixteen years, Sam Inendino worked</w:t>
      </w:r>
      <w:r>
        <w:t xml:space="preserve"> </w:t>
      </w:r>
      <w:r w:rsidRPr="006B52A4">
        <w:t>as a firefighter for the Chicago Fire Department (</w:t>
      </w:r>
      <w:r>
        <w:t>‘</w:t>
      </w:r>
      <w:r w:rsidRPr="006B52A4">
        <w:t>CFD</w:t>
      </w:r>
      <w:r>
        <w:t>’</w:t>
      </w:r>
      <w:r w:rsidRPr="006B52A4">
        <w:t>). He</w:t>
      </w:r>
      <w:r>
        <w:t xml:space="preserve"> </w:t>
      </w:r>
      <w:r w:rsidRPr="006B52A4">
        <w:t>was fired following a workplace investigation into his public</w:t>
      </w:r>
      <w:r>
        <w:t xml:space="preserve"> </w:t>
      </w:r>
      <w:r w:rsidRPr="006B52A4">
        <w:t>Facebook account, which contained several racially charged</w:t>
      </w:r>
      <w:r>
        <w:t xml:space="preserve"> </w:t>
      </w:r>
      <w:r w:rsidRPr="006B52A4">
        <w:t>and offensive posts</w:t>
      </w:r>
      <w:r>
        <w:t xml:space="preserve">…. </w:t>
      </w:r>
      <w:proofErr w:type="spellStart"/>
      <w:r>
        <w:t>Inendino</w:t>
      </w:r>
      <w:proofErr w:type="spellEnd"/>
      <w:r>
        <w:t xml:space="preserve"> prominently identified himself as a CFD firefighter on his Facebook page. On October 29, 2019, the Chicago Office of Inspector General (‘OIG’) received a complaint from a member of the public concerning a Facebook comment made by </w:t>
      </w:r>
      <w:proofErr w:type="spellStart"/>
      <w:r>
        <w:t>Inendino</w:t>
      </w:r>
      <w:proofErr w:type="spellEnd"/>
      <w:r>
        <w:t xml:space="preserve"> in which he told individuals to ‘take your ass back over the border where </w:t>
      </w:r>
      <w:proofErr w:type="spellStart"/>
      <w:r>
        <w:t>ya</w:t>
      </w:r>
      <w:proofErr w:type="spellEnd"/>
      <w:r>
        <w:t xml:space="preserve"> belong … </w:t>
      </w:r>
      <w:proofErr w:type="spellStart"/>
      <w:r>
        <w:t>gotta</w:t>
      </w:r>
      <w:proofErr w:type="spellEnd"/>
      <w:r>
        <w:t xml:space="preserve"> go I have a real job.’… In other words, we must decide whether </w:t>
      </w:r>
      <w:proofErr w:type="spellStart"/>
      <w:r>
        <w:t>Inendino’s</w:t>
      </w:r>
      <w:proofErr w:type="spellEnd"/>
      <w:r>
        <w:t xml:space="preserve"> thirteen Facebook posts constituted speech protected by the First  Amendment. Making this determination, as we have noted, requires us to apply the Supreme Court’s holding in </w:t>
      </w:r>
      <w:r w:rsidRPr="006E5F6C">
        <w:rPr>
          <w:u w:val="single"/>
        </w:rPr>
        <w:t>Pickering</w:t>
      </w:r>
      <w:r>
        <w:t xml:space="preserve"> and balance the government employer’s interest in efficiency against the employee’s speech interests.</w:t>
      </w:r>
    </w:p>
    <w:p w14:paraId="6332932C" w14:textId="77777777" w:rsidR="002E0A5D" w:rsidRDefault="002E0A5D" w:rsidP="002E0A5D">
      <w:pPr>
        <w:pStyle w:val="NoSpacing"/>
      </w:pPr>
    </w:p>
    <w:p w14:paraId="2644E124" w14:textId="77777777" w:rsidR="002E0A5D" w:rsidRDefault="002E0A5D" w:rsidP="002E0A5D">
      <w:pPr>
        <w:pStyle w:val="NoSpacing"/>
      </w:pPr>
      <w:r>
        <w:t>***</w:t>
      </w:r>
    </w:p>
    <w:p w14:paraId="3B7DF9F8" w14:textId="77777777" w:rsidR="002E0A5D" w:rsidRPr="006B52A4" w:rsidRDefault="002E0A5D" w:rsidP="002E0A5D">
      <w:pPr>
        <w:pStyle w:val="NoSpacing"/>
      </w:pPr>
      <w:r>
        <w:t xml:space="preserve">Firefighters too occupy a place of immense trust and authority. Residents place their faith in firefighters, often without question, because they believe these dedicated public servants will come to their aid without fear or favor. By posting disparaging remarks of Black people, </w:t>
      </w:r>
      <w:proofErr w:type="spellStart"/>
      <w:r>
        <w:t>Inendino</w:t>
      </w:r>
      <w:proofErr w:type="spellEnd"/>
      <w:r>
        <w:t xml:space="preserve"> undermined that trust by demonstrating that he, though a firefighter, did not view all residents as equals but rather looked upon certain communities with racial disdain…. On balance, we conclude that the City’s interests in ensuring that the CFD succeeds in performing its public safety mission substantially outweigh </w:t>
      </w:r>
      <w:proofErr w:type="spellStart"/>
      <w:r>
        <w:t>Inendino’s</w:t>
      </w:r>
      <w:proofErr w:type="spellEnd"/>
      <w:r>
        <w:t xml:space="preserve"> interest in posting the contested memes and comments on Facebook.” </w:t>
      </w:r>
    </w:p>
    <w:p w14:paraId="6AEB7B67" w14:textId="77777777" w:rsidR="002E0A5D" w:rsidRDefault="002E0A5D" w:rsidP="002E0A5D">
      <w:pPr>
        <w:pStyle w:val="NoSpacing"/>
        <w:rPr>
          <w:b/>
        </w:rPr>
      </w:pPr>
    </w:p>
    <w:p w14:paraId="66EA163A" w14:textId="77777777" w:rsidR="002E0A5D" w:rsidRPr="00FE3F9B" w:rsidRDefault="002E0A5D" w:rsidP="002E0A5D">
      <w:pPr>
        <w:pStyle w:val="NoSpacing"/>
        <w:rPr>
          <w:b/>
        </w:rPr>
      </w:pPr>
      <w:r w:rsidRPr="00DB654C">
        <w:rPr>
          <w:b/>
        </w:rPr>
        <w:t xml:space="preserve">Legal lesson learned: </w:t>
      </w:r>
      <w:r>
        <w:rPr>
          <w:b/>
        </w:rPr>
        <w:t>The Court said it best</w:t>
      </w:r>
      <w:r w:rsidRPr="00BA540A">
        <w:rPr>
          <w:b/>
        </w:rPr>
        <w:t>: “Firefighters too occupy a place of immense trust and authority.</w:t>
      </w:r>
      <w:r>
        <w:rPr>
          <w:b/>
        </w:rPr>
        <w:t xml:space="preserve">” Racist posts can lead to termination under the U.S. Supreme Court’s “balancing test” in </w:t>
      </w:r>
      <w:r w:rsidRPr="00B513E5">
        <w:rPr>
          <w:b/>
          <w:i/>
          <w:iCs/>
        </w:rPr>
        <w:t>Pickering v. Board of Education</w:t>
      </w:r>
      <w:r>
        <w:rPr>
          <w:b/>
          <w:i/>
          <w:iCs/>
        </w:rPr>
        <w:t xml:space="preserve"> </w:t>
      </w:r>
      <w:r>
        <w:rPr>
          <w:b/>
        </w:rPr>
        <w:t xml:space="preserve">(June 3, 1968),  </w:t>
      </w:r>
      <w:hyperlink r:id="rId1484" w:history="1">
        <w:r w:rsidRPr="002B5610">
          <w:rPr>
            <w:rStyle w:val="Hyperlink"/>
            <w:b/>
          </w:rPr>
          <w:t>https://www.oyez.org/cases/1967/510</w:t>
        </w:r>
      </w:hyperlink>
      <w:r>
        <w:rPr>
          <w:b/>
        </w:rPr>
        <w:t xml:space="preserve">.  </w:t>
      </w:r>
    </w:p>
    <w:p w14:paraId="3D6399FE" w14:textId="77777777" w:rsidR="002E0A5D" w:rsidRDefault="002E0A5D" w:rsidP="002E0A5D">
      <w:pPr>
        <w:pStyle w:val="NoSpacing"/>
        <w:rPr>
          <w:b/>
        </w:rPr>
      </w:pPr>
    </w:p>
    <w:p w14:paraId="311786D5" w14:textId="77777777" w:rsidR="002E0A5D" w:rsidRPr="00DB654C" w:rsidRDefault="002E0A5D" w:rsidP="002E0A5D">
      <w:pPr>
        <w:pStyle w:val="NoSpacing"/>
        <w:rPr>
          <w:b/>
        </w:rPr>
      </w:pPr>
    </w:p>
    <w:p w14:paraId="6E9C5FE2" w14:textId="77777777" w:rsidR="002E0A5D" w:rsidRDefault="002E0A5D" w:rsidP="002E0A5D">
      <w:pPr>
        <w:pStyle w:val="NoSpacing"/>
        <w:rPr>
          <w:b/>
          <w:sz w:val="20"/>
          <w:szCs w:val="20"/>
        </w:rPr>
      </w:pPr>
    </w:p>
    <w:p w14:paraId="13329324" w14:textId="77777777" w:rsidR="002E0A5D" w:rsidRDefault="002E0A5D" w:rsidP="00BC70A3">
      <w:pPr>
        <w:rPr>
          <w:rFonts w:ascii="Arial Black" w:hAnsi="Arial Black"/>
          <w:b/>
          <w:sz w:val="24"/>
          <w:szCs w:val="24"/>
        </w:rPr>
      </w:pPr>
    </w:p>
    <w:p w14:paraId="4DB18E5C" w14:textId="77777777" w:rsidR="00BC3D44" w:rsidRDefault="00BC3D44" w:rsidP="00BC70A3">
      <w:pPr>
        <w:rPr>
          <w:rFonts w:ascii="Arial Black" w:hAnsi="Arial Black"/>
          <w:b/>
          <w:sz w:val="24"/>
          <w:szCs w:val="24"/>
        </w:rPr>
      </w:pPr>
    </w:p>
    <w:p w14:paraId="6EF29F7E" w14:textId="77777777" w:rsidR="00BC3D44" w:rsidRDefault="00BC3D44" w:rsidP="00BC70A3">
      <w:pPr>
        <w:rPr>
          <w:rFonts w:ascii="Arial Black" w:hAnsi="Arial Black"/>
          <w:b/>
          <w:sz w:val="24"/>
          <w:szCs w:val="24"/>
        </w:rPr>
      </w:pPr>
    </w:p>
    <w:p w14:paraId="193D8866" w14:textId="2FAF30DF" w:rsidR="002C1FF2" w:rsidRDefault="002C1FF2" w:rsidP="00BC70A3">
      <w:pPr>
        <w:rPr>
          <w:rFonts w:ascii="Arial Black" w:hAnsi="Arial Black"/>
          <w:b/>
          <w:sz w:val="24"/>
          <w:szCs w:val="24"/>
        </w:rPr>
      </w:pPr>
      <w:r>
        <w:rPr>
          <w:rFonts w:ascii="Arial Black" w:hAnsi="Arial Black"/>
          <w:b/>
          <w:sz w:val="24"/>
          <w:szCs w:val="24"/>
        </w:rPr>
        <w:t>8-94</w:t>
      </w:r>
    </w:p>
    <w:p w14:paraId="299BC1A0" w14:textId="77777777" w:rsidR="002C1FF2" w:rsidRPr="00C958FE" w:rsidRDefault="002C1FF2" w:rsidP="002C1FF2">
      <w:pPr>
        <w:pStyle w:val="NoSpacing"/>
        <w:rPr>
          <w:rFonts w:ascii="Arial Black" w:hAnsi="Arial Black"/>
          <w:b/>
          <w:sz w:val="28"/>
          <w:szCs w:val="28"/>
        </w:rPr>
      </w:pPr>
      <w:r>
        <w:rPr>
          <w:rFonts w:ascii="Arial Black" w:hAnsi="Arial Black"/>
          <w:b/>
          <w:sz w:val="28"/>
          <w:szCs w:val="28"/>
        </w:rPr>
        <w:t xml:space="preserve">MD: BLACK – LATE FOR WORK / RACIAL TEXTS – NO CASE </w:t>
      </w:r>
    </w:p>
    <w:p w14:paraId="575FD4A4" w14:textId="77777777" w:rsidR="002C1FF2" w:rsidRDefault="002C1FF2" w:rsidP="002C1FF2">
      <w:pPr>
        <w:pStyle w:val="NoSpacing"/>
        <w:rPr>
          <w:b/>
        </w:rPr>
      </w:pPr>
    </w:p>
    <w:p w14:paraId="126D764A" w14:textId="77777777" w:rsidR="002C1FF2" w:rsidRPr="0018661C" w:rsidRDefault="002C1FF2" w:rsidP="002C1FF2">
      <w:pPr>
        <w:pStyle w:val="NoSpacing"/>
        <w:rPr>
          <w:bCs/>
        </w:rPr>
      </w:pPr>
      <w:r w:rsidRPr="0018661C">
        <w:t xml:space="preserve">On June 24, 2026, in </w:t>
      </w:r>
      <w:r w:rsidRPr="0018661C">
        <w:rPr>
          <w:u w:val="single"/>
        </w:rPr>
        <w:t>Mitchell Waters v. The Mayor and City Council of Baltimore</w:t>
      </w:r>
      <w:r w:rsidRPr="0018661C">
        <w:t xml:space="preserve">, </w:t>
      </w:r>
      <w:r>
        <w:t xml:space="preserve">the United States Court of Appeal for Fourth Circuit (Baltimore) held (3 to 0; unpublished decision) that trial court properly granted summary judgment to the City. The </w:t>
      </w:r>
      <w:proofErr w:type="gramStart"/>
      <w:r>
        <w:t>City</w:t>
      </w:r>
      <w:proofErr w:type="gramEnd"/>
      <w:r>
        <w:t xml:space="preserve"> adequately investigated anonymous racial messages and found no proof they were sent by fellow firefighters. The Court wrote: “The text messages were sent anonymously, and BCFD did undertake an investigation to </w:t>
      </w:r>
      <w:r>
        <w:lastRenderedPageBreak/>
        <w:t xml:space="preserve">attempt to identify the sender. Therefore, the district court did not err in granting judgment on the hostile work environment claim.” </w:t>
      </w:r>
      <w:hyperlink r:id="rId1485" w:history="1">
        <w:r w:rsidRPr="00014504">
          <w:rPr>
            <w:rStyle w:val="Hyperlink"/>
          </w:rPr>
          <w:t>https://cases.justia.com/federal/appellate-courts/ca4/25-1440/25-1440-2026-06-24.pdf?ts=1782325881</w:t>
        </w:r>
      </w:hyperlink>
      <w:r>
        <w:t xml:space="preserve"> </w:t>
      </w:r>
    </w:p>
    <w:p w14:paraId="0C5FBF24" w14:textId="77777777" w:rsidR="002C1FF2" w:rsidRPr="0018661C" w:rsidRDefault="002C1FF2" w:rsidP="002C1FF2">
      <w:pPr>
        <w:pStyle w:val="NoSpacing"/>
        <w:rPr>
          <w:bCs/>
        </w:rPr>
      </w:pPr>
    </w:p>
    <w:p w14:paraId="50347BC7" w14:textId="77777777" w:rsidR="002C1FF2" w:rsidRDefault="002C1FF2" w:rsidP="002C1FF2">
      <w:pPr>
        <w:pStyle w:val="NoSpacing"/>
        <w:rPr>
          <w:b/>
        </w:rPr>
      </w:pPr>
    </w:p>
    <w:p w14:paraId="087D67E0" w14:textId="77777777" w:rsidR="002C1FF2" w:rsidRDefault="002C1FF2" w:rsidP="002C1FF2">
      <w:pPr>
        <w:pStyle w:val="NoSpacing"/>
        <w:rPr>
          <w:b/>
        </w:rPr>
      </w:pPr>
      <w:r w:rsidRPr="00AF250A">
        <w:rPr>
          <w:b/>
        </w:rPr>
        <w:t>FACTS:</w:t>
      </w:r>
    </w:p>
    <w:p w14:paraId="4E06A30A" w14:textId="77777777" w:rsidR="002C1FF2" w:rsidRDefault="002C1FF2" w:rsidP="002C1FF2">
      <w:pPr>
        <w:pStyle w:val="NoSpacing"/>
        <w:rPr>
          <w:b/>
        </w:rPr>
      </w:pPr>
    </w:p>
    <w:p w14:paraId="6FA985FB" w14:textId="77777777" w:rsidR="002C1FF2" w:rsidRPr="00AF250A" w:rsidRDefault="002C1FF2" w:rsidP="002C1FF2">
      <w:pPr>
        <w:pStyle w:val="NoSpacing"/>
      </w:pPr>
      <w:r>
        <w:t>“</w:t>
      </w:r>
      <w:r w:rsidRPr="00AF250A">
        <w:t>Waters is a Black man employed by the Baltimore City Fire Department (BCFD).</w:t>
      </w:r>
    </w:p>
    <w:p w14:paraId="5585D5BC" w14:textId="77777777" w:rsidR="002C1FF2" w:rsidRPr="00AF250A" w:rsidRDefault="002C1FF2" w:rsidP="002C1FF2">
      <w:pPr>
        <w:pStyle w:val="NoSpacing"/>
      </w:pPr>
      <w:r w:rsidRPr="00AF250A">
        <w:t>The thrust of Waters’s complaint is that he was treated less favorably than non-Black peers</w:t>
      </w:r>
    </w:p>
    <w:p w14:paraId="0A656857" w14:textId="77777777" w:rsidR="002C1FF2" w:rsidRDefault="002C1FF2" w:rsidP="002C1FF2">
      <w:pPr>
        <w:pStyle w:val="NoSpacing"/>
      </w:pPr>
      <w:r w:rsidRPr="00AF250A">
        <w:t>when he was subject to BCFD’s disciplinary process</w:t>
      </w:r>
      <w:r>
        <w:t>…. Waters lists five examples of disparate treatment concerning himself and a comparator and four additional examples concerning other Black employees and non-Black comparators.</w:t>
      </w:r>
    </w:p>
    <w:p w14:paraId="6F607951" w14:textId="77777777" w:rsidR="002C1FF2" w:rsidRDefault="002C1FF2" w:rsidP="002C1FF2">
      <w:pPr>
        <w:pStyle w:val="NoSpacing"/>
      </w:pPr>
    </w:p>
    <w:p w14:paraId="631AFC9A" w14:textId="77777777" w:rsidR="002C1FF2" w:rsidRDefault="002C1FF2" w:rsidP="002C1FF2">
      <w:pPr>
        <w:pStyle w:val="NoSpacing"/>
      </w:pPr>
      <w:r>
        <w:t>***</w:t>
      </w:r>
    </w:p>
    <w:p w14:paraId="1D599A9B" w14:textId="77777777" w:rsidR="002C1FF2" w:rsidRDefault="002C1FF2" w:rsidP="002C1FF2">
      <w:pPr>
        <w:pStyle w:val="NoSpacing"/>
      </w:pPr>
    </w:p>
    <w:p w14:paraId="118CED0D" w14:textId="77777777" w:rsidR="002C1FF2" w:rsidRPr="00607F7B" w:rsidRDefault="002C1FF2" w:rsidP="002C1FF2">
      <w:pPr>
        <w:pStyle w:val="NoSpacing"/>
      </w:pPr>
      <w:r w:rsidRPr="00607F7B">
        <w:t xml:space="preserve">Waters’s last example concerns </w:t>
      </w:r>
      <w:r>
        <w:t>‘</w:t>
      </w:r>
      <w:r w:rsidRPr="00607F7B">
        <w:t>anonymous, racist, and threatening messages</w:t>
      </w:r>
      <w:r>
        <w:t>’</w:t>
      </w:r>
      <w:r w:rsidRPr="00607F7B">
        <w:t xml:space="preserve"> he</w:t>
      </w:r>
    </w:p>
    <w:p w14:paraId="666EBCCC" w14:textId="77777777" w:rsidR="002C1FF2" w:rsidRPr="00607F7B" w:rsidRDefault="002C1FF2" w:rsidP="002C1FF2">
      <w:pPr>
        <w:pStyle w:val="NoSpacing"/>
      </w:pPr>
      <w:r w:rsidRPr="00607F7B">
        <w:t xml:space="preserve">received. Opening Br. at 33. Waters claims </w:t>
      </w:r>
      <w:r>
        <w:t>‘</w:t>
      </w:r>
      <w:r w:rsidRPr="00607F7B">
        <w:t>no investigation or intervention was</w:t>
      </w:r>
    </w:p>
    <w:p w14:paraId="414DDD56" w14:textId="77777777" w:rsidR="002C1FF2" w:rsidRPr="00607F7B" w:rsidRDefault="002C1FF2" w:rsidP="002C1FF2">
      <w:pPr>
        <w:pStyle w:val="NoSpacing"/>
      </w:pPr>
      <w:r w:rsidRPr="00607F7B">
        <w:t>conducted,</w:t>
      </w:r>
      <w:r>
        <w:t>’</w:t>
      </w:r>
      <w:r w:rsidRPr="00607F7B">
        <w:t xml:space="preserve"> and again points to complaints by Lt. Cole and Lt. DiRusso which he says</w:t>
      </w:r>
    </w:p>
    <w:p w14:paraId="6331166A" w14:textId="77777777" w:rsidR="002C1FF2" w:rsidRPr="00607F7B" w:rsidRDefault="002C1FF2" w:rsidP="002C1FF2">
      <w:pPr>
        <w:pStyle w:val="NoSpacing"/>
      </w:pPr>
      <w:r>
        <w:t>‘</w:t>
      </w:r>
      <w:proofErr w:type="gramStart"/>
      <w:r w:rsidRPr="00607F7B">
        <w:t>were</w:t>
      </w:r>
      <w:proofErr w:type="gramEnd"/>
      <w:r w:rsidRPr="00607F7B">
        <w:t xml:space="preserve"> investigated immediately.</w:t>
      </w:r>
      <w:r>
        <w:t>’</w:t>
      </w:r>
      <w:r w:rsidRPr="00607F7B">
        <w:t xml:space="preserve"> Id. Although these anonymous racist messages are</w:t>
      </w:r>
    </w:p>
    <w:p w14:paraId="6D35C91B" w14:textId="77777777" w:rsidR="002C1FF2" w:rsidRPr="00607F7B" w:rsidRDefault="002C1FF2" w:rsidP="002C1FF2">
      <w:pPr>
        <w:pStyle w:val="NoSpacing"/>
      </w:pPr>
      <w:r w:rsidRPr="00607F7B">
        <w:t>disturbing, the anonymity renders this conduct incomparable to the other complaints.</w:t>
      </w:r>
    </w:p>
    <w:p w14:paraId="43710087" w14:textId="77777777" w:rsidR="002C1FF2" w:rsidRDefault="002C1FF2" w:rsidP="002C1FF2">
      <w:pPr>
        <w:pStyle w:val="NoSpacing"/>
      </w:pPr>
      <w:r w:rsidRPr="00607F7B">
        <w:t xml:space="preserve">Waters </w:t>
      </w:r>
      <w:proofErr w:type="gramStart"/>
      <w:r w:rsidRPr="00607F7B">
        <w:t>characterizes</w:t>
      </w:r>
      <w:proofErr w:type="gramEnd"/>
      <w:r w:rsidRPr="00607F7B">
        <w:t xml:space="preserve"> BCFD’s actions in response to the anonymous messages as </w:t>
      </w:r>
      <w:r>
        <w:t>‘</w:t>
      </w:r>
      <w:r w:rsidRPr="00607F7B">
        <w:t>Smoke</w:t>
      </w:r>
      <w:r>
        <w:t xml:space="preserve"> and Mirrors</w:t>
      </w:r>
      <w:proofErr w:type="gramStart"/>
      <w:r>
        <w:t>,’ ‘</w:t>
      </w:r>
      <w:proofErr w:type="gramEnd"/>
      <w:r>
        <w:t>half-hearted,’ and ‘inauthentic.’  Id. at 34. But Waters does not identify</w:t>
      </w:r>
    </w:p>
    <w:p w14:paraId="612E0E49" w14:textId="77777777" w:rsidR="002C1FF2" w:rsidRDefault="002C1FF2" w:rsidP="002C1FF2">
      <w:pPr>
        <w:pStyle w:val="NoSpacing"/>
      </w:pPr>
      <w:r>
        <w:t>any other instance where BCFD undertook a more serious or rigorous investigation after a</w:t>
      </w:r>
    </w:p>
    <w:p w14:paraId="3EE6FF28" w14:textId="77777777" w:rsidR="002C1FF2" w:rsidRPr="00607F7B" w:rsidRDefault="002C1FF2" w:rsidP="002C1FF2">
      <w:pPr>
        <w:pStyle w:val="NoSpacing"/>
      </w:pPr>
      <w:r>
        <w:t>peer was subject to anonymous harassment. We cannot find that BCFD’s prompt investigation of a complaint identifying a specific employee is comparable to its response to a complaint regarding anonymous conduct.”</w:t>
      </w:r>
    </w:p>
    <w:p w14:paraId="3ED765F1" w14:textId="77777777" w:rsidR="002C1FF2" w:rsidRPr="00607F7B" w:rsidRDefault="002C1FF2" w:rsidP="002C1FF2">
      <w:pPr>
        <w:pStyle w:val="NoSpacing"/>
      </w:pPr>
    </w:p>
    <w:p w14:paraId="686EA22B" w14:textId="77777777" w:rsidR="002C1FF2" w:rsidRPr="00607F7B" w:rsidRDefault="002C1FF2" w:rsidP="002C1FF2">
      <w:pPr>
        <w:pStyle w:val="NoSpacing"/>
      </w:pPr>
    </w:p>
    <w:p w14:paraId="775040BB" w14:textId="77777777" w:rsidR="002C1FF2" w:rsidRPr="00667370" w:rsidRDefault="002C1FF2" w:rsidP="002C1FF2">
      <w:pPr>
        <w:pStyle w:val="NoSpacing"/>
        <w:rPr>
          <w:b/>
          <w:bCs/>
        </w:rPr>
      </w:pPr>
      <w:r w:rsidRPr="00667370">
        <w:rPr>
          <w:b/>
        </w:rPr>
        <w:t>COURT HELD:</w:t>
      </w:r>
    </w:p>
    <w:p w14:paraId="5CD04277" w14:textId="77777777" w:rsidR="002C1FF2" w:rsidRDefault="002C1FF2" w:rsidP="002C1FF2">
      <w:pPr>
        <w:pStyle w:val="NoSpacing"/>
      </w:pPr>
    </w:p>
    <w:p w14:paraId="3C92A4E0" w14:textId="77777777" w:rsidR="002C1FF2" w:rsidRDefault="002C1FF2" w:rsidP="002C1FF2">
      <w:pPr>
        <w:pStyle w:val="NoSpacing"/>
      </w:pPr>
      <w:r>
        <w:t>“Only the anonymous racist text messages Waters received are related to his race, but as the district court correctly noted, Waters was ‘unable to link [the messages] to any of his coworkers,’ J.A. 1257, and he does not establish how the messages are imputable to BCFD. ‘An employer may be held liable for a hostile work environment if it knew or should have known about the harassment and failed to take effective action to stop it by responding with remedial action reasonably calculated to end the harassment.’ Webster, 38 F.4th at 415 (citation modified). The text messages were sent anonymously, and BCFD did undertake an investigation to attempt to identify the sender. Therefore, the district court did not err in granting judgment on the hostile work environment claim.”</w:t>
      </w:r>
    </w:p>
    <w:p w14:paraId="60CBF074" w14:textId="77777777" w:rsidR="002C1FF2" w:rsidRPr="00AF250A" w:rsidRDefault="002C1FF2" w:rsidP="002C1FF2">
      <w:pPr>
        <w:pStyle w:val="NoSpacing"/>
      </w:pPr>
    </w:p>
    <w:p w14:paraId="0AD46C22" w14:textId="77777777" w:rsidR="002C1FF2" w:rsidRDefault="002C1FF2" w:rsidP="002C1FF2">
      <w:pPr>
        <w:pStyle w:val="NoSpacing"/>
        <w:rPr>
          <w:b/>
        </w:rPr>
      </w:pPr>
      <w:r>
        <w:rPr>
          <w:b/>
        </w:rPr>
        <w:t xml:space="preserve">Legal lesson learned: Anonymous racial text messages were investigated; no proof sent by fellow firefighters.  </w:t>
      </w:r>
    </w:p>
    <w:p w14:paraId="531EAD67" w14:textId="77777777" w:rsidR="002C1FF2" w:rsidRDefault="002C1FF2" w:rsidP="00BC70A3">
      <w:pPr>
        <w:rPr>
          <w:rFonts w:ascii="Arial Black" w:hAnsi="Arial Black"/>
          <w:b/>
          <w:sz w:val="24"/>
          <w:szCs w:val="24"/>
        </w:rPr>
      </w:pPr>
    </w:p>
    <w:p w14:paraId="26E782C6" w14:textId="77777777" w:rsidR="002C1FF2" w:rsidRDefault="002C1FF2" w:rsidP="00BC70A3">
      <w:pPr>
        <w:rPr>
          <w:rFonts w:ascii="Arial Black" w:hAnsi="Arial Black"/>
          <w:b/>
          <w:sz w:val="24"/>
          <w:szCs w:val="24"/>
        </w:rPr>
      </w:pPr>
    </w:p>
    <w:p w14:paraId="3C732D40" w14:textId="77777777" w:rsidR="002C1FF2" w:rsidRDefault="002C1FF2" w:rsidP="00BC70A3">
      <w:pPr>
        <w:rPr>
          <w:rFonts w:ascii="Arial Black" w:hAnsi="Arial Black"/>
          <w:b/>
          <w:sz w:val="24"/>
          <w:szCs w:val="24"/>
        </w:rPr>
      </w:pPr>
    </w:p>
    <w:p w14:paraId="2FC034A7" w14:textId="1A90B4C2" w:rsidR="00F429B5" w:rsidRDefault="00F429B5" w:rsidP="00BC70A3">
      <w:pPr>
        <w:rPr>
          <w:rFonts w:ascii="Arial Black" w:hAnsi="Arial Black"/>
          <w:b/>
          <w:sz w:val="24"/>
          <w:szCs w:val="24"/>
        </w:rPr>
      </w:pPr>
      <w:r>
        <w:rPr>
          <w:rFonts w:ascii="Arial Black" w:hAnsi="Arial Black"/>
          <w:b/>
          <w:sz w:val="24"/>
          <w:szCs w:val="24"/>
        </w:rPr>
        <w:t>8-93</w:t>
      </w:r>
    </w:p>
    <w:p w14:paraId="5A8D6746" w14:textId="77777777" w:rsidR="00F429B5" w:rsidRPr="001079BC" w:rsidRDefault="00F429B5" w:rsidP="00F429B5">
      <w:pPr>
        <w:rPr>
          <w:rFonts w:ascii="Arial Black" w:hAnsi="Arial Black"/>
          <w:b/>
          <w:sz w:val="28"/>
          <w:szCs w:val="28"/>
        </w:rPr>
      </w:pPr>
      <w:r>
        <w:rPr>
          <w:rFonts w:ascii="Arial Black" w:hAnsi="Arial Black"/>
          <w:b/>
          <w:sz w:val="28"/>
          <w:szCs w:val="28"/>
        </w:rPr>
        <w:t>OH: BLACK CAPT – EXAM SOFTWARE ISSUES – NOT RACE</w:t>
      </w:r>
    </w:p>
    <w:p w14:paraId="7DBFC497" w14:textId="77777777" w:rsidR="00F429B5" w:rsidRDefault="00F429B5" w:rsidP="00F429B5">
      <w:pPr>
        <w:pStyle w:val="NoSpacing"/>
        <w:rPr>
          <w:b/>
        </w:rPr>
      </w:pPr>
      <w:r>
        <w:t xml:space="preserve">On June 15, 2026, in </w:t>
      </w:r>
      <w:r w:rsidRPr="00A002DC">
        <w:rPr>
          <w:u w:val="single"/>
        </w:rPr>
        <w:t>Janos Roper v. City of Cincinnati Fire Department</w:t>
      </w:r>
      <w:r>
        <w:t>, the United States Court of Appeals for the Sixth Circuit held (3 to 0) that trial court properly granted summary judgment to the City.  Race was not a factor in the formatting of answers on the promotion exam for District Chief.  The software company found it to be “user error” – but in any event the issue was “race neutral.” He wound up 16</w:t>
      </w:r>
      <w:r w:rsidRPr="00BA3FF7">
        <w:rPr>
          <w:vertAlign w:val="superscript"/>
        </w:rPr>
        <w:t>th</w:t>
      </w:r>
      <w:r>
        <w:t xml:space="preserve"> on the list; 11 promoted.  The Court wrote: “</w:t>
      </w:r>
      <w:r w:rsidRPr="007C2488">
        <w:t xml:space="preserve">But Title VII </w:t>
      </w:r>
      <w:r w:rsidRPr="007C2488">
        <w:lastRenderedPageBreak/>
        <w:t>provides a remedy for</w:t>
      </w:r>
      <w:r>
        <w:t xml:space="preserve"> </w:t>
      </w:r>
      <w:r w:rsidRPr="007C2488">
        <w:t>racial discrimination, not for defective tests.</w:t>
      </w:r>
      <w:r>
        <w:t xml:space="preserve">” </w:t>
      </w:r>
      <w:hyperlink r:id="rId1486" w:history="1">
        <w:r w:rsidRPr="00014504">
          <w:rPr>
            <w:rStyle w:val="Hyperlink"/>
            <w:b/>
          </w:rPr>
          <w:t>https://cases.justia.com/federal/appellate-courts/ca6/25-3700/25-3700-2026-06-15.pdf?ts=1781553648</w:t>
        </w:r>
      </w:hyperlink>
      <w:r>
        <w:rPr>
          <w:b/>
        </w:rPr>
        <w:t xml:space="preserve"> </w:t>
      </w:r>
    </w:p>
    <w:p w14:paraId="40E5BEBB" w14:textId="77777777" w:rsidR="00F429B5" w:rsidRDefault="00F429B5" w:rsidP="00F429B5">
      <w:pPr>
        <w:rPr>
          <w:bCs/>
        </w:rPr>
      </w:pPr>
    </w:p>
    <w:p w14:paraId="48D2D8BC" w14:textId="77777777" w:rsidR="00F429B5" w:rsidRDefault="00F429B5" w:rsidP="00F429B5">
      <w:pPr>
        <w:rPr>
          <w:b/>
        </w:rPr>
      </w:pPr>
      <w:r>
        <w:t xml:space="preserve"> </w:t>
      </w:r>
      <w:r>
        <w:rPr>
          <w:b/>
        </w:rPr>
        <w:t>FACTS:</w:t>
      </w:r>
    </w:p>
    <w:p w14:paraId="5BD1851A" w14:textId="77777777" w:rsidR="00F429B5" w:rsidRPr="00DD65B2" w:rsidRDefault="00F429B5" w:rsidP="00F429B5">
      <w:pPr>
        <w:pStyle w:val="NoSpacing"/>
        <w:rPr>
          <w:bCs/>
        </w:rPr>
      </w:pPr>
      <w:r>
        <w:t>“</w:t>
      </w:r>
      <w:r w:rsidRPr="00DD65B2">
        <w:t>In 2019, Roper—a longtime Cincinnati firefighter—sat for a test to be promoted to district</w:t>
      </w:r>
    </w:p>
    <w:p w14:paraId="0FEC2A5D" w14:textId="77777777" w:rsidR="00F429B5" w:rsidRPr="00DD65B2" w:rsidRDefault="00F429B5" w:rsidP="00F429B5">
      <w:pPr>
        <w:pStyle w:val="NoSpacing"/>
        <w:rPr>
          <w:bCs/>
        </w:rPr>
      </w:pPr>
      <w:r w:rsidRPr="00DD65B2">
        <w:t>chief. During one typewritten section, Roper and several other candidates experienced a problem</w:t>
      </w:r>
    </w:p>
    <w:p w14:paraId="7221E52F" w14:textId="77777777" w:rsidR="00F429B5" w:rsidRPr="00DD65B2" w:rsidRDefault="00F429B5" w:rsidP="00F429B5">
      <w:pPr>
        <w:pStyle w:val="NoSpacing"/>
        <w:rPr>
          <w:bCs/>
        </w:rPr>
      </w:pPr>
      <w:r w:rsidRPr="00DD65B2">
        <w:t>with the testing software, which upset the formatting of their answers. According to Roper, this</w:t>
      </w:r>
    </w:p>
    <w:p w14:paraId="19622D25" w14:textId="77777777" w:rsidR="00F429B5" w:rsidRPr="00DD65B2" w:rsidRDefault="00F429B5" w:rsidP="00F429B5">
      <w:pPr>
        <w:pStyle w:val="NoSpacing"/>
        <w:rPr>
          <w:bCs/>
        </w:rPr>
      </w:pPr>
      <w:r w:rsidRPr="00DD65B2">
        <w:t>problem cost him time during the test and was “very damaging” to his performance.</w:t>
      </w:r>
    </w:p>
    <w:p w14:paraId="666A9BA9" w14:textId="77777777" w:rsidR="00F429B5" w:rsidRPr="00DD65B2" w:rsidRDefault="00F429B5" w:rsidP="00F429B5">
      <w:pPr>
        <w:pStyle w:val="NoSpacing"/>
        <w:rPr>
          <w:bCs/>
        </w:rPr>
      </w:pPr>
      <w:r w:rsidRPr="00DD65B2">
        <w:t>Roper reported the problem to one of the Department’s human-resources employees, who</w:t>
      </w:r>
    </w:p>
    <w:p w14:paraId="22E29D94" w14:textId="77777777" w:rsidR="00F429B5" w:rsidRDefault="00F429B5" w:rsidP="00F429B5">
      <w:pPr>
        <w:pStyle w:val="NoSpacing"/>
        <w:rPr>
          <w:bCs/>
        </w:rPr>
      </w:pPr>
      <w:r w:rsidRPr="00DD65B2">
        <w:t xml:space="preserve">relayed Roper’s complaint to the company that had created the test. </w:t>
      </w:r>
    </w:p>
    <w:p w14:paraId="6AC401EB" w14:textId="77777777" w:rsidR="00F429B5" w:rsidRDefault="00F429B5" w:rsidP="00F429B5">
      <w:pPr>
        <w:pStyle w:val="NoSpacing"/>
        <w:rPr>
          <w:bCs/>
        </w:rPr>
      </w:pPr>
    </w:p>
    <w:p w14:paraId="7C8A7553" w14:textId="77777777" w:rsidR="00F429B5" w:rsidRDefault="00F429B5" w:rsidP="00F429B5">
      <w:pPr>
        <w:pStyle w:val="NoSpacing"/>
        <w:rPr>
          <w:bCs/>
        </w:rPr>
      </w:pPr>
      <w:r w:rsidRPr="00DD65B2">
        <w:t>The company investigated</w:t>
      </w:r>
      <w:r>
        <w:t xml:space="preserve"> </w:t>
      </w:r>
      <w:r w:rsidRPr="00DD65B2">
        <w:t>and said the problem had been the result of user error. The company scored the test, however,</w:t>
      </w:r>
      <w:r>
        <w:t xml:space="preserve"> </w:t>
      </w:r>
      <w:r w:rsidRPr="00DD65B2">
        <w:t>without regard to any formatting errors. The Department then promoted candidates (or not) based</w:t>
      </w:r>
      <w:r>
        <w:t xml:space="preserve"> </w:t>
      </w:r>
      <w:r w:rsidRPr="00854040">
        <w:t>solely on their test scores. Roper’s score placed him 16th among the candidates eligible for 11</w:t>
      </w:r>
      <w:r>
        <w:t xml:space="preserve"> </w:t>
      </w:r>
      <w:r w:rsidRPr="00854040">
        <w:t xml:space="preserve">vacant positions, so the Department did not promote him to district </w:t>
      </w:r>
      <w:proofErr w:type="gramStart"/>
      <w:r w:rsidRPr="00854040">
        <w:t>chief.</w:t>
      </w:r>
      <w:r>
        <w:t>”</w:t>
      </w:r>
      <w:proofErr w:type="gramEnd"/>
    </w:p>
    <w:p w14:paraId="66C3F300" w14:textId="77777777" w:rsidR="00F429B5" w:rsidRDefault="00F429B5" w:rsidP="00F429B5">
      <w:pPr>
        <w:pStyle w:val="NoSpacing"/>
        <w:rPr>
          <w:bCs/>
        </w:rPr>
      </w:pPr>
    </w:p>
    <w:p w14:paraId="064E3EF7" w14:textId="77777777" w:rsidR="00F429B5" w:rsidRDefault="00F429B5" w:rsidP="00F429B5">
      <w:pPr>
        <w:pStyle w:val="NoSpacing"/>
        <w:rPr>
          <w:b/>
        </w:rPr>
      </w:pPr>
      <w:r w:rsidRPr="00854040">
        <w:rPr>
          <w:b/>
        </w:rPr>
        <w:t>COURT HELD:</w:t>
      </w:r>
    </w:p>
    <w:p w14:paraId="02D235CB" w14:textId="77777777" w:rsidR="00F429B5" w:rsidRDefault="00F429B5" w:rsidP="00F429B5">
      <w:pPr>
        <w:pStyle w:val="NoSpacing"/>
        <w:rPr>
          <w:b/>
        </w:rPr>
      </w:pPr>
    </w:p>
    <w:p w14:paraId="556658BA" w14:textId="77777777" w:rsidR="00F429B5" w:rsidRPr="007C2488" w:rsidRDefault="00F429B5" w:rsidP="00F429B5">
      <w:pPr>
        <w:pStyle w:val="NoSpacing"/>
      </w:pPr>
      <w:r>
        <w:t>“</w:t>
      </w:r>
      <w:r w:rsidRPr="007C2488">
        <w:t>Roper responds that his claim (in part) is that the test itself was defective, and so its results</w:t>
      </w:r>
    </w:p>
    <w:p w14:paraId="5266C950" w14:textId="77777777" w:rsidR="00F429B5" w:rsidRPr="007C2488" w:rsidRDefault="00F429B5" w:rsidP="00F429B5">
      <w:pPr>
        <w:pStyle w:val="NoSpacing"/>
      </w:pPr>
      <w:r w:rsidRPr="007C2488">
        <w:t>should not render him dissimilar to the promoted candidates. But Title VII provides a remedy for</w:t>
      </w:r>
    </w:p>
    <w:p w14:paraId="4C45E890" w14:textId="77777777" w:rsidR="00F429B5" w:rsidRPr="007C2488" w:rsidRDefault="00F429B5" w:rsidP="00F429B5">
      <w:pPr>
        <w:pStyle w:val="NoSpacing"/>
      </w:pPr>
      <w:r w:rsidRPr="007C2488">
        <w:t>racial discrimination, not for defective tests. Here, the test results were undisputedly the sole</w:t>
      </w:r>
    </w:p>
    <w:p w14:paraId="30F7C8BC" w14:textId="77777777" w:rsidR="00F429B5" w:rsidRPr="007C2488" w:rsidRDefault="00F429B5" w:rsidP="00F429B5">
      <w:pPr>
        <w:pStyle w:val="NoSpacing"/>
      </w:pPr>
      <w:r w:rsidRPr="007C2488">
        <w:t>criterion on which candidates were promoted; and the Department’s application of that criterion</w:t>
      </w:r>
    </w:p>
    <w:p w14:paraId="2CDCA7C5" w14:textId="77777777" w:rsidR="00F429B5" w:rsidRDefault="00F429B5" w:rsidP="00F429B5">
      <w:pPr>
        <w:pStyle w:val="NoSpacing"/>
      </w:pPr>
      <w:r w:rsidRPr="007C2488">
        <w:t>was undisputedly race neutral. To make out a prima facie case of discrimination, therefore, Rope</w:t>
      </w:r>
      <w:r>
        <w:t>r</w:t>
      </w:r>
      <w:r w:rsidRPr="001079BC">
        <w:t xml:space="preserve"> </w:t>
      </w:r>
      <w:r>
        <w:t>must present evidence that the formatting problem (which he says impaired his test performance)</w:t>
      </w:r>
    </w:p>
    <w:p w14:paraId="281CF162" w14:textId="77777777" w:rsidR="00F429B5" w:rsidRDefault="00F429B5" w:rsidP="00F429B5">
      <w:pPr>
        <w:pStyle w:val="NoSpacing"/>
      </w:pPr>
      <w:r>
        <w:t>was itself the result of racial discrimination. And Roper has developed no argument to that effect</w:t>
      </w:r>
    </w:p>
    <w:p w14:paraId="7964F4A5" w14:textId="77777777" w:rsidR="00F429B5" w:rsidRDefault="00F429B5" w:rsidP="00F429B5">
      <w:pPr>
        <w:pStyle w:val="NoSpacing"/>
      </w:pPr>
      <w:r>
        <w:t>in the district court or this court. The district court was therefore correct to grant summary</w:t>
      </w:r>
    </w:p>
    <w:p w14:paraId="310A590D" w14:textId="77777777" w:rsidR="00F429B5" w:rsidRPr="007C2488" w:rsidRDefault="00F429B5" w:rsidP="00F429B5">
      <w:pPr>
        <w:pStyle w:val="NoSpacing"/>
      </w:pPr>
      <w:r>
        <w:t>judgment to the Department.”</w:t>
      </w:r>
    </w:p>
    <w:p w14:paraId="75070BFB" w14:textId="77777777" w:rsidR="00F429B5" w:rsidRDefault="00F429B5" w:rsidP="00F429B5">
      <w:pPr>
        <w:rPr>
          <w:b/>
        </w:rPr>
      </w:pPr>
    </w:p>
    <w:p w14:paraId="2A63883B" w14:textId="77777777" w:rsidR="00F429B5" w:rsidRDefault="00F429B5" w:rsidP="00F429B5">
      <w:pPr>
        <w:rPr>
          <w:b/>
        </w:rPr>
      </w:pPr>
      <w:r>
        <w:rPr>
          <w:b/>
        </w:rPr>
        <w:t xml:space="preserve">Legal lesson learned: Computer software issues can be very frustrating – particularly in a promotion exam – but no evidence of racial discrimination. </w:t>
      </w:r>
    </w:p>
    <w:p w14:paraId="43D4CA69" w14:textId="77777777" w:rsidR="00F429B5" w:rsidRDefault="00F429B5" w:rsidP="00BC70A3">
      <w:pPr>
        <w:rPr>
          <w:rFonts w:ascii="Arial Black" w:hAnsi="Arial Black"/>
          <w:b/>
          <w:sz w:val="24"/>
          <w:szCs w:val="24"/>
        </w:rPr>
      </w:pPr>
    </w:p>
    <w:p w14:paraId="469EF0EC" w14:textId="77777777" w:rsidR="00F429B5" w:rsidRDefault="00F429B5" w:rsidP="00BC70A3">
      <w:pPr>
        <w:rPr>
          <w:rFonts w:ascii="Arial Black" w:hAnsi="Arial Black"/>
          <w:b/>
          <w:sz w:val="24"/>
          <w:szCs w:val="24"/>
        </w:rPr>
      </w:pPr>
    </w:p>
    <w:p w14:paraId="33A4F702" w14:textId="55660A1D" w:rsidR="00B85F14" w:rsidRDefault="006A662D" w:rsidP="00BC70A3">
      <w:pPr>
        <w:rPr>
          <w:rFonts w:ascii="Arial Black" w:hAnsi="Arial Black"/>
          <w:b/>
          <w:sz w:val="24"/>
          <w:szCs w:val="24"/>
        </w:rPr>
      </w:pPr>
      <w:r>
        <w:rPr>
          <w:rFonts w:ascii="Arial Black" w:hAnsi="Arial Black"/>
          <w:b/>
          <w:sz w:val="24"/>
          <w:szCs w:val="24"/>
        </w:rPr>
        <w:t>8-92</w:t>
      </w:r>
    </w:p>
    <w:p w14:paraId="10E843E5" w14:textId="77777777" w:rsidR="00B85F14" w:rsidRPr="00ED155B" w:rsidRDefault="00B85F14" w:rsidP="00B85F14">
      <w:pPr>
        <w:pStyle w:val="NoSpacing"/>
        <w:rPr>
          <w:rFonts w:ascii="Arial Black" w:hAnsi="Arial Black"/>
          <w:sz w:val="28"/>
          <w:szCs w:val="28"/>
        </w:rPr>
      </w:pPr>
      <w:r>
        <w:rPr>
          <w:rFonts w:ascii="Arial Black" w:hAnsi="Arial Black"/>
          <w:sz w:val="28"/>
          <w:szCs w:val="28"/>
        </w:rPr>
        <w:t>ID: HISPANIC / CATHOLIC - ASSESSMENT CTR WAS FAIR</w:t>
      </w:r>
    </w:p>
    <w:p w14:paraId="39815B5E" w14:textId="77777777" w:rsidR="00B85F14" w:rsidRDefault="00B85F14" w:rsidP="00B85F14">
      <w:pPr>
        <w:pStyle w:val="NoSpacing"/>
      </w:pPr>
    </w:p>
    <w:p w14:paraId="329B0150" w14:textId="77777777" w:rsidR="00B85F14" w:rsidRDefault="00B85F14" w:rsidP="00B85F14">
      <w:r>
        <w:t xml:space="preserve">On June 3, 2026, in </w:t>
      </w:r>
      <w:r w:rsidRPr="00B37A0F">
        <w:rPr>
          <w:u w:val="single"/>
        </w:rPr>
        <w:t>Henry Munoz v. City of Burley</w:t>
      </w:r>
      <w:r>
        <w:t xml:space="preserve">, U.S. District Court Judge </w:t>
      </w:r>
      <w:r w:rsidRPr="00E66C66">
        <w:t>Amanda K. Brailsford,</w:t>
      </w:r>
      <w:r>
        <w:t xml:space="preserve"> </w:t>
      </w:r>
      <w:r w:rsidRPr="00F5578E">
        <w:t>United States District Court for District of Idaho</w:t>
      </w:r>
      <w:r>
        <w:t xml:space="preserve">, granted the city’s motion for summary judgment; lack of proof of discrimination against Hispanics or Catholics (many officers are members of </w:t>
      </w:r>
      <w:r w:rsidRPr="006C0980">
        <w:t>Church of Jesus Christ of Latter-day Saints</w:t>
      </w:r>
      <w:r>
        <w:t xml:space="preserve">).  The </w:t>
      </w:r>
      <w:proofErr w:type="gramStart"/>
      <w:r>
        <w:t>City</w:t>
      </w:r>
      <w:proofErr w:type="gramEnd"/>
      <w:r>
        <w:t xml:space="preserve"> held an assessment center, including outside graders, and promoted the lieutenant with highest score (</w:t>
      </w:r>
      <w:r w:rsidRPr="008E3238">
        <w:t>957 out of 1,200</w:t>
      </w:r>
      <w:r>
        <w:t>; compared to plaintiff’s 760). The Court wrote: “</w:t>
      </w:r>
      <w:r w:rsidRPr="00527BF6">
        <w:t>Defendant has articulated a legitimate, nondiscriminatory reason for promoting Boden instead of Plaintiff: they selected Boden because he received the highest total score in the assessment center</w:t>
      </w:r>
      <w:r>
        <w:t xml:space="preserve">.” </w:t>
      </w:r>
      <w:hyperlink r:id="rId1487" w:history="1">
        <w:r w:rsidRPr="003E6F82">
          <w:rPr>
            <w:rStyle w:val="Hyperlink"/>
          </w:rPr>
          <w:t>https://www.govinfo.gov/content/pkg/USCOURTS-idd-4_24-cv-00303/pdf/USCOURTS-idd-4_24-cv-00303-0.pdf</w:t>
        </w:r>
      </w:hyperlink>
      <w:r>
        <w:t xml:space="preserve"> </w:t>
      </w:r>
    </w:p>
    <w:p w14:paraId="7F8E1D92" w14:textId="77777777" w:rsidR="00B85F14" w:rsidRDefault="00B85F14" w:rsidP="00B85F14">
      <w:pPr>
        <w:rPr>
          <w:b/>
        </w:rPr>
      </w:pPr>
      <w:r>
        <w:rPr>
          <w:b/>
        </w:rPr>
        <w:t>FACTS:</w:t>
      </w:r>
    </w:p>
    <w:p w14:paraId="0A115D22" w14:textId="77777777" w:rsidR="00B85F14" w:rsidRDefault="00B85F14" w:rsidP="00B85F14">
      <w:pPr>
        <w:pStyle w:val="NoSpacing"/>
      </w:pPr>
      <w:r>
        <w:lastRenderedPageBreak/>
        <w:t>“</w:t>
      </w:r>
      <w:r w:rsidRPr="009C1094">
        <w:t> Plaintiff is Hispanic and Catholic</w:t>
      </w:r>
      <w:r>
        <w:t xml:space="preserve"> …. </w:t>
      </w:r>
      <w:r w:rsidRPr="009C1094">
        <w:t>He began working for the BFD as a volunteer firefighter in March 2001, became a full-time firefighter in November 2003, and was promoted to Lieutenant in 2013</w:t>
      </w:r>
      <w:r>
        <w:t xml:space="preserve"> …. </w:t>
      </w:r>
      <w:r w:rsidRPr="009C1094">
        <w:t xml:space="preserve">Plaintiff remained a Lieutenant when he applied for the </w:t>
      </w:r>
      <w:proofErr w:type="gramStart"/>
      <w:r w:rsidRPr="009C1094">
        <w:t>Captain</w:t>
      </w:r>
      <w:proofErr w:type="gramEnd"/>
      <w:r w:rsidRPr="009C1094">
        <w:t xml:space="preserve"> position at issue in this case</w:t>
      </w:r>
      <w:r>
        <w:t xml:space="preserve"> ….</w:t>
      </w:r>
      <w:r w:rsidRPr="009C1094">
        <w:t>Plaintiff declares that he has served BFD for more than twenty-four years and has never been disciplined for misconduct</w:t>
      </w:r>
      <w:r>
        <w:t xml:space="preserve">. </w:t>
      </w:r>
    </w:p>
    <w:p w14:paraId="572E94D4" w14:textId="77777777" w:rsidR="00B85F14" w:rsidRDefault="00B85F14" w:rsidP="00B85F14">
      <w:pPr>
        <w:pStyle w:val="NoSpacing"/>
      </w:pPr>
    </w:p>
    <w:p w14:paraId="31105AB0" w14:textId="77777777" w:rsidR="00B85F14" w:rsidRDefault="00B85F14" w:rsidP="00B85F14">
      <w:pPr>
        <w:pStyle w:val="NoSpacing"/>
      </w:pPr>
      <w:r>
        <w:t>***</w:t>
      </w:r>
    </w:p>
    <w:p w14:paraId="5B73EB53" w14:textId="77777777" w:rsidR="00B85F14" w:rsidRDefault="00B85F14" w:rsidP="00B85F14">
      <w:pPr>
        <w:pStyle w:val="NoSpacing"/>
      </w:pPr>
    </w:p>
    <w:p w14:paraId="0917C3BF" w14:textId="77777777" w:rsidR="00B85F14" w:rsidRDefault="00B85F14" w:rsidP="00B85F14">
      <w:pPr>
        <w:pStyle w:val="NoSpacing"/>
      </w:pPr>
      <w:r w:rsidRPr="00925E40">
        <w:t xml:space="preserve">BFD used an </w:t>
      </w:r>
      <w:r>
        <w:t>‘</w:t>
      </w:r>
      <w:r w:rsidRPr="00925E40">
        <w:t>assessment center</w:t>
      </w:r>
      <w:r>
        <w:t>’</w:t>
      </w:r>
      <w:r w:rsidRPr="00925E40">
        <w:t xml:space="preserve"> to evaluate the three candidates. The assessment center used five evaluators: Chief Shannon Tolman; Deputy Chief Harman; Human Resources (HR) Director, Carol Anderson; Cassia Regional Hospital ambulance department manager, Keisha Hendrickson; and College of Southern Idaho Lead Fire Science Instructor, Brad Buehler </w:t>
      </w:r>
      <w:r>
        <w:t>….</w:t>
      </w:r>
      <w:r w:rsidRPr="00925E40">
        <w:t xml:space="preserve"> Deputy Chief Harman selected the internal evaluators and Buehler and Hendrickson as outside evaluators</w:t>
      </w:r>
      <w:r>
        <w:t xml:space="preserve"> ….</w:t>
      </w:r>
      <w:r w:rsidRPr="00925E40">
        <w:t>Of those evaluators, Plaintiffs identifies only Chief Tolman as having LDS involvement</w:t>
      </w:r>
      <w:r>
        <w:t>. [</w:t>
      </w:r>
      <w:r w:rsidRPr="006C0980">
        <w:t>LDS</w:t>
      </w:r>
      <w:r>
        <w:t xml:space="preserve"> - </w:t>
      </w:r>
      <w:r w:rsidRPr="006C0980">
        <w:t>shorthand reference for the Church of Jesus Christ of Latter-day Saints</w:t>
      </w:r>
      <w:r>
        <w:t>]</w:t>
      </w:r>
      <w:r w:rsidRPr="006C0980">
        <w:t>.</w:t>
      </w:r>
    </w:p>
    <w:p w14:paraId="6FBD1BC6" w14:textId="77777777" w:rsidR="00B85F14" w:rsidRDefault="00B85F14" w:rsidP="00B85F14">
      <w:pPr>
        <w:pStyle w:val="NoSpacing"/>
      </w:pPr>
    </w:p>
    <w:p w14:paraId="44DF6D45" w14:textId="77777777" w:rsidR="00B85F14" w:rsidRDefault="00B85F14" w:rsidP="00B85F14">
      <w:pPr>
        <w:pStyle w:val="NoSpacing"/>
      </w:pPr>
      <w:r w:rsidRPr="004E7397">
        <w:t>The assessment center has three components: an incident-scenario exercise, an oral</w:t>
      </w:r>
      <w:r>
        <w:t xml:space="preserve"> </w:t>
      </w:r>
      <w:r w:rsidRPr="004E7397">
        <w:t>presentation exercise, and an oral interview</w:t>
      </w:r>
      <w:r>
        <w:t xml:space="preserve"> …. </w:t>
      </w:r>
      <w:r w:rsidRPr="004E7397">
        <w:t>Each component's individual score sheets included job-related scoring dimensions such as scene size-up, leadership/organization, communication, problem analysis and decision-making, time management, strategy and tactics, command presence/ICS, safety, presentation-related criteria, accountability, and interview performance</w:t>
      </w:r>
      <w:r>
        <w:t xml:space="preserve"> ….</w:t>
      </w:r>
      <w:r w:rsidRPr="004E7397">
        <w:t xml:space="preserve">The score sheets used an </w:t>
      </w:r>
      <w:r>
        <w:t xml:space="preserve"> </w:t>
      </w:r>
      <w:r w:rsidRPr="004E7397">
        <w:t xml:space="preserve">unevenly-banded numerical scale: 1 through 4 meant </w:t>
      </w:r>
      <w:r>
        <w:t>‘</w:t>
      </w:r>
      <w:r w:rsidRPr="004E7397">
        <w:t>Not Qualified,</w:t>
      </w:r>
      <w:r>
        <w:t>’</w:t>
      </w:r>
      <w:r w:rsidRPr="004E7397">
        <w:t xml:space="preserve"> 5 meant </w:t>
      </w:r>
      <w:r>
        <w:t>‘</w:t>
      </w:r>
      <w:r w:rsidRPr="004E7397">
        <w:t>Minimally Qualified,</w:t>
      </w:r>
      <w:r>
        <w:t>’</w:t>
      </w:r>
      <w:r w:rsidRPr="004E7397">
        <w:t xml:space="preserve"> 6 meant </w:t>
      </w:r>
      <w:r>
        <w:t>‘</w:t>
      </w:r>
      <w:r w:rsidRPr="004E7397">
        <w:t>Qualified,</w:t>
      </w:r>
      <w:r>
        <w:t>’</w:t>
      </w:r>
      <w:r w:rsidRPr="004E7397">
        <w:t xml:space="preserve"> and 7 through 10 meant </w:t>
      </w:r>
      <w:r>
        <w:t>‘</w:t>
      </w:r>
      <w:r w:rsidRPr="004E7397">
        <w:t>Especially Qualified</w:t>
      </w:r>
      <w:r>
        <w:t xml:space="preserve">’ …. </w:t>
      </w:r>
      <w:r w:rsidRPr="004E7397">
        <w:t xml:space="preserve"> Hypothetically applied, a </w:t>
      </w:r>
      <w:r>
        <w:t>‘</w:t>
      </w:r>
      <w:r w:rsidRPr="004E7397">
        <w:t>4</w:t>
      </w:r>
      <w:r>
        <w:t>’</w:t>
      </w:r>
      <w:r w:rsidRPr="004E7397">
        <w:t xml:space="preserve"> means the evaluator found the applicant not qualified in that dimension of that component, whereas a </w:t>
      </w:r>
      <w:r>
        <w:t>‘</w:t>
      </w:r>
      <w:r w:rsidRPr="004E7397">
        <w:t>7</w:t>
      </w:r>
      <w:r>
        <w:t>’</w:t>
      </w:r>
      <w:r w:rsidRPr="004E7397">
        <w:t xml:space="preserve"> means the applicant was especially qualified. The scoring draws no distinction between a 1 and a 4 (both </w:t>
      </w:r>
      <w:r>
        <w:t>‘</w:t>
      </w:r>
      <w:r w:rsidRPr="004E7397">
        <w:t>not qualified</w:t>
      </w:r>
      <w:r>
        <w:t>’</w:t>
      </w:r>
      <w:r w:rsidRPr="004E7397">
        <w:t xml:space="preserve">) or a 7 and a 10 (both </w:t>
      </w:r>
      <w:r>
        <w:t>‘</w:t>
      </w:r>
      <w:r w:rsidRPr="004E7397">
        <w:t>especially qualified</w:t>
      </w:r>
      <w:r>
        <w:t>’</w:t>
      </w:r>
      <w:r w:rsidRPr="004E7397">
        <w:t xml:space="preserve">). </w:t>
      </w:r>
    </w:p>
    <w:p w14:paraId="4A6FD119" w14:textId="77777777" w:rsidR="00B85F14" w:rsidRDefault="00B85F14" w:rsidP="00B85F14">
      <w:pPr>
        <w:pStyle w:val="NoSpacing"/>
      </w:pPr>
    </w:p>
    <w:p w14:paraId="3EB58E8A" w14:textId="77777777" w:rsidR="00B85F14" w:rsidRDefault="00B85F14" w:rsidP="00B85F14">
      <w:pPr>
        <w:pStyle w:val="NoSpacing"/>
      </w:pPr>
      <w:r>
        <w:t>***</w:t>
      </w:r>
    </w:p>
    <w:p w14:paraId="562A1188" w14:textId="77777777" w:rsidR="00B85F14" w:rsidRDefault="00B85F14" w:rsidP="00B85F14">
      <w:pPr>
        <w:pStyle w:val="NoSpacing"/>
      </w:pPr>
      <w:r w:rsidRPr="008E3238">
        <w:t> After the assessment, Chief Tolman and Deputy Chief Harman totaled the evaluators' scores. The completed score sheets reflect that Plaintiff received a total score of 760 out of 1,200, while Boden received the highest total score, 957 out of 1,200</w:t>
      </w:r>
      <w:r>
        <w:t xml:space="preserve">…. </w:t>
      </w:r>
      <w:r w:rsidRPr="008E3238">
        <w:t xml:space="preserve"> According to Defendant, the promotion was offered to the candidate who received the highest score, and Deputy Chief Harman testified that </w:t>
      </w:r>
      <w:r>
        <w:t>‘</w:t>
      </w:r>
      <w:r w:rsidRPr="008E3238">
        <w:t>the past processes since ‘21 have all gone based off of the score</w:t>
      </w:r>
      <w:r>
        <w:t xml:space="preserve">’ …. </w:t>
      </w:r>
    </w:p>
    <w:p w14:paraId="26EF8099" w14:textId="77777777" w:rsidR="00B85F14" w:rsidRDefault="00B85F14" w:rsidP="00B85F14">
      <w:pPr>
        <w:pStyle w:val="NoSpacing"/>
      </w:pPr>
    </w:p>
    <w:p w14:paraId="4D254087" w14:textId="77777777" w:rsidR="00B85F14" w:rsidRDefault="00B85F14" w:rsidP="00B85F14">
      <w:pPr>
        <w:pStyle w:val="NoSpacing"/>
        <w:rPr>
          <w:b/>
          <w:bCs/>
        </w:rPr>
      </w:pPr>
      <w:r w:rsidRPr="005C0BF8">
        <w:rPr>
          <w:b/>
        </w:rPr>
        <w:t xml:space="preserve">COURT HELD: </w:t>
      </w:r>
    </w:p>
    <w:p w14:paraId="292957CE" w14:textId="77777777" w:rsidR="00B85F14" w:rsidRDefault="00B85F14" w:rsidP="00B85F14">
      <w:pPr>
        <w:pStyle w:val="NoSpacing"/>
        <w:rPr>
          <w:b/>
          <w:bCs/>
        </w:rPr>
      </w:pPr>
    </w:p>
    <w:p w14:paraId="321A4EBB" w14:textId="77777777" w:rsidR="00B85F14" w:rsidRDefault="00B85F14" w:rsidP="00B85F14">
      <w:pPr>
        <w:pStyle w:val="NoSpacing"/>
      </w:pPr>
      <w:r>
        <w:t>“</w:t>
      </w:r>
      <w:r w:rsidRPr="004177CA">
        <w:t>Plaintiff testified that religion did not come up during the interview or testing process; no panelist raised religion during the process; Chief Tolman and Deputy Chief Harman never talked with him about his religion; he never raised religion with them; and he did not know whether Chief Tolman or Deputy Chief Harman knew his religion</w:t>
      </w:r>
      <w:r>
        <w:t xml:space="preserve"> …. </w:t>
      </w:r>
      <w:r w:rsidRPr="004177CA">
        <w:t xml:space="preserve"> Buehler testified that he was not aware of any applicant's religious affiliation or whether one applicant was affiliated religiously differently from the others, and that the scores he gave Plaintiff were not motivated by Plaintiff's religion or national origin</w:t>
      </w:r>
      <w:r>
        <w:t xml:space="preserve"> ….</w:t>
      </w:r>
      <w:r w:rsidRPr="004177CA">
        <w:t xml:space="preserve"> Hendrickson likewise testified she was not aware of the religion of any applicant and that the scores she gave Plaintiff were not motivated by Plaintiff's religion or national origin</w:t>
      </w:r>
      <w:r>
        <w:t xml:space="preserve"> ….</w:t>
      </w:r>
    </w:p>
    <w:p w14:paraId="364B2E0E" w14:textId="77777777" w:rsidR="00B85F14" w:rsidRDefault="00B85F14" w:rsidP="00B85F14">
      <w:pPr>
        <w:pStyle w:val="NoSpacing"/>
      </w:pPr>
    </w:p>
    <w:p w14:paraId="7D32ABEB" w14:textId="77777777" w:rsidR="00B85F14" w:rsidRDefault="00B85F14" w:rsidP="00B85F14">
      <w:pPr>
        <w:pStyle w:val="NoSpacing"/>
      </w:pPr>
      <w:r>
        <w:t>***</w:t>
      </w:r>
    </w:p>
    <w:p w14:paraId="1BFA5899" w14:textId="77777777" w:rsidR="00B85F14" w:rsidRPr="004177CA" w:rsidRDefault="00B85F14" w:rsidP="00B85F14">
      <w:pPr>
        <w:pStyle w:val="NoSpacing"/>
      </w:pPr>
    </w:p>
    <w:p w14:paraId="6E25B3BB" w14:textId="77777777" w:rsidR="00B85F14" w:rsidRDefault="00B85F14" w:rsidP="00B85F14">
      <w:pPr>
        <w:pStyle w:val="NoSpacing"/>
      </w:pPr>
      <w:r w:rsidRPr="005D6029">
        <w:t>For these reasons, the scoring evidence does not create a triable issue of discriminatory pretext. Even if a reasonable jury could find that subjective judgment, evaluator harshness, or favoritism influenced the process, Plaintiff has not identified evidence permitting a reasonable jury to find that race, religion, Catholic status, or non-LDS status was one of the motivating factors. On this record, Plaintiff has not identified sufficient admissible evidence from which a reasonable jury could infer Defendant's stated explanation is false or motivated by a discriminatory purpose.</w:t>
      </w:r>
    </w:p>
    <w:p w14:paraId="376CF815" w14:textId="77777777" w:rsidR="00B85F14" w:rsidRDefault="00B85F14" w:rsidP="00B85F14">
      <w:pPr>
        <w:pStyle w:val="NoSpacing"/>
      </w:pPr>
    </w:p>
    <w:p w14:paraId="6A760DE0" w14:textId="77777777" w:rsidR="00B85F14" w:rsidRDefault="00B85F14" w:rsidP="00B85F14">
      <w:pPr>
        <w:pStyle w:val="NoSpacing"/>
      </w:pPr>
      <w:r>
        <w:t>***</w:t>
      </w:r>
    </w:p>
    <w:p w14:paraId="4DFF38D2" w14:textId="77777777" w:rsidR="00B85F14" w:rsidRDefault="00B85F14" w:rsidP="00B85F14">
      <w:pPr>
        <w:pStyle w:val="NoSpacing"/>
      </w:pPr>
      <w:r w:rsidRPr="00391FBA">
        <w:t xml:space="preserve">Considered cumulatively, Plaintiff's evidence shows a discretionary process, a small leadership pool with limited Hispanic and non-LDS representation, sharp evaluator disparities, and Plaintiff's perception that Hispanic firefighters received less recognition. That evidence is sufficient to require careful review, but it remains insufficient to permit a reasonable jury </w:t>
      </w:r>
      <w:r w:rsidRPr="00391FBA">
        <w:lastRenderedPageBreak/>
        <w:t>to find that Defendant's score-based explanation was false or that the June 2022 decision was motivated by race or religion.</w:t>
      </w:r>
    </w:p>
    <w:p w14:paraId="5333A016" w14:textId="77777777" w:rsidR="00B85F14" w:rsidRDefault="00B85F14" w:rsidP="00B85F14">
      <w:pPr>
        <w:pStyle w:val="NoSpacing"/>
      </w:pPr>
    </w:p>
    <w:p w14:paraId="7E9156FC" w14:textId="77777777" w:rsidR="00B85F14" w:rsidRPr="00AF0956" w:rsidRDefault="00B85F14" w:rsidP="00B85F14">
      <w:pPr>
        <w:pStyle w:val="NoSpacing"/>
        <w:rPr>
          <w:b/>
          <w:bCs/>
        </w:rPr>
      </w:pPr>
      <w:r>
        <w:rPr>
          <w:b/>
        </w:rPr>
        <w:t xml:space="preserve">Legal lesson learned: Assessment Centers are an excellent tool in the promotion process. </w:t>
      </w:r>
    </w:p>
    <w:p w14:paraId="00016549" w14:textId="77777777" w:rsidR="00B85F14" w:rsidRDefault="00B85F14" w:rsidP="00BC70A3">
      <w:pPr>
        <w:rPr>
          <w:rFonts w:ascii="Arial Black" w:hAnsi="Arial Black"/>
          <w:b/>
          <w:sz w:val="24"/>
          <w:szCs w:val="24"/>
        </w:rPr>
      </w:pPr>
    </w:p>
    <w:p w14:paraId="59BE3FA3" w14:textId="77777777" w:rsidR="00B85F14" w:rsidRDefault="00B85F14" w:rsidP="00BC70A3">
      <w:pPr>
        <w:rPr>
          <w:rFonts w:ascii="Arial Black" w:hAnsi="Arial Black"/>
          <w:b/>
          <w:sz w:val="24"/>
          <w:szCs w:val="24"/>
        </w:rPr>
      </w:pPr>
    </w:p>
    <w:p w14:paraId="6B009886" w14:textId="77777777" w:rsidR="00B85F14" w:rsidRDefault="00B85F14" w:rsidP="00BC70A3">
      <w:pPr>
        <w:rPr>
          <w:rFonts w:ascii="Arial Black" w:hAnsi="Arial Black"/>
          <w:b/>
          <w:sz w:val="24"/>
          <w:szCs w:val="24"/>
        </w:rPr>
      </w:pPr>
    </w:p>
    <w:p w14:paraId="67163217" w14:textId="729C233C" w:rsidR="006323EA" w:rsidRDefault="006B7C41" w:rsidP="00BC70A3">
      <w:pPr>
        <w:rPr>
          <w:rFonts w:ascii="Arial Black" w:hAnsi="Arial Black"/>
          <w:b/>
          <w:sz w:val="24"/>
          <w:szCs w:val="24"/>
        </w:rPr>
      </w:pPr>
      <w:r>
        <w:rPr>
          <w:rFonts w:ascii="Arial Black" w:hAnsi="Arial Black"/>
          <w:b/>
          <w:sz w:val="24"/>
          <w:szCs w:val="24"/>
        </w:rPr>
        <w:t>8-91</w:t>
      </w:r>
    </w:p>
    <w:p w14:paraId="18269774" w14:textId="77777777" w:rsidR="009F0FF3" w:rsidRPr="00AB57EE" w:rsidRDefault="009F0FF3" w:rsidP="009F0FF3">
      <w:pPr>
        <w:rPr>
          <w:rFonts w:ascii="Arial Black" w:hAnsi="Arial Black"/>
          <w:b/>
          <w:bCs/>
          <w:sz w:val="28"/>
          <w:szCs w:val="28"/>
        </w:rPr>
      </w:pPr>
      <w:r>
        <w:rPr>
          <w:rFonts w:ascii="Arial Black" w:hAnsi="Arial Black"/>
          <w:b/>
          <w:sz w:val="28"/>
          <w:szCs w:val="28"/>
        </w:rPr>
        <w:t xml:space="preserve">IL: BLACK – FIRED – DROP STATE CASE / CAN PROCEED FED  </w:t>
      </w:r>
    </w:p>
    <w:p w14:paraId="1B8D0C91" w14:textId="77777777" w:rsidR="009F0FF3" w:rsidRDefault="009F0FF3" w:rsidP="009F0FF3">
      <w:pPr>
        <w:rPr>
          <w:b/>
          <w:bCs/>
        </w:rPr>
      </w:pPr>
      <w:r>
        <w:t xml:space="preserve">On June 8, 2026, in </w:t>
      </w:r>
      <w:proofErr w:type="spellStart"/>
      <w:r w:rsidRPr="00D53D61">
        <w:rPr>
          <w:u w:val="single"/>
        </w:rPr>
        <w:t>Vairrun</w:t>
      </w:r>
      <w:proofErr w:type="spellEnd"/>
      <w:r w:rsidRPr="00D53D61">
        <w:rPr>
          <w:u w:val="single"/>
        </w:rPr>
        <w:t xml:space="preserve"> Strickland v</w:t>
      </w:r>
      <w:r>
        <w:rPr>
          <w:u w:val="single"/>
        </w:rPr>
        <w:t>.</w:t>
      </w:r>
      <w:r w:rsidRPr="00D53D61">
        <w:rPr>
          <w:u w:val="single"/>
        </w:rPr>
        <w:t xml:space="preserve"> City of Markham, et al</w:t>
      </w:r>
      <w:r>
        <w:t xml:space="preserve">., the United States Court of Appeals for the Seventh District (Chicago) held (3 to 0) that trial court improperly dismissed his federal Title VII case alleging retaliation - </w:t>
      </w:r>
      <w:r w:rsidRPr="00036255">
        <w:t>singling him out for minor disciplinary issues and denying</w:t>
      </w:r>
      <w:r>
        <w:t xml:space="preserve"> </w:t>
      </w:r>
      <w:r w:rsidRPr="00036255">
        <w:t>him a promotion</w:t>
      </w:r>
      <w:r>
        <w:t xml:space="preserve"> when he supported another FF’s EEOC case. Case to continue in federal court even though voluntarily dismissed his lawsuit in state court. The Court wrote: “</w:t>
      </w:r>
      <w:r w:rsidRPr="009B102D">
        <w:t>The district</w:t>
      </w:r>
      <w:r>
        <w:t xml:space="preserve"> </w:t>
      </w:r>
      <w:r w:rsidRPr="009B102D">
        <w:t>court thus erred in dismissing Strickland’s Title VII claims on</w:t>
      </w:r>
      <w:r>
        <w:t xml:space="preserve"> </w:t>
      </w:r>
      <w:r w:rsidRPr="009B102D">
        <w:t>claim preclusion grounds</w:t>
      </w:r>
      <w:r>
        <w:t xml:space="preserve">.” </w:t>
      </w:r>
      <w:hyperlink r:id="rId1488" w:history="1">
        <w:r w:rsidRPr="00014504">
          <w:rPr>
            <w:rStyle w:val="Hyperlink"/>
            <w:b/>
          </w:rPr>
          <w:t>https://cases.justia.com/federal/appellate-courts/ca7/24-3262/24-3262-2026-06-08.pdf?ts=1780948846</w:t>
        </w:r>
      </w:hyperlink>
      <w:r>
        <w:rPr>
          <w:b/>
        </w:rPr>
        <w:t xml:space="preserve"> </w:t>
      </w:r>
    </w:p>
    <w:p w14:paraId="0D27DED6" w14:textId="77777777" w:rsidR="009F0FF3" w:rsidRDefault="009F0FF3" w:rsidP="009F0FF3">
      <w:pPr>
        <w:pStyle w:val="NoSpacing"/>
        <w:rPr>
          <w:bCs/>
        </w:rPr>
      </w:pPr>
      <w:r w:rsidRPr="00AB37D4">
        <w:rPr>
          <w:b/>
        </w:rPr>
        <w:t>FACTS:</w:t>
      </w:r>
      <w:r>
        <w:t xml:space="preserve"> </w:t>
      </w:r>
    </w:p>
    <w:p w14:paraId="4D9C6825" w14:textId="77777777" w:rsidR="009F0FF3" w:rsidRDefault="009F0FF3" w:rsidP="009F0FF3">
      <w:pPr>
        <w:pStyle w:val="NoSpacing"/>
        <w:rPr>
          <w:bCs/>
        </w:rPr>
      </w:pPr>
    </w:p>
    <w:p w14:paraId="04543A52" w14:textId="77777777" w:rsidR="009F0FF3" w:rsidRPr="00B74B2A" w:rsidRDefault="009F0FF3" w:rsidP="009F0FF3">
      <w:pPr>
        <w:pStyle w:val="NoSpacing"/>
        <w:rPr>
          <w:bCs/>
        </w:rPr>
      </w:pPr>
      <w:r>
        <w:t>“</w:t>
      </w:r>
      <w:r w:rsidRPr="00131A6D">
        <w:t>Strickland worked as a firefighter for the City of Markham</w:t>
      </w:r>
      <w:r>
        <w:t xml:space="preserve"> </w:t>
      </w:r>
      <w:r w:rsidRPr="00131A6D">
        <w:t>Fire Department for over a decade. In 2020, the Equal</w:t>
      </w:r>
      <w:r>
        <w:t xml:space="preserve"> </w:t>
      </w:r>
      <w:r w:rsidRPr="00036255">
        <w:t>Employment Opportunity Commission interviewed</w:t>
      </w:r>
      <w:r>
        <w:t xml:space="preserve"> </w:t>
      </w:r>
      <w:r w:rsidRPr="00036255">
        <w:t>Strickland during an investigation into discrimination claims</w:t>
      </w:r>
      <w:r>
        <w:t xml:space="preserve"> </w:t>
      </w:r>
      <w:r w:rsidRPr="00036255">
        <w:t>brought by a former firefighter. In the interview, Strickland</w:t>
      </w:r>
      <w:r>
        <w:t xml:space="preserve"> </w:t>
      </w:r>
      <w:r w:rsidRPr="00036255">
        <w:t>described race-based discrimination he had witnessed against</w:t>
      </w:r>
      <w:r>
        <w:t xml:space="preserve"> </w:t>
      </w:r>
      <w:r w:rsidRPr="00036255">
        <w:t>the former firefighter and how Chief Mazziotta had failed to</w:t>
      </w:r>
      <w:r>
        <w:t xml:space="preserve"> </w:t>
      </w:r>
      <w:r w:rsidRPr="00036255">
        <w:t>address it. Strickland alleged that after the interview, Chief</w:t>
      </w:r>
      <w:r>
        <w:t xml:space="preserve"> </w:t>
      </w:r>
      <w:r w:rsidRPr="00036255">
        <w:t>Mazziotta and the Department retaliated against him by</w:t>
      </w:r>
      <w:r>
        <w:t xml:space="preserve"> </w:t>
      </w:r>
      <w:proofErr w:type="gramStart"/>
      <w:r w:rsidRPr="00036255">
        <w:t>singling</w:t>
      </w:r>
      <w:proofErr w:type="gramEnd"/>
      <w:r w:rsidRPr="00036255">
        <w:t xml:space="preserve"> him out for minor disciplinary issues and denying</w:t>
      </w:r>
      <w:r>
        <w:t xml:space="preserve"> </w:t>
      </w:r>
      <w:r w:rsidRPr="00036255">
        <w:t>him a promotion.</w:t>
      </w:r>
      <w:r>
        <w:t xml:space="preserve"> </w:t>
      </w:r>
      <w:r w:rsidRPr="00036255">
        <w:t>In January 2021, the Department brought administrative</w:t>
      </w:r>
      <w:r>
        <w:t xml:space="preserve"> </w:t>
      </w:r>
      <w:r w:rsidRPr="00036255">
        <w:t>charges against Strickland. After hearings on the charges, the</w:t>
      </w:r>
      <w:r>
        <w:t xml:space="preserve"> </w:t>
      </w:r>
      <w:r w:rsidRPr="00036255">
        <w:t>Board of Fire and Police Commissioners terminated his</w:t>
      </w:r>
      <w:r>
        <w:t xml:space="preserve"> </w:t>
      </w:r>
      <w:r w:rsidRPr="00036255">
        <w:t>employment in April 2021, finding that Strickland had lied to</w:t>
      </w:r>
      <w:r>
        <w:t xml:space="preserve"> </w:t>
      </w:r>
      <w:r w:rsidRPr="00036255">
        <w:t>detectives during an arson investigation and had put</w:t>
      </w:r>
      <w:r>
        <w:t xml:space="preserve"> </w:t>
      </w:r>
      <w:r w:rsidRPr="00036255">
        <w:t>Department employees at risk by coming to work while</w:t>
      </w:r>
      <w:r>
        <w:t xml:space="preserve"> </w:t>
      </w:r>
      <w:r w:rsidRPr="00036255">
        <w:t>infected with COVID-19.</w:t>
      </w:r>
      <w:r>
        <w:t xml:space="preserve">  </w:t>
      </w:r>
      <w:r w:rsidRPr="00B74B2A">
        <w:t>The next month, Strickland filed a lawsuit in state court</w:t>
      </w:r>
    </w:p>
    <w:p w14:paraId="2E4E1E54" w14:textId="77777777" w:rsidR="009F0FF3" w:rsidRDefault="009F0FF3" w:rsidP="009F0FF3">
      <w:pPr>
        <w:pStyle w:val="NoSpacing"/>
        <w:rPr>
          <w:bCs/>
        </w:rPr>
      </w:pPr>
      <w:r w:rsidRPr="00B74B2A">
        <w:t xml:space="preserve">challenging the Board’s decision. The court </w:t>
      </w:r>
      <w:proofErr w:type="gramStart"/>
      <w:r w:rsidRPr="00B74B2A">
        <w:t>remanded</w:t>
      </w:r>
      <w:proofErr w:type="gramEnd"/>
      <w:r w:rsidRPr="00B74B2A">
        <w:t xml:space="preserve"> while</w:t>
      </w:r>
      <w:r>
        <w:t xml:space="preserve"> </w:t>
      </w:r>
      <w:r w:rsidRPr="00B74B2A">
        <w:t>retaining jurisdiction over the case and instructed the Board</w:t>
      </w:r>
      <w:r>
        <w:t xml:space="preserve"> </w:t>
      </w:r>
      <w:r w:rsidRPr="00B74B2A">
        <w:t>to enter an amended decision with additional information.</w:t>
      </w:r>
      <w:r>
        <w:t xml:space="preserve"> </w:t>
      </w:r>
      <w:r w:rsidRPr="00B74B2A">
        <w:t>The Board did so and again discharged Strickland. After the</w:t>
      </w:r>
      <w:r>
        <w:t xml:space="preserve"> </w:t>
      </w:r>
      <w:r w:rsidRPr="00B74B2A">
        <w:t>Board issued its amended decision in April 2022, Strickland</w:t>
      </w:r>
      <w:r>
        <w:t xml:space="preserve"> </w:t>
      </w:r>
      <w:r w:rsidRPr="00B74B2A">
        <w:t>voluntarily dismissed his state-court lawsuit. He did not</w:t>
      </w:r>
      <w:r>
        <w:t xml:space="preserve"> </w:t>
      </w:r>
      <w:r w:rsidRPr="00B74B2A">
        <w:t>otherwise seek direct review of the amended decision in state</w:t>
      </w:r>
      <w:r>
        <w:t xml:space="preserve"> </w:t>
      </w:r>
      <w:r w:rsidRPr="00B74B2A">
        <w:t>court.</w:t>
      </w:r>
      <w:r>
        <w:t>”</w:t>
      </w:r>
    </w:p>
    <w:p w14:paraId="05EE3B62" w14:textId="77777777" w:rsidR="009F0FF3" w:rsidRDefault="009F0FF3" w:rsidP="009F0FF3">
      <w:pPr>
        <w:pStyle w:val="NoSpacing"/>
        <w:rPr>
          <w:bCs/>
        </w:rPr>
      </w:pPr>
    </w:p>
    <w:p w14:paraId="1F68E14A" w14:textId="77777777" w:rsidR="009F0FF3" w:rsidRDefault="009F0FF3" w:rsidP="009F0FF3">
      <w:pPr>
        <w:pStyle w:val="NoSpacing"/>
        <w:rPr>
          <w:bCs/>
        </w:rPr>
      </w:pPr>
      <w:r w:rsidRPr="00AB37D4">
        <w:rPr>
          <w:b/>
        </w:rPr>
        <w:t>COURT HELD:</w:t>
      </w:r>
      <w:r>
        <w:t xml:space="preserve"> </w:t>
      </w:r>
    </w:p>
    <w:p w14:paraId="1597A0B0" w14:textId="77777777" w:rsidR="009F0FF3" w:rsidRDefault="009F0FF3" w:rsidP="009F0FF3">
      <w:pPr>
        <w:pStyle w:val="NoSpacing"/>
        <w:rPr>
          <w:bCs/>
        </w:rPr>
      </w:pPr>
    </w:p>
    <w:p w14:paraId="74FC3A61" w14:textId="77777777" w:rsidR="009F0FF3" w:rsidRDefault="009F0FF3" w:rsidP="009F0FF3">
      <w:pPr>
        <w:pStyle w:val="NoSpacing"/>
        <w:rPr>
          <w:bCs/>
        </w:rPr>
      </w:pPr>
      <w:r>
        <w:t>“</w:t>
      </w:r>
      <w:r w:rsidRPr="000C51C9">
        <w:t>Strickland argues that the court improperly</w:t>
      </w:r>
      <w:r>
        <w:t xml:space="preserve"> </w:t>
      </w:r>
      <w:r w:rsidRPr="000C51C9">
        <w:t>rested the first element on the Board’s decision and resolved</w:t>
      </w:r>
      <w:r>
        <w:t xml:space="preserve"> </w:t>
      </w:r>
      <w:r w:rsidRPr="000C51C9">
        <w:t>the other questions based on the state suit. He maintains that</w:t>
      </w:r>
      <w:r>
        <w:t xml:space="preserve"> </w:t>
      </w:r>
      <w:r w:rsidRPr="000C51C9">
        <w:t>administrative proceedings and state-court judgments should</w:t>
      </w:r>
      <w:r>
        <w:t xml:space="preserve"> </w:t>
      </w:r>
      <w:r w:rsidRPr="000C51C9">
        <w:t>be evaluated differently for purposes of claim preclusion.</w:t>
      </w:r>
      <w:r>
        <w:t xml:space="preserve"> </w:t>
      </w:r>
      <w:r w:rsidRPr="000C51C9">
        <w:t>Strickland is partially correct that the administrative</w:t>
      </w:r>
      <w:r>
        <w:t xml:space="preserve"> </w:t>
      </w:r>
      <w:r w:rsidRPr="000C51C9">
        <w:t>proceedings and state litigation cannot be treated as</w:t>
      </w:r>
      <w:r>
        <w:t xml:space="preserve"> </w:t>
      </w:r>
      <w:r w:rsidRPr="000C51C9">
        <w:t>equivalents. The Supreme Court’s decisions on the federal</w:t>
      </w:r>
      <w:r>
        <w:t xml:space="preserve"> </w:t>
      </w:r>
      <w:r w:rsidRPr="000C51C9">
        <w:t>law of preclusion distinguish between state-court judgments</w:t>
      </w:r>
      <w:r>
        <w:t xml:space="preserve"> </w:t>
      </w:r>
      <w:r w:rsidRPr="000C51C9">
        <w:t>and administrative decisions, particularly as applied to Title</w:t>
      </w:r>
      <w:r>
        <w:t xml:space="preserve"> </w:t>
      </w:r>
      <w:r w:rsidRPr="000C51C9">
        <w:t>VII claims</w:t>
      </w:r>
      <w:r>
        <w:t xml:space="preserve">…. </w:t>
      </w:r>
      <w:r w:rsidRPr="009B102D">
        <w:t>The district</w:t>
      </w:r>
      <w:r>
        <w:t xml:space="preserve"> </w:t>
      </w:r>
      <w:r w:rsidRPr="009B102D">
        <w:t>court thus erred in dismissing Strickland’s Title VII claims on</w:t>
      </w:r>
      <w:r>
        <w:t xml:space="preserve"> </w:t>
      </w:r>
      <w:r w:rsidRPr="009B102D">
        <w:t>claim preclusion grounds.</w:t>
      </w:r>
      <w:r>
        <w:t>”</w:t>
      </w:r>
    </w:p>
    <w:p w14:paraId="0B588F28" w14:textId="77777777" w:rsidR="009F0FF3" w:rsidRDefault="009F0FF3" w:rsidP="009F0FF3">
      <w:pPr>
        <w:pStyle w:val="NoSpacing"/>
        <w:rPr>
          <w:bCs/>
        </w:rPr>
      </w:pPr>
    </w:p>
    <w:p w14:paraId="5F78A501" w14:textId="77777777" w:rsidR="009F0FF3" w:rsidRPr="00FD2071" w:rsidRDefault="009F0FF3" w:rsidP="009F0FF3">
      <w:pPr>
        <w:pStyle w:val="NoSpacing"/>
        <w:rPr>
          <w:b/>
        </w:rPr>
      </w:pPr>
      <w:r>
        <w:rPr>
          <w:b/>
        </w:rPr>
        <w:t xml:space="preserve">Legal lesson learned: Title VII claims may proceed in federal court, even if firefighter voluntarily dropped his state court case. </w:t>
      </w:r>
    </w:p>
    <w:p w14:paraId="325F0F66" w14:textId="77777777" w:rsidR="009F0FF3" w:rsidRDefault="009F0FF3" w:rsidP="009F0FF3">
      <w:pPr>
        <w:pStyle w:val="NoSpacing"/>
        <w:rPr>
          <w:bCs/>
        </w:rPr>
      </w:pPr>
    </w:p>
    <w:p w14:paraId="01EF2D04" w14:textId="77777777" w:rsidR="00D46618" w:rsidRDefault="00D46618" w:rsidP="00BC70A3">
      <w:pPr>
        <w:rPr>
          <w:rFonts w:ascii="Arial Black" w:hAnsi="Arial Black"/>
          <w:b/>
          <w:sz w:val="24"/>
          <w:szCs w:val="24"/>
        </w:rPr>
      </w:pPr>
    </w:p>
    <w:p w14:paraId="13F47147" w14:textId="77777777" w:rsidR="00D46618" w:rsidRDefault="00D46618" w:rsidP="00BC70A3">
      <w:pPr>
        <w:rPr>
          <w:rFonts w:ascii="Arial Black" w:hAnsi="Arial Black"/>
          <w:b/>
          <w:sz w:val="24"/>
          <w:szCs w:val="24"/>
        </w:rPr>
      </w:pPr>
    </w:p>
    <w:p w14:paraId="168C3B58" w14:textId="4F9EA388" w:rsidR="007265BA" w:rsidRPr="00EB490D" w:rsidRDefault="007265BA" w:rsidP="00BC70A3">
      <w:pPr>
        <w:rPr>
          <w:rFonts w:ascii="Arial Black" w:hAnsi="Arial Black"/>
          <w:b/>
          <w:sz w:val="24"/>
          <w:szCs w:val="24"/>
        </w:rPr>
      </w:pPr>
      <w:r>
        <w:rPr>
          <w:rFonts w:ascii="Arial Black" w:hAnsi="Arial Black"/>
          <w:b/>
          <w:sz w:val="24"/>
          <w:szCs w:val="24"/>
        </w:rPr>
        <w:t xml:space="preserve">8-90 </w:t>
      </w:r>
      <w:r w:rsidRPr="00EB490D">
        <w:rPr>
          <w:rFonts w:ascii="Arial Black" w:hAnsi="Arial Black"/>
          <w:bCs/>
          <w:sz w:val="24"/>
          <w:szCs w:val="24"/>
        </w:rPr>
        <w:t>[also filed, Chap. 16 – Discipline]</w:t>
      </w:r>
    </w:p>
    <w:p w14:paraId="7D5A8E7C" w14:textId="77777777" w:rsidR="007265BA" w:rsidRPr="00DA19ED" w:rsidRDefault="007265BA" w:rsidP="007265BA">
      <w:pPr>
        <w:rPr>
          <w:rFonts w:ascii="Arial Black" w:hAnsi="Arial Black"/>
          <w:b/>
          <w:sz w:val="28"/>
          <w:szCs w:val="28"/>
        </w:rPr>
      </w:pPr>
      <w:r>
        <w:rPr>
          <w:rFonts w:ascii="Arial Black" w:hAnsi="Arial Black"/>
          <w:b/>
          <w:sz w:val="28"/>
          <w:szCs w:val="28"/>
        </w:rPr>
        <w:t xml:space="preserve">VA: BLACK FF – FIRED – THREATS VIOLENCE IN STATION </w:t>
      </w:r>
    </w:p>
    <w:p w14:paraId="16192602" w14:textId="77777777" w:rsidR="007265BA" w:rsidRDefault="007265BA" w:rsidP="007265BA">
      <w:pPr>
        <w:pStyle w:val="NoSpacing"/>
        <w:rPr>
          <w:b/>
        </w:rPr>
      </w:pPr>
      <w:r>
        <w:t xml:space="preserve">On May 19, 2026, in </w:t>
      </w:r>
      <w:r w:rsidRPr="00AD6041">
        <w:rPr>
          <w:u w:val="single"/>
        </w:rPr>
        <w:t>Brian Younger v. City of Lynchburg</w:t>
      </w:r>
      <w:r>
        <w:t xml:space="preserve">, U.S. District Court Judge Norman K. Moon, United States District Court for the Western District of Virginia, </w:t>
      </w:r>
      <w:r w:rsidRPr="00D12863">
        <w:t>Lynchburg Division</w:t>
      </w:r>
      <w:r>
        <w:t xml:space="preserve">, granted the City’s motion for summary judgment.  The firefighter was fired on June 4, </w:t>
      </w:r>
      <w:proofErr w:type="gramStart"/>
      <w:r>
        <w:t>2024</w:t>
      </w:r>
      <w:proofErr w:type="gramEnd"/>
      <w:r>
        <w:t xml:space="preserve"> after an incident on July 16, </w:t>
      </w:r>
      <w:proofErr w:type="gramStart"/>
      <w:r>
        <w:t>2024</w:t>
      </w:r>
      <w:proofErr w:type="gramEnd"/>
      <w:r>
        <w:t xml:space="preserve"> where he asked a white firefighter. At start of morning shift, to move his personal items to another bunkbed, and Younger became upset it was not done immediately.  THE COURT WROTE:  “Younger complains that he was treated differently from his White co-workers. Younger, however, does not establish sufficient similarity between what he did on July 16, 2022, and what his White co-workers did. Specifically, several fellow firefighters were recorded using racial slurs off-duty and those firefighters were not disciplined by the LFD. In contrast, though, Younger used racialized and threatening language against a co-worker in the fire station.” </w:t>
      </w:r>
      <w:hyperlink r:id="rId1489" w:history="1">
        <w:r w:rsidRPr="00D00712">
          <w:rPr>
            <w:rStyle w:val="Hyperlink"/>
            <w:b/>
          </w:rPr>
          <w:t>https://cases.justia.com/federal/district-courts/virginia/vawdce/6:2024cv00051/132979/41/0.pdf?ts=1779390167</w:t>
        </w:r>
      </w:hyperlink>
      <w:r>
        <w:rPr>
          <w:b/>
        </w:rPr>
        <w:t xml:space="preserve"> </w:t>
      </w:r>
    </w:p>
    <w:p w14:paraId="5DD3D10C" w14:textId="77777777" w:rsidR="007265BA" w:rsidRDefault="007265BA" w:rsidP="007265BA">
      <w:pPr>
        <w:pStyle w:val="NoSpacing"/>
        <w:rPr>
          <w:bCs/>
        </w:rPr>
      </w:pPr>
    </w:p>
    <w:p w14:paraId="2207ADA6" w14:textId="77777777" w:rsidR="007265BA" w:rsidRDefault="007265BA" w:rsidP="007265BA">
      <w:pPr>
        <w:pStyle w:val="NoSpacing"/>
        <w:rPr>
          <w:bCs/>
        </w:rPr>
      </w:pPr>
      <w:r>
        <w:t>THE COURT HELD:</w:t>
      </w:r>
    </w:p>
    <w:p w14:paraId="1B9D8F8D" w14:textId="77777777" w:rsidR="007265BA" w:rsidRDefault="007265BA" w:rsidP="007265BA">
      <w:pPr>
        <w:pStyle w:val="NoSpacing"/>
        <w:rPr>
          <w:bCs/>
        </w:rPr>
      </w:pPr>
    </w:p>
    <w:p w14:paraId="0698CA53" w14:textId="77777777" w:rsidR="007265BA" w:rsidRDefault="007265BA" w:rsidP="007265BA">
      <w:pPr>
        <w:pStyle w:val="NoSpacing"/>
        <w:ind w:left="720"/>
      </w:pPr>
      <w:r>
        <w:t xml:space="preserve">“The </w:t>
      </w:r>
      <w:proofErr w:type="gramStart"/>
      <w:r>
        <w:t>City</w:t>
      </w:r>
      <w:proofErr w:type="gramEnd"/>
      <w:r>
        <w:t xml:space="preserve"> claims it terminated Younger because of events that occurred on the morning of July 16, 2022. During the early morning shift change at LFD Station 5, Younger entered the station bedroom to place his belongings on a bunkbed. However, upon his arrival, he discovered that Firefighter Brennen Lawson, who had worked the previous shift, had already placed his items on the bed Younger intended to use….Younger found Lawson and asked him to move his belongings…. Lawson agreed but did not move his</w:t>
      </w:r>
    </w:p>
    <w:p w14:paraId="2E968B2D" w14:textId="77777777" w:rsidR="007265BA" w:rsidRDefault="007265BA" w:rsidP="007265BA">
      <w:pPr>
        <w:pStyle w:val="NoSpacing"/>
        <w:ind w:firstLine="720"/>
      </w:pPr>
      <w:r>
        <w:t xml:space="preserve">belongings as promptly as Younger expected. </w:t>
      </w:r>
    </w:p>
    <w:p w14:paraId="6065F997" w14:textId="77777777" w:rsidR="007265BA" w:rsidRDefault="007265BA" w:rsidP="007265BA">
      <w:pPr>
        <w:pStyle w:val="NoSpacing"/>
      </w:pPr>
    </w:p>
    <w:p w14:paraId="4324F131" w14:textId="77777777" w:rsidR="007265BA" w:rsidRDefault="007265BA" w:rsidP="007265BA">
      <w:pPr>
        <w:pStyle w:val="NoSpacing"/>
        <w:ind w:firstLine="720"/>
      </w:pPr>
      <w:r>
        <w:t>Although accounts differ as to whether either party made threatening movements towards</w:t>
      </w:r>
    </w:p>
    <w:p w14:paraId="7B45CEBF" w14:textId="77777777" w:rsidR="007265BA" w:rsidRDefault="007265BA" w:rsidP="007265BA">
      <w:pPr>
        <w:pStyle w:val="NoSpacing"/>
        <w:ind w:left="720"/>
      </w:pPr>
      <w:r>
        <w:t>the other during the exchange, neither party disputes that Younger made several comments directed at Lawson, who is a White male, including that: (</w:t>
      </w:r>
      <w:proofErr w:type="spellStart"/>
      <w:r>
        <w:t>i</w:t>
      </w:r>
      <w:proofErr w:type="spellEnd"/>
      <w:r>
        <w:t xml:space="preserve">) Lawson was ‘a racist scumbag that couldn’t keep his wife happy’; (ii) that Lawson had ‘pushed’ his wife ‘right into the embrace of another Black man’; (iii) that his wife was ‘in California’ ‘loving that black dick she was taking out West’; (iv) that Younger did not know why ‘y’all racists keep dating and marrying women who aren’t racists’; (v) that if Lawson came towards him he would ‘fuck you all up out here’; and (iv) that Lawson better ‘stay away from [Younger] or else.’” </w:t>
      </w:r>
    </w:p>
    <w:p w14:paraId="40196F72" w14:textId="77777777" w:rsidR="007265BA" w:rsidRDefault="007265BA" w:rsidP="007265BA">
      <w:pPr>
        <w:pStyle w:val="NoSpacing"/>
        <w:ind w:left="720"/>
      </w:pPr>
    </w:p>
    <w:p w14:paraId="2AD53E35" w14:textId="77777777" w:rsidR="007265BA" w:rsidRDefault="007265BA" w:rsidP="007265BA">
      <w:pPr>
        <w:pStyle w:val="NoSpacing"/>
        <w:rPr>
          <w:b/>
        </w:rPr>
      </w:pPr>
      <w:r>
        <w:rPr>
          <w:b/>
        </w:rPr>
        <w:t xml:space="preserve">Legal lesson learned: Threats of violence cannot be tolerated, without regard to the race of the offender.  </w:t>
      </w:r>
    </w:p>
    <w:p w14:paraId="25F2A4A7" w14:textId="77777777" w:rsidR="00EC3DBD" w:rsidRDefault="00EC3DBD" w:rsidP="007265BA">
      <w:pPr>
        <w:pStyle w:val="NoSpacing"/>
        <w:rPr>
          <w:b/>
        </w:rPr>
      </w:pPr>
    </w:p>
    <w:p w14:paraId="4DB831D8" w14:textId="77777777" w:rsidR="00EC3DBD" w:rsidRPr="00C958FE" w:rsidRDefault="00EC3DBD" w:rsidP="00EC3DBD">
      <w:pPr>
        <w:pStyle w:val="NoSpacing"/>
        <w:rPr>
          <w:rFonts w:ascii="Arial Black" w:hAnsi="Arial Black"/>
          <w:b/>
          <w:sz w:val="28"/>
          <w:szCs w:val="28"/>
        </w:rPr>
      </w:pPr>
      <w:r>
        <w:rPr>
          <w:rFonts w:ascii="Arial Black" w:hAnsi="Arial Black"/>
          <w:b/>
          <w:sz w:val="28"/>
          <w:szCs w:val="28"/>
        </w:rPr>
        <w:t xml:space="preserve">MD: BLACK – LATE FOR WORK / RACIAL TEXTS – NO CASE </w:t>
      </w:r>
    </w:p>
    <w:p w14:paraId="2E5D1A37" w14:textId="77777777" w:rsidR="00EC3DBD" w:rsidRDefault="00EC3DBD" w:rsidP="00EC3DBD">
      <w:pPr>
        <w:pStyle w:val="NoSpacing"/>
        <w:rPr>
          <w:b/>
        </w:rPr>
      </w:pPr>
    </w:p>
    <w:p w14:paraId="44C3754A" w14:textId="77777777" w:rsidR="00EC3DBD" w:rsidRPr="0018661C" w:rsidRDefault="00EC3DBD" w:rsidP="00EC3DBD">
      <w:pPr>
        <w:pStyle w:val="NoSpacing"/>
        <w:rPr>
          <w:bCs/>
        </w:rPr>
      </w:pPr>
      <w:r w:rsidRPr="0018661C">
        <w:t xml:space="preserve">On June 24, 2026, in </w:t>
      </w:r>
      <w:r w:rsidRPr="0018661C">
        <w:rPr>
          <w:u w:val="single"/>
        </w:rPr>
        <w:t>Mitchell Waters v. The Mayor and City Council of Baltimore</w:t>
      </w:r>
      <w:r w:rsidRPr="0018661C">
        <w:t xml:space="preserve">, </w:t>
      </w:r>
      <w:r>
        <w:t xml:space="preserve">the United States Court of Appeal for Fourth Circuit (Baltimore) held (3 to 0; unpublished decision) that trial court properly granted summary judgment to the City. The </w:t>
      </w:r>
      <w:proofErr w:type="gramStart"/>
      <w:r>
        <w:t>City</w:t>
      </w:r>
      <w:proofErr w:type="gramEnd"/>
      <w:r>
        <w:t xml:space="preserve"> adequately investigated anonymous racial messages and found no proof they were sent by fellow firefighters. The Court wrote: “The text messages were sent anonymously, and BCFD did undertake an investigation to attempt to identify the sender. Therefore, the district court did not err in granting judgment on the hostile work environment claim.” </w:t>
      </w:r>
      <w:hyperlink r:id="rId1490" w:history="1">
        <w:r w:rsidRPr="00014504">
          <w:rPr>
            <w:rStyle w:val="Hyperlink"/>
          </w:rPr>
          <w:t>https://cases.justia.com/federal/appellate-courts/ca4/25-1440/25-1440-2026-06-24.pdf?ts=1782325881</w:t>
        </w:r>
      </w:hyperlink>
      <w:r>
        <w:t xml:space="preserve"> </w:t>
      </w:r>
    </w:p>
    <w:p w14:paraId="19777266" w14:textId="77777777" w:rsidR="00EC3DBD" w:rsidRPr="0018661C" w:rsidRDefault="00EC3DBD" w:rsidP="00EC3DBD">
      <w:pPr>
        <w:pStyle w:val="NoSpacing"/>
        <w:rPr>
          <w:bCs/>
        </w:rPr>
      </w:pPr>
    </w:p>
    <w:p w14:paraId="166C76B8" w14:textId="77777777" w:rsidR="00EC3DBD" w:rsidRDefault="00EC3DBD" w:rsidP="00EC3DBD">
      <w:pPr>
        <w:pStyle w:val="NoSpacing"/>
        <w:rPr>
          <w:b/>
        </w:rPr>
      </w:pPr>
    </w:p>
    <w:p w14:paraId="5A132524" w14:textId="77777777" w:rsidR="00EC3DBD" w:rsidRDefault="00EC3DBD" w:rsidP="00EC3DBD">
      <w:pPr>
        <w:pStyle w:val="NoSpacing"/>
        <w:rPr>
          <w:b/>
        </w:rPr>
      </w:pPr>
      <w:r w:rsidRPr="00AF250A">
        <w:rPr>
          <w:b/>
        </w:rPr>
        <w:t>FACTS:</w:t>
      </w:r>
    </w:p>
    <w:p w14:paraId="2B84CE0A" w14:textId="77777777" w:rsidR="00EC3DBD" w:rsidRDefault="00EC3DBD" w:rsidP="00EC3DBD">
      <w:pPr>
        <w:pStyle w:val="NoSpacing"/>
        <w:rPr>
          <w:b/>
        </w:rPr>
      </w:pPr>
    </w:p>
    <w:p w14:paraId="20E1280E" w14:textId="77777777" w:rsidR="00EC3DBD" w:rsidRPr="00AF250A" w:rsidRDefault="00EC3DBD" w:rsidP="00EC3DBD">
      <w:pPr>
        <w:pStyle w:val="NoSpacing"/>
      </w:pPr>
      <w:r>
        <w:t>“</w:t>
      </w:r>
      <w:r w:rsidRPr="00AF250A">
        <w:t>Waters is a Black man employed by the Baltimore City Fire Department (BCFD).</w:t>
      </w:r>
    </w:p>
    <w:p w14:paraId="78CA736E" w14:textId="77777777" w:rsidR="00EC3DBD" w:rsidRPr="00AF250A" w:rsidRDefault="00EC3DBD" w:rsidP="00EC3DBD">
      <w:pPr>
        <w:pStyle w:val="NoSpacing"/>
      </w:pPr>
      <w:r w:rsidRPr="00AF250A">
        <w:t>The thrust of Waters’s complaint is that he was treated less favorably than non-Black peers</w:t>
      </w:r>
    </w:p>
    <w:p w14:paraId="09BB34B5" w14:textId="77777777" w:rsidR="00EC3DBD" w:rsidRDefault="00EC3DBD" w:rsidP="00EC3DBD">
      <w:pPr>
        <w:pStyle w:val="NoSpacing"/>
      </w:pPr>
      <w:r w:rsidRPr="00AF250A">
        <w:lastRenderedPageBreak/>
        <w:t>when he was subject to BCFD’s disciplinary process</w:t>
      </w:r>
      <w:r>
        <w:t>…. Waters lists five examples of disparate treatment concerning himself and a comparator and four additional examples concerning other Black employees and non-Black comparators.</w:t>
      </w:r>
    </w:p>
    <w:p w14:paraId="6DE1AD09" w14:textId="77777777" w:rsidR="00EC3DBD" w:rsidRDefault="00EC3DBD" w:rsidP="00EC3DBD">
      <w:pPr>
        <w:pStyle w:val="NoSpacing"/>
      </w:pPr>
    </w:p>
    <w:p w14:paraId="05B835B3" w14:textId="77777777" w:rsidR="00EC3DBD" w:rsidRDefault="00EC3DBD" w:rsidP="00EC3DBD">
      <w:pPr>
        <w:pStyle w:val="NoSpacing"/>
      </w:pPr>
      <w:r>
        <w:t>***</w:t>
      </w:r>
    </w:p>
    <w:p w14:paraId="06F0B839" w14:textId="77777777" w:rsidR="00EC3DBD" w:rsidRDefault="00EC3DBD" w:rsidP="00EC3DBD">
      <w:pPr>
        <w:pStyle w:val="NoSpacing"/>
      </w:pPr>
    </w:p>
    <w:p w14:paraId="5BD80BEB" w14:textId="77777777" w:rsidR="00EC3DBD" w:rsidRPr="00607F7B" w:rsidRDefault="00EC3DBD" w:rsidP="00EC3DBD">
      <w:pPr>
        <w:pStyle w:val="NoSpacing"/>
      </w:pPr>
      <w:r w:rsidRPr="00607F7B">
        <w:t xml:space="preserve">Waters’s last example concerns </w:t>
      </w:r>
      <w:r>
        <w:t>‘</w:t>
      </w:r>
      <w:r w:rsidRPr="00607F7B">
        <w:t>anonymous, racist, and threatening messages</w:t>
      </w:r>
      <w:r>
        <w:t>’</w:t>
      </w:r>
      <w:r w:rsidRPr="00607F7B">
        <w:t xml:space="preserve"> he</w:t>
      </w:r>
    </w:p>
    <w:p w14:paraId="0A4E0C78" w14:textId="77777777" w:rsidR="00EC3DBD" w:rsidRPr="00607F7B" w:rsidRDefault="00EC3DBD" w:rsidP="00EC3DBD">
      <w:pPr>
        <w:pStyle w:val="NoSpacing"/>
      </w:pPr>
      <w:r w:rsidRPr="00607F7B">
        <w:t xml:space="preserve">received. Opening Br. at 33. Waters claims </w:t>
      </w:r>
      <w:r>
        <w:t>‘</w:t>
      </w:r>
      <w:r w:rsidRPr="00607F7B">
        <w:t>no investigation or intervention was</w:t>
      </w:r>
    </w:p>
    <w:p w14:paraId="6F40FFC1" w14:textId="77777777" w:rsidR="00EC3DBD" w:rsidRPr="00607F7B" w:rsidRDefault="00EC3DBD" w:rsidP="00EC3DBD">
      <w:pPr>
        <w:pStyle w:val="NoSpacing"/>
      </w:pPr>
      <w:r w:rsidRPr="00607F7B">
        <w:t>conducted,</w:t>
      </w:r>
      <w:r>
        <w:t>’</w:t>
      </w:r>
      <w:r w:rsidRPr="00607F7B">
        <w:t xml:space="preserve"> and again points to complaints by Lt. Cole and Lt. DiRusso which he says</w:t>
      </w:r>
    </w:p>
    <w:p w14:paraId="2BA076BE" w14:textId="77777777" w:rsidR="00EC3DBD" w:rsidRPr="00607F7B" w:rsidRDefault="00EC3DBD" w:rsidP="00EC3DBD">
      <w:pPr>
        <w:pStyle w:val="NoSpacing"/>
      </w:pPr>
      <w:r>
        <w:t>‘</w:t>
      </w:r>
      <w:proofErr w:type="gramStart"/>
      <w:r w:rsidRPr="00607F7B">
        <w:t>were</w:t>
      </w:r>
      <w:proofErr w:type="gramEnd"/>
      <w:r w:rsidRPr="00607F7B">
        <w:t xml:space="preserve"> investigated immediately.</w:t>
      </w:r>
      <w:r>
        <w:t>’</w:t>
      </w:r>
      <w:r w:rsidRPr="00607F7B">
        <w:t xml:space="preserve"> Id. Although these anonymous racist messages are</w:t>
      </w:r>
    </w:p>
    <w:p w14:paraId="45F81297" w14:textId="77777777" w:rsidR="00EC3DBD" w:rsidRPr="00607F7B" w:rsidRDefault="00EC3DBD" w:rsidP="00EC3DBD">
      <w:pPr>
        <w:pStyle w:val="NoSpacing"/>
      </w:pPr>
      <w:r w:rsidRPr="00607F7B">
        <w:t>disturbing, the anonymity renders this conduct incomparable to the other complaints.</w:t>
      </w:r>
    </w:p>
    <w:p w14:paraId="58EE1434" w14:textId="77777777" w:rsidR="00EC3DBD" w:rsidRDefault="00EC3DBD" w:rsidP="00EC3DBD">
      <w:pPr>
        <w:pStyle w:val="NoSpacing"/>
      </w:pPr>
      <w:r w:rsidRPr="00607F7B">
        <w:t xml:space="preserve">Waters </w:t>
      </w:r>
      <w:proofErr w:type="gramStart"/>
      <w:r w:rsidRPr="00607F7B">
        <w:t>characterizes</w:t>
      </w:r>
      <w:proofErr w:type="gramEnd"/>
      <w:r w:rsidRPr="00607F7B">
        <w:t xml:space="preserve"> BCFD’s actions in response to the anonymous messages as </w:t>
      </w:r>
      <w:r>
        <w:t>‘</w:t>
      </w:r>
      <w:r w:rsidRPr="00607F7B">
        <w:t>Smoke</w:t>
      </w:r>
      <w:r>
        <w:t xml:space="preserve"> and Mirrors</w:t>
      </w:r>
      <w:proofErr w:type="gramStart"/>
      <w:r>
        <w:t>,’ ‘</w:t>
      </w:r>
      <w:proofErr w:type="gramEnd"/>
      <w:r>
        <w:t>half-hearted,’ and ‘inauthentic.’  Id. at 34. But Waters does not identify</w:t>
      </w:r>
    </w:p>
    <w:p w14:paraId="4089F791" w14:textId="77777777" w:rsidR="00EC3DBD" w:rsidRDefault="00EC3DBD" w:rsidP="00EC3DBD">
      <w:pPr>
        <w:pStyle w:val="NoSpacing"/>
      </w:pPr>
      <w:r>
        <w:t>any other instance where BCFD undertook a more serious or rigorous investigation after a</w:t>
      </w:r>
    </w:p>
    <w:p w14:paraId="07EB4601" w14:textId="77777777" w:rsidR="00EC3DBD" w:rsidRPr="00607F7B" w:rsidRDefault="00EC3DBD" w:rsidP="00EC3DBD">
      <w:pPr>
        <w:pStyle w:val="NoSpacing"/>
      </w:pPr>
      <w:r>
        <w:t>peer was subject to anonymous harassment. We cannot find that BCFD’s prompt investigation of a complaint identifying a specific employee is comparable to its response to a complaint regarding anonymous conduct.”</w:t>
      </w:r>
    </w:p>
    <w:p w14:paraId="67E93D0C" w14:textId="77777777" w:rsidR="00EC3DBD" w:rsidRPr="00607F7B" w:rsidRDefault="00EC3DBD" w:rsidP="00EC3DBD">
      <w:pPr>
        <w:pStyle w:val="NoSpacing"/>
      </w:pPr>
    </w:p>
    <w:p w14:paraId="79D7E766" w14:textId="77777777" w:rsidR="00EC3DBD" w:rsidRPr="00607F7B" w:rsidRDefault="00EC3DBD" w:rsidP="00EC3DBD">
      <w:pPr>
        <w:pStyle w:val="NoSpacing"/>
      </w:pPr>
    </w:p>
    <w:p w14:paraId="6AD51F6D" w14:textId="77777777" w:rsidR="00EC3DBD" w:rsidRPr="00667370" w:rsidRDefault="00EC3DBD" w:rsidP="00EC3DBD">
      <w:pPr>
        <w:pStyle w:val="NoSpacing"/>
        <w:rPr>
          <w:b/>
          <w:bCs/>
        </w:rPr>
      </w:pPr>
      <w:r w:rsidRPr="00667370">
        <w:rPr>
          <w:b/>
        </w:rPr>
        <w:t>COURT HELD:</w:t>
      </w:r>
    </w:p>
    <w:p w14:paraId="0D237DAE" w14:textId="77777777" w:rsidR="00EC3DBD" w:rsidRDefault="00EC3DBD" w:rsidP="00EC3DBD">
      <w:pPr>
        <w:pStyle w:val="NoSpacing"/>
      </w:pPr>
    </w:p>
    <w:p w14:paraId="2599310A" w14:textId="77777777" w:rsidR="00EC3DBD" w:rsidRDefault="00EC3DBD" w:rsidP="00EC3DBD">
      <w:pPr>
        <w:pStyle w:val="NoSpacing"/>
      </w:pPr>
      <w:r>
        <w:t>“Only the anonymous racist text messages Waters received are related to his race, but as the district court correctly noted, Waters was ‘unable to link [the messages] to any of his coworkers,’ J.A. 1257, and he does not establish how the messages are imputable to BCFD. ‘An employer may be held liable for a hostile work environment if it knew or should have known about the harassment and failed to take effective action to stop it by responding with remedial action reasonably calculated to end the harassment.’ Webster, 38 F.4th at 415 (citation modified). The text messages were sent anonymously, and BCFD did undertake an investigation to attempt to identify the sender. Therefore, the district court did not err in granting judgment on the hostile work environment claim.”</w:t>
      </w:r>
    </w:p>
    <w:p w14:paraId="00FB0249" w14:textId="77777777" w:rsidR="00EC3DBD" w:rsidRPr="00AF250A" w:rsidRDefault="00EC3DBD" w:rsidP="00EC3DBD">
      <w:pPr>
        <w:pStyle w:val="NoSpacing"/>
      </w:pPr>
    </w:p>
    <w:p w14:paraId="38936018" w14:textId="77777777" w:rsidR="00EC3DBD" w:rsidRDefault="00EC3DBD" w:rsidP="00EC3DBD">
      <w:pPr>
        <w:pStyle w:val="NoSpacing"/>
        <w:rPr>
          <w:b/>
        </w:rPr>
      </w:pPr>
      <w:r>
        <w:rPr>
          <w:b/>
        </w:rPr>
        <w:t xml:space="preserve">Legal lesson learned: Anonymous racial text messages were investigated; no proof sent by fellow firefighters.  </w:t>
      </w:r>
    </w:p>
    <w:p w14:paraId="08DA4DB1" w14:textId="77777777" w:rsidR="00EC3DBD" w:rsidRDefault="00EC3DBD" w:rsidP="00EC3DBD">
      <w:pPr>
        <w:pStyle w:val="NoSpacing"/>
        <w:rPr>
          <w:b/>
        </w:rPr>
      </w:pPr>
    </w:p>
    <w:p w14:paraId="39E33D7E" w14:textId="77777777" w:rsidR="00EC3DBD" w:rsidRDefault="00EC3DBD" w:rsidP="00EC3DBD">
      <w:pPr>
        <w:pStyle w:val="NoSpacing"/>
        <w:rPr>
          <w:b/>
        </w:rPr>
      </w:pPr>
    </w:p>
    <w:p w14:paraId="5DBADB78" w14:textId="77777777" w:rsidR="00EC3DBD" w:rsidRDefault="00EC3DBD" w:rsidP="00EC3DBD">
      <w:pPr>
        <w:rPr>
          <w:b/>
        </w:rPr>
      </w:pPr>
      <w:r w:rsidRPr="00F922D6">
        <w:rPr>
          <w:sz w:val="20"/>
          <w:szCs w:val="20"/>
        </w:rPr>
        <w:t>Chap. 8 – Race / National Origin Discrimination</w:t>
      </w:r>
    </w:p>
    <w:p w14:paraId="64827C7C" w14:textId="77777777" w:rsidR="00EC3DBD" w:rsidRPr="001079BC" w:rsidRDefault="00EC3DBD" w:rsidP="00EC3DBD">
      <w:pPr>
        <w:rPr>
          <w:rFonts w:ascii="Arial Black" w:hAnsi="Arial Black"/>
          <w:b/>
          <w:sz w:val="28"/>
          <w:szCs w:val="28"/>
        </w:rPr>
      </w:pPr>
      <w:r>
        <w:rPr>
          <w:rFonts w:ascii="Arial Black" w:hAnsi="Arial Black"/>
          <w:b/>
          <w:sz w:val="28"/>
          <w:szCs w:val="28"/>
        </w:rPr>
        <w:t>OH: BLACK CAPT – EXAM SOFTWARE ISSUES – NOT RACE</w:t>
      </w:r>
    </w:p>
    <w:p w14:paraId="7CEE7E7B" w14:textId="77777777" w:rsidR="00EC3DBD" w:rsidRDefault="00EC3DBD" w:rsidP="00EC3DBD">
      <w:pPr>
        <w:pStyle w:val="NoSpacing"/>
        <w:rPr>
          <w:b/>
        </w:rPr>
      </w:pPr>
      <w:r>
        <w:t xml:space="preserve">On June 15, 2026, in </w:t>
      </w:r>
      <w:r w:rsidRPr="00A002DC">
        <w:rPr>
          <w:u w:val="single"/>
        </w:rPr>
        <w:t>Janos Roper v. City of Cincinnati Fire Department</w:t>
      </w:r>
      <w:r>
        <w:t>, the United States Court of Appeals for the Sixth Circuit held (3 to 0) that trial court properly granted summary judgment to the City.  Race was not a factor in the formatting of answers on the promotion exam for District Chief.  The software company found it to be “user error” – but in any event the issue was “race neutral.” He wound up 16</w:t>
      </w:r>
      <w:r w:rsidRPr="00BA3FF7">
        <w:rPr>
          <w:vertAlign w:val="superscript"/>
        </w:rPr>
        <w:t>th</w:t>
      </w:r>
      <w:r>
        <w:t xml:space="preserve"> on the list; 11 promoted.  The Court wrote: “</w:t>
      </w:r>
      <w:r w:rsidRPr="007C2488">
        <w:t>But Title VII provides a remedy for</w:t>
      </w:r>
      <w:r>
        <w:t xml:space="preserve"> </w:t>
      </w:r>
      <w:r w:rsidRPr="007C2488">
        <w:t>racial discrimination, not for defective tests.</w:t>
      </w:r>
      <w:r>
        <w:t xml:space="preserve">” </w:t>
      </w:r>
      <w:hyperlink r:id="rId1491" w:history="1">
        <w:r w:rsidRPr="00014504">
          <w:rPr>
            <w:rStyle w:val="Hyperlink"/>
            <w:b/>
          </w:rPr>
          <w:t>https://cases.justia.com/federal/appellate-courts/ca6/25-3700/25-3700-2026-06-15.pdf?ts=1781553648</w:t>
        </w:r>
      </w:hyperlink>
      <w:r>
        <w:rPr>
          <w:b/>
        </w:rPr>
        <w:t xml:space="preserve"> </w:t>
      </w:r>
    </w:p>
    <w:p w14:paraId="647721ED" w14:textId="77777777" w:rsidR="00EC3DBD" w:rsidRDefault="00EC3DBD" w:rsidP="00EC3DBD">
      <w:pPr>
        <w:rPr>
          <w:bCs/>
        </w:rPr>
      </w:pPr>
    </w:p>
    <w:p w14:paraId="495D7B01" w14:textId="77777777" w:rsidR="00EC3DBD" w:rsidRDefault="00EC3DBD" w:rsidP="00EC3DBD">
      <w:pPr>
        <w:rPr>
          <w:b/>
        </w:rPr>
      </w:pPr>
      <w:r>
        <w:t xml:space="preserve"> </w:t>
      </w:r>
      <w:r>
        <w:rPr>
          <w:b/>
        </w:rPr>
        <w:t>FACTS:</w:t>
      </w:r>
    </w:p>
    <w:p w14:paraId="2244C383" w14:textId="77777777" w:rsidR="00EC3DBD" w:rsidRPr="00DD65B2" w:rsidRDefault="00EC3DBD" w:rsidP="00EC3DBD">
      <w:pPr>
        <w:pStyle w:val="NoSpacing"/>
        <w:rPr>
          <w:bCs/>
        </w:rPr>
      </w:pPr>
      <w:r>
        <w:t>“</w:t>
      </w:r>
      <w:r w:rsidRPr="00DD65B2">
        <w:t>In 2019, Roper—a longtime Cincinnati firefighter—sat for a test to be promoted to district</w:t>
      </w:r>
    </w:p>
    <w:p w14:paraId="430D2C84" w14:textId="77777777" w:rsidR="00EC3DBD" w:rsidRPr="00DD65B2" w:rsidRDefault="00EC3DBD" w:rsidP="00EC3DBD">
      <w:pPr>
        <w:pStyle w:val="NoSpacing"/>
        <w:rPr>
          <w:bCs/>
        </w:rPr>
      </w:pPr>
      <w:r w:rsidRPr="00DD65B2">
        <w:t>chief. During one typewritten section, Roper and several other candidates experienced a problem</w:t>
      </w:r>
    </w:p>
    <w:p w14:paraId="6B719912" w14:textId="77777777" w:rsidR="00EC3DBD" w:rsidRPr="00DD65B2" w:rsidRDefault="00EC3DBD" w:rsidP="00EC3DBD">
      <w:pPr>
        <w:pStyle w:val="NoSpacing"/>
        <w:rPr>
          <w:bCs/>
        </w:rPr>
      </w:pPr>
      <w:r w:rsidRPr="00DD65B2">
        <w:t>with the testing software, which upset the formatting of their answers. According to Roper, this</w:t>
      </w:r>
    </w:p>
    <w:p w14:paraId="000A2E92" w14:textId="77777777" w:rsidR="00EC3DBD" w:rsidRPr="00DD65B2" w:rsidRDefault="00EC3DBD" w:rsidP="00EC3DBD">
      <w:pPr>
        <w:pStyle w:val="NoSpacing"/>
        <w:rPr>
          <w:bCs/>
        </w:rPr>
      </w:pPr>
      <w:r w:rsidRPr="00DD65B2">
        <w:t>problem cost him time during the test and was “very damaging” to his performance.</w:t>
      </w:r>
    </w:p>
    <w:p w14:paraId="21A9413A" w14:textId="77777777" w:rsidR="00EC3DBD" w:rsidRPr="00DD65B2" w:rsidRDefault="00EC3DBD" w:rsidP="00EC3DBD">
      <w:pPr>
        <w:pStyle w:val="NoSpacing"/>
        <w:rPr>
          <w:bCs/>
        </w:rPr>
      </w:pPr>
      <w:r w:rsidRPr="00DD65B2">
        <w:t>Roper reported the problem to one of the Department’s human-resources employees, who</w:t>
      </w:r>
    </w:p>
    <w:p w14:paraId="75380BA9" w14:textId="77777777" w:rsidR="00EC3DBD" w:rsidRDefault="00EC3DBD" w:rsidP="00EC3DBD">
      <w:pPr>
        <w:pStyle w:val="NoSpacing"/>
        <w:rPr>
          <w:bCs/>
        </w:rPr>
      </w:pPr>
      <w:r w:rsidRPr="00DD65B2">
        <w:t xml:space="preserve">relayed Roper’s complaint to the company that had created the test. </w:t>
      </w:r>
    </w:p>
    <w:p w14:paraId="022445B7" w14:textId="77777777" w:rsidR="00EC3DBD" w:rsidRDefault="00EC3DBD" w:rsidP="00EC3DBD">
      <w:pPr>
        <w:pStyle w:val="NoSpacing"/>
        <w:rPr>
          <w:bCs/>
        </w:rPr>
      </w:pPr>
    </w:p>
    <w:p w14:paraId="44931F93" w14:textId="77777777" w:rsidR="00EC3DBD" w:rsidRDefault="00EC3DBD" w:rsidP="00EC3DBD">
      <w:pPr>
        <w:pStyle w:val="NoSpacing"/>
        <w:rPr>
          <w:bCs/>
        </w:rPr>
      </w:pPr>
      <w:r w:rsidRPr="00DD65B2">
        <w:t>The company investigated</w:t>
      </w:r>
      <w:r>
        <w:t xml:space="preserve"> </w:t>
      </w:r>
      <w:r w:rsidRPr="00DD65B2">
        <w:t>and said the problem had been the result of user error. The company scored the test, however,</w:t>
      </w:r>
      <w:r>
        <w:t xml:space="preserve"> </w:t>
      </w:r>
      <w:r w:rsidRPr="00DD65B2">
        <w:t>without regard to any formatting errors. The Department then promoted candidates (or not) based</w:t>
      </w:r>
      <w:r>
        <w:t xml:space="preserve"> </w:t>
      </w:r>
      <w:r w:rsidRPr="00854040">
        <w:t xml:space="preserve">solely on </w:t>
      </w:r>
      <w:r w:rsidRPr="00854040">
        <w:lastRenderedPageBreak/>
        <w:t>their test scores. Roper’s score placed him 16th among the candidates eligible for 11</w:t>
      </w:r>
      <w:r>
        <w:t xml:space="preserve"> </w:t>
      </w:r>
      <w:r w:rsidRPr="00854040">
        <w:t xml:space="preserve">vacant positions, so the Department did not promote him to district </w:t>
      </w:r>
      <w:proofErr w:type="gramStart"/>
      <w:r w:rsidRPr="00854040">
        <w:t>chief.</w:t>
      </w:r>
      <w:r>
        <w:t>”</w:t>
      </w:r>
      <w:proofErr w:type="gramEnd"/>
    </w:p>
    <w:p w14:paraId="5B2F16AE" w14:textId="77777777" w:rsidR="00EC3DBD" w:rsidRDefault="00EC3DBD" w:rsidP="00EC3DBD">
      <w:pPr>
        <w:pStyle w:val="NoSpacing"/>
        <w:rPr>
          <w:bCs/>
        </w:rPr>
      </w:pPr>
    </w:p>
    <w:p w14:paraId="3885FE9B" w14:textId="77777777" w:rsidR="00EC3DBD" w:rsidRDefault="00EC3DBD" w:rsidP="00EC3DBD">
      <w:pPr>
        <w:pStyle w:val="NoSpacing"/>
        <w:rPr>
          <w:b/>
        </w:rPr>
      </w:pPr>
      <w:r w:rsidRPr="00854040">
        <w:rPr>
          <w:b/>
        </w:rPr>
        <w:t>COURT HELD:</w:t>
      </w:r>
    </w:p>
    <w:p w14:paraId="078561A5" w14:textId="77777777" w:rsidR="00EC3DBD" w:rsidRDefault="00EC3DBD" w:rsidP="00EC3DBD">
      <w:pPr>
        <w:pStyle w:val="NoSpacing"/>
        <w:rPr>
          <w:b/>
        </w:rPr>
      </w:pPr>
    </w:p>
    <w:p w14:paraId="22FFA88C" w14:textId="77777777" w:rsidR="00EC3DBD" w:rsidRPr="007C2488" w:rsidRDefault="00EC3DBD" w:rsidP="00EC3DBD">
      <w:pPr>
        <w:pStyle w:val="NoSpacing"/>
      </w:pPr>
      <w:r>
        <w:t>“</w:t>
      </w:r>
      <w:r w:rsidRPr="007C2488">
        <w:t>Roper responds that his claim (in part) is that the test itself was defective, and so its results</w:t>
      </w:r>
    </w:p>
    <w:p w14:paraId="44F1BFC7" w14:textId="77777777" w:rsidR="00EC3DBD" w:rsidRPr="007C2488" w:rsidRDefault="00EC3DBD" w:rsidP="00EC3DBD">
      <w:pPr>
        <w:pStyle w:val="NoSpacing"/>
      </w:pPr>
      <w:r w:rsidRPr="007C2488">
        <w:t>should not render him dissimilar to the promoted candidates. But Title VII provides a remedy for</w:t>
      </w:r>
    </w:p>
    <w:p w14:paraId="0957029F" w14:textId="77777777" w:rsidR="00EC3DBD" w:rsidRPr="007C2488" w:rsidRDefault="00EC3DBD" w:rsidP="00EC3DBD">
      <w:pPr>
        <w:pStyle w:val="NoSpacing"/>
      </w:pPr>
      <w:r w:rsidRPr="007C2488">
        <w:t>racial discrimination, not for defective tests. Here, the test results were undisputedly the sole</w:t>
      </w:r>
    </w:p>
    <w:p w14:paraId="6A0C529E" w14:textId="77777777" w:rsidR="00EC3DBD" w:rsidRPr="007C2488" w:rsidRDefault="00EC3DBD" w:rsidP="00EC3DBD">
      <w:pPr>
        <w:pStyle w:val="NoSpacing"/>
      </w:pPr>
      <w:r w:rsidRPr="007C2488">
        <w:t>criterion on which candidates were promoted; and the Department’s application of that criterion</w:t>
      </w:r>
    </w:p>
    <w:p w14:paraId="75CA74D3" w14:textId="77777777" w:rsidR="00EC3DBD" w:rsidRDefault="00EC3DBD" w:rsidP="00EC3DBD">
      <w:pPr>
        <w:pStyle w:val="NoSpacing"/>
      </w:pPr>
      <w:r w:rsidRPr="007C2488">
        <w:t>was undisputedly race neutral. To make out a prima facie case of discrimination, therefore, Rope</w:t>
      </w:r>
      <w:r>
        <w:t>r</w:t>
      </w:r>
      <w:r w:rsidRPr="001079BC">
        <w:t xml:space="preserve"> </w:t>
      </w:r>
      <w:r>
        <w:t>must present evidence that the formatting problem (which he says impaired his test performance)</w:t>
      </w:r>
    </w:p>
    <w:p w14:paraId="72F0C566" w14:textId="77777777" w:rsidR="00EC3DBD" w:rsidRDefault="00EC3DBD" w:rsidP="00EC3DBD">
      <w:pPr>
        <w:pStyle w:val="NoSpacing"/>
      </w:pPr>
      <w:r>
        <w:t>was itself the result of racial discrimination. And Roper has developed no argument to that effect</w:t>
      </w:r>
    </w:p>
    <w:p w14:paraId="19D1D8E9" w14:textId="77777777" w:rsidR="00EC3DBD" w:rsidRDefault="00EC3DBD" w:rsidP="00EC3DBD">
      <w:pPr>
        <w:pStyle w:val="NoSpacing"/>
      </w:pPr>
      <w:r>
        <w:t>in the district court or this court. The district court was therefore correct to grant summary</w:t>
      </w:r>
    </w:p>
    <w:p w14:paraId="227B2A0E" w14:textId="77777777" w:rsidR="00EC3DBD" w:rsidRPr="007C2488" w:rsidRDefault="00EC3DBD" w:rsidP="00EC3DBD">
      <w:pPr>
        <w:pStyle w:val="NoSpacing"/>
      </w:pPr>
      <w:r>
        <w:t>judgment to the Department.”</w:t>
      </w:r>
    </w:p>
    <w:p w14:paraId="6A091288" w14:textId="77777777" w:rsidR="00EC3DBD" w:rsidRDefault="00EC3DBD" w:rsidP="00EC3DBD">
      <w:pPr>
        <w:rPr>
          <w:b/>
        </w:rPr>
      </w:pPr>
    </w:p>
    <w:p w14:paraId="7918D520" w14:textId="77777777" w:rsidR="00EC3DBD" w:rsidRDefault="00EC3DBD" w:rsidP="00EC3DBD">
      <w:pPr>
        <w:rPr>
          <w:b/>
        </w:rPr>
      </w:pPr>
      <w:r>
        <w:rPr>
          <w:b/>
        </w:rPr>
        <w:t xml:space="preserve">Legal lesson learned: Computer software issues can be very frustrating – particularly in a promotion exam – but no evidence of racial discrimination. </w:t>
      </w:r>
    </w:p>
    <w:p w14:paraId="48B53824" w14:textId="77777777" w:rsidR="00EC3DBD" w:rsidRDefault="00EC3DBD" w:rsidP="00EC3DBD">
      <w:pPr>
        <w:pStyle w:val="NoSpacing"/>
        <w:rPr>
          <w:b/>
        </w:rPr>
      </w:pPr>
    </w:p>
    <w:p w14:paraId="6B379F4F" w14:textId="77777777" w:rsidR="00EC3DBD" w:rsidRDefault="00EC3DBD" w:rsidP="00EC3DBD">
      <w:pPr>
        <w:pStyle w:val="NoSpacing"/>
        <w:rPr>
          <w:sz w:val="20"/>
          <w:szCs w:val="20"/>
        </w:rPr>
      </w:pPr>
    </w:p>
    <w:p w14:paraId="4FE7788F" w14:textId="77777777" w:rsidR="00EC3DBD" w:rsidRDefault="00EC3DBD" w:rsidP="00EC3DBD">
      <w:pPr>
        <w:pStyle w:val="NoSpacing"/>
        <w:rPr>
          <w:rFonts w:ascii="Arial Black" w:hAnsi="Arial Black"/>
          <w:sz w:val="28"/>
          <w:szCs w:val="28"/>
        </w:rPr>
      </w:pPr>
      <w:r w:rsidRPr="00F922D6">
        <w:rPr>
          <w:sz w:val="20"/>
          <w:szCs w:val="20"/>
        </w:rPr>
        <w:t>Chap. 8 – Race / National Origin Discrimination</w:t>
      </w:r>
    </w:p>
    <w:p w14:paraId="7E08DE49" w14:textId="77777777" w:rsidR="00EC3DBD" w:rsidRDefault="00EC3DBD" w:rsidP="00EC3DBD">
      <w:pPr>
        <w:pStyle w:val="NoSpacing"/>
        <w:rPr>
          <w:rFonts w:ascii="Arial Black" w:hAnsi="Arial Black"/>
          <w:sz w:val="28"/>
          <w:szCs w:val="28"/>
        </w:rPr>
      </w:pPr>
    </w:p>
    <w:p w14:paraId="35449CA4" w14:textId="77777777" w:rsidR="00EC3DBD" w:rsidRPr="00ED155B" w:rsidRDefault="00EC3DBD" w:rsidP="00EC3DBD">
      <w:pPr>
        <w:pStyle w:val="NoSpacing"/>
        <w:rPr>
          <w:rFonts w:ascii="Arial Black" w:hAnsi="Arial Black"/>
          <w:sz w:val="28"/>
          <w:szCs w:val="28"/>
        </w:rPr>
      </w:pPr>
      <w:r>
        <w:rPr>
          <w:rFonts w:ascii="Arial Black" w:hAnsi="Arial Black"/>
          <w:sz w:val="28"/>
          <w:szCs w:val="28"/>
        </w:rPr>
        <w:t>ID: HISPANIC / CATHOLIC - ASSESSMENT CTR WAS FAIR</w:t>
      </w:r>
    </w:p>
    <w:p w14:paraId="243A1ED0" w14:textId="77777777" w:rsidR="00EC3DBD" w:rsidRDefault="00EC3DBD" w:rsidP="00EC3DBD">
      <w:pPr>
        <w:pStyle w:val="NoSpacing"/>
      </w:pPr>
    </w:p>
    <w:p w14:paraId="64BCE63B" w14:textId="77777777" w:rsidR="00EC3DBD" w:rsidRDefault="00EC3DBD" w:rsidP="00EC3DBD">
      <w:r>
        <w:t xml:space="preserve">On June 3, 2026, in </w:t>
      </w:r>
      <w:r w:rsidRPr="00B37A0F">
        <w:rPr>
          <w:u w:val="single"/>
        </w:rPr>
        <w:t>Henry Munoz v. City of Burley</w:t>
      </w:r>
      <w:r>
        <w:t xml:space="preserve">, U.S. District Court Judge </w:t>
      </w:r>
      <w:r w:rsidRPr="00E66C66">
        <w:t>Amanda K. Brailsford,</w:t>
      </w:r>
      <w:r>
        <w:t xml:space="preserve"> </w:t>
      </w:r>
      <w:r w:rsidRPr="00F5578E">
        <w:t>United States District Court for District of Idaho</w:t>
      </w:r>
      <w:r>
        <w:t xml:space="preserve">, granted the city’s motion for summary judgment; lack of proof of discrimination against Hispanics or Catholics (many officers are members of </w:t>
      </w:r>
      <w:r w:rsidRPr="006C0980">
        <w:t>Church of Jesus Christ of Latter-day Saints</w:t>
      </w:r>
      <w:r>
        <w:t xml:space="preserve">).  The </w:t>
      </w:r>
      <w:proofErr w:type="gramStart"/>
      <w:r>
        <w:t>City</w:t>
      </w:r>
      <w:proofErr w:type="gramEnd"/>
      <w:r>
        <w:t xml:space="preserve"> held an assessment center, including outside graders, and promoted the lieutenant with highest score (</w:t>
      </w:r>
      <w:r w:rsidRPr="008E3238">
        <w:t>957 out of 1,200</w:t>
      </w:r>
      <w:r>
        <w:t>; compared to plaintiff’s 760). The Court wrote: “</w:t>
      </w:r>
      <w:r w:rsidRPr="00527BF6">
        <w:t>Defendant has articulated a legitimate, nondiscriminatory reason for promoting Boden instead of Plaintiff: they selected Boden because he received the highest total score in the assessment center</w:t>
      </w:r>
      <w:r>
        <w:t xml:space="preserve">.” </w:t>
      </w:r>
      <w:hyperlink r:id="rId1492" w:history="1">
        <w:r w:rsidRPr="003E6F82">
          <w:rPr>
            <w:rStyle w:val="Hyperlink"/>
          </w:rPr>
          <w:t>https://www.govinfo.gov/content/pkg/USCOURTS-idd-4_24-cv-00303/pdf/USCOURTS-idd-4_24-cv-00303-0.pdf</w:t>
        </w:r>
      </w:hyperlink>
      <w:r>
        <w:t xml:space="preserve"> </w:t>
      </w:r>
    </w:p>
    <w:p w14:paraId="3DD94904" w14:textId="77777777" w:rsidR="00EC3DBD" w:rsidRDefault="00EC3DBD" w:rsidP="00EC3DBD">
      <w:pPr>
        <w:rPr>
          <w:b/>
        </w:rPr>
      </w:pPr>
      <w:r>
        <w:rPr>
          <w:b/>
        </w:rPr>
        <w:t>FACTS:</w:t>
      </w:r>
    </w:p>
    <w:p w14:paraId="53D2E14A" w14:textId="77777777" w:rsidR="00EC3DBD" w:rsidRDefault="00EC3DBD" w:rsidP="00EC3DBD">
      <w:pPr>
        <w:pStyle w:val="NoSpacing"/>
      </w:pPr>
      <w:r>
        <w:t>“</w:t>
      </w:r>
      <w:r w:rsidRPr="009C1094">
        <w:t> Plaintiff is Hispanic and Catholic</w:t>
      </w:r>
      <w:r>
        <w:t xml:space="preserve"> …. </w:t>
      </w:r>
      <w:r w:rsidRPr="009C1094">
        <w:t>He began working for the BFD as a volunteer firefighter in March 2001, became a full-time firefighter in November 2003, and was promoted to Lieutenant in 2013</w:t>
      </w:r>
      <w:r>
        <w:t xml:space="preserve"> …. </w:t>
      </w:r>
      <w:r w:rsidRPr="009C1094">
        <w:t xml:space="preserve">Plaintiff remained a Lieutenant when he applied for the </w:t>
      </w:r>
      <w:proofErr w:type="gramStart"/>
      <w:r w:rsidRPr="009C1094">
        <w:t>Captain</w:t>
      </w:r>
      <w:proofErr w:type="gramEnd"/>
      <w:r w:rsidRPr="009C1094">
        <w:t xml:space="preserve"> position at issue in this case</w:t>
      </w:r>
      <w:r>
        <w:t xml:space="preserve"> ….</w:t>
      </w:r>
      <w:r w:rsidRPr="009C1094">
        <w:t>Plaintiff declares that he has served BFD for more than twenty-four years and has never been disciplined for misconduct</w:t>
      </w:r>
      <w:r>
        <w:t xml:space="preserve">. </w:t>
      </w:r>
    </w:p>
    <w:p w14:paraId="5C19AE9F" w14:textId="77777777" w:rsidR="00EC3DBD" w:rsidRDefault="00EC3DBD" w:rsidP="00EC3DBD">
      <w:pPr>
        <w:pStyle w:val="NoSpacing"/>
      </w:pPr>
    </w:p>
    <w:p w14:paraId="604CE253" w14:textId="77777777" w:rsidR="00EC3DBD" w:rsidRDefault="00EC3DBD" w:rsidP="00EC3DBD">
      <w:pPr>
        <w:pStyle w:val="NoSpacing"/>
      </w:pPr>
      <w:r>
        <w:t>***</w:t>
      </w:r>
    </w:p>
    <w:p w14:paraId="00937ED2" w14:textId="77777777" w:rsidR="00EC3DBD" w:rsidRDefault="00EC3DBD" w:rsidP="00EC3DBD">
      <w:pPr>
        <w:pStyle w:val="NoSpacing"/>
      </w:pPr>
    </w:p>
    <w:p w14:paraId="3574EAA6" w14:textId="77777777" w:rsidR="00EC3DBD" w:rsidRDefault="00EC3DBD" w:rsidP="00EC3DBD">
      <w:pPr>
        <w:pStyle w:val="NoSpacing"/>
      </w:pPr>
      <w:r w:rsidRPr="00925E40">
        <w:t xml:space="preserve">BFD used an </w:t>
      </w:r>
      <w:r>
        <w:t>‘</w:t>
      </w:r>
      <w:r w:rsidRPr="00925E40">
        <w:t>assessment center</w:t>
      </w:r>
      <w:r>
        <w:t>’</w:t>
      </w:r>
      <w:r w:rsidRPr="00925E40">
        <w:t xml:space="preserve"> to evaluate the three candidates. The assessment center used five evaluators: Chief Shannon Tolman; Deputy Chief Harman; Human Resources (HR) Director, Carol Anderson; Cassia Regional Hospital ambulance department manager, Keisha Hendrickson; and College of Southern Idaho Lead Fire Science Instructor, Brad Buehler </w:t>
      </w:r>
      <w:r>
        <w:t>….</w:t>
      </w:r>
      <w:r w:rsidRPr="00925E40">
        <w:t xml:space="preserve"> Deputy Chief Harman selected the internal evaluators and Buehler and Hendrickson as outside evaluators</w:t>
      </w:r>
      <w:r>
        <w:t xml:space="preserve"> ….</w:t>
      </w:r>
      <w:r w:rsidRPr="00925E40">
        <w:t>Of those evaluators, Plaintiffs identifies only Chief Tolman as having LDS involvement</w:t>
      </w:r>
      <w:r>
        <w:t>. [</w:t>
      </w:r>
      <w:r w:rsidRPr="006C0980">
        <w:t>LDS</w:t>
      </w:r>
      <w:r>
        <w:t xml:space="preserve"> - </w:t>
      </w:r>
      <w:r w:rsidRPr="006C0980">
        <w:t>shorthand reference for the Church of Jesus Christ of Latter-day Saints</w:t>
      </w:r>
      <w:r>
        <w:t>]</w:t>
      </w:r>
      <w:r w:rsidRPr="006C0980">
        <w:t>.</w:t>
      </w:r>
    </w:p>
    <w:p w14:paraId="615AAA29" w14:textId="77777777" w:rsidR="00EC3DBD" w:rsidRDefault="00EC3DBD" w:rsidP="00EC3DBD">
      <w:pPr>
        <w:pStyle w:val="NoSpacing"/>
      </w:pPr>
    </w:p>
    <w:p w14:paraId="6E3ED39D" w14:textId="77777777" w:rsidR="00EC3DBD" w:rsidRDefault="00EC3DBD" w:rsidP="00EC3DBD">
      <w:pPr>
        <w:pStyle w:val="NoSpacing"/>
      </w:pPr>
      <w:r w:rsidRPr="004E7397">
        <w:t>The assessment center has three components: an incident-scenario exercise, an oral</w:t>
      </w:r>
      <w:r>
        <w:t xml:space="preserve"> </w:t>
      </w:r>
      <w:r w:rsidRPr="004E7397">
        <w:t>presentation exercise, and an oral interview</w:t>
      </w:r>
      <w:r>
        <w:t xml:space="preserve"> …. </w:t>
      </w:r>
      <w:r w:rsidRPr="004E7397">
        <w:t xml:space="preserve">Each component's individual score sheets included job-related scoring dimensions such as scene size-up, leadership/organization, communication, problem analysis and decision-making, time management, strategy and tactics, </w:t>
      </w:r>
      <w:r w:rsidRPr="004E7397">
        <w:lastRenderedPageBreak/>
        <w:t>command presence/ICS, safety, presentation-related criteria, accountability, and interview performance</w:t>
      </w:r>
      <w:r>
        <w:t xml:space="preserve"> ….</w:t>
      </w:r>
      <w:r w:rsidRPr="004E7397">
        <w:t xml:space="preserve">The score sheets used an </w:t>
      </w:r>
      <w:r>
        <w:t xml:space="preserve"> </w:t>
      </w:r>
      <w:r w:rsidRPr="004E7397">
        <w:t xml:space="preserve">unevenly-banded numerical scale: 1 through 4 meant </w:t>
      </w:r>
      <w:r>
        <w:t>‘</w:t>
      </w:r>
      <w:r w:rsidRPr="004E7397">
        <w:t>Not Qualified,</w:t>
      </w:r>
      <w:r>
        <w:t>’</w:t>
      </w:r>
      <w:r w:rsidRPr="004E7397">
        <w:t xml:space="preserve"> 5 meant </w:t>
      </w:r>
      <w:r>
        <w:t>‘</w:t>
      </w:r>
      <w:r w:rsidRPr="004E7397">
        <w:t>Minimally Qualified,</w:t>
      </w:r>
      <w:r>
        <w:t>’</w:t>
      </w:r>
      <w:r w:rsidRPr="004E7397">
        <w:t xml:space="preserve"> 6 meant </w:t>
      </w:r>
      <w:r>
        <w:t>‘</w:t>
      </w:r>
      <w:r w:rsidRPr="004E7397">
        <w:t>Qualified,</w:t>
      </w:r>
      <w:r>
        <w:t>’</w:t>
      </w:r>
      <w:r w:rsidRPr="004E7397">
        <w:t xml:space="preserve"> and 7 through 10 meant </w:t>
      </w:r>
      <w:r>
        <w:t>‘</w:t>
      </w:r>
      <w:r w:rsidRPr="004E7397">
        <w:t>Especially Qualified</w:t>
      </w:r>
      <w:r>
        <w:t xml:space="preserve">’ …. </w:t>
      </w:r>
      <w:r w:rsidRPr="004E7397">
        <w:t xml:space="preserve"> Hypothetically applied, a </w:t>
      </w:r>
      <w:r>
        <w:t>‘</w:t>
      </w:r>
      <w:r w:rsidRPr="004E7397">
        <w:t>4</w:t>
      </w:r>
      <w:r>
        <w:t>’</w:t>
      </w:r>
      <w:r w:rsidRPr="004E7397">
        <w:t xml:space="preserve"> means the evaluator found the applicant not qualified in that dimension of that component, whereas a </w:t>
      </w:r>
      <w:r>
        <w:t>‘</w:t>
      </w:r>
      <w:r w:rsidRPr="004E7397">
        <w:t>7</w:t>
      </w:r>
      <w:r>
        <w:t>’</w:t>
      </w:r>
      <w:r w:rsidRPr="004E7397">
        <w:t xml:space="preserve"> means the applicant was especially qualified. The scoring draws no distinction between a 1 and a 4 (both </w:t>
      </w:r>
      <w:r>
        <w:t>‘</w:t>
      </w:r>
      <w:r w:rsidRPr="004E7397">
        <w:t>not qualified</w:t>
      </w:r>
      <w:r>
        <w:t>’</w:t>
      </w:r>
      <w:r w:rsidRPr="004E7397">
        <w:t xml:space="preserve">) or a 7 and a 10 (both </w:t>
      </w:r>
      <w:r>
        <w:t>‘</w:t>
      </w:r>
      <w:r w:rsidRPr="004E7397">
        <w:t>especially qualified</w:t>
      </w:r>
      <w:r>
        <w:t>’</w:t>
      </w:r>
      <w:r w:rsidRPr="004E7397">
        <w:t xml:space="preserve">). </w:t>
      </w:r>
    </w:p>
    <w:p w14:paraId="7B491D60" w14:textId="77777777" w:rsidR="00EC3DBD" w:rsidRDefault="00EC3DBD" w:rsidP="00EC3DBD">
      <w:pPr>
        <w:pStyle w:val="NoSpacing"/>
      </w:pPr>
    </w:p>
    <w:p w14:paraId="3EF8E915" w14:textId="77777777" w:rsidR="00EC3DBD" w:rsidRDefault="00EC3DBD" w:rsidP="00EC3DBD">
      <w:pPr>
        <w:pStyle w:val="NoSpacing"/>
      </w:pPr>
      <w:r>
        <w:t>***</w:t>
      </w:r>
    </w:p>
    <w:p w14:paraId="6E12922F" w14:textId="77777777" w:rsidR="00EC3DBD" w:rsidRDefault="00EC3DBD" w:rsidP="00EC3DBD">
      <w:pPr>
        <w:pStyle w:val="NoSpacing"/>
      </w:pPr>
      <w:r w:rsidRPr="008E3238">
        <w:t> After the assessment, Chief Tolman and Deputy Chief Harman totaled the evaluators' scores. The completed score sheets reflect that Plaintiff received a total score of 760 out of 1,200, while Boden received the highest total score, 957 out of 1,200</w:t>
      </w:r>
      <w:r>
        <w:t xml:space="preserve">…. </w:t>
      </w:r>
      <w:r w:rsidRPr="008E3238">
        <w:t xml:space="preserve"> According to Defendant, the promotion was offered to the candidate who received the highest score, and Deputy Chief Harman testified that </w:t>
      </w:r>
      <w:r>
        <w:t>‘</w:t>
      </w:r>
      <w:r w:rsidRPr="008E3238">
        <w:t>the past processes since ‘21 have all gone based off of the score</w:t>
      </w:r>
      <w:r>
        <w:t xml:space="preserve">’ …. </w:t>
      </w:r>
    </w:p>
    <w:p w14:paraId="597F00D2" w14:textId="77777777" w:rsidR="00EC3DBD" w:rsidRDefault="00EC3DBD" w:rsidP="00EC3DBD">
      <w:pPr>
        <w:pStyle w:val="NoSpacing"/>
      </w:pPr>
    </w:p>
    <w:p w14:paraId="784F59EB" w14:textId="77777777" w:rsidR="00EC3DBD" w:rsidRDefault="00EC3DBD" w:rsidP="00EC3DBD">
      <w:pPr>
        <w:pStyle w:val="NoSpacing"/>
        <w:rPr>
          <w:b/>
          <w:bCs/>
        </w:rPr>
      </w:pPr>
      <w:r w:rsidRPr="005C0BF8">
        <w:rPr>
          <w:b/>
        </w:rPr>
        <w:t xml:space="preserve">COURT HELD: </w:t>
      </w:r>
    </w:p>
    <w:p w14:paraId="17398037" w14:textId="77777777" w:rsidR="00EC3DBD" w:rsidRDefault="00EC3DBD" w:rsidP="00EC3DBD">
      <w:pPr>
        <w:pStyle w:val="NoSpacing"/>
        <w:rPr>
          <w:b/>
          <w:bCs/>
        </w:rPr>
      </w:pPr>
    </w:p>
    <w:p w14:paraId="13F86A91" w14:textId="77777777" w:rsidR="00EC3DBD" w:rsidRDefault="00EC3DBD" w:rsidP="00EC3DBD">
      <w:pPr>
        <w:pStyle w:val="NoSpacing"/>
      </w:pPr>
      <w:r>
        <w:t>“</w:t>
      </w:r>
      <w:r w:rsidRPr="004177CA">
        <w:t>Plaintiff testified that religion did not come up during the interview or testing process; no panelist raised religion during the process; Chief Tolman and Deputy Chief Harman never talked with him about his religion; he never raised religion with them; and he did not know whether Chief Tolman or Deputy Chief Harman knew his religion</w:t>
      </w:r>
      <w:r>
        <w:t xml:space="preserve"> …. </w:t>
      </w:r>
      <w:r w:rsidRPr="004177CA">
        <w:t xml:space="preserve"> Buehler testified that he was not aware of any applicant's religious affiliation or whether one applicant was affiliated religiously differently from the others, and that the scores he gave Plaintiff were not motivated by Plaintiff's religion or national origin</w:t>
      </w:r>
      <w:r>
        <w:t xml:space="preserve"> ….</w:t>
      </w:r>
      <w:r w:rsidRPr="004177CA">
        <w:t xml:space="preserve"> Hendrickson likewise testified she was not aware of the religion of any applicant and that the scores she gave Plaintiff were not motivated by Plaintiff's religion or national origin</w:t>
      </w:r>
      <w:r>
        <w:t xml:space="preserve"> ….</w:t>
      </w:r>
    </w:p>
    <w:p w14:paraId="3C1CF313" w14:textId="77777777" w:rsidR="00EC3DBD" w:rsidRDefault="00EC3DBD" w:rsidP="00EC3DBD">
      <w:pPr>
        <w:pStyle w:val="NoSpacing"/>
      </w:pPr>
    </w:p>
    <w:p w14:paraId="3DA5F4CC" w14:textId="77777777" w:rsidR="00EC3DBD" w:rsidRDefault="00EC3DBD" w:rsidP="00EC3DBD">
      <w:pPr>
        <w:pStyle w:val="NoSpacing"/>
      </w:pPr>
      <w:r>
        <w:t>***</w:t>
      </w:r>
    </w:p>
    <w:p w14:paraId="22AD083C" w14:textId="77777777" w:rsidR="00EC3DBD" w:rsidRPr="004177CA" w:rsidRDefault="00EC3DBD" w:rsidP="00EC3DBD">
      <w:pPr>
        <w:pStyle w:val="NoSpacing"/>
      </w:pPr>
    </w:p>
    <w:p w14:paraId="63219C45" w14:textId="77777777" w:rsidR="00EC3DBD" w:rsidRDefault="00EC3DBD" w:rsidP="00EC3DBD">
      <w:pPr>
        <w:pStyle w:val="NoSpacing"/>
      </w:pPr>
      <w:r w:rsidRPr="005D6029">
        <w:t>For these reasons, the scoring evidence does not create a triable issue of discriminatory pretext. Even if a reasonable jury could find that subjective judgment, evaluator harshness, or favoritism influenced the process, Plaintiff has not identified evidence permitting a reasonable jury to find that race, religion, Catholic status, or non-LDS status was one of the motivating factors. On this record, Plaintiff has not identified sufficient admissible evidence from which a reasonable jury could infer Defendant's stated explanation is false or motivated by a discriminatory purpose.</w:t>
      </w:r>
    </w:p>
    <w:p w14:paraId="1B74DEEE" w14:textId="77777777" w:rsidR="00EC3DBD" w:rsidRDefault="00EC3DBD" w:rsidP="00EC3DBD">
      <w:pPr>
        <w:pStyle w:val="NoSpacing"/>
      </w:pPr>
    </w:p>
    <w:p w14:paraId="6D991E75" w14:textId="77777777" w:rsidR="00EC3DBD" w:rsidRDefault="00EC3DBD" w:rsidP="00EC3DBD">
      <w:pPr>
        <w:pStyle w:val="NoSpacing"/>
      </w:pPr>
      <w:r>
        <w:t>***</w:t>
      </w:r>
    </w:p>
    <w:p w14:paraId="26327214" w14:textId="77777777" w:rsidR="00EC3DBD" w:rsidRDefault="00EC3DBD" w:rsidP="00EC3DBD">
      <w:pPr>
        <w:pStyle w:val="NoSpacing"/>
      </w:pPr>
      <w:r w:rsidRPr="00391FBA">
        <w:t>Considered cumulatively, Plaintiff's evidence shows a discretionary process, a small leadership pool with limited Hispanic and non-LDS representation, sharp evaluator disparities, and Plaintiff's perception that Hispanic firefighters received less recognition. That evidence is sufficient to require careful review, but it remains insufficient to permit a reasonable jury to find that Defendant's score-based explanation was false or that the June 2022 decision was motivated by race or religion.</w:t>
      </w:r>
    </w:p>
    <w:p w14:paraId="784F419A" w14:textId="77777777" w:rsidR="00EC3DBD" w:rsidRDefault="00EC3DBD" w:rsidP="00EC3DBD">
      <w:pPr>
        <w:pStyle w:val="NoSpacing"/>
      </w:pPr>
    </w:p>
    <w:p w14:paraId="1394B712" w14:textId="77777777" w:rsidR="00EC3DBD" w:rsidRPr="00AF0956" w:rsidRDefault="00EC3DBD" w:rsidP="00EC3DBD">
      <w:pPr>
        <w:pStyle w:val="NoSpacing"/>
        <w:rPr>
          <w:b/>
          <w:bCs/>
        </w:rPr>
      </w:pPr>
      <w:r>
        <w:rPr>
          <w:b/>
        </w:rPr>
        <w:t xml:space="preserve">Legal lesson learned: Assessment Centers are an excellent tool in the promotion process. </w:t>
      </w:r>
    </w:p>
    <w:p w14:paraId="4B3FE669" w14:textId="77777777" w:rsidR="00EC3DBD" w:rsidRDefault="00EC3DBD" w:rsidP="00EC3DBD">
      <w:pPr>
        <w:pStyle w:val="NoSpacing"/>
      </w:pPr>
    </w:p>
    <w:p w14:paraId="6D771ED0" w14:textId="77777777" w:rsidR="00EC3DBD" w:rsidRDefault="00EC3DBD" w:rsidP="00EC3DBD">
      <w:pPr>
        <w:pStyle w:val="NoSpacing"/>
        <w:rPr>
          <w:sz w:val="20"/>
          <w:szCs w:val="20"/>
        </w:rPr>
      </w:pPr>
    </w:p>
    <w:p w14:paraId="0DE5F525" w14:textId="77777777" w:rsidR="00EC3DBD" w:rsidRDefault="00EC3DBD" w:rsidP="00EC3DBD">
      <w:pPr>
        <w:pStyle w:val="NoSpacing"/>
        <w:rPr>
          <w:sz w:val="20"/>
          <w:szCs w:val="20"/>
        </w:rPr>
      </w:pPr>
    </w:p>
    <w:p w14:paraId="49FA4F5A" w14:textId="77777777" w:rsidR="00EC3DBD" w:rsidRDefault="00EC3DBD" w:rsidP="00EC3DBD">
      <w:pPr>
        <w:rPr>
          <w:b/>
          <w:bCs/>
        </w:rPr>
      </w:pPr>
      <w:r w:rsidRPr="00F922D6">
        <w:rPr>
          <w:sz w:val="20"/>
          <w:szCs w:val="20"/>
        </w:rPr>
        <w:t>Chap. 8 – Race / National Origin Discrimination</w:t>
      </w:r>
    </w:p>
    <w:p w14:paraId="22C31167" w14:textId="77777777" w:rsidR="00EC3DBD" w:rsidRPr="00AB57EE" w:rsidRDefault="00EC3DBD" w:rsidP="00EC3DBD">
      <w:pPr>
        <w:rPr>
          <w:rFonts w:ascii="Arial Black" w:hAnsi="Arial Black"/>
          <w:b/>
          <w:bCs/>
          <w:sz w:val="28"/>
          <w:szCs w:val="28"/>
        </w:rPr>
      </w:pPr>
      <w:r>
        <w:rPr>
          <w:rFonts w:ascii="Arial Black" w:hAnsi="Arial Black"/>
          <w:b/>
          <w:sz w:val="28"/>
          <w:szCs w:val="28"/>
        </w:rPr>
        <w:t xml:space="preserve">IL: BLACK – FIRED – DROP STATE CASE / CAN PROCEED FED  </w:t>
      </w:r>
    </w:p>
    <w:p w14:paraId="307F70DD" w14:textId="77777777" w:rsidR="00EC3DBD" w:rsidRDefault="00EC3DBD" w:rsidP="00EC3DBD">
      <w:pPr>
        <w:rPr>
          <w:b/>
          <w:bCs/>
        </w:rPr>
      </w:pPr>
      <w:r>
        <w:t xml:space="preserve">On June 8, 2026, in </w:t>
      </w:r>
      <w:proofErr w:type="spellStart"/>
      <w:r w:rsidRPr="00D53D61">
        <w:rPr>
          <w:u w:val="single"/>
        </w:rPr>
        <w:t>Vairrun</w:t>
      </w:r>
      <w:proofErr w:type="spellEnd"/>
      <w:r w:rsidRPr="00D53D61">
        <w:rPr>
          <w:u w:val="single"/>
        </w:rPr>
        <w:t xml:space="preserve"> Strickland v</w:t>
      </w:r>
      <w:r>
        <w:rPr>
          <w:u w:val="single"/>
        </w:rPr>
        <w:t>.</w:t>
      </w:r>
      <w:r w:rsidRPr="00D53D61">
        <w:rPr>
          <w:u w:val="single"/>
        </w:rPr>
        <w:t xml:space="preserve"> City of Markham, et al</w:t>
      </w:r>
      <w:r>
        <w:t xml:space="preserve">., the United States Court of Appeals for the Seventh District (Chicago) held (3 to 0) that trial court improperly dismissed his federal Title VII case alleging retaliation - </w:t>
      </w:r>
      <w:r w:rsidRPr="00036255">
        <w:t>singling him out for minor disciplinary issues and denying</w:t>
      </w:r>
      <w:r>
        <w:t xml:space="preserve"> </w:t>
      </w:r>
      <w:r w:rsidRPr="00036255">
        <w:t>him a promotion</w:t>
      </w:r>
      <w:r>
        <w:t xml:space="preserve"> when he supported another FF’s EEOC case. Case to continue in federal court even though voluntarily dismissed his lawsuit in state court. The Court wrote: “</w:t>
      </w:r>
      <w:r w:rsidRPr="009B102D">
        <w:t>The district</w:t>
      </w:r>
      <w:r>
        <w:t xml:space="preserve"> </w:t>
      </w:r>
      <w:r w:rsidRPr="009B102D">
        <w:t>court thus erred in dismissing Strickland’s Title VII claims on</w:t>
      </w:r>
      <w:r>
        <w:t xml:space="preserve"> </w:t>
      </w:r>
      <w:r w:rsidRPr="009B102D">
        <w:t>claim preclusion grounds</w:t>
      </w:r>
      <w:r>
        <w:t xml:space="preserve">.” </w:t>
      </w:r>
      <w:hyperlink r:id="rId1493" w:history="1">
        <w:r w:rsidRPr="00014504">
          <w:rPr>
            <w:rStyle w:val="Hyperlink"/>
            <w:b/>
          </w:rPr>
          <w:t>https://cases.justia.com/federal/appellate-courts/ca7/24-3262/24-3262-2026-06-08.pdf?ts=1780948846</w:t>
        </w:r>
      </w:hyperlink>
      <w:r>
        <w:rPr>
          <w:b/>
        </w:rPr>
        <w:t xml:space="preserve"> </w:t>
      </w:r>
    </w:p>
    <w:p w14:paraId="24199CF6" w14:textId="77777777" w:rsidR="00EC3DBD" w:rsidRDefault="00EC3DBD" w:rsidP="00EC3DBD">
      <w:pPr>
        <w:pStyle w:val="NoSpacing"/>
        <w:rPr>
          <w:bCs/>
        </w:rPr>
      </w:pPr>
      <w:r w:rsidRPr="00AB37D4">
        <w:rPr>
          <w:b/>
        </w:rPr>
        <w:lastRenderedPageBreak/>
        <w:t>FACTS:</w:t>
      </w:r>
      <w:r>
        <w:t xml:space="preserve"> </w:t>
      </w:r>
    </w:p>
    <w:p w14:paraId="05A75892" w14:textId="77777777" w:rsidR="00EC3DBD" w:rsidRDefault="00EC3DBD" w:rsidP="00EC3DBD">
      <w:pPr>
        <w:pStyle w:val="NoSpacing"/>
        <w:rPr>
          <w:bCs/>
        </w:rPr>
      </w:pPr>
    </w:p>
    <w:p w14:paraId="7FFD8C49" w14:textId="77777777" w:rsidR="00EC3DBD" w:rsidRPr="00B74B2A" w:rsidRDefault="00EC3DBD" w:rsidP="00EC3DBD">
      <w:pPr>
        <w:pStyle w:val="NoSpacing"/>
        <w:rPr>
          <w:bCs/>
        </w:rPr>
      </w:pPr>
      <w:r>
        <w:t>“</w:t>
      </w:r>
      <w:r w:rsidRPr="00131A6D">
        <w:t>Strickland worked as a firefighter for the City of Markham</w:t>
      </w:r>
      <w:r>
        <w:t xml:space="preserve"> </w:t>
      </w:r>
      <w:r w:rsidRPr="00131A6D">
        <w:t>Fire Department for over a decade. In 2020, the Equal</w:t>
      </w:r>
      <w:r>
        <w:t xml:space="preserve"> </w:t>
      </w:r>
      <w:r w:rsidRPr="00036255">
        <w:t>Employment Opportunity Commission interviewed</w:t>
      </w:r>
      <w:r>
        <w:t xml:space="preserve"> </w:t>
      </w:r>
      <w:r w:rsidRPr="00036255">
        <w:t>Strickland during an investigation into discrimination claims</w:t>
      </w:r>
      <w:r>
        <w:t xml:space="preserve"> </w:t>
      </w:r>
      <w:r w:rsidRPr="00036255">
        <w:t>brought by a former firefighter. In the interview, Strickland</w:t>
      </w:r>
      <w:r>
        <w:t xml:space="preserve"> </w:t>
      </w:r>
      <w:r w:rsidRPr="00036255">
        <w:t>described race-based discrimination he had witnessed against</w:t>
      </w:r>
      <w:r>
        <w:t xml:space="preserve"> </w:t>
      </w:r>
      <w:r w:rsidRPr="00036255">
        <w:t>the former firefighter and how Chief Mazziotta had failed to</w:t>
      </w:r>
      <w:r>
        <w:t xml:space="preserve"> </w:t>
      </w:r>
      <w:r w:rsidRPr="00036255">
        <w:t>address it. Strickland alleged that after the interview, Chief</w:t>
      </w:r>
      <w:r>
        <w:t xml:space="preserve"> </w:t>
      </w:r>
      <w:r w:rsidRPr="00036255">
        <w:t>Mazziotta and the Department retaliated against him by</w:t>
      </w:r>
      <w:r>
        <w:t xml:space="preserve"> </w:t>
      </w:r>
      <w:proofErr w:type="gramStart"/>
      <w:r w:rsidRPr="00036255">
        <w:t>singling</w:t>
      </w:r>
      <w:proofErr w:type="gramEnd"/>
      <w:r w:rsidRPr="00036255">
        <w:t xml:space="preserve"> him out for minor disciplinary issues and denying</w:t>
      </w:r>
      <w:r>
        <w:t xml:space="preserve"> </w:t>
      </w:r>
      <w:r w:rsidRPr="00036255">
        <w:t>him a promotion.</w:t>
      </w:r>
      <w:r>
        <w:t xml:space="preserve"> </w:t>
      </w:r>
      <w:r w:rsidRPr="00036255">
        <w:t>In January 2021, the Department brought administrative</w:t>
      </w:r>
      <w:r>
        <w:t xml:space="preserve"> </w:t>
      </w:r>
      <w:r w:rsidRPr="00036255">
        <w:t>charges against Strickland. After hearings on the charges, the</w:t>
      </w:r>
      <w:r>
        <w:t xml:space="preserve"> </w:t>
      </w:r>
      <w:r w:rsidRPr="00036255">
        <w:t>Board of Fire and Police Commissioners terminated his</w:t>
      </w:r>
      <w:r>
        <w:t xml:space="preserve"> </w:t>
      </w:r>
      <w:r w:rsidRPr="00036255">
        <w:t>employment in April 2021, finding that Strickland had lied to</w:t>
      </w:r>
      <w:r>
        <w:t xml:space="preserve"> </w:t>
      </w:r>
      <w:r w:rsidRPr="00036255">
        <w:t>detectives during an arson investigation and had put</w:t>
      </w:r>
      <w:r>
        <w:t xml:space="preserve"> </w:t>
      </w:r>
      <w:r w:rsidRPr="00036255">
        <w:t>Department employees at risk by coming to work while</w:t>
      </w:r>
      <w:r>
        <w:t xml:space="preserve"> </w:t>
      </w:r>
      <w:r w:rsidRPr="00036255">
        <w:t>infected with COVID-19.</w:t>
      </w:r>
      <w:r>
        <w:t xml:space="preserve">  </w:t>
      </w:r>
      <w:r w:rsidRPr="00B74B2A">
        <w:t>The next month, Strickland filed a lawsuit in state court</w:t>
      </w:r>
    </w:p>
    <w:p w14:paraId="3CFBD603" w14:textId="77777777" w:rsidR="00EC3DBD" w:rsidRDefault="00EC3DBD" w:rsidP="00EC3DBD">
      <w:pPr>
        <w:pStyle w:val="NoSpacing"/>
        <w:rPr>
          <w:bCs/>
        </w:rPr>
      </w:pPr>
      <w:r w:rsidRPr="00B74B2A">
        <w:t xml:space="preserve">challenging the Board’s decision. The court </w:t>
      </w:r>
      <w:proofErr w:type="gramStart"/>
      <w:r w:rsidRPr="00B74B2A">
        <w:t>remanded</w:t>
      </w:r>
      <w:proofErr w:type="gramEnd"/>
      <w:r w:rsidRPr="00B74B2A">
        <w:t xml:space="preserve"> while</w:t>
      </w:r>
      <w:r>
        <w:t xml:space="preserve"> </w:t>
      </w:r>
      <w:r w:rsidRPr="00B74B2A">
        <w:t>retaining jurisdiction over the case and instructed the Board</w:t>
      </w:r>
      <w:r>
        <w:t xml:space="preserve"> </w:t>
      </w:r>
      <w:r w:rsidRPr="00B74B2A">
        <w:t>to enter an amended decision with additional information.</w:t>
      </w:r>
      <w:r>
        <w:t xml:space="preserve"> </w:t>
      </w:r>
      <w:r w:rsidRPr="00B74B2A">
        <w:t>The Board did so and again discharged Strickland. After the</w:t>
      </w:r>
      <w:r>
        <w:t xml:space="preserve"> </w:t>
      </w:r>
      <w:r w:rsidRPr="00B74B2A">
        <w:t>Board issued its amended decision in April 2022, Strickland</w:t>
      </w:r>
      <w:r>
        <w:t xml:space="preserve"> </w:t>
      </w:r>
      <w:r w:rsidRPr="00B74B2A">
        <w:t>voluntarily dismissed his state-court lawsuit. He did not</w:t>
      </w:r>
      <w:r>
        <w:t xml:space="preserve"> </w:t>
      </w:r>
      <w:r w:rsidRPr="00B74B2A">
        <w:t>otherwise seek direct review of the amended decision in state</w:t>
      </w:r>
      <w:r>
        <w:t xml:space="preserve"> </w:t>
      </w:r>
      <w:r w:rsidRPr="00B74B2A">
        <w:t>court.</w:t>
      </w:r>
      <w:r>
        <w:t>”</w:t>
      </w:r>
    </w:p>
    <w:p w14:paraId="244E16EB" w14:textId="77777777" w:rsidR="00EC3DBD" w:rsidRDefault="00EC3DBD" w:rsidP="00EC3DBD">
      <w:pPr>
        <w:pStyle w:val="NoSpacing"/>
        <w:rPr>
          <w:bCs/>
        </w:rPr>
      </w:pPr>
    </w:p>
    <w:p w14:paraId="62D20970" w14:textId="77777777" w:rsidR="00EC3DBD" w:rsidRDefault="00EC3DBD" w:rsidP="00EC3DBD">
      <w:pPr>
        <w:pStyle w:val="NoSpacing"/>
        <w:rPr>
          <w:bCs/>
        </w:rPr>
      </w:pPr>
      <w:r w:rsidRPr="00AB37D4">
        <w:rPr>
          <w:b/>
        </w:rPr>
        <w:t>COURT HELD:</w:t>
      </w:r>
      <w:r>
        <w:t xml:space="preserve"> </w:t>
      </w:r>
    </w:p>
    <w:p w14:paraId="2EC10640" w14:textId="77777777" w:rsidR="00EC3DBD" w:rsidRDefault="00EC3DBD" w:rsidP="00EC3DBD">
      <w:pPr>
        <w:pStyle w:val="NoSpacing"/>
        <w:rPr>
          <w:bCs/>
        </w:rPr>
      </w:pPr>
    </w:p>
    <w:p w14:paraId="3E1982B1" w14:textId="77777777" w:rsidR="00EC3DBD" w:rsidRDefault="00EC3DBD" w:rsidP="00EC3DBD">
      <w:pPr>
        <w:pStyle w:val="NoSpacing"/>
        <w:rPr>
          <w:bCs/>
        </w:rPr>
      </w:pPr>
      <w:r>
        <w:t>“</w:t>
      </w:r>
      <w:r w:rsidRPr="000C51C9">
        <w:t>Strickland argues that the court improperly</w:t>
      </w:r>
      <w:r>
        <w:t xml:space="preserve"> </w:t>
      </w:r>
      <w:r w:rsidRPr="000C51C9">
        <w:t>rested the first element on the Board’s decision and resolved</w:t>
      </w:r>
      <w:r>
        <w:t xml:space="preserve"> </w:t>
      </w:r>
      <w:r w:rsidRPr="000C51C9">
        <w:t>the other questions based on the state suit. He maintains that</w:t>
      </w:r>
      <w:r>
        <w:t xml:space="preserve"> </w:t>
      </w:r>
      <w:r w:rsidRPr="000C51C9">
        <w:t>administrative proceedings and state-court judgments should</w:t>
      </w:r>
      <w:r>
        <w:t xml:space="preserve"> </w:t>
      </w:r>
      <w:r w:rsidRPr="000C51C9">
        <w:t>be evaluated differently for purposes of claim preclusion.</w:t>
      </w:r>
      <w:r>
        <w:t xml:space="preserve"> </w:t>
      </w:r>
      <w:r w:rsidRPr="000C51C9">
        <w:t>Strickland is partially correct that the administrative</w:t>
      </w:r>
      <w:r>
        <w:t xml:space="preserve"> </w:t>
      </w:r>
      <w:r w:rsidRPr="000C51C9">
        <w:t>proceedings and state litigation cannot be treated as</w:t>
      </w:r>
      <w:r>
        <w:t xml:space="preserve"> </w:t>
      </w:r>
      <w:r w:rsidRPr="000C51C9">
        <w:t>equivalents. The Supreme Court’s decisions on the federal</w:t>
      </w:r>
      <w:r>
        <w:t xml:space="preserve"> </w:t>
      </w:r>
      <w:r w:rsidRPr="000C51C9">
        <w:t>law of preclusion distinguish between state-court judgments</w:t>
      </w:r>
      <w:r>
        <w:t xml:space="preserve"> </w:t>
      </w:r>
      <w:r w:rsidRPr="000C51C9">
        <w:t>and administrative decisions, particularly as applied to Title</w:t>
      </w:r>
      <w:r>
        <w:t xml:space="preserve"> </w:t>
      </w:r>
      <w:r w:rsidRPr="000C51C9">
        <w:t>VII claims</w:t>
      </w:r>
      <w:r>
        <w:t xml:space="preserve">…. </w:t>
      </w:r>
      <w:r w:rsidRPr="009B102D">
        <w:t>The district</w:t>
      </w:r>
      <w:r>
        <w:t xml:space="preserve"> </w:t>
      </w:r>
      <w:r w:rsidRPr="009B102D">
        <w:t>court thus erred in dismissing Strickland’s Title VII claims on</w:t>
      </w:r>
      <w:r>
        <w:t xml:space="preserve"> </w:t>
      </w:r>
      <w:r w:rsidRPr="009B102D">
        <w:t>claim preclusion grounds.</w:t>
      </w:r>
      <w:r>
        <w:t>”</w:t>
      </w:r>
    </w:p>
    <w:p w14:paraId="73B7980A" w14:textId="77777777" w:rsidR="00EC3DBD" w:rsidRDefault="00EC3DBD" w:rsidP="00EC3DBD">
      <w:pPr>
        <w:pStyle w:val="NoSpacing"/>
        <w:rPr>
          <w:bCs/>
        </w:rPr>
      </w:pPr>
    </w:p>
    <w:p w14:paraId="6550AC5F" w14:textId="77777777" w:rsidR="00EC3DBD" w:rsidRPr="00FD2071" w:rsidRDefault="00EC3DBD" w:rsidP="00EC3DBD">
      <w:pPr>
        <w:pStyle w:val="NoSpacing"/>
        <w:rPr>
          <w:b/>
        </w:rPr>
      </w:pPr>
      <w:r>
        <w:rPr>
          <w:b/>
        </w:rPr>
        <w:t xml:space="preserve">Legal lesson learned: Title VII claims may proceed in federal court, even if firefighter voluntarily dropped his state court case. </w:t>
      </w:r>
    </w:p>
    <w:p w14:paraId="60664028" w14:textId="77777777" w:rsidR="00EC3DBD" w:rsidRDefault="00EC3DBD" w:rsidP="007265BA">
      <w:pPr>
        <w:pStyle w:val="NoSpacing"/>
        <w:rPr>
          <w:b/>
          <w:bCs/>
        </w:rPr>
      </w:pPr>
    </w:p>
    <w:p w14:paraId="108BCFDE" w14:textId="77777777" w:rsidR="007265BA" w:rsidRDefault="007265BA" w:rsidP="009B3A7B">
      <w:pPr>
        <w:rPr>
          <w:rFonts w:ascii="Arial Black" w:hAnsi="Arial Black"/>
          <w:b/>
          <w:sz w:val="24"/>
          <w:szCs w:val="24"/>
        </w:rPr>
      </w:pPr>
    </w:p>
    <w:p w14:paraId="77D37243" w14:textId="77777777" w:rsidR="007265BA" w:rsidRDefault="007265BA" w:rsidP="009B3A7B">
      <w:pPr>
        <w:rPr>
          <w:rFonts w:ascii="Arial Black" w:hAnsi="Arial Black"/>
          <w:b/>
          <w:sz w:val="24"/>
          <w:szCs w:val="24"/>
        </w:rPr>
      </w:pPr>
    </w:p>
    <w:p w14:paraId="1C9AE547" w14:textId="77777777" w:rsidR="007265BA" w:rsidRDefault="007265BA" w:rsidP="009B3A7B">
      <w:pPr>
        <w:rPr>
          <w:rFonts w:ascii="Arial Black" w:hAnsi="Arial Black"/>
          <w:b/>
          <w:sz w:val="24"/>
          <w:szCs w:val="24"/>
        </w:rPr>
      </w:pPr>
    </w:p>
    <w:p w14:paraId="03A2A792" w14:textId="05D37778" w:rsidR="009B3A7B" w:rsidRDefault="009B3A7B" w:rsidP="009B3A7B">
      <w:pPr>
        <w:rPr>
          <w:rFonts w:ascii="Arial Black" w:hAnsi="Arial Black"/>
          <w:sz w:val="28"/>
          <w:szCs w:val="28"/>
        </w:rPr>
      </w:pPr>
      <w:r>
        <w:rPr>
          <w:rFonts w:ascii="Arial Black" w:hAnsi="Arial Black"/>
          <w:b/>
          <w:sz w:val="24"/>
          <w:szCs w:val="24"/>
        </w:rPr>
        <w:t>8-89</w:t>
      </w:r>
    </w:p>
    <w:p w14:paraId="67201691" w14:textId="5C99641E" w:rsidR="00EA21DB" w:rsidRPr="001A4A62" w:rsidRDefault="00EA21DB" w:rsidP="00EA21DB">
      <w:pPr>
        <w:pStyle w:val="NoSpacing"/>
        <w:rPr>
          <w:rFonts w:ascii="Arial Black" w:hAnsi="Arial Black"/>
          <w:sz w:val="28"/>
          <w:szCs w:val="28"/>
        </w:rPr>
      </w:pPr>
      <w:r>
        <w:rPr>
          <w:rFonts w:ascii="Arial Black" w:hAnsi="Arial Black"/>
          <w:sz w:val="28"/>
          <w:szCs w:val="28"/>
        </w:rPr>
        <w:t xml:space="preserve">U.S. SUP. CT: VOTING - “RACIAL GERRYMANDERING” </w:t>
      </w:r>
    </w:p>
    <w:p w14:paraId="550E9DD4" w14:textId="77777777" w:rsidR="00EA21DB" w:rsidRDefault="00EA21DB" w:rsidP="00EA21DB">
      <w:pPr>
        <w:pStyle w:val="NoSpacing"/>
      </w:pPr>
    </w:p>
    <w:p w14:paraId="2CC9B019" w14:textId="77777777" w:rsidR="00EA21DB" w:rsidRDefault="00EA21DB" w:rsidP="00EA21DB">
      <w:pPr>
        <w:pStyle w:val="NoSpacing"/>
      </w:pPr>
      <w:r>
        <w:t xml:space="preserve">On April 29, 2026, in </w:t>
      </w:r>
      <w:r w:rsidRPr="004E1D28">
        <w:rPr>
          <w:u w:val="single"/>
        </w:rPr>
        <w:t xml:space="preserve">Louisiana v. </w:t>
      </w:r>
      <w:r>
        <w:rPr>
          <w:u w:val="single"/>
        </w:rPr>
        <w:t xml:space="preserve">Phillip </w:t>
      </w:r>
      <w:r w:rsidRPr="004E1D28">
        <w:rPr>
          <w:u w:val="single"/>
        </w:rPr>
        <w:t>Callais, et al</w:t>
      </w:r>
      <w:r>
        <w:t xml:space="preserve">., the U.S. Supreme Court held (6 to 3) that the Louisiana Legislature improperly created a second majority-black congressional voting district. It is predicted that the decision will result in a new map that likely will cost </w:t>
      </w:r>
      <w:r w:rsidRPr="00AC6148">
        <w:t>Democrats at least one seat in Congress. </w:t>
      </w:r>
    </w:p>
    <w:p w14:paraId="50758001" w14:textId="77777777" w:rsidR="00EA21DB" w:rsidRDefault="00EA21DB" w:rsidP="00EA21DB">
      <w:pPr>
        <w:pStyle w:val="NoSpacing"/>
      </w:pPr>
    </w:p>
    <w:p w14:paraId="46BC86CC" w14:textId="77777777" w:rsidR="00EA21DB" w:rsidRDefault="00EA21DB" w:rsidP="00EA21DB">
      <w:pPr>
        <w:pStyle w:val="NoSpacing"/>
      </w:pPr>
      <w:r>
        <w:t xml:space="preserve">In 2022, a federal judge in Louisiana held 5-days of hearing on a new congressional map written </w:t>
      </w:r>
    </w:p>
    <w:p w14:paraId="498C112E" w14:textId="77777777" w:rsidR="00EA21DB" w:rsidRDefault="00EA21DB" w:rsidP="00EA21DB">
      <w:pPr>
        <w:pStyle w:val="NoSpacing"/>
      </w:pPr>
      <w:r>
        <w:t xml:space="preserve">after the 2020 census.  He determined that the new map improperly kept in place only the one majority-black district [created in 1983], and ordered a new map be drawn </w:t>
      </w:r>
      <w:proofErr w:type="gramStart"/>
      <w:r>
        <w:t>per</w:t>
      </w:r>
      <w:proofErr w:type="gramEnd"/>
      <w:r>
        <w:t xml:space="preserve"> the Voting Rights Act of 1965.  The second map created a second majority-black district, which stretches “some 250 miles from Shreveport in the northwest corner of the state to Baton Rouge in southeast Louisiana, slicing through metropolitan areas to scoop up pockets of predominantly Black populations from Shreveport, Alexandria, Lafayette, and Baton Rouge.”   A three-judge court found the second map was unconstitutional “racial gerrymander.”  The U.S. Supreme Court’s six majority Justices agreed with three-judge court.  </w:t>
      </w:r>
      <w:hyperlink r:id="rId1494" w:history="1">
        <w:r w:rsidRPr="00A02756">
          <w:rPr>
            <w:rStyle w:val="Hyperlink"/>
          </w:rPr>
          <w:t>https://www.supremecourt.gov/opinions/25pdf/24-109_21o3.pdf</w:t>
        </w:r>
      </w:hyperlink>
      <w:r>
        <w:t xml:space="preserve"> </w:t>
      </w:r>
    </w:p>
    <w:p w14:paraId="1D7C0015" w14:textId="77777777" w:rsidR="00EA21DB" w:rsidRDefault="00EA21DB" w:rsidP="00EA21DB">
      <w:pPr>
        <w:pStyle w:val="NoSpacing"/>
      </w:pPr>
    </w:p>
    <w:p w14:paraId="391BEE76" w14:textId="77777777" w:rsidR="00EA21DB" w:rsidRDefault="00EA21DB" w:rsidP="00EA21DB">
      <w:pPr>
        <w:pStyle w:val="NoSpacing"/>
      </w:pPr>
    </w:p>
    <w:p w14:paraId="7F97ED9E" w14:textId="77777777" w:rsidR="00EA21DB" w:rsidRDefault="00EA21DB" w:rsidP="00EA21DB">
      <w:pPr>
        <w:pStyle w:val="NoSpacing"/>
      </w:pPr>
      <w:r>
        <w:lastRenderedPageBreak/>
        <w:t>THE COURT HELD: (opinion by Justice Samuel Alito):</w:t>
      </w:r>
    </w:p>
    <w:p w14:paraId="0283D4EB" w14:textId="77777777" w:rsidR="00EA21DB" w:rsidRDefault="00EA21DB" w:rsidP="00EA21DB">
      <w:pPr>
        <w:pStyle w:val="NoSpacing"/>
      </w:pPr>
    </w:p>
    <w:p w14:paraId="168BDB12" w14:textId="77777777" w:rsidR="00EA21DB" w:rsidRDefault="00EA21DB" w:rsidP="00EA21DB">
      <w:pPr>
        <w:pStyle w:val="NoSpacing"/>
        <w:ind w:left="720"/>
      </w:pPr>
      <w:r>
        <w:t xml:space="preserve">“Section 2 of the Voting Rights Act of 1965, 52 U. S. C. §10301 et seq., was designed to enforce the Constitution— not collide with it. Unfortunately, lower courts have </w:t>
      </w:r>
    </w:p>
    <w:p w14:paraId="0E5FEEA7" w14:textId="77777777" w:rsidR="00EA21DB" w:rsidRDefault="00EA21DB" w:rsidP="00EA21DB">
      <w:pPr>
        <w:pStyle w:val="NoSpacing"/>
        <w:ind w:left="720"/>
      </w:pPr>
      <w:r>
        <w:t>sometimes applied this Court’s §2 precedents in a way that forces States to engage in the very race-based discrimination that the Constitution forbids…. {A]</w:t>
      </w:r>
      <w:proofErr w:type="spellStart"/>
      <w:r>
        <w:t>llowing</w:t>
      </w:r>
      <w:proofErr w:type="spellEnd"/>
      <w:r>
        <w:t xml:space="preserve"> race to play any part in government decision making represents a departure from the constitutional rule that applies in almost every other context…. Compliance with §2 [of Voting Rights Act] thus could not justify the State’s use of race-based redistricting here. The State’s attempt to satisfy the [federal judge’s] ruling, although understandable, was an unconstitutional racial gerrymander….” </w:t>
      </w:r>
      <w:hyperlink r:id="rId1495" w:history="1">
        <w:r w:rsidRPr="00A02756">
          <w:rPr>
            <w:rStyle w:val="Hyperlink"/>
          </w:rPr>
          <w:t>https://www.supremecourt.gov/opinions/25pdf/24-109_21o3.pdf</w:t>
        </w:r>
      </w:hyperlink>
      <w:r>
        <w:t xml:space="preserve"> </w:t>
      </w:r>
    </w:p>
    <w:p w14:paraId="11532E20" w14:textId="77777777" w:rsidR="00EA21DB" w:rsidRDefault="00EA21DB" w:rsidP="00EA21DB">
      <w:pPr>
        <w:pStyle w:val="NoSpacing"/>
      </w:pPr>
    </w:p>
    <w:p w14:paraId="3F1D309B" w14:textId="77777777" w:rsidR="00EA21DB" w:rsidRDefault="00EA21DB" w:rsidP="00EA21DB">
      <w:pPr>
        <w:pStyle w:val="NoSpacing"/>
      </w:pPr>
    </w:p>
    <w:p w14:paraId="5DDE7FE0" w14:textId="77777777" w:rsidR="00EA21DB" w:rsidRDefault="00EA21DB" w:rsidP="00EA21DB">
      <w:pPr>
        <w:pStyle w:val="NoSpacing"/>
      </w:pPr>
      <w:r>
        <w:t xml:space="preserve">JUSTICE THOMAS [Concurring opinion]: </w:t>
      </w:r>
    </w:p>
    <w:p w14:paraId="3BDC9ED9" w14:textId="77777777" w:rsidR="00EA21DB" w:rsidRDefault="00EA21DB" w:rsidP="00EA21DB">
      <w:pPr>
        <w:pStyle w:val="NoSpacing"/>
        <w:ind w:left="720"/>
      </w:pPr>
    </w:p>
    <w:p w14:paraId="19C6C8F2" w14:textId="77777777" w:rsidR="00EA21DB" w:rsidRDefault="00EA21DB" w:rsidP="00EA21DB">
      <w:pPr>
        <w:pStyle w:val="NoSpacing"/>
        <w:ind w:left="720"/>
      </w:pPr>
      <w:r>
        <w:t xml:space="preserve">“I join the Court’s opinion in full. This Court should never have interpreted §2 of the Voting Rights Act of 1965 to effectively give racial groups ‘an entitlement to roughly proportional representation.’….   Today’s decision </w:t>
      </w:r>
      <w:proofErr w:type="gramStart"/>
      <w:r>
        <w:t>should largely</w:t>
      </w:r>
      <w:proofErr w:type="gramEnd"/>
      <w:r>
        <w:t xml:space="preserve"> put an end to this</w:t>
      </w:r>
    </w:p>
    <w:p w14:paraId="7A17A4C8" w14:textId="77777777" w:rsidR="00EA21DB" w:rsidRDefault="00EA21DB" w:rsidP="00EA21DB">
      <w:pPr>
        <w:pStyle w:val="NoSpacing"/>
        <w:ind w:left="720"/>
      </w:pPr>
      <w:r>
        <w:t>“</w:t>
      </w:r>
      <w:proofErr w:type="gramStart"/>
      <w:r>
        <w:t>disastrous</w:t>
      </w:r>
      <w:proofErr w:type="gramEnd"/>
      <w:r>
        <w:t xml:space="preserve"> misadventure” in voting-rights jurisprudence…. As I explained more than 30 years ago, I would go further and hold that §2 of the Voting Rights Act does not regulate districting at all.”</w:t>
      </w:r>
    </w:p>
    <w:p w14:paraId="781987AF" w14:textId="77777777" w:rsidR="00EA21DB" w:rsidRDefault="00EA21DB" w:rsidP="00EA21DB">
      <w:pPr>
        <w:pStyle w:val="NoSpacing"/>
      </w:pPr>
    </w:p>
    <w:p w14:paraId="06774EAC" w14:textId="77777777" w:rsidR="00EA21DB" w:rsidRDefault="00EA21DB" w:rsidP="00EA21DB">
      <w:pPr>
        <w:pStyle w:val="NoSpacing"/>
      </w:pPr>
      <w:r>
        <w:t xml:space="preserve">DISSENT [opinion by Justice Elena Kagan]:  </w:t>
      </w:r>
    </w:p>
    <w:p w14:paraId="2A11C6F8" w14:textId="77777777" w:rsidR="00EA21DB" w:rsidRDefault="00EA21DB" w:rsidP="00EA21DB">
      <w:pPr>
        <w:pStyle w:val="NoSpacing"/>
      </w:pPr>
    </w:p>
    <w:p w14:paraId="070AF190" w14:textId="77777777" w:rsidR="00EA21DB" w:rsidRDefault="00EA21DB" w:rsidP="00EA21DB">
      <w:pPr>
        <w:pStyle w:val="NoSpacing"/>
        <w:ind w:left="720"/>
      </w:pPr>
      <w:r>
        <w:t xml:space="preserve">“The State’s District 2 has had a Black majority since 1983, when a vote-dilution suit forced its creation. If Louisiana were tomorrow to slice up District 2, dispersing its Black residents among the rest, it is hard to see how the now judicially amended Section 2 could stand in the way. The State presumably would assert as its ‘political goal’ an </w:t>
      </w:r>
    </w:p>
    <w:p w14:paraId="49E1D024" w14:textId="77777777" w:rsidR="00EA21DB" w:rsidRDefault="00EA21DB" w:rsidP="00EA21DB">
      <w:pPr>
        <w:pStyle w:val="NoSpacing"/>
        <w:ind w:left="720"/>
      </w:pPr>
      <w:r>
        <w:t>all-Republican congressional delegation; in other words, it would announce a partisan gerrymander….  And because of the severe racial polarization in the State, that</w:t>
      </w:r>
    </w:p>
    <w:p w14:paraId="76FAE312" w14:textId="77777777" w:rsidR="00EA21DB" w:rsidRDefault="00EA21DB" w:rsidP="00EA21DB">
      <w:pPr>
        <w:pStyle w:val="NoSpacing"/>
        <w:ind w:left="720"/>
      </w:pPr>
      <w:r>
        <w:t xml:space="preserve">goal would be incompatible with maintaining District 2 as is. So those advocating for its majority-minority composition would almost surely lose at the first </w:t>
      </w:r>
      <w:r w:rsidRPr="00F729DF">
        <w:rPr>
          <w:i/>
          <w:iCs/>
        </w:rPr>
        <w:t>Callais</w:t>
      </w:r>
      <w:r>
        <w:t xml:space="preserve"> requirement (and, as above, at the others as well). Repeated often enough across the country, the same districting practice— really, hinging only on the partisan ambitions (or restraint) of state legislatures—could destroy most of the majority- minority districts that in the past 40 years the Voting Rights Act created.”</w:t>
      </w:r>
    </w:p>
    <w:p w14:paraId="11E61C42" w14:textId="77777777" w:rsidR="00EA21DB" w:rsidRDefault="00EA21DB" w:rsidP="00EA21DB">
      <w:pPr>
        <w:pStyle w:val="NoSpacing"/>
        <w:ind w:left="720"/>
      </w:pPr>
    </w:p>
    <w:p w14:paraId="43D6C70D" w14:textId="77777777" w:rsidR="00EA21DB" w:rsidRPr="00E04FBC" w:rsidRDefault="00EA21DB" w:rsidP="00EA21DB">
      <w:pPr>
        <w:rPr>
          <w:b/>
          <w:bCs/>
        </w:rPr>
      </w:pPr>
      <w:r w:rsidRPr="001C33AB">
        <w:rPr>
          <w:b/>
        </w:rPr>
        <w:t xml:space="preserve">Legal lesson learned: </w:t>
      </w:r>
      <w:r>
        <w:rPr>
          <w:b/>
        </w:rPr>
        <w:t xml:space="preserve"> This is a “landmark” decision, with lots of potential political impact.  </w:t>
      </w:r>
    </w:p>
    <w:p w14:paraId="4DE862B8" w14:textId="77777777" w:rsidR="00EA21DB" w:rsidRDefault="00EA21DB" w:rsidP="00BC70A3">
      <w:pPr>
        <w:rPr>
          <w:rFonts w:ascii="Arial Black" w:hAnsi="Arial Black"/>
          <w:b/>
          <w:sz w:val="24"/>
          <w:szCs w:val="24"/>
        </w:rPr>
      </w:pPr>
    </w:p>
    <w:p w14:paraId="2AD73CEC" w14:textId="726098F9" w:rsidR="007A3239" w:rsidRDefault="007A3239" w:rsidP="00456C91">
      <w:pPr>
        <w:rPr>
          <w:rFonts w:ascii="Arial Black" w:hAnsi="Arial Black"/>
          <w:b/>
          <w:sz w:val="24"/>
          <w:szCs w:val="24"/>
        </w:rPr>
      </w:pPr>
      <w:r>
        <w:rPr>
          <w:rFonts w:ascii="Arial Black" w:hAnsi="Arial Black"/>
          <w:b/>
          <w:sz w:val="24"/>
          <w:szCs w:val="24"/>
        </w:rPr>
        <w:t>8-88</w:t>
      </w:r>
    </w:p>
    <w:p w14:paraId="4ACD4B84" w14:textId="77777777" w:rsidR="008626B6" w:rsidRPr="000A0D97" w:rsidRDefault="008626B6" w:rsidP="008626B6">
      <w:pPr>
        <w:pStyle w:val="NoSpacing"/>
        <w:rPr>
          <w:rFonts w:ascii="Arial Black" w:hAnsi="Arial Black"/>
          <w:sz w:val="28"/>
          <w:szCs w:val="28"/>
        </w:rPr>
      </w:pPr>
      <w:r>
        <w:rPr>
          <w:rFonts w:ascii="Arial Black" w:hAnsi="Arial Black"/>
          <w:sz w:val="28"/>
          <w:szCs w:val="28"/>
        </w:rPr>
        <w:t>OH: WHITE CAPT – No.1 LIST - NOT PROMOTED D/C TWICE</w:t>
      </w:r>
    </w:p>
    <w:p w14:paraId="40D6E9B5" w14:textId="77777777" w:rsidR="008626B6" w:rsidRDefault="008626B6" w:rsidP="008626B6">
      <w:pPr>
        <w:pStyle w:val="NoSpacing"/>
      </w:pPr>
    </w:p>
    <w:p w14:paraId="0FD0AE08" w14:textId="77777777" w:rsidR="008626B6" w:rsidRDefault="008626B6" w:rsidP="008626B6">
      <w:pPr>
        <w:pStyle w:val="NoSpacing"/>
      </w:pPr>
      <w:r>
        <w:t xml:space="preserve">On December 29, 2025, in </w:t>
      </w:r>
      <w:r w:rsidRPr="00B92028">
        <w:rPr>
          <w:u w:val="single"/>
        </w:rPr>
        <w:t>Michael Haas v. City of Akron, et al</w:t>
      </w:r>
      <w:r>
        <w:t xml:space="preserve">., U.S. District Court Judge . Philip Calabrese, United States District Court for the Northern District of Ohio, Eastern Division, held that individual defendants, including the Fire Chief cannot be individually sued for </w:t>
      </w:r>
      <w:r w:rsidRPr="009806C0">
        <w:t xml:space="preserve">conspiracy </w:t>
      </w:r>
      <w:r>
        <w:t xml:space="preserve">to deny him promotion.  Case may now proceed </w:t>
      </w:r>
      <w:proofErr w:type="gramStart"/>
      <w:r>
        <w:t>to</w:t>
      </w:r>
      <w:proofErr w:type="gramEnd"/>
      <w:r>
        <w:t xml:space="preserve"> pretrial discovery against the </w:t>
      </w:r>
      <w:proofErr w:type="gramStart"/>
      <w:r>
        <w:t>City</w:t>
      </w:r>
      <w:proofErr w:type="gramEnd"/>
      <w:r>
        <w:t xml:space="preserve">. In April 2024, he was ranked first of six candidates for District Chief.  </w:t>
      </w:r>
      <w:proofErr w:type="gramStart"/>
      <w:r>
        <w:t>August,</w:t>
      </w:r>
      <w:proofErr w:type="gramEnd"/>
      <w:r>
        <w:t xml:space="preserve"> 2024 a black female (ranked No. 5 on list) was promoted (using the “Rule of five) to District Chief; and in </w:t>
      </w:r>
      <w:r w:rsidRPr="00C159C1">
        <w:t>September 2024, Haas filed a charge of discrimination with the Equal Employment Opportunity Commission</w:t>
      </w:r>
      <w:r>
        <w:t>.  I</w:t>
      </w:r>
      <w:r w:rsidRPr="004D6CA4">
        <w:t xml:space="preserve">n March 2025, another District Chief retired, and the position was left vacant. The next month, Local 330 urged </w:t>
      </w:r>
      <w:r>
        <w:t xml:space="preserve">the Fire Chief </w:t>
      </w:r>
      <w:r w:rsidRPr="004D6CA4">
        <w:t>to fill the position using the 2024 promotional list, which ranked</w:t>
      </w:r>
      <w:r>
        <w:t xml:space="preserve"> </w:t>
      </w:r>
      <w:r w:rsidRPr="004D6CA4">
        <w:t>Haas as the top candidate</w:t>
      </w:r>
      <w:r>
        <w:t xml:space="preserve">, but the Chief </w:t>
      </w:r>
      <w:r w:rsidRPr="004D6CA4">
        <w:t xml:space="preserve">denied Local 330's grievance and refused to promote Mr. Haas to the open position. </w:t>
      </w:r>
      <w:hyperlink r:id="rId1496" w:history="1">
        <w:r w:rsidRPr="00091B3B">
          <w:rPr>
            <w:rStyle w:val="Hyperlink"/>
          </w:rPr>
          <w:t>https://cases.justia.com/federal/district-courts/ohio/ohndce/5:2025cv00885/316724/27/0.pdf?ts=1767103886</w:t>
        </w:r>
      </w:hyperlink>
      <w:r>
        <w:t xml:space="preserve"> </w:t>
      </w:r>
    </w:p>
    <w:p w14:paraId="53B12440" w14:textId="77777777" w:rsidR="008626B6" w:rsidRDefault="008626B6" w:rsidP="008626B6">
      <w:pPr>
        <w:pStyle w:val="NoSpacing"/>
      </w:pPr>
    </w:p>
    <w:p w14:paraId="4DC87FB2" w14:textId="77777777" w:rsidR="008626B6" w:rsidRDefault="008626B6" w:rsidP="008626B6">
      <w:pPr>
        <w:pStyle w:val="NoSpacing"/>
        <w:rPr>
          <w:b/>
        </w:rPr>
      </w:pPr>
      <w:r>
        <w:t>THE COURT HELD:</w:t>
      </w:r>
    </w:p>
    <w:p w14:paraId="1FD79E57" w14:textId="77777777" w:rsidR="008626B6" w:rsidRDefault="008626B6" w:rsidP="008626B6">
      <w:pPr>
        <w:pStyle w:val="NoSpacing"/>
      </w:pPr>
    </w:p>
    <w:p w14:paraId="2DE23ECE" w14:textId="77777777" w:rsidR="008626B6" w:rsidRDefault="008626B6" w:rsidP="008626B6">
      <w:pPr>
        <w:pStyle w:val="NoSpacing"/>
        <w:ind w:left="720"/>
      </w:pPr>
      <w:r>
        <w:t>“</w:t>
      </w:r>
      <w:r w:rsidRPr="00BE7DD9">
        <w:t>Plaintiff Michael Haas is a white male who became a firefighter for the City of Akron, Ohio in July 1997</w:t>
      </w:r>
      <w:r>
        <w:t xml:space="preserve">…. </w:t>
      </w:r>
      <w:r w:rsidRPr="00BE7DD9">
        <w:t>From 2017 to 2024, Mr. Haas served as Akron's Captain of Fire Prevention and Fire Training and Safety Officer</w:t>
      </w:r>
      <w:r>
        <w:t>….</w:t>
      </w:r>
      <w:r w:rsidRPr="00BE7DD9">
        <w:t>From 2021 to 2023, Mr. Haas also served as Provisional Chief in Fire Training and in Fire Prevention</w:t>
      </w:r>
      <w:r>
        <w:t>….</w:t>
      </w:r>
      <w:r w:rsidRPr="00BE7DD9">
        <w:t>In 2024, at the age of 57, Mr. Haas participated in Akron's promotional process for consideration for a recently opened District Chief position</w:t>
      </w:r>
      <w:r>
        <w:t>….</w:t>
      </w:r>
      <w:r w:rsidRPr="00BE7DD9">
        <w:t>In April 2024, Mr. Haas was ranked first of six potential candidates for the position</w:t>
      </w:r>
      <w:r>
        <w:t>….</w:t>
      </w:r>
      <w:r w:rsidRPr="00BE7DD9">
        <w:t xml:space="preserve"> Before this ranking, Mr. Haas had no disciplinary history.</w:t>
      </w:r>
    </w:p>
    <w:p w14:paraId="5B903E73" w14:textId="77777777" w:rsidR="008626B6" w:rsidRDefault="008626B6" w:rsidP="008626B6">
      <w:pPr>
        <w:pStyle w:val="NoSpacing"/>
        <w:ind w:left="720"/>
      </w:pPr>
    </w:p>
    <w:p w14:paraId="47B8A4E8" w14:textId="77777777" w:rsidR="008626B6" w:rsidRDefault="008626B6" w:rsidP="008626B6">
      <w:pPr>
        <w:pStyle w:val="NoSpacing"/>
        <w:ind w:left="720"/>
      </w:pPr>
      <w:r>
        <w:t>***</w:t>
      </w:r>
    </w:p>
    <w:p w14:paraId="119B3E09" w14:textId="77777777" w:rsidR="008626B6" w:rsidRDefault="008626B6" w:rsidP="008626B6">
      <w:pPr>
        <w:ind w:left="720"/>
        <w:rPr>
          <w:bCs/>
        </w:rPr>
      </w:pPr>
      <w:r w:rsidRPr="00951C21">
        <w:t xml:space="preserve">At all relevant times, Defendant Leon Henderson, an African American man, served as the acting Fire Chief for the City of Akron. </w:t>
      </w:r>
    </w:p>
    <w:p w14:paraId="0BA7AC60" w14:textId="77777777" w:rsidR="008626B6" w:rsidRDefault="008626B6" w:rsidP="008626B6">
      <w:pPr>
        <w:ind w:left="720"/>
        <w:rPr>
          <w:bCs/>
        </w:rPr>
      </w:pPr>
      <w:r>
        <w:t>***</w:t>
      </w:r>
    </w:p>
    <w:p w14:paraId="3A8C8ED4" w14:textId="77777777" w:rsidR="008626B6" w:rsidRPr="00BA60D7" w:rsidRDefault="008626B6" w:rsidP="008626B6">
      <w:pPr>
        <w:pStyle w:val="NoSpacing"/>
        <w:ind w:left="720"/>
        <w:rPr>
          <w:bCs/>
        </w:rPr>
      </w:pPr>
      <w:r w:rsidRPr="00BA60D7">
        <w:t xml:space="preserve">Following the promotion of </w:t>
      </w:r>
      <w:r>
        <w:t>[</w:t>
      </w:r>
      <w:proofErr w:type="spellStart"/>
      <w:r w:rsidRPr="003B5000">
        <w:t>Sierjie</w:t>
      </w:r>
      <w:proofErr w:type="spellEnd"/>
      <w:r>
        <w:t xml:space="preserve">] </w:t>
      </w:r>
      <w:r w:rsidRPr="00BA60D7">
        <w:t>Lash</w:t>
      </w:r>
      <w:r>
        <w:t xml:space="preserve"> [ranked 5</w:t>
      </w:r>
      <w:r w:rsidRPr="00296663">
        <w:rPr>
          <w:vertAlign w:val="superscript"/>
        </w:rPr>
        <w:t>th</w:t>
      </w:r>
      <w:r>
        <w:t xml:space="preserve"> on list]</w:t>
      </w:r>
      <w:r w:rsidRPr="00BA60D7">
        <w:t xml:space="preserve"> to District Chief in August 2024, retaliatory</w:t>
      </w:r>
      <w:r>
        <w:t xml:space="preserve"> </w:t>
      </w:r>
      <w:r w:rsidRPr="00BA60D7">
        <w:t>actions were taken against Mr. Haas</w:t>
      </w:r>
      <w:r>
        <w:t>….</w:t>
      </w:r>
      <w:r w:rsidRPr="00BA60D7">
        <w:t>When he learned</w:t>
      </w:r>
    </w:p>
    <w:p w14:paraId="3D503E72" w14:textId="77777777" w:rsidR="008626B6" w:rsidRPr="00BA60D7" w:rsidRDefault="008626B6" w:rsidP="008626B6">
      <w:pPr>
        <w:pStyle w:val="NoSpacing"/>
        <w:ind w:firstLine="720"/>
        <w:rPr>
          <w:bCs/>
        </w:rPr>
      </w:pPr>
      <w:r w:rsidRPr="00BA60D7">
        <w:t xml:space="preserve">about Lash’s promotion, Mr. Haas complained to </w:t>
      </w:r>
      <w:r>
        <w:t xml:space="preserve">[Chief] </w:t>
      </w:r>
      <w:r w:rsidRPr="00BA60D7">
        <w:t>Henderson that the promotion</w:t>
      </w:r>
    </w:p>
    <w:p w14:paraId="4A7876AD" w14:textId="77777777" w:rsidR="008626B6" w:rsidRPr="00BA60D7" w:rsidRDefault="008626B6" w:rsidP="008626B6">
      <w:pPr>
        <w:pStyle w:val="NoSpacing"/>
        <w:ind w:left="720"/>
        <w:rPr>
          <w:bCs/>
        </w:rPr>
      </w:pPr>
      <w:r w:rsidRPr="00BA60D7">
        <w:t>was discriminatory</w:t>
      </w:r>
      <w:r>
        <w:t>….</w:t>
      </w:r>
      <w:r w:rsidRPr="00BA60D7">
        <w:t xml:space="preserve"> </w:t>
      </w:r>
      <w:r>
        <w:t xml:space="preserve">[Plaintiff alleged that Chief] </w:t>
      </w:r>
      <w:r w:rsidRPr="00BA60D7">
        <w:t>Henderson failed to document,</w:t>
      </w:r>
      <w:r>
        <w:t xml:space="preserve"> </w:t>
      </w:r>
      <w:r w:rsidRPr="00BA60D7">
        <w:t>investigate, and report this complaint to upper management or human resources, in</w:t>
      </w:r>
    </w:p>
    <w:p w14:paraId="0A6DADD5" w14:textId="77777777" w:rsidR="008626B6" w:rsidRDefault="008626B6" w:rsidP="008626B6">
      <w:pPr>
        <w:pStyle w:val="NoSpacing"/>
        <w:ind w:firstLine="720"/>
        <w:rPr>
          <w:bCs/>
        </w:rPr>
      </w:pPr>
      <w:r w:rsidRPr="00BA60D7">
        <w:t>violation of Akron’s policies</w:t>
      </w:r>
      <w:r>
        <w:t xml:space="preserve">…. </w:t>
      </w:r>
    </w:p>
    <w:p w14:paraId="2CB275D5" w14:textId="77777777" w:rsidR="008626B6" w:rsidRDefault="008626B6" w:rsidP="008626B6">
      <w:pPr>
        <w:pStyle w:val="NoSpacing"/>
        <w:ind w:firstLine="720"/>
        <w:rPr>
          <w:bCs/>
        </w:rPr>
      </w:pPr>
    </w:p>
    <w:p w14:paraId="555F41B9" w14:textId="77777777" w:rsidR="008626B6" w:rsidRDefault="008626B6" w:rsidP="008626B6">
      <w:pPr>
        <w:pStyle w:val="NoSpacing"/>
        <w:ind w:firstLine="720"/>
        <w:rPr>
          <w:bCs/>
        </w:rPr>
      </w:pPr>
      <w:r>
        <w:t>***</w:t>
      </w:r>
    </w:p>
    <w:p w14:paraId="42692BC6" w14:textId="77777777" w:rsidR="008626B6" w:rsidRDefault="008626B6" w:rsidP="008626B6">
      <w:pPr>
        <w:ind w:left="720"/>
        <w:rPr>
          <w:bCs/>
        </w:rPr>
      </w:pPr>
      <w:r w:rsidRPr="00C159C1">
        <w:t>The next month in September 2024, Mr. Haas filed a charge of discrimination with the Equal Employment Opportunity Commission and sent a second complaint of discrimination to Mr. Henderson</w:t>
      </w:r>
      <w:r>
        <w:t>….</w:t>
      </w:r>
      <w:r w:rsidRPr="00C159C1">
        <w:t>Later that same day, Mr. Henderson added Mr. Haas to the August 2024 transfer list</w:t>
      </w:r>
      <w:r>
        <w:t>….</w:t>
      </w:r>
      <w:r w:rsidRPr="00C159C1">
        <w:t xml:space="preserve"> Mr. Haas was transferred </w:t>
      </w:r>
      <w:r>
        <w:t xml:space="preserve">[from </w:t>
      </w:r>
      <w:r w:rsidRPr="00BE7DD9">
        <w:t>Captain of Fire Prevention and Fire Training and Safety Officer</w:t>
      </w:r>
      <w:r>
        <w:t xml:space="preserve">] </w:t>
      </w:r>
      <w:r w:rsidRPr="00C159C1">
        <w:t xml:space="preserve">to a </w:t>
      </w:r>
      <w:r>
        <w:t>‘</w:t>
      </w:r>
      <w:r w:rsidRPr="00C159C1">
        <w:t>48-hour position on the line</w:t>
      </w:r>
      <w:r>
        <w:t>’</w:t>
      </w:r>
      <w:r w:rsidRPr="00C159C1">
        <w:t xml:space="preserve"> which required him to work 24-hour shifts</w:t>
      </w:r>
      <w:r>
        <w:t>….</w:t>
      </w:r>
      <w:r w:rsidRPr="00C159C1">
        <w:t xml:space="preserve">According to Mr. Haas, </w:t>
      </w:r>
      <w:r>
        <w:t>‘</w:t>
      </w:r>
      <w:r w:rsidRPr="00C159C1">
        <w:t>[n]o other Captain . . . has been transferred to a 48-hour position without first either requesting it or as a result of discipline.</w:t>
      </w:r>
      <w:r>
        <w:t>’</w:t>
      </w:r>
    </w:p>
    <w:p w14:paraId="57C13567" w14:textId="77777777" w:rsidR="008626B6" w:rsidRDefault="008626B6" w:rsidP="008626B6">
      <w:pPr>
        <w:ind w:left="720"/>
        <w:rPr>
          <w:bCs/>
        </w:rPr>
      </w:pPr>
      <w:r>
        <w:t>***</w:t>
      </w:r>
    </w:p>
    <w:p w14:paraId="2A2A8E88" w14:textId="77777777" w:rsidR="008626B6" w:rsidRDefault="008626B6" w:rsidP="008626B6">
      <w:pPr>
        <w:pStyle w:val="NoSpacing"/>
        <w:ind w:left="720"/>
        <w:rPr>
          <w:bCs/>
        </w:rPr>
      </w:pPr>
      <w:r w:rsidRPr="00606539">
        <w:t xml:space="preserve">Under the law of this Circuit, </w:t>
      </w:r>
      <w:proofErr w:type="spellStart"/>
      <w:r w:rsidRPr="00606539">
        <w:t>intracorporate</w:t>
      </w:r>
      <w:proofErr w:type="spellEnd"/>
      <w:r w:rsidRPr="00606539">
        <w:t xml:space="preserve"> conspiracy doctrine applies</w:t>
      </w:r>
      <w:r>
        <w:t xml:space="preserve"> </w:t>
      </w:r>
      <w:r w:rsidRPr="00606539">
        <w:t>where individuals were employed in different departments. Hull, 926 F.2d at 510</w:t>
      </w:r>
      <w:r>
        <w:t xml:space="preserve"> </w:t>
      </w:r>
      <w:r w:rsidRPr="00606539">
        <w:t>(holding that a school’s superintendent, executive director, and administrator could</w:t>
      </w:r>
      <w:r>
        <w:t xml:space="preserve"> </w:t>
      </w:r>
      <w:r w:rsidRPr="00606539">
        <w:t xml:space="preserve">not conspire because they were all </w:t>
      </w:r>
      <w:r>
        <w:t>‘</w:t>
      </w:r>
      <w:r w:rsidRPr="00606539">
        <w:t>employees or agents of the [school] Board</w:t>
      </w:r>
      <w:r>
        <w:t>’</w:t>
      </w:r>
      <w:r w:rsidRPr="00606539">
        <w:t>); Upton</w:t>
      </w:r>
      <w:r>
        <w:t xml:space="preserve"> </w:t>
      </w:r>
      <w:r w:rsidRPr="00606539">
        <w:t xml:space="preserve">v. City of Royal Oak, 492 F. </w:t>
      </w:r>
      <w:proofErr w:type="spellStart"/>
      <w:r w:rsidRPr="00606539">
        <w:t>App'x</w:t>
      </w:r>
      <w:proofErr w:type="spellEnd"/>
      <w:r w:rsidRPr="00606539">
        <w:t xml:space="preserve"> 492, 493 n.1 (6th Cir. 2012) (holding that the</w:t>
      </w:r>
      <w:r>
        <w:t xml:space="preserve"> </w:t>
      </w:r>
      <w:proofErr w:type="spellStart"/>
      <w:r w:rsidRPr="00606539">
        <w:t>intracorporate</w:t>
      </w:r>
      <w:proofErr w:type="spellEnd"/>
      <w:r w:rsidRPr="00606539">
        <w:t xml:space="preserve"> conspiracy doctrine prevented a firefighter from bringing Section</w:t>
      </w:r>
      <w:r>
        <w:t xml:space="preserve"> </w:t>
      </w:r>
      <w:r w:rsidRPr="00606539">
        <w:t>1985(3) action against the mayor, city manager, assistant city attorney, and director</w:t>
      </w:r>
      <w:r>
        <w:t xml:space="preserve"> </w:t>
      </w:r>
      <w:r w:rsidRPr="00606539">
        <w:t>of human resources). What matters is that the individual Defendants are “members</w:t>
      </w:r>
      <w:r>
        <w:t xml:space="preserve"> </w:t>
      </w:r>
      <w:r w:rsidRPr="00606539">
        <w:t>of the same collective entity.” Hull, 926 F.2d at 510. Such is the case here, and each</w:t>
      </w:r>
      <w:r>
        <w:t xml:space="preserve"> </w:t>
      </w:r>
      <w:r w:rsidRPr="00606539">
        <w:t>participated in the promotional process about which Plaintiff complains as employees</w:t>
      </w:r>
      <w:r>
        <w:t xml:space="preserve"> </w:t>
      </w:r>
      <w:r w:rsidRPr="00606539">
        <w:t>or agents of the City of Akron</w:t>
      </w:r>
      <w:r>
        <w:t xml:space="preserve">…. </w:t>
      </w:r>
      <w:r w:rsidRPr="001C0C11">
        <w:t xml:space="preserve">For these reasons, the </w:t>
      </w:r>
      <w:proofErr w:type="spellStart"/>
      <w:r w:rsidRPr="001C0C11">
        <w:t>intracorporate</w:t>
      </w:r>
      <w:proofErr w:type="spellEnd"/>
      <w:r w:rsidRPr="001C0C11">
        <w:t xml:space="preserve"> conspiracy doctrine bars Mr. Hass’s civil</w:t>
      </w:r>
      <w:r>
        <w:t xml:space="preserve"> </w:t>
      </w:r>
      <w:r w:rsidRPr="001C0C11">
        <w:t>conspiracy claim under Section 1985(3) against the individual Defendants.</w:t>
      </w:r>
      <w:r>
        <w:t>”</w:t>
      </w:r>
    </w:p>
    <w:p w14:paraId="3DAAB047" w14:textId="77777777" w:rsidR="008626B6" w:rsidRDefault="008626B6" w:rsidP="008626B6">
      <w:pPr>
        <w:pStyle w:val="NoSpacing"/>
        <w:ind w:left="720"/>
        <w:rPr>
          <w:bCs/>
        </w:rPr>
      </w:pPr>
    </w:p>
    <w:p w14:paraId="58396876" w14:textId="77777777" w:rsidR="008626B6" w:rsidRPr="0092040A" w:rsidRDefault="008626B6" w:rsidP="008626B6">
      <w:pPr>
        <w:pStyle w:val="NoSpacing"/>
        <w:rPr>
          <w:b/>
        </w:rPr>
      </w:pPr>
      <w:r>
        <w:rPr>
          <w:b/>
        </w:rPr>
        <w:t>Legal lesson learned:  Race discrimination case by white officer may now proceed to pre-trial discovery.</w:t>
      </w:r>
    </w:p>
    <w:p w14:paraId="2D695A73" w14:textId="77777777" w:rsidR="008626B6" w:rsidRPr="00951C21" w:rsidRDefault="008626B6" w:rsidP="008626B6">
      <w:pPr>
        <w:ind w:left="720"/>
        <w:rPr>
          <w:bCs/>
        </w:rPr>
      </w:pPr>
    </w:p>
    <w:p w14:paraId="3DBFB09D" w14:textId="77777777" w:rsidR="008626B6" w:rsidRDefault="008626B6" w:rsidP="008626B6">
      <w:pPr>
        <w:pStyle w:val="NoSpacing"/>
        <w:rPr>
          <w:b/>
          <w:bCs/>
        </w:rPr>
      </w:pPr>
    </w:p>
    <w:p w14:paraId="6F1B729A" w14:textId="77777777" w:rsidR="007A3239" w:rsidRDefault="007A3239" w:rsidP="00456C91">
      <w:pPr>
        <w:rPr>
          <w:rFonts w:ascii="Arial Black" w:hAnsi="Arial Black"/>
          <w:b/>
          <w:sz w:val="24"/>
          <w:szCs w:val="24"/>
        </w:rPr>
      </w:pPr>
    </w:p>
    <w:p w14:paraId="5DF67F7B" w14:textId="77777777" w:rsidR="007A3239" w:rsidRDefault="007A3239" w:rsidP="00456C91">
      <w:pPr>
        <w:rPr>
          <w:rFonts w:ascii="Arial Black" w:hAnsi="Arial Black"/>
          <w:b/>
          <w:sz w:val="24"/>
          <w:szCs w:val="24"/>
        </w:rPr>
      </w:pPr>
    </w:p>
    <w:p w14:paraId="36E52733" w14:textId="0B08717D" w:rsidR="00EC0328" w:rsidRDefault="00EC0328" w:rsidP="00456C91">
      <w:pPr>
        <w:rPr>
          <w:rFonts w:ascii="Arial Black" w:hAnsi="Arial Black"/>
          <w:b/>
          <w:sz w:val="24"/>
          <w:szCs w:val="24"/>
        </w:rPr>
      </w:pPr>
      <w:r>
        <w:rPr>
          <w:rFonts w:ascii="Arial Black" w:hAnsi="Arial Black"/>
          <w:b/>
          <w:sz w:val="24"/>
          <w:szCs w:val="24"/>
        </w:rPr>
        <w:lastRenderedPageBreak/>
        <w:t>8-87</w:t>
      </w:r>
    </w:p>
    <w:p w14:paraId="2A1336CA" w14:textId="77777777" w:rsidR="00FA2E76" w:rsidRPr="007B049A" w:rsidRDefault="00FA2E76" w:rsidP="00FA2E76">
      <w:pPr>
        <w:rPr>
          <w:rFonts w:ascii="Arial Black" w:hAnsi="Arial Black"/>
          <w:sz w:val="28"/>
          <w:szCs w:val="28"/>
        </w:rPr>
      </w:pPr>
      <w:r>
        <w:rPr>
          <w:rFonts w:ascii="Arial Black" w:hAnsi="Arial Black"/>
          <w:sz w:val="28"/>
          <w:szCs w:val="28"/>
        </w:rPr>
        <w:t>OH: 47-YR BLACK - RESIGNED – DEFAMATION / FILED LATE</w:t>
      </w:r>
    </w:p>
    <w:p w14:paraId="3E29BC19" w14:textId="77777777" w:rsidR="00FA2E76" w:rsidRPr="0024556B" w:rsidRDefault="00FA2E76" w:rsidP="00FA2E76">
      <w:pPr>
        <w:rPr>
          <w:b/>
        </w:rPr>
      </w:pPr>
      <w:r>
        <w:t xml:space="preserve">On December 15, 2025, in </w:t>
      </w:r>
      <w:r w:rsidRPr="00C02EC5">
        <w:rPr>
          <w:u w:val="single"/>
        </w:rPr>
        <w:t>Christian Baccus v. City of Columbus Division of Fire</w:t>
      </w:r>
      <w:r>
        <w:t xml:space="preserve">, U.S. District Court Judge </w:t>
      </w:r>
      <w:r w:rsidRPr="00C02EC5">
        <w:t xml:space="preserve">Edmund A. </w:t>
      </w:r>
      <w:proofErr w:type="spellStart"/>
      <w:r w:rsidRPr="00C02EC5">
        <w:t>Sargus</w:t>
      </w:r>
      <w:proofErr w:type="spellEnd"/>
      <w:r>
        <w:t xml:space="preserve">, </w:t>
      </w:r>
      <w:r w:rsidRPr="00C02EC5">
        <w:t>United States District Court, S.D. Ohio, Eastern Division</w:t>
      </w:r>
      <w:r>
        <w:t xml:space="preserve">, as recommended in a Report and Recommendation by U.S. Magistrate Judge Kimberly A. Jolson,  granted the City’s partial motion to dismiss his claims of defamation by training officers. </w:t>
      </w:r>
      <w:r w:rsidRPr="000172AE">
        <w:t>Under Ohio law, an action for libel and slander must be brought “within one year after the cause of action accrued.” Ohio Revised Code § 2305.11(A).</w:t>
      </w:r>
      <w:r>
        <w:t xml:space="preserve">  He resigned on March 14, 2024, and his pro se [no attorney] lawsuit was not filed until </w:t>
      </w:r>
      <w:r w:rsidRPr="0014146E">
        <w:t>June 30, 2025</w:t>
      </w:r>
      <w:r>
        <w:t xml:space="preserve">.  </w:t>
      </w:r>
      <w:hyperlink r:id="rId1497" w:history="1">
        <w:r w:rsidRPr="00B346EB">
          <w:rPr>
            <w:rStyle w:val="Hyperlink"/>
          </w:rPr>
          <w:t>https://public.fastcase.com/Jhe1Qn%2BmJndQYQU6z%2FeNm77nYWugAlzsBoxNmmqkM3E6Q88Vkqy0VZ5SiNrQruK%2B?utm_medium=email&amp;_hsenc=p2ANqtz-9AvFND94NtmZ3W9IwgKnyu4_gZwqiYmIH5_4QpXW_NHE8WVWhb5SJK4Whyo4GFBslMpA9EnrqLvXRYy-</w:t>
        </w:r>
      </w:hyperlink>
      <w:r>
        <w:t xml:space="preserve"> </w:t>
      </w:r>
    </w:p>
    <w:p w14:paraId="6221E751" w14:textId="77777777" w:rsidR="00FA2E76" w:rsidRDefault="00FA2E76" w:rsidP="00FA2E76">
      <w:r>
        <w:t>THE COURT HELD:</w:t>
      </w:r>
    </w:p>
    <w:p w14:paraId="49B3FF44" w14:textId="77777777" w:rsidR="00FA2E76" w:rsidRDefault="00FA2E76" w:rsidP="00FA2E76">
      <w:pPr>
        <w:ind w:left="720"/>
      </w:pPr>
      <w:r>
        <w:t>“</w:t>
      </w:r>
      <w:r w:rsidRPr="001F3E66">
        <w:t xml:space="preserve">This case is about discrimination Plaintiff Christian Baccus allegedly experienced at the hands of the City of Columbus, Division of Fire (the “City”). As told by his </w:t>
      </w:r>
      <w:r w:rsidRPr="001F3E66">
        <w:rPr>
          <w:i/>
          <w:iCs/>
        </w:rPr>
        <w:t>pro se</w:t>
      </w:r>
      <w:r w:rsidRPr="001F3E66">
        <w:t xml:space="preserve"> Amended Complaint, Plaintiff-a Black, 47-year-old man-was employed by the </w:t>
      </w:r>
      <w:proofErr w:type="gramStart"/>
      <w:r w:rsidRPr="001F3E66">
        <w:t>City</w:t>
      </w:r>
      <w:proofErr w:type="gramEnd"/>
      <w:r w:rsidRPr="001F3E66">
        <w:t xml:space="preserve"> as a firefighter in </w:t>
      </w:r>
      <w:r>
        <w:t>‘</w:t>
      </w:r>
      <w:r w:rsidRPr="001F3E66">
        <w:t>Recruit Class #119.</w:t>
      </w:r>
      <w:r>
        <w:t>’</w:t>
      </w:r>
    </w:p>
    <w:p w14:paraId="1954C2AD" w14:textId="77777777" w:rsidR="00FA2E76" w:rsidRDefault="00FA2E76" w:rsidP="00FA2E76">
      <w:pPr>
        <w:ind w:left="720"/>
      </w:pPr>
      <w:r>
        <w:t>***</w:t>
      </w:r>
    </w:p>
    <w:p w14:paraId="63BD1AB2" w14:textId="77777777" w:rsidR="00FA2E76" w:rsidRDefault="00FA2E76" w:rsidP="00FA2E76">
      <w:pPr>
        <w:ind w:left="720"/>
      </w:pPr>
      <w:r w:rsidRPr="00531DA3">
        <w:t>Though not completely clear, it seems that during Fire Assignments, Plaintiff was disciplined by his superiors for aspects of his practical performance</w:t>
      </w:r>
      <w:r>
        <w:t xml:space="preserve">…. </w:t>
      </w:r>
      <w:r w:rsidRPr="00531DA3">
        <w:t xml:space="preserve">He also experienced </w:t>
      </w:r>
      <w:r>
        <w:t>‘</w:t>
      </w:r>
      <w:r w:rsidRPr="00531DA3">
        <w:t>ridicule</w:t>
      </w:r>
      <w:r>
        <w:t>’</w:t>
      </w:r>
      <w:r w:rsidRPr="00531DA3">
        <w:t xml:space="preserve"> at the hands of one of his instructors, and he alleges his superiors </w:t>
      </w:r>
      <w:r>
        <w:t>‘</w:t>
      </w:r>
      <w:r w:rsidRPr="00531DA3">
        <w:t>lied</w:t>
      </w:r>
      <w:r>
        <w:t>’</w:t>
      </w:r>
      <w:r w:rsidRPr="00531DA3">
        <w:t xml:space="preserve"> about him on evaluations and elsewhere</w:t>
      </w:r>
      <w:r>
        <w:t xml:space="preserve">…. </w:t>
      </w:r>
      <w:r w:rsidRPr="00531DA3">
        <w:t xml:space="preserve">Then on March 14, 2024, the </w:t>
      </w:r>
      <w:proofErr w:type="gramStart"/>
      <w:r w:rsidRPr="00531DA3">
        <w:t>City</w:t>
      </w:r>
      <w:proofErr w:type="gramEnd"/>
      <w:r w:rsidRPr="00531DA3">
        <w:t xml:space="preserve"> gave Plaintiff the </w:t>
      </w:r>
      <w:r>
        <w:t>‘</w:t>
      </w:r>
      <w:r w:rsidRPr="00531DA3">
        <w:t>option to resign or be terminated.</w:t>
      </w:r>
      <w:r>
        <w:t xml:space="preserve">’ … </w:t>
      </w:r>
      <w:r w:rsidRPr="00531DA3">
        <w:t xml:space="preserve">Initially Plaintiff opted for termination, but he later </w:t>
      </w:r>
      <w:r>
        <w:t>‘</w:t>
      </w:r>
      <w:r w:rsidRPr="00531DA3">
        <w:t>changed [his] decision to resign.</w:t>
      </w:r>
      <w:r>
        <w:t xml:space="preserve">’ … </w:t>
      </w:r>
      <w:r w:rsidRPr="00531DA3">
        <w:t>Plaintiff further claims that other recruits who were white or women were not treated similarly</w:t>
      </w:r>
      <w:proofErr w:type="gramStart"/>
      <w:r>
        <w:t>…..</w:t>
      </w:r>
      <w:proofErr w:type="gramEnd"/>
      <w:r>
        <w:t xml:space="preserve"> </w:t>
      </w:r>
      <w:r w:rsidRPr="00531DA3">
        <w:t xml:space="preserve">For some, the </w:t>
      </w:r>
      <w:proofErr w:type="gramStart"/>
      <w:r w:rsidRPr="00531DA3">
        <w:t>City</w:t>
      </w:r>
      <w:proofErr w:type="gramEnd"/>
      <w:r w:rsidRPr="00531DA3">
        <w:t xml:space="preserve"> authorized additional training; and for others, the </w:t>
      </w:r>
      <w:proofErr w:type="gramStart"/>
      <w:r w:rsidRPr="00531DA3">
        <w:t>City</w:t>
      </w:r>
      <w:proofErr w:type="gramEnd"/>
      <w:r w:rsidRPr="00531DA3">
        <w:t xml:space="preserve"> allowed enrollment in other recruit classes</w:t>
      </w:r>
      <w:r>
        <w:t xml:space="preserve">…. </w:t>
      </w:r>
      <w:r w:rsidRPr="00531DA3">
        <w:t xml:space="preserve">Plaintiff also says he was </w:t>
      </w:r>
      <w:r>
        <w:t>‘</w:t>
      </w:r>
      <w:r w:rsidRPr="00531DA3">
        <w:t>treated differently</w:t>
      </w:r>
      <w:r>
        <w:t>’</w:t>
      </w:r>
      <w:r w:rsidRPr="00531DA3">
        <w:t xml:space="preserve"> because of his age</w:t>
      </w:r>
      <w:r>
        <w:t xml:space="preserve">…. </w:t>
      </w:r>
      <w:r w:rsidRPr="00531DA3">
        <w:t>Finally, Plaintiff alleges that the City's firefighter recruit evaluation methods are subjective and result in Black male recruits being dismissed at a higher rate than white or female recruits.</w:t>
      </w:r>
    </w:p>
    <w:p w14:paraId="68B6132D" w14:textId="77777777" w:rsidR="00FA2E76" w:rsidRDefault="00FA2E76" w:rsidP="00FA2E76">
      <w:pPr>
        <w:ind w:left="720"/>
      </w:pPr>
      <w:r>
        <w:t>***</w:t>
      </w:r>
    </w:p>
    <w:p w14:paraId="2C0A907F" w14:textId="77777777" w:rsidR="00FA2E76" w:rsidRDefault="00FA2E76" w:rsidP="00FA2E76">
      <w:pPr>
        <w:ind w:left="720"/>
      </w:pPr>
      <w:r w:rsidRPr="00F94BBA">
        <w:t xml:space="preserve">Ultimately, though, the Undersigned need not designate the exact day any of the allegedly defamatory statements happened. As stated, Ohio law is clear that an action for defamation must be brought within one year after the cause of action accrued, and the general rule is the statute of limitations begins to run when the defendant first speaks or publishes the allegedly defamatory words. </w:t>
      </w:r>
      <w:r w:rsidRPr="00F94BBA">
        <w:rPr>
          <w:i/>
          <w:iCs/>
        </w:rPr>
        <w:t>See</w:t>
      </w:r>
      <w:r w:rsidRPr="00F94BBA">
        <w:t xml:space="preserve"> Ohio Revised Code § 2305.11(A); </w:t>
      </w:r>
      <w:r w:rsidRPr="00F94BBA">
        <w:rPr>
          <w:i/>
          <w:iCs/>
        </w:rPr>
        <w:t>Haas</w:t>
      </w:r>
      <w:r w:rsidRPr="00F94BBA">
        <w:t>, 2024 WL 3925724, at *3</w:t>
      </w:r>
      <w:r>
        <w:t>.</w:t>
      </w:r>
    </w:p>
    <w:p w14:paraId="2C56283D" w14:textId="77777777" w:rsidR="00FA2E76" w:rsidRDefault="00FA2E76" w:rsidP="00FA2E76">
      <w:pPr>
        <w:ind w:left="720"/>
      </w:pPr>
      <w:r>
        <w:t>***</w:t>
      </w:r>
    </w:p>
    <w:p w14:paraId="0052664F" w14:textId="77777777" w:rsidR="00FA2E76" w:rsidRDefault="00FA2E76" w:rsidP="00FA2E76">
      <w:pPr>
        <w:ind w:left="720"/>
      </w:pPr>
      <w:r w:rsidRPr="000214B3">
        <w:t>Taken together, this means that Plaintiff's Amended Complaint may assert defamation claims only for statements spoken or published on or after June 30, 2024-within one year of when he initiated this action. Any prior claims are time-barred.</w:t>
      </w:r>
      <w:r>
        <w:t>”</w:t>
      </w:r>
    </w:p>
    <w:p w14:paraId="742B9660" w14:textId="77777777" w:rsidR="00FA2E76" w:rsidRPr="00F94BBA" w:rsidRDefault="00FA2E76" w:rsidP="00FA2E76">
      <w:pPr>
        <w:rPr>
          <w:b/>
          <w:bCs/>
        </w:rPr>
      </w:pPr>
      <w:r>
        <w:rPr>
          <w:b/>
        </w:rPr>
        <w:t xml:space="preserve">Legal lesson learned:  The defamation claims are dismissed; pretrial discovery may now proceed on the race and age claims. </w:t>
      </w:r>
    </w:p>
    <w:p w14:paraId="5B7BDDE4" w14:textId="77777777" w:rsidR="00EC0328" w:rsidRDefault="00EC0328" w:rsidP="00456C91">
      <w:pPr>
        <w:rPr>
          <w:rFonts w:ascii="Arial Black" w:hAnsi="Arial Black"/>
          <w:b/>
          <w:sz w:val="24"/>
          <w:szCs w:val="24"/>
        </w:rPr>
      </w:pPr>
    </w:p>
    <w:p w14:paraId="375F1D20" w14:textId="101D9F7B" w:rsidR="005D6817" w:rsidRDefault="005D6817" w:rsidP="00456C91">
      <w:pPr>
        <w:rPr>
          <w:rFonts w:ascii="Arial Black" w:hAnsi="Arial Black"/>
          <w:b/>
          <w:sz w:val="24"/>
          <w:szCs w:val="24"/>
        </w:rPr>
      </w:pPr>
      <w:r>
        <w:rPr>
          <w:rFonts w:ascii="Arial Black" w:hAnsi="Arial Black"/>
          <w:b/>
          <w:sz w:val="24"/>
          <w:szCs w:val="24"/>
        </w:rPr>
        <w:lastRenderedPageBreak/>
        <w:t>8-86</w:t>
      </w:r>
    </w:p>
    <w:p w14:paraId="45AA0B71" w14:textId="046811E4" w:rsidR="005D6817" w:rsidRDefault="005D6817" w:rsidP="005D6817">
      <w:pPr>
        <w:pStyle w:val="NoSpacing"/>
        <w:rPr>
          <w:rFonts w:ascii="Arial Black" w:hAnsi="Arial Black"/>
          <w:sz w:val="28"/>
          <w:szCs w:val="28"/>
        </w:rPr>
      </w:pPr>
      <w:r>
        <w:rPr>
          <w:rFonts w:ascii="Arial Black" w:hAnsi="Arial Black"/>
          <w:sz w:val="28"/>
          <w:szCs w:val="28"/>
        </w:rPr>
        <w:t>MD: BLACK FF – NO PROMOTION</w:t>
      </w:r>
      <w:r w:rsidR="00F70392">
        <w:rPr>
          <w:rFonts w:ascii="Arial Black" w:hAnsi="Arial Black"/>
          <w:sz w:val="28"/>
          <w:szCs w:val="28"/>
        </w:rPr>
        <w:t xml:space="preserve"> / RETALIATION</w:t>
      </w:r>
      <w:r>
        <w:rPr>
          <w:rFonts w:ascii="Arial Black" w:hAnsi="Arial Black"/>
          <w:sz w:val="28"/>
          <w:szCs w:val="28"/>
        </w:rPr>
        <w:t xml:space="preserve"> – JURY $311K </w:t>
      </w:r>
    </w:p>
    <w:p w14:paraId="5F1ED2D5" w14:textId="77777777" w:rsidR="00E024F9" w:rsidRDefault="00E024F9" w:rsidP="005D6817">
      <w:pPr>
        <w:pStyle w:val="NoSpacing"/>
      </w:pPr>
    </w:p>
    <w:p w14:paraId="53469C82" w14:textId="150E42A1" w:rsidR="005D6817" w:rsidRPr="00F2752F" w:rsidRDefault="005D6817" w:rsidP="005D6817">
      <w:pPr>
        <w:pStyle w:val="NoSpacing"/>
        <w:rPr>
          <w:bCs/>
        </w:rPr>
      </w:pPr>
      <w:r>
        <w:t xml:space="preserve">On November 4, 2025, in </w:t>
      </w:r>
      <w:r w:rsidRPr="0049359A">
        <w:rPr>
          <w:u w:val="single"/>
        </w:rPr>
        <w:t>Anne Arundel County, Maryland v. Bradley Willis</w:t>
      </w:r>
      <w:r>
        <w:t xml:space="preserve">, the </w:t>
      </w:r>
      <w:r w:rsidRPr="0049359A">
        <w:t>Court of Special Appeals of Maryland</w:t>
      </w:r>
      <w:r>
        <w:t xml:space="preserve">, held (3 to 0) that trial court </w:t>
      </w:r>
      <w:r w:rsidRPr="003B7259">
        <w:t>was well within its discretion to find a reasonable jury intended to award Willis $173,000.00</w:t>
      </w:r>
      <w:r>
        <w:t xml:space="preserve"> </w:t>
      </w:r>
      <w:r w:rsidRPr="003B7259">
        <w:t>in backpay.</w:t>
      </w:r>
      <w:r>
        <w:t xml:space="preserve">  THE COURT WROTE: “</w:t>
      </w:r>
      <w:r w:rsidRPr="00F2752F">
        <w:t>Bradley Willis was a Captain in the Anne Arundel County Fire Department until he</w:t>
      </w:r>
    </w:p>
    <w:p w14:paraId="39E0BE34" w14:textId="09870186" w:rsidR="005D6817" w:rsidRDefault="005D6817" w:rsidP="005D6817">
      <w:pPr>
        <w:pStyle w:val="NoSpacing"/>
        <w:rPr>
          <w:bCs/>
        </w:rPr>
      </w:pPr>
      <w:r w:rsidRPr="00F2752F">
        <w:t>was demoted to Firefighter II, suspended temporarily, and prohibited from a promotion for</w:t>
      </w:r>
      <w:r w:rsidR="00C62C35">
        <w:t xml:space="preserve"> </w:t>
      </w:r>
      <w:r w:rsidRPr="00F2752F">
        <w:t>three years after he was found guilty of misconduct. Willis unsuccessfully sued the County</w:t>
      </w:r>
      <w:r w:rsidR="00C62C35">
        <w:t xml:space="preserve"> </w:t>
      </w:r>
      <w:r w:rsidRPr="00F2752F">
        <w:t>claiming his demotion was racially motivated</w:t>
      </w:r>
      <w:r>
        <w:t xml:space="preserve">…. </w:t>
      </w:r>
      <w:r w:rsidRPr="0081665D">
        <w:t>Allan Graves (“Chief Graves”) was the Fire Chief of Anne Arundel County when</w:t>
      </w:r>
      <w:r>
        <w:t xml:space="preserve"> </w:t>
      </w:r>
      <w:r w:rsidRPr="0081665D">
        <w:t xml:space="preserve">Willis sued. </w:t>
      </w:r>
      <w:proofErr w:type="spellStart"/>
      <w:r w:rsidRPr="0081665D">
        <w:t>Some time</w:t>
      </w:r>
      <w:proofErr w:type="spellEnd"/>
      <w:r w:rsidRPr="0081665D">
        <w:t xml:space="preserve"> after his unsuccessful lawsuit, Willis became eligible for a</w:t>
      </w:r>
      <w:r>
        <w:t xml:space="preserve"> </w:t>
      </w:r>
      <w:r w:rsidRPr="0081665D">
        <w:t>promotion to the rank of Lieutenant. Willis scored second out of 100 candidates on the</w:t>
      </w:r>
      <w:r>
        <w:t xml:space="preserve"> </w:t>
      </w:r>
      <w:r w:rsidRPr="0081665D">
        <w:t>Lieutenant’s examination. When a vacancy became available, Chief Graves appointed the</w:t>
      </w:r>
      <w:r>
        <w:t xml:space="preserve"> </w:t>
      </w:r>
      <w:r w:rsidRPr="0081665D">
        <w:t>first ranked candidate; however, when a second vacancy opened, Chief Graves passed over</w:t>
      </w:r>
      <w:r>
        <w:t xml:space="preserve"> </w:t>
      </w:r>
      <w:r w:rsidRPr="0081665D">
        <w:t xml:space="preserve">Willis </w:t>
      </w:r>
      <w:r>
        <w:t xml:space="preserve">[on </w:t>
      </w:r>
      <w:r w:rsidRPr="009159FB">
        <w:t>September 20, 2018</w:t>
      </w:r>
      <w:r>
        <w:t xml:space="preserve">] </w:t>
      </w:r>
      <w:r w:rsidRPr="0081665D">
        <w:t>and promoted the third ranked candidate. Willis became a Lieutenant</w:t>
      </w:r>
      <w:r>
        <w:t xml:space="preserve"> [on </w:t>
      </w:r>
      <w:r w:rsidRPr="001C3EBB">
        <w:t>September 5, 2019</w:t>
      </w:r>
      <w:r>
        <w:t>]</w:t>
      </w:r>
      <w:r w:rsidRPr="0081665D">
        <w:t xml:space="preserve"> only after</w:t>
      </w:r>
      <w:r>
        <w:t xml:space="preserve"> </w:t>
      </w:r>
      <w:r w:rsidRPr="0081665D">
        <w:t>Chief Trisha Wolford succeeded Chief Graves</w:t>
      </w:r>
      <w:r>
        <w:t xml:space="preserve">…. </w:t>
      </w:r>
      <w:r w:rsidRPr="00A50C52">
        <w:t>The trial</w:t>
      </w:r>
      <w:r>
        <w:t xml:space="preserve"> </w:t>
      </w:r>
      <w:r w:rsidRPr="00A50C52">
        <w:t>eventually took place over four days in April 2024</w:t>
      </w:r>
      <w:r>
        <w:t xml:space="preserve">…. </w:t>
      </w:r>
      <w:r w:rsidRPr="007A44FF">
        <w:t>The jury ultimately ruled in Willis’ favor, finding that Chief’s Graves’ decision not</w:t>
      </w:r>
      <w:r>
        <w:t xml:space="preserve"> </w:t>
      </w:r>
      <w:r w:rsidRPr="007A44FF">
        <w:t>to promote Willis was retaliatory. After reaching that conclusion, the jury calculated</w:t>
      </w:r>
      <w:r>
        <w:t xml:space="preserve"> </w:t>
      </w:r>
      <w:r w:rsidRPr="007A44FF">
        <w:t>Willis’ damages</w:t>
      </w:r>
      <w:r>
        <w:t xml:space="preserve">…. </w:t>
      </w:r>
      <w:r w:rsidRPr="00074004">
        <w:t>The jury awarded Willis $311,000.00 in total, with the verdict sheet detailing their award</w:t>
      </w:r>
      <w:r>
        <w:t xml:space="preserve"> </w:t>
      </w:r>
      <w:r w:rsidRPr="00074004">
        <w:t xml:space="preserve">of $173,000.00 for </w:t>
      </w:r>
      <w:r>
        <w:t>‘</w:t>
      </w:r>
      <w:r w:rsidRPr="00074004">
        <w:t>Back Pay</w:t>
      </w:r>
      <w:r>
        <w:t>’</w:t>
      </w:r>
      <w:r w:rsidRPr="00074004">
        <w:t xml:space="preserve"> and $138,000.00 for </w:t>
      </w:r>
      <w:r>
        <w:t>‘</w:t>
      </w:r>
      <w:r w:rsidRPr="00074004">
        <w:t>Other Damages.</w:t>
      </w:r>
      <w:r>
        <w:t xml:space="preserve">’ </w:t>
      </w:r>
      <w:r w:rsidRPr="005069C2">
        <w:t>Following the</w:t>
      </w:r>
      <w:r>
        <w:t xml:space="preserve"> </w:t>
      </w:r>
      <w:r w:rsidRPr="005069C2">
        <w:t>court’s entry of final judgment, the County filed a Motion for Judgment Notwithstanding</w:t>
      </w:r>
      <w:r>
        <w:t xml:space="preserve"> </w:t>
      </w:r>
      <w:r w:rsidRPr="005069C2">
        <w:t>the Verdict, which the court denied.</w:t>
      </w:r>
      <w:r>
        <w:t>”</w:t>
      </w:r>
    </w:p>
    <w:p w14:paraId="7DEDAA20" w14:textId="77777777" w:rsidR="005D6817" w:rsidRDefault="005D6817" w:rsidP="005D6817">
      <w:pPr>
        <w:pStyle w:val="NoSpacing"/>
        <w:rPr>
          <w:bCs/>
        </w:rPr>
      </w:pPr>
      <w:hyperlink r:id="rId1498" w:history="1">
        <w:r w:rsidRPr="005B3B90">
          <w:rPr>
            <w:rStyle w:val="Hyperlink"/>
          </w:rPr>
          <w:t>https://www.mdcourts.gov/sites/default/files/unreported-opinions/1234s24.pdf</w:t>
        </w:r>
      </w:hyperlink>
      <w:r>
        <w:t xml:space="preserve"> </w:t>
      </w:r>
    </w:p>
    <w:p w14:paraId="21A49AA4" w14:textId="77777777" w:rsidR="005D6817" w:rsidRDefault="005D6817" w:rsidP="005D6817">
      <w:pPr>
        <w:pStyle w:val="NoSpacing"/>
        <w:rPr>
          <w:bCs/>
        </w:rPr>
      </w:pPr>
    </w:p>
    <w:p w14:paraId="42CD59B9" w14:textId="77777777" w:rsidR="005D6817" w:rsidRDefault="005D6817" w:rsidP="005D6817">
      <w:pPr>
        <w:pStyle w:val="NoSpacing"/>
        <w:rPr>
          <w:bCs/>
        </w:rPr>
      </w:pPr>
      <w:r>
        <w:t>THE COURT HELD:</w:t>
      </w:r>
    </w:p>
    <w:p w14:paraId="5AF7E75F" w14:textId="77777777" w:rsidR="005D6817" w:rsidRDefault="005D6817" w:rsidP="005D6817">
      <w:pPr>
        <w:pStyle w:val="NoSpacing"/>
        <w:rPr>
          <w:bCs/>
        </w:rPr>
      </w:pPr>
    </w:p>
    <w:p w14:paraId="73740731" w14:textId="77777777" w:rsidR="005D6817" w:rsidRDefault="005D6817" w:rsidP="005D6817">
      <w:pPr>
        <w:pStyle w:val="NoSpacing"/>
        <w:ind w:firstLine="720"/>
      </w:pPr>
      <w:r>
        <w:t>“Willis contends the jury’s verdict was supported by ample facts and expert opinion</w:t>
      </w:r>
    </w:p>
    <w:p w14:paraId="4544E148" w14:textId="77777777" w:rsidR="005D6817" w:rsidRDefault="005D6817" w:rsidP="005D6817">
      <w:pPr>
        <w:pStyle w:val="NoSpacing"/>
        <w:ind w:firstLine="720"/>
      </w:pPr>
      <w:r>
        <w:t>evidence. Specifically, he argues his expert economist, Rosenberg, provided several</w:t>
      </w:r>
    </w:p>
    <w:p w14:paraId="7E835202" w14:textId="77777777" w:rsidR="005D6817" w:rsidRDefault="005D6817" w:rsidP="005D6817">
      <w:pPr>
        <w:pStyle w:val="NoSpacing"/>
        <w:ind w:firstLine="720"/>
      </w:pPr>
      <w:r>
        <w:t>scenarios to guide the jury’s assessment of a damages award. Willis further maintains the</w:t>
      </w:r>
    </w:p>
    <w:p w14:paraId="0EEE022D" w14:textId="77777777" w:rsidR="005D6817" w:rsidRDefault="005D6817" w:rsidP="005D6817">
      <w:pPr>
        <w:pStyle w:val="NoSpacing"/>
        <w:ind w:firstLine="720"/>
      </w:pPr>
      <w:r>
        <w:t>County did not rebut Rosenberg’s calculations with its own economist’s opinion or other</w:t>
      </w:r>
    </w:p>
    <w:p w14:paraId="5BD63E1B" w14:textId="77777777" w:rsidR="005D6817" w:rsidRDefault="005D6817" w:rsidP="005D6817">
      <w:pPr>
        <w:pStyle w:val="NoSpacing"/>
        <w:ind w:firstLine="720"/>
      </w:pPr>
      <w:r>
        <w:t>contrary evidence. Willis argues his being passed over for the promotion had a cascading</w:t>
      </w:r>
    </w:p>
    <w:p w14:paraId="45196FC5" w14:textId="77777777" w:rsidR="005D6817" w:rsidRDefault="005D6817" w:rsidP="005D6817">
      <w:pPr>
        <w:pStyle w:val="NoSpacing"/>
        <w:ind w:firstLine="720"/>
      </w:pPr>
      <w:r>
        <w:t>effect on his career because it caused him to not be able to apply for further promotions,</w:t>
      </w:r>
    </w:p>
    <w:p w14:paraId="7BE1A9DC" w14:textId="77777777" w:rsidR="005D6817" w:rsidRDefault="005D6817" w:rsidP="005D6817">
      <w:pPr>
        <w:pStyle w:val="NoSpacing"/>
        <w:ind w:firstLine="720"/>
      </w:pPr>
      <w:r>
        <w:t>such as to Captain, for several years. Finally, Willis contends the jury’s verdict was not</w:t>
      </w:r>
    </w:p>
    <w:p w14:paraId="1B3E6033" w14:textId="77777777" w:rsidR="005D6817" w:rsidRDefault="005D6817" w:rsidP="005D6817">
      <w:pPr>
        <w:pStyle w:val="NoSpacing"/>
        <w:ind w:firstLine="720"/>
      </w:pPr>
      <w:r>
        <w:t>based on speculation. Indeed, the jury’s award of $173,000.00 reflected almost precisely</w:t>
      </w:r>
    </w:p>
    <w:p w14:paraId="42FD40FF" w14:textId="77777777" w:rsidR="005D6817" w:rsidRDefault="005D6817" w:rsidP="005D6817">
      <w:pPr>
        <w:pStyle w:val="NoSpacing"/>
        <w:ind w:firstLine="720"/>
      </w:pPr>
      <w:r>
        <w:t>the amount of total economic damages Rosenberg projected, assuming Willis would have</w:t>
      </w:r>
    </w:p>
    <w:p w14:paraId="08B34085" w14:textId="77777777" w:rsidR="005D6817" w:rsidRDefault="005D6817" w:rsidP="005D6817">
      <w:pPr>
        <w:pStyle w:val="NoSpacing"/>
        <w:ind w:firstLine="720"/>
      </w:pPr>
      <w:r>
        <w:t>re-obtained rank of Captain during the remainder of his career.</w:t>
      </w:r>
    </w:p>
    <w:p w14:paraId="5FBEE589" w14:textId="77777777" w:rsidR="005D6817" w:rsidRDefault="005D6817" w:rsidP="005D6817">
      <w:pPr>
        <w:pStyle w:val="NoSpacing"/>
        <w:ind w:firstLine="720"/>
      </w:pPr>
    </w:p>
    <w:p w14:paraId="3978B3F4" w14:textId="77777777" w:rsidR="005D6817" w:rsidRDefault="005D6817" w:rsidP="005D6817">
      <w:pPr>
        <w:pStyle w:val="NoSpacing"/>
        <w:ind w:firstLine="720"/>
      </w:pPr>
      <w:r>
        <w:t>***</w:t>
      </w:r>
    </w:p>
    <w:p w14:paraId="669C62CB" w14:textId="77777777" w:rsidR="005D6817" w:rsidRDefault="005D6817" w:rsidP="005D6817">
      <w:pPr>
        <w:pStyle w:val="NoSpacing"/>
        <w:ind w:left="720"/>
      </w:pPr>
      <w:r>
        <w:t xml:space="preserve">Here, as discussed, Rosenberg [Joseph Rosenberg, a forensic economist] went further than flatly saying what he believed the </w:t>
      </w:r>
      <w:proofErr w:type="gramStart"/>
      <w:r>
        <w:t>damages were</w:t>
      </w:r>
      <w:proofErr w:type="gramEnd"/>
      <w:r>
        <w:t>. He presented the jury with four possible scenarios to guide their calculations. These scenarios were backed with data such as salary projections and excerpts from the firefighter’s handbook. The four forecasts were adjusted for multiple factors such as taxes, mortality rates over the years, and cost of living.</w:t>
      </w:r>
    </w:p>
    <w:p w14:paraId="1886E6B5" w14:textId="77777777" w:rsidR="005D6817" w:rsidRDefault="005D6817" w:rsidP="005D6817">
      <w:pPr>
        <w:pStyle w:val="NoSpacing"/>
        <w:ind w:left="720"/>
      </w:pPr>
    </w:p>
    <w:p w14:paraId="0A4D62E2" w14:textId="77777777" w:rsidR="005D6817" w:rsidRDefault="005D6817" w:rsidP="005D6817">
      <w:pPr>
        <w:pStyle w:val="NoSpacing"/>
        <w:ind w:left="720"/>
      </w:pPr>
      <w:r w:rsidRPr="00E328A8">
        <w:t>What is telling, however, is that the</w:t>
      </w:r>
      <w:r>
        <w:t xml:space="preserve"> jury’s award for backpay of $173,000.00 matched, almost precisely, the total award suggested by Rosenberg ($173,077.00) in one of his four possible scenarios. This suggests the jury </w:t>
      </w:r>
      <w:proofErr w:type="gramStart"/>
      <w:r>
        <w:t>considered</w:t>
      </w:r>
      <w:proofErr w:type="gramEnd"/>
      <w:r>
        <w:t xml:space="preserve"> the evidence and testimony presented, and their verdict reflected their understanding and intent to award Willis total economic damages. Thus, the evidence produced at trial rose above speculation, hypothesis, or conjecture, and it supported the jury’s verdict with reasonable certainty. Therefore, we affirm”</w:t>
      </w:r>
    </w:p>
    <w:p w14:paraId="55D72342" w14:textId="77777777" w:rsidR="005D6817" w:rsidRDefault="005D6817" w:rsidP="005D6817">
      <w:pPr>
        <w:pStyle w:val="NoSpacing"/>
        <w:ind w:left="720"/>
      </w:pPr>
    </w:p>
    <w:p w14:paraId="39708CCB" w14:textId="0C3240A5" w:rsidR="005D6817" w:rsidRDefault="005D6817" w:rsidP="005D6817">
      <w:pPr>
        <w:pStyle w:val="NoSpacing"/>
        <w:rPr>
          <w:b/>
          <w:bCs/>
        </w:rPr>
      </w:pPr>
      <w:r>
        <w:rPr>
          <w:b/>
        </w:rPr>
        <w:t>Legal lesson learned: The plaintiff won back pay</w:t>
      </w:r>
      <w:r w:rsidR="00C14B11">
        <w:rPr>
          <w:b/>
        </w:rPr>
        <w:t xml:space="preserve"> from the jury</w:t>
      </w:r>
      <w:r>
        <w:rPr>
          <w:b/>
        </w:rPr>
        <w:t xml:space="preserve">, </w:t>
      </w:r>
      <w:r w:rsidR="008F4842">
        <w:rPr>
          <w:b/>
        </w:rPr>
        <w:t xml:space="preserve">and </w:t>
      </w:r>
      <w:r>
        <w:rPr>
          <w:b/>
        </w:rPr>
        <w:t>the trial c</w:t>
      </w:r>
      <w:r w:rsidRPr="003E385E">
        <w:rPr>
          <w:b/>
        </w:rPr>
        <w:t xml:space="preserve">ourt </w:t>
      </w:r>
      <w:r>
        <w:rPr>
          <w:b/>
        </w:rPr>
        <w:t xml:space="preserve">judge </w:t>
      </w:r>
      <w:r w:rsidRPr="003E385E">
        <w:rPr>
          <w:b/>
        </w:rPr>
        <w:t>awarded $317,016.28 in attorneys’ fees and costs</w:t>
      </w:r>
      <w:r>
        <w:rPr>
          <w:b/>
        </w:rPr>
        <w:t xml:space="preserve"> </w:t>
      </w:r>
      <w:r w:rsidRPr="003E385E">
        <w:rPr>
          <w:b/>
        </w:rPr>
        <w:t>of $19,942.84.</w:t>
      </w:r>
    </w:p>
    <w:p w14:paraId="2DD61E37" w14:textId="77777777" w:rsidR="005D6817" w:rsidRDefault="005D6817" w:rsidP="005D6817">
      <w:pPr>
        <w:pStyle w:val="NoSpacing"/>
        <w:rPr>
          <w:b/>
          <w:bCs/>
        </w:rPr>
      </w:pPr>
    </w:p>
    <w:p w14:paraId="2864FF7C" w14:textId="77777777" w:rsidR="005D6817" w:rsidRDefault="005D6817" w:rsidP="00456C91">
      <w:pPr>
        <w:rPr>
          <w:rFonts w:ascii="Arial Black" w:hAnsi="Arial Black"/>
          <w:b/>
          <w:sz w:val="24"/>
          <w:szCs w:val="24"/>
        </w:rPr>
      </w:pPr>
    </w:p>
    <w:p w14:paraId="62928E9E" w14:textId="77777777" w:rsidR="005D6817" w:rsidRDefault="005D6817" w:rsidP="00456C91">
      <w:pPr>
        <w:rPr>
          <w:rFonts w:ascii="Arial Black" w:hAnsi="Arial Black"/>
          <w:b/>
          <w:sz w:val="24"/>
          <w:szCs w:val="24"/>
        </w:rPr>
      </w:pPr>
    </w:p>
    <w:p w14:paraId="08DBF633" w14:textId="56ED2433" w:rsidR="009D5C36" w:rsidRDefault="009D5C36" w:rsidP="00456C91">
      <w:pPr>
        <w:rPr>
          <w:rFonts w:ascii="Arial Black" w:hAnsi="Arial Black"/>
          <w:b/>
          <w:sz w:val="24"/>
          <w:szCs w:val="24"/>
        </w:rPr>
      </w:pPr>
      <w:r>
        <w:rPr>
          <w:rFonts w:ascii="Arial Black" w:hAnsi="Arial Black"/>
          <w:b/>
          <w:sz w:val="24"/>
          <w:szCs w:val="24"/>
        </w:rPr>
        <w:lastRenderedPageBreak/>
        <w:t>8-85</w:t>
      </w:r>
    </w:p>
    <w:p w14:paraId="567E36C3" w14:textId="77777777" w:rsidR="00E22376" w:rsidRPr="00586222" w:rsidRDefault="00E22376" w:rsidP="00E22376">
      <w:pPr>
        <w:pStyle w:val="NoSpacing"/>
        <w:rPr>
          <w:rFonts w:ascii="Arial Black" w:hAnsi="Arial Black"/>
          <w:sz w:val="28"/>
          <w:szCs w:val="28"/>
        </w:rPr>
      </w:pPr>
      <w:r>
        <w:rPr>
          <w:rFonts w:ascii="Arial Black" w:hAnsi="Arial Black"/>
          <w:sz w:val="28"/>
          <w:szCs w:val="28"/>
        </w:rPr>
        <w:t>CA: CAPT PROMOTION – PAPERWORK ERROR / NOT RACE</w:t>
      </w:r>
    </w:p>
    <w:p w14:paraId="4307C9EE" w14:textId="77777777" w:rsidR="00E22376" w:rsidRDefault="00E22376" w:rsidP="00E22376">
      <w:pPr>
        <w:pStyle w:val="NoSpacing"/>
      </w:pPr>
    </w:p>
    <w:p w14:paraId="1CDA894D" w14:textId="77777777" w:rsidR="00E22376" w:rsidRDefault="00E22376" w:rsidP="00E22376">
      <w:pPr>
        <w:pStyle w:val="NoSpacing"/>
        <w:rPr>
          <w:b/>
        </w:rPr>
      </w:pPr>
      <w:r>
        <w:t xml:space="preserve">On Oct. 21, 2025, in </w:t>
      </w:r>
      <w:r w:rsidRPr="00032EE9">
        <w:rPr>
          <w:u w:val="single"/>
        </w:rPr>
        <w:t>Christopher Davis v. County of Los Angeles</w:t>
      </w:r>
      <w:r>
        <w:t xml:space="preserve">, the </w:t>
      </w:r>
      <w:r w:rsidRPr="00032EE9">
        <w:t xml:space="preserve">California Court of </w:t>
      </w:r>
      <w:proofErr w:type="gramStart"/>
      <w:r w:rsidRPr="00032EE9">
        <w:t>Appeals</w:t>
      </w:r>
      <w:proofErr w:type="gramEnd"/>
      <w:r w:rsidRPr="00032EE9">
        <w:t>, Second District, Second Division</w:t>
      </w:r>
      <w:r>
        <w:t xml:space="preserve"> held (3 to 0) that trial court granted summary judgment to the County. He was not promoted to Captain in 2018; his Captain (also </w:t>
      </w:r>
      <w:proofErr w:type="gramStart"/>
      <w:r>
        <w:t>African-American</w:t>
      </w:r>
      <w:proofErr w:type="gramEnd"/>
      <w:r>
        <w:t xml:space="preserve">) prepared a memo updating plaintiff’s work activities (7 “Emergency Action Plan” activities, instead of 2 ) but memo never made it into FF’s personnel file. Six other candidates had similar issues with lack of records in their personnel file.   He was promoted in 2021 with corrected paperwork in his file.  </w:t>
      </w:r>
      <w:hyperlink r:id="rId1499" w:history="1">
        <w:r w:rsidRPr="00222699">
          <w:rPr>
            <w:rStyle w:val="Hyperlink"/>
            <w:b/>
          </w:rPr>
          <w:t>https://www4.courts.ca.gov/opinions/nonpub/B332575.PDF</w:t>
        </w:r>
      </w:hyperlink>
      <w:r>
        <w:rPr>
          <w:b/>
        </w:rPr>
        <w:t xml:space="preserve"> </w:t>
      </w:r>
    </w:p>
    <w:p w14:paraId="06D220A6" w14:textId="77777777" w:rsidR="00E22376" w:rsidRDefault="00E22376" w:rsidP="00E22376">
      <w:pPr>
        <w:pStyle w:val="NoSpacing"/>
        <w:rPr>
          <w:bCs/>
        </w:rPr>
      </w:pPr>
    </w:p>
    <w:p w14:paraId="463B3355" w14:textId="77777777" w:rsidR="00E22376" w:rsidRDefault="00E22376" w:rsidP="00E22376">
      <w:pPr>
        <w:pStyle w:val="NoSpacing"/>
        <w:rPr>
          <w:bCs/>
        </w:rPr>
      </w:pPr>
      <w:r>
        <w:t xml:space="preserve">THE COURT HELD:  </w:t>
      </w:r>
    </w:p>
    <w:p w14:paraId="682D121A" w14:textId="77777777" w:rsidR="00E22376" w:rsidRDefault="00E22376" w:rsidP="00E22376">
      <w:pPr>
        <w:pStyle w:val="NoSpacing"/>
        <w:rPr>
          <w:bCs/>
        </w:rPr>
      </w:pPr>
    </w:p>
    <w:p w14:paraId="241C6190" w14:textId="77777777" w:rsidR="00E22376" w:rsidRDefault="00E22376" w:rsidP="00E22376">
      <w:pPr>
        <w:pStyle w:val="NoSpacing"/>
        <w:ind w:left="720"/>
      </w:pPr>
      <w:r>
        <w:t xml:space="preserve">“First, there is no evidence the fire department—led by an </w:t>
      </w:r>
      <w:proofErr w:type="gramStart"/>
      <w:r>
        <w:t>African-American</w:t>
      </w:r>
      <w:proofErr w:type="gramEnd"/>
      <w:r>
        <w:t xml:space="preserve"> fire chief—harbored discriminatory intent. Davis’s direct supervisor, Captain Williams, is </w:t>
      </w:r>
      <w:proofErr w:type="gramStart"/>
      <w:r>
        <w:t>African-American</w:t>
      </w:r>
      <w:proofErr w:type="gramEnd"/>
      <w:r>
        <w:t xml:space="preserve">. Eleven </w:t>
      </w:r>
      <w:proofErr w:type="gramStart"/>
      <w:r>
        <w:t>African-Americans</w:t>
      </w:r>
      <w:proofErr w:type="gramEnd"/>
      <w:r>
        <w:t xml:space="preserve"> applied for a captainship, and 10 of them were promoted. Davis himself was promoted to captain the next year when he reapplied using improved paperwork.</w:t>
      </w:r>
    </w:p>
    <w:p w14:paraId="6FD79D4A" w14:textId="77777777" w:rsidR="00E22376" w:rsidRDefault="00E22376" w:rsidP="00E22376">
      <w:pPr>
        <w:pStyle w:val="NoSpacing"/>
        <w:ind w:left="720"/>
      </w:pPr>
    </w:p>
    <w:p w14:paraId="3DBA00C4" w14:textId="77777777" w:rsidR="00E22376" w:rsidRDefault="00E22376" w:rsidP="00E22376">
      <w:pPr>
        <w:pStyle w:val="NoSpacing"/>
        <w:ind w:left="720"/>
      </w:pPr>
      <w:r>
        <w:t>***</w:t>
      </w:r>
    </w:p>
    <w:p w14:paraId="23BC33CD" w14:textId="77777777" w:rsidR="00E22376" w:rsidRPr="004A682C" w:rsidRDefault="00E22376" w:rsidP="00E22376">
      <w:pPr>
        <w:pStyle w:val="NoSpacing"/>
        <w:ind w:left="720"/>
        <w:rPr>
          <w:bCs/>
        </w:rPr>
      </w:pPr>
    </w:p>
    <w:p w14:paraId="061BF5B9" w14:textId="77777777" w:rsidR="00E22376" w:rsidRDefault="00E22376" w:rsidP="00E22376">
      <w:pPr>
        <w:pStyle w:val="NoSpacing"/>
        <w:ind w:left="720"/>
      </w:pPr>
      <w:r>
        <w:t xml:space="preserve">Davis’s description of events in his brief shows his promotion was delayed by administrative error. He writes that his supervisor, Captain </w:t>
      </w:r>
      <w:proofErr w:type="gramStart"/>
      <w:r>
        <w:t>Williams, ‘</w:t>
      </w:r>
      <w:proofErr w:type="gramEnd"/>
      <w:r>
        <w:t xml:space="preserve">originally failed to include a list of [Davis’s] EAP’s in </w:t>
      </w:r>
      <w:proofErr w:type="spellStart"/>
      <w:r>
        <w:t>Davis’</w:t>
      </w:r>
      <w:proofErr w:type="spellEnd"/>
      <w:r>
        <w:t xml:space="preserve"> Performance Evaluation.’ Davis does not claim Williams, who is </w:t>
      </w:r>
      <w:proofErr w:type="gramStart"/>
      <w:r>
        <w:t>African-American</w:t>
      </w:r>
      <w:proofErr w:type="gramEnd"/>
      <w:r>
        <w:t xml:space="preserve">, was motivated by racism. Davis further writes that Williams agreed to amend the evaluation, and ‘was expected to send the amended page to the appropriate person or department such that the Performance Evaluation could be officially amended and an amended copy placed in </w:t>
      </w:r>
      <w:proofErr w:type="spellStart"/>
      <w:r>
        <w:t>Davis’</w:t>
      </w:r>
      <w:proofErr w:type="spellEnd"/>
      <w:r>
        <w:t xml:space="preserve"> personnel file. . . . While Williams intended to send the amendment page of the performance evaluation up through channels, Davis later discovered his performance evaluation that should have contained the amendment was not back in his personnel file. He surmises, ‘it is highly likely that the amended performance evaluation got lost in the chain.’</w:t>
      </w:r>
    </w:p>
    <w:p w14:paraId="79AE8129" w14:textId="77777777" w:rsidR="00E22376" w:rsidRDefault="00E22376" w:rsidP="00E22376">
      <w:pPr>
        <w:pStyle w:val="NoSpacing"/>
        <w:ind w:left="720"/>
      </w:pPr>
    </w:p>
    <w:p w14:paraId="369E029F" w14:textId="77777777" w:rsidR="00E22376" w:rsidRDefault="00E22376" w:rsidP="00E22376">
      <w:pPr>
        <w:pStyle w:val="NoSpacing"/>
        <w:ind w:left="720"/>
      </w:pPr>
      <w:r>
        <w:t>***</w:t>
      </w:r>
    </w:p>
    <w:p w14:paraId="66D769FF" w14:textId="77777777" w:rsidR="00E22376" w:rsidRDefault="00E22376" w:rsidP="00E22376">
      <w:pPr>
        <w:pStyle w:val="NoSpacing"/>
        <w:ind w:left="720"/>
      </w:pPr>
      <w:r>
        <w:t>County offered evidence that six candidates of various races (Latino, White, and Filipino) were denied points for insufficiently documented work activities; Davis was not treated differently.”</w:t>
      </w:r>
    </w:p>
    <w:p w14:paraId="710A4C7A" w14:textId="77777777" w:rsidR="00E22376" w:rsidRDefault="00E22376" w:rsidP="00E22376">
      <w:pPr>
        <w:pStyle w:val="NoSpacing"/>
        <w:ind w:left="720"/>
      </w:pPr>
    </w:p>
    <w:p w14:paraId="3324D34A" w14:textId="7F8AA682" w:rsidR="00E22376" w:rsidRDefault="00E22376" w:rsidP="00E22376">
      <w:pPr>
        <w:pStyle w:val="NoSpacing"/>
        <w:rPr>
          <w:b/>
          <w:bCs/>
        </w:rPr>
      </w:pPr>
      <w:r>
        <w:rPr>
          <w:b/>
        </w:rPr>
        <w:t xml:space="preserve">Lesson learned: The County proved that there was a paperwork issue, </w:t>
      </w:r>
      <w:proofErr w:type="gramStart"/>
      <w:r>
        <w:rPr>
          <w:b/>
        </w:rPr>
        <w:t>similar to</w:t>
      </w:r>
      <w:proofErr w:type="gramEnd"/>
      <w:r>
        <w:rPr>
          <w:b/>
        </w:rPr>
        <w:t xml:space="preserve"> six other candidates, not race.  </w:t>
      </w:r>
    </w:p>
    <w:p w14:paraId="0CF017CB" w14:textId="77777777" w:rsidR="009D5C36" w:rsidRDefault="009D5C36" w:rsidP="00456C91">
      <w:pPr>
        <w:rPr>
          <w:rFonts w:ascii="Arial Black" w:hAnsi="Arial Black"/>
          <w:b/>
          <w:sz w:val="24"/>
          <w:szCs w:val="24"/>
        </w:rPr>
      </w:pPr>
    </w:p>
    <w:p w14:paraId="1D8FC3DD" w14:textId="77777777" w:rsidR="001B367D" w:rsidRDefault="001B367D" w:rsidP="00456C91">
      <w:pPr>
        <w:rPr>
          <w:rFonts w:ascii="Arial Black" w:hAnsi="Arial Black"/>
          <w:b/>
          <w:sz w:val="24"/>
          <w:szCs w:val="24"/>
        </w:rPr>
      </w:pPr>
    </w:p>
    <w:p w14:paraId="1E6F89B8" w14:textId="7E002B3E" w:rsidR="001B367D" w:rsidRDefault="001B367D" w:rsidP="00456C91">
      <w:pPr>
        <w:rPr>
          <w:rFonts w:ascii="Arial Black" w:hAnsi="Arial Black"/>
          <w:b/>
          <w:sz w:val="24"/>
          <w:szCs w:val="24"/>
        </w:rPr>
      </w:pPr>
      <w:r>
        <w:rPr>
          <w:rFonts w:ascii="Arial Black" w:hAnsi="Arial Black"/>
          <w:b/>
          <w:sz w:val="24"/>
          <w:szCs w:val="24"/>
        </w:rPr>
        <w:t>8-84</w:t>
      </w:r>
    </w:p>
    <w:p w14:paraId="4805D631" w14:textId="1703EA61" w:rsidR="00BE5492" w:rsidRDefault="00BE5492" w:rsidP="00BE5492">
      <w:pPr>
        <w:pStyle w:val="NoSpacing"/>
        <w:rPr>
          <w:rFonts w:ascii="Arial Black" w:hAnsi="Arial Black"/>
          <w:sz w:val="28"/>
          <w:szCs w:val="28"/>
        </w:rPr>
      </w:pPr>
      <w:r>
        <w:rPr>
          <w:rFonts w:ascii="Arial Black" w:hAnsi="Arial Black"/>
          <w:sz w:val="28"/>
          <w:szCs w:val="28"/>
        </w:rPr>
        <w:t>LA: NOT RACE  – COMPETENCY EXAM</w:t>
      </w:r>
      <w:r w:rsidR="0012290C">
        <w:rPr>
          <w:rFonts w:ascii="Arial Black" w:hAnsi="Arial Black"/>
          <w:sz w:val="28"/>
          <w:szCs w:val="28"/>
        </w:rPr>
        <w:t xml:space="preserve"> IN</w:t>
      </w:r>
      <w:r>
        <w:rPr>
          <w:rFonts w:ascii="Arial Black" w:hAnsi="Arial Black"/>
          <w:sz w:val="28"/>
          <w:szCs w:val="28"/>
        </w:rPr>
        <w:t xml:space="preserve"> PRE-PLANS JOB REQ. </w:t>
      </w:r>
    </w:p>
    <w:p w14:paraId="22F6F27D" w14:textId="77777777" w:rsidR="00BE5492" w:rsidRDefault="00BE5492" w:rsidP="00BE5492">
      <w:pPr>
        <w:pStyle w:val="NoSpacing"/>
      </w:pPr>
    </w:p>
    <w:p w14:paraId="76C17355" w14:textId="77777777" w:rsidR="00BE5492" w:rsidRPr="005D412D" w:rsidRDefault="00BE5492" w:rsidP="00BE5492">
      <w:pPr>
        <w:pStyle w:val="NoSpacing"/>
        <w:rPr>
          <w:bCs/>
        </w:rPr>
      </w:pPr>
      <w:r>
        <w:t xml:space="preserve">On Oct. 17, 2025, in </w:t>
      </w:r>
      <w:r w:rsidRPr="005D412D">
        <w:rPr>
          <w:u w:val="single"/>
        </w:rPr>
        <w:t>Felicia Scroggins v. City of Shreveport</w:t>
      </w:r>
      <w:r w:rsidRPr="005D412D">
        <w:t xml:space="preserve">, </w:t>
      </w:r>
      <w:r>
        <w:t>the U.S. Court of Appeals for 5</w:t>
      </w:r>
      <w:r w:rsidRPr="005D412D">
        <w:rPr>
          <w:vertAlign w:val="superscript"/>
        </w:rPr>
        <w:t>th</w:t>
      </w:r>
      <w:r>
        <w:t xml:space="preserve"> Circuit (New Orleans) upheld (3 to 0) the dismissal of her race and sex discrimination lawsuit. In her pro se appeal brief “</w:t>
      </w:r>
      <w:r w:rsidRPr="00012AD3">
        <w:t>of the ten cases Scroggins cites, four appear to be fake</w:t>
      </w:r>
      <w:r>
        <w:t>.”  The fire department conducted a competency exam for personnel seeking to join the pre-plan review unit;   she didn’t even take the exam for the second bid process. Court held that the U.S. District Court judge granted summary judgment to the city, and “</w:t>
      </w:r>
      <w:r w:rsidRPr="00AE3FCF">
        <w:t xml:space="preserve">explained that she had failed to </w:t>
      </w:r>
      <w:r>
        <w:t>‘</w:t>
      </w:r>
      <w:r w:rsidRPr="00AE3FCF">
        <w:t>produce[] . . .</w:t>
      </w:r>
      <w:r>
        <w:t xml:space="preserve"> </w:t>
      </w:r>
      <w:r w:rsidRPr="00AE3FCF">
        <w:t>competent summary judgment evidence</w:t>
      </w:r>
      <w:r>
        <w:t>’</w:t>
      </w:r>
      <w:r w:rsidRPr="00AE3FCF">
        <w:t xml:space="preserve"> of pretext necessary to survive</w:t>
      </w:r>
      <w:r>
        <w:t xml:space="preserve"> </w:t>
      </w:r>
      <w:r w:rsidRPr="00AE3FCF">
        <w:t>summary judgment on any theory of retaliation</w:t>
      </w:r>
      <w:r>
        <w:t xml:space="preserve">… </w:t>
      </w:r>
      <w:r w:rsidRPr="00AE3FCF">
        <w:t>She points us to no part of</w:t>
      </w:r>
      <w:r>
        <w:t xml:space="preserve"> </w:t>
      </w:r>
      <w:r w:rsidRPr="00AE3FCF">
        <w:t>the record showing otherwise and has accordingly forfeited her challenge.</w:t>
      </w:r>
      <w:r>
        <w:t xml:space="preserve">” </w:t>
      </w:r>
      <w:r w:rsidRPr="00226503">
        <w:t>Scroggins ceased employment with the SFD in January 2023.</w:t>
      </w:r>
    </w:p>
    <w:p w14:paraId="7672807B" w14:textId="77777777" w:rsidR="00BE5492" w:rsidRDefault="00BE5492" w:rsidP="00BE5492">
      <w:pPr>
        <w:pStyle w:val="NoSpacing"/>
        <w:rPr>
          <w:bCs/>
        </w:rPr>
      </w:pPr>
      <w:hyperlink r:id="rId1500" w:history="1">
        <w:r w:rsidRPr="00D86B5D">
          <w:rPr>
            <w:rStyle w:val="Hyperlink"/>
          </w:rPr>
          <w:t>https://www.ca5.uscourts.gov/opinions/pub/24/24-30777-CV0.pdf</w:t>
        </w:r>
      </w:hyperlink>
      <w:r>
        <w:t xml:space="preserve"> </w:t>
      </w:r>
    </w:p>
    <w:p w14:paraId="21B7F196" w14:textId="77777777" w:rsidR="00BE5492" w:rsidRDefault="00BE5492" w:rsidP="00BE5492">
      <w:pPr>
        <w:pStyle w:val="NoSpacing"/>
        <w:rPr>
          <w:bCs/>
        </w:rPr>
      </w:pPr>
    </w:p>
    <w:p w14:paraId="28BBC78F" w14:textId="77777777" w:rsidR="00BE5492" w:rsidRDefault="00BE5492" w:rsidP="00BE5492">
      <w:pPr>
        <w:pStyle w:val="NoSpacing"/>
        <w:rPr>
          <w:bCs/>
        </w:rPr>
      </w:pPr>
      <w:r>
        <w:t xml:space="preserve">THE DISRICT COURT HOLDING: </w:t>
      </w:r>
    </w:p>
    <w:p w14:paraId="46E3780A" w14:textId="77777777" w:rsidR="00BE5492" w:rsidRDefault="00BE5492" w:rsidP="00BE5492">
      <w:pPr>
        <w:pStyle w:val="NoSpacing"/>
        <w:rPr>
          <w:bCs/>
        </w:rPr>
      </w:pPr>
    </w:p>
    <w:p w14:paraId="1F80EF3A" w14:textId="77777777" w:rsidR="00BE5492" w:rsidRDefault="00BE5492" w:rsidP="00BE5492">
      <w:pPr>
        <w:pStyle w:val="NoSpacing"/>
        <w:rPr>
          <w:bCs/>
        </w:rPr>
      </w:pPr>
      <w:r>
        <w:t xml:space="preserve">On Nov. 13, 2024, United States District Court Judge S. Maurica Hicks, Jr. granted summary judgment to the </w:t>
      </w:r>
      <w:proofErr w:type="gramStart"/>
      <w:r>
        <w:t>City</w:t>
      </w:r>
      <w:proofErr w:type="gramEnd"/>
      <w:r>
        <w:t xml:space="preserve">. </w:t>
      </w:r>
      <w:hyperlink r:id="rId1501" w:history="1">
        <w:r w:rsidRPr="00D86B5D">
          <w:rPr>
            <w:rStyle w:val="Hyperlink"/>
          </w:rPr>
          <w:t>https://www.casemine.com/judgement/us/6736ce6c5891a561b0d805aa</w:t>
        </w:r>
      </w:hyperlink>
      <w:r>
        <w:t xml:space="preserve"> </w:t>
      </w:r>
    </w:p>
    <w:p w14:paraId="30664483" w14:textId="77777777" w:rsidR="00BE5492" w:rsidRDefault="00BE5492" w:rsidP="00BE5492">
      <w:pPr>
        <w:pStyle w:val="NoSpacing"/>
      </w:pPr>
    </w:p>
    <w:p w14:paraId="5E5F1128" w14:textId="77777777" w:rsidR="00BE5492" w:rsidRPr="000E3394" w:rsidRDefault="00BE5492" w:rsidP="00BE5492">
      <w:pPr>
        <w:pStyle w:val="NoSpacing"/>
      </w:pPr>
      <w:r>
        <w:tab/>
        <w:t>“</w:t>
      </w:r>
      <w:r w:rsidRPr="000E3394">
        <w:t>In his sworn declaration, Chief Scott Wolverton (</w:t>
      </w:r>
      <w:r>
        <w:t>‘</w:t>
      </w:r>
      <w:r w:rsidRPr="000E3394">
        <w:t>Chief Wolverton</w:t>
      </w:r>
      <w:r>
        <w:t>’</w:t>
      </w:r>
      <w:r w:rsidRPr="000E3394">
        <w:t xml:space="preserve">) stated: </w:t>
      </w:r>
    </w:p>
    <w:p w14:paraId="002214E2" w14:textId="77777777" w:rsidR="00BE5492" w:rsidRDefault="00BE5492" w:rsidP="00BE5492">
      <w:pPr>
        <w:pStyle w:val="NoSpacing"/>
        <w:ind w:left="1440"/>
      </w:pPr>
      <w:r w:rsidRPr="000E3394">
        <w:t xml:space="preserve">After I became Chief in February 2015, I decided to implement a competency test on pre-plans for all SFD personnel bidding for as assignment at Station 22. I did so to ensure that Station 22 would be staffed </w:t>
      </w:r>
      <w:r>
        <w:t xml:space="preserve"> </w:t>
      </w:r>
      <w:r w:rsidRPr="000E3394">
        <w:t>by individuals that were the most knowledgeable on pre-</w:t>
      </w:r>
      <w:proofErr w:type="gramStart"/>
      <w:r w:rsidRPr="000E3394">
        <w:t>plans</w:t>
      </w:r>
      <w:proofErr w:type="gramEnd"/>
      <w:r w:rsidRPr="000E3394">
        <w:t xml:space="preserve">, because they are vitally important to the SFD's mission and operations. </w:t>
      </w:r>
    </w:p>
    <w:p w14:paraId="3687E46A" w14:textId="77777777" w:rsidR="00BE5492" w:rsidRDefault="00BE5492" w:rsidP="00BE5492">
      <w:pPr>
        <w:pStyle w:val="NoSpacing"/>
      </w:pPr>
      <w:r>
        <w:tab/>
        <w:t>***</w:t>
      </w:r>
    </w:p>
    <w:p w14:paraId="165286D6" w14:textId="77777777" w:rsidR="00BE5492" w:rsidRDefault="00BE5492" w:rsidP="00BE5492">
      <w:pPr>
        <w:pStyle w:val="NoSpacing"/>
      </w:pPr>
    </w:p>
    <w:p w14:paraId="770B76D0" w14:textId="77777777" w:rsidR="00BE5492" w:rsidRDefault="00BE5492" w:rsidP="00BE5492">
      <w:pPr>
        <w:pStyle w:val="NoSpacing"/>
        <w:ind w:left="720"/>
      </w:pPr>
      <w:r w:rsidRPr="007805E1">
        <w:t>On August 10, 2015, Deputy Chief Jones issued an Inter-Office Memorandum to all SFD personnel advising that all personnel - regardless of rank - bidding for a position at Station 22 would be required to complete a competency test to ensure they have the necessary skills for the assignment</w:t>
      </w:r>
      <w:r>
        <w:t>….</w:t>
      </w:r>
      <w:r w:rsidRPr="005C5356">
        <w:t>The competency test was administered between September 10-16, 2015</w:t>
      </w:r>
      <w:r>
        <w:t xml:space="preserve">…. </w:t>
      </w:r>
      <w:r w:rsidRPr="007D1E86">
        <w:t>Scroggins admits that she “chose not to even begin the test.”</w:t>
      </w:r>
    </w:p>
    <w:p w14:paraId="0DD9F6D0" w14:textId="77777777" w:rsidR="00BE5492" w:rsidRDefault="00BE5492" w:rsidP="00BE5492">
      <w:pPr>
        <w:pStyle w:val="NoSpacing"/>
        <w:ind w:left="720"/>
      </w:pPr>
    </w:p>
    <w:p w14:paraId="7DDE36BE" w14:textId="04273A6C" w:rsidR="00BE5492" w:rsidRPr="008D55C4" w:rsidRDefault="00BE5492" w:rsidP="00BE5492">
      <w:pPr>
        <w:pStyle w:val="NoSpacing"/>
        <w:rPr>
          <w:b/>
          <w:bCs/>
        </w:rPr>
      </w:pPr>
      <w:r>
        <w:rPr>
          <w:b/>
        </w:rPr>
        <w:t>Lesson learned: Competency exam is excellent way to fill a pre-plan review position.</w:t>
      </w:r>
    </w:p>
    <w:p w14:paraId="50E7052B" w14:textId="77777777" w:rsidR="00BE5492" w:rsidRDefault="00BE5492" w:rsidP="00BE5492">
      <w:pPr>
        <w:pStyle w:val="NoSpacing"/>
        <w:ind w:left="720"/>
      </w:pPr>
    </w:p>
    <w:p w14:paraId="03710A78" w14:textId="77777777" w:rsidR="009D5C36" w:rsidRDefault="009D5C36" w:rsidP="00456C91">
      <w:pPr>
        <w:rPr>
          <w:rFonts w:ascii="Arial Black" w:hAnsi="Arial Black"/>
          <w:b/>
          <w:sz w:val="24"/>
          <w:szCs w:val="24"/>
        </w:rPr>
      </w:pPr>
    </w:p>
    <w:p w14:paraId="22A92447" w14:textId="5560F3AD" w:rsidR="000F3890" w:rsidRDefault="000F3890" w:rsidP="00456C91">
      <w:pPr>
        <w:rPr>
          <w:rFonts w:ascii="Arial Black" w:hAnsi="Arial Black"/>
          <w:b/>
          <w:sz w:val="24"/>
          <w:szCs w:val="24"/>
        </w:rPr>
      </w:pPr>
      <w:r>
        <w:rPr>
          <w:rFonts w:ascii="Arial Black" w:hAnsi="Arial Black"/>
          <w:b/>
          <w:sz w:val="24"/>
          <w:szCs w:val="24"/>
        </w:rPr>
        <w:t>8-83</w:t>
      </w:r>
    </w:p>
    <w:p w14:paraId="6E4CA291" w14:textId="77777777" w:rsidR="000F3890" w:rsidRDefault="000F3890" w:rsidP="000F3890">
      <w:pPr>
        <w:rPr>
          <w:rFonts w:ascii="Arial Black" w:hAnsi="Arial Black"/>
          <w:b/>
          <w:sz w:val="28"/>
          <w:szCs w:val="28"/>
        </w:rPr>
      </w:pPr>
      <w:r>
        <w:rPr>
          <w:rFonts w:ascii="Arial Black" w:hAnsi="Arial Black"/>
          <w:b/>
          <w:sz w:val="28"/>
          <w:szCs w:val="28"/>
        </w:rPr>
        <w:t xml:space="preserve">KS: PROMOTION 4 D/C – PANEL RATED BLACK LOWEST </w:t>
      </w:r>
    </w:p>
    <w:p w14:paraId="0D05824D" w14:textId="77777777" w:rsidR="000F3890" w:rsidRDefault="000F3890" w:rsidP="000F3890">
      <w:pPr>
        <w:rPr>
          <w:bCs/>
        </w:rPr>
      </w:pPr>
      <w:r w:rsidRPr="00291724">
        <w:t xml:space="preserve">On Sept. 3, 2025, in </w:t>
      </w:r>
      <w:r w:rsidRPr="00291724">
        <w:rPr>
          <w:u w:val="single"/>
        </w:rPr>
        <w:t>Brently Dorsey v. City of Topeka, Kansas</w:t>
      </w:r>
      <w:r w:rsidRPr="00291724">
        <w:t xml:space="preserve">, </w:t>
      </w:r>
      <w:r>
        <w:t xml:space="preserve">U.S. District Court Judge Holly L. Teeter, United States District Court for District of Kansas, granted defense motion for summary judgment after close of discovery concerning Black Captain’s allegations of race discrimination and violation of Americans with Disabilities Act.  He had been on light duty for </w:t>
      </w:r>
      <w:r w:rsidRPr="00F54F8D">
        <w:t>leukemia</w:t>
      </w:r>
      <w:r>
        <w:t xml:space="preserve">. Seven candidates were interviewed for the four open District Chief positions.  They were interviewed by panel of four (3 outside the FD ).  Plaintiff scored lowest (117 points); four highest were promoted (174; 168; 164; 161).  </w:t>
      </w:r>
    </w:p>
    <w:p w14:paraId="27646D8F" w14:textId="77777777" w:rsidR="000F3890" w:rsidRDefault="000F3890" w:rsidP="000F3890">
      <w:r w:rsidRPr="0028702B">
        <w:rPr>
          <w:b/>
        </w:rPr>
        <w:t xml:space="preserve">THE COURT HELD: </w:t>
      </w:r>
      <w:r>
        <w:t>“</w:t>
      </w:r>
      <w:r w:rsidRPr="00404A20">
        <w:t xml:space="preserve">He scored seventh out of seven and there were only four open Division Chief positions. The promotions went to the top four scorers…. </w:t>
      </w:r>
      <w:r w:rsidRPr="003C5836">
        <w:t>In sum, Dorsey points to almost nothing that would allow a factfinder to believe that the stated, non-discriminatory reason for the promotions was unworthy of belief</w:t>
      </w:r>
      <w:r>
        <w:t xml:space="preserve">…. </w:t>
      </w:r>
      <w:r w:rsidRPr="000F378A">
        <w:t xml:space="preserve">But there is nothing in the record that </w:t>
      </w:r>
      <w:r>
        <w:t xml:space="preserve">[Fire Chief Randy] </w:t>
      </w:r>
      <w:r w:rsidRPr="000F378A">
        <w:t>Phillips</w:t>
      </w:r>
      <w:r>
        <w:t xml:space="preserve"> (white male)</w:t>
      </w:r>
      <w:r w:rsidRPr="000F378A">
        <w:t xml:space="preserve"> or </w:t>
      </w:r>
      <w:r>
        <w:t xml:space="preserve">[Deputy </w:t>
      </w:r>
      <w:r w:rsidRPr="004D25A2">
        <w:t>Antony</w:t>
      </w:r>
      <w:r>
        <w:t xml:space="preserve">] </w:t>
      </w:r>
      <w:r w:rsidRPr="000F378A">
        <w:t xml:space="preserve">Standifer </w:t>
      </w:r>
      <w:r>
        <w:t xml:space="preserve">(Hispanic male) </w:t>
      </w:r>
      <w:r w:rsidRPr="000F378A">
        <w:t>have any racial animus toward Dorsey or anyone else. Dorsey is not entitled to a trial for race discrimination simply because there have been historical issues or because other firefighters have brought claims of race discrimination unrelated to this case. Mere conjecture that race discrimination is afoot is not enough to defeat summary judgment.</w:t>
      </w:r>
      <w:r>
        <w:t xml:space="preserve">” </w:t>
      </w:r>
      <w:hyperlink r:id="rId1502" w:history="1">
        <w:r w:rsidRPr="00204094">
          <w:rPr>
            <w:rStyle w:val="Hyperlink"/>
          </w:rPr>
          <w:t>https://cases.justia.com/federal/district-courts/kansas/ksdce/2:2023cv02422/149254/113/0.pdf?ts=1756979784</w:t>
        </w:r>
      </w:hyperlink>
      <w:r>
        <w:t xml:space="preserve"> </w:t>
      </w:r>
    </w:p>
    <w:p w14:paraId="52CBD985" w14:textId="77777777" w:rsidR="000F3890" w:rsidRPr="008A2BFE" w:rsidRDefault="000F3890" w:rsidP="000F3890">
      <w:pPr>
        <w:rPr>
          <w:b/>
          <w:bCs/>
        </w:rPr>
      </w:pPr>
      <w:r w:rsidRPr="008A2BFE">
        <w:rPr>
          <w:b/>
        </w:rPr>
        <w:t xml:space="preserve">KEY FACTS: </w:t>
      </w:r>
    </w:p>
    <w:p w14:paraId="7164A399" w14:textId="77777777" w:rsidR="000F3890" w:rsidRDefault="000F3890" w:rsidP="000F3890">
      <w:pPr>
        <w:pStyle w:val="NoSpacing"/>
        <w:ind w:left="720"/>
      </w:pPr>
      <w:r>
        <w:t xml:space="preserve">“Dorsey was not promoted to Division Chief in 2022 and contends the decision not to promote him was discrimination based on race and disability. The </w:t>
      </w:r>
      <w:proofErr w:type="gramStart"/>
      <w:r>
        <w:t>City</w:t>
      </w:r>
      <w:proofErr w:type="gramEnd"/>
      <w:r>
        <w:t xml:space="preserve"> contends it did not promote Dorsey because he received the lowest scores. The </w:t>
      </w:r>
      <w:proofErr w:type="gramStart"/>
      <w:r>
        <w:t>City</w:t>
      </w:r>
      <w:proofErr w:type="gramEnd"/>
      <w:r>
        <w:t xml:space="preserve"> notes that Dorsey and six others interviewed for four open positions. Dorsey scored the lowest; the top four scorers were promoted into the four open positions. The </w:t>
      </w:r>
      <w:proofErr w:type="gramStart"/>
      <w:r>
        <w:t>City</w:t>
      </w:r>
      <w:proofErr w:type="gramEnd"/>
      <w:r>
        <w:t xml:space="preserve"> moves for summary judgment on all claims. Doc. 97.</w:t>
      </w:r>
    </w:p>
    <w:p w14:paraId="3CE50E15" w14:textId="77777777" w:rsidR="000F3890" w:rsidRDefault="000F3890" w:rsidP="000F3890">
      <w:pPr>
        <w:pStyle w:val="NoSpacing"/>
        <w:ind w:left="720"/>
      </w:pPr>
    </w:p>
    <w:p w14:paraId="3A5A0BE1" w14:textId="77777777" w:rsidR="000F3890" w:rsidRDefault="000F3890" w:rsidP="000F3890">
      <w:pPr>
        <w:pStyle w:val="NoSpacing"/>
        <w:ind w:left="720"/>
      </w:pPr>
      <w:r>
        <w:lastRenderedPageBreak/>
        <w:t xml:space="preserve">The Court grants the motion and enters judgment in favor of the </w:t>
      </w:r>
      <w:proofErr w:type="gramStart"/>
      <w:r>
        <w:t>City</w:t>
      </w:r>
      <w:proofErr w:type="gramEnd"/>
      <w:r>
        <w:t>. Dorsey’s claim for</w:t>
      </w:r>
    </w:p>
    <w:p w14:paraId="2B867ED2" w14:textId="77777777" w:rsidR="000F3890" w:rsidRDefault="000F3890" w:rsidP="000F3890">
      <w:pPr>
        <w:pStyle w:val="NoSpacing"/>
        <w:ind w:left="720"/>
      </w:pPr>
      <w:r>
        <w:t xml:space="preserve">race discrimination fails because he has not come forward with evidence of pretext. Dorsey’s claim for disability discrimination fails because he can’t show discrimination or pretext. Dorsey’s claim for constructive discharge fails because he voluntarily retired. And Dorsey’s failure-to-accommodate claim fails because a promotion is not a reasonable accommodation and because </w:t>
      </w:r>
      <w:proofErr w:type="spellStart"/>
      <w:r>
        <w:t>hewas</w:t>
      </w:r>
      <w:proofErr w:type="spellEnd"/>
      <w:r>
        <w:t xml:space="preserve"> otherwise accommodated until he voluntarily retired.”</w:t>
      </w:r>
    </w:p>
    <w:p w14:paraId="61BC0E16" w14:textId="77777777" w:rsidR="000F3890" w:rsidRDefault="000F3890" w:rsidP="000F3890"/>
    <w:p w14:paraId="06754CFE" w14:textId="77777777" w:rsidR="000F3890" w:rsidRPr="00272DFC" w:rsidRDefault="000F3890" w:rsidP="000F3890">
      <w:pPr>
        <w:rPr>
          <w:b/>
          <w:bCs/>
        </w:rPr>
      </w:pPr>
      <w:r>
        <w:t>“</w:t>
      </w:r>
      <w:r w:rsidRPr="00272DFC">
        <w:rPr>
          <w:b/>
        </w:rPr>
        <w:t>Legal lesson learned: The promotion process was fair; plaintiff had no evidence of race discrimination or disability discrimination.</w:t>
      </w:r>
    </w:p>
    <w:p w14:paraId="30DFE481" w14:textId="77777777" w:rsidR="000F3890" w:rsidRDefault="000F3890" w:rsidP="00456C91">
      <w:pPr>
        <w:rPr>
          <w:rFonts w:ascii="Arial Black" w:hAnsi="Arial Black"/>
          <w:b/>
          <w:sz w:val="24"/>
          <w:szCs w:val="24"/>
        </w:rPr>
      </w:pPr>
    </w:p>
    <w:p w14:paraId="2AB86CF2" w14:textId="7081712E" w:rsidR="006959F8" w:rsidRDefault="006959F8" w:rsidP="00456C91">
      <w:pPr>
        <w:rPr>
          <w:rFonts w:ascii="Arial Black" w:hAnsi="Arial Black"/>
          <w:b/>
          <w:sz w:val="24"/>
          <w:szCs w:val="24"/>
        </w:rPr>
      </w:pPr>
      <w:r>
        <w:rPr>
          <w:rFonts w:ascii="Arial Black" w:hAnsi="Arial Black"/>
          <w:b/>
          <w:sz w:val="24"/>
          <w:szCs w:val="24"/>
        </w:rPr>
        <w:t>8-</w:t>
      </w:r>
      <w:r w:rsidR="008409F5">
        <w:rPr>
          <w:rFonts w:ascii="Arial Black" w:hAnsi="Arial Black"/>
          <w:b/>
          <w:sz w:val="24"/>
          <w:szCs w:val="24"/>
        </w:rPr>
        <w:t>8</w:t>
      </w:r>
      <w:r w:rsidR="00113A3A">
        <w:rPr>
          <w:rFonts w:ascii="Arial Black" w:hAnsi="Arial Black"/>
          <w:b/>
          <w:sz w:val="24"/>
          <w:szCs w:val="24"/>
        </w:rPr>
        <w:t>2</w:t>
      </w:r>
    </w:p>
    <w:p w14:paraId="3CA66241" w14:textId="77777777" w:rsidR="00FD4027" w:rsidRDefault="00F779AB" w:rsidP="00F779AB">
      <w:pPr>
        <w:rPr>
          <w:rFonts w:ascii="Arial Black" w:hAnsi="Arial Black"/>
          <w:b/>
          <w:sz w:val="28"/>
          <w:szCs w:val="28"/>
        </w:rPr>
      </w:pPr>
      <w:r>
        <w:rPr>
          <w:rFonts w:ascii="Arial Black" w:hAnsi="Arial Black"/>
          <w:b/>
          <w:sz w:val="28"/>
          <w:szCs w:val="28"/>
        </w:rPr>
        <w:t xml:space="preserve">CA: </w:t>
      </w:r>
      <w:r w:rsidR="005779CA">
        <w:rPr>
          <w:rFonts w:ascii="Arial Black" w:hAnsi="Arial Black"/>
          <w:b/>
          <w:sz w:val="28"/>
          <w:szCs w:val="28"/>
        </w:rPr>
        <w:t xml:space="preserve">REPRIMANDS </w:t>
      </w:r>
      <w:r w:rsidR="00C4400E">
        <w:rPr>
          <w:rFonts w:ascii="Arial Black" w:hAnsi="Arial Black"/>
          <w:b/>
          <w:sz w:val="28"/>
          <w:szCs w:val="28"/>
        </w:rPr>
        <w:t xml:space="preserve">/ </w:t>
      </w:r>
      <w:r>
        <w:rPr>
          <w:rFonts w:ascii="Arial Black" w:hAnsi="Arial Black"/>
          <w:b/>
          <w:sz w:val="28"/>
          <w:szCs w:val="28"/>
        </w:rPr>
        <w:t xml:space="preserve">NEG. PERFORM. REVIEWS </w:t>
      </w:r>
      <w:r w:rsidR="00075181">
        <w:rPr>
          <w:rFonts w:ascii="Arial Black" w:hAnsi="Arial Black"/>
          <w:b/>
          <w:sz w:val="28"/>
          <w:szCs w:val="28"/>
        </w:rPr>
        <w:t>–</w:t>
      </w:r>
      <w:r>
        <w:rPr>
          <w:rFonts w:ascii="Arial Black" w:hAnsi="Arial Black"/>
          <w:b/>
          <w:sz w:val="28"/>
          <w:szCs w:val="28"/>
        </w:rPr>
        <w:t xml:space="preserve"> </w:t>
      </w:r>
      <w:r w:rsidR="00D262D0">
        <w:rPr>
          <w:rFonts w:ascii="Arial Black" w:hAnsi="Arial Black"/>
          <w:b/>
          <w:sz w:val="28"/>
          <w:szCs w:val="28"/>
        </w:rPr>
        <w:t xml:space="preserve">BLACK </w:t>
      </w:r>
      <w:r w:rsidR="005779CA">
        <w:rPr>
          <w:rFonts w:ascii="Arial Black" w:hAnsi="Arial Black"/>
          <w:b/>
          <w:sz w:val="28"/>
          <w:szCs w:val="28"/>
        </w:rPr>
        <w:t xml:space="preserve">PROB FF - </w:t>
      </w:r>
      <w:r w:rsidR="00075181">
        <w:rPr>
          <w:rFonts w:ascii="Arial Black" w:hAnsi="Arial Black"/>
          <w:b/>
          <w:sz w:val="28"/>
          <w:szCs w:val="28"/>
        </w:rPr>
        <w:t xml:space="preserve">NO CASE </w:t>
      </w:r>
    </w:p>
    <w:p w14:paraId="4EBC2363" w14:textId="3227D1BF" w:rsidR="00910090" w:rsidRPr="007E74FE" w:rsidRDefault="00F779AB" w:rsidP="00F779AB">
      <w:pPr>
        <w:rPr>
          <w:rFonts w:ascii="Times New Roman" w:hAnsi="Times New Roman"/>
          <w:sz w:val="24"/>
          <w:szCs w:val="24"/>
        </w:rPr>
      </w:pPr>
      <w:r w:rsidRPr="007E74FE">
        <w:rPr>
          <w:rFonts w:ascii="Times New Roman" w:hAnsi="Times New Roman"/>
          <w:sz w:val="24"/>
          <w:szCs w:val="24"/>
        </w:rPr>
        <w:t xml:space="preserve">On July 28, 2025, in </w:t>
      </w:r>
      <w:r w:rsidRPr="007E74FE">
        <w:rPr>
          <w:rFonts w:ascii="Times New Roman" w:hAnsi="Times New Roman"/>
          <w:sz w:val="24"/>
          <w:szCs w:val="24"/>
          <w:u w:val="single"/>
        </w:rPr>
        <w:t>Waris Gildersleeve v. City of Sacramento, Grian Brust, David Lauchner, et al.</w:t>
      </w:r>
      <w:r w:rsidRPr="007E74FE">
        <w:rPr>
          <w:rFonts w:ascii="Times New Roman" w:hAnsi="Times New Roman"/>
          <w:sz w:val="24"/>
          <w:szCs w:val="24"/>
        </w:rPr>
        <w:t xml:space="preserve">, Senior U.S. District Court Judge John A. Mendez, granted summary judgment to the two officers.  Gildersleeve is a firefighter with the City of Sacramento and has been an employee since 2005. During his probationary </w:t>
      </w:r>
      <w:proofErr w:type="gramStart"/>
      <w:r w:rsidRPr="007E74FE">
        <w:rPr>
          <w:rFonts w:ascii="Times New Roman" w:hAnsi="Times New Roman"/>
          <w:sz w:val="24"/>
          <w:szCs w:val="24"/>
        </w:rPr>
        <w:t>period</w:t>
      </w:r>
      <w:proofErr w:type="gramEnd"/>
      <w:r w:rsidRPr="007E74FE">
        <w:rPr>
          <w:rFonts w:ascii="Times New Roman" w:hAnsi="Times New Roman"/>
          <w:sz w:val="24"/>
          <w:szCs w:val="24"/>
        </w:rPr>
        <w:t xml:space="preserve"> he rotated through several fire stations, and when at  Station No. 6 he was supervised by Brust and </w:t>
      </w:r>
      <w:proofErr w:type="gramStart"/>
      <w:r w:rsidRPr="007E74FE">
        <w:rPr>
          <w:rFonts w:ascii="Times New Roman" w:hAnsi="Times New Roman"/>
          <w:sz w:val="24"/>
          <w:szCs w:val="24"/>
        </w:rPr>
        <w:t>Laucher, and</w:t>
      </w:r>
      <w:proofErr w:type="gramEnd"/>
      <w:r w:rsidRPr="007E74FE">
        <w:rPr>
          <w:rFonts w:ascii="Times New Roman" w:hAnsi="Times New Roman"/>
          <w:sz w:val="24"/>
          <w:szCs w:val="24"/>
        </w:rPr>
        <w:t xml:space="preserve"> received some negative performance reviews.   He got through probation, and he ultimately was promoted to a senior fire prevention officer in 2023.  THE COURT HELD: “Thus, the reprimands or negative reviews Gildersleeve received during his temporary probationary period did not ultimately impact his ‘compensation, terms, conditions, or privileges of employment.’ </w:t>
      </w:r>
      <w:r w:rsidRPr="007E74FE">
        <w:rPr>
          <w:rFonts w:ascii="Times New Roman" w:hAnsi="Times New Roman"/>
          <w:i/>
          <w:iCs/>
          <w:sz w:val="24"/>
          <w:szCs w:val="24"/>
        </w:rPr>
        <w:t>Spokoiny</w:t>
      </w:r>
      <w:r w:rsidRPr="007E74FE">
        <w:rPr>
          <w:rFonts w:ascii="Times New Roman" w:hAnsi="Times New Roman"/>
          <w:sz w:val="24"/>
          <w:szCs w:val="24"/>
        </w:rPr>
        <w:t xml:space="preserve">, 2025 WL 752492 at *1. *** Based on </w:t>
      </w:r>
      <w:proofErr w:type="gramStart"/>
      <w:r w:rsidRPr="007E74FE">
        <w:rPr>
          <w:rFonts w:ascii="Times New Roman" w:hAnsi="Times New Roman"/>
          <w:sz w:val="24"/>
          <w:szCs w:val="24"/>
        </w:rPr>
        <w:t>all of</w:t>
      </w:r>
      <w:proofErr w:type="gramEnd"/>
      <w:r w:rsidRPr="007E74FE">
        <w:rPr>
          <w:rFonts w:ascii="Times New Roman" w:hAnsi="Times New Roman"/>
          <w:sz w:val="24"/>
          <w:szCs w:val="24"/>
        </w:rPr>
        <w:t xml:space="preserve"> this evidence, Plaintiff cannot demonstrate a material adverse employment action and therefore cannot establish a prima facie case of racial discrimination. *** Plaintiff does not put forth any evidence that Brust or Lauchner physically threatened him or that their actions unreasonably interfered with his work performance. At best, the record pertaining to Brust and Lauchner demonstrates that they were indifferent to comments by others and engaged in race-neutral scolding, but not that they affirmatively aided or abetted any racial harassment on their own.” </w:t>
      </w:r>
      <w:hyperlink r:id="rId1503" w:history="1">
        <w:r w:rsidR="00022E5C" w:rsidRPr="00004FA3">
          <w:rPr>
            <w:rStyle w:val="Hyperlink"/>
            <w:rFonts w:ascii="Times New Roman" w:hAnsi="Times New Roman"/>
            <w:sz w:val="24"/>
            <w:szCs w:val="24"/>
          </w:rPr>
          <w:t>https://public.fastcase.com/jaEE2PXzRXmZ99jOLMt1IuS%2F9HpBr5oZUxWDfnHZUAClV0FMS0FkyPj2D073HVCd?utm_medium=email&amp;_hsenc=p2ANqtz-8Af1EW_JVwBhx0UDxsfrXH8_2s6MlC6Pm7CWzCebAgUkWejdyZMRNp9kjbmr3YiOjRBOAIc4DZsyAhk1nZpl--uaoeAg&amp;_hsmi=226712652&amp;utm_content=226712652&amp;utm_source=hs_email</w:t>
        </w:r>
      </w:hyperlink>
      <w:r w:rsidR="00022E5C">
        <w:rPr>
          <w:rFonts w:ascii="Times New Roman" w:hAnsi="Times New Roman"/>
          <w:sz w:val="24"/>
          <w:szCs w:val="24"/>
        </w:rPr>
        <w:t xml:space="preserve"> </w:t>
      </w:r>
    </w:p>
    <w:p w14:paraId="03BB67BD" w14:textId="77777777" w:rsidR="007E74FE" w:rsidRDefault="007E74FE" w:rsidP="007E74FE">
      <w:pPr>
        <w:rPr>
          <w:rFonts w:ascii="Times New Roman" w:hAnsi="Times New Roman"/>
          <w:b/>
          <w:sz w:val="24"/>
          <w:szCs w:val="24"/>
        </w:rPr>
      </w:pPr>
      <w:r w:rsidRPr="007E74FE">
        <w:rPr>
          <w:rFonts w:ascii="Times New Roman" w:hAnsi="Times New Roman"/>
          <w:b/>
          <w:sz w:val="24"/>
          <w:szCs w:val="24"/>
        </w:rPr>
        <w:t>Legal lesson learned:   Plaintiff failed to prove any material adverse employment action by his two supervisors.  The case against the city will proceed on “a failure to prevent racial harassment theory.”</w:t>
      </w:r>
    </w:p>
    <w:p w14:paraId="058C54C0" w14:textId="77777777" w:rsidR="00113A3A" w:rsidRDefault="00113A3A" w:rsidP="007E74FE">
      <w:pPr>
        <w:rPr>
          <w:rFonts w:ascii="Times New Roman" w:hAnsi="Times New Roman"/>
          <w:b/>
          <w:sz w:val="24"/>
          <w:szCs w:val="24"/>
        </w:rPr>
      </w:pPr>
    </w:p>
    <w:p w14:paraId="3F886BB0" w14:textId="68840207" w:rsidR="00113A3A" w:rsidRPr="00C37677" w:rsidRDefault="00C37677" w:rsidP="007E74FE">
      <w:pPr>
        <w:rPr>
          <w:rFonts w:ascii="Arial Black" w:hAnsi="Arial Black"/>
          <w:b/>
          <w:sz w:val="24"/>
          <w:szCs w:val="24"/>
        </w:rPr>
      </w:pPr>
      <w:r w:rsidRPr="00C37677">
        <w:rPr>
          <w:rFonts w:ascii="Arial Black" w:hAnsi="Arial Black"/>
          <w:b/>
          <w:sz w:val="24"/>
          <w:szCs w:val="24"/>
        </w:rPr>
        <w:t>8-81</w:t>
      </w:r>
    </w:p>
    <w:p w14:paraId="7F033586" w14:textId="77777777" w:rsidR="00C37677" w:rsidRDefault="00C37677" w:rsidP="00C37677">
      <w:pPr>
        <w:rPr>
          <w:rFonts w:ascii="Arial Black" w:hAnsi="Arial Black"/>
          <w:b/>
          <w:sz w:val="28"/>
          <w:szCs w:val="28"/>
        </w:rPr>
      </w:pPr>
      <w:r>
        <w:rPr>
          <w:rFonts w:ascii="Arial Black" w:hAnsi="Arial Black"/>
          <w:b/>
          <w:sz w:val="28"/>
          <w:szCs w:val="28"/>
        </w:rPr>
        <w:t>MO: CITY 2022 RETIRED 2013 PROM. LIST B/C AND CAPT</w:t>
      </w:r>
    </w:p>
    <w:p w14:paraId="363DFB85" w14:textId="392955E2" w:rsidR="00113A3A" w:rsidRPr="008B5C50" w:rsidRDefault="00C37677" w:rsidP="00C37677">
      <w:pPr>
        <w:rPr>
          <w:rFonts w:ascii="Times New Roman" w:hAnsi="Times New Roman"/>
          <w:sz w:val="24"/>
          <w:szCs w:val="24"/>
        </w:rPr>
      </w:pPr>
      <w:r w:rsidRPr="008B5C50">
        <w:rPr>
          <w:rFonts w:ascii="Times New Roman" w:hAnsi="Times New Roman"/>
          <w:sz w:val="24"/>
          <w:szCs w:val="24"/>
        </w:rPr>
        <w:t xml:space="preserve">On July 8, 2025, in </w:t>
      </w:r>
      <w:r w:rsidRPr="008B5C50">
        <w:rPr>
          <w:rFonts w:ascii="Times New Roman" w:hAnsi="Times New Roman"/>
          <w:sz w:val="24"/>
          <w:szCs w:val="24"/>
          <w:u w:val="single"/>
        </w:rPr>
        <w:t>Robert Eveland, et al. v. City of St. Louis; Firefighters' Institute for Racial Equality, Inc.; Charles Coyle, Director of the St. Louis Department of Public Safety</w:t>
      </w:r>
      <w:r w:rsidRPr="008B5C50">
        <w:rPr>
          <w:rFonts w:ascii="Times New Roman" w:hAnsi="Times New Roman"/>
          <w:sz w:val="24"/>
          <w:szCs w:val="24"/>
        </w:rPr>
        <w:t xml:space="preserve">, the United States Court of Appeals, Eighth Circuit (St. Louis) held (3 to 0) that the trial court properly granted defense motion to dismiss because </w:t>
      </w:r>
      <w:r w:rsidRPr="008B5C50">
        <w:rPr>
          <w:rFonts w:ascii="Times New Roman" w:hAnsi="Times New Roman"/>
          <w:sz w:val="24"/>
          <w:szCs w:val="24"/>
        </w:rPr>
        <w:lastRenderedPageBreak/>
        <w:t xml:space="preserve">the Battalion Chiefs and Captains lacked sufficient property interests in their desired promotions off of the 2013 lists, which were cancelled by Public Safety Director in 2022. The </w:t>
      </w:r>
      <w:proofErr w:type="gramStart"/>
      <w:r w:rsidRPr="008B5C50">
        <w:rPr>
          <w:rFonts w:ascii="Times New Roman" w:hAnsi="Times New Roman"/>
          <w:sz w:val="24"/>
          <w:szCs w:val="24"/>
        </w:rPr>
        <w:t>City</w:t>
      </w:r>
      <w:proofErr w:type="gramEnd"/>
      <w:r w:rsidRPr="008B5C50">
        <w:rPr>
          <w:rFonts w:ascii="Times New Roman" w:hAnsi="Times New Roman"/>
          <w:sz w:val="24"/>
          <w:szCs w:val="24"/>
        </w:rPr>
        <w:t xml:space="preserve"> had previously entered into a settlement agreement concerning the 2013 promotional exams, “to ensure that future promotional examinations are valid and fair and do not unlawfully discriminate against any promotional candidate on the basis of race.”  New exams were supposed to be held in December 2018 (and every three years thereafter) but due to budget cuts the 2013 lists were used until early 2022 when then-Director of Public Safety Dan Isom decided to stop using 10-year-old lists. “[The] current Director of Public Safety Charles Coyle concurred with this decision because in his opinion, using 10-year-old lists to make promotions is problematic because the individuals being promoted did not score as highly on the test and therefore are potentially not the best-qualified candidates.” See Jan. 1, 2024, DEFENDANTS’ MEMORANDUM OF LAW IN SUPPORT OF MOTION FOR SUMMARY JUDGMENT.  </w:t>
      </w:r>
      <w:hyperlink r:id="rId1504" w:history="1">
        <w:r w:rsidRPr="008B5C50">
          <w:rPr>
            <w:rStyle w:val="Hyperlink"/>
            <w:rFonts w:ascii="Times New Roman" w:hAnsi="Times New Roman"/>
            <w:sz w:val="24"/>
            <w:szCs w:val="24"/>
          </w:rPr>
          <w:t>https://storage.courtlistener.com/recap/gov.uscourts.moed.198347/gov.uscourts.moed.198347.70.0.pdf</w:t>
        </w:r>
      </w:hyperlink>
      <w:r w:rsidRPr="008B5C50">
        <w:rPr>
          <w:rFonts w:ascii="Times New Roman" w:hAnsi="Times New Roman"/>
          <w:sz w:val="24"/>
          <w:szCs w:val="24"/>
        </w:rPr>
        <w:t xml:space="preserve">   THE COURT HELD: “The usual promotional process broke down when the fire chief’s former supervisor, purportedly without authority, halted promotions due to the age of qualifying exam scores, which were about nine years old when the freeze began…. [Fire Chief has always promoted the top candidate on list, even though Civil Service rules allow him to select from top 6 on list.] Even assuming all of this is true, the firefighters had no property interests in their desired promotions that the due process clause protected. They just anticipated receiving them…. So, no matter how regular the fire chief’s practice of promoting high scorers was, it could not give any of the firefighters a property interest in a promotion on </w:t>
      </w:r>
      <w:proofErr w:type="gramStart"/>
      <w:r w:rsidRPr="008B5C50">
        <w:rPr>
          <w:rFonts w:ascii="Times New Roman" w:hAnsi="Times New Roman"/>
          <w:sz w:val="24"/>
          <w:szCs w:val="24"/>
        </w:rPr>
        <w:t>its</w:t>
      </w:r>
      <w:proofErr w:type="gramEnd"/>
      <w:r w:rsidRPr="008B5C50">
        <w:rPr>
          <w:rFonts w:ascii="Times New Roman" w:hAnsi="Times New Roman"/>
          <w:sz w:val="24"/>
          <w:szCs w:val="24"/>
        </w:rPr>
        <w:t xml:space="preserve"> own. What is missing is evidence that the city bound itself in some fashion to adhere to that practice. It makes no difference that the fire chief testified to his intention to promote  the firefighters in accordance with his custom. That intention, however firm, did not limit his discretion to promote different candidates or no </w:t>
      </w:r>
      <w:proofErr w:type="gramStart"/>
      <w:r w:rsidRPr="008B5C50">
        <w:rPr>
          <w:rFonts w:ascii="Times New Roman" w:hAnsi="Times New Roman"/>
          <w:sz w:val="24"/>
          <w:szCs w:val="24"/>
        </w:rPr>
        <w:t>candidates.”</w:t>
      </w:r>
      <w:proofErr w:type="gramEnd"/>
      <w:r w:rsidRPr="008B5C50">
        <w:rPr>
          <w:rFonts w:ascii="Times New Roman" w:hAnsi="Times New Roman"/>
          <w:sz w:val="24"/>
          <w:szCs w:val="24"/>
        </w:rPr>
        <w:t xml:space="preserve"> </w:t>
      </w:r>
      <w:hyperlink r:id="rId1505" w:history="1">
        <w:r w:rsidRPr="008B5C50">
          <w:rPr>
            <w:rStyle w:val="Hyperlink"/>
            <w:rFonts w:ascii="Times New Roman" w:hAnsi="Times New Roman"/>
            <w:sz w:val="24"/>
            <w:szCs w:val="24"/>
          </w:rPr>
          <w:t>https://cases.justia.com/federal/appellate-courts/ca8/24-2646/24-2646-2025-07-08.pdf?ts=1751988624</w:t>
        </w:r>
      </w:hyperlink>
    </w:p>
    <w:p w14:paraId="580DE426" w14:textId="77777777" w:rsidR="008B5C50" w:rsidRPr="008B5C50" w:rsidRDefault="008B5C50" w:rsidP="008B5C50">
      <w:pPr>
        <w:pStyle w:val="NoSpacing"/>
        <w:rPr>
          <w:rFonts w:ascii="Times New Roman" w:hAnsi="Times New Roman"/>
          <w:b/>
          <w:bCs/>
          <w:sz w:val="24"/>
          <w:szCs w:val="24"/>
        </w:rPr>
      </w:pPr>
      <w:r w:rsidRPr="008B5C50">
        <w:rPr>
          <w:rFonts w:ascii="Times New Roman" w:hAnsi="Times New Roman"/>
          <w:b/>
          <w:sz w:val="24"/>
          <w:szCs w:val="24"/>
        </w:rPr>
        <w:t>Legal lesson learned: No Constitutionally protected property interests in desired promotions.</w:t>
      </w:r>
    </w:p>
    <w:p w14:paraId="27F675D3" w14:textId="77777777" w:rsidR="008B5C50" w:rsidRPr="008B5C50" w:rsidRDefault="008B5C50" w:rsidP="008B5C50">
      <w:pPr>
        <w:pStyle w:val="NoSpacing"/>
        <w:rPr>
          <w:rFonts w:ascii="Times New Roman" w:hAnsi="Times New Roman"/>
          <w:b/>
          <w:bCs/>
          <w:sz w:val="24"/>
          <w:szCs w:val="24"/>
        </w:rPr>
      </w:pPr>
    </w:p>
    <w:p w14:paraId="3512E855" w14:textId="77777777" w:rsidR="008B5C50" w:rsidRPr="008B5C50" w:rsidRDefault="008B5C50" w:rsidP="008B5C50">
      <w:pPr>
        <w:pStyle w:val="NoSpacing"/>
        <w:ind w:left="720"/>
        <w:rPr>
          <w:rFonts w:ascii="Times New Roman" w:hAnsi="Times New Roman"/>
          <w:sz w:val="24"/>
          <w:szCs w:val="24"/>
        </w:rPr>
      </w:pPr>
      <w:r w:rsidRPr="008B5C50">
        <w:rPr>
          <w:rFonts w:ascii="Times New Roman" w:hAnsi="Times New Roman"/>
          <w:sz w:val="24"/>
          <w:szCs w:val="24"/>
        </w:rPr>
        <w:t xml:space="preserve">Note: See City of Cincinnati 6/15/2023 list for Lieutenants.  “List may be used on or before two years from first hire date.” </w:t>
      </w:r>
      <w:hyperlink r:id="rId1506" w:history="1">
        <w:r w:rsidRPr="008B5C50">
          <w:rPr>
            <w:rStyle w:val="Hyperlink"/>
            <w:rFonts w:ascii="Times New Roman" w:hAnsi="Times New Roman"/>
            <w:sz w:val="24"/>
            <w:szCs w:val="24"/>
          </w:rPr>
          <w:t>https://www.cincinnati-oh.gov/hr/eligible-lists1/promotional/fire-lieutenant/</w:t>
        </w:r>
      </w:hyperlink>
      <w:r w:rsidRPr="008B5C50">
        <w:rPr>
          <w:rFonts w:ascii="Times New Roman" w:hAnsi="Times New Roman"/>
          <w:sz w:val="24"/>
          <w:szCs w:val="24"/>
        </w:rPr>
        <w:t xml:space="preserve"> </w:t>
      </w:r>
    </w:p>
    <w:p w14:paraId="3167E610" w14:textId="77777777" w:rsidR="008B5C50" w:rsidRPr="008B5C50" w:rsidRDefault="008B5C50" w:rsidP="008B5C50">
      <w:pPr>
        <w:rPr>
          <w:rFonts w:ascii="Times New Roman" w:hAnsi="Times New Roman"/>
          <w:sz w:val="24"/>
          <w:szCs w:val="24"/>
        </w:rPr>
      </w:pPr>
      <w:r w:rsidRPr="008B5C50">
        <w:rPr>
          <w:rFonts w:ascii="Times New Roman" w:hAnsi="Times New Roman"/>
          <w:sz w:val="24"/>
          <w:szCs w:val="24"/>
        </w:rPr>
        <w:t xml:space="preserve"> </w:t>
      </w:r>
    </w:p>
    <w:p w14:paraId="728449BE" w14:textId="77777777" w:rsidR="008B5C50" w:rsidRPr="007E74FE" w:rsidRDefault="008B5C50" w:rsidP="00C37677">
      <w:pPr>
        <w:rPr>
          <w:rFonts w:ascii="Times New Roman" w:hAnsi="Times New Roman"/>
          <w:b/>
          <w:bCs/>
          <w:sz w:val="24"/>
          <w:szCs w:val="24"/>
        </w:rPr>
      </w:pPr>
    </w:p>
    <w:p w14:paraId="61C363AF" w14:textId="77777777" w:rsidR="006959F8" w:rsidRDefault="006959F8" w:rsidP="00456C91">
      <w:pPr>
        <w:rPr>
          <w:rFonts w:ascii="Arial Black" w:hAnsi="Arial Black"/>
          <w:b/>
          <w:sz w:val="24"/>
          <w:szCs w:val="24"/>
        </w:rPr>
      </w:pPr>
    </w:p>
    <w:p w14:paraId="3477A4B9" w14:textId="60CADE6A" w:rsidR="00456C91" w:rsidRDefault="00456C91" w:rsidP="00456C91">
      <w:pPr>
        <w:rPr>
          <w:rFonts w:ascii="Arial Black" w:hAnsi="Arial Black"/>
          <w:b/>
          <w:sz w:val="24"/>
          <w:szCs w:val="24"/>
        </w:rPr>
      </w:pPr>
      <w:r>
        <w:rPr>
          <w:rFonts w:ascii="Arial Black" w:hAnsi="Arial Black"/>
          <w:b/>
          <w:sz w:val="24"/>
          <w:szCs w:val="24"/>
        </w:rPr>
        <w:t>8-</w:t>
      </w:r>
      <w:r w:rsidR="0021158A">
        <w:rPr>
          <w:rFonts w:ascii="Arial Black" w:hAnsi="Arial Black"/>
          <w:b/>
          <w:sz w:val="24"/>
          <w:szCs w:val="24"/>
        </w:rPr>
        <w:t>80</w:t>
      </w:r>
    </w:p>
    <w:p w14:paraId="3FC045B1" w14:textId="4CE410BA" w:rsidR="00A17EA1" w:rsidRDefault="00A17EA1" w:rsidP="00A17EA1">
      <w:pPr>
        <w:pStyle w:val="NoSpacing"/>
        <w:rPr>
          <w:rFonts w:ascii="Arial Black" w:hAnsi="Arial Black"/>
          <w:sz w:val="28"/>
          <w:szCs w:val="28"/>
        </w:rPr>
      </w:pPr>
      <w:r>
        <w:rPr>
          <w:rFonts w:ascii="Arial Black" w:hAnsi="Arial Black"/>
          <w:sz w:val="28"/>
          <w:szCs w:val="28"/>
        </w:rPr>
        <w:t>VA: BLACK FF - STATION OIC - LOSS “ACTING OFFICER” PAY</w:t>
      </w:r>
    </w:p>
    <w:p w14:paraId="4E3E7184" w14:textId="77777777" w:rsidR="00A17EA1" w:rsidRDefault="00A17EA1" w:rsidP="00A17EA1">
      <w:pPr>
        <w:pStyle w:val="NoSpacing"/>
        <w:rPr>
          <w:rFonts w:ascii="Arial Black" w:hAnsi="Arial Black"/>
          <w:sz w:val="28"/>
          <w:szCs w:val="28"/>
        </w:rPr>
      </w:pPr>
    </w:p>
    <w:p w14:paraId="4C95A31A" w14:textId="77777777" w:rsidR="00A17EA1" w:rsidRPr="00997E2F" w:rsidRDefault="00A17EA1" w:rsidP="00A17EA1">
      <w:pPr>
        <w:pStyle w:val="NoSpacing"/>
        <w:rPr>
          <w:rFonts w:ascii="Times New Roman" w:hAnsi="Times New Roman"/>
          <w:sz w:val="24"/>
          <w:szCs w:val="24"/>
        </w:rPr>
      </w:pPr>
      <w:r w:rsidRPr="00997E2F">
        <w:rPr>
          <w:rFonts w:ascii="Times New Roman" w:hAnsi="Times New Roman"/>
          <w:sz w:val="24"/>
          <w:szCs w:val="24"/>
        </w:rPr>
        <w:t xml:space="preserve">On June 13, 2025, in </w:t>
      </w:r>
      <w:r w:rsidRPr="00997E2F">
        <w:rPr>
          <w:rFonts w:ascii="Times New Roman" w:hAnsi="Times New Roman"/>
          <w:sz w:val="24"/>
          <w:szCs w:val="24"/>
          <w:u w:val="single"/>
        </w:rPr>
        <w:t>Michael T. Blagmon v. Hanover County</w:t>
      </w:r>
      <w:r w:rsidRPr="00997E2F">
        <w:rPr>
          <w:rFonts w:ascii="Times New Roman" w:hAnsi="Times New Roman"/>
          <w:sz w:val="24"/>
          <w:szCs w:val="24"/>
        </w:rPr>
        <w:t xml:space="preserve">, U.S. District Court Judge Roderick C. Young, United States District Court, E.D. Virginia, Richmond Division, held that the plaintiff’s lawsuit for race discrimination in violation of Title VII will proceed to a jury trial. Plaintiff worked in Station 4 (one engine, one ambulance) and when the Lieutenant position was vacant or absent due to injury, the plaintiff was frequently not allowed to ride as OIC on the engine to avoid paying him “Acting Officer” pay.  The Court held that a jury should decide whether the County has offered a legitimate defense; in its November 22, 2022 response to the plaintiff’s EEOC charge, the County explained that prior to April 2022, it rotated OIC assignments to avoid pay Acting Officer pay and to rotate as many firefighters as feasible to serve as OIC to provide widespread opportunities for growth and development.”   THE COURT HELD [case proceed to trial] “In his deposition in connection with this case, Assistant Chief Buchanan testified that Blagman was pulled from the OIC role before </w:t>
      </w:r>
      <w:r w:rsidRPr="00997E2F">
        <w:rPr>
          <w:rFonts w:ascii="Times New Roman" w:hAnsi="Times New Roman"/>
          <w:sz w:val="24"/>
          <w:szCs w:val="24"/>
        </w:rPr>
        <w:lastRenderedPageBreak/>
        <w:t xml:space="preserve">he could qualify for acting pay as a result of a ‘business practice that started back around 2008, . . . when the economy was really </w:t>
      </w:r>
      <w:proofErr w:type="spellStart"/>
      <w:r w:rsidRPr="00997E2F">
        <w:rPr>
          <w:rFonts w:ascii="Times New Roman" w:hAnsi="Times New Roman"/>
          <w:sz w:val="24"/>
          <w:szCs w:val="24"/>
        </w:rPr>
        <w:t>really</w:t>
      </w:r>
      <w:proofErr w:type="spellEnd"/>
      <w:r w:rsidRPr="00997E2F">
        <w:rPr>
          <w:rFonts w:ascii="Times New Roman" w:hAnsi="Times New Roman"/>
          <w:sz w:val="24"/>
          <w:szCs w:val="24"/>
        </w:rPr>
        <w:t xml:space="preserve"> bad, . . . and the County Administrator . . . would tell us to . . . move [people otherwise serving as acting officers] because we literally didn't have the money.... and that became the practice for a while . . . .’ Buchanan Dep. 35:3-25.” </w:t>
      </w:r>
    </w:p>
    <w:p w14:paraId="239F0798" w14:textId="77777777" w:rsidR="00A17EA1" w:rsidRPr="00997E2F" w:rsidRDefault="00A17EA1" w:rsidP="00A17EA1">
      <w:pPr>
        <w:pStyle w:val="NoSpacing"/>
        <w:rPr>
          <w:rFonts w:ascii="Times New Roman" w:hAnsi="Times New Roman"/>
          <w:bCs/>
          <w:sz w:val="24"/>
          <w:szCs w:val="24"/>
        </w:rPr>
      </w:pPr>
      <w:hyperlink r:id="rId1507" w:history="1">
        <w:r w:rsidRPr="00997E2F">
          <w:rPr>
            <w:rStyle w:val="Hyperlink"/>
            <w:rFonts w:ascii="Times New Roman" w:hAnsi="Times New Roman"/>
            <w:sz w:val="24"/>
            <w:szCs w:val="24"/>
          </w:rPr>
          <w:t>https://cases.justia.com/federal/district-courts/virginia/vaedce/3:2024cv00108/549376/71/0.pdf?ts=1749905770</w:t>
        </w:r>
      </w:hyperlink>
    </w:p>
    <w:p w14:paraId="26F32252" w14:textId="77777777" w:rsidR="00A17EA1" w:rsidRPr="00997E2F" w:rsidRDefault="00A17EA1" w:rsidP="00A17EA1">
      <w:pPr>
        <w:pStyle w:val="NoSpacing"/>
        <w:rPr>
          <w:rFonts w:ascii="Times New Roman" w:hAnsi="Times New Roman"/>
          <w:bCs/>
          <w:sz w:val="24"/>
          <w:szCs w:val="24"/>
        </w:rPr>
      </w:pPr>
    </w:p>
    <w:p w14:paraId="63997CF7" w14:textId="1243A868" w:rsidR="00A17EA1" w:rsidRPr="00997E2F" w:rsidRDefault="006764DB" w:rsidP="00BC70A3">
      <w:pPr>
        <w:rPr>
          <w:rFonts w:ascii="Times New Roman" w:hAnsi="Times New Roman"/>
          <w:b/>
          <w:sz w:val="24"/>
          <w:szCs w:val="24"/>
        </w:rPr>
      </w:pPr>
      <w:r w:rsidRPr="00997E2F">
        <w:rPr>
          <w:rFonts w:ascii="Times New Roman" w:hAnsi="Times New Roman"/>
          <w:b/>
          <w:sz w:val="24"/>
          <w:szCs w:val="24"/>
        </w:rPr>
        <w:t>Legal lesson learned:  FD should have a clear “Acting Officer” pay policy</w:t>
      </w:r>
      <w:r w:rsidRPr="00997E2F">
        <w:rPr>
          <w:rFonts w:ascii="Times New Roman" w:hAnsi="Times New Roman"/>
          <w:b/>
          <w:bCs/>
          <w:sz w:val="24"/>
          <w:szCs w:val="24"/>
        </w:rPr>
        <w:t xml:space="preserve"> </w:t>
      </w:r>
      <w:r w:rsidRPr="00997E2F">
        <w:rPr>
          <w:rFonts w:ascii="Times New Roman" w:hAnsi="Times New Roman"/>
          <w:b/>
          <w:sz w:val="24"/>
          <w:szCs w:val="24"/>
        </w:rPr>
        <w:t>and strictly follow it</w:t>
      </w:r>
      <w:r w:rsidR="00997E2F" w:rsidRPr="00997E2F">
        <w:rPr>
          <w:rFonts w:ascii="Times New Roman" w:hAnsi="Times New Roman"/>
          <w:b/>
          <w:sz w:val="24"/>
          <w:szCs w:val="24"/>
        </w:rPr>
        <w:t>.</w:t>
      </w:r>
    </w:p>
    <w:p w14:paraId="6DBFD951" w14:textId="77777777" w:rsidR="00A17EA1" w:rsidRPr="00997E2F" w:rsidRDefault="00A17EA1" w:rsidP="00BC70A3">
      <w:pPr>
        <w:rPr>
          <w:rFonts w:ascii="Times New Roman" w:hAnsi="Times New Roman"/>
          <w:b/>
          <w:sz w:val="24"/>
          <w:szCs w:val="24"/>
        </w:rPr>
      </w:pPr>
    </w:p>
    <w:p w14:paraId="3E584867" w14:textId="7E2F5982" w:rsidR="0069023D" w:rsidRDefault="0069023D" w:rsidP="0069023D">
      <w:pPr>
        <w:rPr>
          <w:rFonts w:ascii="Arial Black" w:hAnsi="Arial Black"/>
          <w:b/>
          <w:sz w:val="24"/>
          <w:szCs w:val="24"/>
        </w:rPr>
      </w:pPr>
      <w:r>
        <w:rPr>
          <w:rFonts w:ascii="Arial Black" w:hAnsi="Arial Black"/>
          <w:b/>
          <w:sz w:val="24"/>
          <w:szCs w:val="24"/>
        </w:rPr>
        <w:t>8-7</w:t>
      </w:r>
      <w:r w:rsidR="0021158A">
        <w:rPr>
          <w:rFonts w:ascii="Arial Black" w:hAnsi="Arial Black"/>
          <w:b/>
          <w:sz w:val="24"/>
          <w:szCs w:val="24"/>
        </w:rPr>
        <w:t>9</w:t>
      </w:r>
    </w:p>
    <w:p w14:paraId="1A37F091" w14:textId="285FF072" w:rsidR="00C16DC8" w:rsidRDefault="00C16DC8" w:rsidP="00C16DC8">
      <w:pPr>
        <w:rPr>
          <w:rFonts w:ascii="Arial Black" w:hAnsi="Arial Black"/>
          <w:b/>
          <w:sz w:val="28"/>
          <w:szCs w:val="28"/>
        </w:rPr>
      </w:pPr>
      <w:r>
        <w:rPr>
          <w:rFonts w:ascii="Arial Black" w:hAnsi="Arial Black"/>
          <w:b/>
          <w:sz w:val="28"/>
          <w:szCs w:val="28"/>
        </w:rPr>
        <w:t>FL: ASIAN RECRUIT – FIRED – CAPT’S RACIAL COMMENTS</w:t>
      </w:r>
      <w:r w:rsidR="000D1CC1">
        <w:rPr>
          <w:rFonts w:ascii="Arial Black" w:hAnsi="Arial Black"/>
          <w:b/>
          <w:sz w:val="28"/>
          <w:szCs w:val="28"/>
        </w:rPr>
        <w:t xml:space="preserve"> – CASE PROCEED</w:t>
      </w:r>
      <w:r>
        <w:rPr>
          <w:rFonts w:ascii="Arial Black" w:hAnsi="Arial Black"/>
          <w:b/>
          <w:sz w:val="28"/>
          <w:szCs w:val="28"/>
        </w:rPr>
        <w:t xml:space="preserve"> </w:t>
      </w:r>
    </w:p>
    <w:p w14:paraId="6F14B873" w14:textId="77777777" w:rsidR="00C16DC8" w:rsidRPr="0069023D" w:rsidRDefault="00C16DC8" w:rsidP="00C16DC8">
      <w:pPr>
        <w:rPr>
          <w:rFonts w:ascii="Times New Roman" w:hAnsi="Times New Roman"/>
          <w:bCs/>
          <w:sz w:val="24"/>
          <w:szCs w:val="24"/>
        </w:rPr>
      </w:pPr>
      <w:r w:rsidRPr="0069023D">
        <w:rPr>
          <w:rFonts w:ascii="Times New Roman" w:hAnsi="Times New Roman"/>
          <w:sz w:val="24"/>
          <w:szCs w:val="24"/>
        </w:rPr>
        <w:t xml:space="preserve">On May 16, 2025, in </w:t>
      </w:r>
      <w:r w:rsidRPr="0069023D">
        <w:rPr>
          <w:rFonts w:ascii="Times New Roman" w:hAnsi="Times New Roman"/>
          <w:sz w:val="24"/>
          <w:szCs w:val="24"/>
          <w:u w:val="single"/>
        </w:rPr>
        <w:t>Saeed Azam v. Palm Beach County</w:t>
      </w:r>
      <w:r w:rsidRPr="0069023D">
        <w:rPr>
          <w:rFonts w:ascii="Times New Roman" w:hAnsi="Times New Roman"/>
          <w:sz w:val="24"/>
          <w:szCs w:val="24"/>
        </w:rPr>
        <w:t xml:space="preserve">, U.S Magistrate Judge Ryon M. McCabe, United States District Court for the Southern District of Florida, issued a Report &amp; Recommendation to United States District Judge Aileen M. Cannon, that plaintiff be allowed to proceed with pre-trial discovery in his civil rights case, but claims of “hostile workplace” should be dismissed.  The plaintiff started recruit training on Jan. 2, 2023, but after failing a “search-and-rescue” task he was terminated on Feb. 13, 2023.  The Court referenced alleged racial and anti-Muslim comments by his Training Captain.    THE COURT HELD: “When combined with Plaintiff's allegations of unfavorable workplace treatment, the Court finds these comments sufficient to give rise to a plausible inference of discriminatory animus. The Court acknowledges that these comments could also be interpreted as non-discriminatory expressions of curiosity regarding a new trainee and the trainee's background. At this stage of the case, however, the Court must construe these allegations in the light most favorable to Plaintiff's claims. The Court therefore finds that Counts 1, 2, and 3 state plausible claims of discrimination. As such, the motion should be denied as to these counts.” </w:t>
      </w:r>
      <w:hyperlink r:id="rId1508" w:history="1">
        <w:r w:rsidRPr="0069023D">
          <w:rPr>
            <w:rStyle w:val="Hyperlink"/>
            <w:rFonts w:ascii="Times New Roman" w:hAnsi="Times New Roman"/>
            <w:sz w:val="24"/>
            <w:szCs w:val="24"/>
          </w:rPr>
          <w:t>https://public.fastcase.com/jaEE2PXzRXmZ99jOLMt1Ijy4owdgN11%2FWJRcUJbHoDpxB70E2t6SZ0qkojT0B8Qp?utm_medium=email&amp;_hsenc=p2ANqtz-9VaXpB4njMDCq0a3A4ziHdpnkkhT3_X-uHzr6ZxpzUXb9np6U8cLB4p1ctiAJNyopvqJJhsHP0CMdXEdLkgd2zGecgDw&amp;_hsmi=226712652&amp;utm_content=226712652&amp;utm_source=hs_email</w:t>
        </w:r>
      </w:hyperlink>
      <w:r w:rsidRPr="0069023D">
        <w:rPr>
          <w:rFonts w:ascii="Times New Roman" w:hAnsi="Times New Roman"/>
          <w:sz w:val="24"/>
          <w:szCs w:val="24"/>
        </w:rPr>
        <w:t xml:space="preserve"> </w:t>
      </w:r>
    </w:p>
    <w:p w14:paraId="4501DCCB" w14:textId="77777777" w:rsidR="0069023D" w:rsidRPr="0069023D" w:rsidRDefault="0069023D" w:rsidP="0069023D">
      <w:pPr>
        <w:rPr>
          <w:rFonts w:ascii="Times New Roman" w:hAnsi="Times New Roman"/>
          <w:b/>
          <w:bCs/>
          <w:sz w:val="24"/>
          <w:szCs w:val="24"/>
        </w:rPr>
      </w:pPr>
      <w:r w:rsidRPr="0069023D">
        <w:rPr>
          <w:rFonts w:ascii="Times New Roman" w:hAnsi="Times New Roman"/>
          <w:b/>
          <w:sz w:val="24"/>
          <w:szCs w:val="24"/>
        </w:rPr>
        <w:t xml:space="preserve">Legal lesson learned: Thoroughly document a recruit’s training issues and avoid racially hostile comments.  </w:t>
      </w:r>
    </w:p>
    <w:p w14:paraId="62D67B1A" w14:textId="77777777" w:rsidR="00A17EA1" w:rsidRDefault="00A17EA1" w:rsidP="00BC70A3">
      <w:pPr>
        <w:rPr>
          <w:rFonts w:ascii="Arial Black" w:hAnsi="Arial Black"/>
          <w:b/>
          <w:sz w:val="24"/>
          <w:szCs w:val="24"/>
        </w:rPr>
      </w:pPr>
    </w:p>
    <w:p w14:paraId="365A04FC" w14:textId="6A496EAE" w:rsidR="0021158A" w:rsidRDefault="0021158A" w:rsidP="0021158A">
      <w:pPr>
        <w:rPr>
          <w:rFonts w:ascii="Arial Black" w:hAnsi="Arial Black"/>
          <w:b/>
          <w:sz w:val="24"/>
          <w:szCs w:val="24"/>
        </w:rPr>
      </w:pPr>
      <w:r>
        <w:rPr>
          <w:rFonts w:ascii="Arial Black" w:hAnsi="Arial Black"/>
          <w:b/>
          <w:sz w:val="24"/>
          <w:szCs w:val="24"/>
        </w:rPr>
        <w:t>8-78</w:t>
      </w:r>
    </w:p>
    <w:p w14:paraId="31A529DB" w14:textId="77777777" w:rsidR="00A45D5D" w:rsidRDefault="00A45D5D" w:rsidP="00BC70A3">
      <w:pPr>
        <w:rPr>
          <w:rFonts w:ascii="Arial Black" w:hAnsi="Arial Black"/>
          <w:b/>
          <w:sz w:val="24"/>
          <w:szCs w:val="24"/>
        </w:rPr>
      </w:pPr>
    </w:p>
    <w:p w14:paraId="1AD95F18" w14:textId="48DD9946" w:rsidR="00A45D5D" w:rsidRPr="00430A69" w:rsidRDefault="00A45D5D" w:rsidP="00A45D5D">
      <w:pPr>
        <w:pStyle w:val="NoSpacing"/>
        <w:rPr>
          <w:rFonts w:ascii="Arial Black" w:hAnsi="Arial Black"/>
          <w:sz w:val="28"/>
          <w:szCs w:val="28"/>
        </w:rPr>
      </w:pPr>
      <w:r>
        <w:rPr>
          <w:rFonts w:ascii="Arial Black" w:hAnsi="Arial Black"/>
          <w:sz w:val="28"/>
          <w:szCs w:val="28"/>
        </w:rPr>
        <w:t xml:space="preserve">NY: RECRUIT HISPANICS / WOMEN – </w:t>
      </w:r>
      <w:r w:rsidR="00080178">
        <w:rPr>
          <w:rFonts w:ascii="Arial Black" w:hAnsi="Arial Black"/>
          <w:sz w:val="28"/>
          <w:szCs w:val="28"/>
        </w:rPr>
        <w:t xml:space="preserve">REV. </w:t>
      </w:r>
      <w:r>
        <w:rPr>
          <w:rFonts w:ascii="Arial Black" w:hAnsi="Arial Black"/>
          <w:sz w:val="28"/>
          <w:szCs w:val="28"/>
        </w:rPr>
        <w:t>CONSENT DECREE</w:t>
      </w:r>
    </w:p>
    <w:p w14:paraId="2021DD22" w14:textId="77777777" w:rsidR="00A45D5D" w:rsidRDefault="00A45D5D" w:rsidP="00A45D5D">
      <w:pPr>
        <w:pStyle w:val="NoSpacing"/>
      </w:pPr>
    </w:p>
    <w:p w14:paraId="405869A3" w14:textId="4E2D2AC8" w:rsidR="00A45D5D" w:rsidRPr="00080178" w:rsidRDefault="00A45D5D" w:rsidP="00A45D5D">
      <w:pPr>
        <w:rPr>
          <w:rFonts w:ascii="Times New Roman" w:hAnsi="Times New Roman"/>
          <w:sz w:val="24"/>
          <w:szCs w:val="24"/>
        </w:rPr>
      </w:pPr>
      <w:r w:rsidRPr="00080178">
        <w:rPr>
          <w:rFonts w:ascii="Times New Roman" w:hAnsi="Times New Roman"/>
          <w:sz w:val="24"/>
          <w:szCs w:val="24"/>
        </w:rPr>
        <w:t xml:space="preserve">On June 3, 2025, in </w:t>
      </w:r>
      <w:r w:rsidRPr="00080178">
        <w:rPr>
          <w:rFonts w:ascii="Times New Roman" w:hAnsi="Times New Roman"/>
          <w:sz w:val="24"/>
          <w:szCs w:val="24"/>
          <w:u w:val="single"/>
        </w:rPr>
        <w:t>United States of America v. New York State Department of Civil Service; City of Mount Vernon; Fire Department of the City of Mount Vernon</w:t>
      </w:r>
      <w:r w:rsidRPr="00080178">
        <w:rPr>
          <w:rFonts w:ascii="Times New Roman" w:hAnsi="Times New Roman"/>
          <w:sz w:val="24"/>
          <w:szCs w:val="24"/>
        </w:rPr>
        <w:t xml:space="preserve">,  U.S. District Court Judge Jessica G. L. Clarke, United States District Court for Southern District of New York, published the proposed “2024 Revised Consent Judgment,” which modified the 40-year old Consent Decree of Jan. 19, 1981.  The fire department has made </w:t>
      </w:r>
      <w:r w:rsidRPr="00080178">
        <w:rPr>
          <w:rFonts w:ascii="Times New Roman" w:hAnsi="Times New Roman"/>
          <w:sz w:val="24"/>
          <w:szCs w:val="24"/>
        </w:rPr>
        <w:lastRenderedPageBreak/>
        <w:t xml:space="preserve">great progress hiring black firefighters (62% of current firefighters), but not Hispanics (only 2%), or women (currently only one; only been one at any time).  THE CONSENT DECREE: Requires the department to “develop and implement an active and continuing recruitment program to attract and increase Hispanic and women applicants for the position of firefighter.” </w:t>
      </w:r>
      <w:hyperlink r:id="rId1509" w:history="1">
        <w:r w:rsidRPr="00080178">
          <w:rPr>
            <w:rStyle w:val="Hyperlink"/>
            <w:rFonts w:ascii="Times New Roman" w:hAnsi="Times New Roman"/>
            <w:sz w:val="24"/>
            <w:szCs w:val="24"/>
          </w:rPr>
          <w:t>https://public.fastcase.com/jaEE2PXzRXmZ99jOLMt1Ih1bY1MIzDyw1U7nvkn0d%2B%2FaFhZR3Gd%2F7kjzaTYbL26VJTUSjJADCaSru%2Bl5NmbtQ7Cz5zh1NuQxuUkDcSWUI8U%3D?utm_medium=email&amp;_hsenc=p2ANqtz-_CCOzgPs_whfplvulLfr2w4HcJ6-0Ih3t3c1pVqqN-_dVSpVNg1X0G63L7_Ww7LMQiA0kuqw-PCcDfPecmXjX4Ld1uNw&amp;_hsmi=226712652&amp;utm_content=226712652&amp;utm_source=hs_email</w:t>
        </w:r>
      </w:hyperlink>
    </w:p>
    <w:p w14:paraId="779BD134" w14:textId="77777777" w:rsidR="00080178" w:rsidRPr="00080178" w:rsidRDefault="00080178" w:rsidP="00080178">
      <w:pPr>
        <w:pStyle w:val="NoSpacing"/>
        <w:rPr>
          <w:rFonts w:ascii="Times New Roman" w:hAnsi="Times New Roman"/>
          <w:b/>
          <w:bCs/>
          <w:sz w:val="24"/>
          <w:szCs w:val="24"/>
        </w:rPr>
      </w:pPr>
      <w:r w:rsidRPr="00080178">
        <w:rPr>
          <w:rFonts w:ascii="Times New Roman" w:hAnsi="Times New Roman"/>
          <w:b/>
          <w:sz w:val="24"/>
          <w:szCs w:val="24"/>
        </w:rPr>
        <w:t xml:space="preserve">Legal Lesson Learned: This </w:t>
      </w:r>
      <w:r w:rsidRPr="00080178">
        <w:rPr>
          <w:rFonts w:ascii="Times New Roman" w:hAnsi="Times New Roman"/>
          <w:b/>
          <w:bCs/>
          <w:sz w:val="24"/>
          <w:szCs w:val="24"/>
        </w:rPr>
        <w:t>revised</w:t>
      </w:r>
      <w:r w:rsidRPr="00080178">
        <w:rPr>
          <w:rFonts w:ascii="Times New Roman" w:hAnsi="Times New Roman"/>
          <w:b/>
          <w:sz w:val="24"/>
          <w:szCs w:val="24"/>
        </w:rPr>
        <w:t xml:space="preserve"> Consent Decree has some innovative recruiting requirements. </w:t>
      </w:r>
    </w:p>
    <w:p w14:paraId="2FB5A8F5" w14:textId="77777777" w:rsidR="00080178" w:rsidRPr="00080178" w:rsidRDefault="00080178" w:rsidP="00080178">
      <w:pPr>
        <w:pStyle w:val="NoSpacing"/>
        <w:rPr>
          <w:rFonts w:ascii="Times New Roman" w:hAnsi="Times New Roman"/>
          <w:b/>
          <w:bCs/>
          <w:sz w:val="24"/>
          <w:szCs w:val="24"/>
        </w:rPr>
      </w:pPr>
    </w:p>
    <w:p w14:paraId="671F9C96" w14:textId="77777777" w:rsidR="00080178" w:rsidRPr="00080178" w:rsidRDefault="00080178" w:rsidP="00080178">
      <w:pPr>
        <w:pStyle w:val="NoSpacing"/>
        <w:ind w:left="720"/>
        <w:rPr>
          <w:rFonts w:ascii="Times New Roman" w:hAnsi="Times New Roman"/>
          <w:sz w:val="24"/>
          <w:szCs w:val="24"/>
        </w:rPr>
      </w:pPr>
      <w:r w:rsidRPr="00080178">
        <w:rPr>
          <w:rFonts w:ascii="Times New Roman" w:hAnsi="Times New Roman"/>
          <w:sz w:val="24"/>
          <w:szCs w:val="24"/>
        </w:rPr>
        <w:t>Note: The Consent Decree reflect 40 years progress with hiring Black male firefighters, but Consent Decree recognizes lack of females.  “THAT, despite the efforts of the parties, there are currently one female firefighter of any rank in the Fire Department of Mount Vernon, and there has only been one female firefighter at any time.”</w:t>
      </w:r>
    </w:p>
    <w:p w14:paraId="42C721AD" w14:textId="77777777" w:rsidR="00080178" w:rsidRPr="00080178" w:rsidRDefault="00080178" w:rsidP="00080178">
      <w:pPr>
        <w:pStyle w:val="NoSpacing"/>
        <w:rPr>
          <w:rFonts w:ascii="Times New Roman" w:hAnsi="Times New Roman"/>
          <w:b/>
          <w:bCs/>
          <w:sz w:val="24"/>
          <w:szCs w:val="24"/>
        </w:rPr>
      </w:pPr>
    </w:p>
    <w:p w14:paraId="6C63B500" w14:textId="77777777" w:rsidR="00080178" w:rsidRPr="00080178" w:rsidRDefault="00080178" w:rsidP="00080178">
      <w:pPr>
        <w:pStyle w:val="NoSpacing"/>
        <w:ind w:left="720"/>
        <w:rPr>
          <w:rFonts w:ascii="Times New Roman" w:hAnsi="Times New Roman"/>
          <w:sz w:val="24"/>
          <w:szCs w:val="24"/>
        </w:rPr>
      </w:pPr>
      <w:r w:rsidRPr="00080178">
        <w:rPr>
          <w:rFonts w:ascii="Times New Roman" w:hAnsi="Times New Roman"/>
          <w:sz w:val="24"/>
          <w:szCs w:val="24"/>
        </w:rPr>
        <w:t xml:space="preserve">See these statistics in the 2024 Consent Decree.   </w:t>
      </w:r>
    </w:p>
    <w:p w14:paraId="4823A1F5" w14:textId="77777777" w:rsidR="00080178" w:rsidRPr="00080178" w:rsidRDefault="00080178" w:rsidP="00080178">
      <w:pPr>
        <w:pStyle w:val="NoSpacing"/>
        <w:ind w:left="720"/>
        <w:rPr>
          <w:rFonts w:ascii="Times New Roman" w:hAnsi="Times New Roman"/>
          <w:sz w:val="24"/>
          <w:szCs w:val="24"/>
        </w:rPr>
      </w:pPr>
    </w:p>
    <w:p w14:paraId="1A090FA5" w14:textId="77777777" w:rsidR="00080178" w:rsidRPr="00080178" w:rsidRDefault="00080178" w:rsidP="00080178">
      <w:pPr>
        <w:pStyle w:val="NoSpacing"/>
        <w:ind w:left="720"/>
        <w:rPr>
          <w:rFonts w:ascii="Times New Roman" w:hAnsi="Times New Roman"/>
          <w:sz w:val="24"/>
          <w:szCs w:val="24"/>
        </w:rPr>
      </w:pPr>
      <w:r w:rsidRPr="00080178">
        <w:rPr>
          <w:rFonts w:ascii="Times New Roman" w:hAnsi="Times New Roman"/>
          <w:sz w:val="24"/>
          <w:szCs w:val="24"/>
        </w:rPr>
        <w:t xml:space="preserve">According to the 2020 Census, the </w:t>
      </w:r>
      <w:proofErr w:type="gramStart"/>
      <w:r w:rsidRPr="00080178">
        <w:rPr>
          <w:rFonts w:ascii="Times New Roman" w:hAnsi="Times New Roman"/>
          <w:sz w:val="24"/>
          <w:szCs w:val="24"/>
        </w:rPr>
        <w:t>African-American</w:t>
      </w:r>
      <w:proofErr w:type="gramEnd"/>
      <w:r w:rsidRPr="00080178">
        <w:rPr>
          <w:rFonts w:ascii="Times New Roman" w:hAnsi="Times New Roman"/>
          <w:sz w:val="24"/>
          <w:szCs w:val="24"/>
        </w:rPr>
        <w:t xml:space="preserve"> and/or Hispanic population of Mount Vernon between the ages of 18 and 44 was approximately 66% and 7%, respectively. According to Mount Vernon counsel, the demographics of the fire department were: </w:t>
      </w:r>
    </w:p>
    <w:p w14:paraId="68A9E609" w14:textId="77777777" w:rsidR="00080178" w:rsidRPr="00080178" w:rsidRDefault="00080178" w:rsidP="00080178">
      <w:pPr>
        <w:pStyle w:val="NoSpacing"/>
        <w:ind w:left="720"/>
        <w:rPr>
          <w:rFonts w:ascii="Times New Roman" w:hAnsi="Times New Roman"/>
          <w:sz w:val="24"/>
          <w:szCs w:val="24"/>
        </w:rPr>
      </w:pPr>
    </w:p>
    <w:tbl>
      <w:tblPr>
        <w:tblW w:w="0" w:type="auto"/>
        <w:tblCellSpacing w:w="15" w:type="dxa"/>
        <w:tblInd w:w="1395" w:type="dxa"/>
        <w:tblCellMar>
          <w:top w:w="15" w:type="dxa"/>
          <w:left w:w="15" w:type="dxa"/>
          <w:bottom w:w="15" w:type="dxa"/>
          <w:right w:w="15" w:type="dxa"/>
        </w:tblCellMar>
        <w:tblLook w:val="04A0" w:firstRow="1" w:lastRow="0" w:firstColumn="1" w:lastColumn="0" w:noHBand="0" w:noVBand="1"/>
      </w:tblPr>
      <w:tblGrid>
        <w:gridCol w:w="1642"/>
        <w:gridCol w:w="647"/>
        <w:gridCol w:w="1819"/>
        <w:gridCol w:w="929"/>
      </w:tblGrid>
      <w:tr w:rsidR="00080178" w:rsidRPr="00080178" w14:paraId="6D1EE60B" w14:textId="77777777" w:rsidTr="007E6314">
        <w:trPr>
          <w:tblCellSpacing w:w="15" w:type="dxa"/>
        </w:trPr>
        <w:tc>
          <w:tcPr>
            <w:tcW w:w="0" w:type="auto"/>
            <w:vAlign w:val="center"/>
            <w:hideMark/>
          </w:tcPr>
          <w:p w14:paraId="58EAD0D8" w14:textId="77777777" w:rsidR="00080178" w:rsidRPr="00080178" w:rsidRDefault="00080178" w:rsidP="007E6314">
            <w:pPr>
              <w:pStyle w:val="NoSpacing"/>
              <w:rPr>
                <w:rFonts w:ascii="Times New Roman" w:hAnsi="Times New Roman"/>
                <w:sz w:val="24"/>
                <w:szCs w:val="24"/>
              </w:rPr>
            </w:pPr>
          </w:p>
        </w:tc>
        <w:tc>
          <w:tcPr>
            <w:tcW w:w="0" w:type="auto"/>
            <w:vAlign w:val="center"/>
            <w:hideMark/>
          </w:tcPr>
          <w:p w14:paraId="435AC5AF" w14:textId="77777777" w:rsidR="00080178" w:rsidRPr="00080178" w:rsidRDefault="00080178" w:rsidP="007E6314">
            <w:pPr>
              <w:pStyle w:val="NoSpacing"/>
              <w:rPr>
                <w:rFonts w:ascii="Times New Roman" w:hAnsi="Times New Roman"/>
                <w:sz w:val="24"/>
                <w:szCs w:val="24"/>
              </w:rPr>
            </w:pPr>
            <w:r w:rsidRPr="00080178">
              <w:rPr>
                <w:rFonts w:ascii="Times New Roman" w:hAnsi="Times New Roman"/>
                <w:sz w:val="24"/>
                <w:szCs w:val="24"/>
              </w:rPr>
              <w:t xml:space="preserve">White </w:t>
            </w:r>
          </w:p>
        </w:tc>
        <w:tc>
          <w:tcPr>
            <w:tcW w:w="0" w:type="auto"/>
            <w:vAlign w:val="center"/>
            <w:hideMark/>
          </w:tcPr>
          <w:p w14:paraId="0C5EB4E7" w14:textId="77777777" w:rsidR="00080178" w:rsidRPr="00080178" w:rsidRDefault="00080178" w:rsidP="007E6314">
            <w:pPr>
              <w:pStyle w:val="NoSpacing"/>
              <w:rPr>
                <w:rFonts w:ascii="Times New Roman" w:hAnsi="Times New Roman"/>
                <w:sz w:val="24"/>
                <w:szCs w:val="24"/>
              </w:rPr>
            </w:pPr>
            <w:proofErr w:type="gramStart"/>
            <w:r w:rsidRPr="00080178">
              <w:rPr>
                <w:rFonts w:ascii="Times New Roman" w:hAnsi="Times New Roman"/>
                <w:sz w:val="24"/>
                <w:szCs w:val="24"/>
              </w:rPr>
              <w:t>African-American</w:t>
            </w:r>
            <w:proofErr w:type="gramEnd"/>
            <w:r w:rsidRPr="00080178">
              <w:rPr>
                <w:rFonts w:ascii="Times New Roman" w:hAnsi="Times New Roman"/>
                <w:sz w:val="24"/>
                <w:szCs w:val="24"/>
              </w:rPr>
              <w:t xml:space="preserve"> </w:t>
            </w:r>
          </w:p>
        </w:tc>
        <w:tc>
          <w:tcPr>
            <w:tcW w:w="0" w:type="auto"/>
            <w:vAlign w:val="center"/>
            <w:hideMark/>
          </w:tcPr>
          <w:p w14:paraId="284EABBB" w14:textId="77777777" w:rsidR="00080178" w:rsidRPr="00080178" w:rsidRDefault="00080178" w:rsidP="007E6314">
            <w:pPr>
              <w:pStyle w:val="NoSpacing"/>
              <w:rPr>
                <w:rFonts w:ascii="Times New Roman" w:hAnsi="Times New Roman"/>
                <w:sz w:val="24"/>
                <w:szCs w:val="24"/>
              </w:rPr>
            </w:pPr>
            <w:r w:rsidRPr="00080178">
              <w:rPr>
                <w:rFonts w:ascii="Times New Roman" w:hAnsi="Times New Roman"/>
                <w:sz w:val="24"/>
                <w:szCs w:val="24"/>
              </w:rPr>
              <w:t xml:space="preserve">Hispanic </w:t>
            </w:r>
          </w:p>
        </w:tc>
      </w:tr>
      <w:tr w:rsidR="00080178" w:rsidRPr="00080178" w14:paraId="42E8FB2F" w14:textId="77777777" w:rsidTr="007E6314">
        <w:trPr>
          <w:tblCellSpacing w:w="15" w:type="dxa"/>
        </w:trPr>
        <w:tc>
          <w:tcPr>
            <w:tcW w:w="0" w:type="auto"/>
            <w:vAlign w:val="center"/>
            <w:hideMark/>
          </w:tcPr>
          <w:p w14:paraId="556C2E47" w14:textId="77777777" w:rsidR="00080178" w:rsidRPr="00080178" w:rsidRDefault="00080178" w:rsidP="007E6314">
            <w:pPr>
              <w:pStyle w:val="NoSpacing"/>
              <w:rPr>
                <w:rFonts w:ascii="Times New Roman" w:hAnsi="Times New Roman"/>
                <w:sz w:val="24"/>
                <w:szCs w:val="24"/>
              </w:rPr>
            </w:pPr>
            <w:r w:rsidRPr="00080178">
              <w:rPr>
                <w:rFonts w:ascii="Times New Roman" w:hAnsi="Times New Roman"/>
                <w:sz w:val="24"/>
                <w:szCs w:val="24"/>
              </w:rPr>
              <w:t xml:space="preserve">Commissioners </w:t>
            </w:r>
          </w:p>
        </w:tc>
        <w:tc>
          <w:tcPr>
            <w:tcW w:w="0" w:type="auto"/>
            <w:vAlign w:val="center"/>
            <w:hideMark/>
          </w:tcPr>
          <w:p w14:paraId="3238446B" w14:textId="77777777" w:rsidR="00080178" w:rsidRPr="00080178" w:rsidRDefault="00080178" w:rsidP="007E6314">
            <w:pPr>
              <w:pStyle w:val="NoSpacing"/>
              <w:rPr>
                <w:rFonts w:ascii="Times New Roman" w:hAnsi="Times New Roman"/>
                <w:sz w:val="24"/>
                <w:szCs w:val="24"/>
              </w:rPr>
            </w:pPr>
            <w:r w:rsidRPr="00080178">
              <w:rPr>
                <w:rFonts w:ascii="Times New Roman" w:hAnsi="Times New Roman"/>
                <w:sz w:val="24"/>
                <w:szCs w:val="24"/>
              </w:rPr>
              <w:t xml:space="preserve">50% </w:t>
            </w:r>
          </w:p>
        </w:tc>
        <w:tc>
          <w:tcPr>
            <w:tcW w:w="0" w:type="auto"/>
            <w:vAlign w:val="center"/>
            <w:hideMark/>
          </w:tcPr>
          <w:p w14:paraId="33A5828E" w14:textId="77777777" w:rsidR="00080178" w:rsidRPr="00080178" w:rsidRDefault="00080178" w:rsidP="007E6314">
            <w:pPr>
              <w:pStyle w:val="NoSpacing"/>
              <w:rPr>
                <w:rFonts w:ascii="Times New Roman" w:hAnsi="Times New Roman"/>
                <w:sz w:val="24"/>
                <w:szCs w:val="24"/>
              </w:rPr>
            </w:pPr>
            <w:r w:rsidRPr="00080178">
              <w:rPr>
                <w:rFonts w:ascii="Times New Roman" w:hAnsi="Times New Roman"/>
                <w:sz w:val="24"/>
                <w:szCs w:val="24"/>
              </w:rPr>
              <w:t xml:space="preserve">50% </w:t>
            </w:r>
          </w:p>
        </w:tc>
        <w:tc>
          <w:tcPr>
            <w:tcW w:w="0" w:type="auto"/>
            <w:vAlign w:val="center"/>
            <w:hideMark/>
          </w:tcPr>
          <w:p w14:paraId="6F8E5893" w14:textId="77777777" w:rsidR="00080178" w:rsidRPr="00080178" w:rsidRDefault="00080178" w:rsidP="007E6314">
            <w:pPr>
              <w:pStyle w:val="NoSpacing"/>
              <w:rPr>
                <w:rFonts w:ascii="Times New Roman" w:hAnsi="Times New Roman"/>
                <w:sz w:val="24"/>
                <w:szCs w:val="24"/>
              </w:rPr>
            </w:pPr>
            <w:r w:rsidRPr="00080178">
              <w:rPr>
                <w:rFonts w:ascii="Times New Roman" w:hAnsi="Times New Roman"/>
                <w:sz w:val="24"/>
                <w:szCs w:val="24"/>
              </w:rPr>
              <w:t xml:space="preserve">0% </w:t>
            </w:r>
          </w:p>
        </w:tc>
      </w:tr>
      <w:tr w:rsidR="00080178" w:rsidRPr="00080178" w14:paraId="2E1BD3CE" w14:textId="77777777" w:rsidTr="007E6314">
        <w:trPr>
          <w:tblCellSpacing w:w="15" w:type="dxa"/>
        </w:trPr>
        <w:tc>
          <w:tcPr>
            <w:tcW w:w="0" w:type="auto"/>
            <w:vAlign w:val="center"/>
            <w:hideMark/>
          </w:tcPr>
          <w:p w14:paraId="7EF9169B" w14:textId="77777777" w:rsidR="00080178" w:rsidRPr="00080178" w:rsidRDefault="00080178" w:rsidP="007E6314">
            <w:pPr>
              <w:pStyle w:val="NoSpacing"/>
              <w:rPr>
                <w:rFonts w:ascii="Times New Roman" w:hAnsi="Times New Roman"/>
                <w:sz w:val="24"/>
                <w:szCs w:val="24"/>
              </w:rPr>
            </w:pPr>
            <w:r w:rsidRPr="00080178">
              <w:rPr>
                <w:rFonts w:ascii="Times New Roman" w:hAnsi="Times New Roman"/>
                <w:sz w:val="24"/>
                <w:szCs w:val="24"/>
              </w:rPr>
              <w:t xml:space="preserve">Deputy Chiefs </w:t>
            </w:r>
          </w:p>
        </w:tc>
        <w:tc>
          <w:tcPr>
            <w:tcW w:w="0" w:type="auto"/>
            <w:vAlign w:val="center"/>
            <w:hideMark/>
          </w:tcPr>
          <w:p w14:paraId="34E54506" w14:textId="77777777" w:rsidR="00080178" w:rsidRPr="00080178" w:rsidRDefault="00080178" w:rsidP="007E6314">
            <w:pPr>
              <w:pStyle w:val="NoSpacing"/>
              <w:rPr>
                <w:rFonts w:ascii="Times New Roman" w:hAnsi="Times New Roman"/>
                <w:sz w:val="24"/>
                <w:szCs w:val="24"/>
              </w:rPr>
            </w:pPr>
            <w:r w:rsidRPr="00080178">
              <w:rPr>
                <w:rFonts w:ascii="Times New Roman" w:hAnsi="Times New Roman"/>
                <w:sz w:val="24"/>
                <w:szCs w:val="24"/>
              </w:rPr>
              <w:t xml:space="preserve">50% </w:t>
            </w:r>
          </w:p>
        </w:tc>
        <w:tc>
          <w:tcPr>
            <w:tcW w:w="0" w:type="auto"/>
            <w:vAlign w:val="center"/>
            <w:hideMark/>
          </w:tcPr>
          <w:p w14:paraId="5A95D5D0" w14:textId="77777777" w:rsidR="00080178" w:rsidRPr="00080178" w:rsidRDefault="00080178" w:rsidP="007E6314">
            <w:pPr>
              <w:pStyle w:val="NoSpacing"/>
              <w:rPr>
                <w:rFonts w:ascii="Times New Roman" w:hAnsi="Times New Roman"/>
                <w:sz w:val="24"/>
                <w:szCs w:val="24"/>
              </w:rPr>
            </w:pPr>
            <w:r w:rsidRPr="00080178">
              <w:rPr>
                <w:rFonts w:ascii="Times New Roman" w:hAnsi="Times New Roman"/>
                <w:sz w:val="24"/>
                <w:szCs w:val="24"/>
              </w:rPr>
              <w:t xml:space="preserve">50% </w:t>
            </w:r>
          </w:p>
        </w:tc>
        <w:tc>
          <w:tcPr>
            <w:tcW w:w="0" w:type="auto"/>
            <w:vAlign w:val="center"/>
            <w:hideMark/>
          </w:tcPr>
          <w:p w14:paraId="41387636" w14:textId="77777777" w:rsidR="00080178" w:rsidRPr="00080178" w:rsidRDefault="00080178" w:rsidP="007E6314">
            <w:pPr>
              <w:pStyle w:val="NoSpacing"/>
              <w:rPr>
                <w:rFonts w:ascii="Times New Roman" w:hAnsi="Times New Roman"/>
                <w:sz w:val="24"/>
                <w:szCs w:val="24"/>
              </w:rPr>
            </w:pPr>
            <w:r w:rsidRPr="00080178">
              <w:rPr>
                <w:rFonts w:ascii="Times New Roman" w:hAnsi="Times New Roman"/>
                <w:sz w:val="24"/>
                <w:szCs w:val="24"/>
              </w:rPr>
              <w:t xml:space="preserve">0% </w:t>
            </w:r>
          </w:p>
        </w:tc>
      </w:tr>
      <w:tr w:rsidR="00080178" w:rsidRPr="00080178" w14:paraId="056C82CA" w14:textId="77777777" w:rsidTr="007E6314">
        <w:trPr>
          <w:tblCellSpacing w:w="15" w:type="dxa"/>
        </w:trPr>
        <w:tc>
          <w:tcPr>
            <w:tcW w:w="0" w:type="auto"/>
            <w:vAlign w:val="center"/>
            <w:hideMark/>
          </w:tcPr>
          <w:p w14:paraId="7C9945AC" w14:textId="77777777" w:rsidR="00080178" w:rsidRPr="00080178" w:rsidRDefault="00080178" w:rsidP="007E6314">
            <w:pPr>
              <w:pStyle w:val="NoSpacing"/>
              <w:rPr>
                <w:rFonts w:ascii="Times New Roman" w:hAnsi="Times New Roman"/>
                <w:sz w:val="24"/>
                <w:szCs w:val="24"/>
              </w:rPr>
            </w:pPr>
            <w:r w:rsidRPr="00080178">
              <w:rPr>
                <w:rFonts w:ascii="Times New Roman" w:hAnsi="Times New Roman"/>
                <w:sz w:val="24"/>
                <w:szCs w:val="24"/>
              </w:rPr>
              <w:t xml:space="preserve">Fire Captains </w:t>
            </w:r>
          </w:p>
        </w:tc>
        <w:tc>
          <w:tcPr>
            <w:tcW w:w="0" w:type="auto"/>
            <w:vAlign w:val="center"/>
            <w:hideMark/>
          </w:tcPr>
          <w:p w14:paraId="1F12CE66" w14:textId="77777777" w:rsidR="00080178" w:rsidRPr="00080178" w:rsidRDefault="00080178" w:rsidP="007E6314">
            <w:pPr>
              <w:pStyle w:val="NoSpacing"/>
              <w:rPr>
                <w:rFonts w:ascii="Times New Roman" w:hAnsi="Times New Roman"/>
                <w:sz w:val="24"/>
                <w:szCs w:val="24"/>
              </w:rPr>
            </w:pPr>
            <w:r w:rsidRPr="00080178">
              <w:rPr>
                <w:rFonts w:ascii="Times New Roman" w:hAnsi="Times New Roman"/>
                <w:sz w:val="24"/>
                <w:szCs w:val="24"/>
              </w:rPr>
              <w:t xml:space="preserve">33% </w:t>
            </w:r>
          </w:p>
        </w:tc>
        <w:tc>
          <w:tcPr>
            <w:tcW w:w="0" w:type="auto"/>
            <w:vAlign w:val="center"/>
            <w:hideMark/>
          </w:tcPr>
          <w:p w14:paraId="2F84DCB9" w14:textId="77777777" w:rsidR="00080178" w:rsidRPr="00080178" w:rsidRDefault="00080178" w:rsidP="007E6314">
            <w:pPr>
              <w:pStyle w:val="NoSpacing"/>
              <w:rPr>
                <w:rFonts w:ascii="Times New Roman" w:hAnsi="Times New Roman"/>
                <w:sz w:val="24"/>
                <w:szCs w:val="24"/>
              </w:rPr>
            </w:pPr>
            <w:r w:rsidRPr="00080178">
              <w:rPr>
                <w:rFonts w:ascii="Times New Roman" w:hAnsi="Times New Roman"/>
                <w:sz w:val="24"/>
                <w:szCs w:val="24"/>
              </w:rPr>
              <w:t xml:space="preserve">50% </w:t>
            </w:r>
          </w:p>
        </w:tc>
        <w:tc>
          <w:tcPr>
            <w:tcW w:w="0" w:type="auto"/>
            <w:vAlign w:val="center"/>
            <w:hideMark/>
          </w:tcPr>
          <w:p w14:paraId="17146B7E" w14:textId="77777777" w:rsidR="00080178" w:rsidRPr="00080178" w:rsidRDefault="00080178" w:rsidP="007E6314">
            <w:pPr>
              <w:pStyle w:val="NoSpacing"/>
              <w:rPr>
                <w:rFonts w:ascii="Times New Roman" w:hAnsi="Times New Roman"/>
                <w:sz w:val="24"/>
                <w:szCs w:val="24"/>
              </w:rPr>
            </w:pPr>
            <w:r w:rsidRPr="00080178">
              <w:rPr>
                <w:rFonts w:ascii="Times New Roman" w:hAnsi="Times New Roman"/>
                <w:sz w:val="24"/>
                <w:szCs w:val="24"/>
              </w:rPr>
              <w:t xml:space="preserve">17% </w:t>
            </w:r>
          </w:p>
        </w:tc>
      </w:tr>
      <w:tr w:rsidR="00080178" w:rsidRPr="00080178" w14:paraId="2921482E" w14:textId="77777777" w:rsidTr="007E6314">
        <w:trPr>
          <w:tblCellSpacing w:w="15" w:type="dxa"/>
        </w:trPr>
        <w:tc>
          <w:tcPr>
            <w:tcW w:w="0" w:type="auto"/>
            <w:vAlign w:val="center"/>
            <w:hideMark/>
          </w:tcPr>
          <w:p w14:paraId="2EE233D6" w14:textId="77777777" w:rsidR="00080178" w:rsidRPr="00080178" w:rsidRDefault="00080178" w:rsidP="007E6314">
            <w:pPr>
              <w:pStyle w:val="NoSpacing"/>
              <w:rPr>
                <w:rFonts w:ascii="Times New Roman" w:hAnsi="Times New Roman"/>
                <w:sz w:val="24"/>
                <w:szCs w:val="24"/>
              </w:rPr>
            </w:pPr>
            <w:r w:rsidRPr="00080178">
              <w:rPr>
                <w:rFonts w:ascii="Times New Roman" w:hAnsi="Times New Roman"/>
                <w:sz w:val="24"/>
                <w:szCs w:val="24"/>
              </w:rPr>
              <w:t xml:space="preserve">Fire Lieutenants </w:t>
            </w:r>
          </w:p>
        </w:tc>
        <w:tc>
          <w:tcPr>
            <w:tcW w:w="0" w:type="auto"/>
            <w:vAlign w:val="center"/>
            <w:hideMark/>
          </w:tcPr>
          <w:p w14:paraId="36EB51EA" w14:textId="77777777" w:rsidR="00080178" w:rsidRPr="00080178" w:rsidRDefault="00080178" w:rsidP="007E6314">
            <w:pPr>
              <w:pStyle w:val="NoSpacing"/>
              <w:rPr>
                <w:rFonts w:ascii="Times New Roman" w:hAnsi="Times New Roman"/>
                <w:sz w:val="24"/>
                <w:szCs w:val="24"/>
              </w:rPr>
            </w:pPr>
            <w:r w:rsidRPr="00080178">
              <w:rPr>
                <w:rFonts w:ascii="Times New Roman" w:hAnsi="Times New Roman"/>
                <w:sz w:val="24"/>
                <w:szCs w:val="24"/>
              </w:rPr>
              <w:t xml:space="preserve">48% </w:t>
            </w:r>
          </w:p>
        </w:tc>
        <w:tc>
          <w:tcPr>
            <w:tcW w:w="0" w:type="auto"/>
            <w:vAlign w:val="center"/>
            <w:hideMark/>
          </w:tcPr>
          <w:p w14:paraId="7CB2482F" w14:textId="77777777" w:rsidR="00080178" w:rsidRPr="00080178" w:rsidRDefault="00080178" w:rsidP="007E6314">
            <w:pPr>
              <w:pStyle w:val="NoSpacing"/>
              <w:rPr>
                <w:rFonts w:ascii="Times New Roman" w:hAnsi="Times New Roman"/>
                <w:sz w:val="24"/>
                <w:szCs w:val="24"/>
              </w:rPr>
            </w:pPr>
            <w:r w:rsidRPr="00080178">
              <w:rPr>
                <w:rFonts w:ascii="Times New Roman" w:hAnsi="Times New Roman"/>
                <w:sz w:val="24"/>
                <w:szCs w:val="24"/>
              </w:rPr>
              <w:t xml:space="preserve">52% </w:t>
            </w:r>
          </w:p>
        </w:tc>
        <w:tc>
          <w:tcPr>
            <w:tcW w:w="0" w:type="auto"/>
            <w:vAlign w:val="center"/>
            <w:hideMark/>
          </w:tcPr>
          <w:p w14:paraId="5E882C88" w14:textId="77777777" w:rsidR="00080178" w:rsidRPr="00080178" w:rsidRDefault="00080178" w:rsidP="007E6314">
            <w:pPr>
              <w:pStyle w:val="NoSpacing"/>
              <w:rPr>
                <w:rFonts w:ascii="Times New Roman" w:hAnsi="Times New Roman"/>
                <w:sz w:val="24"/>
                <w:szCs w:val="24"/>
              </w:rPr>
            </w:pPr>
            <w:r w:rsidRPr="00080178">
              <w:rPr>
                <w:rFonts w:ascii="Times New Roman" w:hAnsi="Times New Roman"/>
                <w:sz w:val="24"/>
                <w:szCs w:val="24"/>
              </w:rPr>
              <w:t xml:space="preserve">0% </w:t>
            </w:r>
          </w:p>
        </w:tc>
      </w:tr>
      <w:tr w:rsidR="00080178" w:rsidRPr="00080178" w14:paraId="3A10B905" w14:textId="77777777" w:rsidTr="007E6314">
        <w:trPr>
          <w:tblCellSpacing w:w="15" w:type="dxa"/>
        </w:trPr>
        <w:tc>
          <w:tcPr>
            <w:tcW w:w="0" w:type="auto"/>
            <w:vAlign w:val="center"/>
            <w:hideMark/>
          </w:tcPr>
          <w:p w14:paraId="7CDAE054" w14:textId="77777777" w:rsidR="00080178" w:rsidRPr="00080178" w:rsidRDefault="00080178" w:rsidP="007E6314">
            <w:pPr>
              <w:pStyle w:val="NoSpacing"/>
              <w:rPr>
                <w:rFonts w:ascii="Times New Roman" w:hAnsi="Times New Roman"/>
                <w:sz w:val="24"/>
                <w:szCs w:val="24"/>
              </w:rPr>
            </w:pPr>
            <w:r w:rsidRPr="00080178">
              <w:rPr>
                <w:rFonts w:ascii="Times New Roman" w:hAnsi="Times New Roman"/>
                <w:sz w:val="24"/>
                <w:szCs w:val="24"/>
              </w:rPr>
              <w:t xml:space="preserve">Firefighters </w:t>
            </w:r>
          </w:p>
        </w:tc>
        <w:tc>
          <w:tcPr>
            <w:tcW w:w="0" w:type="auto"/>
            <w:vAlign w:val="center"/>
            <w:hideMark/>
          </w:tcPr>
          <w:p w14:paraId="73DCEBA0" w14:textId="77777777" w:rsidR="00080178" w:rsidRPr="00080178" w:rsidRDefault="00080178" w:rsidP="007E6314">
            <w:pPr>
              <w:pStyle w:val="NoSpacing"/>
              <w:rPr>
                <w:rFonts w:ascii="Times New Roman" w:hAnsi="Times New Roman"/>
                <w:sz w:val="24"/>
                <w:szCs w:val="24"/>
              </w:rPr>
            </w:pPr>
            <w:r w:rsidRPr="00080178">
              <w:rPr>
                <w:rFonts w:ascii="Times New Roman" w:hAnsi="Times New Roman"/>
                <w:sz w:val="24"/>
                <w:szCs w:val="24"/>
              </w:rPr>
              <w:t xml:space="preserve">36% </w:t>
            </w:r>
          </w:p>
        </w:tc>
        <w:tc>
          <w:tcPr>
            <w:tcW w:w="0" w:type="auto"/>
            <w:vAlign w:val="center"/>
            <w:hideMark/>
          </w:tcPr>
          <w:p w14:paraId="7D4855BA" w14:textId="77777777" w:rsidR="00080178" w:rsidRPr="00080178" w:rsidRDefault="00080178" w:rsidP="007E6314">
            <w:pPr>
              <w:pStyle w:val="NoSpacing"/>
              <w:rPr>
                <w:rFonts w:ascii="Times New Roman" w:hAnsi="Times New Roman"/>
                <w:sz w:val="24"/>
                <w:szCs w:val="24"/>
              </w:rPr>
            </w:pPr>
            <w:r w:rsidRPr="00080178">
              <w:rPr>
                <w:rFonts w:ascii="Times New Roman" w:hAnsi="Times New Roman"/>
                <w:sz w:val="24"/>
                <w:szCs w:val="24"/>
              </w:rPr>
              <w:t xml:space="preserve">62% </w:t>
            </w:r>
          </w:p>
        </w:tc>
        <w:tc>
          <w:tcPr>
            <w:tcW w:w="0" w:type="auto"/>
            <w:vAlign w:val="center"/>
            <w:hideMark/>
          </w:tcPr>
          <w:p w14:paraId="5B0DC378" w14:textId="77777777" w:rsidR="00080178" w:rsidRPr="00080178" w:rsidRDefault="00080178" w:rsidP="007E6314">
            <w:pPr>
              <w:pStyle w:val="NoSpacing"/>
              <w:rPr>
                <w:rFonts w:ascii="Times New Roman" w:hAnsi="Times New Roman"/>
                <w:sz w:val="24"/>
                <w:szCs w:val="24"/>
              </w:rPr>
            </w:pPr>
            <w:r w:rsidRPr="00080178">
              <w:rPr>
                <w:rFonts w:ascii="Times New Roman" w:hAnsi="Times New Roman"/>
                <w:sz w:val="24"/>
                <w:szCs w:val="24"/>
              </w:rPr>
              <w:t xml:space="preserve">2% </w:t>
            </w:r>
          </w:p>
        </w:tc>
      </w:tr>
      <w:tr w:rsidR="00080178" w:rsidRPr="00080178" w14:paraId="42FB0420" w14:textId="77777777" w:rsidTr="007E6314">
        <w:trPr>
          <w:tblCellSpacing w:w="15" w:type="dxa"/>
        </w:trPr>
        <w:tc>
          <w:tcPr>
            <w:tcW w:w="0" w:type="auto"/>
            <w:vAlign w:val="center"/>
            <w:hideMark/>
          </w:tcPr>
          <w:p w14:paraId="2E96DA45" w14:textId="77777777" w:rsidR="00080178" w:rsidRPr="00080178" w:rsidRDefault="00080178" w:rsidP="007E6314">
            <w:pPr>
              <w:pStyle w:val="NoSpacing"/>
              <w:rPr>
                <w:rFonts w:ascii="Times New Roman" w:hAnsi="Times New Roman"/>
                <w:sz w:val="24"/>
                <w:szCs w:val="24"/>
              </w:rPr>
            </w:pPr>
            <w:r w:rsidRPr="00080178">
              <w:rPr>
                <w:rFonts w:ascii="Times New Roman" w:hAnsi="Times New Roman"/>
                <w:sz w:val="24"/>
                <w:szCs w:val="24"/>
              </w:rPr>
              <w:t xml:space="preserve">Inspectors </w:t>
            </w:r>
          </w:p>
        </w:tc>
        <w:tc>
          <w:tcPr>
            <w:tcW w:w="0" w:type="auto"/>
            <w:vAlign w:val="center"/>
            <w:hideMark/>
          </w:tcPr>
          <w:p w14:paraId="6C4060A8" w14:textId="77777777" w:rsidR="00080178" w:rsidRPr="00080178" w:rsidRDefault="00080178" w:rsidP="007E6314">
            <w:pPr>
              <w:pStyle w:val="NoSpacing"/>
              <w:rPr>
                <w:rFonts w:ascii="Times New Roman" w:hAnsi="Times New Roman"/>
                <w:sz w:val="24"/>
                <w:szCs w:val="24"/>
              </w:rPr>
            </w:pPr>
            <w:r w:rsidRPr="00080178">
              <w:rPr>
                <w:rFonts w:ascii="Times New Roman" w:hAnsi="Times New Roman"/>
                <w:sz w:val="24"/>
                <w:szCs w:val="24"/>
              </w:rPr>
              <w:t xml:space="preserve">50% </w:t>
            </w:r>
          </w:p>
        </w:tc>
        <w:tc>
          <w:tcPr>
            <w:tcW w:w="0" w:type="auto"/>
            <w:vAlign w:val="center"/>
            <w:hideMark/>
          </w:tcPr>
          <w:p w14:paraId="7CC8F3D4" w14:textId="77777777" w:rsidR="00080178" w:rsidRPr="00080178" w:rsidRDefault="00080178" w:rsidP="007E6314">
            <w:pPr>
              <w:pStyle w:val="NoSpacing"/>
              <w:rPr>
                <w:rFonts w:ascii="Times New Roman" w:hAnsi="Times New Roman"/>
                <w:sz w:val="24"/>
                <w:szCs w:val="24"/>
              </w:rPr>
            </w:pPr>
            <w:r w:rsidRPr="00080178">
              <w:rPr>
                <w:rFonts w:ascii="Times New Roman" w:hAnsi="Times New Roman"/>
                <w:sz w:val="24"/>
                <w:szCs w:val="24"/>
              </w:rPr>
              <w:t xml:space="preserve">50% </w:t>
            </w:r>
          </w:p>
        </w:tc>
        <w:tc>
          <w:tcPr>
            <w:tcW w:w="0" w:type="auto"/>
            <w:vAlign w:val="center"/>
            <w:hideMark/>
          </w:tcPr>
          <w:p w14:paraId="443F144F" w14:textId="77777777" w:rsidR="00080178" w:rsidRPr="00080178" w:rsidRDefault="00080178" w:rsidP="007E6314">
            <w:pPr>
              <w:pStyle w:val="NoSpacing"/>
              <w:rPr>
                <w:rFonts w:ascii="Times New Roman" w:hAnsi="Times New Roman"/>
                <w:sz w:val="24"/>
                <w:szCs w:val="24"/>
              </w:rPr>
            </w:pPr>
            <w:r w:rsidRPr="00080178">
              <w:rPr>
                <w:rFonts w:ascii="Times New Roman" w:hAnsi="Times New Roman"/>
                <w:sz w:val="24"/>
                <w:szCs w:val="24"/>
              </w:rPr>
              <w:t xml:space="preserve">0% </w:t>
            </w:r>
          </w:p>
        </w:tc>
      </w:tr>
    </w:tbl>
    <w:p w14:paraId="32DA08E8" w14:textId="77777777" w:rsidR="00080178" w:rsidRPr="00080178" w:rsidRDefault="00080178" w:rsidP="00080178">
      <w:pPr>
        <w:pStyle w:val="NoSpacing"/>
        <w:ind w:left="1395"/>
        <w:rPr>
          <w:rFonts w:ascii="Times New Roman" w:hAnsi="Times New Roman"/>
          <w:sz w:val="24"/>
          <w:szCs w:val="24"/>
        </w:rPr>
      </w:pPr>
      <w:r w:rsidRPr="00080178">
        <w:rPr>
          <w:rFonts w:ascii="Times New Roman" w:hAnsi="Times New Roman"/>
          <w:sz w:val="24"/>
          <w:szCs w:val="24"/>
        </w:rPr>
        <w:t xml:space="preserve"> Dispatchers </w:t>
      </w:r>
      <w:r w:rsidRPr="00080178">
        <w:rPr>
          <w:rFonts w:ascii="Times New Roman" w:hAnsi="Times New Roman"/>
          <w:sz w:val="24"/>
          <w:szCs w:val="24"/>
        </w:rPr>
        <w:tab/>
        <w:t xml:space="preserve">    30%   50%                       20%</w:t>
      </w:r>
    </w:p>
    <w:p w14:paraId="7194787B" w14:textId="77777777" w:rsidR="00080178" w:rsidRPr="00080178" w:rsidRDefault="00080178" w:rsidP="00080178">
      <w:pPr>
        <w:pStyle w:val="NoSpacing"/>
        <w:rPr>
          <w:rFonts w:ascii="Times New Roman" w:hAnsi="Times New Roman"/>
          <w:b/>
          <w:bCs/>
          <w:sz w:val="24"/>
          <w:szCs w:val="24"/>
        </w:rPr>
      </w:pPr>
    </w:p>
    <w:p w14:paraId="271BFE65" w14:textId="77777777" w:rsidR="00080178" w:rsidRPr="00080178" w:rsidRDefault="00080178" w:rsidP="00A45D5D">
      <w:pPr>
        <w:rPr>
          <w:rFonts w:ascii="Times New Roman" w:hAnsi="Times New Roman"/>
          <w:b/>
          <w:sz w:val="24"/>
          <w:szCs w:val="24"/>
        </w:rPr>
      </w:pPr>
    </w:p>
    <w:p w14:paraId="2518B40E" w14:textId="77777777" w:rsidR="00A17EA1" w:rsidRDefault="00A17EA1" w:rsidP="00BC70A3">
      <w:pPr>
        <w:rPr>
          <w:rFonts w:ascii="Arial Black" w:hAnsi="Arial Black"/>
          <w:b/>
          <w:sz w:val="24"/>
          <w:szCs w:val="24"/>
        </w:rPr>
      </w:pPr>
    </w:p>
    <w:p w14:paraId="39FC01FF" w14:textId="593D70AE" w:rsidR="00B92F73" w:rsidRDefault="00B92F73" w:rsidP="00BC70A3">
      <w:pPr>
        <w:rPr>
          <w:rFonts w:ascii="Arial Black" w:hAnsi="Arial Black"/>
          <w:b/>
          <w:sz w:val="24"/>
          <w:szCs w:val="24"/>
        </w:rPr>
      </w:pPr>
      <w:r>
        <w:rPr>
          <w:rFonts w:ascii="Arial Black" w:hAnsi="Arial Black"/>
          <w:b/>
          <w:sz w:val="24"/>
          <w:szCs w:val="24"/>
        </w:rPr>
        <w:t>8-77</w:t>
      </w:r>
    </w:p>
    <w:p w14:paraId="1387E50A" w14:textId="77777777" w:rsidR="00C6187D" w:rsidRPr="006F2B87" w:rsidRDefault="00C6187D" w:rsidP="00C6187D">
      <w:pPr>
        <w:pStyle w:val="NoSpacing"/>
        <w:rPr>
          <w:rFonts w:ascii="Arial Black" w:hAnsi="Arial Black"/>
          <w:bCs/>
          <w:sz w:val="28"/>
          <w:szCs w:val="28"/>
        </w:rPr>
      </w:pPr>
      <w:r w:rsidRPr="006F2B87">
        <w:rPr>
          <w:rFonts w:ascii="Arial Black" w:hAnsi="Arial Black"/>
          <w:sz w:val="28"/>
          <w:szCs w:val="28"/>
        </w:rPr>
        <w:t>U.S. SUP. CT: MINORITY CONT</w:t>
      </w:r>
      <w:r>
        <w:rPr>
          <w:rFonts w:ascii="Arial Black" w:hAnsi="Arial Black"/>
          <w:sz w:val="28"/>
          <w:szCs w:val="28"/>
        </w:rPr>
        <w:t>RACT</w:t>
      </w:r>
      <w:r w:rsidRPr="006F2B87">
        <w:rPr>
          <w:rFonts w:ascii="Arial Black" w:hAnsi="Arial Black"/>
          <w:sz w:val="28"/>
          <w:szCs w:val="28"/>
        </w:rPr>
        <w:t xml:space="preserve"> FRAUD - NO $ LOSS </w:t>
      </w:r>
    </w:p>
    <w:p w14:paraId="5F6A7C89" w14:textId="77777777" w:rsidR="00C6187D" w:rsidRPr="006F2B87" w:rsidRDefault="00C6187D" w:rsidP="00C6187D">
      <w:pPr>
        <w:pStyle w:val="NoSpacing"/>
        <w:rPr>
          <w:bCs/>
        </w:rPr>
      </w:pPr>
    </w:p>
    <w:p w14:paraId="13386DB0" w14:textId="77777777" w:rsidR="00C6187D" w:rsidRPr="00C6187D" w:rsidRDefault="00C6187D" w:rsidP="00C6187D">
      <w:pPr>
        <w:pStyle w:val="NoSpacing"/>
        <w:rPr>
          <w:rFonts w:ascii="Times New Roman" w:hAnsi="Times New Roman"/>
          <w:bCs/>
          <w:sz w:val="24"/>
          <w:szCs w:val="24"/>
        </w:rPr>
      </w:pPr>
      <w:r w:rsidRPr="00C6187D">
        <w:rPr>
          <w:rFonts w:ascii="Times New Roman" w:hAnsi="Times New Roman"/>
          <w:sz w:val="24"/>
          <w:szCs w:val="24"/>
        </w:rPr>
        <w:t xml:space="preserve">On May 22, 2025, in </w:t>
      </w:r>
      <w:r w:rsidRPr="00C6187D">
        <w:rPr>
          <w:rFonts w:ascii="Times New Roman" w:hAnsi="Times New Roman"/>
          <w:sz w:val="24"/>
          <w:szCs w:val="24"/>
          <w:u w:val="single"/>
        </w:rPr>
        <w:t xml:space="preserve">Stamatios </w:t>
      </w:r>
      <w:proofErr w:type="spellStart"/>
      <w:r w:rsidRPr="00C6187D">
        <w:rPr>
          <w:rFonts w:ascii="Times New Roman" w:hAnsi="Times New Roman"/>
          <w:sz w:val="24"/>
          <w:szCs w:val="24"/>
          <w:u w:val="single"/>
        </w:rPr>
        <w:t>Kousisis</w:t>
      </w:r>
      <w:proofErr w:type="spellEnd"/>
      <w:r w:rsidRPr="00C6187D">
        <w:rPr>
          <w:rFonts w:ascii="Times New Roman" w:hAnsi="Times New Roman"/>
          <w:sz w:val="24"/>
          <w:szCs w:val="24"/>
          <w:u w:val="single"/>
        </w:rPr>
        <w:t>, et al. v. United States</w:t>
      </w:r>
      <w:r w:rsidRPr="00C6187D">
        <w:rPr>
          <w:rFonts w:ascii="Times New Roman" w:hAnsi="Times New Roman"/>
          <w:sz w:val="24"/>
          <w:szCs w:val="24"/>
        </w:rPr>
        <w:t xml:space="preserve">, the United States Supreme Court held (9 to 0) that the jury properly convicted Stamatios </w:t>
      </w:r>
      <w:proofErr w:type="spellStart"/>
      <w:r w:rsidRPr="00C6187D">
        <w:rPr>
          <w:rFonts w:ascii="Times New Roman" w:hAnsi="Times New Roman"/>
          <w:sz w:val="24"/>
          <w:szCs w:val="24"/>
        </w:rPr>
        <w:t>Kousisis</w:t>
      </w:r>
      <w:proofErr w:type="spellEnd"/>
      <w:r w:rsidRPr="00C6187D">
        <w:rPr>
          <w:rFonts w:ascii="Times New Roman" w:hAnsi="Times New Roman"/>
          <w:sz w:val="24"/>
          <w:szCs w:val="24"/>
        </w:rPr>
        <w:t xml:space="preserve"> and the industrial-painting company he helped manage, Alpha Painting and Construction Co., of wire fraud and conspiracy in two bridge painting projects in Philadelphia where he certified he was doing business with a Disadvantaged Business Enterprise [DBE]. He was sentenced to six years in prison, and the Third Circuit [Philadelphia] and the U.S. Supreme Court </w:t>
      </w:r>
      <w:proofErr w:type="spellStart"/>
      <w:r w:rsidRPr="00C6187D">
        <w:rPr>
          <w:rFonts w:ascii="Times New Roman" w:hAnsi="Times New Roman"/>
          <w:sz w:val="24"/>
          <w:szCs w:val="24"/>
        </w:rPr>
        <w:t>Court</w:t>
      </w:r>
      <w:proofErr w:type="spellEnd"/>
      <w:r w:rsidRPr="00C6187D">
        <w:rPr>
          <w:rFonts w:ascii="Times New Roman" w:hAnsi="Times New Roman"/>
          <w:sz w:val="24"/>
          <w:szCs w:val="24"/>
        </w:rPr>
        <w:t xml:space="preserve"> rejected his argument that government had to prove defendant caused his victim a “net pecuniary loss.”</w:t>
      </w:r>
    </w:p>
    <w:p w14:paraId="76D4AB36" w14:textId="77777777" w:rsidR="00C6187D" w:rsidRPr="00C6187D" w:rsidRDefault="00C6187D" w:rsidP="00C6187D">
      <w:pPr>
        <w:pStyle w:val="NoSpacing"/>
        <w:rPr>
          <w:rFonts w:ascii="Times New Roman" w:hAnsi="Times New Roman"/>
          <w:bCs/>
          <w:sz w:val="24"/>
          <w:szCs w:val="24"/>
        </w:rPr>
      </w:pPr>
    </w:p>
    <w:p w14:paraId="57B9323F" w14:textId="77777777" w:rsidR="00C6187D" w:rsidRPr="00C6187D" w:rsidRDefault="00C6187D" w:rsidP="00C6187D">
      <w:pPr>
        <w:pStyle w:val="NoSpacing"/>
        <w:rPr>
          <w:rFonts w:ascii="Times New Roman" w:hAnsi="Times New Roman"/>
          <w:bCs/>
          <w:sz w:val="24"/>
          <w:szCs w:val="24"/>
        </w:rPr>
      </w:pPr>
      <w:r w:rsidRPr="00C6187D">
        <w:rPr>
          <w:rFonts w:ascii="Times New Roman" w:hAnsi="Times New Roman"/>
          <w:sz w:val="24"/>
          <w:szCs w:val="24"/>
        </w:rPr>
        <w:t xml:space="preserve">Justice Amy Coney Barrett wrote the Court’s opinion, and explained how the scheme worked: </w:t>
      </w:r>
    </w:p>
    <w:p w14:paraId="76C98FFF" w14:textId="77777777" w:rsidR="00C6187D" w:rsidRPr="00C6187D" w:rsidRDefault="00C6187D" w:rsidP="00C6187D">
      <w:pPr>
        <w:pStyle w:val="NoSpacing"/>
        <w:rPr>
          <w:rFonts w:ascii="Times New Roman" w:hAnsi="Times New Roman"/>
          <w:bCs/>
          <w:sz w:val="24"/>
          <w:szCs w:val="24"/>
        </w:rPr>
      </w:pPr>
      <w:r w:rsidRPr="00C6187D">
        <w:rPr>
          <w:rFonts w:ascii="Times New Roman" w:hAnsi="Times New Roman"/>
          <w:sz w:val="24"/>
          <w:szCs w:val="24"/>
        </w:rPr>
        <w:t xml:space="preserve">“Accordingly, as part of the bidding process, </w:t>
      </w:r>
      <w:proofErr w:type="spellStart"/>
      <w:r w:rsidRPr="00C6187D">
        <w:rPr>
          <w:rFonts w:ascii="Times New Roman" w:hAnsi="Times New Roman"/>
          <w:sz w:val="24"/>
          <w:szCs w:val="24"/>
        </w:rPr>
        <w:t>Kousisis</w:t>
      </w:r>
      <w:proofErr w:type="spellEnd"/>
      <w:r w:rsidRPr="00C6187D">
        <w:rPr>
          <w:rFonts w:ascii="Times New Roman" w:hAnsi="Times New Roman"/>
          <w:sz w:val="24"/>
          <w:szCs w:val="24"/>
        </w:rPr>
        <w:t xml:space="preserve"> represented that Alpha would acquire approximately $6.4 million in painting supplies from Markias, Inc., a prequalified disadvantaged business. *** This was a lie.  As </w:t>
      </w:r>
      <w:r w:rsidRPr="00C6187D">
        <w:rPr>
          <w:rFonts w:ascii="Times New Roman" w:hAnsi="Times New Roman"/>
          <w:sz w:val="24"/>
          <w:szCs w:val="24"/>
        </w:rPr>
        <w:lastRenderedPageBreak/>
        <w:t xml:space="preserve">later memorialized in a commitment letter, Alpha and </w:t>
      </w:r>
      <w:proofErr w:type="spellStart"/>
      <w:r w:rsidRPr="00C6187D">
        <w:rPr>
          <w:rFonts w:ascii="Times New Roman" w:hAnsi="Times New Roman"/>
          <w:sz w:val="24"/>
          <w:szCs w:val="24"/>
        </w:rPr>
        <w:t>Kousisis</w:t>
      </w:r>
      <w:proofErr w:type="spellEnd"/>
      <w:r w:rsidRPr="00C6187D">
        <w:rPr>
          <w:rFonts w:ascii="Times New Roman" w:hAnsi="Times New Roman"/>
          <w:sz w:val="24"/>
          <w:szCs w:val="24"/>
        </w:rPr>
        <w:t xml:space="preserve"> concocted a scheme in which Markias would function as a mere ‘pass-through’ entity. The scheme operated as follows: </w:t>
      </w:r>
      <w:proofErr w:type="spellStart"/>
      <w:r w:rsidRPr="00C6187D">
        <w:rPr>
          <w:rFonts w:ascii="Times New Roman" w:hAnsi="Times New Roman"/>
          <w:sz w:val="24"/>
          <w:szCs w:val="24"/>
        </w:rPr>
        <w:t>Kousisis</w:t>
      </w:r>
      <w:proofErr w:type="spellEnd"/>
      <w:r w:rsidRPr="00C6187D">
        <w:rPr>
          <w:rFonts w:ascii="Times New Roman" w:hAnsi="Times New Roman"/>
          <w:sz w:val="24"/>
          <w:szCs w:val="24"/>
        </w:rPr>
        <w:t xml:space="preserve"> arranged for Alpha’s actual paint suppliers, with whom he negotiated  directly, to “generate purchase orders . . . billed to Markias.” Id., at 193. When Markias received an invoice, it tacked on a few-percent fee and then forwarded the inflated invoice to </w:t>
      </w:r>
      <w:proofErr w:type="spellStart"/>
      <w:r w:rsidRPr="00C6187D">
        <w:rPr>
          <w:rFonts w:ascii="Times New Roman" w:hAnsi="Times New Roman"/>
          <w:sz w:val="24"/>
          <w:szCs w:val="24"/>
        </w:rPr>
        <w:t>Kousisis</w:t>
      </w:r>
      <w:proofErr w:type="spellEnd"/>
      <w:r w:rsidRPr="00C6187D">
        <w:rPr>
          <w:rFonts w:ascii="Times New Roman" w:hAnsi="Times New Roman"/>
          <w:sz w:val="24"/>
          <w:szCs w:val="24"/>
        </w:rPr>
        <w:t xml:space="preserve">. He, in turn, issued two checks: one paid Markias for its mark up, and the other covered the actual cost of the supplies. In short, Markias was no more than a paper pusher, funneling checks and invoices to and from Alpha’s actual suppliers.” </w:t>
      </w:r>
    </w:p>
    <w:p w14:paraId="2DA6262B" w14:textId="77777777" w:rsidR="00C6187D" w:rsidRDefault="00C6187D" w:rsidP="00C6187D">
      <w:pPr>
        <w:pStyle w:val="NoSpacing"/>
        <w:rPr>
          <w:rFonts w:ascii="Times New Roman" w:hAnsi="Times New Roman"/>
          <w:sz w:val="24"/>
          <w:szCs w:val="24"/>
        </w:rPr>
      </w:pPr>
      <w:hyperlink r:id="rId1510" w:history="1">
        <w:r w:rsidRPr="00C6187D">
          <w:rPr>
            <w:rStyle w:val="Hyperlink"/>
            <w:rFonts w:ascii="Times New Roman" w:hAnsi="Times New Roman"/>
            <w:b/>
            <w:sz w:val="24"/>
            <w:szCs w:val="24"/>
          </w:rPr>
          <w:t>https://www.supremecourt.gov/opinions/24pdf/23-909_f2q3.pdf</w:t>
        </w:r>
      </w:hyperlink>
      <w:r w:rsidRPr="00C6187D">
        <w:rPr>
          <w:rFonts w:ascii="Times New Roman" w:hAnsi="Times New Roman"/>
          <w:sz w:val="24"/>
          <w:szCs w:val="24"/>
        </w:rPr>
        <w:t xml:space="preserve"> </w:t>
      </w:r>
    </w:p>
    <w:p w14:paraId="7586C31D" w14:textId="77777777" w:rsidR="0035274D" w:rsidRDefault="0035274D" w:rsidP="00C6187D">
      <w:pPr>
        <w:pStyle w:val="NoSpacing"/>
        <w:rPr>
          <w:rFonts w:ascii="Times New Roman" w:hAnsi="Times New Roman"/>
          <w:sz w:val="24"/>
          <w:szCs w:val="24"/>
        </w:rPr>
      </w:pPr>
    </w:p>
    <w:p w14:paraId="76A86332" w14:textId="77777777" w:rsidR="0035274D" w:rsidRPr="006F2B87" w:rsidRDefault="0035274D" w:rsidP="0035274D">
      <w:pPr>
        <w:pStyle w:val="NoSpacing"/>
        <w:rPr>
          <w:b/>
          <w:bCs/>
        </w:rPr>
      </w:pPr>
      <w:r w:rsidRPr="006F2B87">
        <w:rPr>
          <w:b/>
        </w:rPr>
        <w:t xml:space="preserve">Legal Lesson Learned: Fraud involving a “disadvantaged business enterprise” can be prosecuted even if the government was not financially injured. </w:t>
      </w:r>
    </w:p>
    <w:p w14:paraId="34F26987" w14:textId="77777777" w:rsidR="0035274D" w:rsidRPr="006F2B87" w:rsidRDefault="0035274D" w:rsidP="0035274D">
      <w:pPr>
        <w:pStyle w:val="NoSpacing"/>
        <w:rPr>
          <w:bCs/>
        </w:rPr>
      </w:pPr>
    </w:p>
    <w:p w14:paraId="52C73D54" w14:textId="77777777" w:rsidR="0035274D" w:rsidRPr="0035274D" w:rsidRDefault="0035274D" w:rsidP="0035274D">
      <w:pPr>
        <w:pStyle w:val="NoSpacing"/>
        <w:ind w:left="720"/>
        <w:rPr>
          <w:rFonts w:ascii="Times New Roman" w:hAnsi="Times New Roman"/>
          <w:bCs/>
          <w:sz w:val="24"/>
          <w:szCs w:val="24"/>
        </w:rPr>
      </w:pPr>
      <w:r w:rsidRPr="0035274D">
        <w:rPr>
          <w:rFonts w:ascii="Times New Roman" w:hAnsi="Times New Roman"/>
          <w:sz w:val="24"/>
          <w:szCs w:val="24"/>
        </w:rPr>
        <w:t xml:space="preserve">Note:  See concurring opinion by Justice Sonia Maria Sotomayor where she commented on baseball tickets– METS v. YANKEE </w:t>
      </w:r>
      <w:proofErr w:type="gramStart"/>
      <w:r w:rsidRPr="0035274D">
        <w:rPr>
          <w:rFonts w:ascii="Times New Roman" w:hAnsi="Times New Roman"/>
          <w:sz w:val="24"/>
          <w:szCs w:val="24"/>
        </w:rPr>
        <w:t>TICKETS:.</w:t>
      </w:r>
      <w:proofErr w:type="gramEnd"/>
    </w:p>
    <w:p w14:paraId="40889ED3" w14:textId="77777777" w:rsidR="0035274D" w:rsidRPr="0035274D" w:rsidRDefault="0035274D" w:rsidP="0035274D">
      <w:pPr>
        <w:pStyle w:val="NoSpacing"/>
        <w:ind w:left="720"/>
        <w:rPr>
          <w:rFonts w:ascii="Times New Roman" w:hAnsi="Times New Roman"/>
          <w:bCs/>
          <w:sz w:val="24"/>
          <w:szCs w:val="24"/>
        </w:rPr>
      </w:pPr>
      <w:r w:rsidRPr="0035274D">
        <w:rPr>
          <w:rFonts w:ascii="Times New Roman" w:hAnsi="Times New Roman"/>
          <w:sz w:val="24"/>
          <w:szCs w:val="24"/>
        </w:rPr>
        <w:t>“The Court today rightly rejects petitioners’ request to graft an economic-loss requirement onto the federal wire fraud statute. When a defendant tricks a victim out of their money by promising one thing and delivering something materially different, it is no defense to say that the delivered items are of equal economic value. Statutory text,</w:t>
      </w:r>
    </w:p>
    <w:p w14:paraId="5441E04A" w14:textId="77777777" w:rsidR="0035274D" w:rsidRPr="0035274D" w:rsidRDefault="0035274D" w:rsidP="0035274D">
      <w:pPr>
        <w:pStyle w:val="NoSpacing"/>
        <w:ind w:left="720"/>
        <w:rPr>
          <w:rFonts w:ascii="Times New Roman" w:hAnsi="Times New Roman"/>
          <w:bCs/>
          <w:sz w:val="24"/>
          <w:szCs w:val="24"/>
        </w:rPr>
      </w:pPr>
      <w:r w:rsidRPr="0035274D">
        <w:rPr>
          <w:rFonts w:ascii="Times New Roman" w:hAnsi="Times New Roman"/>
          <w:sz w:val="24"/>
          <w:szCs w:val="24"/>
        </w:rPr>
        <w:t xml:space="preserve">precedent, and history mandate that conclusion, as the majority explains. See ante, at 7–16. Common sense, unsurprisingly, points in the same direction. A Yankees fan deceived into buying Mets tickets is no less defrauded simply because the Mets tickets happen to be worth the same amount as the promised Yankees ones. That straightforward conclusion is all that is necessary to resolve this case, and I would go no further.” </w:t>
      </w:r>
    </w:p>
    <w:p w14:paraId="7E465657" w14:textId="77777777" w:rsidR="0035274D" w:rsidRPr="0035274D" w:rsidRDefault="0035274D" w:rsidP="0035274D">
      <w:pPr>
        <w:pStyle w:val="NoSpacing"/>
        <w:rPr>
          <w:rFonts w:ascii="Times New Roman" w:hAnsi="Times New Roman"/>
          <w:bCs/>
          <w:sz w:val="24"/>
          <w:szCs w:val="24"/>
        </w:rPr>
      </w:pPr>
    </w:p>
    <w:p w14:paraId="6B6B312D" w14:textId="77777777" w:rsidR="0035274D" w:rsidRPr="0035274D" w:rsidRDefault="0035274D" w:rsidP="0035274D">
      <w:pPr>
        <w:pStyle w:val="NoSpacing"/>
        <w:rPr>
          <w:rFonts w:ascii="Times New Roman" w:hAnsi="Times New Roman"/>
          <w:bCs/>
          <w:sz w:val="24"/>
          <w:szCs w:val="24"/>
        </w:rPr>
      </w:pPr>
      <w:r w:rsidRPr="0035274D">
        <w:rPr>
          <w:rFonts w:ascii="Times New Roman" w:hAnsi="Times New Roman"/>
          <w:sz w:val="24"/>
          <w:szCs w:val="24"/>
        </w:rPr>
        <w:t>See concurring opinion by Jstice Clearance Thomas:</w:t>
      </w:r>
    </w:p>
    <w:p w14:paraId="0A4A8902" w14:textId="77777777" w:rsidR="0035274D" w:rsidRPr="0035274D" w:rsidRDefault="0035274D" w:rsidP="0035274D">
      <w:pPr>
        <w:pStyle w:val="NoSpacing"/>
        <w:rPr>
          <w:rFonts w:ascii="Times New Roman" w:hAnsi="Times New Roman"/>
          <w:bCs/>
          <w:sz w:val="24"/>
          <w:szCs w:val="24"/>
        </w:rPr>
      </w:pPr>
    </w:p>
    <w:p w14:paraId="6876B65D" w14:textId="77777777" w:rsidR="0035274D" w:rsidRPr="0035274D" w:rsidRDefault="0035274D" w:rsidP="0035274D">
      <w:pPr>
        <w:pStyle w:val="NoSpacing"/>
        <w:ind w:left="720"/>
        <w:rPr>
          <w:rFonts w:ascii="Times New Roman" w:hAnsi="Times New Roman"/>
          <w:bCs/>
          <w:sz w:val="24"/>
          <w:szCs w:val="24"/>
        </w:rPr>
      </w:pPr>
      <w:r w:rsidRPr="0035274D">
        <w:rPr>
          <w:rFonts w:ascii="Times New Roman" w:hAnsi="Times New Roman"/>
          <w:sz w:val="24"/>
          <w:szCs w:val="24"/>
        </w:rPr>
        <w:t>“The DBE program is the Government’s ‘most far-reaching federal status-based contracting program.” D. Bernstein, The Modern American Law of Race, 94 S. Cal. L.</w:t>
      </w:r>
    </w:p>
    <w:p w14:paraId="2D3F072C" w14:textId="77777777" w:rsidR="0035274D" w:rsidRPr="0035274D" w:rsidRDefault="0035274D" w:rsidP="0035274D">
      <w:pPr>
        <w:pStyle w:val="NoSpacing"/>
        <w:ind w:left="720"/>
        <w:rPr>
          <w:rFonts w:ascii="Times New Roman" w:hAnsi="Times New Roman"/>
          <w:bCs/>
          <w:sz w:val="24"/>
          <w:szCs w:val="24"/>
        </w:rPr>
      </w:pPr>
      <w:r w:rsidRPr="0035274D">
        <w:rPr>
          <w:rFonts w:ascii="Times New Roman" w:hAnsi="Times New Roman"/>
          <w:sz w:val="24"/>
          <w:szCs w:val="24"/>
        </w:rPr>
        <w:t>Rev. 171, 208 (2021) (Bernstein). Established in 1983, it sets a goal that at least 10 percent of federal funds authorized for any highway and transit program ‘be expended</w:t>
      </w:r>
    </w:p>
    <w:p w14:paraId="6602E059" w14:textId="77777777" w:rsidR="0035274D" w:rsidRPr="0035274D" w:rsidRDefault="0035274D" w:rsidP="0035274D">
      <w:pPr>
        <w:pStyle w:val="NoSpacing"/>
        <w:ind w:left="720"/>
        <w:rPr>
          <w:rFonts w:ascii="Times New Roman" w:hAnsi="Times New Roman"/>
          <w:bCs/>
          <w:sz w:val="24"/>
          <w:szCs w:val="24"/>
        </w:rPr>
      </w:pPr>
      <w:r w:rsidRPr="0035274D">
        <w:rPr>
          <w:rFonts w:ascii="Times New Roman" w:hAnsi="Times New Roman"/>
          <w:sz w:val="24"/>
          <w:szCs w:val="24"/>
        </w:rPr>
        <w:t xml:space="preserve">with small business concerns owned and controlled by socially and economically disadvantaged individuals.’ … Among the groups presumptively eligible for DBE benefits are  ‘Black Americans,’ ‘Hispanic Americans,’ ‘Native Americans,’ </w:t>
      </w:r>
      <w:r w:rsidRPr="0035274D">
        <w:rPr>
          <w:rFonts w:ascii="Times New Roman" w:hAnsi="Times New Roman"/>
          <w:sz w:val="24"/>
          <w:szCs w:val="24"/>
        </w:rPr>
        <w:tab/>
        <w:t>‘Asian-Pacific Americans,’ and ‘Subcontinent Asian Americans.’ ”</w:t>
      </w:r>
    </w:p>
    <w:p w14:paraId="1765AD79" w14:textId="77777777" w:rsidR="0035274D" w:rsidRPr="0035274D" w:rsidRDefault="0035274D" w:rsidP="0035274D">
      <w:pPr>
        <w:pStyle w:val="NoSpacing"/>
        <w:rPr>
          <w:rFonts w:ascii="Times New Roman" w:hAnsi="Times New Roman"/>
          <w:bCs/>
          <w:sz w:val="24"/>
          <w:szCs w:val="24"/>
        </w:rPr>
      </w:pPr>
    </w:p>
    <w:p w14:paraId="32BCA717" w14:textId="77777777" w:rsidR="0035274D" w:rsidRPr="0035274D" w:rsidRDefault="0035274D" w:rsidP="0035274D">
      <w:pPr>
        <w:pStyle w:val="NoSpacing"/>
        <w:rPr>
          <w:rFonts w:ascii="Times New Roman" w:hAnsi="Times New Roman"/>
          <w:bCs/>
          <w:sz w:val="24"/>
          <w:szCs w:val="24"/>
        </w:rPr>
      </w:pPr>
    </w:p>
    <w:p w14:paraId="0A62F6AC" w14:textId="77777777" w:rsidR="0035274D" w:rsidRPr="0035274D" w:rsidRDefault="0035274D" w:rsidP="0035274D">
      <w:pPr>
        <w:pStyle w:val="NoSpacing"/>
        <w:ind w:left="720"/>
        <w:rPr>
          <w:rFonts w:ascii="Times New Roman" w:hAnsi="Times New Roman"/>
          <w:bCs/>
          <w:sz w:val="24"/>
          <w:szCs w:val="24"/>
        </w:rPr>
      </w:pPr>
      <w:r w:rsidRPr="0035274D">
        <w:rPr>
          <w:rFonts w:ascii="Times New Roman" w:hAnsi="Times New Roman"/>
          <w:sz w:val="24"/>
          <w:szCs w:val="24"/>
        </w:rPr>
        <w:t xml:space="preserve">See also: U.S. Department of Justice Press Release of Aug. 30, 2028.  “Downingtown Man Convicted of Exploiting USDOT Disadvantaged Business Program.” </w:t>
      </w:r>
    </w:p>
    <w:p w14:paraId="119DEBBF" w14:textId="77777777" w:rsidR="0035274D" w:rsidRPr="0035274D" w:rsidRDefault="0035274D" w:rsidP="0035274D">
      <w:pPr>
        <w:pStyle w:val="NoSpacing"/>
        <w:ind w:left="720"/>
        <w:rPr>
          <w:rFonts w:ascii="Times New Roman" w:hAnsi="Times New Roman"/>
          <w:bCs/>
          <w:sz w:val="24"/>
          <w:szCs w:val="24"/>
        </w:rPr>
      </w:pPr>
      <w:r w:rsidRPr="0035274D">
        <w:rPr>
          <w:rFonts w:ascii="Times New Roman" w:hAnsi="Times New Roman"/>
          <w:sz w:val="24"/>
          <w:szCs w:val="24"/>
        </w:rPr>
        <w:t xml:space="preserve">“Joyce Abrams, the owner of Markias, has previously pleaded guilty to conspiring to defraud PennDOT and the U.S. Department of Transportation with respect to this scheme. </w:t>
      </w:r>
      <w:hyperlink r:id="rId1511" w:history="1">
        <w:r w:rsidRPr="0035274D">
          <w:rPr>
            <w:rStyle w:val="Hyperlink"/>
            <w:rFonts w:ascii="Times New Roman" w:hAnsi="Times New Roman"/>
            <w:sz w:val="24"/>
            <w:szCs w:val="24"/>
          </w:rPr>
          <w:t>https://www.justice.gov/usao-edpa/pr/downingtown-man-convicted-exploiting-usdot-disadvantaged-business-program</w:t>
        </w:r>
      </w:hyperlink>
    </w:p>
    <w:p w14:paraId="7269A7E5" w14:textId="77777777" w:rsidR="0035274D" w:rsidRPr="006F2B87" w:rsidRDefault="0035274D" w:rsidP="0035274D">
      <w:pPr>
        <w:pStyle w:val="NoSpacing"/>
        <w:rPr>
          <w:bCs/>
        </w:rPr>
      </w:pPr>
    </w:p>
    <w:p w14:paraId="4443C34E" w14:textId="77777777" w:rsidR="0035274D" w:rsidRPr="00C6187D" w:rsidRDefault="0035274D" w:rsidP="00C6187D">
      <w:pPr>
        <w:pStyle w:val="NoSpacing"/>
        <w:rPr>
          <w:rFonts w:ascii="Times New Roman" w:hAnsi="Times New Roman"/>
          <w:sz w:val="24"/>
          <w:szCs w:val="24"/>
        </w:rPr>
      </w:pPr>
    </w:p>
    <w:p w14:paraId="1860BCEE" w14:textId="77777777" w:rsidR="003E03D6" w:rsidRDefault="003E03D6" w:rsidP="00BC70A3">
      <w:pPr>
        <w:rPr>
          <w:rFonts w:ascii="Arial Black" w:hAnsi="Arial Black"/>
          <w:b/>
          <w:sz w:val="24"/>
          <w:szCs w:val="24"/>
        </w:rPr>
      </w:pPr>
    </w:p>
    <w:p w14:paraId="7EA612F5" w14:textId="7F45ADF1" w:rsidR="003E03D6" w:rsidRDefault="00B92F73" w:rsidP="00BC70A3">
      <w:pPr>
        <w:rPr>
          <w:rFonts w:ascii="Arial Black" w:hAnsi="Arial Black"/>
          <w:b/>
          <w:sz w:val="24"/>
          <w:szCs w:val="24"/>
        </w:rPr>
      </w:pPr>
      <w:r>
        <w:rPr>
          <w:rFonts w:ascii="Arial Black" w:hAnsi="Arial Black"/>
          <w:b/>
          <w:sz w:val="24"/>
          <w:szCs w:val="24"/>
        </w:rPr>
        <w:t>8-76</w:t>
      </w:r>
    </w:p>
    <w:p w14:paraId="5E3AC5FE" w14:textId="722F44DE" w:rsidR="008D618F" w:rsidRPr="006F2B87" w:rsidRDefault="008D618F" w:rsidP="008D618F">
      <w:pPr>
        <w:pStyle w:val="NoSpacing"/>
        <w:rPr>
          <w:rFonts w:ascii="Arial Black" w:hAnsi="Arial Black"/>
          <w:sz w:val="28"/>
          <w:szCs w:val="28"/>
        </w:rPr>
      </w:pPr>
      <w:r w:rsidRPr="006F2B87">
        <w:rPr>
          <w:rFonts w:ascii="Arial Black" w:hAnsi="Arial Black"/>
          <w:sz w:val="28"/>
          <w:szCs w:val="28"/>
        </w:rPr>
        <w:t xml:space="preserve">MS:  FAILED </w:t>
      </w:r>
      <w:r>
        <w:rPr>
          <w:rFonts w:ascii="Arial Black" w:hAnsi="Arial Black"/>
          <w:sz w:val="28"/>
          <w:szCs w:val="28"/>
        </w:rPr>
        <w:t xml:space="preserve">FD “DRIVER” TESTS - </w:t>
      </w:r>
      <w:r w:rsidRPr="006F2B87">
        <w:rPr>
          <w:rFonts w:ascii="Arial Black" w:hAnsi="Arial Black"/>
          <w:sz w:val="28"/>
          <w:szCs w:val="28"/>
        </w:rPr>
        <w:t xml:space="preserve">3 TIMES – </w:t>
      </w:r>
      <w:r w:rsidR="008954B6">
        <w:rPr>
          <w:rFonts w:ascii="Arial Black" w:hAnsi="Arial Black"/>
          <w:sz w:val="28"/>
          <w:szCs w:val="28"/>
        </w:rPr>
        <w:t xml:space="preserve">FIRED - </w:t>
      </w:r>
      <w:r w:rsidRPr="006F2B87">
        <w:rPr>
          <w:rFonts w:ascii="Arial Black" w:hAnsi="Arial Black"/>
          <w:sz w:val="28"/>
          <w:szCs w:val="28"/>
        </w:rPr>
        <w:t>NOT RACE</w:t>
      </w:r>
    </w:p>
    <w:p w14:paraId="0FCA94E4" w14:textId="77777777" w:rsidR="008D618F" w:rsidRPr="006F2B87" w:rsidRDefault="008D618F" w:rsidP="008D618F">
      <w:pPr>
        <w:pStyle w:val="NoSpacing"/>
      </w:pPr>
    </w:p>
    <w:p w14:paraId="7CB7882D" w14:textId="77777777" w:rsidR="00BE2264" w:rsidRPr="008D618F" w:rsidRDefault="008D618F" w:rsidP="00BE2264">
      <w:pPr>
        <w:pStyle w:val="NoSpacing"/>
        <w:rPr>
          <w:rFonts w:ascii="Times New Roman" w:hAnsi="Times New Roman"/>
          <w:bCs/>
          <w:sz w:val="24"/>
          <w:szCs w:val="24"/>
        </w:rPr>
      </w:pPr>
      <w:r w:rsidRPr="008D618F">
        <w:rPr>
          <w:rFonts w:ascii="Times New Roman" w:hAnsi="Times New Roman"/>
          <w:sz w:val="24"/>
          <w:szCs w:val="24"/>
        </w:rPr>
        <w:t>On May 13, 202</w:t>
      </w:r>
      <w:r w:rsidR="00ED64DA">
        <w:rPr>
          <w:rFonts w:ascii="Times New Roman" w:hAnsi="Times New Roman"/>
          <w:sz w:val="24"/>
          <w:szCs w:val="24"/>
        </w:rPr>
        <w:t>5</w:t>
      </w:r>
      <w:r w:rsidRPr="008D618F">
        <w:rPr>
          <w:rFonts w:ascii="Times New Roman" w:hAnsi="Times New Roman"/>
          <w:sz w:val="24"/>
          <w:szCs w:val="24"/>
        </w:rPr>
        <w:t xml:space="preserve">, in </w:t>
      </w:r>
      <w:r w:rsidRPr="008D618F">
        <w:rPr>
          <w:rFonts w:ascii="Times New Roman" w:hAnsi="Times New Roman"/>
          <w:sz w:val="24"/>
          <w:szCs w:val="24"/>
          <w:u w:val="single"/>
        </w:rPr>
        <w:t>Willie Fry v. City of Hernando, Mississippi</w:t>
      </w:r>
      <w:r w:rsidRPr="008D618F">
        <w:rPr>
          <w:rFonts w:ascii="Times New Roman" w:hAnsi="Times New Roman"/>
          <w:sz w:val="24"/>
          <w:szCs w:val="24"/>
        </w:rPr>
        <w:t>,</w:t>
      </w:r>
      <w:r w:rsidRPr="008D618F">
        <w:rPr>
          <w:rFonts w:ascii="Times New Roman" w:hAnsi="Times New Roman"/>
          <w:b/>
          <w:sz w:val="24"/>
          <w:szCs w:val="24"/>
        </w:rPr>
        <w:t xml:space="preserve"> </w:t>
      </w:r>
      <w:r w:rsidRPr="008D618F">
        <w:rPr>
          <w:rFonts w:ascii="Times New Roman" w:hAnsi="Times New Roman"/>
          <w:sz w:val="24"/>
          <w:szCs w:val="24"/>
        </w:rPr>
        <w:t xml:space="preserve">the U.S. Court of Appeals for Fifth Circuit (New Orleans) held (3 to 0) that trial court properly granted summary judgment to the defense, after close of </w:t>
      </w:r>
      <w:r w:rsidRPr="008D618F">
        <w:rPr>
          <w:rFonts w:ascii="Times New Roman" w:hAnsi="Times New Roman"/>
          <w:sz w:val="24"/>
          <w:szCs w:val="24"/>
        </w:rPr>
        <w:lastRenderedPageBreak/>
        <w:t xml:space="preserve">pre-trial discovery.  The former firefighter failed “driver” testing three times. </w:t>
      </w:r>
      <w:hyperlink r:id="rId1512" w:history="1">
        <w:r w:rsidR="00BE2264" w:rsidRPr="008D618F">
          <w:rPr>
            <w:rStyle w:val="Hyperlink"/>
            <w:rFonts w:ascii="Times New Roman" w:hAnsi="Times New Roman"/>
            <w:sz w:val="24"/>
            <w:szCs w:val="24"/>
          </w:rPr>
          <w:t>https://www.ca5.uscourts.gov/opinions/unpub/24/24-60532.0.pdf</w:t>
        </w:r>
      </w:hyperlink>
      <w:r w:rsidR="00BE2264" w:rsidRPr="008D618F">
        <w:rPr>
          <w:rFonts w:ascii="Times New Roman" w:hAnsi="Times New Roman"/>
          <w:sz w:val="24"/>
          <w:szCs w:val="24"/>
        </w:rPr>
        <w:t xml:space="preserve"> </w:t>
      </w:r>
    </w:p>
    <w:p w14:paraId="69BEACB7" w14:textId="27F028CD" w:rsidR="008D618F" w:rsidRPr="008D618F" w:rsidRDefault="008D618F" w:rsidP="008D618F">
      <w:pPr>
        <w:pStyle w:val="NoSpacing"/>
        <w:rPr>
          <w:rFonts w:ascii="Times New Roman" w:hAnsi="Times New Roman"/>
          <w:bCs/>
          <w:sz w:val="24"/>
          <w:szCs w:val="24"/>
        </w:rPr>
      </w:pPr>
    </w:p>
    <w:p w14:paraId="52F4EA08" w14:textId="77777777" w:rsidR="008D618F" w:rsidRPr="008D618F" w:rsidRDefault="008D618F" w:rsidP="008D618F">
      <w:pPr>
        <w:pStyle w:val="NoSpacing"/>
        <w:rPr>
          <w:rFonts w:ascii="Times New Roman" w:hAnsi="Times New Roman"/>
          <w:bCs/>
          <w:sz w:val="24"/>
          <w:szCs w:val="24"/>
        </w:rPr>
      </w:pPr>
    </w:p>
    <w:p w14:paraId="18C310EC" w14:textId="5816C605" w:rsidR="008D618F" w:rsidRPr="008D618F" w:rsidRDefault="008D618F" w:rsidP="008D618F">
      <w:pPr>
        <w:pStyle w:val="NoSpacing"/>
        <w:rPr>
          <w:rFonts w:ascii="Times New Roman" w:hAnsi="Times New Roman"/>
          <w:bCs/>
          <w:sz w:val="24"/>
          <w:szCs w:val="24"/>
        </w:rPr>
      </w:pPr>
      <w:r w:rsidRPr="008D618F">
        <w:rPr>
          <w:rFonts w:ascii="Times New Roman" w:hAnsi="Times New Roman"/>
          <w:sz w:val="24"/>
          <w:szCs w:val="24"/>
        </w:rPr>
        <w:t xml:space="preserve">The Court wrote: “Fry worked as a Hernando firefighter for about six years. While in that post, he applied to be promoted to driver. The Hernando Fire Department requires firefighters applying </w:t>
      </w:r>
      <w:proofErr w:type="gramStart"/>
      <w:r w:rsidRPr="008D618F">
        <w:rPr>
          <w:rFonts w:ascii="Times New Roman" w:hAnsi="Times New Roman"/>
          <w:sz w:val="24"/>
          <w:szCs w:val="24"/>
        </w:rPr>
        <w:t>to</w:t>
      </w:r>
      <w:proofErr w:type="gramEnd"/>
      <w:r w:rsidRPr="008D618F">
        <w:rPr>
          <w:rFonts w:ascii="Times New Roman" w:hAnsi="Times New Roman"/>
          <w:sz w:val="24"/>
          <w:szCs w:val="24"/>
        </w:rPr>
        <w:t xml:space="preserve"> that position to pass a promotional exam.  The exam is comprised of a few tests—each of which an applicant must pass, in sequential order, to be eligible for promotion…. Fry failed the driver promotional exam three times—in 2018, 2020, and 2021. On his first attempt, he failed the pump test. On his second and third attempts, Fry failed the street test. In 2021, the year of Fry’s third attempt, the exam had been reduced from five tests to three. But the pump test remained a part of each exam. Fry did not take the pump test in either his second or third attempt because he failed the street test, which was the first round of the exam. *** The record lacks evidence that he was “qualified for” the position of driver in 2018, 2020, or 2021—an essential element of his prima facie case. The Hernando Fire Department requires firefighters to pass a promotional exam to be eligible for the </w:t>
      </w:r>
      <w:proofErr w:type="gramStart"/>
      <w:r w:rsidRPr="008D618F">
        <w:rPr>
          <w:rFonts w:ascii="Times New Roman" w:hAnsi="Times New Roman"/>
          <w:sz w:val="24"/>
          <w:szCs w:val="24"/>
        </w:rPr>
        <w:t>driver</w:t>
      </w:r>
      <w:proofErr w:type="gramEnd"/>
      <w:r w:rsidRPr="008D618F">
        <w:rPr>
          <w:rFonts w:ascii="Times New Roman" w:hAnsi="Times New Roman"/>
          <w:sz w:val="24"/>
          <w:szCs w:val="24"/>
        </w:rPr>
        <w:t xml:space="preserve"> position. After searching the record and liberally construing his arguments on appeal, we find no competent summary-judgment evidence from which a trier of fact could infer that Fry passed that exam. Because Fry failed to demonstrate through competent summary-judgment evidence the existence of a genuine dispute on an essential element of his claims, summary judgment was proper as to </w:t>
      </w:r>
      <w:proofErr w:type="gramStart"/>
      <w:r w:rsidRPr="008D618F">
        <w:rPr>
          <w:rFonts w:ascii="Times New Roman" w:hAnsi="Times New Roman"/>
          <w:sz w:val="24"/>
          <w:szCs w:val="24"/>
        </w:rPr>
        <w:t>them.”</w:t>
      </w:r>
      <w:proofErr w:type="gramEnd"/>
      <w:r w:rsidRPr="008D618F">
        <w:rPr>
          <w:rFonts w:ascii="Times New Roman" w:hAnsi="Times New Roman"/>
          <w:sz w:val="24"/>
          <w:szCs w:val="24"/>
        </w:rPr>
        <w:t xml:space="preserve"> </w:t>
      </w:r>
    </w:p>
    <w:p w14:paraId="54F13789" w14:textId="77777777" w:rsidR="003E03D6" w:rsidRDefault="003E03D6" w:rsidP="00BC70A3">
      <w:pPr>
        <w:rPr>
          <w:rFonts w:ascii="Arial Black" w:hAnsi="Arial Black"/>
          <w:b/>
          <w:sz w:val="24"/>
          <w:szCs w:val="24"/>
        </w:rPr>
      </w:pPr>
    </w:p>
    <w:p w14:paraId="000F7884" w14:textId="77777777" w:rsidR="002F7A23" w:rsidRPr="00B92F73" w:rsidRDefault="002F7A23" w:rsidP="002F7A23">
      <w:pPr>
        <w:pStyle w:val="NoSpacing"/>
        <w:rPr>
          <w:rFonts w:ascii="Times New Roman" w:hAnsi="Times New Roman"/>
          <w:b/>
          <w:bCs/>
          <w:sz w:val="24"/>
          <w:szCs w:val="24"/>
        </w:rPr>
      </w:pPr>
      <w:r w:rsidRPr="00B92F73">
        <w:rPr>
          <w:rFonts w:ascii="Times New Roman" w:hAnsi="Times New Roman"/>
          <w:b/>
          <w:sz w:val="24"/>
          <w:szCs w:val="24"/>
        </w:rPr>
        <w:t xml:space="preserve">Legal Lesson Learned: The former firefighter failed the </w:t>
      </w:r>
      <w:r w:rsidRPr="00B92F73">
        <w:rPr>
          <w:rFonts w:ascii="Times New Roman" w:hAnsi="Times New Roman"/>
          <w:b/>
          <w:bCs/>
          <w:sz w:val="24"/>
          <w:szCs w:val="24"/>
        </w:rPr>
        <w:t>driver’s</w:t>
      </w:r>
      <w:r w:rsidRPr="00B92F73">
        <w:rPr>
          <w:rFonts w:ascii="Times New Roman" w:hAnsi="Times New Roman"/>
          <w:b/>
          <w:sz w:val="24"/>
          <w:szCs w:val="24"/>
        </w:rPr>
        <w:t xml:space="preserve"> test three times; </w:t>
      </w:r>
      <w:r w:rsidRPr="00B92F73">
        <w:rPr>
          <w:rFonts w:ascii="Times New Roman" w:hAnsi="Times New Roman"/>
          <w:b/>
          <w:bCs/>
          <w:sz w:val="24"/>
          <w:szCs w:val="24"/>
        </w:rPr>
        <w:t xml:space="preserve">Court held </w:t>
      </w:r>
      <w:r w:rsidRPr="00B92F73">
        <w:rPr>
          <w:rFonts w:ascii="Times New Roman" w:hAnsi="Times New Roman"/>
          <w:b/>
          <w:sz w:val="24"/>
          <w:szCs w:val="24"/>
        </w:rPr>
        <w:t>race was not a factor.</w:t>
      </w:r>
    </w:p>
    <w:p w14:paraId="6C8F1E97" w14:textId="77777777" w:rsidR="002F7A23" w:rsidRPr="006F2B87" w:rsidRDefault="002F7A23" w:rsidP="002F7A23">
      <w:pPr>
        <w:pStyle w:val="NoSpacing"/>
      </w:pPr>
    </w:p>
    <w:p w14:paraId="17ED2775" w14:textId="77777777" w:rsidR="002F7A23" w:rsidRDefault="002F7A23" w:rsidP="00BC70A3">
      <w:pPr>
        <w:rPr>
          <w:rFonts w:ascii="Arial Black" w:hAnsi="Arial Black"/>
          <w:b/>
          <w:sz w:val="24"/>
          <w:szCs w:val="24"/>
        </w:rPr>
      </w:pPr>
    </w:p>
    <w:p w14:paraId="3ECE4E9F" w14:textId="77777777" w:rsidR="003E03D6" w:rsidRDefault="003E03D6" w:rsidP="00BC70A3">
      <w:pPr>
        <w:rPr>
          <w:rFonts w:ascii="Arial Black" w:hAnsi="Arial Black"/>
          <w:b/>
          <w:sz w:val="24"/>
          <w:szCs w:val="24"/>
        </w:rPr>
      </w:pPr>
    </w:p>
    <w:p w14:paraId="0469024C" w14:textId="44EC7842" w:rsidR="0062764C" w:rsidRDefault="0062764C" w:rsidP="00BC70A3">
      <w:pPr>
        <w:rPr>
          <w:rFonts w:ascii="Arial Black" w:hAnsi="Arial Black"/>
          <w:b/>
          <w:sz w:val="24"/>
          <w:szCs w:val="24"/>
        </w:rPr>
      </w:pPr>
      <w:r>
        <w:rPr>
          <w:rFonts w:ascii="Arial Black" w:hAnsi="Arial Black"/>
          <w:b/>
          <w:sz w:val="24"/>
          <w:szCs w:val="24"/>
        </w:rPr>
        <w:t>8-75</w:t>
      </w:r>
    </w:p>
    <w:p w14:paraId="0D53978D" w14:textId="77777777" w:rsidR="0060197A" w:rsidRPr="00067B0D" w:rsidRDefault="0060197A" w:rsidP="0060197A">
      <w:pPr>
        <w:rPr>
          <w:rFonts w:ascii="Arial Black" w:hAnsi="Arial Black"/>
          <w:bCs/>
          <w:sz w:val="28"/>
          <w:szCs w:val="28"/>
        </w:rPr>
      </w:pPr>
      <w:r>
        <w:rPr>
          <w:rFonts w:ascii="Arial Black" w:hAnsi="Arial Black"/>
          <w:sz w:val="28"/>
          <w:szCs w:val="28"/>
        </w:rPr>
        <w:t xml:space="preserve">TX: FF FIRED / IRAQI / 3 DOC. “PERFORMANCE NOTES” </w:t>
      </w:r>
    </w:p>
    <w:p w14:paraId="5AE9B1CC" w14:textId="0850A4DF" w:rsidR="0060197A" w:rsidRPr="0060197A" w:rsidRDefault="0060197A" w:rsidP="0060197A">
      <w:pPr>
        <w:rPr>
          <w:rFonts w:ascii="Times New Roman" w:hAnsi="Times New Roman"/>
          <w:bCs/>
          <w:sz w:val="24"/>
          <w:szCs w:val="24"/>
        </w:rPr>
      </w:pPr>
      <w:r>
        <w:t xml:space="preserve"> </w:t>
      </w:r>
      <w:r w:rsidRPr="0060197A">
        <w:rPr>
          <w:rFonts w:ascii="Times New Roman" w:hAnsi="Times New Roman"/>
          <w:sz w:val="24"/>
          <w:szCs w:val="24"/>
        </w:rPr>
        <w:t xml:space="preserve">On May 1, 2025, in </w:t>
      </w:r>
      <w:proofErr w:type="spellStart"/>
      <w:r w:rsidRPr="0060197A">
        <w:rPr>
          <w:rFonts w:ascii="Times New Roman" w:hAnsi="Times New Roman"/>
          <w:sz w:val="24"/>
          <w:szCs w:val="24"/>
          <w:u w:val="single"/>
        </w:rPr>
        <w:t>Safealdean</w:t>
      </w:r>
      <w:proofErr w:type="spellEnd"/>
      <w:r w:rsidRPr="0060197A">
        <w:rPr>
          <w:rFonts w:ascii="Times New Roman" w:hAnsi="Times New Roman"/>
          <w:sz w:val="24"/>
          <w:szCs w:val="24"/>
          <w:u w:val="single"/>
        </w:rPr>
        <w:t xml:space="preserve"> </w:t>
      </w:r>
      <w:proofErr w:type="spellStart"/>
      <w:r w:rsidRPr="0060197A">
        <w:rPr>
          <w:rFonts w:ascii="Times New Roman" w:hAnsi="Times New Roman"/>
          <w:sz w:val="24"/>
          <w:szCs w:val="24"/>
          <w:u w:val="single"/>
        </w:rPr>
        <w:t>Alusi</w:t>
      </w:r>
      <w:proofErr w:type="spellEnd"/>
      <w:r w:rsidRPr="0060197A">
        <w:rPr>
          <w:rFonts w:ascii="Times New Roman" w:hAnsi="Times New Roman"/>
          <w:sz w:val="24"/>
          <w:szCs w:val="24"/>
          <w:u w:val="single"/>
        </w:rPr>
        <w:t xml:space="preserve"> v. City of Frisco, Texas</w:t>
      </w:r>
      <w:r w:rsidRPr="0060197A">
        <w:rPr>
          <w:rFonts w:ascii="Times New Roman" w:hAnsi="Times New Roman"/>
          <w:sz w:val="24"/>
          <w:szCs w:val="24"/>
        </w:rPr>
        <w:t xml:space="preserve">, the U.S. Court of Appeals held (3 to 0; unpublished decision) that the trial court properly granted the City’s motion for summary judgment after pre-trial discovery was completed in claims of hostile work atmosphere and national origin discrimination. The FF was fired on May 6, 2020; he had completed his one year probationary period on December 2018, but by July 11, 2029 he had received three “performance note[s]” in response to various instances of alleged deficient performance, was shortly thereafter moved to a new station, and required to restart a training program “to improve his paramedic skills.’” </w:t>
      </w:r>
      <w:hyperlink r:id="rId1513" w:history="1">
        <w:r w:rsidRPr="0060197A">
          <w:rPr>
            <w:rStyle w:val="Hyperlink"/>
            <w:rFonts w:ascii="Times New Roman" w:hAnsi="Times New Roman"/>
            <w:sz w:val="24"/>
            <w:szCs w:val="24"/>
          </w:rPr>
          <w:t>https://cases.justia.com/federal/appellate-courts/ca5/24-40626/24-40626-2025-05-01.pdf?ts=1746120629</w:t>
        </w:r>
      </w:hyperlink>
    </w:p>
    <w:p w14:paraId="0C0B97CA" w14:textId="77777777" w:rsidR="00CB5E21" w:rsidRPr="00CB5E21" w:rsidRDefault="00CB5E21" w:rsidP="00CB5E21">
      <w:pPr>
        <w:pStyle w:val="NoSpacing"/>
        <w:rPr>
          <w:rFonts w:ascii="Times New Roman" w:hAnsi="Times New Roman"/>
          <w:b/>
          <w:bCs/>
          <w:sz w:val="24"/>
          <w:szCs w:val="24"/>
        </w:rPr>
      </w:pPr>
      <w:r w:rsidRPr="00CB5E21">
        <w:rPr>
          <w:rFonts w:ascii="Times New Roman" w:hAnsi="Times New Roman"/>
          <w:b/>
          <w:sz w:val="24"/>
          <w:szCs w:val="24"/>
        </w:rPr>
        <w:t>Legal Lesson Learned: The FD documented performance deficiencies prior to termination.</w:t>
      </w:r>
    </w:p>
    <w:p w14:paraId="7C4B711C" w14:textId="77777777" w:rsidR="0062764C" w:rsidRPr="00CB5E21" w:rsidRDefault="0062764C" w:rsidP="00BC70A3">
      <w:pPr>
        <w:rPr>
          <w:rFonts w:ascii="Times New Roman" w:hAnsi="Times New Roman"/>
          <w:b/>
          <w:sz w:val="24"/>
          <w:szCs w:val="24"/>
        </w:rPr>
      </w:pPr>
    </w:p>
    <w:p w14:paraId="0077B28F" w14:textId="77777777" w:rsidR="0062764C" w:rsidRDefault="0062764C" w:rsidP="00BC70A3">
      <w:pPr>
        <w:rPr>
          <w:rFonts w:ascii="Arial Black" w:hAnsi="Arial Black"/>
          <w:b/>
          <w:sz w:val="24"/>
          <w:szCs w:val="24"/>
        </w:rPr>
      </w:pPr>
    </w:p>
    <w:p w14:paraId="153E21F5" w14:textId="4B89CC84" w:rsidR="000B584F" w:rsidRDefault="009353BA" w:rsidP="00BC70A3">
      <w:pPr>
        <w:rPr>
          <w:rFonts w:ascii="Arial Black" w:hAnsi="Arial Black"/>
          <w:b/>
          <w:sz w:val="24"/>
          <w:szCs w:val="24"/>
        </w:rPr>
      </w:pPr>
      <w:r>
        <w:rPr>
          <w:rFonts w:ascii="Arial Black" w:hAnsi="Arial Black"/>
          <w:b/>
          <w:sz w:val="24"/>
          <w:szCs w:val="24"/>
        </w:rPr>
        <w:t>8-74</w:t>
      </w:r>
    </w:p>
    <w:p w14:paraId="575C3370" w14:textId="54D0FB2A" w:rsidR="00BD3AC0" w:rsidRPr="00A12DBD" w:rsidRDefault="00BD3AC0" w:rsidP="00BD3AC0">
      <w:pPr>
        <w:pStyle w:val="NoSpacing"/>
        <w:rPr>
          <w:rFonts w:ascii="Arial Black" w:hAnsi="Arial Black"/>
          <w:bCs/>
          <w:sz w:val="28"/>
          <w:szCs w:val="28"/>
        </w:rPr>
      </w:pPr>
      <w:r>
        <w:rPr>
          <w:rFonts w:ascii="Arial Black" w:hAnsi="Arial Black"/>
          <w:sz w:val="28"/>
          <w:szCs w:val="28"/>
        </w:rPr>
        <w:t xml:space="preserve">MS: EMS SCHOLARSHIPS FOR </w:t>
      </w:r>
      <w:r w:rsidR="0052716C">
        <w:rPr>
          <w:rFonts w:ascii="Arial Black" w:hAnsi="Arial Black"/>
          <w:sz w:val="28"/>
          <w:szCs w:val="28"/>
        </w:rPr>
        <w:t xml:space="preserve">EMS </w:t>
      </w:r>
      <w:r>
        <w:rPr>
          <w:rFonts w:ascii="Arial Black" w:hAnsi="Arial Black"/>
          <w:sz w:val="28"/>
          <w:szCs w:val="28"/>
        </w:rPr>
        <w:t>“OF COLOR” - CASE PROCEED</w:t>
      </w:r>
    </w:p>
    <w:p w14:paraId="072E2B41" w14:textId="77777777" w:rsidR="00BD3AC0" w:rsidRDefault="00BD3AC0" w:rsidP="00BD3AC0">
      <w:pPr>
        <w:pStyle w:val="NoSpacing"/>
      </w:pPr>
    </w:p>
    <w:p w14:paraId="113E0EBE" w14:textId="77777777" w:rsidR="00BD3AC0" w:rsidRPr="00E55966" w:rsidRDefault="00BD3AC0" w:rsidP="00BD3AC0">
      <w:pPr>
        <w:pStyle w:val="NoSpacing"/>
        <w:rPr>
          <w:rFonts w:ascii="Times New Roman" w:hAnsi="Times New Roman"/>
          <w:sz w:val="24"/>
          <w:szCs w:val="24"/>
        </w:rPr>
      </w:pPr>
      <w:r w:rsidRPr="00E55966">
        <w:rPr>
          <w:rFonts w:ascii="Times New Roman" w:hAnsi="Times New Roman"/>
          <w:sz w:val="24"/>
          <w:szCs w:val="24"/>
        </w:rPr>
        <w:lastRenderedPageBreak/>
        <w:t xml:space="preserve">On March 31, 2025, in </w:t>
      </w:r>
      <w:r w:rsidRPr="00E55966">
        <w:rPr>
          <w:rFonts w:ascii="Times New Roman" w:hAnsi="Times New Roman"/>
          <w:sz w:val="24"/>
          <w:szCs w:val="24"/>
          <w:u w:val="single"/>
        </w:rPr>
        <w:t>Do No Harm v. National Association of Emergency Medical Technicians</w:t>
      </w:r>
      <w:r w:rsidRPr="00E55966">
        <w:rPr>
          <w:rFonts w:ascii="Times New Roman" w:hAnsi="Times New Roman"/>
          <w:sz w:val="24"/>
          <w:szCs w:val="24"/>
        </w:rPr>
        <w:t xml:space="preserve">, </w:t>
      </w:r>
    </w:p>
    <w:p w14:paraId="789CCDC2" w14:textId="589405C2" w:rsidR="00BC5DCB" w:rsidRPr="00E55966" w:rsidRDefault="00BD3AC0" w:rsidP="00BD3AC0">
      <w:pPr>
        <w:rPr>
          <w:rFonts w:ascii="Times New Roman" w:hAnsi="Times New Roman"/>
          <w:sz w:val="24"/>
          <w:szCs w:val="24"/>
        </w:rPr>
      </w:pPr>
      <w:r w:rsidRPr="00E55966">
        <w:rPr>
          <w:rFonts w:ascii="Times New Roman" w:hAnsi="Times New Roman"/>
          <w:sz w:val="24"/>
          <w:szCs w:val="24"/>
        </w:rPr>
        <w:t xml:space="preserve">U.S. District Court Judge Carlton W. Reeves, U.S. District Court for the Southern District of Mississippi (Northern Division) denied NAEMT’s motion to dismiss.  “Since 2021, this program has awarded up to four scholarships of $1,250 each, which recipients may use towards tuition, fees, and books…. The scholarship's guidelines do not list race as a factor; however, the selection process states that NAEMT ‘will’ award the scholarship to students of color. ***  [Plaintiff organization include white female seeking one of the scholarships.] “Member A alleges that she was denied the opportunity to compete on equal footing with applicants of color because of her race. If proven to be true-and the applicable standard requires us to presume its truth today- NAEMT's diversity scholarship would pose a race-based barrier to Member A that may violate § 1981.” </w:t>
      </w:r>
      <w:r w:rsidR="00741F62">
        <w:rPr>
          <w:rFonts w:ascii="Times New Roman" w:hAnsi="Times New Roman"/>
          <w:sz w:val="24"/>
          <w:szCs w:val="24"/>
        </w:rPr>
        <w:t xml:space="preserve"> </w:t>
      </w:r>
      <w:hyperlink r:id="rId1514" w:history="1">
        <w:r w:rsidR="00741F62" w:rsidRPr="00F82255">
          <w:rPr>
            <w:rStyle w:val="Hyperlink"/>
            <w:rFonts w:ascii="Times New Roman" w:hAnsi="Times New Roman"/>
            <w:sz w:val="24"/>
            <w:szCs w:val="24"/>
          </w:rPr>
          <w:t>https://public.fastcase.com/jaEE2PXzRXmZ99jOLMt1IpDp0JnVzptdty762p2WdacpKzYcIiQ8l1TBeuMep1jV?utm_medium=email&amp;_hsenc=p2ANqtz-9L1bPrfxst6esq_7Z5KFo1lHVisT0fYVrJpGE-zmUOoXZMhssxRXtfaqB6NAX5aJI_oGim2Kqhabp0MlaGnIdzwB2f4A&amp;_hsmi=226712652&amp;utm_content=226712652&amp;utm_source=hs_email</w:t>
        </w:r>
      </w:hyperlink>
      <w:r w:rsidR="00741F62">
        <w:rPr>
          <w:rFonts w:ascii="Times New Roman" w:hAnsi="Times New Roman"/>
          <w:sz w:val="24"/>
          <w:szCs w:val="24"/>
        </w:rPr>
        <w:t xml:space="preserve"> </w:t>
      </w:r>
    </w:p>
    <w:p w14:paraId="006202BE" w14:textId="77777777" w:rsidR="008A0A0B" w:rsidRDefault="008A0A0B" w:rsidP="008A0A0B">
      <w:pPr>
        <w:pStyle w:val="NoSpacing"/>
        <w:rPr>
          <w:rFonts w:ascii="Times New Roman" w:hAnsi="Times New Roman"/>
          <w:b/>
          <w:sz w:val="24"/>
          <w:szCs w:val="24"/>
        </w:rPr>
      </w:pPr>
      <w:r w:rsidRPr="001C2A03">
        <w:rPr>
          <w:rFonts w:ascii="Times New Roman" w:hAnsi="Times New Roman"/>
          <w:b/>
          <w:sz w:val="24"/>
          <w:szCs w:val="24"/>
        </w:rPr>
        <w:t>Legal Lesson Learned:  The case will now proceed to pre-trial discovery; scholarships for minority students by universities and other organizations have also been challenged.</w:t>
      </w:r>
    </w:p>
    <w:p w14:paraId="073BA680" w14:textId="77777777" w:rsidR="00282976" w:rsidRDefault="00282976" w:rsidP="008A0A0B">
      <w:pPr>
        <w:pStyle w:val="NoSpacing"/>
        <w:rPr>
          <w:rFonts w:ascii="Times New Roman" w:hAnsi="Times New Roman"/>
          <w:b/>
          <w:sz w:val="24"/>
          <w:szCs w:val="24"/>
        </w:rPr>
      </w:pPr>
    </w:p>
    <w:p w14:paraId="24FC34D6" w14:textId="77777777" w:rsidR="00E55966" w:rsidRPr="00E55966" w:rsidRDefault="00E55966" w:rsidP="00E55966">
      <w:pPr>
        <w:pStyle w:val="NoSpacing"/>
        <w:ind w:left="720"/>
        <w:rPr>
          <w:rFonts w:ascii="Times New Roman" w:hAnsi="Times New Roman"/>
          <w:bCs/>
          <w:sz w:val="24"/>
          <w:szCs w:val="24"/>
        </w:rPr>
      </w:pPr>
      <w:r w:rsidRPr="00E55966">
        <w:rPr>
          <w:rFonts w:ascii="Times New Roman" w:hAnsi="Times New Roman"/>
          <w:sz w:val="24"/>
          <w:szCs w:val="24"/>
        </w:rPr>
        <w:t xml:space="preserve">Note:  </w:t>
      </w:r>
    </w:p>
    <w:p w14:paraId="7A83B162" w14:textId="77777777" w:rsidR="00E55966" w:rsidRPr="00E55966" w:rsidRDefault="00E55966" w:rsidP="00E55966">
      <w:pPr>
        <w:pStyle w:val="NoSpacing"/>
        <w:ind w:left="720"/>
        <w:rPr>
          <w:rFonts w:ascii="Times New Roman" w:hAnsi="Times New Roman"/>
          <w:bCs/>
          <w:sz w:val="24"/>
          <w:szCs w:val="24"/>
        </w:rPr>
      </w:pPr>
    </w:p>
    <w:p w14:paraId="2938ECEC" w14:textId="77777777" w:rsidR="00E55966" w:rsidRPr="00E55966" w:rsidRDefault="00E55966" w:rsidP="00E55966">
      <w:pPr>
        <w:pStyle w:val="NoSpacing"/>
        <w:ind w:left="720"/>
        <w:rPr>
          <w:rFonts w:ascii="Times New Roman" w:hAnsi="Times New Roman"/>
          <w:bCs/>
          <w:sz w:val="24"/>
          <w:szCs w:val="24"/>
        </w:rPr>
      </w:pPr>
      <w:r w:rsidRPr="00E55966">
        <w:rPr>
          <w:rFonts w:ascii="Times New Roman" w:hAnsi="Times New Roman"/>
          <w:sz w:val="24"/>
          <w:szCs w:val="24"/>
        </w:rPr>
        <w:t xml:space="preserve">See March 13, </w:t>
      </w:r>
      <w:proofErr w:type="gramStart"/>
      <w:r w:rsidRPr="00E55966">
        <w:rPr>
          <w:rFonts w:ascii="Times New Roman" w:hAnsi="Times New Roman"/>
          <w:sz w:val="24"/>
          <w:szCs w:val="24"/>
        </w:rPr>
        <w:t>2025</w:t>
      </w:r>
      <w:proofErr w:type="gramEnd"/>
      <w:r w:rsidRPr="00E55966">
        <w:rPr>
          <w:rFonts w:ascii="Times New Roman" w:hAnsi="Times New Roman"/>
          <w:sz w:val="24"/>
          <w:szCs w:val="24"/>
        </w:rPr>
        <w:t xml:space="preserve"> article and TV Video: “Cincinnati Children's Hospital under investigation over scholarships for minorities. A Wisconsin law firm brought the complaint to the federal government, alleging the programs violate the Civil Rights Act. Cincinnati Children's Hospital is being investigated by the federal government for scholarships aimed at helping minority students. The Department of Health and Human Services Office of Civil Rights is looking into whether those programs break the law.” </w:t>
      </w:r>
      <w:hyperlink r:id="rId1515" w:history="1">
        <w:r w:rsidRPr="00E55966">
          <w:rPr>
            <w:rStyle w:val="Hyperlink"/>
            <w:rFonts w:ascii="Times New Roman" w:hAnsi="Times New Roman"/>
            <w:sz w:val="24"/>
            <w:szCs w:val="24"/>
          </w:rPr>
          <w:t>https://www.wlwt.com/article/cincinnati-childrens-investigation-scholarships-minorities/64180173</w:t>
        </w:r>
      </w:hyperlink>
      <w:r w:rsidRPr="00E55966">
        <w:rPr>
          <w:rFonts w:ascii="Times New Roman" w:hAnsi="Times New Roman"/>
          <w:sz w:val="24"/>
          <w:szCs w:val="24"/>
        </w:rPr>
        <w:t xml:space="preserve"> </w:t>
      </w:r>
    </w:p>
    <w:p w14:paraId="07E5D801" w14:textId="77777777" w:rsidR="00E55966" w:rsidRPr="00E55966" w:rsidRDefault="00E55966" w:rsidP="00E55966">
      <w:pPr>
        <w:pStyle w:val="NoSpacing"/>
        <w:ind w:left="720"/>
        <w:rPr>
          <w:rFonts w:ascii="Times New Roman" w:hAnsi="Times New Roman"/>
          <w:bCs/>
          <w:sz w:val="24"/>
          <w:szCs w:val="24"/>
        </w:rPr>
      </w:pPr>
    </w:p>
    <w:p w14:paraId="179C4FAB" w14:textId="77777777" w:rsidR="00E55966" w:rsidRPr="00E55966" w:rsidRDefault="00E55966" w:rsidP="00E55966">
      <w:pPr>
        <w:pStyle w:val="NoSpacing"/>
        <w:ind w:left="720"/>
        <w:rPr>
          <w:rFonts w:ascii="Times New Roman" w:hAnsi="Times New Roman"/>
          <w:bCs/>
          <w:sz w:val="24"/>
          <w:szCs w:val="24"/>
        </w:rPr>
      </w:pPr>
      <w:r w:rsidRPr="00E55966">
        <w:rPr>
          <w:rFonts w:ascii="Times New Roman" w:hAnsi="Times New Roman"/>
          <w:sz w:val="24"/>
          <w:szCs w:val="24"/>
        </w:rPr>
        <w:t xml:space="preserve">See American Bar Association scholarships. “The American Bar Association (ABA) awards an annual Legal Opportunity Scholarship to first-year law students. The program's mission is to encourage racial and ethnic minority students to apply to law school and to provide financial assistance for them to attend and complete their legal education. The ABA Legal Opportunity Scholarship grants $15,000 of financial aid to 20 - 25 incoming diverse law students over their three years in law school. Since its inception, the ABA Legal Opportunity Scholarship has benefitted more than 400 students from across the country.”  </w:t>
      </w:r>
      <w:hyperlink r:id="rId1516" w:history="1">
        <w:r w:rsidRPr="00E55966">
          <w:rPr>
            <w:rStyle w:val="Hyperlink"/>
            <w:rFonts w:ascii="Times New Roman" w:hAnsi="Times New Roman"/>
            <w:sz w:val="24"/>
            <w:szCs w:val="24"/>
          </w:rPr>
          <w:t>https://www.americanbar.org/groups/diversity/diversity_pipeline/projects_initiatives/legal_opportunity_scholarship/</w:t>
        </w:r>
      </w:hyperlink>
    </w:p>
    <w:p w14:paraId="6C406882" w14:textId="77777777" w:rsidR="00E55966" w:rsidRDefault="00E55966" w:rsidP="00BD3AC0">
      <w:pPr>
        <w:rPr>
          <w:rFonts w:ascii="Arial Black" w:hAnsi="Arial Black"/>
          <w:b/>
          <w:sz w:val="24"/>
          <w:szCs w:val="24"/>
        </w:rPr>
      </w:pPr>
    </w:p>
    <w:p w14:paraId="14380081" w14:textId="77777777" w:rsidR="009353BA" w:rsidRDefault="009353BA" w:rsidP="00BC70A3">
      <w:pPr>
        <w:rPr>
          <w:rFonts w:ascii="Arial Black" w:hAnsi="Arial Black"/>
          <w:b/>
          <w:sz w:val="24"/>
          <w:szCs w:val="24"/>
        </w:rPr>
      </w:pPr>
    </w:p>
    <w:p w14:paraId="7023D4EB" w14:textId="77777777" w:rsidR="009353BA" w:rsidRDefault="009353BA" w:rsidP="00BC70A3">
      <w:pPr>
        <w:rPr>
          <w:rFonts w:ascii="Arial Black" w:hAnsi="Arial Black"/>
          <w:b/>
          <w:sz w:val="24"/>
          <w:szCs w:val="24"/>
        </w:rPr>
      </w:pPr>
    </w:p>
    <w:p w14:paraId="7F8E8D59" w14:textId="437810A8" w:rsidR="000B584F" w:rsidRDefault="000B584F" w:rsidP="00BC70A3">
      <w:pPr>
        <w:rPr>
          <w:rFonts w:ascii="Arial Black" w:hAnsi="Arial Black"/>
          <w:b/>
          <w:sz w:val="24"/>
          <w:szCs w:val="24"/>
        </w:rPr>
      </w:pPr>
      <w:r>
        <w:rPr>
          <w:rFonts w:ascii="Arial Black" w:hAnsi="Arial Black"/>
          <w:b/>
          <w:sz w:val="24"/>
          <w:szCs w:val="24"/>
        </w:rPr>
        <w:t>8-7</w:t>
      </w:r>
      <w:r w:rsidR="00375DDB">
        <w:rPr>
          <w:rFonts w:ascii="Arial Black" w:hAnsi="Arial Black"/>
          <w:b/>
          <w:sz w:val="24"/>
          <w:szCs w:val="24"/>
        </w:rPr>
        <w:t>3</w:t>
      </w:r>
    </w:p>
    <w:p w14:paraId="45B22002" w14:textId="1A8B2187" w:rsidR="00A110F1" w:rsidRPr="00E11E20" w:rsidRDefault="00A110F1" w:rsidP="00A110F1">
      <w:pPr>
        <w:pStyle w:val="NoSpacing"/>
        <w:rPr>
          <w:rFonts w:ascii="Arial Black" w:hAnsi="Arial Black"/>
          <w:bCs/>
          <w:sz w:val="28"/>
          <w:szCs w:val="28"/>
        </w:rPr>
      </w:pPr>
      <w:r>
        <w:rPr>
          <w:rFonts w:ascii="Arial Black" w:hAnsi="Arial Black"/>
          <w:sz w:val="28"/>
          <w:szCs w:val="28"/>
        </w:rPr>
        <w:t xml:space="preserve">MD: NOT RACE DISC – FIRED </w:t>
      </w:r>
      <w:r w:rsidR="0068464C">
        <w:rPr>
          <w:rFonts w:ascii="Arial Black" w:hAnsi="Arial Black"/>
          <w:sz w:val="28"/>
          <w:szCs w:val="28"/>
        </w:rPr>
        <w:t xml:space="preserve">- </w:t>
      </w:r>
      <w:r>
        <w:rPr>
          <w:rFonts w:ascii="Arial Black" w:hAnsi="Arial Black"/>
          <w:sz w:val="28"/>
          <w:szCs w:val="28"/>
        </w:rPr>
        <w:t>DIDN’T RETURN MED. LEAVE</w:t>
      </w:r>
    </w:p>
    <w:p w14:paraId="5D82B45B" w14:textId="77777777" w:rsidR="00A110F1" w:rsidRDefault="00A110F1" w:rsidP="00A110F1">
      <w:pPr>
        <w:pStyle w:val="NoSpacing"/>
        <w:rPr>
          <w:bCs/>
        </w:rPr>
      </w:pPr>
    </w:p>
    <w:p w14:paraId="7A4DF9C5" w14:textId="77777777" w:rsidR="00A110F1" w:rsidRPr="00375DDB" w:rsidRDefault="00A110F1" w:rsidP="00A110F1">
      <w:pPr>
        <w:pStyle w:val="NoSpacing"/>
        <w:rPr>
          <w:rFonts w:ascii="Times New Roman" w:hAnsi="Times New Roman"/>
          <w:sz w:val="24"/>
          <w:szCs w:val="24"/>
        </w:rPr>
      </w:pPr>
      <w:r w:rsidRPr="00375DDB">
        <w:rPr>
          <w:rFonts w:ascii="Times New Roman" w:hAnsi="Times New Roman"/>
          <w:sz w:val="24"/>
          <w:szCs w:val="24"/>
        </w:rPr>
        <w:t xml:space="preserve">On March 31, 2025, in </w:t>
      </w:r>
      <w:r w:rsidRPr="00375DDB">
        <w:rPr>
          <w:rFonts w:ascii="Times New Roman" w:hAnsi="Times New Roman"/>
          <w:sz w:val="24"/>
          <w:szCs w:val="24"/>
          <w:u w:val="single"/>
        </w:rPr>
        <w:t>Nicole Tynes v. Mayor and City Council of Baltimore</w:t>
      </w:r>
      <w:r w:rsidRPr="00375DDB">
        <w:rPr>
          <w:rFonts w:ascii="Times New Roman" w:hAnsi="Times New Roman"/>
          <w:sz w:val="24"/>
          <w:szCs w:val="24"/>
        </w:rPr>
        <w:t xml:space="preserve">, U.S. District Court Judge Matthew J. Maddox, U.S. District Court for District of Maryland, granted the City’s motion for summary judgment in this lawsuit by black, female alleging retaliation after she filed EEOC complaint.  “On January 12, 2021, PSI placed Plaintiff off-duty through August 31, 2021, due to a non-line-of-duty surgery…. Plaintiff </w:t>
      </w:r>
      <w:r w:rsidRPr="00375DDB">
        <w:rPr>
          <w:rFonts w:ascii="Times New Roman" w:hAnsi="Times New Roman"/>
          <w:sz w:val="24"/>
          <w:szCs w:val="24"/>
        </w:rPr>
        <w:lastRenderedPageBreak/>
        <w:t xml:space="preserve">experienced post-op complications…. Because she was out for more than six months, Plaintiff was required to take an RTD [return to duty] exam. Plaintiff was unable to pass the RTD, and she was emotional and appeared distraught…. As a result of being placed back </w:t>
      </w:r>
      <w:proofErr w:type="gramStart"/>
      <w:r w:rsidRPr="00375DDB">
        <w:rPr>
          <w:rFonts w:ascii="Times New Roman" w:hAnsi="Times New Roman"/>
          <w:sz w:val="24"/>
          <w:szCs w:val="24"/>
        </w:rPr>
        <w:t>off-duty</w:t>
      </w:r>
      <w:proofErr w:type="gramEnd"/>
      <w:r w:rsidRPr="00375DDB">
        <w:rPr>
          <w:rFonts w:ascii="Times New Roman" w:hAnsi="Times New Roman"/>
          <w:sz w:val="24"/>
          <w:szCs w:val="24"/>
        </w:rPr>
        <w:t xml:space="preserve"> by PSI [Mercy Hospital Public Safety Infirmary]. Plaintiff was sent an updated Expiration of Medical (“EOM”) Notification dated September 2, 2021…. </w:t>
      </w:r>
    </w:p>
    <w:p w14:paraId="32962910" w14:textId="1C73FE4B" w:rsidR="00A110F1" w:rsidRPr="00375DDB" w:rsidRDefault="00A110F1" w:rsidP="00A110F1">
      <w:pPr>
        <w:rPr>
          <w:rFonts w:ascii="Times New Roman" w:hAnsi="Times New Roman"/>
          <w:sz w:val="24"/>
          <w:szCs w:val="24"/>
        </w:rPr>
      </w:pPr>
      <w:r w:rsidRPr="00375DDB">
        <w:rPr>
          <w:rFonts w:ascii="Times New Roman" w:hAnsi="Times New Roman"/>
          <w:sz w:val="24"/>
          <w:szCs w:val="24"/>
        </w:rPr>
        <w:t>Plaintiff's remaining retaliation claim is based on her termination from the Fire Department after she failed to return to work on September 8, 2021…</w:t>
      </w:r>
      <w:r w:rsidRPr="00375DDB">
        <w:rPr>
          <w:rFonts w:ascii="Times New Roman" w:hAnsi="Times New Roman"/>
          <w:sz w:val="24"/>
          <w:szCs w:val="24"/>
          <w:vertAlign w:val="superscript"/>
        </w:rPr>
        <w:t xml:space="preserve">. </w:t>
      </w:r>
      <w:r w:rsidRPr="00375DDB">
        <w:rPr>
          <w:rFonts w:ascii="Times New Roman" w:hAnsi="Times New Roman"/>
          <w:sz w:val="24"/>
          <w:szCs w:val="24"/>
        </w:rPr>
        <w:t>Defendant has produced a legitimate, non-retaliatory reason for terminating Plaintiff: that her medical leave expired, and she did not return to work.</w:t>
      </w:r>
      <w:r w:rsidRPr="00375DDB">
        <w:rPr>
          <w:rFonts w:ascii="Times New Roman" w:hAnsi="Times New Roman"/>
          <w:sz w:val="24"/>
          <w:szCs w:val="24"/>
          <w:vertAlign w:val="superscript"/>
        </w:rPr>
        <w:t xml:space="preserve">” </w:t>
      </w:r>
      <w:hyperlink r:id="rId1517" w:history="1">
        <w:r w:rsidRPr="00375DDB">
          <w:rPr>
            <w:rStyle w:val="Hyperlink"/>
            <w:rFonts w:ascii="Times New Roman" w:hAnsi="Times New Roman"/>
            <w:sz w:val="24"/>
            <w:szCs w:val="24"/>
          </w:rPr>
          <w:t>https://public.fastcase.com/jaEE2PXzRXmZ99jOLMt1IvrAn%2Bvx0cgAdRJLFzEVE5rZOK58n0UQBGfcsDJAKHyq3V35FHlAbNqGcC8r8dPNnejcnyefccFrDQkDZXnULhU%3D?utm_medium=email&amp;_hsenc=p2ANqtz-8kewSXPlrcM1MOnAYiHvCPklkrBuM3zyFieXeXxpBY7QJCt7ROBRst2YRlv6uOnNoYQgLAyEZN4abHQWMttR1q6BIDag&amp;_hsmi=226712652&amp;utm_content=226712652&amp;utm_source=hs_email</w:t>
        </w:r>
      </w:hyperlink>
    </w:p>
    <w:p w14:paraId="77DE6A92" w14:textId="77777777" w:rsidR="00375DDB" w:rsidRPr="00375DDB" w:rsidRDefault="00375DDB" w:rsidP="00375DDB">
      <w:pPr>
        <w:pStyle w:val="NoSpacing"/>
        <w:rPr>
          <w:rFonts w:ascii="Times New Roman" w:hAnsi="Times New Roman"/>
          <w:b/>
          <w:sz w:val="24"/>
          <w:szCs w:val="24"/>
        </w:rPr>
      </w:pPr>
      <w:r w:rsidRPr="00375DDB">
        <w:rPr>
          <w:rFonts w:ascii="Times New Roman" w:hAnsi="Times New Roman"/>
          <w:b/>
          <w:sz w:val="24"/>
          <w:szCs w:val="24"/>
        </w:rPr>
        <w:t>Legal Lesson Learned:  FD produced legitimate reason for terminating the firefighter, and plaintiff failed to show pretext.</w:t>
      </w:r>
    </w:p>
    <w:p w14:paraId="2AAB5B86" w14:textId="77777777" w:rsidR="00375DDB" w:rsidRDefault="00375DDB" w:rsidP="00375DDB">
      <w:pPr>
        <w:pStyle w:val="NoSpacing"/>
        <w:rPr>
          <w:bCs/>
        </w:rPr>
      </w:pPr>
    </w:p>
    <w:p w14:paraId="48A6D0C9" w14:textId="77777777" w:rsidR="00375DDB" w:rsidRDefault="00375DDB" w:rsidP="00A110F1">
      <w:pPr>
        <w:rPr>
          <w:rFonts w:ascii="Arial Black" w:hAnsi="Arial Black"/>
          <w:b/>
          <w:sz w:val="24"/>
          <w:szCs w:val="24"/>
        </w:rPr>
      </w:pPr>
    </w:p>
    <w:p w14:paraId="3AB97586" w14:textId="2FAE3152" w:rsidR="00375DDB" w:rsidRDefault="00375DDB" w:rsidP="00A110F1">
      <w:pPr>
        <w:rPr>
          <w:rFonts w:ascii="Arial Black" w:hAnsi="Arial Black"/>
          <w:b/>
          <w:sz w:val="24"/>
          <w:szCs w:val="24"/>
        </w:rPr>
      </w:pPr>
      <w:r>
        <w:rPr>
          <w:rFonts w:ascii="Arial Black" w:hAnsi="Arial Black"/>
          <w:b/>
          <w:sz w:val="24"/>
          <w:szCs w:val="24"/>
        </w:rPr>
        <w:t>8-72</w:t>
      </w:r>
    </w:p>
    <w:p w14:paraId="677527B3" w14:textId="77777777" w:rsidR="001F52D2" w:rsidRPr="00A158C4" w:rsidRDefault="001F52D2" w:rsidP="001F52D2">
      <w:pPr>
        <w:pStyle w:val="NoSpacing"/>
        <w:rPr>
          <w:rFonts w:ascii="Arial Black" w:hAnsi="Arial Black"/>
          <w:b/>
          <w:sz w:val="28"/>
          <w:szCs w:val="28"/>
        </w:rPr>
      </w:pPr>
      <w:r>
        <w:rPr>
          <w:rFonts w:ascii="Arial Black" w:hAnsi="Arial Black"/>
          <w:b/>
          <w:sz w:val="28"/>
          <w:szCs w:val="28"/>
        </w:rPr>
        <w:t>PA: REVERSE DISC ALLEGED – WHITE NOT PROMOTED</w:t>
      </w:r>
    </w:p>
    <w:p w14:paraId="1480FE28" w14:textId="77777777" w:rsidR="001F52D2" w:rsidRDefault="001F52D2" w:rsidP="001F52D2">
      <w:pPr>
        <w:pStyle w:val="NoSpacing"/>
      </w:pPr>
    </w:p>
    <w:p w14:paraId="460EB872" w14:textId="77777777" w:rsidR="00EA4EB5" w:rsidRPr="00A158C4" w:rsidRDefault="001F52D2" w:rsidP="00EA4EB5">
      <w:pPr>
        <w:pStyle w:val="NoSpacing"/>
      </w:pPr>
      <w:r w:rsidRPr="009353BA">
        <w:rPr>
          <w:rFonts w:ascii="Times New Roman" w:hAnsi="Times New Roman"/>
          <w:sz w:val="24"/>
          <w:szCs w:val="24"/>
        </w:rPr>
        <w:t xml:space="preserve">On March 19, 2025, in </w:t>
      </w:r>
      <w:r w:rsidRPr="009353BA">
        <w:rPr>
          <w:rFonts w:ascii="Times New Roman" w:hAnsi="Times New Roman"/>
          <w:sz w:val="24"/>
          <w:szCs w:val="24"/>
          <w:u w:val="single"/>
        </w:rPr>
        <w:t>Jared Jacobson v. City of Philadelphia</w:t>
      </w:r>
      <w:r w:rsidRPr="009353BA">
        <w:rPr>
          <w:rFonts w:ascii="Times New Roman" w:hAnsi="Times New Roman"/>
          <w:sz w:val="24"/>
          <w:szCs w:val="24"/>
        </w:rPr>
        <w:t xml:space="preserve">, U.S. District Court Judge R. Barclay Surrick, U.S. District Court for Eastern District of Pennsylvania, denied the City’s motion for summary judgment.  In </w:t>
      </w:r>
      <w:proofErr w:type="gramStart"/>
      <w:r w:rsidRPr="009353BA">
        <w:rPr>
          <w:rFonts w:ascii="Times New Roman" w:hAnsi="Times New Roman"/>
          <w:sz w:val="24"/>
          <w:szCs w:val="24"/>
        </w:rPr>
        <w:t>April,</w:t>
      </w:r>
      <w:proofErr w:type="gramEnd"/>
      <w:r w:rsidRPr="009353BA">
        <w:rPr>
          <w:rFonts w:ascii="Times New Roman" w:hAnsi="Times New Roman"/>
          <w:sz w:val="24"/>
          <w:szCs w:val="24"/>
        </w:rPr>
        <w:t xml:space="preserve"> 2021, two chief officers (one black, one white) applied for promotion Assistant Deputy Commissioner of Emergency Medical Services. The position was not posted until April 28, 2021, the day after Martin McCall (black) was promoted to </w:t>
      </w:r>
      <w:proofErr w:type="gramStart"/>
      <w:r w:rsidRPr="009353BA">
        <w:rPr>
          <w:rFonts w:ascii="Times New Roman" w:hAnsi="Times New Roman"/>
          <w:sz w:val="24"/>
          <w:szCs w:val="24"/>
        </w:rPr>
        <w:t>a</w:t>
      </w:r>
      <w:r w:rsidR="009353BA">
        <w:rPr>
          <w:rFonts w:ascii="Times New Roman" w:hAnsi="Times New Roman"/>
          <w:sz w:val="24"/>
          <w:szCs w:val="24"/>
        </w:rPr>
        <w:t xml:space="preserve"> </w:t>
      </w:r>
      <w:r w:rsidRPr="009353BA">
        <w:rPr>
          <w:rFonts w:ascii="Times New Roman" w:hAnsi="Times New Roman"/>
          <w:sz w:val="24"/>
          <w:szCs w:val="24"/>
        </w:rPr>
        <w:t>chief</w:t>
      </w:r>
      <w:proofErr w:type="gramEnd"/>
      <w:r w:rsidRPr="009353BA">
        <w:rPr>
          <w:rFonts w:ascii="Times New Roman" w:hAnsi="Times New Roman"/>
          <w:sz w:val="24"/>
          <w:szCs w:val="24"/>
        </w:rPr>
        <w:t xml:space="preserve"> officer and then eligible for the position.  They were interviewed by a three-member panel appointed by Fire Commissioner Adam Thiel:  Crystal Yates, who was retiring from the position; Deputy Commissioner Craig Murphy, and Deputy Commissioner Tara Mohr.  After the interviews, the panel members submitted their lists of pros and cons to Murphy and Yates, but   “the record is unclear regarding what role various members of the Executive Team played in making a final recommendation to Thiel… Yates testified that she did not know why McCall was selected and that she ‘wasn't a part of the selection[.]' (Yates Dep. at 41, 44-45.) … The panel recommended did not record, score, and rank the answers…. Although Defendant's motion for summary judgment presents a close call, contradictions regarding who was involved in decision-making coupled with the timing of interviews the day after McCall became chief could permit a reasonable factfinder to doubt Defendant's proffered rationale and infer discrimination. Defendant's motion will therefore be denied.” </w:t>
      </w:r>
      <w:hyperlink r:id="rId1518" w:history="1">
        <w:r w:rsidR="00EA4EB5" w:rsidRPr="00961C46">
          <w:rPr>
            <w:rStyle w:val="Hyperlink"/>
          </w:rPr>
          <w:t>https://public.fastcase.com/jaEE2PXzRXmZ99jOLMt1Ig73AWbHngoMRgpe4nLWTO53aGFBbi44KCyxbclUQNrRtdkO5InHzTjZEyqBZ0TTu4M3XLXcJtKtBwk6Y3SN%2BfM%3D?utm_medium=email&amp;_hsenc=p2ANqtz--YVrLxgHNVQCg2RIMQiS4XSu1REbqHDD3q7IV_og8sZIryoVLFG1HLWpJaCKB-X4Qy5JqtbBdGIwkTCURiibvlDX5J7A&amp;_hsmi=226712652&amp;utm_content=226712652&amp;utm_source=hs_email</w:t>
        </w:r>
      </w:hyperlink>
      <w:r w:rsidR="00EA4EB5">
        <w:t xml:space="preserve"> </w:t>
      </w:r>
    </w:p>
    <w:p w14:paraId="3DC6D03F" w14:textId="77777777" w:rsidR="00EA4EB5" w:rsidRDefault="00EA4EB5" w:rsidP="00EA4EB5">
      <w:pPr>
        <w:pStyle w:val="NoSpacing"/>
      </w:pPr>
    </w:p>
    <w:p w14:paraId="50475A87" w14:textId="77777777" w:rsidR="00761812" w:rsidRPr="00761812" w:rsidRDefault="00761812" w:rsidP="00761812">
      <w:pPr>
        <w:pStyle w:val="NoSpacing"/>
        <w:rPr>
          <w:rFonts w:ascii="Times New Roman" w:hAnsi="Times New Roman"/>
          <w:b/>
          <w:bCs/>
          <w:sz w:val="24"/>
          <w:szCs w:val="24"/>
        </w:rPr>
      </w:pPr>
      <w:r w:rsidRPr="00761812">
        <w:rPr>
          <w:rFonts w:ascii="Times New Roman" w:hAnsi="Times New Roman"/>
          <w:b/>
          <w:sz w:val="24"/>
          <w:szCs w:val="24"/>
        </w:rPr>
        <w:t>Legal Lesson Learned:  When conducting panel interviews, it is good practice for panel members to keep scores and notes.</w:t>
      </w:r>
    </w:p>
    <w:p w14:paraId="634380B9" w14:textId="77777777" w:rsidR="00375DDB" w:rsidRPr="00761812" w:rsidRDefault="00375DDB" w:rsidP="00A110F1">
      <w:pPr>
        <w:rPr>
          <w:rFonts w:ascii="Times New Roman" w:hAnsi="Times New Roman"/>
          <w:b/>
          <w:sz w:val="24"/>
          <w:szCs w:val="24"/>
        </w:rPr>
      </w:pPr>
    </w:p>
    <w:p w14:paraId="74DE081E" w14:textId="77777777" w:rsidR="000B584F" w:rsidRDefault="000B584F" w:rsidP="00BC70A3">
      <w:pPr>
        <w:rPr>
          <w:rFonts w:ascii="Arial Black" w:hAnsi="Arial Black"/>
          <w:b/>
          <w:sz w:val="24"/>
          <w:szCs w:val="24"/>
        </w:rPr>
      </w:pPr>
    </w:p>
    <w:p w14:paraId="48A6A3CE" w14:textId="1AD19216" w:rsidR="005D5BAD" w:rsidRDefault="005D5BAD" w:rsidP="00BC70A3">
      <w:pPr>
        <w:rPr>
          <w:rFonts w:ascii="Arial Black" w:hAnsi="Arial Black"/>
          <w:b/>
          <w:sz w:val="24"/>
          <w:szCs w:val="24"/>
        </w:rPr>
      </w:pPr>
      <w:r>
        <w:rPr>
          <w:rFonts w:ascii="Arial Black" w:hAnsi="Arial Black"/>
          <w:b/>
          <w:sz w:val="24"/>
          <w:szCs w:val="24"/>
        </w:rPr>
        <w:t>8-71</w:t>
      </w:r>
    </w:p>
    <w:p w14:paraId="2F5AE05D" w14:textId="77777777" w:rsidR="005D5BAD" w:rsidRPr="000B7F2C" w:rsidRDefault="005D5BAD" w:rsidP="005D5BAD">
      <w:pPr>
        <w:rPr>
          <w:rFonts w:ascii="Arial Black" w:hAnsi="Arial Black"/>
          <w:sz w:val="28"/>
          <w:szCs w:val="28"/>
        </w:rPr>
      </w:pPr>
      <w:r w:rsidRPr="000B7F2C">
        <w:rPr>
          <w:rFonts w:ascii="Arial Black" w:hAnsi="Arial Black"/>
          <w:sz w:val="28"/>
          <w:szCs w:val="28"/>
        </w:rPr>
        <w:lastRenderedPageBreak/>
        <w:t>MD:  TRUMP DEI PROGRAMS - PREL. INJUC</w:t>
      </w:r>
      <w:r>
        <w:rPr>
          <w:rFonts w:ascii="Arial Black" w:hAnsi="Arial Black"/>
          <w:sz w:val="28"/>
          <w:szCs w:val="28"/>
        </w:rPr>
        <w:t>TION</w:t>
      </w:r>
      <w:r w:rsidRPr="000B7F2C">
        <w:rPr>
          <w:rFonts w:ascii="Arial Black" w:hAnsi="Arial Black"/>
          <w:sz w:val="28"/>
          <w:szCs w:val="28"/>
        </w:rPr>
        <w:t xml:space="preserve"> </w:t>
      </w:r>
      <w:r>
        <w:rPr>
          <w:rFonts w:ascii="Arial Black" w:hAnsi="Arial Black"/>
          <w:sz w:val="28"/>
          <w:szCs w:val="28"/>
        </w:rPr>
        <w:t>– DOJ FDs</w:t>
      </w:r>
    </w:p>
    <w:p w14:paraId="4C5E1744" w14:textId="77777777" w:rsidR="005D5BAD" w:rsidRPr="005D5BAD" w:rsidRDefault="005D5BAD" w:rsidP="005D5BAD">
      <w:pPr>
        <w:rPr>
          <w:rFonts w:ascii="Times New Roman" w:hAnsi="Times New Roman"/>
          <w:sz w:val="24"/>
          <w:szCs w:val="24"/>
        </w:rPr>
      </w:pPr>
      <w:r w:rsidRPr="005D5BAD">
        <w:rPr>
          <w:rFonts w:ascii="Times New Roman" w:hAnsi="Times New Roman"/>
          <w:sz w:val="24"/>
          <w:szCs w:val="24"/>
        </w:rPr>
        <w:t xml:space="preserve">On Feb. 21, 2025, in </w:t>
      </w:r>
      <w:r w:rsidRPr="005D5BAD">
        <w:rPr>
          <w:rFonts w:ascii="Times New Roman" w:hAnsi="Times New Roman"/>
          <w:sz w:val="24"/>
          <w:szCs w:val="24"/>
          <w:u w:val="single"/>
        </w:rPr>
        <w:t>National Association of Diversity Officers in Higher Education, and American Association of University Professors v. Donald J. Trump, et al</w:t>
      </w:r>
      <w:r w:rsidRPr="005D5BAD">
        <w:rPr>
          <w:rFonts w:ascii="Times New Roman" w:hAnsi="Times New Roman"/>
          <w:sz w:val="24"/>
          <w:szCs w:val="24"/>
        </w:rPr>
        <w:t>., United States District Court Judge Adam B. Abelson in Baltimore issued a nationwide preliminary injunction against the Termination, Certification and Enforcement Threat Provisions of President Trump’s Executive Order of January 20, 2025. However, an appeal is likely to 4</w:t>
      </w:r>
      <w:r w:rsidRPr="005D5BAD">
        <w:rPr>
          <w:rFonts w:ascii="Times New Roman" w:hAnsi="Times New Roman"/>
          <w:sz w:val="24"/>
          <w:szCs w:val="24"/>
          <w:vertAlign w:val="superscript"/>
        </w:rPr>
        <w:t>th</w:t>
      </w:r>
      <w:r w:rsidRPr="005D5BAD">
        <w:rPr>
          <w:rFonts w:ascii="Times New Roman" w:hAnsi="Times New Roman"/>
          <w:sz w:val="24"/>
          <w:szCs w:val="24"/>
        </w:rPr>
        <w:t xml:space="preserve"> Circuit (Richmond) and possibly request to U.S. Supreme Court. [See Note at end of this case review. Feb. 26, 2025, “Attorney General Pam Bondi Dismisses DEI Lawsuits Involving Police Officers and Firefighters, Advances President Trump’s Mandate to End Illegal DEI Policies.”] On Feb. 26, 2024, Attorney General announced </w:t>
      </w:r>
      <w:hyperlink r:id="rId1519" w:history="1">
        <w:r w:rsidRPr="005D5BAD">
          <w:rPr>
            <w:rStyle w:val="Hyperlink"/>
            <w:rFonts w:ascii="Times New Roman" w:hAnsi="Times New Roman"/>
            <w:sz w:val="24"/>
            <w:szCs w:val="24"/>
          </w:rPr>
          <w:t>https://www.justsecurity.org/wp-content/uploads/2025/02/National-Association-of-Diversity-Officers-in-Higher-Education-v.-Trump-feb-21-2025.pdf</w:t>
        </w:r>
      </w:hyperlink>
      <w:r w:rsidRPr="005D5BAD">
        <w:rPr>
          <w:rFonts w:ascii="Times New Roman" w:hAnsi="Times New Roman"/>
          <w:sz w:val="24"/>
          <w:szCs w:val="24"/>
        </w:rPr>
        <w:t xml:space="preserve">. </w:t>
      </w:r>
    </w:p>
    <w:p w14:paraId="50AF707B" w14:textId="77777777" w:rsidR="005D5BAD" w:rsidRPr="005D5BAD" w:rsidRDefault="005D5BAD" w:rsidP="005D5BAD">
      <w:pPr>
        <w:rPr>
          <w:rFonts w:ascii="Times New Roman" w:hAnsi="Times New Roman"/>
          <w:sz w:val="24"/>
          <w:szCs w:val="24"/>
        </w:rPr>
      </w:pPr>
      <w:r w:rsidRPr="005D5BAD">
        <w:rPr>
          <w:rFonts w:ascii="Times New Roman" w:hAnsi="Times New Roman"/>
          <w:sz w:val="24"/>
          <w:szCs w:val="24"/>
        </w:rPr>
        <w:t>Judge Abelson wrote:</w:t>
      </w:r>
    </w:p>
    <w:p w14:paraId="757B0449" w14:textId="77777777" w:rsidR="005D5BAD" w:rsidRPr="005D5BAD" w:rsidRDefault="005D5BAD" w:rsidP="005D5BAD">
      <w:pPr>
        <w:pStyle w:val="NoSpacing"/>
        <w:ind w:left="720"/>
        <w:rPr>
          <w:rFonts w:ascii="Times New Roman" w:hAnsi="Times New Roman"/>
          <w:sz w:val="24"/>
          <w:szCs w:val="24"/>
        </w:rPr>
      </w:pPr>
      <w:r w:rsidRPr="005D5BAD">
        <w:rPr>
          <w:rFonts w:ascii="Times New Roman" w:hAnsi="Times New Roman"/>
          <w:sz w:val="24"/>
          <w:szCs w:val="24"/>
        </w:rPr>
        <w:t>“Plaintiffs are likely to succeed on their claim that the Enforcement Threat Provision, § 4(b)(iii) of the J21 Order, violates the First Amendment, because it threatens to initiate enforcement actions against Plaintiffs (in the form of civil compliance investigations) for engaging in protected speech…. The Enforcement Threat Provision applies broadly to the private sector; therefore, unlike with the other provisions, the analysis is based on pure private speech regulated by the First Amendment as opposed to the speech of federal contractors or grantees.</w:t>
      </w:r>
    </w:p>
    <w:p w14:paraId="0B604A0D" w14:textId="77777777" w:rsidR="005D5BAD" w:rsidRPr="005D5BAD" w:rsidRDefault="005D5BAD" w:rsidP="005D5BAD">
      <w:pPr>
        <w:pStyle w:val="NoSpacing"/>
        <w:rPr>
          <w:rFonts w:ascii="Times New Roman" w:hAnsi="Times New Roman"/>
          <w:sz w:val="24"/>
          <w:szCs w:val="24"/>
        </w:rPr>
      </w:pPr>
      <w:r w:rsidRPr="005D5BAD">
        <w:rPr>
          <w:rFonts w:ascii="Times New Roman" w:hAnsi="Times New Roman"/>
          <w:sz w:val="24"/>
          <w:szCs w:val="24"/>
        </w:rPr>
        <w:tab/>
      </w:r>
    </w:p>
    <w:p w14:paraId="08058CFF" w14:textId="77777777" w:rsidR="005D5BAD" w:rsidRPr="005D5BAD" w:rsidRDefault="005D5BAD" w:rsidP="005D5BAD">
      <w:pPr>
        <w:pStyle w:val="NoSpacing"/>
        <w:ind w:firstLine="720"/>
        <w:rPr>
          <w:rFonts w:ascii="Times New Roman" w:hAnsi="Times New Roman"/>
          <w:sz w:val="24"/>
          <w:szCs w:val="24"/>
        </w:rPr>
      </w:pPr>
      <w:r w:rsidRPr="005D5BAD">
        <w:rPr>
          <w:rFonts w:ascii="Times New Roman" w:hAnsi="Times New Roman"/>
          <w:sz w:val="24"/>
          <w:szCs w:val="24"/>
        </w:rPr>
        <w:t>***</w:t>
      </w:r>
    </w:p>
    <w:p w14:paraId="57FED5EC" w14:textId="77777777" w:rsidR="005D5BAD" w:rsidRPr="005D5BAD" w:rsidRDefault="005D5BAD" w:rsidP="005D5BAD">
      <w:pPr>
        <w:pStyle w:val="NoSpacing"/>
        <w:ind w:left="720"/>
        <w:rPr>
          <w:rFonts w:ascii="Times New Roman" w:hAnsi="Times New Roman"/>
          <w:sz w:val="24"/>
          <w:szCs w:val="24"/>
        </w:rPr>
      </w:pPr>
      <w:r w:rsidRPr="005D5BAD">
        <w:rPr>
          <w:rFonts w:ascii="Times New Roman" w:hAnsi="Times New Roman"/>
          <w:sz w:val="24"/>
          <w:szCs w:val="24"/>
        </w:rPr>
        <w:t xml:space="preserve">The White House and Attorney General have made clear, through their ongoing implementation of various aspects of the J21 Order, that viewpoints and speech considered to be in favor of or supportive of DEI or DEIA are viewpoints the government wishes to punish and, apparently, attempt to </w:t>
      </w:r>
      <w:proofErr w:type="gramStart"/>
      <w:r w:rsidRPr="005D5BAD">
        <w:rPr>
          <w:rFonts w:ascii="Times New Roman" w:hAnsi="Times New Roman"/>
          <w:sz w:val="24"/>
          <w:szCs w:val="24"/>
        </w:rPr>
        <w:t>extinguish.”</w:t>
      </w:r>
      <w:proofErr w:type="gramEnd"/>
    </w:p>
    <w:p w14:paraId="66619CEB" w14:textId="77777777" w:rsidR="005D5BAD" w:rsidRPr="005D5BAD" w:rsidRDefault="005D5BAD" w:rsidP="005D5BAD">
      <w:pPr>
        <w:pStyle w:val="NoSpacing"/>
        <w:rPr>
          <w:rFonts w:ascii="Times New Roman" w:hAnsi="Times New Roman"/>
          <w:sz w:val="24"/>
          <w:szCs w:val="24"/>
        </w:rPr>
      </w:pPr>
    </w:p>
    <w:p w14:paraId="49CDC993" w14:textId="77777777" w:rsidR="005D5BAD" w:rsidRPr="005D5BAD" w:rsidRDefault="005D5BAD" w:rsidP="005D5BAD">
      <w:pPr>
        <w:pStyle w:val="NoSpacing"/>
        <w:rPr>
          <w:rFonts w:ascii="Times New Roman" w:hAnsi="Times New Roman"/>
          <w:b/>
          <w:bCs/>
          <w:sz w:val="24"/>
          <w:szCs w:val="24"/>
        </w:rPr>
      </w:pPr>
      <w:r w:rsidRPr="005D5BAD">
        <w:rPr>
          <w:rFonts w:ascii="Times New Roman" w:hAnsi="Times New Roman"/>
          <w:b/>
          <w:sz w:val="24"/>
          <w:szCs w:val="24"/>
        </w:rPr>
        <w:t>Legal Lesson Learned: Fire &amp; EMS departments with federal grants or contracts may be required to certify that they are complying with DEI Executive Order. Consult with your legal counsel.</w:t>
      </w:r>
    </w:p>
    <w:p w14:paraId="636198FE" w14:textId="77777777" w:rsidR="00C16DE2" w:rsidRDefault="00C16DE2" w:rsidP="005D5BAD">
      <w:pPr>
        <w:ind w:firstLine="720"/>
        <w:rPr>
          <w:rFonts w:ascii="Times New Roman" w:hAnsi="Times New Roman"/>
          <w:sz w:val="24"/>
          <w:szCs w:val="24"/>
        </w:rPr>
      </w:pPr>
    </w:p>
    <w:p w14:paraId="79BB3A3A" w14:textId="43565E04" w:rsidR="005D5BAD" w:rsidRPr="005D5BAD" w:rsidRDefault="005D5BAD" w:rsidP="005D5BAD">
      <w:pPr>
        <w:ind w:firstLine="720"/>
        <w:rPr>
          <w:rFonts w:ascii="Times New Roman" w:hAnsi="Times New Roman"/>
          <w:sz w:val="24"/>
          <w:szCs w:val="24"/>
        </w:rPr>
      </w:pPr>
      <w:r w:rsidRPr="005D5BAD">
        <w:rPr>
          <w:rFonts w:ascii="Times New Roman" w:hAnsi="Times New Roman"/>
          <w:sz w:val="24"/>
          <w:szCs w:val="24"/>
        </w:rPr>
        <w:t>Note:</w:t>
      </w:r>
    </w:p>
    <w:p w14:paraId="1EB5CF43" w14:textId="77777777" w:rsidR="005D5BAD" w:rsidRPr="005D5BAD" w:rsidRDefault="005D5BAD" w:rsidP="005D5BAD">
      <w:pPr>
        <w:ind w:left="720"/>
        <w:rPr>
          <w:rFonts w:ascii="Times New Roman" w:hAnsi="Times New Roman"/>
          <w:bCs/>
          <w:sz w:val="24"/>
          <w:szCs w:val="24"/>
        </w:rPr>
      </w:pPr>
      <w:r w:rsidRPr="005D5BAD">
        <w:rPr>
          <w:rFonts w:ascii="Times New Roman" w:hAnsi="Times New Roman"/>
          <w:sz w:val="24"/>
          <w:szCs w:val="24"/>
        </w:rPr>
        <w:t xml:space="preserve">On Feb. 26, 2025, Press Release: “Attorney General Pam Bondi Dismisses DEI Lawsuits Involving Police Officers and Firefighters, Advances President Trump’s Mandate to End Illegal DEI Policies.” </w:t>
      </w:r>
      <w:hyperlink r:id="rId1520" w:history="1">
        <w:r w:rsidRPr="005D5BAD">
          <w:rPr>
            <w:rStyle w:val="Hyperlink"/>
            <w:rFonts w:ascii="Times New Roman" w:hAnsi="Times New Roman"/>
            <w:sz w:val="24"/>
            <w:szCs w:val="24"/>
          </w:rPr>
          <w:t>https://www.justice.gov/opa/pr/attorney-general-pam-bondi-dismisses-dei-lawsuits-involving-police-officers-and-firefighters</w:t>
        </w:r>
      </w:hyperlink>
      <w:r w:rsidRPr="005D5BAD">
        <w:rPr>
          <w:rFonts w:ascii="Times New Roman" w:hAnsi="Times New Roman"/>
          <w:sz w:val="24"/>
          <w:szCs w:val="24"/>
        </w:rPr>
        <w:t xml:space="preserve"> </w:t>
      </w:r>
    </w:p>
    <w:p w14:paraId="3FDD117C" w14:textId="77777777" w:rsidR="005D5BAD" w:rsidRPr="005D5BAD" w:rsidRDefault="005D5BAD" w:rsidP="005D5BAD">
      <w:pPr>
        <w:ind w:left="720"/>
        <w:rPr>
          <w:rFonts w:ascii="Times New Roman" w:hAnsi="Times New Roman"/>
          <w:sz w:val="24"/>
          <w:szCs w:val="24"/>
        </w:rPr>
      </w:pPr>
      <w:r w:rsidRPr="005D5BAD">
        <w:rPr>
          <w:rFonts w:ascii="Times New Roman" w:hAnsi="Times New Roman"/>
          <w:sz w:val="24"/>
          <w:szCs w:val="24"/>
        </w:rPr>
        <w:t>See 2/27/2025 article:</w:t>
      </w:r>
      <w:r w:rsidRPr="005D5BAD">
        <w:rPr>
          <w:rFonts w:ascii="Times New Roman" w:hAnsi="Times New Roman"/>
          <w:b/>
          <w:sz w:val="24"/>
          <w:szCs w:val="24"/>
        </w:rPr>
        <w:t xml:space="preserve"> “</w:t>
      </w:r>
      <w:hyperlink r:id="rId1521" w:tgtFrame="_blank" w:history="1">
        <w:r w:rsidRPr="005D5BAD">
          <w:rPr>
            <w:rStyle w:val="Hyperlink"/>
            <w:rFonts w:ascii="Times New Roman" w:hAnsi="Times New Roman"/>
            <w:sz w:val="24"/>
            <w:szCs w:val="24"/>
          </w:rPr>
          <w:t>Justice Department Drops Alleged Discriminatory First Responder Hiring Cases In DEI Rollback</w:t>
        </w:r>
      </w:hyperlink>
      <w:r w:rsidRPr="005D5BAD">
        <w:rPr>
          <w:rFonts w:ascii="Times New Roman" w:hAnsi="Times New Roman"/>
          <w:sz w:val="24"/>
          <w:szCs w:val="24"/>
        </w:rPr>
        <w:t>…. A Justice Department official said the administration is walking away from four cases, including one that led to a settlement agreement resolving an </w:t>
      </w:r>
      <w:hyperlink r:id="rId1522" w:tgtFrame="_blank" w:history="1">
        <w:r w:rsidRPr="005D5BAD">
          <w:rPr>
            <w:rStyle w:val="Hyperlink"/>
            <w:rFonts w:ascii="Times New Roman" w:hAnsi="Times New Roman"/>
            <w:sz w:val="24"/>
            <w:szCs w:val="24"/>
          </w:rPr>
          <w:t>investigation</w:t>
        </w:r>
      </w:hyperlink>
      <w:r w:rsidRPr="005D5BAD">
        <w:rPr>
          <w:rFonts w:ascii="Times New Roman" w:hAnsi="Times New Roman"/>
          <w:sz w:val="24"/>
          <w:szCs w:val="24"/>
        </w:rPr>
        <w:t> into discriminatory hiring practices affecting Black and female applicants to the Maryland State Police. It’s part of a broader effort by President Donald Trump’s administration to roll back initiatives and programs promoting </w:t>
      </w:r>
      <w:hyperlink r:id="rId1523" w:tgtFrame="_blank" w:history="1">
        <w:r w:rsidRPr="005D5BAD">
          <w:rPr>
            <w:rStyle w:val="Hyperlink"/>
            <w:rFonts w:ascii="Times New Roman" w:hAnsi="Times New Roman"/>
            <w:sz w:val="24"/>
            <w:szCs w:val="24"/>
          </w:rPr>
          <w:t>diversity, equity and inclusion</w:t>
        </w:r>
      </w:hyperlink>
      <w:r w:rsidRPr="005D5BAD">
        <w:rPr>
          <w:rFonts w:ascii="Times New Roman" w:hAnsi="Times New Roman"/>
          <w:sz w:val="24"/>
          <w:szCs w:val="24"/>
        </w:rPr>
        <w:t>, which Republicans contend threaten </w:t>
      </w:r>
      <w:hyperlink r:id="rId1524" w:tgtFrame="_blank" w:history="1">
        <w:r w:rsidRPr="005D5BAD">
          <w:rPr>
            <w:rStyle w:val="Hyperlink"/>
            <w:rFonts w:ascii="Times New Roman" w:hAnsi="Times New Roman"/>
            <w:sz w:val="24"/>
            <w:szCs w:val="24"/>
          </w:rPr>
          <w:t>merit-based hiring</w:t>
        </w:r>
      </w:hyperlink>
      <w:r w:rsidRPr="005D5BAD">
        <w:rPr>
          <w:rFonts w:ascii="Times New Roman" w:hAnsi="Times New Roman"/>
          <w:sz w:val="24"/>
          <w:szCs w:val="24"/>
        </w:rPr>
        <w:t xml:space="preserve">…. Other cases were related to fire or police departments in North Carolina, Georgia, and Indiana, Mizelle said.” </w:t>
      </w:r>
      <w:hyperlink r:id="rId1525" w:history="1">
        <w:r w:rsidRPr="005D5BAD">
          <w:rPr>
            <w:rStyle w:val="Hyperlink"/>
            <w:rFonts w:ascii="Times New Roman" w:hAnsi="Times New Roman"/>
            <w:sz w:val="24"/>
            <w:szCs w:val="24"/>
          </w:rPr>
          <w:t>https://www.firerescue1.com/legal/justice-department-drops-alleged-discriminatory-ff-hiring-cases-in-dei-rollback?utm_source=delivra&amp;utm_medium=email&amp;utm_campaign=FR1-Daily-2-27-25&amp;utm_id=8566464&amp;dlv-emuid=fed355b8-46a2-4fa4-b55c-4d602dde33c4&amp;dlv-mlid=8566464</w:t>
        </w:r>
      </w:hyperlink>
      <w:r w:rsidRPr="005D5BAD">
        <w:rPr>
          <w:rFonts w:ascii="Times New Roman" w:hAnsi="Times New Roman"/>
          <w:sz w:val="24"/>
          <w:szCs w:val="24"/>
        </w:rPr>
        <w:t xml:space="preserve"> </w:t>
      </w:r>
    </w:p>
    <w:p w14:paraId="1EF49B37" w14:textId="77777777" w:rsidR="005D5BAD" w:rsidRPr="005D5BAD" w:rsidRDefault="005D5BAD" w:rsidP="005D5BAD">
      <w:pPr>
        <w:rPr>
          <w:rFonts w:ascii="Times New Roman" w:hAnsi="Times New Roman"/>
          <w:sz w:val="24"/>
          <w:szCs w:val="24"/>
        </w:rPr>
      </w:pPr>
    </w:p>
    <w:p w14:paraId="32C3451D" w14:textId="76B8313B" w:rsidR="00384B2F" w:rsidRDefault="00384B2F" w:rsidP="00BC70A3">
      <w:pPr>
        <w:rPr>
          <w:rFonts w:ascii="Arial Black" w:hAnsi="Arial Black"/>
          <w:b/>
          <w:sz w:val="24"/>
          <w:szCs w:val="24"/>
        </w:rPr>
      </w:pPr>
      <w:r>
        <w:rPr>
          <w:rFonts w:ascii="Arial Black" w:hAnsi="Arial Black"/>
          <w:b/>
          <w:sz w:val="24"/>
          <w:szCs w:val="24"/>
        </w:rPr>
        <w:t>8-70</w:t>
      </w:r>
    </w:p>
    <w:p w14:paraId="7DCD2B9E" w14:textId="77777777" w:rsidR="00384B2F" w:rsidRDefault="00384B2F" w:rsidP="00384B2F">
      <w:pPr>
        <w:pStyle w:val="NoSpacing"/>
        <w:rPr>
          <w:rFonts w:ascii="Arial Black" w:hAnsi="Arial Black"/>
          <w:sz w:val="28"/>
          <w:szCs w:val="28"/>
        </w:rPr>
      </w:pPr>
      <w:r>
        <w:rPr>
          <w:rFonts w:ascii="Arial Black" w:hAnsi="Arial Black"/>
          <w:sz w:val="28"/>
          <w:szCs w:val="28"/>
        </w:rPr>
        <w:t>AL: BLACK CAPT – NOT PROM. BC – FD DOC. INCOMPLETE</w:t>
      </w:r>
    </w:p>
    <w:p w14:paraId="430F45B5" w14:textId="77777777" w:rsidR="00384B2F" w:rsidRDefault="00384B2F" w:rsidP="00384B2F">
      <w:pPr>
        <w:pStyle w:val="NoSpacing"/>
      </w:pPr>
    </w:p>
    <w:p w14:paraId="3BF20D97" w14:textId="77777777" w:rsidR="00384B2F" w:rsidRPr="00457441" w:rsidRDefault="00384B2F" w:rsidP="00384B2F">
      <w:pPr>
        <w:pStyle w:val="NoSpacing"/>
        <w:rPr>
          <w:rFonts w:ascii="Times New Roman" w:hAnsi="Times New Roman"/>
          <w:sz w:val="24"/>
          <w:szCs w:val="24"/>
        </w:rPr>
      </w:pPr>
      <w:r w:rsidRPr="00457441">
        <w:rPr>
          <w:rFonts w:ascii="Times New Roman" w:hAnsi="Times New Roman"/>
          <w:sz w:val="24"/>
          <w:szCs w:val="24"/>
        </w:rPr>
        <w:t xml:space="preserve">On Jan. 24, 2025, in </w:t>
      </w:r>
      <w:r w:rsidRPr="00457441">
        <w:rPr>
          <w:rFonts w:ascii="Times New Roman" w:hAnsi="Times New Roman"/>
          <w:sz w:val="24"/>
          <w:szCs w:val="24"/>
          <w:u w:val="single"/>
        </w:rPr>
        <w:t>Demetrius Webb v. City of Homewood, Alabama, et al.</w:t>
      </w:r>
      <w:r w:rsidRPr="00457441">
        <w:rPr>
          <w:rFonts w:ascii="Times New Roman" w:hAnsi="Times New Roman"/>
          <w:sz w:val="24"/>
          <w:szCs w:val="24"/>
        </w:rPr>
        <w:t xml:space="preserve">, U.S. District Court Chief Judge R. David Proctor, Northern District of Alabama, Southern Division, denied the City’s motion for summary judgment.  Retired Captain Webb’s racial discrimination lawsuit will proceed to trial.  In September and October 2020, two Battalion Chief positions became available (4 BC positions on FD); two whites were promoted under Fire Chiefs’ new process - no outside interviews, only Fire Chief’s matrix of skills (plaintiff scored lowest of 8 applicants; all other BC were medics).  The city submitted a matrix showing all scores by the Fire Chief, EXCEPT the matrix did not include scores of the two promoted.  </w:t>
      </w:r>
      <w:hyperlink r:id="rId1526" w:history="1">
        <w:r w:rsidRPr="00457441">
          <w:rPr>
            <w:rStyle w:val="Hyperlink"/>
            <w:rFonts w:ascii="Times New Roman" w:hAnsi="Times New Roman"/>
            <w:sz w:val="24"/>
            <w:szCs w:val="24"/>
          </w:rPr>
          <w:t>https://cases.justia.com/federal/district-courts/alabama/alndce/2:2023cv01098/186589/44/0.pdf?ts=1737802006</w:t>
        </w:r>
      </w:hyperlink>
      <w:r w:rsidRPr="00457441">
        <w:rPr>
          <w:rFonts w:ascii="Times New Roman" w:hAnsi="Times New Roman"/>
          <w:sz w:val="24"/>
          <w:szCs w:val="24"/>
        </w:rPr>
        <w:t xml:space="preserve"> </w:t>
      </w:r>
    </w:p>
    <w:p w14:paraId="500035B8" w14:textId="77777777" w:rsidR="00384B2F" w:rsidRPr="00457441" w:rsidRDefault="00384B2F" w:rsidP="00384B2F">
      <w:pPr>
        <w:pStyle w:val="NoSpacing"/>
        <w:rPr>
          <w:rFonts w:ascii="Times New Roman" w:hAnsi="Times New Roman"/>
          <w:sz w:val="24"/>
          <w:szCs w:val="24"/>
        </w:rPr>
      </w:pPr>
    </w:p>
    <w:p w14:paraId="3319A1D8" w14:textId="77777777" w:rsidR="00384B2F" w:rsidRPr="00457441" w:rsidRDefault="00384B2F" w:rsidP="00384B2F">
      <w:pPr>
        <w:pStyle w:val="NoSpacing"/>
        <w:rPr>
          <w:rFonts w:ascii="Times New Roman" w:hAnsi="Times New Roman"/>
          <w:sz w:val="24"/>
          <w:szCs w:val="24"/>
        </w:rPr>
      </w:pPr>
      <w:r w:rsidRPr="00457441">
        <w:rPr>
          <w:rFonts w:ascii="Times New Roman" w:hAnsi="Times New Roman"/>
          <w:sz w:val="24"/>
          <w:szCs w:val="24"/>
        </w:rPr>
        <w:t>The Court wrote:</w:t>
      </w:r>
    </w:p>
    <w:p w14:paraId="7962B8AD" w14:textId="77777777" w:rsidR="00384B2F" w:rsidRPr="00457441" w:rsidRDefault="00384B2F" w:rsidP="00384B2F">
      <w:pPr>
        <w:pStyle w:val="NoSpacing"/>
        <w:rPr>
          <w:rFonts w:ascii="Times New Roman" w:hAnsi="Times New Roman"/>
          <w:sz w:val="24"/>
          <w:szCs w:val="24"/>
        </w:rPr>
      </w:pPr>
    </w:p>
    <w:p w14:paraId="5B53C38D" w14:textId="77777777" w:rsidR="00384B2F" w:rsidRPr="00457441" w:rsidRDefault="00384B2F" w:rsidP="00384B2F">
      <w:pPr>
        <w:pStyle w:val="NoSpacing"/>
        <w:ind w:left="720"/>
        <w:rPr>
          <w:rFonts w:ascii="Times New Roman" w:hAnsi="Times New Roman"/>
          <w:sz w:val="24"/>
          <w:szCs w:val="24"/>
        </w:rPr>
      </w:pPr>
      <w:r w:rsidRPr="00457441">
        <w:rPr>
          <w:rFonts w:ascii="Times New Roman" w:hAnsi="Times New Roman"/>
          <w:sz w:val="24"/>
          <w:szCs w:val="24"/>
        </w:rPr>
        <w:t>“The Battalion Chief position was previously selected by a panel of individuals who interviewed the candidates and evaluated their mission statements….However, when Chief Hill became the Fire Chief in 2020, he decided to do away with the old method because he was concerned that the process of selecting a Battalion Chief was too subjective…. Chief Hill devised his new method for selecting the Battalion Chief position sometime in or around September or October 2020….The new method consisted of an interview by him (as opposed to an interview by a panel) …, a review of the applicants’ resumes … and the creation of a matrix where the applicants’ qualifications were assigned a number value for various levels of qualifications….Regarding the new method, Chief Hill testified that he primarily looked at the applicants’ scores in the matrix and secondarily looked at their resumes….Chief Hill acknowledged that although he interviewed the candidates, the interviews were ‘not really’ a factor in the selection process.</w:t>
      </w:r>
    </w:p>
    <w:p w14:paraId="3781D80F" w14:textId="77777777" w:rsidR="00384B2F" w:rsidRPr="00457441" w:rsidRDefault="00384B2F" w:rsidP="00384B2F">
      <w:pPr>
        <w:pStyle w:val="NoSpacing"/>
        <w:ind w:left="720"/>
        <w:rPr>
          <w:rFonts w:ascii="Times New Roman" w:hAnsi="Times New Roman"/>
          <w:sz w:val="24"/>
          <w:szCs w:val="24"/>
        </w:rPr>
      </w:pPr>
    </w:p>
    <w:p w14:paraId="0B4A7724" w14:textId="77777777" w:rsidR="00384B2F" w:rsidRPr="00457441" w:rsidRDefault="00384B2F" w:rsidP="00384B2F">
      <w:pPr>
        <w:pStyle w:val="NoSpacing"/>
        <w:ind w:left="720"/>
        <w:rPr>
          <w:rFonts w:ascii="Times New Roman" w:hAnsi="Times New Roman"/>
          <w:sz w:val="24"/>
          <w:szCs w:val="24"/>
        </w:rPr>
      </w:pPr>
      <w:r w:rsidRPr="00457441">
        <w:rPr>
          <w:rFonts w:ascii="Times New Roman" w:hAnsi="Times New Roman"/>
          <w:sz w:val="24"/>
          <w:szCs w:val="24"/>
        </w:rPr>
        <w:t>***</w:t>
      </w:r>
    </w:p>
    <w:p w14:paraId="42C962B1" w14:textId="77777777" w:rsidR="00384B2F" w:rsidRPr="00457441" w:rsidRDefault="00384B2F" w:rsidP="00384B2F">
      <w:pPr>
        <w:pStyle w:val="NoSpacing"/>
        <w:rPr>
          <w:rFonts w:ascii="Times New Roman" w:hAnsi="Times New Roman"/>
          <w:sz w:val="24"/>
          <w:szCs w:val="24"/>
        </w:rPr>
      </w:pPr>
    </w:p>
    <w:p w14:paraId="42DBE622" w14:textId="77777777" w:rsidR="00384B2F" w:rsidRPr="00457441" w:rsidRDefault="00384B2F" w:rsidP="00384B2F">
      <w:pPr>
        <w:pStyle w:val="NoSpacing"/>
        <w:ind w:left="720"/>
        <w:rPr>
          <w:rFonts w:ascii="Times New Roman" w:hAnsi="Times New Roman"/>
          <w:sz w:val="24"/>
          <w:szCs w:val="24"/>
        </w:rPr>
      </w:pPr>
      <w:r w:rsidRPr="00457441">
        <w:rPr>
          <w:rFonts w:ascii="Times New Roman" w:hAnsi="Times New Roman"/>
          <w:sz w:val="24"/>
          <w:szCs w:val="24"/>
        </w:rPr>
        <w:t>In his deposition, Chief Hill testified that he conducted only one interview and considered</w:t>
      </w:r>
    </w:p>
    <w:p w14:paraId="09188B49" w14:textId="77777777" w:rsidR="00384B2F" w:rsidRPr="00457441" w:rsidRDefault="00384B2F" w:rsidP="00384B2F">
      <w:pPr>
        <w:pStyle w:val="NoSpacing"/>
        <w:ind w:left="720"/>
        <w:rPr>
          <w:rFonts w:ascii="Times New Roman" w:hAnsi="Times New Roman"/>
          <w:sz w:val="24"/>
          <w:szCs w:val="24"/>
        </w:rPr>
      </w:pPr>
      <w:r w:rsidRPr="00457441">
        <w:rPr>
          <w:rFonts w:ascii="Times New Roman" w:hAnsi="Times New Roman"/>
          <w:sz w:val="24"/>
          <w:szCs w:val="24"/>
        </w:rPr>
        <w:t>the candidates for both positions instead of creating two separate applicant pools…. A</w:t>
      </w:r>
    </w:p>
    <w:p w14:paraId="0DA41656" w14:textId="77777777" w:rsidR="00384B2F" w:rsidRPr="00457441" w:rsidRDefault="00384B2F" w:rsidP="00384B2F">
      <w:pPr>
        <w:pStyle w:val="NoSpacing"/>
        <w:ind w:left="720"/>
        <w:rPr>
          <w:rFonts w:ascii="Times New Roman" w:hAnsi="Times New Roman"/>
          <w:sz w:val="24"/>
          <w:szCs w:val="24"/>
        </w:rPr>
      </w:pPr>
      <w:r w:rsidRPr="00457441">
        <w:rPr>
          <w:rFonts w:ascii="Times New Roman" w:hAnsi="Times New Roman"/>
          <w:sz w:val="24"/>
          <w:szCs w:val="24"/>
        </w:rPr>
        <w:t>Homewood FD document shows the matrix scores of the Battalion Chief candidates as follows: Adam Ashworth, 27; Alexander Glover, 28; Robert Harris, 22; Keith Headrick, 23; Mark Shannon, 29; and Demetrius Webb, 18.</w:t>
      </w:r>
    </w:p>
    <w:p w14:paraId="6AF9982A" w14:textId="77777777" w:rsidR="00384B2F" w:rsidRPr="00457441" w:rsidRDefault="00384B2F" w:rsidP="00384B2F">
      <w:pPr>
        <w:pStyle w:val="NoSpacing"/>
        <w:ind w:left="720"/>
        <w:rPr>
          <w:rFonts w:ascii="Times New Roman" w:hAnsi="Times New Roman"/>
          <w:sz w:val="24"/>
          <w:szCs w:val="24"/>
        </w:rPr>
      </w:pPr>
    </w:p>
    <w:p w14:paraId="044F6292" w14:textId="77777777" w:rsidR="00384B2F" w:rsidRPr="00457441" w:rsidRDefault="00384B2F" w:rsidP="00384B2F">
      <w:pPr>
        <w:pStyle w:val="NoSpacing"/>
        <w:ind w:left="720"/>
        <w:rPr>
          <w:rFonts w:ascii="Times New Roman" w:hAnsi="Times New Roman"/>
          <w:sz w:val="24"/>
          <w:szCs w:val="24"/>
        </w:rPr>
      </w:pPr>
      <w:r w:rsidRPr="00457441">
        <w:rPr>
          <w:rFonts w:ascii="Times New Roman" w:hAnsi="Times New Roman"/>
          <w:sz w:val="24"/>
          <w:szCs w:val="24"/>
        </w:rPr>
        <w:t>***</w:t>
      </w:r>
    </w:p>
    <w:p w14:paraId="7485304F" w14:textId="77777777" w:rsidR="00384B2F" w:rsidRPr="00457441" w:rsidRDefault="00384B2F" w:rsidP="00384B2F">
      <w:pPr>
        <w:pStyle w:val="NoSpacing"/>
        <w:ind w:left="720"/>
        <w:rPr>
          <w:rFonts w:ascii="Times New Roman" w:hAnsi="Times New Roman"/>
          <w:sz w:val="24"/>
          <w:szCs w:val="24"/>
        </w:rPr>
      </w:pPr>
      <w:r w:rsidRPr="00457441">
        <w:rPr>
          <w:rFonts w:ascii="Times New Roman" w:hAnsi="Times New Roman"/>
          <w:sz w:val="24"/>
          <w:szCs w:val="24"/>
        </w:rPr>
        <w:t>However, despite Chief Hill’s testimony and Homewood’s summary judgment argument, the matrix that Homewood submitted into evidence does not include Broadhead and Everson or their scores…. When asked in his deposition, Chief Hill testified that he thought Everson ‘was close to’ the score of 29 …, which is the highest score recorded in the matrix. However, Homewood has not provided any Rule 56 evidence to confirm this. Further, while Everson’s matrix score was discussed briefly, Chief Hill did not provide any information regarding Broadhead’s matrix score or why he was not included on the matrix Homewood submitted into evidence. So, while the matrix indicates that Plaintiff received a score of 18 …, which is the lowest score among the other candidates on the matrix, there is no way to compare Plaintiff’s score to those of Broadhead or Everson. Plaintiff raised these discrepancies in his Response to Defendants’ Motion for Summary Judgment. (</w:t>
      </w:r>
      <w:proofErr w:type="gramStart"/>
      <w:r w:rsidRPr="00457441">
        <w:rPr>
          <w:rFonts w:ascii="Times New Roman" w:hAnsi="Times New Roman"/>
          <w:sz w:val="24"/>
          <w:szCs w:val="24"/>
        </w:rPr>
        <w:t>Doc. #</w:t>
      </w:r>
      <w:proofErr w:type="gramEnd"/>
      <w:r w:rsidRPr="00457441">
        <w:rPr>
          <w:rFonts w:ascii="Times New Roman" w:hAnsi="Times New Roman"/>
          <w:sz w:val="24"/>
          <w:szCs w:val="24"/>
        </w:rPr>
        <w:t xml:space="preserve"> 39 at 17). Homewood made no effort to refute or even respond to this argument. (See </w:t>
      </w:r>
      <w:proofErr w:type="gramStart"/>
      <w:r w:rsidRPr="00457441">
        <w:rPr>
          <w:rFonts w:ascii="Times New Roman" w:hAnsi="Times New Roman"/>
          <w:sz w:val="24"/>
          <w:szCs w:val="24"/>
        </w:rPr>
        <w:t>Doc. #</w:t>
      </w:r>
      <w:proofErr w:type="gramEnd"/>
      <w:r w:rsidRPr="00457441">
        <w:rPr>
          <w:rFonts w:ascii="Times New Roman" w:hAnsi="Times New Roman"/>
          <w:sz w:val="24"/>
          <w:szCs w:val="24"/>
        </w:rPr>
        <w:t xml:space="preserve"> 41).</w:t>
      </w:r>
    </w:p>
    <w:p w14:paraId="349B4C86" w14:textId="77777777" w:rsidR="00384B2F" w:rsidRPr="00457441" w:rsidRDefault="00384B2F" w:rsidP="00384B2F">
      <w:pPr>
        <w:pStyle w:val="NoSpacing"/>
        <w:ind w:left="720"/>
        <w:rPr>
          <w:rFonts w:ascii="Times New Roman" w:hAnsi="Times New Roman"/>
          <w:sz w:val="24"/>
          <w:szCs w:val="24"/>
        </w:rPr>
      </w:pPr>
    </w:p>
    <w:p w14:paraId="44D3740A" w14:textId="77777777" w:rsidR="00384B2F" w:rsidRPr="00457441" w:rsidRDefault="00384B2F" w:rsidP="00384B2F">
      <w:pPr>
        <w:pStyle w:val="NoSpacing"/>
        <w:ind w:left="720"/>
        <w:rPr>
          <w:rFonts w:ascii="Times New Roman" w:hAnsi="Times New Roman"/>
          <w:sz w:val="24"/>
          <w:szCs w:val="24"/>
        </w:rPr>
      </w:pPr>
      <w:r w:rsidRPr="00457441">
        <w:rPr>
          <w:rFonts w:ascii="Times New Roman" w:hAnsi="Times New Roman"/>
          <w:sz w:val="24"/>
          <w:szCs w:val="24"/>
        </w:rPr>
        <w:t>***</w:t>
      </w:r>
    </w:p>
    <w:p w14:paraId="7F1788C8" w14:textId="77777777" w:rsidR="00384B2F" w:rsidRPr="00457441" w:rsidRDefault="00384B2F" w:rsidP="00384B2F">
      <w:pPr>
        <w:pStyle w:val="NoSpacing"/>
        <w:ind w:left="720"/>
        <w:rPr>
          <w:rFonts w:ascii="Times New Roman" w:hAnsi="Times New Roman"/>
          <w:sz w:val="24"/>
          <w:szCs w:val="24"/>
        </w:rPr>
      </w:pPr>
      <w:r w:rsidRPr="00457441">
        <w:rPr>
          <w:rFonts w:ascii="Times New Roman" w:hAnsi="Times New Roman"/>
          <w:sz w:val="24"/>
          <w:szCs w:val="24"/>
        </w:rPr>
        <w:lastRenderedPageBreak/>
        <w:t xml:space="preserve">Moreover, although Chief Hill testified that he primarily relied on the matrix scores, when asked in his deposition why Broadhead and Everson were promoted over Plaintiff to the position of Battalion Chief, he discussed Broadhead and Everson’s leadership skills (Doc. # 32-2 at 51, 54) and made no mention of their matrix scores. If Chief Hill had not testified that he looked primarily at the matrix scores when selecting the Battalion Chief position, there may be an argument that the court could overlook the issue that a matrix that did not reference the scores of the incumbents was submitted into evidence. However, Homewood has provided both incomplete (and potentially contradictory) evidence. </w:t>
      </w:r>
      <w:proofErr w:type="gramStart"/>
      <w:r w:rsidRPr="00457441">
        <w:rPr>
          <w:rFonts w:ascii="Times New Roman" w:hAnsi="Times New Roman"/>
          <w:sz w:val="24"/>
          <w:szCs w:val="24"/>
        </w:rPr>
        <w:t>Despite the fact that</w:t>
      </w:r>
      <w:proofErr w:type="gramEnd"/>
      <w:r w:rsidRPr="00457441">
        <w:rPr>
          <w:rFonts w:ascii="Times New Roman" w:hAnsi="Times New Roman"/>
          <w:sz w:val="24"/>
          <w:szCs w:val="24"/>
        </w:rPr>
        <w:t xml:space="preserve"> Chief Hill testified that promotion decisions for the</w:t>
      </w:r>
    </w:p>
    <w:p w14:paraId="44E7691A" w14:textId="77777777" w:rsidR="00384B2F" w:rsidRPr="00457441" w:rsidRDefault="00384B2F" w:rsidP="00384B2F">
      <w:pPr>
        <w:pStyle w:val="NoSpacing"/>
        <w:ind w:left="720"/>
        <w:rPr>
          <w:rFonts w:ascii="Times New Roman" w:hAnsi="Times New Roman"/>
          <w:sz w:val="24"/>
          <w:szCs w:val="24"/>
        </w:rPr>
      </w:pPr>
      <w:r w:rsidRPr="00457441">
        <w:rPr>
          <w:rFonts w:ascii="Times New Roman" w:hAnsi="Times New Roman"/>
          <w:sz w:val="24"/>
          <w:szCs w:val="24"/>
        </w:rPr>
        <w:t xml:space="preserve">Battalion Chief </w:t>
      </w:r>
      <w:proofErr w:type="gramStart"/>
      <w:r w:rsidRPr="00457441">
        <w:rPr>
          <w:rFonts w:ascii="Times New Roman" w:hAnsi="Times New Roman"/>
          <w:sz w:val="24"/>
          <w:szCs w:val="24"/>
        </w:rPr>
        <w:t>position</w:t>
      </w:r>
      <w:proofErr w:type="gramEnd"/>
      <w:r w:rsidRPr="00457441">
        <w:rPr>
          <w:rFonts w:ascii="Times New Roman" w:hAnsi="Times New Roman"/>
          <w:sz w:val="24"/>
          <w:szCs w:val="24"/>
        </w:rPr>
        <w:t xml:space="preserve"> </w:t>
      </w:r>
      <w:proofErr w:type="gramStart"/>
      <w:r w:rsidRPr="00457441">
        <w:rPr>
          <w:rFonts w:ascii="Times New Roman" w:hAnsi="Times New Roman"/>
          <w:sz w:val="24"/>
          <w:szCs w:val="24"/>
        </w:rPr>
        <w:t>are</w:t>
      </w:r>
      <w:proofErr w:type="gramEnd"/>
      <w:r w:rsidRPr="00457441">
        <w:rPr>
          <w:rFonts w:ascii="Times New Roman" w:hAnsi="Times New Roman"/>
          <w:sz w:val="24"/>
          <w:szCs w:val="24"/>
        </w:rPr>
        <w:t xml:space="preserve"> primarily based on the internal matrix system, neither of the two white candidates selected were included on the internal matrix system sheet that Homewood provided in its evidentiary submissions. Further, when asked why he selected them for the Battalion Chief positions, Chief Hill did not indicate Broadhead or Everson’s scores.”</w:t>
      </w:r>
    </w:p>
    <w:p w14:paraId="7CB7DB70" w14:textId="77777777" w:rsidR="00384B2F" w:rsidRPr="00457441" w:rsidRDefault="00384B2F" w:rsidP="00384B2F">
      <w:pPr>
        <w:pStyle w:val="NoSpacing"/>
        <w:ind w:left="720"/>
        <w:rPr>
          <w:rFonts w:ascii="Times New Roman" w:hAnsi="Times New Roman"/>
          <w:sz w:val="24"/>
          <w:szCs w:val="24"/>
        </w:rPr>
      </w:pPr>
    </w:p>
    <w:p w14:paraId="346A6574" w14:textId="77777777" w:rsidR="00384B2F" w:rsidRPr="00457441" w:rsidRDefault="00384B2F" w:rsidP="00384B2F">
      <w:pPr>
        <w:pStyle w:val="NoSpacing"/>
        <w:rPr>
          <w:rFonts w:ascii="Times New Roman" w:hAnsi="Times New Roman"/>
          <w:b/>
          <w:bCs/>
          <w:sz w:val="24"/>
          <w:szCs w:val="24"/>
        </w:rPr>
      </w:pPr>
      <w:r w:rsidRPr="00457441">
        <w:rPr>
          <w:rFonts w:ascii="Times New Roman" w:hAnsi="Times New Roman"/>
          <w:b/>
          <w:sz w:val="24"/>
          <w:szCs w:val="24"/>
        </w:rPr>
        <w:t xml:space="preserve">Legal Lesson Learned:  </w:t>
      </w:r>
      <w:r w:rsidRPr="00457441">
        <w:rPr>
          <w:rFonts w:ascii="Times New Roman" w:hAnsi="Times New Roman"/>
          <w:b/>
          <w:bCs/>
          <w:sz w:val="24"/>
          <w:szCs w:val="24"/>
        </w:rPr>
        <w:t xml:space="preserve">FD relying </w:t>
      </w:r>
      <w:r w:rsidRPr="00457441">
        <w:rPr>
          <w:rFonts w:ascii="Times New Roman" w:hAnsi="Times New Roman"/>
          <w:b/>
          <w:sz w:val="24"/>
          <w:szCs w:val="24"/>
        </w:rPr>
        <w:t xml:space="preserve">on a matrix to justify promotion decision, must include all candidates on the matrix document. </w:t>
      </w:r>
    </w:p>
    <w:p w14:paraId="277A3C05" w14:textId="77777777" w:rsidR="00384B2F" w:rsidRDefault="00384B2F" w:rsidP="00BC70A3">
      <w:pPr>
        <w:rPr>
          <w:rFonts w:ascii="Arial Black" w:hAnsi="Arial Black"/>
          <w:b/>
          <w:sz w:val="24"/>
          <w:szCs w:val="24"/>
        </w:rPr>
      </w:pPr>
    </w:p>
    <w:p w14:paraId="7E8425FB" w14:textId="77777777" w:rsidR="00384B2F" w:rsidRDefault="00384B2F" w:rsidP="00BC70A3">
      <w:pPr>
        <w:rPr>
          <w:rFonts w:ascii="Arial Black" w:hAnsi="Arial Black"/>
          <w:b/>
          <w:sz w:val="24"/>
          <w:szCs w:val="24"/>
        </w:rPr>
      </w:pPr>
    </w:p>
    <w:p w14:paraId="2BF230B3" w14:textId="083F469A" w:rsidR="004864A1" w:rsidRDefault="004864A1" w:rsidP="00BC70A3">
      <w:pPr>
        <w:rPr>
          <w:rFonts w:ascii="Arial Black" w:hAnsi="Arial Black"/>
          <w:b/>
          <w:sz w:val="24"/>
          <w:szCs w:val="24"/>
        </w:rPr>
      </w:pPr>
      <w:r>
        <w:rPr>
          <w:rFonts w:ascii="Arial Black" w:hAnsi="Arial Black"/>
          <w:b/>
          <w:sz w:val="24"/>
          <w:szCs w:val="24"/>
        </w:rPr>
        <w:t>8-69</w:t>
      </w:r>
    </w:p>
    <w:p w14:paraId="53FCF72B" w14:textId="77777777" w:rsidR="002C25D5" w:rsidRPr="00193FDB" w:rsidRDefault="002C25D5" w:rsidP="002C25D5">
      <w:pPr>
        <w:pStyle w:val="NoSpacing"/>
        <w:rPr>
          <w:rFonts w:ascii="Arial Black" w:hAnsi="Arial Black"/>
          <w:b/>
          <w:bCs/>
          <w:sz w:val="28"/>
          <w:szCs w:val="28"/>
        </w:rPr>
      </w:pPr>
      <w:r w:rsidRPr="00193FDB">
        <w:rPr>
          <w:rFonts w:ascii="Arial Black" w:hAnsi="Arial Black"/>
          <w:b/>
          <w:sz w:val="28"/>
          <w:szCs w:val="28"/>
        </w:rPr>
        <w:t xml:space="preserve">LA: </w:t>
      </w:r>
      <w:r>
        <w:rPr>
          <w:rFonts w:ascii="Arial Black" w:hAnsi="Arial Black"/>
          <w:b/>
          <w:sz w:val="28"/>
          <w:szCs w:val="28"/>
        </w:rPr>
        <w:t xml:space="preserve">TWO CAPTS DISCIP. – CLAIM DISPARATE TREAT </w:t>
      </w:r>
    </w:p>
    <w:p w14:paraId="2AA31885" w14:textId="77777777" w:rsidR="002C25D5" w:rsidRDefault="002C25D5" w:rsidP="002C25D5">
      <w:pPr>
        <w:pStyle w:val="NoSpacing"/>
      </w:pPr>
    </w:p>
    <w:p w14:paraId="6EE11AFC" w14:textId="77777777" w:rsidR="00D45282" w:rsidRPr="00D45282" w:rsidRDefault="00D45282" w:rsidP="00D45282">
      <w:pPr>
        <w:rPr>
          <w:rFonts w:ascii="Times New Roman" w:hAnsi="Times New Roman"/>
          <w:sz w:val="24"/>
          <w:szCs w:val="24"/>
        </w:rPr>
      </w:pPr>
      <w:r w:rsidRPr="00D45282">
        <w:rPr>
          <w:rFonts w:ascii="Times New Roman" w:hAnsi="Times New Roman"/>
          <w:sz w:val="24"/>
          <w:szCs w:val="24"/>
        </w:rPr>
        <w:t xml:space="preserve">On Dec. 20, </w:t>
      </w:r>
      <w:proofErr w:type="gramStart"/>
      <w:r w:rsidRPr="00D45282">
        <w:rPr>
          <w:rFonts w:ascii="Times New Roman" w:hAnsi="Times New Roman"/>
          <w:sz w:val="24"/>
          <w:szCs w:val="24"/>
        </w:rPr>
        <w:t>2024</w:t>
      </w:r>
      <w:proofErr w:type="gramEnd"/>
      <w:r w:rsidRPr="00D45282">
        <w:rPr>
          <w:rFonts w:ascii="Times New Roman" w:hAnsi="Times New Roman"/>
          <w:sz w:val="24"/>
          <w:szCs w:val="24"/>
        </w:rPr>
        <w:t xml:space="preserve"> in </w:t>
      </w:r>
      <w:r w:rsidRPr="00D45282">
        <w:rPr>
          <w:rFonts w:ascii="Times New Roman" w:hAnsi="Times New Roman"/>
          <w:sz w:val="24"/>
          <w:szCs w:val="24"/>
          <w:u w:val="single"/>
        </w:rPr>
        <w:t>Varrick Dyer v. City of New Orleans, et al</w:t>
      </w:r>
      <w:r w:rsidRPr="00D45282">
        <w:rPr>
          <w:rFonts w:ascii="Times New Roman" w:hAnsi="Times New Roman"/>
          <w:sz w:val="24"/>
          <w:szCs w:val="24"/>
        </w:rPr>
        <w:t>., United States Magistrate Judge Janis Van Meerveld, U.S. District Court for Eastern District of Louisiana, held that city’s motion for summary judgment will be denied in part.  Black Captain was on the 4</w:t>
      </w:r>
      <w:r w:rsidRPr="00D45282">
        <w:rPr>
          <w:rFonts w:ascii="Times New Roman" w:hAnsi="Times New Roman"/>
          <w:sz w:val="24"/>
          <w:szCs w:val="24"/>
          <w:vertAlign w:val="superscript"/>
        </w:rPr>
        <w:t>th</w:t>
      </w:r>
      <w:r w:rsidRPr="00D45282">
        <w:rPr>
          <w:rFonts w:ascii="Times New Roman" w:hAnsi="Times New Roman"/>
          <w:sz w:val="24"/>
          <w:szCs w:val="24"/>
        </w:rPr>
        <w:t xml:space="preserve"> engine to fire – later had verbal dispute with white Captain who criticized him for not getting off engine with his crew.  The lawsuit will </w:t>
      </w:r>
      <w:proofErr w:type="gramStart"/>
      <w:r w:rsidRPr="00D45282">
        <w:rPr>
          <w:rFonts w:ascii="Times New Roman" w:hAnsi="Times New Roman"/>
          <w:sz w:val="24"/>
          <w:szCs w:val="24"/>
        </w:rPr>
        <w:t>continue on</w:t>
      </w:r>
      <w:proofErr w:type="gramEnd"/>
      <w:r w:rsidRPr="00D45282">
        <w:rPr>
          <w:rFonts w:ascii="Times New Roman" w:hAnsi="Times New Roman"/>
          <w:sz w:val="24"/>
          <w:szCs w:val="24"/>
        </w:rPr>
        <w:t xml:space="preserve"> two claims -  “disparate treatment” (white charged with “hazing” – letter of reprimand;  black charged with “threats” – possible suspension or termination) and subsequent failure to be promoted. </w:t>
      </w:r>
      <w:hyperlink r:id="rId1527" w:history="1">
        <w:r w:rsidRPr="00D45282">
          <w:rPr>
            <w:rStyle w:val="Hyperlink"/>
            <w:rFonts w:ascii="Times New Roman" w:hAnsi="Times New Roman"/>
            <w:sz w:val="24"/>
            <w:szCs w:val="24"/>
          </w:rPr>
          <w:t>https://casetext.com/case/dyer-v-city-of-new-orleans-2</w:t>
        </w:r>
      </w:hyperlink>
      <w:r w:rsidRPr="00D45282">
        <w:rPr>
          <w:rFonts w:ascii="Times New Roman" w:hAnsi="Times New Roman"/>
          <w:sz w:val="24"/>
          <w:szCs w:val="24"/>
        </w:rPr>
        <w:t xml:space="preserve"> </w:t>
      </w:r>
    </w:p>
    <w:p w14:paraId="472844B8" w14:textId="77777777" w:rsidR="00D45282" w:rsidRDefault="00D45282" w:rsidP="002C25D5">
      <w:pPr>
        <w:pStyle w:val="NoSpacing"/>
        <w:rPr>
          <w:rFonts w:ascii="Times New Roman" w:hAnsi="Times New Roman"/>
          <w:sz w:val="24"/>
          <w:szCs w:val="24"/>
        </w:rPr>
      </w:pPr>
    </w:p>
    <w:p w14:paraId="4DF06F5F" w14:textId="4CAA9523" w:rsidR="002C25D5" w:rsidRPr="002C25D5" w:rsidRDefault="002C25D5" w:rsidP="002C25D5">
      <w:pPr>
        <w:pStyle w:val="NoSpacing"/>
        <w:rPr>
          <w:rFonts w:ascii="Times New Roman" w:hAnsi="Times New Roman"/>
          <w:sz w:val="24"/>
          <w:szCs w:val="24"/>
        </w:rPr>
      </w:pPr>
      <w:r w:rsidRPr="002C25D5">
        <w:rPr>
          <w:rFonts w:ascii="Times New Roman" w:hAnsi="Times New Roman"/>
          <w:sz w:val="24"/>
          <w:szCs w:val="24"/>
        </w:rPr>
        <w:t>The Magistrate wrote:</w:t>
      </w:r>
    </w:p>
    <w:p w14:paraId="1BED6D2D" w14:textId="77777777" w:rsidR="002C25D5" w:rsidRPr="002C25D5" w:rsidRDefault="002C25D5" w:rsidP="002C25D5">
      <w:pPr>
        <w:pStyle w:val="NoSpacing"/>
        <w:rPr>
          <w:rFonts w:ascii="Times New Roman" w:hAnsi="Times New Roman"/>
          <w:sz w:val="24"/>
          <w:szCs w:val="24"/>
        </w:rPr>
      </w:pPr>
    </w:p>
    <w:p w14:paraId="6FFDB331" w14:textId="542FD0E8" w:rsidR="00B9560C" w:rsidRPr="002C25D5" w:rsidRDefault="002C25D5" w:rsidP="002C25D5">
      <w:pPr>
        <w:ind w:left="720"/>
        <w:rPr>
          <w:rFonts w:ascii="Times New Roman" w:hAnsi="Times New Roman"/>
          <w:b/>
          <w:sz w:val="24"/>
          <w:szCs w:val="24"/>
        </w:rPr>
      </w:pPr>
      <w:r w:rsidRPr="002C25D5">
        <w:rPr>
          <w:rFonts w:ascii="Times New Roman" w:hAnsi="Times New Roman"/>
          <w:sz w:val="24"/>
          <w:szCs w:val="24"/>
        </w:rPr>
        <w:t xml:space="preserve">“The Court finds that Dyer has stated a plausible claim for race-based disparate treatment as to two incidents. He alleges that he was charged with a more severe rule violation than Martin arising out of the February 2022 incident they were both involved in. Of course there may be legitimate explanations for this difference in treatment. But at this stage, the Court finds Dyer has plausibly alleged that this difference was race based because their conduct appears to have been </w:t>
      </w:r>
      <w:proofErr w:type="gramStart"/>
      <w:r w:rsidRPr="002C25D5">
        <w:rPr>
          <w:rFonts w:ascii="Times New Roman" w:hAnsi="Times New Roman"/>
          <w:sz w:val="24"/>
          <w:szCs w:val="24"/>
        </w:rPr>
        <w:t>similar</w:t>
      </w:r>
      <w:proofErr w:type="gramEnd"/>
      <w:r w:rsidRPr="002C25D5">
        <w:rPr>
          <w:rFonts w:ascii="Times New Roman" w:hAnsi="Times New Roman"/>
          <w:sz w:val="24"/>
          <w:szCs w:val="24"/>
        </w:rPr>
        <w:t xml:space="preserve"> but the black firefighter was charged with a more severe rule violation than the white firefighter. Additionally, Dyer has stated a plausible claim arising out of the denied promotion that was allegedly given to a less qualified white male.”  </w:t>
      </w:r>
    </w:p>
    <w:p w14:paraId="7C775D97" w14:textId="77777777" w:rsidR="00A76F8F" w:rsidRPr="00A76F8F" w:rsidRDefault="00A76F8F" w:rsidP="00A76F8F">
      <w:pPr>
        <w:pStyle w:val="NoSpacing"/>
        <w:rPr>
          <w:rFonts w:ascii="Times New Roman" w:hAnsi="Times New Roman"/>
          <w:sz w:val="24"/>
          <w:szCs w:val="24"/>
        </w:rPr>
      </w:pPr>
      <w:r w:rsidRPr="00A76F8F">
        <w:rPr>
          <w:rFonts w:ascii="Times New Roman" w:hAnsi="Times New Roman"/>
          <w:sz w:val="24"/>
          <w:szCs w:val="24"/>
        </w:rPr>
        <w:t>HOLDING:</w:t>
      </w:r>
    </w:p>
    <w:p w14:paraId="61F513FF" w14:textId="77777777" w:rsidR="00893FEB" w:rsidRDefault="00893FEB" w:rsidP="00A76F8F">
      <w:pPr>
        <w:pStyle w:val="NoSpacing"/>
        <w:ind w:left="720"/>
        <w:rPr>
          <w:rFonts w:ascii="Times New Roman" w:hAnsi="Times New Roman"/>
          <w:sz w:val="24"/>
          <w:szCs w:val="24"/>
        </w:rPr>
      </w:pPr>
    </w:p>
    <w:p w14:paraId="0A4E6FFB" w14:textId="20F13E70" w:rsidR="00A76F8F" w:rsidRPr="00A76F8F" w:rsidRDefault="00A76F8F" w:rsidP="00A76F8F">
      <w:pPr>
        <w:pStyle w:val="NoSpacing"/>
        <w:ind w:left="720"/>
        <w:rPr>
          <w:rFonts w:ascii="Times New Roman" w:hAnsi="Times New Roman"/>
          <w:sz w:val="24"/>
          <w:szCs w:val="24"/>
        </w:rPr>
      </w:pPr>
      <w:r w:rsidRPr="00A76F8F">
        <w:rPr>
          <w:rFonts w:ascii="Times New Roman" w:hAnsi="Times New Roman"/>
          <w:sz w:val="24"/>
          <w:szCs w:val="24"/>
        </w:rPr>
        <w:t>“The Court finds that Dyer has stated a claim under Title VII, the LEDL, and § 1981 for race-based disparate treatment arising out of the charge related to the February 2022 incident and arising out of the denied promotion. As to these claims, the Motion to Dismiss is DENIED.”</w:t>
      </w:r>
    </w:p>
    <w:p w14:paraId="7E2AA90D" w14:textId="77777777" w:rsidR="00A76F8F" w:rsidRPr="00A76F8F" w:rsidRDefault="00A76F8F" w:rsidP="00A76F8F">
      <w:pPr>
        <w:pStyle w:val="NoSpacing"/>
        <w:ind w:left="720"/>
        <w:rPr>
          <w:rFonts w:ascii="Times New Roman" w:hAnsi="Times New Roman"/>
          <w:sz w:val="24"/>
          <w:szCs w:val="24"/>
        </w:rPr>
      </w:pPr>
    </w:p>
    <w:p w14:paraId="45A452C1" w14:textId="77777777" w:rsidR="00A76F8F" w:rsidRPr="00A76F8F" w:rsidRDefault="00A76F8F" w:rsidP="00A76F8F">
      <w:pPr>
        <w:pStyle w:val="NoSpacing"/>
        <w:rPr>
          <w:rFonts w:ascii="Times New Roman" w:hAnsi="Times New Roman"/>
          <w:b/>
          <w:bCs/>
          <w:sz w:val="24"/>
          <w:szCs w:val="24"/>
        </w:rPr>
      </w:pPr>
      <w:r w:rsidRPr="00A76F8F">
        <w:rPr>
          <w:rFonts w:ascii="Times New Roman" w:hAnsi="Times New Roman"/>
          <w:b/>
          <w:sz w:val="24"/>
          <w:szCs w:val="24"/>
        </w:rPr>
        <w:lastRenderedPageBreak/>
        <w:t>Legal Lesson Learned: When imposing discipline involving a white FF and a black FF, management must document specific reasons for different discipline.</w:t>
      </w:r>
    </w:p>
    <w:p w14:paraId="4C0799D8" w14:textId="77777777" w:rsidR="00A76F8F" w:rsidRPr="00A76F8F" w:rsidRDefault="00A76F8F" w:rsidP="00A76F8F">
      <w:pPr>
        <w:pStyle w:val="NoSpacing"/>
        <w:ind w:left="720"/>
        <w:rPr>
          <w:rFonts w:ascii="Times New Roman" w:hAnsi="Times New Roman"/>
          <w:sz w:val="24"/>
          <w:szCs w:val="24"/>
        </w:rPr>
      </w:pPr>
    </w:p>
    <w:p w14:paraId="24665106" w14:textId="29DD1166" w:rsidR="00A76F8F" w:rsidRPr="00A76F8F" w:rsidRDefault="00A76F8F" w:rsidP="00A76F8F">
      <w:pPr>
        <w:pStyle w:val="NoSpacing"/>
        <w:ind w:left="720"/>
        <w:rPr>
          <w:rFonts w:ascii="Times New Roman" w:hAnsi="Times New Roman"/>
          <w:b/>
          <w:sz w:val="24"/>
          <w:szCs w:val="24"/>
        </w:rPr>
      </w:pPr>
      <w:r w:rsidRPr="00A76F8F">
        <w:rPr>
          <w:rFonts w:ascii="Times New Roman" w:hAnsi="Times New Roman"/>
          <w:sz w:val="24"/>
          <w:szCs w:val="24"/>
        </w:rPr>
        <w:t>Note:  See also City’s Civil Service Commission (vote 2 to 1) on Dec. 14, 2023, reversing 36-hour suspension for bringing a “gate valve” from a fire engine to a Rock of Ages</w:t>
      </w:r>
      <w:r w:rsidR="00893FEB">
        <w:rPr>
          <w:rFonts w:ascii="Times New Roman" w:hAnsi="Times New Roman"/>
          <w:sz w:val="24"/>
          <w:szCs w:val="24"/>
        </w:rPr>
        <w:t xml:space="preserve"> </w:t>
      </w:r>
      <w:r w:rsidRPr="00A76F8F">
        <w:rPr>
          <w:rFonts w:ascii="Times New Roman" w:hAnsi="Times New Roman"/>
          <w:sz w:val="24"/>
          <w:szCs w:val="24"/>
        </w:rPr>
        <w:t xml:space="preserve">Church event provided showers and laundry facilities to homeless and mentally ill individuals. </w:t>
      </w:r>
    </w:p>
    <w:p w14:paraId="043F0623" w14:textId="77777777" w:rsidR="00A76F8F" w:rsidRPr="00A76F8F" w:rsidRDefault="00A76F8F" w:rsidP="00A76F8F">
      <w:pPr>
        <w:pStyle w:val="NoSpacing"/>
        <w:ind w:left="720"/>
        <w:rPr>
          <w:rFonts w:ascii="Times New Roman" w:hAnsi="Times New Roman"/>
          <w:b/>
          <w:sz w:val="24"/>
          <w:szCs w:val="24"/>
        </w:rPr>
      </w:pPr>
      <w:hyperlink r:id="rId1528" w:history="1">
        <w:r w:rsidRPr="00A76F8F">
          <w:rPr>
            <w:rStyle w:val="Hyperlink"/>
            <w:rFonts w:ascii="Times New Roman" w:hAnsi="Times New Roman"/>
            <w:b/>
            <w:sz w:val="24"/>
            <w:szCs w:val="24"/>
          </w:rPr>
          <w:t>https://nola.gov/getattachment/e3454bbc-a629-43a1-b296-8d99f21a3e04/Dyer,-Varrick-9485/</w:t>
        </w:r>
      </w:hyperlink>
      <w:r w:rsidRPr="00A76F8F">
        <w:rPr>
          <w:rFonts w:ascii="Times New Roman" w:hAnsi="Times New Roman"/>
          <w:b/>
          <w:sz w:val="24"/>
          <w:szCs w:val="24"/>
        </w:rPr>
        <w:t xml:space="preserve"> </w:t>
      </w:r>
    </w:p>
    <w:p w14:paraId="5C25F61A" w14:textId="77777777" w:rsidR="003B2850" w:rsidRPr="00A76F8F" w:rsidRDefault="003B2850" w:rsidP="00BC70A3">
      <w:pPr>
        <w:rPr>
          <w:rFonts w:ascii="Times New Roman" w:hAnsi="Times New Roman"/>
          <w:b/>
          <w:sz w:val="24"/>
          <w:szCs w:val="24"/>
        </w:rPr>
      </w:pPr>
    </w:p>
    <w:p w14:paraId="42601585" w14:textId="77777777" w:rsidR="003B2850" w:rsidRDefault="003B2850" w:rsidP="00BC70A3">
      <w:pPr>
        <w:rPr>
          <w:rFonts w:ascii="Arial Black" w:hAnsi="Arial Black"/>
          <w:b/>
          <w:sz w:val="24"/>
          <w:szCs w:val="24"/>
        </w:rPr>
      </w:pPr>
    </w:p>
    <w:p w14:paraId="3C279A26" w14:textId="03DFF900" w:rsidR="00B9560C" w:rsidRDefault="00B9560C" w:rsidP="00BC70A3">
      <w:pPr>
        <w:rPr>
          <w:rFonts w:ascii="Arial Black" w:hAnsi="Arial Black"/>
          <w:b/>
          <w:sz w:val="24"/>
          <w:szCs w:val="24"/>
        </w:rPr>
      </w:pPr>
      <w:r>
        <w:rPr>
          <w:rFonts w:ascii="Arial Black" w:hAnsi="Arial Black"/>
          <w:b/>
          <w:sz w:val="24"/>
          <w:szCs w:val="24"/>
        </w:rPr>
        <w:t>8-68</w:t>
      </w:r>
    </w:p>
    <w:p w14:paraId="09837F54" w14:textId="77777777" w:rsidR="009E2FA4" w:rsidRDefault="009E2FA4" w:rsidP="009E2FA4">
      <w:pPr>
        <w:pStyle w:val="NoSpacing"/>
        <w:rPr>
          <w:rFonts w:ascii="Arial Black" w:hAnsi="Arial Black"/>
          <w:b/>
          <w:sz w:val="28"/>
          <w:szCs w:val="28"/>
        </w:rPr>
      </w:pPr>
      <w:r>
        <w:rPr>
          <w:rFonts w:ascii="Arial Black" w:hAnsi="Arial Black"/>
          <w:b/>
          <w:sz w:val="28"/>
          <w:szCs w:val="28"/>
        </w:rPr>
        <w:t xml:space="preserve">MO: CHIEF FIRED – SECRET CAMERA – BD ANIMUS </w:t>
      </w:r>
    </w:p>
    <w:p w14:paraId="5E9C0CE1" w14:textId="77777777" w:rsidR="009E2FA4" w:rsidRDefault="009E2FA4" w:rsidP="00AB0466">
      <w:pPr>
        <w:pStyle w:val="NoSpacing"/>
        <w:rPr>
          <w:rFonts w:ascii="Arial Black" w:hAnsi="Arial Black"/>
          <w:b/>
          <w:sz w:val="28"/>
          <w:szCs w:val="28"/>
        </w:rPr>
      </w:pPr>
    </w:p>
    <w:p w14:paraId="2490AEC9" w14:textId="77777777" w:rsidR="003D707F" w:rsidRPr="003D707F" w:rsidRDefault="003D707F" w:rsidP="003D707F">
      <w:pPr>
        <w:rPr>
          <w:rFonts w:ascii="Times New Roman" w:hAnsi="Times New Roman"/>
          <w:bCs/>
          <w:sz w:val="24"/>
          <w:szCs w:val="24"/>
        </w:rPr>
      </w:pPr>
      <w:r w:rsidRPr="003D707F">
        <w:rPr>
          <w:rFonts w:ascii="Times New Roman" w:hAnsi="Times New Roman"/>
          <w:sz w:val="24"/>
          <w:szCs w:val="24"/>
        </w:rPr>
        <w:t xml:space="preserve">On Dec. 18, 2024, in </w:t>
      </w:r>
      <w:proofErr w:type="spellStart"/>
      <w:r w:rsidRPr="003D707F">
        <w:rPr>
          <w:rFonts w:ascii="Times New Roman" w:hAnsi="Times New Roman"/>
          <w:sz w:val="24"/>
          <w:szCs w:val="24"/>
          <w:u w:val="single"/>
        </w:rPr>
        <w:t>Ankeneth</w:t>
      </w:r>
      <w:proofErr w:type="spellEnd"/>
      <w:r w:rsidRPr="003D707F">
        <w:rPr>
          <w:rFonts w:ascii="Times New Roman" w:hAnsi="Times New Roman"/>
          <w:sz w:val="24"/>
          <w:szCs w:val="24"/>
          <w:u w:val="single"/>
        </w:rPr>
        <w:t xml:space="preserve"> Corbin v. Black Jack Fire Protection District, et al.,</w:t>
      </w:r>
      <w:r w:rsidRPr="003D707F">
        <w:rPr>
          <w:rFonts w:ascii="Times New Roman" w:hAnsi="Times New Roman"/>
          <w:sz w:val="24"/>
          <w:szCs w:val="24"/>
        </w:rPr>
        <w:t xml:space="preserve"> United States District Court Judge John A. Ross, U.S. District Court for Eastern District of Missouri, held that the former Fire Chief (African American), who was fired on Jan. 17, 2023 for secretly installing a camera and a sound recording device in his office, may proceed with his lawsuit for retaliation. </w:t>
      </w:r>
      <w:hyperlink r:id="rId1529" w:history="1">
        <w:r w:rsidRPr="003D707F">
          <w:rPr>
            <w:rStyle w:val="Hyperlink"/>
            <w:rFonts w:ascii="Times New Roman" w:hAnsi="Times New Roman"/>
            <w:sz w:val="24"/>
            <w:szCs w:val="24"/>
          </w:rPr>
          <w:t>https://casetext.com/case/corbin-v-black-jack-fire-prot-dist</w:t>
        </w:r>
      </w:hyperlink>
      <w:r w:rsidRPr="003D707F">
        <w:rPr>
          <w:rFonts w:ascii="Times New Roman" w:hAnsi="Times New Roman"/>
          <w:sz w:val="24"/>
          <w:szCs w:val="24"/>
        </w:rPr>
        <w:t xml:space="preserve"> </w:t>
      </w:r>
    </w:p>
    <w:p w14:paraId="7547A7FC" w14:textId="77777777" w:rsidR="003D707F" w:rsidRDefault="003D707F" w:rsidP="00AB0466">
      <w:pPr>
        <w:pStyle w:val="NoSpacing"/>
        <w:rPr>
          <w:rFonts w:ascii="Times New Roman" w:hAnsi="Times New Roman"/>
          <w:sz w:val="24"/>
          <w:szCs w:val="24"/>
        </w:rPr>
      </w:pPr>
    </w:p>
    <w:p w14:paraId="35844308" w14:textId="3A65FA7F" w:rsidR="00AB0466" w:rsidRPr="00AB0466" w:rsidRDefault="00AB0466" w:rsidP="00AB0466">
      <w:pPr>
        <w:pStyle w:val="NoSpacing"/>
        <w:rPr>
          <w:rFonts w:ascii="Times New Roman" w:hAnsi="Times New Roman"/>
          <w:sz w:val="24"/>
          <w:szCs w:val="24"/>
        </w:rPr>
      </w:pPr>
      <w:r w:rsidRPr="00AB0466">
        <w:rPr>
          <w:rFonts w:ascii="Times New Roman" w:hAnsi="Times New Roman"/>
          <w:sz w:val="24"/>
          <w:szCs w:val="24"/>
        </w:rPr>
        <w:t>The Court wrote:</w:t>
      </w:r>
    </w:p>
    <w:p w14:paraId="4B022E4D" w14:textId="77777777" w:rsidR="00B2318F" w:rsidRDefault="00B2318F" w:rsidP="00AB0466">
      <w:pPr>
        <w:ind w:left="720"/>
        <w:rPr>
          <w:rFonts w:ascii="Times New Roman" w:hAnsi="Times New Roman"/>
          <w:sz w:val="24"/>
          <w:szCs w:val="24"/>
        </w:rPr>
      </w:pPr>
    </w:p>
    <w:p w14:paraId="14680168" w14:textId="62244C3A" w:rsidR="00AB0466" w:rsidRDefault="00AB0466" w:rsidP="00AB0466">
      <w:pPr>
        <w:ind w:left="720"/>
        <w:rPr>
          <w:bCs/>
        </w:rPr>
      </w:pPr>
      <w:r w:rsidRPr="00AB0466">
        <w:rPr>
          <w:rFonts w:ascii="Times New Roman" w:hAnsi="Times New Roman"/>
          <w:sz w:val="24"/>
          <w:szCs w:val="24"/>
        </w:rPr>
        <w:t xml:space="preserve">“The </w:t>
      </w:r>
      <w:proofErr w:type="gramStart"/>
      <w:r w:rsidRPr="00AB0466">
        <w:rPr>
          <w:rFonts w:ascii="Times New Roman" w:hAnsi="Times New Roman"/>
          <w:sz w:val="24"/>
          <w:szCs w:val="24"/>
        </w:rPr>
        <w:t>District</w:t>
      </w:r>
      <w:proofErr w:type="gramEnd"/>
      <w:r w:rsidRPr="00AB0466">
        <w:rPr>
          <w:rFonts w:ascii="Times New Roman" w:hAnsi="Times New Roman"/>
          <w:sz w:val="24"/>
          <w:szCs w:val="24"/>
        </w:rPr>
        <w:t xml:space="preserve"> argues that the EEOC charges were too remote in time to show causation, and the actual reason for Corbin's termination was his use of the hidden camera and failure to return all electronic devices. In response, Corbin contends that the evidence gives rise to jury questions. The Court agrees [with Corbin]. [Board Chairman David] Calhoun admitted he said to Corbin in March 2022, ‘You can't do nothing to me’ and ‘[g]o </w:t>
      </w:r>
      <w:proofErr w:type="gramStart"/>
      <w:r w:rsidRPr="00AB0466">
        <w:rPr>
          <w:rFonts w:ascii="Times New Roman" w:hAnsi="Times New Roman"/>
          <w:sz w:val="24"/>
          <w:szCs w:val="24"/>
        </w:rPr>
        <w:t>write</w:t>
      </w:r>
      <w:proofErr w:type="gramEnd"/>
      <w:r w:rsidRPr="00AB0466">
        <w:rPr>
          <w:rFonts w:ascii="Times New Roman" w:hAnsi="Times New Roman"/>
          <w:sz w:val="24"/>
          <w:szCs w:val="24"/>
        </w:rPr>
        <w:t xml:space="preserve"> your letter’ as he thought Corbin ‘was trying to get me ran out of the place.”’  Corbin filed EEOC charges in July and late August 2022, claiming retaliation for reporting alleged ‘conflicts of interest, fiscal irregularities and wasteful spending’ by the Board and other specific retaliatory actions by Calhoun. Calhoun admitted stating that Corbin was going to ‘destroy the department’ because of ‘harassment like the charges.’ Calhoun further admitted that he believed Corbin was going to alert the media about allegations against the Board. Tensions escalated into the fall of 2022 and Corbin recorded Calhoun in his office via video and their arguments via audio. Corbin was suspended that December and terminated the following month. This timeline is not so remote as to remove the question of causation from the province of the jury. Rather, the timeline and conflicting evidence give rise to a genuine material dispute as to whether the Board cited Corbin's recordings and alleged failure to return devices as a pretext to fire a troublesome whistleblower. These are fact questions for a jury to resolve. Accordingly, the Court will deny the </w:t>
      </w:r>
      <w:proofErr w:type="gramStart"/>
      <w:r w:rsidRPr="00AB0466">
        <w:rPr>
          <w:rFonts w:ascii="Times New Roman" w:hAnsi="Times New Roman"/>
          <w:sz w:val="24"/>
          <w:szCs w:val="24"/>
        </w:rPr>
        <w:t>District's</w:t>
      </w:r>
      <w:proofErr w:type="gramEnd"/>
      <w:r w:rsidRPr="00AB0466">
        <w:rPr>
          <w:rFonts w:ascii="Times New Roman" w:hAnsi="Times New Roman"/>
          <w:sz w:val="24"/>
          <w:szCs w:val="24"/>
        </w:rPr>
        <w:t xml:space="preserve"> motion for summary judgment as to Count I.”  </w:t>
      </w:r>
    </w:p>
    <w:p w14:paraId="4A26B82A" w14:textId="77777777" w:rsidR="005F5492" w:rsidRPr="005F5492" w:rsidRDefault="005F5492" w:rsidP="005F5492">
      <w:pPr>
        <w:rPr>
          <w:rFonts w:ascii="Times New Roman" w:hAnsi="Times New Roman"/>
          <w:bCs/>
          <w:sz w:val="24"/>
          <w:szCs w:val="24"/>
        </w:rPr>
      </w:pPr>
      <w:r w:rsidRPr="005F5492">
        <w:rPr>
          <w:rFonts w:ascii="Times New Roman" w:hAnsi="Times New Roman"/>
          <w:sz w:val="24"/>
          <w:szCs w:val="24"/>
        </w:rPr>
        <w:t>HOLDING:</w:t>
      </w:r>
    </w:p>
    <w:p w14:paraId="4A740C4F" w14:textId="77777777" w:rsidR="005F5492" w:rsidRPr="005F5492" w:rsidRDefault="005F5492" w:rsidP="005F5492">
      <w:pPr>
        <w:ind w:left="720"/>
        <w:rPr>
          <w:rFonts w:ascii="Times New Roman" w:hAnsi="Times New Roman"/>
          <w:sz w:val="24"/>
          <w:szCs w:val="24"/>
        </w:rPr>
      </w:pPr>
      <w:r w:rsidRPr="005F5492">
        <w:rPr>
          <w:rFonts w:ascii="Times New Roman" w:hAnsi="Times New Roman"/>
          <w:sz w:val="24"/>
          <w:szCs w:val="24"/>
        </w:rPr>
        <w:t xml:space="preserve">“Here, the record arguably contains direct evidence showing a discriminatory animus behind the Board's decision to suspend and then terminate Corbin's employment. As discussed above, Calhoun admitted in the summer of 2022 that he was concerned that Corbin would alert the press of alleged misconduct by </w:t>
      </w:r>
      <w:r w:rsidRPr="005F5492">
        <w:rPr>
          <w:rFonts w:ascii="Times New Roman" w:hAnsi="Times New Roman"/>
          <w:sz w:val="24"/>
          <w:szCs w:val="24"/>
        </w:rPr>
        <w:lastRenderedPageBreak/>
        <w:t xml:space="preserve">Board members and that he considered Corbin's EEOC charges to be a form of harassment that would destroy the department. Although Corbin was not suspended until some months later, and purportedly for other reasons, a jury could interpret Calhoun's statements as direct evidence of a discriminatory animus that ultimately prompted the Board's action. Alternatively, even accepting that developments in the fall of 2022, specifically Corbin's recordings and alleged failure to return devices, could be viewed to interrupt any direct link between Calhoun's animus and Corbin's termination, the evidence gives rise to genuine factual dispute under the </w:t>
      </w:r>
      <w:r w:rsidRPr="005F5492">
        <w:rPr>
          <w:rFonts w:ascii="Times New Roman" w:hAnsi="Times New Roman"/>
          <w:i/>
          <w:iCs/>
          <w:sz w:val="24"/>
          <w:szCs w:val="24"/>
        </w:rPr>
        <w:t>McDonnell Douglas</w:t>
      </w:r>
      <w:r w:rsidRPr="005F5492">
        <w:rPr>
          <w:rFonts w:ascii="Times New Roman" w:hAnsi="Times New Roman"/>
          <w:sz w:val="24"/>
          <w:szCs w:val="24"/>
        </w:rPr>
        <w:t xml:space="preserve"> burden-shifting framework.”</w:t>
      </w:r>
    </w:p>
    <w:p w14:paraId="6108FF80" w14:textId="77777777" w:rsidR="005F5492" w:rsidRPr="005F5492" w:rsidRDefault="005F5492" w:rsidP="005F5492">
      <w:pPr>
        <w:rPr>
          <w:rFonts w:ascii="Times New Roman" w:hAnsi="Times New Roman"/>
          <w:b/>
          <w:bCs/>
          <w:sz w:val="24"/>
          <w:szCs w:val="24"/>
        </w:rPr>
      </w:pPr>
      <w:r w:rsidRPr="005F5492">
        <w:rPr>
          <w:rFonts w:ascii="Times New Roman" w:hAnsi="Times New Roman"/>
          <w:b/>
          <w:sz w:val="24"/>
          <w:szCs w:val="24"/>
        </w:rPr>
        <w:t xml:space="preserve">Legal Lessons Learned:  </w:t>
      </w:r>
      <w:r w:rsidRPr="005F5492">
        <w:rPr>
          <w:rFonts w:ascii="Times New Roman" w:hAnsi="Times New Roman"/>
          <w:b/>
          <w:bCs/>
          <w:sz w:val="24"/>
          <w:szCs w:val="24"/>
        </w:rPr>
        <w:t>Court found direct evidence of “discriminatory animus” behind the Board’s decision to suspend and then terminate.</w:t>
      </w:r>
      <w:r w:rsidRPr="005F5492">
        <w:rPr>
          <w:rFonts w:ascii="Times New Roman" w:hAnsi="Times New Roman"/>
          <w:b/>
          <w:sz w:val="24"/>
          <w:szCs w:val="24"/>
        </w:rPr>
        <w:t xml:space="preserve">  </w:t>
      </w:r>
    </w:p>
    <w:p w14:paraId="313EB24F" w14:textId="77777777" w:rsidR="005F5492" w:rsidRPr="00081E51" w:rsidRDefault="005F5492" w:rsidP="005F5492">
      <w:pPr>
        <w:ind w:left="720"/>
        <w:rPr>
          <w:bCs/>
        </w:rPr>
      </w:pPr>
    </w:p>
    <w:p w14:paraId="4A6D30C9" w14:textId="77777777" w:rsidR="00B9560C" w:rsidRDefault="00B9560C" w:rsidP="00BC70A3">
      <w:pPr>
        <w:rPr>
          <w:rFonts w:ascii="Arial Black" w:hAnsi="Arial Black"/>
          <w:b/>
          <w:sz w:val="24"/>
          <w:szCs w:val="24"/>
        </w:rPr>
      </w:pPr>
    </w:p>
    <w:p w14:paraId="0F08F7B8" w14:textId="77777777" w:rsidR="00B9560C" w:rsidRDefault="00B9560C" w:rsidP="00BC70A3">
      <w:pPr>
        <w:rPr>
          <w:rFonts w:ascii="Arial Black" w:hAnsi="Arial Black"/>
          <w:b/>
          <w:sz w:val="24"/>
          <w:szCs w:val="24"/>
        </w:rPr>
      </w:pPr>
    </w:p>
    <w:p w14:paraId="7ED97145" w14:textId="56517BD8" w:rsidR="004529D8" w:rsidRDefault="004529D8" w:rsidP="00BC70A3">
      <w:pPr>
        <w:rPr>
          <w:rFonts w:ascii="Arial Black" w:hAnsi="Arial Black"/>
          <w:b/>
          <w:sz w:val="24"/>
          <w:szCs w:val="24"/>
        </w:rPr>
      </w:pPr>
      <w:r>
        <w:rPr>
          <w:rFonts w:ascii="Arial Black" w:hAnsi="Arial Black"/>
          <w:b/>
          <w:sz w:val="24"/>
          <w:szCs w:val="24"/>
        </w:rPr>
        <w:t>8-6</w:t>
      </w:r>
      <w:r w:rsidR="00AE05CE">
        <w:rPr>
          <w:rFonts w:ascii="Arial Black" w:hAnsi="Arial Black"/>
          <w:b/>
          <w:sz w:val="24"/>
          <w:szCs w:val="24"/>
        </w:rPr>
        <w:t>7</w:t>
      </w:r>
    </w:p>
    <w:p w14:paraId="07F41B5A" w14:textId="77777777" w:rsidR="004529D8" w:rsidRPr="00A85574" w:rsidRDefault="004529D8" w:rsidP="004529D8">
      <w:pPr>
        <w:pStyle w:val="NoSpacing"/>
        <w:rPr>
          <w:rFonts w:ascii="Arial Black" w:hAnsi="Arial Black"/>
          <w:b/>
          <w:sz w:val="28"/>
          <w:szCs w:val="28"/>
        </w:rPr>
      </w:pPr>
      <w:r>
        <w:rPr>
          <w:rFonts w:ascii="Arial Black" w:hAnsi="Arial Black"/>
          <w:b/>
          <w:sz w:val="28"/>
          <w:szCs w:val="28"/>
        </w:rPr>
        <w:t xml:space="preserve">IL: BLACK FF – FIRED - NO FED. CASE – RETALIATION CLAIM FOR TALKING TO EEOC – HAD DUE PROCESS STATE COURT </w:t>
      </w:r>
    </w:p>
    <w:p w14:paraId="3AC9F774" w14:textId="77777777" w:rsidR="004529D8" w:rsidRDefault="004529D8" w:rsidP="004529D8">
      <w:pPr>
        <w:pStyle w:val="NoSpacing"/>
        <w:ind w:firstLine="720"/>
        <w:rPr>
          <w:b/>
        </w:rPr>
      </w:pPr>
    </w:p>
    <w:p w14:paraId="7126F9F9" w14:textId="77777777" w:rsidR="004529D8" w:rsidRPr="00D86881" w:rsidRDefault="004529D8" w:rsidP="004529D8">
      <w:pPr>
        <w:pStyle w:val="NoSpacing"/>
        <w:rPr>
          <w:rFonts w:ascii="Times New Roman" w:hAnsi="Times New Roman"/>
          <w:sz w:val="24"/>
          <w:szCs w:val="24"/>
        </w:rPr>
      </w:pPr>
      <w:r w:rsidRPr="00D86881">
        <w:rPr>
          <w:rFonts w:ascii="Times New Roman" w:hAnsi="Times New Roman"/>
          <w:sz w:val="24"/>
          <w:szCs w:val="24"/>
        </w:rPr>
        <w:t xml:space="preserve">On Nov. 18, 2024, in </w:t>
      </w:r>
      <w:proofErr w:type="spellStart"/>
      <w:r w:rsidRPr="00D86881">
        <w:rPr>
          <w:rFonts w:ascii="Times New Roman" w:hAnsi="Times New Roman"/>
          <w:sz w:val="24"/>
          <w:szCs w:val="24"/>
          <w:u w:val="single"/>
        </w:rPr>
        <w:t>Vairrun</w:t>
      </w:r>
      <w:proofErr w:type="spellEnd"/>
      <w:r w:rsidRPr="00D86881">
        <w:rPr>
          <w:rFonts w:ascii="Times New Roman" w:hAnsi="Times New Roman"/>
          <w:sz w:val="24"/>
          <w:szCs w:val="24"/>
          <w:u w:val="single"/>
        </w:rPr>
        <w:t xml:space="preserve"> Strictland v. City of Markham</w:t>
      </w:r>
      <w:r w:rsidRPr="00D86881">
        <w:rPr>
          <w:rFonts w:ascii="Times New Roman" w:hAnsi="Times New Roman"/>
          <w:sz w:val="24"/>
          <w:szCs w:val="24"/>
        </w:rPr>
        <w:t xml:space="preserve">, United States District Court Judge John J. Tharp, Jr., U.S. District Court for Northern District of Illinois, Eastern Division, granted summary judgment to the </w:t>
      </w:r>
      <w:proofErr w:type="gramStart"/>
      <w:r w:rsidRPr="00D86881">
        <w:rPr>
          <w:rFonts w:ascii="Times New Roman" w:hAnsi="Times New Roman"/>
          <w:sz w:val="24"/>
          <w:szCs w:val="24"/>
        </w:rPr>
        <w:t>City</w:t>
      </w:r>
      <w:proofErr w:type="gramEnd"/>
      <w:r w:rsidRPr="00D86881">
        <w:rPr>
          <w:rFonts w:ascii="Times New Roman" w:hAnsi="Times New Roman"/>
          <w:sz w:val="24"/>
          <w:szCs w:val="24"/>
        </w:rPr>
        <w:t>.  The Court wrote: “In October 2021, the circuit court entered an agreed order retaining jurisdiction but remanding the case to the Board; the court instructed the Board, on remand, to enter an amended decision containing additional information ‘as to the</w:t>
      </w:r>
    </w:p>
    <w:p w14:paraId="7F50C7AE" w14:textId="77777777" w:rsidR="004529D8" w:rsidRPr="00D86881" w:rsidRDefault="004529D8" w:rsidP="004529D8">
      <w:pPr>
        <w:pStyle w:val="NoSpacing"/>
        <w:rPr>
          <w:rFonts w:ascii="Times New Roman" w:hAnsi="Times New Roman"/>
          <w:sz w:val="24"/>
          <w:szCs w:val="24"/>
        </w:rPr>
      </w:pPr>
      <w:r w:rsidRPr="00D86881">
        <w:rPr>
          <w:rFonts w:ascii="Times New Roman" w:hAnsi="Times New Roman"/>
          <w:sz w:val="24"/>
          <w:szCs w:val="24"/>
        </w:rPr>
        <w:t>facts, laws, and basis for the [outcome] and discipline issued.’ Agreed Order 1, ECF No. 23-2.</w:t>
      </w:r>
    </w:p>
    <w:p w14:paraId="590952B9" w14:textId="77777777" w:rsidR="004529D8" w:rsidRPr="00D86881" w:rsidRDefault="004529D8" w:rsidP="004529D8">
      <w:pPr>
        <w:pStyle w:val="NoSpacing"/>
        <w:rPr>
          <w:rFonts w:ascii="Times New Roman" w:hAnsi="Times New Roman"/>
          <w:sz w:val="24"/>
          <w:szCs w:val="24"/>
        </w:rPr>
      </w:pPr>
      <w:r w:rsidRPr="00D86881">
        <w:rPr>
          <w:rFonts w:ascii="Times New Roman" w:hAnsi="Times New Roman"/>
          <w:sz w:val="24"/>
          <w:szCs w:val="24"/>
        </w:rPr>
        <w:t>The Board did so in April 2022, again terminating Strickland, and Strickland ‘determined not to</w:t>
      </w:r>
    </w:p>
    <w:p w14:paraId="55B76E6E" w14:textId="77777777" w:rsidR="004529D8" w:rsidRPr="00D86881" w:rsidRDefault="004529D8" w:rsidP="004529D8">
      <w:pPr>
        <w:pStyle w:val="NoSpacing"/>
        <w:rPr>
          <w:rFonts w:ascii="Times New Roman" w:hAnsi="Times New Roman"/>
          <w:sz w:val="24"/>
          <w:szCs w:val="24"/>
        </w:rPr>
      </w:pPr>
      <w:r w:rsidRPr="00D86881">
        <w:rPr>
          <w:rFonts w:ascii="Times New Roman" w:hAnsi="Times New Roman"/>
          <w:sz w:val="24"/>
          <w:szCs w:val="24"/>
        </w:rPr>
        <w:t xml:space="preserve">pursue [further] action’ regarding the amended decision…. Strickland thus had a full and fair opportunity to litigate the claims presented here in state court…. This suit is therefore barred in its entirety by Illinois and federal law.” </w:t>
      </w:r>
      <w:hyperlink r:id="rId1530" w:history="1">
        <w:r w:rsidRPr="00D86881">
          <w:rPr>
            <w:rStyle w:val="Hyperlink"/>
            <w:rFonts w:ascii="Times New Roman" w:hAnsi="Times New Roman"/>
            <w:sz w:val="24"/>
            <w:szCs w:val="24"/>
          </w:rPr>
          <w:t>https://cases.justia.com/federal/district-courts/illinois/ilndce/1:2022cv01419/413396/37/0.pdf?ts=1732013718</w:t>
        </w:r>
      </w:hyperlink>
      <w:r w:rsidRPr="00D86881">
        <w:rPr>
          <w:rFonts w:ascii="Times New Roman" w:hAnsi="Times New Roman"/>
          <w:sz w:val="24"/>
          <w:szCs w:val="24"/>
        </w:rPr>
        <w:t xml:space="preserve"> </w:t>
      </w:r>
    </w:p>
    <w:p w14:paraId="57857CFE" w14:textId="77777777" w:rsidR="00D86881" w:rsidRPr="00D86881" w:rsidRDefault="00D86881" w:rsidP="004529D8">
      <w:pPr>
        <w:pStyle w:val="NoSpacing"/>
        <w:rPr>
          <w:rFonts w:ascii="Times New Roman" w:hAnsi="Times New Roman"/>
          <w:sz w:val="24"/>
          <w:szCs w:val="24"/>
        </w:rPr>
      </w:pPr>
    </w:p>
    <w:p w14:paraId="4658AA7A" w14:textId="77777777" w:rsidR="00D86881" w:rsidRPr="00D86881" w:rsidRDefault="00D86881" w:rsidP="00D86881">
      <w:pPr>
        <w:pStyle w:val="NoSpacing"/>
        <w:rPr>
          <w:rFonts w:ascii="Times New Roman" w:hAnsi="Times New Roman"/>
          <w:b/>
          <w:bCs/>
          <w:sz w:val="24"/>
          <w:szCs w:val="24"/>
        </w:rPr>
      </w:pPr>
      <w:r w:rsidRPr="00D86881">
        <w:rPr>
          <w:rFonts w:ascii="Times New Roman" w:hAnsi="Times New Roman"/>
          <w:b/>
          <w:sz w:val="24"/>
          <w:szCs w:val="24"/>
        </w:rPr>
        <w:t xml:space="preserve">Legal Lesson Learned:  If you are claiming retaliation, and appealing the Board’s termination to a state court, then do not voluntarily </w:t>
      </w:r>
      <w:proofErr w:type="gramStart"/>
      <w:r w:rsidRPr="00D86881">
        <w:rPr>
          <w:rFonts w:ascii="Times New Roman" w:hAnsi="Times New Roman"/>
          <w:b/>
          <w:sz w:val="24"/>
          <w:szCs w:val="24"/>
        </w:rPr>
        <w:t>dismissed</w:t>
      </w:r>
      <w:proofErr w:type="gramEnd"/>
      <w:r w:rsidRPr="00D86881">
        <w:rPr>
          <w:rFonts w:ascii="Times New Roman" w:hAnsi="Times New Roman"/>
          <w:b/>
          <w:sz w:val="24"/>
          <w:szCs w:val="24"/>
        </w:rPr>
        <w:t xml:space="preserve"> the state court case. </w:t>
      </w:r>
    </w:p>
    <w:p w14:paraId="5290D506" w14:textId="77777777" w:rsidR="00D86881" w:rsidRPr="00D86881" w:rsidRDefault="00D86881" w:rsidP="00D86881">
      <w:pPr>
        <w:pStyle w:val="NoSpacing"/>
        <w:rPr>
          <w:rFonts w:ascii="Times New Roman" w:hAnsi="Times New Roman"/>
          <w:sz w:val="24"/>
          <w:szCs w:val="24"/>
        </w:rPr>
      </w:pPr>
    </w:p>
    <w:p w14:paraId="194924B1" w14:textId="77777777" w:rsidR="00D86881" w:rsidRPr="00D86881" w:rsidRDefault="00D86881" w:rsidP="00D86881">
      <w:pPr>
        <w:pStyle w:val="NoSpacing"/>
        <w:ind w:left="720"/>
        <w:rPr>
          <w:rFonts w:ascii="Times New Roman" w:hAnsi="Times New Roman"/>
          <w:b/>
          <w:sz w:val="24"/>
          <w:szCs w:val="24"/>
        </w:rPr>
      </w:pPr>
      <w:r w:rsidRPr="00D86881">
        <w:rPr>
          <w:rFonts w:ascii="Times New Roman" w:hAnsi="Times New Roman"/>
          <w:sz w:val="24"/>
          <w:szCs w:val="24"/>
        </w:rPr>
        <w:t xml:space="preserve">Note: See article on this case, Nov. 19, 2024; </w:t>
      </w:r>
      <w:r w:rsidRPr="00D86881">
        <w:rPr>
          <w:rFonts w:ascii="Times New Roman" w:hAnsi="Times New Roman"/>
          <w:bCs/>
          <w:sz w:val="24"/>
          <w:szCs w:val="24"/>
        </w:rPr>
        <w:t xml:space="preserve">“Black Ex-Firefighter Barred </w:t>
      </w:r>
      <w:proofErr w:type="gramStart"/>
      <w:r w:rsidRPr="00D86881">
        <w:rPr>
          <w:rFonts w:ascii="Times New Roman" w:hAnsi="Times New Roman"/>
          <w:bCs/>
          <w:sz w:val="24"/>
          <w:szCs w:val="24"/>
        </w:rPr>
        <w:t>From</w:t>
      </w:r>
      <w:proofErr w:type="gramEnd"/>
      <w:r w:rsidRPr="00D86881">
        <w:rPr>
          <w:rFonts w:ascii="Times New Roman" w:hAnsi="Times New Roman"/>
          <w:bCs/>
          <w:sz w:val="24"/>
          <w:szCs w:val="24"/>
        </w:rPr>
        <w:t xml:space="preserve"> Bringing Racial Bias Lawsuit.” “</w:t>
      </w:r>
      <w:r w:rsidRPr="00D86881">
        <w:rPr>
          <w:rFonts w:ascii="Times New Roman" w:hAnsi="Times New Roman"/>
          <w:sz w:val="24"/>
          <w:szCs w:val="24"/>
        </w:rPr>
        <w:t>A Black firefighter fired from an Illinois city is legally barred from pursuing a federal discrimination and retaliation suit because had had already brought these claims in state court, a judge ruled.”</w:t>
      </w:r>
    </w:p>
    <w:p w14:paraId="26116827" w14:textId="77777777" w:rsidR="00D86881" w:rsidRPr="00E71CE2" w:rsidRDefault="00D86881" w:rsidP="00D86881">
      <w:pPr>
        <w:pStyle w:val="NoSpacing"/>
        <w:ind w:left="720"/>
        <w:rPr>
          <w:bCs/>
        </w:rPr>
      </w:pPr>
      <w:hyperlink r:id="rId1531" w:history="1">
        <w:r w:rsidRPr="00D86881">
          <w:rPr>
            <w:rStyle w:val="Hyperlink"/>
            <w:rFonts w:ascii="Times New Roman" w:hAnsi="Times New Roman"/>
            <w:sz w:val="24"/>
            <w:szCs w:val="24"/>
          </w:rPr>
          <w:t>https://news.bloomberglaw.com/us-law-week/black-ex-firefighter-barred-from-bringing-racial-bias-lawsuit</w:t>
        </w:r>
      </w:hyperlink>
      <w:r>
        <w:t xml:space="preserve"> </w:t>
      </w:r>
    </w:p>
    <w:p w14:paraId="54B1DC2E" w14:textId="77777777" w:rsidR="00D86881" w:rsidRDefault="00D86881" w:rsidP="004529D8">
      <w:pPr>
        <w:pStyle w:val="NoSpacing"/>
      </w:pPr>
    </w:p>
    <w:p w14:paraId="691C9103" w14:textId="77777777" w:rsidR="004529D8" w:rsidRDefault="004529D8" w:rsidP="00BC70A3">
      <w:pPr>
        <w:rPr>
          <w:rFonts w:ascii="Arial Black" w:hAnsi="Arial Black"/>
          <w:b/>
          <w:sz w:val="24"/>
          <w:szCs w:val="24"/>
        </w:rPr>
      </w:pPr>
    </w:p>
    <w:p w14:paraId="611BEE99" w14:textId="6E4DC8F6" w:rsidR="00D86881" w:rsidRDefault="00D86881" w:rsidP="00D86881">
      <w:pPr>
        <w:rPr>
          <w:rFonts w:ascii="Arial Black" w:hAnsi="Arial Black"/>
          <w:b/>
          <w:sz w:val="24"/>
          <w:szCs w:val="24"/>
        </w:rPr>
      </w:pPr>
      <w:r>
        <w:rPr>
          <w:rFonts w:ascii="Arial Black" w:hAnsi="Arial Black"/>
          <w:b/>
          <w:sz w:val="24"/>
          <w:szCs w:val="24"/>
        </w:rPr>
        <w:t>8-6</w:t>
      </w:r>
      <w:r w:rsidR="00AE05CE">
        <w:rPr>
          <w:rFonts w:ascii="Arial Black" w:hAnsi="Arial Black"/>
          <w:b/>
          <w:sz w:val="24"/>
          <w:szCs w:val="24"/>
        </w:rPr>
        <w:t>6</w:t>
      </w:r>
    </w:p>
    <w:p w14:paraId="0C0D370C" w14:textId="77777777" w:rsidR="009525F2" w:rsidRPr="00EC35DF" w:rsidRDefault="009525F2" w:rsidP="009525F2">
      <w:pPr>
        <w:rPr>
          <w:rFonts w:ascii="Times New Roman" w:hAnsi="Times New Roman"/>
          <w:b/>
          <w:sz w:val="24"/>
          <w:szCs w:val="24"/>
        </w:rPr>
      </w:pPr>
      <w:r>
        <w:rPr>
          <w:rFonts w:ascii="Arial Black" w:hAnsi="Arial Black"/>
          <w:b/>
          <w:sz w:val="28"/>
          <w:szCs w:val="28"/>
        </w:rPr>
        <w:lastRenderedPageBreak/>
        <w:t xml:space="preserve">WA: NOOSE OVER BLACK FF NECK –  FELLOW RECRUIT - NO HOSTILE </w:t>
      </w:r>
      <w:r w:rsidRPr="00EC35DF">
        <w:rPr>
          <w:rFonts w:ascii="Times New Roman" w:hAnsi="Times New Roman"/>
          <w:b/>
          <w:sz w:val="24"/>
          <w:szCs w:val="24"/>
        </w:rPr>
        <w:t>WORK ENVIRONMENT OR FAILURE TO SUPERVISE</w:t>
      </w:r>
    </w:p>
    <w:p w14:paraId="72057F1A" w14:textId="77777777" w:rsidR="009525F2" w:rsidRPr="00EC35DF" w:rsidRDefault="009525F2" w:rsidP="009525F2">
      <w:pPr>
        <w:pStyle w:val="NoSpacing"/>
        <w:rPr>
          <w:rFonts w:ascii="Times New Roman" w:hAnsi="Times New Roman"/>
          <w:sz w:val="24"/>
          <w:szCs w:val="24"/>
        </w:rPr>
      </w:pPr>
      <w:r w:rsidRPr="00EC35DF">
        <w:rPr>
          <w:rFonts w:ascii="Times New Roman" w:hAnsi="Times New Roman"/>
          <w:sz w:val="24"/>
          <w:szCs w:val="24"/>
        </w:rPr>
        <w:t xml:space="preserve">On Nov. 4, 2024, in </w:t>
      </w:r>
      <w:r w:rsidRPr="00EC35DF">
        <w:rPr>
          <w:rFonts w:ascii="Times New Roman" w:hAnsi="Times New Roman"/>
          <w:sz w:val="24"/>
          <w:szCs w:val="24"/>
          <w:u w:val="single"/>
        </w:rPr>
        <w:t>Elijah Page v. Clark County Fire District 6, et al</w:t>
      </w:r>
      <w:r w:rsidRPr="00EC35DF">
        <w:rPr>
          <w:rFonts w:ascii="Times New Roman" w:hAnsi="Times New Roman"/>
          <w:sz w:val="24"/>
          <w:szCs w:val="24"/>
        </w:rPr>
        <w:t xml:space="preserve">., United States District Court Judge David G. Estudillo. U.S. District Court, Western District of Washington, granted summary judgment to the Fire Chief and others. The Court wrote: “The Court cannot objectively conclude Page's work environment could be perceived as abusive because of Erickson's onetime misconduct.  Page's hostile work environment claim fails as a matter of law. *** And the examples of horseplay provided by the various witnesses did not resemble Erickson's conduct toward Page. Accordingly, Page's negligent supervision claim fails as a matter of law.” </w:t>
      </w:r>
      <w:hyperlink r:id="rId1532" w:history="1">
        <w:r w:rsidRPr="00EC35DF">
          <w:rPr>
            <w:rStyle w:val="Hyperlink"/>
            <w:rFonts w:ascii="Times New Roman" w:hAnsi="Times New Roman"/>
            <w:sz w:val="24"/>
            <w:szCs w:val="24"/>
          </w:rPr>
          <w:t>https://casetext.com/case/page-v-clark-cnty-fire-dist-5</w:t>
        </w:r>
      </w:hyperlink>
    </w:p>
    <w:p w14:paraId="2E0AF572" w14:textId="77777777" w:rsidR="00EC35DF" w:rsidRPr="00EC35DF" w:rsidRDefault="00EC35DF" w:rsidP="00EC35DF">
      <w:pPr>
        <w:pStyle w:val="NoSpacing"/>
        <w:rPr>
          <w:rFonts w:ascii="Times New Roman" w:hAnsi="Times New Roman"/>
          <w:b/>
          <w:sz w:val="24"/>
          <w:szCs w:val="24"/>
        </w:rPr>
      </w:pPr>
    </w:p>
    <w:p w14:paraId="19D0F430" w14:textId="1D5A58BC" w:rsidR="00EC35DF" w:rsidRPr="00EC35DF" w:rsidRDefault="00EC35DF" w:rsidP="00EC35DF">
      <w:pPr>
        <w:pStyle w:val="NoSpacing"/>
        <w:rPr>
          <w:rFonts w:ascii="Times New Roman" w:hAnsi="Times New Roman"/>
          <w:b/>
          <w:bCs/>
          <w:sz w:val="24"/>
          <w:szCs w:val="24"/>
        </w:rPr>
      </w:pPr>
      <w:r w:rsidRPr="00EC35DF">
        <w:rPr>
          <w:rFonts w:ascii="Times New Roman" w:hAnsi="Times New Roman"/>
          <w:b/>
          <w:sz w:val="24"/>
          <w:szCs w:val="24"/>
        </w:rPr>
        <w:t>Legal Lesson Learned: Stupid act</w:t>
      </w:r>
      <w:r w:rsidRPr="00EC35DF">
        <w:rPr>
          <w:rFonts w:ascii="Times New Roman" w:hAnsi="Times New Roman"/>
          <w:b/>
          <w:bCs/>
          <w:sz w:val="24"/>
          <w:szCs w:val="24"/>
        </w:rPr>
        <w:t xml:space="preserve"> by a fellow recruit</w:t>
      </w:r>
      <w:r w:rsidRPr="00EC35DF">
        <w:rPr>
          <w:rFonts w:ascii="Times New Roman" w:hAnsi="Times New Roman"/>
          <w:b/>
          <w:sz w:val="24"/>
          <w:szCs w:val="24"/>
        </w:rPr>
        <w:t xml:space="preserve">; not basis for lawsuit against the fire department or its officers. </w:t>
      </w:r>
    </w:p>
    <w:p w14:paraId="00349DF9" w14:textId="77777777" w:rsidR="00EC35DF" w:rsidRPr="00EC35DF" w:rsidRDefault="00EC35DF" w:rsidP="00EC35DF">
      <w:pPr>
        <w:pStyle w:val="NoSpacing"/>
        <w:rPr>
          <w:rFonts w:ascii="Times New Roman" w:hAnsi="Times New Roman"/>
          <w:sz w:val="24"/>
          <w:szCs w:val="24"/>
        </w:rPr>
      </w:pPr>
    </w:p>
    <w:p w14:paraId="44C28054" w14:textId="77777777" w:rsidR="00AE05CE" w:rsidRDefault="00AE05CE" w:rsidP="00AE05CE">
      <w:pPr>
        <w:rPr>
          <w:rFonts w:ascii="Arial Black" w:hAnsi="Arial Black"/>
          <w:b/>
          <w:sz w:val="24"/>
          <w:szCs w:val="24"/>
        </w:rPr>
      </w:pPr>
      <w:r>
        <w:rPr>
          <w:rFonts w:ascii="Arial Black" w:hAnsi="Arial Black"/>
          <w:b/>
          <w:sz w:val="24"/>
          <w:szCs w:val="24"/>
        </w:rPr>
        <w:t>8-65</w:t>
      </w:r>
    </w:p>
    <w:p w14:paraId="036842BE" w14:textId="2003BC0D" w:rsidR="00AE05CE" w:rsidRPr="00B93F18" w:rsidRDefault="00AE05CE" w:rsidP="00AE05CE">
      <w:pPr>
        <w:pStyle w:val="NoSpacing"/>
        <w:rPr>
          <w:rFonts w:ascii="Arial Black" w:hAnsi="Arial Black"/>
          <w:b/>
          <w:sz w:val="28"/>
          <w:szCs w:val="28"/>
        </w:rPr>
      </w:pPr>
      <w:r>
        <w:rPr>
          <w:rFonts w:ascii="Arial Black" w:hAnsi="Arial Black"/>
          <w:b/>
          <w:sz w:val="28"/>
          <w:szCs w:val="28"/>
        </w:rPr>
        <w:t xml:space="preserve">NJ: COVID-19 TRAINING – DEPUTY CHIEF MOCKED FF - ASIAN– PROMTLY INVESTIGATED - DC RETIRED - NO CASE </w:t>
      </w:r>
    </w:p>
    <w:p w14:paraId="51D533FC" w14:textId="77777777" w:rsidR="00AE05CE" w:rsidRDefault="00AE05CE" w:rsidP="00AE05CE">
      <w:pPr>
        <w:pStyle w:val="NoSpacing"/>
        <w:ind w:firstLine="720"/>
        <w:rPr>
          <w:b/>
        </w:rPr>
      </w:pPr>
    </w:p>
    <w:p w14:paraId="57217994" w14:textId="7B3836E4" w:rsidR="004529D8" w:rsidRPr="005F76D4" w:rsidRDefault="00AE05CE" w:rsidP="00AE05CE">
      <w:pPr>
        <w:rPr>
          <w:rFonts w:ascii="Times New Roman" w:hAnsi="Times New Roman"/>
          <w:b/>
          <w:sz w:val="24"/>
          <w:szCs w:val="24"/>
        </w:rPr>
      </w:pPr>
      <w:r w:rsidRPr="005F76D4">
        <w:rPr>
          <w:rFonts w:ascii="Times New Roman" w:hAnsi="Times New Roman"/>
          <w:sz w:val="24"/>
          <w:szCs w:val="24"/>
        </w:rPr>
        <w:t xml:space="preserve">On Nov. 1, 2024, in </w:t>
      </w:r>
      <w:r w:rsidRPr="005F76D4">
        <w:rPr>
          <w:rFonts w:ascii="Times New Roman" w:hAnsi="Times New Roman"/>
          <w:sz w:val="24"/>
          <w:szCs w:val="24"/>
          <w:u w:val="single"/>
        </w:rPr>
        <w:t>Timothy Burkhard v. City of Plainfield, et al</w:t>
      </w:r>
      <w:r w:rsidRPr="005F76D4">
        <w:rPr>
          <w:rFonts w:ascii="Times New Roman" w:hAnsi="Times New Roman"/>
          <w:sz w:val="24"/>
          <w:szCs w:val="24"/>
        </w:rPr>
        <w:t>., Superior Court of New Jersey, Appellate Division, the Court held (3 to 0; unpublished decision) that the trial court properly granted summary judgment to the defense.  The Court wrote: “Importantly, the record clearly shows plaintiff was not subjected to discrimination before or after the COVID-19 training incident.  [P]</w:t>
      </w:r>
      <w:proofErr w:type="spellStart"/>
      <w:r w:rsidRPr="005F76D4">
        <w:rPr>
          <w:rFonts w:ascii="Times New Roman" w:hAnsi="Times New Roman"/>
          <w:sz w:val="24"/>
          <w:szCs w:val="24"/>
        </w:rPr>
        <w:t>laintiff</w:t>
      </w:r>
      <w:proofErr w:type="spellEnd"/>
      <w:r w:rsidRPr="005F76D4">
        <w:rPr>
          <w:rFonts w:ascii="Times New Roman" w:hAnsi="Times New Roman"/>
          <w:sz w:val="24"/>
          <w:szCs w:val="24"/>
        </w:rPr>
        <w:t xml:space="preserve"> did not suffer any tangible change in his position, duties, or compensation. Indeed, the record shows the fire department supported him. In these circumstances, we do not believe that the failure to deliver the written reprimand renders defendant's overall response ineffective for purposes of the affirmative defense.”  </w:t>
      </w:r>
      <w:hyperlink r:id="rId1533" w:history="1">
        <w:r w:rsidRPr="005F76D4">
          <w:rPr>
            <w:rStyle w:val="Hyperlink"/>
            <w:rFonts w:ascii="Times New Roman" w:hAnsi="Times New Roman"/>
            <w:sz w:val="24"/>
            <w:szCs w:val="24"/>
          </w:rPr>
          <w:t>https://www.njcourts.gov/system/files/court-opinions/2024/a3173-22.pdf</w:t>
        </w:r>
      </w:hyperlink>
    </w:p>
    <w:p w14:paraId="5940EA97" w14:textId="077F5B18" w:rsidR="005F76D4" w:rsidRPr="005F76D4" w:rsidRDefault="005F76D4" w:rsidP="005F76D4">
      <w:pPr>
        <w:pStyle w:val="NoSpacing"/>
        <w:rPr>
          <w:rFonts w:ascii="Times New Roman" w:hAnsi="Times New Roman"/>
          <w:b/>
          <w:sz w:val="24"/>
          <w:szCs w:val="24"/>
        </w:rPr>
      </w:pPr>
      <w:r w:rsidRPr="005F76D4">
        <w:rPr>
          <w:rFonts w:ascii="Times New Roman" w:hAnsi="Times New Roman"/>
          <w:b/>
          <w:sz w:val="24"/>
          <w:szCs w:val="24"/>
        </w:rPr>
        <w:t xml:space="preserve">Legal Lesson Learned: The incident was promptly investigated, and </w:t>
      </w:r>
      <w:r w:rsidR="009652EC">
        <w:rPr>
          <w:rFonts w:ascii="Times New Roman" w:hAnsi="Times New Roman"/>
          <w:b/>
          <w:sz w:val="24"/>
          <w:szCs w:val="24"/>
        </w:rPr>
        <w:t xml:space="preserve">the </w:t>
      </w:r>
      <w:r w:rsidRPr="005F76D4">
        <w:rPr>
          <w:rFonts w:ascii="Times New Roman" w:hAnsi="Times New Roman"/>
          <w:b/>
          <w:sz w:val="24"/>
          <w:szCs w:val="24"/>
        </w:rPr>
        <w:t>plaintiff did not suffer any tangible change in his position, duties, or compensation.</w:t>
      </w:r>
    </w:p>
    <w:p w14:paraId="2A747E45" w14:textId="77777777" w:rsidR="005F76D4" w:rsidRDefault="005F76D4" w:rsidP="005F76D4">
      <w:pPr>
        <w:pStyle w:val="NoSpacing"/>
        <w:ind w:firstLine="720"/>
        <w:rPr>
          <w:bCs/>
        </w:rPr>
      </w:pPr>
    </w:p>
    <w:p w14:paraId="10341B9B" w14:textId="77777777" w:rsidR="004529D8" w:rsidRDefault="004529D8" w:rsidP="00BC70A3">
      <w:pPr>
        <w:rPr>
          <w:rFonts w:ascii="Arial Black" w:hAnsi="Arial Black"/>
          <w:b/>
          <w:sz w:val="24"/>
          <w:szCs w:val="24"/>
        </w:rPr>
      </w:pPr>
    </w:p>
    <w:p w14:paraId="0E57D29B" w14:textId="3A41FA82" w:rsidR="00742F52" w:rsidRDefault="00742F52" w:rsidP="00BC70A3">
      <w:pPr>
        <w:rPr>
          <w:rFonts w:ascii="Arial Black" w:hAnsi="Arial Black"/>
          <w:b/>
          <w:sz w:val="24"/>
          <w:szCs w:val="24"/>
        </w:rPr>
      </w:pPr>
      <w:r>
        <w:rPr>
          <w:rFonts w:ascii="Arial Black" w:hAnsi="Arial Black"/>
          <w:b/>
          <w:sz w:val="24"/>
          <w:szCs w:val="24"/>
        </w:rPr>
        <w:t>8-64</w:t>
      </w:r>
    </w:p>
    <w:p w14:paraId="032C9F82" w14:textId="77777777" w:rsidR="00742F52" w:rsidRPr="00E33095" w:rsidRDefault="00742F52" w:rsidP="00742F52">
      <w:pPr>
        <w:rPr>
          <w:rFonts w:ascii="Times New Roman" w:hAnsi="Times New Roman"/>
          <w:b/>
          <w:bCs/>
          <w:sz w:val="24"/>
          <w:szCs w:val="24"/>
        </w:rPr>
      </w:pPr>
      <w:r w:rsidRPr="00E33095">
        <w:rPr>
          <w:rFonts w:ascii="Times New Roman" w:hAnsi="Times New Roman"/>
          <w:b/>
          <w:bCs/>
          <w:sz w:val="24"/>
          <w:szCs w:val="24"/>
        </w:rPr>
        <w:t>IL: CHICAFO FF – FACEBOOK POSTS RACIST – CITIZEN COMPLAINTS - TERMINATION UPHELD</w:t>
      </w:r>
    </w:p>
    <w:p w14:paraId="61EFEA82" w14:textId="77777777" w:rsidR="00742F52" w:rsidRPr="00E33095" w:rsidRDefault="00742F52" w:rsidP="00742F52">
      <w:pPr>
        <w:pStyle w:val="NoSpacing"/>
        <w:rPr>
          <w:rFonts w:ascii="Times New Roman" w:hAnsi="Times New Roman"/>
          <w:sz w:val="24"/>
          <w:szCs w:val="24"/>
        </w:rPr>
      </w:pPr>
      <w:r w:rsidRPr="00E33095">
        <w:rPr>
          <w:rFonts w:ascii="Times New Roman" w:hAnsi="Times New Roman"/>
          <w:sz w:val="24"/>
          <w:szCs w:val="24"/>
        </w:rPr>
        <w:t xml:space="preserve">On Oct. 7, 2024, </w:t>
      </w:r>
      <w:r w:rsidRPr="00E33095">
        <w:rPr>
          <w:rFonts w:ascii="Times New Roman" w:hAnsi="Times New Roman"/>
          <w:sz w:val="24"/>
          <w:szCs w:val="24"/>
          <w:u w:val="single"/>
        </w:rPr>
        <w:t>in Sam Inendino v. Annette Nancy-Holt, Brian Casey, and the City of Chicago</w:t>
      </w:r>
      <w:r w:rsidRPr="00E33095">
        <w:rPr>
          <w:rFonts w:ascii="Times New Roman" w:hAnsi="Times New Roman"/>
          <w:sz w:val="24"/>
          <w:szCs w:val="24"/>
        </w:rPr>
        <w:t xml:space="preserve">, U.S. District Court Judge Matthew F. Kennelly, U.S. District Court for the Northern District of Illinois, held: “Sam Inendino alleges that Annette Nance-Holt, Brian Casey, and the </w:t>
      </w:r>
      <w:proofErr w:type="gramStart"/>
      <w:r w:rsidRPr="00E33095">
        <w:rPr>
          <w:rFonts w:ascii="Times New Roman" w:hAnsi="Times New Roman"/>
          <w:sz w:val="24"/>
          <w:szCs w:val="24"/>
        </w:rPr>
        <w:t>City</w:t>
      </w:r>
      <w:proofErr w:type="gramEnd"/>
      <w:r w:rsidRPr="00E33095">
        <w:rPr>
          <w:rFonts w:ascii="Times New Roman" w:hAnsi="Times New Roman"/>
          <w:sz w:val="24"/>
          <w:szCs w:val="24"/>
        </w:rPr>
        <w:t xml:space="preserve"> of</w:t>
      </w:r>
    </w:p>
    <w:p w14:paraId="4C04647B" w14:textId="77777777" w:rsidR="00742F52" w:rsidRPr="00E33095" w:rsidRDefault="00742F52" w:rsidP="00742F52">
      <w:pPr>
        <w:pStyle w:val="NoSpacing"/>
        <w:rPr>
          <w:rFonts w:ascii="Times New Roman" w:hAnsi="Times New Roman"/>
          <w:sz w:val="24"/>
          <w:szCs w:val="24"/>
        </w:rPr>
      </w:pPr>
      <w:r w:rsidRPr="00E33095">
        <w:rPr>
          <w:rFonts w:ascii="Times New Roman" w:hAnsi="Times New Roman"/>
          <w:sz w:val="24"/>
          <w:szCs w:val="24"/>
        </w:rPr>
        <w:t>Chicago violated his First Amendment rights when he was terminated from the Chicago</w:t>
      </w:r>
    </w:p>
    <w:p w14:paraId="5F8F98B3" w14:textId="77777777" w:rsidR="00742F52" w:rsidRPr="00E33095" w:rsidRDefault="00742F52" w:rsidP="00742F52">
      <w:pPr>
        <w:pStyle w:val="NoSpacing"/>
        <w:rPr>
          <w:rFonts w:ascii="Times New Roman" w:hAnsi="Times New Roman"/>
          <w:sz w:val="24"/>
          <w:szCs w:val="24"/>
        </w:rPr>
      </w:pPr>
      <w:r w:rsidRPr="00E33095">
        <w:rPr>
          <w:rFonts w:ascii="Times New Roman" w:hAnsi="Times New Roman"/>
          <w:sz w:val="24"/>
          <w:szCs w:val="24"/>
        </w:rPr>
        <w:t xml:space="preserve">Fire Department (CFD) for offensive public statements he made on Facebook. The parties have filed cross-motions for summary judgment. For the following reasons, the Court grants summary judgment in favor of defendants Nance-Holt, Casey, and the City of Chicago.” </w:t>
      </w:r>
    </w:p>
    <w:p w14:paraId="22E1F8F3" w14:textId="77777777" w:rsidR="00742F52" w:rsidRPr="00E33095" w:rsidRDefault="00742F52" w:rsidP="00742F52">
      <w:pPr>
        <w:pStyle w:val="NoSpacing"/>
        <w:rPr>
          <w:rFonts w:ascii="Times New Roman" w:hAnsi="Times New Roman"/>
          <w:sz w:val="24"/>
          <w:szCs w:val="24"/>
        </w:rPr>
      </w:pPr>
      <w:hyperlink r:id="rId1534" w:history="1">
        <w:r w:rsidRPr="00E33095">
          <w:rPr>
            <w:rStyle w:val="Hyperlink"/>
            <w:rFonts w:ascii="Times New Roman" w:hAnsi="Times New Roman"/>
            <w:sz w:val="24"/>
            <w:szCs w:val="24"/>
          </w:rPr>
          <w:t>https://cases.justia.com/federal/district-courts/illinois/ilndce/1:2022cv04982/419212/136/0.pdf?ts=1728381206</w:t>
        </w:r>
      </w:hyperlink>
      <w:r w:rsidRPr="00E33095">
        <w:rPr>
          <w:rFonts w:ascii="Times New Roman" w:hAnsi="Times New Roman"/>
          <w:sz w:val="24"/>
          <w:szCs w:val="24"/>
        </w:rPr>
        <w:t xml:space="preserve"> </w:t>
      </w:r>
    </w:p>
    <w:p w14:paraId="359729D5" w14:textId="77777777" w:rsidR="00742F52" w:rsidRPr="00E33095" w:rsidRDefault="00742F52" w:rsidP="00BC70A3">
      <w:pPr>
        <w:rPr>
          <w:rFonts w:ascii="Times New Roman" w:hAnsi="Times New Roman"/>
          <w:b/>
          <w:sz w:val="24"/>
          <w:szCs w:val="24"/>
        </w:rPr>
      </w:pPr>
    </w:p>
    <w:p w14:paraId="526D0989" w14:textId="77777777" w:rsidR="00E33095" w:rsidRPr="00E33095" w:rsidRDefault="00E33095" w:rsidP="00E33095">
      <w:pPr>
        <w:pStyle w:val="NoSpacing"/>
        <w:rPr>
          <w:rFonts w:ascii="Times New Roman" w:hAnsi="Times New Roman"/>
          <w:b/>
          <w:bCs/>
          <w:sz w:val="24"/>
          <w:szCs w:val="24"/>
        </w:rPr>
      </w:pPr>
      <w:r w:rsidRPr="00E33095">
        <w:rPr>
          <w:rFonts w:ascii="Times New Roman" w:hAnsi="Times New Roman"/>
          <w:b/>
          <w:sz w:val="24"/>
          <w:szCs w:val="24"/>
        </w:rPr>
        <w:lastRenderedPageBreak/>
        <w:t xml:space="preserve">Legal Lesson Learned: Race-based comments on Facebook or other social media can result in termination. </w:t>
      </w:r>
    </w:p>
    <w:p w14:paraId="61CEB7C6" w14:textId="77777777" w:rsidR="00E33095" w:rsidRPr="00E33095" w:rsidRDefault="00E33095" w:rsidP="00BC70A3">
      <w:pPr>
        <w:rPr>
          <w:rFonts w:ascii="Times New Roman" w:hAnsi="Times New Roman"/>
          <w:b/>
          <w:sz w:val="24"/>
          <w:szCs w:val="24"/>
        </w:rPr>
      </w:pPr>
    </w:p>
    <w:p w14:paraId="1419038C" w14:textId="77777777" w:rsidR="00742F52" w:rsidRDefault="00742F52" w:rsidP="00BC70A3">
      <w:pPr>
        <w:rPr>
          <w:rFonts w:ascii="Arial Black" w:hAnsi="Arial Black"/>
          <w:b/>
          <w:sz w:val="24"/>
          <w:szCs w:val="24"/>
        </w:rPr>
      </w:pPr>
    </w:p>
    <w:p w14:paraId="2BEFB9D0" w14:textId="5A373C81" w:rsidR="005904B5" w:rsidRDefault="005904B5" w:rsidP="00BC70A3">
      <w:pPr>
        <w:rPr>
          <w:rFonts w:ascii="Arial Black" w:hAnsi="Arial Black"/>
          <w:b/>
          <w:sz w:val="24"/>
          <w:szCs w:val="24"/>
        </w:rPr>
      </w:pPr>
      <w:r>
        <w:rPr>
          <w:rFonts w:ascii="Arial Black" w:hAnsi="Arial Black"/>
          <w:b/>
          <w:sz w:val="24"/>
          <w:szCs w:val="24"/>
        </w:rPr>
        <w:t>8-63</w:t>
      </w:r>
    </w:p>
    <w:p w14:paraId="76867384" w14:textId="77777777" w:rsidR="005E497B" w:rsidRDefault="005E497B" w:rsidP="005E497B">
      <w:pPr>
        <w:rPr>
          <w:rFonts w:ascii="Arial Black" w:hAnsi="Arial Black"/>
          <w:b/>
          <w:bCs/>
          <w:sz w:val="28"/>
        </w:rPr>
      </w:pPr>
      <w:r>
        <w:rPr>
          <w:rFonts w:ascii="Arial Black" w:hAnsi="Arial Black"/>
          <w:b/>
          <w:bCs/>
          <w:sz w:val="28"/>
        </w:rPr>
        <w:t>NY:  FDNY - CLASS ACTION APPROVED IN LAWSUIT BY 4,500 – 5,000 EMS -  55% NON-WHITE, 24% FEMALE</w:t>
      </w:r>
    </w:p>
    <w:p w14:paraId="1F0A741C" w14:textId="77777777" w:rsidR="005E497B" w:rsidRPr="005E497B" w:rsidRDefault="005E497B" w:rsidP="005E497B">
      <w:pPr>
        <w:pStyle w:val="NoSpacing"/>
        <w:rPr>
          <w:rFonts w:ascii="Times New Roman" w:hAnsi="Times New Roman"/>
          <w:sz w:val="24"/>
          <w:szCs w:val="24"/>
        </w:rPr>
      </w:pPr>
      <w:r w:rsidRPr="005E497B">
        <w:rPr>
          <w:rFonts w:ascii="Times New Roman" w:hAnsi="Times New Roman"/>
          <w:sz w:val="24"/>
          <w:szCs w:val="24"/>
        </w:rPr>
        <w:t xml:space="preserve">On September 24, 2024, in </w:t>
      </w:r>
      <w:r w:rsidRPr="005E497B">
        <w:rPr>
          <w:rFonts w:ascii="Times New Roman" w:hAnsi="Times New Roman"/>
          <w:sz w:val="24"/>
          <w:szCs w:val="24"/>
          <w:u w:val="single"/>
        </w:rPr>
        <w:t>Local 2507, Uniformed EMTs, Paramedics &amp; Fire Inspectors, et al. v. City of New York</w:t>
      </w:r>
      <w:r w:rsidRPr="005E497B">
        <w:rPr>
          <w:rFonts w:ascii="Times New Roman" w:hAnsi="Times New Roman"/>
          <w:sz w:val="24"/>
          <w:szCs w:val="24"/>
        </w:rPr>
        <w:t xml:space="preserve">, United States District Court Judge Analisa Torrres, U..S. District Court for the Southern District of New York, granted the plaintiffs’ motion for class certification and legal counsel for the class.  The lawsuit was filed in 2022, and pre-trial discovery has produced sufficient evidence for case to proceed as a class action.  The Court wrote: “Plaintiffs claim that the differences in compensation result from ‘the pronounced difference in demographics’ between EMS and Fire First Responders: While EMS First Responders are ‘at least 55% non-white and approximately 24% female,’ only ‘14% of Fire First Responders are non-white’ and ‘less than 1%’ are female. Id. ¶¶ 56, 99.”  </w:t>
      </w:r>
      <w:hyperlink r:id="rId1535" w:history="1">
        <w:r w:rsidRPr="005E497B">
          <w:rPr>
            <w:rStyle w:val="Hyperlink"/>
            <w:rFonts w:ascii="Times New Roman" w:hAnsi="Times New Roman"/>
            <w:sz w:val="24"/>
            <w:szCs w:val="24"/>
          </w:rPr>
          <w:t>https://local2507.com/wp-content/uploads/2024/09/Decision-on-Class-Action.pdf</w:t>
        </w:r>
      </w:hyperlink>
      <w:r w:rsidRPr="005E497B">
        <w:rPr>
          <w:rFonts w:ascii="Times New Roman" w:hAnsi="Times New Roman"/>
          <w:sz w:val="24"/>
          <w:szCs w:val="24"/>
        </w:rPr>
        <w:t xml:space="preserve"> </w:t>
      </w:r>
    </w:p>
    <w:p w14:paraId="07E017FE" w14:textId="77777777" w:rsidR="005E497B" w:rsidRDefault="005E497B" w:rsidP="005E497B">
      <w:pPr>
        <w:rPr>
          <w:rFonts w:ascii="Times New Roman" w:hAnsi="Times New Roman"/>
          <w:sz w:val="24"/>
          <w:szCs w:val="24"/>
        </w:rPr>
      </w:pPr>
    </w:p>
    <w:p w14:paraId="1661E87F" w14:textId="65EE73DF" w:rsidR="005E497B" w:rsidRPr="005E497B" w:rsidRDefault="005E497B" w:rsidP="005E497B">
      <w:pPr>
        <w:rPr>
          <w:rFonts w:ascii="Times New Roman" w:hAnsi="Times New Roman"/>
          <w:sz w:val="24"/>
          <w:szCs w:val="24"/>
        </w:rPr>
      </w:pPr>
      <w:r w:rsidRPr="005E497B">
        <w:rPr>
          <w:rFonts w:ascii="Times New Roman" w:hAnsi="Times New Roman"/>
          <w:sz w:val="24"/>
          <w:szCs w:val="24"/>
        </w:rPr>
        <w:t>THE COURT HELD:</w:t>
      </w:r>
    </w:p>
    <w:p w14:paraId="4521021D" w14:textId="77777777" w:rsidR="005E497B" w:rsidRPr="005E497B" w:rsidRDefault="005E497B" w:rsidP="005E497B">
      <w:pPr>
        <w:pStyle w:val="NoSpacing"/>
        <w:ind w:firstLine="720"/>
        <w:rPr>
          <w:rFonts w:ascii="Times New Roman" w:hAnsi="Times New Roman"/>
          <w:sz w:val="24"/>
          <w:szCs w:val="24"/>
        </w:rPr>
      </w:pPr>
      <w:r w:rsidRPr="005E497B">
        <w:rPr>
          <w:rFonts w:ascii="Times New Roman" w:hAnsi="Times New Roman"/>
          <w:sz w:val="24"/>
          <w:szCs w:val="24"/>
        </w:rPr>
        <w:t>“In support of their disparate impact claims, Plaintiffs offer statistical evidence of</w:t>
      </w:r>
    </w:p>
    <w:p w14:paraId="1E5AF24C" w14:textId="77777777" w:rsidR="005E497B" w:rsidRPr="005E497B" w:rsidRDefault="005E497B" w:rsidP="005E497B">
      <w:pPr>
        <w:pStyle w:val="NoSpacing"/>
        <w:ind w:left="720"/>
        <w:rPr>
          <w:rFonts w:ascii="Times New Roman" w:hAnsi="Times New Roman"/>
          <w:sz w:val="24"/>
          <w:szCs w:val="24"/>
        </w:rPr>
      </w:pPr>
      <w:r w:rsidRPr="005E497B">
        <w:rPr>
          <w:rFonts w:ascii="Times New Roman" w:hAnsi="Times New Roman"/>
          <w:sz w:val="24"/>
          <w:szCs w:val="24"/>
        </w:rPr>
        <w:t xml:space="preserve">racial, sex/gender, and compensation disparities among EMS and Fire First Responders. See Landis Report at 3. The </w:t>
      </w:r>
      <w:proofErr w:type="gramStart"/>
      <w:r w:rsidRPr="005E497B">
        <w:rPr>
          <w:rFonts w:ascii="Times New Roman" w:hAnsi="Times New Roman"/>
          <w:sz w:val="24"/>
          <w:szCs w:val="24"/>
        </w:rPr>
        <w:t>City</w:t>
      </w:r>
      <w:proofErr w:type="gramEnd"/>
      <w:r w:rsidRPr="005E497B">
        <w:rPr>
          <w:rFonts w:ascii="Times New Roman" w:hAnsi="Times New Roman"/>
          <w:sz w:val="24"/>
          <w:szCs w:val="24"/>
        </w:rPr>
        <w:t xml:space="preserve"> does not dispute </w:t>
      </w:r>
      <w:proofErr w:type="gramStart"/>
      <w:r w:rsidRPr="005E497B">
        <w:rPr>
          <w:rFonts w:ascii="Times New Roman" w:hAnsi="Times New Roman"/>
          <w:sz w:val="24"/>
          <w:szCs w:val="24"/>
        </w:rPr>
        <w:t>the statistical</w:t>
      </w:r>
      <w:proofErr w:type="gramEnd"/>
      <w:r w:rsidRPr="005E497B">
        <w:rPr>
          <w:rFonts w:ascii="Times New Roman" w:hAnsi="Times New Roman"/>
          <w:sz w:val="24"/>
          <w:szCs w:val="24"/>
        </w:rPr>
        <w:t xml:space="preserve"> evidence.</w:t>
      </w:r>
    </w:p>
    <w:p w14:paraId="220E0655" w14:textId="77777777" w:rsidR="005E497B" w:rsidRPr="005E497B" w:rsidRDefault="005E497B" w:rsidP="005E497B">
      <w:pPr>
        <w:pStyle w:val="NoSpacing"/>
        <w:ind w:left="720"/>
        <w:rPr>
          <w:rFonts w:ascii="Times New Roman" w:hAnsi="Times New Roman"/>
          <w:sz w:val="24"/>
          <w:szCs w:val="24"/>
        </w:rPr>
      </w:pPr>
    </w:p>
    <w:p w14:paraId="0F15B19D" w14:textId="77777777" w:rsidR="005E497B" w:rsidRPr="005E497B" w:rsidRDefault="005E497B" w:rsidP="005E497B">
      <w:pPr>
        <w:pStyle w:val="NoSpacing"/>
        <w:ind w:left="720"/>
        <w:rPr>
          <w:rFonts w:ascii="Times New Roman" w:hAnsi="Times New Roman"/>
          <w:sz w:val="24"/>
          <w:szCs w:val="24"/>
        </w:rPr>
      </w:pPr>
      <w:r w:rsidRPr="005E497B">
        <w:rPr>
          <w:rFonts w:ascii="Times New Roman" w:hAnsi="Times New Roman"/>
          <w:sz w:val="24"/>
          <w:szCs w:val="24"/>
        </w:rPr>
        <w:t>***</w:t>
      </w:r>
    </w:p>
    <w:p w14:paraId="4E4B997E" w14:textId="77777777" w:rsidR="005E497B" w:rsidRPr="005E497B" w:rsidRDefault="005E497B" w:rsidP="005E497B">
      <w:pPr>
        <w:pStyle w:val="NoSpacing"/>
        <w:ind w:firstLine="720"/>
        <w:rPr>
          <w:rFonts w:ascii="Times New Roman" w:hAnsi="Times New Roman"/>
          <w:sz w:val="24"/>
          <w:szCs w:val="24"/>
        </w:rPr>
      </w:pPr>
      <w:r w:rsidRPr="005E497B">
        <w:rPr>
          <w:rFonts w:ascii="Times New Roman" w:hAnsi="Times New Roman"/>
          <w:sz w:val="24"/>
          <w:szCs w:val="24"/>
        </w:rPr>
        <w:t>Plaintiffs have also offered substantial proof that the significantly less diverse Fire</w:t>
      </w:r>
    </w:p>
    <w:p w14:paraId="454C5F39" w14:textId="77777777" w:rsidR="005E497B" w:rsidRPr="005E497B" w:rsidRDefault="005E497B" w:rsidP="005E497B">
      <w:pPr>
        <w:pStyle w:val="NoSpacing"/>
        <w:ind w:left="720"/>
        <w:rPr>
          <w:rFonts w:ascii="Times New Roman" w:hAnsi="Times New Roman"/>
          <w:sz w:val="24"/>
          <w:szCs w:val="24"/>
        </w:rPr>
      </w:pPr>
      <w:proofErr w:type="gramStart"/>
      <w:r w:rsidRPr="005E497B">
        <w:rPr>
          <w:rFonts w:ascii="Times New Roman" w:hAnsi="Times New Roman"/>
          <w:sz w:val="24"/>
          <w:szCs w:val="24"/>
        </w:rPr>
        <w:t>First</w:t>
      </w:r>
      <w:proofErr w:type="gramEnd"/>
      <w:r w:rsidRPr="005E497B">
        <w:rPr>
          <w:rFonts w:ascii="Times New Roman" w:hAnsi="Times New Roman"/>
          <w:sz w:val="24"/>
          <w:szCs w:val="24"/>
        </w:rPr>
        <w:t xml:space="preserve"> Responders are the appropriate comparator to substantiate an inference of discriminatory intent.</w:t>
      </w:r>
    </w:p>
    <w:p w14:paraId="1DEDEF7E" w14:textId="77777777" w:rsidR="005E497B" w:rsidRPr="005E497B" w:rsidRDefault="005E497B" w:rsidP="005E497B">
      <w:pPr>
        <w:pStyle w:val="NoSpacing"/>
        <w:ind w:left="720"/>
        <w:rPr>
          <w:rFonts w:ascii="Times New Roman" w:hAnsi="Times New Roman"/>
          <w:sz w:val="24"/>
          <w:szCs w:val="24"/>
        </w:rPr>
      </w:pPr>
    </w:p>
    <w:p w14:paraId="4C0969D2" w14:textId="77777777" w:rsidR="005E497B" w:rsidRPr="005E497B" w:rsidRDefault="005E497B" w:rsidP="005E497B">
      <w:pPr>
        <w:pStyle w:val="NoSpacing"/>
        <w:ind w:left="720"/>
        <w:rPr>
          <w:rFonts w:ascii="Times New Roman" w:hAnsi="Times New Roman"/>
          <w:sz w:val="24"/>
          <w:szCs w:val="24"/>
        </w:rPr>
      </w:pPr>
      <w:r w:rsidRPr="005E497B">
        <w:rPr>
          <w:rFonts w:ascii="Times New Roman" w:hAnsi="Times New Roman"/>
          <w:sz w:val="24"/>
          <w:szCs w:val="24"/>
        </w:rPr>
        <w:t>***</w:t>
      </w:r>
    </w:p>
    <w:p w14:paraId="202D8E35" w14:textId="77777777" w:rsidR="005E497B" w:rsidRPr="005E497B" w:rsidRDefault="005E497B" w:rsidP="005E497B">
      <w:pPr>
        <w:pStyle w:val="NoSpacing"/>
        <w:rPr>
          <w:rFonts w:ascii="Times New Roman" w:hAnsi="Times New Roman"/>
          <w:sz w:val="24"/>
          <w:szCs w:val="24"/>
        </w:rPr>
      </w:pPr>
    </w:p>
    <w:p w14:paraId="0EB556D5" w14:textId="77777777" w:rsidR="005E497B" w:rsidRPr="005E497B" w:rsidRDefault="005E497B" w:rsidP="005E497B">
      <w:pPr>
        <w:pStyle w:val="NoSpacing"/>
        <w:ind w:firstLine="720"/>
        <w:rPr>
          <w:rFonts w:ascii="Times New Roman" w:hAnsi="Times New Roman"/>
          <w:sz w:val="24"/>
          <w:szCs w:val="24"/>
        </w:rPr>
      </w:pPr>
      <w:r w:rsidRPr="005E497B">
        <w:rPr>
          <w:rFonts w:ascii="Times New Roman" w:hAnsi="Times New Roman"/>
          <w:sz w:val="24"/>
          <w:szCs w:val="24"/>
        </w:rPr>
        <w:t xml:space="preserve">In short, Plaintiffs offer significant proof that the </w:t>
      </w:r>
      <w:proofErr w:type="gramStart"/>
      <w:r w:rsidRPr="005E497B">
        <w:rPr>
          <w:rFonts w:ascii="Times New Roman" w:hAnsi="Times New Roman"/>
          <w:sz w:val="24"/>
          <w:szCs w:val="24"/>
        </w:rPr>
        <w:t>City</w:t>
      </w:r>
      <w:proofErr w:type="gramEnd"/>
      <w:r w:rsidRPr="005E497B">
        <w:rPr>
          <w:rFonts w:ascii="Times New Roman" w:hAnsi="Times New Roman"/>
          <w:sz w:val="24"/>
          <w:szCs w:val="24"/>
        </w:rPr>
        <w:t xml:space="preserve"> has ‘operated under a general</w:t>
      </w:r>
    </w:p>
    <w:p w14:paraId="5DD0D91B" w14:textId="77777777" w:rsidR="005E497B" w:rsidRPr="005E497B" w:rsidRDefault="005E497B" w:rsidP="005E497B">
      <w:pPr>
        <w:pStyle w:val="NoSpacing"/>
        <w:ind w:left="720"/>
        <w:rPr>
          <w:rFonts w:ascii="Times New Roman" w:hAnsi="Times New Roman"/>
          <w:sz w:val="24"/>
          <w:szCs w:val="24"/>
        </w:rPr>
      </w:pPr>
      <w:r w:rsidRPr="005E497B">
        <w:rPr>
          <w:rFonts w:ascii="Times New Roman" w:hAnsi="Times New Roman"/>
          <w:sz w:val="24"/>
          <w:szCs w:val="24"/>
        </w:rPr>
        <w:t xml:space="preserve">policy of discrimination.’ Dukes, 564 U.S. at 353 [Wal-Mart Stores, Inc. v. Dukes, 564 U.S. 338 (2011); </w:t>
      </w:r>
      <w:hyperlink r:id="rId1536" w:history="1">
        <w:r w:rsidRPr="005E497B">
          <w:rPr>
            <w:rStyle w:val="Hyperlink"/>
            <w:rFonts w:ascii="Times New Roman" w:hAnsi="Times New Roman"/>
            <w:sz w:val="24"/>
            <w:szCs w:val="24"/>
          </w:rPr>
          <w:t>https://supreme.justia.com/cases/federal/us/564/338/</w:t>
        </w:r>
      </w:hyperlink>
      <w:r w:rsidRPr="005E497B">
        <w:rPr>
          <w:rFonts w:ascii="Times New Roman" w:hAnsi="Times New Roman"/>
          <w:sz w:val="24"/>
          <w:szCs w:val="24"/>
        </w:rPr>
        <w:t xml:space="preserve"> ].  That includes substantial (and in some cases unrebutted) evidence of common policies that disparately impact the Class and Subclasses; statistical analyses showing that the EMS First Responders are more diverse by race and sex/gender than Fire First Responders and are paid significantly less; and expert analyses showing that EMS and Fire First Responders perform similar jobs and that no job-relevant rationale explains the difference in compensation. Such ‘generalized proof,’ Moore, 306 F.3d at 1252, is more than ‘capable of generating common answers’ to issues ‘central’ to the parties’ dispute, Dukes, 564 U.S. at 350.”</w:t>
      </w:r>
    </w:p>
    <w:p w14:paraId="3025D5B3" w14:textId="77777777" w:rsidR="005E497B" w:rsidRPr="005E497B" w:rsidRDefault="005E497B" w:rsidP="005E497B">
      <w:pPr>
        <w:pStyle w:val="NoSpacing"/>
        <w:rPr>
          <w:rFonts w:ascii="Times New Roman" w:hAnsi="Times New Roman"/>
          <w:sz w:val="24"/>
          <w:szCs w:val="24"/>
        </w:rPr>
      </w:pPr>
    </w:p>
    <w:p w14:paraId="45F0841B" w14:textId="77777777" w:rsidR="005E497B" w:rsidRPr="005E497B" w:rsidRDefault="005E497B" w:rsidP="005E497B">
      <w:pPr>
        <w:pStyle w:val="NoSpacing"/>
        <w:rPr>
          <w:rFonts w:ascii="Times New Roman" w:hAnsi="Times New Roman"/>
          <w:b/>
          <w:bCs/>
          <w:sz w:val="24"/>
          <w:szCs w:val="24"/>
        </w:rPr>
      </w:pPr>
      <w:r w:rsidRPr="005E497B">
        <w:rPr>
          <w:rFonts w:ascii="Times New Roman" w:hAnsi="Times New Roman"/>
          <w:b/>
          <w:bCs/>
          <w:sz w:val="24"/>
          <w:szCs w:val="24"/>
        </w:rPr>
        <w:t xml:space="preserve">Legal Lesson Learned: This is a massive class action lawsuit that could result in significant </w:t>
      </w:r>
      <w:proofErr w:type="gramStart"/>
      <w:r w:rsidRPr="005E497B">
        <w:rPr>
          <w:rFonts w:ascii="Times New Roman" w:hAnsi="Times New Roman"/>
          <w:b/>
          <w:bCs/>
          <w:sz w:val="24"/>
          <w:szCs w:val="24"/>
        </w:rPr>
        <w:t>damages</w:t>
      </w:r>
      <w:proofErr w:type="gramEnd"/>
      <w:r w:rsidRPr="005E497B">
        <w:rPr>
          <w:rFonts w:ascii="Times New Roman" w:hAnsi="Times New Roman"/>
          <w:b/>
          <w:bCs/>
          <w:sz w:val="24"/>
          <w:szCs w:val="24"/>
        </w:rPr>
        <w:t xml:space="preserve">. </w:t>
      </w:r>
    </w:p>
    <w:p w14:paraId="3708E078" w14:textId="77777777" w:rsidR="005E497B" w:rsidRPr="005E32B9" w:rsidRDefault="005E497B" w:rsidP="005E497B">
      <w:pPr>
        <w:pStyle w:val="NoSpacing"/>
      </w:pPr>
    </w:p>
    <w:p w14:paraId="6A981B35" w14:textId="77777777" w:rsidR="005E497B" w:rsidRDefault="005E497B" w:rsidP="005E497B">
      <w:pPr>
        <w:pStyle w:val="NoSpacing"/>
      </w:pPr>
    </w:p>
    <w:p w14:paraId="181202DB" w14:textId="77777777" w:rsidR="005904B5" w:rsidRDefault="005904B5" w:rsidP="00BC70A3">
      <w:pPr>
        <w:rPr>
          <w:rFonts w:ascii="Arial Black" w:hAnsi="Arial Black"/>
          <w:b/>
          <w:sz w:val="24"/>
          <w:szCs w:val="24"/>
        </w:rPr>
      </w:pPr>
    </w:p>
    <w:p w14:paraId="001C0757" w14:textId="77777777" w:rsidR="005904B5" w:rsidRDefault="005904B5" w:rsidP="00BC70A3">
      <w:pPr>
        <w:rPr>
          <w:rFonts w:ascii="Arial Black" w:hAnsi="Arial Black"/>
          <w:b/>
          <w:sz w:val="24"/>
          <w:szCs w:val="24"/>
        </w:rPr>
      </w:pPr>
    </w:p>
    <w:p w14:paraId="2640CF54" w14:textId="26B81C22" w:rsidR="00907CBF" w:rsidRDefault="00907CBF" w:rsidP="00BC70A3">
      <w:pPr>
        <w:rPr>
          <w:rFonts w:ascii="Arial Black" w:hAnsi="Arial Black"/>
          <w:b/>
          <w:sz w:val="24"/>
          <w:szCs w:val="24"/>
        </w:rPr>
      </w:pPr>
      <w:r>
        <w:rPr>
          <w:rFonts w:ascii="Arial Black" w:hAnsi="Arial Black"/>
          <w:b/>
          <w:sz w:val="24"/>
          <w:szCs w:val="24"/>
        </w:rPr>
        <w:lastRenderedPageBreak/>
        <w:t>8-62</w:t>
      </w:r>
    </w:p>
    <w:p w14:paraId="36D587EF" w14:textId="77777777" w:rsidR="00907CBF" w:rsidRPr="00C022E6" w:rsidRDefault="00907CBF" w:rsidP="00907CBF">
      <w:pPr>
        <w:pStyle w:val="NoSpacing"/>
        <w:rPr>
          <w:rFonts w:ascii="Aptos Black" w:hAnsi="Aptos Black"/>
          <w:sz w:val="28"/>
        </w:rPr>
      </w:pPr>
      <w:r>
        <w:rPr>
          <w:rFonts w:ascii="Aptos Black" w:hAnsi="Aptos Black"/>
          <w:sz w:val="28"/>
        </w:rPr>
        <w:t xml:space="preserve">TN:  BLACK FF FIRED – FACEBOOK POST –  CIVIL SERVICE COMMISSION MUST COMPARE TO PRIOR DISCIPLINE WHITE FFs </w:t>
      </w:r>
    </w:p>
    <w:p w14:paraId="38CCAC86" w14:textId="77777777" w:rsidR="00907CBF" w:rsidRPr="00907CBF" w:rsidRDefault="00907CBF" w:rsidP="00907CBF">
      <w:pPr>
        <w:pStyle w:val="NoSpacing"/>
        <w:rPr>
          <w:rFonts w:ascii="Times New Roman" w:hAnsi="Times New Roman"/>
          <w:sz w:val="24"/>
          <w:szCs w:val="24"/>
        </w:rPr>
      </w:pPr>
    </w:p>
    <w:p w14:paraId="1F035C36" w14:textId="77777777" w:rsidR="00907CBF" w:rsidRPr="00907CBF" w:rsidRDefault="00907CBF" w:rsidP="00907CBF">
      <w:pPr>
        <w:pStyle w:val="NoSpacing"/>
        <w:rPr>
          <w:rFonts w:ascii="Times New Roman" w:hAnsi="Times New Roman"/>
          <w:sz w:val="24"/>
          <w:szCs w:val="24"/>
        </w:rPr>
      </w:pPr>
      <w:r w:rsidRPr="00907CBF">
        <w:rPr>
          <w:rFonts w:ascii="Times New Roman" w:hAnsi="Times New Roman"/>
          <w:sz w:val="24"/>
          <w:szCs w:val="24"/>
        </w:rPr>
        <w:t xml:space="preserve">On Aug. 29, 2024, in </w:t>
      </w:r>
      <w:proofErr w:type="spellStart"/>
      <w:r w:rsidRPr="00907CBF">
        <w:rPr>
          <w:rFonts w:ascii="Times New Roman" w:hAnsi="Times New Roman"/>
          <w:sz w:val="24"/>
          <w:szCs w:val="24"/>
          <w:u w:val="single"/>
        </w:rPr>
        <w:t>Taurick</w:t>
      </w:r>
      <w:proofErr w:type="spellEnd"/>
      <w:r w:rsidRPr="00907CBF">
        <w:rPr>
          <w:rFonts w:ascii="Times New Roman" w:hAnsi="Times New Roman"/>
          <w:sz w:val="24"/>
          <w:szCs w:val="24"/>
          <w:u w:val="single"/>
        </w:rPr>
        <w:t xml:space="preserve"> Boyd v. City of Memphis</w:t>
      </w:r>
      <w:r w:rsidRPr="00907CBF">
        <w:rPr>
          <w:rFonts w:ascii="Times New Roman" w:hAnsi="Times New Roman"/>
          <w:sz w:val="24"/>
          <w:szCs w:val="24"/>
        </w:rPr>
        <w:t xml:space="preserve">, the Court of Appeals of Tennessee held (5 to 0) that the Civil Service Commission must examine whether the discipline is not in line with three white firefighters for inappropriate Facebook posts.  The Court wrote: “We do not go so far as the trial court to definitively conclude that termination of Private Boyd’s employment was unwarranted. Rather, based on our determination that the Commissioner failed to consider all relevant requirements of MFD 103.01, we vacate its order and remand for reconsideration.” </w:t>
      </w:r>
      <w:hyperlink r:id="rId1537" w:history="1">
        <w:r w:rsidRPr="00907CBF">
          <w:rPr>
            <w:rStyle w:val="Hyperlink"/>
            <w:rFonts w:ascii="Times New Roman" w:hAnsi="Times New Roman"/>
            <w:sz w:val="24"/>
            <w:szCs w:val="24"/>
          </w:rPr>
          <w:t>https://www.tncourts.gov/sites/default/files/OpinionsPDFVersion/BoydTaurickOPN.pdf</w:t>
        </w:r>
      </w:hyperlink>
      <w:r w:rsidRPr="00907CBF">
        <w:rPr>
          <w:rFonts w:ascii="Times New Roman" w:hAnsi="Times New Roman"/>
          <w:sz w:val="24"/>
          <w:szCs w:val="24"/>
        </w:rPr>
        <w:t xml:space="preserve"> </w:t>
      </w:r>
    </w:p>
    <w:p w14:paraId="5EF53AB0" w14:textId="77777777" w:rsidR="00907CBF" w:rsidRPr="00907CBF" w:rsidRDefault="00907CBF" w:rsidP="00907CBF">
      <w:pPr>
        <w:pStyle w:val="NoSpacing"/>
        <w:rPr>
          <w:rFonts w:ascii="Times New Roman" w:hAnsi="Times New Roman"/>
          <w:sz w:val="24"/>
          <w:szCs w:val="24"/>
        </w:rPr>
      </w:pPr>
    </w:p>
    <w:p w14:paraId="00D95F30" w14:textId="77777777" w:rsidR="00907CBF" w:rsidRPr="00907CBF" w:rsidRDefault="00907CBF" w:rsidP="00907CBF">
      <w:pPr>
        <w:pStyle w:val="NoSpacing"/>
        <w:rPr>
          <w:rFonts w:ascii="Times New Roman" w:hAnsi="Times New Roman"/>
          <w:sz w:val="24"/>
          <w:szCs w:val="24"/>
        </w:rPr>
      </w:pPr>
      <w:r w:rsidRPr="00907CBF">
        <w:rPr>
          <w:rFonts w:ascii="Times New Roman" w:hAnsi="Times New Roman"/>
          <w:sz w:val="24"/>
          <w:szCs w:val="24"/>
        </w:rPr>
        <w:t>THE COURT HELD:</w:t>
      </w:r>
    </w:p>
    <w:p w14:paraId="2E256179" w14:textId="77777777" w:rsidR="00907CBF" w:rsidRPr="00907CBF" w:rsidRDefault="00907CBF" w:rsidP="00907CBF">
      <w:pPr>
        <w:pStyle w:val="NoSpacing"/>
        <w:rPr>
          <w:rFonts w:ascii="Times New Roman" w:hAnsi="Times New Roman"/>
          <w:sz w:val="24"/>
          <w:szCs w:val="24"/>
        </w:rPr>
      </w:pPr>
    </w:p>
    <w:p w14:paraId="6B1918CD" w14:textId="77777777" w:rsidR="00907CBF" w:rsidRPr="00907CBF" w:rsidRDefault="00907CBF" w:rsidP="00907CBF">
      <w:pPr>
        <w:pStyle w:val="NoSpacing"/>
        <w:ind w:left="720"/>
        <w:rPr>
          <w:rFonts w:ascii="Times New Roman" w:hAnsi="Times New Roman"/>
          <w:sz w:val="24"/>
          <w:szCs w:val="24"/>
        </w:rPr>
      </w:pPr>
      <w:r w:rsidRPr="00907CBF">
        <w:rPr>
          <w:rFonts w:ascii="Times New Roman" w:hAnsi="Times New Roman"/>
          <w:sz w:val="24"/>
          <w:szCs w:val="24"/>
        </w:rPr>
        <w:t xml:space="preserve">“In truth, each of these firefighters, Lieutenant Kramer, Lieutenant Tolliver, Private Luhrs, and Private Boyd posted photos, statements, or memes that were offensive and in clear violation of MFD’s policies. These postings caused uproar in the community and resulted in negative press against the MFD. Like Private Boyd, Lieutenant Kramer had numerous previous policy violations. Like Private Boyd, Lieutenant Tolliver’s offensive photo was published to Facebook by a third-party. Like Private Boyd, Lieutenant Kramer, Lieutenant Tolliver, and Private Luhrs cooperated in their respective investigations, acknowledged that their respective actions were inappropriate, and issued apologies. </w:t>
      </w:r>
      <w:proofErr w:type="gramStart"/>
      <w:r w:rsidRPr="00907CBF">
        <w:rPr>
          <w:rFonts w:ascii="Times New Roman" w:hAnsi="Times New Roman"/>
          <w:sz w:val="24"/>
          <w:szCs w:val="24"/>
        </w:rPr>
        <w:t>Yet,</w:t>
      </w:r>
      <w:proofErr w:type="gramEnd"/>
      <w:r w:rsidRPr="00907CBF">
        <w:rPr>
          <w:rFonts w:ascii="Times New Roman" w:hAnsi="Times New Roman"/>
          <w:sz w:val="24"/>
          <w:szCs w:val="24"/>
        </w:rPr>
        <w:t xml:space="preserve"> only Private Boyd’s employment was terminated.”</w:t>
      </w:r>
    </w:p>
    <w:p w14:paraId="3CD95E81" w14:textId="77777777" w:rsidR="00907CBF" w:rsidRPr="00907CBF" w:rsidRDefault="00907CBF" w:rsidP="00907CBF">
      <w:pPr>
        <w:pStyle w:val="NoSpacing"/>
        <w:ind w:left="720"/>
        <w:rPr>
          <w:rFonts w:ascii="Times New Roman" w:hAnsi="Times New Roman"/>
          <w:sz w:val="24"/>
          <w:szCs w:val="24"/>
        </w:rPr>
      </w:pPr>
    </w:p>
    <w:p w14:paraId="43AC0912" w14:textId="77777777" w:rsidR="00907CBF" w:rsidRPr="00907CBF" w:rsidRDefault="00907CBF" w:rsidP="00907CBF">
      <w:pPr>
        <w:pStyle w:val="NoSpacing"/>
        <w:rPr>
          <w:rFonts w:ascii="Times New Roman" w:hAnsi="Times New Roman"/>
          <w:sz w:val="24"/>
          <w:szCs w:val="24"/>
        </w:rPr>
      </w:pPr>
    </w:p>
    <w:p w14:paraId="39E4CCBC" w14:textId="77777777" w:rsidR="00907CBF" w:rsidRPr="00907CBF" w:rsidRDefault="00907CBF" w:rsidP="00907CBF">
      <w:pPr>
        <w:pStyle w:val="NoSpacing"/>
        <w:rPr>
          <w:rFonts w:ascii="Times New Roman" w:hAnsi="Times New Roman"/>
          <w:b/>
          <w:bCs/>
          <w:sz w:val="24"/>
          <w:szCs w:val="24"/>
        </w:rPr>
      </w:pPr>
      <w:r w:rsidRPr="00907CBF">
        <w:rPr>
          <w:rFonts w:ascii="Times New Roman" w:hAnsi="Times New Roman"/>
          <w:b/>
          <w:bCs/>
          <w:sz w:val="24"/>
          <w:szCs w:val="24"/>
        </w:rPr>
        <w:t xml:space="preserve">Legal Lesson Learned: Facebook and other social media posts can result in discipline,  but the level of discipline must </w:t>
      </w:r>
      <w:proofErr w:type="gramStart"/>
      <w:r w:rsidRPr="00907CBF">
        <w:rPr>
          <w:rFonts w:ascii="Times New Roman" w:hAnsi="Times New Roman"/>
          <w:b/>
          <w:bCs/>
          <w:sz w:val="24"/>
          <w:szCs w:val="24"/>
        </w:rPr>
        <w:t>appropriate</w:t>
      </w:r>
      <w:proofErr w:type="gramEnd"/>
      <w:r w:rsidRPr="00907CBF">
        <w:rPr>
          <w:rFonts w:ascii="Times New Roman" w:hAnsi="Times New Roman"/>
          <w:b/>
          <w:bCs/>
          <w:sz w:val="24"/>
          <w:szCs w:val="24"/>
        </w:rPr>
        <w:t xml:space="preserve"> in comparison </w:t>
      </w:r>
      <w:proofErr w:type="gramStart"/>
      <w:r w:rsidRPr="00907CBF">
        <w:rPr>
          <w:rFonts w:ascii="Times New Roman" w:hAnsi="Times New Roman"/>
          <w:b/>
          <w:bCs/>
          <w:sz w:val="24"/>
          <w:szCs w:val="24"/>
        </w:rPr>
        <w:t>of</w:t>
      </w:r>
      <w:proofErr w:type="gramEnd"/>
      <w:r w:rsidRPr="00907CBF">
        <w:rPr>
          <w:rFonts w:ascii="Times New Roman" w:hAnsi="Times New Roman"/>
          <w:b/>
          <w:bCs/>
          <w:sz w:val="24"/>
          <w:szCs w:val="24"/>
        </w:rPr>
        <w:t xml:space="preserve"> others with similar violations. </w:t>
      </w:r>
    </w:p>
    <w:p w14:paraId="5ABC4F06" w14:textId="77777777" w:rsidR="007B5945" w:rsidRDefault="007B5945" w:rsidP="00BC70A3">
      <w:pPr>
        <w:rPr>
          <w:rFonts w:ascii="Arial Black" w:hAnsi="Arial Black"/>
          <w:b/>
          <w:sz w:val="24"/>
          <w:szCs w:val="24"/>
        </w:rPr>
      </w:pPr>
    </w:p>
    <w:p w14:paraId="3227A9D0" w14:textId="63A6506E" w:rsidR="007B5945" w:rsidRDefault="00B22623" w:rsidP="00BC70A3">
      <w:pPr>
        <w:rPr>
          <w:rFonts w:ascii="Arial Black" w:hAnsi="Arial Black"/>
          <w:b/>
          <w:sz w:val="24"/>
          <w:szCs w:val="24"/>
        </w:rPr>
      </w:pPr>
      <w:r>
        <w:rPr>
          <w:rFonts w:ascii="Arial Black" w:hAnsi="Arial Black"/>
          <w:b/>
          <w:sz w:val="24"/>
          <w:szCs w:val="24"/>
        </w:rPr>
        <w:t>8-61</w:t>
      </w:r>
    </w:p>
    <w:p w14:paraId="58E85F9B" w14:textId="77777777" w:rsidR="00B22623" w:rsidRPr="002A36CD" w:rsidRDefault="00B22623" w:rsidP="00B22623">
      <w:pPr>
        <w:pStyle w:val="NoSpacing"/>
        <w:rPr>
          <w:rFonts w:ascii="Arial Black" w:hAnsi="Arial Black"/>
          <w:sz w:val="28"/>
        </w:rPr>
      </w:pPr>
      <w:r>
        <w:rPr>
          <w:rFonts w:ascii="Arial Black" w:hAnsi="Arial Black"/>
          <w:sz w:val="28"/>
        </w:rPr>
        <w:t xml:space="preserve">TX: FF (IRAQ ORIGIN) FIRED - THREATS CITY ANIMAL SERVICE OFFICER – HAD SIDE DOG RESCUE BUSINESS </w:t>
      </w:r>
    </w:p>
    <w:p w14:paraId="65A8A874" w14:textId="77777777" w:rsidR="00B22623" w:rsidRDefault="00B22623" w:rsidP="00B22623">
      <w:pPr>
        <w:pStyle w:val="NoSpacing"/>
        <w:rPr>
          <w:szCs w:val="24"/>
        </w:rPr>
      </w:pPr>
    </w:p>
    <w:p w14:paraId="1253609B" w14:textId="77777777" w:rsidR="00B22623" w:rsidRPr="00B22623" w:rsidRDefault="00B22623" w:rsidP="00B22623">
      <w:pPr>
        <w:pStyle w:val="NoSpacing"/>
        <w:rPr>
          <w:rFonts w:ascii="Times New Roman" w:hAnsi="Times New Roman"/>
          <w:sz w:val="24"/>
          <w:szCs w:val="24"/>
        </w:rPr>
      </w:pPr>
      <w:r w:rsidRPr="00B22623">
        <w:rPr>
          <w:rFonts w:ascii="Times New Roman" w:hAnsi="Times New Roman"/>
          <w:sz w:val="24"/>
          <w:szCs w:val="24"/>
        </w:rPr>
        <w:t xml:space="preserve">On Aug. 27, 2024, in </w:t>
      </w:r>
      <w:proofErr w:type="spellStart"/>
      <w:r w:rsidRPr="00B22623">
        <w:rPr>
          <w:rFonts w:ascii="Times New Roman" w:hAnsi="Times New Roman"/>
          <w:sz w:val="24"/>
          <w:szCs w:val="24"/>
          <w:u w:val="single"/>
        </w:rPr>
        <w:t>Safealdean</w:t>
      </w:r>
      <w:proofErr w:type="spellEnd"/>
      <w:r w:rsidRPr="00B22623">
        <w:rPr>
          <w:rFonts w:ascii="Times New Roman" w:hAnsi="Times New Roman"/>
          <w:sz w:val="24"/>
          <w:szCs w:val="24"/>
          <w:u w:val="single"/>
        </w:rPr>
        <w:t xml:space="preserve"> </w:t>
      </w:r>
      <w:proofErr w:type="spellStart"/>
      <w:r w:rsidRPr="00B22623">
        <w:rPr>
          <w:rFonts w:ascii="Times New Roman" w:hAnsi="Times New Roman"/>
          <w:sz w:val="24"/>
          <w:szCs w:val="24"/>
          <w:u w:val="single"/>
        </w:rPr>
        <w:t>Alusi</w:t>
      </w:r>
      <w:proofErr w:type="spellEnd"/>
      <w:r w:rsidRPr="00B22623">
        <w:rPr>
          <w:rFonts w:ascii="Times New Roman" w:hAnsi="Times New Roman"/>
          <w:sz w:val="24"/>
          <w:szCs w:val="24"/>
          <w:u w:val="single"/>
        </w:rPr>
        <w:t xml:space="preserve"> v. City of Fresno, Texas</w:t>
      </w:r>
      <w:r w:rsidRPr="00B22623">
        <w:rPr>
          <w:rFonts w:ascii="Times New Roman" w:hAnsi="Times New Roman"/>
          <w:sz w:val="24"/>
          <w:szCs w:val="24"/>
        </w:rPr>
        <w:t xml:space="preserve">, United States District Court Judge Sean D. Jordan, U.S. District Court for Eastern District of Texas, Sherman Division, affirmed the prior decision to grant summary judgement to the </w:t>
      </w:r>
      <w:proofErr w:type="gramStart"/>
      <w:r w:rsidRPr="00B22623">
        <w:rPr>
          <w:rFonts w:ascii="Times New Roman" w:hAnsi="Times New Roman"/>
          <w:sz w:val="24"/>
          <w:szCs w:val="24"/>
        </w:rPr>
        <w:t>City</w:t>
      </w:r>
      <w:proofErr w:type="gramEnd"/>
      <w:r w:rsidRPr="00B22623">
        <w:rPr>
          <w:rFonts w:ascii="Times New Roman" w:hAnsi="Times New Roman"/>
          <w:sz w:val="24"/>
          <w:szCs w:val="24"/>
        </w:rPr>
        <w:t xml:space="preserve">.  The Court wrote: “After working for the FFD for nearly two-and-a-half years, </w:t>
      </w:r>
      <w:proofErr w:type="spellStart"/>
      <w:r w:rsidRPr="00B22623">
        <w:rPr>
          <w:rFonts w:ascii="Times New Roman" w:hAnsi="Times New Roman"/>
          <w:sz w:val="24"/>
          <w:szCs w:val="24"/>
        </w:rPr>
        <w:t>Alusi</w:t>
      </w:r>
      <w:proofErr w:type="spellEnd"/>
      <w:r w:rsidRPr="00B22623">
        <w:rPr>
          <w:rFonts w:ascii="Times New Roman" w:hAnsi="Times New Roman"/>
          <w:sz w:val="24"/>
          <w:szCs w:val="24"/>
        </w:rPr>
        <w:t xml:space="preserve"> was terminated after the FFD discovered that he had engaged in off-duty misconduct while operating his dog rescue side-business-including by threatening a City of Temple Animal Services Officer - and that he had misrepresented his physical limitations and his inability to return to work. In </w:t>
      </w:r>
      <w:proofErr w:type="spellStart"/>
      <w:r w:rsidRPr="00B22623">
        <w:rPr>
          <w:rFonts w:ascii="Times New Roman" w:hAnsi="Times New Roman"/>
          <w:sz w:val="24"/>
          <w:szCs w:val="24"/>
        </w:rPr>
        <w:t>Alusi's</w:t>
      </w:r>
      <w:proofErr w:type="spellEnd"/>
      <w:r w:rsidRPr="00B22623">
        <w:rPr>
          <w:rFonts w:ascii="Times New Roman" w:hAnsi="Times New Roman"/>
          <w:sz w:val="24"/>
          <w:szCs w:val="24"/>
        </w:rPr>
        <w:t xml:space="preserve"> termination notice, FFD Chief Mark Piland noted a number of City of Frisco (the ‘City’) policies that </w:t>
      </w:r>
      <w:proofErr w:type="spellStart"/>
      <w:r w:rsidRPr="00B22623">
        <w:rPr>
          <w:rFonts w:ascii="Times New Roman" w:hAnsi="Times New Roman"/>
          <w:sz w:val="24"/>
          <w:szCs w:val="24"/>
        </w:rPr>
        <w:t>Alusi</w:t>
      </w:r>
      <w:proofErr w:type="spellEnd"/>
      <w:r w:rsidRPr="00B22623">
        <w:rPr>
          <w:rFonts w:ascii="Times New Roman" w:hAnsi="Times New Roman"/>
          <w:sz w:val="24"/>
          <w:szCs w:val="24"/>
        </w:rPr>
        <w:t xml:space="preserve"> violated, which boil down to (1) engaging in unethical and dishonest conduct unbecoming of a member of the FFD, (2) lying about physical capabilities while on restricted work duty, and (3) failing to cooperate and being dishonest during the investigation. *** Notwithstanding the fact that </w:t>
      </w:r>
      <w:proofErr w:type="spellStart"/>
      <w:r w:rsidRPr="00B22623">
        <w:rPr>
          <w:rFonts w:ascii="Times New Roman" w:hAnsi="Times New Roman"/>
          <w:sz w:val="24"/>
          <w:szCs w:val="24"/>
        </w:rPr>
        <w:t>Alusi's</w:t>
      </w:r>
      <w:proofErr w:type="spellEnd"/>
      <w:r w:rsidRPr="00B22623">
        <w:rPr>
          <w:rFonts w:ascii="Times New Roman" w:hAnsi="Times New Roman"/>
          <w:sz w:val="24"/>
          <w:szCs w:val="24"/>
        </w:rPr>
        <w:t xml:space="preserve"> colleagues knew he was Iraqi, none of the allegedly disparaging comments concerned his Iraqi national origin-or any national origin, for that matter.” </w:t>
      </w:r>
      <w:hyperlink r:id="rId1538" w:history="1">
        <w:r w:rsidRPr="00B22623">
          <w:rPr>
            <w:rStyle w:val="Hyperlink"/>
            <w:rFonts w:ascii="Times New Roman" w:hAnsi="Times New Roman"/>
            <w:sz w:val="24"/>
            <w:szCs w:val="24"/>
          </w:rPr>
          <w:t>https://cases.justia.com/federal/district-courts/texas/txedce/4:2022cv00397/214410/28/0.pdf?ts=1692978420</w:t>
        </w:r>
      </w:hyperlink>
      <w:r w:rsidRPr="00B22623">
        <w:rPr>
          <w:rFonts w:ascii="Times New Roman" w:hAnsi="Times New Roman"/>
          <w:sz w:val="24"/>
          <w:szCs w:val="24"/>
        </w:rPr>
        <w:t xml:space="preserve"> </w:t>
      </w:r>
    </w:p>
    <w:p w14:paraId="23ADD474" w14:textId="77777777" w:rsidR="00B22623" w:rsidRPr="00B22623" w:rsidRDefault="00B22623" w:rsidP="00B22623">
      <w:pPr>
        <w:pStyle w:val="NoSpacing"/>
        <w:rPr>
          <w:rFonts w:ascii="Times New Roman" w:hAnsi="Times New Roman"/>
          <w:sz w:val="24"/>
          <w:szCs w:val="24"/>
        </w:rPr>
      </w:pPr>
      <w:r w:rsidRPr="00B22623">
        <w:rPr>
          <w:rFonts w:ascii="Times New Roman" w:hAnsi="Times New Roman"/>
          <w:sz w:val="24"/>
          <w:szCs w:val="24"/>
        </w:rPr>
        <w:t xml:space="preserve"> </w:t>
      </w:r>
    </w:p>
    <w:p w14:paraId="5EBC3E2E" w14:textId="77777777" w:rsidR="00B22623" w:rsidRPr="00B22623" w:rsidRDefault="00B22623" w:rsidP="00B22623">
      <w:pPr>
        <w:pStyle w:val="NoSpacing"/>
        <w:rPr>
          <w:rFonts w:ascii="Times New Roman" w:hAnsi="Times New Roman"/>
          <w:sz w:val="24"/>
          <w:szCs w:val="24"/>
        </w:rPr>
      </w:pPr>
      <w:r w:rsidRPr="00B22623">
        <w:rPr>
          <w:rFonts w:ascii="Times New Roman" w:hAnsi="Times New Roman"/>
          <w:sz w:val="24"/>
          <w:szCs w:val="24"/>
        </w:rPr>
        <w:t xml:space="preserve">THE COURT HELD: </w:t>
      </w:r>
    </w:p>
    <w:p w14:paraId="76AA54F5" w14:textId="77777777" w:rsidR="00B22623" w:rsidRPr="00B22623" w:rsidRDefault="00B22623" w:rsidP="00B22623">
      <w:pPr>
        <w:pStyle w:val="NoSpacing"/>
        <w:jc w:val="center"/>
        <w:rPr>
          <w:rFonts w:ascii="Times New Roman" w:hAnsi="Times New Roman"/>
          <w:sz w:val="24"/>
          <w:szCs w:val="24"/>
        </w:rPr>
      </w:pPr>
    </w:p>
    <w:p w14:paraId="7F8A2A92" w14:textId="77777777" w:rsidR="00B22623" w:rsidRPr="00B22623" w:rsidRDefault="00B22623" w:rsidP="00B22623">
      <w:pPr>
        <w:pStyle w:val="NoSpacing"/>
        <w:ind w:left="720"/>
        <w:rPr>
          <w:rFonts w:ascii="Times New Roman" w:hAnsi="Times New Roman"/>
          <w:sz w:val="24"/>
          <w:szCs w:val="24"/>
        </w:rPr>
      </w:pPr>
      <w:r w:rsidRPr="00B22623">
        <w:rPr>
          <w:rFonts w:ascii="Times New Roman" w:hAnsi="Times New Roman"/>
          <w:sz w:val="24"/>
          <w:szCs w:val="24"/>
        </w:rPr>
        <w:lastRenderedPageBreak/>
        <w:t xml:space="preserve">“[A]s the Court explained in its order granting summary judgment, the allegedly discriminatory comments included remarks about </w:t>
      </w:r>
      <w:proofErr w:type="spellStart"/>
      <w:r w:rsidRPr="00B22623">
        <w:rPr>
          <w:rFonts w:ascii="Times New Roman" w:hAnsi="Times New Roman"/>
          <w:sz w:val="24"/>
          <w:szCs w:val="24"/>
        </w:rPr>
        <w:t>Alusi's</w:t>
      </w:r>
      <w:proofErr w:type="spellEnd"/>
      <w:r w:rsidRPr="00B22623">
        <w:rPr>
          <w:rFonts w:ascii="Times New Roman" w:hAnsi="Times New Roman"/>
          <w:sz w:val="24"/>
          <w:szCs w:val="24"/>
        </w:rPr>
        <w:t xml:space="preserve"> skin color and his religion. Race and religion are distinct protected classes under Title VII, but they are not the bases of </w:t>
      </w:r>
      <w:proofErr w:type="spellStart"/>
      <w:r w:rsidRPr="00B22623">
        <w:rPr>
          <w:rFonts w:ascii="Times New Roman" w:hAnsi="Times New Roman"/>
          <w:sz w:val="24"/>
          <w:szCs w:val="24"/>
        </w:rPr>
        <w:t>Alusi's</w:t>
      </w:r>
      <w:proofErr w:type="spellEnd"/>
      <w:r w:rsidRPr="00B22623">
        <w:rPr>
          <w:rFonts w:ascii="Times New Roman" w:hAnsi="Times New Roman"/>
          <w:sz w:val="24"/>
          <w:szCs w:val="24"/>
        </w:rPr>
        <w:t xml:space="preserve"> alleged discrimination. Neither those comments nor the additional comments </w:t>
      </w:r>
      <w:proofErr w:type="spellStart"/>
      <w:r w:rsidRPr="00B22623">
        <w:rPr>
          <w:rFonts w:ascii="Times New Roman" w:hAnsi="Times New Roman"/>
          <w:sz w:val="24"/>
          <w:szCs w:val="24"/>
        </w:rPr>
        <w:t>Alusi</w:t>
      </w:r>
      <w:proofErr w:type="spellEnd"/>
      <w:r w:rsidRPr="00B22623">
        <w:rPr>
          <w:rFonts w:ascii="Times New Roman" w:hAnsi="Times New Roman"/>
          <w:sz w:val="24"/>
          <w:szCs w:val="24"/>
        </w:rPr>
        <w:t xml:space="preserve"> complains </w:t>
      </w:r>
      <w:proofErr w:type="gramStart"/>
      <w:r w:rsidRPr="00B22623">
        <w:rPr>
          <w:rFonts w:ascii="Times New Roman" w:hAnsi="Times New Roman"/>
          <w:sz w:val="24"/>
          <w:szCs w:val="24"/>
        </w:rPr>
        <w:t>of-</w:t>
      </w:r>
      <w:proofErr w:type="gramEnd"/>
      <w:r w:rsidRPr="00B22623">
        <w:rPr>
          <w:rFonts w:ascii="Times New Roman" w:hAnsi="Times New Roman"/>
          <w:sz w:val="24"/>
          <w:szCs w:val="24"/>
        </w:rPr>
        <w:t xml:space="preserve">i.e., the comment concerning </w:t>
      </w:r>
      <w:proofErr w:type="spellStart"/>
      <w:r w:rsidRPr="00B22623">
        <w:rPr>
          <w:rFonts w:ascii="Times New Roman" w:hAnsi="Times New Roman"/>
          <w:sz w:val="24"/>
          <w:szCs w:val="24"/>
        </w:rPr>
        <w:t>Alusi's</w:t>
      </w:r>
      <w:proofErr w:type="spellEnd"/>
      <w:r w:rsidRPr="00B22623">
        <w:rPr>
          <w:rFonts w:ascii="Times New Roman" w:hAnsi="Times New Roman"/>
          <w:sz w:val="24"/>
          <w:szCs w:val="24"/>
        </w:rPr>
        <w:t xml:space="preserve"> fit within the FFD, a colleague's question about </w:t>
      </w:r>
      <w:proofErr w:type="spellStart"/>
      <w:r w:rsidRPr="00B22623">
        <w:rPr>
          <w:rFonts w:ascii="Times New Roman" w:hAnsi="Times New Roman"/>
          <w:sz w:val="24"/>
          <w:szCs w:val="24"/>
        </w:rPr>
        <w:t>Alusi's</w:t>
      </w:r>
      <w:proofErr w:type="spellEnd"/>
      <w:r w:rsidRPr="00B22623">
        <w:rPr>
          <w:rFonts w:ascii="Times New Roman" w:hAnsi="Times New Roman"/>
          <w:sz w:val="24"/>
          <w:szCs w:val="24"/>
        </w:rPr>
        <w:t xml:space="preserve"> lack of involvement in the Gulf War, and one colleague's use of </w:t>
      </w:r>
      <w:proofErr w:type="gramStart"/>
      <w:r w:rsidRPr="00B22623">
        <w:rPr>
          <w:rFonts w:ascii="Times New Roman" w:hAnsi="Times New Roman"/>
          <w:sz w:val="24"/>
          <w:szCs w:val="24"/>
        </w:rPr>
        <w:t>Arabic-</w:t>
      </w:r>
      <w:proofErr w:type="gramEnd"/>
      <w:r w:rsidRPr="00B22623">
        <w:rPr>
          <w:rFonts w:ascii="Times New Roman" w:hAnsi="Times New Roman"/>
          <w:sz w:val="24"/>
          <w:szCs w:val="24"/>
        </w:rPr>
        <w:t xml:space="preserve">refer to </w:t>
      </w:r>
      <w:proofErr w:type="spellStart"/>
      <w:r w:rsidRPr="00B22623">
        <w:rPr>
          <w:rFonts w:ascii="Times New Roman" w:hAnsi="Times New Roman"/>
          <w:sz w:val="24"/>
          <w:szCs w:val="24"/>
        </w:rPr>
        <w:t>Alusi's</w:t>
      </w:r>
      <w:proofErr w:type="spellEnd"/>
      <w:r w:rsidRPr="00B22623">
        <w:rPr>
          <w:rFonts w:ascii="Times New Roman" w:hAnsi="Times New Roman"/>
          <w:sz w:val="24"/>
          <w:szCs w:val="24"/>
        </w:rPr>
        <w:t xml:space="preserve"> national origin. </w:t>
      </w:r>
    </w:p>
    <w:p w14:paraId="72900EB5" w14:textId="77777777" w:rsidR="00B22623" w:rsidRPr="00B22623" w:rsidRDefault="00B22623" w:rsidP="00B22623">
      <w:pPr>
        <w:pStyle w:val="NoSpacing"/>
        <w:rPr>
          <w:rFonts w:ascii="Times New Roman" w:hAnsi="Times New Roman"/>
          <w:sz w:val="24"/>
          <w:szCs w:val="24"/>
        </w:rPr>
      </w:pPr>
    </w:p>
    <w:p w14:paraId="1B9136B5" w14:textId="77777777" w:rsidR="00B22623" w:rsidRPr="00B22623" w:rsidRDefault="00B22623" w:rsidP="00B22623">
      <w:pPr>
        <w:pStyle w:val="NoSpacing"/>
        <w:ind w:firstLine="720"/>
        <w:rPr>
          <w:rFonts w:ascii="Times New Roman" w:hAnsi="Times New Roman"/>
          <w:sz w:val="24"/>
          <w:szCs w:val="24"/>
        </w:rPr>
      </w:pPr>
      <w:r w:rsidRPr="00B22623">
        <w:rPr>
          <w:rFonts w:ascii="Times New Roman" w:hAnsi="Times New Roman"/>
          <w:sz w:val="24"/>
          <w:szCs w:val="24"/>
        </w:rPr>
        <w:t>***</w:t>
      </w:r>
    </w:p>
    <w:p w14:paraId="2CEC8875" w14:textId="77777777" w:rsidR="00B22623" w:rsidRPr="00B22623" w:rsidRDefault="00B22623" w:rsidP="00B22623">
      <w:pPr>
        <w:pStyle w:val="NoSpacing"/>
        <w:ind w:left="720"/>
        <w:rPr>
          <w:rFonts w:ascii="Times New Roman" w:hAnsi="Times New Roman"/>
          <w:sz w:val="24"/>
          <w:szCs w:val="24"/>
        </w:rPr>
      </w:pPr>
      <w:r w:rsidRPr="00B22623">
        <w:rPr>
          <w:rFonts w:ascii="Times New Roman" w:hAnsi="Times New Roman"/>
          <w:sz w:val="24"/>
          <w:szCs w:val="24"/>
        </w:rPr>
        <w:t xml:space="preserve">The comments </w:t>
      </w:r>
      <w:proofErr w:type="spellStart"/>
      <w:r w:rsidRPr="00B22623">
        <w:rPr>
          <w:rFonts w:ascii="Times New Roman" w:hAnsi="Times New Roman"/>
          <w:sz w:val="24"/>
          <w:szCs w:val="24"/>
        </w:rPr>
        <w:t>Alusi</w:t>
      </w:r>
      <w:proofErr w:type="spellEnd"/>
      <w:r w:rsidRPr="00B22623">
        <w:rPr>
          <w:rFonts w:ascii="Times New Roman" w:hAnsi="Times New Roman"/>
          <w:sz w:val="24"/>
          <w:szCs w:val="24"/>
        </w:rPr>
        <w:t xml:space="preserve"> points to were not frequent, threatening, or severe. </w:t>
      </w:r>
      <w:r w:rsidRPr="00B22623">
        <w:rPr>
          <w:rFonts w:ascii="Times New Roman" w:hAnsi="Times New Roman"/>
          <w:i/>
          <w:iCs/>
          <w:sz w:val="24"/>
          <w:szCs w:val="24"/>
        </w:rPr>
        <w:t>Harris v. Forklift Sys., Inc.</w:t>
      </w:r>
      <w:r w:rsidRPr="00B22623">
        <w:rPr>
          <w:rFonts w:ascii="Times New Roman" w:hAnsi="Times New Roman"/>
          <w:sz w:val="24"/>
          <w:szCs w:val="24"/>
        </w:rPr>
        <w:t xml:space="preserve">, 510 U.S. 17, 23, 114 </w:t>
      </w:r>
      <w:proofErr w:type="spellStart"/>
      <w:r w:rsidRPr="00B22623">
        <w:rPr>
          <w:rFonts w:ascii="Times New Roman" w:hAnsi="Times New Roman"/>
          <w:sz w:val="24"/>
          <w:szCs w:val="24"/>
        </w:rPr>
        <w:t>S.Ct</w:t>
      </w:r>
      <w:proofErr w:type="spellEnd"/>
      <w:r w:rsidRPr="00B22623">
        <w:rPr>
          <w:rFonts w:ascii="Times New Roman" w:hAnsi="Times New Roman"/>
          <w:sz w:val="24"/>
          <w:szCs w:val="24"/>
        </w:rPr>
        <w:t>. 367, 126 L.Ed.2d 295 (1993) (explaining that courts must consider the “frequency of the discriminatory conduct; its severity; whether it is physically threatening or humiliating, or a mere offensive utterance; and whether it unreasonably interferes with an employee's work performance”). Thus, the comments are insufficient to mount a claim for discrimination.</w:t>
      </w:r>
    </w:p>
    <w:p w14:paraId="093BCE05" w14:textId="77777777" w:rsidR="00B22623" w:rsidRPr="00B22623" w:rsidRDefault="00B22623" w:rsidP="00B22623">
      <w:pPr>
        <w:pStyle w:val="NoSpacing"/>
        <w:rPr>
          <w:rFonts w:ascii="Times New Roman" w:hAnsi="Times New Roman"/>
          <w:sz w:val="24"/>
          <w:szCs w:val="24"/>
        </w:rPr>
      </w:pPr>
    </w:p>
    <w:p w14:paraId="565B3D4D" w14:textId="77777777" w:rsidR="00B22623" w:rsidRPr="00B22623" w:rsidRDefault="00B22623" w:rsidP="00B22623">
      <w:pPr>
        <w:pStyle w:val="NoSpacing"/>
        <w:ind w:firstLine="720"/>
        <w:rPr>
          <w:rFonts w:ascii="Times New Roman" w:hAnsi="Times New Roman"/>
          <w:sz w:val="24"/>
          <w:szCs w:val="24"/>
        </w:rPr>
      </w:pPr>
      <w:r w:rsidRPr="00B22623">
        <w:rPr>
          <w:rFonts w:ascii="Times New Roman" w:hAnsi="Times New Roman"/>
          <w:sz w:val="24"/>
          <w:szCs w:val="24"/>
        </w:rPr>
        <w:t>***</w:t>
      </w:r>
    </w:p>
    <w:p w14:paraId="054BA89D" w14:textId="77777777" w:rsidR="00B22623" w:rsidRPr="00B22623" w:rsidRDefault="00B22623" w:rsidP="00B22623">
      <w:pPr>
        <w:pStyle w:val="NoSpacing"/>
        <w:ind w:left="720"/>
        <w:rPr>
          <w:rFonts w:ascii="Times New Roman" w:hAnsi="Times New Roman"/>
          <w:sz w:val="24"/>
          <w:szCs w:val="24"/>
        </w:rPr>
      </w:pPr>
      <w:proofErr w:type="spellStart"/>
      <w:r w:rsidRPr="00B22623">
        <w:rPr>
          <w:rFonts w:ascii="Times New Roman" w:hAnsi="Times New Roman"/>
          <w:sz w:val="24"/>
          <w:szCs w:val="24"/>
        </w:rPr>
        <w:t>Alusi</w:t>
      </w:r>
      <w:proofErr w:type="spellEnd"/>
      <w:r w:rsidRPr="00B22623">
        <w:rPr>
          <w:rFonts w:ascii="Times New Roman" w:hAnsi="Times New Roman"/>
          <w:sz w:val="24"/>
          <w:szCs w:val="24"/>
        </w:rPr>
        <w:t xml:space="preserve"> concedes that he did not allege national origin discrimination until </w:t>
      </w:r>
      <w:r w:rsidRPr="00B22623">
        <w:rPr>
          <w:rFonts w:ascii="Times New Roman" w:hAnsi="Times New Roman"/>
          <w:i/>
          <w:iCs/>
          <w:sz w:val="24"/>
          <w:szCs w:val="24"/>
        </w:rPr>
        <w:t>after</w:t>
      </w:r>
      <w:r w:rsidRPr="00B22623">
        <w:rPr>
          <w:rFonts w:ascii="Times New Roman" w:hAnsi="Times New Roman"/>
          <w:sz w:val="24"/>
          <w:szCs w:val="24"/>
        </w:rPr>
        <w:t xml:space="preserve"> he was terminated. Thus, the </w:t>
      </w:r>
      <w:proofErr w:type="gramStart"/>
      <w:r w:rsidRPr="00B22623">
        <w:rPr>
          <w:rFonts w:ascii="Times New Roman" w:hAnsi="Times New Roman"/>
          <w:sz w:val="24"/>
          <w:szCs w:val="24"/>
        </w:rPr>
        <w:t>City</w:t>
      </w:r>
      <w:proofErr w:type="gramEnd"/>
      <w:r w:rsidRPr="00B22623">
        <w:rPr>
          <w:rFonts w:ascii="Times New Roman" w:hAnsi="Times New Roman"/>
          <w:sz w:val="24"/>
          <w:szCs w:val="24"/>
        </w:rPr>
        <w:t xml:space="preserve"> was not put on notice of any alleged discriminatory practices. Therefore, </w:t>
      </w:r>
      <w:proofErr w:type="spellStart"/>
      <w:r w:rsidRPr="00B22623">
        <w:rPr>
          <w:rFonts w:ascii="Times New Roman" w:hAnsi="Times New Roman"/>
          <w:sz w:val="24"/>
          <w:szCs w:val="24"/>
        </w:rPr>
        <w:t>Alusi</w:t>
      </w:r>
      <w:proofErr w:type="spellEnd"/>
      <w:r w:rsidRPr="00B22623">
        <w:rPr>
          <w:rFonts w:ascii="Times New Roman" w:hAnsi="Times New Roman"/>
          <w:sz w:val="24"/>
          <w:szCs w:val="24"/>
        </w:rPr>
        <w:t xml:space="preserve"> did not engage in a protected activity. And since </w:t>
      </w:r>
      <w:proofErr w:type="spellStart"/>
      <w:r w:rsidRPr="00B22623">
        <w:rPr>
          <w:rFonts w:ascii="Times New Roman" w:hAnsi="Times New Roman"/>
          <w:sz w:val="24"/>
          <w:szCs w:val="24"/>
        </w:rPr>
        <w:t>Alusi</w:t>
      </w:r>
      <w:proofErr w:type="spellEnd"/>
      <w:r w:rsidRPr="00B22623">
        <w:rPr>
          <w:rFonts w:ascii="Times New Roman" w:hAnsi="Times New Roman"/>
          <w:sz w:val="24"/>
          <w:szCs w:val="24"/>
        </w:rPr>
        <w:t xml:space="preserve"> did not engage in a protected activity, he could not have been retaliated against for engaging in a protected activity. Accordingly, the Court correctly concluded that the </w:t>
      </w:r>
      <w:proofErr w:type="gramStart"/>
      <w:r w:rsidRPr="00B22623">
        <w:rPr>
          <w:rFonts w:ascii="Times New Roman" w:hAnsi="Times New Roman"/>
          <w:sz w:val="24"/>
          <w:szCs w:val="24"/>
        </w:rPr>
        <w:t>City</w:t>
      </w:r>
      <w:proofErr w:type="gramEnd"/>
      <w:r w:rsidRPr="00B22623">
        <w:rPr>
          <w:rFonts w:ascii="Times New Roman" w:hAnsi="Times New Roman"/>
          <w:sz w:val="24"/>
          <w:szCs w:val="24"/>
        </w:rPr>
        <w:t xml:space="preserve"> was entitled to summary judgment on this claim.”</w:t>
      </w:r>
    </w:p>
    <w:p w14:paraId="42904941" w14:textId="77777777" w:rsidR="00B22623" w:rsidRPr="00B22623" w:rsidRDefault="00B22623" w:rsidP="00B22623">
      <w:pPr>
        <w:pStyle w:val="NoSpacing"/>
        <w:ind w:left="720"/>
        <w:rPr>
          <w:rFonts w:ascii="Times New Roman" w:hAnsi="Times New Roman"/>
          <w:sz w:val="24"/>
          <w:szCs w:val="24"/>
        </w:rPr>
      </w:pPr>
    </w:p>
    <w:p w14:paraId="13633AD2" w14:textId="77777777" w:rsidR="00B22623" w:rsidRPr="00B22623" w:rsidRDefault="00B22623" w:rsidP="00B22623">
      <w:pPr>
        <w:pStyle w:val="NoSpacing"/>
        <w:ind w:left="720"/>
        <w:rPr>
          <w:rFonts w:ascii="Times New Roman" w:hAnsi="Times New Roman"/>
          <w:sz w:val="24"/>
          <w:szCs w:val="24"/>
        </w:rPr>
      </w:pPr>
    </w:p>
    <w:p w14:paraId="60D450CB" w14:textId="77777777" w:rsidR="00B22623" w:rsidRPr="00B22623" w:rsidRDefault="00B22623" w:rsidP="00B22623">
      <w:pPr>
        <w:pStyle w:val="NoSpacing"/>
        <w:rPr>
          <w:rFonts w:ascii="Times New Roman" w:hAnsi="Times New Roman"/>
          <w:b/>
          <w:bCs/>
          <w:sz w:val="24"/>
          <w:szCs w:val="24"/>
        </w:rPr>
      </w:pPr>
      <w:r w:rsidRPr="00B22623">
        <w:rPr>
          <w:rFonts w:ascii="Times New Roman" w:hAnsi="Times New Roman"/>
          <w:b/>
          <w:bCs/>
          <w:sz w:val="24"/>
          <w:szCs w:val="24"/>
        </w:rPr>
        <w:t xml:space="preserve">Legal Lesson Learned: Comments by fellow firefighters were not “frequent, threatening, or severe.” </w:t>
      </w:r>
    </w:p>
    <w:p w14:paraId="4C2C7907" w14:textId="77777777" w:rsidR="00B22623" w:rsidRDefault="00B22623" w:rsidP="00B22623">
      <w:pPr>
        <w:pStyle w:val="NoSpacing"/>
        <w:ind w:firstLine="720"/>
        <w:rPr>
          <w:szCs w:val="24"/>
        </w:rPr>
      </w:pPr>
    </w:p>
    <w:p w14:paraId="068935FA" w14:textId="77777777" w:rsidR="00B22623" w:rsidRDefault="00B22623" w:rsidP="00BC70A3">
      <w:pPr>
        <w:rPr>
          <w:rFonts w:ascii="Arial Black" w:hAnsi="Arial Black"/>
          <w:b/>
          <w:sz w:val="24"/>
          <w:szCs w:val="24"/>
        </w:rPr>
      </w:pPr>
    </w:p>
    <w:p w14:paraId="531BBCFC" w14:textId="741058B2" w:rsidR="005E60AF" w:rsidRDefault="005E60AF" w:rsidP="00BC70A3">
      <w:pPr>
        <w:rPr>
          <w:rFonts w:ascii="Arial Black" w:hAnsi="Arial Black"/>
          <w:b/>
          <w:sz w:val="24"/>
          <w:szCs w:val="24"/>
        </w:rPr>
      </w:pPr>
      <w:r>
        <w:rPr>
          <w:rFonts w:ascii="Arial Black" w:hAnsi="Arial Black"/>
          <w:b/>
          <w:sz w:val="24"/>
          <w:szCs w:val="24"/>
        </w:rPr>
        <w:t>8-60</w:t>
      </w:r>
    </w:p>
    <w:p w14:paraId="62F4E436" w14:textId="77777777" w:rsidR="007B5945" w:rsidRPr="0074339E" w:rsidRDefault="007B5945" w:rsidP="007B5945">
      <w:pPr>
        <w:rPr>
          <w:rFonts w:ascii="Arial Black" w:hAnsi="Arial Black"/>
          <w:b/>
          <w:bCs/>
          <w:sz w:val="28"/>
        </w:rPr>
      </w:pPr>
      <w:r>
        <w:rPr>
          <w:rFonts w:ascii="Arial Black" w:hAnsi="Arial Black"/>
          <w:b/>
          <w:bCs/>
          <w:sz w:val="28"/>
        </w:rPr>
        <w:t xml:space="preserve">TX: BLACK FF – STOP SHAVING / RELIGION – FD CHAPLAIN MEMO - BELIEFS “INSINCERE” – IMMUNITY   </w:t>
      </w:r>
    </w:p>
    <w:p w14:paraId="67E3C6E1" w14:textId="77777777" w:rsidR="007B5945" w:rsidRPr="007B5945" w:rsidRDefault="007B5945" w:rsidP="007B5945">
      <w:pPr>
        <w:pStyle w:val="NoSpacing"/>
        <w:rPr>
          <w:rFonts w:ascii="Times New Roman" w:hAnsi="Times New Roman"/>
          <w:sz w:val="24"/>
          <w:szCs w:val="24"/>
        </w:rPr>
      </w:pPr>
      <w:r w:rsidRPr="007B5945">
        <w:rPr>
          <w:rFonts w:ascii="Times New Roman" w:hAnsi="Times New Roman"/>
          <w:sz w:val="24"/>
          <w:szCs w:val="24"/>
        </w:rPr>
        <w:t xml:space="preserve">On Aug. 8, 2024, in </w:t>
      </w:r>
      <w:r w:rsidRPr="007B5945">
        <w:rPr>
          <w:rFonts w:ascii="Times New Roman" w:hAnsi="Times New Roman"/>
          <w:sz w:val="24"/>
          <w:szCs w:val="24"/>
          <w:u w:val="single"/>
        </w:rPr>
        <w:t>Brandon E. O’Neal v. City of Houston</w:t>
      </w:r>
      <w:r w:rsidRPr="007B5945">
        <w:rPr>
          <w:rFonts w:ascii="Times New Roman" w:hAnsi="Times New Roman"/>
          <w:sz w:val="24"/>
          <w:szCs w:val="24"/>
        </w:rPr>
        <w:t xml:space="preserve">, United States District Court Judge Keith P. Ellison, U.S. District Court, Southern District of Texas, Houston Division, granted the motion to dismiss the libel lawsuit against Chaplain Richard Raymond Ponce II, who enjoys immunity under Texas Tort Claims Act for official actions.  The Court wrote: “After serving his [2 shift; 24 hours] suspension, O’Neal was required to meet with HFD Chaplain Richard Raymond Ponce II… Following the meeting, Ponce wrote a memorandum to Fire Chief Samuel Peña describing O’Neal’s religious beliefs as ‘insincere.’ … O’Neal believes that Ponce’s memorandum formed the basis of HFD’s denial of his accommodation request…. O’Neal later asked Ponce to retract the statements in his “defamatory letter to Chief Peña,” but Ponce declined to do so. *** A defendant is entitled to dismissal under section 101.106(f) upon proof that the plaintiff’s suit (1) was based on conduct within the scope of the defendant’s employment with a governmental unit and (2) could have been brought against the government unit under the Tort Claims Act.” </w:t>
      </w:r>
      <w:hyperlink r:id="rId1539" w:history="1">
        <w:r w:rsidRPr="007B5945">
          <w:rPr>
            <w:rStyle w:val="Hyperlink"/>
            <w:rFonts w:ascii="Times New Roman" w:hAnsi="Times New Roman"/>
            <w:sz w:val="24"/>
            <w:szCs w:val="24"/>
          </w:rPr>
          <w:t>https://cases.justia.com/federal/district-courts/texas/txsdce/4:2023cv04777/1945442/28/0.pdf?ts=1723207973</w:t>
        </w:r>
      </w:hyperlink>
      <w:r w:rsidRPr="007B5945">
        <w:rPr>
          <w:rFonts w:ascii="Times New Roman" w:hAnsi="Times New Roman"/>
          <w:sz w:val="24"/>
          <w:szCs w:val="24"/>
        </w:rPr>
        <w:t xml:space="preserve"> </w:t>
      </w:r>
    </w:p>
    <w:p w14:paraId="285188B8" w14:textId="77777777" w:rsidR="007B5945" w:rsidRPr="007B5945" w:rsidRDefault="007B5945" w:rsidP="007B5945">
      <w:pPr>
        <w:rPr>
          <w:rFonts w:ascii="Times New Roman" w:hAnsi="Times New Roman"/>
          <w:sz w:val="24"/>
          <w:szCs w:val="24"/>
        </w:rPr>
      </w:pPr>
    </w:p>
    <w:p w14:paraId="5AF6D2A9" w14:textId="77777777" w:rsidR="007B5945" w:rsidRPr="007B5945" w:rsidRDefault="007B5945" w:rsidP="007B5945">
      <w:pPr>
        <w:pStyle w:val="NoSpacing"/>
        <w:rPr>
          <w:rFonts w:ascii="Times New Roman" w:hAnsi="Times New Roman"/>
          <w:sz w:val="24"/>
          <w:szCs w:val="24"/>
        </w:rPr>
      </w:pPr>
      <w:r w:rsidRPr="007B5945">
        <w:rPr>
          <w:rFonts w:ascii="Times New Roman" w:hAnsi="Times New Roman"/>
          <w:sz w:val="24"/>
          <w:szCs w:val="24"/>
        </w:rPr>
        <w:t>THE COURT HELD:</w:t>
      </w:r>
    </w:p>
    <w:p w14:paraId="49FC72BD" w14:textId="77777777" w:rsidR="007B5945" w:rsidRPr="007B5945" w:rsidRDefault="007B5945" w:rsidP="007B5945">
      <w:pPr>
        <w:pStyle w:val="NoSpacing"/>
        <w:rPr>
          <w:rFonts w:ascii="Times New Roman" w:hAnsi="Times New Roman"/>
          <w:sz w:val="24"/>
          <w:szCs w:val="24"/>
        </w:rPr>
      </w:pPr>
    </w:p>
    <w:p w14:paraId="74CA923A" w14:textId="77777777" w:rsidR="007B5945" w:rsidRPr="007B5945" w:rsidRDefault="007B5945" w:rsidP="007B5945">
      <w:pPr>
        <w:ind w:left="720"/>
        <w:rPr>
          <w:rFonts w:ascii="Times New Roman" w:hAnsi="Times New Roman"/>
          <w:sz w:val="24"/>
          <w:szCs w:val="24"/>
        </w:rPr>
      </w:pPr>
      <w:r w:rsidRPr="007B5945">
        <w:rPr>
          <w:rFonts w:ascii="Times New Roman" w:hAnsi="Times New Roman"/>
          <w:sz w:val="24"/>
          <w:szCs w:val="24"/>
        </w:rPr>
        <w:t xml:space="preserve">“Plaintiff does not-and cannot-argue that drafting the memorandum at Chief Pena's direction was outside the scope of Ponce's role as HFP Chaplain. Instead, he argues that Ponce's ‘choice to libel Capt. O'Neal in the memorandum,’ i.e., the choice to label O'Neal's beliefs as ‘insincere’ in the memorandum, was </w:t>
      </w:r>
      <w:r w:rsidRPr="007B5945">
        <w:rPr>
          <w:rFonts w:ascii="Times New Roman" w:hAnsi="Times New Roman"/>
          <w:sz w:val="24"/>
          <w:szCs w:val="24"/>
        </w:rPr>
        <w:lastRenderedPageBreak/>
        <w:t xml:space="preserve">outside of the scope of his employment. ECF No. 27 at 6. Plaintiff's argument misses the mark. Ponce's ‘ulterior motives or personal animus is irrelevant so long as a connection exists between the employee's lawful job duties and the alleged misconduct.’ *** Here, there is plainly a connection between Ponce's duties (drafting a memorandum on O'Neal's religious beliefs) and the alleged misconduct (including allegedly libelous statements in the memorandum). Thus, Ponce acted within the scope of his employment when he committed the allegedly tortious </w:t>
      </w:r>
      <w:proofErr w:type="gramStart"/>
      <w:r w:rsidRPr="007B5945">
        <w:rPr>
          <w:rFonts w:ascii="Times New Roman" w:hAnsi="Times New Roman"/>
          <w:sz w:val="24"/>
          <w:szCs w:val="24"/>
        </w:rPr>
        <w:t>acts.”</w:t>
      </w:r>
      <w:proofErr w:type="gramEnd"/>
      <w:r w:rsidRPr="007B5945">
        <w:rPr>
          <w:rFonts w:ascii="Times New Roman" w:hAnsi="Times New Roman"/>
          <w:sz w:val="24"/>
          <w:szCs w:val="24"/>
        </w:rPr>
        <w:t xml:space="preserve"> </w:t>
      </w:r>
    </w:p>
    <w:p w14:paraId="44E8D3CF" w14:textId="77777777" w:rsidR="007B5945" w:rsidRPr="007B5945" w:rsidRDefault="007B5945" w:rsidP="007B5945">
      <w:pPr>
        <w:jc w:val="both"/>
        <w:rPr>
          <w:rFonts w:ascii="Times New Roman" w:hAnsi="Times New Roman"/>
          <w:b/>
          <w:bCs/>
          <w:sz w:val="24"/>
          <w:szCs w:val="24"/>
        </w:rPr>
      </w:pPr>
      <w:r w:rsidRPr="007B5945">
        <w:rPr>
          <w:rFonts w:ascii="Times New Roman" w:hAnsi="Times New Roman"/>
          <w:b/>
          <w:bCs/>
          <w:sz w:val="24"/>
          <w:szCs w:val="24"/>
        </w:rPr>
        <w:t xml:space="preserve">Legal Lesson Learned: The Chaplain enjoys immunity from personal liability for performing duties in scope of his employment. </w:t>
      </w:r>
    </w:p>
    <w:p w14:paraId="2972795D" w14:textId="77777777" w:rsidR="005E60AF" w:rsidRDefault="005E60AF" w:rsidP="00BC70A3">
      <w:pPr>
        <w:rPr>
          <w:rFonts w:ascii="Arial Black" w:hAnsi="Arial Black"/>
          <w:b/>
          <w:sz w:val="24"/>
          <w:szCs w:val="24"/>
        </w:rPr>
      </w:pPr>
    </w:p>
    <w:p w14:paraId="7FC3BC99" w14:textId="77777777" w:rsidR="005E60AF" w:rsidRDefault="005E60AF" w:rsidP="00BC70A3">
      <w:pPr>
        <w:rPr>
          <w:rFonts w:ascii="Arial Black" w:hAnsi="Arial Black"/>
          <w:b/>
          <w:sz w:val="24"/>
          <w:szCs w:val="24"/>
        </w:rPr>
      </w:pPr>
    </w:p>
    <w:p w14:paraId="3AA07917" w14:textId="6A2DF2AD" w:rsidR="007C55A4" w:rsidRDefault="007C55A4" w:rsidP="00BC70A3">
      <w:pPr>
        <w:rPr>
          <w:rFonts w:ascii="Arial Black" w:hAnsi="Arial Black"/>
          <w:b/>
          <w:sz w:val="24"/>
          <w:szCs w:val="24"/>
        </w:rPr>
      </w:pPr>
      <w:r>
        <w:rPr>
          <w:rFonts w:ascii="Arial Black" w:hAnsi="Arial Black"/>
          <w:b/>
          <w:sz w:val="24"/>
          <w:szCs w:val="24"/>
        </w:rPr>
        <w:t>8-59</w:t>
      </w:r>
    </w:p>
    <w:p w14:paraId="77B76C7B" w14:textId="77777777" w:rsidR="006D6CFA" w:rsidRDefault="006D6CFA" w:rsidP="006D6CFA">
      <w:pPr>
        <w:spacing w:before="100" w:beforeAutospacing="1" w:after="100" w:afterAutospacing="1" w:line="240" w:lineRule="auto"/>
        <w:outlineLvl w:val="0"/>
        <w:rPr>
          <w:rFonts w:ascii="Arial Black" w:hAnsi="Arial Black"/>
          <w:sz w:val="28"/>
          <w:szCs w:val="28"/>
        </w:rPr>
      </w:pPr>
      <w:r>
        <w:rPr>
          <w:rFonts w:ascii="Arial Black" w:hAnsi="Arial Black"/>
          <w:sz w:val="28"/>
          <w:szCs w:val="28"/>
        </w:rPr>
        <w:t>NY: CAPT SOON TO BE PROMOTED BC - RESCINDED – DRUNK  PUBLIC / PANTS DOWN - NO RACE DISCRIMINATION</w:t>
      </w:r>
    </w:p>
    <w:p w14:paraId="52C9AACF" w14:textId="77777777" w:rsidR="006D6CFA" w:rsidRDefault="006D6CFA" w:rsidP="006D6CFA">
      <w:pPr>
        <w:spacing w:before="100" w:beforeAutospacing="1" w:after="100" w:afterAutospacing="1" w:line="240" w:lineRule="auto"/>
        <w:outlineLvl w:val="0"/>
        <w:rPr>
          <w:rFonts w:ascii="Times New Roman" w:hAnsi="Times New Roman"/>
          <w:sz w:val="24"/>
          <w:szCs w:val="24"/>
        </w:rPr>
      </w:pPr>
      <w:r>
        <w:rPr>
          <w:rFonts w:ascii="Times New Roman" w:hAnsi="Times New Roman"/>
          <w:sz w:val="24"/>
          <w:szCs w:val="24"/>
        </w:rPr>
        <w:t xml:space="preserve">On March 11, 2024, </w:t>
      </w:r>
      <w:r w:rsidRPr="00B36B60">
        <w:rPr>
          <w:rFonts w:ascii="Times New Roman" w:hAnsi="Times New Roman"/>
          <w:sz w:val="24"/>
          <w:szCs w:val="24"/>
          <w:u w:val="single"/>
        </w:rPr>
        <w:t>Jeremy Clawson v. The City of Albany Department of Fire &amp; Emergency</w:t>
      </w:r>
      <w:r>
        <w:rPr>
          <w:rFonts w:ascii="Times New Roman" w:hAnsi="Times New Roman"/>
          <w:sz w:val="24"/>
          <w:szCs w:val="24"/>
        </w:rPr>
        <w:t xml:space="preserve">, the U.S. Court of Appeals for Second Circuit (New York City), in a Summary Order upheld the grant of summary judgment for the city, dismissing the race discrimination lawsuit by Black Captain. </w:t>
      </w:r>
    </w:p>
    <w:p w14:paraId="3E0C4379" w14:textId="77777777" w:rsidR="003956F7" w:rsidRPr="004C0299" w:rsidRDefault="003956F7" w:rsidP="003956F7">
      <w:pPr>
        <w:pStyle w:val="NoSpacing"/>
        <w:rPr>
          <w:rFonts w:ascii="Times New Roman" w:hAnsi="Times New Roman"/>
          <w:sz w:val="24"/>
          <w:szCs w:val="24"/>
        </w:rPr>
      </w:pPr>
      <w:r>
        <w:rPr>
          <w:rFonts w:ascii="Times New Roman" w:hAnsi="Times New Roman"/>
          <w:sz w:val="24"/>
          <w:szCs w:val="24"/>
          <w:shd w:val="clear" w:color="auto" w:fill="FFFFFF"/>
        </w:rPr>
        <w:t>THE COURT HELD:</w:t>
      </w:r>
    </w:p>
    <w:p w14:paraId="3335311D" w14:textId="77777777" w:rsidR="003956F7" w:rsidRDefault="003956F7" w:rsidP="006D6CFA">
      <w:pPr>
        <w:pStyle w:val="NoSpacing"/>
        <w:ind w:left="720"/>
        <w:rPr>
          <w:rFonts w:ascii="Times New Roman" w:hAnsi="Times New Roman"/>
          <w:sz w:val="24"/>
          <w:szCs w:val="24"/>
        </w:rPr>
      </w:pPr>
    </w:p>
    <w:p w14:paraId="1DAAB86B" w14:textId="6EE3C623" w:rsidR="006D6CFA" w:rsidRPr="001434C8" w:rsidRDefault="006D6CFA" w:rsidP="006D6CFA">
      <w:pPr>
        <w:pStyle w:val="NoSpacing"/>
        <w:ind w:left="720"/>
        <w:rPr>
          <w:rFonts w:ascii="Times New Roman" w:eastAsia="Times New Roman" w:hAnsi="Times New Roman"/>
          <w:kern w:val="36"/>
          <w:sz w:val="24"/>
          <w:szCs w:val="24"/>
        </w:rPr>
      </w:pPr>
      <w:r>
        <w:rPr>
          <w:rFonts w:ascii="Times New Roman" w:hAnsi="Times New Roman"/>
          <w:sz w:val="24"/>
          <w:szCs w:val="24"/>
        </w:rPr>
        <w:t>“</w:t>
      </w:r>
      <w:r w:rsidRPr="001434C8">
        <w:rPr>
          <w:rFonts w:ascii="Times New Roman" w:eastAsia="Times New Roman" w:hAnsi="Times New Roman"/>
          <w:kern w:val="36"/>
          <w:sz w:val="24"/>
          <w:szCs w:val="24"/>
        </w:rPr>
        <w:t>The AFD, however, has articulated a legitimate, non-discriminatory rationale for</w:t>
      </w:r>
      <w:r>
        <w:rPr>
          <w:rFonts w:ascii="Times New Roman" w:eastAsia="Times New Roman" w:hAnsi="Times New Roman"/>
          <w:kern w:val="36"/>
          <w:sz w:val="24"/>
          <w:szCs w:val="24"/>
        </w:rPr>
        <w:t xml:space="preserve"> </w:t>
      </w:r>
      <w:r w:rsidRPr="001434C8">
        <w:rPr>
          <w:rFonts w:ascii="Times New Roman" w:eastAsia="Times New Roman" w:hAnsi="Times New Roman"/>
          <w:kern w:val="36"/>
          <w:sz w:val="24"/>
          <w:szCs w:val="24"/>
        </w:rPr>
        <w:t>rescinding Clawson’s promotion offer. Before he was slated to become battalion chief, Clawson</w:t>
      </w:r>
      <w:r>
        <w:rPr>
          <w:rFonts w:ascii="Times New Roman" w:eastAsia="Times New Roman" w:hAnsi="Times New Roman"/>
          <w:kern w:val="36"/>
          <w:sz w:val="24"/>
          <w:szCs w:val="24"/>
        </w:rPr>
        <w:t xml:space="preserve"> </w:t>
      </w:r>
      <w:r w:rsidRPr="001434C8">
        <w:rPr>
          <w:rFonts w:ascii="Times New Roman" w:eastAsia="Times New Roman" w:hAnsi="Times New Roman"/>
          <w:kern w:val="36"/>
          <w:sz w:val="24"/>
          <w:szCs w:val="24"/>
        </w:rPr>
        <w:t xml:space="preserve">consumed at least seven pints of beer, and proceeded to </w:t>
      </w:r>
      <w:r>
        <w:rPr>
          <w:rFonts w:ascii="Times New Roman" w:eastAsia="Times New Roman" w:hAnsi="Times New Roman"/>
          <w:kern w:val="36"/>
          <w:sz w:val="24"/>
          <w:szCs w:val="24"/>
        </w:rPr>
        <w:t>‘</w:t>
      </w:r>
      <w:r w:rsidRPr="001434C8">
        <w:rPr>
          <w:rFonts w:ascii="Times New Roman" w:eastAsia="Times New Roman" w:hAnsi="Times New Roman"/>
          <w:kern w:val="36"/>
          <w:sz w:val="24"/>
          <w:szCs w:val="24"/>
        </w:rPr>
        <w:t>expos[e] himself</w:t>
      </w:r>
      <w:r>
        <w:rPr>
          <w:rFonts w:ascii="Times New Roman" w:eastAsia="Times New Roman" w:hAnsi="Times New Roman"/>
          <w:kern w:val="36"/>
          <w:sz w:val="24"/>
          <w:szCs w:val="24"/>
        </w:rPr>
        <w:t xml:space="preserve">’ </w:t>
      </w:r>
      <w:r w:rsidRPr="001434C8">
        <w:rPr>
          <w:rFonts w:ascii="Times New Roman" w:eastAsia="Times New Roman" w:hAnsi="Times New Roman"/>
          <w:kern w:val="36"/>
          <w:sz w:val="24"/>
          <w:szCs w:val="24"/>
        </w:rPr>
        <w:t>outsi</w:t>
      </w:r>
      <w:r>
        <w:rPr>
          <w:rFonts w:ascii="Times New Roman" w:eastAsia="Times New Roman" w:hAnsi="Times New Roman"/>
          <w:kern w:val="36"/>
          <w:sz w:val="24"/>
          <w:szCs w:val="24"/>
        </w:rPr>
        <w:t xml:space="preserve">de </w:t>
      </w:r>
      <w:r w:rsidRPr="001434C8">
        <w:rPr>
          <w:rFonts w:ascii="Times New Roman" w:eastAsia="Times New Roman" w:hAnsi="Times New Roman"/>
          <w:kern w:val="36"/>
          <w:sz w:val="24"/>
          <w:szCs w:val="24"/>
        </w:rPr>
        <w:t xml:space="preserve">of a Dunkin’ Donuts, prompting first responders to call an ambulance for </w:t>
      </w:r>
      <w:r>
        <w:rPr>
          <w:rFonts w:ascii="Times New Roman" w:eastAsia="Times New Roman" w:hAnsi="Times New Roman"/>
          <w:kern w:val="36"/>
          <w:sz w:val="24"/>
          <w:szCs w:val="24"/>
        </w:rPr>
        <w:t>‘</w:t>
      </w:r>
      <w:r w:rsidRPr="001434C8">
        <w:rPr>
          <w:rFonts w:ascii="Times New Roman" w:eastAsia="Times New Roman" w:hAnsi="Times New Roman"/>
          <w:kern w:val="36"/>
          <w:sz w:val="24"/>
          <w:szCs w:val="24"/>
        </w:rPr>
        <w:t>a very</w:t>
      </w:r>
    </w:p>
    <w:p w14:paraId="3971A5F5" w14:textId="77777777" w:rsidR="006D6CFA" w:rsidRPr="001434C8" w:rsidRDefault="006D6CFA" w:rsidP="006D6CFA">
      <w:pPr>
        <w:pStyle w:val="NoSpacing"/>
        <w:ind w:firstLine="720"/>
        <w:rPr>
          <w:rFonts w:ascii="Times New Roman" w:eastAsia="Times New Roman" w:hAnsi="Times New Roman"/>
          <w:kern w:val="36"/>
          <w:sz w:val="24"/>
          <w:szCs w:val="24"/>
        </w:rPr>
      </w:pPr>
      <w:r w:rsidRPr="001434C8">
        <w:rPr>
          <w:rFonts w:ascii="Times New Roman" w:eastAsia="Times New Roman" w:hAnsi="Times New Roman"/>
          <w:kern w:val="36"/>
          <w:sz w:val="24"/>
          <w:szCs w:val="24"/>
        </w:rPr>
        <w:t>old male who [was] highly intoxicated and . . . pooped on himself,</w:t>
      </w:r>
      <w:r>
        <w:rPr>
          <w:rFonts w:ascii="Times New Roman" w:eastAsia="Times New Roman" w:hAnsi="Times New Roman"/>
          <w:kern w:val="36"/>
          <w:sz w:val="24"/>
          <w:szCs w:val="24"/>
        </w:rPr>
        <w:t xml:space="preserve">’ </w:t>
      </w:r>
      <w:r w:rsidRPr="001434C8">
        <w:rPr>
          <w:rFonts w:ascii="Times New Roman" w:eastAsia="Times New Roman" w:hAnsi="Times New Roman"/>
          <w:kern w:val="36"/>
          <w:sz w:val="24"/>
          <w:szCs w:val="24"/>
        </w:rPr>
        <w:t>and who was</w:t>
      </w:r>
    </w:p>
    <w:p w14:paraId="57F86D9C" w14:textId="77777777" w:rsidR="006D6CFA" w:rsidRPr="001434C8" w:rsidRDefault="006D6CFA" w:rsidP="006D6CFA">
      <w:pPr>
        <w:pStyle w:val="NoSpacing"/>
        <w:ind w:firstLine="720"/>
        <w:rPr>
          <w:rFonts w:ascii="Times New Roman" w:eastAsia="Times New Roman" w:hAnsi="Times New Roman"/>
          <w:kern w:val="36"/>
          <w:sz w:val="24"/>
          <w:szCs w:val="24"/>
        </w:rPr>
      </w:pPr>
      <w:r>
        <w:rPr>
          <w:rFonts w:ascii="Times New Roman" w:eastAsia="Times New Roman" w:hAnsi="Times New Roman"/>
          <w:kern w:val="36"/>
          <w:sz w:val="24"/>
          <w:szCs w:val="24"/>
        </w:rPr>
        <w:t>‘</w:t>
      </w:r>
      <w:proofErr w:type="gramStart"/>
      <w:r w:rsidRPr="001434C8">
        <w:rPr>
          <w:rFonts w:ascii="Times New Roman" w:eastAsia="Times New Roman" w:hAnsi="Times New Roman"/>
          <w:kern w:val="36"/>
          <w:sz w:val="24"/>
          <w:szCs w:val="24"/>
        </w:rPr>
        <w:t>incoherent</w:t>
      </w:r>
      <w:proofErr w:type="gramEnd"/>
      <w:r w:rsidRPr="001434C8">
        <w:rPr>
          <w:rFonts w:ascii="Times New Roman" w:eastAsia="Times New Roman" w:hAnsi="Times New Roman"/>
          <w:kern w:val="36"/>
          <w:sz w:val="24"/>
          <w:szCs w:val="24"/>
        </w:rPr>
        <w:t xml:space="preserve"> with his pants down around his ankles</w:t>
      </w:r>
      <w:r>
        <w:rPr>
          <w:rFonts w:ascii="Times New Roman" w:eastAsia="Times New Roman" w:hAnsi="Times New Roman"/>
          <w:kern w:val="36"/>
          <w:sz w:val="24"/>
          <w:szCs w:val="24"/>
        </w:rPr>
        <w:t>.’</w:t>
      </w:r>
      <w:r w:rsidRPr="001434C8">
        <w:rPr>
          <w:rFonts w:ascii="Times New Roman" w:eastAsia="Times New Roman" w:hAnsi="Times New Roman"/>
          <w:kern w:val="36"/>
          <w:sz w:val="24"/>
          <w:szCs w:val="24"/>
        </w:rPr>
        <w:t xml:space="preserve"> Following that incident, the</w:t>
      </w:r>
    </w:p>
    <w:p w14:paraId="7091F00E" w14:textId="77777777" w:rsidR="006D6CFA" w:rsidRDefault="006D6CFA" w:rsidP="006D6CFA">
      <w:pPr>
        <w:pStyle w:val="NoSpacing"/>
        <w:ind w:left="720"/>
        <w:rPr>
          <w:rFonts w:ascii="Times New Roman" w:hAnsi="Times New Roman"/>
          <w:sz w:val="24"/>
          <w:szCs w:val="24"/>
        </w:rPr>
      </w:pPr>
      <w:r w:rsidRPr="001434C8">
        <w:rPr>
          <w:rFonts w:ascii="Times New Roman" w:eastAsia="Times New Roman" w:hAnsi="Times New Roman"/>
          <w:kern w:val="36"/>
          <w:sz w:val="24"/>
          <w:szCs w:val="24"/>
        </w:rPr>
        <w:t>AFD determined that Clawson’s promotion to battalion chief would undermine the AFD’s internal</w:t>
      </w:r>
      <w:r>
        <w:rPr>
          <w:rFonts w:ascii="Times New Roman" w:eastAsia="Times New Roman" w:hAnsi="Times New Roman"/>
          <w:kern w:val="36"/>
          <w:sz w:val="24"/>
          <w:szCs w:val="24"/>
        </w:rPr>
        <w:t xml:space="preserve"> </w:t>
      </w:r>
      <w:r w:rsidRPr="001434C8">
        <w:rPr>
          <w:rFonts w:ascii="Times New Roman" w:eastAsia="Times New Roman" w:hAnsi="Times New Roman"/>
          <w:kern w:val="36"/>
          <w:sz w:val="24"/>
          <w:szCs w:val="24"/>
        </w:rPr>
        <w:t>morale and its public perception, as well as Clawson’s effectiveness as a leader. In these</w:t>
      </w:r>
      <w:r>
        <w:rPr>
          <w:rFonts w:ascii="Times New Roman" w:eastAsia="Times New Roman" w:hAnsi="Times New Roman"/>
          <w:kern w:val="36"/>
          <w:sz w:val="24"/>
          <w:szCs w:val="24"/>
        </w:rPr>
        <w:t xml:space="preserve"> </w:t>
      </w:r>
      <w:r w:rsidRPr="001434C8">
        <w:rPr>
          <w:rFonts w:ascii="Times New Roman" w:eastAsia="Times New Roman" w:hAnsi="Times New Roman"/>
          <w:kern w:val="36"/>
          <w:sz w:val="24"/>
          <w:szCs w:val="24"/>
        </w:rPr>
        <w:t>circumstances, the AFD has stated a sufficient, non-discriminatory rationale for the adverse</w:t>
      </w:r>
      <w:r>
        <w:rPr>
          <w:rFonts w:ascii="Times New Roman" w:eastAsia="Times New Roman" w:hAnsi="Times New Roman"/>
          <w:kern w:val="36"/>
          <w:sz w:val="24"/>
          <w:szCs w:val="24"/>
        </w:rPr>
        <w:t xml:space="preserve"> </w:t>
      </w:r>
      <w:r w:rsidRPr="005612B3">
        <w:rPr>
          <w:rFonts w:ascii="Times New Roman" w:hAnsi="Times New Roman"/>
          <w:sz w:val="24"/>
          <w:szCs w:val="24"/>
        </w:rPr>
        <w:t>employment action.</w:t>
      </w:r>
    </w:p>
    <w:p w14:paraId="29B348FD" w14:textId="77777777" w:rsidR="006D6CFA" w:rsidRDefault="006D6CFA" w:rsidP="006D6CFA">
      <w:pPr>
        <w:pStyle w:val="NoSpacing"/>
        <w:ind w:left="720"/>
        <w:rPr>
          <w:rFonts w:ascii="Times New Roman" w:hAnsi="Times New Roman"/>
          <w:sz w:val="24"/>
          <w:szCs w:val="24"/>
        </w:rPr>
      </w:pPr>
    </w:p>
    <w:p w14:paraId="5E03EE25" w14:textId="77777777" w:rsidR="006D6CFA" w:rsidRDefault="006D6CFA" w:rsidP="006D6CFA">
      <w:pPr>
        <w:pStyle w:val="NoSpacing"/>
        <w:ind w:left="720"/>
        <w:rPr>
          <w:rFonts w:ascii="Times New Roman" w:hAnsi="Times New Roman"/>
          <w:sz w:val="24"/>
          <w:szCs w:val="24"/>
        </w:rPr>
      </w:pPr>
      <w:r>
        <w:rPr>
          <w:rFonts w:ascii="Times New Roman" w:hAnsi="Times New Roman"/>
          <w:sz w:val="24"/>
          <w:szCs w:val="24"/>
        </w:rPr>
        <w:t>***</w:t>
      </w:r>
    </w:p>
    <w:p w14:paraId="57D3F248" w14:textId="77777777" w:rsidR="006D6CFA" w:rsidRPr="005612B3" w:rsidRDefault="006D6CFA" w:rsidP="006D6CFA">
      <w:pPr>
        <w:pStyle w:val="NoSpacing"/>
        <w:ind w:firstLine="720"/>
        <w:rPr>
          <w:rFonts w:ascii="Times New Roman" w:hAnsi="Times New Roman"/>
          <w:sz w:val="24"/>
          <w:szCs w:val="24"/>
        </w:rPr>
      </w:pPr>
      <w:r w:rsidRPr="005612B3">
        <w:rPr>
          <w:rFonts w:ascii="Times New Roman" w:hAnsi="Times New Roman"/>
          <w:sz w:val="24"/>
          <w:szCs w:val="24"/>
        </w:rPr>
        <w:t>First, Clawson argues that the circumstances of his meeting with the AFD, in which his</w:t>
      </w:r>
    </w:p>
    <w:p w14:paraId="7902A31F" w14:textId="77777777" w:rsidR="006D6CFA" w:rsidRDefault="006D6CFA" w:rsidP="006D6CFA">
      <w:pPr>
        <w:pStyle w:val="NoSpacing"/>
        <w:ind w:left="720"/>
        <w:rPr>
          <w:rFonts w:ascii="Times New Roman" w:hAnsi="Times New Roman"/>
          <w:sz w:val="24"/>
          <w:szCs w:val="24"/>
        </w:rPr>
      </w:pPr>
      <w:r w:rsidRPr="005612B3">
        <w:rPr>
          <w:rFonts w:ascii="Times New Roman" w:hAnsi="Times New Roman"/>
          <w:sz w:val="24"/>
          <w:szCs w:val="24"/>
        </w:rPr>
        <w:t>promotion offer was rescinded, are indicative of discriminatory animus. Specifically, Clawson</w:t>
      </w:r>
      <w:r>
        <w:rPr>
          <w:rFonts w:ascii="Times New Roman" w:hAnsi="Times New Roman"/>
          <w:sz w:val="24"/>
          <w:szCs w:val="24"/>
        </w:rPr>
        <w:t xml:space="preserve"> </w:t>
      </w:r>
      <w:r w:rsidRPr="005612B3">
        <w:rPr>
          <w:rFonts w:ascii="Times New Roman" w:hAnsi="Times New Roman"/>
          <w:sz w:val="24"/>
          <w:szCs w:val="24"/>
        </w:rPr>
        <w:t>points to evidence in the record that the chief of the AFD, Joseph Gregory, requested the presence</w:t>
      </w:r>
      <w:r>
        <w:rPr>
          <w:rFonts w:ascii="Times New Roman" w:hAnsi="Times New Roman"/>
          <w:sz w:val="24"/>
          <w:szCs w:val="24"/>
        </w:rPr>
        <w:t xml:space="preserve"> </w:t>
      </w:r>
      <w:r w:rsidRPr="005612B3">
        <w:rPr>
          <w:rFonts w:ascii="Times New Roman" w:hAnsi="Times New Roman"/>
          <w:sz w:val="24"/>
          <w:szCs w:val="24"/>
        </w:rPr>
        <w:t>of a police officer at the meeting and then explained that the police officer was there because</w:t>
      </w:r>
      <w:r>
        <w:rPr>
          <w:rFonts w:ascii="Times New Roman" w:hAnsi="Times New Roman"/>
          <w:sz w:val="24"/>
          <w:szCs w:val="24"/>
        </w:rPr>
        <w:t xml:space="preserve"> ‘</w:t>
      </w:r>
      <w:r w:rsidRPr="005612B3">
        <w:rPr>
          <w:rFonts w:ascii="Times New Roman" w:hAnsi="Times New Roman"/>
          <w:sz w:val="24"/>
          <w:szCs w:val="24"/>
        </w:rPr>
        <w:t>[y]</w:t>
      </w:r>
      <w:proofErr w:type="spellStart"/>
      <w:r w:rsidRPr="005612B3">
        <w:rPr>
          <w:rFonts w:ascii="Times New Roman" w:hAnsi="Times New Roman"/>
          <w:sz w:val="24"/>
          <w:szCs w:val="24"/>
        </w:rPr>
        <w:t>ou</w:t>
      </w:r>
      <w:proofErr w:type="spellEnd"/>
      <w:r w:rsidRPr="005612B3">
        <w:rPr>
          <w:rFonts w:ascii="Times New Roman" w:hAnsi="Times New Roman"/>
          <w:sz w:val="24"/>
          <w:szCs w:val="24"/>
        </w:rPr>
        <w:t xml:space="preserve"> never know how people are going to react to bad news.</w:t>
      </w:r>
      <w:r>
        <w:rPr>
          <w:rFonts w:ascii="Times New Roman" w:hAnsi="Times New Roman"/>
          <w:sz w:val="24"/>
          <w:szCs w:val="24"/>
        </w:rPr>
        <w:t xml:space="preserve">’ </w:t>
      </w:r>
      <w:r w:rsidRPr="005612B3">
        <w:rPr>
          <w:rFonts w:ascii="Times New Roman" w:hAnsi="Times New Roman"/>
          <w:sz w:val="24"/>
          <w:szCs w:val="24"/>
        </w:rPr>
        <w:t xml:space="preserve"> Clawson</w:t>
      </w:r>
      <w:r>
        <w:rPr>
          <w:rFonts w:ascii="Times New Roman" w:hAnsi="Times New Roman"/>
          <w:sz w:val="24"/>
          <w:szCs w:val="24"/>
        </w:rPr>
        <w:t xml:space="preserve"> </w:t>
      </w:r>
      <w:r w:rsidRPr="005612B3">
        <w:rPr>
          <w:rFonts w:ascii="Times New Roman" w:hAnsi="Times New Roman"/>
          <w:sz w:val="24"/>
          <w:szCs w:val="24"/>
        </w:rPr>
        <w:t>contends that Gregory’s request for a police officer to be present at the meeting—and his</w:t>
      </w:r>
      <w:r>
        <w:rPr>
          <w:rFonts w:ascii="Times New Roman" w:hAnsi="Times New Roman"/>
          <w:sz w:val="24"/>
          <w:szCs w:val="24"/>
        </w:rPr>
        <w:t xml:space="preserve"> </w:t>
      </w:r>
      <w:r w:rsidRPr="005612B3">
        <w:rPr>
          <w:rFonts w:ascii="Times New Roman" w:hAnsi="Times New Roman"/>
          <w:sz w:val="24"/>
          <w:szCs w:val="24"/>
        </w:rPr>
        <w:t xml:space="preserve">explanation for the request—reflects the AFD’s stereotypical and discriminatory view that </w:t>
      </w:r>
      <w:r>
        <w:rPr>
          <w:rFonts w:ascii="Times New Roman" w:hAnsi="Times New Roman"/>
          <w:sz w:val="24"/>
          <w:szCs w:val="24"/>
        </w:rPr>
        <w:t>‘</w:t>
      </w:r>
      <w:r w:rsidRPr="005612B3">
        <w:rPr>
          <w:rFonts w:ascii="Times New Roman" w:hAnsi="Times New Roman"/>
          <w:sz w:val="24"/>
          <w:szCs w:val="24"/>
        </w:rPr>
        <w:t>black</w:t>
      </w:r>
      <w:r>
        <w:rPr>
          <w:rFonts w:ascii="Times New Roman" w:hAnsi="Times New Roman"/>
          <w:sz w:val="24"/>
          <w:szCs w:val="24"/>
        </w:rPr>
        <w:t xml:space="preserve"> </w:t>
      </w:r>
      <w:r w:rsidRPr="005612B3">
        <w:rPr>
          <w:rFonts w:ascii="Times New Roman" w:hAnsi="Times New Roman"/>
          <w:sz w:val="24"/>
          <w:szCs w:val="24"/>
        </w:rPr>
        <w:t>men are dangerous.</w:t>
      </w:r>
      <w:r>
        <w:rPr>
          <w:rFonts w:ascii="Times New Roman" w:hAnsi="Times New Roman"/>
          <w:sz w:val="24"/>
          <w:szCs w:val="24"/>
        </w:rPr>
        <w:t>’</w:t>
      </w:r>
      <w:r w:rsidRPr="005612B3">
        <w:rPr>
          <w:rFonts w:ascii="Times New Roman" w:hAnsi="Times New Roman"/>
          <w:sz w:val="24"/>
          <w:szCs w:val="24"/>
        </w:rPr>
        <w:t xml:space="preserve">  Under the circumstances here, a reasonable jury</w:t>
      </w:r>
      <w:r>
        <w:rPr>
          <w:rFonts w:ascii="Times New Roman" w:hAnsi="Times New Roman"/>
          <w:sz w:val="24"/>
          <w:szCs w:val="24"/>
        </w:rPr>
        <w:t xml:space="preserve"> </w:t>
      </w:r>
      <w:r w:rsidRPr="005612B3">
        <w:rPr>
          <w:rFonts w:ascii="Times New Roman" w:hAnsi="Times New Roman"/>
          <w:sz w:val="24"/>
          <w:szCs w:val="24"/>
        </w:rPr>
        <w:t>could not infer from this evidence that Gregory’s actions were related to Clawson’s race.</w:t>
      </w:r>
    </w:p>
    <w:p w14:paraId="7538DCD6" w14:textId="77777777" w:rsidR="006D6CFA" w:rsidRDefault="006D6CFA" w:rsidP="006D6CFA">
      <w:pPr>
        <w:pStyle w:val="NoSpacing"/>
        <w:ind w:left="720"/>
        <w:rPr>
          <w:rFonts w:ascii="Times New Roman" w:hAnsi="Times New Roman"/>
          <w:sz w:val="24"/>
          <w:szCs w:val="24"/>
        </w:rPr>
      </w:pPr>
    </w:p>
    <w:p w14:paraId="217CF242" w14:textId="77777777" w:rsidR="006D6CFA" w:rsidRDefault="006D6CFA" w:rsidP="006D6CFA">
      <w:pPr>
        <w:pStyle w:val="NoSpacing"/>
        <w:ind w:left="720"/>
        <w:rPr>
          <w:rFonts w:ascii="Times New Roman" w:hAnsi="Times New Roman"/>
          <w:sz w:val="24"/>
          <w:szCs w:val="24"/>
        </w:rPr>
      </w:pPr>
      <w:r>
        <w:rPr>
          <w:rFonts w:ascii="Times New Roman" w:hAnsi="Times New Roman"/>
          <w:sz w:val="24"/>
          <w:szCs w:val="24"/>
        </w:rPr>
        <w:t>***</w:t>
      </w:r>
    </w:p>
    <w:p w14:paraId="516692D6" w14:textId="77777777" w:rsidR="006D6CFA" w:rsidRPr="005612B3" w:rsidRDefault="006D6CFA" w:rsidP="006D6CFA">
      <w:pPr>
        <w:pStyle w:val="NoSpacing"/>
        <w:ind w:left="720"/>
        <w:rPr>
          <w:rFonts w:ascii="Times New Roman" w:hAnsi="Times New Roman"/>
          <w:sz w:val="24"/>
          <w:szCs w:val="24"/>
        </w:rPr>
      </w:pPr>
    </w:p>
    <w:p w14:paraId="671BF2CF" w14:textId="77777777" w:rsidR="006D6CFA" w:rsidRDefault="006D6CFA" w:rsidP="006D6CFA">
      <w:pPr>
        <w:pStyle w:val="NoSpacing"/>
        <w:ind w:left="720"/>
        <w:rPr>
          <w:rFonts w:ascii="Times New Roman" w:hAnsi="Times New Roman"/>
          <w:sz w:val="24"/>
          <w:szCs w:val="24"/>
        </w:rPr>
      </w:pPr>
      <w:r w:rsidRPr="00997C49">
        <w:rPr>
          <w:rFonts w:ascii="Times New Roman" w:hAnsi="Times New Roman"/>
          <w:sz w:val="24"/>
          <w:szCs w:val="24"/>
        </w:rPr>
        <w:t>As evidence of his allegedly superior qualifications, Clawson points only to the fact that the person</w:t>
      </w:r>
      <w:r>
        <w:rPr>
          <w:rFonts w:ascii="Times New Roman" w:hAnsi="Times New Roman"/>
          <w:sz w:val="24"/>
          <w:szCs w:val="24"/>
        </w:rPr>
        <w:t xml:space="preserve"> </w:t>
      </w:r>
      <w:r w:rsidRPr="00997C49">
        <w:rPr>
          <w:rFonts w:ascii="Times New Roman" w:hAnsi="Times New Roman"/>
          <w:sz w:val="24"/>
          <w:szCs w:val="24"/>
        </w:rPr>
        <w:t>ultimately selected to be battalion chief, Captain Kowalski, scored second on the civil service exam</w:t>
      </w:r>
      <w:r>
        <w:rPr>
          <w:rFonts w:ascii="Times New Roman" w:hAnsi="Times New Roman"/>
          <w:sz w:val="24"/>
          <w:szCs w:val="24"/>
        </w:rPr>
        <w:t xml:space="preserve"> </w:t>
      </w:r>
      <w:r w:rsidRPr="00997C49">
        <w:rPr>
          <w:rFonts w:ascii="Times New Roman" w:hAnsi="Times New Roman"/>
          <w:sz w:val="24"/>
          <w:szCs w:val="24"/>
        </w:rPr>
        <w:t xml:space="preserve">after </w:t>
      </w:r>
      <w:r w:rsidRPr="00997C49">
        <w:rPr>
          <w:rFonts w:ascii="Times New Roman" w:hAnsi="Times New Roman"/>
          <w:sz w:val="24"/>
          <w:szCs w:val="24"/>
        </w:rPr>
        <w:lastRenderedPageBreak/>
        <w:t>Clawson. Clawson thus ignores the undisputed record evidence that he engaged in an act</w:t>
      </w:r>
      <w:r>
        <w:rPr>
          <w:rFonts w:ascii="Times New Roman" w:hAnsi="Times New Roman"/>
          <w:sz w:val="24"/>
          <w:szCs w:val="24"/>
        </w:rPr>
        <w:t xml:space="preserve"> </w:t>
      </w:r>
      <w:r w:rsidRPr="00997C49">
        <w:rPr>
          <w:rFonts w:ascii="Times New Roman" w:hAnsi="Times New Roman"/>
          <w:sz w:val="24"/>
          <w:szCs w:val="24"/>
        </w:rPr>
        <w:t>of misconduct only days before his planned promotion. And Clawson does not even contend—</w:t>
      </w:r>
      <w:r>
        <w:rPr>
          <w:rFonts w:ascii="Times New Roman" w:hAnsi="Times New Roman"/>
          <w:sz w:val="24"/>
          <w:szCs w:val="24"/>
        </w:rPr>
        <w:t xml:space="preserve"> </w:t>
      </w:r>
      <w:r w:rsidRPr="00997C49">
        <w:rPr>
          <w:rFonts w:ascii="Times New Roman" w:hAnsi="Times New Roman"/>
          <w:sz w:val="24"/>
          <w:szCs w:val="24"/>
        </w:rPr>
        <w:t>nor could he, on the record before us—that Kowalski committed acts of misconduct or otherwise</w:t>
      </w:r>
      <w:r>
        <w:rPr>
          <w:rFonts w:ascii="Times New Roman" w:hAnsi="Times New Roman"/>
          <w:sz w:val="24"/>
          <w:szCs w:val="24"/>
        </w:rPr>
        <w:t xml:space="preserve"> </w:t>
      </w:r>
      <w:r w:rsidRPr="00997C49">
        <w:rPr>
          <w:rFonts w:ascii="Times New Roman" w:hAnsi="Times New Roman"/>
          <w:sz w:val="24"/>
          <w:szCs w:val="24"/>
        </w:rPr>
        <w:t>misbehaved during his tenure at the AFD. Therefore, Clawson has failed to present sufficient</w:t>
      </w:r>
      <w:r>
        <w:rPr>
          <w:rFonts w:ascii="Times New Roman" w:hAnsi="Times New Roman"/>
          <w:sz w:val="24"/>
          <w:szCs w:val="24"/>
        </w:rPr>
        <w:t xml:space="preserve"> </w:t>
      </w:r>
      <w:r w:rsidRPr="00997C49">
        <w:rPr>
          <w:rFonts w:ascii="Times New Roman" w:hAnsi="Times New Roman"/>
          <w:sz w:val="24"/>
          <w:szCs w:val="24"/>
        </w:rPr>
        <w:t>evidence that the AFD’s decision to promote Kowalski, whose score on the civil service exam</w:t>
      </w:r>
      <w:r>
        <w:rPr>
          <w:rFonts w:ascii="Times New Roman" w:hAnsi="Times New Roman"/>
          <w:sz w:val="24"/>
          <w:szCs w:val="24"/>
        </w:rPr>
        <w:t xml:space="preserve"> </w:t>
      </w:r>
      <w:r w:rsidRPr="00997C49">
        <w:rPr>
          <w:rFonts w:ascii="Times New Roman" w:hAnsi="Times New Roman"/>
          <w:sz w:val="24"/>
          <w:szCs w:val="24"/>
        </w:rPr>
        <w:t xml:space="preserve">placed him next in line for the battalion chief position, was motivated by race </w:t>
      </w:r>
      <w:proofErr w:type="gramStart"/>
      <w:r w:rsidRPr="00997C49">
        <w:rPr>
          <w:rFonts w:ascii="Times New Roman" w:hAnsi="Times New Roman"/>
          <w:sz w:val="24"/>
          <w:szCs w:val="24"/>
        </w:rPr>
        <w:t>discrimination.</w:t>
      </w:r>
      <w:r>
        <w:rPr>
          <w:rFonts w:ascii="Times New Roman" w:hAnsi="Times New Roman"/>
          <w:sz w:val="24"/>
          <w:szCs w:val="24"/>
        </w:rPr>
        <w:t>”</w:t>
      </w:r>
      <w:proofErr w:type="gramEnd"/>
    </w:p>
    <w:p w14:paraId="363ECB96" w14:textId="77777777" w:rsidR="006D6CFA" w:rsidRPr="005612B3" w:rsidRDefault="006D6CFA" w:rsidP="006D6CFA">
      <w:pPr>
        <w:pStyle w:val="NoSpacing"/>
        <w:ind w:left="720"/>
        <w:rPr>
          <w:rFonts w:ascii="Times New Roman" w:hAnsi="Times New Roman"/>
          <w:sz w:val="24"/>
          <w:szCs w:val="24"/>
        </w:rPr>
      </w:pPr>
      <w:r>
        <w:rPr>
          <w:rFonts w:ascii="Times New Roman" w:hAnsi="Times New Roman"/>
          <w:sz w:val="24"/>
          <w:szCs w:val="24"/>
        </w:rPr>
        <w:t xml:space="preserve"> </w:t>
      </w:r>
      <w:hyperlink r:id="rId1540" w:anchor="xml=https://ww3.ca2.uscourts.gov/decisions/isysquery/16788bba-62d9-413f-95b7-7dccd6899f82/2/hilite/" w:history="1">
        <w:r w:rsidRPr="0090149E">
          <w:rPr>
            <w:rStyle w:val="Hyperlink"/>
            <w:rFonts w:ascii="Times New Roman" w:hAnsi="Times New Roman"/>
            <w:sz w:val="24"/>
            <w:szCs w:val="24"/>
          </w:rPr>
          <w:t>https://ww3.ca2.uscourts.gov/decisions/isysquery/16788bba-62d9-413f-95b7-7dccd6899f82/2/doc/23-482_so.pdf#xml=https://ww3.ca2.uscourts.gov/decisions/isysquery/16788bba-62d9-413f-95b7-7dccd6899f82/2/hilite/</w:t>
        </w:r>
      </w:hyperlink>
      <w:r>
        <w:rPr>
          <w:rFonts w:ascii="Times New Roman" w:hAnsi="Times New Roman"/>
          <w:sz w:val="24"/>
          <w:szCs w:val="24"/>
        </w:rPr>
        <w:t xml:space="preserve"> </w:t>
      </w:r>
    </w:p>
    <w:p w14:paraId="7D804E14" w14:textId="77777777" w:rsidR="006D6CFA" w:rsidRPr="001434C8" w:rsidRDefault="006D6CFA" w:rsidP="006D6CFA">
      <w:pPr>
        <w:pStyle w:val="NoSpacing"/>
        <w:rPr>
          <w:rFonts w:ascii="Times New Roman" w:eastAsia="Times New Roman" w:hAnsi="Times New Roman"/>
          <w:kern w:val="36"/>
          <w:sz w:val="24"/>
          <w:szCs w:val="24"/>
        </w:rPr>
      </w:pPr>
    </w:p>
    <w:p w14:paraId="3E404F79" w14:textId="77777777" w:rsidR="006D6CFA" w:rsidRPr="00FE64F6" w:rsidRDefault="006D6CFA" w:rsidP="006D6CFA">
      <w:pPr>
        <w:pStyle w:val="NoSpacing"/>
        <w:rPr>
          <w:rFonts w:ascii="Times New Roman" w:hAnsi="Times New Roman"/>
          <w:b/>
          <w:bCs/>
          <w:sz w:val="24"/>
          <w:szCs w:val="24"/>
        </w:rPr>
      </w:pPr>
      <w:r w:rsidRPr="00FE64F6">
        <w:rPr>
          <w:rFonts w:ascii="Times New Roman" w:hAnsi="Times New Roman"/>
          <w:b/>
          <w:bCs/>
          <w:sz w:val="24"/>
          <w:szCs w:val="24"/>
        </w:rPr>
        <w:t xml:space="preserve">Legal Lesson Learned: </w:t>
      </w:r>
      <w:r>
        <w:rPr>
          <w:rFonts w:ascii="Times New Roman" w:hAnsi="Times New Roman"/>
          <w:b/>
          <w:bCs/>
          <w:sz w:val="24"/>
          <w:szCs w:val="24"/>
        </w:rPr>
        <w:t xml:space="preserve">The FD had a legitimate reason to rescind the promotion. </w:t>
      </w:r>
    </w:p>
    <w:p w14:paraId="4435B8B0" w14:textId="77777777" w:rsidR="006D6CFA" w:rsidRDefault="006D6CFA" w:rsidP="006D6CFA">
      <w:pPr>
        <w:pStyle w:val="NormalWeb"/>
        <w:spacing w:before="0" w:beforeAutospacing="0"/>
      </w:pPr>
    </w:p>
    <w:p w14:paraId="5BFB08B5" w14:textId="77777777" w:rsidR="006D6CFA" w:rsidRDefault="006D6CFA" w:rsidP="006D6CFA">
      <w:pPr>
        <w:pStyle w:val="NormalWeb"/>
        <w:spacing w:before="0" w:beforeAutospacing="0"/>
      </w:pPr>
    </w:p>
    <w:p w14:paraId="5702278F" w14:textId="2C0BDF01" w:rsidR="005251B2" w:rsidRDefault="005251B2" w:rsidP="00BC70A3">
      <w:pPr>
        <w:rPr>
          <w:rFonts w:ascii="Arial Black" w:hAnsi="Arial Black"/>
          <w:b/>
          <w:sz w:val="24"/>
          <w:szCs w:val="24"/>
        </w:rPr>
      </w:pPr>
      <w:r>
        <w:rPr>
          <w:rFonts w:ascii="Arial Black" w:hAnsi="Arial Black"/>
          <w:b/>
          <w:sz w:val="24"/>
          <w:szCs w:val="24"/>
        </w:rPr>
        <w:t>8-58</w:t>
      </w:r>
    </w:p>
    <w:p w14:paraId="2B8448C9" w14:textId="77777777" w:rsidR="00267A43" w:rsidRDefault="00267A43" w:rsidP="00267A43">
      <w:pPr>
        <w:pStyle w:val="NormalWeb"/>
        <w:rPr>
          <w:rFonts w:ascii="Arial Black" w:hAnsi="Arial Black"/>
          <w:sz w:val="28"/>
          <w:szCs w:val="28"/>
        </w:rPr>
      </w:pPr>
      <w:r w:rsidRPr="00674E4D">
        <w:rPr>
          <w:rFonts w:ascii="Arial Black" w:hAnsi="Arial Black"/>
          <w:sz w:val="28"/>
          <w:szCs w:val="28"/>
        </w:rPr>
        <w:t xml:space="preserve">OH: </w:t>
      </w:r>
      <w:r>
        <w:rPr>
          <w:rFonts w:ascii="Arial Black" w:hAnsi="Arial Black"/>
          <w:sz w:val="28"/>
          <w:szCs w:val="28"/>
        </w:rPr>
        <w:t>SCBAs – OSHA REQUIRES CLEAN SHAVEN – BLACK FF RETIRED INSTEAD OF SHAVING – NO ADA / RACE DISCRIM.</w:t>
      </w:r>
    </w:p>
    <w:p w14:paraId="0CE91A91" w14:textId="77777777" w:rsidR="00267A43" w:rsidRPr="00CC55BD" w:rsidRDefault="00267A43" w:rsidP="00267A43">
      <w:pPr>
        <w:pStyle w:val="NormalWeb"/>
      </w:pPr>
      <w:r>
        <w:t xml:space="preserve">On Feb. 28, 2024, in </w:t>
      </w:r>
      <w:r w:rsidRPr="00293519">
        <w:rPr>
          <w:u w:val="single"/>
        </w:rPr>
        <w:t>Anthony Davis c. City of Cleveland, et al</w:t>
      </w:r>
      <w:r>
        <w:t xml:space="preserve">., U.S. District Court Judge Solomon Oliver, Jr., U.S. District Court for Northern District of Ohio (Eastern District) granted the city’s motion for judgment on the pleadings.  </w:t>
      </w:r>
    </w:p>
    <w:p w14:paraId="65ACF475" w14:textId="77777777" w:rsidR="00267A43" w:rsidRDefault="00267A43" w:rsidP="00267A43">
      <w:pPr>
        <w:pStyle w:val="NormalWeb"/>
      </w:pPr>
      <w:r>
        <w:t xml:space="preserve">The Court held:  </w:t>
      </w:r>
    </w:p>
    <w:p w14:paraId="372B06CB" w14:textId="77777777" w:rsidR="00267A43" w:rsidRDefault="00267A43" w:rsidP="00267A43">
      <w:pPr>
        <w:pStyle w:val="NormalWeb"/>
        <w:ind w:left="720"/>
      </w:pPr>
      <w:r>
        <w:t>“</w:t>
      </w:r>
      <w:r w:rsidRPr="002C1351">
        <w:t>In sum, Ohio law requires Cleveland to follow OSHA regulations. And those regulations make clear that firefighters with beards may not wear SCBAs. *** And in any event, the court finds that Cleveland's policy is in fact based on business necessity. Accordingly, the court grants</w:t>
      </w:r>
      <w:r>
        <w:t xml:space="preserve"> judgment on the pleadings to Cleveland on Davis's race-discrimination claims. *** Cleveland argues that Davis's requested accommodation-that he be permitted to maintain a short beard-was </w:t>
      </w:r>
      <w:r>
        <w:rPr>
          <w:rStyle w:val="Emphasis"/>
        </w:rPr>
        <w:t>per se</w:t>
      </w:r>
      <w:r>
        <w:t xml:space="preserve"> unreasonable because providing it would have required Cleveland to contravene binding OSHA regulations. The court agrees. *** Davis brings a sympathetic case. He allegedly suffers from a skin condition that afflicts Black men only and was forced to leave the firefighting force-his career of nearly two decades-through no fault of his own. Nevertheless, the court is constrained by the law with respect to the claims he pled.” </w:t>
      </w:r>
      <w:hyperlink r:id="rId1541" w:history="1">
        <w:r w:rsidRPr="00050BB1">
          <w:rPr>
            <w:rStyle w:val="Hyperlink"/>
          </w:rPr>
          <w:t>https://public.fastcase.com/H1P9uiW3J20SFp%2BGCG%2BxLZkQf01yoKKyjTHIQ3i58nX%2B%2FAIlJ7l43hvEF8qKhahXQJQ44fkPKDzD6joZ4LsI7iTOFXPdH5%2Fv%2FKD427ldKjE%3D?utm_medium=email&amp;_hsmi=226712652&amp;_hsenc=p2ANqtz-_U89LkNl4P4fsnOucPHRbeGtR2XeKR1phEbD7-UuIt_KCX3oxL0CAr1yX56v7BapUY4ITdG8_rGIJJyhgPBOVmvvkgdg&amp;utm_content=226712652&amp;utm_source=hs_email</w:t>
        </w:r>
      </w:hyperlink>
      <w:r>
        <w:t xml:space="preserve"> </w:t>
      </w:r>
    </w:p>
    <w:p w14:paraId="6314C5BA" w14:textId="77777777" w:rsidR="00267A43" w:rsidRPr="006A2CE2" w:rsidRDefault="00267A43" w:rsidP="00267A43">
      <w:pPr>
        <w:pStyle w:val="NormalWeb"/>
        <w:rPr>
          <w:b/>
          <w:bCs/>
        </w:rPr>
      </w:pPr>
      <w:r w:rsidRPr="006A2CE2">
        <w:rPr>
          <w:b/>
          <w:bCs/>
        </w:rPr>
        <w:t>Legal Lesson Learned:</w:t>
      </w:r>
      <w:r>
        <w:rPr>
          <w:b/>
          <w:bCs/>
        </w:rPr>
        <w:t xml:space="preserve"> Numerous courts have upheld the OSHA regulations. </w:t>
      </w:r>
    </w:p>
    <w:p w14:paraId="2EF25B6B" w14:textId="77777777" w:rsidR="00267A43" w:rsidRDefault="00267A43" w:rsidP="00267A43">
      <w:pPr>
        <w:pStyle w:val="NormalWeb"/>
        <w:ind w:left="720"/>
      </w:pPr>
      <w:r w:rsidRPr="008E69EB">
        <w:t xml:space="preserve">Note: See these cases. </w:t>
      </w:r>
      <w:r w:rsidRPr="008E69EB">
        <w:rPr>
          <w:rStyle w:val="Emphasis"/>
        </w:rPr>
        <w:t>See, e.g.</w:t>
      </w:r>
      <w:r w:rsidRPr="008E69EB">
        <w:t xml:space="preserve">, </w:t>
      </w:r>
      <w:r w:rsidRPr="008E69EB">
        <w:rPr>
          <w:rStyle w:val="Emphasis"/>
        </w:rPr>
        <w:t>Bey</w:t>
      </w:r>
      <w:r w:rsidRPr="008E69EB">
        <w:t xml:space="preserve">, 999 F.3d at 170 (“Title VII cannot be used to require employers to depart from binding federal regulations.”); </w:t>
      </w:r>
      <w:r w:rsidRPr="008E69EB">
        <w:rPr>
          <w:rStyle w:val="Emphasis"/>
        </w:rPr>
        <w:t>Jones v. City of Jacksonville</w:t>
      </w:r>
      <w:r w:rsidRPr="008E69EB">
        <w:t xml:space="preserve">, 2023 WL 3595154, at *6 (M.D. Fla. Jan. 13, 2023) (“Legally binding federal regulations present a complete defense [to Title VII claims].”); </w:t>
      </w:r>
      <w:r w:rsidRPr="008E69EB">
        <w:rPr>
          <w:rStyle w:val="Emphasis"/>
        </w:rPr>
        <w:t>see also Fitzpatrick v. City of Atlanta</w:t>
      </w:r>
      <w:r w:rsidRPr="008E69EB">
        <w:t>, 2 F.3d 1112, 1119-21 (11th Cir. 1993) (holding that safety concerns made defendant city's “ban on shadow beards” a business necessity, even though the city was “not required by law to comply with OSHA standards”).</w:t>
      </w:r>
    </w:p>
    <w:p w14:paraId="22A9F276" w14:textId="77777777" w:rsidR="00267A43" w:rsidRDefault="00267A43" w:rsidP="00267A43">
      <w:pPr>
        <w:pStyle w:val="byline"/>
        <w:ind w:left="720"/>
      </w:pPr>
      <w:r>
        <w:lastRenderedPageBreak/>
        <w:t xml:space="preserve">In 2008, however, Washington. D.C. Fire Department lost at trial court level on summary judgment without a trial.  The U.S. Court of Appeals for the D.C. Circuit upheld, with strong concurring opinion.  WILLIAMS, Senior Circuit Judge, concurring: </w:t>
      </w:r>
    </w:p>
    <w:p w14:paraId="6CC7637E" w14:textId="77777777" w:rsidR="00267A43" w:rsidRPr="008E69EB" w:rsidRDefault="00267A43" w:rsidP="00267A43">
      <w:pPr>
        <w:pStyle w:val="paragraph"/>
        <w:ind w:left="1440"/>
      </w:pPr>
      <w:r>
        <w:t xml:space="preserve">“The record here unequivocally discloses a disputed issue of material fact. Yet the district court granted summary judgment. If the sole aim of the law were an open search for truth, we would plainly reverse.”  </w:t>
      </w:r>
      <w:r w:rsidRPr="00B75B81">
        <w:rPr>
          <w:u w:val="single"/>
        </w:rPr>
        <w:t>Potter v. District of Columbia</w:t>
      </w:r>
      <w:r>
        <w:t xml:space="preserve">, </w:t>
      </w:r>
      <w:hyperlink r:id="rId1542" w:history="1">
        <w:r w:rsidRPr="00050BB1">
          <w:rPr>
            <w:rStyle w:val="Hyperlink"/>
          </w:rPr>
          <w:t>https://casetext.com/case/potter-v-district-of-columbia-2</w:t>
        </w:r>
      </w:hyperlink>
      <w:r>
        <w:t xml:space="preserve"> </w:t>
      </w:r>
    </w:p>
    <w:p w14:paraId="7E8ABD12" w14:textId="77777777" w:rsidR="00267A43" w:rsidRDefault="00267A43" w:rsidP="00BC70A3">
      <w:pPr>
        <w:rPr>
          <w:rFonts w:ascii="Arial Black" w:hAnsi="Arial Black"/>
          <w:b/>
          <w:sz w:val="24"/>
          <w:szCs w:val="24"/>
        </w:rPr>
      </w:pPr>
    </w:p>
    <w:p w14:paraId="11BAD1FC" w14:textId="77777777" w:rsidR="005251B2" w:rsidRDefault="005251B2" w:rsidP="00BC70A3">
      <w:pPr>
        <w:rPr>
          <w:rFonts w:ascii="Arial Black" w:hAnsi="Arial Black"/>
          <w:b/>
          <w:sz w:val="24"/>
          <w:szCs w:val="24"/>
        </w:rPr>
      </w:pPr>
    </w:p>
    <w:p w14:paraId="34C20508" w14:textId="08B48E11" w:rsidR="00E47A1F" w:rsidRDefault="00E47A1F" w:rsidP="00BC70A3">
      <w:pPr>
        <w:rPr>
          <w:rFonts w:ascii="Arial Black" w:hAnsi="Arial Black"/>
          <w:b/>
          <w:sz w:val="24"/>
          <w:szCs w:val="24"/>
        </w:rPr>
      </w:pPr>
      <w:r>
        <w:rPr>
          <w:rFonts w:ascii="Arial Black" w:hAnsi="Arial Black"/>
          <w:b/>
          <w:sz w:val="24"/>
          <w:szCs w:val="24"/>
        </w:rPr>
        <w:t>8-57</w:t>
      </w:r>
    </w:p>
    <w:p w14:paraId="01EC4513" w14:textId="2576FA2B" w:rsidR="00D96E5D" w:rsidRDefault="00D96E5D" w:rsidP="00D96E5D">
      <w:pPr>
        <w:pStyle w:val="Heading1"/>
        <w:rPr>
          <w:rFonts w:ascii="Arial Black" w:hAnsi="Arial Black"/>
          <w:sz w:val="28"/>
          <w:szCs w:val="28"/>
        </w:rPr>
      </w:pPr>
      <w:r w:rsidRPr="00950088">
        <w:rPr>
          <w:rFonts w:ascii="Arial Black" w:hAnsi="Arial Black"/>
          <w:sz w:val="28"/>
          <w:szCs w:val="28"/>
        </w:rPr>
        <w:t>MS:</w:t>
      </w:r>
      <w:r>
        <w:rPr>
          <w:rFonts w:ascii="Arial Black" w:hAnsi="Arial Black"/>
          <w:sz w:val="28"/>
          <w:szCs w:val="28"/>
        </w:rPr>
        <w:t xml:space="preserve"> DIVERSITY SCHOLARSHIPS – NAT. ASSOC. OF EMERG. TECHNICIANS –</w:t>
      </w:r>
      <w:r w:rsidR="00A34572">
        <w:rPr>
          <w:rFonts w:ascii="Arial Black" w:hAnsi="Arial Black"/>
          <w:sz w:val="28"/>
          <w:szCs w:val="28"/>
        </w:rPr>
        <w:t xml:space="preserve"> </w:t>
      </w:r>
      <w:r>
        <w:rPr>
          <w:rFonts w:ascii="Arial Black" w:hAnsi="Arial Black"/>
          <w:sz w:val="28"/>
          <w:szCs w:val="28"/>
        </w:rPr>
        <w:t>PLAINTIFF GROUP DENIED TRO</w:t>
      </w:r>
    </w:p>
    <w:p w14:paraId="60229882" w14:textId="77777777" w:rsidR="00D96E5D" w:rsidRDefault="00D96E5D" w:rsidP="00D96E5D">
      <w:pPr>
        <w:pStyle w:val="Heading1"/>
        <w:rPr>
          <w:b w:val="0"/>
          <w:bCs w:val="0"/>
          <w:sz w:val="24"/>
          <w:szCs w:val="24"/>
        </w:rPr>
      </w:pPr>
      <w:r w:rsidRPr="00F27874">
        <w:rPr>
          <w:b w:val="0"/>
          <w:bCs w:val="0"/>
          <w:sz w:val="24"/>
          <w:szCs w:val="24"/>
        </w:rPr>
        <w:t xml:space="preserve">On </w:t>
      </w:r>
      <w:r>
        <w:rPr>
          <w:b w:val="0"/>
          <w:bCs w:val="0"/>
          <w:sz w:val="24"/>
          <w:szCs w:val="24"/>
        </w:rPr>
        <w:t xml:space="preserve">Jan. 23, 2024, in </w:t>
      </w:r>
      <w:r w:rsidRPr="00A7776E">
        <w:rPr>
          <w:b w:val="0"/>
          <w:bCs w:val="0"/>
          <w:sz w:val="24"/>
          <w:szCs w:val="24"/>
          <w:u w:val="single"/>
        </w:rPr>
        <w:t>Do No Harm v. National Association of Emergency Medical Technicians</w:t>
      </w:r>
      <w:r>
        <w:rPr>
          <w:b w:val="0"/>
          <w:bCs w:val="0"/>
          <w:sz w:val="24"/>
          <w:szCs w:val="24"/>
        </w:rPr>
        <w:t>, U.S. District Court Judge Carlton W. Reeves, U.S. District Court for the Southern District of Mississippi (Northern Division) denied the Plaintiff group’s motion for Temporary Restraining Order since no White member of the group has applied or been denied the scholarships. The NAEMT may therefore proceed with its application process for four $1,250 “diversity” scholarships to attend EMT school (applications due F</w:t>
      </w:r>
      <w:r w:rsidRPr="001F447E">
        <w:rPr>
          <w:b w:val="0"/>
          <w:bCs w:val="0"/>
          <w:sz w:val="24"/>
          <w:szCs w:val="24"/>
        </w:rPr>
        <w:t xml:space="preserve">ebruary 1, 2024 </w:t>
      </w:r>
      <w:r>
        <w:rPr>
          <w:b w:val="0"/>
          <w:bCs w:val="0"/>
          <w:sz w:val="24"/>
          <w:szCs w:val="24"/>
        </w:rPr>
        <w:t xml:space="preserve">- </w:t>
      </w:r>
      <w:r w:rsidRPr="001F447E">
        <w:rPr>
          <w:b w:val="0"/>
          <w:bCs w:val="0"/>
          <w:sz w:val="24"/>
          <w:szCs w:val="24"/>
        </w:rPr>
        <w:t>March 31, 2024</w:t>
      </w:r>
      <w:r>
        <w:rPr>
          <w:b w:val="0"/>
          <w:bCs w:val="0"/>
          <w:sz w:val="24"/>
          <w:szCs w:val="24"/>
        </w:rPr>
        <w:t xml:space="preserve">); </w:t>
      </w:r>
      <w:proofErr w:type="gramStart"/>
      <w:r>
        <w:rPr>
          <w:b w:val="0"/>
          <w:bCs w:val="0"/>
          <w:sz w:val="24"/>
          <w:szCs w:val="24"/>
        </w:rPr>
        <w:t>however</w:t>
      </w:r>
      <w:proofErr w:type="gramEnd"/>
      <w:r>
        <w:rPr>
          <w:b w:val="0"/>
          <w:bCs w:val="0"/>
          <w:sz w:val="24"/>
          <w:szCs w:val="24"/>
        </w:rPr>
        <w:t xml:space="preserve"> the Court notes they have taken down the scholarship from their web page. </w:t>
      </w:r>
    </w:p>
    <w:p w14:paraId="2A418C52" w14:textId="77777777" w:rsidR="00D96E5D" w:rsidRPr="001B6242" w:rsidRDefault="00D96E5D" w:rsidP="00D96E5D">
      <w:pPr>
        <w:pStyle w:val="NoSpacing"/>
        <w:ind w:firstLine="720"/>
        <w:rPr>
          <w:rFonts w:ascii="Times New Roman" w:hAnsi="Times New Roman"/>
          <w:sz w:val="24"/>
          <w:szCs w:val="24"/>
        </w:rPr>
      </w:pPr>
      <w:r>
        <w:rPr>
          <w:rFonts w:ascii="Times New Roman" w:hAnsi="Times New Roman"/>
          <w:sz w:val="24"/>
          <w:szCs w:val="24"/>
        </w:rPr>
        <w:t>“</w:t>
      </w:r>
      <w:r w:rsidRPr="001B6242">
        <w:rPr>
          <w:rFonts w:ascii="Times New Roman" w:hAnsi="Times New Roman"/>
          <w:sz w:val="24"/>
          <w:szCs w:val="24"/>
        </w:rPr>
        <w:t>Applied here, the caselaw suggests infirmities in Do No Harm’s standing to bring this</w:t>
      </w:r>
    </w:p>
    <w:p w14:paraId="2FB0EF25" w14:textId="77777777" w:rsidR="00D96E5D" w:rsidRPr="001B6242" w:rsidRDefault="00D96E5D" w:rsidP="00D96E5D">
      <w:pPr>
        <w:pStyle w:val="NoSpacing"/>
        <w:ind w:firstLine="720"/>
        <w:rPr>
          <w:rFonts w:ascii="Times New Roman" w:hAnsi="Times New Roman"/>
          <w:sz w:val="24"/>
          <w:szCs w:val="24"/>
        </w:rPr>
      </w:pPr>
      <w:r w:rsidRPr="001B6242">
        <w:rPr>
          <w:rFonts w:ascii="Times New Roman" w:hAnsi="Times New Roman"/>
          <w:sz w:val="24"/>
          <w:szCs w:val="24"/>
        </w:rPr>
        <w:t>§ 1981 claim. Its member has apparently only been deterred from applying, rather than</w:t>
      </w:r>
    </w:p>
    <w:p w14:paraId="31D3319D" w14:textId="77777777" w:rsidR="00D96E5D" w:rsidRDefault="00D96E5D" w:rsidP="00D96E5D">
      <w:pPr>
        <w:pStyle w:val="NoSpacing"/>
        <w:ind w:left="720"/>
        <w:rPr>
          <w:rFonts w:ascii="Times New Roman" w:hAnsi="Times New Roman"/>
          <w:sz w:val="24"/>
          <w:szCs w:val="24"/>
        </w:rPr>
      </w:pPr>
      <w:r w:rsidRPr="001B6242">
        <w:rPr>
          <w:rFonts w:ascii="Times New Roman" w:hAnsi="Times New Roman"/>
          <w:sz w:val="24"/>
          <w:szCs w:val="24"/>
        </w:rPr>
        <w:t>refused a contract. See Arguello, 330 F.3d at 358-59. And in the absence of a racial requirement</w:t>
      </w:r>
      <w:r>
        <w:rPr>
          <w:rFonts w:ascii="Times New Roman" w:hAnsi="Times New Roman"/>
          <w:sz w:val="24"/>
          <w:szCs w:val="24"/>
        </w:rPr>
        <w:t xml:space="preserve"> </w:t>
      </w:r>
      <w:r w:rsidRPr="001B6242">
        <w:rPr>
          <w:rFonts w:ascii="Times New Roman" w:hAnsi="Times New Roman"/>
          <w:sz w:val="24"/>
          <w:szCs w:val="24"/>
        </w:rPr>
        <w:t>in the scholarship’s eligibility requirements or an explicit bar against white applicants, we</w:t>
      </w:r>
      <w:r w:rsidRPr="001B6242">
        <w:rPr>
          <w:rFonts w:ascii="Times New Roman" w:hAnsi="Times New Roman"/>
          <w:b/>
          <w:bCs/>
          <w:sz w:val="24"/>
          <w:szCs w:val="24"/>
        </w:rPr>
        <w:t xml:space="preserve"> </w:t>
      </w:r>
      <w:r w:rsidRPr="001B6242">
        <w:rPr>
          <w:rFonts w:ascii="Times New Roman" w:hAnsi="Times New Roman"/>
          <w:sz w:val="24"/>
          <w:szCs w:val="24"/>
        </w:rPr>
        <w:t xml:space="preserve">are all forced to </w:t>
      </w:r>
      <w:r>
        <w:rPr>
          <w:rFonts w:ascii="Times New Roman" w:hAnsi="Times New Roman"/>
          <w:sz w:val="24"/>
          <w:szCs w:val="24"/>
        </w:rPr>
        <w:t>‘</w:t>
      </w:r>
      <w:r w:rsidRPr="001B6242">
        <w:rPr>
          <w:rFonts w:ascii="Times New Roman" w:hAnsi="Times New Roman"/>
          <w:sz w:val="24"/>
          <w:szCs w:val="24"/>
        </w:rPr>
        <w:t>speculate as to the injuries [Member A] might suffer. That we cannot do.</w:t>
      </w:r>
      <w:r>
        <w:rPr>
          <w:rFonts w:ascii="Times New Roman" w:hAnsi="Times New Roman"/>
          <w:sz w:val="24"/>
          <w:szCs w:val="24"/>
        </w:rPr>
        <w:t xml:space="preserve">’ </w:t>
      </w:r>
      <w:r w:rsidRPr="001B6242">
        <w:rPr>
          <w:rFonts w:ascii="Times New Roman" w:hAnsi="Times New Roman"/>
          <w:sz w:val="24"/>
          <w:szCs w:val="24"/>
        </w:rPr>
        <w:t>Barber, 860 F.3d at 357.</w:t>
      </w:r>
    </w:p>
    <w:p w14:paraId="0E231F57" w14:textId="77777777" w:rsidR="00D96E5D" w:rsidRDefault="00D96E5D" w:rsidP="00D96E5D">
      <w:pPr>
        <w:pStyle w:val="NoSpacing"/>
        <w:ind w:left="720"/>
        <w:rPr>
          <w:rFonts w:ascii="Times New Roman" w:hAnsi="Times New Roman"/>
          <w:sz w:val="24"/>
          <w:szCs w:val="24"/>
        </w:rPr>
      </w:pPr>
    </w:p>
    <w:p w14:paraId="74761522" w14:textId="77777777" w:rsidR="00D96E5D" w:rsidRDefault="00D96E5D" w:rsidP="00D96E5D">
      <w:pPr>
        <w:pStyle w:val="NoSpacing"/>
        <w:ind w:left="720"/>
        <w:rPr>
          <w:rFonts w:ascii="Times New Roman" w:hAnsi="Times New Roman"/>
          <w:sz w:val="24"/>
          <w:szCs w:val="24"/>
        </w:rPr>
      </w:pPr>
      <w:r>
        <w:rPr>
          <w:rFonts w:ascii="Times New Roman" w:hAnsi="Times New Roman"/>
          <w:sz w:val="24"/>
          <w:szCs w:val="24"/>
        </w:rPr>
        <w:t>***</w:t>
      </w:r>
    </w:p>
    <w:p w14:paraId="7115B2F5" w14:textId="77777777" w:rsidR="00D96E5D" w:rsidRDefault="00D96E5D" w:rsidP="00D96E5D">
      <w:pPr>
        <w:pStyle w:val="NoSpacing"/>
        <w:ind w:firstLine="720"/>
        <w:rPr>
          <w:rFonts w:ascii="Times New Roman" w:hAnsi="Times New Roman"/>
          <w:b/>
          <w:bCs/>
          <w:sz w:val="24"/>
          <w:szCs w:val="24"/>
        </w:rPr>
      </w:pPr>
    </w:p>
    <w:p w14:paraId="687F59B6" w14:textId="77777777" w:rsidR="00D96E5D" w:rsidRPr="001178AA" w:rsidRDefault="00D96E5D" w:rsidP="00D96E5D">
      <w:pPr>
        <w:pStyle w:val="NoSpacing"/>
        <w:ind w:firstLine="720"/>
        <w:rPr>
          <w:rFonts w:ascii="Times New Roman" w:hAnsi="Times New Roman"/>
          <w:sz w:val="24"/>
          <w:szCs w:val="24"/>
        </w:rPr>
      </w:pPr>
      <w:r w:rsidRPr="001178AA">
        <w:rPr>
          <w:rFonts w:ascii="Times New Roman" w:hAnsi="Times New Roman"/>
          <w:sz w:val="24"/>
          <w:szCs w:val="24"/>
        </w:rPr>
        <w:t>Lastly, the Court observes that as of today, NAEMT has removed its diversity</w:t>
      </w:r>
    </w:p>
    <w:p w14:paraId="78A18CEE" w14:textId="77777777" w:rsidR="00D96E5D" w:rsidRPr="001178AA" w:rsidRDefault="00D96E5D" w:rsidP="00D96E5D">
      <w:pPr>
        <w:pStyle w:val="NoSpacing"/>
        <w:ind w:left="720"/>
        <w:rPr>
          <w:rFonts w:ascii="Times New Roman" w:hAnsi="Times New Roman"/>
          <w:sz w:val="24"/>
          <w:szCs w:val="24"/>
        </w:rPr>
      </w:pPr>
      <w:r w:rsidRPr="001178AA">
        <w:rPr>
          <w:rFonts w:ascii="Times New Roman" w:hAnsi="Times New Roman"/>
          <w:sz w:val="24"/>
          <w:szCs w:val="24"/>
        </w:rPr>
        <w:t>scholarship from public display on its website. If the parties’ differences have been resolved,</w:t>
      </w:r>
      <w:r>
        <w:rPr>
          <w:rFonts w:ascii="Times New Roman" w:hAnsi="Times New Roman"/>
          <w:sz w:val="24"/>
          <w:szCs w:val="24"/>
        </w:rPr>
        <w:t xml:space="preserve"> </w:t>
      </w:r>
      <w:r w:rsidRPr="001178AA">
        <w:rPr>
          <w:rFonts w:ascii="Times New Roman" w:hAnsi="Times New Roman"/>
          <w:sz w:val="24"/>
          <w:szCs w:val="24"/>
        </w:rPr>
        <w:t>they shall promptly notify the Court.</w:t>
      </w:r>
      <w:r>
        <w:rPr>
          <w:rFonts w:ascii="Times New Roman" w:hAnsi="Times New Roman"/>
          <w:sz w:val="24"/>
          <w:szCs w:val="24"/>
        </w:rPr>
        <w:t xml:space="preserve">” </w:t>
      </w:r>
      <w:hyperlink r:id="rId1543" w:history="1">
        <w:r w:rsidRPr="00663E4B">
          <w:rPr>
            <w:rStyle w:val="Hyperlink"/>
            <w:rFonts w:ascii="Times New Roman" w:hAnsi="Times New Roman"/>
            <w:sz w:val="24"/>
            <w:szCs w:val="24"/>
          </w:rPr>
          <w:t>https://cases.justia.com/federal/district-courts/mississippi/mssdce/3:2024cv00011/123477/12/0.pdf?ts=1706115384</w:t>
        </w:r>
      </w:hyperlink>
      <w:r>
        <w:rPr>
          <w:rFonts w:ascii="Times New Roman" w:hAnsi="Times New Roman"/>
          <w:sz w:val="24"/>
          <w:szCs w:val="24"/>
        </w:rPr>
        <w:t xml:space="preserve"> </w:t>
      </w:r>
    </w:p>
    <w:p w14:paraId="3EC71BF7" w14:textId="77777777" w:rsidR="00643222" w:rsidRDefault="00643222" w:rsidP="00643222">
      <w:pPr>
        <w:pStyle w:val="NoSpacing"/>
        <w:rPr>
          <w:rFonts w:ascii="Times New Roman" w:hAnsi="Times New Roman"/>
          <w:b/>
          <w:bCs/>
          <w:sz w:val="24"/>
          <w:szCs w:val="24"/>
        </w:rPr>
      </w:pPr>
    </w:p>
    <w:p w14:paraId="084F58B6" w14:textId="58D6AD67" w:rsidR="00643222" w:rsidRDefault="00643222" w:rsidP="00643222">
      <w:pPr>
        <w:pStyle w:val="NoSpacing"/>
        <w:rPr>
          <w:rFonts w:ascii="Times New Roman" w:hAnsi="Times New Roman"/>
          <w:b/>
          <w:bCs/>
          <w:sz w:val="24"/>
          <w:szCs w:val="24"/>
        </w:rPr>
      </w:pPr>
      <w:r w:rsidRPr="001065A9">
        <w:rPr>
          <w:rFonts w:ascii="Times New Roman" w:hAnsi="Times New Roman"/>
          <w:b/>
          <w:bCs/>
          <w:sz w:val="24"/>
          <w:szCs w:val="24"/>
        </w:rPr>
        <w:t xml:space="preserve">Legal Lesson Learned: </w:t>
      </w:r>
      <w:r>
        <w:rPr>
          <w:rFonts w:ascii="Times New Roman" w:hAnsi="Times New Roman"/>
          <w:b/>
          <w:bCs/>
          <w:sz w:val="24"/>
          <w:szCs w:val="24"/>
        </w:rPr>
        <w:t xml:space="preserve">Lawsuit may now proceed with pre-trial discovery unless it has been mooted by NAEMT dropping their diversity scholarships. </w:t>
      </w:r>
    </w:p>
    <w:p w14:paraId="670AF7A9" w14:textId="77777777" w:rsidR="00643222" w:rsidRDefault="00643222" w:rsidP="00643222">
      <w:pPr>
        <w:pStyle w:val="NoSpacing"/>
        <w:rPr>
          <w:rFonts w:ascii="Times New Roman" w:hAnsi="Times New Roman"/>
          <w:b/>
          <w:bCs/>
          <w:sz w:val="24"/>
          <w:szCs w:val="24"/>
        </w:rPr>
      </w:pPr>
    </w:p>
    <w:p w14:paraId="2ACBFB6B" w14:textId="32A92EA7" w:rsidR="00643222" w:rsidRDefault="00643222" w:rsidP="00643222">
      <w:pPr>
        <w:pStyle w:val="NoSpacing"/>
        <w:ind w:left="720"/>
        <w:rPr>
          <w:rFonts w:ascii="Times New Roman" w:hAnsi="Times New Roman"/>
          <w:sz w:val="24"/>
          <w:szCs w:val="24"/>
        </w:rPr>
      </w:pPr>
      <w:r w:rsidRPr="0082425E">
        <w:rPr>
          <w:rFonts w:ascii="Times New Roman" w:hAnsi="Times New Roman"/>
          <w:sz w:val="24"/>
          <w:szCs w:val="24"/>
        </w:rPr>
        <w:t>Note:</w:t>
      </w:r>
      <w:r>
        <w:rPr>
          <w:rFonts w:ascii="Times New Roman" w:hAnsi="Times New Roman"/>
          <w:sz w:val="24"/>
          <w:szCs w:val="24"/>
        </w:rPr>
        <w:t xml:space="preserve"> This case is another example of lawsuits being filed challenging diversity programs s</w:t>
      </w:r>
      <w:r w:rsidRPr="0082425E">
        <w:rPr>
          <w:rFonts w:ascii="Times New Roman" w:hAnsi="Times New Roman"/>
          <w:sz w:val="24"/>
          <w:szCs w:val="24"/>
        </w:rPr>
        <w:t xml:space="preserve">ince the U.S. Supreme Court’s June 29, </w:t>
      </w:r>
      <w:proofErr w:type="gramStart"/>
      <w:r w:rsidRPr="0082425E">
        <w:rPr>
          <w:rFonts w:ascii="Times New Roman" w:hAnsi="Times New Roman"/>
          <w:sz w:val="24"/>
          <w:szCs w:val="24"/>
        </w:rPr>
        <w:t>2023</w:t>
      </w:r>
      <w:proofErr w:type="gramEnd"/>
      <w:r w:rsidRPr="0082425E">
        <w:rPr>
          <w:rFonts w:ascii="Times New Roman" w:hAnsi="Times New Roman"/>
          <w:sz w:val="24"/>
          <w:szCs w:val="24"/>
        </w:rPr>
        <w:t xml:space="preserve"> decision holding that Harvard University and University of North Carolina’s admissions programs accounting for race of applicants violated the Equal Protection Clause of 14</w:t>
      </w:r>
      <w:r w:rsidRPr="0082425E">
        <w:rPr>
          <w:rFonts w:ascii="Times New Roman" w:hAnsi="Times New Roman"/>
          <w:sz w:val="24"/>
          <w:szCs w:val="24"/>
          <w:vertAlign w:val="superscript"/>
        </w:rPr>
        <w:t>th</w:t>
      </w:r>
      <w:r w:rsidRPr="0082425E">
        <w:rPr>
          <w:rFonts w:ascii="Times New Roman" w:hAnsi="Times New Roman"/>
          <w:sz w:val="24"/>
          <w:szCs w:val="24"/>
        </w:rPr>
        <w:t xml:space="preserve"> Amendment</w:t>
      </w:r>
      <w:r>
        <w:rPr>
          <w:rFonts w:ascii="Times New Roman" w:hAnsi="Times New Roman"/>
          <w:sz w:val="24"/>
          <w:szCs w:val="24"/>
        </w:rPr>
        <w:t xml:space="preserve">. </w:t>
      </w:r>
      <w:r w:rsidRPr="00C13969">
        <w:rPr>
          <w:rFonts w:ascii="Times New Roman" w:hAnsi="Times New Roman"/>
          <w:sz w:val="24"/>
          <w:szCs w:val="24"/>
        </w:rPr>
        <w:t>STUDENTS FOR FAIR ADMISSIONS, INC. v.</w:t>
      </w:r>
      <w:r>
        <w:rPr>
          <w:rFonts w:ascii="Times New Roman" w:hAnsi="Times New Roman"/>
          <w:sz w:val="24"/>
          <w:szCs w:val="24"/>
        </w:rPr>
        <w:t xml:space="preserve"> </w:t>
      </w:r>
      <w:r w:rsidRPr="00C13969">
        <w:rPr>
          <w:rFonts w:ascii="Times New Roman" w:hAnsi="Times New Roman"/>
          <w:sz w:val="24"/>
          <w:szCs w:val="24"/>
        </w:rPr>
        <w:t>PRESIDENT AND FELLOWS OF</w:t>
      </w:r>
      <w:r>
        <w:rPr>
          <w:rFonts w:ascii="Times New Roman" w:hAnsi="Times New Roman"/>
          <w:sz w:val="24"/>
          <w:szCs w:val="24"/>
        </w:rPr>
        <w:t xml:space="preserve"> </w:t>
      </w:r>
      <w:r w:rsidRPr="00C13969">
        <w:rPr>
          <w:rFonts w:ascii="Times New Roman" w:hAnsi="Times New Roman"/>
          <w:sz w:val="24"/>
          <w:szCs w:val="24"/>
        </w:rPr>
        <w:t>HARVARD COLLEGE</w:t>
      </w:r>
      <w:r>
        <w:rPr>
          <w:rFonts w:ascii="Times New Roman" w:hAnsi="Times New Roman"/>
          <w:sz w:val="24"/>
          <w:szCs w:val="24"/>
        </w:rPr>
        <w:t xml:space="preserve"> (6 to 2; Justice </w:t>
      </w:r>
      <w:r w:rsidR="00394037">
        <w:rPr>
          <w:rFonts w:ascii="Times New Roman" w:hAnsi="Times New Roman"/>
          <w:sz w:val="24"/>
          <w:szCs w:val="24"/>
        </w:rPr>
        <w:t>Ketanji</w:t>
      </w:r>
      <w:r>
        <w:rPr>
          <w:rFonts w:ascii="Times New Roman" w:hAnsi="Times New Roman"/>
          <w:sz w:val="24"/>
          <w:szCs w:val="24"/>
        </w:rPr>
        <w:t xml:space="preserve"> Brown Jackson recused herself), and STUDENTS FOR ADMISSION v. UNIVERSITY OF NORTH CARLINA (6 to 3). </w:t>
      </w:r>
      <w:hyperlink r:id="rId1544" w:history="1">
        <w:r w:rsidRPr="00663E4B">
          <w:rPr>
            <w:rStyle w:val="Hyperlink"/>
            <w:rFonts w:ascii="Times New Roman" w:hAnsi="Times New Roman"/>
            <w:sz w:val="24"/>
            <w:szCs w:val="24"/>
          </w:rPr>
          <w:t>https://www.supremecourt.gov/opinions/22pdf/600us1r53_4g15.pdf</w:t>
        </w:r>
      </w:hyperlink>
      <w:r>
        <w:rPr>
          <w:rFonts w:ascii="Times New Roman" w:hAnsi="Times New Roman"/>
          <w:sz w:val="24"/>
          <w:szCs w:val="24"/>
        </w:rPr>
        <w:t xml:space="preserve"> </w:t>
      </w:r>
    </w:p>
    <w:p w14:paraId="6E78F65C" w14:textId="77777777" w:rsidR="00643222" w:rsidRDefault="00643222" w:rsidP="00643222">
      <w:pPr>
        <w:pStyle w:val="NoSpacing"/>
        <w:ind w:left="720"/>
        <w:rPr>
          <w:rFonts w:ascii="Times New Roman" w:hAnsi="Times New Roman"/>
          <w:sz w:val="24"/>
          <w:szCs w:val="24"/>
        </w:rPr>
      </w:pPr>
    </w:p>
    <w:p w14:paraId="319013FF" w14:textId="77777777" w:rsidR="00643222" w:rsidRPr="003906A9" w:rsidRDefault="00643222" w:rsidP="00643222">
      <w:pPr>
        <w:pStyle w:val="NoSpacing"/>
        <w:ind w:left="720"/>
        <w:rPr>
          <w:rFonts w:ascii="Times New Roman" w:hAnsi="Times New Roman"/>
          <w:sz w:val="24"/>
          <w:szCs w:val="24"/>
        </w:rPr>
      </w:pPr>
      <w:r w:rsidRPr="003906A9">
        <w:rPr>
          <w:rFonts w:ascii="Times New Roman" w:hAnsi="Times New Roman"/>
          <w:sz w:val="24"/>
          <w:szCs w:val="24"/>
        </w:rPr>
        <w:lastRenderedPageBreak/>
        <w:t xml:space="preserve">See: </w:t>
      </w:r>
      <w:r>
        <w:rPr>
          <w:rFonts w:ascii="Times New Roman" w:hAnsi="Times New Roman"/>
          <w:sz w:val="24"/>
          <w:szCs w:val="24"/>
        </w:rPr>
        <w:t>“</w:t>
      </w:r>
      <w:r w:rsidRPr="003906A9">
        <w:rPr>
          <w:rFonts w:ascii="Times New Roman" w:hAnsi="Times New Roman"/>
          <w:sz w:val="24"/>
          <w:szCs w:val="24"/>
        </w:rPr>
        <w:t>As Legal Challenges Mount, Some Companies Retool Diversity and Inclusion Programs</w:t>
      </w:r>
      <w:r>
        <w:rPr>
          <w:rFonts w:ascii="Times New Roman" w:hAnsi="Times New Roman"/>
          <w:sz w:val="24"/>
          <w:szCs w:val="24"/>
        </w:rPr>
        <w:t>”</w:t>
      </w:r>
      <w:r w:rsidRPr="003906A9">
        <w:rPr>
          <w:rFonts w:ascii="Times New Roman" w:hAnsi="Times New Roman"/>
          <w:sz w:val="24"/>
          <w:szCs w:val="24"/>
        </w:rPr>
        <w:t xml:space="preserve"> (Jan. 12, 2024). </w:t>
      </w:r>
      <w:hyperlink r:id="rId1545" w:history="1">
        <w:r w:rsidRPr="003906A9">
          <w:rPr>
            <w:rStyle w:val="Hyperlink"/>
            <w:rFonts w:ascii="Times New Roman" w:hAnsi="Times New Roman"/>
            <w:sz w:val="24"/>
            <w:szCs w:val="24"/>
          </w:rPr>
          <w:t>https://www.usnews.com/news/us/articles/2024-01-14/as-legal-challenges-mount-some-companies-retool-diversity-and-inclusion-programs</w:t>
        </w:r>
      </w:hyperlink>
      <w:r w:rsidRPr="003906A9">
        <w:rPr>
          <w:rFonts w:ascii="Times New Roman" w:hAnsi="Times New Roman"/>
          <w:sz w:val="24"/>
          <w:szCs w:val="24"/>
        </w:rPr>
        <w:t xml:space="preserve"> </w:t>
      </w:r>
    </w:p>
    <w:p w14:paraId="7F5BD8C0" w14:textId="77777777" w:rsidR="00643222" w:rsidRDefault="00643222" w:rsidP="00643222">
      <w:pPr>
        <w:pStyle w:val="Heading1"/>
        <w:ind w:left="720"/>
        <w:rPr>
          <w:b w:val="0"/>
          <w:bCs w:val="0"/>
          <w:sz w:val="24"/>
          <w:szCs w:val="24"/>
        </w:rPr>
      </w:pPr>
      <w:r w:rsidRPr="009C4E23">
        <w:rPr>
          <w:b w:val="0"/>
          <w:bCs w:val="0"/>
          <w:sz w:val="24"/>
          <w:szCs w:val="24"/>
        </w:rPr>
        <w:t>See</w:t>
      </w:r>
      <w:r>
        <w:rPr>
          <w:b w:val="0"/>
          <w:bCs w:val="0"/>
          <w:sz w:val="24"/>
          <w:szCs w:val="24"/>
        </w:rPr>
        <w:t xml:space="preserve"> also:</w:t>
      </w:r>
      <w:r w:rsidRPr="009C4E23">
        <w:rPr>
          <w:b w:val="0"/>
          <w:bCs w:val="0"/>
          <w:sz w:val="24"/>
          <w:szCs w:val="24"/>
        </w:rPr>
        <w:t xml:space="preserve"> “Lawsuits Challenge Law Firm Diversity Programs as Racially Discriminatory” (Oct. 6, 2023). </w:t>
      </w:r>
      <w:hyperlink r:id="rId1546" w:history="1">
        <w:r w:rsidRPr="009C4E23">
          <w:rPr>
            <w:rStyle w:val="Hyperlink"/>
            <w:b w:val="0"/>
            <w:bCs w:val="0"/>
            <w:sz w:val="24"/>
            <w:szCs w:val="24"/>
          </w:rPr>
          <w:t>https://fedsoc.org/commentary/fedsoc-blog/lawsuits-challenge-law-firm-diversity-programs-as-racially-discriminatory</w:t>
        </w:r>
      </w:hyperlink>
      <w:r w:rsidRPr="009C4E23">
        <w:rPr>
          <w:b w:val="0"/>
          <w:bCs w:val="0"/>
          <w:sz w:val="24"/>
          <w:szCs w:val="24"/>
        </w:rPr>
        <w:t xml:space="preserve"> </w:t>
      </w:r>
    </w:p>
    <w:p w14:paraId="0C67E1D5" w14:textId="77777777" w:rsidR="00643222" w:rsidRDefault="00643222" w:rsidP="00BC70A3">
      <w:pPr>
        <w:rPr>
          <w:rFonts w:ascii="Arial Black" w:hAnsi="Arial Black"/>
          <w:b/>
          <w:sz w:val="24"/>
          <w:szCs w:val="24"/>
        </w:rPr>
      </w:pPr>
    </w:p>
    <w:p w14:paraId="6B578B71" w14:textId="77777777" w:rsidR="00E47A1F" w:rsidRDefault="00E47A1F" w:rsidP="00BC70A3">
      <w:pPr>
        <w:rPr>
          <w:rFonts w:ascii="Arial Black" w:hAnsi="Arial Black"/>
          <w:b/>
          <w:sz w:val="24"/>
          <w:szCs w:val="24"/>
        </w:rPr>
      </w:pPr>
    </w:p>
    <w:p w14:paraId="03EE2F66" w14:textId="77777777" w:rsidR="00E47A1F" w:rsidRDefault="00E47A1F" w:rsidP="00BC70A3">
      <w:pPr>
        <w:rPr>
          <w:rFonts w:ascii="Arial Black" w:hAnsi="Arial Black"/>
          <w:b/>
          <w:sz w:val="24"/>
          <w:szCs w:val="24"/>
        </w:rPr>
      </w:pPr>
    </w:p>
    <w:p w14:paraId="02E49FA9" w14:textId="188D687D" w:rsidR="007F6B94" w:rsidRDefault="007F6B94" w:rsidP="00BC70A3">
      <w:pPr>
        <w:rPr>
          <w:rFonts w:ascii="Arial Black" w:hAnsi="Arial Black"/>
          <w:b/>
          <w:sz w:val="24"/>
          <w:szCs w:val="24"/>
        </w:rPr>
      </w:pPr>
      <w:r>
        <w:rPr>
          <w:rFonts w:ascii="Arial Black" w:hAnsi="Arial Black"/>
          <w:b/>
          <w:sz w:val="24"/>
          <w:szCs w:val="24"/>
        </w:rPr>
        <w:t>8-56</w:t>
      </w:r>
    </w:p>
    <w:p w14:paraId="5986DF1F" w14:textId="77777777" w:rsidR="0051041F" w:rsidRPr="00D437F9" w:rsidRDefault="0051041F" w:rsidP="0051041F">
      <w:pPr>
        <w:pStyle w:val="NoSpacing"/>
        <w:rPr>
          <w:rFonts w:ascii="Arial Black" w:hAnsi="Arial Black"/>
          <w:sz w:val="28"/>
          <w:szCs w:val="28"/>
        </w:rPr>
      </w:pPr>
      <w:r>
        <w:rPr>
          <w:rFonts w:ascii="Arial Black" w:hAnsi="Arial Black"/>
          <w:sz w:val="28"/>
          <w:szCs w:val="28"/>
        </w:rPr>
        <w:t xml:space="preserve">DE: BLACK LT. – 2020 “BAND ONE” FOR CAPTAIN – 5 WHITES PROMOTED – 2022 LOWERED “BAND TWO” - CASE PROCEED </w:t>
      </w:r>
    </w:p>
    <w:p w14:paraId="262A9489" w14:textId="77777777" w:rsidR="0051041F" w:rsidRDefault="0051041F" w:rsidP="0051041F">
      <w:pPr>
        <w:pStyle w:val="NoSpacing"/>
        <w:rPr>
          <w:rFonts w:ascii="Times New Roman" w:hAnsi="Times New Roman"/>
          <w:sz w:val="24"/>
          <w:szCs w:val="24"/>
        </w:rPr>
      </w:pPr>
    </w:p>
    <w:p w14:paraId="4A91114D" w14:textId="77777777" w:rsidR="0051041F" w:rsidRDefault="0051041F" w:rsidP="0051041F">
      <w:pPr>
        <w:pStyle w:val="NoSpacing"/>
        <w:rPr>
          <w:rFonts w:ascii="Times New Roman" w:hAnsi="Times New Roman"/>
          <w:sz w:val="24"/>
          <w:szCs w:val="24"/>
        </w:rPr>
      </w:pPr>
      <w:r>
        <w:rPr>
          <w:rFonts w:ascii="Times New Roman" w:hAnsi="Times New Roman"/>
          <w:sz w:val="24"/>
          <w:szCs w:val="24"/>
        </w:rPr>
        <w:t xml:space="preserve">On Dec. 15, 2023, in </w:t>
      </w:r>
      <w:r w:rsidRPr="00AC0301">
        <w:rPr>
          <w:rFonts w:ascii="Times New Roman" w:hAnsi="Times New Roman"/>
          <w:sz w:val="24"/>
          <w:szCs w:val="24"/>
          <w:u w:val="single"/>
        </w:rPr>
        <w:t>Craig Black v. City of Wilmington</w:t>
      </w:r>
      <w:r>
        <w:rPr>
          <w:rFonts w:ascii="Times New Roman" w:hAnsi="Times New Roman"/>
          <w:sz w:val="24"/>
          <w:szCs w:val="24"/>
        </w:rPr>
        <w:t>, U.S. District Court Judge Gregory B. William, U.S. District Court for District of Delaware, denied most of the City’s motion to dismiss; the complaint alleges sufficient facts to permit pre-trial discovery.  The Court wrote: “H</w:t>
      </w:r>
      <w:r w:rsidRPr="00355BA0">
        <w:rPr>
          <w:rFonts w:ascii="Times New Roman" w:hAnsi="Times New Roman"/>
          <w:sz w:val="24"/>
          <w:szCs w:val="24"/>
        </w:rPr>
        <w:t>ere, Black has alleged numerous acts of</w:t>
      </w:r>
      <w:r>
        <w:rPr>
          <w:rFonts w:ascii="Times New Roman" w:hAnsi="Times New Roman"/>
          <w:sz w:val="24"/>
          <w:szCs w:val="24"/>
        </w:rPr>
        <w:t xml:space="preserve"> </w:t>
      </w:r>
      <w:r w:rsidRPr="00355BA0">
        <w:rPr>
          <w:rFonts w:ascii="Times New Roman" w:hAnsi="Times New Roman"/>
          <w:sz w:val="24"/>
          <w:szCs w:val="24"/>
        </w:rPr>
        <w:t>retaliation by Defendants over a thirteen-month timeframe, which include denying Black</w:t>
      </w:r>
      <w:r>
        <w:rPr>
          <w:rFonts w:ascii="Times New Roman" w:hAnsi="Times New Roman"/>
          <w:sz w:val="24"/>
          <w:szCs w:val="24"/>
        </w:rPr>
        <w:t xml:space="preserve"> </w:t>
      </w:r>
      <w:r w:rsidRPr="00355BA0">
        <w:rPr>
          <w:rFonts w:ascii="Times New Roman" w:hAnsi="Times New Roman"/>
          <w:sz w:val="24"/>
          <w:szCs w:val="24"/>
        </w:rPr>
        <w:t>promotions to the rank of Captain on several occasions; dispersing General Order 2022-15 that</w:t>
      </w:r>
      <w:r>
        <w:rPr>
          <w:rFonts w:ascii="Times New Roman" w:hAnsi="Times New Roman"/>
          <w:sz w:val="24"/>
          <w:szCs w:val="24"/>
        </w:rPr>
        <w:t xml:space="preserve"> </w:t>
      </w:r>
      <w:r w:rsidRPr="00355BA0">
        <w:rPr>
          <w:rFonts w:ascii="Times New Roman" w:hAnsi="Times New Roman"/>
          <w:sz w:val="24"/>
          <w:szCs w:val="24"/>
        </w:rPr>
        <w:t>altered the City's procedures for promotions by requiring that promotions to Captain be made</w:t>
      </w:r>
      <w:r>
        <w:rPr>
          <w:rFonts w:ascii="Times New Roman" w:hAnsi="Times New Roman"/>
          <w:sz w:val="24"/>
          <w:szCs w:val="24"/>
        </w:rPr>
        <w:t xml:space="preserve"> </w:t>
      </w:r>
      <w:r w:rsidRPr="00355BA0">
        <w:rPr>
          <w:rFonts w:ascii="Times New Roman" w:hAnsi="Times New Roman"/>
          <w:sz w:val="24"/>
          <w:szCs w:val="24"/>
        </w:rPr>
        <w:t>only from Band One; and ultimately demoting Black to Band Two despite the fact he was</w:t>
      </w:r>
      <w:r>
        <w:rPr>
          <w:rFonts w:ascii="Times New Roman" w:hAnsi="Times New Roman"/>
          <w:sz w:val="24"/>
          <w:szCs w:val="24"/>
        </w:rPr>
        <w:t xml:space="preserve"> </w:t>
      </w:r>
      <w:r w:rsidRPr="00355BA0">
        <w:rPr>
          <w:rFonts w:ascii="Times New Roman" w:hAnsi="Times New Roman"/>
          <w:sz w:val="24"/>
          <w:szCs w:val="24"/>
        </w:rPr>
        <w:t>previously placed on Band One</w:t>
      </w:r>
      <w:r>
        <w:rPr>
          <w:rFonts w:ascii="Times New Roman" w:hAnsi="Times New Roman"/>
          <w:sz w:val="24"/>
          <w:szCs w:val="24"/>
        </w:rPr>
        <w:t xml:space="preserve">. ***  </w:t>
      </w:r>
      <w:r w:rsidRPr="007404E7">
        <w:rPr>
          <w:rFonts w:ascii="Times New Roman" w:hAnsi="Times New Roman"/>
          <w:sz w:val="24"/>
          <w:szCs w:val="24"/>
        </w:rPr>
        <w:t>Additionally, while Defendants stress that Black was found guilty of a disciplinary action in an</w:t>
      </w:r>
      <w:r>
        <w:rPr>
          <w:rFonts w:ascii="Times New Roman" w:hAnsi="Times New Roman"/>
          <w:sz w:val="24"/>
          <w:szCs w:val="24"/>
        </w:rPr>
        <w:t xml:space="preserve"> </w:t>
      </w:r>
      <w:r w:rsidRPr="007404E7">
        <w:rPr>
          <w:rFonts w:ascii="Times New Roman" w:hAnsi="Times New Roman"/>
          <w:sz w:val="24"/>
          <w:szCs w:val="24"/>
        </w:rPr>
        <w:t>attempt to further distinguish him from the five comparators</w:t>
      </w:r>
      <w:r>
        <w:rPr>
          <w:rFonts w:ascii="Times New Roman" w:hAnsi="Times New Roman"/>
          <w:sz w:val="24"/>
          <w:szCs w:val="24"/>
        </w:rPr>
        <w:t xml:space="preserve"> … </w:t>
      </w:r>
      <w:r w:rsidRPr="007404E7">
        <w:rPr>
          <w:rFonts w:ascii="Times New Roman" w:hAnsi="Times New Roman"/>
          <w:sz w:val="24"/>
          <w:szCs w:val="24"/>
        </w:rPr>
        <w:t>the Court notes again</w:t>
      </w:r>
      <w:r>
        <w:rPr>
          <w:rFonts w:ascii="Times New Roman" w:hAnsi="Times New Roman"/>
          <w:sz w:val="24"/>
          <w:szCs w:val="24"/>
        </w:rPr>
        <w:t xml:space="preserve"> </w:t>
      </w:r>
      <w:r w:rsidRPr="007404E7">
        <w:rPr>
          <w:rFonts w:ascii="Times New Roman" w:hAnsi="Times New Roman"/>
          <w:sz w:val="24"/>
          <w:szCs w:val="24"/>
        </w:rPr>
        <w:t>that it cannot consider new evidence that was not alleged in Black' s pleadings, including the status</w:t>
      </w:r>
      <w:r>
        <w:rPr>
          <w:rFonts w:ascii="Times New Roman" w:hAnsi="Times New Roman"/>
          <w:sz w:val="24"/>
          <w:szCs w:val="24"/>
        </w:rPr>
        <w:t xml:space="preserve"> </w:t>
      </w:r>
      <w:r w:rsidRPr="007404E7">
        <w:rPr>
          <w:rFonts w:ascii="Times New Roman" w:hAnsi="Times New Roman"/>
          <w:sz w:val="24"/>
          <w:szCs w:val="24"/>
        </w:rPr>
        <w:t>of his disciplinary action and the disciplinary records of the five comparators.</w:t>
      </w:r>
      <w:r>
        <w:rPr>
          <w:rFonts w:ascii="Times New Roman" w:hAnsi="Times New Roman"/>
          <w:sz w:val="24"/>
          <w:szCs w:val="24"/>
        </w:rPr>
        <w:t>”</w:t>
      </w:r>
    </w:p>
    <w:p w14:paraId="3A51A664" w14:textId="77777777" w:rsidR="0051041F" w:rsidRDefault="0051041F" w:rsidP="0051041F">
      <w:pPr>
        <w:pStyle w:val="NoSpacing"/>
        <w:rPr>
          <w:rFonts w:ascii="Times New Roman" w:hAnsi="Times New Roman"/>
          <w:sz w:val="24"/>
          <w:szCs w:val="24"/>
        </w:rPr>
      </w:pPr>
      <w:hyperlink r:id="rId1547" w:history="1">
        <w:r w:rsidRPr="00E359E2">
          <w:rPr>
            <w:rStyle w:val="Hyperlink"/>
            <w:rFonts w:ascii="Times New Roman" w:hAnsi="Times New Roman"/>
            <w:sz w:val="24"/>
            <w:szCs w:val="24"/>
          </w:rPr>
          <w:t>https://storage.courtlistener.com/recap/gov.uscourts.ded.79218/gov.uscourts.ded.79218.29.0.pdf</w:t>
        </w:r>
      </w:hyperlink>
      <w:r>
        <w:rPr>
          <w:rFonts w:ascii="Times New Roman" w:hAnsi="Times New Roman"/>
          <w:sz w:val="24"/>
          <w:szCs w:val="24"/>
        </w:rPr>
        <w:t xml:space="preserve"> </w:t>
      </w:r>
    </w:p>
    <w:p w14:paraId="696927FC" w14:textId="77777777" w:rsidR="0051041F" w:rsidRDefault="0051041F" w:rsidP="0051041F">
      <w:pPr>
        <w:pStyle w:val="NoSpacing"/>
        <w:rPr>
          <w:rFonts w:ascii="Times New Roman" w:hAnsi="Times New Roman"/>
          <w:sz w:val="24"/>
          <w:szCs w:val="24"/>
        </w:rPr>
      </w:pPr>
    </w:p>
    <w:p w14:paraId="4FD703AA" w14:textId="77777777" w:rsidR="00231A5A" w:rsidRPr="00361309" w:rsidRDefault="00231A5A" w:rsidP="00231A5A">
      <w:pPr>
        <w:pStyle w:val="NoSpacing"/>
        <w:rPr>
          <w:rFonts w:ascii="Times New Roman" w:hAnsi="Times New Roman"/>
          <w:b/>
          <w:bCs/>
          <w:sz w:val="24"/>
          <w:szCs w:val="24"/>
        </w:rPr>
      </w:pPr>
      <w:r w:rsidRPr="00361309">
        <w:rPr>
          <w:rFonts w:ascii="Times New Roman" w:hAnsi="Times New Roman"/>
          <w:b/>
          <w:bCs/>
          <w:sz w:val="24"/>
          <w:szCs w:val="24"/>
        </w:rPr>
        <w:t>Legal Lesson Learned:</w:t>
      </w:r>
      <w:r>
        <w:rPr>
          <w:rFonts w:ascii="Times New Roman" w:hAnsi="Times New Roman"/>
          <w:b/>
          <w:bCs/>
          <w:sz w:val="24"/>
          <w:szCs w:val="24"/>
        </w:rPr>
        <w:t xml:space="preserve"> Pre-trial discovery will now proceed. </w:t>
      </w:r>
    </w:p>
    <w:p w14:paraId="44B35763" w14:textId="77777777" w:rsidR="007F6B94" w:rsidRDefault="007F6B94" w:rsidP="00BC70A3">
      <w:pPr>
        <w:rPr>
          <w:rFonts w:ascii="Arial Black" w:hAnsi="Arial Black"/>
          <w:b/>
          <w:sz w:val="24"/>
          <w:szCs w:val="24"/>
        </w:rPr>
      </w:pPr>
    </w:p>
    <w:p w14:paraId="4BC66D32" w14:textId="77777777" w:rsidR="007F6B94" w:rsidRDefault="007F6B94" w:rsidP="00BC70A3">
      <w:pPr>
        <w:rPr>
          <w:rFonts w:ascii="Arial Black" w:hAnsi="Arial Black"/>
          <w:b/>
          <w:sz w:val="24"/>
          <w:szCs w:val="24"/>
        </w:rPr>
      </w:pPr>
    </w:p>
    <w:p w14:paraId="479FFB35" w14:textId="77777777" w:rsidR="007F6B94" w:rsidRDefault="007F6B94" w:rsidP="00BC70A3">
      <w:pPr>
        <w:rPr>
          <w:rFonts w:ascii="Arial Black" w:hAnsi="Arial Black"/>
          <w:b/>
          <w:sz w:val="24"/>
          <w:szCs w:val="24"/>
        </w:rPr>
      </w:pPr>
    </w:p>
    <w:p w14:paraId="081DEDFD" w14:textId="1657F6B3" w:rsidR="00832745" w:rsidRDefault="00832745" w:rsidP="00BC70A3">
      <w:pPr>
        <w:rPr>
          <w:rFonts w:ascii="Arial Black" w:hAnsi="Arial Black"/>
          <w:b/>
          <w:sz w:val="24"/>
          <w:szCs w:val="24"/>
        </w:rPr>
      </w:pPr>
      <w:r>
        <w:rPr>
          <w:rFonts w:ascii="Arial Black" w:hAnsi="Arial Black"/>
          <w:b/>
          <w:sz w:val="24"/>
          <w:szCs w:val="24"/>
        </w:rPr>
        <w:t>8-55</w:t>
      </w:r>
    </w:p>
    <w:p w14:paraId="2A0E49E0" w14:textId="77777777" w:rsidR="00832745" w:rsidRDefault="00832745" w:rsidP="00832745">
      <w:pPr>
        <w:pStyle w:val="NormalWeb"/>
        <w:rPr>
          <w:rFonts w:ascii="Arial Black" w:hAnsi="Arial Black"/>
          <w:b/>
          <w:bCs/>
          <w:sz w:val="28"/>
          <w:szCs w:val="28"/>
        </w:rPr>
      </w:pPr>
      <w:r>
        <w:rPr>
          <w:rFonts w:ascii="Arial Black" w:hAnsi="Arial Black"/>
          <w:b/>
          <w:bCs/>
          <w:sz w:val="28"/>
          <w:szCs w:val="28"/>
        </w:rPr>
        <w:t>FL: BLACK FF FIRED – 2</w:t>
      </w:r>
      <w:r w:rsidRPr="00670C68">
        <w:rPr>
          <w:rFonts w:ascii="Arial Black" w:hAnsi="Arial Black"/>
          <w:b/>
          <w:bCs/>
          <w:sz w:val="28"/>
          <w:szCs w:val="28"/>
          <w:vertAlign w:val="superscript"/>
        </w:rPr>
        <w:t>nd</w:t>
      </w:r>
      <w:r>
        <w:rPr>
          <w:rFonts w:ascii="Arial Black" w:hAnsi="Arial Black"/>
          <w:b/>
          <w:bCs/>
          <w:sz w:val="28"/>
          <w:szCs w:val="28"/>
        </w:rPr>
        <w:t xml:space="preserve"> POSITIVE DRUG TEST – WHITE CAPTAIN NOT FIRED 1</w:t>
      </w:r>
      <w:r w:rsidRPr="00670C68">
        <w:rPr>
          <w:rFonts w:ascii="Arial Black" w:hAnsi="Arial Black"/>
          <w:b/>
          <w:bCs/>
          <w:sz w:val="28"/>
          <w:szCs w:val="28"/>
          <w:vertAlign w:val="superscript"/>
        </w:rPr>
        <w:t>st</w:t>
      </w:r>
      <w:r>
        <w:rPr>
          <w:rFonts w:ascii="Arial Black" w:hAnsi="Arial Black"/>
          <w:b/>
          <w:bCs/>
          <w:sz w:val="28"/>
          <w:szCs w:val="28"/>
        </w:rPr>
        <w:t xml:space="preserve"> POSITIVE – CASE DISMISSED</w:t>
      </w:r>
    </w:p>
    <w:p w14:paraId="0134DCD0" w14:textId="77777777" w:rsidR="00832745" w:rsidRDefault="00832745" w:rsidP="00832745">
      <w:pPr>
        <w:pStyle w:val="NormalWeb"/>
      </w:pPr>
      <w:r w:rsidRPr="00F632F5">
        <w:t xml:space="preserve">On </w:t>
      </w:r>
      <w:r>
        <w:t xml:space="preserve">Oct. 10, 2023, in </w:t>
      </w:r>
      <w:r w:rsidRPr="00F632F5">
        <w:rPr>
          <w:u w:val="single"/>
        </w:rPr>
        <w:t>Robert Hodges v. Miami-Dade County</w:t>
      </w:r>
      <w:r>
        <w:t xml:space="preserve">, U.S. District Court Judge Beth Bloom, U.S. District Court for Southern District of Florida, granted the defense motion for summary judgment.  The Court held: “Unlike Captain Brunetti, however, Plaintiff tested positive </w:t>
      </w:r>
      <w:r>
        <w:rPr>
          <w:rStyle w:val="Emphasis"/>
          <w:rFonts w:eastAsiaTheme="majorEastAsia"/>
        </w:rPr>
        <w:t>again</w:t>
      </w:r>
      <w:r>
        <w:t xml:space="preserve"> in January 2020, violating the terms of his 2019 Agreement. SMF ¶¶ 17-18; SAMF ¶¶ 17-18. As such, the undisputed evidence establishes that Defendant did not treat Captain Brunetti more favorably. The undisputed evidence supports the conclusion that </w:t>
      </w:r>
      <w:r>
        <w:lastRenderedPageBreak/>
        <w:t xml:space="preserve">Defendant treated both employees the same, only electing to terminate Plaintiff after his second violation of Defendant's policies </w:t>
      </w:r>
      <w:r>
        <w:rPr>
          <w:rStyle w:val="Emphasis"/>
          <w:rFonts w:eastAsiaTheme="majorEastAsia"/>
        </w:rPr>
        <w:t>after</w:t>
      </w:r>
      <w:r>
        <w:t xml:space="preserve"> signing his 2019 Agreement. The record demonstrates that Plaintiff and Defendant Brunetti do not share the same disciplinary history. *** Accordingly, Plaintiff fails to show that Defendant's proffered reason for his termination was pretextual. Plaintiff has also failed to point to any evidence supporting an inference that racial discrimination was the real reason. Those deficiencies are fatal to Plaintiff's discrimination claim under </w:t>
      </w:r>
      <w:r>
        <w:rPr>
          <w:rStyle w:val="Emphasis"/>
          <w:rFonts w:eastAsiaTheme="majorEastAsia"/>
        </w:rPr>
        <w:t>McDonnell Douglas</w:t>
      </w:r>
      <w:r>
        <w:rPr>
          <w:rStyle w:val="Emphasis"/>
        </w:rPr>
        <w:t xml:space="preserve">” </w:t>
      </w:r>
      <w:hyperlink r:id="rId1548" w:history="1">
        <w:r w:rsidRPr="00317BBB">
          <w:rPr>
            <w:rStyle w:val="Hyperlink"/>
            <w:rFonts w:eastAsiaTheme="majorEastAsia"/>
          </w:rPr>
          <w:t>https://www.casemine.com/judgement/us/6527768e0e33307ee3c25e6b</w:t>
        </w:r>
      </w:hyperlink>
      <w:r>
        <w:rPr>
          <w:rStyle w:val="Emphasis"/>
        </w:rPr>
        <w:t xml:space="preserve"> </w:t>
      </w:r>
    </w:p>
    <w:p w14:paraId="2E680A62" w14:textId="77777777" w:rsidR="00832745" w:rsidRPr="00867C5C" w:rsidRDefault="00832745" w:rsidP="00832745">
      <w:pPr>
        <w:pStyle w:val="NormalWeb"/>
        <w:rPr>
          <w:b/>
          <w:bCs/>
        </w:rPr>
      </w:pPr>
      <w:r w:rsidRPr="00867C5C">
        <w:rPr>
          <w:b/>
          <w:bCs/>
        </w:rPr>
        <w:t>Legal Lesson Learned:</w:t>
      </w:r>
      <w:r>
        <w:rPr>
          <w:b/>
          <w:bCs/>
        </w:rPr>
        <w:t xml:space="preserve"> Second violation of the “last chance” agreement was legitimate basis for termination. </w:t>
      </w:r>
    </w:p>
    <w:p w14:paraId="4A19A794" w14:textId="77777777" w:rsidR="00832745" w:rsidRDefault="00832745" w:rsidP="00BC70A3">
      <w:pPr>
        <w:rPr>
          <w:rFonts w:ascii="Arial Black" w:hAnsi="Arial Black"/>
          <w:b/>
          <w:sz w:val="24"/>
          <w:szCs w:val="24"/>
        </w:rPr>
      </w:pPr>
    </w:p>
    <w:p w14:paraId="12176806" w14:textId="7F3FB542" w:rsidR="00AC3E10" w:rsidRDefault="00AC3E10" w:rsidP="00BC70A3">
      <w:pPr>
        <w:rPr>
          <w:rFonts w:ascii="Arial Black" w:hAnsi="Arial Black"/>
          <w:b/>
          <w:sz w:val="24"/>
          <w:szCs w:val="24"/>
        </w:rPr>
      </w:pPr>
      <w:r>
        <w:rPr>
          <w:rFonts w:ascii="Arial Black" w:hAnsi="Arial Black"/>
          <w:b/>
          <w:sz w:val="24"/>
          <w:szCs w:val="24"/>
        </w:rPr>
        <w:t>8-54</w:t>
      </w:r>
    </w:p>
    <w:p w14:paraId="14BE0E5B" w14:textId="77777777" w:rsidR="00AC3E10" w:rsidRDefault="00AC3E10" w:rsidP="00AC3E10">
      <w:pPr>
        <w:pStyle w:val="NoSpacing"/>
        <w:rPr>
          <w:rFonts w:ascii="Arial Black" w:hAnsi="Arial Black"/>
          <w:sz w:val="28"/>
          <w:szCs w:val="28"/>
        </w:rPr>
      </w:pPr>
      <w:r>
        <w:rPr>
          <w:rFonts w:ascii="Arial Black" w:hAnsi="Arial Black"/>
          <w:sz w:val="28"/>
          <w:szCs w:val="28"/>
        </w:rPr>
        <w:t xml:space="preserve">KS: BLACK CAPTAIN – IC AT STRIP MALL FIRE – “SHIT SHOW” – CHIEF DOC. IN PERF. REVIEW - NO DISCRIM. </w:t>
      </w:r>
    </w:p>
    <w:p w14:paraId="5A396C02" w14:textId="77777777" w:rsidR="00AC3E10" w:rsidRPr="005B52AD" w:rsidRDefault="00AC3E10" w:rsidP="00AC3E10">
      <w:pPr>
        <w:pStyle w:val="NoSpacing"/>
        <w:rPr>
          <w:rFonts w:ascii="Times New Roman" w:hAnsi="Times New Roman"/>
          <w:sz w:val="24"/>
          <w:szCs w:val="24"/>
        </w:rPr>
      </w:pPr>
      <w:r w:rsidRPr="005B52AD">
        <w:rPr>
          <w:rFonts w:ascii="Times New Roman" w:hAnsi="Times New Roman"/>
          <w:sz w:val="24"/>
          <w:szCs w:val="24"/>
        </w:rPr>
        <w:t>[also Chap. 4]</w:t>
      </w:r>
    </w:p>
    <w:p w14:paraId="67F17658" w14:textId="77777777" w:rsidR="00AC3E10" w:rsidRDefault="00AC3E10" w:rsidP="00AC3E10">
      <w:pPr>
        <w:pStyle w:val="NoSpacing"/>
        <w:rPr>
          <w:rFonts w:ascii="Times New Roman" w:hAnsi="Times New Roman"/>
          <w:sz w:val="24"/>
          <w:szCs w:val="24"/>
        </w:rPr>
      </w:pPr>
    </w:p>
    <w:p w14:paraId="35560435" w14:textId="77777777" w:rsidR="00AC3E10" w:rsidRDefault="00AC3E10" w:rsidP="00AC3E10">
      <w:pPr>
        <w:pStyle w:val="NoSpacing"/>
        <w:rPr>
          <w:rFonts w:ascii="Times New Roman" w:hAnsi="Times New Roman"/>
          <w:sz w:val="24"/>
          <w:szCs w:val="24"/>
        </w:rPr>
      </w:pPr>
      <w:r>
        <w:rPr>
          <w:rFonts w:ascii="Times New Roman" w:hAnsi="Times New Roman"/>
          <w:sz w:val="24"/>
          <w:szCs w:val="24"/>
        </w:rPr>
        <w:t xml:space="preserve">On Sept. 8, 2023, in </w:t>
      </w:r>
      <w:r w:rsidRPr="009108A0">
        <w:rPr>
          <w:rFonts w:ascii="Times New Roman" w:hAnsi="Times New Roman"/>
          <w:sz w:val="24"/>
          <w:szCs w:val="24"/>
          <w:u w:val="single"/>
        </w:rPr>
        <w:t>Mark Jordan v. City of Wichita, Kansas, et al.</w:t>
      </w:r>
      <w:r>
        <w:rPr>
          <w:rFonts w:ascii="Times New Roman" w:hAnsi="Times New Roman"/>
          <w:sz w:val="24"/>
          <w:szCs w:val="24"/>
        </w:rPr>
        <w:t xml:space="preserve">, U.S. District Court Judge Daniel D. Crabtree, U.S. District Court for the District of Kansas, granted the City’s motion for summary judgment.  The August 2019 strip mall fire went to two alarms; plaintiff arrived on seventh unit and took command because no one has yet become IC. Plaintiff admitted it didn’t go well and in his </w:t>
      </w:r>
      <w:proofErr w:type="gramStart"/>
      <w:r>
        <w:rPr>
          <w:rFonts w:ascii="Times New Roman" w:hAnsi="Times New Roman"/>
          <w:sz w:val="24"/>
          <w:szCs w:val="24"/>
        </w:rPr>
        <w:t>words</w:t>
      </w:r>
      <w:proofErr w:type="gramEnd"/>
      <w:r>
        <w:rPr>
          <w:rFonts w:ascii="Times New Roman" w:hAnsi="Times New Roman"/>
          <w:sz w:val="24"/>
          <w:szCs w:val="24"/>
        </w:rPr>
        <w:t xml:space="preserve"> it was a “shit show.” Fire Chief Tammy Snow arrived at scene and criticized the Acting Battalion Chief, who was on the second arriving unit, for not taking command.  The Fire Chief ordered that the annual performance review of both the plaintiff and the Acting Battalion Chief document performance concerns at that strip mall fire. </w:t>
      </w:r>
    </w:p>
    <w:p w14:paraId="3FEC30DB" w14:textId="77777777" w:rsidR="00AC3E10" w:rsidRDefault="00AC3E10" w:rsidP="00AC3E10">
      <w:pPr>
        <w:pStyle w:val="NoSpacing"/>
        <w:rPr>
          <w:rFonts w:ascii="Times New Roman" w:hAnsi="Times New Roman"/>
          <w:sz w:val="24"/>
          <w:szCs w:val="24"/>
        </w:rPr>
      </w:pPr>
    </w:p>
    <w:p w14:paraId="631B25F6" w14:textId="77777777" w:rsidR="00AC3E10" w:rsidRPr="00497B07" w:rsidRDefault="00AC3E10" w:rsidP="00AC3E10">
      <w:pPr>
        <w:pStyle w:val="NoSpacing"/>
        <w:ind w:firstLine="720"/>
        <w:rPr>
          <w:rFonts w:ascii="Times New Roman" w:hAnsi="Times New Roman"/>
          <w:sz w:val="24"/>
          <w:szCs w:val="24"/>
        </w:rPr>
      </w:pPr>
      <w:r>
        <w:rPr>
          <w:rFonts w:ascii="Times New Roman" w:hAnsi="Times New Roman"/>
          <w:sz w:val="24"/>
          <w:szCs w:val="24"/>
        </w:rPr>
        <w:t>“</w:t>
      </w:r>
      <w:r w:rsidRPr="00497B07">
        <w:rPr>
          <w:rFonts w:ascii="Times New Roman" w:hAnsi="Times New Roman"/>
          <w:sz w:val="24"/>
          <w:szCs w:val="24"/>
        </w:rPr>
        <w:t>In August 2019—before the Acting Battalion Chief debacle—a strip mall on south</w:t>
      </w:r>
    </w:p>
    <w:p w14:paraId="238C377E" w14:textId="77777777" w:rsidR="00AC3E10" w:rsidRDefault="00AC3E10" w:rsidP="00AC3E10">
      <w:pPr>
        <w:pStyle w:val="NoSpacing"/>
        <w:ind w:left="720"/>
        <w:rPr>
          <w:rFonts w:ascii="Times New Roman" w:hAnsi="Times New Roman"/>
          <w:sz w:val="24"/>
          <w:szCs w:val="24"/>
        </w:rPr>
      </w:pPr>
      <w:r w:rsidRPr="00497B07">
        <w:rPr>
          <w:rFonts w:ascii="Times New Roman" w:hAnsi="Times New Roman"/>
          <w:sz w:val="24"/>
          <w:szCs w:val="24"/>
        </w:rPr>
        <w:t>Seneca Street caught fire. Doc. 81 at 3 (Pretrial Order ¶ 2.a.x.). WFD Policy provides that the</w:t>
      </w:r>
      <w:r>
        <w:rPr>
          <w:rFonts w:ascii="Times New Roman" w:hAnsi="Times New Roman"/>
          <w:sz w:val="24"/>
          <w:szCs w:val="24"/>
        </w:rPr>
        <w:t xml:space="preserve"> </w:t>
      </w:r>
      <w:r w:rsidRPr="00497B07">
        <w:rPr>
          <w:rFonts w:ascii="Times New Roman" w:hAnsi="Times New Roman"/>
          <w:sz w:val="24"/>
          <w:szCs w:val="24"/>
        </w:rPr>
        <w:t>second fire engine to arrive at a scene should assume command</w:t>
      </w:r>
      <w:r>
        <w:rPr>
          <w:rFonts w:ascii="Times New Roman" w:hAnsi="Times New Roman"/>
          <w:sz w:val="24"/>
          <w:szCs w:val="24"/>
        </w:rPr>
        <w:t xml:space="preserve">…. </w:t>
      </w:r>
      <w:r w:rsidRPr="00497B07">
        <w:rPr>
          <w:rFonts w:ascii="Times New Roman" w:hAnsi="Times New Roman"/>
          <w:sz w:val="24"/>
          <w:szCs w:val="24"/>
        </w:rPr>
        <w:t>Plaintiff was on the seventh unit to arrive at the fire, but no one had assumed command. Id.</w:t>
      </w:r>
      <w:r>
        <w:rPr>
          <w:rFonts w:ascii="Times New Roman" w:hAnsi="Times New Roman"/>
          <w:sz w:val="24"/>
          <w:szCs w:val="24"/>
        </w:rPr>
        <w:t xml:space="preserve"> </w:t>
      </w:r>
      <w:r w:rsidRPr="00497B07">
        <w:rPr>
          <w:rFonts w:ascii="Times New Roman" w:hAnsi="Times New Roman"/>
          <w:sz w:val="24"/>
          <w:szCs w:val="24"/>
        </w:rPr>
        <w:t>So, plaintiff assumed command of the Seneca Street fire</w:t>
      </w:r>
      <w:r>
        <w:rPr>
          <w:rFonts w:ascii="Times New Roman" w:hAnsi="Times New Roman"/>
          <w:sz w:val="24"/>
          <w:szCs w:val="24"/>
        </w:rPr>
        <w:t>….</w:t>
      </w:r>
      <w:r w:rsidRPr="00497B07">
        <w:rPr>
          <w:rFonts w:ascii="Times New Roman" w:hAnsi="Times New Roman"/>
          <w:sz w:val="24"/>
          <w:szCs w:val="24"/>
        </w:rPr>
        <w:t xml:space="preserve"> With seven units already at the scene and assigned, plaintiff, as incident commander, had a</w:t>
      </w:r>
      <w:r>
        <w:rPr>
          <w:rFonts w:ascii="Times New Roman" w:hAnsi="Times New Roman"/>
          <w:sz w:val="24"/>
          <w:szCs w:val="24"/>
        </w:rPr>
        <w:t xml:space="preserve"> </w:t>
      </w:r>
      <w:r w:rsidRPr="00497B07">
        <w:rPr>
          <w:rFonts w:ascii="Times New Roman" w:hAnsi="Times New Roman"/>
          <w:sz w:val="24"/>
          <w:szCs w:val="24"/>
        </w:rPr>
        <w:t>lot of catching up to do</w:t>
      </w:r>
      <w:r>
        <w:rPr>
          <w:rFonts w:ascii="Times New Roman" w:hAnsi="Times New Roman"/>
          <w:sz w:val="24"/>
          <w:szCs w:val="24"/>
        </w:rPr>
        <w:t>….</w:t>
      </w:r>
      <w:r w:rsidRPr="00497B07">
        <w:rPr>
          <w:rFonts w:ascii="Times New Roman" w:hAnsi="Times New Roman"/>
          <w:sz w:val="24"/>
          <w:szCs w:val="24"/>
        </w:rPr>
        <w:t>(After Action Report Tr.). Plaintiff described the scene</w:t>
      </w:r>
      <w:r>
        <w:rPr>
          <w:rFonts w:ascii="Times New Roman" w:hAnsi="Times New Roman"/>
          <w:sz w:val="24"/>
          <w:szCs w:val="24"/>
        </w:rPr>
        <w:t xml:space="preserve"> </w:t>
      </w:r>
      <w:r w:rsidRPr="00497B07">
        <w:rPr>
          <w:rFonts w:ascii="Times New Roman" w:hAnsi="Times New Roman"/>
          <w:sz w:val="24"/>
          <w:szCs w:val="24"/>
        </w:rPr>
        <w:t xml:space="preserve">as a </w:t>
      </w:r>
      <w:r>
        <w:rPr>
          <w:rFonts w:ascii="Times New Roman" w:hAnsi="Times New Roman"/>
          <w:sz w:val="24"/>
          <w:szCs w:val="24"/>
        </w:rPr>
        <w:t>‘</w:t>
      </w:r>
      <w:r w:rsidRPr="00497B07">
        <w:rPr>
          <w:rFonts w:ascii="Times New Roman" w:hAnsi="Times New Roman"/>
          <w:sz w:val="24"/>
          <w:szCs w:val="24"/>
        </w:rPr>
        <w:t>shit show.</w:t>
      </w:r>
      <w:r>
        <w:rPr>
          <w:rFonts w:ascii="Times New Roman" w:hAnsi="Times New Roman"/>
          <w:sz w:val="24"/>
          <w:szCs w:val="24"/>
        </w:rPr>
        <w:t>’</w:t>
      </w:r>
      <w:r w:rsidRPr="00497B07">
        <w:rPr>
          <w:rFonts w:ascii="Times New Roman" w:hAnsi="Times New Roman"/>
          <w:sz w:val="24"/>
          <w:szCs w:val="24"/>
        </w:rPr>
        <w:t xml:space="preserve"> Doc. 86-7 at 49 (Pl. Dep. 200:6–13). Plaintiff acknowledged that he struggled</w:t>
      </w:r>
      <w:r>
        <w:rPr>
          <w:rFonts w:ascii="Times New Roman" w:hAnsi="Times New Roman"/>
          <w:sz w:val="24"/>
          <w:szCs w:val="24"/>
        </w:rPr>
        <w:t xml:space="preserve"> </w:t>
      </w:r>
      <w:r w:rsidRPr="00497B07">
        <w:rPr>
          <w:rFonts w:ascii="Times New Roman" w:hAnsi="Times New Roman"/>
          <w:sz w:val="24"/>
          <w:szCs w:val="24"/>
        </w:rPr>
        <w:t xml:space="preserve">at the scene but </w:t>
      </w:r>
      <w:proofErr w:type="gramStart"/>
      <w:r w:rsidRPr="00497B07">
        <w:rPr>
          <w:rFonts w:ascii="Times New Roman" w:hAnsi="Times New Roman"/>
          <w:sz w:val="24"/>
          <w:szCs w:val="24"/>
        </w:rPr>
        <w:t>believes</w:t>
      </w:r>
      <w:proofErr w:type="gramEnd"/>
      <w:r w:rsidRPr="00497B07">
        <w:rPr>
          <w:rFonts w:ascii="Times New Roman" w:hAnsi="Times New Roman"/>
          <w:sz w:val="24"/>
          <w:szCs w:val="24"/>
        </w:rPr>
        <w:t xml:space="preserve"> that anyone in the same situation would have struggled. </w:t>
      </w:r>
    </w:p>
    <w:p w14:paraId="5539B08B" w14:textId="77777777" w:rsidR="00AC3E10" w:rsidRDefault="00AC3E10" w:rsidP="00AC3E10">
      <w:pPr>
        <w:pStyle w:val="NoSpacing"/>
        <w:ind w:left="720"/>
        <w:rPr>
          <w:rFonts w:ascii="Times New Roman" w:hAnsi="Times New Roman"/>
          <w:sz w:val="24"/>
          <w:szCs w:val="24"/>
        </w:rPr>
      </w:pPr>
    </w:p>
    <w:p w14:paraId="2136A12F" w14:textId="77777777" w:rsidR="00AC3E10" w:rsidRDefault="00AC3E10" w:rsidP="00AC3E10">
      <w:pPr>
        <w:pStyle w:val="NoSpacing"/>
        <w:ind w:left="720"/>
        <w:rPr>
          <w:rFonts w:ascii="Times New Roman" w:hAnsi="Times New Roman"/>
          <w:sz w:val="24"/>
          <w:szCs w:val="24"/>
        </w:rPr>
      </w:pPr>
      <w:r>
        <w:rPr>
          <w:rFonts w:ascii="Times New Roman" w:hAnsi="Times New Roman"/>
          <w:sz w:val="24"/>
          <w:szCs w:val="24"/>
        </w:rPr>
        <w:t>***</w:t>
      </w:r>
    </w:p>
    <w:p w14:paraId="47D25600" w14:textId="77777777" w:rsidR="00AC3E10" w:rsidRDefault="00AC3E10" w:rsidP="00AC3E10">
      <w:pPr>
        <w:pStyle w:val="NoSpacing"/>
        <w:ind w:left="720"/>
        <w:rPr>
          <w:rFonts w:ascii="Times New Roman" w:hAnsi="Times New Roman"/>
          <w:sz w:val="24"/>
          <w:szCs w:val="24"/>
        </w:rPr>
      </w:pPr>
    </w:p>
    <w:p w14:paraId="6B3A143D" w14:textId="77777777" w:rsidR="00AC3E10" w:rsidRPr="00C20869" w:rsidRDefault="00AC3E10" w:rsidP="00AC3E10">
      <w:pPr>
        <w:pStyle w:val="NoSpacing"/>
        <w:ind w:firstLine="720"/>
        <w:rPr>
          <w:rFonts w:ascii="Times New Roman" w:hAnsi="Times New Roman"/>
          <w:sz w:val="24"/>
          <w:szCs w:val="24"/>
        </w:rPr>
      </w:pPr>
      <w:r w:rsidRPr="00C20869">
        <w:rPr>
          <w:rFonts w:ascii="Times New Roman" w:hAnsi="Times New Roman"/>
          <w:sz w:val="24"/>
          <w:szCs w:val="24"/>
        </w:rPr>
        <w:t xml:space="preserve">Here, Chief Snow asked Pavelski to review plaintiff’s second evaluation </w:t>
      </w:r>
      <w:r>
        <w:rPr>
          <w:rFonts w:ascii="Times New Roman" w:hAnsi="Times New Roman"/>
          <w:sz w:val="24"/>
          <w:szCs w:val="24"/>
        </w:rPr>
        <w:t>‘</w:t>
      </w:r>
      <w:r w:rsidRPr="00C20869">
        <w:rPr>
          <w:rFonts w:ascii="Times New Roman" w:hAnsi="Times New Roman"/>
          <w:sz w:val="24"/>
          <w:szCs w:val="24"/>
        </w:rPr>
        <w:t>for accuracy</w:t>
      </w:r>
      <w:r>
        <w:rPr>
          <w:rFonts w:ascii="Times New Roman" w:hAnsi="Times New Roman"/>
          <w:sz w:val="24"/>
          <w:szCs w:val="24"/>
        </w:rPr>
        <w:t>.’</w:t>
      </w:r>
    </w:p>
    <w:p w14:paraId="2E276AFD" w14:textId="77777777" w:rsidR="00AC3E10" w:rsidRPr="00C20869" w:rsidRDefault="00AC3E10" w:rsidP="00AC3E10">
      <w:pPr>
        <w:pStyle w:val="NoSpacing"/>
        <w:ind w:firstLine="720"/>
        <w:rPr>
          <w:rFonts w:ascii="Times New Roman" w:hAnsi="Times New Roman"/>
          <w:sz w:val="24"/>
          <w:szCs w:val="24"/>
        </w:rPr>
      </w:pPr>
      <w:r w:rsidRPr="00C20869">
        <w:rPr>
          <w:rFonts w:ascii="Times New Roman" w:hAnsi="Times New Roman"/>
          <w:sz w:val="24"/>
          <w:szCs w:val="24"/>
        </w:rPr>
        <w:t xml:space="preserve">Doc. 86-19 (Snow, Aug. 11, </w:t>
      </w:r>
      <w:proofErr w:type="gramStart"/>
      <w:r w:rsidRPr="00C20869">
        <w:rPr>
          <w:rFonts w:ascii="Times New Roman" w:hAnsi="Times New Roman"/>
          <w:sz w:val="24"/>
          <w:szCs w:val="24"/>
        </w:rPr>
        <w:t>2020</w:t>
      </w:r>
      <w:proofErr w:type="gramEnd"/>
      <w:r w:rsidRPr="00C20869">
        <w:rPr>
          <w:rFonts w:ascii="Times New Roman" w:hAnsi="Times New Roman"/>
          <w:sz w:val="24"/>
          <w:szCs w:val="24"/>
        </w:rPr>
        <w:t xml:space="preserve"> Email). Chief Snow wanted Pavelski to add a </w:t>
      </w:r>
      <w:r>
        <w:rPr>
          <w:rFonts w:ascii="Times New Roman" w:hAnsi="Times New Roman"/>
          <w:sz w:val="24"/>
          <w:szCs w:val="24"/>
        </w:rPr>
        <w:t>‘</w:t>
      </w:r>
      <w:r w:rsidRPr="00C20869">
        <w:rPr>
          <w:rFonts w:ascii="Times New Roman" w:hAnsi="Times New Roman"/>
          <w:sz w:val="24"/>
          <w:szCs w:val="24"/>
        </w:rPr>
        <w:t>note of</w:t>
      </w:r>
    </w:p>
    <w:p w14:paraId="39402515" w14:textId="77777777" w:rsidR="00AC3E10" w:rsidRDefault="00AC3E10" w:rsidP="00AC3E10">
      <w:pPr>
        <w:pStyle w:val="NoSpacing"/>
        <w:ind w:left="720"/>
        <w:rPr>
          <w:rFonts w:ascii="Times New Roman" w:hAnsi="Times New Roman"/>
          <w:sz w:val="24"/>
          <w:szCs w:val="24"/>
        </w:rPr>
      </w:pPr>
      <w:r w:rsidRPr="00C20869">
        <w:rPr>
          <w:rFonts w:ascii="Times New Roman" w:hAnsi="Times New Roman"/>
          <w:sz w:val="24"/>
          <w:szCs w:val="24"/>
        </w:rPr>
        <w:t>Accountability</w:t>
      </w:r>
      <w:r>
        <w:rPr>
          <w:rFonts w:ascii="Times New Roman" w:hAnsi="Times New Roman"/>
          <w:sz w:val="24"/>
          <w:szCs w:val="24"/>
        </w:rPr>
        <w:t>’</w:t>
      </w:r>
      <w:r w:rsidRPr="00C20869">
        <w:rPr>
          <w:rFonts w:ascii="Times New Roman" w:hAnsi="Times New Roman"/>
          <w:sz w:val="24"/>
          <w:szCs w:val="24"/>
        </w:rPr>
        <w:t xml:space="preserve"> about plaintiff’s performance at the Seneca Street Fire. Doc. 86-3 at 19 (Snow</w:t>
      </w:r>
      <w:r>
        <w:rPr>
          <w:rFonts w:ascii="Times New Roman" w:hAnsi="Times New Roman"/>
          <w:sz w:val="24"/>
          <w:szCs w:val="24"/>
        </w:rPr>
        <w:t xml:space="preserve"> </w:t>
      </w:r>
      <w:r w:rsidRPr="00C20869">
        <w:rPr>
          <w:rFonts w:ascii="Times New Roman" w:hAnsi="Times New Roman"/>
          <w:sz w:val="24"/>
          <w:szCs w:val="24"/>
        </w:rPr>
        <w:t>Dep. 58:4–11).</w:t>
      </w:r>
    </w:p>
    <w:p w14:paraId="6CDB60CE" w14:textId="77777777" w:rsidR="00AC3E10" w:rsidRDefault="00AC3E10" w:rsidP="00AC3E10">
      <w:pPr>
        <w:pStyle w:val="NoSpacing"/>
        <w:ind w:left="720"/>
        <w:rPr>
          <w:rFonts w:ascii="Times New Roman" w:hAnsi="Times New Roman"/>
          <w:sz w:val="24"/>
          <w:szCs w:val="24"/>
        </w:rPr>
      </w:pPr>
    </w:p>
    <w:p w14:paraId="371DB84C" w14:textId="77777777" w:rsidR="00AC3E10" w:rsidRDefault="00AC3E10" w:rsidP="00AC3E10">
      <w:pPr>
        <w:pStyle w:val="NoSpacing"/>
        <w:ind w:left="720"/>
        <w:rPr>
          <w:rFonts w:ascii="Times New Roman" w:hAnsi="Times New Roman"/>
          <w:sz w:val="24"/>
          <w:szCs w:val="24"/>
        </w:rPr>
      </w:pPr>
      <w:r>
        <w:rPr>
          <w:rFonts w:ascii="Times New Roman" w:hAnsi="Times New Roman"/>
          <w:sz w:val="24"/>
          <w:szCs w:val="24"/>
        </w:rPr>
        <w:t>***</w:t>
      </w:r>
    </w:p>
    <w:p w14:paraId="0A340006" w14:textId="77777777" w:rsidR="00AC3E10" w:rsidRDefault="00AC3E10" w:rsidP="00AC3E10">
      <w:pPr>
        <w:pStyle w:val="NoSpacing"/>
        <w:ind w:left="720"/>
        <w:rPr>
          <w:rFonts w:ascii="Times New Roman" w:hAnsi="Times New Roman"/>
          <w:sz w:val="24"/>
          <w:szCs w:val="24"/>
        </w:rPr>
      </w:pPr>
    </w:p>
    <w:p w14:paraId="07F19371" w14:textId="77777777" w:rsidR="00AC3E10" w:rsidRPr="00C20869" w:rsidRDefault="00AC3E10" w:rsidP="00AC3E10">
      <w:pPr>
        <w:pStyle w:val="NoSpacing"/>
        <w:ind w:firstLine="720"/>
        <w:rPr>
          <w:rFonts w:ascii="Times New Roman" w:hAnsi="Times New Roman"/>
          <w:sz w:val="24"/>
          <w:szCs w:val="24"/>
        </w:rPr>
      </w:pPr>
      <w:r w:rsidRPr="00C20869">
        <w:rPr>
          <w:rFonts w:ascii="Times New Roman" w:hAnsi="Times New Roman"/>
          <w:sz w:val="24"/>
          <w:szCs w:val="24"/>
        </w:rPr>
        <w:t xml:space="preserve">And plaintiff acknowledged that the Seneca Street Fire was a </w:t>
      </w:r>
      <w:r>
        <w:rPr>
          <w:rFonts w:ascii="Times New Roman" w:hAnsi="Times New Roman"/>
          <w:sz w:val="24"/>
          <w:szCs w:val="24"/>
        </w:rPr>
        <w:t>‘</w:t>
      </w:r>
      <w:r w:rsidRPr="00C20869">
        <w:rPr>
          <w:rFonts w:ascii="Times New Roman" w:hAnsi="Times New Roman"/>
          <w:sz w:val="24"/>
          <w:szCs w:val="24"/>
        </w:rPr>
        <w:t>shit show,</w:t>
      </w:r>
      <w:r>
        <w:rPr>
          <w:rFonts w:ascii="Times New Roman" w:hAnsi="Times New Roman"/>
          <w:sz w:val="24"/>
          <w:szCs w:val="24"/>
        </w:rPr>
        <w:t xml:space="preserve">’ </w:t>
      </w:r>
      <w:r w:rsidRPr="00C20869">
        <w:rPr>
          <w:rFonts w:ascii="Times New Roman" w:hAnsi="Times New Roman"/>
          <w:sz w:val="24"/>
          <w:szCs w:val="24"/>
        </w:rPr>
        <w:t>Doc.</w:t>
      </w:r>
    </w:p>
    <w:p w14:paraId="59B1FE70" w14:textId="77777777" w:rsidR="00AC3E10" w:rsidRDefault="00AC3E10" w:rsidP="00AC3E10">
      <w:pPr>
        <w:pStyle w:val="NoSpacing"/>
        <w:ind w:left="720"/>
        <w:rPr>
          <w:rFonts w:ascii="Times New Roman" w:hAnsi="Times New Roman"/>
          <w:sz w:val="24"/>
          <w:szCs w:val="24"/>
        </w:rPr>
      </w:pPr>
      <w:r w:rsidRPr="00C20869">
        <w:rPr>
          <w:rFonts w:ascii="Times New Roman" w:hAnsi="Times New Roman"/>
          <w:sz w:val="24"/>
          <w:szCs w:val="24"/>
        </w:rPr>
        <w:t>86-7 at 49 (Pl. Dep. 200:6–13), and that he struggled at the scene, id. at 50 (Pl. Dep. 202:4–13).</w:t>
      </w:r>
      <w:r>
        <w:rPr>
          <w:rFonts w:ascii="Times New Roman" w:hAnsi="Times New Roman"/>
          <w:sz w:val="24"/>
          <w:szCs w:val="24"/>
        </w:rPr>
        <w:t xml:space="preserve"> </w:t>
      </w:r>
      <w:r w:rsidRPr="00C20869">
        <w:rPr>
          <w:rFonts w:ascii="Times New Roman" w:hAnsi="Times New Roman"/>
          <w:sz w:val="24"/>
          <w:szCs w:val="24"/>
        </w:rPr>
        <w:t>Defendants’ reason for altering plaintiff’s review is not facially prohibited—</w:t>
      </w:r>
      <w:proofErr w:type="gramStart"/>
      <w:r w:rsidRPr="00C20869">
        <w:rPr>
          <w:rFonts w:ascii="Times New Roman" w:hAnsi="Times New Roman"/>
          <w:sz w:val="24"/>
          <w:szCs w:val="24"/>
        </w:rPr>
        <w:t>so,</w:t>
      </w:r>
      <w:proofErr w:type="gramEnd"/>
      <w:r w:rsidRPr="00C20869">
        <w:rPr>
          <w:rFonts w:ascii="Times New Roman" w:hAnsi="Times New Roman"/>
          <w:sz w:val="24"/>
          <w:szCs w:val="24"/>
        </w:rPr>
        <w:t xml:space="preserve"> defendants have</w:t>
      </w:r>
      <w:r>
        <w:rPr>
          <w:rFonts w:ascii="Times New Roman" w:hAnsi="Times New Roman"/>
          <w:sz w:val="24"/>
          <w:szCs w:val="24"/>
        </w:rPr>
        <w:t xml:space="preserve"> </w:t>
      </w:r>
      <w:r w:rsidRPr="00C20869">
        <w:rPr>
          <w:rFonts w:ascii="Times New Roman" w:hAnsi="Times New Roman"/>
          <w:sz w:val="24"/>
          <w:szCs w:val="24"/>
        </w:rPr>
        <w:t>satisfied their burden at this step. Also, plaintiff doesn’t argue that defendants have failed to</w:t>
      </w:r>
      <w:r>
        <w:rPr>
          <w:rFonts w:ascii="Times New Roman" w:hAnsi="Times New Roman"/>
          <w:sz w:val="24"/>
          <w:szCs w:val="24"/>
        </w:rPr>
        <w:t xml:space="preserve"> </w:t>
      </w:r>
      <w:r w:rsidRPr="00C20869">
        <w:rPr>
          <w:rFonts w:ascii="Times New Roman" w:hAnsi="Times New Roman"/>
          <w:sz w:val="24"/>
          <w:szCs w:val="24"/>
        </w:rPr>
        <w:t>proffer a legitimate, non-discriminatory reason for modifying his performance evaluation. See</w:t>
      </w:r>
      <w:r>
        <w:rPr>
          <w:rFonts w:ascii="Times New Roman" w:hAnsi="Times New Roman"/>
          <w:sz w:val="24"/>
          <w:szCs w:val="24"/>
        </w:rPr>
        <w:t xml:space="preserve"> </w:t>
      </w:r>
      <w:r w:rsidRPr="00C20869">
        <w:rPr>
          <w:rFonts w:ascii="Times New Roman" w:hAnsi="Times New Roman"/>
          <w:sz w:val="24"/>
          <w:szCs w:val="24"/>
        </w:rPr>
        <w:t>generally Doc. 91. Defendants simply wanted plaintiff’s performance evaluation to include</w:t>
      </w:r>
      <w:r>
        <w:rPr>
          <w:rFonts w:ascii="Times New Roman" w:hAnsi="Times New Roman"/>
          <w:sz w:val="24"/>
          <w:szCs w:val="24"/>
        </w:rPr>
        <w:t xml:space="preserve"> </w:t>
      </w:r>
      <w:r w:rsidRPr="00C20869">
        <w:rPr>
          <w:rFonts w:ascii="Times New Roman" w:hAnsi="Times New Roman"/>
          <w:sz w:val="24"/>
          <w:szCs w:val="24"/>
        </w:rPr>
        <w:t xml:space="preserve">information about the Seneca </w:t>
      </w:r>
      <w:r w:rsidRPr="00C20869">
        <w:rPr>
          <w:rFonts w:ascii="Times New Roman" w:hAnsi="Times New Roman"/>
          <w:sz w:val="24"/>
          <w:szCs w:val="24"/>
        </w:rPr>
        <w:lastRenderedPageBreak/>
        <w:t>Street Fire. This showing qualifies as a legitimate,</w:t>
      </w:r>
      <w:r>
        <w:rPr>
          <w:rFonts w:ascii="Times New Roman" w:hAnsi="Times New Roman"/>
          <w:sz w:val="24"/>
          <w:szCs w:val="24"/>
        </w:rPr>
        <w:t xml:space="preserve"> </w:t>
      </w:r>
      <w:r w:rsidRPr="00C20869">
        <w:rPr>
          <w:rFonts w:ascii="Times New Roman" w:hAnsi="Times New Roman"/>
          <w:sz w:val="24"/>
          <w:szCs w:val="24"/>
        </w:rPr>
        <w:t>nondiscriminatory reason satisfactory to discharge the City’s burden at step two.</w:t>
      </w:r>
    </w:p>
    <w:p w14:paraId="1C7AE4DC" w14:textId="77777777" w:rsidR="00AC3E10" w:rsidRDefault="00AC3E10" w:rsidP="00AC3E10">
      <w:pPr>
        <w:pStyle w:val="NoSpacing"/>
        <w:ind w:left="720"/>
        <w:rPr>
          <w:rFonts w:ascii="Times New Roman" w:hAnsi="Times New Roman"/>
          <w:sz w:val="24"/>
          <w:szCs w:val="24"/>
        </w:rPr>
      </w:pPr>
    </w:p>
    <w:p w14:paraId="31AA7B0E" w14:textId="77777777" w:rsidR="00AC3E10" w:rsidRDefault="00AC3E10" w:rsidP="00AC3E10">
      <w:pPr>
        <w:pStyle w:val="NoSpacing"/>
        <w:ind w:left="720"/>
        <w:rPr>
          <w:rFonts w:ascii="Times New Roman" w:hAnsi="Times New Roman"/>
          <w:sz w:val="24"/>
          <w:szCs w:val="24"/>
        </w:rPr>
      </w:pPr>
      <w:r>
        <w:rPr>
          <w:rFonts w:ascii="Times New Roman" w:hAnsi="Times New Roman"/>
          <w:sz w:val="24"/>
          <w:szCs w:val="24"/>
        </w:rPr>
        <w:t>***</w:t>
      </w:r>
    </w:p>
    <w:p w14:paraId="743F8539" w14:textId="77777777" w:rsidR="00AC3E10" w:rsidRDefault="00AC3E10" w:rsidP="00AC3E10">
      <w:pPr>
        <w:pStyle w:val="NoSpacing"/>
        <w:ind w:firstLine="720"/>
        <w:rPr>
          <w:rFonts w:ascii="Times New Roman" w:hAnsi="Times New Roman"/>
          <w:sz w:val="24"/>
          <w:szCs w:val="24"/>
        </w:rPr>
      </w:pPr>
      <w:r>
        <w:rPr>
          <w:rFonts w:ascii="Times New Roman" w:hAnsi="Times New Roman"/>
          <w:sz w:val="24"/>
          <w:szCs w:val="24"/>
        </w:rPr>
        <w:t>T</w:t>
      </w:r>
      <w:r w:rsidRPr="00C20869">
        <w:rPr>
          <w:rFonts w:ascii="Times New Roman" w:hAnsi="Times New Roman"/>
          <w:sz w:val="24"/>
          <w:szCs w:val="24"/>
        </w:rPr>
        <w:t>he court concludes, instead, that plaintiff has failed to present triable issues of race</w:t>
      </w:r>
    </w:p>
    <w:p w14:paraId="43E6E44D" w14:textId="77777777" w:rsidR="00AC3E10" w:rsidRDefault="00AC3E10" w:rsidP="00AC3E10">
      <w:pPr>
        <w:pStyle w:val="NoSpacing"/>
        <w:ind w:left="720"/>
        <w:rPr>
          <w:rFonts w:ascii="Times New Roman" w:hAnsi="Times New Roman"/>
          <w:sz w:val="24"/>
          <w:szCs w:val="24"/>
        </w:rPr>
      </w:pPr>
      <w:r w:rsidRPr="00C20869">
        <w:rPr>
          <w:rFonts w:ascii="Times New Roman" w:hAnsi="Times New Roman"/>
          <w:sz w:val="24"/>
          <w:szCs w:val="24"/>
        </w:rPr>
        <w:t>discrimination and retaliation, so it declines to invoke its supplemental jurisdiction over the state</w:t>
      </w:r>
      <w:r>
        <w:rPr>
          <w:rFonts w:ascii="Times New Roman" w:hAnsi="Times New Roman"/>
          <w:sz w:val="24"/>
          <w:szCs w:val="24"/>
        </w:rPr>
        <w:t xml:space="preserve"> </w:t>
      </w:r>
      <w:r w:rsidRPr="00C20869">
        <w:rPr>
          <w:rFonts w:ascii="Times New Roman" w:hAnsi="Times New Roman"/>
          <w:sz w:val="24"/>
          <w:szCs w:val="24"/>
        </w:rPr>
        <w:t>law claims under 28 U.S.C.§ 1367(c)(3).</w:t>
      </w:r>
      <w:r>
        <w:rPr>
          <w:rFonts w:ascii="Times New Roman" w:hAnsi="Times New Roman"/>
          <w:sz w:val="24"/>
          <w:szCs w:val="24"/>
        </w:rPr>
        <w:t xml:space="preserve">”  </w:t>
      </w:r>
      <w:hyperlink r:id="rId1549" w:history="1">
        <w:r w:rsidRPr="002833D6">
          <w:rPr>
            <w:rStyle w:val="Hyperlink"/>
            <w:rFonts w:ascii="Times New Roman" w:hAnsi="Times New Roman"/>
            <w:sz w:val="24"/>
            <w:szCs w:val="24"/>
          </w:rPr>
          <w:t>https://cases.justia.com/federal/district-courts/kansas/ksdce/6:2022cv01032/140026/96/0.pdf?ts=1694273736</w:t>
        </w:r>
      </w:hyperlink>
      <w:r>
        <w:rPr>
          <w:rFonts w:ascii="Times New Roman" w:hAnsi="Times New Roman"/>
          <w:sz w:val="24"/>
          <w:szCs w:val="24"/>
        </w:rPr>
        <w:t xml:space="preserve"> </w:t>
      </w:r>
    </w:p>
    <w:p w14:paraId="0BD13CE9" w14:textId="77777777" w:rsidR="00AC3E10" w:rsidRDefault="00AC3E10" w:rsidP="00AC3E10">
      <w:pPr>
        <w:pStyle w:val="NoSpacing"/>
        <w:rPr>
          <w:rFonts w:ascii="Times New Roman" w:hAnsi="Times New Roman"/>
          <w:b/>
          <w:bCs/>
          <w:sz w:val="24"/>
          <w:szCs w:val="24"/>
        </w:rPr>
      </w:pPr>
    </w:p>
    <w:p w14:paraId="751A6F70" w14:textId="77777777" w:rsidR="00AC3E10" w:rsidRPr="0000521D" w:rsidRDefault="00AC3E10" w:rsidP="00AC3E10">
      <w:pPr>
        <w:pStyle w:val="NoSpacing"/>
        <w:rPr>
          <w:rFonts w:ascii="Times New Roman" w:hAnsi="Times New Roman"/>
          <w:b/>
          <w:bCs/>
          <w:sz w:val="24"/>
          <w:szCs w:val="24"/>
        </w:rPr>
      </w:pPr>
      <w:r w:rsidRPr="0000521D">
        <w:rPr>
          <w:rFonts w:ascii="Times New Roman" w:hAnsi="Times New Roman"/>
          <w:b/>
          <w:bCs/>
          <w:sz w:val="24"/>
          <w:szCs w:val="24"/>
        </w:rPr>
        <w:t>Legal Lesson Learned:</w:t>
      </w:r>
      <w:r>
        <w:rPr>
          <w:rFonts w:ascii="Times New Roman" w:hAnsi="Times New Roman"/>
          <w:b/>
          <w:bCs/>
          <w:sz w:val="24"/>
          <w:szCs w:val="24"/>
        </w:rPr>
        <w:t xml:space="preserve"> Fire Chief properly ordered the annual performance review </w:t>
      </w:r>
      <w:proofErr w:type="gramStart"/>
      <w:r>
        <w:rPr>
          <w:rFonts w:ascii="Times New Roman" w:hAnsi="Times New Roman"/>
          <w:b/>
          <w:bCs/>
          <w:sz w:val="24"/>
          <w:szCs w:val="24"/>
        </w:rPr>
        <w:t>include</w:t>
      </w:r>
      <w:proofErr w:type="gramEnd"/>
      <w:r>
        <w:rPr>
          <w:rFonts w:ascii="Times New Roman" w:hAnsi="Times New Roman"/>
          <w:b/>
          <w:bCs/>
          <w:sz w:val="24"/>
          <w:szCs w:val="24"/>
        </w:rPr>
        <w:t xml:space="preserve"> reference to IC issues at strip mall fire.  </w:t>
      </w:r>
    </w:p>
    <w:p w14:paraId="12320FC1" w14:textId="77777777" w:rsidR="00AC3E10" w:rsidRDefault="00AC3E10" w:rsidP="00AC3E10">
      <w:pPr>
        <w:rPr>
          <w:rStyle w:val="Hyperlink"/>
          <w:rFonts w:ascii="Arial Black" w:hAnsi="Arial Black"/>
          <w:b/>
          <w:color w:val="auto"/>
          <w:sz w:val="24"/>
          <w:szCs w:val="24"/>
          <w:u w:val="none"/>
        </w:rPr>
      </w:pPr>
    </w:p>
    <w:p w14:paraId="13C55798" w14:textId="77777777" w:rsidR="00AC3E10" w:rsidRDefault="00AC3E10" w:rsidP="00BC70A3">
      <w:pPr>
        <w:rPr>
          <w:rFonts w:ascii="Arial Black" w:hAnsi="Arial Black"/>
          <w:b/>
          <w:sz w:val="24"/>
          <w:szCs w:val="24"/>
        </w:rPr>
      </w:pPr>
    </w:p>
    <w:p w14:paraId="0665ADAF" w14:textId="77777777" w:rsidR="00AC3E10" w:rsidRDefault="00AC3E10" w:rsidP="00BC70A3">
      <w:pPr>
        <w:rPr>
          <w:rFonts w:ascii="Arial Black" w:hAnsi="Arial Black"/>
          <w:b/>
          <w:sz w:val="24"/>
          <w:szCs w:val="24"/>
        </w:rPr>
      </w:pPr>
    </w:p>
    <w:p w14:paraId="6878D7B2" w14:textId="77777777" w:rsidR="00AC3E10" w:rsidRDefault="00AC3E10" w:rsidP="00BC70A3">
      <w:pPr>
        <w:rPr>
          <w:rFonts w:ascii="Arial Black" w:hAnsi="Arial Black"/>
          <w:b/>
          <w:sz w:val="24"/>
          <w:szCs w:val="24"/>
        </w:rPr>
      </w:pPr>
    </w:p>
    <w:p w14:paraId="16605AFA" w14:textId="05C4C2FB" w:rsidR="000644B6" w:rsidRDefault="000644B6" w:rsidP="00BC70A3">
      <w:pPr>
        <w:rPr>
          <w:rFonts w:ascii="Arial Black" w:hAnsi="Arial Black"/>
          <w:b/>
          <w:sz w:val="24"/>
          <w:szCs w:val="24"/>
        </w:rPr>
      </w:pPr>
      <w:r>
        <w:rPr>
          <w:rFonts w:ascii="Arial Black" w:hAnsi="Arial Black"/>
          <w:b/>
          <w:sz w:val="24"/>
          <w:szCs w:val="24"/>
        </w:rPr>
        <w:t>8-53</w:t>
      </w:r>
    </w:p>
    <w:p w14:paraId="17D2FFCE" w14:textId="77777777" w:rsidR="000644B6" w:rsidRDefault="000644B6" w:rsidP="000644B6">
      <w:pPr>
        <w:pStyle w:val="NormalWeb"/>
        <w:rPr>
          <w:rFonts w:ascii="Arial Black" w:hAnsi="Arial Black"/>
          <w:sz w:val="28"/>
          <w:szCs w:val="28"/>
        </w:rPr>
      </w:pPr>
      <w:r>
        <w:rPr>
          <w:rFonts w:ascii="Arial Black" w:hAnsi="Arial Black"/>
          <w:sz w:val="28"/>
          <w:szCs w:val="28"/>
        </w:rPr>
        <w:t xml:space="preserve">OH: CINCINNATI CAPTAIN – ASIAN / BLACK – PROMOTION TEST IRREGULARITIES - DISCRIMINATION CLAIM PROCEED </w:t>
      </w:r>
    </w:p>
    <w:p w14:paraId="14AC487F" w14:textId="77777777" w:rsidR="000644B6" w:rsidRDefault="000644B6" w:rsidP="000644B6">
      <w:pPr>
        <w:pStyle w:val="NormalWeb"/>
      </w:pPr>
      <w:r>
        <w:t xml:space="preserve">On July 11, 2023, in </w:t>
      </w:r>
      <w:r w:rsidRPr="008D0D1D">
        <w:rPr>
          <w:u w:val="single"/>
        </w:rPr>
        <w:t>Janos Roper v. City of Cincinnati</w:t>
      </w:r>
      <w:r>
        <w:t>, U.S. District Court Judge Mathew W. McFarland, U.S. District Court for Southern District of Ohio, Western Division, denied in part the City’s motion to dismiss.  His racial discrimination claim concerning testing irregularities may proceed; but his Ohio Whistleblower claim that he was ordered to speed is dismissed since he didn’t orally report this.   In 2019, he took a promotion test, and alleged technical issues with test caused him to lose points (ranked 16</w:t>
      </w:r>
      <w:r w:rsidRPr="000506A2">
        <w:rPr>
          <w:vertAlign w:val="superscript"/>
        </w:rPr>
        <w:t>th</w:t>
      </w:r>
      <w:r>
        <w:t xml:space="preserve"> on list; 11 promoted during the two years list was effective).  He reported the issues by email to Erica Burks, a human resources employee, and addressed concerns about his income, falsely graded questions, and racial discrimination around the testing itself.  </w:t>
      </w:r>
    </w:p>
    <w:p w14:paraId="3065EEA1" w14:textId="77777777" w:rsidR="000644B6" w:rsidRDefault="000644B6" w:rsidP="000644B6">
      <w:pPr>
        <w:pStyle w:val="NormalWeb"/>
      </w:pPr>
      <w:r>
        <w:t xml:space="preserve">The Court held: </w:t>
      </w:r>
    </w:p>
    <w:p w14:paraId="51805CB2" w14:textId="77777777" w:rsidR="000644B6" w:rsidRDefault="000644B6" w:rsidP="000644B6">
      <w:pPr>
        <w:pStyle w:val="NormalWeb"/>
        <w:numPr>
          <w:ilvl w:val="0"/>
          <w:numId w:val="17"/>
        </w:numPr>
      </w:pPr>
      <w:r>
        <w:t xml:space="preserve">His racial discrimination claim may proceed. “The </w:t>
      </w:r>
      <w:proofErr w:type="gramStart"/>
      <w:r>
        <w:t>City</w:t>
      </w:r>
      <w:proofErr w:type="gramEnd"/>
      <w:r>
        <w:t xml:space="preserve"> claims that Roper has not laid out a prima facie case [of race discrimination]. This argument is premature. An ‘employment discrimination plaintiff need not plead a prima facie case of discrimination’ to survive a motion to dismiss. *** The second problem with the City's argument is that it fails to address the fact that Roper attacks the integrity of the test itself. If the test was flawed, then so were the results of the eligible list. </w:t>
      </w:r>
      <w:proofErr w:type="gramStart"/>
      <w:r>
        <w:t>So</w:t>
      </w:r>
      <w:proofErr w:type="gramEnd"/>
      <w:r>
        <w:t xml:space="preserve"> the fact that he appears sixteenth on the list does not, at the Rule 12(b)(6) stage, absolve the City of liability.”</w:t>
      </w:r>
      <w:r w:rsidRPr="000506A2">
        <w:t xml:space="preserve"> </w:t>
      </w:r>
    </w:p>
    <w:p w14:paraId="0DF5804E" w14:textId="77777777" w:rsidR="000644B6" w:rsidRDefault="000644B6" w:rsidP="000644B6">
      <w:pPr>
        <w:pStyle w:val="NormalWeb"/>
        <w:ind w:left="720"/>
      </w:pPr>
    </w:p>
    <w:p w14:paraId="3D366379" w14:textId="77777777" w:rsidR="000644B6" w:rsidRDefault="000644B6" w:rsidP="000644B6">
      <w:pPr>
        <w:pStyle w:val="NormalWeb"/>
        <w:numPr>
          <w:ilvl w:val="0"/>
          <w:numId w:val="17"/>
        </w:numPr>
      </w:pPr>
      <w:r>
        <w:t xml:space="preserve">Whistleblower </w:t>
      </w:r>
      <w:proofErr w:type="gramStart"/>
      <w:r>
        <w:t>claim</w:t>
      </w:r>
      <w:proofErr w:type="gramEnd"/>
      <w:r>
        <w:t xml:space="preserve"> dismissed.  “He also made whistleblower complaints about [Battalion Chief Jason] Vollmer's instructions for him to break traffic laws and falsify government records. Not much came </w:t>
      </w:r>
      <w:proofErr w:type="gramStart"/>
      <w:r>
        <w:t>of</w:t>
      </w:r>
      <w:proofErr w:type="gramEnd"/>
      <w:r>
        <w:t xml:space="preserve"> these complaints. And, after he came back from a period of sick leave in September 2020, Vollmer treated him worse than before.*** [N]</w:t>
      </w:r>
      <w:proofErr w:type="spellStart"/>
      <w:r>
        <w:t>owhere</w:t>
      </w:r>
      <w:proofErr w:type="spellEnd"/>
      <w:r>
        <w:t xml:space="preserve"> nowhere does he allege any oral communication. He contacted Burks, once, through email. But the whistleblower statute requires him to first orally report a violation, then file a written report. </w:t>
      </w:r>
      <w:hyperlink r:id="rId1550" w:history="1">
        <w:r>
          <w:rPr>
            <w:rStyle w:val="Hyperlink"/>
            <w:rFonts w:eastAsiaTheme="majorEastAsia"/>
          </w:rPr>
          <w:t>R.C. § 4113.52(A)(1)(a)</w:t>
        </w:r>
      </w:hyperlink>
      <w:r>
        <w:t>.”</w:t>
      </w:r>
    </w:p>
    <w:p w14:paraId="6A92F81D" w14:textId="77777777" w:rsidR="000644B6" w:rsidRDefault="000644B6" w:rsidP="000644B6">
      <w:pPr>
        <w:pStyle w:val="NormalWeb"/>
      </w:pPr>
      <w:hyperlink r:id="rId1551" w:history="1">
        <w:r w:rsidRPr="000D7596">
          <w:rPr>
            <w:rStyle w:val="Hyperlink"/>
            <w:rFonts w:eastAsiaTheme="majorEastAsia"/>
          </w:rPr>
          <w:t>https://casetext.com/case/roper-v-city-of-cincinnati</w:t>
        </w:r>
      </w:hyperlink>
      <w:r>
        <w:t xml:space="preserve"> </w:t>
      </w:r>
    </w:p>
    <w:p w14:paraId="48D2305B" w14:textId="77777777" w:rsidR="000644B6" w:rsidRPr="00030503" w:rsidRDefault="000644B6" w:rsidP="000644B6">
      <w:pPr>
        <w:pStyle w:val="NormalWeb"/>
        <w:rPr>
          <w:b/>
          <w:bCs/>
        </w:rPr>
      </w:pPr>
      <w:r w:rsidRPr="00030503">
        <w:rPr>
          <w:b/>
          <w:bCs/>
        </w:rPr>
        <w:t>Legal Lesson Learned:</w:t>
      </w:r>
      <w:r>
        <w:rPr>
          <w:b/>
          <w:bCs/>
        </w:rPr>
        <w:t xml:space="preserve"> Race discrimination lawsuits will generally not be subject to dismissal until all </w:t>
      </w:r>
      <w:proofErr w:type="gramStart"/>
      <w:r>
        <w:rPr>
          <w:b/>
          <w:bCs/>
        </w:rPr>
        <w:t>discovery has</w:t>
      </w:r>
      <w:proofErr w:type="gramEnd"/>
      <w:r>
        <w:rPr>
          <w:b/>
          <w:bCs/>
        </w:rPr>
        <w:t xml:space="preserve"> been completed.</w:t>
      </w:r>
    </w:p>
    <w:p w14:paraId="4295EB19" w14:textId="77777777" w:rsidR="000644B6" w:rsidRPr="00942B34" w:rsidRDefault="000644B6" w:rsidP="000644B6">
      <w:pPr>
        <w:pStyle w:val="gntarbp"/>
        <w:ind w:left="720"/>
      </w:pPr>
      <w:r w:rsidRPr="00942B34">
        <w:t xml:space="preserve">Note: See Dec. 21, </w:t>
      </w:r>
      <w:proofErr w:type="gramStart"/>
      <w:r w:rsidRPr="00942B34">
        <w:t>2018</w:t>
      </w:r>
      <w:proofErr w:type="gramEnd"/>
      <w:r w:rsidRPr="00942B34">
        <w:t xml:space="preserve"> article, “Cincinnati Fire captain alleges sexual harassment after R-rated movie plays at station.” A captain with the Cincinnati Fire Department claims in a lawsuit he was subjected to sexual harassment when an R-rated movie played on a station television last year. Capt. Janos Roper, an 18-year veteran of the Fire Department, filed the suit Friday in federal court. The suit alleges Roper's colleagues ignored his request to stop watching "Any Given Sunday," a sports film that includes nudity and profanity, in a shared eating area. </w:t>
      </w:r>
      <w:hyperlink r:id="rId1552" w:history="1">
        <w:r w:rsidRPr="00942B34">
          <w:rPr>
            <w:rStyle w:val="Hyperlink"/>
            <w:rFonts w:eastAsiaTheme="majorEastAsia"/>
          </w:rPr>
          <w:t>https://www.cincinnati.com/story/news/2018/12/21/fire-captain-alleges-sexual-harassment-after-any-given-sunday-shown-station/2393196002/</w:t>
        </w:r>
      </w:hyperlink>
      <w:r w:rsidRPr="00942B34">
        <w:t xml:space="preserve"> </w:t>
      </w:r>
    </w:p>
    <w:p w14:paraId="1B8C4583" w14:textId="77777777" w:rsidR="000644B6" w:rsidRDefault="000644B6" w:rsidP="00BC70A3">
      <w:pPr>
        <w:rPr>
          <w:rFonts w:ascii="Arial Black" w:hAnsi="Arial Black"/>
          <w:b/>
          <w:sz w:val="24"/>
          <w:szCs w:val="24"/>
        </w:rPr>
      </w:pPr>
    </w:p>
    <w:p w14:paraId="165F5087" w14:textId="064EE3F8" w:rsidR="00477016" w:rsidRDefault="00C032D6" w:rsidP="00BC70A3">
      <w:pPr>
        <w:rPr>
          <w:rFonts w:ascii="Arial Black" w:hAnsi="Arial Black"/>
          <w:b/>
          <w:sz w:val="24"/>
          <w:szCs w:val="24"/>
        </w:rPr>
      </w:pPr>
      <w:r>
        <w:rPr>
          <w:rFonts w:ascii="Arial Black" w:hAnsi="Arial Black"/>
          <w:b/>
          <w:sz w:val="24"/>
          <w:szCs w:val="24"/>
        </w:rPr>
        <w:t>8-52</w:t>
      </w:r>
    </w:p>
    <w:p w14:paraId="327F22E5" w14:textId="77777777" w:rsidR="00C032D6" w:rsidRDefault="00C032D6" w:rsidP="00C032D6">
      <w:pPr>
        <w:spacing w:before="100" w:beforeAutospacing="1" w:after="100" w:afterAutospacing="1" w:line="240" w:lineRule="auto"/>
        <w:rPr>
          <w:rFonts w:ascii="Arial Black" w:hAnsi="Arial Black"/>
          <w:color w:val="343332"/>
          <w:sz w:val="28"/>
          <w:szCs w:val="28"/>
        </w:rPr>
      </w:pPr>
      <w:r>
        <w:rPr>
          <w:rFonts w:ascii="Arial Black" w:hAnsi="Arial Black"/>
          <w:color w:val="343332"/>
          <w:sz w:val="28"/>
          <w:szCs w:val="28"/>
        </w:rPr>
        <w:t xml:space="preserve">U.S. SUP. CT: HARVARD / UNC ADMISSIONS – RACIAL STEREOTYPING, LACK MEANINGFUL END POINTS </w:t>
      </w:r>
    </w:p>
    <w:p w14:paraId="526A72E6" w14:textId="77777777" w:rsidR="00C032D6" w:rsidRDefault="00C032D6" w:rsidP="00C032D6">
      <w:pPr>
        <w:pStyle w:val="NormalWeb"/>
        <w:rPr>
          <w:color w:val="343332"/>
        </w:rPr>
      </w:pPr>
      <w:r>
        <w:rPr>
          <w:color w:val="343332"/>
        </w:rPr>
        <w:t xml:space="preserve">On June 29, 2023, in </w:t>
      </w:r>
      <w:r>
        <w:rPr>
          <w:color w:val="343332"/>
          <w:u w:val="single"/>
        </w:rPr>
        <w:t xml:space="preserve">Students </w:t>
      </w:r>
      <w:proofErr w:type="gramStart"/>
      <w:r>
        <w:rPr>
          <w:color w:val="343332"/>
          <w:u w:val="single"/>
        </w:rPr>
        <w:t>For</w:t>
      </w:r>
      <w:proofErr w:type="gramEnd"/>
      <w:r>
        <w:rPr>
          <w:color w:val="343332"/>
          <w:u w:val="single"/>
        </w:rPr>
        <w:t xml:space="preserve"> Fair Admissions. Inc. v. Harvard College, and Students </w:t>
      </w:r>
      <w:proofErr w:type="gramStart"/>
      <w:r>
        <w:rPr>
          <w:color w:val="343332"/>
          <w:u w:val="single"/>
        </w:rPr>
        <w:t>For</w:t>
      </w:r>
      <w:proofErr w:type="gramEnd"/>
      <w:r>
        <w:rPr>
          <w:color w:val="343332"/>
          <w:u w:val="single"/>
        </w:rPr>
        <w:t xml:space="preserve"> Fair Admissions. Inc. v. University of North Carolina</w:t>
      </w:r>
      <w:r>
        <w:rPr>
          <w:color w:val="343332"/>
        </w:rPr>
        <w:t xml:space="preserve">, the U.S. Supreme Court held (6 to 3), in opinion by Chief Justice John G. Roberts, Jr., the current admissions processes where race is a </w:t>
      </w:r>
      <w:r>
        <w:t xml:space="preserve">“plus factor” </w:t>
      </w:r>
      <w:r>
        <w:rPr>
          <w:color w:val="343332"/>
        </w:rPr>
        <w:t>violates the 14</w:t>
      </w:r>
      <w:r>
        <w:rPr>
          <w:color w:val="343332"/>
          <w:vertAlign w:val="superscript"/>
        </w:rPr>
        <w:t>th</w:t>
      </w:r>
      <w:r>
        <w:rPr>
          <w:color w:val="343332"/>
        </w:rPr>
        <w:t xml:space="preserve"> Amendment’s Equal Protection clause (ratified in 1868 in the wake of the Civil War). “For the reasons provided above, the Harvard and UNC admissions programs cannot be reconciled with the guarantees of the Equal Protection Clause. Both programs lack sufficiently focused and measurable objectives warranting the use of race, unavoidably employ race in a negative manner, involve racial stereotyping, and lack meaningful end points. We have never permitted admissions programs to work in that way, and we will not do so today. At the same time, as all parties agree, nothing in this opinion should be construed as prohibiting universities from considering an applicant’s discussion of how race affected his or her life, be it through discrimination, inspiration, or otherwise.” </w:t>
      </w:r>
      <w:hyperlink r:id="rId1553" w:history="1">
        <w:r>
          <w:rPr>
            <w:rStyle w:val="Hyperlink"/>
          </w:rPr>
          <w:t>https://www.supremecourt.gov/opinions/22pdf/20-1199_hgdj.pdf</w:t>
        </w:r>
      </w:hyperlink>
      <w:r>
        <w:rPr>
          <w:color w:val="343332"/>
        </w:rPr>
        <w:t xml:space="preserve"> </w:t>
      </w:r>
    </w:p>
    <w:p w14:paraId="01569BD9" w14:textId="77777777" w:rsidR="00C032D6" w:rsidRDefault="00C032D6" w:rsidP="00C032D6">
      <w:pPr>
        <w:pStyle w:val="NormalWeb"/>
        <w:rPr>
          <w:b/>
          <w:bCs/>
          <w:color w:val="343332"/>
        </w:rPr>
      </w:pPr>
      <w:r>
        <w:rPr>
          <w:b/>
          <w:bCs/>
          <w:color w:val="343332"/>
        </w:rPr>
        <w:t xml:space="preserve">Legal Lesson Learned: Employers, including Fire &amp; EMS Departments, may still have racial and gender diversity goals; if your </w:t>
      </w:r>
      <w:proofErr w:type="gramStart"/>
      <w:r>
        <w:rPr>
          <w:b/>
          <w:bCs/>
          <w:color w:val="343332"/>
        </w:rPr>
        <w:t>Department</w:t>
      </w:r>
      <w:proofErr w:type="gramEnd"/>
      <w:r>
        <w:rPr>
          <w:b/>
          <w:bCs/>
          <w:color w:val="343332"/>
        </w:rPr>
        <w:t xml:space="preserve"> still has a </w:t>
      </w:r>
      <w:proofErr w:type="gramStart"/>
      <w:r>
        <w:rPr>
          <w:b/>
          <w:bCs/>
          <w:color w:val="343332"/>
        </w:rPr>
        <w:t>Federal</w:t>
      </w:r>
      <w:proofErr w:type="gramEnd"/>
      <w:r>
        <w:rPr>
          <w:b/>
          <w:bCs/>
          <w:color w:val="343332"/>
        </w:rPr>
        <w:t xml:space="preserve"> consent decree where goals have been met, consult with legal counsel about filing motion to dissolve the decree.</w:t>
      </w:r>
    </w:p>
    <w:p w14:paraId="72A57AB8" w14:textId="77777777" w:rsidR="00C032D6" w:rsidRPr="00BA078F" w:rsidRDefault="00C032D6" w:rsidP="00C032D6">
      <w:pPr>
        <w:pStyle w:val="Heading1"/>
        <w:ind w:left="720"/>
        <w:rPr>
          <w:b w:val="0"/>
          <w:bCs w:val="0"/>
          <w:sz w:val="24"/>
          <w:szCs w:val="24"/>
        </w:rPr>
      </w:pPr>
      <w:r w:rsidRPr="00BA078F">
        <w:rPr>
          <w:b w:val="0"/>
          <w:bCs w:val="0"/>
          <w:color w:val="000000" w:themeColor="text1"/>
          <w:sz w:val="24"/>
          <w:szCs w:val="24"/>
        </w:rPr>
        <w:t>Note: See article, June 24, 2020:  ’</w:t>
      </w:r>
      <w:r w:rsidRPr="00BA078F">
        <w:rPr>
          <w:b w:val="0"/>
          <w:bCs w:val="0"/>
          <w:sz w:val="24"/>
          <w:szCs w:val="24"/>
        </w:rPr>
        <w:t>City of Buffalo updating training procedures: rolling out diversity training for every department.´</w:t>
      </w:r>
      <w:r w:rsidRPr="00BA078F">
        <w:rPr>
          <w:b w:val="0"/>
          <w:bCs w:val="0"/>
        </w:rPr>
        <w:t xml:space="preserve"> </w:t>
      </w:r>
      <w:hyperlink r:id="rId1554" w:history="1">
        <w:r w:rsidRPr="00BA078F">
          <w:rPr>
            <w:rStyle w:val="Hyperlink"/>
            <w:b w:val="0"/>
            <w:bCs w:val="0"/>
            <w:sz w:val="24"/>
            <w:szCs w:val="24"/>
          </w:rPr>
          <w:t>https://www.wkbw.com/news/local-news/city-of-buffalo-updating-training-procedures-rolling-out-diversity-training-for-every-department</w:t>
        </w:r>
      </w:hyperlink>
      <w:r w:rsidRPr="00BA078F">
        <w:rPr>
          <w:b w:val="0"/>
          <w:bCs w:val="0"/>
          <w:sz w:val="24"/>
          <w:szCs w:val="24"/>
        </w:rPr>
        <w:t xml:space="preserve"> </w:t>
      </w:r>
    </w:p>
    <w:p w14:paraId="5161C919" w14:textId="77777777" w:rsidR="00C032D6" w:rsidRPr="00BA078F" w:rsidRDefault="00C032D6" w:rsidP="00C032D6">
      <w:pPr>
        <w:pStyle w:val="Heading1"/>
        <w:ind w:left="720"/>
        <w:rPr>
          <w:b w:val="0"/>
          <w:bCs w:val="0"/>
          <w:sz w:val="24"/>
          <w:szCs w:val="24"/>
        </w:rPr>
      </w:pPr>
      <w:r w:rsidRPr="00BA078F">
        <w:rPr>
          <w:b w:val="0"/>
          <w:bCs w:val="0"/>
          <w:sz w:val="24"/>
          <w:szCs w:val="24"/>
        </w:rPr>
        <w:t>S</w:t>
      </w:r>
      <w:r w:rsidRPr="00BA078F">
        <w:rPr>
          <w:b w:val="0"/>
          <w:bCs w:val="0"/>
          <w:color w:val="000000" w:themeColor="text1"/>
          <w:sz w:val="24"/>
          <w:szCs w:val="24"/>
        </w:rPr>
        <w:t xml:space="preserve">ee IAFC article (March 16, 2015): “Department of Justice, Consent Decrees and the Fire Service.” </w:t>
      </w:r>
      <w:hyperlink r:id="rId1555" w:history="1">
        <w:r w:rsidRPr="00BA078F">
          <w:rPr>
            <w:rStyle w:val="Hyperlink"/>
            <w:b w:val="0"/>
            <w:bCs w:val="0"/>
            <w:sz w:val="24"/>
            <w:szCs w:val="24"/>
          </w:rPr>
          <w:t>https://www.iafc.org/membership/iCHIEFS/iCHIEFS-article/department-of-justice-consent-decrees-and-the-fire-service</w:t>
        </w:r>
      </w:hyperlink>
      <w:r w:rsidRPr="00BA078F">
        <w:rPr>
          <w:b w:val="0"/>
          <w:bCs w:val="0"/>
          <w:color w:val="000000" w:themeColor="text1"/>
          <w:sz w:val="24"/>
          <w:szCs w:val="24"/>
        </w:rPr>
        <w:t xml:space="preserve"> </w:t>
      </w:r>
    </w:p>
    <w:p w14:paraId="2F6CAACF" w14:textId="77777777" w:rsidR="00C032D6" w:rsidRDefault="00C032D6" w:rsidP="00C032D6">
      <w:pPr>
        <w:pStyle w:val="NormalWeb"/>
        <w:ind w:left="720"/>
        <w:rPr>
          <w:color w:val="000000"/>
        </w:rPr>
      </w:pPr>
      <w:r>
        <w:t xml:space="preserve">“There are many consent decrees affecting fire departments across the country related to hiring practices, affecting several fire departments, including FDNY, Baltimore, Austin and San Francisco. </w:t>
      </w:r>
      <w:hyperlink r:id="rId1556" w:tgtFrame="_blank" w:history="1">
        <w:r>
          <w:rPr>
            <w:rStyle w:val="Hyperlink"/>
          </w:rPr>
          <w:t>A consent decree affected Leesville, La.</w:t>
        </w:r>
      </w:hyperlink>
      <w:r>
        <w:t>, which had gone on over 32 years for hiring practices violating Title VII of the Civil Rights Act of 1964. Probably the longest is a forty-year consent decree involving the city of Buffalo, N.Y. The city is requesting a 1974 DOJ consent decree be set aside after complying with the consent decree related to mandated hiring quotas overseen by a U.S. District Court judge.”</w:t>
      </w:r>
    </w:p>
    <w:p w14:paraId="428D926B" w14:textId="77777777" w:rsidR="00C032D6" w:rsidRDefault="00C032D6" w:rsidP="00BC70A3">
      <w:pPr>
        <w:rPr>
          <w:rFonts w:ascii="Arial Black" w:hAnsi="Arial Black"/>
          <w:b/>
          <w:sz w:val="24"/>
          <w:szCs w:val="24"/>
        </w:rPr>
      </w:pPr>
    </w:p>
    <w:p w14:paraId="70CAE34E" w14:textId="77777777" w:rsidR="00C032D6" w:rsidRDefault="00C032D6" w:rsidP="00BC70A3">
      <w:pPr>
        <w:rPr>
          <w:rFonts w:ascii="Arial Black" w:hAnsi="Arial Black"/>
          <w:b/>
          <w:sz w:val="24"/>
          <w:szCs w:val="24"/>
        </w:rPr>
      </w:pPr>
    </w:p>
    <w:p w14:paraId="7B1FA5A7" w14:textId="6E1FCF75" w:rsidR="00477016" w:rsidRDefault="00477016" w:rsidP="00BC70A3">
      <w:pPr>
        <w:rPr>
          <w:rFonts w:ascii="Arial Black" w:hAnsi="Arial Black"/>
          <w:b/>
          <w:sz w:val="24"/>
          <w:szCs w:val="24"/>
        </w:rPr>
      </w:pPr>
      <w:r>
        <w:rPr>
          <w:rFonts w:ascii="Arial Black" w:hAnsi="Arial Black"/>
          <w:b/>
          <w:sz w:val="24"/>
          <w:szCs w:val="24"/>
        </w:rPr>
        <w:t>8-51</w:t>
      </w:r>
    </w:p>
    <w:p w14:paraId="6CB9D09B" w14:textId="77777777" w:rsidR="00477016" w:rsidRDefault="00477016" w:rsidP="00477016">
      <w:pPr>
        <w:pStyle w:val="NormalWeb"/>
      </w:pPr>
      <w:bookmarkStart w:id="316" w:name="_Hlk136859714"/>
      <w:r>
        <w:rPr>
          <w:rFonts w:ascii="Arial Black" w:hAnsi="Arial Black"/>
          <w:sz w:val="28"/>
          <w:szCs w:val="28"/>
        </w:rPr>
        <w:t>MO: ST. LOUIS FD – 17 “ACTING” OFFICERS – CITY NOT PROMOTING UNTIL NEW EXAM - RACE CASE SETTLEMENT</w:t>
      </w:r>
    </w:p>
    <w:bookmarkEnd w:id="316"/>
    <w:p w14:paraId="2F84B4C8" w14:textId="77777777" w:rsidR="00477016" w:rsidRDefault="00477016" w:rsidP="00477016">
      <w:pPr>
        <w:pStyle w:val="NormalWeb"/>
      </w:pPr>
      <w:r>
        <w:t xml:space="preserve">On May 19, 2023, in </w:t>
      </w:r>
      <w:r w:rsidRPr="00E724BE">
        <w:rPr>
          <w:u w:val="single"/>
        </w:rPr>
        <w:t>Robert Eveland, et al. v. City of St. Louis, et al</w:t>
      </w:r>
      <w:r>
        <w:t>., U.S. District Court Judge Catherine D. Parry, U.S. District Court for Eastern District of Missouri, Eastern Division, declined to issue a preliminary injunction ordering the City to promote the 17 “acting” Battalion Chiefs and Captains.  Judge Parry wrote:</w:t>
      </w:r>
    </w:p>
    <w:p w14:paraId="11183AD8" w14:textId="77777777" w:rsidR="00477016" w:rsidRDefault="00477016" w:rsidP="00477016">
      <w:pPr>
        <w:pStyle w:val="NormalWeb"/>
        <w:ind w:left="720"/>
      </w:pPr>
      <w:r>
        <w:t xml:space="preserve">“This is a legally complicated case. There is a possibility that plaintiffs may prevail </w:t>
      </w:r>
      <w:proofErr w:type="gramStart"/>
      <w:r>
        <w:t>on</w:t>
      </w:r>
      <w:proofErr w:type="gramEnd"/>
      <w:r>
        <w:t xml:space="preserve"> the merits of their claim, but they face many legal obstacles that they may not be able to overcome. In any event, I will deny the motion for a preliminary injunction because plaintiffs have not shown that they are threatened with immediate and irreparable harm or that any harm to them outweighs the harm that will result to the </w:t>
      </w:r>
      <w:proofErr w:type="gramStart"/>
      <w:r>
        <w:t>City</w:t>
      </w:r>
      <w:proofErr w:type="gramEnd"/>
      <w:r>
        <w:t xml:space="preserve"> if I were to grant the preliminary injunction. *** At the hearing, plaintiffs' counsel argued that because the Civil Service Rules provide that the ‘appointing authority’ is the Fire Chief and not the Director of Public Safety, plaintiffs' right to due process was violated when the Director effectively vetoed their promotions. Rather than arguing that they were entitled to some pre-deprivation process (such as a hearing), they argue that this alleged violation of due process simply entitles them to be promoted. But Missouri case law recognizes that the Fire Chief's decision-making power is subject to oversight by the Director of Public </w:t>
      </w:r>
      <w:proofErr w:type="gramStart"/>
      <w:r>
        <w:t>Safety.”</w:t>
      </w:r>
      <w:proofErr w:type="gramEnd"/>
      <w:r>
        <w:t xml:space="preserve"> </w:t>
      </w:r>
      <w:hyperlink r:id="rId1557" w:history="1">
        <w:r w:rsidRPr="00B43223">
          <w:rPr>
            <w:rStyle w:val="Hyperlink"/>
            <w:rFonts w:eastAsiaTheme="majorEastAsia"/>
          </w:rPr>
          <w:t>https://public.fastcase.com/ZZhmr5v9wN%2FXOe5IsQ%2FqDz1M0c7XntbkBFAKdHDge9e%2F8CSFXEi88W%2FVfdIRS4Pi97nH6Fo0Jpcpv2L%2BsFvZPbsE0qA7KMgQlRndt4L6foA%3D?utm_medium=email&amp;_hsmi=226712652&amp;_hsenc=p2ANqtz--PxjvF13xKDxQ7J7F-ifitmDmVZpuVXf36_4emKUQzFhwmn1WPofSx1ry4m9mCDedrl6XMHnLVa4UU0oKcRVjso9raZQ&amp;utm_content=226712652&amp;utm_source=hs_email</w:t>
        </w:r>
      </w:hyperlink>
      <w:r>
        <w:t xml:space="preserve"> </w:t>
      </w:r>
    </w:p>
    <w:p w14:paraId="596FDC8B" w14:textId="77777777" w:rsidR="00477016" w:rsidRDefault="00477016" w:rsidP="00477016">
      <w:pPr>
        <w:pStyle w:val="NormalWeb"/>
        <w:rPr>
          <w:b/>
          <w:bCs/>
        </w:rPr>
      </w:pPr>
      <w:r w:rsidRPr="00073DEB">
        <w:rPr>
          <w:b/>
          <w:bCs/>
        </w:rPr>
        <w:t>Legal Lesson Learned:</w:t>
      </w:r>
      <w:r>
        <w:rPr>
          <w:b/>
          <w:bCs/>
        </w:rPr>
        <w:t xml:space="preserve">  Preliminary injunctions are an “extraordinary remedy” that requires proof of “irreparable harm” to the plaintiffs. </w:t>
      </w:r>
    </w:p>
    <w:p w14:paraId="610DE291" w14:textId="77777777" w:rsidR="00477016" w:rsidRDefault="00477016" w:rsidP="00BC70A3">
      <w:pPr>
        <w:rPr>
          <w:rFonts w:ascii="Arial Black" w:hAnsi="Arial Black"/>
          <w:b/>
          <w:sz w:val="24"/>
          <w:szCs w:val="24"/>
        </w:rPr>
      </w:pPr>
    </w:p>
    <w:p w14:paraId="414F6EF7" w14:textId="77777777" w:rsidR="00477016" w:rsidRDefault="00477016" w:rsidP="00BC70A3">
      <w:pPr>
        <w:rPr>
          <w:rFonts w:ascii="Arial Black" w:hAnsi="Arial Black"/>
          <w:b/>
          <w:sz w:val="24"/>
          <w:szCs w:val="24"/>
        </w:rPr>
      </w:pPr>
    </w:p>
    <w:p w14:paraId="3EFA346A" w14:textId="0822FCF8" w:rsidR="00227BDE" w:rsidRDefault="00227BDE" w:rsidP="00BC70A3">
      <w:pPr>
        <w:rPr>
          <w:rFonts w:ascii="Arial Black" w:hAnsi="Arial Black"/>
          <w:b/>
          <w:sz w:val="24"/>
          <w:szCs w:val="24"/>
        </w:rPr>
      </w:pPr>
      <w:r>
        <w:rPr>
          <w:rFonts w:ascii="Arial Black" w:hAnsi="Arial Black"/>
          <w:b/>
          <w:sz w:val="24"/>
          <w:szCs w:val="24"/>
        </w:rPr>
        <w:t>8-50</w:t>
      </w:r>
    </w:p>
    <w:p w14:paraId="0A2AF175" w14:textId="77777777" w:rsidR="00227BDE" w:rsidRPr="006A5BAB" w:rsidRDefault="00227BDE" w:rsidP="00227BDE">
      <w:pPr>
        <w:pStyle w:val="NoSpacing"/>
        <w:rPr>
          <w:rFonts w:ascii="Arial Black" w:hAnsi="Arial Black"/>
          <w:sz w:val="28"/>
          <w:szCs w:val="28"/>
        </w:rPr>
      </w:pPr>
      <w:r w:rsidRPr="006A5BAB">
        <w:rPr>
          <w:rFonts w:ascii="Arial Black" w:hAnsi="Arial Black"/>
          <w:sz w:val="28"/>
          <w:szCs w:val="28"/>
        </w:rPr>
        <w:t>NY (3/31/2023) – FDNY –</w:t>
      </w:r>
      <w:r>
        <w:rPr>
          <w:rFonts w:ascii="Arial Black" w:hAnsi="Arial Black"/>
          <w:sz w:val="28"/>
          <w:szCs w:val="28"/>
        </w:rPr>
        <w:t xml:space="preserve"> </w:t>
      </w:r>
      <w:r w:rsidRPr="006A5BAB">
        <w:rPr>
          <w:rFonts w:ascii="Arial Black" w:hAnsi="Arial Black"/>
          <w:sz w:val="28"/>
          <w:szCs w:val="28"/>
        </w:rPr>
        <w:t>PROB. FF FROM PERU –</w:t>
      </w:r>
      <w:r>
        <w:rPr>
          <w:rFonts w:ascii="Arial Black" w:hAnsi="Arial Black"/>
          <w:sz w:val="28"/>
          <w:szCs w:val="28"/>
        </w:rPr>
        <w:t xml:space="preserve"> HAZING, ONLINE HARASSMENT, PTSD, SUSP. - CASE </w:t>
      </w:r>
      <w:r w:rsidRPr="006A5BAB">
        <w:rPr>
          <w:rFonts w:ascii="Arial Black" w:hAnsi="Arial Black"/>
          <w:sz w:val="28"/>
          <w:szCs w:val="28"/>
        </w:rPr>
        <w:t>PROCEED</w:t>
      </w:r>
    </w:p>
    <w:p w14:paraId="2C7DCA68" w14:textId="77777777" w:rsidR="00227BDE" w:rsidRDefault="00227BDE" w:rsidP="00227BDE">
      <w:pPr>
        <w:pStyle w:val="NoSpacing"/>
      </w:pPr>
    </w:p>
    <w:p w14:paraId="70CAB465" w14:textId="77777777" w:rsidR="00227BDE" w:rsidRPr="003C1643" w:rsidRDefault="00227BDE" w:rsidP="00227BDE">
      <w:pPr>
        <w:pStyle w:val="NoSpacing"/>
        <w:rPr>
          <w:rFonts w:ascii="Times New Roman" w:hAnsi="Times New Roman"/>
          <w:sz w:val="24"/>
          <w:szCs w:val="24"/>
        </w:rPr>
      </w:pPr>
      <w:r w:rsidRPr="003C1643">
        <w:rPr>
          <w:rFonts w:ascii="Times New Roman" w:hAnsi="Times New Roman"/>
          <w:sz w:val="24"/>
          <w:szCs w:val="24"/>
          <w:u w:val="single"/>
        </w:rPr>
        <w:t>Joseph Mendoza v. The City of New York, et al</w:t>
      </w:r>
      <w:r w:rsidRPr="003C1643">
        <w:rPr>
          <w:rFonts w:ascii="Times New Roman" w:hAnsi="Times New Roman"/>
          <w:sz w:val="24"/>
          <w:szCs w:val="24"/>
        </w:rPr>
        <w:t xml:space="preserve">., U.S. District Court Judge Lashann Dearcy Hall, U.S. District Court for Eastern District of New York. </w:t>
      </w:r>
      <w:hyperlink r:id="rId1558" w:history="1">
        <w:r w:rsidRPr="003C1643">
          <w:rPr>
            <w:rStyle w:val="Hyperlink"/>
            <w:rFonts w:ascii="Times New Roman" w:hAnsi="Times New Roman"/>
            <w:sz w:val="24"/>
            <w:szCs w:val="24"/>
          </w:rPr>
          <w:t>https://casetext.com/case/mendoza-v-the-city-of-new-york-3</w:t>
        </w:r>
      </w:hyperlink>
      <w:r w:rsidRPr="003C1643">
        <w:rPr>
          <w:rFonts w:ascii="Times New Roman" w:hAnsi="Times New Roman"/>
          <w:sz w:val="24"/>
          <w:szCs w:val="24"/>
        </w:rPr>
        <w:t xml:space="preserve"> </w:t>
      </w:r>
    </w:p>
    <w:p w14:paraId="4B58745F" w14:textId="77777777" w:rsidR="00227BDE" w:rsidRPr="003C1643" w:rsidRDefault="00227BDE" w:rsidP="00227BDE">
      <w:pPr>
        <w:pStyle w:val="NormalWeb"/>
        <w:rPr>
          <w:b/>
          <w:bCs/>
        </w:rPr>
      </w:pPr>
      <w:r w:rsidRPr="003C1643">
        <w:rPr>
          <w:b/>
          <w:bCs/>
        </w:rPr>
        <w:t>Legal Lesson Learned:</w:t>
      </w:r>
      <w:r>
        <w:rPr>
          <w:b/>
          <w:bCs/>
        </w:rPr>
        <w:t xml:space="preserve"> Allegations are far more than just hazing</w:t>
      </w:r>
      <w:r w:rsidRPr="003C1643">
        <w:rPr>
          <w:b/>
          <w:bCs/>
        </w:rPr>
        <w:t xml:space="preserve">. </w:t>
      </w:r>
    </w:p>
    <w:p w14:paraId="0F2499BF" w14:textId="77777777" w:rsidR="00227BDE" w:rsidRDefault="00227BDE" w:rsidP="00BC70A3">
      <w:pPr>
        <w:rPr>
          <w:rFonts w:ascii="Arial Black" w:hAnsi="Arial Black"/>
          <w:b/>
          <w:sz w:val="24"/>
          <w:szCs w:val="24"/>
        </w:rPr>
      </w:pPr>
    </w:p>
    <w:p w14:paraId="391457F2" w14:textId="20E4D19F" w:rsidR="00227BDE" w:rsidRDefault="00227BDE" w:rsidP="00BC70A3">
      <w:pPr>
        <w:rPr>
          <w:rFonts w:ascii="Arial Black" w:hAnsi="Arial Black"/>
          <w:b/>
          <w:sz w:val="24"/>
          <w:szCs w:val="24"/>
        </w:rPr>
      </w:pPr>
      <w:r>
        <w:rPr>
          <w:rFonts w:ascii="Arial Black" w:hAnsi="Arial Black"/>
          <w:b/>
          <w:sz w:val="24"/>
          <w:szCs w:val="24"/>
        </w:rPr>
        <w:lastRenderedPageBreak/>
        <w:t>8-49</w:t>
      </w:r>
    </w:p>
    <w:p w14:paraId="2B0205B4" w14:textId="77777777" w:rsidR="00227BDE" w:rsidRPr="00016E2B" w:rsidRDefault="00227BDE" w:rsidP="00227BDE">
      <w:pPr>
        <w:pStyle w:val="NoSpacing"/>
        <w:rPr>
          <w:rFonts w:ascii="Arial Black" w:hAnsi="Arial Black"/>
          <w:sz w:val="28"/>
          <w:szCs w:val="28"/>
        </w:rPr>
      </w:pPr>
      <w:r w:rsidRPr="00016E2B">
        <w:rPr>
          <w:rFonts w:ascii="Arial Black" w:hAnsi="Arial Black"/>
          <w:sz w:val="28"/>
          <w:szCs w:val="28"/>
        </w:rPr>
        <w:t>NB (3/31/2023) – BLACK FEMALE FF – GEAR ON FLAGPOLE</w:t>
      </w:r>
      <w:r>
        <w:rPr>
          <w:rFonts w:ascii="Arial Black" w:hAnsi="Arial Black"/>
          <w:sz w:val="28"/>
          <w:szCs w:val="28"/>
        </w:rPr>
        <w:t xml:space="preserve"> WHEN LEFT IT BEHIND - RESIGNED - </w:t>
      </w:r>
      <w:r w:rsidRPr="00016E2B">
        <w:rPr>
          <w:rFonts w:ascii="Arial Black" w:hAnsi="Arial Black"/>
          <w:sz w:val="28"/>
          <w:szCs w:val="28"/>
        </w:rPr>
        <w:t xml:space="preserve">LAWSUIT PROCEED </w:t>
      </w:r>
    </w:p>
    <w:p w14:paraId="07A18F8E" w14:textId="77777777" w:rsidR="00227BDE" w:rsidRDefault="00227BDE" w:rsidP="00227BDE">
      <w:pPr>
        <w:pStyle w:val="NoSpacing"/>
      </w:pPr>
    </w:p>
    <w:p w14:paraId="167C4143" w14:textId="5C0CE0CC" w:rsidR="00227BDE" w:rsidRDefault="00227BDE" w:rsidP="00227BDE">
      <w:pPr>
        <w:rPr>
          <w:rFonts w:ascii="Arial Black" w:hAnsi="Arial Black"/>
          <w:b/>
          <w:sz w:val="24"/>
          <w:szCs w:val="24"/>
        </w:rPr>
      </w:pPr>
      <w:r w:rsidRPr="003C1643">
        <w:rPr>
          <w:rFonts w:ascii="Times New Roman" w:hAnsi="Times New Roman"/>
          <w:sz w:val="24"/>
          <w:szCs w:val="24"/>
          <w:u w:val="single"/>
        </w:rPr>
        <w:t>Jane Crudup v. City of Omaha</w:t>
      </w:r>
      <w:r w:rsidRPr="003C1643">
        <w:rPr>
          <w:rFonts w:ascii="Times New Roman" w:hAnsi="Times New Roman"/>
          <w:sz w:val="24"/>
          <w:szCs w:val="24"/>
        </w:rPr>
        <w:t xml:space="preserve">, Senior U.S. District Court Judge Joseph H. </w:t>
      </w:r>
      <w:proofErr w:type="spellStart"/>
      <w:r w:rsidRPr="003C1643">
        <w:rPr>
          <w:rFonts w:ascii="Times New Roman" w:hAnsi="Times New Roman"/>
          <w:sz w:val="24"/>
          <w:szCs w:val="24"/>
        </w:rPr>
        <w:t>Bataillon</w:t>
      </w:r>
      <w:proofErr w:type="spellEnd"/>
      <w:r w:rsidRPr="003C1643">
        <w:rPr>
          <w:rFonts w:ascii="Times New Roman" w:hAnsi="Times New Roman"/>
          <w:sz w:val="24"/>
          <w:szCs w:val="24"/>
        </w:rPr>
        <w:t xml:space="preserve">, U.S. District Court of District of Nebraska. </w:t>
      </w:r>
      <w:hyperlink r:id="rId1559" w:history="1">
        <w:r w:rsidRPr="003C1643">
          <w:rPr>
            <w:rStyle w:val="Hyperlink"/>
            <w:rFonts w:ascii="Times New Roman" w:hAnsi="Times New Roman"/>
            <w:sz w:val="24"/>
            <w:szCs w:val="24"/>
          </w:rPr>
          <w:t>https://casetext.com/case/crudup-v-city-of-omaha-4</w:t>
        </w:r>
      </w:hyperlink>
    </w:p>
    <w:p w14:paraId="31CAEA8B" w14:textId="77777777" w:rsidR="00227BDE" w:rsidRPr="003C1643" w:rsidRDefault="00227BDE" w:rsidP="00227BDE">
      <w:pPr>
        <w:pStyle w:val="NormalWeb"/>
        <w:rPr>
          <w:b/>
          <w:bCs/>
        </w:rPr>
      </w:pPr>
      <w:r w:rsidRPr="003C1643">
        <w:rPr>
          <w:b/>
          <w:bCs/>
        </w:rPr>
        <w:t xml:space="preserve">Legal Lessons Learned: </w:t>
      </w:r>
      <w:proofErr w:type="gramStart"/>
      <w:r w:rsidRPr="003C1643">
        <w:rPr>
          <w:b/>
          <w:bCs/>
        </w:rPr>
        <w:t>Flag pole</w:t>
      </w:r>
      <w:proofErr w:type="gramEnd"/>
      <w:r w:rsidRPr="003C1643">
        <w:rPr>
          <w:b/>
          <w:bCs/>
        </w:rPr>
        <w:t xml:space="preserve"> incidents and similar practices can lead to litigation. </w:t>
      </w:r>
    </w:p>
    <w:p w14:paraId="2E2F94AE" w14:textId="77777777" w:rsidR="00227BDE" w:rsidRDefault="00227BDE" w:rsidP="00BC70A3">
      <w:pPr>
        <w:rPr>
          <w:rFonts w:ascii="Arial Black" w:hAnsi="Arial Black"/>
          <w:b/>
          <w:sz w:val="24"/>
          <w:szCs w:val="24"/>
        </w:rPr>
      </w:pPr>
    </w:p>
    <w:p w14:paraId="0C373179" w14:textId="77777777" w:rsidR="00227BDE" w:rsidRDefault="00227BDE" w:rsidP="00BC70A3">
      <w:pPr>
        <w:rPr>
          <w:rFonts w:ascii="Arial Black" w:hAnsi="Arial Black"/>
          <w:b/>
          <w:sz w:val="24"/>
          <w:szCs w:val="24"/>
        </w:rPr>
      </w:pPr>
    </w:p>
    <w:p w14:paraId="3BC13FAF" w14:textId="72679E77" w:rsidR="00104A4C" w:rsidRDefault="00104A4C" w:rsidP="00BC70A3">
      <w:pPr>
        <w:rPr>
          <w:rFonts w:ascii="Arial Black" w:hAnsi="Arial Black"/>
          <w:b/>
          <w:sz w:val="24"/>
          <w:szCs w:val="24"/>
        </w:rPr>
      </w:pPr>
      <w:r>
        <w:rPr>
          <w:rFonts w:ascii="Arial Black" w:hAnsi="Arial Black"/>
          <w:b/>
          <w:sz w:val="24"/>
          <w:szCs w:val="24"/>
        </w:rPr>
        <w:t>8-48</w:t>
      </w:r>
    </w:p>
    <w:p w14:paraId="1500CF26" w14:textId="77777777" w:rsidR="00104A4C" w:rsidRPr="005F4D8C" w:rsidRDefault="00104A4C" w:rsidP="00104A4C">
      <w:pPr>
        <w:pStyle w:val="NormalWeb"/>
        <w:rPr>
          <w:rFonts w:ascii="Arial Black" w:hAnsi="Arial Black"/>
          <w:sz w:val="28"/>
          <w:szCs w:val="28"/>
        </w:rPr>
      </w:pPr>
      <w:r>
        <w:rPr>
          <w:rFonts w:ascii="Arial Black" w:hAnsi="Arial Black"/>
          <w:sz w:val="28"/>
          <w:szCs w:val="28"/>
        </w:rPr>
        <w:t xml:space="preserve">NY: BLACK FD CAPTAIN – GOT DRUNK, DEFICATED IN PANTS - PROMOTION BAT. CHIEF PROPERLY RESCINDED </w:t>
      </w:r>
    </w:p>
    <w:p w14:paraId="5B179CA0" w14:textId="77777777" w:rsidR="00104A4C" w:rsidRDefault="00104A4C" w:rsidP="00104A4C">
      <w:pPr>
        <w:pStyle w:val="NormalWeb"/>
      </w:pPr>
      <w:r>
        <w:t xml:space="preserve">On March 9, 2023, in </w:t>
      </w:r>
      <w:r w:rsidRPr="005F4D8C">
        <w:rPr>
          <w:u w:val="single"/>
        </w:rPr>
        <w:t xml:space="preserve">Jeremy Clawson v. The City of Albany Department of Fire </w:t>
      </w:r>
      <w:proofErr w:type="gramStart"/>
      <w:r w:rsidRPr="005F4D8C">
        <w:rPr>
          <w:u w:val="single"/>
        </w:rPr>
        <w:t>And</w:t>
      </w:r>
      <w:proofErr w:type="gramEnd"/>
      <w:r w:rsidRPr="005F4D8C">
        <w:rPr>
          <w:u w:val="single"/>
        </w:rPr>
        <w:t xml:space="preserve"> Emergency</w:t>
      </w:r>
      <w:r>
        <w:t xml:space="preserve">, U.S. District Court Judge Mae A. D’Agostino, North District of New York, granted the City’s motion for summary judgment.  His promotion was rescinded based on Jan. 31, </w:t>
      </w:r>
      <w:proofErr w:type="gramStart"/>
      <w:r>
        <w:t>2019</w:t>
      </w:r>
      <w:proofErr w:type="gramEnd"/>
      <w:r>
        <w:t xml:space="preserve"> incident. </w:t>
      </w:r>
    </w:p>
    <w:p w14:paraId="33E08C54" w14:textId="77777777" w:rsidR="00104A4C" w:rsidRDefault="00104A4C" w:rsidP="00104A4C">
      <w:pPr>
        <w:pStyle w:val="NormalWeb"/>
        <w:ind w:left="720"/>
      </w:pPr>
      <w:r>
        <w:t xml:space="preserve">“On January 31, 2019, at 10:00 p.m., Plaintiff, ‘while off duty,’ went to more than one business, and drank multiple drinks over the course of three to four hours…. At approximately 5:00 a.m., the Albany Police Department (‘APD’) received a call about ‘a person exposing himself’ in a Dunkin Donuts…. According to Defendant, at 5:10 a.m. police arrived at the scene…. At this point Plaintiff was outside of the Dunkin Donuts, with his ‘pants pulled down’ and wearing ‘boxer shorts"…. Defendant states that Plaintiff was ‘covered in feces’ when he was discovered…. APD officers called emergency medical services…. An ambulance took Plaintiff to Albany Medical Center at approximately 5:45 a.m. on February 1, 2019….Plaintiff left the hospital at around 10:00 a.m. </w:t>
      </w:r>
    </w:p>
    <w:p w14:paraId="48744310" w14:textId="77777777" w:rsidR="00104A4C" w:rsidRDefault="00104A4C" w:rsidP="00104A4C">
      <w:pPr>
        <w:pStyle w:val="NormalWeb"/>
        <w:ind w:left="720"/>
      </w:pPr>
      <w:r>
        <w:t xml:space="preserve">*** </w:t>
      </w:r>
    </w:p>
    <w:p w14:paraId="2F3DA0C5" w14:textId="77777777" w:rsidR="00104A4C" w:rsidRDefault="00104A4C" w:rsidP="00104A4C">
      <w:pPr>
        <w:pStyle w:val="NormalWeb"/>
        <w:ind w:left="720"/>
        <w:rPr>
          <w:rStyle w:val="Emphasis"/>
        </w:rPr>
      </w:pPr>
      <w:r>
        <w:t>Five months after the rescission of promotion, Plaintiff was offered to apply for a Deputy Chief position, a higher position than Battalion Chief, which Plaintiff declined to do because that position did not offer civil service protection.”</w:t>
      </w:r>
    </w:p>
    <w:p w14:paraId="6A4D64E1" w14:textId="77777777" w:rsidR="00104A4C" w:rsidRDefault="00104A4C" w:rsidP="00104A4C">
      <w:pPr>
        <w:pStyle w:val="NormalWeb"/>
      </w:pPr>
      <w:r>
        <w:t>Judge ruled:</w:t>
      </w:r>
    </w:p>
    <w:p w14:paraId="3623F83C" w14:textId="77777777" w:rsidR="00104A4C" w:rsidRDefault="00104A4C" w:rsidP="00104A4C">
      <w:pPr>
        <w:pStyle w:val="NormalWeb"/>
        <w:ind w:left="720"/>
      </w:pPr>
      <w:r>
        <w:t xml:space="preserve">“In sum, ample and uncontroverted evidence establishes that Plaintiff's promotion was rescinded because of his conduct on the night of January 31, 2019, and that his race played no role in the decision…. Stated another way, the promotion was rescinded after Plaintiff became so intoxicated in public that he defecated on his pants and had to be brought to a local hospital for observation by the APD.” </w:t>
      </w:r>
    </w:p>
    <w:p w14:paraId="1CF6F03D" w14:textId="77777777" w:rsidR="00104A4C" w:rsidRDefault="00104A4C" w:rsidP="00104A4C">
      <w:pPr>
        <w:pStyle w:val="NormalWeb"/>
      </w:pPr>
      <w:r>
        <w:t xml:space="preserve">Court also found no violation of Americans </w:t>
      </w:r>
      <w:proofErr w:type="gramStart"/>
      <w:r>
        <w:t>With</w:t>
      </w:r>
      <w:proofErr w:type="gramEnd"/>
      <w:r>
        <w:t xml:space="preserve"> Disabilities Act; he was not perceived to be disabled, just because they suggested he might benefit from EAP counseling. </w:t>
      </w:r>
    </w:p>
    <w:p w14:paraId="486B10DA" w14:textId="77777777" w:rsidR="00104A4C" w:rsidRDefault="00104A4C" w:rsidP="00104A4C">
      <w:pPr>
        <w:pStyle w:val="NormalWeb"/>
        <w:ind w:left="720"/>
      </w:pPr>
      <w:r>
        <w:lastRenderedPageBreak/>
        <w:t xml:space="preserve">“Even if he was regarded as ‘having a problem with alcohol,’ that does not sufficiently allege disability under the ADA, as it does not allege that this was more than ‘transitory or minor.’ As such, rescinding a promotion based on one public night of intoxication does not require a finding that an employer was on notice of a disability or regarded someone as having a disability.” </w:t>
      </w:r>
      <w:hyperlink r:id="rId1560" w:history="1">
        <w:r w:rsidRPr="00317BE5">
          <w:rPr>
            <w:rStyle w:val="Hyperlink"/>
            <w:rFonts w:eastAsiaTheme="majorEastAsia"/>
          </w:rPr>
          <w:t>https://public.fastcase.com/J%2FJP6pdidelsXxEE4k%2BLMgHzbJp7ohVf6eJnqqVRZsR3ljYGLWqzA%2BaNrEJEjuoSNSzJxXmSxLQZTPvgqQmcEiF1aE%2BspvM2CCoAx4ikJzY%3D?utm_medium=email&amp;_hsmi=226712652&amp;_hsenc=p2ANqtz-8P0uzvemqlc89p8NGs_MEabF92WO0Yw0J6IjilR3LUZDOGdMMkuiwHYzQhEyPy65nnWBVskQbx-uRxwGqC5jWNg9aYuA&amp;utm_content=226712652&amp;utm_source=hs_email</w:t>
        </w:r>
      </w:hyperlink>
      <w:r>
        <w:t xml:space="preserve"> </w:t>
      </w:r>
    </w:p>
    <w:p w14:paraId="4E7259FB" w14:textId="77777777" w:rsidR="00104A4C" w:rsidRPr="006D07F7" w:rsidRDefault="00104A4C" w:rsidP="00104A4C">
      <w:pPr>
        <w:pStyle w:val="NormalWeb"/>
        <w:rPr>
          <w:b/>
          <w:bCs/>
        </w:rPr>
      </w:pPr>
      <w:r w:rsidRPr="006D07F7">
        <w:rPr>
          <w:b/>
          <w:bCs/>
        </w:rPr>
        <w:t xml:space="preserve">Legal Lesson Learned: </w:t>
      </w:r>
      <w:r>
        <w:rPr>
          <w:b/>
          <w:bCs/>
        </w:rPr>
        <w:t xml:space="preserve">The facts supported the decision.  </w:t>
      </w:r>
    </w:p>
    <w:p w14:paraId="2528458C" w14:textId="2EDAAE74" w:rsidR="00104A4C" w:rsidRPr="00104A4C" w:rsidRDefault="00104A4C" w:rsidP="00104A4C">
      <w:pPr>
        <w:ind w:left="720"/>
        <w:rPr>
          <w:rFonts w:ascii="Times New Roman" w:hAnsi="Times New Roman"/>
          <w:b/>
          <w:sz w:val="24"/>
          <w:szCs w:val="24"/>
        </w:rPr>
      </w:pPr>
      <w:r w:rsidRPr="00104A4C">
        <w:rPr>
          <w:rFonts w:ascii="Times New Roman" w:hAnsi="Times New Roman"/>
          <w:sz w:val="24"/>
          <w:szCs w:val="24"/>
        </w:rPr>
        <w:t>Note: See article: “Black captain sues Albany Fire Department for rescinding his promotion.” Dec. 9, 2020. “ALBANY — Jeremy E. Clawson, a captain and the only minority supervising officer in the Albany Fire Department, has filed a federal civil rights lawsuit accusing city leaders of rescinding his promotion to the position of battalion chief.</w:t>
      </w:r>
    </w:p>
    <w:p w14:paraId="58E01A66" w14:textId="77777777" w:rsidR="00104A4C" w:rsidRDefault="00104A4C" w:rsidP="00BC70A3">
      <w:pPr>
        <w:rPr>
          <w:rFonts w:ascii="Arial Black" w:hAnsi="Arial Black"/>
          <w:b/>
          <w:sz w:val="24"/>
          <w:szCs w:val="24"/>
        </w:rPr>
      </w:pPr>
    </w:p>
    <w:p w14:paraId="05FF87C3" w14:textId="7FB4DF1B" w:rsidR="00B87D79" w:rsidRDefault="008A4533" w:rsidP="00BC70A3">
      <w:pPr>
        <w:rPr>
          <w:rFonts w:ascii="Arial Black" w:hAnsi="Arial Black"/>
          <w:b/>
          <w:sz w:val="24"/>
          <w:szCs w:val="24"/>
        </w:rPr>
      </w:pPr>
      <w:r>
        <w:rPr>
          <w:rFonts w:ascii="Arial Black" w:hAnsi="Arial Black"/>
          <w:b/>
          <w:sz w:val="24"/>
          <w:szCs w:val="24"/>
        </w:rPr>
        <w:t>8-47</w:t>
      </w:r>
    </w:p>
    <w:p w14:paraId="681959A6" w14:textId="77777777" w:rsidR="008A4533" w:rsidRPr="00EA11E9" w:rsidRDefault="008A4533" w:rsidP="008A4533">
      <w:pPr>
        <w:pStyle w:val="NormalWeb"/>
        <w:rPr>
          <w:rFonts w:ascii="Arial Black" w:hAnsi="Arial Black"/>
          <w:sz w:val="28"/>
          <w:szCs w:val="28"/>
        </w:rPr>
      </w:pPr>
      <w:r>
        <w:rPr>
          <w:rFonts w:ascii="Arial Black" w:hAnsi="Arial Black"/>
          <w:sz w:val="28"/>
          <w:szCs w:val="28"/>
        </w:rPr>
        <w:t>IN: CAPTAIN [BLACK] DEMOTED FOR BREACH ORDER NOT DISCUSS VIDEO TWO MEN HAVING SEX – CASE DISMISSED</w:t>
      </w:r>
    </w:p>
    <w:p w14:paraId="2F911271" w14:textId="77777777" w:rsidR="008A4533" w:rsidRDefault="008A4533" w:rsidP="008A4533">
      <w:pPr>
        <w:pStyle w:val="NormalWeb"/>
      </w:pPr>
      <w:r w:rsidRPr="00514A35">
        <w:t xml:space="preserve">On Jan. 24, 2023, in </w:t>
      </w:r>
      <w:r w:rsidRPr="00514A35">
        <w:rPr>
          <w:u w:val="single"/>
        </w:rPr>
        <w:t>Brad M. Collier v. City of New Albany</w:t>
      </w:r>
      <w:r>
        <w:t xml:space="preserve">, U.S. District Court Judge Robert L. Miller, U.S. District Court for Southern District of Indiana (New Albany Division) granted the City’s motion for summary judgment, dismissing his claims of race discrimination, ADA, FMLA.  The plaintiff (African American) was a firefighter for over 20 years, and retired May 4, 2022; he was demoted for breach of a direct order on Nov. 1, 2019.  A firefighter on his crew showed the </w:t>
      </w:r>
      <w:proofErr w:type="gramStart"/>
      <w:r>
        <w:t>Captain</w:t>
      </w:r>
      <w:proofErr w:type="gramEnd"/>
      <w:r>
        <w:t xml:space="preserve"> and another firefighter a video – another firefighter [“Mr. Doe”] having sex with two other males [not firefighters]. The Fire Chief ordered video destroyed, and the three firefighters to not discuss with others.  For beach of that order, Captain was demoted to Sergeant and suspended for 5 days without pay; the firefighter who brought in the video was suspended for 10 days [Fire Chief first recommended he be fired for bringing the video to fire station], and the other firefighter was suspended for 1.5 days.  Court dismissed the lawsuit, holding: “None of this would allow a reasonable factfinder to find race discrimination.” </w:t>
      </w:r>
      <w:hyperlink r:id="rId1561" w:history="1">
        <w:r w:rsidRPr="006E56EF">
          <w:rPr>
            <w:rStyle w:val="Hyperlink"/>
          </w:rPr>
          <w:t>https://public.fastcase.com/J%2FJP6pdidelsXxEE4k%2BLMrA34GsTt5B2s5lqbdzOSKO6ds2%2FFXzTZCAcVKPc5nYGkDv4uUicwcEOayTnLM9q%2BLkNSr7W2Myomwq976TWq68%3D?utm_medium=email&amp;_hsmi=226712652&amp;_hsenc=p2ANqtz--xrBYm_8SOoB1x8n_lzDvQY_7J4w6TZmgBXNCiTskMckRZL1pW5pA7jfVkIgH5lYseuktBIikSAYCDqwL7O8hlSm6fMw&amp;utm_content=226712652&amp;utm_source=hs_email</w:t>
        </w:r>
      </w:hyperlink>
      <w:r>
        <w:t xml:space="preserve"> </w:t>
      </w:r>
    </w:p>
    <w:p w14:paraId="6B7D4A6C" w14:textId="77777777" w:rsidR="008A4533" w:rsidRDefault="008A4533" w:rsidP="008A4533">
      <w:pPr>
        <w:pStyle w:val="NormalWeb"/>
        <w:ind w:left="720"/>
      </w:pPr>
      <w:r>
        <w:t>“On the morning of November 1 [2019, Captain] Collier was doing chores at the firehouse. [Firefighter] Sullivan approached [Captain] Collier and told him that [</w:t>
      </w:r>
      <w:proofErr w:type="gramStart"/>
      <w:r>
        <w:t>firefighter] ‘</w:t>
      </w:r>
      <w:proofErr w:type="gramEnd"/>
      <w:r>
        <w:t xml:space="preserve">John Doe’ wasn't ‘the guy you think he is.’ [Firefighter] Sullivan showed Mr. Collier a video of Mr. Doe having sex with two other adult men and suggested that if Mr. Doe would have sex with men, he was capable of ‘messing around with’ children. Mr. Sullivan then showed a report from Child Protective Services involving Mr. Doe, suggesting he might be a child abuser. </w:t>
      </w:r>
    </w:p>
    <w:p w14:paraId="409CF51D" w14:textId="77777777" w:rsidR="008A4533" w:rsidRDefault="008A4533" w:rsidP="008A4533">
      <w:pPr>
        <w:pStyle w:val="NormalWeb"/>
        <w:ind w:left="720"/>
      </w:pPr>
      <w:r>
        <w:t xml:space="preserve">[Firefighter] Peters then entered the room and viewed the video. The three men called Battalion Chief Bowyer to the station and saved the materials to a thumb drive. After Chief Bowyer arrived, they shared </w:t>
      </w:r>
      <w:r>
        <w:lastRenderedPageBreak/>
        <w:t xml:space="preserve">the information with him, and he summoned Deputy Chief Gadd to the station. They described the information to Deputy Chief Gadd, who in turn called Fire Chief Matt Juliot and the New Albany Police Chief to the station. </w:t>
      </w:r>
    </w:p>
    <w:p w14:paraId="60743851" w14:textId="77777777" w:rsidR="008A4533" w:rsidRDefault="008A4533" w:rsidP="008A4533">
      <w:pPr>
        <w:pStyle w:val="NormalWeb"/>
        <w:ind w:left="720"/>
      </w:pPr>
      <w:r>
        <w:t xml:space="preserve">When the fire chief and police chief arrived, the three men admitted the flash drive contained no material involving children but demanded that Mr. Doe be disciplined and that they not work with him anymore. The police chief checked into the Child Protective Services allegations and learned that they had been investigated and deemed unfounded. Battalion Chief Bowyer explained that Mr. Doe was ‘macho’ and might kill himself if this information got out, though Fire Chief Juliot understand the statement to be more hyperbole than literal. </w:t>
      </w:r>
    </w:p>
    <w:p w14:paraId="65A17302" w14:textId="77777777" w:rsidR="008A4533" w:rsidRDefault="008A4533" w:rsidP="008A4533">
      <w:pPr>
        <w:pStyle w:val="NormalWeb"/>
        <w:ind w:left="720"/>
      </w:pPr>
      <w:r>
        <w:t xml:space="preserve">The police chief ordered the men to destroy the thumb drive and not to discuss the materials. Chief Juliot and Deputy Chief Gadd reiterated that the command was a formal order. Deputy Chief Gadd called the station later that day to reiterate the order not to discuss the material. </w:t>
      </w:r>
    </w:p>
    <w:p w14:paraId="7DC61007" w14:textId="77777777" w:rsidR="008A4533" w:rsidRDefault="008A4533" w:rsidP="008A4533">
      <w:pPr>
        <w:pStyle w:val="NormalWeb"/>
        <w:ind w:left="720" w:firstLine="60"/>
      </w:pPr>
      <w:r>
        <w:t>Mr. Collier and his crew continued to talk about John Doe. Mr. Collier told some colleagues on another crew about the incident. He described in some detail the video of Mr. Doe being intimate with two men and implied there was material relating to minors.</w:t>
      </w:r>
    </w:p>
    <w:p w14:paraId="3261E9DC" w14:textId="77777777" w:rsidR="008A4533" w:rsidRDefault="008A4533" w:rsidP="008A4533">
      <w:pPr>
        <w:pStyle w:val="NormalWeb"/>
        <w:ind w:left="720" w:firstLine="60"/>
      </w:pPr>
      <w:r>
        <w:t>***</w:t>
      </w:r>
    </w:p>
    <w:p w14:paraId="71556693" w14:textId="77777777" w:rsidR="008A4533" w:rsidRDefault="008A4533" w:rsidP="008A4533">
      <w:pPr>
        <w:pStyle w:val="NormalWeb"/>
        <w:ind w:left="720"/>
      </w:pPr>
      <w:r>
        <w:t>Mr. Collier first admitted that he violated rules and regulations by disobeying direct orders and agreed that as a captain, he was held to a higher standard than many other firefighters.</w:t>
      </w:r>
    </w:p>
    <w:p w14:paraId="744D0471" w14:textId="77777777" w:rsidR="008A4533" w:rsidRDefault="008A4533" w:rsidP="008A4533">
      <w:pPr>
        <w:pStyle w:val="NormalWeb"/>
        <w:ind w:left="720"/>
      </w:pPr>
      <w:r>
        <w:t>***</w:t>
      </w:r>
    </w:p>
    <w:p w14:paraId="49B06ABF" w14:textId="77777777" w:rsidR="008A4533" w:rsidRDefault="008A4533" w:rsidP="008A4533">
      <w:pPr>
        <w:pStyle w:val="NormalWeb"/>
        <w:ind w:left="720"/>
      </w:pPr>
      <w:r>
        <w:t xml:space="preserve">New Albany contends that Mr. Collier violated fire department rules and regulations by continuing to discuss the Doe incident with others despite being ordered not to do so. New Albany cites its disciplinary notice to Mr. Collier, which explained the violations and cited to department rules against disobeying orders, acting in a manner unbecoming of a firefighter, and disseminating false reports about others. New Albany uses Deputy Chief Gadd and Chief Juliot's testimony to show that Mr. Collier was held to a higher standard and should have led by example rather than aggravating the situation. Mr. Collier conceded the same points in his deposition, testifying that department practice was to treat captains' violations as more serious than firefighters' violations. According to New Albany, Mr. Collier's conduct around the Doe defeats the prima facie case and </w:t>
      </w:r>
    </w:p>
    <w:p w14:paraId="0FFBF96E" w14:textId="77777777" w:rsidR="008A4533" w:rsidRPr="00D3794E" w:rsidRDefault="008A4533" w:rsidP="008A4533">
      <w:pPr>
        <w:pStyle w:val="NormalWeb"/>
        <w:rPr>
          <w:b/>
          <w:bCs/>
        </w:rPr>
      </w:pPr>
      <w:r w:rsidRPr="00D3794E">
        <w:rPr>
          <w:b/>
          <w:bCs/>
        </w:rPr>
        <w:t>Legal Lesson Learned:</w:t>
      </w:r>
      <w:r>
        <w:rPr>
          <w:b/>
          <w:bCs/>
        </w:rPr>
        <w:t xml:space="preserve"> Captain’s acknowledged breach of a direct order resulted in his demotion. </w:t>
      </w:r>
    </w:p>
    <w:p w14:paraId="509CB4D8" w14:textId="77777777" w:rsidR="008A4533" w:rsidRDefault="008A4533" w:rsidP="008A4533">
      <w:pPr>
        <w:pStyle w:val="NormalWeb"/>
        <w:ind w:left="720"/>
      </w:pPr>
    </w:p>
    <w:p w14:paraId="20E79512" w14:textId="2FB072FA" w:rsidR="008A4533" w:rsidRDefault="008A4533" w:rsidP="00BC70A3">
      <w:pPr>
        <w:rPr>
          <w:rFonts w:ascii="Arial Black" w:hAnsi="Arial Black"/>
          <w:b/>
          <w:sz w:val="24"/>
          <w:szCs w:val="24"/>
        </w:rPr>
      </w:pPr>
    </w:p>
    <w:p w14:paraId="1F37BA83" w14:textId="7D4C02EE" w:rsidR="008A4533" w:rsidRDefault="008A4533" w:rsidP="00BC70A3">
      <w:pPr>
        <w:rPr>
          <w:rFonts w:ascii="Arial Black" w:hAnsi="Arial Black"/>
          <w:b/>
          <w:sz w:val="24"/>
          <w:szCs w:val="24"/>
        </w:rPr>
      </w:pPr>
      <w:r>
        <w:rPr>
          <w:rFonts w:ascii="Arial Black" w:hAnsi="Arial Black"/>
          <w:b/>
          <w:sz w:val="24"/>
          <w:szCs w:val="24"/>
        </w:rPr>
        <w:t>8-46</w:t>
      </w:r>
    </w:p>
    <w:p w14:paraId="7953BB02" w14:textId="77777777" w:rsidR="008A4533" w:rsidRPr="00E61C73" w:rsidRDefault="008A4533" w:rsidP="008A4533">
      <w:pPr>
        <w:pStyle w:val="ekqk"/>
        <w:rPr>
          <w:rFonts w:ascii="Arial Black" w:hAnsi="Arial Black"/>
          <w:sz w:val="28"/>
          <w:szCs w:val="28"/>
        </w:rPr>
      </w:pPr>
      <w:r>
        <w:rPr>
          <w:rFonts w:ascii="Arial Black" w:hAnsi="Arial Black"/>
          <w:sz w:val="28"/>
          <w:szCs w:val="28"/>
        </w:rPr>
        <w:t>MN:  HOSPITAL – FIRED MEDIC, IN BLACKFACE AT HALLOWEEN PARTY 15-YRS PRIOR – NEWSPAPER ARTICLE</w:t>
      </w:r>
    </w:p>
    <w:p w14:paraId="1C3A2EF8" w14:textId="77777777" w:rsidR="008A4533" w:rsidRDefault="008A4533" w:rsidP="008A4533">
      <w:pPr>
        <w:pStyle w:val="ekqk"/>
      </w:pPr>
      <w:r>
        <w:t xml:space="preserve">On Jan. 9, 2023, in </w:t>
      </w:r>
      <w:r w:rsidRPr="00E61C73">
        <w:rPr>
          <w:u w:val="single"/>
        </w:rPr>
        <w:t>Amber Brown v. Hennepin Healthcare Systems</w:t>
      </w:r>
      <w:r>
        <w:t xml:space="preserve">, the Court of Appeals of Minnesota held (3 to 0) that the Hospital had lawful right to terminate the paramedic without cause per Employee Handbook.  She has worked at the hospital since 2002, and promoted Deputy Chief of Emergency Medical Services, managing </w:t>
      </w:r>
      <w:r>
        <w:lastRenderedPageBreak/>
        <w:t xml:space="preserve">the Community Paramedic Program. On February 15, 2022, the Hospital [HHS] received an unsigned email with an attached photo depicting Brown in blackface. Brown admitted that she was in the photo and said that it had been taken 15-17 years earlier at a private Halloween party. The photo was of Brown and two others dressed up as the musical group, The Supremes. The photo had been posted on someone else's Facebook page.  On March 3, </w:t>
      </w:r>
      <w:proofErr w:type="gramStart"/>
      <w:r>
        <w:t>2022</w:t>
      </w:r>
      <w:proofErr w:type="gramEnd"/>
      <w:r>
        <w:t xml:space="preserve"> the Hospital fired Ms. Brown.</w:t>
      </w:r>
      <w:r>
        <w:rPr>
          <w:b/>
          <w:bCs/>
        </w:rPr>
        <w:t xml:space="preserve">  </w:t>
      </w:r>
      <w:r w:rsidRPr="00F3148C">
        <w:t>The Court of Appeals wrote:</w:t>
      </w:r>
      <w:r>
        <w:rPr>
          <w:b/>
          <w:bCs/>
        </w:rPr>
        <w:t xml:space="preserve"> </w:t>
      </w:r>
      <w:r>
        <w:t xml:space="preserve">Following an internal investigation, HHS decided to discharge Brown. But before HHS could inform Brown of its decision, the Star Tribune published an article about the photo titled "Hennepin Healthcare promised to address 'systemic racism.' Then came the blackface photos." The Court held that under Minnesota statute only requires HHS to create “a procedure for employees to appeal discharge decisions” and HHS did so by giving her an opportunity to appear before their Board of Directors (which she declined). “The statute does not require HHS to provide what Brown advocates-a just-cause hearing before discharge.” </w:t>
      </w:r>
      <w:hyperlink r:id="rId1562" w:history="1">
        <w:r w:rsidRPr="00346E6A">
          <w:rPr>
            <w:rStyle w:val="Hyperlink"/>
          </w:rPr>
          <w:t>https://casetext.com/case/brown-v-hennepin-healthcare-sys</w:t>
        </w:r>
      </w:hyperlink>
      <w:r>
        <w:t xml:space="preserve"> </w:t>
      </w:r>
    </w:p>
    <w:p w14:paraId="7F28A1A7" w14:textId="77777777" w:rsidR="008A4533" w:rsidRDefault="008A4533" w:rsidP="008A4533">
      <w:pPr>
        <w:pStyle w:val="NormalWeb"/>
        <w:ind w:left="720"/>
      </w:pPr>
      <w:r>
        <w:t xml:space="preserve">“It is undisputed that Brown was hired for an indefinite term. And, like the contract in </w:t>
      </w:r>
      <w:r>
        <w:rPr>
          <w:rStyle w:val="Emphasis"/>
        </w:rPr>
        <w:t>Reierson</w:t>
      </w:r>
      <w:r>
        <w:t xml:space="preserve">, the employee handbook states that ‘Employees may resign their employment with HCMC </w:t>
      </w:r>
      <w:r>
        <w:rPr>
          <w:rStyle w:val="Emphasis"/>
        </w:rPr>
        <w:t>at any time for any reason</w:t>
      </w:r>
      <w:r>
        <w:t>, and HCMC reserves the same right regarding the discontinuation of an individual's employment.’ (Emphasis added.) This record supports the determination that Brown was an at-will employee, and HHS's decision to end her employment could not be arbitrary, unreasonable, or unsupported by the evidence.”</w:t>
      </w:r>
    </w:p>
    <w:p w14:paraId="54CE8166" w14:textId="77777777" w:rsidR="008A4533" w:rsidRDefault="008A4533" w:rsidP="008A4533">
      <w:pPr>
        <w:pStyle w:val="NormalWeb"/>
        <w:rPr>
          <w:b/>
          <w:bCs/>
        </w:rPr>
      </w:pPr>
      <w:r w:rsidRPr="00C13BF4">
        <w:rPr>
          <w:b/>
          <w:bCs/>
        </w:rPr>
        <w:t xml:space="preserve">Legal Lesson Learned: </w:t>
      </w:r>
      <w:r>
        <w:rPr>
          <w:b/>
          <w:bCs/>
        </w:rPr>
        <w:t xml:space="preserve">An “at will” employee has no right in Minnesota to a </w:t>
      </w:r>
      <w:proofErr w:type="gramStart"/>
      <w:r>
        <w:rPr>
          <w:b/>
          <w:bCs/>
        </w:rPr>
        <w:t>fact finding</w:t>
      </w:r>
      <w:proofErr w:type="gramEnd"/>
      <w:r>
        <w:rPr>
          <w:b/>
          <w:bCs/>
        </w:rPr>
        <w:t xml:space="preserve"> hearing.  </w:t>
      </w:r>
    </w:p>
    <w:p w14:paraId="1146F81B" w14:textId="77777777" w:rsidR="008A4533" w:rsidRPr="00C13BF4" w:rsidRDefault="008A4533" w:rsidP="008A4533">
      <w:pPr>
        <w:pStyle w:val="NormalWeb"/>
      </w:pPr>
      <w:r>
        <w:rPr>
          <w:b/>
          <w:bCs/>
        </w:rPr>
        <w:tab/>
      </w:r>
      <w:r w:rsidRPr="00C13BF4">
        <w:t xml:space="preserve">Note: Perhaps this is the “rest of the story” </w:t>
      </w:r>
      <w:r>
        <w:t xml:space="preserve">when Court wrote: </w:t>
      </w:r>
    </w:p>
    <w:p w14:paraId="6AA8D350" w14:textId="77777777" w:rsidR="008A4533" w:rsidRDefault="008A4533" w:rsidP="008A4533">
      <w:pPr>
        <w:pStyle w:val="NormalWeb"/>
        <w:ind w:left="1440"/>
      </w:pPr>
      <w:r w:rsidRPr="00C13BF4">
        <w:t>“Following an internal investigation, HHS decided to discharge Brown. But before HHS could inform Brown of its decision, the Star Tribune published an article about the photo titled "Hennepin Healthcare promised to address 'systemic racism.' Then came the blackface photos."</w:t>
      </w:r>
    </w:p>
    <w:p w14:paraId="69BF840B" w14:textId="77777777" w:rsidR="008A4533" w:rsidRPr="00CF7C67" w:rsidRDefault="008A4533" w:rsidP="008A4533">
      <w:pPr>
        <w:pStyle w:val="Heading1"/>
        <w:ind w:left="720"/>
        <w:rPr>
          <w:b w:val="0"/>
          <w:bCs w:val="0"/>
          <w:sz w:val="24"/>
          <w:szCs w:val="24"/>
        </w:rPr>
      </w:pPr>
      <w:r>
        <w:rPr>
          <w:b w:val="0"/>
          <w:bCs w:val="0"/>
          <w:sz w:val="24"/>
          <w:szCs w:val="24"/>
        </w:rPr>
        <w:t>See this article: “</w:t>
      </w:r>
      <w:r w:rsidRPr="00CF7C67">
        <w:rPr>
          <w:b w:val="0"/>
          <w:bCs w:val="0"/>
          <w:sz w:val="24"/>
          <w:szCs w:val="24"/>
        </w:rPr>
        <w:t>Hennepin Health accused of 'deeply rooted' racism following blackface, 'excited delirium' incidents</w:t>
      </w:r>
      <w:r>
        <w:rPr>
          <w:b w:val="0"/>
          <w:bCs w:val="0"/>
          <w:sz w:val="24"/>
          <w:szCs w:val="24"/>
        </w:rPr>
        <w:t xml:space="preserve">.” </w:t>
      </w:r>
      <w:r w:rsidRPr="00CF7C67">
        <w:rPr>
          <w:b w:val="0"/>
          <w:bCs w:val="0"/>
          <w:sz w:val="24"/>
          <w:szCs w:val="24"/>
        </w:rPr>
        <w:t xml:space="preserve"> (March 4, 2022): </w:t>
      </w:r>
      <w:hyperlink r:id="rId1563" w:history="1">
        <w:r w:rsidRPr="00CF7C67">
          <w:rPr>
            <w:rStyle w:val="Hyperlink"/>
            <w:sz w:val="24"/>
            <w:szCs w:val="24"/>
          </w:rPr>
          <w:t>https://www.fiercehealthcare.com/providers/hennepin-health-accused-deeply-rooted-racism-following-blackface-excited-delirium</w:t>
        </w:r>
      </w:hyperlink>
      <w:r w:rsidRPr="00CF7C67">
        <w:rPr>
          <w:b w:val="0"/>
          <w:bCs w:val="0"/>
          <w:sz w:val="24"/>
          <w:szCs w:val="24"/>
        </w:rPr>
        <w:t xml:space="preserve"> </w:t>
      </w:r>
    </w:p>
    <w:p w14:paraId="34EE9B7C" w14:textId="40CFB87E" w:rsidR="008A4533" w:rsidRDefault="008A4533" w:rsidP="00BC70A3">
      <w:pPr>
        <w:rPr>
          <w:rFonts w:ascii="Arial Black" w:hAnsi="Arial Black"/>
          <w:b/>
          <w:sz w:val="24"/>
          <w:szCs w:val="24"/>
        </w:rPr>
      </w:pPr>
    </w:p>
    <w:p w14:paraId="7BE58872" w14:textId="77777777" w:rsidR="008A4533" w:rsidRDefault="008A4533" w:rsidP="00BC70A3">
      <w:pPr>
        <w:rPr>
          <w:rFonts w:ascii="Arial Black" w:hAnsi="Arial Black"/>
          <w:b/>
          <w:sz w:val="24"/>
          <w:szCs w:val="24"/>
        </w:rPr>
      </w:pPr>
    </w:p>
    <w:p w14:paraId="474E941B" w14:textId="19A2D2A3" w:rsidR="00B87D79" w:rsidRDefault="00B87D79" w:rsidP="00BC70A3">
      <w:pPr>
        <w:rPr>
          <w:rFonts w:ascii="Arial Black" w:hAnsi="Arial Black"/>
          <w:b/>
          <w:sz w:val="24"/>
          <w:szCs w:val="24"/>
        </w:rPr>
      </w:pPr>
      <w:r>
        <w:rPr>
          <w:rFonts w:ascii="Arial Black" w:hAnsi="Arial Black"/>
          <w:b/>
          <w:sz w:val="24"/>
          <w:szCs w:val="24"/>
        </w:rPr>
        <w:t>8-45</w:t>
      </w:r>
    </w:p>
    <w:p w14:paraId="7E89D6DE" w14:textId="77777777" w:rsidR="00B87D79" w:rsidRPr="00086749" w:rsidRDefault="00B87D79" w:rsidP="00B87D79">
      <w:pPr>
        <w:pStyle w:val="NormalWeb"/>
        <w:rPr>
          <w:rFonts w:ascii="Arial Black" w:hAnsi="Arial Black"/>
          <w:sz w:val="28"/>
          <w:szCs w:val="28"/>
        </w:rPr>
      </w:pPr>
      <w:r w:rsidRPr="00086749">
        <w:rPr>
          <w:rFonts w:ascii="Arial Black" w:hAnsi="Arial Black"/>
          <w:sz w:val="28"/>
          <w:szCs w:val="28"/>
        </w:rPr>
        <w:t>NY: FDNY EMS OFFICERS – NON-WHITE – CLAIM RACE / SEX DISCRIMINATION IN PROMOTIONS –</w:t>
      </w:r>
      <w:r>
        <w:rPr>
          <w:rFonts w:ascii="Arial Black" w:hAnsi="Arial Black"/>
          <w:sz w:val="28"/>
          <w:szCs w:val="28"/>
        </w:rPr>
        <w:t xml:space="preserve"> NO </w:t>
      </w:r>
      <w:r w:rsidRPr="00086749">
        <w:rPr>
          <w:rFonts w:ascii="Arial Black" w:hAnsi="Arial Black"/>
          <w:sz w:val="28"/>
          <w:szCs w:val="28"/>
        </w:rPr>
        <w:t xml:space="preserve">CLASS </w:t>
      </w:r>
      <w:r>
        <w:rPr>
          <w:rFonts w:ascii="Arial Black" w:hAnsi="Arial Black"/>
          <w:sz w:val="28"/>
          <w:szCs w:val="28"/>
        </w:rPr>
        <w:t>ACTION</w:t>
      </w:r>
    </w:p>
    <w:p w14:paraId="0904EC3A" w14:textId="77777777" w:rsidR="00B87D79" w:rsidRDefault="00B87D79" w:rsidP="00B87D79">
      <w:pPr>
        <w:pStyle w:val="NormalWeb"/>
      </w:pPr>
      <w:r>
        <w:t xml:space="preserve">On Nov. 22, 2022, in </w:t>
      </w:r>
      <w:r w:rsidRPr="0077015D">
        <w:rPr>
          <w:u w:val="single"/>
        </w:rPr>
        <w:t>Local 3621, EMS Officers Union, et al. v. City of New York</w:t>
      </w:r>
      <w:r>
        <w:t xml:space="preserve">, U.S. District Court Judge Lewis J. Liman, U.S. District Court, Southern District of New York, denied the plaintiffs motion in this 2018 lawsuit for class certification, since plaintiffs have failed to show a “specific employment practice” in the promotion process that is discriminatory.  “In other words, the proposed class members do not appear to have “common answer to the crucial question </w:t>
      </w:r>
      <w:r>
        <w:rPr>
          <w:rStyle w:val="Emphasis"/>
        </w:rPr>
        <w:t>why was I disfavored</w:t>
      </w:r>
      <w:r>
        <w:t xml:space="preserve">.” </w:t>
      </w:r>
    </w:p>
    <w:p w14:paraId="16776C7E" w14:textId="1CE71E00" w:rsidR="00B87D79" w:rsidRPr="00B87D79" w:rsidRDefault="00B87D79" w:rsidP="00B87D79">
      <w:pPr>
        <w:ind w:left="720"/>
        <w:rPr>
          <w:rFonts w:ascii="Times New Roman" w:hAnsi="Times New Roman"/>
          <w:b/>
          <w:sz w:val="24"/>
          <w:szCs w:val="24"/>
        </w:rPr>
      </w:pPr>
      <w:r w:rsidRPr="00B87D79">
        <w:rPr>
          <w:rFonts w:ascii="Times New Roman" w:hAnsi="Times New Roman"/>
          <w:sz w:val="24"/>
          <w:szCs w:val="24"/>
        </w:rPr>
        <w:t xml:space="preserve">“In the case at bar, Plaintiffs, however, fail to demonstrate that these specific employment practices have a discriminatory impact on a class wide basis. Instead, the evidence supports that the question of which of these specific employment practices has a discriminatory impact on an applicant is largely an individualized inquiry. As summarized in Background Section I.B.1, each of Plaintiffs' declarants </w:t>
      </w:r>
      <w:r w:rsidRPr="00B87D79">
        <w:rPr>
          <w:rFonts w:ascii="Times New Roman" w:hAnsi="Times New Roman"/>
          <w:sz w:val="24"/>
          <w:szCs w:val="24"/>
        </w:rPr>
        <w:lastRenderedPageBreak/>
        <w:t xml:space="preserve">submitted their own unique story, highlighting a different part of the promotional process that disfavored them: Boyd alleges that she was discriminatorily given a lower grade on her annual performance evaluation, which in turn hurt her chances for promotion…. </w:t>
      </w:r>
      <w:proofErr w:type="spellStart"/>
      <w:r w:rsidRPr="00B87D79">
        <w:rPr>
          <w:rFonts w:ascii="Times New Roman" w:hAnsi="Times New Roman"/>
          <w:sz w:val="24"/>
          <w:szCs w:val="24"/>
        </w:rPr>
        <w:t>Mascol</w:t>
      </w:r>
      <w:proofErr w:type="spellEnd"/>
      <w:r w:rsidRPr="00B87D79">
        <w:rPr>
          <w:rFonts w:ascii="Times New Roman" w:hAnsi="Times New Roman"/>
          <w:sz w:val="24"/>
          <w:szCs w:val="24"/>
        </w:rPr>
        <w:t xml:space="preserve">, on the other hand, alleges that ‘notwithstanding her credentials, she has been passed over after completing the promotion process five times before she became Captain’ as she was told during her interview that ‘she did well, but not well enough’ and ‘had been secretly removed from the list of potential candidates’ due to a disciplinary action….  </w:t>
      </w:r>
      <w:proofErr w:type="gramStart"/>
      <w:r w:rsidRPr="00B87D79">
        <w:rPr>
          <w:rFonts w:ascii="Times New Roman" w:hAnsi="Times New Roman"/>
          <w:sz w:val="24"/>
          <w:szCs w:val="24"/>
        </w:rPr>
        <w:t>And,</w:t>
      </w:r>
      <w:proofErr w:type="gramEnd"/>
      <w:r w:rsidRPr="00B87D79">
        <w:rPr>
          <w:rFonts w:ascii="Times New Roman" w:hAnsi="Times New Roman"/>
          <w:sz w:val="24"/>
          <w:szCs w:val="24"/>
        </w:rPr>
        <w:t xml:space="preserve"> Rodriguez alleges that he was unlawfully denied a promotion as he was told he </w:t>
      </w:r>
      <w:proofErr w:type="gramStart"/>
      <w:r w:rsidRPr="00B87D79">
        <w:rPr>
          <w:rFonts w:ascii="Times New Roman" w:hAnsi="Times New Roman"/>
          <w:sz w:val="24"/>
          <w:szCs w:val="24"/>
        </w:rPr>
        <w:t>‘had</w:t>
      </w:r>
      <w:proofErr w:type="gramEnd"/>
      <w:r w:rsidRPr="00B87D79">
        <w:rPr>
          <w:rFonts w:ascii="Times New Roman" w:hAnsi="Times New Roman"/>
          <w:sz w:val="24"/>
          <w:szCs w:val="24"/>
        </w:rPr>
        <w:t xml:space="preserve"> taken ‘too much' leave for a line of duty injury….” </w:t>
      </w:r>
      <w:hyperlink r:id="rId1564" w:history="1">
        <w:r w:rsidRPr="00B87D79">
          <w:rPr>
            <w:rStyle w:val="Hyperlink"/>
            <w:rFonts w:ascii="Times New Roman" w:eastAsiaTheme="majorEastAsia" w:hAnsi="Times New Roman"/>
            <w:sz w:val="24"/>
            <w:szCs w:val="24"/>
          </w:rPr>
          <w:t>https://public.fastcase.com/J%2FJP6pdidelsXxEE4k%2BLMlZWglMtowNFAELJodU5Ey8OhOeImHtUqedyG3gviX1KHWia8kZp1W6BpRYSHWWuxJPhh3XCqhBA0xYwY8ImSqA%3D?utm_medium=email&amp;_hsmi=226712652&amp;_hsenc=p2ANqtz-8Opm8993SGrvNEYVYffjIdnWwQ_39Y6IGa88rGJPHsNdF2T_bOfK_XBqNF_9dQMkZM8ini867XF3tJMXcIH4Ec_0OJdg&amp;utm_content=226712652&amp;utm_source=hs_email</w:t>
        </w:r>
      </w:hyperlink>
    </w:p>
    <w:p w14:paraId="31864655" w14:textId="77777777" w:rsidR="00B87D79" w:rsidRPr="0096016B" w:rsidRDefault="00B87D79" w:rsidP="00B87D79">
      <w:pPr>
        <w:pStyle w:val="NormalWeb"/>
        <w:rPr>
          <w:b/>
          <w:bCs/>
        </w:rPr>
      </w:pPr>
      <w:r w:rsidRPr="0096016B">
        <w:rPr>
          <w:b/>
          <w:bCs/>
        </w:rPr>
        <w:t>Legal Lesson Learned:</w:t>
      </w:r>
      <w:r>
        <w:rPr>
          <w:b/>
          <w:bCs/>
        </w:rPr>
        <w:t xml:space="preserve"> </w:t>
      </w:r>
      <w:r w:rsidRPr="0096016B">
        <w:rPr>
          <w:b/>
          <w:bCs/>
        </w:rPr>
        <w:t>Class certification requires a showing that there are questions of law or fact common to the class.</w:t>
      </w:r>
    </w:p>
    <w:p w14:paraId="6011A1E5" w14:textId="77777777" w:rsidR="00B87D79" w:rsidRDefault="00B87D79" w:rsidP="00BC70A3">
      <w:pPr>
        <w:rPr>
          <w:rFonts w:ascii="Arial Black" w:hAnsi="Arial Black"/>
          <w:b/>
          <w:sz w:val="24"/>
          <w:szCs w:val="24"/>
        </w:rPr>
      </w:pPr>
    </w:p>
    <w:p w14:paraId="74303606" w14:textId="2C94B5DD" w:rsidR="00D5141D" w:rsidRDefault="008B64DA" w:rsidP="00BC70A3">
      <w:pPr>
        <w:rPr>
          <w:rFonts w:ascii="Arial Black" w:hAnsi="Arial Black"/>
          <w:b/>
          <w:sz w:val="24"/>
          <w:szCs w:val="24"/>
        </w:rPr>
      </w:pPr>
      <w:r>
        <w:rPr>
          <w:rFonts w:ascii="Arial Black" w:hAnsi="Arial Black"/>
          <w:b/>
          <w:sz w:val="24"/>
          <w:szCs w:val="24"/>
        </w:rPr>
        <w:t>8-44</w:t>
      </w:r>
    </w:p>
    <w:p w14:paraId="2BD1256E" w14:textId="77777777" w:rsidR="008B64DA" w:rsidRPr="006E5A3A" w:rsidRDefault="008B64DA" w:rsidP="008B64DA">
      <w:pPr>
        <w:spacing w:before="100" w:beforeAutospacing="1" w:after="100" w:afterAutospacing="1" w:line="240" w:lineRule="auto"/>
        <w:rPr>
          <w:rFonts w:ascii="Arial Black" w:eastAsia="Times New Roman" w:hAnsi="Arial Black"/>
          <w:sz w:val="28"/>
          <w:szCs w:val="28"/>
        </w:rPr>
      </w:pPr>
      <w:r>
        <w:rPr>
          <w:rFonts w:ascii="Arial Black" w:eastAsia="Times New Roman" w:hAnsi="Arial Black"/>
          <w:sz w:val="28"/>
          <w:szCs w:val="28"/>
        </w:rPr>
        <w:t xml:space="preserve">FL: BLACK LT’s FAMILY PHOTOS DEFACED – CAPT, LT, 4 FF FIRED – FIRE CHIEF PRESS CONFERENCE – NO DEFAMATION </w:t>
      </w:r>
    </w:p>
    <w:p w14:paraId="1195A7C9" w14:textId="77777777" w:rsidR="008B64DA" w:rsidRPr="00F25F90" w:rsidRDefault="008B64DA" w:rsidP="008B64DA">
      <w:pPr>
        <w:pStyle w:val="NormalWeb"/>
      </w:pPr>
      <w:r>
        <w:t xml:space="preserve">On April 24, 2022, </w:t>
      </w:r>
      <w:r w:rsidRPr="00F25F90">
        <w:t xml:space="preserve">in </w:t>
      </w:r>
      <w:r w:rsidRPr="006E5A3A">
        <w:rPr>
          <w:u w:val="single"/>
        </w:rPr>
        <w:t>City of Miami, et al. v. David Rivera, et al.</w:t>
      </w:r>
      <w:r>
        <w:t>, the Florida Court of Appeals, Third District, held (3 to 0) that trial judge improperly denied the defense motion to dismiss the lawsuit.  “</w:t>
      </w:r>
      <w:r w:rsidRPr="00F25F90">
        <w:t xml:space="preserve">Chief </w:t>
      </w:r>
      <w:proofErr w:type="spellStart"/>
      <w:r w:rsidRPr="00F25F90">
        <w:t>Zahralban</w:t>
      </w:r>
      <w:proofErr w:type="spellEnd"/>
      <w:r w:rsidRPr="00F25F90">
        <w:t xml:space="preserve"> and the City are </w:t>
      </w:r>
      <w:proofErr w:type="gramStart"/>
      <w:r w:rsidRPr="00F25F90">
        <w:t>absolutely immune</w:t>
      </w:r>
      <w:proofErr w:type="gramEnd"/>
      <w:r w:rsidRPr="00F25F90">
        <w:t xml:space="preserve"> from suit for Chief Zahralban's written and oral statements relating to the City's termination of the Respondents as the statements were made within the scope of Chief Zahralban's duties as the director of the City's fire-rescue department. As such, the trial court departed from the essential requirements of law by denying Chief </w:t>
      </w:r>
      <w:proofErr w:type="spellStart"/>
      <w:r w:rsidRPr="00F25F90">
        <w:t>Zahralban's</w:t>
      </w:r>
      <w:proofErr w:type="spellEnd"/>
      <w:r w:rsidRPr="00F25F90">
        <w:t xml:space="preserve"> and the City's motion to dismiss on absolute immunity grounds. Accordingly, we grant the petition and quash the portion of the order denying the Petitioners' motion to dismiss the defamation counts as they are barred by absolute immunity.</w:t>
      </w:r>
      <w:r>
        <w:t xml:space="preserve">” </w:t>
      </w:r>
      <w:hyperlink r:id="rId1565" w:history="1">
        <w:r w:rsidRPr="00301464">
          <w:rPr>
            <w:rStyle w:val="Hyperlink"/>
            <w:rFonts w:eastAsiaTheme="majorEastAsia"/>
          </w:rPr>
          <w:t>https://www.courtlistener.com/opinion/7859269/city-of-miami-v-david-rivera/</w:t>
        </w:r>
      </w:hyperlink>
      <w:r>
        <w:t xml:space="preserve"> </w:t>
      </w:r>
    </w:p>
    <w:p w14:paraId="6FFF8708" w14:textId="77777777" w:rsidR="008B64DA" w:rsidRPr="00756225" w:rsidRDefault="008B64DA" w:rsidP="008B64DA">
      <w:pPr>
        <w:spacing w:before="100" w:beforeAutospacing="1" w:after="100" w:afterAutospacing="1" w:line="240" w:lineRule="auto"/>
        <w:rPr>
          <w:rFonts w:ascii="Times New Roman" w:eastAsia="Times New Roman" w:hAnsi="Times New Roman"/>
          <w:b/>
          <w:bCs/>
          <w:sz w:val="24"/>
          <w:szCs w:val="24"/>
        </w:rPr>
      </w:pPr>
      <w:r w:rsidRPr="00756225">
        <w:rPr>
          <w:rFonts w:ascii="Times New Roman" w:eastAsia="Times New Roman" w:hAnsi="Times New Roman"/>
          <w:b/>
          <w:bCs/>
          <w:sz w:val="24"/>
          <w:szCs w:val="24"/>
        </w:rPr>
        <w:t xml:space="preserve">Legal Lesson Learned: </w:t>
      </w:r>
      <w:r>
        <w:rPr>
          <w:rFonts w:ascii="Times New Roman" w:eastAsia="Times New Roman" w:hAnsi="Times New Roman"/>
          <w:b/>
          <w:bCs/>
          <w:sz w:val="24"/>
          <w:szCs w:val="24"/>
        </w:rPr>
        <w:t xml:space="preserve">The conduct defacing family photos is completely unacceptable. </w:t>
      </w:r>
    </w:p>
    <w:p w14:paraId="38EC357E" w14:textId="77777777" w:rsidR="008B64DA" w:rsidRDefault="008B64DA" w:rsidP="008B64DA">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 xml:space="preserve">Note: See these press reports: </w:t>
      </w:r>
    </w:p>
    <w:p w14:paraId="58CCF8B7" w14:textId="77777777" w:rsidR="008B64DA" w:rsidRPr="00214856" w:rsidRDefault="008B64DA" w:rsidP="008B64DA">
      <w:pPr>
        <w:pStyle w:val="Heading1"/>
        <w:ind w:left="720"/>
        <w:rPr>
          <w:b w:val="0"/>
          <w:bCs w:val="0"/>
          <w:sz w:val="24"/>
          <w:szCs w:val="24"/>
        </w:rPr>
      </w:pPr>
      <w:r w:rsidRPr="00214856">
        <w:rPr>
          <w:b w:val="0"/>
          <w:bCs w:val="0"/>
          <w:sz w:val="24"/>
          <w:szCs w:val="24"/>
        </w:rPr>
        <w:t xml:space="preserve">Nov. 3, 2017: “More Miami firefighters may be fired in hanging of noose over black colleague’s family photo, officials say.” </w:t>
      </w:r>
      <w:hyperlink r:id="rId1566" w:history="1">
        <w:r w:rsidRPr="00214856">
          <w:rPr>
            <w:rStyle w:val="Hyperlink"/>
            <w:rFonts w:eastAsiaTheme="majorEastAsia"/>
            <w:b w:val="0"/>
            <w:bCs w:val="0"/>
            <w:sz w:val="24"/>
            <w:szCs w:val="24"/>
          </w:rPr>
          <w:t>https://abcnews.go.com/US/miami-firefighters-fired-hanging-noose-black-colleagues-family/story?id=50884714</w:t>
        </w:r>
      </w:hyperlink>
      <w:r w:rsidRPr="00214856">
        <w:rPr>
          <w:b w:val="0"/>
          <w:bCs w:val="0"/>
          <w:sz w:val="24"/>
          <w:szCs w:val="24"/>
        </w:rPr>
        <w:t xml:space="preserve"> </w:t>
      </w:r>
    </w:p>
    <w:p w14:paraId="6981648E" w14:textId="4A6E6B6E" w:rsidR="008B64DA" w:rsidRDefault="008B64DA" w:rsidP="008B64DA">
      <w:pPr>
        <w:rPr>
          <w:rFonts w:ascii="Arial Black" w:hAnsi="Arial Black"/>
          <w:b/>
          <w:sz w:val="24"/>
          <w:szCs w:val="24"/>
        </w:rPr>
      </w:pPr>
      <w:r w:rsidRPr="00214856">
        <w:rPr>
          <w:sz w:val="24"/>
          <w:szCs w:val="24"/>
        </w:rPr>
        <w:t xml:space="preserve">Nov. 6, 2017: “City of Miami demands media stop showing photos of 6 officers fired in racist incident.” </w:t>
      </w:r>
      <w:hyperlink r:id="rId1567" w:history="1">
        <w:r w:rsidRPr="00214856">
          <w:rPr>
            <w:rStyle w:val="Hyperlink"/>
            <w:rFonts w:eastAsiaTheme="majorEastAsia"/>
            <w:sz w:val="24"/>
            <w:szCs w:val="24"/>
          </w:rPr>
          <w:t>https://boingboing.net/2017/11/06/city-of-miami-demands-media-st.html</w:t>
        </w:r>
      </w:hyperlink>
    </w:p>
    <w:p w14:paraId="020B1A4E" w14:textId="77777777" w:rsidR="008B64DA" w:rsidRDefault="008B64DA" w:rsidP="00BC70A3">
      <w:pPr>
        <w:rPr>
          <w:rFonts w:ascii="Arial Black" w:hAnsi="Arial Black"/>
          <w:b/>
          <w:sz w:val="24"/>
          <w:szCs w:val="24"/>
        </w:rPr>
      </w:pPr>
    </w:p>
    <w:p w14:paraId="5128F2BF" w14:textId="23FB7D85" w:rsidR="00D5141D" w:rsidRDefault="00D5141D" w:rsidP="00BC70A3">
      <w:pPr>
        <w:rPr>
          <w:rFonts w:ascii="Arial Black" w:hAnsi="Arial Black"/>
          <w:b/>
          <w:sz w:val="24"/>
          <w:szCs w:val="24"/>
        </w:rPr>
      </w:pPr>
      <w:r>
        <w:rPr>
          <w:rFonts w:ascii="Arial Black" w:hAnsi="Arial Black"/>
          <w:b/>
          <w:sz w:val="24"/>
          <w:szCs w:val="24"/>
        </w:rPr>
        <w:t>8-43</w:t>
      </w:r>
    </w:p>
    <w:p w14:paraId="1211C0EC" w14:textId="77777777" w:rsidR="008B64DA" w:rsidRPr="009973F5" w:rsidRDefault="008B64DA" w:rsidP="008B64DA">
      <w:pPr>
        <w:spacing w:before="100" w:beforeAutospacing="1" w:after="100" w:afterAutospacing="1" w:line="240" w:lineRule="auto"/>
        <w:rPr>
          <w:rFonts w:ascii="Arial Black" w:eastAsia="Times New Roman" w:hAnsi="Arial Black"/>
          <w:sz w:val="28"/>
          <w:szCs w:val="28"/>
        </w:rPr>
      </w:pPr>
      <w:r>
        <w:rPr>
          <w:rFonts w:ascii="Arial Black" w:eastAsia="Times New Roman" w:hAnsi="Arial Black"/>
          <w:sz w:val="28"/>
          <w:szCs w:val="28"/>
        </w:rPr>
        <w:lastRenderedPageBreak/>
        <w:t>FL: BLACK PROBIE FF – FIRED - MET WITH CITY MANAGER WITHOUT CHAIN OF COMMAND – CASE DISMISSED</w:t>
      </w:r>
    </w:p>
    <w:p w14:paraId="78D23B4D" w14:textId="4E22D422" w:rsidR="00D5141D" w:rsidRDefault="008B64DA" w:rsidP="008B64DA">
      <w:pPr>
        <w:rPr>
          <w:rFonts w:ascii="Arial Black" w:hAnsi="Arial Black"/>
          <w:b/>
          <w:sz w:val="24"/>
          <w:szCs w:val="24"/>
        </w:rPr>
      </w:pPr>
      <w:r>
        <w:rPr>
          <w:rFonts w:ascii="Times New Roman" w:eastAsia="Times New Roman" w:hAnsi="Times New Roman"/>
          <w:sz w:val="24"/>
          <w:szCs w:val="24"/>
        </w:rPr>
        <w:t xml:space="preserve">On Aug. 18, 2022, in </w:t>
      </w:r>
      <w:r w:rsidRPr="00704447">
        <w:rPr>
          <w:rFonts w:ascii="Times New Roman" w:eastAsia="Times New Roman" w:hAnsi="Times New Roman"/>
          <w:sz w:val="24"/>
          <w:szCs w:val="24"/>
          <w:u w:val="single"/>
        </w:rPr>
        <w:t>Cindy Naraine v. City of Hollywood</w:t>
      </w:r>
      <w:r>
        <w:rPr>
          <w:rFonts w:ascii="Times New Roman" w:eastAsia="Times New Roman" w:hAnsi="Times New Roman"/>
          <w:sz w:val="24"/>
          <w:szCs w:val="24"/>
        </w:rPr>
        <w:t xml:space="preserve">, U.S. District Court Judge Rodolfo R. Ruiz II, U.S. District Court for Southern District of Florida, granted the City’s motion for summary judgment. </w:t>
      </w:r>
      <w:r w:rsidRPr="00704447">
        <w:rPr>
          <w:rFonts w:ascii="Times New Roman" w:eastAsia="Times New Roman" w:hAnsi="Times New Roman"/>
          <w:sz w:val="24"/>
          <w:szCs w:val="24"/>
        </w:rPr>
        <w:t>“</w:t>
      </w:r>
      <w:r w:rsidRPr="00704447">
        <w:rPr>
          <w:rFonts w:ascii="Times New Roman" w:hAnsi="Times New Roman"/>
          <w:sz w:val="24"/>
          <w:szCs w:val="24"/>
        </w:rPr>
        <w:t> Importantly, the Court notes the following undisputed facts. Plaintiff never witnessed any act of discrimination against any employee of the Fire Department</w:t>
      </w:r>
      <w:r>
        <w:rPr>
          <w:rFonts w:ascii="Times New Roman" w:hAnsi="Times New Roman"/>
          <w:sz w:val="24"/>
          <w:szCs w:val="24"/>
        </w:rPr>
        <w:t xml:space="preserve">…. </w:t>
      </w:r>
      <w:r w:rsidRPr="00704447">
        <w:rPr>
          <w:rFonts w:ascii="Times New Roman" w:hAnsi="Times New Roman"/>
          <w:sz w:val="24"/>
          <w:szCs w:val="24"/>
        </w:rPr>
        <w:t>Plaintiff was never subject to a racist remark while working at the Fire Department</w:t>
      </w:r>
      <w:r>
        <w:rPr>
          <w:rFonts w:ascii="Times New Roman" w:hAnsi="Times New Roman"/>
          <w:sz w:val="24"/>
          <w:szCs w:val="24"/>
        </w:rPr>
        <w:t>….</w:t>
      </w:r>
      <w:r w:rsidRPr="00704447">
        <w:rPr>
          <w:rFonts w:ascii="Times New Roman" w:hAnsi="Times New Roman"/>
          <w:sz w:val="24"/>
          <w:szCs w:val="24"/>
        </w:rPr>
        <w:t xml:space="preserve"> Nobody ever said anything disparaging to Plaintiff based on her race</w:t>
      </w:r>
      <w:r>
        <w:rPr>
          <w:rFonts w:ascii="Times New Roman" w:hAnsi="Times New Roman"/>
          <w:sz w:val="24"/>
          <w:szCs w:val="24"/>
        </w:rPr>
        <w:t xml:space="preserve">…. </w:t>
      </w:r>
      <w:r w:rsidRPr="00704447">
        <w:rPr>
          <w:rFonts w:ascii="Times New Roman" w:hAnsi="Times New Roman"/>
          <w:sz w:val="24"/>
          <w:szCs w:val="24"/>
        </w:rPr>
        <w:t>Plaintiff was never the subject of a sexist comment while working at the Fire Department</w:t>
      </w:r>
      <w:r>
        <w:rPr>
          <w:rFonts w:ascii="Times New Roman" w:hAnsi="Times New Roman"/>
          <w:sz w:val="24"/>
          <w:szCs w:val="24"/>
        </w:rPr>
        <w:t xml:space="preserve">…. </w:t>
      </w:r>
      <w:r w:rsidRPr="00704447">
        <w:rPr>
          <w:rFonts w:ascii="Times New Roman" w:hAnsi="Times New Roman"/>
          <w:sz w:val="24"/>
          <w:szCs w:val="24"/>
        </w:rPr>
        <w:t>Neither Chief Jurado nor Deputy Chief Garcia ever made a disparaging comment about Plaintiff</w:t>
      </w:r>
      <w:r>
        <w:rPr>
          <w:rFonts w:ascii="Times New Roman" w:hAnsi="Times New Roman"/>
          <w:sz w:val="24"/>
          <w:szCs w:val="24"/>
        </w:rPr>
        <w:t xml:space="preserve">…. </w:t>
      </w:r>
      <w:r w:rsidRPr="00704447">
        <w:rPr>
          <w:rFonts w:ascii="Times New Roman" w:hAnsi="Times New Roman"/>
          <w:sz w:val="24"/>
          <w:szCs w:val="24"/>
        </w:rPr>
        <w:t>Neither Chief Jurado or Deputy Chief Garcia ever discussed disciplining an employee for racial reasons</w:t>
      </w:r>
      <w:r>
        <w:rPr>
          <w:rFonts w:ascii="Times New Roman" w:hAnsi="Times New Roman"/>
          <w:sz w:val="24"/>
          <w:szCs w:val="24"/>
        </w:rPr>
        <w:t>….</w:t>
      </w:r>
      <w:r w:rsidRPr="00704447">
        <w:rPr>
          <w:rFonts w:ascii="Times New Roman" w:hAnsi="Times New Roman"/>
          <w:sz w:val="24"/>
          <w:szCs w:val="24"/>
        </w:rPr>
        <w:t xml:space="preserve"> In sum, the undisputed facts sharply undermine any notion that the </w:t>
      </w:r>
      <w:r>
        <w:rPr>
          <w:rFonts w:ascii="Times New Roman" w:hAnsi="Times New Roman"/>
          <w:sz w:val="24"/>
          <w:szCs w:val="24"/>
        </w:rPr>
        <w:t>‘</w:t>
      </w:r>
      <w:r w:rsidRPr="00704447">
        <w:rPr>
          <w:rFonts w:ascii="Times New Roman" w:hAnsi="Times New Roman"/>
          <w:sz w:val="24"/>
          <w:szCs w:val="24"/>
        </w:rPr>
        <w:t>real</w:t>
      </w:r>
      <w:r>
        <w:rPr>
          <w:rFonts w:ascii="Times New Roman" w:hAnsi="Times New Roman"/>
          <w:sz w:val="24"/>
          <w:szCs w:val="24"/>
        </w:rPr>
        <w:t>’</w:t>
      </w:r>
      <w:r w:rsidRPr="00704447">
        <w:rPr>
          <w:rFonts w:ascii="Times New Roman" w:hAnsi="Times New Roman"/>
          <w:sz w:val="24"/>
          <w:szCs w:val="24"/>
        </w:rPr>
        <w:t xml:space="preserve"> reason Plaintiff was fired was discriminatory in </w:t>
      </w:r>
      <w:proofErr w:type="gramStart"/>
      <w:r w:rsidRPr="00704447">
        <w:rPr>
          <w:rFonts w:ascii="Times New Roman" w:hAnsi="Times New Roman"/>
          <w:sz w:val="24"/>
          <w:szCs w:val="24"/>
        </w:rPr>
        <w:t>nature.</w:t>
      </w:r>
      <w:r>
        <w:rPr>
          <w:rFonts w:ascii="Times New Roman" w:hAnsi="Times New Roman"/>
          <w:sz w:val="24"/>
          <w:szCs w:val="24"/>
        </w:rPr>
        <w:t>”</w:t>
      </w:r>
      <w:proofErr w:type="gramEnd"/>
      <w:r>
        <w:rPr>
          <w:rFonts w:ascii="Times New Roman" w:hAnsi="Times New Roman"/>
          <w:sz w:val="24"/>
          <w:szCs w:val="24"/>
        </w:rPr>
        <w:t xml:space="preserve"> </w:t>
      </w:r>
      <w:hyperlink r:id="rId1568" w:history="1">
        <w:r w:rsidRPr="005E2F1B">
          <w:rPr>
            <w:rStyle w:val="Hyperlink"/>
            <w:rFonts w:ascii="Times New Roman" w:hAnsi="Times New Roman"/>
          </w:rPr>
          <w:t>https://public.fastcase.com/J%2FJP6pdidelsXxEE4k%2BLMvlYUX0ZAhRbseqqFnL4gi3bRwNf0Z9RCieiQ7wPaXcpaaE7aExMc6ouwIyWJC8qizoR4DyeCOueQnsNxsVE1Ec%3D</w:t>
        </w:r>
      </w:hyperlink>
    </w:p>
    <w:p w14:paraId="19BA0D4F" w14:textId="77777777" w:rsidR="008B64DA" w:rsidRPr="00B06F8C" w:rsidRDefault="008B64DA" w:rsidP="008B64DA">
      <w:pPr>
        <w:spacing w:before="100" w:beforeAutospacing="1" w:after="100" w:afterAutospacing="1" w:line="240" w:lineRule="auto"/>
        <w:rPr>
          <w:rFonts w:ascii="Times New Roman" w:eastAsia="Times New Roman" w:hAnsi="Times New Roman"/>
          <w:b/>
          <w:bCs/>
          <w:sz w:val="24"/>
          <w:szCs w:val="24"/>
        </w:rPr>
      </w:pPr>
      <w:r w:rsidRPr="00B06F8C">
        <w:rPr>
          <w:rFonts w:ascii="Times New Roman" w:eastAsia="Times New Roman" w:hAnsi="Times New Roman"/>
          <w:b/>
          <w:bCs/>
          <w:sz w:val="24"/>
          <w:szCs w:val="24"/>
        </w:rPr>
        <w:t>Legal Lesson Learned:</w:t>
      </w:r>
      <w:r>
        <w:rPr>
          <w:rFonts w:ascii="Times New Roman" w:eastAsia="Times New Roman" w:hAnsi="Times New Roman"/>
          <w:b/>
          <w:bCs/>
          <w:sz w:val="24"/>
          <w:szCs w:val="24"/>
        </w:rPr>
        <w:t xml:space="preserve"> Chain of command is important concept in a paramilitary organization. </w:t>
      </w:r>
    </w:p>
    <w:p w14:paraId="24E3831D" w14:textId="77777777" w:rsidR="00D5141D" w:rsidRDefault="00D5141D" w:rsidP="00BC70A3">
      <w:pPr>
        <w:rPr>
          <w:rFonts w:ascii="Arial Black" w:hAnsi="Arial Black"/>
          <w:b/>
          <w:sz w:val="24"/>
          <w:szCs w:val="24"/>
        </w:rPr>
      </w:pPr>
    </w:p>
    <w:p w14:paraId="24764F38" w14:textId="77777777" w:rsidR="00D5141D" w:rsidRDefault="00D5141D" w:rsidP="00BC70A3">
      <w:pPr>
        <w:rPr>
          <w:rFonts w:ascii="Arial Black" w:hAnsi="Arial Black"/>
          <w:b/>
          <w:sz w:val="24"/>
          <w:szCs w:val="24"/>
        </w:rPr>
      </w:pPr>
    </w:p>
    <w:p w14:paraId="19A00563" w14:textId="4729AA47" w:rsidR="00D5141D" w:rsidRDefault="00D5141D" w:rsidP="00BC70A3">
      <w:pPr>
        <w:rPr>
          <w:rFonts w:ascii="Arial Black" w:hAnsi="Arial Black"/>
          <w:b/>
          <w:sz w:val="24"/>
          <w:szCs w:val="24"/>
        </w:rPr>
      </w:pPr>
      <w:r>
        <w:rPr>
          <w:rFonts w:ascii="Arial Black" w:hAnsi="Arial Black"/>
          <w:b/>
          <w:sz w:val="24"/>
          <w:szCs w:val="24"/>
        </w:rPr>
        <w:t>8-42</w:t>
      </w:r>
    </w:p>
    <w:p w14:paraId="02B60654" w14:textId="77777777" w:rsidR="00D5141D" w:rsidRPr="00614CE9" w:rsidRDefault="00D5141D" w:rsidP="00D5141D">
      <w:pPr>
        <w:spacing w:before="100" w:beforeAutospacing="1" w:after="100" w:afterAutospacing="1" w:line="240" w:lineRule="auto"/>
        <w:rPr>
          <w:rFonts w:ascii="Arial Black" w:hAnsi="Arial Black"/>
          <w:sz w:val="28"/>
          <w:szCs w:val="28"/>
        </w:rPr>
      </w:pPr>
      <w:r>
        <w:rPr>
          <w:rFonts w:ascii="Arial Black" w:hAnsi="Arial Black"/>
          <w:sz w:val="28"/>
          <w:szCs w:val="28"/>
        </w:rPr>
        <w:t xml:space="preserve">CT: BLACK FF – ANONYMOUS CALLS, LOCKER BROKEN INTO - ISOLATED INCIDENTS - NOT HOSTILE WORKPLACE  </w:t>
      </w:r>
    </w:p>
    <w:p w14:paraId="1C1D7E10" w14:textId="77777777" w:rsidR="00D5141D" w:rsidRPr="00BF45A4" w:rsidRDefault="00D5141D" w:rsidP="00D5141D">
      <w:pPr>
        <w:spacing w:before="100" w:beforeAutospacing="1" w:after="100" w:afterAutospacing="1" w:line="240" w:lineRule="auto"/>
        <w:rPr>
          <w:rFonts w:ascii="Times New Roman" w:eastAsia="Times New Roman" w:hAnsi="Times New Roman"/>
          <w:sz w:val="24"/>
          <w:szCs w:val="24"/>
        </w:rPr>
      </w:pPr>
      <w:r>
        <w:rPr>
          <w:rFonts w:ascii="Times New Roman" w:hAnsi="Times New Roman"/>
          <w:sz w:val="24"/>
          <w:szCs w:val="24"/>
        </w:rPr>
        <w:t xml:space="preserve">On Aug. 16, 2022, in </w:t>
      </w:r>
      <w:r w:rsidRPr="00A06B91">
        <w:rPr>
          <w:rFonts w:ascii="Times New Roman" w:hAnsi="Times New Roman"/>
          <w:sz w:val="24"/>
          <w:szCs w:val="24"/>
          <w:u w:val="single"/>
        </w:rPr>
        <w:t>Tony Milledge v. City of Hartford</w:t>
      </w:r>
      <w:r>
        <w:rPr>
          <w:rFonts w:ascii="Times New Roman" w:hAnsi="Times New Roman"/>
          <w:sz w:val="24"/>
          <w:szCs w:val="24"/>
        </w:rPr>
        <w:t>, U.S. District Court Judge Jeffrey A. Meyer, U.S. District Court for District of Connecticut granted the City’s motion for summary judgement.  The Court wrote: “</w:t>
      </w:r>
      <w:r w:rsidRPr="00614CE9">
        <w:rPr>
          <w:rFonts w:ascii="Times New Roman" w:eastAsia="Times New Roman" w:hAnsi="Times New Roman"/>
          <w:sz w:val="24"/>
          <w:szCs w:val="24"/>
        </w:rPr>
        <w:t xml:space="preserve">The problem for Milledge is that the only evidence of racial animus he has offered is the string of racist anonymous calls he received. But Milledge has not shown that </w:t>
      </w:r>
      <w:r>
        <w:rPr>
          <w:rFonts w:ascii="Times New Roman" w:eastAsia="Times New Roman" w:hAnsi="Times New Roman"/>
          <w:sz w:val="24"/>
          <w:szCs w:val="24"/>
        </w:rPr>
        <w:t>‘</w:t>
      </w:r>
      <w:r w:rsidRPr="00614CE9">
        <w:rPr>
          <w:rFonts w:ascii="Times New Roman" w:eastAsia="Times New Roman" w:hAnsi="Times New Roman"/>
          <w:sz w:val="24"/>
          <w:szCs w:val="24"/>
        </w:rPr>
        <w:t xml:space="preserve">a specific basis exists for </w:t>
      </w:r>
      <w:proofErr w:type="gramStart"/>
      <w:r w:rsidRPr="00614CE9">
        <w:rPr>
          <w:rFonts w:ascii="Times New Roman" w:eastAsia="Times New Roman" w:hAnsi="Times New Roman"/>
          <w:sz w:val="24"/>
          <w:szCs w:val="24"/>
        </w:rPr>
        <w:t>imputing</w:t>
      </w:r>
      <w:proofErr w:type="gramEnd"/>
      <w:r w:rsidRPr="00614CE9">
        <w:rPr>
          <w:rFonts w:ascii="Times New Roman" w:eastAsia="Times New Roman" w:hAnsi="Times New Roman"/>
          <w:sz w:val="24"/>
          <w:szCs w:val="24"/>
        </w:rPr>
        <w:t xml:space="preserve"> the conduct that created the hostile environment to the employer.</w:t>
      </w:r>
      <w:r>
        <w:rPr>
          <w:rFonts w:ascii="Times New Roman" w:eastAsia="Times New Roman" w:hAnsi="Times New Roman"/>
          <w:sz w:val="24"/>
          <w:szCs w:val="24"/>
        </w:rPr>
        <w:t>’</w:t>
      </w:r>
      <w:r w:rsidRPr="00614CE9">
        <w:rPr>
          <w:rFonts w:ascii="Times New Roman" w:eastAsia="Times New Roman" w:hAnsi="Times New Roman"/>
          <w:sz w:val="24"/>
          <w:szCs w:val="24"/>
        </w:rPr>
        <w:t xml:space="preserve"> </w:t>
      </w:r>
      <w:r w:rsidRPr="00614CE9">
        <w:rPr>
          <w:rFonts w:ascii="Times New Roman" w:eastAsia="Times New Roman" w:hAnsi="Times New Roman"/>
          <w:i/>
          <w:iCs/>
          <w:sz w:val="24"/>
          <w:szCs w:val="24"/>
        </w:rPr>
        <w:t>Schaper v. Bronx Lebanon Hosp. Ctr.</w:t>
      </w:r>
      <w:r w:rsidRPr="00614CE9">
        <w:rPr>
          <w:rFonts w:ascii="Times New Roman" w:eastAsia="Times New Roman" w:hAnsi="Times New Roman"/>
          <w:sz w:val="24"/>
          <w:szCs w:val="24"/>
        </w:rPr>
        <w:t xml:space="preserve">, 408 F.Supp.3d 379, 397 (S.D.N.Y. 2019) (quoting </w:t>
      </w:r>
      <w:r w:rsidRPr="00614CE9">
        <w:rPr>
          <w:rFonts w:ascii="Times New Roman" w:eastAsia="Times New Roman" w:hAnsi="Times New Roman"/>
          <w:i/>
          <w:iCs/>
          <w:sz w:val="24"/>
          <w:szCs w:val="24"/>
        </w:rPr>
        <w:t>Schwapp v. Town of Avon</w:t>
      </w:r>
      <w:r w:rsidRPr="00614CE9">
        <w:rPr>
          <w:rFonts w:ascii="Times New Roman" w:eastAsia="Times New Roman" w:hAnsi="Times New Roman"/>
          <w:sz w:val="24"/>
          <w:szCs w:val="24"/>
        </w:rPr>
        <w:t xml:space="preserve">, 118 F.3d 106, 110 (2d Cir. 1997)). Because Milledge has not offered any evidence to show that these anonymous calls were made by or at the behest of his fellow firefighters, there is simply “no evidence that [Hartford] had any control over or permitted the anonymous caller[s] to make such calls.” </w:t>
      </w:r>
      <w:proofErr w:type="spellStart"/>
      <w:r w:rsidRPr="00614CE9">
        <w:rPr>
          <w:rFonts w:ascii="Times New Roman" w:eastAsia="Times New Roman" w:hAnsi="Times New Roman"/>
          <w:i/>
          <w:iCs/>
          <w:sz w:val="24"/>
          <w:szCs w:val="24"/>
        </w:rPr>
        <w:t>Katzev</w:t>
      </w:r>
      <w:proofErr w:type="spellEnd"/>
      <w:r w:rsidRPr="00614CE9">
        <w:rPr>
          <w:rFonts w:ascii="Times New Roman" w:eastAsia="Times New Roman" w:hAnsi="Times New Roman"/>
          <w:i/>
          <w:iCs/>
          <w:sz w:val="24"/>
          <w:szCs w:val="24"/>
        </w:rPr>
        <w:t xml:space="preserve"> v. Retail Brand All., Inc.</w:t>
      </w:r>
      <w:r w:rsidRPr="00614CE9">
        <w:rPr>
          <w:rFonts w:ascii="Times New Roman" w:eastAsia="Times New Roman" w:hAnsi="Times New Roman"/>
          <w:sz w:val="24"/>
          <w:szCs w:val="24"/>
        </w:rPr>
        <w:t xml:space="preserve">, 2010 WL 2836159, at *4 (S.D.N.Y. 2010); </w:t>
      </w:r>
      <w:r w:rsidRPr="00614CE9">
        <w:rPr>
          <w:rFonts w:ascii="Times New Roman" w:eastAsia="Times New Roman" w:hAnsi="Times New Roman"/>
          <w:i/>
          <w:iCs/>
          <w:sz w:val="24"/>
          <w:szCs w:val="24"/>
        </w:rPr>
        <w:t xml:space="preserve">see also Tyson v. </w:t>
      </w:r>
      <w:proofErr w:type="spellStart"/>
      <w:r w:rsidRPr="00614CE9">
        <w:rPr>
          <w:rFonts w:ascii="Times New Roman" w:eastAsia="Times New Roman" w:hAnsi="Times New Roman"/>
          <w:i/>
          <w:iCs/>
          <w:sz w:val="24"/>
          <w:szCs w:val="24"/>
        </w:rPr>
        <w:t>Dep't</w:t>
      </w:r>
      <w:proofErr w:type="spellEnd"/>
      <w:r w:rsidRPr="00614CE9">
        <w:rPr>
          <w:rFonts w:ascii="Times New Roman" w:eastAsia="Times New Roman" w:hAnsi="Times New Roman"/>
          <w:i/>
          <w:iCs/>
          <w:sz w:val="24"/>
          <w:szCs w:val="24"/>
        </w:rPr>
        <w:t xml:space="preserve"> of Energy &amp; Env't Prot.</w:t>
      </w:r>
      <w:r w:rsidRPr="00614CE9">
        <w:rPr>
          <w:rFonts w:ascii="Times New Roman" w:eastAsia="Times New Roman" w:hAnsi="Times New Roman"/>
          <w:sz w:val="24"/>
          <w:szCs w:val="24"/>
        </w:rPr>
        <w:t xml:space="preserve">, 2021 WL 4895898, at *1 (D. Conn. 2021) (dismissing hostile work environment claim involving allegations that someone put a hangman's noose by plaintiff's workspace where there was no allegation that the employer knew or was responsible). </w:t>
      </w:r>
      <w:r>
        <w:rPr>
          <w:rFonts w:ascii="Times New Roman" w:eastAsia="Times New Roman" w:hAnsi="Times New Roman"/>
          <w:sz w:val="24"/>
          <w:szCs w:val="24"/>
        </w:rPr>
        <w:t xml:space="preserve"> *** </w:t>
      </w:r>
      <w:r w:rsidRPr="00BF45A4">
        <w:rPr>
          <w:rFonts w:ascii="Times New Roman" w:hAnsi="Times New Roman"/>
          <w:sz w:val="24"/>
          <w:szCs w:val="24"/>
        </w:rPr>
        <w:t>Nor does Milledge claim to have reported other anonymous misconduct such as his 2019 locker break-in to his supervisors or human resources. Consequently, even assuming that Milledge was subject to a racially hostile work environment, there is no genuine fact issue to show that the City was aware of, yet negligent in failing to remedy, the misconduct of its employees.</w:t>
      </w:r>
      <w:r>
        <w:rPr>
          <w:rFonts w:ascii="Times New Roman" w:hAnsi="Times New Roman"/>
          <w:sz w:val="24"/>
          <w:szCs w:val="24"/>
        </w:rPr>
        <w:t xml:space="preserve">” </w:t>
      </w:r>
      <w:hyperlink r:id="rId1569" w:history="1">
        <w:r w:rsidRPr="00696C47">
          <w:rPr>
            <w:rStyle w:val="Hyperlink"/>
            <w:rFonts w:ascii="Times New Roman" w:hAnsi="Times New Roman"/>
          </w:rPr>
          <w:t>https://public.fastcase.com/J%2FJP6pdidelsXxEE4k%2BLMk9lGZyD2KG1SaKKnXCNSDrJ6FT2zCg0RErRpvbDUp%2FnT1MfNEdoSlzLl4b4xQ1JtBz9n9NoggrYwpv0z6IMwm8%3D</w:t>
        </w:r>
      </w:hyperlink>
      <w:r>
        <w:rPr>
          <w:rFonts w:ascii="Times New Roman" w:hAnsi="Times New Roman"/>
          <w:sz w:val="24"/>
          <w:szCs w:val="24"/>
        </w:rPr>
        <w:t xml:space="preserve"> </w:t>
      </w:r>
    </w:p>
    <w:p w14:paraId="617885C7" w14:textId="77777777" w:rsidR="00D5141D" w:rsidRPr="00AD7FAD" w:rsidRDefault="00D5141D" w:rsidP="00D5141D">
      <w:pPr>
        <w:pStyle w:val="NormalWeb"/>
        <w:rPr>
          <w:b/>
          <w:bCs/>
        </w:rPr>
      </w:pPr>
      <w:r w:rsidRPr="00AD7FAD">
        <w:rPr>
          <w:b/>
          <w:bCs/>
        </w:rPr>
        <w:t xml:space="preserve">Legal Lesson Learned: “Isolated incidents” </w:t>
      </w:r>
      <w:r>
        <w:rPr>
          <w:b/>
          <w:bCs/>
        </w:rPr>
        <w:t xml:space="preserve">generally will </w:t>
      </w:r>
      <w:r w:rsidRPr="00AD7FAD">
        <w:rPr>
          <w:b/>
          <w:bCs/>
        </w:rPr>
        <w:t xml:space="preserve">not establish hostile work atmosphere. </w:t>
      </w:r>
    </w:p>
    <w:p w14:paraId="266B700A" w14:textId="77777777" w:rsidR="00D5141D" w:rsidRDefault="00D5141D" w:rsidP="00BC70A3">
      <w:pPr>
        <w:rPr>
          <w:rFonts w:ascii="Arial Black" w:hAnsi="Arial Black"/>
          <w:b/>
          <w:sz w:val="24"/>
          <w:szCs w:val="24"/>
        </w:rPr>
      </w:pPr>
    </w:p>
    <w:p w14:paraId="0A9DD223" w14:textId="77777777" w:rsidR="00D5141D" w:rsidRDefault="00D5141D" w:rsidP="00BC70A3">
      <w:pPr>
        <w:rPr>
          <w:rFonts w:ascii="Arial Black" w:hAnsi="Arial Black"/>
          <w:b/>
          <w:sz w:val="24"/>
          <w:szCs w:val="24"/>
        </w:rPr>
      </w:pPr>
    </w:p>
    <w:p w14:paraId="41506294" w14:textId="2AFB6D53" w:rsidR="006C4BDE" w:rsidRDefault="00240D3F" w:rsidP="00BC70A3">
      <w:pPr>
        <w:rPr>
          <w:rFonts w:ascii="Arial Black" w:hAnsi="Arial Black"/>
          <w:b/>
          <w:sz w:val="24"/>
          <w:szCs w:val="24"/>
        </w:rPr>
      </w:pPr>
      <w:r>
        <w:rPr>
          <w:rFonts w:ascii="Arial Black" w:hAnsi="Arial Black"/>
          <w:b/>
          <w:sz w:val="24"/>
          <w:szCs w:val="24"/>
        </w:rPr>
        <w:t>8-41</w:t>
      </w:r>
    </w:p>
    <w:p w14:paraId="51D75F8B" w14:textId="77777777" w:rsidR="00240D3F" w:rsidRPr="00231752" w:rsidRDefault="00240D3F" w:rsidP="00240D3F">
      <w:pPr>
        <w:spacing w:before="100" w:beforeAutospacing="1" w:after="100" w:afterAutospacing="1" w:line="240" w:lineRule="auto"/>
        <w:rPr>
          <w:rFonts w:ascii="Arial Black" w:eastAsia="Times New Roman" w:hAnsi="Arial Black"/>
          <w:sz w:val="28"/>
          <w:szCs w:val="28"/>
        </w:rPr>
      </w:pPr>
      <w:r>
        <w:rPr>
          <w:rFonts w:ascii="Arial Black" w:eastAsia="Times New Roman" w:hAnsi="Arial Black"/>
          <w:sz w:val="28"/>
          <w:szCs w:val="28"/>
        </w:rPr>
        <w:t xml:space="preserve">MA: RESIDENCY ORDINANCE NOT ENFORCED – 2 BLACK OFFICERS LIVE CITY – CASE PROCEED, NOT CLASS ACTION </w:t>
      </w:r>
    </w:p>
    <w:p w14:paraId="4E793BD3" w14:textId="77777777" w:rsidR="00240D3F" w:rsidRDefault="00240D3F" w:rsidP="00240D3F">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On July 14, 2022, in </w:t>
      </w:r>
      <w:r w:rsidRPr="00231752">
        <w:rPr>
          <w:rFonts w:ascii="Times New Roman" w:hAnsi="Times New Roman"/>
          <w:sz w:val="24"/>
          <w:szCs w:val="24"/>
          <w:u w:val="single"/>
        </w:rPr>
        <w:t>Marc Savage and Randolph Blake v. The City of Springfield, et al.</w:t>
      </w:r>
      <w:r>
        <w:rPr>
          <w:rFonts w:ascii="Times New Roman" w:hAnsi="Times New Roman"/>
          <w:sz w:val="24"/>
          <w:szCs w:val="24"/>
        </w:rPr>
        <w:t>, U.S. Magistrate Judge Katherine A. Robertson denied plaintiffs’ motion for class action, but their individual lawsuit claims will now procced to pre-trial discovery</w:t>
      </w:r>
      <w:r w:rsidRPr="00805B29">
        <w:rPr>
          <w:rFonts w:ascii="Times New Roman" w:hAnsi="Times New Roman"/>
          <w:sz w:val="24"/>
          <w:szCs w:val="24"/>
        </w:rPr>
        <w:t xml:space="preserve">.  </w:t>
      </w:r>
      <w:r>
        <w:rPr>
          <w:rFonts w:ascii="Times New Roman" w:hAnsi="Times New Roman"/>
          <w:sz w:val="24"/>
          <w:szCs w:val="24"/>
        </w:rPr>
        <w:t xml:space="preserve">Marc Savage [now retired District Chief} had been on FD for 39 years, and lifelong resident of the city; Randolph Blake [now Captain] has been on FD for 30 years and a life-long resident of the city. The U.S. Magistrate Judge declined to certify class action. “[T]he </w:t>
      </w:r>
      <w:r w:rsidRPr="00C727F0">
        <w:rPr>
          <w:rFonts w:ascii="Times New Roman" w:hAnsi="Times New Roman"/>
          <w:sz w:val="24"/>
          <w:szCs w:val="24"/>
        </w:rPr>
        <w:t>court finds that Plaintiffs' calculation of fifty putative class members is insufficiently supported.</w:t>
      </w:r>
      <w:r>
        <w:rPr>
          <w:rFonts w:ascii="Times New Roman" w:hAnsi="Times New Roman"/>
          <w:sz w:val="24"/>
          <w:szCs w:val="24"/>
        </w:rPr>
        <w:t>”  U.S. Magistrate Judge also referenced the Massachusetts Superior Court decision in denying the class action: “G</w:t>
      </w:r>
      <w:r w:rsidRPr="00464C1C">
        <w:rPr>
          <w:rFonts w:ascii="Times New Roman" w:hAnsi="Times New Roman"/>
          <w:sz w:val="24"/>
          <w:szCs w:val="24"/>
        </w:rPr>
        <w:t>iving these rulings the preclusive effect to which they are entitled, this court cannot strike any Fire Department employee from the City's payroll and there is no basis for freezing promotion eligibility lists until the time that such a purge has taken place.</w:t>
      </w:r>
      <w:r>
        <w:rPr>
          <w:rFonts w:ascii="Times New Roman" w:hAnsi="Times New Roman"/>
          <w:sz w:val="24"/>
          <w:szCs w:val="24"/>
        </w:rPr>
        <w:t xml:space="preserve">” </w:t>
      </w:r>
      <w:hyperlink r:id="rId1570" w:history="1">
        <w:r w:rsidRPr="00CA2357">
          <w:rPr>
            <w:rStyle w:val="Hyperlink"/>
            <w:rFonts w:ascii="Times New Roman" w:hAnsi="Times New Roman"/>
            <w:sz w:val="24"/>
            <w:szCs w:val="24"/>
          </w:rPr>
          <w:t>https://public.fastcase.com/J%2FJP6pdidelsXxEE4k%2BLMkGcJRI5fEIWTRrrr5g307eiV2fonCWWxfQ8%2FgFOC0SXeLTzITpIpaPKGCBs2ZuJTAu1fIsNckzREaOIJEOyjuU%3D</w:t>
        </w:r>
      </w:hyperlink>
      <w:r>
        <w:rPr>
          <w:rFonts w:ascii="Times New Roman" w:hAnsi="Times New Roman"/>
          <w:sz w:val="24"/>
          <w:szCs w:val="24"/>
        </w:rPr>
        <w:t xml:space="preserve"> </w:t>
      </w:r>
    </w:p>
    <w:p w14:paraId="76B324A8" w14:textId="77777777" w:rsidR="00240D3F" w:rsidRDefault="00240D3F" w:rsidP="00240D3F">
      <w:pPr>
        <w:pStyle w:val="Heading1"/>
        <w:rPr>
          <w:sz w:val="24"/>
          <w:szCs w:val="24"/>
        </w:rPr>
      </w:pPr>
      <w:r w:rsidRPr="007B199E">
        <w:rPr>
          <w:sz w:val="24"/>
          <w:szCs w:val="24"/>
        </w:rPr>
        <w:t xml:space="preserve">Legal Lesson Learned: </w:t>
      </w:r>
      <w:r>
        <w:rPr>
          <w:sz w:val="24"/>
          <w:szCs w:val="24"/>
        </w:rPr>
        <w:t xml:space="preserve">Residency ordinances can be difficult to enforce, particularly when Collective Bargaining Agreements have different provisions. </w:t>
      </w:r>
    </w:p>
    <w:p w14:paraId="51924AC0" w14:textId="77777777" w:rsidR="00240D3F" w:rsidRDefault="00240D3F" w:rsidP="00240D3F">
      <w:pPr>
        <w:pStyle w:val="Heading1"/>
        <w:ind w:left="720"/>
        <w:rPr>
          <w:b w:val="0"/>
          <w:bCs w:val="0"/>
          <w:sz w:val="24"/>
          <w:szCs w:val="24"/>
        </w:rPr>
      </w:pPr>
      <w:r w:rsidRPr="00C84BEA">
        <w:rPr>
          <w:b w:val="0"/>
          <w:bCs w:val="0"/>
          <w:sz w:val="24"/>
          <w:szCs w:val="24"/>
        </w:rPr>
        <w:t xml:space="preserve">Note: </w:t>
      </w:r>
      <w:r>
        <w:rPr>
          <w:b w:val="0"/>
          <w:bCs w:val="0"/>
          <w:sz w:val="24"/>
          <w:szCs w:val="24"/>
        </w:rPr>
        <w:t xml:space="preserve"> </w:t>
      </w:r>
      <w:r w:rsidRPr="00C84BEA">
        <w:rPr>
          <w:b w:val="0"/>
          <w:bCs w:val="0"/>
          <w:sz w:val="24"/>
          <w:szCs w:val="24"/>
        </w:rPr>
        <w:t xml:space="preserve">For example, in 2018 the District Fire Chiefs union agreed that newly promoted District Chief must move into the city within one year of promotion. See also May 15, </w:t>
      </w:r>
      <w:proofErr w:type="gramStart"/>
      <w:r w:rsidRPr="00C84BEA">
        <w:rPr>
          <w:b w:val="0"/>
          <w:bCs w:val="0"/>
          <w:sz w:val="24"/>
          <w:szCs w:val="24"/>
        </w:rPr>
        <w:t>2018</w:t>
      </w:r>
      <w:proofErr w:type="gramEnd"/>
      <w:r w:rsidRPr="00C84BEA">
        <w:rPr>
          <w:b w:val="0"/>
          <w:bCs w:val="0"/>
          <w:sz w:val="24"/>
          <w:szCs w:val="24"/>
        </w:rPr>
        <w:t xml:space="preserve"> article, “Divided Springfield City Council approves long-contested district fire </w:t>
      </w:r>
      <w:proofErr w:type="gramStart"/>
      <w:r w:rsidRPr="00C84BEA">
        <w:rPr>
          <w:b w:val="0"/>
          <w:bCs w:val="0"/>
          <w:sz w:val="24"/>
          <w:szCs w:val="24"/>
        </w:rPr>
        <w:t>chiefs</w:t>
      </w:r>
      <w:proofErr w:type="gramEnd"/>
      <w:r w:rsidRPr="00C84BEA">
        <w:rPr>
          <w:b w:val="0"/>
          <w:bCs w:val="0"/>
          <w:sz w:val="24"/>
          <w:szCs w:val="24"/>
        </w:rPr>
        <w:t xml:space="preserve"> contract with residency clause.” </w:t>
      </w:r>
      <w:hyperlink r:id="rId1571" w:history="1">
        <w:r w:rsidRPr="00C84BEA">
          <w:rPr>
            <w:rStyle w:val="Hyperlink"/>
            <w:rFonts w:eastAsiaTheme="majorEastAsia"/>
            <w:b w:val="0"/>
            <w:bCs w:val="0"/>
            <w:sz w:val="24"/>
            <w:szCs w:val="24"/>
          </w:rPr>
          <w:t>https://www.masslive.com/news/2018/05/springfield_city_council_appro_79.html</w:t>
        </w:r>
      </w:hyperlink>
      <w:r w:rsidRPr="00C84BEA">
        <w:rPr>
          <w:rStyle w:val="Hyperlink"/>
          <w:rFonts w:eastAsiaTheme="majorEastAsia"/>
          <w:b w:val="0"/>
          <w:bCs w:val="0"/>
          <w:sz w:val="24"/>
          <w:szCs w:val="24"/>
        </w:rPr>
        <w:t xml:space="preserve">. </w:t>
      </w:r>
      <w:r w:rsidRPr="00C84BEA">
        <w:rPr>
          <w:b w:val="0"/>
          <w:bCs w:val="0"/>
          <w:sz w:val="24"/>
          <w:szCs w:val="24"/>
        </w:rPr>
        <w:t xml:space="preserve">See </w:t>
      </w:r>
    </w:p>
    <w:p w14:paraId="744A7C31" w14:textId="77777777" w:rsidR="00240D3F" w:rsidRPr="00C84BEA" w:rsidRDefault="00240D3F" w:rsidP="00240D3F">
      <w:pPr>
        <w:pStyle w:val="Heading1"/>
        <w:ind w:left="720"/>
        <w:rPr>
          <w:b w:val="0"/>
          <w:bCs w:val="0"/>
          <w:color w:val="0563C1" w:themeColor="hyperlink"/>
          <w:sz w:val="24"/>
          <w:szCs w:val="24"/>
          <w:u w:val="single"/>
        </w:rPr>
      </w:pPr>
      <w:r>
        <w:rPr>
          <w:b w:val="0"/>
          <w:bCs w:val="0"/>
          <w:sz w:val="24"/>
          <w:szCs w:val="24"/>
        </w:rPr>
        <w:t>Also see M</w:t>
      </w:r>
      <w:r w:rsidRPr="00C84BEA">
        <w:rPr>
          <w:b w:val="0"/>
          <w:bCs w:val="0"/>
          <w:sz w:val="24"/>
          <w:szCs w:val="24"/>
        </w:rPr>
        <w:t xml:space="preserve">ay 14, </w:t>
      </w:r>
      <w:proofErr w:type="gramStart"/>
      <w:r w:rsidRPr="00C84BEA">
        <w:rPr>
          <w:b w:val="0"/>
          <w:bCs w:val="0"/>
          <w:sz w:val="24"/>
          <w:szCs w:val="24"/>
        </w:rPr>
        <w:t>2018</w:t>
      </w:r>
      <w:proofErr w:type="gramEnd"/>
      <w:r w:rsidRPr="00C84BEA">
        <w:rPr>
          <w:b w:val="0"/>
          <w:bCs w:val="0"/>
          <w:sz w:val="24"/>
          <w:szCs w:val="24"/>
        </w:rPr>
        <w:t xml:space="preserve"> </w:t>
      </w:r>
      <w:r>
        <w:rPr>
          <w:b w:val="0"/>
          <w:bCs w:val="0"/>
          <w:sz w:val="24"/>
          <w:szCs w:val="24"/>
        </w:rPr>
        <w:t xml:space="preserve">Press Article from </w:t>
      </w:r>
      <w:r w:rsidRPr="00C84BEA">
        <w:rPr>
          <w:b w:val="0"/>
          <w:bCs w:val="0"/>
          <w:sz w:val="24"/>
          <w:szCs w:val="24"/>
        </w:rPr>
        <w:t xml:space="preserve">District Chief Vince Neffinger, President of the Springfield Fire Chiefs Association. “Time is now to approve contract for Springfield district fire chiefs (Guest viewpoint).”  </w:t>
      </w:r>
      <w:hyperlink r:id="rId1572" w:history="1">
        <w:r w:rsidRPr="00C84BEA">
          <w:rPr>
            <w:rStyle w:val="Hyperlink"/>
            <w:rFonts w:eastAsiaTheme="majorEastAsia"/>
            <w:b w:val="0"/>
            <w:bCs w:val="0"/>
            <w:sz w:val="24"/>
            <w:szCs w:val="24"/>
          </w:rPr>
          <w:t>https://www.masslive.com/opinion/2018/05/time_is_now_to_approve_contrac.html</w:t>
        </w:r>
      </w:hyperlink>
    </w:p>
    <w:p w14:paraId="688B58D6" w14:textId="77777777" w:rsidR="00240D3F" w:rsidRDefault="00240D3F" w:rsidP="00240D3F">
      <w:pPr>
        <w:spacing w:before="100" w:beforeAutospacing="1" w:after="100" w:afterAutospacing="1" w:line="240" w:lineRule="auto"/>
        <w:ind w:left="720"/>
        <w:rPr>
          <w:rStyle w:val="Hyperlink"/>
          <w:rFonts w:ascii="Times New Roman" w:hAnsi="Times New Roman"/>
          <w:sz w:val="24"/>
          <w:szCs w:val="24"/>
        </w:rPr>
      </w:pPr>
      <w:r>
        <w:rPr>
          <w:rFonts w:ascii="Times New Roman" w:hAnsi="Times New Roman"/>
          <w:sz w:val="24"/>
          <w:szCs w:val="24"/>
        </w:rPr>
        <w:t xml:space="preserve">Note:  </w:t>
      </w:r>
      <w:r w:rsidRPr="00491E8D">
        <w:rPr>
          <w:rFonts w:ascii="Times New Roman" w:hAnsi="Times New Roman"/>
          <w:sz w:val="24"/>
          <w:szCs w:val="24"/>
        </w:rPr>
        <w:t xml:space="preserve">In Ohio, </w:t>
      </w:r>
      <w:r>
        <w:rPr>
          <w:rFonts w:ascii="Times New Roman" w:hAnsi="Times New Roman"/>
          <w:sz w:val="24"/>
          <w:szCs w:val="24"/>
        </w:rPr>
        <w:t xml:space="preserve">the </w:t>
      </w:r>
      <w:r w:rsidRPr="00491E8D">
        <w:rPr>
          <w:rFonts w:ascii="Times New Roman" w:hAnsi="Times New Roman"/>
          <w:sz w:val="24"/>
          <w:szCs w:val="24"/>
        </w:rPr>
        <w:t xml:space="preserve">Ohio General Assembly in 2016 enacted a statute that set aside all city residency requirements. In 2019, it was upheld by Ohio Supreme Court. </w:t>
      </w:r>
      <w:r w:rsidRPr="00605F1D">
        <w:rPr>
          <w:rFonts w:ascii="Times New Roman" w:hAnsi="Times New Roman"/>
          <w:sz w:val="24"/>
          <w:szCs w:val="24"/>
          <w:u w:val="single"/>
        </w:rPr>
        <w:t>Lima v. State</w:t>
      </w:r>
      <w:r>
        <w:rPr>
          <w:rFonts w:ascii="Times New Roman" w:hAnsi="Times New Roman"/>
          <w:sz w:val="24"/>
          <w:szCs w:val="24"/>
        </w:rPr>
        <w:t xml:space="preserve">, </w:t>
      </w:r>
      <w:hyperlink r:id="rId1573" w:history="1">
        <w:r w:rsidRPr="00507312">
          <w:rPr>
            <w:rStyle w:val="Hyperlink"/>
            <w:rFonts w:ascii="Times New Roman" w:hAnsi="Times New Roman"/>
            <w:sz w:val="24"/>
            <w:szCs w:val="24"/>
          </w:rPr>
          <w:t>https://www.supremecourt.ohio.gov/rod/docs/pdf/0/2009/2009-ohio-2597.pdf</w:t>
        </w:r>
      </w:hyperlink>
      <w:r>
        <w:rPr>
          <w:rFonts w:ascii="Times New Roman" w:hAnsi="Times New Roman"/>
          <w:sz w:val="24"/>
          <w:szCs w:val="24"/>
        </w:rPr>
        <w:t xml:space="preserve">. Firefighters and police can be required to reside in the county or the adjoining county. Ohio Revised Code, </w:t>
      </w:r>
      <w:r w:rsidRPr="00491E8D">
        <w:rPr>
          <w:rFonts w:ascii="Times New Roman" w:hAnsi="Times New Roman"/>
          <w:sz w:val="24"/>
          <w:szCs w:val="24"/>
        </w:rPr>
        <w:t xml:space="preserve">Section 9.481 </w:t>
      </w:r>
      <w:r w:rsidRPr="00491E8D">
        <w:rPr>
          <w:rStyle w:val="codes-separator"/>
          <w:rFonts w:ascii="Times New Roman" w:hAnsi="Times New Roman"/>
          <w:sz w:val="24"/>
          <w:szCs w:val="24"/>
        </w:rPr>
        <w:t>|</w:t>
      </w:r>
      <w:r w:rsidRPr="00491E8D">
        <w:rPr>
          <w:rFonts w:ascii="Times New Roman" w:hAnsi="Times New Roman"/>
          <w:sz w:val="24"/>
          <w:szCs w:val="24"/>
        </w:rPr>
        <w:t xml:space="preserve"> Residency requirements prohibited for certain employees: </w:t>
      </w:r>
      <w:hyperlink r:id="rId1574" w:history="1">
        <w:r w:rsidRPr="00491E8D">
          <w:rPr>
            <w:rStyle w:val="Hyperlink"/>
            <w:rFonts w:ascii="Times New Roman" w:hAnsi="Times New Roman"/>
            <w:sz w:val="24"/>
            <w:szCs w:val="24"/>
          </w:rPr>
          <w:t>https://codes.ohio.gov/ohio-revised-code/section-9.481</w:t>
        </w:r>
      </w:hyperlink>
    </w:p>
    <w:p w14:paraId="583DB1B5" w14:textId="77777777" w:rsidR="00240D3F" w:rsidRDefault="00240D3F" w:rsidP="00BC70A3">
      <w:pPr>
        <w:rPr>
          <w:rFonts w:ascii="Arial Black" w:hAnsi="Arial Black"/>
          <w:b/>
          <w:sz w:val="24"/>
          <w:szCs w:val="24"/>
        </w:rPr>
      </w:pPr>
    </w:p>
    <w:p w14:paraId="5C689C35" w14:textId="074479C2" w:rsidR="006C4BDE" w:rsidRDefault="006C4BDE" w:rsidP="00BC70A3">
      <w:pPr>
        <w:rPr>
          <w:rFonts w:ascii="Arial Black" w:hAnsi="Arial Black"/>
          <w:b/>
          <w:sz w:val="24"/>
          <w:szCs w:val="24"/>
        </w:rPr>
      </w:pPr>
      <w:r>
        <w:rPr>
          <w:rFonts w:ascii="Arial Black" w:hAnsi="Arial Black"/>
          <w:b/>
          <w:sz w:val="24"/>
          <w:szCs w:val="24"/>
        </w:rPr>
        <w:t>8-40</w:t>
      </w:r>
    </w:p>
    <w:p w14:paraId="720190C9" w14:textId="77777777" w:rsidR="006C4BDE" w:rsidRDefault="006C4BDE" w:rsidP="006C4BDE">
      <w:pPr>
        <w:spacing w:before="100" w:beforeAutospacing="1" w:after="100" w:afterAutospacing="1" w:line="240" w:lineRule="auto"/>
        <w:rPr>
          <w:rFonts w:ascii="Arial Black" w:hAnsi="Arial Black"/>
          <w:sz w:val="28"/>
          <w:szCs w:val="28"/>
        </w:rPr>
      </w:pPr>
      <w:r w:rsidRPr="008532E8">
        <w:rPr>
          <w:rFonts w:ascii="Arial Black" w:hAnsi="Arial Black"/>
          <w:sz w:val="28"/>
          <w:szCs w:val="28"/>
        </w:rPr>
        <w:t>IL:</w:t>
      </w:r>
      <w:r>
        <w:rPr>
          <w:rFonts w:ascii="Arial Black" w:hAnsi="Arial Black"/>
          <w:sz w:val="28"/>
          <w:szCs w:val="28"/>
        </w:rPr>
        <w:t xml:space="preserve"> WHITE FF “REVERSE DISCRIMINATION” CASE DISMISSED – 3</w:t>
      </w:r>
      <w:r w:rsidRPr="00A16CE4">
        <w:rPr>
          <w:rFonts w:ascii="Arial Black" w:hAnsi="Arial Black"/>
          <w:sz w:val="28"/>
          <w:szCs w:val="28"/>
          <w:vertAlign w:val="superscript"/>
        </w:rPr>
        <w:t>rd</w:t>
      </w:r>
      <w:r>
        <w:rPr>
          <w:rFonts w:ascii="Arial Black" w:hAnsi="Arial Black"/>
          <w:sz w:val="28"/>
          <w:szCs w:val="28"/>
        </w:rPr>
        <w:t xml:space="preserve"> SHIFT CAPTAIN ROTATED 2 MORE DRIVERS TRUCK 19</w:t>
      </w:r>
    </w:p>
    <w:p w14:paraId="411C6688" w14:textId="77777777" w:rsidR="006C4BDE" w:rsidRDefault="006C4BDE" w:rsidP="006C4BDE">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On July 12, 2022, in </w:t>
      </w:r>
      <w:r w:rsidRPr="00BD5375">
        <w:rPr>
          <w:rFonts w:ascii="Times New Roman" w:hAnsi="Times New Roman"/>
          <w:sz w:val="24"/>
          <w:szCs w:val="24"/>
          <w:u w:val="single"/>
        </w:rPr>
        <w:t>David Stieglitz v. City of Chicago</w:t>
      </w:r>
      <w:r>
        <w:rPr>
          <w:rFonts w:ascii="Times New Roman" w:hAnsi="Times New Roman"/>
          <w:sz w:val="24"/>
          <w:szCs w:val="24"/>
        </w:rPr>
        <w:t xml:space="preserve">, the U.S. Court of Appeals for Seventh Circuit (located in Chicago) held (3 to 0) that trial court properly dismissed his lawsuit; his Captain (Black) wanted two additional drivers (Black) rotating on Truck 19 during his third shift. Plaintiff was the only white firefighter on his shift; firefighters paid </w:t>
      </w:r>
      <w:r w:rsidRPr="00420051">
        <w:rPr>
          <w:rFonts w:ascii="Times New Roman" w:hAnsi="Times New Roman"/>
          <w:sz w:val="24"/>
          <w:szCs w:val="24"/>
        </w:rPr>
        <w:t xml:space="preserve">$2.18 per hour </w:t>
      </w:r>
      <w:r>
        <w:rPr>
          <w:rFonts w:ascii="Times New Roman" w:hAnsi="Times New Roman"/>
          <w:sz w:val="24"/>
          <w:szCs w:val="24"/>
        </w:rPr>
        <w:t xml:space="preserve">bonus </w:t>
      </w:r>
      <w:r w:rsidRPr="00420051">
        <w:rPr>
          <w:rFonts w:ascii="Times New Roman" w:hAnsi="Times New Roman"/>
          <w:sz w:val="24"/>
          <w:szCs w:val="24"/>
        </w:rPr>
        <w:t>on shifts when they are assigned as drivers.</w:t>
      </w:r>
      <w:r>
        <w:rPr>
          <w:rFonts w:ascii="Times New Roman" w:hAnsi="Times New Roman"/>
          <w:sz w:val="24"/>
          <w:szCs w:val="24"/>
        </w:rPr>
        <w:t xml:space="preserve"> Plaintiff filed an </w:t>
      </w:r>
      <w:r>
        <w:rPr>
          <w:rFonts w:ascii="Times New Roman" w:hAnsi="Times New Roman"/>
          <w:sz w:val="24"/>
          <w:szCs w:val="24"/>
        </w:rPr>
        <w:lastRenderedPageBreak/>
        <w:t xml:space="preserve">internal complaint, and Internal Affairs determined that 35 Chicago firefighters, including plaintiff, lacked required training certification to drive this truck per new General Order, and FD ordered that he not drive without the certification. He was suspended for only seven shifts (he only lost $350 in driver bonuses) when FD later decided he was “grandfathered” and didn’t need the certification.  </w:t>
      </w:r>
      <w:hyperlink r:id="rId1575" w:history="1">
        <w:r w:rsidRPr="008E101B">
          <w:rPr>
            <w:rStyle w:val="Hyperlink"/>
            <w:rFonts w:ascii="Times New Roman" w:hAnsi="Times New Roman"/>
            <w:sz w:val="24"/>
            <w:szCs w:val="24"/>
          </w:rPr>
          <w:t>http://media.ca7.uscourts.gov/cgi-bin/rssExec.pl?Submit=Display&amp;Path=Y2022/D07-12/C:21-2784:J:PerCuriam:aut:T:npDp:N:2902357:S:0</w:t>
        </w:r>
      </w:hyperlink>
    </w:p>
    <w:p w14:paraId="489A0091" w14:textId="77777777" w:rsidR="006C4BDE" w:rsidRPr="0048357F" w:rsidRDefault="006C4BDE" w:rsidP="006C4BDE">
      <w:pPr>
        <w:spacing w:before="100" w:beforeAutospacing="1" w:after="100" w:afterAutospacing="1" w:line="240" w:lineRule="auto"/>
        <w:rPr>
          <w:rFonts w:ascii="Times New Roman" w:eastAsia="Times New Roman" w:hAnsi="Times New Roman"/>
          <w:b/>
          <w:bCs/>
          <w:sz w:val="24"/>
          <w:szCs w:val="24"/>
        </w:rPr>
      </w:pPr>
      <w:r w:rsidRPr="00D0339D">
        <w:rPr>
          <w:rFonts w:ascii="Times New Roman" w:hAnsi="Times New Roman"/>
          <w:b/>
          <w:bCs/>
          <w:sz w:val="24"/>
          <w:szCs w:val="24"/>
        </w:rPr>
        <w:t>Legal Lesson Learned:</w:t>
      </w:r>
      <w:r>
        <w:rPr>
          <w:rFonts w:ascii="Times New Roman" w:hAnsi="Times New Roman"/>
          <w:b/>
          <w:bCs/>
          <w:sz w:val="24"/>
          <w:szCs w:val="24"/>
        </w:rPr>
        <w:t xml:space="preserve"> To prove race discrimination, a white firefighter needs more than mere “inference” that Captain favored Black firefighters as drivers.   It is, frankly, hard to believe this lawsuit was ever filed, </w:t>
      </w:r>
    </w:p>
    <w:p w14:paraId="571495DD" w14:textId="77777777" w:rsidR="006C4BDE" w:rsidRDefault="006C4BDE" w:rsidP="006C4BDE">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Note: Listen to Oral Argument before 7</w:t>
      </w:r>
      <w:r w:rsidRPr="00036CDB">
        <w:rPr>
          <w:rFonts w:ascii="Times New Roman" w:hAnsi="Times New Roman"/>
          <w:sz w:val="24"/>
          <w:szCs w:val="24"/>
          <w:vertAlign w:val="superscript"/>
        </w:rPr>
        <w:t>th</w:t>
      </w:r>
      <w:r>
        <w:rPr>
          <w:rFonts w:ascii="Times New Roman" w:hAnsi="Times New Roman"/>
          <w:sz w:val="24"/>
          <w:szCs w:val="24"/>
        </w:rPr>
        <w:t xml:space="preserve"> Circuit – the judges were particularly questionable of plaintiff’s claim. </w:t>
      </w:r>
      <w:hyperlink r:id="rId1576" w:history="1">
        <w:r w:rsidRPr="00AB6D79">
          <w:rPr>
            <w:rStyle w:val="Hyperlink"/>
            <w:rFonts w:ascii="Times New Roman" w:hAnsi="Times New Roman"/>
            <w:sz w:val="24"/>
            <w:szCs w:val="24"/>
          </w:rPr>
          <w:t>http://media.ca7.uscourts.gov/sound/external/mm.21-2784.21-2784_07_07_2022.mp3</w:t>
        </w:r>
      </w:hyperlink>
      <w:r>
        <w:rPr>
          <w:rFonts w:ascii="Times New Roman" w:hAnsi="Times New Roman"/>
          <w:sz w:val="24"/>
          <w:szCs w:val="24"/>
        </w:rPr>
        <w:t xml:space="preserve"> </w:t>
      </w:r>
    </w:p>
    <w:p w14:paraId="384D6004" w14:textId="77777777" w:rsidR="006C4BDE" w:rsidRDefault="006C4BDE" w:rsidP="00BC70A3">
      <w:pPr>
        <w:rPr>
          <w:rFonts w:ascii="Arial Black" w:hAnsi="Arial Black"/>
          <w:b/>
          <w:sz w:val="24"/>
          <w:szCs w:val="24"/>
        </w:rPr>
      </w:pPr>
    </w:p>
    <w:p w14:paraId="69A055D1" w14:textId="43E2A055" w:rsidR="006C4BDE" w:rsidRDefault="006C4BDE" w:rsidP="00BC70A3">
      <w:pPr>
        <w:rPr>
          <w:rFonts w:ascii="Arial Black" w:hAnsi="Arial Black"/>
          <w:b/>
          <w:sz w:val="24"/>
          <w:szCs w:val="24"/>
        </w:rPr>
      </w:pPr>
      <w:r>
        <w:rPr>
          <w:rFonts w:ascii="Arial Black" w:hAnsi="Arial Black"/>
          <w:b/>
          <w:sz w:val="24"/>
          <w:szCs w:val="24"/>
        </w:rPr>
        <w:t>8-39</w:t>
      </w:r>
    </w:p>
    <w:p w14:paraId="3937E996" w14:textId="77777777" w:rsidR="006C4BDE" w:rsidRDefault="006C4BDE" w:rsidP="006C4BDE">
      <w:pPr>
        <w:spacing w:before="100" w:beforeAutospacing="1" w:after="100" w:afterAutospacing="1" w:line="240" w:lineRule="auto"/>
        <w:rPr>
          <w:rFonts w:ascii="Arial Black" w:hAnsi="Arial Black"/>
          <w:sz w:val="28"/>
          <w:szCs w:val="28"/>
        </w:rPr>
      </w:pPr>
      <w:r>
        <w:rPr>
          <w:rFonts w:ascii="Arial Black" w:hAnsi="Arial Black"/>
          <w:sz w:val="28"/>
          <w:szCs w:val="28"/>
        </w:rPr>
        <w:t>TX: PROBATIONARY FF FIRED – FAILED TESTING AT STATION 8 – NO PROOF WHITE TREATED MORE FAVORABLY</w:t>
      </w:r>
    </w:p>
    <w:p w14:paraId="3108F476" w14:textId="77777777" w:rsidR="006C4BDE" w:rsidRPr="005E294B" w:rsidRDefault="006C4BDE" w:rsidP="006C4BDE">
      <w:pPr>
        <w:spacing w:before="100" w:beforeAutospacing="1" w:after="100" w:afterAutospacing="1" w:line="240" w:lineRule="auto"/>
        <w:rPr>
          <w:rFonts w:ascii="Times New Roman" w:hAnsi="Times New Roman"/>
          <w:sz w:val="24"/>
          <w:szCs w:val="24"/>
        </w:rPr>
      </w:pPr>
      <w:r w:rsidRPr="00A448A7">
        <w:rPr>
          <w:rFonts w:ascii="Times New Roman" w:hAnsi="Times New Roman"/>
          <w:sz w:val="24"/>
          <w:szCs w:val="24"/>
        </w:rPr>
        <w:t xml:space="preserve">On July 12, 2022, in </w:t>
      </w:r>
      <w:r w:rsidRPr="00A448A7">
        <w:rPr>
          <w:rFonts w:ascii="Times New Roman" w:hAnsi="Times New Roman"/>
          <w:sz w:val="24"/>
          <w:szCs w:val="24"/>
          <w:u w:val="single"/>
        </w:rPr>
        <w:t>The City of Houston v. Madison T. Garner</w:t>
      </w:r>
      <w:r w:rsidRPr="00A448A7">
        <w:rPr>
          <w:rFonts w:ascii="Times New Roman" w:hAnsi="Times New Roman"/>
          <w:sz w:val="24"/>
          <w:szCs w:val="24"/>
        </w:rPr>
        <w:t>, the City took an immediate appeal, and the Court of Appeals</w:t>
      </w:r>
      <w:r>
        <w:rPr>
          <w:rFonts w:ascii="Times New Roman" w:hAnsi="Times New Roman"/>
          <w:sz w:val="24"/>
          <w:szCs w:val="24"/>
        </w:rPr>
        <w:t xml:space="preserve"> of Texas, Fourteenth District, held (3 to 0) t</w:t>
      </w:r>
      <w:r w:rsidRPr="00A448A7">
        <w:rPr>
          <w:rFonts w:ascii="Times New Roman" w:hAnsi="Times New Roman"/>
          <w:sz w:val="24"/>
          <w:szCs w:val="24"/>
        </w:rPr>
        <w:t>hat trial court should have granted defense motion for summary judgment.  Plaintiff</w:t>
      </w:r>
      <w:r>
        <w:rPr>
          <w:rFonts w:ascii="Times New Roman" w:hAnsi="Times New Roman"/>
          <w:sz w:val="24"/>
          <w:szCs w:val="24"/>
        </w:rPr>
        <w:t xml:space="preserve"> graduated from the Training Academy, and while at Station 8 he had another year as probationary firefighter and </w:t>
      </w:r>
      <w:r w:rsidRPr="00D55070">
        <w:rPr>
          <w:rFonts w:ascii="Times New Roman" w:hAnsi="Times New Roman"/>
          <w:sz w:val="24"/>
          <w:szCs w:val="24"/>
        </w:rPr>
        <w:t>failed the Turnout Performance Standard.</w:t>
      </w:r>
      <w:r>
        <w:rPr>
          <w:rFonts w:ascii="Times New Roman" w:hAnsi="Times New Roman"/>
          <w:sz w:val="24"/>
          <w:szCs w:val="24"/>
        </w:rPr>
        <w:t xml:space="preserve"> He </w:t>
      </w:r>
      <w:r w:rsidRPr="00A448A7">
        <w:rPr>
          <w:rFonts w:ascii="Times New Roman" w:hAnsi="Times New Roman"/>
          <w:sz w:val="24"/>
          <w:szCs w:val="24"/>
        </w:rPr>
        <w:t>claim</w:t>
      </w:r>
      <w:r>
        <w:rPr>
          <w:rFonts w:ascii="Times New Roman" w:hAnsi="Times New Roman"/>
          <w:sz w:val="24"/>
          <w:szCs w:val="24"/>
        </w:rPr>
        <w:t>ed</w:t>
      </w:r>
      <w:r w:rsidRPr="00A448A7">
        <w:rPr>
          <w:rFonts w:ascii="Times New Roman" w:hAnsi="Times New Roman"/>
          <w:sz w:val="24"/>
          <w:szCs w:val="24"/>
        </w:rPr>
        <w:t xml:space="preserve"> there were about five other probationary FF at Station </w:t>
      </w:r>
      <w:proofErr w:type="gramStart"/>
      <w:r w:rsidRPr="00A448A7">
        <w:rPr>
          <w:rFonts w:ascii="Times New Roman" w:hAnsi="Times New Roman"/>
          <w:sz w:val="24"/>
          <w:szCs w:val="24"/>
        </w:rPr>
        <w:t>8, but</w:t>
      </w:r>
      <w:proofErr w:type="gramEnd"/>
      <w:r w:rsidRPr="00A448A7">
        <w:rPr>
          <w:rFonts w:ascii="Times New Roman" w:hAnsi="Times New Roman"/>
          <w:sz w:val="24"/>
          <w:szCs w:val="24"/>
        </w:rPr>
        <w:t xml:space="preserve"> </w:t>
      </w:r>
      <w:r>
        <w:rPr>
          <w:rFonts w:ascii="Times New Roman" w:hAnsi="Times New Roman"/>
          <w:sz w:val="24"/>
          <w:szCs w:val="24"/>
        </w:rPr>
        <w:t>failed to provide any evidence that “</w:t>
      </w:r>
      <w:r w:rsidRPr="00A448A7">
        <w:rPr>
          <w:rFonts w:ascii="Times New Roman" w:hAnsi="Times New Roman"/>
          <w:sz w:val="24"/>
          <w:szCs w:val="24"/>
        </w:rPr>
        <w:t xml:space="preserve">those outside his protected class </w:t>
      </w:r>
      <w:r>
        <w:rPr>
          <w:rFonts w:ascii="Times New Roman" w:hAnsi="Times New Roman"/>
          <w:sz w:val="24"/>
          <w:szCs w:val="24"/>
        </w:rPr>
        <w:t xml:space="preserve">[white FF] </w:t>
      </w:r>
      <w:r w:rsidRPr="00A448A7">
        <w:rPr>
          <w:rFonts w:ascii="Times New Roman" w:hAnsi="Times New Roman"/>
          <w:sz w:val="24"/>
          <w:szCs w:val="24"/>
        </w:rPr>
        <w:t>were treated more favorably</w:t>
      </w:r>
      <w:r>
        <w:rPr>
          <w:rFonts w:ascii="Times New Roman" w:hAnsi="Times New Roman"/>
          <w:sz w:val="24"/>
          <w:szCs w:val="24"/>
        </w:rPr>
        <w:t xml:space="preserve">.” He also complained of various incidents at Training Academy and at Station 8 that create a hostile work atmosphere, but taking all into consideration, he has </w:t>
      </w:r>
      <w:r w:rsidRPr="005E294B">
        <w:rPr>
          <w:rFonts w:ascii="Times New Roman" w:hAnsi="Times New Roman"/>
          <w:sz w:val="24"/>
          <w:szCs w:val="24"/>
        </w:rPr>
        <w:t xml:space="preserve">not shown that the acts were </w:t>
      </w:r>
      <w:r>
        <w:rPr>
          <w:rFonts w:ascii="Times New Roman" w:hAnsi="Times New Roman"/>
          <w:sz w:val="24"/>
          <w:szCs w:val="24"/>
        </w:rPr>
        <w:t>“</w:t>
      </w:r>
      <w:r w:rsidRPr="005E294B">
        <w:rPr>
          <w:rFonts w:ascii="Times New Roman" w:hAnsi="Times New Roman"/>
          <w:sz w:val="24"/>
          <w:szCs w:val="24"/>
        </w:rPr>
        <w:t>sufficiently severe or pervasive to alter the conditions of [his] employment and create an abusive working environment.</w:t>
      </w:r>
      <w:r>
        <w:rPr>
          <w:rFonts w:ascii="Times New Roman" w:hAnsi="Times New Roman"/>
          <w:sz w:val="24"/>
          <w:szCs w:val="24"/>
        </w:rPr>
        <w:t>” For example, while at the Training Academy his training Captain had him move a pallet of bricks about 40 feet for punishment for not having shaved close enough; but “</w:t>
      </w:r>
      <w:r w:rsidRPr="00721939">
        <w:rPr>
          <w:rFonts w:ascii="Times New Roman" w:hAnsi="Times New Roman"/>
          <w:sz w:val="24"/>
          <w:szCs w:val="24"/>
        </w:rPr>
        <w:t>another individual who was not African American was also told to move bricks at the same time as Garner for not shaving as well.</w:t>
      </w:r>
      <w:r>
        <w:rPr>
          <w:rFonts w:ascii="Times New Roman" w:hAnsi="Times New Roman"/>
          <w:sz w:val="24"/>
          <w:szCs w:val="24"/>
        </w:rPr>
        <w:t xml:space="preserve">” </w:t>
      </w:r>
      <w:hyperlink r:id="rId1577" w:history="1">
        <w:r w:rsidRPr="0019682E">
          <w:rPr>
            <w:rStyle w:val="Hyperlink"/>
            <w:rFonts w:ascii="Times New Roman" w:hAnsi="Times New Roman"/>
            <w:sz w:val="24"/>
            <w:szCs w:val="24"/>
          </w:rPr>
          <w:t>https://law.justia.com/cases/texas/fourteenth-court-of-appeals/2022/14-20-00688-cv.html</w:t>
        </w:r>
      </w:hyperlink>
      <w:r>
        <w:rPr>
          <w:rFonts w:ascii="Times New Roman" w:hAnsi="Times New Roman"/>
          <w:sz w:val="24"/>
          <w:szCs w:val="24"/>
        </w:rPr>
        <w:t xml:space="preserve"> </w:t>
      </w:r>
    </w:p>
    <w:p w14:paraId="512DD48F" w14:textId="2B036F38" w:rsidR="006C4BDE" w:rsidRPr="00E815F4" w:rsidRDefault="00A40065" w:rsidP="006C4BDE">
      <w:pPr>
        <w:spacing w:before="100" w:beforeAutospacing="1" w:after="100" w:afterAutospacing="1" w:line="240" w:lineRule="auto"/>
        <w:rPr>
          <w:rFonts w:ascii="Times New Roman" w:eastAsia="Times New Roman" w:hAnsi="Times New Roman"/>
          <w:b/>
          <w:bCs/>
          <w:sz w:val="24"/>
          <w:szCs w:val="24"/>
        </w:rPr>
      </w:pPr>
      <w:r>
        <w:rPr>
          <w:rFonts w:ascii="Times New Roman" w:eastAsia="Times New Roman" w:hAnsi="Times New Roman"/>
          <w:b/>
          <w:bCs/>
          <w:sz w:val="24"/>
          <w:szCs w:val="24"/>
        </w:rPr>
        <w:t>L</w:t>
      </w:r>
      <w:r w:rsidR="006C4BDE" w:rsidRPr="00D55070">
        <w:rPr>
          <w:rFonts w:ascii="Times New Roman" w:eastAsia="Times New Roman" w:hAnsi="Times New Roman"/>
          <w:b/>
          <w:bCs/>
          <w:sz w:val="24"/>
          <w:szCs w:val="24"/>
        </w:rPr>
        <w:t xml:space="preserve">egal Lesson Learned: </w:t>
      </w:r>
      <w:r w:rsidR="006C4BDE">
        <w:rPr>
          <w:rFonts w:ascii="Times New Roman" w:eastAsia="Times New Roman" w:hAnsi="Times New Roman"/>
          <w:b/>
          <w:bCs/>
          <w:sz w:val="24"/>
          <w:szCs w:val="24"/>
        </w:rPr>
        <w:t xml:space="preserve">No proof that White probationary FF treated more fairly. </w:t>
      </w:r>
    </w:p>
    <w:p w14:paraId="0AFDD894" w14:textId="77777777" w:rsidR="006C4BDE" w:rsidRDefault="006C4BDE" w:rsidP="00BC70A3">
      <w:pPr>
        <w:rPr>
          <w:rFonts w:ascii="Arial Black" w:hAnsi="Arial Black"/>
          <w:b/>
          <w:sz w:val="24"/>
          <w:szCs w:val="24"/>
        </w:rPr>
      </w:pPr>
    </w:p>
    <w:p w14:paraId="475A2664" w14:textId="77777777" w:rsidR="006C4BDE" w:rsidRDefault="006C4BDE" w:rsidP="00BC70A3">
      <w:pPr>
        <w:rPr>
          <w:rFonts w:ascii="Arial Black" w:hAnsi="Arial Black"/>
          <w:b/>
          <w:sz w:val="24"/>
          <w:szCs w:val="24"/>
        </w:rPr>
      </w:pPr>
    </w:p>
    <w:p w14:paraId="6BE3D359" w14:textId="4709359A" w:rsidR="0002742E" w:rsidRDefault="0002742E" w:rsidP="00BC70A3">
      <w:pPr>
        <w:rPr>
          <w:rFonts w:ascii="Arial Black" w:hAnsi="Arial Black"/>
          <w:b/>
          <w:sz w:val="24"/>
          <w:szCs w:val="24"/>
        </w:rPr>
      </w:pPr>
      <w:r>
        <w:rPr>
          <w:rFonts w:ascii="Arial Black" w:hAnsi="Arial Black"/>
          <w:b/>
          <w:sz w:val="24"/>
          <w:szCs w:val="24"/>
        </w:rPr>
        <w:t>8-38</w:t>
      </w:r>
    </w:p>
    <w:p w14:paraId="5B45A74A" w14:textId="77777777" w:rsidR="0002742E" w:rsidRPr="00FE1E86" w:rsidRDefault="0002742E" w:rsidP="0002742E">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 xml:space="preserve">OH: AFRICAN AMERICAN NOT HIRED CINCINNATI FD – FELON - 2005 WHEN FF/EMT CONV.  DRUG TRAFFICKING  </w:t>
      </w:r>
    </w:p>
    <w:p w14:paraId="1A2FB859" w14:textId="77777777" w:rsidR="0002742E" w:rsidRPr="00D52001" w:rsidRDefault="0002742E" w:rsidP="0002742E">
      <w:pPr>
        <w:spacing w:before="100" w:beforeAutospacing="1" w:after="100" w:afterAutospacing="1" w:line="240" w:lineRule="auto"/>
        <w:rPr>
          <w:rFonts w:ascii="Times New Roman" w:hAnsi="Times New Roman"/>
          <w:sz w:val="24"/>
          <w:szCs w:val="24"/>
        </w:rPr>
      </w:pPr>
      <w:r>
        <w:rPr>
          <w:rFonts w:ascii="Times New Roman" w:eastAsia="Times New Roman" w:hAnsi="Times New Roman"/>
          <w:sz w:val="24"/>
          <w:szCs w:val="24"/>
        </w:rPr>
        <w:t xml:space="preserve">On May 7, 2022, in </w:t>
      </w:r>
      <w:r w:rsidRPr="00FE1E86">
        <w:rPr>
          <w:rFonts w:ascii="Times New Roman" w:eastAsia="Times New Roman" w:hAnsi="Times New Roman"/>
          <w:sz w:val="24"/>
          <w:szCs w:val="24"/>
          <w:u w:val="single"/>
        </w:rPr>
        <w:t>Layne Rice v. City of Cincinnati</w:t>
      </w:r>
      <w:r>
        <w:rPr>
          <w:rFonts w:ascii="Times New Roman" w:eastAsia="Times New Roman" w:hAnsi="Times New Roman"/>
          <w:sz w:val="24"/>
          <w:szCs w:val="24"/>
        </w:rPr>
        <w:t xml:space="preserve">, 538 F. Supp.3d 800, U.S. District Court Judge William O. Bertelsmann, U.S. District Court for Southern District of Ohio (Western Division) granted the City’s motion for summary judgment. </w:t>
      </w:r>
      <w:r w:rsidRPr="009E0FDF">
        <w:rPr>
          <w:rFonts w:ascii="Times New Roman" w:hAnsi="Times New Roman"/>
          <w:sz w:val="24"/>
          <w:szCs w:val="24"/>
        </w:rPr>
        <w:t xml:space="preserve">Rice only challenges the </w:t>
      </w:r>
      <w:r>
        <w:rPr>
          <w:rFonts w:ascii="Times New Roman" w:hAnsi="Times New Roman"/>
          <w:sz w:val="24"/>
          <w:szCs w:val="24"/>
        </w:rPr>
        <w:t>felony-no-hire-</w:t>
      </w:r>
      <w:r w:rsidRPr="009E0FDF">
        <w:rPr>
          <w:rFonts w:ascii="Times New Roman" w:hAnsi="Times New Roman"/>
          <w:sz w:val="24"/>
          <w:szCs w:val="24"/>
        </w:rPr>
        <w:t xml:space="preserve">policy for the 2015 and 2018 application periods because that is when he passed all portions of the exam to qualify as a candidate and had his felony conviction. In 1999, Rice was not hired, even before his felony conviction. Rice also concedes that he did not pass all </w:t>
      </w:r>
      <w:r w:rsidRPr="009E0FDF">
        <w:rPr>
          <w:rFonts w:ascii="Times New Roman" w:hAnsi="Times New Roman"/>
          <w:sz w:val="24"/>
          <w:szCs w:val="24"/>
        </w:rPr>
        <w:lastRenderedPageBreak/>
        <w:t>portions of the exam in 2012.</w:t>
      </w:r>
      <w:r>
        <w:rPr>
          <w:rFonts w:ascii="Times New Roman" w:hAnsi="Times New Roman"/>
          <w:sz w:val="24"/>
          <w:szCs w:val="24"/>
        </w:rPr>
        <w:t xml:space="preserve"> </w:t>
      </w:r>
      <w:r>
        <w:rPr>
          <w:rFonts w:ascii="Times New Roman" w:eastAsia="Times New Roman" w:hAnsi="Times New Roman"/>
          <w:sz w:val="24"/>
          <w:szCs w:val="24"/>
        </w:rPr>
        <w:t>The Court held that “</w:t>
      </w:r>
      <w:r w:rsidRPr="00FE1E86">
        <w:rPr>
          <w:rFonts w:ascii="Times New Roman" w:hAnsi="Times New Roman"/>
          <w:sz w:val="24"/>
          <w:szCs w:val="24"/>
        </w:rPr>
        <w:t>Rice cannot establish a prima facie case of disparate impact</w:t>
      </w:r>
      <w:r>
        <w:rPr>
          <w:rFonts w:ascii="Times New Roman" w:hAnsi="Times New Roman"/>
          <w:sz w:val="24"/>
          <w:szCs w:val="24"/>
        </w:rPr>
        <w:t xml:space="preserve">…. </w:t>
      </w:r>
      <w:r w:rsidRPr="00D52001">
        <w:rPr>
          <w:rFonts w:ascii="Times New Roman" w:hAnsi="Times New Roman"/>
          <w:sz w:val="24"/>
          <w:szCs w:val="24"/>
        </w:rPr>
        <w:t>In sum, Rice has not presented a statistical analysis regarding the racial impact of the City's felony disqualification policy. The Court thus concludes that Rice has failed to establish a prima facie case of disparate impact discrimination.</w:t>
      </w:r>
      <w:r>
        <w:rPr>
          <w:rFonts w:ascii="Times New Roman" w:hAnsi="Times New Roman"/>
          <w:sz w:val="24"/>
          <w:szCs w:val="24"/>
        </w:rPr>
        <w:t xml:space="preserve">” </w:t>
      </w:r>
      <w:hyperlink r:id="rId1578" w:history="1">
        <w:r w:rsidRPr="006C608A">
          <w:rPr>
            <w:rStyle w:val="Hyperlink"/>
            <w:rFonts w:ascii="Times New Roman" w:hAnsi="Times New Roman"/>
            <w:sz w:val="24"/>
            <w:szCs w:val="24"/>
          </w:rPr>
          <w:t>https://casetext.com/case/rice-v-city-of-cincinnati</w:t>
        </w:r>
      </w:hyperlink>
      <w:r>
        <w:rPr>
          <w:rFonts w:ascii="Times New Roman" w:hAnsi="Times New Roman"/>
          <w:sz w:val="24"/>
          <w:szCs w:val="24"/>
        </w:rPr>
        <w:t xml:space="preserve"> </w:t>
      </w:r>
    </w:p>
    <w:p w14:paraId="068614ED" w14:textId="77777777" w:rsidR="0002742E" w:rsidRPr="00432417" w:rsidRDefault="0002742E" w:rsidP="0002742E">
      <w:pPr>
        <w:spacing w:before="100" w:beforeAutospacing="1" w:after="100" w:afterAutospacing="1" w:line="240" w:lineRule="auto"/>
        <w:rPr>
          <w:rFonts w:ascii="Times New Roman" w:hAnsi="Times New Roman"/>
          <w:b/>
          <w:bCs/>
          <w:sz w:val="24"/>
          <w:szCs w:val="24"/>
        </w:rPr>
      </w:pPr>
      <w:r w:rsidRPr="00432417">
        <w:rPr>
          <w:rFonts w:ascii="Times New Roman" w:hAnsi="Times New Roman"/>
          <w:b/>
          <w:bCs/>
          <w:sz w:val="24"/>
          <w:szCs w:val="24"/>
        </w:rPr>
        <w:t xml:space="preserve">Legal Lesson Learned: Plaintiff failed to hire an expert to prove disparate impact. </w:t>
      </w:r>
    </w:p>
    <w:p w14:paraId="60DD792D" w14:textId="77777777" w:rsidR="0002742E" w:rsidRPr="009E0FDF" w:rsidRDefault="0002742E" w:rsidP="0002742E">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 xml:space="preserve">Note: </w:t>
      </w:r>
      <w:r w:rsidRPr="009E0FDF">
        <w:rPr>
          <w:rFonts w:ascii="Times New Roman" w:hAnsi="Times New Roman"/>
          <w:sz w:val="24"/>
          <w:szCs w:val="24"/>
        </w:rPr>
        <w:t>ORC § 737.081 was promulgated in 2003. ORC § 737.081(C)(1)(a) provides that a person with a felony is not permitted to be appointed as a permanent, full-time freighter or volunteer firefighter</w:t>
      </w:r>
      <w:r>
        <w:rPr>
          <w:rFonts w:ascii="Times New Roman" w:hAnsi="Times New Roman"/>
          <w:sz w:val="24"/>
          <w:szCs w:val="24"/>
        </w:rPr>
        <w:t xml:space="preserve">…. </w:t>
      </w:r>
      <w:r w:rsidRPr="009E0FDF">
        <w:rPr>
          <w:rFonts w:ascii="Times New Roman" w:hAnsi="Times New Roman"/>
          <w:sz w:val="24"/>
          <w:szCs w:val="24"/>
        </w:rPr>
        <w:t xml:space="preserve">However, ORC § 737.081(C)(2) provides that </w:t>
      </w:r>
      <w:r>
        <w:rPr>
          <w:rFonts w:ascii="Times New Roman" w:hAnsi="Times New Roman"/>
          <w:sz w:val="24"/>
          <w:szCs w:val="24"/>
        </w:rPr>
        <w:t>‘</w:t>
      </w:r>
      <w:r w:rsidRPr="009E0FDF">
        <w:rPr>
          <w:rFonts w:ascii="Times New Roman" w:hAnsi="Times New Roman"/>
          <w:sz w:val="24"/>
          <w:szCs w:val="24"/>
        </w:rPr>
        <w:t>an appointing authority may appoint or employ a person as a permanent, full-time paid firefighter or a volunteer firefighter if</w:t>
      </w:r>
      <w:r>
        <w:rPr>
          <w:rFonts w:ascii="Times New Roman" w:hAnsi="Times New Roman"/>
          <w:sz w:val="24"/>
          <w:szCs w:val="24"/>
        </w:rPr>
        <w:t>’</w:t>
      </w:r>
      <w:r w:rsidRPr="009E0FDF">
        <w:rPr>
          <w:rFonts w:ascii="Times New Roman" w:hAnsi="Times New Roman"/>
          <w:sz w:val="24"/>
          <w:szCs w:val="24"/>
        </w:rPr>
        <w:t xml:space="preserve"> (1) the fire chief requests a criminal record check; (2) the records show the candidate is guilty of an offense in (C)(1); and (3) the person meets the rehabilitation standards in ORC § 737.081(E).</w:t>
      </w:r>
    </w:p>
    <w:p w14:paraId="32B0DBFF" w14:textId="77777777" w:rsidR="0002742E" w:rsidRDefault="0002742E" w:rsidP="00BC70A3">
      <w:pPr>
        <w:rPr>
          <w:rFonts w:ascii="Arial Black" w:hAnsi="Arial Black"/>
          <w:b/>
          <w:sz w:val="24"/>
          <w:szCs w:val="24"/>
        </w:rPr>
      </w:pPr>
    </w:p>
    <w:p w14:paraId="0CD6547F" w14:textId="1E30015C" w:rsidR="00E3473F" w:rsidRDefault="00E3473F" w:rsidP="00BC70A3">
      <w:pPr>
        <w:rPr>
          <w:rFonts w:ascii="Arial Black" w:hAnsi="Arial Black"/>
          <w:b/>
          <w:sz w:val="24"/>
          <w:szCs w:val="24"/>
        </w:rPr>
      </w:pPr>
      <w:r>
        <w:rPr>
          <w:rFonts w:ascii="Arial Black" w:hAnsi="Arial Black"/>
          <w:b/>
          <w:sz w:val="24"/>
          <w:szCs w:val="24"/>
        </w:rPr>
        <w:t>8-37</w:t>
      </w:r>
    </w:p>
    <w:p w14:paraId="6C4317B7" w14:textId="77777777" w:rsidR="00E3473F" w:rsidRPr="00A07E45" w:rsidRDefault="00E3473F" w:rsidP="00E3473F">
      <w:pPr>
        <w:spacing w:before="100" w:beforeAutospacing="1" w:after="100" w:afterAutospacing="1" w:line="240" w:lineRule="auto"/>
        <w:rPr>
          <w:rFonts w:ascii="Arial Black" w:hAnsi="Arial Black"/>
          <w:sz w:val="28"/>
          <w:szCs w:val="28"/>
        </w:rPr>
      </w:pPr>
      <w:r>
        <w:rPr>
          <w:rFonts w:ascii="Arial Black" w:hAnsi="Arial Black"/>
          <w:sz w:val="28"/>
          <w:szCs w:val="28"/>
        </w:rPr>
        <w:t xml:space="preserve">CA: AFRICAN AMERICAN FF FIRED - MEDICAL INFO IN HIS PERSONNEL FILE ON PUBLIC LINK - LAWSUIT PROCEED </w:t>
      </w:r>
    </w:p>
    <w:p w14:paraId="64F1B313" w14:textId="77777777" w:rsidR="00E3473F" w:rsidRDefault="00E3473F" w:rsidP="00E3473F">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On March 17, 2022, in </w:t>
      </w:r>
      <w:r w:rsidRPr="00A07E45">
        <w:rPr>
          <w:rFonts w:ascii="Times New Roman" w:eastAsia="Times New Roman" w:hAnsi="Times New Roman"/>
          <w:sz w:val="24"/>
          <w:szCs w:val="24"/>
          <w:u w:val="single"/>
        </w:rPr>
        <w:t>Vernon Franklin v. City of Kingsburg, et al</w:t>
      </w:r>
      <w:r>
        <w:rPr>
          <w:rFonts w:ascii="Times New Roman" w:eastAsia="Times New Roman" w:hAnsi="Times New Roman"/>
          <w:sz w:val="24"/>
          <w:szCs w:val="24"/>
        </w:rPr>
        <w:t xml:space="preserve">., U.S. District Court Judge Anthony W. Ishii, U.S. District Court for Eastern District of California, in a lawsuit a firefighter / medic alleging his was fired because of his race (African American), denied in part defense motion for summary judgment, holding that his claim of “invasion of privacy” will not be dismissed, since disclosure of the firefighter’s psychiatric and other medical records in his personnel file alleges a viable cause of action under CA law.  His claim of “retaliation” will also not be dismissed. </w:t>
      </w:r>
      <w:hyperlink r:id="rId1579" w:history="1">
        <w:r w:rsidRPr="008956D3">
          <w:rPr>
            <w:rStyle w:val="Hyperlink"/>
            <w:rFonts w:ascii="Times New Roman" w:eastAsia="Times New Roman" w:hAnsi="Times New Roman"/>
            <w:sz w:val="24"/>
            <w:szCs w:val="24"/>
          </w:rPr>
          <w:t>https://law.justia.com/cases/federal/district-courts/california/caedce/1:2018cv00824/337796/49/</w:t>
        </w:r>
      </w:hyperlink>
      <w:r>
        <w:rPr>
          <w:rFonts w:ascii="Times New Roman" w:eastAsia="Times New Roman" w:hAnsi="Times New Roman"/>
          <w:sz w:val="24"/>
          <w:szCs w:val="24"/>
        </w:rPr>
        <w:t xml:space="preserve"> </w:t>
      </w:r>
      <w:r w:rsidRPr="00A07E45">
        <w:rPr>
          <w:rFonts w:ascii="Times New Roman" w:eastAsia="Times New Roman" w:hAnsi="Times New Roman"/>
          <w:sz w:val="24"/>
          <w:szCs w:val="24"/>
        </w:rPr>
        <w:t>       </w:t>
      </w:r>
    </w:p>
    <w:p w14:paraId="276FD9D0" w14:textId="77777777" w:rsidR="00E3473F" w:rsidRPr="00A07E45" w:rsidRDefault="00E3473F" w:rsidP="00E3473F">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w:t>
      </w:r>
      <w:r w:rsidRPr="00A07E45">
        <w:rPr>
          <w:rFonts w:ascii="Times New Roman" w:eastAsia="Times New Roman" w:hAnsi="Times New Roman"/>
          <w:sz w:val="24"/>
          <w:szCs w:val="24"/>
        </w:rPr>
        <w:t xml:space="preserve">Additionally, Franklin argues that release of his medical information is a violation of the California Confidentiality of Medical Information Act. Doc. 45, 18:14-21. That law states in relevant part: </w:t>
      </w:r>
    </w:p>
    <w:p w14:paraId="0903C859" w14:textId="77777777" w:rsidR="00E3473F" w:rsidRPr="00A07E45" w:rsidRDefault="00E3473F" w:rsidP="00E3473F">
      <w:pPr>
        <w:spacing w:after="100" w:line="240" w:lineRule="auto"/>
        <w:ind w:left="1440"/>
        <w:rPr>
          <w:rFonts w:ascii="Times New Roman" w:eastAsia="Times New Roman" w:hAnsi="Times New Roman"/>
          <w:sz w:val="24"/>
          <w:szCs w:val="24"/>
        </w:rPr>
      </w:pPr>
      <w:r w:rsidRPr="00A07E45">
        <w:rPr>
          <w:rFonts w:ascii="Times New Roman" w:eastAsia="Times New Roman" w:hAnsi="Times New Roman"/>
          <w:sz w:val="24"/>
          <w:szCs w:val="24"/>
        </w:rPr>
        <w:t xml:space="preserve">No employer shall use, disclose, or knowingly permit its employees or agents to use or disclose medical information which the employer possesses pertaining to its employees without the patient </w:t>
      </w:r>
      <w:proofErr w:type="gramStart"/>
      <w:r w:rsidRPr="00A07E45">
        <w:rPr>
          <w:rFonts w:ascii="Times New Roman" w:eastAsia="Times New Roman" w:hAnsi="Times New Roman"/>
          <w:sz w:val="24"/>
          <w:szCs w:val="24"/>
        </w:rPr>
        <w:t>having first</w:t>
      </w:r>
      <w:proofErr w:type="gramEnd"/>
      <w:r w:rsidRPr="00A07E45">
        <w:rPr>
          <w:rFonts w:ascii="Times New Roman" w:eastAsia="Times New Roman" w:hAnsi="Times New Roman"/>
          <w:sz w:val="24"/>
          <w:szCs w:val="24"/>
        </w:rPr>
        <w:t xml:space="preserve"> signed an authorization under Section 56.11 or Section 56.21 permitting such use or disclosure, except as follows: </w:t>
      </w:r>
    </w:p>
    <w:p w14:paraId="7129B241" w14:textId="77777777" w:rsidR="00E3473F" w:rsidRPr="00A07E45" w:rsidRDefault="00E3473F" w:rsidP="00E3473F">
      <w:pPr>
        <w:spacing w:after="100" w:line="240" w:lineRule="auto"/>
        <w:ind w:left="1440"/>
        <w:rPr>
          <w:rFonts w:ascii="Times New Roman" w:eastAsia="Times New Roman" w:hAnsi="Times New Roman"/>
          <w:sz w:val="24"/>
          <w:szCs w:val="24"/>
        </w:rPr>
      </w:pPr>
      <w:r w:rsidRPr="00A07E45">
        <w:rPr>
          <w:rFonts w:ascii="Times New Roman" w:eastAsia="Times New Roman" w:hAnsi="Times New Roman"/>
          <w:sz w:val="24"/>
          <w:szCs w:val="24"/>
        </w:rPr>
        <w:t xml:space="preserve">(1) The information may be disclosed if the disclosure is compelled by judicial or administrative process or by any other specific provision of law. </w:t>
      </w:r>
    </w:p>
    <w:p w14:paraId="67A86318" w14:textId="77777777" w:rsidR="00E3473F" w:rsidRPr="00A07E45" w:rsidRDefault="00E3473F" w:rsidP="00E3473F">
      <w:pPr>
        <w:spacing w:after="100" w:line="240" w:lineRule="auto"/>
        <w:ind w:left="1440"/>
        <w:rPr>
          <w:rFonts w:ascii="Times New Roman" w:eastAsia="Times New Roman" w:hAnsi="Times New Roman"/>
          <w:sz w:val="24"/>
          <w:szCs w:val="24"/>
        </w:rPr>
      </w:pPr>
      <w:r w:rsidRPr="00A07E45">
        <w:rPr>
          <w:rFonts w:ascii="Times New Roman" w:eastAsia="Times New Roman" w:hAnsi="Times New Roman"/>
          <w:sz w:val="24"/>
          <w:szCs w:val="24"/>
        </w:rPr>
        <w:t xml:space="preserve">(2) That part of the information which is relevant in a lawsuit, arbitration, grievance, or other claim or challenge to which the employer and employee are parties and in which the patient has placed in issue his or her medical history, mental or physical condition, or treatment may be used or disclosed in connection with that proceeding. </w:t>
      </w:r>
    </w:p>
    <w:p w14:paraId="41EE76BF" w14:textId="77777777" w:rsidR="00E3473F" w:rsidRDefault="00E3473F" w:rsidP="00E3473F">
      <w:pPr>
        <w:spacing w:before="100" w:beforeAutospacing="1" w:after="100" w:afterAutospacing="1" w:line="240" w:lineRule="auto"/>
        <w:ind w:left="720"/>
        <w:rPr>
          <w:rFonts w:ascii="Times New Roman" w:eastAsia="Times New Roman" w:hAnsi="Times New Roman"/>
          <w:sz w:val="24"/>
          <w:szCs w:val="24"/>
        </w:rPr>
      </w:pPr>
      <w:r w:rsidRPr="00A07E45">
        <w:rPr>
          <w:rFonts w:ascii="Times New Roman" w:eastAsia="Times New Roman" w:hAnsi="Times New Roman"/>
          <w:sz w:val="24"/>
          <w:szCs w:val="24"/>
        </w:rPr>
        <w:t xml:space="preserve">Cal. Civ. Code § 56.20(c). Monetary damages are available for violations of Section 56.20. Cal. Civ. Code § 56.35. This law also appears to apply to public entities. See </w:t>
      </w:r>
      <w:r w:rsidRPr="00A07E45">
        <w:rPr>
          <w:rFonts w:ascii="Times New Roman" w:eastAsia="Times New Roman" w:hAnsi="Times New Roman"/>
          <w:i/>
          <w:iCs/>
          <w:sz w:val="24"/>
          <w:szCs w:val="24"/>
        </w:rPr>
        <w:t>Loder v. City of Glendale</w:t>
      </w:r>
      <w:r w:rsidRPr="00A07E45">
        <w:rPr>
          <w:rFonts w:ascii="Times New Roman" w:eastAsia="Times New Roman" w:hAnsi="Times New Roman"/>
          <w:sz w:val="24"/>
          <w:szCs w:val="24"/>
        </w:rPr>
        <w:t>, 14 Cal.4th 846, 859-62 (Cal. 1997) (analyzed the claim without directly addressing whether suit could be brought against public entity City of Glendale).</w:t>
      </w:r>
      <w:r>
        <w:rPr>
          <w:rFonts w:ascii="Times New Roman" w:eastAsia="Times New Roman" w:hAnsi="Times New Roman"/>
          <w:sz w:val="24"/>
          <w:szCs w:val="24"/>
        </w:rPr>
        <w:t xml:space="preserve">” </w:t>
      </w:r>
      <w:hyperlink r:id="rId1580" w:history="1">
        <w:r w:rsidRPr="008956D3">
          <w:rPr>
            <w:rStyle w:val="Hyperlink"/>
            <w:rFonts w:ascii="Times New Roman" w:eastAsia="Times New Roman" w:hAnsi="Times New Roman"/>
            <w:sz w:val="24"/>
            <w:szCs w:val="24"/>
          </w:rPr>
          <w:t>https://law.justia.com/cases/federal/district-courts/california/caedce/1:2018cv00824/337796/49/</w:t>
        </w:r>
      </w:hyperlink>
      <w:r>
        <w:rPr>
          <w:rFonts w:ascii="Times New Roman" w:eastAsia="Times New Roman" w:hAnsi="Times New Roman"/>
          <w:sz w:val="24"/>
          <w:szCs w:val="24"/>
        </w:rPr>
        <w:t xml:space="preserve"> </w:t>
      </w:r>
      <w:r w:rsidRPr="00A07E45">
        <w:rPr>
          <w:rFonts w:ascii="Times New Roman" w:eastAsia="Times New Roman" w:hAnsi="Times New Roman"/>
          <w:sz w:val="24"/>
          <w:szCs w:val="24"/>
        </w:rPr>
        <w:t>       </w:t>
      </w:r>
    </w:p>
    <w:p w14:paraId="2C6925B2" w14:textId="77777777" w:rsidR="00E3473F" w:rsidRPr="000D5242" w:rsidRDefault="00E3473F" w:rsidP="00E3473F">
      <w:pPr>
        <w:spacing w:before="100" w:beforeAutospacing="1" w:after="100" w:afterAutospacing="1" w:line="240" w:lineRule="auto"/>
        <w:rPr>
          <w:rFonts w:ascii="Times New Roman" w:eastAsia="Times New Roman" w:hAnsi="Times New Roman"/>
          <w:b/>
          <w:bCs/>
          <w:sz w:val="24"/>
          <w:szCs w:val="24"/>
        </w:rPr>
      </w:pPr>
      <w:r w:rsidRPr="000D5242">
        <w:rPr>
          <w:rFonts w:ascii="Times New Roman" w:eastAsia="Times New Roman" w:hAnsi="Times New Roman"/>
          <w:b/>
          <w:bCs/>
          <w:sz w:val="24"/>
          <w:szCs w:val="24"/>
        </w:rPr>
        <w:lastRenderedPageBreak/>
        <w:t xml:space="preserve">Legal Lesson Learned: </w:t>
      </w:r>
      <w:r>
        <w:rPr>
          <w:rFonts w:ascii="Times New Roman" w:eastAsia="Times New Roman" w:hAnsi="Times New Roman"/>
          <w:b/>
          <w:bCs/>
          <w:sz w:val="24"/>
          <w:szCs w:val="24"/>
        </w:rPr>
        <w:t xml:space="preserve"> While in many states a firefighter’s personnel records are “public records,” personnel files should not include confidential medical documents. </w:t>
      </w:r>
    </w:p>
    <w:p w14:paraId="14E33A5F" w14:textId="77777777" w:rsidR="00E3473F" w:rsidRDefault="00E3473F" w:rsidP="00BC70A3">
      <w:pPr>
        <w:rPr>
          <w:rFonts w:ascii="Arial Black" w:hAnsi="Arial Black"/>
          <w:b/>
          <w:sz w:val="24"/>
          <w:szCs w:val="24"/>
        </w:rPr>
      </w:pPr>
    </w:p>
    <w:p w14:paraId="28A7D0FA" w14:textId="77777777" w:rsidR="00E3473F" w:rsidRDefault="00E3473F" w:rsidP="00BC70A3">
      <w:pPr>
        <w:rPr>
          <w:rFonts w:ascii="Arial Black" w:hAnsi="Arial Black"/>
          <w:b/>
          <w:sz w:val="24"/>
          <w:szCs w:val="24"/>
        </w:rPr>
      </w:pPr>
    </w:p>
    <w:p w14:paraId="04D168CE" w14:textId="157445D6" w:rsidR="005644A4" w:rsidRDefault="005644A4" w:rsidP="00BC70A3">
      <w:pPr>
        <w:rPr>
          <w:rFonts w:ascii="Arial Black" w:hAnsi="Arial Black"/>
          <w:b/>
          <w:sz w:val="24"/>
          <w:szCs w:val="24"/>
        </w:rPr>
      </w:pPr>
      <w:r>
        <w:rPr>
          <w:rFonts w:ascii="Arial Black" w:hAnsi="Arial Black"/>
          <w:b/>
          <w:sz w:val="24"/>
          <w:szCs w:val="24"/>
        </w:rPr>
        <w:t>8-3</w:t>
      </w:r>
      <w:r w:rsidR="009A3D9F">
        <w:rPr>
          <w:rFonts w:ascii="Arial Black" w:hAnsi="Arial Black"/>
          <w:b/>
          <w:sz w:val="24"/>
          <w:szCs w:val="24"/>
        </w:rPr>
        <w:t>6</w:t>
      </w:r>
    </w:p>
    <w:p w14:paraId="3303CF62" w14:textId="77777777" w:rsidR="005644A4" w:rsidRDefault="005644A4" w:rsidP="005644A4">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KY: REVERSE DISCRIM. NOT PROVED - WHITE POLICE MAJOR DEMOTED LT. – USED “N” WORD IN RECRUIT CLASS</w:t>
      </w:r>
    </w:p>
    <w:p w14:paraId="3437A6B6" w14:textId="77777777" w:rsidR="005644A4" w:rsidRPr="0037054D" w:rsidRDefault="005644A4" w:rsidP="005644A4">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On Dec. 29, 2021, in </w:t>
      </w:r>
      <w:r w:rsidRPr="0037054D">
        <w:rPr>
          <w:rFonts w:ascii="Times New Roman" w:eastAsia="Times New Roman" w:hAnsi="Times New Roman"/>
          <w:sz w:val="24"/>
          <w:szCs w:val="24"/>
          <w:u w:val="single"/>
        </w:rPr>
        <w:t>Aubrey E. Gregory, Jr. v. Louisville / Jefferson County Metro Government</w:t>
      </w:r>
      <w:r>
        <w:rPr>
          <w:rFonts w:ascii="Times New Roman" w:eastAsia="Times New Roman" w:hAnsi="Times New Roman"/>
          <w:sz w:val="24"/>
          <w:szCs w:val="24"/>
        </w:rPr>
        <w:t xml:space="preserve">, U.S. District Court Judge Claria Horn Boom granted the City’s motion to dismiss; Major Gregory (Caucasia) was Director of the Training Academy for the Louisville Metro Police Department, and during a classroom discussion on cultural diversity with Recruit Class 48 on May 20, 2021, he and African-American retired firefighter, and black man from Africa, discussed use of the “N” word.  The next day, Police </w:t>
      </w:r>
      <w:r w:rsidRPr="00B52A46">
        <w:rPr>
          <w:rFonts w:ascii="Times New Roman" w:eastAsia="Times New Roman" w:hAnsi="Times New Roman"/>
          <w:sz w:val="24"/>
          <w:szCs w:val="24"/>
        </w:rPr>
        <w:t>Chief</w:t>
      </w:r>
      <w:r w:rsidRPr="00B52A46">
        <w:rPr>
          <w:rFonts w:ascii="Times New Roman" w:hAnsi="Times New Roman"/>
          <w:sz w:val="24"/>
          <w:szCs w:val="24"/>
        </w:rPr>
        <w:t xml:space="preserve"> Erika </w:t>
      </w:r>
      <w:proofErr w:type="gramStart"/>
      <w:r w:rsidRPr="00B52A46">
        <w:rPr>
          <w:rFonts w:ascii="Times New Roman" w:hAnsi="Times New Roman"/>
          <w:sz w:val="24"/>
          <w:szCs w:val="24"/>
        </w:rPr>
        <w:t>Shields,</w:t>
      </w:r>
      <w:proofErr w:type="gramEnd"/>
      <w:r>
        <w:rPr>
          <w:rFonts w:ascii="Times New Roman" w:hAnsi="Times New Roman"/>
          <w:sz w:val="24"/>
          <w:szCs w:val="24"/>
        </w:rPr>
        <w:t xml:space="preserve"> called him and suspended him. </w:t>
      </w:r>
      <w:r>
        <w:rPr>
          <w:rFonts w:ascii="Times New Roman" w:eastAsia="Times New Roman" w:hAnsi="Times New Roman"/>
          <w:sz w:val="24"/>
          <w:szCs w:val="24"/>
        </w:rPr>
        <w:t xml:space="preserve">On June 4, after </w:t>
      </w:r>
      <w:proofErr w:type="gramStart"/>
      <w:r>
        <w:rPr>
          <w:rFonts w:ascii="Times New Roman" w:eastAsia="Times New Roman" w:hAnsi="Times New Roman"/>
          <w:sz w:val="24"/>
          <w:szCs w:val="24"/>
        </w:rPr>
        <w:t>interview</w:t>
      </w:r>
      <w:proofErr w:type="gramEnd"/>
      <w:r>
        <w:rPr>
          <w:rFonts w:ascii="Times New Roman" w:eastAsia="Times New Roman" w:hAnsi="Times New Roman"/>
          <w:sz w:val="24"/>
          <w:szCs w:val="24"/>
        </w:rPr>
        <w:t xml:space="preserve"> with County HR and another with Police Chief, he was demoted to Lieutenant (and retired Aug. 1, 2021).  The Judge held that plaintiff “</w:t>
      </w:r>
      <w:r w:rsidRPr="0037054D">
        <w:rPr>
          <w:rFonts w:ascii="Times New Roman" w:hAnsi="Times New Roman"/>
          <w:sz w:val="24"/>
          <w:szCs w:val="24"/>
        </w:rPr>
        <w:t xml:space="preserve">utterly fails to allege any facts that even hint at Defendants being </w:t>
      </w:r>
      <w:r>
        <w:rPr>
          <w:rFonts w:ascii="Times New Roman" w:hAnsi="Times New Roman"/>
          <w:sz w:val="24"/>
          <w:szCs w:val="24"/>
        </w:rPr>
        <w:t>‘</w:t>
      </w:r>
      <w:r w:rsidRPr="0037054D">
        <w:rPr>
          <w:rFonts w:ascii="Times New Roman" w:hAnsi="Times New Roman"/>
          <w:sz w:val="24"/>
          <w:szCs w:val="24"/>
        </w:rPr>
        <w:t>that unusual employer who discriminates against the majority</w:t>
      </w:r>
      <w:r>
        <w:rPr>
          <w:rFonts w:ascii="Times New Roman" w:hAnsi="Times New Roman"/>
          <w:sz w:val="24"/>
          <w:szCs w:val="24"/>
        </w:rPr>
        <w:t>.’”</w:t>
      </w:r>
    </w:p>
    <w:p w14:paraId="4BA6D258" w14:textId="5603723A" w:rsidR="005644A4" w:rsidRDefault="005644A4" w:rsidP="005644A4">
      <w:pPr>
        <w:ind w:left="720"/>
        <w:rPr>
          <w:rFonts w:ascii="Arial Black" w:hAnsi="Arial Black"/>
          <w:b/>
          <w:sz w:val="24"/>
          <w:szCs w:val="24"/>
        </w:rPr>
      </w:pPr>
      <w:r>
        <w:rPr>
          <w:rFonts w:ascii="Times New Roman" w:hAnsi="Times New Roman"/>
          <w:sz w:val="24"/>
          <w:szCs w:val="24"/>
        </w:rPr>
        <w:t>“</w:t>
      </w:r>
      <w:r w:rsidRPr="0037054D">
        <w:rPr>
          <w:rFonts w:ascii="Times New Roman" w:hAnsi="Times New Roman"/>
          <w:sz w:val="24"/>
          <w:szCs w:val="24"/>
        </w:rPr>
        <w:t>The only two individuals mentioned in the Complaint are the two African American men also involved in the May 19, 2021, incident. While Gregory alleges he and the two African American individuals engaged in the same conduct (i.e., used the same racial epithet in a LMPD classroom setting), he wholly fails to allege how these individuals are similarly situated in any other relevant respect. The Complaint contains no factual allegations that both Gregory and the African American individuals dealt with the same supervisor, were subject to the same standards, or had similar job responsibilities.</w:t>
      </w:r>
      <w:r>
        <w:rPr>
          <w:rFonts w:ascii="Times New Roman" w:hAnsi="Times New Roman"/>
          <w:sz w:val="24"/>
          <w:szCs w:val="24"/>
        </w:rPr>
        <w:t xml:space="preserve">” </w:t>
      </w:r>
      <w:hyperlink r:id="rId1581" w:history="1">
        <w:r w:rsidRPr="00EC5853">
          <w:rPr>
            <w:rStyle w:val="Hyperlink"/>
            <w:rFonts w:ascii="Times New Roman" w:hAnsi="Times New Roman"/>
            <w:sz w:val="24"/>
            <w:szCs w:val="24"/>
          </w:rPr>
          <w:t>https://public.fastcase.com/9SKwsfNqTc6OieYDhNMyM%2FTSgbZsxamnZMkEnGgxxe%2FrqLPFRApIhr2w3nhFxBI%2F%2BQAM0CcvCjVB30L3LI5a7qA0dv8E2KAwnqlsNAe5EaM%3D</w:t>
        </w:r>
      </w:hyperlink>
    </w:p>
    <w:p w14:paraId="1393927E" w14:textId="77777777" w:rsidR="005644A4" w:rsidRPr="00521C71" w:rsidRDefault="005644A4" w:rsidP="005644A4">
      <w:pPr>
        <w:spacing w:before="100" w:beforeAutospacing="1" w:after="100" w:afterAutospacing="1" w:line="240" w:lineRule="auto"/>
        <w:rPr>
          <w:rFonts w:ascii="Times New Roman" w:eastAsia="Times New Roman" w:hAnsi="Times New Roman"/>
          <w:b/>
          <w:bCs/>
          <w:sz w:val="24"/>
          <w:szCs w:val="24"/>
        </w:rPr>
      </w:pPr>
      <w:r w:rsidRPr="00521C71">
        <w:rPr>
          <w:rFonts w:ascii="Times New Roman" w:hAnsi="Times New Roman"/>
          <w:b/>
          <w:bCs/>
          <w:sz w:val="24"/>
          <w:szCs w:val="24"/>
        </w:rPr>
        <w:t>Legal Lesson Learned:</w:t>
      </w:r>
      <w:r>
        <w:rPr>
          <w:rFonts w:ascii="Times New Roman" w:hAnsi="Times New Roman"/>
          <w:b/>
          <w:bCs/>
          <w:sz w:val="24"/>
          <w:szCs w:val="24"/>
        </w:rPr>
        <w:t xml:space="preserve"> Even when conducting cultural sensitivity training, avoid the use of the “N word” and other highly sensitive terms. </w:t>
      </w:r>
    </w:p>
    <w:p w14:paraId="6DFC0783" w14:textId="77777777" w:rsidR="005644A4" w:rsidRDefault="005644A4" w:rsidP="00BC70A3">
      <w:pPr>
        <w:rPr>
          <w:rFonts w:ascii="Arial Black" w:hAnsi="Arial Black"/>
          <w:b/>
          <w:sz w:val="24"/>
          <w:szCs w:val="24"/>
        </w:rPr>
      </w:pPr>
    </w:p>
    <w:p w14:paraId="3C72FCB0" w14:textId="16A203DA" w:rsidR="00C67B2A" w:rsidRDefault="00C67B2A" w:rsidP="00BC70A3">
      <w:pPr>
        <w:rPr>
          <w:rFonts w:ascii="Arial Black" w:hAnsi="Arial Black"/>
          <w:b/>
          <w:sz w:val="24"/>
          <w:szCs w:val="24"/>
        </w:rPr>
      </w:pPr>
      <w:r>
        <w:rPr>
          <w:rFonts w:ascii="Arial Black" w:hAnsi="Arial Black"/>
          <w:b/>
          <w:sz w:val="24"/>
          <w:szCs w:val="24"/>
        </w:rPr>
        <w:t>8-3</w:t>
      </w:r>
      <w:r w:rsidR="009A3D9F">
        <w:rPr>
          <w:rFonts w:ascii="Arial Black" w:hAnsi="Arial Black"/>
          <w:b/>
          <w:sz w:val="24"/>
          <w:szCs w:val="24"/>
        </w:rPr>
        <w:t>5</w:t>
      </w:r>
    </w:p>
    <w:p w14:paraId="594B487B" w14:textId="77777777" w:rsidR="00C67B2A" w:rsidRPr="000F4113" w:rsidRDefault="00C67B2A" w:rsidP="00C67B2A">
      <w:pPr>
        <w:pStyle w:val="Heading1"/>
        <w:rPr>
          <w:rFonts w:ascii="Arial Black" w:hAnsi="Arial Black"/>
          <w:b w:val="0"/>
          <w:bCs w:val="0"/>
          <w:sz w:val="28"/>
          <w:szCs w:val="28"/>
        </w:rPr>
      </w:pPr>
      <w:r>
        <w:rPr>
          <w:rFonts w:ascii="Arial Black" w:hAnsi="Arial Black"/>
          <w:b w:val="0"/>
          <w:bCs w:val="0"/>
          <w:sz w:val="28"/>
          <w:szCs w:val="28"/>
        </w:rPr>
        <w:t>NY: FDNY - HISPANIC “PRIORITY HIRE” – INJURED AT ACADEMY, 2 LIGHT DUTIES – FIRED FOR MEDICAL REASONS</w:t>
      </w:r>
    </w:p>
    <w:p w14:paraId="38288F65" w14:textId="77777777" w:rsidR="00C67B2A" w:rsidRDefault="00C67B2A" w:rsidP="00C67B2A">
      <w:pPr>
        <w:pStyle w:val="Heading1"/>
        <w:rPr>
          <w:b w:val="0"/>
          <w:bCs w:val="0"/>
          <w:sz w:val="24"/>
          <w:szCs w:val="24"/>
        </w:rPr>
      </w:pPr>
      <w:r>
        <w:rPr>
          <w:b w:val="0"/>
          <w:bCs w:val="0"/>
          <w:sz w:val="24"/>
          <w:szCs w:val="24"/>
        </w:rPr>
        <w:t xml:space="preserve">On Oct. 20, 2021, in </w:t>
      </w:r>
      <w:r w:rsidRPr="000F4113">
        <w:rPr>
          <w:b w:val="0"/>
          <w:bCs w:val="0"/>
          <w:sz w:val="24"/>
          <w:szCs w:val="24"/>
          <w:u w:val="single"/>
        </w:rPr>
        <w:t>Xavier Lopez v. City of New York</w:t>
      </w:r>
      <w:r>
        <w:rPr>
          <w:b w:val="0"/>
          <w:bCs w:val="0"/>
          <w:sz w:val="24"/>
          <w:szCs w:val="24"/>
        </w:rPr>
        <w:t xml:space="preserve">, U.S. District Judge Nina Gershon granted the City’s motion for summary judgment.  Plaintiff was a “priority hire” on Jan. 27, </w:t>
      </w:r>
      <w:proofErr w:type="gramStart"/>
      <w:r>
        <w:rPr>
          <w:b w:val="0"/>
          <w:bCs w:val="0"/>
          <w:sz w:val="24"/>
          <w:szCs w:val="24"/>
        </w:rPr>
        <w:t>2014</w:t>
      </w:r>
      <w:proofErr w:type="gramEnd"/>
      <w:r>
        <w:rPr>
          <w:b w:val="0"/>
          <w:bCs w:val="0"/>
          <w:sz w:val="24"/>
          <w:szCs w:val="24"/>
        </w:rPr>
        <w:t xml:space="preserve"> as part of the Vulcan Society [</w:t>
      </w:r>
      <w:proofErr w:type="gramStart"/>
      <w:r>
        <w:rPr>
          <w:b w:val="0"/>
          <w:bCs w:val="0"/>
          <w:sz w:val="24"/>
          <w:szCs w:val="24"/>
        </w:rPr>
        <w:t>African-American</w:t>
      </w:r>
      <w:proofErr w:type="gramEnd"/>
      <w:r>
        <w:rPr>
          <w:b w:val="0"/>
          <w:bCs w:val="0"/>
          <w:sz w:val="24"/>
          <w:szCs w:val="24"/>
        </w:rPr>
        <w:t xml:space="preserve"> firefighters] settlement; during his second week, he injured his ankle while jogging; after light duty, he returned to Fire Academy on July 7, 2014, and in August injured his left knee.  He returned to Academy on Aug. 28, 2014, and then re-injured his left knee and toe and was again placed on light duty.  He was terminated on Jan. 14, </w:t>
      </w:r>
      <w:proofErr w:type="gramStart"/>
      <w:r>
        <w:rPr>
          <w:b w:val="0"/>
          <w:bCs w:val="0"/>
          <w:sz w:val="24"/>
          <w:szCs w:val="24"/>
        </w:rPr>
        <w:t>2015</w:t>
      </w:r>
      <w:proofErr w:type="gramEnd"/>
      <w:r>
        <w:rPr>
          <w:b w:val="0"/>
          <w:bCs w:val="0"/>
          <w:sz w:val="24"/>
          <w:szCs w:val="24"/>
        </w:rPr>
        <w:t xml:space="preserve"> after numerous medical reviews.</w:t>
      </w:r>
    </w:p>
    <w:p w14:paraId="0711E113" w14:textId="77777777" w:rsidR="00C67B2A" w:rsidRDefault="00C67B2A" w:rsidP="00C67B2A">
      <w:pPr>
        <w:pStyle w:val="Heading1"/>
        <w:ind w:left="720"/>
        <w:rPr>
          <w:b w:val="0"/>
          <w:bCs w:val="0"/>
          <w:sz w:val="24"/>
          <w:szCs w:val="24"/>
        </w:rPr>
      </w:pPr>
      <w:r>
        <w:rPr>
          <w:b w:val="0"/>
          <w:bCs w:val="0"/>
          <w:sz w:val="24"/>
          <w:szCs w:val="24"/>
        </w:rPr>
        <w:lastRenderedPageBreak/>
        <w:t>“</w:t>
      </w:r>
      <w:r w:rsidRPr="00DA27A9">
        <w:rPr>
          <w:b w:val="0"/>
          <w:bCs w:val="0"/>
          <w:sz w:val="24"/>
          <w:szCs w:val="24"/>
        </w:rPr>
        <w:t xml:space="preserve">Defendant's position is that plaintiff was terminated based on his inability to return to a third firefighter academy </w:t>
      </w:r>
      <w:proofErr w:type="gramStart"/>
      <w:r w:rsidRPr="00DA27A9">
        <w:rPr>
          <w:b w:val="0"/>
          <w:bCs w:val="0"/>
          <w:sz w:val="24"/>
          <w:szCs w:val="24"/>
        </w:rPr>
        <w:t>as a result of</w:t>
      </w:r>
      <w:proofErr w:type="gramEnd"/>
      <w:r w:rsidRPr="00DA27A9">
        <w:rPr>
          <w:b w:val="0"/>
          <w:bCs w:val="0"/>
          <w:sz w:val="24"/>
          <w:szCs w:val="24"/>
        </w:rPr>
        <w:t xml:space="preserve"> his subjective complaints of pain, which were unsupported by medical evidence. Specifically, according to Dr. Kelly, plaintiff was</w:t>
      </w:r>
      <w:r>
        <w:rPr>
          <w:b w:val="0"/>
          <w:bCs w:val="0"/>
          <w:sz w:val="24"/>
          <w:szCs w:val="24"/>
        </w:rPr>
        <w:t xml:space="preserve"> </w:t>
      </w:r>
      <w:r w:rsidRPr="00DA27A9">
        <w:rPr>
          <w:b w:val="0"/>
          <w:bCs w:val="0"/>
          <w:sz w:val="24"/>
          <w:szCs w:val="24"/>
        </w:rPr>
        <w:t>not capable of working as a firefighter based on his continued symptomology, in light of, essentially, a negative work up, an opportunity to [complete] physical therapy, [plaintiff's] failure to pursue outside orthopedic consultations when [BHS] gave him the authorization, and his evaluation by [BHS] medical team, who saw no physical disability [despite his] persistent subjective complaints</w:t>
      </w:r>
      <w:r>
        <w:rPr>
          <w:b w:val="0"/>
          <w:bCs w:val="0"/>
          <w:sz w:val="24"/>
          <w:szCs w:val="24"/>
        </w:rPr>
        <w:t xml:space="preserve">…. </w:t>
      </w:r>
      <w:r w:rsidRPr="000F4113">
        <w:rPr>
          <w:b w:val="0"/>
          <w:bCs w:val="0"/>
          <w:sz w:val="24"/>
          <w:szCs w:val="24"/>
        </w:rPr>
        <w:t>Defendant has presented evidence that plaintiff's inability to return to a third firefighter academy based on subjective complaints of pain, unsupported by medical evidence, supplied a legitimate non-discriminatory reason for his termination</w:t>
      </w:r>
      <w:r>
        <w:rPr>
          <w:b w:val="0"/>
          <w:bCs w:val="0"/>
          <w:sz w:val="24"/>
          <w:szCs w:val="24"/>
        </w:rPr>
        <w:t>.</w:t>
      </w:r>
    </w:p>
    <w:p w14:paraId="53F43F09" w14:textId="77777777" w:rsidR="00C67B2A" w:rsidRDefault="00C67B2A" w:rsidP="00C67B2A">
      <w:pPr>
        <w:pStyle w:val="Heading1"/>
        <w:ind w:left="720"/>
        <w:rPr>
          <w:b w:val="0"/>
          <w:bCs w:val="0"/>
          <w:sz w:val="24"/>
          <w:szCs w:val="24"/>
        </w:rPr>
      </w:pPr>
      <w:r>
        <w:rPr>
          <w:b w:val="0"/>
          <w:bCs w:val="0"/>
          <w:sz w:val="24"/>
          <w:szCs w:val="24"/>
        </w:rPr>
        <w:t>***</w:t>
      </w:r>
    </w:p>
    <w:p w14:paraId="5C2331C1" w14:textId="77777777" w:rsidR="00C67B2A" w:rsidRPr="000F4113" w:rsidRDefault="00C67B2A" w:rsidP="00C67B2A">
      <w:pPr>
        <w:pStyle w:val="Heading1"/>
        <w:ind w:left="720"/>
        <w:rPr>
          <w:b w:val="0"/>
          <w:bCs w:val="0"/>
          <w:sz w:val="24"/>
          <w:szCs w:val="24"/>
        </w:rPr>
      </w:pPr>
      <w:r w:rsidRPr="000F4113">
        <w:rPr>
          <w:b w:val="0"/>
          <w:bCs w:val="0"/>
          <w:sz w:val="24"/>
          <w:szCs w:val="24"/>
        </w:rPr>
        <w:t>In support of his theory that he was treated differently because of his race or national origin, plaintiff points to six other firefighters who were given more than two opportunities to complete the fire academy. But, of the six, four were priority hires like plaintiff, one was a Hispanic man like plaintiff, and plaintiff has not presented any evidence indicating that the injuries or situations of the two white firefighters who were given three opportunities were comparable to his.</w:t>
      </w:r>
      <w:r>
        <w:rPr>
          <w:b w:val="0"/>
          <w:bCs w:val="0"/>
          <w:sz w:val="24"/>
          <w:szCs w:val="24"/>
        </w:rPr>
        <w:t xml:space="preserve">” </w:t>
      </w:r>
      <w:hyperlink r:id="rId1582" w:history="1">
        <w:r w:rsidRPr="00764F47">
          <w:rPr>
            <w:rStyle w:val="Hyperlink"/>
            <w:sz w:val="24"/>
            <w:szCs w:val="24"/>
          </w:rPr>
          <w:t>https://public.fastcase.com/9SKwsfNqTc6OieYDhNMyMxPWhQYM2NMtpEG66qqzAJJdyGEqs31WbWeslV8WX8U%2F%2BJtRUyjyQVulPfpekvhmAP57MQmPUZf7QhfjsZd5wHk%3D</w:t>
        </w:r>
      </w:hyperlink>
      <w:r>
        <w:rPr>
          <w:b w:val="0"/>
          <w:bCs w:val="0"/>
          <w:sz w:val="24"/>
          <w:szCs w:val="24"/>
        </w:rPr>
        <w:t xml:space="preserve"> </w:t>
      </w:r>
    </w:p>
    <w:p w14:paraId="76350EB7" w14:textId="77777777" w:rsidR="00C67B2A" w:rsidRPr="00574B79" w:rsidRDefault="00C67B2A" w:rsidP="00C67B2A">
      <w:pPr>
        <w:spacing w:before="100" w:beforeAutospacing="1" w:after="100" w:afterAutospacing="1" w:line="240" w:lineRule="auto"/>
        <w:rPr>
          <w:rFonts w:ascii="Times New Roman" w:eastAsia="Times New Roman" w:hAnsi="Times New Roman"/>
          <w:b/>
          <w:bCs/>
          <w:sz w:val="24"/>
          <w:szCs w:val="24"/>
        </w:rPr>
      </w:pPr>
      <w:r w:rsidRPr="00574B79">
        <w:rPr>
          <w:rFonts w:ascii="Times New Roman" w:eastAsia="Times New Roman" w:hAnsi="Times New Roman"/>
          <w:b/>
          <w:bCs/>
          <w:sz w:val="24"/>
          <w:szCs w:val="24"/>
        </w:rPr>
        <w:t xml:space="preserve">Legal Lesson Learned: </w:t>
      </w:r>
      <w:r>
        <w:rPr>
          <w:rFonts w:ascii="Times New Roman" w:eastAsia="Times New Roman" w:hAnsi="Times New Roman"/>
          <w:b/>
          <w:bCs/>
          <w:sz w:val="24"/>
          <w:szCs w:val="24"/>
        </w:rPr>
        <w:t xml:space="preserve">Recruits must be physically capable of performing the job.  </w:t>
      </w:r>
    </w:p>
    <w:p w14:paraId="71C2CD4F" w14:textId="77777777" w:rsidR="00C67B2A" w:rsidRDefault="00C67B2A" w:rsidP="00BC70A3">
      <w:pPr>
        <w:rPr>
          <w:rFonts w:ascii="Arial Black" w:hAnsi="Arial Black"/>
          <w:b/>
          <w:sz w:val="24"/>
          <w:szCs w:val="24"/>
        </w:rPr>
      </w:pPr>
    </w:p>
    <w:p w14:paraId="28AA3B2D" w14:textId="77777777" w:rsidR="00C67B2A" w:rsidRDefault="00C67B2A" w:rsidP="00BC70A3">
      <w:pPr>
        <w:rPr>
          <w:rFonts w:ascii="Arial Black" w:hAnsi="Arial Black"/>
          <w:b/>
          <w:sz w:val="24"/>
          <w:szCs w:val="24"/>
        </w:rPr>
      </w:pPr>
    </w:p>
    <w:p w14:paraId="53933A9D" w14:textId="6205BDB3" w:rsidR="00C67B2A" w:rsidRDefault="00C67B2A" w:rsidP="00BC70A3">
      <w:pPr>
        <w:rPr>
          <w:rFonts w:ascii="Arial Black" w:hAnsi="Arial Black"/>
          <w:b/>
          <w:sz w:val="24"/>
          <w:szCs w:val="24"/>
        </w:rPr>
      </w:pPr>
      <w:r>
        <w:rPr>
          <w:rFonts w:ascii="Arial Black" w:hAnsi="Arial Black"/>
          <w:b/>
          <w:sz w:val="24"/>
          <w:szCs w:val="24"/>
        </w:rPr>
        <w:t>8-3</w:t>
      </w:r>
      <w:r w:rsidR="009A3D9F">
        <w:rPr>
          <w:rFonts w:ascii="Arial Black" w:hAnsi="Arial Black"/>
          <w:b/>
          <w:sz w:val="24"/>
          <w:szCs w:val="24"/>
        </w:rPr>
        <w:t>4</w:t>
      </w:r>
    </w:p>
    <w:p w14:paraId="27EC8F4E" w14:textId="77777777" w:rsidR="00C67B2A" w:rsidRPr="001325E8" w:rsidRDefault="00C67B2A" w:rsidP="00C67B2A">
      <w:pPr>
        <w:tabs>
          <w:tab w:val="left" w:pos="3280"/>
        </w:tabs>
        <w:spacing w:before="100" w:beforeAutospacing="1" w:after="100" w:afterAutospacing="1" w:line="240" w:lineRule="auto"/>
        <w:rPr>
          <w:rFonts w:ascii="Arial Black" w:hAnsi="Arial Black"/>
          <w:sz w:val="28"/>
          <w:szCs w:val="28"/>
        </w:rPr>
      </w:pPr>
      <w:r>
        <w:rPr>
          <w:rFonts w:ascii="Arial Black" w:hAnsi="Arial Black"/>
          <w:sz w:val="28"/>
          <w:szCs w:val="28"/>
        </w:rPr>
        <w:t>WI: POLICE CHIEF WANTED CIVILIAN TO RUN 911 – PRIOR COMMENTS ON MINORITIES – BLACK CAPT. CASE PROCEED</w:t>
      </w:r>
    </w:p>
    <w:p w14:paraId="39427562" w14:textId="77777777" w:rsidR="00C67B2A" w:rsidRDefault="00C67B2A" w:rsidP="00C67B2A">
      <w:pPr>
        <w:tabs>
          <w:tab w:val="left" w:pos="3280"/>
        </w:tabs>
        <w:spacing w:before="100" w:beforeAutospacing="1" w:after="100" w:afterAutospacing="1" w:line="240" w:lineRule="auto"/>
        <w:rPr>
          <w:rFonts w:ascii="Times New Roman" w:hAnsi="Times New Roman"/>
          <w:sz w:val="24"/>
          <w:szCs w:val="24"/>
        </w:rPr>
      </w:pPr>
      <w:r w:rsidRPr="00CE1834">
        <w:rPr>
          <w:rFonts w:ascii="Times New Roman" w:hAnsi="Times New Roman"/>
          <w:sz w:val="24"/>
          <w:szCs w:val="24"/>
        </w:rPr>
        <w:t xml:space="preserve">On Oct. 20, 2021, </w:t>
      </w:r>
      <w:r>
        <w:rPr>
          <w:rFonts w:ascii="Times New Roman" w:hAnsi="Times New Roman"/>
          <w:sz w:val="24"/>
          <w:szCs w:val="24"/>
        </w:rPr>
        <w:t xml:space="preserve">in </w:t>
      </w:r>
      <w:r w:rsidRPr="00CE1834">
        <w:rPr>
          <w:rFonts w:ascii="Times New Roman" w:hAnsi="Times New Roman"/>
          <w:sz w:val="24"/>
          <w:szCs w:val="24"/>
          <w:u w:val="single"/>
        </w:rPr>
        <w:t>Andra Williams v. City of Milwaukee, et al.</w:t>
      </w:r>
      <w:r>
        <w:rPr>
          <w:rFonts w:ascii="Times New Roman" w:hAnsi="Times New Roman"/>
          <w:sz w:val="24"/>
          <w:szCs w:val="24"/>
        </w:rPr>
        <w:t xml:space="preserve">, U.S. District Court Judge Brett H. Ludwig, U.S. District Court for Eastern District of Wisconsin, denied the City’s motion for summary judgment, citing comments that Police Chief made to the Executive Director of the Police and Fire Commission, and to the Mayor after a “Advancement in Management” (AIM) meeting in Fall 2015 [a year prior to June 2016 panel rated applicants for Director of 911], where they were reviewing police department hiring of minorities and lesbians. </w:t>
      </w:r>
    </w:p>
    <w:p w14:paraId="459E0678" w14:textId="77777777" w:rsidR="00C67B2A" w:rsidRPr="00CE1834" w:rsidRDefault="00C67B2A" w:rsidP="00C67B2A">
      <w:pPr>
        <w:pStyle w:val="NormalWeb"/>
        <w:ind w:left="720"/>
      </w:pPr>
      <w:r>
        <w:t>“</w:t>
      </w:r>
      <w:r w:rsidRPr="00CE1834">
        <w:t xml:space="preserve">Williams relies on a web of interrelated incidents to support his allegations of discrimination, but the most important is </w:t>
      </w:r>
      <w:r>
        <w:t xml:space="preserve">[Police Chief Edward] </w:t>
      </w:r>
      <w:r w:rsidRPr="00CE1834">
        <w:t>Flynn's tirade following an Advanced in Management (AIM) meeting in the Fall of 2015</w:t>
      </w:r>
      <w:r>
        <w:t xml:space="preserve">…. </w:t>
      </w:r>
      <w:r w:rsidRPr="00CE1834">
        <w:t>Mary</w:t>
      </w:r>
      <w:r>
        <w:t xml:space="preserve"> </w:t>
      </w:r>
      <w:r w:rsidRPr="00CE1834">
        <w:t>Nell Regan (Regan), then Executive Director to the City of Milwaukee Fire and Police Commission, was present after the AIM meeting along with Mayor Tom Barrett, Barrett's chief of staff Patrick Curley, Flynn, and Flynn's chief of staff Joel Plant</w:t>
      </w:r>
      <w:r>
        <w:t xml:space="preserve">…. </w:t>
      </w:r>
      <w:r w:rsidRPr="00CE1834">
        <w:t xml:space="preserve">Regan testified: </w:t>
      </w:r>
    </w:p>
    <w:p w14:paraId="5A6B0993" w14:textId="77777777" w:rsidR="00C67B2A" w:rsidRDefault="00C67B2A" w:rsidP="00C67B2A">
      <w:pPr>
        <w:ind w:left="1440"/>
        <w:rPr>
          <w:rFonts w:ascii="Times New Roman" w:hAnsi="Times New Roman"/>
          <w:sz w:val="24"/>
          <w:szCs w:val="24"/>
        </w:rPr>
      </w:pPr>
      <w:r>
        <w:rPr>
          <w:rFonts w:ascii="Times New Roman" w:hAnsi="Times New Roman"/>
          <w:sz w:val="24"/>
          <w:szCs w:val="24"/>
        </w:rPr>
        <w:t>‘</w:t>
      </w:r>
      <w:r w:rsidRPr="00CE1834">
        <w:rPr>
          <w:rFonts w:ascii="Times New Roman" w:hAnsi="Times New Roman"/>
          <w:sz w:val="24"/>
          <w:szCs w:val="24"/>
        </w:rPr>
        <w:t xml:space="preserve">Chief Flynn got very upset, real red in the face, upset about-I think even slammed his hands down a couple times-very upset about minorities and lesbians that were coming after him. And he saw in the future that he would go down like Chief Jones, and he wasn't going to let that </w:t>
      </w:r>
      <w:r w:rsidRPr="00CE1834">
        <w:rPr>
          <w:rFonts w:ascii="Times New Roman" w:hAnsi="Times New Roman"/>
          <w:sz w:val="24"/>
          <w:szCs w:val="24"/>
        </w:rPr>
        <w:lastRenderedPageBreak/>
        <w:t>happen, and he was outraged because he had promoted many of those same people, and then he rattled off the list of names.</w:t>
      </w:r>
      <w:r>
        <w:rPr>
          <w:rFonts w:ascii="Times New Roman" w:hAnsi="Times New Roman"/>
          <w:sz w:val="24"/>
          <w:szCs w:val="24"/>
        </w:rPr>
        <w:t>’</w:t>
      </w:r>
      <w:r w:rsidRPr="00CE1834">
        <w:rPr>
          <w:rFonts w:ascii="Times New Roman" w:hAnsi="Times New Roman"/>
          <w:sz w:val="24"/>
          <w:szCs w:val="24"/>
        </w:rPr>
        <w:t xml:space="preserve"> </w:t>
      </w:r>
    </w:p>
    <w:p w14:paraId="575B4064" w14:textId="77777777" w:rsidR="00C67B2A" w:rsidRDefault="00C67B2A" w:rsidP="00C67B2A">
      <w:pPr>
        <w:rPr>
          <w:rFonts w:ascii="Times New Roman" w:hAnsi="Times New Roman"/>
          <w:sz w:val="24"/>
          <w:szCs w:val="24"/>
        </w:rPr>
      </w:pPr>
      <w:r>
        <w:rPr>
          <w:rFonts w:ascii="Times New Roman" w:hAnsi="Times New Roman"/>
          <w:sz w:val="24"/>
          <w:szCs w:val="24"/>
        </w:rPr>
        <w:tab/>
        <w:t>***</w:t>
      </w:r>
    </w:p>
    <w:p w14:paraId="6DD538AF" w14:textId="62C21D0F" w:rsidR="00C67B2A" w:rsidRDefault="00C67B2A" w:rsidP="00C67B2A">
      <w:pPr>
        <w:rPr>
          <w:rFonts w:ascii="Arial Black" w:hAnsi="Arial Black"/>
          <w:b/>
          <w:sz w:val="24"/>
          <w:szCs w:val="24"/>
        </w:rPr>
      </w:pPr>
      <w:r w:rsidRPr="00B86ECC">
        <w:rPr>
          <w:rFonts w:ascii="Times New Roman" w:eastAsia="Times New Roman" w:hAnsi="Times New Roman"/>
          <w:sz w:val="24"/>
          <w:szCs w:val="24"/>
        </w:rPr>
        <w:t>Examining the record, Flynn's 2015 AIM comments emerge as Williams' most consequential allegation, but the defense has asked the Court to tare the weight of those comments</w:t>
      </w:r>
      <w:r>
        <w:rPr>
          <w:rFonts w:ascii="Times New Roman" w:eastAsia="Times New Roman" w:hAnsi="Times New Roman"/>
          <w:sz w:val="24"/>
          <w:szCs w:val="24"/>
        </w:rPr>
        <w:t xml:space="preserve">…. </w:t>
      </w:r>
      <w:r w:rsidRPr="00B86ECC">
        <w:rPr>
          <w:rFonts w:ascii="Times New Roman" w:hAnsi="Times New Roman"/>
          <w:sz w:val="24"/>
          <w:szCs w:val="24"/>
        </w:rPr>
        <w:t xml:space="preserve">Defendants are off base in arguing that Flynn's stray remarks should count for nothing at all. The Seventh Circuit has reminded courts, however, that its cases “should not be overread to mean that ‘stray remarks' of a derogatory character are never evidence of discrimination. What our cases hold . . . is that if someone not involved in the decision making in a plaintiff's case </w:t>
      </w:r>
      <w:r w:rsidRPr="00B86ECC">
        <w:rPr>
          <w:rFonts w:ascii="Times New Roman" w:eastAsia="Times New Roman" w:hAnsi="Times New Roman"/>
          <w:sz w:val="24"/>
          <w:szCs w:val="24"/>
        </w:rPr>
        <w:t xml:space="preserve">expressed discriminatory feelings, that is not evidence that the decision was discriminatory.” </w:t>
      </w:r>
      <w:r w:rsidRPr="00B86ECC">
        <w:rPr>
          <w:rFonts w:ascii="Times New Roman" w:eastAsia="Times New Roman" w:hAnsi="Times New Roman"/>
          <w:i/>
          <w:iCs/>
          <w:sz w:val="24"/>
          <w:szCs w:val="24"/>
        </w:rPr>
        <w:t>Gorence v. Eagle Food Centers, Inc.</w:t>
      </w:r>
      <w:r w:rsidRPr="00B86ECC">
        <w:rPr>
          <w:rFonts w:ascii="Times New Roman" w:eastAsia="Times New Roman" w:hAnsi="Times New Roman"/>
          <w:sz w:val="24"/>
          <w:szCs w:val="24"/>
        </w:rPr>
        <w:t>, 242 F.3d 759, 762 (7th Cir. 2001). Here, Flynn was the decisionmaker in this case, so his derogatory remarks, even if unrelated to an employment decision, can support Williams' case.</w:t>
      </w:r>
      <w:r w:rsidRPr="00B86ECC">
        <w:rPr>
          <w:rFonts w:ascii="Times New Roman" w:hAnsi="Times New Roman"/>
          <w:sz w:val="24"/>
          <w:szCs w:val="24"/>
        </w:rPr>
        <w:t>”</w:t>
      </w:r>
      <w:r>
        <w:t xml:space="preserve"> </w:t>
      </w:r>
      <w:hyperlink r:id="rId1583" w:history="1">
        <w:r w:rsidRPr="00075C00">
          <w:rPr>
            <w:rStyle w:val="Hyperlink"/>
          </w:rPr>
          <w:t>https://public.fastcase.com/9SKwsfNqTc6OieYDhNMyM2CFW33xyjvV9V9tDamXdBOoRSeaTiz5NEXWtNHJhMGDLmAvOr1CXJk0EV3MUdbM2l1WIYIXZemQzLeI%2BSSBPyk%3D</w:t>
        </w:r>
      </w:hyperlink>
    </w:p>
    <w:p w14:paraId="544C1A34" w14:textId="77777777" w:rsidR="00C67B2A" w:rsidRPr="00EF65E0" w:rsidRDefault="00C67B2A" w:rsidP="00C67B2A">
      <w:pPr>
        <w:tabs>
          <w:tab w:val="left" w:pos="3280"/>
        </w:tabs>
        <w:spacing w:before="100" w:beforeAutospacing="1" w:after="100" w:afterAutospacing="1" w:line="240" w:lineRule="auto"/>
        <w:rPr>
          <w:rFonts w:ascii="Times New Roman" w:hAnsi="Times New Roman"/>
          <w:b/>
          <w:bCs/>
          <w:sz w:val="24"/>
          <w:szCs w:val="24"/>
        </w:rPr>
      </w:pPr>
      <w:r w:rsidRPr="00EF65E0">
        <w:rPr>
          <w:rFonts w:ascii="Times New Roman" w:hAnsi="Times New Roman"/>
          <w:b/>
          <w:bCs/>
          <w:sz w:val="24"/>
          <w:szCs w:val="24"/>
        </w:rPr>
        <w:t>Legal Lesson Learned:</w:t>
      </w:r>
      <w:r>
        <w:rPr>
          <w:rFonts w:ascii="Times New Roman" w:hAnsi="Times New Roman"/>
          <w:b/>
          <w:bCs/>
          <w:sz w:val="24"/>
          <w:szCs w:val="24"/>
        </w:rPr>
        <w:t xml:space="preserve"> “Stray remarks” by police or fire chiefs, and other executives in hiring and promotion process, can come back to “bite” in employment litigation. </w:t>
      </w:r>
    </w:p>
    <w:p w14:paraId="7551BE8F" w14:textId="77777777" w:rsidR="00C67B2A" w:rsidRDefault="00C67B2A" w:rsidP="00BC70A3">
      <w:pPr>
        <w:rPr>
          <w:rFonts w:ascii="Arial Black" w:hAnsi="Arial Black"/>
          <w:b/>
          <w:sz w:val="24"/>
          <w:szCs w:val="24"/>
        </w:rPr>
      </w:pPr>
    </w:p>
    <w:p w14:paraId="30422B31" w14:textId="45BD2C23" w:rsidR="009A3D9F" w:rsidRDefault="009A3D9F" w:rsidP="00BC70A3">
      <w:pPr>
        <w:rPr>
          <w:rFonts w:ascii="Arial Black" w:hAnsi="Arial Black"/>
          <w:b/>
          <w:sz w:val="24"/>
          <w:szCs w:val="24"/>
        </w:rPr>
      </w:pPr>
      <w:r>
        <w:rPr>
          <w:rFonts w:ascii="Arial Black" w:hAnsi="Arial Black"/>
          <w:b/>
          <w:sz w:val="24"/>
          <w:szCs w:val="24"/>
        </w:rPr>
        <w:t>8-33</w:t>
      </w:r>
    </w:p>
    <w:p w14:paraId="50D0EC29" w14:textId="77777777" w:rsidR="009A3D9F" w:rsidRPr="00A14A14" w:rsidRDefault="009A3D9F" w:rsidP="009A3D9F">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OH: RECRUIT FAILED VERTICAL VENTILTION TESTS 9 TIMES - TERMINATED – NOT RACE DISCRIMINATION</w:t>
      </w:r>
    </w:p>
    <w:p w14:paraId="536124E3" w14:textId="73026742" w:rsidR="009A3D9F" w:rsidRDefault="009A3D9F" w:rsidP="009A3D9F">
      <w:pPr>
        <w:rPr>
          <w:rStyle w:val="Hyperlink"/>
          <w:rFonts w:ascii="Times New Roman" w:hAnsi="Times New Roman"/>
          <w:sz w:val="24"/>
          <w:szCs w:val="24"/>
        </w:rPr>
      </w:pPr>
      <w:r>
        <w:rPr>
          <w:rFonts w:ascii="Times New Roman" w:hAnsi="Times New Roman"/>
          <w:sz w:val="24"/>
          <w:szCs w:val="24"/>
        </w:rPr>
        <w:t xml:space="preserve">On Sept. 7, 2021, in </w:t>
      </w:r>
      <w:r w:rsidRPr="00D11452">
        <w:rPr>
          <w:rFonts w:ascii="Times New Roman" w:hAnsi="Times New Roman"/>
          <w:sz w:val="24"/>
          <w:szCs w:val="24"/>
          <w:u w:val="single"/>
        </w:rPr>
        <w:t>Major Smith, III v. City of Toledo, et al</w:t>
      </w:r>
      <w:r>
        <w:rPr>
          <w:rFonts w:ascii="Times New Roman" w:hAnsi="Times New Roman"/>
          <w:sz w:val="24"/>
          <w:szCs w:val="24"/>
        </w:rPr>
        <w:t xml:space="preserve">., </w:t>
      </w:r>
      <w:r w:rsidRPr="0080716B">
        <w:rPr>
          <w:rFonts w:ascii="Times New Roman" w:eastAsia="Times New Roman" w:hAnsi="Times New Roman"/>
          <w:sz w:val="24"/>
          <w:szCs w:val="24"/>
        </w:rPr>
        <w:t>13 F.4th 508</w:t>
      </w:r>
      <w:r>
        <w:rPr>
          <w:rFonts w:ascii="Times New Roman" w:eastAsia="Times New Roman" w:hAnsi="Times New Roman"/>
          <w:sz w:val="24"/>
          <w:szCs w:val="24"/>
        </w:rPr>
        <w:t xml:space="preserve">, </w:t>
      </w:r>
      <w:r>
        <w:rPr>
          <w:rFonts w:ascii="Times New Roman" w:hAnsi="Times New Roman"/>
          <w:sz w:val="24"/>
          <w:szCs w:val="24"/>
        </w:rPr>
        <w:t>the U.S. Court of Appeals for the 6</w:t>
      </w:r>
      <w:r w:rsidRPr="00D11452">
        <w:rPr>
          <w:rFonts w:ascii="Times New Roman" w:hAnsi="Times New Roman"/>
          <w:sz w:val="24"/>
          <w:szCs w:val="24"/>
          <w:vertAlign w:val="superscript"/>
        </w:rPr>
        <w:t>th</w:t>
      </w:r>
      <w:r>
        <w:rPr>
          <w:rFonts w:ascii="Times New Roman" w:hAnsi="Times New Roman"/>
          <w:sz w:val="24"/>
          <w:szCs w:val="24"/>
        </w:rPr>
        <w:t xml:space="preserve"> Circuit (Cincinnati) held (2 to 1) that trial court judge properly granted summary judgment to the City of Toledo. The recruit class of 29 recruits, including three </w:t>
      </w:r>
      <w:proofErr w:type="gramStart"/>
      <w:r>
        <w:rPr>
          <w:rFonts w:ascii="Times New Roman" w:hAnsi="Times New Roman"/>
          <w:sz w:val="24"/>
          <w:szCs w:val="24"/>
        </w:rPr>
        <w:t>African-Americans</w:t>
      </w:r>
      <w:proofErr w:type="gramEnd"/>
      <w:r>
        <w:rPr>
          <w:rFonts w:ascii="Times New Roman" w:hAnsi="Times New Roman"/>
          <w:sz w:val="24"/>
          <w:szCs w:val="24"/>
        </w:rPr>
        <w:t xml:space="preserve"> and two Hispanics, “</w:t>
      </w:r>
      <w:r w:rsidRPr="00D25789">
        <w:rPr>
          <w:rFonts w:ascii="Times New Roman" w:hAnsi="Times New Roman"/>
          <w:sz w:val="24"/>
          <w:szCs w:val="24"/>
        </w:rPr>
        <w:t>twenty-seven passed the vertical ventilation test on the first try; the twenty-eighth passed on his second try; Smith never passed, despite nine attempts.</w:t>
      </w:r>
      <w:r>
        <w:rPr>
          <w:rFonts w:ascii="Times New Roman" w:hAnsi="Times New Roman"/>
          <w:sz w:val="24"/>
          <w:szCs w:val="24"/>
        </w:rPr>
        <w:t xml:space="preserve">”  </w:t>
      </w:r>
      <w:hyperlink r:id="rId1584" w:history="1">
        <w:r w:rsidRPr="00A83547">
          <w:rPr>
            <w:rStyle w:val="Hyperlink"/>
            <w:rFonts w:ascii="Times New Roman" w:hAnsi="Times New Roman"/>
            <w:sz w:val="24"/>
            <w:szCs w:val="24"/>
          </w:rPr>
          <w:t>https://casetext.com/case/smith-v-city-of-toledo</w:t>
        </w:r>
      </w:hyperlink>
    </w:p>
    <w:p w14:paraId="41CEC49E" w14:textId="77777777" w:rsidR="009A3D9F" w:rsidRPr="00D91B7C" w:rsidRDefault="009A3D9F" w:rsidP="009A3D9F">
      <w:pPr>
        <w:spacing w:before="100" w:beforeAutospacing="1" w:after="100" w:afterAutospacing="1" w:line="240" w:lineRule="auto"/>
        <w:rPr>
          <w:rFonts w:ascii="Times New Roman" w:eastAsia="Times New Roman" w:hAnsi="Times New Roman"/>
          <w:b/>
          <w:bCs/>
          <w:sz w:val="24"/>
          <w:szCs w:val="24"/>
        </w:rPr>
      </w:pPr>
      <w:r w:rsidRPr="00D91B7C">
        <w:rPr>
          <w:rFonts w:ascii="Times New Roman" w:eastAsia="Times New Roman" w:hAnsi="Times New Roman"/>
          <w:b/>
          <w:bCs/>
          <w:sz w:val="24"/>
          <w:szCs w:val="24"/>
        </w:rPr>
        <w:t>Legal Lesson Learned:</w:t>
      </w:r>
      <w:r>
        <w:rPr>
          <w:rFonts w:ascii="Times New Roman" w:eastAsia="Times New Roman" w:hAnsi="Times New Roman"/>
          <w:b/>
          <w:bCs/>
          <w:sz w:val="24"/>
          <w:szCs w:val="24"/>
        </w:rPr>
        <w:t xml:space="preserve"> Race discrimination not proved; the FD gave him additional </w:t>
      </w:r>
      <w:proofErr w:type="gramStart"/>
      <w:r>
        <w:rPr>
          <w:rFonts w:ascii="Times New Roman" w:eastAsia="Times New Roman" w:hAnsi="Times New Roman"/>
          <w:b/>
          <w:bCs/>
          <w:sz w:val="24"/>
          <w:szCs w:val="24"/>
        </w:rPr>
        <w:t>opportunities</w:t>
      </w:r>
      <w:proofErr w:type="gramEnd"/>
      <w:r>
        <w:rPr>
          <w:rFonts w:ascii="Times New Roman" w:eastAsia="Times New Roman" w:hAnsi="Times New Roman"/>
          <w:b/>
          <w:bCs/>
          <w:sz w:val="24"/>
          <w:szCs w:val="24"/>
        </w:rPr>
        <w:t xml:space="preserve"> but he still couldn’t pass the vertical ventilation.  </w:t>
      </w:r>
    </w:p>
    <w:p w14:paraId="3459B0D3" w14:textId="77777777" w:rsidR="009A3D9F" w:rsidRPr="00552E8D" w:rsidRDefault="009A3D9F" w:rsidP="009A3D9F">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 xml:space="preserve">Note: </w:t>
      </w:r>
      <w:r w:rsidRPr="00142F8E">
        <w:rPr>
          <w:rFonts w:ascii="Times New Roman" w:eastAsia="Times New Roman" w:hAnsi="Times New Roman"/>
          <w:sz w:val="24"/>
          <w:szCs w:val="24"/>
        </w:rPr>
        <w:t xml:space="preserve">Judge </w:t>
      </w:r>
      <w:r w:rsidRPr="00142F8E">
        <w:rPr>
          <w:rFonts w:ascii="Times New Roman" w:hAnsi="Times New Roman"/>
          <w:sz w:val="24"/>
          <w:szCs w:val="24"/>
        </w:rPr>
        <w:t>HELENE N. WHITE, Circuit Judge, concurring in part and dissenting in part.</w:t>
      </w:r>
      <w:r>
        <w:rPr>
          <w:rFonts w:ascii="Times New Roman" w:hAnsi="Times New Roman"/>
          <w:sz w:val="24"/>
          <w:szCs w:val="24"/>
        </w:rPr>
        <w:t xml:space="preserve"> “</w:t>
      </w:r>
      <w:r w:rsidRPr="00142F8E">
        <w:rPr>
          <w:rFonts w:ascii="Times New Roman" w:hAnsi="Times New Roman"/>
          <w:sz w:val="24"/>
          <w:szCs w:val="24"/>
        </w:rPr>
        <w:t>I agree that the district court properly granted summary judgment to the City of Toledo on Smith's § 1983 and intentional-infliction-of-emotional-distress claims and properly denied Smith's motion for additional discovery. However, because there is a genuine dispute of material fact about whether the City dismissed Smith from the academy because of his race, I would reverse the grant of summary judgment on Smith's discrimination and conspiracy claims.</w:t>
      </w:r>
      <w:r>
        <w:rPr>
          <w:rFonts w:ascii="Times New Roman" w:hAnsi="Times New Roman"/>
          <w:sz w:val="24"/>
          <w:szCs w:val="24"/>
        </w:rPr>
        <w:t xml:space="preserve">*** </w:t>
      </w:r>
      <w:r w:rsidRPr="00142F8E">
        <w:rPr>
          <w:rFonts w:ascii="Times New Roman" w:hAnsi="Times New Roman"/>
          <w:sz w:val="24"/>
          <w:szCs w:val="24"/>
        </w:rPr>
        <w:t>And, since 2014, 80% of the recruits who were dismissed from the Academy were African American, and the remaining 20% were Hispanic, despite African Americans making up a minority of the class. This further supports an inference of discrimination.</w:t>
      </w:r>
      <w:r>
        <w:rPr>
          <w:rFonts w:ascii="Times New Roman" w:hAnsi="Times New Roman"/>
          <w:sz w:val="24"/>
          <w:szCs w:val="24"/>
        </w:rPr>
        <w:t>”</w:t>
      </w:r>
    </w:p>
    <w:p w14:paraId="3E403F72" w14:textId="77777777" w:rsidR="009A3D9F" w:rsidRDefault="009A3D9F" w:rsidP="009A3D9F">
      <w:pPr>
        <w:rPr>
          <w:rFonts w:ascii="Arial Black" w:hAnsi="Arial Black"/>
          <w:b/>
          <w:sz w:val="24"/>
          <w:szCs w:val="24"/>
        </w:rPr>
      </w:pPr>
    </w:p>
    <w:p w14:paraId="44206D7E" w14:textId="77777777" w:rsidR="009A3D9F" w:rsidRDefault="009A3D9F" w:rsidP="00BC70A3">
      <w:pPr>
        <w:rPr>
          <w:rFonts w:ascii="Arial Black" w:hAnsi="Arial Black"/>
          <w:b/>
          <w:sz w:val="24"/>
          <w:szCs w:val="24"/>
        </w:rPr>
      </w:pPr>
    </w:p>
    <w:p w14:paraId="69C0FAB5" w14:textId="77777777" w:rsidR="009A3D9F" w:rsidRDefault="009A3D9F" w:rsidP="00BC70A3">
      <w:pPr>
        <w:rPr>
          <w:rFonts w:ascii="Arial Black" w:hAnsi="Arial Black"/>
          <w:b/>
          <w:sz w:val="24"/>
          <w:szCs w:val="24"/>
        </w:rPr>
      </w:pPr>
    </w:p>
    <w:p w14:paraId="5E7664AC" w14:textId="2B15433B" w:rsidR="00BD1702" w:rsidRDefault="00BD1702" w:rsidP="00BC70A3">
      <w:pPr>
        <w:rPr>
          <w:rFonts w:ascii="Arial Black" w:hAnsi="Arial Black"/>
          <w:b/>
          <w:sz w:val="24"/>
          <w:szCs w:val="24"/>
        </w:rPr>
      </w:pPr>
      <w:r>
        <w:rPr>
          <w:rFonts w:ascii="Arial Black" w:hAnsi="Arial Black"/>
          <w:b/>
          <w:sz w:val="24"/>
          <w:szCs w:val="24"/>
        </w:rPr>
        <w:t>8-32</w:t>
      </w:r>
    </w:p>
    <w:p w14:paraId="1CEE932C" w14:textId="77777777" w:rsidR="00BD1702" w:rsidRDefault="00BD1702" w:rsidP="00BD1702">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MI: FF OF ARAB DISSENT – IMAGES OF CAMEL / SLURS - HOSTILE WORK ATMOSPHERE – LAWSUIT REINSTATED</w:t>
      </w:r>
    </w:p>
    <w:p w14:paraId="0790AF18" w14:textId="77777777" w:rsidR="00BD1702" w:rsidRDefault="00BD1702" w:rsidP="00BD1702">
      <w:pPr>
        <w:spacing w:before="100" w:beforeAutospacing="1" w:after="100" w:afterAutospacing="1" w:line="240" w:lineRule="auto"/>
        <w:rPr>
          <w:rStyle w:val="markedcontent"/>
          <w:rFonts w:ascii="Times New Roman" w:hAnsi="Times New Roman"/>
          <w:sz w:val="24"/>
          <w:szCs w:val="24"/>
        </w:rPr>
      </w:pPr>
      <w:r>
        <w:rPr>
          <w:rStyle w:val="markedcontent"/>
          <w:rFonts w:ascii="Times New Roman" w:hAnsi="Times New Roman"/>
          <w:sz w:val="24"/>
          <w:szCs w:val="24"/>
        </w:rPr>
        <w:t xml:space="preserve">On Sept. 16, 2021, in </w:t>
      </w:r>
      <w:r>
        <w:rPr>
          <w:rStyle w:val="markedcontent"/>
          <w:rFonts w:ascii="Times New Roman" w:hAnsi="Times New Roman"/>
          <w:sz w:val="24"/>
          <w:szCs w:val="24"/>
          <w:u w:val="single"/>
        </w:rPr>
        <w:t>Richard Cadoura v. Flat Rock Fire Department, et al</w:t>
      </w:r>
      <w:r>
        <w:rPr>
          <w:rStyle w:val="markedcontent"/>
          <w:rFonts w:ascii="Times New Roman" w:hAnsi="Times New Roman"/>
          <w:sz w:val="24"/>
          <w:szCs w:val="24"/>
        </w:rPr>
        <w:t xml:space="preserve">., the State of Michigan Court of Appeals, held (3 to 0), in an unpublished decision, that trial court judge improperly dismissed the lawsuit because of “simple teasing” during the firefighter’s 15 months of probation with the fire department.  The Court of Appeals strongly disagreed. </w:t>
      </w:r>
    </w:p>
    <w:p w14:paraId="5499D05C" w14:textId="77777777" w:rsidR="00BD1702" w:rsidRDefault="00BD1702" w:rsidP="00BD1702">
      <w:pPr>
        <w:spacing w:before="100" w:beforeAutospacing="1" w:after="100" w:afterAutospacing="1" w:line="240" w:lineRule="auto"/>
        <w:ind w:left="720"/>
        <w:rPr>
          <w:rStyle w:val="markedcontent"/>
          <w:rFonts w:ascii="Times New Roman" w:hAnsi="Times New Roman"/>
          <w:sz w:val="24"/>
          <w:szCs w:val="24"/>
        </w:rPr>
      </w:pPr>
      <w:r w:rsidRPr="000A41C2">
        <w:rPr>
          <w:rStyle w:val="markedcontent"/>
          <w:rFonts w:ascii="Times New Roman" w:hAnsi="Times New Roman"/>
          <w:sz w:val="24"/>
          <w:szCs w:val="24"/>
        </w:rPr>
        <w:t xml:space="preserve">“In this case, plaintiff presented evidence sufficient to create a genuine issue of material fact regarding whether there was </w:t>
      </w:r>
      <w:r w:rsidRPr="000A41C2">
        <w:rPr>
          <w:rFonts w:ascii="Times New Roman" w:hAnsi="Times New Roman"/>
          <w:sz w:val="24"/>
          <w:szCs w:val="24"/>
        </w:rPr>
        <w:t xml:space="preserve">an intimidating, hostile, and offensive work environment. There was documentary evidence of the text message with an image of a camel, the questioning of plaintiff’s parentage in regard to his son, the ‘sand n****r’ slur, the playing of Arabic music over the firetruck’s PA system on multiple occasions, the beheaded camel figurine with an American flag stuck in it, and the references to towels being used for cleaning and not to wear on one’s head. In conjunction with that evidence, there was plaintiff’s testimony regarding his work conditions and his claimed mistreatment and harassment by full-timers and by Sergeant Rose, as well as his testimony that AFC Hammond and Fire Chief </w:t>
      </w:r>
      <w:proofErr w:type="spellStart"/>
      <w:r w:rsidRPr="000A41C2">
        <w:rPr>
          <w:rFonts w:ascii="Times New Roman" w:hAnsi="Times New Roman"/>
          <w:sz w:val="24"/>
          <w:szCs w:val="24"/>
        </w:rPr>
        <w:t>Vack</w:t>
      </w:r>
      <w:proofErr w:type="spellEnd"/>
      <w:r w:rsidRPr="000A41C2">
        <w:rPr>
          <w:rFonts w:ascii="Times New Roman" w:hAnsi="Times New Roman"/>
          <w:sz w:val="24"/>
          <w:szCs w:val="24"/>
        </w:rPr>
        <w:t xml:space="preserve"> did nothing to address or alleviate the toxic environment. We conclude that the trial court erred by determining </w:t>
      </w:r>
      <w:r w:rsidRPr="000A41C2">
        <w:rPr>
          <w:rFonts w:ascii="Times New Roman" w:hAnsi="Times New Roman"/>
          <w:sz w:val="24"/>
          <w:szCs w:val="24"/>
        </w:rPr>
        <w:br/>
      </w:r>
      <w:r w:rsidRPr="000A41C2">
        <w:rPr>
          <w:rStyle w:val="markedcontent"/>
          <w:rFonts w:ascii="Times New Roman" w:hAnsi="Times New Roman"/>
          <w:sz w:val="24"/>
          <w:szCs w:val="24"/>
        </w:rPr>
        <w:t>as a matter of law that there was no hostile work environment.”</w:t>
      </w:r>
      <w:r>
        <w:rPr>
          <w:rFonts w:ascii="Times New Roman" w:hAnsi="Times New Roman"/>
          <w:sz w:val="24"/>
          <w:szCs w:val="24"/>
        </w:rPr>
        <w:t xml:space="preserve"> </w:t>
      </w:r>
      <w:hyperlink r:id="rId1585" w:history="1">
        <w:r>
          <w:rPr>
            <w:rStyle w:val="Hyperlink"/>
            <w:sz w:val="24"/>
            <w:szCs w:val="24"/>
          </w:rPr>
          <w:t>https://www.courts.mi.gov/4a7f39/siteassets/case-documents/uploads/opinions/final/coa/20210916_c353618_41_353618.opn.pdf</w:t>
        </w:r>
      </w:hyperlink>
      <w:r>
        <w:rPr>
          <w:rStyle w:val="markedcontent"/>
          <w:rFonts w:ascii="Times New Roman" w:hAnsi="Times New Roman"/>
          <w:sz w:val="24"/>
          <w:szCs w:val="24"/>
        </w:rPr>
        <w:t xml:space="preserve"> </w:t>
      </w:r>
    </w:p>
    <w:p w14:paraId="299A1175" w14:textId="77777777" w:rsidR="00BD1702" w:rsidRDefault="00BD1702" w:rsidP="00BD1702">
      <w:pPr>
        <w:pStyle w:val="docdate"/>
        <w:rPr>
          <w:rStyle w:val="markedcontent"/>
          <w:rFonts w:eastAsiaTheme="majorEastAsia"/>
          <w:b/>
          <w:bCs/>
        </w:rPr>
      </w:pPr>
      <w:r>
        <w:rPr>
          <w:rStyle w:val="markedcontent"/>
          <w:rFonts w:eastAsiaTheme="majorEastAsia"/>
          <w:b/>
          <w:bCs/>
        </w:rPr>
        <w:t>Legal Lesson Learned:  Firefighters must understand that their acts of “simple teasing” can be very harmful, and officers have an obligation to prevent a hostile work atmosphere.</w:t>
      </w:r>
    </w:p>
    <w:p w14:paraId="640B75EA" w14:textId="77777777" w:rsidR="00BD1702" w:rsidRDefault="00BD1702" w:rsidP="00BC70A3">
      <w:pPr>
        <w:rPr>
          <w:rFonts w:ascii="Arial Black" w:hAnsi="Arial Black"/>
          <w:b/>
          <w:sz w:val="24"/>
          <w:szCs w:val="24"/>
        </w:rPr>
      </w:pPr>
    </w:p>
    <w:p w14:paraId="6A09C869" w14:textId="7F00FD89" w:rsidR="00BD263B" w:rsidRDefault="00BD263B" w:rsidP="00BC70A3">
      <w:pPr>
        <w:rPr>
          <w:rFonts w:ascii="Arial Black" w:hAnsi="Arial Black"/>
          <w:b/>
          <w:sz w:val="24"/>
          <w:szCs w:val="24"/>
        </w:rPr>
      </w:pPr>
      <w:r>
        <w:rPr>
          <w:rFonts w:ascii="Arial Black" w:hAnsi="Arial Black"/>
          <w:b/>
          <w:sz w:val="24"/>
          <w:szCs w:val="24"/>
        </w:rPr>
        <w:t>8-31</w:t>
      </w:r>
    </w:p>
    <w:p w14:paraId="60AEBF23" w14:textId="77777777" w:rsidR="00BD263B" w:rsidRDefault="00BD263B" w:rsidP="00BD263B">
      <w:pPr>
        <w:pStyle w:val="NoSpacing"/>
        <w:rPr>
          <w:rFonts w:ascii="Arial Black" w:hAnsi="Arial Black"/>
          <w:sz w:val="28"/>
          <w:szCs w:val="28"/>
        </w:rPr>
      </w:pPr>
      <w:bookmarkStart w:id="317" w:name="_Hlk81842350"/>
      <w:r>
        <w:rPr>
          <w:rFonts w:ascii="Arial Black" w:hAnsi="Arial Black"/>
          <w:sz w:val="28"/>
          <w:szCs w:val="28"/>
        </w:rPr>
        <w:t>NY:  FDNY – SCBAs – FD NOW FOLLOWING OSHA NO BEARD REQUIREMENT – ADA LAWSUIT BY BLACK FF DISMISSED</w:t>
      </w:r>
    </w:p>
    <w:bookmarkEnd w:id="317"/>
    <w:p w14:paraId="2AE784D9" w14:textId="77777777" w:rsidR="00BD263B" w:rsidRDefault="00BD263B" w:rsidP="00BD263B">
      <w:pPr>
        <w:pStyle w:val="NoSpacing"/>
        <w:rPr>
          <w:rFonts w:ascii="Arial Black" w:hAnsi="Arial Black"/>
          <w:sz w:val="28"/>
          <w:szCs w:val="28"/>
        </w:rPr>
      </w:pPr>
    </w:p>
    <w:p w14:paraId="0EE0383A" w14:textId="77777777" w:rsidR="00BD263B" w:rsidRDefault="00BD263B" w:rsidP="00BD263B">
      <w:pPr>
        <w:pStyle w:val="NoSpacing"/>
        <w:rPr>
          <w:rFonts w:ascii="Times New Roman" w:hAnsi="Times New Roman"/>
          <w:sz w:val="24"/>
          <w:szCs w:val="24"/>
        </w:rPr>
      </w:pPr>
      <w:r>
        <w:rPr>
          <w:rFonts w:ascii="Times New Roman" w:hAnsi="Times New Roman"/>
          <w:sz w:val="24"/>
          <w:szCs w:val="24"/>
        </w:rPr>
        <w:t xml:space="preserve">On June 9, 2021, in </w:t>
      </w:r>
      <w:r>
        <w:rPr>
          <w:rFonts w:ascii="Times New Roman" w:hAnsi="Times New Roman"/>
          <w:sz w:val="24"/>
          <w:szCs w:val="24"/>
          <w:u w:val="single"/>
        </w:rPr>
        <w:t>Sa</w:t>
      </w:r>
      <w:r w:rsidRPr="00730B7F">
        <w:rPr>
          <w:rFonts w:ascii="Times New Roman" w:hAnsi="Times New Roman"/>
          <w:sz w:val="24"/>
          <w:szCs w:val="24"/>
          <w:u w:val="single"/>
        </w:rPr>
        <w:t>lik Bey, Terrel Joseph, Steven Seymour, Clyde Phillips v. City of New York</w:t>
      </w:r>
      <w:r>
        <w:rPr>
          <w:rFonts w:ascii="Times New Roman" w:hAnsi="Times New Roman"/>
          <w:sz w:val="24"/>
          <w:szCs w:val="24"/>
        </w:rPr>
        <w:t xml:space="preserve">, the U.S. Court of Appeals for the Second District (New York City), held (3 to 0) that the U.S. District Court incorrectly found a violation of the ADA for enforcing a strict grooming policy. </w:t>
      </w:r>
    </w:p>
    <w:p w14:paraId="4AD9AFCF" w14:textId="77777777" w:rsidR="00BD263B" w:rsidRDefault="00BD263B" w:rsidP="00BD263B">
      <w:pPr>
        <w:pStyle w:val="NoSpacing"/>
        <w:rPr>
          <w:rFonts w:ascii="Times New Roman" w:hAnsi="Times New Roman"/>
          <w:sz w:val="24"/>
          <w:szCs w:val="24"/>
        </w:rPr>
      </w:pPr>
    </w:p>
    <w:p w14:paraId="1C3A6E85" w14:textId="77777777" w:rsidR="00BD263B" w:rsidRPr="00264EF8" w:rsidRDefault="00BD263B" w:rsidP="00BD263B">
      <w:pPr>
        <w:pStyle w:val="NoSpacing"/>
        <w:ind w:left="720"/>
        <w:rPr>
          <w:rFonts w:ascii="Times New Roman" w:hAnsi="Times New Roman"/>
          <w:sz w:val="24"/>
          <w:szCs w:val="24"/>
        </w:rPr>
      </w:pPr>
      <w:r>
        <w:rPr>
          <w:rFonts w:ascii="Times New Roman" w:hAnsi="Times New Roman"/>
          <w:sz w:val="24"/>
          <w:szCs w:val="24"/>
        </w:rPr>
        <w:t>“</w:t>
      </w:r>
      <w:r w:rsidRPr="00264EF8">
        <w:rPr>
          <w:rFonts w:ascii="Times New Roman" w:hAnsi="Times New Roman"/>
          <w:sz w:val="24"/>
          <w:szCs w:val="24"/>
        </w:rPr>
        <w:t xml:space="preserve">The fact that no adverse safety events were reported during the period when the FDNY permitted the Firefighters to avoid shaving does not now preclude the FDNY from enforcing the respiratory-protection standard as written. Nor does the fact that the FDNY previously permitted the Firefighters to maintain short beards. The regulation at issue is of OSHA’s devising, not the FDNY’s. </w:t>
      </w:r>
    </w:p>
    <w:p w14:paraId="08AEA163" w14:textId="77777777" w:rsidR="00BD263B" w:rsidRDefault="00BD263B" w:rsidP="00BD263B">
      <w:pPr>
        <w:pStyle w:val="NoSpacing"/>
        <w:rPr>
          <w:rFonts w:ascii="Times New Roman" w:hAnsi="Times New Roman"/>
          <w:sz w:val="24"/>
          <w:szCs w:val="24"/>
        </w:rPr>
      </w:pPr>
      <w:r>
        <w:rPr>
          <w:rFonts w:ascii="Times New Roman" w:hAnsi="Times New Roman"/>
          <w:sz w:val="24"/>
          <w:szCs w:val="24"/>
        </w:rPr>
        <w:tab/>
        <w:t>***</w:t>
      </w:r>
    </w:p>
    <w:p w14:paraId="2E7207DE" w14:textId="77777777" w:rsidR="00BD263B" w:rsidRDefault="00BD263B" w:rsidP="00BD263B">
      <w:pPr>
        <w:pStyle w:val="NoSpacing"/>
        <w:rPr>
          <w:rFonts w:ascii="Times New Roman" w:hAnsi="Times New Roman"/>
          <w:sz w:val="24"/>
          <w:szCs w:val="24"/>
        </w:rPr>
      </w:pPr>
    </w:p>
    <w:p w14:paraId="70B1664E" w14:textId="67A48C43" w:rsidR="00BD263B" w:rsidRDefault="00BD263B" w:rsidP="00BD263B">
      <w:pPr>
        <w:rPr>
          <w:rFonts w:ascii="Arial Black" w:hAnsi="Arial Black"/>
          <w:b/>
          <w:sz w:val="24"/>
          <w:szCs w:val="24"/>
        </w:rPr>
      </w:pPr>
      <w:r w:rsidRPr="00730B7F">
        <w:rPr>
          <w:rFonts w:ascii="Times New Roman" w:hAnsi="Times New Roman"/>
          <w:sz w:val="24"/>
          <w:szCs w:val="24"/>
        </w:rPr>
        <w:t>At bottom, OSHA’s regulations are binding on the FDNY and prohibit the accommodation that the Firefighters seek</w:t>
      </w:r>
      <w:r>
        <w:rPr>
          <w:rFonts w:ascii="Times New Roman" w:hAnsi="Times New Roman"/>
          <w:sz w:val="24"/>
          <w:szCs w:val="24"/>
        </w:rPr>
        <w:t>.</w:t>
      </w:r>
      <w:r w:rsidRPr="00730B7F">
        <w:rPr>
          <w:rFonts w:ascii="Times New Roman" w:hAnsi="Times New Roman"/>
          <w:sz w:val="24"/>
          <w:szCs w:val="24"/>
        </w:rPr>
        <w:t xml:space="preserve"> </w:t>
      </w:r>
      <w:r>
        <w:rPr>
          <w:rFonts w:ascii="Times New Roman" w:hAnsi="Times New Roman"/>
          <w:sz w:val="24"/>
          <w:szCs w:val="24"/>
        </w:rPr>
        <w:t xml:space="preserve"> </w:t>
      </w:r>
      <w:r w:rsidRPr="00730B7F">
        <w:rPr>
          <w:rFonts w:ascii="Times New Roman" w:hAnsi="Times New Roman"/>
          <w:sz w:val="24"/>
          <w:szCs w:val="24"/>
        </w:rPr>
        <w:t xml:space="preserve">That ends the matter. Of course, the Firefighters retain the ability to present their evidence to OSHA if </w:t>
      </w:r>
      <w:r w:rsidRPr="00730B7F">
        <w:rPr>
          <w:rFonts w:ascii="Times New Roman" w:hAnsi="Times New Roman"/>
          <w:sz w:val="24"/>
          <w:szCs w:val="24"/>
        </w:rPr>
        <w:lastRenderedPageBreak/>
        <w:t>they continue to believe that the respiratory-protection standard is unduly restrictive; but it is OSHA to which such a challenge should be directed, not the FDNY, and not the courts.</w:t>
      </w:r>
      <w:r>
        <w:rPr>
          <w:rFonts w:ascii="Times New Roman" w:hAnsi="Times New Roman"/>
          <w:sz w:val="24"/>
          <w:szCs w:val="24"/>
        </w:rPr>
        <w:t xml:space="preserve">” </w:t>
      </w:r>
      <w:hyperlink r:id="rId1586" w:history="1">
        <w:r w:rsidRPr="00C10414">
          <w:rPr>
            <w:rStyle w:val="Hyperlink"/>
            <w:sz w:val="24"/>
            <w:szCs w:val="24"/>
          </w:rPr>
          <w:t>https://law.justia.com/cases/federal/appellate-courts/ca2/20-456/20-456-2021-06-09.html</w:t>
        </w:r>
      </w:hyperlink>
    </w:p>
    <w:p w14:paraId="73CB2904" w14:textId="77777777" w:rsidR="00BD263B" w:rsidRPr="00D648D1" w:rsidRDefault="00BD263B" w:rsidP="00BD263B">
      <w:pPr>
        <w:spacing w:after="0" w:line="240" w:lineRule="auto"/>
        <w:rPr>
          <w:rFonts w:ascii="Times New Roman" w:eastAsia="Times New Roman" w:hAnsi="Times New Roman"/>
          <w:b/>
          <w:bCs/>
          <w:sz w:val="24"/>
          <w:szCs w:val="24"/>
        </w:rPr>
      </w:pPr>
      <w:r w:rsidRPr="00264EF8">
        <w:rPr>
          <w:rFonts w:ascii="Times New Roman" w:eastAsia="Times New Roman" w:hAnsi="Times New Roman"/>
          <w:b/>
          <w:bCs/>
          <w:sz w:val="24"/>
          <w:szCs w:val="24"/>
        </w:rPr>
        <w:t>Legal Lesson Learned:</w:t>
      </w:r>
      <w:r>
        <w:rPr>
          <w:rFonts w:ascii="Times New Roman" w:eastAsia="Times New Roman" w:hAnsi="Times New Roman"/>
          <w:b/>
          <w:bCs/>
          <w:sz w:val="24"/>
          <w:szCs w:val="24"/>
        </w:rPr>
        <w:t xml:space="preserve"> OSHA regulations are being enforced by FDNY and the Court.</w:t>
      </w:r>
    </w:p>
    <w:p w14:paraId="53F18540" w14:textId="77777777" w:rsidR="00BD263B" w:rsidRDefault="00BD263B" w:rsidP="00BD263B">
      <w:pPr>
        <w:pStyle w:val="NormalWeb"/>
        <w:ind w:left="720"/>
      </w:pPr>
      <w:r w:rsidRPr="00264EF8">
        <w:t xml:space="preserve">Note:  The Court recognized prior decisions may have required </w:t>
      </w:r>
      <w:proofErr w:type="gramStart"/>
      <w:r w:rsidRPr="00264EF8">
        <w:t>accommodations</w:t>
      </w:r>
      <w:proofErr w:type="gramEnd"/>
      <w:r w:rsidRPr="00264EF8">
        <w:t>. “Footnote 7. The Firefighters identify several cases involving similar disputes between firefighters and fire departments that they see as supporting an alternative outcome. But those cases are distinguishable as they either stated that OSHA regulations were not binding on the defendant fire department, see Potter v. District of Columbia, 558 F.3d 542, 553 (D.C. Cir. 2009) (Williams, J., concurring); Fitzpatrick v. City of Atlanta, 2 F.3d 1112, 1121 (11th Cir. 1993), or failed to mention OSHA regulations altogether, see generally Kennedy v. District of Columbia, 654 A.2d 847 (D.C. 1994).</w:t>
      </w:r>
      <w:r>
        <w:t>”</w:t>
      </w:r>
    </w:p>
    <w:p w14:paraId="673C24DE" w14:textId="77777777" w:rsidR="00BD263B" w:rsidRDefault="00BD263B" w:rsidP="00BC70A3">
      <w:pPr>
        <w:rPr>
          <w:rFonts w:ascii="Arial Black" w:hAnsi="Arial Black"/>
          <w:b/>
          <w:sz w:val="24"/>
          <w:szCs w:val="24"/>
        </w:rPr>
      </w:pPr>
    </w:p>
    <w:p w14:paraId="297EB944" w14:textId="77777777" w:rsidR="00BD263B" w:rsidRDefault="00BD263B" w:rsidP="00BC70A3">
      <w:pPr>
        <w:rPr>
          <w:rFonts w:ascii="Arial Black" w:hAnsi="Arial Black"/>
          <w:b/>
          <w:sz w:val="24"/>
          <w:szCs w:val="24"/>
        </w:rPr>
      </w:pPr>
    </w:p>
    <w:p w14:paraId="2B335A1C" w14:textId="095F564F" w:rsidR="005217D5" w:rsidRDefault="005217D5" w:rsidP="00BC70A3">
      <w:pPr>
        <w:rPr>
          <w:rFonts w:ascii="Arial Black" w:hAnsi="Arial Black"/>
          <w:b/>
          <w:sz w:val="24"/>
          <w:szCs w:val="24"/>
        </w:rPr>
      </w:pPr>
      <w:r>
        <w:rPr>
          <w:rFonts w:ascii="Arial Black" w:hAnsi="Arial Black"/>
          <w:b/>
          <w:sz w:val="24"/>
          <w:szCs w:val="24"/>
        </w:rPr>
        <w:t>8-30</w:t>
      </w:r>
    </w:p>
    <w:p w14:paraId="2E9D4824" w14:textId="77777777" w:rsidR="005217D5" w:rsidRDefault="005217D5" w:rsidP="005217D5">
      <w:pPr>
        <w:spacing w:before="100" w:beforeAutospacing="1" w:after="100" w:afterAutospacing="1" w:line="240" w:lineRule="auto"/>
        <w:rPr>
          <w:rFonts w:ascii="Arial Black" w:eastAsia="Times New Roman" w:hAnsi="Arial Black"/>
          <w:b/>
          <w:bCs/>
          <w:sz w:val="28"/>
          <w:szCs w:val="28"/>
        </w:rPr>
      </w:pPr>
      <w:r w:rsidRPr="002C3E25">
        <w:rPr>
          <w:rFonts w:ascii="Arial Black" w:eastAsia="Times New Roman" w:hAnsi="Arial Black"/>
          <w:b/>
          <w:bCs/>
          <w:sz w:val="28"/>
          <w:szCs w:val="28"/>
        </w:rPr>
        <w:t>OH</w:t>
      </w:r>
      <w:r>
        <w:rPr>
          <w:rFonts w:ascii="Arial Black" w:eastAsia="Times New Roman" w:hAnsi="Arial Black"/>
          <w:b/>
          <w:bCs/>
          <w:sz w:val="28"/>
          <w:szCs w:val="28"/>
        </w:rPr>
        <w:t xml:space="preserve">: SHIFT CHANGE TO HAVE ONE “WHITE” OFFICER ON DUTY – LAWSUIT BY 5 BLACK EMS CAPTAINS REINSTATED </w:t>
      </w:r>
    </w:p>
    <w:p w14:paraId="62E55010" w14:textId="77777777" w:rsidR="005217D5" w:rsidRPr="00F82822" w:rsidRDefault="005217D5" w:rsidP="005217D5">
      <w:pPr>
        <w:spacing w:before="100" w:beforeAutospacing="1" w:after="100" w:afterAutospacing="1" w:line="240" w:lineRule="auto"/>
        <w:rPr>
          <w:rFonts w:ascii="Times New Roman" w:eastAsia="Times New Roman" w:hAnsi="Times New Roman"/>
          <w:sz w:val="24"/>
          <w:szCs w:val="24"/>
        </w:rPr>
      </w:pPr>
      <w:r w:rsidRPr="00002E7A">
        <w:rPr>
          <w:rFonts w:ascii="Times New Roman" w:eastAsia="Times New Roman" w:hAnsi="Times New Roman"/>
          <w:sz w:val="24"/>
          <w:szCs w:val="24"/>
        </w:rPr>
        <w:t xml:space="preserve">On July 26, 2021, in </w:t>
      </w:r>
      <w:r w:rsidRPr="00002E7A">
        <w:rPr>
          <w:rFonts w:ascii="Times New Roman" w:eastAsia="Times New Roman" w:hAnsi="Times New Roman"/>
          <w:sz w:val="24"/>
          <w:szCs w:val="24"/>
          <w:u w:val="single"/>
        </w:rPr>
        <w:t>Michael Threat; Margarita Noland-Moore; Pamela Beavers; Lawrence Walker; Reginald Anderson v. City of Cleveland, Ohio; Nicole Carlton, Personally and in her official capacity as Commissioner</w:t>
      </w:r>
      <w:r w:rsidRPr="00002E7A">
        <w:rPr>
          <w:rFonts w:ascii="Times New Roman" w:eastAsia="Times New Roman" w:hAnsi="Times New Roman"/>
          <w:sz w:val="24"/>
          <w:szCs w:val="24"/>
        </w:rPr>
        <w:t xml:space="preserve">, </w:t>
      </w:r>
      <w:r>
        <w:rPr>
          <w:rFonts w:ascii="Times New Roman" w:eastAsia="Times New Roman" w:hAnsi="Times New Roman"/>
          <w:sz w:val="24"/>
          <w:szCs w:val="24"/>
        </w:rPr>
        <w:t>the U.S. Court of Appeals for 6</w:t>
      </w:r>
      <w:r w:rsidRPr="00002E7A">
        <w:rPr>
          <w:rFonts w:ascii="Times New Roman" w:eastAsia="Times New Roman" w:hAnsi="Times New Roman"/>
          <w:sz w:val="24"/>
          <w:szCs w:val="24"/>
          <w:vertAlign w:val="superscript"/>
        </w:rPr>
        <w:t>th</w:t>
      </w:r>
      <w:r>
        <w:rPr>
          <w:rFonts w:ascii="Times New Roman" w:eastAsia="Times New Roman" w:hAnsi="Times New Roman"/>
          <w:sz w:val="24"/>
          <w:szCs w:val="24"/>
        </w:rPr>
        <w:t xml:space="preserve"> Circuit (Cincinnati) held (3 to 0) that trial court improperly held shift change was not a </w:t>
      </w:r>
      <w:r w:rsidRPr="00F82822">
        <w:rPr>
          <w:rFonts w:ascii="Times New Roman" w:hAnsi="Times New Roman"/>
          <w:sz w:val="24"/>
          <w:szCs w:val="24"/>
        </w:rPr>
        <w:t>"materially adverse employment action"</w:t>
      </w:r>
      <w:r>
        <w:rPr>
          <w:rFonts w:ascii="Times New Roman" w:hAnsi="Times New Roman"/>
          <w:sz w:val="24"/>
          <w:szCs w:val="24"/>
        </w:rPr>
        <w:t xml:space="preserve"> since Captain Reginald Anderson he was only transferred to nights for five months. The 6</w:t>
      </w:r>
      <w:r w:rsidRPr="00F82822">
        <w:rPr>
          <w:rFonts w:ascii="Times New Roman" w:hAnsi="Times New Roman"/>
          <w:sz w:val="24"/>
          <w:szCs w:val="24"/>
          <w:vertAlign w:val="superscript"/>
        </w:rPr>
        <w:t>th</w:t>
      </w:r>
      <w:r>
        <w:rPr>
          <w:rFonts w:ascii="Times New Roman" w:hAnsi="Times New Roman"/>
          <w:sz w:val="24"/>
          <w:szCs w:val="24"/>
        </w:rPr>
        <w:t xml:space="preserve"> Circuit </w:t>
      </w:r>
      <w:r>
        <w:rPr>
          <w:rFonts w:ascii="Times New Roman" w:eastAsia="Times New Roman" w:hAnsi="Times New Roman"/>
          <w:sz w:val="24"/>
          <w:szCs w:val="24"/>
        </w:rPr>
        <w:t xml:space="preserve">disagreed and reinstated his lawsuit; it also ordered the trial judge to reconsider the claims by the other 4 Captains </w:t>
      </w:r>
      <w:r w:rsidRPr="00F82822">
        <w:rPr>
          <w:rFonts w:ascii="Times New Roman" w:hAnsi="Times New Roman"/>
          <w:sz w:val="24"/>
          <w:szCs w:val="24"/>
        </w:rPr>
        <w:t>that the city's race-based assignment policy</w:t>
      </w:r>
      <w:r>
        <w:rPr>
          <w:rFonts w:ascii="Times New Roman" w:hAnsi="Times New Roman"/>
          <w:sz w:val="24"/>
          <w:szCs w:val="24"/>
        </w:rPr>
        <w:t xml:space="preserve"> adversely affected them.</w:t>
      </w:r>
      <w:r w:rsidRPr="00F82822">
        <w:rPr>
          <w:rFonts w:ascii="Times New Roman" w:hAnsi="Times New Roman"/>
          <w:sz w:val="24"/>
          <w:szCs w:val="24"/>
        </w:rPr>
        <w:t xml:space="preserve"> </w:t>
      </w:r>
    </w:p>
    <w:p w14:paraId="123D5E7E" w14:textId="77777777" w:rsidR="005217D5" w:rsidRDefault="005217D5" w:rsidP="005217D5">
      <w:pPr>
        <w:spacing w:before="100" w:beforeAutospacing="1" w:after="100" w:afterAutospacing="1" w:line="240" w:lineRule="auto"/>
        <w:ind w:left="720"/>
        <w:rPr>
          <w:rFonts w:ascii="Times New Roman" w:hAnsi="Times New Roman"/>
          <w:sz w:val="24"/>
          <w:szCs w:val="24"/>
        </w:rPr>
      </w:pPr>
      <w:r w:rsidRPr="002C1532">
        <w:rPr>
          <w:rFonts w:ascii="Times New Roman" w:hAnsi="Times New Roman"/>
          <w:sz w:val="24"/>
          <w:szCs w:val="24"/>
        </w:rPr>
        <w:t>“Do discriminatory shift changes based on race violate Title VII of the Civil Rights Act of 1964? We think so.</w:t>
      </w:r>
    </w:p>
    <w:p w14:paraId="575EB1BB" w14:textId="77777777" w:rsidR="005217D5" w:rsidRDefault="005217D5" w:rsidP="005217D5">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p>
    <w:p w14:paraId="66D54858" w14:textId="77777777" w:rsidR="005217D5" w:rsidRDefault="005217D5" w:rsidP="005217D5">
      <w:pPr>
        <w:spacing w:before="100" w:beforeAutospacing="1" w:after="100" w:afterAutospacing="1" w:line="240" w:lineRule="auto"/>
        <w:ind w:left="720"/>
        <w:rPr>
          <w:rFonts w:ascii="Times New Roman" w:hAnsi="Times New Roman"/>
          <w:sz w:val="24"/>
          <w:szCs w:val="24"/>
        </w:rPr>
      </w:pPr>
      <w:r w:rsidRPr="000D43D9">
        <w:rPr>
          <w:rFonts w:ascii="Times New Roman" w:hAnsi="Times New Roman"/>
          <w:sz w:val="24"/>
          <w:szCs w:val="24"/>
        </w:rPr>
        <w:t xml:space="preserve">There also is little room for debate that the city treated the black captains differently </w:t>
      </w:r>
      <w:r>
        <w:rPr>
          <w:rFonts w:ascii="Times New Roman" w:hAnsi="Times New Roman"/>
          <w:sz w:val="24"/>
          <w:szCs w:val="24"/>
        </w:rPr>
        <w:t>‘</w:t>
      </w:r>
      <w:r w:rsidRPr="000D43D9">
        <w:rPr>
          <w:rFonts w:ascii="Times New Roman" w:hAnsi="Times New Roman"/>
          <w:sz w:val="24"/>
          <w:szCs w:val="24"/>
        </w:rPr>
        <w:t>because of</w:t>
      </w:r>
      <w:r>
        <w:rPr>
          <w:rFonts w:ascii="Times New Roman" w:hAnsi="Times New Roman"/>
          <w:sz w:val="24"/>
          <w:szCs w:val="24"/>
        </w:rPr>
        <w:t>’</w:t>
      </w:r>
      <w:r w:rsidRPr="000D43D9">
        <w:rPr>
          <w:rFonts w:ascii="Times New Roman" w:hAnsi="Times New Roman"/>
          <w:sz w:val="24"/>
          <w:szCs w:val="24"/>
        </w:rPr>
        <w:t xml:space="preserve"> their </w:t>
      </w:r>
      <w:r>
        <w:rPr>
          <w:rFonts w:ascii="Times New Roman" w:hAnsi="Times New Roman"/>
          <w:sz w:val="24"/>
          <w:szCs w:val="24"/>
        </w:rPr>
        <w:t>‘</w:t>
      </w:r>
      <w:r w:rsidRPr="000D43D9">
        <w:rPr>
          <w:rFonts w:ascii="Times New Roman" w:hAnsi="Times New Roman"/>
          <w:sz w:val="24"/>
          <w:szCs w:val="24"/>
        </w:rPr>
        <w:t>race.</w:t>
      </w:r>
      <w:r>
        <w:rPr>
          <w:rFonts w:ascii="Times New Roman" w:hAnsi="Times New Roman"/>
          <w:sz w:val="24"/>
          <w:szCs w:val="24"/>
        </w:rPr>
        <w:t>’</w:t>
      </w:r>
      <w:r w:rsidRPr="000D43D9">
        <w:rPr>
          <w:rFonts w:ascii="Times New Roman" w:hAnsi="Times New Roman"/>
          <w:sz w:val="24"/>
          <w:szCs w:val="24"/>
        </w:rPr>
        <w:t xml:space="preserve"> </w:t>
      </w:r>
      <w:r>
        <w:rPr>
          <w:rFonts w:ascii="Times New Roman" w:hAnsi="Times New Roman"/>
          <w:sz w:val="24"/>
          <w:szCs w:val="24"/>
        </w:rPr>
        <w:t xml:space="preserve"> [Cleveland EMS Commission Nicole] </w:t>
      </w:r>
      <w:r w:rsidRPr="000D43D9">
        <w:rPr>
          <w:rFonts w:ascii="Times New Roman" w:hAnsi="Times New Roman"/>
          <w:sz w:val="24"/>
          <w:szCs w:val="24"/>
        </w:rPr>
        <w:t>Carlton admitted that she switched out a black captain for a white one to adjust the shift's racial makeup. That counts as direct evidence of discrimination based on race.</w:t>
      </w:r>
    </w:p>
    <w:p w14:paraId="1F454A03" w14:textId="77777777" w:rsidR="005217D5" w:rsidRDefault="005217D5" w:rsidP="005217D5">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p>
    <w:p w14:paraId="40351A19" w14:textId="77777777" w:rsidR="005217D5" w:rsidRPr="000D43D9" w:rsidRDefault="005217D5" w:rsidP="005217D5">
      <w:pPr>
        <w:spacing w:before="100" w:beforeAutospacing="1" w:after="100" w:afterAutospacing="1" w:line="240" w:lineRule="auto"/>
        <w:ind w:left="720"/>
        <w:rPr>
          <w:rFonts w:ascii="Times New Roman" w:eastAsia="Times New Roman" w:hAnsi="Times New Roman"/>
          <w:sz w:val="24"/>
          <w:szCs w:val="24"/>
        </w:rPr>
      </w:pPr>
      <w:r w:rsidRPr="000D43D9">
        <w:rPr>
          <w:rFonts w:ascii="Times New Roman" w:hAnsi="Times New Roman"/>
          <w:sz w:val="24"/>
          <w:szCs w:val="24"/>
        </w:rPr>
        <w:t xml:space="preserve">In this instance, employer-required shift changes from </w:t>
      </w:r>
      <w:proofErr w:type="gramStart"/>
      <w:r w:rsidRPr="000D43D9">
        <w:rPr>
          <w:rFonts w:ascii="Times New Roman" w:hAnsi="Times New Roman"/>
          <w:sz w:val="24"/>
          <w:szCs w:val="24"/>
        </w:rPr>
        <w:t>a preferred</w:t>
      </w:r>
      <w:proofErr w:type="gramEnd"/>
      <w:r w:rsidRPr="000D43D9">
        <w:rPr>
          <w:rFonts w:ascii="Times New Roman" w:hAnsi="Times New Roman"/>
          <w:sz w:val="24"/>
          <w:szCs w:val="24"/>
        </w:rPr>
        <w:t xml:space="preserve"> day to another day or from day shifts to night shifts exceed any de minimis exception, any fair construction of the anchoring words of Title VII, and for that matter any Article III injury requirement. Whether we refer to claims of discrimination based on race in </w:t>
      </w:r>
      <w:r>
        <w:rPr>
          <w:rFonts w:ascii="Times New Roman" w:hAnsi="Times New Roman"/>
          <w:sz w:val="24"/>
          <w:szCs w:val="24"/>
        </w:rPr>
        <w:t>‘</w:t>
      </w:r>
      <w:r w:rsidRPr="000D43D9">
        <w:rPr>
          <w:rFonts w:ascii="Times New Roman" w:hAnsi="Times New Roman"/>
          <w:sz w:val="24"/>
          <w:szCs w:val="24"/>
        </w:rPr>
        <w:t>terms</w:t>
      </w:r>
      <w:r>
        <w:rPr>
          <w:rFonts w:ascii="Times New Roman" w:hAnsi="Times New Roman"/>
          <w:sz w:val="24"/>
          <w:szCs w:val="24"/>
        </w:rPr>
        <w:t>’</w:t>
      </w:r>
      <w:r w:rsidRPr="000D43D9">
        <w:rPr>
          <w:rFonts w:ascii="Times New Roman" w:hAnsi="Times New Roman"/>
          <w:sz w:val="24"/>
          <w:szCs w:val="24"/>
        </w:rPr>
        <w:t xml:space="preserve"> or </w:t>
      </w:r>
      <w:r>
        <w:rPr>
          <w:rFonts w:ascii="Times New Roman" w:hAnsi="Times New Roman"/>
          <w:sz w:val="24"/>
          <w:szCs w:val="24"/>
        </w:rPr>
        <w:t>‘</w:t>
      </w:r>
      <w:r w:rsidRPr="000D43D9">
        <w:rPr>
          <w:rFonts w:ascii="Times New Roman" w:hAnsi="Times New Roman"/>
          <w:sz w:val="24"/>
          <w:szCs w:val="24"/>
        </w:rPr>
        <w:t>privileges</w:t>
      </w:r>
      <w:r>
        <w:rPr>
          <w:rFonts w:ascii="Times New Roman" w:hAnsi="Times New Roman"/>
          <w:sz w:val="24"/>
          <w:szCs w:val="24"/>
        </w:rPr>
        <w:t>’</w:t>
      </w:r>
      <w:r w:rsidRPr="000D43D9">
        <w:rPr>
          <w:rFonts w:ascii="Times New Roman" w:hAnsi="Times New Roman"/>
          <w:sz w:val="24"/>
          <w:szCs w:val="24"/>
        </w:rPr>
        <w:t xml:space="preserve"> of employment or to claims of discrimination based on race in </w:t>
      </w:r>
      <w:r>
        <w:rPr>
          <w:rFonts w:ascii="Times New Roman" w:hAnsi="Times New Roman"/>
          <w:sz w:val="24"/>
          <w:szCs w:val="24"/>
        </w:rPr>
        <w:t>‘</w:t>
      </w:r>
      <w:r w:rsidRPr="000D43D9">
        <w:rPr>
          <w:rFonts w:ascii="Times New Roman" w:hAnsi="Times New Roman"/>
          <w:sz w:val="24"/>
          <w:szCs w:val="24"/>
        </w:rPr>
        <w:t>materially adverse</w:t>
      </w:r>
      <w:r>
        <w:rPr>
          <w:rFonts w:ascii="Times New Roman" w:hAnsi="Times New Roman"/>
          <w:sz w:val="24"/>
          <w:szCs w:val="24"/>
        </w:rPr>
        <w:t>’</w:t>
      </w:r>
      <w:r w:rsidRPr="000D43D9">
        <w:rPr>
          <w:rFonts w:ascii="Times New Roman" w:hAnsi="Times New Roman"/>
          <w:sz w:val="24"/>
          <w:szCs w:val="24"/>
        </w:rPr>
        <w:t xml:space="preserve"> terms of employment, the conclusion is the same: They state a cognizable claim under Title VII when they refer to shift changes of this sort and under these circumstances.</w:t>
      </w:r>
      <w:r>
        <w:rPr>
          <w:rFonts w:ascii="Times New Roman" w:hAnsi="Times New Roman"/>
          <w:sz w:val="24"/>
          <w:szCs w:val="24"/>
        </w:rPr>
        <w:t xml:space="preserve">” </w:t>
      </w:r>
      <w:hyperlink r:id="rId1587" w:history="1">
        <w:r w:rsidRPr="00814A02">
          <w:rPr>
            <w:rStyle w:val="Hyperlink"/>
            <w:sz w:val="24"/>
            <w:szCs w:val="24"/>
          </w:rPr>
          <w:t>https://www.justice.gov/crt/case-document/file/1419071/download</w:t>
        </w:r>
      </w:hyperlink>
      <w:r>
        <w:rPr>
          <w:rFonts w:ascii="Times New Roman" w:hAnsi="Times New Roman"/>
          <w:sz w:val="24"/>
          <w:szCs w:val="24"/>
        </w:rPr>
        <w:t xml:space="preserve"> </w:t>
      </w:r>
    </w:p>
    <w:p w14:paraId="6A343B0B" w14:textId="77777777" w:rsidR="005217D5" w:rsidRDefault="005217D5" w:rsidP="005217D5">
      <w:pPr>
        <w:pStyle w:val="Heading1"/>
        <w:rPr>
          <w:b w:val="0"/>
          <w:bCs w:val="0"/>
          <w:sz w:val="24"/>
          <w:szCs w:val="24"/>
        </w:rPr>
      </w:pPr>
      <w:r w:rsidRPr="00DB6861">
        <w:rPr>
          <w:sz w:val="24"/>
          <w:szCs w:val="24"/>
        </w:rPr>
        <w:lastRenderedPageBreak/>
        <w:t>Legal Lesson Learned: Using race to “balance a shift” is an invitation to a lawsuit</w:t>
      </w:r>
      <w:r>
        <w:rPr>
          <w:sz w:val="24"/>
          <w:szCs w:val="24"/>
        </w:rPr>
        <w:t xml:space="preserve">; this case needs to be settled. </w:t>
      </w:r>
    </w:p>
    <w:p w14:paraId="70CA0888" w14:textId="77777777" w:rsidR="005217D5" w:rsidRPr="00DB6861" w:rsidRDefault="005217D5" w:rsidP="005217D5">
      <w:pPr>
        <w:pStyle w:val="Heading1"/>
        <w:ind w:left="720"/>
        <w:rPr>
          <w:b w:val="0"/>
          <w:bCs w:val="0"/>
          <w:sz w:val="24"/>
          <w:szCs w:val="24"/>
        </w:rPr>
      </w:pPr>
      <w:r w:rsidRPr="00311032">
        <w:rPr>
          <w:b w:val="0"/>
          <w:bCs w:val="0"/>
          <w:sz w:val="24"/>
          <w:szCs w:val="24"/>
        </w:rPr>
        <w:t>See also Ohio Civil Rights Commission ruling</w:t>
      </w:r>
      <w:r>
        <w:rPr>
          <w:sz w:val="24"/>
          <w:szCs w:val="24"/>
        </w:rPr>
        <w:t>.</w:t>
      </w:r>
      <w:r>
        <w:rPr>
          <w:b w:val="0"/>
          <w:bCs w:val="0"/>
          <w:sz w:val="24"/>
          <w:szCs w:val="24"/>
        </w:rPr>
        <w:t xml:space="preserve"> “</w:t>
      </w:r>
      <w:r w:rsidRPr="00DB6861">
        <w:rPr>
          <w:b w:val="0"/>
          <w:bCs w:val="0"/>
          <w:sz w:val="24"/>
          <w:szCs w:val="24"/>
        </w:rPr>
        <w:t>I-Team: Race and sex used to schedule EMS bosses</w:t>
      </w:r>
      <w:r>
        <w:rPr>
          <w:b w:val="0"/>
          <w:bCs w:val="0"/>
          <w:sz w:val="24"/>
          <w:szCs w:val="24"/>
        </w:rPr>
        <w:t xml:space="preserve">.” (Aug. 3, 2018). </w:t>
      </w:r>
      <w:r w:rsidRPr="00DB6861">
        <w:rPr>
          <w:b w:val="0"/>
          <w:bCs w:val="0"/>
          <w:sz w:val="24"/>
          <w:szCs w:val="24"/>
        </w:rPr>
        <w:t xml:space="preserve">CLEVELAND — The FOX 8 I-Team has uncovered an explosive ruling by the Ohio Civil Rights Commission finding that </w:t>
      </w:r>
      <w:hyperlink r:id="rId1588" w:history="1">
        <w:r w:rsidRPr="00DB6861">
          <w:rPr>
            <w:rStyle w:val="Hyperlink"/>
            <w:sz w:val="24"/>
            <w:szCs w:val="24"/>
          </w:rPr>
          <w:t>Cleveland EMS</w:t>
        </w:r>
      </w:hyperlink>
      <w:r w:rsidRPr="00DB6861">
        <w:rPr>
          <w:b w:val="0"/>
          <w:bCs w:val="0"/>
          <w:sz w:val="24"/>
          <w:szCs w:val="24"/>
        </w:rPr>
        <w:t xml:space="preserve"> “more likely than not” assigned work shifts to Captains on the “basis of race and sex.” The Commission found it “PROBABLE” the city “has engaged in an unlawful discriminatory practice.” </w:t>
      </w:r>
      <w:hyperlink r:id="rId1589" w:history="1">
        <w:r w:rsidRPr="00DB6861">
          <w:rPr>
            <w:rStyle w:val="Hyperlink"/>
            <w:sz w:val="24"/>
            <w:szCs w:val="24"/>
          </w:rPr>
          <w:t>https://fox8.com/news/i-team-race-and-sex-used-to-schedule-ems-bosses/</w:t>
        </w:r>
      </w:hyperlink>
      <w:r>
        <w:rPr>
          <w:b w:val="0"/>
          <w:bCs w:val="0"/>
          <w:sz w:val="24"/>
          <w:szCs w:val="24"/>
        </w:rPr>
        <w:t xml:space="preserve"> </w:t>
      </w:r>
    </w:p>
    <w:p w14:paraId="11B64D0F" w14:textId="77777777" w:rsidR="005217D5" w:rsidRPr="00780B1D" w:rsidRDefault="005217D5" w:rsidP="005217D5">
      <w:pPr>
        <w:pStyle w:val="Heading1"/>
        <w:ind w:left="720"/>
        <w:rPr>
          <w:b w:val="0"/>
          <w:bCs w:val="0"/>
          <w:sz w:val="24"/>
          <w:szCs w:val="24"/>
        </w:rPr>
      </w:pPr>
      <w:r w:rsidRPr="001D5CFD">
        <w:rPr>
          <w:b w:val="0"/>
          <w:bCs w:val="0"/>
          <w:sz w:val="24"/>
          <w:szCs w:val="24"/>
        </w:rPr>
        <w:t>Note: See article on the</w:t>
      </w:r>
      <w:r>
        <w:rPr>
          <w:b w:val="0"/>
          <w:bCs w:val="0"/>
          <w:sz w:val="24"/>
          <w:szCs w:val="24"/>
        </w:rPr>
        <w:t xml:space="preserve"> 6th Cir. </w:t>
      </w:r>
      <w:r w:rsidRPr="001D5CFD">
        <w:rPr>
          <w:b w:val="0"/>
          <w:bCs w:val="0"/>
          <w:sz w:val="24"/>
          <w:szCs w:val="24"/>
        </w:rPr>
        <w:t xml:space="preserve"> decision.</w:t>
      </w:r>
      <w:r>
        <w:rPr>
          <w:sz w:val="24"/>
          <w:szCs w:val="24"/>
        </w:rPr>
        <w:t xml:space="preserve">  “</w:t>
      </w:r>
      <w:r w:rsidRPr="001D5CFD">
        <w:rPr>
          <w:b w:val="0"/>
          <w:bCs w:val="0"/>
          <w:sz w:val="24"/>
          <w:szCs w:val="24"/>
        </w:rPr>
        <w:t>Court rules in favor of five Cleveland EMS Captains who claimed discrimination against their boss</w:t>
      </w:r>
      <w:r>
        <w:rPr>
          <w:b w:val="0"/>
          <w:bCs w:val="0"/>
          <w:sz w:val="24"/>
          <w:szCs w:val="24"/>
        </w:rPr>
        <w:t>.” (July 27, 2021.) “</w:t>
      </w:r>
      <w:r w:rsidRPr="001D5CFD">
        <w:rPr>
          <w:b w:val="0"/>
          <w:bCs w:val="0"/>
          <w:sz w:val="24"/>
          <w:szCs w:val="24"/>
        </w:rPr>
        <w:t xml:space="preserve">Carlton admitted under oath that she required Black Captains to face a shift change when the shift was all Black when “there’s never been a change made when there’s </w:t>
      </w:r>
      <w:proofErr w:type="gramStart"/>
      <w:r w:rsidRPr="001D5CFD">
        <w:rPr>
          <w:b w:val="0"/>
          <w:bCs w:val="0"/>
          <w:sz w:val="24"/>
          <w:szCs w:val="24"/>
        </w:rPr>
        <w:t>an</w:t>
      </w:r>
      <w:proofErr w:type="gramEnd"/>
      <w:r w:rsidRPr="001D5CFD">
        <w:rPr>
          <w:b w:val="0"/>
          <w:bCs w:val="0"/>
          <w:sz w:val="24"/>
          <w:szCs w:val="24"/>
        </w:rPr>
        <w:t xml:space="preserve"> all Caucasian shift, to make it a not all Caucasian </w:t>
      </w:r>
      <w:proofErr w:type="gramStart"/>
      <w:r w:rsidRPr="001D5CFD">
        <w:rPr>
          <w:b w:val="0"/>
          <w:bCs w:val="0"/>
          <w:sz w:val="24"/>
          <w:szCs w:val="24"/>
        </w:rPr>
        <w:t>shift</w:t>
      </w:r>
      <w:proofErr w:type="gramEnd"/>
      <w:r w:rsidRPr="001D5CFD">
        <w:rPr>
          <w:b w:val="0"/>
          <w:bCs w:val="0"/>
          <w:sz w:val="24"/>
          <w:szCs w:val="24"/>
        </w:rPr>
        <w:t>.</w:t>
      </w:r>
      <w:r>
        <w:rPr>
          <w:b w:val="0"/>
          <w:bCs w:val="0"/>
          <w:sz w:val="24"/>
          <w:szCs w:val="24"/>
        </w:rPr>
        <w:t>”</w:t>
      </w:r>
      <w:r>
        <w:t xml:space="preserve"> </w:t>
      </w:r>
      <w:hyperlink r:id="rId1590" w:history="1">
        <w:r w:rsidRPr="00780B1D">
          <w:rPr>
            <w:rStyle w:val="Hyperlink"/>
            <w:sz w:val="24"/>
            <w:szCs w:val="24"/>
          </w:rPr>
          <w:t>https://www.cleveland19.com/2021/07/27/court-rules-favor-five-cleveland-ems-captains-who-claimed-discrimination-against-their-boss/</w:t>
        </w:r>
      </w:hyperlink>
      <w:r w:rsidRPr="00780B1D">
        <w:rPr>
          <w:b w:val="0"/>
          <w:bCs w:val="0"/>
          <w:sz w:val="24"/>
          <w:szCs w:val="24"/>
        </w:rPr>
        <w:t xml:space="preserve"> </w:t>
      </w:r>
    </w:p>
    <w:p w14:paraId="19B6F179" w14:textId="77777777" w:rsidR="005217D5" w:rsidRDefault="005217D5" w:rsidP="005217D5">
      <w:pPr>
        <w:pStyle w:val="Heading1"/>
        <w:ind w:left="720"/>
        <w:rPr>
          <w:b w:val="0"/>
          <w:bCs w:val="0"/>
          <w:sz w:val="24"/>
          <w:szCs w:val="24"/>
        </w:rPr>
      </w:pPr>
      <w:r>
        <w:rPr>
          <w:b w:val="0"/>
          <w:bCs w:val="0"/>
          <w:sz w:val="24"/>
          <w:szCs w:val="24"/>
        </w:rPr>
        <w:t>See also: “</w:t>
      </w:r>
      <w:r w:rsidRPr="002C1532">
        <w:rPr>
          <w:b w:val="0"/>
          <w:bCs w:val="0"/>
          <w:sz w:val="24"/>
          <w:szCs w:val="24"/>
        </w:rPr>
        <w:t>DOJ Says Black EMS Captains Can Prove Bias Without Material Harm</w:t>
      </w:r>
      <w:r>
        <w:rPr>
          <w:b w:val="0"/>
          <w:bCs w:val="0"/>
          <w:sz w:val="24"/>
          <w:szCs w:val="24"/>
        </w:rPr>
        <w:t xml:space="preserve">.” (July 13, 2021.) </w:t>
      </w:r>
      <w:hyperlink r:id="rId1591" w:history="1">
        <w:r w:rsidRPr="00814A02">
          <w:rPr>
            <w:rStyle w:val="Hyperlink"/>
            <w:sz w:val="24"/>
            <w:szCs w:val="24"/>
          </w:rPr>
          <w:t>https://news.bloomberglaw.com/daily-labor-report/doj-says-black-ems-captains-can-prove-bias-without-material-harm</w:t>
        </w:r>
      </w:hyperlink>
      <w:r>
        <w:rPr>
          <w:b w:val="0"/>
          <w:bCs w:val="0"/>
          <w:sz w:val="24"/>
          <w:szCs w:val="24"/>
        </w:rPr>
        <w:t xml:space="preserve"> </w:t>
      </w:r>
    </w:p>
    <w:p w14:paraId="1A5A6B34" w14:textId="77777777" w:rsidR="005217D5" w:rsidRDefault="005217D5" w:rsidP="005217D5">
      <w:pPr>
        <w:pStyle w:val="Heading1"/>
        <w:ind w:left="720"/>
        <w:rPr>
          <w:b w:val="0"/>
          <w:bCs w:val="0"/>
          <w:sz w:val="24"/>
          <w:szCs w:val="24"/>
        </w:rPr>
      </w:pPr>
    </w:p>
    <w:p w14:paraId="650291B9" w14:textId="77777777" w:rsidR="005217D5" w:rsidRDefault="005217D5" w:rsidP="00BC70A3">
      <w:pPr>
        <w:rPr>
          <w:rFonts w:ascii="Arial Black" w:hAnsi="Arial Black"/>
          <w:b/>
          <w:sz w:val="24"/>
          <w:szCs w:val="24"/>
        </w:rPr>
      </w:pPr>
    </w:p>
    <w:p w14:paraId="707FE524" w14:textId="77777777" w:rsidR="005217D5" w:rsidRDefault="005217D5" w:rsidP="00BC70A3">
      <w:pPr>
        <w:rPr>
          <w:rFonts w:ascii="Arial Black" w:hAnsi="Arial Black"/>
          <w:b/>
          <w:sz w:val="24"/>
          <w:szCs w:val="24"/>
        </w:rPr>
      </w:pPr>
    </w:p>
    <w:p w14:paraId="348674BE" w14:textId="6C14AEB9" w:rsidR="0077274E" w:rsidRDefault="0077274E" w:rsidP="00BC70A3">
      <w:pPr>
        <w:rPr>
          <w:rFonts w:ascii="Arial Black" w:hAnsi="Arial Black"/>
          <w:b/>
          <w:sz w:val="24"/>
          <w:szCs w:val="24"/>
        </w:rPr>
      </w:pPr>
      <w:r>
        <w:rPr>
          <w:rFonts w:ascii="Arial Black" w:hAnsi="Arial Black"/>
          <w:b/>
          <w:sz w:val="24"/>
          <w:szCs w:val="24"/>
        </w:rPr>
        <w:t>8-29</w:t>
      </w:r>
    </w:p>
    <w:p w14:paraId="18B376EC" w14:textId="77777777" w:rsidR="00EA7C42" w:rsidRPr="00EA7C42" w:rsidRDefault="00EA7C42" w:rsidP="00EA7C42">
      <w:pPr>
        <w:rPr>
          <w:rFonts w:ascii="Arial Black" w:hAnsi="Arial Black"/>
          <w:b/>
          <w:bCs/>
          <w:sz w:val="28"/>
          <w:szCs w:val="28"/>
        </w:rPr>
      </w:pPr>
      <w:r w:rsidRPr="00EA7C42">
        <w:rPr>
          <w:rFonts w:ascii="Arial Black" w:hAnsi="Arial Black"/>
          <w:b/>
          <w:bCs/>
          <w:sz w:val="28"/>
          <w:szCs w:val="28"/>
        </w:rPr>
        <w:t>MA: LT. MISTAKENLY LEFT “N” WORD VOICEMAIL - RACE COMPLAINT - THREATS “GO POSTAL” – FF REINSTATED</w:t>
      </w:r>
    </w:p>
    <w:p w14:paraId="51C70952" w14:textId="77777777" w:rsidR="0077274E" w:rsidRDefault="0077274E" w:rsidP="0077274E">
      <w:pPr>
        <w:spacing w:before="100" w:beforeAutospacing="1" w:after="100" w:afterAutospacing="1" w:line="240" w:lineRule="auto"/>
        <w:rPr>
          <w:rFonts w:ascii="Times New Roman" w:eastAsia="Times New Roman" w:hAnsi="Times New Roman"/>
          <w:sz w:val="24"/>
          <w:szCs w:val="24"/>
        </w:rPr>
      </w:pPr>
      <w:r w:rsidRPr="00FE7451">
        <w:rPr>
          <w:rFonts w:ascii="Times New Roman" w:eastAsia="Times New Roman" w:hAnsi="Times New Roman"/>
          <w:sz w:val="24"/>
          <w:szCs w:val="24"/>
        </w:rPr>
        <w:t> </w:t>
      </w:r>
      <w:r>
        <w:rPr>
          <w:rFonts w:ascii="Times New Roman" w:eastAsia="Times New Roman" w:hAnsi="Times New Roman"/>
          <w:sz w:val="24"/>
          <w:szCs w:val="24"/>
        </w:rPr>
        <w:t xml:space="preserve">On April 27, 2021, in </w:t>
      </w:r>
      <w:r w:rsidRPr="00FE7451">
        <w:rPr>
          <w:rFonts w:ascii="Times New Roman" w:eastAsia="Times New Roman" w:hAnsi="Times New Roman"/>
          <w:sz w:val="24"/>
          <w:szCs w:val="24"/>
          <w:u w:val="single"/>
        </w:rPr>
        <w:t>Town of Brookline v. Gerald Alston, et al</w:t>
      </w:r>
      <w:r>
        <w:rPr>
          <w:rFonts w:ascii="Times New Roman" w:eastAsia="Times New Roman" w:hAnsi="Times New Roman"/>
          <w:sz w:val="24"/>
          <w:szCs w:val="24"/>
        </w:rPr>
        <w:t xml:space="preserve">., the Supreme Judicial Court of Massachusetts (Chief Justice Scott L. </w:t>
      </w:r>
      <w:proofErr w:type="spellStart"/>
      <w:r>
        <w:rPr>
          <w:rFonts w:ascii="Times New Roman" w:eastAsia="Times New Roman" w:hAnsi="Times New Roman"/>
          <w:sz w:val="24"/>
          <w:szCs w:val="24"/>
        </w:rPr>
        <w:t>Kafker</w:t>
      </w:r>
      <w:proofErr w:type="spellEnd"/>
      <w:r>
        <w:rPr>
          <w:rFonts w:ascii="Times New Roman" w:eastAsia="Times New Roman" w:hAnsi="Times New Roman"/>
          <w:sz w:val="24"/>
          <w:szCs w:val="24"/>
        </w:rPr>
        <w:t>), after 6 years of litigation, upheld the Civil Service Commission and a trial court’s decision to reinstate the firefighter.  The Civil Service Commission, after a 10-day evidentiary hearing (14 witnesses; 280 exhibits) ordered him reinstated; the Town appealed to a Superior Court judge, who held for the firefighter; the Town then filed this appeal and lost again. In 2016, plaintiff was fired for refusing to comply with three (3) return to work conditions as recommended by psychiatrist retained by Town: “</w:t>
      </w:r>
      <w:r w:rsidRPr="00784C0E">
        <w:rPr>
          <w:rFonts w:ascii="Times New Roman" w:eastAsia="Times New Roman" w:hAnsi="Times New Roman"/>
          <w:sz w:val="24"/>
          <w:szCs w:val="24"/>
        </w:rPr>
        <w:t>First, Alston would have to receive monthly treatment from a psychiatrist and weekly treatment with a therapist. Second, there would have to be reasonable</w:t>
      </w:r>
      <w:r>
        <w:rPr>
          <w:rFonts w:ascii="Times New Roman" w:eastAsia="Times New Roman" w:hAnsi="Times New Roman"/>
          <w:sz w:val="24"/>
          <w:szCs w:val="24"/>
        </w:rPr>
        <w:t xml:space="preserve"> </w:t>
      </w:r>
      <w:r w:rsidRPr="00784C0E">
        <w:rPr>
          <w:rFonts w:ascii="Times New Roman" w:eastAsia="Times New Roman" w:hAnsi="Times New Roman"/>
          <w:sz w:val="24"/>
          <w:szCs w:val="24"/>
        </w:rPr>
        <w:t xml:space="preserve">workplace </w:t>
      </w:r>
      <w:proofErr w:type="gramStart"/>
      <w:r w:rsidRPr="00784C0E">
        <w:rPr>
          <w:rFonts w:ascii="Times New Roman" w:eastAsia="Times New Roman" w:hAnsi="Times New Roman"/>
          <w:sz w:val="24"/>
          <w:szCs w:val="24"/>
        </w:rPr>
        <w:t>accommodations</w:t>
      </w:r>
      <w:proofErr w:type="gramEnd"/>
      <w:r w:rsidRPr="00784C0E">
        <w:rPr>
          <w:rFonts w:ascii="Times New Roman" w:eastAsia="Times New Roman" w:hAnsi="Times New Roman"/>
          <w:sz w:val="24"/>
          <w:szCs w:val="24"/>
        </w:rPr>
        <w:t xml:space="preserve"> that reduced the level of stress for Alston. Third, Alston would have to undergo random drug screening for two years after he returned to work.</w:t>
      </w:r>
      <w:r>
        <w:rPr>
          <w:rFonts w:ascii="Times New Roman" w:eastAsia="Times New Roman" w:hAnsi="Times New Roman"/>
          <w:sz w:val="24"/>
          <w:szCs w:val="24"/>
        </w:rPr>
        <w:t xml:space="preserve">”  </w:t>
      </w:r>
    </w:p>
    <w:p w14:paraId="5BBD6914" w14:textId="77777777" w:rsidR="0077274E" w:rsidRDefault="0077274E" w:rsidP="0077274E">
      <w:pPr>
        <w:spacing w:before="100" w:beforeAutospacing="1" w:after="100" w:afterAutospacing="1" w:line="240" w:lineRule="auto"/>
        <w:ind w:left="720"/>
        <w:rPr>
          <w:rFonts w:ascii="Times New Roman" w:hAnsi="Times New Roman"/>
          <w:sz w:val="24"/>
          <w:szCs w:val="24"/>
        </w:rPr>
      </w:pPr>
      <w:r>
        <w:rPr>
          <w:rFonts w:ascii="Times New Roman" w:eastAsia="Times New Roman" w:hAnsi="Times New Roman"/>
          <w:sz w:val="24"/>
          <w:szCs w:val="24"/>
        </w:rPr>
        <w:t>“</w:t>
      </w:r>
      <w:r w:rsidRPr="00963D04">
        <w:rPr>
          <w:rFonts w:ascii="Times New Roman" w:hAnsi="Times New Roman"/>
          <w:sz w:val="24"/>
          <w:szCs w:val="24"/>
        </w:rPr>
        <w:t xml:space="preserve">The underlying dispute in this case began with a racist comment, apparently on a misplaced telephone call. As Lieutenant Paul Pender was in a car driven by his son, he was cut off by a stranger. Pender referred to the person as a "fucking n----r." Unbeknownst to him, Pender had not properly hung up from a previous call, and he left a record of what he said on the voicemail of fellow firefighter Gerald Alston. Alston is </w:t>
      </w:r>
      <w:proofErr w:type="gramStart"/>
      <w:r w:rsidRPr="00963D04">
        <w:rPr>
          <w:rFonts w:ascii="Times New Roman" w:hAnsi="Times New Roman"/>
          <w:sz w:val="24"/>
          <w:szCs w:val="24"/>
        </w:rPr>
        <w:t>African-American</w:t>
      </w:r>
      <w:proofErr w:type="gramEnd"/>
      <w:r w:rsidRPr="00963D04">
        <w:rPr>
          <w:rFonts w:ascii="Times New Roman" w:hAnsi="Times New Roman"/>
          <w:sz w:val="24"/>
          <w:szCs w:val="24"/>
        </w:rPr>
        <w:t>; Pender, his supervisor at the time, is Caucasian. A tumultuous six years of litigation and acrimony ensued, culminating in 2016 with Pender receiving his third promotion since leaving the voicemail and Alston being fired by the town of Brookline (town).</w:t>
      </w:r>
    </w:p>
    <w:p w14:paraId="0C751064" w14:textId="77777777" w:rsidR="0077274E" w:rsidRDefault="0077274E" w:rsidP="0077274E">
      <w:pPr>
        <w:spacing w:before="100" w:beforeAutospacing="1" w:after="100" w:afterAutospacing="1" w:line="240" w:lineRule="auto"/>
        <w:ind w:left="720"/>
        <w:rPr>
          <w:rFonts w:ascii="Times New Roman" w:eastAsia="Times New Roman" w:hAnsi="Times New Roman"/>
          <w:sz w:val="24"/>
          <w:szCs w:val="24"/>
        </w:rPr>
      </w:pPr>
      <w:r>
        <w:rPr>
          <w:rFonts w:ascii="Times New Roman" w:hAnsi="Times New Roman"/>
          <w:sz w:val="24"/>
          <w:szCs w:val="24"/>
        </w:rPr>
        <w:lastRenderedPageBreak/>
        <w:t>***</w:t>
      </w:r>
    </w:p>
    <w:p w14:paraId="020283EE" w14:textId="77777777" w:rsidR="0077274E" w:rsidRPr="00A30885" w:rsidRDefault="0077274E" w:rsidP="0077274E">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[W]</w:t>
      </w:r>
      <w:r w:rsidRPr="002C4711">
        <w:rPr>
          <w:rFonts w:ascii="Times New Roman" w:eastAsia="Times New Roman" w:hAnsi="Times New Roman"/>
          <w:sz w:val="24"/>
          <w:szCs w:val="24"/>
        </w:rPr>
        <w:t xml:space="preserve">e </w:t>
      </w:r>
      <w:proofErr w:type="gramStart"/>
      <w:r w:rsidRPr="002C4711">
        <w:rPr>
          <w:rFonts w:ascii="Times New Roman" w:eastAsia="Times New Roman" w:hAnsi="Times New Roman"/>
          <w:sz w:val="24"/>
          <w:szCs w:val="24"/>
        </w:rPr>
        <w:t>conclude</w:t>
      </w:r>
      <w:proofErr w:type="gramEnd"/>
      <w:r w:rsidRPr="002C4711">
        <w:rPr>
          <w:rFonts w:ascii="Times New Roman" w:eastAsia="Times New Roman" w:hAnsi="Times New Roman"/>
          <w:sz w:val="24"/>
          <w:szCs w:val="24"/>
        </w:rPr>
        <w:t xml:space="preserve"> that there is substantial evidence to support the commission's determination that the town acted arbitrarily and capriciously and in violation of </w:t>
      </w:r>
      <w:r>
        <w:rPr>
          <w:rFonts w:ascii="Times New Roman" w:eastAsia="Times New Roman" w:hAnsi="Times New Roman"/>
          <w:sz w:val="24"/>
          <w:szCs w:val="24"/>
        </w:rPr>
        <w:t>‘</w:t>
      </w:r>
      <w:r w:rsidRPr="002C4711">
        <w:rPr>
          <w:rFonts w:ascii="Times New Roman" w:eastAsia="Times New Roman" w:hAnsi="Times New Roman"/>
          <w:sz w:val="24"/>
          <w:szCs w:val="24"/>
        </w:rPr>
        <w:t>Alston's rights under the civil service law to be treated fairly 'without regard to . . . race.' Considering Pender's racist comment, the retaliatory actions, and the town's continuously insensitive and inappropriate, if not outright</w:t>
      </w:r>
      <w:r>
        <w:rPr>
          <w:rFonts w:ascii="Times New Roman" w:eastAsia="Times New Roman" w:hAnsi="Times New Roman"/>
          <w:sz w:val="24"/>
          <w:szCs w:val="24"/>
        </w:rPr>
        <w:t xml:space="preserve"> </w:t>
      </w:r>
      <w:r w:rsidRPr="002C4711">
        <w:rPr>
          <w:rFonts w:ascii="Times New Roman" w:eastAsia="Times New Roman" w:hAnsi="Times New Roman"/>
          <w:sz w:val="24"/>
          <w:szCs w:val="24"/>
        </w:rPr>
        <w:t xml:space="preserve">discriminatory, responses, the commission's findings constitute </w:t>
      </w:r>
      <w:r>
        <w:rPr>
          <w:rFonts w:ascii="Times New Roman" w:eastAsia="Times New Roman" w:hAnsi="Times New Roman"/>
          <w:sz w:val="24"/>
          <w:szCs w:val="24"/>
        </w:rPr>
        <w:t>‘</w:t>
      </w:r>
      <w:r w:rsidRPr="002C4711">
        <w:rPr>
          <w:rFonts w:ascii="Times New Roman" w:eastAsia="Times New Roman" w:hAnsi="Times New Roman"/>
          <w:sz w:val="24"/>
          <w:szCs w:val="24"/>
        </w:rPr>
        <w:t>such evidence as a reasonable mind might accept as adequate to support</w:t>
      </w:r>
      <w:r>
        <w:rPr>
          <w:rFonts w:ascii="Times New Roman" w:eastAsia="Times New Roman" w:hAnsi="Times New Roman"/>
          <w:sz w:val="24"/>
          <w:szCs w:val="24"/>
        </w:rPr>
        <w:t>’</w:t>
      </w:r>
      <w:r w:rsidRPr="002C4711">
        <w:rPr>
          <w:rFonts w:ascii="Times New Roman" w:eastAsia="Times New Roman" w:hAnsi="Times New Roman"/>
          <w:sz w:val="24"/>
          <w:szCs w:val="24"/>
        </w:rPr>
        <w:t xml:space="preserve"> the conclusion that the town caused Alston's unfitness preventing his return to work.</w:t>
      </w:r>
      <w:r>
        <w:rPr>
          <w:rFonts w:ascii="Times New Roman" w:eastAsia="Times New Roman" w:hAnsi="Times New Roman"/>
          <w:sz w:val="24"/>
          <w:szCs w:val="24"/>
        </w:rPr>
        <w:t xml:space="preserve">” </w:t>
      </w:r>
      <w:hyperlink r:id="rId1592" w:history="1">
        <w:r w:rsidRPr="0041276B">
          <w:rPr>
            <w:rStyle w:val="Hyperlink"/>
            <w:rFonts w:ascii="Times New Roman" w:hAnsi="Times New Roman"/>
            <w:sz w:val="24"/>
            <w:szCs w:val="24"/>
          </w:rPr>
          <w:t>https://public.fastcase.com/9SKwsfNqTc6OieYDhNMyM6Hs9QyuQxgDWvshWHam%2BmmecJULtiEuwgF0cJ0eF8SA</w:t>
        </w:r>
      </w:hyperlink>
      <w:r w:rsidRPr="00A30885">
        <w:rPr>
          <w:rFonts w:ascii="Times New Roman" w:eastAsia="Times New Roman" w:hAnsi="Times New Roman"/>
          <w:sz w:val="24"/>
          <w:szCs w:val="24"/>
        </w:rPr>
        <w:t xml:space="preserve"> </w:t>
      </w:r>
    </w:p>
    <w:p w14:paraId="7907E375" w14:textId="77777777" w:rsidR="003E0A22" w:rsidRDefault="003E0A22" w:rsidP="003E0A22">
      <w:pPr>
        <w:pStyle w:val="NormalWeb"/>
        <w:rPr>
          <w:b/>
          <w:bCs/>
        </w:rPr>
      </w:pPr>
      <w:r w:rsidRPr="005542D3">
        <w:rPr>
          <w:b/>
          <w:bCs/>
        </w:rPr>
        <w:t xml:space="preserve">Legal Lesson Learned: </w:t>
      </w:r>
      <w:r>
        <w:rPr>
          <w:b/>
          <w:bCs/>
        </w:rPr>
        <w:t xml:space="preserve"> Words matter; most unfortunate set of facts. </w:t>
      </w:r>
    </w:p>
    <w:p w14:paraId="3EADF105" w14:textId="77777777" w:rsidR="003E0A22" w:rsidRPr="002C4711" w:rsidRDefault="003E0A22" w:rsidP="003E0A22">
      <w:pPr>
        <w:pStyle w:val="NormalWeb"/>
        <w:ind w:left="720"/>
      </w:pPr>
      <w:r w:rsidRPr="002C4711">
        <w:t xml:space="preserve">Note: The Court in </w:t>
      </w:r>
      <w:r>
        <w:t>F</w:t>
      </w:r>
      <w:r w:rsidRPr="002C4711">
        <w:t>ootnote 23 wrote: “We emphasize today what should no longer need to be said in 2021 -- the use of "n----r" has absolutely no place in any workplace environment in the Commonwealth, including among those subject to the civil service laws.”</w:t>
      </w:r>
    </w:p>
    <w:p w14:paraId="32042DDA" w14:textId="77777777" w:rsidR="003E0A22" w:rsidRPr="00E07F70" w:rsidRDefault="003E0A22" w:rsidP="003E0A22">
      <w:pPr>
        <w:spacing w:before="100" w:beforeAutospacing="1" w:after="100" w:afterAutospacing="1" w:line="240" w:lineRule="auto"/>
        <w:ind w:left="720"/>
        <w:rPr>
          <w:rFonts w:ascii="Times New Roman" w:hAnsi="Times New Roman"/>
          <w:sz w:val="24"/>
          <w:szCs w:val="24"/>
        </w:rPr>
      </w:pPr>
      <w:r>
        <w:rPr>
          <w:rFonts w:ascii="Times New Roman" w:eastAsia="Times New Roman" w:hAnsi="Times New Roman"/>
          <w:sz w:val="24"/>
          <w:szCs w:val="24"/>
        </w:rPr>
        <w:t>See also this article on the case: “</w:t>
      </w:r>
      <w:r w:rsidRPr="00E07F70">
        <w:rPr>
          <w:rFonts w:ascii="Times New Roman" w:hAnsi="Times New Roman"/>
          <w:sz w:val="24"/>
          <w:szCs w:val="24"/>
        </w:rPr>
        <w:t xml:space="preserve">Brookline Appeals Superior Court Ruling </w:t>
      </w:r>
      <w:proofErr w:type="gramStart"/>
      <w:r w:rsidRPr="00E07F70">
        <w:rPr>
          <w:rFonts w:ascii="Times New Roman" w:hAnsi="Times New Roman"/>
          <w:sz w:val="24"/>
          <w:szCs w:val="24"/>
        </w:rPr>
        <w:t>On</w:t>
      </w:r>
      <w:proofErr w:type="gramEnd"/>
      <w:r w:rsidRPr="00E07F70">
        <w:rPr>
          <w:rFonts w:ascii="Times New Roman" w:hAnsi="Times New Roman"/>
          <w:sz w:val="24"/>
          <w:szCs w:val="24"/>
        </w:rPr>
        <w:t xml:space="preserve"> Firefighter Alston</w:t>
      </w:r>
      <w:r>
        <w:rPr>
          <w:rFonts w:ascii="Times New Roman" w:hAnsi="Times New Roman"/>
          <w:sz w:val="24"/>
          <w:szCs w:val="24"/>
        </w:rPr>
        <w:t>”</w:t>
      </w:r>
      <w:r w:rsidRPr="00E07F70">
        <w:rPr>
          <w:rFonts w:ascii="Times New Roman" w:hAnsi="Times New Roman"/>
          <w:sz w:val="24"/>
          <w:szCs w:val="24"/>
        </w:rPr>
        <w:t xml:space="preserve"> (Oct. 3, 2019): </w:t>
      </w:r>
      <w:hyperlink r:id="rId1593" w:history="1">
        <w:r w:rsidRPr="0041276B">
          <w:rPr>
            <w:rStyle w:val="Hyperlink"/>
            <w:rFonts w:ascii="Times New Roman" w:hAnsi="Times New Roman"/>
            <w:sz w:val="24"/>
            <w:szCs w:val="24"/>
          </w:rPr>
          <w:t>https://patch.com/massachusetts/brookline/brookline-select-board-votes-appeal-gerald-alston-case</w:t>
        </w:r>
      </w:hyperlink>
      <w:r w:rsidRPr="00E07F70">
        <w:rPr>
          <w:rFonts w:ascii="Times New Roman" w:hAnsi="Times New Roman"/>
          <w:sz w:val="24"/>
          <w:szCs w:val="24"/>
        </w:rPr>
        <w:t xml:space="preserve"> </w:t>
      </w:r>
    </w:p>
    <w:p w14:paraId="655FC049" w14:textId="77777777" w:rsidR="003E0A22" w:rsidRPr="0041276B" w:rsidRDefault="003E0A22" w:rsidP="003E0A22">
      <w:pPr>
        <w:ind w:left="720"/>
        <w:rPr>
          <w:rFonts w:ascii="Times New Roman" w:hAnsi="Times New Roman"/>
          <w:color w:val="1F497D"/>
          <w:sz w:val="24"/>
          <w:szCs w:val="24"/>
        </w:rPr>
      </w:pPr>
      <w:r w:rsidRPr="00F4718C">
        <w:rPr>
          <w:rFonts w:ascii="Times New Roman" w:hAnsi="Times New Roman"/>
          <w:sz w:val="24"/>
          <w:szCs w:val="24"/>
        </w:rPr>
        <w:t xml:space="preserve">See also this NASCAR article: </w:t>
      </w:r>
      <w:hyperlink r:id="rId1594" w:history="1">
        <w:r w:rsidRPr="0041276B">
          <w:rPr>
            <w:rStyle w:val="Hyperlink"/>
            <w:rFonts w:ascii="Times New Roman" w:hAnsi="Times New Roman"/>
            <w:sz w:val="24"/>
            <w:szCs w:val="24"/>
          </w:rPr>
          <w:t>https://www.charlotteobserver.com/sports/nascar-auto-racing/article241998186.html</w:t>
        </w:r>
      </w:hyperlink>
    </w:p>
    <w:p w14:paraId="3885E13E" w14:textId="77777777" w:rsidR="0077274E" w:rsidRDefault="0077274E" w:rsidP="00BC70A3">
      <w:pPr>
        <w:rPr>
          <w:rFonts w:ascii="Arial Black" w:hAnsi="Arial Black"/>
          <w:b/>
          <w:sz w:val="24"/>
          <w:szCs w:val="24"/>
        </w:rPr>
      </w:pPr>
    </w:p>
    <w:p w14:paraId="25FCABB4" w14:textId="77777777" w:rsidR="0077274E" w:rsidRDefault="0077274E" w:rsidP="00BC70A3">
      <w:pPr>
        <w:rPr>
          <w:rFonts w:ascii="Arial Black" w:hAnsi="Arial Black"/>
          <w:b/>
          <w:sz w:val="24"/>
          <w:szCs w:val="24"/>
        </w:rPr>
      </w:pPr>
    </w:p>
    <w:p w14:paraId="52C02748" w14:textId="77777777" w:rsidR="0077274E" w:rsidRDefault="0077274E" w:rsidP="00BC70A3">
      <w:pPr>
        <w:rPr>
          <w:rFonts w:ascii="Arial Black" w:hAnsi="Arial Black"/>
          <w:b/>
          <w:sz w:val="24"/>
          <w:szCs w:val="24"/>
        </w:rPr>
      </w:pPr>
    </w:p>
    <w:p w14:paraId="31D2CD6A" w14:textId="6953E68A" w:rsidR="00EB2493" w:rsidRDefault="00EB2493" w:rsidP="00BC70A3">
      <w:pPr>
        <w:rPr>
          <w:rFonts w:ascii="Arial Black" w:hAnsi="Arial Black"/>
          <w:b/>
          <w:sz w:val="24"/>
          <w:szCs w:val="24"/>
        </w:rPr>
      </w:pPr>
      <w:r>
        <w:rPr>
          <w:rFonts w:ascii="Arial Black" w:hAnsi="Arial Black"/>
          <w:b/>
          <w:sz w:val="24"/>
          <w:szCs w:val="24"/>
        </w:rPr>
        <w:t>8-28</w:t>
      </w:r>
    </w:p>
    <w:p w14:paraId="6F577F09" w14:textId="77777777" w:rsidR="00EB2493" w:rsidRPr="002D7177" w:rsidRDefault="00EB2493" w:rsidP="00EB2493">
      <w:pPr>
        <w:pStyle w:val="NoSpacing"/>
        <w:rPr>
          <w:rFonts w:ascii="Arial Black" w:hAnsi="Arial Black"/>
          <w:sz w:val="28"/>
          <w:szCs w:val="28"/>
        </w:rPr>
      </w:pPr>
      <w:r>
        <w:rPr>
          <w:rFonts w:ascii="Arial Black" w:hAnsi="Arial Black"/>
          <w:sz w:val="28"/>
          <w:szCs w:val="28"/>
        </w:rPr>
        <w:t>MA: AFRICAN AMERICAN FF – FIRED “UNFIT FOR DUTY” – LAWSUIT DISMISSED AGAINST CITIZEN NOT ON TOWN BOARD OF SELECTMEN</w:t>
      </w:r>
    </w:p>
    <w:p w14:paraId="48E667E4" w14:textId="3D6832F9" w:rsidR="00EB2493" w:rsidRDefault="00EB2493" w:rsidP="00EB2493">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On Feb. 19, 2021, in </w:t>
      </w:r>
      <w:r w:rsidRPr="002D7177">
        <w:rPr>
          <w:rFonts w:ascii="Times New Roman" w:eastAsia="Times New Roman" w:hAnsi="Times New Roman"/>
          <w:sz w:val="24"/>
          <w:szCs w:val="24"/>
          <w:u w:val="single"/>
        </w:rPr>
        <w:t>Gerald Alston v. Stanley Spiegel</w:t>
      </w:r>
      <w:r>
        <w:rPr>
          <w:rFonts w:ascii="Times New Roman" w:eastAsia="Times New Roman" w:hAnsi="Times New Roman"/>
          <w:sz w:val="24"/>
          <w:szCs w:val="24"/>
        </w:rPr>
        <w:t xml:space="preserve">, the U.S. Court of Appeals for the First Circuit (Boston), held (3 to 0) that the U.S. District Court properly dismissed Alston’s race discrimination, retaliation case against a non-member of the Town of </w:t>
      </w:r>
      <w:r w:rsidRPr="00214DCF">
        <w:rPr>
          <w:rFonts w:ascii="Times New Roman" w:eastAsia="Times New Roman" w:hAnsi="Times New Roman"/>
          <w:sz w:val="24"/>
          <w:szCs w:val="24"/>
        </w:rPr>
        <w:t xml:space="preserve">Brookline </w:t>
      </w:r>
      <w:r>
        <w:rPr>
          <w:rFonts w:ascii="Times New Roman" w:eastAsia="Times New Roman" w:hAnsi="Times New Roman"/>
          <w:sz w:val="24"/>
          <w:szCs w:val="24"/>
        </w:rPr>
        <w:t xml:space="preserve">Board of Selectmen who fired him from the Brookline </w:t>
      </w:r>
      <w:r w:rsidRPr="00214DCF">
        <w:rPr>
          <w:rFonts w:ascii="Times New Roman" w:eastAsia="Times New Roman" w:hAnsi="Times New Roman"/>
          <w:sz w:val="24"/>
          <w:szCs w:val="24"/>
        </w:rPr>
        <w:t>Fire Department</w:t>
      </w:r>
      <w:r>
        <w:rPr>
          <w:rFonts w:ascii="Times New Roman" w:eastAsia="Times New Roman" w:hAnsi="Times New Roman"/>
          <w:sz w:val="24"/>
          <w:szCs w:val="24"/>
        </w:rPr>
        <w:t xml:space="preserve">.  Stanley Spiegel is not on the Board, but is a citizen elected as a member of the 240 member “Town Meeting.” </w:t>
      </w:r>
    </w:p>
    <w:p w14:paraId="4A2C7343" w14:textId="77777777" w:rsidR="00EB2493" w:rsidRDefault="00EB2493" w:rsidP="00EB2493">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w:t>
      </w:r>
      <w:r w:rsidRPr="00214DCF">
        <w:rPr>
          <w:rFonts w:ascii="Times New Roman" w:eastAsia="Times New Roman" w:hAnsi="Times New Roman"/>
          <w:sz w:val="24"/>
          <w:szCs w:val="24"/>
        </w:rPr>
        <w:t xml:space="preserve">On February 13, 2015, Alston was placed on paid administrative leave. He asserts that despite the Selectmen's publicly conciliatory stance toward </w:t>
      </w:r>
      <w:proofErr w:type="gramStart"/>
      <w:r w:rsidRPr="00214DCF">
        <w:rPr>
          <w:rFonts w:ascii="Times New Roman" w:eastAsia="Times New Roman" w:hAnsi="Times New Roman"/>
          <w:sz w:val="24"/>
          <w:szCs w:val="24"/>
        </w:rPr>
        <w:t xml:space="preserve">him, </w:t>
      </w:r>
      <w:r>
        <w:rPr>
          <w:rFonts w:ascii="Times New Roman" w:eastAsia="Times New Roman" w:hAnsi="Times New Roman"/>
          <w:sz w:val="24"/>
          <w:szCs w:val="24"/>
        </w:rPr>
        <w:t>‘</w:t>
      </w:r>
      <w:proofErr w:type="gramEnd"/>
      <w:r w:rsidRPr="00214DCF">
        <w:rPr>
          <w:rFonts w:ascii="Times New Roman" w:eastAsia="Times New Roman" w:hAnsi="Times New Roman"/>
          <w:sz w:val="24"/>
          <w:szCs w:val="24"/>
        </w:rPr>
        <w:t xml:space="preserve">they tacitly encouraged their unofficial surrogates, including advisory committee member and town meeting member, Stanley </w:t>
      </w:r>
      <w:proofErr w:type="gramStart"/>
      <w:r w:rsidRPr="00214DCF">
        <w:rPr>
          <w:rFonts w:ascii="Times New Roman" w:eastAsia="Times New Roman" w:hAnsi="Times New Roman"/>
          <w:sz w:val="24"/>
          <w:szCs w:val="24"/>
        </w:rPr>
        <w:t>Spiegel</w:t>
      </w:r>
      <w:proofErr w:type="gramEnd"/>
      <w:r w:rsidRPr="00214DCF">
        <w:rPr>
          <w:rFonts w:ascii="Times New Roman" w:eastAsia="Times New Roman" w:hAnsi="Times New Roman"/>
          <w:sz w:val="24"/>
          <w:szCs w:val="24"/>
        </w:rPr>
        <w:t xml:space="preserve"> to smear Mr. Alston and undermine public support for </w:t>
      </w:r>
      <w:proofErr w:type="gramStart"/>
      <w:r w:rsidRPr="00214DCF">
        <w:rPr>
          <w:rFonts w:ascii="Times New Roman" w:eastAsia="Times New Roman" w:hAnsi="Times New Roman"/>
          <w:sz w:val="24"/>
          <w:szCs w:val="24"/>
        </w:rPr>
        <w:t>him.</w:t>
      </w:r>
      <w:r>
        <w:rPr>
          <w:rFonts w:ascii="Times New Roman" w:eastAsia="Times New Roman" w:hAnsi="Times New Roman"/>
          <w:sz w:val="24"/>
          <w:szCs w:val="24"/>
        </w:rPr>
        <w:t>’</w:t>
      </w:r>
      <w:proofErr w:type="gramEnd"/>
      <w:r w:rsidRPr="00214DCF">
        <w:rPr>
          <w:rFonts w:ascii="Times New Roman" w:eastAsia="Times New Roman" w:hAnsi="Times New Roman"/>
          <w:sz w:val="24"/>
          <w:szCs w:val="24"/>
        </w:rPr>
        <w:t xml:space="preserve"> Just over a year later — on February 16, 2016 — the Board terminated Alston's paid administrative leave. Alston was formally dismissed from his</w:t>
      </w:r>
      <w:r>
        <w:rPr>
          <w:rFonts w:ascii="Times New Roman" w:eastAsia="Times New Roman" w:hAnsi="Times New Roman"/>
          <w:sz w:val="24"/>
          <w:szCs w:val="24"/>
        </w:rPr>
        <w:t xml:space="preserve"> </w:t>
      </w:r>
      <w:r w:rsidRPr="00214DCF">
        <w:rPr>
          <w:rFonts w:ascii="Times New Roman" w:eastAsia="Times New Roman" w:hAnsi="Times New Roman"/>
          <w:sz w:val="24"/>
          <w:szCs w:val="24"/>
        </w:rPr>
        <w:t>firefighter position by unanimous vote of the Board on October 5, 2016.</w:t>
      </w:r>
    </w:p>
    <w:p w14:paraId="264EBE96" w14:textId="77777777" w:rsidR="00EB2493" w:rsidRDefault="00EB2493" w:rsidP="00EB2493">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w:t>
      </w:r>
    </w:p>
    <w:p w14:paraId="35F253E3" w14:textId="77777777" w:rsidR="00EB2493" w:rsidRPr="003E5782" w:rsidRDefault="00EB2493" w:rsidP="00EB2493">
      <w:pPr>
        <w:pStyle w:val="NormalWeb"/>
        <w:ind w:left="720"/>
      </w:pPr>
      <w:r w:rsidRPr="003E5782">
        <w:lastRenderedPageBreak/>
        <w:t>We need go no further. For aught that appears, Spiegel was at most a peripheral player in the evolving saga of Alston's difficulties with the Town, the Board, and the Department. Alston has had three opportunities to plead his claims against Spiegel, and he has come up empty. There simply are no facts pleaded in the SAC sufficient to ground a reasonable inference that Spiegel</w:t>
      </w:r>
      <w:r>
        <w:t xml:space="preserve"> </w:t>
      </w:r>
      <w:r w:rsidRPr="003E5782">
        <w:t xml:space="preserve">is liable to Alston for any of the wrongs alleged. Put bluntly, the facts set forth are too meager to lift Alston's claims over the threshold of conjecture. We therefore </w:t>
      </w:r>
      <w:r w:rsidRPr="003E5782">
        <w:rPr>
          <w:u w:val="single"/>
        </w:rPr>
        <w:t>affirm</w:t>
      </w:r>
      <w:r w:rsidRPr="003E5782">
        <w:t xml:space="preserve"> the judgment of the district court dismissing Alston's claims. We </w:t>
      </w:r>
      <w:r w:rsidRPr="003E5782">
        <w:rPr>
          <w:u w:val="single"/>
        </w:rPr>
        <w:t>retain</w:t>
      </w:r>
      <w:r w:rsidRPr="003E5782">
        <w:t xml:space="preserve"> appellate jurisdiction over Alston's appeal insofar as it relates to his claims against other defendants.</w:t>
      </w:r>
      <w:r>
        <w:t xml:space="preserve">” </w:t>
      </w:r>
      <w:hyperlink r:id="rId1595" w:history="1">
        <w:r w:rsidRPr="008561DB">
          <w:rPr>
            <w:rStyle w:val="Hyperlink"/>
          </w:rPr>
          <w:t>https://casetext.com/case/alston-v-spiegel</w:t>
        </w:r>
      </w:hyperlink>
      <w:r>
        <w:t xml:space="preserve"> </w:t>
      </w:r>
    </w:p>
    <w:p w14:paraId="609FE75B" w14:textId="77777777" w:rsidR="00EB2493" w:rsidRPr="003E5782" w:rsidRDefault="00EB2493" w:rsidP="00EB2493">
      <w:pPr>
        <w:spacing w:before="100" w:beforeAutospacing="1" w:after="100" w:afterAutospacing="1" w:line="240" w:lineRule="auto"/>
        <w:rPr>
          <w:rFonts w:ascii="Times New Roman" w:eastAsia="Times New Roman" w:hAnsi="Times New Roman"/>
          <w:b/>
          <w:bCs/>
          <w:sz w:val="24"/>
          <w:szCs w:val="24"/>
        </w:rPr>
      </w:pPr>
      <w:r w:rsidRPr="00670C0A">
        <w:rPr>
          <w:rFonts w:ascii="Times New Roman" w:hAnsi="Times New Roman"/>
          <w:b/>
          <w:bCs/>
          <w:sz w:val="24"/>
          <w:szCs w:val="24"/>
        </w:rPr>
        <w:t>Legal Lesson Learned:</w:t>
      </w:r>
      <w:r>
        <w:rPr>
          <w:rFonts w:ascii="Times New Roman" w:hAnsi="Times New Roman"/>
          <w:b/>
          <w:bCs/>
          <w:sz w:val="24"/>
          <w:szCs w:val="24"/>
        </w:rPr>
        <w:t xml:space="preserve">  There was no proof of racial discrimination, retaliation, or conspiracy by this elected member of the Town Meeting.  </w:t>
      </w:r>
    </w:p>
    <w:p w14:paraId="2314C85E" w14:textId="04D2ECAA" w:rsidR="00EB2493" w:rsidRDefault="00EB2493" w:rsidP="00BC70A3">
      <w:pPr>
        <w:rPr>
          <w:rFonts w:ascii="Arial Black" w:hAnsi="Arial Black"/>
          <w:b/>
          <w:sz w:val="24"/>
          <w:szCs w:val="24"/>
        </w:rPr>
      </w:pPr>
    </w:p>
    <w:p w14:paraId="2ACDEBA2" w14:textId="551AE366" w:rsidR="00EB2493" w:rsidRDefault="00EB2493" w:rsidP="00BC70A3">
      <w:pPr>
        <w:rPr>
          <w:rFonts w:ascii="Arial Black" w:hAnsi="Arial Black"/>
          <w:b/>
          <w:sz w:val="24"/>
          <w:szCs w:val="24"/>
        </w:rPr>
      </w:pPr>
      <w:r>
        <w:rPr>
          <w:rFonts w:ascii="Arial Black" w:hAnsi="Arial Black"/>
          <w:b/>
          <w:sz w:val="24"/>
          <w:szCs w:val="24"/>
        </w:rPr>
        <w:t>8-27</w:t>
      </w:r>
    </w:p>
    <w:p w14:paraId="2B320BD6" w14:textId="77777777" w:rsidR="00EB2493" w:rsidRPr="007C11FC" w:rsidRDefault="00EB2493" w:rsidP="00EB2493">
      <w:pPr>
        <w:pStyle w:val="NoSpacing"/>
        <w:rPr>
          <w:rFonts w:ascii="Arial Black" w:hAnsi="Arial Black"/>
          <w:sz w:val="28"/>
          <w:szCs w:val="28"/>
        </w:rPr>
      </w:pPr>
      <w:r>
        <w:rPr>
          <w:rFonts w:ascii="Arial Black" w:hAnsi="Arial Black"/>
          <w:sz w:val="28"/>
          <w:szCs w:val="28"/>
        </w:rPr>
        <w:t xml:space="preserve">IL: CHICAGO FF / PUERTO RICO - “HOSTILE WORK ENVIRONMENT” PROCEED– MADE INTERNAL COMPLAINTS </w:t>
      </w:r>
    </w:p>
    <w:p w14:paraId="39FCEA82" w14:textId="77777777" w:rsidR="00EB2493" w:rsidRDefault="00EB2493" w:rsidP="00EB2493">
      <w:pPr>
        <w:pStyle w:val="NoSpacing"/>
      </w:pPr>
    </w:p>
    <w:p w14:paraId="36BD47EE" w14:textId="77777777" w:rsidR="00EB2493" w:rsidRDefault="00EB2493" w:rsidP="00EB2493">
      <w:pPr>
        <w:pStyle w:val="NoSpacing"/>
        <w:rPr>
          <w:rFonts w:ascii="Times New Roman" w:hAnsi="Times New Roman"/>
          <w:sz w:val="24"/>
          <w:szCs w:val="24"/>
        </w:rPr>
      </w:pPr>
      <w:r>
        <w:rPr>
          <w:rFonts w:ascii="Times New Roman" w:hAnsi="Times New Roman"/>
          <w:sz w:val="24"/>
          <w:szCs w:val="24"/>
        </w:rPr>
        <w:t xml:space="preserve">On Feb. 18, 2021, in </w:t>
      </w:r>
      <w:r w:rsidRPr="007C11FC">
        <w:rPr>
          <w:rFonts w:ascii="Times New Roman" w:hAnsi="Times New Roman"/>
          <w:sz w:val="24"/>
          <w:szCs w:val="24"/>
          <w:u w:val="single"/>
        </w:rPr>
        <w:t>Robert G. Alamo v. The City of Chicago, et al</w:t>
      </w:r>
      <w:r>
        <w:rPr>
          <w:rFonts w:ascii="Times New Roman" w:hAnsi="Times New Roman"/>
          <w:sz w:val="24"/>
          <w:szCs w:val="24"/>
        </w:rPr>
        <w:t xml:space="preserve">., U.S. District Court Judge Sharon Johnson Coleman, U.S. District Court for the Northern District of Illinois (Eastern Division) held that the lawsuit by the former fighter, may proceed against the </w:t>
      </w:r>
      <w:proofErr w:type="gramStart"/>
      <w:r>
        <w:rPr>
          <w:rFonts w:ascii="Times New Roman" w:hAnsi="Times New Roman"/>
          <w:sz w:val="24"/>
          <w:szCs w:val="24"/>
        </w:rPr>
        <w:t>City</w:t>
      </w:r>
      <w:proofErr w:type="gramEnd"/>
      <w:r>
        <w:rPr>
          <w:rFonts w:ascii="Times New Roman" w:hAnsi="Times New Roman"/>
          <w:sz w:val="24"/>
          <w:szCs w:val="24"/>
        </w:rPr>
        <w:t xml:space="preserve"> on his claim of “hostile workplace environment” since he made complaints to Supervisors and to Internal Affairs.  His other claims in the lawsuit of national origin, race and disabilities discrimination were dismissed; he was fired after being diagnosed as “unfit for duty” (PTSD). </w:t>
      </w:r>
    </w:p>
    <w:p w14:paraId="167D52F9" w14:textId="77777777" w:rsidR="00EB2493" w:rsidRDefault="00EB2493" w:rsidP="00EB2493">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r w:rsidRPr="00305556">
        <w:rPr>
          <w:rFonts w:ascii="Times New Roman" w:hAnsi="Times New Roman"/>
          <w:sz w:val="24"/>
          <w:szCs w:val="24"/>
        </w:rPr>
        <w:t xml:space="preserve">On September 13, 2011, Alamo reported for duty at Engine 55. He was not feeling well, so he decided to go to the bunkroom to lie down, at which time he told a coworker to come get him if a call came in. Later that day, Captain Pat Stefan awakened Alamo by pushing and shaking </w:t>
      </w:r>
      <w:proofErr w:type="gramStart"/>
      <w:r w:rsidRPr="00305556">
        <w:rPr>
          <w:rFonts w:ascii="Times New Roman" w:hAnsi="Times New Roman"/>
          <w:sz w:val="24"/>
          <w:szCs w:val="24"/>
        </w:rPr>
        <w:t>him, and</w:t>
      </w:r>
      <w:proofErr w:type="gramEnd"/>
      <w:r w:rsidRPr="00305556">
        <w:rPr>
          <w:rFonts w:ascii="Times New Roman" w:hAnsi="Times New Roman"/>
          <w:sz w:val="24"/>
          <w:szCs w:val="24"/>
        </w:rPr>
        <w:t xml:space="preserve"> shouting </w:t>
      </w:r>
      <w:r>
        <w:rPr>
          <w:rFonts w:ascii="Times New Roman" w:hAnsi="Times New Roman"/>
          <w:sz w:val="24"/>
          <w:szCs w:val="24"/>
        </w:rPr>
        <w:t>‘</w:t>
      </w:r>
      <w:r w:rsidRPr="00305556">
        <w:rPr>
          <w:rFonts w:ascii="Times New Roman" w:hAnsi="Times New Roman"/>
          <w:sz w:val="24"/>
          <w:szCs w:val="24"/>
        </w:rPr>
        <w:t>Mother</w:t>
      </w:r>
      <w:r>
        <w:rPr>
          <w:rFonts w:ascii="Times New Roman" w:hAnsi="Times New Roman"/>
          <w:sz w:val="24"/>
          <w:szCs w:val="24"/>
        </w:rPr>
        <w:t xml:space="preserve"> </w:t>
      </w:r>
      <w:r w:rsidRPr="00305556">
        <w:rPr>
          <w:rFonts w:ascii="Times New Roman" w:hAnsi="Times New Roman"/>
          <w:sz w:val="24"/>
          <w:szCs w:val="24"/>
        </w:rPr>
        <w:t xml:space="preserve">fucker </w:t>
      </w:r>
      <w:proofErr w:type="gramStart"/>
      <w:r w:rsidRPr="00305556">
        <w:rPr>
          <w:rFonts w:ascii="Times New Roman" w:hAnsi="Times New Roman"/>
          <w:sz w:val="24"/>
          <w:szCs w:val="24"/>
        </w:rPr>
        <w:t>get</w:t>
      </w:r>
      <w:proofErr w:type="gramEnd"/>
      <w:r w:rsidRPr="00305556">
        <w:rPr>
          <w:rFonts w:ascii="Times New Roman" w:hAnsi="Times New Roman"/>
          <w:sz w:val="24"/>
          <w:szCs w:val="24"/>
        </w:rPr>
        <w:t xml:space="preserve"> up. You missed the run. You motherfucker. You lazy mother</w:t>
      </w:r>
      <w:r>
        <w:rPr>
          <w:rFonts w:ascii="Times New Roman" w:hAnsi="Times New Roman"/>
          <w:sz w:val="24"/>
          <w:szCs w:val="24"/>
        </w:rPr>
        <w:t xml:space="preserve"> </w:t>
      </w:r>
      <w:r w:rsidRPr="00305556">
        <w:rPr>
          <w:rFonts w:ascii="Times New Roman" w:hAnsi="Times New Roman"/>
          <w:sz w:val="24"/>
          <w:szCs w:val="24"/>
        </w:rPr>
        <w:t>fucker. You piece of shit.</w:t>
      </w:r>
      <w:r>
        <w:rPr>
          <w:rFonts w:ascii="Times New Roman" w:hAnsi="Times New Roman"/>
          <w:sz w:val="24"/>
          <w:szCs w:val="24"/>
        </w:rPr>
        <w:t>’</w:t>
      </w:r>
      <w:r w:rsidRPr="00305556">
        <w:rPr>
          <w:rFonts w:ascii="Times New Roman" w:hAnsi="Times New Roman"/>
          <w:sz w:val="24"/>
          <w:szCs w:val="24"/>
        </w:rPr>
        <w:t xml:space="preserve"> Alamo testified that during this altercation, Captain Stefan told him he did not like </w:t>
      </w:r>
      <w:r>
        <w:rPr>
          <w:rFonts w:ascii="Times New Roman" w:hAnsi="Times New Roman"/>
          <w:sz w:val="24"/>
          <w:szCs w:val="24"/>
        </w:rPr>
        <w:t>‘</w:t>
      </w:r>
      <w:r w:rsidRPr="00305556">
        <w:rPr>
          <w:rFonts w:ascii="Times New Roman" w:hAnsi="Times New Roman"/>
          <w:sz w:val="24"/>
          <w:szCs w:val="24"/>
        </w:rPr>
        <w:t>his kind.</w:t>
      </w:r>
      <w:r>
        <w:rPr>
          <w:rFonts w:ascii="Times New Roman" w:hAnsi="Times New Roman"/>
          <w:sz w:val="24"/>
          <w:szCs w:val="24"/>
        </w:rPr>
        <w:t>’</w:t>
      </w:r>
      <w:r w:rsidRPr="00305556">
        <w:rPr>
          <w:rFonts w:ascii="Times New Roman" w:hAnsi="Times New Roman"/>
          <w:sz w:val="24"/>
          <w:szCs w:val="24"/>
        </w:rPr>
        <w:t xml:space="preserve"> He also testified that </w:t>
      </w:r>
      <w:r>
        <w:rPr>
          <w:rFonts w:ascii="Times New Roman" w:hAnsi="Times New Roman"/>
          <w:sz w:val="24"/>
          <w:szCs w:val="24"/>
        </w:rPr>
        <w:t>‘</w:t>
      </w:r>
      <w:r w:rsidRPr="00305556">
        <w:rPr>
          <w:rFonts w:ascii="Times New Roman" w:hAnsi="Times New Roman"/>
          <w:sz w:val="24"/>
          <w:szCs w:val="24"/>
        </w:rPr>
        <w:t>I believe Captain Stefan called me a spic.</w:t>
      </w:r>
      <w:r>
        <w:rPr>
          <w:rFonts w:ascii="Times New Roman" w:hAnsi="Times New Roman"/>
          <w:sz w:val="24"/>
          <w:szCs w:val="24"/>
        </w:rPr>
        <w:t>’</w:t>
      </w:r>
      <w:r w:rsidRPr="00305556">
        <w:rPr>
          <w:rFonts w:ascii="Times New Roman" w:hAnsi="Times New Roman"/>
          <w:sz w:val="24"/>
          <w:szCs w:val="24"/>
        </w:rPr>
        <w:t xml:space="preserve"> During this incident, Captain Stefan chest bumped Alamo resulting in a contusion.</w:t>
      </w:r>
      <w:r>
        <w:rPr>
          <w:rFonts w:ascii="Times New Roman" w:hAnsi="Times New Roman"/>
          <w:sz w:val="24"/>
          <w:szCs w:val="24"/>
        </w:rPr>
        <w:t xml:space="preserve"> </w:t>
      </w:r>
      <w:r w:rsidRPr="00305556">
        <w:rPr>
          <w:rFonts w:ascii="Times New Roman" w:hAnsi="Times New Roman"/>
          <w:sz w:val="24"/>
          <w:szCs w:val="24"/>
        </w:rPr>
        <w:t xml:space="preserve">After this incident, Alamo called the police department and filed a report. Two days after the incident with Captain Stefan, Alamo went on a medical </w:t>
      </w:r>
      <w:r>
        <w:rPr>
          <w:rFonts w:ascii="Times New Roman" w:hAnsi="Times New Roman"/>
          <w:sz w:val="24"/>
          <w:szCs w:val="24"/>
        </w:rPr>
        <w:t>‘l</w:t>
      </w:r>
      <w:r w:rsidRPr="00305556">
        <w:rPr>
          <w:rFonts w:ascii="Times New Roman" w:hAnsi="Times New Roman"/>
          <w:sz w:val="24"/>
          <w:szCs w:val="24"/>
        </w:rPr>
        <w:t>ay-up</w:t>
      </w:r>
      <w:r>
        <w:rPr>
          <w:rFonts w:ascii="Times New Roman" w:hAnsi="Times New Roman"/>
          <w:sz w:val="24"/>
          <w:szCs w:val="24"/>
        </w:rPr>
        <w:t>’</w:t>
      </w:r>
      <w:r w:rsidRPr="00305556">
        <w:rPr>
          <w:rFonts w:ascii="Times New Roman" w:hAnsi="Times New Roman"/>
          <w:sz w:val="24"/>
          <w:szCs w:val="24"/>
        </w:rPr>
        <w:t xml:space="preserve"> for what Alamo described as chest pains, stress, and anxiety. Alamo testified that while he was on lay-up, other firefighters harassed him at his home during </w:t>
      </w:r>
      <w:r>
        <w:rPr>
          <w:rFonts w:ascii="Times New Roman" w:hAnsi="Times New Roman"/>
          <w:sz w:val="24"/>
          <w:szCs w:val="24"/>
        </w:rPr>
        <w:t>‘</w:t>
      </w:r>
      <w:r w:rsidRPr="00305556">
        <w:rPr>
          <w:rFonts w:ascii="Times New Roman" w:hAnsi="Times New Roman"/>
          <w:sz w:val="24"/>
          <w:szCs w:val="24"/>
        </w:rPr>
        <w:t>wellness checks.</w:t>
      </w:r>
      <w:r>
        <w:rPr>
          <w:rFonts w:ascii="Times New Roman" w:hAnsi="Times New Roman"/>
          <w:sz w:val="24"/>
          <w:szCs w:val="24"/>
        </w:rPr>
        <w:t>’</w:t>
      </w:r>
    </w:p>
    <w:p w14:paraId="60E4E84E" w14:textId="77777777" w:rsidR="00EB2493" w:rsidRDefault="00EB2493" w:rsidP="00EB2493">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p>
    <w:p w14:paraId="48B0EDF9" w14:textId="77777777" w:rsidR="00EB2493" w:rsidRPr="00E61BCF" w:rsidRDefault="00EB2493" w:rsidP="00EB2493">
      <w:pPr>
        <w:spacing w:before="100" w:beforeAutospacing="1" w:after="100" w:afterAutospacing="1" w:line="240" w:lineRule="auto"/>
        <w:ind w:left="720"/>
        <w:rPr>
          <w:sz w:val="24"/>
          <w:szCs w:val="24"/>
        </w:rPr>
      </w:pPr>
      <w:r w:rsidRPr="000B20EC">
        <w:rPr>
          <w:rFonts w:ascii="Times New Roman" w:eastAsia="Times New Roman" w:hAnsi="Times New Roman"/>
          <w:sz w:val="24"/>
          <w:szCs w:val="24"/>
        </w:rPr>
        <w:t>Alamo</w:t>
      </w:r>
      <w:r>
        <w:rPr>
          <w:rFonts w:ascii="Times New Roman" w:eastAsia="Times New Roman" w:hAnsi="Times New Roman"/>
          <w:sz w:val="24"/>
          <w:szCs w:val="24"/>
        </w:rPr>
        <w:t xml:space="preserve"> </w:t>
      </w:r>
      <w:r w:rsidRPr="000B20EC">
        <w:rPr>
          <w:rFonts w:ascii="Times New Roman" w:eastAsia="Times New Roman" w:hAnsi="Times New Roman"/>
          <w:sz w:val="24"/>
          <w:szCs w:val="24"/>
        </w:rPr>
        <w:t xml:space="preserve">has presented evidence that he complained to his supervisors of the harassment. For example, on a form in evidence dated January 2, 2012, Alamo explains why he believes he was subjected to a hostile work environment based on the September 2011 events with Captain Stefan and that he had also submitted </w:t>
      </w:r>
      <w:proofErr w:type="gramStart"/>
      <w:r w:rsidRPr="000B20EC">
        <w:rPr>
          <w:rFonts w:ascii="Times New Roman" w:eastAsia="Times New Roman" w:hAnsi="Times New Roman"/>
          <w:sz w:val="24"/>
          <w:szCs w:val="24"/>
        </w:rPr>
        <w:t>a Form</w:t>
      </w:r>
      <w:proofErr w:type="gramEnd"/>
      <w:r w:rsidRPr="000B20EC">
        <w:rPr>
          <w:rFonts w:ascii="Times New Roman" w:eastAsia="Times New Roman" w:hAnsi="Times New Roman"/>
          <w:sz w:val="24"/>
          <w:szCs w:val="24"/>
        </w:rPr>
        <w:t xml:space="preserve"> 2 to the Internal Affairs </w:t>
      </w:r>
      <w:proofErr w:type="gramStart"/>
      <w:r w:rsidRPr="000B20EC">
        <w:rPr>
          <w:rFonts w:ascii="Times New Roman" w:eastAsia="Times New Roman" w:hAnsi="Times New Roman"/>
          <w:sz w:val="24"/>
          <w:szCs w:val="24"/>
        </w:rPr>
        <w:t>Division (</w:t>
      </w:r>
      <w:r>
        <w:rPr>
          <w:rFonts w:ascii="Times New Roman" w:eastAsia="Times New Roman" w:hAnsi="Times New Roman"/>
          <w:sz w:val="24"/>
          <w:szCs w:val="24"/>
        </w:rPr>
        <w:t>‘</w:t>
      </w:r>
      <w:proofErr w:type="gramEnd"/>
      <w:r w:rsidRPr="000B20EC">
        <w:rPr>
          <w:rFonts w:ascii="Times New Roman" w:eastAsia="Times New Roman" w:hAnsi="Times New Roman"/>
          <w:sz w:val="24"/>
          <w:szCs w:val="24"/>
        </w:rPr>
        <w:t>IAD</w:t>
      </w:r>
      <w:r>
        <w:rPr>
          <w:rFonts w:ascii="Times New Roman" w:eastAsia="Times New Roman" w:hAnsi="Times New Roman"/>
          <w:sz w:val="24"/>
          <w:szCs w:val="24"/>
        </w:rPr>
        <w:t>’</w:t>
      </w:r>
      <w:r w:rsidRPr="000B20EC">
        <w:rPr>
          <w:rFonts w:ascii="Times New Roman" w:eastAsia="Times New Roman" w:hAnsi="Times New Roman"/>
          <w:sz w:val="24"/>
          <w:szCs w:val="24"/>
        </w:rPr>
        <w:t xml:space="preserve">). Alamo also filed a Form 2 to the IAD dated February 22, </w:t>
      </w:r>
      <w:proofErr w:type="gramStart"/>
      <w:r w:rsidRPr="000B20EC">
        <w:rPr>
          <w:rFonts w:ascii="Times New Roman" w:eastAsia="Times New Roman" w:hAnsi="Times New Roman"/>
          <w:sz w:val="24"/>
          <w:szCs w:val="24"/>
        </w:rPr>
        <w:t>2013</w:t>
      </w:r>
      <w:proofErr w:type="gramEnd"/>
      <w:r w:rsidRPr="000B20EC">
        <w:rPr>
          <w:rFonts w:ascii="Times New Roman" w:eastAsia="Times New Roman" w:hAnsi="Times New Roman"/>
          <w:sz w:val="24"/>
          <w:szCs w:val="24"/>
        </w:rPr>
        <w:t xml:space="preserve"> explaining that Captain Stefan stated he didn't like Alamo's </w:t>
      </w:r>
      <w:r>
        <w:rPr>
          <w:rFonts w:ascii="Times New Roman" w:eastAsia="Times New Roman" w:hAnsi="Times New Roman"/>
          <w:sz w:val="24"/>
          <w:szCs w:val="24"/>
        </w:rPr>
        <w:t>‘</w:t>
      </w:r>
      <w:r w:rsidRPr="000B20EC">
        <w:rPr>
          <w:rFonts w:ascii="Times New Roman" w:eastAsia="Times New Roman" w:hAnsi="Times New Roman"/>
          <w:sz w:val="24"/>
          <w:szCs w:val="24"/>
        </w:rPr>
        <w:t>kind.</w:t>
      </w:r>
      <w:r>
        <w:rPr>
          <w:rFonts w:ascii="Times New Roman" w:eastAsia="Times New Roman" w:hAnsi="Times New Roman"/>
          <w:sz w:val="24"/>
          <w:szCs w:val="24"/>
        </w:rPr>
        <w:t>’</w:t>
      </w:r>
      <w:r w:rsidRPr="000B20EC">
        <w:rPr>
          <w:rFonts w:ascii="Times New Roman" w:eastAsia="Times New Roman" w:hAnsi="Times New Roman"/>
          <w:sz w:val="24"/>
          <w:szCs w:val="24"/>
        </w:rPr>
        <w:t xml:space="preserve"> Other evidence of notice includes Lieutenant Bliss' testimony that after Alamo informed him of the incident with Captain Stefan, Bliss called Chief Steven </w:t>
      </w:r>
      <w:proofErr w:type="spellStart"/>
      <w:r w:rsidRPr="000B20EC">
        <w:rPr>
          <w:rFonts w:ascii="Times New Roman" w:eastAsia="Times New Roman" w:hAnsi="Times New Roman"/>
          <w:sz w:val="24"/>
          <w:szCs w:val="24"/>
        </w:rPr>
        <w:t>Chikerotis</w:t>
      </w:r>
      <w:proofErr w:type="spellEnd"/>
      <w:r w:rsidRPr="000B20EC">
        <w:rPr>
          <w:rFonts w:ascii="Times New Roman" w:eastAsia="Times New Roman" w:hAnsi="Times New Roman"/>
          <w:sz w:val="24"/>
          <w:szCs w:val="24"/>
        </w:rPr>
        <w:t xml:space="preserve"> to review the incident. Further, Alamo testified at his deposition that he turned in numerous Form 2s to his chain of command</w:t>
      </w:r>
      <w:r>
        <w:rPr>
          <w:rFonts w:ascii="Times New Roman" w:eastAsia="Times New Roman" w:hAnsi="Times New Roman"/>
          <w:sz w:val="24"/>
          <w:szCs w:val="24"/>
        </w:rPr>
        <w:t xml:space="preserve"> </w:t>
      </w:r>
      <w:r w:rsidRPr="000B20EC">
        <w:rPr>
          <w:rFonts w:ascii="Times New Roman" w:eastAsia="Times New Roman" w:hAnsi="Times New Roman"/>
          <w:sz w:val="24"/>
          <w:szCs w:val="24"/>
        </w:rPr>
        <w:t>about the harassment and that he reported the racial slurs and that other firefighters were throwing away his food to his supervisor Lieutenant Bliss.</w:t>
      </w:r>
      <w:r>
        <w:rPr>
          <w:rFonts w:ascii="Times New Roman" w:eastAsia="Times New Roman" w:hAnsi="Times New Roman"/>
          <w:sz w:val="24"/>
          <w:szCs w:val="24"/>
        </w:rPr>
        <w:t>”</w:t>
      </w:r>
    </w:p>
    <w:p w14:paraId="46A64A0A" w14:textId="77777777" w:rsidR="00EB2493" w:rsidRDefault="00EB2493" w:rsidP="00EB2493">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p>
    <w:p w14:paraId="747340A4" w14:textId="77777777" w:rsidR="00EB2493" w:rsidRDefault="00EB2493" w:rsidP="00EB2493">
      <w:pPr>
        <w:spacing w:before="100" w:beforeAutospacing="1" w:after="100" w:afterAutospacing="1" w:line="240" w:lineRule="auto"/>
        <w:ind w:left="720"/>
        <w:rPr>
          <w:rFonts w:ascii="Times New Roman" w:hAnsi="Times New Roman"/>
          <w:sz w:val="24"/>
          <w:szCs w:val="24"/>
        </w:rPr>
      </w:pPr>
      <w:r w:rsidRPr="00305556">
        <w:rPr>
          <w:rFonts w:ascii="Times New Roman" w:hAnsi="Times New Roman"/>
          <w:sz w:val="24"/>
          <w:szCs w:val="24"/>
        </w:rPr>
        <w:lastRenderedPageBreak/>
        <w:t xml:space="preserve">Looking at the totality of the evidence, it is </w:t>
      </w:r>
      <w:r>
        <w:rPr>
          <w:rFonts w:ascii="Times New Roman" w:hAnsi="Times New Roman"/>
          <w:sz w:val="24"/>
          <w:szCs w:val="24"/>
        </w:rPr>
        <w:t>‘</w:t>
      </w:r>
      <w:r w:rsidRPr="00305556">
        <w:rPr>
          <w:rFonts w:ascii="Times New Roman" w:hAnsi="Times New Roman"/>
          <w:sz w:val="24"/>
          <w:szCs w:val="24"/>
        </w:rPr>
        <w:t xml:space="preserve">significant that </w:t>
      </w:r>
      <w:proofErr w:type="gramStart"/>
      <w:r w:rsidRPr="00305556">
        <w:rPr>
          <w:rFonts w:ascii="Times New Roman" w:hAnsi="Times New Roman"/>
          <w:sz w:val="24"/>
          <w:szCs w:val="24"/>
        </w:rPr>
        <w:t>the harassment</w:t>
      </w:r>
      <w:proofErr w:type="gramEnd"/>
      <w:r w:rsidRPr="00305556">
        <w:rPr>
          <w:rFonts w:ascii="Times New Roman" w:hAnsi="Times New Roman"/>
          <w:sz w:val="24"/>
          <w:szCs w:val="24"/>
        </w:rPr>
        <w:t xml:space="preserve"> occurred in an atmosphere where firefighters live and serve together and in which mutual interdependence is an essential factor in effectiveness and, at times, survival.</w:t>
      </w:r>
      <w:r>
        <w:rPr>
          <w:rFonts w:ascii="Times New Roman" w:hAnsi="Times New Roman"/>
          <w:sz w:val="24"/>
          <w:szCs w:val="24"/>
        </w:rPr>
        <w:t>’</w:t>
      </w:r>
      <w:r w:rsidRPr="00305556">
        <w:rPr>
          <w:rFonts w:ascii="Times New Roman" w:hAnsi="Times New Roman"/>
          <w:sz w:val="24"/>
          <w:szCs w:val="24"/>
        </w:rPr>
        <w:t xml:space="preserve"> </w:t>
      </w:r>
      <w:r w:rsidRPr="00305556">
        <w:rPr>
          <w:rFonts w:ascii="Times New Roman" w:hAnsi="Times New Roman"/>
          <w:i/>
          <w:iCs/>
          <w:sz w:val="24"/>
          <w:szCs w:val="24"/>
        </w:rPr>
        <w:t>Alamo</w:t>
      </w:r>
      <w:r w:rsidRPr="00305556">
        <w:rPr>
          <w:rFonts w:ascii="Times New Roman" w:hAnsi="Times New Roman"/>
          <w:sz w:val="24"/>
          <w:szCs w:val="24"/>
        </w:rPr>
        <w:t>, 864 F.3d at 551.</w:t>
      </w:r>
      <w:r>
        <w:rPr>
          <w:rFonts w:ascii="Times New Roman" w:hAnsi="Times New Roman"/>
          <w:sz w:val="24"/>
          <w:szCs w:val="24"/>
        </w:rPr>
        <w:t xml:space="preserve">” </w:t>
      </w:r>
      <w:hyperlink r:id="rId1596" w:history="1">
        <w:r w:rsidRPr="00023471">
          <w:rPr>
            <w:rStyle w:val="Hyperlink"/>
            <w:rFonts w:ascii="Times New Roman" w:hAnsi="Times New Roman"/>
            <w:sz w:val="24"/>
            <w:szCs w:val="24"/>
          </w:rPr>
          <w:t>https://casetext.com/case/alamo-v-city-of-chi-2</w:t>
        </w:r>
      </w:hyperlink>
      <w:r>
        <w:rPr>
          <w:rFonts w:ascii="Times New Roman" w:hAnsi="Times New Roman"/>
          <w:sz w:val="24"/>
          <w:szCs w:val="24"/>
        </w:rPr>
        <w:t xml:space="preserve"> </w:t>
      </w:r>
    </w:p>
    <w:p w14:paraId="259761E5" w14:textId="77777777" w:rsidR="00EB2493" w:rsidRDefault="00EB2493" w:rsidP="00EB2493">
      <w:pPr>
        <w:spacing w:before="100" w:beforeAutospacing="1" w:after="100" w:afterAutospacing="1" w:line="240" w:lineRule="auto"/>
        <w:rPr>
          <w:rFonts w:ascii="Times New Roman" w:hAnsi="Times New Roman"/>
          <w:b/>
          <w:bCs/>
          <w:sz w:val="24"/>
          <w:szCs w:val="24"/>
        </w:rPr>
      </w:pPr>
      <w:r w:rsidRPr="000E79A2">
        <w:rPr>
          <w:rFonts w:ascii="Times New Roman" w:hAnsi="Times New Roman"/>
          <w:b/>
          <w:bCs/>
          <w:sz w:val="24"/>
          <w:szCs w:val="24"/>
        </w:rPr>
        <w:t>Legal Lesson Learned:</w:t>
      </w:r>
      <w:r>
        <w:rPr>
          <w:rFonts w:ascii="Times New Roman" w:hAnsi="Times New Roman"/>
          <w:b/>
          <w:bCs/>
          <w:sz w:val="24"/>
          <w:szCs w:val="24"/>
        </w:rPr>
        <w:t xml:space="preserve">  Internal complaints of hostile work environment, whether complaints about Supervisors or about fellow firefighters, should be promptly investigated and corrective action documented. </w:t>
      </w:r>
    </w:p>
    <w:p w14:paraId="0392A0DE" w14:textId="3AC07CD1" w:rsidR="00EB2493" w:rsidRDefault="00EB2493" w:rsidP="00BC70A3">
      <w:pPr>
        <w:rPr>
          <w:rFonts w:ascii="Arial Black" w:hAnsi="Arial Black"/>
          <w:b/>
          <w:sz w:val="24"/>
          <w:szCs w:val="24"/>
        </w:rPr>
      </w:pPr>
    </w:p>
    <w:p w14:paraId="05814076" w14:textId="547ED69B" w:rsidR="00EB2493" w:rsidRDefault="00EB2493" w:rsidP="00BC70A3">
      <w:pPr>
        <w:rPr>
          <w:rFonts w:ascii="Arial Black" w:hAnsi="Arial Black"/>
          <w:b/>
          <w:sz w:val="24"/>
          <w:szCs w:val="24"/>
        </w:rPr>
      </w:pPr>
      <w:r>
        <w:rPr>
          <w:rFonts w:ascii="Arial Black" w:hAnsi="Arial Black"/>
          <w:b/>
          <w:sz w:val="24"/>
          <w:szCs w:val="24"/>
        </w:rPr>
        <w:t>8-26</w:t>
      </w:r>
    </w:p>
    <w:p w14:paraId="369DD68E" w14:textId="77777777" w:rsidR="00EB2493" w:rsidRDefault="00EB2493" w:rsidP="00EB2493">
      <w:pPr>
        <w:spacing w:before="100" w:beforeAutospacing="1" w:after="100" w:afterAutospacing="1" w:line="240" w:lineRule="auto"/>
        <w:rPr>
          <w:rFonts w:ascii="Arial Black" w:hAnsi="Arial Black"/>
          <w:sz w:val="28"/>
          <w:szCs w:val="28"/>
        </w:rPr>
      </w:pPr>
      <w:r>
        <w:rPr>
          <w:rFonts w:ascii="Arial Black" w:hAnsi="Arial Black"/>
          <w:sz w:val="28"/>
          <w:szCs w:val="28"/>
        </w:rPr>
        <w:t>MI: PALESTINIAN FF – NATIONAL ORIGIN CLAIMS UNPROVEN – ALLOWED BEARD, AND TO WORK NIGHTS DURING RAMADAN</w:t>
      </w:r>
    </w:p>
    <w:p w14:paraId="603CE591" w14:textId="77777777" w:rsidR="00EB2493" w:rsidRDefault="00EB2493" w:rsidP="00EB2493">
      <w:pPr>
        <w:pStyle w:val="NormalWeb"/>
      </w:pPr>
      <w:r>
        <w:t xml:space="preserve">On Feb. 4, 2021, in </w:t>
      </w:r>
      <w:r w:rsidRPr="001E13BD">
        <w:rPr>
          <w:u w:val="single"/>
        </w:rPr>
        <w:t>Alaa Saade v. City of Detroit,</w:t>
      </w:r>
      <w:r>
        <w:rPr>
          <w:u w:val="single"/>
        </w:rPr>
        <w:t xml:space="preserve"> </w:t>
      </w:r>
      <w:r w:rsidRPr="001E13BD">
        <w:rPr>
          <w:u w:val="single"/>
        </w:rPr>
        <w:t>et al.</w:t>
      </w:r>
      <w:r>
        <w:t xml:space="preserve">  U.S. District Judge Judith E. Levy granted the defendants motion for summary judgment.  His claims of national origin discrimination, including not being promoted and disciplined for delaying ambulance response, dismissed for lack of proof.  He was allowed when hired to wear a beard, and his claim of not being accommodated during Ramadan was proven false – he was allowed to work Night Shift. </w:t>
      </w:r>
      <w:hyperlink r:id="rId1597" w:history="1">
        <w:r w:rsidRPr="005D199E">
          <w:rPr>
            <w:rStyle w:val="Hyperlink"/>
          </w:rPr>
          <w:t>https://casetext.com/case/saade-v-city-of-detroit-1</w:t>
        </w:r>
      </w:hyperlink>
      <w:r>
        <w:t xml:space="preserve">  </w:t>
      </w:r>
    </w:p>
    <w:p w14:paraId="1B3FDFAB" w14:textId="77777777" w:rsidR="00EB2493" w:rsidRDefault="00EB2493" w:rsidP="00EB2493">
      <w:pPr>
        <w:pStyle w:val="NormalWeb"/>
        <w:ind w:left="720"/>
        <w:rPr>
          <w:b/>
          <w:bCs/>
          <w:i/>
          <w:iCs/>
        </w:rPr>
      </w:pPr>
      <w:r>
        <w:rPr>
          <w:b/>
          <w:bCs/>
          <w:i/>
          <w:iCs/>
        </w:rPr>
        <w:t>“Failure to Promote</w:t>
      </w:r>
    </w:p>
    <w:p w14:paraId="7C745D7D" w14:textId="77777777" w:rsidR="00EB2493" w:rsidRDefault="00EB2493" w:rsidP="00EB2493">
      <w:pPr>
        <w:pStyle w:val="NormalWeb"/>
        <w:ind w:left="720"/>
      </w:pPr>
      <w:r>
        <w:t>In 2016, Plaintiff applied for job that would have led to a promotion to the rank of Shift Supervisor Grade II. (ECF No. 31, PageID.224.) He states that he was selected from many other candidates to take a written test and participate in an oral interview. Plaintiff states that he was the only candidate with a college degree, which was listed as one of the preferred job requirements.</w:t>
      </w:r>
    </w:p>
    <w:p w14:paraId="1733715C" w14:textId="77777777" w:rsidR="00EB2493" w:rsidRDefault="00EB2493" w:rsidP="00EB2493">
      <w:pPr>
        <w:pStyle w:val="NormalWeb"/>
        <w:ind w:left="720"/>
      </w:pPr>
      <w:r>
        <w:t>[Court]:  Plaintiff admitted in his deposition that he was unsuccessful at the oral interview portion of the selection process…. Specifically, when asked if it was possible another candidate got the position because they outscored Plaintiff in other categories of the application, Plaintiff admitted, "I have no idea. Anything is possible…." Plaintiff was asked what evidence he had to support his claim of discrimination and he stated, "I don't have any evidence of that. Just what I feel happened because of the way it happened, so." (</w:t>
      </w:r>
      <w:r>
        <w:rPr>
          <w:i/>
          <w:iCs/>
        </w:rPr>
        <w:t>Id</w:t>
      </w:r>
      <w:r>
        <w:t>.) This is not enough to sustain a claim of discrimination.</w:t>
      </w:r>
    </w:p>
    <w:p w14:paraId="2B908E18" w14:textId="77777777" w:rsidR="00EB2493" w:rsidRDefault="00EB2493" w:rsidP="00EB2493">
      <w:pPr>
        <w:pStyle w:val="NormalWeb"/>
        <w:ind w:left="720"/>
      </w:pPr>
      <w:r>
        <w:t>***</w:t>
      </w:r>
    </w:p>
    <w:p w14:paraId="63A806FC" w14:textId="77777777" w:rsidR="00EB2493" w:rsidRDefault="00EB2493" w:rsidP="00EB2493">
      <w:pPr>
        <w:pStyle w:val="paragraph"/>
        <w:ind w:firstLine="720"/>
      </w:pPr>
      <w:r>
        <w:rPr>
          <w:b/>
          <w:bCs/>
          <w:i/>
          <w:iCs/>
        </w:rPr>
        <w:t>March 27</w:t>
      </w:r>
      <w:r>
        <w:t xml:space="preserve">, </w:t>
      </w:r>
      <w:proofErr w:type="gramStart"/>
      <w:r>
        <w:rPr>
          <w:b/>
          <w:bCs/>
          <w:i/>
          <w:iCs/>
        </w:rPr>
        <w:t>2017</w:t>
      </w:r>
      <w:proofErr w:type="gramEnd"/>
      <w:r>
        <w:rPr>
          <w:b/>
          <w:bCs/>
          <w:i/>
          <w:iCs/>
        </w:rPr>
        <w:t xml:space="preserve"> Discipline</w:t>
      </w:r>
      <w:r>
        <w:rPr>
          <w:b/>
          <w:bCs/>
        </w:rPr>
        <w:t xml:space="preserve"> </w:t>
      </w:r>
    </w:p>
    <w:p w14:paraId="4020CA56" w14:textId="77777777" w:rsidR="00EB2493" w:rsidRDefault="00EB2493" w:rsidP="00EB2493">
      <w:pPr>
        <w:pStyle w:val="NormalWeb"/>
        <w:ind w:left="720"/>
      </w:pPr>
      <w:r>
        <w:t xml:space="preserve">On March 27, 2017, Plaintiff received a charge of discipline for delaying a run. During that </w:t>
      </w:r>
      <w:proofErr w:type="gramStart"/>
      <w:r>
        <w:t>time period</w:t>
      </w:r>
      <w:proofErr w:type="gramEnd"/>
      <w:r>
        <w:t xml:space="preserve">, the City of Detroit's EMS response times were an ongoing issue within the department….When response times exceeded eight minutes, the run would be flagged and reviewed for compliance with EMS's policy to have an ambulance in motion within one minute of a call…. </w:t>
      </w:r>
    </w:p>
    <w:p w14:paraId="44FF2873" w14:textId="77777777" w:rsidR="00EB2493" w:rsidRDefault="00EB2493" w:rsidP="00EB2493">
      <w:pPr>
        <w:pStyle w:val="NormalWeb"/>
        <w:ind w:left="720"/>
      </w:pPr>
      <w:r>
        <w:t xml:space="preserve">At 6:42 am that morning while Plaintiff was on duty, a run came in for an attempted suicide. Before the paramedics were notified of the run, another employee, Jeff Gaglio, arrived early for work on his shift and relieved Plaintiff's partner Nataki Vickers. As Gaglio and Plaintiff (who was driving the ambulance) began pulling out into the driveway for the run, Plaintiff saw his shift relief, Chris Photiades, arrive at </w:t>
      </w:r>
      <w:r>
        <w:lastRenderedPageBreak/>
        <w:t xml:space="preserve">work. Plaintiff turned the ambulance around to switch with </w:t>
      </w:r>
      <w:proofErr w:type="spellStart"/>
      <w:r>
        <w:t>Phiotades</w:t>
      </w:r>
      <w:proofErr w:type="spellEnd"/>
      <w:r>
        <w:t xml:space="preserve">. </w:t>
      </w:r>
      <w:proofErr w:type="spellStart"/>
      <w:r>
        <w:t>Phiotades</w:t>
      </w:r>
      <w:proofErr w:type="spellEnd"/>
      <w:r>
        <w:t xml:space="preserve"> and Gaglio then took the run, and arrived on the scene at 6:51 am—nine minutes after the run came in.</w:t>
      </w:r>
    </w:p>
    <w:p w14:paraId="0BBF8A23" w14:textId="77777777" w:rsidR="00EB2493" w:rsidRDefault="00EB2493" w:rsidP="00EB2493">
      <w:pPr>
        <w:pStyle w:val="NormalWeb"/>
        <w:ind w:left="720"/>
      </w:pPr>
      <w:r>
        <w:t xml:space="preserve">[Court]: Accordingly, an unserved six-hour suspension and discipline letter are not sufficient to establish a materially adverse employment action. Therefore, Plaintiff has not established a prima facie case of discrimination </w:t>
      </w:r>
      <w:proofErr w:type="gramStart"/>
      <w:r>
        <w:t>for</w:t>
      </w:r>
      <w:proofErr w:type="gramEnd"/>
      <w:r>
        <w:t xml:space="preserve"> this claim.</w:t>
      </w:r>
    </w:p>
    <w:p w14:paraId="4E2329B2" w14:textId="77777777" w:rsidR="00EB2493" w:rsidRDefault="00EB2493" w:rsidP="00EB2493">
      <w:pPr>
        <w:pStyle w:val="NormalWeb"/>
        <w:ind w:left="720"/>
        <w:rPr>
          <w:b/>
          <w:bCs/>
          <w:i/>
          <w:iCs/>
        </w:rPr>
      </w:pPr>
    </w:p>
    <w:p w14:paraId="3603685B" w14:textId="77777777" w:rsidR="00EB2493" w:rsidRDefault="00EB2493" w:rsidP="00EB2493">
      <w:pPr>
        <w:pStyle w:val="NormalWeb"/>
        <w:ind w:left="720"/>
      </w:pPr>
      <w:r>
        <w:rPr>
          <w:b/>
          <w:bCs/>
          <w:i/>
          <w:iCs/>
        </w:rPr>
        <w:t>April 2017 Ramadan Accommodation Request</w:t>
      </w:r>
    </w:p>
    <w:p w14:paraId="3BC74AF8" w14:textId="77777777" w:rsidR="00EB2493" w:rsidRDefault="00EB2493" w:rsidP="00EB2493">
      <w:pPr>
        <w:pStyle w:val="NormalWeb"/>
        <w:ind w:left="720"/>
      </w:pPr>
      <w:r>
        <w:t xml:space="preserve">[Court]: Defendants' motion for summary judgment contains e-mail exhibits indicating that Plaintiff was granted accommodations during Ramadan in 2017. For example, on Wednesday May 17, 2017, Jason Bestard, the Administrative Lieutenant for the City of Detroit Fire Department EMS Division wrote to </w:t>
      </w:r>
      <w:proofErr w:type="gramStart"/>
      <w:r>
        <w:t>Plaintiff: ‘</w:t>
      </w:r>
      <w:proofErr w:type="gramEnd"/>
      <w:r>
        <w:t xml:space="preserve">In order to accommodate your request, you will be moved to the NIGHTS 1 shift as a FLOAT PARAMEDIC for the dates, May 28 through June 20th. You will return to your regular shift Sunday, June 25th…. These dates covered the entire period for which Plaintiff sought an accommodation in his initial email to his supervisors.” </w:t>
      </w:r>
      <w:hyperlink r:id="rId1598" w:history="1">
        <w:r w:rsidRPr="005D199E">
          <w:rPr>
            <w:rStyle w:val="Hyperlink"/>
          </w:rPr>
          <w:t>https://casetext.com/case/saade-v-city-of-detroit-1</w:t>
        </w:r>
      </w:hyperlink>
      <w:r>
        <w:t xml:space="preserve">  </w:t>
      </w:r>
    </w:p>
    <w:p w14:paraId="0220A169" w14:textId="77777777" w:rsidR="00EB2493" w:rsidRDefault="00EB2493" w:rsidP="00EB2493">
      <w:pPr>
        <w:spacing w:before="100" w:beforeAutospacing="1" w:after="100" w:afterAutospacing="1" w:line="240" w:lineRule="auto"/>
        <w:rPr>
          <w:rFonts w:ascii="Times New Roman" w:hAnsi="Times New Roman"/>
          <w:b/>
          <w:bCs/>
          <w:sz w:val="24"/>
          <w:szCs w:val="24"/>
        </w:rPr>
      </w:pPr>
      <w:r w:rsidRPr="00FA450C">
        <w:rPr>
          <w:rFonts w:ascii="Times New Roman" w:hAnsi="Times New Roman"/>
          <w:b/>
          <w:bCs/>
          <w:sz w:val="24"/>
          <w:szCs w:val="24"/>
        </w:rPr>
        <w:t>Legal Lesson Learned:</w:t>
      </w:r>
      <w:r>
        <w:rPr>
          <w:rFonts w:ascii="Times New Roman" w:hAnsi="Times New Roman"/>
          <w:b/>
          <w:bCs/>
          <w:sz w:val="24"/>
          <w:szCs w:val="24"/>
        </w:rPr>
        <w:t xml:space="preserve">  Plaintiffs in establishing a “prima facie” case of discrimination has the burden of proof to demonstrate a material adverse change in the terms of his employment.</w:t>
      </w:r>
    </w:p>
    <w:p w14:paraId="20FBCC4E" w14:textId="77777777" w:rsidR="00EB2493" w:rsidRDefault="00EB2493" w:rsidP="00BC70A3">
      <w:pPr>
        <w:rPr>
          <w:rFonts w:ascii="Arial Black" w:hAnsi="Arial Black"/>
          <w:b/>
          <w:sz w:val="24"/>
          <w:szCs w:val="24"/>
        </w:rPr>
      </w:pPr>
    </w:p>
    <w:p w14:paraId="6C25FF4D" w14:textId="77777777" w:rsidR="00EB2493" w:rsidRDefault="00EB2493" w:rsidP="00BC70A3">
      <w:pPr>
        <w:rPr>
          <w:rFonts w:ascii="Arial Black" w:hAnsi="Arial Black"/>
          <w:b/>
          <w:sz w:val="24"/>
          <w:szCs w:val="24"/>
        </w:rPr>
      </w:pPr>
    </w:p>
    <w:p w14:paraId="51A776D8" w14:textId="7F1F3AF7" w:rsidR="007F3C7D" w:rsidRDefault="007F3C7D" w:rsidP="00BC70A3">
      <w:pPr>
        <w:rPr>
          <w:rFonts w:ascii="Arial Black" w:hAnsi="Arial Black"/>
          <w:b/>
          <w:sz w:val="24"/>
          <w:szCs w:val="24"/>
        </w:rPr>
      </w:pPr>
      <w:r>
        <w:rPr>
          <w:rFonts w:ascii="Arial Black" w:hAnsi="Arial Black"/>
          <w:b/>
          <w:sz w:val="24"/>
          <w:szCs w:val="24"/>
        </w:rPr>
        <w:t>8-25</w:t>
      </w:r>
    </w:p>
    <w:p w14:paraId="5C643133" w14:textId="77777777" w:rsidR="007F3C7D" w:rsidRPr="00890EBF" w:rsidRDefault="007F3C7D" w:rsidP="007F3C7D">
      <w:pPr>
        <w:pStyle w:val="NoSpacing"/>
        <w:rPr>
          <w:rFonts w:ascii="Arial Black" w:hAnsi="Arial Black"/>
          <w:sz w:val="28"/>
          <w:szCs w:val="28"/>
        </w:rPr>
      </w:pPr>
      <w:bookmarkStart w:id="318" w:name="_Hlk66947802"/>
      <w:r>
        <w:rPr>
          <w:rFonts w:ascii="Arial Black" w:hAnsi="Arial Black"/>
          <w:sz w:val="28"/>
          <w:szCs w:val="28"/>
        </w:rPr>
        <w:t xml:space="preserve">NY: SYRACUSE 1980 CONSENT DECREE – FED. JUDGE WON’T DISSOLVE – BUT DROP SEPARATE HIRING LISTS </w:t>
      </w:r>
    </w:p>
    <w:p w14:paraId="0AC04779" w14:textId="77777777" w:rsidR="007F3C7D" w:rsidRDefault="007F3C7D" w:rsidP="007F3C7D">
      <w:pPr>
        <w:pStyle w:val="NoSpacing"/>
      </w:pPr>
    </w:p>
    <w:p w14:paraId="0D82AD8C" w14:textId="77777777" w:rsidR="007F3C7D" w:rsidRPr="00890EBF" w:rsidRDefault="007F3C7D" w:rsidP="007F3C7D">
      <w:pPr>
        <w:pStyle w:val="NoSpacing"/>
        <w:rPr>
          <w:rFonts w:ascii="Times New Roman" w:hAnsi="Times New Roman"/>
          <w:sz w:val="24"/>
          <w:szCs w:val="24"/>
        </w:rPr>
      </w:pPr>
      <w:r w:rsidRPr="00890EBF">
        <w:rPr>
          <w:rFonts w:ascii="Times New Roman" w:hAnsi="Times New Roman"/>
          <w:sz w:val="24"/>
          <w:szCs w:val="24"/>
        </w:rPr>
        <w:t xml:space="preserve">On Jan. 12, 2021, in </w:t>
      </w:r>
      <w:r w:rsidRPr="00890EBF">
        <w:rPr>
          <w:rFonts w:ascii="Times New Roman" w:hAnsi="Times New Roman"/>
          <w:sz w:val="24"/>
          <w:szCs w:val="24"/>
          <w:u w:val="single"/>
        </w:rPr>
        <w:t>Lee Alexander, Mayor of Syracuse, et al. v. Victor S. Bahou, as President of the Civil Service Commission of the State of New York, et al</w:t>
      </w:r>
      <w:r w:rsidRPr="00890EBF">
        <w:rPr>
          <w:rFonts w:ascii="Times New Roman" w:hAnsi="Times New Roman"/>
          <w:sz w:val="24"/>
          <w:szCs w:val="24"/>
        </w:rPr>
        <w:t xml:space="preserve">., </w:t>
      </w:r>
      <w:r>
        <w:rPr>
          <w:rFonts w:ascii="Times New Roman" w:hAnsi="Times New Roman"/>
          <w:sz w:val="24"/>
          <w:szCs w:val="24"/>
        </w:rPr>
        <w:t xml:space="preserve">U.S. District Court Judge David, U.S. District Court for Northern District of New York, denied the U.S. Government’s motion to dissolve the 1980 Consent Decree, but did amend the Decree that had allowed the City for past 40 years to hire police and fire applicants off of separate hiring lists for minority and female applicants, instead of hiring by the State of New York “rule of three” from one list.  Instead of separate hiring lists, the </w:t>
      </w:r>
      <w:proofErr w:type="gramStart"/>
      <w:r>
        <w:rPr>
          <w:rFonts w:ascii="Times New Roman" w:hAnsi="Times New Roman"/>
          <w:sz w:val="24"/>
          <w:szCs w:val="24"/>
        </w:rPr>
        <w:t>City</w:t>
      </w:r>
      <w:proofErr w:type="gramEnd"/>
      <w:r>
        <w:rPr>
          <w:rFonts w:ascii="Times New Roman" w:hAnsi="Times New Roman"/>
          <w:sz w:val="24"/>
          <w:szCs w:val="24"/>
        </w:rPr>
        <w:t xml:space="preserve"> can give added points to minority and female applicants </w:t>
      </w:r>
      <w:proofErr w:type="gramStart"/>
      <w:r>
        <w:rPr>
          <w:rFonts w:ascii="Times New Roman" w:hAnsi="Times New Roman"/>
          <w:sz w:val="24"/>
          <w:szCs w:val="24"/>
        </w:rPr>
        <w:t>similar to</w:t>
      </w:r>
      <w:proofErr w:type="gramEnd"/>
      <w:r>
        <w:rPr>
          <w:rFonts w:ascii="Times New Roman" w:hAnsi="Times New Roman"/>
          <w:sz w:val="24"/>
          <w:szCs w:val="24"/>
        </w:rPr>
        <w:t xml:space="preserve"> points they award for residents. </w:t>
      </w:r>
    </w:p>
    <w:bookmarkEnd w:id="318"/>
    <w:p w14:paraId="69489D5D" w14:textId="77777777" w:rsidR="007F3C7D" w:rsidRDefault="007F3C7D" w:rsidP="007F3C7D">
      <w:pPr>
        <w:pStyle w:val="NoSpacing"/>
      </w:pPr>
    </w:p>
    <w:p w14:paraId="21C9D9E5" w14:textId="77777777" w:rsidR="007F3C7D" w:rsidRDefault="007F3C7D" w:rsidP="007F3C7D">
      <w:pPr>
        <w:pStyle w:val="NoSpacing"/>
        <w:ind w:left="720"/>
        <w:rPr>
          <w:rFonts w:ascii="Times New Roman" w:hAnsi="Times New Roman"/>
          <w:sz w:val="24"/>
          <w:szCs w:val="24"/>
        </w:rPr>
      </w:pPr>
      <w:r>
        <w:rPr>
          <w:rFonts w:ascii="Times New Roman" w:hAnsi="Times New Roman"/>
          <w:sz w:val="24"/>
          <w:szCs w:val="24"/>
        </w:rPr>
        <w:t>“</w:t>
      </w:r>
      <w:r w:rsidRPr="00B16549">
        <w:rPr>
          <w:rFonts w:ascii="Times New Roman" w:hAnsi="Times New Roman"/>
          <w:sz w:val="24"/>
          <w:szCs w:val="24"/>
        </w:rPr>
        <w:t>Syracuse's goal throughout this litigation is an admirable one. Its dedication to combating racial and sex discrimination within its police and fire departments even after forty years of effort is worthy of commendation. The work of remedying the city's past discriminatory hiring practices is far from over, and contrary to the government's arguments, the Court will not deprive the city of its tools for continuing in its labors. However, the government has made an adequate showing that the city's practice of using separate eligibility lists for women and African American candidates for police and fire work, a practice empowered by the consent decree, violates Title VII. The Court cannot allow its authority to be used to circumvent federal law, and accordingly the government's motion to modify the consent decree must be granted in part</w:t>
      </w:r>
      <w:r>
        <w:rPr>
          <w:rFonts w:ascii="Times New Roman" w:hAnsi="Times New Roman"/>
          <w:sz w:val="24"/>
          <w:szCs w:val="24"/>
        </w:rPr>
        <w:t>.</w:t>
      </w:r>
    </w:p>
    <w:p w14:paraId="57B8E940" w14:textId="77777777" w:rsidR="007F3C7D" w:rsidRDefault="007F3C7D" w:rsidP="007F3C7D">
      <w:pPr>
        <w:pStyle w:val="NoSpacing"/>
        <w:ind w:left="720"/>
        <w:rPr>
          <w:rFonts w:ascii="Times New Roman" w:hAnsi="Times New Roman"/>
          <w:sz w:val="24"/>
          <w:szCs w:val="24"/>
        </w:rPr>
      </w:pPr>
    </w:p>
    <w:p w14:paraId="6BD92BE4" w14:textId="77777777" w:rsidR="007F3C7D" w:rsidRDefault="007F3C7D" w:rsidP="007F3C7D">
      <w:pPr>
        <w:pStyle w:val="NoSpacing"/>
        <w:ind w:left="720"/>
        <w:rPr>
          <w:rFonts w:ascii="Times New Roman" w:hAnsi="Times New Roman"/>
          <w:sz w:val="24"/>
          <w:szCs w:val="24"/>
        </w:rPr>
      </w:pPr>
      <w:r>
        <w:rPr>
          <w:rFonts w:ascii="Times New Roman" w:hAnsi="Times New Roman"/>
          <w:sz w:val="24"/>
          <w:szCs w:val="24"/>
        </w:rPr>
        <w:t>***</w:t>
      </w:r>
    </w:p>
    <w:p w14:paraId="0575BC66" w14:textId="77777777" w:rsidR="007F3C7D" w:rsidRDefault="007F3C7D" w:rsidP="007F3C7D">
      <w:pPr>
        <w:pStyle w:val="paragraph"/>
        <w:ind w:left="720"/>
      </w:pPr>
      <w:r>
        <w:lastRenderedPageBreak/>
        <w:t xml:space="preserve">It can hardly be disputed that the separate eligibility lists use different cutoff scores, and therefore violate the 1991 amendment, because their purpose is to ensure that an African American or female candidate who would not otherwise have scored within the top three eligible applicants for a position would still be hirable. In other words, a non-African American male's score for consideration needs to fall within the top three, but an African American or female's score need not. </w:t>
      </w:r>
      <w:bookmarkStart w:id="319" w:name="_Hlk66947841"/>
      <w:r w:rsidR="00F00958">
        <w:fldChar w:fldCharType="begin"/>
      </w:r>
      <w:r w:rsidR="00F00958">
        <w:instrText xml:space="preserve"> HYPERLINK "https://casetext.com/statute/united-states-code/title-42-the-public-health-and-welfare/chapter-21-civil-rights/subchapter-vi-equal-employment-opportunities/section-2000e-2-unlawful-employment-practices" </w:instrText>
      </w:r>
      <w:r w:rsidR="00F00958">
        <w:fldChar w:fldCharType="separate"/>
      </w:r>
      <w:r>
        <w:rPr>
          <w:rStyle w:val="Hyperlink"/>
        </w:rPr>
        <w:t>42 U.S.C. § 2000e-2(</w:t>
      </w:r>
      <w:r>
        <w:rPr>
          <w:rStyle w:val="Hyperlink"/>
          <w:i/>
          <w:iCs/>
        </w:rPr>
        <w:t>l</w:t>
      </w:r>
      <w:r>
        <w:rPr>
          <w:rStyle w:val="Hyperlink"/>
        </w:rPr>
        <w:t>)</w:t>
      </w:r>
      <w:r w:rsidR="00F00958">
        <w:rPr>
          <w:rStyle w:val="Hyperlink"/>
        </w:rPr>
        <w:fldChar w:fldCharType="end"/>
      </w:r>
      <w:r>
        <w:t xml:space="preserve">. </w:t>
      </w:r>
      <w:hyperlink r:id="rId1599" w:history="1">
        <w:r w:rsidRPr="00E05602">
          <w:rPr>
            <w:rStyle w:val="Hyperlink"/>
          </w:rPr>
          <w:t>https://casetext.com/case/alexander-v-bahou/?PHONE_NUMBER_GROUP=P</w:t>
        </w:r>
      </w:hyperlink>
      <w:r>
        <w:t xml:space="preserve"> </w:t>
      </w:r>
    </w:p>
    <w:p w14:paraId="71A6F29D" w14:textId="77777777" w:rsidR="007F3C7D" w:rsidRDefault="007F3C7D" w:rsidP="007F3C7D">
      <w:pPr>
        <w:pStyle w:val="paragraph"/>
        <w:rPr>
          <w:b/>
          <w:bCs/>
        </w:rPr>
      </w:pPr>
      <w:r w:rsidRPr="009C106D">
        <w:rPr>
          <w:b/>
          <w:bCs/>
        </w:rPr>
        <w:t>Legal Lesson Learned:</w:t>
      </w:r>
      <w:r>
        <w:rPr>
          <w:b/>
          <w:bCs/>
        </w:rPr>
        <w:t xml:space="preserve">  Congress in 1991 amended Title VII of the Civil Rights Act to prohibit use of different cut off scores based on race or gender.</w:t>
      </w:r>
    </w:p>
    <w:p w14:paraId="2CB66DA4" w14:textId="77777777" w:rsidR="007F3C7D" w:rsidRPr="009E0EBC" w:rsidRDefault="007F3C7D" w:rsidP="007F3C7D">
      <w:pPr>
        <w:pStyle w:val="paragraph"/>
      </w:pPr>
      <w:r>
        <w:rPr>
          <w:b/>
          <w:bCs/>
        </w:rPr>
        <w:tab/>
      </w:r>
      <w:r w:rsidRPr="009E0EBC">
        <w:t xml:space="preserve">Note: </w:t>
      </w:r>
      <w:r>
        <w:t>The Federal judge in this case commented:</w:t>
      </w:r>
    </w:p>
    <w:p w14:paraId="6D99091D" w14:textId="77777777" w:rsidR="007F3C7D" w:rsidRDefault="007F3C7D" w:rsidP="007F3C7D">
      <w:pPr>
        <w:pStyle w:val="paragraph"/>
        <w:ind w:left="1440"/>
      </w:pPr>
      <w:r>
        <w:t xml:space="preserve">“In 1991, Congress made it unlawful under Title VII for employers ‘in connection with the selection or referral of applicants or candidates for employment[,] . . . to adjust the scores of, use different cutoff scores for, or otherwise alter the results of, employment[-]related tests on the basis of race, color, religion, sex, or national origin.’ </w:t>
      </w:r>
      <w:hyperlink r:id="rId1600" w:history="1">
        <w:r>
          <w:rPr>
            <w:rStyle w:val="Hyperlink"/>
          </w:rPr>
          <w:t>42 U.S.C. § 2000e-2(</w:t>
        </w:r>
        <w:r>
          <w:rPr>
            <w:rStyle w:val="Hyperlink"/>
            <w:i/>
            <w:iCs/>
          </w:rPr>
          <w:t>l</w:t>
        </w:r>
        <w:r>
          <w:rPr>
            <w:rStyle w:val="Hyperlink"/>
          </w:rPr>
          <w:t>)</w:t>
        </w:r>
      </w:hyperlink>
      <w:r>
        <w:t>.”</w:t>
      </w:r>
    </w:p>
    <w:p w14:paraId="22FF83E4" w14:textId="77777777" w:rsidR="007F3C7D" w:rsidRDefault="007F3C7D" w:rsidP="007F3C7D">
      <w:pPr>
        <w:pStyle w:val="paragraph"/>
        <w:ind w:left="720"/>
      </w:pPr>
      <w:r>
        <w:t xml:space="preserve">See also law review article by former General Counsel of EEOC: </w:t>
      </w:r>
    </w:p>
    <w:p w14:paraId="3F737A1A" w14:textId="77777777" w:rsidR="007F3C7D" w:rsidRPr="00FA716B" w:rsidRDefault="007F3C7D" w:rsidP="007F3C7D">
      <w:pPr>
        <w:pStyle w:val="paragraph"/>
        <w:ind w:left="720" w:firstLine="720"/>
      </w:pPr>
      <w:r w:rsidRPr="00FA716B">
        <w:t>THE CIVIL RIGHTS ACT OF 1991 AND EEOC ENFORCEMENT</w:t>
      </w:r>
    </w:p>
    <w:p w14:paraId="4C1FFABB" w14:textId="77777777" w:rsidR="007F3C7D" w:rsidRPr="009E0EBC" w:rsidRDefault="007F3C7D" w:rsidP="007F3C7D">
      <w:pPr>
        <w:pStyle w:val="NoSpacing"/>
        <w:ind w:left="1440"/>
        <w:rPr>
          <w:rFonts w:ascii="Times New Roman" w:hAnsi="Times New Roman"/>
          <w:sz w:val="24"/>
          <w:szCs w:val="24"/>
        </w:rPr>
      </w:pPr>
      <w:r w:rsidRPr="009E0EBC">
        <w:rPr>
          <w:rFonts w:ascii="Times New Roman" w:hAnsi="Times New Roman"/>
          <w:sz w:val="24"/>
          <w:szCs w:val="24"/>
        </w:rPr>
        <w:t>“On November 21, 1991, a new era of aggressive civil rights enforcement was introduced when President Bush signed the Civil Rights Act of 1991 (the Act) into law.</w:t>
      </w:r>
    </w:p>
    <w:p w14:paraId="01E2B61F" w14:textId="77777777" w:rsidR="007F3C7D" w:rsidRDefault="007F3C7D" w:rsidP="007F3C7D">
      <w:pPr>
        <w:pStyle w:val="paragraph"/>
        <w:ind w:left="720" w:firstLine="720"/>
      </w:pPr>
      <w:r>
        <w:rPr>
          <w:sz w:val="28"/>
          <w:szCs w:val="28"/>
        </w:rPr>
        <w:t>***</w:t>
      </w:r>
    </w:p>
    <w:p w14:paraId="5F33AC41" w14:textId="71718319" w:rsidR="007F3C7D" w:rsidRPr="007F3C7D" w:rsidRDefault="007F3C7D" w:rsidP="007F3C7D">
      <w:pPr>
        <w:ind w:left="720"/>
        <w:rPr>
          <w:rFonts w:ascii="Times New Roman" w:hAnsi="Times New Roman"/>
          <w:b/>
          <w:sz w:val="24"/>
          <w:szCs w:val="24"/>
        </w:rPr>
      </w:pPr>
      <w:r w:rsidRPr="007F3C7D">
        <w:rPr>
          <w:rFonts w:ascii="Times New Roman" w:hAnsi="Times New Roman"/>
          <w:sz w:val="24"/>
          <w:szCs w:val="24"/>
        </w:rPr>
        <w:t xml:space="preserve">Section 106 of the Civil Rights Act of 1991 prohibits practices often referred to as ‘within group scoring’ or ‘race norming.’ The Act makes it unlawful to adjust scores, to use different cutoff scores, or to alter the results of ‘employment related’ tests </w:t>
      </w:r>
      <w:proofErr w:type="gramStart"/>
      <w:r w:rsidRPr="007F3C7D">
        <w:rPr>
          <w:rFonts w:ascii="Times New Roman" w:hAnsi="Times New Roman"/>
          <w:sz w:val="24"/>
          <w:szCs w:val="24"/>
        </w:rPr>
        <w:t>on the basis of</w:t>
      </w:r>
      <w:proofErr w:type="gramEnd"/>
      <w:r w:rsidRPr="007F3C7D">
        <w:rPr>
          <w:rFonts w:ascii="Times New Roman" w:hAnsi="Times New Roman"/>
          <w:sz w:val="24"/>
          <w:szCs w:val="24"/>
        </w:rPr>
        <w:t xml:space="preserve"> race, color, religion, sex or national origin.144 The practice of score adjustment arose as a means of alleviating the disparate impact of certain selection tests. It had been adopted by some employers and test developers in lieu of the more difficult task of developing valid, non-discriminatory selection procedures.145” </w:t>
      </w:r>
      <w:hyperlink r:id="rId1601" w:history="1">
        <w:r w:rsidRPr="007F3C7D">
          <w:rPr>
            <w:rStyle w:val="Hyperlink"/>
            <w:rFonts w:ascii="Times New Roman" w:hAnsi="Times New Roman"/>
            <w:sz w:val="24"/>
            <w:szCs w:val="24"/>
          </w:rPr>
          <w:t>https://www.stetson.edu/law/lawreview/media/the-civil-rights-act-of-1991-and-eeoc-enforcement.pdf</w:t>
        </w:r>
      </w:hyperlink>
    </w:p>
    <w:p w14:paraId="7980E598" w14:textId="77777777" w:rsidR="007F3C7D" w:rsidRDefault="007F3C7D" w:rsidP="00BC70A3">
      <w:pPr>
        <w:rPr>
          <w:rFonts w:ascii="Arial Black" w:hAnsi="Arial Black"/>
          <w:b/>
          <w:sz w:val="24"/>
          <w:szCs w:val="24"/>
        </w:rPr>
      </w:pPr>
    </w:p>
    <w:p w14:paraId="2D254470" w14:textId="77777777" w:rsidR="007F3C7D" w:rsidRDefault="007F3C7D" w:rsidP="00BC70A3">
      <w:pPr>
        <w:rPr>
          <w:rFonts w:ascii="Arial Black" w:hAnsi="Arial Black"/>
          <w:b/>
          <w:sz w:val="24"/>
          <w:szCs w:val="24"/>
        </w:rPr>
      </w:pPr>
    </w:p>
    <w:bookmarkEnd w:id="319"/>
    <w:p w14:paraId="457D317C" w14:textId="60F4DF3E" w:rsidR="00BC70A3" w:rsidRPr="00BC70A3" w:rsidRDefault="00BC70A3" w:rsidP="00BC70A3">
      <w:pPr>
        <w:rPr>
          <w:rFonts w:ascii="Arial Black" w:hAnsi="Arial Black"/>
          <w:b/>
          <w:sz w:val="24"/>
          <w:szCs w:val="24"/>
        </w:rPr>
      </w:pPr>
      <w:r>
        <w:rPr>
          <w:rFonts w:ascii="Arial Black" w:hAnsi="Arial Black"/>
          <w:b/>
          <w:sz w:val="24"/>
          <w:szCs w:val="24"/>
        </w:rPr>
        <w:t xml:space="preserve">8-24 </w:t>
      </w:r>
      <w:r>
        <w:rPr>
          <w:rFonts w:ascii="Times New Roman" w:hAnsi="Times New Roman"/>
          <w:bCs/>
          <w:sz w:val="24"/>
          <w:szCs w:val="24"/>
        </w:rPr>
        <w:t xml:space="preserve">[Also filed, Chap. 9 -17] </w:t>
      </w:r>
    </w:p>
    <w:p w14:paraId="6EE04254" w14:textId="77777777" w:rsidR="00BC70A3" w:rsidRPr="00C03B09" w:rsidRDefault="00BC70A3" w:rsidP="00BC70A3">
      <w:pPr>
        <w:pStyle w:val="NoSpacing"/>
        <w:rPr>
          <w:rFonts w:ascii="Arial Black" w:hAnsi="Arial Black"/>
          <w:sz w:val="28"/>
          <w:szCs w:val="28"/>
        </w:rPr>
      </w:pPr>
      <w:r>
        <w:rPr>
          <w:rFonts w:ascii="Arial Black" w:hAnsi="Arial Black"/>
          <w:sz w:val="28"/>
          <w:szCs w:val="28"/>
        </w:rPr>
        <w:t xml:space="preserve">FL:  FDNY CHANGED GROOMING POLICY – REQUIRES CLEAN SHAVE – NOW ON APPEAL – JACKSONVILLE FF LAWSUIT </w:t>
      </w:r>
    </w:p>
    <w:p w14:paraId="2C5D7A04" w14:textId="77777777" w:rsidR="00BC70A3" w:rsidRPr="00473C64" w:rsidRDefault="00BC70A3" w:rsidP="00BC70A3">
      <w:pPr>
        <w:spacing w:before="100" w:beforeAutospacing="1" w:after="100" w:afterAutospacing="1" w:line="240" w:lineRule="auto"/>
        <w:rPr>
          <w:rFonts w:ascii="Times New Roman" w:hAnsi="Times New Roman"/>
          <w:sz w:val="24"/>
          <w:szCs w:val="24"/>
        </w:rPr>
      </w:pPr>
      <w:r w:rsidRPr="00473C64">
        <w:rPr>
          <w:rFonts w:ascii="Times New Roman" w:hAnsi="Times New Roman"/>
          <w:sz w:val="24"/>
          <w:szCs w:val="24"/>
        </w:rPr>
        <w:t xml:space="preserve">Nov. 25, 2020, “Black firefighters sue over Jacksonville policy requiring crews to be cleanshaven.”  It </w:t>
      </w:r>
      <w:proofErr w:type="gramStart"/>
      <w:r w:rsidRPr="00473C64">
        <w:rPr>
          <w:rFonts w:ascii="Times New Roman" w:hAnsi="Times New Roman"/>
          <w:sz w:val="24"/>
          <w:szCs w:val="24"/>
        </w:rPr>
        <w:t>referenced</w:t>
      </w:r>
      <w:proofErr w:type="gramEnd"/>
      <w:r w:rsidRPr="00473C64">
        <w:rPr>
          <w:rFonts w:ascii="Times New Roman" w:hAnsi="Times New Roman"/>
          <w:sz w:val="24"/>
          <w:szCs w:val="24"/>
        </w:rPr>
        <w:t xml:space="preserve"> a lawsuit by FDNY firefighters. </w:t>
      </w:r>
      <w:hyperlink r:id="rId1602" w:history="1">
        <w:r w:rsidRPr="00473C64">
          <w:rPr>
            <w:rStyle w:val="Hyperlink"/>
            <w:rFonts w:ascii="Times New Roman" w:hAnsi="Times New Roman"/>
            <w:sz w:val="24"/>
            <w:szCs w:val="24"/>
          </w:rPr>
          <w:t>https://www.jacksonville.com/story/news/courts/2020/11/25/jacksonville-lawsuit-cleanshaven-rule-unfair-black-firefighters/6406374002/</w:t>
        </w:r>
      </w:hyperlink>
    </w:p>
    <w:p w14:paraId="191EBBB4" w14:textId="77777777" w:rsidR="00BC70A3" w:rsidRDefault="00BC70A3" w:rsidP="00BC70A3">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lastRenderedPageBreak/>
        <w:t xml:space="preserve">The City of New York lost their case on Jan. 29, 2020, and has filed an appeal to the U.S. Court of Appeals for Second District. </w:t>
      </w:r>
      <w:r>
        <w:rPr>
          <w:rFonts w:ascii="Times New Roman" w:hAnsi="Times New Roman"/>
          <w:sz w:val="24"/>
          <w:szCs w:val="24"/>
        </w:rPr>
        <w:t xml:space="preserve">On July 2, 2020, the plaintiff firefighters filed their reply brief in the U.S. Court of Appeals for Second Circuit. </w:t>
      </w:r>
      <w:hyperlink r:id="rId1603" w:history="1">
        <w:r w:rsidRPr="007578D7">
          <w:rPr>
            <w:rStyle w:val="Hyperlink"/>
            <w:rFonts w:ascii="Times New Roman" w:hAnsi="Times New Roman"/>
            <w:sz w:val="24"/>
            <w:szCs w:val="24"/>
          </w:rPr>
          <w:t>https://www.law.georgetown.edu/icap/wp-content/uploads/sites/32/2020/07/Bey-2d-Cir.-Opening-Brief-FINAL-7-7-2020.pdf</w:t>
        </w:r>
      </w:hyperlink>
      <w:r>
        <w:rPr>
          <w:rFonts w:ascii="Times New Roman" w:hAnsi="Times New Roman"/>
          <w:sz w:val="24"/>
          <w:szCs w:val="24"/>
        </w:rPr>
        <w:t xml:space="preserve"> </w:t>
      </w:r>
    </w:p>
    <w:p w14:paraId="4B13B079" w14:textId="77777777" w:rsidR="00BC70A3" w:rsidRDefault="00BC70A3" w:rsidP="00BC70A3">
      <w:pPr>
        <w:spacing w:before="100" w:beforeAutospacing="1" w:after="100" w:afterAutospacing="1" w:line="240" w:lineRule="auto"/>
        <w:rPr>
          <w:rFonts w:ascii="Times New Roman" w:hAnsi="Times New Roman"/>
          <w:sz w:val="24"/>
          <w:szCs w:val="24"/>
        </w:rPr>
      </w:pPr>
      <w:r>
        <w:rPr>
          <w:rFonts w:ascii="Times New Roman" w:eastAsia="Times New Roman" w:hAnsi="Times New Roman"/>
          <w:sz w:val="24"/>
          <w:szCs w:val="24"/>
        </w:rPr>
        <w:t xml:space="preserve">On Jan. 29, 2020, in </w:t>
      </w:r>
      <w:r w:rsidRPr="00D115C7">
        <w:rPr>
          <w:rFonts w:ascii="Times New Roman" w:eastAsia="Times New Roman" w:hAnsi="Times New Roman"/>
          <w:sz w:val="24"/>
          <w:szCs w:val="24"/>
          <w:u w:val="single"/>
        </w:rPr>
        <w:t>Salik Bey, et al. v. City of New York, Daniel Nigro, et al</w:t>
      </w:r>
      <w:r>
        <w:rPr>
          <w:rFonts w:ascii="Times New Roman" w:eastAsia="Times New Roman" w:hAnsi="Times New Roman"/>
          <w:sz w:val="24"/>
          <w:szCs w:val="24"/>
        </w:rPr>
        <w:t>., 437 F. Supp. 3</w:t>
      </w:r>
      <w:r w:rsidRPr="009562EF">
        <w:rPr>
          <w:rFonts w:ascii="Times New Roman" w:eastAsia="Times New Roman" w:hAnsi="Times New Roman"/>
          <w:sz w:val="24"/>
          <w:szCs w:val="24"/>
          <w:vertAlign w:val="superscript"/>
        </w:rPr>
        <w:t>rd</w:t>
      </w:r>
      <w:r>
        <w:rPr>
          <w:rFonts w:ascii="Times New Roman" w:eastAsia="Times New Roman" w:hAnsi="Times New Roman"/>
          <w:sz w:val="24"/>
          <w:szCs w:val="24"/>
        </w:rPr>
        <w:t xml:space="preserve"> 2222, Senior U.S. District Court Judge Jack B. Weinstein, U.S. District Court for Eastern District of New York ordered FDNY to return to their former grooming policy (Aug. 2015 – Dec. 2017) which allowed </w:t>
      </w:r>
      <w:r w:rsidRPr="00CB7445">
        <w:rPr>
          <w:rFonts w:ascii="Times New Roman" w:eastAsia="Times New Roman" w:hAnsi="Times New Roman"/>
          <w:sz w:val="24"/>
          <w:szCs w:val="24"/>
        </w:rPr>
        <w:t>facial hair in the chin, cheek and neck area if it did not cause leakage around the mask's seal</w:t>
      </w:r>
      <w:r>
        <w:rPr>
          <w:rFonts w:ascii="Times New Roman" w:eastAsia="Times New Roman" w:hAnsi="Times New Roman"/>
          <w:sz w:val="24"/>
          <w:szCs w:val="24"/>
        </w:rPr>
        <w:t>.   Under the new policy: “</w:t>
      </w:r>
      <w:r w:rsidRPr="00313B2C">
        <w:rPr>
          <w:rFonts w:ascii="Times New Roman" w:hAnsi="Times New Roman"/>
          <w:sz w:val="24"/>
          <w:szCs w:val="24"/>
        </w:rPr>
        <w:t>If Plaintiffs shaved all facial hair in the chin area, they would maintain their status as full duty firefighters; otherwise, they would be placed on light duty.</w:t>
      </w:r>
      <w:r>
        <w:rPr>
          <w:rFonts w:ascii="Times New Roman" w:hAnsi="Times New Roman"/>
          <w:sz w:val="24"/>
          <w:szCs w:val="24"/>
        </w:rPr>
        <w:t xml:space="preserve">” </w:t>
      </w:r>
    </w:p>
    <w:p w14:paraId="4D65E1C1" w14:textId="77777777" w:rsidR="00BC70A3" w:rsidRDefault="00BC70A3" w:rsidP="00BC70A3">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 xml:space="preserve">Judge Weinstein’s decision: </w:t>
      </w:r>
    </w:p>
    <w:p w14:paraId="5892941C" w14:textId="77777777" w:rsidR="00BC70A3" w:rsidRDefault="00BC70A3" w:rsidP="00BC70A3">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r w:rsidRPr="00FC3A40">
        <w:rPr>
          <w:rFonts w:ascii="Times New Roman" w:hAnsi="Times New Roman"/>
          <w:sz w:val="24"/>
          <w:szCs w:val="24"/>
        </w:rPr>
        <w:t xml:space="preserve">Defendants admit that no heightened safety risk to firefighters or the public was presented by the accommodation previously in effect. Two and a half years passed without incident, and Plaintiffs continued to perform their jobs satisfactorily. </w:t>
      </w:r>
      <w:proofErr w:type="gramStart"/>
      <w:r w:rsidRPr="00FC3A40">
        <w:rPr>
          <w:rFonts w:ascii="Times New Roman" w:hAnsi="Times New Roman"/>
          <w:sz w:val="24"/>
          <w:szCs w:val="24"/>
        </w:rPr>
        <w:t>The FDNY's</w:t>
      </w:r>
      <w:proofErr w:type="gramEnd"/>
      <w:r w:rsidRPr="00FC3A40">
        <w:rPr>
          <w:rFonts w:ascii="Times New Roman" w:hAnsi="Times New Roman"/>
          <w:sz w:val="24"/>
          <w:szCs w:val="24"/>
        </w:rPr>
        <w:t xml:space="preserve"> decision to abandon the prior accommodation was not based on any actual safety risks to firefighters or the public. Rather, driving the calculus was bureaucracy. Defendants cite no case law indicating that such bureaucratic considerations are a viable undue hardship defense; the court declines </w:t>
      </w:r>
      <w:proofErr w:type="gramStart"/>
      <w:r w:rsidRPr="00FC3A40">
        <w:rPr>
          <w:rFonts w:ascii="Times New Roman" w:hAnsi="Times New Roman"/>
          <w:sz w:val="24"/>
          <w:szCs w:val="24"/>
        </w:rPr>
        <w:t>to so</w:t>
      </w:r>
      <w:proofErr w:type="gramEnd"/>
      <w:r w:rsidRPr="00FC3A40">
        <w:rPr>
          <w:rFonts w:ascii="Times New Roman" w:hAnsi="Times New Roman"/>
          <w:sz w:val="24"/>
          <w:szCs w:val="24"/>
        </w:rPr>
        <w:t xml:space="preserve"> find</w:t>
      </w:r>
      <w:proofErr w:type="gramStart"/>
      <w:r>
        <w:rPr>
          <w:rFonts w:ascii="Times New Roman" w:hAnsi="Times New Roman"/>
          <w:sz w:val="24"/>
          <w:szCs w:val="24"/>
        </w:rPr>
        <w:t>.”</w:t>
      </w:r>
      <w:proofErr w:type="gramEnd"/>
      <w:r>
        <w:rPr>
          <w:rFonts w:ascii="Times New Roman" w:hAnsi="Times New Roman"/>
          <w:sz w:val="24"/>
          <w:szCs w:val="24"/>
        </w:rPr>
        <w:t xml:space="preserve"> </w:t>
      </w:r>
      <w:hyperlink r:id="rId1604" w:history="1">
        <w:r w:rsidRPr="007578D7">
          <w:rPr>
            <w:rStyle w:val="Hyperlink"/>
            <w:rFonts w:ascii="Times New Roman" w:hAnsi="Times New Roman"/>
            <w:sz w:val="24"/>
            <w:szCs w:val="24"/>
          </w:rPr>
          <w:t>https://casetext.com/case/bey-v-city-of-ny-7</w:t>
        </w:r>
      </w:hyperlink>
    </w:p>
    <w:p w14:paraId="0A48DEB3" w14:textId="77777777" w:rsidR="00BC70A3" w:rsidRPr="00FC3A40" w:rsidRDefault="00BC70A3" w:rsidP="00BC70A3">
      <w:pPr>
        <w:tabs>
          <w:tab w:val="left" w:pos="2810"/>
        </w:tabs>
        <w:spacing w:before="100" w:beforeAutospacing="1" w:after="100" w:afterAutospacing="1" w:line="240" w:lineRule="auto"/>
        <w:rPr>
          <w:rFonts w:ascii="Times New Roman" w:hAnsi="Times New Roman"/>
          <w:b/>
          <w:bCs/>
          <w:sz w:val="24"/>
          <w:szCs w:val="24"/>
        </w:rPr>
      </w:pPr>
      <w:r w:rsidRPr="00FC3A40">
        <w:rPr>
          <w:rFonts w:ascii="Times New Roman" w:hAnsi="Times New Roman"/>
          <w:b/>
          <w:bCs/>
          <w:sz w:val="24"/>
          <w:szCs w:val="24"/>
        </w:rPr>
        <w:t>Legal Lesson Learned</w:t>
      </w:r>
      <w:r>
        <w:rPr>
          <w:rFonts w:ascii="Times New Roman" w:hAnsi="Times New Roman"/>
          <w:b/>
          <w:bCs/>
          <w:sz w:val="24"/>
          <w:szCs w:val="24"/>
        </w:rPr>
        <w:t xml:space="preserve">: The FDNY case will now be decided by the U.S. Court of Appeals for the Second Circuit.  The Jacksonville FD case will proceed </w:t>
      </w:r>
      <w:proofErr w:type="gramStart"/>
      <w:r>
        <w:rPr>
          <w:rFonts w:ascii="Times New Roman" w:hAnsi="Times New Roman"/>
          <w:b/>
          <w:bCs/>
          <w:sz w:val="24"/>
          <w:szCs w:val="24"/>
        </w:rPr>
        <w:t>to</w:t>
      </w:r>
      <w:proofErr w:type="gramEnd"/>
      <w:r>
        <w:rPr>
          <w:rFonts w:ascii="Times New Roman" w:hAnsi="Times New Roman"/>
          <w:b/>
          <w:bCs/>
          <w:sz w:val="24"/>
          <w:szCs w:val="24"/>
        </w:rPr>
        <w:t xml:space="preserve"> pre-trial discovery.   </w:t>
      </w:r>
    </w:p>
    <w:p w14:paraId="6924D7F1" w14:textId="77777777" w:rsidR="00BC70A3" w:rsidRDefault="00BC70A3" w:rsidP="00DE0F03">
      <w:pPr>
        <w:rPr>
          <w:rFonts w:ascii="Arial Black" w:hAnsi="Arial Black"/>
          <w:b/>
          <w:sz w:val="24"/>
          <w:szCs w:val="24"/>
        </w:rPr>
      </w:pPr>
    </w:p>
    <w:p w14:paraId="755D19AE" w14:textId="77777777" w:rsidR="00BC70A3" w:rsidRDefault="00BC70A3" w:rsidP="00DE0F03">
      <w:pPr>
        <w:rPr>
          <w:rFonts w:ascii="Arial Black" w:hAnsi="Arial Black"/>
          <w:b/>
          <w:sz w:val="24"/>
          <w:szCs w:val="24"/>
        </w:rPr>
      </w:pPr>
    </w:p>
    <w:p w14:paraId="4C440C8D" w14:textId="77777777" w:rsidR="00BC70A3" w:rsidRDefault="00BC70A3" w:rsidP="00DE0F03">
      <w:pPr>
        <w:rPr>
          <w:rFonts w:ascii="Arial Black" w:hAnsi="Arial Black"/>
          <w:b/>
          <w:sz w:val="24"/>
          <w:szCs w:val="24"/>
        </w:rPr>
      </w:pPr>
    </w:p>
    <w:p w14:paraId="7C42C8B2" w14:textId="0FAF1EFA" w:rsidR="009E093C" w:rsidRDefault="009E093C" w:rsidP="00DE0F03">
      <w:pPr>
        <w:rPr>
          <w:rFonts w:ascii="Arial Black" w:hAnsi="Arial Black"/>
          <w:b/>
          <w:sz w:val="24"/>
          <w:szCs w:val="24"/>
        </w:rPr>
      </w:pPr>
      <w:r>
        <w:rPr>
          <w:rFonts w:ascii="Arial Black" w:hAnsi="Arial Black"/>
          <w:b/>
          <w:sz w:val="24"/>
          <w:szCs w:val="24"/>
        </w:rPr>
        <w:t>8-23</w:t>
      </w:r>
    </w:p>
    <w:p w14:paraId="7799276E" w14:textId="77777777" w:rsidR="009E093C" w:rsidRPr="001B0505" w:rsidRDefault="009E093C" w:rsidP="009E093C">
      <w:pPr>
        <w:pStyle w:val="NoSpacing"/>
        <w:rPr>
          <w:rFonts w:ascii="Arial Black" w:hAnsi="Arial Black"/>
          <w:sz w:val="28"/>
          <w:szCs w:val="28"/>
        </w:rPr>
      </w:pPr>
      <w:r>
        <w:rPr>
          <w:rFonts w:ascii="Arial Black" w:hAnsi="Arial Black"/>
          <w:sz w:val="28"/>
          <w:szCs w:val="28"/>
        </w:rPr>
        <w:t xml:space="preserve">AL:  AFRICAN AMERICAN FF – CUT LOCK OFF ANOTHER SHIFT’S CABINET, THREATENED FF – SUSP / NO PROMOTION – NO CASE </w:t>
      </w:r>
    </w:p>
    <w:p w14:paraId="498AA8A9" w14:textId="77777777" w:rsidR="009E093C" w:rsidRDefault="009E093C" w:rsidP="009E093C">
      <w:pPr>
        <w:tabs>
          <w:tab w:val="left" w:pos="6860"/>
        </w:tabs>
        <w:spacing w:before="100" w:beforeAutospacing="1" w:after="100" w:afterAutospacing="1" w:line="240" w:lineRule="auto"/>
        <w:rPr>
          <w:rFonts w:ascii="Times New Roman" w:eastAsia="Times New Roman" w:hAnsi="Times New Roman"/>
          <w:sz w:val="24"/>
          <w:szCs w:val="24"/>
        </w:rPr>
      </w:pPr>
      <w:r w:rsidRPr="001B0505">
        <w:rPr>
          <w:rFonts w:ascii="Times New Roman" w:eastAsia="Times New Roman" w:hAnsi="Times New Roman"/>
          <w:sz w:val="24"/>
          <w:szCs w:val="24"/>
        </w:rPr>
        <w:t> </w:t>
      </w:r>
      <w:r>
        <w:rPr>
          <w:rFonts w:ascii="Times New Roman" w:eastAsia="Times New Roman" w:hAnsi="Times New Roman"/>
          <w:sz w:val="24"/>
          <w:szCs w:val="24"/>
        </w:rPr>
        <w:t xml:space="preserve">On Nov. 23, 2020, in </w:t>
      </w:r>
      <w:r w:rsidRPr="00A0255E">
        <w:rPr>
          <w:rFonts w:ascii="Times New Roman" w:eastAsia="Times New Roman" w:hAnsi="Times New Roman"/>
          <w:sz w:val="24"/>
          <w:szCs w:val="24"/>
          <w:u w:val="single"/>
        </w:rPr>
        <w:t>Aaron Mitchell v. City of Newport, et al</w:t>
      </w:r>
      <w:r>
        <w:rPr>
          <w:rFonts w:ascii="Times New Roman" w:eastAsia="Times New Roman" w:hAnsi="Times New Roman"/>
          <w:sz w:val="24"/>
          <w:szCs w:val="24"/>
        </w:rPr>
        <w:t xml:space="preserve">., U.S. District Court Judge L. Scott Coogler, U.S. District Court for Northern District of Alabama (Western Division), granted the City’s motion for summary judgment, finding the Fire Department offered nondiscriminatory explanations for suspending him.   He was suspended in 2017, and later failed promotion exam for Sergeant, and in 2018 he was not permitted to apply for promotion to Lieutenant. </w:t>
      </w:r>
    </w:p>
    <w:p w14:paraId="6775456A" w14:textId="77777777" w:rsidR="009E093C" w:rsidRPr="006A3453" w:rsidRDefault="009E093C" w:rsidP="009E093C">
      <w:pPr>
        <w:pStyle w:val="NoSpacing"/>
        <w:ind w:left="720"/>
        <w:rPr>
          <w:rFonts w:ascii="Times New Roman" w:eastAsia="Times New Roman" w:hAnsi="Times New Roman"/>
          <w:sz w:val="24"/>
          <w:szCs w:val="24"/>
        </w:rPr>
      </w:pPr>
      <w:r>
        <w:rPr>
          <w:rFonts w:ascii="Times New Roman" w:eastAsia="Times New Roman" w:hAnsi="Times New Roman"/>
          <w:sz w:val="24"/>
          <w:szCs w:val="24"/>
        </w:rPr>
        <w:t>“</w:t>
      </w:r>
      <w:r w:rsidRPr="006A3453">
        <w:rPr>
          <w:rFonts w:ascii="Times New Roman" w:hAnsi="Times New Roman"/>
          <w:sz w:val="24"/>
          <w:szCs w:val="24"/>
        </w:rPr>
        <w:t>Even if Mitchell had established a prima facie case, Defendants again offered nondiscriminatory explanations for suspending him: he threatened a colleague, he cursed a colleague, and he destroyed a colleague</w:t>
      </w:r>
      <w:r>
        <w:rPr>
          <w:rFonts w:ascii="Times New Roman" w:hAnsi="Times New Roman"/>
          <w:sz w:val="24"/>
          <w:szCs w:val="24"/>
        </w:rPr>
        <w:t>’</w:t>
      </w:r>
      <w:r w:rsidRPr="006A3453">
        <w:rPr>
          <w:rFonts w:ascii="Times New Roman" w:hAnsi="Times New Roman"/>
          <w:sz w:val="24"/>
          <w:szCs w:val="24"/>
        </w:rPr>
        <w:t>s property. (Doc. 57 at 46.) Because Mitchell offered no new evidence or arguments suggesting these explanations are pretext for retaliation, summary judgment is due to be granted.</w:t>
      </w:r>
      <w:r>
        <w:rPr>
          <w:rFonts w:ascii="Times New Roman" w:hAnsi="Times New Roman"/>
          <w:sz w:val="24"/>
          <w:szCs w:val="24"/>
        </w:rPr>
        <w:t xml:space="preserve">”  </w:t>
      </w:r>
      <w:hyperlink r:id="rId1605" w:history="1">
        <w:r w:rsidRPr="00AA126E">
          <w:rPr>
            <w:rStyle w:val="Hyperlink"/>
            <w:rFonts w:ascii="Times New Roman" w:hAnsi="Times New Roman"/>
            <w:sz w:val="24"/>
            <w:szCs w:val="24"/>
          </w:rPr>
          <w:t>https://public.fastcase.com/Wl%2B2t%2BeVuI35%2FN70vAMFZkzhJOnk32e7%2BdWn1xTx2jApuUgRdcLBLFJLG9W4RHCQ</w:t>
        </w:r>
      </w:hyperlink>
      <w:r>
        <w:rPr>
          <w:rFonts w:ascii="Times New Roman" w:hAnsi="Times New Roman"/>
          <w:sz w:val="24"/>
          <w:szCs w:val="24"/>
        </w:rPr>
        <w:t xml:space="preserve"> </w:t>
      </w:r>
    </w:p>
    <w:p w14:paraId="3CA48BAC" w14:textId="77777777" w:rsidR="009E093C" w:rsidRPr="001B0505" w:rsidRDefault="009E093C" w:rsidP="009E093C">
      <w:pPr>
        <w:spacing w:before="100" w:beforeAutospacing="1" w:after="100" w:afterAutospacing="1" w:line="240" w:lineRule="auto"/>
        <w:rPr>
          <w:rFonts w:ascii="Times New Roman" w:eastAsia="Times New Roman" w:hAnsi="Times New Roman"/>
          <w:b/>
          <w:bCs/>
          <w:sz w:val="24"/>
          <w:szCs w:val="24"/>
        </w:rPr>
      </w:pPr>
      <w:r w:rsidRPr="006A3453">
        <w:rPr>
          <w:rFonts w:ascii="Times New Roman" w:eastAsia="Times New Roman" w:hAnsi="Times New Roman"/>
          <w:b/>
          <w:bCs/>
          <w:sz w:val="24"/>
          <w:szCs w:val="24"/>
        </w:rPr>
        <w:t>Legal Lesson Learned:</w:t>
      </w:r>
      <w:r>
        <w:rPr>
          <w:rFonts w:ascii="Times New Roman" w:eastAsia="Times New Roman" w:hAnsi="Times New Roman"/>
          <w:b/>
          <w:bCs/>
          <w:sz w:val="24"/>
          <w:szCs w:val="24"/>
        </w:rPr>
        <w:t xml:space="preserve">  The FD investigated and documented their findings, as well as prior discipline. </w:t>
      </w:r>
    </w:p>
    <w:p w14:paraId="7159446D" w14:textId="77777777" w:rsidR="009E093C" w:rsidRDefault="009E093C" w:rsidP="00DE0F03">
      <w:pPr>
        <w:rPr>
          <w:rFonts w:ascii="Arial Black" w:hAnsi="Arial Black"/>
          <w:b/>
          <w:sz w:val="24"/>
          <w:szCs w:val="24"/>
        </w:rPr>
      </w:pPr>
    </w:p>
    <w:p w14:paraId="6F910840" w14:textId="77777777" w:rsidR="009E093C" w:rsidRDefault="009E093C" w:rsidP="00DE0F03">
      <w:pPr>
        <w:rPr>
          <w:rFonts w:ascii="Arial Black" w:hAnsi="Arial Black"/>
          <w:b/>
          <w:sz w:val="24"/>
          <w:szCs w:val="24"/>
        </w:rPr>
      </w:pPr>
    </w:p>
    <w:p w14:paraId="15B7ADC7" w14:textId="08A2FB58" w:rsidR="00DD03E3" w:rsidRDefault="00DD03E3" w:rsidP="00DE0F03">
      <w:pPr>
        <w:rPr>
          <w:rFonts w:ascii="Arial Black" w:hAnsi="Arial Black"/>
          <w:b/>
          <w:sz w:val="24"/>
          <w:szCs w:val="24"/>
        </w:rPr>
      </w:pPr>
      <w:r>
        <w:rPr>
          <w:rFonts w:ascii="Arial Black" w:hAnsi="Arial Black"/>
          <w:b/>
          <w:sz w:val="24"/>
          <w:szCs w:val="24"/>
        </w:rPr>
        <w:t>8-22</w:t>
      </w:r>
    </w:p>
    <w:p w14:paraId="22CD9306" w14:textId="77777777" w:rsidR="00DD03E3" w:rsidRPr="004E7805" w:rsidRDefault="00DD03E3" w:rsidP="00DD03E3">
      <w:pPr>
        <w:spacing w:before="100" w:beforeAutospacing="1" w:after="100" w:afterAutospacing="1" w:line="240" w:lineRule="auto"/>
        <w:rPr>
          <w:rFonts w:ascii="Arial Black" w:eastAsia="Times New Roman" w:hAnsi="Arial Black"/>
          <w:b/>
          <w:bCs/>
          <w:sz w:val="28"/>
          <w:szCs w:val="28"/>
        </w:rPr>
      </w:pPr>
      <w:r w:rsidRPr="004E7805">
        <w:rPr>
          <w:rFonts w:ascii="Arial Black" w:eastAsia="Times New Roman" w:hAnsi="Arial Black"/>
          <w:b/>
          <w:bCs/>
          <w:sz w:val="28"/>
          <w:szCs w:val="28"/>
        </w:rPr>
        <w:t>MI:</w:t>
      </w:r>
      <w:r>
        <w:rPr>
          <w:rFonts w:ascii="Arial Black" w:eastAsia="Times New Roman" w:hAnsi="Arial Black"/>
          <w:b/>
          <w:bCs/>
          <w:sz w:val="28"/>
          <w:szCs w:val="28"/>
        </w:rPr>
        <w:t xml:space="preserve"> PROB. FF (WHITE) - WATERMELLON WITH PINK RIBBON TO FIRE STATION WHERE HE WAS JUST ASSIGNED – FIRED – CASE PROCEED</w:t>
      </w:r>
    </w:p>
    <w:p w14:paraId="438E1D5A" w14:textId="77777777" w:rsidR="00DD03E3" w:rsidRDefault="00DD03E3" w:rsidP="00DD03E3">
      <w:p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On Oct. 22, 2020, in </w:t>
      </w:r>
      <w:r w:rsidRPr="004E7805">
        <w:rPr>
          <w:rFonts w:ascii="Times New Roman" w:eastAsia="Times New Roman" w:hAnsi="Times New Roman"/>
          <w:sz w:val="24"/>
          <w:szCs w:val="24"/>
          <w:u w:val="single"/>
        </w:rPr>
        <w:t>Robert Patterson v. City of Detroit, et al</w:t>
      </w:r>
      <w:r>
        <w:rPr>
          <w:rFonts w:ascii="Times New Roman" w:eastAsia="Times New Roman" w:hAnsi="Times New Roman"/>
          <w:sz w:val="24"/>
          <w:szCs w:val="24"/>
        </w:rPr>
        <w:t xml:space="preserve">., the State of Michigan Court of Appeals held (3 to 0) in an unpublished decision, that the trial court judge properly denied the City’s motion for summary judgment concerning race discrimination allegations in the complaint.  The probationary firefighter’s internal investigation was shoddy, and he was treated much more harshly than a non-probationary African American firefighter who had posted a racially insensitive item.  </w:t>
      </w:r>
    </w:p>
    <w:p w14:paraId="777F84E7" w14:textId="77777777" w:rsidR="00DD03E3" w:rsidRPr="004E7805" w:rsidRDefault="00DD03E3" w:rsidP="00DD03E3">
      <w:pPr>
        <w:spacing w:before="100" w:beforeAutospacing="1" w:after="100" w:afterAutospacing="1" w:line="240" w:lineRule="auto"/>
        <w:ind w:left="720"/>
        <w:rPr>
          <w:rFonts w:ascii="Times New Roman" w:eastAsia="Times New Roman" w:hAnsi="Times New Roman"/>
          <w:sz w:val="24"/>
          <w:szCs w:val="24"/>
        </w:rPr>
      </w:pPr>
      <w:r>
        <w:rPr>
          <w:rFonts w:ascii="Times New Roman" w:hAnsi="Times New Roman"/>
          <w:sz w:val="24"/>
          <w:szCs w:val="24"/>
        </w:rPr>
        <w:t>“</w:t>
      </w:r>
      <w:r w:rsidRPr="005D19EF">
        <w:rPr>
          <w:rFonts w:ascii="Times New Roman" w:hAnsi="Times New Roman"/>
          <w:sz w:val="24"/>
          <w:szCs w:val="24"/>
        </w:rPr>
        <w:t xml:space="preserve">The evidence indicates that both plaintiff and Bragg should have received substantially the same kind and intensity of investigation, impartiality, and benefit of any doubt. Because a violation of the zero-tolerance policy would seem to constitute </w:t>
      </w:r>
      <w:proofErr w:type="spellStart"/>
      <w:r>
        <w:rPr>
          <w:rFonts w:ascii="Times New Roman" w:hAnsi="Times New Roman"/>
          <w:sz w:val="24"/>
          <w:szCs w:val="24"/>
        </w:rPr>
        <w:t>‘</w:t>
      </w:r>
      <w:r w:rsidRPr="005D19EF">
        <w:rPr>
          <w:rFonts w:ascii="Times New Roman" w:hAnsi="Times New Roman"/>
          <w:sz w:val="24"/>
          <w:szCs w:val="24"/>
        </w:rPr>
        <w:t>cause</w:t>
      </w:r>
      <w:proofErr w:type="spellEnd"/>
      <w:r w:rsidRPr="005D19EF">
        <w:rPr>
          <w:rFonts w:ascii="Times New Roman" w:hAnsi="Times New Roman"/>
          <w:sz w:val="24"/>
          <w:szCs w:val="24"/>
        </w:rPr>
        <w:t>,</w:t>
      </w:r>
      <w:r>
        <w:rPr>
          <w:rFonts w:ascii="Times New Roman" w:hAnsi="Times New Roman"/>
          <w:sz w:val="24"/>
          <w:szCs w:val="24"/>
        </w:rPr>
        <w:t>’</w:t>
      </w:r>
      <w:r w:rsidRPr="005D19EF">
        <w:rPr>
          <w:rFonts w:ascii="Times New Roman" w:hAnsi="Times New Roman"/>
          <w:sz w:val="24"/>
          <w:szCs w:val="24"/>
        </w:rPr>
        <w:t xml:space="preserve"> it is irrelevant that plaintiff was at-will and Bragg was not. Because the real-world effect of both plaintiff's conduct and Bragg's conduct dramatically affected working conditions, the fact that one occurred on City premises and the other occurred on social media does not seem relevant. *** The trial court correctly denied summary disposition as to Counts I and III, being plaintiff's claims for race-based discrimination under the ELCRA and 42 USC § 1981</w:t>
      </w:r>
      <w:r>
        <w:rPr>
          <w:rFonts w:ascii="Times New Roman" w:hAnsi="Times New Roman"/>
          <w:sz w:val="24"/>
          <w:szCs w:val="24"/>
        </w:rPr>
        <w:t>.”</w:t>
      </w:r>
      <w:hyperlink r:id="rId1606" w:history="1">
        <w:r w:rsidRPr="003B2E68">
          <w:rPr>
            <w:rStyle w:val="Hyperlink"/>
            <w:rFonts w:ascii="Times New Roman" w:eastAsia="Times New Roman" w:hAnsi="Times New Roman"/>
            <w:sz w:val="24"/>
            <w:szCs w:val="24"/>
          </w:rPr>
          <w:t>https://law.justia.com/cases/michigan/court-of-appeals-unpublished/2020/350474.html</w:t>
        </w:r>
      </w:hyperlink>
      <w:r>
        <w:rPr>
          <w:rFonts w:ascii="Times New Roman" w:eastAsia="Times New Roman" w:hAnsi="Times New Roman"/>
          <w:sz w:val="24"/>
          <w:szCs w:val="24"/>
        </w:rPr>
        <w:t xml:space="preserve"> </w:t>
      </w:r>
    </w:p>
    <w:p w14:paraId="05EC0E83" w14:textId="77777777" w:rsidR="00DD03E3" w:rsidRDefault="00DD03E3" w:rsidP="00DD03E3">
      <w:pPr>
        <w:pStyle w:val="NormalWeb"/>
        <w:rPr>
          <w:b/>
          <w:bCs/>
        </w:rPr>
      </w:pPr>
      <w:r w:rsidRPr="0007304E">
        <w:rPr>
          <w:b/>
          <w:bCs/>
        </w:rPr>
        <w:t>Legal Lesson Learned:</w:t>
      </w:r>
      <w:r>
        <w:rPr>
          <w:b/>
          <w:bCs/>
        </w:rPr>
        <w:t xml:space="preserve"> Even an “at will” probationary firefighter is entitled to a thorough investigation prior to making a termination decision. </w:t>
      </w:r>
    </w:p>
    <w:p w14:paraId="0D932215" w14:textId="77777777" w:rsidR="00DD03E3" w:rsidRPr="00EB337A" w:rsidRDefault="00DD03E3" w:rsidP="00DD03E3">
      <w:pPr>
        <w:spacing w:before="100" w:beforeAutospacing="1" w:after="100" w:afterAutospacing="1" w:line="240" w:lineRule="auto"/>
        <w:ind w:left="720"/>
        <w:rPr>
          <w:rFonts w:ascii="Times New Roman" w:eastAsia="Times New Roman" w:hAnsi="Times New Roman"/>
          <w:sz w:val="24"/>
          <w:szCs w:val="24"/>
        </w:rPr>
      </w:pPr>
      <w:r w:rsidRPr="00EB337A">
        <w:rPr>
          <w:rFonts w:ascii="Times New Roman" w:hAnsi="Times New Roman"/>
          <w:sz w:val="24"/>
          <w:szCs w:val="24"/>
        </w:rPr>
        <w:t xml:space="preserve">Note: The Court </w:t>
      </w:r>
      <w:r>
        <w:rPr>
          <w:rFonts w:ascii="Times New Roman" w:hAnsi="Times New Roman"/>
          <w:sz w:val="24"/>
          <w:szCs w:val="24"/>
        </w:rPr>
        <w:t xml:space="preserve">of Appeals </w:t>
      </w:r>
      <w:r w:rsidRPr="00EB337A">
        <w:rPr>
          <w:rFonts w:ascii="Times New Roman" w:hAnsi="Times New Roman"/>
          <w:sz w:val="24"/>
          <w:szCs w:val="24"/>
        </w:rPr>
        <w:t xml:space="preserve">also held trial court judge properly dismissed </w:t>
      </w:r>
      <w:r>
        <w:rPr>
          <w:rFonts w:ascii="Times New Roman" w:hAnsi="Times New Roman"/>
          <w:sz w:val="24"/>
          <w:szCs w:val="24"/>
        </w:rPr>
        <w:t xml:space="preserve">plaintiff’s </w:t>
      </w:r>
      <w:r w:rsidRPr="00EB337A">
        <w:rPr>
          <w:rFonts w:ascii="Times New Roman" w:hAnsi="Times New Roman"/>
          <w:sz w:val="24"/>
          <w:szCs w:val="24"/>
        </w:rPr>
        <w:t xml:space="preserve">defamation claim against the Fire Commissioner for issuing a Press Release after plaintiff was terminated. </w:t>
      </w:r>
      <w:r>
        <w:rPr>
          <w:rFonts w:ascii="Times New Roman" w:hAnsi="Times New Roman"/>
          <w:sz w:val="24"/>
          <w:szCs w:val="24"/>
        </w:rPr>
        <w:t>“[T]</w:t>
      </w:r>
      <w:r w:rsidRPr="00EB337A">
        <w:rPr>
          <w:rFonts w:ascii="Times New Roman" w:hAnsi="Times New Roman"/>
          <w:sz w:val="24"/>
          <w:szCs w:val="24"/>
        </w:rPr>
        <w:t>he evidence indicates that Jones's issuance of the press release was within the scope of his authority as Fire Commissioner. Therefore, he is entitled to absolute immunity for any defamatory (or false light invasion of privacy) content within that press release.</w:t>
      </w:r>
      <w:r>
        <w:rPr>
          <w:rFonts w:ascii="Times New Roman" w:hAnsi="Times New Roman"/>
          <w:sz w:val="24"/>
          <w:szCs w:val="24"/>
        </w:rPr>
        <w:t>”</w:t>
      </w:r>
    </w:p>
    <w:p w14:paraId="608F477C" w14:textId="77777777" w:rsidR="00DD03E3" w:rsidRPr="00C17950" w:rsidRDefault="00DD03E3" w:rsidP="00DD03E3">
      <w:pPr>
        <w:pStyle w:val="NormalWeb"/>
        <w:ind w:left="720"/>
      </w:pPr>
      <w:r w:rsidRPr="00EB337A">
        <w:t xml:space="preserve">The </w:t>
      </w:r>
      <w:r w:rsidRPr="00C17950">
        <w:t xml:space="preserve">October 6, </w:t>
      </w:r>
      <w:proofErr w:type="gramStart"/>
      <w:r w:rsidRPr="00C17950">
        <w:t>201</w:t>
      </w:r>
      <w:r w:rsidRPr="00EB337A">
        <w:t>7</w:t>
      </w:r>
      <w:proofErr w:type="gramEnd"/>
      <w:r w:rsidRPr="00C17950">
        <w:t xml:space="preserve"> </w:t>
      </w:r>
      <w:r w:rsidRPr="00EB337A">
        <w:t xml:space="preserve">Press Release </w:t>
      </w:r>
      <w:r w:rsidRPr="00C17950">
        <w:t>read:</w:t>
      </w:r>
    </w:p>
    <w:p w14:paraId="73B6414D" w14:textId="78695253" w:rsidR="00DD03E3" w:rsidRDefault="00DD03E3" w:rsidP="00DD03E3">
      <w:pPr>
        <w:spacing w:after="100" w:line="240" w:lineRule="auto"/>
        <w:ind w:left="1440"/>
        <w:rPr>
          <w:rFonts w:ascii="Times New Roman" w:eastAsia="Times New Roman" w:hAnsi="Times New Roman"/>
          <w:sz w:val="24"/>
          <w:szCs w:val="24"/>
        </w:rPr>
      </w:pPr>
      <w:r>
        <w:rPr>
          <w:rFonts w:ascii="Times New Roman" w:eastAsia="Times New Roman" w:hAnsi="Times New Roman"/>
          <w:sz w:val="24"/>
          <w:szCs w:val="24"/>
        </w:rPr>
        <w:t>“</w:t>
      </w:r>
      <w:r w:rsidRPr="00C17950">
        <w:rPr>
          <w:rFonts w:ascii="Times New Roman" w:eastAsia="Times New Roman" w:hAnsi="Times New Roman"/>
          <w:sz w:val="24"/>
          <w:szCs w:val="24"/>
        </w:rPr>
        <w:t>There is zero tolerance for discriminatory behavior inside the Detroit Fire Department. On Saturday, Sept. 30, 2017, at Engine 55, a trial firefighter (probationary employee) engaged in unsatisfactory work behavior which was deemed offensive and racially insensitive to members of the Detroit Fire Department. After a thorough investigation, it was determined that the best course of action was to terminate the employment of this probationary employee.</w:t>
      </w:r>
      <w:r>
        <w:rPr>
          <w:rFonts w:ascii="Times New Roman" w:eastAsia="Times New Roman" w:hAnsi="Times New Roman"/>
          <w:sz w:val="24"/>
          <w:szCs w:val="24"/>
        </w:rPr>
        <w:t>”</w:t>
      </w:r>
    </w:p>
    <w:p w14:paraId="1DE5F9AF" w14:textId="1AA87ADB" w:rsidR="00DD03E3" w:rsidRDefault="00DD03E3" w:rsidP="00DD03E3">
      <w:pPr>
        <w:spacing w:after="100" w:line="240" w:lineRule="auto"/>
        <w:ind w:left="1440"/>
        <w:rPr>
          <w:rFonts w:ascii="Times New Roman" w:eastAsia="Times New Roman" w:hAnsi="Times New Roman"/>
          <w:sz w:val="24"/>
          <w:szCs w:val="24"/>
        </w:rPr>
      </w:pPr>
    </w:p>
    <w:p w14:paraId="4C7DD396" w14:textId="77777777" w:rsidR="00DD03E3" w:rsidRPr="00C17950" w:rsidRDefault="00DD03E3" w:rsidP="00DD03E3">
      <w:pPr>
        <w:spacing w:after="100" w:line="240" w:lineRule="auto"/>
        <w:ind w:left="1440"/>
        <w:rPr>
          <w:rFonts w:ascii="Times New Roman" w:eastAsia="Times New Roman" w:hAnsi="Times New Roman"/>
          <w:sz w:val="24"/>
          <w:szCs w:val="24"/>
        </w:rPr>
      </w:pPr>
    </w:p>
    <w:p w14:paraId="0B56FA50" w14:textId="77777777" w:rsidR="00DD03E3" w:rsidRDefault="00DD03E3" w:rsidP="00DE0F03">
      <w:pPr>
        <w:rPr>
          <w:rFonts w:ascii="Arial Black" w:hAnsi="Arial Black"/>
          <w:b/>
          <w:sz w:val="24"/>
          <w:szCs w:val="24"/>
        </w:rPr>
      </w:pPr>
    </w:p>
    <w:p w14:paraId="08948BD7" w14:textId="77777777" w:rsidR="00DD03E3" w:rsidRDefault="00DD03E3" w:rsidP="00DE0F03">
      <w:pPr>
        <w:rPr>
          <w:rFonts w:ascii="Arial Black" w:hAnsi="Arial Black"/>
          <w:b/>
          <w:sz w:val="24"/>
          <w:szCs w:val="24"/>
        </w:rPr>
      </w:pPr>
    </w:p>
    <w:p w14:paraId="4151AAE8" w14:textId="06849EA5" w:rsidR="00DD03E3" w:rsidRDefault="00DD03E3" w:rsidP="00DE0F03">
      <w:pPr>
        <w:rPr>
          <w:rFonts w:ascii="Arial Black" w:hAnsi="Arial Black"/>
          <w:b/>
          <w:sz w:val="24"/>
          <w:szCs w:val="24"/>
        </w:rPr>
      </w:pPr>
      <w:r>
        <w:rPr>
          <w:rFonts w:ascii="Arial Black" w:hAnsi="Arial Black"/>
          <w:b/>
          <w:sz w:val="24"/>
          <w:szCs w:val="24"/>
        </w:rPr>
        <w:t>8-21</w:t>
      </w:r>
    </w:p>
    <w:p w14:paraId="52E1EE47" w14:textId="77777777" w:rsidR="00DD03E3" w:rsidRPr="002C741B" w:rsidRDefault="00DD03E3" w:rsidP="00DD03E3">
      <w:pPr>
        <w:spacing w:before="100" w:beforeAutospacing="1" w:after="100" w:afterAutospacing="1" w:line="240" w:lineRule="auto"/>
        <w:rPr>
          <w:rFonts w:ascii="Arial Black" w:hAnsi="Arial Black"/>
          <w:sz w:val="28"/>
          <w:szCs w:val="28"/>
        </w:rPr>
      </w:pPr>
      <w:r>
        <w:rPr>
          <w:rFonts w:ascii="Arial Black" w:hAnsi="Arial Black"/>
          <w:sz w:val="28"/>
          <w:szCs w:val="28"/>
        </w:rPr>
        <w:lastRenderedPageBreak/>
        <w:t xml:space="preserve">OH: EMS CAPTAIN (BLACK) SHIFT CHANGED – SO WHITE CAPTAIN ON EACH SHIFT – UNFAIR, INCONVENIENT - BUT NOT TITLE VII VIOL. </w:t>
      </w:r>
    </w:p>
    <w:p w14:paraId="407EEA1E" w14:textId="77777777" w:rsidR="00DD03E3" w:rsidRDefault="00DD03E3" w:rsidP="00DD03E3">
      <w:pPr>
        <w:spacing w:before="100" w:beforeAutospacing="1" w:after="100" w:afterAutospacing="1" w:line="240" w:lineRule="auto"/>
        <w:rPr>
          <w:rFonts w:ascii="Times New Roman" w:eastAsia="Times New Roman" w:hAnsi="Times New Roman"/>
          <w:b/>
          <w:bCs/>
          <w:sz w:val="24"/>
          <w:szCs w:val="24"/>
        </w:rPr>
      </w:pPr>
      <w:r w:rsidRPr="002C741B">
        <w:rPr>
          <w:rFonts w:ascii="Times New Roman" w:hAnsi="Times New Roman"/>
          <w:sz w:val="24"/>
          <w:szCs w:val="24"/>
        </w:rPr>
        <w:t xml:space="preserve">On Oct. 8, 2020, in </w:t>
      </w:r>
      <w:r w:rsidRPr="00633F0B">
        <w:rPr>
          <w:rFonts w:ascii="Times New Roman" w:hAnsi="Times New Roman"/>
          <w:sz w:val="24"/>
          <w:szCs w:val="24"/>
          <w:u w:val="single"/>
        </w:rPr>
        <w:t>Michael Threat, et al. v. City of Cleveland</w:t>
      </w:r>
      <w:r w:rsidRPr="002C741B">
        <w:rPr>
          <w:rFonts w:ascii="Times New Roman" w:hAnsi="Times New Roman"/>
          <w:sz w:val="24"/>
          <w:szCs w:val="24"/>
        </w:rPr>
        <w:t xml:space="preserve">, </w:t>
      </w:r>
      <w:r>
        <w:rPr>
          <w:rFonts w:ascii="Times New Roman" w:hAnsi="Times New Roman"/>
          <w:sz w:val="24"/>
          <w:szCs w:val="24"/>
        </w:rPr>
        <w:t xml:space="preserve">U.S. District Court Judge James S. Gwin, Northern District of Ohio, granted the City’s motion for summary judgment. Five </w:t>
      </w:r>
      <w:proofErr w:type="gramStart"/>
      <w:r>
        <w:rPr>
          <w:rFonts w:ascii="Times New Roman" w:hAnsi="Times New Roman"/>
          <w:sz w:val="24"/>
          <w:szCs w:val="24"/>
        </w:rPr>
        <w:t>African-American</w:t>
      </w:r>
      <w:proofErr w:type="gramEnd"/>
      <w:r>
        <w:rPr>
          <w:rFonts w:ascii="Times New Roman" w:hAnsi="Times New Roman"/>
          <w:sz w:val="24"/>
          <w:szCs w:val="24"/>
        </w:rPr>
        <w:t xml:space="preserve"> Captains sued, after the EMS Commissioner changed the shift of Captain Reginal Anderson from his requested day shift to night shift; the Commissioner wanted at least one Caucasian Captain with more seniority on duty.  </w:t>
      </w:r>
    </w:p>
    <w:p w14:paraId="5FE84FF2" w14:textId="77777777" w:rsidR="00DD03E3" w:rsidRDefault="00DD03E3" w:rsidP="00DD03E3">
      <w:pPr>
        <w:pStyle w:val="NormalWeb"/>
        <w:ind w:left="720"/>
      </w:pPr>
      <w:r>
        <w:t>“Not all undesirable or unfair work conditions that employees face are material for purposes of Title VII.  ‘Reassignments without changes in salary, benefits, title, or work hours usually do not constitute adverse employment actions.’    Plaintiff Anderson's shift change, while unfair and inconvenient, does not rise to the level of a materially adverse employment action. A change to night shift ‘is not materially adverse without some reduction in pay, prestige, or responsibility.’ Anderson's shift change did not affect the basic terms of his employment; it merely temporarily affected when he worked and who he worked with. Anderson's family life preference for day shift does not change things.</w:t>
      </w:r>
      <w:bookmarkStart w:id="320" w:name="fn44"/>
      <w:r>
        <w:rPr>
          <w:sz w:val="20"/>
          <w:szCs w:val="20"/>
          <w:vertAlign w:val="superscript"/>
        </w:rPr>
        <w:fldChar w:fldCharType="begin"/>
      </w:r>
      <w:r>
        <w:rPr>
          <w:sz w:val="20"/>
          <w:szCs w:val="20"/>
          <w:vertAlign w:val="superscript"/>
        </w:rPr>
        <w:instrText xml:space="preserve"> HYPERLINK "https://public.fastcase.com/" \l "fr44" </w:instrText>
      </w:r>
      <w:r>
        <w:rPr>
          <w:sz w:val="20"/>
          <w:szCs w:val="20"/>
          <w:vertAlign w:val="superscript"/>
        </w:rPr>
      </w:r>
      <w:r>
        <w:rPr>
          <w:sz w:val="20"/>
          <w:szCs w:val="20"/>
          <w:vertAlign w:val="superscript"/>
        </w:rPr>
        <w:fldChar w:fldCharType="separate"/>
      </w:r>
      <w:r>
        <w:rPr>
          <w:rStyle w:val="Hyperlink"/>
          <w:rFonts w:eastAsiaTheme="majorEastAsia"/>
          <w:sz w:val="20"/>
          <w:szCs w:val="20"/>
          <w:vertAlign w:val="superscript"/>
        </w:rPr>
        <w:t>44</w:t>
      </w:r>
      <w:r>
        <w:rPr>
          <w:sz w:val="20"/>
          <w:szCs w:val="20"/>
          <w:vertAlign w:val="superscript"/>
        </w:rPr>
        <w:fldChar w:fldCharType="end"/>
      </w:r>
      <w:bookmarkEnd w:id="320"/>
      <w:r>
        <w:t xml:space="preserve"> Courts employ an objective standard for Title VII materiality. Working night shift is not objectively less desirable than day shift or viewed by the City or EMS Commissioner as a duty performed by lower-ranking employees. In fact, two captains more senior than Anderson each used their top bids on A-key and B-key nights.” </w:t>
      </w:r>
      <w:hyperlink r:id="rId1607" w:history="1">
        <w:r w:rsidRPr="00987F62">
          <w:rPr>
            <w:rStyle w:val="Hyperlink"/>
          </w:rPr>
          <w:t>https://casetext.com/case/threat-v-city-of-cleveland</w:t>
        </w:r>
      </w:hyperlink>
      <w:r>
        <w:t xml:space="preserve"> </w:t>
      </w:r>
    </w:p>
    <w:p w14:paraId="1D3228BD" w14:textId="77777777" w:rsidR="00DD03E3" w:rsidRDefault="00DD03E3" w:rsidP="00DD03E3">
      <w:pPr>
        <w:pStyle w:val="NormalWeb"/>
        <w:rPr>
          <w:b/>
          <w:bCs/>
        </w:rPr>
      </w:pPr>
      <w:r>
        <w:rPr>
          <w:b/>
          <w:bCs/>
        </w:rPr>
        <w:t>Legal Lesson Learned: Staffing decisions based on race can lead to litigation and poor workplace morale; should be carefully reviewed with legal counsel prior to implementation.</w:t>
      </w:r>
    </w:p>
    <w:p w14:paraId="2F0E4E63" w14:textId="77777777" w:rsidR="00DD03E3" w:rsidRDefault="00DD03E3" w:rsidP="00DE0F03">
      <w:pPr>
        <w:rPr>
          <w:rFonts w:ascii="Arial Black" w:hAnsi="Arial Black"/>
          <w:b/>
          <w:sz w:val="24"/>
          <w:szCs w:val="24"/>
        </w:rPr>
      </w:pPr>
    </w:p>
    <w:p w14:paraId="5FB5F61A" w14:textId="45C568C8" w:rsidR="00F824FE" w:rsidRDefault="00F824FE" w:rsidP="00DE0F03">
      <w:pPr>
        <w:rPr>
          <w:rFonts w:ascii="Arial Black" w:hAnsi="Arial Black"/>
          <w:b/>
          <w:sz w:val="24"/>
          <w:szCs w:val="24"/>
        </w:rPr>
      </w:pPr>
      <w:r>
        <w:rPr>
          <w:rFonts w:ascii="Arial Black" w:hAnsi="Arial Black"/>
          <w:b/>
          <w:sz w:val="24"/>
          <w:szCs w:val="24"/>
        </w:rPr>
        <w:t>8-20</w:t>
      </w:r>
    </w:p>
    <w:p w14:paraId="5526AEF1" w14:textId="77777777" w:rsidR="00F824FE" w:rsidRPr="001B5E57" w:rsidRDefault="00F824FE" w:rsidP="00F824FE">
      <w:pPr>
        <w:pStyle w:val="NormalWeb"/>
        <w:rPr>
          <w:rFonts w:ascii="Arial Black" w:hAnsi="Arial Black"/>
          <w:sz w:val="28"/>
          <w:szCs w:val="28"/>
        </w:rPr>
      </w:pPr>
      <w:r>
        <w:rPr>
          <w:rFonts w:ascii="Arial Black" w:hAnsi="Arial Black"/>
          <w:sz w:val="28"/>
          <w:szCs w:val="28"/>
        </w:rPr>
        <w:t>FL: FEMALE AFRICAN AMERICAN FF – ON PROMOTION LIST - JURY DETERMINED WERE NO OPENING – NEW TRIAL ORDER REVERSED</w:t>
      </w:r>
    </w:p>
    <w:p w14:paraId="481245AB" w14:textId="77777777" w:rsidR="00F824FE" w:rsidRDefault="00F824FE" w:rsidP="00F824FE">
      <w:pPr>
        <w:pStyle w:val="NormalWeb"/>
      </w:pPr>
      <w:r>
        <w:t xml:space="preserve">On Sept. 23, 2020, in </w:t>
      </w:r>
      <w:r w:rsidRPr="001B5E57">
        <w:rPr>
          <w:u w:val="single"/>
        </w:rPr>
        <w:t>Miami-Dade County v. Faye Davis</w:t>
      </w:r>
      <w:r>
        <w:t xml:space="preserve">, the Third District Court of Appeal, State of Florida, held (3 to 0) that the trial judge improperly granted the plaintiff’s motion for a new trial.   </w:t>
      </w:r>
    </w:p>
    <w:p w14:paraId="00077D1A" w14:textId="77777777" w:rsidR="00F824FE" w:rsidRDefault="00F824FE" w:rsidP="00F824FE">
      <w:pPr>
        <w:spacing w:before="100" w:beforeAutospacing="1" w:after="100" w:afterAutospacing="1" w:line="240" w:lineRule="auto"/>
        <w:ind w:left="720"/>
        <w:rPr>
          <w:rFonts w:ascii="Times New Roman" w:eastAsia="Times New Roman" w:hAnsi="Times New Roman"/>
          <w:sz w:val="24"/>
          <w:szCs w:val="24"/>
        </w:rPr>
      </w:pPr>
      <w:r w:rsidRPr="001C55DB">
        <w:rPr>
          <w:sz w:val="24"/>
          <w:szCs w:val="24"/>
        </w:rPr>
        <w:t>“</w:t>
      </w:r>
      <w:r w:rsidRPr="001B5E57">
        <w:rPr>
          <w:rFonts w:ascii="Times New Roman" w:eastAsia="Times New Roman" w:hAnsi="Times New Roman"/>
          <w:sz w:val="24"/>
          <w:szCs w:val="24"/>
        </w:rPr>
        <w:t xml:space="preserve">We hold that the evidence supported the jury's verdict, in which it determined that the County did not deny Davis a promotion during the 2009-10 and 2010-11 promotional cycles based on her race or sex, and further determined that the County did not deny her a promotion because she engaged in protected activity. The trial court erred in granting </w:t>
      </w:r>
      <w:proofErr w:type="spellStart"/>
      <w:r w:rsidRPr="001B5E57">
        <w:rPr>
          <w:rFonts w:ascii="Times New Roman" w:eastAsia="Times New Roman" w:hAnsi="Times New Roman"/>
          <w:sz w:val="24"/>
          <w:szCs w:val="24"/>
        </w:rPr>
        <w:t>Davis'</w:t>
      </w:r>
      <w:proofErr w:type="spellEnd"/>
      <w:r w:rsidRPr="001B5E57">
        <w:rPr>
          <w:rFonts w:ascii="Times New Roman" w:eastAsia="Times New Roman" w:hAnsi="Times New Roman"/>
          <w:sz w:val="24"/>
          <w:szCs w:val="24"/>
        </w:rPr>
        <w:t xml:space="preserve"> motion for directed verdict and abused its discretion in alternatively granting a new trial.</w:t>
      </w:r>
    </w:p>
    <w:p w14:paraId="3A5708F7" w14:textId="77777777" w:rsidR="00F824FE" w:rsidRPr="001B5E57" w:rsidRDefault="00F824FE" w:rsidP="00F824FE">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w:t>
      </w:r>
    </w:p>
    <w:p w14:paraId="37FFC040" w14:textId="77777777" w:rsidR="00F824FE" w:rsidRPr="001C55DB" w:rsidRDefault="00F824FE" w:rsidP="00F824FE">
      <w:pPr>
        <w:pStyle w:val="NormalWeb"/>
        <w:ind w:left="720"/>
        <w:rPr>
          <w:b/>
          <w:bCs/>
        </w:rPr>
      </w:pPr>
      <w:r w:rsidRPr="001C55DB">
        <w:t xml:space="preserve">To find that the County failed to present any evidence showing a non-discriminatory reason for Davis's lack of promotion, the trial court's order relied on </w:t>
      </w:r>
      <w:r>
        <w:t xml:space="preserve">[Miami-Dade Fire Chief MDFR Fire Chief Herminio] </w:t>
      </w:r>
      <w:r w:rsidRPr="001C55DB">
        <w:t xml:space="preserve">Lorenzo's inability to remember his reasons for not promoting Davis. Such reliance is misplaced where, viewing the evidence in the light most favorable to the County, a reasonable inference can be drawn that the County's decision was based on legitimate, non-discriminatory, non-retaliatory reasons i.e., overages and an agreement between the County and the union prohibited Chief Lorenzo from filling the two ‘vacant’ positions. We also note that Chief Lorenzo testified that the only criteria he used to make CFO promotions was to go </w:t>
      </w:r>
      <w:r>
        <w:t>‘</w:t>
      </w:r>
      <w:r w:rsidRPr="001C55DB">
        <w:t>straight down the list,</w:t>
      </w:r>
      <w:r>
        <w:t>’</w:t>
      </w:r>
      <w:r w:rsidRPr="001C55DB">
        <w:t xml:space="preserve"> and that he never took race into consideration. </w:t>
      </w:r>
      <w:proofErr w:type="spellStart"/>
      <w:r w:rsidRPr="001C55DB">
        <w:t>Davis'</w:t>
      </w:r>
      <w:proofErr w:type="spellEnd"/>
      <w:r w:rsidRPr="001C55DB">
        <w:t xml:space="preserve"> own </w:t>
      </w:r>
      <w:r w:rsidRPr="001C55DB">
        <w:lastRenderedPageBreak/>
        <w:t xml:space="preserve">testimony on cross-examination allowed for the reasonable inference that Chief Lorenzo simply went </w:t>
      </w:r>
      <w:r>
        <w:t>‘</w:t>
      </w:r>
      <w:r w:rsidRPr="001C55DB">
        <w:t>straight down the list</w:t>
      </w:r>
      <w:r>
        <w:t>’</w:t>
      </w:r>
      <w:r w:rsidRPr="001C55DB">
        <w:t xml:space="preserve"> where she acknowledged that, from 2005 to 2009, he had promoted Blacks, Hispanics, women, and active members of the PFA.</w:t>
      </w:r>
      <w:r>
        <w:t xml:space="preserve">”  [Footnote 3.] </w:t>
      </w:r>
      <w:hyperlink r:id="rId1608" w:history="1">
        <w:r w:rsidRPr="002F1E28">
          <w:rPr>
            <w:rStyle w:val="Hyperlink"/>
          </w:rPr>
          <w:t>https://law.justia.com/cases/florida/third-district-court-of-appeal/2020/3d19-1144.html</w:t>
        </w:r>
      </w:hyperlink>
      <w:r>
        <w:t xml:space="preserve"> </w:t>
      </w:r>
    </w:p>
    <w:p w14:paraId="640ED975" w14:textId="77777777" w:rsidR="00F824FE" w:rsidRDefault="00F824FE" w:rsidP="00F824FE">
      <w:pPr>
        <w:spacing w:before="100" w:beforeAutospacing="1" w:after="100" w:afterAutospacing="1" w:line="240" w:lineRule="auto"/>
        <w:rPr>
          <w:rFonts w:ascii="Times New Roman" w:hAnsi="Times New Roman"/>
          <w:b/>
          <w:bCs/>
          <w:sz w:val="24"/>
          <w:szCs w:val="24"/>
        </w:rPr>
      </w:pPr>
      <w:r w:rsidRPr="0023112C">
        <w:rPr>
          <w:rFonts w:ascii="Times New Roman" w:hAnsi="Times New Roman"/>
          <w:b/>
          <w:bCs/>
          <w:sz w:val="24"/>
          <w:szCs w:val="24"/>
        </w:rPr>
        <w:t>Legal Lessons Learned:</w:t>
      </w:r>
      <w:r>
        <w:rPr>
          <w:rFonts w:ascii="Times New Roman" w:hAnsi="Times New Roman"/>
          <w:b/>
          <w:bCs/>
          <w:sz w:val="24"/>
          <w:szCs w:val="24"/>
        </w:rPr>
        <w:t xml:space="preserve"> Jury’s verdict is upheld. </w:t>
      </w:r>
    </w:p>
    <w:p w14:paraId="28B947C1" w14:textId="77777777" w:rsidR="00F824FE" w:rsidRDefault="00F824FE" w:rsidP="00F824FE">
      <w:pPr>
        <w:spacing w:before="100" w:beforeAutospacing="1" w:after="100" w:afterAutospacing="1" w:line="240" w:lineRule="auto"/>
        <w:ind w:left="720"/>
        <w:rPr>
          <w:rFonts w:ascii="Times New Roman" w:hAnsi="Times New Roman"/>
          <w:sz w:val="24"/>
          <w:szCs w:val="24"/>
        </w:rPr>
      </w:pPr>
      <w:r w:rsidRPr="0023112C">
        <w:rPr>
          <w:rFonts w:ascii="Times New Roman" w:hAnsi="Times New Roman"/>
          <w:sz w:val="24"/>
          <w:szCs w:val="24"/>
        </w:rPr>
        <w:t xml:space="preserve">Note: </w:t>
      </w:r>
      <w:r>
        <w:rPr>
          <w:rFonts w:ascii="Times New Roman" w:hAnsi="Times New Roman"/>
          <w:sz w:val="24"/>
          <w:szCs w:val="24"/>
        </w:rPr>
        <w:t xml:space="preserve">Trial judge who ordered new trial thought the jury had been “deceived” because a FD report had not been provided to plaintiff’s counsel prior to trail. </w:t>
      </w:r>
    </w:p>
    <w:p w14:paraId="67028051" w14:textId="77777777" w:rsidR="00F824FE" w:rsidRPr="0023112C" w:rsidRDefault="00F824FE" w:rsidP="00F824FE">
      <w:pPr>
        <w:spacing w:before="100" w:beforeAutospacing="1" w:after="100" w:afterAutospacing="1" w:line="240" w:lineRule="auto"/>
        <w:ind w:left="1440"/>
        <w:rPr>
          <w:rFonts w:ascii="Times New Roman" w:eastAsia="Times New Roman" w:hAnsi="Times New Roman"/>
          <w:sz w:val="24"/>
          <w:szCs w:val="24"/>
        </w:rPr>
      </w:pPr>
      <w:r w:rsidRPr="0023112C">
        <w:rPr>
          <w:rFonts w:ascii="Times New Roman" w:hAnsi="Times New Roman"/>
          <w:sz w:val="24"/>
          <w:szCs w:val="24"/>
        </w:rPr>
        <w:t>“</w:t>
      </w:r>
      <w:r w:rsidRPr="0023112C">
        <w:rPr>
          <w:rFonts w:ascii="Times New Roman" w:eastAsia="Times New Roman" w:hAnsi="Times New Roman"/>
          <w:sz w:val="24"/>
          <w:szCs w:val="24"/>
        </w:rPr>
        <w:t xml:space="preserve">The [trial judge’s] order also concluded the jury was ‘deceived as to the force and credibility of the evidence or [] [] influenced by considerations outside the record,’ a reference to a small portion of testimony stricken by the trial court. More specifically, the trial court struck testimony from Robin Duran (a division chief and then-Deputy Chief to Alfredo Suarez) stating that there were only seventy-seven ‘required’ CFO positions for the 2009-10 promotional cycle. Duran further explained that she prepared a report reaching the same number of available CFO positions—seventy-seven. Because the report was never provided to plaintiff's counsel, the trial court struck the testimony as a ‘blatant, willful violation of discovery.’ *** The trial court's finding that the jury was influenced by the stricken testimony is not supported by the evidence. We also note that the trial court gave a curative instruction as requested by Davis, and that Davis did not make a contemporaneous motion for mistrial. </w:t>
      </w:r>
      <w:r w:rsidRPr="0023112C">
        <w:rPr>
          <w:rFonts w:ascii="Times New Roman" w:eastAsia="Times New Roman" w:hAnsi="Times New Roman"/>
          <w:sz w:val="24"/>
          <w:szCs w:val="24"/>
          <w:u w:val="single"/>
        </w:rPr>
        <w:t>Black v. Cohen</w:t>
      </w:r>
      <w:r w:rsidRPr="0023112C">
        <w:rPr>
          <w:rFonts w:ascii="Times New Roman" w:eastAsia="Times New Roman" w:hAnsi="Times New Roman"/>
          <w:sz w:val="24"/>
          <w:szCs w:val="24"/>
        </w:rPr>
        <w:t>, 246 So. 3d 379, 384 (Fla. 4th DCA 2018) (noting: ‘[T]he Florida Supreme Court has held that a trial court may not grant a new trial based upon objections to attorney misconduct which were sustained, but for which no motion for mistrial was requested.’). The testimony in question was at most cumulative, did not advance the County's theory beyond that which had already been established.”  [Footnote 4.]</w:t>
      </w:r>
    </w:p>
    <w:p w14:paraId="7505D40A" w14:textId="77777777" w:rsidR="00F824FE" w:rsidRDefault="00F824FE" w:rsidP="00DE0F03">
      <w:pPr>
        <w:rPr>
          <w:rFonts w:ascii="Arial Black" w:hAnsi="Arial Black"/>
          <w:b/>
          <w:sz w:val="24"/>
          <w:szCs w:val="24"/>
        </w:rPr>
      </w:pPr>
    </w:p>
    <w:p w14:paraId="33FE153F" w14:textId="62AF2AB2" w:rsidR="00557CA2" w:rsidRDefault="00557CA2" w:rsidP="00DE0F03">
      <w:pPr>
        <w:rPr>
          <w:rFonts w:ascii="Arial Black" w:hAnsi="Arial Black"/>
          <w:b/>
          <w:sz w:val="24"/>
          <w:szCs w:val="24"/>
        </w:rPr>
      </w:pPr>
      <w:r>
        <w:rPr>
          <w:rFonts w:ascii="Arial Black" w:hAnsi="Arial Black"/>
          <w:b/>
          <w:sz w:val="24"/>
          <w:szCs w:val="24"/>
        </w:rPr>
        <w:t>8-19</w:t>
      </w:r>
    </w:p>
    <w:p w14:paraId="57D1F4FF" w14:textId="629C1CE0" w:rsidR="00557CA2" w:rsidRDefault="00557CA2" w:rsidP="00557CA2">
      <w:pPr>
        <w:spacing w:before="100" w:beforeAutospacing="1" w:after="100" w:afterAutospacing="1" w:line="240" w:lineRule="auto"/>
        <w:rPr>
          <w:rFonts w:ascii="Arial Black" w:hAnsi="Arial Black"/>
          <w:sz w:val="28"/>
          <w:szCs w:val="28"/>
        </w:rPr>
      </w:pPr>
      <w:r>
        <w:rPr>
          <w:rFonts w:ascii="Arial Black" w:hAnsi="Arial Black"/>
          <w:sz w:val="28"/>
          <w:szCs w:val="28"/>
        </w:rPr>
        <w:t>MI:  CITY OF WARREN – “DIVERSITY AND INCLUSION COORDINATOR” RESI</w:t>
      </w:r>
      <w:r w:rsidR="00DB72C4">
        <w:rPr>
          <w:rFonts w:ascii="Arial Black" w:hAnsi="Arial Black"/>
          <w:sz w:val="28"/>
          <w:szCs w:val="28"/>
        </w:rPr>
        <w:t>G</w:t>
      </w:r>
      <w:r>
        <w:rPr>
          <w:rFonts w:ascii="Arial Black" w:hAnsi="Arial Black"/>
          <w:sz w:val="28"/>
          <w:szCs w:val="28"/>
        </w:rPr>
        <w:t>NED - LAWSUIT MAY PROCEED</w:t>
      </w:r>
    </w:p>
    <w:p w14:paraId="2CB0BED1" w14:textId="77777777" w:rsidR="00557CA2" w:rsidRDefault="00557CA2" w:rsidP="00557CA2">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On Aug. 19, 2020, in </w:t>
      </w:r>
      <w:r>
        <w:rPr>
          <w:rFonts w:ascii="Times New Roman" w:hAnsi="Times New Roman"/>
          <w:sz w:val="24"/>
          <w:szCs w:val="24"/>
          <w:u w:val="single"/>
        </w:rPr>
        <w:t>Gregory Murray v. City of Warren</w:t>
      </w:r>
      <w:r>
        <w:rPr>
          <w:rFonts w:ascii="Times New Roman" w:hAnsi="Times New Roman"/>
          <w:sz w:val="24"/>
          <w:szCs w:val="24"/>
        </w:rPr>
        <w:t xml:space="preserve">, U.S. District Court Judge Gershwin A. Drain, Eastern District of Michigan (Southern Division) denied the city’s motion to dismiss portions of the lawsuit. </w:t>
      </w:r>
    </w:p>
    <w:p w14:paraId="13952C26" w14:textId="77777777" w:rsidR="00557CA2" w:rsidRDefault="00557CA2" w:rsidP="00557CA2">
      <w:pPr>
        <w:pStyle w:val="NormalWeb"/>
        <w:ind w:left="720"/>
      </w:pPr>
      <w:r>
        <w:t xml:space="preserve">“Plaintiff also claims similarly situated employees who are not in a protected class were treated more favorably than he was where his efforts to perform his job duties were thwarted forcing his resignation while his counterparts were able to retain their positions even after engaging in illegal discrimination, which had been reported to Defendants. Additionally, Defendant City's police commissioner allegedly called Plaintiff a racial slur and prevented Plaintiff, with Defendant Fouts' full support, from investigating past incidents of racial discrimination and civil rights violations within the police department. Accordingly, Plaintiff has stated a viable race discrimination claim under both Title VII and the [Michigan statute] ELCRA.” </w:t>
      </w:r>
      <w:hyperlink r:id="rId1609" w:history="1">
        <w:r>
          <w:rPr>
            <w:rStyle w:val="Hyperlink"/>
            <w:rFonts w:eastAsiaTheme="majorEastAsia"/>
          </w:rPr>
          <w:t>https://casetext.com/case/murray-v-city-of-warren-1</w:t>
        </w:r>
      </w:hyperlink>
      <w:r>
        <w:t xml:space="preserve"> </w:t>
      </w:r>
    </w:p>
    <w:p w14:paraId="3368901D" w14:textId="77777777" w:rsidR="00557CA2" w:rsidRDefault="00557CA2" w:rsidP="00557CA2">
      <w:pPr>
        <w:pStyle w:val="NormalWeb"/>
        <w:rPr>
          <w:b/>
          <w:bCs/>
        </w:rPr>
      </w:pPr>
      <w:r>
        <w:rPr>
          <w:b/>
          <w:bCs/>
        </w:rPr>
        <w:t xml:space="preserve">Legal Lessons Learned: The lawsuit will now proceed to pre-trial discovery.  The alleged comments are unacceptable in any workplace. </w:t>
      </w:r>
    </w:p>
    <w:p w14:paraId="50B0B91C" w14:textId="77777777" w:rsidR="00557CA2" w:rsidRDefault="00557CA2" w:rsidP="00DE0F03">
      <w:pPr>
        <w:rPr>
          <w:rFonts w:ascii="Arial Black" w:hAnsi="Arial Black"/>
          <w:b/>
          <w:sz w:val="24"/>
          <w:szCs w:val="24"/>
        </w:rPr>
      </w:pPr>
    </w:p>
    <w:p w14:paraId="14D4664C" w14:textId="3581D40D" w:rsidR="00557CA2" w:rsidRDefault="00557CA2" w:rsidP="00DE0F03">
      <w:pPr>
        <w:rPr>
          <w:rFonts w:ascii="Arial Black" w:hAnsi="Arial Black"/>
          <w:b/>
          <w:sz w:val="24"/>
          <w:szCs w:val="24"/>
        </w:rPr>
      </w:pPr>
      <w:r>
        <w:rPr>
          <w:rFonts w:ascii="Arial Black" w:hAnsi="Arial Black"/>
          <w:b/>
          <w:sz w:val="24"/>
          <w:szCs w:val="24"/>
        </w:rPr>
        <w:lastRenderedPageBreak/>
        <w:t>8-18</w:t>
      </w:r>
    </w:p>
    <w:p w14:paraId="5F795B86" w14:textId="77777777" w:rsidR="00557CA2" w:rsidRDefault="00557CA2" w:rsidP="00557CA2">
      <w:pPr>
        <w:spacing w:before="100" w:beforeAutospacing="1" w:after="100" w:afterAutospacing="1" w:line="240" w:lineRule="auto"/>
        <w:rPr>
          <w:rFonts w:ascii="Arial Black" w:hAnsi="Arial Black"/>
          <w:sz w:val="28"/>
          <w:szCs w:val="28"/>
        </w:rPr>
      </w:pPr>
      <w:bookmarkStart w:id="321" w:name="_Hlk66948003"/>
      <w:r>
        <w:rPr>
          <w:rFonts w:ascii="Arial Black" w:hAnsi="Arial Black"/>
          <w:sz w:val="28"/>
          <w:szCs w:val="28"/>
        </w:rPr>
        <w:t xml:space="preserve">PA: REVERSE DISCRIMINATION NOT PROVED - WHITE BATTALION CHIEF &amp; CAPTAIN LAWSUIT DISMISSED </w:t>
      </w:r>
    </w:p>
    <w:p w14:paraId="4DB91E1D" w14:textId="77777777" w:rsidR="00557CA2" w:rsidRDefault="00557CA2" w:rsidP="00557CA2">
      <w:pPr>
        <w:tabs>
          <w:tab w:val="left" w:pos="8170"/>
        </w:tabs>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On Aug. 4, 2020, in </w:t>
      </w:r>
      <w:r>
        <w:rPr>
          <w:rFonts w:ascii="Times New Roman" w:hAnsi="Times New Roman"/>
          <w:sz w:val="24"/>
          <w:szCs w:val="24"/>
          <w:u w:val="single"/>
        </w:rPr>
        <w:t>Lawrence Boyle and Gerald Boyle v. City of Philadelphia</w:t>
      </w:r>
      <w:r>
        <w:rPr>
          <w:rFonts w:ascii="Times New Roman" w:hAnsi="Times New Roman"/>
          <w:sz w:val="24"/>
          <w:szCs w:val="24"/>
        </w:rPr>
        <w:t>, Senior U.S. District Court Judge Jan E. DuBois, Eastern District of Pennsylvania, granted the City’s motion for summary judgment.</w:t>
      </w:r>
    </w:p>
    <w:p w14:paraId="51C510BB" w14:textId="77777777" w:rsidR="00557CA2" w:rsidRDefault="00557CA2" w:rsidP="00557CA2">
      <w:pPr>
        <w:pStyle w:val="NormalWeb"/>
        <w:ind w:left="720"/>
      </w:pPr>
      <w:r>
        <w:t xml:space="preserve">“Plaintiffs offer no analysis of statistical significance whatsoever </w:t>
      </w:r>
      <w:proofErr w:type="gramStart"/>
      <w:r>
        <w:t>with regard to</w:t>
      </w:r>
      <w:proofErr w:type="gramEnd"/>
      <w:r>
        <w:t xml:space="preserve"> the record evidence of exam results and promotions. That failure alone is enough to grant the City's Motion on plaintiffs' disparate impact claim. *** Finally, courts have rejected alleged Equal Protection violations based on an employer's ‘reliance on various subjective criteria during the promotional process.’ </w:t>
      </w:r>
      <w:r>
        <w:rPr>
          <w:i/>
          <w:iCs/>
        </w:rPr>
        <w:t>Baldwin v</w:t>
      </w:r>
      <w:r>
        <w:t xml:space="preserve">. </w:t>
      </w:r>
      <w:proofErr w:type="spellStart"/>
      <w:r>
        <w:rPr>
          <w:i/>
          <w:iCs/>
        </w:rPr>
        <w:t>Gramiccioni</w:t>
      </w:r>
      <w:proofErr w:type="spellEnd"/>
      <w:r>
        <w:t>, No. 16-1675, 2019 WL 2281580, at*16 (D.N.J. May 29, 2019). Indeed, courts have held that ‘[s]</w:t>
      </w:r>
      <w:proofErr w:type="spellStart"/>
      <w:r>
        <w:t>ubjective</w:t>
      </w:r>
      <w:proofErr w:type="spellEnd"/>
      <w:r>
        <w:t xml:space="preserve"> promotion criteria are not discriminatory </w:t>
      </w:r>
      <w:r>
        <w:rPr>
          <w:i/>
          <w:iCs/>
        </w:rPr>
        <w:t>per</w:t>
      </w:r>
      <w:r>
        <w:t xml:space="preserve"> </w:t>
      </w:r>
      <w:proofErr w:type="spellStart"/>
      <w:r>
        <w:t>se.’</w:t>
      </w:r>
      <w:r>
        <w:rPr>
          <w:i/>
          <w:iCs/>
        </w:rPr>
        <w:t>Beckett</w:t>
      </w:r>
      <w:proofErr w:type="spellEnd"/>
      <w:r>
        <w:rPr>
          <w:i/>
          <w:iCs/>
        </w:rPr>
        <w:t xml:space="preserve"> v</w:t>
      </w:r>
      <w:r>
        <w:t xml:space="preserve">. </w:t>
      </w:r>
      <w:proofErr w:type="spellStart"/>
      <w:r>
        <w:rPr>
          <w:i/>
          <w:iCs/>
        </w:rPr>
        <w:t>Dep't</w:t>
      </w:r>
      <w:proofErr w:type="spellEnd"/>
      <w:r>
        <w:rPr>
          <w:i/>
          <w:iCs/>
        </w:rPr>
        <w:t xml:space="preserve"> of Corrections</w:t>
      </w:r>
      <w:r>
        <w:t xml:space="preserve">, 981 F. Supp. 319, 327 (D. Del. 1997) (citing </w:t>
      </w:r>
      <w:r>
        <w:rPr>
          <w:i/>
          <w:iCs/>
        </w:rPr>
        <w:t>Shealy v</w:t>
      </w:r>
      <w:r>
        <w:t xml:space="preserve">. </w:t>
      </w:r>
      <w:r>
        <w:rPr>
          <w:i/>
          <w:iCs/>
        </w:rPr>
        <w:t>City of Albany</w:t>
      </w:r>
      <w:r>
        <w:t xml:space="preserve">, 89 F.3d 804, 805 (11th Cir. 1996)).” </w:t>
      </w:r>
      <w:hyperlink r:id="rId1610" w:history="1">
        <w:r>
          <w:rPr>
            <w:rStyle w:val="Hyperlink"/>
            <w:rFonts w:eastAsiaTheme="majorEastAsia"/>
          </w:rPr>
          <w:t>http://www.paed.uscourts.gov/documents/opinions/20D0393P.pdf</w:t>
        </w:r>
      </w:hyperlink>
      <w:r>
        <w:t xml:space="preserve"> </w:t>
      </w:r>
    </w:p>
    <w:p w14:paraId="68B271DD" w14:textId="77777777" w:rsidR="00557CA2" w:rsidRDefault="00557CA2" w:rsidP="00557CA2">
      <w:pPr>
        <w:tabs>
          <w:tab w:val="left" w:pos="3210"/>
        </w:tabs>
        <w:spacing w:before="100" w:beforeAutospacing="1" w:after="100" w:afterAutospacing="1" w:line="240" w:lineRule="auto"/>
        <w:rPr>
          <w:rFonts w:ascii="Times New Roman" w:eastAsia="Times New Roman" w:hAnsi="Times New Roman"/>
          <w:sz w:val="24"/>
          <w:szCs w:val="24"/>
        </w:rPr>
      </w:pPr>
      <w:r>
        <w:rPr>
          <w:rFonts w:ascii="Times New Roman" w:hAnsi="Times New Roman"/>
          <w:b/>
          <w:bCs/>
          <w:sz w:val="24"/>
          <w:szCs w:val="24"/>
        </w:rPr>
        <w:t xml:space="preserve">Legal Lessons Learned: Lack of statistical significance in exams and promotions led to dismissal of this lawsuit. </w:t>
      </w:r>
    </w:p>
    <w:bookmarkEnd w:id="321"/>
    <w:p w14:paraId="18BB2B50" w14:textId="77777777" w:rsidR="00557CA2" w:rsidRDefault="00557CA2" w:rsidP="00DE0F03">
      <w:pPr>
        <w:rPr>
          <w:rFonts w:ascii="Arial Black" w:hAnsi="Arial Black"/>
          <w:b/>
          <w:sz w:val="24"/>
          <w:szCs w:val="24"/>
        </w:rPr>
      </w:pPr>
    </w:p>
    <w:p w14:paraId="4963B924" w14:textId="77777777" w:rsidR="00557CA2" w:rsidRDefault="00557CA2" w:rsidP="00DE0F03">
      <w:pPr>
        <w:rPr>
          <w:rFonts w:ascii="Arial Black" w:hAnsi="Arial Black"/>
          <w:b/>
          <w:sz w:val="24"/>
          <w:szCs w:val="24"/>
        </w:rPr>
      </w:pPr>
    </w:p>
    <w:p w14:paraId="4921AF32" w14:textId="33651F04" w:rsidR="006B2083" w:rsidRDefault="006B2083" w:rsidP="00DE0F03">
      <w:pPr>
        <w:rPr>
          <w:rFonts w:ascii="Arial Black" w:hAnsi="Arial Black"/>
          <w:b/>
          <w:sz w:val="24"/>
          <w:szCs w:val="24"/>
        </w:rPr>
      </w:pPr>
      <w:r>
        <w:rPr>
          <w:rFonts w:ascii="Arial Black" w:hAnsi="Arial Black"/>
          <w:b/>
          <w:sz w:val="24"/>
          <w:szCs w:val="24"/>
        </w:rPr>
        <w:t>8-17</w:t>
      </w:r>
    </w:p>
    <w:p w14:paraId="53B02748" w14:textId="77777777" w:rsidR="006B2083" w:rsidRPr="00230B50" w:rsidRDefault="006B2083" w:rsidP="006B2083">
      <w:pPr>
        <w:pStyle w:val="NoSpacing"/>
        <w:rPr>
          <w:rFonts w:ascii="Arial Black" w:hAnsi="Arial Black"/>
          <w:sz w:val="28"/>
          <w:szCs w:val="28"/>
        </w:rPr>
      </w:pPr>
      <w:r w:rsidRPr="00230B50">
        <w:rPr>
          <w:rFonts w:ascii="Arial Black" w:hAnsi="Arial Black"/>
          <w:sz w:val="28"/>
          <w:szCs w:val="28"/>
        </w:rPr>
        <w:t xml:space="preserve">CT: </w:t>
      </w:r>
      <w:r>
        <w:rPr>
          <w:rFonts w:ascii="Arial Black" w:hAnsi="Arial Black"/>
          <w:sz w:val="28"/>
          <w:szCs w:val="28"/>
        </w:rPr>
        <w:t xml:space="preserve"> FF ALLEGED RACE DISCRIM – TWO INCIDNTS - NO ALLEGATION RACE “PERMEATED OVERALL WORKING ENVIRONMENT” </w:t>
      </w:r>
    </w:p>
    <w:p w14:paraId="09E8B1C6" w14:textId="77777777" w:rsidR="00DB72C4" w:rsidRDefault="00DB72C4" w:rsidP="006B2083">
      <w:pPr>
        <w:rPr>
          <w:rFonts w:ascii="Times New Roman" w:hAnsi="Times New Roman"/>
          <w:sz w:val="24"/>
          <w:szCs w:val="24"/>
        </w:rPr>
      </w:pPr>
    </w:p>
    <w:p w14:paraId="7AACD68F" w14:textId="7F9E3C77" w:rsidR="006B2083" w:rsidRDefault="006B2083" w:rsidP="006B2083">
      <w:pPr>
        <w:rPr>
          <w:rStyle w:val="Hyperlink"/>
          <w:rFonts w:ascii="Times New Roman" w:hAnsi="Times New Roman"/>
          <w:sz w:val="24"/>
          <w:szCs w:val="24"/>
        </w:rPr>
      </w:pPr>
      <w:r w:rsidRPr="00E831B1">
        <w:rPr>
          <w:rFonts w:ascii="Times New Roman" w:hAnsi="Times New Roman"/>
          <w:sz w:val="24"/>
          <w:szCs w:val="24"/>
        </w:rPr>
        <w:t xml:space="preserve">On </w:t>
      </w:r>
      <w:r>
        <w:rPr>
          <w:rFonts w:ascii="Times New Roman" w:hAnsi="Times New Roman"/>
          <w:sz w:val="24"/>
          <w:szCs w:val="24"/>
        </w:rPr>
        <w:t xml:space="preserve">June 29, 2020, in </w:t>
      </w:r>
      <w:r w:rsidRPr="00E831B1">
        <w:rPr>
          <w:rFonts w:ascii="Times New Roman" w:hAnsi="Times New Roman"/>
          <w:sz w:val="24"/>
          <w:szCs w:val="24"/>
          <w:u w:val="single"/>
        </w:rPr>
        <w:t>Tony Milledge v. City of Hartford, et al</w:t>
      </w:r>
      <w:r>
        <w:rPr>
          <w:rFonts w:ascii="Times New Roman" w:hAnsi="Times New Roman"/>
          <w:sz w:val="24"/>
          <w:szCs w:val="24"/>
        </w:rPr>
        <w:t>., U.S. District Court Judge Jeffery Alker Meyer, District of Connecticut, dismissed the lawsuit by African American firefighter with 20 years on Hartford FD.  He filed complaint alleging two incidents</w:t>
      </w:r>
      <w:r w:rsidR="00DB72C4">
        <w:rPr>
          <w:rFonts w:ascii="Times New Roman" w:hAnsi="Times New Roman"/>
          <w:sz w:val="24"/>
          <w:szCs w:val="24"/>
        </w:rPr>
        <w:t xml:space="preserve"> </w:t>
      </w:r>
      <w:r>
        <w:rPr>
          <w:rFonts w:ascii="Times New Roman" w:hAnsi="Times New Roman"/>
          <w:sz w:val="24"/>
          <w:szCs w:val="24"/>
        </w:rPr>
        <w:t>but lacking specific on how these incidents were related to race.  The Court wrote: “</w:t>
      </w:r>
      <w:r w:rsidRPr="00D20A78">
        <w:rPr>
          <w:rFonts w:ascii="Times New Roman" w:hAnsi="Times New Roman"/>
          <w:sz w:val="24"/>
          <w:szCs w:val="24"/>
        </w:rPr>
        <w:t xml:space="preserve">What is lacking, however, are facts to suggest that any of the alleged abuse was </w:t>
      </w:r>
      <w:r w:rsidRPr="00D20A78">
        <w:rPr>
          <w:rFonts w:ascii="Times New Roman" w:hAnsi="Times New Roman"/>
          <w:i/>
          <w:iCs/>
          <w:sz w:val="24"/>
          <w:szCs w:val="24"/>
        </w:rPr>
        <w:t>because of</w:t>
      </w:r>
      <w:r w:rsidRPr="00D20A78">
        <w:rPr>
          <w:rFonts w:ascii="Times New Roman" w:hAnsi="Times New Roman"/>
          <w:sz w:val="24"/>
          <w:szCs w:val="24"/>
        </w:rPr>
        <w:t xml:space="preserve"> Milledge's race. Milledge does not recite any statements by the two supervisors to suggest that they picked on him because of his race. Nor does Milledge allege facts to suggest that race considerations generally permeated the overall working environment at the fire department—for example, that supervisors at the fire department made any remarks or engaged in any conduct reflecting race-based animus or stereotypical assumptions about race.</w:t>
      </w:r>
      <w:r>
        <w:rPr>
          <w:rFonts w:ascii="Times New Roman" w:hAnsi="Times New Roman"/>
          <w:sz w:val="24"/>
          <w:szCs w:val="24"/>
        </w:rPr>
        <w:t>”  The Court will allow him to file an amended complaint: “</w:t>
      </w:r>
      <w:r w:rsidRPr="00D20A78">
        <w:rPr>
          <w:rFonts w:ascii="Times New Roman" w:hAnsi="Times New Roman"/>
          <w:sz w:val="24"/>
          <w:szCs w:val="24"/>
        </w:rPr>
        <w:t>If Milledge chooses to file an amended complaint, the amended complaint should not only state additional facts to support an inference of discriminatory motive but also to show that the alleged acts of abuse created a hostile work environment.</w:t>
      </w:r>
      <w:r>
        <w:rPr>
          <w:rFonts w:ascii="Times New Roman" w:hAnsi="Times New Roman"/>
          <w:sz w:val="24"/>
          <w:szCs w:val="24"/>
        </w:rPr>
        <w:t xml:space="preserve">” </w:t>
      </w:r>
      <w:hyperlink r:id="rId1611" w:history="1">
        <w:r w:rsidRPr="00DE6B93">
          <w:rPr>
            <w:rStyle w:val="Hyperlink"/>
            <w:rFonts w:ascii="Times New Roman" w:hAnsi="Times New Roman"/>
            <w:sz w:val="24"/>
            <w:szCs w:val="24"/>
          </w:rPr>
          <w:t>https://public.fastcase.com/Wl%2B2t%2BeVuI35%2FN70vAMFZjxlcnGgF4KmxTbsHmdpUnhrKX1xZ8%2F1BaT4X1Cm7%2Fji</w:t>
        </w:r>
      </w:hyperlink>
    </w:p>
    <w:p w14:paraId="1C75DBD5" w14:textId="77777777" w:rsidR="006B2083" w:rsidRPr="00230B50" w:rsidRDefault="006B2083" w:rsidP="006B2083">
      <w:pPr>
        <w:spacing w:before="100" w:beforeAutospacing="1" w:after="100" w:afterAutospacing="1" w:line="240" w:lineRule="auto"/>
        <w:rPr>
          <w:rFonts w:ascii="Times New Roman" w:eastAsia="Times New Roman" w:hAnsi="Times New Roman"/>
          <w:b/>
          <w:bCs/>
          <w:sz w:val="24"/>
          <w:szCs w:val="24"/>
        </w:rPr>
      </w:pPr>
      <w:r w:rsidRPr="002754A9">
        <w:rPr>
          <w:rFonts w:ascii="Times New Roman" w:hAnsi="Times New Roman"/>
          <w:b/>
          <w:bCs/>
          <w:sz w:val="24"/>
          <w:szCs w:val="24"/>
        </w:rPr>
        <w:t>Legal Lesson Learned</w:t>
      </w:r>
      <w:r>
        <w:rPr>
          <w:rFonts w:ascii="Times New Roman" w:hAnsi="Times New Roman"/>
          <w:b/>
          <w:bCs/>
          <w:sz w:val="24"/>
          <w:szCs w:val="24"/>
        </w:rPr>
        <w:t xml:space="preserve">:  FDs can help avoid litigation by </w:t>
      </w:r>
      <w:proofErr w:type="gramStart"/>
      <w:r>
        <w:rPr>
          <w:rFonts w:ascii="Times New Roman" w:hAnsi="Times New Roman"/>
          <w:b/>
          <w:bCs/>
          <w:sz w:val="24"/>
          <w:szCs w:val="24"/>
        </w:rPr>
        <w:t>conduct</w:t>
      </w:r>
      <w:proofErr w:type="gramEnd"/>
      <w:r>
        <w:rPr>
          <w:rFonts w:ascii="Times New Roman" w:hAnsi="Times New Roman"/>
          <w:b/>
          <w:bCs/>
          <w:sz w:val="24"/>
          <w:szCs w:val="24"/>
        </w:rPr>
        <w:t xml:space="preserve"> prompt, thorough internal investigations of all complaints (after receipt of written complaint).  </w:t>
      </w:r>
    </w:p>
    <w:p w14:paraId="4EB54DC8" w14:textId="77777777" w:rsidR="006B2083" w:rsidRDefault="006B2083" w:rsidP="006B2083">
      <w:pPr>
        <w:rPr>
          <w:rFonts w:ascii="Arial Black" w:hAnsi="Arial Black"/>
          <w:b/>
          <w:sz w:val="24"/>
          <w:szCs w:val="24"/>
        </w:rPr>
      </w:pPr>
    </w:p>
    <w:p w14:paraId="4FF8849D" w14:textId="77777777" w:rsidR="006B2083" w:rsidRDefault="006B2083" w:rsidP="00DE0F03">
      <w:pPr>
        <w:rPr>
          <w:rFonts w:ascii="Arial Black" w:hAnsi="Arial Black"/>
          <w:b/>
          <w:sz w:val="24"/>
          <w:szCs w:val="24"/>
        </w:rPr>
      </w:pPr>
    </w:p>
    <w:p w14:paraId="598DBC2A" w14:textId="2C4AE323" w:rsidR="007105B3" w:rsidRDefault="007105B3" w:rsidP="00DE0F03">
      <w:pPr>
        <w:rPr>
          <w:rFonts w:ascii="Arial Black" w:hAnsi="Arial Black"/>
          <w:b/>
          <w:sz w:val="24"/>
          <w:szCs w:val="24"/>
        </w:rPr>
      </w:pPr>
      <w:r>
        <w:rPr>
          <w:rFonts w:ascii="Arial Black" w:hAnsi="Arial Black"/>
          <w:b/>
          <w:sz w:val="24"/>
          <w:szCs w:val="24"/>
        </w:rPr>
        <w:t>8-16</w:t>
      </w:r>
    </w:p>
    <w:p w14:paraId="64FED3DD" w14:textId="77777777" w:rsidR="007105B3" w:rsidRPr="005D212F" w:rsidRDefault="007105B3" w:rsidP="007105B3">
      <w:pPr>
        <w:pStyle w:val="NoSpacing"/>
        <w:rPr>
          <w:rFonts w:ascii="Arial Black" w:hAnsi="Arial Black"/>
          <w:sz w:val="28"/>
          <w:szCs w:val="28"/>
        </w:rPr>
      </w:pPr>
      <w:r w:rsidRPr="005D212F">
        <w:rPr>
          <w:rFonts w:ascii="Arial Black" w:hAnsi="Arial Black"/>
          <w:sz w:val="28"/>
          <w:szCs w:val="28"/>
        </w:rPr>
        <w:t xml:space="preserve">NY: </w:t>
      </w:r>
      <w:r>
        <w:rPr>
          <w:rFonts w:ascii="Arial Black" w:hAnsi="Arial Black"/>
          <w:sz w:val="28"/>
          <w:szCs w:val="28"/>
        </w:rPr>
        <w:t>FDNY - AFRICAN AMERICAN, MUSLIM – CLAIMED HOSTILE WORK ATMOSPHERE – ONLY “PETTY SLIGHTS”</w:t>
      </w:r>
    </w:p>
    <w:p w14:paraId="1F12C27E" w14:textId="77777777" w:rsidR="007105B3" w:rsidRDefault="007105B3" w:rsidP="007105B3">
      <w:pPr>
        <w:pStyle w:val="NoSpacing"/>
        <w:rPr>
          <w:rFonts w:ascii="On On" w:hAnsi="On On"/>
          <w:sz w:val="24"/>
          <w:szCs w:val="24"/>
        </w:rPr>
      </w:pPr>
    </w:p>
    <w:p w14:paraId="2DBC2342" w14:textId="77777777" w:rsidR="007105B3" w:rsidRPr="00CE6A11" w:rsidRDefault="007105B3" w:rsidP="007105B3">
      <w:pPr>
        <w:pStyle w:val="NoSpacing"/>
        <w:rPr>
          <w:rFonts w:ascii="Times New Roman" w:hAnsi="Times New Roman"/>
          <w:sz w:val="24"/>
          <w:szCs w:val="24"/>
        </w:rPr>
      </w:pPr>
      <w:r w:rsidRPr="005D212F">
        <w:rPr>
          <w:rFonts w:ascii="Times New Roman" w:hAnsi="Times New Roman"/>
          <w:sz w:val="24"/>
          <w:szCs w:val="24"/>
        </w:rPr>
        <w:t xml:space="preserve">On June 26, 2020, in </w:t>
      </w:r>
      <w:r w:rsidRPr="005D212F">
        <w:rPr>
          <w:rFonts w:ascii="Times New Roman" w:hAnsi="Times New Roman"/>
          <w:sz w:val="24"/>
          <w:szCs w:val="24"/>
          <w:u w:val="single"/>
        </w:rPr>
        <w:t>Gordon Springs v. City of New York, et al</w:t>
      </w:r>
      <w:r>
        <w:rPr>
          <w:rFonts w:ascii="Times New Roman" w:hAnsi="Times New Roman"/>
          <w:sz w:val="24"/>
          <w:szCs w:val="24"/>
        </w:rPr>
        <w:t>., U.S. District Court Judge Alvin K. Hellerstein granted the City’s motion to dismiss.  “</w:t>
      </w:r>
      <w:r w:rsidRPr="00CE6A11">
        <w:rPr>
          <w:rFonts w:ascii="Times New Roman" w:hAnsi="Times New Roman"/>
          <w:sz w:val="24"/>
          <w:szCs w:val="24"/>
        </w:rPr>
        <w:t xml:space="preserve">Springs fails to adequately plead a hostile work environment, because the FAC </w:t>
      </w:r>
      <w:r>
        <w:rPr>
          <w:rFonts w:ascii="Times New Roman" w:hAnsi="Times New Roman"/>
          <w:sz w:val="24"/>
          <w:szCs w:val="24"/>
        </w:rPr>
        <w:t xml:space="preserve">[First Amended Complaint] </w:t>
      </w:r>
      <w:r w:rsidRPr="00CE6A11">
        <w:rPr>
          <w:rFonts w:ascii="Times New Roman" w:hAnsi="Times New Roman"/>
          <w:sz w:val="24"/>
          <w:szCs w:val="24"/>
        </w:rPr>
        <w:t xml:space="preserve">does not sufficiently claim a causal connection between Springs's protected characteristics and most of the contested acts and, as to the remaining acts, the alleged acts of hostility do not rise above the level of </w:t>
      </w:r>
      <w:r>
        <w:rPr>
          <w:rFonts w:ascii="Times New Roman" w:hAnsi="Times New Roman"/>
          <w:sz w:val="24"/>
          <w:szCs w:val="24"/>
        </w:rPr>
        <w:t>‘</w:t>
      </w:r>
      <w:r w:rsidRPr="00CE6A11">
        <w:rPr>
          <w:rFonts w:ascii="Times New Roman" w:hAnsi="Times New Roman"/>
          <w:sz w:val="24"/>
          <w:szCs w:val="24"/>
        </w:rPr>
        <w:t>petty slight or trivial inconvenience.</w:t>
      </w:r>
      <w:r>
        <w:rPr>
          <w:rFonts w:ascii="Times New Roman" w:hAnsi="Times New Roman"/>
          <w:sz w:val="24"/>
          <w:szCs w:val="24"/>
        </w:rPr>
        <w:t xml:space="preserve">’ </w:t>
      </w:r>
      <w:hyperlink r:id="rId1612" w:history="1">
        <w:r w:rsidRPr="007062AF">
          <w:rPr>
            <w:rStyle w:val="Hyperlink"/>
            <w:rFonts w:ascii="Times New Roman" w:hAnsi="Times New Roman"/>
            <w:sz w:val="24"/>
            <w:szCs w:val="24"/>
          </w:rPr>
          <w:t>https://public.fastcase.com/Wl%2B2t%2BeVuI35%2FN70vAMFZu9WSCqieY3u1gfnWEwDVajGcV1Qbmc97gDjPt%2BB6d9C</w:t>
        </w:r>
      </w:hyperlink>
      <w:r>
        <w:rPr>
          <w:rFonts w:ascii="Times New Roman" w:hAnsi="Times New Roman"/>
          <w:sz w:val="24"/>
          <w:szCs w:val="24"/>
        </w:rPr>
        <w:t xml:space="preserve"> </w:t>
      </w:r>
    </w:p>
    <w:p w14:paraId="545207B2" w14:textId="77777777" w:rsidR="007105B3" w:rsidRPr="00CE6A11" w:rsidRDefault="007105B3" w:rsidP="007105B3">
      <w:pPr>
        <w:spacing w:before="100" w:beforeAutospacing="1" w:after="100" w:afterAutospacing="1" w:line="240" w:lineRule="auto"/>
        <w:rPr>
          <w:rFonts w:ascii="Times New Roman" w:hAnsi="Times New Roman"/>
          <w:b/>
          <w:bCs/>
          <w:sz w:val="24"/>
          <w:szCs w:val="24"/>
        </w:rPr>
      </w:pPr>
      <w:r w:rsidRPr="00CE6A11">
        <w:rPr>
          <w:rFonts w:ascii="Times New Roman" w:hAnsi="Times New Roman"/>
          <w:b/>
          <w:bCs/>
          <w:sz w:val="24"/>
          <w:szCs w:val="24"/>
        </w:rPr>
        <w:t xml:space="preserve">Legal Lessons Learned: To state a claim for </w:t>
      </w:r>
      <w:proofErr w:type="gramStart"/>
      <w:r w:rsidRPr="00CE6A11">
        <w:rPr>
          <w:rFonts w:ascii="Times New Roman" w:hAnsi="Times New Roman"/>
          <w:b/>
          <w:bCs/>
          <w:sz w:val="24"/>
          <w:szCs w:val="24"/>
        </w:rPr>
        <w:t>a hostile</w:t>
      </w:r>
      <w:proofErr w:type="gramEnd"/>
      <w:r w:rsidRPr="00CE6A11">
        <w:rPr>
          <w:rFonts w:ascii="Times New Roman" w:hAnsi="Times New Roman"/>
          <w:b/>
          <w:bCs/>
          <w:sz w:val="24"/>
          <w:szCs w:val="24"/>
        </w:rPr>
        <w:t xml:space="preserve"> work the plaintiff must allege "that the workplace is permeated with discriminatory intimidation, ridicule, and insult that is sufficiently severe or pervasive to alter the conditions of ... employment and create an abusive working environment."</w:t>
      </w:r>
    </w:p>
    <w:p w14:paraId="69FE09DC" w14:textId="77777777" w:rsidR="007105B3" w:rsidRDefault="007105B3" w:rsidP="007105B3">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rPr>
        <w:tab/>
      </w:r>
      <w:r w:rsidRPr="00DE7C27">
        <w:rPr>
          <w:rFonts w:ascii="Times New Roman" w:hAnsi="Times New Roman"/>
          <w:sz w:val="24"/>
          <w:szCs w:val="24"/>
        </w:rPr>
        <w:t xml:space="preserve">Note: </w:t>
      </w:r>
      <w:r>
        <w:rPr>
          <w:rFonts w:ascii="Times New Roman" w:hAnsi="Times New Roman"/>
          <w:sz w:val="24"/>
          <w:szCs w:val="24"/>
        </w:rPr>
        <w:t xml:space="preserve"> Read Judge’s comments about the “pork incident.” </w:t>
      </w:r>
    </w:p>
    <w:p w14:paraId="51CD20BA" w14:textId="77777777" w:rsidR="007105B3" w:rsidRPr="00CE6A11" w:rsidRDefault="007105B3" w:rsidP="007105B3">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w:t>
      </w:r>
      <w:r w:rsidRPr="00CE6A11">
        <w:rPr>
          <w:rFonts w:ascii="Times New Roman" w:eastAsia="Times New Roman" w:hAnsi="Times New Roman"/>
          <w:sz w:val="24"/>
          <w:szCs w:val="24"/>
        </w:rPr>
        <w:t xml:space="preserve">The alleged pork incident is equally if not more trivial. The full extent of that allegation is that unidentified firefighters in Engine 67 </w:t>
      </w:r>
      <w:r>
        <w:rPr>
          <w:rFonts w:ascii="Times New Roman" w:eastAsia="Times New Roman" w:hAnsi="Times New Roman"/>
          <w:sz w:val="24"/>
          <w:szCs w:val="24"/>
        </w:rPr>
        <w:t>‘</w:t>
      </w:r>
      <w:r w:rsidRPr="00CE6A11">
        <w:rPr>
          <w:rFonts w:ascii="Times New Roman" w:eastAsia="Times New Roman" w:hAnsi="Times New Roman"/>
          <w:sz w:val="24"/>
          <w:szCs w:val="24"/>
        </w:rPr>
        <w:t>cooked a meal and made hamburgers in the same pan used to cook bacon</w:t>
      </w:r>
      <w:r>
        <w:rPr>
          <w:rFonts w:ascii="Times New Roman" w:eastAsia="Times New Roman" w:hAnsi="Times New Roman"/>
          <w:sz w:val="24"/>
          <w:szCs w:val="24"/>
        </w:rPr>
        <w:t>’</w:t>
      </w:r>
      <w:r w:rsidRPr="00CE6A11">
        <w:rPr>
          <w:rFonts w:ascii="Times New Roman" w:eastAsia="Times New Roman" w:hAnsi="Times New Roman"/>
          <w:sz w:val="24"/>
          <w:szCs w:val="24"/>
        </w:rPr>
        <w:t xml:space="preserve"> even though they had </w:t>
      </w:r>
      <w:r>
        <w:rPr>
          <w:rFonts w:ascii="Times New Roman" w:eastAsia="Times New Roman" w:hAnsi="Times New Roman"/>
          <w:sz w:val="24"/>
          <w:szCs w:val="24"/>
        </w:rPr>
        <w:t>‘</w:t>
      </w:r>
      <w:r w:rsidRPr="00CE6A11">
        <w:rPr>
          <w:rFonts w:ascii="Times New Roman" w:eastAsia="Times New Roman" w:hAnsi="Times New Roman"/>
          <w:sz w:val="24"/>
          <w:szCs w:val="24"/>
        </w:rPr>
        <w:t>full knowledge</w:t>
      </w:r>
      <w:r>
        <w:rPr>
          <w:rFonts w:ascii="Times New Roman" w:eastAsia="Times New Roman" w:hAnsi="Times New Roman"/>
          <w:sz w:val="24"/>
          <w:szCs w:val="24"/>
        </w:rPr>
        <w:t>’</w:t>
      </w:r>
      <w:r w:rsidRPr="00CE6A11">
        <w:rPr>
          <w:rFonts w:ascii="Times New Roman" w:eastAsia="Times New Roman" w:hAnsi="Times New Roman"/>
          <w:sz w:val="24"/>
          <w:szCs w:val="24"/>
        </w:rPr>
        <w:t xml:space="preserve"> that Springs is Muslim and therefore </w:t>
      </w:r>
      <w:r>
        <w:rPr>
          <w:rFonts w:ascii="Times New Roman" w:eastAsia="Times New Roman" w:hAnsi="Times New Roman"/>
          <w:sz w:val="24"/>
          <w:szCs w:val="24"/>
        </w:rPr>
        <w:t>‘</w:t>
      </w:r>
      <w:r w:rsidRPr="00CE6A11">
        <w:rPr>
          <w:rFonts w:ascii="Times New Roman" w:eastAsia="Times New Roman" w:hAnsi="Times New Roman"/>
          <w:sz w:val="24"/>
          <w:szCs w:val="24"/>
        </w:rPr>
        <w:t>unable to eat pork or cook with pork.</w:t>
      </w:r>
      <w:r>
        <w:rPr>
          <w:rFonts w:ascii="Times New Roman" w:eastAsia="Times New Roman" w:hAnsi="Times New Roman"/>
          <w:sz w:val="24"/>
          <w:szCs w:val="24"/>
        </w:rPr>
        <w:t>’</w:t>
      </w:r>
      <w:r w:rsidRPr="00CE6A11">
        <w:rPr>
          <w:rFonts w:ascii="Times New Roman" w:eastAsia="Times New Roman" w:hAnsi="Times New Roman"/>
          <w:sz w:val="24"/>
          <w:szCs w:val="24"/>
        </w:rPr>
        <w:t xml:space="preserve"> FAC at ¶¶ 48-50. That's it. Springs does not say whether this was the only </w:t>
      </w:r>
      <w:proofErr w:type="gramStart"/>
      <w:r w:rsidRPr="00CE6A11">
        <w:rPr>
          <w:rFonts w:ascii="Times New Roman" w:eastAsia="Times New Roman" w:hAnsi="Times New Roman"/>
          <w:sz w:val="24"/>
          <w:szCs w:val="24"/>
        </w:rPr>
        <w:t>pan</w:t>
      </w:r>
      <w:proofErr w:type="gramEnd"/>
      <w:r w:rsidRPr="00CE6A11">
        <w:rPr>
          <w:rFonts w:ascii="Times New Roman" w:eastAsia="Times New Roman" w:hAnsi="Times New Roman"/>
          <w:sz w:val="24"/>
          <w:szCs w:val="24"/>
        </w:rPr>
        <w:t xml:space="preserve"> in Engine 67; whether any firefighters made comments to accompany their cooking with pork suggestive of animus; whether Springs, in the moment, said anything to his coworkers to remind them of his dietary restrictions, </w:t>
      </w:r>
      <w:r w:rsidRPr="00CE6A11">
        <w:rPr>
          <w:rFonts w:ascii="Times New Roman" w:eastAsia="Times New Roman" w:hAnsi="Times New Roman"/>
          <w:i/>
          <w:iCs/>
          <w:sz w:val="24"/>
          <w:szCs w:val="24"/>
        </w:rPr>
        <w:t>see id</w:t>
      </w:r>
      <w:r w:rsidRPr="00CE6A11">
        <w:rPr>
          <w:rFonts w:ascii="Times New Roman" w:eastAsia="Times New Roman" w:hAnsi="Times New Roman"/>
          <w:sz w:val="24"/>
          <w:szCs w:val="24"/>
        </w:rPr>
        <w:t xml:space="preserve">. at ¶ 49 (noting that Springs had advised </w:t>
      </w:r>
      <w:r>
        <w:rPr>
          <w:rFonts w:ascii="Times New Roman" w:eastAsia="Times New Roman" w:hAnsi="Times New Roman"/>
          <w:sz w:val="24"/>
          <w:szCs w:val="24"/>
        </w:rPr>
        <w:t>‘</w:t>
      </w:r>
      <w:r w:rsidRPr="00CE6A11">
        <w:rPr>
          <w:rFonts w:ascii="Times New Roman" w:eastAsia="Times New Roman" w:hAnsi="Times New Roman"/>
          <w:sz w:val="24"/>
          <w:szCs w:val="24"/>
        </w:rPr>
        <w:t>all firefighters</w:t>
      </w:r>
      <w:r>
        <w:rPr>
          <w:rFonts w:ascii="Times New Roman" w:eastAsia="Times New Roman" w:hAnsi="Times New Roman"/>
          <w:sz w:val="24"/>
          <w:szCs w:val="24"/>
        </w:rPr>
        <w:t>’</w:t>
      </w:r>
      <w:r w:rsidRPr="00CE6A11">
        <w:rPr>
          <w:rFonts w:ascii="Times New Roman" w:eastAsia="Times New Roman" w:hAnsi="Times New Roman"/>
          <w:sz w:val="24"/>
          <w:szCs w:val="24"/>
        </w:rPr>
        <w:t xml:space="preserve"> that he was Muslim </w:t>
      </w:r>
      <w:r>
        <w:rPr>
          <w:rFonts w:ascii="Times New Roman" w:eastAsia="Times New Roman" w:hAnsi="Times New Roman"/>
          <w:sz w:val="24"/>
          <w:szCs w:val="24"/>
        </w:rPr>
        <w:t>‘</w:t>
      </w:r>
      <w:r w:rsidRPr="00CE6A11">
        <w:rPr>
          <w:rFonts w:ascii="Times New Roman" w:eastAsia="Times New Roman" w:hAnsi="Times New Roman"/>
          <w:i/>
          <w:iCs/>
          <w:sz w:val="24"/>
          <w:szCs w:val="24"/>
        </w:rPr>
        <w:t>[p]</w:t>
      </w:r>
      <w:proofErr w:type="spellStart"/>
      <w:r w:rsidRPr="00CE6A11">
        <w:rPr>
          <w:rFonts w:ascii="Times New Roman" w:eastAsia="Times New Roman" w:hAnsi="Times New Roman"/>
          <w:i/>
          <w:iCs/>
          <w:sz w:val="24"/>
          <w:szCs w:val="24"/>
        </w:rPr>
        <w:t>rior</w:t>
      </w:r>
      <w:proofErr w:type="spellEnd"/>
      <w:r w:rsidRPr="00CE6A11">
        <w:rPr>
          <w:rFonts w:ascii="Times New Roman" w:eastAsia="Times New Roman" w:hAnsi="Times New Roman"/>
          <w:i/>
          <w:iCs/>
          <w:sz w:val="24"/>
          <w:szCs w:val="24"/>
        </w:rPr>
        <w:t xml:space="preserve"> to</w:t>
      </w:r>
      <w:r w:rsidRPr="00CE6A11">
        <w:rPr>
          <w:rFonts w:ascii="Times New Roman" w:eastAsia="Times New Roman" w:hAnsi="Times New Roman"/>
          <w:sz w:val="24"/>
          <w:szCs w:val="24"/>
        </w:rPr>
        <w:t xml:space="preserve"> this meal</w:t>
      </w:r>
      <w:r>
        <w:rPr>
          <w:rFonts w:ascii="Times New Roman" w:eastAsia="Times New Roman" w:hAnsi="Times New Roman"/>
          <w:sz w:val="24"/>
          <w:szCs w:val="24"/>
        </w:rPr>
        <w:t>’</w:t>
      </w:r>
      <w:r w:rsidRPr="00CE6A11">
        <w:rPr>
          <w:rFonts w:ascii="Times New Roman" w:eastAsia="Times New Roman" w:hAnsi="Times New Roman"/>
          <w:sz w:val="24"/>
          <w:szCs w:val="24"/>
        </w:rPr>
        <w:t>) (emphasis added); or even whether Springs was present at the time the cooking took place. But even stretching to its limit the duty to read the FAC in the light that is most favorable to Springs, it seems that at worst he would have been required to clean this pan in order to cook in it himself, or perhaps would have been required to notify a superior in Engine 67 that, in the future, his</w:t>
      </w:r>
      <w:r>
        <w:rPr>
          <w:rFonts w:ascii="Times New Roman" w:eastAsia="Times New Roman" w:hAnsi="Times New Roman"/>
          <w:sz w:val="24"/>
          <w:szCs w:val="24"/>
        </w:rPr>
        <w:t xml:space="preserve"> </w:t>
      </w:r>
      <w:r w:rsidRPr="00CE6A11">
        <w:rPr>
          <w:rFonts w:ascii="Times New Roman" w:eastAsia="Times New Roman" w:hAnsi="Times New Roman"/>
          <w:sz w:val="24"/>
          <w:szCs w:val="24"/>
        </w:rPr>
        <w:t>meals would need to be prepared separately. Again, this incident may have been insensitive, but it did not impose anything more than a petty slight or inconvenience.</w:t>
      </w:r>
      <w:r>
        <w:rPr>
          <w:rFonts w:ascii="Times New Roman" w:eastAsia="Times New Roman" w:hAnsi="Times New Roman"/>
          <w:sz w:val="24"/>
          <w:szCs w:val="24"/>
        </w:rPr>
        <w:t>”</w:t>
      </w:r>
    </w:p>
    <w:p w14:paraId="4C6B8820" w14:textId="77777777" w:rsidR="007105B3" w:rsidRDefault="007105B3" w:rsidP="00DE0F03">
      <w:pPr>
        <w:rPr>
          <w:rFonts w:ascii="Arial Black" w:hAnsi="Arial Black"/>
          <w:b/>
          <w:sz w:val="24"/>
          <w:szCs w:val="24"/>
        </w:rPr>
      </w:pPr>
    </w:p>
    <w:p w14:paraId="05070AAD" w14:textId="77777777" w:rsidR="007105B3" w:rsidRDefault="007105B3" w:rsidP="00DE0F03">
      <w:pPr>
        <w:rPr>
          <w:rFonts w:ascii="Arial Black" w:hAnsi="Arial Black"/>
          <w:b/>
          <w:sz w:val="24"/>
          <w:szCs w:val="24"/>
        </w:rPr>
      </w:pPr>
    </w:p>
    <w:p w14:paraId="4C3DB92E" w14:textId="77777777" w:rsidR="007105B3" w:rsidRDefault="007105B3" w:rsidP="00DE0F03">
      <w:pPr>
        <w:rPr>
          <w:rFonts w:ascii="Arial Black" w:hAnsi="Arial Black"/>
          <w:b/>
          <w:sz w:val="24"/>
          <w:szCs w:val="24"/>
        </w:rPr>
      </w:pPr>
    </w:p>
    <w:p w14:paraId="789AB306" w14:textId="7A313150" w:rsidR="007105B3" w:rsidRDefault="007105B3" w:rsidP="00DE0F03">
      <w:pPr>
        <w:rPr>
          <w:rFonts w:ascii="Arial Black" w:hAnsi="Arial Black"/>
          <w:b/>
          <w:sz w:val="24"/>
          <w:szCs w:val="24"/>
        </w:rPr>
      </w:pPr>
      <w:r>
        <w:rPr>
          <w:rFonts w:ascii="Arial Black" w:hAnsi="Arial Black"/>
          <w:b/>
          <w:sz w:val="24"/>
          <w:szCs w:val="24"/>
        </w:rPr>
        <w:t>8-15</w:t>
      </w:r>
    </w:p>
    <w:p w14:paraId="091FC893" w14:textId="77777777" w:rsidR="007105B3" w:rsidRPr="005262A7" w:rsidRDefault="007105B3" w:rsidP="007105B3">
      <w:pPr>
        <w:pStyle w:val="NoSpacing"/>
        <w:rPr>
          <w:rFonts w:ascii="Arial Black" w:hAnsi="Arial Black"/>
          <w:sz w:val="28"/>
          <w:szCs w:val="28"/>
        </w:rPr>
      </w:pPr>
      <w:bookmarkStart w:id="322" w:name="_Hlk66948130"/>
      <w:r w:rsidRPr="005262A7">
        <w:rPr>
          <w:rFonts w:ascii="Arial Black" w:hAnsi="Arial Black"/>
          <w:sz w:val="28"/>
          <w:szCs w:val="28"/>
        </w:rPr>
        <w:t xml:space="preserve">TX: </w:t>
      </w:r>
      <w:r>
        <w:rPr>
          <w:rFonts w:ascii="Arial Black" w:hAnsi="Arial Black"/>
          <w:sz w:val="28"/>
          <w:szCs w:val="28"/>
        </w:rPr>
        <w:t xml:space="preserve">FEMALE, AFRICAN AMERICAN FF LAWSUIT FOR HOSTILE WORK ATMOSPHER – NOT FREQUENT, PERVASIVE  </w:t>
      </w:r>
    </w:p>
    <w:p w14:paraId="235E5EC2" w14:textId="77777777" w:rsidR="007105B3" w:rsidRPr="00DF6019" w:rsidRDefault="007105B3" w:rsidP="007105B3">
      <w:pPr>
        <w:spacing w:before="100" w:beforeAutospacing="1" w:after="100" w:afterAutospacing="1" w:line="240" w:lineRule="auto"/>
        <w:rPr>
          <w:rFonts w:ascii="Times New Roman" w:hAnsi="Times New Roman"/>
          <w:sz w:val="24"/>
          <w:szCs w:val="24"/>
        </w:rPr>
      </w:pPr>
      <w:r w:rsidRPr="005262A7">
        <w:rPr>
          <w:rFonts w:ascii="Times New Roman" w:hAnsi="Times New Roman"/>
          <w:sz w:val="24"/>
          <w:szCs w:val="24"/>
        </w:rPr>
        <w:lastRenderedPageBreak/>
        <w:t xml:space="preserve">On June 9, 2020, </w:t>
      </w:r>
      <w:r>
        <w:rPr>
          <w:rFonts w:ascii="Times New Roman" w:hAnsi="Times New Roman"/>
          <w:sz w:val="24"/>
          <w:szCs w:val="24"/>
        </w:rPr>
        <w:t xml:space="preserve">in </w:t>
      </w:r>
      <w:r w:rsidRPr="005262A7">
        <w:rPr>
          <w:rFonts w:ascii="Times New Roman" w:hAnsi="Times New Roman"/>
          <w:sz w:val="24"/>
          <w:szCs w:val="24"/>
          <w:u w:val="single"/>
        </w:rPr>
        <w:t>Carla West v. City of Houston, Texas</w:t>
      </w:r>
      <w:r>
        <w:rPr>
          <w:rFonts w:ascii="Times New Roman" w:hAnsi="Times New Roman"/>
          <w:sz w:val="24"/>
          <w:szCs w:val="24"/>
        </w:rPr>
        <w:t>, the U.S. Court of Appeals for the Fifth Circuit (New Orleans) held (3 to 0) that the U.S. District Court Judge properly granted summary judgment to the City. The Court wrote: “</w:t>
      </w:r>
      <w:r w:rsidRPr="00DF6019">
        <w:rPr>
          <w:rFonts w:ascii="Times New Roman" w:hAnsi="Times New Roman"/>
          <w:sz w:val="24"/>
          <w:szCs w:val="24"/>
        </w:rPr>
        <w:t>West seeks to impose Title VII liability on her employer because her coworkers passed gas at the dinner table; infrequently slept in their underwear at the station; made the occasional racially insensitive joke;</w:t>
      </w:r>
      <w:r>
        <w:rPr>
          <w:rFonts w:ascii="Times New Roman" w:hAnsi="Times New Roman"/>
          <w:sz w:val="24"/>
          <w:szCs w:val="24"/>
        </w:rPr>
        <w:t xml:space="preserve"> </w:t>
      </w:r>
      <w:r w:rsidRPr="00DF6019">
        <w:rPr>
          <w:rFonts w:ascii="Times New Roman" w:hAnsi="Times New Roman"/>
          <w:sz w:val="24"/>
          <w:szCs w:val="24"/>
        </w:rPr>
        <w:t>and brought adult magazines to the station. That is not severe or humiliating under the governing standards.</w:t>
      </w:r>
      <w:r>
        <w:rPr>
          <w:rFonts w:ascii="Times New Roman" w:hAnsi="Times New Roman"/>
          <w:sz w:val="24"/>
          <w:szCs w:val="24"/>
        </w:rPr>
        <w:t>”</w:t>
      </w:r>
      <w:r w:rsidRPr="00DF6019">
        <w:t xml:space="preserve"> </w:t>
      </w:r>
      <w:hyperlink r:id="rId1613" w:history="1">
        <w:r w:rsidRPr="005B0C9C">
          <w:rPr>
            <w:rStyle w:val="Hyperlink"/>
            <w:rFonts w:ascii="Times New Roman" w:hAnsi="Times New Roman"/>
            <w:sz w:val="24"/>
            <w:szCs w:val="24"/>
          </w:rPr>
          <w:t>http://www.ca5.uscourts.gov/opinions/pub/19/19-20294-CV0.pdf</w:t>
        </w:r>
      </w:hyperlink>
      <w:r>
        <w:rPr>
          <w:rFonts w:ascii="Times New Roman" w:hAnsi="Times New Roman"/>
          <w:sz w:val="24"/>
          <w:szCs w:val="24"/>
        </w:rPr>
        <w:t xml:space="preserve"> </w:t>
      </w:r>
    </w:p>
    <w:p w14:paraId="1069D835" w14:textId="77777777" w:rsidR="007105B3" w:rsidRDefault="007105B3" w:rsidP="007105B3">
      <w:pPr>
        <w:pStyle w:val="NoSpacing"/>
        <w:tabs>
          <w:tab w:val="left" w:pos="3180"/>
        </w:tabs>
        <w:rPr>
          <w:rFonts w:ascii="Times New Roman" w:hAnsi="Times New Roman"/>
          <w:b/>
          <w:bCs/>
          <w:sz w:val="24"/>
          <w:szCs w:val="24"/>
        </w:rPr>
      </w:pPr>
      <w:r w:rsidRPr="00DF6019">
        <w:rPr>
          <w:rFonts w:ascii="Times New Roman" w:hAnsi="Times New Roman"/>
          <w:b/>
          <w:bCs/>
          <w:sz w:val="24"/>
          <w:szCs w:val="24"/>
        </w:rPr>
        <w:t>Legal Lessons Learned:</w:t>
      </w:r>
      <w:r>
        <w:rPr>
          <w:rFonts w:ascii="Times New Roman" w:hAnsi="Times New Roman"/>
          <w:b/>
          <w:bCs/>
          <w:sz w:val="24"/>
          <w:szCs w:val="24"/>
        </w:rPr>
        <w:t xml:space="preserve"> Hostile work atmosphere requires proof of “severe or humiliating” atmosphere.  </w:t>
      </w:r>
    </w:p>
    <w:bookmarkEnd w:id="322"/>
    <w:p w14:paraId="479820B3" w14:textId="77777777" w:rsidR="007105B3" w:rsidRPr="00DF6019" w:rsidRDefault="007105B3" w:rsidP="007105B3">
      <w:pPr>
        <w:pStyle w:val="NoSpacing"/>
        <w:tabs>
          <w:tab w:val="left" w:pos="3180"/>
        </w:tabs>
        <w:rPr>
          <w:rFonts w:ascii="Times New Roman" w:hAnsi="Times New Roman"/>
          <w:sz w:val="24"/>
          <w:szCs w:val="24"/>
        </w:rPr>
      </w:pPr>
    </w:p>
    <w:p w14:paraId="322B5CC1" w14:textId="77777777" w:rsidR="007105B3" w:rsidRDefault="007105B3" w:rsidP="007105B3">
      <w:pPr>
        <w:pStyle w:val="NoSpacing"/>
        <w:ind w:left="720"/>
        <w:rPr>
          <w:rFonts w:ascii="Times New Roman" w:hAnsi="Times New Roman"/>
          <w:sz w:val="24"/>
          <w:szCs w:val="24"/>
        </w:rPr>
      </w:pPr>
      <w:r w:rsidRPr="00DF6019">
        <w:rPr>
          <w:rFonts w:ascii="Times New Roman" w:hAnsi="Times New Roman"/>
          <w:sz w:val="24"/>
          <w:szCs w:val="24"/>
        </w:rPr>
        <w:t xml:space="preserve">Note:  The U.S. Supreme Court in </w:t>
      </w:r>
      <w:r w:rsidRPr="00DF6019">
        <w:rPr>
          <w:rFonts w:ascii="Times New Roman" w:hAnsi="Times New Roman"/>
          <w:sz w:val="24"/>
          <w:szCs w:val="24"/>
          <w:u w:val="single"/>
        </w:rPr>
        <w:t>Faragher v. City of Boca Raton</w:t>
      </w:r>
      <w:r w:rsidRPr="00DF6019">
        <w:rPr>
          <w:rFonts w:ascii="Times New Roman" w:hAnsi="Times New Roman"/>
          <w:sz w:val="24"/>
          <w:szCs w:val="24"/>
        </w:rPr>
        <w:t>, 524 U.S. 775 (1998) made it clear that Title VII of the Civil Rights Act of 1964 does not impose a “general civility code” on employers. Faragher, 524 U.S. at 788 (quoting Oncale, 523 U.S. at 80).</w:t>
      </w:r>
      <w:r w:rsidRPr="00DF6019">
        <w:rPr>
          <w:rFonts w:ascii="Times New Roman" w:hAnsi="Times New Roman"/>
          <w:sz w:val="24"/>
          <w:szCs w:val="24"/>
        </w:rPr>
        <w:tab/>
      </w:r>
    </w:p>
    <w:p w14:paraId="73E3DA9B" w14:textId="77777777" w:rsidR="007105B3" w:rsidRDefault="007105B3" w:rsidP="00DE0F03">
      <w:pPr>
        <w:rPr>
          <w:rFonts w:ascii="Arial Black" w:hAnsi="Arial Black"/>
          <w:b/>
          <w:sz w:val="24"/>
          <w:szCs w:val="24"/>
        </w:rPr>
      </w:pPr>
    </w:p>
    <w:p w14:paraId="30343800" w14:textId="77777777" w:rsidR="007105B3" w:rsidRDefault="007105B3" w:rsidP="00DE0F03">
      <w:pPr>
        <w:rPr>
          <w:rFonts w:ascii="Arial Black" w:hAnsi="Arial Black"/>
          <w:b/>
          <w:sz w:val="24"/>
          <w:szCs w:val="24"/>
        </w:rPr>
      </w:pPr>
    </w:p>
    <w:p w14:paraId="002E08E5" w14:textId="074654EA" w:rsidR="002147DA" w:rsidRDefault="002147DA" w:rsidP="00DE0F03">
      <w:pPr>
        <w:rPr>
          <w:rFonts w:ascii="Arial Black" w:hAnsi="Arial Black"/>
          <w:b/>
          <w:sz w:val="24"/>
          <w:szCs w:val="24"/>
        </w:rPr>
      </w:pPr>
      <w:r>
        <w:rPr>
          <w:rFonts w:ascii="Arial Black" w:hAnsi="Arial Black"/>
          <w:b/>
          <w:sz w:val="24"/>
          <w:szCs w:val="24"/>
        </w:rPr>
        <w:t>8-1</w:t>
      </w:r>
      <w:r w:rsidR="005A395B">
        <w:rPr>
          <w:rFonts w:ascii="Arial Black" w:hAnsi="Arial Black"/>
          <w:b/>
          <w:sz w:val="24"/>
          <w:szCs w:val="24"/>
        </w:rPr>
        <w:t>4</w:t>
      </w:r>
    </w:p>
    <w:p w14:paraId="7D904459" w14:textId="77777777" w:rsidR="002147DA" w:rsidRPr="00746077" w:rsidRDefault="002147DA" w:rsidP="002147DA">
      <w:pPr>
        <w:pStyle w:val="NoSpacing"/>
        <w:rPr>
          <w:rFonts w:ascii="Arial Black" w:hAnsi="Arial Black"/>
          <w:b/>
          <w:bCs/>
          <w:sz w:val="28"/>
          <w:szCs w:val="28"/>
        </w:rPr>
      </w:pPr>
      <w:r w:rsidRPr="00746077">
        <w:rPr>
          <w:rFonts w:ascii="Arial Black" w:hAnsi="Arial Black"/>
          <w:bCs/>
          <w:sz w:val="28"/>
          <w:szCs w:val="28"/>
        </w:rPr>
        <w:t>NY:</w:t>
      </w:r>
      <w:r>
        <w:rPr>
          <w:rFonts w:ascii="Arial Black" w:hAnsi="Arial Black"/>
          <w:bCs/>
          <w:sz w:val="28"/>
          <w:szCs w:val="28"/>
        </w:rPr>
        <w:t xml:space="preserve"> FDNY – FF NOT PROMOTED (2015) – ALLEGED RETALIATION FOR EEOC CHARGE (2012) – DISMISSED</w:t>
      </w:r>
    </w:p>
    <w:p w14:paraId="229AF3C2" w14:textId="77777777" w:rsidR="002147DA" w:rsidRDefault="002147DA" w:rsidP="002147DA">
      <w:pPr>
        <w:pStyle w:val="NoSpacing"/>
        <w:rPr>
          <w:b/>
          <w:bCs/>
          <w:sz w:val="24"/>
          <w:szCs w:val="24"/>
        </w:rPr>
      </w:pPr>
    </w:p>
    <w:p w14:paraId="2D8622D5" w14:textId="77777777" w:rsidR="002147DA" w:rsidRPr="00AE3A49" w:rsidRDefault="002147DA" w:rsidP="002147DA">
      <w:pPr>
        <w:pStyle w:val="NoSpacing"/>
        <w:rPr>
          <w:rFonts w:ascii="Times New Roman" w:hAnsi="Times New Roman"/>
          <w:b/>
          <w:bCs/>
          <w:sz w:val="24"/>
          <w:szCs w:val="24"/>
        </w:rPr>
      </w:pPr>
      <w:r w:rsidRPr="00AE3A49">
        <w:rPr>
          <w:rFonts w:ascii="Times New Roman" w:hAnsi="Times New Roman"/>
          <w:bCs/>
          <w:sz w:val="24"/>
          <w:szCs w:val="24"/>
        </w:rPr>
        <w:t xml:space="preserve">On April 17, 2020, in </w:t>
      </w:r>
      <w:r w:rsidRPr="00AE3A49">
        <w:rPr>
          <w:rFonts w:ascii="Times New Roman" w:hAnsi="Times New Roman"/>
          <w:bCs/>
          <w:sz w:val="24"/>
          <w:szCs w:val="24"/>
          <w:u w:val="single"/>
        </w:rPr>
        <w:t xml:space="preserve">George Ful </w:t>
      </w:r>
      <w:proofErr w:type="spellStart"/>
      <w:r w:rsidRPr="00AE3A49">
        <w:rPr>
          <w:rFonts w:ascii="Times New Roman" w:hAnsi="Times New Roman"/>
          <w:bCs/>
          <w:sz w:val="24"/>
          <w:szCs w:val="24"/>
          <w:u w:val="single"/>
        </w:rPr>
        <w:t>Ninying</w:t>
      </w:r>
      <w:proofErr w:type="spellEnd"/>
      <w:r w:rsidRPr="00AE3A49">
        <w:rPr>
          <w:rFonts w:ascii="Times New Roman" w:hAnsi="Times New Roman"/>
          <w:bCs/>
          <w:sz w:val="24"/>
          <w:szCs w:val="24"/>
          <w:u w:val="single"/>
        </w:rPr>
        <w:t xml:space="preserve"> v. New York City Fire Department</w:t>
      </w:r>
      <w:r w:rsidRPr="00AE3A49">
        <w:rPr>
          <w:rFonts w:ascii="Times New Roman" w:hAnsi="Times New Roman"/>
          <w:bCs/>
          <w:sz w:val="24"/>
          <w:szCs w:val="24"/>
        </w:rPr>
        <w:t xml:space="preserve">, the U.S. Court of Appeals for the Second Circuit (New York City), held (3 to 0) in a Summary Order that the U.S. District Court judge had properly granted summary judgment to the City.   Plaintiff filed suit </w:t>
      </w:r>
      <w:r w:rsidRPr="00AE3A49">
        <w:rPr>
          <w:rFonts w:ascii="Times New Roman" w:hAnsi="Times New Roman"/>
          <w:bCs/>
          <w:i/>
          <w:iCs/>
          <w:sz w:val="24"/>
          <w:szCs w:val="24"/>
        </w:rPr>
        <w:t xml:space="preserve">pro se </w:t>
      </w:r>
      <w:r w:rsidRPr="00AE3A49">
        <w:rPr>
          <w:rFonts w:ascii="Times New Roman" w:hAnsi="Times New Roman"/>
          <w:bCs/>
          <w:sz w:val="24"/>
          <w:szCs w:val="24"/>
        </w:rPr>
        <w:t>(represented himself without an attorney in both trial court and on appeal).  Court of Appeals agreed with District Court judge, that plaintiff failed to allege facts to show that he would have been promoted in 2015, “but for” his having filed an EEOC complaint in 2012, and there was alleged facts support his claim of race discrimination because his wife is African-American and he is “Black Minority.”</w:t>
      </w:r>
    </w:p>
    <w:p w14:paraId="0DF3188D" w14:textId="77777777" w:rsidR="002147DA" w:rsidRPr="00AE3A49" w:rsidRDefault="002147DA" w:rsidP="002147DA">
      <w:pPr>
        <w:pStyle w:val="NoSpacing"/>
        <w:rPr>
          <w:rFonts w:ascii="Times New Roman" w:hAnsi="Times New Roman"/>
          <w:b/>
          <w:bCs/>
          <w:sz w:val="24"/>
          <w:szCs w:val="24"/>
        </w:rPr>
      </w:pPr>
    </w:p>
    <w:p w14:paraId="41F0B5A6" w14:textId="77777777" w:rsidR="002147DA" w:rsidRDefault="002147DA" w:rsidP="002147DA">
      <w:pPr>
        <w:pStyle w:val="NoSpacing"/>
        <w:ind w:left="720"/>
        <w:rPr>
          <w:rFonts w:ascii="Times New Roman" w:hAnsi="Times New Roman"/>
          <w:bCs/>
          <w:sz w:val="24"/>
          <w:szCs w:val="24"/>
        </w:rPr>
      </w:pPr>
      <w:r w:rsidRPr="00AE3A49">
        <w:rPr>
          <w:rFonts w:ascii="Times New Roman" w:hAnsi="Times New Roman"/>
          <w:bCs/>
          <w:sz w:val="24"/>
          <w:szCs w:val="24"/>
        </w:rPr>
        <w:t xml:space="preserve">“In order to plead a prima facie claim of retaliation under both Title VII and the ADEA, a plaintiff must allege that (1) he participated in a protected activity; (2) the employer knew of his protected activity; (3) he was subjected to an adverse employment action; and (4) there was a causal connection between the participation in the protected activity and the adverse employment action…. Here, too, </w:t>
      </w:r>
      <w:proofErr w:type="spellStart"/>
      <w:r w:rsidRPr="00AE3A49">
        <w:rPr>
          <w:rFonts w:ascii="Times New Roman" w:hAnsi="Times New Roman"/>
          <w:bCs/>
          <w:sz w:val="24"/>
          <w:szCs w:val="24"/>
        </w:rPr>
        <w:t>Ninying’s</w:t>
      </w:r>
      <w:proofErr w:type="spellEnd"/>
      <w:r w:rsidRPr="00AE3A49">
        <w:rPr>
          <w:rFonts w:ascii="Times New Roman" w:hAnsi="Times New Roman"/>
          <w:bCs/>
          <w:sz w:val="24"/>
          <w:szCs w:val="24"/>
        </w:rPr>
        <w:t xml:space="preserve"> conclusory</w:t>
      </w:r>
    </w:p>
    <w:p w14:paraId="4A757393" w14:textId="77777777" w:rsidR="002147DA" w:rsidRPr="00AE3A49" w:rsidRDefault="002147DA" w:rsidP="002147DA">
      <w:pPr>
        <w:pStyle w:val="NoSpacing"/>
        <w:ind w:left="720"/>
        <w:rPr>
          <w:rFonts w:ascii="Times New Roman" w:hAnsi="Times New Roman"/>
          <w:b/>
          <w:bCs/>
          <w:sz w:val="24"/>
          <w:szCs w:val="24"/>
        </w:rPr>
      </w:pPr>
      <w:r w:rsidRPr="00AE3A49">
        <w:rPr>
          <w:rFonts w:ascii="Times New Roman" w:hAnsi="Times New Roman"/>
          <w:bCs/>
          <w:sz w:val="24"/>
          <w:szCs w:val="24"/>
        </w:rPr>
        <w:t xml:space="preserve">allegation fails to state a retaliation claim under either the ADEA or Title VII, both of which required him to allege that his protected activity was the but-for cause of the adverse employment action. See Univ. of Tex. Sw. Med. Ctr. v. Nassar, 570 US. 338, 360, 362–63 (2013) (holding that unlike other Title VII claims, Title VII retaliation claims must be proved according to ‘traditional principles’ of but-for causation). Nor did </w:t>
      </w:r>
      <w:proofErr w:type="spellStart"/>
      <w:r w:rsidRPr="00AE3A49">
        <w:rPr>
          <w:rFonts w:ascii="Times New Roman" w:hAnsi="Times New Roman"/>
          <w:bCs/>
          <w:sz w:val="24"/>
          <w:szCs w:val="24"/>
        </w:rPr>
        <w:t>Ninying’s</w:t>
      </w:r>
      <w:proofErr w:type="spellEnd"/>
      <w:r w:rsidRPr="00AE3A49">
        <w:rPr>
          <w:rFonts w:ascii="Times New Roman" w:hAnsi="Times New Roman"/>
          <w:bCs/>
          <w:sz w:val="24"/>
          <w:szCs w:val="24"/>
        </w:rPr>
        <w:t xml:space="preserve"> allegation that he was retaliated against in 2015 for filing a 2012 EEOC complaint allege the requisite causation.”</w:t>
      </w:r>
    </w:p>
    <w:p w14:paraId="16DFB92E" w14:textId="77777777" w:rsidR="002147DA" w:rsidRPr="00AE3A49" w:rsidRDefault="002147DA" w:rsidP="002147DA">
      <w:pPr>
        <w:pStyle w:val="NoSpacing"/>
        <w:ind w:left="720"/>
        <w:rPr>
          <w:rFonts w:ascii="Times New Roman" w:eastAsia="Times New Roman" w:hAnsi="Times New Roman"/>
          <w:b/>
          <w:bCs/>
          <w:sz w:val="24"/>
          <w:szCs w:val="24"/>
        </w:rPr>
      </w:pPr>
      <w:hyperlink r:id="rId1614" w:anchor="xml=http://www.ca2.uscourts.gov/decisions/isysquery/83382276-eb3d-4d56-b5fe-4596b6d0f64b/1/hilite/" w:history="1">
        <w:r w:rsidRPr="00AE3A49">
          <w:rPr>
            <w:rStyle w:val="Hyperlink"/>
            <w:rFonts w:ascii="Times New Roman" w:hAnsi="Times New Roman"/>
            <w:b/>
            <w:sz w:val="24"/>
            <w:szCs w:val="24"/>
          </w:rPr>
          <w:t>http://www.ca2.uscourts.gov/decisions/isysquery/83382276-eb3d-4d56-b5fe-4596b6d0f64b/1/doc/19-1265_so.pdf#xml=http://www.ca2.uscourts.gov/decisions/isysquery/83382276-eb3d-4d56-b5fe-4596b6d0f64b/1/hilite/</w:t>
        </w:r>
      </w:hyperlink>
      <w:r w:rsidRPr="00AE3A49">
        <w:rPr>
          <w:rFonts w:ascii="Times New Roman" w:hAnsi="Times New Roman"/>
          <w:bCs/>
          <w:sz w:val="24"/>
          <w:szCs w:val="24"/>
        </w:rPr>
        <w:t xml:space="preserve"> </w:t>
      </w:r>
    </w:p>
    <w:p w14:paraId="1D379888" w14:textId="4C635AC2" w:rsidR="002147DA" w:rsidRDefault="002147DA" w:rsidP="00DE0F03">
      <w:pPr>
        <w:rPr>
          <w:rFonts w:ascii="Arial Black" w:hAnsi="Arial Black"/>
          <w:b/>
          <w:sz w:val="24"/>
          <w:szCs w:val="24"/>
        </w:rPr>
      </w:pPr>
    </w:p>
    <w:p w14:paraId="2BD0CAFF" w14:textId="77777777" w:rsidR="002147DA" w:rsidRPr="00AE3A49" w:rsidRDefault="002147DA" w:rsidP="002147DA">
      <w:pPr>
        <w:pStyle w:val="NoSpacing"/>
        <w:rPr>
          <w:rFonts w:ascii="Times New Roman" w:hAnsi="Times New Roman"/>
          <w:b/>
          <w:bCs/>
          <w:sz w:val="24"/>
          <w:szCs w:val="24"/>
        </w:rPr>
      </w:pPr>
      <w:r w:rsidRPr="00AE3A49">
        <w:rPr>
          <w:rFonts w:ascii="Times New Roman" w:hAnsi="Times New Roman"/>
          <w:b/>
          <w:bCs/>
          <w:sz w:val="24"/>
          <w:szCs w:val="24"/>
        </w:rPr>
        <w:t xml:space="preserve">Legal Lessons Learned: Plaintiff also alleged race discrimination based on his wife’s race, and that he is a “Black Minority.” </w:t>
      </w:r>
    </w:p>
    <w:p w14:paraId="04086C7C" w14:textId="77777777" w:rsidR="002147DA" w:rsidRPr="00AE3A49" w:rsidRDefault="002147DA" w:rsidP="002147DA">
      <w:pPr>
        <w:pStyle w:val="NoSpacing"/>
        <w:ind w:left="720"/>
        <w:rPr>
          <w:rFonts w:ascii="Times New Roman" w:hAnsi="Times New Roman"/>
          <w:sz w:val="24"/>
          <w:szCs w:val="24"/>
        </w:rPr>
      </w:pPr>
    </w:p>
    <w:p w14:paraId="52368E56" w14:textId="77777777" w:rsidR="002147DA" w:rsidRPr="00AE3A49" w:rsidRDefault="002147DA" w:rsidP="002147DA">
      <w:pPr>
        <w:pStyle w:val="NoSpacing"/>
        <w:ind w:left="1440"/>
        <w:rPr>
          <w:rFonts w:ascii="Times New Roman" w:hAnsi="Times New Roman"/>
          <w:b/>
          <w:bCs/>
          <w:sz w:val="24"/>
          <w:szCs w:val="24"/>
        </w:rPr>
      </w:pPr>
      <w:r w:rsidRPr="00AE3A49">
        <w:rPr>
          <w:rFonts w:ascii="Times New Roman" w:hAnsi="Times New Roman"/>
          <w:bCs/>
          <w:sz w:val="24"/>
          <w:szCs w:val="24"/>
        </w:rPr>
        <w:lastRenderedPageBreak/>
        <w:t>Note:</w:t>
      </w:r>
      <w:r w:rsidRPr="00AE3A49">
        <w:rPr>
          <w:rFonts w:ascii="Times New Roman" w:hAnsi="Times New Roman"/>
          <w:sz w:val="24"/>
          <w:szCs w:val="24"/>
        </w:rPr>
        <w:t xml:space="preserve"> </w:t>
      </w:r>
      <w:r w:rsidRPr="00AE3A49">
        <w:rPr>
          <w:rFonts w:ascii="Times New Roman" w:hAnsi="Times New Roman"/>
          <w:bCs/>
          <w:sz w:val="24"/>
          <w:szCs w:val="24"/>
        </w:rPr>
        <w:t>Court wrote:</w:t>
      </w:r>
      <w:r w:rsidRPr="00AE3A49">
        <w:rPr>
          <w:rFonts w:ascii="Times New Roman" w:hAnsi="Times New Roman"/>
          <w:sz w:val="24"/>
          <w:szCs w:val="24"/>
        </w:rPr>
        <w:t xml:space="preserve"> “</w:t>
      </w:r>
      <w:proofErr w:type="spellStart"/>
      <w:r w:rsidRPr="00AE3A49">
        <w:rPr>
          <w:rFonts w:ascii="Times New Roman" w:hAnsi="Times New Roman"/>
          <w:bCs/>
          <w:sz w:val="24"/>
          <w:szCs w:val="24"/>
        </w:rPr>
        <w:t>Ninying</w:t>
      </w:r>
      <w:proofErr w:type="spellEnd"/>
      <w:r w:rsidRPr="00AE3A49">
        <w:rPr>
          <w:rFonts w:ascii="Times New Roman" w:hAnsi="Times New Roman"/>
          <w:bCs/>
          <w:sz w:val="24"/>
          <w:szCs w:val="24"/>
        </w:rPr>
        <w:t xml:space="preserve"> asserts that he was discriminated against because his wife is African American and he is a ‘Black Minority,’ but he does not allege any facts relating his protected status to his failure to be promoted….  And though </w:t>
      </w:r>
      <w:proofErr w:type="spellStart"/>
      <w:r w:rsidRPr="00AE3A49">
        <w:rPr>
          <w:rFonts w:ascii="Times New Roman" w:hAnsi="Times New Roman"/>
          <w:bCs/>
          <w:sz w:val="24"/>
          <w:szCs w:val="24"/>
        </w:rPr>
        <w:t>Ninying</w:t>
      </w:r>
      <w:proofErr w:type="spellEnd"/>
      <w:r w:rsidRPr="00AE3A49">
        <w:rPr>
          <w:rFonts w:ascii="Times New Roman" w:hAnsi="Times New Roman"/>
          <w:bCs/>
          <w:sz w:val="24"/>
          <w:szCs w:val="24"/>
        </w:rPr>
        <w:t xml:space="preserve"> alleges that he is fluent in French because of his national origin, he has neither identified his national origin nor alleged that he faced discrimination because of it.”</w:t>
      </w:r>
    </w:p>
    <w:p w14:paraId="11FF696A" w14:textId="77777777" w:rsidR="002147DA" w:rsidRPr="00AE3A49" w:rsidRDefault="002147DA" w:rsidP="002147DA">
      <w:pPr>
        <w:pStyle w:val="NoSpacing"/>
        <w:rPr>
          <w:rFonts w:ascii="Times New Roman" w:hAnsi="Times New Roman"/>
          <w:sz w:val="24"/>
          <w:szCs w:val="24"/>
        </w:rPr>
      </w:pPr>
    </w:p>
    <w:p w14:paraId="1A9D9E5B" w14:textId="77777777" w:rsidR="002147DA" w:rsidRDefault="002147DA" w:rsidP="00DE0F03">
      <w:pPr>
        <w:rPr>
          <w:rFonts w:ascii="Arial Black" w:hAnsi="Arial Black"/>
          <w:b/>
          <w:sz w:val="24"/>
          <w:szCs w:val="24"/>
        </w:rPr>
      </w:pPr>
    </w:p>
    <w:p w14:paraId="0EE7A1E6" w14:textId="77777777" w:rsidR="002147DA" w:rsidRDefault="002147DA" w:rsidP="00DE0F03">
      <w:pPr>
        <w:rPr>
          <w:rFonts w:ascii="Arial Black" w:hAnsi="Arial Black"/>
          <w:b/>
          <w:sz w:val="24"/>
          <w:szCs w:val="24"/>
        </w:rPr>
      </w:pPr>
    </w:p>
    <w:p w14:paraId="55FF21E3" w14:textId="45961FFC" w:rsidR="007540BD" w:rsidRDefault="0066298F" w:rsidP="00DE0F03">
      <w:pPr>
        <w:rPr>
          <w:rFonts w:ascii="Arial Black" w:hAnsi="Arial Black"/>
          <w:b/>
          <w:sz w:val="24"/>
          <w:szCs w:val="24"/>
        </w:rPr>
      </w:pPr>
      <w:r>
        <w:rPr>
          <w:rFonts w:ascii="Arial Black" w:hAnsi="Arial Black"/>
          <w:b/>
          <w:sz w:val="24"/>
          <w:szCs w:val="24"/>
        </w:rPr>
        <w:t>8-1</w:t>
      </w:r>
      <w:r w:rsidR="005A395B">
        <w:rPr>
          <w:rFonts w:ascii="Arial Black" w:hAnsi="Arial Black"/>
          <w:b/>
          <w:sz w:val="24"/>
          <w:szCs w:val="24"/>
        </w:rPr>
        <w:t>3</w:t>
      </w:r>
    </w:p>
    <w:p w14:paraId="79365E88" w14:textId="77777777" w:rsidR="0066298F" w:rsidRDefault="0066298F" w:rsidP="0066298F">
      <w:pPr>
        <w:pStyle w:val="NoSpacing"/>
        <w:rPr>
          <w:rFonts w:ascii="Arial Black" w:hAnsi="Arial Black" w:cs="Arial"/>
          <w:sz w:val="28"/>
          <w:szCs w:val="28"/>
        </w:rPr>
      </w:pPr>
      <w:bookmarkStart w:id="323" w:name="_Hlk39764972"/>
      <w:r w:rsidRPr="00F2368F">
        <w:rPr>
          <w:rFonts w:ascii="Arial Black" w:hAnsi="Arial Black"/>
          <w:sz w:val="28"/>
          <w:szCs w:val="28"/>
        </w:rPr>
        <w:t xml:space="preserve">FL: </w:t>
      </w:r>
      <w:r>
        <w:rPr>
          <w:rFonts w:ascii="Arial Black" w:hAnsi="Arial Black"/>
          <w:sz w:val="28"/>
          <w:szCs w:val="28"/>
        </w:rPr>
        <w:t xml:space="preserve"> FIRED LT. SETTLEMENT – REHIRED, BUT NOT TO TRAINING DIV. – RETIREMENT $ NOT REPAID – $36,663 JURY VERDICT SET ASIDE</w:t>
      </w:r>
    </w:p>
    <w:p w14:paraId="35D57268" w14:textId="77777777" w:rsidR="0066298F" w:rsidRDefault="0066298F" w:rsidP="0066298F">
      <w:pPr>
        <w:pStyle w:val="NoSpacing"/>
        <w:rPr>
          <w:rFonts w:ascii="Arial Black" w:hAnsi="Arial Black" w:cs="Arial"/>
          <w:sz w:val="28"/>
          <w:szCs w:val="28"/>
        </w:rPr>
      </w:pPr>
    </w:p>
    <w:p w14:paraId="5892C1F1" w14:textId="77777777" w:rsidR="0066298F" w:rsidRPr="00665BD0" w:rsidRDefault="0066298F" w:rsidP="0066298F">
      <w:pPr>
        <w:pStyle w:val="NoSpacing"/>
        <w:rPr>
          <w:rFonts w:ascii="Times New Roman" w:hAnsi="Times New Roman"/>
          <w:b/>
          <w:bCs/>
          <w:sz w:val="24"/>
          <w:szCs w:val="24"/>
        </w:rPr>
      </w:pPr>
      <w:r w:rsidRPr="00665BD0">
        <w:rPr>
          <w:rFonts w:ascii="Times New Roman" w:hAnsi="Times New Roman"/>
          <w:bCs/>
          <w:sz w:val="24"/>
          <w:szCs w:val="24"/>
        </w:rPr>
        <w:t xml:space="preserve">On March 27, 2020, in </w:t>
      </w:r>
      <w:r w:rsidRPr="00665BD0">
        <w:rPr>
          <w:rFonts w:ascii="Times New Roman" w:hAnsi="Times New Roman"/>
          <w:bCs/>
          <w:sz w:val="24"/>
          <w:szCs w:val="24"/>
          <w:u w:val="single"/>
        </w:rPr>
        <w:t>Orange County, FL v. Stacey Mclean</w:t>
      </w:r>
      <w:r w:rsidRPr="00665BD0">
        <w:rPr>
          <w:rFonts w:ascii="Times New Roman" w:hAnsi="Times New Roman"/>
          <w:bCs/>
          <w:sz w:val="24"/>
          <w:szCs w:val="24"/>
        </w:rPr>
        <w:t xml:space="preserve">, the District Court of Appeal of the State of Florida, Fifth District, held (3 to 0) that trial judge should have granted county’s motion for a directed verdict and set aside the jury’s verdict. Internal investigation in 2013 of improper recording hours worked – 56 disciplined; in 2014, County fired 3 </w:t>
      </w:r>
      <w:proofErr w:type="gramStart"/>
      <w:r w:rsidRPr="00665BD0">
        <w:rPr>
          <w:rFonts w:ascii="Times New Roman" w:hAnsi="Times New Roman"/>
          <w:bCs/>
          <w:sz w:val="24"/>
          <w:szCs w:val="24"/>
        </w:rPr>
        <w:t>African-American</w:t>
      </w:r>
      <w:proofErr w:type="gramEnd"/>
      <w:r w:rsidRPr="00665BD0">
        <w:rPr>
          <w:rFonts w:ascii="Times New Roman" w:hAnsi="Times New Roman"/>
          <w:bCs/>
          <w:sz w:val="24"/>
          <w:szCs w:val="24"/>
        </w:rPr>
        <w:t xml:space="preserve"> males, including Plaintiff (Lt. in Training Division). He sued in 2015 for race discrimination; County settled lawsuit, returned him to work [but no openings in Training Division] and paid him back wages.  State Board of Administration [retirement fund] ordered him to re-pay retirement funds he withdrew in 2014; he refused and </w:t>
      </w:r>
      <w:proofErr w:type="gramStart"/>
      <w:r w:rsidRPr="00665BD0">
        <w:rPr>
          <w:rFonts w:ascii="Times New Roman" w:hAnsi="Times New Roman"/>
          <w:bCs/>
          <w:sz w:val="24"/>
          <w:szCs w:val="24"/>
        </w:rPr>
        <w:t>was</w:t>
      </w:r>
      <w:proofErr w:type="gramEnd"/>
      <w:r w:rsidRPr="00665BD0">
        <w:rPr>
          <w:rFonts w:ascii="Times New Roman" w:hAnsi="Times New Roman"/>
          <w:bCs/>
          <w:sz w:val="24"/>
          <w:szCs w:val="24"/>
        </w:rPr>
        <w:t xml:space="preserve"> forced him to retire or FD would be dropped from the retirement fund.  He sued and jury awarded him $36,663.  </w:t>
      </w:r>
    </w:p>
    <w:p w14:paraId="1127234E" w14:textId="77777777" w:rsidR="0066298F" w:rsidRPr="00665BD0" w:rsidRDefault="0066298F" w:rsidP="0066298F">
      <w:pPr>
        <w:pStyle w:val="NoSpacing"/>
        <w:rPr>
          <w:rFonts w:ascii="Times New Roman" w:hAnsi="Times New Roman"/>
          <w:b/>
          <w:bCs/>
          <w:sz w:val="24"/>
          <w:szCs w:val="24"/>
        </w:rPr>
      </w:pPr>
    </w:p>
    <w:p w14:paraId="25821844" w14:textId="77777777" w:rsidR="0066298F" w:rsidRPr="00665BD0" w:rsidRDefault="0066298F" w:rsidP="0066298F">
      <w:pPr>
        <w:pStyle w:val="NoSpacing"/>
        <w:ind w:left="720"/>
        <w:rPr>
          <w:rFonts w:ascii="Times New Roman" w:hAnsi="Times New Roman"/>
          <w:b/>
          <w:bCs/>
          <w:sz w:val="24"/>
          <w:szCs w:val="24"/>
        </w:rPr>
      </w:pPr>
      <w:r w:rsidRPr="00665BD0">
        <w:rPr>
          <w:rFonts w:ascii="Times New Roman" w:hAnsi="Times New Roman"/>
          <w:bCs/>
          <w:sz w:val="24"/>
          <w:szCs w:val="24"/>
        </w:rPr>
        <w:t xml:space="preserve">“Here, the trial evidence established that the County met its burden. The County showed that it had a legitimate reason to comply with the SBA’s order when it required McLean to retire after he failed to reimburse his FRS account </w:t>
      </w:r>
      <w:proofErr w:type="gramStart"/>
      <w:r w:rsidRPr="00665BD0">
        <w:rPr>
          <w:rFonts w:ascii="Times New Roman" w:hAnsi="Times New Roman"/>
          <w:bCs/>
          <w:sz w:val="24"/>
          <w:szCs w:val="24"/>
        </w:rPr>
        <w:t>so as to</w:t>
      </w:r>
      <w:proofErr w:type="gramEnd"/>
      <w:r w:rsidRPr="00665BD0">
        <w:rPr>
          <w:rFonts w:ascii="Times New Roman" w:hAnsi="Times New Roman"/>
          <w:bCs/>
          <w:sz w:val="24"/>
          <w:szCs w:val="24"/>
        </w:rPr>
        <w:t xml:space="preserve"> not jeopardize its own continued participation in the FRS. Second, the County demonstrated that there were no vacancies or openings in the Training Division at the time McLean was reinstated.</w:t>
      </w:r>
    </w:p>
    <w:p w14:paraId="0AE9B3A3" w14:textId="77777777" w:rsidR="0066298F" w:rsidRPr="00665BD0" w:rsidRDefault="0066298F" w:rsidP="0066298F">
      <w:pPr>
        <w:pStyle w:val="NoSpacing"/>
        <w:ind w:left="720"/>
        <w:rPr>
          <w:rFonts w:ascii="Times New Roman" w:hAnsi="Times New Roman"/>
          <w:b/>
          <w:bCs/>
          <w:sz w:val="24"/>
          <w:szCs w:val="24"/>
        </w:rPr>
      </w:pPr>
    </w:p>
    <w:p w14:paraId="429D19E7" w14:textId="77777777" w:rsidR="0066298F" w:rsidRPr="00665BD0" w:rsidRDefault="0066298F" w:rsidP="0066298F">
      <w:pPr>
        <w:pStyle w:val="NoSpacing"/>
        <w:ind w:left="720"/>
        <w:rPr>
          <w:rFonts w:ascii="Times New Roman" w:hAnsi="Times New Roman"/>
          <w:b/>
          <w:bCs/>
          <w:sz w:val="24"/>
          <w:szCs w:val="24"/>
        </w:rPr>
      </w:pPr>
      <w:r w:rsidRPr="00665BD0">
        <w:rPr>
          <w:rFonts w:ascii="Times New Roman" w:hAnsi="Times New Roman"/>
          <w:bCs/>
          <w:sz w:val="24"/>
          <w:szCs w:val="24"/>
        </w:rPr>
        <w:t>***</w:t>
      </w:r>
    </w:p>
    <w:p w14:paraId="1FF79AC5" w14:textId="77777777" w:rsidR="0066298F" w:rsidRPr="00665BD0" w:rsidRDefault="0066298F" w:rsidP="0066298F">
      <w:pPr>
        <w:pStyle w:val="NoSpacing"/>
        <w:ind w:left="720"/>
        <w:rPr>
          <w:rFonts w:ascii="Times New Roman" w:hAnsi="Times New Roman"/>
          <w:b/>
          <w:bCs/>
          <w:sz w:val="24"/>
          <w:szCs w:val="24"/>
        </w:rPr>
      </w:pPr>
      <w:r w:rsidRPr="00665BD0">
        <w:rPr>
          <w:rFonts w:ascii="Times New Roman" w:hAnsi="Times New Roman"/>
          <w:bCs/>
          <w:sz w:val="24"/>
          <w:szCs w:val="24"/>
        </w:rPr>
        <w:t>McLean’s explanation that he expected to return to the Training Division, despite the County having no obligation under the settlement agreement to do so, without more, did not rise to an evidentiary level to allow the jury to decide whether the County’s reason here was pretextual.”</w:t>
      </w:r>
    </w:p>
    <w:p w14:paraId="527080A2" w14:textId="53CD9915" w:rsidR="0066298F" w:rsidRDefault="0066298F" w:rsidP="0066298F">
      <w:pPr>
        <w:rPr>
          <w:rStyle w:val="Hyperlink"/>
          <w:rFonts w:ascii="Times New Roman" w:hAnsi="Times New Roman"/>
          <w:b/>
          <w:sz w:val="24"/>
          <w:szCs w:val="24"/>
        </w:rPr>
      </w:pPr>
      <w:hyperlink r:id="rId1615" w:history="1">
        <w:r w:rsidRPr="00665BD0">
          <w:rPr>
            <w:rStyle w:val="Hyperlink"/>
            <w:rFonts w:ascii="Times New Roman" w:hAnsi="Times New Roman"/>
            <w:b/>
            <w:sz w:val="24"/>
            <w:szCs w:val="24"/>
          </w:rPr>
          <w:t>https://www.5dca.org/content/download/632688/7189187/file/183494_DC13_03272020_081652_i.pdf</w:t>
        </w:r>
      </w:hyperlink>
    </w:p>
    <w:p w14:paraId="577A308E" w14:textId="77777777" w:rsidR="0066298F" w:rsidRPr="00665BD0" w:rsidRDefault="0066298F" w:rsidP="0066298F">
      <w:pPr>
        <w:pStyle w:val="NoSpacing"/>
        <w:rPr>
          <w:rFonts w:ascii="Times New Roman" w:hAnsi="Times New Roman"/>
          <w:b/>
          <w:bCs/>
          <w:sz w:val="24"/>
          <w:szCs w:val="24"/>
        </w:rPr>
      </w:pPr>
      <w:bookmarkStart w:id="324" w:name="_Hlk40511406"/>
      <w:bookmarkEnd w:id="323"/>
      <w:r w:rsidRPr="00665BD0">
        <w:rPr>
          <w:rFonts w:ascii="Times New Roman" w:hAnsi="Times New Roman"/>
          <w:b/>
          <w:bCs/>
          <w:sz w:val="24"/>
          <w:szCs w:val="24"/>
        </w:rPr>
        <w:t xml:space="preserve">Legal Lesson Learned: When negotiating a return-to-work agreement, </w:t>
      </w:r>
      <w:r>
        <w:rPr>
          <w:rFonts w:ascii="Times New Roman" w:hAnsi="Times New Roman"/>
          <w:b/>
          <w:bCs/>
          <w:sz w:val="24"/>
          <w:szCs w:val="24"/>
        </w:rPr>
        <w:t xml:space="preserve">consider </w:t>
      </w:r>
      <w:r w:rsidRPr="00665BD0">
        <w:rPr>
          <w:rFonts w:ascii="Times New Roman" w:hAnsi="Times New Roman"/>
          <w:b/>
          <w:bCs/>
          <w:sz w:val="24"/>
          <w:szCs w:val="24"/>
        </w:rPr>
        <w:t>includ</w:t>
      </w:r>
      <w:r>
        <w:rPr>
          <w:rFonts w:ascii="Times New Roman" w:hAnsi="Times New Roman"/>
          <w:b/>
          <w:bCs/>
          <w:sz w:val="24"/>
          <w:szCs w:val="24"/>
        </w:rPr>
        <w:t>ing</w:t>
      </w:r>
      <w:r w:rsidRPr="00665BD0">
        <w:rPr>
          <w:rFonts w:ascii="Times New Roman" w:hAnsi="Times New Roman"/>
          <w:b/>
          <w:bCs/>
          <w:sz w:val="24"/>
          <w:szCs w:val="24"/>
        </w:rPr>
        <w:t xml:space="preserve"> a provision regarding the position to which the employee will be returning. </w:t>
      </w:r>
    </w:p>
    <w:bookmarkEnd w:id="324"/>
    <w:p w14:paraId="11769C1D" w14:textId="05A597B9" w:rsidR="0066298F" w:rsidRDefault="0066298F" w:rsidP="0066298F">
      <w:pPr>
        <w:rPr>
          <w:rStyle w:val="Hyperlink"/>
          <w:rFonts w:ascii="Times New Roman" w:hAnsi="Times New Roman"/>
          <w:b/>
          <w:sz w:val="24"/>
          <w:szCs w:val="24"/>
        </w:rPr>
      </w:pPr>
      <w:r>
        <w:rPr>
          <w:rStyle w:val="Hyperlink"/>
          <w:rFonts w:ascii="Times New Roman" w:hAnsi="Times New Roman"/>
          <w:b/>
          <w:sz w:val="24"/>
          <w:szCs w:val="24"/>
        </w:rPr>
        <w:t xml:space="preserve"> </w:t>
      </w:r>
    </w:p>
    <w:p w14:paraId="2521E7F1" w14:textId="20CBD6A1" w:rsidR="0066298F" w:rsidRDefault="0066298F" w:rsidP="0066298F">
      <w:pPr>
        <w:rPr>
          <w:rStyle w:val="Hyperlink"/>
          <w:rFonts w:ascii="Times New Roman" w:hAnsi="Times New Roman"/>
          <w:b/>
          <w:sz w:val="24"/>
          <w:szCs w:val="24"/>
        </w:rPr>
      </w:pPr>
    </w:p>
    <w:p w14:paraId="46F59C4E" w14:textId="77777777" w:rsidR="0066298F" w:rsidRDefault="0066298F" w:rsidP="0066298F">
      <w:pPr>
        <w:rPr>
          <w:rFonts w:ascii="Arial Black" w:hAnsi="Arial Black"/>
          <w:b/>
          <w:sz w:val="24"/>
          <w:szCs w:val="24"/>
        </w:rPr>
      </w:pPr>
    </w:p>
    <w:p w14:paraId="73A3A442" w14:textId="3373BAD7" w:rsidR="007540BD" w:rsidRDefault="007540BD" w:rsidP="00DE0F03">
      <w:pPr>
        <w:rPr>
          <w:rFonts w:ascii="Arial Black" w:hAnsi="Arial Black"/>
          <w:b/>
          <w:sz w:val="24"/>
          <w:szCs w:val="24"/>
        </w:rPr>
      </w:pPr>
      <w:r>
        <w:rPr>
          <w:rFonts w:ascii="Arial Black" w:hAnsi="Arial Black"/>
          <w:b/>
          <w:sz w:val="24"/>
          <w:szCs w:val="24"/>
        </w:rPr>
        <w:t>8-1</w:t>
      </w:r>
      <w:r w:rsidR="005A395B">
        <w:rPr>
          <w:rFonts w:ascii="Arial Black" w:hAnsi="Arial Black"/>
          <w:b/>
          <w:sz w:val="24"/>
          <w:szCs w:val="24"/>
        </w:rPr>
        <w:t>2</w:t>
      </w:r>
    </w:p>
    <w:p w14:paraId="63EF009E" w14:textId="77777777" w:rsidR="007540BD" w:rsidRDefault="007540BD" w:rsidP="007540BD">
      <w:pPr>
        <w:pStyle w:val="NoSpacing"/>
        <w:rPr>
          <w:rFonts w:eastAsia="Times New Roman"/>
          <w:bCs/>
          <w:sz w:val="24"/>
          <w:szCs w:val="24"/>
        </w:rPr>
      </w:pPr>
      <w:bookmarkStart w:id="325" w:name="_Hlk39818670"/>
      <w:r w:rsidRPr="000F0816">
        <w:rPr>
          <w:rFonts w:ascii="Arial Black" w:hAnsi="Arial Black"/>
          <w:sz w:val="28"/>
          <w:szCs w:val="28"/>
        </w:rPr>
        <w:t>U.S. SUP</w:t>
      </w:r>
      <w:r>
        <w:rPr>
          <w:rFonts w:ascii="Arial Black" w:hAnsi="Arial Black"/>
          <w:sz w:val="28"/>
          <w:szCs w:val="28"/>
        </w:rPr>
        <w:t xml:space="preserve">REME COURT: BLACK-OWNED MEDIA COMPANY DENIED CONTRACT - </w:t>
      </w:r>
      <w:r w:rsidRPr="000F0816">
        <w:rPr>
          <w:rFonts w:ascii="Arial Black" w:hAnsi="Arial Black"/>
          <w:sz w:val="28"/>
          <w:szCs w:val="28"/>
        </w:rPr>
        <w:t xml:space="preserve">MUST </w:t>
      </w:r>
      <w:r>
        <w:rPr>
          <w:rFonts w:ascii="Arial Black" w:hAnsi="Arial Black"/>
          <w:sz w:val="28"/>
          <w:szCs w:val="28"/>
        </w:rPr>
        <w:t xml:space="preserve">PROVE </w:t>
      </w:r>
      <w:r w:rsidRPr="000F0816">
        <w:rPr>
          <w:rFonts w:ascii="Arial Black" w:hAnsi="Arial Black"/>
          <w:sz w:val="28"/>
          <w:szCs w:val="28"/>
        </w:rPr>
        <w:t>“BUT FOR</w:t>
      </w:r>
      <w:r>
        <w:rPr>
          <w:rFonts w:ascii="Arial Black" w:hAnsi="Arial Black"/>
          <w:sz w:val="28"/>
          <w:szCs w:val="28"/>
        </w:rPr>
        <w:t xml:space="preserve">” RACE WOULD HAVE RECEIVED </w:t>
      </w:r>
    </w:p>
    <w:p w14:paraId="62F790FA" w14:textId="77777777" w:rsidR="007540BD" w:rsidRDefault="007540BD" w:rsidP="007540BD">
      <w:pPr>
        <w:pStyle w:val="NoSpacing"/>
        <w:rPr>
          <w:rFonts w:eastAsia="Times New Roman"/>
          <w:bCs/>
          <w:sz w:val="24"/>
          <w:szCs w:val="24"/>
        </w:rPr>
      </w:pPr>
    </w:p>
    <w:p w14:paraId="4E81B005" w14:textId="77777777" w:rsidR="007540BD" w:rsidRDefault="007540BD" w:rsidP="007540BD">
      <w:pPr>
        <w:pStyle w:val="NoSpacing"/>
        <w:rPr>
          <w:rFonts w:ascii="Times New Roman" w:hAnsi="Times New Roman"/>
          <w:bCs/>
          <w:sz w:val="24"/>
          <w:szCs w:val="24"/>
        </w:rPr>
      </w:pPr>
      <w:r w:rsidRPr="00665BD0">
        <w:rPr>
          <w:rFonts w:ascii="Times New Roman" w:eastAsia="Times New Roman" w:hAnsi="Times New Roman"/>
          <w:sz w:val="24"/>
          <w:szCs w:val="24"/>
        </w:rPr>
        <w:lastRenderedPageBreak/>
        <w:t xml:space="preserve">On </w:t>
      </w:r>
      <w:bookmarkStart w:id="326" w:name="_Hlk39837192"/>
      <w:r w:rsidRPr="00665BD0">
        <w:rPr>
          <w:rFonts w:ascii="Times New Roman" w:eastAsia="Times New Roman" w:hAnsi="Times New Roman"/>
          <w:sz w:val="24"/>
          <w:szCs w:val="24"/>
        </w:rPr>
        <w:t xml:space="preserve">March 23, 2020, in </w:t>
      </w:r>
      <w:r w:rsidRPr="00665BD0">
        <w:rPr>
          <w:rFonts w:ascii="Times New Roman" w:eastAsia="Times New Roman" w:hAnsi="Times New Roman"/>
          <w:sz w:val="24"/>
          <w:szCs w:val="24"/>
          <w:u w:val="single"/>
        </w:rPr>
        <w:t xml:space="preserve">Comcast Corp. v. National Association </w:t>
      </w:r>
      <w:proofErr w:type="gramStart"/>
      <w:r w:rsidRPr="00665BD0">
        <w:rPr>
          <w:rFonts w:ascii="Times New Roman" w:eastAsia="Times New Roman" w:hAnsi="Times New Roman"/>
          <w:sz w:val="24"/>
          <w:szCs w:val="24"/>
          <w:u w:val="single"/>
        </w:rPr>
        <w:t>Of</w:t>
      </w:r>
      <w:proofErr w:type="gramEnd"/>
      <w:r w:rsidRPr="00665BD0">
        <w:rPr>
          <w:rFonts w:ascii="Times New Roman" w:eastAsia="Times New Roman" w:hAnsi="Times New Roman"/>
          <w:sz w:val="24"/>
          <w:szCs w:val="24"/>
          <w:u w:val="single"/>
        </w:rPr>
        <w:t xml:space="preserve"> African American-Owned Media, et al</w:t>
      </w:r>
      <w:bookmarkEnd w:id="326"/>
      <w:r w:rsidRPr="00665BD0">
        <w:rPr>
          <w:rFonts w:ascii="Times New Roman" w:eastAsia="Times New Roman" w:hAnsi="Times New Roman"/>
          <w:sz w:val="24"/>
          <w:szCs w:val="24"/>
          <w:u w:val="single"/>
        </w:rPr>
        <w:t>.,</w:t>
      </w:r>
      <w:r w:rsidRPr="00665BD0">
        <w:rPr>
          <w:rFonts w:ascii="Times New Roman" w:eastAsia="Times New Roman" w:hAnsi="Times New Roman"/>
          <w:sz w:val="24"/>
          <w:szCs w:val="24"/>
        </w:rPr>
        <w:t xml:space="preserve">  the U.S. Supreme Court unanimously held (9 to 0) that the plaintiff, </w:t>
      </w:r>
      <w:r w:rsidRPr="00665BD0">
        <w:rPr>
          <w:rFonts w:ascii="Times New Roman" w:hAnsi="Times New Roman"/>
          <w:bCs/>
          <w:sz w:val="24"/>
          <w:szCs w:val="24"/>
        </w:rPr>
        <w:t>Entertainment Studios, must prove that race was the but-</w:t>
      </w:r>
    </w:p>
    <w:p w14:paraId="604A8A8E" w14:textId="77777777" w:rsidR="007540BD" w:rsidRPr="00665BD0" w:rsidRDefault="007540BD" w:rsidP="007540BD">
      <w:pPr>
        <w:pStyle w:val="NoSpacing"/>
        <w:rPr>
          <w:rFonts w:ascii="Times New Roman" w:hAnsi="Times New Roman"/>
          <w:b/>
          <w:bCs/>
          <w:sz w:val="24"/>
          <w:szCs w:val="24"/>
        </w:rPr>
      </w:pPr>
      <w:r w:rsidRPr="00665BD0">
        <w:rPr>
          <w:rFonts w:ascii="Times New Roman" w:hAnsi="Times New Roman"/>
          <w:bCs/>
          <w:sz w:val="24"/>
          <w:szCs w:val="24"/>
        </w:rPr>
        <w:t xml:space="preserve">for </w:t>
      </w:r>
      <w:proofErr w:type="gramStart"/>
      <w:r w:rsidRPr="00665BD0">
        <w:rPr>
          <w:rFonts w:ascii="Times New Roman" w:hAnsi="Times New Roman"/>
          <w:bCs/>
          <w:sz w:val="24"/>
          <w:szCs w:val="24"/>
        </w:rPr>
        <w:t>cause</w:t>
      </w:r>
      <w:proofErr w:type="gramEnd"/>
      <w:r w:rsidRPr="00665BD0">
        <w:rPr>
          <w:rFonts w:ascii="Times New Roman" w:hAnsi="Times New Roman"/>
          <w:bCs/>
          <w:sz w:val="24"/>
          <w:szCs w:val="24"/>
        </w:rPr>
        <w:t xml:space="preserve"> of its injury—in other words, that Comcast would have acted differently if Entertainment Studios were not </w:t>
      </w:r>
      <w:proofErr w:type="gramStart"/>
      <w:r w:rsidRPr="00665BD0">
        <w:rPr>
          <w:rFonts w:ascii="Times New Roman" w:hAnsi="Times New Roman"/>
          <w:bCs/>
          <w:sz w:val="24"/>
          <w:szCs w:val="24"/>
        </w:rPr>
        <w:t>African-American</w:t>
      </w:r>
      <w:proofErr w:type="gramEnd"/>
      <w:r w:rsidRPr="00665BD0">
        <w:rPr>
          <w:rFonts w:ascii="Times New Roman" w:hAnsi="Times New Roman"/>
          <w:bCs/>
          <w:sz w:val="24"/>
          <w:szCs w:val="24"/>
        </w:rPr>
        <w:t xml:space="preserve"> owned. </w:t>
      </w:r>
    </w:p>
    <w:p w14:paraId="26B24227" w14:textId="77777777" w:rsidR="007540BD" w:rsidRPr="00665BD0" w:rsidRDefault="007540BD" w:rsidP="007540BD">
      <w:pPr>
        <w:pStyle w:val="NoSpacing"/>
        <w:rPr>
          <w:rFonts w:ascii="Times New Roman" w:hAnsi="Times New Roman"/>
          <w:b/>
          <w:bCs/>
          <w:sz w:val="24"/>
          <w:szCs w:val="24"/>
        </w:rPr>
      </w:pPr>
    </w:p>
    <w:p w14:paraId="1FA0A078" w14:textId="77777777" w:rsidR="007540BD" w:rsidRPr="00665BD0" w:rsidRDefault="007540BD" w:rsidP="007540BD">
      <w:pPr>
        <w:pStyle w:val="NoSpacing"/>
        <w:rPr>
          <w:rFonts w:ascii="Times New Roman" w:hAnsi="Times New Roman"/>
          <w:b/>
          <w:bCs/>
          <w:sz w:val="24"/>
          <w:szCs w:val="24"/>
        </w:rPr>
      </w:pPr>
      <w:r w:rsidRPr="00665BD0">
        <w:rPr>
          <w:rFonts w:ascii="Times New Roman" w:hAnsi="Times New Roman"/>
          <w:bCs/>
          <w:sz w:val="24"/>
          <w:szCs w:val="24"/>
        </w:rPr>
        <w:t>In opinion by Justice Neil Gorsuch, the Court held:</w:t>
      </w:r>
    </w:p>
    <w:p w14:paraId="7038EE50" w14:textId="77777777" w:rsidR="007540BD" w:rsidRPr="00665BD0" w:rsidRDefault="007540BD" w:rsidP="007540BD">
      <w:pPr>
        <w:pStyle w:val="NoSpacing"/>
        <w:rPr>
          <w:rFonts w:ascii="Times New Roman" w:hAnsi="Times New Roman"/>
          <w:b/>
          <w:bCs/>
          <w:sz w:val="24"/>
          <w:szCs w:val="24"/>
        </w:rPr>
      </w:pPr>
    </w:p>
    <w:p w14:paraId="531B6148" w14:textId="77777777" w:rsidR="007540BD" w:rsidRPr="00665BD0" w:rsidRDefault="007540BD" w:rsidP="007540BD">
      <w:pPr>
        <w:pStyle w:val="NoSpacing"/>
        <w:ind w:left="720"/>
        <w:rPr>
          <w:rFonts w:ascii="Times New Roman" w:hAnsi="Times New Roman"/>
          <w:b/>
          <w:bCs/>
          <w:sz w:val="24"/>
          <w:szCs w:val="24"/>
        </w:rPr>
      </w:pPr>
      <w:r w:rsidRPr="00665BD0">
        <w:rPr>
          <w:rFonts w:ascii="Times New Roman" w:eastAsia="Times New Roman" w:hAnsi="Times New Roman"/>
          <w:bCs/>
          <w:sz w:val="24"/>
          <w:szCs w:val="24"/>
        </w:rPr>
        <w:t>“</w:t>
      </w:r>
      <w:r w:rsidRPr="00665BD0">
        <w:rPr>
          <w:rFonts w:ascii="Times New Roman" w:hAnsi="Times New Roman"/>
          <w:bCs/>
          <w:sz w:val="24"/>
          <w:szCs w:val="24"/>
        </w:rPr>
        <w:t xml:space="preserve">All the traditional tools of statutory interpretation persuade us that §1981 follows the usual rules, not any exception. To prevail, a plaintiff must initially plead and ultimately prove that, but for race, it would not have suffered the loss of a legally protected right…. The Ninth Circuit has yet to consider that question because it assessed ESN’s pleadings under a different and mistaken test. To allow that court the chance to determine the sufficiency of ESN’s pleadings under the correct legal rule in the first instance, we vacate the judgment of the court of </w:t>
      </w:r>
      <w:proofErr w:type="gramStart"/>
      <w:r w:rsidRPr="00665BD0">
        <w:rPr>
          <w:rFonts w:ascii="Times New Roman" w:hAnsi="Times New Roman"/>
          <w:bCs/>
          <w:sz w:val="24"/>
          <w:szCs w:val="24"/>
        </w:rPr>
        <w:t>ap-peals</w:t>
      </w:r>
      <w:proofErr w:type="gramEnd"/>
      <w:r w:rsidRPr="00665BD0">
        <w:rPr>
          <w:rFonts w:ascii="Times New Roman" w:hAnsi="Times New Roman"/>
          <w:bCs/>
          <w:sz w:val="24"/>
          <w:szCs w:val="24"/>
        </w:rPr>
        <w:t xml:space="preserve"> and remand the case for further proceedings </w:t>
      </w:r>
    </w:p>
    <w:p w14:paraId="5C6FE87D" w14:textId="77777777" w:rsidR="007540BD" w:rsidRPr="00665BD0" w:rsidRDefault="007540BD" w:rsidP="007540BD">
      <w:pPr>
        <w:pStyle w:val="NoSpacing"/>
        <w:ind w:left="720"/>
        <w:rPr>
          <w:rFonts w:ascii="Times New Roman" w:eastAsia="Times New Roman" w:hAnsi="Times New Roman"/>
          <w:b/>
          <w:bCs/>
          <w:sz w:val="24"/>
          <w:szCs w:val="24"/>
        </w:rPr>
      </w:pPr>
      <w:r w:rsidRPr="00665BD0">
        <w:rPr>
          <w:rFonts w:ascii="Times New Roman" w:hAnsi="Times New Roman"/>
          <w:bCs/>
          <w:sz w:val="24"/>
          <w:szCs w:val="24"/>
        </w:rPr>
        <w:t xml:space="preserve">consistent with this opinion.” </w:t>
      </w:r>
      <w:bookmarkStart w:id="327" w:name="_Hlk39837214"/>
      <w:r w:rsidR="00DC51D4">
        <w:fldChar w:fldCharType="begin"/>
      </w:r>
      <w:r w:rsidR="00DC51D4">
        <w:instrText xml:space="preserve"> HYPERLINK "https://www.supremecourt.gov/opinions/19pdf/18-1171_4425.pdf" </w:instrText>
      </w:r>
      <w:r w:rsidR="00DC51D4">
        <w:fldChar w:fldCharType="separate"/>
      </w:r>
      <w:r w:rsidRPr="00665BD0">
        <w:rPr>
          <w:rStyle w:val="Hyperlink"/>
          <w:rFonts w:ascii="Times New Roman" w:hAnsi="Times New Roman"/>
          <w:b/>
          <w:sz w:val="24"/>
          <w:szCs w:val="24"/>
        </w:rPr>
        <w:t>https://www.supremecourt.gov/opinions/19pdf/18-1171_4425.pdf</w:t>
      </w:r>
      <w:r w:rsidR="00DC51D4">
        <w:rPr>
          <w:rStyle w:val="Hyperlink"/>
          <w:rFonts w:ascii="Times New Roman" w:hAnsi="Times New Roman"/>
          <w:b/>
          <w:sz w:val="24"/>
          <w:szCs w:val="24"/>
        </w:rPr>
        <w:fldChar w:fldCharType="end"/>
      </w:r>
      <w:r w:rsidRPr="00665BD0">
        <w:rPr>
          <w:rFonts w:ascii="Times New Roman" w:hAnsi="Times New Roman"/>
          <w:bCs/>
          <w:sz w:val="24"/>
          <w:szCs w:val="24"/>
        </w:rPr>
        <w:t xml:space="preserve"> </w:t>
      </w:r>
    </w:p>
    <w:bookmarkEnd w:id="327"/>
    <w:p w14:paraId="46254098" w14:textId="77777777" w:rsidR="007540BD" w:rsidRDefault="007540BD" w:rsidP="007540BD">
      <w:pPr>
        <w:pStyle w:val="NoSpacing"/>
        <w:rPr>
          <w:rFonts w:ascii="Times New Roman" w:hAnsi="Times New Roman"/>
          <w:b/>
          <w:bCs/>
          <w:sz w:val="24"/>
          <w:szCs w:val="24"/>
        </w:rPr>
      </w:pPr>
    </w:p>
    <w:bookmarkEnd w:id="325"/>
    <w:p w14:paraId="3C202CDC" w14:textId="0E6EA7BA" w:rsidR="007540BD" w:rsidRPr="00665BD0" w:rsidRDefault="007540BD" w:rsidP="007540BD">
      <w:pPr>
        <w:pStyle w:val="NoSpacing"/>
        <w:rPr>
          <w:rFonts w:ascii="Times New Roman" w:hAnsi="Times New Roman"/>
          <w:b/>
          <w:bCs/>
          <w:sz w:val="24"/>
          <w:szCs w:val="24"/>
        </w:rPr>
      </w:pPr>
      <w:r w:rsidRPr="00665BD0">
        <w:rPr>
          <w:rFonts w:ascii="Times New Roman" w:hAnsi="Times New Roman"/>
          <w:b/>
          <w:bCs/>
          <w:sz w:val="24"/>
          <w:szCs w:val="24"/>
        </w:rPr>
        <w:t xml:space="preserve">Legal Lessons Learned: </w:t>
      </w:r>
      <w:r>
        <w:rPr>
          <w:rFonts w:ascii="Times New Roman" w:hAnsi="Times New Roman"/>
          <w:b/>
          <w:bCs/>
          <w:sz w:val="24"/>
          <w:szCs w:val="24"/>
        </w:rPr>
        <w:t xml:space="preserve">Important decision on race discrimination. </w:t>
      </w:r>
    </w:p>
    <w:p w14:paraId="3965B8C8" w14:textId="77777777" w:rsidR="007540BD" w:rsidRPr="00665BD0" w:rsidRDefault="007540BD" w:rsidP="007540BD">
      <w:pPr>
        <w:pStyle w:val="NoSpacing"/>
        <w:ind w:left="720"/>
        <w:rPr>
          <w:rFonts w:ascii="Times New Roman" w:hAnsi="Times New Roman"/>
          <w:b/>
          <w:bCs/>
          <w:sz w:val="24"/>
          <w:szCs w:val="24"/>
        </w:rPr>
      </w:pPr>
      <w:r w:rsidRPr="00665BD0">
        <w:rPr>
          <w:rFonts w:ascii="Times New Roman" w:hAnsi="Times New Roman"/>
          <w:bCs/>
          <w:sz w:val="24"/>
          <w:szCs w:val="24"/>
        </w:rPr>
        <w:t xml:space="preserve">See </w:t>
      </w:r>
      <w:bookmarkStart w:id="328" w:name="_Hlk39837140"/>
      <w:r w:rsidRPr="00665BD0">
        <w:rPr>
          <w:rFonts w:ascii="Times New Roman" w:hAnsi="Times New Roman"/>
          <w:bCs/>
          <w:sz w:val="24"/>
          <w:szCs w:val="24"/>
        </w:rPr>
        <w:t xml:space="preserve">March 23, </w:t>
      </w:r>
      <w:proofErr w:type="gramStart"/>
      <w:r w:rsidRPr="00665BD0">
        <w:rPr>
          <w:rFonts w:ascii="Times New Roman" w:hAnsi="Times New Roman"/>
          <w:bCs/>
          <w:sz w:val="24"/>
          <w:szCs w:val="24"/>
        </w:rPr>
        <w:t>2020</w:t>
      </w:r>
      <w:proofErr w:type="gramEnd"/>
      <w:r w:rsidRPr="00665BD0">
        <w:rPr>
          <w:rFonts w:ascii="Times New Roman" w:hAnsi="Times New Roman"/>
          <w:bCs/>
          <w:sz w:val="24"/>
          <w:szCs w:val="24"/>
        </w:rPr>
        <w:t xml:space="preserve"> article: Why Ginsburg Joined Ruling Civil Rights Advocates Decry as 'Terrible'- </w:t>
      </w:r>
      <w:hyperlink r:id="rId1616" w:history="1">
        <w:r w:rsidRPr="00665BD0">
          <w:rPr>
            <w:rStyle w:val="Hyperlink"/>
            <w:rFonts w:ascii="Times New Roman" w:hAnsi="Times New Roman"/>
            <w:b/>
            <w:sz w:val="24"/>
            <w:szCs w:val="24"/>
          </w:rPr>
          <w:t>https://www.law.com/nationallawjournal/2020/03/23/why-ginsburg-joined-a-ruling-civil-rights-advocates-decry-as-terrible/</w:t>
        </w:r>
      </w:hyperlink>
      <w:bookmarkEnd w:id="328"/>
      <w:r w:rsidRPr="00665BD0">
        <w:rPr>
          <w:rFonts w:ascii="Times New Roman" w:hAnsi="Times New Roman"/>
          <w:bCs/>
          <w:sz w:val="24"/>
          <w:szCs w:val="24"/>
        </w:rPr>
        <w:t xml:space="preserve"> </w:t>
      </w:r>
    </w:p>
    <w:p w14:paraId="69F7D68E" w14:textId="77777777" w:rsidR="007540BD" w:rsidRDefault="007540BD" w:rsidP="00DE0F03">
      <w:pPr>
        <w:rPr>
          <w:rFonts w:ascii="Arial Black" w:hAnsi="Arial Black"/>
          <w:b/>
          <w:sz w:val="24"/>
          <w:szCs w:val="24"/>
        </w:rPr>
      </w:pPr>
    </w:p>
    <w:p w14:paraId="4EC3DA5B" w14:textId="77777777" w:rsidR="007540BD" w:rsidRDefault="007540BD" w:rsidP="00DE0F03">
      <w:pPr>
        <w:rPr>
          <w:rFonts w:ascii="Arial Black" w:hAnsi="Arial Black"/>
          <w:b/>
          <w:sz w:val="24"/>
          <w:szCs w:val="24"/>
        </w:rPr>
      </w:pPr>
    </w:p>
    <w:p w14:paraId="2677AFDE" w14:textId="24A4310E" w:rsidR="00997329" w:rsidRDefault="00997329" w:rsidP="00DE0F03">
      <w:pPr>
        <w:rPr>
          <w:rFonts w:ascii="Arial Black" w:hAnsi="Arial Black"/>
          <w:b/>
          <w:sz w:val="24"/>
          <w:szCs w:val="24"/>
        </w:rPr>
      </w:pPr>
      <w:r>
        <w:rPr>
          <w:rFonts w:ascii="Arial Black" w:hAnsi="Arial Black"/>
          <w:b/>
          <w:sz w:val="24"/>
          <w:szCs w:val="24"/>
        </w:rPr>
        <w:t>8-</w:t>
      </w:r>
      <w:r w:rsidR="005A395B">
        <w:rPr>
          <w:rFonts w:ascii="Arial Black" w:hAnsi="Arial Black"/>
          <w:b/>
          <w:sz w:val="24"/>
          <w:szCs w:val="24"/>
        </w:rPr>
        <w:t>11</w:t>
      </w:r>
    </w:p>
    <w:p w14:paraId="0EE4A794" w14:textId="77777777" w:rsidR="00997329" w:rsidRPr="002E0D51" w:rsidRDefault="00997329" w:rsidP="00997329">
      <w:pPr>
        <w:pStyle w:val="NoSpacing"/>
        <w:rPr>
          <w:rFonts w:ascii="Arial Black" w:hAnsi="Arial Black"/>
          <w:b/>
          <w:bCs/>
          <w:sz w:val="28"/>
          <w:szCs w:val="28"/>
        </w:rPr>
      </w:pPr>
      <w:bookmarkStart w:id="329" w:name="_Hlk41156029"/>
      <w:r w:rsidRPr="002E0D51">
        <w:rPr>
          <w:rFonts w:ascii="Arial Black" w:hAnsi="Arial Black"/>
          <w:bCs/>
          <w:sz w:val="28"/>
          <w:szCs w:val="28"/>
        </w:rPr>
        <w:t xml:space="preserve">MD: </w:t>
      </w:r>
      <w:r>
        <w:rPr>
          <w:rFonts w:ascii="Arial Black" w:hAnsi="Arial Black"/>
          <w:bCs/>
          <w:sz w:val="28"/>
          <w:szCs w:val="28"/>
        </w:rPr>
        <w:t>TWO AFRICAN AMERICANS PROMOTED B/C – BUT LIST HAD EXPIRED - WHITE CAPTAIN PASSED OVER – LAWSUIT PROCEED</w:t>
      </w:r>
    </w:p>
    <w:p w14:paraId="74FDA38B" w14:textId="77777777" w:rsidR="00997329" w:rsidRDefault="00997329" w:rsidP="00997329">
      <w:pPr>
        <w:pStyle w:val="NoSpacing"/>
        <w:rPr>
          <w:b/>
          <w:bCs/>
          <w:sz w:val="24"/>
          <w:szCs w:val="24"/>
        </w:rPr>
      </w:pPr>
    </w:p>
    <w:p w14:paraId="4177EFFA" w14:textId="77777777" w:rsidR="00997329" w:rsidRPr="00465FB3" w:rsidRDefault="00997329" w:rsidP="00997329">
      <w:pPr>
        <w:pStyle w:val="NoSpacing"/>
        <w:rPr>
          <w:rFonts w:ascii="Times New Roman" w:hAnsi="Times New Roman"/>
          <w:b/>
          <w:bCs/>
          <w:sz w:val="24"/>
          <w:szCs w:val="24"/>
        </w:rPr>
      </w:pPr>
      <w:r w:rsidRPr="00465FB3">
        <w:rPr>
          <w:rFonts w:ascii="Times New Roman" w:hAnsi="Times New Roman"/>
          <w:bCs/>
          <w:sz w:val="24"/>
          <w:szCs w:val="24"/>
        </w:rPr>
        <w:t xml:space="preserve">On March 3, 2020, in </w:t>
      </w:r>
      <w:r w:rsidRPr="00465FB3">
        <w:rPr>
          <w:rFonts w:ascii="Times New Roman" w:hAnsi="Times New Roman"/>
          <w:bCs/>
          <w:sz w:val="24"/>
          <w:szCs w:val="24"/>
          <w:u w:val="single"/>
        </w:rPr>
        <w:t>Donald Dziwulski v. Mayor &amp; City Council of Baltimore</w:t>
      </w:r>
      <w:r w:rsidRPr="00465FB3">
        <w:rPr>
          <w:rFonts w:ascii="Times New Roman" w:hAnsi="Times New Roman"/>
          <w:bCs/>
          <w:sz w:val="24"/>
          <w:szCs w:val="24"/>
        </w:rPr>
        <w:t xml:space="preserve">, U.S. Magistrate Judge Deborah L. Boardman, District of Maryland (Northern Division) denied the City’s motion for summary judgment concerning Dziwulski's claim for race discrimination based on failure to promote and his retaliation claim based on the reclassification of Carter's position.   </w:t>
      </w:r>
    </w:p>
    <w:p w14:paraId="313E13A0" w14:textId="77777777" w:rsidR="00997329" w:rsidRPr="00465FB3" w:rsidRDefault="00997329" w:rsidP="00997329">
      <w:pPr>
        <w:pStyle w:val="NoSpacing"/>
        <w:rPr>
          <w:rFonts w:ascii="Times New Roman" w:hAnsi="Times New Roman"/>
          <w:b/>
          <w:bCs/>
          <w:sz w:val="24"/>
          <w:szCs w:val="24"/>
        </w:rPr>
      </w:pPr>
    </w:p>
    <w:p w14:paraId="3583B7BE" w14:textId="77777777" w:rsidR="00997329" w:rsidRPr="00465FB3" w:rsidRDefault="00997329" w:rsidP="00997329">
      <w:pPr>
        <w:pStyle w:val="NoSpacing"/>
        <w:ind w:left="720"/>
        <w:rPr>
          <w:rFonts w:ascii="Times New Roman" w:hAnsi="Times New Roman"/>
          <w:b/>
          <w:bCs/>
          <w:sz w:val="24"/>
          <w:szCs w:val="24"/>
        </w:rPr>
      </w:pPr>
      <w:r w:rsidRPr="00465FB3">
        <w:rPr>
          <w:rFonts w:ascii="Times New Roman" w:hAnsi="Times New Roman"/>
          <w:bCs/>
          <w:sz w:val="24"/>
          <w:szCs w:val="24"/>
        </w:rPr>
        <w:t xml:space="preserve">“Defendant argues that, throughout the entire process, [then Fire Chief James] Clack was planning to promote Claggett and Stokes into the two new positions. They were ranked first and second on the Eligibles List in effect at the time. To make their promotions possible despite the Board's failure to act on May 8, 2013, Clack promoted them on May 13, 2013, before the Board approved the position…. [But] by the time Clack acted on May 13, 2013, the Eligibles List that included Claggett and Stokes had expired. *** </w:t>
      </w:r>
      <w:r w:rsidRPr="00465FB3">
        <w:rPr>
          <w:rFonts w:ascii="Times New Roman" w:eastAsia="Times New Roman" w:hAnsi="Times New Roman"/>
          <w:bCs/>
          <w:sz w:val="24"/>
          <w:szCs w:val="24"/>
        </w:rPr>
        <w:t xml:space="preserve">On the record before me, Defendant has offered a legitimate, non-discriminatory reason for each of its employment decisions when considered individually. Thus, a reasonable jury, weighing the facts on the record before me as to each employment decision one at a time, could find that no race-based discrimination occurred. Nonetheless, considering the combined effect of these decisions, which collectively ‘undermine the credibility of the employer's stated reasons,’ Captain Dziwulski has identified sufficient evidence of pretext to survive Defendant's Motion for Summary Judgment. *** </w:t>
      </w:r>
      <w:r w:rsidRPr="00465FB3">
        <w:rPr>
          <w:rFonts w:ascii="Times New Roman" w:hAnsi="Times New Roman"/>
          <w:bCs/>
          <w:sz w:val="24"/>
          <w:szCs w:val="24"/>
        </w:rPr>
        <w:t xml:space="preserve">Most significantly, over the course of several months, Captain Dziwulski repeatedly was not selected for promotions for which he was eligible, even though he was ranked first on the Eligibles List in effect at the time. Each time, either African Americans were selected instead of </w:t>
      </w:r>
      <w:proofErr w:type="gramStart"/>
      <w:r w:rsidRPr="00465FB3">
        <w:rPr>
          <w:rFonts w:ascii="Times New Roman" w:hAnsi="Times New Roman"/>
          <w:bCs/>
          <w:sz w:val="24"/>
          <w:szCs w:val="24"/>
        </w:rPr>
        <w:t>him</w:t>
      </w:r>
      <w:proofErr w:type="gramEnd"/>
      <w:r w:rsidRPr="00465FB3">
        <w:rPr>
          <w:rFonts w:ascii="Times New Roman" w:hAnsi="Times New Roman"/>
          <w:bCs/>
          <w:sz w:val="24"/>
          <w:szCs w:val="24"/>
        </w:rPr>
        <w:t xml:space="preserve"> or the position was left open. Considering these events cumulatively, a genuine dispute exists regarding whether the Department's reasons each time were legitimate and non-discriminatory or pretext.”  </w:t>
      </w:r>
      <w:hyperlink r:id="rId1617" w:history="1">
        <w:r w:rsidRPr="00465FB3">
          <w:rPr>
            <w:rStyle w:val="Hyperlink"/>
            <w:rFonts w:ascii="Times New Roman" w:hAnsi="Times New Roman"/>
            <w:bCs/>
            <w:sz w:val="24"/>
            <w:szCs w:val="24"/>
          </w:rPr>
          <w:t>https://public.fastcase.com/Wl%2B2t%2BeVuI35%2FN70vAMFZtTeqjzzEnlP0E9gnOJzg5Beu%2B8e3Ta9mPaMkCNr0Gg4</w:t>
        </w:r>
      </w:hyperlink>
    </w:p>
    <w:p w14:paraId="192CCCF7" w14:textId="77777777" w:rsidR="00997329" w:rsidRPr="00465FB3" w:rsidRDefault="00997329" w:rsidP="00997329">
      <w:pPr>
        <w:pStyle w:val="NoSpacing"/>
        <w:rPr>
          <w:rFonts w:ascii="Times New Roman" w:hAnsi="Times New Roman"/>
          <w:b/>
          <w:bCs/>
          <w:sz w:val="24"/>
          <w:szCs w:val="24"/>
        </w:rPr>
      </w:pPr>
    </w:p>
    <w:p w14:paraId="3675267C" w14:textId="77777777" w:rsidR="00997329" w:rsidRPr="00465FB3" w:rsidRDefault="00997329" w:rsidP="00997329">
      <w:pPr>
        <w:pStyle w:val="NoSpacing"/>
        <w:tabs>
          <w:tab w:val="left" w:pos="2860"/>
        </w:tabs>
        <w:rPr>
          <w:rFonts w:ascii="Times New Roman" w:hAnsi="Times New Roman"/>
          <w:b/>
          <w:bCs/>
          <w:sz w:val="24"/>
          <w:szCs w:val="24"/>
        </w:rPr>
      </w:pPr>
      <w:r w:rsidRPr="00465FB3">
        <w:rPr>
          <w:rFonts w:ascii="Times New Roman" w:hAnsi="Times New Roman"/>
          <w:b/>
          <w:bCs/>
          <w:sz w:val="24"/>
          <w:szCs w:val="24"/>
        </w:rPr>
        <w:t xml:space="preserve">Legal Lessons Learned: Making promotions from expired lists can lead to litigation.  </w:t>
      </w:r>
    </w:p>
    <w:bookmarkEnd w:id="329"/>
    <w:p w14:paraId="7246B3B0" w14:textId="77777777" w:rsidR="00997329" w:rsidRDefault="00997329" w:rsidP="00DE0F03">
      <w:pPr>
        <w:rPr>
          <w:rFonts w:ascii="Arial Black" w:hAnsi="Arial Black"/>
          <w:b/>
          <w:sz w:val="24"/>
          <w:szCs w:val="24"/>
        </w:rPr>
      </w:pPr>
    </w:p>
    <w:p w14:paraId="3D7129FC" w14:textId="504F350F" w:rsidR="00177094" w:rsidRDefault="00177094" w:rsidP="00DE0F03">
      <w:pPr>
        <w:rPr>
          <w:rFonts w:ascii="Arial Black" w:hAnsi="Arial Black"/>
          <w:b/>
          <w:sz w:val="24"/>
          <w:szCs w:val="24"/>
        </w:rPr>
      </w:pPr>
      <w:r>
        <w:rPr>
          <w:rFonts w:ascii="Arial Black" w:hAnsi="Arial Black"/>
          <w:b/>
          <w:sz w:val="24"/>
          <w:szCs w:val="24"/>
        </w:rPr>
        <w:t>8-1</w:t>
      </w:r>
      <w:r w:rsidR="005A395B">
        <w:rPr>
          <w:rFonts w:ascii="Arial Black" w:hAnsi="Arial Black"/>
          <w:b/>
          <w:sz w:val="24"/>
          <w:szCs w:val="24"/>
        </w:rPr>
        <w:t>0</w:t>
      </w:r>
    </w:p>
    <w:p w14:paraId="71EC4F1F" w14:textId="77777777" w:rsidR="00177094" w:rsidRPr="00255FB0" w:rsidRDefault="00177094" w:rsidP="00177094">
      <w:pPr>
        <w:pStyle w:val="NoSpacing"/>
        <w:rPr>
          <w:rFonts w:ascii="Arial Black" w:hAnsi="Arial Black"/>
          <w:b/>
          <w:bCs/>
          <w:sz w:val="28"/>
          <w:szCs w:val="28"/>
        </w:rPr>
      </w:pPr>
      <w:r>
        <w:rPr>
          <w:rFonts w:ascii="Arial Black" w:hAnsi="Arial Black"/>
          <w:bCs/>
          <w:sz w:val="28"/>
          <w:szCs w:val="28"/>
        </w:rPr>
        <w:t>GA: KNEE SURGERY – FF NOT ALLOWED BACK TO WORK – LAWSUIT DISMISSED SINCE DIDN’T FILE IN 90 DAYS OF EEOC LETTER</w:t>
      </w:r>
    </w:p>
    <w:p w14:paraId="11A45DF0" w14:textId="77777777" w:rsidR="00177094" w:rsidRDefault="00177094" w:rsidP="00177094">
      <w:pPr>
        <w:pStyle w:val="NoSpacing"/>
        <w:rPr>
          <w:b/>
          <w:bCs/>
          <w:sz w:val="24"/>
          <w:szCs w:val="24"/>
        </w:rPr>
      </w:pPr>
    </w:p>
    <w:p w14:paraId="69B47576" w14:textId="77777777" w:rsidR="00177094" w:rsidRPr="004236BE" w:rsidRDefault="00177094" w:rsidP="00177094">
      <w:pPr>
        <w:pStyle w:val="NoSpacing"/>
        <w:rPr>
          <w:rFonts w:ascii="Times New Roman" w:hAnsi="Times New Roman"/>
          <w:b/>
          <w:bCs/>
          <w:sz w:val="24"/>
          <w:szCs w:val="24"/>
        </w:rPr>
      </w:pPr>
      <w:r w:rsidRPr="004236BE">
        <w:rPr>
          <w:rFonts w:ascii="Times New Roman" w:hAnsi="Times New Roman"/>
          <w:bCs/>
          <w:sz w:val="24"/>
          <w:szCs w:val="24"/>
        </w:rPr>
        <w:t xml:space="preserve">On Jan. 23, 2020, in </w:t>
      </w:r>
      <w:r w:rsidRPr="004236BE">
        <w:rPr>
          <w:rFonts w:ascii="Times New Roman" w:hAnsi="Times New Roman"/>
          <w:bCs/>
          <w:sz w:val="24"/>
          <w:szCs w:val="24"/>
          <w:u w:val="single"/>
        </w:rPr>
        <w:t>Derek Lee Colson v. City of Thomasville, et al.</w:t>
      </w:r>
      <w:r w:rsidRPr="004236BE">
        <w:rPr>
          <w:rFonts w:ascii="Times New Roman" w:hAnsi="Times New Roman"/>
          <w:bCs/>
          <w:sz w:val="24"/>
          <w:szCs w:val="24"/>
        </w:rPr>
        <w:t xml:space="preserve">, U.S. District Court Senior Judge Hugh Lawson, U.S. District Court for Middle District of Georgia, Valdosta Division, granted defendants motion for summary judgment and dismissed his lawsuit for failure to file within 90 days of the EEOC’s Right </w:t>
      </w:r>
      <w:proofErr w:type="gramStart"/>
      <w:r w:rsidRPr="004236BE">
        <w:rPr>
          <w:rFonts w:ascii="Times New Roman" w:hAnsi="Times New Roman"/>
          <w:bCs/>
          <w:sz w:val="24"/>
          <w:szCs w:val="24"/>
        </w:rPr>
        <w:t>To</w:t>
      </w:r>
      <w:proofErr w:type="gramEnd"/>
      <w:r w:rsidRPr="004236BE">
        <w:rPr>
          <w:rFonts w:ascii="Times New Roman" w:hAnsi="Times New Roman"/>
          <w:bCs/>
          <w:sz w:val="24"/>
          <w:szCs w:val="24"/>
        </w:rPr>
        <w:t xml:space="preserve"> Sue letter.</w:t>
      </w:r>
    </w:p>
    <w:p w14:paraId="4B0B0F53" w14:textId="77777777" w:rsidR="00177094" w:rsidRPr="004236BE" w:rsidRDefault="00177094" w:rsidP="00177094">
      <w:pPr>
        <w:pStyle w:val="NoSpacing"/>
        <w:rPr>
          <w:rFonts w:ascii="Times New Roman" w:hAnsi="Times New Roman"/>
          <w:b/>
          <w:bCs/>
          <w:sz w:val="24"/>
          <w:szCs w:val="24"/>
        </w:rPr>
      </w:pPr>
    </w:p>
    <w:p w14:paraId="0257CCBB" w14:textId="77777777" w:rsidR="00177094" w:rsidRPr="004236BE" w:rsidRDefault="00177094" w:rsidP="00177094">
      <w:pPr>
        <w:pStyle w:val="NoSpacing"/>
        <w:ind w:left="720"/>
        <w:rPr>
          <w:rFonts w:ascii="Times New Roman" w:hAnsi="Times New Roman"/>
          <w:b/>
          <w:bCs/>
          <w:sz w:val="24"/>
          <w:szCs w:val="24"/>
        </w:rPr>
      </w:pPr>
      <w:r w:rsidRPr="004236BE">
        <w:rPr>
          <w:rFonts w:ascii="Times New Roman" w:hAnsi="Times New Roman"/>
          <w:bCs/>
          <w:sz w:val="24"/>
          <w:szCs w:val="24"/>
        </w:rPr>
        <w:t xml:space="preserve">“The undisputed evidence is that the EEOC mailed a Dismissal and Notice of Rights to Plaintiff on October 26, 2017. (Doc. 23-3). There is no evidence in the record beyond Plaintiff’s unsupported statement that the original notice was not delivered. Accepting this statement alone without further explanation would permit Plaintiff to enjoy a ‘manipulable, open-ended time extension,’ which the Eleventh Circuit has opined would ‘render the statutory minimum meaningless.’ *** Plaintiff did not file his Complaint until August 21, 2018 – 296 later. Plaintiff’s Complaint is therefore time-barred.”  </w:t>
      </w:r>
      <w:hyperlink r:id="rId1618" w:history="1">
        <w:r w:rsidRPr="004236BE">
          <w:rPr>
            <w:rStyle w:val="Hyperlink"/>
            <w:rFonts w:ascii="Times New Roman" w:hAnsi="Times New Roman"/>
            <w:b/>
            <w:sz w:val="24"/>
            <w:szCs w:val="24"/>
          </w:rPr>
          <w:t>https://ecf.gamd.uscourts.gov/cgi-bin/show_public_doc?2018-00132-29-7-cv</w:t>
        </w:r>
      </w:hyperlink>
      <w:r w:rsidRPr="004236BE">
        <w:rPr>
          <w:rFonts w:ascii="Times New Roman" w:hAnsi="Times New Roman"/>
          <w:bCs/>
          <w:sz w:val="24"/>
          <w:szCs w:val="24"/>
        </w:rPr>
        <w:t xml:space="preserve">  </w:t>
      </w:r>
    </w:p>
    <w:p w14:paraId="5AC697F4" w14:textId="77777777" w:rsidR="00177094" w:rsidRDefault="00177094" w:rsidP="00177094">
      <w:pPr>
        <w:pStyle w:val="NoSpacing"/>
        <w:rPr>
          <w:rFonts w:ascii="Times New Roman" w:hAnsi="Times New Roman"/>
          <w:b/>
          <w:bCs/>
          <w:sz w:val="24"/>
          <w:szCs w:val="24"/>
        </w:rPr>
      </w:pPr>
    </w:p>
    <w:p w14:paraId="51333060" w14:textId="33D3ADFD" w:rsidR="00177094" w:rsidRPr="004236BE" w:rsidRDefault="00177094" w:rsidP="00177094">
      <w:pPr>
        <w:pStyle w:val="NoSpacing"/>
        <w:rPr>
          <w:rFonts w:ascii="Times New Roman" w:hAnsi="Times New Roman"/>
          <w:b/>
          <w:bCs/>
          <w:sz w:val="24"/>
          <w:szCs w:val="24"/>
        </w:rPr>
      </w:pPr>
      <w:r w:rsidRPr="004236BE">
        <w:rPr>
          <w:rFonts w:ascii="Times New Roman" w:hAnsi="Times New Roman"/>
          <w:b/>
          <w:bCs/>
          <w:sz w:val="24"/>
          <w:szCs w:val="24"/>
        </w:rPr>
        <w:t xml:space="preserve">Legal Lessoned Learned:  Title VII requires lawsuit to be filed within 90 days of EEOC “Right </w:t>
      </w:r>
      <w:proofErr w:type="gramStart"/>
      <w:r w:rsidRPr="004236BE">
        <w:rPr>
          <w:rFonts w:ascii="Times New Roman" w:hAnsi="Times New Roman"/>
          <w:b/>
          <w:bCs/>
          <w:sz w:val="24"/>
          <w:szCs w:val="24"/>
        </w:rPr>
        <w:t>To</w:t>
      </w:r>
      <w:proofErr w:type="gramEnd"/>
      <w:r w:rsidRPr="004236BE">
        <w:rPr>
          <w:rFonts w:ascii="Times New Roman" w:hAnsi="Times New Roman"/>
          <w:b/>
          <w:bCs/>
          <w:sz w:val="24"/>
          <w:szCs w:val="24"/>
        </w:rPr>
        <w:t xml:space="preserve"> Sue” letter; if don’t have an attorney, need to make sure EEOC has your correct address, and periodically check on status of EEOC investigation. </w:t>
      </w:r>
    </w:p>
    <w:p w14:paraId="4C158DC3" w14:textId="77777777" w:rsidR="00177094" w:rsidRDefault="00177094" w:rsidP="00DE0F03">
      <w:pPr>
        <w:rPr>
          <w:rFonts w:ascii="Arial Black" w:hAnsi="Arial Black"/>
          <w:b/>
          <w:sz w:val="24"/>
          <w:szCs w:val="24"/>
        </w:rPr>
      </w:pPr>
    </w:p>
    <w:p w14:paraId="61C80C2B" w14:textId="77777777" w:rsidR="00177094" w:rsidRDefault="00177094" w:rsidP="00DE0F03">
      <w:pPr>
        <w:rPr>
          <w:rFonts w:ascii="Arial Black" w:hAnsi="Arial Black"/>
          <w:b/>
          <w:sz w:val="24"/>
          <w:szCs w:val="24"/>
        </w:rPr>
      </w:pPr>
    </w:p>
    <w:p w14:paraId="433413FB" w14:textId="7FE87610" w:rsidR="00A06387" w:rsidRDefault="00A06387" w:rsidP="00DE0F03">
      <w:pPr>
        <w:rPr>
          <w:rFonts w:ascii="Arial Black" w:hAnsi="Arial Black"/>
          <w:b/>
          <w:sz w:val="24"/>
          <w:szCs w:val="24"/>
        </w:rPr>
      </w:pPr>
      <w:r>
        <w:rPr>
          <w:rFonts w:ascii="Arial Black" w:hAnsi="Arial Black"/>
          <w:b/>
          <w:sz w:val="24"/>
          <w:szCs w:val="24"/>
        </w:rPr>
        <w:t>8-</w:t>
      </w:r>
      <w:r w:rsidR="005A395B">
        <w:rPr>
          <w:rFonts w:ascii="Arial Black" w:hAnsi="Arial Black"/>
          <w:b/>
          <w:sz w:val="24"/>
          <w:szCs w:val="24"/>
        </w:rPr>
        <w:t>9</w:t>
      </w:r>
    </w:p>
    <w:p w14:paraId="55C60D6F" w14:textId="6345C3BC" w:rsidR="00A06387" w:rsidRDefault="00A06387" w:rsidP="00A06387">
      <w:pPr>
        <w:pStyle w:val="NoSpacing"/>
        <w:rPr>
          <w:rFonts w:ascii="Arial Black" w:hAnsi="Arial Black"/>
          <w:bCs/>
          <w:sz w:val="28"/>
          <w:szCs w:val="28"/>
        </w:rPr>
      </w:pPr>
      <w:r w:rsidRPr="00AE7062">
        <w:rPr>
          <w:rFonts w:ascii="Arial Black" w:hAnsi="Arial Black"/>
          <w:bCs/>
          <w:sz w:val="28"/>
          <w:szCs w:val="28"/>
        </w:rPr>
        <w:t>AL</w:t>
      </w:r>
      <w:r>
        <w:rPr>
          <w:rFonts w:ascii="Arial Black" w:hAnsi="Arial Black"/>
          <w:bCs/>
          <w:sz w:val="28"/>
          <w:szCs w:val="28"/>
        </w:rPr>
        <w:t>: CAPT. (AFRICAN</w:t>
      </w:r>
      <w:r w:rsidR="00BF4DDE">
        <w:rPr>
          <w:rFonts w:ascii="Arial Black" w:hAnsi="Arial Black"/>
          <w:bCs/>
          <w:sz w:val="28"/>
          <w:szCs w:val="28"/>
        </w:rPr>
        <w:t xml:space="preserve"> </w:t>
      </w:r>
      <w:r>
        <w:rPr>
          <w:rFonts w:ascii="Arial Black" w:hAnsi="Arial Black"/>
          <w:bCs/>
          <w:sz w:val="28"/>
          <w:szCs w:val="28"/>
        </w:rPr>
        <w:t>AMERICAN) CLAIMED FIRE CHIEF</w:t>
      </w:r>
      <w:r w:rsidRPr="00AE7062">
        <w:rPr>
          <w:rFonts w:ascii="Arial Black" w:hAnsi="Arial Black"/>
          <w:bCs/>
          <w:sz w:val="28"/>
          <w:szCs w:val="28"/>
        </w:rPr>
        <w:t xml:space="preserve"> </w:t>
      </w:r>
      <w:r>
        <w:rPr>
          <w:rFonts w:ascii="Arial Black" w:hAnsi="Arial Black"/>
          <w:bCs/>
          <w:sz w:val="28"/>
          <w:szCs w:val="28"/>
        </w:rPr>
        <w:t>(ALSO AFRICAN</w:t>
      </w:r>
      <w:r w:rsidR="00BF4DDE">
        <w:rPr>
          <w:rFonts w:ascii="Arial Black" w:hAnsi="Arial Black"/>
          <w:bCs/>
          <w:sz w:val="28"/>
          <w:szCs w:val="28"/>
        </w:rPr>
        <w:t xml:space="preserve"> </w:t>
      </w:r>
      <w:r>
        <w:rPr>
          <w:rFonts w:ascii="Arial Black" w:hAnsi="Arial Black"/>
          <w:bCs/>
          <w:sz w:val="28"/>
          <w:szCs w:val="28"/>
        </w:rPr>
        <w:t xml:space="preserve">AMERICAN) PROMOTED SAME RACE OF PRIOR PERSON IN POSITION </w:t>
      </w:r>
    </w:p>
    <w:p w14:paraId="29FE3B16" w14:textId="77777777" w:rsidR="00A06387" w:rsidRDefault="00A06387" w:rsidP="00A06387">
      <w:pPr>
        <w:pStyle w:val="NoSpacing"/>
        <w:rPr>
          <w:rFonts w:ascii="Arial Black" w:hAnsi="Arial Black"/>
          <w:b/>
          <w:bCs/>
          <w:sz w:val="28"/>
          <w:szCs w:val="28"/>
        </w:rPr>
      </w:pPr>
    </w:p>
    <w:p w14:paraId="192D73B7" w14:textId="77777777" w:rsidR="00A06387" w:rsidRPr="00BF4DDE" w:rsidRDefault="00A06387" w:rsidP="00A06387">
      <w:pPr>
        <w:pStyle w:val="NoSpacing"/>
        <w:rPr>
          <w:rFonts w:ascii="Times New Roman" w:hAnsi="Times New Roman"/>
          <w:b/>
          <w:bCs/>
          <w:sz w:val="24"/>
          <w:szCs w:val="24"/>
        </w:rPr>
      </w:pPr>
      <w:r w:rsidRPr="00BF4DDE">
        <w:rPr>
          <w:rFonts w:ascii="Times New Roman" w:hAnsi="Times New Roman"/>
          <w:bCs/>
          <w:sz w:val="24"/>
          <w:szCs w:val="24"/>
        </w:rPr>
        <w:t xml:space="preserve">On Oct. 24, 2919, in </w:t>
      </w:r>
      <w:r w:rsidRPr="00BF4DDE">
        <w:rPr>
          <w:rFonts w:ascii="Times New Roman" w:hAnsi="Times New Roman"/>
          <w:bCs/>
          <w:sz w:val="24"/>
          <w:szCs w:val="24"/>
          <w:u w:val="single"/>
        </w:rPr>
        <w:t>Franklin Edwards v. City of Selma</w:t>
      </w:r>
      <w:r w:rsidRPr="00BF4DDE">
        <w:rPr>
          <w:rFonts w:ascii="Times New Roman" w:hAnsi="Times New Roman"/>
          <w:bCs/>
          <w:sz w:val="24"/>
          <w:szCs w:val="24"/>
        </w:rPr>
        <w:t xml:space="preserve">, U.S. District Court Judge Jeffrey U. </w:t>
      </w:r>
      <w:proofErr w:type="spellStart"/>
      <w:r w:rsidRPr="00BF4DDE">
        <w:rPr>
          <w:rFonts w:ascii="Times New Roman" w:hAnsi="Times New Roman"/>
          <w:bCs/>
          <w:sz w:val="24"/>
          <w:szCs w:val="24"/>
        </w:rPr>
        <w:t>Beaverstock</w:t>
      </w:r>
      <w:proofErr w:type="spellEnd"/>
      <w:r w:rsidRPr="00BF4DDE">
        <w:rPr>
          <w:rFonts w:ascii="Times New Roman" w:hAnsi="Times New Roman"/>
          <w:bCs/>
          <w:sz w:val="24"/>
          <w:szCs w:val="24"/>
        </w:rPr>
        <w:t xml:space="preserve">, U.S. District Court for the Southern District of Alabama (Northern Division) granted summary judgment for the </w:t>
      </w:r>
      <w:proofErr w:type="gramStart"/>
      <w:r w:rsidRPr="00BF4DDE">
        <w:rPr>
          <w:rFonts w:ascii="Times New Roman" w:hAnsi="Times New Roman"/>
          <w:bCs/>
          <w:sz w:val="24"/>
          <w:szCs w:val="24"/>
        </w:rPr>
        <w:t>City</w:t>
      </w:r>
      <w:proofErr w:type="gramEnd"/>
      <w:r w:rsidRPr="00BF4DDE">
        <w:rPr>
          <w:rFonts w:ascii="Times New Roman" w:hAnsi="Times New Roman"/>
          <w:bCs/>
          <w:sz w:val="24"/>
          <w:szCs w:val="24"/>
        </w:rPr>
        <w:t xml:space="preserve">.  </w:t>
      </w:r>
    </w:p>
    <w:p w14:paraId="7FBCFA36" w14:textId="77777777" w:rsidR="00A06387" w:rsidRPr="00BF4DDE" w:rsidRDefault="00A06387" w:rsidP="00A06387">
      <w:pPr>
        <w:pStyle w:val="NoSpacing"/>
        <w:rPr>
          <w:rFonts w:ascii="Times New Roman" w:hAnsi="Times New Roman"/>
          <w:b/>
          <w:bCs/>
          <w:sz w:val="24"/>
          <w:szCs w:val="24"/>
        </w:rPr>
      </w:pPr>
    </w:p>
    <w:p w14:paraId="082D87F9" w14:textId="150FE24D" w:rsidR="00A06387" w:rsidRPr="00BF4DDE" w:rsidRDefault="00A06387" w:rsidP="00A06387">
      <w:pPr>
        <w:ind w:left="720"/>
        <w:rPr>
          <w:rFonts w:ascii="Times New Roman" w:hAnsi="Times New Roman"/>
          <w:b/>
          <w:sz w:val="24"/>
          <w:szCs w:val="24"/>
        </w:rPr>
      </w:pPr>
      <w:r w:rsidRPr="00BF4DDE">
        <w:rPr>
          <w:rFonts w:ascii="Times New Roman" w:hAnsi="Times New Roman"/>
          <w:bCs/>
          <w:sz w:val="24"/>
          <w:szCs w:val="24"/>
        </w:rPr>
        <w:t xml:space="preserve">“Selma’s proffered reasons for failing to recommend or promote Plaintiff to a ‘Chief-level’ position include that applicants who received recommendations and promotions had been with the Fire Department longer than Plaintiff and had fewer disciplinary infractions… Selma has presented evidence that each candidate who received a ‘Chief-level’ recommendation and promotion was with the Fire Department longer than Plaintiff and/or had fewer disciplinary infractions than Plaintiff. Seniority and disciplinary history are legitimate non-discriminatory reasons for Stephens’ recommendations for </w:t>
      </w:r>
      <w:r w:rsidRPr="00BF4DDE">
        <w:rPr>
          <w:rFonts w:ascii="Times New Roman" w:hAnsi="Times New Roman"/>
          <w:bCs/>
          <w:sz w:val="24"/>
          <w:szCs w:val="24"/>
        </w:rPr>
        <w:lastRenderedPageBreak/>
        <w:t>promotion.</w:t>
      </w:r>
      <w:r w:rsidR="00BF4DDE">
        <w:rPr>
          <w:rFonts w:ascii="Times New Roman" w:hAnsi="Times New Roman"/>
          <w:bCs/>
          <w:sz w:val="24"/>
          <w:szCs w:val="24"/>
        </w:rPr>
        <w:t xml:space="preserve">” </w:t>
      </w:r>
      <w:hyperlink r:id="rId1619" w:history="1">
        <w:r w:rsidRPr="00BF4DDE">
          <w:rPr>
            <w:rStyle w:val="Hyperlink"/>
            <w:rFonts w:ascii="Times New Roman" w:hAnsi="Times New Roman"/>
            <w:bCs/>
            <w:sz w:val="24"/>
            <w:szCs w:val="24"/>
          </w:rPr>
          <w:t>https://cases.justia.com/federal/district-courts/alabama/alsdce/2:2018cv00293/62967/26/0.pdf?ts=1571995051</w:t>
        </w:r>
      </w:hyperlink>
    </w:p>
    <w:p w14:paraId="3A552CFB" w14:textId="77777777" w:rsidR="00A06387" w:rsidRPr="00BF4DDE" w:rsidRDefault="00A06387" w:rsidP="00A06387">
      <w:pPr>
        <w:pStyle w:val="NoSpacing"/>
        <w:rPr>
          <w:rFonts w:ascii="Times New Roman" w:hAnsi="Times New Roman"/>
          <w:b/>
          <w:bCs/>
          <w:sz w:val="24"/>
          <w:szCs w:val="24"/>
        </w:rPr>
      </w:pPr>
      <w:r w:rsidRPr="00BF4DDE">
        <w:rPr>
          <w:rFonts w:ascii="Times New Roman" w:hAnsi="Times New Roman"/>
          <w:b/>
          <w:bCs/>
          <w:sz w:val="24"/>
          <w:szCs w:val="24"/>
        </w:rPr>
        <w:t xml:space="preserve">Legal Lessons Learned:  Plaintiff failed to prove that the </w:t>
      </w:r>
      <w:proofErr w:type="gramStart"/>
      <w:r w:rsidRPr="00BF4DDE">
        <w:rPr>
          <w:rFonts w:ascii="Times New Roman" w:hAnsi="Times New Roman"/>
          <w:b/>
          <w:bCs/>
          <w:sz w:val="24"/>
          <w:szCs w:val="24"/>
        </w:rPr>
        <w:t>Mayor</w:t>
      </w:r>
      <w:proofErr w:type="gramEnd"/>
      <w:r w:rsidRPr="00BF4DDE">
        <w:rPr>
          <w:rFonts w:ascii="Times New Roman" w:hAnsi="Times New Roman"/>
          <w:b/>
          <w:bCs/>
          <w:sz w:val="24"/>
          <w:szCs w:val="24"/>
        </w:rPr>
        <w:t xml:space="preserve"> or other city officials knew about or concurred in the alleged “demographic promotion process.” </w:t>
      </w:r>
    </w:p>
    <w:p w14:paraId="5F60E20B" w14:textId="206CC893" w:rsidR="00A06387" w:rsidRPr="00BF4DDE" w:rsidRDefault="00A06387" w:rsidP="00DE0F03">
      <w:pPr>
        <w:rPr>
          <w:rFonts w:ascii="Times New Roman" w:hAnsi="Times New Roman"/>
          <w:b/>
          <w:sz w:val="24"/>
          <w:szCs w:val="24"/>
        </w:rPr>
      </w:pPr>
    </w:p>
    <w:p w14:paraId="29E0B30F" w14:textId="3744396C" w:rsidR="00A06387" w:rsidRDefault="00A06387" w:rsidP="00DE0F03">
      <w:pPr>
        <w:rPr>
          <w:rFonts w:ascii="Arial Black" w:hAnsi="Arial Black"/>
          <w:b/>
          <w:sz w:val="24"/>
          <w:szCs w:val="24"/>
        </w:rPr>
      </w:pPr>
      <w:r>
        <w:rPr>
          <w:rFonts w:ascii="Arial Black" w:hAnsi="Arial Black"/>
          <w:b/>
          <w:sz w:val="24"/>
          <w:szCs w:val="24"/>
        </w:rPr>
        <w:t>8-</w:t>
      </w:r>
      <w:r w:rsidR="005A395B">
        <w:rPr>
          <w:rFonts w:ascii="Arial Black" w:hAnsi="Arial Black"/>
          <w:b/>
          <w:sz w:val="24"/>
          <w:szCs w:val="24"/>
        </w:rPr>
        <w:t>8</w:t>
      </w:r>
    </w:p>
    <w:p w14:paraId="09723C99" w14:textId="6F581999" w:rsidR="00A06387" w:rsidRPr="00864E92" w:rsidRDefault="00A06387" w:rsidP="00A06387">
      <w:pPr>
        <w:pStyle w:val="NoSpacing"/>
        <w:rPr>
          <w:rFonts w:ascii="Arial Black" w:hAnsi="Arial Black"/>
          <w:sz w:val="28"/>
          <w:szCs w:val="28"/>
        </w:rPr>
      </w:pPr>
      <w:bookmarkStart w:id="330" w:name="_Hlk39765060"/>
      <w:r>
        <w:rPr>
          <w:rFonts w:ascii="Arial Black" w:hAnsi="Arial Black"/>
          <w:sz w:val="28"/>
          <w:szCs w:val="28"/>
        </w:rPr>
        <w:t>GA:  APPLICANT (AFRICAN</w:t>
      </w:r>
      <w:r w:rsidR="00BF4DDE">
        <w:rPr>
          <w:rFonts w:ascii="Arial Black" w:hAnsi="Arial Black"/>
          <w:sz w:val="28"/>
          <w:szCs w:val="28"/>
        </w:rPr>
        <w:t xml:space="preserve"> </w:t>
      </w:r>
      <w:r>
        <w:rPr>
          <w:rFonts w:ascii="Arial Black" w:hAnsi="Arial Black"/>
          <w:sz w:val="28"/>
          <w:szCs w:val="28"/>
        </w:rPr>
        <w:t xml:space="preserve">AMERICAN) FOR FIRE CHIEF NOT SELECTED – IN HOUSE CANDIDATE MORE QUALIFIED, EVEN IF NO DEGREE </w:t>
      </w:r>
    </w:p>
    <w:p w14:paraId="7E8B6D34" w14:textId="77777777" w:rsidR="00A06387" w:rsidRDefault="00A06387" w:rsidP="00A06387">
      <w:pPr>
        <w:pStyle w:val="NoSpacing"/>
      </w:pPr>
    </w:p>
    <w:p w14:paraId="45E969DD" w14:textId="77777777" w:rsidR="00A06387" w:rsidRPr="00BF4DDE" w:rsidRDefault="00A06387" w:rsidP="00A06387">
      <w:pPr>
        <w:pStyle w:val="NoSpacing"/>
        <w:rPr>
          <w:rFonts w:ascii="Times New Roman" w:hAnsi="Times New Roman"/>
          <w:b/>
          <w:bCs/>
          <w:sz w:val="24"/>
          <w:szCs w:val="24"/>
        </w:rPr>
      </w:pPr>
      <w:r w:rsidRPr="00BF4DDE">
        <w:rPr>
          <w:rFonts w:ascii="Times New Roman" w:hAnsi="Times New Roman"/>
          <w:bCs/>
          <w:sz w:val="24"/>
          <w:szCs w:val="24"/>
        </w:rPr>
        <w:t xml:space="preserve">On Oct. 4, 2019, in </w:t>
      </w:r>
      <w:r w:rsidRPr="00BF4DDE">
        <w:rPr>
          <w:rFonts w:ascii="Times New Roman" w:hAnsi="Times New Roman"/>
          <w:bCs/>
          <w:sz w:val="24"/>
          <w:szCs w:val="24"/>
          <w:u w:val="single"/>
        </w:rPr>
        <w:t>Roderick Jolivette v. City of Americus, Georgia</w:t>
      </w:r>
      <w:r w:rsidRPr="00BF4DDE">
        <w:rPr>
          <w:rFonts w:ascii="Times New Roman" w:hAnsi="Times New Roman"/>
          <w:bCs/>
          <w:sz w:val="24"/>
          <w:szCs w:val="24"/>
        </w:rPr>
        <w:t>, the U.S. Court of Appeals for 11</w:t>
      </w:r>
      <w:r w:rsidRPr="00BF4DDE">
        <w:rPr>
          <w:rFonts w:ascii="Times New Roman" w:hAnsi="Times New Roman"/>
          <w:bCs/>
          <w:sz w:val="24"/>
          <w:szCs w:val="24"/>
          <w:vertAlign w:val="superscript"/>
        </w:rPr>
        <w:t>th</w:t>
      </w:r>
      <w:r w:rsidRPr="00BF4DDE">
        <w:rPr>
          <w:rFonts w:ascii="Times New Roman" w:hAnsi="Times New Roman"/>
          <w:bCs/>
          <w:sz w:val="24"/>
          <w:szCs w:val="24"/>
        </w:rPr>
        <w:t xml:space="preserve"> Circuit (Atlanta) held 3 to 0 (unpublished opinion), upheld the U.S. District Court judge’s decision granting summary judgment to the City.  </w:t>
      </w:r>
    </w:p>
    <w:p w14:paraId="268F146F" w14:textId="77777777" w:rsidR="00A06387" w:rsidRPr="00BF4DDE" w:rsidRDefault="00A06387" w:rsidP="00A06387">
      <w:pPr>
        <w:pStyle w:val="NoSpacing"/>
        <w:rPr>
          <w:rFonts w:ascii="Times New Roman" w:hAnsi="Times New Roman"/>
          <w:b/>
          <w:bCs/>
          <w:sz w:val="24"/>
          <w:szCs w:val="24"/>
        </w:rPr>
      </w:pPr>
    </w:p>
    <w:p w14:paraId="5A0FB54C" w14:textId="77777777" w:rsidR="00A06387" w:rsidRPr="00BF4DDE" w:rsidRDefault="00A06387" w:rsidP="00A06387">
      <w:pPr>
        <w:pStyle w:val="NoSpacing"/>
        <w:ind w:left="720"/>
        <w:rPr>
          <w:rFonts w:ascii="Times New Roman" w:hAnsi="Times New Roman"/>
          <w:b/>
          <w:bCs/>
          <w:sz w:val="24"/>
          <w:szCs w:val="24"/>
        </w:rPr>
      </w:pPr>
      <w:r w:rsidRPr="00BF4DDE">
        <w:rPr>
          <w:rFonts w:ascii="Times New Roman" w:hAnsi="Times New Roman"/>
          <w:sz w:val="24"/>
          <w:szCs w:val="24"/>
        </w:rPr>
        <w:t>“</w:t>
      </w:r>
      <w:r w:rsidRPr="00BF4DDE">
        <w:rPr>
          <w:rFonts w:ascii="Times New Roman" w:hAnsi="Times New Roman"/>
          <w:bCs/>
          <w:sz w:val="24"/>
          <w:szCs w:val="24"/>
        </w:rPr>
        <w:t xml:space="preserve">Although Jolivette possessed a bachelor’s degree, as required in the job posting, the City policies weighed equally candidates who possessed an “equivalent combination of education, training, and experience.” Dee Jones, the human resources director for the </w:t>
      </w:r>
      <w:proofErr w:type="gramStart"/>
      <w:r w:rsidRPr="00BF4DDE">
        <w:rPr>
          <w:rFonts w:ascii="Times New Roman" w:hAnsi="Times New Roman"/>
          <w:bCs/>
          <w:sz w:val="24"/>
          <w:szCs w:val="24"/>
        </w:rPr>
        <w:t>City</w:t>
      </w:r>
      <w:proofErr w:type="gramEnd"/>
      <w:r w:rsidRPr="00BF4DDE">
        <w:rPr>
          <w:rFonts w:ascii="Times New Roman" w:hAnsi="Times New Roman"/>
          <w:bCs/>
          <w:sz w:val="24"/>
          <w:szCs w:val="24"/>
        </w:rPr>
        <w:t>, testified that [Roger] Bivins qualified for the position of Fire Chief ‘because of the totality’ of his skills, experience, and education, as provided for in the job posting and ‘our job description.’ Jolivette does not dispute that Bivins possessed skills, experience, and abilities that ‘substitute[d] for a lack of a college degree.’”</w:t>
      </w:r>
    </w:p>
    <w:p w14:paraId="27AB0FAF" w14:textId="46A71A7C" w:rsidR="00A06387" w:rsidRPr="00BF4DDE" w:rsidRDefault="00A06387" w:rsidP="00A06387">
      <w:pPr>
        <w:pStyle w:val="NoSpacing"/>
        <w:ind w:left="720"/>
        <w:rPr>
          <w:rFonts w:ascii="Times New Roman" w:hAnsi="Times New Roman"/>
          <w:bCs/>
          <w:sz w:val="24"/>
          <w:szCs w:val="24"/>
        </w:rPr>
      </w:pPr>
      <w:hyperlink r:id="rId1620" w:history="1">
        <w:r w:rsidRPr="00BF4DDE">
          <w:rPr>
            <w:rStyle w:val="Hyperlink"/>
            <w:rFonts w:ascii="Times New Roman" w:hAnsi="Times New Roman"/>
            <w:bCs/>
            <w:sz w:val="24"/>
            <w:szCs w:val="24"/>
          </w:rPr>
          <w:t>https://cases.justia.com/federal/appellate-courts/ca11/19-10138/19-10138-2019-10-04.pdf?ts=1570197627</w:t>
        </w:r>
      </w:hyperlink>
      <w:bookmarkEnd w:id="330"/>
      <w:r w:rsidRPr="00BF4DDE">
        <w:rPr>
          <w:rFonts w:ascii="Times New Roman" w:hAnsi="Times New Roman"/>
          <w:bCs/>
          <w:sz w:val="24"/>
          <w:szCs w:val="24"/>
        </w:rPr>
        <w:t xml:space="preserve"> </w:t>
      </w:r>
    </w:p>
    <w:p w14:paraId="541F3065" w14:textId="77777777" w:rsidR="00BF4DDE" w:rsidRDefault="00BF4DDE" w:rsidP="00A06387">
      <w:pPr>
        <w:pStyle w:val="NoSpacing"/>
        <w:rPr>
          <w:rFonts w:ascii="Times New Roman" w:hAnsi="Times New Roman"/>
          <w:b/>
          <w:bCs/>
          <w:sz w:val="24"/>
          <w:szCs w:val="24"/>
        </w:rPr>
      </w:pPr>
    </w:p>
    <w:p w14:paraId="5A9015F3" w14:textId="76C0BF90" w:rsidR="00A06387" w:rsidRPr="00BF4DDE" w:rsidRDefault="00A06387" w:rsidP="00A06387">
      <w:pPr>
        <w:pStyle w:val="NoSpacing"/>
        <w:rPr>
          <w:rFonts w:ascii="Times New Roman" w:hAnsi="Times New Roman"/>
          <w:b/>
          <w:bCs/>
          <w:sz w:val="24"/>
          <w:szCs w:val="24"/>
        </w:rPr>
      </w:pPr>
      <w:bookmarkStart w:id="331" w:name="_Hlk40511568"/>
      <w:r w:rsidRPr="00BF4DDE">
        <w:rPr>
          <w:rFonts w:ascii="Times New Roman" w:hAnsi="Times New Roman"/>
          <w:b/>
          <w:bCs/>
          <w:sz w:val="24"/>
          <w:szCs w:val="24"/>
        </w:rPr>
        <w:t>Legal Lessons Learned: Using panel</w:t>
      </w:r>
      <w:r w:rsidR="00363F33">
        <w:rPr>
          <w:rFonts w:ascii="Times New Roman" w:hAnsi="Times New Roman"/>
          <w:b/>
          <w:bCs/>
          <w:sz w:val="24"/>
          <w:szCs w:val="24"/>
        </w:rPr>
        <w:t xml:space="preserve"> of experienced senior officers from other FDs to </w:t>
      </w:r>
      <w:r w:rsidRPr="00BF4DDE">
        <w:rPr>
          <w:rFonts w:ascii="Times New Roman" w:hAnsi="Times New Roman"/>
          <w:b/>
          <w:bCs/>
          <w:sz w:val="24"/>
          <w:szCs w:val="24"/>
        </w:rPr>
        <w:t xml:space="preserve">rate candidates for Fire Chief is a great process. </w:t>
      </w:r>
    </w:p>
    <w:p w14:paraId="64A6F500" w14:textId="77777777" w:rsidR="00A06387" w:rsidRPr="00656FC7" w:rsidRDefault="00A06387" w:rsidP="00A06387">
      <w:pPr>
        <w:pStyle w:val="NoSpacing"/>
        <w:rPr>
          <w:b/>
          <w:bCs/>
          <w:sz w:val="24"/>
          <w:szCs w:val="24"/>
        </w:rPr>
      </w:pPr>
    </w:p>
    <w:bookmarkEnd w:id="331"/>
    <w:p w14:paraId="13AFCE75" w14:textId="77777777" w:rsidR="00A06387" w:rsidRDefault="00A06387" w:rsidP="00A06387">
      <w:pPr>
        <w:pStyle w:val="NoSpacing"/>
        <w:ind w:left="720"/>
        <w:rPr>
          <w:b/>
          <w:bCs/>
          <w:sz w:val="24"/>
          <w:szCs w:val="24"/>
        </w:rPr>
      </w:pPr>
    </w:p>
    <w:p w14:paraId="23581D50" w14:textId="77777777" w:rsidR="00A06387" w:rsidRDefault="00A06387" w:rsidP="00DE0F03">
      <w:pPr>
        <w:rPr>
          <w:rFonts w:ascii="Arial Black" w:hAnsi="Arial Black"/>
          <w:b/>
          <w:sz w:val="24"/>
          <w:szCs w:val="24"/>
        </w:rPr>
      </w:pPr>
    </w:p>
    <w:p w14:paraId="5D9956D6" w14:textId="11E6F5CA" w:rsidR="00853142" w:rsidRDefault="00853142" w:rsidP="00DE0F03">
      <w:pPr>
        <w:rPr>
          <w:rFonts w:ascii="Arial Black" w:hAnsi="Arial Black"/>
          <w:b/>
          <w:sz w:val="24"/>
          <w:szCs w:val="24"/>
        </w:rPr>
      </w:pPr>
      <w:r>
        <w:rPr>
          <w:rFonts w:ascii="Arial Black" w:hAnsi="Arial Black"/>
          <w:b/>
          <w:sz w:val="24"/>
          <w:szCs w:val="24"/>
        </w:rPr>
        <w:t>8-</w:t>
      </w:r>
      <w:r w:rsidR="005A395B">
        <w:rPr>
          <w:rFonts w:ascii="Arial Black" w:hAnsi="Arial Black"/>
          <w:b/>
          <w:sz w:val="24"/>
          <w:szCs w:val="24"/>
        </w:rPr>
        <w:t>7</w:t>
      </w:r>
    </w:p>
    <w:p w14:paraId="045FC81B" w14:textId="77777777" w:rsidR="00853142" w:rsidRDefault="00853142" w:rsidP="00853142">
      <w:pPr>
        <w:pStyle w:val="NoSpacing"/>
        <w:rPr>
          <w:rFonts w:ascii="Arial Black" w:hAnsi="Arial Black"/>
          <w:sz w:val="28"/>
          <w:szCs w:val="28"/>
        </w:rPr>
      </w:pPr>
      <w:bookmarkStart w:id="332" w:name="_Hlk40511653"/>
      <w:r>
        <w:rPr>
          <w:rFonts w:ascii="Arial Black" w:hAnsi="Arial Black"/>
          <w:sz w:val="28"/>
          <w:szCs w:val="28"/>
        </w:rPr>
        <w:t xml:space="preserve">LA: BLACK EMS CAPT. – NITROGLYCERIN WAS FOR MOUTH, NOT CHEST – SUSPENSION / REMEDIATION PROPER - NOT RACE / GENDER </w:t>
      </w:r>
    </w:p>
    <w:p w14:paraId="698C6FE6" w14:textId="77777777" w:rsidR="00853142" w:rsidRDefault="00853142" w:rsidP="00853142">
      <w:pPr>
        <w:pStyle w:val="NoSpacing"/>
      </w:pPr>
    </w:p>
    <w:p w14:paraId="4BADBE52" w14:textId="66241236" w:rsidR="00853142" w:rsidRDefault="00853142" w:rsidP="00853142">
      <w:pPr>
        <w:pStyle w:val="NoSpacing"/>
        <w:rPr>
          <w:rFonts w:ascii="Times New Roman" w:hAnsi="Times New Roman"/>
          <w:sz w:val="24"/>
          <w:szCs w:val="24"/>
        </w:rPr>
      </w:pPr>
      <w:r w:rsidRPr="008F2205">
        <w:rPr>
          <w:rFonts w:ascii="Times New Roman" w:hAnsi="Times New Roman"/>
          <w:sz w:val="24"/>
          <w:szCs w:val="24"/>
        </w:rPr>
        <w:t xml:space="preserve">On Sept. 17, 2019, in </w:t>
      </w:r>
      <w:r w:rsidRPr="008F2205">
        <w:rPr>
          <w:rFonts w:ascii="Times New Roman" w:hAnsi="Times New Roman"/>
          <w:sz w:val="24"/>
          <w:szCs w:val="24"/>
          <w:u w:val="single"/>
        </w:rPr>
        <w:t>Deborah Mills v. City of Shreveport</w:t>
      </w:r>
      <w:r w:rsidRPr="008F2205">
        <w:rPr>
          <w:rFonts w:ascii="Times New Roman" w:hAnsi="Times New Roman"/>
          <w:sz w:val="24"/>
          <w:szCs w:val="24"/>
        </w:rPr>
        <w:t xml:space="preserve">, </w:t>
      </w:r>
      <w:r>
        <w:rPr>
          <w:rFonts w:ascii="Times New Roman" w:hAnsi="Times New Roman"/>
          <w:sz w:val="24"/>
          <w:szCs w:val="24"/>
        </w:rPr>
        <w:t>U.S. District Court Judge Terry A. Doughty, U.S. District Court of Louisiana, Western District</w:t>
      </w:r>
      <w:r w:rsidRPr="00D91FDE">
        <w:rPr>
          <w:rFonts w:ascii="Times New Roman" w:hAnsi="Times New Roman"/>
          <w:sz w:val="24"/>
          <w:szCs w:val="24"/>
        </w:rPr>
        <w:t>, Shreveport Division,</w:t>
      </w:r>
      <w:r>
        <w:rPr>
          <w:b/>
          <w:bCs/>
        </w:rPr>
        <w:t xml:space="preserve"> </w:t>
      </w:r>
      <w:r>
        <w:rPr>
          <w:rFonts w:ascii="Times New Roman" w:hAnsi="Times New Roman"/>
          <w:sz w:val="24"/>
          <w:szCs w:val="24"/>
        </w:rPr>
        <w:t xml:space="preserve">dismissed her claim of “hostile work atmosphere.”  He had previously dismissed her race and gender discrimination claims. </w:t>
      </w:r>
      <w:hyperlink r:id="rId1621" w:history="1">
        <w:r w:rsidRPr="00DB571D">
          <w:rPr>
            <w:rStyle w:val="Hyperlink"/>
            <w:rFonts w:ascii="Times New Roman" w:hAnsi="Times New Roman"/>
            <w:sz w:val="24"/>
            <w:szCs w:val="24"/>
          </w:rPr>
          <w:t>https://scholar.google.com/scholar_case?case=2959279778538737103&amp;hl=en&amp;as_sdt=6,36</w:t>
        </w:r>
      </w:hyperlink>
      <w:r>
        <w:rPr>
          <w:rFonts w:ascii="Times New Roman" w:hAnsi="Times New Roman"/>
          <w:sz w:val="24"/>
          <w:szCs w:val="24"/>
        </w:rPr>
        <w:t xml:space="preserve"> </w:t>
      </w:r>
    </w:p>
    <w:bookmarkEnd w:id="332"/>
    <w:p w14:paraId="636B1B9D" w14:textId="77777777" w:rsidR="00853142" w:rsidRPr="008F2205" w:rsidRDefault="00853142" w:rsidP="00853142">
      <w:pPr>
        <w:pStyle w:val="NoSpacing"/>
        <w:rPr>
          <w:rFonts w:ascii="Times New Roman" w:hAnsi="Times New Roman"/>
          <w:sz w:val="24"/>
          <w:szCs w:val="24"/>
        </w:rPr>
      </w:pPr>
      <w:r>
        <w:rPr>
          <w:rFonts w:ascii="Times New Roman" w:hAnsi="Times New Roman"/>
          <w:sz w:val="24"/>
          <w:szCs w:val="24"/>
        </w:rPr>
        <w:t xml:space="preserve"> </w:t>
      </w:r>
    </w:p>
    <w:p w14:paraId="1F0F4F59" w14:textId="77777777" w:rsidR="00853142" w:rsidRDefault="00853142" w:rsidP="00853142">
      <w:pPr>
        <w:pStyle w:val="NoSpacing"/>
        <w:ind w:left="720"/>
        <w:rPr>
          <w:rFonts w:ascii="Times New Roman" w:hAnsi="Times New Roman"/>
          <w:sz w:val="24"/>
          <w:szCs w:val="24"/>
        </w:rPr>
      </w:pPr>
      <w:r>
        <w:rPr>
          <w:rFonts w:ascii="Times New Roman" w:hAnsi="Times New Roman"/>
          <w:sz w:val="24"/>
          <w:szCs w:val="24"/>
        </w:rPr>
        <w:t>“</w:t>
      </w:r>
      <w:r w:rsidRPr="008F2205">
        <w:rPr>
          <w:rFonts w:ascii="Times New Roman" w:hAnsi="Times New Roman"/>
          <w:sz w:val="24"/>
          <w:szCs w:val="24"/>
        </w:rPr>
        <w:t xml:space="preserve">While Mills may subjectively believe that she has been treated differently and more harshly because of her race and/or gender, neither her subjective belief </w:t>
      </w:r>
      <w:proofErr w:type="gramStart"/>
      <w:r w:rsidRPr="008F2205">
        <w:rPr>
          <w:rFonts w:ascii="Times New Roman" w:hAnsi="Times New Roman"/>
          <w:sz w:val="24"/>
          <w:szCs w:val="24"/>
        </w:rPr>
        <w:t>or</w:t>
      </w:r>
      <w:proofErr w:type="gramEnd"/>
      <w:r w:rsidRPr="008F2205">
        <w:rPr>
          <w:rFonts w:ascii="Times New Roman" w:hAnsi="Times New Roman"/>
          <w:sz w:val="24"/>
          <w:szCs w:val="24"/>
        </w:rPr>
        <w:t xml:space="preserve"> that of others is enough to present this case to a jury. The Court finds that Mills has presented no genuine issue of material fact regarding whether she was subjected to harassment based on race or gender, and therefore she has failed to present a </w:t>
      </w:r>
      <w:r w:rsidRPr="008F2205">
        <w:rPr>
          <w:rFonts w:ascii="Times New Roman" w:hAnsi="Times New Roman"/>
          <w:i/>
          <w:iCs/>
          <w:sz w:val="24"/>
          <w:szCs w:val="24"/>
        </w:rPr>
        <w:t>prima facie</w:t>
      </w:r>
      <w:r w:rsidRPr="008F2205">
        <w:rPr>
          <w:rFonts w:ascii="Times New Roman" w:hAnsi="Times New Roman"/>
          <w:sz w:val="24"/>
          <w:szCs w:val="24"/>
        </w:rPr>
        <w:t xml:space="preserve"> case for a hostile work environment under Title VII. Therefore, the Court GRANTS the City's Motion for Summary Judgment on this remaining claim.</w:t>
      </w:r>
      <w:r>
        <w:rPr>
          <w:rFonts w:ascii="Times New Roman" w:hAnsi="Times New Roman"/>
          <w:sz w:val="24"/>
          <w:szCs w:val="24"/>
        </w:rPr>
        <w:t>”</w:t>
      </w:r>
    </w:p>
    <w:p w14:paraId="2963BFBB" w14:textId="77777777" w:rsidR="00853142" w:rsidRDefault="00853142" w:rsidP="00853142">
      <w:pPr>
        <w:pStyle w:val="NoSpacing"/>
        <w:ind w:left="720"/>
        <w:rPr>
          <w:rFonts w:ascii="Times New Roman" w:hAnsi="Times New Roman"/>
          <w:sz w:val="24"/>
          <w:szCs w:val="24"/>
        </w:rPr>
      </w:pPr>
    </w:p>
    <w:p w14:paraId="72BF3DD3" w14:textId="2228C2EF" w:rsidR="00853142" w:rsidRDefault="00853142" w:rsidP="00853142">
      <w:pPr>
        <w:pStyle w:val="NoSpacing"/>
      </w:pPr>
      <w:r>
        <w:rPr>
          <w:rFonts w:ascii="Times New Roman" w:hAnsi="Times New Roman"/>
          <w:sz w:val="24"/>
          <w:szCs w:val="24"/>
        </w:rPr>
        <w:lastRenderedPageBreak/>
        <w:t xml:space="preserve">On June 21, 2019, her other claims of race and gender discrimination were dismissed: </w:t>
      </w:r>
      <w:hyperlink r:id="rId1622" w:history="1">
        <w:r w:rsidRPr="00062632">
          <w:rPr>
            <w:rStyle w:val="Hyperlink"/>
            <w:rFonts w:ascii="Times New Roman" w:hAnsi="Times New Roman"/>
            <w:sz w:val="24"/>
            <w:szCs w:val="24"/>
          </w:rPr>
          <w:t>https://www.leagle.com/decision/infdco20190624a02</w:t>
        </w:r>
      </w:hyperlink>
      <w:r>
        <w:rPr>
          <w:rFonts w:ascii="Times New Roman" w:hAnsi="Times New Roman"/>
          <w:sz w:val="24"/>
          <w:szCs w:val="24"/>
        </w:rPr>
        <w:t xml:space="preserve">  </w:t>
      </w:r>
    </w:p>
    <w:p w14:paraId="2DB3C023" w14:textId="77777777" w:rsidR="00853142" w:rsidRDefault="00853142" w:rsidP="00853142">
      <w:pPr>
        <w:pStyle w:val="NoSpacing"/>
        <w:rPr>
          <w:rFonts w:ascii="Times New Roman" w:hAnsi="Times New Roman"/>
          <w:sz w:val="24"/>
          <w:szCs w:val="24"/>
        </w:rPr>
      </w:pPr>
    </w:p>
    <w:p w14:paraId="266D51BA" w14:textId="5697C054" w:rsidR="00853142" w:rsidRDefault="00853142" w:rsidP="00853142">
      <w:pPr>
        <w:pStyle w:val="NoSpacing"/>
        <w:rPr>
          <w:rFonts w:ascii="Times New Roman" w:hAnsi="Times New Roman"/>
          <w:b/>
          <w:bCs/>
          <w:sz w:val="24"/>
          <w:szCs w:val="24"/>
        </w:rPr>
      </w:pPr>
      <w:bookmarkStart w:id="333" w:name="_Hlk40511708"/>
      <w:r w:rsidRPr="009871EA">
        <w:rPr>
          <w:rFonts w:ascii="Times New Roman" w:hAnsi="Times New Roman"/>
          <w:b/>
          <w:bCs/>
          <w:sz w:val="24"/>
          <w:szCs w:val="24"/>
        </w:rPr>
        <w:t xml:space="preserve">Legal Lessons Learned:  </w:t>
      </w:r>
      <w:r>
        <w:rPr>
          <w:rFonts w:ascii="Times New Roman" w:hAnsi="Times New Roman"/>
          <w:b/>
          <w:bCs/>
          <w:sz w:val="24"/>
          <w:szCs w:val="24"/>
        </w:rPr>
        <w:t xml:space="preserve">EMS protocols must be followed, and suspension / remediation training is an appropriate corrective action.    </w:t>
      </w:r>
      <w:bookmarkEnd w:id="333"/>
      <w:r>
        <w:rPr>
          <w:rFonts w:ascii="Times New Roman" w:hAnsi="Times New Roman"/>
          <w:b/>
          <w:bCs/>
          <w:sz w:val="24"/>
          <w:szCs w:val="24"/>
        </w:rPr>
        <w:t>[Also filed, Chap. 13, EMS.]</w:t>
      </w:r>
    </w:p>
    <w:p w14:paraId="4AE507B0" w14:textId="77777777" w:rsidR="00853142" w:rsidRDefault="00853142" w:rsidP="00853142">
      <w:pPr>
        <w:pStyle w:val="NoSpacing"/>
        <w:rPr>
          <w:rFonts w:ascii="Times New Roman" w:hAnsi="Times New Roman"/>
          <w:b/>
          <w:bCs/>
          <w:sz w:val="24"/>
          <w:szCs w:val="24"/>
        </w:rPr>
      </w:pPr>
    </w:p>
    <w:p w14:paraId="4AA3AE3A" w14:textId="5F9AEE97" w:rsidR="00853142" w:rsidRDefault="00853142" w:rsidP="00DE0F03">
      <w:pPr>
        <w:rPr>
          <w:rFonts w:ascii="Arial Black" w:hAnsi="Arial Black"/>
          <w:b/>
          <w:sz w:val="24"/>
          <w:szCs w:val="24"/>
        </w:rPr>
      </w:pPr>
    </w:p>
    <w:p w14:paraId="55BFF9FC" w14:textId="37E92331" w:rsidR="00C80464" w:rsidRDefault="00C80464" w:rsidP="00DE0F03">
      <w:pPr>
        <w:rPr>
          <w:rFonts w:ascii="Arial Black" w:hAnsi="Arial Black"/>
          <w:b/>
          <w:sz w:val="24"/>
          <w:szCs w:val="24"/>
        </w:rPr>
      </w:pPr>
      <w:r>
        <w:rPr>
          <w:rFonts w:ascii="Arial Black" w:hAnsi="Arial Black"/>
          <w:b/>
          <w:sz w:val="24"/>
          <w:szCs w:val="24"/>
        </w:rPr>
        <w:t>8-</w:t>
      </w:r>
      <w:r w:rsidR="005A395B">
        <w:rPr>
          <w:rFonts w:ascii="Arial Black" w:hAnsi="Arial Black"/>
          <w:b/>
          <w:sz w:val="24"/>
          <w:szCs w:val="24"/>
        </w:rPr>
        <w:t>6</w:t>
      </w:r>
    </w:p>
    <w:p w14:paraId="01A93CC9" w14:textId="77777777" w:rsidR="00C80464" w:rsidRDefault="00C80464" w:rsidP="00C80464">
      <w:pPr>
        <w:rPr>
          <w:rFonts w:ascii="Arial Black" w:hAnsi="Arial Black"/>
          <w:sz w:val="28"/>
          <w:szCs w:val="28"/>
        </w:rPr>
      </w:pPr>
      <w:r w:rsidRPr="008D7870">
        <w:rPr>
          <w:rFonts w:ascii="Arial Black" w:hAnsi="Arial Black"/>
          <w:sz w:val="28"/>
          <w:szCs w:val="28"/>
        </w:rPr>
        <w:t xml:space="preserve">MO: </w:t>
      </w:r>
      <w:r>
        <w:rPr>
          <w:rFonts w:ascii="Arial Black" w:hAnsi="Arial Black"/>
          <w:sz w:val="28"/>
          <w:szCs w:val="28"/>
        </w:rPr>
        <w:t>BLACK FF SCORED 32</w:t>
      </w:r>
      <w:r w:rsidRPr="00502E41">
        <w:rPr>
          <w:rFonts w:ascii="Arial Black" w:hAnsi="Arial Black"/>
          <w:sz w:val="28"/>
          <w:szCs w:val="28"/>
          <w:vertAlign w:val="superscript"/>
        </w:rPr>
        <w:t>nd</w:t>
      </w:r>
      <w:r>
        <w:rPr>
          <w:rFonts w:ascii="Arial Black" w:hAnsi="Arial Black"/>
          <w:sz w:val="28"/>
          <w:szCs w:val="28"/>
        </w:rPr>
        <w:t xml:space="preserve"> CAPTAIN’S TEST – RESIGNED 1-YR LATER &amp; RETIRED – NOT “CONSTRUCTIVE DISCHARGE” </w:t>
      </w:r>
    </w:p>
    <w:p w14:paraId="548D9C79" w14:textId="3C263712" w:rsidR="00C80464" w:rsidRDefault="00C80464" w:rsidP="00C80464">
      <w:pPr>
        <w:rPr>
          <w:rFonts w:ascii="Times New Roman" w:hAnsi="Times New Roman"/>
          <w:sz w:val="24"/>
          <w:szCs w:val="24"/>
        </w:rPr>
      </w:pPr>
      <w:r w:rsidRPr="008D7870">
        <w:rPr>
          <w:rFonts w:ascii="Times New Roman" w:hAnsi="Times New Roman"/>
          <w:sz w:val="24"/>
          <w:szCs w:val="24"/>
        </w:rPr>
        <w:t xml:space="preserve">On </w:t>
      </w:r>
      <w:bookmarkStart w:id="334" w:name="_Hlk39838078"/>
      <w:r w:rsidRPr="008D7870">
        <w:rPr>
          <w:rFonts w:ascii="Times New Roman" w:hAnsi="Times New Roman"/>
          <w:sz w:val="24"/>
          <w:szCs w:val="24"/>
        </w:rPr>
        <w:t xml:space="preserve">Sept. 6, 2019, in </w:t>
      </w:r>
      <w:r w:rsidRPr="008D7870">
        <w:rPr>
          <w:rFonts w:ascii="Times New Roman" w:hAnsi="Times New Roman"/>
          <w:sz w:val="24"/>
          <w:szCs w:val="24"/>
          <w:u w:val="single"/>
        </w:rPr>
        <w:t xml:space="preserve">Travis </w:t>
      </w:r>
      <w:proofErr w:type="spellStart"/>
      <w:r w:rsidRPr="008D7870">
        <w:rPr>
          <w:rFonts w:ascii="Times New Roman" w:hAnsi="Times New Roman"/>
          <w:sz w:val="24"/>
          <w:szCs w:val="24"/>
          <w:u w:val="single"/>
        </w:rPr>
        <w:t>Yeargans</w:t>
      </w:r>
      <w:proofErr w:type="spellEnd"/>
      <w:r w:rsidRPr="008D7870">
        <w:rPr>
          <w:rFonts w:ascii="Times New Roman" w:hAnsi="Times New Roman"/>
          <w:sz w:val="24"/>
          <w:szCs w:val="24"/>
          <w:u w:val="single"/>
        </w:rPr>
        <w:t xml:space="preserve"> v. City of Kansas City</w:t>
      </w:r>
      <w:r w:rsidRPr="008D7870">
        <w:rPr>
          <w:rFonts w:ascii="Times New Roman" w:hAnsi="Times New Roman"/>
          <w:sz w:val="24"/>
          <w:szCs w:val="24"/>
        </w:rPr>
        <w:t xml:space="preserve">, </w:t>
      </w:r>
      <w:bookmarkEnd w:id="334"/>
      <w:r>
        <w:rPr>
          <w:rFonts w:ascii="Times New Roman" w:hAnsi="Times New Roman"/>
          <w:sz w:val="24"/>
          <w:szCs w:val="24"/>
        </w:rPr>
        <w:t xml:space="preserve">Senior U.S. District Court Judge </w:t>
      </w:r>
      <w:proofErr w:type="spellStart"/>
      <w:r>
        <w:rPr>
          <w:rFonts w:ascii="Times New Roman" w:hAnsi="Times New Roman"/>
          <w:sz w:val="24"/>
          <w:szCs w:val="24"/>
        </w:rPr>
        <w:t>Ortrie</w:t>
      </w:r>
      <w:proofErr w:type="spellEnd"/>
      <w:r>
        <w:rPr>
          <w:rFonts w:ascii="Times New Roman" w:hAnsi="Times New Roman"/>
          <w:sz w:val="24"/>
          <w:szCs w:val="24"/>
        </w:rPr>
        <w:t xml:space="preserve"> D. Smith, U.S. District Court for Western District of Missouri, granted the City’s motion for summary judgment on the “constructive discharge” claim.  The lawsuit alleging other racial discrimination claims may now proceed to trial. </w:t>
      </w:r>
    </w:p>
    <w:p w14:paraId="57B8A34D" w14:textId="77777777" w:rsidR="00C80464" w:rsidRDefault="00C80464" w:rsidP="00C80464">
      <w:pPr>
        <w:rPr>
          <w:rFonts w:ascii="Times New Roman" w:hAnsi="Times New Roman"/>
          <w:sz w:val="24"/>
          <w:szCs w:val="24"/>
        </w:rPr>
      </w:pPr>
      <w:r>
        <w:rPr>
          <w:rFonts w:ascii="Times New Roman" w:hAnsi="Times New Roman"/>
          <w:sz w:val="24"/>
          <w:szCs w:val="24"/>
        </w:rPr>
        <w:tab/>
        <w:t xml:space="preserve">Senior Judge Smith wrote: </w:t>
      </w:r>
    </w:p>
    <w:p w14:paraId="615DA201" w14:textId="77777777" w:rsidR="00C80464" w:rsidRDefault="00C80464" w:rsidP="00C80464">
      <w:pPr>
        <w:pStyle w:val="NormalWeb"/>
        <w:ind w:left="1440"/>
      </w:pPr>
      <w:r>
        <w:t xml:space="preserve">“Moreover, Plaintiff admits he did not discuss his reasons for leaving the KCFD with Defendant, and he did not complain to Defendant that he was the victim of discrimination. </w:t>
      </w:r>
      <w:proofErr w:type="gramStart"/>
      <w:r>
        <w:t>Doc. #</w:t>
      </w:r>
      <w:proofErr w:type="gramEnd"/>
      <w:r>
        <w:t xml:space="preserve">36-5, at 1-2. These admissions are fatal to his constructive discharge claim. </w:t>
      </w:r>
      <w:r>
        <w:rPr>
          <w:i/>
          <w:iCs/>
        </w:rPr>
        <w:t>See, e.g., Anda,</w:t>
      </w:r>
      <w:r>
        <w:t xml:space="preserve"> 517 F.3d at 535; </w:t>
      </w:r>
      <w:r>
        <w:rPr>
          <w:i/>
          <w:iCs/>
        </w:rPr>
        <w:t>Davison,</w:t>
      </w:r>
      <w:r>
        <w:t xml:space="preserve"> 121 F. </w:t>
      </w:r>
      <w:proofErr w:type="spellStart"/>
      <w:r>
        <w:t>App'x</w:t>
      </w:r>
      <w:proofErr w:type="spellEnd"/>
      <w:r>
        <w:t xml:space="preserve"> at 672; </w:t>
      </w:r>
      <w:r>
        <w:rPr>
          <w:i/>
          <w:iCs/>
        </w:rPr>
        <w:t>Williams v. City of Kan. City,</w:t>
      </w:r>
      <w:r>
        <w:t> </w:t>
      </w:r>
      <w:hyperlink r:id="rId1623" w:history="1">
        <w:r>
          <w:rPr>
            <w:rStyle w:val="Hyperlink"/>
          </w:rPr>
          <w:t>223 F.3d 749</w:t>
        </w:r>
      </w:hyperlink>
      <w:r>
        <w:t xml:space="preserve">, 754 (8th Cir. 2000) (finding the plaintiff did not give the city an opportunity to address her concerns, and therefore, the Court could not say resignation was the plaintiff's only plausible alternative); </w:t>
      </w:r>
      <w:r>
        <w:rPr>
          <w:i/>
          <w:iCs/>
        </w:rPr>
        <w:t>Knowles v. Citicorp Mortg., Inc.,</w:t>
      </w:r>
      <w:r>
        <w:t> </w:t>
      </w:r>
      <w:hyperlink r:id="rId1624" w:history="1">
        <w:r>
          <w:rPr>
            <w:rStyle w:val="Hyperlink"/>
          </w:rPr>
          <w:t>142 F.3d 1082</w:t>
        </w:r>
      </w:hyperlink>
      <w:r>
        <w:t>, 1086 (8th Cir. 1998) (citations omitted).</w:t>
      </w:r>
    </w:p>
    <w:p w14:paraId="7D10CBF1" w14:textId="086CE11A" w:rsidR="005A395B" w:rsidRDefault="00C80464" w:rsidP="005A395B">
      <w:pPr>
        <w:pStyle w:val="NormalWeb"/>
        <w:ind w:left="1440"/>
      </w:pPr>
      <w:r>
        <w:t xml:space="preserve">In addition, Plaintiff does not explain why he left his employment in April 2014 when he received his oral examination scores in November 2012, and the promotional list was published in December 2012. Plaintiff does not demonstrate how his working conditions became ‘so intolerable’ during that timeframe. In fact, Plaintiff points to nothing specific that occurred during that timeframe that rendered his working conditions so intolerable. Instead, the passage of more than a year between the alleged discriminatory act(s) and Plaintiff's decision to leave his employment does not support his contention that his working conditions were </w:t>
      </w:r>
      <w:r w:rsidRPr="00EA4108">
        <w:t>so intolerable he felt he had no choice but to quit.”</w:t>
      </w:r>
      <w:r w:rsidR="005A395B">
        <w:t xml:space="preserve"> </w:t>
      </w:r>
      <w:bookmarkStart w:id="335" w:name="_Hlk39838123"/>
      <w:r w:rsidR="005A395B">
        <w:fldChar w:fldCharType="begin"/>
      </w:r>
      <w:r w:rsidR="005A395B">
        <w:instrText xml:space="preserve"> HYPERLINK "https://www.leagle.com/decision/infdco20190909844" </w:instrText>
      </w:r>
      <w:r w:rsidR="005A395B">
        <w:fldChar w:fldCharType="separate"/>
      </w:r>
      <w:r w:rsidR="005A395B" w:rsidRPr="00C712CE">
        <w:rPr>
          <w:rStyle w:val="Hyperlink"/>
        </w:rPr>
        <w:t>https://www.leagle.com/decision/infdco20190909844</w:t>
      </w:r>
      <w:r w:rsidR="005A395B">
        <w:rPr>
          <w:rStyle w:val="Hyperlink"/>
        </w:rPr>
        <w:fldChar w:fldCharType="end"/>
      </w:r>
      <w:r w:rsidR="005A395B">
        <w:t xml:space="preserve"> </w:t>
      </w:r>
    </w:p>
    <w:bookmarkEnd w:id="335"/>
    <w:p w14:paraId="30DF2EBD" w14:textId="77777777" w:rsidR="005A395B" w:rsidRPr="00EA4108" w:rsidRDefault="005A395B" w:rsidP="00C80464">
      <w:pPr>
        <w:pStyle w:val="NormalWeb"/>
        <w:ind w:left="1440"/>
      </w:pPr>
    </w:p>
    <w:p w14:paraId="2536D4AC" w14:textId="64177E4A" w:rsidR="00C80464" w:rsidRPr="00502E41" w:rsidRDefault="00C80464" w:rsidP="00C80464">
      <w:pPr>
        <w:pStyle w:val="Heading1"/>
        <w:rPr>
          <w:sz w:val="24"/>
          <w:szCs w:val="24"/>
        </w:rPr>
      </w:pPr>
      <w:r w:rsidRPr="00502E41">
        <w:rPr>
          <w:sz w:val="24"/>
          <w:szCs w:val="24"/>
        </w:rPr>
        <w:t xml:space="preserve">Legal Lessons Learned: The promotion process used </w:t>
      </w:r>
      <w:r>
        <w:rPr>
          <w:sz w:val="24"/>
          <w:szCs w:val="24"/>
        </w:rPr>
        <w:t xml:space="preserve">by Kansas City </w:t>
      </w:r>
      <w:r w:rsidRPr="00502E41">
        <w:rPr>
          <w:sz w:val="24"/>
          <w:szCs w:val="24"/>
        </w:rPr>
        <w:t>was well constructed</w:t>
      </w:r>
      <w:r>
        <w:rPr>
          <w:sz w:val="24"/>
          <w:szCs w:val="24"/>
        </w:rPr>
        <w:t xml:space="preserve"> and well documented</w:t>
      </w:r>
      <w:r w:rsidRPr="00502E41">
        <w:rPr>
          <w:sz w:val="24"/>
          <w:szCs w:val="24"/>
        </w:rPr>
        <w:t>.  If a firefighter believes that a promotion process was improperly conducted, or racially discriminatory, promptly file an internal complaint so the matter can be investigated</w:t>
      </w:r>
      <w:r>
        <w:rPr>
          <w:sz w:val="24"/>
          <w:szCs w:val="24"/>
        </w:rPr>
        <w:t xml:space="preserve">, or file an </w:t>
      </w:r>
      <w:r w:rsidRPr="00502E41">
        <w:rPr>
          <w:sz w:val="24"/>
          <w:szCs w:val="24"/>
        </w:rPr>
        <w:t xml:space="preserve">EEOC charge: </w:t>
      </w:r>
      <w:r>
        <w:rPr>
          <w:sz w:val="24"/>
          <w:szCs w:val="24"/>
        </w:rPr>
        <w:t>“</w:t>
      </w:r>
      <w:r w:rsidRPr="00502E41">
        <w:rPr>
          <w:sz w:val="24"/>
          <w:szCs w:val="24"/>
        </w:rPr>
        <w:t xml:space="preserve">Time Limits </w:t>
      </w:r>
      <w:proofErr w:type="gramStart"/>
      <w:r w:rsidRPr="00502E41">
        <w:rPr>
          <w:sz w:val="24"/>
          <w:szCs w:val="24"/>
        </w:rPr>
        <w:t>For</w:t>
      </w:r>
      <w:proofErr w:type="gramEnd"/>
      <w:r w:rsidRPr="00502E41">
        <w:rPr>
          <w:sz w:val="24"/>
          <w:szCs w:val="24"/>
        </w:rPr>
        <w:t xml:space="preserve"> Filing </w:t>
      </w:r>
      <w:proofErr w:type="gramStart"/>
      <w:r w:rsidRPr="00502E41">
        <w:rPr>
          <w:sz w:val="24"/>
          <w:szCs w:val="24"/>
        </w:rPr>
        <w:t>A</w:t>
      </w:r>
      <w:proofErr w:type="gramEnd"/>
      <w:r w:rsidRPr="00502E41">
        <w:rPr>
          <w:sz w:val="24"/>
          <w:szCs w:val="24"/>
        </w:rPr>
        <w:t xml:space="preserve"> Charge</w:t>
      </w:r>
      <w:r>
        <w:rPr>
          <w:sz w:val="24"/>
          <w:szCs w:val="24"/>
        </w:rPr>
        <w:t xml:space="preserve">: </w:t>
      </w:r>
      <w:r w:rsidRPr="00502E41">
        <w:rPr>
          <w:sz w:val="24"/>
          <w:szCs w:val="24"/>
        </w:rPr>
        <w:t xml:space="preserve">The anti-discrimination laws give you a limited amount of time to file a charge of discrimination. In general, you need to file a charge within 180 calendar days from the day the discrimination took place. The </w:t>
      </w:r>
      <w:proofErr w:type="gramStart"/>
      <w:r w:rsidRPr="00502E41">
        <w:rPr>
          <w:sz w:val="24"/>
          <w:szCs w:val="24"/>
        </w:rPr>
        <w:t>180</w:t>
      </w:r>
      <w:r w:rsidR="00BF4DDE">
        <w:rPr>
          <w:sz w:val="24"/>
          <w:szCs w:val="24"/>
        </w:rPr>
        <w:t xml:space="preserve"> </w:t>
      </w:r>
      <w:r w:rsidRPr="00502E41">
        <w:rPr>
          <w:sz w:val="24"/>
          <w:szCs w:val="24"/>
        </w:rPr>
        <w:t>calendar</w:t>
      </w:r>
      <w:proofErr w:type="gramEnd"/>
      <w:r>
        <w:rPr>
          <w:sz w:val="24"/>
          <w:szCs w:val="24"/>
        </w:rPr>
        <w:t xml:space="preserve"> </w:t>
      </w:r>
      <w:r w:rsidRPr="00502E41">
        <w:rPr>
          <w:sz w:val="24"/>
          <w:szCs w:val="24"/>
        </w:rPr>
        <w:t xml:space="preserve">day filing deadline is extended to 300 calendar days if a state or local agency enforces a law that prohibits employment discrimination on the same basis. </w:t>
      </w:r>
      <w:hyperlink r:id="rId1625" w:history="1">
        <w:r w:rsidRPr="00C712CE">
          <w:rPr>
            <w:rStyle w:val="Hyperlink"/>
            <w:sz w:val="24"/>
            <w:szCs w:val="24"/>
          </w:rPr>
          <w:t>https://www.eeoc.gov/employees/timeliness.cfm</w:t>
        </w:r>
      </w:hyperlink>
      <w:r>
        <w:rPr>
          <w:sz w:val="24"/>
          <w:szCs w:val="24"/>
        </w:rPr>
        <w:t xml:space="preserve"> </w:t>
      </w:r>
    </w:p>
    <w:p w14:paraId="033B93A8" w14:textId="77777777" w:rsidR="00853142" w:rsidRDefault="00853142" w:rsidP="00DE0F03">
      <w:pPr>
        <w:rPr>
          <w:rFonts w:ascii="Arial Black" w:hAnsi="Arial Black"/>
          <w:b/>
          <w:sz w:val="24"/>
          <w:szCs w:val="24"/>
        </w:rPr>
      </w:pPr>
    </w:p>
    <w:p w14:paraId="480E87CF" w14:textId="77777777" w:rsidR="00853142" w:rsidRDefault="00853142" w:rsidP="00DE0F03">
      <w:pPr>
        <w:rPr>
          <w:rFonts w:ascii="Arial Black" w:hAnsi="Arial Black"/>
          <w:b/>
          <w:sz w:val="24"/>
          <w:szCs w:val="24"/>
        </w:rPr>
      </w:pPr>
    </w:p>
    <w:p w14:paraId="24CA077B" w14:textId="0C23E665" w:rsidR="009F0F05" w:rsidRDefault="009F0F05" w:rsidP="00DE0F03">
      <w:pPr>
        <w:rPr>
          <w:rFonts w:ascii="Arial Black" w:hAnsi="Arial Black"/>
          <w:b/>
          <w:sz w:val="24"/>
          <w:szCs w:val="24"/>
        </w:rPr>
      </w:pPr>
      <w:r>
        <w:rPr>
          <w:rFonts w:ascii="Arial Black" w:hAnsi="Arial Black"/>
          <w:b/>
          <w:sz w:val="24"/>
          <w:szCs w:val="24"/>
        </w:rPr>
        <w:t>8-</w:t>
      </w:r>
      <w:r w:rsidR="005A395B">
        <w:rPr>
          <w:rFonts w:ascii="Arial Black" w:hAnsi="Arial Black"/>
          <w:b/>
          <w:sz w:val="24"/>
          <w:szCs w:val="24"/>
        </w:rPr>
        <w:t>5</w:t>
      </w:r>
    </w:p>
    <w:p w14:paraId="429CDB91" w14:textId="77777777" w:rsidR="009F0F05" w:rsidRDefault="009F0F05" w:rsidP="009F0F05">
      <w:pPr>
        <w:rPr>
          <w:rFonts w:ascii="Arial Black" w:hAnsi="Arial Black"/>
          <w:sz w:val="28"/>
          <w:szCs w:val="28"/>
        </w:rPr>
      </w:pPr>
      <w:bookmarkStart w:id="336" w:name="_Hlk39765165"/>
      <w:r>
        <w:rPr>
          <w:rFonts w:ascii="Arial Black" w:hAnsi="Arial Black"/>
          <w:sz w:val="28"/>
          <w:szCs w:val="28"/>
        </w:rPr>
        <w:t>U.S. SUP. CT:  MURDER DEFENDANT GETS NEW TRIAL (HIS 7</w:t>
      </w:r>
      <w:r w:rsidRPr="008C483C">
        <w:rPr>
          <w:rFonts w:ascii="Arial Black" w:hAnsi="Arial Black"/>
          <w:sz w:val="28"/>
          <w:szCs w:val="28"/>
          <w:vertAlign w:val="superscript"/>
        </w:rPr>
        <w:t>TH</w:t>
      </w:r>
      <w:r>
        <w:rPr>
          <w:rFonts w:ascii="Arial Black" w:hAnsi="Arial Black"/>
          <w:sz w:val="28"/>
          <w:szCs w:val="28"/>
        </w:rPr>
        <w:t xml:space="preserve">) - PROSECUTOR REPEATEDLY REMOVED BLACKS FROM JURY </w:t>
      </w:r>
    </w:p>
    <w:p w14:paraId="16A00F70" w14:textId="424D72BA" w:rsidR="009F0F05" w:rsidRPr="00AB528C" w:rsidRDefault="009F0F05" w:rsidP="009F0F05">
      <w:pPr>
        <w:rPr>
          <w:rFonts w:ascii="Times New Roman" w:hAnsi="Times New Roman"/>
          <w:sz w:val="24"/>
          <w:szCs w:val="24"/>
        </w:rPr>
      </w:pPr>
      <w:bookmarkStart w:id="337" w:name="_Hlk39837497"/>
      <w:r w:rsidRPr="00AB528C">
        <w:rPr>
          <w:rFonts w:ascii="Times New Roman" w:hAnsi="Times New Roman"/>
          <w:sz w:val="24"/>
          <w:szCs w:val="24"/>
        </w:rPr>
        <w:t xml:space="preserve">On June 21, 2019, in </w:t>
      </w:r>
      <w:r w:rsidRPr="00AB528C">
        <w:rPr>
          <w:rFonts w:ascii="Times New Roman" w:hAnsi="Times New Roman"/>
          <w:sz w:val="24"/>
          <w:szCs w:val="24"/>
          <w:u w:val="single"/>
        </w:rPr>
        <w:t>Flowers v. Mississippi</w:t>
      </w:r>
      <w:bookmarkEnd w:id="337"/>
      <w:r w:rsidRPr="00AB528C">
        <w:rPr>
          <w:rFonts w:ascii="Times New Roman" w:hAnsi="Times New Roman"/>
          <w:sz w:val="24"/>
          <w:szCs w:val="24"/>
        </w:rPr>
        <w:t xml:space="preserve">, the U.S. Supreme Court (7 to 2), </w:t>
      </w:r>
      <w:r>
        <w:rPr>
          <w:rFonts w:ascii="Times New Roman" w:hAnsi="Times New Roman"/>
          <w:sz w:val="24"/>
          <w:szCs w:val="24"/>
        </w:rPr>
        <w:t xml:space="preserve">overturned the defendant’s </w:t>
      </w:r>
      <w:r w:rsidRPr="00AB528C">
        <w:rPr>
          <w:rFonts w:ascii="Times New Roman" w:hAnsi="Times New Roman"/>
          <w:sz w:val="24"/>
          <w:szCs w:val="24"/>
        </w:rPr>
        <w:t>conviction of murdering four people</w:t>
      </w:r>
      <w:r>
        <w:rPr>
          <w:rFonts w:ascii="Times New Roman" w:hAnsi="Times New Roman"/>
          <w:sz w:val="24"/>
          <w:szCs w:val="24"/>
        </w:rPr>
        <w:t>, and remand the case for re-trial (he has previously been tried six times for the murders).</w:t>
      </w:r>
      <w:r w:rsidRPr="00AB528C">
        <w:rPr>
          <w:rFonts w:ascii="Times New Roman" w:hAnsi="Times New Roman"/>
          <w:sz w:val="24"/>
          <w:szCs w:val="24"/>
        </w:rPr>
        <w:t xml:space="preserve"> </w:t>
      </w:r>
    </w:p>
    <w:p w14:paraId="157CF34A" w14:textId="77777777" w:rsidR="009F0F05" w:rsidRPr="00D3075E" w:rsidRDefault="009F0F05" w:rsidP="009F0F05">
      <w:pPr>
        <w:rPr>
          <w:rFonts w:ascii="Times New Roman" w:hAnsi="Times New Roman"/>
          <w:sz w:val="24"/>
          <w:szCs w:val="24"/>
        </w:rPr>
      </w:pPr>
      <w:r>
        <w:rPr>
          <w:sz w:val="27"/>
          <w:szCs w:val="27"/>
        </w:rPr>
        <w:tab/>
      </w:r>
      <w:r w:rsidRPr="00D3075E">
        <w:rPr>
          <w:rFonts w:ascii="Times New Roman" w:hAnsi="Times New Roman"/>
          <w:sz w:val="24"/>
          <w:szCs w:val="24"/>
        </w:rPr>
        <w:t xml:space="preserve">Justice </w:t>
      </w:r>
      <w:r>
        <w:rPr>
          <w:rFonts w:ascii="Times New Roman" w:hAnsi="Times New Roman"/>
          <w:sz w:val="24"/>
          <w:szCs w:val="24"/>
        </w:rPr>
        <w:t xml:space="preserve">Brett </w:t>
      </w:r>
      <w:r w:rsidRPr="00D3075E">
        <w:rPr>
          <w:rFonts w:ascii="Times New Roman" w:hAnsi="Times New Roman"/>
          <w:sz w:val="24"/>
          <w:szCs w:val="24"/>
        </w:rPr>
        <w:t xml:space="preserve">Kavanaugh wrote majority opinion: </w:t>
      </w:r>
    </w:p>
    <w:p w14:paraId="4DC68B48" w14:textId="77777777" w:rsidR="00DB482B" w:rsidRPr="00AB528C" w:rsidRDefault="009F0F05" w:rsidP="00DB482B">
      <w:pPr>
        <w:ind w:left="720"/>
        <w:rPr>
          <w:rFonts w:ascii="Times New Roman" w:hAnsi="Times New Roman"/>
          <w:sz w:val="24"/>
          <w:szCs w:val="24"/>
        </w:rPr>
      </w:pPr>
      <w:r>
        <w:rPr>
          <w:sz w:val="27"/>
          <w:szCs w:val="27"/>
        </w:rPr>
        <w:t>“</w:t>
      </w:r>
      <w:r w:rsidRPr="00D3075E">
        <w:rPr>
          <w:rFonts w:ascii="Times New Roman" w:hAnsi="Times New Roman"/>
          <w:sz w:val="24"/>
          <w:szCs w:val="24"/>
        </w:rPr>
        <w:t>Four critical facts, taken together, require reversal. First, in the six trials combined, the State employed its peremptory challenges to strike 41 of the 42 black prospective jurors that it could have struck</w:t>
      </w:r>
      <w:proofErr w:type="gramStart"/>
      <w:r w:rsidRPr="00D3075E">
        <w:rPr>
          <w:rFonts w:ascii="Times New Roman" w:hAnsi="Times New Roman"/>
          <w:sz w:val="24"/>
          <w:szCs w:val="24"/>
        </w:rPr>
        <w:t>—a statistic</w:t>
      </w:r>
      <w:proofErr w:type="gramEnd"/>
      <w:r w:rsidRPr="00D3075E">
        <w:rPr>
          <w:rFonts w:ascii="Times New Roman" w:hAnsi="Times New Roman"/>
          <w:sz w:val="24"/>
          <w:szCs w:val="24"/>
        </w:rPr>
        <w:t xml:space="preserve"> that the State acknowledged at oral argument in this Court. Tr. of Oral Arg. 32. Second, in the most recent trial, the sixth trial, the State exercised peremptory strikes against five of the six black prospective jurors. Third, at the sixth trial, in an apparent effort to find pretextual reasons to strike black prospective jurors, the State engaged in dramatically disparate questioning of black and white prospective</w:t>
      </w:r>
      <w:r>
        <w:rPr>
          <w:rFonts w:ascii="Times New Roman" w:hAnsi="Times New Roman"/>
          <w:sz w:val="24"/>
          <w:szCs w:val="24"/>
        </w:rPr>
        <w:t xml:space="preserve"> </w:t>
      </w:r>
      <w:r w:rsidRPr="00D3075E">
        <w:rPr>
          <w:rFonts w:ascii="Times New Roman" w:hAnsi="Times New Roman"/>
          <w:sz w:val="24"/>
          <w:szCs w:val="24"/>
        </w:rPr>
        <w:t xml:space="preserve">jurors. Fourth, the State then struck at least one black prospective juror, Carolyn Wright, who was similarly situated to white prospective jurors who were not struck by the </w:t>
      </w:r>
      <w:proofErr w:type="gramStart"/>
      <w:r w:rsidRPr="00D3075E">
        <w:rPr>
          <w:rFonts w:ascii="Times New Roman" w:hAnsi="Times New Roman"/>
          <w:sz w:val="24"/>
          <w:szCs w:val="24"/>
        </w:rPr>
        <w:t>State</w:t>
      </w:r>
      <w:r>
        <w:rPr>
          <w:rFonts w:ascii="Times New Roman" w:hAnsi="Times New Roman"/>
          <w:sz w:val="24"/>
          <w:szCs w:val="24"/>
        </w:rPr>
        <w:t>.”</w:t>
      </w:r>
      <w:proofErr w:type="gramEnd"/>
      <w:r w:rsidR="00DB482B">
        <w:rPr>
          <w:rFonts w:ascii="Times New Roman" w:hAnsi="Times New Roman"/>
          <w:sz w:val="24"/>
          <w:szCs w:val="24"/>
        </w:rPr>
        <w:t xml:space="preserve"> </w:t>
      </w:r>
      <w:bookmarkStart w:id="338" w:name="_Hlk39837474"/>
      <w:r w:rsidR="00DC51D4">
        <w:fldChar w:fldCharType="begin"/>
      </w:r>
      <w:r w:rsidR="00DC51D4">
        <w:instrText xml:space="preserve"> HYPERLINK "https://www.supremecourt.gov/opinions/18pdf/17-9572_k536.pdf" </w:instrText>
      </w:r>
      <w:r w:rsidR="00DC51D4">
        <w:fldChar w:fldCharType="separate"/>
      </w:r>
      <w:r w:rsidR="00DB482B" w:rsidRPr="00AB528C">
        <w:rPr>
          <w:rStyle w:val="Hyperlink"/>
          <w:rFonts w:ascii="Times New Roman" w:hAnsi="Times New Roman"/>
          <w:sz w:val="24"/>
          <w:szCs w:val="24"/>
        </w:rPr>
        <w:t>https://www.supremecourt.gov/opinions/18pdf/17-9572_k536.pdf</w:t>
      </w:r>
      <w:r w:rsidR="00DC51D4">
        <w:rPr>
          <w:rStyle w:val="Hyperlink"/>
          <w:rFonts w:ascii="Times New Roman" w:hAnsi="Times New Roman"/>
          <w:sz w:val="24"/>
          <w:szCs w:val="24"/>
        </w:rPr>
        <w:fldChar w:fldCharType="end"/>
      </w:r>
      <w:r w:rsidR="00DB482B" w:rsidRPr="00AB528C">
        <w:rPr>
          <w:rFonts w:ascii="Times New Roman" w:hAnsi="Times New Roman"/>
          <w:sz w:val="24"/>
          <w:szCs w:val="24"/>
        </w:rPr>
        <w:t xml:space="preserve"> </w:t>
      </w:r>
    </w:p>
    <w:bookmarkEnd w:id="336"/>
    <w:bookmarkEnd w:id="338"/>
    <w:p w14:paraId="758E08D0" w14:textId="54DA30C8" w:rsidR="009F0F05" w:rsidRDefault="009F0F05" w:rsidP="009F0F05">
      <w:pPr>
        <w:ind w:left="1440"/>
        <w:rPr>
          <w:rFonts w:ascii="Times New Roman" w:hAnsi="Times New Roman"/>
          <w:sz w:val="24"/>
          <w:szCs w:val="24"/>
        </w:rPr>
      </w:pPr>
    </w:p>
    <w:p w14:paraId="482C96BE" w14:textId="77777777" w:rsidR="009F0F05" w:rsidRPr="00961F1A" w:rsidRDefault="009F0F05" w:rsidP="009F0F05">
      <w:pPr>
        <w:rPr>
          <w:rFonts w:ascii="Times New Roman" w:hAnsi="Times New Roman"/>
          <w:b/>
          <w:bCs/>
          <w:sz w:val="24"/>
          <w:szCs w:val="24"/>
        </w:rPr>
      </w:pPr>
      <w:r w:rsidRPr="00961F1A">
        <w:rPr>
          <w:rFonts w:ascii="Times New Roman" w:hAnsi="Times New Roman"/>
          <w:b/>
          <w:bCs/>
          <w:sz w:val="24"/>
          <w:szCs w:val="24"/>
        </w:rPr>
        <w:t xml:space="preserve">Legal Lessons Learned: </w:t>
      </w:r>
      <w:r>
        <w:rPr>
          <w:rFonts w:ascii="Times New Roman" w:hAnsi="Times New Roman"/>
          <w:b/>
          <w:bCs/>
          <w:sz w:val="24"/>
          <w:szCs w:val="24"/>
        </w:rPr>
        <w:t xml:space="preserve">The U.S. Supreme Court will not allow prosecutors to use peremptory strikes to unfairly exclude black jurors.  </w:t>
      </w:r>
    </w:p>
    <w:p w14:paraId="32778034" w14:textId="77777777" w:rsidR="009F0F05" w:rsidRDefault="009F0F05" w:rsidP="00DE0F03">
      <w:pPr>
        <w:rPr>
          <w:rFonts w:ascii="Arial Black" w:hAnsi="Arial Black"/>
          <w:b/>
          <w:sz w:val="24"/>
          <w:szCs w:val="24"/>
        </w:rPr>
      </w:pPr>
    </w:p>
    <w:p w14:paraId="0D1E589E" w14:textId="05EECF7E" w:rsidR="00DE0F03" w:rsidRDefault="00DE0F03" w:rsidP="00DE0F03">
      <w:pPr>
        <w:rPr>
          <w:color w:val="4A4A4A"/>
          <w:sz w:val="24"/>
          <w:szCs w:val="24"/>
          <w:lang w:val="en"/>
        </w:rPr>
      </w:pPr>
      <w:r>
        <w:rPr>
          <w:rFonts w:ascii="Arial Black" w:hAnsi="Arial Black"/>
          <w:b/>
          <w:sz w:val="24"/>
          <w:szCs w:val="24"/>
        </w:rPr>
        <w:t>8</w:t>
      </w:r>
      <w:r w:rsidRPr="00EF1133">
        <w:rPr>
          <w:rFonts w:ascii="Arial Black" w:hAnsi="Arial Black"/>
          <w:b/>
          <w:sz w:val="24"/>
          <w:szCs w:val="24"/>
        </w:rPr>
        <w:t>-</w:t>
      </w:r>
      <w:r w:rsidR="005A395B">
        <w:rPr>
          <w:rFonts w:ascii="Arial Black" w:hAnsi="Arial Black"/>
          <w:b/>
          <w:sz w:val="24"/>
          <w:szCs w:val="24"/>
        </w:rPr>
        <w:t>4</w:t>
      </w:r>
    </w:p>
    <w:p w14:paraId="43B34F40" w14:textId="7FD8A37E" w:rsidR="00F326E5" w:rsidRDefault="00F326E5" w:rsidP="00F326E5">
      <w:pPr>
        <w:pStyle w:val="NoSpacing"/>
        <w:rPr>
          <w:rFonts w:ascii="Arial Black" w:hAnsi="Arial Black"/>
          <w:sz w:val="28"/>
          <w:szCs w:val="28"/>
        </w:rPr>
      </w:pPr>
      <w:bookmarkStart w:id="339" w:name="_Hlk7344503"/>
      <w:r w:rsidRPr="00455CC9">
        <w:rPr>
          <w:rFonts w:ascii="Arial Black" w:hAnsi="Arial Black"/>
          <w:sz w:val="28"/>
          <w:szCs w:val="28"/>
        </w:rPr>
        <w:t xml:space="preserve">FL: </w:t>
      </w:r>
      <w:r>
        <w:rPr>
          <w:rFonts w:ascii="Arial Black" w:hAnsi="Arial Black"/>
          <w:sz w:val="28"/>
          <w:szCs w:val="28"/>
        </w:rPr>
        <w:t xml:space="preserve">DOCTOR COMPLAINED ABOUT MEDICAL CLEARANCE OF FF – NOT </w:t>
      </w:r>
      <w:r w:rsidR="0015021B">
        <w:rPr>
          <w:rFonts w:ascii="Arial Black" w:hAnsi="Arial Black"/>
          <w:sz w:val="28"/>
          <w:szCs w:val="28"/>
        </w:rPr>
        <w:t xml:space="preserve">PROTECTED </w:t>
      </w:r>
      <w:r>
        <w:rPr>
          <w:rFonts w:ascii="Arial Black" w:hAnsi="Arial Black"/>
          <w:sz w:val="28"/>
          <w:szCs w:val="28"/>
        </w:rPr>
        <w:t>FIRST AMENDMENT SPEECH</w:t>
      </w:r>
    </w:p>
    <w:p w14:paraId="50F41973" w14:textId="77777777" w:rsidR="00F326E5" w:rsidRPr="00BF4DDE" w:rsidRDefault="00F326E5" w:rsidP="00F326E5">
      <w:pPr>
        <w:pStyle w:val="NoSpacing"/>
        <w:rPr>
          <w:rFonts w:ascii="Times New Roman" w:hAnsi="Times New Roman"/>
          <w:sz w:val="24"/>
          <w:szCs w:val="24"/>
        </w:rPr>
      </w:pPr>
      <w:r w:rsidRPr="00BF4DDE">
        <w:rPr>
          <w:rFonts w:ascii="Times New Roman" w:hAnsi="Times New Roman"/>
          <w:sz w:val="24"/>
          <w:szCs w:val="24"/>
        </w:rPr>
        <w:t xml:space="preserve">On March 1, 2019, in </w:t>
      </w:r>
      <w:r w:rsidRPr="00BF4DDE">
        <w:rPr>
          <w:rFonts w:ascii="Times New Roman" w:hAnsi="Times New Roman"/>
          <w:sz w:val="24"/>
          <w:szCs w:val="24"/>
          <w:u w:val="single"/>
        </w:rPr>
        <w:t>Nancy King v. Board of County Commissioners, Polk County</w:t>
      </w:r>
      <w:r w:rsidRPr="00BF4DDE">
        <w:rPr>
          <w:rFonts w:ascii="Times New Roman" w:hAnsi="Times New Roman"/>
          <w:sz w:val="24"/>
          <w:szCs w:val="24"/>
        </w:rPr>
        <w:t>, the U.S. Court of Appeals for the 11</w:t>
      </w:r>
      <w:r w:rsidRPr="00BF4DDE">
        <w:rPr>
          <w:rFonts w:ascii="Times New Roman" w:hAnsi="Times New Roman"/>
          <w:sz w:val="24"/>
          <w:szCs w:val="24"/>
          <w:vertAlign w:val="superscript"/>
        </w:rPr>
        <w:t>th</w:t>
      </w:r>
      <w:r w:rsidRPr="00BF4DDE">
        <w:rPr>
          <w:rFonts w:ascii="Times New Roman" w:hAnsi="Times New Roman"/>
          <w:sz w:val="24"/>
          <w:szCs w:val="24"/>
        </w:rPr>
        <w:t xml:space="preserve"> Circuit (Atlanta) held (3 to 0) that U.S. District Court judge properly granted summary judgment to Polk County.  “She did not engage in speech protected by the First Amendment, however, because she spoke as an employee and not as a private citizen.”</w:t>
      </w:r>
    </w:p>
    <w:p w14:paraId="3F812A64" w14:textId="77777777" w:rsidR="00F326E5" w:rsidRPr="00BF4DDE" w:rsidRDefault="00F326E5" w:rsidP="00F326E5">
      <w:pPr>
        <w:rPr>
          <w:rFonts w:ascii="Times New Roman" w:hAnsi="Times New Roman"/>
          <w:b/>
          <w:sz w:val="24"/>
          <w:szCs w:val="24"/>
        </w:rPr>
      </w:pPr>
      <w:hyperlink r:id="rId1626" w:history="1">
        <w:r w:rsidRPr="00BF4DDE">
          <w:rPr>
            <w:rStyle w:val="Hyperlink"/>
            <w:rFonts w:ascii="Times New Roman" w:hAnsi="Times New Roman"/>
            <w:sz w:val="24"/>
            <w:szCs w:val="24"/>
          </w:rPr>
          <w:t>https://law.justia.com/cases/federal/appellate-courts/ca11/18-10631/18-10631-2019-03-01.html</w:t>
        </w:r>
      </w:hyperlink>
      <w:r w:rsidRPr="00BF4DDE">
        <w:rPr>
          <w:rFonts w:ascii="Times New Roman" w:hAnsi="Times New Roman"/>
          <w:b/>
          <w:sz w:val="24"/>
          <w:szCs w:val="24"/>
        </w:rPr>
        <w:t xml:space="preserve"> </w:t>
      </w:r>
    </w:p>
    <w:p w14:paraId="59442175" w14:textId="77777777" w:rsidR="00F326E5" w:rsidRPr="00BF4DDE" w:rsidRDefault="00F326E5" w:rsidP="00F326E5">
      <w:pPr>
        <w:pStyle w:val="NoSpacing"/>
        <w:rPr>
          <w:rFonts w:ascii="Times New Roman" w:hAnsi="Times New Roman"/>
          <w:b/>
          <w:sz w:val="24"/>
          <w:szCs w:val="24"/>
        </w:rPr>
      </w:pPr>
      <w:r w:rsidRPr="00BF4DDE">
        <w:rPr>
          <w:rFonts w:ascii="Times New Roman" w:hAnsi="Times New Roman"/>
          <w:b/>
          <w:sz w:val="24"/>
          <w:szCs w:val="24"/>
        </w:rPr>
        <w:t xml:space="preserve">Legal Lessons Learned:  Public employees have limited First Amendment rights; reverse discrimination not proven.  </w:t>
      </w:r>
    </w:p>
    <w:p w14:paraId="6CAA2169" w14:textId="77777777" w:rsidR="00C17A9D" w:rsidRDefault="00C17A9D" w:rsidP="00F326E5">
      <w:pPr>
        <w:pStyle w:val="NoSpacing"/>
        <w:rPr>
          <w:bCs/>
          <w:sz w:val="24"/>
          <w:szCs w:val="24"/>
        </w:rPr>
      </w:pPr>
    </w:p>
    <w:p w14:paraId="7B539013" w14:textId="77777777" w:rsidR="00F326E5" w:rsidRPr="00C56DAA" w:rsidRDefault="00F326E5" w:rsidP="00F326E5">
      <w:pPr>
        <w:pStyle w:val="NoSpacing"/>
        <w:rPr>
          <w:sz w:val="24"/>
          <w:szCs w:val="24"/>
        </w:rPr>
      </w:pPr>
    </w:p>
    <w:bookmarkEnd w:id="339"/>
    <w:p w14:paraId="102240D8" w14:textId="77777777" w:rsidR="00DE0F03" w:rsidRDefault="00DE0F03" w:rsidP="00DE0F03">
      <w:pPr>
        <w:rPr>
          <w:rFonts w:ascii="Arial Black" w:hAnsi="Arial Black"/>
          <w:b/>
          <w:sz w:val="24"/>
          <w:szCs w:val="24"/>
        </w:rPr>
      </w:pPr>
    </w:p>
    <w:p w14:paraId="2BFF8357" w14:textId="347D2420" w:rsidR="00DE0F03" w:rsidRDefault="00DE0F03" w:rsidP="00DE0F03">
      <w:pPr>
        <w:rPr>
          <w:color w:val="4A4A4A"/>
          <w:sz w:val="24"/>
          <w:szCs w:val="24"/>
          <w:lang w:val="en"/>
        </w:rPr>
      </w:pPr>
      <w:r>
        <w:rPr>
          <w:rFonts w:ascii="Arial Black" w:hAnsi="Arial Black"/>
          <w:b/>
          <w:sz w:val="24"/>
          <w:szCs w:val="24"/>
        </w:rPr>
        <w:t>8</w:t>
      </w:r>
      <w:r w:rsidRPr="00EF1133">
        <w:rPr>
          <w:rFonts w:ascii="Arial Black" w:hAnsi="Arial Black"/>
          <w:b/>
          <w:sz w:val="24"/>
          <w:szCs w:val="24"/>
        </w:rPr>
        <w:t>-</w:t>
      </w:r>
      <w:r w:rsidR="005A395B">
        <w:rPr>
          <w:rFonts w:ascii="Arial Black" w:hAnsi="Arial Black"/>
          <w:b/>
          <w:sz w:val="24"/>
          <w:szCs w:val="24"/>
        </w:rPr>
        <w:t>3</w:t>
      </w:r>
    </w:p>
    <w:p w14:paraId="3F6DA88F" w14:textId="350523EB" w:rsidR="00F326E5" w:rsidRDefault="00F326E5" w:rsidP="00F326E5">
      <w:pPr>
        <w:pStyle w:val="NoSpacing"/>
        <w:rPr>
          <w:rFonts w:ascii="Arial Black" w:hAnsi="Arial Black"/>
          <w:b/>
          <w:bCs/>
          <w:sz w:val="28"/>
          <w:szCs w:val="28"/>
        </w:rPr>
      </w:pPr>
      <w:bookmarkStart w:id="340" w:name="_Hlk7344544"/>
      <w:r>
        <w:rPr>
          <w:rFonts w:ascii="Arial Black" w:hAnsi="Arial Black"/>
          <w:bCs/>
          <w:sz w:val="28"/>
          <w:szCs w:val="28"/>
        </w:rPr>
        <w:lastRenderedPageBreak/>
        <w:t>MI: DETROIT – CITY WIDE LAYOFFS - 11 FF LAWSUIT AGAINST UNION DISMISSED, FOLLOWED CBA</w:t>
      </w:r>
    </w:p>
    <w:p w14:paraId="2B86F166" w14:textId="77777777" w:rsidR="00BF4DDE" w:rsidRDefault="00F326E5" w:rsidP="00F326E5">
      <w:pPr>
        <w:pStyle w:val="PlainText"/>
        <w:rPr>
          <w:rFonts w:ascii="Times New Roman" w:hAnsi="Times New Roman" w:cs="Times New Roman"/>
          <w:sz w:val="24"/>
          <w:szCs w:val="24"/>
        </w:rPr>
      </w:pPr>
      <w:r w:rsidRPr="00BF4DDE">
        <w:rPr>
          <w:rFonts w:ascii="Times New Roman" w:hAnsi="Times New Roman" w:cs="Times New Roman"/>
          <w:bCs/>
          <w:sz w:val="24"/>
          <w:szCs w:val="24"/>
        </w:rPr>
        <w:t xml:space="preserve">On Feb. 4, 2019, in </w:t>
      </w:r>
      <w:r w:rsidRPr="00BF4DDE">
        <w:rPr>
          <w:rFonts w:ascii="Times New Roman" w:hAnsi="Times New Roman" w:cs="Times New Roman"/>
          <w:bCs/>
          <w:sz w:val="24"/>
          <w:szCs w:val="24"/>
          <w:u w:val="single"/>
        </w:rPr>
        <w:t>Eric Peeples, et al. v. City of Detroit, et al</w:t>
      </w:r>
      <w:r w:rsidRPr="00BF4DDE">
        <w:rPr>
          <w:rFonts w:ascii="Times New Roman" w:hAnsi="Times New Roman" w:cs="Times New Roman"/>
          <w:bCs/>
          <w:sz w:val="24"/>
          <w:szCs w:val="24"/>
        </w:rPr>
        <w:t xml:space="preserve">, Civil Action No. 13-13858, U.S. District Court Judge Dean F. Cox, Eastern District of Michigan (Southern District), granted the motion for summary judgment filed by </w:t>
      </w:r>
      <w:r w:rsidRPr="00BF4DDE">
        <w:rPr>
          <w:rFonts w:ascii="Times New Roman" w:hAnsi="Times New Roman" w:cs="Times New Roman"/>
          <w:sz w:val="24"/>
          <w:szCs w:val="24"/>
        </w:rPr>
        <w:t xml:space="preserve">Detroit Fire Fighters Association, Local 344, finding: </w:t>
      </w:r>
    </w:p>
    <w:p w14:paraId="3BC147F8" w14:textId="77777777" w:rsidR="00BF4DDE" w:rsidRDefault="00BF4DDE" w:rsidP="00F326E5">
      <w:pPr>
        <w:pStyle w:val="PlainText"/>
        <w:rPr>
          <w:rFonts w:ascii="Times New Roman" w:hAnsi="Times New Roman" w:cs="Times New Roman"/>
          <w:sz w:val="24"/>
          <w:szCs w:val="24"/>
        </w:rPr>
      </w:pPr>
    </w:p>
    <w:p w14:paraId="6CE85136" w14:textId="4AF717C7" w:rsidR="00F326E5" w:rsidRPr="00BF4DDE" w:rsidRDefault="00BF4DDE" w:rsidP="00BF4DDE">
      <w:pPr>
        <w:pStyle w:val="PlainText"/>
        <w:ind w:left="720"/>
        <w:rPr>
          <w:rFonts w:ascii="Times New Roman" w:hAnsi="Times New Roman" w:cs="Times New Roman"/>
          <w:b/>
          <w:sz w:val="24"/>
          <w:szCs w:val="24"/>
        </w:rPr>
      </w:pPr>
      <w:r>
        <w:rPr>
          <w:rFonts w:ascii="Times New Roman" w:hAnsi="Times New Roman" w:cs="Times New Roman"/>
          <w:sz w:val="24"/>
          <w:szCs w:val="24"/>
        </w:rPr>
        <w:t>“</w:t>
      </w:r>
      <w:r w:rsidR="00F326E5" w:rsidRPr="00BF4DDE">
        <w:rPr>
          <w:rFonts w:ascii="Times New Roman" w:hAnsi="Times New Roman" w:cs="Times New Roman"/>
          <w:sz w:val="24"/>
          <w:szCs w:val="24"/>
        </w:rPr>
        <w:t xml:space="preserve">Plaintiffs have no direct evidence of race discrimination.  In opposing the Union's motion, Plaintiffs have not presented any statistical evidence to this Court.”  The Judge, however, did not require Plaintiffs to reimburse Union for its attorney fees: “The Court also concludes that the Union has not shown that an award of attorney fees against the Plaintiffs themselves is warranted in this case. </w:t>
      </w:r>
      <w:r w:rsidR="00F326E5" w:rsidRPr="00BF4DDE">
        <w:rPr>
          <w:rFonts w:ascii="Times New Roman" w:hAnsi="Times New Roman" w:cs="Times New Roman"/>
          <w:i/>
          <w:iCs/>
          <w:sz w:val="24"/>
          <w:szCs w:val="24"/>
        </w:rPr>
        <w:t>Christiansburg Garment Co</w:t>
      </w:r>
      <w:r w:rsidR="00F326E5" w:rsidRPr="00BF4DDE">
        <w:rPr>
          <w:rFonts w:ascii="Times New Roman" w:hAnsi="Times New Roman" w:cs="Times New Roman"/>
          <w:sz w:val="24"/>
          <w:szCs w:val="24"/>
        </w:rPr>
        <w:t xml:space="preserve">. </w:t>
      </w:r>
      <w:r w:rsidR="00F326E5" w:rsidRPr="00BF4DDE">
        <w:rPr>
          <w:rFonts w:ascii="Times New Roman" w:hAnsi="Times New Roman" w:cs="Times New Roman"/>
          <w:i/>
          <w:iCs/>
          <w:sz w:val="24"/>
          <w:szCs w:val="24"/>
        </w:rPr>
        <w:t>v</w:t>
      </w:r>
      <w:r w:rsidR="00F326E5" w:rsidRPr="00BF4DDE">
        <w:rPr>
          <w:rFonts w:ascii="Times New Roman" w:hAnsi="Times New Roman" w:cs="Times New Roman"/>
          <w:sz w:val="24"/>
          <w:szCs w:val="24"/>
        </w:rPr>
        <w:t xml:space="preserve">. </w:t>
      </w:r>
      <w:r w:rsidR="00F326E5" w:rsidRPr="00BF4DDE">
        <w:rPr>
          <w:rFonts w:ascii="Times New Roman" w:hAnsi="Times New Roman" w:cs="Times New Roman"/>
          <w:i/>
          <w:iCs/>
          <w:sz w:val="24"/>
          <w:szCs w:val="24"/>
        </w:rPr>
        <w:t>EEOC</w:t>
      </w:r>
      <w:hyperlink r:id="rId1627" w:history="1">
        <w:r w:rsidR="00F326E5" w:rsidRPr="00BF4DDE">
          <w:rPr>
            <w:rStyle w:val="Hyperlink"/>
            <w:rFonts w:ascii="Times New Roman" w:hAnsi="Times New Roman" w:cs="Times New Roman"/>
            <w:b/>
            <w:sz w:val="24"/>
            <w:szCs w:val="24"/>
          </w:rPr>
          <w:t>, 434 U.S. 412 (1978)</w:t>
        </w:r>
      </w:hyperlink>
      <w:r w:rsidR="00F326E5" w:rsidRPr="00BF4DDE">
        <w:rPr>
          <w:rFonts w:ascii="Times New Roman" w:hAnsi="Times New Roman" w:cs="Times New Roman"/>
          <w:sz w:val="24"/>
          <w:szCs w:val="24"/>
        </w:rPr>
        <w:t xml:space="preserve"> (A district court may, in its discretion, award attorney fees to a prevailing defendant in a Title VII case upon a finding that the plaintiff's action was frivolous, unreasonable, or without foundation, even though not brought in subjective bad faith). Such awards against Title VII plaintiffs are rare, and this Court does not believe one is warranted here.”  </w:t>
      </w:r>
      <w:hyperlink r:id="rId1628" w:history="1">
        <w:r w:rsidR="00F326E5" w:rsidRPr="00BF4DDE">
          <w:rPr>
            <w:rStyle w:val="Hyperlink"/>
            <w:rFonts w:ascii="Times New Roman" w:hAnsi="Times New Roman" w:cs="Times New Roman"/>
            <w:b/>
            <w:sz w:val="24"/>
            <w:szCs w:val="24"/>
          </w:rPr>
          <w:t>https://scholar.google.com/scholar_case?case=9814524894618299702&amp;q=+Eric+Peeples,+et+al.+v.+City+of+Detroit,+et+al,+Civil+Action+No.+13-13858&amp;hl=en&amp;as_sdt=6,36</w:t>
        </w:r>
      </w:hyperlink>
    </w:p>
    <w:p w14:paraId="27806799" w14:textId="77777777" w:rsidR="00F326E5" w:rsidRPr="00BF4DDE" w:rsidRDefault="00F326E5" w:rsidP="00F326E5">
      <w:pPr>
        <w:spacing w:before="100" w:beforeAutospacing="1" w:after="100" w:afterAutospacing="1"/>
        <w:rPr>
          <w:rFonts w:ascii="Times New Roman" w:hAnsi="Times New Roman"/>
          <w:b/>
          <w:sz w:val="24"/>
          <w:szCs w:val="24"/>
        </w:rPr>
      </w:pPr>
      <w:r w:rsidRPr="00BF4DDE">
        <w:rPr>
          <w:rFonts w:ascii="Times New Roman" w:hAnsi="Times New Roman"/>
          <w:b/>
          <w:sz w:val="24"/>
          <w:szCs w:val="24"/>
        </w:rPr>
        <w:t xml:space="preserve">Legal Lessons Learned:  Plaintiffs failed to establish Title VII liability for City or the Local. </w:t>
      </w:r>
    </w:p>
    <w:bookmarkEnd w:id="340"/>
    <w:p w14:paraId="6F376E44" w14:textId="77777777" w:rsidR="00F326E5" w:rsidRDefault="00F326E5" w:rsidP="00F326E5">
      <w:pPr>
        <w:rPr>
          <w:rFonts w:ascii="Arial Black" w:hAnsi="Arial Black"/>
          <w:sz w:val="40"/>
          <w:szCs w:val="40"/>
        </w:rPr>
      </w:pPr>
    </w:p>
    <w:p w14:paraId="56BD01EB" w14:textId="77777777" w:rsidR="00DE0F03" w:rsidRDefault="00DE0F03" w:rsidP="00DE0F03">
      <w:pPr>
        <w:rPr>
          <w:rFonts w:ascii="Arial Black" w:hAnsi="Arial Black"/>
          <w:b/>
          <w:sz w:val="24"/>
          <w:szCs w:val="24"/>
        </w:rPr>
      </w:pPr>
      <w:bookmarkStart w:id="341" w:name="_Hlk7344627"/>
    </w:p>
    <w:p w14:paraId="4AD38C46" w14:textId="2F3A302D" w:rsidR="00DE0F03" w:rsidRDefault="00DE0F03" w:rsidP="00DE0F03">
      <w:pPr>
        <w:rPr>
          <w:color w:val="4A4A4A"/>
          <w:sz w:val="24"/>
          <w:szCs w:val="24"/>
          <w:lang w:val="en"/>
        </w:rPr>
      </w:pPr>
      <w:r>
        <w:rPr>
          <w:rFonts w:ascii="Arial Black" w:hAnsi="Arial Black"/>
          <w:b/>
          <w:sz w:val="24"/>
          <w:szCs w:val="24"/>
        </w:rPr>
        <w:t>8</w:t>
      </w:r>
      <w:r w:rsidRPr="00EF1133">
        <w:rPr>
          <w:rFonts w:ascii="Arial Black" w:hAnsi="Arial Black"/>
          <w:b/>
          <w:sz w:val="24"/>
          <w:szCs w:val="24"/>
        </w:rPr>
        <w:t>-</w:t>
      </w:r>
      <w:r w:rsidR="005A395B">
        <w:rPr>
          <w:rFonts w:ascii="Arial Black" w:hAnsi="Arial Black"/>
          <w:b/>
          <w:sz w:val="24"/>
          <w:szCs w:val="24"/>
        </w:rPr>
        <w:t>2</w:t>
      </w:r>
    </w:p>
    <w:p w14:paraId="3C8E1E84" w14:textId="6AB7DF2D" w:rsidR="00F326E5" w:rsidRDefault="00F326E5" w:rsidP="00F326E5">
      <w:pPr>
        <w:pStyle w:val="NoSpacing"/>
        <w:rPr>
          <w:b/>
          <w:sz w:val="24"/>
          <w:szCs w:val="24"/>
        </w:rPr>
      </w:pPr>
      <w:r w:rsidRPr="00E54CAC">
        <w:rPr>
          <w:rFonts w:ascii="Arial Black" w:hAnsi="Arial Black"/>
          <w:b/>
          <w:sz w:val="28"/>
          <w:szCs w:val="28"/>
        </w:rPr>
        <w:t xml:space="preserve">MD:  </w:t>
      </w:r>
      <w:r>
        <w:rPr>
          <w:rFonts w:ascii="Arial Black" w:hAnsi="Arial Black"/>
          <w:b/>
          <w:sz w:val="28"/>
          <w:szCs w:val="28"/>
        </w:rPr>
        <w:t xml:space="preserve">AIRPORT </w:t>
      </w:r>
      <w:r w:rsidRPr="00E54CAC">
        <w:rPr>
          <w:rFonts w:ascii="Arial Black" w:hAnsi="Arial Black"/>
          <w:b/>
          <w:sz w:val="28"/>
          <w:szCs w:val="28"/>
        </w:rPr>
        <w:t>HIRED LATIN</w:t>
      </w:r>
      <w:r>
        <w:rPr>
          <w:rFonts w:ascii="Arial Black" w:hAnsi="Arial Black"/>
          <w:b/>
          <w:sz w:val="28"/>
          <w:szCs w:val="28"/>
        </w:rPr>
        <w:t xml:space="preserve">O AS FIRE CHIEF - </w:t>
      </w:r>
      <w:proofErr w:type="gramStart"/>
      <w:r w:rsidRPr="00E54CAC">
        <w:rPr>
          <w:rFonts w:ascii="Arial Black" w:hAnsi="Arial Black"/>
          <w:b/>
          <w:sz w:val="28"/>
          <w:szCs w:val="28"/>
        </w:rPr>
        <w:t>AFRICAN</w:t>
      </w:r>
      <w:r>
        <w:rPr>
          <w:rFonts w:ascii="Arial Black" w:hAnsi="Arial Black"/>
          <w:b/>
          <w:sz w:val="28"/>
          <w:szCs w:val="28"/>
        </w:rPr>
        <w:t>-</w:t>
      </w:r>
      <w:r w:rsidRPr="00E54CAC">
        <w:rPr>
          <w:rFonts w:ascii="Arial Black" w:hAnsi="Arial Black"/>
          <w:b/>
          <w:sz w:val="28"/>
          <w:szCs w:val="28"/>
        </w:rPr>
        <w:t>AMERICAN</w:t>
      </w:r>
      <w:r>
        <w:rPr>
          <w:rFonts w:ascii="Arial Black" w:hAnsi="Arial Black"/>
          <w:b/>
          <w:sz w:val="28"/>
          <w:szCs w:val="28"/>
        </w:rPr>
        <w:t>’S</w:t>
      </w:r>
      <w:proofErr w:type="gramEnd"/>
      <w:r>
        <w:rPr>
          <w:rFonts w:ascii="Arial Black" w:hAnsi="Arial Black"/>
          <w:b/>
          <w:sz w:val="28"/>
          <w:szCs w:val="28"/>
        </w:rPr>
        <w:t xml:space="preserve"> LAWSUIT MAY PROCEED</w:t>
      </w:r>
    </w:p>
    <w:p w14:paraId="6443C1A3" w14:textId="77777777" w:rsidR="00BF4DDE" w:rsidRDefault="00F326E5" w:rsidP="00F326E5">
      <w:pPr>
        <w:pStyle w:val="NoSpacing"/>
        <w:rPr>
          <w:rFonts w:ascii="Times New Roman" w:hAnsi="Times New Roman"/>
          <w:sz w:val="24"/>
          <w:szCs w:val="24"/>
        </w:rPr>
      </w:pPr>
      <w:r w:rsidRPr="00BF4DDE">
        <w:rPr>
          <w:rFonts w:ascii="Times New Roman" w:hAnsi="Times New Roman"/>
          <w:sz w:val="24"/>
          <w:szCs w:val="24"/>
        </w:rPr>
        <w:t xml:space="preserve">On </w:t>
      </w:r>
      <w:bookmarkStart w:id="342" w:name="_Hlk39839116"/>
      <w:r w:rsidRPr="00BF4DDE">
        <w:rPr>
          <w:rFonts w:ascii="Times New Roman" w:hAnsi="Times New Roman"/>
          <w:sz w:val="24"/>
          <w:szCs w:val="24"/>
        </w:rPr>
        <w:t xml:space="preserve">Jan. 19, 2018, in </w:t>
      </w:r>
      <w:r w:rsidRPr="002616A6">
        <w:rPr>
          <w:rFonts w:ascii="Times New Roman" w:hAnsi="Times New Roman"/>
          <w:sz w:val="24"/>
          <w:szCs w:val="24"/>
          <w:u w:val="single"/>
        </w:rPr>
        <w:t>Gregory C. Lawrence v. Maryland Aviation Administration</w:t>
      </w:r>
      <w:bookmarkEnd w:id="342"/>
      <w:r w:rsidRPr="00BF4DDE">
        <w:rPr>
          <w:rFonts w:ascii="Times New Roman" w:hAnsi="Times New Roman"/>
          <w:sz w:val="24"/>
          <w:szCs w:val="24"/>
        </w:rPr>
        <w:t xml:space="preserve">, U.S. District Court for District of Maryland, Judge Richard D. Bennett denied the motion to dismiss filed by the Maryland Aviation Administration. </w:t>
      </w:r>
    </w:p>
    <w:p w14:paraId="40CA1C9E" w14:textId="77777777" w:rsidR="00BF4DDE" w:rsidRDefault="00BF4DDE" w:rsidP="00F326E5">
      <w:pPr>
        <w:pStyle w:val="NoSpacing"/>
        <w:rPr>
          <w:rFonts w:ascii="Times New Roman" w:hAnsi="Times New Roman"/>
          <w:sz w:val="24"/>
          <w:szCs w:val="24"/>
        </w:rPr>
      </w:pPr>
    </w:p>
    <w:p w14:paraId="33357283" w14:textId="166877D6" w:rsidR="00F326E5" w:rsidRPr="00BF4DDE" w:rsidRDefault="00F326E5" w:rsidP="00BF4DDE">
      <w:pPr>
        <w:pStyle w:val="NoSpacing"/>
        <w:ind w:left="720"/>
        <w:rPr>
          <w:rFonts w:ascii="Times New Roman" w:hAnsi="Times New Roman"/>
          <w:sz w:val="24"/>
          <w:szCs w:val="24"/>
        </w:rPr>
      </w:pPr>
      <w:r w:rsidRPr="00BF4DDE">
        <w:rPr>
          <w:rFonts w:ascii="Times New Roman" w:hAnsi="Times New Roman"/>
          <w:sz w:val="24"/>
          <w:szCs w:val="24"/>
        </w:rPr>
        <w:t>“Plaintiff alleges that despite his experience and "stellar qualifications" for the position, he was not hired; instead, plaintiff alleges, "[t]he person hired was a Latino male, substantially less qualified for the position than Mr. Lawrence."</w:t>
      </w:r>
    </w:p>
    <w:bookmarkStart w:id="343" w:name="_Hlk39839090"/>
    <w:p w14:paraId="2476ED26" w14:textId="71B7A617" w:rsidR="00F326E5" w:rsidRPr="00BF4DDE" w:rsidRDefault="00DC51D4" w:rsidP="00BF4DDE">
      <w:pPr>
        <w:pStyle w:val="NoSpacing"/>
        <w:ind w:firstLine="720"/>
        <w:rPr>
          <w:rFonts w:ascii="Times New Roman" w:hAnsi="Times New Roman"/>
          <w:sz w:val="24"/>
          <w:szCs w:val="24"/>
        </w:rPr>
      </w:pPr>
      <w:r>
        <w:fldChar w:fldCharType="begin"/>
      </w:r>
      <w:r>
        <w:instrText xml:space="preserve"> HYPERLINK "https://www.leagle.com/decision/infdco20161011978" </w:instrText>
      </w:r>
      <w:r>
        <w:fldChar w:fldCharType="separate"/>
      </w:r>
      <w:r w:rsidR="00BF4DDE" w:rsidRPr="002F304C">
        <w:rPr>
          <w:rStyle w:val="Hyperlink"/>
          <w:rFonts w:ascii="Times New Roman" w:hAnsi="Times New Roman"/>
          <w:sz w:val="24"/>
          <w:szCs w:val="24"/>
        </w:rPr>
        <w:t>https://www.leagle.com/decision/infdco20161011978</w:t>
      </w:r>
      <w:r>
        <w:rPr>
          <w:rStyle w:val="Hyperlink"/>
          <w:rFonts w:ascii="Times New Roman" w:hAnsi="Times New Roman"/>
          <w:sz w:val="24"/>
          <w:szCs w:val="24"/>
        </w:rPr>
        <w:fldChar w:fldCharType="end"/>
      </w:r>
      <w:r w:rsidR="00F326E5" w:rsidRPr="00BF4DDE">
        <w:rPr>
          <w:rFonts w:ascii="Times New Roman" w:hAnsi="Times New Roman"/>
          <w:sz w:val="24"/>
          <w:szCs w:val="24"/>
        </w:rPr>
        <w:t xml:space="preserve"> </w:t>
      </w:r>
    </w:p>
    <w:bookmarkEnd w:id="343"/>
    <w:p w14:paraId="17D2D634" w14:textId="77777777" w:rsidR="00BF4DDE" w:rsidRDefault="00BF4DDE" w:rsidP="00F326E5">
      <w:pPr>
        <w:pStyle w:val="NoSpacing"/>
        <w:rPr>
          <w:rFonts w:ascii="Times New Roman" w:hAnsi="Times New Roman"/>
          <w:b/>
          <w:sz w:val="24"/>
          <w:szCs w:val="24"/>
        </w:rPr>
      </w:pPr>
    </w:p>
    <w:p w14:paraId="01749151" w14:textId="2D6BB386" w:rsidR="00F326E5" w:rsidRPr="00BF4DDE" w:rsidRDefault="00F326E5" w:rsidP="00F326E5">
      <w:pPr>
        <w:pStyle w:val="NoSpacing"/>
        <w:rPr>
          <w:rFonts w:ascii="Times New Roman" w:hAnsi="Times New Roman"/>
          <w:b/>
          <w:sz w:val="24"/>
          <w:szCs w:val="24"/>
        </w:rPr>
      </w:pPr>
      <w:r w:rsidRPr="00BF4DDE">
        <w:rPr>
          <w:rFonts w:ascii="Times New Roman" w:hAnsi="Times New Roman"/>
          <w:b/>
          <w:sz w:val="24"/>
          <w:szCs w:val="24"/>
        </w:rPr>
        <w:t xml:space="preserve">Legal Lessons Learned: Title VII claim may now proceed </w:t>
      </w:r>
      <w:proofErr w:type="gramStart"/>
      <w:r w:rsidRPr="00BF4DDE">
        <w:rPr>
          <w:rFonts w:ascii="Times New Roman" w:hAnsi="Times New Roman"/>
          <w:b/>
          <w:sz w:val="24"/>
          <w:szCs w:val="24"/>
        </w:rPr>
        <w:t>to</w:t>
      </w:r>
      <w:proofErr w:type="gramEnd"/>
      <w:r w:rsidRPr="00BF4DDE">
        <w:rPr>
          <w:rFonts w:ascii="Times New Roman" w:hAnsi="Times New Roman"/>
          <w:b/>
          <w:sz w:val="24"/>
          <w:szCs w:val="24"/>
        </w:rPr>
        <w:t xml:space="preserve"> pre-trial discovery. </w:t>
      </w:r>
    </w:p>
    <w:p w14:paraId="6FF780FA" w14:textId="77777777" w:rsidR="00F326E5" w:rsidRPr="00BF4DDE" w:rsidRDefault="00F326E5" w:rsidP="00F326E5">
      <w:pPr>
        <w:pStyle w:val="NoSpacing"/>
        <w:rPr>
          <w:rFonts w:ascii="Times New Roman" w:hAnsi="Times New Roman"/>
          <w:b/>
          <w:sz w:val="24"/>
          <w:szCs w:val="24"/>
        </w:rPr>
      </w:pPr>
    </w:p>
    <w:bookmarkEnd w:id="341"/>
    <w:p w14:paraId="051BEBA3" w14:textId="52237868" w:rsidR="00F326E5" w:rsidRDefault="00F326E5" w:rsidP="00F326E5">
      <w:pPr>
        <w:pStyle w:val="NoSpacing"/>
        <w:rPr>
          <w:b/>
          <w:sz w:val="24"/>
          <w:szCs w:val="24"/>
        </w:rPr>
      </w:pPr>
    </w:p>
    <w:p w14:paraId="1B2B9220" w14:textId="77777777" w:rsidR="00F326E5" w:rsidRDefault="00F326E5" w:rsidP="00F326E5">
      <w:pPr>
        <w:pStyle w:val="NoSpacing"/>
        <w:rPr>
          <w:b/>
          <w:sz w:val="24"/>
          <w:szCs w:val="24"/>
        </w:rPr>
      </w:pPr>
    </w:p>
    <w:p w14:paraId="71919B28" w14:textId="7C390FA1" w:rsidR="00F326E5" w:rsidRDefault="00DE0F03" w:rsidP="00F326E5">
      <w:pPr>
        <w:rPr>
          <w:color w:val="4A4A4A"/>
          <w:sz w:val="24"/>
          <w:szCs w:val="24"/>
          <w:lang w:val="en"/>
        </w:rPr>
      </w:pPr>
      <w:r>
        <w:rPr>
          <w:rFonts w:ascii="Arial Black" w:hAnsi="Arial Black"/>
          <w:b/>
          <w:sz w:val="24"/>
          <w:szCs w:val="24"/>
        </w:rPr>
        <w:t>8</w:t>
      </w:r>
      <w:r w:rsidRPr="00EF1133">
        <w:rPr>
          <w:rFonts w:ascii="Arial Black" w:hAnsi="Arial Black"/>
          <w:b/>
          <w:sz w:val="24"/>
          <w:szCs w:val="24"/>
        </w:rPr>
        <w:t>-1</w:t>
      </w:r>
    </w:p>
    <w:p w14:paraId="79FA3CF2" w14:textId="78A42FF9" w:rsidR="00F326E5" w:rsidRPr="00210017" w:rsidRDefault="00F326E5" w:rsidP="00F326E5">
      <w:pPr>
        <w:rPr>
          <w:rFonts w:ascii="Arial Black" w:hAnsi="Arial Black"/>
          <w:b/>
          <w:color w:val="4A4A4A"/>
          <w:sz w:val="28"/>
          <w:szCs w:val="28"/>
          <w:lang w:val="en"/>
        </w:rPr>
      </w:pPr>
      <w:bookmarkStart w:id="344" w:name="_Hlk7344666"/>
      <w:bookmarkStart w:id="345" w:name="_Hlk7344834"/>
      <w:r w:rsidRPr="00210017">
        <w:rPr>
          <w:rFonts w:ascii="Arial Black" w:hAnsi="Arial Black"/>
          <w:b/>
          <w:color w:val="4A4A4A"/>
          <w:sz w:val="28"/>
          <w:szCs w:val="28"/>
          <w:lang w:val="en"/>
        </w:rPr>
        <w:t>NY: FDNY’s FORMER EEOC OFFICER SUES FOR RACE DISCRIMINATION – LAWSUIT MAY PROCEED</w:t>
      </w:r>
    </w:p>
    <w:p w14:paraId="2E3A59DF" w14:textId="77777777" w:rsidR="00BF4DDE" w:rsidRDefault="00F326E5" w:rsidP="00F326E5">
      <w:pPr>
        <w:rPr>
          <w:rFonts w:ascii="Times New Roman" w:hAnsi="Times New Roman"/>
          <w:color w:val="4A4A4A"/>
          <w:sz w:val="24"/>
          <w:szCs w:val="24"/>
          <w:lang w:val="en"/>
        </w:rPr>
      </w:pPr>
      <w:r w:rsidRPr="00BF4DDE">
        <w:rPr>
          <w:rFonts w:ascii="Times New Roman" w:hAnsi="Times New Roman"/>
          <w:color w:val="4A4A4A"/>
          <w:sz w:val="24"/>
          <w:szCs w:val="24"/>
          <w:lang w:val="en"/>
        </w:rPr>
        <w:t xml:space="preserve">On Jan. 2, 2018, in </w:t>
      </w:r>
      <w:r w:rsidRPr="00BF4DDE">
        <w:rPr>
          <w:rFonts w:ascii="Times New Roman" w:hAnsi="Times New Roman"/>
          <w:color w:val="4A4A4A"/>
          <w:sz w:val="24"/>
          <w:szCs w:val="24"/>
          <w:u w:val="single"/>
          <w:lang w:val="en"/>
        </w:rPr>
        <w:t xml:space="preserve">Lyndelle T. Phillips, Esq. v. The City of New York, et </w:t>
      </w:r>
      <w:proofErr w:type="gramStart"/>
      <w:r w:rsidRPr="00BF4DDE">
        <w:rPr>
          <w:rFonts w:ascii="Times New Roman" w:hAnsi="Times New Roman"/>
          <w:color w:val="4A4A4A"/>
          <w:sz w:val="24"/>
          <w:szCs w:val="24"/>
          <w:u w:val="single"/>
          <w:lang w:val="en"/>
        </w:rPr>
        <w:t>al</w:t>
      </w:r>
      <w:r w:rsidRPr="00BF4DDE">
        <w:rPr>
          <w:rFonts w:ascii="Times New Roman" w:hAnsi="Times New Roman"/>
          <w:color w:val="4A4A4A"/>
          <w:sz w:val="24"/>
          <w:szCs w:val="24"/>
          <w:lang w:val="en"/>
        </w:rPr>
        <w:t>,,</w:t>
      </w:r>
      <w:proofErr w:type="gramEnd"/>
      <w:r w:rsidRPr="00BF4DDE">
        <w:rPr>
          <w:rFonts w:ascii="Times New Roman" w:hAnsi="Times New Roman"/>
          <w:color w:val="4A4A4A"/>
          <w:sz w:val="24"/>
          <w:szCs w:val="24"/>
          <w:lang w:val="en"/>
        </w:rPr>
        <w:t xml:space="preserve"> U.S. District Court Senior Judge Jack B. Weinstein, held that the City’s motion to dismiss is denied and her lawsuit may proceed.</w:t>
      </w:r>
    </w:p>
    <w:p w14:paraId="10011404" w14:textId="6E7B5281" w:rsidR="00F326E5" w:rsidRPr="00BF4DDE" w:rsidRDefault="00F326E5" w:rsidP="00BF4DDE">
      <w:pPr>
        <w:ind w:left="720"/>
        <w:rPr>
          <w:rFonts w:ascii="Times New Roman" w:hAnsi="Times New Roman"/>
          <w:color w:val="4A4A4A"/>
          <w:sz w:val="24"/>
          <w:szCs w:val="24"/>
          <w:lang w:val="en"/>
        </w:rPr>
      </w:pPr>
      <w:r w:rsidRPr="00BF4DDE">
        <w:rPr>
          <w:rFonts w:ascii="Times New Roman" w:hAnsi="Times New Roman"/>
          <w:color w:val="4A4A4A"/>
          <w:sz w:val="24"/>
          <w:szCs w:val="24"/>
          <w:lang w:val="en"/>
        </w:rPr>
        <w:lastRenderedPageBreak/>
        <w:t xml:space="preserve">“After observing plaintiff during her extended examination by the court, defendants' motion for summary judgment on plaintiffs Section 1981 claim is denied. A jury could find her to be a credible witness who took her job at the FDNY seriously and performed satisfactorily. Discrimination, and not poor job performance, a jury could conclude, was the reason for her termination by </w:t>
      </w:r>
      <w:proofErr w:type="gramStart"/>
      <w:r w:rsidRPr="00BF4DDE">
        <w:rPr>
          <w:rFonts w:ascii="Times New Roman" w:hAnsi="Times New Roman"/>
          <w:color w:val="4A4A4A"/>
          <w:sz w:val="24"/>
          <w:szCs w:val="24"/>
          <w:lang w:val="en"/>
        </w:rPr>
        <w:t>the FDNY</w:t>
      </w:r>
      <w:proofErr w:type="gramEnd"/>
      <w:r w:rsidRPr="00BF4DDE">
        <w:rPr>
          <w:rFonts w:ascii="Times New Roman" w:hAnsi="Times New Roman"/>
          <w:color w:val="4A4A4A"/>
          <w:sz w:val="24"/>
          <w:szCs w:val="24"/>
          <w:lang w:val="en"/>
        </w:rPr>
        <w:t xml:space="preserve">. </w:t>
      </w:r>
      <w:hyperlink r:id="rId1629" w:history="1">
        <w:r w:rsidRPr="00BF4DDE">
          <w:rPr>
            <w:rStyle w:val="Hyperlink"/>
            <w:rFonts w:ascii="Times New Roman" w:hAnsi="Times New Roman"/>
            <w:sz w:val="24"/>
            <w:szCs w:val="24"/>
            <w:lang w:val="en"/>
          </w:rPr>
          <w:t>file:///C:/Users/lawre/AppData/Local/Microsoft/Windows/INetCache/IE/XO250S7T/Phillips-FDNY.pdf</w:t>
        </w:r>
      </w:hyperlink>
      <w:r w:rsidRPr="00BF4DDE">
        <w:rPr>
          <w:rFonts w:ascii="Times New Roman" w:hAnsi="Times New Roman"/>
          <w:color w:val="4A4A4A"/>
          <w:sz w:val="24"/>
          <w:szCs w:val="24"/>
          <w:lang w:val="en"/>
        </w:rPr>
        <w:t xml:space="preserve"> </w:t>
      </w:r>
    </w:p>
    <w:p w14:paraId="146999EC" w14:textId="77777777" w:rsidR="00F326E5" w:rsidRPr="00BF4DDE" w:rsidRDefault="00F326E5" w:rsidP="00F326E5">
      <w:pPr>
        <w:rPr>
          <w:rFonts w:ascii="Times New Roman" w:hAnsi="Times New Roman"/>
          <w:b/>
          <w:color w:val="4A4A4A"/>
          <w:sz w:val="24"/>
          <w:szCs w:val="24"/>
          <w:lang w:val="en"/>
        </w:rPr>
      </w:pPr>
      <w:r w:rsidRPr="00BF4DDE">
        <w:rPr>
          <w:rFonts w:ascii="Times New Roman" w:hAnsi="Times New Roman"/>
          <w:b/>
          <w:color w:val="4A4A4A"/>
          <w:sz w:val="24"/>
          <w:szCs w:val="24"/>
          <w:lang w:val="en"/>
        </w:rPr>
        <w:t xml:space="preserve">Legal Lessons Learned: The lawsuit may proceed.  The judge referenced the Vulcan Society case. </w:t>
      </w:r>
    </w:p>
    <w:p w14:paraId="3242BC9D" w14:textId="77777777" w:rsidR="00F326E5" w:rsidRPr="00BF4DDE" w:rsidRDefault="00F326E5" w:rsidP="00F326E5">
      <w:pPr>
        <w:ind w:left="720"/>
        <w:rPr>
          <w:rFonts w:ascii="Times New Roman" w:hAnsi="Times New Roman"/>
          <w:color w:val="4A4A4A"/>
          <w:sz w:val="24"/>
          <w:szCs w:val="24"/>
          <w:lang w:val="en"/>
        </w:rPr>
      </w:pPr>
      <w:r w:rsidRPr="00BF4DDE">
        <w:rPr>
          <w:rFonts w:ascii="Times New Roman" w:hAnsi="Times New Roman"/>
          <w:color w:val="4A4A4A"/>
          <w:sz w:val="24"/>
          <w:szCs w:val="24"/>
          <w:lang w:val="en"/>
        </w:rPr>
        <w:t xml:space="preserve">Note: In </w:t>
      </w:r>
      <w:proofErr w:type="gramStart"/>
      <w:r w:rsidRPr="00BF4DDE">
        <w:rPr>
          <w:rFonts w:ascii="Times New Roman" w:hAnsi="Times New Roman"/>
          <w:color w:val="4A4A4A"/>
          <w:sz w:val="24"/>
          <w:szCs w:val="24"/>
          <w:lang w:val="en"/>
        </w:rPr>
        <w:t>March,</w:t>
      </w:r>
      <w:proofErr w:type="gramEnd"/>
      <w:r w:rsidRPr="00BF4DDE">
        <w:rPr>
          <w:rFonts w:ascii="Times New Roman" w:hAnsi="Times New Roman"/>
          <w:color w:val="4A4A4A"/>
          <w:sz w:val="24"/>
          <w:szCs w:val="24"/>
          <w:lang w:val="en"/>
        </w:rPr>
        <w:t xml:space="preserve"> 2014, the </w:t>
      </w:r>
      <w:proofErr w:type="gramStart"/>
      <w:r w:rsidRPr="00BF4DDE">
        <w:rPr>
          <w:rFonts w:ascii="Times New Roman" w:hAnsi="Times New Roman"/>
          <w:color w:val="4A4A4A"/>
          <w:sz w:val="24"/>
          <w:szCs w:val="24"/>
          <w:lang w:val="en"/>
        </w:rPr>
        <w:t>City</w:t>
      </w:r>
      <w:proofErr w:type="gramEnd"/>
      <w:r w:rsidRPr="00BF4DDE">
        <w:rPr>
          <w:rFonts w:ascii="Times New Roman" w:hAnsi="Times New Roman"/>
          <w:color w:val="4A4A4A"/>
          <w:sz w:val="24"/>
          <w:szCs w:val="24"/>
          <w:lang w:val="en"/>
        </w:rPr>
        <w:t xml:space="preserve"> settled the lawsuit with the Vulcan Society for $98 million. </w:t>
      </w:r>
      <w:hyperlink r:id="rId1630" w:history="1">
        <w:r w:rsidRPr="00BF4DDE">
          <w:rPr>
            <w:rStyle w:val="Hyperlink"/>
            <w:rFonts w:ascii="Times New Roman" w:hAnsi="Times New Roman"/>
            <w:sz w:val="24"/>
            <w:szCs w:val="24"/>
            <w:lang w:val="en"/>
          </w:rPr>
          <w:t>http://www.nydailynews.com/new-york/city-pay-98-million-fdny-discrimination-case-article-1.1725702</w:t>
        </w:r>
      </w:hyperlink>
      <w:bookmarkEnd w:id="344"/>
      <w:r w:rsidRPr="00BF4DDE">
        <w:rPr>
          <w:rFonts w:ascii="Times New Roman" w:hAnsi="Times New Roman"/>
          <w:color w:val="4A4A4A"/>
          <w:sz w:val="24"/>
          <w:szCs w:val="24"/>
          <w:lang w:val="en"/>
        </w:rPr>
        <w:t xml:space="preserve"> </w:t>
      </w:r>
    </w:p>
    <w:p w14:paraId="454AB09F" w14:textId="77777777" w:rsidR="00F326E5" w:rsidRPr="00BF4DDE" w:rsidRDefault="00F326E5" w:rsidP="00F326E5">
      <w:pPr>
        <w:pStyle w:val="NoSpacing"/>
        <w:rPr>
          <w:rFonts w:ascii="Times New Roman" w:hAnsi="Times New Roman"/>
          <w:b/>
          <w:sz w:val="24"/>
          <w:szCs w:val="24"/>
        </w:rPr>
      </w:pPr>
    </w:p>
    <w:p w14:paraId="5D669894" w14:textId="77777777" w:rsidR="00F326E5" w:rsidRPr="004128F7" w:rsidRDefault="00F326E5" w:rsidP="00F326E5">
      <w:pPr>
        <w:pStyle w:val="NoSpacing"/>
        <w:rPr>
          <w:b/>
          <w:sz w:val="24"/>
          <w:szCs w:val="24"/>
        </w:rPr>
      </w:pPr>
    </w:p>
    <w:bookmarkEnd w:id="345"/>
    <w:p w14:paraId="43F85748" w14:textId="77777777" w:rsidR="00F326E5" w:rsidRDefault="00F326E5" w:rsidP="00F326E5">
      <w:pPr>
        <w:rPr>
          <w:rFonts w:ascii="Arial Black" w:hAnsi="Arial Black"/>
          <w:sz w:val="40"/>
          <w:szCs w:val="40"/>
        </w:rPr>
      </w:pPr>
      <w:r>
        <w:rPr>
          <w:rFonts w:ascii="Arial Black" w:hAnsi="Arial Black"/>
          <w:sz w:val="40"/>
          <w:szCs w:val="40"/>
        </w:rPr>
        <w:br w:type="page"/>
      </w:r>
    </w:p>
    <w:p w14:paraId="2939461D" w14:textId="77777777" w:rsidR="00F326E5" w:rsidRPr="007732FA" w:rsidRDefault="00F326E5" w:rsidP="00F326E5">
      <w:pPr>
        <w:pStyle w:val="NoSpacing"/>
        <w:rPr>
          <w:rFonts w:ascii="Arial Black" w:hAnsi="Arial Black"/>
          <w:sz w:val="40"/>
          <w:szCs w:val="40"/>
        </w:rPr>
      </w:pPr>
    </w:p>
    <w:p w14:paraId="16A376F2" w14:textId="77777777" w:rsidR="00456C91" w:rsidRDefault="00456C91" w:rsidP="00F326E5">
      <w:pPr>
        <w:pStyle w:val="NoSpacing"/>
        <w:rPr>
          <w:rFonts w:ascii="Arial Black" w:hAnsi="Arial Black"/>
          <w:sz w:val="40"/>
          <w:szCs w:val="40"/>
        </w:rPr>
      </w:pPr>
    </w:p>
    <w:p w14:paraId="3F55AB61" w14:textId="77777777" w:rsidR="00456C91" w:rsidRDefault="00456C91" w:rsidP="00F326E5">
      <w:pPr>
        <w:pStyle w:val="NoSpacing"/>
        <w:rPr>
          <w:rFonts w:ascii="Arial Black" w:hAnsi="Arial Black"/>
          <w:sz w:val="40"/>
          <w:szCs w:val="40"/>
        </w:rPr>
      </w:pPr>
    </w:p>
    <w:p w14:paraId="131A4C3C" w14:textId="77777777" w:rsidR="00456C91" w:rsidRDefault="00456C91" w:rsidP="00F326E5">
      <w:pPr>
        <w:pStyle w:val="NoSpacing"/>
        <w:rPr>
          <w:rFonts w:ascii="Arial Black" w:hAnsi="Arial Black"/>
          <w:sz w:val="40"/>
          <w:szCs w:val="40"/>
        </w:rPr>
      </w:pPr>
    </w:p>
    <w:p w14:paraId="485C43F7" w14:textId="77777777" w:rsidR="00456C91" w:rsidRDefault="00456C91" w:rsidP="00F326E5">
      <w:pPr>
        <w:pStyle w:val="NoSpacing"/>
        <w:rPr>
          <w:rFonts w:ascii="Arial Black" w:hAnsi="Arial Black"/>
          <w:sz w:val="40"/>
          <w:szCs w:val="40"/>
        </w:rPr>
      </w:pPr>
    </w:p>
    <w:p w14:paraId="4B663432" w14:textId="77777777" w:rsidR="00456C91" w:rsidRDefault="00456C91" w:rsidP="00F326E5">
      <w:pPr>
        <w:pStyle w:val="NoSpacing"/>
        <w:rPr>
          <w:rFonts w:ascii="Arial Black" w:hAnsi="Arial Black"/>
          <w:sz w:val="40"/>
          <w:szCs w:val="40"/>
        </w:rPr>
      </w:pPr>
    </w:p>
    <w:p w14:paraId="6CE6E438" w14:textId="77777777" w:rsidR="00456C91" w:rsidRDefault="00456C91" w:rsidP="00F326E5">
      <w:pPr>
        <w:pStyle w:val="NoSpacing"/>
        <w:rPr>
          <w:rFonts w:ascii="Arial Black" w:hAnsi="Arial Black"/>
          <w:sz w:val="40"/>
          <w:szCs w:val="40"/>
        </w:rPr>
      </w:pPr>
    </w:p>
    <w:p w14:paraId="2FD84194" w14:textId="77777777" w:rsidR="00456C91" w:rsidRDefault="00456C91" w:rsidP="00F326E5">
      <w:pPr>
        <w:pStyle w:val="NoSpacing"/>
        <w:rPr>
          <w:rFonts w:ascii="Arial Black" w:hAnsi="Arial Black"/>
          <w:sz w:val="40"/>
          <w:szCs w:val="40"/>
        </w:rPr>
      </w:pPr>
    </w:p>
    <w:p w14:paraId="5D48D2AD" w14:textId="77777777" w:rsidR="00456C91" w:rsidRDefault="00456C91" w:rsidP="00F326E5">
      <w:pPr>
        <w:pStyle w:val="NoSpacing"/>
        <w:rPr>
          <w:rFonts w:ascii="Arial Black" w:hAnsi="Arial Black"/>
          <w:sz w:val="40"/>
          <w:szCs w:val="40"/>
        </w:rPr>
      </w:pPr>
    </w:p>
    <w:p w14:paraId="6967BB24" w14:textId="77777777" w:rsidR="00456C91" w:rsidRDefault="00456C91" w:rsidP="00F326E5">
      <w:pPr>
        <w:pStyle w:val="NoSpacing"/>
        <w:rPr>
          <w:rFonts w:ascii="Arial Black" w:hAnsi="Arial Black"/>
          <w:sz w:val="40"/>
          <w:szCs w:val="40"/>
        </w:rPr>
      </w:pPr>
    </w:p>
    <w:p w14:paraId="0611B92E" w14:textId="77777777" w:rsidR="00456C91" w:rsidRDefault="00456C91" w:rsidP="00F326E5">
      <w:pPr>
        <w:pStyle w:val="NoSpacing"/>
        <w:rPr>
          <w:rFonts w:ascii="Arial Black" w:hAnsi="Arial Black"/>
          <w:sz w:val="40"/>
          <w:szCs w:val="40"/>
        </w:rPr>
      </w:pPr>
    </w:p>
    <w:p w14:paraId="3A80B944" w14:textId="77777777" w:rsidR="00456C91" w:rsidRDefault="00456C91" w:rsidP="00F326E5">
      <w:pPr>
        <w:pStyle w:val="NoSpacing"/>
        <w:rPr>
          <w:rFonts w:ascii="Arial Black" w:hAnsi="Arial Black"/>
          <w:sz w:val="40"/>
          <w:szCs w:val="40"/>
        </w:rPr>
      </w:pPr>
    </w:p>
    <w:p w14:paraId="5A7AA1FF" w14:textId="77777777" w:rsidR="00456C91" w:rsidRDefault="00456C91" w:rsidP="00F326E5">
      <w:pPr>
        <w:pStyle w:val="NoSpacing"/>
        <w:rPr>
          <w:rFonts w:ascii="Arial Black" w:hAnsi="Arial Black"/>
          <w:sz w:val="40"/>
          <w:szCs w:val="40"/>
        </w:rPr>
      </w:pPr>
    </w:p>
    <w:p w14:paraId="46BDAA20" w14:textId="77777777" w:rsidR="00456C91" w:rsidRDefault="00456C91" w:rsidP="00F326E5">
      <w:pPr>
        <w:pStyle w:val="NoSpacing"/>
        <w:rPr>
          <w:rFonts w:ascii="Arial Black" w:hAnsi="Arial Black"/>
          <w:sz w:val="40"/>
          <w:szCs w:val="40"/>
        </w:rPr>
      </w:pPr>
    </w:p>
    <w:p w14:paraId="76B14F0E" w14:textId="77777777" w:rsidR="00456C91" w:rsidRDefault="00456C91" w:rsidP="00F326E5">
      <w:pPr>
        <w:pStyle w:val="NoSpacing"/>
        <w:rPr>
          <w:rFonts w:ascii="Arial Black" w:hAnsi="Arial Black"/>
          <w:sz w:val="40"/>
          <w:szCs w:val="40"/>
        </w:rPr>
      </w:pPr>
    </w:p>
    <w:p w14:paraId="34AC1D76" w14:textId="77777777" w:rsidR="00456C91" w:rsidRDefault="00456C91" w:rsidP="00F326E5">
      <w:pPr>
        <w:pStyle w:val="NoSpacing"/>
        <w:rPr>
          <w:rFonts w:ascii="Arial Black" w:hAnsi="Arial Black"/>
          <w:sz w:val="40"/>
          <w:szCs w:val="40"/>
        </w:rPr>
      </w:pPr>
    </w:p>
    <w:p w14:paraId="0BCD4C02" w14:textId="77777777" w:rsidR="00456C91" w:rsidRDefault="00456C91" w:rsidP="00F326E5">
      <w:pPr>
        <w:pStyle w:val="NoSpacing"/>
        <w:rPr>
          <w:rFonts w:ascii="Arial Black" w:hAnsi="Arial Black"/>
          <w:sz w:val="40"/>
          <w:szCs w:val="40"/>
        </w:rPr>
      </w:pPr>
    </w:p>
    <w:p w14:paraId="67A416D8" w14:textId="77777777" w:rsidR="00456C91" w:rsidRDefault="00456C91" w:rsidP="00F326E5">
      <w:pPr>
        <w:pStyle w:val="NoSpacing"/>
        <w:rPr>
          <w:rFonts w:ascii="Arial Black" w:hAnsi="Arial Black"/>
          <w:sz w:val="40"/>
          <w:szCs w:val="40"/>
        </w:rPr>
      </w:pPr>
    </w:p>
    <w:p w14:paraId="2078D466" w14:textId="77777777" w:rsidR="00456C91" w:rsidRDefault="00456C91" w:rsidP="00F326E5">
      <w:pPr>
        <w:pStyle w:val="NoSpacing"/>
        <w:rPr>
          <w:rFonts w:ascii="Arial Black" w:hAnsi="Arial Black"/>
          <w:sz w:val="40"/>
          <w:szCs w:val="40"/>
        </w:rPr>
      </w:pPr>
    </w:p>
    <w:p w14:paraId="7B698F53" w14:textId="77777777" w:rsidR="00456C91" w:rsidRDefault="00456C91" w:rsidP="00F326E5">
      <w:pPr>
        <w:pStyle w:val="NoSpacing"/>
        <w:rPr>
          <w:rFonts w:ascii="Arial Black" w:hAnsi="Arial Black"/>
          <w:sz w:val="40"/>
          <w:szCs w:val="40"/>
        </w:rPr>
      </w:pPr>
    </w:p>
    <w:p w14:paraId="3EB19449" w14:textId="77777777" w:rsidR="00456C91" w:rsidRDefault="00456C91" w:rsidP="00F326E5">
      <w:pPr>
        <w:pStyle w:val="NoSpacing"/>
        <w:rPr>
          <w:rFonts w:ascii="Arial Black" w:hAnsi="Arial Black"/>
          <w:sz w:val="40"/>
          <w:szCs w:val="40"/>
        </w:rPr>
      </w:pPr>
    </w:p>
    <w:p w14:paraId="3C57BAFB" w14:textId="77777777" w:rsidR="00456C91" w:rsidRDefault="00456C91" w:rsidP="00F326E5">
      <w:pPr>
        <w:pStyle w:val="NoSpacing"/>
        <w:rPr>
          <w:rFonts w:ascii="Arial Black" w:hAnsi="Arial Black"/>
          <w:sz w:val="40"/>
          <w:szCs w:val="40"/>
        </w:rPr>
      </w:pPr>
    </w:p>
    <w:p w14:paraId="630F7611" w14:textId="77777777" w:rsidR="00456C91" w:rsidRDefault="00456C91" w:rsidP="00F326E5">
      <w:pPr>
        <w:pStyle w:val="NoSpacing"/>
        <w:rPr>
          <w:rFonts w:ascii="Arial Black" w:hAnsi="Arial Black"/>
          <w:sz w:val="40"/>
          <w:szCs w:val="40"/>
        </w:rPr>
      </w:pPr>
    </w:p>
    <w:p w14:paraId="796C012D" w14:textId="77777777" w:rsidR="00456C91" w:rsidRDefault="00456C91" w:rsidP="00F326E5">
      <w:pPr>
        <w:pStyle w:val="NoSpacing"/>
        <w:rPr>
          <w:rFonts w:ascii="Arial Black" w:hAnsi="Arial Black"/>
          <w:sz w:val="40"/>
          <w:szCs w:val="40"/>
        </w:rPr>
      </w:pPr>
    </w:p>
    <w:p w14:paraId="2E5CC0CE" w14:textId="77777777" w:rsidR="00456C91" w:rsidRDefault="00456C91" w:rsidP="00F326E5">
      <w:pPr>
        <w:pStyle w:val="NoSpacing"/>
        <w:rPr>
          <w:rFonts w:ascii="Arial Black" w:hAnsi="Arial Black"/>
          <w:sz w:val="40"/>
          <w:szCs w:val="40"/>
        </w:rPr>
      </w:pPr>
    </w:p>
    <w:p w14:paraId="1543A207" w14:textId="3F7609A4" w:rsidR="00F326E5" w:rsidRDefault="00F326E5" w:rsidP="00F326E5">
      <w:pPr>
        <w:pStyle w:val="NoSpacing"/>
        <w:rPr>
          <w:rFonts w:ascii="Arial Black" w:hAnsi="Arial Black"/>
          <w:sz w:val="40"/>
          <w:szCs w:val="40"/>
        </w:rPr>
      </w:pPr>
      <w:r w:rsidRPr="007732FA">
        <w:rPr>
          <w:rFonts w:ascii="Arial Black" w:hAnsi="Arial Black"/>
          <w:sz w:val="40"/>
          <w:szCs w:val="40"/>
        </w:rPr>
        <w:lastRenderedPageBreak/>
        <w:t>Chap. 9</w:t>
      </w:r>
      <w:r w:rsidRPr="007732FA">
        <w:rPr>
          <w:rFonts w:ascii="Arial Black" w:hAnsi="Arial Black"/>
          <w:sz w:val="40"/>
          <w:szCs w:val="40"/>
        </w:rPr>
        <w:tab/>
        <w:t xml:space="preserve">Americans </w:t>
      </w:r>
      <w:proofErr w:type="gramStart"/>
      <w:r w:rsidRPr="007732FA">
        <w:rPr>
          <w:rFonts w:ascii="Arial Black" w:hAnsi="Arial Black"/>
          <w:sz w:val="40"/>
          <w:szCs w:val="40"/>
        </w:rPr>
        <w:t>With</w:t>
      </w:r>
      <w:proofErr w:type="gramEnd"/>
      <w:r w:rsidRPr="007732FA">
        <w:rPr>
          <w:rFonts w:ascii="Arial Black" w:hAnsi="Arial Black"/>
          <w:sz w:val="40"/>
          <w:szCs w:val="40"/>
        </w:rPr>
        <w:t xml:space="preserve"> Disabilities Act</w:t>
      </w:r>
    </w:p>
    <w:p w14:paraId="2E416640" w14:textId="77777777" w:rsidR="0015021B" w:rsidRDefault="0015021B" w:rsidP="00F326E5">
      <w:pPr>
        <w:pStyle w:val="NoSpacing"/>
        <w:rPr>
          <w:sz w:val="24"/>
          <w:szCs w:val="24"/>
        </w:rPr>
      </w:pPr>
    </w:p>
    <w:p w14:paraId="70627E31" w14:textId="2ED3CF97" w:rsidR="00DB199F" w:rsidRDefault="00DB199F" w:rsidP="00BC4752">
      <w:pPr>
        <w:pStyle w:val="NoSpacing"/>
        <w:rPr>
          <w:rFonts w:ascii="Arial Black" w:hAnsi="Arial Black"/>
          <w:sz w:val="24"/>
          <w:szCs w:val="24"/>
        </w:rPr>
      </w:pPr>
      <w:bookmarkStart w:id="346" w:name="_Hlk7344938"/>
      <w:r>
        <w:rPr>
          <w:rFonts w:ascii="Arial Black" w:hAnsi="Arial Black"/>
          <w:sz w:val="24"/>
          <w:szCs w:val="24"/>
        </w:rPr>
        <w:t>9-69</w:t>
      </w:r>
    </w:p>
    <w:p w14:paraId="4FCE9CC4" w14:textId="77777777" w:rsidR="00DB199F" w:rsidRDefault="00DB199F" w:rsidP="00BC4752">
      <w:pPr>
        <w:pStyle w:val="NoSpacing"/>
        <w:rPr>
          <w:rFonts w:ascii="Arial Black" w:hAnsi="Arial Black"/>
          <w:sz w:val="24"/>
          <w:szCs w:val="24"/>
        </w:rPr>
      </w:pPr>
    </w:p>
    <w:p w14:paraId="02D08589" w14:textId="77777777" w:rsidR="00DB199F" w:rsidRDefault="00DB199F" w:rsidP="00DB199F">
      <w:pPr>
        <w:pStyle w:val="NoSpacing"/>
        <w:rPr>
          <w:rFonts w:ascii="Arial Black" w:hAnsi="Arial Black"/>
          <w:sz w:val="28"/>
          <w:szCs w:val="28"/>
        </w:rPr>
      </w:pPr>
      <w:r>
        <w:rPr>
          <w:rFonts w:ascii="Arial Black" w:hAnsi="Arial Black"/>
          <w:sz w:val="28"/>
          <w:szCs w:val="28"/>
        </w:rPr>
        <w:t xml:space="preserve">MA: ADA - DEAF CAN’T BE AMBULANCE DRIVER </w:t>
      </w:r>
    </w:p>
    <w:p w14:paraId="149F9324" w14:textId="77777777" w:rsidR="00DB199F" w:rsidRDefault="00DB199F" w:rsidP="00DB199F">
      <w:pPr>
        <w:pStyle w:val="NoSpacing"/>
        <w:rPr>
          <w:rFonts w:ascii="Arial Black" w:hAnsi="Arial Black"/>
          <w:sz w:val="28"/>
          <w:szCs w:val="28"/>
        </w:rPr>
      </w:pPr>
    </w:p>
    <w:p w14:paraId="48DC92AA" w14:textId="77777777" w:rsidR="00DB199F" w:rsidRDefault="00DB199F" w:rsidP="00DB199F">
      <w:pPr>
        <w:pStyle w:val="NoSpacing"/>
        <w:rPr>
          <w:b/>
        </w:rPr>
      </w:pPr>
      <w:r>
        <w:t xml:space="preserve">On July 15, 2026, in </w:t>
      </w:r>
      <w:r w:rsidRPr="00C62F92">
        <w:rPr>
          <w:u w:val="single"/>
        </w:rPr>
        <w:t>John Buccieri v. Brewster Ambulance Service, Inc.</w:t>
      </w:r>
      <w:r w:rsidRPr="00C62F92">
        <w:t xml:space="preserve">, </w:t>
      </w:r>
      <w:r>
        <w:t>the United States Court of Appeals for 1</w:t>
      </w:r>
      <w:r w:rsidRPr="00773514">
        <w:rPr>
          <w:vertAlign w:val="superscript"/>
        </w:rPr>
        <w:t>st</w:t>
      </w:r>
      <w:r>
        <w:t xml:space="preserve"> District (Boston) held (3 to 0) that the jury properly found that it </w:t>
      </w:r>
      <w:r w:rsidRPr="001D014D">
        <w:t xml:space="preserve">would have been an </w:t>
      </w:r>
      <w:r>
        <w:t>“</w:t>
      </w:r>
      <w:r w:rsidRPr="001D014D">
        <w:t>undue hardship</w:t>
      </w:r>
      <w:r>
        <w:t>”</w:t>
      </w:r>
      <w:r w:rsidRPr="001D014D">
        <w:t xml:space="preserve"> to Brewster Ambulance </w:t>
      </w:r>
      <w:r>
        <w:t>to hire a deaf person to be</w:t>
      </w:r>
      <w:r w:rsidRPr="006A7F43">
        <w:t xml:space="preserve"> a </w:t>
      </w:r>
      <w:r>
        <w:t>“</w:t>
      </w:r>
      <w:r w:rsidRPr="006A7F43">
        <w:t>Chair Car Driver</w:t>
      </w:r>
      <w:r>
        <w:t xml:space="preserve">.”  </w:t>
      </w:r>
      <w:hyperlink r:id="rId1631" w:history="1">
        <w:r w:rsidRPr="008449D0">
          <w:rPr>
            <w:rStyle w:val="Hyperlink"/>
            <w:b/>
          </w:rPr>
          <w:t>https://www.ca1.uscourts.gov/sites/ca1/files/opnfiles/25-1732P-01A.pdf</w:t>
        </w:r>
      </w:hyperlink>
      <w:r>
        <w:rPr>
          <w:b/>
        </w:rPr>
        <w:t xml:space="preserve"> </w:t>
      </w:r>
    </w:p>
    <w:p w14:paraId="50F35248" w14:textId="77777777" w:rsidR="00DB199F" w:rsidRDefault="00DB199F" w:rsidP="00DB199F">
      <w:pPr>
        <w:pStyle w:val="NoSpacing"/>
        <w:rPr>
          <w:b/>
        </w:rPr>
      </w:pPr>
    </w:p>
    <w:p w14:paraId="21A87BC9" w14:textId="77777777" w:rsidR="00DB199F" w:rsidRDefault="00DB199F" w:rsidP="00DB199F">
      <w:pPr>
        <w:pStyle w:val="NoSpacing"/>
      </w:pPr>
      <w:r>
        <w:t>THE COURT WROTE: “</w:t>
      </w:r>
      <w:r w:rsidRPr="00206153">
        <w:t>The jury had returned a verdict for Brewster on Buccieri's</w:t>
      </w:r>
      <w:r>
        <w:t xml:space="preserve"> </w:t>
      </w:r>
      <w:r w:rsidRPr="00206153">
        <w:t>claim of failure to hire for a Chair Car Driver position, finding</w:t>
      </w:r>
      <w:r>
        <w:t xml:space="preserve"> </w:t>
      </w:r>
      <w:r w:rsidRPr="00206153">
        <w:t xml:space="preserve">that Brewster had </w:t>
      </w:r>
      <w:r>
        <w:t>‘</w:t>
      </w:r>
      <w:r w:rsidRPr="00206153">
        <w:t>prove[d] by a preponderance of the evidence</w:t>
      </w:r>
      <w:r>
        <w:t xml:space="preserve"> </w:t>
      </w:r>
      <w:r w:rsidRPr="00206153">
        <w:t>that providing Mr. Buccieri with the requested accommodation(s)</w:t>
      </w:r>
      <w:r>
        <w:t xml:space="preserve"> </w:t>
      </w:r>
      <w:r w:rsidRPr="00206153">
        <w:t>would have been an undue hardship to Brewster Ambulance and/or</w:t>
      </w:r>
      <w:r>
        <w:t xml:space="preserve"> </w:t>
      </w:r>
      <w:r w:rsidRPr="00206153">
        <w:t>posed a direct threat to Mr. Buccieri or others.</w:t>
      </w:r>
      <w:r>
        <w:t>’</w:t>
      </w:r>
    </w:p>
    <w:p w14:paraId="57A18983" w14:textId="77777777" w:rsidR="00DB199F" w:rsidRDefault="00DB199F" w:rsidP="00DB199F">
      <w:pPr>
        <w:pStyle w:val="NoSpacing"/>
      </w:pPr>
    </w:p>
    <w:p w14:paraId="6B2548F8" w14:textId="77777777" w:rsidR="00DB199F" w:rsidRDefault="00DB199F" w:rsidP="00DB199F">
      <w:pPr>
        <w:pStyle w:val="NoSpacing"/>
      </w:pPr>
      <w:r>
        <w:t>***</w:t>
      </w:r>
    </w:p>
    <w:p w14:paraId="106D3EE5" w14:textId="77777777" w:rsidR="00DB199F" w:rsidRDefault="00DB199F" w:rsidP="00DB199F">
      <w:pPr>
        <w:pStyle w:val="NoSpacing"/>
      </w:pPr>
    </w:p>
    <w:p w14:paraId="4A1280C7" w14:textId="77777777" w:rsidR="00DB199F" w:rsidRDefault="00DB199F" w:rsidP="00DB199F">
      <w:pPr>
        <w:pStyle w:val="NoSpacing"/>
      </w:pPr>
      <w:r>
        <w:t>We hold that no reasonable jury could conclude that there was a reasonable accommodation that would have allowed Buccieri to perform the essential communications functions of the driver positions without undue hardship to Brewster…. Buccieri presented no evidence to rebut that his proposed tablet-based or any cell-phone-based accommodation for communicating with dispatch, even if it was available at the relevant time, would pose safety risks to all concerned of the driver's eyes being taken off the road, risks the ADA did not require Brewster to undertake. Brewster's radio system for dispatch communications has safety advantages over Buccieri's alternative accommodation of tablet-based communications, because the radio system allows drivers to connect instantly to dispatch with the press of one button on the radio and without taking their eyes off the road. Brewster established that distracted driving is the number one cause of accidents involving Brewster vehicles and that cell phone use is the number one cause of distracted driving.”</w:t>
      </w:r>
    </w:p>
    <w:p w14:paraId="42E324DD" w14:textId="77777777" w:rsidR="00DB199F" w:rsidRDefault="00DB199F" w:rsidP="00DB199F">
      <w:pPr>
        <w:pStyle w:val="NoSpacing"/>
      </w:pPr>
    </w:p>
    <w:p w14:paraId="1F0A1292" w14:textId="77777777" w:rsidR="00DB199F" w:rsidRPr="00957A56" w:rsidRDefault="00DB199F" w:rsidP="00DB199F">
      <w:pPr>
        <w:pStyle w:val="NoSpacing"/>
        <w:rPr>
          <w:b/>
          <w:bCs/>
        </w:rPr>
      </w:pPr>
      <w:r>
        <w:rPr>
          <w:b/>
        </w:rPr>
        <w:t>Legal lesson learned: Employers may refuse to hire disabled applicants who would create an “undue hardship.”</w:t>
      </w:r>
    </w:p>
    <w:p w14:paraId="60772E2C" w14:textId="77777777" w:rsidR="00DB199F" w:rsidRDefault="00DB199F" w:rsidP="00DB199F">
      <w:pPr>
        <w:pStyle w:val="NoSpacing"/>
        <w:rPr>
          <w:b/>
        </w:rPr>
      </w:pPr>
    </w:p>
    <w:p w14:paraId="57334498" w14:textId="77777777" w:rsidR="00DB199F" w:rsidRDefault="00DB199F" w:rsidP="00DB199F">
      <w:pPr>
        <w:pStyle w:val="NoSpacing"/>
        <w:rPr>
          <w:b/>
          <w:sz w:val="20"/>
          <w:szCs w:val="20"/>
        </w:rPr>
      </w:pPr>
    </w:p>
    <w:p w14:paraId="64DB69A9" w14:textId="20068AA5" w:rsidR="00DB199F" w:rsidRPr="00DB199F" w:rsidRDefault="00DB199F" w:rsidP="00DB199F">
      <w:pPr>
        <w:pStyle w:val="NoSpacing"/>
        <w:rPr>
          <w:rFonts w:ascii="Arial Black" w:hAnsi="Arial Black"/>
          <w:b/>
          <w:sz w:val="24"/>
          <w:szCs w:val="24"/>
        </w:rPr>
      </w:pPr>
      <w:r w:rsidRPr="00DB199F">
        <w:rPr>
          <w:rFonts w:ascii="Arial Black" w:hAnsi="Arial Black"/>
          <w:b/>
          <w:sz w:val="24"/>
          <w:szCs w:val="24"/>
        </w:rPr>
        <w:t>9-68</w:t>
      </w:r>
      <w:r w:rsidRPr="00DB199F">
        <w:rPr>
          <w:rFonts w:ascii="Arial Black" w:hAnsi="Arial Black"/>
          <w:b/>
          <w:sz w:val="24"/>
          <w:szCs w:val="24"/>
        </w:rPr>
        <w:tab/>
      </w:r>
    </w:p>
    <w:p w14:paraId="50716E8E" w14:textId="77777777" w:rsidR="00DB199F" w:rsidRDefault="00DB199F" w:rsidP="00DB199F">
      <w:pPr>
        <w:pStyle w:val="NoSpacing"/>
        <w:rPr>
          <w:rFonts w:ascii="Arial Black" w:hAnsi="Arial Black"/>
          <w:sz w:val="28"/>
          <w:szCs w:val="28"/>
        </w:rPr>
      </w:pPr>
    </w:p>
    <w:p w14:paraId="2AAB2896" w14:textId="77777777" w:rsidR="00DB199F" w:rsidRPr="00CB4E4D" w:rsidRDefault="00DB199F" w:rsidP="00DB199F">
      <w:pPr>
        <w:pStyle w:val="NoSpacing"/>
        <w:rPr>
          <w:rFonts w:ascii="Arial Black" w:hAnsi="Arial Black"/>
          <w:sz w:val="28"/>
          <w:szCs w:val="28"/>
        </w:rPr>
      </w:pPr>
      <w:r>
        <w:rPr>
          <w:rFonts w:ascii="Arial Black" w:hAnsi="Arial Black"/>
          <w:sz w:val="28"/>
          <w:szCs w:val="28"/>
        </w:rPr>
        <w:t>OR: HEART / LIGHT DUTY 1-YR – BUT 3 OPEN CITY JOBS</w:t>
      </w:r>
    </w:p>
    <w:p w14:paraId="0340C4A8" w14:textId="77777777" w:rsidR="00DB199F" w:rsidRDefault="00DB199F" w:rsidP="00DB199F">
      <w:pPr>
        <w:pStyle w:val="NoSpacing"/>
      </w:pPr>
    </w:p>
    <w:p w14:paraId="66C5236A" w14:textId="77777777" w:rsidR="00DB199F" w:rsidRDefault="00DB199F" w:rsidP="00DB199F">
      <w:pPr>
        <w:pStyle w:val="NoSpacing"/>
      </w:pPr>
      <w:r>
        <w:t xml:space="preserve">On May 8, 2026, in </w:t>
      </w:r>
      <w:r w:rsidRPr="00DA4E2B">
        <w:rPr>
          <w:u w:val="single"/>
        </w:rPr>
        <w:t>Christopher Rampley v. City of Newport</w:t>
      </w:r>
      <w:r>
        <w:t xml:space="preserve">, U.S. Magistrate Judge Amy E. Potter, </w:t>
      </w:r>
      <w:r w:rsidRPr="00E26CD3">
        <w:t>United States District Court, D. Oregon, Eugene Division</w:t>
      </w:r>
      <w:r>
        <w:t xml:space="preserve">, issued a Report and Recommendation that city’s motion for summary judgment should be denied since there were three other city jobs that may have been a reasonable accommodation. </w:t>
      </w:r>
      <w:r w:rsidRPr="004B23C2">
        <w:t xml:space="preserve">In 2015, Plaintiff experienced heart palpitations which would ultimately be diagnosed as </w:t>
      </w:r>
      <w:r>
        <w:t xml:space="preserve">was hospitalized with </w:t>
      </w:r>
      <w:r w:rsidRPr="004B23C2">
        <w:t>atrial fibrillation.</w:t>
      </w:r>
      <w:r>
        <w:t xml:space="preserve"> </w:t>
      </w:r>
      <w:r w:rsidRPr="001518B1">
        <w:t>In May 2022,</w:t>
      </w:r>
      <w:r>
        <w:t xml:space="preserve"> he was temporarily </w:t>
      </w:r>
      <w:r w:rsidRPr="001518B1">
        <w:t>reassigned to a light duty position as a fire inspector</w:t>
      </w:r>
      <w:r>
        <w:t xml:space="preserve">.  He received workers comp, and FD </w:t>
      </w:r>
      <w:r w:rsidRPr="00C205A5">
        <w:t xml:space="preserve">extended his light duty assignment until July 21, </w:t>
      </w:r>
      <w:proofErr w:type="gramStart"/>
      <w:r w:rsidRPr="00C205A5">
        <w:t>2023</w:t>
      </w:r>
      <w:proofErr w:type="gramEnd"/>
      <w:r>
        <w:t xml:space="preserve"> when he was terminated.  There were three other open jobs in the city – but there was apparently no discussion with the plaintiff about those: </w:t>
      </w:r>
      <w:r w:rsidRPr="004779EE">
        <w:t>an administrative project support position, a building attendant, and a janitorial position</w:t>
      </w:r>
      <w:r>
        <w:t xml:space="preserve">. </w:t>
      </w:r>
      <w:hyperlink r:id="rId1632" w:history="1">
        <w:r w:rsidRPr="009061EC">
          <w:rPr>
            <w:rStyle w:val="Hyperlink"/>
          </w:rPr>
          <w:t>https://public.fastcase.com/Jhe1Qn%2BmJndQYQU6z%2FeNm%2BBAkVyVw7qfp1FLZhLRneZoYclJ%2FVT7s6PXMIJoJS6%2B?utm_medium=email&amp;_hsenc=p2ANqtz-8PpRuVev0Ah_XktOEuEmMt0agUMxrVPAo9u5l7IUNDD8PU7k6rzhxTWeOW-diGg6ug4Y_W0mxcgZfTt2tSbUoxEpMhGQ&amp;_hsmi=226712652&amp;utm_content=226712652&amp;utm_source=hs_email</w:t>
        </w:r>
      </w:hyperlink>
      <w:r>
        <w:t xml:space="preserve"> </w:t>
      </w:r>
    </w:p>
    <w:p w14:paraId="33EC972A" w14:textId="77777777" w:rsidR="00DB199F" w:rsidRDefault="00DB199F" w:rsidP="00DB199F">
      <w:pPr>
        <w:pStyle w:val="NoSpacing"/>
      </w:pPr>
    </w:p>
    <w:p w14:paraId="16700831" w14:textId="77777777" w:rsidR="00DB199F" w:rsidRDefault="00DB199F" w:rsidP="00DB199F">
      <w:pPr>
        <w:pStyle w:val="NoSpacing"/>
        <w:rPr>
          <w:bCs/>
        </w:rPr>
      </w:pPr>
      <w:r>
        <w:t>THE MAGISTRATE JUDGE WROTE:</w:t>
      </w:r>
    </w:p>
    <w:p w14:paraId="62F702C9" w14:textId="77777777" w:rsidR="00DB199F" w:rsidRDefault="00DB199F" w:rsidP="00DB199F">
      <w:pPr>
        <w:pStyle w:val="NoSpacing"/>
      </w:pPr>
    </w:p>
    <w:p w14:paraId="3932C1B2" w14:textId="77777777" w:rsidR="00DB199F" w:rsidRDefault="00DB199F" w:rsidP="00DB199F">
      <w:pPr>
        <w:pStyle w:val="NoSpacing"/>
      </w:pPr>
      <w:r>
        <w:t>“</w:t>
      </w:r>
      <w:r w:rsidRPr="005523BB">
        <w:t xml:space="preserve">Of course, for the failure to offer a vacant position to be actionable, Plaintiff had to be able to perform the essential functions of that job with or without accommodations. </w:t>
      </w:r>
      <w:r w:rsidRPr="005523BB">
        <w:rPr>
          <w:i/>
          <w:iCs/>
        </w:rPr>
        <w:t>See Snapp v. United Transportation Union</w:t>
      </w:r>
      <w:r w:rsidRPr="005523BB">
        <w:t xml:space="preserve">, 889 F.3d 1088, 1095 (9th Cir. 2018) (holding that liability for failing to engage in interactive process only attaches if </w:t>
      </w:r>
      <w:proofErr w:type="gramStart"/>
      <w:r w:rsidRPr="005523BB">
        <w:t>a reasonable</w:t>
      </w:r>
      <w:proofErr w:type="gramEnd"/>
      <w:r w:rsidRPr="005523BB">
        <w:t xml:space="preserve"> accommodation is possible). Defendant contends it reviewed other city-wide vacant positions and determined that Plaintiff could not safely fill them or was not qualified</w:t>
      </w:r>
      <w:r>
        <w:t>…. P</w:t>
      </w:r>
      <w:r w:rsidRPr="005523BB">
        <w:t>laintiff disagrees and offers three positions—an administrative project support position, a building attendant, and a janitorial position—that he contends he was qualified for and could safely perform</w:t>
      </w:r>
      <w:r>
        <w:t xml:space="preserve">…. </w:t>
      </w:r>
      <w:r w:rsidRPr="005523BB">
        <w:t xml:space="preserve">Even with Defendant's evidence regarding the positions, there remains a dispute of fact on this </w:t>
      </w:r>
      <w:proofErr w:type="gramStart"/>
      <w:r w:rsidRPr="005523BB">
        <w:t>issue.</w:t>
      </w:r>
      <w:r>
        <w:t>”</w:t>
      </w:r>
      <w:proofErr w:type="gramEnd"/>
      <w:r>
        <w:t xml:space="preserve"> </w:t>
      </w:r>
    </w:p>
    <w:p w14:paraId="6B3D99FC" w14:textId="77777777" w:rsidR="00DB199F" w:rsidRDefault="00DB199F" w:rsidP="00DB199F">
      <w:pPr>
        <w:pStyle w:val="NoSpacing"/>
      </w:pPr>
    </w:p>
    <w:p w14:paraId="35494DF6" w14:textId="77777777" w:rsidR="00DB199F" w:rsidRPr="00B3494A" w:rsidRDefault="00DB199F" w:rsidP="00DB199F">
      <w:pPr>
        <w:pStyle w:val="NoSpacing"/>
        <w:rPr>
          <w:b/>
          <w:bCs/>
        </w:rPr>
      </w:pPr>
      <w:r w:rsidRPr="00B3494A">
        <w:rPr>
          <w:b/>
        </w:rPr>
        <w:t xml:space="preserve">Legal lesson learned: </w:t>
      </w:r>
      <w:r>
        <w:rPr>
          <w:b/>
        </w:rPr>
        <w:t xml:space="preserve">To avoid ADA litigation, have a thorough discussion with the employee about other possible positions in the city and document whether employee could safely perform those jobs. </w:t>
      </w:r>
    </w:p>
    <w:p w14:paraId="5840A21E" w14:textId="77777777" w:rsidR="00DB199F" w:rsidRDefault="00DB199F" w:rsidP="00DB199F">
      <w:pPr>
        <w:pStyle w:val="NoSpacing"/>
        <w:rPr>
          <w:b/>
          <w:bCs/>
        </w:rPr>
      </w:pPr>
    </w:p>
    <w:p w14:paraId="42984B3D" w14:textId="77777777" w:rsidR="00DB199F" w:rsidRDefault="00DB199F" w:rsidP="00DB199F">
      <w:pPr>
        <w:pStyle w:val="NoSpacing"/>
        <w:ind w:left="720"/>
      </w:pPr>
      <w:r>
        <w:rPr>
          <w:b/>
        </w:rPr>
        <w:t xml:space="preserve">Note: </w:t>
      </w:r>
      <w:r>
        <w:t xml:space="preserve">On July 8, 2026, U.S. District Court Judge </w:t>
      </w:r>
      <w:r w:rsidRPr="00E51C2B">
        <w:t>Mustafa Taher Kasubhai</w:t>
      </w:r>
      <w:r>
        <w:t xml:space="preserve"> accepted the Report and Recommendations. </w:t>
      </w:r>
      <w:hyperlink r:id="rId1633" w:history="1">
        <w:r w:rsidRPr="00DA6A19">
          <w:rPr>
            <w:rStyle w:val="Hyperlink"/>
          </w:rPr>
          <w:t>https://www.casemine.com/judgement/us/6a52586871db26a4e922f540</w:t>
        </w:r>
      </w:hyperlink>
      <w:r>
        <w:t xml:space="preserve"> </w:t>
      </w:r>
    </w:p>
    <w:p w14:paraId="678B440A" w14:textId="77777777" w:rsidR="00DB199F" w:rsidRPr="00B3494A" w:rsidRDefault="00DB199F" w:rsidP="00DB199F">
      <w:pPr>
        <w:pStyle w:val="NoSpacing"/>
        <w:rPr>
          <w:b/>
          <w:bCs/>
        </w:rPr>
      </w:pPr>
    </w:p>
    <w:p w14:paraId="6DD312FC" w14:textId="77777777" w:rsidR="00DB199F" w:rsidRDefault="00DB199F" w:rsidP="00BC4752">
      <w:pPr>
        <w:pStyle w:val="NoSpacing"/>
        <w:rPr>
          <w:rFonts w:ascii="Arial Black" w:hAnsi="Arial Black"/>
          <w:sz w:val="24"/>
          <w:szCs w:val="24"/>
        </w:rPr>
      </w:pPr>
    </w:p>
    <w:p w14:paraId="022AF4F4" w14:textId="77777777" w:rsidR="00DB199F" w:rsidRDefault="00DB199F" w:rsidP="00BC4752">
      <w:pPr>
        <w:pStyle w:val="NoSpacing"/>
        <w:rPr>
          <w:rFonts w:ascii="Arial Black" w:hAnsi="Arial Black"/>
          <w:sz w:val="24"/>
          <w:szCs w:val="24"/>
        </w:rPr>
      </w:pPr>
    </w:p>
    <w:p w14:paraId="4079C942" w14:textId="77777777" w:rsidR="00DB199F" w:rsidRDefault="00DB199F" w:rsidP="00BC4752">
      <w:pPr>
        <w:pStyle w:val="NoSpacing"/>
        <w:rPr>
          <w:rFonts w:ascii="Arial Black" w:hAnsi="Arial Black"/>
          <w:sz w:val="24"/>
          <w:szCs w:val="24"/>
        </w:rPr>
      </w:pPr>
    </w:p>
    <w:p w14:paraId="4F504253" w14:textId="77777777" w:rsidR="00DB199F" w:rsidRDefault="00DB199F" w:rsidP="00BC4752">
      <w:pPr>
        <w:pStyle w:val="NoSpacing"/>
        <w:rPr>
          <w:rFonts w:ascii="Arial Black" w:hAnsi="Arial Black"/>
          <w:sz w:val="24"/>
          <w:szCs w:val="24"/>
        </w:rPr>
      </w:pPr>
    </w:p>
    <w:p w14:paraId="7BD05818" w14:textId="77777777" w:rsidR="00DB199F" w:rsidRDefault="00DB199F" w:rsidP="00BC4752">
      <w:pPr>
        <w:pStyle w:val="NoSpacing"/>
        <w:rPr>
          <w:rFonts w:ascii="Arial Black" w:hAnsi="Arial Black"/>
          <w:sz w:val="24"/>
          <w:szCs w:val="24"/>
        </w:rPr>
      </w:pPr>
    </w:p>
    <w:p w14:paraId="16B42586" w14:textId="550D5706" w:rsidR="008C7243" w:rsidRDefault="00A0752D" w:rsidP="00BC4752">
      <w:pPr>
        <w:pStyle w:val="NoSpacing"/>
        <w:rPr>
          <w:rFonts w:ascii="Arial Black" w:hAnsi="Arial Black"/>
          <w:sz w:val="24"/>
          <w:szCs w:val="24"/>
        </w:rPr>
      </w:pPr>
      <w:r>
        <w:rPr>
          <w:rFonts w:ascii="Arial Black" w:hAnsi="Arial Black"/>
          <w:sz w:val="24"/>
          <w:szCs w:val="24"/>
        </w:rPr>
        <w:t>9</w:t>
      </w:r>
      <w:r w:rsidR="008C3834">
        <w:rPr>
          <w:rFonts w:ascii="Arial Black" w:hAnsi="Arial Black"/>
          <w:sz w:val="24"/>
          <w:szCs w:val="24"/>
        </w:rPr>
        <w:t>-</w:t>
      </w:r>
      <w:r w:rsidR="0049781A">
        <w:rPr>
          <w:rFonts w:ascii="Arial Black" w:hAnsi="Arial Black"/>
          <w:sz w:val="24"/>
          <w:szCs w:val="24"/>
        </w:rPr>
        <w:t>67</w:t>
      </w:r>
    </w:p>
    <w:p w14:paraId="066BF749" w14:textId="77777777" w:rsidR="008C3834" w:rsidRDefault="008C3834" w:rsidP="00BC4752">
      <w:pPr>
        <w:pStyle w:val="NoSpacing"/>
        <w:rPr>
          <w:rFonts w:ascii="Arial Black" w:hAnsi="Arial Black"/>
          <w:sz w:val="24"/>
          <w:szCs w:val="24"/>
        </w:rPr>
      </w:pPr>
    </w:p>
    <w:p w14:paraId="50B69144" w14:textId="77777777" w:rsidR="008C3834" w:rsidRPr="006E13B1" w:rsidRDefault="008C3834" w:rsidP="008C3834">
      <w:pPr>
        <w:rPr>
          <w:rFonts w:ascii="Arial Black" w:hAnsi="Arial Black"/>
          <w:bCs/>
          <w:sz w:val="28"/>
          <w:szCs w:val="28"/>
        </w:rPr>
      </w:pPr>
      <w:r>
        <w:rPr>
          <w:rFonts w:ascii="Arial Black" w:hAnsi="Arial Black"/>
          <w:sz w:val="28"/>
          <w:szCs w:val="28"/>
        </w:rPr>
        <w:t>NV: PROB. FF INJURED – NO EXT. 1-YR</w:t>
      </w:r>
      <w:r>
        <w:rPr>
          <w:rFonts w:ascii="Arial Black" w:hAnsi="Arial Black"/>
          <w:bCs/>
          <w:sz w:val="28"/>
          <w:szCs w:val="28"/>
        </w:rPr>
        <w:t xml:space="preserve"> – </w:t>
      </w:r>
      <w:r>
        <w:rPr>
          <w:rFonts w:ascii="Arial Black" w:hAnsi="Arial Black"/>
          <w:sz w:val="28"/>
          <w:szCs w:val="28"/>
        </w:rPr>
        <w:t>CASE</w:t>
      </w:r>
      <w:r>
        <w:rPr>
          <w:rFonts w:ascii="Arial Black" w:hAnsi="Arial Black"/>
          <w:bCs/>
          <w:sz w:val="28"/>
          <w:szCs w:val="28"/>
        </w:rPr>
        <w:t xml:space="preserve"> PROCEED</w:t>
      </w:r>
    </w:p>
    <w:p w14:paraId="06EFB765" w14:textId="77777777" w:rsidR="008C3834" w:rsidRDefault="008C3834" w:rsidP="008C3834">
      <w:pPr>
        <w:rPr>
          <w:bCs/>
        </w:rPr>
      </w:pPr>
      <w:r>
        <w:t xml:space="preserve">On May 12, 2026, in </w:t>
      </w:r>
      <w:r w:rsidRPr="00520ECA">
        <w:rPr>
          <w:u w:val="single"/>
        </w:rPr>
        <w:t>Matthew Gregort Vannozzi v. Clark County, et al</w:t>
      </w:r>
      <w:r>
        <w:t xml:space="preserve">., U.S. District Court Judge </w:t>
      </w:r>
      <w:r w:rsidRPr="006E13B1">
        <w:t>Jennifer A. Dorsey</w:t>
      </w:r>
      <w:r>
        <w:t>, United States District Court for the District of Nevada, denied Clark County’s motion to dismiss the case.  THE COURT HELD: “</w:t>
      </w:r>
      <w:r w:rsidRPr="00225ABE">
        <w:t>Matthew Vannozzi brings Americans with Disabilities Act (ADA), Rehabilitation Act, and Nevada-law employment claims against Clark County, alleging that its fire department refused to preserve his probationary firefighter-paramedic position while he recovered from line-of-duty injuries and cardiac conditions, failed to engage in the interactive process, and fired him for his disability</w:t>
      </w:r>
      <w:r>
        <w:t>…. A</w:t>
      </w:r>
      <w:r w:rsidRPr="00225ABE">
        <w:t>nd because the second amended complaint plausibly alleges that Vannozzi sought a finite recovery-time accommodation and suffered adverse action after invoking ADA-protected rights, I deny the motion to dismiss, too.</w:t>
      </w:r>
      <w:r>
        <w:t xml:space="preserve">” </w:t>
      </w:r>
      <w:hyperlink r:id="rId1634" w:history="1">
        <w:r w:rsidRPr="00F85F03">
          <w:rPr>
            <w:rStyle w:val="Hyperlink"/>
          </w:rPr>
          <w:t>https://public.fastcase.com/Jhe1Qn%2BmJndQYQU6z%2FeNm2kS7VI9AQpJ451BKRyshBDGiqezkPNA%2BJ4Mc%2Fomhxj3zuPpdWN764R4JuE3lYQbe83p1Nq1XHA6CB8LuiXwXBM%3D?utm_medium=email&amp;_hsenc=p2ANqtz-_xBqvIlP1bgLDQ7-gr0MsyD2cqh9I-7H0nRbwq_ndvk4N-HbAk55liN5jXfY0IgeNEDhFcwLKOWXCSzt7avhQkvFQDlA&amp;_hsmi=226712652&amp;utm_content=226712652&amp;utm_source=hs_email</w:t>
        </w:r>
      </w:hyperlink>
    </w:p>
    <w:p w14:paraId="355B616D" w14:textId="77777777" w:rsidR="008C3834" w:rsidRDefault="008C3834" w:rsidP="008C3834">
      <w:pPr>
        <w:rPr>
          <w:bCs/>
        </w:rPr>
      </w:pPr>
      <w:r>
        <w:t>THE COURT HELD:</w:t>
      </w:r>
    </w:p>
    <w:p w14:paraId="0DB5743C" w14:textId="77777777" w:rsidR="008C3834" w:rsidRPr="006F10FA" w:rsidRDefault="008C3834" w:rsidP="008C3834">
      <w:pPr>
        <w:ind w:left="720"/>
        <w:rPr>
          <w:bCs/>
        </w:rPr>
      </w:pPr>
      <w:r>
        <w:t>“</w:t>
      </w:r>
      <w:r w:rsidRPr="006F10FA">
        <w:t xml:space="preserve">The Clark County Fire Department hired Matthew Vannozzi as a probationary firefighter-paramedic in January 2023. He completed the Clark County Fire Academy that May and began full-duty work as a firefighter-paramedic. But four months later, while responding to a fire incident, Vannozzi injured his left upper extremity, neck, and right wrist badly enough to prevent him from performing the essential functions of that job. About a month after that, he suffered a non-ST elevation myocardial infarction that required emergency stent placement. During that treatment, he was also diagnosed with an aortic aneurysm, hemochromatosis, and a hypercoagulable state. </w:t>
      </w:r>
    </w:p>
    <w:p w14:paraId="0538C8EA" w14:textId="77777777" w:rsidR="008C3834" w:rsidRDefault="008C3834" w:rsidP="008C3834">
      <w:pPr>
        <w:ind w:left="720"/>
        <w:rPr>
          <w:bCs/>
          <w:vertAlign w:val="superscript"/>
        </w:rPr>
      </w:pPr>
      <w:r w:rsidRPr="006F10FA">
        <w:lastRenderedPageBreak/>
        <w:t>Those cardiac and blood-related conditions required anticoagulation therapy, making the inherent risks of firefighting potentially fatal because traumatic injury could lead to dangerous bleeding Multiple doctors placed Vannozzi on disability status and complete work restrictions, leaving him unable to perform firefighting duties during his recovery period. His treating cardiologist estimated on November 8, 2023, that Vannozzi would need at least six weeks before</w:t>
      </w:r>
      <w:r>
        <w:t xml:space="preserve"> </w:t>
      </w:r>
      <w:r w:rsidRPr="006F10FA">
        <w:t>he could return to work from a cardiac standpoint, putting that timeframe in mid-to-late December. But that estimate did not account for his orthopedic injuries, which required additional recovery time.</w:t>
      </w:r>
    </w:p>
    <w:p w14:paraId="6E806570" w14:textId="77777777" w:rsidR="008C3834" w:rsidRDefault="008C3834" w:rsidP="008C3834">
      <w:pPr>
        <w:ind w:left="720"/>
        <w:rPr>
          <w:vertAlign w:val="superscript"/>
        </w:rPr>
      </w:pPr>
      <w:r w:rsidRPr="00A65F20">
        <w:t xml:space="preserve">Clark County knew about Vannozzi's injuries, medical restrictions, and workers' compensation status. So, while still unable to perform firefighting duties, Vannozzi requested an extension of his one-year probationary period to give him time to recover and return to full duty. Vannozzi alleges that Clark County had extended probationary periods for other injured firefighters, but it refused to do so for him. It also told him that he would </w:t>
      </w:r>
      <w:r>
        <w:t>‘</w:t>
      </w:r>
      <w:r w:rsidRPr="00A65F20">
        <w:t>surely fail</w:t>
      </w:r>
      <w:r>
        <w:t xml:space="preserve">’ </w:t>
      </w:r>
      <w:r w:rsidRPr="00A65F20">
        <w:t>probation even if the department extended his probation and he recovered. Clark County terminated him on December 27, 2023—13 days before his probationary period would have ended.</w:t>
      </w:r>
    </w:p>
    <w:p w14:paraId="4EC06EE0" w14:textId="77777777" w:rsidR="008C3834" w:rsidRPr="00FF04E5" w:rsidRDefault="008C3834" w:rsidP="008C3834">
      <w:pPr>
        <w:ind w:left="720"/>
      </w:pPr>
      <w:r w:rsidRPr="00FF04E5">
        <w:t>***</w:t>
      </w:r>
    </w:p>
    <w:p w14:paraId="476A6483" w14:textId="77777777" w:rsidR="008C3834" w:rsidRPr="00FF04E5" w:rsidRDefault="008C3834" w:rsidP="008C3834">
      <w:pPr>
        <w:ind w:left="720"/>
      </w:pPr>
      <w:r>
        <w:t>[T]</w:t>
      </w:r>
      <w:r w:rsidRPr="00FF04E5">
        <w:t>he Ninth Circuit recognizes that medical leave or an extension of leave may be a reasonable accommodation when it would allow the employee to return to the job's essential functions in the foreseeable future</w:t>
      </w:r>
      <w:r>
        <w:t xml:space="preserve">…. </w:t>
      </w:r>
      <w:r w:rsidRPr="00DF5943">
        <w:t>At this pleading stage, Vannozzi plausibly alleges that he could have been a qualified individual with a finite recovery-time accommodation, so I deny the motion to dismiss on those grounds.</w:t>
      </w:r>
      <w:r>
        <w:t>”</w:t>
      </w:r>
    </w:p>
    <w:p w14:paraId="579EC6F6" w14:textId="77777777" w:rsidR="008C3834" w:rsidRPr="005E465A" w:rsidRDefault="008C3834" w:rsidP="008C3834">
      <w:pPr>
        <w:rPr>
          <w:b/>
        </w:rPr>
      </w:pPr>
      <w:r>
        <w:rPr>
          <w:b/>
        </w:rPr>
        <w:t xml:space="preserve">Legal lesson learned: </w:t>
      </w:r>
      <w:r w:rsidRPr="005E465A">
        <w:rPr>
          <w:b/>
        </w:rPr>
        <w:t xml:space="preserve">Under ADA, requests </w:t>
      </w:r>
      <w:r>
        <w:rPr>
          <w:b/>
        </w:rPr>
        <w:t xml:space="preserve">by an injured employee </w:t>
      </w:r>
      <w:r w:rsidRPr="005E465A">
        <w:rPr>
          <w:b/>
        </w:rPr>
        <w:t>for a</w:t>
      </w:r>
      <w:r>
        <w:rPr>
          <w:b/>
        </w:rPr>
        <w:t xml:space="preserve"> reasonable  </w:t>
      </w:r>
      <w:r w:rsidRPr="005E465A">
        <w:rPr>
          <w:b/>
        </w:rPr>
        <w:t xml:space="preserve">extension </w:t>
      </w:r>
      <w:r>
        <w:rPr>
          <w:b/>
        </w:rPr>
        <w:t xml:space="preserve">of </w:t>
      </w:r>
      <w:r w:rsidRPr="005E465A">
        <w:rPr>
          <w:b/>
        </w:rPr>
        <w:t>recovery</w:t>
      </w:r>
      <w:r>
        <w:rPr>
          <w:b/>
        </w:rPr>
        <w:t xml:space="preserve"> time can be considered </w:t>
      </w:r>
      <w:proofErr w:type="gramStart"/>
      <w:r>
        <w:rPr>
          <w:b/>
        </w:rPr>
        <w:t>a</w:t>
      </w:r>
      <w:proofErr w:type="gramEnd"/>
      <w:r w:rsidRPr="005E465A">
        <w:rPr>
          <w:b/>
        </w:rPr>
        <w:t xml:space="preserve"> ADA-protected right</w:t>
      </w:r>
      <w:r>
        <w:rPr>
          <w:b/>
        </w:rPr>
        <w:t>;</w:t>
      </w:r>
      <w:r w:rsidRPr="005E465A">
        <w:rPr>
          <w:b/>
        </w:rPr>
        <w:t xml:space="preserve"> case will proceed with pre-trial discovery. </w:t>
      </w:r>
    </w:p>
    <w:p w14:paraId="1C03AEE4" w14:textId="77777777" w:rsidR="00535EBD" w:rsidRDefault="00535EBD" w:rsidP="008C3834">
      <w:pPr>
        <w:rPr>
          <w:rFonts w:ascii="Arial Black" w:hAnsi="Arial Black"/>
          <w:bCs/>
          <w:sz w:val="24"/>
          <w:szCs w:val="24"/>
        </w:rPr>
      </w:pPr>
    </w:p>
    <w:p w14:paraId="0143AF40" w14:textId="526F89BB" w:rsidR="008C3834" w:rsidRPr="00535EBD" w:rsidRDefault="00535EBD" w:rsidP="008C3834">
      <w:pPr>
        <w:rPr>
          <w:rFonts w:ascii="Arial Black" w:hAnsi="Arial Black"/>
          <w:bCs/>
          <w:sz w:val="24"/>
          <w:szCs w:val="24"/>
        </w:rPr>
      </w:pPr>
      <w:r w:rsidRPr="00535EBD">
        <w:rPr>
          <w:rFonts w:ascii="Arial Black" w:hAnsi="Arial Black"/>
          <w:bCs/>
          <w:sz w:val="24"/>
          <w:szCs w:val="24"/>
        </w:rPr>
        <w:t>9-66 [also filed, Chap. 15, Mental health]</w:t>
      </w:r>
    </w:p>
    <w:p w14:paraId="75EC92C3" w14:textId="77777777" w:rsidR="00A0752D" w:rsidRPr="00E60E4B" w:rsidRDefault="00A0752D" w:rsidP="00A0752D">
      <w:pPr>
        <w:rPr>
          <w:rFonts w:ascii="Arial Black" w:hAnsi="Arial Black"/>
          <w:b/>
          <w:sz w:val="28"/>
          <w:szCs w:val="28"/>
        </w:rPr>
      </w:pPr>
      <w:r>
        <w:rPr>
          <w:rFonts w:ascii="Arial Black" w:hAnsi="Arial Black"/>
          <w:b/>
          <w:sz w:val="28"/>
          <w:szCs w:val="28"/>
        </w:rPr>
        <w:t xml:space="preserve">KY: FIRE MARSHAL – NO MJ - SUICIDE ATTEMPT ADDERALL </w:t>
      </w:r>
    </w:p>
    <w:p w14:paraId="0FC738A1" w14:textId="77777777" w:rsidR="00A0752D" w:rsidRDefault="00A0752D" w:rsidP="00A0752D">
      <w:pPr>
        <w:pStyle w:val="NoSpacing"/>
      </w:pPr>
      <w:r>
        <w:t xml:space="preserve">On May 5, 2026, in </w:t>
      </w:r>
      <w:r w:rsidRPr="00BE6F41">
        <w:rPr>
          <w:u w:val="single"/>
        </w:rPr>
        <w:t>Joseph Wheeling v. City of Winchester</w:t>
      </w:r>
      <w:r>
        <w:t xml:space="preserve">, U.S. District Court Judge </w:t>
      </w:r>
      <w:r w:rsidRPr="003F4A5C">
        <w:t>Karen K. Caldwel</w:t>
      </w:r>
      <w:r>
        <w:t xml:space="preserve">, United States District Court for Eastern District of Kentucky, Central Division, Lexington, granted the City’s motion for summary judgment on his May 16, </w:t>
      </w:r>
      <w:proofErr w:type="gramStart"/>
      <w:r>
        <w:t>2023</w:t>
      </w:r>
      <w:proofErr w:type="gramEnd"/>
      <w:r>
        <w:t xml:space="preserve"> termination for breach of city’s drug policy - abuse of proscribed medication.  The Fire Marshal had taken FMLA leave </w:t>
      </w:r>
      <w:r w:rsidRPr="00D73A56">
        <w:t>June 22</w:t>
      </w:r>
      <w:r>
        <w:t>-</w:t>
      </w:r>
      <w:r w:rsidRPr="00D73A56">
        <w:t xml:space="preserve">25, 2022, </w:t>
      </w:r>
      <w:r>
        <w:t xml:space="preserve">for </w:t>
      </w:r>
      <w:r w:rsidRPr="00D73A56">
        <w:t>in-patient treatment at the International Association of Fire Fighters Center for Excellence</w:t>
      </w:r>
      <w:r>
        <w:t xml:space="preserve">, and upon return he was receiving treatment </w:t>
      </w:r>
      <w:r w:rsidRPr="00216F9E">
        <w:t>Bluegrass Behavioral Health and Consulting Services</w:t>
      </w:r>
      <w:r>
        <w:t xml:space="preserve">.  After a second FMLA, the </w:t>
      </w:r>
      <w:proofErr w:type="gramStart"/>
      <w:r>
        <w:t>City</w:t>
      </w:r>
      <w:proofErr w:type="gramEnd"/>
      <w:r>
        <w:t xml:space="preserve"> declined his return to work using proscribed marijuana, so he was proscribed Adderall.  He r</w:t>
      </w:r>
      <w:r w:rsidRPr="00724F86">
        <w:t>eturned to work on March 14, 2023</w:t>
      </w:r>
      <w:r>
        <w:t xml:space="preserve">; but on </w:t>
      </w:r>
      <w:r w:rsidRPr="00147A46">
        <w:t xml:space="preserve">March 31, 2023, Wheeling attempted suicide while at work by </w:t>
      </w:r>
      <w:r w:rsidRPr="00D600CD">
        <w:t>ingesting about 9 or 11 Adderall pills.</w:t>
      </w:r>
      <w:r>
        <w:t xml:space="preserve"> THE COURT WROTE: “</w:t>
      </w:r>
      <w:r w:rsidRPr="00835EAE">
        <w:t xml:space="preserve">Because the record conclusively reveals a nondiscriminatory reason for the termination, the </w:t>
      </w:r>
      <w:proofErr w:type="gramStart"/>
      <w:r w:rsidRPr="00835EAE">
        <w:t>City</w:t>
      </w:r>
      <w:proofErr w:type="gramEnd"/>
      <w:r w:rsidRPr="00835EAE">
        <w:t xml:space="preserve"> is entitled to summary judgment on the disability discrimination claim</w:t>
      </w:r>
      <w:r>
        <w:t xml:space="preserve">…. </w:t>
      </w:r>
      <w:r w:rsidRPr="00E60E4B">
        <w:t xml:space="preserve"> Here, the written job requirements, the undisputed testimony from Wheeling and his supervisors, and the duties inherent in being a first responder indicate that field inspections and fire prevention </w:t>
      </w:r>
      <w:proofErr w:type="gramStart"/>
      <w:r w:rsidRPr="00E60E4B">
        <w:t>is</w:t>
      </w:r>
      <w:proofErr w:type="gramEnd"/>
      <w:r w:rsidRPr="00E60E4B">
        <w:t xml:space="preserve"> essential to performing the Fire Marshal role. The </w:t>
      </w:r>
      <w:proofErr w:type="gramStart"/>
      <w:r w:rsidRPr="00E60E4B">
        <w:t>City</w:t>
      </w:r>
      <w:proofErr w:type="gramEnd"/>
      <w:r w:rsidRPr="00E60E4B">
        <w:t xml:space="preserve"> was not required to reassign Wheeling's fire inspection and prevention responsibilities to other employees</w:t>
      </w:r>
      <w:r>
        <w:t xml:space="preserve">…. </w:t>
      </w:r>
      <w:r w:rsidRPr="00E60E4B">
        <w:t xml:space="preserve">Therefore, based on the record, Wheeling's request to have other employees help with </w:t>
      </w:r>
      <w:r>
        <w:t>‘</w:t>
      </w:r>
      <w:r w:rsidRPr="00E60E4B">
        <w:t xml:space="preserve">fire </w:t>
      </w:r>
      <w:proofErr w:type="gramStart"/>
      <w:r w:rsidRPr="00E60E4B">
        <w:t>inspections</w:t>
      </w:r>
      <w:r>
        <w:t>’</w:t>
      </w:r>
      <w:r w:rsidRPr="00E60E4B">
        <w:t xml:space="preserve"> and </w:t>
      </w:r>
      <w:r>
        <w:t>‘</w:t>
      </w:r>
      <w:proofErr w:type="gramEnd"/>
      <w:r w:rsidRPr="00E60E4B">
        <w:t>fire prevention</w:t>
      </w:r>
      <w:r>
        <w:t xml:space="preserve">’ </w:t>
      </w:r>
      <w:r w:rsidRPr="00E60E4B">
        <w:t xml:space="preserve">seeks </w:t>
      </w:r>
      <w:proofErr w:type="gramStart"/>
      <w:r w:rsidRPr="00E60E4B">
        <w:t>an accommodation</w:t>
      </w:r>
      <w:proofErr w:type="gramEnd"/>
      <w:r w:rsidRPr="00E60E4B">
        <w:t xml:space="preserve"> relating to the most fundamental aspects of the job. On this evidence, no reasonable jury could conclude that Wheeling's accommodation request would not eliminate or reallocate the most essential functions of his job</w:t>
      </w:r>
      <w:r>
        <w:t xml:space="preserve">…. </w:t>
      </w:r>
      <w:r w:rsidRPr="00E60E4B">
        <w:t xml:space="preserve">Because Wheeling failed to provide a reasonable accommodation request, his failure to accommodate claim fails as a matter of </w:t>
      </w:r>
      <w:proofErr w:type="gramStart"/>
      <w:r w:rsidRPr="00E60E4B">
        <w:t>law.</w:t>
      </w:r>
      <w:r>
        <w:t>”</w:t>
      </w:r>
      <w:proofErr w:type="gramEnd"/>
      <w:r>
        <w:t xml:space="preserve"> </w:t>
      </w:r>
      <w:hyperlink r:id="rId1635" w:history="1">
        <w:r w:rsidRPr="00BC462E">
          <w:rPr>
            <w:rStyle w:val="Hyperlink"/>
          </w:rPr>
          <w:t>https://cases.justia.com/federal/district-courts/kentucky/kyedce/5:2024cv00129/104855/29/0.pdf?ts=1778093974</w:t>
        </w:r>
      </w:hyperlink>
      <w:r>
        <w:t xml:space="preserve"> </w:t>
      </w:r>
    </w:p>
    <w:p w14:paraId="68D440A4" w14:textId="77777777" w:rsidR="00A0752D" w:rsidRDefault="00A0752D" w:rsidP="00A0752D">
      <w:pPr>
        <w:pStyle w:val="NoSpacing"/>
      </w:pPr>
    </w:p>
    <w:p w14:paraId="31C0D0B6" w14:textId="77777777" w:rsidR="00A0752D" w:rsidRDefault="00A0752D" w:rsidP="00A0752D">
      <w:pPr>
        <w:pStyle w:val="NoSpacing"/>
      </w:pPr>
      <w:r>
        <w:t xml:space="preserve">THE COURT HELD: </w:t>
      </w:r>
    </w:p>
    <w:p w14:paraId="4D1396A1" w14:textId="77777777" w:rsidR="00A0752D" w:rsidRDefault="00A0752D" w:rsidP="00A0752D">
      <w:pPr>
        <w:pStyle w:val="NoSpacing"/>
      </w:pPr>
    </w:p>
    <w:p w14:paraId="03868764" w14:textId="77777777" w:rsidR="00A0752D" w:rsidRDefault="00A0752D" w:rsidP="00A0752D">
      <w:pPr>
        <w:pStyle w:val="NoSpacing"/>
        <w:ind w:left="720"/>
      </w:pPr>
      <w:r>
        <w:t>“</w:t>
      </w:r>
      <w:r w:rsidRPr="00CF2083">
        <w:t>Wheeling identifies two potential accommodations that could have aided him in his employment: using medical marijuana and additional personnel to assist him in the office</w:t>
      </w:r>
      <w:r>
        <w:t xml:space="preserve">…. </w:t>
      </w:r>
      <w:r w:rsidRPr="006A2B36">
        <w:t xml:space="preserve">The City's letter explained </w:t>
      </w:r>
      <w:proofErr w:type="gramStart"/>
      <w:r w:rsidRPr="006A2B36">
        <w:t>that,</w:t>
      </w:r>
      <w:proofErr w:type="gramEnd"/>
      <w:r w:rsidRPr="006A2B36">
        <w:t xml:space="preserve"> </w:t>
      </w:r>
      <w:r>
        <w:t>‘</w:t>
      </w:r>
      <w:r w:rsidRPr="006A2B36">
        <w:t xml:space="preserve">[Wheeling's] position of employment with the </w:t>
      </w:r>
      <w:proofErr w:type="gramStart"/>
      <w:r w:rsidRPr="006A2B36">
        <w:t>City</w:t>
      </w:r>
      <w:proofErr w:type="gramEnd"/>
      <w:r w:rsidRPr="006A2B36">
        <w:t xml:space="preserve"> is a heightened safety awareness level position (HSAL) that involves exceptional duties to the community citizens in the area of public safety.</w:t>
      </w:r>
      <w:r>
        <w:t xml:space="preserve">’ …. </w:t>
      </w:r>
      <w:r w:rsidRPr="006A2B36">
        <w:t xml:space="preserve">Because of the heightened safety level required of his position, the </w:t>
      </w:r>
      <w:proofErr w:type="gramStart"/>
      <w:r w:rsidRPr="006A2B36">
        <w:t>City</w:t>
      </w:r>
      <w:proofErr w:type="gramEnd"/>
      <w:r w:rsidRPr="006A2B36">
        <w:t xml:space="preserve"> explicitly prohibited his use of medical marijuana. </w:t>
      </w:r>
    </w:p>
    <w:p w14:paraId="5B04C631" w14:textId="77777777" w:rsidR="00A0752D" w:rsidRDefault="00A0752D" w:rsidP="00A0752D">
      <w:pPr>
        <w:pStyle w:val="NoSpacing"/>
        <w:ind w:left="720"/>
      </w:pPr>
    </w:p>
    <w:p w14:paraId="61342ED9" w14:textId="77777777" w:rsidR="00A0752D" w:rsidRDefault="00A0752D" w:rsidP="00A0752D">
      <w:pPr>
        <w:pStyle w:val="NoSpacing"/>
        <w:ind w:left="720"/>
      </w:pPr>
      <w:r>
        <w:t>***</w:t>
      </w:r>
    </w:p>
    <w:p w14:paraId="29F62E00" w14:textId="77777777" w:rsidR="00A0752D" w:rsidRDefault="00A0752D" w:rsidP="00A0752D">
      <w:pPr>
        <w:pStyle w:val="NoSpacing"/>
        <w:ind w:left="720"/>
      </w:pPr>
    </w:p>
    <w:p w14:paraId="644F7071" w14:textId="77777777" w:rsidR="00A0752D" w:rsidRPr="00A43D41" w:rsidRDefault="00A0752D" w:rsidP="00A0752D">
      <w:pPr>
        <w:pStyle w:val="NoSpacing"/>
        <w:ind w:left="720"/>
      </w:pPr>
      <w:r w:rsidRPr="00A43D41">
        <w:t xml:space="preserve">Wheeling's healthcare provider responded with a March 1, </w:t>
      </w:r>
      <w:proofErr w:type="gramStart"/>
      <w:r w:rsidRPr="00A43D41">
        <w:t>2023, letter</w:t>
      </w:r>
      <w:proofErr w:type="gramEnd"/>
      <w:r w:rsidRPr="00A43D41">
        <w:t xml:space="preserve">: </w:t>
      </w:r>
    </w:p>
    <w:p w14:paraId="569992F7" w14:textId="77777777" w:rsidR="00A0752D" w:rsidRDefault="00A0752D" w:rsidP="00A0752D">
      <w:pPr>
        <w:pStyle w:val="NoSpacing"/>
        <w:ind w:left="720" w:firstLine="720"/>
      </w:pPr>
    </w:p>
    <w:p w14:paraId="5CA7E77E" w14:textId="77777777" w:rsidR="00A0752D" w:rsidRPr="00A43D41" w:rsidRDefault="00A0752D" w:rsidP="00A0752D">
      <w:pPr>
        <w:pStyle w:val="NoSpacing"/>
        <w:ind w:left="1440"/>
      </w:pPr>
      <w:r w:rsidRPr="00A43D41">
        <w:t xml:space="preserve">This letter is to certify that Joseph Wheeling has been released to return to work effective immediately with the following accommodation(s): </w:t>
      </w:r>
    </w:p>
    <w:p w14:paraId="3068BDD7" w14:textId="77777777" w:rsidR="00A0752D" w:rsidRPr="00A43D41" w:rsidRDefault="00A0752D" w:rsidP="00A0752D">
      <w:pPr>
        <w:pStyle w:val="NoSpacing"/>
        <w:ind w:left="1440"/>
      </w:pPr>
      <w:r w:rsidRPr="00A43D41">
        <w:t xml:space="preserve">• Scheduling flexibility to allow him to continue his medical treatment which includes weekly </w:t>
      </w:r>
      <w:proofErr w:type="spellStart"/>
      <w:r w:rsidRPr="00A43D41">
        <w:t>Spravato</w:t>
      </w:r>
      <w:proofErr w:type="spellEnd"/>
      <w:r w:rsidRPr="00A43D41">
        <w:t xml:space="preserve"> treatment and therapy. </w:t>
      </w:r>
    </w:p>
    <w:p w14:paraId="3D47BE9E" w14:textId="77777777" w:rsidR="00A0752D" w:rsidRPr="00A43D41" w:rsidRDefault="00A0752D" w:rsidP="00A0752D">
      <w:pPr>
        <w:pStyle w:val="NoSpacing"/>
        <w:ind w:left="1440"/>
      </w:pPr>
      <w:r w:rsidRPr="00A43D41">
        <w:t xml:space="preserve">Please note that additional </w:t>
      </w:r>
      <w:proofErr w:type="gramStart"/>
      <w:r w:rsidRPr="00A43D41">
        <w:t>accommodations</w:t>
      </w:r>
      <w:proofErr w:type="gramEnd"/>
      <w:r w:rsidRPr="00A43D41">
        <w:t xml:space="preserve"> may be required in the future and are dependent on progress/status. </w:t>
      </w:r>
    </w:p>
    <w:p w14:paraId="04688141" w14:textId="77777777" w:rsidR="00A0752D" w:rsidRPr="00A43D41" w:rsidRDefault="00A0752D" w:rsidP="00A0752D">
      <w:pPr>
        <w:pStyle w:val="NoSpacing"/>
        <w:ind w:left="1440"/>
      </w:pPr>
      <w:r w:rsidRPr="00A43D41">
        <w:t xml:space="preserve">Please note that it is felt that the </w:t>
      </w:r>
      <w:proofErr w:type="gramStart"/>
      <w:r w:rsidRPr="00A43D41">
        <w:t>above mentioned</w:t>
      </w:r>
      <w:proofErr w:type="gramEnd"/>
      <w:r w:rsidRPr="00A43D41">
        <w:t xml:space="preserve"> is capable of safely performing the required functions of his job while taking his current prescribed medications: </w:t>
      </w:r>
      <w:proofErr w:type="spellStart"/>
      <w:r w:rsidRPr="00A43D41">
        <w:t>Spravato</w:t>
      </w:r>
      <w:proofErr w:type="spellEnd"/>
      <w:r w:rsidRPr="00A43D41">
        <w:t xml:space="preserve"> (administered in office, once weekly, and Clonazepam 0.5mg twice daily as needed. </w:t>
      </w:r>
    </w:p>
    <w:p w14:paraId="38334386" w14:textId="77777777" w:rsidR="00A0752D" w:rsidRDefault="00A0752D" w:rsidP="00A0752D">
      <w:pPr>
        <w:pStyle w:val="NoSpacing"/>
        <w:ind w:left="720"/>
      </w:pPr>
    </w:p>
    <w:p w14:paraId="21B24C44" w14:textId="77777777" w:rsidR="00A0752D" w:rsidRDefault="00A0752D" w:rsidP="00A0752D">
      <w:pPr>
        <w:pStyle w:val="NoSpacing"/>
        <w:ind w:left="720"/>
      </w:pPr>
      <w:r w:rsidRPr="00077FEA">
        <w:t xml:space="preserve">After </w:t>
      </w:r>
      <w:proofErr w:type="gramStart"/>
      <w:r w:rsidRPr="00077FEA">
        <w:t>receipt of</w:t>
      </w:r>
      <w:proofErr w:type="gramEnd"/>
      <w:r w:rsidRPr="00077FEA">
        <w:t xml:space="preserve"> the letter, the City confirmed that the proposed treatment plan complied with its policies.</w:t>
      </w:r>
    </w:p>
    <w:p w14:paraId="50248559" w14:textId="77777777" w:rsidR="00A0752D" w:rsidRDefault="00A0752D" w:rsidP="00A0752D">
      <w:pPr>
        <w:pStyle w:val="NoSpacing"/>
        <w:ind w:left="720"/>
      </w:pPr>
    </w:p>
    <w:p w14:paraId="241C8D76" w14:textId="77777777" w:rsidR="00A0752D" w:rsidRDefault="00A0752D" w:rsidP="00A0752D">
      <w:pPr>
        <w:pStyle w:val="NoSpacing"/>
        <w:ind w:left="720"/>
      </w:pPr>
      <w:r>
        <w:t>***</w:t>
      </w:r>
    </w:p>
    <w:p w14:paraId="766BB172" w14:textId="77777777" w:rsidR="00A0752D" w:rsidRDefault="00A0752D" w:rsidP="00A0752D">
      <w:pPr>
        <w:pStyle w:val="NoSpacing"/>
        <w:ind w:left="720"/>
      </w:pPr>
      <w:r w:rsidRPr="00746CE2">
        <w:t xml:space="preserve">The </w:t>
      </w:r>
      <w:proofErr w:type="gramStart"/>
      <w:r w:rsidRPr="00746CE2">
        <w:t>City</w:t>
      </w:r>
      <w:proofErr w:type="gramEnd"/>
      <w:r w:rsidRPr="00746CE2">
        <w:t xml:space="preserve"> was not required to reassign Wheeling's fire inspection and prevention responsibilities to other employees</w:t>
      </w:r>
      <w:r>
        <w:t xml:space="preserve">…. </w:t>
      </w:r>
      <w:r w:rsidRPr="00746CE2">
        <w:t xml:space="preserve">Therefore, based on the record, Wheeling's request to have other employees help with </w:t>
      </w:r>
      <w:r>
        <w:t>‘</w:t>
      </w:r>
      <w:r w:rsidRPr="00746CE2">
        <w:t xml:space="preserve">fire </w:t>
      </w:r>
      <w:proofErr w:type="gramStart"/>
      <w:r w:rsidRPr="00746CE2">
        <w:t>inspections</w:t>
      </w:r>
      <w:r>
        <w:t>’</w:t>
      </w:r>
      <w:r w:rsidRPr="00746CE2">
        <w:t xml:space="preserve"> and </w:t>
      </w:r>
      <w:r>
        <w:t>‘</w:t>
      </w:r>
      <w:proofErr w:type="gramEnd"/>
      <w:r w:rsidRPr="00746CE2">
        <w:t>fire prevention</w:t>
      </w:r>
      <w:r>
        <w:t>’</w:t>
      </w:r>
      <w:r w:rsidRPr="00746CE2">
        <w:t xml:space="preserve"> seeks </w:t>
      </w:r>
      <w:proofErr w:type="gramStart"/>
      <w:r w:rsidRPr="00746CE2">
        <w:t>an accommodation</w:t>
      </w:r>
      <w:proofErr w:type="gramEnd"/>
      <w:r w:rsidRPr="00746CE2">
        <w:t xml:space="preserve"> relating to the most fundamental aspects of the job. On this evidence, no reasonable jury could conclude that Wheeling's accommodation request would not eliminate or reallocate the most essential functions of his job</w:t>
      </w:r>
      <w:r>
        <w:t xml:space="preserve">…. </w:t>
      </w:r>
      <w:r w:rsidRPr="00746CE2">
        <w:t xml:space="preserve">Because Wheeling failed to provide a reasonable accommodation request, his failure to accommodate claim fails as a matter of </w:t>
      </w:r>
      <w:proofErr w:type="gramStart"/>
      <w:r w:rsidRPr="00746CE2">
        <w:t>law.</w:t>
      </w:r>
      <w:r>
        <w:t>”</w:t>
      </w:r>
      <w:proofErr w:type="gramEnd"/>
    </w:p>
    <w:p w14:paraId="1C834A7E" w14:textId="77777777" w:rsidR="00A0752D" w:rsidRDefault="00A0752D" w:rsidP="00A0752D">
      <w:pPr>
        <w:pStyle w:val="NoSpacing"/>
        <w:ind w:left="720"/>
      </w:pPr>
    </w:p>
    <w:p w14:paraId="73CD82C9" w14:textId="77777777" w:rsidR="00A0752D" w:rsidRDefault="00A0752D" w:rsidP="00A0752D">
      <w:pPr>
        <w:pStyle w:val="NoSpacing"/>
        <w:rPr>
          <w:b/>
          <w:bCs/>
        </w:rPr>
      </w:pPr>
      <w:r>
        <w:rPr>
          <w:b/>
        </w:rPr>
        <w:t xml:space="preserve">Legal lesson learned: The ADA does not require an employer to allow use of proscribed marijuana for an emergency responder. </w:t>
      </w:r>
    </w:p>
    <w:p w14:paraId="2E1F5002" w14:textId="77777777" w:rsidR="00A0752D" w:rsidRDefault="00A0752D" w:rsidP="00A0752D">
      <w:pPr>
        <w:pStyle w:val="NoSpacing"/>
        <w:rPr>
          <w:b/>
          <w:bCs/>
        </w:rPr>
      </w:pPr>
    </w:p>
    <w:p w14:paraId="024D214A" w14:textId="77777777" w:rsidR="00A0752D" w:rsidRPr="00CC791A" w:rsidRDefault="00A0752D" w:rsidP="00A0752D">
      <w:pPr>
        <w:pStyle w:val="NoSpacing"/>
        <w:ind w:left="720"/>
      </w:pPr>
      <w:r w:rsidRPr="00CC791A">
        <w:t>Note: Good news. The Court wrote that “Wheeling is currently employed at the Clark County Fire Department, which is also where he began his career as a firefighter in 2008.”</w:t>
      </w:r>
    </w:p>
    <w:p w14:paraId="6402CF13" w14:textId="77777777" w:rsidR="00A0752D" w:rsidRDefault="00A0752D" w:rsidP="00A0752D">
      <w:pPr>
        <w:pStyle w:val="NoSpacing"/>
        <w:rPr>
          <w:rFonts w:ascii="Arial Black" w:hAnsi="Arial Black"/>
          <w:sz w:val="24"/>
          <w:szCs w:val="24"/>
        </w:rPr>
      </w:pPr>
    </w:p>
    <w:p w14:paraId="1CA6E299" w14:textId="77777777" w:rsidR="008C3834" w:rsidRPr="00225ABE" w:rsidRDefault="008C3834" w:rsidP="008C3834">
      <w:pPr>
        <w:rPr>
          <w:bCs/>
        </w:rPr>
      </w:pPr>
    </w:p>
    <w:p w14:paraId="494FD1D6" w14:textId="77777777" w:rsidR="008C3834" w:rsidRDefault="008C3834" w:rsidP="008C3834">
      <w:pPr>
        <w:rPr>
          <w:bCs/>
        </w:rPr>
      </w:pPr>
    </w:p>
    <w:p w14:paraId="782AFD0C" w14:textId="77777777" w:rsidR="008C3834" w:rsidRDefault="008C3834" w:rsidP="00B35478">
      <w:pPr>
        <w:pStyle w:val="NoSpacing"/>
        <w:rPr>
          <w:rFonts w:ascii="Arial Black" w:hAnsi="Arial Black"/>
          <w:sz w:val="28"/>
          <w:szCs w:val="28"/>
        </w:rPr>
      </w:pPr>
    </w:p>
    <w:p w14:paraId="7C9338C7" w14:textId="77777777" w:rsidR="008C3834" w:rsidRDefault="008C3834" w:rsidP="00B35478">
      <w:pPr>
        <w:pStyle w:val="NoSpacing"/>
        <w:rPr>
          <w:rFonts w:ascii="Arial Black" w:hAnsi="Arial Black"/>
          <w:sz w:val="28"/>
          <w:szCs w:val="28"/>
        </w:rPr>
      </w:pPr>
    </w:p>
    <w:p w14:paraId="4F5A2076" w14:textId="68C9BE84" w:rsidR="00B35478" w:rsidRDefault="00A0752D" w:rsidP="00B35478">
      <w:pPr>
        <w:pStyle w:val="NoSpacing"/>
        <w:rPr>
          <w:rFonts w:ascii="Arial Black" w:hAnsi="Arial Black"/>
          <w:sz w:val="28"/>
          <w:szCs w:val="28"/>
        </w:rPr>
      </w:pPr>
      <w:r>
        <w:rPr>
          <w:rFonts w:ascii="Arial Black" w:hAnsi="Arial Black"/>
          <w:sz w:val="28"/>
          <w:szCs w:val="28"/>
        </w:rPr>
        <w:t>9</w:t>
      </w:r>
      <w:r w:rsidR="00B35478">
        <w:rPr>
          <w:rFonts w:ascii="Arial Black" w:hAnsi="Arial Black"/>
          <w:sz w:val="28"/>
          <w:szCs w:val="28"/>
        </w:rPr>
        <w:t>-</w:t>
      </w:r>
      <w:r w:rsidR="00535EBD">
        <w:rPr>
          <w:rFonts w:ascii="Arial Black" w:hAnsi="Arial Black"/>
          <w:sz w:val="28"/>
          <w:szCs w:val="28"/>
        </w:rPr>
        <w:t>65</w:t>
      </w:r>
      <w:r w:rsidR="00B35478">
        <w:rPr>
          <w:rFonts w:ascii="Arial Black" w:hAnsi="Arial Black"/>
          <w:sz w:val="28"/>
          <w:szCs w:val="28"/>
        </w:rPr>
        <w:t xml:space="preserve"> [also filed, Chap. 14, Physical Fitness]</w:t>
      </w:r>
    </w:p>
    <w:p w14:paraId="4F9C2A0E" w14:textId="77777777" w:rsidR="00B35478" w:rsidRDefault="00B35478" w:rsidP="00B35478">
      <w:pPr>
        <w:pStyle w:val="NoSpacing"/>
        <w:rPr>
          <w:rFonts w:ascii="Arial Black" w:hAnsi="Arial Black"/>
          <w:sz w:val="28"/>
          <w:szCs w:val="28"/>
        </w:rPr>
      </w:pPr>
    </w:p>
    <w:p w14:paraId="35063719" w14:textId="77777777" w:rsidR="00B35478" w:rsidRDefault="00B35478" w:rsidP="00B35478">
      <w:pPr>
        <w:pStyle w:val="NoSpacing"/>
        <w:rPr>
          <w:rFonts w:ascii="Arial Black" w:hAnsi="Arial Black"/>
          <w:bCs/>
          <w:sz w:val="28"/>
          <w:szCs w:val="28"/>
        </w:rPr>
      </w:pPr>
      <w:r>
        <w:rPr>
          <w:rFonts w:ascii="Arial Black" w:hAnsi="Arial Black"/>
          <w:sz w:val="28"/>
          <w:szCs w:val="28"/>
        </w:rPr>
        <w:t>MD: DEPRESSION – SLOWER STATION – CASE PROCEED</w:t>
      </w:r>
    </w:p>
    <w:p w14:paraId="4A7C9605" w14:textId="77777777" w:rsidR="00B35478" w:rsidRDefault="00B35478" w:rsidP="00B35478">
      <w:pPr>
        <w:pStyle w:val="NoSpacing"/>
        <w:rPr>
          <w:rFonts w:ascii="Arial Black" w:hAnsi="Arial Black"/>
          <w:bCs/>
          <w:sz w:val="28"/>
          <w:szCs w:val="28"/>
        </w:rPr>
      </w:pPr>
    </w:p>
    <w:p w14:paraId="289412C9" w14:textId="77777777" w:rsidR="00B35478" w:rsidRDefault="00B35478" w:rsidP="00B35478">
      <w:pPr>
        <w:pStyle w:val="NoSpacing"/>
      </w:pPr>
      <w:r>
        <w:t xml:space="preserve">On April 28, 2025, in </w:t>
      </w:r>
      <w:r w:rsidRPr="00636B1D">
        <w:rPr>
          <w:u w:val="single"/>
        </w:rPr>
        <w:t xml:space="preserve">Mark R. Levy v. Howard County, Maryland and Howard County Fire </w:t>
      </w:r>
      <w:proofErr w:type="gramStart"/>
      <w:r w:rsidRPr="00636B1D">
        <w:rPr>
          <w:u w:val="single"/>
        </w:rPr>
        <w:t>And</w:t>
      </w:r>
      <w:proofErr w:type="gramEnd"/>
      <w:r w:rsidRPr="00636B1D">
        <w:rPr>
          <w:u w:val="single"/>
        </w:rPr>
        <w:t xml:space="preserve"> Rescue,</w:t>
      </w:r>
      <w:r>
        <w:t xml:space="preserve"> U.S. Senior District Court Judge </w:t>
      </w:r>
      <w:r w:rsidRPr="000725BC">
        <w:t>Richard D. Bennett</w:t>
      </w:r>
      <w:r>
        <w:t xml:space="preserve">, United States District Court for the District of Maryland, denied plaintiff’s motion for pre-trial </w:t>
      </w:r>
      <w:r w:rsidRPr="00467BB4">
        <w:t>declaratory</w:t>
      </w:r>
      <w:r>
        <w:t xml:space="preserve"> judgement; case will proceed with pre-trial discovery. The firefighter / paramedic has </w:t>
      </w:r>
      <w:r w:rsidRPr="004765D7">
        <w:t xml:space="preserve">been </w:t>
      </w:r>
      <w:r w:rsidRPr="004765D7">
        <w:lastRenderedPageBreak/>
        <w:t>diagnosed with anxiety and depression since 2002</w:t>
      </w:r>
      <w:r>
        <w:t>; the case will proceed with pre-trial discovery.  The Court wrote: “</w:t>
      </w:r>
      <w:r w:rsidRPr="00832DBD">
        <w:t>To be clear, it is Levy's burden in this case of proving that he is a qualified individual with a disability and that, with a reasonable accommodation, he would be able to properly do the job of a Fire Fighter/Paramedic at Station 3.</w:t>
      </w:r>
      <w:r>
        <w:t xml:space="preserve">”  </w:t>
      </w:r>
      <w:hyperlink r:id="rId1636" w:history="1">
        <w:r w:rsidRPr="003A1948">
          <w:rPr>
            <w:rStyle w:val="Hyperlink"/>
          </w:rPr>
          <w:t>https://cases.justia.com/federal/district-courts/maryland/mddce/1:2024cv03580/573207/56/0.pdf?ts=1777474810</w:t>
        </w:r>
      </w:hyperlink>
      <w:r>
        <w:t xml:space="preserve"> </w:t>
      </w:r>
    </w:p>
    <w:p w14:paraId="53A1821C" w14:textId="77777777" w:rsidR="00B35478" w:rsidRDefault="00B35478" w:rsidP="00B35478">
      <w:pPr>
        <w:pStyle w:val="NoSpacing"/>
      </w:pPr>
    </w:p>
    <w:p w14:paraId="760944E2" w14:textId="77777777" w:rsidR="00B35478" w:rsidRDefault="00B35478" w:rsidP="00B35478">
      <w:pPr>
        <w:pStyle w:val="NoSpacing"/>
      </w:pPr>
      <w:r>
        <w:t xml:space="preserve">THE COURT HELD: </w:t>
      </w:r>
    </w:p>
    <w:p w14:paraId="5CA494B3" w14:textId="77777777" w:rsidR="00B35478" w:rsidRDefault="00B35478" w:rsidP="00B35478">
      <w:pPr>
        <w:pStyle w:val="NoSpacing"/>
      </w:pPr>
    </w:p>
    <w:p w14:paraId="30E987F2" w14:textId="77777777" w:rsidR="00B35478" w:rsidRDefault="00B35478" w:rsidP="00B35478">
      <w:pPr>
        <w:pStyle w:val="NoSpacing"/>
        <w:ind w:left="720"/>
      </w:pPr>
      <w:r>
        <w:t>“</w:t>
      </w:r>
      <w:r w:rsidRPr="004765D7">
        <w:t>Plaintiff Mark R. Levy has been employed as a Fire Fighter/Paramedic with Defendant Howard County Department of Fire and Rescue Services since October 31, 2016</w:t>
      </w:r>
      <w:r>
        <w:t xml:space="preserve">…. </w:t>
      </w:r>
      <w:r w:rsidRPr="004765D7">
        <w:t>Levy alleges that he has been diagnosed with anxiety and depression since 2002</w:t>
      </w:r>
      <w:r>
        <w:t xml:space="preserve">…. </w:t>
      </w:r>
      <w:r w:rsidRPr="004765D7">
        <w:t>As of December 8, 2025, the date Levy filed his First Amended Complaint in this Court, he was assigned to B Shift at Station 3, which is within Battalion 3 of the Howard County Department of Fire and Rescue Services</w:t>
      </w:r>
      <w:r>
        <w:t xml:space="preserve">…. </w:t>
      </w:r>
      <w:r w:rsidRPr="0026656C">
        <w:t>Station 3 is located at 12535 Old Frederick Road in Sykesville, Maryland</w:t>
      </w:r>
      <w:r>
        <w:t xml:space="preserve">…. </w:t>
      </w:r>
      <w:r w:rsidRPr="004765D7">
        <w:t>He asserts that Station 3 has a lower call volume in comparison to other stations within the battalion</w:t>
      </w:r>
      <w:r>
        <w:t xml:space="preserve">…. </w:t>
      </w:r>
      <w:r w:rsidRPr="004765D7">
        <w:t xml:space="preserve">He claims that this lower call volume is the optimal assignment for him to be able to manage his mental health. </w:t>
      </w:r>
    </w:p>
    <w:p w14:paraId="0A111E7E" w14:textId="77777777" w:rsidR="00B35478" w:rsidRDefault="00B35478" w:rsidP="00B35478">
      <w:pPr>
        <w:pStyle w:val="NoSpacing"/>
        <w:ind w:left="720"/>
      </w:pPr>
    </w:p>
    <w:p w14:paraId="4DCB7781" w14:textId="77777777" w:rsidR="00B35478" w:rsidRDefault="00B35478" w:rsidP="00B35478">
      <w:pPr>
        <w:pStyle w:val="NoSpacing"/>
        <w:ind w:left="720"/>
      </w:pPr>
      <w:r>
        <w:t>***</w:t>
      </w:r>
    </w:p>
    <w:p w14:paraId="11B45E64" w14:textId="77777777" w:rsidR="00B35478" w:rsidRDefault="00B35478" w:rsidP="00B35478">
      <w:pPr>
        <w:pStyle w:val="NoSpacing"/>
        <w:ind w:left="720"/>
      </w:pPr>
      <w:r w:rsidRPr="00A26479">
        <w:t>Levy alleges that, on multiple different occasions in 2022, he was reassigned from Station 3 to other stations within Battalion 3</w:t>
      </w:r>
      <w:r>
        <w:t xml:space="preserve">…. </w:t>
      </w:r>
      <w:r w:rsidRPr="00A26479">
        <w:t>Each time, the Department apparently denied his requests to remain at Station 3</w:t>
      </w:r>
      <w:r>
        <w:t xml:space="preserve">…. </w:t>
      </w:r>
      <w:r w:rsidRPr="00A26479">
        <w:t>Levy claims that the Department determined, without engaging in any interactive process, that he did not need a reasonable accommodation</w:t>
      </w:r>
      <w:r>
        <w:t>….</w:t>
      </w:r>
      <w:r w:rsidRPr="00A26479">
        <w:t xml:space="preserve"> Ultimately, after multiple reassignments, Levy was placed at Station 3 under a Temporary Hardship Request</w:t>
      </w:r>
      <w:r>
        <w:t xml:space="preserve">…. </w:t>
      </w:r>
      <w:r w:rsidRPr="00A26479">
        <w:t xml:space="preserve">He contends that the Temporary Hardship Request was </w:t>
      </w:r>
      <w:r>
        <w:t>‘</w:t>
      </w:r>
      <w:r w:rsidRPr="00A26479">
        <w:t>wholly improper and simply an attempt by Defendants to circumvent</w:t>
      </w:r>
      <w:r>
        <w:t xml:space="preserve">’ </w:t>
      </w:r>
      <w:r w:rsidRPr="00A26479">
        <w:t xml:space="preserve"> the ADA's accommodation obligations</w:t>
      </w:r>
      <w:r>
        <w:t xml:space="preserve">…. </w:t>
      </w:r>
      <w:r w:rsidRPr="00A26479">
        <w:t>From the face of the First Amended Complaint, Levy continues to work as a Fire Fighter/Paramedic for the Department.</w:t>
      </w:r>
    </w:p>
    <w:p w14:paraId="4F95E397" w14:textId="77777777" w:rsidR="00B35478" w:rsidRDefault="00B35478" w:rsidP="00B35478">
      <w:pPr>
        <w:pStyle w:val="NoSpacing"/>
        <w:ind w:left="720"/>
      </w:pPr>
    </w:p>
    <w:p w14:paraId="4448F9B6" w14:textId="77777777" w:rsidR="00B35478" w:rsidRDefault="00B35478" w:rsidP="00B35478">
      <w:pPr>
        <w:pStyle w:val="NoSpacing"/>
        <w:ind w:left="720"/>
      </w:pPr>
      <w:r>
        <w:t>***</w:t>
      </w:r>
    </w:p>
    <w:p w14:paraId="3EA09D80" w14:textId="77777777" w:rsidR="00B35478" w:rsidRDefault="00B35478" w:rsidP="00B35478">
      <w:pPr>
        <w:pStyle w:val="NoSpacing"/>
        <w:ind w:left="720"/>
      </w:pPr>
      <w:r w:rsidRPr="00BA13D8">
        <w:t xml:space="preserve">As noted above, Levy seeks declarations in Count Four that (1) he is a qualified individual with a disability; (2) that he can perform the essential functions of his job with a reasonable accommodation; (3) that Defendants have an obligation to engage in the ADA's interactive process with him and explore reasonable alternatives; and (4) that Defendants have an obligation to grant him a reasonable accommodation. </w:t>
      </w:r>
    </w:p>
    <w:p w14:paraId="32C6FDEF" w14:textId="77777777" w:rsidR="00B35478" w:rsidRDefault="00B35478" w:rsidP="00B35478">
      <w:pPr>
        <w:pStyle w:val="NoSpacing"/>
        <w:ind w:left="720"/>
      </w:pPr>
    </w:p>
    <w:p w14:paraId="170889C7" w14:textId="77777777" w:rsidR="00B35478" w:rsidRDefault="00B35478" w:rsidP="00B35478">
      <w:pPr>
        <w:pStyle w:val="NoSpacing"/>
        <w:ind w:left="720"/>
      </w:pPr>
      <w:r>
        <w:t>***</w:t>
      </w:r>
    </w:p>
    <w:p w14:paraId="3D9A4380" w14:textId="77777777" w:rsidR="00B35478" w:rsidRDefault="00B35478" w:rsidP="00B35478">
      <w:pPr>
        <w:pStyle w:val="NoSpacing"/>
        <w:ind w:left="720"/>
      </w:pPr>
      <w:r w:rsidRPr="004A2357">
        <w:t xml:space="preserve">Again, it is Levy's burden to prove that he was entitled to the ADA's interactive process and, ultimately, </w:t>
      </w:r>
      <w:proofErr w:type="gramStart"/>
      <w:r w:rsidRPr="004A2357">
        <w:t>a reasonable</w:t>
      </w:r>
      <w:proofErr w:type="gramEnd"/>
      <w:r w:rsidRPr="004A2357">
        <w:t xml:space="preserve"> accommodation.</w:t>
      </w:r>
      <w:r>
        <w:rPr>
          <w:vertAlign w:val="superscript"/>
        </w:rPr>
        <w:t xml:space="preserve"> </w:t>
      </w:r>
      <w:r w:rsidRPr="004A2357">
        <w:t xml:space="preserve"> In sum, the four declarations that Levy requests in Count Four render that claim duplicative of Count One.</w:t>
      </w:r>
      <w:r>
        <w:t>”</w:t>
      </w:r>
    </w:p>
    <w:p w14:paraId="621C65C8" w14:textId="77777777" w:rsidR="00B35478" w:rsidRDefault="00B35478" w:rsidP="00B35478">
      <w:pPr>
        <w:pStyle w:val="NoSpacing"/>
        <w:ind w:left="720"/>
      </w:pPr>
    </w:p>
    <w:p w14:paraId="76799327" w14:textId="77777777" w:rsidR="00B35478" w:rsidRPr="004A2357" w:rsidRDefault="00B35478" w:rsidP="00B35478">
      <w:pPr>
        <w:rPr>
          <w:b/>
          <w:bCs/>
        </w:rPr>
      </w:pPr>
      <w:r>
        <w:rPr>
          <w:b/>
        </w:rPr>
        <w:t>Legal lesson learned: The firefighter has burden of proof in this ADA case; permanent assignment to a slower station is a unique request for “reasonable accommodation.”</w:t>
      </w:r>
    </w:p>
    <w:p w14:paraId="426799F4" w14:textId="77777777" w:rsidR="008C7243" w:rsidRDefault="008C7243" w:rsidP="00BC4752">
      <w:pPr>
        <w:pStyle w:val="NoSpacing"/>
        <w:rPr>
          <w:rFonts w:ascii="Arial Black" w:hAnsi="Arial Black"/>
          <w:sz w:val="24"/>
          <w:szCs w:val="24"/>
        </w:rPr>
      </w:pPr>
    </w:p>
    <w:p w14:paraId="160CDB06" w14:textId="77777777" w:rsidR="008C7243" w:rsidRDefault="008C7243" w:rsidP="00BC4752">
      <w:pPr>
        <w:pStyle w:val="NoSpacing"/>
        <w:rPr>
          <w:rFonts w:ascii="Arial Black" w:hAnsi="Arial Black"/>
          <w:sz w:val="24"/>
          <w:szCs w:val="24"/>
        </w:rPr>
      </w:pPr>
    </w:p>
    <w:p w14:paraId="2A4AFBE6" w14:textId="77777777" w:rsidR="008C7243" w:rsidRDefault="008C7243" w:rsidP="00BC4752">
      <w:pPr>
        <w:pStyle w:val="NoSpacing"/>
        <w:rPr>
          <w:rFonts w:ascii="Arial Black" w:hAnsi="Arial Black"/>
          <w:sz w:val="24"/>
          <w:szCs w:val="24"/>
        </w:rPr>
      </w:pPr>
    </w:p>
    <w:p w14:paraId="4A87BA82" w14:textId="063B4176" w:rsidR="00BC4752" w:rsidRDefault="001A57F9" w:rsidP="00BC4752">
      <w:pPr>
        <w:pStyle w:val="NoSpacing"/>
        <w:rPr>
          <w:rFonts w:ascii="Arial Black" w:hAnsi="Arial Black"/>
          <w:sz w:val="24"/>
          <w:szCs w:val="24"/>
        </w:rPr>
      </w:pPr>
      <w:r>
        <w:rPr>
          <w:rFonts w:ascii="Arial Black" w:hAnsi="Arial Black"/>
          <w:sz w:val="24"/>
          <w:szCs w:val="24"/>
        </w:rPr>
        <w:t xml:space="preserve">9-64 </w:t>
      </w:r>
      <w:r w:rsidR="00BC4752">
        <w:rPr>
          <w:rFonts w:ascii="Arial Black" w:hAnsi="Arial Black"/>
          <w:sz w:val="24"/>
          <w:szCs w:val="24"/>
        </w:rPr>
        <w:t xml:space="preserve">[also filed, Chap. </w:t>
      </w:r>
      <w:r w:rsidR="008A677D">
        <w:rPr>
          <w:rFonts w:ascii="Arial Black" w:hAnsi="Arial Black"/>
          <w:sz w:val="24"/>
          <w:szCs w:val="24"/>
        </w:rPr>
        <w:t>15</w:t>
      </w:r>
      <w:r w:rsidR="00BC4752">
        <w:rPr>
          <w:rFonts w:ascii="Arial Black" w:hAnsi="Arial Black"/>
          <w:sz w:val="24"/>
          <w:szCs w:val="24"/>
        </w:rPr>
        <w:t xml:space="preserve"> – </w:t>
      </w:r>
      <w:r w:rsidR="008A677D">
        <w:rPr>
          <w:rFonts w:ascii="Arial Black" w:hAnsi="Arial Black"/>
          <w:sz w:val="24"/>
          <w:szCs w:val="24"/>
        </w:rPr>
        <w:t>Mental Health</w:t>
      </w:r>
      <w:r w:rsidR="00BC4752">
        <w:rPr>
          <w:rFonts w:ascii="Arial Black" w:hAnsi="Arial Black"/>
          <w:sz w:val="24"/>
          <w:szCs w:val="24"/>
        </w:rPr>
        <w:t>]</w:t>
      </w:r>
    </w:p>
    <w:p w14:paraId="540AEF75" w14:textId="77777777" w:rsidR="00BC4752" w:rsidRDefault="00BC4752" w:rsidP="00BC4752">
      <w:pPr>
        <w:pStyle w:val="NoSpacing"/>
        <w:rPr>
          <w:rFonts w:ascii="Arial Black" w:hAnsi="Arial Black"/>
          <w:sz w:val="28"/>
          <w:szCs w:val="28"/>
        </w:rPr>
      </w:pPr>
    </w:p>
    <w:p w14:paraId="42913A5D" w14:textId="77777777" w:rsidR="00BC4752" w:rsidRDefault="00BC4752" w:rsidP="00BC4752">
      <w:pPr>
        <w:pStyle w:val="NoSpacing"/>
        <w:rPr>
          <w:rFonts w:ascii="Arial Black" w:hAnsi="Arial Black"/>
          <w:bCs/>
          <w:sz w:val="28"/>
          <w:szCs w:val="28"/>
        </w:rPr>
      </w:pPr>
      <w:r>
        <w:rPr>
          <w:rFonts w:ascii="Arial Black" w:hAnsi="Arial Black"/>
          <w:sz w:val="28"/>
          <w:szCs w:val="28"/>
        </w:rPr>
        <w:t>MD: DEPRESSION – SLOWER STATION – CASE PROCEED</w:t>
      </w:r>
    </w:p>
    <w:p w14:paraId="5878D9F9" w14:textId="77777777" w:rsidR="00BC4752" w:rsidRDefault="00BC4752" w:rsidP="00BC4752">
      <w:pPr>
        <w:pStyle w:val="NoSpacing"/>
        <w:rPr>
          <w:rFonts w:ascii="Arial Black" w:hAnsi="Arial Black"/>
          <w:bCs/>
          <w:sz w:val="28"/>
          <w:szCs w:val="28"/>
        </w:rPr>
      </w:pPr>
    </w:p>
    <w:p w14:paraId="2F4F1DA5" w14:textId="77777777" w:rsidR="00BC4752" w:rsidRDefault="00BC4752" w:rsidP="00BC4752">
      <w:pPr>
        <w:pStyle w:val="NoSpacing"/>
      </w:pPr>
      <w:r>
        <w:t xml:space="preserve">On April 28, 2025, in </w:t>
      </w:r>
      <w:r w:rsidRPr="00636B1D">
        <w:rPr>
          <w:u w:val="single"/>
        </w:rPr>
        <w:t xml:space="preserve">Mark R. Levy v. Howard County, Maryland and Howard County Fire </w:t>
      </w:r>
      <w:proofErr w:type="gramStart"/>
      <w:r w:rsidRPr="00636B1D">
        <w:rPr>
          <w:u w:val="single"/>
        </w:rPr>
        <w:t>And</w:t>
      </w:r>
      <w:proofErr w:type="gramEnd"/>
      <w:r w:rsidRPr="00636B1D">
        <w:rPr>
          <w:u w:val="single"/>
        </w:rPr>
        <w:t xml:space="preserve"> Rescue,</w:t>
      </w:r>
      <w:r>
        <w:t xml:space="preserve"> U.S. Senior District Court Judge </w:t>
      </w:r>
      <w:r w:rsidRPr="000725BC">
        <w:t>Richard D. Bennett</w:t>
      </w:r>
      <w:r>
        <w:t xml:space="preserve">, United States District Court for the District of Maryland, denied plaintiff’s motion for pre-trial </w:t>
      </w:r>
      <w:r w:rsidRPr="00467BB4">
        <w:t>declaratory</w:t>
      </w:r>
      <w:r>
        <w:t xml:space="preserve"> judgement; case will proceed with pre-trial discovery. The firefighter / paramedic has </w:t>
      </w:r>
      <w:r w:rsidRPr="004765D7">
        <w:t>been diagnosed with anxiety and depression since 2002</w:t>
      </w:r>
      <w:r>
        <w:t>; the case will proceed with pre-trial discovery.  The Court wrote: “</w:t>
      </w:r>
      <w:r w:rsidRPr="00832DBD">
        <w:t xml:space="preserve">To be clear, it is Levy's burden in this case of proving that he is a qualified individual with a disability and that, with a </w:t>
      </w:r>
      <w:r w:rsidRPr="00832DBD">
        <w:lastRenderedPageBreak/>
        <w:t>reasonable accommodation, he would be able to properly do the job of a Fire Fighter/Paramedic at Station 3.</w:t>
      </w:r>
      <w:r>
        <w:t xml:space="preserve">”  </w:t>
      </w:r>
      <w:hyperlink r:id="rId1637" w:history="1">
        <w:r w:rsidRPr="003A1948">
          <w:rPr>
            <w:rStyle w:val="Hyperlink"/>
          </w:rPr>
          <w:t>https://cases.justia.com/federal/district-courts/maryland/mddce/1:2024cv03580/573207/56/0.pdf?ts=1777474810</w:t>
        </w:r>
      </w:hyperlink>
      <w:r>
        <w:t xml:space="preserve"> </w:t>
      </w:r>
    </w:p>
    <w:p w14:paraId="093103E8" w14:textId="77777777" w:rsidR="00BC4752" w:rsidRDefault="00BC4752" w:rsidP="00BC4752">
      <w:pPr>
        <w:pStyle w:val="NoSpacing"/>
      </w:pPr>
    </w:p>
    <w:p w14:paraId="386FA144" w14:textId="77777777" w:rsidR="00BC4752" w:rsidRDefault="00BC4752" w:rsidP="00BC4752">
      <w:pPr>
        <w:pStyle w:val="NoSpacing"/>
      </w:pPr>
      <w:r>
        <w:t xml:space="preserve">THE COURT HELD: </w:t>
      </w:r>
    </w:p>
    <w:p w14:paraId="2D8A7A35" w14:textId="77777777" w:rsidR="00BC4752" w:rsidRDefault="00BC4752" w:rsidP="00BC4752">
      <w:pPr>
        <w:pStyle w:val="NoSpacing"/>
      </w:pPr>
    </w:p>
    <w:p w14:paraId="347F0830" w14:textId="77777777" w:rsidR="00BC4752" w:rsidRDefault="00BC4752" w:rsidP="00BC4752">
      <w:pPr>
        <w:pStyle w:val="NoSpacing"/>
        <w:ind w:left="720"/>
      </w:pPr>
      <w:r>
        <w:t>“</w:t>
      </w:r>
      <w:r w:rsidRPr="004765D7">
        <w:t>Plaintiff Mark R. Levy has been employed as a Fire Fighter/Paramedic with Defendant Howard County Department of Fire and Rescue Services since October 31, 2016</w:t>
      </w:r>
      <w:r>
        <w:t xml:space="preserve">…. </w:t>
      </w:r>
      <w:r w:rsidRPr="004765D7">
        <w:t>Levy alleges that he has been diagnosed with anxiety and depression since 2002</w:t>
      </w:r>
      <w:r>
        <w:t xml:space="preserve">…. </w:t>
      </w:r>
      <w:r w:rsidRPr="004765D7">
        <w:t>As of December 8, 2025, the date Levy filed his First Amended Complaint in this Court, he was assigned to B Shift at Station 3, which is within Battalion 3 of the Howard County Department of Fire and Rescue Services</w:t>
      </w:r>
      <w:r>
        <w:t xml:space="preserve">…. </w:t>
      </w:r>
      <w:r w:rsidRPr="0026656C">
        <w:t>Station 3 is located at 12535 Old Frederick Road in Sykesville, Maryland</w:t>
      </w:r>
      <w:r>
        <w:t xml:space="preserve">…. </w:t>
      </w:r>
      <w:r w:rsidRPr="004765D7">
        <w:t>He asserts that Station 3 has a lower call volume in comparison to other stations within the battalion</w:t>
      </w:r>
      <w:r>
        <w:t xml:space="preserve">…. </w:t>
      </w:r>
      <w:r w:rsidRPr="004765D7">
        <w:t xml:space="preserve">He claims that this lower call volume is the optimal assignment for him to be able to manage his mental health. </w:t>
      </w:r>
    </w:p>
    <w:p w14:paraId="0869F77A" w14:textId="77777777" w:rsidR="00BC4752" w:rsidRDefault="00BC4752" w:rsidP="00BC4752">
      <w:pPr>
        <w:pStyle w:val="NoSpacing"/>
        <w:ind w:left="720"/>
      </w:pPr>
    </w:p>
    <w:p w14:paraId="6447B538" w14:textId="77777777" w:rsidR="00BC4752" w:rsidRDefault="00BC4752" w:rsidP="00BC4752">
      <w:pPr>
        <w:pStyle w:val="NoSpacing"/>
        <w:ind w:left="720"/>
      </w:pPr>
      <w:r>
        <w:t>***</w:t>
      </w:r>
    </w:p>
    <w:p w14:paraId="2E002480" w14:textId="77777777" w:rsidR="00BC4752" w:rsidRDefault="00BC4752" w:rsidP="00BC4752">
      <w:pPr>
        <w:pStyle w:val="NoSpacing"/>
        <w:ind w:left="720"/>
      </w:pPr>
      <w:r w:rsidRPr="00A26479">
        <w:t>Levy alleges that, on multiple different occasions in 2022, he was reassigned from Station 3 to other stations within Battalion 3</w:t>
      </w:r>
      <w:r>
        <w:t xml:space="preserve">…. </w:t>
      </w:r>
      <w:r w:rsidRPr="00A26479">
        <w:t>Each time, the Department apparently denied his requests to remain at Station 3</w:t>
      </w:r>
      <w:r>
        <w:t xml:space="preserve">…. </w:t>
      </w:r>
      <w:r w:rsidRPr="00A26479">
        <w:t>Levy claims that the Department determined, without engaging in any interactive process, that he did not need a reasonable accommodation</w:t>
      </w:r>
      <w:r>
        <w:t>….</w:t>
      </w:r>
      <w:r w:rsidRPr="00A26479">
        <w:t xml:space="preserve"> Ultimately, after multiple reassignments, Levy was placed at Station 3 under a Temporary Hardship Request</w:t>
      </w:r>
      <w:r>
        <w:t xml:space="preserve">…. </w:t>
      </w:r>
      <w:r w:rsidRPr="00A26479">
        <w:t xml:space="preserve">He contends that the Temporary Hardship Request was </w:t>
      </w:r>
      <w:r>
        <w:t>‘</w:t>
      </w:r>
      <w:r w:rsidRPr="00A26479">
        <w:t>wholly improper and simply an attempt by Defendants to circumvent</w:t>
      </w:r>
      <w:r>
        <w:t xml:space="preserve">’ </w:t>
      </w:r>
      <w:r w:rsidRPr="00A26479">
        <w:t xml:space="preserve"> the ADA's accommodation obligations</w:t>
      </w:r>
      <w:r>
        <w:t xml:space="preserve">…. </w:t>
      </w:r>
      <w:r w:rsidRPr="00A26479">
        <w:t>From the face of the First Amended Complaint, Levy continues to work as a Fire Fighter/Paramedic for the Department.</w:t>
      </w:r>
    </w:p>
    <w:p w14:paraId="5684FF57" w14:textId="77777777" w:rsidR="00BC4752" w:rsidRDefault="00BC4752" w:rsidP="00BC4752">
      <w:pPr>
        <w:pStyle w:val="NoSpacing"/>
        <w:ind w:left="720"/>
      </w:pPr>
    </w:p>
    <w:p w14:paraId="47449954" w14:textId="77777777" w:rsidR="00BC4752" w:rsidRDefault="00BC4752" w:rsidP="00BC4752">
      <w:pPr>
        <w:pStyle w:val="NoSpacing"/>
        <w:ind w:left="720"/>
      </w:pPr>
      <w:r>
        <w:t>***</w:t>
      </w:r>
    </w:p>
    <w:p w14:paraId="2DBAF47F" w14:textId="77777777" w:rsidR="00BC4752" w:rsidRDefault="00BC4752" w:rsidP="00BC4752">
      <w:pPr>
        <w:pStyle w:val="NoSpacing"/>
        <w:ind w:left="720"/>
      </w:pPr>
      <w:r w:rsidRPr="00BA13D8">
        <w:t xml:space="preserve">As noted above, Levy seeks declarations in Count Four that (1) he is a qualified individual with a disability; (2) that he can perform the essential functions of his job with a reasonable accommodation; (3) that Defendants have an obligation to engage in the ADA's interactive process with him and explore reasonable alternatives; and (4) that Defendants have an obligation to grant him a reasonable accommodation. </w:t>
      </w:r>
    </w:p>
    <w:p w14:paraId="784282D3" w14:textId="77777777" w:rsidR="00BC4752" w:rsidRDefault="00BC4752" w:rsidP="00BC4752">
      <w:pPr>
        <w:pStyle w:val="NoSpacing"/>
        <w:ind w:left="720"/>
      </w:pPr>
    </w:p>
    <w:p w14:paraId="2AA1DEED" w14:textId="77777777" w:rsidR="00BC4752" w:rsidRDefault="00BC4752" w:rsidP="00BC4752">
      <w:pPr>
        <w:pStyle w:val="NoSpacing"/>
        <w:ind w:left="720"/>
      </w:pPr>
      <w:r>
        <w:t>***</w:t>
      </w:r>
    </w:p>
    <w:p w14:paraId="1EF1F0C2" w14:textId="77777777" w:rsidR="00BC4752" w:rsidRDefault="00BC4752" w:rsidP="00BC4752">
      <w:pPr>
        <w:pStyle w:val="NoSpacing"/>
        <w:ind w:left="720"/>
      </w:pPr>
      <w:r w:rsidRPr="004A2357">
        <w:t xml:space="preserve">Again, it is Levy's burden to prove that he was entitled to the ADA's interactive process and, ultimately, </w:t>
      </w:r>
      <w:proofErr w:type="gramStart"/>
      <w:r w:rsidRPr="004A2357">
        <w:t>a reasonable</w:t>
      </w:r>
      <w:proofErr w:type="gramEnd"/>
      <w:r w:rsidRPr="004A2357">
        <w:t xml:space="preserve"> accommodation.</w:t>
      </w:r>
      <w:r>
        <w:rPr>
          <w:vertAlign w:val="superscript"/>
        </w:rPr>
        <w:t xml:space="preserve"> </w:t>
      </w:r>
      <w:r w:rsidRPr="004A2357">
        <w:t xml:space="preserve"> In sum, the four declarations that Levy requests in Count Four render that claim duplicative of Count One.</w:t>
      </w:r>
      <w:r>
        <w:t>”</w:t>
      </w:r>
    </w:p>
    <w:p w14:paraId="42AE00F8" w14:textId="77777777" w:rsidR="00BC4752" w:rsidRDefault="00BC4752" w:rsidP="00BC4752">
      <w:pPr>
        <w:pStyle w:val="NoSpacing"/>
        <w:ind w:left="720"/>
      </w:pPr>
    </w:p>
    <w:p w14:paraId="2867F04E" w14:textId="77777777" w:rsidR="00BC4752" w:rsidRPr="004A2357" w:rsidRDefault="00BC4752" w:rsidP="00BC4752">
      <w:pPr>
        <w:rPr>
          <w:b/>
          <w:bCs/>
        </w:rPr>
      </w:pPr>
      <w:r>
        <w:rPr>
          <w:b/>
        </w:rPr>
        <w:t>Legal lesson learned: The firefighter has burden of proof in this ADA case; permanent assignment to a slower station is a unique request for “reasonable accommodation.”</w:t>
      </w:r>
    </w:p>
    <w:p w14:paraId="367A9B61" w14:textId="77777777" w:rsidR="00BC4752" w:rsidRDefault="00BC4752" w:rsidP="00BC4752">
      <w:pPr>
        <w:pStyle w:val="NoSpacing"/>
        <w:rPr>
          <w:rFonts w:ascii="Arial Black" w:hAnsi="Arial Black"/>
          <w:sz w:val="24"/>
          <w:szCs w:val="24"/>
        </w:rPr>
      </w:pPr>
    </w:p>
    <w:p w14:paraId="18A7B72D" w14:textId="77777777" w:rsidR="00BC4752" w:rsidRDefault="00BC4752" w:rsidP="00BC4752">
      <w:pPr>
        <w:pStyle w:val="NoSpacing"/>
        <w:rPr>
          <w:rFonts w:ascii="Arial Black" w:hAnsi="Arial Black"/>
          <w:b/>
          <w:sz w:val="28"/>
          <w:szCs w:val="28"/>
        </w:rPr>
      </w:pPr>
    </w:p>
    <w:p w14:paraId="752AF224" w14:textId="77777777" w:rsidR="00BC4752" w:rsidRDefault="00BC4752" w:rsidP="00BC4752">
      <w:pPr>
        <w:pStyle w:val="NoSpacing"/>
        <w:rPr>
          <w:rFonts w:ascii="Arial Black" w:hAnsi="Arial Black"/>
          <w:sz w:val="24"/>
          <w:szCs w:val="24"/>
        </w:rPr>
      </w:pPr>
    </w:p>
    <w:p w14:paraId="0B984325" w14:textId="46F7223E" w:rsidR="00BC4752" w:rsidRDefault="001A57F9" w:rsidP="00BC4752">
      <w:pPr>
        <w:pStyle w:val="NoSpacing"/>
        <w:rPr>
          <w:rFonts w:ascii="Arial Black" w:hAnsi="Arial Black"/>
          <w:sz w:val="24"/>
          <w:szCs w:val="24"/>
        </w:rPr>
      </w:pPr>
      <w:r>
        <w:rPr>
          <w:rFonts w:ascii="Arial Black" w:hAnsi="Arial Black"/>
          <w:sz w:val="24"/>
          <w:szCs w:val="24"/>
        </w:rPr>
        <w:t xml:space="preserve">9-63 </w:t>
      </w:r>
      <w:r w:rsidR="00BC4752">
        <w:rPr>
          <w:rFonts w:ascii="Arial Black" w:hAnsi="Arial Black"/>
          <w:sz w:val="24"/>
          <w:szCs w:val="24"/>
        </w:rPr>
        <w:t>[also filed, Chap.</w:t>
      </w:r>
      <w:r>
        <w:rPr>
          <w:rFonts w:ascii="Arial Black" w:hAnsi="Arial Black"/>
          <w:sz w:val="24"/>
          <w:szCs w:val="24"/>
        </w:rPr>
        <w:t xml:space="preserve"> 15</w:t>
      </w:r>
      <w:r w:rsidR="00BC4752">
        <w:rPr>
          <w:rFonts w:ascii="Arial Black" w:hAnsi="Arial Black"/>
          <w:sz w:val="24"/>
          <w:szCs w:val="24"/>
        </w:rPr>
        <w:t xml:space="preserve">, </w:t>
      </w:r>
      <w:r>
        <w:rPr>
          <w:rFonts w:ascii="Arial Black" w:hAnsi="Arial Black"/>
          <w:sz w:val="24"/>
          <w:szCs w:val="24"/>
        </w:rPr>
        <w:t>Mental Health</w:t>
      </w:r>
      <w:r w:rsidR="00BC4752">
        <w:rPr>
          <w:rFonts w:ascii="Arial Black" w:hAnsi="Arial Black"/>
          <w:sz w:val="24"/>
          <w:szCs w:val="24"/>
        </w:rPr>
        <w:t>]</w:t>
      </w:r>
    </w:p>
    <w:p w14:paraId="6B54A3DA" w14:textId="77777777" w:rsidR="00BC4752" w:rsidRDefault="00BC4752" w:rsidP="00BC4752">
      <w:pPr>
        <w:pStyle w:val="NoSpacing"/>
        <w:rPr>
          <w:rFonts w:ascii="Arial Black" w:hAnsi="Arial Black"/>
          <w:b/>
          <w:sz w:val="28"/>
          <w:szCs w:val="28"/>
        </w:rPr>
      </w:pPr>
    </w:p>
    <w:p w14:paraId="291ED1FD" w14:textId="77777777" w:rsidR="00BC4752" w:rsidRDefault="00BC4752" w:rsidP="00BC4752">
      <w:pPr>
        <w:pStyle w:val="NoSpacing"/>
        <w:rPr>
          <w:rFonts w:ascii="Arial Black" w:hAnsi="Arial Black"/>
          <w:b/>
          <w:sz w:val="28"/>
          <w:szCs w:val="28"/>
        </w:rPr>
      </w:pPr>
    </w:p>
    <w:p w14:paraId="1E6AB10D" w14:textId="77777777" w:rsidR="00BC4752" w:rsidRDefault="00BC4752" w:rsidP="00BC4752">
      <w:pPr>
        <w:pStyle w:val="NoSpacing"/>
        <w:rPr>
          <w:rFonts w:ascii="Arial Black" w:hAnsi="Arial Black"/>
          <w:b/>
          <w:sz w:val="28"/>
          <w:szCs w:val="28"/>
        </w:rPr>
      </w:pPr>
      <w:r>
        <w:rPr>
          <w:rFonts w:ascii="Arial Black" w:hAnsi="Arial Black"/>
          <w:b/>
          <w:sz w:val="28"/>
          <w:szCs w:val="28"/>
        </w:rPr>
        <w:t xml:space="preserve">TX: ASSISTANT CHIEF – PTSD – NOT RIGHT INDEF. LEAVE </w:t>
      </w:r>
    </w:p>
    <w:p w14:paraId="7E1706E7" w14:textId="77777777" w:rsidR="00BC4752" w:rsidRDefault="00BC4752" w:rsidP="00BC4752">
      <w:pPr>
        <w:pStyle w:val="NoSpacing"/>
        <w:rPr>
          <w:rFonts w:ascii="Arial Black" w:hAnsi="Arial Black"/>
          <w:b/>
          <w:sz w:val="28"/>
          <w:szCs w:val="28"/>
        </w:rPr>
      </w:pPr>
    </w:p>
    <w:p w14:paraId="5470BB30" w14:textId="77777777" w:rsidR="00BC4752" w:rsidRDefault="00BC4752" w:rsidP="00BC4752">
      <w:pPr>
        <w:pStyle w:val="NoSpacing"/>
        <w:rPr>
          <w:b/>
        </w:rPr>
      </w:pPr>
      <w:r>
        <w:t xml:space="preserve">On April 8, 2026, in </w:t>
      </w:r>
      <w:r w:rsidRPr="003A1915">
        <w:rPr>
          <w:u w:val="single"/>
        </w:rPr>
        <w:t>Cameron Kramer v. City of Frisco, Texas</w:t>
      </w:r>
      <w:r>
        <w:t xml:space="preserve">, the </w:t>
      </w:r>
      <w:r w:rsidRPr="003A1915">
        <w:t>Court of Appeals of Texas, Twelfth District, Tyler</w:t>
      </w:r>
      <w:r>
        <w:t xml:space="preserve"> held (3 to 0) that trial court properly granted summary judgment to the City since the Assistant Chief never able to provide a </w:t>
      </w:r>
      <w:r w:rsidRPr="006D408F">
        <w:t xml:space="preserve">psychological </w:t>
      </w:r>
      <w:r w:rsidRPr="008C5C09">
        <w:t>clearance</w:t>
      </w:r>
      <w:r>
        <w:t xml:space="preserve"> to return to work and indefinite leave is not a reasonable accommodation.   </w:t>
      </w:r>
      <w:r w:rsidRPr="00AA4727">
        <w:t>On August 15, 2022</w:t>
      </w:r>
      <w:r>
        <w:t xml:space="preserve"> he took Family Medical Leave Act leave for PTSD until November 1, 2022; took another 90 days of leave under City’s policy; in January 31, 2023 the city approved additional unpaid leave until March 31 as an accommodation for his PTSD; o</w:t>
      </w:r>
      <w:r w:rsidRPr="00E87171">
        <w:t>n March 31, Kraemer requested additional unpaid leave through April 30, stating at the</w:t>
      </w:r>
      <w:r>
        <w:t xml:space="preserve"> </w:t>
      </w:r>
      <w:r w:rsidRPr="00E87171">
        <w:t xml:space="preserve">end of the leave period, he </w:t>
      </w:r>
      <w:r w:rsidRPr="00E87171">
        <w:lastRenderedPageBreak/>
        <w:t xml:space="preserve">would </w:t>
      </w:r>
      <w:r>
        <w:t>‘</w:t>
      </w:r>
      <w:r w:rsidRPr="00E87171">
        <w:t>be re-evaluated</w:t>
      </w:r>
      <w:r>
        <w:t xml:space="preserve">” by his treating physician.  </w:t>
      </w:r>
      <w:r w:rsidRPr="00C4058E">
        <w:t>The City viewed this as a request for</w:t>
      </w:r>
      <w:r>
        <w:t xml:space="preserve"> </w:t>
      </w:r>
      <w:r w:rsidRPr="00C4058E">
        <w:t>indefinite unpaid leave and the City’s human resources director, Lauren Safranek, initially</w:t>
      </w:r>
      <w:r>
        <w:t xml:space="preserve"> </w:t>
      </w:r>
      <w:r w:rsidRPr="00C4058E">
        <w:t xml:space="preserve">informed Kraemer that the City could not grant such a </w:t>
      </w:r>
      <w:proofErr w:type="gramStart"/>
      <w:r w:rsidRPr="00C4058E">
        <w:t>reques</w:t>
      </w:r>
      <w:r>
        <w:t>t, but</w:t>
      </w:r>
      <w:proofErr w:type="gramEnd"/>
      <w:r>
        <w:t xml:space="preserve"> gave him until </w:t>
      </w:r>
      <w:r w:rsidRPr="008C5C09">
        <w:t>April 30 to allow him to</w:t>
      </w:r>
      <w:r>
        <w:t xml:space="preserve"> </w:t>
      </w:r>
      <w:r w:rsidRPr="008C5C09">
        <w:t xml:space="preserve">obtain the required </w:t>
      </w:r>
      <w:r w:rsidRPr="006D408F">
        <w:t xml:space="preserve">psychological </w:t>
      </w:r>
      <w:r w:rsidRPr="008C5C09">
        <w:t>clearance, which Kraemer did not submit.</w:t>
      </w:r>
      <w:r>
        <w:t xml:space="preserve"> </w:t>
      </w:r>
      <w:r w:rsidRPr="00FB0730">
        <w:t xml:space="preserve">On May 1, 2023, the </w:t>
      </w:r>
      <w:proofErr w:type="gramStart"/>
      <w:r w:rsidRPr="00FB0730">
        <w:t>City</w:t>
      </w:r>
      <w:proofErr w:type="gramEnd"/>
      <w:r w:rsidRPr="00FB0730">
        <w:t xml:space="preserve"> informed Kraemer via letter that his employment was</w:t>
      </w:r>
      <w:r>
        <w:t xml:space="preserve"> </w:t>
      </w:r>
      <w:r w:rsidRPr="00FB0730">
        <w:t>terminated because of his inability to return to work “with or without reasonable</w:t>
      </w:r>
      <w:r>
        <w:t xml:space="preserve"> </w:t>
      </w:r>
      <w:r w:rsidRPr="00FB0730">
        <w:t>accommodations” following the end of his leave period</w:t>
      </w:r>
      <w:r>
        <w:t xml:space="preserve">. The letter stated, in relevant part, that “the vacancy in the position of Assistant Fire Chief is compromising the operations of the City of Frisco Fire Department and granting continued accommodations of additional leave would cause an undue burden and hardship for the department and the City, placing the safety of the community and the department at risk.” </w:t>
      </w:r>
      <w:hyperlink r:id="rId1638" w:history="1">
        <w:r w:rsidRPr="00941A72">
          <w:rPr>
            <w:rStyle w:val="Hyperlink"/>
            <w:b/>
          </w:rPr>
          <w:t>https://cases.justia.com/texas/twelfth-court-of-appeals/2026-12-25-00273-cv.pdf?ts=1775749638</w:t>
        </w:r>
      </w:hyperlink>
      <w:r>
        <w:rPr>
          <w:b/>
        </w:rPr>
        <w:t xml:space="preserve"> </w:t>
      </w:r>
    </w:p>
    <w:p w14:paraId="03C9F03D" w14:textId="77777777" w:rsidR="00BC4752" w:rsidRDefault="00BC4752" w:rsidP="00BC4752">
      <w:pPr>
        <w:pStyle w:val="NoSpacing"/>
      </w:pPr>
      <w:r>
        <w:t xml:space="preserve"> </w:t>
      </w:r>
    </w:p>
    <w:p w14:paraId="751218CB" w14:textId="77777777" w:rsidR="00BC4752" w:rsidRDefault="00BC4752" w:rsidP="00BC4752">
      <w:pPr>
        <w:pStyle w:val="NoSpacing"/>
        <w:rPr>
          <w:bCs/>
        </w:rPr>
      </w:pPr>
      <w:r>
        <w:t>THE COURT HELD:</w:t>
      </w:r>
    </w:p>
    <w:p w14:paraId="524E0C45" w14:textId="77777777" w:rsidR="00BC4752" w:rsidRDefault="00BC4752" w:rsidP="00BC4752">
      <w:pPr>
        <w:pStyle w:val="NoSpacing"/>
        <w:rPr>
          <w:bCs/>
        </w:rPr>
      </w:pPr>
    </w:p>
    <w:p w14:paraId="17399BE5" w14:textId="77777777" w:rsidR="00BC4752" w:rsidRDefault="00BC4752" w:rsidP="00BC4752">
      <w:pPr>
        <w:pStyle w:val="NoSpacing"/>
        <w:ind w:left="720"/>
      </w:pPr>
      <w:r>
        <w:t>“Although taking leave that is limited in duration may be a reasonable accommodation to enable an employee to perform the essential functions of the job upon return, taking leave without a specified date to return is not a reasonable accommodation.</w:t>
      </w:r>
    </w:p>
    <w:p w14:paraId="181E5817" w14:textId="77777777" w:rsidR="00BC4752" w:rsidRDefault="00BC4752" w:rsidP="00BC4752">
      <w:pPr>
        <w:pStyle w:val="NoSpacing"/>
        <w:ind w:left="720"/>
      </w:pPr>
    </w:p>
    <w:p w14:paraId="5F263129" w14:textId="77777777" w:rsidR="00BC4752" w:rsidRDefault="00BC4752" w:rsidP="00BC4752">
      <w:pPr>
        <w:pStyle w:val="NoSpacing"/>
        <w:ind w:left="720"/>
      </w:pPr>
      <w:r>
        <w:t>***</w:t>
      </w:r>
    </w:p>
    <w:p w14:paraId="5738E4AF" w14:textId="77777777" w:rsidR="00BC4752" w:rsidRDefault="00BC4752" w:rsidP="00BC4752">
      <w:pPr>
        <w:pStyle w:val="NoSpacing"/>
      </w:pPr>
    </w:p>
    <w:p w14:paraId="3CA9F1E7" w14:textId="77777777" w:rsidR="00BC4752" w:rsidRDefault="00BC4752" w:rsidP="00BC4752">
      <w:pPr>
        <w:pStyle w:val="NoSpacing"/>
        <w:ind w:firstLine="720"/>
      </w:pPr>
      <w:r>
        <w:t>The evidence shows that Kraemer discussed with Safranek whether he might be capable</w:t>
      </w:r>
    </w:p>
    <w:p w14:paraId="5EB20D13" w14:textId="77777777" w:rsidR="00BC4752" w:rsidRDefault="00BC4752" w:rsidP="00BC4752">
      <w:pPr>
        <w:pStyle w:val="NoSpacing"/>
        <w:ind w:left="720"/>
      </w:pPr>
      <w:r>
        <w:t xml:space="preserve">of returning to work on a reduced schedule, but nothing showing that he, or any of his doctors, ever concluded that, despite his disability, he </w:t>
      </w:r>
      <w:proofErr w:type="gramStart"/>
      <w:r>
        <w:t>was capable of performing</w:t>
      </w:r>
      <w:proofErr w:type="gramEnd"/>
      <w:r>
        <w:t xml:space="preserve"> the functions of the assistant fire chief position at all, even on a part-time basis…. In April of 2024, Dr. </w:t>
      </w:r>
      <w:proofErr w:type="spellStart"/>
      <w:r>
        <w:t>Tedwell</w:t>
      </w:r>
      <w:proofErr w:type="spellEnd"/>
      <w:r>
        <w:t xml:space="preserve"> testified before an administrative law judge that throughout her treatment relationship with Kraemer, her opinion has ‘always been that he has not been ready to go back to Frisco Fire Department[,]” an opinion which persisted until the time of her testimony.”</w:t>
      </w:r>
    </w:p>
    <w:p w14:paraId="6FAC69CA" w14:textId="77777777" w:rsidR="00BC4752" w:rsidRDefault="00BC4752" w:rsidP="00BC4752">
      <w:pPr>
        <w:pStyle w:val="NoSpacing"/>
        <w:ind w:left="720"/>
      </w:pPr>
    </w:p>
    <w:p w14:paraId="44636D0F" w14:textId="77777777" w:rsidR="00BC4752" w:rsidRDefault="00BC4752" w:rsidP="00BC4752">
      <w:pPr>
        <w:pStyle w:val="NoSpacing"/>
      </w:pPr>
      <w:r>
        <w:rPr>
          <w:b/>
        </w:rPr>
        <w:t xml:space="preserve">Legal lesson learned: Indefinite leave is not reasonable accommodation. </w:t>
      </w:r>
    </w:p>
    <w:p w14:paraId="355BA9E6" w14:textId="77777777" w:rsidR="00BC4752" w:rsidRDefault="00BC4752" w:rsidP="00BC4752">
      <w:pPr>
        <w:pStyle w:val="NoSpacing"/>
        <w:rPr>
          <w:b/>
        </w:rPr>
      </w:pPr>
    </w:p>
    <w:p w14:paraId="1891A10B" w14:textId="77777777" w:rsidR="00BC4752" w:rsidRDefault="00BC4752" w:rsidP="00BC4752">
      <w:pPr>
        <w:pStyle w:val="NoSpacing"/>
        <w:rPr>
          <w:bCs/>
        </w:rPr>
      </w:pPr>
    </w:p>
    <w:p w14:paraId="25DBD739" w14:textId="77777777" w:rsidR="00BC4752" w:rsidRDefault="00BC4752" w:rsidP="00BC4752">
      <w:pPr>
        <w:pStyle w:val="NoSpacing"/>
        <w:rPr>
          <w:rFonts w:ascii="Arial Black" w:hAnsi="Arial Black"/>
          <w:sz w:val="24"/>
          <w:szCs w:val="24"/>
        </w:rPr>
      </w:pPr>
    </w:p>
    <w:p w14:paraId="7DDC7055" w14:textId="77777777" w:rsidR="00BC4752" w:rsidRDefault="00BC4752" w:rsidP="00BC4752">
      <w:pPr>
        <w:pStyle w:val="NoSpacing"/>
        <w:rPr>
          <w:rFonts w:ascii="Arial Black" w:hAnsi="Arial Black"/>
          <w:sz w:val="24"/>
          <w:szCs w:val="24"/>
        </w:rPr>
      </w:pPr>
    </w:p>
    <w:p w14:paraId="2197C918" w14:textId="77777777" w:rsidR="00BC4752" w:rsidRDefault="00BC4752" w:rsidP="00684A51">
      <w:pPr>
        <w:pStyle w:val="NoSpacing"/>
        <w:rPr>
          <w:rFonts w:ascii="Arial Black" w:hAnsi="Arial Black"/>
          <w:sz w:val="24"/>
          <w:szCs w:val="24"/>
        </w:rPr>
      </w:pPr>
    </w:p>
    <w:p w14:paraId="470CA0F5" w14:textId="77777777" w:rsidR="00BC4752" w:rsidRDefault="00BC4752" w:rsidP="00684A51">
      <w:pPr>
        <w:pStyle w:val="NoSpacing"/>
        <w:rPr>
          <w:rFonts w:ascii="Arial Black" w:hAnsi="Arial Black"/>
          <w:sz w:val="24"/>
          <w:szCs w:val="24"/>
        </w:rPr>
      </w:pPr>
    </w:p>
    <w:p w14:paraId="41350198" w14:textId="570A73E3" w:rsidR="00684A51" w:rsidRDefault="00684A51" w:rsidP="00684A51">
      <w:pPr>
        <w:pStyle w:val="NoSpacing"/>
        <w:rPr>
          <w:rFonts w:ascii="Arial Black" w:hAnsi="Arial Black"/>
          <w:sz w:val="24"/>
          <w:szCs w:val="24"/>
        </w:rPr>
      </w:pPr>
      <w:r>
        <w:rPr>
          <w:rFonts w:ascii="Arial Black" w:hAnsi="Arial Black"/>
          <w:sz w:val="24"/>
          <w:szCs w:val="24"/>
        </w:rPr>
        <w:t>9-6</w:t>
      </w:r>
      <w:r w:rsidR="00BA6D04">
        <w:rPr>
          <w:rFonts w:ascii="Arial Black" w:hAnsi="Arial Black"/>
          <w:sz w:val="24"/>
          <w:szCs w:val="24"/>
        </w:rPr>
        <w:t>2</w:t>
      </w:r>
    </w:p>
    <w:p w14:paraId="06510B12" w14:textId="77777777" w:rsidR="003C742B" w:rsidRDefault="003C742B" w:rsidP="005C30A4">
      <w:pPr>
        <w:pStyle w:val="NoSpacing"/>
        <w:rPr>
          <w:rFonts w:ascii="Arial Black" w:hAnsi="Arial Black"/>
          <w:sz w:val="24"/>
          <w:szCs w:val="24"/>
        </w:rPr>
      </w:pPr>
    </w:p>
    <w:p w14:paraId="51897EA5" w14:textId="77777777" w:rsidR="003C742B" w:rsidRDefault="003C742B" w:rsidP="003C742B">
      <w:pPr>
        <w:pStyle w:val="NoSpacing"/>
        <w:rPr>
          <w:rFonts w:ascii="Arial Black" w:hAnsi="Arial Black"/>
          <w:bCs/>
          <w:sz w:val="28"/>
          <w:szCs w:val="28"/>
        </w:rPr>
      </w:pPr>
      <w:r>
        <w:rPr>
          <w:rFonts w:ascii="Arial Black" w:hAnsi="Arial Black"/>
          <w:sz w:val="28"/>
          <w:szCs w:val="28"/>
        </w:rPr>
        <w:t>FL: FF REFUSED TAKE TB TEST – ADA CASE TO PROCEED</w:t>
      </w:r>
    </w:p>
    <w:p w14:paraId="22CC5B5B" w14:textId="77777777" w:rsidR="003C742B" w:rsidRDefault="003C742B" w:rsidP="003C742B">
      <w:pPr>
        <w:pStyle w:val="NoSpacing"/>
        <w:rPr>
          <w:rFonts w:ascii="Arial Black" w:hAnsi="Arial Black"/>
          <w:bCs/>
          <w:sz w:val="28"/>
          <w:szCs w:val="28"/>
        </w:rPr>
      </w:pPr>
    </w:p>
    <w:p w14:paraId="14D97C9D" w14:textId="77777777" w:rsidR="003C742B" w:rsidRDefault="003C742B" w:rsidP="003C742B">
      <w:pPr>
        <w:pStyle w:val="NoSpacing"/>
        <w:rPr>
          <w:bCs/>
        </w:rPr>
      </w:pPr>
      <w:r>
        <w:t xml:space="preserve">On April 24, 2026, in </w:t>
      </w:r>
      <w:r w:rsidRPr="00026CBE">
        <w:rPr>
          <w:u w:val="single"/>
        </w:rPr>
        <w:t>Nathaniel Griffin v. City of South Pasadena</w:t>
      </w:r>
      <w:r>
        <w:t>, U.S. District Court Judge Wiiliam F. Jung, United States District Court for Middle District of Florida, Tampa Division, held that the firefighter’s ADA retaliation case may proceed with pretrial discovery.  “Plaintiff denies ever asking the Life Scan staff to lie about whether a TB test had been done.”   In his Amended Complaint he alleges that he “</w:t>
      </w:r>
      <w:r w:rsidRPr="00CB3F0C">
        <w:t>subjectively believed</w:t>
      </w:r>
      <w:r>
        <w:t>”</w:t>
      </w:r>
      <w:r w:rsidRPr="00CB3F0C">
        <w:t xml:space="preserve"> that portions of the CBA’s annual physical</w:t>
      </w:r>
      <w:r>
        <w:t xml:space="preserve"> </w:t>
      </w:r>
      <w:r w:rsidRPr="00CB3F0C">
        <w:t>examination requirement violated the ADA</w:t>
      </w:r>
      <w:r>
        <w:t xml:space="preserve"> and he made his concerns known to Fire Chief prior to the annual physical. After discovery is completed, the </w:t>
      </w:r>
      <w:proofErr w:type="gramStart"/>
      <w:r>
        <w:t>City</w:t>
      </w:r>
      <w:proofErr w:type="gramEnd"/>
      <w:r>
        <w:t xml:space="preserve"> may then file a motion for summary judgment based on a “business-necessity” defense.  </w:t>
      </w:r>
      <w:hyperlink r:id="rId1639" w:history="1">
        <w:r w:rsidRPr="00BE171B">
          <w:rPr>
            <w:rStyle w:val="Hyperlink"/>
          </w:rPr>
          <w:t>https://ecf.flmd.uscourts.gov/cgi-bin/show_public_doc?2025-02787-49-8-cv</w:t>
        </w:r>
      </w:hyperlink>
      <w:r>
        <w:t xml:space="preserve"> </w:t>
      </w:r>
    </w:p>
    <w:p w14:paraId="768E629B" w14:textId="77777777" w:rsidR="003C742B" w:rsidRDefault="003C742B" w:rsidP="003C742B">
      <w:pPr>
        <w:pStyle w:val="NoSpacing"/>
        <w:rPr>
          <w:bCs/>
        </w:rPr>
      </w:pPr>
    </w:p>
    <w:p w14:paraId="4F69D0C4" w14:textId="77777777" w:rsidR="003C742B" w:rsidRDefault="003C742B" w:rsidP="003C742B">
      <w:pPr>
        <w:pStyle w:val="NoSpacing"/>
        <w:rPr>
          <w:bCs/>
        </w:rPr>
      </w:pPr>
      <w:r>
        <w:t>THE COURT HELD:</w:t>
      </w:r>
    </w:p>
    <w:p w14:paraId="297ABDCE" w14:textId="77777777" w:rsidR="003C742B" w:rsidRDefault="003C742B" w:rsidP="003C742B">
      <w:pPr>
        <w:pStyle w:val="NoSpacing"/>
        <w:rPr>
          <w:bCs/>
        </w:rPr>
      </w:pPr>
    </w:p>
    <w:p w14:paraId="64D05011" w14:textId="77777777" w:rsidR="003C742B" w:rsidRDefault="003C742B" w:rsidP="003C742B">
      <w:pPr>
        <w:pStyle w:val="NoSpacing"/>
        <w:ind w:left="720"/>
      </w:pPr>
      <w:r>
        <w:t>“A statutorily protected activity for an ADA retaliation claim is ‘oppos[</w:t>
      </w:r>
      <w:proofErr w:type="spellStart"/>
      <w:r>
        <w:t>ing</w:t>
      </w:r>
      <w:proofErr w:type="spellEnd"/>
      <w:r>
        <w:t xml:space="preserve">] any act or practice made unlawful by this chapter.’ 42 U.S.C. § 12203(a)…. However, the plaintiff is not required to prove that the alleged discriminatory conduct was </w:t>
      </w:r>
      <w:proofErr w:type="gramStart"/>
      <w:r>
        <w:t>actually unlawful</w:t>
      </w:r>
      <w:proofErr w:type="gramEnd"/>
      <w:r>
        <w:t>;</w:t>
      </w:r>
    </w:p>
    <w:p w14:paraId="269C79EA" w14:textId="77777777" w:rsidR="003C742B" w:rsidRDefault="003C742B" w:rsidP="003C742B">
      <w:pPr>
        <w:pStyle w:val="NoSpacing"/>
        <w:ind w:left="720"/>
      </w:pPr>
      <w:r>
        <w:t>rather, the opposed conduct need only be “close enough” to support the objectively</w:t>
      </w:r>
    </w:p>
    <w:p w14:paraId="5BFDC266" w14:textId="77777777" w:rsidR="003C742B" w:rsidRDefault="003C742B" w:rsidP="003C742B">
      <w:pPr>
        <w:pStyle w:val="NoSpacing"/>
        <w:ind w:left="720"/>
      </w:pPr>
      <w:r>
        <w:t>reasonable belief.</w:t>
      </w:r>
    </w:p>
    <w:p w14:paraId="3117AC55" w14:textId="77777777" w:rsidR="003C742B" w:rsidRDefault="003C742B" w:rsidP="003C742B">
      <w:pPr>
        <w:pStyle w:val="NoSpacing"/>
        <w:ind w:left="720"/>
      </w:pPr>
    </w:p>
    <w:p w14:paraId="743AF438" w14:textId="77777777" w:rsidR="003C742B" w:rsidRDefault="003C742B" w:rsidP="003C742B">
      <w:pPr>
        <w:pStyle w:val="NoSpacing"/>
        <w:ind w:left="720"/>
      </w:pPr>
      <w:r>
        <w:t>***</w:t>
      </w:r>
    </w:p>
    <w:p w14:paraId="14B80327" w14:textId="77777777" w:rsidR="003C742B" w:rsidRDefault="003C742B" w:rsidP="003C742B">
      <w:pPr>
        <w:pStyle w:val="NoSpacing"/>
        <w:ind w:left="720"/>
      </w:pPr>
    </w:p>
    <w:p w14:paraId="725DBDEA" w14:textId="77777777" w:rsidR="003C742B" w:rsidRDefault="003C742B" w:rsidP="003C742B">
      <w:pPr>
        <w:pStyle w:val="NoSpacing"/>
        <w:ind w:left="720"/>
      </w:pPr>
      <w:r>
        <w:t>The Amended Complaint is also clear that Plaintiff subjectively believed that portions of the CBA’s annual physical examination requirement violated the ADA … and these objections about being forced by an employer to undergo an (allegedly) unlawful medical</w:t>
      </w:r>
    </w:p>
    <w:p w14:paraId="114BB68B" w14:textId="77777777" w:rsidR="003C742B" w:rsidRDefault="003C742B" w:rsidP="003C742B">
      <w:pPr>
        <w:pStyle w:val="NoSpacing"/>
        <w:ind w:left="720"/>
      </w:pPr>
      <w:proofErr w:type="gramStart"/>
      <w:r>
        <w:t>examination</w:t>
      </w:r>
      <w:proofErr w:type="gramEnd"/>
      <w:r>
        <w:t xml:space="preserve"> </w:t>
      </w:r>
      <w:proofErr w:type="gramStart"/>
      <w:r>
        <w:t>are</w:t>
      </w:r>
      <w:proofErr w:type="gramEnd"/>
      <w:r>
        <w:t xml:space="preserve"> objectively reasonable </w:t>
      </w:r>
      <w:proofErr w:type="gramStart"/>
      <w:r>
        <w:t>in light of</w:t>
      </w:r>
      <w:proofErr w:type="gramEnd"/>
      <w:r>
        <w:t xml:space="preserve"> the controlling substantive law.</w:t>
      </w:r>
    </w:p>
    <w:p w14:paraId="20A6A1C7" w14:textId="77777777" w:rsidR="003C742B" w:rsidRDefault="003C742B" w:rsidP="003C742B">
      <w:pPr>
        <w:pStyle w:val="NoSpacing"/>
        <w:ind w:left="720"/>
      </w:pPr>
    </w:p>
    <w:p w14:paraId="33991A5F" w14:textId="77777777" w:rsidR="003C742B" w:rsidRDefault="003C742B" w:rsidP="003C742B">
      <w:pPr>
        <w:pStyle w:val="NoSpacing"/>
        <w:ind w:left="720"/>
      </w:pPr>
      <w:r>
        <w:t>***</w:t>
      </w:r>
    </w:p>
    <w:p w14:paraId="13958881" w14:textId="77777777" w:rsidR="003C742B" w:rsidRDefault="003C742B" w:rsidP="003C742B">
      <w:pPr>
        <w:pStyle w:val="NoSpacing"/>
        <w:ind w:left="720"/>
      </w:pPr>
    </w:p>
    <w:p w14:paraId="6AA2761B" w14:textId="77777777" w:rsidR="003C742B" w:rsidRDefault="003C742B" w:rsidP="003C742B">
      <w:pPr>
        <w:pStyle w:val="NoSpacing"/>
        <w:ind w:left="720"/>
      </w:pPr>
      <w:r>
        <w:t>On August 2, 2022, Plaintiff was scheduled for an annual physical examination at Life Scan Wellness Center (‘Life Scan’)…. While at Life Scan, Plaintiff complained to the staff about the intrusive nature of the examinations, but still ‘made himself immediately available . . . for evaluation, and at no point refused any portion.’ … Life Scan staff member eventually told Plaintiff that it was too late to coordinate an accommodation and that he would have to reschedule his exam.</w:t>
      </w:r>
    </w:p>
    <w:p w14:paraId="7599E151" w14:textId="77777777" w:rsidR="003C742B" w:rsidRDefault="003C742B" w:rsidP="003C742B">
      <w:pPr>
        <w:pStyle w:val="NoSpacing"/>
        <w:ind w:left="720"/>
      </w:pPr>
    </w:p>
    <w:p w14:paraId="2B65D5C4" w14:textId="77777777" w:rsidR="003C742B" w:rsidRDefault="003C742B" w:rsidP="003C742B">
      <w:pPr>
        <w:pStyle w:val="NoSpacing"/>
        <w:ind w:left="720"/>
      </w:pPr>
      <w:r>
        <w:t>***</w:t>
      </w:r>
    </w:p>
    <w:p w14:paraId="7CC6850F" w14:textId="77777777" w:rsidR="003C742B" w:rsidRDefault="003C742B" w:rsidP="003C742B">
      <w:pPr>
        <w:pStyle w:val="NoSpacing"/>
        <w:ind w:left="720"/>
      </w:pPr>
    </w:p>
    <w:p w14:paraId="66EB8DE1" w14:textId="77777777" w:rsidR="003C742B" w:rsidRDefault="003C742B" w:rsidP="003C742B">
      <w:pPr>
        <w:pStyle w:val="NoSpacing"/>
        <w:ind w:left="720"/>
      </w:pPr>
      <w:r>
        <w:t>Plaintiff attended a rescheduled physical examination on August 12, 2022…. Plaintiff denies ever asking the Life Scan staff to lie about whether a TB test had been done.</w:t>
      </w:r>
    </w:p>
    <w:p w14:paraId="75AECD46" w14:textId="77777777" w:rsidR="003C742B" w:rsidRDefault="003C742B" w:rsidP="003C742B">
      <w:pPr>
        <w:pStyle w:val="NoSpacing"/>
        <w:ind w:left="720"/>
      </w:pPr>
    </w:p>
    <w:p w14:paraId="4E05DCC8" w14:textId="77777777" w:rsidR="003C742B" w:rsidRDefault="003C742B" w:rsidP="003C742B">
      <w:pPr>
        <w:pStyle w:val="NoSpacing"/>
        <w:ind w:left="720"/>
      </w:pPr>
      <w:r>
        <w:t>***</w:t>
      </w:r>
    </w:p>
    <w:p w14:paraId="51F3C34A" w14:textId="77777777" w:rsidR="003C742B" w:rsidRDefault="003C742B" w:rsidP="003C742B">
      <w:pPr>
        <w:pStyle w:val="NoSpacing"/>
        <w:rPr>
          <w:bCs/>
        </w:rPr>
      </w:pPr>
    </w:p>
    <w:p w14:paraId="0F97D789" w14:textId="77777777" w:rsidR="003C742B" w:rsidRDefault="003C742B" w:rsidP="003C742B">
      <w:pPr>
        <w:pStyle w:val="NoSpacing"/>
        <w:ind w:left="720"/>
      </w:pPr>
      <w:r>
        <w:t xml:space="preserve">On August 17, 2022, Fire Chief Mixson delivered a Notice of Discipline, asserting a ‘failure to complete annual physical in an efficient manner, creating additional expense to [Defendant]. Disrespectful and unprofessional interaction with members of the public (Life Scan staff). Violations of Employee Handbook Sections 7-4 B (9), 7-4 В (7), 7-4 В (8), 7-4 С (17).’ … Plaintiff was then suspended without pay for 24 hours….  On August 24, 2022, Plaintiff appealed this adverse employment action to Fire Commissioner Thomas B. Reid, which was denied. </w:t>
      </w:r>
    </w:p>
    <w:p w14:paraId="4F345A97" w14:textId="77777777" w:rsidR="003C742B" w:rsidRDefault="003C742B" w:rsidP="003C742B">
      <w:pPr>
        <w:pStyle w:val="NoSpacing"/>
        <w:ind w:left="720"/>
      </w:pPr>
    </w:p>
    <w:p w14:paraId="2684390F" w14:textId="77777777" w:rsidR="003C742B" w:rsidRDefault="003C742B" w:rsidP="003C742B">
      <w:pPr>
        <w:pStyle w:val="NoSpacing"/>
        <w:ind w:left="720"/>
      </w:pPr>
      <w:r>
        <w:t>***</w:t>
      </w:r>
    </w:p>
    <w:p w14:paraId="398DC4FF" w14:textId="77777777" w:rsidR="003C742B" w:rsidRDefault="003C742B" w:rsidP="003C742B">
      <w:pPr>
        <w:pStyle w:val="NoSpacing"/>
        <w:ind w:left="720"/>
      </w:pPr>
      <w:r>
        <w:t xml:space="preserve">On September 13, 2022, the </w:t>
      </w:r>
      <w:proofErr w:type="gramStart"/>
      <w:r>
        <w:t>City</w:t>
      </w:r>
      <w:proofErr w:type="gramEnd"/>
      <w:r>
        <w:t xml:space="preserve"> terminated Plaintiff’s employment…. The same day, Plaintiff appealed his termination to Fire Commissioner Reid … and during the appeal, Plaintiff was permitted to provide objections, case law, and scholarly articles…. In sum, Plaintiff was not only informed of the termination hearing and allowed to testify on his own </w:t>
      </w:r>
      <w:proofErr w:type="gramStart"/>
      <w:r>
        <w:t>behalf, but</w:t>
      </w:r>
      <w:proofErr w:type="gramEnd"/>
      <w:r>
        <w:t xml:space="preserve"> was also permitted to appeal his termination and (again) present evidence on his </w:t>
      </w:r>
      <w:proofErr w:type="gramStart"/>
      <w:r>
        <w:t>behalf.”</w:t>
      </w:r>
      <w:proofErr w:type="gramEnd"/>
    </w:p>
    <w:p w14:paraId="0ECB4E98" w14:textId="77777777" w:rsidR="003C742B" w:rsidRDefault="003C742B" w:rsidP="003C742B">
      <w:pPr>
        <w:pStyle w:val="NoSpacing"/>
        <w:ind w:left="720"/>
      </w:pPr>
    </w:p>
    <w:p w14:paraId="2892DC89" w14:textId="77777777" w:rsidR="003C742B" w:rsidRPr="001714F2" w:rsidRDefault="003C742B" w:rsidP="003C742B">
      <w:pPr>
        <w:pStyle w:val="NoSpacing"/>
        <w:rPr>
          <w:b/>
          <w:bCs/>
        </w:rPr>
      </w:pPr>
      <w:r>
        <w:rPr>
          <w:b/>
        </w:rPr>
        <w:t>Legal lesson learned:  Pre-trial discovery will now proceed; city has a strong defense.</w:t>
      </w:r>
    </w:p>
    <w:p w14:paraId="549BB924" w14:textId="77777777" w:rsidR="00684A51" w:rsidRDefault="00684A51" w:rsidP="00684A51">
      <w:pPr>
        <w:pStyle w:val="NoSpacing"/>
        <w:rPr>
          <w:rFonts w:ascii="Arial Black" w:hAnsi="Arial Black"/>
          <w:sz w:val="24"/>
          <w:szCs w:val="24"/>
        </w:rPr>
      </w:pPr>
    </w:p>
    <w:p w14:paraId="11D55BF2" w14:textId="77777777" w:rsidR="00684A51" w:rsidRDefault="00684A51" w:rsidP="00684A51">
      <w:pPr>
        <w:pStyle w:val="NoSpacing"/>
        <w:rPr>
          <w:rFonts w:ascii="Arial Black" w:hAnsi="Arial Black"/>
          <w:sz w:val="24"/>
          <w:szCs w:val="24"/>
        </w:rPr>
      </w:pPr>
    </w:p>
    <w:p w14:paraId="36F829C5" w14:textId="77777777" w:rsidR="008C7243" w:rsidRDefault="008C7243" w:rsidP="00684A51">
      <w:pPr>
        <w:pStyle w:val="NoSpacing"/>
        <w:rPr>
          <w:rFonts w:ascii="Arial Black" w:hAnsi="Arial Black"/>
          <w:sz w:val="24"/>
          <w:szCs w:val="24"/>
        </w:rPr>
      </w:pPr>
    </w:p>
    <w:p w14:paraId="0778D57D" w14:textId="7BE5B907" w:rsidR="00684A51" w:rsidRDefault="00684A51" w:rsidP="00684A51">
      <w:pPr>
        <w:pStyle w:val="NoSpacing"/>
        <w:rPr>
          <w:rFonts w:ascii="Arial Black" w:hAnsi="Arial Black"/>
          <w:sz w:val="24"/>
          <w:szCs w:val="24"/>
        </w:rPr>
      </w:pPr>
      <w:r>
        <w:rPr>
          <w:rFonts w:ascii="Arial Black" w:hAnsi="Arial Black"/>
          <w:sz w:val="24"/>
          <w:szCs w:val="24"/>
        </w:rPr>
        <w:t>9-6</w:t>
      </w:r>
      <w:r w:rsidR="00BA6D04">
        <w:rPr>
          <w:rFonts w:ascii="Arial Black" w:hAnsi="Arial Black"/>
          <w:sz w:val="24"/>
          <w:szCs w:val="24"/>
        </w:rPr>
        <w:t>1</w:t>
      </w:r>
    </w:p>
    <w:p w14:paraId="252339E8" w14:textId="77777777" w:rsidR="003C742B" w:rsidRPr="00043BF5" w:rsidRDefault="003C742B" w:rsidP="003C742B">
      <w:pPr>
        <w:pStyle w:val="NoSpacing"/>
      </w:pPr>
    </w:p>
    <w:p w14:paraId="7AFD4A5F" w14:textId="77777777" w:rsidR="007811A4" w:rsidRPr="0038660D" w:rsidRDefault="007811A4" w:rsidP="007811A4">
      <w:pPr>
        <w:pStyle w:val="NoSpacing"/>
        <w:rPr>
          <w:rFonts w:ascii="Arial Black" w:hAnsi="Arial Black"/>
          <w:sz w:val="28"/>
          <w:szCs w:val="28"/>
        </w:rPr>
      </w:pPr>
      <w:r>
        <w:rPr>
          <w:rFonts w:ascii="Arial Black" w:hAnsi="Arial Black"/>
          <w:sz w:val="28"/>
          <w:szCs w:val="28"/>
        </w:rPr>
        <w:t xml:space="preserve">AK: RIGHT ANKLE – DISABLED – NO RIGHT “LIGHT DUTY” </w:t>
      </w:r>
    </w:p>
    <w:p w14:paraId="621B28D4" w14:textId="77777777" w:rsidR="007811A4" w:rsidRDefault="007811A4" w:rsidP="007811A4">
      <w:pPr>
        <w:pStyle w:val="NoSpacing"/>
      </w:pPr>
    </w:p>
    <w:p w14:paraId="46FA32D8" w14:textId="77777777" w:rsidR="007811A4" w:rsidRDefault="007811A4" w:rsidP="007811A4">
      <w:pPr>
        <w:pStyle w:val="NoSpacing"/>
      </w:pPr>
      <w:r>
        <w:t xml:space="preserve">On March 31, 2026, in </w:t>
      </w:r>
      <w:r w:rsidRPr="00B31302">
        <w:rPr>
          <w:u w:val="single"/>
        </w:rPr>
        <w:t>Christopher Mackey v. City of Pine Bluff</w:t>
      </w:r>
      <w:r>
        <w:t xml:space="preserve">, U.S. District Court Judge </w:t>
      </w:r>
      <w:r w:rsidRPr="00B31302">
        <w:t>Kristine G. Bake</w:t>
      </w:r>
      <w:r>
        <w:t xml:space="preserve">, United States District Court for Eastern District of Arkansas, Central Division, granted the City’s motion for summary judgment.  </w:t>
      </w:r>
      <w:r w:rsidRPr="00DC23E7">
        <w:t xml:space="preserve">On July 31, 2022, Mackey </w:t>
      </w:r>
      <w:r>
        <w:t xml:space="preserve">(firefighter / engineer) </w:t>
      </w:r>
      <w:r w:rsidRPr="00DC23E7">
        <w:t>suffered an ankle injury as his shift began by stepping into a pothole in the parking lot of Station 1 in Pine Bluff</w:t>
      </w:r>
      <w:r>
        <w:t xml:space="preserve">, and MRI revealed </w:t>
      </w:r>
      <w:r w:rsidRPr="00390A1A">
        <w:t xml:space="preserve">“complete rupture of the peroneus brevis tendon” </w:t>
      </w:r>
      <w:r>
        <w:t xml:space="preserve">which required surgery.  After surgery he was </w:t>
      </w:r>
      <w:r w:rsidRPr="009A23D1">
        <w:t xml:space="preserve">without feeling </w:t>
      </w:r>
      <w:proofErr w:type="gramStart"/>
      <w:r w:rsidRPr="009A23D1">
        <w:t>in</w:t>
      </w:r>
      <w:proofErr w:type="gramEnd"/>
      <w:r w:rsidRPr="009A23D1">
        <w:t xml:space="preserve"> the right side of his foot</w:t>
      </w:r>
      <w:r>
        <w:t xml:space="preserve">.  The FD denied his two requests for light duty – as Engineer with no firefighting, or instructor in EMS school with no heavy lifting - but his physician could not provide FD with letter that he could eventually return to full duty.  </w:t>
      </w:r>
      <w:r w:rsidRPr="00E427CE">
        <w:t xml:space="preserve">Mackey resigned from </w:t>
      </w:r>
      <w:r>
        <w:t xml:space="preserve">FD </w:t>
      </w:r>
      <w:r w:rsidRPr="00E427CE">
        <w:t>on November 9, 202</w:t>
      </w:r>
      <w:r>
        <w:t xml:space="preserve">3. </w:t>
      </w:r>
      <w:r w:rsidRPr="00E427CE">
        <w:t xml:space="preserve"> </w:t>
      </w:r>
      <w:hyperlink r:id="rId1640" w:history="1">
        <w:r w:rsidRPr="00A849F7">
          <w:rPr>
            <w:rStyle w:val="Hyperlink"/>
          </w:rPr>
          <w:t>https://cases.justia.com/federal/district-courts/arkansas/aredce/4:2024cv00350/143122/28/0.pdf?ts=1775058402</w:t>
        </w:r>
      </w:hyperlink>
      <w:r>
        <w:t xml:space="preserve"> </w:t>
      </w:r>
    </w:p>
    <w:p w14:paraId="077D5C8B" w14:textId="77777777" w:rsidR="007811A4" w:rsidRDefault="007811A4" w:rsidP="007811A4">
      <w:pPr>
        <w:pStyle w:val="NoSpacing"/>
      </w:pPr>
    </w:p>
    <w:p w14:paraId="6F53EC54" w14:textId="77777777" w:rsidR="007811A4" w:rsidRDefault="007811A4" w:rsidP="007811A4">
      <w:pPr>
        <w:pStyle w:val="NoSpacing"/>
      </w:pPr>
      <w:r>
        <w:t xml:space="preserve">THE COURT HELD: </w:t>
      </w:r>
    </w:p>
    <w:p w14:paraId="019E3653" w14:textId="77777777" w:rsidR="007811A4" w:rsidRDefault="007811A4" w:rsidP="007811A4">
      <w:pPr>
        <w:pStyle w:val="NoSpacing"/>
      </w:pPr>
    </w:p>
    <w:p w14:paraId="2D96BF88" w14:textId="77777777" w:rsidR="007811A4" w:rsidRDefault="007811A4" w:rsidP="007811A4">
      <w:pPr>
        <w:pStyle w:val="NoSpacing"/>
        <w:ind w:left="720"/>
      </w:pPr>
      <w:r>
        <w:t>“</w:t>
      </w:r>
      <w:r w:rsidRPr="00AC2EE6">
        <w:t xml:space="preserve">Mackey's first purported reasonable accommodation fails as a matter of law. The Court finds that Mackey's request to continue as </w:t>
      </w:r>
      <w:r>
        <w:t>‘</w:t>
      </w:r>
      <w:r w:rsidRPr="00AC2EE6">
        <w:t>an engineer but without the firefighting - without having to be inside fighting the fire</w:t>
      </w:r>
      <w:r>
        <w:t xml:space="preserve">’ </w:t>
      </w:r>
      <w:r w:rsidRPr="00AC2EE6">
        <w:t xml:space="preserve">is not a request for </w:t>
      </w:r>
      <w:proofErr w:type="gramStart"/>
      <w:r w:rsidRPr="00AC2EE6">
        <w:t>a reasonable</w:t>
      </w:r>
      <w:proofErr w:type="gramEnd"/>
      <w:r w:rsidRPr="00AC2EE6">
        <w:t xml:space="preserve"> accommodation because that accommodation necessarily eliminates the essential functions of the engineer position</w:t>
      </w:r>
      <w:r>
        <w:t xml:space="preserve">. </w:t>
      </w:r>
    </w:p>
    <w:p w14:paraId="0B3E92C9" w14:textId="77777777" w:rsidR="007811A4" w:rsidRDefault="007811A4" w:rsidP="007811A4">
      <w:pPr>
        <w:pStyle w:val="NoSpacing"/>
        <w:ind w:left="720"/>
      </w:pPr>
    </w:p>
    <w:p w14:paraId="7A91E7D8" w14:textId="77777777" w:rsidR="007811A4" w:rsidRDefault="007811A4" w:rsidP="007811A4">
      <w:pPr>
        <w:pStyle w:val="NoSpacing"/>
        <w:ind w:left="720"/>
      </w:pPr>
      <w:r>
        <w:t xml:space="preserve">*** </w:t>
      </w:r>
    </w:p>
    <w:p w14:paraId="4A784237" w14:textId="77777777" w:rsidR="007811A4" w:rsidRDefault="007811A4" w:rsidP="007811A4">
      <w:pPr>
        <w:pStyle w:val="NoSpacing"/>
        <w:ind w:left="720"/>
      </w:pPr>
      <w:r w:rsidRPr="00AC2EE6">
        <w:t xml:space="preserve">Mackey's second purported accommodation also fails. Mackey requested to be moved to a trainer position as an accommodation, but Mackey is incapable of performing the essential functions of a trainer. </w:t>
      </w:r>
    </w:p>
    <w:p w14:paraId="02911A11" w14:textId="77777777" w:rsidR="007811A4" w:rsidRDefault="007811A4" w:rsidP="007811A4">
      <w:pPr>
        <w:pStyle w:val="NoSpacing"/>
        <w:ind w:left="720"/>
      </w:pPr>
    </w:p>
    <w:p w14:paraId="13A1A8BD" w14:textId="77777777" w:rsidR="007811A4" w:rsidRPr="00AC2EE6" w:rsidRDefault="007811A4" w:rsidP="007811A4">
      <w:pPr>
        <w:pStyle w:val="NoSpacing"/>
        <w:ind w:left="720"/>
      </w:pPr>
      <w:r>
        <w:t>***</w:t>
      </w:r>
    </w:p>
    <w:p w14:paraId="3BD314BC" w14:textId="77777777" w:rsidR="007811A4" w:rsidRDefault="007811A4" w:rsidP="007811A4">
      <w:pPr>
        <w:pStyle w:val="NoSpacing"/>
        <w:ind w:left="720"/>
      </w:pPr>
      <w:r w:rsidRPr="00A4315C">
        <w:t>Accordingly, the Court grants Pine Bluff's motion for summary judgment as to Mackey's ADA and ACRA failure to accommodate claims</w:t>
      </w:r>
      <w:r>
        <w:t xml:space="preserve">. </w:t>
      </w:r>
    </w:p>
    <w:p w14:paraId="2BCF3203" w14:textId="77777777" w:rsidR="007811A4" w:rsidRDefault="007811A4" w:rsidP="007811A4">
      <w:pPr>
        <w:pStyle w:val="NoSpacing"/>
        <w:ind w:left="720"/>
      </w:pPr>
    </w:p>
    <w:p w14:paraId="46BE5C08" w14:textId="77777777" w:rsidR="007811A4" w:rsidRPr="00EF5C04" w:rsidRDefault="007811A4" w:rsidP="007811A4">
      <w:pPr>
        <w:rPr>
          <w:b/>
          <w:bCs/>
        </w:rPr>
      </w:pPr>
      <w:r>
        <w:rPr>
          <w:b/>
        </w:rPr>
        <w:t xml:space="preserve">Legal lesson learned: ADA only requires reasonable accommodation if employee can still perform the essential functions of the job. </w:t>
      </w:r>
    </w:p>
    <w:p w14:paraId="0FDD6890" w14:textId="77777777" w:rsidR="007811A4" w:rsidRDefault="007811A4" w:rsidP="007811A4">
      <w:pPr>
        <w:pStyle w:val="NoSpacing"/>
      </w:pPr>
      <w:r>
        <w:tab/>
        <w:t xml:space="preserve">Note:  The FD does provide light duty. </w:t>
      </w:r>
    </w:p>
    <w:p w14:paraId="3C0124FE" w14:textId="77777777" w:rsidR="007811A4" w:rsidRDefault="007811A4" w:rsidP="007811A4">
      <w:pPr>
        <w:pStyle w:val="NoSpacing"/>
        <w:ind w:left="720"/>
      </w:pPr>
    </w:p>
    <w:p w14:paraId="12F50575" w14:textId="77777777" w:rsidR="007811A4" w:rsidRDefault="007811A4" w:rsidP="007811A4">
      <w:pPr>
        <w:pStyle w:val="NoSpacing"/>
        <w:ind w:left="720"/>
      </w:pPr>
      <w:r>
        <w:t xml:space="preserve">“After Mackey resigned, another employee, </w:t>
      </w:r>
      <w:proofErr w:type="spellStart"/>
      <w:r>
        <w:t>E’Leecia</w:t>
      </w:r>
      <w:proofErr w:type="spellEnd"/>
      <w:r>
        <w:t xml:space="preserve"> Clark, was offered temporary light duty work….However, she had received hip replacement surgery and had run out of sick days, so the department offered her a temporary light duty job until her doctor cleared her to return to full duty…. Clark was </w:t>
      </w:r>
      <w:r w:rsidRPr="008437C5">
        <w:t>only on light duty work for four to five days before she was able to return to full duty</w:t>
      </w:r>
      <w:r>
        <w:t>.”</w:t>
      </w:r>
    </w:p>
    <w:p w14:paraId="39A49BE4" w14:textId="77777777" w:rsidR="007811A4" w:rsidRDefault="007811A4" w:rsidP="005C30A4">
      <w:pPr>
        <w:pStyle w:val="NoSpacing"/>
        <w:rPr>
          <w:rFonts w:ascii="Arial Black" w:hAnsi="Arial Black"/>
          <w:sz w:val="24"/>
          <w:szCs w:val="24"/>
        </w:rPr>
      </w:pPr>
    </w:p>
    <w:p w14:paraId="55774586" w14:textId="77777777" w:rsidR="003C742B" w:rsidRDefault="003C742B" w:rsidP="005C30A4">
      <w:pPr>
        <w:pStyle w:val="NoSpacing"/>
        <w:rPr>
          <w:rFonts w:ascii="Arial Black" w:hAnsi="Arial Black"/>
          <w:sz w:val="24"/>
          <w:szCs w:val="24"/>
        </w:rPr>
      </w:pPr>
    </w:p>
    <w:p w14:paraId="0048BD3B" w14:textId="77777777" w:rsidR="003C742B" w:rsidRDefault="003C742B" w:rsidP="005C30A4">
      <w:pPr>
        <w:pStyle w:val="NoSpacing"/>
        <w:rPr>
          <w:rFonts w:ascii="Arial Black" w:hAnsi="Arial Black"/>
          <w:sz w:val="24"/>
          <w:szCs w:val="24"/>
        </w:rPr>
      </w:pPr>
    </w:p>
    <w:p w14:paraId="11F69C69" w14:textId="77777777" w:rsidR="003C742B" w:rsidRDefault="003C742B" w:rsidP="005C30A4">
      <w:pPr>
        <w:pStyle w:val="NoSpacing"/>
        <w:rPr>
          <w:rFonts w:ascii="Arial Black" w:hAnsi="Arial Black"/>
          <w:sz w:val="24"/>
          <w:szCs w:val="24"/>
        </w:rPr>
      </w:pPr>
    </w:p>
    <w:p w14:paraId="3DE9E881" w14:textId="77777777" w:rsidR="003C742B" w:rsidRDefault="003C742B" w:rsidP="005C30A4">
      <w:pPr>
        <w:pStyle w:val="NoSpacing"/>
        <w:rPr>
          <w:rFonts w:ascii="Arial Black" w:hAnsi="Arial Black"/>
          <w:sz w:val="24"/>
          <w:szCs w:val="24"/>
        </w:rPr>
      </w:pPr>
    </w:p>
    <w:p w14:paraId="0497BB99" w14:textId="1F4336D5" w:rsidR="008D4459" w:rsidRDefault="003F5F35" w:rsidP="005C30A4">
      <w:pPr>
        <w:pStyle w:val="NoSpacing"/>
        <w:rPr>
          <w:rFonts w:ascii="Arial Black" w:hAnsi="Arial Black"/>
          <w:sz w:val="24"/>
          <w:szCs w:val="24"/>
        </w:rPr>
      </w:pPr>
      <w:r>
        <w:rPr>
          <w:rFonts w:ascii="Arial Black" w:hAnsi="Arial Black"/>
          <w:sz w:val="24"/>
          <w:szCs w:val="24"/>
        </w:rPr>
        <w:t>9-</w:t>
      </w:r>
      <w:r w:rsidR="00BA6D04">
        <w:rPr>
          <w:rFonts w:ascii="Arial Black" w:hAnsi="Arial Black"/>
          <w:sz w:val="24"/>
          <w:szCs w:val="24"/>
        </w:rPr>
        <w:t>60</w:t>
      </w:r>
    </w:p>
    <w:p w14:paraId="7B68E4A7" w14:textId="77777777" w:rsidR="00ED6D00" w:rsidRDefault="00ED6D00" w:rsidP="005C30A4">
      <w:pPr>
        <w:pStyle w:val="NoSpacing"/>
        <w:rPr>
          <w:rFonts w:ascii="Arial Black" w:hAnsi="Arial Black"/>
          <w:sz w:val="24"/>
          <w:szCs w:val="24"/>
        </w:rPr>
      </w:pPr>
    </w:p>
    <w:p w14:paraId="5A886678" w14:textId="77777777" w:rsidR="00ED6D00" w:rsidRPr="00130A45" w:rsidRDefault="00ED6D00" w:rsidP="00ED6D00">
      <w:pPr>
        <w:pStyle w:val="NoSpacing"/>
        <w:rPr>
          <w:rFonts w:ascii="Arial Black" w:hAnsi="Arial Black"/>
          <w:b/>
          <w:sz w:val="28"/>
          <w:szCs w:val="28"/>
        </w:rPr>
      </w:pPr>
      <w:r>
        <w:rPr>
          <w:rFonts w:ascii="Arial Black" w:hAnsi="Arial Black"/>
          <w:b/>
          <w:sz w:val="28"/>
          <w:szCs w:val="28"/>
        </w:rPr>
        <w:t>NY: BACK / NECK – CAN’T DO JOB – ADA CASE DISMISSED</w:t>
      </w:r>
    </w:p>
    <w:p w14:paraId="3DCFDCEA" w14:textId="77777777" w:rsidR="00ED6D00" w:rsidRDefault="00ED6D00" w:rsidP="00ED6D00">
      <w:pPr>
        <w:pStyle w:val="NoSpacing"/>
        <w:rPr>
          <w:bCs/>
        </w:rPr>
      </w:pPr>
    </w:p>
    <w:p w14:paraId="6A5AD63F" w14:textId="118CB54E" w:rsidR="00ED6D00" w:rsidRDefault="00ED6D00" w:rsidP="00ED6D00">
      <w:pPr>
        <w:pStyle w:val="NoSpacing"/>
      </w:pPr>
      <w:r>
        <w:t>On Feb. 26, 2026</w:t>
      </w:r>
      <w:proofErr w:type="gramStart"/>
      <w:r w:rsidR="008C5EE7">
        <w:t xml:space="preserve">, </w:t>
      </w:r>
      <w:r>
        <w:t>in</w:t>
      </w:r>
      <w:proofErr w:type="gramEnd"/>
      <w:r>
        <w:t xml:space="preserve"> </w:t>
      </w:r>
      <w:r w:rsidRPr="00C8301C">
        <w:rPr>
          <w:u w:val="single"/>
        </w:rPr>
        <w:t>Michael Knapp v. The City of Utica Bureau of Fire, et al.,</w:t>
      </w:r>
      <w:r>
        <w:t xml:space="preserve"> U.S. District Court Judge </w:t>
      </w:r>
      <w:r w:rsidRPr="00C951D8">
        <w:t>Anthony Brindisi</w:t>
      </w:r>
      <w:r>
        <w:t xml:space="preserve">. United States District Court for the Northern District of New York dismissed the firefighter’s ADA case; he can no longer perform the essential functions of the job.  The Court gave him 30 days to file an amended ADA complaint.  On </w:t>
      </w:r>
      <w:r w:rsidRPr="00A62FEE">
        <w:t xml:space="preserve">May 19, 2023, during a </w:t>
      </w:r>
      <w:r>
        <w:t xml:space="preserve">fire department </w:t>
      </w:r>
      <w:r w:rsidRPr="00A62FEE">
        <w:t xml:space="preserve">training exercise “involving an obstacle course,” plaintiff </w:t>
      </w:r>
      <w:r>
        <w:t xml:space="preserve">claimed he </w:t>
      </w:r>
      <w:r w:rsidRPr="00A62FEE">
        <w:t>suffered another injury, which further aggravated his pre-existing “back and neck” injuries.</w:t>
      </w:r>
      <w:r>
        <w:t xml:space="preserve"> He was ordered to take a worker’s comp IME (Independent Medical Exam); </w:t>
      </w:r>
      <w:r w:rsidRPr="00B01EA0">
        <w:t>Dr. Warren Silverman, who examined plaintiff and determined that his “pain and medical conditions were not the result of work-related injuries.”</w:t>
      </w:r>
      <w:r>
        <w:t xml:space="preserve"> </w:t>
      </w:r>
      <w:hyperlink r:id="rId1641" w:history="1">
        <w:r w:rsidRPr="00255C30">
          <w:rPr>
            <w:rStyle w:val="Hyperlink"/>
          </w:rPr>
          <w:t>https://public.fastcase.com/Jhe1Qn%2BmJndQYQU6z%2FeNm07xnsMMe9XopEXpzbd8wBfIcwWisDZ8Xdk0vkVeza2z?utm_medium=email&amp;_hsenc=p2ANqtz-9GpH5Yl8KbaQKypiwjwBSc5ZewK71TROtHeH7A0Ky0SFDkHfwzpfrGRkv9wpK-L_sBVpNrip23D5GifO3TaI5YS4qT7w&amp;_hsmi=226712652&amp;utm_content=226712652&amp;utm_source=hs_email</w:t>
        </w:r>
      </w:hyperlink>
    </w:p>
    <w:p w14:paraId="39DA158A" w14:textId="77777777" w:rsidR="00ED6D00" w:rsidRDefault="00ED6D00" w:rsidP="00ED6D00">
      <w:pPr>
        <w:pStyle w:val="NoSpacing"/>
      </w:pPr>
    </w:p>
    <w:p w14:paraId="7E792320" w14:textId="77777777" w:rsidR="00ED6D00" w:rsidRDefault="00ED6D00" w:rsidP="00ED6D00">
      <w:pPr>
        <w:pStyle w:val="NoSpacing"/>
      </w:pPr>
    </w:p>
    <w:p w14:paraId="08457438" w14:textId="77777777" w:rsidR="00ED6D00" w:rsidRDefault="00ED6D00" w:rsidP="00ED6D00">
      <w:pPr>
        <w:pStyle w:val="NoSpacing"/>
      </w:pPr>
      <w:r>
        <w:t>THE COURT HELD: “</w:t>
      </w:r>
      <w:r w:rsidRPr="00CC10A1">
        <w:t xml:space="preserve">In sum, plaintiff alleges that UFD has never offered him </w:t>
      </w:r>
      <w:r>
        <w:t>‘</w:t>
      </w:r>
      <w:r w:rsidRPr="00CC10A1">
        <w:t>any accommodation for the several injuries he sustained while on the job</w:t>
      </w:r>
      <w:r>
        <w:t xml:space="preserve">’ </w:t>
      </w:r>
      <w:r w:rsidRPr="00CC10A1">
        <w:t xml:space="preserve">despite his </w:t>
      </w:r>
      <w:r>
        <w:t>‘</w:t>
      </w:r>
      <w:r w:rsidRPr="00CC10A1">
        <w:t>multiple requests for same.</w:t>
      </w:r>
      <w:r>
        <w:t>’</w:t>
      </w:r>
      <w:r w:rsidRPr="00CC10A1">
        <w:t xml:space="preserve"> </w:t>
      </w:r>
      <w:proofErr w:type="spellStart"/>
      <w:r w:rsidRPr="00CC10A1">
        <w:t>Compl</w:t>
      </w:r>
      <w:proofErr w:type="spellEnd"/>
      <w:r w:rsidRPr="00CC10A1">
        <w:t>. ¶ 49</w:t>
      </w:r>
      <w:r>
        <w:t xml:space="preserve">…. </w:t>
      </w:r>
      <w:r w:rsidRPr="00CC10A1">
        <w:t xml:space="preserve">Plaintiff alleges that he is </w:t>
      </w:r>
      <w:r>
        <w:t>‘</w:t>
      </w:r>
      <w:r w:rsidRPr="00CC10A1">
        <w:t>out of work,</w:t>
      </w:r>
      <w:r>
        <w:t>’</w:t>
      </w:r>
      <w:r w:rsidRPr="00CC10A1">
        <w:t xml:space="preserve"> </w:t>
      </w:r>
      <w:r>
        <w:t xml:space="preserve"> ‘</w:t>
      </w:r>
      <w:r w:rsidRPr="00CC10A1">
        <w:t>receiving no pay,</w:t>
      </w:r>
      <w:r>
        <w:t>’</w:t>
      </w:r>
      <w:r w:rsidRPr="00CC10A1">
        <w:t xml:space="preserve"> and suffering </w:t>
      </w:r>
      <w:r>
        <w:t>‘</w:t>
      </w:r>
      <w:r w:rsidRPr="00CC10A1">
        <w:t>chronic pain</w:t>
      </w:r>
      <w:r>
        <w:t>’</w:t>
      </w:r>
      <w:r w:rsidRPr="00CC10A1">
        <w:t xml:space="preserve"> and </w:t>
      </w:r>
      <w:r>
        <w:t>‘</w:t>
      </w:r>
      <w:r w:rsidRPr="00CC10A1">
        <w:t>mental anguish, depression, and anxiety about his inability to continue to work and the fact that no reasonable accommodations were ever made.</w:t>
      </w:r>
      <w:r>
        <w:t xml:space="preserve"> </w:t>
      </w:r>
      <w:r w:rsidRPr="00CC10A1">
        <w:rPr>
          <w:i/>
          <w:iCs/>
        </w:rPr>
        <w:t>Id</w:t>
      </w:r>
      <w:r w:rsidRPr="00CC10A1">
        <w:t>. ¶¶ 51-53</w:t>
      </w:r>
      <w:r>
        <w:t>.</w:t>
      </w:r>
    </w:p>
    <w:p w14:paraId="6B8849E7" w14:textId="77777777" w:rsidR="00ED6D00" w:rsidRDefault="00ED6D00" w:rsidP="00ED6D00">
      <w:pPr>
        <w:pStyle w:val="NoSpacing"/>
      </w:pPr>
      <w:r>
        <w:lastRenderedPageBreak/>
        <w:t xml:space="preserve">*** </w:t>
      </w:r>
      <w:r w:rsidRPr="00260C3A">
        <w:t xml:space="preserve">First, plaintiff has failed to plausibly allege that he suffered a </w:t>
      </w:r>
      <w:r>
        <w:t>‘</w:t>
      </w:r>
      <w:r w:rsidRPr="00260C3A">
        <w:t>disability</w:t>
      </w:r>
      <w:r>
        <w:t>’</w:t>
      </w:r>
      <w:r w:rsidRPr="00260C3A">
        <w:t xml:space="preserve"> within the meaning of the Act, dooming his disparate-treatment and reasonable-accommodation claims</w:t>
      </w:r>
      <w:r>
        <w:t xml:space="preserve">…. </w:t>
      </w:r>
      <w:r w:rsidRPr="00DA6E7F">
        <w:t xml:space="preserve">On the merits, defendants argue that plaintiff has failed to state a plausible ADA claim because he has failed to allege that: (a) he is </w:t>
      </w:r>
      <w:r>
        <w:t>‘</w:t>
      </w:r>
      <w:r w:rsidRPr="00DA6E7F">
        <w:t>disabled</w:t>
      </w:r>
      <w:r>
        <w:t>’</w:t>
      </w:r>
      <w:r w:rsidRPr="00DA6E7F">
        <w:t xml:space="preserve"> within the meaning of the statute; (b) he is </w:t>
      </w:r>
      <w:r>
        <w:t>‘</w:t>
      </w:r>
      <w:r w:rsidRPr="00DA6E7F">
        <w:t>qualified to perform the essential functions of the job</w:t>
      </w:r>
      <w:r>
        <w:t>’</w:t>
      </w:r>
      <w:r w:rsidRPr="00DA6E7F">
        <w:t xml:space="preserve">; or that (c) he suffered a qualifying </w:t>
      </w:r>
      <w:r>
        <w:t>‘</w:t>
      </w:r>
      <w:r w:rsidRPr="00DA6E7F">
        <w:t>adverse employment action.</w:t>
      </w:r>
      <w:r>
        <w:t xml:space="preserve">’” </w:t>
      </w:r>
    </w:p>
    <w:p w14:paraId="668820A5" w14:textId="77777777" w:rsidR="00ED6D00" w:rsidRDefault="00ED6D00" w:rsidP="00ED6D00">
      <w:pPr>
        <w:pStyle w:val="NoSpacing"/>
      </w:pPr>
    </w:p>
    <w:p w14:paraId="0F59525B" w14:textId="77777777" w:rsidR="00ED6D00" w:rsidRPr="005564F2" w:rsidRDefault="00ED6D00" w:rsidP="00ED6D00">
      <w:pPr>
        <w:pStyle w:val="NoSpacing"/>
        <w:rPr>
          <w:b/>
          <w:bCs/>
        </w:rPr>
      </w:pPr>
      <w:r w:rsidRPr="005564F2">
        <w:rPr>
          <w:b/>
        </w:rPr>
        <w:t xml:space="preserve">Legal lesson learned: Plaintiff is not a “qualified individual” under the ADA if unable to perform the essential functions of the job.  </w:t>
      </w:r>
    </w:p>
    <w:p w14:paraId="70B91C8F" w14:textId="77777777" w:rsidR="00ED6D00" w:rsidRDefault="00ED6D00" w:rsidP="00ED6D00">
      <w:pPr>
        <w:pStyle w:val="NoSpacing"/>
      </w:pPr>
    </w:p>
    <w:p w14:paraId="0889A04D" w14:textId="77777777" w:rsidR="00ED6D00" w:rsidRPr="00300D14" w:rsidRDefault="00ED6D00" w:rsidP="00ED6D00">
      <w:pPr>
        <w:pStyle w:val="NoSpacing"/>
        <w:ind w:left="720"/>
        <w:rPr>
          <w:bCs/>
        </w:rPr>
      </w:pPr>
      <w:r w:rsidRPr="00300D14">
        <w:t>Note:  EEOC - The ADA: Questions and Answers</w:t>
      </w:r>
      <w:r>
        <w:t xml:space="preserve">. </w:t>
      </w:r>
      <w:hyperlink r:id="rId1642" w:history="1">
        <w:r w:rsidRPr="00255C30">
          <w:rPr>
            <w:rStyle w:val="Hyperlink"/>
          </w:rPr>
          <w:t>https://www.eeoc.gov/laws/guidance/ada-questions-and-answers</w:t>
        </w:r>
      </w:hyperlink>
      <w:r>
        <w:t xml:space="preserve"> </w:t>
      </w:r>
    </w:p>
    <w:p w14:paraId="22D75150" w14:textId="77777777" w:rsidR="00ED6D00" w:rsidRDefault="00ED6D00" w:rsidP="00ED6D00">
      <w:pPr>
        <w:pStyle w:val="NoSpacing"/>
        <w:ind w:firstLine="720"/>
        <w:rPr>
          <w:b/>
        </w:rPr>
      </w:pPr>
    </w:p>
    <w:p w14:paraId="39572B67" w14:textId="77777777" w:rsidR="00ED6D00" w:rsidRPr="00030E56" w:rsidRDefault="00ED6D00" w:rsidP="00ED6D00">
      <w:pPr>
        <w:pStyle w:val="NoSpacing"/>
        <w:ind w:firstLine="720"/>
      </w:pPr>
      <w:r>
        <w:rPr>
          <w:b/>
        </w:rPr>
        <w:t>“</w:t>
      </w:r>
      <w:r w:rsidRPr="00030E56">
        <w:rPr>
          <w:b/>
        </w:rPr>
        <w:t>Who is a "qualified individual with a disability?"</w:t>
      </w:r>
    </w:p>
    <w:p w14:paraId="6028D0E1" w14:textId="77777777" w:rsidR="00ED6D00" w:rsidRPr="00030E56" w:rsidRDefault="00ED6D00" w:rsidP="00ED6D00">
      <w:pPr>
        <w:pStyle w:val="NoSpacing"/>
        <w:ind w:left="720"/>
      </w:pPr>
      <w:r w:rsidRPr="00030E56">
        <w:t xml:space="preserve">A. A qualified individual with a disability is a person who meets legitimate skill, experience, education, or other requirements of an employment position that he or she holds or seeks, and who can perform the "essential functions" of the position with or without reasonable accommodation. Requiring the ability to perform "essential" functions </w:t>
      </w:r>
      <w:proofErr w:type="gramStart"/>
      <w:r w:rsidRPr="00030E56">
        <w:t>assures</w:t>
      </w:r>
      <w:proofErr w:type="gramEnd"/>
      <w:r w:rsidRPr="00030E56">
        <w:t xml:space="preserve"> that an individual will not be considered unqualified simply because of inability to perform marginal or incidental job functions. If the individual is qualified to perform essential job functions except for limitations caused by a disability, the employer must consider whether the individual could perform these functions with </w:t>
      </w:r>
      <w:proofErr w:type="gramStart"/>
      <w:r w:rsidRPr="00030E56">
        <w:t>a reasonable</w:t>
      </w:r>
      <w:proofErr w:type="gramEnd"/>
      <w:r w:rsidRPr="00030E56">
        <w:t xml:space="preserve"> accommodation. If a written job description has been prepared in advance of advertising or interviewing applicants for a job, this will be considered as evidence, although not necessarily conclusive evidence, of the essential functions of the </w:t>
      </w:r>
      <w:proofErr w:type="gramStart"/>
      <w:r w:rsidRPr="00030E56">
        <w:t>job.</w:t>
      </w:r>
      <w:r>
        <w:t>”</w:t>
      </w:r>
      <w:proofErr w:type="gramEnd"/>
    </w:p>
    <w:p w14:paraId="10745909" w14:textId="77777777" w:rsidR="00ED6D00" w:rsidRDefault="00ED6D00" w:rsidP="005C30A4">
      <w:pPr>
        <w:pStyle w:val="NoSpacing"/>
        <w:rPr>
          <w:rFonts w:ascii="Arial Black" w:hAnsi="Arial Black"/>
          <w:sz w:val="24"/>
          <w:szCs w:val="24"/>
        </w:rPr>
      </w:pPr>
    </w:p>
    <w:p w14:paraId="03E85787" w14:textId="2FC63746" w:rsidR="00BA6D04" w:rsidRDefault="00BA6D04" w:rsidP="00BA6D04">
      <w:pPr>
        <w:pStyle w:val="NoSpacing"/>
        <w:rPr>
          <w:rFonts w:ascii="Arial Black" w:hAnsi="Arial Black"/>
          <w:sz w:val="24"/>
          <w:szCs w:val="24"/>
        </w:rPr>
      </w:pPr>
      <w:r>
        <w:rPr>
          <w:rFonts w:ascii="Arial Black" w:hAnsi="Arial Black"/>
          <w:sz w:val="24"/>
          <w:szCs w:val="24"/>
        </w:rPr>
        <w:t>9-59</w:t>
      </w:r>
    </w:p>
    <w:p w14:paraId="1CC4DFDE" w14:textId="77777777" w:rsidR="003F5F35" w:rsidRDefault="003F5F35" w:rsidP="009C7451">
      <w:pPr>
        <w:pStyle w:val="NoSpacing"/>
        <w:rPr>
          <w:rFonts w:ascii="Arial Black" w:hAnsi="Arial Black"/>
          <w:sz w:val="24"/>
          <w:szCs w:val="24"/>
        </w:rPr>
      </w:pPr>
    </w:p>
    <w:p w14:paraId="43B8E9E8" w14:textId="77777777" w:rsidR="00BA6D04" w:rsidRDefault="00BA6D04" w:rsidP="00BA6D04">
      <w:pPr>
        <w:pStyle w:val="NoSpacing"/>
        <w:rPr>
          <w:rFonts w:ascii="Arial Black" w:hAnsi="Arial Black"/>
          <w:sz w:val="28"/>
          <w:szCs w:val="28"/>
        </w:rPr>
      </w:pPr>
      <w:r>
        <w:rPr>
          <w:rFonts w:ascii="Arial Black" w:hAnsi="Arial Black"/>
          <w:sz w:val="28"/>
          <w:szCs w:val="28"/>
        </w:rPr>
        <w:t xml:space="preserve">OH: FF 15-YRS HEARING AIDS – NFPA 1582 REQ. - FIRED </w:t>
      </w:r>
    </w:p>
    <w:p w14:paraId="27F23509" w14:textId="77777777" w:rsidR="00BA6D04" w:rsidRDefault="00BA6D04" w:rsidP="00BA6D04">
      <w:pPr>
        <w:pStyle w:val="NoSpacing"/>
        <w:rPr>
          <w:rFonts w:ascii="Arial Black" w:hAnsi="Arial Black"/>
          <w:sz w:val="28"/>
          <w:szCs w:val="28"/>
        </w:rPr>
      </w:pPr>
    </w:p>
    <w:p w14:paraId="11E96640" w14:textId="77777777" w:rsidR="00BA6D04" w:rsidRDefault="00BA6D04" w:rsidP="00BA6D04">
      <w:pPr>
        <w:pStyle w:val="NoSpacing"/>
        <w:rPr>
          <w:b/>
        </w:rPr>
      </w:pPr>
      <w:r>
        <w:t xml:space="preserve">On February 23, 2026, in </w:t>
      </w:r>
      <w:r w:rsidRPr="005E030B">
        <w:rPr>
          <w:u w:val="single"/>
        </w:rPr>
        <w:t>Jeffrey Kibler v. Genoa Township, Ohio</w:t>
      </w:r>
      <w:r>
        <w:t xml:space="preserve">, U.S. District Court Judge </w:t>
      </w:r>
      <w:r w:rsidRPr="00E51D1A">
        <w:t>Sarah D. Morrison</w:t>
      </w:r>
      <w:r>
        <w:t xml:space="preserve">, United States District Court for the Southern District of Ohio, granted the Township’s motion for summary judgment. The firefighter, who worked for the Township from </w:t>
      </w:r>
      <w:r w:rsidRPr="006D6749">
        <w:t>2001</w:t>
      </w:r>
      <w:r>
        <w:t xml:space="preserve"> until his terminated April 21, 2022, wore a hearing aid in right ear since 2002, and left ear since 2006, with Fire Chiefs knowledge. During his August 19, </w:t>
      </w:r>
      <w:proofErr w:type="gramStart"/>
      <w:r>
        <w:t>2021</w:t>
      </w:r>
      <w:proofErr w:type="gramEnd"/>
      <w:r>
        <w:t xml:space="preserve"> annual physical, Dr. William </w:t>
      </w:r>
      <w:proofErr w:type="spellStart"/>
      <w:r>
        <w:t>Cann</w:t>
      </w:r>
      <w:proofErr w:type="spellEnd"/>
      <w:r>
        <w:t xml:space="preserve"> reviewed the firefighter’s hearing loss records and advised the Fire Chief that his hearing fell below the NFPA 1582 </w:t>
      </w:r>
      <w:r w:rsidRPr="00707150">
        <w:rPr>
          <w:i/>
          <w:iCs/>
        </w:rPr>
        <w:t>unaided</w:t>
      </w:r>
      <w:r>
        <w:t xml:space="preserve"> threshold, back to at least 2011, and his hearing has worsened over time. The firefighter suggested several possible ADA accommodations, including carrying a second set of hearing aids, or working as just an engineer, but they were not accepted. The Court referenced the testimony of Dr. Stanely C. Haimes, who served on the NFPA 1582 technical committee: “hearing aids are not designed for operation in structural firefighting environmental conditions of elevated heat, water deluge, and humidity and therefore being subject to unpredictable failure under those conditions.” </w:t>
      </w:r>
      <w:hyperlink r:id="rId1643" w:history="1">
        <w:r w:rsidRPr="0031614A">
          <w:rPr>
            <w:rStyle w:val="Hyperlink"/>
            <w:b/>
          </w:rPr>
          <w:t>https://cases.justia.com/federal/district-courts/ohio/ohsdce/2:2023cv02466/282351/63/0.pdf?ts=1771088328</w:t>
        </w:r>
      </w:hyperlink>
      <w:r>
        <w:rPr>
          <w:b/>
        </w:rPr>
        <w:t xml:space="preserve"> </w:t>
      </w:r>
    </w:p>
    <w:p w14:paraId="42045FC5" w14:textId="77777777" w:rsidR="00BA6D04" w:rsidRDefault="00BA6D04" w:rsidP="00BA6D04">
      <w:pPr>
        <w:pStyle w:val="NoSpacing"/>
      </w:pPr>
    </w:p>
    <w:p w14:paraId="3CDADD16" w14:textId="77777777" w:rsidR="00BA6D04" w:rsidRDefault="00BA6D04" w:rsidP="00BA6D04">
      <w:pPr>
        <w:pStyle w:val="NoSpacing"/>
      </w:pPr>
      <w:r>
        <w:t>THE COURT HELD:</w:t>
      </w:r>
    </w:p>
    <w:p w14:paraId="33606AA3" w14:textId="77777777" w:rsidR="00BA6D04" w:rsidRDefault="00BA6D04" w:rsidP="00BA6D04">
      <w:pPr>
        <w:pStyle w:val="NoSpacing"/>
      </w:pPr>
    </w:p>
    <w:p w14:paraId="14E7BA4C" w14:textId="77777777" w:rsidR="00BA6D04" w:rsidRDefault="00BA6D04" w:rsidP="00BA6D04">
      <w:pPr>
        <w:pStyle w:val="NoSpacing"/>
        <w:ind w:left="720"/>
      </w:pPr>
      <w:r>
        <w:t>“</w:t>
      </w:r>
      <w:r w:rsidRPr="00257A2D">
        <w:t>Mr. Kibler argues that</w:t>
      </w:r>
      <w:r>
        <w:t xml:space="preserve"> these accommodations are nevertheless reasonable because he used hearing aids in both ears while working as a Firefighter/EMT for 15 years without issue, even though he did not meet the NFPA threshold for </w:t>
      </w:r>
      <w:proofErr w:type="gramStart"/>
      <w:r>
        <w:t>the majority of</w:t>
      </w:r>
      <w:proofErr w:type="gramEnd"/>
      <w:r>
        <w:t xml:space="preserve"> that time [since at least 2011]. But, </w:t>
      </w:r>
      <w:proofErr w:type="gramStart"/>
      <w:r>
        <w:t>in light of</w:t>
      </w:r>
      <w:proofErr w:type="gramEnd"/>
      <w:r>
        <w:t xml:space="preserve"> the evidence that Mr. Kibler’s hearing has worsened over time, Mr. Kibler’s prior performance is not dispositive of his continued ability to meet the essential qualifications of the Firefighter/EMT role.</w:t>
      </w:r>
    </w:p>
    <w:p w14:paraId="18E2A93D" w14:textId="77777777" w:rsidR="00BA6D04" w:rsidRDefault="00BA6D04" w:rsidP="00BA6D04">
      <w:pPr>
        <w:pStyle w:val="NoSpacing"/>
        <w:ind w:left="720"/>
      </w:pPr>
    </w:p>
    <w:p w14:paraId="4A834268" w14:textId="77777777" w:rsidR="00BA6D04" w:rsidRDefault="00BA6D04" w:rsidP="00BA6D04">
      <w:pPr>
        <w:pStyle w:val="NoSpacing"/>
        <w:ind w:left="720"/>
      </w:pPr>
      <w:r>
        <w:t>***</w:t>
      </w:r>
    </w:p>
    <w:p w14:paraId="289760EE" w14:textId="77777777" w:rsidR="00BA6D04" w:rsidRDefault="00BA6D04" w:rsidP="00BA6D04">
      <w:pPr>
        <w:pStyle w:val="NoSpacing"/>
        <w:ind w:left="720"/>
      </w:pPr>
      <w:r>
        <w:t xml:space="preserve">Mr. Kibler argues that there are three accommodations that are reasonable and would allow him to perform the essential job functions: that Genoa (1) allow him to work with his hearing aids; (2) require Mr. Kibler carry a second pair of hearing aids as a backup; or (3) allow him to only work as an engineer and not perform other </w:t>
      </w:r>
      <w:r>
        <w:lastRenderedPageBreak/>
        <w:t xml:space="preserve">firefighting duties at scenes. With respect to the first two proposed accommodations, neither addresses that the NFPA threshold is a threshold for </w:t>
      </w:r>
      <w:r w:rsidRPr="00741231">
        <w:rPr>
          <w:i/>
          <w:iCs/>
        </w:rPr>
        <w:t>unaided</w:t>
      </w:r>
      <w:r>
        <w:t xml:space="preserve"> hearing.</w:t>
      </w:r>
    </w:p>
    <w:p w14:paraId="526E596F" w14:textId="77777777" w:rsidR="00BA6D04" w:rsidRDefault="00BA6D04" w:rsidP="00BA6D04">
      <w:pPr>
        <w:pStyle w:val="NoSpacing"/>
        <w:ind w:left="720"/>
      </w:pPr>
    </w:p>
    <w:p w14:paraId="6E69E265" w14:textId="77777777" w:rsidR="00BA6D04" w:rsidRDefault="00BA6D04" w:rsidP="00BA6D04">
      <w:pPr>
        <w:pStyle w:val="NoSpacing"/>
        <w:ind w:left="720"/>
      </w:pPr>
      <w:r>
        <w:t>***</w:t>
      </w:r>
    </w:p>
    <w:p w14:paraId="6F1F2C2F" w14:textId="77777777" w:rsidR="00BA6D04" w:rsidRDefault="00BA6D04" w:rsidP="00BA6D04">
      <w:pPr>
        <w:pStyle w:val="NoSpacing"/>
        <w:ind w:left="720"/>
      </w:pPr>
    </w:p>
    <w:p w14:paraId="19EEEBB5" w14:textId="77777777" w:rsidR="00BA6D04" w:rsidRDefault="00BA6D04" w:rsidP="00BA6D04">
      <w:pPr>
        <w:pStyle w:val="NoSpacing"/>
        <w:ind w:left="720"/>
      </w:pPr>
      <w:r>
        <w:t xml:space="preserve">Further, Genoa has offered evidence that the risk of Mr. Kibler’s hearing aids failing in an IDLH environment is not merely speculative. Dr. Stanely C. Haimes (a physician who works on the technical committee that established the NFPA threshold) testified that the NFPA 1582 Standard does not permit firefighters to use a hearing aid to meet the minimum hearing threshold because hearing aids are not ‘designed for operation in structural firefighting environmental conditions of elevated heat, water deluge, and humidity and therefore being subject to unpredictable failure under those conditions.’ (Haimes Rep., PAGEID # 2076.) Dr. Haimes says that carrying a spare hearing aid would not alleviate these safety concerns because ‘it would be extremely dangerous - if not life threatening - to have the firefighter remove his personal protective equipment” to replace his hearing aids while on a call. </w:t>
      </w:r>
    </w:p>
    <w:p w14:paraId="7DD53021" w14:textId="77777777" w:rsidR="00BA6D04" w:rsidRDefault="00BA6D04" w:rsidP="00BA6D04">
      <w:pPr>
        <w:pStyle w:val="NoSpacing"/>
        <w:ind w:left="720"/>
      </w:pPr>
    </w:p>
    <w:p w14:paraId="76A456B9" w14:textId="77777777" w:rsidR="00BA6D04" w:rsidRDefault="00BA6D04" w:rsidP="00BA6D04">
      <w:pPr>
        <w:pStyle w:val="NoSpacing"/>
        <w:ind w:left="720"/>
      </w:pPr>
      <w:r>
        <w:t>***</w:t>
      </w:r>
    </w:p>
    <w:p w14:paraId="199FF769" w14:textId="77777777" w:rsidR="00BA6D04" w:rsidRDefault="00BA6D04" w:rsidP="00BA6D04">
      <w:pPr>
        <w:pStyle w:val="NoSpacing"/>
        <w:ind w:left="720"/>
      </w:pPr>
      <w:r>
        <w:t xml:space="preserve">Mr. Kibler’s proposals to continue wearing hearing aids and/or carry a backup pair were thus unreasonable </w:t>
      </w:r>
      <w:proofErr w:type="gramStart"/>
      <w:r>
        <w:t>in light of</w:t>
      </w:r>
      <w:proofErr w:type="gramEnd"/>
      <w:r>
        <w:t xml:space="preserve"> a firefighter’s reliance on his hearing in low visibility situations and the testimony that hearing aids can unpredictably fail in an IDLH environment. Mr. Kibler effectively argues that Genoa should ignore its own policy and application of a national standard, recommendations from a medical professional, and the danger posed by the potential and ‘unpredictable’ failure of hearing aids in an IDLH environment, in favor of hoping that nothing goes wrong in the future. The law does not require Genoa to assume this risk.”</w:t>
      </w:r>
    </w:p>
    <w:p w14:paraId="28E348E5" w14:textId="77777777" w:rsidR="00BA6D04" w:rsidRDefault="00BA6D04" w:rsidP="00BA6D04">
      <w:pPr>
        <w:pStyle w:val="NoSpacing"/>
        <w:ind w:left="720"/>
      </w:pPr>
    </w:p>
    <w:p w14:paraId="32703330" w14:textId="77777777" w:rsidR="00BA6D04" w:rsidRDefault="00BA6D04" w:rsidP="00BA6D04">
      <w:pPr>
        <w:pStyle w:val="NoSpacing"/>
        <w:rPr>
          <w:b/>
          <w:bCs/>
        </w:rPr>
      </w:pPr>
      <w:r>
        <w:rPr>
          <w:b/>
        </w:rPr>
        <w:t>Legal lesson learned: The case has been appealed to the U.S. Court of Appeals for the 6</w:t>
      </w:r>
      <w:r w:rsidRPr="002E6678">
        <w:rPr>
          <w:b/>
          <w:vertAlign w:val="superscript"/>
        </w:rPr>
        <w:t>th</w:t>
      </w:r>
      <w:r>
        <w:rPr>
          <w:b/>
        </w:rPr>
        <w:t xml:space="preserve"> Circuit (Cincinnati); that decision may provide more guidance on obligations of a fire department to accommodate a firefighter that has long worn hearing aids without incident.</w:t>
      </w:r>
    </w:p>
    <w:p w14:paraId="1568828B" w14:textId="77777777" w:rsidR="00BA6D04" w:rsidRDefault="00BA6D04" w:rsidP="00BA6D04">
      <w:pPr>
        <w:pStyle w:val="NoSpacing"/>
        <w:rPr>
          <w:b/>
          <w:bCs/>
        </w:rPr>
      </w:pPr>
    </w:p>
    <w:p w14:paraId="6564DA9F" w14:textId="77777777" w:rsidR="00BA6D04" w:rsidRDefault="00BA6D04" w:rsidP="00BA6D04">
      <w:pPr>
        <w:pStyle w:val="NoSpacing"/>
        <w:ind w:left="720"/>
      </w:pPr>
      <w:r w:rsidRPr="000E4D36">
        <w:t>Note: See IAFC Guidance on NFPA 1582</w:t>
      </w:r>
      <w:r>
        <w:t xml:space="preserve"> (</w:t>
      </w:r>
      <w:r w:rsidRPr="000E6FDF">
        <w:t>6.5 Ears and Hearing – Candidates/New Hire</w:t>
      </w:r>
      <w:r>
        <w:t>)</w:t>
      </w:r>
      <w:r w:rsidRPr="000E4D36">
        <w:t xml:space="preserve">: </w:t>
      </w:r>
      <w:hyperlink r:id="rId1644" w:history="1">
        <w:r w:rsidRPr="0031614A">
          <w:rPr>
            <w:rStyle w:val="Hyperlink"/>
          </w:rPr>
          <w:t>https://www.iafc.org/docs/default-source/1safehealthshs/vws_rrkit_nfpa-1582.pdf?sfvrsn=ca9b9f0d_4</w:t>
        </w:r>
      </w:hyperlink>
    </w:p>
    <w:p w14:paraId="6923F494" w14:textId="77777777" w:rsidR="00BA6D04" w:rsidRDefault="00BA6D04" w:rsidP="00BA6D04">
      <w:pPr>
        <w:pStyle w:val="NoSpacing"/>
        <w:ind w:left="720"/>
      </w:pPr>
    </w:p>
    <w:p w14:paraId="236AC468" w14:textId="77777777" w:rsidR="00BA6D04" w:rsidRDefault="00BA6D04" w:rsidP="00BA6D04">
      <w:pPr>
        <w:pStyle w:val="NoSpacing"/>
        <w:ind w:left="720"/>
        <w:rPr>
          <w:bCs/>
        </w:rPr>
      </w:pPr>
      <w:r w:rsidRPr="00DE04B3">
        <w:t>August 16, 2023: Understanding NFPA 1582 Medication Disqualifications: A Comprehensive Guide</w:t>
      </w:r>
      <w:r>
        <w:t xml:space="preserve">.  </w:t>
      </w:r>
      <w:hyperlink r:id="rId1645" w:history="1">
        <w:r w:rsidRPr="00F54646">
          <w:rPr>
            <w:rStyle w:val="Hyperlink"/>
          </w:rPr>
          <w:t>https://acuityinternational.com/blog/nfpa-1582-medication-disqualifications/</w:t>
        </w:r>
      </w:hyperlink>
      <w:r>
        <w:t xml:space="preserve"> </w:t>
      </w:r>
    </w:p>
    <w:p w14:paraId="51FDA02C" w14:textId="77777777" w:rsidR="00BA6D04" w:rsidRDefault="00BA6D04" w:rsidP="00BA6D04">
      <w:pPr>
        <w:pStyle w:val="NoSpacing"/>
        <w:ind w:left="720"/>
        <w:rPr>
          <w:bCs/>
        </w:rPr>
      </w:pPr>
    </w:p>
    <w:p w14:paraId="09F6A263" w14:textId="77777777" w:rsidR="00BA6D04" w:rsidRPr="00C50BF9" w:rsidRDefault="00BA6D04" w:rsidP="00BA6D04">
      <w:pPr>
        <w:pStyle w:val="NoSpacing"/>
        <w:ind w:left="720"/>
        <w:rPr>
          <w:bCs/>
        </w:rPr>
      </w:pPr>
      <w:r>
        <w:t xml:space="preserve">June 2024: </w:t>
      </w:r>
      <w:r w:rsidRPr="00C50BF9">
        <w:t>Knowledge and Attitudes Towards Usage of Hearing Protection in</w:t>
      </w:r>
    </w:p>
    <w:p w14:paraId="55C060BE" w14:textId="77777777" w:rsidR="00BA6D04" w:rsidRDefault="00BA6D04" w:rsidP="00BA6D04">
      <w:pPr>
        <w:pStyle w:val="NoSpacing"/>
        <w:ind w:left="720"/>
        <w:rPr>
          <w:bCs/>
        </w:rPr>
      </w:pPr>
      <w:r w:rsidRPr="00C50BF9">
        <w:t>Volunteer Firefighter</w:t>
      </w:r>
      <w:r>
        <w:t xml:space="preserve">s. </w:t>
      </w:r>
      <w:hyperlink r:id="rId1646" w:history="1">
        <w:r w:rsidRPr="00F54646">
          <w:rPr>
            <w:rStyle w:val="Hyperlink"/>
          </w:rPr>
          <w:t>https://academicworks.cuny.edu/cgi/viewcontent.cgi?article=6894&amp;context=gc_etds</w:t>
        </w:r>
      </w:hyperlink>
      <w:r>
        <w:t xml:space="preserve"> </w:t>
      </w:r>
    </w:p>
    <w:p w14:paraId="504C3C61" w14:textId="77777777" w:rsidR="00BA6D04" w:rsidRPr="00131E8D" w:rsidRDefault="00BA6D04" w:rsidP="00BA6D04">
      <w:pPr>
        <w:pStyle w:val="NoSpacing"/>
        <w:ind w:firstLine="720"/>
        <w:rPr>
          <w:bCs/>
        </w:rPr>
      </w:pPr>
      <w:r>
        <w:t>“</w:t>
      </w:r>
      <w:r w:rsidRPr="00131E8D">
        <w:t>Despite most firefighters acknowledging exposure to noise during firefighting activities,</w:t>
      </w:r>
    </w:p>
    <w:p w14:paraId="17B52989" w14:textId="77777777" w:rsidR="00BA6D04" w:rsidRPr="00DE04B3" w:rsidRDefault="00BA6D04" w:rsidP="00BA6D04">
      <w:pPr>
        <w:pStyle w:val="NoSpacing"/>
        <w:ind w:left="720"/>
        <w:rPr>
          <w:bCs/>
        </w:rPr>
      </w:pPr>
      <w:r w:rsidRPr="00131E8D">
        <w:t>only one individual reported wearing hearing protection while firefighting, with an additional</w:t>
      </w:r>
      <w:r>
        <w:t xml:space="preserve"> </w:t>
      </w:r>
      <w:r w:rsidRPr="00131E8D">
        <w:t>five occasionally doing so, leaving 64 firefighters who do not utilize hearing protection.</w:t>
      </w:r>
      <w:r>
        <w:t>”</w:t>
      </w:r>
    </w:p>
    <w:p w14:paraId="1C072D83" w14:textId="77777777" w:rsidR="00BA6D04" w:rsidRDefault="00BA6D04" w:rsidP="00BA6D04">
      <w:pPr>
        <w:pStyle w:val="NoSpacing"/>
        <w:ind w:left="720"/>
      </w:pPr>
    </w:p>
    <w:p w14:paraId="5A69ABAB" w14:textId="77777777" w:rsidR="00BA6D04" w:rsidRDefault="00BA6D04" w:rsidP="00BA6D04">
      <w:pPr>
        <w:pStyle w:val="NoSpacing"/>
        <w:ind w:left="720"/>
      </w:pPr>
    </w:p>
    <w:p w14:paraId="154575EB" w14:textId="77777777" w:rsidR="003F5F35" w:rsidRDefault="003F5F35" w:rsidP="009C7451">
      <w:pPr>
        <w:pStyle w:val="NoSpacing"/>
        <w:rPr>
          <w:rFonts w:ascii="Arial Black" w:hAnsi="Arial Black"/>
          <w:sz w:val="24"/>
          <w:szCs w:val="24"/>
        </w:rPr>
      </w:pPr>
    </w:p>
    <w:p w14:paraId="40AE3BA4" w14:textId="77777777" w:rsidR="00BA6D04" w:rsidRDefault="00BA6D04" w:rsidP="009C7451">
      <w:pPr>
        <w:pStyle w:val="NoSpacing"/>
        <w:rPr>
          <w:rFonts w:ascii="Arial Black" w:hAnsi="Arial Black"/>
          <w:sz w:val="24"/>
          <w:szCs w:val="24"/>
        </w:rPr>
      </w:pPr>
    </w:p>
    <w:p w14:paraId="76165CD7" w14:textId="77777777" w:rsidR="00BA6D04" w:rsidRDefault="00BA6D04" w:rsidP="009C7451">
      <w:pPr>
        <w:pStyle w:val="NoSpacing"/>
        <w:rPr>
          <w:rFonts w:ascii="Arial Black" w:hAnsi="Arial Black"/>
          <w:sz w:val="24"/>
          <w:szCs w:val="24"/>
        </w:rPr>
      </w:pPr>
    </w:p>
    <w:p w14:paraId="0DEE80D9" w14:textId="77777777" w:rsidR="00BA6D04" w:rsidRDefault="00BA6D04" w:rsidP="009C7451">
      <w:pPr>
        <w:pStyle w:val="NoSpacing"/>
        <w:rPr>
          <w:rFonts w:ascii="Arial Black" w:hAnsi="Arial Black"/>
          <w:sz w:val="24"/>
          <w:szCs w:val="24"/>
        </w:rPr>
      </w:pPr>
    </w:p>
    <w:p w14:paraId="3492EC24" w14:textId="77777777" w:rsidR="00BA6D04" w:rsidRDefault="00BA6D04" w:rsidP="009C7451">
      <w:pPr>
        <w:pStyle w:val="NoSpacing"/>
        <w:rPr>
          <w:rFonts w:ascii="Arial Black" w:hAnsi="Arial Black"/>
          <w:sz w:val="24"/>
          <w:szCs w:val="24"/>
        </w:rPr>
      </w:pPr>
    </w:p>
    <w:p w14:paraId="78400AB0" w14:textId="77777777" w:rsidR="00BA6D04" w:rsidRDefault="00BA6D04" w:rsidP="009C7451">
      <w:pPr>
        <w:pStyle w:val="NoSpacing"/>
        <w:rPr>
          <w:rFonts w:ascii="Arial Black" w:hAnsi="Arial Black"/>
          <w:sz w:val="24"/>
          <w:szCs w:val="24"/>
        </w:rPr>
      </w:pPr>
    </w:p>
    <w:p w14:paraId="7835D1A7" w14:textId="77777777" w:rsidR="00BA6D04" w:rsidRDefault="00BA6D04" w:rsidP="009C7451">
      <w:pPr>
        <w:pStyle w:val="NoSpacing"/>
        <w:rPr>
          <w:rFonts w:ascii="Arial Black" w:hAnsi="Arial Black"/>
          <w:sz w:val="24"/>
          <w:szCs w:val="24"/>
        </w:rPr>
      </w:pPr>
    </w:p>
    <w:p w14:paraId="76B16E88" w14:textId="4BE7019D" w:rsidR="00730526" w:rsidRDefault="00730526" w:rsidP="009C7451">
      <w:pPr>
        <w:pStyle w:val="NoSpacing"/>
        <w:rPr>
          <w:rFonts w:ascii="Arial Black" w:hAnsi="Arial Black"/>
          <w:sz w:val="24"/>
          <w:szCs w:val="24"/>
        </w:rPr>
      </w:pPr>
      <w:r>
        <w:rPr>
          <w:rFonts w:ascii="Arial Black" w:hAnsi="Arial Black"/>
          <w:sz w:val="24"/>
          <w:szCs w:val="24"/>
        </w:rPr>
        <w:t>9-58</w:t>
      </w:r>
    </w:p>
    <w:p w14:paraId="3AF2129D" w14:textId="47175C21" w:rsidR="00C5485C" w:rsidRPr="00FC582A" w:rsidRDefault="00C5485C" w:rsidP="00C5485C">
      <w:pPr>
        <w:pStyle w:val="NoSpacing"/>
        <w:rPr>
          <w:rFonts w:ascii="Arial Black" w:hAnsi="Arial Black"/>
          <w:sz w:val="28"/>
          <w:szCs w:val="28"/>
        </w:rPr>
      </w:pPr>
      <w:r>
        <w:rPr>
          <w:rFonts w:ascii="Arial Black" w:hAnsi="Arial Black"/>
          <w:sz w:val="28"/>
          <w:szCs w:val="28"/>
        </w:rPr>
        <w:t xml:space="preserve">SC: </w:t>
      </w:r>
      <w:r w:rsidR="000C584B">
        <w:rPr>
          <w:rFonts w:ascii="Arial Black" w:hAnsi="Arial Black"/>
          <w:sz w:val="28"/>
          <w:szCs w:val="28"/>
        </w:rPr>
        <w:t xml:space="preserve">NO ADA VIOL - </w:t>
      </w:r>
      <w:r>
        <w:rPr>
          <w:rFonts w:ascii="Arial Black" w:hAnsi="Arial Black"/>
          <w:sz w:val="28"/>
          <w:szCs w:val="28"/>
        </w:rPr>
        <w:t>MEDIC PTSD – DIDN’T INTERVIEW BILLING JOB</w:t>
      </w:r>
    </w:p>
    <w:p w14:paraId="73C0D238" w14:textId="77777777" w:rsidR="00C5485C" w:rsidRDefault="00C5485C" w:rsidP="00C5485C">
      <w:pPr>
        <w:pStyle w:val="NoSpacing"/>
        <w:ind w:left="720"/>
      </w:pPr>
    </w:p>
    <w:p w14:paraId="474DAF98" w14:textId="77777777" w:rsidR="00C5485C" w:rsidRDefault="00C5485C" w:rsidP="00C5485C">
      <w:pPr>
        <w:pStyle w:val="NoSpacing"/>
      </w:pPr>
      <w:r>
        <w:lastRenderedPageBreak/>
        <w:t xml:space="preserve">On December 18, 2025, in </w:t>
      </w:r>
      <w:r w:rsidRPr="00AF68E6">
        <w:rPr>
          <w:u w:val="single"/>
        </w:rPr>
        <w:t>William D. Shugart v. Chester County</w:t>
      </w:r>
      <w:r>
        <w:t xml:space="preserve">, Senior U.S. District Court Judge Cameron McGowan Currie, </w:t>
      </w:r>
      <w:r w:rsidRPr="00AF68E6">
        <w:t>United States District Court, D. South Carolina, Rock Hill Division</w:t>
      </w:r>
      <w:r>
        <w:t xml:space="preserve">, granted defense motion for summary judgment; no proof of ADA discrimination or retaliation for taking FMLA leave.  Plaintiff was a Senior Medic with Chest County EMS, and on September 8, </w:t>
      </w:r>
      <w:proofErr w:type="gramStart"/>
      <w:r>
        <w:t>2021</w:t>
      </w:r>
      <w:proofErr w:type="gramEnd"/>
      <w:r>
        <w:t xml:space="preserve"> there was incident where a gun shot came from a house.  He sought treatment for PTSD and history of depression and went on 12-weeks of FMLA leave.  On January 1, </w:t>
      </w:r>
      <w:proofErr w:type="gramStart"/>
      <w:r>
        <w:t>2023</w:t>
      </w:r>
      <w:proofErr w:type="gramEnd"/>
      <w:r>
        <w:t xml:space="preserve"> he was terminated when he was medically cleared to return to work as a paramedic but did not return. His supervisor encouraged him to apply for billing position that opened with a recent retirement, but he cancelled the January 30 (1 pm) in-person interview the day </w:t>
      </w:r>
      <w:proofErr w:type="gramStart"/>
      <w:r>
        <w:t>prior, and</w:t>
      </w:r>
      <w:proofErr w:type="gramEnd"/>
      <w:r>
        <w:t xml:space="preserve"> did not respond to offer of ZOOM interview.  </w:t>
      </w:r>
      <w:hyperlink r:id="rId1647" w:history="1">
        <w:r w:rsidRPr="007B3445">
          <w:rPr>
            <w:rStyle w:val="Hyperlink"/>
          </w:rPr>
          <w:t>https://cases.justia.com/federal/district-courts/south-carolina/scdce/0:2024cv00826/288831/46/0.pdf</w:t>
        </w:r>
      </w:hyperlink>
      <w:r>
        <w:t xml:space="preserve"> </w:t>
      </w:r>
    </w:p>
    <w:p w14:paraId="0A5640CD" w14:textId="77777777" w:rsidR="00C5485C" w:rsidRDefault="00C5485C" w:rsidP="00C5485C">
      <w:pPr>
        <w:pStyle w:val="NoSpacing"/>
        <w:rPr>
          <w:bCs/>
        </w:rPr>
      </w:pPr>
    </w:p>
    <w:p w14:paraId="2A009F23" w14:textId="77777777" w:rsidR="00C5485C" w:rsidRDefault="00C5485C" w:rsidP="00C5485C">
      <w:pPr>
        <w:pStyle w:val="NoSpacing"/>
        <w:rPr>
          <w:bCs/>
        </w:rPr>
      </w:pPr>
      <w:r>
        <w:t xml:space="preserve">THE COURT HELD: </w:t>
      </w:r>
    </w:p>
    <w:p w14:paraId="74E5D110" w14:textId="77777777" w:rsidR="00C5485C" w:rsidRDefault="00C5485C" w:rsidP="00C5485C">
      <w:pPr>
        <w:pStyle w:val="NoSpacing"/>
        <w:rPr>
          <w:bCs/>
        </w:rPr>
      </w:pPr>
    </w:p>
    <w:p w14:paraId="2F923A5D" w14:textId="77777777" w:rsidR="00C5485C" w:rsidRDefault="00C5485C" w:rsidP="00C5485C">
      <w:pPr>
        <w:pStyle w:val="NoSpacing"/>
        <w:ind w:firstLine="720"/>
      </w:pPr>
      <w:r>
        <w:t>“Plaintiff was employed by Chester County in its Emergency Medical Services (‘EMS’)</w:t>
      </w:r>
    </w:p>
    <w:p w14:paraId="17D5DCD3" w14:textId="77777777" w:rsidR="00C5485C" w:rsidRDefault="00C5485C" w:rsidP="00C5485C">
      <w:pPr>
        <w:pStyle w:val="NoSpacing"/>
        <w:ind w:left="720"/>
      </w:pPr>
      <w:r>
        <w:t xml:space="preserve">department from May 2016 until January 2023….He was promoted to Senior Paramedic on December 4, 2021…. An essential function of the Senior Paramedic was operation of an ambulance. </w:t>
      </w:r>
    </w:p>
    <w:p w14:paraId="028558BB" w14:textId="77777777" w:rsidR="00C5485C" w:rsidRDefault="00C5485C" w:rsidP="00C5485C">
      <w:pPr>
        <w:pStyle w:val="NoSpacing"/>
        <w:ind w:left="720"/>
      </w:pPr>
    </w:p>
    <w:p w14:paraId="50A9BBC0" w14:textId="77777777" w:rsidR="00C5485C" w:rsidRDefault="00C5485C" w:rsidP="00C5485C">
      <w:pPr>
        <w:pStyle w:val="NoSpacing"/>
        <w:ind w:left="720"/>
      </w:pPr>
      <w:r>
        <w:t>***</w:t>
      </w:r>
    </w:p>
    <w:p w14:paraId="1A9488F9" w14:textId="77777777" w:rsidR="00C5485C" w:rsidRDefault="00C5485C" w:rsidP="00C5485C">
      <w:pPr>
        <w:pStyle w:val="NoSpacing"/>
      </w:pPr>
    </w:p>
    <w:p w14:paraId="4F57893B" w14:textId="77777777" w:rsidR="00C5485C" w:rsidRDefault="00C5485C" w:rsidP="00C5485C">
      <w:pPr>
        <w:pStyle w:val="NoSpacing"/>
        <w:ind w:firstLine="720"/>
      </w:pPr>
      <w:r>
        <w:t xml:space="preserve">Plaintiff was </w:t>
      </w:r>
      <w:proofErr w:type="gramStart"/>
      <w:r>
        <w:t>provided</w:t>
      </w:r>
      <w:proofErr w:type="gramEnd"/>
      <w:r>
        <w:t xml:space="preserve"> the opportunity to apply and interview for the billing specialist</w:t>
      </w:r>
    </w:p>
    <w:p w14:paraId="6C386EED" w14:textId="77777777" w:rsidR="00C5485C" w:rsidRDefault="00C5485C" w:rsidP="00C5485C">
      <w:pPr>
        <w:pStyle w:val="NoSpacing"/>
        <w:ind w:left="720"/>
      </w:pPr>
      <w:r>
        <w:t>position when it was posted, but cancelled the interview the day before, and did not respond to inquiries about another option for the interview. The job was filled by a person with finance or accounting experience. For the reasons above, the court finds summary judgment is appropriate for Defendant on Plaintiff’s claims of ADA discrimination and retaliation.</w:t>
      </w:r>
    </w:p>
    <w:p w14:paraId="4C0479C6" w14:textId="77777777" w:rsidR="00C5485C" w:rsidRDefault="00C5485C" w:rsidP="00C5485C">
      <w:pPr>
        <w:pStyle w:val="NoSpacing"/>
        <w:ind w:left="720"/>
      </w:pPr>
    </w:p>
    <w:p w14:paraId="62C08E8C" w14:textId="77777777" w:rsidR="00C5485C" w:rsidRDefault="00C5485C" w:rsidP="00C5485C">
      <w:pPr>
        <w:pStyle w:val="NoSpacing"/>
        <w:ind w:left="720"/>
      </w:pPr>
      <w:r>
        <w:t>***</w:t>
      </w:r>
    </w:p>
    <w:p w14:paraId="10298719" w14:textId="77777777" w:rsidR="00C5485C" w:rsidRDefault="00C5485C" w:rsidP="00C5485C">
      <w:pPr>
        <w:pStyle w:val="NoSpacing"/>
      </w:pPr>
    </w:p>
    <w:p w14:paraId="243095B0" w14:textId="77777777" w:rsidR="00C5485C" w:rsidRDefault="00C5485C" w:rsidP="00C5485C">
      <w:pPr>
        <w:pStyle w:val="NoSpacing"/>
        <w:ind w:firstLine="720"/>
      </w:pPr>
      <w:r>
        <w:t>To make out an FMLA interference claim, an employee must demonstrate he was entitled</w:t>
      </w:r>
    </w:p>
    <w:p w14:paraId="76EB3EFA" w14:textId="77777777" w:rsidR="00C5485C" w:rsidRDefault="00C5485C" w:rsidP="00C5485C">
      <w:pPr>
        <w:pStyle w:val="NoSpacing"/>
        <w:ind w:left="720"/>
      </w:pPr>
      <w:r>
        <w:t xml:space="preserve">to an FMLA benefit, his employer interfered with the provision of that benefit, and the interference caused him harm. Adkins v. CSX Transp., Inc., 70 F.4th 785, 796 (4th Cir. 2023). The court agrees with the Magistrate Judge Defendant has produced evidence Plaintiff was provided his twelve-week statutorily mandated FMLA leave, his position was protected during that time, and there is no evidence his use of FMLA leave was a factor in his termination. Plaintiff has failed to refute this evidence. In fact, the record shows Defendant went out of its way to assist Plaintiff in obtaining the appropriate paperwork when Plaintiff indicated he was ready to come back to work, even though he indicated he would not be going back on an </w:t>
      </w:r>
      <w:proofErr w:type="gramStart"/>
      <w:r>
        <w:t>ambulance.”</w:t>
      </w:r>
      <w:proofErr w:type="gramEnd"/>
    </w:p>
    <w:p w14:paraId="39DBE5F2" w14:textId="77777777" w:rsidR="00C5485C" w:rsidRDefault="00C5485C" w:rsidP="00C5485C">
      <w:pPr>
        <w:pStyle w:val="NoSpacing"/>
        <w:ind w:left="720"/>
      </w:pPr>
    </w:p>
    <w:p w14:paraId="441148C2" w14:textId="77777777" w:rsidR="00C5485C" w:rsidRPr="00E35214" w:rsidRDefault="00C5485C" w:rsidP="00C5485C">
      <w:pPr>
        <w:pStyle w:val="NoSpacing"/>
        <w:rPr>
          <w:b/>
          <w:bCs/>
        </w:rPr>
      </w:pPr>
      <w:r>
        <w:rPr>
          <w:b/>
        </w:rPr>
        <w:t xml:space="preserve">Legal lesson learned:  Plaintiff’s supervisors went out of their way to assist the paramedic. </w:t>
      </w:r>
    </w:p>
    <w:p w14:paraId="66211E21" w14:textId="77777777" w:rsidR="00C5485C" w:rsidRDefault="00C5485C" w:rsidP="00C5485C">
      <w:pPr>
        <w:pStyle w:val="NoSpacing"/>
      </w:pPr>
    </w:p>
    <w:p w14:paraId="1F8DC829" w14:textId="77777777" w:rsidR="00C5485C" w:rsidRDefault="00C5485C" w:rsidP="00C5485C">
      <w:pPr>
        <w:pStyle w:val="NoSpacing"/>
      </w:pPr>
    </w:p>
    <w:p w14:paraId="764BEFA8" w14:textId="77777777" w:rsidR="00730526" w:rsidRDefault="00730526" w:rsidP="009C7451">
      <w:pPr>
        <w:pStyle w:val="NoSpacing"/>
        <w:rPr>
          <w:rFonts w:ascii="Arial Black" w:hAnsi="Arial Black"/>
          <w:sz w:val="24"/>
          <w:szCs w:val="24"/>
        </w:rPr>
      </w:pPr>
    </w:p>
    <w:p w14:paraId="29F986F9" w14:textId="77777777" w:rsidR="00730526" w:rsidRDefault="00730526" w:rsidP="009C7451">
      <w:pPr>
        <w:pStyle w:val="NoSpacing"/>
        <w:rPr>
          <w:rFonts w:ascii="Arial Black" w:hAnsi="Arial Black"/>
          <w:sz w:val="24"/>
          <w:szCs w:val="24"/>
        </w:rPr>
      </w:pPr>
    </w:p>
    <w:p w14:paraId="2DB0BECD" w14:textId="0FEA48DA" w:rsidR="00C60483" w:rsidRDefault="00C60483" w:rsidP="009C7451">
      <w:pPr>
        <w:pStyle w:val="NoSpacing"/>
        <w:rPr>
          <w:rFonts w:ascii="Arial Black" w:hAnsi="Arial Black"/>
          <w:sz w:val="24"/>
          <w:szCs w:val="24"/>
        </w:rPr>
      </w:pPr>
      <w:r>
        <w:rPr>
          <w:rFonts w:ascii="Arial Black" w:hAnsi="Arial Black"/>
          <w:sz w:val="24"/>
          <w:szCs w:val="24"/>
        </w:rPr>
        <w:t>9-57</w:t>
      </w:r>
    </w:p>
    <w:p w14:paraId="2C197F7D" w14:textId="77777777" w:rsidR="00C60483" w:rsidRDefault="00C60483" w:rsidP="009C7451">
      <w:pPr>
        <w:pStyle w:val="NoSpacing"/>
        <w:rPr>
          <w:rFonts w:ascii="Arial Black" w:hAnsi="Arial Black"/>
          <w:sz w:val="24"/>
          <w:szCs w:val="24"/>
        </w:rPr>
      </w:pPr>
    </w:p>
    <w:p w14:paraId="384F0533" w14:textId="77777777" w:rsidR="00C60483" w:rsidRPr="00453214" w:rsidRDefault="00C60483" w:rsidP="00C60483">
      <w:pPr>
        <w:rPr>
          <w:rFonts w:ascii="Arial Black" w:hAnsi="Arial Black"/>
          <w:b/>
          <w:sz w:val="28"/>
          <w:szCs w:val="28"/>
        </w:rPr>
      </w:pPr>
      <w:r>
        <w:rPr>
          <w:rFonts w:ascii="Arial Black" w:hAnsi="Arial Black"/>
          <w:b/>
          <w:sz w:val="28"/>
          <w:szCs w:val="28"/>
        </w:rPr>
        <w:t>NH: PSTD – FF REQ. MEETING WITH CHIEF – CASE PROCEED</w:t>
      </w:r>
    </w:p>
    <w:p w14:paraId="566DD51B" w14:textId="194379C9" w:rsidR="00C60483" w:rsidRPr="00097E9A" w:rsidRDefault="00C60483" w:rsidP="00C60483">
      <w:pPr>
        <w:pStyle w:val="NoSpacing"/>
        <w:rPr>
          <w:bCs/>
        </w:rPr>
      </w:pPr>
      <w:r>
        <w:t xml:space="preserve">On Sept. 10, 2025, in </w:t>
      </w:r>
      <w:r w:rsidRPr="007E7B93">
        <w:rPr>
          <w:u w:val="single"/>
        </w:rPr>
        <w:t>John Powers v. Town of Durham</w:t>
      </w:r>
      <w:r>
        <w:t xml:space="preserve">, U.S. District Court Judge </w:t>
      </w:r>
      <w:r w:rsidRPr="00371F98">
        <w:t>Steven J. McAuliffe</w:t>
      </w:r>
      <w:r>
        <w:t xml:space="preserve">, United States District Court for the District of New Hampshire, denied the city’s motion for summary judgment.  </w:t>
      </w:r>
      <w:r w:rsidRPr="006222A0">
        <w:rPr>
          <w:bCs/>
        </w:rPr>
        <w:t>THE COURT HELD:</w:t>
      </w:r>
      <w:r>
        <w:t xml:space="preserve"> “[A] </w:t>
      </w:r>
      <w:r w:rsidRPr="00453214">
        <w:t>reasonable jury</w:t>
      </w:r>
      <w:r>
        <w:t xml:space="preserve"> </w:t>
      </w:r>
      <w:r w:rsidRPr="00453214">
        <w:t>could find on this record that Powers made requests for</w:t>
      </w:r>
      <w:r>
        <w:t xml:space="preserve"> </w:t>
      </w:r>
      <w:r w:rsidRPr="00453214">
        <w:t>reasonable accommodation</w:t>
      </w:r>
      <w:r>
        <w:t xml:space="preserve"> [one on one meeting]</w:t>
      </w:r>
      <w:r w:rsidRPr="00453214">
        <w:t>, was using a reasonable accommodation</w:t>
      </w:r>
      <w:r>
        <w:t xml:space="preserve"> </w:t>
      </w:r>
      <w:r w:rsidRPr="00453214">
        <w:t>already in place, and complained about discriminatory conduct.</w:t>
      </w:r>
      <w:r>
        <w:t xml:space="preserve"> </w:t>
      </w:r>
      <w:r w:rsidRPr="00453214">
        <w:t>There is no dispute that Durham imposed adverse employment</w:t>
      </w:r>
      <w:r>
        <w:t xml:space="preserve"> </w:t>
      </w:r>
      <w:r w:rsidRPr="00453214">
        <w:t>actions against Powers. The timing of these events and the</w:t>
      </w:r>
      <w:r>
        <w:t xml:space="preserve"> </w:t>
      </w:r>
      <w:r w:rsidRPr="00453214">
        <w:t>evidence of Chief Emanuel’s unusual familiarity with Powers’s</w:t>
      </w:r>
      <w:r>
        <w:t xml:space="preserve"> </w:t>
      </w:r>
      <w:r w:rsidRPr="00453214">
        <w:t>disability and his possible use of Powers’s disability against</w:t>
      </w:r>
      <w:r>
        <w:t xml:space="preserve"> </w:t>
      </w:r>
      <w:r w:rsidRPr="00453214">
        <w:t>him could support findings in his favor on the elements of his</w:t>
      </w:r>
      <w:r>
        <w:t xml:space="preserve"> </w:t>
      </w:r>
      <w:r w:rsidRPr="00453214">
        <w:t xml:space="preserve">ADA retaliation claim. For that reason, summary </w:t>
      </w:r>
      <w:r w:rsidRPr="00453214">
        <w:lastRenderedPageBreak/>
        <w:t>judgment is not</w:t>
      </w:r>
      <w:r>
        <w:t xml:space="preserve"> </w:t>
      </w:r>
      <w:r w:rsidRPr="00453214">
        <w:t>appropriate.</w:t>
      </w:r>
      <w:r>
        <w:t xml:space="preserve">” </w:t>
      </w:r>
      <w:hyperlink r:id="rId1648" w:history="1">
        <w:r w:rsidRPr="00097E9A">
          <w:rPr>
            <w:rStyle w:val="Hyperlink"/>
          </w:rPr>
          <w:t>https://www.govinfo.gov/content/pkg/USCOURTS-nhd-1_23-cv-00327/pdf/USCOURTS-nhd-1_23-cv-00327-0.pdf</w:t>
        </w:r>
      </w:hyperlink>
    </w:p>
    <w:p w14:paraId="4E953FC1" w14:textId="77777777" w:rsidR="00C60483" w:rsidRDefault="00C60483" w:rsidP="00C60483">
      <w:pPr>
        <w:pStyle w:val="NoSpacing"/>
        <w:rPr>
          <w:bCs/>
        </w:rPr>
      </w:pPr>
    </w:p>
    <w:p w14:paraId="4EBBABE0" w14:textId="77777777" w:rsidR="00C60483" w:rsidRPr="00C56294" w:rsidRDefault="00C60483" w:rsidP="00C60483">
      <w:pPr>
        <w:pStyle w:val="NoSpacing"/>
        <w:rPr>
          <w:b/>
        </w:rPr>
      </w:pPr>
      <w:r w:rsidRPr="00C56294">
        <w:rPr>
          <w:b/>
        </w:rPr>
        <w:t>KEY FACTS:</w:t>
      </w:r>
    </w:p>
    <w:p w14:paraId="10BD8546" w14:textId="77777777" w:rsidR="00C60483" w:rsidRDefault="00C60483" w:rsidP="00C60483">
      <w:pPr>
        <w:pStyle w:val="NoSpacing"/>
        <w:rPr>
          <w:bCs/>
        </w:rPr>
      </w:pPr>
    </w:p>
    <w:p w14:paraId="51AE7A30" w14:textId="77777777" w:rsidR="00C60483" w:rsidRDefault="00C60483" w:rsidP="00C60483">
      <w:pPr>
        <w:pStyle w:val="NoSpacing"/>
        <w:ind w:left="720"/>
        <w:rPr>
          <w:bCs/>
        </w:rPr>
      </w:pPr>
      <w:r>
        <w:t>“</w:t>
      </w:r>
      <w:r w:rsidRPr="004300F7">
        <w:t>The summary judgment record in this case presents unusual,</w:t>
      </w:r>
      <w:r>
        <w:t xml:space="preserve"> </w:t>
      </w:r>
      <w:r w:rsidRPr="004300F7">
        <w:t>if not unique, circumstances from which a jury could find that</w:t>
      </w:r>
      <w:r>
        <w:t xml:space="preserve"> </w:t>
      </w:r>
      <w:r w:rsidRPr="004300F7">
        <w:t>Durham, through the Durham Fire Department’s Chief, David</w:t>
      </w:r>
      <w:r>
        <w:t xml:space="preserve"> </w:t>
      </w:r>
      <w:r w:rsidRPr="004300F7">
        <w:t>Emanuel, was fully aware of Powers’s disability due to PTSD and</w:t>
      </w:r>
      <w:r>
        <w:t xml:space="preserve"> </w:t>
      </w:r>
      <w:r w:rsidRPr="004300F7">
        <w:t>its symptoms. Emanuel and Powers worked together in the Durham</w:t>
      </w:r>
      <w:r>
        <w:t xml:space="preserve"> </w:t>
      </w:r>
      <w:r w:rsidRPr="004300F7">
        <w:t>Fire Department from 2011 to 2016. Powers had PTSD when he was</w:t>
      </w:r>
      <w:r>
        <w:t xml:space="preserve"> </w:t>
      </w:r>
      <w:r w:rsidRPr="005530CB">
        <w:t>hired, a condition the fire department was aware of when he was</w:t>
      </w:r>
      <w:r>
        <w:t xml:space="preserve"> </w:t>
      </w:r>
      <w:r w:rsidRPr="005530CB">
        <w:t>hired. Indeed, Durham allowed Powers time for weekly therapy</w:t>
      </w:r>
      <w:r>
        <w:t xml:space="preserve"> </w:t>
      </w:r>
      <w:r w:rsidRPr="005530CB">
        <w:t>sessions during his working hours. Emanuel knew that Powers</w:t>
      </w:r>
      <w:r>
        <w:t xml:space="preserve"> </w:t>
      </w:r>
      <w:r w:rsidRPr="005530CB">
        <w:t>suffered from PTSD and that he attended weekly therapy sessions.</w:t>
      </w:r>
    </w:p>
    <w:p w14:paraId="2D926046" w14:textId="77777777" w:rsidR="00C60483" w:rsidRDefault="00C60483" w:rsidP="00C60483">
      <w:pPr>
        <w:pStyle w:val="NoSpacing"/>
        <w:ind w:left="720"/>
        <w:rPr>
          <w:bCs/>
        </w:rPr>
      </w:pPr>
    </w:p>
    <w:p w14:paraId="6384394A" w14:textId="77777777" w:rsidR="00C60483" w:rsidRDefault="00C60483" w:rsidP="00C60483">
      <w:pPr>
        <w:pStyle w:val="NoSpacing"/>
        <w:ind w:left="720"/>
        <w:rPr>
          <w:bCs/>
        </w:rPr>
      </w:pPr>
      <w:r>
        <w:t>***</w:t>
      </w:r>
    </w:p>
    <w:p w14:paraId="6296C03F" w14:textId="77777777" w:rsidR="00C60483" w:rsidRPr="003D0DC8" w:rsidRDefault="00C60483" w:rsidP="00C60483">
      <w:pPr>
        <w:pStyle w:val="NoSpacing"/>
        <w:ind w:left="720"/>
        <w:rPr>
          <w:bCs/>
        </w:rPr>
      </w:pPr>
      <w:r w:rsidRPr="00F7488F">
        <w:t>Powers left Durham in 2016 to work for the Rochester Fire</w:t>
      </w:r>
      <w:r>
        <w:t xml:space="preserve"> </w:t>
      </w:r>
      <w:r w:rsidRPr="00F7488F">
        <w:t>Department. Powers and Emanuel remained close friends and</w:t>
      </w:r>
      <w:r>
        <w:t xml:space="preserve"> </w:t>
      </w:r>
      <w:r w:rsidRPr="003D0DC8">
        <w:t>continued to communicate after Powers’s move to Rochester. In</w:t>
      </w:r>
      <w:r>
        <w:t xml:space="preserve"> </w:t>
      </w:r>
      <w:r w:rsidRPr="003D0DC8">
        <w:t>2018, Chief Landry left the Durham Fire Department and Emanuel</w:t>
      </w:r>
    </w:p>
    <w:p w14:paraId="4C5A0E19" w14:textId="77777777" w:rsidR="00C60483" w:rsidRPr="003D0DC8" w:rsidRDefault="00C60483" w:rsidP="00C60483">
      <w:pPr>
        <w:pStyle w:val="NoSpacing"/>
        <w:ind w:left="720"/>
        <w:rPr>
          <w:bCs/>
        </w:rPr>
      </w:pPr>
      <w:r w:rsidRPr="003D0DC8">
        <w:t>became chief. Powers then returned to Durham to work under</w:t>
      </w:r>
      <w:r>
        <w:t xml:space="preserve"> </w:t>
      </w:r>
      <w:r w:rsidRPr="003D0DC8">
        <w:t>Chief Emanuel. By the fall of 2019, however, their relationship</w:t>
      </w:r>
      <w:r>
        <w:t xml:space="preserve"> </w:t>
      </w:r>
      <w:r w:rsidRPr="003D0DC8">
        <w:t>began to deteriorate. Emanuel was concerned about Powers’s work</w:t>
      </w:r>
      <w:r>
        <w:t xml:space="preserve"> </w:t>
      </w:r>
      <w:r w:rsidRPr="003D0DC8">
        <w:t>performance, including complaints about his driving while in a</w:t>
      </w:r>
      <w:r>
        <w:t xml:space="preserve"> </w:t>
      </w:r>
      <w:r w:rsidRPr="003D0DC8">
        <w:t>fire department vehicle, the tone of some of his work</w:t>
      </w:r>
      <w:r>
        <w:t xml:space="preserve"> </w:t>
      </w:r>
      <w:r w:rsidRPr="003D0DC8">
        <w:t>communications, and his failure to attend several meetings</w:t>
      </w:r>
      <w:r>
        <w:t xml:space="preserve"> </w:t>
      </w:r>
      <w:r w:rsidRPr="003D0DC8">
        <w:t>without first communicating that he would be unavailable.</w:t>
      </w:r>
    </w:p>
    <w:p w14:paraId="35DBAD6C" w14:textId="77777777" w:rsidR="00C60483" w:rsidRDefault="00C60483" w:rsidP="00C60483">
      <w:pPr>
        <w:pStyle w:val="NoSpacing"/>
        <w:ind w:left="720"/>
        <w:rPr>
          <w:bCs/>
        </w:rPr>
      </w:pPr>
      <w:r w:rsidRPr="003D0DC8">
        <w:t>Powers considered it difficult to communicate with Emanuel,</w:t>
      </w:r>
      <w:r>
        <w:t xml:space="preserve"> </w:t>
      </w:r>
      <w:r w:rsidRPr="003D0DC8">
        <w:t>which he believed was triggering his PTSD symptoms. By early</w:t>
      </w:r>
      <w:r>
        <w:t xml:space="preserve"> </w:t>
      </w:r>
      <w:r w:rsidRPr="003D0DC8">
        <w:t>2020, Powers thought his relationship with Emanuel had become</w:t>
      </w:r>
      <w:r>
        <w:t xml:space="preserve"> </w:t>
      </w:r>
      <w:r w:rsidRPr="003D0DC8">
        <w:t>adversarial.</w:t>
      </w:r>
    </w:p>
    <w:p w14:paraId="4798E7FE" w14:textId="77777777" w:rsidR="00C60483" w:rsidRDefault="00C60483" w:rsidP="00C60483">
      <w:pPr>
        <w:pStyle w:val="NoSpacing"/>
        <w:rPr>
          <w:bCs/>
        </w:rPr>
      </w:pPr>
    </w:p>
    <w:p w14:paraId="5008DA5B" w14:textId="77777777" w:rsidR="00C60483" w:rsidRPr="00886207" w:rsidRDefault="00C60483" w:rsidP="00C60483">
      <w:pPr>
        <w:pStyle w:val="NoSpacing"/>
        <w:ind w:left="720"/>
        <w:rPr>
          <w:bCs/>
        </w:rPr>
      </w:pPr>
      <w:r w:rsidRPr="00886207">
        <w:t>On January 17, 2020, Powers asked to meet with Emanuel one-on-one to discuss their communication issues and Emanuel’s</w:t>
      </w:r>
      <w:r>
        <w:t xml:space="preserve"> </w:t>
      </w:r>
      <w:r w:rsidRPr="00886207">
        <w:t xml:space="preserve">expectations of him. Powers </w:t>
      </w:r>
      <w:proofErr w:type="gramStart"/>
      <w:r w:rsidRPr="00886207">
        <w:t>says</w:t>
      </w:r>
      <w:proofErr w:type="gramEnd"/>
      <w:r w:rsidRPr="00886207">
        <w:t xml:space="preserve"> that meeting never occurred.</w:t>
      </w:r>
      <w:r>
        <w:t xml:space="preserve"> </w:t>
      </w:r>
      <w:r w:rsidRPr="00886207">
        <w:t>In a different meeting among Chief Emanuel, Powers, and a</w:t>
      </w:r>
      <w:r>
        <w:t xml:space="preserve"> </w:t>
      </w:r>
      <w:r w:rsidRPr="00886207">
        <w:t>consultant, who was hired to improve the fire department’s</w:t>
      </w:r>
      <w:r>
        <w:t xml:space="preserve"> </w:t>
      </w:r>
      <w:r w:rsidRPr="00886207">
        <w:t>working culture, Powers attempted to raise those same</w:t>
      </w:r>
      <w:r>
        <w:t xml:space="preserve"> </w:t>
      </w:r>
      <w:r w:rsidRPr="00886207">
        <w:t>communication and expectation issues. The consultant responded</w:t>
      </w:r>
    </w:p>
    <w:p w14:paraId="7EADC227" w14:textId="77777777" w:rsidR="00C60483" w:rsidRDefault="00C60483" w:rsidP="00C60483">
      <w:pPr>
        <w:pStyle w:val="NoSpacing"/>
        <w:ind w:firstLine="720"/>
        <w:rPr>
          <w:bCs/>
        </w:rPr>
      </w:pPr>
      <w:r w:rsidRPr="00886207">
        <w:t>that Powers was causing problems and undermining Emanuel’s</w:t>
      </w:r>
      <w:r>
        <w:t xml:space="preserve"> </w:t>
      </w:r>
      <w:r w:rsidRPr="00886207">
        <w:t>authority as Chief.</w:t>
      </w:r>
    </w:p>
    <w:p w14:paraId="6AFE3DFD" w14:textId="77777777" w:rsidR="00C60483" w:rsidRDefault="00C60483" w:rsidP="00C60483">
      <w:pPr>
        <w:pStyle w:val="NoSpacing"/>
        <w:ind w:firstLine="720"/>
        <w:rPr>
          <w:bCs/>
        </w:rPr>
      </w:pPr>
    </w:p>
    <w:p w14:paraId="369CFB70" w14:textId="77777777" w:rsidR="00C60483" w:rsidRPr="008B1854" w:rsidRDefault="00C60483" w:rsidP="00C60483">
      <w:pPr>
        <w:pStyle w:val="NoSpacing"/>
        <w:ind w:left="720"/>
        <w:rPr>
          <w:bCs/>
        </w:rPr>
      </w:pPr>
      <w:r w:rsidRPr="001D39E3">
        <w:t xml:space="preserve">Emanuel prepared a Performance Improvement </w:t>
      </w:r>
      <w:proofErr w:type="gramStart"/>
      <w:r w:rsidRPr="001D39E3">
        <w:t>Plan (</w:t>
      </w:r>
      <w:r>
        <w:t>‘</w:t>
      </w:r>
      <w:proofErr w:type="gramEnd"/>
      <w:r w:rsidRPr="001D39E3">
        <w:t>PIP</w:t>
      </w:r>
      <w:r>
        <w:t>’</w:t>
      </w:r>
      <w:r w:rsidRPr="001D39E3">
        <w:t>) for</w:t>
      </w:r>
      <w:r>
        <w:t xml:space="preserve"> </w:t>
      </w:r>
      <w:r w:rsidRPr="001D39E3">
        <w:t xml:space="preserve">Powers, which he presented to Powers at a </w:t>
      </w:r>
      <w:r>
        <w:t>‘</w:t>
      </w:r>
      <w:r w:rsidRPr="001D39E3">
        <w:t>Chief’s Meeting</w:t>
      </w:r>
      <w:r>
        <w:t xml:space="preserve">’ </w:t>
      </w:r>
      <w:r w:rsidRPr="001D39E3">
        <w:t>on</w:t>
      </w:r>
      <w:r>
        <w:t xml:space="preserve"> </w:t>
      </w:r>
      <w:r w:rsidRPr="008B1854">
        <w:t xml:space="preserve">February 27, 2020, without </w:t>
      </w:r>
      <w:proofErr w:type="gramStart"/>
      <w:r w:rsidRPr="008B1854">
        <w:t>prior warning</w:t>
      </w:r>
      <w:proofErr w:type="gramEnd"/>
      <w:r w:rsidRPr="008B1854">
        <w:t>. Emanuel explained</w:t>
      </w:r>
      <w:r>
        <w:t xml:space="preserve"> </w:t>
      </w:r>
      <w:r w:rsidRPr="008B1854">
        <w:t>later that he surprised Powers with the PIP because otherwise</w:t>
      </w:r>
    </w:p>
    <w:p w14:paraId="3F66BA26" w14:textId="77777777" w:rsidR="00C60483" w:rsidRPr="008B1854" w:rsidRDefault="00C60483" w:rsidP="00C60483">
      <w:pPr>
        <w:pStyle w:val="NoSpacing"/>
        <w:ind w:left="720"/>
        <w:rPr>
          <w:bCs/>
        </w:rPr>
      </w:pPr>
      <w:r w:rsidRPr="008B1854">
        <w:t>Powers would have avoided that conversation. Powers was</w:t>
      </w:r>
      <w:r>
        <w:t xml:space="preserve"> </w:t>
      </w:r>
      <w:r w:rsidRPr="008B1854">
        <w:t>surprised and uncomfortable when Emanuel began to read the PIP</w:t>
      </w:r>
      <w:r>
        <w:t xml:space="preserve"> </w:t>
      </w:r>
      <w:r w:rsidRPr="008B1854">
        <w:t>to him aloud at the meeting. Powers twice asked Emanuel to stop</w:t>
      </w:r>
      <w:r>
        <w:t xml:space="preserve"> </w:t>
      </w:r>
      <w:r w:rsidRPr="008B1854">
        <w:t>reading and to allow him to take the PIP to read to himself and</w:t>
      </w:r>
    </w:p>
    <w:p w14:paraId="63002210" w14:textId="77777777" w:rsidR="00C60483" w:rsidRDefault="00C60483" w:rsidP="00C60483">
      <w:pPr>
        <w:pStyle w:val="NoSpacing"/>
        <w:ind w:left="720"/>
        <w:rPr>
          <w:bCs/>
        </w:rPr>
      </w:pPr>
      <w:r w:rsidRPr="008B1854">
        <w:t>respond, but Emanuel continued to read the PIP aloud.</w:t>
      </w:r>
      <w:r>
        <w:t xml:space="preserve"> </w:t>
      </w:r>
      <w:r w:rsidRPr="00940191">
        <w:t>When</w:t>
      </w:r>
      <w:r>
        <w:t xml:space="preserve"> </w:t>
      </w:r>
      <w:r w:rsidRPr="00940191">
        <w:t>Emanuel read a section of the PIP that required Powers to be at</w:t>
      </w:r>
      <w:r>
        <w:t xml:space="preserve"> </w:t>
      </w:r>
      <w:r w:rsidRPr="00940191">
        <w:t>the station during all days and all business hours, Powers</w:t>
      </w:r>
      <w:r>
        <w:t xml:space="preserve"> </w:t>
      </w:r>
      <w:r w:rsidRPr="00940191">
        <w:t>became distraught because he understood that requirement revoked</w:t>
      </w:r>
      <w:r>
        <w:t xml:space="preserve"> </w:t>
      </w:r>
      <w:r w:rsidRPr="00940191">
        <w:t>his leave to attend weekly therapy sessions for PTSD during work</w:t>
      </w:r>
      <w:r>
        <w:t xml:space="preserve"> </w:t>
      </w:r>
      <w:r w:rsidRPr="00940191">
        <w:t>hours. Powers was obviously agitated and shaking and excused</w:t>
      </w:r>
      <w:r>
        <w:t xml:space="preserve"> </w:t>
      </w:r>
      <w:r w:rsidRPr="00940191">
        <w:t>himself from the meeting. After the meeting, Emanuel drafted a</w:t>
      </w:r>
      <w:r>
        <w:t xml:space="preserve"> </w:t>
      </w:r>
      <w:r w:rsidRPr="00940191">
        <w:t>memo that questioned Powers’s state of mind after the PIP</w:t>
      </w:r>
      <w:r>
        <w:t xml:space="preserve"> </w:t>
      </w:r>
      <w:r w:rsidRPr="00940191">
        <w:t>meeting. Powers responded to a text from Emanuel that evening,</w:t>
      </w:r>
      <w:r>
        <w:t xml:space="preserve"> </w:t>
      </w:r>
      <w:r w:rsidRPr="00940191">
        <w:t xml:space="preserve">saying that he made it home safely but was not </w:t>
      </w:r>
      <w:r>
        <w:t>‘</w:t>
      </w:r>
      <w:r w:rsidRPr="00940191">
        <w:t>okay</w:t>
      </w:r>
      <w:r>
        <w:t>.’</w:t>
      </w:r>
    </w:p>
    <w:p w14:paraId="1727ACFC" w14:textId="77777777" w:rsidR="00C60483" w:rsidRDefault="00C60483" w:rsidP="00C60483">
      <w:pPr>
        <w:pStyle w:val="NoSpacing"/>
        <w:ind w:left="720"/>
        <w:rPr>
          <w:bCs/>
        </w:rPr>
      </w:pPr>
    </w:p>
    <w:p w14:paraId="68240BF9" w14:textId="77777777" w:rsidR="00C60483" w:rsidRPr="000840FB" w:rsidRDefault="00C60483" w:rsidP="00C60483">
      <w:pPr>
        <w:pStyle w:val="NoSpacing"/>
        <w:ind w:left="720"/>
        <w:rPr>
          <w:bCs/>
        </w:rPr>
      </w:pPr>
      <w:r w:rsidRPr="000840FB">
        <w:t>The next day, Emanuel informed Powers that he was suspended</w:t>
      </w:r>
      <w:r>
        <w:t xml:space="preserve"> </w:t>
      </w:r>
      <w:r w:rsidRPr="000840FB">
        <w:t>from the department because of his reaction to the PIP. Emanuel</w:t>
      </w:r>
      <w:r>
        <w:t xml:space="preserve"> </w:t>
      </w:r>
      <w:r w:rsidRPr="000840FB">
        <w:t xml:space="preserve">ordered Powers to have a fitness for </w:t>
      </w:r>
      <w:proofErr w:type="gramStart"/>
      <w:r w:rsidRPr="000840FB">
        <w:t>duty (</w:t>
      </w:r>
      <w:r>
        <w:t>‘</w:t>
      </w:r>
      <w:proofErr w:type="gramEnd"/>
      <w:r w:rsidRPr="000840FB">
        <w:t>FFD</w:t>
      </w:r>
      <w:r>
        <w:t>’</w:t>
      </w:r>
      <w:r w:rsidRPr="000840FB">
        <w:t>) evaluation.</w:t>
      </w:r>
      <w:r>
        <w:t xml:space="preserve"> </w:t>
      </w:r>
      <w:r w:rsidRPr="000840FB">
        <w:t>The evaluation was scheduled. Powers submitted a grievance to</w:t>
      </w:r>
    </w:p>
    <w:p w14:paraId="49EC33C9" w14:textId="77777777" w:rsidR="00C60483" w:rsidRDefault="00C60483" w:rsidP="00C60483">
      <w:pPr>
        <w:pStyle w:val="NoSpacing"/>
        <w:ind w:left="720"/>
        <w:rPr>
          <w:bCs/>
        </w:rPr>
      </w:pPr>
      <w:r w:rsidRPr="000840FB">
        <w:t>Emanuel challenging the PIP and the ordered evaluation. Emanuel</w:t>
      </w:r>
      <w:r>
        <w:t xml:space="preserve"> </w:t>
      </w:r>
      <w:r w:rsidRPr="000840FB">
        <w:t>thought Powers was out of line by filing the grievance and</w:t>
      </w:r>
      <w:r>
        <w:t xml:space="preserve"> </w:t>
      </w:r>
      <w:r w:rsidRPr="000840FB">
        <w:t xml:space="preserve">notified Powers that there was no </w:t>
      </w:r>
      <w:proofErr w:type="spellStart"/>
      <w:r w:rsidRPr="000840FB">
        <w:t>grievable</w:t>
      </w:r>
      <w:proofErr w:type="spellEnd"/>
      <w:r w:rsidRPr="000840FB">
        <w:t xml:space="preserve"> issue. He required</w:t>
      </w:r>
      <w:r>
        <w:t xml:space="preserve"> </w:t>
      </w:r>
      <w:r w:rsidRPr="000840FB">
        <w:t>Powers to return and finish listening to Emanuel read the PIP.</w:t>
      </w:r>
      <w:r>
        <w:t xml:space="preserve"> </w:t>
      </w:r>
      <w:r w:rsidRPr="009E3FF5">
        <w:t>Powers attended the scheduled FFD evaluation but would not</w:t>
      </w:r>
      <w:r>
        <w:t xml:space="preserve"> </w:t>
      </w:r>
      <w:r w:rsidRPr="009E3FF5">
        <w:t>release the results to Durham while his grievance was pending.</w:t>
      </w:r>
      <w:r>
        <w:t xml:space="preserve"> </w:t>
      </w:r>
      <w:r w:rsidRPr="009E3FF5">
        <w:t>Emanuel, in turn, fired Powers on March 19, 2020, because he did</w:t>
      </w:r>
      <w:r>
        <w:t xml:space="preserve"> </w:t>
      </w:r>
      <w:r w:rsidRPr="009E3FF5">
        <w:t>not submit the results of the FFD evaluation. The town</w:t>
      </w:r>
      <w:r>
        <w:t xml:space="preserve"> </w:t>
      </w:r>
      <w:r w:rsidRPr="009E3FF5">
        <w:t>administrator notified Powers the next day that his grievance</w:t>
      </w:r>
      <w:r>
        <w:t xml:space="preserve"> </w:t>
      </w:r>
      <w:r w:rsidRPr="009E3FF5">
        <w:t>was not valid.</w:t>
      </w:r>
      <w:r>
        <w:t>”</w:t>
      </w:r>
    </w:p>
    <w:p w14:paraId="058B882E" w14:textId="77777777" w:rsidR="00C60483" w:rsidRDefault="00C60483" w:rsidP="00C60483">
      <w:pPr>
        <w:pStyle w:val="NoSpacing"/>
        <w:ind w:left="720"/>
        <w:rPr>
          <w:bCs/>
        </w:rPr>
      </w:pPr>
    </w:p>
    <w:p w14:paraId="54F3FE3D" w14:textId="77777777" w:rsidR="00C60483" w:rsidRPr="00ED073D" w:rsidRDefault="00C60483" w:rsidP="00C60483">
      <w:pPr>
        <w:pStyle w:val="NoSpacing"/>
        <w:rPr>
          <w:b/>
          <w:bCs/>
        </w:rPr>
      </w:pPr>
      <w:r>
        <w:rPr>
          <w:b/>
        </w:rPr>
        <w:lastRenderedPageBreak/>
        <w:t xml:space="preserve">Legal lesson learned:  ADA requires both sides to communicate, seeking mutually acceptable reasonable accommodation. </w:t>
      </w:r>
    </w:p>
    <w:p w14:paraId="5450BC27" w14:textId="77777777" w:rsidR="00C60483" w:rsidRDefault="00C60483" w:rsidP="009C7451">
      <w:pPr>
        <w:pStyle w:val="NoSpacing"/>
        <w:rPr>
          <w:rFonts w:ascii="Arial Black" w:hAnsi="Arial Black"/>
          <w:sz w:val="24"/>
          <w:szCs w:val="24"/>
        </w:rPr>
      </w:pPr>
    </w:p>
    <w:p w14:paraId="0D5C80FE" w14:textId="77777777" w:rsidR="00C60483" w:rsidRDefault="00C60483" w:rsidP="009C7451">
      <w:pPr>
        <w:pStyle w:val="NoSpacing"/>
        <w:rPr>
          <w:rFonts w:ascii="Arial Black" w:hAnsi="Arial Black"/>
          <w:sz w:val="24"/>
          <w:szCs w:val="24"/>
        </w:rPr>
      </w:pPr>
    </w:p>
    <w:p w14:paraId="51F3E579" w14:textId="70948919" w:rsidR="00066EA4" w:rsidRDefault="00010BB9" w:rsidP="009C7451">
      <w:pPr>
        <w:pStyle w:val="NoSpacing"/>
        <w:rPr>
          <w:rFonts w:ascii="Arial Black" w:hAnsi="Arial Black"/>
          <w:sz w:val="24"/>
          <w:szCs w:val="24"/>
        </w:rPr>
      </w:pPr>
      <w:r>
        <w:rPr>
          <w:rFonts w:ascii="Arial Black" w:hAnsi="Arial Black"/>
          <w:sz w:val="24"/>
          <w:szCs w:val="24"/>
        </w:rPr>
        <w:t>9-56</w:t>
      </w:r>
    </w:p>
    <w:p w14:paraId="5E99A02A" w14:textId="77777777" w:rsidR="00010BB9" w:rsidRDefault="00010BB9" w:rsidP="009C7451">
      <w:pPr>
        <w:pStyle w:val="NoSpacing"/>
        <w:rPr>
          <w:rFonts w:ascii="Arial Black" w:hAnsi="Arial Black"/>
          <w:sz w:val="24"/>
          <w:szCs w:val="24"/>
        </w:rPr>
      </w:pPr>
    </w:p>
    <w:p w14:paraId="29A15087" w14:textId="77777777" w:rsidR="00010BB9" w:rsidRPr="00D56FD8" w:rsidRDefault="00010BB9" w:rsidP="00010BB9">
      <w:pPr>
        <w:rPr>
          <w:rFonts w:ascii="Arial Black" w:hAnsi="Arial Black"/>
          <w:b/>
          <w:sz w:val="28"/>
          <w:szCs w:val="28"/>
        </w:rPr>
      </w:pPr>
      <w:r>
        <w:rPr>
          <w:rFonts w:ascii="Arial Black" w:hAnsi="Arial Black"/>
          <w:b/>
          <w:sz w:val="28"/>
          <w:szCs w:val="28"/>
        </w:rPr>
        <w:t xml:space="preserve">CA:  CHIEF MED LEAVE / 4 SURGERIES – FIRED – JURY $4.1M </w:t>
      </w:r>
    </w:p>
    <w:p w14:paraId="2C9B2329" w14:textId="77777777" w:rsidR="00010BB9" w:rsidRPr="00880B66" w:rsidRDefault="00010BB9" w:rsidP="00010BB9">
      <w:pPr>
        <w:pStyle w:val="NoSpacing"/>
        <w:rPr>
          <w:rFonts w:ascii="Times New Roman" w:hAnsi="Times New Roman"/>
          <w:sz w:val="24"/>
          <w:szCs w:val="24"/>
        </w:rPr>
      </w:pPr>
      <w:r w:rsidRPr="00880B66">
        <w:rPr>
          <w:rFonts w:ascii="Times New Roman" w:hAnsi="Times New Roman"/>
          <w:sz w:val="24"/>
          <w:szCs w:val="24"/>
        </w:rPr>
        <w:t xml:space="preserve">On July 9, 2025, in </w:t>
      </w:r>
      <w:r w:rsidRPr="00880B66">
        <w:rPr>
          <w:rFonts w:ascii="Times New Roman" w:hAnsi="Times New Roman"/>
          <w:sz w:val="24"/>
          <w:szCs w:val="24"/>
          <w:u w:val="single"/>
        </w:rPr>
        <w:t>Larry Whithorn v. City of West Covina</w:t>
      </w:r>
      <w:r w:rsidRPr="00880B66">
        <w:rPr>
          <w:rFonts w:ascii="Times New Roman" w:hAnsi="Times New Roman"/>
          <w:sz w:val="24"/>
          <w:szCs w:val="24"/>
        </w:rPr>
        <w:t xml:space="preserve">, the California Court of Appeals, Second District, Eighth Division held (3 to 0; unpublished decision) that jury award of $4,145,595 in damages was appropriate based on evidence of being fired after four surgeries, and after filing internal complaint.  According to press reports, he was on extended medical leaves from December 2016 to April 2017 and June 2017 to September 2017 (four surgeries) and brief leaves in January 2018 and September 2018 to aid an ill relative. During Whithorn’s 2017 medical leave, newly elected City Councilmember Tony Wu expressed concerns to City Manager Freeland multiple times that Whithorn was an “absentee chief.” On March 19, 2019, Whithorn filed a grievance.  Tony Wu described the grievance as “bull shit.”  On April 22, 2019, within 17 days of starting as the new City Manager David Carmany, and after spending only 30 to 45 minutes interacting with Whithorn, Carmany fired Whithorn, without warning, reprimand or prior discipline. Carmany said City was going in a different direction but did not give Whithorn a specific reason for his termination.”  THE COURT HELD: “City again contends that Whithorn was required to prove that City’s stated reasons for termination were pretextual. He was not. Retaliation claims may be brought under a mixed-motives theory. (George v. California Unemployment Ins. Appeals Bd. (2009) 179 Cal.App.4th 1475, 1492.) That was the situation here…. As we have just discussed, the </w:t>
      </w:r>
      <w:proofErr w:type="gramStart"/>
      <w:r w:rsidRPr="00880B66">
        <w:rPr>
          <w:rFonts w:ascii="Times New Roman" w:hAnsi="Times New Roman"/>
          <w:sz w:val="24"/>
          <w:szCs w:val="24"/>
        </w:rPr>
        <w:t>fact</w:t>
      </w:r>
      <w:proofErr w:type="gramEnd"/>
      <w:r w:rsidRPr="00880B66">
        <w:rPr>
          <w:rFonts w:ascii="Times New Roman" w:hAnsi="Times New Roman"/>
          <w:sz w:val="24"/>
          <w:szCs w:val="24"/>
        </w:rPr>
        <w:t xml:space="preserve"> an employer has mixed reasons for terminating an employee, some permissible and some discriminatory, does not defeat a discrimination claim. In such situations, the employee need only show that ‘discrimination was a substantial motivating factor.’ City again contends there is no evidence to support that Councilmember Wu held retaliatory animus toward Whithorn, or that Wu influenced City Manager Carmany’s decision to terminate Whithorn based on the grievance. As set forth in more detail above, Councilmember Wu was  very clearly angry at Whithorn when Whithorn’s grievance was presented to the city council. Wu described the grievance as ‘bullshit’ and claimed he was being ‘bullied’ by staff members. Wu, along with other city council members, did not want to pay for an investigation. When Human Resources Director Pinon pressed for an investigation and provided contact information for an investigator, his contract was terminated four and one-half months early, supposedly for financial reasons, but he was given a three months’ severance.”  </w:t>
      </w:r>
      <w:hyperlink r:id="rId1649" w:history="1">
        <w:r w:rsidRPr="00880B66">
          <w:rPr>
            <w:rStyle w:val="Hyperlink"/>
            <w:rFonts w:ascii="Times New Roman" w:hAnsi="Times New Roman"/>
            <w:sz w:val="24"/>
            <w:szCs w:val="24"/>
          </w:rPr>
          <w:t>https://www4.courts.ca.gov/opinions/nonpub/B332558.PDF</w:t>
        </w:r>
      </w:hyperlink>
      <w:r w:rsidRPr="00880B66">
        <w:rPr>
          <w:rFonts w:ascii="Times New Roman" w:hAnsi="Times New Roman"/>
          <w:sz w:val="24"/>
          <w:szCs w:val="24"/>
        </w:rPr>
        <w:t xml:space="preserve"> </w:t>
      </w:r>
    </w:p>
    <w:p w14:paraId="56A0A6BF" w14:textId="77777777" w:rsidR="00010BB9" w:rsidRPr="00880B66" w:rsidRDefault="00010BB9" w:rsidP="00010BB9">
      <w:pPr>
        <w:pStyle w:val="NoSpacing"/>
        <w:rPr>
          <w:rFonts w:ascii="Times New Roman" w:hAnsi="Times New Roman"/>
          <w:sz w:val="24"/>
          <w:szCs w:val="24"/>
        </w:rPr>
      </w:pPr>
    </w:p>
    <w:p w14:paraId="65A069F1" w14:textId="77777777" w:rsidR="00880B66" w:rsidRPr="00880B66" w:rsidRDefault="00880B66" w:rsidP="00880B66">
      <w:pPr>
        <w:pStyle w:val="NoSpacing"/>
        <w:rPr>
          <w:rFonts w:ascii="Times New Roman" w:hAnsi="Times New Roman"/>
          <w:b/>
          <w:sz w:val="24"/>
          <w:szCs w:val="24"/>
        </w:rPr>
      </w:pPr>
      <w:r w:rsidRPr="00880B66">
        <w:rPr>
          <w:rFonts w:ascii="Times New Roman" w:hAnsi="Times New Roman"/>
          <w:b/>
          <w:sz w:val="24"/>
          <w:szCs w:val="24"/>
        </w:rPr>
        <w:t>Legal lesson learned:  The former Fire Chief proved to the jury that discrimination was a substantial motivating factor in his termination.</w:t>
      </w:r>
    </w:p>
    <w:p w14:paraId="560D25FB" w14:textId="77777777" w:rsidR="00880B66" w:rsidRPr="00880B66" w:rsidRDefault="00880B66" w:rsidP="00880B66">
      <w:pPr>
        <w:pStyle w:val="NoSpacing"/>
        <w:rPr>
          <w:rFonts w:ascii="Times New Roman" w:hAnsi="Times New Roman"/>
          <w:sz w:val="24"/>
          <w:szCs w:val="24"/>
        </w:rPr>
      </w:pPr>
    </w:p>
    <w:p w14:paraId="5176E972" w14:textId="77777777" w:rsidR="00880B66" w:rsidRPr="00880B66" w:rsidRDefault="00880B66" w:rsidP="00880B66">
      <w:pPr>
        <w:pStyle w:val="NoSpacing"/>
        <w:ind w:left="720"/>
        <w:rPr>
          <w:rFonts w:ascii="Times New Roman" w:hAnsi="Times New Roman"/>
          <w:b/>
          <w:sz w:val="24"/>
          <w:szCs w:val="24"/>
        </w:rPr>
      </w:pPr>
      <w:r w:rsidRPr="00880B66">
        <w:rPr>
          <w:rFonts w:ascii="Times New Roman" w:hAnsi="Times New Roman"/>
          <w:sz w:val="24"/>
          <w:szCs w:val="24"/>
        </w:rPr>
        <w:t xml:space="preserve">Note: See May 9, </w:t>
      </w:r>
      <w:proofErr w:type="gramStart"/>
      <w:r w:rsidRPr="00880B66">
        <w:rPr>
          <w:rFonts w:ascii="Times New Roman" w:hAnsi="Times New Roman"/>
          <w:sz w:val="24"/>
          <w:szCs w:val="24"/>
        </w:rPr>
        <w:t>2023</w:t>
      </w:r>
      <w:proofErr w:type="gramEnd"/>
      <w:r w:rsidRPr="00880B66">
        <w:rPr>
          <w:rFonts w:ascii="Times New Roman" w:hAnsi="Times New Roman"/>
          <w:sz w:val="24"/>
          <w:szCs w:val="24"/>
        </w:rPr>
        <w:t xml:space="preserve"> article, “Former West Covina fire chief wins $4.1 million in wrongful termination suit.” </w:t>
      </w:r>
      <w:hyperlink r:id="rId1650" w:history="1">
        <w:r w:rsidRPr="00880B66">
          <w:rPr>
            <w:rStyle w:val="Hyperlink"/>
            <w:rFonts w:ascii="Times New Roman" w:hAnsi="Times New Roman"/>
            <w:sz w:val="24"/>
            <w:szCs w:val="24"/>
          </w:rPr>
          <w:t>https://sac.media/2023/05/09/former-west-covina-fire-chief-awarded-4-1-million-in-wrongful-termination-suit/</w:t>
        </w:r>
      </w:hyperlink>
      <w:r w:rsidRPr="00880B66">
        <w:rPr>
          <w:rFonts w:ascii="Times New Roman" w:hAnsi="Times New Roman"/>
          <w:b/>
          <w:sz w:val="24"/>
          <w:szCs w:val="24"/>
        </w:rPr>
        <w:t xml:space="preserve"> </w:t>
      </w:r>
    </w:p>
    <w:p w14:paraId="59E69D65" w14:textId="77777777" w:rsidR="00880B66" w:rsidRPr="00880B66" w:rsidRDefault="00880B66" w:rsidP="00880B66">
      <w:pPr>
        <w:pStyle w:val="NoSpacing"/>
        <w:ind w:left="720"/>
        <w:rPr>
          <w:rFonts w:ascii="Times New Roman" w:hAnsi="Times New Roman"/>
          <w:sz w:val="24"/>
          <w:szCs w:val="24"/>
        </w:rPr>
      </w:pPr>
      <w:r w:rsidRPr="00880B66">
        <w:rPr>
          <w:rFonts w:ascii="Times New Roman" w:hAnsi="Times New Roman"/>
          <w:sz w:val="24"/>
          <w:szCs w:val="24"/>
        </w:rPr>
        <w:t>According to the lawsuit, Whithorn was harassed following multiple extended medical leaves from December 2016 to April 2017 and June 2017 to September 2017 and brief leaves in January 2018 and September 2018 to aid an ill relative.</w:t>
      </w:r>
    </w:p>
    <w:p w14:paraId="7F310381" w14:textId="77777777" w:rsidR="00880B66" w:rsidRPr="00880B66" w:rsidRDefault="00880B66" w:rsidP="00880B66">
      <w:pPr>
        <w:pStyle w:val="NoSpacing"/>
        <w:ind w:left="720"/>
        <w:rPr>
          <w:rFonts w:ascii="Times New Roman" w:hAnsi="Times New Roman"/>
          <w:sz w:val="24"/>
          <w:szCs w:val="24"/>
        </w:rPr>
      </w:pPr>
    </w:p>
    <w:p w14:paraId="5E637229" w14:textId="77777777" w:rsidR="00010BB9" w:rsidRPr="00880B66" w:rsidRDefault="00010BB9" w:rsidP="009C7451">
      <w:pPr>
        <w:pStyle w:val="NoSpacing"/>
        <w:rPr>
          <w:rFonts w:ascii="Times New Roman" w:hAnsi="Times New Roman"/>
          <w:sz w:val="24"/>
          <w:szCs w:val="24"/>
        </w:rPr>
      </w:pPr>
    </w:p>
    <w:p w14:paraId="5AA267B5" w14:textId="77777777" w:rsidR="00010BB9" w:rsidRPr="00880B66" w:rsidRDefault="00010BB9" w:rsidP="009C7451">
      <w:pPr>
        <w:pStyle w:val="NoSpacing"/>
        <w:rPr>
          <w:rFonts w:ascii="Times New Roman" w:hAnsi="Times New Roman"/>
          <w:sz w:val="24"/>
          <w:szCs w:val="24"/>
        </w:rPr>
      </w:pPr>
    </w:p>
    <w:p w14:paraId="4F5276B8" w14:textId="77777777" w:rsidR="00010BB9" w:rsidRDefault="00010BB9" w:rsidP="009C7451">
      <w:pPr>
        <w:pStyle w:val="NoSpacing"/>
        <w:rPr>
          <w:rFonts w:ascii="Arial Black" w:hAnsi="Arial Black"/>
          <w:sz w:val="24"/>
          <w:szCs w:val="24"/>
        </w:rPr>
      </w:pPr>
    </w:p>
    <w:p w14:paraId="51416B29" w14:textId="77777777" w:rsidR="00066EA4" w:rsidRDefault="00066EA4" w:rsidP="009C7451">
      <w:pPr>
        <w:pStyle w:val="NoSpacing"/>
        <w:rPr>
          <w:rFonts w:ascii="Arial Black" w:hAnsi="Arial Black"/>
          <w:sz w:val="24"/>
          <w:szCs w:val="24"/>
        </w:rPr>
      </w:pPr>
    </w:p>
    <w:p w14:paraId="0F3AF936" w14:textId="14B72635" w:rsidR="009C7451" w:rsidRDefault="009C7451" w:rsidP="009C7451">
      <w:pPr>
        <w:pStyle w:val="NoSpacing"/>
        <w:rPr>
          <w:rFonts w:ascii="Arial Black" w:hAnsi="Arial Black"/>
          <w:sz w:val="24"/>
          <w:szCs w:val="24"/>
        </w:rPr>
      </w:pPr>
      <w:r>
        <w:rPr>
          <w:rFonts w:ascii="Arial Black" w:hAnsi="Arial Black"/>
          <w:sz w:val="24"/>
          <w:szCs w:val="24"/>
        </w:rPr>
        <w:t>9-54</w:t>
      </w:r>
    </w:p>
    <w:p w14:paraId="48B264CC" w14:textId="77777777" w:rsidR="00066EA4" w:rsidRDefault="00066EA4" w:rsidP="008E25B6">
      <w:pPr>
        <w:rPr>
          <w:rFonts w:ascii="Arial Black" w:hAnsi="Arial Black"/>
          <w:b/>
          <w:sz w:val="28"/>
          <w:szCs w:val="28"/>
        </w:rPr>
      </w:pPr>
    </w:p>
    <w:p w14:paraId="34B19C75" w14:textId="30DA7B21" w:rsidR="008E25B6" w:rsidRPr="00363302" w:rsidRDefault="008E25B6" w:rsidP="008E25B6">
      <w:pPr>
        <w:rPr>
          <w:rFonts w:ascii="Arial Black" w:hAnsi="Arial Black"/>
          <w:b/>
          <w:sz w:val="28"/>
          <w:szCs w:val="28"/>
        </w:rPr>
      </w:pPr>
      <w:r>
        <w:rPr>
          <w:rFonts w:ascii="Arial Black" w:hAnsi="Arial Black"/>
          <w:b/>
          <w:sz w:val="28"/>
          <w:szCs w:val="28"/>
        </w:rPr>
        <w:t xml:space="preserve">FL: FF PERM. INJURIES – OFF DUTY MVA – NO LIGHT DUTY </w:t>
      </w:r>
    </w:p>
    <w:p w14:paraId="1CCC129E" w14:textId="77777777" w:rsidR="008E25B6" w:rsidRPr="00C07F42" w:rsidRDefault="008E25B6" w:rsidP="008E25B6">
      <w:pPr>
        <w:pStyle w:val="NoSpacing"/>
        <w:rPr>
          <w:rFonts w:ascii="Times New Roman" w:hAnsi="Times New Roman"/>
          <w:sz w:val="24"/>
          <w:szCs w:val="24"/>
        </w:rPr>
      </w:pPr>
      <w:r w:rsidRPr="00C07F42">
        <w:rPr>
          <w:rFonts w:ascii="Times New Roman" w:hAnsi="Times New Roman"/>
          <w:sz w:val="24"/>
          <w:szCs w:val="24"/>
        </w:rPr>
        <w:t xml:space="preserve">On June 23, 2025, in </w:t>
      </w:r>
      <w:r w:rsidRPr="00C07F42">
        <w:rPr>
          <w:rFonts w:ascii="Times New Roman" w:hAnsi="Times New Roman"/>
          <w:sz w:val="24"/>
          <w:szCs w:val="24"/>
          <w:u w:val="single"/>
        </w:rPr>
        <w:t>Jonathan Marshall v. Secretary of the Navy</w:t>
      </w:r>
      <w:r w:rsidRPr="00C07F42">
        <w:rPr>
          <w:rFonts w:ascii="Times New Roman" w:hAnsi="Times New Roman"/>
          <w:sz w:val="24"/>
          <w:szCs w:val="24"/>
        </w:rPr>
        <w:t xml:space="preserve">, the United State Court of Appeals, Eleventh Circuit (Atlanta) held (3 to 0; unpublished decision) that trial court properly granted summary judgment to the Navy. Because of a serious off duty automobile accident in May 2021, he suffered permanent brain and back injuries, and after a period of paid and unpaid leave was terminated in April 2022.  He claimed “gender discrimination” when the Navy allowed a female Captain, who suffered an on-duty accident, to do light duty clerical work for several months before she was able to return to “full duties” as a firefighter / EMT.  THE COURT HELD: “None of Marshall’s proffered evidence creates a triable issue of fact that the Navy discriminated against him based on his gender. Marshall’s supervisor’s isolated comments expressing disapproval of men receiving parental leave is divorced from the Navy’s decision to deny his light-duty request after he suffered traumatic injuries. That Marshall’s schedule was readjusted following the birth of his child—the very reason for which the schedule change was adopted in the first place—also does not show impermissible discrimination.” </w:t>
      </w:r>
    </w:p>
    <w:p w14:paraId="5BF2F045" w14:textId="77777777" w:rsidR="008E25B6" w:rsidRPr="00C07F42" w:rsidRDefault="008E25B6" w:rsidP="008E25B6">
      <w:pPr>
        <w:pStyle w:val="NoSpacing"/>
        <w:rPr>
          <w:rFonts w:ascii="Times New Roman" w:hAnsi="Times New Roman"/>
          <w:sz w:val="24"/>
          <w:szCs w:val="24"/>
        </w:rPr>
      </w:pPr>
      <w:hyperlink r:id="rId1651" w:history="1">
        <w:r w:rsidRPr="00C07F42">
          <w:rPr>
            <w:rStyle w:val="Hyperlink"/>
            <w:rFonts w:ascii="Times New Roman" w:hAnsi="Times New Roman"/>
            <w:sz w:val="24"/>
            <w:szCs w:val="24"/>
          </w:rPr>
          <w:t>https://cases.justia.com/federal/appellate-courts/ca11/24-12910/24-12910-2025-06-23.pdf?ts=1750690858</w:t>
        </w:r>
      </w:hyperlink>
      <w:r w:rsidRPr="00C07F42">
        <w:rPr>
          <w:rFonts w:ascii="Times New Roman" w:hAnsi="Times New Roman"/>
          <w:sz w:val="24"/>
          <w:szCs w:val="24"/>
        </w:rPr>
        <w:t xml:space="preserve"> </w:t>
      </w:r>
    </w:p>
    <w:p w14:paraId="15FA0CE5" w14:textId="77777777" w:rsidR="00456C91" w:rsidRPr="00C07F42" w:rsidRDefault="00456C91" w:rsidP="005C30A4">
      <w:pPr>
        <w:pStyle w:val="NoSpacing"/>
        <w:rPr>
          <w:rFonts w:ascii="Times New Roman" w:hAnsi="Times New Roman"/>
          <w:sz w:val="24"/>
          <w:szCs w:val="24"/>
        </w:rPr>
      </w:pPr>
    </w:p>
    <w:p w14:paraId="6615A5F5" w14:textId="77777777" w:rsidR="00C07F42" w:rsidRPr="00C07F42" w:rsidRDefault="00C07F42" w:rsidP="00C07F42">
      <w:pPr>
        <w:pStyle w:val="NoSpacing"/>
        <w:rPr>
          <w:rFonts w:ascii="Times New Roman" w:hAnsi="Times New Roman"/>
          <w:b/>
          <w:bCs/>
          <w:sz w:val="24"/>
          <w:szCs w:val="24"/>
        </w:rPr>
      </w:pPr>
      <w:r w:rsidRPr="00C07F42">
        <w:rPr>
          <w:rFonts w:ascii="Times New Roman" w:hAnsi="Times New Roman"/>
          <w:b/>
          <w:sz w:val="24"/>
          <w:szCs w:val="24"/>
        </w:rPr>
        <w:t xml:space="preserve">Legal lesson learned: Reasonable accommodation is required only if the employee can then perform the essential functions of the job. </w:t>
      </w:r>
    </w:p>
    <w:p w14:paraId="678C8D88" w14:textId="77777777" w:rsidR="00C07F42" w:rsidRPr="00C07F42" w:rsidRDefault="00C07F42" w:rsidP="00C07F42">
      <w:pPr>
        <w:rPr>
          <w:rFonts w:ascii="Times New Roman" w:hAnsi="Times New Roman"/>
          <w:bCs/>
          <w:sz w:val="24"/>
          <w:szCs w:val="24"/>
        </w:rPr>
      </w:pPr>
    </w:p>
    <w:p w14:paraId="6E69A617" w14:textId="77777777" w:rsidR="00C07F42" w:rsidRDefault="00C07F42" w:rsidP="005C30A4">
      <w:pPr>
        <w:pStyle w:val="NoSpacing"/>
        <w:rPr>
          <w:rFonts w:ascii="Arial Black" w:hAnsi="Arial Black"/>
          <w:sz w:val="24"/>
          <w:szCs w:val="24"/>
        </w:rPr>
      </w:pPr>
    </w:p>
    <w:p w14:paraId="22D9A007" w14:textId="6CDC2093" w:rsidR="009C7451" w:rsidRDefault="009C7451" w:rsidP="009C7451">
      <w:pPr>
        <w:pStyle w:val="NoSpacing"/>
        <w:rPr>
          <w:rFonts w:ascii="Arial Black" w:hAnsi="Arial Black"/>
          <w:sz w:val="24"/>
          <w:szCs w:val="24"/>
        </w:rPr>
      </w:pPr>
      <w:r>
        <w:rPr>
          <w:rFonts w:ascii="Arial Black" w:hAnsi="Arial Black"/>
          <w:sz w:val="24"/>
          <w:szCs w:val="24"/>
        </w:rPr>
        <w:t>9-53</w:t>
      </w:r>
    </w:p>
    <w:p w14:paraId="1175AF7F" w14:textId="77777777" w:rsidR="009C7451" w:rsidRDefault="009C7451" w:rsidP="005C30A4">
      <w:pPr>
        <w:pStyle w:val="NoSpacing"/>
        <w:rPr>
          <w:rFonts w:ascii="Arial Black" w:hAnsi="Arial Black"/>
          <w:sz w:val="24"/>
          <w:szCs w:val="24"/>
        </w:rPr>
      </w:pPr>
    </w:p>
    <w:p w14:paraId="57062C2D" w14:textId="77777777" w:rsidR="009C7451" w:rsidRDefault="009C7451" w:rsidP="005C30A4">
      <w:pPr>
        <w:pStyle w:val="NoSpacing"/>
        <w:rPr>
          <w:rFonts w:ascii="Arial Black" w:hAnsi="Arial Black"/>
          <w:sz w:val="24"/>
          <w:szCs w:val="24"/>
        </w:rPr>
      </w:pPr>
    </w:p>
    <w:p w14:paraId="7586FABA" w14:textId="2B998D43" w:rsidR="0069094F" w:rsidRPr="002100DB" w:rsidRDefault="0069094F" w:rsidP="0069094F">
      <w:pPr>
        <w:rPr>
          <w:rFonts w:ascii="Arial Black" w:hAnsi="Arial Black"/>
          <w:b/>
          <w:sz w:val="28"/>
          <w:szCs w:val="28"/>
        </w:rPr>
      </w:pPr>
      <w:r>
        <w:rPr>
          <w:rFonts w:ascii="Arial Black" w:hAnsi="Arial Black"/>
          <w:b/>
          <w:sz w:val="28"/>
          <w:szCs w:val="28"/>
        </w:rPr>
        <w:t>U.S. SUP. CT:  RETIRE</w:t>
      </w:r>
      <w:r w:rsidR="0051265E">
        <w:rPr>
          <w:rFonts w:ascii="Arial Black" w:hAnsi="Arial Black"/>
          <w:b/>
          <w:sz w:val="28"/>
          <w:szCs w:val="28"/>
        </w:rPr>
        <w:t>D</w:t>
      </w:r>
      <w:r>
        <w:rPr>
          <w:rFonts w:ascii="Arial Black" w:hAnsi="Arial Black"/>
          <w:b/>
          <w:sz w:val="28"/>
          <w:szCs w:val="28"/>
        </w:rPr>
        <w:t xml:space="preserve"> / PARKINSON’S – NO ADA</w:t>
      </w:r>
      <w:r w:rsidR="00F56294">
        <w:rPr>
          <w:rFonts w:ascii="Arial Black" w:hAnsi="Arial Black"/>
          <w:b/>
          <w:sz w:val="28"/>
          <w:szCs w:val="28"/>
        </w:rPr>
        <w:t xml:space="preserve"> VIOL</w:t>
      </w:r>
      <w:r>
        <w:rPr>
          <w:rFonts w:ascii="Arial Black" w:hAnsi="Arial Black"/>
          <w:b/>
          <w:sz w:val="28"/>
          <w:szCs w:val="28"/>
        </w:rPr>
        <w:t xml:space="preserve"> </w:t>
      </w:r>
      <w:r w:rsidR="002F270A">
        <w:rPr>
          <w:rFonts w:ascii="Arial Black" w:hAnsi="Arial Black"/>
          <w:b/>
          <w:sz w:val="28"/>
          <w:szCs w:val="28"/>
        </w:rPr>
        <w:t xml:space="preserve">ONLY </w:t>
      </w:r>
      <w:r>
        <w:rPr>
          <w:rFonts w:ascii="Arial Black" w:hAnsi="Arial Black"/>
          <w:b/>
          <w:sz w:val="28"/>
          <w:szCs w:val="28"/>
        </w:rPr>
        <w:t xml:space="preserve">2-YR </w:t>
      </w:r>
      <w:r w:rsidR="002F270A">
        <w:rPr>
          <w:rFonts w:ascii="Arial Black" w:hAnsi="Arial Black"/>
          <w:b/>
          <w:sz w:val="28"/>
          <w:szCs w:val="28"/>
        </w:rPr>
        <w:t xml:space="preserve">CITY </w:t>
      </w:r>
      <w:r>
        <w:rPr>
          <w:rFonts w:ascii="Arial Black" w:hAnsi="Arial Black"/>
          <w:b/>
          <w:sz w:val="28"/>
          <w:szCs w:val="28"/>
        </w:rPr>
        <w:t>INSUR</w:t>
      </w:r>
      <w:r w:rsidR="002F270A">
        <w:rPr>
          <w:rFonts w:ascii="Arial Black" w:hAnsi="Arial Black"/>
          <w:b/>
          <w:sz w:val="28"/>
          <w:szCs w:val="28"/>
        </w:rPr>
        <w:t>ANCE</w:t>
      </w:r>
    </w:p>
    <w:p w14:paraId="564DA748" w14:textId="77777777" w:rsidR="0069094F" w:rsidRPr="0004575D" w:rsidRDefault="0069094F" w:rsidP="0069094F">
      <w:pPr>
        <w:pStyle w:val="NoSpacing"/>
        <w:rPr>
          <w:rFonts w:ascii="Times New Roman" w:hAnsi="Times New Roman"/>
          <w:bCs/>
          <w:sz w:val="24"/>
          <w:szCs w:val="24"/>
        </w:rPr>
      </w:pPr>
      <w:r w:rsidRPr="0004575D">
        <w:rPr>
          <w:rFonts w:ascii="Times New Roman" w:hAnsi="Times New Roman"/>
          <w:sz w:val="24"/>
          <w:szCs w:val="24"/>
        </w:rPr>
        <w:t xml:space="preserve">On June 20, 2025, in </w:t>
      </w:r>
      <w:r w:rsidRPr="0004575D">
        <w:rPr>
          <w:rFonts w:ascii="Times New Roman" w:hAnsi="Times New Roman"/>
          <w:sz w:val="24"/>
          <w:szCs w:val="24"/>
          <w:u w:val="single"/>
        </w:rPr>
        <w:t>Karyn Stanley v. City of Sanford, Florida</w:t>
      </w:r>
      <w:r w:rsidRPr="0004575D">
        <w:rPr>
          <w:rFonts w:ascii="Times New Roman" w:hAnsi="Times New Roman"/>
          <w:sz w:val="24"/>
          <w:szCs w:val="24"/>
        </w:rPr>
        <w:t xml:space="preserve">, the United States Supreme Court held (7 to 2) that the lawsuit by retired firefighter was properly dismissed.  She was diagnosed in 2016 with Parkinson’s disease and after 19 years of service took disability retirement in 2018.  Her city insurance ran out in 2020.  When she retired, Stanley expected to continue receiving the City’s health insurance full subsidy until she turned 65 but learned that the City had changed the policy way back in 2003 for those retiring with less than 25 years.   Court agreed with U.S. District Court judge that ADA does not cover her since she does not meet the definition of a “qualified individual” under the ADA –  ADA protection is limited to active employees or applicants.  THE COURT HELD: “To sum up, we hold that, to prevail under §12112(a), a plaintiff must plead and prove that she held or desired a </w:t>
      </w:r>
      <w:proofErr w:type="gramStart"/>
      <w:r w:rsidRPr="0004575D">
        <w:rPr>
          <w:rFonts w:ascii="Times New Roman" w:hAnsi="Times New Roman"/>
          <w:sz w:val="24"/>
          <w:szCs w:val="24"/>
        </w:rPr>
        <w:t>job, and</w:t>
      </w:r>
      <w:proofErr w:type="gramEnd"/>
      <w:r w:rsidRPr="0004575D">
        <w:rPr>
          <w:rFonts w:ascii="Times New Roman" w:hAnsi="Times New Roman"/>
          <w:sz w:val="24"/>
          <w:szCs w:val="24"/>
        </w:rPr>
        <w:t xml:space="preserve"> could perform its essential functions with or without reasonable accommodation, at the time of an employer’s alleged act of disability-based discrimination.” </w:t>
      </w:r>
    </w:p>
    <w:p w14:paraId="7C175CC7" w14:textId="77777777" w:rsidR="0069094F" w:rsidRPr="0004575D" w:rsidRDefault="0069094F" w:rsidP="0069094F">
      <w:pPr>
        <w:rPr>
          <w:rFonts w:ascii="Times New Roman" w:hAnsi="Times New Roman"/>
          <w:bCs/>
          <w:sz w:val="24"/>
          <w:szCs w:val="24"/>
        </w:rPr>
      </w:pPr>
      <w:hyperlink r:id="rId1652" w:history="1">
        <w:r w:rsidRPr="0004575D">
          <w:rPr>
            <w:rStyle w:val="Hyperlink"/>
            <w:rFonts w:ascii="Times New Roman" w:hAnsi="Times New Roman"/>
            <w:sz w:val="24"/>
            <w:szCs w:val="24"/>
          </w:rPr>
          <w:t>https://www.supremecourt.gov/opinions/24pdf/23-997_6579.pdf</w:t>
        </w:r>
      </w:hyperlink>
      <w:r w:rsidRPr="0004575D">
        <w:rPr>
          <w:rFonts w:ascii="Times New Roman" w:hAnsi="Times New Roman"/>
          <w:sz w:val="24"/>
          <w:szCs w:val="24"/>
        </w:rPr>
        <w:t xml:space="preserve"> </w:t>
      </w:r>
    </w:p>
    <w:p w14:paraId="49462F71" w14:textId="77777777" w:rsidR="0004575D" w:rsidRPr="0004575D" w:rsidRDefault="0004575D" w:rsidP="0004575D">
      <w:pPr>
        <w:pStyle w:val="NoSpacing"/>
        <w:rPr>
          <w:rFonts w:ascii="Times New Roman" w:hAnsi="Times New Roman"/>
          <w:b/>
          <w:sz w:val="24"/>
          <w:szCs w:val="24"/>
        </w:rPr>
      </w:pPr>
      <w:r w:rsidRPr="0004575D">
        <w:rPr>
          <w:rFonts w:ascii="Times New Roman" w:hAnsi="Times New Roman"/>
          <w:b/>
          <w:sz w:val="24"/>
          <w:szCs w:val="24"/>
        </w:rPr>
        <w:t>Legal lesson learned:  Perhaps this decision will lead Congress to clarify the ADA claims filed by retirees.</w:t>
      </w:r>
    </w:p>
    <w:p w14:paraId="2496DCB7" w14:textId="77777777" w:rsidR="0004575D" w:rsidRPr="0004575D" w:rsidRDefault="0004575D" w:rsidP="0004575D">
      <w:pPr>
        <w:rPr>
          <w:rFonts w:ascii="Times New Roman" w:hAnsi="Times New Roman"/>
          <w:bCs/>
          <w:sz w:val="24"/>
          <w:szCs w:val="24"/>
        </w:rPr>
      </w:pPr>
    </w:p>
    <w:p w14:paraId="494C8BE6" w14:textId="77777777" w:rsidR="00456C91" w:rsidRDefault="00456C91" w:rsidP="005C30A4">
      <w:pPr>
        <w:pStyle w:val="NoSpacing"/>
        <w:rPr>
          <w:rFonts w:ascii="Arial Black" w:hAnsi="Arial Black"/>
          <w:sz w:val="24"/>
          <w:szCs w:val="24"/>
        </w:rPr>
      </w:pPr>
    </w:p>
    <w:p w14:paraId="5FE38A9E" w14:textId="453A3596" w:rsidR="009C7451" w:rsidRDefault="009C7451" w:rsidP="009C7451">
      <w:pPr>
        <w:pStyle w:val="NoSpacing"/>
        <w:rPr>
          <w:rFonts w:ascii="Arial Black" w:hAnsi="Arial Black"/>
          <w:sz w:val="24"/>
          <w:szCs w:val="24"/>
        </w:rPr>
      </w:pPr>
      <w:r>
        <w:rPr>
          <w:rFonts w:ascii="Arial Black" w:hAnsi="Arial Black"/>
          <w:sz w:val="24"/>
          <w:szCs w:val="24"/>
        </w:rPr>
        <w:t>9-52</w:t>
      </w:r>
    </w:p>
    <w:p w14:paraId="1E989D9E" w14:textId="77777777" w:rsidR="009C7451" w:rsidRDefault="009C7451" w:rsidP="005C30A4">
      <w:pPr>
        <w:pStyle w:val="NoSpacing"/>
        <w:rPr>
          <w:rFonts w:ascii="Arial Black" w:hAnsi="Arial Black"/>
          <w:sz w:val="24"/>
          <w:szCs w:val="24"/>
        </w:rPr>
      </w:pPr>
    </w:p>
    <w:p w14:paraId="288346C1" w14:textId="77777777" w:rsidR="009C7451" w:rsidRDefault="009C7451" w:rsidP="005C30A4">
      <w:pPr>
        <w:pStyle w:val="NoSpacing"/>
        <w:rPr>
          <w:rFonts w:ascii="Arial Black" w:hAnsi="Arial Black"/>
          <w:sz w:val="24"/>
          <w:szCs w:val="24"/>
        </w:rPr>
      </w:pPr>
    </w:p>
    <w:p w14:paraId="6E683485" w14:textId="77777777" w:rsidR="00EC5A2A" w:rsidRPr="00B73C35" w:rsidRDefault="00EC5A2A" w:rsidP="00EC5A2A">
      <w:pPr>
        <w:rPr>
          <w:rFonts w:ascii="Arial Black" w:hAnsi="Arial Black"/>
          <w:bCs/>
          <w:sz w:val="28"/>
          <w:szCs w:val="28"/>
        </w:rPr>
      </w:pPr>
      <w:r>
        <w:rPr>
          <w:rFonts w:ascii="Arial Black" w:hAnsi="Arial Black"/>
          <w:sz w:val="28"/>
          <w:szCs w:val="28"/>
        </w:rPr>
        <w:lastRenderedPageBreak/>
        <w:t xml:space="preserve">NY: COVID – RELIGION EXECPTION DENIED / FAIR PROCESS </w:t>
      </w:r>
    </w:p>
    <w:p w14:paraId="48FE825A" w14:textId="2EB3C1E3" w:rsidR="00456C91" w:rsidRPr="00C01718" w:rsidRDefault="00EC5A2A" w:rsidP="00EC5A2A">
      <w:pPr>
        <w:pStyle w:val="NoSpacing"/>
        <w:rPr>
          <w:rFonts w:ascii="Times New Roman" w:hAnsi="Times New Roman"/>
          <w:sz w:val="24"/>
          <w:szCs w:val="24"/>
        </w:rPr>
      </w:pPr>
      <w:r w:rsidRPr="00C01718">
        <w:rPr>
          <w:rFonts w:ascii="Times New Roman" w:hAnsi="Times New Roman"/>
          <w:sz w:val="24"/>
          <w:szCs w:val="24"/>
        </w:rPr>
        <w:t xml:space="preserve">On June 18, 2025, </w:t>
      </w:r>
      <w:r w:rsidRPr="00C01718">
        <w:rPr>
          <w:rFonts w:ascii="Times New Roman" w:hAnsi="Times New Roman"/>
          <w:sz w:val="24"/>
          <w:szCs w:val="24"/>
          <w:u w:val="single"/>
        </w:rPr>
        <w:t>In the Matter of Brian Smith v. New York City Fire Department, et al</w:t>
      </w:r>
      <w:r w:rsidRPr="00C01718">
        <w:rPr>
          <w:rFonts w:ascii="Times New Roman" w:hAnsi="Times New Roman"/>
          <w:sz w:val="24"/>
          <w:szCs w:val="24"/>
        </w:rPr>
        <w:t>.,</w:t>
      </w:r>
      <w:r w:rsidRPr="00C01718">
        <w:rPr>
          <w:rFonts w:ascii="Times New Roman" w:hAnsi="Times New Roman"/>
          <w:b/>
          <w:sz w:val="24"/>
          <w:szCs w:val="24"/>
        </w:rPr>
        <w:t xml:space="preserve"> </w:t>
      </w:r>
      <w:r w:rsidRPr="00C01718">
        <w:rPr>
          <w:rFonts w:ascii="Times New Roman" w:hAnsi="Times New Roman"/>
          <w:sz w:val="24"/>
          <w:szCs w:val="24"/>
        </w:rPr>
        <w:t xml:space="preserve">the Supreme Court of New York, Second Department, held (4 to 0) that trial court improperly reinstated the firefighter, awarded him back pay and attorney fees.  The firefighter was placed on unpaid leave on Nov. 1, </w:t>
      </w:r>
      <w:proofErr w:type="gramStart"/>
      <w:r w:rsidRPr="00C01718">
        <w:rPr>
          <w:rFonts w:ascii="Times New Roman" w:hAnsi="Times New Roman"/>
          <w:sz w:val="24"/>
          <w:szCs w:val="24"/>
        </w:rPr>
        <w:t>2021</w:t>
      </w:r>
      <w:proofErr w:type="gramEnd"/>
      <w:r w:rsidRPr="00C01718">
        <w:rPr>
          <w:rFonts w:ascii="Times New Roman" w:hAnsi="Times New Roman"/>
          <w:sz w:val="24"/>
          <w:szCs w:val="24"/>
        </w:rPr>
        <w:t xml:space="preserve"> for refusing to get vaccinated, and retired July 13, </w:t>
      </w:r>
      <w:proofErr w:type="gramStart"/>
      <w:r w:rsidRPr="00C01718">
        <w:rPr>
          <w:rFonts w:ascii="Times New Roman" w:hAnsi="Times New Roman"/>
          <w:sz w:val="24"/>
          <w:szCs w:val="24"/>
        </w:rPr>
        <w:t>2022</w:t>
      </w:r>
      <w:proofErr w:type="gramEnd"/>
      <w:r w:rsidRPr="00C01718">
        <w:rPr>
          <w:rFonts w:ascii="Times New Roman" w:hAnsi="Times New Roman"/>
          <w:sz w:val="24"/>
          <w:szCs w:val="24"/>
        </w:rPr>
        <w:t xml:space="preserve"> when his appeal was denied  by the City of New York Reasonable Accommodation Appeals Panel.   THE COURT HELD: </w:t>
      </w:r>
      <w:r w:rsidRPr="00C01718">
        <w:rPr>
          <w:rFonts w:ascii="Times New Roman" w:hAnsi="Times New Roman"/>
          <w:b/>
          <w:sz w:val="24"/>
          <w:szCs w:val="24"/>
        </w:rPr>
        <w:t>“</w:t>
      </w:r>
      <w:r w:rsidRPr="00C01718">
        <w:rPr>
          <w:rFonts w:ascii="Times New Roman" w:hAnsi="Times New Roman"/>
          <w:sz w:val="24"/>
          <w:szCs w:val="24"/>
        </w:rPr>
        <w:t xml:space="preserve">Here, the petitioner failed to demonstrate that the appellants' process for resolving requests for a reasonable accommodation from the vaccine mandate did not meet the requirements of the NYCHRL regarding cooperative dialogue…. The appellants provided information on the process for reviewing accommodation requests related to the vaccine mandate and informed employees on how to appeal request denials. The record demonstrates that the petitioner availed himself of this process. The record also shows that there were multiple communications between the petitioner, the FDNY, and the Panel regarding the petitioner's accommodation request. The petitioner failed to establish that, under the unique circumstances present at the time of the vaccine mandate, the NYCHRL required a more robust or individualized dialogue.”  </w:t>
      </w:r>
      <w:hyperlink r:id="rId1653" w:history="1">
        <w:r w:rsidRPr="00C01718">
          <w:rPr>
            <w:rStyle w:val="Hyperlink"/>
            <w:rFonts w:ascii="Times New Roman" w:hAnsi="Times New Roman"/>
            <w:sz w:val="24"/>
            <w:szCs w:val="24"/>
          </w:rPr>
          <w:t>https://public.fastcase.com/jaEE2PXzRXmZ99jOLMt1Ipey3nn80Qzm5FjlczUETsDTuQT39ugB8joG6QHEs86OG3nGrKzxwZV4%2Fla6pLxdspdlDpATTrpmmFlVcXapI1M%3D?utm_medium=email&amp;_hsenc=p2ANqtz-8lwnqzIFsmVJzuahWcWVuNvva5eg1m46jktTnS1rNp1Tgpui8ycBPAblsV379ZnZFl8lWnb4zQm5QdddO-2g4KXoMSJQ&amp;_hsmi=226712652&amp;utm_content=226712652&amp;utm_source=hs_email</w:t>
        </w:r>
      </w:hyperlink>
    </w:p>
    <w:p w14:paraId="13320DEE" w14:textId="77777777" w:rsidR="00C01718" w:rsidRPr="00C01718" w:rsidRDefault="00C01718" w:rsidP="00EC5A2A">
      <w:pPr>
        <w:pStyle w:val="NoSpacing"/>
        <w:rPr>
          <w:rFonts w:ascii="Times New Roman" w:hAnsi="Times New Roman"/>
          <w:sz w:val="24"/>
          <w:szCs w:val="24"/>
        </w:rPr>
      </w:pPr>
    </w:p>
    <w:p w14:paraId="5992F85B" w14:textId="77777777" w:rsidR="00C01718" w:rsidRPr="00C01718" w:rsidRDefault="00C01718" w:rsidP="00C01718">
      <w:pPr>
        <w:rPr>
          <w:rFonts w:ascii="Times New Roman" w:hAnsi="Times New Roman"/>
          <w:b/>
          <w:bCs/>
          <w:sz w:val="24"/>
          <w:szCs w:val="24"/>
        </w:rPr>
      </w:pPr>
      <w:r w:rsidRPr="00C01718">
        <w:rPr>
          <w:rFonts w:ascii="Times New Roman" w:hAnsi="Times New Roman"/>
          <w:b/>
          <w:sz w:val="24"/>
          <w:szCs w:val="24"/>
        </w:rPr>
        <w:t xml:space="preserve">Legal lesson learned: FDNY provided the firefighter with fair COVID vaccination appeal </w:t>
      </w:r>
      <w:r w:rsidRPr="00C01718">
        <w:rPr>
          <w:rFonts w:ascii="Times New Roman" w:hAnsi="Times New Roman"/>
          <w:b/>
          <w:bCs/>
          <w:sz w:val="24"/>
          <w:szCs w:val="24"/>
        </w:rPr>
        <w:t>process.</w:t>
      </w:r>
    </w:p>
    <w:p w14:paraId="615373EB" w14:textId="77777777" w:rsidR="00C01718" w:rsidRDefault="00C01718" w:rsidP="00EC5A2A">
      <w:pPr>
        <w:pStyle w:val="NoSpacing"/>
        <w:rPr>
          <w:rFonts w:ascii="Arial Black" w:hAnsi="Arial Black"/>
          <w:sz w:val="24"/>
          <w:szCs w:val="24"/>
        </w:rPr>
      </w:pPr>
    </w:p>
    <w:p w14:paraId="0A29B256" w14:textId="41B2171F" w:rsidR="009C7451" w:rsidRDefault="009C7451" w:rsidP="009C7451">
      <w:pPr>
        <w:pStyle w:val="NoSpacing"/>
        <w:rPr>
          <w:rFonts w:ascii="Arial Black" w:hAnsi="Arial Black"/>
          <w:sz w:val="24"/>
          <w:szCs w:val="24"/>
        </w:rPr>
      </w:pPr>
      <w:r>
        <w:rPr>
          <w:rFonts w:ascii="Arial Black" w:hAnsi="Arial Black"/>
          <w:sz w:val="24"/>
          <w:szCs w:val="24"/>
        </w:rPr>
        <w:t>9-51</w:t>
      </w:r>
    </w:p>
    <w:p w14:paraId="0874F6B8" w14:textId="77777777" w:rsidR="009C7451" w:rsidRDefault="009C7451" w:rsidP="005C30A4">
      <w:pPr>
        <w:pStyle w:val="NoSpacing"/>
        <w:rPr>
          <w:rFonts w:ascii="Arial Black" w:hAnsi="Arial Black"/>
          <w:sz w:val="24"/>
          <w:szCs w:val="24"/>
        </w:rPr>
      </w:pPr>
    </w:p>
    <w:p w14:paraId="6CBAD97C" w14:textId="77777777" w:rsidR="00475136" w:rsidRPr="0009639F" w:rsidRDefault="00475136" w:rsidP="00475136">
      <w:pPr>
        <w:rPr>
          <w:rFonts w:ascii="Arial Black" w:hAnsi="Arial Black"/>
          <w:b/>
          <w:sz w:val="28"/>
          <w:szCs w:val="28"/>
        </w:rPr>
      </w:pPr>
      <w:r>
        <w:rPr>
          <w:rFonts w:ascii="Arial Black" w:hAnsi="Arial Black"/>
          <w:b/>
          <w:sz w:val="28"/>
          <w:szCs w:val="28"/>
        </w:rPr>
        <w:t xml:space="preserve">NY: COVID – NO WK TESTING – FDNY “UNDUE HARDSHIP” </w:t>
      </w:r>
    </w:p>
    <w:p w14:paraId="57365A5D" w14:textId="77777777" w:rsidR="00475136" w:rsidRPr="009C7451" w:rsidRDefault="00475136" w:rsidP="00475136">
      <w:pPr>
        <w:pStyle w:val="NoSpacing"/>
        <w:rPr>
          <w:rFonts w:ascii="Times New Roman" w:hAnsi="Times New Roman"/>
          <w:sz w:val="24"/>
          <w:szCs w:val="24"/>
        </w:rPr>
      </w:pPr>
      <w:r w:rsidRPr="009C7451">
        <w:rPr>
          <w:rFonts w:ascii="Times New Roman" w:hAnsi="Times New Roman"/>
          <w:sz w:val="24"/>
          <w:szCs w:val="24"/>
        </w:rPr>
        <w:t xml:space="preserve">On June 17, 2025, in </w:t>
      </w:r>
      <w:r w:rsidRPr="009C7451">
        <w:rPr>
          <w:rFonts w:ascii="Times New Roman" w:hAnsi="Times New Roman"/>
          <w:sz w:val="24"/>
          <w:szCs w:val="24"/>
          <w:u w:val="single"/>
        </w:rPr>
        <w:t>Javier Vasquez v. City of New York</w:t>
      </w:r>
      <w:r w:rsidRPr="009C7451">
        <w:rPr>
          <w:rFonts w:ascii="Times New Roman" w:hAnsi="Times New Roman"/>
          <w:sz w:val="24"/>
          <w:szCs w:val="24"/>
        </w:rPr>
        <w:t xml:space="preserve">, U.S. District Court Judge Hector Gonzalez reconfirmed his June 2, </w:t>
      </w:r>
      <w:proofErr w:type="gramStart"/>
      <w:r w:rsidRPr="009C7451">
        <w:rPr>
          <w:rFonts w:ascii="Times New Roman" w:hAnsi="Times New Roman"/>
          <w:sz w:val="24"/>
          <w:szCs w:val="24"/>
        </w:rPr>
        <w:t>2025</w:t>
      </w:r>
      <w:proofErr w:type="gramEnd"/>
      <w:r w:rsidRPr="009C7451">
        <w:rPr>
          <w:rFonts w:ascii="Times New Roman" w:hAnsi="Times New Roman"/>
          <w:sz w:val="24"/>
          <w:szCs w:val="24"/>
        </w:rPr>
        <w:t xml:space="preserve"> decision which denied summary judgment for both the firefighter </w:t>
      </w:r>
      <w:proofErr w:type="gramStart"/>
      <w:r w:rsidRPr="009C7451">
        <w:rPr>
          <w:rFonts w:ascii="Times New Roman" w:hAnsi="Times New Roman"/>
          <w:sz w:val="24"/>
          <w:szCs w:val="24"/>
        </w:rPr>
        <w:t>and also</w:t>
      </w:r>
      <w:proofErr w:type="gramEnd"/>
      <w:r w:rsidRPr="009C7451">
        <w:rPr>
          <w:rFonts w:ascii="Times New Roman" w:hAnsi="Times New Roman"/>
          <w:sz w:val="24"/>
          <w:szCs w:val="24"/>
        </w:rPr>
        <w:t xml:space="preserve"> the </w:t>
      </w:r>
      <w:proofErr w:type="gramStart"/>
      <w:r w:rsidRPr="009C7451">
        <w:rPr>
          <w:rFonts w:ascii="Times New Roman" w:hAnsi="Times New Roman"/>
          <w:sz w:val="24"/>
          <w:szCs w:val="24"/>
        </w:rPr>
        <w:t>City</w:t>
      </w:r>
      <w:proofErr w:type="gramEnd"/>
      <w:r w:rsidRPr="009C7451">
        <w:rPr>
          <w:rFonts w:ascii="Times New Roman" w:hAnsi="Times New Roman"/>
          <w:sz w:val="24"/>
          <w:szCs w:val="24"/>
        </w:rPr>
        <w:t>.  He again held that a jury should decide whether it was an “undue hardship” for FDNY to weekly test firefighters who refused to be vaccinated.  THE COURT HELD: “As the Court previously explained, the ‘evidence shows that the FDNY undertook some individualized consideration of Plaintiff’s request,’ referring to testimony in which the FDNY’s Assistant Commissioner of Equal Employment Opportunity Don Nguyen testified that Plaintiff, in his light-duty role, worked in an environment ‘staffed with dozens of folks sitting in a room . . . working with each other and working with other agencies.’ … Notably, Plaintiff fails to grapple with this. And there is more, such as a declaration from Mr. Nguyen submitted in Plaintiff’s state court case in which he explained that the FDNY considered that Plaintiff was ‘a certified first responder who would respond not only to fires but [also] medical emergencies with vulnerable populations of people.”</w:t>
      </w:r>
      <w:hyperlink r:id="rId1654" w:history="1">
        <w:r w:rsidRPr="009C7451">
          <w:rPr>
            <w:rStyle w:val="Hyperlink"/>
            <w:rFonts w:ascii="Times New Roman" w:hAnsi="Times New Roman"/>
            <w:sz w:val="24"/>
            <w:szCs w:val="24"/>
          </w:rPr>
          <w:t>https://www.govinfo.gov/content/pkg/USCOURTS-nyed-1_22-cv-05068/pdf/USCOURTS-nyed-1_22-cv-05068-3.pdf</w:t>
        </w:r>
      </w:hyperlink>
      <w:r w:rsidRPr="009C7451">
        <w:rPr>
          <w:rFonts w:ascii="Times New Roman" w:hAnsi="Times New Roman"/>
          <w:sz w:val="24"/>
          <w:szCs w:val="24"/>
        </w:rPr>
        <w:t xml:space="preserve"> </w:t>
      </w:r>
    </w:p>
    <w:p w14:paraId="46D34062" w14:textId="77777777" w:rsidR="00475136" w:rsidRPr="009C7451" w:rsidRDefault="00475136" w:rsidP="005C30A4">
      <w:pPr>
        <w:pStyle w:val="NoSpacing"/>
        <w:rPr>
          <w:rFonts w:ascii="Times New Roman" w:hAnsi="Times New Roman"/>
          <w:sz w:val="24"/>
          <w:szCs w:val="24"/>
        </w:rPr>
      </w:pPr>
    </w:p>
    <w:p w14:paraId="6B70AA61" w14:textId="77777777" w:rsidR="009C7451" w:rsidRPr="009C7451" w:rsidRDefault="009C7451" w:rsidP="009C7451">
      <w:pPr>
        <w:pStyle w:val="NoSpacing"/>
        <w:rPr>
          <w:rFonts w:ascii="Times New Roman" w:hAnsi="Times New Roman"/>
          <w:b/>
          <w:bCs/>
          <w:sz w:val="24"/>
          <w:szCs w:val="24"/>
        </w:rPr>
      </w:pPr>
      <w:r w:rsidRPr="009C7451">
        <w:rPr>
          <w:rFonts w:ascii="Times New Roman" w:hAnsi="Times New Roman"/>
          <w:b/>
          <w:sz w:val="24"/>
          <w:szCs w:val="24"/>
        </w:rPr>
        <w:t>Legal lesson learned: The City has a strong “undue hardship” defense if this case goes to trial.</w:t>
      </w:r>
    </w:p>
    <w:p w14:paraId="5C4545F8" w14:textId="77777777" w:rsidR="009C7451" w:rsidRPr="009C7451" w:rsidRDefault="009C7451" w:rsidP="009C7451">
      <w:pPr>
        <w:pStyle w:val="NoSpacing"/>
        <w:rPr>
          <w:rFonts w:ascii="Times New Roman" w:hAnsi="Times New Roman"/>
          <w:b/>
          <w:bCs/>
          <w:sz w:val="24"/>
          <w:szCs w:val="24"/>
        </w:rPr>
      </w:pPr>
    </w:p>
    <w:p w14:paraId="689A2950" w14:textId="77777777" w:rsidR="009C7451" w:rsidRPr="009C7451" w:rsidRDefault="009C7451" w:rsidP="009C7451">
      <w:pPr>
        <w:pStyle w:val="NoSpacing"/>
        <w:ind w:left="720"/>
        <w:rPr>
          <w:rFonts w:ascii="Times New Roman" w:hAnsi="Times New Roman"/>
          <w:bCs/>
          <w:sz w:val="24"/>
          <w:szCs w:val="24"/>
        </w:rPr>
      </w:pPr>
      <w:r w:rsidRPr="009C7451">
        <w:rPr>
          <w:rFonts w:ascii="Times New Roman" w:hAnsi="Times New Roman"/>
          <w:sz w:val="24"/>
          <w:szCs w:val="24"/>
        </w:rPr>
        <w:t xml:space="preserve">Note: See Aug. 28, </w:t>
      </w:r>
      <w:proofErr w:type="gramStart"/>
      <w:r w:rsidRPr="009C7451">
        <w:rPr>
          <w:rFonts w:ascii="Times New Roman" w:hAnsi="Times New Roman"/>
          <w:sz w:val="24"/>
          <w:szCs w:val="24"/>
        </w:rPr>
        <w:t>2022</w:t>
      </w:r>
      <w:proofErr w:type="gramEnd"/>
      <w:r w:rsidRPr="009C7451">
        <w:rPr>
          <w:rFonts w:ascii="Times New Roman" w:hAnsi="Times New Roman"/>
          <w:sz w:val="24"/>
          <w:szCs w:val="24"/>
        </w:rPr>
        <w:t xml:space="preserve"> article, “Unvaccinated FDNY Firefighters Poised to be Fired Unless they roll up their sleeves, 70 FDNY firefighters have been notified they won't be responding.”</w:t>
      </w:r>
    </w:p>
    <w:p w14:paraId="7D2FC351" w14:textId="77777777" w:rsidR="009C7451" w:rsidRPr="009C7451" w:rsidRDefault="009C7451" w:rsidP="009C7451">
      <w:pPr>
        <w:pStyle w:val="NoSpacing"/>
        <w:ind w:left="720"/>
        <w:rPr>
          <w:rFonts w:ascii="Times New Roman" w:hAnsi="Times New Roman"/>
          <w:bCs/>
          <w:sz w:val="24"/>
          <w:szCs w:val="24"/>
        </w:rPr>
      </w:pPr>
    </w:p>
    <w:p w14:paraId="2C64F1CA" w14:textId="77777777" w:rsidR="009C7451" w:rsidRPr="009C7451" w:rsidRDefault="009C7451" w:rsidP="009C7451">
      <w:pPr>
        <w:pStyle w:val="NoSpacing"/>
        <w:ind w:left="720"/>
        <w:rPr>
          <w:rFonts w:ascii="Times New Roman" w:hAnsi="Times New Roman"/>
          <w:b/>
          <w:sz w:val="24"/>
          <w:szCs w:val="24"/>
        </w:rPr>
      </w:pPr>
      <w:r w:rsidRPr="009C7451">
        <w:rPr>
          <w:rFonts w:ascii="Times New Roman" w:hAnsi="Times New Roman"/>
          <w:sz w:val="24"/>
          <w:szCs w:val="24"/>
        </w:rPr>
        <w:t xml:space="preserve">See Feb. 15, </w:t>
      </w:r>
      <w:proofErr w:type="gramStart"/>
      <w:r w:rsidRPr="009C7451">
        <w:rPr>
          <w:rFonts w:ascii="Times New Roman" w:hAnsi="Times New Roman"/>
          <w:sz w:val="24"/>
          <w:szCs w:val="24"/>
        </w:rPr>
        <w:t>2022</w:t>
      </w:r>
      <w:proofErr w:type="gramEnd"/>
      <w:r w:rsidRPr="009C7451">
        <w:rPr>
          <w:rFonts w:ascii="Times New Roman" w:hAnsi="Times New Roman"/>
          <w:sz w:val="24"/>
          <w:szCs w:val="24"/>
        </w:rPr>
        <w:t xml:space="preserve"> article, “Nearly 1,500 NYC municipal workers fired for not being vaccinated against COVID.”</w:t>
      </w:r>
      <w:r w:rsidRPr="009C7451">
        <w:rPr>
          <w:rFonts w:ascii="Times New Roman" w:hAnsi="Times New Roman"/>
          <w:b/>
          <w:sz w:val="24"/>
          <w:szCs w:val="24"/>
        </w:rPr>
        <w:t xml:space="preserve">  </w:t>
      </w:r>
      <w:hyperlink r:id="rId1655" w:history="1">
        <w:r w:rsidRPr="009C7451">
          <w:rPr>
            <w:rStyle w:val="Hyperlink"/>
            <w:rFonts w:ascii="Times New Roman" w:hAnsi="Times New Roman"/>
            <w:b/>
            <w:sz w:val="24"/>
            <w:szCs w:val="24"/>
          </w:rPr>
          <w:t>https://abcnews.go.com/Health/1500-nyc-municipal-workers-fired-vaccinated-covid/story?id=82900617</w:t>
        </w:r>
      </w:hyperlink>
      <w:r w:rsidRPr="009C7451">
        <w:rPr>
          <w:rFonts w:ascii="Times New Roman" w:hAnsi="Times New Roman"/>
          <w:b/>
          <w:sz w:val="24"/>
          <w:szCs w:val="24"/>
        </w:rPr>
        <w:t xml:space="preserve"> </w:t>
      </w:r>
    </w:p>
    <w:p w14:paraId="379C937F" w14:textId="77777777" w:rsidR="009C7451" w:rsidRPr="009C7451" w:rsidRDefault="009C7451" w:rsidP="009C7451">
      <w:pPr>
        <w:pStyle w:val="NoSpacing"/>
        <w:rPr>
          <w:rFonts w:ascii="Times New Roman" w:hAnsi="Times New Roman"/>
          <w:b/>
          <w:bCs/>
          <w:sz w:val="24"/>
          <w:szCs w:val="24"/>
        </w:rPr>
      </w:pPr>
    </w:p>
    <w:p w14:paraId="0CD3430F" w14:textId="77777777" w:rsidR="009C7451" w:rsidRPr="009C7451" w:rsidRDefault="009C7451" w:rsidP="009C7451">
      <w:pPr>
        <w:ind w:left="720"/>
        <w:rPr>
          <w:rFonts w:ascii="Times New Roman" w:hAnsi="Times New Roman"/>
          <w:b/>
          <w:sz w:val="24"/>
          <w:szCs w:val="24"/>
        </w:rPr>
      </w:pPr>
      <w:r w:rsidRPr="009C7451">
        <w:rPr>
          <w:rFonts w:ascii="Times New Roman" w:hAnsi="Times New Roman"/>
          <w:sz w:val="24"/>
          <w:szCs w:val="24"/>
        </w:rPr>
        <w:lastRenderedPageBreak/>
        <w:t xml:space="preserve">See EEOC guidance, “Enforcement Guidance on Reasonable Accommodation and Undue Hardship under the ADA.” </w:t>
      </w:r>
      <w:hyperlink r:id="rId1656" w:history="1">
        <w:r w:rsidRPr="009C7451">
          <w:rPr>
            <w:rStyle w:val="Hyperlink"/>
            <w:rFonts w:ascii="Times New Roman" w:hAnsi="Times New Roman"/>
            <w:sz w:val="24"/>
            <w:szCs w:val="24"/>
          </w:rPr>
          <w:t>https://www.eeoc.gov/laws/guidance/enforcement-guidance-reasonable-accommodation-and-undue-hardship-under-ada</w:t>
        </w:r>
      </w:hyperlink>
      <w:r w:rsidRPr="009C7451">
        <w:rPr>
          <w:rFonts w:ascii="Times New Roman" w:hAnsi="Times New Roman"/>
          <w:sz w:val="24"/>
          <w:szCs w:val="24"/>
        </w:rPr>
        <w:t xml:space="preserve"> </w:t>
      </w:r>
    </w:p>
    <w:p w14:paraId="1FC05AB6" w14:textId="77777777" w:rsidR="009C7451" w:rsidRPr="009C7451" w:rsidRDefault="009C7451" w:rsidP="009C7451">
      <w:pPr>
        <w:ind w:left="1440"/>
        <w:rPr>
          <w:rFonts w:ascii="Times New Roman" w:hAnsi="Times New Roman"/>
          <w:bCs/>
          <w:sz w:val="24"/>
          <w:szCs w:val="24"/>
        </w:rPr>
      </w:pPr>
      <w:r w:rsidRPr="009C7451">
        <w:rPr>
          <w:rFonts w:ascii="Times New Roman" w:hAnsi="Times New Roman"/>
          <w:sz w:val="24"/>
          <w:szCs w:val="24"/>
        </w:rPr>
        <w:t xml:space="preserve">“’Undue hardship’ means significant difficulty or expense and focuses on the resources and circumstances of the </w:t>
      </w:r>
      <w:proofErr w:type="gramStart"/>
      <w:r w:rsidRPr="009C7451">
        <w:rPr>
          <w:rFonts w:ascii="Times New Roman" w:hAnsi="Times New Roman"/>
          <w:sz w:val="24"/>
          <w:szCs w:val="24"/>
        </w:rPr>
        <w:t>particular employer</w:t>
      </w:r>
      <w:proofErr w:type="gramEnd"/>
      <w:r w:rsidRPr="009C7451">
        <w:rPr>
          <w:rFonts w:ascii="Times New Roman" w:hAnsi="Times New Roman"/>
          <w:sz w:val="24"/>
          <w:szCs w:val="24"/>
        </w:rPr>
        <w:t xml:space="preserve"> in relationship to the cost or difficulty of providing a specific accommodation. Undue hardship refers not only to financial difficulty, but to reasonable accommodations that are unduly extensive, substantial, or disruptive, or those that would fundamentally alter the nature or operation of the business.” </w:t>
      </w:r>
    </w:p>
    <w:p w14:paraId="679F75A2" w14:textId="77777777" w:rsidR="009C7451" w:rsidRPr="009C7451" w:rsidRDefault="009C7451" w:rsidP="005C30A4">
      <w:pPr>
        <w:pStyle w:val="NoSpacing"/>
        <w:rPr>
          <w:rFonts w:ascii="Times New Roman" w:hAnsi="Times New Roman"/>
          <w:sz w:val="24"/>
          <w:szCs w:val="24"/>
        </w:rPr>
      </w:pPr>
    </w:p>
    <w:p w14:paraId="77EA25D8" w14:textId="77777777" w:rsidR="00475136" w:rsidRDefault="00475136" w:rsidP="005C30A4">
      <w:pPr>
        <w:pStyle w:val="NoSpacing"/>
        <w:rPr>
          <w:rFonts w:ascii="Arial Black" w:hAnsi="Arial Black"/>
          <w:sz w:val="24"/>
          <w:szCs w:val="24"/>
        </w:rPr>
      </w:pPr>
    </w:p>
    <w:p w14:paraId="310ECAE7" w14:textId="77777777" w:rsidR="00456C91" w:rsidRDefault="00456C91" w:rsidP="005C30A4">
      <w:pPr>
        <w:pStyle w:val="NoSpacing"/>
        <w:rPr>
          <w:rFonts w:ascii="Arial Black" w:hAnsi="Arial Black"/>
          <w:sz w:val="24"/>
          <w:szCs w:val="24"/>
        </w:rPr>
      </w:pPr>
    </w:p>
    <w:p w14:paraId="4A721DED" w14:textId="0E035634" w:rsidR="001C7270" w:rsidRDefault="001C7270" w:rsidP="005C30A4">
      <w:pPr>
        <w:pStyle w:val="NoSpacing"/>
        <w:rPr>
          <w:rFonts w:ascii="Arial Black" w:hAnsi="Arial Black"/>
          <w:sz w:val="24"/>
          <w:szCs w:val="24"/>
        </w:rPr>
      </w:pPr>
      <w:r>
        <w:rPr>
          <w:rFonts w:ascii="Arial Black" w:hAnsi="Arial Black"/>
          <w:sz w:val="24"/>
          <w:szCs w:val="24"/>
        </w:rPr>
        <w:t>9-50</w:t>
      </w:r>
    </w:p>
    <w:p w14:paraId="24A8C7DB" w14:textId="77777777" w:rsidR="000408CA" w:rsidRDefault="000408CA" w:rsidP="005C30A4">
      <w:pPr>
        <w:pStyle w:val="NoSpacing"/>
        <w:rPr>
          <w:rFonts w:ascii="Arial Black" w:hAnsi="Arial Black"/>
          <w:sz w:val="24"/>
          <w:szCs w:val="24"/>
        </w:rPr>
      </w:pPr>
    </w:p>
    <w:p w14:paraId="79342861" w14:textId="77777777" w:rsidR="000408CA" w:rsidRPr="004737F6" w:rsidRDefault="000408CA" w:rsidP="000408CA">
      <w:pPr>
        <w:pStyle w:val="NoSpacing"/>
        <w:rPr>
          <w:rFonts w:ascii="Arial Black" w:hAnsi="Arial Black"/>
          <w:bCs/>
          <w:sz w:val="28"/>
          <w:szCs w:val="28"/>
        </w:rPr>
      </w:pPr>
      <w:r>
        <w:rPr>
          <w:rFonts w:ascii="Arial Black" w:hAnsi="Arial Black"/>
          <w:sz w:val="28"/>
          <w:szCs w:val="28"/>
        </w:rPr>
        <w:t xml:space="preserve">TX: HOSTILE WORK CLAIM - AGE, WEIGHT, PTSD </w:t>
      </w:r>
    </w:p>
    <w:p w14:paraId="60FE0D9E" w14:textId="77777777" w:rsidR="000408CA" w:rsidRDefault="000408CA" w:rsidP="000408CA">
      <w:pPr>
        <w:pStyle w:val="NoSpacing"/>
        <w:rPr>
          <w:bCs/>
        </w:rPr>
      </w:pPr>
    </w:p>
    <w:p w14:paraId="186027D1" w14:textId="77777777" w:rsidR="002C10A9" w:rsidRPr="002C10A9" w:rsidRDefault="002C10A9" w:rsidP="002C10A9">
      <w:pPr>
        <w:rPr>
          <w:rStyle w:val="Hyperlink"/>
          <w:rFonts w:ascii="Times New Roman" w:hAnsi="Times New Roman"/>
          <w:sz w:val="24"/>
          <w:szCs w:val="24"/>
        </w:rPr>
      </w:pPr>
      <w:r w:rsidRPr="002C10A9">
        <w:rPr>
          <w:rFonts w:ascii="Times New Roman" w:hAnsi="Times New Roman"/>
          <w:sz w:val="24"/>
          <w:szCs w:val="24"/>
        </w:rPr>
        <w:t xml:space="preserve">On Dec. 17, 2024, in </w:t>
      </w:r>
      <w:r w:rsidRPr="002C10A9">
        <w:rPr>
          <w:rFonts w:ascii="Times New Roman" w:hAnsi="Times New Roman"/>
          <w:sz w:val="24"/>
          <w:szCs w:val="24"/>
          <w:u w:val="single"/>
        </w:rPr>
        <w:t xml:space="preserve">Timothy B. </w:t>
      </w:r>
      <w:proofErr w:type="spellStart"/>
      <w:r w:rsidRPr="002C10A9">
        <w:rPr>
          <w:rFonts w:ascii="Times New Roman" w:hAnsi="Times New Roman"/>
          <w:sz w:val="24"/>
          <w:szCs w:val="24"/>
          <w:u w:val="single"/>
        </w:rPr>
        <w:t>Hauptrief</w:t>
      </w:r>
      <w:proofErr w:type="spellEnd"/>
      <w:r w:rsidRPr="002C10A9">
        <w:rPr>
          <w:rFonts w:ascii="Times New Roman" w:hAnsi="Times New Roman"/>
          <w:sz w:val="24"/>
          <w:szCs w:val="24"/>
          <w:u w:val="single"/>
        </w:rPr>
        <w:t xml:space="preserve"> v. Denver </w:t>
      </w:r>
      <w:proofErr w:type="spellStart"/>
      <w:r w:rsidRPr="002C10A9">
        <w:rPr>
          <w:rFonts w:ascii="Times New Roman" w:hAnsi="Times New Roman"/>
          <w:sz w:val="24"/>
          <w:szCs w:val="24"/>
          <w:u w:val="single"/>
        </w:rPr>
        <w:t>Teleford</w:t>
      </w:r>
      <w:proofErr w:type="spellEnd"/>
      <w:r w:rsidRPr="002C10A9">
        <w:rPr>
          <w:rFonts w:ascii="Times New Roman" w:hAnsi="Times New Roman"/>
          <w:sz w:val="24"/>
          <w:szCs w:val="24"/>
          <w:u w:val="single"/>
        </w:rPr>
        <w:t>, Fire Lieutenant, City of Converse, Texas</w:t>
      </w:r>
      <w:r w:rsidRPr="002C10A9">
        <w:rPr>
          <w:rFonts w:ascii="Times New Roman" w:hAnsi="Times New Roman"/>
          <w:sz w:val="24"/>
          <w:szCs w:val="24"/>
        </w:rPr>
        <w:t xml:space="preserve">, United States District Court Judge Fred Biery, U.S. District Court for Western District, San Antonio Division, held that lawsuit should proceed by the firefighter / paramedic’s claims under ADA and ADEA [Age Discrimination in Employment].  Plaintiff alleges that he suffered a hostile work environment due to his age, weight, and PTSD,  and also retaliation for complaining about lack of training.  </w:t>
      </w:r>
      <w:hyperlink r:id="rId1657" w:history="1">
        <w:r w:rsidRPr="002C10A9">
          <w:rPr>
            <w:rStyle w:val="Hyperlink"/>
            <w:rFonts w:ascii="Times New Roman" w:hAnsi="Times New Roman"/>
            <w:sz w:val="24"/>
            <w:szCs w:val="24"/>
          </w:rPr>
          <w:t>https://casetext.com/case/hauptrief-v-telford-1</w:t>
        </w:r>
      </w:hyperlink>
      <w:r w:rsidRPr="002C10A9">
        <w:rPr>
          <w:rStyle w:val="Hyperlink"/>
          <w:rFonts w:ascii="Times New Roman" w:hAnsi="Times New Roman"/>
          <w:sz w:val="24"/>
          <w:szCs w:val="24"/>
        </w:rPr>
        <w:t xml:space="preserve"> </w:t>
      </w:r>
    </w:p>
    <w:p w14:paraId="56010828" w14:textId="77777777" w:rsidR="002C10A9" w:rsidRDefault="002C10A9" w:rsidP="000408CA">
      <w:pPr>
        <w:pStyle w:val="NoSpacing"/>
        <w:rPr>
          <w:rFonts w:ascii="Times New Roman" w:hAnsi="Times New Roman"/>
          <w:sz w:val="24"/>
          <w:szCs w:val="24"/>
        </w:rPr>
      </w:pPr>
    </w:p>
    <w:p w14:paraId="0D5D5452" w14:textId="6D83026D" w:rsidR="000408CA" w:rsidRPr="000408CA" w:rsidRDefault="000408CA" w:rsidP="000408CA">
      <w:pPr>
        <w:pStyle w:val="NoSpacing"/>
        <w:rPr>
          <w:rFonts w:ascii="Times New Roman" w:hAnsi="Times New Roman"/>
          <w:bCs/>
          <w:sz w:val="24"/>
          <w:szCs w:val="24"/>
        </w:rPr>
      </w:pPr>
      <w:r w:rsidRPr="000408CA">
        <w:rPr>
          <w:rFonts w:ascii="Times New Roman" w:hAnsi="Times New Roman"/>
          <w:sz w:val="24"/>
          <w:szCs w:val="24"/>
        </w:rPr>
        <w:t>Judge Fred Biery wrote:</w:t>
      </w:r>
    </w:p>
    <w:p w14:paraId="5078932C" w14:textId="77777777" w:rsidR="000408CA" w:rsidRPr="000408CA" w:rsidRDefault="000408CA" w:rsidP="000408CA">
      <w:pPr>
        <w:pStyle w:val="NoSpacing"/>
        <w:ind w:left="720"/>
        <w:rPr>
          <w:rFonts w:ascii="Times New Roman" w:hAnsi="Times New Roman"/>
          <w:bCs/>
          <w:sz w:val="24"/>
          <w:szCs w:val="24"/>
        </w:rPr>
      </w:pPr>
    </w:p>
    <w:p w14:paraId="3CB2E077" w14:textId="77777777" w:rsidR="000408CA" w:rsidRPr="000408CA" w:rsidRDefault="000408CA" w:rsidP="000408CA">
      <w:pPr>
        <w:pStyle w:val="NoSpacing"/>
        <w:ind w:left="720"/>
        <w:rPr>
          <w:rFonts w:ascii="Times New Roman" w:hAnsi="Times New Roman"/>
          <w:sz w:val="24"/>
          <w:szCs w:val="24"/>
        </w:rPr>
      </w:pPr>
      <w:r w:rsidRPr="000408CA">
        <w:rPr>
          <w:rFonts w:ascii="Times New Roman" w:hAnsi="Times New Roman"/>
          <w:sz w:val="24"/>
          <w:szCs w:val="24"/>
        </w:rPr>
        <w:t>“Because no party has objected to the Magistrate Judge's Report and Recommendation, the Court need not conduct a de novo review…. The motion to dismiss the ADA and ADEA claims against the City of Converse, however, shall be denied.”</w:t>
      </w:r>
    </w:p>
    <w:p w14:paraId="355A1B22" w14:textId="77777777" w:rsidR="000408CA" w:rsidRPr="000408CA" w:rsidRDefault="000408CA" w:rsidP="000408CA">
      <w:pPr>
        <w:pStyle w:val="NoSpacing"/>
        <w:ind w:left="720"/>
        <w:rPr>
          <w:rFonts w:ascii="Times New Roman" w:hAnsi="Times New Roman"/>
          <w:sz w:val="24"/>
          <w:szCs w:val="24"/>
        </w:rPr>
      </w:pPr>
    </w:p>
    <w:p w14:paraId="5CCFC263" w14:textId="77777777" w:rsidR="000408CA" w:rsidRPr="000408CA" w:rsidRDefault="000408CA" w:rsidP="000408CA">
      <w:pPr>
        <w:pStyle w:val="NoSpacing"/>
        <w:ind w:left="720"/>
        <w:rPr>
          <w:rFonts w:ascii="Times New Roman" w:hAnsi="Times New Roman"/>
          <w:sz w:val="24"/>
          <w:szCs w:val="24"/>
        </w:rPr>
      </w:pPr>
      <w:r w:rsidRPr="000408CA">
        <w:rPr>
          <w:rFonts w:ascii="Times New Roman" w:hAnsi="Times New Roman"/>
          <w:sz w:val="24"/>
          <w:szCs w:val="24"/>
        </w:rPr>
        <w:t>***</w:t>
      </w:r>
    </w:p>
    <w:p w14:paraId="29614468" w14:textId="77777777" w:rsidR="000408CA" w:rsidRPr="000408CA" w:rsidRDefault="000408CA" w:rsidP="000408CA">
      <w:pPr>
        <w:pStyle w:val="NoSpacing"/>
        <w:ind w:left="720"/>
        <w:rPr>
          <w:rFonts w:ascii="Times New Roman" w:hAnsi="Times New Roman"/>
          <w:sz w:val="24"/>
          <w:szCs w:val="24"/>
        </w:rPr>
      </w:pPr>
      <w:r w:rsidRPr="000408CA">
        <w:rPr>
          <w:rFonts w:ascii="Times New Roman" w:hAnsi="Times New Roman"/>
          <w:sz w:val="24"/>
          <w:szCs w:val="24"/>
        </w:rPr>
        <w:t xml:space="preserve">[Magistrate Judge wrote: “Defendants' briefing discusses why Plaintiff's ADA and ADEA claims should be denied as to the individual </w:t>
      </w:r>
      <w:proofErr w:type="gramStart"/>
      <w:r w:rsidRPr="000408CA">
        <w:rPr>
          <w:rFonts w:ascii="Times New Roman" w:hAnsi="Times New Roman"/>
          <w:sz w:val="24"/>
          <w:szCs w:val="24"/>
        </w:rPr>
        <w:t>defendants,</w:t>
      </w:r>
      <w:proofErr w:type="gramEnd"/>
      <w:r w:rsidRPr="000408CA">
        <w:rPr>
          <w:rFonts w:ascii="Times New Roman" w:hAnsi="Times New Roman"/>
          <w:sz w:val="24"/>
          <w:szCs w:val="24"/>
        </w:rPr>
        <w:t xml:space="preserve"> the briefing fails to make </w:t>
      </w:r>
      <w:r w:rsidRPr="000408CA">
        <w:rPr>
          <w:rFonts w:ascii="Times New Roman" w:hAnsi="Times New Roman"/>
          <w:i/>
          <w:iCs/>
          <w:sz w:val="24"/>
          <w:szCs w:val="24"/>
        </w:rPr>
        <w:t>any</w:t>
      </w:r>
      <w:r w:rsidRPr="000408CA">
        <w:rPr>
          <w:rFonts w:ascii="Times New Roman" w:hAnsi="Times New Roman"/>
          <w:sz w:val="24"/>
          <w:szCs w:val="24"/>
        </w:rPr>
        <w:t xml:space="preserve"> argument as to why the ADA and ADEA claims against the </w:t>
      </w:r>
      <w:proofErr w:type="gramStart"/>
      <w:r w:rsidRPr="000408CA">
        <w:rPr>
          <w:rFonts w:ascii="Times New Roman" w:hAnsi="Times New Roman"/>
          <w:sz w:val="24"/>
          <w:szCs w:val="24"/>
        </w:rPr>
        <w:t>City</w:t>
      </w:r>
      <w:proofErr w:type="gramEnd"/>
      <w:r w:rsidRPr="000408CA">
        <w:rPr>
          <w:rFonts w:ascii="Times New Roman" w:hAnsi="Times New Roman"/>
          <w:sz w:val="24"/>
          <w:szCs w:val="24"/>
        </w:rPr>
        <w:t xml:space="preserve"> should be dismissed.”]</w:t>
      </w:r>
    </w:p>
    <w:p w14:paraId="138A079A" w14:textId="7CEC6054" w:rsidR="000408CA" w:rsidRPr="000408CA" w:rsidRDefault="000408CA" w:rsidP="000408CA">
      <w:pPr>
        <w:pStyle w:val="NoSpacing"/>
        <w:ind w:left="720"/>
        <w:rPr>
          <w:rFonts w:ascii="Times New Roman" w:hAnsi="Times New Roman"/>
          <w:sz w:val="24"/>
          <w:szCs w:val="24"/>
        </w:rPr>
      </w:pPr>
      <w:r w:rsidRPr="000408CA">
        <w:rPr>
          <w:rFonts w:ascii="Times New Roman" w:hAnsi="Times New Roman"/>
          <w:sz w:val="24"/>
          <w:szCs w:val="24"/>
        </w:rPr>
        <w:t xml:space="preserve"> </w:t>
      </w:r>
    </w:p>
    <w:p w14:paraId="1B17C02C" w14:textId="77777777" w:rsidR="000408CA" w:rsidRPr="000408CA" w:rsidRDefault="000408CA" w:rsidP="005C30A4">
      <w:pPr>
        <w:pStyle w:val="NoSpacing"/>
        <w:rPr>
          <w:rFonts w:ascii="Times New Roman" w:hAnsi="Times New Roman"/>
          <w:sz w:val="24"/>
          <w:szCs w:val="24"/>
        </w:rPr>
      </w:pPr>
    </w:p>
    <w:p w14:paraId="6AFB575A" w14:textId="77777777" w:rsidR="00113D38" w:rsidRPr="00113D38" w:rsidRDefault="00113D38" w:rsidP="00113D38">
      <w:pPr>
        <w:pStyle w:val="NoSpacing"/>
        <w:rPr>
          <w:rFonts w:ascii="Times New Roman" w:hAnsi="Times New Roman"/>
          <w:sz w:val="24"/>
          <w:szCs w:val="24"/>
        </w:rPr>
      </w:pPr>
      <w:r w:rsidRPr="00113D38">
        <w:rPr>
          <w:rFonts w:ascii="Times New Roman" w:hAnsi="Times New Roman"/>
          <w:sz w:val="24"/>
          <w:szCs w:val="24"/>
        </w:rPr>
        <w:t>HOLDING [by Magistrate Judge]</w:t>
      </w:r>
    </w:p>
    <w:p w14:paraId="47531487" w14:textId="77777777" w:rsidR="00113D38" w:rsidRPr="00113D38" w:rsidRDefault="00113D38" w:rsidP="00113D38">
      <w:pPr>
        <w:pStyle w:val="NoSpacing"/>
        <w:rPr>
          <w:rFonts w:ascii="Times New Roman" w:hAnsi="Times New Roman"/>
          <w:sz w:val="24"/>
          <w:szCs w:val="24"/>
        </w:rPr>
      </w:pPr>
    </w:p>
    <w:p w14:paraId="59474A32" w14:textId="77777777" w:rsidR="00113D38" w:rsidRPr="00113D38" w:rsidRDefault="00113D38" w:rsidP="00113D38">
      <w:pPr>
        <w:pStyle w:val="NoSpacing"/>
        <w:ind w:left="720"/>
        <w:rPr>
          <w:rFonts w:ascii="Times New Roman" w:hAnsi="Times New Roman"/>
          <w:sz w:val="24"/>
          <w:szCs w:val="24"/>
        </w:rPr>
      </w:pPr>
      <w:r w:rsidRPr="00113D38">
        <w:rPr>
          <w:rFonts w:ascii="Times New Roman" w:hAnsi="Times New Roman"/>
          <w:sz w:val="24"/>
          <w:szCs w:val="24"/>
        </w:rPr>
        <w:t>“Plaintiff pleads that his firing was in retaliation for complaining to Captain Oefinger in August 2023 and to the Fire Chief and Director of Human Resources in January 2024 about harassment, discrimination, and failure to train him related to his weight, age, and PTSD  …</w:t>
      </w:r>
    </w:p>
    <w:p w14:paraId="1EF64120" w14:textId="77777777" w:rsidR="00113D38" w:rsidRPr="00113D38" w:rsidRDefault="00113D38" w:rsidP="00113D38">
      <w:pPr>
        <w:pStyle w:val="NoSpacing"/>
        <w:ind w:left="720"/>
        <w:rPr>
          <w:rFonts w:ascii="Times New Roman" w:hAnsi="Times New Roman"/>
          <w:sz w:val="24"/>
          <w:szCs w:val="24"/>
        </w:rPr>
      </w:pPr>
    </w:p>
    <w:p w14:paraId="682D1DBF" w14:textId="77777777" w:rsidR="00113D38" w:rsidRPr="00113D38" w:rsidRDefault="00113D38" w:rsidP="00113D38">
      <w:pPr>
        <w:pStyle w:val="NoSpacing"/>
        <w:ind w:left="720"/>
        <w:rPr>
          <w:rFonts w:ascii="Times New Roman" w:hAnsi="Times New Roman"/>
          <w:sz w:val="24"/>
          <w:szCs w:val="24"/>
        </w:rPr>
      </w:pPr>
      <w:r w:rsidRPr="00113D38">
        <w:rPr>
          <w:rFonts w:ascii="Times New Roman" w:hAnsi="Times New Roman"/>
          <w:sz w:val="24"/>
          <w:szCs w:val="24"/>
        </w:rPr>
        <w:t>***</w:t>
      </w:r>
    </w:p>
    <w:p w14:paraId="25DB2046" w14:textId="77777777" w:rsidR="00113D38" w:rsidRPr="00113D38" w:rsidRDefault="00113D38" w:rsidP="00113D38">
      <w:pPr>
        <w:pStyle w:val="NoSpacing"/>
        <w:ind w:left="720"/>
        <w:rPr>
          <w:rFonts w:ascii="Times New Roman" w:hAnsi="Times New Roman"/>
          <w:sz w:val="24"/>
          <w:szCs w:val="24"/>
        </w:rPr>
      </w:pPr>
    </w:p>
    <w:p w14:paraId="6271E8E1" w14:textId="77777777" w:rsidR="00113D38" w:rsidRPr="00113D38" w:rsidRDefault="00113D38" w:rsidP="00113D38">
      <w:pPr>
        <w:pStyle w:val="NoSpacing"/>
        <w:ind w:left="720"/>
        <w:rPr>
          <w:rFonts w:ascii="Times New Roman" w:hAnsi="Times New Roman"/>
          <w:bCs/>
          <w:sz w:val="24"/>
          <w:szCs w:val="24"/>
        </w:rPr>
      </w:pPr>
      <w:r w:rsidRPr="00113D38">
        <w:rPr>
          <w:rFonts w:ascii="Times New Roman" w:hAnsi="Times New Roman"/>
          <w:sz w:val="24"/>
          <w:szCs w:val="24"/>
        </w:rPr>
        <w:t xml:space="preserve">E. </w:t>
      </w:r>
      <w:r w:rsidRPr="00113D38">
        <w:rPr>
          <w:rFonts w:ascii="Times New Roman" w:hAnsi="Times New Roman"/>
          <w:i/>
          <w:iCs/>
          <w:sz w:val="24"/>
          <w:szCs w:val="24"/>
        </w:rPr>
        <w:t>Plaintiff's ADA and ADEA Claims Against the City</w:t>
      </w:r>
      <w:r w:rsidRPr="00113D38">
        <w:rPr>
          <w:rFonts w:ascii="Times New Roman" w:hAnsi="Times New Roman"/>
          <w:sz w:val="24"/>
          <w:szCs w:val="24"/>
        </w:rPr>
        <w:t xml:space="preserve"> </w:t>
      </w:r>
    </w:p>
    <w:p w14:paraId="46FFFC92" w14:textId="77777777" w:rsidR="00113D38" w:rsidRPr="00113D38" w:rsidRDefault="00113D38" w:rsidP="00113D38">
      <w:pPr>
        <w:pStyle w:val="NoSpacing"/>
        <w:ind w:left="720"/>
        <w:rPr>
          <w:rFonts w:ascii="Times New Roman" w:hAnsi="Times New Roman"/>
          <w:sz w:val="24"/>
          <w:szCs w:val="24"/>
        </w:rPr>
      </w:pPr>
    </w:p>
    <w:p w14:paraId="6589380A" w14:textId="77777777" w:rsidR="00113D38" w:rsidRPr="00113D38" w:rsidRDefault="00113D38" w:rsidP="00113D38">
      <w:pPr>
        <w:pStyle w:val="NoSpacing"/>
        <w:ind w:left="720"/>
        <w:rPr>
          <w:rFonts w:ascii="Times New Roman" w:hAnsi="Times New Roman"/>
          <w:sz w:val="24"/>
          <w:szCs w:val="24"/>
        </w:rPr>
      </w:pPr>
      <w:r w:rsidRPr="00113D38">
        <w:rPr>
          <w:rFonts w:ascii="Times New Roman" w:hAnsi="Times New Roman"/>
          <w:sz w:val="24"/>
          <w:szCs w:val="24"/>
        </w:rPr>
        <w:t xml:space="preserve">Plaintiff alleges that he suffered a hostile work environment under the ADA and ADEA due to his age and his disability, and that he was discriminated against due to his weight and PTSD and retaliated </w:t>
      </w:r>
      <w:r w:rsidRPr="00113D38">
        <w:rPr>
          <w:rFonts w:ascii="Times New Roman" w:hAnsi="Times New Roman"/>
          <w:sz w:val="24"/>
          <w:szCs w:val="24"/>
        </w:rPr>
        <w:lastRenderedPageBreak/>
        <w:t xml:space="preserve">against him for complaining about this discrimination. (Am. </w:t>
      </w:r>
      <w:proofErr w:type="spellStart"/>
      <w:r w:rsidRPr="00113D38">
        <w:rPr>
          <w:rFonts w:ascii="Times New Roman" w:hAnsi="Times New Roman"/>
          <w:sz w:val="24"/>
          <w:szCs w:val="24"/>
        </w:rPr>
        <w:t>Compl</w:t>
      </w:r>
      <w:proofErr w:type="spellEnd"/>
      <w:r w:rsidRPr="00113D38">
        <w:rPr>
          <w:rFonts w:ascii="Times New Roman" w:hAnsi="Times New Roman"/>
          <w:sz w:val="24"/>
          <w:szCs w:val="24"/>
        </w:rPr>
        <w:t xml:space="preserve">. [#26], at 5, 10-12, 16.) While Defendants' motion to dismiss is styled as a motion to dismiss all claims, and Defendants' briefing discusses why Plaintiff's ADA and ADEA claims should be denied as to the individual defendants, the briefing fails to make </w:t>
      </w:r>
      <w:r w:rsidRPr="00113D38">
        <w:rPr>
          <w:rFonts w:ascii="Times New Roman" w:hAnsi="Times New Roman"/>
          <w:i/>
          <w:iCs/>
          <w:sz w:val="24"/>
          <w:szCs w:val="24"/>
        </w:rPr>
        <w:t>any</w:t>
      </w:r>
      <w:r w:rsidRPr="00113D38">
        <w:rPr>
          <w:rFonts w:ascii="Times New Roman" w:hAnsi="Times New Roman"/>
          <w:sz w:val="24"/>
          <w:szCs w:val="24"/>
        </w:rPr>
        <w:t xml:space="preserve"> argument as to why the ADA and ADEA claims against the </w:t>
      </w:r>
      <w:proofErr w:type="gramStart"/>
      <w:r w:rsidRPr="00113D38">
        <w:rPr>
          <w:rFonts w:ascii="Times New Roman" w:hAnsi="Times New Roman"/>
          <w:sz w:val="24"/>
          <w:szCs w:val="24"/>
        </w:rPr>
        <w:t>City</w:t>
      </w:r>
      <w:proofErr w:type="gramEnd"/>
      <w:r w:rsidRPr="00113D38">
        <w:rPr>
          <w:rFonts w:ascii="Times New Roman" w:hAnsi="Times New Roman"/>
          <w:sz w:val="24"/>
          <w:szCs w:val="24"/>
        </w:rPr>
        <w:t xml:space="preserve"> should be dismissed. The Court should therefore deny the Defendants' motion to dismiss the ADA and ADEA claims against the </w:t>
      </w:r>
      <w:proofErr w:type="gramStart"/>
      <w:r w:rsidRPr="00113D38">
        <w:rPr>
          <w:rFonts w:ascii="Times New Roman" w:hAnsi="Times New Roman"/>
          <w:sz w:val="24"/>
          <w:szCs w:val="24"/>
        </w:rPr>
        <w:t>City</w:t>
      </w:r>
      <w:proofErr w:type="gramEnd"/>
      <w:r w:rsidRPr="00113D38">
        <w:rPr>
          <w:rFonts w:ascii="Times New Roman" w:hAnsi="Times New Roman"/>
          <w:sz w:val="24"/>
          <w:szCs w:val="24"/>
        </w:rPr>
        <w:t xml:space="preserve">. </w:t>
      </w:r>
    </w:p>
    <w:p w14:paraId="5C37D104" w14:textId="77777777" w:rsidR="00113D38" w:rsidRPr="00113D38" w:rsidRDefault="00113D38" w:rsidP="00113D38">
      <w:pPr>
        <w:pStyle w:val="NoSpacing"/>
        <w:ind w:left="720"/>
        <w:rPr>
          <w:rFonts w:ascii="Times New Roman" w:hAnsi="Times New Roman"/>
          <w:sz w:val="24"/>
          <w:szCs w:val="24"/>
        </w:rPr>
      </w:pPr>
    </w:p>
    <w:p w14:paraId="645A6A2E" w14:textId="77777777" w:rsidR="00113D38" w:rsidRPr="00113D38" w:rsidRDefault="00113D38" w:rsidP="00113D38">
      <w:pPr>
        <w:pStyle w:val="NoSpacing"/>
        <w:ind w:left="720"/>
        <w:rPr>
          <w:rFonts w:ascii="Times New Roman" w:hAnsi="Times New Roman"/>
          <w:sz w:val="24"/>
          <w:szCs w:val="24"/>
        </w:rPr>
      </w:pPr>
      <w:r w:rsidRPr="00113D38">
        <w:rPr>
          <w:rFonts w:ascii="Times New Roman" w:hAnsi="Times New Roman"/>
          <w:sz w:val="24"/>
          <w:szCs w:val="24"/>
        </w:rPr>
        <w:t>***</w:t>
      </w:r>
    </w:p>
    <w:p w14:paraId="7BA85DD8" w14:textId="77777777" w:rsidR="00113D38" w:rsidRPr="00113D38" w:rsidRDefault="00113D38" w:rsidP="00113D38">
      <w:pPr>
        <w:pStyle w:val="NoSpacing"/>
        <w:ind w:left="720"/>
        <w:rPr>
          <w:rFonts w:ascii="Times New Roman" w:hAnsi="Times New Roman"/>
          <w:sz w:val="24"/>
          <w:szCs w:val="24"/>
        </w:rPr>
      </w:pPr>
      <w:r w:rsidRPr="00113D38">
        <w:rPr>
          <w:rFonts w:ascii="Times New Roman" w:hAnsi="Times New Roman"/>
          <w:sz w:val="24"/>
          <w:szCs w:val="24"/>
        </w:rPr>
        <w:t xml:space="preserve">Defendants' motion to dismiss Plaintiff's discrimination and retaliation claims under the Americans with Disabilities Act and Age Discrimination in Employment Act against the City of Converse be </w:t>
      </w:r>
      <w:r w:rsidRPr="00113D38">
        <w:rPr>
          <w:rFonts w:ascii="Times New Roman" w:hAnsi="Times New Roman"/>
          <w:b/>
          <w:sz w:val="24"/>
          <w:szCs w:val="24"/>
        </w:rPr>
        <w:t>DENIED</w:t>
      </w:r>
      <w:r w:rsidRPr="00113D38">
        <w:rPr>
          <w:rFonts w:ascii="Times New Roman" w:hAnsi="Times New Roman"/>
          <w:sz w:val="24"/>
          <w:szCs w:val="24"/>
        </w:rPr>
        <w:t>. These claims should proceed to discovery.”</w:t>
      </w:r>
    </w:p>
    <w:p w14:paraId="05252055" w14:textId="77777777" w:rsidR="00113D38" w:rsidRPr="00113D38" w:rsidRDefault="00113D38" w:rsidP="00113D38">
      <w:pPr>
        <w:pStyle w:val="NoSpacing"/>
        <w:ind w:left="720"/>
        <w:rPr>
          <w:rFonts w:ascii="Times New Roman" w:hAnsi="Times New Roman"/>
          <w:sz w:val="24"/>
          <w:szCs w:val="24"/>
        </w:rPr>
      </w:pPr>
    </w:p>
    <w:p w14:paraId="7C560FE7" w14:textId="77777777" w:rsidR="00113D38" w:rsidRPr="00113D38" w:rsidRDefault="00113D38" w:rsidP="00113D38">
      <w:pPr>
        <w:pStyle w:val="NoSpacing"/>
        <w:rPr>
          <w:rFonts w:ascii="Times New Roman" w:hAnsi="Times New Roman"/>
          <w:sz w:val="24"/>
          <w:szCs w:val="24"/>
        </w:rPr>
      </w:pPr>
      <w:r w:rsidRPr="00113D38">
        <w:rPr>
          <w:rFonts w:ascii="Times New Roman" w:hAnsi="Times New Roman"/>
          <w:b/>
          <w:sz w:val="24"/>
          <w:szCs w:val="24"/>
        </w:rPr>
        <w:t xml:space="preserve">Legal Lesson Learned:  Internal complaints of hazing, training or otherwise should be promptly and thoroughly investigated, with a written report;  the report can then be filed with court if there is subsequent litigation. </w:t>
      </w:r>
    </w:p>
    <w:p w14:paraId="0CAD0583" w14:textId="77777777" w:rsidR="00113D38" w:rsidRPr="00113D38" w:rsidRDefault="00113D38" w:rsidP="00113D38">
      <w:pPr>
        <w:pStyle w:val="NoSpacing"/>
        <w:ind w:left="720"/>
        <w:rPr>
          <w:rFonts w:ascii="Times New Roman" w:hAnsi="Times New Roman"/>
          <w:sz w:val="24"/>
          <w:szCs w:val="24"/>
        </w:rPr>
      </w:pPr>
    </w:p>
    <w:p w14:paraId="0221B961" w14:textId="77777777" w:rsidR="001C7270" w:rsidRDefault="001C7270" w:rsidP="005C30A4">
      <w:pPr>
        <w:pStyle w:val="NoSpacing"/>
        <w:rPr>
          <w:rFonts w:ascii="Arial Black" w:hAnsi="Arial Black"/>
          <w:sz w:val="24"/>
          <w:szCs w:val="24"/>
        </w:rPr>
      </w:pPr>
    </w:p>
    <w:p w14:paraId="151EAC86" w14:textId="77777777" w:rsidR="001C7270" w:rsidRDefault="001C7270" w:rsidP="005C30A4">
      <w:pPr>
        <w:pStyle w:val="NoSpacing"/>
        <w:rPr>
          <w:rFonts w:ascii="Arial Black" w:hAnsi="Arial Black"/>
          <w:sz w:val="24"/>
          <w:szCs w:val="24"/>
        </w:rPr>
      </w:pPr>
    </w:p>
    <w:p w14:paraId="2557C397" w14:textId="62D15E61" w:rsidR="002077DA" w:rsidRDefault="002077DA" w:rsidP="005C30A4">
      <w:pPr>
        <w:pStyle w:val="NoSpacing"/>
        <w:rPr>
          <w:rFonts w:ascii="Arial Black" w:hAnsi="Arial Black"/>
          <w:sz w:val="24"/>
          <w:szCs w:val="24"/>
        </w:rPr>
      </w:pPr>
      <w:r>
        <w:rPr>
          <w:rFonts w:ascii="Arial Black" w:hAnsi="Arial Black"/>
          <w:sz w:val="24"/>
          <w:szCs w:val="24"/>
        </w:rPr>
        <w:t>9-49</w:t>
      </w:r>
    </w:p>
    <w:p w14:paraId="2D86FD95" w14:textId="77777777" w:rsidR="002077DA" w:rsidRDefault="002077DA" w:rsidP="005C30A4">
      <w:pPr>
        <w:pStyle w:val="NoSpacing"/>
        <w:rPr>
          <w:rFonts w:ascii="Arial Black" w:hAnsi="Arial Black"/>
          <w:sz w:val="24"/>
          <w:szCs w:val="24"/>
        </w:rPr>
      </w:pPr>
    </w:p>
    <w:p w14:paraId="42976820" w14:textId="77777777" w:rsidR="001E5BE7" w:rsidRPr="001A7E68" w:rsidRDefault="001E5BE7" w:rsidP="001E5BE7">
      <w:pPr>
        <w:pStyle w:val="NoSpacing"/>
        <w:rPr>
          <w:rFonts w:ascii="Arial Black" w:hAnsi="Arial Black"/>
          <w:b/>
          <w:sz w:val="28"/>
          <w:szCs w:val="28"/>
        </w:rPr>
      </w:pPr>
      <w:r>
        <w:rPr>
          <w:rFonts w:ascii="Arial Black" w:hAnsi="Arial Black"/>
          <w:b/>
          <w:sz w:val="28"/>
          <w:szCs w:val="28"/>
        </w:rPr>
        <w:t>NJ: BROKE FOOT – PROMOTION TO CAPT. DELAYED</w:t>
      </w:r>
    </w:p>
    <w:p w14:paraId="458270C3" w14:textId="77777777" w:rsidR="001E5BE7" w:rsidRDefault="001E5BE7" w:rsidP="001E5BE7">
      <w:pPr>
        <w:pStyle w:val="NoSpacing"/>
        <w:rPr>
          <w:b/>
        </w:rPr>
      </w:pPr>
    </w:p>
    <w:p w14:paraId="7075EBE4" w14:textId="77777777" w:rsidR="00896D75" w:rsidRPr="00896D75" w:rsidRDefault="00896D75" w:rsidP="00896D75">
      <w:pPr>
        <w:rPr>
          <w:rStyle w:val="Hyperlink"/>
          <w:rFonts w:ascii="Times New Roman" w:hAnsi="Times New Roman"/>
          <w:bCs/>
          <w:sz w:val="24"/>
          <w:szCs w:val="24"/>
        </w:rPr>
      </w:pPr>
      <w:r w:rsidRPr="00896D75">
        <w:rPr>
          <w:rFonts w:ascii="Times New Roman" w:hAnsi="Times New Roman"/>
          <w:sz w:val="24"/>
          <w:szCs w:val="24"/>
        </w:rPr>
        <w:t xml:space="preserve">On Dec. 10, 2024, in </w:t>
      </w:r>
      <w:r w:rsidRPr="00896D75">
        <w:rPr>
          <w:rFonts w:ascii="Times New Roman" w:hAnsi="Times New Roman"/>
          <w:sz w:val="24"/>
          <w:szCs w:val="24"/>
          <w:u w:val="single"/>
        </w:rPr>
        <w:t>Jersey City IAFF Local 1066 v. City of Jersey City</w:t>
      </w:r>
      <w:r w:rsidRPr="00896D75">
        <w:rPr>
          <w:rFonts w:ascii="Times New Roman" w:hAnsi="Times New Roman"/>
          <w:sz w:val="24"/>
          <w:szCs w:val="24"/>
        </w:rPr>
        <w:t xml:space="preserve">, the Superior Court of New Jersey, Appellate Division, held (3 to 0; unpublished decision) that trial court improperly dismissed the lawsuit.  The city delayed the promotion of a Captain, who broke his foot on duty, until he could return to work. </w:t>
      </w:r>
      <w:hyperlink r:id="rId1658" w:history="1">
        <w:r w:rsidRPr="00896D75">
          <w:rPr>
            <w:rStyle w:val="Hyperlink"/>
            <w:rFonts w:ascii="Times New Roman" w:hAnsi="Times New Roman"/>
            <w:sz w:val="24"/>
            <w:szCs w:val="24"/>
          </w:rPr>
          <w:t>https://www.njcourts.gov/system/files/court-opinions/2024/a0448-23.pdf</w:t>
        </w:r>
      </w:hyperlink>
    </w:p>
    <w:p w14:paraId="3D45724D" w14:textId="77777777" w:rsidR="00896D75" w:rsidRDefault="00896D75" w:rsidP="001E5BE7">
      <w:pPr>
        <w:pStyle w:val="NoSpacing"/>
        <w:rPr>
          <w:rFonts w:ascii="Times New Roman" w:hAnsi="Times New Roman"/>
          <w:sz w:val="24"/>
          <w:szCs w:val="24"/>
        </w:rPr>
      </w:pPr>
    </w:p>
    <w:p w14:paraId="382CBA36" w14:textId="2A8BED5C" w:rsidR="001E5BE7" w:rsidRPr="001E5BE7" w:rsidRDefault="001E5BE7" w:rsidP="001E5BE7">
      <w:pPr>
        <w:pStyle w:val="NoSpacing"/>
        <w:rPr>
          <w:rFonts w:ascii="Times New Roman" w:hAnsi="Times New Roman"/>
          <w:bCs/>
          <w:sz w:val="24"/>
          <w:szCs w:val="24"/>
        </w:rPr>
      </w:pPr>
      <w:r w:rsidRPr="001E5BE7">
        <w:rPr>
          <w:rFonts w:ascii="Times New Roman" w:hAnsi="Times New Roman"/>
          <w:sz w:val="24"/>
          <w:szCs w:val="24"/>
        </w:rPr>
        <w:t>The Court wrote:</w:t>
      </w:r>
    </w:p>
    <w:p w14:paraId="26F08D80" w14:textId="77777777" w:rsidR="001E5BE7" w:rsidRPr="001E5BE7" w:rsidRDefault="001E5BE7" w:rsidP="001E5BE7">
      <w:pPr>
        <w:pStyle w:val="NoSpacing"/>
        <w:rPr>
          <w:rFonts w:ascii="Times New Roman" w:hAnsi="Times New Roman"/>
          <w:b/>
          <w:sz w:val="24"/>
          <w:szCs w:val="24"/>
        </w:rPr>
      </w:pPr>
    </w:p>
    <w:p w14:paraId="75711FD8" w14:textId="77777777" w:rsidR="001E5BE7" w:rsidRPr="001E5BE7" w:rsidRDefault="001E5BE7" w:rsidP="001E5BE7">
      <w:pPr>
        <w:pStyle w:val="NoSpacing"/>
        <w:ind w:left="720"/>
        <w:rPr>
          <w:rFonts w:ascii="Times New Roman" w:hAnsi="Times New Roman"/>
          <w:bCs/>
          <w:sz w:val="24"/>
          <w:szCs w:val="24"/>
        </w:rPr>
      </w:pPr>
      <w:r w:rsidRPr="001E5BE7">
        <w:rPr>
          <w:rFonts w:ascii="Times New Roman" w:hAnsi="Times New Roman"/>
          <w:b/>
          <w:sz w:val="24"/>
          <w:szCs w:val="24"/>
        </w:rPr>
        <w:t>“</w:t>
      </w:r>
      <w:r w:rsidRPr="001E5BE7">
        <w:rPr>
          <w:rFonts w:ascii="Times New Roman" w:hAnsi="Times New Roman"/>
          <w:sz w:val="24"/>
          <w:szCs w:val="24"/>
        </w:rPr>
        <w:t>Plaintiff [IAFF Local 1066] became aware of the previously undisclosed promotion policy when firefighter Richard Mulligan was denied a promotion to captain while he</w:t>
      </w:r>
    </w:p>
    <w:p w14:paraId="0FDF9217" w14:textId="77777777" w:rsidR="001E5BE7" w:rsidRPr="001E5BE7" w:rsidRDefault="001E5BE7" w:rsidP="001E5BE7">
      <w:pPr>
        <w:pStyle w:val="NoSpacing"/>
        <w:ind w:left="720"/>
        <w:rPr>
          <w:rFonts w:ascii="Times New Roman" w:hAnsi="Times New Roman"/>
          <w:bCs/>
          <w:sz w:val="24"/>
          <w:szCs w:val="24"/>
        </w:rPr>
      </w:pPr>
      <w:r w:rsidRPr="001E5BE7">
        <w:rPr>
          <w:rFonts w:ascii="Times New Roman" w:hAnsi="Times New Roman"/>
          <w:sz w:val="24"/>
          <w:szCs w:val="24"/>
        </w:rPr>
        <w:t>was on injury leave. Mulligan broke his foot while on duty in June 2022. He was expecting a promotion to captain on July 1. However, when he arrived at the promotion ceremony with his family, he learned he would not be promoted because he was on injury leave….  Although he was eventually promoted, the delay affected his seniority status.</w:t>
      </w:r>
    </w:p>
    <w:p w14:paraId="0EF43022" w14:textId="77777777" w:rsidR="001E5BE7" w:rsidRPr="001E5BE7" w:rsidRDefault="001E5BE7" w:rsidP="001E5BE7">
      <w:pPr>
        <w:pStyle w:val="NoSpacing"/>
        <w:ind w:left="720"/>
        <w:rPr>
          <w:rFonts w:ascii="Times New Roman" w:hAnsi="Times New Roman"/>
          <w:bCs/>
          <w:sz w:val="24"/>
          <w:szCs w:val="24"/>
        </w:rPr>
      </w:pPr>
    </w:p>
    <w:p w14:paraId="48E74F89" w14:textId="77777777" w:rsidR="001E5BE7" w:rsidRPr="001E5BE7" w:rsidRDefault="001E5BE7" w:rsidP="001E5BE7">
      <w:pPr>
        <w:pStyle w:val="NoSpacing"/>
        <w:ind w:left="720"/>
        <w:rPr>
          <w:rFonts w:ascii="Times New Roman" w:hAnsi="Times New Roman"/>
          <w:bCs/>
          <w:sz w:val="24"/>
          <w:szCs w:val="24"/>
        </w:rPr>
      </w:pPr>
      <w:r w:rsidRPr="001E5BE7">
        <w:rPr>
          <w:rFonts w:ascii="Times New Roman" w:hAnsi="Times New Roman"/>
          <w:sz w:val="24"/>
          <w:szCs w:val="24"/>
        </w:rPr>
        <w:t>***</w:t>
      </w:r>
    </w:p>
    <w:p w14:paraId="6CE303AC" w14:textId="77777777" w:rsidR="001E5BE7" w:rsidRPr="001E5BE7" w:rsidRDefault="001E5BE7" w:rsidP="001E5BE7">
      <w:pPr>
        <w:pStyle w:val="NoSpacing"/>
        <w:ind w:left="720"/>
        <w:rPr>
          <w:rFonts w:ascii="Times New Roman" w:hAnsi="Times New Roman"/>
          <w:bCs/>
          <w:sz w:val="24"/>
          <w:szCs w:val="24"/>
        </w:rPr>
      </w:pPr>
      <w:r w:rsidRPr="001E5BE7">
        <w:rPr>
          <w:rFonts w:ascii="Times New Roman" w:hAnsi="Times New Roman"/>
          <w:sz w:val="24"/>
          <w:szCs w:val="24"/>
        </w:rPr>
        <w:t>Plaintiff alleges the promotion policy is facially discriminatory, and it has presented sufficient evidence of direct discrimination and retaliation to survive the dismissal motion</w:t>
      </w:r>
    </w:p>
    <w:p w14:paraId="5C10D392" w14:textId="4211171A" w:rsidR="001E5BE7" w:rsidRDefault="001E5BE7" w:rsidP="001E5BE7">
      <w:pPr>
        <w:pStyle w:val="NoSpacing"/>
        <w:ind w:left="720"/>
        <w:rPr>
          <w:bCs/>
        </w:rPr>
      </w:pPr>
      <w:r w:rsidRPr="001E5BE7">
        <w:rPr>
          <w:rFonts w:ascii="Times New Roman" w:hAnsi="Times New Roman"/>
          <w:sz w:val="24"/>
          <w:szCs w:val="24"/>
        </w:rPr>
        <w:t>regarding the promotion policy 11 A-0448-23. In giving plaintiff every reasonable inference of fact, as we must, we are satisfied plaintiff has presented sufficient facts to support its cause of action. Therefore, we vacate the order of dismissal</w:t>
      </w:r>
      <w:r>
        <w:t xml:space="preserve"> </w:t>
      </w:r>
    </w:p>
    <w:p w14:paraId="6B554DD2" w14:textId="77777777" w:rsidR="001E5BE7" w:rsidRDefault="001E5BE7" w:rsidP="005C30A4">
      <w:pPr>
        <w:pStyle w:val="NoSpacing"/>
        <w:rPr>
          <w:rFonts w:ascii="Arial Black" w:hAnsi="Arial Black"/>
          <w:sz w:val="24"/>
          <w:szCs w:val="24"/>
        </w:rPr>
      </w:pPr>
    </w:p>
    <w:p w14:paraId="49C39DDF" w14:textId="77777777" w:rsidR="001C7270" w:rsidRPr="001C7270" w:rsidRDefault="001C7270" w:rsidP="001C7270">
      <w:pPr>
        <w:pStyle w:val="NoSpacing"/>
        <w:rPr>
          <w:rFonts w:ascii="Times New Roman" w:hAnsi="Times New Roman"/>
          <w:bCs/>
          <w:sz w:val="24"/>
          <w:szCs w:val="24"/>
        </w:rPr>
      </w:pPr>
      <w:r w:rsidRPr="001C7270">
        <w:rPr>
          <w:rFonts w:ascii="Times New Roman" w:hAnsi="Times New Roman"/>
          <w:sz w:val="24"/>
          <w:szCs w:val="24"/>
        </w:rPr>
        <w:t>HOLDING:</w:t>
      </w:r>
    </w:p>
    <w:p w14:paraId="708C3F16" w14:textId="77777777" w:rsidR="001C7270" w:rsidRPr="001C7270" w:rsidRDefault="001C7270" w:rsidP="001C7270">
      <w:pPr>
        <w:pStyle w:val="NoSpacing"/>
        <w:rPr>
          <w:rFonts w:ascii="Times New Roman" w:hAnsi="Times New Roman"/>
          <w:bCs/>
          <w:sz w:val="24"/>
          <w:szCs w:val="24"/>
        </w:rPr>
      </w:pPr>
    </w:p>
    <w:p w14:paraId="4F5D2F58" w14:textId="77777777" w:rsidR="001C7270" w:rsidRPr="001C7270" w:rsidRDefault="001C7270" w:rsidP="001C7270">
      <w:pPr>
        <w:pStyle w:val="NoSpacing"/>
        <w:ind w:firstLine="720"/>
        <w:rPr>
          <w:rFonts w:ascii="Times New Roman" w:hAnsi="Times New Roman"/>
          <w:bCs/>
          <w:sz w:val="24"/>
          <w:szCs w:val="24"/>
        </w:rPr>
      </w:pPr>
      <w:r w:rsidRPr="001C7270">
        <w:rPr>
          <w:rFonts w:ascii="Times New Roman" w:hAnsi="Times New Roman"/>
          <w:sz w:val="24"/>
          <w:szCs w:val="24"/>
        </w:rPr>
        <w:t>“Plaintiff alleged temporarily disabled firefighters are a protected class</w:t>
      </w:r>
    </w:p>
    <w:p w14:paraId="44EE22A7" w14:textId="77777777" w:rsidR="001C7270" w:rsidRPr="001C7270" w:rsidRDefault="001C7270" w:rsidP="001C7270">
      <w:pPr>
        <w:pStyle w:val="NoSpacing"/>
        <w:ind w:firstLine="720"/>
        <w:rPr>
          <w:rFonts w:ascii="Times New Roman" w:hAnsi="Times New Roman"/>
          <w:bCs/>
          <w:sz w:val="24"/>
          <w:szCs w:val="24"/>
        </w:rPr>
      </w:pPr>
      <w:r w:rsidRPr="001C7270">
        <w:rPr>
          <w:rFonts w:ascii="Times New Roman" w:hAnsi="Times New Roman"/>
          <w:sz w:val="24"/>
          <w:szCs w:val="24"/>
        </w:rPr>
        <w:t>under LAD and entitled to an accommodation. Plaintiff further alleged that</w:t>
      </w:r>
    </w:p>
    <w:p w14:paraId="7EB438C8" w14:textId="77777777" w:rsidR="001C7270" w:rsidRPr="001C7270" w:rsidRDefault="001C7270" w:rsidP="001C7270">
      <w:pPr>
        <w:pStyle w:val="NoSpacing"/>
        <w:ind w:firstLine="720"/>
        <w:rPr>
          <w:rFonts w:ascii="Times New Roman" w:hAnsi="Times New Roman"/>
          <w:bCs/>
          <w:sz w:val="24"/>
          <w:szCs w:val="24"/>
        </w:rPr>
      </w:pPr>
      <w:r w:rsidRPr="001C7270">
        <w:rPr>
          <w:rFonts w:ascii="Times New Roman" w:hAnsi="Times New Roman"/>
          <w:sz w:val="24"/>
          <w:szCs w:val="24"/>
        </w:rPr>
        <w:t>denying an eligible firefighter a promotion without considering an</w:t>
      </w:r>
    </w:p>
    <w:p w14:paraId="62F341DF" w14:textId="77777777" w:rsidR="001C7270" w:rsidRPr="001C7270" w:rsidRDefault="001C7270" w:rsidP="001C7270">
      <w:pPr>
        <w:pStyle w:val="NoSpacing"/>
        <w:ind w:firstLine="720"/>
        <w:rPr>
          <w:rFonts w:ascii="Times New Roman" w:hAnsi="Times New Roman"/>
          <w:bCs/>
          <w:sz w:val="24"/>
          <w:szCs w:val="24"/>
        </w:rPr>
      </w:pPr>
      <w:r w:rsidRPr="001C7270">
        <w:rPr>
          <w:rFonts w:ascii="Times New Roman" w:hAnsi="Times New Roman"/>
          <w:sz w:val="24"/>
          <w:szCs w:val="24"/>
        </w:rPr>
        <w:t>accommodation is retaliatory and violates the LAD. Plaintiff alleges the</w:t>
      </w:r>
    </w:p>
    <w:p w14:paraId="2932F389" w14:textId="77777777" w:rsidR="001C7270" w:rsidRPr="001C7270" w:rsidRDefault="001C7270" w:rsidP="001C7270">
      <w:pPr>
        <w:pStyle w:val="NoSpacing"/>
        <w:ind w:firstLine="720"/>
        <w:rPr>
          <w:rFonts w:ascii="Times New Roman" w:hAnsi="Times New Roman"/>
          <w:bCs/>
          <w:sz w:val="24"/>
          <w:szCs w:val="24"/>
        </w:rPr>
      </w:pPr>
      <w:r w:rsidRPr="001C7270">
        <w:rPr>
          <w:rFonts w:ascii="Times New Roman" w:hAnsi="Times New Roman"/>
          <w:sz w:val="24"/>
          <w:szCs w:val="24"/>
        </w:rPr>
        <w:lastRenderedPageBreak/>
        <w:t>promotion policy is facially discriminatory, and it has presented sufficient</w:t>
      </w:r>
    </w:p>
    <w:p w14:paraId="22B59B59" w14:textId="77777777" w:rsidR="001C7270" w:rsidRPr="001C7270" w:rsidRDefault="001C7270" w:rsidP="001C7270">
      <w:pPr>
        <w:pStyle w:val="NoSpacing"/>
        <w:ind w:firstLine="720"/>
        <w:rPr>
          <w:rFonts w:ascii="Times New Roman" w:hAnsi="Times New Roman"/>
          <w:bCs/>
          <w:sz w:val="24"/>
          <w:szCs w:val="24"/>
        </w:rPr>
      </w:pPr>
      <w:r w:rsidRPr="001C7270">
        <w:rPr>
          <w:rFonts w:ascii="Times New Roman" w:hAnsi="Times New Roman"/>
          <w:sz w:val="24"/>
          <w:szCs w:val="24"/>
        </w:rPr>
        <w:t>evidence of direct discrimination and retaliation to survive the dismissal motion</w:t>
      </w:r>
    </w:p>
    <w:p w14:paraId="2C15713C" w14:textId="77777777" w:rsidR="001C7270" w:rsidRPr="001C7270" w:rsidRDefault="001C7270" w:rsidP="001C7270">
      <w:pPr>
        <w:pStyle w:val="NoSpacing"/>
        <w:ind w:left="720"/>
        <w:rPr>
          <w:rFonts w:ascii="Times New Roman" w:hAnsi="Times New Roman"/>
          <w:bCs/>
          <w:sz w:val="24"/>
          <w:szCs w:val="24"/>
        </w:rPr>
      </w:pPr>
      <w:r w:rsidRPr="001C7270">
        <w:rPr>
          <w:rFonts w:ascii="Times New Roman" w:hAnsi="Times New Roman"/>
          <w:sz w:val="24"/>
          <w:szCs w:val="24"/>
        </w:rPr>
        <w:t>regarding the promotion policy 11 A-0448-23.In giving plaintiff every reasonable inference of fact, as we must, we are satisfied plaintiff has presented sufficient facts to support its cause of action. Therefore, we vacate the order of dismissal.”</w:t>
      </w:r>
    </w:p>
    <w:p w14:paraId="4DA5E4B6" w14:textId="77777777" w:rsidR="001C7270" w:rsidRPr="001C7270" w:rsidRDefault="001C7270" w:rsidP="001C7270">
      <w:pPr>
        <w:pStyle w:val="NoSpacing"/>
        <w:ind w:left="720"/>
        <w:rPr>
          <w:rFonts w:ascii="Times New Roman" w:hAnsi="Times New Roman"/>
          <w:bCs/>
          <w:sz w:val="24"/>
          <w:szCs w:val="24"/>
        </w:rPr>
      </w:pPr>
    </w:p>
    <w:p w14:paraId="7043F2C1" w14:textId="77777777" w:rsidR="001C7270" w:rsidRPr="001C7270" w:rsidRDefault="001C7270" w:rsidP="001C7270">
      <w:pPr>
        <w:pStyle w:val="NoSpacing"/>
        <w:rPr>
          <w:rFonts w:ascii="Times New Roman" w:hAnsi="Times New Roman"/>
          <w:b/>
          <w:sz w:val="24"/>
          <w:szCs w:val="24"/>
        </w:rPr>
      </w:pPr>
      <w:r w:rsidRPr="001C7270">
        <w:rPr>
          <w:rFonts w:ascii="Times New Roman" w:hAnsi="Times New Roman"/>
          <w:b/>
          <w:sz w:val="24"/>
          <w:szCs w:val="24"/>
        </w:rPr>
        <w:t xml:space="preserve">Legal Lesson Learned: Delaying a promotion while firefighter heals from a broken foot seems unfair and illogical; pre-trial discovery will proceed. </w:t>
      </w:r>
    </w:p>
    <w:p w14:paraId="79C4D1BE" w14:textId="77777777" w:rsidR="001C7270" w:rsidRDefault="001C7270" w:rsidP="001C7270">
      <w:pPr>
        <w:rPr>
          <w:bCs/>
        </w:rPr>
      </w:pPr>
    </w:p>
    <w:p w14:paraId="4F96A9EE" w14:textId="77777777" w:rsidR="002077DA" w:rsidRDefault="002077DA" w:rsidP="005C30A4">
      <w:pPr>
        <w:pStyle w:val="NoSpacing"/>
        <w:rPr>
          <w:rFonts w:ascii="Arial Black" w:hAnsi="Arial Black"/>
          <w:sz w:val="24"/>
          <w:szCs w:val="24"/>
        </w:rPr>
      </w:pPr>
    </w:p>
    <w:p w14:paraId="7E4341EF" w14:textId="77777777" w:rsidR="002077DA" w:rsidRDefault="002077DA" w:rsidP="005C30A4">
      <w:pPr>
        <w:pStyle w:val="NoSpacing"/>
        <w:rPr>
          <w:rFonts w:ascii="Arial Black" w:hAnsi="Arial Black"/>
          <w:sz w:val="24"/>
          <w:szCs w:val="24"/>
        </w:rPr>
      </w:pPr>
    </w:p>
    <w:p w14:paraId="40779BBC" w14:textId="6201E88D" w:rsidR="008C116F" w:rsidRDefault="008C116F" w:rsidP="005C30A4">
      <w:pPr>
        <w:pStyle w:val="NoSpacing"/>
        <w:rPr>
          <w:rFonts w:ascii="Arial Black" w:hAnsi="Arial Black"/>
          <w:sz w:val="24"/>
          <w:szCs w:val="24"/>
        </w:rPr>
      </w:pPr>
      <w:r>
        <w:rPr>
          <w:rFonts w:ascii="Arial Black" w:hAnsi="Arial Black"/>
          <w:sz w:val="24"/>
          <w:szCs w:val="24"/>
        </w:rPr>
        <w:t>9-48</w:t>
      </w:r>
    </w:p>
    <w:p w14:paraId="2C0785E8" w14:textId="3D391069" w:rsidR="00034C75" w:rsidRDefault="00034C75" w:rsidP="00034C75">
      <w:pPr>
        <w:rPr>
          <w:rFonts w:ascii="Arial Black" w:hAnsi="Arial Black"/>
          <w:sz w:val="28"/>
          <w:szCs w:val="28"/>
        </w:rPr>
      </w:pPr>
      <w:r>
        <w:rPr>
          <w:rFonts w:ascii="Arial Black" w:hAnsi="Arial Black"/>
          <w:sz w:val="28"/>
          <w:szCs w:val="28"/>
        </w:rPr>
        <w:t xml:space="preserve">MA: NO ADA VIOL. - DOG BITE NOT “DISABILITY” - PROB. FF TERMINATED – FAILED SCBA AT TRAINING ACADEMY </w:t>
      </w:r>
    </w:p>
    <w:p w14:paraId="43E91DFD" w14:textId="77777777" w:rsidR="008C116F" w:rsidRPr="0066724F" w:rsidRDefault="008C116F" w:rsidP="008C116F">
      <w:pPr>
        <w:rPr>
          <w:rFonts w:ascii="Times New Roman" w:hAnsi="Times New Roman"/>
          <w:sz w:val="24"/>
          <w:szCs w:val="24"/>
        </w:rPr>
      </w:pPr>
      <w:r w:rsidRPr="0066724F">
        <w:rPr>
          <w:rFonts w:ascii="Times New Roman" w:hAnsi="Times New Roman"/>
          <w:sz w:val="24"/>
          <w:szCs w:val="24"/>
        </w:rPr>
        <w:t xml:space="preserve">On Nov. 21, 2024, in </w:t>
      </w:r>
      <w:r w:rsidRPr="0066724F">
        <w:rPr>
          <w:rFonts w:ascii="Times New Roman" w:hAnsi="Times New Roman"/>
          <w:sz w:val="24"/>
          <w:szCs w:val="24"/>
          <w:u w:val="single"/>
        </w:rPr>
        <w:t>James Fitzgerald v. City of Lawrence, et al</w:t>
      </w:r>
      <w:r w:rsidRPr="0066724F">
        <w:rPr>
          <w:rFonts w:ascii="Times New Roman" w:hAnsi="Times New Roman"/>
          <w:sz w:val="24"/>
          <w:szCs w:val="24"/>
        </w:rPr>
        <w:t xml:space="preserve">., United States Magistrate Judge Jennifer C. Boal, U.S. District Court for the District of Massachusetts, granted the City’s motion for summary judgment.  The Court wrote: “Fitzgerald argues that the puncture wound and resulting infection arising from the October 13, </w:t>
      </w:r>
      <w:proofErr w:type="gramStart"/>
      <w:r w:rsidRPr="0066724F">
        <w:rPr>
          <w:rFonts w:ascii="Times New Roman" w:hAnsi="Times New Roman"/>
          <w:sz w:val="24"/>
          <w:szCs w:val="24"/>
        </w:rPr>
        <w:t>2019</w:t>
      </w:r>
      <w:proofErr w:type="gramEnd"/>
      <w:r w:rsidRPr="0066724F">
        <w:rPr>
          <w:rFonts w:ascii="Times New Roman" w:hAnsi="Times New Roman"/>
          <w:sz w:val="24"/>
          <w:szCs w:val="24"/>
        </w:rPr>
        <w:t xml:space="preserve"> dog bite constituted an actual disability because they affected several major life activities, including the bending of his wrist and fingers, lifting, dressing himself, and carrying out household tasks such as cooking and laundry….  According to his own testimony, however, such limitations lasted, at most, three months…. In addition, it is undisputed that Fitzgerald was cleared to work without any restrictions after only fifteen days….  Given this record, therefore, no reasonable jury could conclude that Fitzgerald's puncture wound and resulting infection constituted an actual disability under the ADA or Chapter 151B.” </w:t>
      </w:r>
      <w:hyperlink r:id="rId1659" w:history="1">
        <w:r w:rsidRPr="0066724F">
          <w:rPr>
            <w:rStyle w:val="Hyperlink"/>
            <w:rFonts w:ascii="Times New Roman" w:hAnsi="Times New Roman"/>
            <w:sz w:val="24"/>
            <w:szCs w:val="24"/>
          </w:rPr>
          <w:t>https://casetext.com/case/fitzgerald-v-city-of-lawrence</w:t>
        </w:r>
      </w:hyperlink>
      <w:r w:rsidRPr="0066724F">
        <w:rPr>
          <w:rFonts w:ascii="Times New Roman" w:hAnsi="Times New Roman"/>
          <w:sz w:val="24"/>
          <w:szCs w:val="24"/>
        </w:rPr>
        <w:t xml:space="preserve"> </w:t>
      </w:r>
    </w:p>
    <w:p w14:paraId="3AD3F489" w14:textId="77777777" w:rsidR="00516941" w:rsidRPr="0066724F" w:rsidRDefault="00516941" w:rsidP="00516941">
      <w:pPr>
        <w:rPr>
          <w:rFonts w:ascii="Times New Roman" w:hAnsi="Times New Roman"/>
          <w:b/>
          <w:bCs/>
          <w:sz w:val="24"/>
          <w:szCs w:val="24"/>
        </w:rPr>
      </w:pPr>
      <w:r w:rsidRPr="0066724F">
        <w:rPr>
          <w:rFonts w:ascii="Times New Roman" w:hAnsi="Times New Roman"/>
          <w:b/>
          <w:sz w:val="24"/>
          <w:szCs w:val="24"/>
        </w:rPr>
        <w:t>Legal Lesson Learned: Poor performance at State Training Academy led to his termination.</w:t>
      </w:r>
    </w:p>
    <w:p w14:paraId="7059071B" w14:textId="77777777" w:rsidR="00516941" w:rsidRDefault="00516941" w:rsidP="00516941">
      <w:pPr>
        <w:pStyle w:val="NoSpacing"/>
        <w:rPr>
          <w:bCs/>
          <w:sz w:val="20"/>
          <w:szCs w:val="20"/>
        </w:rPr>
      </w:pPr>
    </w:p>
    <w:p w14:paraId="331C01F0" w14:textId="77777777" w:rsidR="008C116F" w:rsidRDefault="008C116F" w:rsidP="005C30A4">
      <w:pPr>
        <w:pStyle w:val="NoSpacing"/>
        <w:rPr>
          <w:rFonts w:ascii="Arial Black" w:hAnsi="Arial Black"/>
          <w:sz w:val="24"/>
          <w:szCs w:val="24"/>
        </w:rPr>
      </w:pPr>
    </w:p>
    <w:p w14:paraId="20FE2856" w14:textId="77777777" w:rsidR="008C116F" w:rsidRDefault="008C116F" w:rsidP="005C30A4">
      <w:pPr>
        <w:pStyle w:val="NoSpacing"/>
        <w:rPr>
          <w:rFonts w:ascii="Arial Black" w:hAnsi="Arial Black"/>
          <w:sz w:val="24"/>
          <w:szCs w:val="24"/>
        </w:rPr>
      </w:pPr>
    </w:p>
    <w:p w14:paraId="257F2B7B" w14:textId="77777777" w:rsidR="008C116F" w:rsidRDefault="008C116F" w:rsidP="005C30A4">
      <w:pPr>
        <w:pStyle w:val="NoSpacing"/>
        <w:rPr>
          <w:rFonts w:ascii="Arial Black" w:hAnsi="Arial Black"/>
          <w:sz w:val="24"/>
          <w:szCs w:val="24"/>
        </w:rPr>
      </w:pPr>
    </w:p>
    <w:p w14:paraId="6CCE7397" w14:textId="515E30B3" w:rsidR="00E43890" w:rsidRDefault="00E43890" w:rsidP="005C30A4">
      <w:pPr>
        <w:pStyle w:val="NoSpacing"/>
        <w:rPr>
          <w:rFonts w:ascii="Arial Black" w:hAnsi="Arial Black"/>
          <w:sz w:val="24"/>
          <w:szCs w:val="24"/>
        </w:rPr>
      </w:pPr>
      <w:r>
        <w:rPr>
          <w:rFonts w:ascii="Arial Black" w:hAnsi="Arial Black"/>
          <w:sz w:val="24"/>
          <w:szCs w:val="24"/>
        </w:rPr>
        <w:t>9-47</w:t>
      </w:r>
    </w:p>
    <w:p w14:paraId="6299F266" w14:textId="77777777" w:rsidR="00E43890" w:rsidRDefault="00E43890" w:rsidP="005C30A4">
      <w:pPr>
        <w:pStyle w:val="NoSpacing"/>
        <w:rPr>
          <w:rFonts w:ascii="Arial Black" w:hAnsi="Arial Black"/>
          <w:sz w:val="24"/>
          <w:szCs w:val="24"/>
        </w:rPr>
      </w:pPr>
    </w:p>
    <w:p w14:paraId="3D784247" w14:textId="77777777" w:rsidR="00E43890" w:rsidRPr="00B54163" w:rsidRDefault="00E43890" w:rsidP="00E43890">
      <w:pPr>
        <w:pStyle w:val="NoSpacing"/>
        <w:rPr>
          <w:rFonts w:ascii="Times New Roman" w:hAnsi="Times New Roman"/>
          <w:b/>
          <w:bCs/>
          <w:sz w:val="24"/>
          <w:szCs w:val="24"/>
        </w:rPr>
      </w:pPr>
      <w:r w:rsidRPr="00B54163">
        <w:rPr>
          <w:rFonts w:ascii="Times New Roman" w:hAnsi="Times New Roman"/>
          <w:b/>
          <w:bCs/>
          <w:sz w:val="24"/>
          <w:szCs w:val="24"/>
        </w:rPr>
        <w:t>CT: FF DISPUTE - PUT BOTH HANDS AROUND CO-WORKERS NECK – FIRED – NO ADA ACCOMODATION REQUIRED</w:t>
      </w:r>
    </w:p>
    <w:p w14:paraId="49936F77" w14:textId="77777777" w:rsidR="00E43890" w:rsidRPr="00B54163" w:rsidRDefault="00E43890" w:rsidP="00E43890">
      <w:pPr>
        <w:pStyle w:val="NoSpacing"/>
        <w:rPr>
          <w:rFonts w:ascii="Times New Roman" w:hAnsi="Times New Roman"/>
          <w:sz w:val="24"/>
          <w:szCs w:val="24"/>
        </w:rPr>
      </w:pPr>
    </w:p>
    <w:p w14:paraId="3828019F" w14:textId="77777777" w:rsidR="00E43890" w:rsidRPr="00B54163" w:rsidRDefault="00E43890" w:rsidP="00E43890">
      <w:pPr>
        <w:pStyle w:val="NoSpacing"/>
        <w:rPr>
          <w:rFonts w:ascii="Times New Roman" w:hAnsi="Times New Roman"/>
          <w:sz w:val="24"/>
          <w:szCs w:val="24"/>
        </w:rPr>
      </w:pPr>
      <w:r w:rsidRPr="00B54163">
        <w:rPr>
          <w:rFonts w:ascii="Times New Roman" w:hAnsi="Times New Roman"/>
          <w:sz w:val="24"/>
          <w:szCs w:val="24"/>
        </w:rPr>
        <w:t xml:space="preserve">On Sept. 16, 2024, in </w:t>
      </w:r>
      <w:r w:rsidRPr="00B54163">
        <w:rPr>
          <w:rFonts w:ascii="Times New Roman" w:hAnsi="Times New Roman"/>
          <w:sz w:val="24"/>
          <w:szCs w:val="24"/>
          <w:u w:val="single"/>
        </w:rPr>
        <w:t>Maurice Remillard v. Department of the Navy, the United States Merit System Protection Board</w:t>
      </w:r>
      <w:r w:rsidRPr="00B54163">
        <w:rPr>
          <w:rFonts w:ascii="Times New Roman" w:hAnsi="Times New Roman"/>
          <w:sz w:val="24"/>
          <w:szCs w:val="24"/>
        </w:rPr>
        <w:t xml:space="preserve"> (Washington, D.C.) held (3 to 0’ nonprecedential order): “The appellant has filed a petition for review of the initial decision, which affirmed the agency’s removal decision. *** After fully considering the filings in this appeal, we conclude that the petitioner</w:t>
      </w:r>
    </w:p>
    <w:p w14:paraId="71D2FEFC" w14:textId="77777777" w:rsidR="00E43890" w:rsidRPr="00B54163" w:rsidRDefault="00E43890" w:rsidP="00E43890">
      <w:pPr>
        <w:pStyle w:val="NoSpacing"/>
        <w:rPr>
          <w:rFonts w:ascii="Times New Roman" w:hAnsi="Times New Roman"/>
          <w:sz w:val="24"/>
          <w:szCs w:val="24"/>
        </w:rPr>
      </w:pPr>
      <w:r w:rsidRPr="00B54163">
        <w:rPr>
          <w:rFonts w:ascii="Times New Roman" w:hAnsi="Times New Roman"/>
          <w:sz w:val="24"/>
          <w:szCs w:val="24"/>
        </w:rPr>
        <w:t>has not established any basis under section 1201.115 for granting the petition for review. Therefore, we DENY the petition for review. Except as expressly MODIFIED to clearly state that the appellant was not a qualified individual with a disability and supplement the analysis of this finding, and to VACATE the administrative judge’s alternative basis for concluding that the appellant failed to prove that the agency denied him reasonable accommodation, we AFFIRM the</w:t>
      </w:r>
    </w:p>
    <w:p w14:paraId="468CFBAA" w14:textId="77777777" w:rsidR="00E43890" w:rsidRPr="00B54163" w:rsidRDefault="00E43890" w:rsidP="00E43890">
      <w:pPr>
        <w:pStyle w:val="NoSpacing"/>
        <w:rPr>
          <w:rFonts w:ascii="Times New Roman" w:hAnsi="Times New Roman"/>
          <w:sz w:val="24"/>
          <w:szCs w:val="24"/>
        </w:rPr>
      </w:pPr>
      <w:r w:rsidRPr="00B54163">
        <w:rPr>
          <w:rFonts w:ascii="Times New Roman" w:hAnsi="Times New Roman"/>
          <w:sz w:val="24"/>
          <w:szCs w:val="24"/>
        </w:rPr>
        <w:t>initial decision.”</w:t>
      </w:r>
    </w:p>
    <w:p w14:paraId="4463A330" w14:textId="299F74D0" w:rsidR="00E43890" w:rsidRPr="00B54163" w:rsidRDefault="00E43890" w:rsidP="00E43890">
      <w:pPr>
        <w:pStyle w:val="NoSpacing"/>
        <w:rPr>
          <w:rStyle w:val="Hyperlink"/>
          <w:rFonts w:ascii="Times New Roman" w:hAnsi="Times New Roman"/>
          <w:sz w:val="24"/>
          <w:szCs w:val="24"/>
        </w:rPr>
      </w:pPr>
      <w:hyperlink r:id="rId1660" w:history="1">
        <w:r w:rsidRPr="00B54163">
          <w:rPr>
            <w:rStyle w:val="Hyperlink"/>
            <w:rFonts w:ascii="Times New Roman" w:hAnsi="Times New Roman"/>
            <w:sz w:val="24"/>
            <w:szCs w:val="24"/>
          </w:rPr>
          <w:t>https://www.mspb.gov/decisions/nonprecedential/Remillard_MauricePH-0752-20-0259-I-1_Final_Order.pdf</w:t>
        </w:r>
      </w:hyperlink>
    </w:p>
    <w:p w14:paraId="585CA981" w14:textId="77777777" w:rsidR="00B54163" w:rsidRPr="00B54163" w:rsidRDefault="00B54163" w:rsidP="00E43890">
      <w:pPr>
        <w:pStyle w:val="NoSpacing"/>
        <w:rPr>
          <w:rStyle w:val="Hyperlink"/>
          <w:rFonts w:ascii="Times New Roman" w:hAnsi="Times New Roman"/>
          <w:sz w:val="24"/>
          <w:szCs w:val="24"/>
        </w:rPr>
      </w:pPr>
    </w:p>
    <w:p w14:paraId="2D85317B" w14:textId="77777777" w:rsidR="00B54163" w:rsidRPr="00B54163" w:rsidRDefault="00B54163" w:rsidP="00B54163">
      <w:pPr>
        <w:pStyle w:val="NoSpacing"/>
        <w:rPr>
          <w:rFonts w:ascii="Times New Roman" w:hAnsi="Times New Roman"/>
          <w:b/>
          <w:bCs/>
          <w:sz w:val="24"/>
          <w:szCs w:val="24"/>
        </w:rPr>
      </w:pPr>
      <w:r w:rsidRPr="00B54163">
        <w:rPr>
          <w:rFonts w:ascii="Times New Roman" w:hAnsi="Times New Roman"/>
          <w:b/>
          <w:sz w:val="24"/>
          <w:szCs w:val="24"/>
        </w:rPr>
        <w:t xml:space="preserve">Legal Lesson Learned: The firefighter failed to prove that his anxiety was so severe to constitute a disability under ADA. </w:t>
      </w:r>
    </w:p>
    <w:p w14:paraId="1E0128C1" w14:textId="77777777" w:rsidR="00B54163" w:rsidRDefault="00B54163" w:rsidP="00E43890">
      <w:pPr>
        <w:pStyle w:val="NoSpacing"/>
        <w:rPr>
          <w:rFonts w:ascii="Arial Black" w:hAnsi="Arial Black"/>
          <w:sz w:val="24"/>
          <w:szCs w:val="24"/>
        </w:rPr>
      </w:pPr>
    </w:p>
    <w:p w14:paraId="640E99FD" w14:textId="77777777" w:rsidR="00E43890" w:rsidRDefault="00E43890" w:rsidP="005C30A4">
      <w:pPr>
        <w:pStyle w:val="NoSpacing"/>
        <w:rPr>
          <w:rFonts w:ascii="Arial Black" w:hAnsi="Arial Black"/>
          <w:sz w:val="24"/>
          <w:szCs w:val="24"/>
        </w:rPr>
      </w:pPr>
    </w:p>
    <w:p w14:paraId="05B7B4F7" w14:textId="4735551A" w:rsidR="005E497B" w:rsidRDefault="005E497B" w:rsidP="005C30A4">
      <w:pPr>
        <w:pStyle w:val="NoSpacing"/>
        <w:rPr>
          <w:rFonts w:ascii="Arial Black" w:hAnsi="Arial Black"/>
          <w:sz w:val="24"/>
          <w:szCs w:val="24"/>
        </w:rPr>
      </w:pPr>
      <w:r>
        <w:rPr>
          <w:rFonts w:ascii="Arial Black" w:hAnsi="Arial Black"/>
          <w:sz w:val="24"/>
          <w:szCs w:val="24"/>
        </w:rPr>
        <w:t>9-46</w:t>
      </w:r>
    </w:p>
    <w:p w14:paraId="63576432" w14:textId="77777777" w:rsidR="00213946" w:rsidRDefault="00213946" w:rsidP="005C30A4">
      <w:pPr>
        <w:pStyle w:val="NoSpacing"/>
        <w:rPr>
          <w:rFonts w:ascii="Arial Black" w:hAnsi="Arial Black"/>
          <w:sz w:val="24"/>
          <w:szCs w:val="24"/>
        </w:rPr>
      </w:pPr>
    </w:p>
    <w:p w14:paraId="3AF55B4A" w14:textId="77777777" w:rsidR="00213946" w:rsidRPr="00BF002D" w:rsidRDefault="00213946" w:rsidP="00213946">
      <w:pPr>
        <w:rPr>
          <w:rFonts w:ascii="Arial Black" w:hAnsi="Arial Black"/>
          <w:b/>
          <w:bCs/>
          <w:sz w:val="28"/>
        </w:rPr>
      </w:pPr>
      <w:r>
        <w:rPr>
          <w:rFonts w:ascii="Arial Black" w:hAnsi="Arial Black"/>
          <w:b/>
          <w:bCs/>
          <w:sz w:val="28"/>
        </w:rPr>
        <w:t xml:space="preserve">U.S. SUP. CT: WILL HEAR APPEAL - FF WITH PARKINSON’S – RETIRED LESS 25 YRS - CITY INSUR. SUDSIDY ONLY 2 YRS </w:t>
      </w:r>
    </w:p>
    <w:p w14:paraId="71BBF4B4" w14:textId="77777777" w:rsidR="00213946" w:rsidRPr="00213946" w:rsidRDefault="00213946" w:rsidP="00213946">
      <w:pPr>
        <w:rPr>
          <w:rFonts w:ascii="Times New Roman" w:hAnsi="Times New Roman"/>
          <w:sz w:val="24"/>
          <w:szCs w:val="24"/>
        </w:rPr>
      </w:pPr>
      <w:r w:rsidRPr="00213946">
        <w:rPr>
          <w:rFonts w:ascii="Times New Roman" w:hAnsi="Times New Roman"/>
          <w:sz w:val="24"/>
          <w:szCs w:val="24"/>
        </w:rPr>
        <w:t xml:space="preserve">On June 24, 2024, in </w:t>
      </w:r>
      <w:r w:rsidRPr="00213946">
        <w:rPr>
          <w:rFonts w:ascii="Times New Roman" w:hAnsi="Times New Roman"/>
          <w:sz w:val="24"/>
          <w:szCs w:val="24"/>
          <w:u w:val="single"/>
        </w:rPr>
        <w:t>Karyn Stanley v. City of Sanford, Florida</w:t>
      </w:r>
      <w:r w:rsidRPr="00213946">
        <w:rPr>
          <w:rFonts w:ascii="Times New Roman" w:hAnsi="Times New Roman"/>
          <w:sz w:val="24"/>
          <w:szCs w:val="24"/>
        </w:rPr>
        <w:t xml:space="preserve">, the U.S. Supreme Court agreed to hear the appeal of the retired firefighter (this required votes of at least 4 of 9 Justices). </w:t>
      </w:r>
      <w:hyperlink r:id="rId1661" w:history="1">
        <w:r w:rsidRPr="00213946">
          <w:rPr>
            <w:rStyle w:val="Hyperlink"/>
            <w:rFonts w:ascii="Times New Roman" w:hAnsi="Times New Roman"/>
            <w:sz w:val="24"/>
            <w:szCs w:val="24"/>
          </w:rPr>
          <w:t>https://www.scotusblog.com/2024/06/court-adds-seven-cases-to-next-terms-docket/</w:t>
        </w:r>
      </w:hyperlink>
      <w:r w:rsidRPr="00213946">
        <w:rPr>
          <w:rFonts w:ascii="Times New Roman" w:hAnsi="Times New Roman"/>
          <w:sz w:val="24"/>
          <w:szCs w:val="24"/>
        </w:rPr>
        <w:t xml:space="preserve">. In 2003 the City </w:t>
      </w:r>
      <w:proofErr w:type="gramStart"/>
      <w:r w:rsidRPr="00213946">
        <w:rPr>
          <w:rFonts w:ascii="Times New Roman" w:hAnsi="Times New Roman"/>
          <w:sz w:val="24"/>
          <w:szCs w:val="24"/>
        </w:rPr>
        <w:t>in order to</w:t>
      </w:r>
      <w:proofErr w:type="gramEnd"/>
      <w:r w:rsidRPr="00213946">
        <w:rPr>
          <w:rFonts w:ascii="Times New Roman" w:hAnsi="Times New Roman"/>
          <w:sz w:val="24"/>
          <w:szCs w:val="24"/>
        </w:rPr>
        <w:t xml:space="preserve"> save money stopped paying retirees health insurance subsidy until age 65, unless the employee had 25 years of service, but if retired on disability they would pay for two years ($24,000 paid to plaintiff).   Under former City ordinance when she was hired in 1999, she would have received $216,000 in subsidy.   The plaintiff loss in U.S. District Court and in the 11</w:t>
      </w:r>
      <w:r w:rsidRPr="00213946">
        <w:rPr>
          <w:rFonts w:ascii="Times New Roman" w:hAnsi="Times New Roman"/>
          <w:sz w:val="24"/>
          <w:szCs w:val="24"/>
          <w:vertAlign w:val="superscript"/>
        </w:rPr>
        <w:t>th</w:t>
      </w:r>
      <w:r w:rsidRPr="00213946">
        <w:rPr>
          <w:rFonts w:ascii="Times New Roman" w:hAnsi="Times New Roman"/>
          <w:sz w:val="24"/>
          <w:szCs w:val="24"/>
        </w:rPr>
        <w:t xml:space="preserve"> Circuit, but U.S. Supreme Court may seek to resolve issue of whether a “former” employee is a “qualified individual” under ADA for loss of benefits (NO in 6</w:t>
      </w:r>
      <w:r w:rsidRPr="00213946">
        <w:rPr>
          <w:rFonts w:ascii="Times New Roman" w:hAnsi="Times New Roman"/>
          <w:sz w:val="24"/>
          <w:szCs w:val="24"/>
          <w:vertAlign w:val="superscript"/>
        </w:rPr>
        <w:t>th</w:t>
      </w:r>
      <w:r w:rsidRPr="00213946">
        <w:rPr>
          <w:rFonts w:ascii="Times New Roman" w:hAnsi="Times New Roman"/>
          <w:sz w:val="24"/>
          <w:szCs w:val="24"/>
        </w:rPr>
        <w:t>, 7</w:t>
      </w:r>
      <w:r w:rsidRPr="00213946">
        <w:rPr>
          <w:rFonts w:ascii="Times New Roman" w:hAnsi="Times New Roman"/>
          <w:sz w:val="24"/>
          <w:szCs w:val="24"/>
          <w:vertAlign w:val="superscript"/>
        </w:rPr>
        <w:t>th</w:t>
      </w:r>
      <w:r w:rsidRPr="00213946">
        <w:rPr>
          <w:rFonts w:ascii="Times New Roman" w:hAnsi="Times New Roman"/>
          <w:sz w:val="24"/>
          <w:szCs w:val="24"/>
        </w:rPr>
        <w:t>, 9</w:t>
      </w:r>
      <w:r w:rsidRPr="00213946">
        <w:rPr>
          <w:rFonts w:ascii="Times New Roman" w:hAnsi="Times New Roman"/>
          <w:sz w:val="24"/>
          <w:szCs w:val="24"/>
          <w:vertAlign w:val="superscript"/>
        </w:rPr>
        <w:t>th</w:t>
      </w:r>
      <w:r w:rsidRPr="00213946">
        <w:rPr>
          <w:rFonts w:ascii="Times New Roman" w:hAnsi="Times New Roman"/>
          <w:sz w:val="24"/>
          <w:szCs w:val="24"/>
        </w:rPr>
        <w:t>, 11</w:t>
      </w:r>
      <w:r w:rsidRPr="00213946">
        <w:rPr>
          <w:rFonts w:ascii="Times New Roman" w:hAnsi="Times New Roman"/>
          <w:sz w:val="24"/>
          <w:szCs w:val="24"/>
          <w:vertAlign w:val="superscript"/>
        </w:rPr>
        <w:t>th</w:t>
      </w:r>
      <w:r w:rsidRPr="00213946">
        <w:rPr>
          <w:rFonts w:ascii="Times New Roman" w:hAnsi="Times New Roman"/>
          <w:sz w:val="24"/>
          <w:szCs w:val="24"/>
        </w:rPr>
        <w:t xml:space="preserve"> Circuits; Yes in 2</w:t>
      </w:r>
      <w:r w:rsidRPr="00213946">
        <w:rPr>
          <w:rFonts w:ascii="Times New Roman" w:hAnsi="Times New Roman"/>
          <w:sz w:val="24"/>
          <w:szCs w:val="24"/>
          <w:vertAlign w:val="superscript"/>
        </w:rPr>
        <w:t>nd</w:t>
      </w:r>
      <w:r w:rsidRPr="00213946">
        <w:rPr>
          <w:rFonts w:ascii="Times New Roman" w:hAnsi="Times New Roman"/>
          <w:sz w:val="24"/>
          <w:szCs w:val="24"/>
        </w:rPr>
        <w:t xml:space="preserve"> and 3</w:t>
      </w:r>
      <w:r w:rsidRPr="00213946">
        <w:rPr>
          <w:rFonts w:ascii="Times New Roman" w:hAnsi="Times New Roman"/>
          <w:sz w:val="24"/>
          <w:szCs w:val="24"/>
          <w:vertAlign w:val="superscript"/>
        </w:rPr>
        <w:t>rd</w:t>
      </w:r>
      <w:r w:rsidRPr="00213946">
        <w:rPr>
          <w:rFonts w:ascii="Times New Roman" w:hAnsi="Times New Roman"/>
          <w:sz w:val="24"/>
          <w:szCs w:val="24"/>
        </w:rPr>
        <w:t xml:space="preserve"> Circuits).   </w:t>
      </w:r>
    </w:p>
    <w:p w14:paraId="52A7A0E4" w14:textId="77777777" w:rsidR="00213946" w:rsidRPr="00213946" w:rsidRDefault="00213946" w:rsidP="00213946">
      <w:pPr>
        <w:ind w:left="720"/>
        <w:rPr>
          <w:rFonts w:ascii="Times New Roman" w:hAnsi="Times New Roman"/>
          <w:sz w:val="24"/>
          <w:szCs w:val="24"/>
        </w:rPr>
      </w:pPr>
      <w:r w:rsidRPr="00213946">
        <w:rPr>
          <w:rFonts w:ascii="Times New Roman" w:hAnsi="Times New Roman"/>
          <w:sz w:val="24"/>
          <w:szCs w:val="24"/>
        </w:rPr>
        <w:t xml:space="preserve">“In </w:t>
      </w:r>
      <w:hyperlink r:id="rId1662" w:history="1">
        <w:r w:rsidRPr="00213946">
          <w:rPr>
            <w:rStyle w:val="Hyperlink"/>
            <w:rFonts w:ascii="Times New Roman" w:hAnsi="Times New Roman"/>
            <w:i/>
            <w:iCs/>
            <w:sz w:val="24"/>
            <w:szCs w:val="24"/>
          </w:rPr>
          <w:t>Stanley v. City of Sanford, Fla.</w:t>
        </w:r>
      </w:hyperlink>
      <w:r w:rsidRPr="00213946">
        <w:rPr>
          <w:rFonts w:ascii="Times New Roman" w:hAnsi="Times New Roman"/>
          <w:sz w:val="24"/>
          <w:szCs w:val="24"/>
        </w:rPr>
        <w:t xml:space="preserve">, the justices will consider a question arising under the Americans with Disabilities Act: Does a former employee lose her right to sue over discrimination in the provision of benefits that she earned while she was employed? The question comes to the court in the case of Karyn Stanley, who worked as a firefighter for the city of Sanford, Fla., for more than two decades before Parkinson’s disease forced her to retire. She filed a lawsuit under the ADA alleging that the city’s benefits policy discriminated against disabled retirees, but the U.S. Court of Appeals for the 11th Circuit ruled that she was not a ‘qualified individual’ protected by the ADA because she was not currently employed by the city.”  </w:t>
      </w:r>
    </w:p>
    <w:p w14:paraId="03D41C47" w14:textId="77777777" w:rsidR="00213946" w:rsidRPr="00213946" w:rsidRDefault="00213946" w:rsidP="00213946">
      <w:pPr>
        <w:rPr>
          <w:rFonts w:ascii="Times New Roman" w:hAnsi="Times New Roman"/>
          <w:b/>
          <w:bCs/>
          <w:sz w:val="24"/>
          <w:szCs w:val="24"/>
        </w:rPr>
      </w:pPr>
      <w:r w:rsidRPr="00213946">
        <w:rPr>
          <w:rFonts w:ascii="Times New Roman" w:hAnsi="Times New Roman"/>
          <w:b/>
          <w:bCs/>
          <w:sz w:val="24"/>
          <w:szCs w:val="24"/>
        </w:rPr>
        <w:t>THE 11</w:t>
      </w:r>
      <w:r w:rsidRPr="00213946">
        <w:rPr>
          <w:rFonts w:ascii="Times New Roman" w:hAnsi="Times New Roman"/>
          <w:b/>
          <w:bCs/>
          <w:sz w:val="24"/>
          <w:szCs w:val="24"/>
          <w:vertAlign w:val="superscript"/>
        </w:rPr>
        <w:t>TH</w:t>
      </w:r>
      <w:r w:rsidRPr="00213946">
        <w:rPr>
          <w:rFonts w:ascii="Times New Roman" w:hAnsi="Times New Roman"/>
          <w:b/>
          <w:bCs/>
          <w:sz w:val="24"/>
          <w:szCs w:val="24"/>
        </w:rPr>
        <w:t xml:space="preserve"> CIRCUIT DECISION (Oct. 11, 2023): </w:t>
      </w:r>
      <w:hyperlink r:id="rId1663" w:history="1">
        <w:r w:rsidRPr="00213946">
          <w:rPr>
            <w:rStyle w:val="Hyperlink"/>
            <w:rFonts w:ascii="Times New Roman" w:hAnsi="Times New Roman"/>
            <w:b/>
            <w:bCs/>
            <w:sz w:val="24"/>
            <w:szCs w:val="24"/>
          </w:rPr>
          <w:t>https://caselaw.findlaw.com/court/us-11th-circuit/115273034.html</w:t>
        </w:r>
      </w:hyperlink>
      <w:r w:rsidRPr="00213946">
        <w:rPr>
          <w:rFonts w:ascii="Times New Roman" w:hAnsi="Times New Roman"/>
          <w:b/>
          <w:bCs/>
          <w:sz w:val="24"/>
          <w:szCs w:val="24"/>
        </w:rPr>
        <w:t xml:space="preserve"> </w:t>
      </w:r>
    </w:p>
    <w:p w14:paraId="7B4D9446" w14:textId="77777777" w:rsidR="00213946" w:rsidRPr="00213946" w:rsidRDefault="00213946" w:rsidP="00213946">
      <w:pPr>
        <w:ind w:left="720"/>
        <w:rPr>
          <w:rFonts w:ascii="Times New Roman" w:hAnsi="Times New Roman"/>
          <w:sz w:val="24"/>
          <w:szCs w:val="24"/>
        </w:rPr>
      </w:pPr>
      <w:r w:rsidRPr="00213946">
        <w:rPr>
          <w:rFonts w:ascii="Times New Roman" w:hAnsi="Times New Roman"/>
          <w:b/>
          <w:bCs/>
          <w:sz w:val="24"/>
          <w:szCs w:val="24"/>
        </w:rPr>
        <w:t>“</w:t>
      </w:r>
      <w:r w:rsidRPr="00213946">
        <w:rPr>
          <w:rFonts w:ascii="Times New Roman" w:hAnsi="Times New Roman"/>
          <w:sz w:val="24"/>
          <w:szCs w:val="24"/>
        </w:rPr>
        <w:t xml:space="preserve">When Stanley retired, she continued to receive free health insurance through the City. Under a policy in effect when Stanley first joined the fire department, employees retiring for qualifying disability reasons, such as Stanley's Parkinson's disease, received free health insurance until the age of 65. But, unbeknownst to Stanley, the </w:t>
      </w:r>
      <w:proofErr w:type="gramStart"/>
      <w:r w:rsidRPr="00213946">
        <w:rPr>
          <w:rFonts w:ascii="Times New Roman" w:hAnsi="Times New Roman"/>
          <w:sz w:val="24"/>
          <w:szCs w:val="24"/>
        </w:rPr>
        <w:t>City</w:t>
      </w:r>
      <w:proofErr w:type="gramEnd"/>
      <w:r w:rsidRPr="00213946">
        <w:rPr>
          <w:rFonts w:ascii="Times New Roman" w:hAnsi="Times New Roman"/>
          <w:sz w:val="24"/>
          <w:szCs w:val="24"/>
        </w:rPr>
        <w:t xml:space="preserve"> changed its benefits plan in 2003. Under the new plan, disability retirees such as Stanley are entitled to the health insurance subsidy for only twenty-four months after retiring. Stanley was thus set to become responsible for her own health insurance premiums beginning on December 1, 2020. She filed this suit in April 2020, seeking to establish her entitlement to the long-term healthcare subsidy.</w:t>
      </w:r>
    </w:p>
    <w:p w14:paraId="6A3E4261" w14:textId="77777777" w:rsidR="00213946" w:rsidRPr="00213946" w:rsidRDefault="00213946" w:rsidP="00213946">
      <w:pPr>
        <w:ind w:left="720"/>
        <w:rPr>
          <w:rFonts w:ascii="Times New Roman" w:hAnsi="Times New Roman"/>
          <w:sz w:val="24"/>
          <w:szCs w:val="24"/>
        </w:rPr>
      </w:pPr>
      <w:r w:rsidRPr="00213946">
        <w:rPr>
          <w:rFonts w:ascii="Times New Roman" w:hAnsi="Times New Roman"/>
          <w:sz w:val="24"/>
          <w:szCs w:val="24"/>
        </w:rPr>
        <w:t>***</w:t>
      </w:r>
    </w:p>
    <w:p w14:paraId="7185744D" w14:textId="77777777" w:rsidR="00213946" w:rsidRPr="00213946" w:rsidRDefault="00213946" w:rsidP="00213946">
      <w:pPr>
        <w:ind w:left="720"/>
        <w:rPr>
          <w:rFonts w:ascii="Times New Roman" w:hAnsi="Times New Roman"/>
          <w:sz w:val="24"/>
          <w:szCs w:val="24"/>
        </w:rPr>
      </w:pPr>
      <w:r w:rsidRPr="00213946">
        <w:rPr>
          <w:rFonts w:ascii="Times New Roman" w:hAnsi="Times New Roman"/>
          <w:sz w:val="24"/>
          <w:szCs w:val="24"/>
        </w:rPr>
        <w:t xml:space="preserve">The district court entered judgment for the </w:t>
      </w:r>
      <w:proofErr w:type="gramStart"/>
      <w:r w:rsidRPr="00213946">
        <w:rPr>
          <w:rFonts w:ascii="Times New Roman" w:hAnsi="Times New Roman"/>
          <w:sz w:val="24"/>
          <w:szCs w:val="24"/>
        </w:rPr>
        <w:t>City</w:t>
      </w:r>
      <w:proofErr w:type="gramEnd"/>
      <w:r w:rsidRPr="00213946">
        <w:rPr>
          <w:rFonts w:ascii="Times New Roman" w:hAnsi="Times New Roman"/>
          <w:sz w:val="24"/>
          <w:szCs w:val="24"/>
        </w:rPr>
        <w:t xml:space="preserve">. On a motion to dismiss, the district court concluded that Stanley's claims under the ADA, the Rehab Act, and the Florida Civil Rights Act were insufficiently pleaded. Relying on our decision in Gonzales, the district court reasoned that Stanley could not state a </w:t>
      </w:r>
      <w:r w:rsidRPr="00213946">
        <w:rPr>
          <w:rFonts w:ascii="Times New Roman" w:hAnsi="Times New Roman"/>
          <w:sz w:val="24"/>
          <w:szCs w:val="24"/>
        </w:rPr>
        <w:lastRenderedPageBreak/>
        <w:t xml:space="preserve">plausible disability discrimination claim because the discriminatory act alleged—the cessation of </w:t>
      </w:r>
      <w:proofErr w:type="gramStart"/>
      <w:r w:rsidRPr="00213946">
        <w:rPr>
          <w:rFonts w:ascii="Times New Roman" w:hAnsi="Times New Roman"/>
          <w:sz w:val="24"/>
          <w:szCs w:val="24"/>
        </w:rPr>
        <w:t>the health</w:t>
      </w:r>
      <w:proofErr w:type="gramEnd"/>
      <w:r w:rsidRPr="00213946">
        <w:rPr>
          <w:rFonts w:ascii="Times New Roman" w:hAnsi="Times New Roman"/>
          <w:sz w:val="24"/>
          <w:szCs w:val="24"/>
        </w:rPr>
        <w:t xml:space="preserve"> insurance premium payments—would occur while Stanley was no longer employed by the City.</w:t>
      </w:r>
    </w:p>
    <w:p w14:paraId="27CBB1D9" w14:textId="77777777" w:rsidR="00213946" w:rsidRPr="00213946" w:rsidRDefault="00213946" w:rsidP="00213946">
      <w:pPr>
        <w:ind w:left="720"/>
        <w:rPr>
          <w:rFonts w:ascii="Times New Roman" w:hAnsi="Times New Roman"/>
          <w:sz w:val="24"/>
          <w:szCs w:val="24"/>
        </w:rPr>
      </w:pPr>
      <w:r w:rsidRPr="00213946">
        <w:rPr>
          <w:rFonts w:ascii="Times New Roman" w:hAnsi="Times New Roman"/>
          <w:sz w:val="24"/>
          <w:szCs w:val="24"/>
        </w:rPr>
        <w:t>***</w:t>
      </w:r>
    </w:p>
    <w:p w14:paraId="4C729FAF" w14:textId="77777777" w:rsidR="00213946" w:rsidRPr="00213946" w:rsidRDefault="00213946" w:rsidP="00213946">
      <w:pPr>
        <w:ind w:left="720"/>
        <w:rPr>
          <w:rFonts w:ascii="Times New Roman" w:hAnsi="Times New Roman"/>
          <w:sz w:val="24"/>
          <w:szCs w:val="24"/>
        </w:rPr>
      </w:pPr>
      <w:r w:rsidRPr="00213946">
        <w:rPr>
          <w:rFonts w:ascii="Times New Roman" w:hAnsi="Times New Roman"/>
          <w:sz w:val="24"/>
          <w:szCs w:val="24"/>
        </w:rPr>
        <w:t xml:space="preserve">The City's benefits plan advances the legitimate governmental purpose of conserving funds. And its chosen method—decreasing the number of employees for whom the City subsidizes health insurance—is rationally related to that legitimate purpose. </w:t>
      </w:r>
      <w:proofErr w:type="gramStart"/>
      <w:r w:rsidRPr="00213946">
        <w:rPr>
          <w:rFonts w:ascii="Times New Roman" w:hAnsi="Times New Roman"/>
          <w:sz w:val="24"/>
          <w:szCs w:val="24"/>
        </w:rPr>
        <w:t>So</w:t>
      </w:r>
      <w:proofErr w:type="gramEnd"/>
      <w:r w:rsidRPr="00213946">
        <w:rPr>
          <w:rFonts w:ascii="Times New Roman" w:hAnsi="Times New Roman"/>
          <w:sz w:val="24"/>
          <w:szCs w:val="24"/>
        </w:rPr>
        <w:t xml:space="preserve"> there is no equal protection problem here.”</w:t>
      </w:r>
    </w:p>
    <w:p w14:paraId="699AD584" w14:textId="77777777" w:rsidR="00213946" w:rsidRPr="00213946" w:rsidRDefault="00213946" w:rsidP="00213946">
      <w:pPr>
        <w:rPr>
          <w:rFonts w:ascii="Times New Roman" w:hAnsi="Times New Roman"/>
          <w:b/>
          <w:bCs/>
          <w:sz w:val="24"/>
          <w:szCs w:val="24"/>
        </w:rPr>
      </w:pPr>
      <w:r w:rsidRPr="00213946">
        <w:rPr>
          <w:rFonts w:ascii="Times New Roman" w:hAnsi="Times New Roman"/>
          <w:b/>
          <w:bCs/>
          <w:sz w:val="24"/>
          <w:szCs w:val="24"/>
        </w:rPr>
        <w:t>Legal Lesson Learned: The U.S. Supreme Court can resolve the dispute among the Federal Circuit Courts, or Congress can pass clarifying amendment to ADA.</w:t>
      </w:r>
    </w:p>
    <w:p w14:paraId="73FE0F14" w14:textId="77777777" w:rsidR="00213946" w:rsidRPr="00213946" w:rsidRDefault="00213946" w:rsidP="00213946">
      <w:pPr>
        <w:ind w:left="720"/>
        <w:rPr>
          <w:rFonts w:ascii="Times New Roman" w:hAnsi="Times New Roman"/>
          <w:sz w:val="24"/>
          <w:szCs w:val="24"/>
        </w:rPr>
      </w:pPr>
      <w:r w:rsidRPr="00213946">
        <w:rPr>
          <w:rFonts w:ascii="Times New Roman" w:hAnsi="Times New Roman"/>
          <w:sz w:val="24"/>
          <w:szCs w:val="24"/>
        </w:rPr>
        <w:t xml:space="preserve">Note: See briefs by </w:t>
      </w:r>
      <w:proofErr w:type="gramStart"/>
      <w:r w:rsidRPr="00213946">
        <w:rPr>
          <w:rFonts w:ascii="Times New Roman" w:hAnsi="Times New Roman"/>
          <w:sz w:val="24"/>
          <w:szCs w:val="24"/>
        </w:rPr>
        <w:t>IAFF, and</w:t>
      </w:r>
      <w:proofErr w:type="gramEnd"/>
      <w:r w:rsidRPr="00213946">
        <w:rPr>
          <w:rFonts w:ascii="Times New Roman" w:hAnsi="Times New Roman"/>
          <w:sz w:val="24"/>
          <w:szCs w:val="24"/>
        </w:rPr>
        <w:t xml:space="preserve"> AFL-CIO and others. </w:t>
      </w:r>
      <w:hyperlink r:id="rId1664" w:history="1">
        <w:r w:rsidRPr="00213946">
          <w:rPr>
            <w:rStyle w:val="Hyperlink"/>
            <w:rFonts w:ascii="Times New Roman" w:hAnsi="Times New Roman"/>
            <w:sz w:val="24"/>
            <w:szCs w:val="24"/>
          </w:rPr>
          <w:t>https://www.scotusblog.com/case-files/cases/stanley-v-city-of-sanford-florida/</w:t>
        </w:r>
      </w:hyperlink>
      <w:r w:rsidRPr="00213946">
        <w:rPr>
          <w:rFonts w:ascii="Times New Roman" w:hAnsi="Times New Roman"/>
          <w:sz w:val="24"/>
          <w:szCs w:val="24"/>
        </w:rPr>
        <w:t xml:space="preserve"> </w:t>
      </w:r>
    </w:p>
    <w:p w14:paraId="181D6697" w14:textId="77777777" w:rsidR="00213946" w:rsidRDefault="00213946" w:rsidP="005C30A4">
      <w:pPr>
        <w:pStyle w:val="NoSpacing"/>
        <w:rPr>
          <w:rFonts w:ascii="Arial Black" w:hAnsi="Arial Black"/>
          <w:sz w:val="24"/>
          <w:szCs w:val="24"/>
        </w:rPr>
      </w:pPr>
    </w:p>
    <w:p w14:paraId="45F8B73A" w14:textId="77777777" w:rsidR="005E497B" w:rsidRDefault="005E497B" w:rsidP="005C30A4">
      <w:pPr>
        <w:pStyle w:val="NoSpacing"/>
        <w:rPr>
          <w:rFonts w:ascii="Arial Black" w:hAnsi="Arial Black"/>
          <w:sz w:val="24"/>
          <w:szCs w:val="24"/>
        </w:rPr>
      </w:pPr>
    </w:p>
    <w:p w14:paraId="3F263331" w14:textId="77777777" w:rsidR="005E497B" w:rsidRDefault="005E497B" w:rsidP="005C30A4">
      <w:pPr>
        <w:pStyle w:val="NoSpacing"/>
        <w:rPr>
          <w:rFonts w:ascii="Arial Black" w:hAnsi="Arial Black"/>
          <w:sz w:val="24"/>
          <w:szCs w:val="24"/>
        </w:rPr>
      </w:pPr>
    </w:p>
    <w:p w14:paraId="671FE398" w14:textId="719A150B" w:rsidR="008D4459" w:rsidRDefault="008D4459" w:rsidP="005C30A4">
      <w:pPr>
        <w:pStyle w:val="NoSpacing"/>
        <w:rPr>
          <w:rFonts w:ascii="Arial Black" w:hAnsi="Arial Black"/>
          <w:sz w:val="24"/>
          <w:szCs w:val="24"/>
        </w:rPr>
      </w:pPr>
      <w:r>
        <w:rPr>
          <w:rFonts w:ascii="Arial Black" w:hAnsi="Arial Black"/>
          <w:sz w:val="24"/>
          <w:szCs w:val="24"/>
        </w:rPr>
        <w:t>9-</w:t>
      </w:r>
      <w:r w:rsidR="00264998">
        <w:rPr>
          <w:rFonts w:ascii="Arial Black" w:hAnsi="Arial Black"/>
          <w:sz w:val="24"/>
          <w:szCs w:val="24"/>
        </w:rPr>
        <w:t>45</w:t>
      </w:r>
    </w:p>
    <w:p w14:paraId="4E4AC632" w14:textId="77777777" w:rsidR="00264998" w:rsidRDefault="00264998" w:rsidP="005C30A4">
      <w:pPr>
        <w:pStyle w:val="NoSpacing"/>
        <w:rPr>
          <w:rFonts w:ascii="Arial Black" w:hAnsi="Arial Black"/>
          <w:sz w:val="24"/>
          <w:szCs w:val="24"/>
        </w:rPr>
      </w:pPr>
    </w:p>
    <w:p w14:paraId="0C959699" w14:textId="77777777" w:rsidR="00264998" w:rsidRDefault="00264998" w:rsidP="00264998">
      <w:pPr>
        <w:rPr>
          <w:rFonts w:ascii="Arial Black" w:hAnsi="Arial Black"/>
          <w:sz w:val="28"/>
          <w:szCs w:val="28"/>
        </w:rPr>
      </w:pPr>
      <w:r>
        <w:rPr>
          <w:rFonts w:ascii="Arial Black" w:hAnsi="Arial Black"/>
          <w:sz w:val="28"/>
          <w:szCs w:val="28"/>
        </w:rPr>
        <w:t>U.S. SUP. CT:  AGREES TO HEAR FF PARKINSON’S CASE – OCT. 2024 TERM - INSURANCE REDUCED 2-YRS – CIR. SPLIT</w:t>
      </w:r>
    </w:p>
    <w:p w14:paraId="61BF1697" w14:textId="77777777" w:rsidR="00264998" w:rsidRDefault="00264998" w:rsidP="00264998">
      <w:pPr>
        <w:rPr>
          <w:rFonts w:ascii="Times New Roman" w:hAnsi="Times New Roman"/>
          <w:sz w:val="24"/>
          <w:szCs w:val="24"/>
        </w:rPr>
      </w:pPr>
      <w:r>
        <w:rPr>
          <w:rFonts w:ascii="Times New Roman" w:hAnsi="Times New Roman"/>
          <w:sz w:val="24"/>
          <w:szCs w:val="24"/>
        </w:rPr>
        <w:t xml:space="preserve">On June 24, 2024, in </w:t>
      </w:r>
      <w:r>
        <w:rPr>
          <w:rFonts w:ascii="Times New Roman" w:hAnsi="Times New Roman"/>
          <w:sz w:val="24"/>
          <w:szCs w:val="24"/>
          <w:u w:val="single"/>
        </w:rPr>
        <w:t>Karyn D. Stanley v.  City of Sanford, Florida</w:t>
      </w:r>
      <w:r>
        <w:rPr>
          <w:rFonts w:ascii="Times New Roman" w:hAnsi="Times New Roman"/>
          <w:sz w:val="24"/>
          <w:szCs w:val="24"/>
        </w:rPr>
        <w:t xml:space="preserve">, the U.S. Supreme Court granted firefighter’s petition for writ of certiorari (requires 4 votes of 9 Justices) and will schedule oral arguments during next Term. </w:t>
      </w:r>
      <w:hyperlink r:id="rId1665" w:history="1">
        <w:r>
          <w:rPr>
            <w:rStyle w:val="Hyperlink"/>
            <w:rFonts w:ascii="Times New Roman" w:hAnsi="Times New Roman"/>
            <w:sz w:val="24"/>
            <w:szCs w:val="24"/>
          </w:rPr>
          <w:t>https://www.supremecourt.gov/orders/courtorders/062424zor_e18f.pdf</w:t>
        </w:r>
      </w:hyperlink>
      <w:r>
        <w:rPr>
          <w:rFonts w:ascii="Times New Roman" w:hAnsi="Times New Roman"/>
          <w:sz w:val="24"/>
          <w:szCs w:val="24"/>
        </w:rPr>
        <w:t xml:space="preserve">.  Lt. Stanley retired on disability in 2018; she then learned that City in 2003 had reduced free medical insurance for disabled employees to two years coverage (was previously provided until age 65).  Her lawsuit was dismissed by U.S. District Court judge, and the dismissal was upheld on Oct. 11, </w:t>
      </w:r>
      <w:proofErr w:type="gramStart"/>
      <w:r>
        <w:rPr>
          <w:rFonts w:ascii="Times New Roman" w:hAnsi="Times New Roman"/>
          <w:sz w:val="24"/>
          <w:szCs w:val="24"/>
        </w:rPr>
        <w:t>2023</w:t>
      </w:r>
      <w:proofErr w:type="gramEnd"/>
      <w:r>
        <w:rPr>
          <w:rFonts w:ascii="Times New Roman" w:hAnsi="Times New Roman"/>
          <w:sz w:val="24"/>
          <w:szCs w:val="24"/>
        </w:rPr>
        <w:t xml:space="preserve"> by a 3-judge panel of 11</w:t>
      </w:r>
      <w:r>
        <w:rPr>
          <w:rFonts w:ascii="Times New Roman" w:hAnsi="Times New Roman"/>
          <w:sz w:val="24"/>
          <w:szCs w:val="24"/>
          <w:vertAlign w:val="superscript"/>
        </w:rPr>
        <w:t>th</w:t>
      </w:r>
      <w:r>
        <w:rPr>
          <w:rFonts w:ascii="Times New Roman" w:hAnsi="Times New Roman"/>
          <w:sz w:val="24"/>
          <w:szCs w:val="24"/>
        </w:rPr>
        <w:t xml:space="preserve"> Circuit (Atlanta) – their strict review of ADA statute language appears to limit lawsuits to only current employees and applicants. Other federal Circuits (2</w:t>
      </w:r>
      <w:r>
        <w:rPr>
          <w:rFonts w:ascii="Times New Roman" w:hAnsi="Times New Roman"/>
          <w:sz w:val="24"/>
          <w:szCs w:val="24"/>
          <w:vertAlign w:val="superscript"/>
        </w:rPr>
        <w:t>nd</w:t>
      </w:r>
      <w:r>
        <w:rPr>
          <w:rFonts w:ascii="Times New Roman" w:hAnsi="Times New Roman"/>
          <w:sz w:val="24"/>
          <w:szCs w:val="24"/>
        </w:rPr>
        <w:t xml:space="preserve"> &amp; 3</w:t>
      </w:r>
      <w:r>
        <w:rPr>
          <w:rFonts w:ascii="Times New Roman" w:hAnsi="Times New Roman"/>
          <w:sz w:val="24"/>
          <w:szCs w:val="24"/>
          <w:vertAlign w:val="superscript"/>
        </w:rPr>
        <w:t>rd</w:t>
      </w:r>
      <w:r>
        <w:rPr>
          <w:rFonts w:ascii="Times New Roman" w:hAnsi="Times New Roman"/>
          <w:sz w:val="24"/>
          <w:szCs w:val="24"/>
        </w:rPr>
        <w:t xml:space="preserve"> Circuits) disagree and have held that retirees can also sue under ADA. </w:t>
      </w:r>
      <w:hyperlink r:id="rId1666" w:history="1">
        <w:r>
          <w:rPr>
            <w:rStyle w:val="Hyperlink"/>
            <w:rFonts w:ascii="Times New Roman" w:hAnsi="Times New Roman"/>
            <w:sz w:val="24"/>
            <w:szCs w:val="24"/>
          </w:rPr>
          <w:t>https://cases.justia.com/federal/appellate-courts/ca11/22-10002/22-10002-2023-10-11.pdf?ts=1697045568</w:t>
        </w:r>
      </w:hyperlink>
      <w:r>
        <w:rPr>
          <w:rFonts w:ascii="Times New Roman" w:hAnsi="Times New Roman"/>
          <w:sz w:val="24"/>
          <w:szCs w:val="24"/>
        </w:rPr>
        <w:t xml:space="preserve"> </w:t>
      </w:r>
    </w:p>
    <w:p w14:paraId="7AD282BB" w14:textId="77777777" w:rsidR="00264998" w:rsidRDefault="00264998" w:rsidP="00264998">
      <w:pPr>
        <w:pStyle w:val="NoSpacing"/>
        <w:ind w:left="720"/>
        <w:rPr>
          <w:rFonts w:ascii="Times New Roman" w:hAnsi="Times New Roman"/>
          <w:sz w:val="24"/>
          <w:szCs w:val="24"/>
        </w:rPr>
      </w:pPr>
    </w:p>
    <w:p w14:paraId="78EE4501" w14:textId="77777777" w:rsidR="00264998" w:rsidRDefault="00264998" w:rsidP="00264998">
      <w:pPr>
        <w:rPr>
          <w:rFonts w:ascii="Times New Roman" w:hAnsi="Times New Roman"/>
          <w:sz w:val="24"/>
          <w:szCs w:val="24"/>
        </w:rPr>
      </w:pPr>
      <w:r>
        <w:rPr>
          <w:rFonts w:ascii="Times New Roman" w:hAnsi="Times New Roman"/>
          <w:sz w:val="24"/>
          <w:szCs w:val="24"/>
        </w:rPr>
        <w:t>11</w:t>
      </w:r>
      <w:r>
        <w:rPr>
          <w:rFonts w:ascii="Times New Roman" w:hAnsi="Times New Roman"/>
          <w:sz w:val="24"/>
          <w:szCs w:val="24"/>
          <w:vertAlign w:val="superscript"/>
        </w:rPr>
        <w:t>th</w:t>
      </w:r>
      <w:r>
        <w:rPr>
          <w:rFonts w:ascii="Times New Roman" w:hAnsi="Times New Roman"/>
          <w:sz w:val="24"/>
          <w:szCs w:val="24"/>
        </w:rPr>
        <w:t xml:space="preserve"> CIRCUIT HELD:</w:t>
      </w:r>
    </w:p>
    <w:p w14:paraId="67DA27FA" w14:textId="77777777" w:rsidR="00264998" w:rsidRDefault="00264998" w:rsidP="00264998">
      <w:pPr>
        <w:pStyle w:val="NoSpacing"/>
        <w:ind w:left="720"/>
        <w:rPr>
          <w:rFonts w:ascii="Times New Roman" w:hAnsi="Times New Roman"/>
          <w:sz w:val="24"/>
          <w:szCs w:val="24"/>
        </w:rPr>
      </w:pPr>
      <w:r>
        <w:rPr>
          <w:rFonts w:ascii="Times New Roman" w:hAnsi="Times New Roman"/>
          <w:sz w:val="24"/>
          <w:szCs w:val="24"/>
        </w:rPr>
        <w:t>“We believe Gonzales [v. Garner Food Services, Inc., 89 F.3d 1523 (11th Cir. 1996)] is still good law. We thus reaffirm that a Title I plaintiff must ‘hold[] or desire[]’ an employment position with the defendant at the time of the defendant’s allegedly wrong-</w:t>
      </w:r>
    </w:p>
    <w:p w14:paraId="373CA253" w14:textId="77777777" w:rsidR="00264998" w:rsidRDefault="00264998" w:rsidP="00264998">
      <w:pPr>
        <w:pStyle w:val="NoSpacing"/>
        <w:ind w:left="720"/>
        <w:rPr>
          <w:rFonts w:ascii="Times New Roman" w:hAnsi="Times New Roman"/>
          <w:sz w:val="24"/>
          <w:szCs w:val="24"/>
        </w:rPr>
      </w:pPr>
      <w:proofErr w:type="spellStart"/>
      <w:r>
        <w:rPr>
          <w:rFonts w:ascii="Times New Roman" w:hAnsi="Times New Roman"/>
          <w:sz w:val="24"/>
          <w:szCs w:val="24"/>
        </w:rPr>
        <w:t>ful</w:t>
      </w:r>
      <w:proofErr w:type="spellEnd"/>
      <w:r>
        <w:rPr>
          <w:rFonts w:ascii="Times New Roman" w:hAnsi="Times New Roman"/>
          <w:sz w:val="24"/>
          <w:szCs w:val="24"/>
        </w:rPr>
        <w:t xml:space="preserve"> act. 42 U.S.C. § 12111(8). Because plaintiff Karyn Stanley is suing over the termination of retirement benefits when she neither held nor desired to hold an employment position with her former employer, the City of Sanford, Gonzales bars her claim. We therefore affirm the district court.</w:t>
      </w:r>
    </w:p>
    <w:p w14:paraId="2C2C1156" w14:textId="77777777" w:rsidR="00264998" w:rsidRDefault="00264998" w:rsidP="00264998">
      <w:pPr>
        <w:pStyle w:val="NoSpacing"/>
        <w:ind w:left="720"/>
        <w:rPr>
          <w:rFonts w:ascii="Times New Roman" w:hAnsi="Times New Roman"/>
          <w:sz w:val="24"/>
          <w:szCs w:val="24"/>
        </w:rPr>
      </w:pPr>
    </w:p>
    <w:p w14:paraId="31A1D926" w14:textId="77777777" w:rsidR="00264998" w:rsidRDefault="00264998" w:rsidP="00264998">
      <w:pPr>
        <w:pStyle w:val="NoSpacing"/>
        <w:ind w:left="720"/>
        <w:rPr>
          <w:rFonts w:ascii="Times New Roman" w:hAnsi="Times New Roman"/>
          <w:sz w:val="24"/>
          <w:szCs w:val="24"/>
        </w:rPr>
      </w:pPr>
      <w:r>
        <w:rPr>
          <w:rFonts w:ascii="Times New Roman" w:hAnsi="Times New Roman"/>
          <w:sz w:val="24"/>
          <w:szCs w:val="24"/>
        </w:rPr>
        <w:t>***</w:t>
      </w:r>
    </w:p>
    <w:p w14:paraId="29145688" w14:textId="77777777" w:rsidR="00264998" w:rsidRDefault="00264998" w:rsidP="00264998">
      <w:pPr>
        <w:pStyle w:val="NoSpacing"/>
        <w:ind w:left="720"/>
        <w:rPr>
          <w:rFonts w:ascii="Times New Roman" w:hAnsi="Times New Roman"/>
          <w:sz w:val="24"/>
          <w:szCs w:val="24"/>
        </w:rPr>
      </w:pPr>
      <w:r>
        <w:rPr>
          <w:rFonts w:ascii="Times New Roman" w:hAnsi="Times New Roman"/>
          <w:sz w:val="24"/>
          <w:szCs w:val="24"/>
        </w:rPr>
        <w:t xml:space="preserve">Title I’s anti-discrimination provision is not afflicted with any such ambiguity. There is a clear temporal qualifier in Title I: Only someone ‘who, with or without reasonable accommodation, can perform the essential functions of the employment position that such individual holds or </w:t>
      </w:r>
      <w:proofErr w:type="gramStart"/>
      <w:r>
        <w:rPr>
          <w:rFonts w:ascii="Times New Roman" w:hAnsi="Times New Roman"/>
          <w:sz w:val="24"/>
          <w:szCs w:val="24"/>
        </w:rPr>
        <w:t>desires’</w:t>
      </w:r>
      <w:proofErr w:type="gramEnd"/>
      <w:r>
        <w:rPr>
          <w:rFonts w:ascii="Times New Roman" w:hAnsi="Times New Roman"/>
          <w:sz w:val="24"/>
          <w:szCs w:val="24"/>
        </w:rPr>
        <w:t xml:space="preserve"> is protected from disability discrimination. 42 U.S.C. §§ 12111(8) (emphases added), 12112(a); see also </w:t>
      </w:r>
      <w:proofErr w:type="spellStart"/>
      <w:r>
        <w:rPr>
          <w:rFonts w:ascii="Times New Roman" w:hAnsi="Times New Roman"/>
          <w:sz w:val="24"/>
          <w:szCs w:val="24"/>
        </w:rPr>
        <w:t>Slomcenski</w:t>
      </w:r>
      <w:proofErr w:type="spellEnd"/>
      <w:r>
        <w:rPr>
          <w:rFonts w:ascii="Times New Roman" w:hAnsi="Times New Roman"/>
          <w:sz w:val="24"/>
          <w:szCs w:val="24"/>
        </w:rPr>
        <w:t xml:space="preserve"> v. </w:t>
      </w:r>
      <w:r>
        <w:rPr>
          <w:rFonts w:ascii="Times New Roman" w:hAnsi="Times New Roman"/>
          <w:sz w:val="24"/>
          <w:szCs w:val="24"/>
        </w:rPr>
        <w:lastRenderedPageBreak/>
        <w:t xml:space="preserve">Citibank, N.A., 432 F.3d 1271, 1280–81 (11th Cir. 2005). ‘Can,’ ‘holds,’ and ‘desires’ are in the present tense. So, to be a victim of unlawful disability discrimination, the plaintiff must desire or already have a job with the defendant at the time the defendant commits the discriminatory </w:t>
      </w:r>
      <w:proofErr w:type="gramStart"/>
      <w:r>
        <w:rPr>
          <w:rFonts w:ascii="Times New Roman" w:hAnsi="Times New Roman"/>
          <w:sz w:val="24"/>
          <w:szCs w:val="24"/>
        </w:rPr>
        <w:t>act.”</w:t>
      </w:r>
      <w:proofErr w:type="gramEnd"/>
      <w:r>
        <w:rPr>
          <w:rFonts w:ascii="Times New Roman" w:hAnsi="Times New Roman"/>
          <w:sz w:val="24"/>
          <w:szCs w:val="24"/>
        </w:rPr>
        <w:t xml:space="preserve"> </w:t>
      </w:r>
      <w:hyperlink r:id="rId1667" w:history="1">
        <w:r>
          <w:rPr>
            <w:rStyle w:val="Hyperlink"/>
            <w:rFonts w:ascii="Times New Roman" w:hAnsi="Times New Roman"/>
            <w:sz w:val="24"/>
            <w:szCs w:val="24"/>
          </w:rPr>
          <w:t>https://cases.justia.com/federal/appellate-courts/ca11/22-10002/22-10002-2023-10-11.pdf?ts=1697045568</w:t>
        </w:r>
      </w:hyperlink>
      <w:r>
        <w:rPr>
          <w:rFonts w:ascii="Times New Roman" w:hAnsi="Times New Roman"/>
          <w:sz w:val="24"/>
          <w:szCs w:val="24"/>
        </w:rPr>
        <w:t xml:space="preserve"> </w:t>
      </w:r>
    </w:p>
    <w:p w14:paraId="0C485D13" w14:textId="77777777" w:rsidR="00264998" w:rsidRDefault="00264998" w:rsidP="00264998">
      <w:pPr>
        <w:rPr>
          <w:rFonts w:ascii="Times New Roman" w:hAnsi="Times New Roman"/>
          <w:sz w:val="24"/>
          <w:szCs w:val="24"/>
        </w:rPr>
      </w:pPr>
    </w:p>
    <w:p w14:paraId="4F27682F" w14:textId="77777777" w:rsidR="00264998" w:rsidRDefault="00264998" w:rsidP="00264998">
      <w:pPr>
        <w:rPr>
          <w:rFonts w:ascii="Times New Roman" w:hAnsi="Times New Roman"/>
          <w:sz w:val="24"/>
          <w:szCs w:val="24"/>
        </w:rPr>
      </w:pPr>
      <w:r>
        <w:rPr>
          <w:rFonts w:ascii="Times New Roman" w:hAnsi="Times New Roman"/>
          <w:sz w:val="24"/>
          <w:szCs w:val="24"/>
        </w:rPr>
        <w:t>FACTS:</w:t>
      </w:r>
    </w:p>
    <w:p w14:paraId="35D4BB73" w14:textId="77777777" w:rsidR="00264998" w:rsidRDefault="00264998" w:rsidP="00264998">
      <w:pPr>
        <w:pStyle w:val="NoSpacing"/>
        <w:ind w:left="720"/>
        <w:rPr>
          <w:rFonts w:ascii="Times New Roman" w:hAnsi="Times New Roman"/>
          <w:sz w:val="24"/>
          <w:szCs w:val="24"/>
        </w:rPr>
      </w:pPr>
      <w:r>
        <w:rPr>
          <w:rFonts w:ascii="Times New Roman" w:hAnsi="Times New Roman"/>
          <w:sz w:val="24"/>
          <w:szCs w:val="24"/>
        </w:rPr>
        <w:t>“Karyn Stanley became a firefighter for the City of Sanford, Florida, in 1999. She served the City in that capacity for about fifteen years until she was diagnosed with Parkinson’s disease in 2016. Although she managed to continue working as a firefighter for</w:t>
      </w:r>
    </w:p>
    <w:p w14:paraId="3D280597" w14:textId="77777777" w:rsidR="00264998" w:rsidRDefault="00264998" w:rsidP="00264998">
      <w:pPr>
        <w:pStyle w:val="NoSpacing"/>
        <w:ind w:left="720"/>
        <w:rPr>
          <w:rFonts w:ascii="Times New Roman" w:hAnsi="Times New Roman"/>
          <w:sz w:val="24"/>
          <w:szCs w:val="24"/>
        </w:rPr>
      </w:pPr>
      <w:proofErr w:type="gramStart"/>
      <w:r>
        <w:rPr>
          <w:rFonts w:ascii="Times New Roman" w:hAnsi="Times New Roman"/>
          <w:sz w:val="24"/>
          <w:szCs w:val="24"/>
        </w:rPr>
        <w:t>about</w:t>
      </w:r>
      <w:proofErr w:type="gramEnd"/>
      <w:r>
        <w:rPr>
          <w:rFonts w:ascii="Times New Roman" w:hAnsi="Times New Roman"/>
          <w:sz w:val="24"/>
          <w:szCs w:val="24"/>
        </w:rPr>
        <w:t xml:space="preserve"> two more years, her disease and accompanying physical disabilities eventually left her incapable of performing her job. So, at the age of 47, Stanley took disability retirement on November 1, 2018. When Stanley retired, she continued to receive free health insurance through the City. Under a policy in effect when Stanley first joined the fire department, employees retiring for qualifying disability reasons, such as Stanley’s Parkinson’s disease, received free health insurance until the age of 65. But, unbeknownst to Stanley, the </w:t>
      </w:r>
      <w:proofErr w:type="gramStart"/>
      <w:r>
        <w:rPr>
          <w:rFonts w:ascii="Times New Roman" w:hAnsi="Times New Roman"/>
          <w:sz w:val="24"/>
          <w:szCs w:val="24"/>
        </w:rPr>
        <w:t>City</w:t>
      </w:r>
      <w:proofErr w:type="gramEnd"/>
      <w:r>
        <w:rPr>
          <w:rFonts w:ascii="Times New Roman" w:hAnsi="Times New Roman"/>
          <w:sz w:val="24"/>
          <w:szCs w:val="24"/>
        </w:rPr>
        <w:t xml:space="preserve"> changed its benefits plan in 2003. Under the new plan, disability retirees such as Stanley are entitled to the health insurance subsidy for only twenty-four months after retiring. Stanley was thus set to become responsible for her own health insurance premiums beginning on December 1, 2020. She filed this suit in April 2020, seeking to establish her entitlement to the long-term healthcare subsidy.”</w:t>
      </w:r>
    </w:p>
    <w:p w14:paraId="436B5164" w14:textId="77777777" w:rsidR="00264998" w:rsidRDefault="00264998" w:rsidP="00264998">
      <w:pPr>
        <w:pStyle w:val="NoSpacing"/>
        <w:rPr>
          <w:rFonts w:ascii="Times New Roman" w:hAnsi="Times New Roman"/>
          <w:b/>
          <w:bCs/>
          <w:sz w:val="24"/>
          <w:szCs w:val="24"/>
        </w:rPr>
      </w:pPr>
    </w:p>
    <w:p w14:paraId="071E3383" w14:textId="77777777" w:rsidR="00264998" w:rsidRDefault="00264998" w:rsidP="00264998">
      <w:pPr>
        <w:pStyle w:val="NoSpacing"/>
        <w:rPr>
          <w:rFonts w:ascii="Times New Roman" w:hAnsi="Times New Roman"/>
          <w:b/>
          <w:bCs/>
          <w:sz w:val="24"/>
          <w:szCs w:val="24"/>
        </w:rPr>
      </w:pPr>
      <w:r>
        <w:rPr>
          <w:rFonts w:ascii="Times New Roman" w:hAnsi="Times New Roman"/>
          <w:b/>
          <w:bCs/>
          <w:sz w:val="24"/>
          <w:szCs w:val="24"/>
        </w:rPr>
        <w:t xml:space="preserve">Legal Lesson Learned: The U.S. Supreme Court has agreed to hear this case; presumably to resolve the split in Circuit Court decisions on whether ADA protects retired disabled employees when the employer changes pension benefits. </w:t>
      </w:r>
    </w:p>
    <w:p w14:paraId="2CAAD553" w14:textId="77777777" w:rsidR="00264998" w:rsidRDefault="00264998" w:rsidP="00264998">
      <w:pPr>
        <w:pStyle w:val="NoSpacing"/>
        <w:rPr>
          <w:rFonts w:ascii="Times New Roman" w:hAnsi="Times New Roman"/>
          <w:sz w:val="24"/>
          <w:szCs w:val="24"/>
        </w:rPr>
      </w:pPr>
    </w:p>
    <w:p w14:paraId="30C6957D" w14:textId="77777777" w:rsidR="00264998" w:rsidRDefault="00264998" w:rsidP="00264998">
      <w:pPr>
        <w:ind w:left="720"/>
        <w:rPr>
          <w:rFonts w:ascii="Times New Roman" w:hAnsi="Times New Roman"/>
          <w:sz w:val="24"/>
          <w:szCs w:val="24"/>
        </w:rPr>
      </w:pPr>
      <w:r>
        <w:rPr>
          <w:rFonts w:ascii="Times New Roman" w:hAnsi="Times New Roman"/>
          <w:sz w:val="24"/>
          <w:szCs w:val="24"/>
        </w:rPr>
        <w:t>Note: See these Briefs filed with U.S. Supreme Court:</w:t>
      </w:r>
    </w:p>
    <w:p w14:paraId="4D61A910" w14:textId="77777777" w:rsidR="00264998" w:rsidRDefault="00264998" w:rsidP="00264998">
      <w:pPr>
        <w:ind w:left="720"/>
        <w:rPr>
          <w:rFonts w:ascii="Times New Roman" w:hAnsi="Times New Roman"/>
          <w:sz w:val="24"/>
          <w:szCs w:val="24"/>
        </w:rPr>
      </w:pPr>
      <w:r>
        <w:rPr>
          <w:rFonts w:ascii="Times New Roman" w:hAnsi="Times New Roman"/>
          <w:sz w:val="24"/>
          <w:szCs w:val="24"/>
        </w:rPr>
        <w:t>CITY’s BRIEF:</w:t>
      </w:r>
    </w:p>
    <w:p w14:paraId="369F9DAF" w14:textId="77777777" w:rsidR="00264998" w:rsidRDefault="00264998" w:rsidP="00264998">
      <w:pPr>
        <w:ind w:left="1440"/>
        <w:rPr>
          <w:rFonts w:ascii="Times New Roman" w:hAnsi="Times New Roman"/>
          <w:sz w:val="24"/>
          <w:szCs w:val="24"/>
        </w:rPr>
      </w:pPr>
      <w:r>
        <w:rPr>
          <w:rFonts w:ascii="Times New Roman" w:hAnsi="Times New Roman"/>
          <w:sz w:val="24"/>
          <w:szCs w:val="24"/>
        </w:rPr>
        <w:t xml:space="preserve">“Thus, for just one employee like Petitioner retiring early at the age of 47, payment of the subsidy to age 65 would have cost the </w:t>
      </w:r>
      <w:proofErr w:type="gramStart"/>
      <w:r>
        <w:rPr>
          <w:rFonts w:ascii="Times New Roman" w:hAnsi="Times New Roman"/>
          <w:sz w:val="24"/>
          <w:szCs w:val="24"/>
        </w:rPr>
        <w:t>City</w:t>
      </w:r>
      <w:proofErr w:type="gramEnd"/>
      <w:r>
        <w:rPr>
          <w:rFonts w:ascii="Times New Roman" w:hAnsi="Times New Roman"/>
          <w:sz w:val="24"/>
          <w:szCs w:val="24"/>
        </w:rPr>
        <w:t xml:space="preserve"> over $216,000.00.” [City’s Brief in Opposition; </w:t>
      </w:r>
      <w:hyperlink r:id="rId1668" w:history="1">
        <w:r>
          <w:rPr>
            <w:rStyle w:val="Hyperlink"/>
            <w:rFonts w:ascii="Times New Roman" w:hAnsi="Times New Roman"/>
            <w:sz w:val="24"/>
            <w:szCs w:val="24"/>
          </w:rPr>
          <w:t>https://www.supremecourt.gov/DocketPDF/23/23-997/309679/20240513145152474_23-997%20Brief%20in%20Opposition%20Final.pdf</w:t>
        </w:r>
      </w:hyperlink>
      <w:r>
        <w:rPr>
          <w:rFonts w:ascii="Times New Roman" w:hAnsi="Times New Roman"/>
          <w:sz w:val="24"/>
          <w:szCs w:val="24"/>
        </w:rPr>
        <w:t>.]</w:t>
      </w:r>
    </w:p>
    <w:p w14:paraId="2471185E" w14:textId="77777777" w:rsidR="00264998" w:rsidRDefault="00264998" w:rsidP="00264998">
      <w:pPr>
        <w:ind w:left="720"/>
        <w:rPr>
          <w:rFonts w:ascii="Times New Roman" w:hAnsi="Times New Roman"/>
          <w:sz w:val="24"/>
          <w:szCs w:val="24"/>
        </w:rPr>
      </w:pPr>
      <w:r>
        <w:rPr>
          <w:rFonts w:ascii="Times New Roman" w:hAnsi="Times New Roman"/>
          <w:sz w:val="24"/>
          <w:szCs w:val="24"/>
        </w:rPr>
        <w:t xml:space="preserve">LT. STANLEY’S REPLY BRIEF: </w:t>
      </w:r>
    </w:p>
    <w:p w14:paraId="21C0A72A" w14:textId="77777777" w:rsidR="00264998" w:rsidRDefault="00264998" w:rsidP="00264998">
      <w:pPr>
        <w:pStyle w:val="NoSpacing"/>
        <w:ind w:left="1440"/>
        <w:rPr>
          <w:rFonts w:ascii="Times New Roman" w:hAnsi="Times New Roman"/>
          <w:sz w:val="24"/>
          <w:szCs w:val="24"/>
        </w:rPr>
      </w:pPr>
      <w:r>
        <w:rPr>
          <w:rFonts w:ascii="Times New Roman" w:hAnsi="Times New Roman"/>
          <w:sz w:val="24"/>
          <w:szCs w:val="24"/>
        </w:rPr>
        <w:t xml:space="preserve">“The </w:t>
      </w:r>
      <w:proofErr w:type="gramStart"/>
      <w:r>
        <w:rPr>
          <w:rFonts w:ascii="Times New Roman" w:hAnsi="Times New Roman"/>
          <w:sz w:val="24"/>
          <w:szCs w:val="24"/>
        </w:rPr>
        <w:t>City</w:t>
      </w:r>
      <w:proofErr w:type="gramEnd"/>
      <w:r>
        <w:rPr>
          <w:rFonts w:ascii="Times New Roman" w:hAnsi="Times New Roman"/>
          <w:sz w:val="24"/>
          <w:szCs w:val="24"/>
        </w:rPr>
        <w:t xml:space="preserve"> concedes that there is a longstanding ‘circuit split” over whether former employees can sue for discrimination with respect to their post-employment benefits under the ADA…. It recognizes the same two-to-four split outlined in the petition: Although the Second and Third Circuits permit former employees to sue with respect to post-employment benefits, the Sixth, Seventh, Ninth, and Eleventh Circuits do not.</w:t>
      </w:r>
    </w:p>
    <w:p w14:paraId="76D9C800" w14:textId="77777777" w:rsidR="00264998" w:rsidRDefault="00264998" w:rsidP="00264998">
      <w:pPr>
        <w:pStyle w:val="NoSpacing"/>
        <w:ind w:left="720"/>
        <w:rPr>
          <w:rFonts w:ascii="Times New Roman" w:hAnsi="Times New Roman"/>
          <w:sz w:val="24"/>
          <w:szCs w:val="24"/>
        </w:rPr>
      </w:pPr>
    </w:p>
    <w:p w14:paraId="1BDAAEB9" w14:textId="77777777" w:rsidR="00264998" w:rsidRDefault="00264998" w:rsidP="00264998">
      <w:pPr>
        <w:pStyle w:val="NoSpacing"/>
        <w:ind w:left="1440"/>
        <w:rPr>
          <w:rFonts w:ascii="Times New Roman" w:hAnsi="Times New Roman"/>
          <w:sz w:val="24"/>
          <w:szCs w:val="24"/>
        </w:rPr>
      </w:pPr>
      <w:r>
        <w:rPr>
          <w:rFonts w:ascii="Times New Roman" w:hAnsi="Times New Roman"/>
          <w:sz w:val="24"/>
          <w:szCs w:val="24"/>
        </w:rPr>
        <w:t>***</w:t>
      </w:r>
    </w:p>
    <w:p w14:paraId="2F6DB976" w14:textId="77777777" w:rsidR="00264998" w:rsidRDefault="00264998" w:rsidP="00264998">
      <w:pPr>
        <w:pStyle w:val="NoSpacing"/>
        <w:ind w:left="720"/>
        <w:rPr>
          <w:rFonts w:ascii="Times New Roman" w:hAnsi="Times New Roman"/>
          <w:sz w:val="24"/>
          <w:szCs w:val="24"/>
        </w:rPr>
      </w:pPr>
    </w:p>
    <w:p w14:paraId="1F70BDEF" w14:textId="77777777" w:rsidR="00264998" w:rsidRDefault="00264998" w:rsidP="00264998">
      <w:pPr>
        <w:pStyle w:val="NoSpacing"/>
        <w:ind w:left="1440"/>
        <w:rPr>
          <w:rFonts w:ascii="Times New Roman" w:hAnsi="Times New Roman"/>
          <w:sz w:val="24"/>
          <w:szCs w:val="24"/>
        </w:rPr>
      </w:pPr>
      <w:r>
        <w:rPr>
          <w:rFonts w:ascii="Times New Roman" w:hAnsi="Times New Roman"/>
          <w:sz w:val="24"/>
          <w:szCs w:val="24"/>
        </w:rPr>
        <w:t xml:space="preserve">The City doesn’t contest that, when the City offered her the firefighter job, her employment package included a retirement ‘health insurance subsidy.’ Pet. App. 3a. Nor does it dispute, as the courts below recognized, that this subsidy was ‘a stand-alone fringe benefit of employment with [the] Defendant.’ Pet. App. 21a. The fringe benefit was thus covered by the ADA as part of the ‘terms, conditions, and privileges of [her] employment.’ 42 U.S.C. §§ 12111(8), 12112(a). That doesn’t mean that on remand the </w:t>
      </w:r>
      <w:proofErr w:type="gramStart"/>
      <w:r>
        <w:rPr>
          <w:rFonts w:ascii="Times New Roman" w:hAnsi="Times New Roman"/>
          <w:sz w:val="24"/>
          <w:szCs w:val="24"/>
        </w:rPr>
        <w:t>City</w:t>
      </w:r>
      <w:proofErr w:type="gramEnd"/>
      <w:r>
        <w:rPr>
          <w:rFonts w:ascii="Times New Roman" w:hAnsi="Times New Roman"/>
          <w:sz w:val="24"/>
          <w:szCs w:val="24"/>
        </w:rPr>
        <w:t xml:space="preserve"> won’t be able to argue that Ms. Stanley’s twenty </w:t>
      </w:r>
      <w:r>
        <w:rPr>
          <w:rFonts w:ascii="Times New Roman" w:hAnsi="Times New Roman"/>
          <w:sz w:val="24"/>
          <w:szCs w:val="24"/>
        </w:rPr>
        <w:lastRenderedPageBreak/>
        <w:t xml:space="preserve">years of service didn’t sufficiently ‘earn’ her the subsidy she was promised. The </w:t>
      </w:r>
      <w:proofErr w:type="gramStart"/>
      <w:r>
        <w:rPr>
          <w:rFonts w:ascii="Times New Roman" w:hAnsi="Times New Roman"/>
          <w:sz w:val="24"/>
          <w:szCs w:val="24"/>
        </w:rPr>
        <w:t>City</w:t>
      </w:r>
      <w:proofErr w:type="gramEnd"/>
      <w:r>
        <w:rPr>
          <w:rFonts w:ascii="Times New Roman" w:hAnsi="Times New Roman"/>
          <w:sz w:val="24"/>
          <w:szCs w:val="24"/>
        </w:rPr>
        <w:t xml:space="preserve"> can make whatever arguments it wants on </w:t>
      </w:r>
      <w:proofErr w:type="gramStart"/>
      <w:r>
        <w:rPr>
          <w:rFonts w:ascii="Times New Roman" w:hAnsi="Times New Roman"/>
          <w:sz w:val="24"/>
          <w:szCs w:val="24"/>
        </w:rPr>
        <w:t>remand</w:t>
      </w:r>
      <w:proofErr w:type="gramEnd"/>
      <w:r>
        <w:rPr>
          <w:rFonts w:ascii="Times New Roman" w:hAnsi="Times New Roman"/>
          <w:sz w:val="24"/>
          <w:szCs w:val="24"/>
        </w:rPr>
        <w:t xml:space="preserve">. But none of that bears on whether litigants in Ms. Stanley’s shoes can bring suit under the ADA in the first place.”  [Plaintiff’s Reply Brief; </w:t>
      </w:r>
      <w:hyperlink r:id="rId1669" w:history="1">
        <w:r>
          <w:rPr>
            <w:rStyle w:val="Hyperlink"/>
            <w:rFonts w:ascii="Times New Roman" w:hAnsi="Times New Roman"/>
            <w:sz w:val="24"/>
            <w:szCs w:val="24"/>
          </w:rPr>
          <w:t>https://www.supremecourt.gov/DocketPDF/23/23-997/311779/20240528141949268_23-997%20Stanley%20Reply%20In%20Support%20of%20Certiorari.pdf</w:t>
        </w:r>
      </w:hyperlink>
      <w:r>
        <w:rPr>
          <w:rFonts w:ascii="Times New Roman" w:hAnsi="Times New Roman"/>
          <w:sz w:val="24"/>
          <w:szCs w:val="24"/>
        </w:rPr>
        <w:t xml:space="preserve"> .] </w:t>
      </w:r>
    </w:p>
    <w:p w14:paraId="43333A0A" w14:textId="77777777" w:rsidR="00264998" w:rsidRDefault="00264998" w:rsidP="00264998">
      <w:pPr>
        <w:pStyle w:val="NoSpacing"/>
        <w:rPr>
          <w:rFonts w:ascii="Times New Roman" w:hAnsi="Times New Roman"/>
          <w:sz w:val="24"/>
          <w:szCs w:val="24"/>
        </w:rPr>
      </w:pPr>
    </w:p>
    <w:p w14:paraId="1F465EA9" w14:textId="77777777" w:rsidR="00264998" w:rsidRDefault="00264998" w:rsidP="00264998">
      <w:pPr>
        <w:pStyle w:val="NoSpacing"/>
        <w:ind w:left="720"/>
        <w:rPr>
          <w:rFonts w:ascii="Times New Roman" w:hAnsi="Times New Roman"/>
          <w:sz w:val="24"/>
          <w:szCs w:val="24"/>
        </w:rPr>
      </w:pPr>
      <w:r>
        <w:rPr>
          <w:rFonts w:ascii="Times New Roman" w:hAnsi="Times New Roman"/>
          <w:sz w:val="24"/>
          <w:szCs w:val="24"/>
        </w:rPr>
        <w:t>IAFF AMICUS BRIEF:</w:t>
      </w:r>
    </w:p>
    <w:p w14:paraId="69AA48BE" w14:textId="77777777" w:rsidR="00264998" w:rsidRDefault="00264998" w:rsidP="00264998">
      <w:pPr>
        <w:pStyle w:val="NoSpacing"/>
        <w:rPr>
          <w:rFonts w:ascii="Times New Roman" w:hAnsi="Times New Roman"/>
          <w:sz w:val="24"/>
          <w:szCs w:val="24"/>
        </w:rPr>
      </w:pPr>
    </w:p>
    <w:p w14:paraId="44B58893" w14:textId="77777777" w:rsidR="00264998" w:rsidRDefault="00264998" w:rsidP="00264998">
      <w:pPr>
        <w:pStyle w:val="NoSpacing"/>
        <w:ind w:left="1440"/>
        <w:rPr>
          <w:rFonts w:ascii="Times New Roman" w:hAnsi="Times New Roman"/>
          <w:sz w:val="24"/>
          <w:szCs w:val="24"/>
        </w:rPr>
      </w:pPr>
      <w:r>
        <w:rPr>
          <w:rFonts w:ascii="Times New Roman" w:hAnsi="Times New Roman"/>
          <w:sz w:val="24"/>
          <w:szCs w:val="24"/>
        </w:rPr>
        <w:t xml:space="preserve">“This amicus brief is submitted in support of the Petition for Certiorari filed by Petitioner, Lt. Karyn D. Stanley (Ret.), who throughout her distinguished </w:t>
      </w:r>
      <w:proofErr w:type="spellStart"/>
      <w:r>
        <w:rPr>
          <w:rFonts w:ascii="Times New Roman" w:hAnsi="Times New Roman"/>
          <w:sz w:val="24"/>
          <w:szCs w:val="24"/>
        </w:rPr>
        <w:t>fire fighting</w:t>
      </w:r>
      <w:proofErr w:type="spellEnd"/>
      <w:r>
        <w:rPr>
          <w:rFonts w:ascii="Times New Roman" w:hAnsi="Times New Roman"/>
          <w:sz w:val="24"/>
          <w:szCs w:val="24"/>
        </w:rPr>
        <w:t xml:space="preserve"> career has been a member of one IAFF affiliate, the Sanford Professional Firefighters, IAFF Local 3996.</w:t>
      </w:r>
    </w:p>
    <w:p w14:paraId="03454A4B" w14:textId="77777777" w:rsidR="00264998" w:rsidRDefault="00264998" w:rsidP="00264998">
      <w:pPr>
        <w:pStyle w:val="NoSpacing"/>
        <w:ind w:left="720"/>
        <w:rPr>
          <w:rFonts w:ascii="Times New Roman" w:hAnsi="Times New Roman"/>
          <w:sz w:val="24"/>
          <w:szCs w:val="24"/>
        </w:rPr>
      </w:pPr>
    </w:p>
    <w:p w14:paraId="143FDF63" w14:textId="77777777" w:rsidR="00264998" w:rsidRDefault="00264998" w:rsidP="00264998">
      <w:pPr>
        <w:pStyle w:val="NoSpacing"/>
        <w:ind w:left="1440"/>
        <w:rPr>
          <w:rFonts w:ascii="Times New Roman" w:hAnsi="Times New Roman"/>
          <w:sz w:val="24"/>
          <w:szCs w:val="24"/>
        </w:rPr>
      </w:pPr>
      <w:r>
        <w:rPr>
          <w:rFonts w:ascii="Times New Roman" w:hAnsi="Times New Roman"/>
          <w:sz w:val="24"/>
          <w:szCs w:val="24"/>
        </w:rPr>
        <w:t>***</w:t>
      </w:r>
    </w:p>
    <w:p w14:paraId="71699F06" w14:textId="77777777" w:rsidR="00264998" w:rsidRDefault="00264998" w:rsidP="00264998">
      <w:pPr>
        <w:pStyle w:val="NoSpacing"/>
        <w:ind w:left="1440"/>
        <w:rPr>
          <w:rFonts w:ascii="Times New Roman" w:hAnsi="Times New Roman"/>
          <w:sz w:val="24"/>
          <w:szCs w:val="24"/>
        </w:rPr>
      </w:pPr>
      <w:r>
        <w:rPr>
          <w:rFonts w:ascii="Times New Roman" w:hAnsi="Times New Roman"/>
          <w:sz w:val="24"/>
          <w:szCs w:val="24"/>
        </w:rPr>
        <w:t xml:space="preserve">Notwithstanding these developments, the federal courts continue to perpetuate unnecessary disparities in fire fighter access to benefits following disability by illness or injury. Too many federal courts – including the Eleventh Circuit in its decision below - have remained closed for decades to claims of unlawful disability discrimination that does not manifest until after disability forces a premature end to the employment relationship. Overly narrow applications of the ADA persist, despite Congress passing legislation amending the statute in response to judicial </w:t>
      </w:r>
      <w:proofErr w:type="gramStart"/>
      <w:r>
        <w:rPr>
          <w:rFonts w:ascii="Times New Roman" w:hAnsi="Times New Roman"/>
          <w:sz w:val="24"/>
          <w:szCs w:val="24"/>
        </w:rPr>
        <w:t>decisions it</w:t>
      </w:r>
      <w:proofErr w:type="gramEnd"/>
      <w:r>
        <w:rPr>
          <w:rFonts w:ascii="Times New Roman" w:hAnsi="Times New Roman"/>
          <w:sz w:val="24"/>
          <w:szCs w:val="24"/>
        </w:rPr>
        <w:t xml:space="preserve"> criticized for ‘unduly restricting the </w:t>
      </w:r>
      <w:proofErr w:type="gramStart"/>
      <w:r>
        <w:rPr>
          <w:rFonts w:ascii="Times New Roman" w:hAnsi="Times New Roman"/>
          <w:sz w:val="24"/>
          <w:szCs w:val="24"/>
        </w:rPr>
        <w:t>time period</w:t>
      </w:r>
      <w:proofErr w:type="gramEnd"/>
      <w:r>
        <w:rPr>
          <w:rFonts w:ascii="Times New Roman" w:hAnsi="Times New Roman"/>
          <w:sz w:val="24"/>
          <w:szCs w:val="24"/>
        </w:rPr>
        <w:t xml:space="preserve"> in which victims of discrimination can challenge and recover for discriminatory compensation decisions or other practices, contrary to the intent of</w:t>
      </w:r>
    </w:p>
    <w:p w14:paraId="7C0693A6" w14:textId="77777777" w:rsidR="00264998" w:rsidRDefault="00264998" w:rsidP="00264998">
      <w:pPr>
        <w:pStyle w:val="NoSpacing"/>
        <w:ind w:left="1440"/>
        <w:rPr>
          <w:rFonts w:ascii="Times New Roman" w:hAnsi="Times New Roman"/>
          <w:sz w:val="24"/>
          <w:szCs w:val="24"/>
        </w:rPr>
      </w:pPr>
      <w:r>
        <w:rPr>
          <w:rFonts w:ascii="Times New Roman" w:hAnsi="Times New Roman"/>
          <w:sz w:val="24"/>
          <w:szCs w:val="24"/>
        </w:rPr>
        <w:t>Congress.’ Pub. L. 111-2, 123 Stat. 5.</w:t>
      </w:r>
    </w:p>
    <w:p w14:paraId="235B4BDB" w14:textId="77777777" w:rsidR="00264998" w:rsidRDefault="00264998" w:rsidP="00264998">
      <w:pPr>
        <w:pStyle w:val="NoSpacing"/>
        <w:ind w:left="720"/>
        <w:rPr>
          <w:rFonts w:ascii="Times New Roman" w:hAnsi="Times New Roman"/>
          <w:sz w:val="24"/>
          <w:szCs w:val="24"/>
        </w:rPr>
      </w:pPr>
    </w:p>
    <w:p w14:paraId="0079D07A" w14:textId="77777777" w:rsidR="00264998" w:rsidRDefault="00264998" w:rsidP="00264998">
      <w:pPr>
        <w:pStyle w:val="NoSpacing"/>
        <w:ind w:left="1440"/>
        <w:rPr>
          <w:rFonts w:ascii="Times New Roman" w:hAnsi="Times New Roman"/>
          <w:sz w:val="24"/>
          <w:szCs w:val="24"/>
        </w:rPr>
      </w:pPr>
      <w:r>
        <w:rPr>
          <w:rFonts w:ascii="Times New Roman" w:hAnsi="Times New Roman"/>
          <w:sz w:val="24"/>
          <w:szCs w:val="24"/>
        </w:rPr>
        <w:t xml:space="preserve">No disabled fire fighter, including Lt. Stanley, should be denied the opportunity to present a well pled complaint that the employer for whom she performed the essential work that likely contributed to her disability has unlawfully discriminated against her on account of that disability.  </w:t>
      </w:r>
    </w:p>
    <w:p w14:paraId="5C3F8979" w14:textId="77777777" w:rsidR="00264998" w:rsidRDefault="00264998" w:rsidP="00264998">
      <w:pPr>
        <w:pStyle w:val="NoSpacing"/>
        <w:ind w:left="720"/>
        <w:rPr>
          <w:rFonts w:ascii="Times New Roman" w:hAnsi="Times New Roman"/>
          <w:sz w:val="24"/>
          <w:szCs w:val="24"/>
        </w:rPr>
      </w:pPr>
    </w:p>
    <w:p w14:paraId="0C89C6CC" w14:textId="77777777" w:rsidR="00264998" w:rsidRDefault="00264998" w:rsidP="00264998">
      <w:pPr>
        <w:pStyle w:val="NoSpacing"/>
        <w:ind w:left="1440"/>
        <w:rPr>
          <w:rFonts w:ascii="Times New Roman" w:hAnsi="Times New Roman"/>
          <w:sz w:val="24"/>
          <w:szCs w:val="24"/>
        </w:rPr>
      </w:pPr>
      <w:r>
        <w:rPr>
          <w:rFonts w:ascii="Times New Roman" w:hAnsi="Times New Roman"/>
          <w:sz w:val="24"/>
          <w:szCs w:val="24"/>
        </w:rPr>
        <w:t>***</w:t>
      </w:r>
    </w:p>
    <w:p w14:paraId="1C9C24E7" w14:textId="77777777" w:rsidR="00264998" w:rsidRDefault="00264998" w:rsidP="00264998">
      <w:pPr>
        <w:pStyle w:val="NoSpacing"/>
        <w:ind w:left="720"/>
        <w:rPr>
          <w:rFonts w:ascii="Times New Roman" w:hAnsi="Times New Roman"/>
          <w:sz w:val="24"/>
          <w:szCs w:val="24"/>
        </w:rPr>
      </w:pPr>
    </w:p>
    <w:p w14:paraId="2D406C83" w14:textId="77777777" w:rsidR="00264998" w:rsidRDefault="00264998" w:rsidP="00264998">
      <w:pPr>
        <w:pStyle w:val="NoSpacing"/>
        <w:ind w:left="1440"/>
        <w:rPr>
          <w:rFonts w:ascii="Times New Roman" w:hAnsi="Times New Roman"/>
          <w:sz w:val="24"/>
          <w:szCs w:val="24"/>
        </w:rPr>
      </w:pPr>
      <w:r>
        <w:rPr>
          <w:rFonts w:ascii="Times New Roman" w:hAnsi="Times New Roman"/>
          <w:sz w:val="24"/>
          <w:szCs w:val="24"/>
        </w:rPr>
        <w:t xml:space="preserve">After nearly two decades of </w:t>
      </w:r>
      <w:proofErr w:type="spellStart"/>
      <w:r>
        <w:rPr>
          <w:rFonts w:ascii="Times New Roman" w:hAnsi="Times New Roman"/>
          <w:sz w:val="24"/>
          <w:szCs w:val="24"/>
        </w:rPr>
        <w:t>fire fighting</w:t>
      </w:r>
      <w:proofErr w:type="spellEnd"/>
      <w:r>
        <w:rPr>
          <w:rFonts w:ascii="Times New Roman" w:hAnsi="Times New Roman"/>
          <w:sz w:val="24"/>
          <w:szCs w:val="24"/>
        </w:rPr>
        <w:t xml:space="preserve">, Parkinsons disease robbed Lt. Stanley of her ability to perform the essential duties of her demanding position at age 47. Pet. App. 2a. But she first suffered discrimination within the purview of the ADA as modified by the Fair Pay Act, when a benefit plan that initially paid a monthly stipend to all service eligible retired employees until age 65 was modified so that employees who retired as a result of disability were only provided the monthly stipend for 24 months after retirement. Pet. App 3a. This benefit plan was unlawfully modified in or around 2003, while Lt. Stanley worked for the </w:t>
      </w:r>
      <w:proofErr w:type="gramStart"/>
      <w:r>
        <w:rPr>
          <w:rFonts w:ascii="Times New Roman" w:hAnsi="Times New Roman"/>
          <w:sz w:val="24"/>
          <w:szCs w:val="24"/>
        </w:rPr>
        <w:t>City</w:t>
      </w:r>
      <w:proofErr w:type="gramEnd"/>
      <w:r>
        <w:rPr>
          <w:rFonts w:ascii="Times New Roman" w:hAnsi="Times New Roman"/>
          <w:sz w:val="24"/>
          <w:szCs w:val="24"/>
        </w:rPr>
        <w:t>. Id. Thus, she was a ‘qualified individual’ at the time a “discriminatory compensation decision or other practice is adopted,” 42 U.S.C. §</w:t>
      </w:r>
    </w:p>
    <w:p w14:paraId="1B8FB914" w14:textId="77777777" w:rsidR="00264998" w:rsidRDefault="00264998" w:rsidP="00264998">
      <w:pPr>
        <w:pStyle w:val="NoSpacing"/>
        <w:ind w:left="1440"/>
        <w:rPr>
          <w:rFonts w:ascii="Times New Roman" w:hAnsi="Times New Roman"/>
          <w:sz w:val="24"/>
          <w:szCs w:val="24"/>
        </w:rPr>
      </w:pPr>
      <w:r>
        <w:rPr>
          <w:rFonts w:ascii="Times New Roman" w:hAnsi="Times New Roman"/>
          <w:sz w:val="24"/>
          <w:szCs w:val="24"/>
        </w:rPr>
        <w:t xml:space="preserve">2000e-5(e)(3)(A).” [IAFF Amicus Brief; </w:t>
      </w:r>
      <w:hyperlink r:id="rId1670" w:history="1">
        <w:r>
          <w:rPr>
            <w:rStyle w:val="Hyperlink"/>
            <w:rFonts w:ascii="Times New Roman" w:hAnsi="Times New Roman"/>
            <w:sz w:val="24"/>
            <w:szCs w:val="24"/>
          </w:rPr>
          <w:t>https://www.supremecourt.gov/DocketPDF/23/23-997/307313/20240411092101975_Amicus%20Brief.pdf</w:t>
        </w:r>
      </w:hyperlink>
      <w:r>
        <w:rPr>
          <w:rFonts w:ascii="Times New Roman" w:hAnsi="Times New Roman"/>
          <w:sz w:val="24"/>
          <w:szCs w:val="24"/>
        </w:rPr>
        <w:t xml:space="preserve"> .] </w:t>
      </w:r>
    </w:p>
    <w:p w14:paraId="5E80F93B" w14:textId="77777777" w:rsidR="00264998" w:rsidRDefault="00264998" w:rsidP="005C30A4">
      <w:pPr>
        <w:pStyle w:val="NoSpacing"/>
        <w:rPr>
          <w:rFonts w:ascii="Arial Black" w:hAnsi="Arial Black"/>
          <w:sz w:val="24"/>
          <w:szCs w:val="24"/>
        </w:rPr>
      </w:pPr>
    </w:p>
    <w:p w14:paraId="5E5F65B1" w14:textId="77777777" w:rsidR="00264998" w:rsidRDefault="00264998" w:rsidP="005C30A4">
      <w:pPr>
        <w:pStyle w:val="NoSpacing"/>
        <w:rPr>
          <w:rFonts w:ascii="Arial Black" w:hAnsi="Arial Black"/>
          <w:sz w:val="24"/>
          <w:szCs w:val="24"/>
        </w:rPr>
      </w:pPr>
    </w:p>
    <w:p w14:paraId="22BD0FA5" w14:textId="77777777" w:rsidR="008D4459" w:rsidRDefault="008D4459" w:rsidP="005C30A4">
      <w:pPr>
        <w:pStyle w:val="NoSpacing"/>
        <w:rPr>
          <w:rFonts w:ascii="Arial Black" w:hAnsi="Arial Black"/>
          <w:sz w:val="24"/>
          <w:szCs w:val="24"/>
        </w:rPr>
      </w:pPr>
    </w:p>
    <w:p w14:paraId="0FB266BC" w14:textId="4D6B26D1" w:rsidR="00AB6735" w:rsidRDefault="005E544B" w:rsidP="005C30A4">
      <w:pPr>
        <w:pStyle w:val="NoSpacing"/>
        <w:rPr>
          <w:rFonts w:ascii="Arial Black" w:hAnsi="Arial Black"/>
          <w:sz w:val="24"/>
          <w:szCs w:val="24"/>
        </w:rPr>
      </w:pPr>
      <w:r>
        <w:rPr>
          <w:rFonts w:ascii="Arial Black" w:hAnsi="Arial Black"/>
          <w:sz w:val="24"/>
          <w:szCs w:val="24"/>
        </w:rPr>
        <w:t>9-44</w:t>
      </w:r>
    </w:p>
    <w:p w14:paraId="6F266C64" w14:textId="77777777" w:rsidR="005E544B" w:rsidRDefault="005E544B" w:rsidP="005C30A4">
      <w:pPr>
        <w:pStyle w:val="NoSpacing"/>
        <w:rPr>
          <w:rFonts w:ascii="Arial Black" w:hAnsi="Arial Black"/>
          <w:sz w:val="24"/>
          <w:szCs w:val="24"/>
        </w:rPr>
      </w:pPr>
    </w:p>
    <w:p w14:paraId="7448EEBE" w14:textId="77777777" w:rsidR="005E544B" w:rsidRPr="00C14769" w:rsidRDefault="005E544B" w:rsidP="005E544B">
      <w:pPr>
        <w:rPr>
          <w:rFonts w:ascii="Arial Black" w:hAnsi="Arial Black"/>
          <w:sz w:val="28"/>
          <w:szCs w:val="28"/>
        </w:rPr>
      </w:pPr>
      <w:r>
        <w:rPr>
          <w:rFonts w:ascii="Arial Black" w:hAnsi="Arial Black"/>
          <w:sz w:val="28"/>
          <w:szCs w:val="28"/>
        </w:rPr>
        <w:t>OH: DISPATCHER &amp; DATA ENTRY CLERK – BIPOLAR - CAN NO LONGER PERFORM AS DISPATCHER – NO CASE</w:t>
      </w:r>
    </w:p>
    <w:p w14:paraId="2CFBF705" w14:textId="77777777" w:rsidR="005E544B" w:rsidRDefault="005E544B" w:rsidP="005E544B">
      <w:pPr>
        <w:pStyle w:val="NoSpacing"/>
        <w:rPr>
          <w:rFonts w:ascii="Times New Roman" w:hAnsi="Times New Roman"/>
          <w:sz w:val="24"/>
          <w:szCs w:val="24"/>
        </w:rPr>
      </w:pPr>
      <w:r>
        <w:rPr>
          <w:rFonts w:ascii="Times New Roman" w:hAnsi="Times New Roman"/>
          <w:sz w:val="24"/>
          <w:szCs w:val="24"/>
        </w:rPr>
        <w:lastRenderedPageBreak/>
        <w:t xml:space="preserve">On March 18, 2024, in </w:t>
      </w:r>
      <w:r w:rsidRPr="00391E7E">
        <w:rPr>
          <w:rFonts w:ascii="Times New Roman" w:hAnsi="Times New Roman"/>
          <w:sz w:val="24"/>
          <w:szCs w:val="24"/>
          <w:u w:val="single"/>
        </w:rPr>
        <w:t>Charity Hunt v. Randy Thorp, Licking County Sheriff</w:t>
      </w:r>
      <w:r>
        <w:rPr>
          <w:rFonts w:ascii="Times New Roman" w:hAnsi="Times New Roman"/>
          <w:sz w:val="24"/>
          <w:szCs w:val="24"/>
        </w:rPr>
        <w:t xml:space="preserve">, the U.S. Court of Appeals for Sixth Circuit (Cincinnati) held (2 to 1; unpublished decision) that trial court judge properly dismissed the case. </w:t>
      </w:r>
    </w:p>
    <w:p w14:paraId="0BC38053" w14:textId="77777777" w:rsidR="003956F7" w:rsidRDefault="003956F7" w:rsidP="003956F7">
      <w:pPr>
        <w:pStyle w:val="NoSpacing"/>
        <w:rPr>
          <w:rFonts w:ascii="Times New Roman" w:hAnsi="Times New Roman"/>
          <w:sz w:val="24"/>
          <w:szCs w:val="24"/>
          <w:shd w:val="clear" w:color="auto" w:fill="FFFFFF"/>
        </w:rPr>
      </w:pPr>
    </w:p>
    <w:p w14:paraId="11F7A970" w14:textId="1ABE25F9" w:rsidR="003956F7" w:rsidRPr="004C0299" w:rsidRDefault="003956F7" w:rsidP="003956F7">
      <w:pPr>
        <w:pStyle w:val="NoSpacing"/>
        <w:rPr>
          <w:rFonts w:ascii="Times New Roman" w:hAnsi="Times New Roman"/>
          <w:sz w:val="24"/>
          <w:szCs w:val="24"/>
        </w:rPr>
      </w:pPr>
      <w:r>
        <w:rPr>
          <w:rFonts w:ascii="Times New Roman" w:hAnsi="Times New Roman"/>
          <w:sz w:val="24"/>
          <w:szCs w:val="24"/>
          <w:shd w:val="clear" w:color="auto" w:fill="FFFFFF"/>
        </w:rPr>
        <w:t>THE COURT HELD:</w:t>
      </w:r>
    </w:p>
    <w:p w14:paraId="067D5A23" w14:textId="77777777" w:rsidR="003956F7" w:rsidRDefault="003956F7" w:rsidP="005E544B">
      <w:pPr>
        <w:pStyle w:val="NoSpacing"/>
        <w:rPr>
          <w:rFonts w:ascii="Times New Roman" w:hAnsi="Times New Roman"/>
          <w:sz w:val="24"/>
          <w:szCs w:val="24"/>
        </w:rPr>
      </w:pPr>
    </w:p>
    <w:p w14:paraId="122517EA" w14:textId="77777777" w:rsidR="005E544B" w:rsidRDefault="005E544B" w:rsidP="005E544B">
      <w:pPr>
        <w:pStyle w:val="NoSpacing"/>
        <w:ind w:left="720"/>
        <w:rPr>
          <w:rFonts w:ascii="Times New Roman" w:hAnsi="Times New Roman"/>
          <w:sz w:val="24"/>
          <w:szCs w:val="24"/>
        </w:rPr>
      </w:pPr>
      <w:r>
        <w:rPr>
          <w:rFonts w:ascii="Times New Roman" w:hAnsi="Times New Roman"/>
          <w:sz w:val="24"/>
          <w:szCs w:val="24"/>
        </w:rPr>
        <w:t>“</w:t>
      </w:r>
      <w:r w:rsidRPr="00AB520F">
        <w:rPr>
          <w:rFonts w:ascii="Times New Roman" w:hAnsi="Times New Roman"/>
          <w:sz w:val="24"/>
          <w:szCs w:val="24"/>
        </w:rPr>
        <w:t>This case arises from Charity Hunt’s complaint of</w:t>
      </w:r>
      <w:r>
        <w:rPr>
          <w:rFonts w:ascii="Times New Roman" w:hAnsi="Times New Roman"/>
          <w:sz w:val="24"/>
          <w:szCs w:val="24"/>
        </w:rPr>
        <w:t xml:space="preserve"> </w:t>
      </w:r>
      <w:r w:rsidRPr="00AB520F">
        <w:rPr>
          <w:rFonts w:ascii="Times New Roman" w:hAnsi="Times New Roman"/>
          <w:sz w:val="24"/>
          <w:szCs w:val="24"/>
        </w:rPr>
        <w:t>disability discrimination suffered in her workplace. The Licking County Sheriff’s Office (LCSO),</w:t>
      </w:r>
      <w:r>
        <w:rPr>
          <w:rFonts w:ascii="Times New Roman" w:hAnsi="Times New Roman"/>
          <w:sz w:val="24"/>
          <w:szCs w:val="24"/>
        </w:rPr>
        <w:t xml:space="preserve"> </w:t>
      </w:r>
      <w:r w:rsidRPr="00AB520F">
        <w:rPr>
          <w:rFonts w:ascii="Times New Roman" w:hAnsi="Times New Roman"/>
          <w:sz w:val="24"/>
          <w:szCs w:val="24"/>
        </w:rPr>
        <w:t>in May 2018, hired Hunt as a dispatcher. After approximately one year, she transferred to a new</w:t>
      </w:r>
      <w:r>
        <w:rPr>
          <w:rFonts w:ascii="Times New Roman" w:hAnsi="Times New Roman"/>
          <w:sz w:val="24"/>
          <w:szCs w:val="24"/>
        </w:rPr>
        <w:t xml:space="preserve"> </w:t>
      </w:r>
      <w:r w:rsidRPr="00AB520F">
        <w:rPr>
          <w:rFonts w:ascii="Times New Roman" w:hAnsi="Times New Roman"/>
          <w:sz w:val="24"/>
          <w:szCs w:val="24"/>
        </w:rPr>
        <w:t>position, the LCSO Dispatcher-Data Entry Specialist. In that job, she primarily entered warrants</w:t>
      </w:r>
      <w:r>
        <w:rPr>
          <w:rFonts w:ascii="Times New Roman" w:hAnsi="Times New Roman"/>
          <w:sz w:val="24"/>
          <w:szCs w:val="24"/>
        </w:rPr>
        <w:t xml:space="preserve"> </w:t>
      </w:r>
      <w:r w:rsidRPr="00AB520F">
        <w:rPr>
          <w:rFonts w:ascii="Times New Roman" w:hAnsi="Times New Roman"/>
          <w:sz w:val="24"/>
          <w:szCs w:val="24"/>
        </w:rPr>
        <w:t>and protective orders into the LCSO’s data system. But she was also expected to continue</w:t>
      </w:r>
      <w:r>
        <w:rPr>
          <w:rFonts w:ascii="Times New Roman" w:hAnsi="Times New Roman"/>
          <w:sz w:val="24"/>
          <w:szCs w:val="24"/>
        </w:rPr>
        <w:t xml:space="preserve"> </w:t>
      </w:r>
      <w:r w:rsidRPr="00AB520F">
        <w:rPr>
          <w:rFonts w:ascii="Times New Roman" w:hAnsi="Times New Roman"/>
          <w:sz w:val="24"/>
          <w:szCs w:val="24"/>
        </w:rPr>
        <w:t>performing dispatch duties when needed.</w:t>
      </w:r>
    </w:p>
    <w:p w14:paraId="341336B6" w14:textId="77777777" w:rsidR="005E544B" w:rsidRPr="00AB520F" w:rsidRDefault="005E544B" w:rsidP="005E544B">
      <w:pPr>
        <w:pStyle w:val="NoSpacing"/>
        <w:rPr>
          <w:rFonts w:ascii="Times New Roman" w:hAnsi="Times New Roman"/>
          <w:sz w:val="24"/>
          <w:szCs w:val="24"/>
        </w:rPr>
      </w:pPr>
    </w:p>
    <w:p w14:paraId="6026C1A0" w14:textId="77777777" w:rsidR="005E544B" w:rsidRPr="00AB520F" w:rsidRDefault="005E544B" w:rsidP="005E544B">
      <w:pPr>
        <w:pStyle w:val="NoSpacing"/>
        <w:ind w:firstLine="720"/>
        <w:rPr>
          <w:rFonts w:ascii="Times New Roman" w:hAnsi="Times New Roman"/>
          <w:sz w:val="24"/>
          <w:szCs w:val="24"/>
        </w:rPr>
      </w:pPr>
      <w:r w:rsidRPr="00AB520F">
        <w:rPr>
          <w:rFonts w:ascii="Times New Roman" w:hAnsi="Times New Roman"/>
          <w:sz w:val="24"/>
          <w:szCs w:val="24"/>
        </w:rPr>
        <w:t>After a bipolar episode severe enough to warrant an extended leave, Hunt attempted to</w:t>
      </w:r>
    </w:p>
    <w:p w14:paraId="49DF0B57" w14:textId="77777777" w:rsidR="005E544B" w:rsidRDefault="005E544B" w:rsidP="005E544B">
      <w:pPr>
        <w:pStyle w:val="NoSpacing"/>
        <w:ind w:left="720"/>
        <w:rPr>
          <w:rFonts w:ascii="Times New Roman" w:hAnsi="Times New Roman"/>
          <w:sz w:val="24"/>
          <w:szCs w:val="24"/>
        </w:rPr>
      </w:pPr>
      <w:r w:rsidRPr="00AB520F">
        <w:rPr>
          <w:rFonts w:ascii="Times New Roman" w:hAnsi="Times New Roman"/>
          <w:sz w:val="24"/>
          <w:szCs w:val="24"/>
        </w:rPr>
        <w:t>return to work. She requested that she no longer be required to perform dispatch duties because</w:t>
      </w:r>
      <w:r>
        <w:rPr>
          <w:rFonts w:ascii="Times New Roman" w:hAnsi="Times New Roman"/>
          <w:sz w:val="24"/>
          <w:szCs w:val="24"/>
        </w:rPr>
        <w:t xml:space="preserve"> </w:t>
      </w:r>
      <w:r w:rsidRPr="00AB520F">
        <w:rPr>
          <w:rFonts w:ascii="Times New Roman" w:hAnsi="Times New Roman"/>
          <w:sz w:val="24"/>
          <w:szCs w:val="24"/>
        </w:rPr>
        <w:t>of the stress of that task. After the LCSO rejected her request, Hunt sued for violations of the</w:t>
      </w:r>
      <w:r>
        <w:rPr>
          <w:rFonts w:ascii="Times New Roman" w:hAnsi="Times New Roman"/>
          <w:sz w:val="24"/>
          <w:szCs w:val="24"/>
        </w:rPr>
        <w:t xml:space="preserve"> </w:t>
      </w:r>
      <w:r w:rsidRPr="00AB520F">
        <w:rPr>
          <w:rFonts w:ascii="Times New Roman" w:hAnsi="Times New Roman"/>
          <w:sz w:val="24"/>
          <w:szCs w:val="24"/>
        </w:rPr>
        <w:t>Americans with Disabilities Act (ADA) and Family and Medical Leave Act (FMLA).</w:t>
      </w:r>
    </w:p>
    <w:p w14:paraId="0CC2D7E2" w14:textId="77777777" w:rsidR="005E544B" w:rsidRDefault="005E544B" w:rsidP="005E544B">
      <w:pPr>
        <w:pStyle w:val="NoSpacing"/>
        <w:rPr>
          <w:rFonts w:ascii="Times New Roman" w:hAnsi="Times New Roman"/>
          <w:sz w:val="24"/>
          <w:szCs w:val="24"/>
        </w:rPr>
      </w:pPr>
    </w:p>
    <w:p w14:paraId="29E0B353" w14:textId="77777777" w:rsidR="005E544B" w:rsidRDefault="005E544B" w:rsidP="005E544B">
      <w:pPr>
        <w:pStyle w:val="NoSpacing"/>
        <w:ind w:left="720"/>
        <w:rPr>
          <w:rFonts w:ascii="Times New Roman" w:hAnsi="Times New Roman"/>
          <w:sz w:val="24"/>
          <w:szCs w:val="24"/>
        </w:rPr>
      </w:pPr>
      <w:r w:rsidRPr="00772425">
        <w:rPr>
          <w:rFonts w:ascii="Times New Roman" w:hAnsi="Times New Roman"/>
          <w:sz w:val="24"/>
          <w:szCs w:val="24"/>
        </w:rPr>
        <w:t>This appeal comes down to one question: whether dispatch duties are an essential function</w:t>
      </w:r>
      <w:r>
        <w:rPr>
          <w:rFonts w:ascii="Times New Roman" w:hAnsi="Times New Roman"/>
          <w:sz w:val="24"/>
          <w:szCs w:val="24"/>
        </w:rPr>
        <w:t xml:space="preserve"> </w:t>
      </w:r>
      <w:r w:rsidRPr="00772425">
        <w:rPr>
          <w:rFonts w:ascii="Times New Roman" w:hAnsi="Times New Roman"/>
          <w:sz w:val="24"/>
          <w:szCs w:val="24"/>
        </w:rPr>
        <w:t>of Hunt’s position as a Dispatcher-Data Entry Specialist. The district court determined that they</w:t>
      </w:r>
      <w:r>
        <w:rPr>
          <w:rFonts w:ascii="Times New Roman" w:hAnsi="Times New Roman"/>
          <w:sz w:val="24"/>
          <w:szCs w:val="24"/>
        </w:rPr>
        <w:t xml:space="preserve"> </w:t>
      </w:r>
      <w:r w:rsidRPr="00772425">
        <w:rPr>
          <w:rFonts w:ascii="Times New Roman" w:hAnsi="Times New Roman"/>
          <w:sz w:val="24"/>
          <w:szCs w:val="24"/>
        </w:rPr>
        <w:t>are and thus held that Hunt was not a qualified individual under the ADA. Accordingly, she was</w:t>
      </w:r>
      <w:r>
        <w:rPr>
          <w:rFonts w:ascii="Times New Roman" w:hAnsi="Times New Roman"/>
          <w:sz w:val="24"/>
          <w:szCs w:val="24"/>
        </w:rPr>
        <w:t xml:space="preserve"> </w:t>
      </w:r>
      <w:r w:rsidRPr="00772425">
        <w:rPr>
          <w:rFonts w:ascii="Times New Roman" w:hAnsi="Times New Roman"/>
          <w:sz w:val="24"/>
          <w:szCs w:val="24"/>
        </w:rPr>
        <w:t xml:space="preserve">not entitled to </w:t>
      </w:r>
      <w:proofErr w:type="gramStart"/>
      <w:r w:rsidRPr="00772425">
        <w:rPr>
          <w:rFonts w:ascii="Times New Roman" w:hAnsi="Times New Roman"/>
          <w:sz w:val="24"/>
          <w:szCs w:val="24"/>
        </w:rPr>
        <w:t>the ADA’s</w:t>
      </w:r>
      <w:proofErr w:type="gramEnd"/>
      <w:r w:rsidRPr="00772425">
        <w:rPr>
          <w:rFonts w:ascii="Times New Roman" w:hAnsi="Times New Roman"/>
          <w:sz w:val="24"/>
          <w:szCs w:val="24"/>
        </w:rPr>
        <w:t xml:space="preserve"> protections, or related FMLA protections. For reasons that follow, we</w:t>
      </w:r>
      <w:r>
        <w:rPr>
          <w:rFonts w:ascii="Times New Roman" w:hAnsi="Times New Roman"/>
          <w:sz w:val="24"/>
          <w:szCs w:val="24"/>
        </w:rPr>
        <w:t xml:space="preserve"> </w:t>
      </w:r>
      <w:r w:rsidRPr="00772425">
        <w:rPr>
          <w:rFonts w:ascii="Times New Roman" w:hAnsi="Times New Roman"/>
          <w:sz w:val="24"/>
          <w:szCs w:val="24"/>
        </w:rPr>
        <w:t>agree with the district court and therefore AFFIRM.</w:t>
      </w:r>
    </w:p>
    <w:p w14:paraId="2C4C2FCD" w14:textId="77777777" w:rsidR="005E544B" w:rsidRDefault="005E544B" w:rsidP="005E544B">
      <w:pPr>
        <w:pStyle w:val="NoSpacing"/>
        <w:ind w:left="720"/>
        <w:rPr>
          <w:rFonts w:ascii="Times New Roman" w:hAnsi="Times New Roman"/>
          <w:sz w:val="24"/>
          <w:szCs w:val="24"/>
        </w:rPr>
      </w:pPr>
    </w:p>
    <w:p w14:paraId="01D28B3E" w14:textId="77777777" w:rsidR="005E544B" w:rsidRDefault="005E544B" w:rsidP="005E544B">
      <w:pPr>
        <w:pStyle w:val="NoSpacing"/>
        <w:ind w:left="720"/>
        <w:rPr>
          <w:rFonts w:ascii="Times New Roman" w:hAnsi="Times New Roman"/>
          <w:sz w:val="24"/>
          <w:szCs w:val="24"/>
        </w:rPr>
      </w:pPr>
      <w:r>
        <w:rPr>
          <w:rFonts w:ascii="Times New Roman" w:hAnsi="Times New Roman"/>
          <w:sz w:val="24"/>
          <w:szCs w:val="24"/>
        </w:rPr>
        <w:t>***</w:t>
      </w:r>
    </w:p>
    <w:p w14:paraId="05346CBE" w14:textId="77777777" w:rsidR="005E544B" w:rsidRPr="00CB05B4" w:rsidRDefault="005E544B" w:rsidP="005E544B">
      <w:pPr>
        <w:pStyle w:val="NoSpacing"/>
        <w:ind w:left="720"/>
        <w:rPr>
          <w:rFonts w:ascii="Times New Roman" w:hAnsi="Times New Roman"/>
          <w:sz w:val="24"/>
          <w:szCs w:val="24"/>
        </w:rPr>
      </w:pPr>
      <w:r w:rsidRPr="00CB05B4">
        <w:rPr>
          <w:rFonts w:ascii="Times New Roman" w:hAnsi="Times New Roman"/>
          <w:sz w:val="24"/>
          <w:szCs w:val="24"/>
        </w:rPr>
        <w:t>Hunt’s FMLA-interference claim fails for the same reason her ADA claim fails. That is,</w:t>
      </w:r>
    </w:p>
    <w:p w14:paraId="473C76BD" w14:textId="77777777" w:rsidR="005E544B" w:rsidRDefault="005E544B" w:rsidP="005E544B">
      <w:pPr>
        <w:pStyle w:val="NoSpacing"/>
        <w:ind w:left="720"/>
        <w:rPr>
          <w:rFonts w:ascii="Times New Roman" w:hAnsi="Times New Roman"/>
          <w:sz w:val="24"/>
          <w:szCs w:val="24"/>
        </w:rPr>
      </w:pPr>
      <w:r w:rsidRPr="00CB05B4">
        <w:rPr>
          <w:rFonts w:ascii="Times New Roman" w:hAnsi="Times New Roman"/>
          <w:sz w:val="24"/>
          <w:szCs w:val="24"/>
        </w:rPr>
        <w:t>because Hunt was not released to perform the essential functions of her position at the end of her</w:t>
      </w:r>
      <w:r>
        <w:rPr>
          <w:rFonts w:ascii="Times New Roman" w:hAnsi="Times New Roman"/>
          <w:sz w:val="24"/>
          <w:szCs w:val="24"/>
        </w:rPr>
        <w:t xml:space="preserve"> </w:t>
      </w:r>
      <w:r w:rsidRPr="00CB05B4">
        <w:rPr>
          <w:rFonts w:ascii="Times New Roman" w:hAnsi="Times New Roman"/>
          <w:sz w:val="24"/>
          <w:szCs w:val="24"/>
        </w:rPr>
        <w:t>FMLA leave (i.e., dispatch duties), the LCSO did not deny Hunt any benefits to which she was</w:t>
      </w:r>
      <w:r>
        <w:rPr>
          <w:rFonts w:ascii="Times New Roman" w:hAnsi="Times New Roman"/>
          <w:sz w:val="24"/>
          <w:szCs w:val="24"/>
        </w:rPr>
        <w:t xml:space="preserve"> </w:t>
      </w:r>
      <w:r w:rsidRPr="00CB05B4">
        <w:rPr>
          <w:rFonts w:ascii="Times New Roman" w:hAnsi="Times New Roman"/>
          <w:sz w:val="24"/>
          <w:szCs w:val="24"/>
        </w:rPr>
        <w:t xml:space="preserve">otherwise </w:t>
      </w:r>
      <w:proofErr w:type="gramStart"/>
      <w:r w:rsidRPr="00CB05B4">
        <w:rPr>
          <w:rFonts w:ascii="Times New Roman" w:hAnsi="Times New Roman"/>
          <w:sz w:val="24"/>
          <w:szCs w:val="24"/>
        </w:rPr>
        <w:t>entitled.</w:t>
      </w:r>
      <w:r>
        <w:rPr>
          <w:rFonts w:ascii="Times New Roman" w:hAnsi="Times New Roman"/>
          <w:sz w:val="24"/>
          <w:szCs w:val="24"/>
        </w:rPr>
        <w:t>”</w:t>
      </w:r>
      <w:proofErr w:type="gramEnd"/>
    </w:p>
    <w:p w14:paraId="75A40697" w14:textId="77777777" w:rsidR="005E544B" w:rsidRDefault="005E544B" w:rsidP="005E544B">
      <w:pPr>
        <w:pStyle w:val="NoSpacing"/>
        <w:ind w:left="720"/>
        <w:rPr>
          <w:rFonts w:ascii="Times New Roman" w:hAnsi="Times New Roman"/>
          <w:sz w:val="24"/>
          <w:szCs w:val="24"/>
        </w:rPr>
      </w:pPr>
      <w:r>
        <w:rPr>
          <w:rFonts w:ascii="Times New Roman" w:hAnsi="Times New Roman"/>
          <w:sz w:val="24"/>
          <w:szCs w:val="24"/>
        </w:rPr>
        <w:t xml:space="preserve"> </w:t>
      </w:r>
      <w:hyperlink r:id="rId1671" w:history="1">
        <w:r w:rsidRPr="001C375D">
          <w:rPr>
            <w:rStyle w:val="Hyperlink"/>
            <w:rFonts w:ascii="Times New Roman" w:hAnsi="Times New Roman"/>
            <w:sz w:val="24"/>
            <w:szCs w:val="24"/>
          </w:rPr>
          <w:t>https://cases.justia.com/federal/appellate-courts/ca6/23-3459/23-3459-2024-03-18.pdf?ts=1710795630</w:t>
        </w:r>
      </w:hyperlink>
      <w:r>
        <w:rPr>
          <w:rFonts w:ascii="Times New Roman" w:hAnsi="Times New Roman"/>
          <w:sz w:val="24"/>
          <w:szCs w:val="24"/>
        </w:rPr>
        <w:t xml:space="preserve"> </w:t>
      </w:r>
    </w:p>
    <w:p w14:paraId="309DCCE3" w14:textId="77777777" w:rsidR="005E544B" w:rsidRDefault="005E544B" w:rsidP="005E544B">
      <w:pPr>
        <w:pStyle w:val="NoSpacing"/>
        <w:ind w:left="720"/>
        <w:rPr>
          <w:rFonts w:ascii="Times New Roman" w:hAnsi="Times New Roman"/>
          <w:sz w:val="24"/>
          <w:szCs w:val="24"/>
        </w:rPr>
      </w:pPr>
    </w:p>
    <w:p w14:paraId="46E2D0DD" w14:textId="77777777" w:rsidR="005E544B" w:rsidRDefault="005E544B" w:rsidP="005E544B">
      <w:pPr>
        <w:pStyle w:val="NoSpacing"/>
        <w:ind w:left="720"/>
        <w:rPr>
          <w:rFonts w:ascii="Times New Roman" w:hAnsi="Times New Roman"/>
          <w:sz w:val="24"/>
          <w:szCs w:val="24"/>
        </w:rPr>
      </w:pPr>
    </w:p>
    <w:p w14:paraId="06738787" w14:textId="77777777" w:rsidR="005E544B" w:rsidRDefault="005E544B" w:rsidP="005E544B">
      <w:pPr>
        <w:pStyle w:val="NoSpacing"/>
        <w:rPr>
          <w:rFonts w:ascii="Times New Roman" w:hAnsi="Times New Roman"/>
          <w:sz w:val="24"/>
          <w:szCs w:val="24"/>
        </w:rPr>
      </w:pPr>
      <w:r>
        <w:rPr>
          <w:rFonts w:ascii="Times New Roman" w:hAnsi="Times New Roman"/>
          <w:sz w:val="24"/>
          <w:szCs w:val="24"/>
        </w:rPr>
        <w:t xml:space="preserve">DISSENT – JUDGE HELEN N. WHITE: </w:t>
      </w:r>
    </w:p>
    <w:p w14:paraId="19230656" w14:textId="77777777" w:rsidR="005E544B" w:rsidRDefault="005E544B" w:rsidP="005E544B">
      <w:pPr>
        <w:pStyle w:val="NoSpacing"/>
        <w:ind w:left="720"/>
        <w:rPr>
          <w:rFonts w:ascii="Times New Roman" w:hAnsi="Times New Roman"/>
          <w:sz w:val="24"/>
          <w:szCs w:val="24"/>
        </w:rPr>
      </w:pPr>
      <w:r>
        <w:rPr>
          <w:rFonts w:ascii="Times New Roman" w:hAnsi="Times New Roman"/>
          <w:sz w:val="24"/>
          <w:szCs w:val="24"/>
        </w:rPr>
        <w:t>“</w:t>
      </w:r>
      <w:r w:rsidRPr="00A30B7B">
        <w:rPr>
          <w:rFonts w:ascii="Times New Roman" w:hAnsi="Times New Roman"/>
          <w:sz w:val="24"/>
          <w:szCs w:val="24"/>
        </w:rPr>
        <w:t>When Charity Hunt served as the LCSO’s</w:t>
      </w:r>
      <w:r>
        <w:rPr>
          <w:rFonts w:ascii="Times New Roman" w:hAnsi="Times New Roman"/>
          <w:sz w:val="24"/>
          <w:szCs w:val="24"/>
        </w:rPr>
        <w:t xml:space="preserve"> </w:t>
      </w:r>
      <w:r w:rsidRPr="00A30B7B">
        <w:rPr>
          <w:rFonts w:ascii="Times New Roman" w:hAnsi="Times New Roman"/>
          <w:sz w:val="24"/>
          <w:szCs w:val="24"/>
        </w:rPr>
        <w:t>Dispatcher-Data Entry Specialist, dispatching emergency personnel was a virtually nonexistent</w:t>
      </w:r>
      <w:r>
        <w:rPr>
          <w:rFonts w:ascii="Times New Roman" w:hAnsi="Times New Roman"/>
          <w:sz w:val="24"/>
          <w:szCs w:val="24"/>
        </w:rPr>
        <w:t xml:space="preserve"> </w:t>
      </w:r>
      <w:r w:rsidRPr="00A30B7B">
        <w:rPr>
          <w:rFonts w:ascii="Times New Roman" w:hAnsi="Times New Roman"/>
          <w:sz w:val="24"/>
          <w:szCs w:val="24"/>
        </w:rPr>
        <w:t>element of her day-to-day duties</w:t>
      </w:r>
      <w:r>
        <w:rPr>
          <w:rFonts w:ascii="Times New Roman" w:hAnsi="Times New Roman"/>
          <w:sz w:val="24"/>
          <w:szCs w:val="24"/>
        </w:rPr>
        <w:t>.</w:t>
      </w:r>
    </w:p>
    <w:p w14:paraId="6FB6BEDF" w14:textId="77777777" w:rsidR="005E544B" w:rsidRDefault="005E544B" w:rsidP="005E544B">
      <w:pPr>
        <w:pStyle w:val="NoSpacing"/>
        <w:ind w:left="720"/>
        <w:rPr>
          <w:rFonts w:ascii="Times New Roman" w:hAnsi="Times New Roman"/>
          <w:sz w:val="24"/>
          <w:szCs w:val="24"/>
        </w:rPr>
      </w:pPr>
    </w:p>
    <w:p w14:paraId="50C5629A" w14:textId="77777777" w:rsidR="005E544B" w:rsidRDefault="005E544B" w:rsidP="005E544B">
      <w:pPr>
        <w:pStyle w:val="NoSpacing"/>
        <w:ind w:left="720"/>
        <w:rPr>
          <w:rFonts w:ascii="Times New Roman" w:hAnsi="Times New Roman"/>
          <w:sz w:val="24"/>
          <w:szCs w:val="24"/>
        </w:rPr>
      </w:pPr>
      <w:r>
        <w:rPr>
          <w:rFonts w:ascii="Times New Roman" w:hAnsi="Times New Roman"/>
          <w:sz w:val="24"/>
          <w:szCs w:val="24"/>
        </w:rPr>
        <w:t>***</w:t>
      </w:r>
    </w:p>
    <w:p w14:paraId="3F6495DF" w14:textId="77777777" w:rsidR="005E544B" w:rsidRDefault="005E544B" w:rsidP="005E544B">
      <w:pPr>
        <w:pStyle w:val="NoSpacing"/>
        <w:rPr>
          <w:rFonts w:ascii="Times New Roman" w:hAnsi="Times New Roman"/>
          <w:sz w:val="24"/>
          <w:szCs w:val="24"/>
        </w:rPr>
      </w:pPr>
    </w:p>
    <w:p w14:paraId="10D66362" w14:textId="77777777" w:rsidR="005E544B" w:rsidRDefault="005E544B" w:rsidP="005E544B">
      <w:pPr>
        <w:pStyle w:val="NoSpacing"/>
        <w:ind w:left="720"/>
        <w:rPr>
          <w:rFonts w:ascii="Times New Roman" w:hAnsi="Times New Roman"/>
          <w:sz w:val="24"/>
          <w:szCs w:val="24"/>
        </w:rPr>
      </w:pPr>
      <w:r w:rsidRPr="0039710A">
        <w:rPr>
          <w:rFonts w:ascii="Times New Roman" w:hAnsi="Times New Roman"/>
          <w:sz w:val="24"/>
          <w:szCs w:val="24"/>
        </w:rPr>
        <w:t>The LCSO knew that Hunt suffered</w:t>
      </w:r>
      <w:r>
        <w:rPr>
          <w:rFonts w:ascii="Times New Roman" w:hAnsi="Times New Roman"/>
          <w:sz w:val="24"/>
          <w:szCs w:val="24"/>
        </w:rPr>
        <w:t xml:space="preserve"> </w:t>
      </w:r>
      <w:r w:rsidRPr="0039710A">
        <w:rPr>
          <w:rFonts w:ascii="Times New Roman" w:hAnsi="Times New Roman"/>
          <w:sz w:val="24"/>
          <w:szCs w:val="24"/>
        </w:rPr>
        <w:t>from anxiety and bipolar disorder and knew her limitations were caused by those conditions, yet</w:t>
      </w:r>
      <w:r>
        <w:rPr>
          <w:rFonts w:ascii="Times New Roman" w:hAnsi="Times New Roman"/>
          <w:sz w:val="24"/>
          <w:szCs w:val="24"/>
        </w:rPr>
        <w:t xml:space="preserve"> </w:t>
      </w:r>
      <w:r w:rsidRPr="0039710A">
        <w:rPr>
          <w:rFonts w:ascii="Times New Roman" w:hAnsi="Times New Roman"/>
          <w:sz w:val="24"/>
          <w:szCs w:val="24"/>
        </w:rPr>
        <w:t>it refused to work with Hunt on an accommodation—even after Hunt’s doctor approved her to</w:t>
      </w:r>
      <w:r>
        <w:rPr>
          <w:rFonts w:ascii="Times New Roman" w:hAnsi="Times New Roman"/>
          <w:sz w:val="24"/>
          <w:szCs w:val="24"/>
        </w:rPr>
        <w:t xml:space="preserve"> </w:t>
      </w:r>
      <w:r w:rsidRPr="0039710A">
        <w:rPr>
          <w:rFonts w:ascii="Times New Roman" w:hAnsi="Times New Roman"/>
          <w:sz w:val="24"/>
          <w:szCs w:val="24"/>
        </w:rPr>
        <w:t>perform call-taking duties. Thus, I believe that a reasonable jury could conclude that the LCSO</w:t>
      </w:r>
      <w:r>
        <w:rPr>
          <w:rFonts w:ascii="Times New Roman" w:hAnsi="Times New Roman"/>
          <w:sz w:val="24"/>
          <w:szCs w:val="24"/>
        </w:rPr>
        <w:t xml:space="preserve"> </w:t>
      </w:r>
      <w:r w:rsidRPr="0039710A">
        <w:rPr>
          <w:rFonts w:ascii="Times New Roman" w:hAnsi="Times New Roman"/>
          <w:sz w:val="24"/>
          <w:szCs w:val="24"/>
        </w:rPr>
        <w:t>failed to fulfill its duty to engage in an interactive accommodation process with Hunt.</w:t>
      </w:r>
      <w:r>
        <w:rPr>
          <w:rFonts w:ascii="Times New Roman" w:hAnsi="Times New Roman"/>
          <w:sz w:val="24"/>
          <w:szCs w:val="24"/>
        </w:rPr>
        <w:t>”</w:t>
      </w:r>
    </w:p>
    <w:p w14:paraId="0BAF5223" w14:textId="77777777" w:rsidR="005E544B" w:rsidRDefault="005E544B" w:rsidP="005E544B">
      <w:pPr>
        <w:pStyle w:val="NoSpacing"/>
        <w:ind w:left="720"/>
        <w:rPr>
          <w:rFonts w:ascii="Times New Roman" w:hAnsi="Times New Roman"/>
          <w:sz w:val="24"/>
          <w:szCs w:val="24"/>
        </w:rPr>
      </w:pPr>
    </w:p>
    <w:p w14:paraId="5FEED0A5" w14:textId="77777777" w:rsidR="005E544B" w:rsidRPr="001A7756" w:rsidRDefault="005E544B" w:rsidP="005E544B">
      <w:pPr>
        <w:pStyle w:val="NoSpacing"/>
        <w:rPr>
          <w:rFonts w:ascii="Times New Roman" w:hAnsi="Times New Roman"/>
          <w:b/>
          <w:bCs/>
          <w:sz w:val="24"/>
          <w:szCs w:val="24"/>
        </w:rPr>
      </w:pPr>
      <w:r w:rsidRPr="001A7756">
        <w:rPr>
          <w:rFonts w:ascii="Times New Roman" w:hAnsi="Times New Roman"/>
          <w:b/>
          <w:bCs/>
          <w:sz w:val="24"/>
          <w:szCs w:val="24"/>
        </w:rPr>
        <w:t>Legal Lesson Learned:</w:t>
      </w:r>
      <w:r>
        <w:rPr>
          <w:rFonts w:ascii="Times New Roman" w:hAnsi="Times New Roman"/>
          <w:b/>
          <w:bCs/>
          <w:sz w:val="24"/>
          <w:szCs w:val="24"/>
        </w:rPr>
        <w:t xml:space="preserve"> Under ADA, an employee seeking accommodation must still be able to perform the essential functions of the job. </w:t>
      </w:r>
    </w:p>
    <w:p w14:paraId="67C7322A" w14:textId="77777777" w:rsidR="005E544B" w:rsidRPr="003255F2" w:rsidRDefault="005E544B" w:rsidP="005E544B">
      <w:pPr>
        <w:pStyle w:val="NoSpacing"/>
        <w:rPr>
          <w:rFonts w:ascii="Times New Roman" w:hAnsi="Times New Roman"/>
          <w:sz w:val="24"/>
          <w:szCs w:val="24"/>
        </w:rPr>
      </w:pPr>
    </w:p>
    <w:p w14:paraId="5FDC687F" w14:textId="77777777" w:rsidR="005E544B" w:rsidRDefault="005E544B" w:rsidP="005E544B">
      <w:pPr>
        <w:pStyle w:val="NormalWeb"/>
        <w:spacing w:before="0" w:beforeAutospacing="0"/>
        <w:jc w:val="center"/>
      </w:pPr>
    </w:p>
    <w:p w14:paraId="25A1B7EA" w14:textId="77777777" w:rsidR="005E544B" w:rsidRDefault="005E544B" w:rsidP="005E544B">
      <w:pPr>
        <w:spacing w:before="100" w:beforeAutospacing="1" w:after="100" w:afterAutospacing="1" w:line="240" w:lineRule="auto"/>
        <w:outlineLvl w:val="0"/>
        <w:rPr>
          <w:rFonts w:ascii="Times New Roman" w:eastAsia="Times New Roman" w:hAnsi="Times New Roman"/>
          <w:b/>
          <w:bCs/>
          <w:kern w:val="36"/>
          <w:sz w:val="48"/>
          <w:szCs w:val="48"/>
        </w:rPr>
      </w:pPr>
    </w:p>
    <w:p w14:paraId="4279CC4C" w14:textId="31277397" w:rsidR="005E544B" w:rsidRDefault="005E544B" w:rsidP="005E544B">
      <w:pPr>
        <w:pStyle w:val="NoSpacing"/>
        <w:rPr>
          <w:rFonts w:ascii="Arial Black" w:hAnsi="Arial Black"/>
          <w:sz w:val="24"/>
          <w:szCs w:val="24"/>
        </w:rPr>
      </w:pPr>
      <w:r>
        <w:rPr>
          <w:rFonts w:ascii="Arial Black" w:hAnsi="Arial Black"/>
          <w:sz w:val="24"/>
          <w:szCs w:val="24"/>
        </w:rPr>
        <w:t>9-43</w:t>
      </w:r>
    </w:p>
    <w:p w14:paraId="15A12333" w14:textId="0C42568D" w:rsidR="005E544B" w:rsidRPr="00EF37D9" w:rsidRDefault="005E544B" w:rsidP="005E544B">
      <w:pPr>
        <w:pStyle w:val="NormalWeb"/>
        <w:rPr>
          <w:rFonts w:ascii="Arial Black" w:hAnsi="Arial Black"/>
          <w:sz w:val="28"/>
          <w:szCs w:val="28"/>
        </w:rPr>
      </w:pPr>
      <w:r>
        <w:rPr>
          <w:rFonts w:ascii="Arial Black" w:hAnsi="Arial Black"/>
          <w:sz w:val="28"/>
          <w:szCs w:val="28"/>
        </w:rPr>
        <w:lastRenderedPageBreak/>
        <w:t>MD: VOL. FF IN PA WITH COCHLEAR IMPLANT / SCBA COOLING MASK – SEEKS VOL. MARYLAND - CASE PROCEED</w:t>
      </w:r>
    </w:p>
    <w:p w14:paraId="61D0246E" w14:textId="77777777" w:rsidR="005E544B" w:rsidRDefault="005E544B" w:rsidP="005E544B">
      <w:pPr>
        <w:pStyle w:val="NormalWeb"/>
      </w:pPr>
      <w:r>
        <w:t xml:space="preserve">On March 1, 2024, in </w:t>
      </w:r>
      <w:r w:rsidRPr="005858BF">
        <w:rPr>
          <w:u w:val="single"/>
        </w:rPr>
        <w:t>Charles Hine v. Prince George’s County, Maryland</w:t>
      </w:r>
      <w:r>
        <w:t xml:space="preserve">, United States District Court Judge Theodore D. Chuang, U.S. District Court for Maryland, denied motions for summary judgment for both parties; the County offered the firefighter an administrative position which he understandably rejected.  </w:t>
      </w:r>
    </w:p>
    <w:p w14:paraId="7158740B" w14:textId="77777777" w:rsidR="003956F7" w:rsidRPr="004C0299" w:rsidRDefault="003956F7" w:rsidP="003956F7">
      <w:pPr>
        <w:pStyle w:val="NoSpacing"/>
        <w:rPr>
          <w:rFonts w:ascii="Times New Roman" w:hAnsi="Times New Roman"/>
          <w:sz w:val="24"/>
          <w:szCs w:val="24"/>
        </w:rPr>
      </w:pPr>
      <w:r>
        <w:rPr>
          <w:rFonts w:ascii="Times New Roman" w:hAnsi="Times New Roman"/>
          <w:sz w:val="24"/>
          <w:szCs w:val="24"/>
          <w:shd w:val="clear" w:color="auto" w:fill="FFFFFF"/>
        </w:rPr>
        <w:t>THE COURT HELD:</w:t>
      </w:r>
    </w:p>
    <w:p w14:paraId="0912860D" w14:textId="77777777" w:rsidR="005E544B" w:rsidRDefault="005E544B" w:rsidP="005E544B">
      <w:pPr>
        <w:pStyle w:val="NormalWeb"/>
        <w:ind w:left="720"/>
      </w:pPr>
      <w:r>
        <w:t xml:space="preserve">“Here, there is no serious dispute that the County rejected Hine's application based on the results of Hine's medical examination and Concentra's determination, based on his self-reported hearing test results, that he did not meet the NFPA hearing standard. There is also no material dispute that, although Hine requested an individualized assessment of whether, despite that hearing test score, he could still perform the job of an operational firefighter, no such individualized assessment occurred. Accordingly, the County's absolute reliance on the results of a medical examination or a general policy without conducting an individualized assessment of whether Hine could </w:t>
      </w:r>
      <w:proofErr w:type="gramStart"/>
      <w:r>
        <w:t>actually perform</w:t>
      </w:r>
      <w:proofErr w:type="gramEnd"/>
      <w:r>
        <w:t xml:space="preserve"> the job with </w:t>
      </w:r>
      <w:proofErr w:type="gramStart"/>
      <w:r>
        <w:t>a reasonable</w:t>
      </w:r>
      <w:proofErr w:type="gramEnd"/>
      <w:r>
        <w:t xml:space="preserve"> accommodation runs contrary to the requirements of the ADA. </w:t>
      </w:r>
      <w:r>
        <w:rPr>
          <w:rStyle w:val="Emphasis"/>
          <w:rFonts w:eastAsiaTheme="majorEastAsia"/>
        </w:rPr>
        <w:t>See, e.g., PGA Tour, Inc.,</w:t>
      </w:r>
      <w:r>
        <w:t xml:space="preserve"> 532 U.S. at 690; </w:t>
      </w:r>
      <w:r>
        <w:rPr>
          <w:rStyle w:val="Emphasis"/>
          <w:rFonts w:eastAsiaTheme="majorEastAsia"/>
        </w:rPr>
        <w:t>Gillen,</w:t>
      </w:r>
      <w:r>
        <w:t xml:space="preserve"> 283 F.3d at 29; </w:t>
      </w:r>
      <w:r>
        <w:rPr>
          <w:rStyle w:val="Emphasis"/>
          <w:rFonts w:eastAsiaTheme="majorEastAsia"/>
        </w:rPr>
        <w:t>Rodriguez,</w:t>
      </w:r>
      <w:r>
        <w:t xml:space="preserve"> 436 F.3d at 482.</w:t>
      </w:r>
    </w:p>
    <w:p w14:paraId="26AD5E64" w14:textId="77777777" w:rsidR="005E544B" w:rsidRDefault="005E544B" w:rsidP="005E544B">
      <w:pPr>
        <w:pStyle w:val="NormalWeb"/>
        <w:ind w:left="720"/>
      </w:pPr>
      <w:r>
        <w:t>***</w:t>
      </w:r>
    </w:p>
    <w:p w14:paraId="640AE89C" w14:textId="77777777" w:rsidR="005E544B" w:rsidRDefault="005E544B" w:rsidP="005E544B">
      <w:pPr>
        <w:pStyle w:val="NormalWeb"/>
        <w:ind w:left="720"/>
      </w:pPr>
      <w:r>
        <w:t>Thus, regardless of whether the County imposed a discriminatory blanket policy or failed to engage in an individualized inquiry, Hine is entitled to a finding of liability only if he establishes that he was a qualified individual, which in turn requires a determination that he could perform the essential functions of an operational firefighter with or without a reasonable accommodation.”</w:t>
      </w:r>
    </w:p>
    <w:p w14:paraId="0CAEC63C" w14:textId="77777777" w:rsidR="005E544B" w:rsidRDefault="005E544B" w:rsidP="005E544B">
      <w:pPr>
        <w:pStyle w:val="NormalWeb"/>
        <w:rPr>
          <w:b/>
          <w:bCs/>
        </w:rPr>
      </w:pPr>
      <w:r w:rsidRPr="00155B26">
        <w:rPr>
          <w:b/>
          <w:bCs/>
        </w:rPr>
        <w:t xml:space="preserve">Legal Lesson Learned: </w:t>
      </w:r>
      <w:r>
        <w:rPr>
          <w:b/>
          <w:bCs/>
        </w:rPr>
        <w:t xml:space="preserve">Pre-trial discovery will now proceed; employers cannot simply rely on NFPA to turn down an applicant without an individualized assessment. </w:t>
      </w:r>
    </w:p>
    <w:p w14:paraId="52303003" w14:textId="77777777" w:rsidR="005E544B" w:rsidRDefault="005E544B" w:rsidP="005C30A4">
      <w:pPr>
        <w:pStyle w:val="NoSpacing"/>
        <w:rPr>
          <w:rFonts w:ascii="Arial Black" w:hAnsi="Arial Black"/>
          <w:sz w:val="24"/>
          <w:szCs w:val="24"/>
        </w:rPr>
      </w:pPr>
    </w:p>
    <w:p w14:paraId="3D594ADE" w14:textId="77777777" w:rsidR="005E544B" w:rsidRDefault="005E544B" w:rsidP="005C30A4">
      <w:pPr>
        <w:pStyle w:val="NoSpacing"/>
        <w:rPr>
          <w:rFonts w:ascii="Arial Black" w:hAnsi="Arial Black"/>
          <w:sz w:val="24"/>
          <w:szCs w:val="24"/>
        </w:rPr>
      </w:pPr>
    </w:p>
    <w:p w14:paraId="1E59C0DF" w14:textId="77777777" w:rsidR="005E544B" w:rsidRDefault="005E544B" w:rsidP="005C30A4">
      <w:pPr>
        <w:pStyle w:val="NoSpacing"/>
        <w:rPr>
          <w:rFonts w:ascii="Arial Black" w:hAnsi="Arial Black"/>
          <w:sz w:val="24"/>
          <w:szCs w:val="24"/>
        </w:rPr>
      </w:pPr>
    </w:p>
    <w:p w14:paraId="17BE4733" w14:textId="517BF4D0" w:rsidR="007B3AE4" w:rsidRDefault="007B3AE4" w:rsidP="005C30A4">
      <w:pPr>
        <w:pStyle w:val="NoSpacing"/>
        <w:rPr>
          <w:rFonts w:ascii="Arial Black" w:hAnsi="Arial Black"/>
          <w:sz w:val="24"/>
          <w:szCs w:val="24"/>
        </w:rPr>
      </w:pPr>
      <w:r>
        <w:rPr>
          <w:rFonts w:ascii="Arial Black" w:hAnsi="Arial Black"/>
          <w:sz w:val="24"/>
          <w:szCs w:val="24"/>
        </w:rPr>
        <w:t>9-4</w:t>
      </w:r>
      <w:r w:rsidR="005E544B">
        <w:rPr>
          <w:rFonts w:ascii="Arial Black" w:hAnsi="Arial Black"/>
          <w:sz w:val="24"/>
          <w:szCs w:val="24"/>
        </w:rPr>
        <w:t>2</w:t>
      </w:r>
    </w:p>
    <w:p w14:paraId="39545A44" w14:textId="77777777" w:rsidR="007B3AE4" w:rsidRDefault="007B3AE4" w:rsidP="005C30A4">
      <w:pPr>
        <w:pStyle w:val="NoSpacing"/>
        <w:rPr>
          <w:rFonts w:ascii="Arial Black" w:hAnsi="Arial Black"/>
          <w:sz w:val="24"/>
          <w:szCs w:val="24"/>
        </w:rPr>
      </w:pPr>
    </w:p>
    <w:p w14:paraId="3B3EF512" w14:textId="34F52B50" w:rsidR="00DB5557" w:rsidRPr="00B510C3" w:rsidRDefault="00DB5557" w:rsidP="00DB5557">
      <w:pPr>
        <w:pStyle w:val="NormalWeb"/>
        <w:rPr>
          <w:rFonts w:ascii="Arial Black" w:hAnsi="Arial Black"/>
          <w:sz w:val="28"/>
          <w:szCs w:val="28"/>
        </w:rPr>
      </w:pPr>
      <w:r>
        <w:rPr>
          <w:rFonts w:ascii="Arial Black" w:hAnsi="Arial Black"/>
          <w:sz w:val="28"/>
          <w:szCs w:val="28"/>
        </w:rPr>
        <w:t xml:space="preserve">IL: ADA – DEPUTY CHIEF – IF EARN </w:t>
      </w:r>
      <w:r w:rsidR="009B38FF">
        <w:rPr>
          <w:rFonts w:ascii="Arial Black" w:hAnsi="Arial Black"/>
          <w:sz w:val="28"/>
          <w:szCs w:val="28"/>
        </w:rPr>
        <w:t>BACHELOR’S</w:t>
      </w:r>
      <w:r>
        <w:rPr>
          <w:rFonts w:ascii="Arial Black" w:hAnsi="Arial Black"/>
          <w:sz w:val="28"/>
          <w:szCs w:val="28"/>
        </w:rPr>
        <w:t xml:space="preserve"> DEGREE, PAY BUMP - REFUSED, HEART CONDITION – NO CASE</w:t>
      </w:r>
    </w:p>
    <w:p w14:paraId="794C7E2A" w14:textId="77777777" w:rsidR="00DB5557" w:rsidRDefault="00DB5557" w:rsidP="00DB5557">
      <w:pPr>
        <w:pStyle w:val="NormalWeb"/>
      </w:pPr>
      <w:r>
        <w:t xml:space="preserve">On Feb. 23, 2024, in </w:t>
      </w:r>
      <w:r w:rsidRPr="006C66EB">
        <w:rPr>
          <w:u w:val="single"/>
        </w:rPr>
        <w:t>Jeffrey Bruno v. Chasity Wells-Armstrong, James Ellexson, and City of Kankakee, Illinois</w:t>
      </w:r>
      <w:r>
        <w:t xml:space="preserve">, the U.S. Court of Appeals for the Seventh Circuit (Chicago) held (3 to 0) that trial court properly granted defense motion for summary judgment; attending college was not a requirement of his job and his request waive the college requirement to earn the pump in pay was not a request for reasonable accommodation. </w:t>
      </w:r>
    </w:p>
    <w:p w14:paraId="06910E2B" w14:textId="77777777" w:rsidR="00DB5557" w:rsidRDefault="00DB5557" w:rsidP="00DB5557">
      <w:pPr>
        <w:pStyle w:val="NormalWeb"/>
      </w:pPr>
      <w:r>
        <w:t>The Court held:</w:t>
      </w:r>
    </w:p>
    <w:p w14:paraId="05D9334F" w14:textId="77777777" w:rsidR="00DB5557" w:rsidRDefault="00DB5557" w:rsidP="00DB5557">
      <w:pPr>
        <w:pStyle w:val="NormalWeb"/>
        <w:ind w:left="720"/>
      </w:pPr>
      <w:r>
        <w:t xml:space="preserve">“Here, because the pay bump did not depend on Bruno performing his essential duties, the defendants did not have to provide an accommodation that enabled him to obtain it because doing so would have been awarding him compensation he did not earn-that was not a measure that enabled Bruno to work. </w:t>
      </w:r>
    </w:p>
    <w:p w14:paraId="78920D33" w14:textId="77777777" w:rsidR="00DB5557" w:rsidRDefault="00DB5557" w:rsidP="00DB5557">
      <w:pPr>
        <w:pStyle w:val="NormalWeb"/>
        <w:ind w:left="720"/>
      </w:pPr>
      <w:r>
        <w:lastRenderedPageBreak/>
        <w:t xml:space="preserve">Moreover, while the </w:t>
      </w:r>
      <w:proofErr w:type="gramStart"/>
      <w:r>
        <w:t>waiver</w:t>
      </w:r>
      <w:proofErr w:type="gramEnd"/>
      <w:r>
        <w:t xml:space="preserve"> would have entitled Bruno to more compensation without him having to jeopardize his health, it would not have impacted his ability to perform his job. Bruno conceded multiple times that-so long as he did not have to attend classes-he could perform the essential duties of his position without undermining his health and stressed that he had been performing satisfactorily without the pay bump. Attending college was not a requirement of his job. Bruno's request that he be compensated more for performing his essential duties because his health prevented him from attending and obtaining the pay bump was not a request for reasonable accommodation.” </w:t>
      </w:r>
      <w:hyperlink r:id="rId1672" w:history="1">
        <w:r w:rsidRPr="00644350">
          <w:rPr>
            <w:rStyle w:val="Hyperlink"/>
          </w:rPr>
          <w:t>https://casetext.com/case/bruno-v-wells-armstrong</w:t>
        </w:r>
      </w:hyperlink>
      <w:r>
        <w:t xml:space="preserve"> </w:t>
      </w:r>
    </w:p>
    <w:p w14:paraId="60E95DD3" w14:textId="77777777" w:rsidR="00DB5557" w:rsidRDefault="00DB5557" w:rsidP="00DB5557">
      <w:pPr>
        <w:pStyle w:val="NormalWeb"/>
        <w:rPr>
          <w:b/>
          <w:bCs/>
        </w:rPr>
      </w:pPr>
      <w:r w:rsidRPr="00125715">
        <w:rPr>
          <w:b/>
          <w:bCs/>
        </w:rPr>
        <w:t>Legal Lesson Learned</w:t>
      </w:r>
      <w:r>
        <w:rPr>
          <w:b/>
          <w:bCs/>
        </w:rPr>
        <w:t xml:space="preserve">: ADA claim fails because firefighter’s request to waive education condition was not a request for reasonable accommodation.  </w:t>
      </w:r>
    </w:p>
    <w:p w14:paraId="4CD43BBD" w14:textId="77777777" w:rsidR="007B3AE4" w:rsidRDefault="007B3AE4" w:rsidP="005C30A4">
      <w:pPr>
        <w:pStyle w:val="NoSpacing"/>
        <w:rPr>
          <w:rFonts w:ascii="Arial Black" w:hAnsi="Arial Black"/>
          <w:sz w:val="24"/>
          <w:szCs w:val="24"/>
        </w:rPr>
      </w:pPr>
    </w:p>
    <w:p w14:paraId="11B5C7FB" w14:textId="77777777" w:rsidR="007B3AE4" w:rsidRDefault="007B3AE4" w:rsidP="005C30A4">
      <w:pPr>
        <w:pStyle w:val="NoSpacing"/>
        <w:rPr>
          <w:rFonts w:ascii="Arial Black" w:hAnsi="Arial Black"/>
          <w:sz w:val="24"/>
          <w:szCs w:val="24"/>
        </w:rPr>
      </w:pPr>
    </w:p>
    <w:p w14:paraId="2E64F7F5" w14:textId="03185FFE" w:rsidR="00615F4E" w:rsidRDefault="00615F4E" w:rsidP="005C30A4">
      <w:pPr>
        <w:pStyle w:val="NoSpacing"/>
        <w:rPr>
          <w:rFonts w:ascii="Arial Black" w:hAnsi="Arial Black"/>
          <w:sz w:val="24"/>
          <w:szCs w:val="24"/>
        </w:rPr>
      </w:pPr>
      <w:r>
        <w:rPr>
          <w:rFonts w:ascii="Arial Black" w:hAnsi="Arial Black"/>
          <w:sz w:val="24"/>
          <w:szCs w:val="24"/>
        </w:rPr>
        <w:t>9-4</w:t>
      </w:r>
      <w:r w:rsidR="005E544B">
        <w:rPr>
          <w:rFonts w:ascii="Arial Black" w:hAnsi="Arial Black"/>
          <w:sz w:val="24"/>
          <w:szCs w:val="24"/>
        </w:rPr>
        <w:t>1</w:t>
      </w:r>
    </w:p>
    <w:p w14:paraId="4DB42664" w14:textId="77777777" w:rsidR="00615F4E" w:rsidRPr="001020C2" w:rsidRDefault="00615F4E" w:rsidP="00615F4E">
      <w:pPr>
        <w:pStyle w:val="NormalWeb"/>
        <w:rPr>
          <w:rFonts w:ascii="Arial Black" w:hAnsi="Arial Black"/>
          <w:sz w:val="28"/>
          <w:szCs w:val="28"/>
        </w:rPr>
      </w:pPr>
      <w:r>
        <w:rPr>
          <w:rFonts w:ascii="Arial Black" w:hAnsi="Arial Black"/>
          <w:sz w:val="28"/>
          <w:szCs w:val="28"/>
        </w:rPr>
        <w:t>MA: CAPTAIN – MARINE 50% DISABELED – NOT PROMOTED – ALLEGES CHIEF ANIMOSITY DISAB. VETS – CASE PROCEED</w:t>
      </w:r>
    </w:p>
    <w:p w14:paraId="1331A6DE" w14:textId="77777777" w:rsidR="00615F4E" w:rsidRDefault="00615F4E" w:rsidP="00615F4E">
      <w:pPr>
        <w:pStyle w:val="NormalWeb"/>
      </w:pPr>
      <w:r>
        <w:t xml:space="preserve">On Jan. 10, 2024, in </w:t>
      </w:r>
      <w:r w:rsidRPr="005E6561">
        <w:rPr>
          <w:u w:val="single"/>
        </w:rPr>
        <w:t>Pierre Grenier v. City of Springfield, et al</w:t>
      </w:r>
      <w:r>
        <w:t xml:space="preserve">., U.S. Magistrate Judge Katherine A. Robinson issued a Report &amp; Recommendation allowing case to proceed with pre-trial discovery regarding Captain’s allegation that Fire Commissioner had animosity against him because of his military service-connected disability (former Marine).  He was the only of six candidates not promoted to District Chief.  </w:t>
      </w:r>
    </w:p>
    <w:p w14:paraId="72DB52A2" w14:textId="77777777" w:rsidR="00615F4E" w:rsidRDefault="00615F4E" w:rsidP="00615F4E">
      <w:pPr>
        <w:pStyle w:val="NormalWeb"/>
        <w:ind w:left="720" w:firstLine="60"/>
      </w:pPr>
      <w:r>
        <w:t xml:space="preserve">“Drawing all inferences in Plaintiff’s favor, a reasonable employee in his position might interpret [Fire Commissioner] Calvi’s stop at the fire station [May 26, 2019] after hearing that Plaintiff had set the wheels in motion for a formal hearing], was intended to intimidate or coerce Plaintiff into abandoning his right to a hearing to protect his position and promotional aspirations in the Department. This aspect of the claim also merits evaluation on a more complete factual </w:t>
      </w:r>
      <w:proofErr w:type="gramStart"/>
      <w:r>
        <w:t>record.”</w:t>
      </w:r>
      <w:proofErr w:type="gramEnd"/>
      <w:r>
        <w:t xml:space="preserve">  </w:t>
      </w:r>
      <w:hyperlink r:id="rId1673" w:history="1">
        <w:r w:rsidRPr="009E6D51">
          <w:rPr>
            <w:rStyle w:val="Hyperlink"/>
          </w:rPr>
          <w:t>https://www.casemine.com/judgement/us/65a0c054bfe6241981ef91c8</w:t>
        </w:r>
      </w:hyperlink>
      <w:r>
        <w:t xml:space="preserve"> </w:t>
      </w:r>
    </w:p>
    <w:p w14:paraId="69D4F192" w14:textId="77777777" w:rsidR="00E851B0" w:rsidRDefault="00E851B0" w:rsidP="00E851B0">
      <w:pPr>
        <w:rPr>
          <w:rFonts w:ascii="Times New Roman" w:hAnsi="Times New Roman"/>
          <w:b/>
          <w:bCs/>
          <w:sz w:val="24"/>
          <w:szCs w:val="24"/>
        </w:rPr>
      </w:pPr>
      <w:r w:rsidRPr="00F53C85">
        <w:rPr>
          <w:rFonts w:ascii="Times New Roman" w:hAnsi="Times New Roman"/>
          <w:b/>
          <w:bCs/>
          <w:sz w:val="24"/>
          <w:szCs w:val="24"/>
        </w:rPr>
        <w:t xml:space="preserve">Legal Lesson Learned: </w:t>
      </w:r>
      <w:r>
        <w:rPr>
          <w:rFonts w:ascii="Times New Roman" w:hAnsi="Times New Roman"/>
          <w:b/>
          <w:bCs/>
          <w:sz w:val="24"/>
          <w:szCs w:val="24"/>
        </w:rPr>
        <w:t xml:space="preserve"> If an employee is claiming animosity, consider having a second person (another officer or HR) with you when holding discussion with the employee.</w:t>
      </w:r>
    </w:p>
    <w:p w14:paraId="2944525F" w14:textId="77777777" w:rsidR="00E851B0" w:rsidRDefault="00E851B0" w:rsidP="00E851B0">
      <w:pPr>
        <w:pStyle w:val="NormalWeb"/>
        <w:ind w:left="720"/>
      </w:pPr>
      <w:r>
        <w:t xml:space="preserve">Note:  March 8, 2023, Justice Michael K. Callan, Massachusetts Superior Court denied his appeal from Civil Service Commission.  </w:t>
      </w:r>
      <w:hyperlink r:id="rId1674" w:history="1">
        <w:r w:rsidRPr="00B22688">
          <w:rPr>
            <w:rStyle w:val="Hyperlink"/>
          </w:rPr>
          <w:t>https://www.mass.gov/doc/grenier-pierre-v-springfield-fire-department-related-superior-court-decision-3823/download</w:t>
        </w:r>
      </w:hyperlink>
      <w:r w:rsidRPr="00B22688">
        <w:t xml:space="preserve"> </w:t>
      </w:r>
    </w:p>
    <w:p w14:paraId="50E0734D" w14:textId="77777777" w:rsidR="00615F4E" w:rsidRDefault="00615F4E" w:rsidP="005C30A4">
      <w:pPr>
        <w:pStyle w:val="NoSpacing"/>
        <w:rPr>
          <w:rFonts w:ascii="Arial Black" w:hAnsi="Arial Black"/>
          <w:sz w:val="24"/>
          <w:szCs w:val="24"/>
        </w:rPr>
      </w:pPr>
    </w:p>
    <w:p w14:paraId="1674C30F" w14:textId="77777777" w:rsidR="00615F4E" w:rsidRPr="00615F4E" w:rsidRDefault="00615F4E" w:rsidP="005C30A4">
      <w:pPr>
        <w:pStyle w:val="NoSpacing"/>
        <w:rPr>
          <w:rFonts w:ascii="Arial Black" w:hAnsi="Arial Black"/>
          <w:i/>
          <w:iCs/>
          <w:sz w:val="24"/>
          <w:szCs w:val="24"/>
        </w:rPr>
      </w:pPr>
    </w:p>
    <w:p w14:paraId="2D49AD6C" w14:textId="7289404D" w:rsidR="00AB6735" w:rsidRDefault="00AB6735" w:rsidP="005C30A4">
      <w:pPr>
        <w:pStyle w:val="NoSpacing"/>
        <w:rPr>
          <w:rFonts w:ascii="Arial Black" w:hAnsi="Arial Black"/>
          <w:sz w:val="24"/>
          <w:szCs w:val="24"/>
        </w:rPr>
      </w:pPr>
      <w:r>
        <w:rPr>
          <w:rFonts w:ascii="Arial Black" w:hAnsi="Arial Black"/>
          <w:sz w:val="24"/>
          <w:szCs w:val="24"/>
        </w:rPr>
        <w:t>9-40</w:t>
      </w:r>
    </w:p>
    <w:p w14:paraId="1732C251" w14:textId="77777777" w:rsidR="00AB6735" w:rsidRPr="00D862E9" w:rsidRDefault="00AB6735" w:rsidP="00AB6735">
      <w:pPr>
        <w:pStyle w:val="Heading1"/>
        <w:rPr>
          <w:rFonts w:ascii="Arial Black" w:hAnsi="Arial Black"/>
          <w:b w:val="0"/>
          <w:sz w:val="28"/>
          <w:szCs w:val="28"/>
        </w:rPr>
      </w:pPr>
      <w:r>
        <w:rPr>
          <w:rFonts w:ascii="Arial Black" w:hAnsi="Arial Black"/>
          <w:b w:val="0"/>
          <w:sz w:val="28"/>
          <w:szCs w:val="28"/>
        </w:rPr>
        <w:t xml:space="preserve">MN: “ALCOHOL USE DISORDER” – DOJ FIRST ADA SETTLEMENT REQ. CITY PAY TREATMENT CDL DRIVERS </w:t>
      </w:r>
    </w:p>
    <w:p w14:paraId="11555FE4" w14:textId="77777777" w:rsidR="00AB6735" w:rsidRDefault="00AB6735" w:rsidP="00AB6735">
      <w:pPr>
        <w:pStyle w:val="Heading1"/>
        <w:rPr>
          <w:rStyle w:val="field-formatter--string"/>
          <w:b w:val="0"/>
          <w:bCs w:val="0"/>
          <w:sz w:val="24"/>
          <w:szCs w:val="24"/>
        </w:rPr>
      </w:pPr>
      <w:r>
        <w:rPr>
          <w:b w:val="0"/>
          <w:sz w:val="24"/>
          <w:szCs w:val="24"/>
        </w:rPr>
        <w:t xml:space="preserve">On Nov. 20, 2023, in </w:t>
      </w:r>
      <w:r w:rsidRPr="00B07419">
        <w:rPr>
          <w:b w:val="0"/>
          <w:sz w:val="24"/>
          <w:szCs w:val="24"/>
          <w:u w:val="single"/>
        </w:rPr>
        <w:t>United States of America v. City of Blane, Minnesota</w:t>
      </w:r>
      <w:r>
        <w:rPr>
          <w:b w:val="0"/>
          <w:sz w:val="24"/>
          <w:szCs w:val="24"/>
        </w:rPr>
        <w:t xml:space="preserve">, the parties entered a consent decree.  While this case does not specifically involve firefighters, this is “first ADA settlement” involving voluntary disclosure by CDL drivers.  In the Press Release, the </w:t>
      </w:r>
      <w:proofErr w:type="spellStart"/>
      <w:r>
        <w:rPr>
          <w:b w:val="0"/>
          <w:sz w:val="24"/>
          <w:szCs w:val="24"/>
        </w:rPr>
        <w:t>DoJ</w:t>
      </w:r>
      <w:proofErr w:type="spellEnd"/>
      <w:r>
        <w:rPr>
          <w:b w:val="0"/>
          <w:sz w:val="24"/>
          <w:szCs w:val="24"/>
        </w:rPr>
        <w:t xml:space="preserve"> stated: “</w:t>
      </w:r>
      <w:r w:rsidRPr="003526F1">
        <w:rPr>
          <w:b w:val="0"/>
          <w:bCs w:val="0"/>
          <w:sz w:val="24"/>
          <w:szCs w:val="24"/>
        </w:rPr>
        <w:t xml:space="preserve">The lawsuit alleges that the city </w:t>
      </w:r>
      <w:r w:rsidRPr="003526F1">
        <w:rPr>
          <w:b w:val="0"/>
          <w:bCs w:val="0"/>
          <w:sz w:val="24"/>
          <w:szCs w:val="24"/>
        </w:rPr>
        <w:lastRenderedPageBreak/>
        <w:t xml:space="preserve">discriminated against an employee with alcohol use disorder who voluntarily disclosed that he was to undergo treatment by requiring him to pay for alcohol and controlled substances testing and evaluation based on his disability. This is the Justice Department’s first ADA settlement resolving a claim of employment discrimination based on alcohol use </w:t>
      </w:r>
      <w:r>
        <w:rPr>
          <w:b w:val="0"/>
          <w:bCs w:val="0"/>
          <w:sz w:val="24"/>
          <w:szCs w:val="24"/>
        </w:rPr>
        <w:t xml:space="preserve"> d</w:t>
      </w:r>
      <w:r w:rsidRPr="003526F1">
        <w:rPr>
          <w:b w:val="0"/>
          <w:bCs w:val="0"/>
          <w:sz w:val="24"/>
          <w:szCs w:val="24"/>
        </w:rPr>
        <w:t>isorder.</w:t>
      </w:r>
      <w:r>
        <w:rPr>
          <w:b w:val="0"/>
          <w:bCs w:val="0"/>
          <w:sz w:val="24"/>
          <w:szCs w:val="24"/>
        </w:rPr>
        <w:t xml:space="preserve">”  </w:t>
      </w:r>
      <w:r w:rsidRPr="003526F1">
        <w:rPr>
          <w:b w:val="0"/>
          <w:bCs w:val="0"/>
          <w:sz w:val="24"/>
          <w:szCs w:val="24"/>
        </w:rPr>
        <w:t> </w:t>
      </w:r>
      <w:hyperlink r:id="rId1675" w:history="1">
        <w:r w:rsidRPr="003526F1">
          <w:rPr>
            <w:rStyle w:val="Hyperlink"/>
            <w:rFonts w:eastAsiaTheme="majorEastAsia"/>
            <w:b w:val="0"/>
            <w:bCs w:val="0"/>
            <w:sz w:val="24"/>
            <w:szCs w:val="24"/>
          </w:rPr>
          <w:t>https://www.justice.gov/opa/pr/justice-department-secures-agreement-city-blaine-minnesota-resolve-discrimination-claim</w:t>
        </w:r>
      </w:hyperlink>
      <w:r w:rsidRPr="003526F1">
        <w:rPr>
          <w:b w:val="0"/>
          <w:bCs w:val="0"/>
          <w:sz w:val="24"/>
          <w:szCs w:val="24"/>
        </w:rPr>
        <w:t xml:space="preserve"> </w:t>
      </w:r>
      <w:r w:rsidRPr="003526F1">
        <w:rPr>
          <w:rStyle w:val="field-formatter--string"/>
          <w:b w:val="0"/>
          <w:bCs w:val="0"/>
          <w:sz w:val="24"/>
          <w:szCs w:val="24"/>
        </w:rPr>
        <w:t xml:space="preserve"> </w:t>
      </w:r>
    </w:p>
    <w:p w14:paraId="049D54EC" w14:textId="77777777" w:rsidR="001031C3" w:rsidRDefault="001031C3" w:rsidP="001031C3">
      <w:pPr>
        <w:pStyle w:val="NoSpacing"/>
        <w:rPr>
          <w:rFonts w:ascii="Times New Roman" w:hAnsi="Times New Roman"/>
          <w:b/>
          <w:sz w:val="24"/>
          <w:szCs w:val="24"/>
        </w:rPr>
      </w:pPr>
      <w:r>
        <w:rPr>
          <w:rFonts w:ascii="Times New Roman" w:hAnsi="Times New Roman"/>
          <w:b/>
          <w:sz w:val="24"/>
          <w:szCs w:val="24"/>
        </w:rPr>
        <w:t xml:space="preserve">Legal Lesson Learned:  Fire &amp; EMS Departments should review their EAP policies regarding voluntary disclosure of substance abuse. </w:t>
      </w:r>
    </w:p>
    <w:p w14:paraId="22CF91EA" w14:textId="77777777" w:rsidR="001031C3" w:rsidRDefault="001031C3" w:rsidP="001031C3">
      <w:pPr>
        <w:pStyle w:val="NoSpacing"/>
        <w:rPr>
          <w:rFonts w:ascii="Times New Roman" w:hAnsi="Times New Roman"/>
          <w:b/>
          <w:sz w:val="24"/>
          <w:szCs w:val="24"/>
        </w:rPr>
      </w:pPr>
    </w:p>
    <w:p w14:paraId="57C03AD1" w14:textId="77777777" w:rsidR="001031C3" w:rsidRDefault="001031C3" w:rsidP="00AB6735">
      <w:pPr>
        <w:pStyle w:val="Heading1"/>
        <w:rPr>
          <w:rStyle w:val="field-formatter--string"/>
          <w:b w:val="0"/>
          <w:bCs w:val="0"/>
          <w:sz w:val="24"/>
          <w:szCs w:val="24"/>
        </w:rPr>
      </w:pPr>
    </w:p>
    <w:p w14:paraId="08F0C142" w14:textId="77777777" w:rsidR="00AB6735" w:rsidRDefault="00AB6735" w:rsidP="005C30A4">
      <w:pPr>
        <w:pStyle w:val="NoSpacing"/>
        <w:rPr>
          <w:rFonts w:ascii="Arial Black" w:hAnsi="Arial Black"/>
          <w:sz w:val="24"/>
          <w:szCs w:val="24"/>
        </w:rPr>
      </w:pPr>
    </w:p>
    <w:p w14:paraId="46D7CEDD" w14:textId="77777777" w:rsidR="00AB6735" w:rsidRDefault="00AB6735" w:rsidP="005C30A4">
      <w:pPr>
        <w:pStyle w:val="NoSpacing"/>
        <w:rPr>
          <w:rFonts w:ascii="Arial Black" w:hAnsi="Arial Black"/>
          <w:sz w:val="24"/>
          <w:szCs w:val="24"/>
        </w:rPr>
      </w:pPr>
    </w:p>
    <w:p w14:paraId="72C7EB89" w14:textId="77777777" w:rsidR="00AB6735" w:rsidRDefault="00AB6735" w:rsidP="005C30A4">
      <w:pPr>
        <w:pStyle w:val="NoSpacing"/>
        <w:rPr>
          <w:rFonts w:ascii="Arial Black" w:hAnsi="Arial Black"/>
          <w:sz w:val="24"/>
          <w:szCs w:val="24"/>
        </w:rPr>
      </w:pPr>
    </w:p>
    <w:p w14:paraId="2F69E385" w14:textId="6027D29E" w:rsidR="009B0593" w:rsidRDefault="00832745" w:rsidP="005C30A4">
      <w:pPr>
        <w:pStyle w:val="NoSpacing"/>
        <w:rPr>
          <w:rFonts w:ascii="Arial Black" w:hAnsi="Arial Black"/>
          <w:sz w:val="24"/>
          <w:szCs w:val="24"/>
        </w:rPr>
      </w:pPr>
      <w:r>
        <w:rPr>
          <w:rFonts w:ascii="Arial Black" w:hAnsi="Arial Black"/>
          <w:sz w:val="24"/>
          <w:szCs w:val="24"/>
        </w:rPr>
        <w:t>9-39</w:t>
      </w:r>
    </w:p>
    <w:p w14:paraId="749C2D26" w14:textId="77777777" w:rsidR="00832745" w:rsidRDefault="00832745" w:rsidP="00832745">
      <w:pPr>
        <w:pStyle w:val="NormalWeb"/>
        <w:rPr>
          <w:rFonts w:ascii="Arial Black" w:hAnsi="Arial Black"/>
          <w:sz w:val="28"/>
          <w:szCs w:val="28"/>
        </w:rPr>
      </w:pPr>
      <w:r>
        <w:rPr>
          <w:rFonts w:ascii="Arial Black" w:hAnsi="Arial Black"/>
          <w:sz w:val="28"/>
          <w:szCs w:val="28"/>
        </w:rPr>
        <w:t>FL: ADA - FF PARKINSON – CITY CHANGED HEALTH INSUR. TO 2 YEARS – RETIRED FF CAN’T SUE, NOT EMPLOYEE</w:t>
      </w:r>
    </w:p>
    <w:p w14:paraId="3AC3623A" w14:textId="267D0218" w:rsidR="00832745" w:rsidRDefault="00832745" w:rsidP="00832745">
      <w:pPr>
        <w:pStyle w:val="NoSpacing"/>
        <w:rPr>
          <w:rStyle w:val="Hyperlink"/>
          <w:rFonts w:ascii="Times New Roman" w:hAnsi="Times New Roman"/>
          <w:sz w:val="24"/>
          <w:szCs w:val="24"/>
        </w:rPr>
      </w:pPr>
      <w:r w:rsidRPr="00832745">
        <w:rPr>
          <w:rFonts w:ascii="Times New Roman" w:hAnsi="Times New Roman"/>
          <w:sz w:val="24"/>
          <w:szCs w:val="24"/>
        </w:rPr>
        <w:t xml:space="preserve">On Oct. 11, 2023, in </w:t>
      </w:r>
      <w:r w:rsidRPr="00832745">
        <w:rPr>
          <w:rFonts w:ascii="Times New Roman" w:hAnsi="Times New Roman"/>
          <w:sz w:val="24"/>
          <w:szCs w:val="24"/>
          <w:u w:val="single"/>
        </w:rPr>
        <w:t>Karyn D. Stanley v. City of Sanford, Florida</w:t>
      </w:r>
      <w:r w:rsidRPr="00832745">
        <w:rPr>
          <w:rFonts w:ascii="Times New Roman" w:hAnsi="Times New Roman"/>
          <w:sz w:val="24"/>
          <w:szCs w:val="24"/>
        </w:rPr>
        <w:t>, the U.S. Court of Appeals for the 11</w:t>
      </w:r>
      <w:r w:rsidRPr="00832745">
        <w:rPr>
          <w:rFonts w:ascii="Times New Roman" w:hAnsi="Times New Roman"/>
          <w:sz w:val="24"/>
          <w:szCs w:val="24"/>
          <w:vertAlign w:val="superscript"/>
        </w:rPr>
        <w:t>th</w:t>
      </w:r>
      <w:r w:rsidRPr="00832745">
        <w:rPr>
          <w:rFonts w:ascii="Times New Roman" w:hAnsi="Times New Roman"/>
          <w:sz w:val="24"/>
          <w:szCs w:val="24"/>
        </w:rPr>
        <w:t xml:space="preserve"> Circuit (Atlanta, GA) held (3 to 0): “Because Stanley cannot establish that the City committed any discriminatory acts against her while she could perform the essential functions of a job that she held or desired to hold, her Title I claim fails. For the same reason, so do her claims under the Rehab Act and the Florida Civil Rights </w:t>
      </w:r>
      <w:proofErr w:type="gramStart"/>
      <w:r w:rsidRPr="00832745">
        <w:rPr>
          <w:rFonts w:ascii="Times New Roman" w:hAnsi="Times New Roman"/>
          <w:sz w:val="24"/>
          <w:szCs w:val="24"/>
        </w:rPr>
        <w:t>Act.”</w:t>
      </w:r>
      <w:proofErr w:type="gramEnd"/>
      <w:r w:rsidRPr="00832745">
        <w:rPr>
          <w:rFonts w:ascii="Times New Roman" w:hAnsi="Times New Roman"/>
          <w:sz w:val="24"/>
          <w:szCs w:val="24"/>
        </w:rPr>
        <w:t xml:space="preserve"> </w:t>
      </w:r>
      <w:hyperlink r:id="rId1676" w:history="1">
        <w:r w:rsidRPr="00832745">
          <w:rPr>
            <w:rStyle w:val="Hyperlink"/>
            <w:rFonts w:ascii="Times New Roman" w:hAnsi="Times New Roman"/>
            <w:sz w:val="24"/>
            <w:szCs w:val="24"/>
          </w:rPr>
          <w:t>https://cases.justia.com/federal/appellate-courts/ca11/22-10002/22-10002-2023-10-11.pdf?ts=1697045568</w:t>
        </w:r>
      </w:hyperlink>
    </w:p>
    <w:p w14:paraId="0B6D9326" w14:textId="77777777" w:rsidR="00832745" w:rsidRDefault="00832745" w:rsidP="00832745">
      <w:pPr>
        <w:pStyle w:val="NormalWeb"/>
        <w:rPr>
          <w:b/>
          <w:bCs/>
        </w:rPr>
      </w:pPr>
      <w:r>
        <w:rPr>
          <w:b/>
          <w:bCs/>
        </w:rPr>
        <w:t xml:space="preserve">Legal Lesson Learned: Some other Circuit Courts have taken an opposite position; perhaps the U.S. Supreme Court will take an appeal and resolve the conflict. </w:t>
      </w:r>
    </w:p>
    <w:p w14:paraId="05B2D700" w14:textId="77777777" w:rsidR="00832745" w:rsidRDefault="00832745" w:rsidP="00832745">
      <w:pPr>
        <w:pStyle w:val="Heading1"/>
        <w:ind w:left="720"/>
        <w:rPr>
          <w:b w:val="0"/>
          <w:bCs w:val="0"/>
          <w:sz w:val="24"/>
          <w:szCs w:val="24"/>
        </w:rPr>
      </w:pPr>
      <w:r>
        <w:rPr>
          <w:b w:val="0"/>
          <w:bCs w:val="0"/>
          <w:sz w:val="24"/>
          <w:szCs w:val="24"/>
        </w:rPr>
        <w:t>Note: The Court stated: “The Second and Third Circuits have held that Title I’s anti-discrimination provision is ambiguous, however, and have resolved that purported ambiguity in favor of former employees. See Castellano v. City of New York, 142 F.3d 58, 66–69 (2d Cir. 1998); Ford v. Schering-Plough Corp., 145 F.3d 601, 604–08 (3d Cir. 1998).”</w:t>
      </w:r>
    </w:p>
    <w:p w14:paraId="5160D8E4" w14:textId="77777777" w:rsidR="00832745" w:rsidRPr="00832745" w:rsidRDefault="00832745" w:rsidP="00832745">
      <w:pPr>
        <w:pStyle w:val="NoSpacing"/>
        <w:rPr>
          <w:rFonts w:ascii="Times New Roman" w:hAnsi="Times New Roman"/>
          <w:sz w:val="24"/>
          <w:szCs w:val="24"/>
        </w:rPr>
      </w:pPr>
    </w:p>
    <w:p w14:paraId="78B2D967" w14:textId="77777777" w:rsidR="00832745" w:rsidRPr="00832745" w:rsidRDefault="00832745" w:rsidP="005C30A4">
      <w:pPr>
        <w:pStyle w:val="NoSpacing"/>
        <w:rPr>
          <w:rFonts w:ascii="Times New Roman" w:hAnsi="Times New Roman"/>
          <w:sz w:val="24"/>
          <w:szCs w:val="24"/>
        </w:rPr>
      </w:pPr>
    </w:p>
    <w:p w14:paraId="6174E670" w14:textId="77777777" w:rsidR="00832745" w:rsidRDefault="00832745" w:rsidP="005C30A4">
      <w:pPr>
        <w:pStyle w:val="NoSpacing"/>
        <w:rPr>
          <w:rFonts w:ascii="Arial Black" w:hAnsi="Arial Black"/>
          <w:sz w:val="24"/>
          <w:szCs w:val="24"/>
        </w:rPr>
      </w:pPr>
    </w:p>
    <w:p w14:paraId="5D9DA476" w14:textId="004B3D22" w:rsidR="00AC3E10" w:rsidRDefault="00AC3E10" w:rsidP="005C30A4">
      <w:pPr>
        <w:pStyle w:val="NoSpacing"/>
        <w:rPr>
          <w:rFonts w:ascii="Arial Black" w:hAnsi="Arial Black"/>
          <w:sz w:val="24"/>
          <w:szCs w:val="24"/>
        </w:rPr>
      </w:pPr>
      <w:r>
        <w:rPr>
          <w:rFonts w:ascii="Arial Black" w:hAnsi="Arial Black"/>
          <w:sz w:val="24"/>
          <w:szCs w:val="24"/>
        </w:rPr>
        <w:t>9-38</w:t>
      </w:r>
    </w:p>
    <w:p w14:paraId="24D2F0AF" w14:textId="77777777" w:rsidR="00832745" w:rsidRDefault="00832745" w:rsidP="005C30A4">
      <w:pPr>
        <w:pStyle w:val="NoSpacing"/>
        <w:rPr>
          <w:rFonts w:ascii="Arial Black" w:hAnsi="Arial Black"/>
          <w:sz w:val="24"/>
          <w:szCs w:val="24"/>
        </w:rPr>
      </w:pPr>
    </w:p>
    <w:p w14:paraId="5EE8E976" w14:textId="77777777" w:rsidR="00AC3E10" w:rsidRDefault="00AC3E10" w:rsidP="00AC3E10">
      <w:pPr>
        <w:rPr>
          <w:rFonts w:ascii="Arial Black" w:hAnsi="Arial Black"/>
          <w:sz w:val="28"/>
          <w:szCs w:val="28"/>
        </w:rPr>
      </w:pPr>
      <w:r>
        <w:rPr>
          <w:rFonts w:ascii="Arial Black" w:hAnsi="Arial Black"/>
          <w:sz w:val="28"/>
          <w:szCs w:val="28"/>
        </w:rPr>
        <w:t>PA: ADA – EMS CONVINCED COVID PATIENT REFUSE TRANSPORT - “REGARDED AS” DISABELED – CASE PROCEED</w:t>
      </w:r>
    </w:p>
    <w:p w14:paraId="28512F95" w14:textId="77777777" w:rsidR="00AC3E10" w:rsidRDefault="00AC3E10" w:rsidP="00AC3E10">
      <w:pPr>
        <w:rPr>
          <w:rFonts w:ascii="Times New Roman" w:hAnsi="Times New Roman"/>
          <w:sz w:val="24"/>
          <w:szCs w:val="24"/>
        </w:rPr>
      </w:pPr>
      <w:r>
        <w:rPr>
          <w:rFonts w:ascii="Times New Roman" w:hAnsi="Times New Roman"/>
          <w:sz w:val="24"/>
          <w:szCs w:val="24"/>
        </w:rPr>
        <w:t xml:space="preserve">On Sept. 19, 2023, in </w:t>
      </w:r>
      <w:r w:rsidRPr="000679CA">
        <w:rPr>
          <w:rFonts w:ascii="Times New Roman" w:hAnsi="Times New Roman"/>
          <w:sz w:val="24"/>
          <w:szCs w:val="24"/>
          <w:u w:val="single"/>
        </w:rPr>
        <w:t>Keisha Cappel, et al. v. Aston Township Fire Department, et al</w:t>
      </w:r>
      <w:r>
        <w:rPr>
          <w:rFonts w:ascii="Times New Roman" w:hAnsi="Times New Roman"/>
          <w:sz w:val="24"/>
          <w:szCs w:val="24"/>
        </w:rPr>
        <w:t xml:space="preserve">., U.S. District Court Judge John Frank Murphy, Eastern District of Pennsylvania, held that lawsuit may proceed to pre-trial discovery under Americans </w:t>
      </w:r>
      <w:proofErr w:type="gramStart"/>
      <w:r>
        <w:rPr>
          <w:rFonts w:ascii="Times New Roman" w:hAnsi="Times New Roman"/>
          <w:sz w:val="24"/>
          <w:szCs w:val="24"/>
        </w:rPr>
        <w:t>With</w:t>
      </w:r>
      <w:proofErr w:type="gramEnd"/>
      <w:r>
        <w:rPr>
          <w:rFonts w:ascii="Times New Roman" w:hAnsi="Times New Roman"/>
          <w:sz w:val="24"/>
          <w:szCs w:val="24"/>
        </w:rPr>
        <w:t xml:space="preserve"> Disabilities Act since the EMTs “regarded” the patient as having a disability.   The Court held that while the allegations fail to state a claim under Fourteenth Amendment because the EMTs did not create a danger, the lawsuit may proceed on claim under Americans </w:t>
      </w:r>
      <w:proofErr w:type="gramStart"/>
      <w:r>
        <w:rPr>
          <w:rFonts w:ascii="Times New Roman" w:hAnsi="Times New Roman"/>
          <w:sz w:val="24"/>
          <w:szCs w:val="24"/>
        </w:rPr>
        <w:t>With</w:t>
      </w:r>
      <w:proofErr w:type="gramEnd"/>
      <w:r>
        <w:rPr>
          <w:rFonts w:ascii="Times New Roman" w:hAnsi="Times New Roman"/>
          <w:sz w:val="24"/>
          <w:szCs w:val="24"/>
        </w:rPr>
        <w:t xml:space="preserve"> Disability Act because they </w:t>
      </w:r>
      <w:r>
        <w:rPr>
          <w:rFonts w:ascii="Times New Roman" w:hAnsi="Times New Roman"/>
          <w:sz w:val="24"/>
          <w:szCs w:val="24"/>
        </w:rPr>
        <w:lastRenderedPageBreak/>
        <w:t xml:space="preserve">“regarded” the patient as having a disability.  The Court focused on the </w:t>
      </w:r>
      <w:proofErr w:type="gramStart"/>
      <w:r>
        <w:rPr>
          <w:rFonts w:ascii="Times New Roman" w:hAnsi="Times New Roman"/>
          <w:sz w:val="24"/>
          <w:szCs w:val="24"/>
        </w:rPr>
        <w:t>EMTs</w:t>
      </w:r>
      <w:proofErr w:type="gramEnd"/>
      <w:r>
        <w:rPr>
          <w:rFonts w:ascii="Times New Roman" w:hAnsi="Times New Roman"/>
          <w:sz w:val="24"/>
          <w:szCs w:val="24"/>
        </w:rPr>
        <w:t xml:space="preserve"> comments prior to seeing the patient. </w:t>
      </w:r>
    </w:p>
    <w:p w14:paraId="4D9B2731" w14:textId="77777777" w:rsidR="00AC3E10" w:rsidRPr="00EF6867" w:rsidRDefault="00AC3E10" w:rsidP="00AC3E10">
      <w:pPr>
        <w:pStyle w:val="NoSpacing"/>
        <w:ind w:firstLine="720"/>
        <w:rPr>
          <w:rFonts w:ascii="Times New Roman" w:hAnsi="Times New Roman"/>
          <w:sz w:val="24"/>
          <w:szCs w:val="24"/>
        </w:rPr>
      </w:pPr>
      <w:r w:rsidRPr="00EF6867">
        <w:rPr>
          <w:rFonts w:ascii="Times New Roman" w:hAnsi="Times New Roman"/>
          <w:sz w:val="24"/>
          <w:szCs w:val="24"/>
        </w:rPr>
        <w:t>“A Basic Life Support (BLS) unit and Advanced Life Support (ALS) unit were deployed</w:t>
      </w:r>
    </w:p>
    <w:p w14:paraId="543B6841" w14:textId="77777777" w:rsidR="00AC3E10" w:rsidRPr="00EF6867" w:rsidRDefault="00AC3E10" w:rsidP="00AC3E10">
      <w:pPr>
        <w:pStyle w:val="NoSpacing"/>
        <w:ind w:firstLine="720"/>
        <w:rPr>
          <w:rFonts w:ascii="Times New Roman" w:hAnsi="Times New Roman"/>
          <w:sz w:val="24"/>
          <w:szCs w:val="24"/>
        </w:rPr>
      </w:pPr>
      <w:r w:rsidRPr="00EF6867">
        <w:rPr>
          <w:rFonts w:ascii="Times New Roman" w:hAnsi="Times New Roman"/>
          <w:sz w:val="24"/>
          <w:szCs w:val="24"/>
        </w:rPr>
        <w:t>in response</w:t>
      </w:r>
      <w:r>
        <w:rPr>
          <w:rFonts w:ascii="Times New Roman" w:hAnsi="Times New Roman"/>
          <w:sz w:val="24"/>
          <w:szCs w:val="24"/>
        </w:rPr>
        <w:t xml:space="preserve">…. </w:t>
      </w:r>
      <w:r w:rsidRPr="00EF6867">
        <w:rPr>
          <w:rFonts w:ascii="Times New Roman" w:hAnsi="Times New Roman"/>
          <w:sz w:val="24"/>
          <w:szCs w:val="24"/>
        </w:rPr>
        <w:t>On their way to Ms. Jones’s house, the BLS unit — consisting of</w:t>
      </w:r>
    </w:p>
    <w:p w14:paraId="061B5D35" w14:textId="77777777" w:rsidR="00AC3E10" w:rsidRDefault="00AC3E10" w:rsidP="00AC3E10">
      <w:pPr>
        <w:pStyle w:val="NoSpacing"/>
        <w:ind w:left="720"/>
        <w:rPr>
          <w:rFonts w:ascii="Times New Roman" w:hAnsi="Times New Roman"/>
          <w:sz w:val="24"/>
          <w:szCs w:val="24"/>
        </w:rPr>
      </w:pPr>
      <w:r w:rsidRPr="00EF6867">
        <w:rPr>
          <w:rFonts w:ascii="Times New Roman" w:hAnsi="Times New Roman"/>
          <w:sz w:val="24"/>
          <w:szCs w:val="24"/>
        </w:rPr>
        <w:t xml:space="preserve">Eoin Marshall and Aaron Kisela (together, </w:t>
      </w:r>
      <w:r>
        <w:rPr>
          <w:rFonts w:ascii="Times New Roman" w:hAnsi="Times New Roman"/>
          <w:sz w:val="24"/>
          <w:szCs w:val="24"/>
        </w:rPr>
        <w:t>‘</w:t>
      </w:r>
      <w:r w:rsidRPr="00EF6867">
        <w:rPr>
          <w:rFonts w:ascii="Times New Roman" w:hAnsi="Times New Roman"/>
          <w:sz w:val="24"/>
          <w:szCs w:val="24"/>
        </w:rPr>
        <w:t>the EMT-Bs</w:t>
      </w:r>
      <w:r>
        <w:rPr>
          <w:rFonts w:ascii="Times New Roman" w:hAnsi="Times New Roman"/>
          <w:sz w:val="24"/>
          <w:szCs w:val="24"/>
        </w:rPr>
        <w:t>’</w:t>
      </w:r>
      <w:r w:rsidRPr="00EF6867">
        <w:rPr>
          <w:rFonts w:ascii="Times New Roman" w:hAnsi="Times New Roman"/>
          <w:sz w:val="24"/>
          <w:szCs w:val="24"/>
        </w:rPr>
        <w:t xml:space="preserve">) — </w:t>
      </w:r>
      <w:r>
        <w:rPr>
          <w:rFonts w:ascii="Times New Roman" w:hAnsi="Times New Roman"/>
          <w:sz w:val="24"/>
          <w:szCs w:val="24"/>
        </w:rPr>
        <w:t>‘</w:t>
      </w:r>
      <w:r w:rsidRPr="00EF6867">
        <w:rPr>
          <w:rFonts w:ascii="Times New Roman" w:hAnsi="Times New Roman"/>
          <w:sz w:val="24"/>
          <w:szCs w:val="24"/>
        </w:rPr>
        <w:t>discussed</w:t>
      </w:r>
      <w:r>
        <w:rPr>
          <w:rFonts w:ascii="Times New Roman" w:hAnsi="Times New Roman"/>
          <w:sz w:val="24"/>
          <w:szCs w:val="24"/>
        </w:rPr>
        <w:t>’</w:t>
      </w:r>
      <w:r w:rsidRPr="00EF6867">
        <w:rPr>
          <w:rFonts w:ascii="Times New Roman" w:hAnsi="Times New Roman"/>
          <w:sz w:val="24"/>
          <w:szCs w:val="24"/>
        </w:rPr>
        <w:t xml:space="preserve"> how Mr. Kisela would</w:t>
      </w:r>
      <w:r>
        <w:rPr>
          <w:rFonts w:ascii="Times New Roman" w:hAnsi="Times New Roman"/>
          <w:sz w:val="24"/>
          <w:szCs w:val="24"/>
        </w:rPr>
        <w:t xml:space="preserve"> </w:t>
      </w:r>
      <w:r w:rsidRPr="00EF6867">
        <w:rPr>
          <w:rFonts w:ascii="Times New Roman" w:hAnsi="Times New Roman"/>
          <w:sz w:val="24"/>
          <w:szCs w:val="24"/>
        </w:rPr>
        <w:t xml:space="preserve">remain outside of the home, and how they would </w:t>
      </w:r>
      <w:r>
        <w:rPr>
          <w:rFonts w:ascii="Times New Roman" w:hAnsi="Times New Roman"/>
          <w:sz w:val="24"/>
          <w:szCs w:val="24"/>
        </w:rPr>
        <w:t>‘</w:t>
      </w:r>
      <w:r w:rsidRPr="00EF6867">
        <w:rPr>
          <w:rFonts w:ascii="Times New Roman" w:hAnsi="Times New Roman"/>
          <w:sz w:val="24"/>
          <w:szCs w:val="24"/>
        </w:rPr>
        <w:t>pressure</w:t>
      </w:r>
      <w:r>
        <w:rPr>
          <w:rFonts w:ascii="Times New Roman" w:hAnsi="Times New Roman"/>
          <w:sz w:val="24"/>
          <w:szCs w:val="24"/>
        </w:rPr>
        <w:t>’</w:t>
      </w:r>
      <w:r w:rsidRPr="00EF6867">
        <w:rPr>
          <w:rFonts w:ascii="Times New Roman" w:hAnsi="Times New Roman"/>
          <w:sz w:val="24"/>
          <w:szCs w:val="24"/>
        </w:rPr>
        <w:t xml:space="preserve"> Ms. Jones into </w:t>
      </w:r>
      <w:r>
        <w:rPr>
          <w:rFonts w:ascii="Times New Roman" w:hAnsi="Times New Roman"/>
          <w:sz w:val="24"/>
          <w:szCs w:val="24"/>
        </w:rPr>
        <w:t>‘</w:t>
      </w:r>
      <w:r w:rsidRPr="00EF6867">
        <w:rPr>
          <w:rFonts w:ascii="Times New Roman" w:hAnsi="Times New Roman"/>
          <w:sz w:val="24"/>
          <w:szCs w:val="24"/>
        </w:rPr>
        <w:t>not go[</w:t>
      </w:r>
      <w:proofErr w:type="spellStart"/>
      <w:r w:rsidRPr="00EF6867">
        <w:rPr>
          <w:rFonts w:ascii="Times New Roman" w:hAnsi="Times New Roman"/>
          <w:sz w:val="24"/>
          <w:szCs w:val="24"/>
        </w:rPr>
        <w:t>ing</w:t>
      </w:r>
      <w:proofErr w:type="spellEnd"/>
      <w:r w:rsidRPr="00EF6867">
        <w:rPr>
          <w:rFonts w:ascii="Times New Roman" w:hAnsi="Times New Roman"/>
          <w:sz w:val="24"/>
          <w:szCs w:val="24"/>
        </w:rPr>
        <w:t>] to the</w:t>
      </w:r>
      <w:r>
        <w:rPr>
          <w:rFonts w:ascii="Times New Roman" w:hAnsi="Times New Roman"/>
          <w:sz w:val="24"/>
          <w:szCs w:val="24"/>
        </w:rPr>
        <w:t xml:space="preserve"> </w:t>
      </w:r>
      <w:r w:rsidRPr="00EF6867">
        <w:rPr>
          <w:rFonts w:ascii="Times New Roman" w:hAnsi="Times New Roman"/>
          <w:sz w:val="24"/>
          <w:szCs w:val="24"/>
        </w:rPr>
        <w:t xml:space="preserve">hospital regardless of her medical needs.” </w:t>
      </w:r>
    </w:p>
    <w:p w14:paraId="62D37AB1" w14:textId="77777777" w:rsidR="00AC3E10" w:rsidRPr="00CC41C5" w:rsidRDefault="00AC3E10" w:rsidP="00AC3E10">
      <w:pPr>
        <w:pStyle w:val="NoSpacing"/>
        <w:ind w:left="720"/>
        <w:rPr>
          <w:rFonts w:ascii="Times New Roman" w:hAnsi="Times New Roman"/>
          <w:sz w:val="24"/>
          <w:szCs w:val="24"/>
        </w:rPr>
      </w:pPr>
      <w:hyperlink r:id="rId1677" w:history="1">
        <w:r w:rsidRPr="000C56E5">
          <w:rPr>
            <w:rStyle w:val="Hyperlink"/>
            <w:rFonts w:ascii="Times New Roman" w:hAnsi="Times New Roman"/>
            <w:sz w:val="24"/>
            <w:szCs w:val="24"/>
          </w:rPr>
          <w:t>https://www.govinfo.gov/content/pkg/USCOURTS-paed-2_23-cv-00155/pdf/USCOURTS-paed-2_23-cv-00155-0.pdf</w:t>
        </w:r>
      </w:hyperlink>
      <w:r>
        <w:rPr>
          <w:rFonts w:ascii="Times New Roman" w:hAnsi="Times New Roman"/>
          <w:sz w:val="24"/>
          <w:szCs w:val="24"/>
        </w:rPr>
        <w:t xml:space="preserve"> </w:t>
      </w:r>
    </w:p>
    <w:p w14:paraId="3A409801" w14:textId="77777777" w:rsidR="00AC3E10" w:rsidRDefault="00AC3E10" w:rsidP="00AC3E10">
      <w:pPr>
        <w:pStyle w:val="NoSpacing"/>
        <w:rPr>
          <w:rFonts w:ascii="Times New Roman" w:hAnsi="Times New Roman"/>
          <w:b/>
          <w:bCs/>
          <w:sz w:val="24"/>
          <w:szCs w:val="24"/>
        </w:rPr>
      </w:pPr>
    </w:p>
    <w:p w14:paraId="5DD1EA6A" w14:textId="2B215EDA" w:rsidR="00AC3E10" w:rsidRPr="00D173AB" w:rsidRDefault="00AC3E10" w:rsidP="00AC3E10">
      <w:pPr>
        <w:pStyle w:val="NoSpacing"/>
        <w:rPr>
          <w:rFonts w:ascii="Times New Roman" w:hAnsi="Times New Roman"/>
          <w:b/>
          <w:bCs/>
          <w:sz w:val="24"/>
          <w:szCs w:val="24"/>
        </w:rPr>
      </w:pPr>
      <w:r w:rsidRPr="00D173AB">
        <w:rPr>
          <w:rFonts w:ascii="Times New Roman" w:hAnsi="Times New Roman"/>
          <w:b/>
          <w:bCs/>
          <w:sz w:val="24"/>
          <w:szCs w:val="24"/>
        </w:rPr>
        <w:t xml:space="preserve">Legal Lesson Learned: </w:t>
      </w:r>
      <w:r>
        <w:rPr>
          <w:rFonts w:ascii="Times New Roman" w:hAnsi="Times New Roman"/>
          <w:b/>
          <w:bCs/>
          <w:sz w:val="24"/>
          <w:szCs w:val="24"/>
        </w:rPr>
        <w:t xml:space="preserve">If a patient is not going to be transported, then get a refusal document signed.  </w:t>
      </w:r>
    </w:p>
    <w:p w14:paraId="591ABAC0" w14:textId="77777777" w:rsidR="00AC3E10" w:rsidRPr="00140087" w:rsidRDefault="00AC3E10" w:rsidP="00AC3E10">
      <w:pPr>
        <w:pStyle w:val="NoSpacing"/>
        <w:rPr>
          <w:rFonts w:ascii="Times New Roman" w:hAnsi="Times New Roman"/>
          <w:sz w:val="24"/>
          <w:szCs w:val="24"/>
        </w:rPr>
      </w:pPr>
    </w:p>
    <w:p w14:paraId="1ACA5343" w14:textId="77777777" w:rsidR="00AC3E10" w:rsidRDefault="00AC3E10" w:rsidP="005C30A4">
      <w:pPr>
        <w:pStyle w:val="NoSpacing"/>
        <w:rPr>
          <w:rFonts w:ascii="Arial Black" w:hAnsi="Arial Black"/>
          <w:sz w:val="24"/>
          <w:szCs w:val="24"/>
        </w:rPr>
      </w:pPr>
    </w:p>
    <w:p w14:paraId="3E5445E4" w14:textId="77777777" w:rsidR="00AC3E10" w:rsidRDefault="00AC3E10" w:rsidP="005C30A4">
      <w:pPr>
        <w:pStyle w:val="NoSpacing"/>
        <w:rPr>
          <w:rFonts w:ascii="Arial Black" w:hAnsi="Arial Black"/>
          <w:sz w:val="24"/>
          <w:szCs w:val="24"/>
        </w:rPr>
      </w:pPr>
    </w:p>
    <w:p w14:paraId="130A6562" w14:textId="03BB2A59" w:rsidR="009B0593" w:rsidRDefault="009B0593" w:rsidP="005C30A4">
      <w:pPr>
        <w:pStyle w:val="NoSpacing"/>
        <w:rPr>
          <w:rFonts w:ascii="Arial Black" w:hAnsi="Arial Black"/>
          <w:sz w:val="24"/>
          <w:szCs w:val="24"/>
        </w:rPr>
      </w:pPr>
      <w:r>
        <w:rPr>
          <w:rFonts w:ascii="Arial Black" w:hAnsi="Arial Black"/>
          <w:sz w:val="24"/>
          <w:szCs w:val="24"/>
        </w:rPr>
        <w:t>9-37</w:t>
      </w:r>
    </w:p>
    <w:p w14:paraId="7097F79C" w14:textId="77777777" w:rsidR="009B0593" w:rsidRPr="000D58F5" w:rsidRDefault="009B0593" w:rsidP="009B0593">
      <w:pPr>
        <w:pStyle w:val="NormalWeb"/>
        <w:rPr>
          <w:rFonts w:ascii="Arial Black" w:hAnsi="Arial Black"/>
          <w:b/>
          <w:bCs/>
          <w:sz w:val="28"/>
          <w:szCs w:val="28"/>
        </w:rPr>
      </w:pPr>
      <w:r>
        <w:rPr>
          <w:rFonts w:ascii="Arial Black" w:hAnsi="Arial Black"/>
          <w:b/>
          <w:bCs/>
          <w:sz w:val="28"/>
          <w:szCs w:val="28"/>
        </w:rPr>
        <w:t>ME: CAPTAIN ENLARGED AORTA – CITY DOCTOR LIMITED MAX 75 LBS – JURY HELD FOR FD - REQ. 100 LBS LIFTING</w:t>
      </w:r>
    </w:p>
    <w:p w14:paraId="11031E93" w14:textId="77777777" w:rsidR="009B0593" w:rsidRDefault="009B0593" w:rsidP="009B0593">
      <w:pPr>
        <w:pStyle w:val="NormalWeb"/>
      </w:pPr>
      <w:r w:rsidRPr="000D58F5">
        <w:t xml:space="preserve">On Aug. 15, 2023, in </w:t>
      </w:r>
      <w:r w:rsidRPr="000D58F5">
        <w:rPr>
          <w:u w:val="single"/>
        </w:rPr>
        <w:t>Brian K. Smith v. City of Sanford</w:t>
      </w:r>
      <w:r w:rsidRPr="000D58F5">
        <w:t xml:space="preserve">, </w:t>
      </w:r>
      <w:r>
        <w:t xml:space="preserve">the Supreme Court of Maine held (6 to 0) that the jury properly held the </w:t>
      </w:r>
      <w:proofErr w:type="gramStart"/>
      <w:r>
        <w:t>City</w:t>
      </w:r>
      <w:proofErr w:type="gramEnd"/>
      <w:r>
        <w:t xml:space="preserve"> did not discriminate against him because of a disability under the Maine Human Rights Act.  The FD requires all firefighters </w:t>
      </w:r>
      <w:proofErr w:type="gramStart"/>
      <w:r>
        <w:t>be</w:t>
      </w:r>
      <w:proofErr w:type="gramEnd"/>
      <w:r>
        <w:t xml:space="preserve"> able to lift 100 pounds; the </w:t>
      </w:r>
      <w:proofErr w:type="gramStart"/>
      <w:r>
        <w:t>Captain</w:t>
      </w:r>
      <w:proofErr w:type="gramEnd"/>
      <w:r>
        <w:t xml:space="preserve"> saw two cardiologists; when first imposed </w:t>
      </w:r>
      <w:proofErr w:type="gramStart"/>
      <w:r>
        <w:t>40 pound</w:t>
      </w:r>
      <w:proofErr w:type="gramEnd"/>
      <w:r>
        <w:t xml:space="preserve"> limit, he then saw second who imposed no limit.  Given the two conflicting limits, the </w:t>
      </w:r>
      <w:proofErr w:type="gramStart"/>
      <w:r>
        <w:t>City</w:t>
      </w:r>
      <w:proofErr w:type="gramEnd"/>
      <w:r>
        <w:t xml:space="preserve"> sent him to their occupational health doctor </w:t>
      </w:r>
      <w:proofErr w:type="gramStart"/>
      <w:r>
        <w:t>limited</w:t>
      </w:r>
      <w:proofErr w:type="gramEnd"/>
      <w:r>
        <w:t xml:space="preserve"> him to 75 pounds.  The trial court judge refused a request by the </w:t>
      </w:r>
      <w:proofErr w:type="gramStart"/>
      <w:r>
        <w:t>Captain’s</w:t>
      </w:r>
      <w:proofErr w:type="gramEnd"/>
      <w:r>
        <w:t xml:space="preserve"> attorney to instruct jury that "[</w:t>
      </w:r>
      <w:proofErr w:type="spellStart"/>
      <w:r>
        <w:t>i</w:t>
      </w:r>
      <w:proofErr w:type="spellEnd"/>
      <w:r>
        <w:t>]t is illegal as a matter of law for any employer to impose a 100% healed or 100% fit policy on any applicants for employment or any employees."</w:t>
      </w:r>
    </w:p>
    <w:p w14:paraId="3FB8AD77" w14:textId="77777777" w:rsidR="009B0593" w:rsidRPr="009B0593" w:rsidRDefault="009B0593" w:rsidP="009B0593">
      <w:pPr>
        <w:pStyle w:val="NormalWeb"/>
        <w:ind w:left="720"/>
      </w:pPr>
      <w:r w:rsidRPr="009B0593">
        <w:t>The Supreme Court of Maine:</w:t>
      </w:r>
    </w:p>
    <w:p w14:paraId="1352F544" w14:textId="2AE393AF" w:rsidR="009B0593" w:rsidRPr="009B0593" w:rsidRDefault="009B0593" w:rsidP="009B0593">
      <w:pPr>
        <w:pStyle w:val="NoSpacing"/>
        <w:ind w:left="720"/>
        <w:rPr>
          <w:rStyle w:val="Hyperlink"/>
          <w:rFonts w:ascii="Times New Roman" w:eastAsiaTheme="majorEastAsia" w:hAnsi="Times New Roman"/>
          <w:sz w:val="24"/>
          <w:szCs w:val="24"/>
        </w:rPr>
      </w:pPr>
      <w:r w:rsidRPr="009B0593">
        <w:rPr>
          <w:rFonts w:ascii="Times New Roman" w:hAnsi="Times New Roman"/>
          <w:sz w:val="24"/>
          <w:szCs w:val="24"/>
        </w:rPr>
        <w:t>“[B]</w:t>
      </w:r>
      <w:proofErr w:type="spellStart"/>
      <w:r w:rsidRPr="009B0593">
        <w:rPr>
          <w:rFonts w:ascii="Times New Roman" w:hAnsi="Times New Roman"/>
          <w:sz w:val="24"/>
          <w:szCs w:val="24"/>
        </w:rPr>
        <w:t>ecause</w:t>
      </w:r>
      <w:proofErr w:type="spellEnd"/>
      <w:r w:rsidRPr="009B0593">
        <w:rPr>
          <w:rFonts w:ascii="Times New Roman" w:hAnsi="Times New Roman"/>
          <w:sz w:val="24"/>
          <w:szCs w:val="24"/>
        </w:rPr>
        <w:t xml:space="preserve"> the evidence and the parties' arguments at trial focused on the required individualized assessment, we conclude that it would have been misleading or confusing for the jury to receive Smith's proposed instruction as written.” </w:t>
      </w:r>
      <w:hyperlink r:id="rId1678" w:history="1">
        <w:r w:rsidRPr="009B0593">
          <w:rPr>
            <w:rStyle w:val="Hyperlink"/>
            <w:rFonts w:ascii="Times New Roman" w:eastAsiaTheme="majorEastAsia" w:hAnsi="Times New Roman"/>
            <w:sz w:val="24"/>
            <w:szCs w:val="24"/>
          </w:rPr>
          <w:t>https://casetext.com/case/smith-v-city-of-sanford-2</w:t>
        </w:r>
      </w:hyperlink>
    </w:p>
    <w:p w14:paraId="12D99D93" w14:textId="77777777" w:rsidR="009B0593" w:rsidRDefault="009B0593" w:rsidP="009B0593">
      <w:pPr>
        <w:pStyle w:val="NoSpacing"/>
        <w:ind w:left="720"/>
        <w:rPr>
          <w:rStyle w:val="Hyperlink"/>
          <w:rFonts w:eastAsiaTheme="majorEastAsia"/>
        </w:rPr>
      </w:pPr>
    </w:p>
    <w:p w14:paraId="73F67A1B" w14:textId="77777777" w:rsidR="009B0593" w:rsidRPr="00B86D33" w:rsidRDefault="009B0593" w:rsidP="009B0593">
      <w:pPr>
        <w:pStyle w:val="NormalWeb"/>
        <w:rPr>
          <w:b/>
          <w:bCs/>
        </w:rPr>
      </w:pPr>
      <w:r w:rsidRPr="00B86D33">
        <w:rPr>
          <w:b/>
          <w:bCs/>
        </w:rPr>
        <w:t>Legal Lesson Learned:</w:t>
      </w:r>
      <w:r>
        <w:rPr>
          <w:b/>
          <w:bCs/>
        </w:rPr>
        <w:t xml:space="preserve"> FDs may properly require personnel to meet physical lifting requirements; they should be published. </w:t>
      </w:r>
    </w:p>
    <w:p w14:paraId="3AD0B682" w14:textId="77777777" w:rsidR="009B0593" w:rsidRDefault="009B0593" w:rsidP="009B0593">
      <w:pPr>
        <w:pStyle w:val="NoSpacing"/>
        <w:ind w:left="720"/>
        <w:rPr>
          <w:rFonts w:ascii="Arial Black" w:hAnsi="Arial Black"/>
          <w:sz w:val="24"/>
          <w:szCs w:val="24"/>
        </w:rPr>
      </w:pPr>
    </w:p>
    <w:p w14:paraId="034628B6" w14:textId="77777777" w:rsidR="009B0593" w:rsidRDefault="009B0593" w:rsidP="005C30A4">
      <w:pPr>
        <w:pStyle w:val="NoSpacing"/>
        <w:rPr>
          <w:rFonts w:ascii="Arial Black" w:hAnsi="Arial Black"/>
          <w:sz w:val="24"/>
          <w:szCs w:val="24"/>
        </w:rPr>
      </w:pPr>
    </w:p>
    <w:p w14:paraId="516A49C0" w14:textId="10E02DB5" w:rsidR="00BC4628" w:rsidRDefault="000644B6" w:rsidP="005C30A4">
      <w:pPr>
        <w:pStyle w:val="NoSpacing"/>
        <w:rPr>
          <w:rFonts w:ascii="Arial Black" w:hAnsi="Arial Black"/>
          <w:sz w:val="24"/>
          <w:szCs w:val="24"/>
        </w:rPr>
      </w:pPr>
      <w:r>
        <w:rPr>
          <w:rFonts w:ascii="Arial Black" w:hAnsi="Arial Black"/>
          <w:sz w:val="24"/>
          <w:szCs w:val="24"/>
        </w:rPr>
        <w:t>9-36</w:t>
      </w:r>
    </w:p>
    <w:p w14:paraId="02CCC435" w14:textId="77777777" w:rsidR="000644B6" w:rsidRPr="00AD7405" w:rsidRDefault="000644B6" w:rsidP="000644B6">
      <w:pPr>
        <w:pStyle w:val="NormalWeb"/>
        <w:jc w:val="both"/>
        <w:rPr>
          <w:rFonts w:ascii="Arial Black" w:hAnsi="Arial Black"/>
          <w:sz w:val="28"/>
          <w:szCs w:val="28"/>
        </w:rPr>
      </w:pPr>
      <w:r>
        <w:rPr>
          <w:rFonts w:ascii="Arial Black" w:hAnsi="Arial Black"/>
          <w:sz w:val="28"/>
          <w:szCs w:val="28"/>
        </w:rPr>
        <w:t>MD: PRE-TRIAL DISCOVERY – EMT CLAIMS NOT PROMOTED BIPOLAR / DEPRESSION – MUST PROVIDE MEDICAL RECORDS</w:t>
      </w:r>
    </w:p>
    <w:p w14:paraId="048FE1BA" w14:textId="77777777" w:rsidR="000644B6" w:rsidRPr="000644B6" w:rsidRDefault="000644B6" w:rsidP="000644B6">
      <w:pPr>
        <w:pStyle w:val="NormalWeb"/>
      </w:pPr>
      <w:r w:rsidRPr="000644B6">
        <w:t xml:space="preserve">On July 10, 2023, in </w:t>
      </w:r>
      <w:r w:rsidRPr="000644B6">
        <w:rPr>
          <w:u w:val="single"/>
        </w:rPr>
        <w:t>Matthew Schaeffer v. Mayor and City Council of Baltimore</w:t>
      </w:r>
      <w:r w:rsidRPr="000644B6">
        <w:t xml:space="preserve">, U.S, Magistrate J. Mark Coulson, U.S. District Court for District of Maryland, held in a pre-trial discovery dispute that the </w:t>
      </w:r>
      <w:proofErr w:type="gramStart"/>
      <w:r w:rsidRPr="000644B6">
        <w:t>City</w:t>
      </w:r>
      <w:proofErr w:type="gramEnd"/>
      <w:r w:rsidRPr="000644B6">
        <w:t xml:space="preserve"> is entitled to the EMT’s mental and other medical records for past seven years.  The EMT has been with FD since </w:t>
      </w:r>
      <w:r w:rsidRPr="000644B6">
        <w:lastRenderedPageBreak/>
        <w:t xml:space="preserve">2015, and states FD has been aware of his diagnoses of bipolar disorder and depression.  Plaintiff further alleges that he was not promoted in 2015, and in February 2022 he received written notice of promotion qualification after completing all assessments and a medical screening, but City “then improperly imposed additional medical clearance requirements at the last minute based on Plaintiff's mental health conditions, resulting in Defendant revoking the promotion.” The </w:t>
      </w:r>
      <w:proofErr w:type="gramStart"/>
      <w:r w:rsidRPr="000644B6">
        <w:t>City</w:t>
      </w:r>
      <w:proofErr w:type="gramEnd"/>
      <w:r w:rsidRPr="000644B6">
        <w:t xml:space="preserve"> served plaintiff with written requests for records, </w:t>
      </w:r>
    </w:p>
    <w:p w14:paraId="1ED34017" w14:textId="77777777" w:rsidR="000644B6" w:rsidRPr="000644B6" w:rsidRDefault="000644B6" w:rsidP="000644B6">
      <w:pPr>
        <w:pStyle w:val="NormalWeb"/>
      </w:pPr>
      <w:r w:rsidRPr="000644B6">
        <w:t xml:space="preserve">The Court held: </w:t>
      </w:r>
    </w:p>
    <w:p w14:paraId="0F3F19C8" w14:textId="294E8093" w:rsidR="000644B6" w:rsidRDefault="000644B6" w:rsidP="000644B6">
      <w:pPr>
        <w:pStyle w:val="NoSpacing"/>
        <w:rPr>
          <w:rFonts w:ascii="Arial Black" w:hAnsi="Arial Black"/>
          <w:sz w:val="24"/>
          <w:szCs w:val="24"/>
        </w:rPr>
      </w:pPr>
      <w:r w:rsidRPr="000644B6">
        <w:rPr>
          <w:rFonts w:ascii="Times New Roman" w:hAnsi="Times New Roman"/>
          <w:sz w:val="24"/>
          <w:szCs w:val="24"/>
        </w:rPr>
        <w:t xml:space="preserve">“Defendant seeks discovery regarding, </w:t>
      </w:r>
      <w:r w:rsidRPr="000644B6">
        <w:rPr>
          <w:rStyle w:val="Emphasis"/>
          <w:rFonts w:ascii="Times New Roman" w:hAnsi="Times New Roman"/>
          <w:sz w:val="24"/>
          <w:szCs w:val="24"/>
        </w:rPr>
        <w:t>inter alia</w:t>
      </w:r>
      <w:r w:rsidRPr="000644B6">
        <w:rPr>
          <w:rFonts w:ascii="Times New Roman" w:hAnsi="Times New Roman"/>
          <w:sz w:val="24"/>
          <w:szCs w:val="24"/>
        </w:rPr>
        <w:t xml:space="preserve">, Plaintiff's mental health treatment. *** Interrogatory No. 6, reading, in pertinent part, ‘If you have undergone treatment in the past seven (7) years for a mental illness or emotional condition . . . please state all details . . .including the nature of the illness/condition, dates of treatment, the circumstances surrounding its occurrence, and the names of health care providers involved in the examination, diagnosis or treatment of it.’ *** Given that both </w:t>
      </w:r>
      <w:proofErr w:type="gramStart"/>
      <w:r w:rsidRPr="000644B6">
        <w:rPr>
          <w:rFonts w:ascii="Times New Roman" w:hAnsi="Times New Roman"/>
          <w:sz w:val="24"/>
          <w:szCs w:val="24"/>
        </w:rPr>
        <w:t>damages</w:t>
      </w:r>
      <w:proofErr w:type="gramEnd"/>
      <w:r w:rsidRPr="000644B6">
        <w:rPr>
          <w:rFonts w:ascii="Times New Roman" w:hAnsi="Times New Roman"/>
          <w:sz w:val="24"/>
          <w:szCs w:val="24"/>
        </w:rPr>
        <w:t xml:space="preserve"> and liability itself are premised on the nature and extent of Plaintiff's mental health diagnoses and treatment, Defendant should be allowed reasonable inquiry into such areas. Further, as noted above, given that the core claim in this case is that Defendant discriminated against Plaintiff because of Plaintiff's mental health diagnoses, the Court has no trouble concluding that those conditions are within the scope of discovery. Plaintiff's amended response is that he has not needed or undergone treatment for mental illness or emotional condition in the last seven years ‘except as previously provided to the defendant…. The Court finds Plaintiff's response insufficient. Although Plaintiff may well have provided medical and mental health information as part of his employment,</w:t>
      </w:r>
      <w:r w:rsidRPr="000644B6">
        <w:rPr>
          <w:rFonts w:ascii="Times New Roman" w:hAnsi="Times New Roman"/>
          <w:sz w:val="24"/>
          <w:szCs w:val="24"/>
          <w:vertAlign w:val="superscript"/>
        </w:rPr>
        <w:t xml:space="preserve"> </w:t>
      </w:r>
      <w:r w:rsidRPr="000644B6">
        <w:rPr>
          <w:rFonts w:ascii="Times New Roman" w:hAnsi="Times New Roman"/>
          <w:sz w:val="24"/>
          <w:szCs w:val="24"/>
        </w:rPr>
        <w:t xml:space="preserve">this does not excuse him from providing the narrative called for by this interrogatory, especially since Plaintiff has been a long-time employee of BCFD.” </w:t>
      </w:r>
      <w:hyperlink r:id="rId1679" w:history="1">
        <w:r w:rsidRPr="000E286F">
          <w:rPr>
            <w:rStyle w:val="Hyperlink"/>
            <w:rFonts w:eastAsiaTheme="majorEastAsia"/>
          </w:rPr>
          <w:t>https://public.fastcase.com/ZZhmr5v9wN%2FXOe5IsQ%2FqD0vptgQgkTgOc2XpReLMSYnB1s%2FjY6uEmfEHbXjNZYzwjdaE47PHCuenuGKG11vJGyDk8SuwK4ZV%2BjmAhdBj8vo%3D?utm_medium=email&amp;_hsmi=226712652&amp;_hsenc=p2ANqtz-8f3GbrLnvkkmFwGTcrnfHBUbhSWsI9S9n17c5FNvxL__Rb5dkxAl0xkukh9Thg8SYUm21fgYbaYJ57SsEv3B3vwn_tCQ&amp;utm_content=226712652&amp;utm_source=hs_email</w:t>
        </w:r>
      </w:hyperlink>
    </w:p>
    <w:p w14:paraId="3C355A9C" w14:textId="77777777" w:rsidR="000644B6" w:rsidRDefault="000644B6" w:rsidP="005C30A4">
      <w:pPr>
        <w:pStyle w:val="NoSpacing"/>
        <w:rPr>
          <w:rFonts w:ascii="Arial Black" w:hAnsi="Arial Black"/>
          <w:sz w:val="24"/>
          <w:szCs w:val="24"/>
        </w:rPr>
      </w:pPr>
    </w:p>
    <w:p w14:paraId="43E2F14D" w14:textId="77777777" w:rsidR="000644B6" w:rsidRPr="002C7617" w:rsidRDefault="000644B6" w:rsidP="000644B6">
      <w:pPr>
        <w:pStyle w:val="NormalWeb"/>
        <w:rPr>
          <w:b/>
          <w:bCs/>
        </w:rPr>
      </w:pPr>
      <w:r w:rsidRPr="002C7617">
        <w:rPr>
          <w:b/>
          <w:bCs/>
        </w:rPr>
        <w:t xml:space="preserve">Legal Lesson Learned: </w:t>
      </w:r>
      <w:r>
        <w:rPr>
          <w:b/>
          <w:bCs/>
        </w:rPr>
        <w:t xml:space="preserve">In pre-trial discovery involving alleged discrimination based on employee’s mental health, the City is entitled to plaintiff’s medical records. </w:t>
      </w:r>
    </w:p>
    <w:p w14:paraId="2433122F" w14:textId="4736E99A" w:rsidR="000644B6" w:rsidRDefault="000644B6" w:rsidP="005C30A4">
      <w:pPr>
        <w:pStyle w:val="NoSpacing"/>
        <w:rPr>
          <w:rFonts w:ascii="Arial Black" w:hAnsi="Arial Black"/>
          <w:sz w:val="24"/>
          <w:szCs w:val="24"/>
        </w:rPr>
      </w:pPr>
      <w:r>
        <w:rPr>
          <w:rFonts w:ascii="Arial Black" w:hAnsi="Arial Black"/>
          <w:sz w:val="24"/>
          <w:szCs w:val="24"/>
        </w:rPr>
        <w:t xml:space="preserve"> </w:t>
      </w:r>
    </w:p>
    <w:p w14:paraId="033A1AC3" w14:textId="65E1D847" w:rsidR="00BC4628" w:rsidRDefault="00BC4628" w:rsidP="005C30A4">
      <w:pPr>
        <w:pStyle w:val="NoSpacing"/>
        <w:rPr>
          <w:rFonts w:ascii="Arial Black" w:hAnsi="Arial Black"/>
          <w:sz w:val="24"/>
          <w:szCs w:val="24"/>
        </w:rPr>
      </w:pPr>
      <w:r>
        <w:rPr>
          <w:rFonts w:ascii="Arial Black" w:hAnsi="Arial Black"/>
          <w:sz w:val="24"/>
          <w:szCs w:val="24"/>
        </w:rPr>
        <w:t>9-3</w:t>
      </w:r>
      <w:r w:rsidR="00D33F96">
        <w:rPr>
          <w:rFonts w:ascii="Arial Black" w:hAnsi="Arial Black"/>
          <w:sz w:val="24"/>
          <w:szCs w:val="24"/>
        </w:rPr>
        <w:t>5</w:t>
      </w:r>
    </w:p>
    <w:p w14:paraId="580AB02E" w14:textId="77777777" w:rsidR="00BC4628" w:rsidRDefault="00BC4628" w:rsidP="00BC4628">
      <w:pPr>
        <w:pStyle w:val="NormalWeb"/>
        <w:rPr>
          <w:rFonts w:ascii="Arial Black" w:hAnsi="Arial Black"/>
          <w:sz w:val="28"/>
          <w:szCs w:val="28"/>
        </w:rPr>
      </w:pPr>
      <w:r>
        <w:rPr>
          <w:rFonts w:ascii="Arial Black" w:hAnsi="Arial Black"/>
          <w:sz w:val="28"/>
          <w:szCs w:val="28"/>
        </w:rPr>
        <w:t>IL: CHICAGO FD APPLICANT SENT PSYCH EXAM – PRIOR HISTORY – FAILED – CITY MUST NAME 12 OTHERS FAILED</w:t>
      </w:r>
    </w:p>
    <w:p w14:paraId="2D15B3CC" w14:textId="77777777" w:rsidR="00BC4628" w:rsidRDefault="00BC4628" w:rsidP="00BC4628">
      <w:pPr>
        <w:pStyle w:val="NormalWeb"/>
      </w:pPr>
      <w:r>
        <w:t xml:space="preserve">On July 5, 2023, in </w:t>
      </w:r>
      <w:r w:rsidRPr="00046C0A">
        <w:rPr>
          <w:u w:val="single"/>
        </w:rPr>
        <w:t>Nicholas Sintos v. City of Chicago</w:t>
      </w:r>
      <w:r>
        <w:t xml:space="preserve">, U.S. District Court </w:t>
      </w:r>
      <w:r w:rsidRPr="00046C0A">
        <w:t>Judge Sara L. Elli</w:t>
      </w:r>
      <w:r>
        <w:t xml:space="preserve">, U.S. District Court for Northern District of Illinois, Eastern Division, ordered the City to produce the names and unredacted psych exam records of12 other applicants who were ordered to take psychological exams having received job offers upon passing the exam.  The Court had initially held that names of these individuals should not be disclosed, upon after a court hearing decided that names must be disclosed, and no requirement city first get their authorization. </w:t>
      </w:r>
    </w:p>
    <w:p w14:paraId="349F5FD8" w14:textId="77777777" w:rsidR="00BC4628" w:rsidRPr="003D36C0" w:rsidRDefault="00BC4628" w:rsidP="00BC4628">
      <w:pPr>
        <w:pStyle w:val="NormalWeb"/>
      </w:pPr>
      <w:r>
        <w:t>The Court held: “</w:t>
      </w:r>
      <w:r w:rsidRPr="00046C0A">
        <w:t xml:space="preserve">During discovery, the </w:t>
      </w:r>
      <w:proofErr w:type="gramStart"/>
      <w:r w:rsidRPr="00046C0A">
        <w:t>City</w:t>
      </w:r>
      <w:proofErr w:type="gramEnd"/>
      <w:r w:rsidRPr="00046C0A">
        <w:t xml:space="preserve"> produced medical clearance files for other applicants, however, it redacted their names and contact information. </w:t>
      </w:r>
      <w:proofErr w:type="spellStart"/>
      <w:r w:rsidRPr="00046C0A">
        <w:t>Sintos</w:t>
      </w:r>
      <w:proofErr w:type="spellEnd"/>
      <w:r w:rsidRPr="00046C0A">
        <w:t xml:space="preserve"> asked the Court to require the </w:t>
      </w:r>
      <w:proofErr w:type="gramStart"/>
      <w:r w:rsidRPr="00046C0A">
        <w:t>City</w:t>
      </w:r>
      <w:proofErr w:type="gramEnd"/>
      <w:r w:rsidRPr="00046C0A">
        <w:t xml:space="preserve"> to produce unredacted versions so that he could contact other candidates who, like him, were required to undergo post-offer psychological exams. </w:t>
      </w:r>
      <w:proofErr w:type="spellStart"/>
      <w:r w:rsidRPr="00046C0A">
        <w:t>Sintos</w:t>
      </w:r>
      <w:proofErr w:type="spellEnd"/>
      <w:r w:rsidRPr="00046C0A">
        <w:t xml:space="preserve"> argued that he is entitled to contact these individuals as they are potential witnesses.</w:t>
      </w:r>
      <w:r>
        <w:t xml:space="preserve"> *** </w:t>
      </w:r>
      <w:r w:rsidRPr="003D36C0">
        <w:t xml:space="preserve">To support his argument that the practice is widespread, </w:t>
      </w:r>
      <w:proofErr w:type="spellStart"/>
      <w:r w:rsidRPr="003D36C0">
        <w:t>Sintos</w:t>
      </w:r>
      <w:proofErr w:type="spellEnd"/>
      <w:r w:rsidRPr="003D36C0">
        <w:t xml:space="preserve"> </w:t>
      </w:r>
      <w:proofErr w:type="gramStart"/>
      <w:r w:rsidRPr="003D36C0">
        <w:t>seeks</w:t>
      </w:r>
      <w:proofErr w:type="gramEnd"/>
      <w:r w:rsidRPr="003D36C0">
        <w:t xml:space="preserve"> to contact other applicants who underwent the psychological evaluation exam but were not hired. </w:t>
      </w:r>
      <w:r w:rsidRPr="003D36C0">
        <w:rPr>
          <w:rStyle w:val="Emphasis"/>
          <w:rFonts w:eastAsiaTheme="majorEastAsia"/>
        </w:rPr>
        <w:t xml:space="preserve">See Reed v. Wexford Health Sources, </w:t>
      </w:r>
      <w:r w:rsidRPr="003D36C0">
        <w:rPr>
          <w:rStyle w:val="Emphasis"/>
          <w:rFonts w:eastAsiaTheme="majorEastAsia"/>
        </w:rPr>
        <w:lastRenderedPageBreak/>
        <w:t>Inc.</w:t>
      </w:r>
      <w:r w:rsidRPr="003D36C0">
        <w:t>, No. 20-cv-01139-SPM, 2022 WL 4483949, at *6 (S.D. Ill. Sept. 27, 2022) (“</w:t>
      </w:r>
      <w:r w:rsidRPr="003D36C0">
        <w:rPr>
          <w:rStyle w:val="Emphasis"/>
          <w:rFonts w:eastAsiaTheme="majorEastAsia"/>
        </w:rPr>
        <w:t>Monell</w:t>
      </w:r>
      <w:r w:rsidRPr="003D36C0">
        <w:t xml:space="preserve"> claims often require broad discovery.). Here, the Court is allowing </w:t>
      </w:r>
      <w:proofErr w:type="spellStart"/>
      <w:r w:rsidRPr="003D36C0">
        <w:t>Sintos</w:t>
      </w:r>
      <w:proofErr w:type="spellEnd"/>
      <w:r w:rsidRPr="003D36C0">
        <w:t xml:space="preserve"> access to </w:t>
      </w:r>
      <w:proofErr w:type="gramStart"/>
      <w:r w:rsidRPr="003D36C0">
        <w:t>the unredacted</w:t>
      </w:r>
      <w:proofErr w:type="gramEnd"/>
      <w:r w:rsidRPr="003D36C0">
        <w:t xml:space="preserve"> information for at most twelve individuals. Given the small number of individuals and the need for this information to establish his </w:t>
      </w:r>
      <w:r w:rsidRPr="003D36C0">
        <w:rPr>
          <w:rStyle w:val="Emphasis"/>
          <w:rFonts w:eastAsiaTheme="majorEastAsia"/>
        </w:rPr>
        <w:t>Monell</w:t>
      </w:r>
      <w:r w:rsidRPr="003D36C0">
        <w:t xml:space="preserve"> claim, the Court found it appropriate to order the City to provide unredacted files.</w:t>
      </w:r>
      <w:r>
        <w:t xml:space="preserve"> *** </w:t>
      </w:r>
      <w:r w:rsidRPr="003D36C0">
        <w:t xml:space="preserve">The City contends that even if the federal psychotherapist-patient privilege, and not the Mental Health Act, applies, that it too bars the disclosure of the unredacted third-party applicant files absent consent from </w:t>
      </w:r>
      <w:proofErr w:type="gramStart"/>
      <w:r w:rsidRPr="003D36C0">
        <w:t>each individual</w:t>
      </w:r>
      <w:proofErr w:type="gramEnd"/>
      <w:r>
        <w:t xml:space="preserve">…. </w:t>
      </w:r>
      <w:r w:rsidRPr="003D36C0">
        <w:t xml:space="preserve">Here, the third-party applicants were not seeking mental health treatment, as in </w:t>
      </w:r>
      <w:r w:rsidRPr="003D36C0">
        <w:rPr>
          <w:rStyle w:val="Emphasis"/>
          <w:rFonts w:eastAsiaTheme="majorEastAsia"/>
        </w:rPr>
        <w:t>Jaffee</w:t>
      </w:r>
      <w:r>
        <w:t xml:space="preserve"> </w:t>
      </w:r>
      <w:r w:rsidRPr="003D36C0">
        <w:t>[</w:t>
      </w:r>
      <w:r w:rsidRPr="003D36C0">
        <w:rPr>
          <w:rStyle w:val="Emphasis"/>
          <w:rFonts w:eastAsiaTheme="majorEastAsia"/>
        </w:rPr>
        <w:t>v. Redmond</w:t>
      </w:r>
      <w:r w:rsidRPr="003D36C0">
        <w:t xml:space="preserve">, 518 U.S. 1, 10 (1996)] but instead were participating in a compelled evaluation in hopes of gaining employment with the City. </w:t>
      </w:r>
      <w:r w:rsidRPr="003D36C0">
        <w:rPr>
          <w:rStyle w:val="Emphasis"/>
          <w:rFonts w:eastAsiaTheme="majorEastAsia"/>
        </w:rPr>
        <w:t>See id.</w:t>
      </w:r>
      <w:r w:rsidRPr="003D36C0">
        <w:t xml:space="preserve"> Thus, the Court finds that neither the Mental Health Act nor the federal psychotherapist-patient privilege apply.</w:t>
      </w:r>
      <w:r>
        <w:t xml:space="preserve">” </w:t>
      </w:r>
      <w:hyperlink r:id="rId1680" w:history="1">
        <w:r w:rsidRPr="00E97EE7">
          <w:rPr>
            <w:rStyle w:val="Hyperlink"/>
          </w:rPr>
          <w:t>https://public.fastcase.com/ZZhmr5v9wN%2FXOe5IsQ%2FqD3krOQsYv7d%2B2FRanieXHrmbYJPE10W29y6OT9Ia%2FWEvM783GCgc1J%2FsNiq8x9hdfsWhS9nPoC1uzPRzllCUOIc%3D?utm_medium=email&amp;_hsmi=226712652&amp;_hsenc=p2ANqtz-8spF1R7Tf8jpK24zY2dxus9kZGwVA1F9Ooj2BZLJ_FR6fOEX3itYzYoKF0bR9AZ1zkqCBHaC-K0F7fdoWy1HLEeYJb6g&amp;utm_content=226712652&amp;utm_source=hs_email</w:t>
        </w:r>
      </w:hyperlink>
      <w:r>
        <w:t xml:space="preserve"> </w:t>
      </w:r>
    </w:p>
    <w:p w14:paraId="0A89A9BE" w14:textId="77777777" w:rsidR="00BC4628" w:rsidRPr="000A03A6" w:rsidRDefault="00BC4628" w:rsidP="00BC4628">
      <w:pPr>
        <w:pStyle w:val="NormalWeb"/>
        <w:rPr>
          <w:b/>
          <w:bCs/>
        </w:rPr>
      </w:pPr>
      <w:r w:rsidRPr="000A03A6">
        <w:rPr>
          <w:b/>
          <w:bCs/>
        </w:rPr>
        <w:t xml:space="preserve">Legal Lesson Learned: </w:t>
      </w:r>
      <w:r>
        <w:rPr>
          <w:b/>
          <w:bCs/>
        </w:rPr>
        <w:t xml:space="preserve">Many FDs require psych exams as part of final job </w:t>
      </w:r>
      <w:proofErr w:type="gramStart"/>
      <w:r>
        <w:rPr>
          <w:b/>
          <w:bCs/>
        </w:rPr>
        <w:t>offer</w:t>
      </w:r>
      <w:proofErr w:type="gramEnd"/>
      <w:r>
        <w:rPr>
          <w:b/>
          <w:bCs/>
        </w:rPr>
        <w:t xml:space="preserve"> for all finalists; see below EEOC Guidance.  </w:t>
      </w:r>
    </w:p>
    <w:p w14:paraId="5E419099" w14:textId="77777777" w:rsidR="00BC4628" w:rsidRDefault="00BC4628" w:rsidP="00BC4628">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 xml:space="preserve">Note: See EEOC Enforcement Guidance </w:t>
      </w:r>
      <w:proofErr w:type="gramStart"/>
      <w:r>
        <w:rPr>
          <w:rFonts w:ascii="Times New Roman" w:hAnsi="Times New Roman"/>
          <w:sz w:val="24"/>
          <w:szCs w:val="24"/>
        </w:rPr>
        <w:t>On</w:t>
      </w:r>
      <w:proofErr w:type="gramEnd"/>
      <w:r>
        <w:rPr>
          <w:rFonts w:ascii="Times New Roman" w:hAnsi="Times New Roman"/>
          <w:sz w:val="24"/>
          <w:szCs w:val="24"/>
        </w:rPr>
        <w:t xml:space="preserve"> Disability-Related </w:t>
      </w:r>
      <w:proofErr w:type="spellStart"/>
      <w:r>
        <w:rPr>
          <w:rFonts w:ascii="Times New Roman" w:hAnsi="Times New Roman"/>
          <w:sz w:val="24"/>
          <w:szCs w:val="24"/>
        </w:rPr>
        <w:t>Inquries</w:t>
      </w:r>
      <w:proofErr w:type="spellEnd"/>
      <w:r>
        <w:rPr>
          <w:rFonts w:ascii="Times New Roman" w:hAnsi="Times New Roman"/>
          <w:sz w:val="24"/>
          <w:szCs w:val="24"/>
        </w:rPr>
        <w:t xml:space="preserve"> </w:t>
      </w:r>
      <w:proofErr w:type="gramStart"/>
      <w:r>
        <w:rPr>
          <w:rFonts w:ascii="Times New Roman" w:hAnsi="Times New Roman"/>
          <w:sz w:val="24"/>
          <w:szCs w:val="24"/>
        </w:rPr>
        <w:t>And</w:t>
      </w:r>
      <w:proofErr w:type="gramEnd"/>
      <w:r>
        <w:rPr>
          <w:rFonts w:ascii="Times New Roman" w:hAnsi="Times New Roman"/>
          <w:sz w:val="24"/>
          <w:szCs w:val="24"/>
        </w:rPr>
        <w:t xml:space="preserve"> Medical Examinations Under ADA . </w:t>
      </w:r>
      <w:hyperlink r:id="rId1681" w:history="1">
        <w:r w:rsidRPr="001055F4">
          <w:rPr>
            <w:rStyle w:val="Hyperlink"/>
            <w:sz w:val="24"/>
            <w:szCs w:val="24"/>
          </w:rPr>
          <w:t>https://www.eeoc.gov/laws/guidance/enforcement-guidance-disability-related-inquiries-and-medical-examinations-employees</w:t>
        </w:r>
      </w:hyperlink>
      <w:r>
        <w:rPr>
          <w:rFonts w:ascii="Times New Roman" w:hAnsi="Times New Roman"/>
          <w:sz w:val="24"/>
          <w:szCs w:val="24"/>
        </w:rPr>
        <w:t xml:space="preserve"> </w:t>
      </w:r>
    </w:p>
    <w:p w14:paraId="14552EBA" w14:textId="77777777" w:rsidR="00BC4628" w:rsidRPr="00103455" w:rsidRDefault="00BC4628" w:rsidP="00BC4628">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r w:rsidRPr="00103455">
        <w:rPr>
          <w:rFonts w:ascii="Times New Roman" w:hAnsi="Times New Roman"/>
          <w:sz w:val="24"/>
          <w:szCs w:val="24"/>
        </w:rPr>
        <w:t xml:space="preserve">Under the ADA, an employer's ability to make disability-related inquiries or require medical examinations is analyzed in three stages: pre-offer, post-offer, and employment. At the first stage </w:t>
      </w:r>
      <w:r w:rsidRPr="00103455">
        <w:rPr>
          <w:rStyle w:val="Strong"/>
          <w:rFonts w:ascii="Times New Roman" w:hAnsi="Times New Roman"/>
          <w:sz w:val="24"/>
          <w:szCs w:val="24"/>
        </w:rPr>
        <w:t>(prior to an offer of employment)</w:t>
      </w:r>
      <w:r w:rsidRPr="00103455">
        <w:rPr>
          <w:rFonts w:ascii="Times New Roman" w:hAnsi="Times New Roman"/>
          <w:sz w:val="24"/>
          <w:szCs w:val="24"/>
        </w:rPr>
        <w:t>, the ADA prohibits all disability-related inquiries and medical examinations,</w:t>
      </w:r>
      <w:r w:rsidRPr="00103455">
        <w:rPr>
          <w:rStyle w:val="Emphasis"/>
          <w:rFonts w:ascii="Times New Roman" w:hAnsi="Times New Roman"/>
          <w:sz w:val="24"/>
          <w:szCs w:val="24"/>
        </w:rPr>
        <w:t xml:space="preserve"> even if</w:t>
      </w:r>
      <w:r w:rsidRPr="00103455">
        <w:rPr>
          <w:rFonts w:ascii="Times New Roman" w:hAnsi="Times New Roman"/>
          <w:sz w:val="24"/>
          <w:szCs w:val="24"/>
        </w:rPr>
        <w:t xml:space="preserve"> they are related to the job. At the second stage </w:t>
      </w:r>
      <w:r w:rsidRPr="00103455">
        <w:rPr>
          <w:rStyle w:val="Strong"/>
          <w:rFonts w:ascii="Times New Roman" w:hAnsi="Times New Roman"/>
          <w:sz w:val="24"/>
          <w:szCs w:val="24"/>
        </w:rPr>
        <w:t>(after an applicant is given a conditional job offer, but before s/he starts work)</w:t>
      </w:r>
      <w:r w:rsidRPr="00103455">
        <w:rPr>
          <w:rFonts w:ascii="Times New Roman" w:hAnsi="Times New Roman"/>
          <w:sz w:val="24"/>
          <w:szCs w:val="24"/>
        </w:rPr>
        <w:t xml:space="preserve">, an employer may make disability-related inquiries and conduct medical examinations, regardless of whether they are related to the job, as long as it does so for all entering employees in the same job category. At the third stage </w:t>
      </w:r>
      <w:r w:rsidRPr="00103455">
        <w:rPr>
          <w:rStyle w:val="Strong"/>
          <w:rFonts w:ascii="Times New Roman" w:hAnsi="Times New Roman"/>
          <w:sz w:val="24"/>
          <w:szCs w:val="24"/>
        </w:rPr>
        <w:t>(after employment begins)</w:t>
      </w:r>
      <w:r w:rsidRPr="00103455">
        <w:rPr>
          <w:rFonts w:ascii="Times New Roman" w:hAnsi="Times New Roman"/>
          <w:sz w:val="24"/>
          <w:szCs w:val="24"/>
        </w:rPr>
        <w:t xml:space="preserve">, an employer may make disability-related inquiries and require medical examinations </w:t>
      </w:r>
      <w:r w:rsidRPr="00103455">
        <w:rPr>
          <w:rStyle w:val="Emphasis"/>
          <w:rFonts w:ascii="Times New Roman" w:hAnsi="Times New Roman"/>
          <w:sz w:val="24"/>
          <w:szCs w:val="24"/>
        </w:rPr>
        <w:t>only</w:t>
      </w:r>
      <w:r w:rsidRPr="00103455">
        <w:rPr>
          <w:rFonts w:ascii="Times New Roman" w:hAnsi="Times New Roman"/>
          <w:sz w:val="24"/>
          <w:szCs w:val="24"/>
        </w:rPr>
        <w:t xml:space="preserve"> if they are job-related and consistent with business </w:t>
      </w:r>
      <w:proofErr w:type="gramStart"/>
      <w:r w:rsidRPr="00103455">
        <w:rPr>
          <w:rFonts w:ascii="Times New Roman" w:hAnsi="Times New Roman"/>
          <w:sz w:val="24"/>
          <w:szCs w:val="24"/>
        </w:rPr>
        <w:t>necessity.</w:t>
      </w:r>
      <w:r>
        <w:rPr>
          <w:rFonts w:ascii="Times New Roman" w:hAnsi="Times New Roman"/>
          <w:sz w:val="24"/>
          <w:szCs w:val="24"/>
        </w:rPr>
        <w:t>”</w:t>
      </w:r>
      <w:proofErr w:type="gramEnd"/>
      <w:r w:rsidRPr="00103455">
        <w:rPr>
          <w:rFonts w:ascii="Times New Roman" w:hAnsi="Times New Roman"/>
          <w:sz w:val="24"/>
          <w:szCs w:val="24"/>
        </w:rPr>
        <w:t xml:space="preserve"> </w:t>
      </w:r>
    </w:p>
    <w:p w14:paraId="2EC1B35D" w14:textId="77777777" w:rsidR="00BC4628" w:rsidRDefault="00BC4628" w:rsidP="005C30A4">
      <w:pPr>
        <w:pStyle w:val="NoSpacing"/>
        <w:rPr>
          <w:rFonts w:ascii="Arial Black" w:hAnsi="Arial Black"/>
          <w:sz w:val="24"/>
          <w:szCs w:val="24"/>
        </w:rPr>
      </w:pPr>
    </w:p>
    <w:p w14:paraId="1506AFF4" w14:textId="77777777" w:rsidR="00BC4628" w:rsidRDefault="00BC4628" w:rsidP="005C30A4">
      <w:pPr>
        <w:pStyle w:val="NoSpacing"/>
        <w:rPr>
          <w:rFonts w:ascii="Arial Black" w:hAnsi="Arial Black"/>
          <w:sz w:val="24"/>
          <w:szCs w:val="24"/>
        </w:rPr>
      </w:pPr>
    </w:p>
    <w:p w14:paraId="768A2985" w14:textId="4394DF78" w:rsidR="00C032D6" w:rsidRDefault="00C032D6" w:rsidP="005C30A4">
      <w:pPr>
        <w:pStyle w:val="NoSpacing"/>
        <w:rPr>
          <w:rFonts w:ascii="Arial Black" w:hAnsi="Arial Black"/>
          <w:sz w:val="24"/>
          <w:szCs w:val="24"/>
        </w:rPr>
      </w:pPr>
      <w:r>
        <w:rPr>
          <w:rFonts w:ascii="Arial Black" w:hAnsi="Arial Black"/>
          <w:sz w:val="24"/>
          <w:szCs w:val="24"/>
        </w:rPr>
        <w:t>9-3</w:t>
      </w:r>
      <w:r w:rsidR="00D33F96">
        <w:rPr>
          <w:rFonts w:ascii="Arial Black" w:hAnsi="Arial Black"/>
          <w:sz w:val="24"/>
          <w:szCs w:val="24"/>
        </w:rPr>
        <w:t>4</w:t>
      </w:r>
    </w:p>
    <w:p w14:paraId="26AD927A" w14:textId="77777777" w:rsidR="00C032D6" w:rsidRDefault="00C032D6" w:rsidP="005C30A4">
      <w:pPr>
        <w:pStyle w:val="NoSpacing"/>
        <w:rPr>
          <w:rFonts w:ascii="Arial Black" w:hAnsi="Arial Black"/>
          <w:sz w:val="24"/>
          <w:szCs w:val="24"/>
        </w:rPr>
      </w:pPr>
    </w:p>
    <w:p w14:paraId="44B04094" w14:textId="77777777" w:rsidR="00C032D6" w:rsidRDefault="00C032D6" w:rsidP="00C032D6">
      <w:pPr>
        <w:pStyle w:val="NormalWeb"/>
        <w:spacing w:before="0" w:beforeAutospacing="0" w:after="0" w:afterAutospacing="0"/>
        <w:rPr>
          <w:rFonts w:ascii="Arial Black" w:eastAsiaTheme="minorHAnsi" w:hAnsi="Arial Black" w:cs="Calibri"/>
          <w:color w:val="000000"/>
          <w:sz w:val="28"/>
          <w:szCs w:val="28"/>
        </w:rPr>
      </w:pPr>
      <w:r>
        <w:rPr>
          <w:rFonts w:ascii="Arial Black" w:hAnsi="Arial Black"/>
          <w:sz w:val="28"/>
          <w:szCs w:val="28"/>
        </w:rPr>
        <w:t xml:space="preserve">U.S. SUP. CT: EVANGELICAL POSTMAN - OFF ON SUNDAYS – POSTAL SERVICE MUST PROVE REAL “UNDUE HARDSHIP” </w:t>
      </w:r>
    </w:p>
    <w:p w14:paraId="00868BDD" w14:textId="38AA3673" w:rsidR="00C032D6" w:rsidRDefault="00C032D6" w:rsidP="00C032D6">
      <w:pPr>
        <w:pStyle w:val="NoSpacing"/>
        <w:rPr>
          <w:rStyle w:val="Hyperlink"/>
          <w:sz w:val="24"/>
          <w:szCs w:val="24"/>
        </w:rPr>
      </w:pPr>
      <w:r>
        <w:rPr>
          <w:rFonts w:ascii="Times New Roman" w:eastAsia="Times New Roman" w:hAnsi="Times New Roman"/>
          <w:sz w:val="24"/>
          <w:szCs w:val="24"/>
        </w:rPr>
        <w:t xml:space="preserve">On June 29, 2023, in </w:t>
      </w:r>
      <w:r>
        <w:rPr>
          <w:rFonts w:ascii="Times New Roman" w:eastAsia="Times New Roman" w:hAnsi="Times New Roman"/>
          <w:sz w:val="24"/>
          <w:szCs w:val="24"/>
          <w:u w:val="single"/>
        </w:rPr>
        <w:t>Groff v. DeJoy, Postmaster General</w:t>
      </w:r>
      <w:r>
        <w:rPr>
          <w:rFonts w:ascii="Times New Roman" w:eastAsia="Times New Roman" w:hAnsi="Times New Roman"/>
          <w:sz w:val="24"/>
          <w:szCs w:val="24"/>
        </w:rPr>
        <w:t xml:space="preserve">, the U.S. Supreme Court held (9 to 0) in an opinion by Justice </w:t>
      </w:r>
      <w:r>
        <w:rPr>
          <w:rFonts w:ascii="Times New Roman" w:hAnsi="Times New Roman"/>
          <w:sz w:val="24"/>
          <w:szCs w:val="24"/>
        </w:rPr>
        <w:t>Samuel Anthony Alito Jr., that U.S. Postal Service must accommodate a rural postman’s religious request to not work on Sundays delivering Amazon products, unless the “</w:t>
      </w:r>
      <w:r>
        <w:rPr>
          <w:rFonts w:ascii="Times New Roman" w:hAnsi="Times New Roman"/>
          <w:color w:val="343332"/>
          <w:sz w:val="24"/>
          <w:szCs w:val="24"/>
        </w:rPr>
        <w:t xml:space="preserve">burden of granting an accommodation would result in substantial increased costs in relation to the conduct of its particular business.”  Under Title VII of the Civil Rights Act of 1964, federal law bars employers from discriminating against workers for practicing their religion unless the employer can show that the worker’s religious practice cannot “reasonably” be accommodated without “undue hardship.”  </w:t>
      </w:r>
      <w:hyperlink r:id="rId1682" w:history="1">
        <w:r>
          <w:rPr>
            <w:rStyle w:val="Hyperlink"/>
            <w:sz w:val="24"/>
            <w:szCs w:val="24"/>
          </w:rPr>
          <w:t>https://www.supremecourt.gov/opinions/22pdf/22-174_k536.pdf</w:t>
        </w:r>
      </w:hyperlink>
    </w:p>
    <w:p w14:paraId="614685CF" w14:textId="77777777" w:rsidR="00C032D6" w:rsidRDefault="00C032D6" w:rsidP="00C032D6">
      <w:pPr>
        <w:pStyle w:val="NoSpacing"/>
        <w:rPr>
          <w:rStyle w:val="Hyperlink"/>
          <w:sz w:val="24"/>
          <w:szCs w:val="24"/>
        </w:rPr>
      </w:pPr>
    </w:p>
    <w:p w14:paraId="1756ADB3" w14:textId="77777777" w:rsidR="00C032D6" w:rsidRDefault="00C032D6" w:rsidP="00C032D6">
      <w:pPr>
        <w:spacing w:before="100" w:beforeAutospacing="1" w:after="100" w:afterAutospacing="1" w:line="240" w:lineRule="auto"/>
        <w:rPr>
          <w:rFonts w:ascii="Times New Roman" w:eastAsia="Times New Roman" w:hAnsi="Times New Roman"/>
          <w:b/>
          <w:bCs/>
          <w:sz w:val="24"/>
          <w:szCs w:val="24"/>
        </w:rPr>
      </w:pPr>
      <w:r>
        <w:rPr>
          <w:rFonts w:ascii="Times New Roman" w:hAnsi="Times New Roman"/>
          <w:b/>
          <w:bCs/>
          <w:color w:val="343332"/>
          <w:sz w:val="24"/>
          <w:szCs w:val="24"/>
        </w:rPr>
        <w:t xml:space="preserve">Legal Lesson Learned: While this is a Title VII religious accommodations case, this decision may impact employers, including Fire &amp; EMS, when an employee seeks light duty or other accommodations for a </w:t>
      </w:r>
      <w:r>
        <w:rPr>
          <w:rFonts w:ascii="Times New Roman" w:hAnsi="Times New Roman"/>
          <w:b/>
          <w:bCs/>
          <w:color w:val="343332"/>
          <w:sz w:val="24"/>
          <w:szCs w:val="24"/>
        </w:rPr>
        <w:lastRenderedPageBreak/>
        <w:t>disability.   If you decline an accommodation request, after discussion with the employee, thoroughly document the “undue hardship” to the department, including impact on operations and costs.</w:t>
      </w:r>
    </w:p>
    <w:p w14:paraId="7352651F" w14:textId="77777777" w:rsidR="00C032D6" w:rsidRDefault="00C032D6" w:rsidP="00C032D6">
      <w:pPr>
        <w:spacing w:before="100" w:beforeAutospacing="1" w:after="100" w:afterAutospacing="1" w:line="240" w:lineRule="auto"/>
        <w:ind w:left="720"/>
        <w:rPr>
          <w:rFonts w:ascii="Times New Roman" w:hAnsi="Times New Roman"/>
          <w:color w:val="343332"/>
          <w:kern w:val="2"/>
          <w:sz w:val="24"/>
          <w:szCs w:val="24"/>
          <w14:ligatures w14:val="standardContextual"/>
        </w:rPr>
      </w:pPr>
      <w:r>
        <w:rPr>
          <w:rFonts w:ascii="Times New Roman" w:hAnsi="Times New Roman"/>
          <w:color w:val="343332"/>
          <w:sz w:val="24"/>
          <w:szCs w:val="24"/>
        </w:rPr>
        <w:t xml:space="preserve">Note: The EEOC has described “undue hardship” under ADA. </w:t>
      </w:r>
      <w:hyperlink r:id="rId1683" w:history="1">
        <w:r>
          <w:rPr>
            <w:rStyle w:val="Hyperlink"/>
            <w:sz w:val="24"/>
            <w:szCs w:val="24"/>
          </w:rPr>
          <w:t>https://www.eeoc.gov/publications/ada-your-responsibilities-employer</w:t>
        </w:r>
      </w:hyperlink>
      <w:r>
        <w:rPr>
          <w:rFonts w:ascii="Times New Roman" w:hAnsi="Times New Roman"/>
          <w:color w:val="343332"/>
          <w:sz w:val="24"/>
          <w:szCs w:val="24"/>
        </w:rPr>
        <w:t xml:space="preserve"> </w:t>
      </w:r>
    </w:p>
    <w:p w14:paraId="3AFE3FD6" w14:textId="77777777" w:rsidR="00C032D6" w:rsidRDefault="00C032D6" w:rsidP="00C032D6">
      <w:pPr>
        <w:spacing w:before="100" w:beforeAutospacing="1" w:after="100" w:afterAutospacing="1" w:line="240" w:lineRule="auto"/>
        <w:ind w:left="1440"/>
        <w:rPr>
          <w:rFonts w:ascii="Times New Roman" w:eastAsia="Times New Roman" w:hAnsi="Times New Roman"/>
          <w:sz w:val="24"/>
          <w:szCs w:val="24"/>
        </w:rPr>
      </w:pPr>
      <w:r>
        <w:rPr>
          <w:rFonts w:ascii="Times New Roman" w:eastAsia="Times New Roman" w:hAnsi="Times New Roman"/>
          <w:sz w:val="24"/>
          <w:szCs w:val="24"/>
        </w:rPr>
        <w:t xml:space="preserve">“It is not necessary to provide a reasonable accommodation if doing so would cause an undue hardship. Undue hardship means that </w:t>
      </w:r>
      <w:proofErr w:type="gramStart"/>
      <w:r>
        <w:rPr>
          <w:rFonts w:ascii="Times New Roman" w:eastAsia="Times New Roman" w:hAnsi="Times New Roman"/>
          <w:sz w:val="24"/>
          <w:szCs w:val="24"/>
        </w:rPr>
        <w:t>an accommodation</w:t>
      </w:r>
      <w:proofErr w:type="gramEnd"/>
      <w:r>
        <w:rPr>
          <w:rFonts w:ascii="Times New Roman" w:eastAsia="Times New Roman" w:hAnsi="Times New Roman"/>
          <w:sz w:val="24"/>
          <w:szCs w:val="24"/>
        </w:rPr>
        <w:t xml:space="preserve"> would be unduly costly, extensive, substantial or disruptive, or would fundamentally alter the nature or operation of the business. Among the factors to be considered in determining whether </w:t>
      </w:r>
      <w:proofErr w:type="gramStart"/>
      <w:r>
        <w:rPr>
          <w:rFonts w:ascii="Times New Roman" w:eastAsia="Times New Roman" w:hAnsi="Times New Roman"/>
          <w:sz w:val="24"/>
          <w:szCs w:val="24"/>
        </w:rPr>
        <w:t>an accommodation</w:t>
      </w:r>
      <w:proofErr w:type="gramEnd"/>
      <w:r>
        <w:rPr>
          <w:rFonts w:ascii="Times New Roman" w:eastAsia="Times New Roman" w:hAnsi="Times New Roman"/>
          <w:sz w:val="24"/>
          <w:szCs w:val="24"/>
        </w:rPr>
        <w:t xml:space="preserve"> is an undue hardship are the cost of the accommodation, the employer's size, financial resources and the nature and structure of its operation.</w:t>
      </w:r>
    </w:p>
    <w:p w14:paraId="46E3CC09" w14:textId="77777777" w:rsidR="00C032D6" w:rsidRDefault="00C032D6" w:rsidP="00C032D6">
      <w:pPr>
        <w:spacing w:before="100" w:beforeAutospacing="1" w:after="100" w:afterAutospacing="1" w:line="240" w:lineRule="auto"/>
        <w:ind w:left="1440"/>
        <w:rPr>
          <w:rFonts w:ascii="Times New Roman" w:eastAsia="Times New Roman" w:hAnsi="Times New Roman"/>
          <w:sz w:val="24"/>
          <w:szCs w:val="24"/>
        </w:rPr>
      </w:pPr>
      <w:r>
        <w:rPr>
          <w:rFonts w:ascii="Times New Roman" w:eastAsia="Times New Roman" w:hAnsi="Times New Roman"/>
          <w:sz w:val="24"/>
          <w:szCs w:val="24"/>
        </w:rPr>
        <w:t xml:space="preserve">If a particular accommodation </w:t>
      </w:r>
      <w:proofErr w:type="gramStart"/>
      <w:r>
        <w:rPr>
          <w:rFonts w:ascii="Times New Roman" w:eastAsia="Times New Roman" w:hAnsi="Times New Roman"/>
          <w:sz w:val="24"/>
          <w:szCs w:val="24"/>
        </w:rPr>
        <w:t>would be</w:t>
      </w:r>
      <w:proofErr w:type="gramEnd"/>
      <w:r>
        <w:rPr>
          <w:rFonts w:ascii="Times New Roman" w:eastAsia="Times New Roman" w:hAnsi="Times New Roman"/>
          <w:sz w:val="24"/>
          <w:szCs w:val="24"/>
        </w:rPr>
        <w:t xml:space="preserve"> an undue hardship, you must try to identify another accommodation that will not pose such a hardship. If cost causes </w:t>
      </w:r>
      <w:proofErr w:type="gramStart"/>
      <w:r>
        <w:rPr>
          <w:rFonts w:ascii="Times New Roman" w:eastAsia="Times New Roman" w:hAnsi="Times New Roman"/>
          <w:sz w:val="24"/>
          <w:szCs w:val="24"/>
        </w:rPr>
        <w:t>the undue</w:t>
      </w:r>
      <w:proofErr w:type="gramEnd"/>
      <w:r>
        <w:rPr>
          <w:rFonts w:ascii="Times New Roman" w:eastAsia="Times New Roman" w:hAnsi="Times New Roman"/>
          <w:sz w:val="24"/>
          <w:szCs w:val="24"/>
        </w:rPr>
        <w:t xml:space="preserve"> hardship, you must also consider whether funding for </w:t>
      </w:r>
      <w:proofErr w:type="gramStart"/>
      <w:r>
        <w:rPr>
          <w:rFonts w:ascii="Times New Roman" w:eastAsia="Times New Roman" w:hAnsi="Times New Roman"/>
          <w:sz w:val="24"/>
          <w:szCs w:val="24"/>
        </w:rPr>
        <w:t>an accommodation</w:t>
      </w:r>
      <w:proofErr w:type="gramEnd"/>
      <w:r>
        <w:rPr>
          <w:rFonts w:ascii="Times New Roman" w:eastAsia="Times New Roman" w:hAnsi="Times New Roman"/>
          <w:sz w:val="24"/>
          <w:szCs w:val="24"/>
        </w:rPr>
        <w:t xml:space="preserve"> is available from an outside source, such as a vocational rehabilitation agency, and if the cost of providing the accommodation can be offset by state or federal tax credits or deductions. You must also give the applicant or employee with a disability the opportunity to provide the accommodation or pay for the portion of the accommodation that constitutes an undue </w:t>
      </w:r>
      <w:proofErr w:type="gramStart"/>
      <w:r>
        <w:rPr>
          <w:rFonts w:ascii="Times New Roman" w:eastAsia="Times New Roman" w:hAnsi="Times New Roman"/>
          <w:sz w:val="24"/>
          <w:szCs w:val="24"/>
        </w:rPr>
        <w:t>hardship.”</w:t>
      </w:r>
      <w:proofErr w:type="gramEnd"/>
    </w:p>
    <w:p w14:paraId="2C174033" w14:textId="77777777" w:rsidR="00C032D6" w:rsidRDefault="00C032D6" w:rsidP="00C032D6">
      <w:pPr>
        <w:spacing w:before="100" w:beforeAutospacing="1" w:after="100" w:afterAutospacing="1" w:line="240" w:lineRule="auto"/>
        <w:ind w:left="720"/>
        <w:rPr>
          <w:rFonts w:ascii="Times New Roman" w:hAnsi="Times New Roman"/>
          <w:kern w:val="2"/>
          <w:sz w:val="24"/>
          <w:szCs w:val="24"/>
          <w14:ligatures w14:val="standardContextual"/>
        </w:rPr>
      </w:pPr>
      <w:r>
        <w:rPr>
          <w:rFonts w:ascii="Times New Roman" w:hAnsi="Times New Roman"/>
          <w:sz w:val="24"/>
          <w:szCs w:val="24"/>
        </w:rPr>
        <w:t xml:space="preserve">Note also: The ADA's implementing regulations by EEOC state </w:t>
      </w:r>
      <w:proofErr w:type="gramStart"/>
      <w:r>
        <w:rPr>
          <w:rFonts w:ascii="Times New Roman" w:hAnsi="Times New Roman"/>
          <w:sz w:val="24"/>
          <w:szCs w:val="24"/>
        </w:rPr>
        <w:t>that, “[t]</w:t>
      </w:r>
      <w:proofErr w:type="gramEnd"/>
      <w:r>
        <w:rPr>
          <w:rFonts w:ascii="Times New Roman" w:hAnsi="Times New Roman"/>
          <w:sz w:val="24"/>
          <w:szCs w:val="24"/>
        </w:rPr>
        <w:t xml:space="preserve">o </w:t>
      </w:r>
      <w:proofErr w:type="gramStart"/>
      <w:r>
        <w:rPr>
          <w:rFonts w:ascii="Times New Roman" w:hAnsi="Times New Roman"/>
          <w:sz w:val="24"/>
          <w:szCs w:val="24"/>
        </w:rPr>
        <w:t>determine</w:t>
      </w:r>
      <w:proofErr w:type="gramEnd"/>
      <w:r>
        <w:rPr>
          <w:rFonts w:ascii="Times New Roman" w:hAnsi="Times New Roman"/>
          <w:sz w:val="24"/>
          <w:szCs w:val="24"/>
        </w:rPr>
        <w:t xml:space="preserve"> the appropriate reasonable accommodation it may be necessary for the [employer] to initiate an informal, interactive process with the qualified individual with a disability in need of accommodation.’ 29 C.F.R. § 1630.2(o)(3). </w:t>
      </w:r>
    </w:p>
    <w:p w14:paraId="1306B095" w14:textId="77777777" w:rsidR="00C032D6" w:rsidRDefault="00C032D6" w:rsidP="00C032D6">
      <w:pPr>
        <w:pStyle w:val="NormalWeb"/>
        <w:ind w:left="360"/>
      </w:pPr>
    </w:p>
    <w:p w14:paraId="02B1059F" w14:textId="19DE6530" w:rsidR="00C032D6" w:rsidRDefault="00D33F96" w:rsidP="00D33F96">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9-33</w:t>
      </w:r>
    </w:p>
    <w:p w14:paraId="2A12830C" w14:textId="77777777" w:rsidR="00D33F96" w:rsidRPr="008A7EEF" w:rsidRDefault="00D33F96" w:rsidP="00D33F96">
      <w:pPr>
        <w:rPr>
          <w:rFonts w:ascii="Arial Black" w:hAnsi="Arial Black"/>
          <w:sz w:val="28"/>
          <w:szCs w:val="28"/>
        </w:rPr>
      </w:pPr>
      <w:r>
        <w:rPr>
          <w:rFonts w:ascii="Arial Black" w:hAnsi="Arial Black"/>
          <w:sz w:val="28"/>
          <w:szCs w:val="28"/>
        </w:rPr>
        <w:t>WA: FF PTSD – DENIED REQUESTED BRING HIS SERVICE DOG TO WORK – CITY PSYCHOLOGIST MAY EXAMINE FF</w:t>
      </w:r>
    </w:p>
    <w:p w14:paraId="233A2B25" w14:textId="77777777" w:rsidR="00D33F96" w:rsidRPr="008A7EEF" w:rsidRDefault="00D33F96" w:rsidP="00D33F96">
      <w:pPr>
        <w:spacing w:before="100" w:beforeAutospacing="1" w:after="100" w:afterAutospacing="1" w:line="240" w:lineRule="auto"/>
        <w:rPr>
          <w:rFonts w:ascii="Times New Roman" w:eastAsia="Times New Roman" w:hAnsi="Times New Roman"/>
          <w:sz w:val="24"/>
          <w:szCs w:val="24"/>
        </w:rPr>
      </w:pPr>
      <w:r>
        <w:rPr>
          <w:rFonts w:ascii="Times New Roman" w:hAnsi="Times New Roman"/>
          <w:sz w:val="24"/>
          <w:szCs w:val="24"/>
        </w:rPr>
        <w:t xml:space="preserve">On June 23, 2023, in </w:t>
      </w:r>
      <w:r w:rsidRPr="00795DC9">
        <w:rPr>
          <w:rFonts w:ascii="Times New Roman" w:hAnsi="Times New Roman"/>
          <w:sz w:val="24"/>
          <w:szCs w:val="24"/>
          <w:u w:val="single"/>
        </w:rPr>
        <w:t>Abraham Meyer v. City of Chehalis</w:t>
      </w:r>
      <w:r>
        <w:rPr>
          <w:rFonts w:ascii="Times New Roman" w:hAnsi="Times New Roman"/>
          <w:sz w:val="24"/>
          <w:szCs w:val="24"/>
        </w:rPr>
        <w:t>, U.S. District Court Judge David G. Estudillo, U.S. District Court for Western District of Washington, Tacoma, has agreed with the City that plaintiff must undergo a psychiatric examination by their expert to confirm he still suffers from PTSD as he did in 2019 when they turned down his request to bring a service dog to work.  The Court, however, denied the City’s request to have their expert examine the firefighter’s current service dog.  The Court held: “</w:t>
      </w:r>
      <w:r w:rsidRPr="00795DC9">
        <w:rPr>
          <w:rFonts w:ascii="Times New Roman" w:hAnsi="Times New Roman"/>
          <w:sz w:val="24"/>
          <w:szCs w:val="24"/>
        </w:rPr>
        <w:t>The Court also agrees with the City that there is good cause for a Rule 35 exam here since the City would otherwise be forced to rely on years-old psychological evaluations conducted by dueling medical professionals to build their case. The Court therefore GRANTS the City's motion to compel a psychological evaluation of Plaintiff.</w:t>
      </w:r>
      <w:r>
        <w:rPr>
          <w:rFonts w:ascii="Times New Roman" w:hAnsi="Times New Roman"/>
          <w:sz w:val="24"/>
          <w:szCs w:val="24"/>
        </w:rPr>
        <w:t xml:space="preserve"> *** </w:t>
      </w:r>
      <w:r w:rsidRPr="00795DC9">
        <w:rPr>
          <w:rFonts w:ascii="Times New Roman" w:hAnsi="Times New Roman"/>
          <w:sz w:val="24"/>
          <w:szCs w:val="24"/>
        </w:rPr>
        <w:t xml:space="preserve">Evaluating Plaintiff's current service dogs will not shed light on the training of his prior service dog at the time of the City's initial denial of Plaintiff's reasonable accommodation request. Additionally, Plaintiff need not use his current service dog as part of any future reasonable accommodation reached with the </w:t>
      </w:r>
      <w:proofErr w:type="gramStart"/>
      <w:r w:rsidRPr="00795DC9">
        <w:rPr>
          <w:rFonts w:ascii="Times New Roman" w:hAnsi="Times New Roman"/>
          <w:sz w:val="24"/>
          <w:szCs w:val="24"/>
        </w:rPr>
        <w:t>City</w:t>
      </w:r>
      <w:proofErr w:type="gramEnd"/>
      <w:r w:rsidRPr="00795DC9">
        <w:rPr>
          <w:rFonts w:ascii="Times New Roman" w:hAnsi="Times New Roman"/>
          <w:sz w:val="24"/>
          <w:szCs w:val="24"/>
        </w:rPr>
        <w:t xml:space="preserve">. Indeed, the focus on a specific </w:t>
      </w:r>
      <w:proofErr w:type="gramStart"/>
      <w:r w:rsidRPr="00795DC9">
        <w:rPr>
          <w:rFonts w:ascii="Times New Roman" w:hAnsi="Times New Roman"/>
          <w:sz w:val="24"/>
          <w:szCs w:val="24"/>
        </w:rPr>
        <w:t>service dog's training</w:t>
      </w:r>
      <w:proofErr w:type="gramEnd"/>
      <w:r w:rsidRPr="00795DC9">
        <w:rPr>
          <w:rFonts w:ascii="Times New Roman" w:hAnsi="Times New Roman"/>
          <w:sz w:val="24"/>
          <w:szCs w:val="24"/>
        </w:rPr>
        <w:t xml:space="preserve"> appears to be an implicit concession by the </w:t>
      </w:r>
      <w:proofErr w:type="gramStart"/>
      <w:r w:rsidRPr="00795DC9">
        <w:rPr>
          <w:rFonts w:ascii="Times New Roman" w:hAnsi="Times New Roman"/>
          <w:sz w:val="24"/>
          <w:szCs w:val="24"/>
        </w:rPr>
        <w:t>City</w:t>
      </w:r>
      <w:proofErr w:type="gramEnd"/>
      <w:r w:rsidRPr="00795DC9">
        <w:rPr>
          <w:rFonts w:ascii="Times New Roman" w:hAnsi="Times New Roman"/>
          <w:sz w:val="24"/>
          <w:szCs w:val="24"/>
        </w:rPr>
        <w:t xml:space="preserve"> that a service dog trained to their standards could constitute a reasonable accommodation. The Court therefore DENIES the City's motion to compel an evaluation of Plaintiff's current service dog.</w:t>
      </w:r>
      <w:r>
        <w:rPr>
          <w:rFonts w:ascii="Times New Roman" w:hAnsi="Times New Roman"/>
          <w:sz w:val="24"/>
          <w:szCs w:val="24"/>
        </w:rPr>
        <w:t xml:space="preserve">” </w:t>
      </w:r>
      <w:hyperlink r:id="rId1684" w:history="1">
        <w:r w:rsidRPr="00812663">
          <w:rPr>
            <w:rStyle w:val="Hyperlink"/>
            <w:sz w:val="24"/>
            <w:szCs w:val="24"/>
          </w:rPr>
          <w:t>https://casetext.com/case/meyer-v-city-of-chehalis</w:t>
        </w:r>
      </w:hyperlink>
      <w:r>
        <w:rPr>
          <w:rFonts w:ascii="Times New Roman" w:hAnsi="Times New Roman"/>
          <w:sz w:val="24"/>
          <w:szCs w:val="24"/>
        </w:rPr>
        <w:t xml:space="preserve"> </w:t>
      </w:r>
    </w:p>
    <w:p w14:paraId="0995DE5F" w14:textId="77777777" w:rsidR="00D33F96" w:rsidRDefault="00D33F96" w:rsidP="00D33F96">
      <w:pPr>
        <w:pStyle w:val="NoSpacing"/>
        <w:rPr>
          <w:rFonts w:ascii="Arial Black" w:hAnsi="Arial Black"/>
          <w:sz w:val="24"/>
          <w:szCs w:val="24"/>
        </w:rPr>
      </w:pPr>
      <w:r w:rsidRPr="00795DC9">
        <w:rPr>
          <w:rFonts w:ascii="Times New Roman" w:hAnsi="Times New Roman"/>
          <w:b/>
          <w:bCs/>
          <w:sz w:val="24"/>
          <w:szCs w:val="24"/>
        </w:rPr>
        <w:lastRenderedPageBreak/>
        <w:t xml:space="preserve">Legal Lesson Learned: </w:t>
      </w:r>
      <w:r>
        <w:rPr>
          <w:rFonts w:ascii="Times New Roman" w:hAnsi="Times New Roman"/>
          <w:b/>
          <w:bCs/>
          <w:sz w:val="24"/>
          <w:szCs w:val="24"/>
        </w:rPr>
        <w:t xml:space="preserve">Service dogs have been found to be reasonable accommodation in several industries; it is unclear how the firefighter in this case would house the dog when he is responding on a run. </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t>`</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p>
    <w:p w14:paraId="55809144" w14:textId="0E3F7140" w:rsidR="00D33F96" w:rsidRDefault="00D33F96" w:rsidP="00D33F96">
      <w:pPr>
        <w:pStyle w:val="NoSpacing"/>
        <w:rPr>
          <w:rFonts w:ascii="Arial Black" w:hAnsi="Arial Black"/>
          <w:sz w:val="24"/>
          <w:szCs w:val="24"/>
        </w:rPr>
      </w:pPr>
      <w:r>
        <w:rPr>
          <w:rFonts w:ascii="Arial Black" w:hAnsi="Arial Black"/>
          <w:sz w:val="24"/>
          <w:szCs w:val="24"/>
        </w:rPr>
        <w:t>9-32</w:t>
      </w:r>
    </w:p>
    <w:p w14:paraId="0547073B" w14:textId="77777777" w:rsidR="00D33F96" w:rsidRDefault="00D33F96" w:rsidP="00D33F96">
      <w:pPr>
        <w:pStyle w:val="NormalWeb"/>
        <w:jc w:val="both"/>
        <w:rPr>
          <w:rFonts w:ascii="Arial Black" w:hAnsi="Arial Black"/>
          <w:b/>
          <w:bCs/>
          <w:sz w:val="28"/>
          <w:szCs w:val="28"/>
        </w:rPr>
      </w:pPr>
      <w:r>
        <w:rPr>
          <w:rFonts w:ascii="Arial Black" w:hAnsi="Arial Black"/>
          <w:b/>
          <w:bCs/>
          <w:sz w:val="28"/>
          <w:szCs w:val="28"/>
        </w:rPr>
        <w:t>TN: ADA – NASHVILLE FF INJURED BACK – DENIED LIGHT DUTY WHEN HR DIDN’T DISCUSS DR’S NOTE - CASE PROCEED</w:t>
      </w:r>
    </w:p>
    <w:p w14:paraId="10ED0C8C" w14:textId="77777777" w:rsidR="00D33F96" w:rsidRDefault="00D33F96" w:rsidP="00D33F96">
      <w:pPr>
        <w:pStyle w:val="NormalWeb"/>
      </w:pPr>
      <w:r w:rsidRPr="00E90532">
        <w:t xml:space="preserve">On </w:t>
      </w:r>
      <w:r>
        <w:t xml:space="preserve">June 15, 2023, in </w:t>
      </w:r>
      <w:r w:rsidRPr="00E90532">
        <w:rPr>
          <w:u w:val="single"/>
        </w:rPr>
        <w:t xml:space="preserve">Brian Moat v. The Metropolitan Government of Nashville </w:t>
      </w:r>
      <w:proofErr w:type="gramStart"/>
      <w:r w:rsidRPr="00E90532">
        <w:rPr>
          <w:u w:val="single"/>
        </w:rPr>
        <w:t>And</w:t>
      </w:r>
      <w:proofErr w:type="gramEnd"/>
      <w:r w:rsidRPr="00E90532">
        <w:rPr>
          <w:u w:val="single"/>
        </w:rPr>
        <w:t xml:space="preserve"> Davidson County, Tennessee</w:t>
      </w:r>
      <w:r>
        <w:t xml:space="preserve">, U.S. District Court Judge Aleta A. Trauger denied the city’s motion for summary judgment; the firefighter was injured on duty Dec. 13, 2019, and placed on Injured </w:t>
      </w:r>
      <w:proofErr w:type="gramStart"/>
      <w:r>
        <w:t>On</w:t>
      </w:r>
      <w:proofErr w:type="gramEnd"/>
      <w:r>
        <w:t xml:space="preserve"> Duty (IOD) medical leave with full pay for maximum period of six months (Dec. 13, 2019 – June 22, 2020). Before his IOD leave expired, he asked FD for light duty but was denied by HR.  When Civil Service Commission denied his extension of IOD leave because they needed medical letter on his expected return to work, he then provided HR with letter from his doctor authorizing light duty.   This was denied by HR Mgr. Jamie </w:t>
      </w:r>
      <w:proofErr w:type="gramStart"/>
      <w:r>
        <w:t>Summers</w:t>
      </w:r>
      <w:proofErr w:type="gramEnd"/>
      <w:r>
        <w:t xml:space="preserve"> and he was forced to go on disability retirement (lower pay) until he returned to full duty on July 1, 2021.  </w:t>
      </w:r>
    </w:p>
    <w:p w14:paraId="71070D7B" w14:textId="77777777" w:rsidR="00D33F96" w:rsidRDefault="00D33F96" w:rsidP="00D33F96">
      <w:pPr>
        <w:pStyle w:val="NormalWeb"/>
      </w:pPr>
      <w:r>
        <w:t>The Court held: “</w:t>
      </w:r>
      <w:r w:rsidRPr="00E90532">
        <w:t xml:space="preserve">As set forth above, the plaintiff has made a </w:t>
      </w:r>
      <w:r w:rsidRPr="00E90532">
        <w:rPr>
          <w:rStyle w:val="Emphasis"/>
          <w:rFonts w:eastAsiaTheme="majorEastAsia"/>
        </w:rPr>
        <w:t>prima facie</w:t>
      </w:r>
      <w:r w:rsidRPr="00E90532">
        <w:t xml:space="preserve"> showing that he requested a reasonable accommodation</w:t>
      </w:r>
      <w:r>
        <w:t xml:space="preserve"> [light duty]</w:t>
      </w:r>
      <w:r w:rsidRPr="00E90532">
        <w:t xml:space="preserve">. The defendant arguably engaged with the plaintiff's request for an extension of his IOD leave when the </w:t>
      </w:r>
      <w:r>
        <w:t xml:space="preserve">[Civil Service] </w:t>
      </w:r>
      <w:r w:rsidRPr="00E90532">
        <w:t xml:space="preserve">Commission considered that request in an open meeting. The interactive process, however, is </w:t>
      </w:r>
      <w:proofErr w:type="gramStart"/>
      <w:r w:rsidRPr="00E90532">
        <w:t>an</w:t>
      </w:r>
      <w:proofErr w:type="gramEnd"/>
      <w:r w:rsidRPr="00E90532">
        <w:t xml:space="preserve"> going process. </w:t>
      </w:r>
      <w:r w:rsidRPr="00E90532">
        <w:rPr>
          <w:rStyle w:val="Emphasis"/>
          <w:rFonts w:eastAsiaTheme="majorEastAsia"/>
        </w:rPr>
        <w:t>See, e.g.</w:t>
      </w:r>
      <w:r w:rsidRPr="00E90532">
        <w:t xml:space="preserve">, </w:t>
      </w:r>
      <w:r w:rsidRPr="00E90532">
        <w:rPr>
          <w:rStyle w:val="Emphasis"/>
          <w:rFonts w:eastAsiaTheme="majorEastAsia"/>
        </w:rPr>
        <w:t>Fisher v. Nissan N. Am., Inc.</w:t>
      </w:r>
      <w:r w:rsidRPr="00E90532">
        <w:t xml:space="preserve">, 951 F.3d 409, 422 (6th Cir. 2022). The plaintiff's reiteration of his request to </w:t>
      </w:r>
      <w:r>
        <w:t xml:space="preserve">[HR manager] </w:t>
      </w:r>
      <w:r w:rsidRPr="00E90532">
        <w:t>Summers for light-duty work after his doctor relaxed his work restrictions</w:t>
      </w:r>
      <w:r>
        <w:t xml:space="preserve"> </w:t>
      </w:r>
      <w:r w:rsidRPr="00E90532">
        <w:t>-</w:t>
      </w:r>
      <w:r>
        <w:t xml:space="preserve"> </w:t>
      </w:r>
      <w:r w:rsidRPr="00E90532">
        <w:t xml:space="preserve">which took place </w:t>
      </w:r>
      <w:r w:rsidRPr="00E90532">
        <w:rPr>
          <w:rStyle w:val="Emphasis"/>
          <w:rFonts w:eastAsiaTheme="majorEastAsia"/>
        </w:rPr>
        <w:t>before</w:t>
      </w:r>
      <w:r w:rsidRPr="00E90532">
        <w:t xml:space="preserve"> his IOD leave expired and apparently before his disability pension had been processed</w:t>
      </w:r>
      <w:r>
        <w:t xml:space="preserve"> </w:t>
      </w:r>
      <w:r w:rsidRPr="00E90532">
        <w:t>-</w:t>
      </w:r>
      <w:r>
        <w:t xml:space="preserve"> </w:t>
      </w:r>
      <w:r w:rsidRPr="00E90532">
        <w:t>at least arguably triggered a duty on the part of Metro to consider that request rather than to simply defer to the plaintiff's already-denied request for an extension of his IOD leave.</w:t>
      </w:r>
      <w:r>
        <w:t xml:space="preserve"> *** </w:t>
      </w:r>
      <w:r w:rsidRPr="002A07BB">
        <w:t>Because the defendant has not shown that either of the requested accommodations would have been unduly burdensome or that they would have resulted in the elimination of an essential job requirement, in view of the temporary nature of the requested accommodations, the defendant is not entitled to summary judgment on the plaintiff's ADA claim based on the failure to accommodate his disability.</w:t>
      </w:r>
      <w:r>
        <w:t xml:space="preserve">” </w:t>
      </w:r>
      <w:hyperlink r:id="rId1685" w:history="1">
        <w:r w:rsidRPr="00812663">
          <w:rPr>
            <w:rStyle w:val="Hyperlink"/>
          </w:rPr>
          <w:t>https://cases.justia.com/federal/district-courts/tennessee/tnmdce/3:2021cv00807/88141/32/0.pdf</w:t>
        </w:r>
      </w:hyperlink>
      <w:r>
        <w:t xml:space="preserve"> </w:t>
      </w:r>
    </w:p>
    <w:p w14:paraId="08727581" w14:textId="77777777" w:rsidR="00D33F96" w:rsidRDefault="00D33F96" w:rsidP="00D33F96">
      <w:pPr>
        <w:spacing w:before="100" w:beforeAutospacing="1" w:after="100" w:afterAutospacing="1" w:line="240" w:lineRule="auto"/>
        <w:rPr>
          <w:rFonts w:ascii="Arial Black" w:eastAsia="Times New Roman" w:hAnsi="Arial Black"/>
          <w:b/>
          <w:bCs/>
          <w:sz w:val="28"/>
          <w:szCs w:val="28"/>
        </w:rPr>
      </w:pPr>
    </w:p>
    <w:p w14:paraId="3307911C" w14:textId="496B0CF9" w:rsidR="00D33F96" w:rsidRDefault="00D33F96" w:rsidP="00D33F96">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9-31</w:t>
      </w:r>
    </w:p>
    <w:p w14:paraId="75DB6E5E" w14:textId="77777777" w:rsidR="00D33F96" w:rsidRDefault="00D33F96" w:rsidP="00D33F96">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DC: FEMALE FF CLAIMS SEXUALLY ASSAULTED BY TWO FF – MENTAL STRESS. FORCED RETIRE - ADA CASE PROCEED</w:t>
      </w:r>
    </w:p>
    <w:p w14:paraId="7E260DEC" w14:textId="77777777" w:rsidR="00D33F96" w:rsidRDefault="00D33F96" w:rsidP="00D33F96">
      <w:pPr>
        <w:spacing w:before="100" w:beforeAutospacing="1" w:after="100" w:afterAutospacing="1" w:line="240" w:lineRule="auto"/>
        <w:rPr>
          <w:rFonts w:ascii="Times New Roman" w:hAnsi="Times New Roman"/>
          <w:sz w:val="24"/>
          <w:szCs w:val="24"/>
        </w:rPr>
      </w:pPr>
      <w:r w:rsidRPr="00C16C93">
        <w:rPr>
          <w:rFonts w:ascii="Times New Roman" w:eastAsia="Times New Roman" w:hAnsi="Times New Roman"/>
          <w:sz w:val="24"/>
          <w:szCs w:val="24"/>
        </w:rPr>
        <w:t xml:space="preserve">On </w:t>
      </w:r>
      <w:r>
        <w:rPr>
          <w:rFonts w:ascii="Times New Roman" w:eastAsia="Times New Roman" w:hAnsi="Times New Roman"/>
          <w:sz w:val="24"/>
          <w:szCs w:val="24"/>
        </w:rPr>
        <w:t xml:space="preserve">June 14, 2023, in </w:t>
      </w:r>
      <w:r w:rsidRPr="00C16C93">
        <w:rPr>
          <w:rFonts w:ascii="Times New Roman" w:eastAsia="Times New Roman" w:hAnsi="Times New Roman"/>
          <w:sz w:val="24"/>
          <w:szCs w:val="24"/>
          <w:u w:val="single"/>
        </w:rPr>
        <w:t>Nicole Rena McCrea v. District of Columbia, et al</w:t>
      </w:r>
      <w:r>
        <w:rPr>
          <w:rFonts w:ascii="Times New Roman" w:eastAsia="Times New Roman" w:hAnsi="Times New Roman"/>
          <w:sz w:val="24"/>
          <w:szCs w:val="24"/>
        </w:rPr>
        <w:t>., U.S. District Court Judge Tanya S. Chatan, U.S. District Court for District of Columbia, denied the City’s motion to dismiss her ADA case</w:t>
      </w:r>
      <w:r>
        <w:rPr>
          <w:rFonts w:ascii="Times New Roman" w:hAnsi="Times New Roman"/>
          <w:sz w:val="24"/>
          <w:szCs w:val="24"/>
        </w:rPr>
        <w:t xml:space="preserve">. </w:t>
      </w:r>
    </w:p>
    <w:p w14:paraId="14F107A7" w14:textId="77777777" w:rsidR="00D33F96" w:rsidRDefault="00D33F96" w:rsidP="00D33F96">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The Court held: </w:t>
      </w:r>
      <w:r w:rsidRPr="00092C19">
        <w:rPr>
          <w:rFonts w:ascii="Times New Roman" w:hAnsi="Times New Roman"/>
          <w:sz w:val="24"/>
          <w:szCs w:val="24"/>
        </w:rPr>
        <w:t xml:space="preserve">“Plaintiff Nicole McCrea is a former firefighter with the District of Columbia Fire and Emergency Medical Services Department (EMS). Proceeding </w:t>
      </w:r>
      <w:r w:rsidRPr="00092C19">
        <w:rPr>
          <w:rStyle w:val="Emphasis"/>
          <w:rFonts w:ascii="Times New Roman" w:hAnsi="Times New Roman"/>
          <w:sz w:val="24"/>
          <w:szCs w:val="24"/>
        </w:rPr>
        <w:t>pro se,</w:t>
      </w:r>
      <w:r w:rsidRPr="00092C19">
        <w:rPr>
          <w:rFonts w:ascii="Times New Roman" w:hAnsi="Times New Roman"/>
          <w:sz w:val="24"/>
          <w:szCs w:val="24"/>
        </w:rPr>
        <w:t xml:space="preserve"> she alleges that in May 2013, two fellow firefighters sexually assaulted her while she was on duty, and after she reported the incident, EMS managers, government employees, and mental health professionals conspired to deny her requests to classify her subsequent behavioral health challenges as job-related injuries and to force her into </w:t>
      </w:r>
      <w:r>
        <w:rPr>
          <w:rFonts w:ascii="Times New Roman" w:hAnsi="Times New Roman"/>
          <w:sz w:val="24"/>
          <w:szCs w:val="24"/>
        </w:rPr>
        <w:t xml:space="preserve">retirement. *** </w:t>
      </w:r>
      <w:r w:rsidRPr="008A04BF">
        <w:rPr>
          <w:rFonts w:ascii="Times New Roman" w:eastAsia="Times New Roman" w:hAnsi="Times New Roman"/>
          <w:sz w:val="24"/>
          <w:szCs w:val="24"/>
        </w:rPr>
        <w:t xml:space="preserve"> </w:t>
      </w:r>
      <w:r>
        <w:rPr>
          <w:rFonts w:ascii="Times New Roman" w:hAnsi="Times New Roman"/>
          <w:sz w:val="24"/>
          <w:szCs w:val="24"/>
        </w:rPr>
        <w:t>“’W</w:t>
      </w:r>
      <w:r w:rsidRPr="008A04BF">
        <w:rPr>
          <w:rFonts w:ascii="Times New Roman" w:hAnsi="Times New Roman"/>
          <w:sz w:val="24"/>
          <w:szCs w:val="24"/>
        </w:rPr>
        <w:t xml:space="preserve">hile the viability of her claim at the summary judgment stage appears tenuous given her apparent failure to provide the </w:t>
      </w:r>
      <w:proofErr w:type="gramStart"/>
      <w:r w:rsidRPr="008A04BF">
        <w:rPr>
          <w:rFonts w:ascii="Times New Roman" w:hAnsi="Times New Roman"/>
          <w:sz w:val="24"/>
          <w:szCs w:val="24"/>
        </w:rPr>
        <w:t>District</w:t>
      </w:r>
      <w:proofErr w:type="gramEnd"/>
      <w:r w:rsidRPr="008A04BF">
        <w:rPr>
          <w:rFonts w:ascii="Times New Roman" w:hAnsi="Times New Roman"/>
          <w:sz w:val="24"/>
          <w:szCs w:val="24"/>
        </w:rPr>
        <w:t xml:space="preserve"> with the requested medical documentation,</w:t>
      </w:r>
      <w:r>
        <w:rPr>
          <w:rFonts w:ascii="Times New Roman" w:hAnsi="Times New Roman"/>
          <w:sz w:val="24"/>
          <w:szCs w:val="24"/>
        </w:rPr>
        <w:t>’</w:t>
      </w:r>
      <w:r w:rsidRPr="008A04BF">
        <w:rPr>
          <w:rFonts w:ascii="Times New Roman" w:hAnsi="Times New Roman"/>
          <w:sz w:val="24"/>
          <w:szCs w:val="24"/>
        </w:rPr>
        <w:t xml:space="preserve"> the court reaffirms that Plaintiff's allegations plausibly state </w:t>
      </w:r>
      <w:r w:rsidRPr="008A04BF">
        <w:rPr>
          <w:rFonts w:ascii="Times New Roman" w:hAnsi="Times New Roman"/>
          <w:sz w:val="24"/>
          <w:szCs w:val="24"/>
        </w:rPr>
        <w:lastRenderedPageBreak/>
        <w:t xml:space="preserve">a claim that the </w:t>
      </w:r>
      <w:proofErr w:type="gramStart"/>
      <w:r w:rsidRPr="008A04BF">
        <w:rPr>
          <w:rFonts w:ascii="Times New Roman" w:hAnsi="Times New Roman"/>
          <w:sz w:val="24"/>
          <w:szCs w:val="24"/>
        </w:rPr>
        <w:t>District</w:t>
      </w:r>
      <w:proofErr w:type="gramEnd"/>
      <w:r w:rsidRPr="008A04BF">
        <w:rPr>
          <w:rFonts w:ascii="Times New Roman" w:hAnsi="Times New Roman"/>
          <w:sz w:val="24"/>
          <w:szCs w:val="24"/>
        </w:rPr>
        <w:t xml:space="preserve"> failed to provide reasonable accommodation for her disability. </w:t>
      </w:r>
      <w:r w:rsidRPr="008A04BF">
        <w:rPr>
          <w:rStyle w:val="Emphasis"/>
          <w:rFonts w:ascii="Times New Roman" w:hAnsi="Times New Roman"/>
          <w:sz w:val="24"/>
          <w:szCs w:val="24"/>
        </w:rPr>
        <w:t>Id.</w:t>
      </w:r>
      <w:r w:rsidRPr="008A04BF">
        <w:rPr>
          <w:rFonts w:ascii="Times New Roman" w:hAnsi="Times New Roman"/>
          <w:sz w:val="24"/>
          <w:szCs w:val="24"/>
        </w:rPr>
        <w:t xml:space="preserve"> (citing 42 U.S.C. § 12112; 29 U.S.C. § 794(d)).</w:t>
      </w:r>
      <w:r>
        <w:rPr>
          <w:rFonts w:ascii="Times New Roman" w:hAnsi="Times New Roman"/>
          <w:sz w:val="24"/>
          <w:szCs w:val="24"/>
        </w:rPr>
        <w:t xml:space="preserve">” </w:t>
      </w:r>
      <w:hyperlink r:id="rId1686" w:history="1">
        <w:r w:rsidRPr="00812663">
          <w:rPr>
            <w:rStyle w:val="Hyperlink"/>
            <w:sz w:val="24"/>
            <w:szCs w:val="24"/>
          </w:rPr>
          <w:t>https://casetext.com/case/mccrea-v-dist-of-columbia-3</w:t>
        </w:r>
      </w:hyperlink>
      <w:r>
        <w:rPr>
          <w:rFonts w:ascii="Times New Roman" w:hAnsi="Times New Roman"/>
          <w:sz w:val="24"/>
          <w:szCs w:val="24"/>
        </w:rPr>
        <w:t xml:space="preserve"> </w:t>
      </w:r>
      <w:r w:rsidRPr="00EC5AAA">
        <w:rPr>
          <w:rFonts w:ascii="Times New Roman" w:hAnsi="Times New Roman"/>
          <w:sz w:val="24"/>
          <w:szCs w:val="24"/>
        </w:rPr>
        <w:t xml:space="preserve"> </w:t>
      </w:r>
      <w:r>
        <w:rPr>
          <w:rFonts w:ascii="Times New Roman" w:hAnsi="Times New Roman"/>
          <w:sz w:val="24"/>
          <w:szCs w:val="24"/>
        </w:rPr>
        <w:t xml:space="preserve"> </w:t>
      </w:r>
    </w:p>
    <w:p w14:paraId="3CC1E783" w14:textId="77777777" w:rsidR="00D33F96" w:rsidRDefault="00D33F96" w:rsidP="00D33F96">
      <w:pPr>
        <w:spacing w:before="100" w:beforeAutospacing="1" w:after="100" w:afterAutospacing="1" w:line="240" w:lineRule="auto"/>
        <w:rPr>
          <w:rFonts w:ascii="Arial Black" w:eastAsia="Times New Roman" w:hAnsi="Arial Black"/>
          <w:b/>
          <w:bCs/>
          <w:sz w:val="28"/>
          <w:szCs w:val="28"/>
        </w:rPr>
      </w:pPr>
    </w:p>
    <w:p w14:paraId="292BFB5B" w14:textId="77777777" w:rsidR="00C032D6" w:rsidRDefault="00C032D6" w:rsidP="00C032D6">
      <w:pPr>
        <w:pStyle w:val="NoSpacing"/>
        <w:rPr>
          <w:rFonts w:ascii="Arial Black" w:hAnsi="Arial Black"/>
          <w:sz w:val="24"/>
          <w:szCs w:val="24"/>
        </w:rPr>
      </w:pPr>
    </w:p>
    <w:p w14:paraId="0455599E" w14:textId="77777777" w:rsidR="00C032D6" w:rsidRDefault="00C032D6" w:rsidP="005C30A4">
      <w:pPr>
        <w:pStyle w:val="NoSpacing"/>
        <w:rPr>
          <w:rFonts w:ascii="Arial Black" w:hAnsi="Arial Black"/>
          <w:sz w:val="24"/>
          <w:szCs w:val="24"/>
        </w:rPr>
      </w:pPr>
    </w:p>
    <w:p w14:paraId="4932D11B" w14:textId="2D67DB50" w:rsidR="00477016" w:rsidRDefault="00477016" w:rsidP="005C30A4">
      <w:pPr>
        <w:pStyle w:val="NoSpacing"/>
        <w:rPr>
          <w:rFonts w:ascii="Arial Black" w:hAnsi="Arial Black"/>
          <w:sz w:val="24"/>
          <w:szCs w:val="24"/>
        </w:rPr>
      </w:pPr>
      <w:r>
        <w:rPr>
          <w:rFonts w:ascii="Arial Black" w:hAnsi="Arial Black"/>
          <w:sz w:val="24"/>
          <w:szCs w:val="24"/>
        </w:rPr>
        <w:t>9-30</w:t>
      </w:r>
    </w:p>
    <w:p w14:paraId="7936F534" w14:textId="77777777" w:rsidR="00477016" w:rsidRPr="00AC2B99" w:rsidRDefault="00477016" w:rsidP="00477016">
      <w:pPr>
        <w:pStyle w:val="NormalWeb"/>
        <w:rPr>
          <w:rFonts w:ascii="Arial Black" w:hAnsi="Arial Black"/>
          <w:b/>
          <w:bCs/>
          <w:sz w:val="28"/>
          <w:szCs w:val="28"/>
        </w:rPr>
      </w:pPr>
      <w:bookmarkStart w:id="347" w:name="_Hlk136859866"/>
      <w:r>
        <w:rPr>
          <w:rFonts w:ascii="Arial Black" w:hAnsi="Arial Black"/>
          <w:b/>
          <w:bCs/>
          <w:sz w:val="28"/>
          <w:szCs w:val="28"/>
        </w:rPr>
        <w:t xml:space="preserve">LA: 16-YR OLD AUTISM – PD (365 LBS) SITS HIM – DIES ASPHYXIATION - DOJ POOR USE “DE-ESCALATION” POLICY </w:t>
      </w:r>
    </w:p>
    <w:bookmarkEnd w:id="347"/>
    <w:p w14:paraId="4C69B7B6" w14:textId="77777777" w:rsidR="00477016" w:rsidRDefault="00477016" w:rsidP="00477016">
      <w:pPr>
        <w:pStyle w:val="NormalWeb"/>
        <w:rPr>
          <w:rStyle w:val="markedcontent"/>
        </w:rPr>
      </w:pPr>
      <w:r>
        <w:rPr>
          <w:rStyle w:val="markedcontent"/>
        </w:rPr>
        <w:t xml:space="preserve">On May 18, 2023, in </w:t>
      </w:r>
      <w:r w:rsidRPr="00AC2B99">
        <w:rPr>
          <w:rStyle w:val="markedcontent"/>
          <w:u w:val="single"/>
        </w:rPr>
        <w:t>Donna Lou, et al. v. Sheriff Joseph P. Lopinto, III, et al</w:t>
      </w:r>
      <w:r>
        <w:rPr>
          <w:rStyle w:val="markedcontent"/>
        </w:rPr>
        <w:t xml:space="preserve">., U.S. District Court Judge Wendy B. Vitter, U.S. District Court for Eastern District of Louisiana, the Judge denied the Parents’ motion for partial summary judgement; but will allow them to file an Amended Complaint and may then allow case to proceed to trial. The Judge referenced the 80-page original Complaint, including alleged violation of ADA, but did not refence the May 12, 2023, the U.S. Department of Justice “Statement of Interest” with the Court, asserting Deputy Sheriffs may have violated ADA by failure to use “de-escalation strategies” including mobile crisis team. </w:t>
      </w:r>
      <w:hyperlink r:id="rId1687" w:history="1">
        <w:r w:rsidRPr="005906DC">
          <w:rPr>
            <w:rStyle w:val="Hyperlink"/>
            <w:rFonts w:eastAsiaTheme="majorEastAsia"/>
          </w:rPr>
          <w:t>https://www.justice.gov/crt/case-document/file/1583736/download</w:t>
        </w:r>
      </w:hyperlink>
      <w:r>
        <w:rPr>
          <w:rStyle w:val="markedcontent"/>
        </w:rPr>
        <w:t xml:space="preserve">. Judge Vitter held as follows. </w:t>
      </w:r>
    </w:p>
    <w:p w14:paraId="0EB9A9A5" w14:textId="77777777" w:rsidR="00477016" w:rsidRDefault="00477016" w:rsidP="00477016">
      <w:pPr>
        <w:pStyle w:val="NormalWeb"/>
        <w:ind w:left="720"/>
      </w:pPr>
      <w:r>
        <w:rPr>
          <w:rStyle w:val="markedcontent"/>
        </w:rPr>
        <w:t>“I</w:t>
      </w:r>
      <w:r>
        <w:t>n Count Three, Plaintiffs assert official capacity claims against Sheriff Lopinto based upon violations of Title II of the Americans with Disabilities Act (the ‘ADA’) and Section 504 of the Rehabilitation Act (‘RA’), alleging that the JPSO Deputy Defendants knew that E.P. had autism and failed to reasonably accommodate him or to avoid discriminating against him based upon his disability. *** The Court points out that the only two paragraphs in the Complaint cited by Plaintiffs that specifically reference the Fourth Amendment, Paragraphs 386 and 391, allege constitutional violations based upon the action or inaction of the JPSO Deputy Defendants ‘in using excessive and unreasonable force in the seizure and restraint of E.P. and in failing to intervene or act to prevent such actions, despite having the opportunity to do so,’ and in violating, among other things, E.P.'s ‘right to freedom from unreasonable seizure’ and ‘right to freedom from the use of unreasonable, unjustified, and excessive force and summary punishment.’”</w:t>
      </w:r>
      <w:hyperlink r:id="rId1688" w:history="1">
        <w:r w:rsidRPr="005906DC">
          <w:rPr>
            <w:rStyle w:val="Hyperlink"/>
            <w:rFonts w:eastAsiaTheme="majorEastAsia"/>
          </w:rPr>
          <w:t>https://public.fastcase.com/ZZhmr5v9wN%2FXOe5IsQ%2FqD213NfZOkBOT9oUFU2NATn1Aebu4tmd%2Bdm4Fq8wJV%2BgJ%2FUz5tDo4rrQTf5JLsx7PM2RT%2BnNbiLW8av7Jbge%2Fzbw%3D?utm_medium=email&amp;_hsmi=226712652&amp;_hsenc=p2ANqtz-83LxoyDBgyJFjB5J1tvKo9--ehLEBCqV6koHeoTan0Qm4V8taXVkAh8h56UhoHEEE4y9wodFDrH_2nxx13nTAr7JOLdw&amp;utm_content=226712652&amp;utm_source=hs_email</w:t>
        </w:r>
      </w:hyperlink>
      <w:r>
        <w:t xml:space="preserve">  </w:t>
      </w:r>
    </w:p>
    <w:p w14:paraId="0BEE42D8" w14:textId="77777777" w:rsidR="00477016" w:rsidRPr="005C3E45" w:rsidRDefault="00477016" w:rsidP="00477016">
      <w:pPr>
        <w:pStyle w:val="NormalWeb"/>
        <w:rPr>
          <w:b/>
          <w:bCs/>
        </w:rPr>
      </w:pPr>
      <w:r w:rsidRPr="005C3E45">
        <w:rPr>
          <w:b/>
          <w:bCs/>
        </w:rPr>
        <w:t xml:space="preserve">Legal Lesson Learned: </w:t>
      </w:r>
      <w:r>
        <w:rPr>
          <w:b/>
          <w:bCs/>
        </w:rPr>
        <w:t xml:space="preserve">U.S. Department of Justice obviously has a high degree of interest in police affixation cases.  </w:t>
      </w:r>
    </w:p>
    <w:p w14:paraId="4E8721C0" w14:textId="77777777" w:rsidR="00477016" w:rsidRPr="005C3E45" w:rsidRDefault="00477016" w:rsidP="00477016">
      <w:pPr>
        <w:pStyle w:val="NormalWeb"/>
        <w:ind w:left="720"/>
        <w:rPr>
          <w:rFonts w:ascii="Arial" w:hAnsi="Arial" w:cs="Arial"/>
        </w:rPr>
      </w:pPr>
      <w:r>
        <w:rPr>
          <w:rStyle w:val="markedcontent"/>
        </w:rPr>
        <w:t xml:space="preserve">Note: Read the DOJ Statement of Interest, where PDs are urged to modify </w:t>
      </w:r>
      <w:proofErr w:type="spellStart"/>
      <w:proofErr w:type="gramStart"/>
      <w:r>
        <w:rPr>
          <w:rStyle w:val="markedcontent"/>
        </w:rPr>
        <w:t>there</w:t>
      </w:r>
      <w:proofErr w:type="gramEnd"/>
      <w:r>
        <w:rPr>
          <w:rStyle w:val="markedcontent"/>
        </w:rPr>
        <w:t xml:space="preserve"> response</w:t>
      </w:r>
      <w:proofErr w:type="spellEnd"/>
      <w:r>
        <w:rPr>
          <w:rStyle w:val="markedcontent"/>
        </w:rPr>
        <w:t xml:space="preserve"> policies dealing with people with disabilities. </w:t>
      </w:r>
      <w:hyperlink r:id="rId1689" w:history="1">
        <w:r w:rsidRPr="005906DC">
          <w:rPr>
            <w:rStyle w:val="Hyperlink"/>
            <w:rFonts w:eastAsiaTheme="majorEastAsia"/>
          </w:rPr>
          <w:t>https://www.justice.gov/crt/case-document/file/1583736/download</w:t>
        </w:r>
      </w:hyperlink>
      <w:r>
        <w:rPr>
          <w:rStyle w:val="markedcontent"/>
        </w:rPr>
        <w:t xml:space="preserve"> </w:t>
      </w:r>
      <w:r w:rsidRPr="005C3E45">
        <w:t xml:space="preserve"> </w:t>
      </w:r>
    </w:p>
    <w:p w14:paraId="31268EF4" w14:textId="77777777" w:rsidR="00477016" w:rsidRPr="005C3E45" w:rsidRDefault="00477016" w:rsidP="00477016">
      <w:pPr>
        <w:pStyle w:val="NormalWeb"/>
        <w:ind w:left="720"/>
        <w:rPr>
          <w:rStyle w:val="markedcontent"/>
        </w:rPr>
      </w:pPr>
      <w:r>
        <w:rPr>
          <w:rStyle w:val="markedcontent"/>
        </w:rPr>
        <w:t>“</w:t>
      </w:r>
      <w:r w:rsidRPr="005C3E45">
        <w:rPr>
          <w:rStyle w:val="markedcontent"/>
        </w:rPr>
        <w:t>Modifications that may have been reasonable for officers to implement, depending on the circumstances and existing services, include dispatching crisis intervention trained officers or arranging for a mobile crisis team to respond; using de-escalation strategies; removing distractions and providing time and space to calm the situation when the child poses no significant safety threat; and avoiding or minimizing touching a child whose disability makes them sensitive to touch.</w:t>
      </w:r>
      <w:r w:rsidRPr="005C3E45">
        <w:t xml:space="preserve"> If</w:t>
      </w:r>
      <w:r w:rsidRPr="005C3E45">
        <w:rPr>
          <w:rStyle w:val="markedcontent"/>
        </w:rPr>
        <w:t xml:space="preserve"> available, officers should enlist a child’s parent, guardian, treating medical professional, or another trusted support person, to help to effectively communicate with the child and de-escalate the situation.</w:t>
      </w:r>
      <w:r>
        <w:rPr>
          <w:rStyle w:val="markedcontent"/>
        </w:rPr>
        <w:t>”</w:t>
      </w:r>
    </w:p>
    <w:p w14:paraId="5E18405F" w14:textId="77777777" w:rsidR="00477016" w:rsidRDefault="00477016" w:rsidP="005C30A4">
      <w:pPr>
        <w:pStyle w:val="NoSpacing"/>
        <w:rPr>
          <w:rFonts w:ascii="Arial Black" w:hAnsi="Arial Black"/>
          <w:sz w:val="24"/>
          <w:szCs w:val="24"/>
        </w:rPr>
      </w:pPr>
    </w:p>
    <w:p w14:paraId="3108848D" w14:textId="4F253EA0" w:rsidR="00477016" w:rsidRDefault="00477016" w:rsidP="005C30A4">
      <w:pPr>
        <w:pStyle w:val="NoSpacing"/>
        <w:rPr>
          <w:rFonts w:ascii="Arial Black" w:hAnsi="Arial Black"/>
          <w:sz w:val="24"/>
          <w:szCs w:val="24"/>
        </w:rPr>
      </w:pPr>
      <w:r>
        <w:rPr>
          <w:rFonts w:ascii="Arial Black" w:hAnsi="Arial Black"/>
          <w:sz w:val="24"/>
          <w:szCs w:val="24"/>
        </w:rPr>
        <w:t>9-29</w:t>
      </w:r>
    </w:p>
    <w:p w14:paraId="4E005429" w14:textId="77777777" w:rsidR="00477016" w:rsidRDefault="00477016" w:rsidP="00477016">
      <w:pPr>
        <w:pStyle w:val="NormalWeb"/>
        <w:rPr>
          <w:rFonts w:ascii="Arial Black" w:hAnsi="Arial Black"/>
          <w:sz w:val="28"/>
          <w:szCs w:val="28"/>
        </w:rPr>
      </w:pPr>
      <w:bookmarkStart w:id="348" w:name="_Hlk136860023"/>
      <w:r>
        <w:rPr>
          <w:rFonts w:ascii="Arial Black" w:hAnsi="Arial Black"/>
          <w:sz w:val="28"/>
          <w:szCs w:val="28"/>
        </w:rPr>
        <w:t>OH: TRANSGENDER EMT FIRED 2 MONTHS – “RUDE” COMMENTS HOSP – “REGARDED AS” CASE PROCEED</w:t>
      </w:r>
    </w:p>
    <w:bookmarkEnd w:id="348"/>
    <w:p w14:paraId="7DA98188" w14:textId="77777777" w:rsidR="00477016" w:rsidRPr="00477016" w:rsidRDefault="00477016" w:rsidP="00477016">
      <w:pPr>
        <w:pStyle w:val="NormalWeb"/>
      </w:pPr>
      <w:r w:rsidRPr="00477016">
        <w:t xml:space="preserve">On May 12, 2023, in </w:t>
      </w:r>
      <w:r w:rsidRPr="00477016">
        <w:rPr>
          <w:u w:val="single"/>
        </w:rPr>
        <w:t>Rayne S. Fedder v. Ohio Medical Transportation, Inc</w:t>
      </w:r>
      <w:r w:rsidRPr="00477016">
        <w:t xml:space="preserve">., U.S, Magistrate Judge Chelsey M. </w:t>
      </w:r>
      <w:proofErr w:type="spellStart"/>
      <w:r w:rsidRPr="00477016">
        <w:t>Vascura</w:t>
      </w:r>
      <w:proofErr w:type="spellEnd"/>
      <w:r w:rsidRPr="00477016">
        <w:t xml:space="preserve"> issued a Report and Recommendation to U.S. District Court Judge Saras D. Morrison, finding that plaintiff was fired after two months on the job, and while her claims of hostile work environment must be dismissed since she didn’t report incidents to management (for example, comments that she “stands up to pee”), she may proceed on claim that management fired her because she was “regard as” disabled.  On April 19, 2022, plaintiff and her partner were at a hospital to transport a psychiatric patient to Columbus Springs, In Dublin, OH, when plaintiff made strange comments to hospital staff., was placed on Administrative Leave and was fired on May 3, 2022.</w:t>
      </w:r>
    </w:p>
    <w:p w14:paraId="51EB614B" w14:textId="6ADB3A09" w:rsidR="00477016" w:rsidRDefault="00477016" w:rsidP="00477016">
      <w:pPr>
        <w:pStyle w:val="NoSpacing"/>
        <w:rPr>
          <w:rStyle w:val="Hyperlink"/>
          <w:rFonts w:ascii="Times New Roman" w:eastAsiaTheme="majorEastAsia" w:hAnsi="Times New Roman"/>
          <w:sz w:val="24"/>
          <w:szCs w:val="24"/>
        </w:rPr>
      </w:pPr>
      <w:r w:rsidRPr="00477016">
        <w:rPr>
          <w:rFonts w:ascii="Times New Roman" w:hAnsi="Times New Roman"/>
          <w:sz w:val="24"/>
          <w:szCs w:val="24"/>
        </w:rPr>
        <w:t xml:space="preserve">“On the evening of April 19, 2022, Plaintiff and her partner were dispatched to </w:t>
      </w:r>
      <w:proofErr w:type="spellStart"/>
      <w:r w:rsidRPr="00477016">
        <w:rPr>
          <w:rFonts w:ascii="Times New Roman" w:hAnsi="Times New Roman"/>
          <w:sz w:val="24"/>
          <w:szCs w:val="24"/>
        </w:rPr>
        <w:t>O'Bleness</w:t>
      </w:r>
      <w:proofErr w:type="spellEnd"/>
      <w:r w:rsidRPr="00477016">
        <w:rPr>
          <w:rFonts w:ascii="Times New Roman" w:hAnsi="Times New Roman"/>
          <w:sz w:val="24"/>
          <w:szCs w:val="24"/>
        </w:rPr>
        <w:t xml:space="preserve"> Memorial Hospital to transport a psychiatric patient to Columbus Springs Dublin…. Plaintiff felt that </w:t>
      </w:r>
      <w:proofErr w:type="spellStart"/>
      <w:r w:rsidRPr="00477016">
        <w:rPr>
          <w:rFonts w:ascii="Times New Roman" w:hAnsi="Times New Roman"/>
          <w:sz w:val="24"/>
          <w:szCs w:val="24"/>
        </w:rPr>
        <w:t>O'Bleness</w:t>
      </w:r>
      <w:proofErr w:type="spellEnd"/>
      <w:r w:rsidRPr="00477016">
        <w:rPr>
          <w:rFonts w:ascii="Times New Roman" w:hAnsi="Times New Roman"/>
          <w:sz w:val="24"/>
          <w:szCs w:val="24"/>
        </w:rPr>
        <w:t xml:space="preserve"> staff were not performing their jobs properly and voiced criticisms of the use of an armed security officer (‘asking what he even needed that gun holstered to his hip for, and </w:t>
      </w:r>
      <w:proofErr w:type="spellStart"/>
      <w:r w:rsidRPr="00477016">
        <w:rPr>
          <w:rFonts w:ascii="Times New Roman" w:hAnsi="Times New Roman"/>
          <w:sz w:val="24"/>
          <w:szCs w:val="24"/>
        </w:rPr>
        <w:t>quipp</w:t>
      </w:r>
      <w:proofErr w:type="spellEnd"/>
      <w:r w:rsidRPr="00477016">
        <w:rPr>
          <w:rFonts w:ascii="Times New Roman" w:hAnsi="Times New Roman"/>
          <w:sz w:val="24"/>
          <w:szCs w:val="24"/>
        </w:rPr>
        <w:t>[</w:t>
      </w:r>
      <w:proofErr w:type="spellStart"/>
      <w:r w:rsidRPr="00477016">
        <w:rPr>
          <w:rFonts w:ascii="Times New Roman" w:hAnsi="Times New Roman"/>
          <w:sz w:val="24"/>
          <w:szCs w:val="24"/>
        </w:rPr>
        <w:t>ing</w:t>
      </w:r>
      <w:proofErr w:type="spellEnd"/>
      <w:r w:rsidRPr="00477016">
        <w:rPr>
          <w:rFonts w:ascii="Times New Roman" w:hAnsi="Times New Roman"/>
          <w:sz w:val="24"/>
          <w:szCs w:val="24"/>
        </w:rPr>
        <w:t xml:space="preserve">] that he probably did not know how to operate it’) and the poor quality of the paperwork provided by the nursing staff (‘Plaintiff does not remember saying that the report from the charge nurse about the patient was ‘shitty,' though Plaintiff does concede that the sentiment was there….) Plaintiff also alleges that the desk attendant asked how Plaintiff was doing, and Plaintiff said ‘something about how she would be doing much better if she passed or if she did not work with a bunch of creepy bigots, or something of the sort….’After some resistance by the patient, Plaintiff, her partner, and other </w:t>
      </w:r>
      <w:proofErr w:type="spellStart"/>
      <w:r w:rsidRPr="00477016">
        <w:rPr>
          <w:rFonts w:ascii="Times New Roman" w:hAnsi="Times New Roman"/>
          <w:sz w:val="24"/>
          <w:szCs w:val="24"/>
        </w:rPr>
        <w:t>O'Blenness</w:t>
      </w:r>
      <w:proofErr w:type="spellEnd"/>
      <w:r w:rsidRPr="00477016">
        <w:rPr>
          <w:rFonts w:ascii="Times New Roman" w:hAnsi="Times New Roman"/>
          <w:sz w:val="24"/>
          <w:szCs w:val="24"/>
        </w:rPr>
        <w:t xml:space="preserve"> staff were able to buckle the patient to a stretcher and the patient was transported without further incident.” </w:t>
      </w:r>
      <w:hyperlink r:id="rId1690" w:history="1">
        <w:r w:rsidRPr="00477016">
          <w:rPr>
            <w:rStyle w:val="Hyperlink"/>
            <w:rFonts w:ascii="Times New Roman" w:eastAsiaTheme="majorEastAsia" w:hAnsi="Times New Roman"/>
            <w:sz w:val="24"/>
            <w:szCs w:val="24"/>
          </w:rPr>
          <w:t>https://public.fastcase.com/ZZhmr5v9wN%2FXOe5IsQ%2FqD5cOg4uDiWBiDgRVwEX7HkTgzpDy2YRC9dWsCSpL5q7NwLkYpJ%2BBy0X6CQVC4aXC0tZJlDrCMk2fa2%2Fy73T5jjU%3D?utm_medium=email&amp;_hsmi=226712652&amp;_hsenc=p2ANqtz-8FJorPS84jztogf_8o7olLe4m03Y-oUT6vKuzTkvf9gKaTxn2WPOeYqAoz6gwdnY0JMEeLDG0EyTmUqJkqtPPBYQ-lng&amp;utm_content=226712652&amp;utm_source=hs_email</w:t>
        </w:r>
      </w:hyperlink>
    </w:p>
    <w:p w14:paraId="467C4C28" w14:textId="77777777" w:rsidR="00477016" w:rsidRDefault="00477016" w:rsidP="00477016">
      <w:pPr>
        <w:pStyle w:val="NoSpacing"/>
        <w:rPr>
          <w:rStyle w:val="Hyperlink"/>
          <w:rFonts w:ascii="Times New Roman" w:eastAsiaTheme="majorEastAsia" w:hAnsi="Times New Roman"/>
          <w:sz w:val="24"/>
          <w:szCs w:val="24"/>
        </w:rPr>
      </w:pPr>
    </w:p>
    <w:p w14:paraId="614C5FEE" w14:textId="77777777" w:rsidR="00477016" w:rsidRDefault="00477016" w:rsidP="00477016">
      <w:pPr>
        <w:pStyle w:val="NormalWeb"/>
        <w:rPr>
          <w:b/>
          <w:bCs/>
        </w:rPr>
      </w:pPr>
      <w:r w:rsidRPr="00135F52">
        <w:rPr>
          <w:b/>
          <w:bCs/>
        </w:rPr>
        <w:t>Legal Lesson Learned:</w:t>
      </w:r>
      <w:r>
        <w:rPr>
          <w:b/>
          <w:bCs/>
        </w:rPr>
        <w:t xml:space="preserve"> Case will now proceed to pre-trial discovery. </w:t>
      </w:r>
    </w:p>
    <w:p w14:paraId="4A090F51" w14:textId="77777777" w:rsidR="00477016" w:rsidRPr="00477016" w:rsidRDefault="00477016" w:rsidP="00477016">
      <w:pPr>
        <w:pStyle w:val="Heading2"/>
        <w:ind w:left="720"/>
        <w:rPr>
          <w:rFonts w:ascii="Times New Roman" w:hAnsi="Times New Roman"/>
          <w:b w:val="0"/>
          <w:bCs w:val="0"/>
          <w:i w:val="0"/>
          <w:iCs w:val="0"/>
          <w:sz w:val="24"/>
          <w:szCs w:val="24"/>
        </w:rPr>
      </w:pPr>
      <w:r w:rsidRPr="00477016">
        <w:rPr>
          <w:rFonts w:ascii="Times New Roman" w:hAnsi="Times New Roman"/>
          <w:b w:val="0"/>
          <w:bCs w:val="0"/>
          <w:i w:val="0"/>
          <w:iCs w:val="0"/>
          <w:sz w:val="24"/>
          <w:szCs w:val="24"/>
        </w:rPr>
        <w:t xml:space="preserve">Note: See EEOC Guidance on “regarded as” disabilities.  </w:t>
      </w:r>
      <w:hyperlink r:id="rId1691" w:history="1">
        <w:r w:rsidRPr="00477016">
          <w:rPr>
            <w:rStyle w:val="Hyperlink"/>
            <w:rFonts w:ascii="Times New Roman" w:hAnsi="Times New Roman"/>
            <w:b w:val="0"/>
            <w:bCs w:val="0"/>
            <w:i w:val="0"/>
            <w:iCs w:val="0"/>
            <w:sz w:val="24"/>
            <w:szCs w:val="24"/>
          </w:rPr>
          <w:t>https://www.eeoc.gov/laws/guidance/questions-and-answers-final-rule-implementing-ada-amendments-act-2008</w:t>
        </w:r>
      </w:hyperlink>
      <w:r w:rsidRPr="00477016">
        <w:rPr>
          <w:rFonts w:ascii="Times New Roman" w:hAnsi="Times New Roman"/>
          <w:b w:val="0"/>
          <w:bCs w:val="0"/>
          <w:i w:val="0"/>
          <w:iCs w:val="0"/>
          <w:sz w:val="24"/>
          <w:szCs w:val="24"/>
        </w:rPr>
        <w:t xml:space="preserve"> </w:t>
      </w:r>
    </w:p>
    <w:p w14:paraId="589D78CE" w14:textId="77777777" w:rsidR="00477016" w:rsidRPr="00477016" w:rsidRDefault="00477016" w:rsidP="00477016">
      <w:pPr>
        <w:pStyle w:val="Heading2"/>
        <w:ind w:left="720" w:firstLine="720"/>
        <w:rPr>
          <w:rFonts w:ascii="Times New Roman" w:hAnsi="Times New Roman"/>
          <w:b w:val="0"/>
          <w:bCs w:val="0"/>
          <w:i w:val="0"/>
          <w:iCs w:val="0"/>
          <w:sz w:val="24"/>
          <w:szCs w:val="24"/>
        </w:rPr>
      </w:pPr>
      <w:r w:rsidRPr="00477016">
        <w:rPr>
          <w:rFonts w:ascii="Times New Roman" w:hAnsi="Times New Roman"/>
          <w:b w:val="0"/>
          <w:bCs w:val="0"/>
          <w:i w:val="0"/>
          <w:iCs w:val="0"/>
          <w:sz w:val="24"/>
          <w:szCs w:val="24"/>
        </w:rPr>
        <w:t xml:space="preserve">How does the ADAAA define "disability?" </w:t>
      </w:r>
    </w:p>
    <w:p w14:paraId="2C3063A2" w14:textId="77777777" w:rsidR="00477016" w:rsidRPr="00477016" w:rsidRDefault="00477016" w:rsidP="00477016">
      <w:pPr>
        <w:pStyle w:val="Heading2"/>
        <w:ind w:left="1440"/>
        <w:rPr>
          <w:rFonts w:ascii="Times New Roman" w:hAnsi="Times New Roman"/>
          <w:b w:val="0"/>
          <w:bCs w:val="0"/>
          <w:i w:val="0"/>
          <w:iCs w:val="0"/>
          <w:sz w:val="24"/>
          <w:szCs w:val="24"/>
        </w:rPr>
      </w:pPr>
      <w:r w:rsidRPr="00477016">
        <w:rPr>
          <w:rFonts w:ascii="Times New Roman" w:hAnsi="Times New Roman"/>
          <w:b w:val="0"/>
          <w:bCs w:val="0"/>
          <w:i w:val="0"/>
          <w:iCs w:val="0"/>
          <w:sz w:val="24"/>
          <w:szCs w:val="24"/>
        </w:rPr>
        <w:t xml:space="preserve">The ADA Amendments Act of 2008 (ADAAA) was enacted on September 25, 2008, and became effective on January 1, 2009. This law made </w:t>
      </w:r>
      <w:proofErr w:type="gramStart"/>
      <w:r w:rsidRPr="00477016">
        <w:rPr>
          <w:rFonts w:ascii="Times New Roman" w:hAnsi="Times New Roman"/>
          <w:b w:val="0"/>
          <w:bCs w:val="0"/>
          <w:i w:val="0"/>
          <w:iCs w:val="0"/>
          <w:sz w:val="24"/>
          <w:szCs w:val="24"/>
        </w:rPr>
        <w:t>a number of</w:t>
      </w:r>
      <w:proofErr w:type="gramEnd"/>
      <w:r w:rsidRPr="00477016">
        <w:rPr>
          <w:rFonts w:ascii="Times New Roman" w:hAnsi="Times New Roman"/>
          <w:b w:val="0"/>
          <w:bCs w:val="0"/>
          <w:i w:val="0"/>
          <w:iCs w:val="0"/>
          <w:sz w:val="24"/>
          <w:szCs w:val="24"/>
        </w:rPr>
        <w:t xml:space="preserve"> significant changes to the definition of "disability." ***</w:t>
      </w:r>
    </w:p>
    <w:p w14:paraId="576B0DCD" w14:textId="77777777" w:rsidR="00477016" w:rsidRPr="00477016" w:rsidRDefault="00477016" w:rsidP="00477016">
      <w:pPr>
        <w:ind w:left="1440"/>
        <w:rPr>
          <w:rFonts w:ascii="Times New Roman" w:hAnsi="Times New Roman"/>
          <w:sz w:val="24"/>
          <w:szCs w:val="24"/>
        </w:rPr>
      </w:pPr>
      <w:r w:rsidRPr="00477016">
        <w:rPr>
          <w:rFonts w:ascii="Times New Roman" w:hAnsi="Times New Roman"/>
          <w:sz w:val="24"/>
          <w:szCs w:val="24"/>
        </w:rPr>
        <w:t>The ADAAA and the final regulations define a disability using a three-pronged approach:</w:t>
      </w:r>
    </w:p>
    <w:p w14:paraId="40FD440B" w14:textId="77777777" w:rsidR="00477016" w:rsidRPr="00477016" w:rsidRDefault="00477016" w:rsidP="00477016">
      <w:pPr>
        <w:numPr>
          <w:ilvl w:val="0"/>
          <w:numId w:val="16"/>
        </w:numPr>
        <w:spacing w:before="100" w:beforeAutospacing="1" w:after="100" w:afterAutospacing="1" w:line="240" w:lineRule="auto"/>
        <w:rPr>
          <w:rFonts w:ascii="Times New Roman" w:hAnsi="Times New Roman"/>
          <w:sz w:val="24"/>
          <w:szCs w:val="24"/>
        </w:rPr>
      </w:pPr>
      <w:r w:rsidRPr="00477016">
        <w:rPr>
          <w:rFonts w:ascii="Times New Roman" w:hAnsi="Times New Roman"/>
          <w:sz w:val="24"/>
          <w:szCs w:val="24"/>
        </w:rPr>
        <w:t>a physical or mental impairment that substantially limits one or more major life activities (sometimes referred to in the regulations as an "actual disability"), or</w:t>
      </w:r>
    </w:p>
    <w:p w14:paraId="4F283A47" w14:textId="77777777" w:rsidR="00477016" w:rsidRPr="00477016" w:rsidRDefault="00477016" w:rsidP="00477016">
      <w:pPr>
        <w:numPr>
          <w:ilvl w:val="0"/>
          <w:numId w:val="16"/>
        </w:numPr>
        <w:spacing w:before="100" w:beforeAutospacing="1" w:after="100" w:afterAutospacing="1" w:line="240" w:lineRule="auto"/>
        <w:rPr>
          <w:rFonts w:ascii="Times New Roman" w:hAnsi="Times New Roman"/>
          <w:sz w:val="24"/>
          <w:szCs w:val="24"/>
        </w:rPr>
      </w:pPr>
      <w:r w:rsidRPr="00477016">
        <w:rPr>
          <w:rFonts w:ascii="Times New Roman" w:hAnsi="Times New Roman"/>
          <w:sz w:val="24"/>
          <w:szCs w:val="24"/>
        </w:rPr>
        <w:lastRenderedPageBreak/>
        <w:t>a record of a physical or mental impairment that substantially limited a major life activity ("record of"), or</w:t>
      </w:r>
    </w:p>
    <w:p w14:paraId="55509F4B" w14:textId="77777777" w:rsidR="00477016" w:rsidRPr="00477016" w:rsidRDefault="00477016" w:rsidP="00477016">
      <w:pPr>
        <w:numPr>
          <w:ilvl w:val="0"/>
          <w:numId w:val="16"/>
        </w:numPr>
        <w:spacing w:before="100" w:beforeAutospacing="1" w:after="100" w:afterAutospacing="1" w:line="240" w:lineRule="auto"/>
        <w:rPr>
          <w:rFonts w:ascii="Times New Roman" w:hAnsi="Times New Roman"/>
          <w:sz w:val="24"/>
          <w:szCs w:val="24"/>
        </w:rPr>
      </w:pPr>
      <w:r w:rsidRPr="00477016">
        <w:rPr>
          <w:rFonts w:ascii="Times New Roman" w:hAnsi="Times New Roman"/>
          <w:sz w:val="24"/>
          <w:szCs w:val="24"/>
        </w:rPr>
        <w:t>when a covered entity takes an action prohibited by the ADA because of an actual or perceived impairment that is not both transitory and minor ("regarded as"). [Section 1630.2(g)].</w:t>
      </w:r>
    </w:p>
    <w:p w14:paraId="0C2778A7" w14:textId="77777777" w:rsidR="00477016" w:rsidRPr="00477016" w:rsidRDefault="00477016" w:rsidP="00477016">
      <w:pPr>
        <w:pStyle w:val="NoSpacing"/>
        <w:rPr>
          <w:rFonts w:ascii="Times New Roman" w:hAnsi="Times New Roman"/>
          <w:sz w:val="24"/>
          <w:szCs w:val="24"/>
        </w:rPr>
      </w:pPr>
    </w:p>
    <w:p w14:paraId="47C43F5D" w14:textId="77777777" w:rsidR="00477016" w:rsidRPr="00477016" w:rsidRDefault="00477016" w:rsidP="005C30A4">
      <w:pPr>
        <w:pStyle w:val="NoSpacing"/>
        <w:rPr>
          <w:rFonts w:ascii="Times New Roman" w:hAnsi="Times New Roman"/>
          <w:sz w:val="24"/>
          <w:szCs w:val="24"/>
        </w:rPr>
      </w:pPr>
    </w:p>
    <w:p w14:paraId="624B5FA0" w14:textId="77777777" w:rsidR="00477016" w:rsidRDefault="00477016" w:rsidP="005C30A4">
      <w:pPr>
        <w:pStyle w:val="NoSpacing"/>
        <w:rPr>
          <w:rFonts w:ascii="Arial Black" w:hAnsi="Arial Black"/>
          <w:sz w:val="24"/>
          <w:szCs w:val="24"/>
        </w:rPr>
      </w:pPr>
    </w:p>
    <w:p w14:paraId="26CCBE83" w14:textId="77777777" w:rsidR="00477016" w:rsidRDefault="00477016" w:rsidP="005C30A4">
      <w:pPr>
        <w:pStyle w:val="NoSpacing"/>
        <w:rPr>
          <w:rFonts w:ascii="Arial Black" w:hAnsi="Arial Black"/>
          <w:sz w:val="24"/>
          <w:szCs w:val="24"/>
        </w:rPr>
      </w:pPr>
    </w:p>
    <w:p w14:paraId="30149857" w14:textId="00A0759D" w:rsidR="003F788B" w:rsidRDefault="003F788B" w:rsidP="005C30A4">
      <w:pPr>
        <w:pStyle w:val="NoSpacing"/>
        <w:rPr>
          <w:rFonts w:ascii="Arial Black" w:hAnsi="Arial Black"/>
          <w:sz w:val="24"/>
          <w:szCs w:val="24"/>
        </w:rPr>
      </w:pPr>
      <w:r>
        <w:rPr>
          <w:rFonts w:ascii="Arial Black" w:hAnsi="Arial Black"/>
          <w:sz w:val="24"/>
          <w:szCs w:val="24"/>
        </w:rPr>
        <w:t>9-28</w:t>
      </w:r>
    </w:p>
    <w:p w14:paraId="1756C8DD" w14:textId="77777777" w:rsidR="003F788B" w:rsidRDefault="003F788B" w:rsidP="003F788B">
      <w:pPr>
        <w:pStyle w:val="NormalWeb"/>
        <w:rPr>
          <w:rFonts w:ascii="Arial Black" w:hAnsi="Arial Black"/>
          <w:sz w:val="28"/>
          <w:szCs w:val="28"/>
        </w:rPr>
      </w:pPr>
      <w:r>
        <w:rPr>
          <w:rFonts w:ascii="Arial Black" w:hAnsi="Arial Black"/>
          <w:sz w:val="28"/>
          <w:szCs w:val="28"/>
        </w:rPr>
        <w:t xml:space="preserve">UT: ADA - FEMALE BAT. CHIEF DEMOTED CAPT – SEVERE ANXIETY, NO ACCOMODATIONS - LAWSUIT PROCEED </w:t>
      </w:r>
    </w:p>
    <w:p w14:paraId="77647D81" w14:textId="77777777" w:rsidR="003F788B" w:rsidRDefault="003F788B" w:rsidP="003F788B">
      <w:pPr>
        <w:pStyle w:val="NormalWeb"/>
      </w:pPr>
      <w:r>
        <w:t xml:space="preserve">On March 31, 2023, in </w:t>
      </w:r>
      <w:r>
        <w:rPr>
          <w:u w:val="single"/>
        </w:rPr>
        <w:t>Martha Ellis v. Salt Lake City Corporation, Karl Lieb, Brian Dale, and Robert McMicken</w:t>
      </w:r>
      <w:r>
        <w:t xml:space="preserve">, U.S, Magistrate Judge Jared C. Bennett denied the </w:t>
      </w:r>
      <w:proofErr w:type="gramStart"/>
      <w:r>
        <w:t>City</w:t>
      </w:r>
      <w:proofErr w:type="gramEnd"/>
      <w:r>
        <w:t xml:space="preserve"> and individual defendants’ motion for summary judgment.  Martha Ellis joined the Salt Lake City Fire Department as a firefighter in 1994; in 2004, she was promoted to Fire Captain and served as the Fire Marshal for the Salt Lake City International Airport; in 2009, she was promoted to Battalion Chief and assigned as the City Fire Marshal and Fire Prevention Bureau Division Chief. She served in this capacity until 2014. On May 3, 2016, she was demoted to Captain; she filed charge of discrimination with EEOC, and went on FMLA leave for severe anxiety, and when no light duty accommodation was offered, she was fired in March 2017 due to “your unavailability to return to work at this time.”  Shortly after she was fired, the City’s Civil Service Commission reversed her demotion, but she was never allowed back to work.</w:t>
      </w:r>
    </w:p>
    <w:p w14:paraId="652FB90B" w14:textId="77777777" w:rsidR="003F788B" w:rsidRDefault="003F788B" w:rsidP="003F788B">
      <w:pPr>
        <w:pStyle w:val="NormalWeb"/>
      </w:pPr>
      <w:r>
        <w:t>The Court held the lawsuit may proceed:</w:t>
      </w:r>
    </w:p>
    <w:p w14:paraId="72DACC82" w14:textId="77777777" w:rsidR="003F788B" w:rsidRDefault="003F788B" w:rsidP="003F788B">
      <w:pPr>
        <w:pStyle w:val="NormalWeb"/>
        <w:ind w:left="720"/>
      </w:pPr>
      <w:r>
        <w:rPr>
          <w:rStyle w:val="Strong"/>
        </w:rPr>
        <w:t>“FAILURE TO ACCOMMODATE…</w:t>
      </w:r>
      <w:r>
        <w:t xml:space="preserve"> After examining each party's analysis of the facts, the court finds that Ellis's evidence is sufficient to support her failure to accommodate claim….  Ellis claims that the City rejected two plausibly reasonable accommodations: (1) medical leave for her condition until the CSC appeal was resolved, and (2) the opportunity to receive some form of training from the Department on a temporary part-time schedule of five-hours a day, four-days a week…. The court agrees with Ellis that her requests for </w:t>
      </w:r>
      <w:proofErr w:type="gramStart"/>
      <w:r>
        <w:t>these accommodations</w:t>
      </w:r>
      <w:proofErr w:type="gramEnd"/>
      <w:r>
        <w:t xml:space="preserve"> were plausibly reasonable.</w:t>
      </w:r>
    </w:p>
    <w:p w14:paraId="4EE49E8C" w14:textId="77777777" w:rsidR="003F788B" w:rsidRDefault="003F788B" w:rsidP="003F788B">
      <w:pPr>
        <w:pStyle w:val="NormalWeb"/>
        <w:ind w:left="720"/>
      </w:pPr>
      <w:r>
        <w:rPr>
          <w:rStyle w:val="Strong"/>
        </w:rPr>
        <w:t>***</w:t>
      </w:r>
    </w:p>
    <w:p w14:paraId="33A33C7F" w14:textId="77777777" w:rsidR="003F788B" w:rsidRDefault="003F788B" w:rsidP="003F788B">
      <w:pPr>
        <w:pStyle w:val="NormalWeb"/>
        <w:ind w:left="720"/>
      </w:pPr>
      <w:r>
        <w:rPr>
          <w:rStyle w:val="Strong"/>
        </w:rPr>
        <w:t xml:space="preserve">DISABILITY DISCRIMINATION AND RETALIATION… </w:t>
      </w:r>
      <w:r>
        <w:t>Thus, a jury could find that the City's reason for termination was pretextual. In sum, Ellis has established that she has viable discrimination and retaliation claims under the ADA. As a result, all three of her ADA claims may proceed to trial.</w:t>
      </w:r>
    </w:p>
    <w:p w14:paraId="1854B399" w14:textId="77777777" w:rsidR="003F788B" w:rsidRDefault="003F788B" w:rsidP="003F788B">
      <w:pPr>
        <w:pStyle w:val="NormalWeb"/>
        <w:ind w:left="720"/>
      </w:pPr>
      <w:r>
        <w:rPr>
          <w:rStyle w:val="Strong"/>
        </w:rPr>
        <w:t>***</w:t>
      </w:r>
    </w:p>
    <w:p w14:paraId="047AB7CC" w14:textId="77777777" w:rsidR="003F788B" w:rsidRDefault="003F788B" w:rsidP="003F788B">
      <w:pPr>
        <w:pStyle w:val="NormalWeb"/>
        <w:ind w:left="720"/>
      </w:pPr>
      <w:r>
        <w:rPr>
          <w:rStyle w:val="Strong"/>
        </w:rPr>
        <w:t xml:space="preserve">SEX DISCRIMINATION AND RETALIATION CLAIMS… </w:t>
      </w:r>
      <w:r>
        <w:t>In sum, Ellis establishes prima facie cases of sex discrimination and retaliation under Title VII and § 1983. Because she presents evidence tending to show that Defendants' proffered reasons for taking adverse employment actions against her are pretextual, her claims survive summary judgment.</w:t>
      </w:r>
    </w:p>
    <w:p w14:paraId="72E9BDF6" w14:textId="77777777" w:rsidR="003F788B" w:rsidRDefault="003F788B" w:rsidP="003F788B">
      <w:pPr>
        <w:pStyle w:val="NormalWeb"/>
        <w:ind w:left="720"/>
      </w:pPr>
      <w:r>
        <w:rPr>
          <w:rStyle w:val="Strong"/>
        </w:rPr>
        <w:t>***</w:t>
      </w:r>
    </w:p>
    <w:p w14:paraId="0C2970B2" w14:textId="77777777" w:rsidR="003F788B" w:rsidRDefault="003F788B" w:rsidP="003F788B">
      <w:pPr>
        <w:pStyle w:val="NormalWeb"/>
        <w:ind w:left="720"/>
      </w:pPr>
      <w:r>
        <w:rPr>
          <w:rStyle w:val="Strong"/>
        </w:rPr>
        <w:lastRenderedPageBreak/>
        <w:t xml:space="preserve">HOSTILE WORK ENVIRONMENT CLAIMS… </w:t>
      </w:r>
      <w:r>
        <w:t xml:space="preserve">A jury could find that this treatment of Ellis, along with the sexist insults lobbed her way, significantly impeded her ability to work and, thus, constituted a hostile work environment.” </w:t>
      </w:r>
      <w:hyperlink r:id="rId1692" w:history="1">
        <w:r>
          <w:rPr>
            <w:rStyle w:val="Hyperlink"/>
          </w:rPr>
          <w:t>https://public.fastcase.com/J%2FJP6pdidelsXxEE4k%2BLMkpx4Tc1lqsghN0FDa1gb3wMFLVhhLo5FWrnkmMj5%2F%2BBVQtdjf8pXYj06hYu%2BnGwGl7dOZtJUpPBXfNPjPwixAs%3D?utm_medium=email&amp;_hsmi=226712652&amp;_hsenc=p2ANqtz--C2h-0vhrKpmBZ-sfV5NXYWdtLuQagg3T7ZppydHXd8lRUQhheIKUZNhzvLNm0zeXmkYrDIZXEzHKpdEczURzqVa6roA&amp;utm_content=226712652&amp;utm_source=hs_email</w:t>
        </w:r>
      </w:hyperlink>
      <w:r>
        <w:t xml:space="preserve"> </w:t>
      </w:r>
    </w:p>
    <w:p w14:paraId="2CD5068D" w14:textId="77777777" w:rsidR="003F788B" w:rsidRDefault="003F788B" w:rsidP="003F788B">
      <w:pPr>
        <w:pStyle w:val="NormalWeb"/>
      </w:pPr>
      <w:r>
        <w:t xml:space="preserve">The Court noted that shortly after she was fired, the three-member Civil Service Commission met (Match 18, 2017) and unanimously voted to overturn and reverse Ellis's demotion. </w:t>
      </w:r>
    </w:p>
    <w:p w14:paraId="0369174F" w14:textId="77777777" w:rsidR="003F788B" w:rsidRDefault="003F788B" w:rsidP="003F788B">
      <w:pPr>
        <w:pStyle w:val="NormalWeb"/>
        <w:ind w:firstLine="720"/>
      </w:pPr>
      <w:r>
        <w:t>“The CSC ultimately found that:</w:t>
      </w:r>
    </w:p>
    <w:p w14:paraId="71AFDB22" w14:textId="77777777" w:rsidR="003F788B" w:rsidRDefault="003F788B" w:rsidP="003F788B">
      <w:pPr>
        <w:spacing w:after="100" w:line="240" w:lineRule="auto"/>
        <w:ind w:left="720" w:firstLine="720"/>
        <w:rPr>
          <w:rFonts w:ascii="Times New Roman" w:eastAsia="Times New Roman" w:hAnsi="Times New Roman"/>
          <w:sz w:val="24"/>
          <w:szCs w:val="24"/>
        </w:rPr>
      </w:pPr>
      <w:proofErr w:type="gramStart"/>
      <w:r>
        <w:rPr>
          <w:rFonts w:ascii="Times New Roman" w:eastAsia="Times New Roman" w:hAnsi="Times New Roman"/>
          <w:sz w:val="24"/>
          <w:szCs w:val="24"/>
        </w:rPr>
        <w:t>1. ‘</w:t>
      </w:r>
      <w:proofErr w:type="gramEnd"/>
      <w:r>
        <w:rPr>
          <w:rFonts w:ascii="Times New Roman" w:eastAsia="Times New Roman" w:hAnsi="Times New Roman"/>
          <w:sz w:val="24"/>
          <w:szCs w:val="24"/>
        </w:rPr>
        <w:t xml:space="preserve">McMicken was looking for reasons to discipline Ellis.’ </w:t>
      </w:r>
    </w:p>
    <w:p w14:paraId="0276925A" w14:textId="77777777" w:rsidR="003F788B" w:rsidRDefault="003F788B" w:rsidP="003F788B">
      <w:pPr>
        <w:spacing w:after="100" w:line="240" w:lineRule="auto"/>
        <w:ind w:left="1440"/>
        <w:rPr>
          <w:rFonts w:ascii="Times New Roman" w:eastAsia="Times New Roman" w:hAnsi="Times New Roman"/>
          <w:sz w:val="24"/>
          <w:szCs w:val="24"/>
        </w:rPr>
      </w:pPr>
      <w:proofErr w:type="gramStart"/>
      <w:r>
        <w:rPr>
          <w:rFonts w:ascii="Times New Roman" w:eastAsia="Times New Roman" w:hAnsi="Times New Roman"/>
          <w:sz w:val="24"/>
          <w:szCs w:val="24"/>
        </w:rPr>
        <w:t>2. ‘</w:t>
      </w:r>
      <w:proofErr w:type="gramEnd"/>
      <w:r>
        <w:rPr>
          <w:rFonts w:ascii="Times New Roman" w:eastAsia="Times New Roman" w:hAnsi="Times New Roman"/>
          <w:sz w:val="24"/>
          <w:szCs w:val="24"/>
        </w:rPr>
        <w:t>[A]legations of Ellis' lack of performance are not supported by substantial evidence.’</w:t>
      </w:r>
    </w:p>
    <w:p w14:paraId="19D948DC" w14:textId="77777777" w:rsidR="003F788B" w:rsidRDefault="003F788B" w:rsidP="003F788B">
      <w:pPr>
        <w:spacing w:after="100" w:line="240" w:lineRule="auto"/>
        <w:ind w:left="720" w:firstLine="720"/>
        <w:rPr>
          <w:rFonts w:ascii="Times New Roman" w:eastAsia="Times New Roman" w:hAnsi="Times New Roman"/>
          <w:sz w:val="24"/>
          <w:szCs w:val="24"/>
        </w:rPr>
      </w:pPr>
      <w:r>
        <w:rPr>
          <w:rFonts w:ascii="Times New Roman" w:eastAsia="Times New Roman" w:hAnsi="Times New Roman"/>
          <w:sz w:val="24"/>
          <w:szCs w:val="24"/>
        </w:rPr>
        <w:t xml:space="preserve">3. The reasons for Ellis's demotion were ‘trivial in nature.’ </w:t>
      </w:r>
    </w:p>
    <w:p w14:paraId="3FCCE250" w14:textId="77777777" w:rsidR="003F788B" w:rsidRDefault="003F788B" w:rsidP="003F788B">
      <w:pPr>
        <w:spacing w:after="100" w:line="240" w:lineRule="auto"/>
        <w:ind w:left="1440"/>
        <w:rPr>
          <w:rFonts w:ascii="Times New Roman" w:eastAsia="Times New Roman" w:hAnsi="Times New Roman"/>
          <w:sz w:val="24"/>
          <w:szCs w:val="24"/>
        </w:rPr>
      </w:pPr>
      <w:r>
        <w:rPr>
          <w:rFonts w:ascii="Times New Roman" w:eastAsia="Times New Roman" w:hAnsi="Times New Roman"/>
          <w:sz w:val="24"/>
          <w:szCs w:val="24"/>
        </w:rPr>
        <w:t xml:space="preserve">4. The ‘allegations appear to the Commission to be an attempt to manufacture misconduct and allege failure of performance to justify the disciplinary action, when there were no performance issues.’ </w:t>
      </w:r>
    </w:p>
    <w:p w14:paraId="3212DEFF" w14:textId="77777777" w:rsidR="003F788B" w:rsidRDefault="003F788B" w:rsidP="003F788B">
      <w:pPr>
        <w:spacing w:after="100" w:line="240" w:lineRule="auto"/>
        <w:ind w:left="720"/>
        <w:rPr>
          <w:rFonts w:ascii="Times New Roman" w:hAnsi="Times New Roman"/>
          <w:sz w:val="24"/>
          <w:szCs w:val="24"/>
        </w:rPr>
      </w:pPr>
      <w:r>
        <w:rPr>
          <w:rFonts w:ascii="Times New Roman" w:hAnsi="Times New Roman"/>
          <w:sz w:val="24"/>
          <w:szCs w:val="24"/>
        </w:rPr>
        <w:t>Although the CSC overturned Plaintiff's demotion, the Department never restored Ellis to her original position or reinstated her, since by this time her employment had been terminated. Ultimately, she was only paid the salary that she lost due to her demotion -$7,166.74.”</w:t>
      </w:r>
    </w:p>
    <w:p w14:paraId="19019E80" w14:textId="77777777" w:rsidR="003F788B" w:rsidRDefault="003F788B" w:rsidP="003F788B">
      <w:pPr>
        <w:spacing w:after="100" w:line="240" w:lineRule="auto"/>
        <w:rPr>
          <w:rFonts w:ascii="Times New Roman" w:hAnsi="Times New Roman"/>
          <w:b/>
          <w:bCs/>
          <w:sz w:val="24"/>
          <w:szCs w:val="24"/>
        </w:rPr>
      </w:pPr>
    </w:p>
    <w:p w14:paraId="6E2A6160" w14:textId="77777777" w:rsidR="003F788B" w:rsidRDefault="003F788B" w:rsidP="003F788B">
      <w:pPr>
        <w:spacing w:after="100" w:line="240" w:lineRule="auto"/>
        <w:rPr>
          <w:rFonts w:ascii="Times New Roman" w:eastAsia="Times New Roman" w:hAnsi="Times New Roman"/>
          <w:b/>
          <w:bCs/>
          <w:sz w:val="24"/>
          <w:szCs w:val="24"/>
        </w:rPr>
      </w:pPr>
      <w:r>
        <w:rPr>
          <w:rFonts w:ascii="Times New Roman" w:hAnsi="Times New Roman"/>
          <w:b/>
          <w:bCs/>
          <w:sz w:val="24"/>
          <w:szCs w:val="24"/>
        </w:rPr>
        <w:t xml:space="preserve">Legal Lessons Learned: The case will now proceed to trial, unless settled. </w:t>
      </w:r>
    </w:p>
    <w:p w14:paraId="6AE687A6" w14:textId="77777777" w:rsidR="003F788B" w:rsidRDefault="003F788B" w:rsidP="003F788B">
      <w:pPr>
        <w:pStyle w:val="NormalWeb"/>
      </w:pPr>
    </w:p>
    <w:p w14:paraId="18EEC093" w14:textId="2684E23B" w:rsidR="003F788B" w:rsidRDefault="003F788B" w:rsidP="005C30A4">
      <w:pPr>
        <w:pStyle w:val="NoSpacing"/>
        <w:rPr>
          <w:rFonts w:ascii="Arial Black" w:hAnsi="Arial Black"/>
          <w:sz w:val="24"/>
          <w:szCs w:val="24"/>
        </w:rPr>
      </w:pPr>
    </w:p>
    <w:p w14:paraId="52E7C0A2" w14:textId="1E1B2FD7" w:rsidR="003F788B" w:rsidRDefault="003F788B" w:rsidP="005C30A4">
      <w:pPr>
        <w:pStyle w:val="NoSpacing"/>
        <w:rPr>
          <w:rFonts w:ascii="Arial Black" w:hAnsi="Arial Black"/>
          <w:sz w:val="24"/>
          <w:szCs w:val="24"/>
        </w:rPr>
      </w:pPr>
      <w:r>
        <w:rPr>
          <w:rFonts w:ascii="Arial Black" w:hAnsi="Arial Black"/>
          <w:sz w:val="24"/>
          <w:szCs w:val="24"/>
        </w:rPr>
        <w:t>9-27</w:t>
      </w:r>
    </w:p>
    <w:p w14:paraId="1406FFEF" w14:textId="6B9534F9" w:rsidR="003F788B" w:rsidRDefault="003F788B" w:rsidP="005C30A4">
      <w:pPr>
        <w:pStyle w:val="NoSpacing"/>
        <w:rPr>
          <w:rFonts w:ascii="Arial Black" w:hAnsi="Arial Black"/>
          <w:sz w:val="24"/>
          <w:szCs w:val="24"/>
        </w:rPr>
      </w:pPr>
    </w:p>
    <w:p w14:paraId="7713B1A6" w14:textId="77777777" w:rsidR="003F788B" w:rsidRDefault="003F788B" w:rsidP="003F788B">
      <w:pPr>
        <w:pStyle w:val="NormalWeb"/>
        <w:rPr>
          <w:rFonts w:ascii="Arial Black" w:hAnsi="Arial Black"/>
          <w:sz w:val="28"/>
          <w:szCs w:val="28"/>
        </w:rPr>
      </w:pPr>
      <w:r>
        <w:rPr>
          <w:rFonts w:ascii="Arial Black" w:hAnsi="Arial Black"/>
          <w:sz w:val="28"/>
          <w:szCs w:val="28"/>
        </w:rPr>
        <w:t xml:space="preserve">UT: ADA – PARAMEDIC BACK INJURY – LIGHT DUTY – CLAIMS GIVEN HEAVY DUTIES – CASE MAY PROCEED </w:t>
      </w:r>
    </w:p>
    <w:p w14:paraId="49932A5C" w14:textId="77777777" w:rsidR="003F788B" w:rsidRDefault="003F788B" w:rsidP="003F788B">
      <w:pPr>
        <w:pStyle w:val="NormalWeb"/>
      </w:pPr>
      <w:r>
        <w:t xml:space="preserve">On March 28, 2023, in </w:t>
      </w:r>
      <w:r>
        <w:rPr>
          <w:u w:val="single"/>
        </w:rPr>
        <w:t>Patrick John v. Murray City</w:t>
      </w:r>
      <w:r>
        <w:t xml:space="preserve">, U.S. Magistrate Judge Daphne A. Oberg, U.S. District Court for District of Utah, held that his ADA lawsuit may proceed to trial on his claim that after a back injury on Nov. 24, 2017, he was on light duty for six weeks, and was inappropriately ordered to perform tasks like moving boxes that caused him pain. The </w:t>
      </w:r>
      <w:proofErr w:type="gramStart"/>
      <w:r>
        <w:t>City</w:t>
      </w:r>
      <w:proofErr w:type="gramEnd"/>
      <w:r>
        <w:t xml:space="preserve"> fired him in September 2018, after he was on probation, for “attitude, reckless driving, lack of initiative, and the Needle Stick Incident.”  </w:t>
      </w:r>
    </w:p>
    <w:p w14:paraId="2DCCEB68" w14:textId="77777777" w:rsidR="003F788B" w:rsidRDefault="003F788B" w:rsidP="003F788B">
      <w:pPr>
        <w:pStyle w:val="NormalWeb"/>
        <w:ind w:left="540"/>
      </w:pPr>
      <w:r>
        <w:t xml:space="preserve">While the Judge granted City’s motion for summary judgment on his claim he was fired in retaliation for his six workers comp claims (Dec. 2007; April 2016; Oct. 2016, Nov. 2017, June 2018), the Judge ordered case to trial on whether the City properly accommodated him while on light duty following another back injury on November 24, 2017. The Judge held that following testimony by the paramedic is “sufficient to create a genuine issue of material fact concerning whether the City accommodated John after his November 2017 injury.” *** On December 4, he went to Clements [his Physician Assistant] for treatment. Clements issued a work restriction note recommending the paramedic be allowed ‘to modify bending, </w:t>
      </w:r>
      <w:r>
        <w:lastRenderedPageBreak/>
        <w:t>lifting, twisting, carrying, stooping, kneeling as tolerated while being treated for the next 6-8 weeks.’  *** “During the restriction period after this injury, John met with Harris [who later became Fire Chief] ‘every morning’ to discuss light-duty work assignments for the day. At several of these meetings, John remembers Harris making disparaging remarks. For example, Harris told John that light-duty assignments were ‘unacceptable, especially [for] somebody on probation’ who was trying to prove he wanted to keep his job. According to John, Harris seemed ‘really frustrated and angry’ and repeatedly said some version of, ‘Well what are we going to do with you today?’ Harris also ‘forced him to complete tasks,’ like cleaning the gear room, ‘that were outside of his medical restrictions, causing him further pain.’”</w:t>
      </w:r>
      <w:hyperlink r:id="rId1693" w:history="1">
        <w:r>
          <w:rPr>
            <w:rStyle w:val="Hyperlink"/>
          </w:rPr>
          <w:t>https://public.fastcase.com/J%2FJP6pdidelsXxEE4k%2BLMiteJGWvZUfwvvNNihi30%2B3WDxUCsaXKSaCpKvBtAgs2vLiA9OVuPhL49GE7aECM8IIU6kbJlailTpTCbBqx2w4%3D?utm_medium=email&amp;_hsmi=226712652&amp;_hsenc=p2ANqtz---SEadQ3HE9lUqxxQW5cr7Vybxx0tHPHEXMPHfSJcPHzXu-t4fnJYchJuK4CNgA9WWUPQ6Jxn6Xff3x8kPfGcAZk9K8A&amp;utm_content=226712652&amp;utm_source=hs_email</w:t>
        </w:r>
      </w:hyperlink>
      <w:r>
        <w:t xml:space="preserve"> </w:t>
      </w:r>
    </w:p>
    <w:p w14:paraId="296FC269" w14:textId="77777777" w:rsidR="003F788B" w:rsidRDefault="003F788B" w:rsidP="003F788B">
      <w:pPr>
        <w:pStyle w:val="NormalWeb"/>
        <w:ind w:firstLine="540"/>
      </w:pPr>
      <w:r>
        <w:rPr>
          <w:rStyle w:val="Strong"/>
        </w:rPr>
        <w:t>“John's Monthly Probation Reports</w:t>
      </w:r>
      <w:r>
        <w:t xml:space="preserve"> </w:t>
      </w:r>
    </w:p>
    <w:p w14:paraId="3F81F084" w14:textId="77777777" w:rsidR="003F788B" w:rsidRDefault="003F788B" w:rsidP="003F788B">
      <w:pPr>
        <w:pStyle w:val="NormalWeb"/>
        <w:ind w:left="540"/>
      </w:pPr>
      <w:r>
        <w:t xml:space="preserve">John continued to receive monthly performance reviews as part of his probation. From October 2017 through December 2017, the reports were ‘mixed.’ However, from January through May 2018, John's supervisor noted he was improving and rated him as ‘meeting expectations.’ John signed each of these reports. </w:t>
      </w:r>
    </w:p>
    <w:p w14:paraId="76F4BE88" w14:textId="77777777" w:rsidR="003F788B" w:rsidRDefault="003F788B" w:rsidP="003F788B">
      <w:pPr>
        <w:pStyle w:val="NormalWeb"/>
        <w:ind w:left="540"/>
      </w:pPr>
      <w:r>
        <w:t xml:space="preserve">In the June 2018 report, the supervisor rated John as ‘needing improvement’ in the categories of safety, following instructions, and fire skills. These ratings were based on three incidents. </w:t>
      </w:r>
    </w:p>
    <w:p w14:paraId="263E6BA8" w14:textId="77777777" w:rsidR="003F788B" w:rsidRDefault="003F788B" w:rsidP="003F788B">
      <w:pPr>
        <w:pStyle w:val="NormalWeb"/>
        <w:ind w:left="540"/>
      </w:pPr>
      <w:r>
        <w:t xml:space="preserve">First, John ‘jeopardized his safety during a defensive fire operation’ when he entered a burning and abandoned building that his captain and crew told him not to enter (the Fire Incident). This was an ‘unreasonable risk’ because there was a partially collapsed wall and ‘heavy smoke.’ </w:t>
      </w:r>
    </w:p>
    <w:p w14:paraId="43B4D66F" w14:textId="77777777" w:rsidR="003F788B" w:rsidRDefault="003F788B" w:rsidP="003F788B">
      <w:pPr>
        <w:pStyle w:val="NormalWeb"/>
        <w:ind w:left="540"/>
      </w:pPr>
      <w:r>
        <w:t xml:space="preserve">Second, John accidentally exposed himself to a needlestick by recapping a bent needle (the Needle Stick Incident). The supervisor explained that recapping a bent needle is ‘against standard paramedic practice and should be avoided.’ </w:t>
      </w:r>
    </w:p>
    <w:p w14:paraId="0B934854" w14:textId="77777777" w:rsidR="003F788B" w:rsidRDefault="003F788B" w:rsidP="003F788B">
      <w:pPr>
        <w:pStyle w:val="NormalWeb"/>
        <w:ind w:left="540"/>
      </w:pPr>
      <w:r>
        <w:t>Third, the supervisor received reports that John had ‘been driving the ambulance recklessly and going back to his old ways with attitude.’</w:t>
      </w:r>
    </w:p>
    <w:p w14:paraId="2C4A767D" w14:textId="77777777" w:rsidR="003F788B" w:rsidRDefault="003F788B" w:rsidP="003F788B">
      <w:pPr>
        <w:pStyle w:val="NormalWeb"/>
        <w:ind w:left="540"/>
      </w:pPr>
      <w:r>
        <w:t>***</w:t>
      </w:r>
    </w:p>
    <w:p w14:paraId="3FB06730" w14:textId="77777777" w:rsidR="003F788B" w:rsidRDefault="003F788B" w:rsidP="003F788B">
      <w:pPr>
        <w:pStyle w:val="NormalWeb"/>
        <w:ind w:firstLine="540"/>
      </w:pPr>
      <w:r>
        <w:rPr>
          <w:rStyle w:val="Strong"/>
        </w:rPr>
        <w:t>The City Terminates John</w:t>
      </w:r>
      <w:r>
        <w:t xml:space="preserve"> </w:t>
      </w:r>
    </w:p>
    <w:p w14:paraId="6D7364BE" w14:textId="77777777" w:rsidR="003F788B" w:rsidRDefault="003F788B" w:rsidP="003F788B">
      <w:pPr>
        <w:pStyle w:val="NormalWeb"/>
        <w:ind w:left="540"/>
      </w:pPr>
      <w:r>
        <w:t xml:space="preserve">John's pre-disciplinary hearing was on August 28, 2018. At the hearing, John was able to present his ‘version of the </w:t>
      </w:r>
      <w:proofErr w:type="gramStart"/>
      <w:r>
        <w:t>facts’</w:t>
      </w:r>
      <w:proofErr w:type="gramEnd"/>
      <w:r>
        <w:t xml:space="preserve"> and other information he considered relevant</w:t>
      </w:r>
      <w:proofErr w:type="gramStart"/>
      <w:r>
        <w:t xml:space="preserve">.[Fire Chief] </w:t>
      </w:r>
      <w:proofErr w:type="gramEnd"/>
      <w:r>
        <w:t xml:space="preserve"> Harris, two assistant chiefs, and the City's human resources director attended the hearing and later investigated concerns John raised. </w:t>
      </w:r>
    </w:p>
    <w:p w14:paraId="7EECB1B9" w14:textId="77777777" w:rsidR="003F788B" w:rsidRDefault="003F788B" w:rsidP="003F788B">
      <w:pPr>
        <w:pStyle w:val="NormalWeb"/>
        <w:ind w:left="540"/>
      </w:pPr>
      <w:r>
        <w:t xml:space="preserve">After the investigation, the </w:t>
      </w:r>
      <w:proofErr w:type="gramStart"/>
      <w:r>
        <w:t>City</w:t>
      </w:r>
      <w:proofErr w:type="gramEnd"/>
      <w:r>
        <w:t xml:space="preserve"> terminated John on September 6, 2018. </w:t>
      </w:r>
      <w:r>
        <w:rPr>
          <w:vertAlign w:val="superscript"/>
        </w:rPr>
        <w:t>]</w:t>
      </w:r>
      <w:r>
        <w:t>Harris wrote John a letter explaining the reasons for the termination. For example, the letter described concerns about attitude, reckless driving, lack of initiative, and the Needle Stick Incident.</w:t>
      </w:r>
      <w:r>
        <w:rPr>
          <w:vertAlign w:val="superscript"/>
        </w:rPr>
        <w:t>”</w:t>
      </w:r>
    </w:p>
    <w:p w14:paraId="596B0B34" w14:textId="77777777" w:rsidR="003F788B" w:rsidRDefault="003F788B" w:rsidP="003F788B">
      <w:pPr>
        <w:pStyle w:val="NormalWeb"/>
        <w:rPr>
          <w:b/>
          <w:bCs/>
        </w:rPr>
      </w:pPr>
      <w:r>
        <w:rPr>
          <w:b/>
          <w:bCs/>
        </w:rPr>
        <w:t xml:space="preserve">Legal Lesson Learned: When accommodating a paramedic with light duty for a back injury, assign the medic duties consistent with recovery for that injury. </w:t>
      </w:r>
    </w:p>
    <w:p w14:paraId="7A99B39C" w14:textId="77777777" w:rsidR="003F788B" w:rsidRDefault="003F788B" w:rsidP="003F788B">
      <w:pPr>
        <w:pStyle w:val="NormalWeb"/>
      </w:pPr>
    </w:p>
    <w:p w14:paraId="561E1F0B" w14:textId="7B1BC8F5" w:rsidR="003F788B" w:rsidRDefault="003F788B" w:rsidP="005C30A4">
      <w:pPr>
        <w:pStyle w:val="NoSpacing"/>
        <w:rPr>
          <w:rFonts w:ascii="Arial Black" w:hAnsi="Arial Black"/>
          <w:sz w:val="24"/>
          <w:szCs w:val="24"/>
        </w:rPr>
      </w:pPr>
    </w:p>
    <w:p w14:paraId="73F94D85" w14:textId="53D17EB9" w:rsidR="003F788B" w:rsidRDefault="003F788B" w:rsidP="005C30A4">
      <w:pPr>
        <w:pStyle w:val="NoSpacing"/>
        <w:rPr>
          <w:rFonts w:ascii="Arial Black" w:hAnsi="Arial Black"/>
          <w:sz w:val="24"/>
          <w:szCs w:val="24"/>
        </w:rPr>
      </w:pPr>
      <w:r>
        <w:rPr>
          <w:rFonts w:ascii="Arial Black" w:hAnsi="Arial Black"/>
          <w:sz w:val="24"/>
          <w:szCs w:val="24"/>
        </w:rPr>
        <w:t>9-26</w:t>
      </w:r>
    </w:p>
    <w:p w14:paraId="26F75A3F" w14:textId="7A4DF0F5" w:rsidR="003F788B" w:rsidRDefault="003F788B" w:rsidP="005C30A4">
      <w:pPr>
        <w:pStyle w:val="NoSpacing"/>
        <w:rPr>
          <w:rFonts w:ascii="Arial Black" w:hAnsi="Arial Black"/>
          <w:sz w:val="24"/>
          <w:szCs w:val="24"/>
        </w:rPr>
      </w:pPr>
    </w:p>
    <w:p w14:paraId="125217A0" w14:textId="77777777" w:rsidR="003F788B" w:rsidRDefault="003F788B" w:rsidP="003F788B">
      <w:pPr>
        <w:pStyle w:val="NormalWeb"/>
        <w:rPr>
          <w:rFonts w:ascii="Arial Black" w:hAnsi="Arial Black"/>
          <w:sz w:val="28"/>
          <w:szCs w:val="28"/>
        </w:rPr>
      </w:pPr>
      <w:r>
        <w:rPr>
          <w:rFonts w:ascii="Arial Black" w:hAnsi="Arial Black"/>
          <w:sz w:val="28"/>
          <w:szCs w:val="28"/>
        </w:rPr>
        <w:t xml:space="preserve">IL: ADA - CHICAGO FF – FAILED ANNUAL STRESS TEST – CO-PAYS PRIVATE TESTING WHILE ON PAID LEAVE – NO VIOL. </w:t>
      </w:r>
    </w:p>
    <w:p w14:paraId="7260FF28" w14:textId="77777777" w:rsidR="003F788B" w:rsidRDefault="003F788B" w:rsidP="003F788B">
      <w:pPr>
        <w:pStyle w:val="NormalWeb"/>
      </w:pPr>
      <w:r>
        <w:t xml:space="preserve">On March 20, 2023, in </w:t>
      </w:r>
      <w:r>
        <w:rPr>
          <w:u w:val="single"/>
        </w:rPr>
        <w:t>Darren Verderber v. City of Chicago</w:t>
      </w:r>
      <w:r>
        <w:t xml:space="preserve">, U.S. District Court Judge Franklin U. Valderrama, U.S., District Court for Northern District of Illinois, Eastern Division, granted the City’s motion to dismiss.  Even though the firefighter had to submit numerous test results, and personally pay insurance co-pays, there was no “materially adverse employment action” as required to bring ADA lawsuit. </w:t>
      </w:r>
    </w:p>
    <w:p w14:paraId="0E299DEA" w14:textId="77777777" w:rsidR="003F788B" w:rsidRDefault="003F788B" w:rsidP="003F788B">
      <w:pPr>
        <w:pStyle w:val="NormalWeb"/>
      </w:pPr>
      <w:r>
        <w:t>The Court held:</w:t>
      </w:r>
    </w:p>
    <w:p w14:paraId="6D9BE190" w14:textId="77777777" w:rsidR="003F788B" w:rsidRDefault="003F788B" w:rsidP="003F788B">
      <w:pPr>
        <w:pStyle w:val="NormalWeb"/>
        <w:ind w:left="720"/>
      </w:pPr>
      <w:r>
        <w:t xml:space="preserve">“The Court agrees with the </w:t>
      </w:r>
      <w:proofErr w:type="gramStart"/>
      <w:r>
        <w:t>City</w:t>
      </w:r>
      <w:proofErr w:type="gramEnd"/>
      <w:r>
        <w:t xml:space="preserve"> that Verderber has failed to plausibly allege a materially adverse employment action. True, Verderber has alleged that he was required to undergo a series of medical examinations after his failed physical exam. But courts have repeatedly held that the ADA permits fitness for duty examinations for public safety employees….Nor has he alleged that other similarly situated firefighters were subjected to less testing after a failed stress test. Furthermore, in his Complaint, Verderber alleges that he was warned by the CFD how ‘physically demanding’ his job was, which supports that the series of medical examinations were within the scope of Verderber's employment…. Thus, Verderber has not plausibly alleged that the series of medical examination requirements was a materially adverse employment action. *** Apparently, the issue of whether payment of out-of-pocket expenses can constitute an adverse employment action has not been addressed in the Seventh Circuit.  In short, Verderber has not plausibly alleged that the out-of-pocket medical costs are a materially adverse employment action.           All in all, Verderber has not plausibly pled a materially adverse employment </w:t>
      </w:r>
      <w:proofErr w:type="gramStart"/>
      <w:r>
        <w:t>action, and</w:t>
      </w:r>
      <w:proofErr w:type="gramEnd"/>
      <w:r>
        <w:t xml:space="preserve"> so has not stated a claim under the ADA.  </w:t>
      </w:r>
      <w:hyperlink r:id="rId1694" w:history="1">
        <w:r>
          <w:rPr>
            <w:rStyle w:val="Hyperlink"/>
          </w:rPr>
          <w:t>https://law.justia.com/cases/federal/district-courts/illinois/ilndce/1:2021cv06211/409083/23/</w:t>
        </w:r>
      </w:hyperlink>
      <w:r>
        <w:t xml:space="preserve"> </w:t>
      </w:r>
    </w:p>
    <w:p w14:paraId="10293D10" w14:textId="77777777" w:rsidR="003F788B" w:rsidRDefault="003F788B" w:rsidP="003F788B">
      <w:pPr>
        <w:pStyle w:val="NormalWeb"/>
        <w:ind w:left="720"/>
      </w:pPr>
      <w:r>
        <w:t>CFD requires members of the Special Operations Division to undergo an annual physical exam…. The physical exam includes a stress test… Verderber underwent his annual physical exam on July 23, 2020…. Verderber alleges that during the stress test portion of the July 23 exam, one of the cardiac monitor leads fell off Verderber's chest, negatively impacting the results and causing Verderber to ‘not satisfactorily pass’ the stress test</w:t>
      </w:r>
      <w:proofErr w:type="gramStart"/>
      <w:r>
        <w:t>…..</w:t>
      </w:r>
      <w:proofErr w:type="gramEnd"/>
      <w:r>
        <w:t xml:space="preserve"> That same day, Verderber requested a second stress test, but his request was denied. </w:t>
      </w:r>
    </w:p>
    <w:p w14:paraId="19184A15" w14:textId="77777777" w:rsidR="003F788B" w:rsidRDefault="003F788B" w:rsidP="003F788B">
      <w:pPr>
        <w:pStyle w:val="NormalWeb"/>
        <w:ind w:left="720"/>
      </w:pPr>
      <w:r>
        <w:t>***</w:t>
      </w:r>
    </w:p>
    <w:p w14:paraId="53DED51B" w14:textId="77777777" w:rsidR="003F788B" w:rsidRDefault="003F788B" w:rsidP="003F788B">
      <w:pPr>
        <w:pStyle w:val="NormalWeb"/>
        <w:ind w:left="720"/>
      </w:pPr>
      <w:r>
        <w:t>From August 2020 to February 2021, Verderber was required to submit to various medical consultations, examinations and tests and obtain numerous medical releases</w:t>
      </w:r>
      <w:proofErr w:type="gramStart"/>
      <w:r>
        <w:t>…..</w:t>
      </w:r>
      <w:proofErr w:type="gramEnd"/>
      <w:r>
        <w:t xml:space="preserve"> Beginning on July 31, 2020, Verderber scheduled a medical consultation with his general practitioner, after which the doctor provided a medical release authorizing his return to work…. Verderber also scheduled an appointment with his cardiologist on August 3, 2020, who also gave him a written medical release</w:t>
      </w:r>
      <w:proofErr w:type="gramStart"/>
      <w:r>
        <w:t>…..</w:t>
      </w:r>
      <w:proofErr w:type="gramEnd"/>
      <w:r>
        <w:t xml:space="preserve"> However, after submitting both medical releases on August 4, 2020, the CFD Medical Division informed Verderber that the medical releases were insufficient without an echocardiogram.</w:t>
      </w:r>
    </w:p>
    <w:p w14:paraId="26A23F9B" w14:textId="77777777" w:rsidR="003F788B" w:rsidRDefault="003F788B" w:rsidP="003F788B">
      <w:pPr>
        <w:pStyle w:val="NormalWeb"/>
        <w:ind w:left="720"/>
      </w:pPr>
      <w:r>
        <w:t>***</w:t>
      </w:r>
    </w:p>
    <w:p w14:paraId="396EEC22" w14:textId="77777777" w:rsidR="003F788B" w:rsidRDefault="003F788B" w:rsidP="003F788B">
      <w:pPr>
        <w:pStyle w:val="NormalWeb"/>
        <w:ind w:left="720"/>
      </w:pPr>
      <w:r>
        <w:lastRenderedPageBreak/>
        <w:t xml:space="preserve">On August 21, 2020, Verderber saw a new cardiologist who performed an echocardiogram that produced normal and within range test results…. Following submission of the normal echocardiogram's results to the CFD, Verderber was informed on September 28, </w:t>
      </w:r>
      <w:proofErr w:type="gramStart"/>
      <w:r>
        <w:t>2020</w:t>
      </w:r>
      <w:proofErr w:type="gramEnd"/>
      <w:r>
        <w:t xml:space="preserve"> that he also needed to complete a Thoracic Aneurysm test…. Verderber complied, and submitted to the test, which came back normal and within range…. However, the CFD still did not allow Verderber to return to work and warned him about the ‘physically demanding’ work of his job….  Verderber underwent additional testing between October 29, 2020, when he was placed on extended layup, and February 25, 2021</w:t>
      </w:r>
      <w:proofErr w:type="gramStart"/>
      <w:r>
        <w:t>…..</w:t>
      </w:r>
      <w:proofErr w:type="gramEnd"/>
      <w:r>
        <w:t xml:space="preserve"> Verderber was told in late February 2021 to obtain a new medical release from his primary cardiologist, and Verderber complied. </w:t>
      </w:r>
    </w:p>
    <w:p w14:paraId="6F65B17C" w14:textId="77777777" w:rsidR="003F788B" w:rsidRDefault="003F788B" w:rsidP="003F788B">
      <w:pPr>
        <w:pStyle w:val="NormalWeb"/>
        <w:ind w:left="720"/>
      </w:pPr>
      <w:r>
        <w:t xml:space="preserve">Verderber was allowed to return to duty on February 26, 2021, following his final medical release from his cardiologist…. Although Verderber received full pay and benefits from the CFD during his layup, Verderber was unable to </w:t>
      </w:r>
      <w:proofErr w:type="gramStart"/>
      <w:r>
        <w:t>work</w:t>
      </w:r>
      <w:proofErr w:type="gramEnd"/>
      <w:r>
        <w:t xml:space="preserve"> his secondary employment during the same period due to the conditions of his secondary employment </w:t>
      </w:r>
      <w:proofErr w:type="gramStart"/>
      <w:r>
        <w:t>contract.”</w:t>
      </w:r>
      <w:proofErr w:type="gramEnd"/>
    </w:p>
    <w:p w14:paraId="2B56D9C9" w14:textId="77777777" w:rsidR="003F788B" w:rsidRDefault="003F788B" w:rsidP="003F788B">
      <w:pPr>
        <w:pStyle w:val="NormalWeb"/>
        <w:rPr>
          <w:b/>
          <w:bCs/>
        </w:rPr>
      </w:pPr>
      <w:r>
        <w:rPr>
          <w:b/>
          <w:bCs/>
        </w:rPr>
        <w:t xml:space="preserve">Legal Lessons Learned: The ADA is not violated when a firefighter incurs co-pays to prove he is physically fit for a physically demanding position. </w:t>
      </w:r>
    </w:p>
    <w:p w14:paraId="1B21F18D" w14:textId="77777777" w:rsidR="003F788B" w:rsidRDefault="003F788B" w:rsidP="005C30A4">
      <w:pPr>
        <w:pStyle w:val="NoSpacing"/>
        <w:rPr>
          <w:rFonts w:ascii="Arial Black" w:hAnsi="Arial Black"/>
          <w:sz w:val="24"/>
          <w:szCs w:val="24"/>
        </w:rPr>
      </w:pPr>
    </w:p>
    <w:p w14:paraId="240E5EF4" w14:textId="77777777" w:rsidR="003F788B" w:rsidRDefault="003F788B" w:rsidP="005C30A4">
      <w:pPr>
        <w:pStyle w:val="NoSpacing"/>
        <w:rPr>
          <w:rFonts w:ascii="Arial Black" w:hAnsi="Arial Black"/>
          <w:sz w:val="24"/>
          <w:szCs w:val="24"/>
        </w:rPr>
      </w:pPr>
    </w:p>
    <w:p w14:paraId="5E1AD4C0" w14:textId="77777777" w:rsidR="003F788B" w:rsidRDefault="003F788B" w:rsidP="005C30A4">
      <w:pPr>
        <w:pStyle w:val="NoSpacing"/>
        <w:rPr>
          <w:rFonts w:ascii="Arial Black" w:hAnsi="Arial Black"/>
          <w:sz w:val="24"/>
          <w:szCs w:val="24"/>
        </w:rPr>
      </w:pPr>
    </w:p>
    <w:p w14:paraId="3690C9B7" w14:textId="565D8DEE" w:rsidR="00C67B2A" w:rsidRDefault="00BA3CDE" w:rsidP="005C30A4">
      <w:pPr>
        <w:pStyle w:val="NoSpacing"/>
        <w:rPr>
          <w:rFonts w:ascii="Arial Black" w:hAnsi="Arial Black"/>
          <w:sz w:val="24"/>
          <w:szCs w:val="24"/>
        </w:rPr>
      </w:pPr>
      <w:r>
        <w:rPr>
          <w:rFonts w:ascii="Arial Black" w:hAnsi="Arial Black"/>
          <w:sz w:val="24"/>
          <w:szCs w:val="24"/>
        </w:rPr>
        <w:t>9-25</w:t>
      </w:r>
    </w:p>
    <w:p w14:paraId="68A12544" w14:textId="77777777" w:rsidR="00BA3CDE" w:rsidRDefault="00BA3CDE" w:rsidP="00BA3CDE">
      <w:pPr>
        <w:pStyle w:val="NormalWeb"/>
        <w:rPr>
          <w:rFonts w:ascii="Arial Black" w:hAnsi="Arial Black"/>
          <w:sz w:val="28"/>
          <w:szCs w:val="28"/>
        </w:rPr>
      </w:pPr>
      <w:r>
        <w:rPr>
          <w:rFonts w:ascii="Arial Black" w:hAnsi="Arial Black"/>
          <w:sz w:val="28"/>
          <w:szCs w:val="28"/>
        </w:rPr>
        <w:t>DE: FF BACK INJURY DURING TRAINING – NO LIGHT DUTY – ON MEDICAL LEAVE 1-YR, FIRED – CASE PROCEED</w:t>
      </w:r>
    </w:p>
    <w:p w14:paraId="091FA235" w14:textId="77777777" w:rsidR="00BA3CDE" w:rsidRDefault="00BA3CDE" w:rsidP="00BA3CDE">
      <w:pPr>
        <w:pStyle w:val="NormalWeb"/>
      </w:pPr>
      <w:r>
        <w:t xml:space="preserve">On Dec. 15, 2022, in </w:t>
      </w:r>
      <w:r w:rsidRPr="00402DBB">
        <w:rPr>
          <w:u w:val="single"/>
        </w:rPr>
        <w:t>Hiram Whatley v. City of Wilmington</w:t>
      </w:r>
      <w:r>
        <w:t>, U.S. District Court for Delaware, Federal Judge Stephanos Bibas, visiting judge from U.S. Court of Appeals for 3</w:t>
      </w:r>
      <w:r w:rsidRPr="00402DBB">
        <w:rPr>
          <w:vertAlign w:val="superscript"/>
        </w:rPr>
        <w:t>rd</w:t>
      </w:r>
      <w:r>
        <w:t xml:space="preserve"> Circuit (Boston), denied the City’s motion to dismiss; pre-trial discovery will now begin.  Hiram Whatley was a Wilmington firefighter for more than two decades, when in June 2019, he injured his back in a training exercise. “This injury kept him out of work and ultimately required surgery. When Whatley asked for light duty, the Fire Chief told him that no such assignment exists in the fire department. Whatley also sought extensions of his medical leave. But in July 2020, Wilmington fired Whatley after more than a year away from </w:t>
      </w:r>
      <w:proofErr w:type="gramStart"/>
      <w:r>
        <w:t>work.”</w:t>
      </w:r>
      <w:proofErr w:type="gramEnd"/>
      <w:r>
        <w:t xml:space="preserve">  Whatley claims the </w:t>
      </w:r>
      <w:proofErr w:type="gramStart"/>
      <w:r>
        <w:t>City</w:t>
      </w:r>
      <w:proofErr w:type="gramEnd"/>
      <w:r>
        <w:t xml:space="preserve"> has offered light duty to him for a previous injury, as well as to other injured firefighters. </w:t>
      </w:r>
    </w:p>
    <w:p w14:paraId="1D9E9270" w14:textId="77777777" w:rsidR="00BA3CDE" w:rsidRDefault="00BA3CDE" w:rsidP="00BA3CDE">
      <w:pPr>
        <w:pStyle w:val="NormalWeb"/>
        <w:ind w:left="720"/>
      </w:pPr>
      <w:r>
        <w:t xml:space="preserve">“Wilmington argues that Whatley is not qualified because his requests for additional leave and light duty were unreasonable accommodations….  At this stage, [his allegation about light duty] is enough to show that light duty is a reasonable accommodation.” </w:t>
      </w:r>
      <w:hyperlink r:id="rId1695" w:history="1">
        <w:r w:rsidRPr="00237809">
          <w:rPr>
            <w:rStyle w:val="Hyperlink"/>
            <w:rFonts w:eastAsiaTheme="majorEastAsia"/>
          </w:rPr>
          <w:t>https://law.justia.com/cases/federal/district-courts/delaware/dedce/1:2021cv01726/77337/17/</w:t>
        </w:r>
      </w:hyperlink>
      <w:r>
        <w:t xml:space="preserve"> </w:t>
      </w:r>
    </w:p>
    <w:p w14:paraId="67649B97" w14:textId="77777777" w:rsidR="00BA3CDE" w:rsidRDefault="00BA3CDE" w:rsidP="00BA3CDE">
      <w:pPr>
        <w:pStyle w:val="NormalWeb"/>
        <w:rPr>
          <w:b/>
          <w:bCs/>
        </w:rPr>
      </w:pPr>
      <w:r w:rsidRPr="00C91DD8">
        <w:rPr>
          <w:b/>
          <w:bCs/>
        </w:rPr>
        <w:t xml:space="preserve">Legal Lesson Learned: </w:t>
      </w:r>
      <w:r>
        <w:rPr>
          <w:b/>
          <w:bCs/>
        </w:rPr>
        <w:t xml:space="preserve"> The case will now proceed to pre-trial discovery.  </w:t>
      </w:r>
    </w:p>
    <w:p w14:paraId="3F3B7FC3" w14:textId="77777777" w:rsidR="00BA3CDE" w:rsidRDefault="00BA3CDE" w:rsidP="005C30A4">
      <w:pPr>
        <w:pStyle w:val="NoSpacing"/>
        <w:rPr>
          <w:rFonts w:ascii="Arial Black" w:hAnsi="Arial Black"/>
          <w:sz w:val="24"/>
          <w:szCs w:val="24"/>
        </w:rPr>
      </w:pPr>
    </w:p>
    <w:p w14:paraId="5D87CB18" w14:textId="77777777" w:rsidR="00BA3CDE" w:rsidRDefault="00BA3CDE" w:rsidP="005C30A4">
      <w:pPr>
        <w:pStyle w:val="NoSpacing"/>
        <w:rPr>
          <w:rFonts w:ascii="Arial Black" w:hAnsi="Arial Black"/>
          <w:sz w:val="24"/>
          <w:szCs w:val="24"/>
        </w:rPr>
      </w:pPr>
    </w:p>
    <w:p w14:paraId="0A1443A1" w14:textId="77777777" w:rsidR="00BA3CDE" w:rsidRDefault="00BA3CDE" w:rsidP="005C30A4">
      <w:pPr>
        <w:pStyle w:val="NoSpacing"/>
        <w:rPr>
          <w:rFonts w:ascii="Arial Black" w:hAnsi="Arial Black"/>
          <w:sz w:val="24"/>
          <w:szCs w:val="24"/>
        </w:rPr>
      </w:pPr>
    </w:p>
    <w:p w14:paraId="577E6223" w14:textId="3D87494F" w:rsidR="00804F3A" w:rsidRDefault="00804F3A" w:rsidP="005C30A4">
      <w:pPr>
        <w:pStyle w:val="NoSpacing"/>
        <w:rPr>
          <w:rFonts w:ascii="Arial Black" w:hAnsi="Arial Black"/>
          <w:sz w:val="24"/>
          <w:szCs w:val="24"/>
        </w:rPr>
      </w:pPr>
      <w:r>
        <w:rPr>
          <w:rFonts w:ascii="Arial Black" w:hAnsi="Arial Black"/>
          <w:sz w:val="24"/>
          <w:szCs w:val="24"/>
        </w:rPr>
        <w:t>9-24</w:t>
      </w:r>
    </w:p>
    <w:p w14:paraId="34E4E2F3" w14:textId="228AEE95" w:rsidR="00804F3A" w:rsidRDefault="00804F3A" w:rsidP="00804F3A">
      <w:pPr>
        <w:pStyle w:val="NormalWeb"/>
      </w:pPr>
      <w:r>
        <w:rPr>
          <w:rFonts w:ascii="Arial Black" w:hAnsi="Arial Black"/>
          <w:sz w:val="28"/>
          <w:szCs w:val="28"/>
        </w:rPr>
        <w:t xml:space="preserve">NY: DISABLED FF - CAN TERMINATE AFTER 1-YR ON MEDICAL LEAVE – BUT CITY MUST NEGOTIATE WITH UNION REVISED CBA </w:t>
      </w:r>
    </w:p>
    <w:p w14:paraId="4BE354E6" w14:textId="77777777" w:rsidR="00804F3A" w:rsidRDefault="00804F3A" w:rsidP="00804F3A">
      <w:pPr>
        <w:pStyle w:val="NormalWeb"/>
      </w:pPr>
      <w:r>
        <w:lastRenderedPageBreak/>
        <w:t xml:space="preserve">On Oct. 25, 2022, </w:t>
      </w:r>
      <w:r w:rsidRPr="00D91376">
        <w:rPr>
          <w:u w:val="single"/>
        </w:rPr>
        <w:t>In the Matter of City of Long Beach v. New York State Public Relations Board; Long Beach Firefighters Association, IAFF, Local 287</w:t>
      </w:r>
      <w:r>
        <w:t xml:space="preserve">, </w:t>
      </w:r>
      <w:r w:rsidRPr="00D91376">
        <w:t>2022 NY Slip Op 0593</w:t>
      </w:r>
      <w:r>
        <w:t xml:space="preserve">, the New York Court of Appeals held (6 to 0) that the City must collectively bargain the procedures for terminating disabled firefighters who have been on leave for one year.  Firefighters may be terminated after one year under the “Taylor Law” [enacted in 1967 following costly transit strikes in 1966], but the termination procedures and rights to reinstatement if no longer disabled must be collectively bargained in the Collective Bargaining Agreement.  </w:t>
      </w:r>
    </w:p>
    <w:p w14:paraId="64EEB6BA" w14:textId="6B3CE67A" w:rsidR="00804F3A" w:rsidRDefault="00804F3A" w:rsidP="00804F3A">
      <w:pPr>
        <w:pStyle w:val="NoSpacing"/>
        <w:rPr>
          <w:rFonts w:ascii="Arial Black" w:hAnsi="Arial Black"/>
          <w:sz w:val="24"/>
          <w:szCs w:val="24"/>
        </w:rPr>
      </w:pPr>
      <w:r>
        <w:rPr>
          <w:rFonts w:eastAsiaTheme="minorHAnsi"/>
        </w:rPr>
        <w:t>“</w:t>
      </w:r>
      <w:r w:rsidRPr="00C02FC1">
        <w:rPr>
          <w:rFonts w:eastAsiaTheme="minorHAnsi"/>
        </w:rPr>
        <w:t xml:space="preserve">We disagree with the </w:t>
      </w:r>
      <w:proofErr w:type="gramStart"/>
      <w:r w:rsidRPr="00C02FC1">
        <w:rPr>
          <w:rFonts w:eastAsiaTheme="minorHAnsi"/>
        </w:rPr>
        <w:t>City</w:t>
      </w:r>
      <w:proofErr w:type="gramEnd"/>
      <w:r w:rsidRPr="00C02FC1">
        <w:rPr>
          <w:rFonts w:eastAsiaTheme="minorHAnsi"/>
        </w:rPr>
        <w:t xml:space="preserve"> that requiring municipalities to negotiate those pretermination procedures frustrates the legislative intent of allowing employers to maintain efficiency by quickly filling vacancies on a permanent basis after a year. In the future, the City and the Union will only need to negotiate pretermination procedures as part of any new collective bargaining agreement, not every time the City seeks to terminate an employee.</w:t>
      </w:r>
      <w:r>
        <w:rPr>
          <w:rFonts w:eastAsiaTheme="minorHAnsi"/>
        </w:rPr>
        <w:t xml:space="preserve">” </w:t>
      </w:r>
      <w:hyperlink r:id="rId1696" w:history="1">
        <w:r w:rsidRPr="007662E8">
          <w:rPr>
            <w:rStyle w:val="Hyperlink"/>
            <w:rFonts w:eastAsiaTheme="majorEastAsia"/>
          </w:rPr>
          <w:t>https://public.fastcase.com/J%2FJP6pdidelsXxEE4k%2BLMidRzLaU3lxo2K4zeZ9a%2B%2Fta152zlny6vY4eG3S7CjdliNR92Qo6%2FTtAP%2FPl4klE6l7lrfhMF2W%2BjlSvdCQeS50%3D?utm_medium=email&amp;_hsmi=226712652&amp;_hsenc=p2ANqtz-_s5_cAHUvs_hrwWV9wgyTdwJuYKaiZto7jMWtL6vDykRwEZ1Wuy9IDC9088xTRtPn7fskJqvzz7SBtC6Rp8cJAGJmTVA&amp;utm_content=226712652&amp;utm_source=hs_email</w:t>
        </w:r>
      </w:hyperlink>
    </w:p>
    <w:p w14:paraId="3F807BC2" w14:textId="77777777" w:rsidR="00804F3A" w:rsidRDefault="00804F3A" w:rsidP="005C30A4">
      <w:pPr>
        <w:pStyle w:val="NoSpacing"/>
        <w:rPr>
          <w:rFonts w:ascii="Arial Black" w:hAnsi="Arial Black"/>
          <w:sz w:val="24"/>
          <w:szCs w:val="24"/>
        </w:rPr>
      </w:pPr>
    </w:p>
    <w:p w14:paraId="68551090" w14:textId="77777777" w:rsidR="00804F3A" w:rsidRPr="0070600A" w:rsidRDefault="00804F3A" w:rsidP="00804F3A">
      <w:pPr>
        <w:pStyle w:val="NormalWeb"/>
        <w:rPr>
          <w:b/>
          <w:bCs/>
        </w:rPr>
      </w:pPr>
      <w:r w:rsidRPr="0070600A">
        <w:rPr>
          <w:rFonts w:eastAsiaTheme="minorHAnsi"/>
          <w:b/>
          <w:bCs/>
        </w:rPr>
        <w:t>Legal Lesson Learned:</w:t>
      </w:r>
      <w:r>
        <w:rPr>
          <w:rFonts w:eastAsiaTheme="minorHAnsi"/>
          <w:b/>
          <w:bCs/>
        </w:rPr>
        <w:t xml:space="preserve"> The City and the IAFF Local must now collectively bargain the procedures for termination </w:t>
      </w:r>
      <w:proofErr w:type="gramStart"/>
      <w:r>
        <w:rPr>
          <w:rFonts w:eastAsiaTheme="minorHAnsi"/>
          <w:b/>
          <w:bCs/>
        </w:rPr>
        <w:t>and also</w:t>
      </w:r>
      <w:proofErr w:type="gramEnd"/>
      <w:r>
        <w:rPr>
          <w:rFonts w:eastAsiaTheme="minorHAnsi"/>
          <w:b/>
          <w:bCs/>
        </w:rPr>
        <w:t xml:space="preserve"> possible reinstatement of disabled firefighters. </w:t>
      </w:r>
    </w:p>
    <w:p w14:paraId="2CA6D423" w14:textId="698AB358" w:rsidR="00804F3A" w:rsidRDefault="00804F3A" w:rsidP="005C30A4">
      <w:pPr>
        <w:pStyle w:val="NoSpacing"/>
        <w:rPr>
          <w:rFonts w:ascii="Arial Black" w:hAnsi="Arial Black"/>
          <w:sz w:val="24"/>
          <w:szCs w:val="24"/>
        </w:rPr>
      </w:pPr>
    </w:p>
    <w:p w14:paraId="090F141C" w14:textId="2283212F" w:rsidR="00804F3A" w:rsidRDefault="00804F3A" w:rsidP="005C30A4">
      <w:pPr>
        <w:pStyle w:val="NoSpacing"/>
        <w:rPr>
          <w:rFonts w:ascii="Arial Black" w:hAnsi="Arial Black"/>
          <w:sz w:val="24"/>
          <w:szCs w:val="24"/>
        </w:rPr>
      </w:pPr>
    </w:p>
    <w:p w14:paraId="1B9CC598" w14:textId="77777777" w:rsidR="00804F3A" w:rsidRDefault="00804F3A" w:rsidP="005C30A4">
      <w:pPr>
        <w:pStyle w:val="NoSpacing"/>
        <w:rPr>
          <w:rFonts w:ascii="Arial Black" w:hAnsi="Arial Black"/>
          <w:sz w:val="24"/>
          <w:szCs w:val="24"/>
        </w:rPr>
      </w:pPr>
    </w:p>
    <w:p w14:paraId="78AF3E0C" w14:textId="3F189206" w:rsidR="008B64DA" w:rsidRDefault="008B64DA" w:rsidP="005C30A4">
      <w:pPr>
        <w:pStyle w:val="NoSpacing"/>
        <w:rPr>
          <w:rFonts w:ascii="Arial Black" w:hAnsi="Arial Black"/>
          <w:sz w:val="24"/>
          <w:szCs w:val="24"/>
        </w:rPr>
      </w:pPr>
      <w:r>
        <w:rPr>
          <w:rFonts w:ascii="Arial Black" w:hAnsi="Arial Black"/>
          <w:sz w:val="24"/>
          <w:szCs w:val="24"/>
        </w:rPr>
        <w:t>9-23</w:t>
      </w:r>
    </w:p>
    <w:p w14:paraId="0820D701" w14:textId="77777777" w:rsidR="00F04A7D" w:rsidRPr="00481FCA" w:rsidRDefault="00F04A7D" w:rsidP="00F04A7D">
      <w:pPr>
        <w:spacing w:before="100" w:beforeAutospacing="1" w:after="100" w:afterAutospacing="1" w:line="240" w:lineRule="auto"/>
        <w:rPr>
          <w:rFonts w:ascii="Arial Black" w:eastAsia="Times New Roman" w:hAnsi="Arial Black"/>
          <w:sz w:val="28"/>
          <w:szCs w:val="28"/>
        </w:rPr>
      </w:pPr>
      <w:r>
        <w:rPr>
          <w:rFonts w:ascii="Arial Black" w:eastAsia="Times New Roman" w:hAnsi="Arial Black"/>
          <w:sz w:val="28"/>
          <w:szCs w:val="28"/>
        </w:rPr>
        <w:t xml:space="preserve">CA: REASONABLE ACCOMODATION - STESS RELIEF - MALE FF TRANSFERRED – DIVIDERS IN SLEEPING QUARTERS  </w:t>
      </w:r>
    </w:p>
    <w:p w14:paraId="7A82C5E3" w14:textId="2923708D" w:rsidR="008B64DA" w:rsidRDefault="008B64DA" w:rsidP="008B64DA">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On Aug. 19, 2022, in </w:t>
      </w:r>
      <w:r w:rsidRPr="003E4F49">
        <w:rPr>
          <w:rFonts w:ascii="Times New Roman" w:eastAsia="Times New Roman" w:hAnsi="Times New Roman"/>
          <w:sz w:val="24"/>
          <w:szCs w:val="24"/>
          <w:u w:val="single"/>
        </w:rPr>
        <w:t>Felipe Marcial v. County of Los Angeles</w:t>
      </w:r>
      <w:r>
        <w:rPr>
          <w:rFonts w:ascii="Times New Roman" w:eastAsia="Times New Roman" w:hAnsi="Times New Roman"/>
          <w:sz w:val="24"/>
          <w:szCs w:val="24"/>
        </w:rPr>
        <w:t>, the California Court of Appeals, Second District (Fourth Division) held (3 to 0) that trial court properly granted summary judgment for the City.  “</w:t>
      </w:r>
      <w:r w:rsidRPr="00481FCA">
        <w:rPr>
          <w:rFonts w:ascii="Times New Roman" w:eastAsia="Times New Roman" w:hAnsi="Times New Roman"/>
          <w:sz w:val="24"/>
          <w:szCs w:val="24"/>
        </w:rPr>
        <w:t>Thus, upon his return to work in 2018</w:t>
      </w:r>
      <w:r>
        <w:rPr>
          <w:rFonts w:ascii="Times New Roman" w:eastAsia="Times New Roman" w:hAnsi="Times New Roman"/>
          <w:sz w:val="24"/>
          <w:szCs w:val="24"/>
        </w:rPr>
        <w:t xml:space="preserve"> [after shoulder injury]</w:t>
      </w:r>
      <w:r w:rsidRPr="00481FCA">
        <w:rPr>
          <w:rFonts w:ascii="Times New Roman" w:eastAsia="Times New Roman" w:hAnsi="Times New Roman"/>
          <w:sz w:val="24"/>
          <w:szCs w:val="24"/>
        </w:rPr>
        <w:t xml:space="preserve">, Marcial requested a transfer to a non-USAR station (specifically, FS 80). LACOFD granted Marcial's request. Marcial admits he received </w:t>
      </w:r>
      <w:proofErr w:type="gramStart"/>
      <w:r w:rsidRPr="00481FCA">
        <w:rPr>
          <w:rFonts w:ascii="Times New Roman" w:eastAsia="Times New Roman" w:hAnsi="Times New Roman"/>
          <w:sz w:val="24"/>
          <w:szCs w:val="24"/>
        </w:rPr>
        <w:t>a reasonable</w:t>
      </w:r>
      <w:proofErr w:type="gramEnd"/>
      <w:r w:rsidRPr="00481FCA">
        <w:rPr>
          <w:rFonts w:ascii="Times New Roman" w:eastAsia="Times New Roman" w:hAnsi="Times New Roman"/>
          <w:sz w:val="24"/>
          <w:szCs w:val="24"/>
        </w:rPr>
        <w:t xml:space="preserve"> </w:t>
      </w:r>
      <w:proofErr w:type="gramStart"/>
      <w:r w:rsidRPr="00481FCA">
        <w:rPr>
          <w:rFonts w:ascii="Times New Roman" w:eastAsia="Times New Roman" w:hAnsi="Times New Roman"/>
          <w:sz w:val="24"/>
          <w:szCs w:val="24"/>
        </w:rPr>
        <w:t xml:space="preserve">accommodation: </w:t>
      </w:r>
      <w:r>
        <w:rPr>
          <w:rFonts w:ascii="Times New Roman" w:eastAsia="Times New Roman" w:hAnsi="Times New Roman"/>
          <w:sz w:val="24"/>
          <w:szCs w:val="24"/>
        </w:rPr>
        <w:t>‘</w:t>
      </w:r>
      <w:proofErr w:type="gramEnd"/>
      <w:r w:rsidRPr="00481FCA">
        <w:rPr>
          <w:rFonts w:ascii="Times New Roman" w:eastAsia="Times New Roman" w:hAnsi="Times New Roman"/>
          <w:sz w:val="24"/>
          <w:szCs w:val="24"/>
        </w:rPr>
        <w:t xml:space="preserve">FS 80 put up dividers in the sleeping quarters even without me requesting them. Unlike all the years previously, FS 80 took my situation seriously and finally made efforts to accommodate me. While there are </w:t>
      </w:r>
      <w:proofErr w:type="gramStart"/>
      <w:r w:rsidRPr="00481FCA">
        <w:rPr>
          <w:rFonts w:ascii="Times New Roman" w:eastAsia="Times New Roman" w:hAnsi="Times New Roman"/>
          <w:sz w:val="24"/>
          <w:szCs w:val="24"/>
        </w:rPr>
        <w:t>not</w:t>
      </w:r>
      <w:proofErr w:type="gramEnd"/>
      <w:r w:rsidRPr="00481FCA">
        <w:rPr>
          <w:rFonts w:ascii="Times New Roman" w:eastAsia="Times New Roman" w:hAnsi="Times New Roman"/>
          <w:sz w:val="24"/>
          <w:szCs w:val="24"/>
        </w:rPr>
        <w:t xml:space="preserve"> separate showers, unlike FS 103, there is a wall with a door and lockable area so that the shower can be locked and prevent anyone from seeing in. With accommodation I was able to perform my job duties.</w:t>
      </w:r>
      <w:r>
        <w:rPr>
          <w:rFonts w:ascii="Times New Roman" w:eastAsia="Times New Roman" w:hAnsi="Times New Roman"/>
          <w:sz w:val="24"/>
          <w:szCs w:val="24"/>
        </w:rPr>
        <w:t>’</w:t>
      </w:r>
      <w:r w:rsidRPr="00481FCA">
        <w:rPr>
          <w:rFonts w:ascii="Times New Roman" w:eastAsia="Times New Roman" w:hAnsi="Times New Roman"/>
          <w:sz w:val="24"/>
          <w:szCs w:val="24"/>
        </w:rPr>
        <w:t> On this record, we conclude Marcial not only received a reasonable accommodation, but the exact accommodation he sought (i.e., a transfer to FS 80 and privacy in the living quarters).</w:t>
      </w:r>
      <w:r>
        <w:rPr>
          <w:rFonts w:ascii="Times New Roman" w:eastAsia="Times New Roman" w:hAnsi="Times New Roman"/>
          <w:sz w:val="24"/>
          <w:szCs w:val="24"/>
        </w:rPr>
        <w:t xml:space="preserve">” </w:t>
      </w:r>
      <w:hyperlink r:id="rId1697" w:history="1">
        <w:r w:rsidRPr="00696C47">
          <w:rPr>
            <w:rStyle w:val="Hyperlink"/>
            <w:rFonts w:ascii="Times New Roman" w:eastAsia="Times New Roman" w:hAnsi="Times New Roman"/>
          </w:rPr>
          <w:t>https://public.fastcase.com/J%2FJP6pdidelsXxEE4k%2BLMiM7pwWb%2BJBiIrsmHTSQKCgTGoUCuPbfbRmZbIscWTRrl1YTX4iVhFAcHudcdl9kVeXDJy0GqMwEdaMu5Mx11Z8%3D</w:t>
        </w:r>
      </w:hyperlink>
      <w:r>
        <w:rPr>
          <w:rFonts w:ascii="Times New Roman" w:eastAsia="Times New Roman" w:hAnsi="Times New Roman"/>
          <w:sz w:val="24"/>
          <w:szCs w:val="24"/>
        </w:rPr>
        <w:t xml:space="preserve"> </w:t>
      </w:r>
    </w:p>
    <w:p w14:paraId="781391C0" w14:textId="77777777" w:rsidR="00F04A7D" w:rsidRPr="00424C1F" w:rsidRDefault="00F04A7D" w:rsidP="00F04A7D">
      <w:pPr>
        <w:spacing w:before="100" w:beforeAutospacing="1" w:after="100" w:afterAutospacing="1" w:line="240" w:lineRule="auto"/>
        <w:rPr>
          <w:rFonts w:ascii="Times New Roman" w:eastAsia="Times New Roman" w:hAnsi="Times New Roman"/>
          <w:b/>
          <w:bCs/>
          <w:sz w:val="24"/>
          <w:szCs w:val="24"/>
        </w:rPr>
      </w:pPr>
      <w:r w:rsidRPr="00424C1F">
        <w:rPr>
          <w:rFonts w:ascii="Times New Roman" w:eastAsia="Times New Roman" w:hAnsi="Times New Roman"/>
          <w:b/>
          <w:bCs/>
          <w:sz w:val="24"/>
          <w:szCs w:val="24"/>
        </w:rPr>
        <w:t xml:space="preserve">Legal Lesson Learned: </w:t>
      </w:r>
      <w:r>
        <w:rPr>
          <w:rFonts w:ascii="Times New Roman" w:eastAsia="Times New Roman" w:hAnsi="Times New Roman"/>
          <w:b/>
          <w:bCs/>
          <w:sz w:val="24"/>
          <w:szCs w:val="24"/>
        </w:rPr>
        <w:t xml:space="preserve"> The FD reasonably accommodated his transfer requests. </w:t>
      </w:r>
    </w:p>
    <w:p w14:paraId="367AA70A" w14:textId="77777777" w:rsidR="008B64DA" w:rsidRDefault="008B64DA" w:rsidP="005C30A4">
      <w:pPr>
        <w:pStyle w:val="NoSpacing"/>
        <w:rPr>
          <w:rFonts w:ascii="Arial Black" w:hAnsi="Arial Black"/>
          <w:sz w:val="24"/>
          <w:szCs w:val="24"/>
        </w:rPr>
      </w:pPr>
    </w:p>
    <w:p w14:paraId="035C7057" w14:textId="77777777" w:rsidR="008B64DA" w:rsidRDefault="008B64DA" w:rsidP="005C30A4">
      <w:pPr>
        <w:pStyle w:val="NoSpacing"/>
        <w:rPr>
          <w:rFonts w:ascii="Arial Black" w:hAnsi="Arial Black"/>
          <w:sz w:val="24"/>
          <w:szCs w:val="24"/>
        </w:rPr>
      </w:pPr>
    </w:p>
    <w:p w14:paraId="38510994" w14:textId="77777777" w:rsidR="008B64DA" w:rsidRDefault="008B64DA" w:rsidP="005C30A4">
      <w:pPr>
        <w:pStyle w:val="NoSpacing"/>
        <w:rPr>
          <w:rFonts w:ascii="Arial Black" w:hAnsi="Arial Black"/>
          <w:sz w:val="24"/>
          <w:szCs w:val="24"/>
        </w:rPr>
      </w:pPr>
    </w:p>
    <w:p w14:paraId="714C0467" w14:textId="0C4E70FB" w:rsidR="005644A4" w:rsidRDefault="005644A4" w:rsidP="005C30A4">
      <w:pPr>
        <w:pStyle w:val="NoSpacing"/>
        <w:rPr>
          <w:rFonts w:ascii="Arial Black" w:hAnsi="Arial Black"/>
          <w:sz w:val="24"/>
          <w:szCs w:val="24"/>
        </w:rPr>
      </w:pPr>
      <w:r>
        <w:rPr>
          <w:rFonts w:ascii="Arial Black" w:hAnsi="Arial Black"/>
          <w:sz w:val="24"/>
          <w:szCs w:val="24"/>
        </w:rPr>
        <w:t>9-22</w:t>
      </w:r>
    </w:p>
    <w:p w14:paraId="4991C1B8" w14:textId="238C853D" w:rsidR="005644A4" w:rsidRDefault="005644A4" w:rsidP="005C30A4">
      <w:pPr>
        <w:pStyle w:val="NoSpacing"/>
        <w:rPr>
          <w:rFonts w:ascii="Arial Black" w:hAnsi="Arial Black"/>
          <w:sz w:val="24"/>
          <w:szCs w:val="24"/>
        </w:rPr>
      </w:pPr>
    </w:p>
    <w:p w14:paraId="13024133" w14:textId="77777777" w:rsidR="005644A4" w:rsidRDefault="005644A4" w:rsidP="005644A4">
      <w:pPr>
        <w:spacing w:before="100" w:beforeAutospacing="1" w:after="100" w:afterAutospacing="1" w:line="240" w:lineRule="auto"/>
        <w:rPr>
          <w:rFonts w:ascii="Arial Black" w:eastAsia="Times New Roman" w:hAnsi="Arial Black"/>
          <w:sz w:val="28"/>
          <w:szCs w:val="28"/>
        </w:rPr>
      </w:pPr>
      <w:r>
        <w:rPr>
          <w:rFonts w:ascii="Arial Black" w:eastAsia="Times New Roman" w:hAnsi="Arial Black"/>
          <w:sz w:val="28"/>
          <w:szCs w:val="28"/>
        </w:rPr>
        <w:lastRenderedPageBreak/>
        <w:t>MD: DEAF APPLICANT TO VOLUNTEER FD – REJECTED - WAS VOLUNTEER IN PA – LAWSUIT PROCEED DISCOVERY</w:t>
      </w:r>
    </w:p>
    <w:p w14:paraId="588BFF0B" w14:textId="77777777" w:rsidR="005644A4" w:rsidRDefault="005644A4" w:rsidP="005644A4">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On Dec. 9, 2021, in </w:t>
      </w:r>
      <w:r w:rsidRPr="00D6728D">
        <w:rPr>
          <w:rFonts w:ascii="Times New Roman" w:eastAsia="Times New Roman" w:hAnsi="Times New Roman"/>
          <w:sz w:val="24"/>
          <w:szCs w:val="24"/>
          <w:u w:val="single"/>
        </w:rPr>
        <w:t>Charles Hine v. Prince George’s County, Maryland and Morningside Volunteer Fire Department, Inc</w:t>
      </w:r>
      <w:r>
        <w:rPr>
          <w:rFonts w:ascii="Times New Roman" w:eastAsia="Times New Roman" w:hAnsi="Times New Roman"/>
          <w:sz w:val="24"/>
          <w:szCs w:val="24"/>
        </w:rPr>
        <w:t xml:space="preserve">., U.S. District Court Judge Theodore D. Chuang, U.S. District Court for District of Maryland, denied the County’s motion to dismiss.  Pre-trial discovery will gather facts on (1) does the County have sufficient control over the volunteer FD to be considered a joint-employer, and (2) does the volunteer FD provide sufficient compensation or other benefits to be considered an employer under federal ADA and Title VII employment discrimination laws. </w:t>
      </w:r>
    </w:p>
    <w:p w14:paraId="0DC427B5" w14:textId="77777777" w:rsidR="005644A4" w:rsidRPr="000F1227" w:rsidRDefault="005644A4" w:rsidP="005644A4">
      <w:pPr>
        <w:spacing w:before="100" w:beforeAutospacing="1" w:after="100" w:afterAutospacing="1" w:line="240" w:lineRule="auto"/>
        <w:ind w:left="720"/>
        <w:rPr>
          <w:rFonts w:ascii="Times New Roman" w:hAnsi="Times New Roman"/>
          <w:sz w:val="24"/>
          <w:szCs w:val="24"/>
        </w:rPr>
      </w:pPr>
      <w:r w:rsidRPr="000F1227">
        <w:rPr>
          <w:rFonts w:ascii="Times New Roman" w:hAnsi="Times New Roman"/>
          <w:sz w:val="24"/>
          <w:szCs w:val="24"/>
        </w:rPr>
        <w:t>“Determining whether an entity exercises sufficient control to qualify as an employer is ‘a highly fact-specific’ endeavor. Id. at 410, In his Rule 56(d) affidavit, Hine notes that the denial letter he received ‘was sent by the Prince George's County Office of Law on behalf of the Prince George's County Fire &amp; EMS Department,’ not by the MVFD</w:t>
      </w:r>
      <w:r>
        <w:rPr>
          <w:rFonts w:ascii="Times New Roman" w:hAnsi="Times New Roman"/>
          <w:sz w:val="24"/>
          <w:szCs w:val="24"/>
        </w:rPr>
        <w:t xml:space="preserve">…. </w:t>
      </w:r>
      <w:r w:rsidRPr="000F1227">
        <w:rPr>
          <w:rFonts w:ascii="Times New Roman" w:hAnsi="Times New Roman"/>
          <w:sz w:val="24"/>
          <w:szCs w:val="24"/>
        </w:rPr>
        <w:t xml:space="preserve"> This assertion supports Hine's contention that there is a factual dispute over whether the County was an employer for purposes of the denial of Hine's application that should not be resolved without discovery. *** Hine has pleaded in the Amended Complaint that he would have been an employee based on the </w:t>
      </w:r>
      <w:r>
        <w:rPr>
          <w:rFonts w:ascii="Times New Roman" w:hAnsi="Times New Roman"/>
          <w:sz w:val="24"/>
          <w:szCs w:val="24"/>
        </w:rPr>
        <w:t>‘</w:t>
      </w:r>
      <w:r w:rsidRPr="000F1227">
        <w:rPr>
          <w:rFonts w:ascii="Times New Roman" w:hAnsi="Times New Roman"/>
          <w:sz w:val="24"/>
          <w:szCs w:val="24"/>
        </w:rPr>
        <w:t xml:space="preserve">significant </w:t>
      </w:r>
      <w:proofErr w:type="gramStart"/>
      <w:r w:rsidRPr="000F1227">
        <w:rPr>
          <w:rFonts w:ascii="Times New Roman" w:hAnsi="Times New Roman"/>
          <w:sz w:val="24"/>
          <w:szCs w:val="24"/>
        </w:rPr>
        <w:t>benefits</w:t>
      </w:r>
      <w:r>
        <w:rPr>
          <w:rFonts w:ascii="Times New Roman" w:hAnsi="Times New Roman"/>
          <w:sz w:val="24"/>
          <w:szCs w:val="24"/>
        </w:rPr>
        <w:t>’</w:t>
      </w:r>
      <w:proofErr w:type="gramEnd"/>
      <w:r w:rsidRPr="000F1227">
        <w:rPr>
          <w:rFonts w:ascii="Times New Roman" w:hAnsi="Times New Roman"/>
          <w:sz w:val="24"/>
          <w:szCs w:val="24"/>
        </w:rPr>
        <w:t xml:space="preserve"> he would have received as a volunteer firefighter, including disability and survivor benefits, insurance benefits, tuition reimbursement. tax exemptions, and other benefits.</w:t>
      </w:r>
      <w:r>
        <w:rPr>
          <w:rFonts w:ascii="Times New Roman" w:hAnsi="Times New Roman"/>
          <w:sz w:val="24"/>
          <w:szCs w:val="24"/>
        </w:rPr>
        <w:t xml:space="preserve">” </w:t>
      </w:r>
      <w:hyperlink r:id="rId1698" w:history="1">
        <w:r w:rsidRPr="00EC5853">
          <w:rPr>
            <w:rStyle w:val="Hyperlink"/>
            <w:rFonts w:ascii="Times New Roman" w:hAnsi="Times New Roman"/>
            <w:sz w:val="24"/>
            <w:szCs w:val="24"/>
          </w:rPr>
          <w:t>https://www.leagle.com/decision/infdco20211215796</w:t>
        </w:r>
      </w:hyperlink>
      <w:r>
        <w:rPr>
          <w:rFonts w:ascii="Times New Roman" w:hAnsi="Times New Roman"/>
          <w:sz w:val="24"/>
          <w:szCs w:val="24"/>
        </w:rPr>
        <w:t xml:space="preserve"> </w:t>
      </w:r>
    </w:p>
    <w:p w14:paraId="60E02BEE" w14:textId="77777777" w:rsidR="005644A4" w:rsidRDefault="005644A4" w:rsidP="005C30A4">
      <w:pPr>
        <w:pStyle w:val="NoSpacing"/>
        <w:rPr>
          <w:rFonts w:ascii="Arial Black" w:hAnsi="Arial Black"/>
          <w:sz w:val="24"/>
          <w:szCs w:val="24"/>
        </w:rPr>
      </w:pPr>
    </w:p>
    <w:p w14:paraId="37F2F1FF" w14:textId="77777777" w:rsidR="005644A4" w:rsidRDefault="005644A4" w:rsidP="005C30A4">
      <w:pPr>
        <w:pStyle w:val="NoSpacing"/>
        <w:rPr>
          <w:rFonts w:ascii="Arial Black" w:hAnsi="Arial Black"/>
          <w:sz w:val="24"/>
          <w:szCs w:val="24"/>
        </w:rPr>
      </w:pPr>
    </w:p>
    <w:p w14:paraId="268A7674" w14:textId="0C51C4AE" w:rsidR="00C67B2A" w:rsidRDefault="00C67B2A" w:rsidP="005C30A4">
      <w:pPr>
        <w:pStyle w:val="NoSpacing"/>
        <w:rPr>
          <w:rFonts w:ascii="Arial Black" w:hAnsi="Arial Black"/>
          <w:sz w:val="24"/>
          <w:szCs w:val="24"/>
        </w:rPr>
      </w:pPr>
      <w:r>
        <w:rPr>
          <w:rFonts w:ascii="Arial Black" w:hAnsi="Arial Black"/>
          <w:sz w:val="24"/>
          <w:szCs w:val="24"/>
        </w:rPr>
        <w:t>9-21</w:t>
      </w:r>
    </w:p>
    <w:p w14:paraId="145FE018" w14:textId="77777777" w:rsidR="00C67B2A" w:rsidRDefault="00C67B2A" w:rsidP="00C67B2A">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TN: SERVICE DOG – FORMER EMT WITH “PTSD” – NOW AT&amp;T, WANTS DOG RIDE WITH HIM - CASE TO PROCEED</w:t>
      </w:r>
    </w:p>
    <w:p w14:paraId="3D24C3DF" w14:textId="77777777" w:rsidR="00C67B2A" w:rsidRDefault="00C67B2A" w:rsidP="00C67B2A">
      <w:pPr>
        <w:spacing w:before="100" w:beforeAutospacing="1" w:after="100" w:afterAutospacing="1" w:line="240" w:lineRule="auto"/>
        <w:rPr>
          <w:rFonts w:ascii="Times New Roman" w:eastAsia="Times New Roman" w:hAnsi="Times New Roman"/>
          <w:sz w:val="24"/>
          <w:szCs w:val="24"/>
        </w:rPr>
      </w:pPr>
      <w:r w:rsidRPr="00792E67">
        <w:rPr>
          <w:rFonts w:ascii="Times New Roman" w:eastAsia="Times New Roman" w:hAnsi="Times New Roman"/>
          <w:sz w:val="24"/>
          <w:szCs w:val="24"/>
        </w:rPr>
        <w:t xml:space="preserve">On </w:t>
      </w:r>
      <w:r>
        <w:rPr>
          <w:rFonts w:ascii="Times New Roman" w:eastAsia="Times New Roman" w:hAnsi="Times New Roman"/>
          <w:sz w:val="24"/>
          <w:szCs w:val="24"/>
        </w:rPr>
        <w:t xml:space="preserve">Oct. 22, 2021, in </w:t>
      </w:r>
      <w:r w:rsidRPr="00792E67">
        <w:rPr>
          <w:rFonts w:ascii="Times New Roman" w:eastAsia="Times New Roman" w:hAnsi="Times New Roman"/>
          <w:sz w:val="24"/>
          <w:szCs w:val="24"/>
          <w:u w:val="single"/>
        </w:rPr>
        <w:t>Wayne Schroeder v. AT&amp;T Mobility Services, LLC</w:t>
      </w:r>
      <w:r>
        <w:rPr>
          <w:rFonts w:ascii="Times New Roman" w:eastAsia="Times New Roman" w:hAnsi="Times New Roman"/>
          <w:sz w:val="24"/>
          <w:szCs w:val="24"/>
        </w:rPr>
        <w:t xml:space="preserve">, U.S. District Court Chief Judge Waverly D. Crenshaw, Jr., U.S. District Court for Middle District of Tennessee (Nashville Division) held that neither the plaintiff, nor AT&amp;T are entitled to Summary Judgment.  Pre-trial discovery will therefore continue, and if not settled the case will go to trial. </w:t>
      </w:r>
    </w:p>
    <w:p w14:paraId="467B22F8" w14:textId="77777777" w:rsidR="00C67B2A" w:rsidRDefault="00C67B2A" w:rsidP="00C67B2A">
      <w:pPr>
        <w:spacing w:before="100" w:beforeAutospacing="1" w:after="100" w:afterAutospacing="1" w:line="240" w:lineRule="auto"/>
        <w:ind w:left="720"/>
        <w:rPr>
          <w:rFonts w:ascii="Times New Roman" w:hAnsi="Times New Roman"/>
          <w:sz w:val="24"/>
          <w:szCs w:val="24"/>
        </w:rPr>
      </w:pPr>
      <w:r w:rsidRPr="003A2F72">
        <w:rPr>
          <w:rFonts w:ascii="Times New Roman" w:hAnsi="Times New Roman"/>
          <w:sz w:val="24"/>
          <w:szCs w:val="24"/>
        </w:rPr>
        <w:t> Mr. Schroeder has a German shepherd named Dakota</w:t>
      </w:r>
      <w:r>
        <w:rPr>
          <w:rFonts w:ascii="Times New Roman" w:hAnsi="Times New Roman"/>
          <w:sz w:val="24"/>
          <w:szCs w:val="24"/>
        </w:rPr>
        <w:t xml:space="preserve">…. </w:t>
      </w:r>
      <w:r w:rsidRPr="003A2F72">
        <w:rPr>
          <w:rFonts w:ascii="Times New Roman" w:hAnsi="Times New Roman"/>
          <w:sz w:val="24"/>
          <w:szCs w:val="24"/>
        </w:rPr>
        <w:t xml:space="preserve">Dakota is a service dog who </w:t>
      </w:r>
      <w:r>
        <w:rPr>
          <w:rFonts w:ascii="Times New Roman" w:hAnsi="Times New Roman"/>
          <w:sz w:val="24"/>
          <w:szCs w:val="24"/>
        </w:rPr>
        <w:t>‘</w:t>
      </w:r>
      <w:r w:rsidRPr="003A2F72">
        <w:rPr>
          <w:rFonts w:ascii="Times New Roman" w:hAnsi="Times New Roman"/>
          <w:sz w:val="24"/>
          <w:szCs w:val="24"/>
        </w:rPr>
        <w:t>can sense when Mr. Schroeder is entering a depressive state or suffering from an anxiety attack and will notify Mr. Schroeder of his change in condition</w:t>
      </w:r>
      <w:r>
        <w:rPr>
          <w:rFonts w:ascii="Times New Roman" w:hAnsi="Times New Roman"/>
          <w:sz w:val="24"/>
          <w:szCs w:val="24"/>
        </w:rPr>
        <w:t>….</w:t>
      </w:r>
      <w:r w:rsidRPr="003A2F72">
        <w:rPr>
          <w:rFonts w:ascii="Times New Roman" w:hAnsi="Times New Roman"/>
          <w:sz w:val="24"/>
          <w:szCs w:val="24"/>
        </w:rPr>
        <w:t xml:space="preserve">” Without Dakota's help, Mr. Schroeder is </w:t>
      </w:r>
      <w:r>
        <w:rPr>
          <w:rFonts w:ascii="Times New Roman" w:hAnsi="Times New Roman"/>
          <w:sz w:val="24"/>
          <w:szCs w:val="24"/>
        </w:rPr>
        <w:t>‘</w:t>
      </w:r>
      <w:r w:rsidRPr="003A2F72">
        <w:rPr>
          <w:rFonts w:ascii="Times New Roman" w:hAnsi="Times New Roman"/>
          <w:sz w:val="24"/>
          <w:szCs w:val="24"/>
        </w:rPr>
        <w:t>more apt to keep going and try to work his way through a depressive episode or anxiety attack,</w:t>
      </w:r>
      <w:r>
        <w:rPr>
          <w:rFonts w:ascii="Times New Roman" w:hAnsi="Times New Roman"/>
          <w:sz w:val="24"/>
          <w:szCs w:val="24"/>
        </w:rPr>
        <w:t>’</w:t>
      </w:r>
      <w:r w:rsidRPr="003A2F72">
        <w:rPr>
          <w:rFonts w:ascii="Times New Roman" w:hAnsi="Times New Roman"/>
          <w:sz w:val="24"/>
          <w:szCs w:val="24"/>
        </w:rPr>
        <w:t xml:space="preserve"> rather than pausing what he is doing and </w:t>
      </w:r>
      <w:r>
        <w:rPr>
          <w:rFonts w:ascii="Times New Roman" w:hAnsi="Times New Roman"/>
          <w:sz w:val="24"/>
          <w:szCs w:val="24"/>
        </w:rPr>
        <w:t>‘</w:t>
      </w:r>
      <w:r w:rsidRPr="003A2F72">
        <w:rPr>
          <w:rFonts w:ascii="Times New Roman" w:hAnsi="Times New Roman"/>
          <w:sz w:val="24"/>
          <w:szCs w:val="24"/>
        </w:rPr>
        <w:t>refocus[</w:t>
      </w:r>
      <w:proofErr w:type="spellStart"/>
      <w:r w:rsidRPr="003A2F72">
        <w:rPr>
          <w:rFonts w:ascii="Times New Roman" w:hAnsi="Times New Roman"/>
          <w:sz w:val="24"/>
          <w:szCs w:val="24"/>
        </w:rPr>
        <w:t>ing</w:t>
      </w:r>
      <w:proofErr w:type="spellEnd"/>
      <w:r w:rsidRPr="003A2F72">
        <w:rPr>
          <w:rFonts w:ascii="Times New Roman" w:hAnsi="Times New Roman"/>
          <w:sz w:val="24"/>
          <w:szCs w:val="24"/>
        </w:rPr>
        <w:t>]</w:t>
      </w:r>
      <w:r>
        <w:rPr>
          <w:rFonts w:ascii="Times New Roman" w:hAnsi="Times New Roman"/>
          <w:sz w:val="24"/>
          <w:szCs w:val="24"/>
        </w:rPr>
        <w:t>’</w:t>
      </w:r>
      <w:r w:rsidRPr="003A2F72">
        <w:rPr>
          <w:rFonts w:ascii="Times New Roman" w:hAnsi="Times New Roman"/>
          <w:sz w:val="24"/>
          <w:szCs w:val="24"/>
        </w:rPr>
        <w:t xml:space="preserve"> as is necessary</w:t>
      </w:r>
      <w:r>
        <w:rPr>
          <w:rFonts w:ascii="Times New Roman" w:hAnsi="Times New Roman"/>
          <w:sz w:val="24"/>
          <w:szCs w:val="24"/>
        </w:rPr>
        <w:t>….</w:t>
      </w:r>
      <w:r w:rsidRPr="003A2F72">
        <w:rPr>
          <w:rFonts w:ascii="Times New Roman" w:hAnsi="Times New Roman"/>
          <w:sz w:val="24"/>
          <w:szCs w:val="24"/>
        </w:rPr>
        <w:t xml:space="preserve"> Dakota </w:t>
      </w:r>
      <w:r>
        <w:rPr>
          <w:rFonts w:ascii="Times New Roman" w:hAnsi="Times New Roman"/>
          <w:sz w:val="24"/>
          <w:szCs w:val="24"/>
        </w:rPr>
        <w:t>‘</w:t>
      </w:r>
      <w:r w:rsidRPr="003A2F72">
        <w:rPr>
          <w:rFonts w:ascii="Times New Roman" w:hAnsi="Times New Roman"/>
          <w:sz w:val="24"/>
          <w:szCs w:val="24"/>
        </w:rPr>
        <w:t>also acts as a physical barrier when Mr. Schroeder is in a public space, keeping people from crowding or getting too close to him, which can trigger Mr. Schroeder's PTSD and anxiety</w:t>
      </w:r>
      <w:r>
        <w:rPr>
          <w:rFonts w:ascii="Times New Roman" w:hAnsi="Times New Roman"/>
          <w:sz w:val="24"/>
          <w:szCs w:val="24"/>
        </w:rPr>
        <w:t xml:space="preserve">…. ‘ </w:t>
      </w:r>
    </w:p>
    <w:p w14:paraId="7CF95F94" w14:textId="77777777" w:rsidR="00C67B2A" w:rsidRDefault="00C67B2A" w:rsidP="00C67B2A">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p>
    <w:p w14:paraId="05D4A8A8" w14:textId="77777777" w:rsidR="00C67B2A" w:rsidRDefault="00C67B2A" w:rsidP="00C67B2A">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r w:rsidRPr="003A2F72">
        <w:rPr>
          <w:rFonts w:ascii="Times New Roman" w:hAnsi="Times New Roman"/>
          <w:sz w:val="24"/>
          <w:szCs w:val="24"/>
        </w:rPr>
        <w:t xml:space="preserve">Mr. Schroeder claims AT&amp;T failed to accommodate his mental health conditions by refusing to alter his job requirements and company vehicle to permit his service dog to work alongside him. AT&amp;T argues the accommodations Mr. Schroeder </w:t>
      </w:r>
      <w:proofErr w:type="gramStart"/>
      <w:r w:rsidRPr="003A2F72">
        <w:rPr>
          <w:rFonts w:ascii="Times New Roman" w:hAnsi="Times New Roman"/>
          <w:sz w:val="24"/>
          <w:szCs w:val="24"/>
        </w:rPr>
        <w:t>proposed</w:t>
      </w:r>
      <w:proofErr w:type="gramEnd"/>
      <w:r w:rsidRPr="003A2F72">
        <w:rPr>
          <w:rFonts w:ascii="Times New Roman" w:hAnsi="Times New Roman"/>
          <w:sz w:val="24"/>
          <w:szCs w:val="24"/>
        </w:rPr>
        <w:t xml:space="preserve"> </w:t>
      </w:r>
      <w:proofErr w:type="gramStart"/>
      <w:r w:rsidRPr="003A2F72">
        <w:rPr>
          <w:rFonts w:ascii="Times New Roman" w:hAnsi="Times New Roman"/>
          <w:sz w:val="24"/>
          <w:szCs w:val="24"/>
        </w:rPr>
        <w:t>were</w:t>
      </w:r>
      <w:proofErr w:type="gramEnd"/>
      <w:r w:rsidRPr="003A2F72">
        <w:rPr>
          <w:rFonts w:ascii="Times New Roman" w:hAnsi="Times New Roman"/>
          <w:sz w:val="24"/>
          <w:szCs w:val="24"/>
        </w:rPr>
        <w:t xml:space="preserve"> unreasonable. Both parties moved for summary judgment</w:t>
      </w:r>
      <w:r>
        <w:rPr>
          <w:rFonts w:ascii="Times New Roman" w:hAnsi="Times New Roman"/>
          <w:sz w:val="24"/>
          <w:szCs w:val="24"/>
        </w:rPr>
        <w:t xml:space="preserve">…. </w:t>
      </w:r>
      <w:r w:rsidRPr="003A2F72">
        <w:rPr>
          <w:rFonts w:ascii="Times New Roman" w:hAnsi="Times New Roman"/>
          <w:sz w:val="24"/>
          <w:szCs w:val="24"/>
        </w:rPr>
        <w:t>The Court will deny each motion because genuine issues of material fact remain regarding the reasonableness of Mr. Schroeder's requested accommodations.</w:t>
      </w:r>
      <w:r>
        <w:rPr>
          <w:rFonts w:ascii="Times New Roman" w:hAnsi="Times New Roman"/>
          <w:sz w:val="24"/>
          <w:szCs w:val="24"/>
        </w:rPr>
        <w:t xml:space="preserve">” </w:t>
      </w:r>
      <w:hyperlink r:id="rId1699" w:history="1">
        <w:r w:rsidRPr="00410682">
          <w:rPr>
            <w:rStyle w:val="Hyperlink"/>
            <w:sz w:val="24"/>
            <w:szCs w:val="24"/>
          </w:rPr>
          <w:t>https://public.fastcase.com/9SKwsfNqTc6OieYDhNMyM6vC7U3N6pFiGGudI%2FRRBa2RM8NFylVCIr30mZgiL1xCGi%2BB4TwUGi23U%2F4WBRTxtqosYxdtzzhHp1yF4K4Z7P8%3D</w:t>
        </w:r>
      </w:hyperlink>
      <w:r>
        <w:rPr>
          <w:rFonts w:ascii="Times New Roman" w:hAnsi="Times New Roman"/>
          <w:sz w:val="24"/>
          <w:szCs w:val="24"/>
        </w:rPr>
        <w:t xml:space="preserve"> </w:t>
      </w:r>
    </w:p>
    <w:p w14:paraId="41F3BB95" w14:textId="77777777" w:rsidR="00C67B2A" w:rsidRDefault="00C67B2A" w:rsidP="00C67B2A">
      <w:pPr>
        <w:tabs>
          <w:tab w:val="left" w:pos="3280"/>
        </w:tabs>
        <w:spacing w:before="100" w:beforeAutospacing="1" w:after="100" w:afterAutospacing="1" w:line="240" w:lineRule="auto"/>
        <w:rPr>
          <w:rFonts w:ascii="Times New Roman" w:hAnsi="Times New Roman"/>
          <w:b/>
          <w:bCs/>
          <w:sz w:val="24"/>
          <w:szCs w:val="24"/>
        </w:rPr>
      </w:pPr>
      <w:r w:rsidRPr="00530A63">
        <w:rPr>
          <w:rFonts w:ascii="Times New Roman" w:hAnsi="Times New Roman"/>
          <w:b/>
          <w:bCs/>
          <w:sz w:val="24"/>
          <w:szCs w:val="24"/>
        </w:rPr>
        <w:lastRenderedPageBreak/>
        <w:t>Legal Lesson Learned:</w:t>
      </w:r>
      <w:r>
        <w:rPr>
          <w:rFonts w:ascii="Times New Roman" w:hAnsi="Times New Roman"/>
          <w:b/>
          <w:bCs/>
          <w:sz w:val="24"/>
          <w:szCs w:val="24"/>
        </w:rPr>
        <w:t xml:space="preserve"> </w:t>
      </w:r>
      <w:r w:rsidRPr="00530A63">
        <w:rPr>
          <w:rFonts w:ascii="Times New Roman" w:hAnsi="Times New Roman"/>
          <w:b/>
          <w:bCs/>
          <w:sz w:val="24"/>
          <w:szCs w:val="24"/>
        </w:rPr>
        <w:t xml:space="preserve">ADA requires employees to identify the precise limitations resulting from </w:t>
      </w:r>
      <w:proofErr w:type="gramStart"/>
      <w:r w:rsidRPr="00530A63">
        <w:rPr>
          <w:rFonts w:ascii="Times New Roman" w:hAnsi="Times New Roman"/>
          <w:b/>
          <w:bCs/>
          <w:sz w:val="24"/>
          <w:szCs w:val="24"/>
        </w:rPr>
        <w:t>the disability</w:t>
      </w:r>
      <w:proofErr w:type="gramEnd"/>
      <w:r w:rsidRPr="00530A63">
        <w:rPr>
          <w:rFonts w:ascii="Times New Roman" w:hAnsi="Times New Roman"/>
          <w:b/>
          <w:bCs/>
          <w:sz w:val="24"/>
          <w:szCs w:val="24"/>
        </w:rPr>
        <w:t xml:space="preserve"> and</w:t>
      </w:r>
      <w:r>
        <w:rPr>
          <w:rFonts w:ascii="Times New Roman" w:hAnsi="Times New Roman"/>
          <w:b/>
          <w:bCs/>
          <w:sz w:val="24"/>
          <w:szCs w:val="24"/>
        </w:rPr>
        <w:t xml:space="preserve"> employers to consider</w:t>
      </w:r>
      <w:r w:rsidRPr="00530A63">
        <w:rPr>
          <w:rFonts w:ascii="Times New Roman" w:hAnsi="Times New Roman"/>
          <w:b/>
          <w:bCs/>
          <w:sz w:val="24"/>
          <w:szCs w:val="24"/>
        </w:rPr>
        <w:t xml:space="preserve"> potential reasonable accommodations. </w:t>
      </w:r>
    </w:p>
    <w:p w14:paraId="3E700D4F" w14:textId="77777777" w:rsidR="00C67B2A" w:rsidRDefault="00C67B2A" w:rsidP="00C67B2A">
      <w:pPr>
        <w:pStyle w:val="Heading1"/>
        <w:ind w:left="720"/>
        <w:rPr>
          <w:b w:val="0"/>
          <w:bCs w:val="0"/>
          <w:sz w:val="24"/>
          <w:szCs w:val="24"/>
        </w:rPr>
      </w:pPr>
      <w:r w:rsidRPr="00B57FF7">
        <w:rPr>
          <w:b w:val="0"/>
          <w:bCs w:val="0"/>
          <w:sz w:val="24"/>
          <w:szCs w:val="24"/>
        </w:rPr>
        <w:t xml:space="preserve">Note:  Some fire departments have adopted “station dogs.”  City of Franklin, Ohio </w:t>
      </w:r>
      <w:r>
        <w:rPr>
          <w:b w:val="0"/>
          <w:bCs w:val="0"/>
          <w:sz w:val="24"/>
          <w:szCs w:val="24"/>
        </w:rPr>
        <w:t xml:space="preserve">Fire Department </w:t>
      </w:r>
      <w:r w:rsidRPr="00B57FF7">
        <w:rPr>
          <w:b w:val="0"/>
          <w:bCs w:val="0"/>
          <w:sz w:val="24"/>
          <w:szCs w:val="24"/>
        </w:rPr>
        <w:t xml:space="preserve">is one of the first in our state. </w:t>
      </w:r>
      <w:r>
        <w:rPr>
          <w:b w:val="0"/>
          <w:bCs w:val="0"/>
          <w:sz w:val="24"/>
          <w:szCs w:val="24"/>
        </w:rPr>
        <w:t xml:space="preserve">See article, </w:t>
      </w:r>
      <w:r w:rsidRPr="00B57FF7">
        <w:rPr>
          <w:b w:val="0"/>
          <w:bCs w:val="0"/>
          <w:sz w:val="24"/>
          <w:szCs w:val="24"/>
        </w:rPr>
        <w:t>July 17, 2021</w:t>
      </w:r>
      <w:r>
        <w:rPr>
          <w:b w:val="0"/>
          <w:bCs w:val="0"/>
          <w:sz w:val="24"/>
          <w:szCs w:val="24"/>
        </w:rPr>
        <w:t>,”</w:t>
      </w:r>
      <w:r w:rsidRPr="00B57FF7">
        <w:rPr>
          <w:b w:val="0"/>
          <w:bCs w:val="0"/>
          <w:sz w:val="24"/>
          <w:szCs w:val="24"/>
        </w:rPr>
        <w:t>Sworn Therapy Dog Supports Ohio Responders</w:t>
      </w:r>
      <w:r>
        <w:rPr>
          <w:b w:val="0"/>
          <w:bCs w:val="0"/>
          <w:sz w:val="24"/>
          <w:szCs w:val="24"/>
        </w:rPr>
        <w:t xml:space="preserve">.” </w:t>
      </w:r>
      <w:r w:rsidRPr="00B57FF7">
        <w:rPr>
          <w:b w:val="0"/>
          <w:bCs w:val="0"/>
          <w:sz w:val="24"/>
          <w:szCs w:val="24"/>
        </w:rPr>
        <w:t xml:space="preserve"> </w:t>
      </w:r>
      <w:hyperlink r:id="rId1700" w:history="1">
        <w:r w:rsidRPr="00B57FF7">
          <w:rPr>
            <w:rStyle w:val="Hyperlink"/>
            <w:sz w:val="24"/>
            <w:szCs w:val="24"/>
          </w:rPr>
          <w:t>https://www.hmpgloballearningnetwork.com/site/emsworld/original-contribution/sworn-therapy-dog-supports-ohio-responders</w:t>
        </w:r>
      </w:hyperlink>
      <w:r w:rsidRPr="00B57FF7">
        <w:rPr>
          <w:b w:val="0"/>
          <w:bCs w:val="0"/>
          <w:sz w:val="24"/>
          <w:szCs w:val="24"/>
        </w:rPr>
        <w:t xml:space="preserve"> </w:t>
      </w:r>
    </w:p>
    <w:p w14:paraId="6BBB62CB" w14:textId="77777777" w:rsidR="00C67B2A" w:rsidRPr="00B57FF7" w:rsidRDefault="00C67B2A" w:rsidP="00C67B2A">
      <w:pPr>
        <w:pStyle w:val="Heading1"/>
        <w:ind w:left="720"/>
        <w:rPr>
          <w:b w:val="0"/>
          <w:bCs w:val="0"/>
          <w:sz w:val="24"/>
          <w:szCs w:val="24"/>
        </w:rPr>
      </w:pPr>
      <w:r>
        <w:rPr>
          <w:b w:val="0"/>
          <w:bCs w:val="0"/>
          <w:sz w:val="24"/>
          <w:szCs w:val="24"/>
        </w:rPr>
        <w:t>[The author of this newsletter introduced FD to Circle Tail, which trains service dogs and places dogs that aren’t suited for service work.]</w:t>
      </w:r>
    </w:p>
    <w:p w14:paraId="67BB37FD" w14:textId="77777777" w:rsidR="00C67B2A" w:rsidRDefault="00C67B2A" w:rsidP="005C30A4">
      <w:pPr>
        <w:pStyle w:val="NoSpacing"/>
        <w:rPr>
          <w:rFonts w:ascii="Arial Black" w:hAnsi="Arial Black"/>
          <w:sz w:val="24"/>
          <w:szCs w:val="24"/>
        </w:rPr>
      </w:pPr>
    </w:p>
    <w:p w14:paraId="75D05A5B" w14:textId="77777777" w:rsidR="00C67B2A" w:rsidRDefault="00C67B2A" w:rsidP="005C30A4">
      <w:pPr>
        <w:pStyle w:val="NoSpacing"/>
        <w:rPr>
          <w:rFonts w:ascii="Arial Black" w:hAnsi="Arial Black"/>
          <w:sz w:val="24"/>
          <w:szCs w:val="24"/>
        </w:rPr>
      </w:pPr>
    </w:p>
    <w:p w14:paraId="5F27524B" w14:textId="77777777" w:rsidR="00C67B2A" w:rsidRDefault="00C67B2A" w:rsidP="005C30A4">
      <w:pPr>
        <w:pStyle w:val="NoSpacing"/>
        <w:rPr>
          <w:rFonts w:ascii="Arial Black" w:hAnsi="Arial Black"/>
          <w:sz w:val="24"/>
          <w:szCs w:val="24"/>
        </w:rPr>
      </w:pPr>
    </w:p>
    <w:p w14:paraId="358A4896" w14:textId="552748F9" w:rsidR="005C30A4" w:rsidRPr="005217D5" w:rsidRDefault="005217D5" w:rsidP="005C30A4">
      <w:pPr>
        <w:pStyle w:val="NoSpacing"/>
        <w:rPr>
          <w:rFonts w:ascii="Arial Black" w:hAnsi="Arial Black"/>
          <w:sz w:val="24"/>
          <w:szCs w:val="24"/>
        </w:rPr>
      </w:pPr>
      <w:r w:rsidRPr="005217D5">
        <w:rPr>
          <w:rFonts w:ascii="Arial Black" w:hAnsi="Arial Black"/>
          <w:sz w:val="24"/>
          <w:szCs w:val="24"/>
        </w:rPr>
        <w:t>9-20</w:t>
      </w:r>
    </w:p>
    <w:p w14:paraId="1C128D2C" w14:textId="77777777" w:rsidR="005217D5" w:rsidRDefault="005217D5" w:rsidP="005217D5">
      <w:pPr>
        <w:spacing w:before="100" w:beforeAutospacing="1" w:after="100" w:afterAutospacing="1" w:line="240" w:lineRule="auto"/>
        <w:rPr>
          <w:rFonts w:ascii="Arial Black" w:hAnsi="Arial Black"/>
          <w:sz w:val="28"/>
          <w:szCs w:val="28"/>
        </w:rPr>
      </w:pPr>
      <w:r w:rsidRPr="00953881">
        <w:rPr>
          <w:rFonts w:ascii="Arial Black" w:hAnsi="Arial Black"/>
          <w:sz w:val="28"/>
          <w:szCs w:val="28"/>
        </w:rPr>
        <w:t>PA:</w:t>
      </w:r>
      <w:r>
        <w:rPr>
          <w:rFonts w:ascii="Arial Black" w:hAnsi="Arial Black"/>
          <w:sz w:val="28"/>
          <w:szCs w:val="28"/>
        </w:rPr>
        <w:t xml:space="preserve">  VOL. FF LEFT ARM, RIGHT LEG AMPUTATED 2007 – DISABILITY INSUR. END 2017 – NOW WORKING AS MEDIC </w:t>
      </w:r>
    </w:p>
    <w:p w14:paraId="0EBE8B82" w14:textId="77777777" w:rsidR="005217D5" w:rsidRDefault="005217D5" w:rsidP="005217D5">
      <w:pPr>
        <w:spacing w:before="100" w:beforeAutospacing="1" w:after="100" w:afterAutospacing="1" w:line="240" w:lineRule="auto"/>
        <w:rPr>
          <w:rFonts w:ascii="Times New Roman" w:hAnsi="Times New Roman"/>
          <w:sz w:val="24"/>
          <w:szCs w:val="24"/>
        </w:rPr>
      </w:pPr>
      <w:r w:rsidRPr="00953881">
        <w:rPr>
          <w:rFonts w:ascii="Times New Roman" w:hAnsi="Times New Roman"/>
          <w:sz w:val="24"/>
          <w:szCs w:val="24"/>
        </w:rPr>
        <w:t xml:space="preserve">On </w:t>
      </w:r>
      <w:r>
        <w:rPr>
          <w:rFonts w:ascii="Times New Roman" w:hAnsi="Times New Roman"/>
          <w:sz w:val="24"/>
          <w:szCs w:val="24"/>
        </w:rPr>
        <w:t xml:space="preserve">July 20, 2021, in </w:t>
      </w:r>
      <w:r w:rsidRPr="00F9546F">
        <w:rPr>
          <w:rFonts w:ascii="Times New Roman" w:hAnsi="Times New Roman"/>
          <w:sz w:val="24"/>
          <w:szCs w:val="24"/>
          <w:u w:val="single"/>
        </w:rPr>
        <w:t xml:space="preserve">Chase Frost v. Provident Life </w:t>
      </w:r>
      <w:proofErr w:type="gramStart"/>
      <w:r w:rsidRPr="00F9546F">
        <w:rPr>
          <w:rFonts w:ascii="Times New Roman" w:hAnsi="Times New Roman"/>
          <w:sz w:val="24"/>
          <w:szCs w:val="24"/>
          <w:u w:val="single"/>
        </w:rPr>
        <w:t>And</w:t>
      </w:r>
      <w:proofErr w:type="gramEnd"/>
      <w:r w:rsidRPr="00F9546F">
        <w:rPr>
          <w:rFonts w:ascii="Times New Roman" w:hAnsi="Times New Roman"/>
          <w:sz w:val="24"/>
          <w:szCs w:val="24"/>
          <w:u w:val="single"/>
        </w:rPr>
        <w:t xml:space="preserve"> Accident Insurance Company</w:t>
      </w:r>
      <w:r>
        <w:rPr>
          <w:rFonts w:ascii="Times New Roman" w:hAnsi="Times New Roman"/>
          <w:sz w:val="24"/>
          <w:szCs w:val="24"/>
        </w:rPr>
        <w:t xml:space="preserve">, U.S. District Court Judge Jan Dubois, Eastern District of Pennsylvania, held that the insurance company was authorized to terminate the FF from disability benefits in 2017 since he was able to return to work.  </w:t>
      </w:r>
      <w:r w:rsidRPr="00F9546F">
        <w:rPr>
          <w:rFonts w:ascii="Times New Roman" w:hAnsi="Times New Roman"/>
          <w:sz w:val="24"/>
          <w:szCs w:val="24"/>
        </w:rPr>
        <w:t>In 2016, plaintiff was hired by the City of Philadelphia as a Fire Services Paramedic</w:t>
      </w:r>
      <w:r>
        <w:rPr>
          <w:rFonts w:ascii="Times New Roman" w:hAnsi="Times New Roman"/>
          <w:sz w:val="24"/>
          <w:szCs w:val="24"/>
        </w:rPr>
        <w:t xml:space="preserve"> cadet (but then was fired after failing a re-test)</w:t>
      </w:r>
      <w:r w:rsidRPr="00F9546F">
        <w:rPr>
          <w:rFonts w:ascii="Times New Roman" w:hAnsi="Times New Roman"/>
          <w:sz w:val="24"/>
          <w:szCs w:val="24"/>
        </w:rPr>
        <w:t>.</w:t>
      </w:r>
    </w:p>
    <w:p w14:paraId="3EFAA862" w14:textId="77777777" w:rsidR="005217D5" w:rsidRDefault="005217D5" w:rsidP="005217D5">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r w:rsidRPr="00F9546F">
        <w:rPr>
          <w:rFonts w:ascii="Times New Roman" w:hAnsi="Times New Roman"/>
          <w:sz w:val="24"/>
          <w:szCs w:val="24"/>
        </w:rPr>
        <w:t xml:space="preserve">Plaintiff further alleged in that case </w:t>
      </w:r>
      <w:r>
        <w:rPr>
          <w:rFonts w:ascii="Times New Roman" w:hAnsi="Times New Roman"/>
          <w:sz w:val="24"/>
          <w:szCs w:val="24"/>
        </w:rPr>
        <w:t xml:space="preserve">[lawsuit against City of Philadelphia for firing him] </w:t>
      </w:r>
      <w:r w:rsidRPr="00F9546F">
        <w:rPr>
          <w:rFonts w:ascii="Times New Roman" w:hAnsi="Times New Roman"/>
          <w:sz w:val="24"/>
          <w:szCs w:val="24"/>
        </w:rPr>
        <w:t xml:space="preserve">that he was </w:t>
      </w:r>
      <w:r>
        <w:rPr>
          <w:rFonts w:ascii="Times New Roman" w:hAnsi="Times New Roman"/>
          <w:sz w:val="24"/>
          <w:szCs w:val="24"/>
        </w:rPr>
        <w:t>‘</w:t>
      </w:r>
      <w:r w:rsidRPr="00F9546F">
        <w:rPr>
          <w:rFonts w:ascii="Times New Roman" w:hAnsi="Times New Roman"/>
          <w:sz w:val="24"/>
          <w:szCs w:val="24"/>
        </w:rPr>
        <w:t xml:space="preserve">a registered Paramedic with the National Registry of Emergency Technicians [], certified as a Paramedic with the Pennsylvania Department of Health, has over five (5) years of experience and education as a Paramedic, and has well over 1, 100 hours of field internship </w:t>
      </w:r>
      <w:proofErr w:type="spellStart"/>
      <w:r w:rsidRPr="00F9546F">
        <w:rPr>
          <w:rFonts w:ascii="Times New Roman" w:hAnsi="Times New Roman"/>
          <w:sz w:val="24"/>
          <w:szCs w:val="24"/>
        </w:rPr>
        <w:t>experience.</w:t>
      </w:r>
      <w:r>
        <w:rPr>
          <w:rFonts w:ascii="Times New Roman" w:hAnsi="Times New Roman"/>
          <w:sz w:val="24"/>
          <w:szCs w:val="24"/>
        </w:rPr>
        <w:t>’</w:t>
      </w:r>
      <w:r w:rsidRPr="00F9546F">
        <w:rPr>
          <w:rStyle w:val="Emphasis"/>
          <w:rFonts w:ascii="Times New Roman" w:hAnsi="Times New Roman"/>
          <w:sz w:val="24"/>
          <w:szCs w:val="24"/>
        </w:rPr>
        <w:t>Id</w:t>
      </w:r>
      <w:proofErr w:type="spellEnd"/>
      <w:r w:rsidRPr="00F9546F">
        <w:rPr>
          <w:rFonts w:ascii="Times New Roman" w:hAnsi="Times New Roman"/>
          <w:sz w:val="24"/>
          <w:szCs w:val="24"/>
        </w:rPr>
        <w:t>. ¶ 29.</w:t>
      </w:r>
    </w:p>
    <w:p w14:paraId="311A8D3F" w14:textId="77777777" w:rsidR="005217D5" w:rsidRDefault="005217D5" w:rsidP="005217D5">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p>
    <w:p w14:paraId="62A974F7" w14:textId="77777777" w:rsidR="005217D5" w:rsidRDefault="005217D5" w:rsidP="005217D5">
      <w:pPr>
        <w:spacing w:before="100" w:beforeAutospacing="1" w:after="100" w:afterAutospacing="1" w:line="240" w:lineRule="auto"/>
        <w:ind w:left="720"/>
        <w:rPr>
          <w:rFonts w:ascii="Times New Roman" w:hAnsi="Times New Roman"/>
          <w:sz w:val="24"/>
          <w:szCs w:val="24"/>
        </w:rPr>
      </w:pPr>
      <w:r w:rsidRPr="00F9546F">
        <w:rPr>
          <w:rFonts w:ascii="Times New Roman" w:hAnsi="Times New Roman"/>
          <w:sz w:val="24"/>
          <w:szCs w:val="24"/>
        </w:rPr>
        <w:t xml:space="preserve">On June 17, 2019, Judge Baylson </w:t>
      </w:r>
      <w:r>
        <w:rPr>
          <w:rFonts w:ascii="Times New Roman" w:hAnsi="Times New Roman"/>
          <w:sz w:val="24"/>
          <w:szCs w:val="24"/>
        </w:rPr>
        <w:t xml:space="preserve">[in the Philadelphia case] </w:t>
      </w:r>
      <w:r w:rsidRPr="00F9546F">
        <w:rPr>
          <w:rFonts w:ascii="Times New Roman" w:hAnsi="Times New Roman"/>
          <w:sz w:val="24"/>
          <w:szCs w:val="24"/>
        </w:rPr>
        <w:t xml:space="preserve">granted the City's Motion, concluding that: (1) although plaintiff “was qualified to perform the position of FSP [i.e., Fire Services Paramedic] cadet” with reasonable accommodations, (2) he failed to show that the City's justification for terminating him-the fact that he </w:t>
      </w:r>
      <w:r>
        <w:rPr>
          <w:rFonts w:ascii="Times New Roman" w:hAnsi="Times New Roman"/>
          <w:sz w:val="24"/>
          <w:szCs w:val="24"/>
        </w:rPr>
        <w:t>‘</w:t>
      </w:r>
      <w:r w:rsidRPr="00F9546F">
        <w:rPr>
          <w:rFonts w:ascii="Times New Roman" w:hAnsi="Times New Roman"/>
          <w:sz w:val="24"/>
          <w:szCs w:val="24"/>
        </w:rPr>
        <w:t>fail[ed] a retest</w:t>
      </w:r>
      <w:r>
        <w:rPr>
          <w:rFonts w:ascii="Times New Roman" w:hAnsi="Times New Roman"/>
          <w:sz w:val="24"/>
          <w:szCs w:val="24"/>
        </w:rPr>
        <w:t>’</w:t>
      </w:r>
      <w:r w:rsidRPr="00F9546F">
        <w:rPr>
          <w:rFonts w:ascii="Times New Roman" w:hAnsi="Times New Roman"/>
          <w:sz w:val="24"/>
          <w:szCs w:val="24"/>
        </w:rPr>
        <w:t xml:space="preserve"> at the Fire Academy-was pretextual. 2019 WL 2516987, at *6-8.</w:t>
      </w:r>
    </w:p>
    <w:p w14:paraId="19F901B9" w14:textId="77777777" w:rsidR="005217D5" w:rsidRDefault="005217D5" w:rsidP="005217D5">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p>
    <w:p w14:paraId="00C3CF75" w14:textId="77777777" w:rsidR="005217D5" w:rsidRDefault="005217D5" w:rsidP="005217D5">
      <w:pPr>
        <w:spacing w:before="100" w:beforeAutospacing="1" w:after="100" w:afterAutospacing="1" w:line="240" w:lineRule="auto"/>
        <w:ind w:left="720"/>
        <w:rPr>
          <w:rFonts w:ascii="Times New Roman" w:hAnsi="Times New Roman"/>
          <w:sz w:val="24"/>
          <w:szCs w:val="24"/>
        </w:rPr>
      </w:pPr>
      <w:r w:rsidRPr="00F9546F">
        <w:rPr>
          <w:rFonts w:ascii="Times New Roman" w:hAnsi="Times New Roman"/>
          <w:sz w:val="24"/>
          <w:szCs w:val="24"/>
        </w:rPr>
        <w:t xml:space="preserve">For the foregoing reasons, collateral estoppel bars plaintiff from relitigating the issue of whether he </w:t>
      </w:r>
      <w:proofErr w:type="gramStart"/>
      <w:r w:rsidRPr="00F9546F">
        <w:rPr>
          <w:rFonts w:ascii="Times New Roman" w:hAnsi="Times New Roman"/>
          <w:sz w:val="24"/>
          <w:szCs w:val="24"/>
        </w:rPr>
        <w:t>is able to</w:t>
      </w:r>
      <w:proofErr w:type="gramEnd"/>
      <w:r w:rsidRPr="00F9546F">
        <w:rPr>
          <w:rFonts w:ascii="Times New Roman" w:hAnsi="Times New Roman"/>
          <w:sz w:val="24"/>
          <w:szCs w:val="24"/>
        </w:rPr>
        <w:t xml:space="preserve"> perform an occupation with reasonable accommodations.</w:t>
      </w:r>
      <w:r>
        <w:rPr>
          <w:rFonts w:ascii="Times New Roman" w:hAnsi="Times New Roman"/>
          <w:sz w:val="24"/>
          <w:szCs w:val="24"/>
        </w:rPr>
        <w:t xml:space="preserve">” </w:t>
      </w:r>
      <w:hyperlink r:id="rId1701" w:history="1">
        <w:r w:rsidRPr="004A379F">
          <w:rPr>
            <w:rStyle w:val="Hyperlink"/>
            <w:sz w:val="24"/>
            <w:szCs w:val="24"/>
          </w:rPr>
          <w:t>https://casetext.com/case/frost-v-provident-life-and-accident-insurance-co-1</w:t>
        </w:r>
      </w:hyperlink>
      <w:r>
        <w:rPr>
          <w:rFonts w:ascii="Times New Roman" w:hAnsi="Times New Roman"/>
          <w:sz w:val="24"/>
          <w:szCs w:val="24"/>
        </w:rPr>
        <w:t xml:space="preserve"> </w:t>
      </w:r>
    </w:p>
    <w:p w14:paraId="7E303FF5" w14:textId="77777777" w:rsidR="005217D5" w:rsidRDefault="005217D5" w:rsidP="005C30A4">
      <w:pPr>
        <w:pStyle w:val="NoSpacing"/>
        <w:rPr>
          <w:sz w:val="24"/>
          <w:szCs w:val="24"/>
        </w:rPr>
      </w:pPr>
    </w:p>
    <w:p w14:paraId="428A076C" w14:textId="77777777" w:rsidR="005217D5" w:rsidRDefault="005217D5" w:rsidP="005C30A4">
      <w:pPr>
        <w:pStyle w:val="NoSpacing"/>
        <w:rPr>
          <w:rFonts w:ascii="Arial Black" w:hAnsi="Arial Black"/>
          <w:b/>
          <w:sz w:val="24"/>
          <w:szCs w:val="24"/>
        </w:rPr>
      </w:pPr>
    </w:p>
    <w:p w14:paraId="2071461D" w14:textId="77777777" w:rsidR="005217D5" w:rsidRDefault="005217D5" w:rsidP="005C30A4">
      <w:pPr>
        <w:pStyle w:val="NoSpacing"/>
        <w:rPr>
          <w:rFonts w:ascii="Arial Black" w:hAnsi="Arial Black"/>
          <w:b/>
          <w:sz w:val="24"/>
          <w:szCs w:val="24"/>
        </w:rPr>
      </w:pPr>
    </w:p>
    <w:p w14:paraId="5A883879" w14:textId="444B8670" w:rsidR="007F3C7D" w:rsidRDefault="007F3C7D" w:rsidP="005C30A4">
      <w:pPr>
        <w:pStyle w:val="NoSpacing"/>
        <w:rPr>
          <w:rFonts w:ascii="Arial Black" w:hAnsi="Arial Black"/>
          <w:b/>
          <w:sz w:val="24"/>
          <w:szCs w:val="24"/>
        </w:rPr>
      </w:pPr>
      <w:r>
        <w:rPr>
          <w:rFonts w:ascii="Arial Black" w:hAnsi="Arial Black"/>
          <w:b/>
          <w:sz w:val="24"/>
          <w:szCs w:val="24"/>
        </w:rPr>
        <w:t>9-19</w:t>
      </w:r>
    </w:p>
    <w:p w14:paraId="17AB01F7" w14:textId="77777777" w:rsidR="007F3C7D" w:rsidRPr="00DD5323" w:rsidRDefault="007F3C7D" w:rsidP="007F3C7D">
      <w:pPr>
        <w:rPr>
          <w:rFonts w:ascii="Arial Black" w:hAnsi="Arial Black"/>
          <w:sz w:val="28"/>
          <w:szCs w:val="28"/>
        </w:rPr>
      </w:pPr>
      <w:bookmarkStart w:id="349" w:name="_Hlk66948236"/>
      <w:r>
        <w:rPr>
          <w:rFonts w:ascii="Arial Black" w:hAnsi="Arial Black"/>
          <w:sz w:val="28"/>
          <w:szCs w:val="28"/>
        </w:rPr>
        <w:lastRenderedPageBreak/>
        <w:t>AL: FF HEARING LOSS ONE EAR / TUMOR – FIRED, NO ACCOMMODATION – FAILED TO FILE EEOC CHARGE WITHIN 180 DAYS OF FIRING</w:t>
      </w:r>
    </w:p>
    <w:p w14:paraId="167726DE" w14:textId="77777777" w:rsidR="007F3C7D" w:rsidRDefault="007F3C7D" w:rsidP="007F3C7D">
      <w:pPr>
        <w:pStyle w:val="NoSpacing"/>
        <w:rPr>
          <w:rFonts w:ascii="Times New Roman" w:hAnsi="Times New Roman"/>
          <w:sz w:val="24"/>
          <w:szCs w:val="24"/>
        </w:rPr>
      </w:pPr>
      <w:r w:rsidRPr="005478D8">
        <w:rPr>
          <w:rFonts w:ascii="Times New Roman" w:hAnsi="Times New Roman"/>
          <w:sz w:val="24"/>
          <w:szCs w:val="24"/>
        </w:rPr>
        <w:t xml:space="preserve">On Jan. 21, 2021, in </w:t>
      </w:r>
      <w:r w:rsidRPr="005478D8">
        <w:rPr>
          <w:rFonts w:ascii="Times New Roman" w:hAnsi="Times New Roman"/>
          <w:sz w:val="24"/>
          <w:szCs w:val="24"/>
          <w:u w:val="single"/>
        </w:rPr>
        <w:t>Anthony M. Milner v. The City of Montgomery, Alabama</w:t>
      </w:r>
      <w:r>
        <w:rPr>
          <w:rFonts w:ascii="Times New Roman" w:hAnsi="Times New Roman"/>
          <w:sz w:val="24"/>
          <w:szCs w:val="24"/>
        </w:rPr>
        <w:t>, U.S. District Court Judge Myron H. Thompson, U.S. District Court for the Middle District of Alabama (Northern Division) granted the defense motion to dismiss, holding that under Americans With Disabilities Act he had to file EEOC charge within 180 days of firing, not when his appeal to City Personnel Department was denied.  Even if the EEOC online charging portal was shut down during the federal government’s closure [</w:t>
      </w:r>
      <w:r w:rsidRPr="005478D8">
        <w:rPr>
          <w:rFonts w:ascii="Times New Roman" w:hAnsi="Times New Roman"/>
          <w:sz w:val="24"/>
          <w:szCs w:val="24"/>
        </w:rPr>
        <w:t>December 22, 2018, and January 25, 2019]</w:t>
      </w:r>
      <w:r>
        <w:rPr>
          <w:rFonts w:ascii="Times New Roman" w:hAnsi="Times New Roman"/>
          <w:sz w:val="24"/>
          <w:szCs w:val="24"/>
        </w:rPr>
        <w:t xml:space="preserve"> when President Trump and Congress could not agree on an appropriations bill, either Milner or his attorney could have filed the charge by mail. </w:t>
      </w:r>
    </w:p>
    <w:bookmarkEnd w:id="349"/>
    <w:p w14:paraId="741AC6B9" w14:textId="77777777" w:rsidR="007F3C7D" w:rsidRDefault="007F3C7D" w:rsidP="007F3C7D">
      <w:pPr>
        <w:pStyle w:val="NoSpacing"/>
        <w:rPr>
          <w:rFonts w:ascii="Times New Roman" w:hAnsi="Times New Roman"/>
          <w:sz w:val="24"/>
          <w:szCs w:val="24"/>
        </w:rPr>
      </w:pPr>
    </w:p>
    <w:p w14:paraId="42468A43" w14:textId="77777777" w:rsidR="007F3C7D" w:rsidRDefault="007F3C7D" w:rsidP="007F3C7D">
      <w:pPr>
        <w:pStyle w:val="NoSpacing"/>
        <w:ind w:left="720"/>
        <w:rPr>
          <w:rFonts w:ascii="Times New Roman" w:hAnsi="Times New Roman"/>
          <w:sz w:val="24"/>
          <w:szCs w:val="24"/>
        </w:rPr>
      </w:pPr>
      <w:r>
        <w:rPr>
          <w:rFonts w:ascii="Times New Roman" w:hAnsi="Times New Roman"/>
          <w:sz w:val="24"/>
          <w:szCs w:val="24"/>
        </w:rPr>
        <w:t>“</w:t>
      </w:r>
      <w:r w:rsidRPr="00D735DB">
        <w:rPr>
          <w:rFonts w:ascii="Times New Roman" w:hAnsi="Times New Roman"/>
          <w:sz w:val="24"/>
          <w:szCs w:val="24"/>
        </w:rPr>
        <w:t xml:space="preserve">Milner received notice of his termination </w:t>
      </w:r>
      <w:r>
        <w:rPr>
          <w:rFonts w:ascii="Times New Roman" w:hAnsi="Times New Roman"/>
          <w:sz w:val="24"/>
          <w:szCs w:val="24"/>
        </w:rPr>
        <w:t xml:space="preserve">[on July 2] </w:t>
      </w:r>
      <w:r w:rsidRPr="00D735DB">
        <w:rPr>
          <w:rFonts w:ascii="Times New Roman" w:hAnsi="Times New Roman"/>
          <w:sz w:val="24"/>
          <w:szCs w:val="24"/>
        </w:rPr>
        <w:t xml:space="preserve">2018. He was told to return his equipment, and his dismissal was reflected in payroll. </w:t>
      </w:r>
      <w:r w:rsidRPr="00D735DB">
        <w:rPr>
          <w:rFonts w:ascii="Times New Roman" w:hAnsi="Times New Roman"/>
          <w:i/>
          <w:iCs/>
          <w:sz w:val="24"/>
          <w:szCs w:val="24"/>
        </w:rPr>
        <w:t>See</w:t>
      </w:r>
      <w:r w:rsidRPr="00D735DB">
        <w:rPr>
          <w:rFonts w:ascii="Times New Roman" w:hAnsi="Times New Roman"/>
          <w:sz w:val="24"/>
          <w:szCs w:val="24"/>
        </w:rPr>
        <w:t xml:space="preserve"> Termination Documents (doc. no. 12-2) at 2-3. The 180-day clock to file his charge with the EEOC began to run at that point. His appeal through the city's personnel department did not toll the running of this limitations period.</w:t>
      </w:r>
      <w:r>
        <w:rPr>
          <w:rFonts w:ascii="Times New Roman" w:hAnsi="Times New Roman"/>
          <w:sz w:val="24"/>
          <w:szCs w:val="24"/>
        </w:rPr>
        <w:t xml:space="preserve">”  </w:t>
      </w:r>
      <w:bookmarkStart w:id="350" w:name="_Hlk66948260"/>
      <w:r w:rsidR="00F00958">
        <w:fldChar w:fldCharType="begin"/>
      </w:r>
      <w:r w:rsidR="00F00958">
        <w:instrText xml:space="preserve"> HYPERLINK "https://law.justia.com/cases/federal/district-courts/alabama/almdce/2:2019cv00799/71056/23/" </w:instrText>
      </w:r>
      <w:r w:rsidR="00F00958">
        <w:fldChar w:fldCharType="separate"/>
      </w:r>
      <w:r w:rsidRPr="00574F77">
        <w:rPr>
          <w:rStyle w:val="Hyperlink"/>
          <w:rFonts w:ascii="Times New Roman" w:hAnsi="Times New Roman"/>
          <w:sz w:val="24"/>
          <w:szCs w:val="24"/>
        </w:rPr>
        <w:t>https://law.justia.com/cases/federal/district-courts/alabama/almdce/2:2019cv00799/71056/23/</w:t>
      </w:r>
      <w:r w:rsidR="00F00958">
        <w:rPr>
          <w:rStyle w:val="Hyperlink"/>
          <w:rFonts w:ascii="Times New Roman" w:hAnsi="Times New Roman"/>
          <w:sz w:val="24"/>
          <w:szCs w:val="24"/>
        </w:rPr>
        <w:fldChar w:fldCharType="end"/>
      </w:r>
      <w:r>
        <w:rPr>
          <w:rFonts w:ascii="Times New Roman" w:hAnsi="Times New Roman"/>
          <w:sz w:val="24"/>
          <w:szCs w:val="24"/>
        </w:rPr>
        <w:t xml:space="preserve"> </w:t>
      </w:r>
    </w:p>
    <w:p w14:paraId="07895D73" w14:textId="77777777" w:rsidR="007F3C7D" w:rsidRDefault="007F3C7D" w:rsidP="007F3C7D">
      <w:pPr>
        <w:spacing w:before="100" w:beforeAutospacing="1" w:after="100" w:afterAutospacing="1" w:line="240" w:lineRule="auto"/>
        <w:rPr>
          <w:rFonts w:ascii="Times New Roman" w:hAnsi="Times New Roman"/>
          <w:b/>
          <w:bCs/>
          <w:sz w:val="24"/>
          <w:szCs w:val="24"/>
        </w:rPr>
      </w:pPr>
      <w:r w:rsidRPr="005A33C2">
        <w:rPr>
          <w:rFonts w:ascii="Times New Roman" w:hAnsi="Times New Roman"/>
          <w:b/>
          <w:bCs/>
          <w:sz w:val="24"/>
          <w:szCs w:val="24"/>
        </w:rPr>
        <w:t>Legal Lesson Learned</w:t>
      </w:r>
      <w:r>
        <w:rPr>
          <w:rFonts w:ascii="Times New Roman" w:hAnsi="Times New Roman"/>
          <w:b/>
          <w:bCs/>
          <w:sz w:val="24"/>
          <w:szCs w:val="24"/>
        </w:rPr>
        <w:t xml:space="preserve">: EEOC filing timelines are not extended when </w:t>
      </w:r>
      <w:proofErr w:type="gramStart"/>
      <w:r>
        <w:rPr>
          <w:rFonts w:ascii="Times New Roman" w:hAnsi="Times New Roman"/>
          <w:b/>
          <w:bCs/>
          <w:sz w:val="24"/>
          <w:szCs w:val="24"/>
        </w:rPr>
        <w:t>employee seeks</w:t>
      </w:r>
      <w:proofErr w:type="gramEnd"/>
      <w:r>
        <w:rPr>
          <w:rFonts w:ascii="Times New Roman" w:hAnsi="Times New Roman"/>
          <w:b/>
          <w:bCs/>
          <w:sz w:val="24"/>
          <w:szCs w:val="24"/>
        </w:rPr>
        <w:t xml:space="preserve"> internal appeal.</w:t>
      </w:r>
    </w:p>
    <w:p w14:paraId="3BD2A752" w14:textId="77777777" w:rsidR="007F3C7D" w:rsidRDefault="007F3C7D" w:rsidP="007F3C7D">
      <w:pPr>
        <w:spacing w:before="100" w:beforeAutospacing="1" w:after="100" w:afterAutospacing="1" w:line="240" w:lineRule="auto"/>
        <w:ind w:left="720"/>
        <w:rPr>
          <w:rFonts w:ascii="Times New Roman" w:hAnsi="Times New Roman"/>
          <w:sz w:val="24"/>
          <w:szCs w:val="24"/>
        </w:rPr>
      </w:pPr>
      <w:r w:rsidRPr="005A33C2">
        <w:rPr>
          <w:rFonts w:ascii="Times New Roman" w:hAnsi="Times New Roman"/>
          <w:sz w:val="24"/>
          <w:szCs w:val="24"/>
        </w:rPr>
        <w:t xml:space="preserve">Note:  See EEOC guidance: </w:t>
      </w:r>
      <w:r>
        <w:rPr>
          <w:rFonts w:ascii="Times New Roman" w:hAnsi="Times New Roman"/>
          <w:sz w:val="24"/>
          <w:szCs w:val="24"/>
        </w:rPr>
        <w:t>“</w:t>
      </w:r>
      <w:r w:rsidRPr="005A33C2">
        <w:rPr>
          <w:rFonts w:ascii="Times New Roman" w:hAnsi="Times New Roman"/>
          <w:sz w:val="24"/>
          <w:szCs w:val="24"/>
        </w:rPr>
        <w:t>Time limits for filing a charge with EEOC generally will not be extended while you attempt to resolve a dispute through another forum such as an internal grievance procedure, a union grievance, arbitration or mediation before filing a charge with EEOC. Other forums for resolution may be pursued at the same time as the processing of the EEOC charge.</w:t>
      </w:r>
      <w:r>
        <w:rPr>
          <w:rFonts w:ascii="Times New Roman" w:hAnsi="Times New Roman"/>
          <w:sz w:val="24"/>
          <w:szCs w:val="24"/>
        </w:rPr>
        <w:t xml:space="preserve">” </w:t>
      </w:r>
      <w:hyperlink r:id="rId1702" w:history="1">
        <w:r w:rsidRPr="00574F77">
          <w:rPr>
            <w:rStyle w:val="Hyperlink"/>
            <w:rFonts w:ascii="Times New Roman" w:hAnsi="Times New Roman"/>
            <w:sz w:val="24"/>
            <w:szCs w:val="24"/>
          </w:rPr>
          <w:t>https://www.eeoc.gov/time-limits-filing-charge</w:t>
        </w:r>
      </w:hyperlink>
      <w:r>
        <w:rPr>
          <w:rFonts w:ascii="Times New Roman" w:hAnsi="Times New Roman"/>
          <w:sz w:val="24"/>
          <w:szCs w:val="24"/>
        </w:rPr>
        <w:t xml:space="preserve"> </w:t>
      </w:r>
    </w:p>
    <w:bookmarkEnd w:id="350"/>
    <w:p w14:paraId="1B69C484" w14:textId="29871AC6" w:rsidR="007F3C7D" w:rsidRPr="00D735DB" w:rsidRDefault="007F3C7D" w:rsidP="007F3C7D">
      <w:pPr>
        <w:spacing w:before="100" w:beforeAutospacing="1" w:after="100" w:afterAutospacing="1" w:line="240" w:lineRule="auto"/>
        <w:ind w:left="720"/>
        <w:rPr>
          <w:rFonts w:ascii="Times New Roman" w:eastAsia="Times New Roman" w:hAnsi="Times New Roman"/>
          <w:sz w:val="24"/>
          <w:szCs w:val="24"/>
        </w:rPr>
      </w:pPr>
      <w:r w:rsidRPr="00E935C6">
        <w:rPr>
          <w:rFonts w:ascii="Times New Roman" w:hAnsi="Times New Roman"/>
          <w:sz w:val="24"/>
          <w:szCs w:val="24"/>
        </w:rPr>
        <w:t>See IAFC</w:t>
      </w:r>
      <w:r>
        <w:rPr>
          <w:rFonts w:ascii="Times New Roman" w:hAnsi="Times New Roman"/>
          <w:sz w:val="24"/>
          <w:szCs w:val="24"/>
        </w:rPr>
        <w:t xml:space="preserve"> Guide </w:t>
      </w:r>
      <w:proofErr w:type="gramStart"/>
      <w:r>
        <w:rPr>
          <w:rFonts w:ascii="Times New Roman" w:hAnsi="Times New Roman"/>
          <w:sz w:val="24"/>
          <w:szCs w:val="24"/>
        </w:rPr>
        <w:t>To</w:t>
      </w:r>
      <w:proofErr w:type="gramEnd"/>
      <w:r>
        <w:rPr>
          <w:rFonts w:ascii="Times New Roman" w:hAnsi="Times New Roman"/>
          <w:sz w:val="24"/>
          <w:szCs w:val="24"/>
        </w:rPr>
        <w:t xml:space="preserve"> Implementing NFPA 1582</w:t>
      </w:r>
      <w:r w:rsidRPr="00E935C6">
        <w:rPr>
          <w:rFonts w:ascii="Times New Roman" w:hAnsi="Times New Roman"/>
          <w:sz w:val="24"/>
          <w:szCs w:val="24"/>
        </w:rPr>
        <w:t>:  C</w:t>
      </w:r>
      <w:r>
        <w:rPr>
          <w:rFonts w:ascii="Times New Roman" w:hAnsi="Times New Roman"/>
          <w:sz w:val="24"/>
          <w:szCs w:val="24"/>
        </w:rPr>
        <w:t>ategory B M</w:t>
      </w:r>
      <w:r w:rsidRPr="00E935C6">
        <w:rPr>
          <w:rFonts w:ascii="Times New Roman" w:hAnsi="Times New Roman"/>
          <w:sz w:val="24"/>
          <w:szCs w:val="24"/>
        </w:rPr>
        <w:t>edical Condition</w:t>
      </w:r>
      <w:r>
        <w:rPr>
          <w:rFonts w:ascii="Times New Roman" w:hAnsi="Times New Roman"/>
          <w:sz w:val="24"/>
          <w:szCs w:val="24"/>
        </w:rPr>
        <w:t>: “</w:t>
      </w:r>
      <w:r w:rsidRPr="00E935C6">
        <w:rPr>
          <w:rFonts w:ascii="Times New Roman" w:hAnsi="Times New Roman"/>
          <w:sz w:val="24"/>
          <w:szCs w:val="24"/>
        </w:rPr>
        <w:t xml:space="preserve">A condition that, based on its severity or degree, could preclude hire but only if despite the condition the candidate ‘can perform the essential job tasks without posing a significant safety and health risk to themselves, members, or civilians’.” </w:t>
      </w:r>
      <w:hyperlink r:id="rId1703" w:history="1">
        <w:r w:rsidRPr="00E935C6">
          <w:rPr>
            <w:rStyle w:val="Hyperlink"/>
            <w:rFonts w:ascii="Times New Roman" w:hAnsi="Times New Roman"/>
            <w:sz w:val="24"/>
            <w:szCs w:val="24"/>
          </w:rPr>
          <w:t>https://www.iafc.org/docs/default-source/1vcos/vws_rrkit_nfpa-1582.pdf?sfvrsn=ca9b9f0d_2</w:t>
        </w:r>
      </w:hyperlink>
      <w:r w:rsidRPr="00E935C6">
        <w:rPr>
          <w:rFonts w:ascii="Times New Roman" w:hAnsi="Times New Roman"/>
          <w:sz w:val="24"/>
          <w:szCs w:val="24"/>
        </w:rPr>
        <w:t xml:space="preserve"> </w:t>
      </w:r>
    </w:p>
    <w:p w14:paraId="48E516DD" w14:textId="43A4B99F" w:rsidR="007F3C7D" w:rsidRPr="007F3C7D" w:rsidRDefault="007F3C7D" w:rsidP="007F3C7D">
      <w:pPr>
        <w:pStyle w:val="NoSpacing"/>
        <w:ind w:left="720"/>
        <w:rPr>
          <w:rFonts w:ascii="Times New Roman" w:hAnsi="Times New Roman"/>
          <w:b/>
          <w:sz w:val="24"/>
          <w:szCs w:val="24"/>
        </w:rPr>
      </w:pPr>
      <w:r w:rsidRPr="007F3C7D">
        <w:rPr>
          <w:rFonts w:ascii="Times New Roman" w:hAnsi="Times New Roman"/>
          <w:sz w:val="24"/>
          <w:szCs w:val="24"/>
        </w:rPr>
        <w:t xml:space="preserve">See NFPA on hearing loss (9/27/2016 amendment). Category B medical conditions shall include the following: (1) Unequal hearing loss ….  </w:t>
      </w:r>
      <w:hyperlink r:id="rId1704" w:history="1">
        <w:r w:rsidRPr="007F3C7D">
          <w:rPr>
            <w:rStyle w:val="Hyperlink"/>
            <w:rFonts w:ascii="Times New Roman" w:hAnsi="Times New Roman"/>
            <w:sz w:val="24"/>
            <w:szCs w:val="24"/>
          </w:rPr>
          <w:t>https://www.nfpa.org/assets/files/AboutTheCodes/1582/1582_A2017_FIX_AAA_SD_SRStatements.pdf</w:t>
        </w:r>
      </w:hyperlink>
    </w:p>
    <w:p w14:paraId="418B1957" w14:textId="77777777" w:rsidR="005217D5" w:rsidRPr="00150169" w:rsidRDefault="005217D5" w:rsidP="005217D5">
      <w:pPr>
        <w:spacing w:before="100" w:beforeAutospacing="1" w:after="100" w:afterAutospacing="1" w:line="240" w:lineRule="auto"/>
        <w:rPr>
          <w:rFonts w:ascii="Times New Roman" w:hAnsi="Times New Roman"/>
          <w:b/>
          <w:bCs/>
          <w:sz w:val="24"/>
          <w:szCs w:val="24"/>
        </w:rPr>
      </w:pPr>
      <w:r w:rsidRPr="00150169">
        <w:rPr>
          <w:rFonts w:ascii="Times New Roman" w:hAnsi="Times New Roman"/>
          <w:b/>
          <w:bCs/>
          <w:sz w:val="24"/>
          <w:szCs w:val="24"/>
        </w:rPr>
        <w:t xml:space="preserve">Legal Lesson Learned: </w:t>
      </w:r>
      <w:r>
        <w:rPr>
          <w:rFonts w:ascii="Times New Roman" w:hAnsi="Times New Roman"/>
          <w:b/>
          <w:bCs/>
          <w:sz w:val="24"/>
          <w:szCs w:val="24"/>
        </w:rPr>
        <w:t xml:space="preserve">Plaintiff’s continuing work experience as a paramedic was reasonable basis to stop disability payments. </w:t>
      </w:r>
    </w:p>
    <w:p w14:paraId="015E7838" w14:textId="77777777" w:rsidR="007F3C7D" w:rsidRDefault="007F3C7D" w:rsidP="005C30A4">
      <w:pPr>
        <w:pStyle w:val="NoSpacing"/>
        <w:rPr>
          <w:rFonts w:ascii="Arial Black" w:hAnsi="Arial Black"/>
          <w:b/>
          <w:sz w:val="24"/>
          <w:szCs w:val="24"/>
        </w:rPr>
      </w:pPr>
    </w:p>
    <w:p w14:paraId="6CEFBDDD" w14:textId="77777777" w:rsidR="007F3C7D" w:rsidRDefault="007F3C7D" w:rsidP="005C30A4">
      <w:pPr>
        <w:pStyle w:val="NoSpacing"/>
        <w:rPr>
          <w:rFonts w:ascii="Arial Black" w:hAnsi="Arial Black"/>
          <w:b/>
          <w:sz w:val="24"/>
          <w:szCs w:val="24"/>
        </w:rPr>
      </w:pPr>
    </w:p>
    <w:p w14:paraId="2DDC3926" w14:textId="02461147" w:rsidR="007F3C7D" w:rsidRDefault="007F3C7D" w:rsidP="005C30A4">
      <w:pPr>
        <w:pStyle w:val="NoSpacing"/>
        <w:rPr>
          <w:rFonts w:ascii="Arial Black" w:hAnsi="Arial Black"/>
          <w:b/>
          <w:sz w:val="24"/>
          <w:szCs w:val="24"/>
        </w:rPr>
      </w:pPr>
      <w:r>
        <w:rPr>
          <w:rFonts w:ascii="Arial Black" w:hAnsi="Arial Black"/>
          <w:b/>
          <w:sz w:val="24"/>
          <w:szCs w:val="24"/>
        </w:rPr>
        <w:t>9-18</w:t>
      </w:r>
    </w:p>
    <w:p w14:paraId="1B234738" w14:textId="77777777" w:rsidR="007F3C7D" w:rsidRPr="006E0926" w:rsidRDefault="007F3C7D" w:rsidP="007F3C7D">
      <w:pPr>
        <w:rPr>
          <w:rFonts w:ascii="Arial Black" w:hAnsi="Arial Black"/>
          <w:sz w:val="28"/>
          <w:szCs w:val="28"/>
        </w:rPr>
      </w:pPr>
      <w:bookmarkStart w:id="351" w:name="_Hlk66948312"/>
      <w:r>
        <w:rPr>
          <w:rFonts w:ascii="Arial Black" w:hAnsi="Arial Black"/>
          <w:sz w:val="28"/>
          <w:szCs w:val="28"/>
        </w:rPr>
        <w:t>PA: CADET WITH PROSTHETIC LEG – FAILED EMS TESTING ON PATIENT CARE PROTOCOLS – ADA LAWSUIT DISMISSED</w:t>
      </w:r>
    </w:p>
    <w:p w14:paraId="336FEDE9" w14:textId="77777777" w:rsidR="007F3C7D" w:rsidRPr="0021077E" w:rsidRDefault="007F3C7D" w:rsidP="007F3C7D">
      <w:pPr>
        <w:rPr>
          <w:rFonts w:ascii="Times New Roman" w:hAnsi="Times New Roman"/>
          <w:sz w:val="24"/>
          <w:szCs w:val="24"/>
        </w:rPr>
      </w:pPr>
      <w:r w:rsidRPr="0021077E">
        <w:rPr>
          <w:rFonts w:ascii="Times New Roman" w:hAnsi="Times New Roman"/>
          <w:sz w:val="24"/>
          <w:szCs w:val="24"/>
        </w:rPr>
        <w:lastRenderedPageBreak/>
        <w:t xml:space="preserve">On Jan. 6, 2021, in </w:t>
      </w:r>
      <w:r w:rsidRPr="0021077E">
        <w:rPr>
          <w:rFonts w:ascii="Times New Roman" w:hAnsi="Times New Roman"/>
          <w:sz w:val="24"/>
          <w:szCs w:val="24"/>
          <w:u w:val="single"/>
        </w:rPr>
        <w:t xml:space="preserve">Chase Frost v. City </w:t>
      </w:r>
      <w:r>
        <w:rPr>
          <w:rFonts w:ascii="Times New Roman" w:hAnsi="Times New Roman"/>
          <w:sz w:val="24"/>
          <w:szCs w:val="24"/>
          <w:u w:val="single"/>
        </w:rPr>
        <w:t>o</w:t>
      </w:r>
      <w:r w:rsidRPr="0021077E">
        <w:rPr>
          <w:rFonts w:ascii="Times New Roman" w:hAnsi="Times New Roman"/>
          <w:sz w:val="24"/>
          <w:szCs w:val="24"/>
          <w:u w:val="single"/>
        </w:rPr>
        <w:t>f Philadelphia</w:t>
      </w:r>
      <w:r w:rsidRPr="0021077E">
        <w:rPr>
          <w:rFonts w:ascii="Times New Roman" w:hAnsi="Times New Roman"/>
          <w:sz w:val="24"/>
          <w:szCs w:val="24"/>
        </w:rPr>
        <w:t xml:space="preserve">, </w:t>
      </w:r>
      <w:r>
        <w:rPr>
          <w:rFonts w:ascii="Times New Roman" w:hAnsi="Times New Roman"/>
          <w:sz w:val="24"/>
          <w:szCs w:val="24"/>
        </w:rPr>
        <w:t xml:space="preserve">the U.S. Court of Appeals for the Third Circuit, held (3 to 0; non precedential decision) that the U.S. District Court judge properly granted summary judgment for the City in its decision to terminate the cadet.  </w:t>
      </w:r>
    </w:p>
    <w:bookmarkEnd w:id="351"/>
    <w:p w14:paraId="6806D0D2" w14:textId="77777777" w:rsidR="007F3C7D" w:rsidRDefault="007F3C7D" w:rsidP="007F3C7D">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r w:rsidRPr="0021077E">
        <w:rPr>
          <w:rFonts w:ascii="Times New Roman" w:hAnsi="Times New Roman"/>
          <w:sz w:val="24"/>
          <w:szCs w:val="24"/>
        </w:rPr>
        <w:t>Frost alleges that he was terminated from the 2016 Fire Academy because of his disability. The District Court held that although Frost met his initial burden to establish a prima facie case of wrongful termination, he failed to establish that the City's nondiscriminatory reason for his termination, because of his failed re-test, was pretextual. We agree that Frost cannot show pretext.</w:t>
      </w:r>
      <w:r>
        <w:rPr>
          <w:rFonts w:ascii="Times New Roman" w:hAnsi="Times New Roman"/>
          <w:sz w:val="24"/>
          <w:szCs w:val="24"/>
        </w:rPr>
        <w:t xml:space="preserve"> </w:t>
      </w:r>
    </w:p>
    <w:p w14:paraId="6885E593" w14:textId="77777777" w:rsidR="007F3C7D" w:rsidRPr="0021077E" w:rsidRDefault="007F3C7D" w:rsidP="007F3C7D">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p>
    <w:p w14:paraId="73C517B5" w14:textId="77777777" w:rsidR="007F3C7D" w:rsidRDefault="007F3C7D" w:rsidP="007F3C7D">
      <w:pPr>
        <w:spacing w:before="100" w:beforeAutospacing="1" w:after="100" w:afterAutospacing="1" w:line="240" w:lineRule="auto"/>
        <w:ind w:left="720"/>
        <w:rPr>
          <w:rFonts w:ascii="Times New Roman" w:eastAsia="Times New Roman" w:hAnsi="Times New Roman"/>
          <w:sz w:val="24"/>
          <w:szCs w:val="24"/>
        </w:rPr>
      </w:pPr>
      <w:r w:rsidRPr="006E0926">
        <w:rPr>
          <w:rFonts w:ascii="Times New Roman" w:eastAsia="Times New Roman" w:hAnsi="Times New Roman"/>
          <w:sz w:val="24"/>
          <w:szCs w:val="24"/>
        </w:rPr>
        <w:t>He has not</w:t>
      </w:r>
      <w:r w:rsidRPr="0021077E">
        <w:rPr>
          <w:rFonts w:ascii="Times New Roman" w:eastAsia="Times New Roman" w:hAnsi="Times New Roman"/>
          <w:sz w:val="24"/>
          <w:szCs w:val="24"/>
        </w:rPr>
        <w:t xml:space="preserve"> </w:t>
      </w:r>
      <w:r w:rsidRPr="006E0926">
        <w:rPr>
          <w:rFonts w:ascii="Times New Roman" w:eastAsia="Times New Roman" w:hAnsi="Times New Roman"/>
          <w:sz w:val="24"/>
          <w:szCs w:val="24"/>
        </w:rPr>
        <w:t>produced a cadet who failed a re-test and was treated more favorably than him. In fact, all other cadets who failed re-tests were also terminated. Other cadets who are not similarly situated cannot be used to establish pretext. Frost has not offered any other reason to believe that the City's proffered reason for his termination was pretextual.</w:t>
      </w:r>
      <w:r>
        <w:rPr>
          <w:rFonts w:ascii="Times New Roman" w:eastAsia="Times New Roman" w:hAnsi="Times New Roman"/>
          <w:sz w:val="24"/>
          <w:szCs w:val="24"/>
        </w:rPr>
        <w:t>”</w:t>
      </w:r>
      <w:r w:rsidRPr="0021077E">
        <w:t xml:space="preserve"> </w:t>
      </w:r>
      <w:bookmarkStart w:id="352" w:name="_Hlk66948333"/>
      <w:r w:rsidR="00F00958">
        <w:fldChar w:fldCharType="begin"/>
      </w:r>
      <w:r w:rsidR="00F00958">
        <w:instrText xml:space="preserve"> HYPERLINK "https://law.justia.com/cases/federal/appellate-courts/ca3/19-2636/19-2636-2021-01-06.html" </w:instrText>
      </w:r>
      <w:r w:rsidR="00F00958">
        <w:fldChar w:fldCharType="separate"/>
      </w:r>
      <w:r w:rsidRPr="00741B4E">
        <w:rPr>
          <w:rStyle w:val="Hyperlink"/>
          <w:rFonts w:ascii="Times New Roman" w:eastAsia="Times New Roman" w:hAnsi="Times New Roman"/>
          <w:sz w:val="24"/>
          <w:szCs w:val="24"/>
        </w:rPr>
        <w:t>https://law.justia.com/cases/federal/appellate-courts/ca3/19-2636/19-2636-2021-01-06.html</w:t>
      </w:r>
      <w:r w:rsidR="00F00958">
        <w:rPr>
          <w:rStyle w:val="Hyperlink"/>
          <w:rFonts w:ascii="Times New Roman" w:eastAsia="Times New Roman" w:hAnsi="Times New Roman"/>
          <w:sz w:val="24"/>
          <w:szCs w:val="24"/>
        </w:rPr>
        <w:fldChar w:fldCharType="end"/>
      </w:r>
      <w:r>
        <w:rPr>
          <w:rFonts w:ascii="Times New Roman" w:eastAsia="Times New Roman" w:hAnsi="Times New Roman"/>
          <w:sz w:val="24"/>
          <w:szCs w:val="24"/>
        </w:rPr>
        <w:t xml:space="preserve"> </w:t>
      </w:r>
    </w:p>
    <w:p w14:paraId="7775D916" w14:textId="77777777" w:rsidR="007F3C7D" w:rsidRPr="00CF503B" w:rsidRDefault="007F3C7D" w:rsidP="007F3C7D">
      <w:pPr>
        <w:pStyle w:val="NormalWeb"/>
        <w:rPr>
          <w:b/>
          <w:bCs/>
        </w:rPr>
      </w:pPr>
      <w:r w:rsidRPr="00CF503B">
        <w:rPr>
          <w:b/>
          <w:bCs/>
        </w:rPr>
        <w:t>Legal Lesson Learned:</w:t>
      </w:r>
      <w:r>
        <w:rPr>
          <w:b/>
          <w:bCs/>
        </w:rPr>
        <w:t xml:space="preserve">  It is unfortunate that this disabled cadet failed the patient protocol exam, but this is an essential job requirement. </w:t>
      </w:r>
    </w:p>
    <w:bookmarkEnd w:id="352"/>
    <w:p w14:paraId="5F507C3E" w14:textId="77777777" w:rsidR="007F3C7D" w:rsidRDefault="007F3C7D" w:rsidP="005C30A4">
      <w:pPr>
        <w:pStyle w:val="NoSpacing"/>
        <w:rPr>
          <w:rFonts w:ascii="Arial Black" w:hAnsi="Arial Black"/>
          <w:b/>
          <w:sz w:val="24"/>
          <w:szCs w:val="24"/>
        </w:rPr>
      </w:pPr>
    </w:p>
    <w:p w14:paraId="05E13BEC" w14:textId="77777777" w:rsidR="007F3C7D" w:rsidRDefault="007F3C7D" w:rsidP="005C30A4">
      <w:pPr>
        <w:pStyle w:val="NoSpacing"/>
        <w:rPr>
          <w:rFonts w:ascii="Arial Black" w:hAnsi="Arial Black"/>
          <w:b/>
          <w:sz w:val="24"/>
          <w:szCs w:val="24"/>
        </w:rPr>
      </w:pPr>
    </w:p>
    <w:p w14:paraId="1308F5A5" w14:textId="2DBB4F62" w:rsidR="00383EFC" w:rsidRPr="0031119E" w:rsidRDefault="00383EFC" w:rsidP="005C30A4">
      <w:pPr>
        <w:pStyle w:val="NoSpacing"/>
        <w:rPr>
          <w:rFonts w:ascii="Times New Roman" w:hAnsi="Times New Roman"/>
          <w:bCs/>
          <w:sz w:val="24"/>
          <w:szCs w:val="24"/>
        </w:rPr>
      </w:pPr>
      <w:r>
        <w:rPr>
          <w:rFonts w:ascii="Arial Black" w:hAnsi="Arial Black"/>
          <w:b/>
          <w:sz w:val="24"/>
          <w:szCs w:val="24"/>
        </w:rPr>
        <w:t>9-1</w:t>
      </w:r>
      <w:r w:rsidR="0031119E">
        <w:rPr>
          <w:rFonts w:ascii="Arial Black" w:hAnsi="Arial Black"/>
          <w:b/>
          <w:sz w:val="24"/>
          <w:szCs w:val="24"/>
        </w:rPr>
        <w:t xml:space="preserve">7 </w:t>
      </w:r>
      <w:r w:rsidR="0031119E">
        <w:rPr>
          <w:rFonts w:ascii="Times New Roman" w:hAnsi="Times New Roman"/>
          <w:bCs/>
          <w:sz w:val="24"/>
          <w:szCs w:val="24"/>
        </w:rPr>
        <w:t xml:space="preserve">[Also filed, Chap. 8] </w:t>
      </w:r>
    </w:p>
    <w:p w14:paraId="51D05885" w14:textId="77777777" w:rsidR="00383EFC" w:rsidRPr="00C03B09" w:rsidRDefault="00383EFC" w:rsidP="00383EFC">
      <w:pPr>
        <w:pStyle w:val="NoSpacing"/>
        <w:rPr>
          <w:rFonts w:ascii="Arial Black" w:hAnsi="Arial Black"/>
          <w:sz w:val="28"/>
          <w:szCs w:val="28"/>
        </w:rPr>
      </w:pPr>
      <w:bookmarkStart w:id="353" w:name="_Hlk57626474"/>
      <w:r>
        <w:rPr>
          <w:rFonts w:ascii="Arial Black" w:hAnsi="Arial Black"/>
          <w:sz w:val="28"/>
          <w:szCs w:val="28"/>
        </w:rPr>
        <w:t xml:space="preserve">FL:  FDNY CHANGED GROOMING POLICY – REQUIRES CLEAN SHAVE – NOW ON APPEAL – JACKSONVILLE FF LAWSUIT </w:t>
      </w:r>
    </w:p>
    <w:p w14:paraId="40E0D656" w14:textId="77777777" w:rsidR="00383EFC" w:rsidRPr="00473C64" w:rsidRDefault="00383EFC" w:rsidP="00383EFC">
      <w:pPr>
        <w:spacing w:before="100" w:beforeAutospacing="1" w:after="100" w:afterAutospacing="1" w:line="240" w:lineRule="auto"/>
        <w:rPr>
          <w:rFonts w:ascii="Times New Roman" w:hAnsi="Times New Roman"/>
          <w:sz w:val="24"/>
          <w:szCs w:val="24"/>
        </w:rPr>
      </w:pPr>
      <w:r w:rsidRPr="00473C64">
        <w:rPr>
          <w:rFonts w:ascii="Times New Roman" w:hAnsi="Times New Roman"/>
          <w:sz w:val="24"/>
          <w:szCs w:val="24"/>
        </w:rPr>
        <w:t xml:space="preserve">Nov. 25, 2020, “Black firefighters sue over Jacksonville policy requiring crews to be cleanshaven.”  It </w:t>
      </w:r>
      <w:proofErr w:type="gramStart"/>
      <w:r w:rsidRPr="00473C64">
        <w:rPr>
          <w:rFonts w:ascii="Times New Roman" w:hAnsi="Times New Roman"/>
          <w:sz w:val="24"/>
          <w:szCs w:val="24"/>
        </w:rPr>
        <w:t>referenced</w:t>
      </w:r>
      <w:proofErr w:type="gramEnd"/>
      <w:r w:rsidRPr="00473C64">
        <w:rPr>
          <w:rFonts w:ascii="Times New Roman" w:hAnsi="Times New Roman"/>
          <w:sz w:val="24"/>
          <w:szCs w:val="24"/>
        </w:rPr>
        <w:t xml:space="preserve"> a lawsuit by FDNY firefighters. </w:t>
      </w:r>
      <w:hyperlink r:id="rId1705" w:history="1">
        <w:r w:rsidRPr="00473C64">
          <w:rPr>
            <w:rStyle w:val="Hyperlink"/>
            <w:rFonts w:ascii="Times New Roman" w:hAnsi="Times New Roman"/>
            <w:sz w:val="24"/>
            <w:szCs w:val="24"/>
          </w:rPr>
          <w:t>https://www.jacksonville.com/story/news/courts/2020/11/25/jacksonville-lawsuit-cleanshaven-rule-unfair-black-firefighters/6406374002/</w:t>
        </w:r>
      </w:hyperlink>
    </w:p>
    <w:p w14:paraId="0C8B69ED" w14:textId="77777777" w:rsidR="00383EFC" w:rsidRDefault="00383EFC" w:rsidP="00383EFC">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The City of New York lost their case on Jan. 29, 2020, and has filed an appeal to the U.S. Court of Appeals for Second District. </w:t>
      </w:r>
      <w:r>
        <w:rPr>
          <w:rFonts w:ascii="Times New Roman" w:hAnsi="Times New Roman"/>
          <w:sz w:val="24"/>
          <w:szCs w:val="24"/>
        </w:rPr>
        <w:t xml:space="preserve">On July 2, 2020, the plaintiff firefighters filed their reply brief in the U.S. Court of Appeals for Second Circuit. </w:t>
      </w:r>
      <w:hyperlink r:id="rId1706" w:history="1">
        <w:r w:rsidRPr="007578D7">
          <w:rPr>
            <w:rStyle w:val="Hyperlink"/>
            <w:rFonts w:ascii="Times New Roman" w:hAnsi="Times New Roman"/>
            <w:sz w:val="24"/>
            <w:szCs w:val="24"/>
          </w:rPr>
          <w:t>https://www.law.georgetown.edu/icap/wp-content/uploads/sites/32/2020/07/Bey-2d-Cir.-Opening-Brief-FINAL-7-7-2020.pdf</w:t>
        </w:r>
      </w:hyperlink>
      <w:r>
        <w:rPr>
          <w:rFonts w:ascii="Times New Roman" w:hAnsi="Times New Roman"/>
          <w:sz w:val="24"/>
          <w:szCs w:val="24"/>
        </w:rPr>
        <w:t xml:space="preserve"> </w:t>
      </w:r>
    </w:p>
    <w:p w14:paraId="5B6B63EA" w14:textId="77777777" w:rsidR="00383EFC" w:rsidRDefault="00383EFC" w:rsidP="00383EFC">
      <w:pPr>
        <w:spacing w:before="100" w:beforeAutospacing="1" w:after="100" w:afterAutospacing="1" w:line="240" w:lineRule="auto"/>
        <w:rPr>
          <w:rFonts w:ascii="Times New Roman" w:hAnsi="Times New Roman"/>
          <w:sz w:val="24"/>
          <w:szCs w:val="24"/>
        </w:rPr>
      </w:pPr>
      <w:r>
        <w:rPr>
          <w:rFonts w:ascii="Times New Roman" w:eastAsia="Times New Roman" w:hAnsi="Times New Roman"/>
          <w:sz w:val="24"/>
          <w:szCs w:val="24"/>
        </w:rPr>
        <w:t xml:space="preserve">On Jan. 29, 2020, in </w:t>
      </w:r>
      <w:r w:rsidRPr="00D115C7">
        <w:rPr>
          <w:rFonts w:ascii="Times New Roman" w:eastAsia="Times New Roman" w:hAnsi="Times New Roman"/>
          <w:sz w:val="24"/>
          <w:szCs w:val="24"/>
          <w:u w:val="single"/>
        </w:rPr>
        <w:t>Salik Bey, et al. v. City of New York, Daniel Nigro, et al</w:t>
      </w:r>
      <w:r>
        <w:rPr>
          <w:rFonts w:ascii="Times New Roman" w:eastAsia="Times New Roman" w:hAnsi="Times New Roman"/>
          <w:sz w:val="24"/>
          <w:szCs w:val="24"/>
        </w:rPr>
        <w:t>., 437 F. Supp. 3</w:t>
      </w:r>
      <w:r w:rsidRPr="009562EF">
        <w:rPr>
          <w:rFonts w:ascii="Times New Roman" w:eastAsia="Times New Roman" w:hAnsi="Times New Roman"/>
          <w:sz w:val="24"/>
          <w:szCs w:val="24"/>
          <w:vertAlign w:val="superscript"/>
        </w:rPr>
        <w:t>rd</w:t>
      </w:r>
      <w:r>
        <w:rPr>
          <w:rFonts w:ascii="Times New Roman" w:eastAsia="Times New Roman" w:hAnsi="Times New Roman"/>
          <w:sz w:val="24"/>
          <w:szCs w:val="24"/>
        </w:rPr>
        <w:t xml:space="preserve"> 2222, Senior U.S. District Court Judge Jack B. Weinstein, U.S. District Court for Eastern District of New York ordered FDNY to return to their former grooming policy (Aug. 2015 – Dec. 2017) which allowed </w:t>
      </w:r>
      <w:r w:rsidRPr="00CB7445">
        <w:rPr>
          <w:rFonts w:ascii="Times New Roman" w:eastAsia="Times New Roman" w:hAnsi="Times New Roman"/>
          <w:sz w:val="24"/>
          <w:szCs w:val="24"/>
        </w:rPr>
        <w:t>facial hair in the chin, cheek and neck area if it did not cause leakage around the mask's seal</w:t>
      </w:r>
      <w:r>
        <w:rPr>
          <w:rFonts w:ascii="Times New Roman" w:eastAsia="Times New Roman" w:hAnsi="Times New Roman"/>
          <w:sz w:val="24"/>
          <w:szCs w:val="24"/>
        </w:rPr>
        <w:t>.   Under the new policy: “</w:t>
      </w:r>
      <w:r w:rsidRPr="00313B2C">
        <w:rPr>
          <w:rFonts w:ascii="Times New Roman" w:hAnsi="Times New Roman"/>
          <w:sz w:val="24"/>
          <w:szCs w:val="24"/>
        </w:rPr>
        <w:t>If Plaintiffs shaved all facial hair in the chin area, they would maintain their status as full duty firefighters; otherwise, they would be placed on light duty.</w:t>
      </w:r>
      <w:r>
        <w:rPr>
          <w:rFonts w:ascii="Times New Roman" w:hAnsi="Times New Roman"/>
          <w:sz w:val="24"/>
          <w:szCs w:val="24"/>
        </w:rPr>
        <w:t xml:space="preserve">” </w:t>
      </w:r>
    </w:p>
    <w:p w14:paraId="41E4F867" w14:textId="77777777" w:rsidR="00383EFC" w:rsidRDefault="00383EFC" w:rsidP="00383EFC">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 xml:space="preserve">Judge Weinstein’s decision: </w:t>
      </w:r>
    </w:p>
    <w:p w14:paraId="081A4C95" w14:textId="77777777" w:rsidR="00383EFC" w:rsidRDefault="00383EFC" w:rsidP="00383EFC">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r w:rsidRPr="00FC3A40">
        <w:rPr>
          <w:rFonts w:ascii="Times New Roman" w:hAnsi="Times New Roman"/>
          <w:sz w:val="24"/>
          <w:szCs w:val="24"/>
        </w:rPr>
        <w:t xml:space="preserve">Defendants admit that no heightened safety risk to firefighters or the public was presented by the accommodation previously in effect. Two and a half years passed without incident, and Plaintiffs continued to perform their jobs satisfactorily. </w:t>
      </w:r>
      <w:proofErr w:type="gramStart"/>
      <w:r w:rsidRPr="00FC3A40">
        <w:rPr>
          <w:rFonts w:ascii="Times New Roman" w:hAnsi="Times New Roman"/>
          <w:sz w:val="24"/>
          <w:szCs w:val="24"/>
        </w:rPr>
        <w:t>The FDNY's</w:t>
      </w:r>
      <w:proofErr w:type="gramEnd"/>
      <w:r w:rsidRPr="00FC3A40">
        <w:rPr>
          <w:rFonts w:ascii="Times New Roman" w:hAnsi="Times New Roman"/>
          <w:sz w:val="24"/>
          <w:szCs w:val="24"/>
        </w:rPr>
        <w:t xml:space="preserve"> decision to abandon the prior accommodation was not based on any actual safety risks to firefighters or the public. Rather, driving the calculus was bureaucracy. Defendants cite no case law indicating that such bureaucratic considerations </w:t>
      </w:r>
      <w:r w:rsidRPr="00FC3A40">
        <w:rPr>
          <w:rFonts w:ascii="Times New Roman" w:hAnsi="Times New Roman"/>
          <w:sz w:val="24"/>
          <w:szCs w:val="24"/>
        </w:rPr>
        <w:lastRenderedPageBreak/>
        <w:t xml:space="preserve">are a viable undue hardship defense; the court declines </w:t>
      </w:r>
      <w:proofErr w:type="gramStart"/>
      <w:r w:rsidRPr="00FC3A40">
        <w:rPr>
          <w:rFonts w:ascii="Times New Roman" w:hAnsi="Times New Roman"/>
          <w:sz w:val="24"/>
          <w:szCs w:val="24"/>
        </w:rPr>
        <w:t>to so</w:t>
      </w:r>
      <w:proofErr w:type="gramEnd"/>
      <w:r w:rsidRPr="00FC3A40">
        <w:rPr>
          <w:rFonts w:ascii="Times New Roman" w:hAnsi="Times New Roman"/>
          <w:sz w:val="24"/>
          <w:szCs w:val="24"/>
        </w:rPr>
        <w:t xml:space="preserve"> find</w:t>
      </w:r>
      <w:proofErr w:type="gramStart"/>
      <w:r>
        <w:rPr>
          <w:rFonts w:ascii="Times New Roman" w:hAnsi="Times New Roman"/>
          <w:sz w:val="24"/>
          <w:szCs w:val="24"/>
        </w:rPr>
        <w:t>.”</w:t>
      </w:r>
      <w:proofErr w:type="gramEnd"/>
      <w:r>
        <w:rPr>
          <w:rFonts w:ascii="Times New Roman" w:hAnsi="Times New Roman"/>
          <w:sz w:val="24"/>
          <w:szCs w:val="24"/>
        </w:rPr>
        <w:t xml:space="preserve"> </w:t>
      </w:r>
      <w:hyperlink r:id="rId1707" w:history="1">
        <w:r w:rsidRPr="007578D7">
          <w:rPr>
            <w:rStyle w:val="Hyperlink"/>
            <w:rFonts w:ascii="Times New Roman" w:hAnsi="Times New Roman"/>
            <w:sz w:val="24"/>
            <w:szCs w:val="24"/>
          </w:rPr>
          <w:t>https://casetext.com/case/bey-v-city-of-ny-7</w:t>
        </w:r>
      </w:hyperlink>
    </w:p>
    <w:bookmarkEnd w:id="353"/>
    <w:p w14:paraId="19E80FEF" w14:textId="77777777" w:rsidR="00383EFC" w:rsidRPr="00FC3A40" w:rsidRDefault="00383EFC" w:rsidP="00383EFC">
      <w:pPr>
        <w:tabs>
          <w:tab w:val="left" w:pos="2810"/>
        </w:tabs>
        <w:spacing w:before="100" w:beforeAutospacing="1" w:after="100" w:afterAutospacing="1" w:line="240" w:lineRule="auto"/>
        <w:rPr>
          <w:rFonts w:ascii="Times New Roman" w:hAnsi="Times New Roman"/>
          <w:b/>
          <w:bCs/>
          <w:sz w:val="24"/>
          <w:szCs w:val="24"/>
        </w:rPr>
      </w:pPr>
      <w:r w:rsidRPr="00FC3A40">
        <w:rPr>
          <w:rFonts w:ascii="Times New Roman" w:hAnsi="Times New Roman"/>
          <w:b/>
          <w:bCs/>
          <w:sz w:val="24"/>
          <w:szCs w:val="24"/>
        </w:rPr>
        <w:t>Legal Lesson Learned</w:t>
      </w:r>
      <w:r>
        <w:rPr>
          <w:rFonts w:ascii="Times New Roman" w:hAnsi="Times New Roman"/>
          <w:b/>
          <w:bCs/>
          <w:sz w:val="24"/>
          <w:szCs w:val="24"/>
        </w:rPr>
        <w:t xml:space="preserve">: The FDNY case will now be decided by the U.S. Court of Appeals for the Second Circuit.  The Jacksonville FD case will proceed </w:t>
      </w:r>
      <w:proofErr w:type="gramStart"/>
      <w:r>
        <w:rPr>
          <w:rFonts w:ascii="Times New Roman" w:hAnsi="Times New Roman"/>
          <w:b/>
          <w:bCs/>
          <w:sz w:val="24"/>
          <w:szCs w:val="24"/>
        </w:rPr>
        <w:t>to</w:t>
      </w:r>
      <w:proofErr w:type="gramEnd"/>
      <w:r>
        <w:rPr>
          <w:rFonts w:ascii="Times New Roman" w:hAnsi="Times New Roman"/>
          <w:b/>
          <w:bCs/>
          <w:sz w:val="24"/>
          <w:szCs w:val="24"/>
        </w:rPr>
        <w:t xml:space="preserve"> pre-trial discovery.   </w:t>
      </w:r>
    </w:p>
    <w:p w14:paraId="6C92ABA9" w14:textId="77777777" w:rsidR="00383EFC" w:rsidRDefault="00383EFC" w:rsidP="005C30A4">
      <w:pPr>
        <w:pStyle w:val="NoSpacing"/>
        <w:rPr>
          <w:rFonts w:ascii="Arial Black" w:hAnsi="Arial Black"/>
          <w:b/>
          <w:sz w:val="24"/>
          <w:szCs w:val="24"/>
        </w:rPr>
      </w:pPr>
    </w:p>
    <w:p w14:paraId="09A00A6A" w14:textId="77777777" w:rsidR="00383EFC" w:rsidRDefault="00383EFC" w:rsidP="005C30A4">
      <w:pPr>
        <w:pStyle w:val="NoSpacing"/>
        <w:rPr>
          <w:rFonts w:ascii="Arial Black" w:hAnsi="Arial Black"/>
          <w:b/>
          <w:sz w:val="24"/>
          <w:szCs w:val="24"/>
        </w:rPr>
      </w:pPr>
    </w:p>
    <w:p w14:paraId="4269CF3B" w14:textId="53288709" w:rsidR="00DD03E3" w:rsidRDefault="00DD03E3" w:rsidP="005C30A4">
      <w:pPr>
        <w:pStyle w:val="NoSpacing"/>
        <w:rPr>
          <w:rFonts w:ascii="Arial Black" w:hAnsi="Arial Black"/>
          <w:b/>
          <w:sz w:val="24"/>
          <w:szCs w:val="24"/>
        </w:rPr>
      </w:pPr>
      <w:r>
        <w:rPr>
          <w:rFonts w:ascii="Arial Black" w:hAnsi="Arial Black"/>
          <w:b/>
          <w:sz w:val="24"/>
          <w:szCs w:val="24"/>
        </w:rPr>
        <w:t>9</w:t>
      </w:r>
      <w:r w:rsidR="00383EFC">
        <w:rPr>
          <w:rFonts w:ascii="Arial Black" w:hAnsi="Arial Black"/>
          <w:b/>
          <w:sz w:val="24"/>
          <w:szCs w:val="24"/>
        </w:rPr>
        <w:t>-</w:t>
      </w:r>
      <w:r>
        <w:rPr>
          <w:rFonts w:ascii="Arial Black" w:hAnsi="Arial Black"/>
          <w:b/>
          <w:sz w:val="24"/>
          <w:szCs w:val="24"/>
        </w:rPr>
        <w:t>16</w:t>
      </w:r>
    </w:p>
    <w:p w14:paraId="7E0471FE" w14:textId="77777777" w:rsidR="00DD03E3" w:rsidRPr="00371299" w:rsidRDefault="00DD03E3" w:rsidP="00DD03E3">
      <w:pPr>
        <w:spacing w:before="100" w:beforeAutospacing="1" w:after="100" w:afterAutospacing="1" w:line="240" w:lineRule="auto"/>
        <w:rPr>
          <w:rFonts w:ascii="Arial Black" w:eastAsia="Times New Roman" w:hAnsi="Arial Black"/>
          <w:b/>
          <w:bCs/>
          <w:sz w:val="28"/>
          <w:szCs w:val="28"/>
        </w:rPr>
      </w:pPr>
      <w:r w:rsidRPr="00371299">
        <w:rPr>
          <w:rFonts w:ascii="Arial Black" w:eastAsia="Times New Roman" w:hAnsi="Arial Black"/>
          <w:b/>
          <w:bCs/>
          <w:sz w:val="28"/>
          <w:szCs w:val="28"/>
        </w:rPr>
        <w:t>AL:</w:t>
      </w:r>
      <w:r>
        <w:rPr>
          <w:rFonts w:ascii="Arial Black" w:eastAsia="Times New Roman" w:hAnsi="Arial Black"/>
          <w:b/>
          <w:bCs/>
          <w:sz w:val="28"/>
          <w:szCs w:val="28"/>
        </w:rPr>
        <w:t xml:space="preserve"> BATTALION CHIEF INJURED NECK IN OFF DUTY MVA – AFTER LIGHT DUTY PERIOD, ORDERED BACK TO 24-HRS – NO ADA VIOL. </w:t>
      </w:r>
    </w:p>
    <w:p w14:paraId="0B9614DD" w14:textId="77777777" w:rsidR="00DD03E3" w:rsidRDefault="00DD03E3" w:rsidP="00DD03E3">
      <w:pPr>
        <w:spacing w:before="100" w:beforeAutospacing="1" w:after="100" w:afterAutospacing="1" w:line="240" w:lineRule="auto"/>
        <w:rPr>
          <w:rFonts w:ascii="Times New Roman" w:eastAsia="Times New Roman" w:hAnsi="Times New Roman"/>
          <w:sz w:val="24"/>
          <w:szCs w:val="24"/>
        </w:rPr>
      </w:pPr>
      <w:r w:rsidRPr="008538E8">
        <w:rPr>
          <w:rFonts w:ascii="Times New Roman" w:eastAsia="Times New Roman" w:hAnsi="Times New Roman"/>
          <w:sz w:val="24"/>
          <w:szCs w:val="24"/>
        </w:rPr>
        <w:t xml:space="preserve">On Oct. 2, 2020, in </w:t>
      </w:r>
      <w:r w:rsidRPr="008538E8">
        <w:rPr>
          <w:rFonts w:ascii="Times New Roman" w:eastAsia="Times New Roman" w:hAnsi="Times New Roman"/>
          <w:sz w:val="24"/>
          <w:szCs w:val="24"/>
          <w:u w:val="single"/>
        </w:rPr>
        <w:t>Jay Hawthorne v. City of Prattville</w:t>
      </w:r>
      <w:r w:rsidRPr="008538E8">
        <w:rPr>
          <w:rFonts w:ascii="Times New Roman" w:eastAsia="Times New Roman" w:hAnsi="Times New Roman"/>
          <w:sz w:val="24"/>
          <w:szCs w:val="24"/>
        </w:rPr>
        <w:t xml:space="preserve">, </w:t>
      </w:r>
      <w:r>
        <w:rPr>
          <w:rFonts w:ascii="Times New Roman" w:eastAsia="Times New Roman" w:hAnsi="Times New Roman"/>
          <w:sz w:val="24"/>
          <w:szCs w:val="24"/>
        </w:rPr>
        <w:t xml:space="preserve">U.S. District Court Judge R. Austin Huffaker, Jr., Northern District of Alabama, granted the City’s motion for summary judgment.  Here’s the timeline after the March 31, </w:t>
      </w:r>
      <w:proofErr w:type="gramStart"/>
      <w:r>
        <w:rPr>
          <w:rFonts w:ascii="Times New Roman" w:eastAsia="Times New Roman" w:hAnsi="Times New Roman"/>
          <w:sz w:val="24"/>
          <w:szCs w:val="24"/>
        </w:rPr>
        <w:t>2017</w:t>
      </w:r>
      <w:proofErr w:type="gramEnd"/>
      <w:r>
        <w:rPr>
          <w:rFonts w:ascii="Times New Roman" w:eastAsia="Times New Roman" w:hAnsi="Times New Roman"/>
          <w:sz w:val="24"/>
          <w:szCs w:val="24"/>
        </w:rPr>
        <w:t xml:space="preserve"> MVA:  Battalion Chief granted light duty (8-hour clerical) from Oct. 23, </w:t>
      </w:r>
      <w:proofErr w:type="gramStart"/>
      <w:r>
        <w:rPr>
          <w:rFonts w:ascii="Times New Roman" w:eastAsia="Times New Roman" w:hAnsi="Times New Roman"/>
          <w:sz w:val="24"/>
          <w:szCs w:val="24"/>
        </w:rPr>
        <w:t>2017</w:t>
      </w:r>
      <w:proofErr w:type="gramEnd"/>
      <w:r>
        <w:rPr>
          <w:rFonts w:ascii="Times New Roman" w:eastAsia="Times New Roman" w:hAnsi="Times New Roman"/>
          <w:sz w:val="24"/>
          <w:szCs w:val="24"/>
        </w:rPr>
        <w:t xml:space="preserve"> until medically cleared back to work on May 2, 2018.  That day he was re-injured in quarterly physical fitness testing; returned to work May 20, 2018 (15-pound lifting restriction), and City put him back to 24-hour shift; he was denied 8-hour shift and given his continuing physical limitations, on Aug. 15, 2018 he was removed from active service, to go on worker’s comp (retired Sept. 17, 2019).</w:t>
      </w:r>
    </w:p>
    <w:p w14:paraId="17AB11DE" w14:textId="77777777" w:rsidR="00DD03E3" w:rsidRDefault="00DD03E3" w:rsidP="00DD03E3">
      <w:pPr>
        <w:tabs>
          <w:tab w:val="left" w:pos="3000"/>
        </w:tabs>
        <w:spacing w:before="100" w:beforeAutospacing="1" w:after="100" w:afterAutospacing="1" w:line="240" w:lineRule="auto"/>
        <w:ind w:left="720"/>
        <w:rPr>
          <w:rFonts w:ascii="Times New Roman" w:eastAsia="Times New Roman" w:hAnsi="Times New Roman"/>
          <w:b/>
          <w:bCs/>
          <w:sz w:val="24"/>
          <w:szCs w:val="24"/>
        </w:rPr>
      </w:pPr>
      <w:r>
        <w:rPr>
          <w:rFonts w:ascii="Times New Roman" w:eastAsia="Times New Roman" w:hAnsi="Times New Roman"/>
          <w:sz w:val="24"/>
          <w:szCs w:val="24"/>
        </w:rPr>
        <w:t xml:space="preserve"> “[A]n </w:t>
      </w:r>
      <w:r w:rsidRPr="00FF23B7">
        <w:rPr>
          <w:rFonts w:ascii="Times New Roman" w:hAnsi="Times New Roman"/>
          <w:sz w:val="24"/>
          <w:szCs w:val="24"/>
        </w:rPr>
        <w:t xml:space="preserve">employer is not obligated to </w:t>
      </w:r>
      <w:r>
        <w:rPr>
          <w:rFonts w:ascii="Times New Roman" w:hAnsi="Times New Roman"/>
          <w:sz w:val="24"/>
          <w:szCs w:val="24"/>
        </w:rPr>
        <w:t>‘</w:t>
      </w:r>
      <w:r w:rsidRPr="00FF23B7">
        <w:rPr>
          <w:rFonts w:ascii="Times New Roman" w:hAnsi="Times New Roman"/>
          <w:sz w:val="24"/>
          <w:szCs w:val="24"/>
        </w:rPr>
        <w:t>bump</w:t>
      </w:r>
      <w:r>
        <w:rPr>
          <w:rFonts w:ascii="Times New Roman" w:hAnsi="Times New Roman"/>
          <w:sz w:val="24"/>
          <w:szCs w:val="24"/>
        </w:rPr>
        <w:t>’</w:t>
      </w:r>
      <w:r w:rsidRPr="00FF23B7">
        <w:rPr>
          <w:rFonts w:ascii="Times New Roman" w:hAnsi="Times New Roman"/>
          <w:sz w:val="24"/>
          <w:szCs w:val="24"/>
        </w:rPr>
        <w:t xml:space="preserve"> another employee from a position to accommodate a disabled employee. </w:t>
      </w:r>
      <w:r w:rsidRPr="00FF23B7">
        <w:rPr>
          <w:rFonts w:ascii="Times New Roman" w:hAnsi="Times New Roman"/>
          <w:i/>
          <w:iCs/>
          <w:sz w:val="24"/>
          <w:szCs w:val="24"/>
        </w:rPr>
        <w:t>Lucas</w:t>
      </w:r>
      <w:r w:rsidRPr="00FF23B7">
        <w:rPr>
          <w:rFonts w:ascii="Times New Roman" w:hAnsi="Times New Roman"/>
          <w:sz w:val="24"/>
          <w:szCs w:val="24"/>
        </w:rPr>
        <w:t xml:space="preserve">, 257 F.3d at 1256. Nor is an employer required to create a new position for an employee. </w:t>
      </w:r>
      <w:r w:rsidRPr="00FF23B7">
        <w:rPr>
          <w:rFonts w:ascii="Times New Roman" w:hAnsi="Times New Roman"/>
          <w:i/>
          <w:iCs/>
          <w:sz w:val="24"/>
          <w:szCs w:val="24"/>
        </w:rPr>
        <w:t>Boyle v</w:t>
      </w:r>
      <w:r w:rsidRPr="00FF23B7">
        <w:rPr>
          <w:rFonts w:ascii="Times New Roman" w:hAnsi="Times New Roman"/>
          <w:sz w:val="24"/>
          <w:szCs w:val="24"/>
        </w:rPr>
        <w:t xml:space="preserve">. </w:t>
      </w:r>
      <w:r w:rsidRPr="00FF23B7">
        <w:rPr>
          <w:rFonts w:ascii="Times New Roman" w:hAnsi="Times New Roman"/>
          <w:i/>
          <w:iCs/>
          <w:sz w:val="24"/>
          <w:szCs w:val="24"/>
        </w:rPr>
        <w:t>City of Pell City</w:t>
      </w:r>
      <w:r w:rsidRPr="00FF23B7">
        <w:rPr>
          <w:rFonts w:ascii="Times New Roman" w:hAnsi="Times New Roman"/>
          <w:sz w:val="24"/>
          <w:szCs w:val="24"/>
        </w:rPr>
        <w:t xml:space="preserve">, 866 F.3d 1280, 1289 (11th Cir. 2017); </w:t>
      </w:r>
      <w:r w:rsidRPr="00FF23B7">
        <w:rPr>
          <w:rFonts w:ascii="Times New Roman" w:hAnsi="Times New Roman"/>
          <w:i/>
          <w:iCs/>
          <w:sz w:val="24"/>
          <w:szCs w:val="24"/>
        </w:rPr>
        <w:t>Sutton v</w:t>
      </w:r>
      <w:r w:rsidRPr="00FF23B7">
        <w:rPr>
          <w:rFonts w:ascii="Times New Roman" w:hAnsi="Times New Roman"/>
          <w:sz w:val="24"/>
          <w:szCs w:val="24"/>
        </w:rPr>
        <w:t xml:space="preserve">. </w:t>
      </w:r>
      <w:r w:rsidRPr="00FF23B7">
        <w:rPr>
          <w:rFonts w:ascii="Times New Roman" w:hAnsi="Times New Roman"/>
          <w:i/>
          <w:iCs/>
          <w:sz w:val="24"/>
          <w:szCs w:val="24"/>
        </w:rPr>
        <w:t>Lader</w:t>
      </w:r>
      <w:r w:rsidRPr="00FF23B7">
        <w:rPr>
          <w:rFonts w:ascii="Times New Roman" w:hAnsi="Times New Roman"/>
          <w:sz w:val="24"/>
          <w:szCs w:val="24"/>
        </w:rPr>
        <w:t xml:space="preserve">, 185 F.3d 1203, 1210-11 (11th Cir. 1999) (an employer </w:t>
      </w:r>
      <w:r>
        <w:rPr>
          <w:rFonts w:ascii="Times New Roman" w:hAnsi="Times New Roman"/>
          <w:sz w:val="24"/>
          <w:szCs w:val="24"/>
        </w:rPr>
        <w:t>‘</w:t>
      </w:r>
      <w:r w:rsidRPr="00FF23B7">
        <w:rPr>
          <w:rFonts w:ascii="Times New Roman" w:hAnsi="Times New Roman"/>
          <w:sz w:val="24"/>
          <w:szCs w:val="24"/>
        </w:rPr>
        <w:t>is under no obligation to hire an employee for a non-existent job,</w:t>
      </w:r>
      <w:r>
        <w:rPr>
          <w:rFonts w:ascii="Times New Roman" w:hAnsi="Times New Roman"/>
          <w:sz w:val="24"/>
          <w:szCs w:val="24"/>
        </w:rPr>
        <w:t>’</w:t>
      </w:r>
      <w:r w:rsidRPr="00FF23B7">
        <w:rPr>
          <w:rFonts w:ascii="Times New Roman" w:hAnsi="Times New Roman"/>
          <w:sz w:val="24"/>
          <w:szCs w:val="24"/>
        </w:rPr>
        <w:t xml:space="preserve"> nor is it required to create a light-duty position for a disabled employee).</w:t>
      </w:r>
      <w:r w:rsidRPr="00FF23B7">
        <w:rPr>
          <w:rFonts w:ascii="Times New Roman" w:eastAsia="Times New Roman" w:hAnsi="Times New Roman"/>
          <w:b/>
          <w:bCs/>
          <w:sz w:val="24"/>
          <w:szCs w:val="24"/>
        </w:rPr>
        <w:t xml:space="preserve"> </w:t>
      </w:r>
      <w:r>
        <w:rPr>
          <w:rFonts w:ascii="Times New Roman" w:eastAsia="Times New Roman" w:hAnsi="Times New Roman"/>
          <w:b/>
          <w:bCs/>
          <w:sz w:val="24"/>
          <w:szCs w:val="24"/>
        </w:rPr>
        <w:t xml:space="preserve"> </w:t>
      </w:r>
    </w:p>
    <w:p w14:paraId="18D9323D" w14:textId="77777777" w:rsidR="00DD03E3" w:rsidRDefault="00DD03E3" w:rsidP="00DD03E3">
      <w:pPr>
        <w:tabs>
          <w:tab w:val="left" w:pos="3000"/>
        </w:tabs>
        <w:spacing w:before="100" w:beforeAutospacing="1" w:after="100" w:afterAutospacing="1" w:line="240" w:lineRule="auto"/>
        <w:ind w:left="720"/>
        <w:rPr>
          <w:rFonts w:ascii="Times New Roman" w:eastAsia="Times New Roman" w:hAnsi="Times New Roman"/>
          <w:b/>
          <w:bCs/>
          <w:sz w:val="24"/>
          <w:szCs w:val="24"/>
        </w:rPr>
      </w:pPr>
      <w:r>
        <w:rPr>
          <w:rFonts w:ascii="Times New Roman" w:eastAsia="Times New Roman" w:hAnsi="Times New Roman"/>
          <w:b/>
          <w:bCs/>
          <w:sz w:val="24"/>
          <w:szCs w:val="24"/>
        </w:rPr>
        <w:t>***</w:t>
      </w:r>
    </w:p>
    <w:p w14:paraId="5F6917AA" w14:textId="77777777" w:rsidR="00DD03E3" w:rsidRPr="00371299" w:rsidRDefault="00DD03E3" w:rsidP="00DD03E3">
      <w:pPr>
        <w:tabs>
          <w:tab w:val="left" w:pos="3000"/>
        </w:tabs>
        <w:spacing w:before="100" w:beforeAutospacing="1" w:after="100" w:afterAutospacing="1" w:line="240" w:lineRule="auto"/>
        <w:ind w:left="720"/>
        <w:rPr>
          <w:rFonts w:ascii="Times New Roman" w:eastAsia="Times New Roman" w:hAnsi="Times New Roman"/>
          <w:b/>
          <w:bCs/>
          <w:sz w:val="24"/>
          <w:szCs w:val="24"/>
        </w:rPr>
      </w:pPr>
      <w:r w:rsidRPr="00371299">
        <w:rPr>
          <w:rFonts w:ascii="Times New Roman" w:eastAsia="Times New Roman" w:hAnsi="Times New Roman"/>
          <w:sz w:val="24"/>
          <w:szCs w:val="24"/>
        </w:rPr>
        <w:t xml:space="preserve">The Court concludes that working a 24-hour shift is an essential function of the battalion chief position within the City's fire department. As Hawthorne admits, the fire department required a battalion chief to </w:t>
      </w:r>
      <w:proofErr w:type="gramStart"/>
      <w:r w:rsidRPr="00371299">
        <w:rPr>
          <w:rFonts w:ascii="Times New Roman" w:eastAsia="Times New Roman" w:hAnsi="Times New Roman"/>
          <w:sz w:val="24"/>
          <w:szCs w:val="24"/>
        </w:rPr>
        <w:t>be on-duty at all times</w:t>
      </w:r>
      <w:proofErr w:type="gramEnd"/>
      <w:r w:rsidRPr="00371299">
        <w:rPr>
          <w:rFonts w:ascii="Times New Roman" w:eastAsia="Times New Roman" w:hAnsi="Times New Roman"/>
          <w:sz w:val="24"/>
          <w:szCs w:val="24"/>
        </w:rPr>
        <w:t>, and all battalion chiefs and most other fire department personnel worked 24-hour shifts. As such, for Hawthorne to work only a daily 8-hour shift, compared to the 24-hour shifts required of all the other battalion chiefs, there would be a disruption</w:t>
      </w:r>
      <w:r>
        <w:rPr>
          <w:rFonts w:ascii="Times New Roman" w:eastAsia="Times New Roman" w:hAnsi="Times New Roman"/>
          <w:sz w:val="24"/>
          <w:szCs w:val="24"/>
        </w:rPr>
        <w:t xml:space="preserve"> </w:t>
      </w:r>
      <w:r w:rsidRPr="00371299">
        <w:rPr>
          <w:rFonts w:ascii="Times New Roman" w:eastAsia="Times New Roman" w:hAnsi="Times New Roman"/>
          <w:sz w:val="24"/>
          <w:szCs w:val="24"/>
        </w:rPr>
        <w:t>of the shift rotation of the other battalion chiefs who would have to cover Hawthorne's overnight hours in addition to their own, or alternatively, the City would have had to hire an additional battalion chief.</w:t>
      </w:r>
      <w:r>
        <w:rPr>
          <w:rFonts w:ascii="Times New Roman" w:eastAsia="Times New Roman" w:hAnsi="Times New Roman"/>
          <w:sz w:val="24"/>
          <w:szCs w:val="24"/>
        </w:rPr>
        <w:t xml:space="preserve">” </w:t>
      </w:r>
      <w:hyperlink r:id="rId1708" w:history="1">
        <w:r w:rsidRPr="00987F62">
          <w:rPr>
            <w:rStyle w:val="Hyperlink"/>
            <w:rFonts w:ascii="Times New Roman" w:eastAsia="Times New Roman" w:hAnsi="Times New Roman"/>
            <w:sz w:val="24"/>
            <w:szCs w:val="24"/>
          </w:rPr>
          <w:t>https://public.fastcase.com/Wl%2B2t%2BeVuI35%2FN70vAMFZtupy9a3EvXpG9ydLD29CKGnkdsXWzWbFQljc8xBD5GU</w:t>
        </w:r>
      </w:hyperlink>
      <w:r>
        <w:rPr>
          <w:rFonts w:ascii="Times New Roman" w:eastAsia="Times New Roman" w:hAnsi="Times New Roman"/>
          <w:sz w:val="24"/>
          <w:szCs w:val="24"/>
        </w:rPr>
        <w:t xml:space="preserve"> </w:t>
      </w:r>
    </w:p>
    <w:p w14:paraId="2F4E9042" w14:textId="77777777" w:rsidR="00DD03E3" w:rsidRPr="00DE77F1" w:rsidRDefault="00DD03E3" w:rsidP="00DD03E3">
      <w:pPr>
        <w:spacing w:before="100" w:beforeAutospacing="1" w:after="100" w:afterAutospacing="1" w:line="240" w:lineRule="auto"/>
        <w:rPr>
          <w:rFonts w:ascii="Times New Roman" w:eastAsia="Times New Roman" w:hAnsi="Times New Roman"/>
          <w:b/>
          <w:bCs/>
          <w:sz w:val="24"/>
          <w:szCs w:val="24"/>
        </w:rPr>
      </w:pPr>
      <w:r w:rsidRPr="00DE3455">
        <w:rPr>
          <w:rFonts w:ascii="Times New Roman" w:hAnsi="Times New Roman"/>
          <w:b/>
          <w:bCs/>
          <w:sz w:val="24"/>
          <w:szCs w:val="24"/>
        </w:rPr>
        <w:t>Legal Lesson Learned:</w:t>
      </w:r>
      <w:r>
        <w:rPr>
          <w:rFonts w:ascii="Times New Roman" w:hAnsi="Times New Roman"/>
          <w:b/>
          <w:bCs/>
          <w:sz w:val="24"/>
          <w:szCs w:val="24"/>
        </w:rPr>
        <w:t xml:space="preserve"> Under ADA, an employee’s inability to perform the job duties serves as a legitimate, non-discriminatory reason for termination. </w:t>
      </w:r>
    </w:p>
    <w:p w14:paraId="557B80AE" w14:textId="77777777" w:rsidR="00DD03E3" w:rsidRDefault="00DD03E3" w:rsidP="005C30A4">
      <w:pPr>
        <w:pStyle w:val="NoSpacing"/>
        <w:rPr>
          <w:rFonts w:ascii="Arial Black" w:hAnsi="Arial Black"/>
          <w:b/>
          <w:sz w:val="24"/>
          <w:szCs w:val="24"/>
        </w:rPr>
      </w:pPr>
    </w:p>
    <w:p w14:paraId="5D814A79" w14:textId="77777777" w:rsidR="00DD03E3" w:rsidRDefault="00DD03E3" w:rsidP="005C30A4">
      <w:pPr>
        <w:pStyle w:val="NoSpacing"/>
        <w:rPr>
          <w:rFonts w:ascii="Arial Black" w:hAnsi="Arial Black"/>
          <w:b/>
          <w:sz w:val="24"/>
          <w:szCs w:val="24"/>
        </w:rPr>
      </w:pPr>
    </w:p>
    <w:p w14:paraId="237A6548" w14:textId="77777777" w:rsidR="00DD03E3" w:rsidRDefault="00DD03E3" w:rsidP="005C30A4">
      <w:pPr>
        <w:pStyle w:val="NoSpacing"/>
        <w:rPr>
          <w:rFonts w:ascii="Arial Black" w:hAnsi="Arial Black"/>
          <w:b/>
          <w:sz w:val="24"/>
          <w:szCs w:val="24"/>
        </w:rPr>
      </w:pPr>
    </w:p>
    <w:p w14:paraId="4543480C" w14:textId="4412E224" w:rsidR="00F824FE" w:rsidRDefault="00F824FE" w:rsidP="005C30A4">
      <w:pPr>
        <w:pStyle w:val="NoSpacing"/>
        <w:rPr>
          <w:rFonts w:ascii="Arial Black" w:hAnsi="Arial Black"/>
          <w:b/>
          <w:sz w:val="24"/>
          <w:szCs w:val="24"/>
        </w:rPr>
      </w:pPr>
      <w:r>
        <w:rPr>
          <w:rFonts w:ascii="Arial Black" w:hAnsi="Arial Black"/>
          <w:b/>
          <w:sz w:val="24"/>
          <w:szCs w:val="24"/>
        </w:rPr>
        <w:t>9-15</w:t>
      </w:r>
    </w:p>
    <w:p w14:paraId="739E75DD" w14:textId="77777777" w:rsidR="00F824FE" w:rsidRPr="007E1736" w:rsidRDefault="00F824FE" w:rsidP="00F824FE">
      <w:pPr>
        <w:pStyle w:val="NormalWeb"/>
        <w:rPr>
          <w:rFonts w:ascii="Arial Black" w:hAnsi="Arial Black"/>
          <w:sz w:val="28"/>
          <w:szCs w:val="28"/>
        </w:rPr>
      </w:pPr>
      <w:r>
        <w:rPr>
          <w:rFonts w:ascii="Arial Black" w:hAnsi="Arial Black"/>
          <w:sz w:val="28"/>
          <w:szCs w:val="28"/>
        </w:rPr>
        <w:lastRenderedPageBreak/>
        <w:t>MA: FF RETIRED DISABILITY – CFH / HEARING LOSS – SEEKS JOB BACK WITH “AGE-ADJUSTED” HEARING TEST – TRIAL JUDGE TO REVIEW</w:t>
      </w:r>
    </w:p>
    <w:p w14:paraId="211C9826" w14:textId="77777777" w:rsidR="00F824FE" w:rsidRDefault="00F824FE" w:rsidP="00F824FE">
      <w:pPr>
        <w:pStyle w:val="NormalWeb"/>
      </w:pPr>
      <w:r>
        <w:t xml:space="preserve">On Sept. 29, 2020, in </w:t>
      </w:r>
      <w:r w:rsidRPr="003A1F5A">
        <w:rPr>
          <w:u w:val="single"/>
        </w:rPr>
        <w:t>John Rodrigues v. Public Employee Retirement Administration Commission,</w:t>
      </w:r>
      <w:r>
        <w:t xml:space="preserve"> the Appeals Court of Massachusetts held (3 to 0) that firefighter’s reinstatement was properly denied because of his heart condition, but case remanded to trial court to decide if the Commonwealth’s Human Resources Division [HRD] requirement that FF must past the hearing standard for new hires, not “age-adjusted” standards, is lawful. </w:t>
      </w:r>
    </w:p>
    <w:p w14:paraId="61059CD4" w14:textId="77777777" w:rsidR="00F824FE" w:rsidRPr="007E1736" w:rsidRDefault="00F824FE" w:rsidP="00F824FE">
      <w:pPr>
        <w:pStyle w:val="NormalWeb"/>
        <w:ind w:left="720"/>
      </w:pPr>
      <w:r>
        <w:t xml:space="preserve">In addition to his claims for reinstatement or damages, Rodrigues also brought claims seeking declaratory relief -- in particular, count one seeks, among other things, a determination that PERAC should apply age-adjusted, in-service health and fitness standards in determining restoration to service under c. 32, § 8, and count two specifically seeks a declaration that PERAC violated G. L. c. 31, § 61A, by failing to employ such age-adjusted hearing standards. </w:t>
      </w:r>
      <w:r w:rsidRPr="007E1736">
        <w:t>These claims should not have been dismissed. They raise primarily questions of law that could well arise in any of Rodrigues's future reinstatement evaluations (which under G. L. c. 32, § 8 [1] [</w:t>
      </w:r>
      <w:r w:rsidRPr="007E1736">
        <w:rPr>
          <w:u w:val="single"/>
        </w:rPr>
        <w:t>a</w:t>
      </w:r>
      <w:r w:rsidRPr="007E1736">
        <w:t>], are to occur at least every three years), not to mention those of other firefighters and police officers on disability retirement. The legal questions implicate the requirements of the two above-mentioned statutes, and how those statutes interrelate. Answering them also will require analysis</w:t>
      </w:r>
      <w:r>
        <w:t xml:space="preserve"> </w:t>
      </w:r>
      <w:r w:rsidRPr="007E1736">
        <w:t xml:space="preserve">of a 2016 regulation issued by PERAC, discussed </w:t>
      </w:r>
      <w:r w:rsidRPr="007E1736">
        <w:rPr>
          <w:u w:val="single"/>
        </w:rPr>
        <w:t>infra</w:t>
      </w:r>
      <w:r w:rsidRPr="007E1736">
        <w:t>. The issue is appropriate for declaratory relief.</w:t>
      </w:r>
      <w:r>
        <w:t xml:space="preserve">”  </w:t>
      </w:r>
      <w:hyperlink r:id="rId1709" w:history="1">
        <w:r w:rsidRPr="00D550EA">
          <w:rPr>
            <w:rStyle w:val="Hyperlink"/>
          </w:rPr>
          <w:t>https://www.mass.gov/files/documents/2020/09/29/q19P0676.pdf</w:t>
        </w:r>
      </w:hyperlink>
      <w:r>
        <w:t xml:space="preserve"> </w:t>
      </w:r>
    </w:p>
    <w:p w14:paraId="5374664E" w14:textId="77777777" w:rsidR="00B532F6" w:rsidRPr="00980A0C" w:rsidRDefault="00B532F6" w:rsidP="00B532F6">
      <w:pPr>
        <w:tabs>
          <w:tab w:val="left" w:pos="3689"/>
        </w:tabs>
        <w:spacing w:before="100" w:beforeAutospacing="1" w:after="100" w:afterAutospacing="1" w:line="240" w:lineRule="auto"/>
        <w:rPr>
          <w:rFonts w:ascii="Times New Roman" w:eastAsia="Times New Roman" w:hAnsi="Times New Roman"/>
          <w:b/>
          <w:bCs/>
          <w:sz w:val="24"/>
          <w:szCs w:val="24"/>
        </w:rPr>
      </w:pPr>
      <w:r w:rsidRPr="00980A0C">
        <w:rPr>
          <w:rFonts w:ascii="Times New Roman" w:eastAsia="Times New Roman" w:hAnsi="Times New Roman"/>
          <w:b/>
          <w:bCs/>
          <w:sz w:val="24"/>
          <w:szCs w:val="24"/>
        </w:rPr>
        <w:t>Legal Lessons Learned</w:t>
      </w:r>
      <w:r>
        <w:rPr>
          <w:rFonts w:ascii="Times New Roman" w:eastAsia="Times New Roman" w:hAnsi="Times New Roman"/>
          <w:b/>
          <w:bCs/>
          <w:sz w:val="24"/>
          <w:szCs w:val="24"/>
        </w:rPr>
        <w:t xml:space="preserve">: Will be interesting to see if the Trial Court, and the Court of Appeals, eventually holds that hearing standards for firefighters and police officers seeking reinstatement can be “age adjusted.” </w:t>
      </w:r>
    </w:p>
    <w:p w14:paraId="33858E5C" w14:textId="77777777" w:rsidR="00B532F6" w:rsidRPr="00980A0C" w:rsidRDefault="00B532F6" w:rsidP="00B532F6">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 xml:space="preserve">Note: See OSHA Guidance: </w:t>
      </w:r>
      <w:r w:rsidRPr="00980A0C">
        <w:rPr>
          <w:rFonts w:ascii="Times New Roman" w:hAnsi="Times New Roman"/>
          <w:sz w:val="24"/>
          <w:szCs w:val="24"/>
        </w:rPr>
        <w:t>1910.95 App F - Calculations and application of age corrections to audiograms</w:t>
      </w:r>
      <w:r>
        <w:rPr>
          <w:rFonts w:ascii="Times New Roman" w:hAnsi="Times New Roman"/>
          <w:sz w:val="24"/>
          <w:szCs w:val="24"/>
        </w:rPr>
        <w:t>:</w:t>
      </w:r>
    </w:p>
    <w:p w14:paraId="25B338F7" w14:textId="77777777" w:rsidR="00B532F6" w:rsidRPr="00980A0C" w:rsidRDefault="00B532F6" w:rsidP="00B532F6">
      <w:pPr>
        <w:spacing w:before="100" w:beforeAutospacing="1" w:after="100" w:afterAutospacing="1" w:line="240" w:lineRule="auto"/>
        <w:ind w:left="720"/>
        <w:rPr>
          <w:rFonts w:ascii="Times New Roman" w:eastAsia="Times New Roman" w:hAnsi="Times New Roman"/>
          <w:sz w:val="24"/>
          <w:szCs w:val="24"/>
        </w:rPr>
      </w:pPr>
      <w:r>
        <w:rPr>
          <w:rFonts w:ascii="Times New Roman" w:hAnsi="Times New Roman"/>
          <w:sz w:val="24"/>
          <w:szCs w:val="24"/>
        </w:rPr>
        <w:t>“</w:t>
      </w:r>
      <w:r w:rsidRPr="00980A0C">
        <w:rPr>
          <w:rFonts w:ascii="Times New Roman" w:hAnsi="Times New Roman"/>
          <w:sz w:val="24"/>
          <w:szCs w:val="24"/>
        </w:rPr>
        <w:t xml:space="preserve">In determining whether a standard threshold shift has occurred, allowance may be made for the contribution of aging to the change in hearing level by adjusting the most recent audiogram. If the employer chooses to adjust the audiogram, the employer shall follow the procedure described below. This procedure and the age correction tables were developed by the National Institute for Occupational Safety and Health in the criteria document entitled </w:t>
      </w:r>
      <w:r>
        <w:rPr>
          <w:rFonts w:ascii="Times New Roman" w:hAnsi="Times New Roman"/>
          <w:sz w:val="24"/>
          <w:szCs w:val="24"/>
        </w:rPr>
        <w:t>‘</w:t>
      </w:r>
      <w:r w:rsidRPr="00980A0C">
        <w:rPr>
          <w:rFonts w:ascii="Times New Roman" w:hAnsi="Times New Roman"/>
          <w:sz w:val="24"/>
          <w:szCs w:val="24"/>
        </w:rPr>
        <w:t>Criteria for a Recommended Standard . . . Occupational Exposure to Noise,</w:t>
      </w:r>
      <w:r>
        <w:rPr>
          <w:rFonts w:ascii="Times New Roman" w:hAnsi="Times New Roman"/>
          <w:sz w:val="24"/>
          <w:szCs w:val="24"/>
        </w:rPr>
        <w:t>’</w:t>
      </w:r>
      <w:r w:rsidRPr="00980A0C">
        <w:rPr>
          <w:rFonts w:ascii="Times New Roman" w:hAnsi="Times New Roman"/>
          <w:sz w:val="24"/>
          <w:szCs w:val="24"/>
        </w:rPr>
        <w:t xml:space="preserve"> ((HSM)-11001).</w:t>
      </w:r>
      <w:r>
        <w:rPr>
          <w:rFonts w:ascii="Times New Roman" w:hAnsi="Times New Roman"/>
          <w:sz w:val="24"/>
          <w:szCs w:val="24"/>
        </w:rPr>
        <w:t xml:space="preserve">” </w:t>
      </w:r>
      <w:hyperlink r:id="rId1710" w:history="1">
        <w:r w:rsidRPr="00D550EA">
          <w:rPr>
            <w:rStyle w:val="Hyperlink"/>
            <w:rFonts w:ascii="Times New Roman" w:hAnsi="Times New Roman"/>
            <w:sz w:val="24"/>
            <w:szCs w:val="24"/>
          </w:rPr>
          <w:t>https://www.osha.gov/laws-regs/regulations/standardnumber/1910/1910.95AppF</w:t>
        </w:r>
      </w:hyperlink>
      <w:r>
        <w:rPr>
          <w:rFonts w:ascii="Times New Roman" w:hAnsi="Times New Roman"/>
          <w:sz w:val="24"/>
          <w:szCs w:val="24"/>
        </w:rPr>
        <w:t xml:space="preserve"> </w:t>
      </w:r>
    </w:p>
    <w:p w14:paraId="679D1187" w14:textId="77777777" w:rsidR="00B532F6" w:rsidRDefault="00B532F6" w:rsidP="00B532F6">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 xml:space="preserve">See also: IAFF’s “Fire Department Guide to Implementing NFPA 1582,” </w:t>
      </w:r>
      <w:hyperlink r:id="rId1711" w:history="1">
        <w:r w:rsidRPr="00D550EA">
          <w:rPr>
            <w:rStyle w:val="Hyperlink"/>
            <w:rFonts w:ascii="Times New Roman" w:eastAsia="Times New Roman" w:hAnsi="Times New Roman"/>
            <w:sz w:val="24"/>
            <w:szCs w:val="24"/>
          </w:rPr>
          <w:t>https://www.iafc.org/docs/default-source/1vcos/vws_rrkit_nfpa-1582.pdf?sfvrsn=ca9b9f0d_2</w:t>
        </w:r>
      </w:hyperlink>
      <w:r>
        <w:rPr>
          <w:rFonts w:ascii="Times New Roman" w:eastAsia="Times New Roman" w:hAnsi="Times New Roman"/>
          <w:sz w:val="24"/>
          <w:szCs w:val="24"/>
        </w:rPr>
        <w:t xml:space="preserve"> </w:t>
      </w:r>
    </w:p>
    <w:p w14:paraId="6100B7F7" w14:textId="0FB651EB" w:rsidR="00F824FE" w:rsidRPr="00B532F6" w:rsidRDefault="00B532F6" w:rsidP="00B532F6">
      <w:pPr>
        <w:pStyle w:val="NoSpacing"/>
        <w:ind w:left="720"/>
        <w:rPr>
          <w:rFonts w:ascii="Times New Roman" w:hAnsi="Times New Roman"/>
          <w:b/>
          <w:sz w:val="24"/>
          <w:szCs w:val="24"/>
        </w:rPr>
      </w:pPr>
      <w:r w:rsidRPr="00B532F6">
        <w:rPr>
          <w:rFonts w:ascii="Times New Roman" w:hAnsi="Times New Roman"/>
          <w:sz w:val="24"/>
          <w:szCs w:val="24"/>
        </w:rPr>
        <w:t>See also EEOC Guidance: “</w:t>
      </w:r>
      <w:r w:rsidRPr="00B532F6">
        <w:rPr>
          <w:rStyle w:val="field"/>
          <w:rFonts w:ascii="Times New Roman" w:eastAsiaTheme="majorEastAsia" w:hAnsi="Times New Roman"/>
          <w:sz w:val="24"/>
          <w:szCs w:val="24"/>
        </w:rPr>
        <w:t>Deafness and Hearing Impairments in the Workplace and the Americans with Disabilities Act.” “</w:t>
      </w:r>
      <w:r w:rsidRPr="00B532F6">
        <w:rPr>
          <w:rFonts w:ascii="Times New Roman" w:hAnsi="Times New Roman"/>
          <w:sz w:val="24"/>
          <w:szCs w:val="24"/>
        </w:rPr>
        <w:t xml:space="preserve">An employer only may exclude an individual with a hearing impairment from a job for safety reasons when the individual poses a direct threat. A ‘direct threat’ is a significant risk of substantial harm to the individual or others that cannot be eliminated or reduced through reasonable accommodation. This determination must be based on objective, factual evidence, including the best recent medical </w:t>
      </w:r>
      <w:proofErr w:type="gramStart"/>
      <w:r w:rsidRPr="00B532F6">
        <w:rPr>
          <w:rFonts w:ascii="Times New Roman" w:hAnsi="Times New Roman"/>
          <w:sz w:val="24"/>
          <w:szCs w:val="24"/>
        </w:rPr>
        <w:t>evidence.”</w:t>
      </w:r>
      <w:proofErr w:type="gramEnd"/>
      <w:r w:rsidRPr="00B532F6">
        <w:rPr>
          <w:rFonts w:ascii="Times New Roman" w:hAnsi="Times New Roman"/>
          <w:sz w:val="24"/>
          <w:szCs w:val="24"/>
        </w:rPr>
        <w:t xml:space="preserve"> </w:t>
      </w:r>
      <w:hyperlink r:id="rId1712" w:history="1">
        <w:r w:rsidRPr="00B532F6">
          <w:rPr>
            <w:rStyle w:val="Hyperlink"/>
            <w:rFonts w:ascii="Times New Roman" w:hAnsi="Times New Roman"/>
            <w:sz w:val="24"/>
            <w:szCs w:val="24"/>
          </w:rPr>
          <w:t>https://www.eeoc.gov/laws/guidance/deafness-and-hearing-impairments-workplace-and-americans-disabilities-act</w:t>
        </w:r>
      </w:hyperlink>
    </w:p>
    <w:p w14:paraId="10F409A7" w14:textId="77777777" w:rsidR="00F824FE" w:rsidRDefault="00F824FE" w:rsidP="005C30A4">
      <w:pPr>
        <w:pStyle w:val="NoSpacing"/>
        <w:rPr>
          <w:rFonts w:ascii="Arial Black" w:hAnsi="Arial Black"/>
          <w:b/>
          <w:sz w:val="24"/>
          <w:szCs w:val="24"/>
        </w:rPr>
      </w:pPr>
    </w:p>
    <w:p w14:paraId="42EC4CD1" w14:textId="77777777" w:rsidR="00F824FE" w:rsidRDefault="00F824FE" w:rsidP="005C30A4">
      <w:pPr>
        <w:pStyle w:val="NoSpacing"/>
        <w:rPr>
          <w:rFonts w:ascii="Arial Black" w:hAnsi="Arial Black"/>
          <w:b/>
          <w:sz w:val="24"/>
          <w:szCs w:val="24"/>
        </w:rPr>
      </w:pPr>
    </w:p>
    <w:p w14:paraId="366CCB0E" w14:textId="7D23010D" w:rsidR="00F824FE" w:rsidRDefault="00F824FE" w:rsidP="005C30A4">
      <w:pPr>
        <w:pStyle w:val="NoSpacing"/>
        <w:rPr>
          <w:rFonts w:ascii="Arial Black" w:hAnsi="Arial Black"/>
          <w:b/>
          <w:sz w:val="24"/>
          <w:szCs w:val="24"/>
        </w:rPr>
      </w:pPr>
      <w:r>
        <w:rPr>
          <w:rFonts w:ascii="Arial Black" w:hAnsi="Arial Black"/>
          <w:b/>
          <w:sz w:val="24"/>
          <w:szCs w:val="24"/>
        </w:rPr>
        <w:t>9-14</w:t>
      </w:r>
    </w:p>
    <w:p w14:paraId="6735E77D" w14:textId="77777777" w:rsidR="00F824FE" w:rsidRPr="00ED5C13" w:rsidRDefault="00F824FE" w:rsidP="00F824FE">
      <w:pPr>
        <w:pStyle w:val="NormalWeb"/>
        <w:rPr>
          <w:rFonts w:ascii="Arial Black" w:hAnsi="Arial Black"/>
          <w:b/>
          <w:bCs/>
          <w:sz w:val="28"/>
          <w:szCs w:val="28"/>
        </w:rPr>
      </w:pPr>
      <w:r>
        <w:rPr>
          <w:rFonts w:ascii="Arial Black" w:hAnsi="Arial Black"/>
          <w:b/>
          <w:bCs/>
          <w:sz w:val="28"/>
          <w:szCs w:val="28"/>
        </w:rPr>
        <w:lastRenderedPageBreak/>
        <w:t>LA: FF HEARING LOSS – REIMBURSED FOR HEARING AIDS – BUT NO ENTITLED TO DISABILITY PAYMENTS – NOT “SINGLE ACCIDENT”</w:t>
      </w:r>
    </w:p>
    <w:p w14:paraId="19FE875F" w14:textId="77777777" w:rsidR="00F824FE" w:rsidRDefault="00F824FE" w:rsidP="00F824FE">
      <w:pPr>
        <w:pStyle w:val="NormalWeb"/>
      </w:pPr>
      <w:r w:rsidRPr="00ED5C13">
        <w:t xml:space="preserve">On </w:t>
      </w:r>
      <w:r>
        <w:t xml:space="preserve">Sept. 22, 2020, in </w:t>
      </w:r>
      <w:r w:rsidRPr="0087261C">
        <w:rPr>
          <w:u w:val="single"/>
        </w:rPr>
        <w:t>Glenn Hankel v. Jefferson Parish Fire Department</w:t>
      </w:r>
      <w:r>
        <w:t>, the Fifth Circuit Court of Appeal of State of Louisiana, held (2 to 1) that while the fire department reimbursed the retired firefighter for cost of hearing aids based on LA firefighter statutory presumption statute, he was not entitled to permanent partial disability payments [which would be 66 2/3</w:t>
      </w:r>
      <w:r w:rsidRPr="00D038AA">
        <w:rPr>
          <w:vertAlign w:val="superscript"/>
        </w:rPr>
        <w:t>rd</w:t>
      </w:r>
      <w:r>
        <w:t xml:space="preserve"> weekly wages, up to 100 weeks] since the LA statute only applies to disabilities caused by a single accident. </w:t>
      </w:r>
    </w:p>
    <w:p w14:paraId="549BFCA3" w14:textId="77777777" w:rsidR="00F824FE" w:rsidRDefault="00F824FE" w:rsidP="00F824FE">
      <w:pPr>
        <w:pStyle w:val="NormalWeb"/>
        <w:ind w:left="720"/>
        <w:rPr>
          <w:b/>
          <w:bCs/>
        </w:rPr>
      </w:pPr>
      <w:r>
        <w:t xml:space="preserve">“In the instant case, there is no dispute that Mr. Hankel's hearing loss was gradual and not the result of a single accident or event. The plain language of La. R.S. 23:1221(4)(p) only provides benefits for permanent hearing losses resulting solely from a single traumatic accident. Accordingly, after a </w:t>
      </w:r>
      <w:r>
        <w:rPr>
          <w:i/>
          <w:iCs/>
        </w:rPr>
        <w:t>de novo</w:t>
      </w:r>
      <w:r>
        <w:t xml:space="preserve"> review of the record, we find that there is no genuine issue as to material fact and that the JPFD is entitled to judgment as a matter of law. Thus, we find no error in the trial court's ruling that Mr. Hankel is not entitled to permanent partial disability benefits for his hearing loss.  </w:t>
      </w:r>
      <w:hyperlink r:id="rId1713" w:history="1">
        <w:r w:rsidRPr="002F1E28">
          <w:rPr>
            <w:rStyle w:val="Hyperlink"/>
          </w:rPr>
          <w:t>https://law.justia.com/cases/louisiana/fifth-circuit-court-of-appeal/2020/19-ca-613.html</w:t>
        </w:r>
      </w:hyperlink>
      <w:r>
        <w:t xml:space="preserve"> </w:t>
      </w:r>
    </w:p>
    <w:p w14:paraId="69D8D625" w14:textId="77777777" w:rsidR="00F824FE" w:rsidRPr="00C30645" w:rsidRDefault="00F824FE" w:rsidP="00F824FE">
      <w:pPr>
        <w:spacing w:after="100" w:line="240" w:lineRule="auto"/>
        <w:rPr>
          <w:rFonts w:ascii="Times New Roman" w:eastAsia="Times New Roman" w:hAnsi="Times New Roman"/>
          <w:b/>
          <w:bCs/>
          <w:sz w:val="24"/>
          <w:szCs w:val="24"/>
        </w:rPr>
      </w:pPr>
      <w:r w:rsidRPr="00C30645">
        <w:rPr>
          <w:rFonts w:ascii="Times New Roman" w:hAnsi="Times New Roman"/>
          <w:b/>
          <w:bCs/>
          <w:sz w:val="24"/>
          <w:szCs w:val="24"/>
        </w:rPr>
        <w:t>Legal Lessons Learned:  This case may be appealed to the Louisiana Supreme Court; Dissenting judge references prior L</w:t>
      </w:r>
      <w:r>
        <w:rPr>
          <w:rFonts w:ascii="Times New Roman" w:hAnsi="Times New Roman"/>
          <w:b/>
          <w:bCs/>
          <w:sz w:val="24"/>
          <w:szCs w:val="24"/>
        </w:rPr>
        <w:t xml:space="preserve">ouisiana </w:t>
      </w:r>
      <w:r w:rsidRPr="00C30645">
        <w:rPr>
          <w:rFonts w:ascii="Times New Roman" w:hAnsi="Times New Roman"/>
          <w:b/>
          <w:bCs/>
          <w:sz w:val="24"/>
          <w:szCs w:val="24"/>
        </w:rPr>
        <w:t xml:space="preserve">Supreme Court decision in </w:t>
      </w:r>
      <w:r w:rsidRPr="00C30645">
        <w:rPr>
          <w:rFonts w:ascii="Times New Roman" w:hAnsi="Times New Roman"/>
          <w:b/>
          <w:bCs/>
          <w:i/>
          <w:iCs/>
          <w:sz w:val="24"/>
          <w:szCs w:val="24"/>
        </w:rPr>
        <w:t>Arrant v Graphic Packaging Int'l</w:t>
      </w:r>
      <w:r w:rsidRPr="00C30645">
        <w:rPr>
          <w:rFonts w:ascii="Times New Roman" w:hAnsi="Times New Roman"/>
          <w:b/>
          <w:bCs/>
          <w:sz w:val="24"/>
          <w:szCs w:val="24"/>
        </w:rPr>
        <w:t xml:space="preserve">, </w:t>
      </w:r>
      <w:r w:rsidRPr="00C30645">
        <w:rPr>
          <w:rFonts w:ascii="Times New Roman" w:hAnsi="Times New Roman"/>
          <w:b/>
          <w:bCs/>
          <w:i/>
          <w:iCs/>
          <w:sz w:val="24"/>
          <w:szCs w:val="24"/>
        </w:rPr>
        <w:t>Inc</w:t>
      </w:r>
      <w:r w:rsidRPr="00C30645">
        <w:rPr>
          <w:rFonts w:ascii="Times New Roman" w:hAnsi="Times New Roman"/>
          <w:b/>
          <w:bCs/>
          <w:sz w:val="24"/>
          <w:szCs w:val="24"/>
        </w:rPr>
        <w:t>., 13-2878, 169 So. 3d 296, 305 (La. 5/5/15</w:t>
      </w:r>
      <w:r>
        <w:rPr>
          <w:rFonts w:ascii="Times New Roman" w:hAnsi="Times New Roman"/>
          <w:b/>
          <w:bCs/>
          <w:sz w:val="24"/>
          <w:szCs w:val="24"/>
        </w:rPr>
        <w:t xml:space="preserve">). </w:t>
      </w:r>
      <w:hyperlink r:id="rId1714" w:history="1">
        <w:r w:rsidRPr="002F1E28">
          <w:rPr>
            <w:rStyle w:val="Hyperlink"/>
            <w:rFonts w:ascii="Times New Roman" w:hAnsi="Times New Roman"/>
            <w:b/>
            <w:bCs/>
            <w:sz w:val="24"/>
            <w:szCs w:val="24"/>
          </w:rPr>
          <w:t>https://law.justia.com/cases/louisiana/supreme-court/2015/2013-c-2878.html</w:t>
        </w:r>
      </w:hyperlink>
      <w:r>
        <w:rPr>
          <w:rFonts w:ascii="Times New Roman" w:hAnsi="Times New Roman"/>
          <w:b/>
          <w:bCs/>
          <w:sz w:val="24"/>
          <w:szCs w:val="24"/>
        </w:rPr>
        <w:t xml:space="preserve"> </w:t>
      </w:r>
    </w:p>
    <w:p w14:paraId="3E9C39FC" w14:textId="77777777" w:rsidR="00F824FE" w:rsidRDefault="00F824FE" w:rsidP="00F824FE">
      <w:pPr>
        <w:spacing w:before="100" w:beforeAutospacing="1" w:after="100" w:afterAutospacing="1" w:line="240" w:lineRule="auto"/>
        <w:ind w:left="720"/>
      </w:pPr>
      <w:r>
        <w:rPr>
          <w:rFonts w:ascii="Times New Roman" w:hAnsi="Times New Roman"/>
          <w:sz w:val="24"/>
          <w:szCs w:val="24"/>
        </w:rPr>
        <w:t xml:space="preserve">Note:  See Louisiana Firefighter Statutory Presumption </w:t>
      </w:r>
      <w:proofErr w:type="gramStart"/>
      <w:r>
        <w:rPr>
          <w:rFonts w:ascii="Times New Roman" w:hAnsi="Times New Roman"/>
          <w:sz w:val="24"/>
          <w:szCs w:val="24"/>
        </w:rPr>
        <w:t>For</w:t>
      </w:r>
      <w:proofErr w:type="gramEnd"/>
      <w:r>
        <w:rPr>
          <w:rFonts w:ascii="Times New Roman" w:hAnsi="Times New Roman"/>
          <w:sz w:val="24"/>
          <w:szCs w:val="24"/>
        </w:rPr>
        <w:t xml:space="preserve"> Hearing Loss</w:t>
      </w:r>
    </w:p>
    <w:p w14:paraId="0A694BA5" w14:textId="77777777" w:rsidR="00F824FE" w:rsidRPr="009240F1" w:rsidRDefault="00F824FE" w:rsidP="00F824FE">
      <w:pPr>
        <w:spacing w:before="100" w:beforeAutospacing="1" w:after="100" w:afterAutospacing="1" w:line="240" w:lineRule="auto"/>
        <w:rPr>
          <w:rFonts w:ascii="Times New Roman" w:eastAsia="Times New Roman" w:hAnsi="Times New Roman"/>
          <w:sz w:val="24"/>
          <w:szCs w:val="24"/>
        </w:rPr>
      </w:pPr>
      <w:r w:rsidRPr="009240F1">
        <w:rPr>
          <w:rFonts w:ascii="Times New Roman" w:eastAsia="Times New Roman" w:hAnsi="Times New Roman"/>
          <w:sz w:val="24"/>
          <w:szCs w:val="24"/>
        </w:rPr>
        <w:t> </w:t>
      </w:r>
      <w:r>
        <w:rPr>
          <w:rFonts w:ascii="Times New Roman" w:eastAsia="Times New Roman" w:hAnsi="Times New Roman"/>
          <w:sz w:val="24"/>
          <w:szCs w:val="24"/>
        </w:rPr>
        <w:tab/>
      </w:r>
      <w:r w:rsidRPr="009240F1">
        <w:rPr>
          <w:rFonts w:ascii="Times New Roman" w:eastAsia="Times New Roman" w:hAnsi="Times New Roman"/>
          <w:sz w:val="24"/>
          <w:szCs w:val="24"/>
        </w:rPr>
        <w:t>La. R.S. 33:2581.1 provides:</w:t>
      </w:r>
    </w:p>
    <w:p w14:paraId="0487BD48" w14:textId="77777777" w:rsidR="00F824FE" w:rsidRDefault="00F824FE" w:rsidP="00F824FE">
      <w:pPr>
        <w:pStyle w:val="ListParagraph"/>
        <w:numPr>
          <w:ilvl w:val="0"/>
          <w:numId w:val="5"/>
        </w:numPr>
        <w:spacing w:after="100" w:line="240" w:lineRule="auto"/>
        <w:rPr>
          <w:rFonts w:ascii="Times New Roman" w:eastAsia="Times New Roman" w:hAnsi="Times New Roman" w:cs="Times New Roman"/>
          <w:sz w:val="24"/>
          <w:szCs w:val="24"/>
        </w:rPr>
      </w:pPr>
      <w:r w:rsidRPr="00B3719C">
        <w:rPr>
          <w:rFonts w:ascii="Times New Roman" w:eastAsia="Times New Roman" w:hAnsi="Times New Roman" w:cs="Times New Roman"/>
          <w:sz w:val="24"/>
          <w:szCs w:val="24"/>
        </w:rPr>
        <w:t xml:space="preserve">Any loss of hearing which is ten percent greater than that of the affected employee's comparable age group in the general population and which develops during employment in the classified fire service in the state of Louisiana shall, for purposes of this Section only, be classified as a disease or infirmity connected with employment. The employee affected shall be entitled to medical benefits including hearing prosthesis as granted by the laws of the state of Louisiana to which one suffering an occupational disease is entitled, regardless of whether the fireman is on duty at the time he is stricken with the loss of hearing. Such loss of hearing shall be presumed to have </w:t>
      </w:r>
    </w:p>
    <w:p w14:paraId="66751971" w14:textId="77777777" w:rsidR="00F824FE" w:rsidRDefault="00F824FE" w:rsidP="00F824FE">
      <w:pPr>
        <w:pStyle w:val="ListParagraph"/>
        <w:spacing w:after="100" w:line="240" w:lineRule="auto"/>
        <w:ind w:left="1800"/>
        <w:rPr>
          <w:rFonts w:ascii="Times New Roman" w:eastAsia="Times New Roman" w:hAnsi="Times New Roman" w:cs="Times New Roman"/>
          <w:sz w:val="24"/>
          <w:szCs w:val="24"/>
        </w:rPr>
      </w:pPr>
    </w:p>
    <w:p w14:paraId="355DFD49" w14:textId="77777777" w:rsidR="00F824FE" w:rsidRDefault="00F824FE" w:rsidP="00F824FE">
      <w:pPr>
        <w:pStyle w:val="ListParagraph"/>
        <w:spacing w:after="100" w:line="240" w:lineRule="auto"/>
        <w:ind w:left="1800"/>
        <w:rPr>
          <w:rFonts w:ascii="Times New Roman" w:eastAsia="Times New Roman" w:hAnsi="Times New Roman" w:cs="Times New Roman"/>
          <w:sz w:val="24"/>
          <w:szCs w:val="24"/>
        </w:rPr>
      </w:pPr>
      <w:r w:rsidRPr="00B3719C">
        <w:rPr>
          <w:rFonts w:ascii="Times New Roman" w:eastAsia="Times New Roman" w:hAnsi="Times New Roman" w:cs="Times New Roman"/>
          <w:sz w:val="24"/>
          <w:szCs w:val="24"/>
        </w:rPr>
        <w:t>developed during employment and shall be presumed to have been caused by or to have resulted from the nature of the work performed whenever same is manifested at any time after the first five years of employment in such classified service. This presumption shall be rebuttable by evidence meeting judicial standards and shall be extended to an employee following termination of service for a period of twenty-four months.</w:t>
      </w:r>
    </w:p>
    <w:p w14:paraId="71CAAF4F" w14:textId="77777777" w:rsidR="00F824FE" w:rsidRDefault="00F824FE" w:rsidP="00F824FE">
      <w:pPr>
        <w:pStyle w:val="ListParagraph"/>
        <w:spacing w:after="100" w:line="240" w:lineRule="auto"/>
        <w:ind w:left="1800"/>
        <w:rPr>
          <w:rFonts w:ascii="Times New Roman" w:eastAsia="Times New Roman" w:hAnsi="Times New Roman" w:cs="Times New Roman"/>
          <w:sz w:val="24"/>
          <w:szCs w:val="24"/>
        </w:rPr>
      </w:pPr>
    </w:p>
    <w:p w14:paraId="2A645C4E" w14:textId="77777777" w:rsidR="00F824FE" w:rsidRDefault="00F824FE" w:rsidP="005C30A4">
      <w:pPr>
        <w:pStyle w:val="NoSpacing"/>
        <w:rPr>
          <w:rFonts w:ascii="Arial Black" w:hAnsi="Arial Black"/>
          <w:b/>
          <w:sz w:val="24"/>
          <w:szCs w:val="24"/>
        </w:rPr>
      </w:pPr>
    </w:p>
    <w:p w14:paraId="2D50AA47" w14:textId="77777777" w:rsidR="00F824FE" w:rsidRDefault="00F824FE" w:rsidP="005C30A4">
      <w:pPr>
        <w:pStyle w:val="NoSpacing"/>
        <w:rPr>
          <w:rFonts w:ascii="Arial Black" w:hAnsi="Arial Black"/>
          <w:b/>
          <w:sz w:val="24"/>
          <w:szCs w:val="24"/>
        </w:rPr>
      </w:pPr>
    </w:p>
    <w:p w14:paraId="6E7FF063" w14:textId="313A86C3" w:rsidR="001C563D" w:rsidRDefault="001C563D" w:rsidP="005C30A4">
      <w:pPr>
        <w:pStyle w:val="NoSpacing"/>
        <w:rPr>
          <w:rFonts w:ascii="Arial Black" w:hAnsi="Arial Black"/>
          <w:b/>
          <w:sz w:val="24"/>
          <w:szCs w:val="24"/>
        </w:rPr>
      </w:pPr>
      <w:r>
        <w:rPr>
          <w:rFonts w:ascii="Arial Black" w:hAnsi="Arial Black"/>
          <w:b/>
          <w:sz w:val="24"/>
          <w:szCs w:val="24"/>
        </w:rPr>
        <w:t>9-13</w:t>
      </w:r>
    </w:p>
    <w:p w14:paraId="6A5FFA1B" w14:textId="7F0ADDB5" w:rsidR="001C563D" w:rsidRDefault="001C563D" w:rsidP="005C30A4">
      <w:pPr>
        <w:pStyle w:val="NoSpacing"/>
        <w:rPr>
          <w:rFonts w:ascii="Arial Black" w:hAnsi="Arial Black"/>
          <w:b/>
          <w:sz w:val="24"/>
          <w:szCs w:val="24"/>
        </w:rPr>
      </w:pPr>
    </w:p>
    <w:p w14:paraId="44C2D4A9" w14:textId="77777777" w:rsidR="001C563D" w:rsidRDefault="001C563D" w:rsidP="001C563D">
      <w:pPr>
        <w:pStyle w:val="NoSpacing"/>
        <w:rPr>
          <w:rFonts w:ascii="Arial Black" w:hAnsi="Arial Black"/>
          <w:sz w:val="28"/>
          <w:szCs w:val="28"/>
        </w:rPr>
      </w:pPr>
      <w:r w:rsidRPr="001E444E">
        <w:rPr>
          <w:rFonts w:ascii="Arial Black" w:hAnsi="Arial Black"/>
          <w:sz w:val="28"/>
          <w:szCs w:val="28"/>
        </w:rPr>
        <w:t xml:space="preserve">NY: </w:t>
      </w:r>
      <w:r>
        <w:rPr>
          <w:rFonts w:ascii="Arial Black" w:hAnsi="Arial Black"/>
          <w:sz w:val="28"/>
          <w:szCs w:val="28"/>
        </w:rPr>
        <w:t>CIVILIAN FIRE PROTECTION INSPECTOR – ASTHMA, OFFICE ONLY WORK - NOT PROMOTED FIELD POSITION</w:t>
      </w:r>
    </w:p>
    <w:p w14:paraId="016522C7" w14:textId="77777777" w:rsidR="001C563D" w:rsidRDefault="001C563D" w:rsidP="001C563D">
      <w:pPr>
        <w:pStyle w:val="NoSpacing"/>
        <w:rPr>
          <w:rFonts w:ascii="Arial Black" w:hAnsi="Arial Black"/>
          <w:sz w:val="28"/>
          <w:szCs w:val="28"/>
        </w:rPr>
      </w:pPr>
    </w:p>
    <w:p w14:paraId="1FF3D56E" w14:textId="77777777" w:rsidR="001C563D" w:rsidRPr="00247349" w:rsidRDefault="001C563D" w:rsidP="001C563D">
      <w:pPr>
        <w:pStyle w:val="NoSpacing"/>
        <w:rPr>
          <w:rFonts w:ascii="Times New Roman" w:hAnsi="Times New Roman"/>
          <w:sz w:val="24"/>
          <w:szCs w:val="24"/>
        </w:rPr>
      </w:pPr>
      <w:r w:rsidRPr="001E444E">
        <w:rPr>
          <w:rFonts w:ascii="Times New Roman" w:hAnsi="Times New Roman"/>
          <w:sz w:val="24"/>
          <w:szCs w:val="24"/>
        </w:rPr>
        <w:lastRenderedPageBreak/>
        <w:t>On July 18, 2020</w:t>
      </w:r>
      <w:r>
        <w:rPr>
          <w:rFonts w:ascii="Times New Roman" w:hAnsi="Times New Roman"/>
          <w:sz w:val="24"/>
          <w:szCs w:val="24"/>
        </w:rPr>
        <w:t xml:space="preserve">, in </w:t>
      </w:r>
      <w:r w:rsidRPr="001E444E">
        <w:rPr>
          <w:rFonts w:ascii="Times New Roman" w:hAnsi="Times New Roman"/>
          <w:sz w:val="24"/>
          <w:szCs w:val="24"/>
          <w:u w:val="single"/>
        </w:rPr>
        <w:t>John Skariah v. The City of New York, et al</w:t>
      </w:r>
      <w:r>
        <w:rPr>
          <w:rFonts w:ascii="Times New Roman" w:hAnsi="Times New Roman"/>
          <w:sz w:val="24"/>
          <w:szCs w:val="24"/>
        </w:rPr>
        <w:t xml:space="preserve">., 2020 NY Slip Op 31890(U), Judge Lyle E. Frank, Supreme Court of State of New York (County Part 52) granted the City’s motion for summary judgment.  Plaintiff has been civilian employee with FDNY since 1992, and was promoted in 1997 to </w:t>
      </w:r>
      <w:r w:rsidRPr="00247349">
        <w:rPr>
          <w:rFonts w:ascii="Times New Roman" w:hAnsi="Times New Roman"/>
        </w:rPr>
        <w:t>Associate Fire Protection Inspector I</w:t>
      </w:r>
      <w:r>
        <w:rPr>
          <w:rFonts w:ascii="Times New Roman" w:hAnsi="Times New Roman"/>
        </w:rPr>
        <w:t xml:space="preserve">.  Plaintiff is from India </w:t>
      </w:r>
      <w:r w:rsidRPr="00247349">
        <w:rPr>
          <w:rFonts w:ascii="Times New Roman" w:hAnsi="Times New Roman"/>
          <w:sz w:val="24"/>
          <w:szCs w:val="24"/>
        </w:rPr>
        <w:t xml:space="preserve">and </w:t>
      </w:r>
      <w:r>
        <w:rPr>
          <w:rFonts w:ascii="Times New Roman" w:hAnsi="Times New Roman"/>
          <w:sz w:val="24"/>
          <w:szCs w:val="24"/>
        </w:rPr>
        <w:t xml:space="preserve">in </w:t>
      </w:r>
      <w:r w:rsidRPr="00247349">
        <w:rPr>
          <w:rFonts w:ascii="Times New Roman" w:hAnsi="Times New Roman"/>
          <w:sz w:val="24"/>
          <w:szCs w:val="24"/>
        </w:rPr>
        <w:t>1998</w:t>
      </w:r>
      <w:r>
        <w:rPr>
          <w:rFonts w:ascii="Times New Roman" w:hAnsi="Times New Roman"/>
          <w:sz w:val="24"/>
          <w:szCs w:val="24"/>
        </w:rPr>
        <w:t xml:space="preserve"> he</w:t>
      </w:r>
      <w:r w:rsidRPr="00247349">
        <w:rPr>
          <w:rFonts w:ascii="Times New Roman" w:hAnsi="Times New Roman"/>
          <w:sz w:val="24"/>
          <w:szCs w:val="24"/>
        </w:rPr>
        <w:t xml:space="preserve"> was given a raise and promoted from Associate Fire Inspector I to the position of Deputy Chief Inspector as part of a 1998 Equal Employment Opportunity Commission (</w:t>
      </w:r>
      <w:r>
        <w:rPr>
          <w:rFonts w:ascii="Times New Roman" w:hAnsi="Times New Roman"/>
          <w:sz w:val="24"/>
          <w:szCs w:val="24"/>
        </w:rPr>
        <w:t>‘</w:t>
      </w:r>
      <w:r w:rsidRPr="00247349">
        <w:rPr>
          <w:rFonts w:ascii="Times New Roman" w:hAnsi="Times New Roman"/>
          <w:sz w:val="24"/>
          <w:szCs w:val="24"/>
        </w:rPr>
        <w:t>EEOC</w:t>
      </w:r>
      <w:r>
        <w:rPr>
          <w:rFonts w:ascii="Times New Roman" w:hAnsi="Times New Roman"/>
          <w:sz w:val="24"/>
          <w:szCs w:val="24"/>
        </w:rPr>
        <w:t>’</w:t>
      </w:r>
      <w:r w:rsidRPr="00247349">
        <w:rPr>
          <w:rFonts w:ascii="Times New Roman" w:hAnsi="Times New Roman"/>
          <w:sz w:val="24"/>
          <w:szCs w:val="24"/>
        </w:rPr>
        <w:t>) Settlement Agreement.</w:t>
      </w:r>
      <w:r>
        <w:rPr>
          <w:rFonts w:ascii="Times New Roman" w:hAnsi="Times New Roman"/>
          <w:sz w:val="24"/>
          <w:szCs w:val="24"/>
        </w:rPr>
        <w:t xml:space="preserve"> </w:t>
      </w:r>
      <w:r w:rsidRPr="00247349">
        <w:rPr>
          <w:rFonts w:ascii="Times New Roman" w:hAnsi="Times New Roman"/>
          <w:sz w:val="24"/>
          <w:szCs w:val="24"/>
        </w:rPr>
        <w:t>“Plaintiff submitted a doctor's note to FDNY stating ‘</w:t>
      </w:r>
      <w:r>
        <w:rPr>
          <w:rFonts w:ascii="Times New Roman" w:hAnsi="Times New Roman"/>
          <w:sz w:val="24"/>
          <w:szCs w:val="24"/>
        </w:rPr>
        <w:t>P[</w:t>
      </w:r>
      <w:proofErr w:type="spellStart"/>
      <w:r>
        <w:rPr>
          <w:rFonts w:ascii="Times New Roman" w:hAnsi="Times New Roman"/>
          <w:sz w:val="24"/>
          <w:szCs w:val="24"/>
        </w:rPr>
        <w:t>atient</w:t>
      </w:r>
      <w:proofErr w:type="spellEnd"/>
      <w:r>
        <w:rPr>
          <w:rFonts w:ascii="Times New Roman" w:hAnsi="Times New Roman"/>
          <w:sz w:val="24"/>
          <w:szCs w:val="24"/>
        </w:rPr>
        <w:t xml:space="preserve">] </w:t>
      </w:r>
      <w:r w:rsidRPr="00247349">
        <w:rPr>
          <w:rFonts w:ascii="Times New Roman" w:hAnsi="Times New Roman"/>
          <w:sz w:val="24"/>
          <w:szCs w:val="24"/>
        </w:rPr>
        <w:t xml:space="preserve">is under my care for asthma. Due to his </w:t>
      </w:r>
      <w:proofErr w:type="gramStart"/>
      <w:r w:rsidRPr="00247349">
        <w:rPr>
          <w:rFonts w:ascii="Times New Roman" w:hAnsi="Times New Roman"/>
          <w:sz w:val="24"/>
          <w:szCs w:val="24"/>
        </w:rPr>
        <w:t>condition</w:t>
      </w:r>
      <w:proofErr w:type="gramEnd"/>
      <w:r w:rsidRPr="00247349">
        <w:rPr>
          <w:rFonts w:ascii="Times New Roman" w:hAnsi="Times New Roman"/>
          <w:sz w:val="24"/>
          <w:szCs w:val="24"/>
        </w:rPr>
        <w:t xml:space="preserve"> it is advisable for him to work in the office and not in the field.</w:t>
      </w:r>
      <w:r>
        <w:rPr>
          <w:rFonts w:ascii="Times New Roman" w:hAnsi="Times New Roman"/>
          <w:sz w:val="24"/>
          <w:szCs w:val="24"/>
        </w:rPr>
        <w:t xml:space="preserve"> *** </w:t>
      </w:r>
      <w:r w:rsidRPr="00247349">
        <w:rPr>
          <w:rFonts w:ascii="Times New Roman" w:hAnsi="Times New Roman"/>
          <w:sz w:val="24"/>
          <w:szCs w:val="24"/>
        </w:rPr>
        <w:t>Even if plaintiff could establish a prima facie claim, in response, defendants have proffered a legitimate nondiscriminatory reason for why plaintiff was not promoted, that is the disability he suffered for why a reasonable accommodation was required.</w:t>
      </w:r>
      <w:r>
        <w:rPr>
          <w:rFonts w:ascii="Times New Roman" w:hAnsi="Times New Roman"/>
          <w:sz w:val="24"/>
          <w:szCs w:val="24"/>
        </w:rPr>
        <w:t xml:space="preserve">” </w:t>
      </w:r>
      <w:hyperlink r:id="rId1715" w:history="1">
        <w:r w:rsidRPr="003B7380">
          <w:rPr>
            <w:rStyle w:val="Hyperlink"/>
            <w:rFonts w:ascii="Times New Roman" w:hAnsi="Times New Roman"/>
            <w:sz w:val="24"/>
            <w:szCs w:val="24"/>
          </w:rPr>
          <w:t>https://cases.justia.com/new-york/other-courts/2020-2020-ny-slip-op-31890-u.pdf?ts=1592946781</w:t>
        </w:r>
      </w:hyperlink>
      <w:r>
        <w:rPr>
          <w:rFonts w:ascii="Times New Roman" w:hAnsi="Times New Roman"/>
          <w:sz w:val="24"/>
          <w:szCs w:val="24"/>
        </w:rPr>
        <w:t xml:space="preserve"> </w:t>
      </w:r>
    </w:p>
    <w:p w14:paraId="684FAC16" w14:textId="77777777" w:rsidR="001C563D" w:rsidRDefault="001C563D" w:rsidP="001C563D">
      <w:pPr>
        <w:pStyle w:val="NoSpacing"/>
        <w:rPr>
          <w:rFonts w:ascii="Times New Roman" w:hAnsi="Times New Roman"/>
          <w:sz w:val="24"/>
          <w:szCs w:val="24"/>
        </w:rPr>
      </w:pPr>
    </w:p>
    <w:p w14:paraId="11A2055E" w14:textId="77777777" w:rsidR="001C563D" w:rsidRPr="00247349" w:rsidRDefault="001C563D" w:rsidP="001C563D">
      <w:pPr>
        <w:pStyle w:val="NoSpacing"/>
        <w:rPr>
          <w:rFonts w:ascii="Times New Roman" w:hAnsi="Times New Roman"/>
          <w:b/>
          <w:bCs/>
          <w:sz w:val="24"/>
          <w:szCs w:val="24"/>
        </w:rPr>
      </w:pPr>
      <w:r w:rsidRPr="00247349">
        <w:rPr>
          <w:rFonts w:ascii="Times New Roman" w:hAnsi="Times New Roman"/>
          <w:b/>
          <w:bCs/>
          <w:sz w:val="24"/>
          <w:szCs w:val="24"/>
        </w:rPr>
        <w:t>Legal Lessons Learned:</w:t>
      </w:r>
      <w:r>
        <w:rPr>
          <w:rFonts w:ascii="Times New Roman" w:hAnsi="Times New Roman"/>
          <w:b/>
          <w:bCs/>
          <w:sz w:val="24"/>
          <w:szCs w:val="24"/>
        </w:rPr>
        <w:t xml:space="preserve">  When employee advises employer they have a disability – in this case Asma requiring office position only, the employee’s lawsuit for not being promoted to positions requiring fieldwork will be dismissed. </w:t>
      </w:r>
    </w:p>
    <w:p w14:paraId="5EE86B47" w14:textId="77777777" w:rsidR="001C563D" w:rsidRDefault="001C563D" w:rsidP="005C30A4">
      <w:pPr>
        <w:pStyle w:val="NoSpacing"/>
        <w:rPr>
          <w:rFonts w:ascii="Arial Black" w:hAnsi="Arial Black"/>
          <w:b/>
          <w:sz w:val="24"/>
          <w:szCs w:val="24"/>
        </w:rPr>
      </w:pPr>
    </w:p>
    <w:p w14:paraId="5B66BF13" w14:textId="77777777" w:rsidR="001C563D" w:rsidRDefault="001C563D" w:rsidP="005C30A4">
      <w:pPr>
        <w:pStyle w:val="NoSpacing"/>
        <w:rPr>
          <w:rFonts w:ascii="Arial Black" w:hAnsi="Arial Black"/>
          <w:b/>
          <w:sz w:val="24"/>
          <w:szCs w:val="24"/>
        </w:rPr>
      </w:pPr>
    </w:p>
    <w:p w14:paraId="73217CB5" w14:textId="26DC4DBB" w:rsidR="00366CDD" w:rsidRDefault="00366CDD" w:rsidP="005C30A4">
      <w:pPr>
        <w:pStyle w:val="NoSpacing"/>
        <w:rPr>
          <w:rFonts w:ascii="Arial Black" w:hAnsi="Arial Black"/>
          <w:b/>
          <w:sz w:val="24"/>
          <w:szCs w:val="24"/>
        </w:rPr>
      </w:pPr>
      <w:r>
        <w:rPr>
          <w:rFonts w:ascii="Arial Black" w:hAnsi="Arial Black"/>
          <w:b/>
          <w:sz w:val="24"/>
          <w:szCs w:val="24"/>
        </w:rPr>
        <w:t xml:space="preserve">9-12 </w:t>
      </w:r>
      <w:r w:rsidRPr="001C563D">
        <w:rPr>
          <w:rFonts w:ascii="Times New Roman" w:hAnsi="Times New Roman"/>
          <w:bCs/>
          <w:sz w:val="24"/>
          <w:szCs w:val="24"/>
        </w:rPr>
        <w:t>[Also filed</w:t>
      </w:r>
      <w:r w:rsidR="001C563D">
        <w:rPr>
          <w:rFonts w:ascii="Times New Roman" w:hAnsi="Times New Roman"/>
          <w:bCs/>
          <w:sz w:val="24"/>
          <w:szCs w:val="24"/>
        </w:rPr>
        <w:t>:</w:t>
      </w:r>
      <w:r w:rsidRPr="001C563D">
        <w:rPr>
          <w:rFonts w:ascii="Times New Roman" w:hAnsi="Times New Roman"/>
          <w:bCs/>
          <w:sz w:val="24"/>
          <w:szCs w:val="24"/>
        </w:rPr>
        <w:t xml:space="preserve"> Chap. 10 &amp; 15]</w:t>
      </w:r>
    </w:p>
    <w:p w14:paraId="3DA94BED" w14:textId="77777777" w:rsidR="00366CDD" w:rsidRPr="00A670C3" w:rsidRDefault="00366CDD" w:rsidP="00366CDD">
      <w:pPr>
        <w:spacing w:before="100" w:beforeAutospacing="1" w:after="100" w:afterAutospacing="1" w:line="240" w:lineRule="auto"/>
        <w:rPr>
          <w:rFonts w:ascii="Arial Black" w:eastAsia="Times New Roman" w:hAnsi="Arial Black"/>
          <w:sz w:val="28"/>
          <w:szCs w:val="28"/>
        </w:rPr>
      </w:pPr>
      <w:bookmarkStart w:id="354" w:name="_Hlk39818832"/>
      <w:bookmarkStart w:id="355" w:name="_Hlk38198073"/>
      <w:bookmarkStart w:id="356" w:name="_Hlk41155472"/>
      <w:r w:rsidRPr="00A670C3">
        <w:rPr>
          <w:rFonts w:ascii="Arial Black" w:eastAsia="Times New Roman" w:hAnsi="Arial Black"/>
          <w:sz w:val="28"/>
          <w:szCs w:val="28"/>
        </w:rPr>
        <w:t xml:space="preserve">PA: </w:t>
      </w:r>
      <w:r>
        <w:rPr>
          <w:rFonts w:ascii="Arial Black" w:eastAsia="Times New Roman" w:hAnsi="Arial Black"/>
          <w:sz w:val="28"/>
          <w:szCs w:val="28"/>
        </w:rPr>
        <w:t>FF PANIC ATTACK ON DUTY – PTSD, MEDICATION – NO LONGER QUALIFIED AS FF – TERMINATION NOT VIOL. ADA</w:t>
      </w:r>
    </w:p>
    <w:p w14:paraId="22D294EC" w14:textId="77777777" w:rsidR="00366CDD" w:rsidRPr="008561E5" w:rsidRDefault="00366CDD" w:rsidP="00366CDD">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On April 17, 2020, in </w:t>
      </w:r>
      <w:r w:rsidRPr="008561E5">
        <w:rPr>
          <w:rFonts w:ascii="Times New Roman" w:eastAsia="Times New Roman" w:hAnsi="Times New Roman"/>
          <w:sz w:val="24"/>
          <w:szCs w:val="24"/>
          <w:u w:val="single"/>
        </w:rPr>
        <w:t xml:space="preserve">Robert Carpenter v. York Area United Fire </w:t>
      </w:r>
      <w:proofErr w:type="gramStart"/>
      <w:r w:rsidRPr="008561E5">
        <w:rPr>
          <w:rFonts w:ascii="Times New Roman" w:eastAsia="Times New Roman" w:hAnsi="Times New Roman"/>
          <w:sz w:val="24"/>
          <w:szCs w:val="24"/>
          <w:u w:val="single"/>
        </w:rPr>
        <w:t>And</w:t>
      </w:r>
      <w:proofErr w:type="gramEnd"/>
      <w:r w:rsidRPr="008561E5">
        <w:rPr>
          <w:rFonts w:ascii="Times New Roman" w:eastAsia="Times New Roman" w:hAnsi="Times New Roman"/>
          <w:sz w:val="24"/>
          <w:szCs w:val="24"/>
          <w:u w:val="single"/>
        </w:rPr>
        <w:t xml:space="preserve"> Rescue</w:t>
      </w:r>
      <w:r>
        <w:rPr>
          <w:rFonts w:ascii="Times New Roman" w:eastAsia="Times New Roman" w:hAnsi="Times New Roman"/>
          <w:sz w:val="24"/>
          <w:szCs w:val="24"/>
        </w:rPr>
        <w:t>, U.S. District Court Judge Christopher C. Conner, Chief Judge, Middle District of Pennsylvania, granted the FD’s motion for summary judgment.  The Court held that the firefighter was not a “</w:t>
      </w:r>
      <w:r w:rsidRPr="00A670C3">
        <w:rPr>
          <w:rFonts w:ascii="Times New Roman" w:eastAsia="Times New Roman" w:hAnsi="Times New Roman"/>
          <w:sz w:val="24"/>
          <w:szCs w:val="24"/>
        </w:rPr>
        <w:t>qualified individual for ADA purposes because he could not perform the essential functions of his job with or without reasonable accommodation</w:t>
      </w:r>
      <w:r>
        <w:rPr>
          <w:rFonts w:ascii="Times New Roman" w:eastAsia="Times New Roman" w:hAnsi="Times New Roman"/>
          <w:sz w:val="24"/>
          <w:szCs w:val="24"/>
        </w:rPr>
        <w:t>,” and indefinite leave of absence was not a reasonable accommodation; “</w:t>
      </w:r>
      <w:r w:rsidRPr="008561E5">
        <w:rPr>
          <w:rFonts w:ascii="Times New Roman" w:hAnsi="Times New Roman"/>
          <w:sz w:val="24"/>
          <w:szCs w:val="24"/>
        </w:rPr>
        <w:t xml:space="preserve">there must be some expectation that the employee could perform his essential job functions in the </w:t>
      </w:r>
      <w:r>
        <w:rPr>
          <w:rFonts w:ascii="Times New Roman" w:hAnsi="Times New Roman"/>
          <w:sz w:val="24"/>
          <w:szCs w:val="24"/>
        </w:rPr>
        <w:t>‘</w:t>
      </w:r>
      <w:r w:rsidRPr="008561E5">
        <w:rPr>
          <w:rFonts w:ascii="Times New Roman" w:hAnsi="Times New Roman"/>
          <w:sz w:val="24"/>
          <w:szCs w:val="24"/>
        </w:rPr>
        <w:t>near future</w:t>
      </w:r>
      <w:r>
        <w:rPr>
          <w:rFonts w:ascii="Times New Roman" w:hAnsi="Times New Roman"/>
          <w:sz w:val="24"/>
          <w:szCs w:val="24"/>
        </w:rPr>
        <w:t>’</w:t>
      </w:r>
      <w:r w:rsidRPr="008561E5">
        <w:rPr>
          <w:rFonts w:ascii="Times New Roman" w:hAnsi="Times New Roman"/>
          <w:sz w:val="24"/>
          <w:szCs w:val="24"/>
        </w:rPr>
        <w:t xml:space="preserve"> following the requested leave.</w:t>
      </w:r>
      <w:r>
        <w:rPr>
          <w:rFonts w:ascii="Times New Roman" w:hAnsi="Times New Roman"/>
          <w:sz w:val="24"/>
          <w:szCs w:val="24"/>
        </w:rPr>
        <w:t xml:space="preserve">   </w:t>
      </w:r>
    </w:p>
    <w:p w14:paraId="03A7E2B4" w14:textId="77777777" w:rsidR="00366CDD" w:rsidRDefault="00366CDD" w:rsidP="00366CDD">
      <w:pPr>
        <w:pStyle w:val="NormalWeb"/>
        <w:ind w:left="720"/>
      </w:pPr>
      <w:r>
        <w:t xml:space="preserve">“[Fire Department] </w:t>
      </w:r>
      <w:r w:rsidRPr="00A670C3">
        <w:t>argues that Carpenter is not a qualified individual for ADA purposes because he could not perform the essential functions of his job with or without reasonable accommodation. We agree.</w:t>
      </w:r>
      <w:r>
        <w:t xml:space="preserve">” </w:t>
      </w:r>
      <w:hyperlink r:id="rId1716" w:history="1">
        <w:r w:rsidRPr="00377614">
          <w:rPr>
            <w:rStyle w:val="Hyperlink"/>
          </w:rPr>
          <w:t>https://public.fastcase.com/Wl%2B2t%2BeVuI35%2FN70vAMFZkkc03nKI8qkpSJ%2FzmzLggswfoR1RvbDETmM60pPGUhc</w:t>
        </w:r>
      </w:hyperlink>
      <w:bookmarkEnd w:id="354"/>
      <w:r>
        <w:t xml:space="preserve"> </w:t>
      </w:r>
    </w:p>
    <w:p w14:paraId="1C30FA28" w14:textId="77777777" w:rsidR="00366CDD" w:rsidRPr="00DE2E06" w:rsidRDefault="00366CDD" w:rsidP="00366CDD">
      <w:pPr>
        <w:rPr>
          <w:rFonts w:ascii="Times New Roman" w:hAnsi="Times New Roman"/>
          <w:b/>
          <w:bCs/>
          <w:sz w:val="24"/>
          <w:szCs w:val="24"/>
        </w:rPr>
      </w:pPr>
      <w:bookmarkStart w:id="357" w:name="_Hlk40512021"/>
      <w:bookmarkEnd w:id="355"/>
      <w:r w:rsidRPr="00DE2E06">
        <w:rPr>
          <w:rFonts w:ascii="Times New Roman" w:hAnsi="Times New Roman"/>
          <w:b/>
          <w:bCs/>
          <w:sz w:val="24"/>
          <w:szCs w:val="24"/>
        </w:rPr>
        <w:t>Legal Lessons Learned:  FF on leave and undergoing treatment, who desires to get back to the job, needs to stay in communication with FD.</w:t>
      </w:r>
      <w:r>
        <w:rPr>
          <w:rFonts w:ascii="Times New Roman" w:hAnsi="Times New Roman"/>
          <w:b/>
          <w:bCs/>
          <w:sz w:val="24"/>
          <w:szCs w:val="24"/>
        </w:rPr>
        <w:t xml:space="preserve"> </w:t>
      </w:r>
      <w:bookmarkEnd w:id="357"/>
      <w:r>
        <w:rPr>
          <w:rFonts w:ascii="Times New Roman" w:hAnsi="Times New Roman"/>
          <w:b/>
          <w:bCs/>
          <w:sz w:val="24"/>
          <w:szCs w:val="24"/>
        </w:rPr>
        <w:t xml:space="preserve">  </w:t>
      </w:r>
      <w:bookmarkEnd w:id="356"/>
      <w:r>
        <w:rPr>
          <w:rFonts w:ascii="Times New Roman" w:hAnsi="Times New Roman"/>
          <w:b/>
          <w:bCs/>
          <w:sz w:val="24"/>
          <w:szCs w:val="24"/>
        </w:rPr>
        <w:t>FMLA also addressed (see below).</w:t>
      </w:r>
    </w:p>
    <w:p w14:paraId="1DF98835" w14:textId="21E082E4" w:rsidR="00366CDD" w:rsidRPr="00063DF6" w:rsidRDefault="00366CDD" w:rsidP="00366CDD">
      <w:pPr>
        <w:pStyle w:val="NormalWeb"/>
        <w:ind w:left="720"/>
        <w:rPr>
          <w:b/>
          <w:bCs/>
        </w:rPr>
      </w:pPr>
      <w:r w:rsidRPr="00063DF6">
        <w:t xml:space="preserve">Note:  </w:t>
      </w:r>
      <w:r>
        <w:t xml:space="preserve">Court also held that the FF was not </w:t>
      </w:r>
      <w:proofErr w:type="gramStart"/>
      <w:r>
        <w:t>entitle</w:t>
      </w:r>
      <w:proofErr w:type="gramEnd"/>
      <w:r>
        <w:t xml:space="preserve"> the FMLA leave. </w:t>
      </w:r>
      <w:r>
        <w:rPr>
          <w:bCs/>
        </w:rPr>
        <w:t>“</w:t>
      </w:r>
      <w:r w:rsidRPr="00A670C3">
        <w:rPr>
          <w:bCs/>
        </w:rPr>
        <w:t>In a letter dated October 11, 2017, YAUFR denied Carpenter's FMLA leave request</w:t>
      </w:r>
      <w:r>
        <w:rPr>
          <w:bCs/>
        </w:rPr>
        <w:t>….</w:t>
      </w:r>
      <w:r>
        <w:rPr>
          <w:bCs/>
        </w:rPr>
        <w:tab/>
      </w:r>
      <w:r w:rsidRPr="00A670C3">
        <w:rPr>
          <w:bCs/>
        </w:rPr>
        <w:t xml:space="preserve"> YAUFR explained that, although it was a covered employer under the FMLA, it did not employ the requisite number of people for Carpenter to be considered an </w:t>
      </w:r>
      <w:r>
        <w:rPr>
          <w:bCs/>
        </w:rPr>
        <w:t>‘</w:t>
      </w:r>
      <w:r w:rsidRPr="00A670C3">
        <w:rPr>
          <w:bCs/>
        </w:rPr>
        <w:t>eligible employee</w:t>
      </w:r>
      <w:r>
        <w:rPr>
          <w:bCs/>
        </w:rPr>
        <w:t>’</w:t>
      </w:r>
      <w:r w:rsidRPr="00A670C3">
        <w:rPr>
          <w:bCs/>
        </w:rPr>
        <w:t xml:space="preserve"> under FMLA regulations.</w:t>
      </w:r>
      <w:r>
        <w:rPr>
          <w:bCs/>
        </w:rPr>
        <w:t xml:space="preserve"> *** </w:t>
      </w:r>
      <w:r w:rsidRPr="00063DF6">
        <w:rPr>
          <w:bCs/>
        </w:rPr>
        <w:t xml:space="preserve">To qualify as an </w:t>
      </w:r>
      <w:r>
        <w:rPr>
          <w:bCs/>
        </w:rPr>
        <w:t>‘</w:t>
      </w:r>
      <w:r w:rsidRPr="00063DF6">
        <w:rPr>
          <w:bCs/>
        </w:rPr>
        <w:t>eligible employee,</w:t>
      </w:r>
      <w:r>
        <w:rPr>
          <w:bCs/>
        </w:rPr>
        <w:t>’</w:t>
      </w:r>
      <w:r w:rsidRPr="00063DF6">
        <w:rPr>
          <w:bCs/>
        </w:rPr>
        <w:t xml:space="preserve"> the employee must be </w:t>
      </w:r>
      <w:r>
        <w:rPr>
          <w:bCs/>
        </w:rPr>
        <w:t>‘</w:t>
      </w:r>
      <w:r w:rsidRPr="00063DF6">
        <w:rPr>
          <w:bCs/>
        </w:rPr>
        <w:t>employed at a worksite where 50 or more employees are employed by the employer within 75 miles of that worksite.</w:t>
      </w:r>
      <w:r>
        <w:rPr>
          <w:bCs/>
        </w:rPr>
        <w:t>’</w:t>
      </w:r>
      <w:r w:rsidRPr="00063DF6">
        <w:rPr>
          <w:bCs/>
        </w:rPr>
        <w:t xml:space="preserve"> 29 C.F.R. § 825.110(a)(3); see 29 U.S.C. § 2611(2)(B)(ii). YAUFR avers, and Carpenter concedes, that YAUFR has never employed 50 or more people.</w:t>
      </w:r>
      <w:r>
        <w:rPr>
          <w:bCs/>
        </w:rPr>
        <w:t>”</w:t>
      </w:r>
    </w:p>
    <w:p w14:paraId="42395378" w14:textId="77777777" w:rsidR="00366CDD" w:rsidRDefault="00366CDD" w:rsidP="005C30A4">
      <w:pPr>
        <w:pStyle w:val="NoSpacing"/>
        <w:rPr>
          <w:rFonts w:ascii="Arial Black" w:hAnsi="Arial Black"/>
          <w:b/>
          <w:sz w:val="24"/>
          <w:szCs w:val="24"/>
        </w:rPr>
      </w:pPr>
    </w:p>
    <w:p w14:paraId="0DAB598C" w14:textId="77777777" w:rsidR="00366CDD" w:rsidRDefault="00366CDD" w:rsidP="005C30A4">
      <w:pPr>
        <w:pStyle w:val="NoSpacing"/>
        <w:rPr>
          <w:rFonts w:ascii="Arial Black" w:hAnsi="Arial Black"/>
          <w:b/>
          <w:sz w:val="24"/>
          <w:szCs w:val="24"/>
        </w:rPr>
      </w:pPr>
    </w:p>
    <w:p w14:paraId="058C5E4B" w14:textId="66BA21B0" w:rsidR="0066298F" w:rsidRDefault="0066298F" w:rsidP="005C30A4">
      <w:pPr>
        <w:pStyle w:val="NoSpacing"/>
        <w:rPr>
          <w:rFonts w:ascii="Arial Black" w:hAnsi="Arial Black"/>
          <w:b/>
          <w:sz w:val="24"/>
          <w:szCs w:val="24"/>
        </w:rPr>
      </w:pPr>
      <w:r>
        <w:rPr>
          <w:rFonts w:ascii="Arial Black" w:hAnsi="Arial Black"/>
          <w:b/>
          <w:sz w:val="24"/>
          <w:szCs w:val="24"/>
        </w:rPr>
        <w:t>9-11</w:t>
      </w:r>
    </w:p>
    <w:p w14:paraId="152D5C7A" w14:textId="0841815A" w:rsidR="0066298F" w:rsidRDefault="0066298F" w:rsidP="005C30A4">
      <w:pPr>
        <w:pStyle w:val="NoSpacing"/>
        <w:rPr>
          <w:rFonts w:ascii="Arial Black" w:hAnsi="Arial Black"/>
          <w:b/>
          <w:sz w:val="24"/>
          <w:szCs w:val="24"/>
        </w:rPr>
      </w:pPr>
    </w:p>
    <w:p w14:paraId="6BCFB4C2" w14:textId="77777777" w:rsidR="0066298F" w:rsidRDefault="0066298F" w:rsidP="0066298F">
      <w:pPr>
        <w:pStyle w:val="NoSpacing"/>
        <w:rPr>
          <w:rFonts w:ascii="Arial Black" w:hAnsi="Arial Black"/>
          <w:sz w:val="28"/>
          <w:szCs w:val="28"/>
        </w:rPr>
      </w:pPr>
      <w:bookmarkStart w:id="358" w:name="_Hlk39818972"/>
      <w:bookmarkStart w:id="359" w:name="_Hlk41299331"/>
      <w:r w:rsidRPr="0054472A">
        <w:rPr>
          <w:rFonts w:ascii="Arial Black" w:hAnsi="Arial Black"/>
          <w:sz w:val="28"/>
          <w:szCs w:val="28"/>
        </w:rPr>
        <w:t>EEOC</w:t>
      </w:r>
      <w:r>
        <w:rPr>
          <w:rFonts w:ascii="Arial Black" w:hAnsi="Arial Black"/>
          <w:sz w:val="28"/>
          <w:szCs w:val="28"/>
        </w:rPr>
        <w:t xml:space="preserve">: </w:t>
      </w:r>
      <w:r w:rsidRPr="0054472A">
        <w:rPr>
          <w:rFonts w:ascii="Arial Black" w:hAnsi="Arial Black"/>
          <w:sz w:val="28"/>
          <w:szCs w:val="28"/>
        </w:rPr>
        <w:t xml:space="preserve"> </w:t>
      </w:r>
      <w:r>
        <w:rPr>
          <w:rFonts w:ascii="Arial Black" w:hAnsi="Arial Black"/>
          <w:sz w:val="28"/>
          <w:szCs w:val="28"/>
        </w:rPr>
        <w:t>COVID19 PANDEMIC MEETS THE “DIRECT THREAT” STANDARD - MAY TEST EMPLOYEES – SOME FDs NOW SCREENING EVERY SHIFT</w:t>
      </w:r>
    </w:p>
    <w:p w14:paraId="1A5677BB" w14:textId="77777777" w:rsidR="0066298F" w:rsidRDefault="0066298F" w:rsidP="0066298F">
      <w:pPr>
        <w:pStyle w:val="NoSpacing"/>
        <w:rPr>
          <w:rFonts w:ascii="Arial Black" w:hAnsi="Arial Black"/>
          <w:sz w:val="28"/>
          <w:szCs w:val="28"/>
        </w:rPr>
      </w:pPr>
    </w:p>
    <w:p w14:paraId="023C0127" w14:textId="77777777" w:rsidR="0066298F" w:rsidRPr="00665BD0" w:rsidRDefault="0066298F" w:rsidP="0066298F">
      <w:pPr>
        <w:pStyle w:val="NoSpacing"/>
        <w:rPr>
          <w:rFonts w:ascii="Times New Roman" w:hAnsi="Times New Roman"/>
          <w:b/>
          <w:sz w:val="24"/>
          <w:szCs w:val="24"/>
        </w:rPr>
      </w:pPr>
      <w:r w:rsidRPr="00665BD0">
        <w:rPr>
          <w:rFonts w:ascii="Times New Roman" w:hAnsi="Times New Roman"/>
          <w:sz w:val="24"/>
          <w:szCs w:val="24"/>
        </w:rPr>
        <w:t>On March 21, 2020, the federal Equal Employment Opportunity Commission issued updated guidance:</w:t>
      </w:r>
    </w:p>
    <w:p w14:paraId="5304DBD5" w14:textId="77777777" w:rsidR="0066298F" w:rsidRPr="00665BD0" w:rsidRDefault="0066298F" w:rsidP="0066298F">
      <w:pPr>
        <w:pStyle w:val="NoSpacing"/>
        <w:rPr>
          <w:rFonts w:ascii="Times New Roman" w:hAnsi="Times New Roman"/>
          <w:b/>
          <w:sz w:val="24"/>
          <w:szCs w:val="24"/>
        </w:rPr>
      </w:pPr>
    </w:p>
    <w:p w14:paraId="540C02AE" w14:textId="7C7249BA" w:rsidR="0066298F" w:rsidRDefault="0066298F" w:rsidP="0066298F">
      <w:pPr>
        <w:pStyle w:val="NoSpacing"/>
        <w:ind w:left="720"/>
        <w:rPr>
          <w:rFonts w:ascii="Arial Black" w:hAnsi="Arial Black"/>
          <w:b/>
          <w:sz w:val="24"/>
          <w:szCs w:val="24"/>
        </w:rPr>
      </w:pPr>
      <w:r w:rsidRPr="006A5A83">
        <w:rPr>
          <w:rStyle w:val="Strong"/>
          <w:rFonts w:ascii="Times New Roman" w:hAnsi="Times New Roman"/>
          <w:b w:val="0"/>
          <w:bCs w:val="0"/>
          <w:sz w:val="24"/>
          <w:szCs w:val="24"/>
        </w:rPr>
        <w:t xml:space="preserve">“The EEOC is updating this 2009 publication to address its application to coronavirus disease 2019 (COVID-19).  Employers and employees should follow guidance from the Centers for Disease Control and Prevention (CDC) as well as state/local public health authorities on how best to slow the spread of this disease and protect workers, customers, clients, and the </w:t>
      </w:r>
      <w:proofErr w:type="gramStart"/>
      <w:r w:rsidRPr="006A5A83">
        <w:rPr>
          <w:rStyle w:val="Strong"/>
          <w:rFonts w:ascii="Times New Roman" w:hAnsi="Times New Roman"/>
          <w:b w:val="0"/>
          <w:bCs w:val="0"/>
          <w:sz w:val="24"/>
          <w:szCs w:val="24"/>
        </w:rPr>
        <w:t>general public</w:t>
      </w:r>
      <w:proofErr w:type="gramEnd"/>
      <w:r w:rsidRPr="006A5A83">
        <w:rPr>
          <w:rStyle w:val="Strong"/>
          <w:rFonts w:ascii="Times New Roman" w:hAnsi="Times New Roman"/>
          <w:b w:val="0"/>
          <w:bCs w:val="0"/>
          <w:sz w:val="24"/>
          <w:szCs w:val="24"/>
        </w:rPr>
        <w:t xml:space="preserve">.  The ADA and the Rehabilitation Act do not interfere with employers following advice from </w:t>
      </w:r>
      <w:proofErr w:type="gramStart"/>
      <w:r w:rsidRPr="006A5A83">
        <w:rPr>
          <w:rStyle w:val="Strong"/>
          <w:rFonts w:ascii="Times New Roman" w:hAnsi="Times New Roman"/>
          <w:b w:val="0"/>
          <w:bCs w:val="0"/>
          <w:sz w:val="24"/>
          <w:szCs w:val="24"/>
        </w:rPr>
        <w:t>the CDC</w:t>
      </w:r>
      <w:proofErr w:type="gramEnd"/>
      <w:r w:rsidRPr="006A5A83">
        <w:rPr>
          <w:rStyle w:val="Strong"/>
          <w:rFonts w:ascii="Times New Roman" w:hAnsi="Times New Roman"/>
          <w:b w:val="0"/>
          <w:bCs w:val="0"/>
          <w:sz w:val="24"/>
          <w:szCs w:val="24"/>
        </w:rPr>
        <w:t xml:space="preserve"> and other public health authorities on appropriate steps to take relating to the workplace.  This update retains the principles from the 2009 document but incorporates new information to respond to current employer questions.  For readers’ ease the COVID-19 updates are all in bold.” </w:t>
      </w:r>
      <w:hyperlink r:id="rId1717" w:anchor="q6" w:history="1">
        <w:r w:rsidRPr="006A5A83">
          <w:rPr>
            <w:rStyle w:val="Hyperlink"/>
            <w:rFonts w:ascii="Times New Roman" w:hAnsi="Times New Roman"/>
            <w:b/>
            <w:bCs/>
            <w:sz w:val="24"/>
            <w:szCs w:val="24"/>
          </w:rPr>
          <w:t>https://www.eeoc.gov/facts/pandemic_flu.html?mc_cid=0f5c4e93d9&amp;mc_eid=3f2d24c371#q6</w:t>
        </w:r>
      </w:hyperlink>
    </w:p>
    <w:bookmarkEnd w:id="358"/>
    <w:p w14:paraId="6CC82D23" w14:textId="648C6F7E" w:rsidR="0066298F" w:rsidRDefault="0066298F" w:rsidP="005C30A4">
      <w:pPr>
        <w:pStyle w:val="NoSpacing"/>
        <w:rPr>
          <w:rFonts w:ascii="Arial Black" w:hAnsi="Arial Black"/>
          <w:b/>
          <w:sz w:val="24"/>
          <w:szCs w:val="24"/>
        </w:rPr>
      </w:pPr>
    </w:p>
    <w:p w14:paraId="1F976CB2" w14:textId="77777777" w:rsidR="0066298F" w:rsidRPr="00E0273B" w:rsidRDefault="0066298F" w:rsidP="0066298F">
      <w:pPr>
        <w:pStyle w:val="NoSpacing"/>
        <w:tabs>
          <w:tab w:val="left" w:pos="3070"/>
        </w:tabs>
        <w:rPr>
          <w:rFonts w:ascii="Times New Roman" w:hAnsi="Times New Roman"/>
          <w:sz w:val="24"/>
          <w:szCs w:val="24"/>
        </w:rPr>
      </w:pPr>
      <w:r w:rsidRPr="00665BD0">
        <w:rPr>
          <w:rFonts w:ascii="Times New Roman" w:hAnsi="Times New Roman"/>
          <w:b/>
          <w:sz w:val="24"/>
          <w:szCs w:val="24"/>
        </w:rPr>
        <w:t xml:space="preserve">Legal Lessons Learned: Fire &amp; EMS departments, </w:t>
      </w:r>
      <w:r>
        <w:rPr>
          <w:rFonts w:ascii="Times New Roman" w:hAnsi="Times New Roman"/>
          <w:b/>
          <w:sz w:val="24"/>
          <w:szCs w:val="24"/>
        </w:rPr>
        <w:t xml:space="preserve">with the concurrence of </w:t>
      </w:r>
      <w:r w:rsidRPr="00665BD0">
        <w:rPr>
          <w:rFonts w:ascii="Times New Roman" w:hAnsi="Times New Roman"/>
          <w:b/>
          <w:sz w:val="24"/>
          <w:szCs w:val="24"/>
        </w:rPr>
        <w:t xml:space="preserve">their Medical Director, </w:t>
      </w:r>
      <w:r>
        <w:rPr>
          <w:rFonts w:ascii="Times New Roman" w:hAnsi="Times New Roman"/>
          <w:b/>
          <w:sz w:val="24"/>
          <w:szCs w:val="24"/>
        </w:rPr>
        <w:t xml:space="preserve">should consider </w:t>
      </w:r>
      <w:r w:rsidRPr="00665BD0">
        <w:rPr>
          <w:rFonts w:ascii="Times New Roman" w:hAnsi="Times New Roman"/>
          <w:b/>
          <w:sz w:val="24"/>
          <w:szCs w:val="24"/>
        </w:rPr>
        <w:t>tak</w:t>
      </w:r>
      <w:r>
        <w:rPr>
          <w:rFonts w:ascii="Times New Roman" w:hAnsi="Times New Roman"/>
          <w:b/>
          <w:sz w:val="24"/>
          <w:szCs w:val="24"/>
        </w:rPr>
        <w:t xml:space="preserve">ing </w:t>
      </w:r>
      <w:r w:rsidRPr="00665BD0">
        <w:rPr>
          <w:rFonts w:ascii="Times New Roman" w:hAnsi="Times New Roman"/>
          <w:b/>
          <w:sz w:val="24"/>
          <w:szCs w:val="24"/>
        </w:rPr>
        <w:t>the temperature of crews on each shift.</w:t>
      </w:r>
      <w:r w:rsidRPr="00665BD0">
        <w:rPr>
          <w:rFonts w:ascii="Times New Roman" w:hAnsi="Times New Roman"/>
          <w:bCs/>
          <w:sz w:val="24"/>
          <w:szCs w:val="24"/>
        </w:rPr>
        <w:t xml:space="preserve">   </w:t>
      </w:r>
      <w:r w:rsidRPr="00E0273B">
        <w:rPr>
          <w:rFonts w:ascii="Times New Roman" w:hAnsi="Times New Roman"/>
          <w:bCs/>
          <w:sz w:val="24"/>
          <w:szCs w:val="24"/>
        </w:rPr>
        <w:t>Note: The author of this Newsletter serves on the SW Ohio EMS Protocol Committee; two UC Health physicians on the committee sent out an update on March 27, 2019, including the following:</w:t>
      </w:r>
    </w:p>
    <w:p w14:paraId="0F31B877" w14:textId="77777777" w:rsidR="0066298F" w:rsidRPr="00E0273B" w:rsidRDefault="0066298F" w:rsidP="0066298F">
      <w:pPr>
        <w:ind w:left="720"/>
        <w:rPr>
          <w:rFonts w:ascii="Times New Roman" w:hAnsi="Times New Roman"/>
          <w:sz w:val="24"/>
          <w:szCs w:val="24"/>
        </w:rPr>
      </w:pPr>
      <w:r w:rsidRPr="00E0273B">
        <w:rPr>
          <w:rFonts w:ascii="Times New Roman" w:hAnsi="Times New Roman"/>
          <w:sz w:val="24"/>
          <w:szCs w:val="24"/>
        </w:rPr>
        <w:t>“Symptomatic Prehospital Provider Many Departments have already initiated screening of employees at the start of every shift.  Providers with fever (100.0 or higher) and/or symptoms should not work.  Symptomatic providers are a priority for COVID-19 testing.  The Department’s Employee Health and/or the provider’s PCP should be able to arrange testing.  The UC Health ‘Drive-Through’ testing center may be able to help (open M-F 10-4, must call 41-VIRUS to make appointment).  Test results may take 4-5 days</w:t>
      </w:r>
      <w:bookmarkEnd w:id="359"/>
      <w:r w:rsidRPr="00E0273B">
        <w:rPr>
          <w:rFonts w:ascii="Times New Roman" w:hAnsi="Times New Roman"/>
          <w:sz w:val="24"/>
          <w:szCs w:val="24"/>
        </w:rPr>
        <w:t>.”</w:t>
      </w:r>
    </w:p>
    <w:p w14:paraId="7A9E2251" w14:textId="77777777" w:rsidR="0066298F" w:rsidRDefault="0066298F" w:rsidP="005C30A4">
      <w:pPr>
        <w:pStyle w:val="NoSpacing"/>
        <w:rPr>
          <w:rFonts w:ascii="Arial Black" w:hAnsi="Arial Black"/>
          <w:b/>
          <w:sz w:val="24"/>
          <w:szCs w:val="24"/>
        </w:rPr>
      </w:pPr>
    </w:p>
    <w:p w14:paraId="5D5F0C6E" w14:textId="77777777" w:rsidR="0066298F" w:rsidRDefault="0066298F" w:rsidP="005C30A4">
      <w:pPr>
        <w:pStyle w:val="NoSpacing"/>
        <w:rPr>
          <w:rFonts w:ascii="Arial Black" w:hAnsi="Arial Black"/>
          <w:b/>
          <w:sz w:val="24"/>
          <w:szCs w:val="24"/>
        </w:rPr>
      </w:pPr>
    </w:p>
    <w:p w14:paraId="41047F17" w14:textId="77777777" w:rsidR="0066298F" w:rsidRDefault="0066298F" w:rsidP="005C30A4">
      <w:pPr>
        <w:pStyle w:val="NoSpacing"/>
        <w:rPr>
          <w:rFonts w:ascii="Arial Black" w:hAnsi="Arial Black"/>
          <w:b/>
          <w:sz w:val="24"/>
          <w:szCs w:val="24"/>
        </w:rPr>
      </w:pPr>
    </w:p>
    <w:p w14:paraId="752798EA" w14:textId="226CBFBD" w:rsidR="005C30A4" w:rsidRDefault="005C30A4" w:rsidP="005C30A4">
      <w:pPr>
        <w:pStyle w:val="NoSpacing"/>
        <w:rPr>
          <w:rFonts w:ascii="Arial Black" w:hAnsi="Arial Black"/>
          <w:b/>
          <w:sz w:val="24"/>
          <w:szCs w:val="24"/>
        </w:rPr>
      </w:pPr>
      <w:r>
        <w:rPr>
          <w:rFonts w:ascii="Arial Black" w:hAnsi="Arial Black"/>
          <w:b/>
          <w:sz w:val="24"/>
          <w:szCs w:val="24"/>
        </w:rPr>
        <w:t>9-10</w:t>
      </w:r>
    </w:p>
    <w:p w14:paraId="5F4DD4CB" w14:textId="77777777" w:rsidR="005C30A4" w:rsidRPr="00C14E57" w:rsidRDefault="005C30A4" w:rsidP="005C30A4">
      <w:pPr>
        <w:pStyle w:val="NormalWeb"/>
        <w:rPr>
          <w:rFonts w:ascii="Arial Black" w:hAnsi="Arial Black"/>
          <w:sz w:val="28"/>
          <w:szCs w:val="28"/>
        </w:rPr>
      </w:pPr>
      <w:r>
        <w:rPr>
          <w:rFonts w:ascii="Arial Black" w:hAnsi="Arial Black"/>
          <w:sz w:val="28"/>
          <w:szCs w:val="28"/>
        </w:rPr>
        <w:t xml:space="preserve">LA: DISPATCHER FIRED - POOR WORK PERFORMANCE – CLAIMED ANXIETY – DIDN’T REQUEST ACCOMODATIONS </w:t>
      </w:r>
    </w:p>
    <w:p w14:paraId="47E94D8E" w14:textId="77777777" w:rsidR="005C30A4" w:rsidRPr="00465FB3" w:rsidRDefault="005C30A4" w:rsidP="005C30A4">
      <w:pPr>
        <w:spacing w:before="100" w:beforeAutospacing="1" w:after="100" w:afterAutospacing="1" w:line="240" w:lineRule="auto"/>
        <w:rPr>
          <w:rFonts w:ascii="Times New Roman" w:eastAsia="Times New Roman" w:hAnsi="Times New Roman"/>
          <w:sz w:val="24"/>
          <w:szCs w:val="24"/>
        </w:rPr>
      </w:pPr>
      <w:r w:rsidRPr="00465FB3">
        <w:rPr>
          <w:rFonts w:ascii="Times New Roman" w:hAnsi="Times New Roman"/>
          <w:sz w:val="24"/>
          <w:szCs w:val="24"/>
        </w:rPr>
        <w:t xml:space="preserve">On Feb. 26, 2020, in </w:t>
      </w:r>
      <w:r w:rsidRPr="00465FB3">
        <w:rPr>
          <w:rFonts w:ascii="Times New Roman" w:hAnsi="Times New Roman"/>
          <w:sz w:val="24"/>
          <w:szCs w:val="24"/>
          <w:u w:val="single"/>
        </w:rPr>
        <w:t xml:space="preserve">Denise Watkins v. </w:t>
      </w:r>
      <w:r w:rsidRPr="00465FB3">
        <w:rPr>
          <w:rFonts w:ascii="Times New Roman" w:eastAsia="Times New Roman" w:hAnsi="Times New Roman"/>
          <w:sz w:val="24"/>
          <w:szCs w:val="24"/>
          <w:u w:val="single"/>
        </w:rPr>
        <w:t>Sheriff Michael Tregre</w:t>
      </w:r>
      <w:r w:rsidRPr="00465FB3">
        <w:rPr>
          <w:rFonts w:ascii="Times New Roman" w:eastAsia="Times New Roman" w:hAnsi="Times New Roman"/>
          <w:sz w:val="24"/>
          <w:szCs w:val="24"/>
        </w:rPr>
        <w:t xml:space="preserve">,  U.S. District Court Judge Greg Gerard Guidry, Eastern District of Louisiana, granted the Sheriff’s motion for summary judgment. </w:t>
      </w:r>
    </w:p>
    <w:p w14:paraId="53C247EB" w14:textId="5C512A4F" w:rsidR="005C30A4" w:rsidRDefault="005C30A4" w:rsidP="005C30A4">
      <w:pPr>
        <w:pStyle w:val="NoSpacing"/>
        <w:ind w:left="720"/>
        <w:rPr>
          <w:rFonts w:ascii="Arial Black" w:hAnsi="Arial Black"/>
          <w:b/>
          <w:sz w:val="24"/>
          <w:szCs w:val="24"/>
        </w:rPr>
      </w:pPr>
      <w:r w:rsidRPr="00465FB3">
        <w:rPr>
          <w:rFonts w:ascii="Times New Roman" w:hAnsi="Times New Roman"/>
          <w:bCs/>
          <w:sz w:val="24"/>
          <w:szCs w:val="24"/>
        </w:rPr>
        <w:t xml:space="preserve">“The Court finds Plaintiff has failed to produce competent summary judgment evidence to make out a </w:t>
      </w:r>
      <w:r w:rsidRPr="00465FB3">
        <w:rPr>
          <w:rFonts w:ascii="Times New Roman" w:hAnsi="Times New Roman"/>
          <w:bCs/>
          <w:i/>
          <w:iCs/>
          <w:sz w:val="24"/>
          <w:szCs w:val="24"/>
        </w:rPr>
        <w:t>prima facie</w:t>
      </w:r>
      <w:r w:rsidRPr="00465FB3">
        <w:rPr>
          <w:rFonts w:ascii="Times New Roman" w:hAnsi="Times New Roman"/>
          <w:bCs/>
          <w:sz w:val="24"/>
          <w:szCs w:val="24"/>
        </w:rPr>
        <w:t xml:space="preserve"> failure-to-accommodate claim. Plaintiff has not produced evidence to show that the consequential limitations of Plaintiff's alleged disability were known to Defendant or that Defendant failed to make reasonable </w:t>
      </w:r>
      <w:proofErr w:type="gramStart"/>
      <w:r w:rsidRPr="00465FB3">
        <w:rPr>
          <w:rFonts w:ascii="Times New Roman" w:hAnsi="Times New Roman"/>
          <w:bCs/>
          <w:sz w:val="24"/>
          <w:szCs w:val="24"/>
        </w:rPr>
        <w:t>accommodations</w:t>
      </w:r>
      <w:proofErr w:type="gramEnd"/>
      <w:r w:rsidRPr="00465FB3">
        <w:rPr>
          <w:rFonts w:ascii="Times New Roman" w:hAnsi="Times New Roman"/>
          <w:bCs/>
          <w:sz w:val="24"/>
          <w:szCs w:val="24"/>
        </w:rPr>
        <w:t xml:space="preserve"> for such limitations. Therefore, Defendant is entitled to judgment as a matter of law dismissing Plaintiff's failure-to-accommodate claim.” </w:t>
      </w:r>
      <w:hyperlink r:id="rId1718" w:history="1">
        <w:r w:rsidRPr="00465FB3">
          <w:rPr>
            <w:rStyle w:val="Hyperlink"/>
            <w:rFonts w:ascii="Times New Roman" w:hAnsi="Times New Roman"/>
            <w:bCs/>
            <w:sz w:val="24"/>
            <w:szCs w:val="24"/>
          </w:rPr>
          <w:t>https://public.fastcase.com/Wl%2B2t%2BeVuI35%2FN70vAMFZhmmbLojT%2FvpqyhULz0IXhVnEOLZ3Ga%2BMf6ctA4VMmca</w:t>
        </w:r>
      </w:hyperlink>
    </w:p>
    <w:p w14:paraId="1F7152B8" w14:textId="77777777" w:rsidR="005C30A4" w:rsidRPr="00465FB3" w:rsidRDefault="005C30A4" w:rsidP="005C30A4">
      <w:pPr>
        <w:pStyle w:val="NormalWeb"/>
        <w:rPr>
          <w:b/>
          <w:bCs/>
        </w:rPr>
      </w:pPr>
      <w:r w:rsidRPr="00465FB3">
        <w:rPr>
          <w:b/>
          <w:bCs/>
        </w:rPr>
        <w:lastRenderedPageBreak/>
        <w:t xml:space="preserve">Legal Lessons Learned:  As explained by the Court, “Under the ADA, an employer is only required to ‘accommodate the known limitations of an employee's disability."  A </w:t>
      </w:r>
      <w:r w:rsidRPr="00465FB3">
        <w:rPr>
          <w:b/>
          <w:bCs/>
          <w:i/>
          <w:iCs/>
        </w:rPr>
        <w:t>prima facie</w:t>
      </w:r>
      <w:r w:rsidRPr="00465FB3">
        <w:rPr>
          <w:b/>
          <w:bCs/>
        </w:rPr>
        <w:t xml:space="preserve"> case of failure-to-accommodate requires that: ‘(1) the plaintiff is a 'qualified individual with a disability;' (2) the disability and its consequential limitations were 'known' by the covered employer; and (3) the employer failed to make 'reasonable accommodations' for such known limitations.’”</w:t>
      </w:r>
    </w:p>
    <w:p w14:paraId="2B5B4844" w14:textId="67397E8A" w:rsidR="005C30A4" w:rsidRDefault="005C30A4" w:rsidP="005C30A4">
      <w:pPr>
        <w:pStyle w:val="NoSpacing"/>
        <w:rPr>
          <w:sz w:val="24"/>
          <w:szCs w:val="24"/>
        </w:rPr>
      </w:pPr>
    </w:p>
    <w:p w14:paraId="02F86562" w14:textId="77777777" w:rsidR="005C30A4" w:rsidRDefault="005C30A4" w:rsidP="005C30A4">
      <w:pPr>
        <w:pStyle w:val="NoSpacing"/>
        <w:rPr>
          <w:sz w:val="24"/>
          <w:szCs w:val="24"/>
        </w:rPr>
      </w:pPr>
    </w:p>
    <w:p w14:paraId="15086F11" w14:textId="2AB14CC9" w:rsidR="005C30A4" w:rsidRDefault="005C30A4" w:rsidP="005C30A4">
      <w:pPr>
        <w:pStyle w:val="NoSpacing"/>
        <w:rPr>
          <w:sz w:val="24"/>
          <w:szCs w:val="24"/>
        </w:rPr>
      </w:pPr>
    </w:p>
    <w:p w14:paraId="4164EED7" w14:textId="0E5604F2" w:rsidR="00997329" w:rsidRDefault="00997329" w:rsidP="005C30A4">
      <w:pPr>
        <w:pStyle w:val="NoSpacing"/>
        <w:rPr>
          <w:rFonts w:ascii="Arial Black" w:hAnsi="Arial Black"/>
          <w:b/>
          <w:sz w:val="24"/>
          <w:szCs w:val="24"/>
        </w:rPr>
      </w:pPr>
      <w:r>
        <w:rPr>
          <w:rFonts w:ascii="Arial Black" w:hAnsi="Arial Black"/>
          <w:b/>
          <w:sz w:val="24"/>
          <w:szCs w:val="24"/>
        </w:rPr>
        <w:t>9-9</w:t>
      </w:r>
    </w:p>
    <w:p w14:paraId="48F62CC5" w14:textId="77777777" w:rsidR="00997329" w:rsidRPr="00DB5BDD" w:rsidRDefault="00997329" w:rsidP="00997329">
      <w:pPr>
        <w:spacing w:before="100" w:beforeAutospacing="1" w:after="100" w:afterAutospacing="1" w:line="240" w:lineRule="auto"/>
        <w:rPr>
          <w:rFonts w:ascii="Arial Black" w:eastAsia="Times New Roman" w:hAnsi="Arial Black"/>
          <w:sz w:val="28"/>
          <w:szCs w:val="28"/>
        </w:rPr>
      </w:pPr>
      <w:r w:rsidRPr="00DB5BDD">
        <w:rPr>
          <w:rFonts w:ascii="Arial Black" w:eastAsia="Times New Roman" w:hAnsi="Arial Black"/>
          <w:sz w:val="28"/>
          <w:szCs w:val="28"/>
        </w:rPr>
        <w:t>NY:</w:t>
      </w:r>
      <w:r>
        <w:rPr>
          <w:rFonts w:ascii="Arial Black" w:eastAsia="Times New Roman" w:hAnsi="Arial Black"/>
          <w:sz w:val="28"/>
          <w:szCs w:val="28"/>
        </w:rPr>
        <w:t xml:space="preserve"> AFRICAN AMERICAN FFs WITH PFB – FDNY NEW POLICY REQUIRED FF TO SHAVE CHIN HAIR - VIOLATES ADA  </w:t>
      </w:r>
    </w:p>
    <w:p w14:paraId="27205C62" w14:textId="77777777" w:rsidR="00997329" w:rsidRPr="00465FB3" w:rsidRDefault="00997329" w:rsidP="00997329">
      <w:pPr>
        <w:tabs>
          <w:tab w:val="left" w:pos="6200"/>
        </w:tabs>
        <w:spacing w:before="100" w:beforeAutospacing="1" w:after="100" w:afterAutospacing="1" w:line="240" w:lineRule="auto"/>
        <w:rPr>
          <w:rFonts w:ascii="Times New Roman" w:eastAsia="Times New Roman" w:hAnsi="Times New Roman"/>
          <w:sz w:val="24"/>
          <w:szCs w:val="24"/>
        </w:rPr>
      </w:pPr>
      <w:r w:rsidRPr="00465FB3">
        <w:rPr>
          <w:rFonts w:ascii="Times New Roman" w:eastAsia="Times New Roman" w:hAnsi="Times New Roman"/>
          <w:sz w:val="24"/>
          <w:szCs w:val="24"/>
        </w:rPr>
        <w:t xml:space="preserve">On </w:t>
      </w:r>
      <w:bookmarkStart w:id="360" w:name="_Hlk39838735"/>
      <w:r w:rsidRPr="00465FB3">
        <w:rPr>
          <w:rFonts w:ascii="Times New Roman" w:eastAsia="Times New Roman" w:hAnsi="Times New Roman"/>
          <w:sz w:val="24"/>
          <w:szCs w:val="24"/>
        </w:rPr>
        <w:t xml:space="preserve">Jan. 29, 2020, in </w:t>
      </w:r>
      <w:r w:rsidRPr="00465FB3">
        <w:rPr>
          <w:rFonts w:ascii="Times New Roman" w:eastAsia="Times New Roman" w:hAnsi="Times New Roman"/>
          <w:sz w:val="24"/>
          <w:szCs w:val="24"/>
          <w:u w:val="single"/>
        </w:rPr>
        <w:t>Salif Bey, et al. v. City of New York</w:t>
      </w:r>
      <w:r w:rsidRPr="00465FB3">
        <w:rPr>
          <w:rFonts w:ascii="Times New Roman" w:eastAsia="Times New Roman" w:hAnsi="Times New Roman"/>
          <w:sz w:val="24"/>
          <w:szCs w:val="24"/>
        </w:rPr>
        <w:t xml:space="preserve">, </w:t>
      </w:r>
      <w:bookmarkEnd w:id="360"/>
      <w:r w:rsidRPr="00465FB3">
        <w:rPr>
          <w:rFonts w:ascii="Times New Roman" w:eastAsia="Times New Roman" w:hAnsi="Times New Roman"/>
          <w:sz w:val="24"/>
          <w:szCs w:val="24"/>
        </w:rPr>
        <w:t xml:space="preserve">Senior U.S. District Court Judge Jack B. Weinstein, Eastern District of New York, granted summary judgment to four FF who brought the lawsuit.   From Aug. 2015 until Dec. 2017, FDNY allowed 16 FF with </w:t>
      </w:r>
      <w:proofErr w:type="gramStart"/>
      <w:r w:rsidRPr="00465FB3">
        <w:rPr>
          <w:rFonts w:ascii="Times New Roman" w:eastAsia="Times New Roman" w:hAnsi="Times New Roman"/>
          <w:sz w:val="24"/>
          <w:szCs w:val="24"/>
        </w:rPr>
        <w:t>PFB to have</w:t>
      </w:r>
      <w:proofErr w:type="gramEnd"/>
      <w:r w:rsidRPr="00465FB3">
        <w:rPr>
          <w:rFonts w:ascii="Times New Roman" w:eastAsia="Times New Roman" w:hAnsi="Times New Roman"/>
          <w:sz w:val="24"/>
          <w:szCs w:val="24"/>
        </w:rPr>
        <w:t xml:space="preserve"> hair on their chin so long as they passed fit </w:t>
      </w:r>
      <w:proofErr w:type="gramStart"/>
      <w:r w:rsidRPr="00465FB3">
        <w:rPr>
          <w:rFonts w:ascii="Times New Roman" w:eastAsia="Times New Roman" w:hAnsi="Times New Roman"/>
          <w:sz w:val="24"/>
          <w:szCs w:val="24"/>
        </w:rPr>
        <w:t>test, but</w:t>
      </w:r>
      <w:proofErr w:type="gramEnd"/>
      <w:r w:rsidRPr="00465FB3">
        <w:rPr>
          <w:rFonts w:ascii="Times New Roman" w:eastAsia="Times New Roman" w:hAnsi="Times New Roman"/>
          <w:sz w:val="24"/>
          <w:szCs w:val="24"/>
        </w:rPr>
        <w:t xml:space="preserve"> changed the policy in 2018 to more strictly comply with OSHA requirements.  Judge, however, cited OSHA interpretation letter: </w:t>
      </w:r>
      <w:r w:rsidRPr="00465FB3">
        <w:rPr>
          <w:rFonts w:ascii="Times New Roman" w:eastAsia="Times New Roman" w:hAnsi="Times New Roman"/>
          <w:i/>
          <w:iCs/>
          <w:sz w:val="24"/>
          <w:szCs w:val="24"/>
        </w:rPr>
        <w:t xml:space="preserve">Facial hair is allowed </w:t>
      </w:r>
      <w:proofErr w:type="gramStart"/>
      <w:r w:rsidRPr="00465FB3">
        <w:rPr>
          <w:rFonts w:ascii="Times New Roman" w:eastAsia="Times New Roman" w:hAnsi="Times New Roman"/>
          <w:i/>
          <w:iCs/>
          <w:sz w:val="24"/>
          <w:szCs w:val="24"/>
        </w:rPr>
        <w:t>as long as</w:t>
      </w:r>
      <w:proofErr w:type="gramEnd"/>
      <w:r w:rsidRPr="00465FB3">
        <w:rPr>
          <w:rFonts w:ascii="Times New Roman" w:eastAsia="Times New Roman" w:hAnsi="Times New Roman"/>
          <w:i/>
          <w:iCs/>
          <w:sz w:val="24"/>
          <w:szCs w:val="24"/>
        </w:rPr>
        <w:t xml:space="preserve"> it does not protrude under the respirator seal, or extend far enough to interfere with the device's valve function.</w:t>
      </w:r>
    </w:p>
    <w:p w14:paraId="1F84D4C6" w14:textId="77777777" w:rsidR="00997329" w:rsidRPr="00465FB3" w:rsidRDefault="00997329" w:rsidP="00997329">
      <w:pPr>
        <w:spacing w:before="100" w:beforeAutospacing="1" w:after="100" w:afterAutospacing="1" w:line="240" w:lineRule="auto"/>
        <w:ind w:left="720"/>
        <w:rPr>
          <w:rFonts w:ascii="Times New Roman" w:eastAsia="Times New Roman" w:hAnsi="Times New Roman"/>
          <w:sz w:val="24"/>
          <w:szCs w:val="24"/>
        </w:rPr>
      </w:pPr>
      <w:r w:rsidRPr="00465FB3">
        <w:rPr>
          <w:rFonts w:ascii="Times New Roman" w:eastAsia="Times New Roman" w:hAnsi="Times New Roman"/>
          <w:sz w:val="24"/>
          <w:szCs w:val="24"/>
        </w:rPr>
        <w:t xml:space="preserve"> “Salik Bey (‘Bey’), Clyde Phillips (‘Phillips’), Steven Seymour (‘Seymour’) and Terrel Joseph (‘Joseph’) (collectively, ‘Plaintiffs’) are African American men who were employed as firefighters by the Fire Department of the City of New York (‘FDNY’ or ‘Department’) when the relevant events began. Amended </w:t>
      </w:r>
      <w:proofErr w:type="gramStart"/>
      <w:r w:rsidRPr="00465FB3">
        <w:rPr>
          <w:rFonts w:ascii="Times New Roman" w:eastAsia="Times New Roman" w:hAnsi="Times New Roman"/>
          <w:sz w:val="24"/>
          <w:szCs w:val="24"/>
        </w:rPr>
        <w:t>Complaint (‘</w:t>
      </w:r>
      <w:proofErr w:type="gramEnd"/>
      <w:r w:rsidRPr="00465FB3">
        <w:rPr>
          <w:rFonts w:ascii="Times New Roman" w:eastAsia="Times New Roman" w:hAnsi="Times New Roman"/>
          <w:sz w:val="24"/>
          <w:szCs w:val="24"/>
        </w:rPr>
        <w:t xml:space="preserve">Am. </w:t>
      </w:r>
      <w:proofErr w:type="spellStart"/>
      <w:r w:rsidRPr="00465FB3">
        <w:rPr>
          <w:rFonts w:ascii="Times New Roman" w:eastAsia="Times New Roman" w:hAnsi="Times New Roman"/>
          <w:sz w:val="24"/>
          <w:szCs w:val="24"/>
        </w:rPr>
        <w:t>Compl</w:t>
      </w:r>
      <w:proofErr w:type="spellEnd"/>
      <w:r w:rsidRPr="00465FB3">
        <w:rPr>
          <w:rFonts w:ascii="Times New Roman" w:eastAsia="Times New Roman" w:hAnsi="Times New Roman"/>
          <w:sz w:val="24"/>
          <w:szCs w:val="24"/>
        </w:rPr>
        <w:t xml:space="preserve">.’) ¶ 9, ECF No. 19. They suffer from Pseudofolliculitis Barbae ("PFB")—a physiological condition that causes disfigurement of the skin in the hair-bearing areas of the chin, cheek, and neck. </w:t>
      </w:r>
      <w:r w:rsidRPr="00465FB3">
        <w:rPr>
          <w:rFonts w:ascii="Times New Roman" w:eastAsia="Times New Roman" w:hAnsi="Times New Roman"/>
          <w:i/>
          <w:iCs/>
          <w:sz w:val="24"/>
          <w:szCs w:val="24"/>
        </w:rPr>
        <w:t>Id.</w:t>
      </w:r>
      <w:r w:rsidRPr="00465FB3">
        <w:rPr>
          <w:rFonts w:ascii="Times New Roman" w:eastAsia="Times New Roman" w:hAnsi="Times New Roman"/>
          <w:sz w:val="24"/>
          <w:szCs w:val="24"/>
        </w:rPr>
        <w:t xml:space="preserve"> at ¶¶ 22-23. *** By a letter dated May 9, 2016, OSHA interpreted the relevant RPS provision as clearing the way for Plaintiffs to maintain facial hair that does not protrude under the respirator seal:</w:t>
      </w:r>
    </w:p>
    <w:p w14:paraId="2C0EA5AA" w14:textId="0F525A13" w:rsidR="00997329" w:rsidRDefault="00997329" w:rsidP="00997329">
      <w:pPr>
        <w:ind w:left="720"/>
        <w:rPr>
          <w:rStyle w:val="Hyperlink"/>
          <w:rFonts w:ascii="Times New Roman" w:eastAsia="Times New Roman" w:hAnsi="Times New Roman"/>
          <w:sz w:val="24"/>
          <w:szCs w:val="24"/>
        </w:rPr>
      </w:pPr>
      <w:r w:rsidRPr="00465FB3">
        <w:rPr>
          <w:rFonts w:ascii="Times New Roman" w:eastAsia="Times New Roman" w:hAnsi="Times New Roman"/>
          <w:sz w:val="24"/>
          <w:szCs w:val="24"/>
        </w:rPr>
        <w:t>The Respiratory Protection standard, paragraph 29 CFR 1910.134(g)(1)(</w:t>
      </w:r>
      <w:proofErr w:type="spellStart"/>
      <w:r w:rsidRPr="00465FB3">
        <w:rPr>
          <w:rFonts w:ascii="Times New Roman" w:eastAsia="Times New Roman" w:hAnsi="Times New Roman"/>
          <w:sz w:val="24"/>
          <w:szCs w:val="24"/>
        </w:rPr>
        <w:t>i</w:t>
      </w:r>
      <w:proofErr w:type="spellEnd"/>
      <w:r w:rsidRPr="00465FB3">
        <w:rPr>
          <w:rFonts w:ascii="Times New Roman" w:eastAsia="Times New Roman" w:hAnsi="Times New Roman"/>
          <w:sz w:val="24"/>
          <w:szCs w:val="24"/>
        </w:rPr>
        <w:t xml:space="preserve">)(A), states that respirators shall not be worn when facial hair comes between the sealing surface of the facepiece and the face or that interferes with valve function. </w:t>
      </w:r>
      <w:r w:rsidRPr="00465FB3">
        <w:rPr>
          <w:rFonts w:ascii="Times New Roman" w:eastAsia="Times New Roman" w:hAnsi="Times New Roman"/>
          <w:i/>
          <w:iCs/>
          <w:sz w:val="24"/>
          <w:szCs w:val="24"/>
        </w:rPr>
        <w:t xml:space="preserve">Facial hair is allowed </w:t>
      </w:r>
      <w:proofErr w:type="gramStart"/>
      <w:r w:rsidRPr="00465FB3">
        <w:rPr>
          <w:rFonts w:ascii="Times New Roman" w:eastAsia="Times New Roman" w:hAnsi="Times New Roman"/>
          <w:i/>
          <w:iCs/>
          <w:sz w:val="24"/>
          <w:szCs w:val="24"/>
        </w:rPr>
        <w:t>as long as</w:t>
      </w:r>
      <w:proofErr w:type="gramEnd"/>
      <w:r w:rsidRPr="00465FB3">
        <w:rPr>
          <w:rFonts w:ascii="Times New Roman" w:eastAsia="Times New Roman" w:hAnsi="Times New Roman"/>
          <w:i/>
          <w:iCs/>
          <w:sz w:val="24"/>
          <w:szCs w:val="24"/>
        </w:rPr>
        <w:t xml:space="preserve"> it does not protrude under the respirator </w:t>
      </w:r>
      <w:proofErr w:type="gramStart"/>
      <w:r w:rsidRPr="00465FB3">
        <w:rPr>
          <w:rFonts w:ascii="Times New Roman" w:eastAsia="Times New Roman" w:hAnsi="Times New Roman"/>
          <w:i/>
          <w:iCs/>
          <w:sz w:val="24"/>
          <w:szCs w:val="24"/>
        </w:rPr>
        <w:t>seal, or</w:t>
      </w:r>
      <w:proofErr w:type="gramEnd"/>
      <w:r w:rsidRPr="00465FB3">
        <w:rPr>
          <w:rFonts w:ascii="Times New Roman" w:eastAsia="Times New Roman" w:hAnsi="Times New Roman"/>
          <w:i/>
          <w:iCs/>
          <w:sz w:val="24"/>
          <w:szCs w:val="24"/>
        </w:rPr>
        <w:t xml:space="preserve"> extend far enough to interfere with the device's valve function.</w:t>
      </w:r>
      <w:r w:rsidRPr="00465FB3">
        <w:rPr>
          <w:rFonts w:ascii="Times New Roman" w:eastAsia="Times New Roman" w:hAnsi="Times New Roman"/>
          <w:sz w:val="24"/>
          <w:szCs w:val="24"/>
        </w:rPr>
        <w:t xml:space="preserve"> Short mustaches, sideburns, and small goatees that are neatly trimmed so that no hair compromises the seal of the respirator usually do not present a hazard, and, therefore, do not violate paragraph 1910.134(g)(1)(</w:t>
      </w:r>
      <w:proofErr w:type="spellStart"/>
      <w:r w:rsidRPr="00465FB3">
        <w:rPr>
          <w:rFonts w:ascii="Times New Roman" w:eastAsia="Times New Roman" w:hAnsi="Times New Roman"/>
          <w:sz w:val="24"/>
          <w:szCs w:val="24"/>
        </w:rPr>
        <w:t>i</w:t>
      </w:r>
      <w:proofErr w:type="spellEnd"/>
      <w:r w:rsidRPr="00465FB3">
        <w:rPr>
          <w:rFonts w:ascii="Times New Roman" w:eastAsia="Times New Roman" w:hAnsi="Times New Roman"/>
          <w:sz w:val="24"/>
          <w:szCs w:val="24"/>
        </w:rPr>
        <w:t xml:space="preserve">). May 9, </w:t>
      </w:r>
      <w:proofErr w:type="gramStart"/>
      <w:r w:rsidRPr="00465FB3">
        <w:rPr>
          <w:rFonts w:ascii="Times New Roman" w:eastAsia="Times New Roman" w:hAnsi="Times New Roman"/>
          <w:sz w:val="24"/>
          <w:szCs w:val="24"/>
        </w:rPr>
        <w:t>2016</w:t>
      </w:r>
      <w:proofErr w:type="gramEnd"/>
      <w:r w:rsidRPr="00465FB3">
        <w:rPr>
          <w:rFonts w:ascii="Times New Roman" w:eastAsia="Times New Roman" w:hAnsi="Times New Roman"/>
          <w:sz w:val="24"/>
          <w:szCs w:val="24"/>
        </w:rPr>
        <w:t xml:space="preserve"> OSHA Interpretative Letter at 2, ECF No. 48-15 (emphasis added). *** On the theory and facts of the ‘failure to accommodate’ and disability discrimination claims under the Americans with Disabilities Act (‘ADA’), Plaintiffs are entitled to summary judgment against Defendants and to reinstatement of the accommodation previously in effect.”  </w:t>
      </w:r>
      <w:bookmarkStart w:id="361" w:name="_Hlk39838756"/>
      <w:r w:rsidR="00DC51D4">
        <w:fldChar w:fldCharType="begin"/>
      </w:r>
      <w:r w:rsidR="00DC51D4">
        <w:instrText xml:space="preserve"> HYPERLINK "https://scholar.google.com/scholar_case?case=10499866017529575475&amp;q=+Bey+v.+City+of+New+York&amp;hl=en&amp;as_sdt=6,36&amp;as_ylo=2020" </w:instrText>
      </w:r>
      <w:r w:rsidR="00DC51D4">
        <w:fldChar w:fldCharType="separate"/>
      </w:r>
      <w:r w:rsidRPr="00465FB3">
        <w:rPr>
          <w:rStyle w:val="Hyperlink"/>
          <w:rFonts w:ascii="Times New Roman" w:eastAsia="Times New Roman" w:hAnsi="Times New Roman"/>
          <w:sz w:val="24"/>
          <w:szCs w:val="24"/>
        </w:rPr>
        <w:t>https://scholar.google.com/scholar_case?case=10499866017529575475&amp;q=+Bey+v.+City+of+New+York&amp;hl=en&amp;as_sdt=6,36&amp;as_ylo=2020</w:t>
      </w:r>
      <w:r w:rsidR="00DC51D4">
        <w:rPr>
          <w:rStyle w:val="Hyperlink"/>
          <w:rFonts w:ascii="Times New Roman" w:eastAsia="Times New Roman" w:hAnsi="Times New Roman"/>
          <w:sz w:val="24"/>
          <w:szCs w:val="24"/>
        </w:rPr>
        <w:fldChar w:fldCharType="end"/>
      </w:r>
    </w:p>
    <w:bookmarkEnd w:id="361"/>
    <w:p w14:paraId="37988CF0" w14:textId="77777777" w:rsidR="00997329" w:rsidRPr="00465FB3" w:rsidRDefault="00997329" w:rsidP="00997329">
      <w:pPr>
        <w:spacing w:before="100" w:beforeAutospacing="1" w:after="100" w:afterAutospacing="1" w:line="240" w:lineRule="auto"/>
        <w:rPr>
          <w:rFonts w:ascii="Times New Roman" w:eastAsia="Times New Roman" w:hAnsi="Times New Roman"/>
          <w:b/>
          <w:bCs/>
          <w:sz w:val="24"/>
          <w:szCs w:val="24"/>
        </w:rPr>
      </w:pPr>
      <w:r w:rsidRPr="00465FB3">
        <w:rPr>
          <w:rFonts w:ascii="Times New Roman" w:eastAsia="Times New Roman" w:hAnsi="Times New Roman"/>
          <w:b/>
          <w:bCs/>
          <w:sz w:val="24"/>
          <w:szCs w:val="24"/>
        </w:rPr>
        <w:t xml:space="preserve">Legal Lessons Learned:  The OSHA interpretation letter, not requiring complete shaved face, was very important in this ADA litigation.   </w:t>
      </w:r>
    </w:p>
    <w:p w14:paraId="65563768" w14:textId="77777777" w:rsidR="00997329" w:rsidRDefault="00997329" w:rsidP="00997329">
      <w:pPr>
        <w:ind w:left="720"/>
        <w:rPr>
          <w:rFonts w:ascii="Arial Black" w:hAnsi="Arial Black"/>
          <w:b/>
          <w:sz w:val="24"/>
          <w:szCs w:val="24"/>
        </w:rPr>
      </w:pPr>
    </w:p>
    <w:p w14:paraId="173C5569" w14:textId="77777777" w:rsidR="00997329" w:rsidRDefault="00997329" w:rsidP="002B1283">
      <w:pPr>
        <w:rPr>
          <w:rFonts w:ascii="Arial Black" w:hAnsi="Arial Black"/>
          <w:b/>
          <w:sz w:val="24"/>
          <w:szCs w:val="24"/>
        </w:rPr>
      </w:pPr>
    </w:p>
    <w:p w14:paraId="538F52C2" w14:textId="582B7BE1" w:rsidR="00A52325" w:rsidRDefault="00177094" w:rsidP="002B1283">
      <w:pPr>
        <w:rPr>
          <w:rFonts w:ascii="Arial Black" w:hAnsi="Arial Black"/>
          <w:b/>
          <w:sz w:val="24"/>
          <w:szCs w:val="24"/>
        </w:rPr>
      </w:pPr>
      <w:r>
        <w:rPr>
          <w:rFonts w:ascii="Arial Black" w:hAnsi="Arial Black"/>
          <w:b/>
          <w:sz w:val="24"/>
          <w:szCs w:val="24"/>
        </w:rPr>
        <w:t>9-8</w:t>
      </w:r>
    </w:p>
    <w:p w14:paraId="4EEEDE16" w14:textId="77777777" w:rsidR="00177094" w:rsidRDefault="00177094" w:rsidP="00177094">
      <w:pPr>
        <w:pStyle w:val="NoSpacing"/>
        <w:rPr>
          <w:rFonts w:ascii="Arial Black" w:hAnsi="Arial Black"/>
          <w:b/>
          <w:bCs/>
          <w:sz w:val="28"/>
          <w:szCs w:val="28"/>
        </w:rPr>
      </w:pPr>
      <w:r>
        <w:rPr>
          <w:rFonts w:ascii="Arial Black" w:hAnsi="Arial Black"/>
          <w:bCs/>
          <w:sz w:val="28"/>
          <w:szCs w:val="28"/>
        </w:rPr>
        <w:t>GA: PARAMEDIC WITH MS – TEACHER / LAB ASSIS. – 3 DAYS SICK, COLLEGE REMOVED FULL SEMESTER – DOJ SETTLEMENT / BOJ BLOG</w:t>
      </w:r>
    </w:p>
    <w:p w14:paraId="490092D0" w14:textId="77777777" w:rsidR="00177094" w:rsidRPr="004236BE" w:rsidRDefault="00177094" w:rsidP="00177094">
      <w:pPr>
        <w:rPr>
          <w:rFonts w:ascii="Times New Roman" w:hAnsi="Times New Roman"/>
          <w:b/>
          <w:bCs/>
          <w:sz w:val="24"/>
          <w:szCs w:val="24"/>
        </w:rPr>
      </w:pPr>
      <w:r w:rsidRPr="00177094">
        <w:rPr>
          <w:rFonts w:ascii="Times New Roman" w:hAnsi="Times New Roman"/>
          <w:bCs/>
          <w:sz w:val="24"/>
          <w:szCs w:val="24"/>
        </w:rPr>
        <w:t>Ja</w:t>
      </w:r>
      <w:r w:rsidRPr="004236BE">
        <w:rPr>
          <w:rFonts w:ascii="Times New Roman" w:hAnsi="Times New Roman"/>
          <w:bCs/>
          <w:sz w:val="24"/>
          <w:szCs w:val="24"/>
        </w:rPr>
        <w:t xml:space="preserve">n. 27, 2020:  </w:t>
      </w:r>
      <w:proofErr w:type="spellStart"/>
      <w:r w:rsidRPr="004236BE">
        <w:rPr>
          <w:rFonts w:ascii="Times New Roman" w:hAnsi="Times New Roman"/>
          <w:bCs/>
          <w:sz w:val="24"/>
          <w:szCs w:val="24"/>
        </w:rPr>
        <w:t>DoJ</w:t>
      </w:r>
      <w:proofErr w:type="spellEnd"/>
      <w:r w:rsidRPr="004236BE">
        <w:rPr>
          <w:rFonts w:ascii="Times New Roman" w:hAnsi="Times New Roman"/>
          <w:bCs/>
          <w:sz w:val="24"/>
          <w:szCs w:val="24"/>
        </w:rPr>
        <w:t xml:space="preserve"> BLOG about settlement, about the Nov. 7, </w:t>
      </w:r>
      <w:proofErr w:type="gramStart"/>
      <w:r w:rsidRPr="004236BE">
        <w:rPr>
          <w:rFonts w:ascii="Times New Roman" w:hAnsi="Times New Roman"/>
          <w:bCs/>
          <w:sz w:val="24"/>
          <w:szCs w:val="24"/>
        </w:rPr>
        <w:t>2019</w:t>
      </w:r>
      <w:proofErr w:type="gramEnd"/>
      <w:r w:rsidRPr="004236BE">
        <w:rPr>
          <w:rFonts w:ascii="Times New Roman" w:hAnsi="Times New Roman"/>
          <w:bCs/>
          <w:sz w:val="24"/>
          <w:szCs w:val="24"/>
        </w:rPr>
        <w:t xml:space="preserve"> settlement:</w:t>
      </w:r>
      <w:r w:rsidRPr="004236BE">
        <w:rPr>
          <w:rFonts w:ascii="Times New Roman" w:hAnsi="Times New Roman"/>
          <w:bCs/>
          <w:sz w:val="24"/>
          <w:szCs w:val="24"/>
          <w:u w:val="single"/>
        </w:rPr>
        <w:t xml:space="preserve"> United States v. Lanier Technical College</w:t>
      </w:r>
      <w:r w:rsidRPr="004236BE">
        <w:rPr>
          <w:rFonts w:ascii="Times New Roman" w:hAnsi="Times New Roman"/>
          <w:bCs/>
          <w:sz w:val="24"/>
          <w:szCs w:val="24"/>
        </w:rPr>
        <w:t xml:space="preserve">: U.S. District Court, Northern District of Georgia (Atlanta).  </w:t>
      </w:r>
    </w:p>
    <w:p w14:paraId="360D0B5B" w14:textId="77777777" w:rsidR="00177094" w:rsidRPr="004236BE" w:rsidRDefault="00177094" w:rsidP="00177094">
      <w:pPr>
        <w:pStyle w:val="NoSpacing"/>
        <w:ind w:left="720"/>
        <w:rPr>
          <w:rFonts w:ascii="Times New Roman" w:hAnsi="Times New Roman"/>
          <w:b/>
          <w:bCs/>
          <w:sz w:val="24"/>
          <w:szCs w:val="24"/>
        </w:rPr>
      </w:pPr>
      <w:r w:rsidRPr="004236BE">
        <w:rPr>
          <w:rFonts w:ascii="Times New Roman" w:hAnsi="Times New Roman"/>
          <w:bCs/>
          <w:sz w:val="24"/>
          <w:szCs w:val="24"/>
        </w:rPr>
        <w:t xml:space="preserve">“From 2009-2012, in addition to working as a full-time paramedic, Ms. Queen worked evening shifts as a part-time EMT lab assistant at Lanier Technical College, a unit of the Technical College System of Georgia. She loved teaching and hoped to someday become a full-time instructor. One former colleague described Ms. Queen as a ‘superstar’ lab assistant whom ‘students loved.’ But after Ms. Queen took three days of sick leave due to her MS, the college removed her from the teaching schedule for an entire school semester, thus reducing her hours and pay to zero. As alleged by the Justice Department in a complaint filed in federal district court in November 2019, the college’s actions effectively terminated Ms. Queen’s employment </w:t>
      </w:r>
      <w:proofErr w:type="gramStart"/>
      <w:r w:rsidRPr="004236BE">
        <w:rPr>
          <w:rFonts w:ascii="Times New Roman" w:hAnsi="Times New Roman"/>
          <w:bCs/>
          <w:sz w:val="24"/>
          <w:szCs w:val="24"/>
        </w:rPr>
        <w:t>on the basis of</w:t>
      </w:r>
      <w:proofErr w:type="gramEnd"/>
      <w:r w:rsidRPr="004236BE">
        <w:rPr>
          <w:rFonts w:ascii="Times New Roman" w:hAnsi="Times New Roman"/>
          <w:bCs/>
          <w:sz w:val="24"/>
          <w:szCs w:val="24"/>
        </w:rPr>
        <w:t xml:space="preserve"> her disability, in violation of Title I of the ADA.” </w:t>
      </w:r>
    </w:p>
    <w:p w14:paraId="2D797B13" w14:textId="77777777" w:rsidR="00177094" w:rsidRPr="004236BE" w:rsidRDefault="00177094" w:rsidP="00177094">
      <w:pPr>
        <w:pStyle w:val="NoSpacing"/>
        <w:ind w:left="720"/>
        <w:rPr>
          <w:rFonts w:ascii="Times New Roman" w:hAnsi="Times New Roman"/>
          <w:b/>
          <w:bCs/>
          <w:sz w:val="24"/>
          <w:szCs w:val="24"/>
        </w:rPr>
      </w:pPr>
      <w:hyperlink r:id="rId1719" w:history="1">
        <w:r w:rsidRPr="004236BE">
          <w:rPr>
            <w:rStyle w:val="Hyperlink"/>
            <w:rFonts w:ascii="Times New Roman" w:hAnsi="Times New Roman"/>
            <w:b/>
            <w:sz w:val="24"/>
            <w:szCs w:val="24"/>
          </w:rPr>
          <w:t>https://www.justice.gov/opa/blog/americans-disabilities-act-30th-anniversary-furthering-promise</w:t>
        </w:r>
      </w:hyperlink>
      <w:r w:rsidRPr="004236BE">
        <w:rPr>
          <w:rStyle w:val="Hyperlink"/>
          <w:rFonts w:ascii="Times New Roman" w:hAnsi="Times New Roman"/>
          <w:b/>
          <w:sz w:val="24"/>
          <w:szCs w:val="24"/>
        </w:rPr>
        <w:t xml:space="preserve"> </w:t>
      </w:r>
    </w:p>
    <w:p w14:paraId="287359A7" w14:textId="77777777" w:rsidR="00177094" w:rsidRPr="004236BE" w:rsidRDefault="00177094" w:rsidP="00177094">
      <w:pPr>
        <w:pStyle w:val="NoSpacing"/>
        <w:rPr>
          <w:rFonts w:ascii="Times New Roman" w:hAnsi="Times New Roman"/>
          <w:b/>
          <w:bCs/>
          <w:sz w:val="24"/>
          <w:szCs w:val="24"/>
        </w:rPr>
      </w:pPr>
    </w:p>
    <w:p w14:paraId="6C4315A9" w14:textId="77777777" w:rsidR="00177094" w:rsidRPr="004236BE" w:rsidRDefault="00177094" w:rsidP="00177094">
      <w:pPr>
        <w:pStyle w:val="NormalWeb"/>
        <w:rPr>
          <w:b/>
        </w:rPr>
      </w:pPr>
      <w:r w:rsidRPr="004236BE">
        <w:rPr>
          <w:bCs/>
        </w:rPr>
        <w:t xml:space="preserve">Nov. 7, </w:t>
      </w:r>
      <w:proofErr w:type="gramStart"/>
      <w:r w:rsidRPr="004236BE">
        <w:rPr>
          <w:bCs/>
        </w:rPr>
        <w:t>2019</w:t>
      </w:r>
      <w:proofErr w:type="gramEnd"/>
      <w:r w:rsidRPr="004236BE">
        <w:rPr>
          <w:bCs/>
        </w:rPr>
        <w:t xml:space="preserve"> Settlement Press Release:</w:t>
      </w:r>
    </w:p>
    <w:p w14:paraId="64A2E4DC" w14:textId="77777777" w:rsidR="00177094" w:rsidRPr="004236BE" w:rsidRDefault="00177094" w:rsidP="00177094">
      <w:pPr>
        <w:pStyle w:val="NormalWeb"/>
        <w:ind w:left="720"/>
        <w:rPr>
          <w:b/>
        </w:rPr>
      </w:pPr>
      <w:r w:rsidRPr="004236BE">
        <w:t xml:space="preserve">“The agreement resolves the Department’s complaint alleging that the college terminated an employee, who has multiple sclerosis, </w:t>
      </w:r>
      <w:proofErr w:type="gramStart"/>
      <w:r w:rsidRPr="004236BE">
        <w:t>on the basis of</w:t>
      </w:r>
      <w:proofErr w:type="gramEnd"/>
      <w:r w:rsidRPr="004236BE">
        <w:t xml:space="preserve"> her disability after years of service to the college. The complaint further alleges that, after the employee took three days of sick leave one summer, the college removed her from the teaching schedule for an entire school semester, thus reducing her hours and pay to zero, due to her multiple sclerosis.” </w:t>
      </w:r>
      <w:hyperlink r:id="rId1720" w:history="1">
        <w:r w:rsidRPr="004236BE">
          <w:rPr>
            <w:rStyle w:val="Hyperlink"/>
            <w:b/>
          </w:rPr>
          <w:t>https://www.justice.gov/opa/pr/justice-department-settles-college-resolve-disability-discrimination-complaint</w:t>
        </w:r>
      </w:hyperlink>
      <w:r w:rsidRPr="004236BE">
        <w:t xml:space="preserve"> </w:t>
      </w:r>
    </w:p>
    <w:p w14:paraId="2DC290D6" w14:textId="77777777" w:rsidR="00177094" w:rsidRPr="004236BE" w:rsidRDefault="00177094" w:rsidP="00177094">
      <w:pPr>
        <w:pStyle w:val="NoSpacing"/>
        <w:rPr>
          <w:rFonts w:ascii="Times New Roman" w:hAnsi="Times New Roman"/>
          <w:sz w:val="24"/>
          <w:szCs w:val="24"/>
        </w:rPr>
      </w:pPr>
      <w:r w:rsidRPr="004236BE">
        <w:rPr>
          <w:rFonts w:ascii="Times New Roman" w:hAnsi="Times New Roman"/>
          <w:b/>
          <w:bCs/>
          <w:sz w:val="24"/>
          <w:szCs w:val="24"/>
        </w:rPr>
        <w:t>Legal Lessons Learned:  U.S. Department of Justice aggressively enforces the ADA</w:t>
      </w:r>
      <w:r>
        <w:rPr>
          <w:rFonts w:ascii="Times New Roman" w:hAnsi="Times New Roman"/>
          <w:b/>
          <w:bCs/>
          <w:sz w:val="24"/>
          <w:szCs w:val="24"/>
        </w:rPr>
        <w:t>, including this lawsuit on behalf of a paramedic and teacher</w:t>
      </w:r>
      <w:r w:rsidRPr="004236BE">
        <w:rPr>
          <w:rFonts w:ascii="Times New Roman" w:hAnsi="Times New Roman"/>
          <w:sz w:val="24"/>
          <w:szCs w:val="24"/>
        </w:rPr>
        <w:t xml:space="preserve">. </w:t>
      </w:r>
    </w:p>
    <w:p w14:paraId="395D64C0" w14:textId="77777777" w:rsidR="00177094" w:rsidRDefault="00177094" w:rsidP="002B1283">
      <w:pPr>
        <w:rPr>
          <w:rFonts w:ascii="Arial Black" w:hAnsi="Arial Black"/>
          <w:b/>
          <w:sz w:val="24"/>
          <w:szCs w:val="24"/>
        </w:rPr>
      </w:pPr>
    </w:p>
    <w:p w14:paraId="4C2DAA6F" w14:textId="473A62E6" w:rsidR="00A52325" w:rsidRDefault="00A52325" w:rsidP="002B1283">
      <w:pPr>
        <w:rPr>
          <w:rFonts w:ascii="Arial Black" w:hAnsi="Arial Black"/>
          <w:b/>
          <w:sz w:val="24"/>
          <w:szCs w:val="24"/>
        </w:rPr>
      </w:pPr>
      <w:r>
        <w:rPr>
          <w:rFonts w:ascii="Arial Black" w:hAnsi="Arial Black"/>
          <w:b/>
          <w:sz w:val="24"/>
          <w:szCs w:val="24"/>
        </w:rPr>
        <w:t>9-7</w:t>
      </w:r>
    </w:p>
    <w:p w14:paraId="7F08866C" w14:textId="77777777" w:rsidR="00A52325" w:rsidRDefault="00A52325" w:rsidP="00A52325">
      <w:pPr>
        <w:pStyle w:val="NoSpacing"/>
        <w:rPr>
          <w:rFonts w:ascii="Arial Black" w:hAnsi="Arial Black"/>
          <w:sz w:val="28"/>
          <w:szCs w:val="28"/>
        </w:rPr>
      </w:pPr>
      <w:r>
        <w:rPr>
          <w:rFonts w:ascii="Arial Black" w:hAnsi="Arial Black"/>
          <w:sz w:val="28"/>
          <w:szCs w:val="28"/>
        </w:rPr>
        <w:t>FL:  FIREFIGHTER LATE FOR MANY SHIFTS – CLAIMED DISABILITY – PROPERLY FIRED – ESSENTIAL JOB FUNCTION TO BE ONTIME</w:t>
      </w:r>
    </w:p>
    <w:p w14:paraId="0519CE15" w14:textId="77777777" w:rsidR="00A52325" w:rsidRDefault="00A52325" w:rsidP="00A52325">
      <w:pPr>
        <w:pStyle w:val="NoSpacing"/>
        <w:rPr>
          <w:rFonts w:ascii="Arial Black" w:hAnsi="Arial Black"/>
          <w:sz w:val="28"/>
          <w:szCs w:val="28"/>
        </w:rPr>
      </w:pPr>
    </w:p>
    <w:p w14:paraId="4A039E05" w14:textId="77777777" w:rsidR="00A52325" w:rsidRDefault="00A52325" w:rsidP="00A52325">
      <w:pPr>
        <w:pStyle w:val="NoSpacing"/>
        <w:rPr>
          <w:rFonts w:ascii="Times New Roman" w:hAnsi="Times New Roman"/>
          <w:sz w:val="24"/>
          <w:szCs w:val="24"/>
        </w:rPr>
      </w:pPr>
      <w:r>
        <w:rPr>
          <w:rFonts w:ascii="Times New Roman" w:hAnsi="Times New Roman"/>
          <w:sz w:val="24"/>
          <w:szCs w:val="24"/>
        </w:rPr>
        <w:t xml:space="preserve">On Nov. 13, 2019, in </w:t>
      </w:r>
      <w:r>
        <w:rPr>
          <w:rFonts w:ascii="Times New Roman" w:hAnsi="Times New Roman"/>
          <w:sz w:val="24"/>
          <w:szCs w:val="24"/>
          <w:u w:val="single"/>
        </w:rPr>
        <w:t>Darrell C. Hartwell v. Richard Spencer, Secretary of U.S. Navy</w:t>
      </w:r>
      <w:r>
        <w:rPr>
          <w:rFonts w:ascii="Times New Roman" w:hAnsi="Times New Roman"/>
          <w:sz w:val="24"/>
          <w:szCs w:val="24"/>
        </w:rPr>
        <w:t>, the U.S. Court of Appeals for 11</w:t>
      </w:r>
      <w:r>
        <w:rPr>
          <w:rFonts w:ascii="Times New Roman" w:hAnsi="Times New Roman"/>
          <w:sz w:val="24"/>
          <w:szCs w:val="24"/>
          <w:vertAlign w:val="superscript"/>
        </w:rPr>
        <w:t>th</w:t>
      </w:r>
      <w:r>
        <w:rPr>
          <w:rFonts w:ascii="Times New Roman" w:hAnsi="Times New Roman"/>
          <w:sz w:val="24"/>
          <w:szCs w:val="24"/>
        </w:rPr>
        <w:t xml:space="preserve"> Circuit (Atlanta) held (3 to 0) in an unpublished decision, that U.S. District Court properly granted summary judgment to the U.S. Navy. </w:t>
      </w:r>
    </w:p>
    <w:p w14:paraId="25F0E9D3" w14:textId="5DD02A5B" w:rsidR="00A52325" w:rsidRDefault="00A52325" w:rsidP="00A52325">
      <w:pPr>
        <w:pStyle w:val="Heading1"/>
        <w:ind w:left="720"/>
        <w:rPr>
          <w:rStyle w:val="Hyperlink"/>
          <w:b w:val="0"/>
          <w:bCs w:val="0"/>
          <w:sz w:val="24"/>
          <w:szCs w:val="24"/>
        </w:rPr>
      </w:pPr>
      <w:r>
        <w:rPr>
          <w:b w:val="0"/>
          <w:bCs w:val="0"/>
          <w:sz w:val="24"/>
          <w:szCs w:val="24"/>
        </w:rPr>
        <w:t xml:space="preserve">“Hartwell contends that his medical conditions impair his time management skills and the medication that he takes causes morning drowsiness, making it impossible for him to consistently report for work by 7:00 a.m. The only accommodation he requested was to allow him to come to work up to an hour late without prior notice. A few days before he was fired, Hartwell provided a note from his doctor stating that Hartwell’s condition was permanent, but that his symptoms could be ‘minimized’ ‘with long term </w:t>
      </w:r>
      <w:r>
        <w:rPr>
          <w:b w:val="0"/>
          <w:bCs w:val="0"/>
          <w:sz w:val="24"/>
          <w:szCs w:val="24"/>
        </w:rPr>
        <w:lastRenderedPageBreak/>
        <w:t xml:space="preserve">individual counseling and medication.’ In other words, with or without the accommodation he requested, Hartwell expected to continue his pattern of frequent tardiness indefinitely. The pivotal issue on appeal, therefore, is whether punctuality is an essential function of the job of a firefighter/EMT. *** We agree with the district court that reporting to work on time was an essential function of Hartwell’s job as a firefighter/EMT. Because Hartwell could not perform this function with or without his requested accommodation, he is not “otherwise qualified” within the meaning of the Rehabilitation Act, and the district court correctly granted the defendant’s motion for summary judgment on this claim. </w:t>
      </w:r>
      <w:hyperlink r:id="rId1721" w:history="1">
        <w:r>
          <w:rPr>
            <w:rStyle w:val="Hyperlink"/>
            <w:b w:val="0"/>
            <w:bCs w:val="0"/>
            <w:sz w:val="24"/>
            <w:szCs w:val="24"/>
          </w:rPr>
          <w:t>http://media.ca11.uscourts.gov/opinions/unpub/files/201814488.pdf</w:t>
        </w:r>
      </w:hyperlink>
    </w:p>
    <w:p w14:paraId="1121DE4A" w14:textId="77777777" w:rsidR="00A52325" w:rsidRDefault="00A52325" w:rsidP="00A52325">
      <w:pPr>
        <w:pStyle w:val="NoSpacing"/>
        <w:rPr>
          <w:rFonts w:ascii="Times New Roman" w:hAnsi="Times New Roman"/>
          <w:b/>
          <w:bCs/>
          <w:sz w:val="24"/>
          <w:szCs w:val="24"/>
        </w:rPr>
      </w:pPr>
      <w:bookmarkStart w:id="362" w:name="_Hlk40512080"/>
      <w:r>
        <w:rPr>
          <w:rFonts w:ascii="Times New Roman" w:hAnsi="Times New Roman"/>
          <w:b/>
          <w:bCs/>
          <w:sz w:val="24"/>
          <w:szCs w:val="24"/>
        </w:rPr>
        <w:t>Legal Lessons Learned: The Court properly recognized the essential job function of a firefighters – to show up for work on time.</w:t>
      </w:r>
    </w:p>
    <w:bookmarkEnd w:id="362"/>
    <w:p w14:paraId="15F5C8B7" w14:textId="20036D16" w:rsidR="00A52325" w:rsidRPr="00A52325" w:rsidRDefault="00A52325" w:rsidP="00A52325">
      <w:pPr>
        <w:pStyle w:val="Heading1"/>
        <w:rPr>
          <w:b w:val="0"/>
          <w:sz w:val="24"/>
          <w:szCs w:val="24"/>
        </w:rPr>
      </w:pPr>
    </w:p>
    <w:p w14:paraId="744C8397" w14:textId="3DD3CC71" w:rsidR="009F0F05" w:rsidRPr="00BC70A3" w:rsidRDefault="009F0F05" w:rsidP="002B1283">
      <w:pPr>
        <w:rPr>
          <w:rFonts w:ascii="Times New Roman" w:hAnsi="Times New Roman"/>
          <w:b/>
          <w:sz w:val="24"/>
          <w:szCs w:val="24"/>
        </w:rPr>
      </w:pPr>
      <w:r>
        <w:rPr>
          <w:rFonts w:ascii="Arial Black" w:hAnsi="Arial Black"/>
          <w:b/>
          <w:sz w:val="24"/>
          <w:szCs w:val="24"/>
        </w:rPr>
        <w:t>9-6</w:t>
      </w:r>
      <w:r w:rsidR="00BC70A3">
        <w:rPr>
          <w:rFonts w:ascii="Arial Black" w:hAnsi="Arial Black"/>
          <w:b/>
          <w:sz w:val="24"/>
          <w:szCs w:val="24"/>
        </w:rPr>
        <w:t xml:space="preserve"> </w:t>
      </w:r>
      <w:r w:rsidR="00BC70A3" w:rsidRPr="00BC70A3">
        <w:rPr>
          <w:rFonts w:ascii="Times New Roman" w:hAnsi="Times New Roman"/>
          <w:b/>
          <w:sz w:val="24"/>
          <w:szCs w:val="24"/>
        </w:rPr>
        <w:t>[See also 9-17, FDNY case]</w:t>
      </w:r>
      <w:r w:rsidR="00BC70A3">
        <w:rPr>
          <w:rFonts w:ascii="Times New Roman" w:hAnsi="Times New Roman"/>
          <w:b/>
          <w:sz w:val="24"/>
          <w:szCs w:val="24"/>
        </w:rPr>
        <w:t xml:space="preserve"> </w:t>
      </w:r>
    </w:p>
    <w:p w14:paraId="630CE311" w14:textId="77777777" w:rsidR="009F0F05" w:rsidRPr="0029740B" w:rsidRDefault="009F0F05" w:rsidP="009F0F05">
      <w:pPr>
        <w:rPr>
          <w:rFonts w:ascii="Arial Black" w:hAnsi="Arial Black"/>
          <w:sz w:val="28"/>
          <w:szCs w:val="28"/>
        </w:rPr>
      </w:pPr>
      <w:bookmarkStart w:id="363" w:name="_Hlk39771125"/>
      <w:r w:rsidRPr="0029740B">
        <w:rPr>
          <w:rFonts w:ascii="Arial Black" w:hAnsi="Arial Black"/>
          <w:sz w:val="28"/>
          <w:szCs w:val="28"/>
        </w:rPr>
        <w:t>PA</w:t>
      </w:r>
      <w:r>
        <w:rPr>
          <w:rFonts w:ascii="Arial Black" w:hAnsi="Arial Black"/>
          <w:sz w:val="28"/>
          <w:szCs w:val="28"/>
        </w:rPr>
        <w:t>:  PAINFUL TO SHAVE – POLICE DEPT. REQUIRED MEDICAL CERT. EACH 60 DAYS – LAWSUIT REINSTATED FOR ADA BREACH</w:t>
      </w:r>
    </w:p>
    <w:p w14:paraId="61DD0D53" w14:textId="3190450A" w:rsidR="009F0F05" w:rsidRDefault="009F0F05" w:rsidP="009F0F05">
      <w:pPr>
        <w:rPr>
          <w:rFonts w:ascii="Times New Roman" w:hAnsi="Times New Roman"/>
          <w:sz w:val="24"/>
          <w:szCs w:val="24"/>
        </w:rPr>
      </w:pPr>
      <w:r w:rsidRPr="000113F5">
        <w:rPr>
          <w:rFonts w:ascii="Times New Roman" w:hAnsi="Times New Roman"/>
          <w:sz w:val="24"/>
          <w:szCs w:val="24"/>
        </w:rPr>
        <w:t xml:space="preserve">On Aug. 8, 2019, in </w:t>
      </w:r>
      <w:r w:rsidRPr="00080E6F">
        <w:rPr>
          <w:rFonts w:ascii="Times New Roman" w:hAnsi="Times New Roman"/>
          <w:sz w:val="24"/>
          <w:szCs w:val="24"/>
          <w:u w:val="single"/>
        </w:rPr>
        <w:t>Joseph H. Lewis, Jr. v. University of Pennsylvania</w:t>
      </w:r>
      <w:r>
        <w:rPr>
          <w:rFonts w:ascii="Times New Roman" w:hAnsi="Times New Roman"/>
          <w:sz w:val="24"/>
          <w:szCs w:val="24"/>
        </w:rPr>
        <w:t>, the U.S. Court of Appeals for Third Circuit (Philadelphia), held (3 to 0) that a U.S. District Court incorrectly dismissed his ADA lawsuit.  Chief Judge Smith wrote:</w:t>
      </w:r>
    </w:p>
    <w:p w14:paraId="78552036" w14:textId="77777777" w:rsidR="009F0F05" w:rsidRDefault="009F0F05" w:rsidP="009F0F05">
      <w:pPr>
        <w:pStyle w:val="NoSpacing"/>
        <w:ind w:left="1440"/>
        <w:rPr>
          <w:sz w:val="32"/>
          <w:szCs w:val="32"/>
        </w:rPr>
      </w:pPr>
      <w:r>
        <w:rPr>
          <w:rFonts w:ascii="Times New Roman" w:hAnsi="Times New Roman"/>
          <w:sz w:val="24"/>
          <w:szCs w:val="24"/>
        </w:rPr>
        <w:t>“</w:t>
      </w:r>
      <w:r w:rsidRPr="00425C6F">
        <w:rPr>
          <w:rFonts w:ascii="Times New Roman" w:hAnsi="Times New Roman"/>
          <w:sz w:val="24"/>
          <w:szCs w:val="24"/>
        </w:rPr>
        <w:t>This is an employment discrimination appeal arising out of Plaintiff Joseph Lewis’s previous employment with the University of Pennsylvania Police Department. Lewis suffers from a skin condition, pseudofolliculitis barbae (PFB), which has led to issues giving rise to his discrimination claims.</w:t>
      </w:r>
      <w:r>
        <w:rPr>
          <w:rFonts w:ascii="Times New Roman" w:hAnsi="Times New Roman"/>
          <w:sz w:val="24"/>
          <w:szCs w:val="24"/>
        </w:rPr>
        <w:t xml:space="preserve"> ***</w:t>
      </w:r>
    </w:p>
    <w:p w14:paraId="74C1B4F8" w14:textId="77777777" w:rsidR="009F0F05" w:rsidRDefault="009F0F05" w:rsidP="009F0F05">
      <w:pPr>
        <w:ind w:left="1440"/>
        <w:rPr>
          <w:rFonts w:ascii="Times New Roman" w:hAnsi="Times New Roman"/>
          <w:sz w:val="24"/>
          <w:szCs w:val="24"/>
        </w:rPr>
      </w:pPr>
      <w:r w:rsidRPr="00425C6F">
        <w:rPr>
          <w:rFonts w:ascii="Times New Roman" w:hAnsi="Times New Roman"/>
          <w:sz w:val="24"/>
          <w:szCs w:val="24"/>
        </w:rPr>
        <w:t xml:space="preserve">Lewis submitted a request for accommodation, requesting to </w:t>
      </w:r>
      <w:r>
        <w:rPr>
          <w:rFonts w:ascii="Times New Roman" w:hAnsi="Times New Roman"/>
          <w:sz w:val="24"/>
          <w:szCs w:val="24"/>
        </w:rPr>
        <w:t>‘</w:t>
      </w:r>
      <w:r w:rsidRPr="00425C6F">
        <w:rPr>
          <w:rFonts w:ascii="Times New Roman" w:hAnsi="Times New Roman"/>
          <w:sz w:val="24"/>
          <w:szCs w:val="24"/>
        </w:rPr>
        <w:t>not shave face or neck</w:t>
      </w:r>
      <w:r>
        <w:rPr>
          <w:rFonts w:ascii="Times New Roman" w:hAnsi="Times New Roman"/>
          <w:sz w:val="24"/>
          <w:szCs w:val="24"/>
        </w:rPr>
        <w:t xml:space="preserve">….’ </w:t>
      </w:r>
      <w:r w:rsidRPr="00425C6F">
        <w:rPr>
          <w:rFonts w:ascii="Times New Roman" w:hAnsi="Times New Roman"/>
          <w:sz w:val="24"/>
          <w:szCs w:val="24"/>
        </w:rPr>
        <w:t>Penn was then on notice of Lewis’s claimed disability and the fact that he wanted accommodation, such that Penn had a duty to engage with Lewis in good faith. It is not</w:t>
      </w:r>
      <w:r>
        <w:rPr>
          <w:rFonts w:ascii="Times New Roman" w:hAnsi="Times New Roman"/>
          <w:sz w:val="24"/>
          <w:szCs w:val="24"/>
        </w:rPr>
        <w:t xml:space="preserve"> </w:t>
      </w:r>
      <w:r w:rsidRPr="00425C6F">
        <w:rPr>
          <w:rFonts w:ascii="Times New Roman" w:hAnsi="Times New Roman"/>
          <w:sz w:val="24"/>
          <w:szCs w:val="24"/>
        </w:rPr>
        <w:t>clear that Penn did so. According to Lewis, Penn issued a flat denial without making any</w:t>
      </w:r>
      <w:r>
        <w:rPr>
          <w:rFonts w:ascii="Times New Roman" w:hAnsi="Times New Roman"/>
          <w:sz w:val="24"/>
          <w:szCs w:val="24"/>
        </w:rPr>
        <w:t xml:space="preserve"> </w:t>
      </w:r>
      <w:r w:rsidRPr="00425C6F">
        <w:rPr>
          <w:rFonts w:ascii="Times New Roman" w:hAnsi="Times New Roman"/>
          <w:sz w:val="24"/>
          <w:szCs w:val="24"/>
        </w:rPr>
        <w:t>effort to communicate with him regarding his needs.</w:t>
      </w:r>
      <w:r>
        <w:rPr>
          <w:rFonts w:ascii="Times New Roman" w:hAnsi="Times New Roman"/>
          <w:sz w:val="24"/>
          <w:szCs w:val="24"/>
        </w:rPr>
        <w:t xml:space="preserve"> </w:t>
      </w:r>
    </w:p>
    <w:p w14:paraId="554335AC" w14:textId="77777777" w:rsidR="00DE37CD" w:rsidRDefault="009F0F05" w:rsidP="00DE37CD">
      <w:pPr>
        <w:ind w:left="1440"/>
        <w:rPr>
          <w:rFonts w:ascii="Times New Roman" w:hAnsi="Times New Roman"/>
          <w:sz w:val="24"/>
          <w:szCs w:val="24"/>
        </w:rPr>
      </w:pPr>
      <w:r w:rsidRPr="00453137">
        <w:rPr>
          <w:rFonts w:ascii="Times New Roman" w:hAnsi="Times New Roman"/>
          <w:sz w:val="24"/>
          <w:szCs w:val="24"/>
        </w:rPr>
        <w:t xml:space="preserve">Where there is evidence that the employer did not act in good faith to identify </w:t>
      </w:r>
      <w:proofErr w:type="gramStart"/>
      <w:r w:rsidRPr="00453137">
        <w:rPr>
          <w:rFonts w:ascii="Times New Roman" w:hAnsi="Times New Roman"/>
          <w:sz w:val="24"/>
          <w:szCs w:val="24"/>
        </w:rPr>
        <w:t xml:space="preserve">an accommodation, </w:t>
      </w:r>
      <w:r>
        <w:rPr>
          <w:rFonts w:ascii="Times New Roman" w:hAnsi="Times New Roman"/>
          <w:sz w:val="24"/>
          <w:szCs w:val="24"/>
        </w:rPr>
        <w:t>‘</w:t>
      </w:r>
      <w:proofErr w:type="gramEnd"/>
      <w:r w:rsidRPr="00453137">
        <w:rPr>
          <w:rFonts w:ascii="Times New Roman" w:hAnsi="Times New Roman"/>
          <w:sz w:val="24"/>
          <w:szCs w:val="24"/>
        </w:rPr>
        <w:t>we will not readily</w:t>
      </w:r>
      <w:r>
        <w:rPr>
          <w:rFonts w:ascii="Times New Roman" w:hAnsi="Times New Roman"/>
          <w:sz w:val="24"/>
          <w:szCs w:val="24"/>
        </w:rPr>
        <w:t xml:space="preserve"> </w:t>
      </w:r>
      <w:r w:rsidRPr="00453137">
        <w:rPr>
          <w:rFonts w:ascii="Times New Roman" w:hAnsi="Times New Roman"/>
          <w:sz w:val="24"/>
          <w:szCs w:val="24"/>
        </w:rPr>
        <w:t xml:space="preserve">decide on summary judgment that accommodation was not </w:t>
      </w:r>
      <w:proofErr w:type="gramStart"/>
      <w:r w:rsidRPr="00453137">
        <w:rPr>
          <w:rFonts w:ascii="Times New Roman" w:hAnsi="Times New Roman"/>
          <w:sz w:val="24"/>
          <w:szCs w:val="24"/>
        </w:rPr>
        <w:t>possible</w:t>
      </w:r>
      <w:proofErr w:type="gramEnd"/>
      <w:r w:rsidRPr="00453137">
        <w:rPr>
          <w:rFonts w:ascii="Times New Roman" w:hAnsi="Times New Roman"/>
          <w:sz w:val="24"/>
          <w:szCs w:val="24"/>
        </w:rPr>
        <w:t xml:space="preserve"> and the employer’s bad faith could have no effect.</w:t>
      </w:r>
      <w:r>
        <w:rPr>
          <w:rFonts w:ascii="Times New Roman" w:hAnsi="Times New Roman"/>
          <w:sz w:val="24"/>
          <w:szCs w:val="24"/>
        </w:rPr>
        <w:t>’</w:t>
      </w:r>
      <w:r w:rsidRPr="00453137">
        <w:rPr>
          <w:rFonts w:ascii="Times New Roman" w:hAnsi="Times New Roman"/>
          <w:sz w:val="24"/>
          <w:szCs w:val="24"/>
        </w:rPr>
        <w:t xml:space="preserve"> Taylor, 184 F.3d at 31</w:t>
      </w:r>
      <w:r>
        <w:rPr>
          <w:rFonts w:ascii="Times New Roman" w:hAnsi="Times New Roman"/>
          <w:sz w:val="24"/>
          <w:szCs w:val="24"/>
        </w:rPr>
        <w:t>.”</w:t>
      </w:r>
      <w:r w:rsidR="00DE37CD">
        <w:rPr>
          <w:rFonts w:ascii="Times New Roman" w:hAnsi="Times New Roman"/>
          <w:sz w:val="24"/>
          <w:szCs w:val="24"/>
        </w:rPr>
        <w:t xml:space="preserve"> </w:t>
      </w:r>
      <w:hyperlink r:id="rId1722" w:history="1">
        <w:r w:rsidR="00DE37CD" w:rsidRPr="004A0E57">
          <w:rPr>
            <w:rStyle w:val="Hyperlink"/>
            <w:rFonts w:ascii="Times New Roman" w:hAnsi="Times New Roman"/>
            <w:sz w:val="24"/>
            <w:szCs w:val="24"/>
          </w:rPr>
          <w:t>https://cases.justia.com/federal/appellate-courts/ca3/18-2706/18-2706-2019-08-09.pdf?ts=1565368208</w:t>
        </w:r>
      </w:hyperlink>
      <w:r w:rsidR="00DE37CD">
        <w:rPr>
          <w:rFonts w:ascii="Times New Roman" w:hAnsi="Times New Roman"/>
          <w:sz w:val="24"/>
          <w:szCs w:val="24"/>
        </w:rPr>
        <w:t xml:space="preserve"> </w:t>
      </w:r>
    </w:p>
    <w:bookmarkEnd w:id="363"/>
    <w:p w14:paraId="464889F3" w14:textId="0E6EDC88" w:rsidR="009F0F05" w:rsidRDefault="009F0F05" w:rsidP="009F0F05">
      <w:pPr>
        <w:ind w:left="1440"/>
        <w:rPr>
          <w:rFonts w:ascii="Times New Roman" w:hAnsi="Times New Roman"/>
          <w:sz w:val="24"/>
          <w:szCs w:val="24"/>
        </w:rPr>
      </w:pPr>
    </w:p>
    <w:p w14:paraId="5FBB275B" w14:textId="77777777" w:rsidR="009F0F05" w:rsidRDefault="009F0F05" w:rsidP="009F0F05">
      <w:pPr>
        <w:pStyle w:val="Heading1"/>
        <w:rPr>
          <w:sz w:val="24"/>
          <w:szCs w:val="24"/>
        </w:rPr>
      </w:pPr>
      <w:r w:rsidRPr="00B922AC">
        <w:rPr>
          <w:sz w:val="24"/>
          <w:szCs w:val="24"/>
        </w:rPr>
        <w:t xml:space="preserve">Legal Lessons Learned:  The PD will now have to justify its business reasons for no beards, and its 60-day medical certifications.  See Aug. 12, </w:t>
      </w:r>
      <w:proofErr w:type="gramStart"/>
      <w:r w:rsidRPr="00B922AC">
        <w:rPr>
          <w:sz w:val="24"/>
          <w:szCs w:val="24"/>
        </w:rPr>
        <w:t>2019</w:t>
      </w:r>
      <w:proofErr w:type="gramEnd"/>
      <w:r w:rsidRPr="00B922AC">
        <w:rPr>
          <w:sz w:val="24"/>
          <w:szCs w:val="24"/>
        </w:rPr>
        <w:t xml:space="preserve"> article on this case: </w:t>
      </w:r>
      <w:hyperlink r:id="rId1723" w:history="1">
        <w:r w:rsidRPr="00B922AC">
          <w:rPr>
            <w:rStyle w:val="Hyperlink"/>
            <w:sz w:val="24"/>
            <w:szCs w:val="24"/>
          </w:rPr>
          <w:t>https://www.law.com/thelegalintelligencer/2019/08/12/third-circuit-revives-beard-related-discrimination-claims-against-upenn/</w:t>
        </w:r>
      </w:hyperlink>
      <w:r w:rsidRPr="00B922AC">
        <w:rPr>
          <w:sz w:val="24"/>
          <w:szCs w:val="24"/>
        </w:rPr>
        <w:t xml:space="preserve">  </w:t>
      </w:r>
    </w:p>
    <w:p w14:paraId="29E1B40A" w14:textId="18AF20B5" w:rsidR="009F0F05" w:rsidRPr="00B922AC" w:rsidRDefault="009F0F05" w:rsidP="009F0F05">
      <w:pPr>
        <w:pStyle w:val="Heading1"/>
        <w:rPr>
          <w:sz w:val="24"/>
          <w:szCs w:val="24"/>
        </w:rPr>
      </w:pPr>
      <w:r w:rsidRPr="00B922AC">
        <w:rPr>
          <w:sz w:val="24"/>
          <w:szCs w:val="24"/>
        </w:rPr>
        <w:t xml:space="preserve">There has been race discrimination litigation in fire service about not shaving because of this skin condition, </w:t>
      </w:r>
      <w:r w:rsidR="00715CF2" w:rsidRPr="00B922AC">
        <w:rPr>
          <w:sz w:val="24"/>
          <w:szCs w:val="24"/>
        </w:rPr>
        <w:t>pseudo folliculitis</w:t>
      </w:r>
      <w:r w:rsidRPr="00B922AC">
        <w:rPr>
          <w:sz w:val="24"/>
          <w:szCs w:val="24"/>
        </w:rPr>
        <w:t xml:space="preserve"> barbae (PFB).   For example, see 2018 lawsuit by four FDNY firefighters:  </w:t>
      </w:r>
    </w:p>
    <w:p w14:paraId="52C49F46" w14:textId="77777777" w:rsidR="009F0F05" w:rsidRPr="00715CF2" w:rsidRDefault="009F0F05" w:rsidP="00715CF2">
      <w:pPr>
        <w:pStyle w:val="Heading1"/>
        <w:ind w:left="720"/>
        <w:rPr>
          <w:b w:val="0"/>
          <w:bCs w:val="0"/>
          <w:sz w:val="24"/>
          <w:szCs w:val="24"/>
        </w:rPr>
      </w:pPr>
      <w:r w:rsidRPr="00715CF2">
        <w:rPr>
          <w:b w:val="0"/>
          <w:bCs w:val="0"/>
          <w:sz w:val="24"/>
          <w:szCs w:val="24"/>
        </w:rPr>
        <w:lastRenderedPageBreak/>
        <w:t xml:space="preserve">See also D.C. Fire Department case: March 25, 2015 article: “Fireman’s Beard Bias Claims Given a Trim,” – “Kennedy says that the discrimination against his race and disability kept him from advancing his firefighting career because of his beard growth, but U.S. District Judge Christopher Cooper dismissed parts of the action Friday after finding that ‘PFB does not constitute a disability under the prevailing … interpretation’ of the Americans with Disabilities Act. </w:t>
      </w:r>
      <w:hyperlink r:id="rId1724" w:history="1">
        <w:r w:rsidRPr="00715CF2">
          <w:rPr>
            <w:rStyle w:val="Hyperlink"/>
            <w:b w:val="0"/>
            <w:bCs w:val="0"/>
            <w:sz w:val="24"/>
            <w:szCs w:val="24"/>
          </w:rPr>
          <w:t>https://www.courthousenews.com/firemans-beard-bias-claims-given-a-trim/</w:t>
        </w:r>
      </w:hyperlink>
      <w:r w:rsidRPr="00715CF2">
        <w:rPr>
          <w:b w:val="0"/>
          <w:bCs w:val="0"/>
          <w:sz w:val="24"/>
          <w:szCs w:val="24"/>
        </w:rPr>
        <w:t xml:space="preserve"> </w:t>
      </w:r>
    </w:p>
    <w:p w14:paraId="5C1F30BF" w14:textId="77777777" w:rsidR="009F0F05" w:rsidRPr="00715CF2" w:rsidRDefault="009F0F05" w:rsidP="00715CF2">
      <w:pPr>
        <w:pStyle w:val="NoSpacing"/>
        <w:ind w:left="720"/>
        <w:rPr>
          <w:rFonts w:ascii="Times New Roman" w:hAnsi="Times New Roman"/>
          <w:sz w:val="24"/>
          <w:szCs w:val="24"/>
        </w:rPr>
      </w:pPr>
      <w:r w:rsidRPr="00715CF2">
        <w:rPr>
          <w:rFonts w:ascii="Times New Roman" w:hAnsi="Times New Roman"/>
          <w:sz w:val="24"/>
          <w:szCs w:val="24"/>
        </w:rPr>
        <w:t>See also 1993 decision by 11</w:t>
      </w:r>
      <w:r w:rsidRPr="00715CF2">
        <w:rPr>
          <w:rFonts w:ascii="Times New Roman" w:hAnsi="Times New Roman"/>
          <w:sz w:val="24"/>
          <w:szCs w:val="24"/>
          <w:vertAlign w:val="superscript"/>
        </w:rPr>
        <w:t>th</w:t>
      </w:r>
      <w:r w:rsidRPr="00715CF2">
        <w:rPr>
          <w:rFonts w:ascii="Times New Roman" w:hAnsi="Times New Roman"/>
          <w:sz w:val="24"/>
          <w:szCs w:val="24"/>
        </w:rPr>
        <w:t xml:space="preserve"> Circuit involving the Atlanta FD: “The City defends the policy, contending that the respirator masks used by firefighters cannot safely be worn by bearded men. The district court granted summary judgment for the City and the firefighters have appealed. For the reasons set forth below, we affirm the judgment of the district court.” </w:t>
      </w:r>
      <w:hyperlink r:id="rId1725" w:history="1">
        <w:r w:rsidRPr="00715CF2">
          <w:rPr>
            <w:rStyle w:val="Hyperlink"/>
            <w:rFonts w:ascii="Times New Roman" w:hAnsi="Times New Roman"/>
            <w:sz w:val="24"/>
            <w:szCs w:val="24"/>
          </w:rPr>
          <w:t>https://law.resource.org/pub/us/case/reporter/F3/002/2.F3d.1112.92-8306.html</w:t>
        </w:r>
      </w:hyperlink>
      <w:r w:rsidRPr="00715CF2">
        <w:rPr>
          <w:rFonts w:ascii="Times New Roman" w:hAnsi="Times New Roman"/>
          <w:sz w:val="24"/>
          <w:szCs w:val="24"/>
        </w:rPr>
        <w:t xml:space="preserve"> </w:t>
      </w:r>
    </w:p>
    <w:p w14:paraId="339DF3F1" w14:textId="77777777" w:rsidR="009F0F05" w:rsidRPr="00463590" w:rsidRDefault="009F0F05" w:rsidP="009F0F05">
      <w:pPr>
        <w:pStyle w:val="NoSpacing"/>
        <w:rPr>
          <w:rFonts w:ascii="Times New Roman" w:hAnsi="Times New Roman"/>
          <w:b/>
          <w:sz w:val="24"/>
          <w:szCs w:val="24"/>
        </w:rPr>
      </w:pPr>
    </w:p>
    <w:p w14:paraId="0DBDB7FA" w14:textId="3E7C98FE" w:rsidR="00715CF2" w:rsidRPr="00715CF2" w:rsidRDefault="00715CF2" w:rsidP="00715CF2">
      <w:pPr>
        <w:rPr>
          <w:rFonts w:ascii="Times New Roman" w:hAnsi="Times New Roman"/>
          <w:bCs/>
          <w:sz w:val="24"/>
          <w:szCs w:val="24"/>
        </w:rPr>
      </w:pPr>
    </w:p>
    <w:p w14:paraId="49F2B1BB" w14:textId="77777777" w:rsidR="009F0F05" w:rsidRDefault="009F0F05" w:rsidP="002B1283">
      <w:pPr>
        <w:rPr>
          <w:rFonts w:ascii="Arial Black" w:hAnsi="Arial Black"/>
          <w:b/>
          <w:sz w:val="24"/>
          <w:szCs w:val="24"/>
        </w:rPr>
      </w:pPr>
    </w:p>
    <w:p w14:paraId="2FC40598" w14:textId="3661331D" w:rsidR="00DE0F03" w:rsidRDefault="00DE0F03" w:rsidP="002B1283">
      <w:pPr>
        <w:rPr>
          <w:rFonts w:ascii="Arial Black" w:hAnsi="Arial Black"/>
          <w:b/>
          <w:bCs/>
          <w:sz w:val="28"/>
          <w:szCs w:val="28"/>
        </w:rPr>
      </w:pPr>
      <w:r>
        <w:rPr>
          <w:rFonts w:ascii="Arial Black" w:hAnsi="Arial Black"/>
          <w:b/>
          <w:sz w:val="24"/>
          <w:szCs w:val="24"/>
        </w:rPr>
        <w:t>9</w:t>
      </w:r>
      <w:r w:rsidRPr="00EF1133">
        <w:rPr>
          <w:rFonts w:ascii="Arial Black" w:hAnsi="Arial Black"/>
          <w:b/>
          <w:sz w:val="24"/>
          <w:szCs w:val="24"/>
        </w:rPr>
        <w:t>-</w:t>
      </w:r>
      <w:r>
        <w:rPr>
          <w:rFonts w:ascii="Arial Black" w:hAnsi="Arial Black"/>
          <w:b/>
          <w:sz w:val="24"/>
          <w:szCs w:val="24"/>
        </w:rPr>
        <w:t>5</w:t>
      </w:r>
    </w:p>
    <w:p w14:paraId="1EEEABA3" w14:textId="0F39998A" w:rsidR="002B1283" w:rsidRDefault="002B1283" w:rsidP="002B1283">
      <w:pPr>
        <w:rPr>
          <w:b/>
          <w:bCs/>
        </w:rPr>
      </w:pPr>
      <w:r w:rsidRPr="006709F6">
        <w:rPr>
          <w:rFonts w:ascii="Arial Black" w:hAnsi="Arial Black"/>
          <w:b/>
          <w:bCs/>
          <w:sz w:val="28"/>
          <w:szCs w:val="28"/>
        </w:rPr>
        <w:t xml:space="preserve">VA: </w:t>
      </w:r>
      <w:r>
        <w:rPr>
          <w:rFonts w:ascii="Arial Black" w:hAnsi="Arial Black"/>
          <w:b/>
          <w:bCs/>
          <w:sz w:val="28"/>
          <w:szCs w:val="28"/>
        </w:rPr>
        <w:t>FF With PTSD – MOVED TO DAY SHIFT TEMPORARILY - BUT LATER MOVED BACK TO 24/48 SHIFT - LAWSUIT TO PROCEED</w:t>
      </w:r>
    </w:p>
    <w:p w14:paraId="453B44A3" w14:textId="77777777" w:rsidR="002B1283" w:rsidRDefault="002B1283" w:rsidP="002B1283">
      <w:pPr>
        <w:rPr>
          <w:rFonts w:ascii="Times New Roman" w:hAnsi="Times New Roman"/>
          <w:sz w:val="24"/>
          <w:szCs w:val="24"/>
        </w:rPr>
      </w:pPr>
      <w:r w:rsidRPr="001F2E5E">
        <w:rPr>
          <w:rFonts w:ascii="Times New Roman" w:hAnsi="Times New Roman"/>
          <w:sz w:val="24"/>
          <w:szCs w:val="24"/>
        </w:rPr>
        <w:t xml:space="preserve">On </w:t>
      </w:r>
      <w:bookmarkStart w:id="364" w:name="_Hlk39839629"/>
      <w:r w:rsidRPr="001F2E5E">
        <w:rPr>
          <w:rFonts w:ascii="Times New Roman" w:hAnsi="Times New Roman"/>
          <w:sz w:val="24"/>
          <w:szCs w:val="24"/>
        </w:rPr>
        <w:t xml:space="preserve">July 8, 2019, in </w:t>
      </w:r>
      <w:r w:rsidRPr="001F2E5E">
        <w:rPr>
          <w:rFonts w:ascii="Times New Roman" w:hAnsi="Times New Roman"/>
          <w:sz w:val="24"/>
          <w:szCs w:val="24"/>
          <w:u w:val="single"/>
        </w:rPr>
        <w:t>David Webb v. Chesterfield County, Virginia</w:t>
      </w:r>
      <w:r>
        <w:rPr>
          <w:rFonts w:ascii="Times New Roman" w:hAnsi="Times New Roman"/>
          <w:sz w:val="24"/>
          <w:szCs w:val="24"/>
          <w:u w:val="single"/>
        </w:rPr>
        <w:t xml:space="preserve"> aka Chesterfield Fire And EMS</w:t>
      </w:r>
      <w:bookmarkEnd w:id="364"/>
      <w:r w:rsidRPr="001F2E5E">
        <w:rPr>
          <w:rFonts w:ascii="Times New Roman" w:hAnsi="Times New Roman"/>
          <w:sz w:val="24"/>
          <w:szCs w:val="24"/>
        </w:rPr>
        <w:t xml:space="preserve">, </w:t>
      </w:r>
      <w:r>
        <w:rPr>
          <w:rFonts w:ascii="Times New Roman" w:hAnsi="Times New Roman"/>
          <w:sz w:val="24"/>
          <w:szCs w:val="24"/>
        </w:rPr>
        <w:t xml:space="preserve">U.S. District Court Judge John A. Gibney, Jr. denied the County’s motion to dismiss, finding that the firefighter has alleged sufficient facts to proceed on his claim for failure to accommodate under Americans </w:t>
      </w:r>
      <w:proofErr w:type="gramStart"/>
      <w:r>
        <w:rPr>
          <w:rFonts w:ascii="Times New Roman" w:hAnsi="Times New Roman"/>
          <w:sz w:val="24"/>
          <w:szCs w:val="24"/>
        </w:rPr>
        <w:t>With</w:t>
      </w:r>
      <w:proofErr w:type="gramEnd"/>
      <w:r>
        <w:rPr>
          <w:rFonts w:ascii="Times New Roman" w:hAnsi="Times New Roman"/>
          <w:sz w:val="24"/>
          <w:szCs w:val="24"/>
        </w:rPr>
        <w:t xml:space="preserve"> Disabilities Act. </w:t>
      </w:r>
    </w:p>
    <w:p w14:paraId="0DC4F271" w14:textId="77777777" w:rsidR="002B1283" w:rsidRDefault="002B1283" w:rsidP="002B1283">
      <w:pPr>
        <w:ind w:left="720" w:firstLine="60"/>
        <w:rPr>
          <w:rFonts w:ascii="Times New Roman" w:hAnsi="Times New Roman"/>
          <w:sz w:val="24"/>
          <w:szCs w:val="24"/>
        </w:rPr>
      </w:pPr>
      <w:r>
        <w:rPr>
          <w:rFonts w:ascii="Times New Roman" w:hAnsi="Times New Roman"/>
          <w:sz w:val="24"/>
          <w:szCs w:val="24"/>
        </w:rPr>
        <w:t>“Under the ADA, an employer discriminates against an employee by failing to ‘</w:t>
      </w:r>
      <w:proofErr w:type="spellStart"/>
      <w:r>
        <w:rPr>
          <w:rFonts w:ascii="Times New Roman" w:hAnsi="Times New Roman"/>
          <w:sz w:val="24"/>
          <w:szCs w:val="24"/>
        </w:rPr>
        <w:t>mak</w:t>
      </w:r>
      <w:proofErr w:type="spellEnd"/>
      <w:r>
        <w:rPr>
          <w:rFonts w:ascii="Times New Roman" w:hAnsi="Times New Roman"/>
          <w:sz w:val="24"/>
          <w:szCs w:val="24"/>
        </w:rPr>
        <w:t xml:space="preserve">[e] reasonable accommodations to the known physical or mental limitations of an otherwise qualified individual with a disability … unless [the employer] can demonstrate that the accommodation would impose an undue hardship on the operation of the business[.]  42 USC 12112(b)(5)(A).” </w:t>
      </w:r>
      <w:bookmarkStart w:id="365" w:name="_Hlk39839646"/>
      <w:r w:rsidR="00DC51D4">
        <w:fldChar w:fldCharType="begin"/>
      </w:r>
      <w:r w:rsidR="00DC51D4">
        <w:instrText xml:space="preserve"> HYPERLINK "https://cases.justia.com/federal/district-courts/virginia/vaedce/3:2019cv00183/406487/16/0.pdf?ts=1562771986" </w:instrText>
      </w:r>
      <w:r w:rsidR="00DC51D4">
        <w:fldChar w:fldCharType="separate"/>
      </w:r>
      <w:r w:rsidRPr="00455844">
        <w:rPr>
          <w:rStyle w:val="Hyperlink"/>
          <w:rFonts w:ascii="Times New Roman" w:hAnsi="Times New Roman"/>
          <w:sz w:val="24"/>
          <w:szCs w:val="24"/>
        </w:rPr>
        <w:t>https://cases.justia.com/federal/district-courts/virginia/vaedce/3:2019cv00183/406487/16/0.pdf?ts=1562771986</w:t>
      </w:r>
      <w:r w:rsidR="00DC51D4">
        <w:rPr>
          <w:rStyle w:val="Hyperlink"/>
          <w:rFonts w:ascii="Times New Roman" w:hAnsi="Times New Roman"/>
          <w:sz w:val="24"/>
          <w:szCs w:val="24"/>
        </w:rPr>
        <w:fldChar w:fldCharType="end"/>
      </w:r>
      <w:r>
        <w:rPr>
          <w:rFonts w:ascii="Times New Roman" w:hAnsi="Times New Roman"/>
          <w:sz w:val="24"/>
          <w:szCs w:val="24"/>
        </w:rPr>
        <w:t xml:space="preserve"> </w:t>
      </w:r>
    </w:p>
    <w:bookmarkEnd w:id="365"/>
    <w:p w14:paraId="52E8FD38" w14:textId="77777777" w:rsidR="002B1283" w:rsidRPr="00E441EA" w:rsidRDefault="002B1283" w:rsidP="002B1283">
      <w:pPr>
        <w:pStyle w:val="NoSpacing"/>
        <w:rPr>
          <w:rFonts w:ascii="Times New Roman" w:hAnsi="Times New Roman"/>
          <w:b/>
          <w:bCs/>
          <w:sz w:val="24"/>
          <w:szCs w:val="24"/>
        </w:rPr>
      </w:pPr>
      <w:r w:rsidRPr="00E441EA">
        <w:rPr>
          <w:rFonts w:ascii="Times New Roman" w:hAnsi="Times New Roman"/>
          <w:b/>
          <w:bCs/>
          <w:sz w:val="24"/>
          <w:szCs w:val="24"/>
        </w:rPr>
        <w:t xml:space="preserve">Legal Lessons Learned: PTSD is a real issue in fire service. Studies have found that anywhere between approximately 7 percent and 37 percent of firefighters meet criteria for a current </w:t>
      </w:r>
      <w:hyperlink r:id="rId1726" w:history="1">
        <w:r w:rsidRPr="00E441EA">
          <w:rPr>
            <w:rStyle w:val="Hyperlink"/>
            <w:rFonts w:ascii="Times New Roman" w:hAnsi="Times New Roman"/>
            <w:b/>
            <w:bCs/>
            <w:sz w:val="24"/>
            <w:szCs w:val="24"/>
          </w:rPr>
          <w:t>diagnosis of PTSD</w:t>
        </w:r>
      </w:hyperlink>
      <w:r w:rsidRPr="00E441EA">
        <w:rPr>
          <w:rFonts w:ascii="Times New Roman" w:hAnsi="Times New Roman"/>
          <w:b/>
          <w:bCs/>
          <w:sz w:val="24"/>
          <w:szCs w:val="24"/>
        </w:rPr>
        <w:t xml:space="preserve">.   “Development of PTSD in Firefighters,”  </w:t>
      </w:r>
    </w:p>
    <w:p w14:paraId="4F47339F" w14:textId="77777777" w:rsidR="002B1283" w:rsidRPr="00E441EA" w:rsidRDefault="002B1283" w:rsidP="002B1283">
      <w:pPr>
        <w:pStyle w:val="NoSpacing"/>
        <w:rPr>
          <w:rFonts w:ascii="Times New Roman" w:hAnsi="Times New Roman"/>
          <w:b/>
          <w:bCs/>
          <w:sz w:val="24"/>
          <w:szCs w:val="24"/>
        </w:rPr>
      </w:pPr>
      <w:r w:rsidRPr="00E441EA">
        <w:rPr>
          <w:rFonts w:ascii="Times New Roman" w:hAnsi="Times New Roman"/>
          <w:b/>
          <w:bCs/>
          <w:sz w:val="24"/>
          <w:szCs w:val="24"/>
        </w:rPr>
        <w:t xml:space="preserve">(June 10, 2019), </w:t>
      </w:r>
      <w:hyperlink r:id="rId1727" w:history="1">
        <w:r w:rsidRPr="00E441EA">
          <w:rPr>
            <w:rStyle w:val="Hyperlink"/>
            <w:rFonts w:ascii="Times New Roman" w:hAnsi="Times New Roman"/>
            <w:b/>
            <w:bCs/>
            <w:sz w:val="24"/>
            <w:szCs w:val="24"/>
          </w:rPr>
          <w:t>https://www.verywellmind.com/rates-of-ptsd-in-firefighters-2797428</w:t>
        </w:r>
      </w:hyperlink>
      <w:r w:rsidRPr="00E441EA">
        <w:rPr>
          <w:rFonts w:ascii="Times New Roman" w:hAnsi="Times New Roman"/>
          <w:b/>
          <w:bCs/>
          <w:sz w:val="24"/>
          <w:szCs w:val="24"/>
        </w:rPr>
        <w:t xml:space="preserve">  </w:t>
      </w:r>
    </w:p>
    <w:p w14:paraId="6B7CCF40" w14:textId="77777777" w:rsidR="00AE0ACC" w:rsidRDefault="00AE0ACC" w:rsidP="00F326E5">
      <w:pPr>
        <w:pStyle w:val="NoSpacing"/>
        <w:rPr>
          <w:sz w:val="24"/>
          <w:szCs w:val="24"/>
        </w:rPr>
      </w:pPr>
    </w:p>
    <w:p w14:paraId="4521B1D2" w14:textId="77777777" w:rsidR="00AE0ACC" w:rsidRDefault="00AE0ACC" w:rsidP="00DE0F03">
      <w:pPr>
        <w:rPr>
          <w:rFonts w:ascii="Arial Black" w:hAnsi="Arial Black"/>
          <w:b/>
          <w:sz w:val="24"/>
          <w:szCs w:val="24"/>
        </w:rPr>
      </w:pPr>
    </w:p>
    <w:p w14:paraId="6750B9A4" w14:textId="2E27BA45" w:rsidR="002B1283" w:rsidRDefault="00DE0F03" w:rsidP="00DE0F03">
      <w:pPr>
        <w:rPr>
          <w:sz w:val="24"/>
          <w:szCs w:val="24"/>
        </w:rPr>
      </w:pPr>
      <w:r>
        <w:rPr>
          <w:rFonts w:ascii="Arial Black" w:hAnsi="Arial Black"/>
          <w:b/>
          <w:sz w:val="24"/>
          <w:szCs w:val="24"/>
        </w:rPr>
        <w:t>9</w:t>
      </w:r>
      <w:r w:rsidRPr="00EF1133">
        <w:rPr>
          <w:rFonts w:ascii="Arial Black" w:hAnsi="Arial Black"/>
          <w:b/>
          <w:sz w:val="24"/>
          <w:szCs w:val="24"/>
        </w:rPr>
        <w:t>-</w:t>
      </w:r>
      <w:r>
        <w:rPr>
          <w:rFonts w:ascii="Arial Black" w:hAnsi="Arial Black"/>
          <w:b/>
          <w:sz w:val="24"/>
          <w:szCs w:val="24"/>
        </w:rPr>
        <w:t>4</w:t>
      </w:r>
    </w:p>
    <w:p w14:paraId="02FD01C6" w14:textId="77777777" w:rsidR="002B1283" w:rsidRDefault="002B1283" w:rsidP="002B1283">
      <w:pPr>
        <w:rPr>
          <w:rFonts w:ascii="Arial Black" w:hAnsi="Arial Black"/>
          <w:sz w:val="28"/>
          <w:szCs w:val="28"/>
        </w:rPr>
      </w:pPr>
      <w:r>
        <w:rPr>
          <w:rFonts w:ascii="Arial Black" w:hAnsi="Arial Black"/>
          <w:sz w:val="28"/>
          <w:szCs w:val="28"/>
        </w:rPr>
        <w:t>TX: PARAMEDIC INJURED ANKLE ON ICE COMING TO WORK - OFF 13 DAYS – LATER FIRED FOR MISSING SHIFTS – LAWSUIT DISMISSED</w:t>
      </w:r>
    </w:p>
    <w:p w14:paraId="3F39C805" w14:textId="77777777" w:rsidR="002B1283" w:rsidRDefault="002B1283" w:rsidP="002B1283">
      <w:pPr>
        <w:pStyle w:val="NoSpacing"/>
        <w:rPr>
          <w:rFonts w:ascii="Times New Roman" w:hAnsi="Times New Roman"/>
          <w:sz w:val="24"/>
          <w:szCs w:val="24"/>
        </w:rPr>
      </w:pPr>
      <w:r w:rsidRPr="00152892">
        <w:rPr>
          <w:rFonts w:ascii="Times New Roman" w:hAnsi="Times New Roman"/>
          <w:sz w:val="24"/>
          <w:szCs w:val="24"/>
        </w:rPr>
        <w:t xml:space="preserve">On July 3, 2019, in </w:t>
      </w:r>
      <w:r w:rsidRPr="00152892">
        <w:rPr>
          <w:rFonts w:ascii="Times New Roman" w:hAnsi="Times New Roman"/>
          <w:sz w:val="24"/>
          <w:szCs w:val="24"/>
          <w:u w:val="single"/>
        </w:rPr>
        <w:t>Michael Bankhead v. Lifeguard Ambulance Service of Texas</w:t>
      </w:r>
      <w:r w:rsidRPr="00152892">
        <w:rPr>
          <w:rFonts w:ascii="Times New Roman" w:hAnsi="Times New Roman"/>
          <w:sz w:val="24"/>
          <w:szCs w:val="24"/>
        </w:rPr>
        <w:t xml:space="preserve">, U.S. District Court Judge John McBryde granted the employer’s motion for summary judgment.  </w:t>
      </w:r>
    </w:p>
    <w:p w14:paraId="26BB3F69" w14:textId="77777777" w:rsidR="002B1283" w:rsidRDefault="002B1283" w:rsidP="002B1283">
      <w:pPr>
        <w:pStyle w:val="NoSpacing"/>
        <w:rPr>
          <w:rFonts w:ascii="Times New Roman" w:hAnsi="Times New Roman"/>
          <w:sz w:val="24"/>
          <w:szCs w:val="24"/>
        </w:rPr>
      </w:pPr>
    </w:p>
    <w:p w14:paraId="787C7695" w14:textId="77777777" w:rsidR="002B1283" w:rsidRDefault="002B1283" w:rsidP="002B1283">
      <w:pPr>
        <w:pStyle w:val="NoSpacing"/>
        <w:ind w:left="720"/>
        <w:rPr>
          <w:rFonts w:ascii="Times New Roman" w:hAnsi="Times New Roman"/>
          <w:sz w:val="24"/>
          <w:szCs w:val="24"/>
        </w:rPr>
      </w:pPr>
      <w:r w:rsidRPr="00152892">
        <w:rPr>
          <w:rFonts w:ascii="Times New Roman" w:hAnsi="Times New Roman"/>
          <w:sz w:val="24"/>
          <w:szCs w:val="24"/>
        </w:rPr>
        <w:lastRenderedPageBreak/>
        <w:t>“In this case, plaintiff has not shown that he suffered from a disability under the ADA. In fact, he pleaded that his injury was only temporary… (plaintiff injured his foot on January 13, 2017, wore a boot to stabilize his ankle, and was cleared to return to work on January 26, 2017). In his summary judgment response, he mentions that he has diabetes…. But, even if true, simply having a diagnosis does not amount to proof that one has an impairment under the ADA.</w:t>
      </w:r>
      <w:r>
        <w:rPr>
          <w:rFonts w:ascii="Times New Roman" w:hAnsi="Times New Roman"/>
          <w:sz w:val="24"/>
          <w:szCs w:val="24"/>
        </w:rPr>
        <w:t>”</w:t>
      </w:r>
    </w:p>
    <w:p w14:paraId="59DE315B" w14:textId="77777777" w:rsidR="002B1283" w:rsidRPr="00152892" w:rsidRDefault="002B1283" w:rsidP="002B1283">
      <w:pPr>
        <w:pStyle w:val="NoSpacing"/>
        <w:ind w:left="720"/>
        <w:rPr>
          <w:rFonts w:ascii="Times New Roman" w:hAnsi="Times New Roman"/>
          <w:sz w:val="24"/>
          <w:szCs w:val="24"/>
        </w:rPr>
      </w:pPr>
      <w:r w:rsidRPr="00152892">
        <w:rPr>
          <w:rFonts w:ascii="Times New Roman" w:hAnsi="Times New Roman"/>
          <w:sz w:val="24"/>
          <w:szCs w:val="24"/>
        </w:rPr>
        <w:t xml:space="preserve"> </w:t>
      </w:r>
      <w:hyperlink r:id="rId1728" w:history="1">
        <w:r w:rsidRPr="0076015A">
          <w:rPr>
            <w:rStyle w:val="Hyperlink"/>
            <w:rFonts w:ascii="Times New Roman" w:hAnsi="Times New Roman"/>
            <w:sz w:val="24"/>
            <w:szCs w:val="24"/>
          </w:rPr>
          <w:t>https://www.leagle.com/decision/infdco20190708957</w:t>
        </w:r>
      </w:hyperlink>
      <w:r>
        <w:rPr>
          <w:rFonts w:ascii="Times New Roman" w:hAnsi="Times New Roman"/>
          <w:sz w:val="24"/>
          <w:szCs w:val="24"/>
        </w:rPr>
        <w:t xml:space="preserve"> </w:t>
      </w:r>
    </w:p>
    <w:p w14:paraId="3C185A62" w14:textId="77777777" w:rsidR="002B1283" w:rsidRDefault="002B1283" w:rsidP="002B1283">
      <w:pPr>
        <w:pStyle w:val="NoSpacing"/>
        <w:rPr>
          <w:rFonts w:ascii="Times New Roman" w:hAnsi="Times New Roman"/>
        </w:rPr>
      </w:pPr>
    </w:p>
    <w:p w14:paraId="4578C5B8" w14:textId="77777777" w:rsidR="002B1283" w:rsidRDefault="002B1283" w:rsidP="002B1283">
      <w:pPr>
        <w:pStyle w:val="NoSpacing"/>
        <w:ind w:left="720"/>
        <w:rPr>
          <w:rFonts w:ascii="Times New Roman" w:hAnsi="Times New Roman"/>
          <w:sz w:val="24"/>
          <w:szCs w:val="24"/>
        </w:rPr>
      </w:pPr>
    </w:p>
    <w:p w14:paraId="4546021B" w14:textId="77777777" w:rsidR="002B1283" w:rsidRDefault="002B1283" w:rsidP="002B1283">
      <w:pPr>
        <w:pStyle w:val="NoSpacing"/>
        <w:rPr>
          <w:rFonts w:ascii="Times New Roman" w:hAnsi="Times New Roman"/>
          <w:b/>
          <w:bCs/>
          <w:sz w:val="24"/>
          <w:szCs w:val="24"/>
        </w:rPr>
      </w:pPr>
      <w:r w:rsidRPr="00152892">
        <w:rPr>
          <w:rFonts w:ascii="Times New Roman" w:hAnsi="Times New Roman"/>
          <w:b/>
          <w:bCs/>
          <w:sz w:val="24"/>
          <w:szCs w:val="24"/>
        </w:rPr>
        <w:t xml:space="preserve">Legal Lessons Learned: </w:t>
      </w:r>
      <w:r>
        <w:rPr>
          <w:rFonts w:ascii="Times New Roman" w:hAnsi="Times New Roman"/>
          <w:b/>
          <w:bCs/>
          <w:sz w:val="24"/>
          <w:szCs w:val="24"/>
        </w:rPr>
        <w:t xml:space="preserve">Impairment under ADA must be permanent or long term; even a broken leg does not qualify as a “disability.”  </w:t>
      </w:r>
    </w:p>
    <w:p w14:paraId="29CB8C9E" w14:textId="77777777" w:rsidR="002B1283" w:rsidRDefault="002B1283" w:rsidP="002B1283">
      <w:pPr>
        <w:pStyle w:val="NoSpacing"/>
        <w:rPr>
          <w:rFonts w:ascii="Times New Roman" w:hAnsi="Times New Roman"/>
          <w:b/>
          <w:bCs/>
          <w:sz w:val="24"/>
          <w:szCs w:val="24"/>
        </w:rPr>
      </w:pPr>
    </w:p>
    <w:p w14:paraId="00DE55D4" w14:textId="77777777" w:rsidR="002B1283" w:rsidRDefault="002B1283" w:rsidP="002B1283">
      <w:pPr>
        <w:pStyle w:val="NoSpacing"/>
        <w:ind w:left="720"/>
        <w:rPr>
          <w:rFonts w:ascii="Times New Roman" w:hAnsi="Times New Roman"/>
          <w:sz w:val="24"/>
          <w:szCs w:val="24"/>
        </w:rPr>
      </w:pPr>
      <w:r w:rsidRPr="00E441EA">
        <w:rPr>
          <w:rFonts w:ascii="Times New Roman" w:hAnsi="Times New Roman"/>
          <w:sz w:val="24"/>
          <w:szCs w:val="24"/>
        </w:rPr>
        <w:t xml:space="preserve">Under ADA, a “disability” is defined as: "(A) a physical or mental impairment that substantially limits one or more major life activities of such individual; (B) a record of such an impairment; or (C) being regarded as having such an impairment." 42 U.S.C. § 12102(1).  </w:t>
      </w:r>
    </w:p>
    <w:p w14:paraId="6C8F63FB" w14:textId="77777777" w:rsidR="002B1283" w:rsidRDefault="002B1283" w:rsidP="002B1283">
      <w:pPr>
        <w:pStyle w:val="NoSpacing"/>
        <w:rPr>
          <w:rFonts w:ascii="Times New Roman" w:hAnsi="Times New Roman"/>
          <w:sz w:val="24"/>
          <w:szCs w:val="24"/>
        </w:rPr>
      </w:pPr>
    </w:p>
    <w:p w14:paraId="500FF5F9" w14:textId="77777777" w:rsidR="00AE0ACC" w:rsidRDefault="00AE0ACC" w:rsidP="00AE0ACC">
      <w:pPr>
        <w:pStyle w:val="NoSpacing"/>
        <w:rPr>
          <w:sz w:val="24"/>
          <w:szCs w:val="24"/>
        </w:rPr>
      </w:pPr>
    </w:p>
    <w:p w14:paraId="50BD2338" w14:textId="3687750A" w:rsidR="002B1283" w:rsidRDefault="00DE0F03" w:rsidP="00DE0F03">
      <w:pPr>
        <w:rPr>
          <w:rFonts w:ascii="Arial Black" w:hAnsi="Arial Black"/>
          <w:sz w:val="28"/>
          <w:szCs w:val="28"/>
        </w:rPr>
      </w:pPr>
      <w:r>
        <w:rPr>
          <w:rFonts w:ascii="Arial Black" w:hAnsi="Arial Black"/>
          <w:b/>
          <w:sz w:val="24"/>
          <w:szCs w:val="24"/>
        </w:rPr>
        <w:t>9</w:t>
      </w:r>
      <w:r w:rsidRPr="00EF1133">
        <w:rPr>
          <w:rFonts w:ascii="Arial Black" w:hAnsi="Arial Black"/>
          <w:b/>
          <w:sz w:val="24"/>
          <w:szCs w:val="24"/>
        </w:rPr>
        <w:t>-</w:t>
      </w:r>
      <w:r>
        <w:rPr>
          <w:rFonts w:ascii="Arial Black" w:hAnsi="Arial Black"/>
          <w:b/>
          <w:sz w:val="24"/>
          <w:szCs w:val="24"/>
        </w:rPr>
        <w:t>3</w:t>
      </w:r>
    </w:p>
    <w:p w14:paraId="770171D7" w14:textId="6B87B87A" w:rsidR="00F326E5" w:rsidRDefault="00F326E5" w:rsidP="00F326E5">
      <w:pPr>
        <w:pStyle w:val="NoSpacing"/>
        <w:rPr>
          <w:rFonts w:ascii="Arial Black" w:hAnsi="Arial Black"/>
          <w:sz w:val="28"/>
          <w:szCs w:val="28"/>
        </w:rPr>
      </w:pPr>
      <w:bookmarkStart w:id="366" w:name="_Hlk39771248"/>
      <w:r>
        <w:rPr>
          <w:rFonts w:ascii="Arial Black" w:hAnsi="Arial Black"/>
          <w:sz w:val="28"/>
          <w:szCs w:val="28"/>
        </w:rPr>
        <w:t xml:space="preserve">WI: </w:t>
      </w:r>
      <w:r w:rsidRPr="00C667EE">
        <w:rPr>
          <w:rFonts w:ascii="Arial Black" w:hAnsi="Arial Black"/>
          <w:sz w:val="28"/>
          <w:szCs w:val="28"/>
        </w:rPr>
        <w:t xml:space="preserve">INJURED ANKLE </w:t>
      </w:r>
      <w:r>
        <w:rPr>
          <w:rFonts w:ascii="Arial Black" w:hAnsi="Arial Black"/>
          <w:sz w:val="28"/>
          <w:szCs w:val="28"/>
        </w:rPr>
        <w:t xml:space="preserve">– GIVEN “LIGHT DUTY” BUT TENNIS SHOES NOT ALLOWED – LAWSUIT MAY PROCEED </w:t>
      </w:r>
    </w:p>
    <w:p w14:paraId="7DF9EAFC" w14:textId="77777777" w:rsidR="00BF4DDE" w:rsidRDefault="00BF4DDE" w:rsidP="00F326E5">
      <w:pPr>
        <w:pStyle w:val="NoSpacing"/>
        <w:rPr>
          <w:rFonts w:ascii="Times New Roman" w:hAnsi="Times New Roman"/>
          <w:sz w:val="24"/>
          <w:szCs w:val="24"/>
        </w:rPr>
      </w:pPr>
    </w:p>
    <w:p w14:paraId="0D7941F0" w14:textId="22AA6538" w:rsidR="00F326E5" w:rsidRPr="00BF4DDE" w:rsidRDefault="00F326E5" w:rsidP="00F326E5">
      <w:pPr>
        <w:pStyle w:val="NoSpacing"/>
        <w:rPr>
          <w:rStyle w:val="Hyperlink"/>
          <w:rFonts w:ascii="Times New Roman" w:hAnsi="Times New Roman"/>
          <w:sz w:val="24"/>
          <w:szCs w:val="24"/>
        </w:rPr>
      </w:pPr>
      <w:r w:rsidRPr="00BF4DDE">
        <w:rPr>
          <w:rFonts w:ascii="Times New Roman" w:hAnsi="Times New Roman"/>
          <w:sz w:val="24"/>
          <w:szCs w:val="24"/>
        </w:rPr>
        <w:t xml:space="preserve">On Feb. 27, 2019, in </w:t>
      </w:r>
      <w:r w:rsidRPr="00BF4DDE">
        <w:rPr>
          <w:rFonts w:ascii="Times New Roman" w:hAnsi="Times New Roman"/>
          <w:sz w:val="24"/>
          <w:szCs w:val="24"/>
          <w:u w:val="single"/>
        </w:rPr>
        <w:t>Keith Daniel v. City of Minneapolis</w:t>
      </w:r>
      <w:r w:rsidRPr="00BF4DDE">
        <w:rPr>
          <w:rFonts w:ascii="Times New Roman" w:hAnsi="Times New Roman"/>
          <w:sz w:val="24"/>
          <w:szCs w:val="24"/>
        </w:rPr>
        <w:t xml:space="preserve">, the Supreme Court of MN held (5 to 2), “To give effect to the plain language of the workers’ compensation act and the human rights act, we hold that an employee can pursue claims under each act because each act provides a distinct cause of action that redresses a discrete type of injury to an employee.” </w:t>
      </w:r>
      <w:hyperlink r:id="rId1729" w:history="1">
        <w:r w:rsidRPr="00BF4DDE">
          <w:rPr>
            <w:rStyle w:val="Hyperlink"/>
            <w:rFonts w:ascii="Times New Roman" w:hAnsi="Times New Roman"/>
            <w:sz w:val="24"/>
            <w:szCs w:val="24"/>
          </w:rPr>
          <w:t>https://cases.justia.com/minnesota/supreme-court/2019-a17-0141.pdf?ts=1551286256</w:t>
        </w:r>
      </w:hyperlink>
    </w:p>
    <w:bookmarkEnd w:id="366"/>
    <w:p w14:paraId="457FE752" w14:textId="77777777" w:rsidR="00DE37CD" w:rsidRDefault="00DE37CD" w:rsidP="00F326E5">
      <w:pPr>
        <w:pStyle w:val="NoSpacing"/>
        <w:rPr>
          <w:rFonts w:ascii="Times New Roman" w:hAnsi="Times New Roman"/>
          <w:b/>
          <w:sz w:val="24"/>
          <w:szCs w:val="24"/>
        </w:rPr>
      </w:pPr>
    </w:p>
    <w:p w14:paraId="7FE35F56" w14:textId="014815FB" w:rsidR="00F326E5" w:rsidRDefault="00F326E5" w:rsidP="00F326E5">
      <w:pPr>
        <w:pStyle w:val="NoSpacing"/>
        <w:rPr>
          <w:rFonts w:ascii="Times New Roman" w:hAnsi="Times New Roman"/>
          <w:b/>
          <w:sz w:val="24"/>
          <w:szCs w:val="24"/>
        </w:rPr>
      </w:pPr>
      <w:bookmarkStart w:id="367" w:name="_Hlk40512128"/>
      <w:r w:rsidRPr="00BF4DDE">
        <w:rPr>
          <w:rFonts w:ascii="Times New Roman" w:hAnsi="Times New Roman"/>
          <w:b/>
          <w:sz w:val="24"/>
          <w:szCs w:val="24"/>
        </w:rPr>
        <w:t xml:space="preserve">Legal Lessons Learned:  FD dress policies, including policies on “station shoes” may need to be modified to “reasonably accommodate” a firefighter on light duty for an ankle injury.  This case will now go to a jury trial, unless settled. </w:t>
      </w:r>
    </w:p>
    <w:bookmarkEnd w:id="367"/>
    <w:p w14:paraId="6CA659FA" w14:textId="77777777" w:rsidR="00DE37CD" w:rsidRDefault="00DE37CD" w:rsidP="00F326E5">
      <w:pPr>
        <w:pStyle w:val="NoSpacing"/>
        <w:ind w:left="720"/>
        <w:rPr>
          <w:rFonts w:ascii="Times New Roman" w:hAnsi="Times New Roman"/>
          <w:b/>
          <w:sz w:val="24"/>
          <w:szCs w:val="24"/>
        </w:rPr>
      </w:pPr>
    </w:p>
    <w:p w14:paraId="50CD6D90" w14:textId="18F6876C" w:rsidR="00F326E5" w:rsidRPr="00BF4DDE" w:rsidRDefault="00F7048C" w:rsidP="00DE37CD">
      <w:pPr>
        <w:pStyle w:val="NoSpacing"/>
        <w:rPr>
          <w:rFonts w:ascii="Times New Roman" w:hAnsi="Times New Roman"/>
          <w:sz w:val="24"/>
          <w:szCs w:val="24"/>
        </w:rPr>
      </w:pPr>
      <w:bookmarkStart w:id="368" w:name="_Hlk40512160"/>
      <w:r>
        <w:rPr>
          <w:rFonts w:ascii="Times New Roman" w:hAnsi="Times New Roman"/>
          <w:sz w:val="24"/>
          <w:szCs w:val="24"/>
        </w:rPr>
        <w:t xml:space="preserve">Note:  </w:t>
      </w:r>
      <w:r w:rsidR="00F326E5" w:rsidRPr="00BF4DDE">
        <w:rPr>
          <w:rFonts w:ascii="Times New Roman" w:hAnsi="Times New Roman"/>
          <w:sz w:val="24"/>
          <w:szCs w:val="24"/>
        </w:rPr>
        <w:t xml:space="preserve">See article about </w:t>
      </w:r>
      <w:r>
        <w:rPr>
          <w:rFonts w:ascii="Times New Roman" w:hAnsi="Times New Roman"/>
          <w:sz w:val="24"/>
          <w:szCs w:val="24"/>
        </w:rPr>
        <w:t xml:space="preserve">the </w:t>
      </w:r>
      <w:r w:rsidR="00F326E5" w:rsidRPr="00BF4DDE">
        <w:rPr>
          <w:rFonts w:ascii="Times New Roman" w:hAnsi="Times New Roman"/>
          <w:sz w:val="24"/>
          <w:szCs w:val="24"/>
        </w:rPr>
        <w:t xml:space="preserve">case: </w:t>
      </w:r>
      <w:hyperlink r:id="rId1730" w:history="1">
        <w:r w:rsidR="00F326E5" w:rsidRPr="00BF4DDE">
          <w:rPr>
            <w:rStyle w:val="Hyperlink"/>
            <w:rFonts w:ascii="Times New Roman" w:hAnsi="Times New Roman"/>
            <w:sz w:val="24"/>
            <w:szCs w:val="24"/>
          </w:rPr>
          <w:t>http://www.startribune.com/former-mpls-firefighter-will-be-able-to-sue-for-disability-discrimination-high-court-rules/506468082/</w:t>
        </w:r>
      </w:hyperlink>
      <w:r w:rsidR="00F326E5" w:rsidRPr="00BF4DDE">
        <w:rPr>
          <w:rFonts w:ascii="Times New Roman" w:hAnsi="Times New Roman"/>
          <w:sz w:val="24"/>
          <w:szCs w:val="24"/>
        </w:rPr>
        <w:t xml:space="preserve"> </w:t>
      </w:r>
    </w:p>
    <w:bookmarkEnd w:id="346"/>
    <w:bookmarkEnd w:id="368"/>
    <w:p w14:paraId="7B12A446" w14:textId="77777777" w:rsidR="00C17A9D" w:rsidRPr="00BF4DDE" w:rsidRDefault="00C17A9D" w:rsidP="00C17A9D">
      <w:pPr>
        <w:pStyle w:val="NoSpacing"/>
        <w:rPr>
          <w:rFonts w:ascii="Times New Roman" w:hAnsi="Times New Roman"/>
          <w:bCs/>
          <w:sz w:val="24"/>
          <w:szCs w:val="24"/>
        </w:rPr>
      </w:pPr>
    </w:p>
    <w:p w14:paraId="73F108F2" w14:textId="55D0B9B8" w:rsidR="00F326E5" w:rsidRDefault="00F326E5" w:rsidP="00F326E5">
      <w:pPr>
        <w:pStyle w:val="NoSpacing"/>
        <w:rPr>
          <w:rFonts w:ascii="Arial Black" w:hAnsi="Arial Black"/>
          <w:sz w:val="40"/>
          <w:szCs w:val="40"/>
        </w:rPr>
      </w:pPr>
    </w:p>
    <w:p w14:paraId="4371BC5B" w14:textId="77777777" w:rsidR="00C17A9D" w:rsidRDefault="00C17A9D" w:rsidP="00F326E5">
      <w:pPr>
        <w:pStyle w:val="NoSpacing"/>
        <w:rPr>
          <w:rFonts w:ascii="Arial Black" w:hAnsi="Arial Black"/>
          <w:sz w:val="40"/>
          <w:szCs w:val="40"/>
        </w:rPr>
      </w:pPr>
    </w:p>
    <w:p w14:paraId="6DF46BDA" w14:textId="5AC36D6D" w:rsidR="00DE0F03" w:rsidRDefault="00DE0F03" w:rsidP="00DE0F03">
      <w:pPr>
        <w:rPr>
          <w:sz w:val="24"/>
          <w:szCs w:val="24"/>
        </w:rPr>
      </w:pPr>
      <w:r>
        <w:rPr>
          <w:rFonts w:ascii="Arial Black" w:hAnsi="Arial Black"/>
          <w:b/>
          <w:sz w:val="24"/>
          <w:szCs w:val="24"/>
        </w:rPr>
        <w:t>9</w:t>
      </w:r>
      <w:r w:rsidRPr="00EF1133">
        <w:rPr>
          <w:rFonts w:ascii="Arial Black" w:hAnsi="Arial Black"/>
          <w:b/>
          <w:sz w:val="24"/>
          <w:szCs w:val="24"/>
        </w:rPr>
        <w:t>-</w:t>
      </w:r>
      <w:r>
        <w:rPr>
          <w:rFonts w:ascii="Arial Black" w:hAnsi="Arial Black"/>
          <w:b/>
          <w:sz w:val="24"/>
          <w:szCs w:val="24"/>
        </w:rPr>
        <w:t>2</w:t>
      </w:r>
    </w:p>
    <w:p w14:paraId="400DE305" w14:textId="4DD16CE0" w:rsidR="00F326E5" w:rsidRPr="00C270C6" w:rsidRDefault="00F326E5" w:rsidP="00F326E5">
      <w:pPr>
        <w:pStyle w:val="NoSpacing"/>
        <w:rPr>
          <w:rFonts w:ascii="Arial Black" w:hAnsi="Arial Black"/>
          <w:b/>
          <w:sz w:val="28"/>
          <w:szCs w:val="28"/>
        </w:rPr>
      </w:pPr>
      <w:bookmarkStart w:id="369" w:name="_Hlk7344988"/>
      <w:r w:rsidRPr="00C270C6">
        <w:rPr>
          <w:rFonts w:ascii="Arial Black" w:hAnsi="Arial Black"/>
          <w:b/>
          <w:sz w:val="28"/>
          <w:szCs w:val="28"/>
        </w:rPr>
        <w:t>LA</w:t>
      </w:r>
      <w:r>
        <w:rPr>
          <w:rFonts w:ascii="Arial Black" w:hAnsi="Arial Black"/>
          <w:b/>
          <w:sz w:val="28"/>
          <w:szCs w:val="28"/>
        </w:rPr>
        <w:t xml:space="preserve">: </w:t>
      </w:r>
      <w:r w:rsidRPr="00C270C6">
        <w:rPr>
          <w:rFonts w:ascii="Arial Black" w:hAnsi="Arial Black"/>
          <w:b/>
          <w:sz w:val="28"/>
          <w:szCs w:val="28"/>
        </w:rPr>
        <w:t>BACK INJURY, RETIRING FF FAILED TO TIMELY FILE FOR DISABILITY BENEFITS</w:t>
      </w:r>
    </w:p>
    <w:p w14:paraId="404AF258" w14:textId="77777777" w:rsidR="00BF4DDE" w:rsidRDefault="00F326E5" w:rsidP="00F326E5">
      <w:pPr>
        <w:rPr>
          <w:rFonts w:ascii="Times New Roman" w:eastAsia="Times New Roman" w:hAnsi="Times New Roman"/>
          <w:sz w:val="24"/>
          <w:szCs w:val="24"/>
        </w:rPr>
      </w:pPr>
      <w:r w:rsidRPr="00BF4DDE">
        <w:rPr>
          <w:rFonts w:ascii="Times New Roman" w:eastAsia="Times New Roman" w:hAnsi="Times New Roman"/>
          <w:sz w:val="24"/>
          <w:szCs w:val="24"/>
        </w:rPr>
        <w:t xml:space="preserve">On Nov. 21, 2018, in </w:t>
      </w:r>
      <w:r w:rsidRPr="00BF4DDE">
        <w:rPr>
          <w:rFonts w:ascii="Times New Roman" w:eastAsia="Times New Roman" w:hAnsi="Times New Roman"/>
          <w:sz w:val="24"/>
          <w:szCs w:val="24"/>
          <w:u w:val="single"/>
        </w:rPr>
        <w:t>Brian Mule v. St. Bernard Parish Fire Department</w:t>
      </w:r>
      <w:r w:rsidRPr="00BF4DDE">
        <w:rPr>
          <w:rFonts w:ascii="Times New Roman" w:eastAsia="Times New Roman" w:hAnsi="Times New Roman"/>
          <w:sz w:val="24"/>
          <w:szCs w:val="24"/>
        </w:rPr>
        <w:t>, the Court of Appeal, 4</w:t>
      </w:r>
      <w:r w:rsidRPr="00BF4DDE">
        <w:rPr>
          <w:rFonts w:ascii="Times New Roman" w:eastAsia="Times New Roman" w:hAnsi="Times New Roman"/>
          <w:sz w:val="24"/>
          <w:szCs w:val="24"/>
          <w:vertAlign w:val="superscript"/>
        </w:rPr>
        <w:t>th</w:t>
      </w:r>
      <w:r w:rsidRPr="00BF4DDE">
        <w:rPr>
          <w:rFonts w:ascii="Times New Roman" w:eastAsia="Times New Roman" w:hAnsi="Times New Roman"/>
          <w:sz w:val="24"/>
          <w:szCs w:val="24"/>
        </w:rPr>
        <w:t xml:space="preserve"> District held (3 to 0) that Office of Workers Compensation trial judge properly ruled that the employee was not entitled to supplemental benefits: </w:t>
      </w:r>
    </w:p>
    <w:p w14:paraId="6FCB1BF8" w14:textId="10C06763" w:rsidR="00F326E5" w:rsidRPr="00BF4DDE" w:rsidRDefault="00F326E5" w:rsidP="00BF4DDE">
      <w:pPr>
        <w:ind w:left="720"/>
        <w:rPr>
          <w:rFonts w:ascii="Times New Roman" w:eastAsia="Times New Roman" w:hAnsi="Times New Roman"/>
          <w:sz w:val="24"/>
          <w:szCs w:val="24"/>
        </w:rPr>
      </w:pPr>
      <w:r w:rsidRPr="00BF4DDE">
        <w:rPr>
          <w:rFonts w:ascii="Times New Roman" w:eastAsia="Times New Roman" w:hAnsi="Times New Roman"/>
          <w:sz w:val="24"/>
          <w:szCs w:val="24"/>
        </w:rPr>
        <w:t xml:space="preserve">“Mr. Mule waited more than seven years after this May 22, </w:t>
      </w:r>
      <w:proofErr w:type="gramStart"/>
      <w:r w:rsidRPr="00BF4DDE">
        <w:rPr>
          <w:rFonts w:ascii="Times New Roman" w:eastAsia="Times New Roman" w:hAnsi="Times New Roman"/>
          <w:sz w:val="24"/>
          <w:szCs w:val="24"/>
        </w:rPr>
        <w:t>2009</w:t>
      </w:r>
      <w:proofErr w:type="gramEnd"/>
      <w:r w:rsidRPr="00BF4DDE">
        <w:rPr>
          <w:rFonts w:ascii="Times New Roman" w:eastAsia="Times New Roman" w:hAnsi="Times New Roman"/>
          <w:sz w:val="24"/>
          <w:szCs w:val="24"/>
        </w:rPr>
        <w:t xml:space="preserve"> injury to pursue his claim for indemnity benefits. The OWC, having reviewed the record, exhibits and listening to the testimony of Mr. Mule and Ms. Bradbury, held that Mr. Mule did not establish that he was lulled into not filing a </w:t>
      </w:r>
      <w:r w:rsidRPr="00BF4DDE">
        <w:rPr>
          <w:rFonts w:ascii="Times New Roman" w:eastAsia="Times New Roman" w:hAnsi="Times New Roman"/>
          <w:sz w:val="24"/>
          <w:szCs w:val="24"/>
        </w:rPr>
        <w:lastRenderedPageBreak/>
        <w:t xml:space="preserve">claim within the prescriptive period under the totality of the </w:t>
      </w:r>
      <w:proofErr w:type="gramStart"/>
      <w:r w:rsidRPr="00BF4DDE">
        <w:rPr>
          <w:rFonts w:ascii="Times New Roman" w:eastAsia="Times New Roman" w:hAnsi="Times New Roman"/>
          <w:sz w:val="24"/>
          <w:szCs w:val="24"/>
        </w:rPr>
        <w:t>circumstances.”</w:t>
      </w:r>
      <w:proofErr w:type="gramEnd"/>
      <w:r w:rsidRPr="00BF4DDE">
        <w:rPr>
          <w:rFonts w:ascii="Times New Roman" w:eastAsia="Times New Roman" w:hAnsi="Times New Roman"/>
          <w:sz w:val="24"/>
          <w:szCs w:val="24"/>
        </w:rPr>
        <w:t xml:space="preserve"> </w:t>
      </w:r>
      <w:hyperlink r:id="rId1731" w:history="1">
        <w:r w:rsidRPr="00BF4DDE">
          <w:rPr>
            <w:rStyle w:val="Hyperlink"/>
            <w:rFonts w:ascii="Times New Roman" w:hAnsi="Times New Roman"/>
            <w:sz w:val="24"/>
            <w:szCs w:val="24"/>
          </w:rPr>
          <w:t>https://cases.justia.com/louisiana/fourth-circuit-court-of-appeal/2018-2018-ca-0507.pdf?ts=1542839104</w:t>
        </w:r>
      </w:hyperlink>
      <w:r w:rsidRPr="00BF4DDE">
        <w:rPr>
          <w:rFonts w:ascii="Times New Roman" w:eastAsia="Times New Roman" w:hAnsi="Times New Roman"/>
          <w:sz w:val="24"/>
          <w:szCs w:val="24"/>
        </w:rPr>
        <w:t xml:space="preserve"> </w:t>
      </w:r>
    </w:p>
    <w:p w14:paraId="5DFCE6A3" w14:textId="77777777" w:rsidR="00F326E5" w:rsidRPr="00BF4DDE" w:rsidRDefault="00F326E5" w:rsidP="00F326E5">
      <w:pPr>
        <w:rPr>
          <w:rFonts w:ascii="Times New Roman" w:eastAsia="Times New Roman" w:hAnsi="Times New Roman"/>
          <w:b/>
          <w:sz w:val="24"/>
          <w:szCs w:val="24"/>
        </w:rPr>
      </w:pPr>
      <w:r w:rsidRPr="00BF4DDE">
        <w:rPr>
          <w:rFonts w:ascii="Times New Roman" w:eastAsia="Times New Roman" w:hAnsi="Times New Roman"/>
          <w:b/>
          <w:sz w:val="24"/>
          <w:szCs w:val="24"/>
        </w:rPr>
        <w:t xml:space="preserve">Legal Lessons Learned:  Fire &amp; EMS personnel, injured on the job and facing disability retirement, should consult with a workers comp. expert regarding filing requirements for workers comp indemnity benefits.  </w:t>
      </w:r>
    </w:p>
    <w:bookmarkEnd w:id="369"/>
    <w:p w14:paraId="4A28EAA2" w14:textId="77777777" w:rsidR="00F326E5" w:rsidRDefault="00F326E5" w:rsidP="00F326E5">
      <w:pPr>
        <w:pStyle w:val="NoSpacing"/>
        <w:rPr>
          <w:sz w:val="24"/>
          <w:szCs w:val="24"/>
        </w:rPr>
      </w:pPr>
    </w:p>
    <w:p w14:paraId="1EBE2684" w14:textId="77777777" w:rsidR="00F326E5" w:rsidRDefault="00F326E5" w:rsidP="00F326E5">
      <w:pPr>
        <w:pStyle w:val="NoSpacing"/>
        <w:rPr>
          <w:sz w:val="24"/>
          <w:szCs w:val="24"/>
        </w:rPr>
      </w:pPr>
    </w:p>
    <w:p w14:paraId="522EC005" w14:textId="4C658EA4" w:rsidR="00F326E5" w:rsidRDefault="00DE0F03" w:rsidP="00DE0F03">
      <w:pPr>
        <w:rPr>
          <w:sz w:val="24"/>
          <w:szCs w:val="24"/>
        </w:rPr>
      </w:pPr>
      <w:r>
        <w:rPr>
          <w:rFonts w:ascii="Arial Black" w:hAnsi="Arial Black"/>
          <w:b/>
          <w:sz w:val="24"/>
          <w:szCs w:val="24"/>
        </w:rPr>
        <w:t>9</w:t>
      </w:r>
      <w:r w:rsidRPr="00EF1133">
        <w:rPr>
          <w:rFonts w:ascii="Arial Black" w:hAnsi="Arial Black"/>
          <w:b/>
          <w:sz w:val="24"/>
          <w:szCs w:val="24"/>
        </w:rPr>
        <w:t>-1</w:t>
      </w:r>
    </w:p>
    <w:p w14:paraId="66896318" w14:textId="764AAC4E" w:rsidR="00F326E5" w:rsidRPr="00512C93" w:rsidRDefault="00F326E5" w:rsidP="00F326E5">
      <w:pPr>
        <w:pStyle w:val="NoSpacing"/>
        <w:rPr>
          <w:rFonts w:ascii="Arial Black" w:hAnsi="Arial Black"/>
          <w:b/>
          <w:sz w:val="28"/>
          <w:szCs w:val="28"/>
        </w:rPr>
      </w:pPr>
      <w:bookmarkStart w:id="370" w:name="_Hlk7345026"/>
      <w:r>
        <w:rPr>
          <w:rFonts w:ascii="Arial Black" w:hAnsi="Arial Black"/>
          <w:b/>
          <w:sz w:val="28"/>
          <w:szCs w:val="28"/>
        </w:rPr>
        <w:t xml:space="preserve">CO: DEPUTY SHERIFF WITH DIABETES – INSULIN DEPENDENT – U.S. DOJ SETTLES LAWSUIT </w:t>
      </w:r>
    </w:p>
    <w:p w14:paraId="3FAB8369" w14:textId="77777777" w:rsidR="00F326E5" w:rsidRPr="00071B42" w:rsidRDefault="00F326E5" w:rsidP="00F326E5">
      <w:pPr>
        <w:rPr>
          <w:rFonts w:eastAsia="Times New Roman"/>
          <w:sz w:val="24"/>
          <w:szCs w:val="24"/>
        </w:rPr>
      </w:pPr>
      <w:r w:rsidRPr="00071B42">
        <w:rPr>
          <w:rFonts w:eastAsia="Times New Roman"/>
          <w:sz w:val="24"/>
          <w:szCs w:val="24"/>
        </w:rPr>
        <w:t xml:space="preserve">On May 15, 2018, the U.S. Department of Justice issued a Press Release about the agreement with the City and County of Denver: </w:t>
      </w:r>
    </w:p>
    <w:p w14:paraId="31DD1801" w14:textId="77777777" w:rsidR="00F326E5" w:rsidRPr="00071B42" w:rsidRDefault="00F326E5" w:rsidP="00F326E5">
      <w:pPr>
        <w:pStyle w:val="NormalWeb"/>
        <w:ind w:left="720"/>
      </w:pPr>
      <w:r w:rsidRPr="00071B42">
        <w:t xml:space="preserve">“The Justice Department today announced that it reached an agreement with the City and County of Denver, Colorado, (Denver) to resolve its lawsuit alleging that the Denver Sheriff Department discriminated against a long-time Deputy Sheriff </w:t>
      </w:r>
      <w:proofErr w:type="gramStart"/>
      <w:r w:rsidRPr="00071B42">
        <w:t>on the basis of</w:t>
      </w:r>
      <w:proofErr w:type="gramEnd"/>
      <w:r w:rsidRPr="00071B42">
        <w:t xml:space="preserve"> his disability, insulin-dependent diabetes.  The Justice Department’s complaint alleges that Denver failed to engage in an interactive process with the employee to determine an appropriate accommodation, failed to reasonably accommodate his disability, and then terminated him, in violation of the Americans with Disabilities Act (ADA).Under the agreement, Denver will revise its reasonable accommodation policies and procedures, and will conduct training on the ADA for Sheriff Department supervisors, command staff, and human resources personnel.  In addition, Denver will pay $100,000 in compensatory damages to the employee.”</w:t>
      </w:r>
    </w:p>
    <w:p w14:paraId="09EEB56F" w14:textId="1DDF965D" w:rsidR="00F326E5" w:rsidRPr="00071B42" w:rsidRDefault="00E658E1" w:rsidP="00E658E1">
      <w:pPr>
        <w:pStyle w:val="NoSpacing"/>
        <w:ind w:left="720"/>
        <w:rPr>
          <w:rStyle w:val="Hyperlink"/>
          <w:sz w:val="24"/>
          <w:szCs w:val="24"/>
        </w:rPr>
      </w:pPr>
      <w:hyperlink r:id="rId1732" w:history="1">
        <w:r w:rsidRPr="002F304C">
          <w:rPr>
            <w:rStyle w:val="Hyperlink"/>
            <w:sz w:val="24"/>
            <w:szCs w:val="24"/>
          </w:rPr>
          <w:t>https://www.justice.gov/opa/pr/justice-department-reaches-agreement-city-and-county-denver-resolve-disability-discrimination</w:t>
        </w:r>
      </w:hyperlink>
    </w:p>
    <w:p w14:paraId="25B31959" w14:textId="77777777" w:rsidR="00F326E5" w:rsidRDefault="00F326E5" w:rsidP="00F326E5">
      <w:pPr>
        <w:pStyle w:val="NormalWeb"/>
        <w:rPr>
          <w:b/>
        </w:rPr>
      </w:pPr>
      <w:r w:rsidRPr="00071B42">
        <w:rPr>
          <w:b/>
        </w:rPr>
        <w:t xml:space="preserve">Legal Lessons Learned: Fire &amp; EMS departments must also “engage in an interactive process” when an employee appears to have a disability, including exchange of medical information between employee’s physician and the department’s doctor. </w:t>
      </w:r>
    </w:p>
    <w:bookmarkEnd w:id="370"/>
    <w:p w14:paraId="53967C7F" w14:textId="77777777" w:rsidR="00F326E5" w:rsidRDefault="00F326E5" w:rsidP="00F326E5">
      <w:pPr>
        <w:rPr>
          <w:rFonts w:ascii="Arial Black" w:hAnsi="Arial Black"/>
          <w:sz w:val="40"/>
          <w:szCs w:val="40"/>
        </w:rPr>
      </w:pPr>
      <w:r>
        <w:rPr>
          <w:rFonts w:ascii="Arial Black" w:hAnsi="Arial Black"/>
          <w:sz w:val="40"/>
          <w:szCs w:val="40"/>
        </w:rPr>
        <w:br w:type="page"/>
      </w:r>
    </w:p>
    <w:p w14:paraId="63BE8F94" w14:textId="77777777" w:rsidR="009C7451" w:rsidRDefault="009C7451" w:rsidP="00F326E5">
      <w:pPr>
        <w:pStyle w:val="NoSpacing"/>
        <w:rPr>
          <w:rFonts w:ascii="Arial Black" w:hAnsi="Arial Black"/>
          <w:sz w:val="40"/>
          <w:szCs w:val="40"/>
        </w:rPr>
      </w:pPr>
    </w:p>
    <w:p w14:paraId="5B5DDAE0" w14:textId="77777777" w:rsidR="009C7451" w:rsidRDefault="009C7451" w:rsidP="00F326E5">
      <w:pPr>
        <w:pStyle w:val="NoSpacing"/>
        <w:rPr>
          <w:rFonts w:ascii="Arial Black" w:hAnsi="Arial Black"/>
          <w:sz w:val="40"/>
          <w:szCs w:val="40"/>
        </w:rPr>
      </w:pPr>
    </w:p>
    <w:p w14:paraId="0DD1BD7F" w14:textId="77777777" w:rsidR="009C7451" w:rsidRDefault="009C7451" w:rsidP="00F326E5">
      <w:pPr>
        <w:pStyle w:val="NoSpacing"/>
        <w:rPr>
          <w:rFonts w:ascii="Arial Black" w:hAnsi="Arial Black"/>
          <w:sz w:val="40"/>
          <w:szCs w:val="40"/>
        </w:rPr>
      </w:pPr>
    </w:p>
    <w:p w14:paraId="631C1041" w14:textId="77777777" w:rsidR="009C7451" w:rsidRDefault="009C7451" w:rsidP="00F326E5">
      <w:pPr>
        <w:pStyle w:val="NoSpacing"/>
        <w:rPr>
          <w:rFonts w:ascii="Arial Black" w:hAnsi="Arial Black"/>
          <w:sz w:val="40"/>
          <w:szCs w:val="40"/>
        </w:rPr>
      </w:pPr>
    </w:p>
    <w:p w14:paraId="47A0C746" w14:textId="77777777" w:rsidR="009C7451" w:rsidRDefault="009C7451" w:rsidP="00F326E5">
      <w:pPr>
        <w:pStyle w:val="NoSpacing"/>
        <w:rPr>
          <w:rFonts w:ascii="Arial Black" w:hAnsi="Arial Black"/>
          <w:sz w:val="40"/>
          <w:szCs w:val="40"/>
        </w:rPr>
      </w:pPr>
    </w:p>
    <w:p w14:paraId="5526E5C5" w14:textId="77777777" w:rsidR="009C7451" w:rsidRDefault="009C7451" w:rsidP="00F326E5">
      <w:pPr>
        <w:pStyle w:val="NoSpacing"/>
        <w:rPr>
          <w:rFonts w:ascii="Arial Black" w:hAnsi="Arial Black"/>
          <w:sz w:val="40"/>
          <w:szCs w:val="40"/>
        </w:rPr>
      </w:pPr>
    </w:p>
    <w:p w14:paraId="30CE3C1C" w14:textId="77777777" w:rsidR="009C7451" w:rsidRDefault="009C7451" w:rsidP="00F326E5">
      <w:pPr>
        <w:pStyle w:val="NoSpacing"/>
        <w:rPr>
          <w:rFonts w:ascii="Arial Black" w:hAnsi="Arial Black"/>
          <w:sz w:val="40"/>
          <w:szCs w:val="40"/>
        </w:rPr>
      </w:pPr>
    </w:p>
    <w:p w14:paraId="4F6B0655" w14:textId="77777777" w:rsidR="009C7451" w:rsidRDefault="009C7451" w:rsidP="00F326E5">
      <w:pPr>
        <w:pStyle w:val="NoSpacing"/>
        <w:rPr>
          <w:rFonts w:ascii="Arial Black" w:hAnsi="Arial Black"/>
          <w:sz w:val="40"/>
          <w:szCs w:val="40"/>
        </w:rPr>
      </w:pPr>
    </w:p>
    <w:p w14:paraId="17D19CA8" w14:textId="77777777" w:rsidR="009C7451" w:rsidRDefault="009C7451" w:rsidP="00F326E5">
      <w:pPr>
        <w:pStyle w:val="NoSpacing"/>
        <w:rPr>
          <w:rFonts w:ascii="Arial Black" w:hAnsi="Arial Black"/>
          <w:sz w:val="40"/>
          <w:szCs w:val="40"/>
        </w:rPr>
      </w:pPr>
    </w:p>
    <w:p w14:paraId="7154CCB4" w14:textId="77777777" w:rsidR="009C7451" w:rsidRDefault="009C7451" w:rsidP="00F326E5">
      <w:pPr>
        <w:pStyle w:val="NoSpacing"/>
        <w:rPr>
          <w:rFonts w:ascii="Arial Black" w:hAnsi="Arial Black"/>
          <w:sz w:val="40"/>
          <w:szCs w:val="40"/>
        </w:rPr>
      </w:pPr>
    </w:p>
    <w:p w14:paraId="2F56D66B" w14:textId="77777777" w:rsidR="009C7451" w:rsidRDefault="009C7451" w:rsidP="00F326E5">
      <w:pPr>
        <w:pStyle w:val="NoSpacing"/>
        <w:rPr>
          <w:rFonts w:ascii="Arial Black" w:hAnsi="Arial Black"/>
          <w:sz w:val="40"/>
          <w:szCs w:val="40"/>
        </w:rPr>
      </w:pPr>
    </w:p>
    <w:p w14:paraId="2E3BE4DA" w14:textId="77777777" w:rsidR="009C7451" w:rsidRDefault="009C7451" w:rsidP="00F326E5">
      <w:pPr>
        <w:pStyle w:val="NoSpacing"/>
        <w:rPr>
          <w:rFonts w:ascii="Arial Black" w:hAnsi="Arial Black"/>
          <w:sz w:val="40"/>
          <w:szCs w:val="40"/>
        </w:rPr>
      </w:pPr>
    </w:p>
    <w:p w14:paraId="5BC0EAAD" w14:textId="77777777" w:rsidR="009C7451" w:rsidRDefault="009C7451" w:rsidP="00F326E5">
      <w:pPr>
        <w:pStyle w:val="NoSpacing"/>
        <w:rPr>
          <w:rFonts w:ascii="Arial Black" w:hAnsi="Arial Black"/>
          <w:sz w:val="40"/>
          <w:szCs w:val="40"/>
        </w:rPr>
      </w:pPr>
    </w:p>
    <w:p w14:paraId="464DFFF2" w14:textId="77777777" w:rsidR="009C7451" w:rsidRDefault="009C7451" w:rsidP="00F326E5">
      <w:pPr>
        <w:pStyle w:val="NoSpacing"/>
        <w:rPr>
          <w:rFonts w:ascii="Arial Black" w:hAnsi="Arial Black"/>
          <w:sz w:val="40"/>
          <w:szCs w:val="40"/>
        </w:rPr>
      </w:pPr>
    </w:p>
    <w:p w14:paraId="51424D1A" w14:textId="77777777" w:rsidR="009C7451" w:rsidRDefault="009C7451" w:rsidP="00F326E5">
      <w:pPr>
        <w:pStyle w:val="NoSpacing"/>
        <w:rPr>
          <w:rFonts w:ascii="Arial Black" w:hAnsi="Arial Black"/>
          <w:sz w:val="40"/>
          <w:szCs w:val="40"/>
        </w:rPr>
      </w:pPr>
    </w:p>
    <w:p w14:paraId="202F3187" w14:textId="77777777" w:rsidR="009C7451" w:rsidRDefault="009C7451" w:rsidP="00F326E5">
      <w:pPr>
        <w:pStyle w:val="NoSpacing"/>
        <w:rPr>
          <w:rFonts w:ascii="Arial Black" w:hAnsi="Arial Black"/>
          <w:sz w:val="40"/>
          <w:szCs w:val="40"/>
        </w:rPr>
      </w:pPr>
    </w:p>
    <w:p w14:paraId="0934BA7C" w14:textId="77777777" w:rsidR="009C7451" w:rsidRDefault="009C7451" w:rsidP="00F326E5">
      <w:pPr>
        <w:pStyle w:val="NoSpacing"/>
        <w:rPr>
          <w:rFonts w:ascii="Arial Black" w:hAnsi="Arial Black"/>
          <w:sz w:val="40"/>
          <w:szCs w:val="40"/>
        </w:rPr>
      </w:pPr>
    </w:p>
    <w:p w14:paraId="0A0DFF86" w14:textId="77777777" w:rsidR="009C7451" w:rsidRDefault="009C7451" w:rsidP="00F326E5">
      <w:pPr>
        <w:pStyle w:val="NoSpacing"/>
        <w:rPr>
          <w:rFonts w:ascii="Arial Black" w:hAnsi="Arial Black"/>
          <w:sz w:val="40"/>
          <w:szCs w:val="40"/>
        </w:rPr>
      </w:pPr>
    </w:p>
    <w:p w14:paraId="51025726" w14:textId="77777777" w:rsidR="009C7451" w:rsidRDefault="009C7451" w:rsidP="00F326E5">
      <w:pPr>
        <w:pStyle w:val="NoSpacing"/>
        <w:rPr>
          <w:rFonts w:ascii="Arial Black" w:hAnsi="Arial Black"/>
          <w:sz w:val="40"/>
          <w:szCs w:val="40"/>
        </w:rPr>
      </w:pPr>
    </w:p>
    <w:p w14:paraId="6FA0D918" w14:textId="77777777" w:rsidR="009C7451" w:rsidRDefault="009C7451" w:rsidP="00F326E5">
      <w:pPr>
        <w:pStyle w:val="NoSpacing"/>
        <w:rPr>
          <w:rFonts w:ascii="Arial Black" w:hAnsi="Arial Black"/>
          <w:sz w:val="40"/>
          <w:szCs w:val="40"/>
        </w:rPr>
      </w:pPr>
    </w:p>
    <w:p w14:paraId="30BD25B6" w14:textId="77777777" w:rsidR="009C7451" w:rsidRDefault="009C7451" w:rsidP="00F326E5">
      <w:pPr>
        <w:pStyle w:val="NoSpacing"/>
        <w:rPr>
          <w:rFonts w:ascii="Arial Black" w:hAnsi="Arial Black"/>
          <w:sz w:val="40"/>
          <w:szCs w:val="40"/>
        </w:rPr>
      </w:pPr>
    </w:p>
    <w:p w14:paraId="6E045D46" w14:textId="77777777" w:rsidR="009C7451" w:rsidRDefault="009C7451" w:rsidP="00F326E5">
      <w:pPr>
        <w:pStyle w:val="NoSpacing"/>
        <w:rPr>
          <w:rFonts w:ascii="Arial Black" w:hAnsi="Arial Black"/>
          <w:sz w:val="40"/>
          <w:szCs w:val="40"/>
        </w:rPr>
      </w:pPr>
    </w:p>
    <w:p w14:paraId="68CDCF26" w14:textId="77777777" w:rsidR="009C7451" w:rsidRDefault="009C7451" w:rsidP="00F326E5">
      <w:pPr>
        <w:pStyle w:val="NoSpacing"/>
        <w:rPr>
          <w:rFonts w:ascii="Arial Black" w:hAnsi="Arial Black"/>
          <w:sz w:val="40"/>
          <w:szCs w:val="40"/>
        </w:rPr>
      </w:pPr>
    </w:p>
    <w:p w14:paraId="6388F114" w14:textId="77777777" w:rsidR="009C7451" w:rsidRDefault="009C7451" w:rsidP="00F326E5">
      <w:pPr>
        <w:pStyle w:val="NoSpacing"/>
        <w:rPr>
          <w:rFonts w:ascii="Arial Black" w:hAnsi="Arial Black"/>
          <w:sz w:val="40"/>
          <w:szCs w:val="40"/>
        </w:rPr>
      </w:pPr>
    </w:p>
    <w:p w14:paraId="266D0AB2" w14:textId="77777777" w:rsidR="00EC50D5" w:rsidRDefault="00EC50D5" w:rsidP="00F326E5">
      <w:pPr>
        <w:pStyle w:val="NoSpacing"/>
        <w:rPr>
          <w:rFonts w:ascii="Arial Black" w:hAnsi="Arial Black"/>
          <w:sz w:val="40"/>
          <w:szCs w:val="40"/>
        </w:rPr>
      </w:pPr>
    </w:p>
    <w:p w14:paraId="4F33019B" w14:textId="4F2A5789" w:rsidR="00F326E5" w:rsidRDefault="00F326E5" w:rsidP="00F326E5">
      <w:pPr>
        <w:pStyle w:val="NoSpacing"/>
        <w:rPr>
          <w:rFonts w:ascii="Arial Black" w:hAnsi="Arial Black"/>
          <w:sz w:val="40"/>
          <w:szCs w:val="40"/>
        </w:rPr>
      </w:pPr>
      <w:r w:rsidRPr="007732FA">
        <w:rPr>
          <w:rFonts w:ascii="Arial Black" w:hAnsi="Arial Black"/>
          <w:sz w:val="40"/>
          <w:szCs w:val="40"/>
        </w:rPr>
        <w:lastRenderedPageBreak/>
        <w:t>Chap. 10</w:t>
      </w:r>
      <w:r w:rsidRPr="007732FA">
        <w:rPr>
          <w:rFonts w:ascii="Arial Black" w:hAnsi="Arial Black"/>
          <w:sz w:val="40"/>
          <w:szCs w:val="40"/>
        </w:rPr>
        <w:tab/>
        <w:t>Family Medical Leave Act</w:t>
      </w:r>
      <w:r w:rsidR="00321766">
        <w:rPr>
          <w:rFonts w:ascii="Arial Black" w:hAnsi="Arial Black"/>
          <w:sz w:val="40"/>
          <w:szCs w:val="40"/>
        </w:rPr>
        <w:t xml:space="preserve"> </w:t>
      </w:r>
    </w:p>
    <w:p w14:paraId="1CDD0C90" w14:textId="77777777" w:rsidR="00097703" w:rsidRDefault="00097703" w:rsidP="00097703">
      <w:pPr>
        <w:rPr>
          <w:rFonts w:ascii="Arial Black" w:hAnsi="Arial Black"/>
          <w:b/>
          <w:sz w:val="28"/>
          <w:szCs w:val="28"/>
        </w:rPr>
      </w:pPr>
    </w:p>
    <w:p w14:paraId="681702F5" w14:textId="7732BA66" w:rsidR="00647EAC" w:rsidRPr="006D28DE" w:rsidRDefault="00647EAC" w:rsidP="00E9307E">
      <w:pPr>
        <w:rPr>
          <w:rFonts w:ascii="Times New Roman" w:hAnsi="Times New Roman"/>
          <w:bCs/>
          <w:sz w:val="24"/>
          <w:szCs w:val="24"/>
        </w:rPr>
      </w:pPr>
      <w:bookmarkStart w:id="371" w:name="_Hlk36108763"/>
      <w:r>
        <w:rPr>
          <w:rFonts w:ascii="Arial Black" w:hAnsi="Arial Black"/>
          <w:b/>
          <w:sz w:val="28"/>
          <w:szCs w:val="28"/>
        </w:rPr>
        <w:t>10-13</w:t>
      </w:r>
      <w:r w:rsidR="006D28DE">
        <w:rPr>
          <w:rFonts w:ascii="Arial Black" w:hAnsi="Arial Black"/>
          <w:b/>
          <w:sz w:val="28"/>
          <w:szCs w:val="28"/>
        </w:rPr>
        <w:t xml:space="preserve"> </w:t>
      </w:r>
      <w:r w:rsidR="006D28DE">
        <w:rPr>
          <w:rFonts w:ascii="Times New Roman" w:hAnsi="Times New Roman"/>
          <w:bCs/>
          <w:sz w:val="24"/>
          <w:szCs w:val="24"/>
        </w:rPr>
        <w:t>[also filed, Chap 9 -ADA ; Chap. 15 – Mental Health]</w:t>
      </w:r>
    </w:p>
    <w:p w14:paraId="54C7D6A8" w14:textId="77777777" w:rsidR="00647EAC" w:rsidRPr="00FC582A" w:rsidRDefault="00647EAC" w:rsidP="00647EAC">
      <w:pPr>
        <w:pStyle w:val="NoSpacing"/>
        <w:rPr>
          <w:rFonts w:ascii="Arial Black" w:hAnsi="Arial Black"/>
          <w:sz w:val="28"/>
          <w:szCs w:val="28"/>
        </w:rPr>
      </w:pPr>
      <w:r>
        <w:rPr>
          <w:rFonts w:ascii="Arial Black" w:hAnsi="Arial Black"/>
          <w:sz w:val="28"/>
          <w:szCs w:val="28"/>
        </w:rPr>
        <w:t>SC: MEDIC PTSD – DIDN’T INTERVIEW FOR BILLING JOB</w:t>
      </w:r>
    </w:p>
    <w:p w14:paraId="1182D283" w14:textId="77777777" w:rsidR="00647EAC" w:rsidRDefault="00647EAC" w:rsidP="00647EAC">
      <w:pPr>
        <w:pStyle w:val="NoSpacing"/>
        <w:ind w:left="720"/>
      </w:pPr>
    </w:p>
    <w:p w14:paraId="62D29925" w14:textId="77777777" w:rsidR="00647EAC" w:rsidRDefault="00647EAC" w:rsidP="00647EAC">
      <w:pPr>
        <w:pStyle w:val="NoSpacing"/>
      </w:pPr>
      <w:r>
        <w:t xml:space="preserve">On December 18, 2025, in </w:t>
      </w:r>
      <w:r w:rsidRPr="00AF68E6">
        <w:rPr>
          <w:u w:val="single"/>
        </w:rPr>
        <w:t>William D. Shugart v. Chester County</w:t>
      </w:r>
      <w:r>
        <w:t xml:space="preserve">, Senior U.S. District Court Judge Cameron McGowan Currie, </w:t>
      </w:r>
      <w:r w:rsidRPr="00AF68E6">
        <w:t>United States District Court, D. South Carolina, Rock Hill Division</w:t>
      </w:r>
      <w:r>
        <w:t xml:space="preserve">, granted defense motion for summary judgment; no proof of ADA discrimination or retaliation for taking FMLA leave.  Plaintiff was a Senior Medic with Chest County EMS, and on September 8, </w:t>
      </w:r>
      <w:proofErr w:type="gramStart"/>
      <w:r>
        <w:t>2021</w:t>
      </w:r>
      <w:proofErr w:type="gramEnd"/>
      <w:r>
        <w:t xml:space="preserve"> there was incident where a gun shot came from a house.  He sought treatment for PTSD and history of depression and went on 12-weeks of FMLA leave.  On January 1, </w:t>
      </w:r>
      <w:proofErr w:type="gramStart"/>
      <w:r>
        <w:t>2023</w:t>
      </w:r>
      <w:proofErr w:type="gramEnd"/>
      <w:r>
        <w:t xml:space="preserve"> he was terminated when he was medically cleared to return to work as a paramedic but did not return. His supervisor encouraged him to apply for billing position that opened with a recent retirement, but he cancelled the January 30 (1 pm) in-person interview the day </w:t>
      </w:r>
      <w:proofErr w:type="gramStart"/>
      <w:r>
        <w:t>prior, and</w:t>
      </w:r>
      <w:proofErr w:type="gramEnd"/>
      <w:r>
        <w:t xml:space="preserve"> did not respond to offer of ZOOM interview.  </w:t>
      </w:r>
      <w:hyperlink r:id="rId1733" w:history="1">
        <w:r w:rsidRPr="007B3445">
          <w:rPr>
            <w:rStyle w:val="Hyperlink"/>
          </w:rPr>
          <w:t>https://cases.justia.com/federal/district-courts/south-carolina/scdce/0:2024cv00826/288831/46/0.pdf</w:t>
        </w:r>
      </w:hyperlink>
      <w:r>
        <w:t xml:space="preserve"> </w:t>
      </w:r>
    </w:p>
    <w:p w14:paraId="444A0B10" w14:textId="77777777" w:rsidR="00647EAC" w:rsidRDefault="00647EAC" w:rsidP="00647EAC">
      <w:pPr>
        <w:pStyle w:val="NoSpacing"/>
        <w:rPr>
          <w:bCs/>
        </w:rPr>
      </w:pPr>
    </w:p>
    <w:p w14:paraId="679750DB" w14:textId="77777777" w:rsidR="00647EAC" w:rsidRDefault="00647EAC" w:rsidP="00647EAC">
      <w:pPr>
        <w:pStyle w:val="NoSpacing"/>
        <w:rPr>
          <w:bCs/>
        </w:rPr>
      </w:pPr>
      <w:r>
        <w:t xml:space="preserve">THE COURT HELD: </w:t>
      </w:r>
    </w:p>
    <w:p w14:paraId="3305DEEA" w14:textId="77777777" w:rsidR="00647EAC" w:rsidRDefault="00647EAC" w:rsidP="00647EAC">
      <w:pPr>
        <w:pStyle w:val="NoSpacing"/>
        <w:rPr>
          <w:bCs/>
        </w:rPr>
      </w:pPr>
    </w:p>
    <w:p w14:paraId="03458C6E" w14:textId="77777777" w:rsidR="00647EAC" w:rsidRDefault="00647EAC" w:rsidP="00647EAC">
      <w:pPr>
        <w:pStyle w:val="NoSpacing"/>
        <w:ind w:firstLine="720"/>
      </w:pPr>
      <w:r>
        <w:t>“Plaintiff was employed by Chester County in its Emergency Medical Services (‘EMS’)</w:t>
      </w:r>
    </w:p>
    <w:p w14:paraId="1E290E23" w14:textId="77777777" w:rsidR="00647EAC" w:rsidRDefault="00647EAC" w:rsidP="00647EAC">
      <w:pPr>
        <w:pStyle w:val="NoSpacing"/>
        <w:ind w:left="720"/>
      </w:pPr>
      <w:r>
        <w:t xml:space="preserve">department from May 2016 until January 2023….He was promoted to Senior Paramedic on December 4, 2021…. An essential function of the Senior Paramedic was operation of an ambulance. </w:t>
      </w:r>
    </w:p>
    <w:p w14:paraId="281014B5" w14:textId="77777777" w:rsidR="00647EAC" w:rsidRDefault="00647EAC" w:rsidP="00647EAC">
      <w:pPr>
        <w:pStyle w:val="NoSpacing"/>
        <w:ind w:left="720"/>
      </w:pPr>
    </w:p>
    <w:p w14:paraId="0BF732E2" w14:textId="77777777" w:rsidR="00647EAC" w:rsidRDefault="00647EAC" w:rsidP="00647EAC">
      <w:pPr>
        <w:pStyle w:val="NoSpacing"/>
        <w:ind w:left="720"/>
      </w:pPr>
      <w:r>
        <w:t>***</w:t>
      </w:r>
    </w:p>
    <w:p w14:paraId="2567B463" w14:textId="77777777" w:rsidR="00647EAC" w:rsidRDefault="00647EAC" w:rsidP="00647EAC">
      <w:pPr>
        <w:pStyle w:val="NoSpacing"/>
      </w:pPr>
    </w:p>
    <w:p w14:paraId="167FFADB" w14:textId="77777777" w:rsidR="00647EAC" w:rsidRDefault="00647EAC" w:rsidP="00647EAC">
      <w:pPr>
        <w:pStyle w:val="NoSpacing"/>
        <w:ind w:firstLine="720"/>
      </w:pPr>
      <w:r>
        <w:t xml:space="preserve">Plaintiff was </w:t>
      </w:r>
      <w:proofErr w:type="gramStart"/>
      <w:r>
        <w:t>provided</w:t>
      </w:r>
      <w:proofErr w:type="gramEnd"/>
      <w:r>
        <w:t xml:space="preserve"> the opportunity to apply and interview for the billing specialist</w:t>
      </w:r>
    </w:p>
    <w:p w14:paraId="46C76293" w14:textId="77777777" w:rsidR="00647EAC" w:rsidRDefault="00647EAC" w:rsidP="00647EAC">
      <w:pPr>
        <w:pStyle w:val="NoSpacing"/>
        <w:ind w:left="720"/>
      </w:pPr>
      <w:r>
        <w:t>position when it was posted, but cancelled the interview the day before, and did not respond to inquiries about another option for the interview. The job was filled by a person with finance or accounting experience. For the reasons above, the court finds summary judgment is appropriate for Defendant on Plaintiff’s claims of ADA discrimination and retaliation.</w:t>
      </w:r>
    </w:p>
    <w:p w14:paraId="6A1D7206" w14:textId="77777777" w:rsidR="00647EAC" w:rsidRDefault="00647EAC" w:rsidP="00647EAC">
      <w:pPr>
        <w:pStyle w:val="NoSpacing"/>
        <w:ind w:left="720"/>
      </w:pPr>
    </w:p>
    <w:p w14:paraId="06AC3B1B" w14:textId="77777777" w:rsidR="00647EAC" w:rsidRDefault="00647EAC" w:rsidP="00647EAC">
      <w:pPr>
        <w:pStyle w:val="NoSpacing"/>
        <w:ind w:left="720"/>
      </w:pPr>
      <w:r>
        <w:t>***</w:t>
      </w:r>
    </w:p>
    <w:p w14:paraId="18643601" w14:textId="77777777" w:rsidR="00647EAC" w:rsidRDefault="00647EAC" w:rsidP="00647EAC">
      <w:pPr>
        <w:pStyle w:val="NoSpacing"/>
      </w:pPr>
    </w:p>
    <w:p w14:paraId="57788ADF" w14:textId="77777777" w:rsidR="00647EAC" w:rsidRDefault="00647EAC" w:rsidP="00647EAC">
      <w:pPr>
        <w:pStyle w:val="NoSpacing"/>
        <w:ind w:firstLine="720"/>
      </w:pPr>
      <w:r>
        <w:t>To make out an FMLA interference claim, an employee must demonstrate he was entitled</w:t>
      </w:r>
    </w:p>
    <w:p w14:paraId="467463EE" w14:textId="77777777" w:rsidR="00647EAC" w:rsidRDefault="00647EAC" w:rsidP="00647EAC">
      <w:pPr>
        <w:pStyle w:val="NoSpacing"/>
        <w:ind w:left="720"/>
      </w:pPr>
      <w:r>
        <w:t xml:space="preserve">to an FMLA benefit, his employer interfered with the provision of that benefit, and the interference caused him harm. Adkins v. CSX Transp., Inc., 70 F.4th 785, 796 (4th Cir. 2023). The court agrees with the Magistrate Judge Defendant has produced evidence Plaintiff was provided his twelve-week statutorily mandated FMLA leave, his position was protected during that time, and there is no evidence his use of FMLA leave was a factor in his termination. Plaintiff has failed to refute this evidence. In fact, the record shows Defendant went out of its way to assist Plaintiff in obtaining the appropriate paperwork when Plaintiff indicated he was ready to come back to work, even though he indicated he would not be going back on an </w:t>
      </w:r>
      <w:proofErr w:type="gramStart"/>
      <w:r>
        <w:t>ambulance.”</w:t>
      </w:r>
      <w:proofErr w:type="gramEnd"/>
    </w:p>
    <w:p w14:paraId="7A2A6FE8" w14:textId="77777777" w:rsidR="00647EAC" w:rsidRDefault="00647EAC" w:rsidP="00647EAC">
      <w:pPr>
        <w:pStyle w:val="NoSpacing"/>
        <w:ind w:left="720"/>
      </w:pPr>
    </w:p>
    <w:p w14:paraId="49141E4D" w14:textId="77777777" w:rsidR="00647EAC" w:rsidRPr="00E35214" w:rsidRDefault="00647EAC" w:rsidP="00647EAC">
      <w:pPr>
        <w:pStyle w:val="NoSpacing"/>
        <w:rPr>
          <w:b/>
          <w:bCs/>
        </w:rPr>
      </w:pPr>
      <w:r>
        <w:rPr>
          <w:b/>
        </w:rPr>
        <w:t xml:space="preserve">Legal lesson learned:  Plaintiff’s supervisors went out of their way to assist the paramedic. </w:t>
      </w:r>
    </w:p>
    <w:p w14:paraId="23DB561A" w14:textId="77777777" w:rsidR="00647EAC" w:rsidRDefault="00647EAC" w:rsidP="00647EAC">
      <w:pPr>
        <w:pStyle w:val="NoSpacing"/>
      </w:pPr>
    </w:p>
    <w:p w14:paraId="1B9240AC" w14:textId="77777777" w:rsidR="00647EAC" w:rsidRDefault="00647EAC" w:rsidP="00E9307E">
      <w:pPr>
        <w:rPr>
          <w:rFonts w:ascii="Arial Black" w:hAnsi="Arial Black"/>
          <w:b/>
          <w:sz w:val="28"/>
          <w:szCs w:val="28"/>
        </w:rPr>
      </w:pPr>
    </w:p>
    <w:p w14:paraId="0E5DB805" w14:textId="77777777" w:rsidR="00647EAC" w:rsidRDefault="00647EAC" w:rsidP="00E9307E">
      <w:pPr>
        <w:rPr>
          <w:rFonts w:ascii="Arial Black" w:hAnsi="Arial Black"/>
          <w:b/>
          <w:sz w:val="28"/>
          <w:szCs w:val="28"/>
        </w:rPr>
      </w:pPr>
    </w:p>
    <w:p w14:paraId="3023BAC7" w14:textId="77777777" w:rsidR="00647EAC" w:rsidRDefault="00647EAC" w:rsidP="00E9307E">
      <w:pPr>
        <w:rPr>
          <w:rFonts w:ascii="Arial Black" w:hAnsi="Arial Black"/>
          <w:b/>
          <w:sz w:val="28"/>
          <w:szCs w:val="28"/>
        </w:rPr>
      </w:pPr>
    </w:p>
    <w:p w14:paraId="5CDCDC01" w14:textId="3C695662" w:rsidR="00113D38" w:rsidRDefault="00113D38" w:rsidP="00E9307E">
      <w:pPr>
        <w:rPr>
          <w:rFonts w:ascii="Arial Black" w:hAnsi="Arial Black"/>
          <w:b/>
          <w:sz w:val="28"/>
          <w:szCs w:val="28"/>
        </w:rPr>
      </w:pPr>
      <w:r>
        <w:rPr>
          <w:rFonts w:ascii="Arial Black" w:hAnsi="Arial Black"/>
          <w:b/>
          <w:sz w:val="28"/>
          <w:szCs w:val="28"/>
        </w:rPr>
        <w:lastRenderedPageBreak/>
        <w:t>10-1</w:t>
      </w:r>
      <w:r w:rsidR="00B13773">
        <w:rPr>
          <w:rFonts w:ascii="Arial Black" w:hAnsi="Arial Black"/>
          <w:b/>
          <w:sz w:val="28"/>
          <w:szCs w:val="28"/>
        </w:rPr>
        <w:t>2</w:t>
      </w:r>
    </w:p>
    <w:p w14:paraId="659BDF9E" w14:textId="32E82339" w:rsidR="00BD4978" w:rsidRPr="003C3EA4" w:rsidRDefault="00BD4978" w:rsidP="00BD4978">
      <w:pPr>
        <w:pStyle w:val="NoSpacing"/>
        <w:rPr>
          <w:rFonts w:ascii="Arial Black" w:hAnsi="Arial Black"/>
          <w:b/>
          <w:sz w:val="28"/>
          <w:szCs w:val="28"/>
        </w:rPr>
      </w:pPr>
      <w:r>
        <w:rPr>
          <w:rFonts w:ascii="Arial Black" w:hAnsi="Arial Black"/>
          <w:b/>
          <w:sz w:val="28"/>
          <w:szCs w:val="28"/>
        </w:rPr>
        <w:t>TN: NO FMLA VIOL – ALCOHOL</w:t>
      </w:r>
      <w:r w:rsidR="00656FDD">
        <w:rPr>
          <w:rFonts w:ascii="Arial Black" w:hAnsi="Arial Black"/>
          <w:b/>
          <w:sz w:val="28"/>
          <w:szCs w:val="28"/>
        </w:rPr>
        <w:t xml:space="preserve"> / </w:t>
      </w:r>
      <w:r w:rsidR="00A132BA">
        <w:rPr>
          <w:rFonts w:ascii="Arial Black" w:hAnsi="Arial Black"/>
          <w:b/>
          <w:sz w:val="28"/>
          <w:szCs w:val="28"/>
        </w:rPr>
        <w:t>MISSED RUN</w:t>
      </w:r>
      <w:r>
        <w:rPr>
          <w:rFonts w:ascii="Arial Black" w:hAnsi="Arial Black"/>
          <w:b/>
          <w:sz w:val="28"/>
          <w:szCs w:val="28"/>
        </w:rPr>
        <w:t xml:space="preserve"> - RESIGNED </w:t>
      </w:r>
    </w:p>
    <w:p w14:paraId="27DEA510" w14:textId="77777777" w:rsidR="00BD4978" w:rsidRDefault="00BD4978" w:rsidP="00BD4978">
      <w:pPr>
        <w:pStyle w:val="NoSpacing"/>
        <w:rPr>
          <w:b/>
        </w:rPr>
      </w:pPr>
    </w:p>
    <w:p w14:paraId="10BB7CCF" w14:textId="139135A3" w:rsidR="001C33D3" w:rsidRPr="001C33D3" w:rsidRDefault="001C33D3" w:rsidP="001C33D3">
      <w:pPr>
        <w:pStyle w:val="NoSpacing"/>
        <w:rPr>
          <w:rFonts w:ascii="Times New Roman" w:hAnsi="Times New Roman"/>
          <w:bCs/>
          <w:sz w:val="24"/>
          <w:szCs w:val="24"/>
        </w:rPr>
      </w:pPr>
      <w:r w:rsidRPr="001C33D3">
        <w:rPr>
          <w:rFonts w:ascii="Times New Roman" w:hAnsi="Times New Roman"/>
          <w:sz w:val="24"/>
          <w:szCs w:val="24"/>
        </w:rPr>
        <w:t xml:space="preserve">On Dec. 9, 2024, in </w:t>
      </w:r>
      <w:r w:rsidRPr="001C33D3">
        <w:rPr>
          <w:rFonts w:ascii="Times New Roman" w:hAnsi="Times New Roman"/>
          <w:sz w:val="24"/>
          <w:szCs w:val="24"/>
          <w:u w:val="single"/>
        </w:rPr>
        <w:t>Justin Gilbert v. City of Newport</w:t>
      </w:r>
      <w:r w:rsidRPr="001C33D3">
        <w:rPr>
          <w:rFonts w:ascii="Times New Roman" w:hAnsi="Times New Roman"/>
          <w:sz w:val="24"/>
          <w:szCs w:val="24"/>
        </w:rPr>
        <w:t>, United States District  Court Judge Thomas A. Varlan, U.S. District Court for Eastern District of Tennessee, held that the firefighter’s lawsuit is dismissed.  On June 11, 2021, plaintiff removed items belonging to Eric Herndon, a NFD battalion chief from a workplace locker and placed them on the tailboard of a fire truck; he received a written reprimand.   He took FMLA for alcohol treatment</w:t>
      </w:r>
      <w:r w:rsidR="00A132BA">
        <w:rPr>
          <w:rFonts w:ascii="Times New Roman" w:hAnsi="Times New Roman"/>
          <w:sz w:val="24"/>
          <w:szCs w:val="24"/>
        </w:rPr>
        <w:t xml:space="preserve"> </w:t>
      </w:r>
      <w:r w:rsidRPr="001C33D3">
        <w:rPr>
          <w:rFonts w:ascii="Times New Roman" w:hAnsi="Times New Roman"/>
          <w:sz w:val="24"/>
          <w:szCs w:val="24"/>
        </w:rPr>
        <w:t xml:space="preserve">and then returned to duty. On September 21, 2021, NFD received a call for a structure fire while plaintiff was experiencing alcohol withdrawal symptoms, </w:t>
      </w:r>
      <w:proofErr w:type="gramStart"/>
      <w:r w:rsidRPr="001C33D3">
        <w:rPr>
          <w:rFonts w:ascii="Times New Roman" w:hAnsi="Times New Roman"/>
          <w:sz w:val="24"/>
          <w:szCs w:val="24"/>
        </w:rPr>
        <w:t>plaintiff</w:t>
      </w:r>
      <w:proofErr w:type="gramEnd"/>
      <w:r w:rsidRPr="001C33D3">
        <w:rPr>
          <w:rFonts w:ascii="Times New Roman" w:hAnsi="Times New Roman"/>
          <w:sz w:val="24"/>
          <w:szCs w:val="24"/>
        </w:rPr>
        <w:t xml:space="preserve"> missed the fire truck pulling out of the station. He drove a secondary truck to the scene of the fire where he confronted a coworker, using aggressive and demeaning language.  </w:t>
      </w:r>
      <w:hyperlink r:id="rId1734" w:history="1">
        <w:r w:rsidRPr="001C33D3">
          <w:rPr>
            <w:rStyle w:val="Hyperlink"/>
            <w:rFonts w:ascii="Times New Roman" w:hAnsi="Times New Roman"/>
            <w:sz w:val="24"/>
            <w:szCs w:val="24"/>
          </w:rPr>
          <w:t>https://casetext.com/case/gilbert-v-city-of-newport</w:t>
        </w:r>
      </w:hyperlink>
      <w:r w:rsidRPr="001C33D3">
        <w:rPr>
          <w:rFonts w:ascii="Times New Roman" w:hAnsi="Times New Roman"/>
          <w:sz w:val="24"/>
          <w:szCs w:val="24"/>
        </w:rPr>
        <w:t xml:space="preserve"> </w:t>
      </w:r>
    </w:p>
    <w:p w14:paraId="007E2B4F" w14:textId="77777777" w:rsidR="001C33D3" w:rsidRPr="001C33D3" w:rsidRDefault="001C33D3" w:rsidP="00BD4978">
      <w:pPr>
        <w:pStyle w:val="NoSpacing"/>
        <w:rPr>
          <w:rFonts w:ascii="Times New Roman" w:hAnsi="Times New Roman"/>
          <w:sz w:val="24"/>
          <w:szCs w:val="24"/>
        </w:rPr>
      </w:pPr>
    </w:p>
    <w:p w14:paraId="236F2989" w14:textId="5A909EB0" w:rsidR="00BD4978" w:rsidRPr="00BD4978" w:rsidRDefault="00BD4978" w:rsidP="00BD4978">
      <w:pPr>
        <w:pStyle w:val="NoSpacing"/>
        <w:rPr>
          <w:rFonts w:ascii="Times New Roman" w:hAnsi="Times New Roman"/>
          <w:sz w:val="24"/>
          <w:szCs w:val="24"/>
        </w:rPr>
      </w:pPr>
      <w:r w:rsidRPr="00BD4978">
        <w:rPr>
          <w:rFonts w:ascii="Times New Roman" w:hAnsi="Times New Roman"/>
          <w:sz w:val="24"/>
          <w:szCs w:val="24"/>
        </w:rPr>
        <w:t xml:space="preserve">The Court wrote:  </w:t>
      </w:r>
    </w:p>
    <w:p w14:paraId="7A99349F" w14:textId="77777777" w:rsidR="00BD4978" w:rsidRPr="00BD4978" w:rsidRDefault="00BD4978" w:rsidP="00BD4978">
      <w:pPr>
        <w:pStyle w:val="NoSpacing"/>
        <w:rPr>
          <w:rFonts w:ascii="Times New Roman" w:hAnsi="Times New Roman"/>
          <w:sz w:val="24"/>
          <w:szCs w:val="24"/>
        </w:rPr>
      </w:pPr>
    </w:p>
    <w:p w14:paraId="5824AFBC" w14:textId="7B1F6515" w:rsidR="00113D38" w:rsidRPr="00BD4978" w:rsidRDefault="00BD4978" w:rsidP="00BD4978">
      <w:pPr>
        <w:ind w:left="720"/>
        <w:rPr>
          <w:rFonts w:ascii="Times New Roman" w:hAnsi="Times New Roman"/>
          <w:b/>
          <w:sz w:val="24"/>
          <w:szCs w:val="24"/>
        </w:rPr>
      </w:pPr>
      <w:r w:rsidRPr="00BD4978">
        <w:rPr>
          <w:rFonts w:ascii="Times New Roman" w:hAnsi="Times New Roman"/>
          <w:sz w:val="24"/>
          <w:szCs w:val="24"/>
        </w:rPr>
        <w:t>“Neither of plaintiff's FMLA theories survive summary judgment. Assuming without deciding that plaintiff could prove that he was constructively discharged (</w:t>
      </w:r>
      <w:r w:rsidRPr="00BD4978">
        <w:rPr>
          <w:rFonts w:ascii="Times New Roman" w:hAnsi="Times New Roman"/>
          <w:i/>
          <w:iCs/>
          <w:sz w:val="24"/>
          <w:szCs w:val="24"/>
        </w:rPr>
        <w:t xml:space="preserve">see </w:t>
      </w:r>
      <w:proofErr w:type="gramStart"/>
      <w:r w:rsidRPr="00BD4978">
        <w:rPr>
          <w:rFonts w:ascii="Times New Roman" w:hAnsi="Times New Roman"/>
          <w:i/>
          <w:iCs/>
          <w:sz w:val="24"/>
          <w:szCs w:val="24"/>
        </w:rPr>
        <w:t>supra</w:t>
      </w:r>
      <w:r w:rsidRPr="00BD4978">
        <w:rPr>
          <w:rFonts w:ascii="Times New Roman" w:hAnsi="Times New Roman"/>
          <w:sz w:val="24"/>
          <w:szCs w:val="24"/>
        </w:rPr>
        <w:t xml:space="preserve"> Section III</w:t>
      </w:r>
      <w:proofErr w:type="gramEnd"/>
      <w:r w:rsidRPr="00BD4978">
        <w:rPr>
          <w:rFonts w:ascii="Times New Roman" w:hAnsi="Times New Roman"/>
          <w:sz w:val="24"/>
          <w:szCs w:val="24"/>
        </w:rPr>
        <w:t xml:space="preserve">(a)(1)), plaintiff's FMLA interference claim fails for the same reason as his ADA accommodation claim: the leave at issue was requested on September 14, 2021, after his terminable conduct. Therefore, defendant was not obligated to provide leave to an employee who was no longer deemed eligible for his position.”  </w:t>
      </w:r>
    </w:p>
    <w:p w14:paraId="3FF4194C" w14:textId="77777777" w:rsidR="00EB30E7" w:rsidRPr="00EB30E7" w:rsidRDefault="00EB30E7" w:rsidP="00EB30E7">
      <w:pPr>
        <w:pStyle w:val="NoSpacing"/>
        <w:rPr>
          <w:rFonts w:ascii="Times New Roman" w:hAnsi="Times New Roman"/>
          <w:bCs/>
          <w:sz w:val="24"/>
          <w:szCs w:val="24"/>
        </w:rPr>
      </w:pPr>
      <w:r w:rsidRPr="00EB30E7">
        <w:rPr>
          <w:rFonts w:ascii="Times New Roman" w:hAnsi="Times New Roman"/>
          <w:sz w:val="24"/>
          <w:szCs w:val="24"/>
        </w:rPr>
        <w:t xml:space="preserve">HOLDING: </w:t>
      </w:r>
    </w:p>
    <w:p w14:paraId="127B3F1F" w14:textId="77777777" w:rsidR="00EB30E7" w:rsidRPr="00EB30E7" w:rsidRDefault="00EB30E7" w:rsidP="00EB30E7">
      <w:pPr>
        <w:pStyle w:val="NoSpacing"/>
        <w:rPr>
          <w:rFonts w:ascii="Times New Roman" w:hAnsi="Times New Roman"/>
          <w:bCs/>
          <w:sz w:val="24"/>
          <w:szCs w:val="24"/>
        </w:rPr>
      </w:pPr>
    </w:p>
    <w:p w14:paraId="1D3138D1" w14:textId="77777777" w:rsidR="00EB30E7" w:rsidRPr="00EB30E7" w:rsidRDefault="00EB30E7" w:rsidP="00EB30E7">
      <w:pPr>
        <w:pStyle w:val="NoSpacing"/>
        <w:ind w:left="720"/>
        <w:rPr>
          <w:rFonts w:ascii="Times New Roman" w:hAnsi="Times New Roman"/>
          <w:bCs/>
          <w:sz w:val="24"/>
          <w:szCs w:val="24"/>
        </w:rPr>
      </w:pPr>
      <w:r w:rsidRPr="00EB30E7">
        <w:rPr>
          <w:rFonts w:ascii="Times New Roman" w:hAnsi="Times New Roman"/>
          <w:sz w:val="24"/>
          <w:szCs w:val="24"/>
        </w:rPr>
        <w:t>“After carefully reviewing the parties' evidence, the Court finds that while plaintiff has established a prima facie case of discriminatory termination in violation of the ADA, no reasonable jury could find that defendant's cited basis for plaintiff's termination was pretextual.</w:t>
      </w:r>
    </w:p>
    <w:p w14:paraId="045D7861" w14:textId="77777777" w:rsidR="00EB30E7" w:rsidRPr="00EB30E7" w:rsidRDefault="00EB30E7" w:rsidP="00EB30E7">
      <w:pPr>
        <w:pStyle w:val="NoSpacing"/>
        <w:ind w:left="720"/>
        <w:rPr>
          <w:rFonts w:ascii="Times New Roman" w:hAnsi="Times New Roman"/>
          <w:bCs/>
          <w:sz w:val="24"/>
          <w:szCs w:val="24"/>
        </w:rPr>
      </w:pPr>
    </w:p>
    <w:p w14:paraId="10DFDB89" w14:textId="77777777" w:rsidR="00EB30E7" w:rsidRPr="00EB30E7" w:rsidRDefault="00EB30E7" w:rsidP="00EB30E7">
      <w:pPr>
        <w:pStyle w:val="NoSpacing"/>
        <w:ind w:left="720"/>
        <w:rPr>
          <w:rFonts w:ascii="Times New Roman" w:hAnsi="Times New Roman"/>
          <w:bCs/>
          <w:sz w:val="24"/>
          <w:szCs w:val="24"/>
        </w:rPr>
      </w:pPr>
      <w:r w:rsidRPr="00EB30E7">
        <w:rPr>
          <w:rFonts w:ascii="Times New Roman" w:hAnsi="Times New Roman"/>
          <w:sz w:val="24"/>
          <w:szCs w:val="24"/>
        </w:rPr>
        <w:t>***</w:t>
      </w:r>
    </w:p>
    <w:p w14:paraId="76F5D661" w14:textId="77777777" w:rsidR="00EB30E7" w:rsidRPr="00EB30E7" w:rsidRDefault="00EB30E7" w:rsidP="00EB30E7">
      <w:pPr>
        <w:pStyle w:val="NoSpacing"/>
        <w:ind w:left="720"/>
        <w:rPr>
          <w:rFonts w:ascii="Times New Roman" w:hAnsi="Times New Roman"/>
          <w:bCs/>
          <w:sz w:val="24"/>
          <w:szCs w:val="24"/>
        </w:rPr>
      </w:pPr>
      <w:r w:rsidRPr="00EB30E7">
        <w:rPr>
          <w:rFonts w:ascii="Times New Roman" w:hAnsi="Times New Roman"/>
          <w:sz w:val="24"/>
          <w:szCs w:val="24"/>
        </w:rPr>
        <w:t xml:space="preserve">If anything, the timing of these texts undermines plaintiff's position because they show the difficulty his misconduct caused for co-workers who, at that time, had no knowledge of his disabilities. And plaintiff does not dispute that he engaged in misconduct that led to Shelton's recommendation that he be terminated; accordingly, there is no dispute of material fact as to NFD's legitimate non-discriminatory basis for plaintiff's termination. Having already conceded the first method for rebutting defendant's justification under </w:t>
      </w:r>
      <w:r w:rsidRPr="00EB30E7">
        <w:rPr>
          <w:rFonts w:ascii="Times New Roman" w:hAnsi="Times New Roman"/>
          <w:i/>
          <w:iCs/>
          <w:sz w:val="24"/>
          <w:szCs w:val="24"/>
        </w:rPr>
        <w:t>Kocsis</w:t>
      </w:r>
      <w:r w:rsidRPr="00EB30E7">
        <w:rPr>
          <w:rFonts w:ascii="Times New Roman" w:hAnsi="Times New Roman"/>
          <w:sz w:val="24"/>
          <w:szCs w:val="24"/>
        </w:rPr>
        <w:t>, plaintiff has not presented evidence to create a dispute of fact as to whether defendant's ‘proffered reasons did not actually motivate the action; or [] that they were insufficient to motivate the action.</w:t>
      </w:r>
      <w:hyperlink r:id="rId1735" w:anchor="p883" w:history="1">
        <w:r w:rsidRPr="00EB30E7">
          <w:rPr>
            <w:rStyle w:val="Hyperlink"/>
            <w:rFonts w:ascii="Times New Roman" w:hAnsi="Times New Roman"/>
            <w:sz w:val="24"/>
            <w:szCs w:val="24"/>
          </w:rPr>
          <w:t>97 F.3d at 883</w:t>
        </w:r>
      </w:hyperlink>
      <w:r w:rsidRPr="00EB30E7">
        <w:rPr>
          <w:rFonts w:ascii="Times New Roman" w:hAnsi="Times New Roman"/>
          <w:sz w:val="24"/>
          <w:szCs w:val="24"/>
        </w:rPr>
        <w:t>.”</w:t>
      </w:r>
    </w:p>
    <w:p w14:paraId="502E4F9B" w14:textId="77777777" w:rsidR="00EB30E7" w:rsidRPr="00EB30E7" w:rsidRDefault="00EB30E7" w:rsidP="00EB30E7">
      <w:pPr>
        <w:pStyle w:val="NoSpacing"/>
        <w:rPr>
          <w:rFonts w:ascii="Times New Roman" w:hAnsi="Times New Roman"/>
          <w:b/>
          <w:sz w:val="24"/>
          <w:szCs w:val="24"/>
        </w:rPr>
      </w:pPr>
    </w:p>
    <w:p w14:paraId="1BB0DDA1" w14:textId="77777777" w:rsidR="00EB30E7" w:rsidRPr="00EB30E7" w:rsidRDefault="00EB30E7" w:rsidP="00EB30E7">
      <w:pPr>
        <w:pStyle w:val="NoSpacing"/>
        <w:rPr>
          <w:rFonts w:ascii="Times New Roman" w:hAnsi="Times New Roman"/>
          <w:b/>
          <w:sz w:val="24"/>
          <w:szCs w:val="24"/>
        </w:rPr>
      </w:pPr>
      <w:r w:rsidRPr="00EB30E7">
        <w:rPr>
          <w:rFonts w:ascii="Times New Roman" w:hAnsi="Times New Roman"/>
          <w:b/>
          <w:sz w:val="24"/>
          <w:szCs w:val="24"/>
        </w:rPr>
        <w:t xml:space="preserve">Legal Lesson Learned: Employer has no obligation to offer additional FMLA to an employee facing termination. </w:t>
      </w:r>
    </w:p>
    <w:p w14:paraId="6B3327AD" w14:textId="77777777" w:rsidR="00EB30E7" w:rsidRPr="00EB30E7" w:rsidRDefault="00EB30E7" w:rsidP="00EB30E7">
      <w:pPr>
        <w:pStyle w:val="NoSpacing"/>
        <w:rPr>
          <w:rFonts w:ascii="Times New Roman" w:hAnsi="Times New Roman"/>
          <w:bCs/>
          <w:sz w:val="24"/>
          <w:szCs w:val="24"/>
        </w:rPr>
      </w:pPr>
    </w:p>
    <w:p w14:paraId="7B03BD24" w14:textId="77777777" w:rsidR="00113D38" w:rsidRPr="00EB30E7" w:rsidRDefault="00113D38" w:rsidP="00E9307E">
      <w:pPr>
        <w:rPr>
          <w:rFonts w:ascii="Times New Roman" w:hAnsi="Times New Roman"/>
          <w:b/>
          <w:sz w:val="24"/>
          <w:szCs w:val="24"/>
        </w:rPr>
      </w:pPr>
    </w:p>
    <w:p w14:paraId="0878E3AE" w14:textId="77777777" w:rsidR="00113D38" w:rsidRDefault="00113D38" w:rsidP="00E9307E">
      <w:pPr>
        <w:rPr>
          <w:rFonts w:ascii="Arial Black" w:hAnsi="Arial Black"/>
          <w:b/>
          <w:sz w:val="28"/>
          <w:szCs w:val="28"/>
        </w:rPr>
      </w:pPr>
    </w:p>
    <w:p w14:paraId="46845826" w14:textId="2BDC65CB" w:rsidR="006A13EA" w:rsidRDefault="006A13EA" w:rsidP="00E9307E">
      <w:pPr>
        <w:rPr>
          <w:rFonts w:ascii="Arial Black" w:hAnsi="Arial Black"/>
          <w:b/>
          <w:sz w:val="28"/>
          <w:szCs w:val="28"/>
        </w:rPr>
      </w:pPr>
      <w:r>
        <w:rPr>
          <w:rFonts w:ascii="Arial Black" w:hAnsi="Arial Black"/>
          <w:b/>
          <w:sz w:val="28"/>
          <w:szCs w:val="28"/>
        </w:rPr>
        <w:t>10-1</w:t>
      </w:r>
      <w:r w:rsidR="00B13773">
        <w:rPr>
          <w:rFonts w:ascii="Arial Black" w:hAnsi="Arial Black"/>
          <w:b/>
          <w:sz w:val="28"/>
          <w:szCs w:val="28"/>
        </w:rPr>
        <w:t>1</w:t>
      </w:r>
    </w:p>
    <w:p w14:paraId="6DE23C0B" w14:textId="20209B42" w:rsidR="006A13EA" w:rsidRPr="00A708BF" w:rsidRDefault="006A13EA" w:rsidP="006A13EA">
      <w:pPr>
        <w:pStyle w:val="NoSpacing"/>
        <w:rPr>
          <w:rFonts w:ascii="Arial Black" w:hAnsi="Arial Black"/>
          <w:sz w:val="28"/>
          <w:szCs w:val="28"/>
        </w:rPr>
      </w:pPr>
      <w:r>
        <w:rPr>
          <w:rFonts w:ascii="Arial Black" w:hAnsi="Arial Black"/>
          <w:sz w:val="28"/>
          <w:szCs w:val="28"/>
        </w:rPr>
        <w:t>CT: MEDIC SUPERVISOR – BACK INJURY –MISSED WORK - FIRED</w:t>
      </w:r>
    </w:p>
    <w:p w14:paraId="1B267619" w14:textId="77777777" w:rsidR="006A13EA" w:rsidRDefault="006A13EA" w:rsidP="006A13EA">
      <w:pPr>
        <w:pStyle w:val="NoSpacing"/>
        <w:rPr>
          <w:rFonts w:ascii="Times New Roman" w:hAnsi="Times New Roman"/>
          <w:sz w:val="24"/>
          <w:szCs w:val="24"/>
        </w:rPr>
      </w:pPr>
    </w:p>
    <w:p w14:paraId="2D8D598D" w14:textId="33535CEC" w:rsidR="006A13EA" w:rsidRDefault="006A13EA" w:rsidP="006A13EA">
      <w:pPr>
        <w:pStyle w:val="NoSpacing"/>
        <w:rPr>
          <w:rFonts w:ascii="Times New Roman" w:hAnsi="Times New Roman"/>
          <w:sz w:val="24"/>
          <w:szCs w:val="24"/>
        </w:rPr>
      </w:pPr>
      <w:r>
        <w:rPr>
          <w:rFonts w:ascii="Times New Roman" w:hAnsi="Times New Roman"/>
          <w:sz w:val="24"/>
          <w:szCs w:val="24"/>
        </w:rPr>
        <w:lastRenderedPageBreak/>
        <w:t xml:space="preserve">On Feb. 23, 2024, in </w:t>
      </w:r>
      <w:r w:rsidRPr="00722030">
        <w:rPr>
          <w:rFonts w:ascii="Times New Roman" w:hAnsi="Times New Roman"/>
          <w:sz w:val="24"/>
          <w:szCs w:val="24"/>
          <w:u w:val="single"/>
        </w:rPr>
        <w:t>Robert Larose v. American Medical Response of Connecticut</w:t>
      </w:r>
      <w:r>
        <w:rPr>
          <w:rFonts w:ascii="Times New Roman" w:hAnsi="Times New Roman"/>
          <w:sz w:val="24"/>
          <w:szCs w:val="24"/>
        </w:rPr>
        <w:t xml:space="preserve">, United States District Court Judge Vernon D. Oliver, U.S. District Court for District of Connecticut, granted the defense motion for summary judgment on ADA and FMLA claims.  After numerous leaves of absence, he returned to work as part-time per diem </w:t>
      </w:r>
      <w:proofErr w:type="gramStart"/>
      <w:r>
        <w:rPr>
          <w:rFonts w:ascii="Times New Roman" w:hAnsi="Times New Roman"/>
          <w:sz w:val="24"/>
          <w:szCs w:val="24"/>
        </w:rPr>
        <w:t>medic, but</w:t>
      </w:r>
      <w:proofErr w:type="gramEnd"/>
      <w:r>
        <w:rPr>
          <w:rFonts w:ascii="Times New Roman" w:hAnsi="Times New Roman"/>
          <w:sz w:val="24"/>
          <w:szCs w:val="24"/>
        </w:rPr>
        <w:t xml:space="preserve"> failed to work the required one shift per week. </w:t>
      </w:r>
      <w:r w:rsidR="00AE2AF4">
        <w:rPr>
          <w:rFonts w:ascii="Times New Roman" w:hAnsi="Times New Roman"/>
          <w:sz w:val="24"/>
          <w:szCs w:val="24"/>
        </w:rPr>
        <w:t xml:space="preserve"> </w:t>
      </w:r>
      <w:hyperlink r:id="rId1736" w:history="1">
        <w:r w:rsidR="00AE2AF4" w:rsidRPr="007E7996">
          <w:rPr>
            <w:rStyle w:val="Hyperlink"/>
            <w:rFonts w:ascii="Times New Roman" w:hAnsi="Times New Roman"/>
            <w:sz w:val="24"/>
            <w:szCs w:val="24"/>
          </w:rPr>
          <w:t>https://caselaw.findlaw.com/court/us-dis-crt-d-con/115860244.html</w:t>
        </w:r>
      </w:hyperlink>
      <w:r w:rsidR="00AE2AF4">
        <w:t xml:space="preserve"> </w:t>
      </w:r>
    </w:p>
    <w:p w14:paraId="380F49E5" w14:textId="77777777" w:rsidR="003956F7" w:rsidRDefault="003956F7" w:rsidP="003956F7">
      <w:pPr>
        <w:pStyle w:val="NoSpacing"/>
        <w:rPr>
          <w:rFonts w:ascii="Times New Roman" w:hAnsi="Times New Roman"/>
          <w:sz w:val="24"/>
          <w:szCs w:val="24"/>
          <w:shd w:val="clear" w:color="auto" w:fill="FFFFFF"/>
        </w:rPr>
      </w:pPr>
    </w:p>
    <w:p w14:paraId="5AF4B9A9" w14:textId="46B8BBF4" w:rsidR="003956F7" w:rsidRPr="004C0299" w:rsidRDefault="003956F7" w:rsidP="003956F7">
      <w:pPr>
        <w:pStyle w:val="NoSpacing"/>
        <w:rPr>
          <w:rFonts w:ascii="Times New Roman" w:hAnsi="Times New Roman"/>
          <w:sz w:val="24"/>
          <w:szCs w:val="24"/>
        </w:rPr>
      </w:pPr>
      <w:r>
        <w:rPr>
          <w:rFonts w:ascii="Times New Roman" w:hAnsi="Times New Roman"/>
          <w:sz w:val="24"/>
          <w:szCs w:val="24"/>
          <w:shd w:val="clear" w:color="auto" w:fill="FFFFFF"/>
        </w:rPr>
        <w:t>THE COURT HELD:</w:t>
      </w:r>
    </w:p>
    <w:p w14:paraId="1A34141F" w14:textId="77777777" w:rsidR="003956F7" w:rsidRDefault="003956F7" w:rsidP="006A13EA">
      <w:pPr>
        <w:pStyle w:val="NoSpacing"/>
        <w:rPr>
          <w:rFonts w:ascii="Times New Roman" w:hAnsi="Times New Roman"/>
          <w:sz w:val="24"/>
          <w:szCs w:val="24"/>
        </w:rPr>
      </w:pPr>
    </w:p>
    <w:p w14:paraId="04F50309" w14:textId="77777777" w:rsidR="006A13EA" w:rsidRDefault="006A13EA" w:rsidP="006A13EA">
      <w:pPr>
        <w:ind w:left="720"/>
        <w:rPr>
          <w:rFonts w:ascii="Times New Roman" w:hAnsi="Times New Roman"/>
          <w:sz w:val="24"/>
          <w:szCs w:val="24"/>
        </w:rPr>
      </w:pPr>
      <w:r>
        <w:rPr>
          <w:rFonts w:ascii="Times New Roman" w:hAnsi="Times New Roman"/>
          <w:sz w:val="24"/>
          <w:szCs w:val="24"/>
        </w:rPr>
        <w:t>“</w:t>
      </w:r>
      <w:r w:rsidRPr="002D3623">
        <w:rPr>
          <w:rFonts w:ascii="Times New Roman" w:hAnsi="Times New Roman"/>
          <w:sz w:val="24"/>
          <w:szCs w:val="24"/>
        </w:rPr>
        <w:t xml:space="preserve">Here, Plaintiff alleges that after his shoulder injury, </w:t>
      </w:r>
      <w:r>
        <w:rPr>
          <w:rFonts w:ascii="Times New Roman" w:hAnsi="Times New Roman"/>
          <w:sz w:val="24"/>
          <w:szCs w:val="24"/>
        </w:rPr>
        <w:t>‘</w:t>
      </w:r>
      <w:r w:rsidRPr="002D3623">
        <w:rPr>
          <w:rFonts w:ascii="Times New Roman" w:hAnsi="Times New Roman"/>
          <w:sz w:val="24"/>
          <w:szCs w:val="24"/>
        </w:rPr>
        <w:t>the medical restriction that was preventing him from returning to work was that his doctor did not want him to do any heavy lifting.</w:t>
      </w:r>
      <w:r>
        <w:rPr>
          <w:rFonts w:ascii="Times New Roman" w:hAnsi="Times New Roman"/>
          <w:sz w:val="24"/>
          <w:szCs w:val="24"/>
        </w:rPr>
        <w:t>’</w:t>
      </w:r>
      <w:r w:rsidRPr="002D3623">
        <w:rPr>
          <w:rFonts w:ascii="Times New Roman" w:hAnsi="Times New Roman"/>
          <w:sz w:val="24"/>
          <w:szCs w:val="24"/>
        </w:rPr>
        <w:t xml:space="preserve"> He further asserts that </w:t>
      </w:r>
      <w:r>
        <w:rPr>
          <w:rFonts w:ascii="Times New Roman" w:hAnsi="Times New Roman"/>
          <w:sz w:val="24"/>
          <w:szCs w:val="24"/>
        </w:rPr>
        <w:t>‘</w:t>
      </w:r>
      <w:r w:rsidRPr="002D3623">
        <w:rPr>
          <w:rFonts w:ascii="Times New Roman" w:hAnsi="Times New Roman"/>
          <w:sz w:val="24"/>
          <w:szCs w:val="24"/>
        </w:rPr>
        <w:t>his injury caused [him] to be substantially limited in both the major life activities of ‘lifting’ and ‘working,’ thereby establishing that he was, at the time, a disabled person.</w:t>
      </w:r>
      <w:r>
        <w:rPr>
          <w:rFonts w:ascii="Times New Roman" w:hAnsi="Times New Roman"/>
          <w:sz w:val="24"/>
          <w:szCs w:val="24"/>
        </w:rPr>
        <w:t>’</w:t>
      </w:r>
      <w:r w:rsidRPr="002D3623">
        <w:rPr>
          <w:rFonts w:ascii="Times New Roman" w:hAnsi="Times New Roman"/>
          <w:sz w:val="24"/>
          <w:szCs w:val="24"/>
        </w:rPr>
        <w:t xml:space="preserve"> Plaintiff provides absolutely no medical records, evidence, or other information to support his claim that his neck/shoulder injury caused him to be substantially limited in the major life activities of lifting and working.</w:t>
      </w:r>
    </w:p>
    <w:p w14:paraId="46821EBA" w14:textId="77777777" w:rsidR="006A13EA" w:rsidRDefault="006A13EA" w:rsidP="006A13EA">
      <w:pPr>
        <w:ind w:left="720"/>
        <w:rPr>
          <w:rFonts w:ascii="Times New Roman" w:hAnsi="Times New Roman"/>
          <w:sz w:val="24"/>
          <w:szCs w:val="24"/>
        </w:rPr>
      </w:pPr>
      <w:r>
        <w:rPr>
          <w:rFonts w:ascii="Times New Roman" w:hAnsi="Times New Roman"/>
          <w:sz w:val="24"/>
          <w:szCs w:val="24"/>
        </w:rPr>
        <w:t>***</w:t>
      </w:r>
    </w:p>
    <w:p w14:paraId="08E190BA" w14:textId="77777777" w:rsidR="006A13EA" w:rsidRPr="004948B6" w:rsidRDefault="006A13EA" w:rsidP="006A13EA">
      <w:pPr>
        <w:ind w:left="720"/>
        <w:rPr>
          <w:rFonts w:ascii="Times New Roman" w:hAnsi="Times New Roman"/>
          <w:sz w:val="24"/>
          <w:szCs w:val="24"/>
        </w:rPr>
      </w:pPr>
      <w:r w:rsidRPr="004948B6">
        <w:rPr>
          <w:rFonts w:ascii="Times New Roman" w:hAnsi="Times New Roman"/>
          <w:sz w:val="24"/>
          <w:szCs w:val="24"/>
        </w:rPr>
        <w:t>As a preliminary matter, Plaintiff does not contend that AMR denied any FMLA leave he requested. Indeed, Plaintiff expressly concedes that he received all the leave to which he was entitled when he took leave twice between 2018-2019.</w:t>
      </w:r>
      <w:r>
        <w:rPr>
          <w:rFonts w:ascii="Times New Roman" w:hAnsi="Times New Roman"/>
          <w:sz w:val="24"/>
          <w:szCs w:val="24"/>
        </w:rPr>
        <w:t xml:space="preserve"> </w:t>
      </w:r>
      <w:r w:rsidRPr="004948B6">
        <w:rPr>
          <w:rFonts w:ascii="Times New Roman" w:hAnsi="Times New Roman"/>
          <w:sz w:val="24"/>
          <w:szCs w:val="24"/>
        </w:rPr>
        <w:t>Therefore, to prevail on his interference claim, Plaintiff must show that AMR interfered with his FMLA rights in some manner other than by denying him leave.</w:t>
      </w:r>
      <w:r>
        <w:rPr>
          <w:rFonts w:ascii="Times New Roman" w:hAnsi="Times New Roman"/>
          <w:sz w:val="24"/>
          <w:szCs w:val="24"/>
        </w:rPr>
        <w:t xml:space="preserve">”  </w:t>
      </w:r>
      <w:hyperlink r:id="rId1737" w:history="1">
        <w:r w:rsidRPr="007E7996">
          <w:rPr>
            <w:rStyle w:val="Hyperlink"/>
            <w:rFonts w:ascii="Times New Roman" w:hAnsi="Times New Roman"/>
            <w:sz w:val="24"/>
            <w:szCs w:val="24"/>
          </w:rPr>
          <w:t>https://caselaw.findlaw.com/court/us-dis-crt-d-con/115860244.html</w:t>
        </w:r>
      </w:hyperlink>
      <w:r>
        <w:rPr>
          <w:rFonts w:ascii="Times New Roman" w:hAnsi="Times New Roman"/>
          <w:sz w:val="24"/>
          <w:szCs w:val="24"/>
        </w:rPr>
        <w:t xml:space="preserve"> </w:t>
      </w:r>
    </w:p>
    <w:p w14:paraId="5DD1AD15" w14:textId="77777777" w:rsidR="006A13EA" w:rsidRDefault="006A13EA" w:rsidP="006A13EA">
      <w:pPr>
        <w:rPr>
          <w:rFonts w:ascii="Times New Roman" w:hAnsi="Times New Roman"/>
          <w:b/>
          <w:bCs/>
          <w:sz w:val="24"/>
          <w:szCs w:val="24"/>
        </w:rPr>
      </w:pPr>
      <w:r w:rsidRPr="00530114">
        <w:rPr>
          <w:rFonts w:ascii="Times New Roman" w:hAnsi="Times New Roman"/>
          <w:b/>
          <w:bCs/>
          <w:sz w:val="24"/>
          <w:szCs w:val="24"/>
        </w:rPr>
        <w:t>Legal Lesson Learned:</w:t>
      </w:r>
      <w:r>
        <w:rPr>
          <w:rFonts w:ascii="Times New Roman" w:hAnsi="Times New Roman"/>
          <w:b/>
          <w:bCs/>
          <w:sz w:val="24"/>
          <w:szCs w:val="24"/>
        </w:rPr>
        <w:t xml:space="preserve"> After employee uses all FMLA leave, employer does not have to hold open former position. </w:t>
      </w:r>
    </w:p>
    <w:p w14:paraId="4FE9F5C4" w14:textId="77777777" w:rsidR="006A13EA" w:rsidRPr="00401EB7" w:rsidRDefault="006A13EA" w:rsidP="006A13EA">
      <w:pPr>
        <w:pStyle w:val="NoSpacing"/>
        <w:rPr>
          <w:rFonts w:ascii="Times New Roman" w:hAnsi="Times New Roman"/>
          <w:sz w:val="24"/>
          <w:szCs w:val="24"/>
        </w:rPr>
      </w:pPr>
      <w:r>
        <w:rPr>
          <w:rFonts w:ascii="Times New Roman" w:hAnsi="Times New Roman"/>
          <w:b/>
          <w:bCs/>
          <w:sz w:val="24"/>
          <w:szCs w:val="24"/>
        </w:rPr>
        <w:tab/>
      </w:r>
      <w:r w:rsidRPr="00401EB7">
        <w:rPr>
          <w:rFonts w:ascii="Times New Roman" w:hAnsi="Times New Roman"/>
          <w:sz w:val="24"/>
          <w:szCs w:val="24"/>
        </w:rPr>
        <w:t xml:space="preserve">Note: FMLA Leave: </w:t>
      </w:r>
      <w:hyperlink r:id="rId1738" w:history="1">
        <w:r w:rsidRPr="00401EB7">
          <w:rPr>
            <w:rStyle w:val="Hyperlink"/>
            <w:rFonts w:ascii="Times New Roman" w:hAnsi="Times New Roman"/>
            <w:sz w:val="24"/>
            <w:szCs w:val="24"/>
          </w:rPr>
          <w:t>https://www.dol.gov/agencies/whd/fmla</w:t>
        </w:r>
      </w:hyperlink>
      <w:r w:rsidRPr="00401EB7">
        <w:rPr>
          <w:rFonts w:ascii="Times New Roman" w:hAnsi="Times New Roman"/>
          <w:sz w:val="24"/>
          <w:szCs w:val="24"/>
        </w:rPr>
        <w:t xml:space="preserve"> </w:t>
      </w:r>
    </w:p>
    <w:p w14:paraId="5D8632B3" w14:textId="77777777" w:rsidR="006A13EA" w:rsidRPr="0013397F" w:rsidRDefault="006A13EA" w:rsidP="006A13EA">
      <w:pPr>
        <w:pStyle w:val="NoSpacing"/>
        <w:ind w:firstLine="720"/>
        <w:rPr>
          <w:rFonts w:ascii="Times New Roman" w:hAnsi="Times New Roman"/>
          <w:sz w:val="24"/>
          <w:szCs w:val="24"/>
        </w:rPr>
      </w:pPr>
      <w:r>
        <w:rPr>
          <w:rFonts w:ascii="Times New Roman" w:hAnsi="Times New Roman"/>
          <w:b/>
          <w:bCs/>
          <w:sz w:val="24"/>
          <w:szCs w:val="24"/>
        </w:rPr>
        <w:t>“</w:t>
      </w:r>
      <w:r w:rsidRPr="0013397F">
        <w:rPr>
          <w:rFonts w:ascii="Times New Roman" w:hAnsi="Times New Roman"/>
          <w:sz w:val="24"/>
          <w:szCs w:val="24"/>
        </w:rPr>
        <w:t>Twelve workweeks of leave in a 12-month period for:</w:t>
      </w:r>
    </w:p>
    <w:p w14:paraId="0053D659" w14:textId="77777777" w:rsidR="006A13EA" w:rsidRPr="0013397F" w:rsidRDefault="006A13EA" w:rsidP="006A13EA">
      <w:pPr>
        <w:pStyle w:val="NoSpacing"/>
        <w:numPr>
          <w:ilvl w:val="0"/>
          <w:numId w:val="20"/>
        </w:numPr>
        <w:rPr>
          <w:rFonts w:ascii="Times New Roman" w:hAnsi="Times New Roman"/>
          <w:sz w:val="24"/>
          <w:szCs w:val="24"/>
        </w:rPr>
      </w:pPr>
      <w:r w:rsidRPr="0013397F">
        <w:rPr>
          <w:rFonts w:ascii="Times New Roman" w:hAnsi="Times New Roman"/>
          <w:sz w:val="24"/>
          <w:szCs w:val="24"/>
        </w:rPr>
        <w:t>the birth of a child and to care for the newborn child within one year of birth;</w:t>
      </w:r>
    </w:p>
    <w:p w14:paraId="2B52B53A" w14:textId="77777777" w:rsidR="006A13EA" w:rsidRPr="0013397F" w:rsidRDefault="006A13EA" w:rsidP="006A13EA">
      <w:pPr>
        <w:pStyle w:val="NoSpacing"/>
        <w:numPr>
          <w:ilvl w:val="0"/>
          <w:numId w:val="20"/>
        </w:numPr>
        <w:rPr>
          <w:rFonts w:ascii="Times New Roman" w:hAnsi="Times New Roman"/>
          <w:sz w:val="24"/>
          <w:szCs w:val="24"/>
        </w:rPr>
      </w:pPr>
      <w:r w:rsidRPr="0013397F">
        <w:rPr>
          <w:rFonts w:ascii="Times New Roman" w:hAnsi="Times New Roman"/>
          <w:sz w:val="24"/>
          <w:szCs w:val="24"/>
        </w:rPr>
        <w:t>the placement with the employee of a child for adoption or foster care and to care for the newly placed child within one year of placement;</w:t>
      </w:r>
    </w:p>
    <w:p w14:paraId="1EFF41F3" w14:textId="77777777" w:rsidR="006A13EA" w:rsidRPr="0013397F" w:rsidRDefault="006A13EA" w:rsidP="006A13EA">
      <w:pPr>
        <w:pStyle w:val="NoSpacing"/>
        <w:numPr>
          <w:ilvl w:val="0"/>
          <w:numId w:val="20"/>
        </w:numPr>
        <w:rPr>
          <w:rFonts w:ascii="Times New Roman" w:hAnsi="Times New Roman"/>
          <w:sz w:val="24"/>
          <w:szCs w:val="24"/>
        </w:rPr>
      </w:pPr>
      <w:r w:rsidRPr="0013397F">
        <w:rPr>
          <w:rFonts w:ascii="Times New Roman" w:hAnsi="Times New Roman"/>
          <w:sz w:val="24"/>
          <w:szCs w:val="24"/>
        </w:rPr>
        <w:t>to care for the employee’s spouse, child, or parent who has a serious health condition;</w:t>
      </w:r>
    </w:p>
    <w:p w14:paraId="4191BAE7" w14:textId="77777777" w:rsidR="006A13EA" w:rsidRPr="0013397F" w:rsidRDefault="006A13EA" w:rsidP="006A13EA">
      <w:pPr>
        <w:pStyle w:val="NoSpacing"/>
        <w:numPr>
          <w:ilvl w:val="0"/>
          <w:numId w:val="20"/>
        </w:numPr>
        <w:rPr>
          <w:rFonts w:ascii="Times New Roman" w:hAnsi="Times New Roman"/>
          <w:sz w:val="24"/>
          <w:szCs w:val="24"/>
        </w:rPr>
      </w:pPr>
      <w:r w:rsidRPr="0013397F">
        <w:rPr>
          <w:rFonts w:ascii="Times New Roman" w:hAnsi="Times New Roman"/>
          <w:sz w:val="24"/>
          <w:szCs w:val="24"/>
        </w:rPr>
        <w:t>a serious health condition that makes the employee unable to perform the essential functions of his or her job;</w:t>
      </w:r>
    </w:p>
    <w:p w14:paraId="0EBC0F88" w14:textId="77777777" w:rsidR="006A13EA" w:rsidRPr="0013397F" w:rsidRDefault="006A13EA" w:rsidP="006A13EA">
      <w:pPr>
        <w:pStyle w:val="NoSpacing"/>
        <w:numPr>
          <w:ilvl w:val="0"/>
          <w:numId w:val="20"/>
        </w:numPr>
        <w:rPr>
          <w:rFonts w:ascii="Times New Roman" w:hAnsi="Times New Roman"/>
          <w:sz w:val="24"/>
          <w:szCs w:val="24"/>
        </w:rPr>
      </w:pPr>
      <w:r w:rsidRPr="0013397F">
        <w:rPr>
          <w:rFonts w:ascii="Times New Roman" w:hAnsi="Times New Roman"/>
          <w:sz w:val="24"/>
          <w:szCs w:val="24"/>
        </w:rPr>
        <w:t>any qualifying exigency arising out of the fact that the employee’s spouse, son, daughter, or parent is a covered military member on “covered active duty;” or</w:t>
      </w:r>
    </w:p>
    <w:p w14:paraId="5FAC7F30" w14:textId="77777777" w:rsidR="006A13EA" w:rsidRDefault="006A13EA" w:rsidP="006A13EA">
      <w:pPr>
        <w:pStyle w:val="NoSpacing"/>
        <w:rPr>
          <w:rFonts w:ascii="Times New Roman" w:hAnsi="Times New Roman"/>
          <w:sz w:val="24"/>
          <w:szCs w:val="24"/>
        </w:rPr>
      </w:pPr>
    </w:p>
    <w:p w14:paraId="779849C6" w14:textId="77777777" w:rsidR="006A13EA" w:rsidRPr="0013397F" w:rsidRDefault="006A13EA" w:rsidP="006A13EA">
      <w:pPr>
        <w:pStyle w:val="NoSpacing"/>
        <w:ind w:left="720"/>
        <w:rPr>
          <w:rFonts w:ascii="Times New Roman" w:hAnsi="Times New Roman"/>
          <w:sz w:val="24"/>
          <w:szCs w:val="24"/>
        </w:rPr>
      </w:pPr>
      <w:r w:rsidRPr="0013397F">
        <w:rPr>
          <w:rFonts w:ascii="Times New Roman" w:hAnsi="Times New Roman"/>
          <w:sz w:val="24"/>
          <w:szCs w:val="24"/>
        </w:rPr>
        <w:t>Twenty-six work weeks of leave during a single 12-month period to care for a covered servicemember with a serious injury or illness if the eligible employee is the servicemember’s spouse, son, daughter, parent, or next of kin (military caregiver leave)</w:t>
      </w:r>
      <w:proofErr w:type="gramStart"/>
      <w:r w:rsidRPr="0013397F">
        <w:rPr>
          <w:rFonts w:ascii="Times New Roman" w:hAnsi="Times New Roman"/>
          <w:sz w:val="24"/>
          <w:szCs w:val="24"/>
        </w:rPr>
        <w:t>.</w:t>
      </w:r>
      <w:r>
        <w:rPr>
          <w:rFonts w:ascii="Times New Roman" w:hAnsi="Times New Roman"/>
          <w:sz w:val="24"/>
          <w:szCs w:val="24"/>
        </w:rPr>
        <w:t>”</w:t>
      </w:r>
      <w:proofErr w:type="gramEnd"/>
    </w:p>
    <w:p w14:paraId="75CA5315" w14:textId="77777777" w:rsidR="006A13EA" w:rsidRDefault="006A13EA" w:rsidP="00E9307E">
      <w:pPr>
        <w:rPr>
          <w:rFonts w:ascii="Arial Black" w:hAnsi="Arial Black"/>
          <w:b/>
          <w:sz w:val="28"/>
          <w:szCs w:val="28"/>
        </w:rPr>
      </w:pPr>
    </w:p>
    <w:p w14:paraId="6DE65148" w14:textId="77777777" w:rsidR="006A13EA" w:rsidRDefault="006A13EA" w:rsidP="00E9307E">
      <w:pPr>
        <w:rPr>
          <w:rFonts w:ascii="Arial Black" w:hAnsi="Arial Black"/>
          <w:b/>
          <w:sz w:val="28"/>
          <w:szCs w:val="28"/>
        </w:rPr>
      </w:pPr>
    </w:p>
    <w:p w14:paraId="00CF8FBD" w14:textId="77777777" w:rsidR="00D33F96" w:rsidRDefault="00D33F96" w:rsidP="00E9307E">
      <w:pPr>
        <w:rPr>
          <w:rFonts w:ascii="Arial Black" w:hAnsi="Arial Black"/>
          <w:b/>
          <w:sz w:val="28"/>
          <w:szCs w:val="28"/>
        </w:rPr>
      </w:pPr>
    </w:p>
    <w:p w14:paraId="2B0F2A19" w14:textId="7E80E2D3" w:rsidR="00237599" w:rsidRDefault="00237599" w:rsidP="00E9307E">
      <w:pPr>
        <w:rPr>
          <w:rFonts w:ascii="Arial Black" w:hAnsi="Arial Black"/>
          <w:b/>
          <w:sz w:val="28"/>
          <w:szCs w:val="28"/>
        </w:rPr>
      </w:pPr>
      <w:r>
        <w:rPr>
          <w:rFonts w:ascii="Arial Black" w:hAnsi="Arial Black"/>
          <w:b/>
          <w:sz w:val="28"/>
          <w:szCs w:val="28"/>
        </w:rPr>
        <w:t>10-1</w:t>
      </w:r>
      <w:r w:rsidR="00B13773">
        <w:rPr>
          <w:rFonts w:ascii="Arial Black" w:hAnsi="Arial Black"/>
          <w:b/>
          <w:sz w:val="28"/>
          <w:szCs w:val="28"/>
        </w:rPr>
        <w:t>0</w:t>
      </w:r>
    </w:p>
    <w:p w14:paraId="0AEA9C7D" w14:textId="25F4A1FE" w:rsidR="00237599" w:rsidRDefault="00237599" w:rsidP="00237599">
      <w:pPr>
        <w:pStyle w:val="NormalWeb"/>
        <w:rPr>
          <w:rFonts w:ascii="Arial Black" w:hAnsi="Arial Black"/>
          <w:b/>
          <w:bCs/>
          <w:sz w:val="28"/>
          <w:szCs w:val="28"/>
        </w:rPr>
      </w:pPr>
      <w:bookmarkStart w:id="372" w:name="_Hlk136860096"/>
      <w:r>
        <w:rPr>
          <w:rFonts w:ascii="Arial Black" w:hAnsi="Arial Black"/>
          <w:b/>
          <w:bCs/>
          <w:sz w:val="28"/>
          <w:szCs w:val="28"/>
        </w:rPr>
        <w:lastRenderedPageBreak/>
        <w:t xml:space="preserve">DC: FMLA – HOLIDAY </w:t>
      </w:r>
      <w:r w:rsidR="005F4A66">
        <w:rPr>
          <w:rFonts w:ascii="Arial Black" w:hAnsi="Arial Black"/>
          <w:b/>
          <w:bCs/>
          <w:sz w:val="28"/>
          <w:szCs w:val="28"/>
        </w:rPr>
        <w:t xml:space="preserve">- </w:t>
      </w:r>
      <w:r>
        <w:rPr>
          <w:rFonts w:ascii="Arial Black" w:hAnsi="Arial Black"/>
          <w:b/>
          <w:bCs/>
          <w:sz w:val="28"/>
          <w:szCs w:val="28"/>
        </w:rPr>
        <w:t>NOT COUNTED FULL WEEK OF LEAVE</w:t>
      </w:r>
    </w:p>
    <w:bookmarkEnd w:id="372"/>
    <w:p w14:paraId="65820FA5" w14:textId="77777777" w:rsidR="00237599" w:rsidRPr="00237599" w:rsidRDefault="00237599" w:rsidP="00237599">
      <w:pPr>
        <w:pStyle w:val="NormalWeb"/>
        <w:rPr>
          <w:rStyle w:val="markedcontent"/>
        </w:rPr>
      </w:pPr>
      <w:r w:rsidRPr="00237599">
        <w:t xml:space="preserve">On May 30, 2023, the U.S. Department of Labor, Wage and Hour Division, issued Opinion Letter </w:t>
      </w:r>
      <w:r w:rsidRPr="00237599">
        <w:rPr>
          <w:rStyle w:val="markedcontent"/>
        </w:rPr>
        <w:t>FMLA2023-2-A on calculating amount of leave used by an employee taking leave during a week where there is a holiday (such as 4</w:t>
      </w:r>
      <w:r w:rsidRPr="00237599">
        <w:rPr>
          <w:rStyle w:val="markedcontent"/>
          <w:vertAlign w:val="superscript"/>
        </w:rPr>
        <w:t>th</w:t>
      </w:r>
      <w:r w:rsidRPr="00237599">
        <w:rPr>
          <w:rStyle w:val="markedcontent"/>
        </w:rPr>
        <w:t xml:space="preserve"> of July).  Opinion Letter advised: </w:t>
      </w:r>
    </w:p>
    <w:p w14:paraId="4545340C" w14:textId="499F1B89" w:rsidR="00237599" w:rsidRPr="00237599" w:rsidRDefault="00237599" w:rsidP="00237599">
      <w:pPr>
        <w:rPr>
          <w:rFonts w:ascii="Times New Roman" w:hAnsi="Times New Roman"/>
          <w:b/>
          <w:sz w:val="24"/>
          <w:szCs w:val="24"/>
        </w:rPr>
      </w:pPr>
      <w:r w:rsidRPr="00237599">
        <w:rPr>
          <w:rStyle w:val="markedcontent"/>
          <w:rFonts w:ascii="Times New Roman" w:hAnsi="Times New Roman"/>
          <w:sz w:val="24"/>
          <w:szCs w:val="24"/>
        </w:rPr>
        <w:t xml:space="preserve">“When a holiday falls during a week that an employee is taking a full workweek of FMLA leave, the entire week is counted as FMLA leave. 29 C.F.R. § 825.200(h). Thus, for example, an employee who works Monday through Friday and takes leave for a week that includes the Fourth of July on Thursday would use one week of leave and not 4/5 of a week. However, when a holiday falls during a week when an employee is taking less than a full workweek of FMLA leave, the holiday is not counted as FMLA leave unless the employee was scheduled and expected to work on the holiday and used FMLA leave for that day.” </w:t>
      </w:r>
      <w:hyperlink r:id="rId1739" w:history="1">
        <w:r w:rsidRPr="00237599">
          <w:rPr>
            <w:rStyle w:val="Hyperlink"/>
            <w:rFonts w:ascii="Times New Roman" w:eastAsiaTheme="majorEastAsia" w:hAnsi="Times New Roman"/>
            <w:sz w:val="24"/>
            <w:szCs w:val="24"/>
          </w:rPr>
          <w:t>https://www.dol.gov/sites/dolgov/files/WHD/opinion-letters/FMLA/2023_05_30_02_FMLA.pdf</w:t>
        </w:r>
      </w:hyperlink>
    </w:p>
    <w:p w14:paraId="14526A0F" w14:textId="30FDBC05" w:rsidR="00237599" w:rsidRDefault="00237599" w:rsidP="00237599">
      <w:pPr>
        <w:pStyle w:val="NormalWeb"/>
        <w:rPr>
          <w:b/>
          <w:bCs/>
        </w:rPr>
      </w:pPr>
      <w:r>
        <w:rPr>
          <w:b/>
          <w:bCs/>
        </w:rPr>
        <w:t xml:space="preserve">Legal Lesson Learned: Wage &amp; Hour Opinion Letters are helpful, and Courts will often refer to them in litigation. </w:t>
      </w:r>
    </w:p>
    <w:p w14:paraId="3C6C9005" w14:textId="38BB7304" w:rsidR="00237599" w:rsidRDefault="00237599" w:rsidP="00237599">
      <w:pPr>
        <w:tabs>
          <w:tab w:val="left" w:pos="1050"/>
        </w:tabs>
        <w:rPr>
          <w:rFonts w:ascii="Arial Black" w:hAnsi="Arial Black"/>
          <w:b/>
          <w:sz w:val="28"/>
          <w:szCs w:val="28"/>
        </w:rPr>
      </w:pPr>
    </w:p>
    <w:p w14:paraId="60AE6181" w14:textId="4B4DE3E6" w:rsidR="0002742E" w:rsidRDefault="0002742E" w:rsidP="00E9307E">
      <w:pPr>
        <w:rPr>
          <w:rFonts w:ascii="Arial Black" w:hAnsi="Arial Black"/>
          <w:b/>
          <w:sz w:val="28"/>
          <w:szCs w:val="28"/>
        </w:rPr>
      </w:pPr>
      <w:r>
        <w:rPr>
          <w:rFonts w:ascii="Arial Black" w:hAnsi="Arial Black"/>
          <w:b/>
          <w:sz w:val="28"/>
          <w:szCs w:val="28"/>
        </w:rPr>
        <w:t>10-</w:t>
      </w:r>
      <w:r w:rsidR="00B13773">
        <w:rPr>
          <w:rFonts w:ascii="Arial Black" w:hAnsi="Arial Black"/>
          <w:b/>
          <w:sz w:val="28"/>
          <w:szCs w:val="28"/>
        </w:rPr>
        <w:t>9</w:t>
      </w:r>
    </w:p>
    <w:p w14:paraId="23B8FC55" w14:textId="77777777" w:rsidR="0002742E" w:rsidRPr="00915CA6" w:rsidRDefault="0002742E" w:rsidP="0002742E">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 xml:space="preserve">TX: HOSPITAL PARAMEDIC FIRED - 12 WEEKS FMLA LEAVE EXPIRED - JOB POSTED – TURNED DOWN NEW SHIFT </w:t>
      </w:r>
    </w:p>
    <w:p w14:paraId="346BB985" w14:textId="0AB51AA1" w:rsidR="0002742E" w:rsidRDefault="0002742E" w:rsidP="0002742E">
      <w:pPr>
        <w:rPr>
          <w:rFonts w:ascii="Arial Black" w:hAnsi="Arial Black"/>
          <w:b/>
          <w:sz w:val="28"/>
          <w:szCs w:val="28"/>
        </w:rPr>
      </w:pPr>
      <w:r w:rsidRPr="00990FC9">
        <w:rPr>
          <w:rFonts w:ascii="Times New Roman" w:hAnsi="Times New Roman"/>
          <w:sz w:val="24"/>
          <w:szCs w:val="24"/>
        </w:rPr>
        <w:t xml:space="preserve">On April 20, 2022, </w:t>
      </w:r>
      <w:r>
        <w:rPr>
          <w:rFonts w:ascii="Times New Roman" w:hAnsi="Times New Roman"/>
          <w:sz w:val="24"/>
          <w:szCs w:val="24"/>
        </w:rPr>
        <w:t xml:space="preserve">in </w:t>
      </w:r>
      <w:r w:rsidRPr="00990FC9">
        <w:rPr>
          <w:rFonts w:ascii="Times New Roman" w:hAnsi="Times New Roman"/>
          <w:sz w:val="24"/>
          <w:szCs w:val="24"/>
          <w:u w:val="single"/>
        </w:rPr>
        <w:t>Maria Jochims v. Houston Methodist Sugar Land Hospital</w:t>
      </w:r>
      <w:r>
        <w:rPr>
          <w:rFonts w:ascii="Times New Roman" w:hAnsi="Times New Roman"/>
          <w:sz w:val="24"/>
          <w:szCs w:val="24"/>
        </w:rPr>
        <w:t xml:space="preserve">, U.S. Magistrate Judge Andrew M. Edison issued a memorandum recommending that U.S. District Court judge dismiss the plaintiff’s sex and pregnancy discrimination claim.  The plaintiff worked as a Paramedic in the Emergency Services Department since 2013, and because of difficult pregnancy in Aug. 2016, she had used up her 12-weeks of “job protected” FMLA leave on Feb. 15, 2017.  The hospital needed the position filled ASAP, and the next day the job was posted (11 am – 11 pm shift) and quickly filled by a male Paramedic.  </w:t>
      </w:r>
      <w:r w:rsidRPr="00457431">
        <w:rPr>
          <w:rFonts w:ascii="Times New Roman" w:hAnsi="Times New Roman"/>
          <w:sz w:val="24"/>
          <w:szCs w:val="24"/>
        </w:rPr>
        <w:t>The hospital then offered the plaintiff a new shift (7 pm – 7 am), which she declined. Jochims failed to obtain a suitable position within 30 days. Houston Methodist gave Jochims an extension to locate and obtain an alternative position, but she failed to secure a new position within the extended time. Plaintiff was terminated effective April 25, 2017, under Houston Methodist's HR29 Policy.</w:t>
      </w:r>
      <w:r>
        <w:rPr>
          <w:rFonts w:ascii="Times New Roman" w:hAnsi="Times New Roman"/>
          <w:sz w:val="24"/>
          <w:szCs w:val="24"/>
        </w:rPr>
        <w:t xml:space="preserve"> </w:t>
      </w:r>
      <w:hyperlink r:id="rId1740" w:history="1">
        <w:r w:rsidRPr="005C2DF9">
          <w:rPr>
            <w:rStyle w:val="Hyperlink"/>
            <w:rFonts w:ascii="Times New Roman" w:hAnsi="Times New Roman"/>
            <w:sz w:val="24"/>
            <w:szCs w:val="24"/>
          </w:rPr>
          <w:t>https://public.fastcase.com/waZtJvSA54UAurM2rmIZz88A4DX9zJiHVSCLlaywcCbO%2FsN6H35lRLqBQI5YlUXLkpfw%2B63lWcDnyRlZDlxVAe7N7ayvxJpVWQxxLxisTNc%3D</w:t>
        </w:r>
      </w:hyperlink>
    </w:p>
    <w:p w14:paraId="264CE0D5" w14:textId="77777777" w:rsidR="0002742E" w:rsidRPr="00DA5B17" w:rsidRDefault="0002742E" w:rsidP="0002742E">
      <w:pPr>
        <w:spacing w:before="100" w:beforeAutospacing="1" w:after="100" w:afterAutospacing="1" w:line="240" w:lineRule="auto"/>
        <w:rPr>
          <w:rFonts w:ascii="Times New Roman" w:eastAsia="Times New Roman" w:hAnsi="Times New Roman"/>
          <w:b/>
          <w:bCs/>
          <w:sz w:val="24"/>
          <w:szCs w:val="24"/>
        </w:rPr>
      </w:pPr>
      <w:r w:rsidRPr="00DA5B17">
        <w:rPr>
          <w:rFonts w:ascii="Times New Roman" w:hAnsi="Times New Roman"/>
          <w:b/>
          <w:bCs/>
          <w:sz w:val="24"/>
          <w:szCs w:val="24"/>
        </w:rPr>
        <w:t>Legal Lesson Learned:</w:t>
      </w:r>
      <w:r>
        <w:rPr>
          <w:rFonts w:ascii="Times New Roman" w:hAnsi="Times New Roman"/>
          <w:b/>
          <w:bCs/>
          <w:sz w:val="24"/>
          <w:szCs w:val="24"/>
        </w:rPr>
        <w:t xml:space="preserve">  Fire &amp; EMS Departments should have a written FMLA policy. </w:t>
      </w:r>
    </w:p>
    <w:p w14:paraId="6E5A1242" w14:textId="77777777" w:rsidR="0002742E" w:rsidRDefault="0002742E" w:rsidP="0002742E">
      <w:pPr>
        <w:spacing w:before="100" w:beforeAutospacing="1" w:after="100" w:afterAutospacing="1" w:line="240" w:lineRule="auto"/>
        <w:rPr>
          <w:rFonts w:ascii="Times New Roman" w:hAnsi="Times New Roman"/>
          <w:sz w:val="24"/>
          <w:szCs w:val="24"/>
        </w:rPr>
      </w:pPr>
    </w:p>
    <w:p w14:paraId="46FF12D7" w14:textId="77777777" w:rsidR="0002742E" w:rsidRDefault="0002742E" w:rsidP="00E9307E">
      <w:pPr>
        <w:rPr>
          <w:rFonts w:ascii="Arial Black" w:hAnsi="Arial Black"/>
          <w:b/>
          <w:sz w:val="28"/>
          <w:szCs w:val="28"/>
        </w:rPr>
      </w:pPr>
    </w:p>
    <w:p w14:paraId="2854BCB3" w14:textId="77777777" w:rsidR="0002742E" w:rsidRDefault="0002742E" w:rsidP="00E9307E">
      <w:pPr>
        <w:rPr>
          <w:rFonts w:ascii="Arial Black" w:hAnsi="Arial Black"/>
          <w:b/>
          <w:sz w:val="28"/>
          <w:szCs w:val="28"/>
        </w:rPr>
      </w:pPr>
    </w:p>
    <w:p w14:paraId="7896CB0C" w14:textId="3BBC8E05" w:rsidR="00BD3FE4" w:rsidRDefault="00BD3FE4" w:rsidP="00E9307E">
      <w:pPr>
        <w:rPr>
          <w:rFonts w:ascii="Arial Black" w:hAnsi="Arial Black"/>
          <w:b/>
          <w:sz w:val="28"/>
          <w:szCs w:val="28"/>
        </w:rPr>
      </w:pPr>
      <w:r>
        <w:rPr>
          <w:rFonts w:ascii="Arial Black" w:hAnsi="Arial Black"/>
          <w:b/>
          <w:sz w:val="28"/>
          <w:szCs w:val="28"/>
        </w:rPr>
        <w:lastRenderedPageBreak/>
        <w:t>10-</w:t>
      </w:r>
      <w:r w:rsidR="00B13773">
        <w:rPr>
          <w:rFonts w:ascii="Arial Black" w:hAnsi="Arial Black"/>
          <w:b/>
          <w:sz w:val="28"/>
          <w:szCs w:val="28"/>
        </w:rPr>
        <w:t>8</w:t>
      </w:r>
      <w:r>
        <w:rPr>
          <w:rFonts w:ascii="Arial Black" w:hAnsi="Arial Black"/>
          <w:b/>
          <w:sz w:val="28"/>
          <w:szCs w:val="28"/>
        </w:rPr>
        <w:t xml:space="preserve"> [also Filed Chap. 15]</w:t>
      </w:r>
    </w:p>
    <w:p w14:paraId="344DA447" w14:textId="77777777" w:rsidR="00BD3FE4" w:rsidRDefault="00BD3FE4" w:rsidP="00BD3FE4">
      <w:pPr>
        <w:pStyle w:val="NormalWeb"/>
        <w:rPr>
          <w:rFonts w:ascii="Arial Black" w:hAnsi="Arial Black"/>
          <w:b/>
          <w:bCs/>
          <w:sz w:val="28"/>
          <w:szCs w:val="28"/>
        </w:rPr>
      </w:pPr>
      <w:r>
        <w:rPr>
          <w:rFonts w:ascii="Arial Black" w:hAnsi="Arial Black"/>
          <w:b/>
          <w:bCs/>
          <w:sz w:val="28"/>
          <w:szCs w:val="28"/>
        </w:rPr>
        <w:t xml:space="preserve">MA: CAPTAIN PSYCHIATRICT EXAM – FIRE CHIEF DENIED IMMUNITY – ALLEGED RETALIATION / BREACH OF FMLA </w:t>
      </w:r>
    </w:p>
    <w:p w14:paraId="21A411EF" w14:textId="77777777" w:rsidR="00BD3FE4" w:rsidRDefault="00BD3FE4" w:rsidP="00BD3FE4">
      <w:pPr>
        <w:pStyle w:val="NormalWeb"/>
      </w:pPr>
      <w:r w:rsidRPr="00944162">
        <w:t xml:space="preserve">On </w:t>
      </w:r>
      <w:r>
        <w:t xml:space="preserve">Jan. 26, 2022, in </w:t>
      </w:r>
      <w:r w:rsidRPr="00944162">
        <w:rPr>
          <w:u w:val="single"/>
        </w:rPr>
        <w:t>Andrew Brennan v. City of Everett and Anthony Carli</w:t>
      </w:r>
      <w:r>
        <w:t>, the Appeals Court of Massachusetts held (3 to 0; unpublished decision) that trial judge properly denied the Fire Chief Anthony Carli’s  motion to be dismissed from lawsuit based on qualified immunity.  “</w:t>
      </w:r>
      <w:r w:rsidRPr="00DE5CFC">
        <w:t>Here, Brennan alleged that Carli placed him on leave and provided false information to medical evaluators under the false belief that Brennan was mentally unfit.</w:t>
      </w:r>
      <w:r>
        <w:t xml:space="preserve">” </w:t>
      </w:r>
      <w:hyperlink r:id="rId1741" w:history="1">
        <w:r w:rsidRPr="003B2357">
          <w:rPr>
            <w:rStyle w:val="Hyperlink"/>
            <w:rFonts w:eastAsiaTheme="majorEastAsia"/>
          </w:rPr>
          <w:t>https://public.fastcase.com/9SKwsfNqTc6OieYDhNMyM%2BsbSTu241pOZ38l1fL3GtOxRE1iLhH6RZm0FIyTdVeF1XRK6Ebg7B5equTDg4ZQiMxFMDQEZko4UYsaxrmOuYk%3D</w:t>
        </w:r>
      </w:hyperlink>
      <w:r>
        <w:t xml:space="preserve"> </w:t>
      </w:r>
      <w:r w:rsidRPr="00266965">
        <w:t xml:space="preserve"> </w:t>
      </w:r>
      <w:r>
        <w:t xml:space="preserve"> </w:t>
      </w:r>
    </w:p>
    <w:p w14:paraId="2E50C502" w14:textId="77777777" w:rsidR="00BD3FE4" w:rsidRPr="003B747D" w:rsidRDefault="00BD3FE4" w:rsidP="00BD3FE4">
      <w:pPr>
        <w:spacing w:before="100" w:beforeAutospacing="1" w:after="100" w:afterAutospacing="1" w:line="240" w:lineRule="auto"/>
        <w:rPr>
          <w:rFonts w:ascii="Times New Roman" w:hAnsi="Times New Roman"/>
          <w:b/>
          <w:bCs/>
          <w:sz w:val="24"/>
          <w:szCs w:val="24"/>
        </w:rPr>
      </w:pPr>
      <w:r w:rsidRPr="003B747D">
        <w:rPr>
          <w:rFonts w:ascii="Times New Roman" w:hAnsi="Times New Roman"/>
          <w:b/>
          <w:bCs/>
          <w:sz w:val="24"/>
          <w:szCs w:val="24"/>
        </w:rPr>
        <w:t>Legal Lesson Learned:</w:t>
      </w:r>
      <w:r>
        <w:rPr>
          <w:rFonts w:ascii="Times New Roman" w:hAnsi="Times New Roman"/>
          <w:b/>
          <w:bCs/>
          <w:sz w:val="24"/>
          <w:szCs w:val="24"/>
        </w:rPr>
        <w:t xml:space="preserve">  If employee may need psychiatric evaluation, provide specific information to the medical evaluators; and if employee asks about FMLA, provide form to request leave.  </w:t>
      </w:r>
    </w:p>
    <w:p w14:paraId="5BB7C6AC" w14:textId="77777777" w:rsidR="00BD3FE4" w:rsidRDefault="00BD3FE4" w:rsidP="00E9307E">
      <w:pPr>
        <w:rPr>
          <w:rFonts w:ascii="Arial Black" w:hAnsi="Arial Black"/>
          <w:b/>
          <w:sz w:val="28"/>
          <w:szCs w:val="28"/>
        </w:rPr>
      </w:pPr>
    </w:p>
    <w:p w14:paraId="1AC0F19C" w14:textId="77777777" w:rsidR="00BD3FE4" w:rsidRDefault="00BD3FE4" w:rsidP="00E9307E">
      <w:pPr>
        <w:rPr>
          <w:rFonts w:ascii="Arial Black" w:hAnsi="Arial Black"/>
          <w:b/>
          <w:sz w:val="28"/>
          <w:szCs w:val="28"/>
        </w:rPr>
      </w:pPr>
    </w:p>
    <w:p w14:paraId="48770BC6" w14:textId="67C26F38" w:rsidR="00863F9E" w:rsidRDefault="00863F9E" w:rsidP="00E9307E">
      <w:pPr>
        <w:rPr>
          <w:rFonts w:ascii="Arial Black" w:hAnsi="Arial Black"/>
          <w:b/>
          <w:sz w:val="28"/>
          <w:szCs w:val="28"/>
        </w:rPr>
      </w:pPr>
      <w:r>
        <w:rPr>
          <w:rFonts w:ascii="Arial Black" w:hAnsi="Arial Black"/>
          <w:b/>
          <w:sz w:val="28"/>
          <w:szCs w:val="28"/>
        </w:rPr>
        <w:t>10-</w:t>
      </w:r>
      <w:r w:rsidR="00B13773">
        <w:rPr>
          <w:rFonts w:ascii="Arial Black" w:hAnsi="Arial Black"/>
          <w:b/>
          <w:sz w:val="28"/>
          <w:szCs w:val="28"/>
        </w:rPr>
        <w:t>7</w:t>
      </w:r>
      <w:r>
        <w:rPr>
          <w:rFonts w:ascii="Arial Black" w:hAnsi="Arial Black"/>
          <w:b/>
          <w:sz w:val="28"/>
          <w:szCs w:val="28"/>
        </w:rPr>
        <w:t xml:space="preserve"> [also filed, Chap. 11]</w:t>
      </w:r>
    </w:p>
    <w:p w14:paraId="1475517C" w14:textId="77777777" w:rsidR="00863F9E" w:rsidRDefault="00863F9E" w:rsidP="00863F9E">
      <w:pPr>
        <w:spacing w:before="100" w:beforeAutospacing="1" w:after="100" w:afterAutospacing="1" w:line="240" w:lineRule="auto"/>
        <w:rPr>
          <w:rFonts w:eastAsia="Times New Roman" w:cs="Calibri"/>
          <w:vanish/>
        </w:rPr>
      </w:pPr>
      <w:r>
        <w:rPr>
          <w:rFonts w:ascii="Arial Black" w:eastAsia="Times New Roman" w:hAnsi="Arial Black"/>
          <w:b/>
          <w:bCs/>
          <w:sz w:val="28"/>
          <w:szCs w:val="28"/>
        </w:rPr>
        <w:t>U.S. DOL: ELECTRONIC POSTING CAN’T REPLACE FLSA / FMLA POSTERS – UNLESS ALL EMPLOYEES WORK ONLINE</w:t>
      </w:r>
    </w:p>
    <w:tbl>
      <w:tblPr>
        <w:tblW w:w="5000" w:type="pct"/>
        <w:jc w:val="center"/>
        <w:tblCellMar>
          <w:left w:w="0" w:type="dxa"/>
          <w:right w:w="0" w:type="dxa"/>
        </w:tblCellMar>
        <w:tblLook w:val="04A0" w:firstRow="1" w:lastRow="0" w:firstColumn="1" w:lastColumn="0" w:noHBand="0" w:noVBand="1"/>
      </w:tblPr>
      <w:tblGrid>
        <w:gridCol w:w="10800"/>
      </w:tblGrid>
      <w:tr w:rsidR="00863F9E" w14:paraId="5DF71EAF" w14:textId="77777777" w:rsidTr="00F90EE5">
        <w:trPr>
          <w:jc w:val="center"/>
          <w:hidden/>
        </w:trPr>
        <w:tc>
          <w:tcPr>
            <w:tcW w:w="0" w:type="auto"/>
            <w:hideMark/>
          </w:tcPr>
          <w:tbl>
            <w:tblPr>
              <w:tblW w:w="9750" w:type="dxa"/>
              <w:jc w:val="center"/>
              <w:tblCellMar>
                <w:left w:w="0" w:type="dxa"/>
                <w:right w:w="0" w:type="dxa"/>
              </w:tblCellMar>
              <w:tblLook w:val="04A0" w:firstRow="1" w:lastRow="0" w:firstColumn="1" w:lastColumn="0" w:noHBand="0" w:noVBand="1"/>
            </w:tblPr>
            <w:tblGrid>
              <w:gridCol w:w="9750"/>
            </w:tblGrid>
            <w:tr w:rsidR="00863F9E" w14:paraId="7D648905" w14:textId="77777777" w:rsidTr="00F90EE5">
              <w:trPr>
                <w:jc w:val="center"/>
                <w:hidden/>
              </w:trPr>
              <w:tc>
                <w:tcPr>
                  <w:tcW w:w="9750" w:type="dxa"/>
                  <w:hideMark/>
                </w:tcPr>
                <w:tbl>
                  <w:tblPr>
                    <w:tblW w:w="5000" w:type="pct"/>
                    <w:jc w:val="center"/>
                    <w:tblCellMar>
                      <w:left w:w="0" w:type="dxa"/>
                      <w:right w:w="0" w:type="dxa"/>
                    </w:tblCellMar>
                    <w:tblLook w:val="04A0" w:firstRow="1" w:lastRow="0" w:firstColumn="1" w:lastColumn="0" w:noHBand="0" w:noVBand="1"/>
                  </w:tblPr>
                  <w:tblGrid>
                    <w:gridCol w:w="9750"/>
                  </w:tblGrid>
                  <w:tr w:rsidR="00863F9E" w14:paraId="354E7068" w14:textId="77777777" w:rsidTr="00F90EE5">
                    <w:trPr>
                      <w:jc w:val="center"/>
                      <w:hidden/>
                    </w:trPr>
                    <w:tc>
                      <w:tcPr>
                        <w:tcW w:w="0" w:type="auto"/>
                        <w:tcMar>
                          <w:top w:w="75" w:type="dxa"/>
                          <w:left w:w="0" w:type="dxa"/>
                          <w:bottom w:w="75" w:type="dxa"/>
                          <w:right w:w="0" w:type="dxa"/>
                        </w:tcMar>
                        <w:hideMark/>
                      </w:tcPr>
                      <w:p w14:paraId="73C3B046" w14:textId="77777777" w:rsidR="00863F9E" w:rsidRDefault="00863F9E" w:rsidP="00F90EE5">
                        <w:pPr>
                          <w:rPr>
                            <w:rFonts w:eastAsia="Times New Roman" w:cs="Calibri"/>
                            <w:vanish/>
                          </w:rPr>
                        </w:pPr>
                      </w:p>
                    </w:tc>
                  </w:tr>
                </w:tbl>
                <w:p w14:paraId="1D3B0CBE" w14:textId="77777777" w:rsidR="00863F9E" w:rsidRDefault="00863F9E" w:rsidP="00F90EE5">
                  <w:pPr>
                    <w:jc w:val="center"/>
                  </w:pPr>
                </w:p>
              </w:tc>
            </w:tr>
          </w:tbl>
          <w:p w14:paraId="14E98745" w14:textId="77777777" w:rsidR="00863F9E" w:rsidRDefault="00863F9E" w:rsidP="00F90EE5">
            <w:pPr>
              <w:jc w:val="center"/>
            </w:pPr>
          </w:p>
        </w:tc>
      </w:tr>
    </w:tbl>
    <w:p w14:paraId="6C60F763" w14:textId="77777777" w:rsidR="00863F9E" w:rsidRDefault="00863F9E" w:rsidP="00863F9E">
      <w:pPr>
        <w:pStyle w:val="NormalWeb"/>
        <w:spacing w:line="255" w:lineRule="atLeast"/>
        <w:rPr>
          <w:bCs/>
        </w:rPr>
      </w:pPr>
      <w:r>
        <w:rPr>
          <w:bCs/>
        </w:rPr>
        <w:t xml:space="preserve">On Dec. 29, 2020, the U.S. Department of Labor / Wage &amp; Hour Division issued Field Assistance Bulletin regarding posters that are required in workplaces, including the </w:t>
      </w:r>
      <w:r>
        <w:t>Fair Labor Standards Act (FLSA), the Family and Medical Leave Act (FMLA), Section 14I of the FLSA (Section 14I), the Employee Polygraph Protection Act (EPPA), and the Service Contract Act (SCA).</w:t>
      </w:r>
    </w:p>
    <w:p w14:paraId="5EFF8CAB" w14:textId="77777777" w:rsidR="00863F9E" w:rsidRDefault="00863F9E" w:rsidP="00863F9E">
      <w:pPr>
        <w:pStyle w:val="NormalWeb"/>
        <w:spacing w:line="255" w:lineRule="atLeast"/>
        <w:ind w:left="720"/>
      </w:pPr>
      <w:r>
        <w:t>“In most cases, these electronic notices supplement but do not replace the statutory and regulatory requirements that employers post a hard-copy notice. Whether notices are provided electronically or in hard-copy format, it is an employer’s obligation to provide the required notices to all affected individuals.</w:t>
      </w:r>
    </w:p>
    <w:p w14:paraId="0CC47822" w14:textId="77777777" w:rsidR="00863F9E" w:rsidRDefault="00863F9E" w:rsidP="00863F9E">
      <w:pPr>
        <w:pStyle w:val="NormalWeb"/>
        <w:spacing w:line="255" w:lineRule="atLeast"/>
        <w:ind w:left="720"/>
      </w:pPr>
      <w:r>
        <w:t>***</w:t>
      </w:r>
    </w:p>
    <w:p w14:paraId="68415510" w14:textId="77777777" w:rsidR="00863F9E" w:rsidRDefault="00863F9E" w:rsidP="00863F9E">
      <w:pPr>
        <w:pStyle w:val="NormalWeb"/>
        <w:spacing w:line="255" w:lineRule="atLeast"/>
        <w:ind w:left="720"/>
        <w:rPr>
          <w:rStyle w:val="Hyperlink"/>
        </w:rPr>
      </w:pPr>
      <w:r>
        <w:t xml:space="preserve">If a statute and its regulations require a notice to be continuously posted at a worksite, in most cases, WHD will only consider electronic posting an acceptable substitute for the continuous posting requirement where (1) all of the employer’s employees exclusively work remotely, (2) all employees customarily receive information from the employer via electronic means, and (3) all employees have readily available access to the electronic posting at all times. This ensures the electronic posting satisfies the statutory and regulatory requirements that such postings </w:t>
      </w:r>
      <w:proofErr w:type="gramStart"/>
      <w:r>
        <w:t>be</w:t>
      </w:r>
      <w:proofErr w:type="gramEnd"/>
      <w:r>
        <w:t xml:space="preserve"> continuously accessible to employees. Where an employer has employees on-site and other employees teleworking full-time, for example, the employer may supplement a hard-copy posting requirement with electronic posting and the Department would encourage both methods of posting.”  </w:t>
      </w:r>
      <w:hyperlink r:id="rId1742" w:history="1">
        <w:r>
          <w:rPr>
            <w:rStyle w:val="Hyperlink"/>
          </w:rPr>
          <w:t>https://www.dol.gov/sites/dolgov/files/WHD/legacy/files/fab_2020_7.pdf</w:t>
        </w:r>
      </w:hyperlink>
    </w:p>
    <w:p w14:paraId="2D69472B" w14:textId="77777777" w:rsidR="00863F9E" w:rsidRDefault="00863F9E" w:rsidP="00863F9E">
      <w:pPr>
        <w:pStyle w:val="NormalWeb"/>
        <w:spacing w:line="255" w:lineRule="atLeast"/>
        <w:rPr>
          <w:b/>
        </w:rPr>
      </w:pPr>
      <w:r>
        <w:rPr>
          <w:b/>
        </w:rPr>
        <w:t>Legal Lesson Learned: Fire Department need to keep posters on the wall.</w:t>
      </w:r>
    </w:p>
    <w:p w14:paraId="6BA0D76D" w14:textId="77777777" w:rsidR="00863F9E" w:rsidRDefault="00863F9E" w:rsidP="00E9307E">
      <w:pPr>
        <w:rPr>
          <w:rFonts w:ascii="Arial Black" w:hAnsi="Arial Black"/>
          <w:b/>
          <w:sz w:val="28"/>
          <w:szCs w:val="28"/>
        </w:rPr>
      </w:pPr>
    </w:p>
    <w:p w14:paraId="49165289" w14:textId="77777777" w:rsidR="00863F9E" w:rsidRDefault="00863F9E" w:rsidP="00E9307E">
      <w:pPr>
        <w:rPr>
          <w:rFonts w:ascii="Arial Black" w:hAnsi="Arial Black"/>
          <w:b/>
          <w:sz w:val="28"/>
          <w:szCs w:val="28"/>
        </w:rPr>
      </w:pPr>
    </w:p>
    <w:p w14:paraId="786F922C" w14:textId="77777777" w:rsidR="00863F9E" w:rsidRDefault="00863F9E" w:rsidP="00E9307E">
      <w:pPr>
        <w:rPr>
          <w:rFonts w:ascii="Arial Black" w:hAnsi="Arial Black"/>
          <w:b/>
          <w:sz w:val="28"/>
          <w:szCs w:val="28"/>
        </w:rPr>
      </w:pPr>
    </w:p>
    <w:p w14:paraId="753E5CAB" w14:textId="1400C63D" w:rsidR="00863F9E" w:rsidRDefault="00863F9E" w:rsidP="00E9307E">
      <w:pPr>
        <w:rPr>
          <w:rFonts w:ascii="Arial Black" w:hAnsi="Arial Black"/>
          <w:b/>
          <w:sz w:val="28"/>
          <w:szCs w:val="28"/>
        </w:rPr>
      </w:pPr>
      <w:r>
        <w:rPr>
          <w:rFonts w:ascii="Arial Black" w:hAnsi="Arial Black"/>
          <w:b/>
          <w:sz w:val="28"/>
          <w:szCs w:val="28"/>
        </w:rPr>
        <w:t>10-</w:t>
      </w:r>
      <w:r w:rsidR="00B06C3F">
        <w:rPr>
          <w:rFonts w:ascii="Arial Black" w:hAnsi="Arial Black"/>
          <w:b/>
          <w:sz w:val="28"/>
          <w:szCs w:val="28"/>
        </w:rPr>
        <w:t>6</w:t>
      </w:r>
    </w:p>
    <w:p w14:paraId="72F73E63" w14:textId="77777777" w:rsidR="00863F9E" w:rsidRDefault="00863F9E" w:rsidP="00863F9E">
      <w:pPr>
        <w:spacing w:before="100" w:beforeAutospacing="1" w:after="100" w:afterAutospacing="1" w:line="240" w:lineRule="auto"/>
        <w:rPr>
          <w:rFonts w:asciiTheme="minorHAnsi" w:eastAsiaTheme="minorHAnsi" w:hAnsiTheme="minorHAnsi" w:cstheme="minorBidi"/>
          <w:bCs/>
        </w:rPr>
      </w:pPr>
      <w:r>
        <w:rPr>
          <w:rFonts w:ascii="Arial Black" w:eastAsia="Times New Roman" w:hAnsi="Arial Black"/>
          <w:b/>
          <w:bCs/>
          <w:sz w:val="28"/>
          <w:szCs w:val="28"/>
        </w:rPr>
        <w:t>U.S. DOL:  TELEMEDICINE – EMPLOYEES MAY CONSULT DOCTOR ONLINE FOR FMLA – IF VIDEO CONFERENCES STATE APPROVED</w:t>
      </w:r>
    </w:p>
    <w:p w14:paraId="12214385" w14:textId="77777777" w:rsidR="00863F9E" w:rsidRDefault="00863F9E" w:rsidP="00863F9E">
      <w:pPr>
        <w:pStyle w:val="NormalWeb"/>
        <w:spacing w:line="255" w:lineRule="atLeast"/>
        <w:rPr>
          <w:bCs/>
        </w:rPr>
      </w:pPr>
      <w:r>
        <w:rPr>
          <w:bCs/>
        </w:rPr>
        <w:t xml:space="preserve">On Dec. 29, 2020, the U.S. Department of Labor / Wage &amp; Hour Division, issued a Field Assistance Bulletin regarding use of telemedicine. </w:t>
      </w:r>
    </w:p>
    <w:p w14:paraId="2127F9FE" w14:textId="77777777" w:rsidR="00863F9E" w:rsidRDefault="00863F9E" w:rsidP="00863F9E">
      <w:pPr>
        <w:pStyle w:val="NormalWeb"/>
        <w:spacing w:line="255" w:lineRule="atLeast"/>
        <w:ind w:left="720"/>
      </w:pPr>
      <w:r>
        <w:t xml:space="preserve">“WHD’s experience is that health care providers are now often using telemedicine to deliver examinations, evaluations, and other healthcare services that would previously have been provided only in an office setting. Given this </w:t>
      </w:r>
      <w:proofErr w:type="gramStart"/>
      <w:r>
        <w:t>experience, and</w:t>
      </w:r>
      <w:proofErr w:type="gramEnd"/>
      <w:r>
        <w:t xml:space="preserve"> continuing the policy adopted in response to the COVID-19 pandemic, WHD will consider a telemedicine visit with a health care provider as an in-person visit under 29 C.F.R. §825.115, provided specified criteria are met.</w:t>
      </w:r>
    </w:p>
    <w:p w14:paraId="15AE535A" w14:textId="77777777" w:rsidR="00863F9E" w:rsidRDefault="00863F9E" w:rsidP="00863F9E">
      <w:pPr>
        <w:pStyle w:val="NoSpacing"/>
        <w:ind w:firstLine="720"/>
        <w:rPr>
          <w:rFonts w:ascii="Times New Roman" w:hAnsi="Times New Roman"/>
          <w:sz w:val="24"/>
          <w:szCs w:val="24"/>
        </w:rPr>
      </w:pPr>
      <w:r>
        <w:rPr>
          <w:rFonts w:ascii="Times New Roman" w:hAnsi="Times New Roman"/>
          <w:sz w:val="24"/>
          <w:szCs w:val="24"/>
        </w:rPr>
        <w:t xml:space="preserve">To be considered an “in-person” visit, the telemedicine visit must include: </w:t>
      </w:r>
    </w:p>
    <w:p w14:paraId="5BC06183" w14:textId="77777777" w:rsidR="00863F9E" w:rsidRDefault="00863F9E" w:rsidP="00863F9E">
      <w:pPr>
        <w:pStyle w:val="NoSpacing"/>
        <w:numPr>
          <w:ilvl w:val="2"/>
          <w:numId w:val="8"/>
        </w:numPr>
        <w:rPr>
          <w:rFonts w:ascii="Times New Roman" w:hAnsi="Times New Roman"/>
          <w:sz w:val="24"/>
          <w:szCs w:val="24"/>
        </w:rPr>
      </w:pPr>
      <w:r>
        <w:rPr>
          <w:rFonts w:ascii="Times New Roman" w:hAnsi="Times New Roman"/>
          <w:sz w:val="24"/>
          <w:szCs w:val="24"/>
        </w:rPr>
        <w:t xml:space="preserve">an examination, evaluation, or treatment by a health care provider; </w:t>
      </w:r>
    </w:p>
    <w:p w14:paraId="7E69B2CE" w14:textId="77777777" w:rsidR="00863F9E" w:rsidRDefault="00863F9E" w:rsidP="00863F9E">
      <w:pPr>
        <w:pStyle w:val="NoSpacing"/>
        <w:numPr>
          <w:ilvl w:val="2"/>
          <w:numId w:val="8"/>
        </w:numPr>
        <w:rPr>
          <w:rFonts w:ascii="Times New Roman" w:hAnsi="Times New Roman"/>
          <w:sz w:val="24"/>
          <w:szCs w:val="24"/>
        </w:rPr>
      </w:pPr>
      <w:r>
        <w:rPr>
          <w:rFonts w:ascii="Times New Roman" w:hAnsi="Times New Roman"/>
          <w:sz w:val="24"/>
          <w:szCs w:val="24"/>
        </w:rPr>
        <w:t xml:space="preserve">be permitted and accepted by state licensing authorities; and, </w:t>
      </w:r>
    </w:p>
    <w:p w14:paraId="37FD8F55" w14:textId="77777777" w:rsidR="00863F9E" w:rsidRDefault="00863F9E" w:rsidP="00863F9E">
      <w:pPr>
        <w:pStyle w:val="NoSpacing"/>
        <w:numPr>
          <w:ilvl w:val="2"/>
          <w:numId w:val="8"/>
        </w:numPr>
        <w:rPr>
          <w:rFonts w:ascii="Times New Roman" w:hAnsi="Times New Roman"/>
          <w:bCs/>
          <w:sz w:val="24"/>
          <w:szCs w:val="24"/>
        </w:rPr>
      </w:pPr>
      <w:proofErr w:type="gramStart"/>
      <w:r>
        <w:rPr>
          <w:rFonts w:ascii="Times New Roman" w:hAnsi="Times New Roman"/>
          <w:sz w:val="24"/>
          <w:szCs w:val="24"/>
        </w:rPr>
        <w:t>generally</w:t>
      </w:r>
      <w:proofErr w:type="gramEnd"/>
      <w:r>
        <w:rPr>
          <w:rFonts w:ascii="Times New Roman" w:hAnsi="Times New Roman"/>
          <w:sz w:val="24"/>
          <w:szCs w:val="24"/>
        </w:rPr>
        <w:t>, should be performed by video conference.</w:t>
      </w:r>
    </w:p>
    <w:p w14:paraId="15708B85" w14:textId="77777777" w:rsidR="00863F9E" w:rsidRDefault="00863F9E" w:rsidP="00863F9E">
      <w:pPr>
        <w:pStyle w:val="NormalWeb"/>
        <w:spacing w:line="255" w:lineRule="atLeast"/>
        <w:ind w:left="720"/>
        <w:rPr>
          <w:b/>
        </w:rPr>
      </w:pPr>
      <w:r>
        <w:t xml:space="preserve">Communication methods that do not meet these criteria (e.g., a simple telephone call, letter, email, or text message) are insufficient, by themselves, to satisfy </w:t>
      </w:r>
      <w:proofErr w:type="spellStart"/>
      <w:r>
        <w:t>t he</w:t>
      </w:r>
      <w:proofErr w:type="spellEnd"/>
      <w:r>
        <w:t xml:space="preserve"> regulatory requirement of an ‘in-person’ visit.” </w:t>
      </w:r>
      <w:hyperlink r:id="rId1743" w:history="1">
        <w:r>
          <w:rPr>
            <w:rStyle w:val="Hyperlink"/>
          </w:rPr>
          <w:t>https://www.dol.gov/sites/dolgov/files/WHD/legacy/files/fab_2020_8.pdf</w:t>
        </w:r>
      </w:hyperlink>
      <w:r>
        <w:rPr>
          <w:b/>
        </w:rPr>
        <w:t xml:space="preserve"> </w:t>
      </w:r>
    </w:p>
    <w:p w14:paraId="19A5266A" w14:textId="77777777" w:rsidR="00863F9E" w:rsidRDefault="00863F9E" w:rsidP="00863F9E">
      <w:pPr>
        <w:pStyle w:val="NormalWeb"/>
        <w:spacing w:line="255" w:lineRule="atLeast"/>
        <w:rPr>
          <w:b/>
        </w:rPr>
      </w:pPr>
      <w:r>
        <w:rPr>
          <w:b/>
        </w:rPr>
        <w:t xml:space="preserve">Legal Lesson Learned: Fire &amp; EMS Department should consider updating their Employee Handbook with this new advice. </w:t>
      </w:r>
    </w:p>
    <w:p w14:paraId="5B01E691" w14:textId="77777777" w:rsidR="00863F9E" w:rsidRDefault="00863F9E" w:rsidP="00E9307E">
      <w:pPr>
        <w:rPr>
          <w:rFonts w:ascii="Arial Black" w:hAnsi="Arial Black"/>
          <w:b/>
          <w:sz w:val="28"/>
          <w:szCs w:val="28"/>
        </w:rPr>
      </w:pPr>
    </w:p>
    <w:p w14:paraId="6DAFD5E6" w14:textId="77777777" w:rsidR="00863F9E" w:rsidRDefault="00863F9E" w:rsidP="00E9307E">
      <w:pPr>
        <w:rPr>
          <w:rFonts w:ascii="Arial Black" w:hAnsi="Arial Black"/>
          <w:b/>
          <w:sz w:val="28"/>
          <w:szCs w:val="28"/>
        </w:rPr>
      </w:pPr>
    </w:p>
    <w:p w14:paraId="2E321BDA" w14:textId="77777777" w:rsidR="00DD03E3" w:rsidRDefault="00DD03E3" w:rsidP="00E9307E">
      <w:pPr>
        <w:rPr>
          <w:rFonts w:ascii="Arial Black" w:hAnsi="Arial Black"/>
          <w:b/>
          <w:sz w:val="28"/>
          <w:szCs w:val="28"/>
        </w:rPr>
      </w:pPr>
    </w:p>
    <w:p w14:paraId="5BC2EA81" w14:textId="212D5E1B" w:rsidR="00DD03E3" w:rsidRDefault="00102FD0" w:rsidP="00E9307E">
      <w:pPr>
        <w:rPr>
          <w:rFonts w:ascii="Arial Black" w:hAnsi="Arial Black"/>
          <w:b/>
          <w:sz w:val="28"/>
          <w:szCs w:val="28"/>
        </w:rPr>
      </w:pPr>
      <w:r>
        <w:rPr>
          <w:rFonts w:ascii="Arial Black" w:hAnsi="Arial Black"/>
          <w:b/>
          <w:sz w:val="28"/>
          <w:szCs w:val="28"/>
        </w:rPr>
        <w:t>10-</w:t>
      </w:r>
      <w:r w:rsidR="00AC1E3A">
        <w:rPr>
          <w:rFonts w:ascii="Arial Black" w:hAnsi="Arial Black"/>
          <w:b/>
          <w:sz w:val="28"/>
          <w:szCs w:val="28"/>
        </w:rPr>
        <w:t>5</w:t>
      </w:r>
    </w:p>
    <w:p w14:paraId="29891F42" w14:textId="77777777" w:rsidR="00102FD0" w:rsidRPr="00ED7936" w:rsidRDefault="00102FD0" w:rsidP="00102FD0">
      <w:pPr>
        <w:spacing w:before="100" w:beforeAutospacing="1" w:after="100" w:afterAutospacing="1" w:line="240" w:lineRule="auto"/>
        <w:rPr>
          <w:rFonts w:ascii="Arial Black" w:eastAsia="Times New Roman" w:hAnsi="Arial Black"/>
          <w:sz w:val="28"/>
          <w:szCs w:val="28"/>
        </w:rPr>
      </w:pPr>
      <w:r w:rsidRPr="00ED7936">
        <w:rPr>
          <w:rFonts w:ascii="Arial Black" w:eastAsia="Times New Roman" w:hAnsi="Arial Black"/>
          <w:sz w:val="28"/>
          <w:szCs w:val="28"/>
        </w:rPr>
        <w:t>AL:</w:t>
      </w:r>
      <w:r>
        <w:rPr>
          <w:rFonts w:ascii="Arial Black" w:eastAsia="Times New Roman" w:hAnsi="Arial Black"/>
          <w:sz w:val="28"/>
          <w:szCs w:val="28"/>
        </w:rPr>
        <w:t xml:space="preserve"> MEDIC WORKED  48-HR SHIFT - “I CAN’T TAKE IT ANYMORE” &amp; I’M TURNING IN GEAR – FD SAID HE RESIGNED - NO FMLA VIOL.</w:t>
      </w:r>
    </w:p>
    <w:p w14:paraId="1EAD66D9" w14:textId="77777777" w:rsidR="0037332F" w:rsidRPr="00C3618A" w:rsidRDefault="00102FD0" w:rsidP="0037332F">
      <w:pPr>
        <w:pStyle w:val="NormalWeb"/>
      </w:pPr>
      <w:r w:rsidRPr="00C3618A">
        <w:t xml:space="preserve">On </w:t>
      </w:r>
      <w:r>
        <w:t xml:space="preserve">Oct. 6, 2020, in </w:t>
      </w:r>
      <w:r w:rsidRPr="00C3618A">
        <w:rPr>
          <w:u w:val="single"/>
        </w:rPr>
        <w:t>Kyle Blake v. City of Montgomery, Alabama</w:t>
      </w:r>
      <w:r>
        <w:t xml:space="preserve">, U.S. District Court Judge R. Austin Huffaker, Jr., Middle District of Alabama, granted the City’s motion for summary judgment.  The plaintiff was burned out from being forced to work 48-hour shifts and told his </w:t>
      </w:r>
      <w:proofErr w:type="gramStart"/>
      <w:r>
        <w:t>Supervisor</w:t>
      </w:r>
      <w:proofErr w:type="gramEnd"/>
      <w:r>
        <w:t xml:space="preserve"> he would turn his stuff. </w:t>
      </w:r>
      <w:r w:rsidR="0037332F">
        <w:t xml:space="preserve"> </w:t>
      </w:r>
      <w:hyperlink r:id="rId1744" w:history="1">
        <w:r w:rsidR="0037332F" w:rsidRPr="00474EAE">
          <w:rPr>
            <w:rStyle w:val="Hyperlink"/>
          </w:rPr>
          <w:t>https://public.fastcase.com/Wl%2B2t%2BeVuI35%2FN70vAMFZmLHUFluj8t0T%2BAyFM6B%2B2S9SNpejaiKBu7OSzXfoy%2FQ</w:t>
        </w:r>
      </w:hyperlink>
      <w:r w:rsidR="0037332F">
        <w:t xml:space="preserve"> </w:t>
      </w:r>
    </w:p>
    <w:p w14:paraId="0C81017E" w14:textId="7D4F4628" w:rsidR="00102FD0" w:rsidRDefault="00102FD0" w:rsidP="00102FD0">
      <w:pPr>
        <w:pStyle w:val="NormalWeb"/>
      </w:pPr>
    </w:p>
    <w:p w14:paraId="4C23026F" w14:textId="77777777" w:rsidR="00102FD0" w:rsidRDefault="00102FD0" w:rsidP="00102FD0">
      <w:pPr>
        <w:pStyle w:val="NormalWeb"/>
        <w:ind w:left="720"/>
      </w:pPr>
      <w:r>
        <w:t xml:space="preserve">“Does telling your employer that, due to burnout, you ‘couldn't do it anymore’ and that you ‘would turn [your] stuff in if [you] needed to’ support a claim under the Family Medical Leave Act, 29 U.S.C. § 2601 </w:t>
      </w:r>
      <w:r>
        <w:rPr>
          <w:i/>
          <w:iCs/>
        </w:rPr>
        <w:t>et seq</w:t>
      </w:r>
      <w:r>
        <w:t>. (‘FMLA’) when your employer ultimately accepts these statements as your voluntary resignation from your job? … Plaintiff Kyle Blake claims that it does, and this lawsuit tests the legitimacy of that position.</w:t>
      </w:r>
    </w:p>
    <w:p w14:paraId="762136FC" w14:textId="77777777" w:rsidR="00102FD0" w:rsidRDefault="00102FD0" w:rsidP="00102FD0">
      <w:pPr>
        <w:pStyle w:val="NormalWeb"/>
        <w:ind w:left="720"/>
      </w:pPr>
      <w:r>
        <w:t>***</w:t>
      </w:r>
    </w:p>
    <w:p w14:paraId="73475981" w14:textId="77777777" w:rsidR="00102FD0" w:rsidRPr="00C3618A" w:rsidRDefault="00102FD0" w:rsidP="00102FD0">
      <w:pPr>
        <w:pStyle w:val="NormalWeb"/>
        <w:ind w:left="720"/>
      </w:pPr>
      <w:r>
        <w:t xml:space="preserve">“Blake's statements to Hackett that he ‘couldn't do it anymore,’ that he would ‘turn [his] stuff in,’ and that he needed to speak with his wife to sort this out, simply do not rise to a level sufficient to give the City notice he was experiencing a serious medical condition, let alone a qualifying medical condition, of any sort for which he wanted, needed or should be given FMLA leave.” </w:t>
      </w:r>
      <w:hyperlink r:id="rId1745" w:history="1">
        <w:r w:rsidRPr="00474EAE">
          <w:rPr>
            <w:rStyle w:val="Hyperlink"/>
          </w:rPr>
          <w:t>https://public.fastcase.com/Wl%2B2t%2BeVuI35%2FN70vAMFZmLHUFluj8t0T%2BAyFM6B%2B2S9SNpejaiKBu7OSzXfoy%2FQ</w:t>
        </w:r>
      </w:hyperlink>
      <w:r>
        <w:t xml:space="preserve"> </w:t>
      </w:r>
    </w:p>
    <w:p w14:paraId="0E3BDC8F" w14:textId="77777777" w:rsidR="00102FD0" w:rsidRDefault="00102FD0" w:rsidP="00E9307E">
      <w:pPr>
        <w:rPr>
          <w:rFonts w:ascii="Arial Black" w:hAnsi="Arial Black"/>
          <w:b/>
          <w:sz w:val="28"/>
          <w:szCs w:val="28"/>
        </w:rPr>
      </w:pPr>
    </w:p>
    <w:p w14:paraId="7901F0A8" w14:textId="77777777" w:rsidR="00B532F6" w:rsidRDefault="00B532F6" w:rsidP="00E9307E">
      <w:pPr>
        <w:rPr>
          <w:rFonts w:ascii="Arial Black" w:hAnsi="Arial Black"/>
          <w:b/>
          <w:sz w:val="28"/>
          <w:szCs w:val="28"/>
        </w:rPr>
      </w:pPr>
    </w:p>
    <w:p w14:paraId="11E3084E" w14:textId="1EDA6DC1" w:rsidR="006B2083" w:rsidRDefault="006B2083" w:rsidP="00E9307E">
      <w:pPr>
        <w:rPr>
          <w:rFonts w:ascii="Arial Black" w:hAnsi="Arial Black"/>
          <w:b/>
          <w:sz w:val="28"/>
          <w:szCs w:val="28"/>
        </w:rPr>
      </w:pPr>
      <w:r>
        <w:rPr>
          <w:rFonts w:ascii="Arial Black" w:hAnsi="Arial Black"/>
          <w:b/>
          <w:sz w:val="28"/>
          <w:szCs w:val="28"/>
        </w:rPr>
        <w:t>10-</w:t>
      </w:r>
      <w:r w:rsidR="00AC1E3A">
        <w:rPr>
          <w:rFonts w:ascii="Arial Black" w:hAnsi="Arial Black"/>
          <w:b/>
          <w:sz w:val="28"/>
          <w:szCs w:val="28"/>
        </w:rPr>
        <w:t>4</w:t>
      </w:r>
    </w:p>
    <w:p w14:paraId="47564AEA" w14:textId="77777777" w:rsidR="006B2083" w:rsidRDefault="006B2083" w:rsidP="006B2083">
      <w:pPr>
        <w:pStyle w:val="NoSpacing"/>
        <w:rPr>
          <w:rFonts w:ascii="Arial Black" w:hAnsi="Arial Black"/>
          <w:sz w:val="28"/>
          <w:szCs w:val="28"/>
        </w:rPr>
      </w:pPr>
      <w:r w:rsidRPr="008C3F94">
        <w:rPr>
          <w:rFonts w:ascii="Arial Black" w:hAnsi="Arial Black"/>
          <w:sz w:val="28"/>
          <w:szCs w:val="28"/>
        </w:rPr>
        <w:t xml:space="preserve">IL: </w:t>
      </w:r>
      <w:r>
        <w:rPr>
          <w:rFonts w:ascii="Arial Black" w:hAnsi="Arial Black"/>
          <w:sz w:val="28"/>
          <w:szCs w:val="28"/>
        </w:rPr>
        <w:t xml:space="preserve"> LT. TOOK FMLA LEAVE FOR A MONTH – FIRED AFTER FD INVESTIGATION - FAILURE TO PAY HIS SHARE OF SHIFT’S MEAL FUND</w:t>
      </w:r>
    </w:p>
    <w:p w14:paraId="4111C414" w14:textId="77777777" w:rsidR="009A7300" w:rsidRDefault="009A7300" w:rsidP="006B2083">
      <w:pPr>
        <w:pStyle w:val="NoSpacing"/>
        <w:rPr>
          <w:rFonts w:ascii="Times New Roman" w:hAnsi="Times New Roman"/>
          <w:sz w:val="24"/>
          <w:szCs w:val="24"/>
        </w:rPr>
      </w:pPr>
    </w:p>
    <w:p w14:paraId="5484D217" w14:textId="2B3C3D8B" w:rsidR="006B2083" w:rsidRPr="0098623B" w:rsidRDefault="006B2083" w:rsidP="006B2083">
      <w:pPr>
        <w:pStyle w:val="NoSpacing"/>
        <w:rPr>
          <w:rFonts w:ascii="Times New Roman" w:hAnsi="Times New Roman"/>
          <w:sz w:val="24"/>
          <w:szCs w:val="24"/>
        </w:rPr>
      </w:pPr>
      <w:r w:rsidRPr="006631A6">
        <w:rPr>
          <w:rFonts w:ascii="Times New Roman" w:hAnsi="Times New Roman"/>
          <w:sz w:val="24"/>
          <w:szCs w:val="24"/>
        </w:rPr>
        <w:t xml:space="preserve">On </w:t>
      </w:r>
      <w:r>
        <w:rPr>
          <w:rFonts w:ascii="Times New Roman" w:hAnsi="Times New Roman"/>
          <w:sz w:val="24"/>
          <w:szCs w:val="24"/>
        </w:rPr>
        <w:t xml:space="preserve">July 9, 2020, in </w:t>
      </w:r>
      <w:r w:rsidRPr="006631A6">
        <w:rPr>
          <w:rFonts w:ascii="Times New Roman" w:hAnsi="Times New Roman"/>
          <w:sz w:val="24"/>
          <w:szCs w:val="24"/>
          <w:u w:val="single"/>
        </w:rPr>
        <w:t>Melvin H. Brown v. UChicago Argonne LLC</w:t>
      </w:r>
      <w:r>
        <w:rPr>
          <w:rFonts w:ascii="Times New Roman" w:hAnsi="Times New Roman"/>
          <w:sz w:val="24"/>
          <w:szCs w:val="24"/>
        </w:rPr>
        <w:t xml:space="preserve">, U.S. District Court Judge Gary Feinerman, Northern District of Illinois, Eastern District (Chicago) granted summary judgment to the employer. The Court wrote: </w:t>
      </w:r>
      <w:r w:rsidRPr="0098623B">
        <w:rPr>
          <w:rFonts w:ascii="Times New Roman" w:hAnsi="Times New Roman"/>
          <w:sz w:val="24"/>
          <w:szCs w:val="24"/>
        </w:rPr>
        <w:t>Brown’s position that Argonne inadequately investigated Weber’s dinner fund complaint is, even if supported by the record, insufficient to establish pretext given the absence of evidence suggesting that Argonne did not sincerely believe that Brown had abused his authority in failing to reimburse Weber.</w:t>
      </w:r>
      <w:r>
        <w:rPr>
          <w:rFonts w:ascii="Times New Roman" w:hAnsi="Times New Roman"/>
          <w:sz w:val="24"/>
          <w:szCs w:val="24"/>
        </w:rPr>
        <w:t xml:space="preserve">”  </w:t>
      </w:r>
    </w:p>
    <w:p w14:paraId="067CA974" w14:textId="77777777" w:rsidR="006B2083" w:rsidRPr="0098623B" w:rsidRDefault="006B2083" w:rsidP="006B2083">
      <w:pPr>
        <w:pStyle w:val="NoSpacing"/>
        <w:rPr>
          <w:rFonts w:ascii="Times New Roman" w:hAnsi="Times New Roman"/>
          <w:sz w:val="24"/>
          <w:szCs w:val="24"/>
        </w:rPr>
      </w:pPr>
      <w:hyperlink r:id="rId1746" w:history="1">
        <w:r w:rsidRPr="000603D4">
          <w:rPr>
            <w:rStyle w:val="Hyperlink"/>
            <w:rFonts w:ascii="Times New Roman" w:hAnsi="Times New Roman"/>
            <w:sz w:val="24"/>
            <w:szCs w:val="24"/>
          </w:rPr>
          <w:t>https://cases.justia.com/federal/district-courts/illinois/ilndce/1:2018cv08500/359885/139/0.pdf?ts=1594372800</w:t>
        </w:r>
      </w:hyperlink>
      <w:r>
        <w:rPr>
          <w:rFonts w:ascii="Times New Roman" w:hAnsi="Times New Roman"/>
          <w:sz w:val="24"/>
          <w:szCs w:val="24"/>
        </w:rPr>
        <w:t xml:space="preserve"> </w:t>
      </w:r>
    </w:p>
    <w:p w14:paraId="6C90A1CC" w14:textId="77777777" w:rsidR="006B2083" w:rsidRPr="0098623B" w:rsidRDefault="006B2083" w:rsidP="006B2083">
      <w:pPr>
        <w:spacing w:before="100" w:beforeAutospacing="1" w:after="100" w:afterAutospacing="1" w:line="240" w:lineRule="auto"/>
        <w:rPr>
          <w:rFonts w:ascii="Times New Roman" w:hAnsi="Times New Roman"/>
          <w:b/>
          <w:bCs/>
          <w:sz w:val="24"/>
          <w:szCs w:val="24"/>
        </w:rPr>
      </w:pPr>
      <w:r w:rsidRPr="0098623B">
        <w:rPr>
          <w:rFonts w:ascii="Times New Roman" w:hAnsi="Times New Roman"/>
          <w:b/>
          <w:bCs/>
          <w:sz w:val="24"/>
          <w:szCs w:val="24"/>
        </w:rPr>
        <w:t xml:space="preserve">Legal Lesson Learned: </w:t>
      </w:r>
      <w:r>
        <w:rPr>
          <w:rFonts w:ascii="Times New Roman" w:hAnsi="Times New Roman"/>
          <w:b/>
          <w:bCs/>
          <w:sz w:val="24"/>
          <w:szCs w:val="24"/>
        </w:rPr>
        <w:t xml:space="preserve">FMLA statute includes protection against retaliation, but employee must still prove that the discipline imposed was in fact retaliation.  </w:t>
      </w:r>
    </w:p>
    <w:p w14:paraId="039C0174" w14:textId="77777777" w:rsidR="006B2083" w:rsidRDefault="006B2083" w:rsidP="006B2083">
      <w:pPr>
        <w:pStyle w:val="NoSpacing"/>
        <w:ind w:left="720"/>
        <w:rPr>
          <w:rFonts w:ascii="Times New Roman" w:hAnsi="Times New Roman"/>
          <w:sz w:val="24"/>
          <w:szCs w:val="24"/>
        </w:rPr>
      </w:pPr>
      <w:r w:rsidRPr="00EA7DA2">
        <w:rPr>
          <w:rFonts w:ascii="Times New Roman" w:eastAsia="Times New Roman" w:hAnsi="Times New Roman"/>
          <w:sz w:val="24"/>
          <w:szCs w:val="24"/>
        </w:rPr>
        <w:t>Note:</w:t>
      </w:r>
      <w:r>
        <w:rPr>
          <w:rFonts w:ascii="Times New Roman" w:eastAsia="Times New Roman" w:hAnsi="Times New Roman"/>
          <w:b/>
          <w:bCs/>
          <w:sz w:val="24"/>
          <w:szCs w:val="24"/>
        </w:rPr>
        <w:t xml:space="preserve"> </w:t>
      </w:r>
      <w:r>
        <w:rPr>
          <w:rFonts w:ascii="Times New Roman" w:hAnsi="Times New Roman"/>
          <w:sz w:val="24"/>
          <w:szCs w:val="24"/>
        </w:rPr>
        <w:t xml:space="preserve">Fire Department at Argonne National Laboratory, which is managed by the University of Chicago; </w:t>
      </w:r>
      <w:hyperlink r:id="rId1747" w:history="1">
        <w:r w:rsidRPr="00677A50">
          <w:rPr>
            <w:rStyle w:val="Hyperlink"/>
            <w:rFonts w:ascii="Times New Roman" w:hAnsi="Times New Roman"/>
            <w:sz w:val="24"/>
            <w:szCs w:val="24"/>
          </w:rPr>
          <w:t>http://chicagoareafire.com/blog/tag/argonne-national-laboratory-fire-department/</w:t>
        </w:r>
      </w:hyperlink>
      <w:r>
        <w:rPr>
          <w:rFonts w:ascii="Times New Roman" w:hAnsi="Times New Roman"/>
          <w:sz w:val="24"/>
          <w:szCs w:val="24"/>
        </w:rPr>
        <w:t xml:space="preserve">   </w:t>
      </w:r>
    </w:p>
    <w:p w14:paraId="12F079D0" w14:textId="77777777" w:rsidR="006B2083" w:rsidRDefault="006B2083" w:rsidP="006B2083">
      <w:pPr>
        <w:pStyle w:val="NoSpacing"/>
        <w:rPr>
          <w:rFonts w:ascii="Times New Roman" w:hAnsi="Times New Roman"/>
          <w:sz w:val="24"/>
          <w:szCs w:val="24"/>
        </w:rPr>
      </w:pPr>
    </w:p>
    <w:p w14:paraId="5780357B" w14:textId="77777777" w:rsidR="006B2083" w:rsidRDefault="006B2083" w:rsidP="00E9307E">
      <w:pPr>
        <w:rPr>
          <w:rFonts w:ascii="Arial Black" w:hAnsi="Arial Black"/>
          <w:b/>
          <w:sz w:val="28"/>
          <w:szCs w:val="28"/>
        </w:rPr>
      </w:pPr>
    </w:p>
    <w:p w14:paraId="30B849AF" w14:textId="77777777" w:rsidR="006B2083" w:rsidRDefault="006B2083" w:rsidP="00E9307E">
      <w:pPr>
        <w:rPr>
          <w:rFonts w:ascii="Arial Black" w:hAnsi="Arial Black"/>
          <w:b/>
          <w:sz w:val="28"/>
          <w:szCs w:val="28"/>
        </w:rPr>
      </w:pPr>
    </w:p>
    <w:p w14:paraId="0322A37A" w14:textId="56FF29C8" w:rsidR="00366CDD" w:rsidRDefault="00366CDD" w:rsidP="00E9307E">
      <w:pPr>
        <w:rPr>
          <w:rFonts w:ascii="Arial Black" w:hAnsi="Arial Black"/>
          <w:b/>
          <w:sz w:val="28"/>
          <w:szCs w:val="28"/>
        </w:rPr>
      </w:pPr>
      <w:r>
        <w:rPr>
          <w:rFonts w:ascii="Arial Black" w:hAnsi="Arial Black"/>
          <w:b/>
          <w:sz w:val="28"/>
          <w:szCs w:val="28"/>
        </w:rPr>
        <w:t>10-</w:t>
      </w:r>
      <w:r w:rsidR="00AC1E3A">
        <w:rPr>
          <w:rFonts w:ascii="Arial Black" w:hAnsi="Arial Black"/>
          <w:b/>
          <w:sz w:val="28"/>
          <w:szCs w:val="28"/>
        </w:rPr>
        <w:t>3</w:t>
      </w:r>
      <w:r>
        <w:rPr>
          <w:rFonts w:ascii="Arial Black" w:hAnsi="Arial Black"/>
          <w:b/>
          <w:sz w:val="28"/>
          <w:szCs w:val="28"/>
        </w:rPr>
        <w:t xml:space="preserve"> [Also filed, Chap. 9 &amp; Chap. 15]</w:t>
      </w:r>
    </w:p>
    <w:p w14:paraId="0123A73E" w14:textId="77777777" w:rsidR="00366CDD" w:rsidRPr="00A670C3" w:rsidRDefault="00366CDD" w:rsidP="00366CDD">
      <w:pPr>
        <w:spacing w:before="100" w:beforeAutospacing="1" w:after="100" w:afterAutospacing="1" w:line="240" w:lineRule="auto"/>
        <w:rPr>
          <w:rFonts w:ascii="Arial Black" w:eastAsia="Times New Roman" w:hAnsi="Arial Black"/>
          <w:sz w:val="28"/>
          <w:szCs w:val="28"/>
        </w:rPr>
      </w:pPr>
      <w:bookmarkStart w:id="373" w:name="_Hlk66948556"/>
      <w:r w:rsidRPr="00A670C3">
        <w:rPr>
          <w:rFonts w:ascii="Arial Black" w:eastAsia="Times New Roman" w:hAnsi="Arial Black"/>
          <w:sz w:val="28"/>
          <w:szCs w:val="28"/>
        </w:rPr>
        <w:lastRenderedPageBreak/>
        <w:t xml:space="preserve">PA: </w:t>
      </w:r>
      <w:r>
        <w:rPr>
          <w:rFonts w:ascii="Arial Black" w:eastAsia="Times New Roman" w:hAnsi="Arial Black"/>
          <w:sz w:val="28"/>
          <w:szCs w:val="28"/>
        </w:rPr>
        <w:t>FF PANIC ATTACK ON DUTY – PTSD, MEDICATION – NO LONGER QUALIFIED AS FF – TERMINATION NOT VIOL. ADA</w:t>
      </w:r>
    </w:p>
    <w:p w14:paraId="4FD3A7E0" w14:textId="77777777" w:rsidR="00366CDD" w:rsidRPr="008561E5" w:rsidRDefault="00366CDD" w:rsidP="00366CDD">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On April 17, 2020, in </w:t>
      </w:r>
      <w:r w:rsidRPr="008561E5">
        <w:rPr>
          <w:rFonts w:ascii="Times New Roman" w:eastAsia="Times New Roman" w:hAnsi="Times New Roman"/>
          <w:sz w:val="24"/>
          <w:szCs w:val="24"/>
          <w:u w:val="single"/>
        </w:rPr>
        <w:t xml:space="preserve">Robert Carpenter v. York Area United Fire </w:t>
      </w:r>
      <w:proofErr w:type="gramStart"/>
      <w:r w:rsidRPr="008561E5">
        <w:rPr>
          <w:rFonts w:ascii="Times New Roman" w:eastAsia="Times New Roman" w:hAnsi="Times New Roman"/>
          <w:sz w:val="24"/>
          <w:szCs w:val="24"/>
          <w:u w:val="single"/>
        </w:rPr>
        <w:t>And</w:t>
      </w:r>
      <w:proofErr w:type="gramEnd"/>
      <w:r w:rsidRPr="008561E5">
        <w:rPr>
          <w:rFonts w:ascii="Times New Roman" w:eastAsia="Times New Roman" w:hAnsi="Times New Roman"/>
          <w:sz w:val="24"/>
          <w:szCs w:val="24"/>
          <w:u w:val="single"/>
        </w:rPr>
        <w:t xml:space="preserve"> Rescue</w:t>
      </w:r>
      <w:r>
        <w:rPr>
          <w:rFonts w:ascii="Times New Roman" w:eastAsia="Times New Roman" w:hAnsi="Times New Roman"/>
          <w:sz w:val="24"/>
          <w:szCs w:val="24"/>
        </w:rPr>
        <w:t>, U.S. District Court Judge Christopher C. Conner, Chief Judge, Middle District of Pennsylvania, granted the FD’s motion for summary judgment.  The Court held that the firefighter was not a “</w:t>
      </w:r>
      <w:r w:rsidRPr="00A670C3">
        <w:rPr>
          <w:rFonts w:ascii="Times New Roman" w:eastAsia="Times New Roman" w:hAnsi="Times New Roman"/>
          <w:sz w:val="24"/>
          <w:szCs w:val="24"/>
        </w:rPr>
        <w:t>qualified individual for ADA purposes because he could not perform the essential functions of his job with or without reasonable accommodation</w:t>
      </w:r>
      <w:r>
        <w:rPr>
          <w:rFonts w:ascii="Times New Roman" w:eastAsia="Times New Roman" w:hAnsi="Times New Roman"/>
          <w:sz w:val="24"/>
          <w:szCs w:val="24"/>
        </w:rPr>
        <w:t>,” and indefinite leave of absence was not a reasonable accommodation; “</w:t>
      </w:r>
      <w:r w:rsidRPr="008561E5">
        <w:rPr>
          <w:rFonts w:ascii="Times New Roman" w:hAnsi="Times New Roman"/>
          <w:sz w:val="24"/>
          <w:szCs w:val="24"/>
        </w:rPr>
        <w:t xml:space="preserve">there must be some expectation that the employee could perform his essential job functions in the </w:t>
      </w:r>
      <w:r>
        <w:rPr>
          <w:rFonts w:ascii="Times New Roman" w:hAnsi="Times New Roman"/>
          <w:sz w:val="24"/>
          <w:szCs w:val="24"/>
        </w:rPr>
        <w:t>‘</w:t>
      </w:r>
      <w:r w:rsidRPr="008561E5">
        <w:rPr>
          <w:rFonts w:ascii="Times New Roman" w:hAnsi="Times New Roman"/>
          <w:sz w:val="24"/>
          <w:szCs w:val="24"/>
        </w:rPr>
        <w:t>near future</w:t>
      </w:r>
      <w:r>
        <w:rPr>
          <w:rFonts w:ascii="Times New Roman" w:hAnsi="Times New Roman"/>
          <w:sz w:val="24"/>
          <w:szCs w:val="24"/>
        </w:rPr>
        <w:t>’</w:t>
      </w:r>
      <w:r w:rsidRPr="008561E5">
        <w:rPr>
          <w:rFonts w:ascii="Times New Roman" w:hAnsi="Times New Roman"/>
          <w:sz w:val="24"/>
          <w:szCs w:val="24"/>
        </w:rPr>
        <w:t xml:space="preserve"> following the requested leave.</w:t>
      </w:r>
      <w:r>
        <w:rPr>
          <w:rFonts w:ascii="Times New Roman" w:hAnsi="Times New Roman"/>
          <w:sz w:val="24"/>
          <w:szCs w:val="24"/>
        </w:rPr>
        <w:t xml:space="preserve">   </w:t>
      </w:r>
    </w:p>
    <w:bookmarkEnd w:id="373"/>
    <w:p w14:paraId="05DC189E" w14:textId="77777777" w:rsidR="00366CDD" w:rsidRDefault="00366CDD" w:rsidP="00366CDD">
      <w:pPr>
        <w:pStyle w:val="NormalWeb"/>
        <w:ind w:left="720"/>
      </w:pPr>
      <w:r>
        <w:t xml:space="preserve">“[Fire Department] </w:t>
      </w:r>
      <w:r w:rsidRPr="00A670C3">
        <w:t>argues that Carpenter is not a qualified individual for ADA purposes because he could not perform the essential functions of his job with or without reasonable accommodation. We agree.</w:t>
      </w:r>
      <w:r>
        <w:t xml:space="preserve">” </w:t>
      </w:r>
      <w:bookmarkStart w:id="374" w:name="_Hlk66948592"/>
      <w:r w:rsidR="00F00958">
        <w:fldChar w:fldCharType="begin"/>
      </w:r>
      <w:r w:rsidR="00F00958">
        <w:instrText xml:space="preserve"> HYPERLINK "https://public.fastcase.com/Wl%2B2t%2BeVuI35%2FN70vAMFZkkc03nKI8qkpSJ%2FzmzLggswfoR1RvbDETmM60pPGUhc" </w:instrText>
      </w:r>
      <w:r w:rsidR="00F00958">
        <w:fldChar w:fldCharType="separate"/>
      </w:r>
      <w:r w:rsidRPr="00377614">
        <w:rPr>
          <w:rStyle w:val="Hyperlink"/>
        </w:rPr>
        <w:t>https://public.fastcase.com/Wl%2B2t%2BeVuI35%2FN70vAMFZkkc03nKI8qkpSJ%2FzmzLggswfoR1RvbDETmM60pPGUhc</w:t>
      </w:r>
      <w:r w:rsidR="00F00958">
        <w:rPr>
          <w:rStyle w:val="Hyperlink"/>
        </w:rPr>
        <w:fldChar w:fldCharType="end"/>
      </w:r>
      <w:r>
        <w:t xml:space="preserve"> </w:t>
      </w:r>
    </w:p>
    <w:p w14:paraId="67A914FA" w14:textId="77777777" w:rsidR="00366CDD" w:rsidRPr="00DE2E06" w:rsidRDefault="00366CDD" w:rsidP="00366CDD">
      <w:pPr>
        <w:rPr>
          <w:rFonts w:ascii="Times New Roman" w:hAnsi="Times New Roman"/>
          <w:b/>
          <w:bCs/>
          <w:sz w:val="24"/>
          <w:szCs w:val="24"/>
        </w:rPr>
      </w:pPr>
      <w:r w:rsidRPr="00DE2E06">
        <w:rPr>
          <w:rFonts w:ascii="Times New Roman" w:hAnsi="Times New Roman"/>
          <w:b/>
          <w:bCs/>
          <w:sz w:val="24"/>
          <w:szCs w:val="24"/>
        </w:rPr>
        <w:t>Legal Lessons Learned:  FF on leave and undergoing treatment, who desires to get back to the job, needs to stay in communication with FD.</w:t>
      </w:r>
      <w:r>
        <w:rPr>
          <w:rFonts w:ascii="Times New Roman" w:hAnsi="Times New Roman"/>
          <w:b/>
          <w:bCs/>
          <w:sz w:val="24"/>
          <w:szCs w:val="24"/>
        </w:rPr>
        <w:t xml:space="preserve">   FMLA also addressed (see below).</w:t>
      </w:r>
    </w:p>
    <w:bookmarkEnd w:id="374"/>
    <w:p w14:paraId="5C96A1C5" w14:textId="7DD5B946" w:rsidR="00366CDD" w:rsidRPr="00063DF6" w:rsidRDefault="00366CDD" w:rsidP="00366CDD">
      <w:pPr>
        <w:pStyle w:val="NormalWeb"/>
        <w:ind w:left="720"/>
        <w:rPr>
          <w:b/>
          <w:bCs/>
        </w:rPr>
      </w:pPr>
      <w:r w:rsidRPr="00063DF6">
        <w:t xml:space="preserve">Note:  </w:t>
      </w:r>
      <w:r>
        <w:t xml:space="preserve">Court also held that the FF was not </w:t>
      </w:r>
      <w:proofErr w:type="gramStart"/>
      <w:r>
        <w:t>entitle</w:t>
      </w:r>
      <w:proofErr w:type="gramEnd"/>
      <w:r>
        <w:t xml:space="preserve"> the FMLA leave. </w:t>
      </w:r>
      <w:r>
        <w:rPr>
          <w:bCs/>
        </w:rPr>
        <w:t>“</w:t>
      </w:r>
      <w:r w:rsidRPr="00A670C3">
        <w:rPr>
          <w:bCs/>
        </w:rPr>
        <w:t>In a letter dated October 11, 2017, YAUFR denied Carpenter's FMLA leave request</w:t>
      </w:r>
      <w:r>
        <w:rPr>
          <w:bCs/>
        </w:rPr>
        <w:t xml:space="preserve">…. </w:t>
      </w:r>
      <w:r w:rsidRPr="00A670C3">
        <w:rPr>
          <w:bCs/>
        </w:rPr>
        <w:t xml:space="preserve"> YAUFR explained that, although it was a covered employer under the FMLA, it did not employ the requisite number of people for Carpenter to be considered an </w:t>
      </w:r>
      <w:r>
        <w:rPr>
          <w:bCs/>
        </w:rPr>
        <w:t>‘</w:t>
      </w:r>
      <w:r w:rsidRPr="00A670C3">
        <w:rPr>
          <w:bCs/>
        </w:rPr>
        <w:t>eligible employee</w:t>
      </w:r>
      <w:r>
        <w:rPr>
          <w:bCs/>
        </w:rPr>
        <w:t>’</w:t>
      </w:r>
      <w:r w:rsidRPr="00A670C3">
        <w:rPr>
          <w:bCs/>
        </w:rPr>
        <w:t xml:space="preserve"> under FMLA regulations.</w:t>
      </w:r>
      <w:r>
        <w:rPr>
          <w:bCs/>
        </w:rPr>
        <w:t xml:space="preserve"> *** </w:t>
      </w:r>
      <w:r w:rsidRPr="00063DF6">
        <w:rPr>
          <w:bCs/>
        </w:rPr>
        <w:t xml:space="preserve">To qualify as an </w:t>
      </w:r>
      <w:r>
        <w:rPr>
          <w:bCs/>
        </w:rPr>
        <w:t>‘</w:t>
      </w:r>
      <w:r w:rsidRPr="00063DF6">
        <w:rPr>
          <w:bCs/>
        </w:rPr>
        <w:t>eligible employee,</w:t>
      </w:r>
      <w:r>
        <w:rPr>
          <w:bCs/>
        </w:rPr>
        <w:t>’</w:t>
      </w:r>
      <w:r w:rsidRPr="00063DF6">
        <w:rPr>
          <w:bCs/>
        </w:rPr>
        <w:t xml:space="preserve"> the employee must be </w:t>
      </w:r>
      <w:r>
        <w:rPr>
          <w:bCs/>
        </w:rPr>
        <w:t>‘</w:t>
      </w:r>
      <w:r w:rsidRPr="00063DF6">
        <w:rPr>
          <w:bCs/>
        </w:rPr>
        <w:t>employed at a worksite where 50 or more employees are employed by the employer within 75 miles of that worksite.</w:t>
      </w:r>
      <w:r>
        <w:rPr>
          <w:bCs/>
        </w:rPr>
        <w:t>’</w:t>
      </w:r>
      <w:r w:rsidRPr="00063DF6">
        <w:rPr>
          <w:bCs/>
        </w:rPr>
        <w:t xml:space="preserve"> 29 C.F.R. § 825.110(a)(3); see 29 U.S.C. § 2611(2)(B)(ii). YAUFR avers, and Carpenter concedes, that YAUFR has never employed 50 or more people.</w:t>
      </w:r>
      <w:r>
        <w:rPr>
          <w:bCs/>
        </w:rPr>
        <w:t>”</w:t>
      </w:r>
    </w:p>
    <w:p w14:paraId="6530185D" w14:textId="77777777" w:rsidR="00366CDD" w:rsidRDefault="00366CDD" w:rsidP="00E9307E">
      <w:pPr>
        <w:rPr>
          <w:rFonts w:ascii="Arial Black" w:hAnsi="Arial Black"/>
          <w:b/>
          <w:sz w:val="28"/>
          <w:szCs w:val="28"/>
        </w:rPr>
      </w:pPr>
    </w:p>
    <w:bookmarkEnd w:id="371"/>
    <w:p w14:paraId="5B3FCE04" w14:textId="4D3A39C5" w:rsidR="00DE0F03" w:rsidRDefault="00DE0F03" w:rsidP="00DE0F03">
      <w:pPr>
        <w:rPr>
          <w:sz w:val="24"/>
          <w:szCs w:val="24"/>
        </w:rPr>
      </w:pPr>
      <w:r>
        <w:rPr>
          <w:rFonts w:ascii="Arial Black" w:hAnsi="Arial Black"/>
          <w:b/>
          <w:sz w:val="24"/>
          <w:szCs w:val="24"/>
        </w:rPr>
        <w:t>10</w:t>
      </w:r>
      <w:r w:rsidRPr="00EF1133">
        <w:rPr>
          <w:rFonts w:ascii="Arial Black" w:hAnsi="Arial Black"/>
          <w:b/>
          <w:sz w:val="24"/>
          <w:szCs w:val="24"/>
        </w:rPr>
        <w:t>-</w:t>
      </w:r>
      <w:r>
        <w:rPr>
          <w:rFonts w:ascii="Arial Black" w:hAnsi="Arial Black"/>
          <w:b/>
          <w:sz w:val="24"/>
          <w:szCs w:val="24"/>
        </w:rPr>
        <w:t>2</w:t>
      </w:r>
    </w:p>
    <w:p w14:paraId="6A195784" w14:textId="29C131DC" w:rsidR="00F326E5" w:rsidRPr="00C56DAA" w:rsidRDefault="00F326E5" w:rsidP="00F326E5">
      <w:pPr>
        <w:rPr>
          <w:rFonts w:ascii="Arial Black" w:hAnsi="Arial Black"/>
          <w:sz w:val="28"/>
          <w:szCs w:val="28"/>
        </w:rPr>
      </w:pPr>
      <w:bookmarkStart w:id="375" w:name="_Hlk39819188"/>
      <w:bookmarkStart w:id="376" w:name="_Hlk7345186"/>
      <w:r w:rsidRPr="00C56DAA">
        <w:rPr>
          <w:rFonts w:ascii="Arial Black" w:hAnsi="Arial Black"/>
          <w:sz w:val="28"/>
          <w:szCs w:val="28"/>
        </w:rPr>
        <w:t>U.S. D</w:t>
      </w:r>
      <w:r>
        <w:rPr>
          <w:rFonts w:ascii="Arial Black" w:hAnsi="Arial Black"/>
          <w:sz w:val="28"/>
          <w:szCs w:val="28"/>
        </w:rPr>
        <w:t xml:space="preserve">EPT. LABOR – HEALTHY PERSON DONATING ORGAN ENTITLED TO FMLA LEAVE </w:t>
      </w:r>
    </w:p>
    <w:p w14:paraId="17F4EA37" w14:textId="77777777" w:rsidR="00E658E1" w:rsidRDefault="00F326E5" w:rsidP="00F326E5">
      <w:pPr>
        <w:rPr>
          <w:rFonts w:ascii="Times New Roman" w:eastAsia="Times New Roman" w:hAnsi="Times New Roman"/>
          <w:sz w:val="24"/>
          <w:szCs w:val="24"/>
        </w:rPr>
      </w:pPr>
      <w:r w:rsidRPr="00E658E1">
        <w:rPr>
          <w:rFonts w:ascii="Times New Roman" w:eastAsia="Times New Roman" w:hAnsi="Times New Roman"/>
          <w:sz w:val="24"/>
          <w:szCs w:val="24"/>
        </w:rPr>
        <w:t xml:space="preserve">On Aug. 28, 2018, the U.S. Department of Labor issued Opinion No. FMLA2018-2- A. </w:t>
      </w:r>
    </w:p>
    <w:p w14:paraId="3B877859" w14:textId="475EF534" w:rsidR="00F326E5" w:rsidRPr="00E658E1" w:rsidRDefault="00F326E5" w:rsidP="00E658E1">
      <w:pPr>
        <w:ind w:left="720"/>
        <w:rPr>
          <w:rFonts w:ascii="Times New Roman" w:eastAsia="Times New Roman" w:hAnsi="Times New Roman"/>
          <w:sz w:val="24"/>
          <w:szCs w:val="24"/>
        </w:rPr>
      </w:pPr>
      <w:r w:rsidRPr="00E658E1">
        <w:rPr>
          <w:rFonts w:ascii="Times New Roman" w:eastAsia="Times New Roman" w:hAnsi="Times New Roman"/>
          <w:sz w:val="24"/>
          <w:szCs w:val="24"/>
        </w:rPr>
        <w:t>“This letter responds to your request for an opinion letter concerning whether organ-donation surgery can qualify as a ‘serious health condition’ under the Family and Medical Leave Act of 1993 (FMLA). As discussed below, we conclude that it can.”</w:t>
      </w:r>
      <w:r w:rsidR="00E658E1">
        <w:rPr>
          <w:rFonts w:ascii="Times New Roman" w:eastAsia="Times New Roman" w:hAnsi="Times New Roman"/>
          <w:sz w:val="24"/>
          <w:szCs w:val="24"/>
        </w:rPr>
        <w:t xml:space="preserve"> </w:t>
      </w:r>
      <w:hyperlink r:id="rId1748" w:history="1">
        <w:r w:rsidRPr="00E658E1">
          <w:rPr>
            <w:rStyle w:val="Hyperlink"/>
            <w:rFonts w:ascii="Times New Roman" w:hAnsi="Times New Roman"/>
            <w:sz w:val="24"/>
            <w:szCs w:val="24"/>
          </w:rPr>
          <w:t>https://www.dol.gov/whd/opinion/FMLA/2018/2018_08_28_2A_FMLA.pdf</w:t>
        </w:r>
      </w:hyperlink>
      <w:bookmarkEnd w:id="375"/>
      <w:r w:rsidRPr="00E658E1">
        <w:rPr>
          <w:rFonts w:ascii="Times New Roman" w:eastAsia="Times New Roman" w:hAnsi="Times New Roman"/>
          <w:sz w:val="24"/>
          <w:szCs w:val="24"/>
        </w:rPr>
        <w:t xml:space="preserve"> </w:t>
      </w:r>
    </w:p>
    <w:p w14:paraId="5720C0D4" w14:textId="51C1B863" w:rsidR="00F326E5" w:rsidRPr="00E658E1" w:rsidRDefault="00F326E5" w:rsidP="00F326E5">
      <w:pPr>
        <w:rPr>
          <w:rFonts w:ascii="Times New Roman" w:eastAsia="Times New Roman" w:hAnsi="Times New Roman"/>
          <w:b/>
          <w:sz w:val="24"/>
          <w:szCs w:val="24"/>
        </w:rPr>
      </w:pPr>
      <w:r w:rsidRPr="00E658E1">
        <w:rPr>
          <w:rFonts w:ascii="Times New Roman" w:eastAsia="Times New Roman" w:hAnsi="Times New Roman"/>
          <w:b/>
          <w:sz w:val="24"/>
          <w:szCs w:val="24"/>
        </w:rPr>
        <w:t xml:space="preserve">Legal Lessons Learned: Helpful to have an Opinion Letter that may encourage others to be organ donors. </w:t>
      </w:r>
    </w:p>
    <w:p w14:paraId="07D70E34" w14:textId="77777777" w:rsidR="00DE0F03" w:rsidRDefault="00DE0F03" w:rsidP="00DE0F03">
      <w:pPr>
        <w:rPr>
          <w:rFonts w:ascii="Arial Black" w:hAnsi="Arial Black"/>
          <w:b/>
          <w:sz w:val="24"/>
          <w:szCs w:val="24"/>
        </w:rPr>
      </w:pPr>
    </w:p>
    <w:p w14:paraId="48CE18B7" w14:textId="28A61DEE" w:rsidR="00DE0F03" w:rsidRDefault="00DE0F03" w:rsidP="00DE0F03">
      <w:pPr>
        <w:rPr>
          <w:sz w:val="24"/>
          <w:szCs w:val="24"/>
        </w:rPr>
      </w:pPr>
      <w:r>
        <w:rPr>
          <w:rFonts w:ascii="Arial Black" w:hAnsi="Arial Black"/>
          <w:b/>
          <w:sz w:val="24"/>
          <w:szCs w:val="24"/>
        </w:rPr>
        <w:t>10</w:t>
      </w:r>
      <w:r w:rsidRPr="00EF1133">
        <w:rPr>
          <w:rFonts w:ascii="Arial Black" w:hAnsi="Arial Black"/>
          <w:b/>
          <w:sz w:val="24"/>
          <w:szCs w:val="24"/>
        </w:rPr>
        <w:t>-1</w:t>
      </w:r>
    </w:p>
    <w:p w14:paraId="11711C48" w14:textId="6FCE684F" w:rsidR="008F1BBB" w:rsidRDefault="008F1BBB" w:rsidP="008F1BBB">
      <w:pPr>
        <w:pStyle w:val="NoSpacing"/>
        <w:rPr>
          <w:rFonts w:ascii="Arial Black" w:hAnsi="Arial Black"/>
          <w:b/>
          <w:sz w:val="24"/>
          <w:szCs w:val="24"/>
        </w:rPr>
      </w:pPr>
      <w:bookmarkStart w:id="377" w:name="_Hlk39771651"/>
      <w:bookmarkStart w:id="378" w:name="_Hlk7181215"/>
      <w:bookmarkEnd w:id="376"/>
      <w:r>
        <w:rPr>
          <w:rFonts w:ascii="Arial Black" w:hAnsi="Arial Black"/>
          <w:sz w:val="28"/>
          <w:szCs w:val="28"/>
        </w:rPr>
        <w:lastRenderedPageBreak/>
        <w:t>OH: DAYTON FD RECRUIT – RE</w:t>
      </w:r>
      <w:r w:rsidR="00BC38B6">
        <w:rPr>
          <w:rFonts w:ascii="Arial Black" w:hAnsi="Arial Black"/>
          <w:sz w:val="28"/>
          <w:szCs w:val="28"/>
        </w:rPr>
        <w:t xml:space="preserve">MOVED </w:t>
      </w:r>
      <w:r>
        <w:rPr>
          <w:rFonts w:ascii="Arial Black" w:hAnsi="Arial Black"/>
          <w:sz w:val="28"/>
          <w:szCs w:val="28"/>
        </w:rPr>
        <w:t xml:space="preserve">FROM CLASS AFTER KNEE INJURY – NO FMLA VIOLATION </w:t>
      </w:r>
      <w:r w:rsidRPr="00EB2673">
        <w:rPr>
          <w:b/>
          <w:sz w:val="24"/>
          <w:szCs w:val="24"/>
        </w:rPr>
        <w:t>[also filed, Chap. 14]</w:t>
      </w:r>
      <w:r>
        <w:rPr>
          <w:rFonts w:ascii="Arial Black" w:hAnsi="Arial Black"/>
          <w:sz w:val="28"/>
          <w:szCs w:val="28"/>
        </w:rPr>
        <w:t xml:space="preserve"> </w:t>
      </w:r>
    </w:p>
    <w:p w14:paraId="5D43F0E8" w14:textId="77777777" w:rsidR="00E658E1" w:rsidRDefault="008F1BBB" w:rsidP="008F1BBB">
      <w:pPr>
        <w:rPr>
          <w:rFonts w:ascii="Times New Roman" w:hAnsi="Times New Roman"/>
          <w:sz w:val="24"/>
          <w:szCs w:val="24"/>
        </w:rPr>
      </w:pPr>
      <w:r w:rsidRPr="00E658E1">
        <w:rPr>
          <w:rFonts w:ascii="Times New Roman" w:hAnsi="Times New Roman"/>
          <w:sz w:val="24"/>
          <w:szCs w:val="24"/>
        </w:rPr>
        <w:t xml:space="preserve">On </w:t>
      </w:r>
      <w:bookmarkStart w:id="379" w:name="_Hlk39847208"/>
      <w:r w:rsidRPr="00E658E1">
        <w:rPr>
          <w:rFonts w:ascii="Times New Roman" w:hAnsi="Times New Roman"/>
          <w:sz w:val="24"/>
          <w:szCs w:val="24"/>
        </w:rPr>
        <w:t xml:space="preserve">Feb. 9, </w:t>
      </w:r>
      <w:proofErr w:type="gramStart"/>
      <w:r w:rsidRPr="00E658E1">
        <w:rPr>
          <w:rFonts w:ascii="Times New Roman" w:hAnsi="Times New Roman"/>
          <w:sz w:val="24"/>
          <w:szCs w:val="24"/>
        </w:rPr>
        <w:t>2018</w:t>
      </w:r>
      <w:proofErr w:type="gramEnd"/>
      <w:r w:rsidRPr="00E658E1">
        <w:rPr>
          <w:rFonts w:ascii="Times New Roman" w:hAnsi="Times New Roman"/>
          <w:sz w:val="24"/>
          <w:szCs w:val="24"/>
        </w:rPr>
        <w:t xml:space="preserve"> in </w:t>
      </w:r>
      <w:r w:rsidRPr="00E658E1">
        <w:rPr>
          <w:rFonts w:ascii="Times New Roman" w:hAnsi="Times New Roman"/>
          <w:sz w:val="24"/>
          <w:szCs w:val="24"/>
          <w:u w:val="single"/>
        </w:rPr>
        <w:t>Shawn N. Geisel v. City of Dayton, et al</w:t>
      </w:r>
      <w:r w:rsidRPr="00E658E1">
        <w:rPr>
          <w:rFonts w:ascii="Times New Roman" w:hAnsi="Times New Roman"/>
          <w:sz w:val="24"/>
          <w:szCs w:val="24"/>
        </w:rPr>
        <w:t xml:space="preserve">., </w:t>
      </w:r>
      <w:bookmarkEnd w:id="379"/>
      <w:r w:rsidRPr="00E658E1">
        <w:rPr>
          <w:rFonts w:ascii="Times New Roman" w:hAnsi="Times New Roman"/>
          <w:sz w:val="24"/>
          <w:szCs w:val="24"/>
        </w:rPr>
        <w:t xml:space="preserve">Ohio Court of Appeals for Second Circuit (Montgomery County) held (3 to 0) that the FD had the authority to remove him from the recruit class and ‘demote’ him back to EMT.   </w:t>
      </w:r>
    </w:p>
    <w:p w14:paraId="3B569E18" w14:textId="5948E9F3" w:rsidR="008F1BBB" w:rsidRPr="00E658E1" w:rsidRDefault="008F1BBB" w:rsidP="00E658E1">
      <w:pPr>
        <w:ind w:left="720"/>
        <w:rPr>
          <w:rFonts w:ascii="Times New Roman" w:hAnsi="Times New Roman"/>
          <w:sz w:val="24"/>
          <w:szCs w:val="24"/>
        </w:rPr>
      </w:pPr>
      <w:r w:rsidRPr="00E658E1">
        <w:rPr>
          <w:rFonts w:ascii="Times New Roman" w:hAnsi="Times New Roman"/>
          <w:sz w:val="24"/>
          <w:szCs w:val="24"/>
        </w:rPr>
        <w:t xml:space="preserve">“We do not mean to imply that Geisel could not reapply for the position, but only that his appointment to Firefighter Recruit was a self-contained opportunity that did not entail a right to be reappointed or to continue as a recruit until he could complete the training program.”  </w:t>
      </w:r>
      <w:bookmarkStart w:id="380" w:name="_Hlk39847230"/>
      <w:r w:rsidR="00BC38B6">
        <w:fldChar w:fldCharType="begin"/>
      </w:r>
      <w:r w:rsidR="00BC38B6">
        <w:instrText xml:space="preserve"> HYPERLINK "http://www.supremecourt.ohio.gov/rod/docs/pdf/2/2018/2018-ohio-512.pdf" </w:instrText>
      </w:r>
      <w:r w:rsidR="00BC38B6">
        <w:fldChar w:fldCharType="separate"/>
      </w:r>
      <w:r w:rsidRPr="00E658E1">
        <w:rPr>
          <w:rStyle w:val="Hyperlink"/>
          <w:rFonts w:ascii="Times New Roman" w:hAnsi="Times New Roman"/>
          <w:sz w:val="24"/>
          <w:szCs w:val="24"/>
        </w:rPr>
        <w:t>http://www.supremecourt.ohio.gov/rod/docs/pdf/2/2018/2018-ohio-512.pdf</w:t>
      </w:r>
      <w:r w:rsidR="00BC38B6">
        <w:rPr>
          <w:rStyle w:val="Hyperlink"/>
          <w:rFonts w:ascii="Times New Roman" w:hAnsi="Times New Roman"/>
          <w:sz w:val="24"/>
          <w:szCs w:val="24"/>
        </w:rPr>
        <w:fldChar w:fldCharType="end"/>
      </w:r>
      <w:r w:rsidRPr="00E658E1">
        <w:rPr>
          <w:rFonts w:ascii="Times New Roman" w:hAnsi="Times New Roman"/>
          <w:sz w:val="24"/>
          <w:szCs w:val="24"/>
        </w:rPr>
        <w:t xml:space="preserve"> </w:t>
      </w:r>
    </w:p>
    <w:p w14:paraId="20A676B3" w14:textId="5A66D8AC" w:rsidR="008F1BBB" w:rsidRDefault="008F1BBB" w:rsidP="00B532F6">
      <w:pPr>
        <w:rPr>
          <w:rFonts w:ascii="Arial Black" w:hAnsi="Arial Black"/>
          <w:sz w:val="40"/>
          <w:szCs w:val="40"/>
        </w:rPr>
      </w:pPr>
      <w:bookmarkStart w:id="381" w:name="_Hlk40512893"/>
      <w:bookmarkEnd w:id="377"/>
      <w:bookmarkEnd w:id="380"/>
      <w:r w:rsidRPr="00E658E1">
        <w:rPr>
          <w:rFonts w:ascii="Times New Roman" w:hAnsi="Times New Roman"/>
          <w:b/>
          <w:sz w:val="24"/>
          <w:szCs w:val="24"/>
        </w:rPr>
        <w:t>L</w:t>
      </w:r>
      <w:r w:rsidR="0052665B">
        <w:rPr>
          <w:rFonts w:ascii="Times New Roman" w:hAnsi="Times New Roman"/>
          <w:b/>
          <w:sz w:val="24"/>
          <w:szCs w:val="24"/>
        </w:rPr>
        <w:t xml:space="preserve">egal Lesson Learned: </w:t>
      </w:r>
      <w:r w:rsidRPr="00E658E1">
        <w:rPr>
          <w:rFonts w:ascii="Times New Roman" w:hAnsi="Times New Roman"/>
          <w:b/>
          <w:sz w:val="24"/>
          <w:szCs w:val="24"/>
        </w:rPr>
        <w:t xml:space="preserve">Dayton Civil Services rules treat </w:t>
      </w:r>
      <w:proofErr w:type="gramStart"/>
      <w:r w:rsidRPr="00E658E1">
        <w:rPr>
          <w:rFonts w:ascii="Times New Roman" w:hAnsi="Times New Roman"/>
          <w:b/>
          <w:sz w:val="24"/>
          <w:szCs w:val="24"/>
        </w:rPr>
        <w:t>a</w:t>
      </w:r>
      <w:proofErr w:type="gramEnd"/>
      <w:r w:rsidRPr="00E658E1">
        <w:rPr>
          <w:rFonts w:ascii="Times New Roman" w:hAnsi="Times New Roman"/>
          <w:b/>
          <w:sz w:val="24"/>
          <w:szCs w:val="24"/>
        </w:rPr>
        <w:t xml:space="preserve"> FF recruit as a probationary employee; when injured in recruit school, </w:t>
      </w:r>
      <w:r w:rsidR="00A16B10">
        <w:rPr>
          <w:rFonts w:ascii="Times New Roman" w:hAnsi="Times New Roman"/>
          <w:b/>
          <w:sz w:val="24"/>
          <w:szCs w:val="24"/>
        </w:rPr>
        <w:t xml:space="preserve">he </w:t>
      </w:r>
      <w:r w:rsidRPr="00E658E1">
        <w:rPr>
          <w:rFonts w:ascii="Times New Roman" w:hAnsi="Times New Roman"/>
          <w:b/>
          <w:sz w:val="24"/>
          <w:szCs w:val="24"/>
        </w:rPr>
        <w:t>can be “demoted” back to EMT-B and placed on light duty.</w:t>
      </w:r>
      <w:bookmarkEnd w:id="378"/>
      <w:bookmarkEnd w:id="381"/>
    </w:p>
    <w:p w14:paraId="481B2BA8" w14:textId="77777777" w:rsidR="00B532F6" w:rsidRDefault="00B532F6" w:rsidP="00F326E5">
      <w:pPr>
        <w:pStyle w:val="NoSpacing"/>
        <w:rPr>
          <w:rFonts w:ascii="Arial Black" w:hAnsi="Arial Black"/>
          <w:sz w:val="40"/>
          <w:szCs w:val="40"/>
        </w:rPr>
      </w:pPr>
    </w:p>
    <w:p w14:paraId="1EDE9D39" w14:textId="7839FFA4" w:rsidR="00102FD0" w:rsidRDefault="00102FD0">
      <w:pPr>
        <w:spacing w:after="0" w:line="240" w:lineRule="auto"/>
        <w:rPr>
          <w:rFonts w:ascii="Arial Black" w:hAnsi="Arial Black"/>
          <w:sz w:val="40"/>
          <w:szCs w:val="40"/>
        </w:rPr>
      </w:pPr>
      <w:r>
        <w:rPr>
          <w:rFonts w:ascii="Arial Black" w:hAnsi="Arial Black"/>
          <w:sz w:val="40"/>
          <w:szCs w:val="40"/>
        </w:rPr>
        <w:br w:type="page"/>
      </w:r>
    </w:p>
    <w:p w14:paraId="5560A8D6" w14:textId="77777777" w:rsidR="00102FD0" w:rsidRDefault="00102FD0" w:rsidP="00F326E5">
      <w:pPr>
        <w:pStyle w:val="NoSpacing"/>
        <w:rPr>
          <w:rFonts w:ascii="Arial Black" w:hAnsi="Arial Black"/>
          <w:sz w:val="40"/>
          <w:szCs w:val="40"/>
        </w:rPr>
      </w:pPr>
    </w:p>
    <w:p w14:paraId="5BB13200" w14:textId="77777777" w:rsidR="009C7451" w:rsidRDefault="009C7451" w:rsidP="00F326E5">
      <w:pPr>
        <w:pStyle w:val="NoSpacing"/>
        <w:rPr>
          <w:rFonts w:ascii="Arial Black" w:hAnsi="Arial Black"/>
          <w:sz w:val="40"/>
          <w:szCs w:val="40"/>
        </w:rPr>
      </w:pPr>
    </w:p>
    <w:p w14:paraId="79D80A12" w14:textId="77777777" w:rsidR="009C7451" w:rsidRDefault="009C7451" w:rsidP="00F326E5">
      <w:pPr>
        <w:pStyle w:val="NoSpacing"/>
        <w:rPr>
          <w:rFonts w:ascii="Arial Black" w:hAnsi="Arial Black"/>
          <w:sz w:val="40"/>
          <w:szCs w:val="40"/>
        </w:rPr>
      </w:pPr>
    </w:p>
    <w:p w14:paraId="61B2CC91" w14:textId="77777777" w:rsidR="009C7451" w:rsidRDefault="009C7451" w:rsidP="00F326E5">
      <w:pPr>
        <w:pStyle w:val="NoSpacing"/>
        <w:rPr>
          <w:rFonts w:ascii="Arial Black" w:hAnsi="Arial Black"/>
          <w:sz w:val="40"/>
          <w:szCs w:val="40"/>
        </w:rPr>
      </w:pPr>
    </w:p>
    <w:p w14:paraId="0746D459" w14:textId="77777777" w:rsidR="009C7451" w:rsidRDefault="009C7451" w:rsidP="00F326E5">
      <w:pPr>
        <w:pStyle w:val="NoSpacing"/>
        <w:rPr>
          <w:rFonts w:ascii="Arial Black" w:hAnsi="Arial Black"/>
          <w:sz w:val="40"/>
          <w:szCs w:val="40"/>
        </w:rPr>
      </w:pPr>
    </w:p>
    <w:p w14:paraId="7C8AE1B7" w14:textId="77777777" w:rsidR="009C7451" w:rsidRDefault="009C7451" w:rsidP="00F326E5">
      <w:pPr>
        <w:pStyle w:val="NoSpacing"/>
        <w:rPr>
          <w:rFonts w:ascii="Arial Black" w:hAnsi="Arial Black"/>
          <w:sz w:val="40"/>
          <w:szCs w:val="40"/>
        </w:rPr>
      </w:pPr>
    </w:p>
    <w:p w14:paraId="27F1FCBD" w14:textId="77777777" w:rsidR="009C7451" w:rsidRDefault="009C7451" w:rsidP="00F326E5">
      <w:pPr>
        <w:pStyle w:val="NoSpacing"/>
        <w:rPr>
          <w:rFonts w:ascii="Arial Black" w:hAnsi="Arial Black"/>
          <w:sz w:val="40"/>
          <w:szCs w:val="40"/>
        </w:rPr>
      </w:pPr>
    </w:p>
    <w:p w14:paraId="1AB0FA51" w14:textId="77777777" w:rsidR="009C7451" w:rsidRDefault="009C7451" w:rsidP="00F326E5">
      <w:pPr>
        <w:pStyle w:val="NoSpacing"/>
        <w:rPr>
          <w:rFonts w:ascii="Arial Black" w:hAnsi="Arial Black"/>
          <w:sz w:val="40"/>
          <w:szCs w:val="40"/>
        </w:rPr>
      </w:pPr>
    </w:p>
    <w:p w14:paraId="487F2092" w14:textId="77777777" w:rsidR="009C7451" w:rsidRDefault="009C7451" w:rsidP="00F326E5">
      <w:pPr>
        <w:pStyle w:val="NoSpacing"/>
        <w:rPr>
          <w:rFonts w:ascii="Arial Black" w:hAnsi="Arial Black"/>
          <w:sz w:val="40"/>
          <w:szCs w:val="40"/>
        </w:rPr>
      </w:pPr>
    </w:p>
    <w:p w14:paraId="4414C434" w14:textId="77777777" w:rsidR="009C7451" w:rsidRDefault="009C7451" w:rsidP="00F326E5">
      <w:pPr>
        <w:pStyle w:val="NoSpacing"/>
        <w:rPr>
          <w:rFonts w:ascii="Arial Black" w:hAnsi="Arial Black"/>
          <w:sz w:val="40"/>
          <w:szCs w:val="40"/>
        </w:rPr>
      </w:pPr>
    </w:p>
    <w:p w14:paraId="08B17C36" w14:textId="77777777" w:rsidR="009C7451" w:rsidRDefault="009C7451" w:rsidP="00F326E5">
      <w:pPr>
        <w:pStyle w:val="NoSpacing"/>
        <w:rPr>
          <w:rFonts w:ascii="Arial Black" w:hAnsi="Arial Black"/>
          <w:sz w:val="40"/>
          <w:szCs w:val="40"/>
        </w:rPr>
      </w:pPr>
    </w:p>
    <w:p w14:paraId="66EE8DAA" w14:textId="77777777" w:rsidR="009C7451" w:rsidRDefault="009C7451" w:rsidP="00F326E5">
      <w:pPr>
        <w:pStyle w:val="NoSpacing"/>
        <w:rPr>
          <w:rFonts w:ascii="Arial Black" w:hAnsi="Arial Black"/>
          <w:sz w:val="40"/>
          <w:szCs w:val="40"/>
        </w:rPr>
      </w:pPr>
    </w:p>
    <w:p w14:paraId="4FBE2217" w14:textId="77777777" w:rsidR="009C7451" w:rsidRDefault="009C7451" w:rsidP="00F326E5">
      <w:pPr>
        <w:pStyle w:val="NoSpacing"/>
        <w:rPr>
          <w:rFonts w:ascii="Arial Black" w:hAnsi="Arial Black"/>
          <w:sz w:val="40"/>
          <w:szCs w:val="40"/>
        </w:rPr>
      </w:pPr>
    </w:p>
    <w:p w14:paraId="3795FC36" w14:textId="77777777" w:rsidR="009C7451" w:rsidRDefault="009C7451" w:rsidP="00F326E5">
      <w:pPr>
        <w:pStyle w:val="NoSpacing"/>
        <w:rPr>
          <w:rFonts w:ascii="Arial Black" w:hAnsi="Arial Black"/>
          <w:sz w:val="40"/>
          <w:szCs w:val="40"/>
        </w:rPr>
      </w:pPr>
    </w:p>
    <w:p w14:paraId="71A4FF4B" w14:textId="77777777" w:rsidR="009C7451" w:rsidRDefault="009C7451" w:rsidP="00F326E5">
      <w:pPr>
        <w:pStyle w:val="NoSpacing"/>
        <w:rPr>
          <w:rFonts w:ascii="Arial Black" w:hAnsi="Arial Black"/>
          <w:sz w:val="40"/>
          <w:szCs w:val="40"/>
        </w:rPr>
      </w:pPr>
    </w:p>
    <w:p w14:paraId="56707D0B" w14:textId="77777777" w:rsidR="009C7451" w:rsidRDefault="009C7451" w:rsidP="00F326E5">
      <w:pPr>
        <w:pStyle w:val="NoSpacing"/>
        <w:rPr>
          <w:rFonts w:ascii="Arial Black" w:hAnsi="Arial Black"/>
          <w:sz w:val="40"/>
          <w:szCs w:val="40"/>
        </w:rPr>
      </w:pPr>
    </w:p>
    <w:p w14:paraId="443F4768" w14:textId="77777777" w:rsidR="009C7451" w:rsidRDefault="009C7451" w:rsidP="00F326E5">
      <w:pPr>
        <w:pStyle w:val="NoSpacing"/>
        <w:rPr>
          <w:rFonts w:ascii="Arial Black" w:hAnsi="Arial Black"/>
          <w:sz w:val="40"/>
          <w:szCs w:val="40"/>
        </w:rPr>
      </w:pPr>
    </w:p>
    <w:p w14:paraId="7115AE10" w14:textId="77777777" w:rsidR="009C7451" w:rsidRDefault="009C7451" w:rsidP="00F326E5">
      <w:pPr>
        <w:pStyle w:val="NoSpacing"/>
        <w:rPr>
          <w:rFonts w:ascii="Arial Black" w:hAnsi="Arial Black"/>
          <w:sz w:val="40"/>
          <w:szCs w:val="40"/>
        </w:rPr>
      </w:pPr>
    </w:p>
    <w:p w14:paraId="550BC55F" w14:textId="77777777" w:rsidR="009C7451" w:rsidRDefault="009C7451" w:rsidP="00F326E5">
      <w:pPr>
        <w:pStyle w:val="NoSpacing"/>
        <w:rPr>
          <w:rFonts w:ascii="Arial Black" w:hAnsi="Arial Black"/>
          <w:sz w:val="40"/>
          <w:szCs w:val="40"/>
        </w:rPr>
      </w:pPr>
    </w:p>
    <w:p w14:paraId="6B3D155B" w14:textId="77777777" w:rsidR="009C7451" w:rsidRDefault="009C7451" w:rsidP="00F326E5">
      <w:pPr>
        <w:pStyle w:val="NoSpacing"/>
        <w:rPr>
          <w:rFonts w:ascii="Arial Black" w:hAnsi="Arial Black"/>
          <w:sz w:val="40"/>
          <w:szCs w:val="40"/>
        </w:rPr>
      </w:pPr>
    </w:p>
    <w:p w14:paraId="5C7586A4" w14:textId="77777777" w:rsidR="009C7451" w:rsidRDefault="009C7451" w:rsidP="00F326E5">
      <w:pPr>
        <w:pStyle w:val="NoSpacing"/>
        <w:rPr>
          <w:rFonts w:ascii="Arial Black" w:hAnsi="Arial Black"/>
          <w:sz w:val="40"/>
          <w:szCs w:val="40"/>
        </w:rPr>
      </w:pPr>
    </w:p>
    <w:p w14:paraId="609E156C" w14:textId="77777777" w:rsidR="009C7451" w:rsidRDefault="009C7451" w:rsidP="00F326E5">
      <w:pPr>
        <w:pStyle w:val="NoSpacing"/>
        <w:rPr>
          <w:rFonts w:ascii="Arial Black" w:hAnsi="Arial Black"/>
          <w:sz w:val="40"/>
          <w:szCs w:val="40"/>
        </w:rPr>
      </w:pPr>
    </w:p>
    <w:p w14:paraId="04939E69" w14:textId="77777777" w:rsidR="009C7451" w:rsidRDefault="009C7451" w:rsidP="00F326E5">
      <w:pPr>
        <w:pStyle w:val="NoSpacing"/>
        <w:rPr>
          <w:rFonts w:ascii="Arial Black" w:hAnsi="Arial Black"/>
          <w:sz w:val="40"/>
          <w:szCs w:val="40"/>
        </w:rPr>
      </w:pPr>
    </w:p>
    <w:p w14:paraId="206C3E5C" w14:textId="77777777" w:rsidR="009C7451" w:rsidRDefault="009C7451" w:rsidP="00F326E5">
      <w:pPr>
        <w:pStyle w:val="NoSpacing"/>
        <w:rPr>
          <w:rFonts w:ascii="Arial Black" w:hAnsi="Arial Black"/>
          <w:sz w:val="40"/>
          <w:szCs w:val="40"/>
        </w:rPr>
      </w:pPr>
    </w:p>
    <w:p w14:paraId="6F40D096" w14:textId="398B5402" w:rsidR="00F326E5" w:rsidRDefault="00F326E5" w:rsidP="00F326E5">
      <w:pPr>
        <w:pStyle w:val="NoSpacing"/>
        <w:rPr>
          <w:rFonts w:ascii="Arial Black" w:hAnsi="Arial Black"/>
          <w:sz w:val="40"/>
          <w:szCs w:val="40"/>
        </w:rPr>
      </w:pPr>
      <w:r w:rsidRPr="007732FA">
        <w:rPr>
          <w:rFonts w:ascii="Arial Black" w:hAnsi="Arial Black"/>
          <w:sz w:val="40"/>
          <w:szCs w:val="40"/>
        </w:rPr>
        <w:lastRenderedPageBreak/>
        <w:t>Chap. 11</w:t>
      </w:r>
      <w:r w:rsidRPr="007732FA">
        <w:rPr>
          <w:rFonts w:ascii="Arial Black" w:hAnsi="Arial Black"/>
          <w:sz w:val="40"/>
          <w:szCs w:val="40"/>
        </w:rPr>
        <w:tab/>
        <w:t>Fair Labor Standards Act</w:t>
      </w:r>
      <w:r w:rsidR="00EC50D5">
        <w:rPr>
          <w:rFonts w:ascii="Arial Black" w:hAnsi="Arial Black"/>
          <w:sz w:val="40"/>
          <w:szCs w:val="40"/>
        </w:rPr>
        <w:t xml:space="preserve"> and Military Pay</w:t>
      </w:r>
    </w:p>
    <w:p w14:paraId="3E3C2EA0" w14:textId="77777777" w:rsidR="00C5039F" w:rsidRDefault="00C5039F" w:rsidP="00020106">
      <w:pPr>
        <w:rPr>
          <w:rFonts w:ascii="Arial Black" w:hAnsi="Arial Black"/>
          <w:b/>
          <w:sz w:val="24"/>
          <w:szCs w:val="24"/>
        </w:rPr>
      </w:pPr>
    </w:p>
    <w:p w14:paraId="0AAC9656" w14:textId="36C5220E" w:rsidR="0062797C" w:rsidRDefault="0062797C" w:rsidP="00020106">
      <w:pPr>
        <w:rPr>
          <w:rFonts w:ascii="Arial Black" w:hAnsi="Arial Black"/>
          <w:b/>
          <w:sz w:val="24"/>
          <w:szCs w:val="24"/>
        </w:rPr>
      </w:pPr>
      <w:r>
        <w:rPr>
          <w:rFonts w:ascii="Arial Black" w:hAnsi="Arial Black"/>
          <w:b/>
          <w:sz w:val="24"/>
          <w:szCs w:val="24"/>
        </w:rPr>
        <w:t>11-73</w:t>
      </w:r>
    </w:p>
    <w:p w14:paraId="4F78CC90" w14:textId="77777777" w:rsidR="0062797C" w:rsidRPr="00402759" w:rsidRDefault="0062797C" w:rsidP="0062797C">
      <w:pPr>
        <w:pStyle w:val="NoSpacing"/>
        <w:rPr>
          <w:rFonts w:ascii="Arial Black" w:hAnsi="Arial Black"/>
          <w:sz w:val="28"/>
          <w:szCs w:val="28"/>
        </w:rPr>
      </w:pPr>
      <w:r>
        <w:rPr>
          <w:rFonts w:ascii="Arial Black" w:hAnsi="Arial Black"/>
          <w:sz w:val="28"/>
          <w:szCs w:val="28"/>
        </w:rPr>
        <w:t xml:space="preserve">AZ: CAPTAIN TRANS AFTER OT ISSUE - POSS RETALIATION </w:t>
      </w:r>
    </w:p>
    <w:p w14:paraId="684C808F" w14:textId="77777777" w:rsidR="0062797C" w:rsidRDefault="0062797C" w:rsidP="0062797C">
      <w:pPr>
        <w:pStyle w:val="NoSpacing"/>
      </w:pPr>
    </w:p>
    <w:p w14:paraId="59ECDC64" w14:textId="77777777" w:rsidR="0062797C" w:rsidRDefault="0062797C" w:rsidP="0062797C">
      <w:pPr>
        <w:pStyle w:val="NoSpacing"/>
      </w:pPr>
      <w:r>
        <w:t xml:space="preserve">On July 21, 2026, in </w:t>
      </w:r>
      <w:r w:rsidRPr="00995D85">
        <w:rPr>
          <w:u w:val="single"/>
        </w:rPr>
        <w:t>David Johnson v. City of Phoenix, et al</w:t>
      </w:r>
      <w:r>
        <w:t xml:space="preserve">., U.S. District Court Judge Krissa M. Lanham held that City is granted summary judgment regarding the </w:t>
      </w:r>
      <w:proofErr w:type="gramStart"/>
      <w:r>
        <w:t>Captain’s</w:t>
      </w:r>
      <w:proofErr w:type="gramEnd"/>
      <w:r>
        <w:t xml:space="preserve"> overtime claim but case proceeds regarding retaliation for his job transfer after filing internal grievances (which he lost). On Oct. 19, </w:t>
      </w:r>
      <w:proofErr w:type="gramStart"/>
      <w:r>
        <w:t>2021</w:t>
      </w:r>
      <w:proofErr w:type="gramEnd"/>
      <w:r>
        <w:t xml:space="preserve"> he was home on standby shift ($1.50 hour), and then responded to hospital for </w:t>
      </w:r>
      <w:r w:rsidRPr="00317B05">
        <w:t>pathogen-exposure incident</w:t>
      </w:r>
      <w:r>
        <w:t xml:space="preserve">; returned home in 3 </w:t>
      </w:r>
      <w:proofErr w:type="gramStart"/>
      <w:r>
        <w:t>hours, and</w:t>
      </w:r>
      <w:proofErr w:type="gramEnd"/>
      <w:r>
        <w:t xml:space="preserve"> made some follow up calls to hospital.  He claimed overtime for the </w:t>
      </w:r>
      <w:r w:rsidRPr="00317B05">
        <w:t>total of 12.75 hours passed between the incident's beginning and the end of Johnson's shift</w:t>
      </w:r>
      <w:r>
        <w:t xml:space="preserve"> (grievances denied).  In February 2022, after grievances were </w:t>
      </w:r>
      <w:proofErr w:type="gramStart"/>
      <w:r>
        <w:t>denied</w:t>
      </w:r>
      <w:proofErr w:type="gramEnd"/>
      <w:r>
        <w:t xml:space="preserve"> he was transferred to an Operations position.   U.S. Department of Labor investigation found this was retaliation.</w:t>
      </w:r>
    </w:p>
    <w:p w14:paraId="6ECFDE7D" w14:textId="77777777" w:rsidR="0062797C" w:rsidRDefault="0062797C" w:rsidP="0062797C">
      <w:pPr>
        <w:pStyle w:val="NoSpacing"/>
      </w:pPr>
      <w:hyperlink r:id="rId1749" w:history="1">
        <w:r w:rsidRPr="00F32C65">
          <w:rPr>
            <w:rStyle w:val="Hyperlink"/>
          </w:rPr>
          <w:t>https://public.fastcase.com/Jhe1Qn%2BmJndQYQU6z%2FeNm%2F%2Bb9tDy%2BB1V4igtWVlHjvKcU%2FnEQkKgvsTuIdmJf7S6TLQrLMKDMyDhy29fvRmn0B54%2B%2FamKhKvK55eX0VsHHI%3D?utm_medium=email&amp;_hsenc=p2ANqtz-_Gg5RXNpIci3yukYVP6b7sh5gmOKa0GsZOAMvLT2R41U8XgM5hohZBV9wwMQTg4BgeHRSn6k2S_n_HEfm4oxMP2E6DqA&amp;_hsmi=226712652&amp;utm_content=226712652&amp;utm_source=hs_email</w:t>
        </w:r>
      </w:hyperlink>
      <w:r>
        <w:t xml:space="preserve"> </w:t>
      </w:r>
    </w:p>
    <w:p w14:paraId="37974C69" w14:textId="77777777" w:rsidR="0062797C" w:rsidRDefault="0062797C" w:rsidP="0062797C">
      <w:pPr>
        <w:pStyle w:val="NoSpacing"/>
      </w:pPr>
    </w:p>
    <w:p w14:paraId="425B1A4E" w14:textId="77777777" w:rsidR="0062797C" w:rsidRDefault="0062797C" w:rsidP="0062797C">
      <w:pPr>
        <w:pStyle w:val="NoSpacing"/>
      </w:pPr>
      <w:r>
        <w:t xml:space="preserve">THE COURT HELD: </w:t>
      </w:r>
    </w:p>
    <w:p w14:paraId="3C0D0B16" w14:textId="77777777" w:rsidR="0062797C" w:rsidRDefault="0062797C" w:rsidP="0062797C">
      <w:pPr>
        <w:pStyle w:val="NoSpacing"/>
      </w:pPr>
    </w:p>
    <w:p w14:paraId="5B6F2248" w14:textId="77777777" w:rsidR="0062797C" w:rsidRDefault="0062797C" w:rsidP="0062797C">
      <w:pPr>
        <w:pStyle w:val="NoSpacing"/>
      </w:pPr>
      <w:r>
        <w:t>“</w:t>
      </w:r>
      <w:r w:rsidRPr="00513245">
        <w:t>David Johnson, a Phoenix Fire Department (</w:t>
      </w:r>
      <w:r>
        <w:t>‘</w:t>
      </w:r>
      <w:r w:rsidRPr="00513245">
        <w:t>PFD</w:t>
      </w:r>
      <w:r>
        <w:t>’</w:t>
      </w:r>
      <w:r w:rsidRPr="00513245">
        <w:t>) employee, worked as the captain of PFD's Car 959 unit (</w:t>
      </w:r>
      <w:r>
        <w:t>‘</w:t>
      </w:r>
      <w:r w:rsidRPr="00513245">
        <w:t>C959</w:t>
      </w:r>
      <w:r>
        <w:t>’</w:t>
      </w:r>
      <w:r w:rsidRPr="00513245">
        <w:t>) until he filed multiple grievances regarding overtime compensation and was then transferred. He filed a lawsuit against PFD and individual PFD-affiliated defendants, alleging they violated the Fair Labor Standards Act (</w:t>
      </w:r>
      <w:r>
        <w:t>‘</w:t>
      </w:r>
      <w:r w:rsidRPr="00513245">
        <w:t>FLSA</w:t>
      </w:r>
      <w:r>
        <w:t>’</w:t>
      </w:r>
      <w:r w:rsidRPr="00513245">
        <w:t>) by transferring him in retaliation for his grievances and refusing to pay overtime</w:t>
      </w:r>
      <w:r>
        <w:t xml:space="preserve">…. </w:t>
      </w:r>
      <w:r w:rsidRPr="00317B05">
        <w:t>The parties agree Johnson worked for PFD for over 27 years, serving as a captain since 2007 and captain paramedic for C959 beginning in 2018</w:t>
      </w:r>
      <w:r>
        <w:t xml:space="preserve">…. </w:t>
      </w:r>
      <w:r w:rsidRPr="00317B05">
        <w:t>During that time, he received positive performance evaluations and no documented complaints or disciplinary actions</w:t>
      </w:r>
      <w:r>
        <w:t xml:space="preserve"> … </w:t>
      </w:r>
      <w:r w:rsidRPr="00317B05">
        <w:t>though Phoenix alleges his behavior was unprofessional</w:t>
      </w:r>
      <w:r>
        <w:t xml:space="preserve"> … </w:t>
      </w:r>
      <w:r w:rsidRPr="00317B05">
        <w:t>(notes from meetings with hospital coordinators who criticized Johnson's behavior)</w:t>
      </w:r>
      <w:r>
        <w:rPr>
          <w:vertAlign w:val="superscript"/>
        </w:rPr>
        <w:t xml:space="preserve">. </w:t>
      </w:r>
      <w:r w:rsidRPr="00317B05">
        <w:t>In October 2021, C959 transitioned from a 56-hour workweek to a 40-hour workweek, a change that reduced Johnson's overtime opportunities</w:t>
      </w:r>
      <w:r>
        <w:t xml:space="preserve">…. </w:t>
      </w:r>
      <w:r w:rsidRPr="00317B05">
        <w:t>Employees could work standby shifts where they were paid $1.50 per hour to remain on call; if called out to a job, they would be paid overtime rates (one-and-a-half-times pay) for the duration of that call</w:t>
      </w:r>
      <w:r>
        <w:t xml:space="preserve">…. </w:t>
      </w:r>
      <w:r w:rsidRPr="00317B05">
        <w:t>On October 19, 2021, Johnson was working a standby shift when he was called out to manage a pathogen-exposure incident</w:t>
      </w:r>
      <w:r>
        <w:t xml:space="preserve">…. </w:t>
      </w:r>
      <w:r w:rsidRPr="00317B05">
        <w:t>He drove to the hospital and worked for around three hours, then returned home and made short phone calls to the hospital every few hours</w:t>
      </w:r>
      <w:r>
        <w:t xml:space="preserve">…. </w:t>
      </w:r>
      <w:r w:rsidRPr="00317B05">
        <w:t>A total of 12.75 hours passed between the incident's beginning and the end of Johnson's shift, and PFD determined he had worked overtime for 5.5 of those hours (for the hospital visit and phone calls) but was in standby status for the remainder</w:t>
      </w:r>
      <w:r>
        <w:t xml:space="preserve">…. </w:t>
      </w:r>
      <w:r w:rsidRPr="00317B05">
        <w:t>Johnson later filed two grievances alleging he was owed overtime for the entire 12.75-hour period</w:t>
      </w:r>
      <w:r>
        <w:t xml:space="preserve">…. </w:t>
      </w:r>
      <w:r w:rsidRPr="00317B05">
        <w:t>Those grievances were unsuccessful</w:t>
      </w:r>
      <w:r>
        <w:t xml:space="preserve">…. </w:t>
      </w:r>
      <w:r w:rsidRPr="00317B05">
        <w:t>Shortly afterwards, in February 2022, Johnson was notified he would be removed as C959 captain and reassigned or demoted into Operations due to unprofessional conduct</w:t>
      </w:r>
      <w:r>
        <w:t xml:space="preserve">…. </w:t>
      </w:r>
      <w:r w:rsidRPr="00317B05">
        <w:t xml:space="preserve">The parties agree Operations (a </w:t>
      </w:r>
      <w:r>
        <w:t>‘</w:t>
      </w:r>
      <w:r w:rsidRPr="00317B05">
        <w:t>roving pool</w:t>
      </w:r>
      <w:r>
        <w:t>’</w:t>
      </w:r>
      <w:r w:rsidRPr="00317B05">
        <w:t>) offered more overtime opportunities than the 40-hour C959 schedule, and Johnson subsequently took other roles on a 56-hour schedul</w:t>
      </w:r>
      <w:r>
        <w:t xml:space="preserve">e…. </w:t>
      </w:r>
      <w:r w:rsidRPr="004453F3">
        <w:t>The next month, he filed a charge of retaliation with the Department of Labor (</w:t>
      </w:r>
      <w:r>
        <w:t>‘</w:t>
      </w:r>
      <w:r w:rsidRPr="004453F3">
        <w:t>DOL</w:t>
      </w:r>
      <w:r>
        <w:t>’</w:t>
      </w:r>
      <w:r w:rsidRPr="004453F3">
        <w:t>), which investigated and found PFD had wrongfully removed Johnson from his captaincy because of his overtime grievances</w:t>
      </w:r>
      <w:r>
        <w:t xml:space="preserve">…. </w:t>
      </w:r>
      <w:r w:rsidRPr="004453F3">
        <w:t>During that investigation, PFD claimed it had removed Johnson due to business needs and prior complaints against him</w:t>
      </w:r>
      <w:r>
        <w:t xml:space="preserve">…. </w:t>
      </w:r>
      <w:r w:rsidRPr="004453F3">
        <w:t>The DOL investigation found no corroboration for those rationales and further determined PFD did not follow its disciplinary process during Johnson's removal</w:t>
      </w:r>
      <w:r>
        <w:t xml:space="preserve">…. </w:t>
      </w:r>
      <w:r w:rsidRPr="004453F3">
        <w:t>The report calculated his damages from that retaliation were $0.</w:t>
      </w:r>
    </w:p>
    <w:p w14:paraId="51831572" w14:textId="77777777" w:rsidR="0062797C" w:rsidRDefault="0062797C" w:rsidP="0062797C">
      <w:pPr>
        <w:pStyle w:val="NoSpacing"/>
      </w:pPr>
    </w:p>
    <w:p w14:paraId="2CDAA8D5" w14:textId="77777777" w:rsidR="0062797C" w:rsidRDefault="0062797C" w:rsidP="0062797C">
      <w:pPr>
        <w:pStyle w:val="NoSpacing"/>
      </w:pPr>
      <w:r>
        <w:t>***</w:t>
      </w:r>
    </w:p>
    <w:p w14:paraId="5B8BB4DD" w14:textId="77777777" w:rsidR="0062797C" w:rsidRDefault="0062797C" w:rsidP="0062797C">
      <w:pPr>
        <w:pStyle w:val="NoSpacing"/>
      </w:pPr>
    </w:p>
    <w:p w14:paraId="19A6790D" w14:textId="77777777" w:rsidR="0062797C" w:rsidRDefault="0062797C" w:rsidP="0062797C">
      <w:pPr>
        <w:pStyle w:val="NoSpacing"/>
      </w:pPr>
      <w:r w:rsidRPr="00AC714C">
        <w:lastRenderedPageBreak/>
        <w:t xml:space="preserve">Johnson has raised a dispute of material fact whether he suffered any monetary harm from his removal, so Phoenix's motion for summary judgment on that issue is denied as to Count 1. However, Johnson cannot pursue </w:t>
      </w:r>
      <w:proofErr w:type="gramStart"/>
      <w:r w:rsidRPr="00AC714C">
        <w:t>emotional distress</w:t>
      </w:r>
      <w:proofErr w:type="gramEnd"/>
      <w:r w:rsidRPr="00AC714C">
        <w:t xml:space="preserve"> damages on that count because he offered no facts supporting such damages. Summary judgment is granted as to Count 3, Johnson's overtime claim, and the court accepts Johnson's voluntary dismissal of Count 2.</w:t>
      </w:r>
      <w:r>
        <w:t>”</w:t>
      </w:r>
    </w:p>
    <w:p w14:paraId="227E9761" w14:textId="77777777" w:rsidR="0062797C" w:rsidRDefault="0062797C" w:rsidP="0062797C">
      <w:pPr>
        <w:pStyle w:val="NoSpacing"/>
      </w:pPr>
    </w:p>
    <w:p w14:paraId="6D822BCB" w14:textId="77777777" w:rsidR="0062797C" w:rsidRDefault="0062797C" w:rsidP="0062797C">
      <w:pPr>
        <w:pStyle w:val="NoSpacing"/>
      </w:pPr>
      <w:r>
        <w:rPr>
          <w:b/>
        </w:rPr>
        <w:t xml:space="preserve">Legal lesson learned: The retaliation claim will now proceed with pre-trial discovery. </w:t>
      </w:r>
    </w:p>
    <w:p w14:paraId="35D6F67E" w14:textId="77777777" w:rsidR="0062797C" w:rsidRDefault="0062797C" w:rsidP="0062797C">
      <w:pPr>
        <w:pStyle w:val="NoSpacing"/>
      </w:pPr>
    </w:p>
    <w:p w14:paraId="0F551E51" w14:textId="77777777" w:rsidR="0062797C" w:rsidRDefault="0062797C" w:rsidP="00020106">
      <w:pPr>
        <w:rPr>
          <w:rFonts w:ascii="Arial Black" w:hAnsi="Arial Black"/>
          <w:b/>
          <w:sz w:val="24"/>
          <w:szCs w:val="24"/>
        </w:rPr>
      </w:pPr>
    </w:p>
    <w:p w14:paraId="78F725FC" w14:textId="77777777" w:rsidR="0062797C" w:rsidRDefault="0062797C" w:rsidP="00020106">
      <w:pPr>
        <w:rPr>
          <w:rFonts w:ascii="Arial Black" w:hAnsi="Arial Black"/>
          <w:b/>
          <w:sz w:val="24"/>
          <w:szCs w:val="24"/>
        </w:rPr>
      </w:pPr>
    </w:p>
    <w:p w14:paraId="0CED0956" w14:textId="77777777" w:rsidR="0062797C" w:rsidRDefault="0062797C" w:rsidP="00020106">
      <w:pPr>
        <w:rPr>
          <w:rFonts w:ascii="Arial Black" w:hAnsi="Arial Black"/>
          <w:b/>
          <w:sz w:val="24"/>
          <w:szCs w:val="24"/>
        </w:rPr>
      </w:pPr>
    </w:p>
    <w:p w14:paraId="7200A2A0" w14:textId="2F788968" w:rsidR="00DD3D7A" w:rsidRDefault="00C5039F" w:rsidP="00020106">
      <w:pPr>
        <w:rPr>
          <w:rFonts w:ascii="Arial Black" w:hAnsi="Arial Black"/>
          <w:b/>
          <w:sz w:val="24"/>
          <w:szCs w:val="24"/>
        </w:rPr>
      </w:pPr>
      <w:r>
        <w:rPr>
          <w:rFonts w:ascii="Arial Black" w:hAnsi="Arial Black"/>
          <w:b/>
          <w:sz w:val="24"/>
          <w:szCs w:val="24"/>
        </w:rPr>
        <w:t>11-72</w:t>
      </w:r>
    </w:p>
    <w:p w14:paraId="6AC772CF" w14:textId="77777777" w:rsidR="00F53F21" w:rsidRPr="00FB7372" w:rsidRDefault="00F53F21" w:rsidP="00F53F21">
      <w:pPr>
        <w:pStyle w:val="NoSpacing"/>
        <w:rPr>
          <w:rFonts w:ascii="Arial Black" w:hAnsi="Arial Black"/>
          <w:sz w:val="28"/>
          <w:szCs w:val="28"/>
        </w:rPr>
      </w:pPr>
      <w:r>
        <w:rPr>
          <w:rFonts w:ascii="Arial Black" w:hAnsi="Arial Black"/>
          <w:sz w:val="28"/>
          <w:szCs w:val="28"/>
        </w:rPr>
        <w:t>IL: CITY’S CHANGE 24/48 SHIFT - CLASS ACTION DAMAGES</w:t>
      </w:r>
    </w:p>
    <w:p w14:paraId="008C55A1" w14:textId="77777777" w:rsidR="00F53F21" w:rsidRDefault="00F53F21" w:rsidP="00F53F21">
      <w:pPr>
        <w:pStyle w:val="NoSpacing"/>
      </w:pPr>
    </w:p>
    <w:p w14:paraId="22BDC0A8" w14:textId="77777777" w:rsidR="00F53F21" w:rsidRDefault="00F53F21" w:rsidP="00F53F21">
      <w:r>
        <w:t xml:space="preserve">On May 26, 2026, in </w:t>
      </w:r>
      <w:r w:rsidRPr="00266EFF">
        <w:rPr>
          <w:u w:val="single"/>
        </w:rPr>
        <w:t>East Chicago Professional Firefighters Local 365, et al. v. City of East Chicago, et al.</w:t>
      </w:r>
      <w:r>
        <w:t xml:space="preserve">, the Court of Appeals of Indiana held (3 to 0; unpublished decision) that the Indiana State Court Judge failed to send notice to all firefighters in a class action lawsuit for money damages. The state case is </w:t>
      </w:r>
      <w:proofErr w:type="gramStart"/>
      <w:r>
        <w:t>remanded</w:t>
      </w:r>
      <w:proofErr w:type="gramEnd"/>
      <w:r>
        <w:t xml:space="preserve"> to set damage award for 84 current and former firefighters who had their shift unilaterally changed on December 7, </w:t>
      </w:r>
      <w:proofErr w:type="gramStart"/>
      <w:r>
        <w:t>2019</w:t>
      </w:r>
      <w:proofErr w:type="gramEnd"/>
      <w:r>
        <w:t xml:space="preserve"> from 24/48 to rotating 8-hour days (off 24) and 8-hour nights (off 24 hours).  This unilateral change was spearheaded by </w:t>
      </w:r>
      <w:r w:rsidRPr="00BD274C">
        <w:t xml:space="preserve">Anthony Copeland, a former firefighter of twenty-six years, </w:t>
      </w:r>
      <w:r>
        <w:t xml:space="preserve">who </w:t>
      </w:r>
      <w:r w:rsidRPr="00BD274C">
        <w:t>was elected mayor of the City of East Chicago in 2010.</w:t>
      </w:r>
      <w:r>
        <w:t xml:space="preserve"> The union had previously won a federal injunction setting aside the shift change on March 28, 2022, which was upheld by United States Seventh </w:t>
      </w:r>
      <w:r w:rsidRPr="0097445E">
        <w:t>Circuit</w:t>
      </w:r>
      <w:r w:rsidRPr="00320051">
        <w:t xml:space="preserve"> </w:t>
      </w:r>
      <w:r>
        <w:t xml:space="preserve">on Dec. 21, 2022.  The Court wrote: “We conclude that the trial court erred as a matter of law by not directing the notice procedure to the members of the class who could be identified through reasonable effort.” </w:t>
      </w:r>
      <w:hyperlink r:id="rId1750" w:history="1">
        <w:r w:rsidRPr="00014504">
          <w:rPr>
            <w:rStyle w:val="Hyperlink"/>
            <w:b/>
          </w:rPr>
          <w:t>https://cases.justia.com/indiana/court-of-appeals/2026-25a-pl-01609.pdf?ts=1779819186</w:t>
        </w:r>
      </w:hyperlink>
    </w:p>
    <w:p w14:paraId="6494A53A" w14:textId="77777777" w:rsidR="00F53F21" w:rsidRDefault="00F53F21" w:rsidP="00F53F21">
      <w:pPr>
        <w:pStyle w:val="NoSpacing"/>
      </w:pPr>
      <w:r w:rsidRPr="00AB37D4">
        <w:rPr>
          <w:b/>
        </w:rPr>
        <w:t>FACTS:</w:t>
      </w:r>
      <w:r>
        <w:t xml:space="preserve"> </w:t>
      </w:r>
    </w:p>
    <w:p w14:paraId="35939041" w14:textId="77777777" w:rsidR="00F53F21" w:rsidRDefault="00F53F21" w:rsidP="00F53F21">
      <w:pPr>
        <w:pStyle w:val="NoSpacing"/>
      </w:pPr>
    </w:p>
    <w:p w14:paraId="7911D83D" w14:textId="77777777" w:rsidR="00F53F21" w:rsidRDefault="00F53F21" w:rsidP="00F53F21">
      <w:pPr>
        <w:pStyle w:val="NoSpacing"/>
      </w:pPr>
      <w:r>
        <w:t>“</w:t>
      </w:r>
      <w:r w:rsidRPr="00902CC0">
        <w:t>The Firefighters, who are eighty-four current and former East Chicago</w:t>
      </w:r>
      <w:r>
        <w:t xml:space="preserve"> </w:t>
      </w:r>
      <w:r w:rsidRPr="00902CC0">
        <w:t>firefighters, moved for class certification on June 23, 2022</w:t>
      </w:r>
      <w:r>
        <w:t xml:space="preserve">…. The trial court, in its July 29 [2022] Order, found that Trial Rule 23(B)(3) applied to the case and certified two damages classes: (1) firefighters employed by East Chicago from December 7, </w:t>
      </w:r>
      <w:proofErr w:type="gramStart"/>
      <w:r>
        <w:t>2019</w:t>
      </w:r>
      <w:proofErr w:type="gramEnd"/>
      <w:r>
        <w:t xml:space="preserve"> to present; and (2) firefighters employed by East Chicago in the year 2021. </w:t>
      </w:r>
    </w:p>
    <w:p w14:paraId="3CA19911" w14:textId="77777777" w:rsidR="00F53F21" w:rsidRDefault="00F53F21" w:rsidP="00F53F21">
      <w:pPr>
        <w:pStyle w:val="NoSpacing"/>
      </w:pPr>
    </w:p>
    <w:p w14:paraId="1E79F33A" w14:textId="77777777" w:rsidR="00F53F21" w:rsidRDefault="00F53F21" w:rsidP="00F53F21">
      <w:pPr>
        <w:pStyle w:val="NoSpacing"/>
      </w:pPr>
      <w:r>
        <w:t>***</w:t>
      </w:r>
    </w:p>
    <w:p w14:paraId="4774A793" w14:textId="77777777" w:rsidR="00F53F21" w:rsidRDefault="00F53F21" w:rsidP="00F53F21">
      <w:pPr>
        <w:pStyle w:val="NoSpacing"/>
      </w:pPr>
    </w:p>
    <w:p w14:paraId="614D9262" w14:textId="77777777" w:rsidR="00F53F21" w:rsidRDefault="00F53F21" w:rsidP="00F53F21">
      <w:pPr>
        <w:pStyle w:val="NoSpacing"/>
      </w:pPr>
      <w:r>
        <w:t>However, the court did not direct that formal notice of the class action and the options available to the purported class be given…. T</w:t>
      </w:r>
      <w:r w:rsidRPr="00952750">
        <w:t>he Firefighters argued against East Chicago’s suggestion of equitable</w:t>
      </w:r>
      <w:r>
        <w:t xml:space="preserve"> </w:t>
      </w:r>
      <w:r w:rsidRPr="00952750">
        <w:t>relief, stating that there was a legal remedy in the form of money damages.</w:t>
      </w:r>
    </w:p>
    <w:p w14:paraId="77F5AD96" w14:textId="77777777" w:rsidR="00F53F21" w:rsidRDefault="00F53F21" w:rsidP="00F53F21">
      <w:pPr>
        <w:pStyle w:val="NoSpacing"/>
      </w:pPr>
    </w:p>
    <w:p w14:paraId="27115A97" w14:textId="77777777" w:rsidR="00F53F21" w:rsidRDefault="00F53F21" w:rsidP="00F53F21">
      <w:pPr>
        <w:pStyle w:val="NoSpacing"/>
      </w:pPr>
      <w:r>
        <w:t>***</w:t>
      </w:r>
    </w:p>
    <w:p w14:paraId="5FCD1983" w14:textId="77777777" w:rsidR="00F53F21" w:rsidRDefault="00F53F21" w:rsidP="00F53F21">
      <w:pPr>
        <w:pStyle w:val="NoSpacing"/>
      </w:pPr>
      <w:r>
        <w:t xml:space="preserve">The court held a hearing to address The Firefighters’ Section 8 Petition , which sought further relief based on the court’s declaratory judgment entered on November 29, </w:t>
      </w:r>
      <w:proofErr w:type="gramStart"/>
      <w:r>
        <w:t>2023</w:t>
      </w:r>
      <w:proofErr w:type="gramEnd"/>
      <w:r>
        <w:t xml:space="preserve"> as to the statutory claim, in the form of compensatory damages, and explicitly stating injunctive relief was not being sought.”</w:t>
      </w:r>
    </w:p>
    <w:p w14:paraId="5A589B71" w14:textId="77777777" w:rsidR="00F53F21" w:rsidRPr="00AB37D4" w:rsidRDefault="00F53F21" w:rsidP="00F53F21">
      <w:pPr>
        <w:pStyle w:val="NoSpacing"/>
        <w:rPr>
          <w:b/>
          <w:bCs/>
        </w:rPr>
      </w:pPr>
    </w:p>
    <w:p w14:paraId="14502AA0" w14:textId="77777777" w:rsidR="00F53F21" w:rsidRDefault="00F53F21" w:rsidP="00F53F21">
      <w:pPr>
        <w:pStyle w:val="NoSpacing"/>
        <w:tabs>
          <w:tab w:val="left" w:pos="2580"/>
        </w:tabs>
      </w:pPr>
      <w:r w:rsidRPr="00AB37D4">
        <w:rPr>
          <w:b/>
        </w:rPr>
        <w:t>COURT HELD:</w:t>
      </w:r>
      <w:r>
        <w:t xml:space="preserve"> </w:t>
      </w:r>
    </w:p>
    <w:p w14:paraId="627FF72B" w14:textId="77777777" w:rsidR="00F53F21" w:rsidRDefault="00F53F21" w:rsidP="00F53F21">
      <w:pPr>
        <w:pStyle w:val="NoSpacing"/>
        <w:tabs>
          <w:tab w:val="left" w:pos="2580"/>
        </w:tabs>
      </w:pPr>
    </w:p>
    <w:p w14:paraId="623A0B8E" w14:textId="77777777" w:rsidR="00F53F21" w:rsidRDefault="00F53F21" w:rsidP="00F53F21">
      <w:pPr>
        <w:pStyle w:val="NoSpacing"/>
        <w:tabs>
          <w:tab w:val="left" w:pos="2580"/>
        </w:tabs>
        <w:rPr>
          <w:b/>
        </w:rPr>
      </w:pPr>
      <w:r>
        <w:t xml:space="preserve">“The Firefighters could not have anticipated that the trial court would proceed to final judgment prior to following the procedure for class actions, taking evidence or swearing in witnesses…. We conclude that the trial court erred as a matter of law by not directing the notice procedure to the members of the class who could be identified through </w:t>
      </w:r>
      <w:r>
        <w:lastRenderedPageBreak/>
        <w:t>reasonable effort. And because The Firefighters could not have anticipated the trial court would enter a final judgment without a trial or evidentiary hearing where witnesses were sworn and evidence was heard, they correctly brought the issue of lack of class notification to the trial court’s attention as soon as it was identifiable. Therefore, we remand this matter to the trial court for further proceedings.”</w:t>
      </w:r>
      <w:r w:rsidRPr="007920FB">
        <w:t xml:space="preserve"> </w:t>
      </w:r>
    </w:p>
    <w:p w14:paraId="67DA25BE" w14:textId="77777777" w:rsidR="00F53F21" w:rsidRDefault="00F53F21" w:rsidP="00F53F21">
      <w:pPr>
        <w:rPr>
          <w:b/>
        </w:rPr>
      </w:pPr>
    </w:p>
    <w:p w14:paraId="36E6DE17" w14:textId="77777777" w:rsidR="00F53F21" w:rsidRPr="00302C9C" w:rsidRDefault="00F53F21" w:rsidP="00F53F21">
      <w:pPr>
        <w:rPr>
          <w:b/>
        </w:rPr>
      </w:pPr>
      <w:r>
        <w:rPr>
          <w:b/>
        </w:rPr>
        <w:t xml:space="preserve">Legal lesson learned: City failed to collectively bargain the change in shift. </w:t>
      </w:r>
    </w:p>
    <w:p w14:paraId="51E2D9B1" w14:textId="77777777" w:rsidR="00F53F21" w:rsidRPr="0097445E" w:rsidRDefault="00F53F21" w:rsidP="00F53F21">
      <w:pPr>
        <w:rPr>
          <w:bCs/>
        </w:rPr>
      </w:pPr>
      <w:r>
        <w:rPr>
          <w:b/>
        </w:rPr>
        <w:tab/>
      </w:r>
      <w:r w:rsidRPr="0097445E">
        <w:t>Note:  See comments of the</w:t>
      </w:r>
      <w:r>
        <w:t xml:space="preserve"> United States Seventh </w:t>
      </w:r>
      <w:r w:rsidRPr="0097445E">
        <w:t>Circuit</w:t>
      </w:r>
      <w:r w:rsidRPr="00320051">
        <w:t xml:space="preserve"> </w:t>
      </w:r>
      <w:r>
        <w:t>on Dec. 21, 2022.</w:t>
      </w:r>
    </w:p>
    <w:p w14:paraId="06C64421" w14:textId="77777777" w:rsidR="00F53F21" w:rsidRDefault="00F53F21" w:rsidP="00F53F21">
      <w:pPr>
        <w:pStyle w:val="NoSpacing"/>
        <w:ind w:left="720"/>
      </w:pPr>
      <w:r>
        <w:t>“</w:t>
      </w:r>
      <w:r w:rsidRPr="0097445E">
        <w:t xml:space="preserve">No other fire department in the country has adopted the 8/24 schedule. Unlike the 24/48 system, where the firefighters are </w:t>
      </w:r>
      <w:proofErr w:type="gramStart"/>
      <w:r w:rsidRPr="0097445E">
        <w:t>on-duty</w:t>
      </w:r>
      <w:proofErr w:type="gramEnd"/>
      <w:r w:rsidRPr="0097445E">
        <w:t xml:space="preserve"> the same hours every day that they work, the 8/24 schedule assigns the firefighters to different shifts every day. A firefighter could, for example, work the day shift on one day, the night </w:t>
      </w:r>
      <w:proofErr w:type="gramStart"/>
      <w:r w:rsidRPr="0097445E">
        <w:t>shift</w:t>
      </w:r>
      <w:proofErr w:type="gramEnd"/>
      <w:r w:rsidRPr="0097445E">
        <w:t xml:space="preserve"> the next day, and the graveyard shift the day after. This rotating schedule wreaked havoc on the personal lives and wellbeing of the firefighters, making it difficult—if not impossible—for the firefighters to manage their children's regular schedules and establish consistent sleep schedules. As a result, the firefighters experienced weight gain, lack of sleep, irritability, and trouble concentrating.</w:t>
      </w:r>
      <w:r>
        <w:t>”</w:t>
      </w:r>
      <w:r w:rsidRPr="000C0354">
        <w:t xml:space="preserve"> </w:t>
      </w:r>
      <w:hyperlink r:id="rId1751" w:history="1">
        <w:r w:rsidRPr="001B1815">
          <w:rPr>
            <w:rStyle w:val="Hyperlink"/>
          </w:rPr>
          <w:t>https://caselaw.findlaw.com/court/us-7th-circuit/2104932.html</w:t>
        </w:r>
      </w:hyperlink>
      <w:r>
        <w:t xml:space="preserve"> </w:t>
      </w:r>
    </w:p>
    <w:p w14:paraId="415D8447" w14:textId="77777777" w:rsidR="00F53F21" w:rsidRDefault="00F53F21" w:rsidP="00CD1F10">
      <w:pPr>
        <w:rPr>
          <w:rFonts w:ascii="Arial Black" w:hAnsi="Arial Black"/>
          <w:b/>
          <w:sz w:val="28"/>
          <w:szCs w:val="28"/>
        </w:rPr>
      </w:pPr>
    </w:p>
    <w:p w14:paraId="49FC2FED" w14:textId="77777777" w:rsidR="00F53F21" w:rsidRDefault="00F53F21" w:rsidP="00CD1F10">
      <w:pPr>
        <w:rPr>
          <w:rFonts w:ascii="Arial Black" w:hAnsi="Arial Black"/>
          <w:b/>
          <w:sz w:val="28"/>
          <w:szCs w:val="28"/>
        </w:rPr>
      </w:pPr>
    </w:p>
    <w:p w14:paraId="4866F1F7" w14:textId="3BA87E25" w:rsidR="0036420D" w:rsidRDefault="0036420D" w:rsidP="00CD1F10">
      <w:pPr>
        <w:rPr>
          <w:rFonts w:ascii="Arial Black" w:hAnsi="Arial Black"/>
          <w:b/>
          <w:sz w:val="28"/>
          <w:szCs w:val="28"/>
        </w:rPr>
      </w:pPr>
      <w:r>
        <w:rPr>
          <w:rFonts w:ascii="Arial Black" w:hAnsi="Arial Black"/>
          <w:b/>
          <w:sz w:val="28"/>
          <w:szCs w:val="28"/>
        </w:rPr>
        <w:t>11-71</w:t>
      </w:r>
    </w:p>
    <w:p w14:paraId="0AB687BE" w14:textId="3584F2E4" w:rsidR="00CD1F10" w:rsidRDefault="00CD1F10" w:rsidP="00CD1F10">
      <w:pPr>
        <w:rPr>
          <w:rFonts w:ascii="Arial Black" w:hAnsi="Arial Black"/>
          <w:b/>
          <w:sz w:val="28"/>
          <w:szCs w:val="28"/>
        </w:rPr>
      </w:pPr>
      <w:r>
        <w:rPr>
          <w:rFonts w:ascii="Arial Black" w:hAnsi="Arial Black"/>
          <w:b/>
          <w:sz w:val="28"/>
          <w:szCs w:val="28"/>
        </w:rPr>
        <w:t>NJ: OVERTIME CLASS ACTION – 24/72 – FF / CAPTAINS / BCs</w:t>
      </w:r>
    </w:p>
    <w:p w14:paraId="1782437E" w14:textId="77777777" w:rsidR="00CD1F10" w:rsidRDefault="00CD1F10" w:rsidP="00CD1F10">
      <w:pPr>
        <w:pStyle w:val="NoSpacing"/>
      </w:pPr>
      <w:r w:rsidRPr="0099625C">
        <w:t xml:space="preserve">On May 26, 2026, in </w:t>
      </w:r>
      <w:r w:rsidRPr="0099625C">
        <w:rPr>
          <w:u w:val="single"/>
        </w:rPr>
        <w:t>Adrian Evans, et al. v. City of Patterson</w:t>
      </w:r>
      <w:r>
        <w:t xml:space="preserve">, the </w:t>
      </w:r>
      <w:r w:rsidRPr="00BF791A">
        <w:t>Superior Court of New Jersey, Appellate Division</w:t>
      </w:r>
      <w:r>
        <w:t xml:space="preserve"> held (3 to 0) that trial court properly granted the firefighters’ motion for class certification concerning alleged violation of state overtime laws.  </w:t>
      </w:r>
      <w:r w:rsidRPr="00033CC1">
        <w:t>Plaintiffs claim they routinely worked over forty hours per week without receiving the statutorily required overtime payment for doing so.</w:t>
      </w:r>
      <w:r>
        <w:t xml:space="preserve"> THE COURT WROTE: “By admitting that over forty fire fighters were employed by the City since 2017, we conclude the amount of forty fire fighters satisfies the numerosity requirement as determined by the court and there was no abuse of discretion…. plaintiffs point to the certifications submitted showing that captains and battalion chiefs regularly performed firefighting duties and were paid full-time uniformed firefighters who were subject to the terms and conditions in the CBA.” </w:t>
      </w:r>
      <w:hyperlink r:id="rId1752" w:history="1">
        <w:r w:rsidRPr="007272C4">
          <w:rPr>
            <w:rStyle w:val="Hyperlink"/>
          </w:rPr>
          <w:t>https://www.njcourts.gov/system/files/court-opinions/2026/a1218-25.pdf</w:t>
        </w:r>
      </w:hyperlink>
      <w:r>
        <w:t xml:space="preserve"> </w:t>
      </w:r>
    </w:p>
    <w:p w14:paraId="7B63E67A" w14:textId="77777777" w:rsidR="00CD1F10" w:rsidRDefault="00CD1F10" w:rsidP="00CD1F10">
      <w:pPr>
        <w:pStyle w:val="NoSpacing"/>
      </w:pPr>
    </w:p>
    <w:p w14:paraId="428DCEE1" w14:textId="77777777" w:rsidR="00CD1F10" w:rsidRDefault="00CD1F10" w:rsidP="00CD1F10">
      <w:pPr>
        <w:pStyle w:val="NoSpacing"/>
      </w:pPr>
      <w:r>
        <w:t xml:space="preserve"> THE COURT HELD:</w:t>
      </w:r>
    </w:p>
    <w:p w14:paraId="5546719E" w14:textId="77777777" w:rsidR="00CD1F10" w:rsidRDefault="00CD1F10" w:rsidP="00CD1F10">
      <w:pPr>
        <w:pStyle w:val="NoSpacing"/>
      </w:pPr>
    </w:p>
    <w:p w14:paraId="0A81991D" w14:textId="77777777" w:rsidR="00CD1F10" w:rsidRDefault="00CD1F10" w:rsidP="00CD1F10">
      <w:pPr>
        <w:pStyle w:val="NoSpacing"/>
        <w:ind w:left="720"/>
      </w:pPr>
      <w:r>
        <w:t>“Under Article XII Section A of the above-referenced CBAs, the work schedule for the firefighters was as follows:</w:t>
      </w:r>
    </w:p>
    <w:p w14:paraId="28DB916D" w14:textId="77777777" w:rsidR="00CD1F10" w:rsidRDefault="00CD1F10" w:rsidP="00CD1F10">
      <w:pPr>
        <w:pStyle w:val="NoSpacing"/>
        <w:ind w:firstLine="720"/>
      </w:pPr>
    </w:p>
    <w:p w14:paraId="0A66DCAA" w14:textId="77777777" w:rsidR="00CD1F10" w:rsidRDefault="00CD1F10" w:rsidP="00CD1F10">
      <w:pPr>
        <w:pStyle w:val="NoSpacing"/>
        <w:ind w:left="720" w:firstLine="720"/>
      </w:pPr>
      <w:r>
        <w:t>For Firefighters not assigned to the Chief's office, the</w:t>
      </w:r>
    </w:p>
    <w:p w14:paraId="272C25F9" w14:textId="77777777" w:rsidR="00CD1F10" w:rsidRDefault="00CD1F10" w:rsidP="00CD1F10">
      <w:pPr>
        <w:pStyle w:val="NoSpacing"/>
        <w:ind w:left="720" w:firstLine="720"/>
      </w:pPr>
      <w:r>
        <w:t>work week schedule shall consist of twenty-four (24)</w:t>
      </w:r>
    </w:p>
    <w:p w14:paraId="63B98E7B" w14:textId="77777777" w:rsidR="00CD1F10" w:rsidRDefault="00CD1F10" w:rsidP="00CD1F10">
      <w:pPr>
        <w:pStyle w:val="NoSpacing"/>
        <w:ind w:left="720" w:firstLine="720"/>
      </w:pPr>
      <w:r>
        <w:t>hours on duty followed by seventy-two (72) hours off</w:t>
      </w:r>
    </w:p>
    <w:p w14:paraId="609BFA65" w14:textId="77777777" w:rsidR="00CD1F10" w:rsidRDefault="00CD1F10" w:rsidP="00CD1F10">
      <w:pPr>
        <w:pStyle w:val="NoSpacing"/>
        <w:ind w:left="720" w:firstLine="720"/>
      </w:pPr>
      <w:r>
        <w:t>duty followed by twenty-four (24) hours on duty</w:t>
      </w:r>
    </w:p>
    <w:p w14:paraId="5AE1DC3E" w14:textId="77777777" w:rsidR="00CD1F10" w:rsidRDefault="00CD1F10" w:rsidP="00CD1F10">
      <w:pPr>
        <w:pStyle w:val="NoSpacing"/>
        <w:ind w:left="720" w:firstLine="720"/>
      </w:pPr>
      <w:r>
        <w:t>followed by seventy-two (72) hours off duty, etc.</w:t>
      </w:r>
    </w:p>
    <w:p w14:paraId="25CB116A" w14:textId="77777777" w:rsidR="00CD1F10" w:rsidRDefault="00CD1F10" w:rsidP="00CD1F10">
      <w:pPr>
        <w:pStyle w:val="NoSpacing"/>
        <w:ind w:left="720" w:firstLine="720"/>
      </w:pPr>
    </w:p>
    <w:p w14:paraId="7A67CFA5" w14:textId="77777777" w:rsidR="00CD1F10" w:rsidRDefault="00CD1F10" w:rsidP="00CD1F10">
      <w:pPr>
        <w:ind w:firstLine="720"/>
      </w:pPr>
      <w:r>
        <w:t>Furthermore, Article XII Section C states:</w:t>
      </w:r>
    </w:p>
    <w:p w14:paraId="7B95D95C" w14:textId="77777777" w:rsidR="00CD1F10" w:rsidRDefault="00CD1F10" w:rsidP="00CD1F10">
      <w:pPr>
        <w:pStyle w:val="NoSpacing"/>
        <w:ind w:left="720" w:firstLine="720"/>
      </w:pPr>
      <w:r>
        <w:t xml:space="preserve">Any member </w:t>
      </w:r>
      <w:proofErr w:type="gramStart"/>
      <w:r>
        <w:t>[o]f this</w:t>
      </w:r>
      <w:proofErr w:type="gramEnd"/>
      <w:r>
        <w:t xml:space="preserve"> bargaining unit assigned to staff</w:t>
      </w:r>
    </w:p>
    <w:p w14:paraId="3EC09855" w14:textId="77777777" w:rsidR="00CD1F10" w:rsidRDefault="00CD1F10" w:rsidP="00CD1F10">
      <w:pPr>
        <w:pStyle w:val="NoSpacing"/>
        <w:ind w:left="720" w:firstLine="720"/>
      </w:pPr>
      <w:r>
        <w:t>positions shall receive the same wages and benefits as</w:t>
      </w:r>
    </w:p>
    <w:p w14:paraId="7DA0BCBB" w14:textId="77777777" w:rsidR="00CD1F10" w:rsidRDefault="00CD1F10" w:rsidP="00CD1F10">
      <w:pPr>
        <w:pStyle w:val="NoSpacing"/>
        <w:ind w:left="720" w:firstLine="720"/>
      </w:pPr>
      <w:r>
        <w:t>those members assigned to the forty-two (42) hour</w:t>
      </w:r>
    </w:p>
    <w:p w14:paraId="1A75598E" w14:textId="77777777" w:rsidR="00CD1F10" w:rsidRDefault="00CD1F10" w:rsidP="00CD1F10">
      <w:pPr>
        <w:pStyle w:val="NoSpacing"/>
        <w:ind w:left="720" w:firstLine="720"/>
      </w:pPr>
      <w:r>
        <w:t>work schedule.</w:t>
      </w:r>
    </w:p>
    <w:p w14:paraId="22F96DBC" w14:textId="77777777" w:rsidR="00CD1F10" w:rsidRDefault="00CD1F10" w:rsidP="00CD1F10">
      <w:pPr>
        <w:pStyle w:val="NoSpacing"/>
        <w:ind w:firstLine="720"/>
      </w:pPr>
    </w:p>
    <w:p w14:paraId="55F39445" w14:textId="77777777" w:rsidR="00CD1F10" w:rsidRDefault="00CD1F10" w:rsidP="00CD1F10">
      <w:pPr>
        <w:pStyle w:val="NoSpacing"/>
        <w:ind w:firstLine="720"/>
      </w:pPr>
      <w:r>
        <w:t>***</w:t>
      </w:r>
    </w:p>
    <w:p w14:paraId="7C8C0623" w14:textId="77777777" w:rsidR="00CD1F10" w:rsidRDefault="00CD1F10" w:rsidP="00CD1F10">
      <w:pPr>
        <w:pStyle w:val="NoSpacing"/>
        <w:ind w:firstLine="720"/>
      </w:pPr>
    </w:p>
    <w:p w14:paraId="22D45C36" w14:textId="77777777" w:rsidR="00CD1F10" w:rsidRDefault="00CD1F10" w:rsidP="00CD1F10">
      <w:pPr>
        <w:pStyle w:val="NoSpacing"/>
        <w:ind w:left="720"/>
      </w:pPr>
      <w:r>
        <w:t>In accordance with the deferential standard that applies, we conclude the trial court did not abuse its discretion in defining the class based on the evidence before it, including the factual bases in plaintiffs' complaint. Defendant's contentions are premature at this stage of the litigation because they venture beyond the factual assertions of the class set forth in the complaint and the submitted evidence, including the factual assertions deemed admitted based on defendant's failure to respond to plaintiffs' Requests for Admissions.”</w:t>
      </w:r>
    </w:p>
    <w:p w14:paraId="47E241E2" w14:textId="77777777" w:rsidR="00CD1F10" w:rsidRDefault="00CD1F10" w:rsidP="00CD1F10">
      <w:pPr>
        <w:pStyle w:val="NoSpacing"/>
        <w:ind w:firstLine="720"/>
      </w:pPr>
    </w:p>
    <w:p w14:paraId="4E0652C4" w14:textId="77777777" w:rsidR="00CD1F10" w:rsidRPr="00EB4967" w:rsidRDefault="00CD1F10" w:rsidP="00CD1F10">
      <w:pPr>
        <w:rPr>
          <w:b/>
          <w:bCs/>
        </w:rPr>
      </w:pPr>
      <w:r>
        <w:rPr>
          <w:b/>
        </w:rPr>
        <w:t xml:space="preserve">Legal lesson learned: Case will now proceed to pre-trial discovery. FLSA class actions can include both firefighters, Captains and other non-exempt officers.   </w:t>
      </w:r>
    </w:p>
    <w:p w14:paraId="34BB263B" w14:textId="77777777" w:rsidR="00CD1F10" w:rsidRDefault="00CD1F10" w:rsidP="00020106">
      <w:pPr>
        <w:rPr>
          <w:rFonts w:ascii="Arial Black" w:hAnsi="Arial Black"/>
          <w:b/>
          <w:sz w:val="24"/>
          <w:szCs w:val="24"/>
        </w:rPr>
      </w:pPr>
    </w:p>
    <w:p w14:paraId="1CD60C7F" w14:textId="77777777" w:rsidR="00CD1F10" w:rsidRDefault="00CD1F10" w:rsidP="001F5522">
      <w:pPr>
        <w:rPr>
          <w:rFonts w:ascii="Arial Black" w:hAnsi="Arial Black"/>
          <w:b/>
          <w:sz w:val="24"/>
          <w:szCs w:val="24"/>
        </w:rPr>
      </w:pPr>
    </w:p>
    <w:p w14:paraId="4E103749" w14:textId="77777777" w:rsidR="00CD1F10" w:rsidRDefault="00CD1F10" w:rsidP="001F5522">
      <w:pPr>
        <w:rPr>
          <w:rFonts w:ascii="Arial Black" w:hAnsi="Arial Black"/>
          <w:b/>
          <w:sz w:val="24"/>
          <w:szCs w:val="24"/>
        </w:rPr>
      </w:pPr>
    </w:p>
    <w:p w14:paraId="48D477CA" w14:textId="77777777" w:rsidR="00CD1F10" w:rsidRDefault="00CD1F10" w:rsidP="001F5522">
      <w:pPr>
        <w:rPr>
          <w:rFonts w:ascii="Arial Black" w:hAnsi="Arial Black"/>
          <w:b/>
          <w:sz w:val="24"/>
          <w:szCs w:val="24"/>
        </w:rPr>
      </w:pPr>
    </w:p>
    <w:p w14:paraId="45B79AE2" w14:textId="5F25D11F" w:rsidR="001F5522" w:rsidRDefault="001F5522" w:rsidP="001F5522">
      <w:pPr>
        <w:rPr>
          <w:rFonts w:ascii="Arial Black" w:hAnsi="Arial Black"/>
          <w:b/>
          <w:sz w:val="24"/>
          <w:szCs w:val="24"/>
        </w:rPr>
      </w:pPr>
      <w:r>
        <w:rPr>
          <w:rFonts w:ascii="Arial Black" w:hAnsi="Arial Black"/>
          <w:b/>
          <w:sz w:val="24"/>
          <w:szCs w:val="24"/>
        </w:rPr>
        <w:t>11-70</w:t>
      </w:r>
    </w:p>
    <w:p w14:paraId="32B19981" w14:textId="77777777" w:rsidR="009C7749" w:rsidRPr="004441F2" w:rsidRDefault="009C7749" w:rsidP="009C7749">
      <w:pPr>
        <w:pStyle w:val="NoSpacing"/>
        <w:rPr>
          <w:rFonts w:ascii="Arial Black" w:hAnsi="Arial Black"/>
          <w:sz w:val="28"/>
          <w:szCs w:val="28"/>
        </w:rPr>
      </w:pPr>
      <w:r>
        <w:rPr>
          <w:rFonts w:ascii="Arial Black" w:hAnsi="Arial Black"/>
          <w:sz w:val="28"/>
          <w:szCs w:val="28"/>
        </w:rPr>
        <w:t xml:space="preserve">CA: FLSA - EMS VARIOUS BONUSES – NO CLASS ACTION </w:t>
      </w:r>
    </w:p>
    <w:p w14:paraId="625AB2C4" w14:textId="77777777" w:rsidR="009C7749" w:rsidRDefault="009C7749" w:rsidP="009C7749">
      <w:pPr>
        <w:pStyle w:val="NoSpacing"/>
      </w:pPr>
    </w:p>
    <w:p w14:paraId="4C88FF4A" w14:textId="77777777" w:rsidR="009C7749" w:rsidRDefault="009C7749" w:rsidP="009C7749">
      <w:pPr>
        <w:pStyle w:val="NoSpacing"/>
      </w:pPr>
      <w:r>
        <w:t xml:space="preserve">On April 21, 2026, in </w:t>
      </w:r>
      <w:r w:rsidRPr="003C18D7">
        <w:rPr>
          <w:u w:val="single"/>
        </w:rPr>
        <w:t xml:space="preserve">Adam N. Martinez v. Sierra </w:t>
      </w:r>
      <w:proofErr w:type="spellStart"/>
      <w:r w:rsidRPr="003C18D7">
        <w:rPr>
          <w:u w:val="single"/>
        </w:rPr>
        <w:t>Lifestar</w:t>
      </w:r>
      <w:proofErr w:type="spellEnd"/>
      <w:r w:rsidRPr="003C18D7">
        <w:rPr>
          <w:u w:val="single"/>
        </w:rPr>
        <w:t>, Inc.</w:t>
      </w:r>
      <w:r>
        <w:t xml:space="preserve">, the </w:t>
      </w:r>
      <w:r w:rsidRPr="003C18D7">
        <w:t>California Court of Appeals, Fifth District</w:t>
      </w:r>
      <w:r>
        <w:t xml:space="preserve"> held (3 to 0) that trial court should reconsider allowing lawsuit to proceed as a class action on behalf of 135 paramedics and EMTs who received various types of bonuses.  Plaintiff, for example, received a $100 bonus given to all EMTs employed during </w:t>
      </w:r>
      <w:r w:rsidRPr="003B0089">
        <w:t>Emergency Medical Services Week</w:t>
      </w:r>
      <w:r>
        <w:t xml:space="preserve"> (3</w:t>
      </w:r>
      <w:r w:rsidRPr="003B0089">
        <w:rPr>
          <w:vertAlign w:val="superscript"/>
        </w:rPr>
        <w:t>rd</w:t>
      </w:r>
      <w:r>
        <w:t xml:space="preserve"> week of </w:t>
      </w:r>
      <w:proofErr w:type="gramStart"/>
      <w:r>
        <w:t>May,</w:t>
      </w:r>
      <w:proofErr w:type="gramEnd"/>
      <w:r>
        <w:t xml:space="preserve"> 2025).  Under state law and the FLSA, only “nondiscretionary” bonuses must be calculated into employee regular rate of pay for overtime pay. </w:t>
      </w:r>
      <w:hyperlink r:id="rId1753" w:history="1">
        <w:r w:rsidRPr="00072B77">
          <w:rPr>
            <w:rStyle w:val="Hyperlink"/>
          </w:rPr>
          <w:t>https://cases.justia.com/california/court-of-appeal/2026-f089576.pdf?ts=1776802194</w:t>
        </w:r>
      </w:hyperlink>
      <w:r>
        <w:t xml:space="preserve"> </w:t>
      </w:r>
    </w:p>
    <w:p w14:paraId="3EB69DEA" w14:textId="77777777" w:rsidR="009C7749" w:rsidRPr="000F317A" w:rsidRDefault="009C7749" w:rsidP="009C7749">
      <w:pPr>
        <w:pStyle w:val="NoSpacing"/>
        <w:rPr>
          <w:b/>
        </w:rPr>
      </w:pPr>
    </w:p>
    <w:p w14:paraId="7ED4E049" w14:textId="77777777" w:rsidR="009C7749" w:rsidRPr="003C18D7" w:rsidRDefault="009C7749" w:rsidP="009C7749">
      <w:pPr>
        <w:pStyle w:val="NoSpacing"/>
        <w:rPr>
          <w:bCs/>
        </w:rPr>
      </w:pPr>
      <w:r>
        <w:t>THE COURT HELD:</w:t>
      </w:r>
    </w:p>
    <w:p w14:paraId="47AD5F42" w14:textId="77777777" w:rsidR="009C7749" w:rsidRDefault="009C7749" w:rsidP="009C7749">
      <w:pPr>
        <w:pStyle w:val="NoSpacing"/>
      </w:pPr>
    </w:p>
    <w:p w14:paraId="612C41DD" w14:textId="77777777" w:rsidR="009C7749" w:rsidRDefault="009C7749" w:rsidP="009C7749">
      <w:pPr>
        <w:pStyle w:val="NoSpacing"/>
        <w:ind w:left="720"/>
      </w:pPr>
      <w:r>
        <w:t>“Accordingly, in general terms, the legal theory for Martinez’s claim is the same as the legal theory for the class members’ claims—that is, the regular rate of pay used to</w:t>
      </w:r>
    </w:p>
    <w:p w14:paraId="79E7A1C9" w14:textId="77777777" w:rsidR="009C7749" w:rsidRDefault="009C7749" w:rsidP="009C7749">
      <w:pPr>
        <w:pStyle w:val="NoSpacing"/>
        <w:ind w:firstLine="720"/>
      </w:pPr>
      <w:proofErr w:type="gramStart"/>
      <w:r>
        <w:t>calculate</w:t>
      </w:r>
      <w:proofErr w:type="gramEnd"/>
      <w:r>
        <w:t xml:space="preserve"> overtime, double time, and premium pay owed to each employee was</w:t>
      </w:r>
    </w:p>
    <w:p w14:paraId="46368871" w14:textId="77777777" w:rsidR="009C7749" w:rsidRDefault="009C7749" w:rsidP="009C7749">
      <w:pPr>
        <w:pStyle w:val="NoSpacing"/>
        <w:ind w:firstLine="720"/>
      </w:pPr>
      <w:r>
        <w:t>understated because the rate of pay did not include one or more nondiscretionary bonuses</w:t>
      </w:r>
    </w:p>
    <w:p w14:paraId="351D2A99" w14:textId="77777777" w:rsidR="009C7749" w:rsidRDefault="009C7749" w:rsidP="009C7749">
      <w:pPr>
        <w:pStyle w:val="NoSpacing"/>
        <w:ind w:firstLine="720"/>
      </w:pPr>
      <w:r>
        <w:t>paid to the employee.</w:t>
      </w:r>
    </w:p>
    <w:p w14:paraId="3AF7F75D" w14:textId="77777777" w:rsidR="009C7749" w:rsidRDefault="009C7749" w:rsidP="009C7749">
      <w:pPr>
        <w:pStyle w:val="NoSpacing"/>
        <w:ind w:firstLine="720"/>
      </w:pPr>
    </w:p>
    <w:p w14:paraId="55D98513" w14:textId="77777777" w:rsidR="009C7749" w:rsidRDefault="009C7749" w:rsidP="009C7749">
      <w:pPr>
        <w:pStyle w:val="NoSpacing"/>
        <w:ind w:firstLine="720"/>
      </w:pPr>
      <w:r>
        <w:t>***</w:t>
      </w:r>
    </w:p>
    <w:p w14:paraId="14D2FF06" w14:textId="77777777" w:rsidR="009C7749" w:rsidRDefault="009C7749" w:rsidP="009C7749">
      <w:pPr>
        <w:pStyle w:val="NoSpacing"/>
        <w:ind w:left="720"/>
      </w:pPr>
      <w:r>
        <w:t xml:space="preserve">Martinez proposed a ‘regular rate </w:t>
      </w:r>
      <w:proofErr w:type="spellStart"/>
      <w:r>
        <w:t>class’</w:t>
      </w:r>
      <w:proofErr w:type="spellEnd"/>
      <w:r>
        <w:t xml:space="preserve"> consisting of current and former employees who were paid overtime and premium pay and also were paid nondiscretionary bonuses described as (1) Bonus, (2) Clerical Bonus, (3) Clerical Training Bonus, (4) EMS Bonus, (5) Lead Bonus, (6) Manager Bonus, (7) Paramedic Bonus, (8) Preceptor EMT Bonus, (9) Preceptor Paramedic Bonus, and (10) Sign-On Bonus.</w:t>
      </w:r>
    </w:p>
    <w:p w14:paraId="7D8E49D7" w14:textId="77777777" w:rsidR="009C7749" w:rsidRDefault="009C7749" w:rsidP="009C7749">
      <w:pPr>
        <w:pStyle w:val="NoSpacing"/>
        <w:ind w:left="720"/>
      </w:pPr>
    </w:p>
    <w:p w14:paraId="56B3B3F1" w14:textId="77777777" w:rsidR="009C7749" w:rsidRDefault="009C7749" w:rsidP="009C7749">
      <w:pPr>
        <w:pStyle w:val="NoSpacing"/>
        <w:ind w:left="720"/>
      </w:pPr>
      <w:r>
        <w:t>***</w:t>
      </w:r>
    </w:p>
    <w:p w14:paraId="470B01B0" w14:textId="77777777" w:rsidR="009C7749" w:rsidRDefault="009C7749" w:rsidP="009C7749">
      <w:pPr>
        <w:pStyle w:val="NoSpacing"/>
        <w:ind w:left="720"/>
      </w:pPr>
    </w:p>
    <w:p w14:paraId="0C4C8E50" w14:textId="77777777" w:rsidR="009C7749" w:rsidRDefault="009C7749" w:rsidP="009C7749">
      <w:pPr>
        <w:pStyle w:val="NoSpacing"/>
        <w:ind w:left="720"/>
      </w:pPr>
      <w:r>
        <w:t xml:space="preserve">We conclude the trial court committed legal error in its analysis of whether a unique defense defeated the typicality of Martinez’s claim. </w:t>
      </w:r>
      <w:proofErr w:type="spellStart"/>
      <w:r>
        <w:t>Lifestar’s</w:t>
      </w:r>
      <w:proofErr w:type="spellEnd"/>
      <w:r>
        <w:t xml:space="preserve"> arguments that</w:t>
      </w:r>
    </w:p>
    <w:p w14:paraId="6FFC5093" w14:textId="77777777" w:rsidR="009C7749" w:rsidRDefault="009C7749" w:rsidP="009C7749">
      <w:pPr>
        <w:pStyle w:val="NoSpacing"/>
        <w:ind w:firstLine="720"/>
      </w:pPr>
      <w:r>
        <w:t>Martinez’s EMS Bonus was properly excluded from his regular rate of pay because it was</w:t>
      </w:r>
    </w:p>
    <w:p w14:paraId="3DAC1C7A" w14:textId="77777777" w:rsidR="009C7749" w:rsidRDefault="009C7749" w:rsidP="009C7749">
      <w:pPr>
        <w:pStyle w:val="NoSpacing"/>
        <w:ind w:firstLine="720"/>
      </w:pPr>
      <w:proofErr w:type="gramStart"/>
      <w:r>
        <w:t>in the nature of a</w:t>
      </w:r>
      <w:proofErr w:type="gramEnd"/>
      <w:r>
        <w:t xml:space="preserve"> gift, was discretionary, or both, are not unique to Martinez. Those</w:t>
      </w:r>
    </w:p>
    <w:p w14:paraId="0ECD3E94" w14:textId="77777777" w:rsidR="009C7749" w:rsidRDefault="009C7749" w:rsidP="009C7749">
      <w:pPr>
        <w:pStyle w:val="NoSpacing"/>
        <w:ind w:firstLine="720"/>
      </w:pPr>
      <w:r>
        <w:t xml:space="preserve">arguments apply to all EMS Bonuses paid to </w:t>
      </w:r>
      <w:proofErr w:type="spellStart"/>
      <w:r>
        <w:t>Lifestar’s</w:t>
      </w:r>
      <w:proofErr w:type="spellEnd"/>
      <w:r>
        <w:t xml:space="preserve"> other employees for National</w:t>
      </w:r>
    </w:p>
    <w:p w14:paraId="72E66777" w14:textId="77777777" w:rsidR="009C7749" w:rsidRDefault="009C7749" w:rsidP="009C7749">
      <w:pPr>
        <w:pStyle w:val="NoSpacing"/>
        <w:ind w:firstLine="720"/>
      </w:pPr>
      <w:r>
        <w:lastRenderedPageBreak/>
        <w:t>Emergency Medical Services Week and, therefore, are not unique to Martinez.”</w:t>
      </w:r>
    </w:p>
    <w:p w14:paraId="0C1C26D0" w14:textId="77777777" w:rsidR="009C7749" w:rsidRDefault="009C7749" w:rsidP="009C7749">
      <w:pPr>
        <w:pStyle w:val="NoSpacing"/>
        <w:ind w:firstLine="720"/>
      </w:pPr>
    </w:p>
    <w:p w14:paraId="2F09A04D" w14:textId="77777777" w:rsidR="009C7749" w:rsidRDefault="009C7749" w:rsidP="009C7749">
      <w:pPr>
        <w:pStyle w:val="NoSpacing"/>
        <w:rPr>
          <w:b/>
          <w:bCs/>
        </w:rPr>
      </w:pPr>
      <w:r>
        <w:rPr>
          <w:b/>
        </w:rPr>
        <w:t xml:space="preserve">Legal lesson learned: The trial court judge must now re-consider plaintiff’s motion for class certification; bonuses that are “discretionary” do not impact regular rate of pay. </w:t>
      </w:r>
    </w:p>
    <w:p w14:paraId="1F57804B" w14:textId="77777777" w:rsidR="009C7749" w:rsidRDefault="009C7749" w:rsidP="009C7749">
      <w:pPr>
        <w:pStyle w:val="NoSpacing"/>
        <w:rPr>
          <w:b/>
          <w:bCs/>
        </w:rPr>
      </w:pPr>
    </w:p>
    <w:p w14:paraId="7AE17A4F" w14:textId="77777777" w:rsidR="009C7749" w:rsidRDefault="009C7749" w:rsidP="009C7749">
      <w:pPr>
        <w:pStyle w:val="NoSpacing"/>
        <w:ind w:left="720"/>
      </w:pPr>
      <w:r w:rsidRPr="00257720">
        <w:t xml:space="preserve">Note: See U.S. Department of Labor, Wage &amp; Hour Division - Fact Sheet #56C: Bonuses under the Fair Labor Standards Act (FLSA); December 2019. </w:t>
      </w:r>
      <w:hyperlink r:id="rId1754" w:history="1">
        <w:r w:rsidRPr="00257720">
          <w:rPr>
            <w:rStyle w:val="Hyperlink"/>
          </w:rPr>
          <w:t>https://www.dol.gov/agencies/whd/fact-sheets/56c-bonuses</w:t>
        </w:r>
      </w:hyperlink>
      <w:r w:rsidRPr="00257720">
        <w:t xml:space="preserve"> </w:t>
      </w:r>
    </w:p>
    <w:p w14:paraId="371E2A53" w14:textId="77777777" w:rsidR="009C7749" w:rsidRDefault="009C7749" w:rsidP="009C7749">
      <w:pPr>
        <w:pStyle w:val="NoSpacing"/>
        <w:ind w:left="720"/>
      </w:pPr>
    </w:p>
    <w:p w14:paraId="1B4A9549" w14:textId="77777777" w:rsidR="009C7749" w:rsidRPr="00BD4117" w:rsidRDefault="009C7749" w:rsidP="009C7749">
      <w:pPr>
        <w:pStyle w:val="NoSpacing"/>
        <w:ind w:left="720"/>
      </w:pPr>
      <w:r>
        <w:t>“</w:t>
      </w:r>
      <w:r w:rsidRPr="00BD4117">
        <w:t xml:space="preserve">Discretionary bonuses are excludable from the regular rate of pay.  A bonus is discretionary only if all the statutory requirements are met: </w:t>
      </w:r>
    </w:p>
    <w:p w14:paraId="174DD0E9" w14:textId="77777777" w:rsidR="009C7749" w:rsidRPr="00BD4117" w:rsidRDefault="009C7749" w:rsidP="009C7749">
      <w:pPr>
        <w:pStyle w:val="NoSpacing"/>
        <w:numPr>
          <w:ilvl w:val="0"/>
          <w:numId w:val="41"/>
        </w:numPr>
      </w:pPr>
      <w:r w:rsidRPr="00BD4117">
        <w:t xml:space="preserve">The employer has the sole discretion, until at or near the end of the period that corresponds to the bonus, to determine whether to pay the bonus; </w:t>
      </w:r>
    </w:p>
    <w:p w14:paraId="1F5447C0" w14:textId="77777777" w:rsidR="009C7749" w:rsidRPr="00BD4117" w:rsidRDefault="009C7749" w:rsidP="009C7749">
      <w:pPr>
        <w:pStyle w:val="NoSpacing"/>
        <w:numPr>
          <w:ilvl w:val="0"/>
          <w:numId w:val="41"/>
        </w:numPr>
      </w:pPr>
      <w:r w:rsidRPr="00BD4117">
        <w:t xml:space="preserve">The employer has the sole discretion, until at or near the end of the period that corresponds to the bonus, to determine the amount of the bonus; and </w:t>
      </w:r>
    </w:p>
    <w:p w14:paraId="7F5140B3" w14:textId="77777777" w:rsidR="009C7749" w:rsidRPr="00BD4117" w:rsidRDefault="009C7749" w:rsidP="009C7749">
      <w:pPr>
        <w:pStyle w:val="NoSpacing"/>
        <w:numPr>
          <w:ilvl w:val="0"/>
          <w:numId w:val="41"/>
        </w:numPr>
      </w:pPr>
      <w:r w:rsidRPr="00BD4117">
        <w:t>The bonus payment is not made according to any prior contract, agreement, or promise causing an employee to expect such payments regularly.</w:t>
      </w:r>
      <w:r>
        <w:t>”</w:t>
      </w:r>
    </w:p>
    <w:p w14:paraId="6B2C1CD1" w14:textId="77777777" w:rsidR="009C7749" w:rsidRPr="00257720" w:rsidRDefault="009C7749" w:rsidP="009C7749">
      <w:pPr>
        <w:pStyle w:val="NoSpacing"/>
        <w:ind w:left="720"/>
      </w:pPr>
    </w:p>
    <w:p w14:paraId="632FDE22" w14:textId="4513BF3C" w:rsidR="001F5522" w:rsidRDefault="001F5522" w:rsidP="001F5522">
      <w:pPr>
        <w:rPr>
          <w:rFonts w:ascii="Arial Black" w:hAnsi="Arial Black"/>
          <w:b/>
          <w:sz w:val="24"/>
          <w:szCs w:val="24"/>
        </w:rPr>
      </w:pPr>
      <w:r>
        <w:rPr>
          <w:rFonts w:ascii="Arial Black" w:hAnsi="Arial Black"/>
          <w:b/>
          <w:sz w:val="24"/>
          <w:szCs w:val="24"/>
        </w:rPr>
        <w:t>11-69</w:t>
      </w:r>
    </w:p>
    <w:p w14:paraId="79984F87" w14:textId="77777777" w:rsidR="001F5522" w:rsidRDefault="001F5522" w:rsidP="001F5522">
      <w:pPr>
        <w:pStyle w:val="NoSpacing"/>
        <w:rPr>
          <w:rFonts w:ascii="Arial Black" w:hAnsi="Arial Black"/>
          <w:b/>
          <w:sz w:val="28"/>
          <w:szCs w:val="28"/>
        </w:rPr>
      </w:pPr>
    </w:p>
    <w:p w14:paraId="52411DBB" w14:textId="2444AC72" w:rsidR="001F5522" w:rsidRDefault="001F5522" w:rsidP="001F5522">
      <w:pPr>
        <w:pStyle w:val="NoSpacing"/>
        <w:rPr>
          <w:rFonts w:ascii="Arial Black" w:hAnsi="Arial Black"/>
          <w:b/>
          <w:sz w:val="28"/>
          <w:szCs w:val="28"/>
        </w:rPr>
      </w:pPr>
      <w:r>
        <w:rPr>
          <w:rFonts w:ascii="Arial Black" w:hAnsi="Arial Black"/>
          <w:b/>
          <w:sz w:val="28"/>
          <w:szCs w:val="28"/>
        </w:rPr>
        <w:t xml:space="preserve">WA: USERRA - 5 YRS RE-EMPLOYMENT / IF RETURNING  </w:t>
      </w:r>
    </w:p>
    <w:p w14:paraId="271E80AD" w14:textId="77777777" w:rsidR="001F5522" w:rsidRDefault="001F5522" w:rsidP="001F5522">
      <w:pPr>
        <w:pStyle w:val="NoSpacing"/>
        <w:rPr>
          <w:bCs/>
        </w:rPr>
      </w:pPr>
    </w:p>
    <w:p w14:paraId="583B3C58" w14:textId="77777777" w:rsidR="001F5522" w:rsidRDefault="001F5522" w:rsidP="001F5522">
      <w:pPr>
        <w:pStyle w:val="NoSpacing"/>
        <w:rPr>
          <w:b/>
        </w:rPr>
      </w:pPr>
      <w:r>
        <w:t xml:space="preserve">On April 17, 2026, in </w:t>
      </w:r>
      <w:r w:rsidRPr="00BF3EFE">
        <w:rPr>
          <w:u w:val="single"/>
        </w:rPr>
        <w:t>Travis Bearden v. City of Ocean Shores</w:t>
      </w:r>
      <w:r>
        <w:t xml:space="preserve">, U.S. District Court Judge Benjamin H. Settle, United States District Court for the Western District of Washington, Tacoma held that the firefighter not entitled to summary judgment since no evidence he ever intends to return to FD. He last worked at FD in August 2020, and under USERRA he has reemployment rights if on leave max of 5 cumulative years.  The firefighter claims he is entitled to 21-day military pay for each fiscal year </w:t>
      </w:r>
      <w:r w:rsidRPr="00CC5A8F">
        <w:t>from 2020 “through the present day.”</w:t>
      </w:r>
      <w:r>
        <w:t xml:space="preserve"> The city </w:t>
      </w:r>
      <w:r w:rsidRPr="00B169AB">
        <w:t xml:space="preserve">disputes that Bearden is entitled to paid military leave for the following fiscal years, 2021-2026, arguing he cannot establish as a matter of law that he remained and remains a </w:t>
      </w:r>
      <w:proofErr w:type="gramStart"/>
      <w:r w:rsidRPr="00B169AB">
        <w:t>City</w:t>
      </w:r>
      <w:proofErr w:type="gramEnd"/>
      <w:r w:rsidRPr="00B169AB">
        <w:t xml:space="preserve"> employee.</w:t>
      </w:r>
      <w:r>
        <w:t xml:space="preserve"> The firefighter claims he is still employed by the </w:t>
      </w:r>
      <w:proofErr w:type="gramStart"/>
      <w:r>
        <w:t>City</w:t>
      </w:r>
      <w:proofErr w:type="gramEnd"/>
      <w:r>
        <w:t>.  Judge Settle doubts this claim - “</w:t>
      </w:r>
      <w:r w:rsidRPr="005D6FAC">
        <w:t xml:space="preserve">the record contains no statement or assertion that he currently </w:t>
      </w:r>
      <w:r w:rsidRPr="005D6FAC">
        <w:rPr>
          <w:i/>
          <w:iCs/>
        </w:rPr>
        <w:t>is</w:t>
      </w:r>
      <w:r w:rsidRPr="005D6FAC">
        <w:t xml:space="preserve"> an employee. Bearden provides no evidence supporting the conclusion that due to his </w:t>
      </w:r>
      <w:proofErr w:type="gramStart"/>
      <w:r w:rsidRPr="005D6FAC">
        <w:t>active duty</w:t>
      </w:r>
      <w:proofErr w:type="gramEnd"/>
      <w:r w:rsidRPr="005D6FAC">
        <w:t xml:space="preserve"> military commitments, he was unable to work for the </w:t>
      </w:r>
      <w:proofErr w:type="gramStart"/>
      <w:r w:rsidRPr="005D6FAC">
        <w:t>City</w:t>
      </w:r>
      <w:proofErr w:type="gramEnd"/>
      <w:r w:rsidRPr="005D6FAC">
        <w:t>, at all, over the past five years</w:t>
      </w:r>
      <w:r>
        <w:t xml:space="preserve">…. </w:t>
      </w:r>
      <w:r w:rsidRPr="005D33E8">
        <w:t>The parties should work in good faith to resolve the damages owed for the conceded period</w:t>
      </w:r>
      <w:r>
        <w:t xml:space="preserve"> (August 20, 2020 to May 2021).”</w:t>
      </w:r>
      <w:hyperlink r:id="rId1755" w:history="1">
        <w:r w:rsidRPr="00A77E89">
          <w:rPr>
            <w:rStyle w:val="Hyperlink"/>
            <w:b/>
          </w:rPr>
          <w:t>https://public.fastcase.com/Jhe1Qn%2BmJndQYQU6z%2FeNm2MBH8jjZypB1KxY%2B3GJWtt3pU7LQ0HG1TD%2BuEAPjcSSqkB%2F2Yca8lDVABp6qaMHSj5ZnKz4h2BUwQ71QZi85m8%3D?utm_medium=email&amp;_hsenc=p2ANqtz-_R5GvzVgy1X05e_vCvuMC9Q5e35U1J1WERhCn0fZcvatolnFVOIwTcjgpntEVG0Zn0QYI5aNrPmOIXD_9eLdzthe8Iwg&amp;_hsmi=226712652&amp;utm_content=226712652&amp;utm_source=hs_email</w:t>
        </w:r>
      </w:hyperlink>
      <w:r>
        <w:rPr>
          <w:b/>
        </w:rPr>
        <w:t xml:space="preserve"> </w:t>
      </w:r>
    </w:p>
    <w:p w14:paraId="7386F174" w14:textId="77777777" w:rsidR="001F5522" w:rsidRDefault="001F5522" w:rsidP="001F5522">
      <w:pPr>
        <w:pStyle w:val="NoSpacing"/>
        <w:rPr>
          <w:b/>
        </w:rPr>
      </w:pPr>
    </w:p>
    <w:p w14:paraId="1AE9E827" w14:textId="77777777" w:rsidR="001F5522" w:rsidRDefault="001F5522" w:rsidP="001F5522">
      <w:pPr>
        <w:pStyle w:val="NoSpacing"/>
      </w:pPr>
      <w:r>
        <w:t>THE COURT HELD:</w:t>
      </w:r>
    </w:p>
    <w:p w14:paraId="1A7BE122" w14:textId="77777777" w:rsidR="001F5522" w:rsidRDefault="001F5522" w:rsidP="001F5522">
      <w:pPr>
        <w:pStyle w:val="NoSpacing"/>
      </w:pPr>
    </w:p>
    <w:p w14:paraId="1D789B56" w14:textId="77777777" w:rsidR="001F5522" w:rsidRDefault="001F5522" w:rsidP="001F5522">
      <w:pPr>
        <w:pStyle w:val="NoSpacing"/>
        <w:ind w:left="720"/>
      </w:pPr>
      <w:r>
        <w:t>“</w:t>
      </w:r>
      <w:r w:rsidRPr="00BC652A">
        <w:t xml:space="preserve">There is no evidence or argument explaining why these military orders precluded Bearden from working as a </w:t>
      </w:r>
      <w:proofErr w:type="gramStart"/>
      <w:r w:rsidRPr="00BC652A">
        <w:t>City</w:t>
      </w:r>
      <w:proofErr w:type="gramEnd"/>
      <w:r w:rsidRPr="00BC652A">
        <w:t xml:space="preserve"> employee during the 140 days that he was not </w:t>
      </w:r>
      <w:r>
        <w:t>‘</w:t>
      </w:r>
      <w:r w:rsidRPr="00BC652A">
        <w:t>on orders</w:t>
      </w:r>
      <w:r>
        <w:t>’</w:t>
      </w:r>
      <w:r w:rsidRPr="00BC652A">
        <w:t xml:space="preserve"> or on active duty in 2022, or at any time after. There is no evidence that Bearden worked for, or even contacted, the </w:t>
      </w:r>
      <w:proofErr w:type="gramStart"/>
      <w:r w:rsidRPr="00BC652A">
        <w:t>City</w:t>
      </w:r>
      <w:proofErr w:type="gramEnd"/>
      <w:r w:rsidRPr="00BC652A">
        <w:t xml:space="preserve"> during this or any other period dating back at least five years.</w:t>
      </w:r>
    </w:p>
    <w:p w14:paraId="36EBFEBF" w14:textId="77777777" w:rsidR="001F5522" w:rsidRDefault="001F5522" w:rsidP="001F5522">
      <w:pPr>
        <w:pStyle w:val="NoSpacing"/>
        <w:ind w:left="720"/>
      </w:pPr>
    </w:p>
    <w:p w14:paraId="1698AA53" w14:textId="77777777" w:rsidR="001F5522" w:rsidRDefault="001F5522" w:rsidP="001F5522">
      <w:pPr>
        <w:pStyle w:val="NoSpacing"/>
        <w:ind w:left="720"/>
        <w:rPr>
          <w:bCs/>
        </w:rPr>
      </w:pPr>
      <w:r>
        <w:t>***</w:t>
      </w:r>
    </w:p>
    <w:p w14:paraId="79CAE9D2" w14:textId="77777777" w:rsidR="001F5522" w:rsidRDefault="001F5522" w:rsidP="001F5522">
      <w:pPr>
        <w:pStyle w:val="NoSpacing"/>
        <w:rPr>
          <w:bCs/>
        </w:rPr>
      </w:pPr>
    </w:p>
    <w:p w14:paraId="78791BEA" w14:textId="77777777" w:rsidR="001F5522" w:rsidRDefault="001F5522" w:rsidP="001F5522">
      <w:pPr>
        <w:pStyle w:val="NoSpacing"/>
        <w:ind w:left="720"/>
      </w:pPr>
      <w:r w:rsidRPr="009315F9">
        <w:t xml:space="preserve">There is no evidence in the record that Bearden has </w:t>
      </w:r>
      <w:r>
        <w:t>‘</w:t>
      </w:r>
      <w:r w:rsidRPr="009315F9">
        <w:t>remained</w:t>
      </w:r>
      <w:r>
        <w:t>’</w:t>
      </w:r>
      <w:r w:rsidRPr="009315F9">
        <w:t xml:space="preserve"> a </w:t>
      </w:r>
      <w:proofErr w:type="gramStart"/>
      <w:r w:rsidRPr="009315F9">
        <w:t>City</w:t>
      </w:r>
      <w:proofErr w:type="gramEnd"/>
      <w:r w:rsidRPr="009315F9">
        <w:t xml:space="preserve"> employee, since at least 2021. Bearden's motion does not even contend that he remained or remains an Ocean Shores employee. Instead, the declaration he filed in support of his motion attests only that he still has 215 days before he reaches the </w:t>
      </w:r>
      <w:r>
        <w:t>‘</w:t>
      </w:r>
      <w:r w:rsidRPr="009315F9">
        <w:t>USERRA 5-year limit, at which time I intend to return to the City of Ocean shores.</w:t>
      </w:r>
      <w:r>
        <w:t>’</w:t>
      </w:r>
      <w:r w:rsidRPr="009315F9">
        <w:t xml:space="preserve"> </w:t>
      </w:r>
      <w:proofErr w:type="spellStart"/>
      <w:r w:rsidRPr="009315F9">
        <w:t>Dkt</w:t>
      </w:r>
      <w:proofErr w:type="spellEnd"/>
      <w:r w:rsidRPr="009315F9">
        <w:t xml:space="preserve">. 61-1 at 3. But the record contains no statement or assertion that he currently </w:t>
      </w:r>
      <w:r w:rsidRPr="009315F9">
        <w:rPr>
          <w:i/>
          <w:iCs/>
        </w:rPr>
        <w:t>is</w:t>
      </w:r>
      <w:r w:rsidRPr="009315F9">
        <w:t xml:space="preserve"> an employee. Bearden provides no evidence supporting the </w:t>
      </w:r>
      <w:r w:rsidRPr="009315F9">
        <w:lastRenderedPageBreak/>
        <w:t xml:space="preserve">conclusion that due to his </w:t>
      </w:r>
      <w:proofErr w:type="gramStart"/>
      <w:r w:rsidRPr="009315F9">
        <w:t>active duty</w:t>
      </w:r>
      <w:proofErr w:type="gramEnd"/>
      <w:r w:rsidRPr="009315F9">
        <w:t xml:space="preserve"> military commitments, he was unable to work for the </w:t>
      </w:r>
      <w:proofErr w:type="gramStart"/>
      <w:r w:rsidRPr="009315F9">
        <w:t>City</w:t>
      </w:r>
      <w:proofErr w:type="gramEnd"/>
      <w:r w:rsidRPr="009315F9">
        <w:t xml:space="preserve">, at all, over the past five </w:t>
      </w:r>
      <w:proofErr w:type="gramStart"/>
      <w:r w:rsidRPr="009315F9">
        <w:t>years.</w:t>
      </w:r>
      <w:r>
        <w:t>”</w:t>
      </w:r>
      <w:proofErr w:type="gramEnd"/>
    </w:p>
    <w:p w14:paraId="5930DF4F" w14:textId="77777777" w:rsidR="001F5522" w:rsidRDefault="001F5522" w:rsidP="001F5522">
      <w:pPr>
        <w:pStyle w:val="NoSpacing"/>
        <w:ind w:left="720"/>
      </w:pPr>
    </w:p>
    <w:p w14:paraId="42F3CAEA" w14:textId="77777777" w:rsidR="001F5522" w:rsidRDefault="001F5522" w:rsidP="001F5522">
      <w:pPr>
        <w:rPr>
          <w:bCs/>
        </w:rPr>
      </w:pPr>
      <w:r>
        <w:rPr>
          <w:b/>
        </w:rPr>
        <w:t xml:space="preserve">Legal lesson learned: </w:t>
      </w:r>
      <w:r w:rsidRPr="008F06C1">
        <w:rPr>
          <w:b/>
        </w:rPr>
        <w:t xml:space="preserve">Under USERRA, employees have reemployment rights if “cumulative length of service” does not exceed five years, but </w:t>
      </w:r>
      <w:r>
        <w:rPr>
          <w:b/>
        </w:rPr>
        <w:t xml:space="preserve">a best practice to </w:t>
      </w:r>
      <w:r w:rsidRPr="008F06C1">
        <w:rPr>
          <w:b/>
        </w:rPr>
        <w:t>let employer know you plan to return.</w:t>
      </w:r>
      <w:r>
        <w:t xml:space="preserve">  </w:t>
      </w:r>
      <w:hyperlink r:id="rId1756" w:anchor="ch1" w:history="1">
        <w:r w:rsidRPr="00A77E89">
          <w:rPr>
            <w:rStyle w:val="Hyperlink"/>
          </w:rPr>
          <w:t>https://www.dol.gov/agencies/vets/programs/userra/USERRA-Pocket-Guide#ch1</w:t>
        </w:r>
      </w:hyperlink>
      <w:r>
        <w:t>.</w:t>
      </w:r>
    </w:p>
    <w:p w14:paraId="1DBC5E75" w14:textId="77777777" w:rsidR="001F5522" w:rsidRDefault="001F5522" w:rsidP="001F5522">
      <w:pPr>
        <w:ind w:left="720"/>
        <w:rPr>
          <w:b/>
        </w:rPr>
      </w:pPr>
      <w:r>
        <w:t xml:space="preserve">Note: </w:t>
      </w:r>
      <w:proofErr w:type="gramStart"/>
      <w:r>
        <w:t xml:space="preserve"> See</w:t>
      </w:r>
      <w:proofErr w:type="gramEnd"/>
      <w:r>
        <w:t xml:space="preserve"> State of Washington Supreme Court June 26, </w:t>
      </w:r>
      <w:proofErr w:type="gramStart"/>
      <w:r>
        <w:t>2025</w:t>
      </w:r>
      <w:proofErr w:type="gramEnd"/>
      <w:r>
        <w:t xml:space="preserve"> opinion that he is entitled to 21 </w:t>
      </w:r>
      <w:proofErr w:type="spellStart"/>
      <w:r>
        <w:t>days</w:t>
      </w:r>
      <w:proofErr w:type="spellEnd"/>
      <w:r>
        <w:t xml:space="preserve"> pay for his third leave.  </w:t>
      </w:r>
      <w:hyperlink r:id="rId1757" w:history="1">
        <w:r w:rsidRPr="00A77E89">
          <w:rPr>
            <w:rStyle w:val="Hyperlink"/>
          </w:rPr>
          <w:t>https://www.courts.wa.gov/opinions/pdf/1031211.pdf</w:t>
        </w:r>
      </w:hyperlink>
      <w:r>
        <w:t xml:space="preserve"> FIRST LEAVE: </w:t>
      </w:r>
      <w:r w:rsidRPr="001A3676">
        <w:t>annual training from October 16 to October 30, 2019</w:t>
      </w:r>
      <w:r>
        <w:t xml:space="preserve">. SECOND LEAVE: </w:t>
      </w:r>
      <w:proofErr w:type="gramStart"/>
      <w:r>
        <w:t>active duty</w:t>
      </w:r>
      <w:proofErr w:type="gramEnd"/>
      <w:r>
        <w:t xml:space="preserve"> </w:t>
      </w:r>
      <w:r w:rsidRPr="0018404C">
        <w:t>next nine months, from November 5, 2019, to August 27, 2020</w:t>
      </w:r>
      <w:r>
        <w:t>.  THIRD LEAVE: while still on the Second Leave, he received orders for 273 more days active duty (A</w:t>
      </w:r>
      <w:r w:rsidRPr="004F5CED">
        <w:t>ugust 2020-May 2021</w:t>
      </w:r>
      <w:r>
        <w:t>.</w:t>
      </w:r>
    </w:p>
    <w:p w14:paraId="1005C4E8" w14:textId="77777777" w:rsidR="009C7749" w:rsidRDefault="009C7749" w:rsidP="00020106">
      <w:pPr>
        <w:rPr>
          <w:rFonts w:ascii="Arial Black" w:hAnsi="Arial Black"/>
          <w:b/>
          <w:sz w:val="24"/>
          <w:szCs w:val="24"/>
        </w:rPr>
      </w:pPr>
    </w:p>
    <w:p w14:paraId="18B1CA22" w14:textId="77777777" w:rsidR="009C7749" w:rsidRDefault="009C7749" w:rsidP="00020106">
      <w:pPr>
        <w:rPr>
          <w:rFonts w:ascii="Arial Black" w:hAnsi="Arial Black"/>
          <w:b/>
          <w:sz w:val="24"/>
          <w:szCs w:val="24"/>
        </w:rPr>
      </w:pPr>
    </w:p>
    <w:p w14:paraId="75083B70" w14:textId="77777777" w:rsidR="009C7749" w:rsidRDefault="009C7749" w:rsidP="00020106">
      <w:pPr>
        <w:rPr>
          <w:rFonts w:ascii="Arial Black" w:hAnsi="Arial Black"/>
          <w:b/>
          <w:sz w:val="24"/>
          <w:szCs w:val="24"/>
        </w:rPr>
      </w:pPr>
    </w:p>
    <w:p w14:paraId="5A601279" w14:textId="77777777" w:rsidR="009C7749" w:rsidRDefault="009C7749" w:rsidP="00020106">
      <w:pPr>
        <w:rPr>
          <w:rFonts w:ascii="Arial Black" w:hAnsi="Arial Black"/>
          <w:b/>
          <w:sz w:val="24"/>
          <w:szCs w:val="24"/>
        </w:rPr>
      </w:pPr>
    </w:p>
    <w:p w14:paraId="2B5D98F0" w14:textId="57DD284E" w:rsidR="00084E13" w:rsidRDefault="00084E13" w:rsidP="00020106">
      <w:pPr>
        <w:rPr>
          <w:rFonts w:ascii="Arial Black" w:hAnsi="Arial Black"/>
          <w:b/>
          <w:sz w:val="24"/>
          <w:szCs w:val="24"/>
        </w:rPr>
      </w:pPr>
      <w:r>
        <w:rPr>
          <w:rFonts w:ascii="Arial Black" w:hAnsi="Arial Black"/>
          <w:b/>
          <w:sz w:val="24"/>
          <w:szCs w:val="24"/>
        </w:rPr>
        <w:t>11-68</w:t>
      </w:r>
    </w:p>
    <w:p w14:paraId="7ABDA794" w14:textId="77777777" w:rsidR="00347723" w:rsidRDefault="00347723" w:rsidP="00347723">
      <w:pPr>
        <w:pStyle w:val="NoSpacing"/>
        <w:rPr>
          <w:rFonts w:ascii="Arial Black" w:hAnsi="Arial Black"/>
          <w:bCs/>
          <w:sz w:val="28"/>
          <w:szCs w:val="28"/>
        </w:rPr>
      </w:pPr>
      <w:r>
        <w:rPr>
          <w:rFonts w:ascii="Arial Black" w:hAnsi="Arial Black"/>
          <w:sz w:val="28"/>
          <w:szCs w:val="28"/>
        </w:rPr>
        <w:t>SC: FLSA – MEDIC / CROSS TRAINED – N</w:t>
      </w:r>
      <w:r>
        <w:rPr>
          <w:rFonts w:ascii="Arial Black" w:hAnsi="Arial Black"/>
          <w:bCs/>
          <w:sz w:val="28"/>
          <w:szCs w:val="28"/>
        </w:rPr>
        <w:t xml:space="preserve">EVER DID </w:t>
      </w:r>
      <w:r>
        <w:rPr>
          <w:rFonts w:ascii="Arial Black" w:hAnsi="Arial Black"/>
          <w:sz w:val="28"/>
          <w:szCs w:val="28"/>
        </w:rPr>
        <w:t>FIRE</w:t>
      </w:r>
      <w:r>
        <w:rPr>
          <w:rFonts w:ascii="Arial Black" w:hAnsi="Arial Black"/>
          <w:bCs/>
          <w:sz w:val="28"/>
          <w:szCs w:val="28"/>
        </w:rPr>
        <w:t xml:space="preserve">S </w:t>
      </w:r>
    </w:p>
    <w:p w14:paraId="58D2E422" w14:textId="77777777" w:rsidR="00347723" w:rsidRDefault="00347723" w:rsidP="00347723">
      <w:pPr>
        <w:pStyle w:val="NoSpacing"/>
        <w:rPr>
          <w:rFonts w:ascii="Arial Black" w:hAnsi="Arial Black"/>
          <w:bCs/>
          <w:sz w:val="28"/>
          <w:szCs w:val="28"/>
        </w:rPr>
      </w:pPr>
    </w:p>
    <w:p w14:paraId="2D86C07F" w14:textId="77777777" w:rsidR="00347723" w:rsidRDefault="00347723" w:rsidP="00347723">
      <w:pPr>
        <w:pStyle w:val="NoSpacing"/>
        <w:rPr>
          <w:bCs/>
        </w:rPr>
      </w:pPr>
      <w:r>
        <w:t xml:space="preserve">On March 19, 2026, in </w:t>
      </w:r>
      <w:r w:rsidRPr="008C66C0">
        <w:rPr>
          <w:u w:val="single"/>
        </w:rPr>
        <w:t>Abbey Beemer, individually and on behalf of similarly situated v. Clarendon County</w:t>
      </w:r>
      <w:r>
        <w:t xml:space="preserve">, U.S. District Court Judge David C. Norton, United States District Court for District of South Carolina, Charleston Division, denied the County’s motion for summary judgment.  </w:t>
      </w:r>
      <w:r w:rsidRPr="00DE325A">
        <w:t>At issue is whether Beemer had the legal authority and responsibility to engage in fire suppression</w:t>
      </w:r>
      <w:r>
        <w:t xml:space="preserve">; while plaintiff is classified as a “Paramedic / FF” and trained in fire suppression, she has never been engaged in fire suppression on an emergency run.  Lawsuit will therefore need to be tried. </w:t>
      </w:r>
      <w:hyperlink r:id="rId1758" w:history="1">
        <w:r w:rsidRPr="001F11D0">
          <w:rPr>
            <w:rStyle w:val="Hyperlink"/>
          </w:rPr>
          <w:t>https://public.fastcase.com/Jhe1Qn%2BmJndQYQU6z%2FeNm%2BPcmzEUVte9Pmbex8cM1KJhQVcQIKDJJA5UPuX3qlPH?utm_medium=email&amp;_hsenc=p2ANqtz-9n4bTEROfuVqHNVuq5wnBdHGUWCVVD7aN6VD7jCXCE8dULoI4uW2020fH1jBBreK2QqG5jL3hff-Wxt2LEWhDNRofrqw&amp;_hsmi=226712652&amp;utm_content=226712652&amp;utm_source=hs_email</w:t>
        </w:r>
      </w:hyperlink>
      <w:r>
        <w:t xml:space="preserve"> </w:t>
      </w:r>
      <w:r w:rsidRPr="00DE325A">
        <w:t xml:space="preserve"> </w:t>
      </w:r>
    </w:p>
    <w:p w14:paraId="2593A14E" w14:textId="77777777" w:rsidR="00347723" w:rsidRDefault="00347723" w:rsidP="00347723">
      <w:pPr>
        <w:pStyle w:val="NoSpacing"/>
        <w:rPr>
          <w:bCs/>
        </w:rPr>
      </w:pPr>
    </w:p>
    <w:p w14:paraId="2B9FE6A8" w14:textId="77777777" w:rsidR="00347723" w:rsidRDefault="00347723" w:rsidP="00347723">
      <w:pPr>
        <w:pStyle w:val="NoSpacing"/>
      </w:pPr>
      <w:r>
        <w:t>THE COURT HELD: ”</w:t>
      </w:r>
      <w:r w:rsidRPr="00B0183E">
        <w:t xml:space="preserve">Over the course of her employment with the County's Fire Rescue Department, Beemer was a part-time </w:t>
      </w:r>
      <w:r>
        <w:t>‘</w:t>
      </w:r>
      <w:r w:rsidRPr="00B0183E">
        <w:t>paramedic</w:t>
      </w:r>
      <w:r>
        <w:t>’</w:t>
      </w:r>
      <w:r w:rsidRPr="00B0183E">
        <w:t xml:space="preserve"> and then promoted to a full-time </w:t>
      </w:r>
      <w:r>
        <w:t>‘</w:t>
      </w:r>
      <w:r w:rsidRPr="00B0183E">
        <w:t>Paramedic/FF</w:t>
      </w:r>
      <w:r>
        <w:t xml:space="preserve">’…. </w:t>
      </w:r>
      <w:r w:rsidRPr="00B0183E">
        <w:t>The County required her to receive basic firefighter certifications from the South Carolina Fire Academy</w:t>
      </w:r>
      <w:r>
        <w:t xml:space="preserve"> … </w:t>
      </w:r>
      <w:r w:rsidRPr="00B0183E">
        <w:t>and participate in regular firefighter training exercises</w:t>
      </w:r>
      <w:r>
        <w:t xml:space="preserve">…. </w:t>
      </w:r>
      <w:r w:rsidRPr="00B0183E">
        <w:t xml:space="preserve">The ambulance to which she was assigned was equipped with firefighter </w:t>
      </w:r>
      <w:r>
        <w:t>‘</w:t>
      </w:r>
      <w:r w:rsidRPr="00B0183E">
        <w:t>turn out</w:t>
      </w:r>
      <w:r>
        <w:t>’</w:t>
      </w:r>
      <w:r w:rsidRPr="00B0183E">
        <w:t xml:space="preserve"> gear (protective, heat-resistant boots, helmet, and jacket), breathing apparatuses, and extrication equipment issued to her by the County</w:t>
      </w:r>
      <w:r>
        <w:t xml:space="preserve">…. </w:t>
      </w:r>
      <w:r w:rsidRPr="00B0183E">
        <w:t>Beemer has been routinely dispatched to fire emergencies alongside firefighter units</w:t>
      </w:r>
      <w:r>
        <w:t xml:space="preserve">…. </w:t>
      </w:r>
      <w:r w:rsidRPr="00B0183E">
        <w:t xml:space="preserve">However, Beemer has not engaged a live fire, and she believed that firefighting duties were not within the responsibilities of her employment. </w:t>
      </w:r>
    </w:p>
    <w:p w14:paraId="30609326" w14:textId="77777777" w:rsidR="00347723" w:rsidRDefault="00347723" w:rsidP="00347723">
      <w:pPr>
        <w:pStyle w:val="NoSpacing"/>
      </w:pPr>
    </w:p>
    <w:p w14:paraId="03F9E3A9" w14:textId="77777777" w:rsidR="00347723" w:rsidRDefault="00347723" w:rsidP="00347723">
      <w:pPr>
        <w:pStyle w:val="NoSpacing"/>
      </w:pPr>
      <w:r>
        <w:t>***</w:t>
      </w:r>
    </w:p>
    <w:p w14:paraId="249F8F7B" w14:textId="77777777" w:rsidR="00347723" w:rsidRPr="00246642" w:rsidRDefault="00347723" w:rsidP="00347723">
      <w:pPr>
        <w:pStyle w:val="NoSpacing"/>
      </w:pPr>
      <w:r w:rsidRPr="00246642">
        <w:t xml:space="preserve">There is a genuine issue of fact as to whether Beemer has a </w:t>
      </w:r>
      <w:r>
        <w:t>‘</w:t>
      </w:r>
      <w:r w:rsidRPr="00246642">
        <w:t>responsibility to engage in fire suppression</w:t>
      </w:r>
      <w:r>
        <w:t>’</w:t>
      </w:r>
      <w:r w:rsidRPr="00246642">
        <w:t xml:space="preserve"> under both the </w:t>
      </w:r>
      <w:r>
        <w:t>‘</w:t>
      </w:r>
      <w:r w:rsidRPr="00246642">
        <w:t>some real obligation</w:t>
      </w:r>
      <w:proofErr w:type="gramStart"/>
      <w:r>
        <w:t>’</w:t>
      </w:r>
      <w:r w:rsidRPr="00246642">
        <w:t xml:space="preserve"> the </w:t>
      </w:r>
      <w:r>
        <w:t>‘</w:t>
      </w:r>
      <w:proofErr w:type="gramEnd"/>
      <w:r w:rsidRPr="00246642">
        <w:t>forward-looking</w:t>
      </w:r>
      <w:r>
        <w:t>’</w:t>
      </w:r>
      <w:r w:rsidRPr="00246642">
        <w:t xml:space="preserve"> standards. There are not sufficient facts in the record to determine whether the County </w:t>
      </w:r>
      <w:proofErr w:type="gramStart"/>
      <w:r w:rsidRPr="00246642">
        <w:t>actually expected</w:t>
      </w:r>
      <w:proofErr w:type="gramEnd"/>
      <w:r w:rsidRPr="00246642">
        <w:t xml:space="preserve"> Beemer, as part of her employment, to perform the firefighting duties for which she was trained. </w:t>
      </w:r>
      <w:r w:rsidRPr="00246642">
        <w:rPr>
          <w:i/>
          <w:iCs/>
        </w:rPr>
        <w:t>Compare Cleveland</w:t>
      </w:r>
      <w:r w:rsidRPr="00246642">
        <w:t xml:space="preserve">, 420 F.3d at 984 (finding </w:t>
      </w:r>
      <w:r>
        <w:t>‘</w:t>
      </w:r>
      <w:r w:rsidRPr="00246642">
        <w:t>dual function paramedics</w:t>
      </w:r>
      <w:r>
        <w:t>’</w:t>
      </w:r>
      <w:r w:rsidRPr="00246642">
        <w:t xml:space="preserve"> who were fully trained in firefighting had no real obligation to engage in fire suppression because they were not regularly dispatched to fire scenes, did not carry firefighting equipment, and were expected to perform only medical services), </w:t>
      </w:r>
      <w:r w:rsidRPr="00246642">
        <w:rPr>
          <w:i/>
          <w:iCs/>
        </w:rPr>
        <w:t>with Huff</w:t>
      </w:r>
      <w:r w:rsidRPr="00246642">
        <w:t xml:space="preserve">, 516 F.3d at 1281 (finding </w:t>
      </w:r>
      <w:r>
        <w:t>‘</w:t>
      </w:r>
      <w:r w:rsidRPr="00246642">
        <w:t xml:space="preserve">cross-trained </w:t>
      </w:r>
      <w:r>
        <w:t>f</w:t>
      </w:r>
      <w:r w:rsidRPr="00246642">
        <w:t>irefighter/paramedics</w:t>
      </w:r>
      <w:r>
        <w:t>’</w:t>
      </w:r>
      <w:r w:rsidRPr="00246642">
        <w:t xml:space="preserve"> had forward-looking responsibility to engage in fire suppression because they </w:t>
      </w:r>
      <w:r w:rsidRPr="00246642">
        <w:lastRenderedPageBreak/>
        <w:t xml:space="preserve">possessed advanced training, were regularly dispatched to fire emergencies, and could be disciplined if they refused to do so). Beemer's job title is </w:t>
      </w:r>
      <w:r>
        <w:t>‘</w:t>
      </w:r>
      <w:r w:rsidRPr="00246642">
        <w:t>Paramedic/FF</w:t>
      </w:r>
      <w:proofErr w:type="gramStart"/>
      <w:r>
        <w:t>’</w:t>
      </w:r>
      <w:proofErr w:type="gramEnd"/>
      <w:r w:rsidRPr="00246642">
        <w:t xml:space="preserve"> and she is frequently dispatched to fire emergencies, but her job description does not explicitly detail whether she is responsible for fire suppression. </w:t>
      </w:r>
      <w:r w:rsidRPr="00246642">
        <w:rPr>
          <w:i/>
          <w:iCs/>
        </w:rPr>
        <w:t>See Lawrence</w:t>
      </w:r>
      <w:r w:rsidRPr="00246642">
        <w:t xml:space="preserve">, 527 F.3d at 305-06 (finding </w:t>
      </w:r>
      <w:r>
        <w:t>‘</w:t>
      </w:r>
      <w:r w:rsidRPr="00246642">
        <w:t>fire service paramedics</w:t>
      </w:r>
      <w:r>
        <w:t>’</w:t>
      </w:r>
      <w:r w:rsidRPr="00246642">
        <w:t xml:space="preserve"> lacked responsibility under Section 203(y) where their job description did </w:t>
      </w:r>
    </w:p>
    <w:p w14:paraId="1850274B" w14:textId="77777777" w:rsidR="00347723" w:rsidRDefault="00347723" w:rsidP="00347723">
      <w:pPr>
        <w:pStyle w:val="NoSpacing"/>
      </w:pPr>
      <w:r w:rsidRPr="00246642">
        <w:t xml:space="preserve">not </w:t>
      </w:r>
      <w:r>
        <w:t>‘</w:t>
      </w:r>
      <w:r w:rsidRPr="00246642">
        <w:t>refer[ ] to any role with respect to fire protection or fire suppression.</w:t>
      </w:r>
      <w:r>
        <w:t>’</w:t>
      </w:r>
      <w:r w:rsidRPr="00246642">
        <w:t>).</w:t>
      </w:r>
      <w:r>
        <w:t>”</w:t>
      </w:r>
    </w:p>
    <w:p w14:paraId="56003845" w14:textId="77777777" w:rsidR="00347723" w:rsidRDefault="00347723" w:rsidP="00347723">
      <w:pPr>
        <w:pStyle w:val="NoSpacing"/>
      </w:pPr>
    </w:p>
    <w:p w14:paraId="617B889B" w14:textId="77777777" w:rsidR="00347723" w:rsidRPr="00246642" w:rsidRDefault="00347723" w:rsidP="00347723">
      <w:pPr>
        <w:pStyle w:val="NoSpacing"/>
        <w:rPr>
          <w:b/>
          <w:bCs/>
        </w:rPr>
      </w:pPr>
      <w:r w:rsidRPr="006230AC">
        <w:rPr>
          <w:b/>
        </w:rPr>
        <w:t xml:space="preserve">Legal lesson learned: </w:t>
      </w:r>
      <w:r>
        <w:rPr>
          <w:b/>
        </w:rPr>
        <w:t xml:space="preserve">To avoid similar litigation, job descriptions should clearly include EMS role in fire suppression; also consider having EMS on occasion participate in fire suppression (at least overhaul while wearing SCBA). </w:t>
      </w:r>
    </w:p>
    <w:p w14:paraId="5B347E78" w14:textId="77777777" w:rsidR="00347723" w:rsidRPr="00B0183E" w:rsidRDefault="00347723" w:rsidP="00347723">
      <w:pPr>
        <w:pStyle w:val="NoSpacing"/>
      </w:pPr>
    </w:p>
    <w:p w14:paraId="480CA4E9" w14:textId="77777777" w:rsidR="00084E13" w:rsidRDefault="00084E13" w:rsidP="00020106">
      <w:pPr>
        <w:rPr>
          <w:rFonts w:ascii="Arial Black" w:hAnsi="Arial Black"/>
          <w:b/>
          <w:sz w:val="24"/>
          <w:szCs w:val="24"/>
        </w:rPr>
      </w:pPr>
    </w:p>
    <w:p w14:paraId="43FDC4F8" w14:textId="77777777" w:rsidR="00084E13" w:rsidRDefault="00084E13" w:rsidP="00020106">
      <w:pPr>
        <w:rPr>
          <w:rFonts w:ascii="Arial Black" w:hAnsi="Arial Black"/>
          <w:b/>
          <w:sz w:val="24"/>
          <w:szCs w:val="24"/>
        </w:rPr>
      </w:pPr>
    </w:p>
    <w:p w14:paraId="62B1E71F" w14:textId="77777777" w:rsidR="00084E13" w:rsidRDefault="00084E13" w:rsidP="00020106">
      <w:pPr>
        <w:rPr>
          <w:rFonts w:ascii="Arial Black" w:hAnsi="Arial Black"/>
          <w:b/>
          <w:sz w:val="24"/>
          <w:szCs w:val="24"/>
        </w:rPr>
      </w:pPr>
    </w:p>
    <w:p w14:paraId="2DB092AC" w14:textId="797A44E4" w:rsidR="0077176C" w:rsidRDefault="0077176C" w:rsidP="00020106">
      <w:pPr>
        <w:rPr>
          <w:rFonts w:ascii="Arial Black" w:hAnsi="Arial Black"/>
          <w:b/>
          <w:sz w:val="24"/>
          <w:szCs w:val="24"/>
        </w:rPr>
      </w:pPr>
      <w:r>
        <w:rPr>
          <w:rFonts w:ascii="Arial Black" w:hAnsi="Arial Black"/>
          <w:b/>
          <w:sz w:val="24"/>
          <w:szCs w:val="24"/>
        </w:rPr>
        <w:t>11-67</w:t>
      </w:r>
    </w:p>
    <w:p w14:paraId="13510ED9" w14:textId="77777777" w:rsidR="0077176C" w:rsidRDefault="0077176C" w:rsidP="0077176C">
      <w:pPr>
        <w:pStyle w:val="NoSpacing"/>
        <w:rPr>
          <w:rFonts w:ascii="Arial Black" w:hAnsi="Arial Black"/>
          <w:b/>
          <w:sz w:val="28"/>
          <w:szCs w:val="28"/>
        </w:rPr>
      </w:pPr>
      <w:r>
        <w:rPr>
          <w:rFonts w:ascii="Arial Black" w:hAnsi="Arial Black"/>
          <w:b/>
          <w:sz w:val="28"/>
          <w:szCs w:val="28"/>
        </w:rPr>
        <w:t>GA: DEATH INVEST. - NOT EXEMPT AS “ADMINISTRATIVE”</w:t>
      </w:r>
    </w:p>
    <w:p w14:paraId="27B35C19" w14:textId="77777777" w:rsidR="0077176C" w:rsidRDefault="0077176C" w:rsidP="0077176C">
      <w:pPr>
        <w:pStyle w:val="NoSpacing"/>
        <w:rPr>
          <w:rFonts w:ascii="Arial Black" w:hAnsi="Arial Black"/>
          <w:b/>
          <w:sz w:val="28"/>
          <w:szCs w:val="28"/>
        </w:rPr>
      </w:pPr>
    </w:p>
    <w:p w14:paraId="26E0E694" w14:textId="77777777" w:rsidR="0077176C" w:rsidRPr="006D4C67" w:rsidRDefault="0077176C" w:rsidP="0077176C">
      <w:pPr>
        <w:pStyle w:val="NoSpacing"/>
        <w:rPr>
          <w:bCs/>
        </w:rPr>
      </w:pPr>
      <w:r w:rsidRPr="006D4C67">
        <w:t xml:space="preserve">On February 10, 2026, in </w:t>
      </w:r>
      <w:r w:rsidRPr="006D4C67">
        <w:rPr>
          <w:u w:val="single"/>
        </w:rPr>
        <w:t>Robert Bumgardne, et al. v. Forensic Pathology Services, P.C</w:t>
      </w:r>
      <w:r>
        <w:rPr>
          <w:u w:val="single"/>
        </w:rPr>
        <w:t xml:space="preserve">, and </w:t>
      </w:r>
      <w:r w:rsidRPr="006D4C67">
        <w:rPr>
          <w:u w:val="single"/>
        </w:rPr>
        <w:t>Carol A. Terry, M.D</w:t>
      </w:r>
      <w:r w:rsidRPr="006D4C67">
        <w:t>., the United States Court of Appeals, Eleventh Circuit</w:t>
      </w:r>
      <w:r>
        <w:t xml:space="preserve"> (Atlanta) held (3 to 0; unpublished decision) that six former forensic death investigators at FPS were entitled to overtime; they did not meet the “administrative” employee exemption. </w:t>
      </w:r>
      <w:hyperlink r:id="rId1759" w:history="1">
        <w:r w:rsidRPr="00E5297F">
          <w:rPr>
            <w:rStyle w:val="Hyperlink"/>
          </w:rPr>
          <w:t>https://cases.justia.com/federal/appellate-courts/ca11/25-10673/25-10673-2026-02-10.pdf?ts=1770737597</w:t>
        </w:r>
      </w:hyperlink>
      <w:r>
        <w:t xml:space="preserve"> </w:t>
      </w:r>
    </w:p>
    <w:p w14:paraId="1CFA77C9" w14:textId="77777777" w:rsidR="0077176C" w:rsidRPr="006D4C67" w:rsidRDefault="0077176C" w:rsidP="0077176C">
      <w:pPr>
        <w:pStyle w:val="NoSpacing"/>
        <w:rPr>
          <w:bCs/>
        </w:rPr>
      </w:pPr>
    </w:p>
    <w:p w14:paraId="4FD22074" w14:textId="77777777" w:rsidR="0077176C" w:rsidRDefault="0077176C" w:rsidP="0077176C">
      <w:pPr>
        <w:pStyle w:val="NoSpacing"/>
        <w:rPr>
          <w:bCs/>
        </w:rPr>
      </w:pPr>
      <w:r w:rsidRPr="00046CDA">
        <w:t xml:space="preserve">THE COURT HELD: </w:t>
      </w:r>
      <w:r>
        <w:t xml:space="preserve"> “</w:t>
      </w:r>
      <w:r w:rsidRPr="00C52740">
        <w:t xml:space="preserve">Under the Fair Labor Standards Act (“FLSA”), workers in </w:t>
      </w:r>
    </w:p>
    <w:p w14:paraId="4B33D217" w14:textId="77777777" w:rsidR="0077176C" w:rsidRPr="00C52740" w:rsidRDefault="0077176C" w:rsidP="0077176C">
      <w:pPr>
        <w:pStyle w:val="NoSpacing"/>
        <w:rPr>
          <w:bCs/>
        </w:rPr>
      </w:pPr>
      <w:r w:rsidRPr="00C52740">
        <w:t>ad-</w:t>
      </w:r>
    </w:p>
    <w:p w14:paraId="1E0F8EEE" w14:textId="77777777" w:rsidR="0077176C" w:rsidRPr="00D1403A" w:rsidRDefault="0077176C" w:rsidP="0077176C">
      <w:pPr>
        <w:pStyle w:val="NoSpacing"/>
        <w:rPr>
          <w:bCs/>
        </w:rPr>
      </w:pPr>
      <w:r w:rsidRPr="00C52740">
        <w:t xml:space="preserve">ministrative roles like </w:t>
      </w:r>
      <w:r>
        <w:t>‘</w:t>
      </w:r>
      <w:r w:rsidRPr="00C52740">
        <w:t>legal and regulatory compliance</w:t>
      </w:r>
      <w:r>
        <w:t>’</w:t>
      </w:r>
      <w:r w:rsidRPr="00C52740">
        <w:t xml:space="preserve"> aren’t entitled to extra pay for overtime work. Defendants-Appellees Forensic Pathology Services, P.C. (</w:t>
      </w:r>
      <w:r>
        <w:t>‘</w:t>
      </w:r>
      <w:r w:rsidRPr="00C52740">
        <w:t>FPS</w:t>
      </w:r>
      <w:r>
        <w:t>’</w:t>
      </w:r>
      <w:r w:rsidRPr="00C52740">
        <w:t>), and its CEO, Dr. Carol A.</w:t>
      </w:r>
      <w:r>
        <w:t xml:space="preserve"> </w:t>
      </w:r>
      <w:r w:rsidRPr="00C52740">
        <w:t>Terry, contend that FPS’s forensic death investigators, who investigate unexpected or non-natural deaths in Gwinnett County,</w:t>
      </w:r>
      <w:r>
        <w:t xml:space="preserve"> </w:t>
      </w:r>
      <w:r w:rsidRPr="00C52740">
        <w:t>Georgia, fit this category</w:t>
      </w:r>
      <w:r>
        <w:t xml:space="preserve">…. </w:t>
      </w:r>
      <w:r w:rsidRPr="00563369">
        <w:t>Defendants are mistaken</w:t>
      </w:r>
      <w:r>
        <w:t xml:space="preserve">…. </w:t>
      </w:r>
      <w:r w:rsidRPr="00D1403A">
        <w:t>Plaintiffs-Appellants, six former forensic death investigators</w:t>
      </w:r>
      <w:r>
        <w:t xml:space="preserve"> </w:t>
      </w:r>
      <w:r w:rsidRPr="00D1403A">
        <w:t>at FPS</w:t>
      </w:r>
      <w:r>
        <w:t xml:space="preserve"> …</w:t>
      </w:r>
      <w:r w:rsidRPr="00D1403A">
        <w:t xml:space="preserve"> helped produce FPS’s core </w:t>
      </w:r>
      <w:r>
        <w:t>‘</w:t>
      </w:r>
      <w:r w:rsidRPr="00D1403A">
        <w:t>product</w:t>
      </w:r>
      <w:r>
        <w:t>’</w:t>
      </w:r>
      <w:r w:rsidRPr="00D1403A">
        <w:t xml:space="preserve"> of death-investigation services. FPS and</w:t>
      </w:r>
      <w:r>
        <w:t xml:space="preserve"> </w:t>
      </w:r>
      <w:r w:rsidRPr="00D1403A">
        <w:t>Dr. Terry provide no authority to support their view that if an employee adheres to state law while producing their employer’s core</w:t>
      </w:r>
    </w:p>
    <w:p w14:paraId="55EAFA61" w14:textId="77777777" w:rsidR="0077176C" w:rsidRDefault="0077176C" w:rsidP="0077176C">
      <w:pPr>
        <w:pStyle w:val="NoSpacing"/>
        <w:rPr>
          <w:bCs/>
        </w:rPr>
      </w:pPr>
      <w:r w:rsidRPr="00D1403A">
        <w:t xml:space="preserve">product, that somehow makes their work </w:t>
      </w:r>
      <w:r>
        <w:t>‘</w:t>
      </w:r>
      <w:r w:rsidRPr="00D1403A">
        <w:t>administrative</w:t>
      </w:r>
      <w:r>
        <w:t>’</w:t>
      </w:r>
      <w:r w:rsidRPr="00D1403A">
        <w:t xml:space="preserve"> within</w:t>
      </w:r>
      <w:r>
        <w:t xml:space="preserve"> </w:t>
      </w:r>
      <w:r w:rsidRPr="00D1403A">
        <w:t>the meaning of the FLSA. And if that were so, huge swaths of the</w:t>
      </w:r>
      <w:r>
        <w:t xml:space="preserve"> </w:t>
      </w:r>
      <w:r w:rsidRPr="00D1403A">
        <w:t xml:space="preserve">American workforce would be subject to the FLSA’s </w:t>
      </w:r>
      <w:r>
        <w:t>‘</w:t>
      </w:r>
      <w:r w:rsidRPr="00D1403A">
        <w:t>administrative</w:t>
      </w:r>
      <w:r>
        <w:t>’</w:t>
      </w:r>
      <w:r w:rsidRPr="00D1403A">
        <w:t xml:space="preserve"> exemption, meaning the FLSA’s wage protections would not</w:t>
      </w:r>
      <w:r>
        <w:t xml:space="preserve"> </w:t>
      </w:r>
      <w:r w:rsidRPr="00D1403A">
        <w:t>apply to them.</w:t>
      </w:r>
      <w:r>
        <w:t>”</w:t>
      </w:r>
    </w:p>
    <w:p w14:paraId="329444BD" w14:textId="77777777" w:rsidR="0077176C" w:rsidRDefault="0077176C" w:rsidP="0077176C">
      <w:pPr>
        <w:pStyle w:val="NoSpacing"/>
        <w:rPr>
          <w:bCs/>
        </w:rPr>
      </w:pPr>
    </w:p>
    <w:p w14:paraId="7D1DD6E8" w14:textId="77777777" w:rsidR="0077176C" w:rsidRPr="000A038E" w:rsidRDefault="0077176C" w:rsidP="0077176C">
      <w:pPr>
        <w:pStyle w:val="NoSpacing"/>
        <w:rPr>
          <w:b/>
        </w:rPr>
      </w:pPr>
      <w:r w:rsidRPr="000A038E">
        <w:rPr>
          <w:b/>
        </w:rPr>
        <w:t xml:space="preserve">Legal Lesson Learned: “Administrative” exemption applies to very few in Fire &amp; EMS. </w:t>
      </w:r>
    </w:p>
    <w:p w14:paraId="7CCA70B9" w14:textId="77777777" w:rsidR="0077176C" w:rsidRDefault="0077176C" w:rsidP="0077176C">
      <w:pPr>
        <w:pStyle w:val="NoSpacing"/>
        <w:rPr>
          <w:bCs/>
        </w:rPr>
      </w:pPr>
    </w:p>
    <w:p w14:paraId="7D535F84" w14:textId="77777777" w:rsidR="0077176C" w:rsidRPr="005E4175" w:rsidRDefault="0077176C" w:rsidP="0077176C">
      <w:pPr>
        <w:pStyle w:val="NoSpacing"/>
        <w:ind w:left="720"/>
        <w:rPr>
          <w:bCs/>
        </w:rPr>
      </w:pPr>
      <w:r>
        <w:t xml:space="preserve">Note: </w:t>
      </w:r>
      <w:r w:rsidRPr="005E4175">
        <w:t xml:space="preserve">See August 2024, U.S. Department of Labor </w:t>
      </w:r>
      <w:r>
        <w:t>–</w:t>
      </w:r>
      <w:r w:rsidRPr="005E4175">
        <w:t xml:space="preserve"> Fact Sheet #17C: Exemption for Administrative Employees Under the Fair Labor Standards Act (FLSA)</w:t>
      </w:r>
      <w:r>
        <w:t xml:space="preserve">. </w:t>
      </w:r>
      <w:hyperlink r:id="rId1760" w:history="1">
        <w:r w:rsidRPr="00E5297F">
          <w:rPr>
            <w:rStyle w:val="Hyperlink"/>
          </w:rPr>
          <w:t>https://www.dol.gov/agencies/whd/fact-sheets/17c-overtime-administrative</w:t>
        </w:r>
      </w:hyperlink>
      <w:r>
        <w:t xml:space="preserve"> </w:t>
      </w:r>
    </w:p>
    <w:p w14:paraId="028443F7" w14:textId="77777777" w:rsidR="0077176C" w:rsidRDefault="0077176C" w:rsidP="0077176C">
      <w:pPr>
        <w:pStyle w:val="NoSpacing"/>
        <w:rPr>
          <w:bCs/>
        </w:rPr>
      </w:pPr>
    </w:p>
    <w:p w14:paraId="27301BB2" w14:textId="77777777" w:rsidR="0077176C" w:rsidRDefault="0077176C" w:rsidP="0077176C">
      <w:pPr>
        <w:pStyle w:val="NoSpacing"/>
        <w:ind w:left="720"/>
      </w:pPr>
      <w:r>
        <w:t>“</w:t>
      </w:r>
      <w:r w:rsidRPr="00C352A2">
        <w:t>The employee's primary duty must be the performance of office or non-manual work directly related to the management or general business operations of the employer or the employer's customers; and</w:t>
      </w:r>
      <w:r>
        <w:t xml:space="preserve"> t</w:t>
      </w:r>
      <w:r w:rsidRPr="007E7C57">
        <w:t>he employee's primary duty includes the exercise of discretion and independent judgment with respect to matters of significance.</w:t>
      </w:r>
      <w:r>
        <w:t>”</w:t>
      </w:r>
    </w:p>
    <w:p w14:paraId="7BA341A5" w14:textId="77777777" w:rsidR="0077176C" w:rsidRDefault="0077176C" w:rsidP="0077176C">
      <w:pPr>
        <w:pStyle w:val="NoSpacing"/>
        <w:ind w:left="720"/>
      </w:pPr>
    </w:p>
    <w:p w14:paraId="411A60CF" w14:textId="77777777" w:rsidR="0077176C" w:rsidRDefault="0077176C" w:rsidP="0077176C">
      <w:pPr>
        <w:pStyle w:val="NoSpacing"/>
      </w:pPr>
    </w:p>
    <w:p w14:paraId="4C3169A3" w14:textId="77777777" w:rsidR="0077176C" w:rsidRDefault="0077176C" w:rsidP="00020106">
      <w:pPr>
        <w:rPr>
          <w:rFonts w:ascii="Arial Black" w:hAnsi="Arial Black"/>
          <w:b/>
          <w:sz w:val="24"/>
          <w:szCs w:val="24"/>
        </w:rPr>
      </w:pPr>
    </w:p>
    <w:p w14:paraId="7F660D02" w14:textId="250B008B" w:rsidR="0077176C" w:rsidRDefault="00D610F1" w:rsidP="00020106">
      <w:pPr>
        <w:rPr>
          <w:rFonts w:ascii="Arial Black" w:hAnsi="Arial Black"/>
          <w:b/>
          <w:sz w:val="24"/>
          <w:szCs w:val="24"/>
        </w:rPr>
      </w:pPr>
      <w:r>
        <w:rPr>
          <w:rFonts w:ascii="Arial Black" w:hAnsi="Arial Black"/>
          <w:b/>
          <w:sz w:val="24"/>
          <w:szCs w:val="24"/>
        </w:rPr>
        <w:t>11-66</w:t>
      </w:r>
    </w:p>
    <w:p w14:paraId="29B057B8" w14:textId="77777777" w:rsidR="00D610F1" w:rsidRDefault="00D610F1" w:rsidP="00020106">
      <w:pPr>
        <w:rPr>
          <w:rFonts w:ascii="Arial Black" w:hAnsi="Arial Black"/>
          <w:b/>
          <w:sz w:val="24"/>
          <w:szCs w:val="24"/>
        </w:rPr>
      </w:pPr>
    </w:p>
    <w:p w14:paraId="28B3F374" w14:textId="77777777" w:rsidR="00D610F1" w:rsidRPr="00EA49C0" w:rsidRDefault="00D610F1" w:rsidP="00D610F1">
      <w:pPr>
        <w:pStyle w:val="NoSpacing"/>
        <w:rPr>
          <w:rFonts w:ascii="Arial Black" w:hAnsi="Arial Black"/>
          <w:bCs/>
          <w:sz w:val="28"/>
          <w:szCs w:val="28"/>
        </w:rPr>
      </w:pPr>
      <w:r>
        <w:rPr>
          <w:rFonts w:ascii="Arial Black" w:hAnsi="Arial Black"/>
          <w:sz w:val="28"/>
          <w:szCs w:val="28"/>
        </w:rPr>
        <w:t>DC: FED. EMPLOYEE – OT MUST BE APPROVED “IN WRITING”</w:t>
      </w:r>
    </w:p>
    <w:p w14:paraId="1A8F82C2" w14:textId="77777777" w:rsidR="00D610F1" w:rsidRDefault="00D610F1" w:rsidP="00D610F1">
      <w:pPr>
        <w:pStyle w:val="NoSpacing"/>
        <w:rPr>
          <w:bCs/>
        </w:rPr>
      </w:pPr>
    </w:p>
    <w:p w14:paraId="0E98093F" w14:textId="77777777" w:rsidR="00D610F1" w:rsidRDefault="00D610F1" w:rsidP="00D610F1">
      <w:pPr>
        <w:pStyle w:val="NoSpacing"/>
        <w:rPr>
          <w:bCs/>
        </w:rPr>
      </w:pPr>
      <w:r>
        <w:t xml:space="preserve">On December 12, 2025, in </w:t>
      </w:r>
      <w:r w:rsidRPr="00C600B3">
        <w:rPr>
          <w:u w:val="single"/>
        </w:rPr>
        <w:t>Jillian Lesko v. United States</w:t>
      </w:r>
      <w:r>
        <w:t xml:space="preserve">, the </w:t>
      </w:r>
      <w:r w:rsidRPr="00CD346A">
        <w:t>United States Court of Appeals, Federal Circuit</w:t>
      </w:r>
      <w:r>
        <w:t xml:space="preserve">, Washington, D.C., held (7 to 4; </w:t>
      </w:r>
      <w:proofErr w:type="spellStart"/>
      <w:r>
        <w:t>en</w:t>
      </w:r>
      <w:proofErr w:type="spellEnd"/>
      <w:r>
        <w:t xml:space="preserve"> banc decision by all judges on the Court) that </w:t>
      </w:r>
      <w:r w:rsidRPr="005B55D9">
        <w:t>Ms. Lesko</w:t>
      </w:r>
      <w:r>
        <w:t xml:space="preserve">. </w:t>
      </w:r>
      <w:r w:rsidRPr="005B55D9">
        <w:t>a registered nurse for the Indian Health Service (IHS) for eight months during the COVID-19 pandemic</w:t>
      </w:r>
      <w:r>
        <w:t xml:space="preserve">, who worked very long days, was not entitled to overtime pay since Office of Personnel Management regulations requires that overtime be first </w:t>
      </w:r>
      <w:r w:rsidRPr="00602BD8">
        <w:rPr>
          <w:i/>
          <w:iCs/>
        </w:rPr>
        <w:t>ordered or approved only in writing</w:t>
      </w:r>
      <w:r w:rsidRPr="00602BD8">
        <w:t xml:space="preserve"> by an officer or employee to whom this authority has been specifically delegated.</w:t>
      </w:r>
      <w:r>
        <w:t xml:space="preserve"> </w:t>
      </w:r>
      <w:r w:rsidRPr="00602BD8">
        <w:t>5 C.F.R. § 550.111(c) (hereafter, overtime regulation).</w:t>
      </w:r>
      <w:r>
        <w:t xml:space="preserve"> </w:t>
      </w:r>
      <w:hyperlink r:id="rId1761" w:history="1">
        <w:r w:rsidRPr="00E759FB">
          <w:rPr>
            <w:rStyle w:val="Hyperlink"/>
          </w:rPr>
          <w:t>https://www.cafc.uscourts.gov/opinions-orders/23-1823.OPINION.12-12-2025_2618923.pdf</w:t>
        </w:r>
      </w:hyperlink>
      <w:r w:rsidRPr="00E759FB">
        <w:t xml:space="preserve"> </w:t>
      </w:r>
    </w:p>
    <w:p w14:paraId="79A77546" w14:textId="77777777" w:rsidR="00D610F1" w:rsidRDefault="00D610F1" w:rsidP="00D610F1">
      <w:pPr>
        <w:pStyle w:val="NoSpacing"/>
        <w:rPr>
          <w:bCs/>
        </w:rPr>
      </w:pPr>
    </w:p>
    <w:p w14:paraId="284AF1E5" w14:textId="77777777" w:rsidR="00D610F1" w:rsidRPr="00602BD8" w:rsidRDefault="00D610F1" w:rsidP="00D610F1">
      <w:pPr>
        <w:pStyle w:val="NoSpacing"/>
        <w:rPr>
          <w:bCs/>
        </w:rPr>
      </w:pPr>
      <w:r>
        <w:t xml:space="preserve">THE COURT HELD:  </w:t>
      </w:r>
      <w:r w:rsidRPr="005B55D9">
        <w:t>Ms. Lesko worked as a registered nurse for the Indian Health Service (IHS) for eight months during the COVID-19 pandemic</w:t>
      </w:r>
      <w:r>
        <w:t>….</w:t>
      </w:r>
      <w:r w:rsidRPr="005B55D9">
        <w:t xml:space="preserve"> During this time, she alleges nurses </w:t>
      </w:r>
      <w:r>
        <w:t>‘</w:t>
      </w:r>
      <w:r w:rsidRPr="005B55D9">
        <w:t>were stretched to their limits</w:t>
      </w:r>
      <w:r>
        <w:t>’</w:t>
      </w:r>
      <w:r w:rsidRPr="005B55D9">
        <w:t xml:space="preserve"> and </w:t>
      </w:r>
      <w:r>
        <w:t>‘</w:t>
      </w:r>
      <w:r w:rsidRPr="005B55D9">
        <w:t>[s]</w:t>
      </w:r>
      <w:proofErr w:type="spellStart"/>
      <w:r w:rsidRPr="005B55D9">
        <w:t>upervisors</w:t>
      </w:r>
      <w:proofErr w:type="spellEnd"/>
      <w:r w:rsidRPr="005B55D9">
        <w:t xml:space="preserve"> and managers regularly and routinely required nurses to stay after hours and work without compensation to meet the patient demands.</w:t>
      </w:r>
      <w:r>
        <w:t>’</w:t>
      </w:r>
      <w:r w:rsidRPr="005B55D9">
        <w:t xml:space="preserve"> J.A. 82 ¶ 42. After resigning from IHS, Ms. Lesko filed a complaint for a class action suit, which she amended after the Government moved to dismiss it</w:t>
      </w:r>
      <w:r>
        <w:t xml:space="preserve">…. </w:t>
      </w:r>
      <w:r w:rsidRPr="00A80574">
        <w:t>The</w:t>
      </w:r>
      <w:r>
        <w:t xml:space="preserve"> </w:t>
      </w:r>
      <w:r w:rsidRPr="00A80574">
        <w:t>Court of Federal Claims granted the motion and dismissed</w:t>
      </w:r>
      <w:r>
        <w:t xml:space="preserve"> </w:t>
      </w:r>
      <w:r w:rsidRPr="00A80574">
        <w:t>all counts</w:t>
      </w:r>
      <w:r>
        <w:t xml:space="preserve">…. </w:t>
      </w:r>
      <w:r w:rsidRPr="00F54BA4">
        <w:t>In relevant part, the statute and regulation governing</w:t>
      </w:r>
      <w:r>
        <w:t xml:space="preserve"> </w:t>
      </w:r>
      <w:r w:rsidRPr="00F54BA4">
        <w:t>overtime pay for federal employees have existed for eighty</w:t>
      </w:r>
      <w:r>
        <w:t xml:space="preserve"> </w:t>
      </w:r>
      <w:r w:rsidRPr="00F54BA4">
        <w:t>years.</w:t>
      </w:r>
      <w:r>
        <w:t xml:space="preserve"> </w:t>
      </w:r>
      <w:r w:rsidRPr="00D26584">
        <w:t>On July 4, 1945—four days after Congress enacted</w:t>
      </w:r>
      <w:r>
        <w:t xml:space="preserve"> </w:t>
      </w:r>
      <w:r w:rsidRPr="00D26584">
        <w:t>FEPA</w:t>
      </w:r>
      <w:r>
        <w:t xml:space="preserve"> [F</w:t>
      </w:r>
      <w:r w:rsidRPr="006F564E">
        <w:t>ederal Employees Pay Act of 1945</w:t>
      </w:r>
      <w:r>
        <w:t>]</w:t>
      </w:r>
      <w:r w:rsidRPr="00D26584">
        <w:t>—the Civil Service Commission promulgated regulations, approved by the President, to implement the Act</w:t>
      </w:r>
      <w:r>
        <w:t xml:space="preserve">…. </w:t>
      </w:r>
      <w:r w:rsidRPr="00602BD8">
        <w:t>The present regulatory language implementing the writing requirement, now codified at 5 C.F.R. § 550.111(c), has undergone additional amendments since recodification but, as relevant to this appeal, it contains the same operative language as the originally promulgated regulation:</w:t>
      </w:r>
    </w:p>
    <w:p w14:paraId="5E2EB495" w14:textId="77777777" w:rsidR="00D610F1" w:rsidRPr="00602BD8" w:rsidRDefault="00D610F1" w:rsidP="00D610F1">
      <w:pPr>
        <w:pStyle w:val="NoSpacing"/>
        <w:rPr>
          <w:bCs/>
        </w:rPr>
      </w:pPr>
      <w:r w:rsidRPr="00602BD8">
        <w:t xml:space="preserve">Overtime work </w:t>
      </w:r>
      <w:proofErr w:type="gramStart"/>
      <w:r w:rsidRPr="00602BD8">
        <w:t>in excess of</w:t>
      </w:r>
      <w:proofErr w:type="gramEnd"/>
      <w:r w:rsidRPr="00602BD8">
        <w:t xml:space="preserve"> any included in a regularly scheduled administrative </w:t>
      </w:r>
      <w:proofErr w:type="gramStart"/>
      <w:r w:rsidRPr="00602BD8">
        <w:t>workweek</w:t>
      </w:r>
      <w:proofErr w:type="gramEnd"/>
      <w:r w:rsidRPr="00602BD8">
        <w:t xml:space="preserve"> may be </w:t>
      </w:r>
      <w:r w:rsidRPr="00602BD8">
        <w:rPr>
          <w:i/>
          <w:iCs/>
        </w:rPr>
        <w:t>ordered or approved only in writing</w:t>
      </w:r>
      <w:r w:rsidRPr="00602BD8">
        <w:t xml:space="preserve"> by an officer or employee to whom this authority has been specifically delegated.</w:t>
      </w:r>
      <w:r>
        <w:t xml:space="preserve"> </w:t>
      </w:r>
      <w:r w:rsidRPr="00602BD8">
        <w:t>5 C.F.R. § 550.111(c) (hereafter, overtime regulation).</w:t>
      </w:r>
      <w:r>
        <w:t>”</w:t>
      </w:r>
    </w:p>
    <w:p w14:paraId="40D2A287" w14:textId="77777777" w:rsidR="00D610F1" w:rsidRDefault="00D610F1" w:rsidP="00D610F1">
      <w:pPr>
        <w:pStyle w:val="NoSpacing"/>
        <w:rPr>
          <w:bCs/>
        </w:rPr>
      </w:pPr>
    </w:p>
    <w:p w14:paraId="6BB1EC2F" w14:textId="77777777" w:rsidR="00D610F1" w:rsidRPr="00602BD8" w:rsidRDefault="00D610F1" w:rsidP="00D610F1">
      <w:pPr>
        <w:pStyle w:val="NoSpacing"/>
        <w:rPr>
          <w:b/>
        </w:rPr>
      </w:pPr>
      <w:r w:rsidRPr="006F564E">
        <w:rPr>
          <w:b/>
        </w:rPr>
        <w:t xml:space="preserve">Legal lesson learned: </w:t>
      </w:r>
      <w:r w:rsidRPr="006564B7">
        <w:rPr>
          <w:b/>
        </w:rPr>
        <w:t xml:space="preserve">The Office of Personnel Management regulations control; but it seems unfair that the Indian Health Service </w:t>
      </w:r>
      <w:r>
        <w:rPr>
          <w:b/>
        </w:rPr>
        <w:t xml:space="preserve">(or any other federal agency) </w:t>
      </w:r>
      <w:r w:rsidRPr="006564B7">
        <w:rPr>
          <w:b/>
        </w:rPr>
        <w:t xml:space="preserve">would allow work beyond 80 hours, but then not pay time and half. </w:t>
      </w:r>
    </w:p>
    <w:p w14:paraId="23BEAA6E" w14:textId="77777777" w:rsidR="00D610F1" w:rsidRPr="00E759FB" w:rsidRDefault="00D610F1" w:rsidP="00D610F1">
      <w:pPr>
        <w:pStyle w:val="NoSpacing"/>
        <w:rPr>
          <w:bCs/>
        </w:rPr>
      </w:pPr>
    </w:p>
    <w:p w14:paraId="649D1267" w14:textId="77777777" w:rsidR="00D610F1" w:rsidRPr="004C2FD6" w:rsidRDefault="00D610F1" w:rsidP="00D610F1">
      <w:pPr>
        <w:pStyle w:val="NoSpacing"/>
        <w:rPr>
          <w:bCs/>
        </w:rPr>
      </w:pPr>
      <w:r>
        <w:tab/>
        <w:t xml:space="preserve">Note: Four Dissenting Judges: </w:t>
      </w:r>
      <w:r w:rsidRPr="004C2FD6">
        <w:t>STOLL, Circuit Judge, dissenting, with whom Circuit</w:t>
      </w:r>
    </w:p>
    <w:p w14:paraId="78D7EE74" w14:textId="77777777" w:rsidR="00D610F1" w:rsidRDefault="00D610F1" w:rsidP="00D610F1">
      <w:pPr>
        <w:pStyle w:val="NoSpacing"/>
        <w:ind w:firstLine="720"/>
        <w:rPr>
          <w:bCs/>
        </w:rPr>
      </w:pPr>
      <w:r w:rsidRPr="004C2FD6">
        <w:t>Judges REYNA , CUNNINGHAM, and S TARK join</w:t>
      </w:r>
      <w:r>
        <w:t>.</w:t>
      </w:r>
    </w:p>
    <w:p w14:paraId="0EE3CDB5" w14:textId="77777777" w:rsidR="00D610F1" w:rsidRPr="00CD346A" w:rsidRDefault="00D610F1" w:rsidP="00D610F1">
      <w:pPr>
        <w:pStyle w:val="NoSpacing"/>
        <w:ind w:firstLine="720"/>
        <w:rPr>
          <w:bCs/>
        </w:rPr>
      </w:pPr>
      <w:r>
        <w:t>“</w:t>
      </w:r>
      <w:r w:rsidRPr="00821EA4">
        <w:t>In sum, it is up to Congress, not OPM, to impose a writing requirement.</w:t>
      </w:r>
      <w:r>
        <w:t>”</w:t>
      </w:r>
    </w:p>
    <w:p w14:paraId="54574C14" w14:textId="77777777" w:rsidR="00D610F1" w:rsidRDefault="00D610F1" w:rsidP="00D610F1">
      <w:pPr>
        <w:pStyle w:val="NoSpacing"/>
        <w:rPr>
          <w:bCs/>
        </w:rPr>
      </w:pPr>
    </w:p>
    <w:p w14:paraId="4B62CF35" w14:textId="77777777" w:rsidR="00D610F1" w:rsidRDefault="00D610F1" w:rsidP="00020106">
      <w:pPr>
        <w:rPr>
          <w:rFonts w:ascii="Arial Black" w:hAnsi="Arial Black"/>
          <w:b/>
          <w:sz w:val="24"/>
          <w:szCs w:val="24"/>
        </w:rPr>
      </w:pPr>
    </w:p>
    <w:p w14:paraId="5B93633E" w14:textId="77777777" w:rsidR="0077176C" w:rsidRDefault="0077176C" w:rsidP="00020106">
      <w:pPr>
        <w:rPr>
          <w:rFonts w:ascii="Arial Black" w:hAnsi="Arial Black"/>
          <w:b/>
          <w:sz w:val="24"/>
          <w:szCs w:val="24"/>
        </w:rPr>
      </w:pPr>
    </w:p>
    <w:p w14:paraId="4ECC3647" w14:textId="77777777" w:rsidR="0077176C" w:rsidRDefault="0077176C" w:rsidP="00020106">
      <w:pPr>
        <w:rPr>
          <w:rFonts w:ascii="Arial Black" w:hAnsi="Arial Black"/>
          <w:b/>
          <w:sz w:val="24"/>
          <w:szCs w:val="24"/>
        </w:rPr>
      </w:pPr>
    </w:p>
    <w:p w14:paraId="5C9A1B17" w14:textId="405317FE" w:rsidR="008626B6" w:rsidRDefault="008626B6" w:rsidP="00020106">
      <w:pPr>
        <w:rPr>
          <w:rFonts w:ascii="Arial Black" w:hAnsi="Arial Black"/>
          <w:b/>
          <w:sz w:val="24"/>
          <w:szCs w:val="24"/>
        </w:rPr>
      </w:pPr>
      <w:r>
        <w:rPr>
          <w:rFonts w:ascii="Arial Black" w:hAnsi="Arial Black"/>
          <w:b/>
          <w:sz w:val="24"/>
          <w:szCs w:val="24"/>
        </w:rPr>
        <w:t>11-65</w:t>
      </w:r>
    </w:p>
    <w:p w14:paraId="71AEEFA7" w14:textId="1BB09CB9" w:rsidR="005F4889" w:rsidRDefault="005F4889" w:rsidP="005F4889">
      <w:pPr>
        <w:pStyle w:val="NoSpacing"/>
        <w:rPr>
          <w:rFonts w:ascii="Arial Black" w:hAnsi="Arial Black"/>
          <w:sz w:val="28"/>
          <w:szCs w:val="28"/>
        </w:rPr>
      </w:pPr>
      <w:r>
        <w:rPr>
          <w:rFonts w:ascii="Arial Black" w:hAnsi="Arial Black"/>
          <w:sz w:val="28"/>
          <w:szCs w:val="28"/>
        </w:rPr>
        <w:t>VA: B</w:t>
      </w:r>
      <w:r w:rsidR="0018059E">
        <w:rPr>
          <w:rFonts w:ascii="Arial Black" w:hAnsi="Arial Black"/>
          <w:sz w:val="28"/>
          <w:szCs w:val="28"/>
        </w:rPr>
        <w:t>ATTALION CHIEF</w:t>
      </w:r>
      <w:r w:rsidR="007B72B3">
        <w:rPr>
          <w:rFonts w:ascii="Arial Black" w:hAnsi="Arial Black"/>
          <w:sz w:val="28"/>
          <w:szCs w:val="28"/>
        </w:rPr>
        <w:t>S</w:t>
      </w:r>
      <w:r w:rsidR="0018059E">
        <w:rPr>
          <w:rFonts w:ascii="Arial Black" w:hAnsi="Arial Black"/>
          <w:sz w:val="28"/>
          <w:szCs w:val="28"/>
        </w:rPr>
        <w:t xml:space="preserve"> </w:t>
      </w:r>
      <w:r>
        <w:rPr>
          <w:rFonts w:ascii="Arial Black" w:hAnsi="Arial Black"/>
          <w:sz w:val="28"/>
          <w:szCs w:val="28"/>
        </w:rPr>
        <w:t>PAID A FIXED SALARY – EXEMPT POSITION</w:t>
      </w:r>
    </w:p>
    <w:p w14:paraId="5F2CCBB5" w14:textId="77777777" w:rsidR="005F4889" w:rsidRDefault="005F4889" w:rsidP="005F4889">
      <w:pPr>
        <w:pStyle w:val="NoSpacing"/>
        <w:rPr>
          <w:rFonts w:ascii="Arial Black" w:hAnsi="Arial Black"/>
          <w:sz w:val="28"/>
          <w:szCs w:val="28"/>
        </w:rPr>
      </w:pPr>
    </w:p>
    <w:p w14:paraId="548FCA46" w14:textId="77777777" w:rsidR="005F4889" w:rsidRDefault="005F4889" w:rsidP="005F4889">
      <w:pPr>
        <w:pStyle w:val="NoSpacing"/>
      </w:pPr>
      <w:r w:rsidRPr="0012387F">
        <w:t xml:space="preserve">On </w:t>
      </w:r>
      <w:r>
        <w:t xml:space="preserve">December 31, 2025, in </w:t>
      </w:r>
      <w:r w:rsidRPr="000F3254">
        <w:rPr>
          <w:u w:val="single"/>
        </w:rPr>
        <w:t>Anthony Kelley, et al. v. The City of Alexandria</w:t>
      </w:r>
      <w:r>
        <w:t xml:space="preserve">, the United States Court of Appeals for the Fourth Circuit (Richmond, VA) held (3 to 0) that Battalion Chiefs are not entitled to overtime pay as “white collar” employees; they are guaranteed a salary payment regardless of hours worked. </w:t>
      </w:r>
      <w:r w:rsidRPr="002D02AF">
        <w:t>Although the City assigned each chief an annual salary, it converted that salary into hourly rates for payroll purposes.</w:t>
      </w:r>
      <w:r>
        <w:t xml:space="preserve">  When they work </w:t>
      </w:r>
      <w:r w:rsidRPr="007846E5">
        <w:t>off</w:t>
      </w:r>
      <w:r>
        <w:t xml:space="preserve">-schedule hours, they are paid at the chief’s hourly rate. If they don’t work a scheduled shift, the </w:t>
      </w:r>
      <w:proofErr w:type="gramStart"/>
      <w:r>
        <w:t>City</w:t>
      </w:r>
      <w:proofErr w:type="gramEnd"/>
      <w:r>
        <w:t xml:space="preserve"> properly deducts those hours from their paid leave balance.  The fight in this case is about this last category of hours. When an employee is paid weekly (or on a less frequent basis) then exemption in 29 C.F.R. § 541.602(b) applies.</w:t>
      </w:r>
    </w:p>
    <w:p w14:paraId="2B4FD25F" w14:textId="77777777" w:rsidR="005F4889" w:rsidRDefault="005F4889" w:rsidP="005F4889">
      <w:pPr>
        <w:pStyle w:val="NoSpacing"/>
      </w:pPr>
      <w:r>
        <w:lastRenderedPageBreak/>
        <w:t xml:space="preserve"> </w:t>
      </w:r>
      <w:hyperlink r:id="rId1762" w:history="1">
        <w:r w:rsidRPr="00EB1520">
          <w:rPr>
            <w:rStyle w:val="Hyperlink"/>
          </w:rPr>
          <w:t>https://www.ca4.uscourts.gov/opinions/231752.P.pdf</w:t>
        </w:r>
      </w:hyperlink>
      <w:r>
        <w:t xml:space="preserve"> </w:t>
      </w:r>
    </w:p>
    <w:p w14:paraId="3046526A" w14:textId="77777777" w:rsidR="005F4889" w:rsidRDefault="005F4889" w:rsidP="005F4889">
      <w:pPr>
        <w:pStyle w:val="NoSpacing"/>
      </w:pPr>
    </w:p>
    <w:p w14:paraId="14D4866D" w14:textId="77777777" w:rsidR="005F4889" w:rsidRDefault="005F4889" w:rsidP="005F4889">
      <w:pPr>
        <w:pStyle w:val="NoSpacing"/>
      </w:pPr>
      <w:r>
        <w:t>THE COURT HELD:</w:t>
      </w:r>
    </w:p>
    <w:p w14:paraId="3835B5E0" w14:textId="77777777" w:rsidR="005F4889" w:rsidRDefault="005F4889" w:rsidP="005F4889">
      <w:pPr>
        <w:pStyle w:val="NoSpacing"/>
      </w:pPr>
    </w:p>
    <w:p w14:paraId="7F8F27A4" w14:textId="77777777" w:rsidR="005F4889" w:rsidRDefault="005F4889" w:rsidP="005F4889">
      <w:pPr>
        <w:pStyle w:val="NoSpacing"/>
        <w:ind w:left="720"/>
      </w:pPr>
      <w:r>
        <w:t>“</w:t>
      </w:r>
      <w:r w:rsidRPr="003B4CBA">
        <w:t>Current and former battalion chiefs for the City of Alexandria Fire Department sued</w:t>
      </w:r>
      <w:r>
        <w:t xml:space="preserve"> </w:t>
      </w:r>
      <w:r w:rsidRPr="003B4CBA">
        <w:t xml:space="preserve">the </w:t>
      </w:r>
      <w:proofErr w:type="gramStart"/>
      <w:r w:rsidRPr="003B4CBA">
        <w:t>City</w:t>
      </w:r>
      <w:proofErr w:type="gramEnd"/>
      <w:r w:rsidRPr="003B4CBA">
        <w:t xml:space="preserve"> seeking payment of unpaid overtime wages under the Fair Labor Standards Act.</w:t>
      </w:r>
      <w:r>
        <w:t xml:space="preserve"> </w:t>
      </w:r>
      <w:r w:rsidRPr="003B4CBA">
        <w:t>The district court granted summary judgment for the City, concluding that the chiefs were</w:t>
      </w:r>
      <w:r>
        <w:t xml:space="preserve"> </w:t>
      </w:r>
      <w:r w:rsidRPr="003B4CBA">
        <w:t xml:space="preserve">exempt from the Act’s overtime-pay requirements under the </w:t>
      </w:r>
      <w:r>
        <w:t>‘</w:t>
      </w:r>
      <w:r w:rsidRPr="003B4CBA">
        <w:t>highly compensated</w:t>
      </w:r>
      <w:r>
        <w:t xml:space="preserve"> </w:t>
      </w:r>
      <w:proofErr w:type="gramStart"/>
      <w:r w:rsidRPr="003B4CBA">
        <w:t>employee</w:t>
      </w:r>
      <w:r>
        <w:t>’</w:t>
      </w:r>
      <w:proofErr w:type="gramEnd"/>
      <w:r w:rsidRPr="003B4CBA">
        <w:t xml:space="preserve"> exemption. That exemption requires (among other things) that the City</w:t>
      </w:r>
      <w:r>
        <w:t xml:space="preserve"> </w:t>
      </w:r>
      <w:r w:rsidRPr="003B4CBA">
        <w:t xml:space="preserve">compensate the chiefs on a </w:t>
      </w:r>
      <w:r>
        <w:t>‘</w:t>
      </w:r>
      <w:r w:rsidRPr="003B4CBA">
        <w:t>salary basis.</w:t>
      </w:r>
      <w:r>
        <w:t>’</w:t>
      </w:r>
    </w:p>
    <w:p w14:paraId="31F0B38B" w14:textId="77777777" w:rsidR="005F4889" w:rsidRDefault="005F4889" w:rsidP="005F4889">
      <w:pPr>
        <w:pStyle w:val="NoSpacing"/>
        <w:ind w:left="720"/>
      </w:pPr>
    </w:p>
    <w:p w14:paraId="7A24A3CC" w14:textId="77777777" w:rsidR="005F4889" w:rsidRDefault="005F4889" w:rsidP="005F4889">
      <w:pPr>
        <w:pStyle w:val="NoSpacing"/>
        <w:ind w:left="720"/>
      </w:pPr>
      <w:r>
        <w:t>***</w:t>
      </w:r>
    </w:p>
    <w:p w14:paraId="6AACD42D" w14:textId="77777777" w:rsidR="005F4889" w:rsidRDefault="005F4889" w:rsidP="005F4889">
      <w:pPr>
        <w:pStyle w:val="NoSpacing"/>
        <w:ind w:left="720"/>
      </w:pPr>
    </w:p>
    <w:p w14:paraId="0354A0FC" w14:textId="77777777" w:rsidR="005F4889" w:rsidRDefault="005F4889" w:rsidP="005F4889">
      <w:pPr>
        <w:pStyle w:val="NoSpacing"/>
        <w:ind w:left="720"/>
      </w:pPr>
      <w:r>
        <w:t>The Alexandria Fire Department has ten fire stations, split evenly between two battalions. The department employs ten battalion chiefs. Battalion chiefs rotate through operational or administrative schedules. Typically, the department assigns six chiefs (three for each of the two battalions) to an operational schedule, during which they’re responsible for the day-to-day operations of the fire stations within their assigned battalion. These chiefs are scheduled to work three 24-hour shifts according to a nine-day scheduling cycle.</w:t>
      </w:r>
    </w:p>
    <w:p w14:paraId="60B0A6D5" w14:textId="77777777" w:rsidR="005F4889" w:rsidRDefault="005F4889" w:rsidP="005F4889">
      <w:pPr>
        <w:pStyle w:val="NoSpacing"/>
      </w:pPr>
    </w:p>
    <w:p w14:paraId="73FD1790" w14:textId="77777777" w:rsidR="005F4889" w:rsidRDefault="005F4889" w:rsidP="005F4889">
      <w:pPr>
        <w:pStyle w:val="NoSpacing"/>
        <w:ind w:left="720"/>
      </w:pPr>
      <w:r>
        <w:t>The nine-day cycles are staggered such that two operational chiefs are on duty each day (one for each battalion). During each nine-day cycle, the chiefs are on duty the first, third, and fifth days, and off duty the remaining six days. Their ‘work period’ is 28 days.</w:t>
      </w:r>
    </w:p>
    <w:p w14:paraId="4F7DEC84" w14:textId="77777777" w:rsidR="005F4889" w:rsidRDefault="005F4889" w:rsidP="005F4889">
      <w:pPr>
        <w:pStyle w:val="NoSpacing"/>
      </w:pPr>
    </w:p>
    <w:p w14:paraId="2CE771E0" w14:textId="77777777" w:rsidR="005F4889" w:rsidRDefault="005F4889" w:rsidP="005F4889">
      <w:pPr>
        <w:pStyle w:val="NoSpacing"/>
        <w:ind w:left="720"/>
      </w:pPr>
      <w:proofErr w:type="gramStart"/>
      <w:r>
        <w:t>So</w:t>
      </w:r>
      <w:proofErr w:type="gramEnd"/>
      <w:r>
        <w:t xml:space="preserve"> if the </w:t>
      </w:r>
      <w:proofErr w:type="gramStart"/>
      <w:r>
        <w:t>City</w:t>
      </w:r>
      <w:proofErr w:type="gramEnd"/>
      <w:r>
        <w:t xml:space="preserve"> paid them strictly based on scheduled hours, their paychecks could vary substantially from one pay period to the next. To avoid that, the </w:t>
      </w:r>
      <w:proofErr w:type="gramStart"/>
      <w:r>
        <w:t>City</w:t>
      </w:r>
      <w:proofErr w:type="gramEnd"/>
      <w:r>
        <w:t xml:space="preserve"> pays those </w:t>
      </w:r>
      <w:proofErr w:type="gramStart"/>
      <w:r>
        <w:t>chiefs</w:t>
      </w:r>
      <w:proofErr w:type="gramEnd"/>
      <w:r>
        <w:t xml:space="preserve"> for at least 106 </w:t>
      </w:r>
      <w:proofErr w:type="gramStart"/>
      <w:r>
        <w:t>hours</w:t>
      </w:r>
      <w:proofErr w:type="gramEnd"/>
      <w:r>
        <w:t xml:space="preserve"> each pay period, regardless of the scheduled hours they work.</w:t>
      </w:r>
    </w:p>
    <w:p w14:paraId="460863C2" w14:textId="77777777" w:rsidR="005F4889" w:rsidRDefault="005F4889" w:rsidP="005F4889">
      <w:pPr>
        <w:pStyle w:val="NoSpacing"/>
      </w:pPr>
    </w:p>
    <w:p w14:paraId="4AE7EAF5" w14:textId="77777777" w:rsidR="005F4889" w:rsidRDefault="005F4889" w:rsidP="005F4889">
      <w:pPr>
        <w:pStyle w:val="NoSpacing"/>
        <w:ind w:left="720"/>
      </w:pPr>
      <w:r w:rsidRPr="007846E5">
        <w:t>And the City also pays them for the off</w:t>
      </w:r>
      <w:r>
        <w:t xml:space="preserve">-schedule hours they </w:t>
      </w:r>
      <w:proofErr w:type="gramStart"/>
      <w:r>
        <w:t>work,</w:t>
      </w:r>
      <w:proofErr w:type="gramEnd"/>
      <w:r>
        <w:t xml:space="preserve"> at the chief’s hourly rate. The fight in this case is about this last category of hours.</w:t>
      </w:r>
    </w:p>
    <w:p w14:paraId="3E2D9EE8" w14:textId="77777777" w:rsidR="005F4889" w:rsidRDefault="005F4889" w:rsidP="005F4889">
      <w:pPr>
        <w:pStyle w:val="NoSpacing"/>
        <w:ind w:left="720"/>
      </w:pPr>
    </w:p>
    <w:p w14:paraId="77360551" w14:textId="77777777" w:rsidR="005F4889" w:rsidRDefault="005F4889" w:rsidP="005F4889">
      <w:pPr>
        <w:pStyle w:val="NoSpacing"/>
        <w:ind w:left="720"/>
      </w:pPr>
      <w:r>
        <w:t>***</w:t>
      </w:r>
    </w:p>
    <w:p w14:paraId="6E76E8DD" w14:textId="77777777" w:rsidR="005F4889" w:rsidRDefault="005F4889" w:rsidP="005F4889">
      <w:pPr>
        <w:pStyle w:val="NoSpacing"/>
        <w:ind w:left="720"/>
      </w:pPr>
    </w:p>
    <w:p w14:paraId="62D04A9D" w14:textId="77777777" w:rsidR="005F4889" w:rsidRDefault="005F4889" w:rsidP="005F4889">
      <w:pPr>
        <w:pStyle w:val="NoSpacing"/>
        <w:ind w:firstLine="720"/>
      </w:pPr>
      <w:r>
        <w:t>Under 602(a), an employer must show that ‘the employee regularly receives each</w:t>
      </w:r>
    </w:p>
    <w:p w14:paraId="6BCB4B44" w14:textId="77777777" w:rsidR="005F4889" w:rsidRDefault="005F4889" w:rsidP="005F4889">
      <w:pPr>
        <w:pStyle w:val="NoSpacing"/>
        <w:ind w:firstLine="720"/>
      </w:pPr>
      <w:r>
        <w:t>pay period on a weekly, or less frequent basis, a predetermined amount constituting all or</w:t>
      </w:r>
    </w:p>
    <w:p w14:paraId="71134E8F" w14:textId="77777777" w:rsidR="005F4889" w:rsidRDefault="005F4889" w:rsidP="005F4889">
      <w:pPr>
        <w:pStyle w:val="NoSpacing"/>
        <w:ind w:firstLine="720"/>
      </w:pPr>
      <w:r>
        <w:t>part of the employee’s compensation, which amount is not subject to reduction because of</w:t>
      </w:r>
    </w:p>
    <w:p w14:paraId="0CB9C2A8" w14:textId="77777777" w:rsidR="005F4889" w:rsidRDefault="005F4889" w:rsidP="005F4889">
      <w:pPr>
        <w:pStyle w:val="NoSpacing"/>
        <w:ind w:firstLine="720"/>
      </w:pPr>
      <w:r>
        <w:t>variations in the quality or quantity of the work performed.’ 29 C.F.R. § 541.602(a). This</w:t>
      </w:r>
    </w:p>
    <w:p w14:paraId="4D6D6080" w14:textId="77777777" w:rsidR="005F4889" w:rsidRDefault="005F4889" w:rsidP="005F4889">
      <w:pPr>
        <w:pStyle w:val="NoSpacing"/>
        <w:ind w:firstLine="720"/>
      </w:pPr>
      <w:r>
        <w:t>standard ensures the employee ‘get[s] at least part of his compensation through a preset</w:t>
      </w:r>
    </w:p>
    <w:p w14:paraId="781BF48D" w14:textId="77777777" w:rsidR="005F4889" w:rsidRDefault="005F4889" w:rsidP="005F4889">
      <w:pPr>
        <w:pStyle w:val="NoSpacing"/>
        <w:ind w:firstLine="720"/>
      </w:pPr>
      <w:r>
        <w:t>weekly (or less frequent) salary.’ Helix, 598 U.S. at 46. Though employers are generally</w:t>
      </w:r>
    </w:p>
    <w:p w14:paraId="6381AE32" w14:textId="77777777" w:rsidR="005F4889" w:rsidRDefault="005F4889" w:rsidP="005F4889">
      <w:pPr>
        <w:pStyle w:val="NoSpacing"/>
        <w:ind w:left="720"/>
      </w:pPr>
      <w:r>
        <w:t>prohibited from taking deductions from this amount, the regulations allow them to do so in certain limited circumstances. 29 C.F.R. § 541.602(b).”</w:t>
      </w:r>
    </w:p>
    <w:p w14:paraId="0104A071" w14:textId="77777777" w:rsidR="005F4889" w:rsidRDefault="005F4889" w:rsidP="005F4889">
      <w:pPr>
        <w:pStyle w:val="NoSpacing"/>
        <w:ind w:left="720"/>
      </w:pPr>
    </w:p>
    <w:p w14:paraId="298BAE39" w14:textId="77777777" w:rsidR="005F4889" w:rsidRPr="0027338B" w:rsidRDefault="005F4889" w:rsidP="005F4889">
      <w:pPr>
        <w:pStyle w:val="NoSpacing"/>
        <w:rPr>
          <w:b/>
          <w:bCs/>
        </w:rPr>
      </w:pPr>
      <w:r>
        <w:rPr>
          <w:b/>
        </w:rPr>
        <w:t xml:space="preserve">Legal lesson learned:  There has been lots of litigation concerning Battalion Chiefs being exempt or entitled to overtime.  </w:t>
      </w:r>
    </w:p>
    <w:p w14:paraId="6EA789C3" w14:textId="77777777" w:rsidR="005F4889" w:rsidRDefault="005F4889" w:rsidP="005F4889">
      <w:pPr>
        <w:pStyle w:val="NoSpacing"/>
        <w:ind w:left="720"/>
      </w:pPr>
      <w:r>
        <w:t xml:space="preserve">  </w:t>
      </w:r>
    </w:p>
    <w:p w14:paraId="2C5CE701" w14:textId="77777777" w:rsidR="005F4889" w:rsidRDefault="005F4889" w:rsidP="005F4889">
      <w:pPr>
        <w:pStyle w:val="NoSpacing"/>
        <w:ind w:left="720"/>
      </w:pPr>
      <w:r>
        <w:t xml:space="preserve">Note: See this review of the decision.  </w:t>
      </w:r>
      <w:hyperlink r:id="rId1763" w:history="1">
        <w:r w:rsidRPr="002B4D2D">
          <w:rPr>
            <w:rStyle w:val="Hyperlink"/>
          </w:rPr>
          <w:t>https://www.firefighterovertime.org/2026/01/04/fourth-circuit-rules-against-battalion-chiefs-in-virginia-flsa-lawsuit/</w:t>
        </w:r>
      </w:hyperlink>
      <w:r>
        <w:t xml:space="preserve"> . See also: September 17, 2018. </w:t>
      </w:r>
      <w:r w:rsidRPr="00075C60">
        <w:t>Battalion Chiefs, Executive Exemption, and Overtime</w:t>
      </w:r>
      <w:r>
        <w:t xml:space="preserve">. </w:t>
      </w:r>
      <w:hyperlink r:id="rId1764" w:history="1">
        <w:r w:rsidRPr="002B4D2D">
          <w:rPr>
            <w:rStyle w:val="Hyperlink"/>
          </w:rPr>
          <w:t>https://www.firefighterovertime.org/2018/09/17/battalion/</w:t>
        </w:r>
      </w:hyperlink>
    </w:p>
    <w:p w14:paraId="0316D57A" w14:textId="77777777" w:rsidR="005F4889" w:rsidRDefault="005F4889" w:rsidP="005F4889">
      <w:pPr>
        <w:pStyle w:val="NoSpacing"/>
        <w:ind w:left="720"/>
      </w:pPr>
    </w:p>
    <w:p w14:paraId="1E086112" w14:textId="77777777" w:rsidR="005F4889" w:rsidRDefault="005F4889" w:rsidP="005F4889">
      <w:pPr>
        <w:pStyle w:val="NoSpacing"/>
        <w:ind w:left="720"/>
      </w:pPr>
      <w:r>
        <w:t>See also: The 6</w:t>
      </w:r>
      <w:r w:rsidRPr="00E002FB">
        <w:rPr>
          <w:vertAlign w:val="superscript"/>
        </w:rPr>
        <w:t>th</w:t>
      </w:r>
      <w:r>
        <w:t xml:space="preserve"> Circuit on </w:t>
      </w:r>
      <w:r w:rsidRPr="00E002FB">
        <w:t xml:space="preserve">June 3, </w:t>
      </w:r>
      <w:proofErr w:type="gramStart"/>
      <w:r w:rsidRPr="00E002FB">
        <w:t>2019</w:t>
      </w:r>
      <w:proofErr w:type="gramEnd"/>
      <w:r>
        <w:t xml:space="preserve"> in </w:t>
      </w:r>
      <w:r w:rsidRPr="00793A7B">
        <w:rPr>
          <w:u w:val="single"/>
        </w:rPr>
        <w:t>Howard Holt, et al. v. City of Battle Creek</w:t>
      </w:r>
      <w:r>
        <w:t xml:space="preserve">, </w:t>
      </w:r>
    </w:p>
    <w:p w14:paraId="4280A86A" w14:textId="77777777" w:rsidR="005F4889" w:rsidRDefault="005F4889" w:rsidP="005F4889">
      <w:pPr>
        <w:pStyle w:val="NoSpacing"/>
        <w:ind w:left="720"/>
      </w:pPr>
      <w:r>
        <w:t xml:space="preserve">held that Battalion Chiefs were not entitled to overtime pay. </w:t>
      </w:r>
      <w:hyperlink r:id="rId1765" w:history="1">
        <w:r w:rsidRPr="00EB1520">
          <w:rPr>
            <w:rStyle w:val="Hyperlink"/>
          </w:rPr>
          <w:t>https://www.opn.ca6.uscourts.gov/opinions.pdf/19a0114p-06.pdf</w:t>
        </w:r>
      </w:hyperlink>
      <w:r>
        <w:t xml:space="preserve"> </w:t>
      </w:r>
    </w:p>
    <w:p w14:paraId="5CC9AFD1" w14:textId="77777777" w:rsidR="005F4889" w:rsidRDefault="005F4889" w:rsidP="005F4889">
      <w:pPr>
        <w:pStyle w:val="NoSpacing"/>
        <w:ind w:left="720"/>
      </w:pPr>
    </w:p>
    <w:p w14:paraId="406ABF71" w14:textId="77777777" w:rsidR="005F4889" w:rsidRDefault="005F4889" w:rsidP="005F4889">
      <w:pPr>
        <w:pStyle w:val="NoSpacing"/>
        <w:ind w:left="720"/>
      </w:pPr>
      <w:r>
        <w:t xml:space="preserve">See IAFF FLSA Manual (July 2022): </w:t>
      </w:r>
      <w:hyperlink r:id="rId1766" w:history="1">
        <w:r w:rsidRPr="00EB1520">
          <w:rPr>
            <w:rStyle w:val="Hyperlink"/>
          </w:rPr>
          <w:t>https://www.iaff.org/wp-content/uploads/FLSA-Manual-2022-Edition_FINAL.22Aug01.pdf</w:t>
        </w:r>
      </w:hyperlink>
      <w:r>
        <w:t xml:space="preserve">  - Salary Basis.</w:t>
      </w:r>
    </w:p>
    <w:p w14:paraId="56EB6264" w14:textId="77777777" w:rsidR="008626B6" w:rsidRDefault="008626B6" w:rsidP="00020106">
      <w:pPr>
        <w:rPr>
          <w:rFonts w:ascii="Arial Black" w:hAnsi="Arial Black"/>
          <w:b/>
          <w:sz w:val="24"/>
          <w:szCs w:val="24"/>
        </w:rPr>
      </w:pPr>
    </w:p>
    <w:p w14:paraId="7BABF988" w14:textId="77777777" w:rsidR="008626B6" w:rsidRDefault="008626B6" w:rsidP="00020106">
      <w:pPr>
        <w:rPr>
          <w:rFonts w:ascii="Arial Black" w:hAnsi="Arial Black"/>
          <w:b/>
          <w:sz w:val="24"/>
          <w:szCs w:val="24"/>
        </w:rPr>
      </w:pPr>
    </w:p>
    <w:p w14:paraId="14765017" w14:textId="1F0E1E45" w:rsidR="004F2D19" w:rsidRDefault="004F2D19" w:rsidP="00020106">
      <w:pPr>
        <w:rPr>
          <w:rFonts w:ascii="Arial Black" w:hAnsi="Arial Black"/>
          <w:b/>
          <w:sz w:val="24"/>
          <w:szCs w:val="24"/>
        </w:rPr>
      </w:pPr>
      <w:r>
        <w:rPr>
          <w:rFonts w:ascii="Arial Black" w:hAnsi="Arial Black"/>
          <w:b/>
          <w:sz w:val="24"/>
          <w:szCs w:val="24"/>
        </w:rPr>
        <w:t>1</w:t>
      </w:r>
      <w:r w:rsidR="00006AE3">
        <w:rPr>
          <w:rFonts w:ascii="Arial Black" w:hAnsi="Arial Black"/>
          <w:b/>
          <w:sz w:val="24"/>
          <w:szCs w:val="24"/>
        </w:rPr>
        <w:t>1-64</w:t>
      </w:r>
    </w:p>
    <w:p w14:paraId="436A2A63" w14:textId="77777777" w:rsidR="004F2D19" w:rsidRPr="00FD47DD" w:rsidRDefault="004F2D19" w:rsidP="004F2D19">
      <w:pPr>
        <w:rPr>
          <w:rFonts w:ascii="Arial Black" w:hAnsi="Arial Black"/>
          <w:b/>
          <w:sz w:val="28"/>
          <w:szCs w:val="28"/>
        </w:rPr>
      </w:pPr>
      <w:r>
        <w:rPr>
          <w:rFonts w:ascii="Arial Black" w:hAnsi="Arial Black"/>
          <w:b/>
          <w:sz w:val="28"/>
          <w:szCs w:val="28"/>
        </w:rPr>
        <w:t>MA: FF / NAT. GUARD – CITY PAY 40 DAYS / FOR 40 SHIFTS</w:t>
      </w:r>
    </w:p>
    <w:p w14:paraId="5AE8FE9E" w14:textId="77777777" w:rsidR="004F2D19" w:rsidRDefault="004F2D19" w:rsidP="004F2D19">
      <w:r>
        <w:t xml:space="preserve">On November 21, 2025, in </w:t>
      </w:r>
      <w:r w:rsidRPr="00C30366">
        <w:rPr>
          <w:u w:val="single"/>
        </w:rPr>
        <w:t>Robert Driscoll v. City of Melrose</w:t>
      </w:r>
      <w:r>
        <w:t xml:space="preserve">, the </w:t>
      </w:r>
      <w:r w:rsidRPr="00504997">
        <w:t>Appeals Court of Massachusetts, Middlesex</w:t>
      </w:r>
      <w:r>
        <w:t xml:space="preserve"> held (3 to 0) that Firefighter / C</w:t>
      </w:r>
      <w:r w:rsidRPr="00DE1F7C">
        <w:t xml:space="preserve">olonel in the </w:t>
      </w:r>
      <w:r>
        <w:t xml:space="preserve">U.S. Air Force - </w:t>
      </w:r>
      <w:r w:rsidRPr="00DE1F7C">
        <w:t>Air National Guard</w:t>
      </w:r>
      <w:r>
        <w:t xml:space="preserve"> is entitled under Massachusetts law to full fire department of pay when on active duty for </w:t>
      </w:r>
      <w:r w:rsidRPr="00891DBD">
        <w:t>"the first 40 consecutive calendar days of an annual tour of duty"</w:t>
      </w:r>
      <w:r>
        <w:t xml:space="preserve"> and a calendar day must be calculated as each of his missed 24-hour shifts.  The city was calculating that each 24-shift was same </w:t>
      </w:r>
      <w:proofErr w:type="gramStart"/>
      <w:r>
        <w:t>a two</w:t>
      </w:r>
      <w:proofErr w:type="gramEnd"/>
      <w:r>
        <w:t xml:space="preserve"> calendar </w:t>
      </w:r>
      <w:proofErr w:type="gramStart"/>
      <w:r>
        <w:t>days, and</w:t>
      </w:r>
      <w:proofErr w:type="gramEnd"/>
      <w:r>
        <w:t xml:space="preserve"> only pay him for 20 consecutive calendar days.  THE COURT WROTE: “</w:t>
      </w:r>
      <w:r w:rsidRPr="00632518">
        <w:t xml:space="preserve">General Laws c. 33, § 59 (a), requires participating government entities to pay the full salary of an employee performing certain military service for "40 days in any federal fiscal year," and states that a day "shall mean any 24-hour period regardless of calendar day."  Applying the plain meaning of these words, we conclude that the firefighter is entitled to pay for up to forty </w:t>
      </w:r>
      <w:proofErr w:type="gramStart"/>
      <w:r w:rsidRPr="00632518">
        <w:t>twenty-four hour</w:t>
      </w:r>
      <w:proofErr w:type="gramEnd"/>
      <w:r w:rsidRPr="00632518">
        <w:t xml:space="preserve"> shifts missed during his military service in each Federal fiscal year, and not (as the city claims) up to twenty such shifts in a consecutive period of forty days.  Accordingly, we reverse.</w:t>
      </w:r>
      <w:r>
        <w:t>”</w:t>
      </w:r>
      <w:r w:rsidRPr="0076709D">
        <w:t xml:space="preserve"> </w:t>
      </w:r>
      <w:hyperlink r:id="rId1767" w:history="1">
        <w:r w:rsidRPr="00422760">
          <w:rPr>
            <w:rStyle w:val="Hyperlink"/>
          </w:rPr>
          <w:t>https://www.mass.gov/doc/driscoll-v-city-of-melrose-ac-s24p1114/download</w:t>
        </w:r>
      </w:hyperlink>
      <w:r>
        <w:t xml:space="preserve"> </w:t>
      </w:r>
    </w:p>
    <w:p w14:paraId="377CC765" w14:textId="77777777" w:rsidR="004F2D19" w:rsidRDefault="004F2D19" w:rsidP="004F2D19">
      <w:pPr>
        <w:pStyle w:val="NoSpacing"/>
      </w:pPr>
    </w:p>
    <w:p w14:paraId="48FA38EB" w14:textId="77777777" w:rsidR="004F2D19" w:rsidRDefault="004F2D19" w:rsidP="004F2D19">
      <w:pPr>
        <w:pStyle w:val="NoSpacing"/>
      </w:pPr>
      <w:r>
        <w:t>THE COURT HELD:</w:t>
      </w:r>
    </w:p>
    <w:p w14:paraId="4266774C" w14:textId="77777777" w:rsidR="004F2D19" w:rsidRDefault="004F2D19" w:rsidP="004F2D19">
      <w:pPr>
        <w:pStyle w:val="NoSpacing"/>
      </w:pPr>
    </w:p>
    <w:p w14:paraId="6FFB75F9" w14:textId="77777777" w:rsidR="004F2D19" w:rsidRDefault="004F2D19" w:rsidP="004F2D19">
      <w:pPr>
        <w:pStyle w:val="NoSpacing"/>
        <w:ind w:left="720"/>
      </w:pPr>
      <w:r>
        <w:t>“</w:t>
      </w:r>
      <w:r w:rsidRPr="005611B1">
        <w:t xml:space="preserve">Each </w:t>
      </w:r>
      <w:proofErr w:type="gramStart"/>
      <w:r w:rsidRPr="005611B1">
        <w:t>twenty-four hour</w:t>
      </w:r>
      <w:proofErr w:type="gramEnd"/>
      <w:r w:rsidRPr="005611B1">
        <w:t xml:space="preserve"> shift began at 7 A.M. and concluded the following calendar day at the same time.  Pursuant to the CBA, the </w:t>
      </w:r>
      <w:proofErr w:type="gramStart"/>
      <w:r w:rsidRPr="005611B1">
        <w:t>twenty-four hour</w:t>
      </w:r>
      <w:proofErr w:type="gramEnd"/>
      <w:r w:rsidRPr="005611B1">
        <w:t xml:space="preserve"> shift consisted of two separate shifts:  a ten-hour day shift followed by a fourteen-hour night shift.  For purposes of vacation or sick leave, the ten-hour and fourteen-hour shifts were considered separate days, amounting to two total days for one </w:t>
      </w:r>
      <w:proofErr w:type="gramStart"/>
      <w:r w:rsidRPr="005611B1">
        <w:t>twenty-four hour</w:t>
      </w:r>
      <w:proofErr w:type="gramEnd"/>
      <w:r w:rsidRPr="005611B1">
        <w:t xml:space="preserve"> shift.  Accordingly, a firefighter who missed a </w:t>
      </w:r>
      <w:proofErr w:type="gramStart"/>
      <w:r w:rsidRPr="005611B1">
        <w:t>twenty-four hour</w:t>
      </w:r>
      <w:proofErr w:type="gramEnd"/>
      <w:r w:rsidRPr="005611B1">
        <w:t xml:space="preserve"> shift because of a vacation or illness would expend two days of vacation time or sick time.</w:t>
      </w:r>
    </w:p>
    <w:p w14:paraId="1CE9C9B8" w14:textId="77777777" w:rsidR="004F2D19" w:rsidRDefault="004F2D19" w:rsidP="004F2D19">
      <w:pPr>
        <w:pStyle w:val="NoSpacing"/>
        <w:ind w:left="720"/>
      </w:pPr>
    </w:p>
    <w:p w14:paraId="4FEC5FD9" w14:textId="77777777" w:rsidR="004F2D19" w:rsidRDefault="004F2D19" w:rsidP="004F2D19">
      <w:pPr>
        <w:pStyle w:val="NoSpacing"/>
        <w:ind w:left="720"/>
      </w:pPr>
      <w:r>
        <w:t>***</w:t>
      </w:r>
    </w:p>
    <w:p w14:paraId="3A25F707" w14:textId="77777777" w:rsidR="004F2D19" w:rsidRDefault="004F2D19" w:rsidP="004F2D19">
      <w:pPr>
        <w:pStyle w:val="NoSpacing"/>
        <w:ind w:left="720"/>
      </w:pPr>
      <w:r w:rsidRPr="00E93688">
        <w:t xml:space="preserve">During the entire time that the firefighter worked for the city, he served as an officer in the United States Air Force, reaching the rank of colonel in the Air National Guard.  This role required the firefighter to take occasional leave for military service, both for training and after being called up for active duty.  Relevant here, between October 2019 and March 2020, the firefighter missed six </w:t>
      </w:r>
      <w:proofErr w:type="gramStart"/>
      <w:r w:rsidRPr="00E93688">
        <w:t>twenty-four hour</w:t>
      </w:r>
      <w:proofErr w:type="gramEnd"/>
      <w:r w:rsidRPr="00E93688">
        <w:t xml:space="preserve"> shifts for military training.  On April 10, 2020, he went on active military leave and missed thirty-two </w:t>
      </w:r>
      <w:proofErr w:type="gramStart"/>
      <w:r w:rsidRPr="00E93688">
        <w:t>twenty-four hour</w:t>
      </w:r>
      <w:proofErr w:type="gramEnd"/>
      <w:r w:rsidRPr="00E93688">
        <w:t xml:space="preserve"> shifts between that date and August 14, 2020.  In August and September 2020, the firefighter missed another four </w:t>
      </w:r>
      <w:proofErr w:type="gramStart"/>
      <w:r w:rsidRPr="00E93688">
        <w:t>twenty-four hour</w:t>
      </w:r>
      <w:proofErr w:type="gramEnd"/>
      <w:r w:rsidRPr="00E93688">
        <w:t xml:space="preserve"> shifts for military training.</w:t>
      </w:r>
    </w:p>
    <w:p w14:paraId="5D82904C" w14:textId="77777777" w:rsidR="004F2D19" w:rsidRDefault="004F2D19" w:rsidP="004F2D19">
      <w:pPr>
        <w:pStyle w:val="NoSpacing"/>
        <w:ind w:left="720"/>
      </w:pPr>
    </w:p>
    <w:p w14:paraId="74E69BC2" w14:textId="77777777" w:rsidR="004F2D19" w:rsidRDefault="004F2D19" w:rsidP="004F2D19">
      <w:pPr>
        <w:pStyle w:val="NoSpacing"/>
        <w:ind w:left="720"/>
      </w:pPr>
      <w:r w:rsidRPr="00646958">
        <w:t xml:space="preserve">The next Federal fiscal year began on October 1, 2020.  See 31 U.S.C. § 1102.  In October 2020, the firefighter missed one twenty-four shift and one fourteen-hour night shift for military training.  On November 28, 2020, the firefighter was again deployed for active military service, which lasted until September 5, 2021.  During that time, he missed seventy </w:t>
      </w:r>
      <w:proofErr w:type="gramStart"/>
      <w:r w:rsidRPr="00646958">
        <w:t>twenty-four hour</w:t>
      </w:r>
      <w:proofErr w:type="gramEnd"/>
      <w:r w:rsidRPr="00646958">
        <w:t xml:space="preserve"> shifts.</w:t>
      </w:r>
    </w:p>
    <w:p w14:paraId="4DF24DBF" w14:textId="77777777" w:rsidR="004F2D19" w:rsidRDefault="004F2D19" w:rsidP="004F2D19">
      <w:pPr>
        <w:pStyle w:val="NoSpacing"/>
        <w:ind w:left="720"/>
      </w:pPr>
    </w:p>
    <w:p w14:paraId="639D845B" w14:textId="77777777" w:rsidR="004F2D19" w:rsidRDefault="004F2D19" w:rsidP="004F2D19">
      <w:pPr>
        <w:pStyle w:val="NoSpacing"/>
        <w:ind w:left="720"/>
      </w:pPr>
      <w:r>
        <w:t>***</w:t>
      </w:r>
    </w:p>
    <w:p w14:paraId="2CEB8D72" w14:textId="77777777" w:rsidR="004F2D19" w:rsidRDefault="004F2D19" w:rsidP="004F2D19">
      <w:pPr>
        <w:pStyle w:val="NoSpacing"/>
        <w:ind w:left="720"/>
      </w:pPr>
    </w:p>
    <w:p w14:paraId="639E27F4" w14:textId="77777777" w:rsidR="004F2D19" w:rsidRDefault="004F2D19" w:rsidP="004F2D19">
      <w:pPr>
        <w:pStyle w:val="NoSpacing"/>
        <w:ind w:left="720"/>
      </w:pPr>
      <w:r>
        <w:t>[Footnote 2.]</w:t>
      </w:r>
      <w:r w:rsidRPr="003922F4">
        <w:t xml:space="preserve">As stated, the city actually paid the firefighter in full for twenty </w:t>
      </w:r>
      <w:proofErr w:type="gramStart"/>
      <w:r w:rsidRPr="003922F4">
        <w:t>twenty-four hour</w:t>
      </w:r>
      <w:proofErr w:type="gramEnd"/>
      <w:r w:rsidRPr="003922F4">
        <w:t xml:space="preserve"> shifts in each Federal fiscal year, regardless of whether that service occurred within a consecutive forty-day period.  Of course, G. L. c. 33, § 59 (a), provides a floor, not a ceiling.  The city was free to pay the firefighter more than its interpretation of G. L. c. 33, § 59 (a), </w:t>
      </w:r>
      <w:proofErr w:type="gramStart"/>
      <w:r w:rsidRPr="003922F4">
        <w:t>required.</w:t>
      </w:r>
      <w:r>
        <w:t>”</w:t>
      </w:r>
      <w:proofErr w:type="gramEnd"/>
    </w:p>
    <w:p w14:paraId="456F97CD" w14:textId="77777777" w:rsidR="004F2D19" w:rsidRDefault="004F2D19" w:rsidP="004F2D19">
      <w:pPr>
        <w:pStyle w:val="NoSpacing"/>
        <w:ind w:left="720"/>
      </w:pPr>
    </w:p>
    <w:p w14:paraId="651F7D58" w14:textId="77777777" w:rsidR="004F2D19" w:rsidRDefault="004F2D19" w:rsidP="004F2D19">
      <w:pPr>
        <w:pStyle w:val="NoSpacing"/>
        <w:rPr>
          <w:b/>
          <w:bCs/>
        </w:rPr>
      </w:pPr>
      <w:r>
        <w:rPr>
          <w:b/>
        </w:rPr>
        <w:lastRenderedPageBreak/>
        <w:t xml:space="preserve">Legal lesson learned: The firefighter’s position was supported by the Massachusetts Attorney General; hopefully the AG will send out communication to municipalities so other </w:t>
      </w:r>
      <w:proofErr w:type="gramStart"/>
      <w:r>
        <w:rPr>
          <w:b/>
        </w:rPr>
        <w:t>firefighter</w:t>
      </w:r>
      <w:proofErr w:type="gramEnd"/>
      <w:r>
        <w:rPr>
          <w:b/>
        </w:rPr>
        <w:t xml:space="preserve"> / military personnel don’t need to litigate similar claims. </w:t>
      </w:r>
    </w:p>
    <w:p w14:paraId="04188C10" w14:textId="77777777" w:rsidR="004F2D19" w:rsidRDefault="004F2D19" w:rsidP="004F2D19">
      <w:pPr>
        <w:pStyle w:val="NoSpacing"/>
        <w:rPr>
          <w:b/>
          <w:bCs/>
        </w:rPr>
      </w:pPr>
    </w:p>
    <w:p w14:paraId="3CC1F54A" w14:textId="77777777" w:rsidR="004F2D19" w:rsidRPr="001B2597" w:rsidRDefault="004F2D19" w:rsidP="004F2D19">
      <w:pPr>
        <w:pStyle w:val="NoSpacing"/>
        <w:ind w:left="720"/>
      </w:pPr>
      <w:r w:rsidRPr="001B2597">
        <w:t xml:space="preserve">Note: See the Federal Uniformed Services Employment and Reemployment Rights Act.   “Your USERRA Rights as an Employee.” </w:t>
      </w:r>
      <w:hyperlink r:id="rId1768" w:history="1">
        <w:r w:rsidRPr="001B2597">
          <w:rPr>
            <w:rStyle w:val="Hyperlink"/>
          </w:rPr>
          <w:t>https://osc.gov/Services/Pages/USERRA-Employee.aspx</w:t>
        </w:r>
      </w:hyperlink>
      <w:r w:rsidRPr="001B2597">
        <w:t xml:space="preserve"> </w:t>
      </w:r>
    </w:p>
    <w:p w14:paraId="77EBE98D" w14:textId="77777777" w:rsidR="004F2D19" w:rsidRDefault="004F2D19" w:rsidP="004F2D19">
      <w:pPr>
        <w:pStyle w:val="NoSpacing"/>
        <w:rPr>
          <w:b/>
          <w:bCs/>
        </w:rPr>
      </w:pPr>
    </w:p>
    <w:p w14:paraId="306BC5FA" w14:textId="77777777" w:rsidR="004F2D19" w:rsidRPr="00F76861" w:rsidRDefault="004F2D19" w:rsidP="004F2D19">
      <w:pPr>
        <w:pStyle w:val="NoSpacing"/>
        <w:ind w:left="720"/>
        <w:rPr>
          <w:bCs/>
        </w:rPr>
      </w:pPr>
      <w:r>
        <w:t>“</w:t>
      </w:r>
      <w:r w:rsidRPr="00F76861">
        <w:t>Returning service members are also entitled to receive benefits and seniority as ​though they had remained continuously employed. For instance, if an employee works at a company for two years and then completes one year of military service before returning, her employer must treat her as though she had worked continuously for three years when calculating the following benefits:</w:t>
      </w:r>
    </w:p>
    <w:p w14:paraId="3196D61F" w14:textId="77777777" w:rsidR="004F2D19" w:rsidRPr="00F76861" w:rsidRDefault="004F2D19" w:rsidP="004F2D19">
      <w:pPr>
        <w:pStyle w:val="NoSpacing"/>
        <w:numPr>
          <w:ilvl w:val="0"/>
          <w:numId w:val="37"/>
        </w:numPr>
        <w:tabs>
          <w:tab w:val="clear" w:pos="720"/>
          <w:tab w:val="num" w:pos="1440"/>
        </w:tabs>
        <w:ind w:left="1440"/>
        <w:rPr>
          <w:bCs/>
        </w:rPr>
      </w:pPr>
      <w:r w:rsidRPr="00F76861">
        <w:t>Paid leave (although no leave is accrued while the employee is absent)</w:t>
      </w:r>
    </w:p>
    <w:p w14:paraId="02A135FD" w14:textId="77777777" w:rsidR="004F2D19" w:rsidRPr="00F76861" w:rsidRDefault="004F2D19" w:rsidP="004F2D19">
      <w:pPr>
        <w:pStyle w:val="NoSpacing"/>
        <w:numPr>
          <w:ilvl w:val="0"/>
          <w:numId w:val="37"/>
        </w:numPr>
        <w:tabs>
          <w:tab w:val="clear" w:pos="720"/>
          <w:tab w:val="num" w:pos="1440"/>
        </w:tabs>
        <w:ind w:left="1440"/>
        <w:rPr>
          <w:bCs/>
        </w:rPr>
      </w:pPr>
      <w:r w:rsidRPr="00F76861">
        <w:t>Salary</w:t>
      </w:r>
    </w:p>
    <w:p w14:paraId="7DA0CC66" w14:textId="77777777" w:rsidR="004F2D19" w:rsidRPr="00F76861" w:rsidRDefault="004F2D19" w:rsidP="004F2D19">
      <w:pPr>
        <w:pStyle w:val="NoSpacing"/>
        <w:numPr>
          <w:ilvl w:val="0"/>
          <w:numId w:val="37"/>
        </w:numPr>
        <w:tabs>
          <w:tab w:val="clear" w:pos="720"/>
          <w:tab w:val="num" w:pos="1440"/>
        </w:tabs>
        <w:ind w:left="1440"/>
        <w:rPr>
          <w:bCs/>
        </w:rPr>
      </w:pPr>
      <w:r w:rsidRPr="00F76861">
        <w:t>Credit toward completing probationary periods</w:t>
      </w:r>
    </w:p>
    <w:p w14:paraId="1CCE6CAE" w14:textId="77777777" w:rsidR="004F2D19" w:rsidRPr="00F76861" w:rsidRDefault="004F2D19" w:rsidP="004F2D19">
      <w:pPr>
        <w:pStyle w:val="NoSpacing"/>
        <w:numPr>
          <w:ilvl w:val="0"/>
          <w:numId w:val="37"/>
        </w:numPr>
        <w:tabs>
          <w:tab w:val="clear" w:pos="720"/>
          <w:tab w:val="num" w:pos="1440"/>
        </w:tabs>
        <w:ind w:left="1440"/>
        <w:rPr>
          <w:bCs/>
        </w:rPr>
      </w:pPr>
      <w:r w:rsidRPr="00F76861">
        <w:t>Eligibility for promotions</w:t>
      </w:r>
    </w:p>
    <w:p w14:paraId="362C10ED" w14:textId="77777777" w:rsidR="004F2D19" w:rsidRPr="00F76861" w:rsidRDefault="004F2D19" w:rsidP="004F2D19">
      <w:pPr>
        <w:pStyle w:val="NoSpacing"/>
        <w:numPr>
          <w:ilvl w:val="0"/>
          <w:numId w:val="37"/>
        </w:numPr>
        <w:tabs>
          <w:tab w:val="clear" w:pos="720"/>
          <w:tab w:val="num" w:pos="1440"/>
        </w:tabs>
        <w:ind w:left="1440"/>
        <w:rPr>
          <w:bCs/>
        </w:rPr>
      </w:pPr>
      <w:r w:rsidRPr="00F76861">
        <w:t>Anything else that is tied to the employee’s longevity at the workplace</w:t>
      </w:r>
      <w:r>
        <w:t>.”</w:t>
      </w:r>
    </w:p>
    <w:p w14:paraId="53921309" w14:textId="77777777" w:rsidR="004F2D19" w:rsidRDefault="004F2D19" w:rsidP="004F2D19">
      <w:pPr>
        <w:pStyle w:val="NoSpacing"/>
      </w:pPr>
    </w:p>
    <w:p w14:paraId="54C2775E" w14:textId="7B566B44" w:rsidR="004F2D19" w:rsidRDefault="00006AE3" w:rsidP="00020106">
      <w:pPr>
        <w:rPr>
          <w:rFonts w:ascii="Arial Black" w:hAnsi="Arial Black"/>
          <w:b/>
          <w:sz w:val="24"/>
          <w:szCs w:val="24"/>
        </w:rPr>
      </w:pPr>
      <w:r>
        <w:rPr>
          <w:rFonts w:ascii="Arial Black" w:hAnsi="Arial Black"/>
          <w:b/>
          <w:sz w:val="24"/>
          <w:szCs w:val="24"/>
        </w:rPr>
        <w:t>11-63</w:t>
      </w:r>
    </w:p>
    <w:p w14:paraId="7F86A6A6" w14:textId="17F649B8" w:rsidR="00515C56" w:rsidRPr="007D35F7" w:rsidRDefault="005F2DAC" w:rsidP="00515C56">
      <w:pPr>
        <w:pStyle w:val="NoSpacing"/>
        <w:rPr>
          <w:rFonts w:ascii="Arial Black" w:hAnsi="Arial Black"/>
          <w:sz w:val="28"/>
          <w:szCs w:val="28"/>
        </w:rPr>
      </w:pPr>
      <w:r>
        <w:rPr>
          <w:rFonts w:ascii="Arial Black" w:hAnsi="Arial Black"/>
          <w:sz w:val="28"/>
          <w:szCs w:val="28"/>
        </w:rPr>
        <w:t>U.S. D</w:t>
      </w:r>
      <w:r w:rsidR="00E16F2F">
        <w:rPr>
          <w:rFonts w:ascii="Arial Black" w:hAnsi="Arial Black"/>
          <w:sz w:val="28"/>
          <w:szCs w:val="28"/>
        </w:rPr>
        <w:t xml:space="preserve">OL: </w:t>
      </w:r>
      <w:r w:rsidR="00515C56">
        <w:rPr>
          <w:rFonts w:ascii="Arial Black" w:hAnsi="Arial Black"/>
          <w:sz w:val="28"/>
          <w:szCs w:val="28"/>
        </w:rPr>
        <w:t xml:space="preserve">BONUS PAY / EMERG </w:t>
      </w:r>
      <w:r w:rsidR="00400FF9">
        <w:rPr>
          <w:rFonts w:ascii="Arial Black" w:hAnsi="Arial Black"/>
          <w:sz w:val="28"/>
          <w:szCs w:val="28"/>
        </w:rPr>
        <w:t>DAYS</w:t>
      </w:r>
      <w:r w:rsidR="00E8499A">
        <w:rPr>
          <w:rFonts w:ascii="Arial Black" w:hAnsi="Arial Black"/>
          <w:sz w:val="28"/>
          <w:szCs w:val="28"/>
        </w:rPr>
        <w:t xml:space="preserve"> – INC</w:t>
      </w:r>
      <w:r w:rsidR="00DC4A38">
        <w:rPr>
          <w:rFonts w:ascii="Arial Black" w:hAnsi="Arial Black"/>
          <w:sz w:val="28"/>
          <w:szCs w:val="28"/>
        </w:rPr>
        <w:t xml:space="preserve">LUDE AS </w:t>
      </w:r>
      <w:r w:rsidR="00515C56">
        <w:rPr>
          <w:rFonts w:ascii="Arial Black" w:hAnsi="Arial Black"/>
          <w:sz w:val="28"/>
          <w:szCs w:val="28"/>
        </w:rPr>
        <w:t>“REGULAR RATE</w:t>
      </w:r>
      <w:r w:rsidR="00E8499A">
        <w:rPr>
          <w:rFonts w:ascii="Arial Black" w:hAnsi="Arial Black"/>
          <w:sz w:val="28"/>
          <w:szCs w:val="28"/>
        </w:rPr>
        <w:t>”</w:t>
      </w:r>
    </w:p>
    <w:p w14:paraId="53B885B0" w14:textId="77777777" w:rsidR="0042214E" w:rsidRDefault="0042214E" w:rsidP="0042214E">
      <w:pPr>
        <w:pStyle w:val="NoSpacing"/>
        <w:ind w:left="720"/>
      </w:pPr>
    </w:p>
    <w:p w14:paraId="68EDA35A" w14:textId="77777777" w:rsidR="0042214E" w:rsidRDefault="0042214E" w:rsidP="0042214E">
      <w:pPr>
        <w:rPr>
          <w:b/>
        </w:rPr>
      </w:pPr>
      <w:r>
        <w:t xml:space="preserve">On September 30, 2025, the U.S. Department of Labor / Wage &amp; Hour Division issued Opinion Letter 2025-04, which concluded that the “emergency pay” bonus </w:t>
      </w:r>
      <w:r w:rsidRPr="00A221F2">
        <w:t>of one half the employee’s regular hourly rate of pay</w:t>
      </w:r>
      <w:r>
        <w:t xml:space="preserve"> </w:t>
      </w:r>
      <w:r w:rsidRPr="00A221F2">
        <w:t>for every hour worked during an “emergency period</w:t>
      </w:r>
      <w:r>
        <w:t xml:space="preserve">” is not a discretionary payment by the employer.  Since it must be paid, then employer must include the payments when calculating the firefighter’s “regular rate of pay” when working normal overtimes. </w:t>
      </w:r>
      <w:hyperlink r:id="rId1769" w:history="1">
        <w:r w:rsidRPr="000D68E6">
          <w:rPr>
            <w:rStyle w:val="Hyperlink"/>
            <w:b/>
          </w:rPr>
          <w:t>https://www.dol.gov/sites/dolgov/files/WHD/opinion-letters/FLSA/FLSA-2025-04.pdf</w:t>
        </w:r>
      </w:hyperlink>
      <w:r>
        <w:rPr>
          <w:b/>
        </w:rPr>
        <w:t xml:space="preserve"> </w:t>
      </w:r>
    </w:p>
    <w:p w14:paraId="7FA09B8B" w14:textId="77777777" w:rsidR="0042214E" w:rsidRDefault="0042214E" w:rsidP="0042214E">
      <w:pPr>
        <w:pStyle w:val="NoSpacing"/>
      </w:pPr>
    </w:p>
    <w:p w14:paraId="4F7C1A42" w14:textId="77777777" w:rsidR="0042214E" w:rsidRDefault="0042214E" w:rsidP="0042214E">
      <w:pPr>
        <w:pStyle w:val="NoSpacing"/>
      </w:pPr>
      <w:r>
        <w:t>THE OPINION CONCLUDED:</w:t>
      </w:r>
    </w:p>
    <w:p w14:paraId="67082C11" w14:textId="77777777" w:rsidR="0042214E" w:rsidRDefault="0042214E" w:rsidP="0042214E">
      <w:pPr>
        <w:pStyle w:val="NoSpacing"/>
      </w:pPr>
    </w:p>
    <w:p w14:paraId="3F8F7D10" w14:textId="77777777" w:rsidR="0042214E" w:rsidRDefault="0042214E" w:rsidP="0042214E">
      <w:pPr>
        <w:pStyle w:val="NoSpacing"/>
        <w:ind w:left="720"/>
      </w:pPr>
      <w:r>
        <w:t>“</w:t>
      </w:r>
      <w:r w:rsidRPr="00140178">
        <w:t>It is our opinion that, under the circumstances presented and limited to the specific facts set forth</w:t>
      </w:r>
      <w:r>
        <w:t xml:space="preserve"> </w:t>
      </w:r>
      <w:r w:rsidRPr="00140178">
        <w:t>in the request, the “emergency pay” is not excludable from the regular rate of pay because the fact</w:t>
      </w:r>
      <w:r>
        <w:t xml:space="preserve"> </w:t>
      </w:r>
      <w:r w:rsidRPr="00140178">
        <w:t>and amount of the payment are not within the sole discretion of the employer at or near the end of</w:t>
      </w:r>
      <w:r>
        <w:t xml:space="preserve"> </w:t>
      </w:r>
      <w:r w:rsidRPr="00140178">
        <w:t>the work period, and the pay does not otherwise fit within a statutory exclusion. Accordingly, the</w:t>
      </w:r>
      <w:r>
        <w:t xml:space="preserve"> </w:t>
      </w:r>
      <w:r w:rsidRPr="00140178">
        <w:t xml:space="preserve">employer at issue should include </w:t>
      </w:r>
      <w:r>
        <w:t>‘</w:t>
      </w:r>
      <w:r w:rsidRPr="00140178">
        <w:t>emergency pay</w:t>
      </w:r>
      <w:r>
        <w:t>’</w:t>
      </w:r>
      <w:r w:rsidRPr="00140178">
        <w:t xml:space="preserve"> earned for hours worked within the regular rate</w:t>
      </w:r>
      <w:r>
        <w:t xml:space="preserve"> </w:t>
      </w:r>
      <w:r w:rsidRPr="00140178">
        <w:t>for purposes of overtime premium calculations using the method described below.</w:t>
      </w:r>
    </w:p>
    <w:p w14:paraId="7EBDB66F" w14:textId="77777777" w:rsidR="0042214E" w:rsidRDefault="0042214E" w:rsidP="0042214E">
      <w:pPr>
        <w:pStyle w:val="NoSpacing"/>
        <w:ind w:left="720"/>
      </w:pPr>
    </w:p>
    <w:p w14:paraId="4F0CC88B" w14:textId="77777777" w:rsidR="0042214E" w:rsidRDefault="0042214E" w:rsidP="0042214E">
      <w:pPr>
        <w:pStyle w:val="NoSpacing"/>
        <w:ind w:left="720"/>
      </w:pPr>
      <w:r>
        <w:t>***</w:t>
      </w:r>
    </w:p>
    <w:p w14:paraId="38765F07" w14:textId="77777777" w:rsidR="0042214E" w:rsidRPr="00140178" w:rsidRDefault="0042214E" w:rsidP="0042214E">
      <w:pPr>
        <w:pStyle w:val="NoSpacing"/>
        <w:ind w:left="720"/>
      </w:pPr>
      <w:r>
        <w:t>The FLSA requires that three conditions be satisfied for a payment to qualify as an excludable discretionary bonus: (1) the fact and amount of the payment must be ‘determined at the sole discretion of the employer’; (2) the employer’s determination must occur ‘at or near the end of the period’ when the employee’s work was performed; and (3) the payment must not be made pursuant to ‘any prior contract, agreement, or promise’ causing employees to expect such payments regularly. 29 U.S.C. § 207(e)(3). Here, regardless of whether the city’s policy would constitute a prior contract, agreement, or promise, the first two conditions are not satisfied.”</w:t>
      </w:r>
    </w:p>
    <w:p w14:paraId="302863EA" w14:textId="77777777" w:rsidR="0042214E" w:rsidRDefault="0042214E" w:rsidP="0042214E">
      <w:pPr>
        <w:rPr>
          <w:b/>
        </w:rPr>
      </w:pPr>
    </w:p>
    <w:p w14:paraId="188DCFB8" w14:textId="58AB1A78" w:rsidR="0042214E" w:rsidRDefault="0042214E" w:rsidP="0042214E">
      <w:pPr>
        <w:rPr>
          <w:b/>
        </w:rPr>
      </w:pPr>
      <w:r>
        <w:rPr>
          <w:b/>
        </w:rPr>
        <w:t>Legal lesson learned: Consult with legal counsel prior to treat</w:t>
      </w:r>
      <w:r w:rsidR="00B973D2">
        <w:rPr>
          <w:b/>
        </w:rPr>
        <w:t>ing</w:t>
      </w:r>
      <w:r>
        <w:rPr>
          <w:b/>
        </w:rPr>
        <w:t xml:space="preserve"> any bonus payments as “excludable discretionary bonuses. ” </w:t>
      </w:r>
    </w:p>
    <w:p w14:paraId="136672CE" w14:textId="77777777" w:rsidR="0042214E" w:rsidRPr="00B00F68" w:rsidRDefault="0042214E" w:rsidP="0042214E">
      <w:pPr>
        <w:ind w:left="720"/>
        <w:rPr>
          <w:bCs/>
        </w:rPr>
      </w:pPr>
      <w:r w:rsidRPr="00B00F68">
        <w:t xml:space="preserve">Note: See FLSA Fact Sheet #56C, December 2019 for examples of bonuses thar may be excludable discretionary bonus. </w:t>
      </w:r>
      <w:hyperlink r:id="rId1770" w:history="1">
        <w:r w:rsidRPr="00D443D2">
          <w:rPr>
            <w:rStyle w:val="Hyperlink"/>
          </w:rPr>
          <w:t>https://www.dol.gov/agencies/whd/fact-sheets/56c-bonuses</w:t>
        </w:r>
      </w:hyperlink>
      <w:r>
        <w:t xml:space="preserve"> </w:t>
      </w:r>
    </w:p>
    <w:p w14:paraId="5C4EFBB6" w14:textId="77777777" w:rsidR="0042214E" w:rsidRPr="00236419" w:rsidRDefault="0042214E" w:rsidP="0042214E">
      <w:pPr>
        <w:ind w:left="720"/>
        <w:rPr>
          <w:bCs/>
        </w:rPr>
      </w:pPr>
      <w:r w:rsidRPr="00B00F68">
        <w:lastRenderedPageBreak/>
        <w:t>“</w:t>
      </w:r>
      <w:r w:rsidRPr="00236419">
        <w:t xml:space="preserve">Examples of some common bonuses that may be excludable discretionary bonuses if they meet the statutory requirements include: </w:t>
      </w:r>
    </w:p>
    <w:p w14:paraId="5D1B5BC4" w14:textId="77777777" w:rsidR="0042214E" w:rsidRPr="00236419" w:rsidRDefault="0042214E" w:rsidP="0042214E">
      <w:pPr>
        <w:numPr>
          <w:ilvl w:val="0"/>
          <w:numId w:val="38"/>
        </w:numPr>
        <w:spacing w:after="160" w:line="259" w:lineRule="auto"/>
        <w:rPr>
          <w:bCs/>
        </w:rPr>
      </w:pPr>
      <w:r w:rsidRPr="00236419">
        <w:t xml:space="preserve">Bonuses for overcoming a challenging or stressful situation; </w:t>
      </w:r>
    </w:p>
    <w:p w14:paraId="7D9C688F" w14:textId="77777777" w:rsidR="0042214E" w:rsidRPr="00236419" w:rsidRDefault="0042214E" w:rsidP="0042214E">
      <w:pPr>
        <w:numPr>
          <w:ilvl w:val="0"/>
          <w:numId w:val="38"/>
        </w:numPr>
        <w:spacing w:after="160" w:line="259" w:lineRule="auto"/>
        <w:rPr>
          <w:bCs/>
        </w:rPr>
      </w:pPr>
      <w:r w:rsidRPr="00236419">
        <w:t xml:space="preserve">Bonuses to employees who made unique or extraordinary efforts not awarded according to pre-established criteria; </w:t>
      </w:r>
    </w:p>
    <w:p w14:paraId="7464278A" w14:textId="77777777" w:rsidR="0042214E" w:rsidRPr="00236419" w:rsidRDefault="0042214E" w:rsidP="0042214E">
      <w:pPr>
        <w:numPr>
          <w:ilvl w:val="0"/>
          <w:numId w:val="38"/>
        </w:numPr>
        <w:spacing w:after="160" w:line="259" w:lineRule="auto"/>
        <w:rPr>
          <w:bCs/>
        </w:rPr>
      </w:pPr>
      <w:r w:rsidRPr="00236419">
        <w:t xml:space="preserve">Employee-of-the-month bonuses; </w:t>
      </w:r>
    </w:p>
    <w:p w14:paraId="414DC10F" w14:textId="77777777" w:rsidR="0042214E" w:rsidRPr="00236419" w:rsidRDefault="0042214E" w:rsidP="0042214E">
      <w:pPr>
        <w:numPr>
          <w:ilvl w:val="0"/>
          <w:numId w:val="38"/>
        </w:numPr>
        <w:spacing w:after="160" w:line="259" w:lineRule="auto"/>
        <w:rPr>
          <w:bCs/>
        </w:rPr>
      </w:pPr>
      <w:r w:rsidRPr="00236419">
        <w:t>Severance bonuses</w:t>
      </w:r>
      <w:r>
        <w:t xml:space="preserve">.” </w:t>
      </w:r>
    </w:p>
    <w:p w14:paraId="399DF0D8" w14:textId="19EB5095" w:rsidR="00020106" w:rsidRDefault="00020106" w:rsidP="00020106">
      <w:pPr>
        <w:rPr>
          <w:rFonts w:ascii="Arial Black" w:hAnsi="Arial Black"/>
          <w:b/>
          <w:sz w:val="24"/>
          <w:szCs w:val="24"/>
        </w:rPr>
      </w:pPr>
      <w:r>
        <w:rPr>
          <w:rFonts w:ascii="Arial Black" w:hAnsi="Arial Black"/>
          <w:b/>
          <w:sz w:val="24"/>
          <w:szCs w:val="24"/>
        </w:rPr>
        <w:t>11-</w:t>
      </w:r>
      <w:r w:rsidR="004C5670">
        <w:rPr>
          <w:rFonts w:ascii="Arial Black" w:hAnsi="Arial Black"/>
          <w:b/>
          <w:sz w:val="24"/>
          <w:szCs w:val="24"/>
        </w:rPr>
        <w:t>62</w:t>
      </w:r>
    </w:p>
    <w:p w14:paraId="6F370D07" w14:textId="15FAFC7E" w:rsidR="00A67DBF" w:rsidRPr="001E472F" w:rsidRDefault="00A67DBF" w:rsidP="00A67DBF">
      <w:pPr>
        <w:rPr>
          <w:rFonts w:ascii="Arial Black" w:hAnsi="Arial Black"/>
          <w:b/>
          <w:sz w:val="28"/>
          <w:szCs w:val="28"/>
        </w:rPr>
      </w:pPr>
      <w:r>
        <w:rPr>
          <w:rFonts w:ascii="Arial Black" w:hAnsi="Arial Black"/>
          <w:b/>
          <w:sz w:val="28"/>
          <w:szCs w:val="28"/>
        </w:rPr>
        <w:t>OK: SHIFT DIFFERENTIAL – OT RATE - $350K SETTLEMENT</w:t>
      </w:r>
    </w:p>
    <w:p w14:paraId="07ECAA33" w14:textId="2DFBAA53" w:rsidR="009C7451" w:rsidRPr="00F74343" w:rsidRDefault="00A67DBF" w:rsidP="00A67DBF">
      <w:pPr>
        <w:rPr>
          <w:rFonts w:ascii="Times New Roman" w:hAnsi="Times New Roman"/>
          <w:b/>
          <w:sz w:val="24"/>
          <w:szCs w:val="24"/>
        </w:rPr>
      </w:pPr>
      <w:r w:rsidRPr="00F74343">
        <w:rPr>
          <w:rFonts w:ascii="Times New Roman" w:hAnsi="Times New Roman"/>
          <w:sz w:val="24"/>
          <w:szCs w:val="24"/>
        </w:rPr>
        <w:t xml:space="preserve">On June 23, 2025, in </w:t>
      </w:r>
      <w:r w:rsidRPr="00F74343">
        <w:rPr>
          <w:rFonts w:ascii="Times New Roman" w:hAnsi="Times New Roman"/>
          <w:sz w:val="24"/>
          <w:szCs w:val="24"/>
          <w:u w:val="single"/>
        </w:rPr>
        <w:t>Jerry Sherley v. Muskogee County EMS</w:t>
      </w:r>
      <w:r w:rsidRPr="00F74343">
        <w:rPr>
          <w:rFonts w:ascii="Times New Roman" w:hAnsi="Times New Roman"/>
          <w:sz w:val="24"/>
          <w:szCs w:val="24"/>
        </w:rPr>
        <w:t xml:space="preserve">, U.S. District Court Judge John F. Heil, III, United States District Court for Eastern District of Oklahoma, approved a settlement agreement for EMTs employed by the County who received an hourly wage plus shift differential pay and who worked more than 40 hours in a workweek between July 18, 2020 to October 31, 2023.  The gross settlement amount of $350,000 (including </w:t>
      </w:r>
      <w:proofErr w:type="gramStart"/>
      <w:r w:rsidRPr="00F74343">
        <w:rPr>
          <w:rFonts w:ascii="Times New Roman" w:hAnsi="Times New Roman"/>
          <w:sz w:val="24"/>
          <w:szCs w:val="24"/>
        </w:rPr>
        <w:t>attorney's</w:t>
      </w:r>
      <w:proofErr w:type="gramEnd"/>
      <w:r w:rsidRPr="00F74343">
        <w:rPr>
          <w:rFonts w:ascii="Times New Roman" w:hAnsi="Times New Roman"/>
          <w:sz w:val="24"/>
          <w:szCs w:val="24"/>
        </w:rPr>
        <w:t xml:space="preserve"> fees and costs, as well as administration expenses) for up to 130 putative class members. Based on the amount of the settlement and the number of class members [78 EMS] opting into the settlement, members of the class will receive more than 200% of their unpaid wages.  THE COURT HELD: “Here, the standard for final certification is met. As to the first factor, there are no ‘disparate and factual employment settings’ that would preclude collective treatment because all the members of the Settlement Class were subject to MCEMS's policy of failing to include shift ‘differential’ pay when calculating overtime rates.” </w:t>
      </w:r>
      <w:hyperlink r:id="rId1771" w:history="1">
        <w:r w:rsidRPr="00F74343">
          <w:rPr>
            <w:rStyle w:val="Hyperlink"/>
            <w:rFonts w:ascii="Times New Roman" w:hAnsi="Times New Roman"/>
            <w:sz w:val="24"/>
            <w:szCs w:val="24"/>
          </w:rPr>
          <w:t>https://cases.justia.com/federal/district-courts/oklahoma/okedce/6:2023cv00241/34830/33/0.pdf?ts=1732294058</w:t>
        </w:r>
      </w:hyperlink>
    </w:p>
    <w:p w14:paraId="26A7C4B1" w14:textId="77777777" w:rsidR="00F74343" w:rsidRPr="00F74343" w:rsidRDefault="00F74343" w:rsidP="00F74343">
      <w:pPr>
        <w:rPr>
          <w:rFonts w:ascii="Times New Roman" w:hAnsi="Times New Roman"/>
          <w:b/>
          <w:bCs/>
          <w:sz w:val="24"/>
          <w:szCs w:val="24"/>
        </w:rPr>
      </w:pPr>
      <w:r w:rsidRPr="00F74343">
        <w:rPr>
          <w:rFonts w:ascii="Times New Roman" w:hAnsi="Times New Roman"/>
          <w:b/>
          <w:sz w:val="24"/>
          <w:szCs w:val="24"/>
        </w:rPr>
        <w:t xml:space="preserve">Legal lesson learned: Fire &amp; EMS employers should carefully review FLSA regulations on how shift differential pay and other incentive pay (such as paramedic pay) can impact an employee’s “regular rate of pay.” </w:t>
      </w:r>
    </w:p>
    <w:p w14:paraId="0D3193FE" w14:textId="77777777" w:rsidR="00F74343" w:rsidRPr="00F74343" w:rsidRDefault="00F74343" w:rsidP="00F74343">
      <w:pPr>
        <w:ind w:left="720"/>
        <w:rPr>
          <w:rFonts w:ascii="Times New Roman" w:hAnsi="Times New Roman"/>
          <w:sz w:val="24"/>
          <w:szCs w:val="24"/>
        </w:rPr>
      </w:pPr>
      <w:r w:rsidRPr="00F74343">
        <w:rPr>
          <w:rFonts w:ascii="Times New Roman" w:hAnsi="Times New Roman"/>
          <w:sz w:val="24"/>
          <w:szCs w:val="24"/>
        </w:rPr>
        <w:t xml:space="preserve">Note: See this article, “Wage and Hour Watch: Regular Rate of Pay Primer for Employers.” March 4, 2024. </w:t>
      </w:r>
      <w:hyperlink r:id="rId1772" w:history="1">
        <w:r w:rsidRPr="00F74343">
          <w:rPr>
            <w:rStyle w:val="Hyperlink"/>
            <w:rFonts w:ascii="Times New Roman" w:hAnsi="Times New Roman"/>
            <w:sz w:val="24"/>
            <w:szCs w:val="24"/>
          </w:rPr>
          <w:t>https://natlawreview.com/article/wage-and-hour-watch-regular-rate-pay-primer-employers</w:t>
        </w:r>
      </w:hyperlink>
      <w:r w:rsidRPr="00F74343">
        <w:rPr>
          <w:rFonts w:ascii="Times New Roman" w:hAnsi="Times New Roman"/>
          <w:sz w:val="24"/>
          <w:szCs w:val="24"/>
        </w:rPr>
        <w:t xml:space="preserve"> </w:t>
      </w:r>
    </w:p>
    <w:p w14:paraId="42073B02" w14:textId="77777777" w:rsidR="00F74343" w:rsidRPr="00F74343" w:rsidRDefault="00F74343" w:rsidP="00F74343">
      <w:pPr>
        <w:ind w:left="1440"/>
        <w:rPr>
          <w:rFonts w:ascii="Times New Roman" w:hAnsi="Times New Roman"/>
          <w:sz w:val="24"/>
          <w:szCs w:val="24"/>
        </w:rPr>
      </w:pPr>
      <w:r w:rsidRPr="00F74343">
        <w:rPr>
          <w:rFonts w:ascii="Times New Roman" w:hAnsi="Times New Roman"/>
          <w:sz w:val="24"/>
          <w:szCs w:val="24"/>
        </w:rPr>
        <w:t xml:space="preserve">“If an employee’s base hourly rate is $16 per hour, but the employee receives a 50 cent per hour shift differential for working certain shifts, such shift differential should be included in the employee’s regular rate of pay, and thus, the overtime calculation. So, in this example, if an employee worked 46 hours in a work </w:t>
      </w:r>
      <w:proofErr w:type="gramStart"/>
      <w:r w:rsidRPr="00F74343">
        <w:rPr>
          <w:rFonts w:ascii="Times New Roman" w:hAnsi="Times New Roman"/>
          <w:sz w:val="24"/>
          <w:szCs w:val="24"/>
        </w:rPr>
        <w:t>week, and</w:t>
      </w:r>
      <w:proofErr w:type="gramEnd"/>
      <w:r w:rsidRPr="00F74343">
        <w:rPr>
          <w:rFonts w:ascii="Times New Roman" w:hAnsi="Times New Roman"/>
          <w:sz w:val="24"/>
          <w:szCs w:val="24"/>
        </w:rPr>
        <w:t xml:space="preserve"> was paid the shift differential for six of those hours, the employee's overtime rate is not $24 per hour, it is $24.10.”</w:t>
      </w:r>
    </w:p>
    <w:p w14:paraId="3CA10362" w14:textId="2A6F9D5C" w:rsidR="009C7451" w:rsidRPr="00F74343" w:rsidRDefault="00F74343" w:rsidP="00F74343">
      <w:pPr>
        <w:ind w:left="720"/>
        <w:rPr>
          <w:rFonts w:ascii="Times New Roman" w:hAnsi="Times New Roman"/>
          <w:b/>
          <w:sz w:val="24"/>
          <w:szCs w:val="24"/>
        </w:rPr>
      </w:pPr>
      <w:r w:rsidRPr="00F74343">
        <w:rPr>
          <w:rFonts w:ascii="Times New Roman" w:hAnsi="Times New Roman"/>
          <w:sz w:val="24"/>
          <w:szCs w:val="24"/>
        </w:rPr>
        <w:t xml:space="preserve">See also: Fact Sheet #56A: Overview of the Regular Rate of Pay Under the Fair Labor Standards Act (FLSA). </w:t>
      </w:r>
      <w:hyperlink r:id="rId1773" w:history="1">
        <w:r w:rsidRPr="00F74343">
          <w:rPr>
            <w:rStyle w:val="Hyperlink"/>
            <w:rFonts w:ascii="Times New Roman" w:hAnsi="Times New Roman"/>
            <w:sz w:val="24"/>
            <w:szCs w:val="24"/>
          </w:rPr>
          <w:t>https://www.dol.gov/agencies/whd/fact-sheets/56a-regular-rate</w:t>
        </w:r>
      </w:hyperlink>
    </w:p>
    <w:p w14:paraId="41561DE1" w14:textId="77777777" w:rsidR="009C7451" w:rsidRDefault="009C7451" w:rsidP="00F326E5">
      <w:pPr>
        <w:rPr>
          <w:rFonts w:ascii="Arial Black" w:hAnsi="Arial Black"/>
          <w:b/>
          <w:sz w:val="24"/>
          <w:szCs w:val="24"/>
        </w:rPr>
      </w:pPr>
    </w:p>
    <w:p w14:paraId="0072E330" w14:textId="11D705E6" w:rsidR="00020106" w:rsidRDefault="00020106" w:rsidP="00020106">
      <w:pPr>
        <w:rPr>
          <w:rFonts w:ascii="Arial Black" w:hAnsi="Arial Black"/>
          <w:b/>
          <w:sz w:val="24"/>
          <w:szCs w:val="24"/>
        </w:rPr>
      </w:pPr>
      <w:r>
        <w:rPr>
          <w:rFonts w:ascii="Arial Black" w:hAnsi="Arial Black"/>
          <w:b/>
          <w:sz w:val="24"/>
          <w:szCs w:val="24"/>
        </w:rPr>
        <w:t>11-</w:t>
      </w:r>
      <w:r w:rsidR="004C5670">
        <w:rPr>
          <w:rFonts w:ascii="Arial Black" w:hAnsi="Arial Black"/>
          <w:b/>
          <w:sz w:val="24"/>
          <w:szCs w:val="24"/>
        </w:rPr>
        <w:t>61</w:t>
      </w:r>
    </w:p>
    <w:p w14:paraId="0F288793" w14:textId="2A55A3FA" w:rsidR="00EB050B" w:rsidRPr="00EA5A43" w:rsidRDefault="00EB050B" w:rsidP="00EB050B">
      <w:pPr>
        <w:rPr>
          <w:rFonts w:ascii="Arial Black" w:hAnsi="Arial Black"/>
          <w:b/>
          <w:sz w:val="28"/>
          <w:szCs w:val="28"/>
        </w:rPr>
      </w:pPr>
      <w:r>
        <w:rPr>
          <w:rFonts w:ascii="Arial Black" w:hAnsi="Arial Black"/>
          <w:b/>
          <w:sz w:val="28"/>
          <w:szCs w:val="28"/>
        </w:rPr>
        <w:lastRenderedPageBreak/>
        <w:t xml:space="preserve">MN: EMS “ON CALL” - 8-MIN </w:t>
      </w:r>
      <w:r w:rsidR="006E0471">
        <w:rPr>
          <w:rFonts w:ascii="Arial Black" w:hAnsi="Arial Black"/>
          <w:b/>
          <w:sz w:val="28"/>
          <w:szCs w:val="28"/>
        </w:rPr>
        <w:t xml:space="preserve">REQ. </w:t>
      </w:r>
      <w:r>
        <w:rPr>
          <w:rFonts w:ascii="Arial Black" w:hAnsi="Arial Black"/>
          <w:b/>
          <w:sz w:val="28"/>
          <w:szCs w:val="28"/>
        </w:rPr>
        <w:t>RESP</w:t>
      </w:r>
      <w:r w:rsidR="006E0471">
        <w:rPr>
          <w:rFonts w:ascii="Arial Black" w:hAnsi="Arial Black"/>
          <w:b/>
          <w:sz w:val="28"/>
          <w:szCs w:val="28"/>
        </w:rPr>
        <w:t>ONSE</w:t>
      </w:r>
      <w:r>
        <w:rPr>
          <w:rFonts w:ascii="Arial Black" w:hAnsi="Arial Black"/>
          <w:b/>
          <w:sz w:val="28"/>
          <w:szCs w:val="28"/>
        </w:rPr>
        <w:t xml:space="preserve"> TIME </w:t>
      </w:r>
      <w:r w:rsidR="00292532">
        <w:rPr>
          <w:rFonts w:ascii="Arial Black" w:hAnsi="Arial Black"/>
          <w:b/>
          <w:sz w:val="28"/>
          <w:szCs w:val="28"/>
        </w:rPr>
        <w:t>–</w:t>
      </w:r>
      <w:r w:rsidR="00B82986">
        <w:rPr>
          <w:rFonts w:ascii="Arial Black" w:hAnsi="Arial Black"/>
          <w:b/>
          <w:sz w:val="28"/>
          <w:szCs w:val="28"/>
        </w:rPr>
        <w:t xml:space="preserve"> </w:t>
      </w:r>
      <w:r w:rsidR="00292532">
        <w:rPr>
          <w:rFonts w:ascii="Arial Black" w:hAnsi="Arial Black"/>
          <w:b/>
          <w:sz w:val="28"/>
          <w:szCs w:val="28"/>
        </w:rPr>
        <w:t xml:space="preserve">GRANTED </w:t>
      </w:r>
      <w:r>
        <w:rPr>
          <w:rFonts w:ascii="Arial Black" w:hAnsi="Arial Black"/>
          <w:b/>
          <w:sz w:val="28"/>
          <w:szCs w:val="28"/>
        </w:rPr>
        <w:t>CLASS ACTION</w:t>
      </w:r>
      <w:r w:rsidR="00F41FAA">
        <w:rPr>
          <w:rFonts w:ascii="Arial Black" w:hAnsi="Arial Black"/>
          <w:b/>
          <w:sz w:val="28"/>
          <w:szCs w:val="28"/>
        </w:rPr>
        <w:t xml:space="preserve"> </w:t>
      </w:r>
    </w:p>
    <w:p w14:paraId="65718A44" w14:textId="20E5D6F7" w:rsidR="009C7451" w:rsidRPr="004C756A" w:rsidRDefault="00EB050B" w:rsidP="00EB050B">
      <w:pPr>
        <w:rPr>
          <w:rFonts w:ascii="Times New Roman" w:hAnsi="Times New Roman"/>
          <w:sz w:val="24"/>
          <w:szCs w:val="24"/>
        </w:rPr>
      </w:pPr>
      <w:r w:rsidRPr="004C756A">
        <w:rPr>
          <w:rFonts w:ascii="Times New Roman" w:hAnsi="Times New Roman"/>
          <w:sz w:val="24"/>
          <w:szCs w:val="24"/>
        </w:rPr>
        <w:t xml:space="preserve">On June 20, 2025, in </w:t>
      </w:r>
      <w:r w:rsidRPr="004C756A">
        <w:rPr>
          <w:rFonts w:ascii="Times New Roman" w:hAnsi="Times New Roman"/>
          <w:sz w:val="24"/>
          <w:szCs w:val="24"/>
          <w:u w:val="single"/>
        </w:rPr>
        <w:t>Jason Johnson, individually and on behalf of all others similarly situated v, North Memorial Health Care</w:t>
      </w:r>
      <w:r w:rsidRPr="004C756A">
        <w:rPr>
          <w:rFonts w:ascii="Times New Roman" w:hAnsi="Times New Roman"/>
          <w:sz w:val="24"/>
          <w:szCs w:val="24"/>
        </w:rPr>
        <w:t xml:space="preserve">,  U.S. District Court Chief Judge Patrick J. Schiltz, United States District Court for the District of Minnesota, granted the motion to certify a class action on behalf of 120 paramedics and EMTs who have agreed to join in the lawsuit. The EMS plaintiffs claim that the 8-minute response time requirement, in uniform, when they were scheduled to be “on call” from home so impacts their personal time they are entitled to their regular hourly pay rate (not just $4 per hour). THE COURT HELD: “Here, the EMTs were all subject to the same policies that, they contend, significantly restricted their ability to spend on-call time on personal pursuits. In particular, the EMTs were required, while on call, to be </w:t>
      </w:r>
      <w:proofErr w:type="spellStart"/>
      <w:r w:rsidRPr="004C756A">
        <w:rPr>
          <w:rFonts w:ascii="Times New Roman" w:hAnsi="Times New Roman"/>
          <w:sz w:val="24"/>
          <w:szCs w:val="24"/>
        </w:rPr>
        <w:t>en</w:t>
      </w:r>
      <w:proofErr w:type="spellEnd"/>
      <w:r w:rsidRPr="004C756A">
        <w:rPr>
          <w:rFonts w:ascii="Times New Roman" w:hAnsi="Times New Roman"/>
          <w:sz w:val="24"/>
          <w:szCs w:val="24"/>
        </w:rPr>
        <w:t xml:space="preserve"> route to calls within eight minutes of receiving a notification; to be in uniform or similar appropriate dress when responding to calls; and to refrain from using alcohol or other mind-altering substances while on call. Likewise, the EMTs were all subject to the same allegedly illegal policies in that they were all paid less than minimum wage for on-call hours (except when responding to calls) and those hours were not included in determining their entitlement to overtime pay. </w:t>
      </w:r>
      <w:proofErr w:type="gramStart"/>
      <w:r w:rsidRPr="004C756A">
        <w:rPr>
          <w:rFonts w:ascii="Times New Roman" w:hAnsi="Times New Roman"/>
          <w:sz w:val="24"/>
          <w:szCs w:val="24"/>
        </w:rPr>
        <w:t>All of</w:t>
      </w:r>
      <w:proofErr w:type="gramEnd"/>
      <w:r w:rsidRPr="004C756A">
        <w:rPr>
          <w:rFonts w:ascii="Times New Roman" w:hAnsi="Times New Roman"/>
          <w:sz w:val="24"/>
          <w:szCs w:val="24"/>
        </w:rPr>
        <w:t xml:space="preserve"> these commonalities suggest that collective adjudication is appropriate in this case.”  </w:t>
      </w:r>
      <w:hyperlink r:id="rId1774" w:history="1">
        <w:r w:rsidRPr="004C756A">
          <w:rPr>
            <w:rStyle w:val="Hyperlink"/>
            <w:rFonts w:ascii="Times New Roman" w:hAnsi="Times New Roman"/>
            <w:sz w:val="24"/>
            <w:szCs w:val="24"/>
          </w:rPr>
          <w:t>https://cases.justia.com/federal/district-courts/minnesota/mndce/0:2023cv01780/208467/146/0.pdf?ts=1750499803</w:t>
        </w:r>
      </w:hyperlink>
    </w:p>
    <w:p w14:paraId="5BD3662F" w14:textId="77777777" w:rsidR="004C756A" w:rsidRPr="004C756A" w:rsidRDefault="00D168B5" w:rsidP="004C756A">
      <w:pPr>
        <w:rPr>
          <w:rFonts w:ascii="Times New Roman" w:hAnsi="Times New Roman"/>
          <w:sz w:val="24"/>
          <w:szCs w:val="24"/>
        </w:rPr>
      </w:pPr>
      <w:r w:rsidRPr="004C756A">
        <w:rPr>
          <w:rFonts w:ascii="Times New Roman" w:hAnsi="Times New Roman"/>
          <w:b/>
          <w:sz w:val="24"/>
          <w:szCs w:val="24"/>
        </w:rPr>
        <w:t xml:space="preserve">Leegal lesson learned: Plaintiffs may now proceed with class action trial; “on call” policies requiring rapid response from home have been the subject of several cases around the nation. </w:t>
      </w:r>
      <w:r w:rsidRPr="004C756A">
        <w:rPr>
          <w:rFonts w:ascii="Times New Roman" w:hAnsi="Times New Roman"/>
          <w:b/>
          <w:sz w:val="24"/>
          <w:szCs w:val="24"/>
        </w:rPr>
        <w:br/>
      </w:r>
    </w:p>
    <w:p w14:paraId="6E0D6360" w14:textId="4370DCCC" w:rsidR="00541D60" w:rsidRPr="004C756A" w:rsidRDefault="00D168B5" w:rsidP="00D168B5">
      <w:pPr>
        <w:ind w:left="720"/>
        <w:rPr>
          <w:rFonts w:ascii="Times New Roman" w:hAnsi="Times New Roman"/>
          <w:bCs/>
          <w:sz w:val="24"/>
          <w:szCs w:val="24"/>
        </w:rPr>
      </w:pPr>
      <w:r w:rsidRPr="004C756A">
        <w:rPr>
          <w:rFonts w:ascii="Times New Roman" w:hAnsi="Times New Roman"/>
          <w:sz w:val="24"/>
          <w:szCs w:val="24"/>
        </w:rPr>
        <w:t>N</w:t>
      </w:r>
      <w:r w:rsidR="00541D60" w:rsidRPr="004C756A">
        <w:rPr>
          <w:rFonts w:ascii="Times New Roman" w:hAnsi="Times New Roman"/>
          <w:sz w:val="24"/>
          <w:szCs w:val="24"/>
        </w:rPr>
        <w:t xml:space="preserve">ote: See U.S. Department of Labor - Fact Sheet #22: Hours Worked Under the Fair Labor Standards Act (FLSA) – July 2008. </w:t>
      </w:r>
      <w:hyperlink r:id="rId1775" w:history="1">
        <w:r w:rsidR="00541D60" w:rsidRPr="004C756A">
          <w:rPr>
            <w:rStyle w:val="Hyperlink"/>
            <w:rFonts w:ascii="Times New Roman" w:hAnsi="Times New Roman"/>
            <w:sz w:val="24"/>
            <w:szCs w:val="24"/>
          </w:rPr>
          <w:t>https://www.dol.gov/agencies/whd/fact-sheets/22-flsa-hours-worked</w:t>
        </w:r>
      </w:hyperlink>
      <w:r w:rsidR="00541D60" w:rsidRPr="004C756A">
        <w:rPr>
          <w:rFonts w:ascii="Times New Roman" w:hAnsi="Times New Roman"/>
          <w:sz w:val="24"/>
          <w:szCs w:val="24"/>
        </w:rPr>
        <w:t xml:space="preserve"> </w:t>
      </w:r>
    </w:p>
    <w:p w14:paraId="12AA4BB2" w14:textId="77777777" w:rsidR="00541D60" w:rsidRPr="004C756A" w:rsidRDefault="00541D60" w:rsidP="00541D60">
      <w:pPr>
        <w:ind w:left="1440"/>
        <w:rPr>
          <w:rFonts w:ascii="Times New Roman" w:hAnsi="Times New Roman"/>
          <w:bCs/>
          <w:sz w:val="24"/>
          <w:szCs w:val="24"/>
        </w:rPr>
      </w:pPr>
      <w:r w:rsidRPr="004C756A">
        <w:rPr>
          <w:rFonts w:ascii="Times New Roman" w:hAnsi="Times New Roman"/>
          <w:sz w:val="24"/>
          <w:szCs w:val="24"/>
        </w:rPr>
        <w:t>“On-Call Time:</w:t>
      </w:r>
      <w:r w:rsidRPr="004C756A">
        <w:rPr>
          <w:rFonts w:ascii="Times New Roman" w:hAnsi="Times New Roman"/>
          <w:bCs/>
          <w:sz w:val="24"/>
          <w:szCs w:val="24"/>
        </w:rPr>
        <w:t xml:space="preserve"> </w:t>
      </w:r>
      <w:r w:rsidRPr="004C756A">
        <w:rPr>
          <w:rFonts w:ascii="Times New Roman" w:hAnsi="Times New Roman"/>
          <w:sz w:val="24"/>
          <w:szCs w:val="24"/>
        </w:rPr>
        <w:t xml:space="preserve">An employee who is required to remain on call on the employer's premises is working while ‘on call.’ An employee who is required to remain </w:t>
      </w:r>
      <w:proofErr w:type="gramStart"/>
      <w:r w:rsidRPr="004C756A">
        <w:rPr>
          <w:rFonts w:ascii="Times New Roman" w:hAnsi="Times New Roman"/>
          <w:sz w:val="24"/>
          <w:szCs w:val="24"/>
        </w:rPr>
        <w:t>on call at home</w:t>
      </w:r>
      <w:proofErr w:type="gramEnd"/>
      <w:r w:rsidRPr="004C756A">
        <w:rPr>
          <w:rFonts w:ascii="Times New Roman" w:hAnsi="Times New Roman"/>
          <w:sz w:val="24"/>
          <w:szCs w:val="24"/>
        </w:rPr>
        <w:t xml:space="preserve">, or who is allowed to leave a message where he/she can be reached, is not working (in most cases) while on call. Additional constraints on the employee's freedom could require this time to be </w:t>
      </w:r>
      <w:proofErr w:type="gramStart"/>
      <w:r w:rsidRPr="004C756A">
        <w:rPr>
          <w:rFonts w:ascii="Times New Roman" w:hAnsi="Times New Roman"/>
          <w:sz w:val="24"/>
          <w:szCs w:val="24"/>
        </w:rPr>
        <w:t>compensated.”</w:t>
      </w:r>
      <w:proofErr w:type="gramEnd"/>
    </w:p>
    <w:p w14:paraId="606ECAC9" w14:textId="26E57147" w:rsidR="00541D60" w:rsidRPr="004C756A" w:rsidRDefault="00541D60" w:rsidP="004C756A">
      <w:pPr>
        <w:ind w:left="720"/>
        <w:rPr>
          <w:rFonts w:ascii="Times New Roman" w:hAnsi="Times New Roman"/>
          <w:sz w:val="24"/>
          <w:szCs w:val="24"/>
        </w:rPr>
      </w:pPr>
      <w:r w:rsidRPr="004C756A">
        <w:rPr>
          <w:rFonts w:ascii="Times New Roman" w:hAnsi="Times New Roman"/>
          <w:sz w:val="24"/>
          <w:szCs w:val="24"/>
        </w:rPr>
        <w:t xml:space="preserve">See also May 23, </w:t>
      </w:r>
      <w:proofErr w:type="gramStart"/>
      <w:r w:rsidRPr="004C756A">
        <w:rPr>
          <w:rFonts w:ascii="Times New Roman" w:hAnsi="Times New Roman"/>
          <w:sz w:val="24"/>
          <w:szCs w:val="24"/>
        </w:rPr>
        <w:t>2008</w:t>
      </w:r>
      <w:proofErr w:type="gramEnd"/>
      <w:r w:rsidRPr="004C756A">
        <w:rPr>
          <w:rFonts w:ascii="Times New Roman" w:hAnsi="Times New Roman"/>
          <w:sz w:val="24"/>
          <w:szCs w:val="24"/>
        </w:rPr>
        <w:t xml:space="preserve"> U.S. Department of Labor – Opinion Letter FLSA2008-8NA, </w:t>
      </w:r>
      <w:hyperlink r:id="rId1776" w:history="1">
        <w:r w:rsidR="004C756A" w:rsidRPr="004C44CA">
          <w:rPr>
            <w:rStyle w:val="Hyperlink"/>
            <w:rFonts w:ascii="Times New Roman" w:hAnsi="Times New Roman"/>
            <w:sz w:val="24"/>
            <w:szCs w:val="24"/>
          </w:rPr>
          <w:t>https://www.dol.gov/sites/dolgov/files/WHD/legacy/files/2008_05_23_08NA_FLSA.pdf</w:t>
        </w:r>
      </w:hyperlink>
    </w:p>
    <w:p w14:paraId="1FF0A597" w14:textId="77777777" w:rsidR="00541D60" w:rsidRDefault="00541D60" w:rsidP="00EB050B">
      <w:pPr>
        <w:rPr>
          <w:rFonts w:ascii="Arial Black" w:hAnsi="Arial Black"/>
          <w:b/>
          <w:sz w:val="24"/>
          <w:szCs w:val="24"/>
        </w:rPr>
      </w:pPr>
    </w:p>
    <w:p w14:paraId="1FC3D304" w14:textId="4B3905E6" w:rsidR="00B92F73" w:rsidRDefault="00F616CC" w:rsidP="00F326E5">
      <w:pPr>
        <w:rPr>
          <w:rFonts w:ascii="Arial Black" w:hAnsi="Arial Black"/>
          <w:b/>
          <w:sz w:val="24"/>
          <w:szCs w:val="24"/>
        </w:rPr>
      </w:pPr>
      <w:r>
        <w:rPr>
          <w:rFonts w:ascii="Arial Black" w:hAnsi="Arial Black"/>
          <w:b/>
          <w:sz w:val="24"/>
          <w:szCs w:val="24"/>
        </w:rPr>
        <w:t>11-</w:t>
      </w:r>
      <w:r w:rsidR="004C5670">
        <w:rPr>
          <w:rFonts w:ascii="Arial Black" w:hAnsi="Arial Black"/>
          <w:b/>
          <w:sz w:val="24"/>
          <w:szCs w:val="24"/>
        </w:rPr>
        <w:t>60</w:t>
      </w:r>
    </w:p>
    <w:p w14:paraId="629D6975" w14:textId="1485DD0B" w:rsidR="00AB14AC" w:rsidRPr="006F2B87" w:rsidRDefault="00AB14AC" w:rsidP="00AB14AC">
      <w:pPr>
        <w:pStyle w:val="NoSpacing"/>
        <w:rPr>
          <w:rFonts w:ascii="Arial Black" w:hAnsi="Arial Black"/>
          <w:b/>
          <w:bCs/>
          <w:sz w:val="28"/>
          <w:szCs w:val="28"/>
        </w:rPr>
      </w:pPr>
      <w:r w:rsidRPr="006F2B87">
        <w:rPr>
          <w:rFonts w:ascii="Arial Black" w:hAnsi="Arial Black"/>
          <w:b/>
          <w:sz w:val="28"/>
          <w:szCs w:val="28"/>
        </w:rPr>
        <w:t>MA: FLSA –</w:t>
      </w:r>
      <w:r w:rsidR="0094704B">
        <w:rPr>
          <w:rFonts w:ascii="Arial Black" w:hAnsi="Arial Black"/>
          <w:b/>
          <w:sz w:val="28"/>
          <w:szCs w:val="28"/>
        </w:rPr>
        <w:t xml:space="preserve"> </w:t>
      </w:r>
      <w:r w:rsidRPr="006F2B87">
        <w:rPr>
          <w:rFonts w:ascii="Arial Black" w:hAnsi="Arial Black"/>
          <w:b/>
          <w:sz w:val="28"/>
          <w:szCs w:val="28"/>
        </w:rPr>
        <w:t>TOWN AGREES TO CHANGES</w:t>
      </w:r>
      <w:r>
        <w:rPr>
          <w:rFonts w:ascii="Arial Black" w:hAnsi="Arial Black"/>
          <w:b/>
          <w:sz w:val="28"/>
          <w:szCs w:val="28"/>
        </w:rPr>
        <w:t xml:space="preserve"> - D/C STILL EXEMPT</w:t>
      </w:r>
    </w:p>
    <w:p w14:paraId="4BE3A40A" w14:textId="77777777" w:rsidR="00AB14AC" w:rsidRDefault="00AB14AC" w:rsidP="00AB14AC">
      <w:pPr>
        <w:pStyle w:val="NoSpacing"/>
        <w:rPr>
          <w:bCs/>
        </w:rPr>
      </w:pPr>
    </w:p>
    <w:p w14:paraId="7718FB1B" w14:textId="77777777" w:rsidR="00AB14AC" w:rsidRPr="00AB14AC" w:rsidRDefault="00AB14AC" w:rsidP="00AB14AC">
      <w:pPr>
        <w:pStyle w:val="NoSpacing"/>
        <w:rPr>
          <w:rFonts w:ascii="Times New Roman" w:hAnsi="Times New Roman"/>
          <w:bCs/>
          <w:sz w:val="24"/>
          <w:szCs w:val="24"/>
        </w:rPr>
      </w:pPr>
      <w:r w:rsidRPr="00AB14AC">
        <w:rPr>
          <w:rFonts w:ascii="Times New Roman" w:hAnsi="Times New Roman"/>
          <w:sz w:val="24"/>
          <w:szCs w:val="24"/>
        </w:rPr>
        <w:t xml:space="preserve">On May 14, 2025, </w:t>
      </w:r>
      <w:r w:rsidRPr="00AB14AC">
        <w:rPr>
          <w:rFonts w:ascii="Times New Roman" w:hAnsi="Times New Roman"/>
          <w:sz w:val="24"/>
          <w:szCs w:val="24"/>
          <w:u w:val="single"/>
        </w:rPr>
        <w:t>Brian Bergeron and Paul Trahon, et al. v. Town of Brookline and Brookline Fire Department</w:t>
      </w:r>
      <w:r w:rsidRPr="00AB14AC">
        <w:rPr>
          <w:rFonts w:ascii="Times New Roman" w:hAnsi="Times New Roman"/>
          <w:sz w:val="24"/>
          <w:szCs w:val="24"/>
        </w:rPr>
        <w:t xml:space="preserve">, U.S. District Court Judge Julia E. </w:t>
      </w:r>
      <w:proofErr w:type="spellStart"/>
      <w:r w:rsidRPr="00AB14AC">
        <w:rPr>
          <w:rFonts w:ascii="Times New Roman" w:hAnsi="Times New Roman"/>
          <w:sz w:val="24"/>
          <w:szCs w:val="24"/>
        </w:rPr>
        <w:t>Kobick</w:t>
      </w:r>
      <w:proofErr w:type="spellEnd"/>
      <w:r w:rsidRPr="00AB14AC">
        <w:rPr>
          <w:rFonts w:ascii="Times New Roman" w:hAnsi="Times New Roman"/>
          <w:sz w:val="24"/>
          <w:szCs w:val="24"/>
        </w:rPr>
        <w:t xml:space="preserve">, United States District Court for the District of Massachusetts, approved the settlement agreement.  </w:t>
      </w:r>
    </w:p>
    <w:p w14:paraId="14663518" w14:textId="77777777" w:rsidR="00AB14AC" w:rsidRPr="00AB14AC" w:rsidRDefault="00AB14AC" w:rsidP="00AB14AC">
      <w:pPr>
        <w:pStyle w:val="NoSpacing"/>
        <w:rPr>
          <w:rFonts w:ascii="Times New Roman" w:hAnsi="Times New Roman"/>
          <w:bCs/>
          <w:sz w:val="24"/>
          <w:szCs w:val="24"/>
        </w:rPr>
      </w:pPr>
    </w:p>
    <w:p w14:paraId="0AF2C131" w14:textId="300F9DFB" w:rsidR="00F616CC" w:rsidRPr="00AB14AC" w:rsidRDefault="00AB14AC" w:rsidP="00AB14AC">
      <w:pPr>
        <w:rPr>
          <w:rFonts w:ascii="Times New Roman" w:hAnsi="Times New Roman"/>
          <w:b/>
          <w:sz w:val="24"/>
          <w:szCs w:val="24"/>
        </w:rPr>
      </w:pPr>
      <w:r w:rsidRPr="00AB14AC">
        <w:rPr>
          <w:rFonts w:ascii="Times New Roman" w:hAnsi="Times New Roman"/>
          <w:sz w:val="24"/>
          <w:szCs w:val="24"/>
        </w:rPr>
        <w:t xml:space="preserve">The Court wrote:  “The plaintiffs are 118 firefighters, fire lieutenants, fire captains, and deputy fire chiefs currently or formerly employed by the Town of Brookline…. The plaintiffs are part of a bargaining unit </w:t>
      </w:r>
      <w:r w:rsidRPr="00AB14AC">
        <w:rPr>
          <w:rFonts w:ascii="Times New Roman" w:hAnsi="Times New Roman"/>
          <w:sz w:val="24"/>
          <w:szCs w:val="24"/>
        </w:rPr>
        <w:lastRenderedPageBreak/>
        <w:t xml:space="preserve">represented by Local 950, a chapter of the International Association of Firefighters (the ‘Union’)….  The parties restarted settlement negotiations when the litigation commenced in December 2023, and they agreed to a settlement in principle in April 2024….  After reaching this agreement, the Town modified its FLSA protocols to address the plaintiffs' concerns regarding how their hours were counted and how their rate of overtime pay was </w:t>
      </w:r>
      <w:proofErr w:type="gramStart"/>
      <w:r w:rsidRPr="00AB14AC">
        <w:rPr>
          <w:rFonts w:ascii="Times New Roman" w:hAnsi="Times New Roman"/>
          <w:sz w:val="24"/>
          <w:szCs w:val="24"/>
        </w:rPr>
        <w:t>calculated.”</w:t>
      </w:r>
      <w:proofErr w:type="gramEnd"/>
      <w:r w:rsidRPr="00AB14AC">
        <w:rPr>
          <w:rFonts w:ascii="Times New Roman" w:hAnsi="Times New Roman"/>
          <w:sz w:val="24"/>
          <w:szCs w:val="24"/>
        </w:rPr>
        <w:t xml:space="preserve"> </w:t>
      </w:r>
      <w:hyperlink r:id="rId1777" w:history="1">
        <w:r w:rsidRPr="00AB14AC">
          <w:rPr>
            <w:rStyle w:val="Hyperlink"/>
            <w:rFonts w:ascii="Times New Roman" w:hAnsi="Times New Roman"/>
            <w:sz w:val="24"/>
            <w:szCs w:val="24"/>
          </w:rPr>
          <w:t>https://public.fastcase.com/jaEE2PXzRXmZ99jOLMt1IrF9wD4fG884AOwA%2B%2B8sYndkdlA95em2xjLqn6HHRdZo?utm_medium=email&amp;_hsenc=p2ANqtz-_k9MVaO09mpQi5ToQ_rMR2msPFl5QNhVfsnrFCoGgDXkRnW8gb34HMapH4044HXAEb1Ni6dZoKu1yFSWgbbZwBVX_IXQ&amp;_hsmi=226712652&amp;utm_content=226712652&amp;utm_source=hs_email</w:t>
        </w:r>
      </w:hyperlink>
    </w:p>
    <w:p w14:paraId="49C8D394" w14:textId="77777777" w:rsidR="00785987" w:rsidRPr="00874DB0" w:rsidRDefault="00785987" w:rsidP="00785987">
      <w:pPr>
        <w:pStyle w:val="NoSpacing"/>
        <w:rPr>
          <w:rFonts w:ascii="Times New Roman" w:hAnsi="Times New Roman"/>
          <w:b/>
          <w:bCs/>
          <w:sz w:val="24"/>
          <w:szCs w:val="24"/>
        </w:rPr>
      </w:pPr>
      <w:r w:rsidRPr="00874DB0">
        <w:rPr>
          <w:rFonts w:ascii="Times New Roman" w:hAnsi="Times New Roman"/>
          <w:b/>
          <w:sz w:val="24"/>
          <w:szCs w:val="24"/>
        </w:rPr>
        <w:t xml:space="preserve">Legal Lesson Learned: Town wisely corrected their prior </w:t>
      </w:r>
      <w:r w:rsidRPr="00874DB0">
        <w:rPr>
          <w:rFonts w:ascii="Times New Roman" w:hAnsi="Times New Roman"/>
          <w:b/>
          <w:bCs/>
          <w:sz w:val="24"/>
          <w:szCs w:val="24"/>
        </w:rPr>
        <w:t xml:space="preserve">FLSA </w:t>
      </w:r>
      <w:r w:rsidRPr="00874DB0">
        <w:rPr>
          <w:rFonts w:ascii="Times New Roman" w:hAnsi="Times New Roman"/>
          <w:b/>
          <w:sz w:val="24"/>
          <w:szCs w:val="24"/>
        </w:rPr>
        <w:t>practices.</w:t>
      </w:r>
    </w:p>
    <w:p w14:paraId="3869B739" w14:textId="77777777" w:rsidR="00785987" w:rsidRPr="00874DB0" w:rsidRDefault="00785987" w:rsidP="00785987">
      <w:pPr>
        <w:pStyle w:val="NoSpacing"/>
        <w:rPr>
          <w:rFonts w:ascii="Times New Roman" w:hAnsi="Times New Roman"/>
          <w:sz w:val="24"/>
          <w:szCs w:val="24"/>
        </w:rPr>
      </w:pPr>
    </w:p>
    <w:p w14:paraId="0AA7A0B5" w14:textId="77777777" w:rsidR="00B92F73" w:rsidRDefault="00B92F73" w:rsidP="00F326E5">
      <w:pPr>
        <w:rPr>
          <w:rFonts w:ascii="Arial Black" w:hAnsi="Arial Black"/>
          <w:b/>
          <w:sz w:val="24"/>
          <w:szCs w:val="24"/>
        </w:rPr>
      </w:pPr>
    </w:p>
    <w:p w14:paraId="7F570084" w14:textId="51998654" w:rsidR="00061BDB" w:rsidRDefault="00061BDB" w:rsidP="00F326E5">
      <w:pPr>
        <w:rPr>
          <w:rFonts w:ascii="Arial Black" w:hAnsi="Arial Black"/>
          <w:b/>
          <w:sz w:val="24"/>
          <w:szCs w:val="24"/>
        </w:rPr>
      </w:pPr>
      <w:r>
        <w:rPr>
          <w:rFonts w:ascii="Arial Black" w:hAnsi="Arial Black"/>
          <w:b/>
          <w:sz w:val="24"/>
          <w:szCs w:val="24"/>
        </w:rPr>
        <w:t>11-5</w:t>
      </w:r>
      <w:r w:rsidR="00DE6B12">
        <w:rPr>
          <w:rFonts w:ascii="Arial Black" w:hAnsi="Arial Black"/>
          <w:b/>
          <w:sz w:val="24"/>
          <w:szCs w:val="24"/>
        </w:rPr>
        <w:t>9</w:t>
      </w:r>
    </w:p>
    <w:p w14:paraId="0679642C" w14:textId="77777777" w:rsidR="0079730A" w:rsidRPr="003121C0" w:rsidRDefault="0079730A" w:rsidP="0079730A">
      <w:pPr>
        <w:rPr>
          <w:rFonts w:ascii="Arial Black" w:hAnsi="Arial Black"/>
          <w:bCs/>
          <w:sz w:val="28"/>
          <w:szCs w:val="28"/>
        </w:rPr>
      </w:pPr>
      <w:r>
        <w:rPr>
          <w:rFonts w:ascii="Arial Black" w:hAnsi="Arial Black"/>
          <w:b/>
          <w:sz w:val="28"/>
          <w:szCs w:val="28"/>
        </w:rPr>
        <w:t xml:space="preserve">NC: FLSA – SOME WEEKS UNDERPAID / OVERPAID - NO CASE </w:t>
      </w:r>
    </w:p>
    <w:p w14:paraId="7A049438" w14:textId="77777777" w:rsidR="0079730A" w:rsidRPr="0079730A" w:rsidRDefault="0079730A" w:rsidP="0079730A">
      <w:pPr>
        <w:rPr>
          <w:rFonts w:ascii="Times New Roman" w:hAnsi="Times New Roman"/>
          <w:bCs/>
          <w:sz w:val="24"/>
          <w:szCs w:val="24"/>
        </w:rPr>
      </w:pPr>
      <w:r w:rsidRPr="0079730A">
        <w:rPr>
          <w:rFonts w:ascii="Times New Roman" w:hAnsi="Times New Roman"/>
          <w:sz w:val="24"/>
          <w:szCs w:val="24"/>
        </w:rPr>
        <w:t xml:space="preserve">On March 31, 2025, in </w:t>
      </w:r>
      <w:r w:rsidRPr="0079730A">
        <w:rPr>
          <w:rFonts w:ascii="Times New Roman" w:hAnsi="Times New Roman"/>
          <w:sz w:val="24"/>
          <w:szCs w:val="24"/>
          <w:u w:val="single"/>
        </w:rPr>
        <w:t>Sara A. Conner, on behalf of all others similarly situated v. Cleveland County, Noth Carolina</w:t>
      </w:r>
      <w:r w:rsidRPr="0079730A">
        <w:rPr>
          <w:rFonts w:ascii="Times New Roman" w:hAnsi="Times New Roman"/>
          <w:sz w:val="24"/>
          <w:szCs w:val="24"/>
        </w:rPr>
        <w:t xml:space="preserve">, Chief U.S. District Court Judge Martin Reidinger, United States District Court for the Western District of North Carolina, Asheville Division, held that the EMS personnel were fully paid despite a “technical violation” of FLSA and therefore the case was dismissed.  Sara Conner has been a fulltime paramedic with Cleveland County EMS [CCEMS] since 2017, annual salary of 2016 of $35,820, and she worked a </w:t>
      </w:r>
      <w:proofErr w:type="gramStart"/>
      <w:r w:rsidRPr="0079730A">
        <w:rPr>
          <w:rFonts w:ascii="Times New Roman" w:hAnsi="Times New Roman"/>
          <w:sz w:val="24"/>
          <w:szCs w:val="24"/>
        </w:rPr>
        <w:t>24/48 hour</w:t>
      </w:r>
      <w:proofErr w:type="gramEnd"/>
      <w:r w:rsidRPr="0079730A">
        <w:rPr>
          <w:rFonts w:ascii="Times New Roman" w:hAnsi="Times New Roman"/>
          <w:sz w:val="24"/>
          <w:szCs w:val="24"/>
        </w:rPr>
        <w:t xml:space="preserve"> schedule.  Per their pay plan (since changed in 2018), Conner was paid base “hourly rate” of $12.23 (her annual salary divided by total annual hours 2,928).  Her overtime rate was $18.35 (1.5 times her base rate).  </w:t>
      </w:r>
      <w:hyperlink r:id="rId1778" w:history="1">
        <w:r w:rsidRPr="0079730A">
          <w:rPr>
            <w:rStyle w:val="Hyperlink"/>
            <w:rFonts w:ascii="Times New Roman" w:hAnsi="Times New Roman"/>
            <w:sz w:val="24"/>
            <w:szCs w:val="24"/>
          </w:rPr>
          <w:t>https://www.carolinajournal.com/wp-content/uploads/2025/04/cleveland-ot-128-033125-courtorder.pdf</w:t>
        </w:r>
      </w:hyperlink>
      <w:r w:rsidRPr="0079730A">
        <w:rPr>
          <w:rFonts w:ascii="Times New Roman" w:hAnsi="Times New Roman"/>
          <w:sz w:val="24"/>
          <w:szCs w:val="24"/>
        </w:rPr>
        <w:t xml:space="preserve"> </w:t>
      </w:r>
    </w:p>
    <w:p w14:paraId="4F45799C" w14:textId="77777777" w:rsidR="003A305F" w:rsidRPr="003A305F" w:rsidRDefault="003A305F" w:rsidP="003A305F">
      <w:pPr>
        <w:pStyle w:val="NoSpacing"/>
        <w:rPr>
          <w:rFonts w:ascii="Times New Roman" w:hAnsi="Times New Roman"/>
          <w:b/>
          <w:sz w:val="24"/>
          <w:szCs w:val="24"/>
        </w:rPr>
      </w:pPr>
      <w:r w:rsidRPr="003A305F">
        <w:rPr>
          <w:rFonts w:ascii="Times New Roman" w:hAnsi="Times New Roman"/>
          <w:b/>
          <w:sz w:val="24"/>
          <w:szCs w:val="24"/>
        </w:rPr>
        <w:t xml:space="preserve">Legal Lesson Learned:  There was no loss of </w:t>
      </w:r>
      <w:proofErr w:type="gramStart"/>
      <w:r w:rsidRPr="003A305F">
        <w:rPr>
          <w:rFonts w:ascii="Times New Roman" w:hAnsi="Times New Roman"/>
          <w:b/>
          <w:sz w:val="24"/>
          <w:szCs w:val="24"/>
        </w:rPr>
        <w:t>wages</w:t>
      </w:r>
      <w:proofErr w:type="gramEnd"/>
      <w:r w:rsidRPr="003A305F">
        <w:rPr>
          <w:rFonts w:ascii="Times New Roman" w:hAnsi="Times New Roman"/>
          <w:b/>
          <w:sz w:val="24"/>
          <w:szCs w:val="24"/>
        </w:rPr>
        <w:t xml:space="preserve"> so case dismissed.</w:t>
      </w:r>
    </w:p>
    <w:p w14:paraId="2DB7D3A6" w14:textId="77777777" w:rsidR="00061BDB" w:rsidRDefault="00061BDB" w:rsidP="00F326E5">
      <w:pPr>
        <w:rPr>
          <w:rFonts w:ascii="Arial Black" w:hAnsi="Arial Black"/>
          <w:b/>
          <w:sz w:val="24"/>
          <w:szCs w:val="24"/>
        </w:rPr>
      </w:pPr>
    </w:p>
    <w:p w14:paraId="0B08AC20" w14:textId="77777777" w:rsidR="00061BDB" w:rsidRDefault="00061BDB" w:rsidP="00F326E5">
      <w:pPr>
        <w:rPr>
          <w:rFonts w:ascii="Arial Black" w:hAnsi="Arial Black"/>
          <w:b/>
          <w:sz w:val="24"/>
          <w:szCs w:val="24"/>
        </w:rPr>
      </w:pPr>
    </w:p>
    <w:p w14:paraId="2C7B6A1B" w14:textId="74154EB9" w:rsidR="00CE6BF6" w:rsidRDefault="00CE6BF6" w:rsidP="00F326E5">
      <w:pPr>
        <w:rPr>
          <w:rFonts w:ascii="Arial Black" w:hAnsi="Arial Black"/>
          <w:b/>
          <w:sz w:val="24"/>
          <w:szCs w:val="24"/>
        </w:rPr>
      </w:pPr>
      <w:r>
        <w:rPr>
          <w:rFonts w:ascii="Arial Black" w:hAnsi="Arial Black"/>
          <w:b/>
          <w:sz w:val="24"/>
          <w:szCs w:val="24"/>
        </w:rPr>
        <w:t>11-5</w:t>
      </w:r>
      <w:r w:rsidR="00DE6B12">
        <w:rPr>
          <w:rFonts w:ascii="Arial Black" w:hAnsi="Arial Black"/>
          <w:b/>
          <w:sz w:val="24"/>
          <w:szCs w:val="24"/>
        </w:rPr>
        <w:t>8</w:t>
      </w:r>
    </w:p>
    <w:p w14:paraId="7BB7164D" w14:textId="77777777" w:rsidR="00CE6BF6" w:rsidRDefault="00CE6BF6" w:rsidP="00CE6BF6">
      <w:pPr>
        <w:rPr>
          <w:rFonts w:ascii="Arial Black" w:hAnsi="Arial Black"/>
          <w:b/>
          <w:sz w:val="28"/>
          <w:szCs w:val="28"/>
        </w:rPr>
      </w:pPr>
      <w:r>
        <w:rPr>
          <w:rFonts w:ascii="Arial Black" w:hAnsi="Arial Black"/>
          <w:b/>
          <w:sz w:val="28"/>
          <w:szCs w:val="28"/>
        </w:rPr>
        <w:t xml:space="preserve">U.S. SUP. CT – ALL COURTS - PREPONDRANCE-OF-EVIDENCE </w:t>
      </w:r>
    </w:p>
    <w:p w14:paraId="39DF8900" w14:textId="70C599B3" w:rsidR="00CE6BF6" w:rsidRPr="00474F4B" w:rsidRDefault="00CE6BF6" w:rsidP="00CE6BF6">
      <w:pPr>
        <w:rPr>
          <w:rFonts w:ascii="Times New Roman" w:hAnsi="Times New Roman"/>
          <w:bCs/>
          <w:sz w:val="24"/>
          <w:szCs w:val="24"/>
        </w:rPr>
      </w:pPr>
      <w:r w:rsidRPr="00474F4B">
        <w:rPr>
          <w:rFonts w:ascii="Times New Roman" w:hAnsi="Times New Roman"/>
          <w:sz w:val="24"/>
          <w:szCs w:val="24"/>
        </w:rPr>
        <w:t xml:space="preserve">On Juan. 15, 2023, in </w:t>
      </w:r>
      <w:r w:rsidRPr="00474F4B">
        <w:rPr>
          <w:rFonts w:ascii="Times New Roman" w:hAnsi="Times New Roman"/>
          <w:sz w:val="24"/>
          <w:szCs w:val="24"/>
          <w:u w:val="single"/>
        </w:rPr>
        <w:t>EMD Sales, Inc., et al. v. Faustino Sanchez Carrera</w:t>
      </w:r>
      <w:r w:rsidRPr="00474F4B">
        <w:rPr>
          <w:rFonts w:ascii="Times New Roman" w:hAnsi="Times New Roman"/>
          <w:sz w:val="24"/>
          <w:szCs w:val="24"/>
        </w:rPr>
        <w:t xml:space="preserve">, the </w:t>
      </w:r>
      <w:r w:rsidR="0034221B">
        <w:rPr>
          <w:rFonts w:ascii="Times New Roman" w:hAnsi="Times New Roman"/>
          <w:sz w:val="24"/>
          <w:szCs w:val="24"/>
        </w:rPr>
        <w:t xml:space="preserve">U.S. </w:t>
      </w:r>
      <w:r w:rsidR="00883BD6">
        <w:rPr>
          <w:rFonts w:ascii="Times New Roman" w:hAnsi="Times New Roman"/>
          <w:sz w:val="24"/>
          <w:szCs w:val="24"/>
        </w:rPr>
        <w:t>Supreme</w:t>
      </w:r>
      <w:r w:rsidR="0034221B">
        <w:rPr>
          <w:rFonts w:ascii="Times New Roman" w:hAnsi="Times New Roman"/>
          <w:sz w:val="24"/>
          <w:szCs w:val="24"/>
        </w:rPr>
        <w:t xml:space="preserve"> Court</w:t>
      </w:r>
      <w:r w:rsidRPr="00474F4B">
        <w:rPr>
          <w:rFonts w:ascii="Times New Roman" w:hAnsi="Times New Roman"/>
          <w:sz w:val="24"/>
          <w:szCs w:val="24"/>
        </w:rPr>
        <w:t xml:space="preserve"> held (9 to 0) that employers, when sued by employees claiming they were improperly classified as exempt from overtime pay, will be judged by the normal standard in civil litigation – “preponderance-of-the-evidence.” The Court reversed the U.S. Court of Appeals for the 4</w:t>
      </w:r>
      <w:r w:rsidRPr="00474F4B">
        <w:rPr>
          <w:rFonts w:ascii="Times New Roman" w:hAnsi="Times New Roman"/>
          <w:sz w:val="24"/>
          <w:szCs w:val="24"/>
          <w:vertAlign w:val="superscript"/>
        </w:rPr>
        <w:t>th</w:t>
      </w:r>
      <w:r w:rsidRPr="00474F4B">
        <w:rPr>
          <w:rFonts w:ascii="Times New Roman" w:hAnsi="Times New Roman"/>
          <w:sz w:val="24"/>
          <w:szCs w:val="24"/>
        </w:rPr>
        <w:t xml:space="preserve"> Circuit (Richmond, VA) which required proof of an exemption by “clear-and-convincing evidence.” Employers in 4</w:t>
      </w:r>
      <w:r w:rsidRPr="00474F4B">
        <w:rPr>
          <w:rFonts w:ascii="Times New Roman" w:hAnsi="Times New Roman"/>
          <w:sz w:val="24"/>
          <w:szCs w:val="24"/>
          <w:vertAlign w:val="superscript"/>
        </w:rPr>
        <w:t>th</w:t>
      </w:r>
      <w:r w:rsidRPr="00474F4B">
        <w:rPr>
          <w:rFonts w:ascii="Times New Roman" w:hAnsi="Times New Roman"/>
          <w:sz w:val="24"/>
          <w:szCs w:val="24"/>
        </w:rPr>
        <w:t xml:space="preserve"> Circuit, including fire &amp; EMS  - Maryland, North Carolina, South Carolina, Virginia, and West Virginia – will now be held to same standard as rest of the nation. The lawsuit involved EMD Sales, Inc., is a distributor of Latin American, Caribbean, and Asian food products to chain and independent grocery stores, operating in the Washington, D.C. metropolitan area. The company paid salesmen commissions (up to 6.6%; some earned over $100,000) but no overtime; under FLSA regulations “outside salesman” and exempt.  After a nine-day bench trial, the U.S. District Court judge ruled for employees </w:t>
      </w:r>
      <w:r w:rsidRPr="00474F4B">
        <w:rPr>
          <w:rFonts w:ascii="Times New Roman" w:hAnsi="Times New Roman"/>
          <w:sz w:val="24"/>
          <w:szCs w:val="24"/>
        </w:rPr>
        <w:lastRenderedPageBreak/>
        <w:t>and the 4</w:t>
      </w:r>
      <w:r w:rsidRPr="00474F4B">
        <w:rPr>
          <w:rFonts w:ascii="Times New Roman" w:hAnsi="Times New Roman"/>
          <w:sz w:val="24"/>
          <w:szCs w:val="24"/>
          <w:vertAlign w:val="superscript"/>
        </w:rPr>
        <w:t>th</w:t>
      </w:r>
      <w:r w:rsidRPr="00474F4B">
        <w:rPr>
          <w:rFonts w:ascii="Times New Roman" w:hAnsi="Times New Roman"/>
          <w:sz w:val="24"/>
          <w:szCs w:val="24"/>
        </w:rPr>
        <w:t xml:space="preserve"> Circuit affirmed.  The U.S. Supreme Court reversed the 4</w:t>
      </w:r>
      <w:r w:rsidRPr="00474F4B">
        <w:rPr>
          <w:rFonts w:ascii="Times New Roman" w:hAnsi="Times New Roman"/>
          <w:sz w:val="24"/>
          <w:szCs w:val="24"/>
          <w:vertAlign w:val="superscript"/>
        </w:rPr>
        <w:t>th</w:t>
      </w:r>
      <w:r w:rsidRPr="00474F4B">
        <w:rPr>
          <w:rFonts w:ascii="Times New Roman" w:hAnsi="Times New Roman"/>
          <w:sz w:val="24"/>
          <w:szCs w:val="24"/>
        </w:rPr>
        <w:t xml:space="preserve"> Circuit on the standard of proof required [case will likely be re-tried].  </w:t>
      </w:r>
      <w:hyperlink r:id="rId1779" w:history="1">
        <w:r w:rsidRPr="00474F4B">
          <w:rPr>
            <w:rStyle w:val="Hyperlink"/>
            <w:rFonts w:ascii="Times New Roman" w:hAnsi="Times New Roman"/>
            <w:sz w:val="24"/>
            <w:szCs w:val="24"/>
          </w:rPr>
          <w:t>https://www.supremecourt.gov/opinions/24pdf/23-217_9o6b.pdf</w:t>
        </w:r>
      </w:hyperlink>
      <w:r w:rsidRPr="00474F4B">
        <w:rPr>
          <w:rFonts w:ascii="Times New Roman" w:hAnsi="Times New Roman"/>
          <w:sz w:val="24"/>
          <w:szCs w:val="24"/>
        </w:rPr>
        <w:t xml:space="preserve">   </w:t>
      </w:r>
    </w:p>
    <w:p w14:paraId="4F9796BF" w14:textId="77777777" w:rsidR="00CE6BF6" w:rsidRPr="00474F4B" w:rsidRDefault="00CE6BF6" w:rsidP="00CE6BF6">
      <w:pPr>
        <w:rPr>
          <w:rFonts w:ascii="Times New Roman" w:hAnsi="Times New Roman"/>
          <w:bCs/>
          <w:sz w:val="24"/>
          <w:szCs w:val="24"/>
        </w:rPr>
      </w:pPr>
      <w:r w:rsidRPr="00474F4B">
        <w:rPr>
          <w:rFonts w:ascii="Times New Roman" w:hAnsi="Times New Roman"/>
          <w:sz w:val="24"/>
          <w:szCs w:val="24"/>
        </w:rPr>
        <w:t xml:space="preserve">The Court held: </w:t>
      </w:r>
    </w:p>
    <w:p w14:paraId="057EFDC0" w14:textId="77777777" w:rsidR="00CE6BF6" w:rsidRPr="00474F4B" w:rsidRDefault="00CE6BF6" w:rsidP="00CE6BF6">
      <w:pPr>
        <w:pStyle w:val="NoSpacing"/>
        <w:ind w:left="720"/>
        <w:rPr>
          <w:rFonts w:ascii="Times New Roman" w:hAnsi="Times New Roman"/>
          <w:bCs/>
          <w:sz w:val="24"/>
          <w:szCs w:val="24"/>
        </w:rPr>
      </w:pPr>
      <w:r w:rsidRPr="00474F4B">
        <w:rPr>
          <w:rFonts w:ascii="Times New Roman" w:hAnsi="Times New Roman"/>
          <w:sz w:val="24"/>
          <w:szCs w:val="24"/>
        </w:rPr>
        <w:t>“We hold that the preponderance-of-the-evidence standard applies when an employer seeks to show that an employee is exempt from the minimum-wage and overtime-</w:t>
      </w:r>
    </w:p>
    <w:p w14:paraId="73D9527D" w14:textId="77777777" w:rsidR="00CE6BF6" w:rsidRPr="00474F4B" w:rsidRDefault="00CE6BF6" w:rsidP="00CE6BF6">
      <w:pPr>
        <w:pStyle w:val="NoSpacing"/>
        <w:ind w:left="720"/>
        <w:rPr>
          <w:rFonts w:ascii="Times New Roman" w:hAnsi="Times New Roman"/>
          <w:bCs/>
          <w:sz w:val="24"/>
          <w:szCs w:val="24"/>
        </w:rPr>
      </w:pPr>
      <w:r w:rsidRPr="00474F4B">
        <w:rPr>
          <w:rFonts w:ascii="Times New Roman" w:hAnsi="Times New Roman"/>
          <w:sz w:val="24"/>
          <w:szCs w:val="24"/>
        </w:rPr>
        <w:t>pay provisions of the Fair Labor Standards Act. The employees argue that we should still affirm because they would not qualify as outside salesmen even under a preponderance standard. But our usual practice is to leave matters of that sort for remand. We see no persuasive reason to stray from that usual practice here. We therefore reverse the judgment of the Court of Appeals and remand the case for further proceedings consistent with this opinion.”</w:t>
      </w:r>
    </w:p>
    <w:p w14:paraId="733E77E6" w14:textId="77777777" w:rsidR="00CE6BF6" w:rsidRPr="00474F4B" w:rsidRDefault="00CE6BF6" w:rsidP="00CE6BF6">
      <w:pPr>
        <w:rPr>
          <w:rFonts w:ascii="Times New Roman" w:hAnsi="Times New Roman"/>
          <w:b/>
          <w:sz w:val="24"/>
          <w:szCs w:val="24"/>
        </w:rPr>
      </w:pPr>
    </w:p>
    <w:p w14:paraId="3E8AA160" w14:textId="77777777" w:rsidR="00CE6BF6" w:rsidRPr="00474F4B" w:rsidRDefault="00CE6BF6" w:rsidP="00CE6BF6">
      <w:pPr>
        <w:rPr>
          <w:rFonts w:ascii="Times New Roman" w:hAnsi="Times New Roman"/>
          <w:b/>
          <w:sz w:val="24"/>
          <w:szCs w:val="24"/>
        </w:rPr>
      </w:pPr>
      <w:r w:rsidRPr="00474F4B">
        <w:rPr>
          <w:rFonts w:ascii="Times New Roman" w:hAnsi="Times New Roman"/>
          <w:b/>
          <w:sz w:val="24"/>
          <w:szCs w:val="24"/>
        </w:rPr>
        <w:t xml:space="preserve">Legal Lesson Learned: Fire &amp; EMS managers, when deciding “close questions” about FLSA exemptions – such as which senior officers are exempt from overtime – should consult with experienced FLSA legal counsel.  </w:t>
      </w:r>
    </w:p>
    <w:p w14:paraId="675DAC3A" w14:textId="77777777" w:rsidR="00CE6BF6" w:rsidRPr="00474F4B" w:rsidRDefault="00CE6BF6" w:rsidP="00CE6BF6">
      <w:pPr>
        <w:ind w:left="720"/>
        <w:rPr>
          <w:rFonts w:ascii="Times New Roman" w:hAnsi="Times New Roman"/>
          <w:bCs/>
          <w:sz w:val="24"/>
          <w:szCs w:val="24"/>
        </w:rPr>
      </w:pPr>
      <w:r w:rsidRPr="00474F4B">
        <w:rPr>
          <w:rFonts w:ascii="Times New Roman" w:hAnsi="Times New Roman"/>
          <w:sz w:val="24"/>
          <w:szCs w:val="24"/>
        </w:rPr>
        <w:t xml:space="preserve">Note: See Jan. 15, </w:t>
      </w:r>
      <w:proofErr w:type="gramStart"/>
      <w:r w:rsidRPr="00474F4B">
        <w:rPr>
          <w:rFonts w:ascii="Times New Roman" w:hAnsi="Times New Roman"/>
          <w:sz w:val="24"/>
          <w:szCs w:val="24"/>
        </w:rPr>
        <w:t>2025</w:t>
      </w:r>
      <w:proofErr w:type="gramEnd"/>
      <w:r w:rsidRPr="00474F4B">
        <w:rPr>
          <w:rFonts w:ascii="Times New Roman" w:hAnsi="Times New Roman"/>
          <w:sz w:val="24"/>
          <w:szCs w:val="24"/>
        </w:rPr>
        <w:t xml:space="preserve">  article: “US Supreme Court boosts companies' defense in wage lawsuits.” </w:t>
      </w:r>
      <w:hyperlink r:id="rId1780" w:history="1">
        <w:r w:rsidRPr="00474F4B">
          <w:rPr>
            <w:rStyle w:val="Hyperlink"/>
            <w:rFonts w:ascii="Times New Roman" w:hAnsi="Times New Roman"/>
            <w:sz w:val="24"/>
            <w:szCs w:val="24"/>
          </w:rPr>
          <w:t>https://www.reuters.com/legal/government/us-supreme-court-boosts-companies-defense-wage-lawsuits-2025-01-15/</w:t>
        </w:r>
      </w:hyperlink>
      <w:r w:rsidRPr="00474F4B">
        <w:rPr>
          <w:rFonts w:ascii="Times New Roman" w:hAnsi="Times New Roman"/>
          <w:sz w:val="24"/>
          <w:szCs w:val="24"/>
        </w:rPr>
        <w:t xml:space="preserve"> </w:t>
      </w:r>
    </w:p>
    <w:p w14:paraId="0FA50A6F" w14:textId="77777777" w:rsidR="00CE6BF6" w:rsidRPr="00474F4B" w:rsidRDefault="00CE6BF6" w:rsidP="00CE6BF6">
      <w:pPr>
        <w:ind w:left="720"/>
        <w:rPr>
          <w:rFonts w:ascii="Times New Roman" w:hAnsi="Times New Roman"/>
          <w:sz w:val="24"/>
          <w:szCs w:val="24"/>
        </w:rPr>
      </w:pPr>
      <w:r w:rsidRPr="00474F4B">
        <w:rPr>
          <w:rFonts w:ascii="Times New Roman" w:hAnsi="Times New Roman"/>
          <w:sz w:val="24"/>
          <w:szCs w:val="24"/>
        </w:rPr>
        <w:t>:The </w:t>
      </w:r>
      <w:hyperlink r:id="rId1781" w:tgtFrame="_blank" w:history="1">
        <w:r w:rsidRPr="00474F4B">
          <w:rPr>
            <w:rStyle w:val="Hyperlink"/>
            <w:rFonts w:ascii="Times New Roman" w:hAnsi="Times New Roman"/>
            <w:sz w:val="24"/>
            <w:szCs w:val="24"/>
          </w:rPr>
          <w:t>unanimous ruling, opens new tab</w:t>
        </w:r>
      </w:hyperlink>
      <w:r w:rsidRPr="00474F4B">
        <w:rPr>
          <w:rFonts w:ascii="Times New Roman" w:hAnsi="Times New Roman"/>
          <w:sz w:val="24"/>
          <w:szCs w:val="24"/>
        </w:rPr>
        <w:t> penned by Justice Brett Kavanaugh could make it easier for some businesses to defend against lawsuits, including many class actions, claiming that workers were improperly exempted from the federal Fair Labor Standards Act (FLSA).”</w:t>
      </w:r>
    </w:p>
    <w:p w14:paraId="498E043D" w14:textId="77777777" w:rsidR="00CE6BF6" w:rsidRPr="00474F4B" w:rsidRDefault="00CE6BF6" w:rsidP="00CE6BF6">
      <w:pPr>
        <w:ind w:left="720"/>
        <w:rPr>
          <w:rFonts w:ascii="Times New Roman" w:hAnsi="Times New Roman"/>
          <w:bCs/>
          <w:sz w:val="24"/>
          <w:szCs w:val="24"/>
        </w:rPr>
      </w:pPr>
    </w:p>
    <w:p w14:paraId="68456FAD" w14:textId="77777777" w:rsidR="00CE6BF6" w:rsidRPr="00474F4B" w:rsidRDefault="00CE6BF6" w:rsidP="00CE6BF6">
      <w:pPr>
        <w:ind w:left="720"/>
        <w:rPr>
          <w:rFonts w:ascii="Times New Roman" w:hAnsi="Times New Roman"/>
          <w:bCs/>
          <w:sz w:val="24"/>
          <w:szCs w:val="24"/>
        </w:rPr>
      </w:pPr>
      <w:r w:rsidRPr="00474F4B">
        <w:rPr>
          <w:rFonts w:ascii="Times New Roman" w:hAnsi="Times New Roman"/>
          <w:sz w:val="24"/>
          <w:szCs w:val="24"/>
        </w:rPr>
        <w:t xml:space="preserve">Company may have an uphill battle during retrial.  Read the brief by U.S. Solicitor General: </w:t>
      </w:r>
      <w:hyperlink r:id="rId1782" w:history="1">
        <w:r w:rsidRPr="00474F4B">
          <w:rPr>
            <w:rStyle w:val="Hyperlink"/>
            <w:rFonts w:ascii="Times New Roman" w:hAnsi="Times New Roman"/>
            <w:sz w:val="24"/>
            <w:szCs w:val="24"/>
          </w:rPr>
          <w:t>https://www.supremecourt.gov/DocketPDF/23/23-217/326778/20240924155125392_2024.09.24%20EMD%20v%20Carrera%20-%20Brief%20for%20Respondents.pdf</w:t>
        </w:r>
      </w:hyperlink>
      <w:r w:rsidRPr="00474F4B">
        <w:rPr>
          <w:rFonts w:ascii="Times New Roman" w:hAnsi="Times New Roman"/>
          <w:sz w:val="24"/>
          <w:szCs w:val="24"/>
        </w:rPr>
        <w:t xml:space="preserve"> </w:t>
      </w:r>
    </w:p>
    <w:p w14:paraId="4ADA1FAE" w14:textId="3A4AC9E9" w:rsidR="00CE6BF6" w:rsidRPr="00474F4B" w:rsidRDefault="00CE6BF6" w:rsidP="00CE6BF6">
      <w:pPr>
        <w:pStyle w:val="NoSpacing"/>
        <w:ind w:left="720"/>
        <w:rPr>
          <w:rFonts w:ascii="Times New Roman" w:hAnsi="Times New Roman"/>
          <w:bCs/>
          <w:sz w:val="24"/>
          <w:szCs w:val="24"/>
        </w:rPr>
      </w:pPr>
      <w:r w:rsidRPr="00474F4B">
        <w:rPr>
          <w:rFonts w:ascii="Times New Roman" w:hAnsi="Times New Roman"/>
          <w:sz w:val="24"/>
          <w:szCs w:val="24"/>
        </w:rPr>
        <w:t>“Respondents presented evidence that they did not and could not make sales at chain stores. Rather, when they serviced chain stores, they replenished stock based on ‘sales terms already negotiated by management,’ and ‘their time was spent only on promotion and inventory-management activities— restocking and rearranging products, issuing credits, taking orders—that were incidental to sales made at higher levels.’</w:t>
      </w:r>
      <w:r w:rsidR="00474F4B" w:rsidRPr="00474F4B">
        <w:rPr>
          <w:rFonts w:ascii="Times New Roman" w:hAnsi="Times New Roman"/>
          <w:sz w:val="24"/>
          <w:szCs w:val="24"/>
        </w:rPr>
        <w:t>”</w:t>
      </w:r>
    </w:p>
    <w:p w14:paraId="2CFE3C44" w14:textId="77777777" w:rsidR="00CE6BF6" w:rsidRPr="00A84124" w:rsidRDefault="00CE6BF6" w:rsidP="00CE6BF6">
      <w:pPr>
        <w:ind w:left="720"/>
        <w:rPr>
          <w:bCs/>
        </w:rPr>
      </w:pPr>
    </w:p>
    <w:p w14:paraId="2E5E88E9" w14:textId="77777777" w:rsidR="00CE6BF6" w:rsidRDefault="00CE6BF6" w:rsidP="00F326E5">
      <w:pPr>
        <w:rPr>
          <w:rFonts w:ascii="Arial Black" w:hAnsi="Arial Black"/>
          <w:b/>
          <w:sz w:val="24"/>
          <w:szCs w:val="24"/>
        </w:rPr>
      </w:pPr>
    </w:p>
    <w:p w14:paraId="790B3560" w14:textId="436BF811" w:rsidR="00C510D7" w:rsidRDefault="00F515EB" w:rsidP="00F326E5">
      <w:pPr>
        <w:rPr>
          <w:rFonts w:ascii="Arial Black" w:hAnsi="Arial Black"/>
          <w:b/>
          <w:sz w:val="24"/>
          <w:szCs w:val="24"/>
        </w:rPr>
      </w:pPr>
      <w:r>
        <w:rPr>
          <w:rFonts w:ascii="Arial Black" w:hAnsi="Arial Black"/>
          <w:b/>
          <w:sz w:val="24"/>
          <w:szCs w:val="24"/>
        </w:rPr>
        <w:t>1</w:t>
      </w:r>
      <w:r w:rsidR="00C510D7">
        <w:rPr>
          <w:rFonts w:ascii="Arial Black" w:hAnsi="Arial Black"/>
          <w:b/>
          <w:sz w:val="24"/>
          <w:szCs w:val="24"/>
        </w:rPr>
        <w:t>1-5</w:t>
      </w:r>
      <w:r w:rsidR="00DE6B12">
        <w:rPr>
          <w:rFonts w:ascii="Arial Black" w:hAnsi="Arial Black"/>
          <w:b/>
          <w:sz w:val="24"/>
          <w:szCs w:val="24"/>
        </w:rPr>
        <w:t>7</w:t>
      </w:r>
    </w:p>
    <w:p w14:paraId="29DFBA5B" w14:textId="77777777" w:rsidR="00C510D7" w:rsidRPr="00103331" w:rsidRDefault="00C510D7" w:rsidP="00C510D7">
      <w:pPr>
        <w:pStyle w:val="NoSpacing"/>
        <w:rPr>
          <w:rFonts w:ascii="Arial Black" w:hAnsi="Arial Black"/>
          <w:b/>
          <w:sz w:val="28"/>
          <w:szCs w:val="28"/>
        </w:rPr>
      </w:pPr>
      <w:r>
        <w:rPr>
          <w:rFonts w:ascii="Arial Black" w:hAnsi="Arial Black"/>
          <w:b/>
          <w:sz w:val="28"/>
          <w:szCs w:val="28"/>
        </w:rPr>
        <w:t xml:space="preserve">OK: FLSA – EMS SHIFT DIFFERENTIAL – HOURLY RATE OF PAY TO INCREASE – CLASS ACTION $350K SETTLEMENT  </w:t>
      </w:r>
    </w:p>
    <w:p w14:paraId="06FD023D" w14:textId="77777777" w:rsidR="00C510D7" w:rsidRDefault="00C510D7" w:rsidP="00C510D7">
      <w:pPr>
        <w:pStyle w:val="NoSpacing"/>
        <w:ind w:firstLine="720"/>
        <w:rPr>
          <w:b/>
        </w:rPr>
      </w:pPr>
    </w:p>
    <w:p w14:paraId="1DD25A52" w14:textId="334B9515" w:rsidR="00C510D7" w:rsidRPr="008032EA" w:rsidRDefault="00C510D7" w:rsidP="00C510D7">
      <w:pPr>
        <w:rPr>
          <w:rFonts w:ascii="Times New Roman" w:hAnsi="Times New Roman"/>
          <w:b/>
          <w:sz w:val="24"/>
          <w:szCs w:val="24"/>
        </w:rPr>
      </w:pPr>
      <w:r w:rsidRPr="008032EA">
        <w:rPr>
          <w:rFonts w:ascii="Times New Roman" w:hAnsi="Times New Roman"/>
          <w:sz w:val="24"/>
          <w:szCs w:val="24"/>
        </w:rPr>
        <w:t xml:space="preserve">On Nov. 21, 2024, in </w:t>
      </w:r>
      <w:r w:rsidRPr="008032EA">
        <w:rPr>
          <w:rFonts w:ascii="Times New Roman" w:hAnsi="Times New Roman"/>
          <w:sz w:val="24"/>
          <w:szCs w:val="24"/>
          <w:u w:val="single"/>
        </w:rPr>
        <w:t>Jerry Sherley v. Muskogee County EMS</w:t>
      </w:r>
      <w:r w:rsidRPr="008032EA">
        <w:rPr>
          <w:rFonts w:ascii="Times New Roman" w:hAnsi="Times New Roman"/>
          <w:sz w:val="24"/>
          <w:szCs w:val="24"/>
        </w:rPr>
        <w:t xml:space="preserve">, United States District Court Judge John F. Heil, III, U.S. District Court for approved the Eastern District of Oklahoma, approved the Notice to go to all EMS to “opt in” to the back pay settlement.  The Court wrote: “Plaintiff alleges that between July 18, </w:t>
      </w:r>
      <w:proofErr w:type="gramStart"/>
      <w:r w:rsidRPr="008032EA">
        <w:rPr>
          <w:rFonts w:ascii="Times New Roman" w:hAnsi="Times New Roman"/>
          <w:sz w:val="24"/>
          <w:szCs w:val="24"/>
        </w:rPr>
        <w:t>2020</w:t>
      </w:r>
      <w:proofErr w:type="gramEnd"/>
      <w:r w:rsidRPr="008032EA">
        <w:rPr>
          <w:rFonts w:ascii="Times New Roman" w:hAnsi="Times New Roman"/>
          <w:sz w:val="24"/>
          <w:szCs w:val="24"/>
        </w:rPr>
        <w:t xml:space="preserve"> and October </w:t>
      </w:r>
      <w:r w:rsidRPr="008032EA">
        <w:rPr>
          <w:rFonts w:ascii="Times New Roman" w:hAnsi="Times New Roman"/>
          <w:sz w:val="24"/>
          <w:szCs w:val="24"/>
        </w:rPr>
        <w:lastRenderedPageBreak/>
        <w:t xml:space="preserve">31, 2023, MCEMS failed to include EMTs’ shift differential pay in the rate for overtime pay, which resulted in less overtime pay than required by the FLSA…. The parties have reached a negotiated resolution…. Their settlement agreement defines the Settlement Collective to include ‘any EMT employed by MCEMS who was paid by the hour . . . plus shift differential pay and who worked more than 40 hours in a workweek during the period from July 18, </w:t>
      </w:r>
      <w:proofErr w:type="gramStart"/>
      <w:r w:rsidRPr="008032EA">
        <w:rPr>
          <w:rFonts w:ascii="Times New Roman" w:hAnsi="Times New Roman"/>
          <w:sz w:val="24"/>
          <w:szCs w:val="24"/>
        </w:rPr>
        <w:t>2020</w:t>
      </w:r>
      <w:proofErr w:type="gramEnd"/>
      <w:r w:rsidRPr="008032EA">
        <w:rPr>
          <w:rFonts w:ascii="Times New Roman" w:hAnsi="Times New Roman"/>
          <w:sz w:val="24"/>
          <w:szCs w:val="24"/>
        </w:rPr>
        <w:t xml:space="preserve"> to October 31, 2023.’” </w:t>
      </w:r>
      <w:hyperlink r:id="rId1783" w:history="1">
        <w:r w:rsidRPr="008032EA">
          <w:rPr>
            <w:rStyle w:val="Hyperlink"/>
            <w:rFonts w:ascii="Times New Roman" w:hAnsi="Times New Roman"/>
            <w:sz w:val="24"/>
            <w:szCs w:val="24"/>
          </w:rPr>
          <w:t>https://cases.justia.com/federal/district-courts/oklahoma/okedce/6:2023cv00241/34830/33/0.pdf?ts=1732294058</w:t>
        </w:r>
      </w:hyperlink>
    </w:p>
    <w:p w14:paraId="254F3FE1" w14:textId="77777777" w:rsidR="008032EA" w:rsidRPr="008032EA" w:rsidRDefault="008032EA" w:rsidP="008032EA">
      <w:pPr>
        <w:pStyle w:val="NoSpacing"/>
        <w:rPr>
          <w:rFonts w:ascii="Times New Roman" w:hAnsi="Times New Roman"/>
          <w:b/>
          <w:sz w:val="24"/>
          <w:szCs w:val="24"/>
        </w:rPr>
      </w:pPr>
      <w:r w:rsidRPr="008032EA">
        <w:rPr>
          <w:rFonts w:ascii="Times New Roman" w:hAnsi="Times New Roman"/>
          <w:b/>
          <w:sz w:val="24"/>
          <w:szCs w:val="24"/>
        </w:rPr>
        <w:t>Legal Lesson Learned: Shift differential increases the hourly rate of pay for EMS.</w:t>
      </w:r>
    </w:p>
    <w:p w14:paraId="6C52655D" w14:textId="77777777" w:rsidR="008032EA" w:rsidRPr="008032EA" w:rsidRDefault="008032EA" w:rsidP="008032EA">
      <w:pPr>
        <w:pStyle w:val="NoSpacing"/>
        <w:ind w:firstLine="720"/>
        <w:rPr>
          <w:rFonts w:ascii="Times New Roman" w:hAnsi="Times New Roman"/>
          <w:b/>
          <w:sz w:val="24"/>
          <w:szCs w:val="24"/>
        </w:rPr>
      </w:pPr>
    </w:p>
    <w:p w14:paraId="30079DB1" w14:textId="77777777" w:rsidR="008032EA" w:rsidRPr="000402D5" w:rsidRDefault="008032EA" w:rsidP="008032EA">
      <w:pPr>
        <w:pStyle w:val="NoSpacing"/>
        <w:ind w:left="720"/>
      </w:pPr>
      <w:r w:rsidRPr="008032EA">
        <w:rPr>
          <w:rFonts w:ascii="Times New Roman" w:hAnsi="Times New Roman"/>
          <w:sz w:val="24"/>
          <w:szCs w:val="24"/>
        </w:rPr>
        <w:t>Note:  See article, July 20, 2023: “Okla. EMS Dept. Shorts Workers On OT, Former EMT Says.”</w:t>
      </w:r>
      <w:r w:rsidRPr="008032EA">
        <w:rPr>
          <w:rFonts w:ascii="Times New Roman" w:hAnsi="Times New Roman"/>
          <w:b/>
          <w:sz w:val="24"/>
          <w:szCs w:val="24"/>
        </w:rPr>
        <w:t xml:space="preserve"> </w:t>
      </w:r>
      <w:r w:rsidRPr="008032EA">
        <w:rPr>
          <w:rFonts w:ascii="Times New Roman" w:hAnsi="Times New Roman"/>
          <w:sz w:val="24"/>
          <w:szCs w:val="24"/>
        </w:rPr>
        <w:t xml:space="preserve"> “A former emergency medical technician for an Oklahoma emergency medical services department hit his former employer with a proposed collective action accusing it of violating the Fair Labor Standards Act.” </w:t>
      </w:r>
      <w:hyperlink r:id="rId1784" w:history="1">
        <w:r w:rsidRPr="008032EA">
          <w:rPr>
            <w:rStyle w:val="Hyperlink"/>
            <w:rFonts w:ascii="Times New Roman" w:hAnsi="Times New Roman"/>
            <w:sz w:val="24"/>
            <w:szCs w:val="24"/>
          </w:rPr>
          <w:t>https://www.law360.com/employment-authority/articles/1701446/okla-ems-dept-shorts-workers-on-ot-former-emt-says</w:t>
        </w:r>
      </w:hyperlink>
      <w:r>
        <w:t xml:space="preserve"> </w:t>
      </w:r>
    </w:p>
    <w:p w14:paraId="2F396159" w14:textId="77777777" w:rsidR="008032EA" w:rsidRDefault="008032EA" w:rsidP="008032EA">
      <w:pPr>
        <w:pStyle w:val="NoSpacing"/>
      </w:pPr>
    </w:p>
    <w:p w14:paraId="5DA2BC08" w14:textId="7EA42683" w:rsidR="00C510D7" w:rsidRDefault="00F515EB" w:rsidP="00F515EB">
      <w:pPr>
        <w:rPr>
          <w:rFonts w:ascii="Arial Black" w:hAnsi="Arial Black"/>
          <w:b/>
          <w:sz w:val="24"/>
          <w:szCs w:val="24"/>
        </w:rPr>
      </w:pPr>
      <w:r>
        <w:rPr>
          <w:rFonts w:ascii="Arial Black" w:hAnsi="Arial Black"/>
          <w:b/>
          <w:sz w:val="24"/>
          <w:szCs w:val="24"/>
        </w:rPr>
        <w:t>11-5</w:t>
      </w:r>
      <w:r w:rsidR="00DE6B12">
        <w:rPr>
          <w:rFonts w:ascii="Arial Black" w:hAnsi="Arial Black"/>
          <w:b/>
          <w:sz w:val="24"/>
          <w:szCs w:val="24"/>
        </w:rPr>
        <w:t>6</w:t>
      </w:r>
    </w:p>
    <w:p w14:paraId="7893EA32" w14:textId="77777777" w:rsidR="00F515EB" w:rsidRPr="006E68AF" w:rsidRDefault="00F515EB" w:rsidP="00F515EB">
      <w:pPr>
        <w:pStyle w:val="NoSpacing"/>
        <w:rPr>
          <w:rFonts w:ascii="Arial Black" w:hAnsi="Arial Black"/>
          <w:bCs/>
          <w:sz w:val="28"/>
          <w:szCs w:val="28"/>
        </w:rPr>
      </w:pPr>
      <w:r w:rsidRPr="006E68AF">
        <w:rPr>
          <w:rFonts w:ascii="Arial Black" w:hAnsi="Arial Black"/>
          <w:sz w:val="28"/>
          <w:szCs w:val="28"/>
        </w:rPr>
        <w:t>MA: SETTLED – D</w:t>
      </w:r>
      <w:r>
        <w:rPr>
          <w:rFonts w:ascii="Arial Black" w:hAnsi="Arial Black"/>
          <w:sz w:val="28"/>
          <w:szCs w:val="28"/>
        </w:rPr>
        <w:t>ROP CLAIM DCs NON-EXEMPT</w:t>
      </w:r>
    </w:p>
    <w:p w14:paraId="5D8C6DDC" w14:textId="77777777" w:rsidR="00F515EB" w:rsidRPr="006E68AF" w:rsidRDefault="00F515EB" w:rsidP="00F515EB">
      <w:pPr>
        <w:pStyle w:val="NoSpacing"/>
        <w:rPr>
          <w:b/>
        </w:rPr>
      </w:pPr>
    </w:p>
    <w:p w14:paraId="385EED72" w14:textId="77777777" w:rsidR="00627EB5" w:rsidRPr="00627EB5" w:rsidRDefault="00627EB5" w:rsidP="00627EB5">
      <w:pPr>
        <w:pStyle w:val="NoSpacing"/>
        <w:rPr>
          <w:rStyle w:val="Hyperlink"/>
          <w:rFonts w:ascii="Times New Roman" w:hAnsi="Times New Roman"/>
          <w:bCs/>
          <w:sz w:val="24"/>
          <w:szCs w:val="24"/>
        </w:rPr>
      </w:pPr>
      <w:r w:rsidRPr="00627EB5">
        <w:rPr>
          <w:rFonts w:ascii="Times New Roman" w:hAnsi="Times New Roman"/>
          <w:sz w:val="24"/>
          <w:szCs w:val="24"/>
        </w:rPr>
        <w:t xml:space="preserve">On Nov. 18, 2024, in </w:t>
      </w:r>
      <w:r w:rsidRPr="00627EB5">
        <w:rPr>
          <w:rFonts w:ascii="Times New Roman" w:hAnsi="Times New Roman"/>
          <w:sz w:val="24"/>
          <w:szCs w:val="24"/>
          <w:u w:val="single"/>
        </w:rPr>
        <w:t>Brian Bergeron, et al. v. Town of Brookline and Brookline Fire Department</w:t>
      </w:r>
      <w:r w:rsidRPr="00627EB5">
        <w:rPr>
          <w:rFonts w:ascii="Times New Roman" w:hAnsi="Times New Roman"/>
          <w:sz w:val="24"/>
          <w:szCs w:val="24"/>
        </w:rPr>
        <w:t xml:space="preserve">, Unites States District Court for the District of Massachusetts, the </w:t>
      </w:r>
      <w:proofErr w:type="gramStart"/>
      <w:r w:rsidRPr="00627EB5">
        <w:rPr>
          <w:rFonts w:ascii="Times New Roman" w:hAnsi="Times New Roman"/>
          <w:sz w:val="24"/>
          <w:szCs w:val="24"/>
        </w:rPr>
        <w:t>City</w:t>
      </w:r>
      <w:proofErr w:type="gramEnd"/>
      <w:r w:rsidRPr="00627EB5">
        <w:rPr>
          <w:rFonts w:ascii="Times New Roman" w:hAnsi="Times New Roman"/>
          <w:sz w:val="24"/>
          <w:szCs w:val="24"/>
        </w:rPr>
        <w:t xml:space="preserve"> filed settlement agreement.  The lawsuit was filed December 1, </w:t>
      </w:r>
      <w:proofErr w:type="gramStart"/>
      <w:r w:rsidRPr="00627EB5">
        <w:rPr>
          <w:rFonts w:ascii="Times New Roman" w:hAnsi="Times New Roman"/>
          <w:sz w:val="24"/>
          <w:szCs w:val="24"/>
        </w:rPr>
        <w:t>2023</w:t>
      </w:r>
      <w:proofErr w:type="gramEnd"/>
      <w:r w:rsidRPr="00627EB5">
        <w:rPr>
          <w:rFonts w:ascii="Times New Roman" w:hAnsi="Times New Roman"/>
          <w:sz w:val="24"/>
          <w:szCs w:val="24"/>
        </w:rPr>
        <w:t xml:space="preserve"> by two Lieutenants on behalf of a class of 119 current and former firefighters and officers. The original complaint included a claim that Deputy Chiefs were improperly classified as exempt.  That claim was dropped in the settlement. </w:t>
      </w:r>
      <w:hyperlink r:id="rId1785" w:history="1">
        <w:r w:rsidRPr="00627EB5">
          <w:rPr>
            <w:rStyle w:val="Hyperlink"/>
            <w:rFonts w:ascii="Times New Roman" w:hAnsi="Times New Roman"/>
            <w:sz w:val="24"/>
            <w:szCs w:val="24"/>
          </w:rPr>
          <w:t>https://brookline.news/wp-content/uploads/2024/12/jointsettlementfiling.pdf</w:t>
        </w:r>
      </w:hyperlink>
    </w:p>
    <w:p w14:paraId="14B33F10" w14:textId="77777777" w:rsidR="00627EB5" w:rsidRDefault="00627EB5" w:rsidP="00F515EB">
      <w:pPr>
        <w:pStyle w:val="NoSpacing"/>
        <w:rPr>
          <w:rFonts w:ascii="Times New Roman" w:hAnsi="Times New Roman"/>
          <w:sz w:val="24"/>
          <w:szCs w:val="24"/>
        </w:rPr>
      </w:pPr>
    </w:p>
    <w:p w14:paraId="46F378C0" w14:textId="77777777" w:rsidR="00627EB5" w:rsidRDefault="00627EB5" w:rsidP="00F515EB">
      <w:pPr>
        <w:pStyle w:val="NoSpacing"/>
        <w:rPr>
          <w:rFonts w:ascii="Times New Roman" w:hAnsi="Times New Roman"/>
          <w:sz w:val="24"/>
          <w:szCs w:val="24"/>
        </w:rPr>
      </w:pPr>
    </w:p>
    <w:p w14:paraId="6F5F67C3" w14:textId="3B870C66" w:rsidR="00F515EB" w:rsidRPr="007C7655" w:rsidRDefault="00F515EB" w:rsidP="00F515EB">
      <w:pPr>
        <w:pStyle w:val="NoSpacing"/>
        <w:rPr>
          <w:rFonts w:ascii="Times New Roman" w:hAnsi="Times New Roman"/>
          <w:bCs/>
          <w:sz w:val="24"/>
          <w:szCs w:val="24"/>
        </w:rPr>
      </w:pPr>
      <w:r w:rsidRPr="007C7655">
        <w:rPr>
          <w:rFonts w:ascii="Times New Roman" w:hAnsi="Times New Roman"/>
          <w:sz w:val="24"/>
          <w:szCs w:val="24"/>
        </w:rPr>
        <w:t xml:space="preserve">The Settlement includes following. </w:t>
      </w:r>
    </w:p>
    <w:p w14:paraId="3A1C91AF" w14:textId="77777777" w:rsidR="00F515EB" w:rsidRPr="007C7655" w:rsidRDefault="00F515EB" w:rsidP="00F515EB">
      <w:pPr>
        <w:pStyle w:val="NoSpacing"/>
        <w:rPr>
          <w:rFonts w:ascii="Times New Roman" w:hAnsi="Times New Roman"/>
          <w:bCs/>
          <w:sz w:val="24"/>
          <w:szCs w:val="24"/>
        </w:rPr>
      </w:pPr>
    </w:p>
    <w:p w14:paraId="750DCB80" w14:textId="1327D8E8" w:rsidR="00F515EB" w:rsidRPr="007C7655" w:rsidRDefault="00627EB5" w:rsidP="00F515EB">
      <w:pPr>
        <w:ind w:left="720"/>
        <w:rPr>
          <w:rFonts w:ascii="Times New Roman" w:hAnsi="Times New Roman"/>
          <w:bCs/>
          <w:sz w:val="24"/>
          <w:szCs w:val="24"/>
        </w:rPr>
      </w:pPr>
      <w:r>
        <w:rPr>
          <w:rFonts w:ascii="Times New Roman" w:hAnsi="Times New Roman"/>
          <w:sz w:val="24"/>
          <w:szCs w:val="24"/>
        </w:rPr>
        <w:t>“</w:t>
      </w:r>
      <w:r w:rsidR="00F515EB" w:rsidRPr="007C7655">
        <w:rPr>
          <w:rFonts w:ascii="Times New Roman" w:hAnsi="Times New Roman"/>
          <w:sz w:val="24"/>
          <w:szCs w:val="24"/>
        </w:rPr>
        <w:t>The Town will pay the Plaintiffs the amount of $101,604.22 to resolve all claims as allocated in an attachment to the Settlement Agreement. *** By April 2024, the parties had reached an agreement in principle with the following elements:</w:t>
      </w:r>
    </w:p>
    <w:p w14:paraId="2D44E10A" w14:textId="77777777" w:rsidR="00F515EB" w:rsidRPr="007C7655" w:rsidRDefault="00F515EB" w:rsidP="00F515EB">
      <w:pPr>
        <w:ind w:left="720"/>
        <w:rPr>
          <w:rFonts w:ascii="Times New Roman" w:hAnsi="Times New Roman"/>
          <w:bCs/>
          <w:sz w:val="24"/>
          <w:szCs w:val="24"/>
        </w:rPr>
      </w:pPr>
      <w:r w:rsidRPr="007C7655">
        <w:rPr>
          <w:rFonts w:ascii="Times New Roman" w:hAnsi="Times New Roman"/>
          <w:sz w:val="24"/>
          <w:szCs w:val="24"/>
        </w:rPr>
        <w:t xml:space="preserve">(a) The Town would include the ASHER [Active Shooter / Hostile Event </w:t>
      </w:r>
      <w:proofErr w:type="gramStart"/>
      <w:r w:rsidRPr="007C7655">
        <w:rPr>
          <w:rFonts w:ascii="Times New Roman" w:hAnsi="Times New Roman"/>
          <w:sz w:val="24"/>
          <w:szCs w:val="24"/>
        </w:rPr>
        <w:t>Response]]</w:t>
      </w:r>
      <w:proofErr w:type="gramEnd"/>
      <w:r w:rsidRPr="007C7655">
        <w:rPr>
          <w:rFonts w:ascii="Times New Roman" w:hAnsi="Times New Roman"/>
          <w:sz w:val="24"/>
          <w:szCs w:val="24"/>
        </w:rPr>
        <w:t xml:space="preserve"> stipend in the FLSA regular rate;</w:t>
      </w:r>
    </w:p>
    <w:p w14:paraId="467A1A11" w14:textId="77777777" w:rsidR="00F515EB" w:rsidRPr="007C7655" w:rsidRDefault="00F515EB" w:rsidP="00F515EB">
      <w:pPr>
        <w:ind w:left="720"/>
        <w:rPr>
          <w:rFonts w:ascii="Times New Roman" w:hAnsi="Times New Roman"/>
          <w:bCs/>
          <w:sz w:val="24"/>
          <w:szCs w:val="24"/>
        </w:rPr>
      </w:pPr>
      <w:r w:rsidRPr="007C7655">
        <w:rPr>
          <w:rFonts w:ascii="Times New Roman" w:hAnsi="Times New Roman"/>
          <w:sz w:val="24"/>
          <w:szCs w:val="24"/>
        </w:rPr>
        <w:t>(b) The Town would count each shift as 24 hours instead of 21 hours as FLSA hours worked;</w:t>
      </w:r>
    </w:p>
    <w:p w14:paraId="5546EB6C" w14:textId="77777777" w:rsidR="00F515EB" w:rsidRPr="007C7655" w:rsidRDefault="00F515EB" w:rsidP="00F515EB">
      <w:pPr>
        <w:ind w:firstLine="720"/>
        <w:rPr>
          <w:rFonts w:ascii="Times New Roman" w:hAnsi="Times New Roman"/>
          <w:bCs/>
          <w:sz w:val="24"/>
          <w:szCs w:val="24"/>
        </w:rPr>
      </w:pPr>
      <w:r w:rsidRPr="007C7655">
        <w:rPr>
          <w:rFonts w:ascii="Times New Roman" w:hAnsi="Times New Roman"/>
          <w:sz w:val="24"/>
          <w:szCs w:val="24"/>
        </w:rPr>
        <w:t>(c) The Town would properly count the hours of employees who swap shifts;</w:t>
      </w:r>
    </w:p>
    <w:p w14:paraId="1CC261A2" w14:textId="77777777" w:rsidR="00F515EB" w:rsidRPr="007C7655" w:rsidRDefault="00F515EB" w:rsidP="00F515EB">
      <w:pPr>
        <w:ind w:firstLine="720"/>
        <w:rPr>
          <w:rFonts w:ascii="Times New Roman" w:hAnsi="Times New Roman"/>
          <w:bCs/>
          <w:sz w:val="24"/>
          <w:szCs w:val="24"/>
        </w:rPr>
      </w:pPr>
      <w:r w:rsidRPr="007C7655">
        <w:rPr>
          <w:rFonts w:ascii="Times New Roman" w:hAnsi="Times New Roman"/>
          <w:sz w:val="24"/>
          <w:szCs w:val="24"/>
        </w:rPr>
        <w:t>(d) The Town would include all types of overtime as FLSA hours worked;</w:t>
      </w:r>
    </w:p>
    <w:p w14:paraId="68283DB2" w14:textId="77777777" w:rsidR="00F515EB" w:rsidRPr="007C7655" w:rsidRDefault="00F515EB" w:rsidP="00F515EB">
      <w:pPr>
        <w:ind w:firstLine="720"/>
        <w:rPr>
          <w:rFonts w:ascii="Times New Roman" w:hAnsi="Times New Roman"/>
          <w:bCs/>
          <w:sz w:val="24"/>
          <w:szCs w:val="24"/>
        </w:rPr>
      </w:pPr>
      <w:r w:rsidRPr="007C7655">
        <w:rPr>
          <w:rFonts w:ascii="Times New Roman" w:hAnsi="Times New Roman"/>
          <w:sz w:val="24"/>
          <w:szCs w:val="24"/>
        </w:rPr>
        <w:t xml:space="preserve">(e) The Town would include ‘out of </w:t>
      </w:r>
      <w:proofErr w:type="spellStart"/>
      <w:r w:rsidRPr="007C7655">
        <w:rPr>
          <w:rFonts w:ascii="Times New Roman" w:hAnsi="Times New Roman"/>
          <w:sz w:val="24"/>
          <w:szCs w:val="24"/>
        </w:rPr>
        <w:t>class’</w:t>
      </w:r>
      <w:proofErr w:type="spellEnd"/>
      <w:r w:rsidRPr="007C7655">
        <w:rPr>
          <w:rFonts w:ascii="Times New Roman" w:hAnsi="Times New Roman"/>
          <w:sz w:val="24"/>
          <w:szCs w:val="24"/>
        </w:rPr>
        <w:t xml:space="preserve"> hours as FLSA hours worked;</w:t>
      </w:r>
    </w:p>
    <w:p w14:paraId="6AD3B831" w14:textId="77777777" w:rsidR="00F515EB" w:rsidRPr="007C7655" w:rsidRDefault="00F515EB" w:rsidP="00F515EB">
      <w:pPr>
        <w:ind w:left="720"/>
        <w:rPr>
          <w:rFonts w:ascii="Times New Roman" w:hAnsi="Times New Roman"/>
          <w:bCs/>
          <w:sz w:val="24"/>
          <w:szCs w:val="24"/>
        </w:rPr>
      </w:pPr>
      <w:r w:rsidRPr="007C7655">
        <w:rPr>
          <w:rFonts w:ascii="Times New Roman" w:hAnsi="Times New Roman"/>
          <w:sz w:val="24"/>
          <w:szCs w:val="24"/>
        </w:rPr>
        <w:t>(f) The Town would count the hours for all days worked, including those days they failed to previously certify;</w:t>
      </w:r>
    </w:p>
    <w:p w14:paraId="574E2A88" w14:textId="77777777" w:rsidR="00F515EB" w:rsidRPr="007C7655" w:rsidRDefault="00F515EB" w:rsidP="00F515EB">
      <w:pPr>
        <w:ind w:left="720"/>
        <w:rPr>
          <w:rFonts w:ascii="Times New Roman" w:hAnsi="Times New Roman"/>
          <w:bCs/>
          <w:sz w:val="24"/>
          <w:szCs w:val="24"/>
        </w:rPr>
      </w:pPr>
      <w:r w:rsidRPr="007C7655">
        <w:rPr>
          <w:rFonts w:ascii="Times New Roman" w:hAnsi="Times New Roman"/>
          <w:sz w:val="24"/>
          <w:szCs w:val="24"/>
        </w:rPr>
        <w:t xml:space="preserve">(g) The Town would not count deputy fire chiefs as FLSA non-exempt </w:t>
      </w:r>
      <w:proofErr w:type="gramStart"/>
      <w:r w:rsidRPr="007C7655">
        <w:rPr>
          <w:rFonts w:ascii="Times New Roman" w:hAnsi="Times New Roman"/>
          <w:sz w:val="24"/>
          <w:szCs w:val="24"/>
        </w:rPr>
        <w:t>employees</w:t>
      </w:r>
      <w:proofErr w:type="gramEnd"/>
      <w:r w:rsidRPr="007C7655">
        <w:rPr>
          <w:rFonts w:ascii="Times New Roman" w:hAnsi="Times New Roman"/>
          <w:sz w:val="24"/>
          <w:szCs w:val="24"/>
        </w:rPr>
        <w:t xml:space="preserve"> but they would count all fire lieutenants and fire captains as FLSA non-exempt employees;</w:t>
      </w:r>
    </w:p>
    <w:p w14:paraId="6CC291A0" w14:textId="77777777" w:rsidR="00F515EB" w:rsidRPr="007C7655" w:rsidRDefault="00F515EB" w:rsidP="00F515EB">
      <w:pPr>
        <w:ind w:firstLine="720"/>
        <w:rPr>
          <w:rFonts w:ascii="Times New Roman" w:hAnsi="Times New Roman"/>
          <w:bCs/>
          <w:sz w:val="24"/>
          <w:szCs w:val="24"/>
        </w:rPr>
      </w:pPr>
      <w:r w:rsidRPr="007C7655">
        <w:rPr>
          <w:rFonts w:ascii="Times New Roman" w:hAnsi="Times New Roman"/>
          <w:sz w:val="24"/>
          <w:szCs w:val="24"/>
        </w:rPr>
        <w:t>(h) The Plaintiffs would waive liquidated/double damages;</w:t>
      </w:r>
    </w:p>
    <w:p w14:paraId="7F598861" w14:textId="2945F44E" w:rsidR="00F515EB" w:rsidRPr="007C7655" w:rsidRDefault="00F515EB" w:rsidP="00F515EB">
      <w:pPr>
        <w:ind w:firstLine="720"/>
        <w:rPr>
          <w:rFonts w:ascii="Times New Roman" w:hAnsi="Times New Roman"/>
          <w:bCs/>
          <w:sz w:val="24"/>
          <w:szCs w:val="24"/>
        </w:rPr>
      </w:pPr>
      <w:r w:rsidRPr="007C7655">
        <w:rPr>
          <w:rFonts w:ascii="Times New Roman" w:hAnsi="Times New Roman"/>
          <w:sz w:val="24"/>
          <w:szCs w:val="24"/>
        </w:rPr>
        <w:lastRenderedPageBreak/>
        <w:t>(</w:t>
      </w:r>
      <w:proofErr w:type="spellStart"/>
      <w:r w:rsidRPr="007C7655">
        <w:rPr>
          <w:rFonts w:ascii="Times New Roman" w:hAnsi="Times New Roman"/>
          <w:sz w:val="24"/>
          <w:szCs w:val="24"/>
        </w:rPr>
        <w:t>i</w:t>
      </w:r>
      <w:proofErr w:type="spellEnd"/>
      <w:r w:rsidRPr="007C7655">
        <w:rPr>
          <w:rFonts w:ascii="Times New Roman" w:hAnsi="Times New Roman"/>
          <w:sz w:val="24"/>
          <w:szCs w:val="24"/>
        </w:rPr>
        <w:t>) The Plaintiffs would waive attorney’s fees.</w:t>
      </w:r>
      <w:r w:rsidR="00627EB5">
        <w:rPr>
          <w:rFonts w:ascii="Times New Roman" w:hAnsi="Times New Roman"/>
          <w:sz w:val="24"/>
          <w:szCs w:val="24"/>
        </w:rPr>
        <w:t>”</w:t>
      </w:r>
      <w:r w:rsidRPr="007C7655">
        <w:rPr>
          <w:rFonts w:ascii="Times New Roman" w:hAnsi="Times New Roman"/>
          <w:sz w:val="24"/>
          <w:szCs w:val="24"/>
        </w:rPr>
        <w:t xml:space="preserve">  </w:t>
      </w:r>
    </w:p>
    <w:p w14:paraId="28D1E8C0" w14:textId="1B510E58" w:rsidR="00F515EB" w:rsidRPr="007C7655" w:rsidRDefault="00F515EB" w:rsidP="00F515EB">
      <w:pPr>
        <w:pStyle w:val="NoSpacing"/>
        <w:rPr>
          <w:rFonts w:ascii="Times New Roman" w:hAnsi="Times New Roman"/>
          <w:bCs/>
          <w:sz w:val="24"/>
          <w:szCs w:val="24"/>
        </w:rPr>
      </w:pPr>
      <w:r w:rsidRPr="007C7655">
        <w:rPr>
          <w:rFonts w:ascii="Times New Roman" w:hAnsi="Times New Roman"/>
          <w:sz w:val="24"/>
          <w:szCs w:val="24"/>
        </w:rPr>
        <w:t xml:space="preserve"> </w:t>
      </w:r>
    </w:p>
    <w:p w14:paraId="17DADCCD" w14:textId="77777777" w:rsidR="00F515EB" w:rsidRPr="007C7655" w:rsidRDefault="00F515EB" w:rsidP="00F515EB">
      <w:pPr>
        <w:pStyle w:val="NoSpacing"/>
        <w:rPr>
          <w:rFonts w:ascii="Times New Roman" w:hAnsi="Times New Roman"/>
          <w:bCs/>
          <w:sz w:val="24"/>
          <w:szCs w:val="24"/>
        </w:rPr>
      </w:pPr>
    </w:p>
    <w:p w14:paraId="42557027" w14:textId="77777777" w:rsidR="00F515EB" w:rsidRPr="007C7655" w:rsidRDefault="00F515EB" w:rsidP="00F515EB">
      <w:pPr>
        <w:pStyle w:val="NoSpacing"/>
        <w:rPr>
          <w:rFonts w:ascii="Times New Roman" w:hAnsi="Times New Roman"/>
          <w:b/>
          <w:sz w:val="24"/>
          <w:szCs w:val="24"/>
        </w:rPr>
      </w:pPr>
      <w:r w:rsidRPr="007C7655">
        <w:rPr>
          <w:rFonts w:ascii="Times New Roman" w:hAnsi="Times New Roman"/>
          <w:b/>
          <w:sz w:val="24"/>
          <w:szCs w:val="24"/>
        </w:rPr>
        <w:t xml:space="preserve">Legal Lesson Learned: Lieutenants and Captains are non-exempt.  For higher ranks, FDs should consult with knowledgeable legal counsel and read opinion letters from the U.S. Department of Labor, Wage &amp; Hour Division.  </w:t>
      </w:r>
    </w:p>
    <w:p w14:paraId="62BC4D2D" w14:textId="77777777" w:rsidR="00F515EB" w:rsidRPr="007C7655" w:rsidRDefault="00F515EB" w:rsidP="00F515EB">
      <w:pPr>
        <w:pStyle w:val="p0"/>
        <w:ind w:firstLine="0"/>
        <w:rPr>
          <w:rFonts w:ascii="Times New Roman" w:hAnsi="Times New Roman" w:cs="Times New Roman"/>
          <w:sz w:val="24"/>
          <w:szCs w:val="24"/>
        </w:rPr>
      </w:pPr>
    </w:p>
    <w:p w14:paraId="6CE99C59" w14:textId="77777777" w:rsidR="00F515EB" w:rsidRPr="007C7655" w:rsidRDefault="00F515EB" w:rsidP="00F515EB">
      <w:pPr>
        <w:pStyle w:val="p0"/>
        <w:ind w:left="720" w:firstLine="0"/>
        <w:rPr>
          <w:rFonts w:ascii="Times New Roman" w:hAnsi="Times New Roman" w:cs="Times New Roman"/>
          <w:sz w:val="24"/>
          <w:szCs w:val="24"/>
        </w:rPr>
      </w:pPr>
      <w:r w:rsidRPr="007C7655">
        <w:rPr>
          <w:rFonts w:ascii="Times New Roman" w:hAnsi="Times New Roman" w:cs="Times New Roman"/>
          <w:sz w:val="24"/>
          <w:szCs w:val="24"/>
        </w:rPr>
        <w:t xml:space="preserve">Note: See Nov. 24, </w:t>
      </w:r>
      <w:proofErr w:type="gramStart"/>
      <w:r w:rsidRPr="007C7655">
        <w:rPr>
          <w:rFonts w:ascii="Times New Roman" w:hAnsi="Times New Roman" w:cs="Times New Roman"/>
          <w:sz w:val="24"/>
          <w:szCs w:val="24"/>
        </w:rPr>
        <w:t>2024</w:t>
      </w:r>
      <w:proofErr w:type="gramEnd"/>
      <w:r w:rsidRPr="007C7655">
        <w:rPr>
          <w:rFonts w:ascii="Times New Roman" w:hAnsi="Times New Roman" w:cs="Times New Roman"/>
          <w:sz w:val="24"/>
          <w:szCs w:val="24"/>
        </w:rPr>
        <w:t xml:space="preserve"> article, “Settlement Proposed for MA Firefighters Following 2023 FLSA Lawsuit.” </w:t>
      </w:r>
      <w:hyperlink r:id="rId1786" w:history="1">
        <w:r w:rsidRPr="007C7655">
          <w:rPr>
            <w:rStyle w:val="Hyperlink"/>
            <w:rFonts w:ascii="Times New Roman" w:hAnsi="Times New Roman" w:cs="Times New Roman"/>
            <w:sz w:val="24"/>
            <w:szCs w:val="24"/>
          </w:rPr>
          <w:t>https://www.firefighterovertime.org/2024/11/24/settlement-proposed-for-ma-firefighters-following-2023-flsa-lawsuit/</w:t>
        </w:r>
      </w:hyperlink>
      <w:r w:rsidRPr="007C7655">
        <w:rPr>
          <w:rFonts w:ascii="Times New Roman" w:hAnsi="Times New Roman" w:cs="Times New Roman"/>
          <w:sz w:val="24"/>
          <w:szCs w:val="24"/>
        </w:rPr>
        <w:t xml:space="preserve"> </w:t>
      </w:r>
    </w:p>
    <w:p w14:paraId="5FB25DC6" w14:textId="77777777" w:rsidR="00DE6B12" w:rsidRDefault="00DE6B12" w:rsidP="00F326E5">
      <w:pPr>
        <w:rPr>
          <w:rFonts w:ascii="Arial Black" w:hAnsi="Arial Black"/>
          <w:b/>
          <w:sz w:val="24"/>
          <w:szCs w:val="24"/>
        </w:rPr>
      </w:pPr>
    </w:p>
    <w:p w14:paraId="5BA23339" w14:textId="24BC1D07" w:rsidR="00F515EB" w:rsidRDefault="00DE6B12" w:rsidP="00F326E5">
      <w:pPr>
        <w:rPr>
          <w:rFonts w:ascii="Arial Black" w:hAnsi="Arial Black"/>
          <w:b/>
          <w:sz w:val="24"/>
          <w:szCs w:val="24"/>
        </w:rPr>
      </w:pPr>
      <w:r>
        <w:rPr>
          <w:rFonts w:ascii="Arial Black" w:hAnsi="Arial Black"/>
          <w:b/>
          <w:sz w:val="24"/>
          <w:szCs w:val="24"/>
        </w:rPr>
        <w:t>11-55</w:t>
      </w:r>
    </w:p>
    <w:p w14:paraId="41A193C7" w14:textId="77777777" w:rsidR="00AA4BA6" w:rsidRPr="00C841D2" w:rsidRDefault="00AA4BA6" w:rsidP="00AA4BA6">
      <w:pPr>
        <w:spacing w:before="100" w:beforeAutospacing="1" w:after="100" w:afterAutospacing="1" w:line="240" w:lineRule="auto"/>
        <w:rPr>
          <w:rFonts w:ascii="Arial Black" w:hAnsi="Arial Black"/>
          <w:sz w:val="28"/>
          <w:szCs w:val="28"/>
        </w:rPr>
      </w:pPr>
      <w:r>
        <w:rPr>
          <w:rFonts w:ascii="Arial Black" w:hAnsi="Arial Black"/>
          <w:sz w:val="28"/>
          <w:szCs w:val="28"/>
        </w:rPr>
        <w:t>FL: SHERIFF PILOT RESIGNED – FEMALE MGR ANTI-MILITARY – JURY “WILLFUL” VIOL., COURT MUST FOLLOW</w:t>
      </w:r>
    </w:p>
    <w:p w14:paraId="4D8F103F" w14:textId="77777777" w:rsidR="00AA4BA6" w:rsidRDefault="00AA4BA6" w:rsidP="00AA4BA6">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On June 22, 2024, in </w:t>
      </w:r>
      <w:r w:rsidRPr="00E63245">
        <w:rPr>
          <w:rFonts w:ascii="Times New Roman" w:hAnsi="Times New Roman"/>
          <w:sz w:val="24"/>
          <w:szCs w:val="24"/>
          <w:u w:val="single"/>
        </w:rPr>
        <w:t>Scott Thomas v. Broward County Sheriff’s Office</w:t>
      </w:r>
      <w:r>
        <w:rPr>
          <w:rFonts w:ascii="Times New Roman" w:hAnsi="Times New Roman"/>
          <w:sz w:val="24"/>
          <w:szCs w:val="24"/>
        </w:rPr>
        <w:t>, the U.S. Court of Appeals for 11</w:t>
      </w:r>
      <w:r w:rsidRPr="00E63245">
        <w:rPr>
          <w:rFonts w:ascii="Times New Roman" w:hAnsi="Times New Roman"/>
          <w:sz w:val="24"/>
          <w:szCs w:val="24"/>
          <w:vertAlign w:val="superscript"/>
        </w:rPr>
        <w:t>th</w:t>
      </w:r>
      <w:r>
        <w:rPr>
          <w:rFonts w:ascii="Times New Roman" w:hAnsi="Times New Roman"/>
          <w:sz w:val="24"/>
          <w:szCs w:val="24"/>
        </w:rPr>
        <w:t xml:space="preserve"> Circuit (Atlanta) held (3 to 0) that under </w:t>
      </w:r>
      <w:r w:rsidRPr="006531DA">
        <w:rPr>
          <w:rFonts w:ascii="Times New Roman" w:hAnsi="Times New Roman"/>
          <w:sz w:val="24"/>
          <w:szCs w:val="24"/>
        </w:rPr>
        <w:t>the Uniformed</w:t>
      </w:r>
      <w:r>
        <w:rPr>
          <w:rFonts w:ascii="Times New Roman" w:hAnsi="Times New Roman"/>
          <w:sz w:val="24"/>
          <w:szCs w:val="24"/>
        </w:rPr>
        <w:t xml:space="preserve"> </w:t>
      </w:r>
      <w:r w:rsidRPr="006531DA">
        <w:rPr>
          <w:rFonts w:ascii="Times New Roman" w:hAnsi="Times New Roman"/>
          <w:sz w:val="24"/>
          <w:szCs w:val="24"/>
        </w:rPr>
        <w:t>Services Employment and Reemployment Rights Act</w:t>
      </w:r>
      <w:r>
        <w:rPr>
          <w:rFonts w:ascii="Times New Roman" w:hAnsi="Times New Roman"/>
          <w:sz w:val="24"/>
          <w:szCs w:val="24"/>
        </w:rPr>
        <w:t xml:space="preserve">, a federal District Court judge can double the lost wages verdict for “willful” violations of the Act, and when as in this case the parties agree to submit that decision to a jury, the District Court judge cannot set aside the jury’s finding of “willful” as merely advisory. Pilot awarded $240,000, which is then doubled, for willful violation. </w:t>
      </w:r>
    </w:p>
    <w:p w14:paraId="046F27EB" w14:textId="77777777" w:rsidR="00AA4BA6" w:rsidRDefault="00AA4BA6" w:rsidP="00AA4BA6">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 The 11</w:t>
      </w:r>
      <w:r w:rsidRPr="00E63245">
        <w:rPr>
          <w:rFonts w:ascii="Times New Roman" w:hAnsi="Times New Roman"/>
          <w:sz w:val="24"/>
          <w:szCs w:val="24"/>
          <w:vertAlign w:val="superscript"/>
        </w:rPr>
        <w:t>th</w:t>
      </w:r>
      <w:r>
        <w:rPr>
          <w:rFonts w:ascii="Times New Roman" w:hAnsi="Times New Roman"/>
          <w:sz w:val="24"/>
          <w:szCs w:val="24"/>
        </w:rPr>
        <w:t xml:space="preserve"> Circuit held: “</w:t>
      </w:r>
      <w:r w:rsidRPr="00C841D2">
        <w:rPr>
          <w:rFonts w:ascii="Times New Roman" w:hAnsi="Times New Roman"/>
          <w:sz w:val="24"/>
          <w:szCs w:val="24"/>
        </w:rPr>
        <w:t>The jury determined that the sheriff’s office’s violation of the Act was willful. Thomas argues that this finding bound the district court because the parties consented to a jury</w:t>
      </w:r>
      <w:r>
        <w:rPr>
          <w:rFonts w:ascii="Times New Roman" w:hAnsi="Times New Roman"/>
          <w:sz w:val="24"/>
          <w:szCs w:val="24"/>
        </w:rPr>
        <w:t xml:space="preserve"> </w:t>
      </w:r>
      <w:r w:rsidRPr="00C841D2">
        <w:rPr>
          <w:rFonts w:ascii="Times New Roman" w:hAnsi="Times New Roman"/>
          <w:sz w:val="24"/>
          <w:szCs w:val="24"/>
        </w:rPr>
        <w:t>trial on the issue of willfulness. Alternatively, he argues that the</w:t>
      </w:r>
      <w:r>
        <w:rPr>
          <w:rFonts w:ascii="Times New Roman" w:hAnsi="Times New Roman"/>
          <w:sz w:val="24"/>
          <w:szCs w:val="24"/>
        </w:rPr>
        <w:t xml:space="preserve"> </w:t>
      </w:r>
      <w:r w:rsidRPr="00C841D2">
        <w:rPr>
          <w:rFonts w:ascii="Times New Roman" w:hAnsi="Times New Roman"/>
          <w:sz w:val="24"/>
          <w:szCs w:val="24"/>
        </w:rPr>
        <w:t>jury’s determination was conclusive because the statute itself gave</w:t>
      </w:r>
      <w:r>
        <w:rPr>
          <w:rFonts w:ascii="Times New Roman" w:hAnsi="Times New Roman"/>
          <w:sz w:val="24"/>
          <w:szCs w:val="24"/>
        </w:rPr>
        <w:t xml:space="preserve"> </w:t>
      </w:r>
      <w:r w:rsidRPr="00C841D2">
        <w:rPr>
          <w:rFonts w:ascii="Times New Roman" w:hAnsi="Times New Roman"/>
          <w:sz w:val="24"/>
          <w:szCs w:val="24"/>
        </w:rPr>
        <w:t>him the right to have the jury decide the issue. We need not reach</w:t>
      </w:r>
      <w:r>
        <w:rPr>
          <w:rFonts w:ascii="Times New Roman" w:hAnsi="Times New Roman"/>
          <w:sz w:val="24"/>
          <w:szCs w:val="24"/>
        </w:rPr>
        <w:t xml:space="preserve"> </w:t>
      </w:r>
      <w:r w:rsidRPr="00C841D2">
        <w:rPr>
          <w:rFonts w:ascii="Times New Roman" w:hAnsi="Times New Roman"/>
          <w:sz w:val="24"/>
          <w:szCs w:val="24"/>
        </w:rPr>
        <w:t>his second argument because his first argument is correct</w:t>
      </w:r>
      <w:r>
        <w:rPr>
          <w:rFonts w:ascii="Times New Roman" w:hAnsi="Times New Roman"/>
          <w:sz w:val="24"/>
          <w:szCs w:val="24"/>
        </w:rPr>
        <w:t>.”</w:t>
      </w:r>
      <w:r w:rsidRPr="00E63245">
        <w:t xml:space="preserve"> </w:t>
      </w:r>
      <w:hyperlink r:id="rId1787" w:history="1">
        <w:r w:rsidRPr="00AA56D8">
          <w:rPr>
            <w:rStyle w:val="Hyperlink"/>
            <w:sz w:val="24"/>
            <w:szCs w:val="24"/>
          </w:rPr>
          <w:t>https://media.ca11.uscourts.gov/opinions/pub/files/202211322.pdf</w:t>
        </w:r>
      </w:hyperlink>
      <w:r>
        <w:rPr>
          <w:rFonts w:ascii="Times New Roman" w:hAnsi="Times New Roman"/>
          <w:sz w:val="24"/>
          <w:szCs w:val="24"/>
        </w:rPr>
        <w:t xml:space="preserve"> </w:t>
      </w:r>
    </w:p>
    <w:p w14:paraId="375B0C7B" w14:textId="77777777" w:rsidR="00AA4BA6" w:rsidRPr="00091A17" w:rsidRDefault="00AA4BA6" w:rsidP="00AA4BA6">
      <w:pPr>
        <w:spacing w:before="100" w:beforeAutospacing="1" w:after="100" w:afterAutospacing="1" w:line="240" w:lineRule="auto"/>
        <w:rPr>
          <w:rFonts w:ascii="Times New Roman" w:hAnsi="Times New Roman"/>
          <w:b/>
          <w:bCs/>
          <w:sz w:val="24"/>
          <w:szCs w:val="24"/>
        </w:rPr>
      </w:pPr>
      <w:r w:rsidRPr="00091A17">
        <w:rPr>
          <w:rFonts w:ascii="Times New Roman" w:hAnsi="Times New Roman"/>
          <w:b/>
          <w:bCs/>
          <w:sz w:val="24"/>
          <w:szCs w:val="24"/>
        </w:rPr>
        <w:t>Legal Lesson Learned: USERRA prohibits employers</w:t>
      </w:r>
      <w:r>
        <w:rPr>
          <w:rFonts w:ascii="Times New Roman" w:hAnsi="Times New Roman"/>
          <w:b/>
          <w:bCs/>
          <w:sz w:val="24"/>
          <w:szCs w:val="24"/>
        </w:rPr>
        <w:t xml:space="preserve">, including sheriffs and Fire &amp; EMS, </w:t>
      </w:r>
      <w:r w:rsidRPr="00091A17">
        <w:rPr>
          <w:rFonts w:ascii="Times New Roman" w:hAnsi="Times New Roman"/>
          <w:b/>
          <w:bCs/>
          <w:sz w:val="24"/>
          <w:szCs w:val="24"/>
        </w:rPr>
        <w:t xml:space="preserve"> from</w:t>
      </w:r>
      <w:r>
        <w:rPr>
          <w:rFonts w:ascii="Times New Roman" w:hAnsi="Times New Roman"/>
          <w:b/>
          <w:bCs/>
          <w:sz w:val="24"/>
          <w:szCs w:val="24"/>
        </w:rPr>
        <w:t xml:space="preserve"> </w:t>
      </w:r>
      <w:r w:rsidRPr="00091A17">
        <w:rPr>
          <w:rFonts w:ascii="Times New Roman" w:hAnsi="Times New Roman"/>
          <w:b/>
          <w:bCs/>
          <w:sz w:val="24"/>
          <w:szCs w:val="24"/>
        </w:rPr>
        <w:t>discriminating against past and present members of the uniformed services</w:t>
      </w:r>
      <w:r>
        <w:rPr>
          <w:rFonts w:ascii="Times New Roman" w:hAnsi="Times New Roman"/>
          <w:b/>
          <w:bCs/>
          <w:sz w:val="24"/>
          <w:szCs w:val="24"/>
        </w:rPr>
        <w:t xml:space="preserve">. </w:t>
      </w:r>
      <w:r w:rsidRPr="00091A17">
        <w:rPr>
          <w:rFonts w:ascii="Times New Roman" w:hAnsi="Times New Roman"/>
          <w:b/>
          <w:bCs/>
          <w:sz w:val="24"/>
          <w:szCs w:val="24"/>
        </w:rPr>
        <w:t xml:space="preserve"> </w:t>
      </w:r>
    </w:p>
    <w:p w14:paraId="6AF34609" w14:textId="3AFAA7AC" w:rsidR="00F515EB" w:rsidRDefault="00AA4BA6" w:rsidP="00AA4BA6">
      <w:pPr>
        <w:rPr>
          <w:rFonts w:ascii="Arial Black" w:hAnsi="Arial Black"/>
          <w:b/>
          <w:sz w:val="24"/>
          <w:szCs w:val="24"/>
        </w:rPr>
      </w:pPr>
      <w:r w:rsidRPr="00091A17">
        <w:rPr>
          <w:rFonts w:ascii="Times New Roman" w:eastAsia="Times New Roman" w:hAnsi="Times New Roman"/>
          <w:sz w:val="24"/>
          <w:szCs w:val="24"/>
        </w:rPr>
        <w:t xml:space="preserve">Note: </w:t>
      </w:r>
      <w:r>
        <w:rPr>
          <w:rFonts w:ascii="Times New Roman" w:eastAsia="Times New Roman" w:hAnsi="Times New Roman"/>
          <w:sz w:val="24"/>
          <w:szCs w:val="24"/>
        </w:rPr>
        <w:t>“</w:t>
      </w:r>
      <w:r w:rsidRPr="00091A17">
        <w:rPr>
          <w:rFonts w:ascii="Times New Roman" w:hAnsi="Times New Roman"/>
          <w:sz w:val="24"/>
          <w:szCs w:val="24"/>
        </w:rPr>
        <w:t xml:space="preserve">USERRA applies to all public and private employers in the United States, regardless of size. For example, an employer with only one employee is covered for purposes of the act. USERRA also applies to foreign employers doing business in the United States. A foreign employer that has a physical location or branch in the United States (including U.S. territories and possessions) must comply with USERRA for any of its employees who are employed in the United States. </w:t>
      </w:r>
      <w:hyperlink r:id="rId1788" w:history="1">
        <w:r w:rsidRPr="00091A17">
          <w:rPr>
            <w:rStyle w:val="Hyperlink"/>
            <w:sz w:val="24"/>
            <w:szCs w:val="24"/>
          </w:rPr>
          <w:t>https://www.militaryonesource.mil/national-guard/employment-support/uniformed-services-employment-and-reemployment-rights-act/</w:t>
        </w:r>
      </w:hyperlink>
    </w:p>
    <w:p w14:paraId="5C7AD2E1" w14:textId="77777777" w:rsidR="00F515EB" w:rsidRDefault="00F515EB" w:rsidP="00F326E5">
      <w:pPr>
        <w:rPr>
          <w:rFonts w:ascii="Arial Black" w:hAnsi="Arial Black"/>
          <w:b/>
          <w:sz w:val="24"/>
          <w:szCs w:val="24"/>
        </w:rPr>
      </w:pPr>
    </w:p>
    <w:p w14:paraId="775DA168" w14:textId="47B04C89" w:rsidR="00421B7C" w:rsidRDefault="00421B7C" w:rsidP="00F326E5">
      <w:pPr>
        <w:rPr>
          <w:rFonts w:ascii="Arial Black" w:hAnsi="Arial Black"/>
          <w:b/>
          <w:sz w:val="24"/>
          <w:szCs w:val="24"/>
        </w:rPr>
      </w:pPr>
      <w:r>
        <w:rPr>
          <w:rFonts w:ascii="Arial Black" w:hAnsi="Arial Black"/>
          <w:b/>
          <w:sz w:val="24"/>
          <w:szCs w:val="24"/>
        </w:rPr>
        <w:t>11-5</w:t>
      </w:r>
      <w:r w:rsidR="009601CD">
        <w:rPr>
          <w:rFonts w:ascii="Arial Black" w:hAnsi="Arial Black"/>
          <w:b/>
          <w:sz w:val="24"/>
          <w:szCs w:val="24"/>
        </w:rPr>
        <w:t>4</w:t>
      </w:r>
    </w:p>
    <w:p w14:paraId="5ADFB112" w14:textId="77777777" w:rsidR="00421B7C" w:rsidRDefault="00421B7C" w:rsidP="00421B7C">
      <w:pPr>
        <w:pStyle w:val="NormalWeb"/>
        <w:rPr>
          <w:rFonts w:ascii="Arial Black" w:hAnsi="Arial Black"/>
          <w:b/>
          <w:bCs/>
          <w:color w:val="454545"/>
          <w:sz w:val="28"/>
          <w:szCs w:val="28"/>
          <w:shd w:val="clear" w:color="auto" w:fill="FFFFFF"/>
        </w:rPr>
      </w:pPr>
      <w:r>
        <w:rPr>
          <w:rFonts w:ascii="Arial Black" w:hAnsi="Arial Black"/>
          <w:b/>
          <w:bCs/>
          <w:color w:val="454545"/>
          <w:sz w:val="28"/>
          <w:szCs w:val="28"/>
          <w:shd w:val="clear" w:color="auto" w:fill="FFFFFF"/>
        </w:rPr>
        <w:t>SC: FF / PARAMEDIC – 90% OF HER TIME EMS DUTIES – FF EXEMPTION STILL APPLIES - OVERTIME AFTER 53 HOURS</w:t>
      </w:r>
    </w:p>
    <w:p w14:paraId="5298F866" w14:textId="77777777" w:rsidR="00421B7C" w:rsidRPr="009D70F9" w:rsidRDefault="00421B7C" w:rsidP="00421B7C">
      <w:pPr>
        <w:pStyle w:val="NormalWeb"/>
        <w:rPr>
          <w:shd w:val="clear" w:color="auto" w:fill="FFFFFF"/>
        </w:rPr>
      </w:pPr>
      <w:r w:rsidRPr="009D70F9">
        <w:rPr>
          <w:color w:val="454545"/>
          <w:shd w:val="clear" w:color="auto" w:fill="FFFFFF"/>
        </w:rPr>
        <w:lastRenderedPageBreak/>
        <w:t xml:space="preserve">On July 30, 2024, in </w:t>
      </w:r>
      <w:r w:rsidRPr="009D70F9">
        <w:rPr>
          <w:color w:val="454545"/>
          <w:u w:val="single"/>
          <w:shd w:val="clear" w:color="auto" w:fill="FFFFFF"/>
        </w:rPr>
        <w:t>Heather Nicole Davis v. Jasper County</w:t>
      </w:r>
      <w:r w:rsidRPr="009D70F9">
        <w:rPr>
          <w:color w:val="454545"/>
          <w:shd w:val="clear" w:color="auto" w:fill="FFFFFF"/>
        </w:rPr>
        <w:t>,  U.S. District Court Judge Bruce Howe Hendricks granted summary judgment to Jasper County; as a firefighter / paramedic she is only entitled to overtime after 53 hours (not 40 hours).  “</w:t>
      </w:r>
      <w:r w:rsidRPr="009D70F9">
        <w:rPr>
          <w:shd w:val="clear" w:color="auto" w:fill="FFFFFF"/>
        </w:rPr>
        <w:t xml:space="preserve">The Court finds Plaintiff’s argument without merit. Based on the testimonial evidence set forth above, there is no genuine dispute that Plaintiff </w:t>
      </w:r>
      <w:proofErr w:type="gramStart"/>
      <w:r w:rsidRPr="009D70F9">
        <w:rPr>
          <w:shd w:val="clear" w:color="auto" w:fill="FFFFFF"/>
        </w:rPr>
        <w:t>actually engaged</w:t>
      </w:r>
      <w:proofErr w:type="gramEnd"/>
      <w:r w:rsidRPr="009D70F9">
        <w:rPr>
          <w:shd w:val="clear" w:color="auto" w:fill="FFFFFF"/>
        </w:rPr>
        <w:t xml:space="preserve"> in fire prevention and suppression – she sometimes drove the fire truck, has operated the fire pump, and has put on her turn out gear and entered a structure on fire. There is no requirement in the statute that Plaintiff engage in fire prevention and suppression with any specified </w:t>
      </w:r>
      <w:proofErr w:type="gramStart"/>
      <w:r w:rsidRPr="009D70F9">
        <w:rPr>
          <w:shd w:val="clear" w:color="auto" w:fill="FFFFFF"/>
        </w:rPr>
        <w:t>frequency.”</w:t>
      </w:r>
      <w:proofErr w:type="gramEnd"/>
      <w:r w:rsidRPr="009D70F9">
        <w:t xml:space="preserve"> </w:t>
      </w:r>
      <w:hyperlink r:id="rId1789" w:history="1">
        <w:r w:rsidRPr="009D70F9">
          <w:rPr>
            <w:rStyle w:val="Hyperlink"/>
            <w:shd w:val="clear" w:color="auto" w:fill="FFFFFF"/>
          </w:rPr>
          <w:t>https://www.firefighterovertime.org/wp-content/uploads/2024/07/US_DIS_SCD_9_21cv3964_d87991559e1450_ORDER_denying_40_Motion_for_Summary_Judgment_grant.pdf</w:t>
        </w:r>
      </w:hyperlink>
    </w:p>
    <w:p w14:paraId="517E3A5E" w14:textId="77777777" w:rsidR="00421B7C" w:rsidRPr="009D70F9" w:rsidRDefault="00421B7C" w:rsidP="00421B7C">
      <w:pPr>
        <w:pStyle w:val="NormalWeb"/>
        <w:rPr>
          <w:shd w:val="clear" w:color="auto" w:fill="FFFFFF"/>
        </w:rPr>
      </w:pPr>
      <w:r w:rsidRPr="009D70F9">
        <w:rPr>
          <w:shd w:val="clear" w:color="auto" w:fill="FFFFFF"/>
        </w:rPr>
        <w:t>THE COURT HELD:</w:t>
      </w:r>
    </w:p>
    <w:p w14:paraId="729215C4" w14:textId="77777777" w:rsidR="00421B7C" w:rsidRPr="009D70F9" w:rsidRDefault="00421B7C" w:rsidP="00421B7C">
      <w:pPr>
        <w:pStyle w:val="NormalWeb"/>
        <w:ind w:left="720"/>
        <w:rPr>
          <w:shd w:val="clear" w:color="auto" w:fill="FFFFFF"/>
        </w:rPr>
      </w:pPr>
      <w:r w:rsidRPr="009D70F9">
        <w:rPr>
          <w:shd w:val="clear" w:color="auto" w:fill="FFFFFF"/>
        </w:rPr>
        <w:t>“Here, Plaintiff does not dispute that she was employed as a Firefighter/Paramedic; that she trained in fire suppression; that she had the legal authority to engage in fire suppression; and that she was employed by a fire department of a county….  Thus, as to the first part of § 203(y), elements (1) through (4), the remaining issue is whether plaintiff had the responsibility to engage in fire suppression.</w:t>
      </w:r>
    </w:p>
    <w:p w14:paraId="6959F670" w14:textId="77777777" w:rsidR="00421B7C" w:rsidRDefault="00421B7C" w:rsidP="00421B7C">
      <w:pPr>
        <w:pStyle w:val="NoSpacing"/>
        <w:rPr>
          <w:rFonts w:ascii="Times New Roman" w:hAnsi="Times New Roman"/>
          <w:sz w:val="24"/>
          <w:szCs w:val="24"/>
          <w:shd w:val="clear" w:color="auto" w:fill="FFFFFF"/>
        </w:rPr>
      </w:pPr>
      <w:r>
        <w:rPr>
          <w:rFonts w:ascii="Times New Roman" w:hAnsi="Times New Roman"/>
          <w:sz w:val="24"/>
          <w:szCs w:val="24"/>
          <w:shd w:val="clear" w:color="auto" w:fill="FFFFFF"/>
        </w:rPr>
        <w:tab/>
        <w:t>***</w:t>
      </w:r>
    </w:p>
    <w:p w14:paraId="3B5018CE" w14:textId="77777777" w:rsidR="00421B7C" w:rsidRDefault="00421B7C" w:rsidP="00421B7C">
      <w:pPr>
        <w:pStyle w:val="NoSpacing"/>
        <w:rPr>
          <w:rFonts w:ascii="Times New Roman" w:hAnsi="Times New Roman"/>
          <w:sz w:val="24"/>
          <w:szCs w:val="24"/>
          <w:shd w:val="clear" w:color="auto" w:fill="FFFFFF"/>
        </w:rPr>
      </w:pPr>
    </w:p>
    <w:p w14:paraId="0AD462D1" w14:textId="77777777" w:rsidR="00421B7C" w:rsidRPr="00A25A83" w:rsidRDefault="00421B7C" w:rsidP="00421B7C">
      <w:pPr>
        <w:pStyle w:val="NoSpacing"/>
        <w:ind w:firstLine="720"/>
        <w:rPr>
          <w:rFonts w:ascii="Times New Roman" w:hAnsi="Times New Roman"/>
          <w:sz w:val="24"/>
          <w:szCs w:val="24"/>
          <w:shd w:val="clear" w:color="auto" w:fill="FFFFFF"/>
        </w:rPr>
      </w:pPr>
      <w:r w:rsidRPr="00A25A83">
        <w:rPr>
          <w:rFonts w:ascii="Times New Roman" w:hAnsi="Times New Roman"/>
          <w:sz w:val="24"/>
          <w:szCs w:val="24"/>
          <w:shd w:val="clear" w:color="auto" w:fill="FFFFFF"/>
        </w:rPr>
        <w:t xml:space="preserve">In 1999, Congress amended the FLSA to </w:t>
      </w:r>
      <w:r>
        <w:rPr>
          <w:rFonts w:ascii="Times New Roman" w:hAnsi="Times New Roman"/>
          <w:sz w:val="24"/>
          <w:szCs w:val="24"/>
          <w:shd w:val="clear" w:color="auto" w:fill="FFFFFF"/>
        </w:rPr>
        <w:t>‘</w:t>
      </w:r>
      <w:r w:rsidRPr="00A25A83">
        <w:rPr>
          <w:rFonts w:ascii="Times New Roman" w:hAnsi="Times New Roman"/>
          <w:sz w:val="24"/>
          <w:szCs w:val="24"/>
          <w:shd w:val="clear" w:color="auto" w:fill="FFFFFF"/>
        </w:rPr>
        <w:t>clarify the overtime exemption for</w:t>
      </w:r>
    </w:p>
    <w:p w14:paraId="10DFA673" w14:textId="77777777" w:rsidR="00421B7C" w:rsidRPr="00A25A83" w:rsidRDefault="00421B7C" w:rsidP="00421B7C">
      <w:pPr>
        <w:pStyle w:val="NoSpacing"/>
        <w:ind w:firstLine="720"/>
        <w:rPr>
          <w:rFonts w:ascii="Times New Roman" w:hAnsi="Times New Roman"/>
          <w:sz w:val="24"/>
          <w:szCs w:val="24"/>
          <w:shd w:val="clear" w:color="auto" w:fill="FFFFFF"/>
        </w:rPr>
      </w:pPr>
      <w:r w:rsidRPr="00A25A83">
        <w:rPr>
          <w:rFonts w:ascii="Times New Roman" w:hAnsi="Times New Roman"/>
          <w:sz w:val="24"/>
          <w:szCs w:val="24"/>
          <w:shd w:val="clear" w:color="auto" w:fill="FFFFFF"/>
        </w:rPr>
        <w:t>employees engaged in fire protection activities.</w:t>
      </w:r>
      <w:r>
        <w:rPr>
          <w:rFonts w:ascii="Times New Roman" w:hAnsi="Times New Roman"/>
          <w:sz w:val="24"/>
          <w:szCs w:val="24"/>
          <w:shd w:val="clear" w:color="auto" w:fill="FFFFFF"/>
        </w:rPr>
        <w:t>’</w:t>
      </w:r>
      <w:r w:rsidRPr="00A25A83">
        <w:rPr>
          <w:rFonts w:ascii="Times New Roman" w:hAnsi="Times New Roman"/>
          <w:sz w:val="24"/>
          <w:szCs w:val="24"/>
          <w:shd w:val="clear" w:color="auto" w:fill="FFFFFF"/>
        </w:rPr>
        <w:t xml:space="preserve"> Pub. L. No. 106-151, 113 Stat.</w:t>
      </w:r>
    </w:p>
    <w:p w14:paraId="6F0137EE" w14:textId="77777777" w:rsidR="00421B7C" w:rsidRPr="00A25A83" w:rsidRDefault="00421B7C" w:rsidP="00421B7C">
      <w:pPr>
        <w:pStyle w:val="NoSpacing"/>
        <w:ind w:left="720"/>
        <w:rPr>
          <w:rFonts w:ascii="Times New Roman" w:hAnsi="Times New Roman"/>
          <w:sz w:val="24"/>
          <w:szCs w:val="24"/>
          <w:shd w:val="clear" w:color="auto" w:fill="FFFFFF"/>
        </w:rPr>
      </w:pPr>
      <w:r w:rsidRPr="00A25A83">
        <w:rPr>
          <w:rFonts w:ascii="Times New Roman" w:hAnsi="Times New Roman"/>
          <w:sz w:val="24"/>
          <w:szCs w:val="24"/>
          <w:shd w:val="clear" w:color="auto" w:fill="FFFFFF"/>
        </w:rPr>
        <w:t>1731(codified as amended at 29 U.S.C. § 203(y)). Under 29 U.S.C. § 203(y), the following</w:t>
      </w:r>
      <w:r>
        <w:rPr>
          <w:rFonts w:ascii="Times New Roman" w:hAnsi="Times New Roman"/>
          <w:sz w:val="24"/>
          <w:szCs w:val="24"/>
          <w:shd w:val="clear" w:color="auto" w:fill="FFFFFF"/>
        </w:rPr>
        <w:t xml:space="preserve"> </w:t>
      </w:r>
      <w:r w:rsidRPr="00A25A83">
        <w:rPr>
          <w:rFonts w:ascii="Times New Roman" w:hAnsi="Times New Roman"/>
          <w:sz w:val="24"/>
          <w:szCs w:val="24"/>
          <w:shd w:val="clear" w:color="auto" w:fill="FFFFFF"/>
        </w:rPr>
        <w:t xml:space="preserve">employees are, by definition, considered to be involved </w:t>
      </w:r>
      <w:r>
        <w:rPr>
          <w:rFonts w:ascii="Times New Roman" w:hAnsi="Times New Roman"/>
          <w:sz w:val="24"/>
          <w:szCs w:val="24"/>
          <w:shd w:val="clear" w:color="auto" w:fill="FFFFFF"/>
        </w:rPr>
        <w:t>‘i</w:t>
      </w:r>
      <w:r w:rsidRPr="00A25A83">
        <w:rPr>
          <w:rFonts w:ascii="Times New Roman" w:hAnsi="Times New Roman"/>
          <w:sz w:val="24"/>
          <w:szCs w:val="24"/>
          <w:shd w:val="clear" w:color="auto" w:fill="FFFFFF"/>
        </w:rPr>
        <w:t>n fire protection activities</w:t>
      </w:r>
      <w:r>
        <w:rPr>
          <w:rFonts w:ascii="Times New Roman" w:hAnsi="Times New Roman"/>
          <w:sz w:val="24"/>
          <w:szCs w:val="24"/>
          <w:shd w:val="clear" w:color="auto" w:fill="FFFFFF"/>
        </w:rPr>
        <w:t>’</w:t>
      </w:r>
      <w:r w:rsidRPr="00A25A83">
        <w:rPr>
          <w:rFonts w:ascii="Times New Roman" w:hAnsi="Times New Roman"/>
          <w:sz w:val="24"/>
          <w:szCs w:val="24"/>
          <w:shd w:val="clear" w:color="auto" w:fill="FFFFFF"/>
        </w:rPr>
        <w:t xml:space="preserve"> for</w:t>
      </w:r>
      <w:r>
        <w:rPr>
          <w:rFonts w:ascii="Times New Roman" w:hAnsi="Times New Roman"/>
          <w:sz w:val="24"/>
          <w:szCs w:val="24"/>
          <w:shd w:val="clear" w:color="auto" w:fill="FFFFFF"/>
        </w:rPr>
        <w:t xml:space="preserve"> </w:t>
      </w:r>
      <w:r w:rsidRPr="00A25A83">
        <w:rPr>
          <w:rFonts w:ascii="Times New Roman" w:hAnsi="Times New Roman"/>
          <w:sz w:val="24"/>
          <w:szCs w:val="24"/>
          <w:shd w:val="clear" w:color="auto" w:fill="FFFFFF"/>
        </w:rPr>
        <w:t>the purpose of the Section 207(k) exemption:</w:t>
      </w:r>
      <w:r>
        <w:rPr>
          <w:rFonts w:ascii="Times New Roman" w:hAnsi="Times New Roman"/>
          <w:sz w:val="24"/>
          <w:szCs w:val="24"/>
          <w:shd w:val="clear" w:color="auto" w:fill="FFFFFF"/>
        </w:rPr>
        <w:t xml:space="preserve"> </w:t>
      </w:r>
      <w:r w:rsidRPr="00A25A83">
        <w:rPr>
          <w:rFonts w:ascii="Times New Roman" w:hAnsi="Times New Roman"/>
          <w:sz w:val="24"/>
          <w:szCs w:val="24"/>
          <w:shd w:val="clear" w:color="auto" w:fill="FFFFFF"/>
        </w:rPr>
        <w:t>an employee, including a firefighter, paramedic, emergency medical</w:t>
      </w:r>
      <w:r>
        <w:rPr>
          <w:rFonts w:ascii="Times New Roman" w:hAnsi="Times New Roman"/>
          <w:sz w:val="24"/>
          <w:szCs w:val="24"/>
          <w:shd w:val="clear" w:color="auto" w:fill="FFFFFF"/>
        </w:rPr>
        <w:t xml:space="preserve"> </w:t>
      </w:r>
      <w:r w:rsidRPr="00A25A83">
        <w:rPr>
          <w:rFonts w:ascii="Times New Roman" w:hAnsi="Times New Roman"/>
          <w:sz w:val="24"/>
          <w:szCs w:val="24"/>
          <w:shd w:val="clear" w:color="auto" w:fill="FFFFFF"/>
        </w:rPr>
        <w:t>technician, rescue worker, ambulance personnel, or hazardous materials</w:t>
      </w:r>
      <w:r>
        <w:rPr>
          <w:rFonts w:ascii="Times New Roman" w:hAnsi="Times New Roman"/>
          <w:sz w:val="24"/>
          <w:szCs w:val="24"/>
          <w:shd w:val="clear" w:color="auto" w:fill="FFFFFF"/>
        </w:rPr>
        <w:t xml:space="preserve"> </w:t>
      </w:r>
      <w:r w:rsidRPr="00A25A83">
        <w:rPr>
          <w:rFonts w:ascii="Times New Roman" w:hAnsi="Times New Roman"/>
          <w:sz w:val="24"/>
          <w:szCs w:val="24"/>
          <w:shd w:val="clear" w:color="auto" w:fill="FFFFFF"/>
        </w:rPr>
        <w:t>worker, who . . . is trained in fire suppression, has the legal authority and</w:t>
      </w:r>
      <w:r>
        <w:rPr>
          <w:rFonts w:ascii="Times New Roman" w:hAnsi="Times New Roman"/>
          <w:sz w:val="24"/>
          <w:szCs w:val="24"/>
          <w:shd w:val="clear" w:color="auto" w:fill="FFFFFF"/>
        </w:rPr>
        <w:t xml:space="preserve"> </w:t>
      </w:r>
      <w:r w:rsidRPr="00A25A83">
        <w:rPr>
          <w:rFonts w:ascii="Times New Roman" w:hAnsi="Times New Roman"/>
          <w:sz w:val="24"/>
          <w:szCs w:val="24"/>
          <w:shd w:val="clear" w:color="auto" w:fill="FFFFFF"/>
        </w:rPr>
        <w:t>responsibility to engage in fire suppression, and is employed by a fire</w:t>
      </w:r>
    </w:p>
    <w:p w14:paraId="1CCBA178" w14:textId="77777777" w:rsidR="00421B7C" w:rsidRDefault="00421B7C" w:rsidP="00421B7C">
      <w:pPr>
        <w:pStyle w:val="NoSpacing"/>
        <w:ind w:left="720"/>
        <w:rPr>
          <w:rFonts w:ascii="Times New Roman" w:hAnsi="Times New Roman"/>
          <w:sz w:val="24"/>
          <w:szCs w:val="24"/>
          <w:shd w:val="clear" w:color="auto" w:fill="FFFFFF"/>
        </w:rPr>
      </w:pPr>
      <w:r w:rsidRPr="00A25A83">
        <w:rPr>
          <w:rFonts w:ascii="Times New Roman" w:hAnsi="Times New Roman"/>
          <w:sz w:val="24"/>
          <w:szCs w:val="24"/>
          <w:shd w:val="clear" w:color="auto" w:fill="FFFFFF"/>
        </w:rPr>
        <w:t>department of a municipality, county, fire district, or State; and is engaged</w:t>
      </w:r>
      <w:r>
        <w:rPr>
          <w:rFonts w:ascii="Times New Roman" w:hAnsi="Times New Roman"/>
          <w:sz w:val="24"/>
          <w:szCs w:val="24"/>
          <w:shd w:val="clear" w:color="auto" w:fill="FFFFFF"/>
        </w:rPr>
        <w:t xml:space="preserve"> </w:t>
      </w:r>
      <w:r w:rsidRPr="00A25A83">
        <w:rPr>
          <w:rFonts w:ascii="Times New Roman" w:hAnsi="Times New Roman"/>
          <w:sz w:val="24"/>
          <w:szCs w:val="24"/>
          <w:shd w:val="clear" w:color="auto" w:fill="FFFFFF"/>
        </w:rPr>
        <w:t>in the prevention, control, and extinguishment of fires or response to</w:t>
      </w:r>
      <w:r>
        <w:rPr>
          <w:rFonts w:ascii="Times New Roman" w:hAnsi="Times New Roman"/>
          <w:sz w:val="24"/>
          <w:szCs w:val="24"/>
          <w:shd w:val="clear" w:color="auto" w:fill="FFFFFF"/>
        </w:rPr>
        <w:t xml:space="preserve"> </w:t>
      </w:r>
      <w:r w:rsidRPr="00A25A83">
        <w:rPr>
          <w:rFonts w:ascii="Times New Roman" w:hAnsi="Times New Roman"/>
          <w:sz w:val="24"/>
          <w:szCs w:val="24"/>
          <w:shd w:val="clear" w:color="auto" w:fill="FFFFFF"/>
        </w:rPr>
        <w:t>emergency situations where life, property, or the environment is at risk.</w:t>
      </w:r>
      <w:r>
        <w:rPr>
          <w:rFonts w:ascii="Times New Roman" w:hAnsi="Times New Roman"/>
          <w:sz w:val="24"/>
          <w:szCs w:val="24"/>
          <w:shd w:val="clear" w:color="auto" w:fill="FFFFFF"/>
        </w:rPr>
        <w:t>”</w:t>
      </w:r>
    </w:p>
    <w:p w14:paraId="43005CF1" w14:textId="77777777" w:rsidR="00693009" w:rsidRDefault="00693009" w:rsidP="00693009">
      <w:pPr>
        <w:pStyle w:val="NoSpacing"/>
        <w:rPr>
          <w:rFonts w:ascii="Times New Roman" w:hAnsi="Times New Roman"/>
          <w:b/>
          <w:bCs/>
          <w:sz w:val="24"/>
          <w:szCs w:val="24"/>
          <w:shd w:val="clear" w:color="auto" w:fill="FFFFFF"/>
        </w:rPr>
      </w:pPr>
    </w:p>
    <w:p w14:paraId="1DCE5728" w14:textId="0CB626EF" w:rsidR="00693009" w:rsidRPr="00A71244" w:rsidRDefault="00693009" w:rsidP="00693009">
      <w:pPr>
        <w:pStyle w:val="NoSpacing"/>
        <w:rPr>
          <w:rFonts w:ascii="Times New Roman" w:hAnsi="Times New Roman"/>
          <w:b/>
          <w:bCs/>
          <w:sz w:val="24"/>
          <w:szCs w:val="24"/>
          <w:shd w:val="clear" w:color="auto" w:fill="FFFFFF"/>
        </w:rPr>
      </w:pPr>
      <w:r>
        <w:rPr>
          <w:rFonts w:ascii="Times New Roman" w:hAnsi="Times New Roman"/>
          <w:b/>
          <w:bCs/>
          <w:sz w:val="24"/>
          <w:szCs w:val="24"/>
          <w:shd w:val="clear" w:color="auto" w:fill="FFFFFF"/>
        </w:rPr>
        <w:t xml:space="preserve">Legal Lesson Learned:  FLSA </w:t>
      </w:r>
      <w:r w:rsidRPr="003776C2">
        <w:rPr>
          <w:rFonts w:ascii="Times New Roman" w:hAnsi="Times New Roman"/>
          <w:b/>
          <w:bCs/>
          <w:sz w:val="24"/>
          <w:szCs w:val="24"/>
          <w:shd w:val="clear" w:color="auto" w:fill="FFFFFF"/>
        </w:rPr>
        <w:t>Section 207(k) exemption</w:t>
      </w:r>
      <w:r>
        <w:rPr>
          <w:rFonts w:ascii="Times New Roman" w:hAnsi="Times New Roman"/>
          <w:b/>
          <w:bCs/>
          <w:sz w:val="24"/>
          <w:szCs w:val="24"/>
          <w:shd w:val="clear" w:color="auto" w:fill="FFFFFF"/>
        </w:rPr>
        <w:t xml:space="preserve"> clearly applies to her; one </w:t>
      </w:r>
      <w:proofErr w:type="gramStart"/>
      <w:r>
        <w:rPr>
          <w:rFonts w:ascii="Times New Roman" w:hAnsi="Times New Roman"/>
          <w:b/>
          <w:bCs/>
          <w:sz w:val="24"/>
          <w:szCs w:val="24"/>
          <w:shd w:val="clear" w:color="auto" w:fill="FFFFFF"/>
        </w:rPr>
        <w:t>has to</w:t>
      </w:r>
      <w:proofErr w:type="gramEnd"/>
      <w:r>
        <w:rPr>
          <w:rFonts w:ascii="Times New Roman" w:hAnsi="Times New Roman"/>
          <w:b/>
          <w:bCs/>
          <w:sz w:val="24"/>
          <w:szCs w:val="24"/>
          <w:shd w:val="clear" w:color="auto" w:fill="FFFFFF"/>
        </w:rPr>
        <w:t xml:space="preserve"> wonder why she even filed this lawsuit. </w:t>
      </w:r>
    </w:p>
    <w:p w14:paraId="3B82A3AF" w14:textId="77777777" w:rsidR="00693009" w:rsidRDefault="00693009" w:rsidP="00F326E5">
      <w:pPr>
        <w:rPr>
          <w:rFonts w:ascii="Arial Black" w:hAnsi="Arial Black"/>
          <w:b/>
          <w:sz w:val="24"/>
          <w:szCs w:val="24"/>
        </w:rPr>
      </w:pPr>
    </w:p>
    <w:p w14:paraId="2644AB10" w14:textId="77777777" w:rsidR="00421B7C" w:rsidRDefault="00421B7C" w:rsidP="00F326E5">
      <w:pPr>
        <w:rPr>
          <w:rFonts w:ascii="Arial Black" w:hAnsi="Arial Black"/>
          <w:b/>
          <w:sz w:val="24"/>
          <w:szCs w:val="24"/>
        </w:rPr>
      </w:pPr>
    </w:p>
    <w:p w14:paraId="0DD39E4D" w14:textId="29B74782" w:rsidR="008A71A3" w:rsidRDefault="008A71A3" w:rsidP="00F326E5">
      <w:pPr>
        <w:rPr>
          <w:rFonts w:ascii="Arial Black" w:hAnsi="Arial Black"/>
          <w:b/>
          <w:sz w:val="24"/>
          <w:szCs w:val="24"/>
        </w:rPr>
      </w:pPr>
      <w:r>
        <w:rPr>
          <w:rFonts w:ascii="Arial Black" w:hAnsi="Arial Black"/>
          <w:b/>
          <w:sz w:val="24"/>
          <w:szCs w:val="24"/>
        </w:rPr>
        <w:t>11-5</w:t>
      </w:r>
      <w:r w:rsidR="009601CD">
        <w:rPr>
          <w:rFonts w:ascii="Arial Black" w:hAnsi="Arial Black"/>
          <w:b/>
          <w:sz w:val="24"/>
          <w:szCs w:val="24"/>
        </w:rPr>
        <w:t>3</w:t>
      </w:r>
    </w:p>
    <w:p w14:paraId="620353CE" w14:textId="77777777" w:rsidR="0060682A" w:rsidRPr="006179C5" w:rsidRDefault="0060682A" w:rsidP="0060682A">
      <w:pPr>
        <w:pStyle w:val="NormalWeb"/>
        <w:spacing w:before="0" w:beforeAutospacing="0"/>
        <w:rPr>
          <w:rFonts w:ascii="Arial Black" w:hAnsi="Arial Black"/>
          <w:b/>
          <w:bCs/>
          <w:color w:val="454545"/>
          <w:sz w:val="28"/>
          <w:szCs w:val="28"/>
          <w:shd w:val="clear" w:color="auto" w:fill="FFFFFF"/>
        </w:rPr>
      </w:pPr>
      <w:r>
        <w:rPr>
          <w:rFonts w:ascii="Arial Black" w:hAnsi="Arial Black"/>
          <w:b/>
          <w:bCs/>
          <w:color w:val="454545"/>
          <w:sz w:val="28"/>
          <w:szCs w:val="28"/>
          <w:shd w:val="clear" w:color="auto" w:fill="FFFFFF"/>
        </w:rPr>
        <w:t xml:space="preserve">OK: FLSA SETTLEMENT – SHIFT DIFFERENTIAL - $350,000 / UP TO 130 EMS MAY JOIN – AGREEMENT MUST BE PUBLIC </w:t>
      </w:r>
    </w:p>
    <w:p w14:paraId="34B30331" w14:textId="77777777" w:rsidR="0060682A" w:rsidRPr="0060682A" w:rsidRDefault="0060682A" w:rsidP="0060682A">
      <w:pPr>
        <w:pStyle w:val="NormalWeb"/>
        <w:rPr>
          <w:color w:val="454545"/>
          <w:shd w:val="clear" w:color="auto" w:fill="FFFFFF"/>
        </w:rPr>
      </w:pPr>
      <w:r w:rsidRPr="0060682A">
        <w:rPr>
          <w:color w:val="454545"/>
          <w:shd w:val="clear" w:color="auto" w:fill="FFFFFF"/>
        </w:rPr>
        <w:t xml:space="preserve">On May 23, 2024, in </w:t>
      </w:r>
      <w:r w:rsidRPr="0060682A">
        <w:rPr>
          <w:color w:val="454545"/>
          <w:u w:val="single"/>
          <w:shd w:val="clear" w:color="auto" w:fill="FFFFFF"/>
        </w:rPr>
        <w:t>Jerry Sherley v. Muskogee County EMS</w:t>
      </w:r>
      <w:r w:rsidRPr="0060682A">
        <w:rPr>
          <w:color w:val="454545"/>
          <w:shd w:val="clear" w:color="auto" w:fill="FFFFFF"/>
        </w:rPr>
        <w:t>, U.S. District Court Judge John F. Heil has agreed to review the terms for fairness the proposed settlement of class action after plaintiff submits a proposed notice to all 130 EMS, and the settlement must be a public record.  The Court held:</w:t>
      </w:r>
    </w:p>
    <w:p w14:paraId="13D05640" w14:textId="528E4438" w:rsidR="008A71A3" w:rsidRPr="0060682A" w:rsidRDefault="0060682A" w:rsidP="0060682A">
      <w:pPr>
        <w:ind w:left="720"/>
        <w:rPr>
          <w:rFonts w:ascii="Times New Roman" w:hAnsi="Times New Roman"/>
          <w:b/>
          <w:sz w:val="24"/>
          <w:szCs w:val="24"/>
        </w:rPr>
      </w:pPr>
      <w:r w:rsidRPr="0060682A">
        <w:rPr>
          <w:rFonts w:ascii="Times New Roman" w:hAnsi="Times New Roman"/>
          <w:color w:val="454545"/>
          <w:sz w:val="24"/>
          <w:szCs w:val="24"/>
          <w:shd w:val="clear" w:color="auto" w:fill="FFFFFF"/>
        </w:rPr>
        <w:t>“</w:t>
      </w:r>
      <w:r w:rsidRPr="0060682A">
        <w:rPr>
          <w:rFonts w:ascii="Times New Roman" w:hAnsi="Times New Roman"/>
          <w:sz w:val="24"/>
          <w:szCs w:val="24"/>
        </w:rPr>
        <w:t xml:space="preserve">Plaintiff should file a motion for conditional certification and approval of the proposed notice to the putative class members…. Lastly, Plaintiff argues that public interest is advanced by allowing the proposed settlement agreement to be sealed because doing so would ‘encourage[] settlement negotiations and </w:t>
      </w:r>
      <w:proofErr w:type="gramStart"/>
      <w:r w:rsidRPr="0060682A">
        <w:rPr>
          <w:rFonts w:ascii="Times New Roman" w:hAnsi="Times New Roman"/>
          <w:sz w:val="24"/>
          <w:szCs w:val="24"/>
        </w:rPr>
        <w:t>agreements, and</w:t>
      </w:r>
      <w:proofErr w:type="gramEnd"/>
      <w:r w:rsidRPr="0060682A">
        <w:rPr>
          <w:rFonts w:ascii="Times New Roman" w:hAnsi="Times New Roman"/>
          <w:sz w:val="24"/>
          <w:szCs w:val="24"/>
        </w:rPr>
        <w:t xml:space="preserve"> preserve judicial resources.’ </w:t>
      </w:r>
      <w:proofErr w:type="spellStart"/>
      <w:r w:rsidRPr="0060682A">
        <w:rPr>
          <w:rFonts w:ascii="Times New Roman" w:hAnsi="Times New Roman"/>
          <w:sz w:val="24"/>
          <w:szCs w:val="24"/>
        </w:rPr>
        <w:t>Dkt</w:t>
      </w:r>
      <w:proofErr w:type="spellEnd"/>
      <w:r w:rsidRPr="0060682A">
        <w:rPr>
          <w:rFonts w:ascii="Times New Roman" w:hAnsi="Times New Roman"/>
          <w:sz w:val="24"/>
          <w:szCs w:val="24"/>
        </w:rPr>
        <w:t xml:space="preserve">. No. 24 at 4. This conclusory </w:t>
      </w:r>
      <w:r w:rsidRPr="0060682A">
        <w:rPr>
          <w:rFonts w:ascii="Times New Roman" w:hAnsi="Times New Roman"/>
          <w:sz w:val="24"/>
          <w:szCs w:val="24"/>
        </w:rPr>
        <w:lastRenderedPageBreak/>
        <w:t xml:space="preserve">statement does not demonstrate that the stated interest would outweigh the right to access </w:t>
      </w:r>
      <w:proofErr w:type="gramStart"/>
      <w:r w:rsidRPr="0060682A">
        <w:rPr>
          <w:rFonts w:ascii="Times New Roman" w:hAnsi="Times New Roman"/>
          <w:sz w:val="24"/>
          <w:szCs w:val="24"/>
        </w:rPr>
        <w:t>underlying the</w:t>
      </w:r>
      <w:proofErr w:type="gramEnd"/>
      <w:r w:rsidRPr="0060682A">
        <w:rPr>
          <w:rFonts w:ascii="Times New Roman" w:hAnsi="Times New Roman"/>
          <w:sz w:val="24"/>
          <w:szCs w:val="24"/>
        </w:rPr>
        <w:t xml:space="preserve"> Court's task in approving an FLSA settlement. </w:t>
      </w:r>
      <w:r w:rsidRPr="0060682A">
        <w:rPr>
          <w:rStyle w:val="Emphasis"/>
          <w:rFonts w:ascii="Times New Roman" w:eastAsiaTheme="majorEastAsia" w:hAnsi="Times New Roman"/>
          <w:sz w:val="24"/>
          <w:szCs w:val="24"/>
        </w:rPr>
        <w:t>See McGee</w:t>
      </w:r>
      <w:r w:rsidRPr="0060682A">
        <w:rPr>
          <w:rFonts w:ascii="Times New Roman" w:hAnsi="Times New Roman"/>
          <w:sz w:val="24"/>
          <w:szCs w:val="24"/>
        </w:rPr>
        <w:t xml:space="preserve">, 2017 WL 4679818, at *2 (noting that the parties failed to present evidence that allowing public access would discourage settlement and observing that ‘this contention may be contradicted by the fact that numerous FLSA settlement agreements contain no confidentiality provision, have been filed unrestricted, and/or have been filed redacted.’). Accordingly, sealing the proposed settlement agreement is not warranted in this case.” </w:t>
      </w:r>
      <w:hyperlink r:id="rId1790" w:history="1">
        <w:r w:rsidRPr="0060682A">
          <w:rPr>
            <w:rStyle w:val="Hyperlink"/>
            <w:rFonts w:ascii="Times New Roman" w:hAnsi="Times New Roman"/>
            <w:sz w:val="24"/>
            <w:szCs w:val="24"/>
          </w:rPr>
          <w:t>https://public.fastcase.com/H1P9uiW3J20SFp%2BGCG%2BxLZy365%2FN0MVDalUuZRIy4n4W%2BHhfv4X1Vzo9ca%2F3mj3k?utm_medium=email&amp;_hsenc=p2ANqtz-8KCYiZyhHUOjRg0MO9pgx_C58MSGHRNzoS8NOUFD5AstP_fG6MazYJg2nKApB1QIRI0-vQrIVEAwfGYCTHYw0GOi6xfA&amp;_hsmi=226712652&amp;utm_content=226712652&amp;utm_source=hs_email</w:t>
        </w:r>
      </w:hyperlink>
    </w:p>
    <w:p w14:paraId="01A89A93" w14:textId="77777777" w:rsidR="00CF5424" w:rsidRPr="00907039" w:rsidRDefault="00CF5424" w:rsidP="00CF5424">
      <w:pPr>
        <w:pStyle w:val="NormalWeb"/>
        <w:rPr>
          <w:b/>
          <w:bCs/>
        </w:rPr>
      </w:pPr>
      <w:r w:rsidRPr="00907039">
        <w:rPr>
          <w:b/>
          <w:bCs/>
        </w:rPr>
        <w:t>Legal Lesson Learned:</w:t>
      </w:r>
      <w:r>
        <w:rPr>
          <w:b/>
          <w:bCs/>
        </w:rPr>
        <w:t xml:space="preserve"> Under FLSA, employers must calculate the “regular rate of pay” that includes all renumerations paid to the employee. </w:t>
      </w:r>
    </w:p>
    <w:p w14:paraId="3C3EBD83" w14:textId="77777777" w:rsidR="00CF5424" w:rsidRPr="006A45C8" w:rsidRDefault="00CF5424" w:rsidP="00CF5424">
      <w:pPr>
        <w:pStyle w:val="NormalWeb"/>
        <w:ind w:left="720"/>
      </w:pPr>
      <w:r>
        <w:t xml:space="preserve">Note: See 29 Code of Federal Regulations 778.108. </w:t>
      </w:r>
      <w:hyperlink r:id="rId1791" w:history="1">
        <w:r w:rsidRPr="006A45C8">
          <w:rPr>
            <w:rStyle w:val="Hyperlink"/>
          </w:rPr>
          <w:t>https://www.ecfr.gov/current/title-29/subtitle-B/chapter-V/subchapter-B/part-778</w:t>
        </w:r>
      </w:hyperlink>
      <w:r w:rsidRPr="006A45C8">
        <w:t xml:space="preserve"> </w:t>
      </w:r>
    </w:p>
    <w:p w14:paraId="4DF928B3" w14:textId="77777777" w:rsidR="00CF5424" w:rsidRDefault="00CF5424" w:rsidP="00CF5424">
      <w:pPr>
        <w:pStyle w:val="NormalWeb"/>
        <w:ind w:left="1440"/>
      </w:pPr>
      <w:r>
        <w:t xml:space="preserve">“Section 7(e) of the Act requires inclusion in the ‘regular rate’ of ‘all remuneration for employment paid to, or on behalf of, the employee” except payments specifically excluded by paragraphs (1) through (7) of that subsection. (These seven types of payments, which are set forth in </w:t>
      </w:r>
      <w:hyperlink r:id="rId1792" w:history="1">
        <w:r>
          <w:rPr>
            <w:rStyle w:val="Hyperlink"/>
            <w:rFonts w:eastAsiaTheme="majorEastAsia"/>
          </w:rPr>
          <w:t>§ 778.200</w:t>
        </w:r>
      </w:hyperlink>
      <w:r>
        <w:t xml:space="preserve"> and discussed in </w:t>
      </w:r>
      <w:hyperlink r:id="rId1793" w:history="1">
        <w:r>
          <w:rPr>
            <w:rStyle w:val="Hyperlink"/>
            <w:rFonts w:eastAsiaTheme="majorEastAsia"/>
          </w:rPr>
          <w:t>§§ 778.201</w:t>
        </w:r>
      </w:hyperlink>
      <w:r>
        <w:t xml:space="preserve"> through </w:t>
      </w:r>
      <w:hyperlink r:id="rId1794" w:history="1">
        <w:r>
          <w:rPr>
            <w:rStyle w:val="Hyperlink"/>
            <w:rFonts w:eastAsiaTheme="majorEastAsia"/>
          </w:rPr>
          <w:t>778.224</w:t>
        </w:r>
      </w:hyperlink>
      <w:r>
        <w:t>, are hereafter referred to as ‘statutory exclusions.’)”</w:t>
      </w:r>
    </w:p>
    <w:p w14:paraId="6A9B45B9" w14:textId="77777777" w:rsidR="00CF5424" w:rsidRPr="00D600CA" w:rsidRDefault="00CF5424" w:rsidP="00CF5424">
      <w:pPr>
        <w:ind w:left="720"/>
        <w:rPr>
          <w:rFonts w:ascii="Times New Roman" w:hAnsi="Times New Roman"/>
          <w:sz w:val="24"/>
          <w:szCs w:val="24"/>
        </w:rPr>
      </w:pPr>
      <w:r w:rsidRPr="00D600CA">
        <w:rPr>
          <w:rFonts w:ascii="Times New Roman" w:hAnsi="Times New Roman"/>
          <w:sz w:val="24"/>
          <w:szCs w:val="24"/>
        </w:rPr>
        <w:t xml:space="preserve">See also: </w:t>
      </w:r>
      <w:r>
        <w:rPr>
          <w:rFonts w:ascii="Times New Roman" w:hAnsi="Times New Roman"/>
          <w:sz w:val="24"/>
          <w:szCs w:val="24"/>
        </w:rPr>
        <w:t>“</w:t>
      </w:r>
      <w:r w:rsidRPr="00D600CA">
        <w:rPr>
          <w:rFonts w:ascii="Times New Roman" w:hAnsi="Times New Roman"/>
          <w:sz w:val="24"/>
          <w:szCs w:val="24"/>
        </w:rPr>
        <w:t>FLSA Overtime Calculator Advisor for Nonexempt Employees</w:t>
      </w:r>
      <w:r>
        <w:rPr>
          <w:rFonts w:ascii="Times New Roman" w:hAnsi="Times New Roman"/>
          <w:sz w:val="24"/>
          <w:szCs w:val="24"/>
        </w:rPr>
        <w:t xml:space="preserve">.” </w:t>
      </w:r>
      <w:hyperlink r:id="rId1795" w:history="1">
        <w:r w:rsidRPr="005176E1">
          <w:rPr>
            <w:rStyle w:val="Hyperlink"/>
            <w:rFonts w:ascii="Times New Roman" w:hAnsi="Times New Roman"/>
            <w:sz w:val="24"/>
            <w:szCs w:val="24"/>
          </w:rPr>
          <w:t>https://webapps.dol.gov/elaws/otcalculator.htm</w:t>
        </w:r>
      </w:hyperlink>
      <w:r>
        <w:rPr>
          <w:rFonts w:ascii="Times New Roman" w:hAnsi="Times New Roman"/>
          <w:sz w:val="24"/>
          <w:szCs w:val="24"/>
        </w:rPr>
        <w:t xml:space="preserve"> </w:t>
      </w:r>
      <w:r w:rsidRPr="00D600CA">
        <w:rPr>
          <w:rFonts w:ascii="Times New Roman" w:hAnsi="Times New Roman"/>
          <w:sz w:val="24"/>
          <w:szCs w:val="24"/>
        </w:rPr>
        <w:t xml:space="preserve"> </w:t>
      </w:r>
    </w:p>
    <w:p w14:paraId="61CEBD38" w14:textId="77777777" w:rsidR="00CF5424" w:rsidRPr="006F0A01" w:rsidRDefault="00CF5424" w:rsidP="00CF5424">
      <w:pPr>
        <w:pStyle w:val="NormalWeb"/>
        <w:ind w:left="1440"/>
      </w:pPr>
    </w:p>
    <w:p w14:paraId="058F1896" w14:textId="77777777" w:rsidR="00DD0039" w:rsidRDefault="00DD0039" w:rsidP="00F326E5">
      <w:pPr>
        <w:rPr>
          <w:rFonts w:ascii="Arial Black" w:hAnsi="Arial Black"/>
          <w:b/>
          <w:sz w:val="24"/>
          <w:szCs w:val="24"/>
        </w:rPr>
      </w:pPr>
    </w:p>
    <w:p w14:paraId="183DBDD7" w14:textId="77777777" w:rsidR="00DD0039" w:rsidRDefault="00DD0039" w:rsidP="00F326E5">
      <w:pPr>
        <w:rPr>
          <w:rFonts w:ascii="Arial Black" w:hAnsi="Arial Black"/>
          <w:b/>
          <w:sz w:val="24"/>
          <w:szCs w:val="24"/>
        </w:rPr>
      </w:pPr>
    </w:p>
    <w:p w14:paraId="46501EAE" w14:textId="77777777" w:rsidR="00DD0039" w:rsidRDefault="00DD0039" w:rsidP="00F326E5">
      <w:pPr>
        <w:rPr>
          <w:rFonts w:ascii="Arial Black" w:hAnsi="Arial Black"/>
          <w:b/>
          <w:sz w:val="24"/>
          <w:szCs w:val="24"/>
        </w:rPr>
      </w:pPr>
    </w:p>
    <w:p w14:paraId="24545F7F" w14:textId="6C8FB96C" w:rsidR="009371E7" w:rsidRDefault="009371E7" w:rsidP="00F326E5">
      <w:pPr>
        <w:rPr>
          <w:rFonts w:ascii="Arial Black" w:hAnsi="Arial Black"/>
          <w:b/>
          <w:sz w:val="24"/>
          <w:szCs w:val="24"/>
        </w:rPr>
      </w:pPr>
      <w:r>
        <w:rPr>
          <w:rFonts w:ascii="Arial Black" w:hAnsi="Arial Black"/>
          <w:b/>
          <w:sz w:val="24"/>
          <w:szCs w:val="24"/>
        </w:rPr>
        <w:t>11-</w:t>
      </w:r>
      <w:r w:rsidR="009601CD">
        <w:rPr>
          <w:rFonts w:ascii="Arial Black" w:hAnsi="Arial Black"/>
          <w:b/>
          <w:sz w:val="24"/>
          <w:szCs w:val="24"/>
        </w:rPr>
        <w:t>52</w:t>
      </w:r>
    </w:p>
    <w:p w14:paraId="2FD33F13" w14:textId="77777777" w:rsidR="009371E7" w:rsidRPr="00DC4DCB" w:rsidRDefault="009371E7" w:rsidP="009371E7">
      <w:pPr>
        <w:pStyle w:val="NormalWeb"/>
        <w:spacing w:before="0" w:beforeAutospacing="0"/>
        <w:rPr>
          <w:rFonts w:ascii="Arial Black" w:hAnsi="Arial Black"/>
          <w:sz w:val="28"/>
          <w:szCs w:val="28"/>
        </w:rPr>
      </w:pPr>
      <w:r>
        <w:rPr>
          <w:rFonts w:ascii="Arial Black" w:hAnsi="Arial Black"/>
          <w:sz w:val="28"/>
          <w:szCs w:val="28"/>
        </w:rPr>
        <w:t>TN: HOSPITAL MEDIC - 30-MINUTE UNPAID MEAL BREAKS –BREAKS INTERRUPTED - RN/PARAMEDIC CASE PROCEED</w:t>
      </w:r>
    </w:p>
    <w:p w14:paraId="562792D1" w14:textId="77777777" w:rsidR="009371E7" w:rsidRDefault="009371E7" w:rsidP="009371E7">
      <w:pPr>
        <w:pStyle w:val="NormalWeb"/>
        <w:spacing w:before="0" w:beforeAutospacing="0"/>
        <w:rPr>
          <w:color w:val="454545"/>
          <w:shd w:val="clear" w:color="auto" w:fill="FFFFFF"/>
        </w:rPr>
      </w:pPr>
      <w:r>
        <w:t xml:space="preserve">On March 20, 2024, in </w:t>
      </w:r>
      <w:r w:rsidRPr="00A71813">
        <w:rPr>
          <w:u w:val="single"/>
        </w:rPr>
        <w:t>Carlos Colon and Candace Harris v. HCA Healthcare, Inc. and CHC Payroll Agent, Inc.</w:t>
      </w:r>
      <w:r>
        <w:t xml:space="preserve">, U.S. District Court Judge William L. Campbell, </w:t>
      </w:r>
      <w:r w:rsidRPr="00671B49">
        <w:rPr>
          <w:color w:val="454545"/>
          <w:shd w:val="clear" w:color="auto" w:fill="FFFFFF"/>
        </w:rPr>
        <w:t xml:space="preserve">United States District Court, M.D. Tennessee, Nashville Division, </w:t>
      </w:r>
      <w:r>
        <w:rPr>
          <w:color w:val="454545"/>
          <w:shd w:val="clear" w:color="auto" w:fill="FFFFFF"/>
        </w:rPr>
        <w:t xml:space="preserve">denied the hospital’s motion to dismiss, where hospital claimed that they were not the employer (asserting the payroll company was employer). </w:t>
      </w:r>
    </w:p>
    <w:p w14:paraId="42CBC356" w14:textId="77777777" w:rsidR="003956F7" w:rsidRPr="004C0299" w:rsidRDefault="003956F7" w:rsidP="003956F7">
      <w:pPr>
        <w:pStyle w:val="NoSpacing"/>
        <w:rPr>
          <w:rFonts w:ascii="Times New Roman" w:hAnsi="Times New Roman"/>
          <w:sz w:val="24"/>
          <w:szCs w:val="24"/>
        </w:rPr>
      </w:pPr>
      <w:r>
        <w:rPr>
          <w:rFonts w:ascii="Times New Roman" w:hAnsi="Times New Roman"/>
          <w:sz w:val="24"/>
          <w:szCs w:val="24"/>
          <w:shd w:val="clear" w:color="auto" w:fill="FFFFFF"/>
        </w:rPr>
        <w:t>THE COURT HELD:</w:t>
      </w:r>
    </w:p>
    <w:p w14:paraId="4F9E0EAA" w14:textId="77777777" w:rsidR="00D90293" w:rsidRDefault="00D90293" w:rsidP="009371E7">
      <w:pPr>
        <w:pStyle w:val="NormalWeb"/>
        <w:spacing w:before="0" w:beforeAutospacing="0"/>
        <w:ind w:left="720"/>
      </w:pPr>
    </w:p>
    <w:p w14:paraId="473850BD" w14:textId="5F620D1E" w:rsidR="009371E7" w:rsidRDefault="009371E7" w:rsidP="009371E7">
      <w:pPr>
        <w:pStyle w:val="NormalWeb"/>
        <w:spacing w:before="0" w:beforeAutospacing="0"/>
        <w:ind w:left="720"/>
      </w:pPr>
      <w:r>
        <w:lastRenderedPageBreak/>
        <w:t xml:space="preserve">“Plaintiffs allege HCA required a 30-minute deduction from Plaintiffs' recorded hours worked per shift for meal breaks, regardless of whether they </w:t>
      </w:r>
      <w:proofErr w:type="gramStart"/>
      <w:r>
        <w:t>actually received</w:t>
      </w:r>
      <w:proofErr w:type="gramEnd"/>
      <w:r>
        <w:t xml:space="preserve"> an uninterrupted 30-minute meal period. Plaintiffs assert that they were not paid for time worked during meal periods.  Plaintiffs allege that during unpaid meal breaks, they substantially performed their regular patient care job duties and responsibilities. </w:t>
      </w:r>
    </w:p>
    <w:p w14:paraId="567E4351" w14:textId="77777777" w:rsidR="009371E7" w:rsidRDefault="009371E7" w:rsidP="009371E7">
      <w:pPr>
        <w:pStyle w:val="NormalWeb"/>
        <w:ind w:left="720"/>
      </w:pPr>
      <w:r>
        <w:t>***</w:t>
      </w:r>
    </w:p>
    <w:p w14:paraId="44E96067" w14:textId="77777777" w:rsidR="009371E7" w:rsidRDefault="009371E7" w:rsidP="009371E7">
      <w:pPr>
        <w:pStyle w:val="NormalWeb"/>
        <w:ind w:left="720"/>
      </w:pPr>
      <w:r>
        <w:t xml:space="preserve">Based only on the allegations set forth in the First Amended Complaint, the Court concludes that Plaintiffs have sufficiently alleged facts that, accepted as true, support Defendants' status as employers. While discovery and subsequent motion practice may provide the Court with additional arguments on that issue, at this juncture, Plaintiffs have satisfied their pleading </w:t>
      </w:r>
      <w:proofErr w:type="gramStart"/>
      <w:r>
        <w:t>burden.”</w:t>
      </w:r>
      <w:proofErr w:type="gramEnd"/>
      <w:r>
        <w:t xml:space="preserve"> </w:t>
      </w:r>
      <w:hyperlink r:id="rId1796" w:history="1">
        <w:r w:rsidRPr="007E4CA8">
          <w:rPr>
            <w:rStyle w:val="Hyperlink"/>
          </w:rPr>
          <w:t>https://public.fastcase.com/H1P9uiW3J20SFp%2BGCG%2BxLeHSDVXVzY4x%2FiI%2F4JAOmhXpvt%2FfNBAZjz4LKds0Mto6?utm_medium=email&amp;_hsmi=226712652&amp;_hsenc=p2ANqtz-_SyWNVWtV5-tteBsEO4doKNFedyWegAxLclup35D1iuddv31pPNK7Mxz83D6yx-CsHYOnImh2IAPqInLsAyxym-pCJTQ&amp;utm_content=226712652&amp;utm_source=hs_email</w:t>
        </w:r>
      </w:hyperlink>
      <w:r>
        <w:t xml:space="preserve"> </w:t>
      </w:r>
    </w:p>
    <w:p w14:paraId="0001BFFF" w14:textId="77777777" w:rsidR="009371E7" w:rsidRDefault="009371E7" w:rsidP="009371E7">
      <w:pPr>
        <w:pStyle w:val="NormalWeb"/>
        <w:rPr>
          <w:b/>
          <w:bCs/>
        </w:rPr>
      </w:pPr>
      <w:r w:rsidRPr="00A033E5">
        <w:rPr>
          <w:b/>
          <w:bCs/>
        </w:rPr>
        <w:t>Legal Lesson Learned:</w:t>
      </w:r>
      <w:r>
        <w:rPr>
          <w:b/>
          <w:bCs/>
        </w:rPr>
        <w:t xml:space="preserve"> Only “bona fide” (uninterrupted) meal breaks can be considered as hours not worked; Fire &amp; EMS departments should be very cautious in applying this exemption.</w:t>
      </w:r>
    </w:p>
    <w:p w14:paraId="5E2F3ECD" w14:textId="77777777" w:rsidR="009371E7" w:rsidRDefault="009371E7" w:rsidP="009371E7">
      <w:pPr>
        <w:pStyle w:val="NormalWeb"/>
        <w:ind w:left="720"/>
      </w:pPr>
      <w:r>
        <w:t>Note: 29 CFR § 785.19 Meal.</w:t>
      </w:r>
    </w:p>
    <w:p w14:paraId="55891BE9" w14:textId="77777777" w:rsidR="009371E7" w:rsidRDefault="009371E7" w:rsidP="009371E7">
      <w:pPr>
        <w:pStyle w:val="NormalWeb"/>
        <w:ind w:left="720"/>
      </w:pPr>
      <w:hyperlink r:id="rId1797" w:history="1">
        <w:r w:rsidRPr="00B268F0">
          <w:rPr>
            <w:rStyle w:val="Hyperlink"/>
          </w:rPr>
          <w:t>https://www.ecfr.gov/current/title-29/subtitle-B/chapter-V/subchapter-B/part-785/subpart-C/subject-group-ECFR3d1222debcd8ec6/section-785.19</w:t>
        </w:r>
      </w:hyperlink>
      <w:r>
        <w:t xml:space="preserve"> </w:t>
      </w:r>
    </w:p>
    <w:p w14:paraId="08008E64" w14:textId="77777777" w:rsidR="009371E7" w:rsidRDefault="009371E7" w:rsidP="009371E7">
      <w:pPr>
        <w:pStyle w:val="indent-1"/>
        <w:ind w:left="720"/>
      </w:pPr>
      <w:r>
        <w:rPr>
          <w:rStyle w:val="paren"/>
          <w:rFonts w:eastAsiaTheme="majorEastAsia"/>
        </w:rPr>
        <w:t>“(</w:t>
      </w:r>
      <w:r>
        <w:rPr>
          <w:rStyle w:val="paragraph-hierarchy"/>
          <w:rFonts w:eastAsiaTheme="majorEastAsia"/>
        </w:rPr>
        <w:t>a</w:t>
      </w:r>
      <w:r>
        <w:rPr>
          <w:rStyle w:val="paren"/>
          <w:rFonts w:eastAsiaTheme="majorEastAsia"/>
        </w:rPr>
        <w:t>)</w:t>
      </w:r>
      <w:r>
        <w:t xml:space="preserve"> </w:t>
      </w:r>
      <w:r>
        <w:rPr>
          <w:rStyle w:val="Emphasis"/>
          <w:rFonts w:eastAsiaTheme="majorEastAsia"/>
          <w:b/>
          <w:bCs/>
        </w:rPr>
        <w:t>Bona fide meal periods.</w:t>
      </w:r>
      <w:r>
        <w:t xml:space="preserve"> Bona fide meal periods are not worktime. Bona fide meal periods do not include coffee breaks or time for snacks. These are rest periods. The employee must be completely relieved from duty for the </w:t>
      </w:r>
      <w:proofErr w:type="gramStart"/>
      <w:r>
        <w:t>purposes</w:t>
      </w:r>
      <w:proofErr w:type="gramEnd"/>
      <w:r>
        <w:t xml:space="preserve"> of eating regular meals. Ordinarily 30 minutes or more is long enough for a bona fide meal period. A shorter period may be long enough under special conditions. The employee is not relieved if he is required to perform any duties, whether active or inactive, while eating. For example, an office employee who is required to eat at his desk or a factory worker who is required to be at his machine is working while eating. (</w:t>
      </w:r>
      <w:r>
        <w:rPr>
          <w:rStyle w:val="Emphasis"/>
          <w:rFonts w:eastAsiaTheme="majorEastAsia"/>
        </w:rPr>
        <w:t>Culkin</w:t>
      </w:r>
      <w:r>
        <w:t xml:space="preserve"> v. </w:t>
      </w:r>
      <w:r>
        <w:rPr>
          <w:rStyle w:val="Emphasis"/>
          <w:rFonts w:eastAsiaTheme="majorEastAsia"/>
        </w:rPr>
        <w:t>Glenn L. Martin, Nebraska Co.,</w:t>
      </w:r>
      <w:r>
        <w:t xml:space="preserve"> 97 F. Supp. 661 (D. Neb. 1951), aff'd 197 F. 2d 981 (C.A. 8, 1952), cert. denied 344 U.S. 888 (1952); </w:t>
      </w:r>
      <w:r>
        <w:rPr>
          <w:rStyle w:val="Emphasis"/>
          <w:rFonts w:eastAsiaTheme="majorEastAsia"/>
        </w:rPr>
        <w:t>Thompson</w:t>
      </w:r>
      <w:r>
        <w:t xml:space="preserve"> v. </w:t>
      </w:r>
      <w:r>
        <w:rPr>
          <w:rStyle w:val="Emphasis"/>
          <w:rFonts w:eastAsiaTheme="majorEastAsia"/>
        </w:rPr>
        <w:t>Stock &amp; Sons, Inc.,</w:t>
      </w:r>
      <w:r>
        <w:t xml:space="preserve"> 93 F. Supp. 213 (E.D. Mich 1950), aff'd 194 F. 2d 493 (C.A. 6, 1952); </w:t>
      </w:r>
      <w:r>
        <w:rPr>
          <w:rStyle w:val="Emphasis"/>
          <w:rFonts w:eastAsiaTheme="majorEastAsia"/>
        </w:rPr>
        <w:t>Biggs</w:t>
      </w:r>
      <w:r>
        <w:t xml:space="preserve"> v. </w:t>
      </w:r>
      <w:r>
        <w:rPr>
          <w:rStyle w:val="Emphasis"/>
          <w:rFonts w:eastAsiaTheme="majorEastAsia"/>
        </w:rPr>
        <w:t>Joshua Hendy Corp.,</w:t>
      </w:r>
      <w:r>
        <w:t xml:space="preserve"> 183 F. 2d 515 (C. A. 9, 1950), 187 F. 2d 447 (C.A. 9, 1951); </w:t>
      </w:r>
      <w:r>
        <w:rPr>
          <w:rStyle w:val="Emphasis"/>
          <w:rFonts w:eastAsiaTheme="majorEastAsia"/>
        </w:rPr>
        <w:t>Walling</w:t>
      </w:r>
      <w:r>
        <w:t xml:space="preserve"> v. </w:t>
      </w:r>
      <w:r>
        <w:rPr>
          <w:rStyle w:val="Emphasis"/>
          <w:rFonts w:eastAsiaTheme="majorEastAsia"/>
        </w:rPr>
        <w:t>Dunbar Transfer &amp; Storage Co.,</w:t>
      </w:r>
      <w:r>
        <w:t xml:space="preserve"> 3 W.H. Cases 284; 7 Labor Cases para. 61.565 (W.D. Tenn. 1943); </w:t>
      </w:r>
      <w:r>
        <w:rPr>
          <w:rStyle w:val="Emphasis"/>
          <w:rFonts w:eastAsiaTheme="majorEastAsia"/>
        </w:rPr>
        <w:t>Lofton</w:t>
      </w:r>
      <w:r>
        <w:t xml:space="preserve"> v. </w:t>
      </w:r>
      <w:r>
        <w:rPr>
          <w:rStyle w:val="Emphasis"/>
          <w:rFonts w:eastAsiaTheme="majorEastAsia"/>
        </w:rPr>
        <w:t>Seneca Coal and Coke Co.,</w:t>
      </w:r>
      <w:r>
        <w:t xml:space="preserve"> 2 W.H. Cases 669; 6 Labor Cases para. 61,271 (N.D. Okla. 1942); aff'd 136 F. 2d 359 (C.A. 10, 1943); cert. denied 320 U.S. 772 (1943); </w:t>
      </w:r>
      <w:r>
        <w:rPr>
          <w:rStyle w:val="Emphasis"/>
          <w:rFonts w:eastAsiaTheme="majorEastAsia"/>
        </w:rPr>
        <w:t>Mitchell</w:t>
      </w:r>
      <w:r>
        <w:t xml:space="preserve"> v. </w:t>
      </w:r>
      <w:r>
        <w:rPr>
          <w:rStyle w:val="Emphasis"/>
          <w:rFonts w:eastAsiaTheme="majorEastAsia"/>
        </w:rPr>
        <w:t>Tampa Cigar Co.,</w:t>
      </w:r>
      <w:r>
        <w:t xml:space="preserve"> 36 Labor Cases para. 65, 198, 14 W.H. Cases 38 (S.D. Fla. 1959); </w:t>
      </w:r>
      <w:r>
        <w:rPr>
          <w:rStyle w:val="Emphasis"/>
          <w:rFonts w:eastAsiaTheme="majorEastAsia"/>
        </w:rPr>
        <w:t>Douglass</w:t>
      </w:r>
      <w:r>
        <w:t xml:space="preserve"> v. </w:t>
      </w:r>
      <w:r>
        <w:rPr>
          <w:rStyle w:val="Emphasis"/>
          <w:rFonts w:eastAsiaTheme="majorEastAsia"/>
        </w:rPr>
        <w:t>Hurwitz Co.,</w:t>
      </w:r>
      <w:r>
        <w:t xml:space="preserve"> 145 F. Supp. 29, 13 W.H. Cases (E.D. Pa. 1956)) </w:t>
      </w:r>
    </w:p>
    <w:p w14:paraId="18635684" w14:textId="77777777" w:rsidR="009371E7" w:rsidRDefault="009371E7" w:rsidP="009371E7">
      <w:pPr>
        <w:pStyle w:val="indent-1"/>
        <w:ind w:left="720"/>
      </w:pPr>
      <w:r>
        <w:rPr>
          <w:rStyle w:val="paren"/>
          <w:rFonts w:eastAsiaTheme="majorEastAsia"/>
        </w:rPr>
        <w:t>(</w:t>
      </w:r>
      <w:r>
        <w:rPr>
          <w:rStyle w:val="paragraph-hierarchy"/>
          <w:rFonts w:eastAsiaTheme="majorEastAsia"/>
        </w:rPr>
        <w:t>b</w:t>
      </w:r>
      <w:r>
        <w:rPr>
          <w:rStyle w:val="paren"/>
          <w:rFonts w:eastAsiaTheme="majorEastAsia"/>
        </w:rPr>
        <w:t>)</w:t>
      </w:r>
      <w:r>
        <w:t xml:space="preserve"> </w:t>
      </w:r>
      <w:r>
        <w:rPr>
          <w:rStyle w:val="Emphasis"/>
          <w:rFonts w:eastAsiaTheme="majorEastAsia"/>
          <w:b/>
          <w:bCs/>
        </w:rPr>
        <w:t>Where no permission to leave premises.</w:t>
      </w:r>
      <w:r>
        <w:t xml:space="preserve"> It is not necessary that an employee be permitted to leave the premises if he is otherwise completely freed from duties during the meal </w:t>
      </w:r>
      <w:proofErr w:type="gramStart"/>
      <w:r>
        <w:t>period.”</w:t>
      </w:r>
      <w:proofErr w:type="gramEnd"/>
      <w:r>
        <w:t xml:space="preserve"> </w:t>
      </w:r>
    </w:p>
    <w:p w14:paraId="35FAC4AB" w14:textId="77777777" w:rsidR="009371E7" w:rsidRPr="005F5B75" w:rsidRDefault="009371E7" w:rsidP="009371E7">
      <w:pPr>
        <w:pStyle w:val="Heading2"/>
        <w:ind w:left="720"/>
        <w:rPr>
          <w:rFonts w:ascii="Times New Roman" w:hAnsi="Times New Roman"/>
          <w:sz w:val="24"/>
          <w:szCs w:val="24"/>
        </w:rPr>
      </w:pPr>
      <w:r w:rsidRPr="005F5B75">
        <w:rPr>
          <w:rFonts w:ascii="Times New Roman" w:hAnsi="Times New Roman"/>
          <w:sz w:val="24"/>
          <w:szCs w:val="24"/>
        </w:rPr>
        <w:t xml:space="preserve">See also: U.S. Department of Labor, FLSA Hours Worked Advisor. “The Fair Labor Standards Act (FLSA) does not require an employer to provide meal periods or rest breaks for their employees. Many employers, however, do provide breaks and/or meal periods. Breaks of short duration, from 5 to </w:t>
      </w:r>
      <w:r w:rsidRPr="005F5B75">
        <w:rPr>
          <w:rFonts w:ascii="Times New Roman" w:hAnsi="Times New Roman"/>
          <w:sz w:val="24"/>
          <w:szCs w:val="24"/>
        </w:rPr>
        <w:lastRenderedPageBreak/>
        <w:t xml:space="preserve">20 minutes, are common. </w:t>
      </w:r>
      <w:proofErr w:type="gramStart"/>
      <w:r w:rsidRPr="005F5B75">
        <w:rPr>
          <w:rFonts w:ascii="Times New Roman" w:hAnsi="Times New Roman"/>
          <w:sz w:val="24"/>
          <w:szCs w:val="24"/>
        </w:rPr>
        <w:t>As a general rule</w:t>
      </w:r>
      <w:proofErr w:type="gramEnd"/>
      <w:r w:rsidRPr="005F5B75">
        <w:rPr>
          <w:rFonts w:ascii="Times New Roman" w:hAnsi="Times New Roman"/>
          <w:sz w:val="24"/>
          <w:szCs w:val="24"/>
        </w:rPr>
        <w:t>, rest breaks are considered hours worked and bona fide meal periods are not considered hours worked.</w:t>
      </w:r>
      <w:r>
        <w:rPr>
          <w:rFonts w:ascii="Times New Roman" w:hAnsi="Times New Roman"/>
          <w:sz w:val="24"/>
          <w:szCs w:val="24"/>
        </w:rPr>
        <w:t xml:space="preserve"> </w:t>
      </w:r>
    </w:p>
    <w:p w14:paraId="7057AF3B" w14:textId="77777777" w:rsidR="009371E7" w:rsidRDefault="009371E7" w:rsidP="009371E7">
      <w:pPr>
        <w:pStyle w:val="NormalWeb"/>
        <w:ind w:left="720"/>
      </w:pPr>
      <w:r>
        <w:t xml:space="preserve">Some </w:t>
      </w:r>
      <w:hyperlink r:id="rId1798" w:history="1">
        <w:r>
          <w:rPr>
            <w:rStyle w:val="Hyperlink"/>
            <w:rFonts w:eastAsiaTheme="majorEastAsia"/>
          </w:rPr>
          <w:t>states</w:t>
        </w:r>
      </w:hyperlink>
      <w:r>
        <w:t xml:space="preserve"> do have laws </w:t>
      </w:r>
      <w:proofErr w:type="gramStart"/>
      <w:r>
        <w:t>requiring rest</w:t>
      </w:r>
      <w:proofErr w:type="gramEnd"/>
      <w:r>
        <w:t xml:space="preserve"> breaks and/or meal periods. Such state requirements will prevail over the silence of the FLSA on this subject. In those situations where an employee is subject to both the FLSA and state labor laws, the employee is entitled to the most beneficial provisions of each law.” </w:t>
      </w:r>
      <w:hyperlink r:id="rId1799" w:history="1">
        <w:r w:rsidRPr="007E4CA8">
          <w:rPr>
            <w:rStyle w:val="Hyperlink"/>
          </w:rPr>
          <w:t>https://webapps.dol.gov/elaws/whd/flsa/hoursworked/screenEE4.asp</w:t>
        </w:r>
      </w:hyperlink>
      <w:r>
        <w:t xml:space="preserve"> </w:t>
      </w:r>
    </w:p>
    <w:p w14:paraId="6EEA65D7" w14:textId="77777777" w:rsidR="009371E7" w:rsidRPr="00FB79D7" w:rsidRDefault="009371E7" w:rsidP="009371E7">
      <w:pPr>
        <w:pStyle w:val="NoSpacing"/>
        <w:ind w:left="720" w:firstLine="48"/>
        <w:rPr>
          <w:rFonts w:ascii="Times New Roman" w:hAnsi="Times New Roman"/>
          <w:b/>
          <w:bCs/>
          <w:sz w:val="24"/>
          <w:szCs w:val="24"/>
        </w:rPr>
      </w:pPr>
      <w:r w:rsidRPr="00FB79D7">
        <w:rPr>
          <w:rFonts w:ascii="Times New Roman" w:hAnsi="Times New Roman"/>
          <w:sz w:val="24"/>
          <w:szCs w:val="24"/>
        </w:rPr>
        <w:t xml:space="preserve">See also this article: </w:t>
      </w:r>
      <w:r w:rsidRPr="00FB79D7">
        <w:rPr>
          <w:rFonts w:ascii="Times New Roman" w:hAnsi="Times New Roman"/>
          <w:color w:val="000000" w:themeColor="text1"/>
          <w:sz w:val="24"/>
          <w:szCs w:val="24"/>
        </w:rPr>
        <w:t xml:space="preserve">“Firefighters, Unpaid Meal Periods, and the FLSA.” Sept. 16, 2019.  </w:t>
      </w:r>
      <w:r w:rsidRPr="00FB79D7">
        <w:rPr>
          <w:rFonts w:ascii="Times New Roman" w:hAnsi="Times New Roman"/>
          <w:sz w:val="24"/>
          <w:szCs w:val="24"/>
        </w:rPr>
        <w:t xml:space="preserve">“Needless to say, deducting mealtime from firefighters can prove tricky.” </w:t>
      </w:r>
      <w:hyperlink r:id="rId1800" w:history="1">
        <w:r w:rsidRPr="00FB79D7">
          <w:rPr>
            <w:rStyle w:val="Hyperlink"/>
            <w:rFonts w:ascii="Times New Roman" w:hAnsi="Times New Roman"/>
            <w:sz w:val="24"/>
            <w:szCs w:val="24"/>
          </w:rPr>
          <w:t>https://www.firefighterovertime.org/2019/09/16/firefighter-meal-period/</w:t>
        </w:r>
      </w:hyperlink>
      <w:r w:rsidRPr="00FB79D7">
        <w:rPr>
          <w:rFonts w:ascii="Times New Roman" w:hAnsi="Times New Roman"/>
          <w:sz w:val="24"/>
          <w:szCs w:val="24"/>
        </w:rPr>
        <w:t xml:space="preserve"> </w:t>
      </w:r>
    </w:p>
    <w:p w14:paraId="3151C93D" w14:textId="77777777" w:rsidR="009371E7" w:rsidRPr="00FB79D7" w:rsidRDefault="009371E7" w:rsidP="009371E7">
      <w:pPr>
        <w:pStyle w:val="NoSpacing"/>
        <w:rPr>
          <w:rFonts w:ascii="Times New Roman" w:hAnsi="Times New Roman"/>
          <w:sz w:val="24"/>
          <w:szCs w:val="24"/>
        </w:rPr>
      </w:pPr>
    </w:p>
    <w:p w14:paraId="29A204CD" w14:textId="77777777" w:rsidR="009371E7" w:rsidRPr="00FB79D7" w:rsidRDefault="009371E7" w:rsidP="009371E7">
      <w:pPr>
        <w:pStyle w:val="NoSpacing"/>
        <w:rPr>
          <w:rFonts w:ascii="Times New Roman" w:hAnsi="Times New Roman"/>
          <w:sz w:val="24"/>
          <w:szCs w:val="24"/>
        </w:rPr>
      </w:pPr>
    </w:p>
    <w:p w14:paraId="479EE591" w14:textId="7776F079" w:rsidR="009371E7" w:rsidRPr="009371E7" w:rsidRDefault="009371E7" w:rsidP="009371E7">
      <w:pPr>
        <w:pStyle w:val="NoSpacing"/>
        <w:rPr>
          <w:rFonts w:ascii="Arial Black" w:hAnsi="Arial Black"/>
          <w:b/>
          <w:bCs/>
          <w:sz w:val="24"/>
          <w:szCs w:val="24"/>
        </w:rPr>
      </w:pPr>
      <w:r w:rsidRPr="009371E7">
        <w:rPr>
          <w:rFonts w:ascii="Arial Black" w:hAnsi="Arial Black"/>
          <w:b/>
          <w:bCs/>
          <w:sz w:val="24"/>
          <w:szCs w:val="24"/>
        </w:rPr>
        <w:t>11-</w:t>
      </w:r>
      <w:r w:rsidR="009601CD">
        <w:rPr>
          <w:rFonts w:ascii="Arial Black" w:hAnsi="Arial Black"/>
          <w:b/>
          <w:bCs/>
          <w:sz w:val="24"/>
          <w:szCs w:val="24"/>
        </w:rPr>
        <w:t>51</w:t>
      </w:r>
    </w:p>
    <w:p w14:paraId="00D6CF79" w14:textId="77777777" w:rsidR="009371E7" w:rsidRPr="00CB0C9A" w:rsidRDefault="009371E7" w:rsidP="009371E7">
      <w:pPr>
        <w:spacing w:before="100" w:beforeAutospacing="1" w:after="100" w:afterAutospacing="1" w:line="240" w:lineRule="auto"/>
        <w:outlineLvl w:val="0"/>
        <w:rPr>
          <w:rFonts w:ascii="Arial Black" w:eastAsia="Times New Roman" w:hAnsi="Arial Black"/>
          <w:b/>
          <w:bCs/>
          <w:kern w:val="36"/>
          <w:sz w:val="28"/>
          <w:szCs w:val="28"/>
        </w:rPr>
      </w:pPr>
      <w:r>
        <w:rPr>
          <w:rFonts w:ascii="Arial Black" w:eastAsia="Times New Roman" w:hAnsi="Arial Black"/>
          <w:b/>
          <w:bCs/>
          <w:kern w:val="36"/>
          <w:sz w:val="28"/>
          <w:szCs w:val="28"/>
        </w:rPr>
        <w:t>MO: FLSA – CLASS ACTION CERTIFIED - PAY WHEN WORKING OUT-OF-POSITION – 5% INCREASE ON WAGE</w:t>
      </w:r>
    </w:p>
    <w:p w14:paraId="4BE1F28E" w14:textId="77777777" w:rsidR="009371E7" w:rsidRDefault="009371E7" w:rsidP="009371E7">
      <w:pPr>
        <w:pStyle w:val="paragraph"/>
      </w:pPr>
      <w:r>
        <w:t xml:space="preserve">On March 5, 2024, in </w:t>
      </w:r>
      <w:r w:rsidRPr="00011D84">
        <w:rPr>
          <w:u w:val="single"/>
        </w:rPr>
        <w:t>Donnie Shook, individually and on behalf of all others similarly situated v. City of Independence, Missouri</w:t>
      </w:r>
      <w:r>
        <w:t xml:space="preserve">, United States District Court Judge Greg Kays, U.S District Court for Western District of Missouri, with no objection by the City has conditionally certified this class action lawsuit, where fellow firefighters with IAFF Local 781 may opt into the case as it proceeds in pre-trial discovery. Under the CBA, firefighters working “out-of-position” (for example, firefighter serving as Acting Lieutenant) receive a five percent increase in their regular hourly wage for those hours; the dispute concerns how this impacts the “regular hourly wage” rate of the firefighter. </w:t>
      </w:r>
    </w:p>
    <w:p w14:paraId="55AD63FA" w14:textId="77777777" w:rsidR="00D90293" w:rsidRPr="004C0299" w:rsidRDefault="00D90293" w:rsidP="00D90293">
      <w:pPr>
        <w:pStyle w:val="NoSpacing"/>
        <w:rPr>
          <w:rFonts w:ascii="Times New Roman" w:hAnsi="Times New Roman"/>
          <w:sz w:val="24"/>
          <w:szCs w:val="24"/>
        </w:rPr>
      </w:pPr>
      <w:r>
        <w:rPr>
          <w:rFonts w:ascii="Times New Roman" w:hAnsi="Times New Roman"/>
          <w:sz w:val="24"/>
          <w:szCs w:val="24"/>
          <w:shd w:val="clear" w:color="auto" w:fill="FFFFFF"/>
        </w:rPr>
        <w:t>THE COURT HELD:</w:t>
      </w:r>
    </w:p>
    <w:p w14:paraId="4FC50DC0" w14:textId="77777777" w:rsidR="00D90293" w:rsidRDefault="00D90293" w:rsidP="009371E7">
      <w:pPr>
        <w:pStyle w:val="paragraph"/>
      </w:pPr>
    </w:p>
    <w:p w14:paraId="362301C3" w14:textId="77777777" w:rsidR="009371E7" w:rsidRDefault="009371E7" w:rsidP="009371E7">
      <w:pPr>
        <w:pStyle w:val="paragraph"/>
        <w:ind w:left="720"/>
      </w:pPr>
      <w:r>
        <w:t xml:space="preserve">“Plaintiff alleges Defendant's pay calculation policy violates the FLSA because it dilutes overtime compensation for hours worked out-of-position, resulting in overtime not being paid at a rate of at least one and a half times the regular rate. Defendant denies these allegations and maintains its pay calculation </w:t>
      </w:r>
      <w:proofErr w:type="gramStart"/>
      <w:r>
        <w:t>policy</w:t>
      </w:r>
      <w:proofErr w:type="gramEnd"/>
      <w:r>
        <w:t xml:space="preserve"> accounts for all hours and pay rates worked during a 27-day pay cycle. </w:t>
      </w:r>
    </w:p>
    <w:p w14:paraId="7807626A" w14:textId="77777777" w:rsidR="009371E7" w:rsidRDefault="009371E7" w:rsidP="009371E7">
      <w:pPr>
        <w:pStyle w:val="paragraph"/>
        <w:ind w:left="720"/>
      </w:pPr>
      <w:r>
        <w:t>***</w:t>
      </w:r>
    </w:p>
    <w:p w14:paraId="4E576EC6" w14:textId="77777777" w:rsidR="009371E7" w:rsidRDefault="009371E7" w:rsidP="009371E7">
      <w:pPr>
        <w:spacing w:before="100" w:beforeAutospacing="1" w:after="100" w:afterAutospacing="1" w:line="240" w:lineRule="auto"/>
        <w:ind w:left="720"/>
        <w:rPr>
          <w:rFonts w:ascii="Times New Roman" w:eastAsia="Times New Roman" w:hAnsi="Times New Roman"/>
          <w:sz w:val="24"/>
          <w:szCs w:val="24"/>
        </w:rPr>
      </w:pPr>
      <w:r w:rsidRPr="003D356B">
        <w:rPr>
          <w:rFonts w:ascii="Times New Roman" w:eastAsia="Times New Roman" w:hAnsi="Times New Roman"/>
          <w:sz w:val="24"/>
          <w:szCs w:val="24"/>
        </w:rPr>
        <w:t xml:space="preserve">Accordingly, the Court conditionally certifies the following class: </w:t>
      </w:r>
    </w:p>
    <w:p w14:paraId="0B417BEC" w14:textId="77777777" w:rsidR="009371E7" w:rsidRDefault="009371E7" w:rsidP="009371E7">
      <w:pPr>
        <w:spacing w:before="100" w:beforeAutospacing="1" w:after="100" w:afterAutospacing="1" w:line="240" w:lineRule="auto"/>
        <w:ind w:left="1440"/>
        <w:rPr>
          <w:rFonts w:ascii="Times New Roman" w:eastAsia="Times New Roman" w:hAnsi="Times New Roman"/>
          <w:sz w:val="24"/>
          <w:szCs w:val="24"/>
        </w:rPr>
      </w:pPr>
      <w:r w:rsidRPr="003D356B">
        <w:rPr>
          <w:rFonts w:ascii="Times New Roman" w:eastAsia="Times New Roman" w:hAnsi="Times New Roman"/>
          <w:sz w:val="24"/>
          <w:szCs w:val="24"/>
        </w:rPr>
        <w:t xml:space="preserve">All current and former Independence, Missouri firefighters who worked out-of-position at a higher rate of pay and worked more than 204 hours in the </w:t>
      </w:r>
      <w:proofErr w:type="spellStart"/>
      <w:r w:rsidRPr="003D356B">
        <w:rPr>
          <w:rFonts w:ascii="Times New Roman" w:eastAsia="Times New Roman" w:hAnsi="Times New Roman"/>
          <w:sz w:val="24"/>
          <w:szCs w:val="24"/>
        </w:rPr>
        <w:t>sme</w:t>
      </w:r>
      <w:proofErr w:type="spellEnd"/>
      <w:r w:rsidRPr="003D356B">
        <w:rPr>
          <w:rFonts w:ascii="Times New Roman" w:eastAsia="Times New Roman" w:hAnsi="Times New Roman"/>
          <w:sz w:val="24"/>
          <w:szCs w:val="24"/>
        </w:rPr>
        <w:t xml:space="preserve"> 27-day period at any time beginning three years prior to joining this lawsuit.</w:t>
      </w:r>
      <w:r>
        <w:rPr>
          <w:rFonts w:ascii="Times New Roman" w:eastAsia="Times New Roman" w:hAnsi="Times New Roman"/>
          <w:sz w:val="24"/>
          <w:szCs w:val="24"/>
        </w:rPr>
        <w:t>’</w:t>
      </w:r>
    </w:p>
    <w:p w14:paraId="6A3BC5FA" w14:textId="77777777" w:rsidR="009371E7" w:rsidRDefault="009371E7" w:rsidP="009371E7">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ab/>
        <w:t>***</w:t>
      </w:r>
    </w:p>
    <w:p w14:paraId="1226FF56" w14:textId="77777777" w:rsidR="009371E7" w:rsidRPr="00FB03E9" w:rsidRDefault="009371E7" w:rsidP="009371E7">
      <w:pPr>
        <w:pStyle w:val="paragraph"/>
        <w:ind w:firstLine="720"/>
      </w:pPr>
      <w:r w:rsidRPr="00FB03E9">
        <w:t xml:space="preserve">Conclusion </w:t>
      </w:r>
    </w:p>
    <w:p w14:paraId="7D1E2EDA" w14:textId="77777777" w:rsidR="009371E7" w:rsidRDefault="009371E7" w:rsidP="009371E7">
      <w:pPr>
        <w:pStyle w:val="paragraph"/>
        <w:ind w:left="720"/>
      </w:pPr>
      <w:r>
        <w:t xml:space="preserve">The class is conditionally certified. Defendant shall produce to Plaintiff the names, job titles, dates of employment, last known addresses, and email addresses of potential plaintiffs within seven (7) days of this Order. Plaintiff is authorized to send notice and consent forms, by mail and email to potential class </w:t>
      </w:r>
      <w:r>
        <w:lastRenderedPageBreak/>
        <w:t>members. Each potential plaintiff shall have sixty (60) days from the date the mailing list is provided to opt-in to the litigation.”</w:t>
      </w:r>
    </w:p>
    <w:p w14:paraId="6F66E34D" w14:textId="77777777" w:rsidR="009371E7" w:rsidRPr="005B1A2F" w:rsidRDefault="009371E7" w:rsidP="009371E7">
      <w:pPr>
        <w:pStyle w:val="paragraph"/>
        <w:rPr>
          <w:b/>
          <w:bCs/>
        </w:rPr>
      </w:pPr>
      <w:r w:rsidRPr="005B1A2F">
        <w:rPr>
          <w:b/>
          <w:bCs/>
        </w:rPr>
        <w:t>Legal Lesson Learned:</w:t>
      </w:r>
      <w:r>
        <w:rPr>
          <w:b/>
          <w:bCs/>
        </w:rPr>
        <w:t xml:space="preserve"> Lawsuit will now proceed with pre-trial discovery.</w:t>
      </w:r>
    </w:p>
    <w:p w14:paraId="592AEF1E" w14:textId="77777777" w:rsidR="009371E7" w:rsidRDefault="009371E7" w:rsidP="009371E7">
      <w:pPr>
        <w:spacing w:before="100" w:beforeAutospacing="1" w:after="100" w:afterAutospacing="1" w:line="240" w:lineRule="auto"/>
        <w:ind w:firstLine="720"/>
        <w:rPr>
          <w:rFonts w:ascii="Times New Roman" w:eastAsia="Times New Roman" w:hAnsi="Times New Roman"/>
          <w:sz w:val="24"/>
          <w:szCs w:val="24"/>
        </w:rPr>
      </w:pPr>
      <w:r>
        <w:rPr>
          <w:rFonts w:ascii="Times New Roman" w:eastAsia="Times New Roman" w:hAnsi="Times New Roman"/>
          <w:sz w:val="24"/>
          <w:szCs w:val="24"/>
        </w:rPr>
        <w:t>Note: See this Notice from plaintiff’s law firm:</w:t>
      </w:r>
      <w:r w:rsidRPr="005B1A2F">
        <w:t xml:space="preserve"> </w:t>
      </w:r>
      <w:hyperlink r:id="rId1801" w:history="1">
        <w:r w:rsidRPr="0090149E">
          <w:rPr>
            <w:rStyle w:val="Hyperlink"/>
            <w:rFonts w:ascii="Times New Roman" w:eastAsia="Times New Roman" w:hAnsi="Times New Roman"/>
            <w:sz w:val="24"/>
            <w:szCs w:val="24"/>
          </w:rPr>
          <w:t>http://flsa-optin.com/</w:t>
        </w:r>
      </w:hyperlink>
      <w:r>
        <w:rPr>
          <w:rFonts w:ascii="Times New Roman" w:eastAsia="Times New Roman" w:hAnsi="Times New Roman"/>
          <w:sz w:val="24"/>
          <w:szCs w:val="24"/>
        </w:rPr>
        <w:t xml:space="preserve"> </w:t>
      </w:r>
    </w:p>
    <w:p w14:paraId="5F242C56" w14:textId="77777777" w:rsidR="009371E7" w:rsidRPr="007957B8" w:rsidRDefault="009371E7" w:rsidP="009371E7">
      <w:pPr>
        <w:pStyle w:val="NormalWeb"/>
        <w:ind w:firstLine="720"/>
        <w:jc w:val="both"/>
      </w:pPr>
      <w:r w:rsidRPr="007957B8">
        <w:rPr>
          <w:rStyle w:val="Strong"/>
          <w:rFonts w:eastAsiaTheme="majorEastAsia"/>
          <w:color w:val="003366"/>
        </w:rPr>
        <w:t>YOUR RIGHT TO PARTICIPATE IN THIS LAWSUIT</w:t>
      </w:r>
    </w:p>
    <w:p w14:paraId="09C5C24D" w14:textId="77777777" w:rsidR="009371E7" w:rsidRPr="007957B8" w:rsidRDefault="009371E7" w:rsidP="009371E7">
      <w:pPr>
        <w:pStyle w:val="NormalWeb"/>
        <w:ind w:left="720"/>
        <w:jc w:val="both"/>
        <w:rPr>
          <w:rStyle w:val="Strong"/>
          <w:rFonts w:eastAsiaTheme="majorEastAsia"/>
        </w:rPr>
      </w:pPr>
      <w:r w:rsidRPr="007957B8">
        <w:t xml:space="preserve">If you fit the definition above, you may join this suit (that is, you may “opt in”) </w:t>
      </w:r>
      <w:proofErr w:type="gramStart"/>
      <w:r w:rsidRPr="007957B8">
        <w:t>provided that</w:t>
      </w:r>
      <w:proofErr w:type="gramEnd"/>
      <w:r w:rsidRPr="007957B8">
        <w:t xml:space="preserve"> you file or cause to be filed the attached Consent to Join Collective Action. </w:t>
      </w:r>
      <w:r w:rsidRPr="007957B8">
        <w:rPr>
          <w:rStyle w:val="Strong"/>
          <w:rFonts w:eastAsiaTheme="majorEastAsia"/>
        </w:rPr>
        <w:t xml:space="preserve">You have two options: (1) you may file electronically by clicking </w:t>
      </w:r>
      <w:hyperlink r:id="rId1802" w:tgtFrame="_blank" w:history="1">
        <w:r w:rsidRPr="007957B8">
          <w:rPr>
            <w:rStyle w:val="Hyperlink"/>
            <w:rFonts w:eastAsiaTheme="majorEastAsia"/>
            <w:b/>
            <w:bCs/>
          </w:rPr>
          <w:t>here</w:t>
        </w:r>
      </w:hyperlink>
      <w:r w:rsidRPr="007957B8">
        <w:rPr>
          <w:rStyle w:val="Strong"/>
          <w:rFonts w:eastAsiaTheme="majorEastAsia"/>
        </w:rPr>
        <w:t xml:space="preserve"> </w:t>
      </w:r>
      <w:r w:rsidRPr="007957B8">
        <w:rPr>
          <w:rStyle w:val="Strong"/>
          <w:rFonts w:eastAsiaTheme="majorEastAsia"/>
          <w:color w:val="B22222"/>
        </w:rPr>
        <w:t>before</w:t>
      </w:r>
      <w:r w:rsidRPr="007957B8">
        <w:rPr>
          <w:rStyle w:val="Strong"/>
          <w:rFonts w:eastAsiaTheme="majorEastAsia"/>
        </w:rPr>
        <w:t xml:space="preserve"> </w:t>
      </w:r>
      <w:r w:rsidRPr="007957B8">
        <w:rPr>
          <w:rStyle w:val="Strong"/>
          <w:rFonts w:eastAsiaTheme="majorEastAsia"/>
          <w:color w:val="B22222"/>
        </w:rPr>
        <w:t>October 20, 2023</w:t>
      </w:r>
      <w:r w:rsidRPr="007957B8">
        <w:rPr>
          <w:rStyle w:val="Strong"/>
          <w:rFonts w:eastAsiaTheme="majorEastAsia"/>
        </w:rPr>
        <w:t xml:space="preserve">; or (2) you may </w:t>
      </w:r>
      <w:hyperlink r:id="rId1803" w:tgtFrame="_blank" w:history="1">
        <w:r w:rsidRPr="007957B8">
          <w:rPr>
            <w:rStyle w:val="Hyperlink"/>
            <w:rFonts w:eastAsiaTheme="majorEastAsia"/>
            <w:b/>
            <w:bCs/>
          </w:rPr>
          <w:t>download</w:t>
        </w:r>
      </w:hyperlink>
      <w:r w:rsidRPr="007957B8">
        <w:rPr>
          <w:rStyle w:val="Strong"/>
          <w:rFonts w:eastAsiaTheme="majorEastAsia"/>
        </w:rPr>
        <w:t xml:space="preserve"> and sign and mail the consent form before October 20, </w:t>
      </w:r>
      <w:proofErr w:type="gramStart"/>
      <w:r w:rsidRPr="007957B8">
        <w:rPr>
          <w:rStyle w:val="Strong"/>
          <w:rFonts w:eastAsiaTheme="majorEastAsia"/>
        </w:rPr>
        <w:t>2023</w:t>
      </w:r>
      <w:proofErr w:type="gramEnd"/>
      <w:r w:rsidRPr="007957B8">
        <w:rPr>
          <w:rStyle w:val="Strong"/>
          <w:rFonts w:eastAsiaTheme="majorEastAsia"/>
        </w:rPr>
        <w:t xml:space="preserve"> to:</w:t>
      </w:r>
    </w:p>
    <w:p w14:paraId="02BBBC66" w14:textId="77777777" w:rsidR="009371E7" w:rsidRPr="007957B8" w:rsidRDefault="009371E7" w:rsidP="009371E7">
      <w:pPr>
        <w:ind w:left="720"/>
        <w:rPr>
          <w:rFonts w:ascii="Times New Roman" w:hAnsi="Times New Roman"/>
          <w:sz w:val="24"/>
          <w:szCs w:val="24"/>
        </w:rPr>
      </w:pPr>
      <w:r w:rsidRPr="007957B8">
        <w:rPr>
          <w:rFonts w:ascii="Times New Roman" w:hAnsi="Times New Roman"/>
          <w:sz w:val="24"/>
          <w:szCs w:val="24"/>
        </w:rPr>
        <w:t>Boyd Kenter Thomas &amp; Parrish, LLC</w:t>
      </w:r>
      <w:r w:rsidRPr="007957B8">
        <w:rPr>
          <w:rFonts w:ascii="Times New Roman" w:hAnsi="Times New Roman"/>
          <w:sz w:val="24"/>
          <w:szCs w:val="24"/>
        </w:rPr>
        <w:br/>
        <w:t>PO BOX 439</w:t>
      </w:r>
      <w:r w:rsidRPr="007957B8">
        <w:rPr>
          <w:rFonts w:ascii="Times New Roman" w:hAnsi="Times New Roman"/>
          <w:sz w:val="24"/>
          <w:szCs w:val="24"/>
        </w:rPr>
        <w:br/>
        <w:t>Independence, Missouri 64050</w:t>
      </w:r>
    </w:p>
    <w:p w14:paraId="77373FE9" w14:textId="77777777" w:rsidR="009371E7" w:rsidRPr="007957B8" w:rsidRDefault="009371E7" w:rsidP="009371E7">
      <w:pPr>
        <w:pStyle w:val="NormalWeb"/>
        <w:ind w:left="720"/>
        <w:jc w:val="both"/>
      </w:pPr>
      <w:r w:rsidRPr="007957B8">
        <w:t>If you choose option (2), your consent form must be enclosed in an envelope that is postmarked on or before October 20, 2023.</w:t>
      </w:r>
    </w:p>
    <w:p w14:paraId="32778FC5" w14:textId="77777777" w:rsidR="009371E7" w:rsidRDefault="009371E7" w:rsidP="00F326E5">
      <w:pPr>
        <w:rPr>
          <w:rFonts w:ascii="Arial Black" w:hAnsi="Arial Black"/>
          <w:b/>
          <w:sz w:val="24"/>
          <w:szCs w:val="24"/>
        </w:rPr>
      </w:pPr>
    </w:p>
    <w:p w14:paraId="7FA9D57C" w14:textId="20F357AF" w:rsidR="00A82016" w:rsidRDefault="00A82016" w:rsidP="00F326E5">
      <w:pPr>
        <w:rPr>
          <w:rFonts w:ascii="Arial Black" w:hAnsi="Arial Black"/>
          <w:b/>
          <w:sz w:val="24"/>
          <w:szCs w:val="24"/>
        </w:rPr>
      </w:pPr>
      <w:r>
        <w:rPr>
          <w:rFonts w:ascii="Arial Black" w:hAnsi="Arial Black"/>
          <w:b/>
          <w:sz w:val="24"/>
          <w:szCs w:val="24"/>
        </w:rPr>
        <w:t>11-47</w:t>
      </w:r>
    </w:p>
    <w:p w14:paraId="4256C3CD" w14:textId="77777777" w:rsidR="00A82016" w:rsidRPr="00253890" w:rsidRDefault="00A82016" w:rsidP="00A82016">
      <w:pPr>
        <w:spacing w:before="100" w:beforeAutospacing="1" w:after="100" w:afterAutospacing="1" w:line="240" w:lineRule="auto"/>
        <w:rPr>
          <w:rFonts w:ascii="Times New Roman" w:eastAsia="Times New Roman" w:hAnsi="Times New Roman"/>
          <w:sz w:val="24"/>
          <w:szCs w:val="24"/>
        </w:rPr>
      </w:pPr>
      <w:r>
        <w:rPr>
          <w:rFonts w:ascii="Arial Black" w:eastAsia="Times New Roman" w:hAnsi="Arial Black"/>
          <w:sz w:val="28"/>
          <w:szCs w:val="28"/>
        </w:rPr>
        <w:t xml:space="preserve">MS: FLSA - LONGEVITY PAY – LAWSUIT SETTLED PAY OCT. 2023 FORWARD - 25 FF AGREED /10 OBJECTED - ENFORCED </w:t>
      </w:r>
    </w:p>
    <w:p w14:paraId="15A25AA1" w14:textId="77777777" w:rsidR="00A82016" w:rsidRDefault="00A82016" w:rsidP="00A82016">
      <w:pPr>
        <w:pStyle w:val="NoSpacing"/>
        <w:rPr>
          <w:rFonts w:ascii="Times New Roman" w:hAnsi="Times New Roman"/>
          <w:sz w:val="24"/>
          <w:szCs w:val="24"/>
        </w:rPr>
      </w:pPr>
      <w:r>
        <w:rPr>
          <w:rFonts w:ascii="Times New Roman" w:hAnsi="Times New Roman"/>
          <w:sz w:val="24"/>
          <w:szCs w:val="24"/>
        </w:rPr>
        <w:t xml:space="preserve">On Jan. 25, 2024, in </w:t>
      </w:r>
      <w:r w:rsidRPr="00CA23AA">
        <w:rPr>
          <w:rFonts w:ascii="Times New Roman" w:hAnsi="Times New Roman"/>
          <w:sz w:val="24"/>
          <w:szCs w:val="24"/>
          <w:u w:val="single"/>
        </w:rPr>
        <w:t>Derrick Gates, et al. v. City of Biloxi, Mississippi</w:t>
      </w:r>
      <w:r>
        <w:rPr>
          <w:rFonts w:ascii="Times New Roman" w:hAnsi="Times New Roman"/>
          <w:sz w:val="24"/>
          <w:szCs w:val="24"/>
        </w:rPr>
        <w:t xml:space="preserve">, U.S. District Court Judge Louis Guirola, Jr., U.S. District Court for Southern District of Mississippi (Southern Division) granted the City’s motion to enforce the settlement agreement. </w:t>
      </w:r>
    </w:p>
    <w:p w14:paraId="107B8D16" w14:textId="77777777" w:rsidR="00A82016" w:rsidRDefault="00A82016" w:rsidP="00A82016">
      <w:pPr>
        <w:pStyle w:val="NoSpacing"/>
        <w:rPr>
          <w:rFonts w:ascii="Times New Roman" w:hAnsi="Times New Roman"/>
          <w:sz w:val="24"/>
          <w:szCs w:val="24"/>
        </w:rPr>
      </w:pPr>
    </w:p>
    <w:p w14:paraId="58AB6537" w14:textId="6EE03A1D" w:rsidR="00A82016" w:rsidRDefault="00A82016" w:rsidP="00A82016">
      <w:pPr>
        <w:rPr>
          <w:rStyle w:val="Hyperlink"/>
          <w:rFonts w:ascii="Times New Roman" w:hAnsi="Times New Roman"/>
          <w:sz w:val="24"/>
          <w:szCs w:val="24"/>
        </w:rPr>
      </w:pPr>
      <w:r>
        <w:rPr>
          <w:rFonts w:ascii="Times New Roman" w:hAnsi="Times New Roman"/>
          <w:sz w:val="24"/>
          <w:szCs w:val="24"/>
        </w:rPr>
        <w:t>“</w:t>
      </w:r>
      <w:r w:rsidRPr="00195CB1">
        <w:rPr>
          <w:rFonts w:ascii="Times New Roman" w:hAnsi="Times New Roman"/>
          <w:sz w:val="24"/>
          <w:szCs w:val="24"/>
        </w:rPr>
        <w:t>Here, the parties through their retained counsel announced the</w:t>
      </w:r>
      <w:r>
        <w:rPr>
          <w:rFonts w:ascii="Times New Roman" w:hAnsi="Times New Roman"/>
          <w:sz w:val="24"/>
          <w:szCs w:val="24"/>
        </w:rPr>
        <w:t xml:space="preserve"> </w:t>
      </w:r>
      <w:r w:rsidRPr="00195CB1">
        <w:rPr>
          <w:rFonts w:ascii="Times New Roman" w:hAnsi="Times New Roman"/>
          <w:sz w:val="24"/>
          <w:szCs w:val="24"/>
        </w:rPr>
        <w:t>settlement, and the terms were recited into the record. It is the recorded recitations</w:t>
      </w:r>
      <w:r>
        <w:rPr>
          <w:rFonts w:ascii="Times New Roman" w:hAnsi="Times New Roman"/>
          <w:sz w:val="24"/>
          <w:szCs w:val="24"/>
        </w:rPr>
        <w:t xml:space="preserve"> </w:t>
      </w:r>
      <w:r w:rsidRPr="00195CB1">
        <w:rPr>
          <w:rFonts w:ascii="Times New Roman" w:hAnsi="Times New Roman"/>
          <w:sz w:val="24"/>
          <w:szCs w:val="24"/>
        </w:rPr>
        <w:t>that control. Therefore, the settlement agreement is enforceable as recorded in the</w:t>
      </w:r>
      <w:r>
        <w:rPr>
          <w:rFonts w:ascii="Times New Roman" w:hAnsi="Times New Roman"/>
          <w:sz w:val="24"/>
          <w:szCs w:val="24"/>
        </w:rPr>
        <w:t xml:space="preserve"> </w:t>
      </w:r>
      <w:r w:rsidRPr="00195CB1">
        <w:rPr>
          <w:rFonts w:ascii="Times New Roman" w:hAnsi="Times New Roman"/>
          <w:sz w:val="24"/>
          <w:szCs w:val="24"/>
        </w:rPr>
        <w:t>transcript at the close of the settlement conference, regardless of any alleged</w:t>
      </w:r>
      <w:r>
        <w:rPr>
          <w:rFonts w:ascii="Times New Roman" w:hAnsi="Times New Roman"/>
          <w:sz w:val="24"/>
          <w:szCs w:val="24"/>
        </w:rPr>
        <w:t xml:space="preserve"> </w:t>
      </w:r>
      <w:r w:rsidRPr="00195CB1">
        <w:rPr>
          <w:rFonts w:ascii="Times New Roman" w:hAnsi="Times New Roman"/>
          <w:sz w:val="24"/>
          <w:szCs w:val="24"/>
        </w:rPr>
        <w:t>omissions contained in a later memorialization of the parties’ agreement.</w:t>
      </w:r>
      <w:r>
        <w:rPr>
          <w:rFonts w:ascii="Times New Roman" w:hAnsi="Times New Roman"/>
          <w:sz w:val="24"/>
          <w:szCs w:val="24"/>
        </w:rPr>
        <w:t xml:space="preserve">”   </w:t>
      </w:r>
      <w:hyperlink r:id="rId1804" w:history="1">
        <w:r w:rsidRPr="00624A20">
          <w:rPr>
            <w:rStyle w:val="Hyperlink"/>
            <w:rFonts w:ascii="Times New Roman" w:hAnsi="Times New Roman"/>
            <w:sz w:val="24"/>
            <w:szCs w:val="24"/>
          </w:rPr>
          <w:t>https://cases.justia.com/federal/district-courts/mississippi/mssdce/1:2022cv00356/117172/19/0.pdf?ts=1706287990</w:t>
        </w:r>
      </w:hyperlink>
    </w:p>
    <w:p w14:paraId="3A00E7B4" w14:textId="4FC5B2D7" w:rsidR="00F260DB" w:rsidRDefault="00F260DB" w:rsidP="00A82016">
      <w:pPr>
        <w:rPr>
          <w:rFonts w:ascii="Arial Black" w:hAnsi="Arial Black"/>
          <w:b/>
          <w:sz w:val="24"/>
          <w:szCs w:val="24"/>
        </w:rPr>
      </w:pPr>
      <w:r w:rsidRPr="0027455C">
        <w:rPr>
          <w:rFonts w:ascii="Times New Roman" w:hAnsi="Times New Roman"/>
          <w:b/>
          <w:bCs/>
          <w:sz w:val="24"/>
          <w:szCs w:val="24"/>
        </w:rPr>
        <w:t>Legal Lesson Learned:</w:t>
      </w:r>
      <w:r>
        <w:rPr>
          <w:rFonts w:ascii="Times New Roman" w:hAnsi="Times New Roman"/>
          <w:b/>
          <w:bCs/>
          <w:sz w:val="24"/>
          <w:szCs w:val="24"/>
        </w:rPr>
        <w:t xml:space="preserve"> A settlement agreement agreed to by Plaintiffs’ legal counsel applies to all firefighters on the fire department</w:t>
      </w:r>
    </w:p>
    <w:p w14:paraId="2C52C8F0" w14:textId="77777777" w:rsidR="00A82016" w:rsidRDefault="00A82016" w:rsidP="00F326E5">
      <w:pPr>
        <w:rPr>
          <w:rFonts w:ascii="Arial Black" w:hAnsi="Arial Black"/>
          <w:b/>
          <w:sz w:val="24"/>
          <w:szCs w:val="24"/>
        </w:rPr>
      </w:pPr>
    </w:p>
    <w:p w14:paraId="7AD83869" w14:textId="071DD38E" w:rsidR="00357AB9" w:rsidRDefault="00357AB9" w:rsidP="00F326E5">
      <w:pPr>
        <w:rPr>
          <w:rFonts w:ascii="Arial Black" w:hAnsi="Arial Black"/>
          <w:b/>
          <w:sz w:val="24"/>
          <w:szCs w:val="24"/>
        </w:rPr>
      </w:pPr>
      <w:r>
        <w:rPr>
          <w:rFonts w:ascii="Arial Black" w:hAnsi="Arial Black"/>
          <w:b/>
          <w:sz w:val="24"/>
          <w:szCs w:val="24"/>
        </w:rPr>
        <w:t>11-</w:t>
      </w:r>
      <w:r w:rsidR="009601CD">
        <w:rPr>
          <w:rFonts w:ascii="Arial Black" w:hAnsi="Arial Black"/>
          <w:b/>
          <w:sz w:val="24"/>
          <w:szCs w:val="24"/>
        </w:rPr>
        <w:t>50</w:t>
      </w:r>
    </w:p>
    <w:p w14:paraId="443FE29E" w14:textId="77777777" w:rsidR="00357AB9" w:rsidRDefault="00357AB9" w:rsidP="00357AB9">
      <w:pPr>
        <w:pStyle w:val="NormalWeb"/>
        <w:rPr>
          <w:rFonts w:ascii="Arial Black" w:hAnsi="Arial Black"/>
          <w:b/>
          <w:bCs/>
          <w:sz w:val="28"/>
          <w:szCs w:val="28"/>
        </w:rPr>
      </w:pPr>
      <w:r>
        <w:rPr>
          <w:rFonts w:ascii="Arial Black" w:hAnsi="Arial Black"/>
          <w:b/>
          <w:bCs/>
          <w:sz w:val="28"/>
          <w:szCs w:val="28"/>
        </w:rPr>
        <w:t>CA: FLSA - FF HAVE HEALTH INSUR. WITH SPOUSE CAN “OPT OUT” – OPT OUT FEE IS NOT PART “REGULAR WAGES”</w:t>
      </w:r>
    </w:p>
    <w:p w14:paraId="61E58FB4" w14:textId="77777777" w:rsidR="00357AB9" w:rsidRDefault="00357AB9" w:rsidP="00357AB9">
      <w:pPr>
        <w:pStyle w:val="NoSpacing"/>
        <w:rPr>
          <w:rFonts w:ascii="Times New Roman" w:hAnsi="Times New Roman"/>
          <w:sz w:val="24"/>
          <w:szCs w:val="24"/>
        </w:rPr>
      </w:pPr>
      <w:r w:rsidRPr="00EA69A8">
        <w:rPr>
          <w:rFonts w:ascii="Times New Roman" w:hAnsi="Times New Roman"/>
          <w:sz w:val="24"/>
          <w:szCs w:val="24"/>
        </w:rPr>
        <w:lastRenderedPageBreak/>
        <w:t xml:space="preserve">On Nov. 30, 2023, in </w:t>
      </w:r>
      <w:r w:rsidRPr="00F72B12">
        <w:rPr>
          <w:rFonts w:ascii="Times New Roman" w:hAnsi="Times New Roman"/>
          <w:sz w:val="24"/>
          <w:szCs w:val="24"/>
          <w:u w:val="single"/>
        </w:rPr>
        <w:t>Anthony Sanders, et al. v. County of Ventura</w:t>
      </w:r>
      <w:r w:rsidRPr="00EA69A8">
        <w:rPr>
          <w:rFonts w:ascii="Times New Roman" w:hAnsi="Times New Roman"/>
          <w:sz w:val="24"/>
          <w:szCs w:val="24"/>
        </w:rPr>
        <w:t>,  the U.S. Court of Appeals for the 9th Circuit (San Francisco) held (3 to 0) that trial court judge properly granted summary judgment to the County.  For example, PFA [Professional Firefighters Association] members in 2022 received a Flex Credit of $482, but their opt-out fee was $334.75, resulting in a net cash payment of $147.25 per pay period.</w:t>
      </w:r>
      <w:r>
        <w:rPr>
          <w:rFonts w:ascii="Times New Roman" w:hAnsi="Times New Roman"/>
          <w:sz w:val="24"/>
          <w:szCs w:val="24"/>
        </w:rPr>
        <w:t xml:space="preserve"> </w:t>
      </w:r>
      <w:r w:rsidRPr="00EA69A8">
        <w:rPr>
          <w:rFonts w:ascii="Times New Roman" w:hAnsi="Times New Roman"/>
          <w:sz w:val="24"/>
          <w:szCs w:val="24"/>
        </w:rPr>
        <w:t>The Court of Appeals wrote: “What this means is that § 207(e)(4) permits an employer</w:t>
      </w:r>
      <w:r>
        <w:rPr>
          <w:rFonts w:ascii="Times New Roman" w:hAnsi="Times New Roman"/>
          <w:sz w:val="24"/>
          <w:szCs w:val="24"/>
        </w:rPr>
        <w:t xml:space="preserve"> </w:t>
      </w:r>
      <w:r w:rsidRPr="00EA69A8">
        <w:rPr>
          <w:rFonts w:ascii="Times New Roman" w:hAnsi="Times New Roman"/>
          <w:sz w:val="24"/>
          <w:szCs w:val="24"/>
        </w:rPr>
        <w:t>to exempt from an employee’s regular rate of pay employer contributions made pursuant to bona fide health plans that are designed to alleviate the burden of a shrinking risk pool for the employees who choose to remain in the plans. When an employer, as here, decides to allow employees to retain some portion of an unused health insurance credit, it can permissibly structure the program to prop up the employee health plans without treating the full amount of the health credit as part of the FLSA regular rate of pay.”</w:t>
      </w:r>
      <w:r>
        <w:rPr>
          <w:rFonts w:ascii="Times New Roman" w:hAnsi="Times New Roman"/>
          <w:sz w:val="24"/>
          <w:szCs w:val="24"/>
        </w:rPr>
        <w:t xml:space="preserve"> </w:t>
      </w:r>
      <w:hyperlink r:id="rId1805" w:history="1">
        <w:r w:rsidRPr="001D6799">
          <w:rPr>
            <w:rStyle w:val="Hyperlink"/>
            <w:rFonts w:ascii="Times New Roman" w:hAnsi="Times New Roman"/>
            <w:sz w:val="24"/>
            <w:szCs w:val="24"/>
          </w:rPr>
          <w:t>https://cdn.ca9.uscourts.gov/datastore/opinions/2023/11/30/22-55663.pdf</w:t>
        </w:r>
      </w:hyperlink>
      <w:r>
        <w:rPr>
          <w:rFonts w:ascii="Times New Roman" w:hAnsi="Times New Roman"/>
          <w:sz w:val="24"/>
          <w:szCs w:val="24"/>
        </w:rPr>
        <w:t xml:space="preserve"> </w:t>
      </w:r>
    </w:p>
    <w:p w14:paraId="493FAE4B" w14:textId="77777777" w:rsidR="00FB5A0A" w:rsidRDefault="00FB5A0A" w:rsidP="00FB5A0A">
      <w:pPr>
        <w:pStyle w:val="NoSpacing"/>
        <w:rPr>
          <w:rFonts w:ascii="Times New Roman" w:hAnsi="Times New Roman"/>
          <w:b/>
          <w:bCs/>
          <w:sz w:val="24"/>
          <w:szCs w:val="24"/>
        </w:rPr>
      </w:pPr>
    </w:p>
    <w:p w14:paraId="4F255FE2" w14:textId="0311498F" w:rsidR="00FB5A0A" w:rsidRPr="00404656" w:rsidRDefault="00FB5A0A" w:rsidP="00FB5A0A">
      <w:pPr>
        <w:pStyle w:val="NoSpacing"/>
        <w:rPr>
          <w:rFonts w:ascii="Times New Roman" w:hAnsi="Times New Roman"/>
          <w:b/>
          <w:bCs/>
          <w:sz w:val="24"/>
          <w:szCs w:val="24"/>
        </w:rPr>
      </w:pPr>
      <w:r w:rsidRPr="00404656">
        <w:rPr>
          <w:rFonts w:ascii="Times New Roman" w:hAnsi="Times New Roman"/>
          <w:b/>
          <w:bCs/>
          <w:sz w:val="24"/>
          <w:szCs w:val="24"/>
        </w:rPr>
        <w:t>Legal Lesson Learned:</w:t>
      </w:r>
      <w:r>
        <w:rPr>
          <w:rFonts w:ascii="Times New Roman" w:hAnsi="Times New Roman"/>
          <w:b/>
          <w:bCs/>
          <w:sz w:val="24"/>
          <w:szCs w:val="24"/>
        </w:rPr>
        <w:t xml:space="preserve">  FF working overtime get time and one half of their “regular rate” of pay; the County does not want to include “opt out” fees in their regular rate of pay,  </w:t>
      </w:r>
    </w:p>
    <w:p w14:paraId="67DC5071" w14:textId="77777777" w:rsidR="00FB5A0A" w:rsidRDefault="00FB5A0A" w:rsidP="00FB5A0A">
      <w:pPr>
        <w:pStyle w:val="NoSpacing"/>
        <w:rPr>
          <w:rFonts w:ascii="Times New Roman" w:hAnsi="Times New Roman"/>
          <w:sz w:val="24"/>
          <w:szCs w:val="24"/>
        </w:rPr>
      </w:pPr>
    </w:p>
    <w:p w14:paraId="4CBB7932" w14:textId="77777777" w:rsidR="00FB5A0A" w:rsidRDefault="00FB5A0A" w:rsidP="00F326E5">
      <w:pPr>
        <w:rPr>
          <w:rFonts w:ascii="Arial Black" w:hAnsi="Arial Black"/>
          <w:b/>
          <w:sz w:val="24"/>
          <w:szCs w:val="24"/>
        </w:rPr>
      </w:pPr>
    </w:p>
    <w:p w14:paraId="121BF3B6" w14:textId="77777777" w:rsidR="00357AB9" w:rsidRDefault="00357AB9" w:rsidP="00F326E5">
      <w:pPr>
        <w:rPr>
          <w:rFonts w:ascii="Arial Black" w:hAnsi="Arial Black"/>
          <w:b/>
          <w:sz w:val="24"/>
          <w:szCs w:val="24"/>
        </w:rPr>
      </w:pPr>
    </w:p>
    <w:p w14:paraId="5866D335" w14:textId="4AED3211" w:rsidR="001A5080" w:rsidRDefault="001A5080" w:rsidP="00F326E5">
      <w:pPr>
        <w:rPr>
          <w:rFonts w:ascii="Arial Black" w:hAnsi="Arial Black"/>
          <w:b/>
          <w:sz w:val="24"/>
          <w:szCs w:val="24"/>
        </w:rPr>
      </w:pPr>
      <w:r>
        <w:rPr>
          <w:rFonts w:ascii="Arial Black" w:hAnsi="Arial Black"/>
          <w:b/>
          <w:sz w:val="24"/>
          <w:szCs w:val="24"/>
        </w:rPr>
        <w:t>11-4</w:t>
      </w:r>
      <w:r w:rsidR="009601CD">
        <w:rPr>
          <w:rFonts w:ascii="Arial Black" w:hAnsi="Arial Black"/>
          <w:b/>
          <w:sz w:val="24"/>
          <w:szCs w:val="24"/>
        </w:rPr>
        <w:t>9</w:t>
      </w:r>
    </w:p>
    <w:p w14:paraId="1B66BA25" w14:textId="77777777" w:rsidR="001A5080" w:rsidRPr="00C75679" w:rsidRDefault="001A5080" w:rsidP="001A5080">
      <w:pPr>
        <w:pStyle w:val="NoSpacing"/>
        <w:rPr>
          <w:rFonts w:ascii="Arial Black" w:hAnsi="Arial Black"/>
          <w:b/>
          <w:sz w:val="28"/>
          <w:szCs w:val="28"/>
        </w:rPr>
      </w:pPr>
      <w:r>
        <w:rPr>
          <w:rFonts w:ascii="Arial Black" w:hAnsi="Arial Black"/>
          <w:b/>
          <w:sz w:val="28"/>
          <w:szCs w:val="28"/>
        </w:rPr>
        <w:t>WV: WORKING ON HOLIDAY – STATE LAW REQ. OT OR COMP TIME – BUT HRS THAT DAY - NOT 24HR SHIFT / NOT 12 HRS</w:t>
      </w:r>
    </w:p>
    <w:p w14:paraId="4EFFE3CC" w14:textId="77777777" w:rsidR="001A5080" w:rsidRDefault="001A5080" w:rsidP="001A5080">
      <w:pPr>
        <w:pStyle w:val="NoSpacing"/>
        <w:ind w:left="720"/>
        <w:rPr>
          <w:rFonts w:ascii="Arial Black" w:hAnsi="Arial Black"/>
          <w:b/>
          <w:sz w:val="20"/>
          <w:szCs w:val="20"/>
        </w:rPr>
      </w:pPr>
    </w:p>
    <w:p w14:paraId="49D2F874" w14:textId="77777777" w:rsidR="001A5080" w:rsidRPr="002C5D98" w:rsidRDefault="001A5080" w:rsidP="001A5080">
      <w:pPr>
        <w:pStyle w:val="NoSpacing"/>
        <w:rPr>
          <w:rFonts w:ascii="Times New Roman" w:hAnsi="Times New Roman"/>
          <w:bCs/>
          <w:sz w:val="24"/>
          <w:szCs w:val="24"/>
          <w:u w:val="single"/>
        </w:rPr>
      </w:pPr>
      <w:r w:rsidRPr="00FB4C5F">
        <w:rPr>
          <w:rFonts w:ascii="Times New Roman" w:hAnsi="Times New Roman"/>
          <w:bCs/>
          <w:sz w:val="24"/>
          <w:szCs w:val="24"/>
        </w:rPr>
        <w:t>On Nov. 8</w:t>
      </w:r>
      <w:r>
        <w:rPr>
          <w:rFonts w:ascii="Times New Roman" w:hAnsi="Times New Roman"/>
          <w:bCs/>
          <w:sz w:val="24"/>
          <w:szCs w:val="24"/>
        </w:rPr>
        <w:t xml:space="preserve">, 2023, in </w:t>
      </w:r>
      <w:r w:rsidRPr="002C5D98">
        <w:rPr>
          <w:rFonts w:ascii="Times New Roman" w:hAnsi="Times New Roman"/>
          <w:bCs/>
          <w:sz w:val="24"/>
          <w:szCs w:val="24"/>
          <w:u w:val="single"/>
        </w:rPr>
        <w:t>Jayson Nicewarner, et al. v. The City of Morgantown</w:t>
      </w:r>
      <w:r w:rsidRPr="002C5D98">
        <w:rPr>
          <w:rFonts w:ascii="Times New Roman" w:hAnsi="Times New Roman"/>
          <w:bCs/>
          <w:sz w:val="24"/>
          <w:szCs w:val="24"/>
        </w:rPr>
        <w:t xml:space="preserve">, </w:t>
      </w:r>
      <w:r w:rsidRPr="00BB5C82">
        <w:rPr>
          <w:rFonts w:ascii="Times New Roman" w:hAnsi="Times New Roman"/>
          <w:bCs/>
          <w:sz w:val="24"/>
          <w:szCs w:val="24"/>
        </w:rPr>
        <w:t xml:space="preserve">the Supreme Court of Appeals of West Virginia, </w:t>
      </w:r>
      <w:r>
        <w:rPr>
          <w:rFonts w:ascii="Times New Roman" w:hAnsi="Times New Roman"/>
          <w:bCs/>
          <w:sz w:val="24"/>
          <w:szCs w:val="24"/>
        </w:rPr>
        <w:t xml:space="preserve">held (4 to 1) that Lieutenant Nicewarner (then President </w:t>
      </w:r>
      <w:proofErr w:type="spellStart"/>
      <w:r>
        <w:rPr>
          <w:rFonts w:ascii="Times New Roman" w:hAnsi="Times New Roman"/>
          <w:bCs/>
          <w:sz w:val="24"/>
          <w:szCs w:val="24"/>
        </w:rPr>
        <w:t>ofIAFF</w:t>
      </w:r>
      <w:proofErr w:type="spellEnd"/>
      <w:r>
        <w:rPr>
          <w:rFonts w:ascii="Times New Roman" w:hAnsi="Times New Roman"/>
          <w:bCs/>
          <w:sz w:val="24"/>
          <w:szCs w:val="24"/>
        </w:rPr>
        <w:t xml:space="preserve">  Local 313) and fifty-three other current and former firefighters are not entitled to 24-hours of comp time off when their </w:t>
      </w:r>
      <w:proofErr w:type="gramStart"/>
      <w:r>
        <w:rPr>
          <w:rFonts w:ascii="Times New Roman" w:hAnsi="Times New Roman"/>
          <w:bCs/>
          <w:sz w:val="24"/>
          <w:szCs w:val="24"/>
        </w:rPr>
        <w:t>24/48 hour</w:t>
      </w:r>
      <w:proofErr w:type="gramEnd"/>
      <w:r>
        <w:rPr>
          <w:rFonts w:ascii="Times New Roman" w:hAnsi="Times New Roman"/>
          <w:bCs/>
          <w:sz w:val="24"/>
          <w:szCs w:val="24"/>
        </w:rPr>
        <w:t xml:space="preserve"> shift includes a state or federal holiday.  The </w:t>
      </w:r>
      <w:proofErr w:type="gramStart"/>
      <w:r>
        <w:rPr>
          <w:rFonts w:ascii="Times New Roman" w:hAnsi="Times New Roman"/>
          <w:bCs/>
          <w:sz w:val="24"/>
          <w:szCs w:val="24"/>
        </w:rPr>
        <w:t>City</w:t>
      </w:r>
      <w:proofErr w:type="gramEnd"/>
      <w:r>
        <w:rPr>
          <w:rFonts w:ascii="Times New Roman" w:hAnsi="Times New Roman"/>
          <w:bCs/>
          <w:sz w:val="24"/>
          <w:szCs w:val="24"/>
        </w:rPr>
        <w:t xml:space="preserve"> has for 48 years, based on a State Attorney General opinion about 2004 statute, granted firefighters 12-hours of comp time; the union claimed they were entitled to 24 hours since they worked 24/48 shift (8 am one day to 8 am next day).  The WV Supreme Court disagreed with both, holding that under State statute firefighters only get equivalent time off for hours worked on that holiday day – not entire 24-hour shift.  The Court ordered City to recalculate for past five years under new </w:t>
      </w:r>
      <w:proofErr w:type="gramStart"/>
      <w:r>
        <w:rPr>
          <w:rFonts w:ascii="Times New Roman" w:hAnsi="Times New Roman"/>
          <w:bCs/>
          <w:sz w:val="24"/>
          <w:szCs w:val="24"/>
        </w:rPr>
        <w:t>standard</w:t>
      </w:r>
      <w:proofErr w:type="gramEnd"/>
      <w:r>
        <w:rPr>
          <w:rFonts w:ascii="Times New Roman" w:hAnsi="Times New Roman"/>
          <w:bCs/>
          <w:sz w:val="24"/>
          <w:szCs w:val="24"/>
        </w:rPr>
        <w:t xml:space="preserve">, including retired firefighters who may have lost vacation pay.  </w:t>
      </w:r>
      <w:hyperlink r:id="rId1806" w:history="1">
        <w:r w:rsidRPr="00553FEF">
          <w:rPr>
            <w:rStyle w:val="Hyperlink"/>
            <w:rFonts w:ascii="Times New Roman" w:hAnsi="Times New Roman"/>
            <w:bCs/>
            <w:sz w:val="24"/>
            <w:szCs w:val="24"/>
          </w:rPr>
          <w:t>http://www.courtswv.gov/supreme-court/docs/fall2023/22-0185-hutchison-p.pdf</w:t>
        </w:r>
      </w:hyperlink>
      <w:r>
        <w:rPr>
          <w:rFonts w:ascii="Times New Roman" w:hAnsi="Times New Roman"/>
          <w:bCs/>
          <w:sz w:val="24"/>
          <w:szCs w:val="24"/>
          <w:u w:val="single"/>
        </w:rPr>
        <w:t xml:space="preserve"> </w:t>
      </w:r>
    </w:p>
    <w:p w14:paraId="3D9250D5" w14:textId="77777777" w:rsidR="001A5080" w:rsidRDefault="001A5080" w:rsidP="001A5080">
      <w:pPr>
        <w:pStyle w:val="NoSpacing"/>
        <w:rPr>
          <w:rFonts w:ascii="Times New Roman" w:hAnsi="Times New Roman"/>
          <w:bCs/>
          <w:sz w:val="24"/>
          <w:szCs w:val="24"/>
        </w:rPr>
      </w:pPr>
    </w:p>
    <w:p w14:paraId="2CE7F65F" w14:textId="77777777" w:rsidR="00B32E9A" w:rsidRDefault="00B32E9A" w:rsidP="00B32E9A">
      <w:pPr>
        <w:pStyle w:val="NoSpacing"/>
        <w:rPr>
          <w:rFonts w:ascii="Times New Roman" w:hAnsi="Times New Roman"/>
          <w:b/>
          <w:sz w:val="24"/>
          <w:szCs w:val="24"/>
        </w:rPr>
      </w:pPr>
      <w:r w:rsidRPr="00D328B7">
        <w:rPr>
          <w:rFonts w:ascii="Times New Roman" w:hAnsi="Times New Roman"/>
          <w:b/>
          <w:sz w:val="24"/>
          <w:szCs w:val="24"/>
        </w:rPr>
        <w:t>Legal Lesson Learned</w:t>
      </w:r>
      <w:r>
        <w:rPr>
          <w:rFonts w:ascii="Times New Roman" w:hAnsi="Times New Roman"/>
          <w:b/>
          <w:sz w:val="24"/>
          <w:szCs w:val="24"/>
        </w:rPr>
        <w:t>:  The statute was not clear; both union and City had different interpretations and Court rejected both.</w:t>
      </w:r>
    </w:p>
    <w:p w14:paraId="1D77E3B1" w14:textId="77777777" w:rsidR="001A5080" w:rsidRDefault="001A5080" w:rsidP="00F326E5">
      <w:pPr>
        <w:rPr>
          <w:rFonts w:ascii="Arial Black" w:hAnsi="Arial Black"/>
          <w:b/>
          <w:sz w:val="24"/>
          <w:szCs w:val="24"/>
        </w:rPr>
      </w:pPr>
    </w:p>
    <w:p w14:paraId="4A0BB451" w14:textId="77777777" w:rsidR="001A5080" w:rsidRDefault="001A5080" w:rsidP="00F326E5">
      <w:pPr>
        <w:rPr>
          <w:rFonts w:ascii="Arial Black" w:hAnsi="Arial Black"/>
          <w:b/>
          <w:sz w:val="24"/>
          <w:szCs w:val="24"/>
        </w:rPr>
      </w:pPr>
    </w:p>
    <w:p w14:paraId="11F869C1" w14:textId="58AF8DC9" w:rsidR="00AC3E10" w:rsidRDefault="00AC3E10" w:rsidP="00F326E5">
      <w:pPr>
        <w:rPr>
          <w:rFonts w:ascii="Arial Black" w:hAnsi="Arial Black"/>
          <w:b/>
          <w:sz w:val="24"/>
          <w:szCs w:val="24"/>
        </w:rPr>
      </w:pPr>
      <w:r>
        <w:rPr>
          <w:rFonts w:ascii="Arial Black" w:hAnsi="Arial Black"/>
          <w:b/>
          <w:sz w:val="24"/>
          <w:szCs w:val="24"/>
        </w:rPr>
        <w:t>11-4</w:t>
      </w:r>
      <w:r w:rsidR="009601CD">
        <w:rPr>
          <w:rFonts w:ascii="Arial Black" w:hAnsi="Arial Black"/>
          <w:b/>
          <w:sz w:val="24"/>
          <w:szCs w:val="24"/>
        </w:rPr>
        <w:t>8</w:t>
      </w:r>
    </w:p>
    <w:p w14:paraId="4E09F5C4" w14:textId="77777777" w:rsidR="00AC3E10" w:rsidRPr="00AD671D" w:rsidRDefault="00AC3E10" w:rsidP="00AC3E10">
      <w:pPr>
        <w:pStyle w:val="NormalWeb"/>
        <w:rPr>
          <w:rFonts w:ascii="Arial Black" w:hAnsi="Arial Black"/>
          <w:b/>
          <w:bCs/>
          <w:sz w:val="28"/>
          <w:szCs w:val="28"/>
        </w:rPr>
      </w:pPr>
      <w:r>
        <w:rPr>
          <w:rFonts w:ascii="Arial Black" w:hAnsi="Arial Black"/>
          <w:b/>
          <w:bCs/>
          <w:sz w:val="28"/>
          <w:szCs w:val="28"/>
        </w:rPr>
        <w:t xml:space="preserve">NY: PRIVATE AMBULANCE CO. – CLASS ACTION BY 200 EMS – NOT PAID FOR PREP TIME – REQ. BUY THEIR UNIFORMS </w:t>
      </w:r>
    </w:p>
    <w:p w14:paraId="6F264474" w14:textId="77777777" w:rsidR="00AC3E10" w:rsidRDefault="00AC3E10" w:rsidP="00AC3E10">
      <w:pPr>
        <w:pStyle w:val="NormalWeb"/>
      </w:pPr>
      <w:r>
        <w:t xml:space="preserve">On Sept. 15, 2023, in </w:t>
      </w:r>
      <w:r w:rsidRPr="00704F94">
        <w:rPr>
          <w:u w:val="single"/>
        </w:rPr>
        <w:t>Tray Jackson, individually and on behalf of the proposed class v. Citywide Mobile Response Corp</w:t>
      </w:r>
      <w:r>
        <w:t xml:space="preserve">., Judge Fidel E. Gomez, New York Supreme Court, Bronx County, granted plaintiff’s motion to certify class action against the non-emergency ambulance company that has been in business for over 40 years.  Plaintiff EMT ($18 an hour in 2021 and 2022) alleges he would “clock in” prior to start of shift to check </w:t>
      </w:r>
      <w:r>
        <w:lastRenderedPageBreak/>
        <w:t>ambulance for supplies, and “clock out” after the schedule shift, but the company “rounded up” his start time and rounded down his end times.  The company also deducted from his pay the cost of his uniforms and tech bag in  amounts totaling $275-$400.</w:t>
      </w:r>
    </w:p>
    <w:p w14:paraId="2A1D17B1" w14:textId="77777777" w:rsidR="00AC3E10" w:rsidRDefault="00AC3E10" w:rsidP="00AC3E10">
      <w:pPr>
        <w:pStyle w:val="NormalWeb"/>
        <w:ind w:left="720"/>
      </w:pPr>
      <w:r>
        <w:t>“Here, with the affidavits by plaintiff, Alston and Lopez, which state that at the time of the alleged tortious practices on which the complaint is premised there were approximately 200 people employed by defendant, the record demonstrates that the size of the putative class is sufficient as a matter of law.</w:t>
      </w:r>
    </w:p>
    <w:p w14:paraId="3922BD63" w14:textId="77777777" w:rsidR="00AC3E10" w:rsidRDefault="00AC3E10" w:rsidP="00AC3E10">
      <w:pPr>
        <w:pStyle w:val="NormalWeb"/>
        <w:ind w:firstLine="720"/>
      </w:pPr>
      <w:r>
        <w:t>***</w:t>
      </w:r>
    </w:p>
    <w:p w14:paraId="4045BA54" w14:textId="04C861E0" w:rsidR="00AC3E10" w:rsidRPr="00AC3E10" w:rsidRDefault="00AC3E10" w:rsidP="00AC3E10">
      <w:pPr>
        <w:ind w:left="720"/>
        <w:rPr>
          <w:rFonts w:ascii="Times New Roman" w:hAnsi="Times New Roman"/>
          <w:b/>
          <w:sz w:val="24"/>
          <w:szCs w:val="24"/>
        </w:rPr>
      </w:pPr>
      <w:r w:rsidRPr="00AC3E10">
        <w:rPr>
          <w:rFonts w:ascii="Times New Roman" w:hAnsi="Times New Roman"/>
          <w:sz w:val="24"/>
          <w:szCs w:val="24"/>
        </w:rPr>
        <w:t xml:space="preserve">Here, the evidence demonstrates that there are three categories into which plaintiff's claims fit: whether defendant violated the law by failing to pay him appropriate wages; whether defendant violated the NYCRR by failing to reimburse plaintiff for uniform and equipment expenditures; and whether defendant violated the Labor Law by failing to provide him wage notices.” </w:t>
      </w:r>
      <w:hyperlink r:id="rId1807" w:history="1">
        <w:r w:rsidRPr="00AC3E10">
          <w:rPr>
            <w:rStyle w:val="Hyperlink"/>
            <w:rFonts w:ascii="Times New Roman" w:eastAsiaTheme="majorEastAsia" w:hAnsi="Times New Roman"/>
            <w:sz w:val="24"/>
            <w:szCs w:val="24"/>
          </w:rPr>
          <w:t>https://public.fastcase.com/ZZhmr5v9wN%2FXOe5IsQ%2FqD6h7oDGGEaQcvjGxXhP3wdarcxH65lzIz0WHpJ1071%2Fz6z3xzTYinPsWmKTOA4ARnDbKp9ycJPmOcwYRqStxafA%3D?utm_medium=email&amp;_hsmi=226712652&amp;_hsenc=p2ANqtz-8kFbodM_yCEg50hGETq70Ew_rKe4r85tHeNoAUvaEorCUJWcIF_sSd3vzx7ykWUIs8vIjN-q4A8Aji78d1bSF2B0Xuvw&amp;utm_content=226712652&amp;utm_source=hs_email</w:t>
        </w:r>
      </w:hyperlink>
    </w:p>
    <w:p w14:paraId="63A00A85" w14:textId="77777777" w:rsidR="00AC3E10" w:rsidRPr="00747F58" w:rsidRDefault="00AC3E10" w:rsidP="00AC3E10">
      <w:pPr>
        <w:pStyle w:val="NormalWeb"/>
        <w:rPr>
          <w:b/>
          <w:bCs/>
        </w:rPr>
      </w:pPr>
      <w:r w:rsidRPr="00747F58">
        <w:rPr>
          <w:b/>
          <w:bCs/>
        </w:rPr>
        <w:t>Legal Lesson Learned:</w:t>
      </w:r>
      <w:r>
        <w:rPr>
          <w:b/>
          <w:bCs/>
        </w:rPr>
        <w:t xml:space="preserve"> This lawsuit will now proceed to pre-trial discovery. </w:t>
      </w:r>
    </w:p>
    <w:p w14:paraId="11E1666F" w14:textId="77777777" w:rsidR="00AC3E10" w:rsidRDefault="00AC3E10" w:rsidP="00F326E5">
      <w:pPr>
        <w:rPr>
          <w:rFonts w:ascii="Arial Black" w:hAnsi="Arial Black"/>
          <w:b/>
          <w:sz w:val="24"/>
          <w:szCs w:val="24"/>
        </w:rPr>
      </w:pPr>
    </w:p>
    <w:p w14:paraId="2782B6D3" w14:textId="0EE737E3" w:rsidR="009B0593" w:rsidRDefault="009B0593" w:rsidP="00F326E5">
      <w:pPr>
        <w:rPr>
          <w:rFonts w:ascii="Arial Black" w:hAnsi="Arial Black"/>
          <w:b/>
          <w:sz w:val="24"/>
          <w:szCs w:val="24"/>
        </w:rPr>
      </w:pPr>
      <w:r>
        <w:rPr>
          <w:rFonts w:ascii="Arial Black" w:hAnsi="Arial Black"/>
          <w:b/>
          <w:sz w:val="24"/>
          <w:szCs w:val="24"/>
        </w:rPr>
        <w:t>11-4</w:t>
      </w:r>
      <w:r w:rsidR="009601CD">
        <w:rPr>
          <w:rFonts w:ascii="Arial Black" w:hAnsi="Arial Black"/>
          <w:b/>
          <w:sz w:val="24"/>
          <w:szCs w:val="24"/>
        </w:rPr>
        <w:t>7</w:t>
      </w:r>
    </w:p>
    <w:p w14:paraId="46AB3787" w14:textId="77777777" w:rsidR="009B0593" w:rsidRDefault="009B0593" w:rsidP="009B0593">
      <w:pPr>
        <w:pStyle w:val="NormalWeb"/>
        <w:rPr>
          <w:rFonts w:ascii="Arial Black" w:hAnsi="Arial Black"/>
          <w:b/>
          <w:bCs/>
          <w:sz w:val="28"/>
          <w:szCs w:val="28"/>
        </w:rPr>
      </w:pPr>
      <w:r>
        <w:rPr>
          <w:rFonts w:ascii="Arial Black" w:hAnsi="Arial Black"/>
          <w:b/>
          <w:bCs/>
          <w:sz w:val="28"/>
          <w:szCs w:val="28"/>
        </w:rPr>
        <w:t>NY: FDNY EMS - 15 MIN PREP TIME – “CITYTIME” DIDN’T RECORD – JURY WILLFUL VIOL. – $17M - 2</w:t>
      </w:r>
      <w:r w:rsidRPr="007B3216">
        <w:rPr>
          <w:rFonts w:ascii="Arial Black" w:hAnsi="Arial Black"/>
          <w:b/>
          <w:bCs/>
          <w:sz w:val="28"/>
          <w:szCs w:val="28"/>
          <w:vertAlign w:val="superscript"/>
        </w:rPr>
        <w:t>nd</w:t>
      </w:r>
      <w:r>
        <w:rPr>
          <w:rFonts w:ascii="Arial Black" w:hAnsi="Arial Black"/>
          <w:b/>
          <w:bCs/>
          <w:sz w:val="28"/>
          <w:szCs w:val="28"/>
        </w:rPr>
        <w:t xml:space="preserve"> CIR UPHOLDS</w:t>
      </w:r>
    </w:p>
    <w:p w14:paraId="317E0D8F" w14:textId="77777777" w:rsidR="009B0593" w:rsidRDefault="009B0593" w:rsidP="009B0593">
      <w:pPr>
        <w:pStyle w:val="NormalWeb"/>
      </w:pPr>
      <w:r>
        <w:t xml:space="preserve">On Aug. 25, 2023, in </w:t>
      </w:r>
      <w:r w:rsidRPr="00FE512F">
        <w:rPr>
          <w:u w:val="single"/>
        </w:rPr>
        <w:t>Chaz Perry, et al. v. City of New York, New York Fire Department</w:t>
      </w:r>
      <w:r>
        <w:t xml:space="preserve">, the U.S. Court of Appeals for Second Circuit (NYC) held (3 to 0) that jury, after a 12-day trial (six and half years after lawsuit was filed), properly found a willful violation of the FLSA in a class action by 2,519 EMS.   The </w:t>
      </w:r>
      <w:proofErr w:type="gramStart"/>
      <w:r>
        <w:t>City</w:t>
      </w:r>
      <w:proofErr w:type="gramEnd"/>
      <w:r>
        <w:t xml:space="preserve"> required EMS to work 8-hour shifts, and earn overtime after 40 hours, but City did not pay them for pre-shift or post-shift time unless EMS specifically requested this (not done 99% of time).  During the trial, two senior FDNY supervisors testified that plaintiffs were not permitted to request overtime for such pre-shift work as checking PPE and equipment. The plaintiffs calculated unpaid overtime damages as 15 minutes per shift. Court rejected the City’s argument on appeal that time pre-shift and post-shift work was “de minimis” and thus not worthy of compensation. The $17,780.063 verdict is allocated as follows – backpay $7,238,513; same amount in liquidated damages for willful violation of FLSA; $3,303,037 in attorneys’ fee.  </w:t>
      </w:r>
    </w:p>
    <w:p w14:paraId="4BDB06C8" w14:textId="77777777" w:rsidR="009B0593" w:rsidRDefault="009B0593" w:rsidP="009B0593">
      <w:pPr>
        <w:pStyle w:val="NormalWeb"/>
      </w:pPr>
      <w:r>
        <w:tab/>
        <w:t xml:space="preserve">The Court held: </w:t>
      </w:r>
      <w:r>
        <w:tab/>
      </w:r>
    </w:p>
    <w:p w14:paraId="2CA00CB6" w14:textId="77777777" w:rsidR="009B0593" w:rsidRDefault="009B0593" w:rsidP="009B0593">
      <w:pPr>
        <w:pStyle w:val="NormalWeb"/>
        <w:ind w:left="720"/>
      </w:pPr>
      <w:r>
        <w:t>“The City’s principal argument on appeal is that it cannot be held liable for the unpaid overtime because it affords an opportunity to report overtime work and, since the plaintiffs failed to report the work at issue, the City did not know that any plaintiff was being short-changed. But an employer must pay for all work it knows about or requires, even if the employee does not specifically request compensation for it. Whether an employee reports overtime work will often be relevant to an employer’s knowledge of the work—but allowing, or even requiring, an employee to report overtime work does not absolve employers of the obligation to compensate for work they suffer or permit.</w:t>
      </w:r>
    </w:p>
    <w:p w14:paraId="131464BB" w14:textId="77777777" w:rsidR="009B0593" w:rsidRDefault="009B0593" w:rsidP="009B0593">
      <w:pPr>
        <w:pStyle w:val="NormalWeb"/>
        <w:ind w:left="720"/>
      </w:pPr>
      <w:r>
        <w:lastRenderedPageBreak/>
        <w:t xml:space="preserve">*** </w:t>
      </w:r>
    </w:p>
    <w:p w14:paraId="10691FC5" w14:textId="77777777" w:rsidR="009B0593" w:rsidRDefault="009B0593" w:rsidP="009B0593">
      <w:pPr>
        <w:pStyle w:val="NormalWeb"/>
        <w:ind w:left="720"/>
      </w:pPr>
      <w:r>
        <w:t xml:space="preserve">[W]e </w:t>
      </w:r>
      <w:proofErr w:type="gramStart"/>
      <w:r>
        <w:t>have</w:t>
      </w:r>
      <w:proofErr w:type="gramEnd"/>
      <w:r>
        <w:t xml:space="preserve"> long recognized that an employee’s failure to report work the employer in fact knew about or required does not protect the employer from FLSA liability… In any wage-and-hour regulatory scheme, somebody must bear ultimate responsibility for recording time worked and for ensuring that payment is made.</w:t>
      </w:r>
    </w:p>
    <w:p w14:paraId="2BF48722" w14:textId="77777777" w:rsidR="009B0593" w:rsidRDefault="009B0593" w:rsidP="009B0593">
      <w:pPr>
        <w:pStyle w:val="NormalWeb"/>
        <w:ind w:left="720"/>
      </w:pPr>
      <w:r>
        <w:t>***</w:t>
      </w:r>
    </w:p>
    <w:p w14:paraId="13E80241" w14:textId="5EF0F087" w:rsidR="009B0593" w:rsidRPr="009B0593" w:rsidRDefault="009B0593" w:rsidP="009B0593">
      <w:pPr>
        <w:ind w:left="720"/>
        <w:rPr>
          <w:rFonts w:ascii="Times New Roman" w:hAnsi="Times New Roman"/>
          <w:b/>
          <w:sz w:val="24"/>
          <w:szCs w:val="24"/>
        </w:rPr>
      </w:pPr>
      <w:r w:rsidRPr="009B0593">
        <w:rPr>
          <w:rFonts w:ascii="Times New Roman" w:hAnsi="Times New Roman"/>
          <w:sz w:val="24"/>
          <w:szCs w:val="24"/>
        </w:rPr>
        <w:t xml:space="preserve">In sum, there is trial evidence that the </w:t>
      </w:r>
      <w:proofErr w:type="gramStart"/>
      <w:r w:rsidRPr="009B0593">
        <w:rPr>
          <w:rFonts w:ascii="Times New Roman" w:hAnsi="Times New Roman"/>
          <w:sz w:val="24"/>
          <w:szCs w:val="24"/>
        </w:rPr>
        <w:t>City</w:t>
      </w:r>
      <w:proofErr w:type="gramEnd"/>
      <w:r w:rsidRPr="009B0593">
        <w:rPr>
          <w:rFonts w:ascii="Times New Roman" w:hAnsi="Times New Roman"/>
          <w:sz w:val="24"/>
          <w:szCs w:val="24"/>
        </w:rPr>
        <w:t xml:space="preserve"> created a job that requires significant preparation to be done properly; it then also required that plaintiffs be ready to go as soon as possible after the start of their shift. The City issued formal regulations and enforced informal expectations </w:t>
      </w:r>
      <w:proofErr w:type="gramStart"/>
      <w:r w:rsidRPr="009B0593">
        <w:rPr>
          <w:rFonts w:ascii="Times New Roman" w:hAnsi="Times New Roman"/>
          <w:sz w:val="24"/>
          <w:szCs w:val="24"/>
        </w:rPr>
        <w:t>to</w:t>
      </w:r>
      <w:proofErr w:type="gramEnd"/>
      <w:r w:rsidRPr="009B0593">
        <w:rPr>
          <w:rFonts w:ascii="Times New Roman" w:hAnsi="Times New Roman"/>
          <w:sz w:val="24"/>
          <w:szCs w:val="24"/>
        </w:rPr>
        <w:t xml:space="preserve"> that effect. Testimony showed that it was essentially impossible to comply with the City’s demands without starting work before the paid shift. Considering the evidence in the light most favorable to the plaintiffs, the jury had a legally sufficient evidentiary basis for concluding that the City maintained a policy or practice of ‘requiring’ plaintiffs to perform compensable, pre-shift work for which they were not automatically paid.” </w:t>
      </w:r>
      <w:hyperlink r:id="rId1808" w:anchor="xml=https://www.ca2.uscourts.gov/decisions/isysquery/8e9e3763-33d2-40e3-8df3-c0e92234493d/2/hilite/" w:history="1">
        <w:r w:rsidRPr="009B0593">
          <w:rPr>
            <w:rStyle w:val="Hyperlink"/>
            <w:rFonts w:ascii="Times New Roman" w:eastAsiaTheme="majorEastAsia" w:hAnsi="Times New Roman"/>
            <w:sz w:val="24"/>
            <w:szCs w:val="24"/>
          </w:rPr>
          <w:t>https://www.ca2.uscourts.gov/decisions/isysquery/8e9e3763-33d2-40e3-8df3-c0e92234493d/2/doc/21-2095_opn.pdf#xml=https://www.ca2.uscourts.gov/decisions/isysquery/8e9e3763-33d2-40e3-8df3-c0e92234493d/2/hilite/</w:t>
        </w:r>
      </w:hyperlink>
    </w:p>
    <w:p w14:paraId="145B77C2" w14:textId="77777777" w:rsidR="009B0593" w:rsidRPr="006126EA" w:rsidRDefault="009B0593" w:rsidP="009B0593">
      <w:pPr>
        <w:pStyle w:val="NormalWeb"/>
        <w:rPr>
          <w:b/>
          <w:bCs/>
        </w:rPr>
      </w:pPr>
      <w:r w:rsidRPr="006126EA">
        <w:rPr>
          <w:b/>
          <w:bCs/>
        </w:rPr>
        <w:t>Legal Lesson Learned:</w:t>
      </w:r>
      <w:r>
        <w:rPr>
          <w:b/>
          <w:bCs/>
        </w:rPr>
        <w:t xml:space="preserve"> FDs should provide in their FLSA policy or CBA what pre-shift and post-shift activities will be compensated and have a time keeping system that implements that policy.  </w:t>
      </w:r>
    </w:p>
    <w:p w14:paraId="642A508A" w14:textId="77777777" w:rsidR="009B0593" w:rsidRDefault="009B0593" w:rsidP="00F326E5">
      <w:pPr>
        <w:rPr>
          <w:rFonts w:ascii="Arial Black" w:hAnsi="Arial Black"/>
          <w:b/>
          <w:sz w:val="24"/>
          <w:szCs w:val="24"/>
        </w:rPr>
      </w:pPr>
    </w:p>
    <w:p w14:paraId="0B79086B" w14:textId="3A1E7619" w:rsidR="00237599" w:rsidRDefault="00237599" w:rsidP="00F326E5">
      <w:pPr>
        <w:rPr>
          <w:rFonts w:ascii="Arial Black" w:hAnsi="Arial Black"/>
          <w:b/>
          <w:sz w:val="24"/>
          <w:szCs w:val="24"/>
        </w:rPr>
      </w:pPr>
      <w:r>
        <w:rPr>
          <w:rFonts w:ascii="Arial Black" w:hAnsi="Arial Black"/>
          <w:b/>
          <w:sz w:val="24"/>
          <w:szCs w:val="24"/>
        </w:rPr>
        <w:t>11-4</w:t>
      </w:r>
      <w:r w:rsidR="009601CD">
        <w:rPr>
          <w:rFonts w:ascii="Arial Black" w:hAnsi="Arial Black"/>
          <w:b/>
          <w:sz w:val="24"/>
          <w:szCs w:val="24"/>
        </w:rPr>
        <w:t>6</w:t>
      </w:r>
    </w:p>
    <w:p w14:paraId="3355BC80" w14:textId="77777777" w:rsidR="00237599" w:rsidRPr="00E9542D" w:rsidRDefault="00237599" w:rsidP="00237599">
      <w:pPr>
        <w:spacing w:before="100" w:beforeAutospacing="1" w:after="100" w:afterAutospacing="1" w:line="240" w:lineRule="auto"/>
        <w:outlineLvl w:val="0"/>
        <w:rPr>
          <w:rFonts w:ascii="Arial Black" w:hAnsi="Arial Black"/>
          <w:sz w:val="28"/>
          <w:szCs w:val="28"/>
        </w:rPr>
      </w:pPr>
      <w:bookmarkStart w:id="382" w:name="_Hlk136860229"/>
      <w:r>
        <w:rPr>
          <w:rFonts w:ascii="Arial Black" w:hAnsi="Arial Black"/>
          <w:sz w:val="28"/>
          <w:szCs w:val="28"/>
        </w:rPr>
        <w:t xml:space="preserve">OR: FLSA – COMPANY CONTRACTS TO PROVIDE FOREST FIRE PERSONNEL - NOT “INDEPENDENT CONTRACTORS” </w:t>
      </w:r>
    </w:p>
    <w:bookmarkEnd w:id="382"/>
    <w:p w14:paraId="7B2D4A38" w14:textId="77777777" w:rsidR="00237599" w:rsidRDefault="00237599" w:rsidP="00237599">
      <w:pPr>
        <w:spacing w:before="100" w:beforeAutospacing="1" w:after="100" w:afterAutospacing="1" w:line="240" w:lineRule="auto"/>
        <w:outlineLvl w:val="0"/>
        <w:rPr>
          <w:rFonts w:ascii="Times New Roman" w:hAnsi="Times New Roman"/>
          <w:sz w:val="24"/>
          <w:szCs w:val="24"/>
        </w:rPr>
      </w:pPr>
      <w:r>
        <w:rPr>
          <w:rFonts w:ascii="Times New Roman" w:hAnsi="Times New Roman"/>
          <w:sz w:val="24"/>
          <w:szCs w:val="24"/>
        </w:rPr>
        <w:t xml:space="preserve">On May 24, 2023, the U.S. Department of Labor, Wage and Hour Division, determined that the private company, under contract with U.S. Forest Service to fight forest fires in Oregon, Arizona, California and Washington, should have paid the firefighters and truck drivers for overtime after 40 hours.  Instead, they were paid between $200 and $250 per day regardless of overtime hours worked.  The company has now settled for $180,00, including $152,003 in overtime wages and fringe benefits, plus $12,577 in liquidated damages, and $16,981 in civil penalties; individual firefighters received from $101 to $14,783 per worker. </w:t>
      </w:r>
    </w:p>
    <w:p w14:paraId="138550BD" w14:textId="77777777" w:rsidR="00237599" w:rsidRDefault="00237599" w:rsidP="00237599">
      <w:pPr>
        <w:spacing w:before="100" w:beforeAutospacing="1" w:after="100" w:afterAutospacing="1" w:line="240" w:lineRule="auto"/>
        <w:ind w:left="720"/>
        <w:outlineLvl w:val="0"/>
        <w:rPr>
          <w:rStyle w:val="Hyperlink"/>
          <w:rFonts w:ascii="Times New Roman" w:hAnsi="Times New Roman"/>
          <w:sz w:val="24"/>
          <w:szCs w:val="24"/>
        </w:rPr>
      </w:pPr>
      <w:r>
        <w:rPr>
          <w:rFonts w:ascii="Times New Roman" w:hAnsi="Times New Roman"/>
          <w:sz w:val="24"/>
          <w:szCs w:val="24"/>
        </w:rPr>
        <w:t>“</w:t>
      </w:r>
      <w:r w:rsidRPr="00974C20">
        <w:rPr>
          <w:rFonts w:ascii="Times New Roman" w:hAnsi="Times New Roman"/>
          <w:sz w:val="24"/>
          <w:szCs w:val="24"/>
        </w:rPr>
        <w:t xml:space="preserve">Investigators with the department’s </w:t>
      </w:r>
      <w:hyperlink r:id="rId1809" w:history="1">
        <w:r w:rsidRPr="00974C20">
          <w:rPr>
            <w:rStyle w:val="Hyperlink"/>
            <w:rFonts w:ascii="Times New Roman" w:hAnsi="Times New Roman"/>
            <w:sz w:val="24"/>
            <w:szCs w:val="24"/>
          </w:rPr>
          <w:t>Wage and Hour Division</w:t>
        </w:r>
      </w:hyperlink>
      <w:r w:rsidRPr="00974C20">
        <w:rPr>
          <w:rFonts w:ascii="Times New Roman" w:hAnsi="Times New Roman"/>
          <w:sz w:val="24"/>
          <w:szCs w:val="24"/>
        </w:rPr>
        <w:t xml:space="preserve"> determined KL Farms/Fire LLC of Summerville paid a flat daily rate of between $200 and $250 to 57 firefighters and truck drivers, regardless of their total hours worked. From June 2019 through October 2021, the U.S. Forest Service contracted the company to provide fire engines, firefighters, trucks and driver services for fire suppression and firefighting in Arizona, California, Oregon and Washington.</w:t>
      </w:r>
      <w:r>
        <w:rPr>
          <w:rFonts w:ascii="Times New Roman" w:hAnsi="Times New Roman"/>
          <w:sz w:val="24"/>
          <w:szCs w:val="24"/>
        </w:rPr>
        <w:t xml:space="preserve">” </w:t>
      </w:r>
      <w:hyperlink r:id="rId1810" w:history="1">
        <w:r w:rsidRPr="00BD4D8D">
          <w:rPr>
            <w:rStyle w:val="Hyperlink"/>
            <w:rFonts w:ascii="Times New Roman" w:hAnsi="Times New Roman"/>
            <w:sz w:val="24"/>
            <w:szCs w:val="24"/>
          </w:rPr>
          <w:t>https://www.dol.gov/newsroom/releases/whd/whd20230524-0</w:t>
        </w:r>
      </w:hyperlink>
    </w:p>
    <w:p w14:paraId="0F0BA9A8" w14:textId="77777777" w:rsidR="00237599" w:rsidRPr="00974C20" w:rsidRDefault="00237599" w:rsidP="00237599">
      <w:pPr>
        <w:spacing w:before="100" w:beforeAutospacing="1" w:after="100" w:afterAutospacing="1" w:line="240" w:lineRule="auto"/>
        <w:outlineLvl w:val="0"/>
        <w:rPr>
          <w:rFonts w:ascii="Times New Roman" w:eastAsia="Times New Roman" w:hAnsi="Times New Roman"/>
          <w:b/>
          <w:bCs/>
          <w:kern w:val="36"/>
          <w:sz w:val="24"/>
          <w:szCs w:val="24"/>
        </w:rPr>
      </w:pPr>
      <w:r w:rsidRPr="00974C20">
        <w:rPr>
          <w:rFonts w:ascii="Times New Roman" w:hAnsi="Times New Roman"/>
          <w:b/>
          <w:bCs/>
          <w:sz w:val="24"/>
          <w:szCs w:val="24"/>
        </w:rPr>
        <w:t xml:space="preserve">Legal Lesson Learned: </w:t>
      </w:r>
      <w:r>
        <w:rPr>
          <w:rFonts w:ascii="Times New Roman" w:hAnsi="Times New Roman"/>
          <w:b/>
          <w:bCs/>
          <w:sz w:val="24"/>
          <w:szCs w:val="24"/>
        </w:rPr>
        <w:t xml:space="preserve">Miscalculation of workers as independent contractors is a common issue. Read the Wage and Hour advisory: </w:t>
      </w:r>
      <w:hyperlink r:id="rId1811" w:history="1">
        <w:r w:rsidRPr="00BD4D8D">
          <w:rPr>
            <w:rStyle w:val="Hyperlink"/>
            <w:rFonts w:ascii="Times New Roman" w:hAnsi="Times New Roman"/>
            <w:b/>
            <w:bCs/>
            <w:sz w:val="24"/>
            <w:szCs w:val="24"/>
          </w:rPr>
          <w:t>https://www.dol.gov/agencies/whd/flsa/misclassification</w:t>
        </w:r>
      </w:hyperlink>
      <w:r>
        <w:rPr>
          <w:rFonts w:ascii="Times New Roman" w:hAnsi="Times New Roman"/>
          <w:b/>
          <w:bCs/>
          <w:sz w:val="24"/>
          <w:szCs w:val="24"/>
        </w:rPr>
        <w:t xml:space="preserve"> . </w:t>
      </w:r>
    </w:p>
    <w:p w14:paraId="4D784FFF" w14:textId="77777777" w:rsidR="00237599" w:rsidRPr="009D31B3" w:rsidRDefault="00237599" w:rsidP="00237599">
      <w:pPr>
        <w:pStyle w:val="Heading1"/>
        <w:ind w:left="720"/>
        <w:rPr>
          <w:b w:val="0"/>
          <w:bCs w:val="0"/>
          <w:sz w:val="24"/>
          <w:szCs w:val="24"/>
        </w:rPr>
      </w:pPr>
      <w:r w:rsidRPr="00974C20">
        <w:rPr>
          <w:b w:val="0"/>
          <w:bCs w:val="0"/>
          <w:sz w:val="24"/>
          <w:szCs w:val="24"/>
        </w:rPr>
        <w:lastRenderedPageBreak/>
        <w:t xml:space="preserve">Note: See May 28, </w:t>
      </w:r>
      <w:proofErr w:type="gramStart"/>
      <w:r w:rsidRPr="00974C20">
        <w:rPr>
          <w:b w:val="0"/>
          <w:bCs w:val="0"/>
          <w:sz w:val="24"/>
          <w:szCs w:val="24"/>
        </w:rPr>
        <w:t>2023</w:t>
      </w:r>
      <w:proofErr w:type="gramEnd"/>
      <w:r w:rsidRPr="00974C20">
        <w:rPr>
          <w:b w:val="0"/>
          <w:bCs w:val="0"/>
          <w:sz w:val="24"/>
          <w:szCs w:val="24"/>
        </w:rPr>
        <w:t xml:space="preserve"> article, “Private Oregon firefighting company fined $180K after US Dept. of Labor investigation.” </w:t>
      </w:r>
      <w:hyperlink r:id="rId1812" w:history="1">
        <w:r w:rsidRPr="00974C20">
          <w:rPr>
            <w:rStyle w:val="Hyperlink"/>
            <w:rFonts w:eastAsiaTheme="majorEastAsia"/>
            <w:b w:val="0"/>
            <w:bCs w:val="0"/>
            <w:sz w:val="24"/>
            <w:szCs w:val="24"/>
          </w:rPr>
          <w:t>https://www.opb.org/article/2023/05/28/private-oregon-firefighting-company-fined-180000-dollars-after-us-labor-investigation/</w:t>
        </w:r>
      </w:hyperlink>
      <w:r w:rsidRPr="00974C20">
        <w:rPr>
          <w:b w:val="0"/>
          <w:bCs w:val="0"/>
          <w:sz w:val="24"/>
          <w:szCs w:val="24"/>
        </w:rPr>
        <w:t xml:space="preserve"> </w:t>
      </w:r>
      <w:r w:rsidRPr="009D31B3">
        <w:rPr>
          <w:b w:val="0"/>
          <w:bCs w:val="0"/>
          <w:sz w:val="24"/>
          <w:szCs w:val="24"/>
        </w:rPr>
        <w:t xml:space="preserve">“Investigators use a multi-prong test to determine whether contractors </w:t>
      </w:r>
      <w:proofErr w:type="gramStart"/>
      <w:r w:rsidRPr="009D31B3">
        <w:rPr>
          <w:b w:val="0"/>
          <w:bCs w:val="0"/>
          <w:sz w:val="24"/>
          <w:szCs w:val="24"/>
        </w:rPr>
        <w:t>actually qualify</w:t>
      </w:r>
      <w:proofErr w:type="gramEnd"/>
      <w:r w:rsidRPr="009D31B3">
        <w:rPr>
          <w:b w:val="0"/>
          <w:bCs w:val="0"/>
          <w:sz w:val="24"/>
          <w:szCs w:val="24"/>
        </w:rPr>
        <w:t xml:space="preserve"> as employees, said Carrie Aguilar, director of the Department of Labor’s Wage and Hour Division in Portland…. But Aguilar did say that wage issues are part of a growing trend in the private firefighting business. It’s </w:t>
      </w:r>
      <w:proofErr w:type="gramStart"/>
      <w:r w:rsidRPr="009D31B3">
        <w:rPr>
          <w:b w:val="0"/>
          <w:bCs w:val="0"/>
          <w:sz w:val="24"/>
          <w:szCs w:val="24"/>
        </w:rPr>
        <w:t>similar to</w:t>
      </w:r>
      <w:proofErr w:type="gramEnd"/>
      <w:r w:rsidRPr="009D31B3">
        <w:rPr>
          <w:b w:val="0"/>
          <w:bCs w:val="0"/>
          <w:sz w:val="24"/>
          <w:szCs w:val="24"/>
        </w:rPr>
        <w:t xml:space="preserve"> forestry, she said, which struggles with these issues.”</w:t>
      </w:r>
    </w:p>
    <w:p w14:paraId="47706D5D" w14:textId="7256BB2F" w:rsidR="00237599" w:rsidRDefault="00237599" w:rsidP="00237599">
      <w:pPr>
        <w:rPr>
          <w:rFonts w:ascii="Arial Black" w:hAnsi="Arial Black"/>
          <w:b/>
          <w:sz w:val="24"/>
          <w:szCs w:val="24"/>
        </w:rPr>
      </w:pPr>
      <w:r>
        <w:rPr>
          <w:rFonts w:ascii="Arial Black" w:hAnsi="Arial Black"/>
          <w:b/>
          <w:sz w:val="24"/>
          <w:szCs w:val="24"/>
        </w:rPr>
        <w:t>11-4</w:t>
      </w:r>
      <w:r w:rsidR="009601CD">
        <w:rPr>
          <w:rFonts w:ascii="Arial Black" w:hAnsi="Arial Black"/>
          <w:b/>
          <w:sz w:val="24"/>
          <w:szCs w:val="24"/>
        </w:rPr>
        <w:t>5</w:t>
      </w:r>
    </w:p>
    <w:p w14:paraId="32D2C887" w14:textId="77777777" w:rsidR="00237599" w:rsidRDefault="00237599" w:rsidP="00237599">
      <w:pPr>
        <w:pStyle w:val="NormalWeb"/>
        <w:rPr>
          <w:rFonts w:ascii="Arial Black" w:hAnsi="Arial Black"/>
          <w:b/>
          <w:bCs/>
          <w:sz w:val="28"/>
          <w:szCs w:val="28"/>
        </w:rPr>
      </w:pPr>
      <w:bookmarkStart w:id="383" w:name="_Hlk136860302"/>
      <w:r>
        <w:rPr>
          <w:rFonts w:ascii="Arial Black" w:hAnsi="Arial Black"/>
          <w:b/>
          <w:bCs/>
          <w:sz w:val="28"/>
          <w:szCs w:val="28"/>
        </w:rPr>
        <w:t>HA: FLSA – HONOLULU FF CLASS ACTION PROCEED – 300 FF – ALLEGED ERRORS MULTIPLE SYSTEMS TRACK TIME</w:t>
      </w:r>
    </w:p>
    <w:bookmarkEnd w:id="383"/>
    <w:p w14:paraId="5B63BBE8" w14:textId="77777777" w:rsidR="00237599" w:rsidRDefault="00237599" w:rsidP="00237599">
      <w:pPr>
        <w:pStyle w:val="NormalWeb"/>
      </w:pPr>
      <w:r>
        <w:t xml:space="preserve">On April 28, 2023, in </w:t>
      </w:r>
      <w:r w:rsidRPr="0050374A">
        <w:rPr>
          <w:u w:val="single"/>
        </w:rPr>
        <w:t>Robert M. Hayslip, on behalf of other similarly situated individuals v. City and County of Honolulu</w:t>
      </w:r>
      <w:r>
        <w:t xml:space="preserve">, Chief U.S. District Court Judge Derrick K. Watson, U.S. District Court for District of Hawaii, granted the plaintiff’s motion for conditional certification of collective action.  The case will now proceed to pre-trial discovery on firefighter income that is allegedly not included in setting their overtime hourly rate of pay.  Hayslip alleges that the failure to pay overtime under the FLSA was due to ‘human and mechanical error through the use of multiple systems to track time.”  </w:t>
      </w:r>
      <w:hyperlink r:id="rId1813" w:history="1">
        <w:r w:rsidRPr="00010962">
          <w:rPr>
            <w:rStyle w:val="Hyperlink"/>
            <w:rFonts w:eastAsiaTheme="majorEastAsia"/>
          </w:rPr>
          <w:t>https://public.fastcase.com/ZZhmr5v9wN%2FXOe5IsQ%2FqDwe%2Bl2bMb8hsQzBhmq%2BKFWjfsnc%2Brn1NgeRpqQFDQ7VnnNgPvPdQabSyR0vz9Y1rYYCnr8USzlwvvvJ%2BE3sgG14%3D?utm_medium=email&amp;_hsmi=226712652&amp;_hsenc=p2ANqtz-9yLx0aoJRhvv2Vy8uTc7HU3fN6k1djWwCn0_TOB1MuUA7MVtIjTAZu2eDX0z4FTqDgKj_XXmkUdS-aKvCM9lVim5p6Eg&amp;utm_content=226712652&amp;utm_source=hs_email</w:t>
        </w:r>
      </w:hyperlink>
      <w:r>
        <w:t xml:space="preserve"> </w:t>
      </w:r>
    </w:p>
    <w:p w14:paraId="76A153BD" w14:textId="77777777" w:rsidR="00237599" w:rsidRDefault="00237599" w:rsidP="00237599">
      <w:pPr>
        <w:pStyle w:val="NormalWeb"/>
        <w:ind w:left="720"/>
      </w:pPr>
      <w:r>
        <w:t xml:space="preserve">“Plaintiff Robert Hayslip moves for conditional certification of a collective action comprised of emergency medical technicians and paramedics employed by Defendant City &amp; County of Honolulu (Honolulu), alleging that Honolulu has failed to properly calculate this group's ‘regular rate’ of pay or pay overtime as required by the Fair Labor Standards Act (FLSA). At the instant ‘preliminary’ stage of the litigation, as both parties acknowledge, the standard for certifying such a collective action under the FLSA is less than demanding. And, here, Hayslip has met this less than demanding standard. Specifically, Hayslip has alleged that the above-mentioned group is sufficiently ‘similarly situated’ with respect to the FLSA claims at issue. Therefore, the motion for conditional certification, </w:t>
      </w:r>
      <w:proofErr w:type="spellStart"/>
      <w:r>
        <w:t>Dkt</w:t>
      </w:r>
      <w:proofErr w:type="spellEnd"/>
      <w:r>
        <w:t xml:space="preserve">. </w:t>
      </w:r>
      <w:proofErr w:type="gramStart"/>
      <w:r>
        <w:t>No. 26,</w:t>
      </w:r>
      <w:proofErr w:type="gramEnd"/>
      <w:r>
        <w:t xml:space="preserve"> is GRANTED to that extent. Hayslip also moves for approval of a notice to be sent to potential members of the now conditionally certified collective action. Honolulu, however, has submitted an opposing proposed notice. As more fully explained below, the Court orders the parties to meet-and-confer on the same with the goal of submitting a </w:t>
      </w:r>
      <w:r>
        <w:rPr>
          <w:rStyle w:val="Emphasis"/>
        </w:rPr>
        <w:t>joint</w:t>
      </w:r>
      <w:r>
        <w:t xml:space="preserve"> proposed notice to the extent </w:t>
      </w:r>
      <w:proofErr w:type="gramStart"/>
      <w:r>
        <w:t>possible.”</w:t>
      </w:r>
      <w:proofErr w:type="gramEnd"/>
      <w:r>
        <w:t xml:space="preserve">  </w:t>
      </w:r>
    </w:p>
    <w:p w14:paraId="43706B8C" w14:textId="77777777" w:rsidR="00237599" w:rsidRPr="00003BCF" w:rsidRDefault="00237599" w:rsidP="00237599">
      <w:pPr>
        <w:pStyle w:val="NormalWeb"/>
        <w:rPr>
          <w:b/>
          <w:bCs/>
        </w:rPr>
      </w:pPr>
      <w:r w:rsidRPr="00003BCF">
        <w:rPr>
          <w:b/>
          <w:bCs/>
        </w:rPr>
        <w:t>Legal Lesson Learned:</w:t>
      </w:r>
      <w:r>
        <w:rPr>
          <w:b/>
          <w:bCs/>
        </w:rPr>
        <w:t xml:space="preserve"> Errors in tracking overtime can lead to FLSA litigation.</w:t>
      </w:r>
    </w:p>
    <w:p w14:paraId="4ADAA8D5" w14:textId="77777777" w:rsidR="00237599" w:rsidRPr="00317783" w:rsidRDefault="00237599" w:rsidP="00237599">
      <w:pPr>
        <w:pStyle w:val="NormalWeb"/>
        <w:ind w:left="720"/>
        <w:rPr>
          <w:rStyle w:val="markedcontent"/>
        </w:rPr>
      </w:pPr>
      <w:r w:rsidRPr="00003BCF">
        <w:t xml:space="preserve">Note: </w:t>
      </w:r>
      <w:r>
        <w:t>The Court referenced a “less than demanding standard” in determining what other employees are “similarly situations” and get the invitation to join in the class action. This “less than demanding” standard has been recently rejected by 6</w:t>
      </w:r>
      <w:r w:rsidRPr="00C33BAA">
        <w:rPr>
          <w:vertAlign w:val="superscript"/>
        </w:rPr>
        <w:t>th</w:t>
      </w:r>
      <w:r>
        <w:t xml:space="preserve"> Circuit Court of Appeals, </w:t>
      </w:r>
      <w:proofErr w:type="gramStart"/>
      <w:r>
        <w:t>and also</w:t>
      </w:r>
      <w:proofErr w:type="gramEnd"/>
      <w:r>
        <w:t xml:space="preserve"> 5</w:t>
      </w:r>
      <w:r w:rsidRPr="00C33BAA">
        <w:rPr>
          <w:vertAlign w:val="superscript"/>
        </w:rPr>
        <w:t>th</w:t>
      </w:r>
      <w:r>
        <w:t xml:space="preserve"> Circuit. </w:t>
      </w:r>
      <w:r w:rsidRPr="00482E40">
        <w:t xml:space="preserve">On May 19, 2023, in </w:t>
      </w:r>
      <w:r w:rsidRPr="00482E40">
        <w:rPr>
          <w:u w:val="single"/>
        </w:rPr>
        <w:t>Brooke Clark, et al. v. H&amp;L Homecare and Training Center, LLC et al</w:t>
      </w:r>
      <w:r>
        <w:t>., the U.S. Court of Appeals for the 6</w:t>
      </w:r>
      <w:r w:rsidRPr="00482E40">
        <w:rPr>
          <w:vertAlign w:val="superscript"/>
        </w:rPr>
        <w:t>th</w:t>
      </w:r>
      <w:r>
        <w:t xml:space="preserve"> Circuit (Cincinnati) held (2 to 1) that U.S. District Court judges in states controlled by the Court </w:t>
      </w:r>
      <w:r w:rsidRPr="00482E40">
        <w:t>(</w:t>
      </w:r>
      <w:r w:rsidRPr="00482E40">
        <w:rPr>
          <w:rStyle w:val="hgkelc"/>
          <w:lang w:val="en"/>
        </w:rPr>
        <w:t>Kentucky, Michigan, Ohio and Tennessee)</w:t>
      </w:r>
      <w:r>
        <w:rPr>
          <w:rStyle w:val="hgkelc"/>
          <w:b/>
          <w:bCs/>
          <w:lang w:val="en"/>
        </w:rPr>
        <w:t xml:space="preserve"> </w:t>
      </w:r>
      <w:r>
        <w:rPr>
          <w:rStyle w:val="hgkelc"/>
          <w:lang w:val="en"/>
        </w:rPr>
        <w:t xml:space="preserve">must apply a tougher “strong likelihood” standard when deciding which employees are “similarly situated” with plaintiffs and invited to join in a FLSA class action against the employers. </w:t>
      </w:r>
      <w:hyperlink r:id="rId1814" w:history="1">
        <w:r w:rsidRPr="009943CA">
          <w:rPr>
            <w:rStyle w:val="Hyperlink"/>
            <w:rFonts w:eastAsiaTheme="majorEastAsia"/>
          </w:rPr>
          <w:t>https://cases.justia.com/federal/appellate-courts/ca6/22-3101/22-3101-2023-05-19.pdf?ts=1684526463</w:t>
        </w:r>
      </w:hyperlink>
    </w:p>
    <w:p w14:paraId="418BDE74" w14:textId="77777777" w:rsidR="00237599" w:rsidRPr="00C86D96" w:rsidRDefault="00237599" w:rsidP="00237599">
      <w:pPr>
        <w:pStyle w:val="Heading1"/>
        <w:ind w:left="720"/>
        <w:rPr>
          <w:rStyle w:val="markedcontent"/>
          <w:b w:val="0"/>
          <w:bCs w:val="0"/>
          <w:sz w:val="24"/>
          <w:szCs w:val="24"/>
        </w:rPr>
      </w:pPr>
      <w:r w:rsidRPr="00C86D96">
        <w:rPr>
          <w:rStyle w:val="hgkelc"/>
          <w:b w:val="0"/>
          <w:bCs w:val="0"/>
          <w:sz w:val="24"/>
          <w:szCs w:val="24"/>
          <w:lang w:val="en"/>
        </w:rPr>
        <w:lastRenderedPageBreak/>
        <w:t>This is the second Circuit Court to require tougher standard; in 2021 the 5</w:t>
      </w:r>
      <w:r w:rsidRPr="00C86D96">
        <w:rPr>
          <w:rStyle w:val="hgkelc"/>
          <w:b w:val="0"/>
          <w:bCs w:val="0"/>
          <w:sz w:val="24"/>
          <w:szCs w:val="24"/>
          <w:vertAlign w:val="superscript"/>
          <w:lang w:val="en"/>
        </w:rPr>
        <w:t>th</w:t>
      </w:r>
      <w:r w:rsidRPr="00C86D96">
        <w:rPr>
          <w:rStyle w:val="hgkelc"/>
          <w:b w:val="0"/>
          <w:bCs w:val="0"/>
          <w:sz w:val="24"/>
          <w:szCs w:val="24"/>
          <w:lang w:val="en"/>
        </w:rPr>
        <w:t xml:space="preserve"> Circuit (Louisiana, Mississippi, and Texas) also adopted tougher standard. </w:t>
      </w:r>
      <w:hyperlink r:id="rId1815" w:history="1">
        <w:r w:rsidRPr="00C86D96">
          <w:rPr>
            <w:rStyle w:val="Hyperlink"/>
            <w:rFonts w:eastAsiaTheme="majorEastAsia"/>
            <w:b w:val="0"/>
            <w:bCs w:val="0"/>
            <w:sz w:val="24"/>
            <w:szCs w:val="24"/>
            <w:lang w:val="en"/>
          </w:rPr>
          <w:t>https://cases.justia.com/federal/appellate-courts/ca5/19-60847/19-60847-2021-01-12.pdf?ts=1610476251</w:t>
        </w:r>
      </w:hyperlink>
    </w:p>
    <w:p w14:paraId="2DE1D146" w14:textId="77777777" w:rsidR="00237599" w:rsidRPr="003C590F" w:rsidRDefault="00237599" w:rsidP="00237599">
      <w:pPr>
        <w:pStyle w:val="Heading1"/>
        <w:ind w:left="720"/>
        <w:rPr>
          <w:b w:val="0"/>
          <w:bCs w:val="0"/>
          <w:sz w:val="24"/>
          <w:szCs w:val="24"/>
        </w:rPr>
      </w:pPr>
      <w:r w:rsidRPr="003C590F">
        <w:rPr>
          <w:rStyle w:val="markedcontent"/>
          <w:b w:val="0"/>
          <w:bCs w:val="0"/>
          <w:sz w:val="24"/>
          <w:szCs w:val="24"/>
        </w:rPr>
        <w:t xml:space="preserve">See this May 22, </w:t>
      </w:r>
      <w:proofErr w:type="gramStart"/>
      <w:r w:rsidRPr="003C590F">
        <w:rPr>
          <w:rStyle w:val="markedcontent"/>
          <w:b w:val="0"/>
          <w:bCs w:val="0"/>
          <w:sz w:val="24"/>
          <w:szCs w:val="24"/>
        </w:rPr>
        <w:t>2023</w:t>
      </w:r>
      <w:proofErr w:type="gramEnd"/>
      <w:r w:rsidRPr="003C590F">
        <w:rPr>
          <w:rStyle w:val="markedcontent"/>
          <w:b w:val="0"/>
          <w:bCs w:val="0"/>
          <w:sz w:val="24"/>
          <w:szCs w:val="24"/>
        </w:rPr>
        <w:t xml:space="preserve"> article, </w:t>
      </w:r>
      <w:r>
        <w:rPr>
          <w:rStyle w:val="markedcontent"/>
          <w:b w:val="0"/>
          <w:bCs w:val="0"/>
          <w:sz w:val="24"/>
          <w:szCs w:val="24"/>
        </w:rPr>
        <w:t>“</w:t>
      </w:r>
      <w:r w:rsidRPr="003C590F">
        <w:rPr>
          <w:b w:val="0"/>
          <w:bCs w:val="0"/>
          <w:sz w:val="24"/>
          <w:szCs w:val="24"/>
        </w:rPr>
        <w:t>Sixth Circuit Establishes Stricter Standard for Granting Notice of FLSA Collective Action</w:t>
      </w:r>
      <w:r>
        <w:rPr>
          <w:b w:val="0"/>
          <w:bCs w:val="0"/>
          <w:sz w:val="24"/>
          <w:szCs w:val="24"/>
        </w:rPr>
        <w:t xml:space="preserve">.” </w:t>
      </w:r>
      <w:hyperlink r:id="rId1816" w:history="1">
        <w:r w:rsidRPr="009943CA">
          <w:rPr>
            <w:rStyle w:val="Hyperlink"/>
            <w:rFonts w:eastAsiaTheme="majorEastAsia"/>
            <w:b w:val="0"/>
            <w:bCs w:val="0"/>
            <w:sz w:val="24"/>
            <w:szCs w:val="24"/>
          </w:rPr>
          <w:t>https://www.littler.com/publication-press/publication/sixth-circuit-establishes-stricter-standard-granting-notice-flsa</w:t>
        </w:r>
      </w:hyperlink>
      <w:r>
        <w:rPr>
          <w:b w:val="0"/>
          <w:bCs w:val="0"/>
          <w:sz w:val="24"/>
          <w:szCs w:val="24"/>
        </w:rPr>
        <w:t xml:space="preserve"> </w:t>
      </w:r>
    </w:p>
    <w:p w14:paraId="4B2628B2" w14:textId="77777777" w:rsidR="00237599" w:rsidRPr="00003BCF" w:rsidRDefault="00237599" w:rsidP="00237599">
      <w:pPr>
        <w:pStyle w:val="NormalWeb"/>
        <w:ind w:left="720"/>
      </w:pPr>
    </w:p>
    <w:p w14:paraId="0C818618" w14:textId="77777777" w:rsidR="00237599" w:rsidRDefault="00237599" w:rsidP="00F326E5">
      <w:pPr>
        <w:rPr>
          <w:rFonts w:ascii="Arial Black" w:hAnsi="Arial Black"/>
          <w:b/>
          <w:sz w:val="24"/>
          <w:szCs w:val="24"/>
        </w:rPr>
      </w:pPr>
    </w:p>
    <w:p w14:paraId="69452F8A" w14:textId="58A15C21" w:rsidR="00227BDE" w:rsidRDefault="00227BDE" w:rsidP="00F326E5">
      <w:pPr>
        <w:rPr>
          <w:rFonts w:ascii="Arial Black" w:hAnsi="Arial Black"/>
          <w:b/>
          <w:sz w:val="24"/>
          <w:szCs w:val="24"/>
        </w:rPr>
      </w:pPr>
      <w:r>
        <w:rPr>
          <w:rFonts w:ascii="Arial Black" w:hAnsi="Arial Black"/>
          <w:b/>
          <w:sz w:val="24"/>
          <w:szCs w:val="24"/>
        </w:rPr>
        <w:t>11-4</w:t>
      </w:r>
      <w:r w:rsidR="009601CD">
        <w:rPr>
          <w:rFonts w:ascii="Arial Black" w:hAnsi="Arial Black"/>
          <w:b/>
          <w:sz w:val="24"/>
          <w:szCs w:val="24"/>
        </w:rPr>
        <w:t>4</w:t>
      </w:r>
    </w:p>
    <w:p w14:paraId="7E8E17F3" w14:textId="77777777" w:rsidR="00227BDE" w:rsidRPr="008426A6" w:rsidRDefault="00227BDE" w:rsidP="00227BDE">
      <w:pPr>
        <w:pStyle w:val="NoSpacing"/>
        <w:rPr>
          <w:rFonts w:ascii="Arial Black" w:hAnsi="Arial Black"/>
          <w:sz w:val="28"/>
          <w:szCs w:val="28"/>
        </w:rPr>
      </w:pPr>
      <w:r w:rsidRPr="008426A6">
        <w:rPr>
          <w:rFonts w:ascii="Arial Black" w:hAnsi="Arial Black"/>
          <w:sz w:val="28"/>
          <w:szCs w:val="28"/>
        </w:rPr>
        <w:t>NC (4/21/2023) – FLSA – COUNTY EMS LAWSUIT WILL BE CLASS ACTION – OVERTIME RATE CALCULATIONS</w:t>
      </w:r>
    </w:p>
    <w:p w14:paraId="2C39B8F8" w14:textId="77777777" w:rsidR="00227BDE" w:rsidRDefault="00227BDE" w:rsidP="00227BDE">
      <w:pPr>
        <w:pStyle w:val="NoSpacing"/>
      </w:pPr>
    </w:p>
    <w:p w14:paraId="3D79C6F4" w14:textId="77777777" w:rsidR="00227BDE" w:rsidRDefault="00227BDE" w:rsidP="00227BDE">
      <w:pPr>
        <w:pStyle w:val="NoSpacing"/>
        <w:rPr>
          <w:rFonts w:ascii="Times New Roman" w:hAnsi="Times New Roman"/>
          <w:sz w:val="24"/>
          <w:szCs w:val="24"/>
        </w:rPr>
      </w:pPr>
      <w:r w:rsidRPr="003C1643">
        <w:rPr>
          <w:rFonts w:ascii="Times New Roman" w:hAnsi="Times New Roman"/>
          <w:sz w:val="24"/>
          <w:szCs w:val="24"/>
          <w:u w:val="single"/>
        </w:rPr>
        <w:t>Sarah B. Conner v. Cleveland County, North Carlina</w:t>
      </w:r>
      <w:r w:rsidRPr="003C1643">
        <w:rPr>
          <w:rFonts w:ascii="Times New Roman" w:hAnsi="Times New Roman"/>
          <w:sz w:val="24"/>
          <w:szCs w:val="24"/>
        </w:rPr>
        <w:t xml:space="preserve">, Chief U.S. District Court Judge Martin Reidinger, U.S. District Court for Western District of North Carolina, Asheville District. </w:t>
      </w:r>
    </w:p>
    <w:p w14:paraId="2D8A011B" w14:textId="77777777" w:rsidR="00227BDE" w:rsidRDefault="00227BDE" w:rsidP="00227BDE">
      <w:pPr>
        <w:pStyle w:val="NoSpacing"/>
        <w:rPr>
          <w:rFonts w:ascii="Times New Roman" w:hAnsi="Times New Roman"/>
          <w:sz w:val="24"/>
          <w:szCs w:val="24"/>
        </w:rPr>
      </w:pPr>
    </w:p>
    <w:p w14:paraId="2DDF5346" w14:textId="77777777" w:rsidR="00227BDE" w:rsidRPr="003C1643" w:rsidRDefault="00227BDE" w:rsidP="00227BDE">
      <w:pPr>
        <w:pStyle w:val="NoSpacing"/>
        <w:rPr>
          <w:rFonts w:ascii="Times New Roman" w:hAnsi="Times New Roman"/>
          <w:sz w:val="24"/>
          <w:szCs w:val="24"/>
        </w:rPr>
      </w:pPr>
      <w:hyperlink r:id="rId1817" w:history="1">
        <w:r w:rsidRPr="003C1643">
          <w:rPr>
            <w:rStyle w:val="Hyperlink"/>
            <w:rFonts w:ascii="Times New Roman" w:hAnsi="Times New Roman"/>
            <w:sz w:val="24"/>
            <w:szCs w:val="24"/>
          </w:rPr>
          <w:t>https://public.fastcase.com/ZZhmr5v9wN%2FXOe5IsQ%2FqD6sjDusMj%2BpqHWJB3g3peOqB7r060z1DCjdHIpcn3tRLdaTmRHBEVoaEU7qCAearkbm3vxifIUs5cRZbbsNdVP8%3D?utm_medium=email&amp;_hsmi=226712652&amp;_hsenc=p2ANqtz-8gP-zHi-IOiqpnpXzunEXLHIYbdJXxowLQqk7bE6jqat0-j7JaN5Av0mj-PIwKwb5z_G2Wf06wKlilS-X5H1ndg63rYw&amp;utm_content=226712652&amp;utm_source=hs_email</w:t>
        </w:r>
      </w:hyperlink>
      <w:r w:rsidRPr="003C1643">
        <w:rPr>
          <w:rFonts w:ascii="Times New Roman" w:hAnsi="Times New Roman"/>
          <w:sz w:val="24"/>
          <w:szCs w:val="24"/>
        </w:rPr>
        <w:t xml:space="preserve"> </w:t>
      </w:r>
    </w:p>
    <w:p w14:paraId="6B8A8024" w14:textId="77777777" w:rsidR="00227BDE" w:rsidRPr="003C1643" w:rsidRDefault="00227BDE" w:rsidP="00227BDE">
      <w:pPr>
        <w:pStyle w:val="NormalWeb"/>
        <w:rPr>
          <w:b/>
          <w:bCs/>
        </w:rPr>
      </w:pPr>
      <w:bookmarkStart w:id="384" w:name="_Hlk133820320"/>
      <w:r w:rsidRPr="003C1643">
        <w:rPr>
          <w:b/>
          <w:bCs/>
        </w:rPr>
        <w:t xml:space="preserve">Legal Lessons Learned: FLSA </w:t>
      </w:r>
      <w:proofErr w:type="gramStart"/>
      <w:r w:rsidRPr="003C1643">
        <w:rPr>
          <w:b/>
          <w:bCs/>
        </w:rPr>
        <w:t>provides for</w:t>
      </w:r>
      <w:proofErr w:type="gramEnd"/>
      <w:r w:rsidRPr="003C1643">
        <w:rPr>
          <w:b/>
          <w:bCs/>
        </w:rPr>
        <w:t xml:space="preserve"> class action lawsuits. </w:t>
      </w:r>
    </w:p>
    <w:bookmarkEnd w:id="384"/>
    <w:p w14:paraId="55C62752" w14:textId="77777777" w:rsidR="00227BDE" w:rsidRPr="003C1643" w:rsidRDefault="00227BDE" w:rsidP="00227BDE">
      <w:pPr>
        <w:pStyle w:val="NoSpacing"/>
        <w:rPr>
          <w:rFonts w:ascii="Times New Roman" w:hAnsi="Times New Roman"/>
          <w:sz w:val="24"/>
          <w:szCs w:val="24"/>
        </w:rPr>
      </w:pPr>
    </w:p>
    <w:p w14:paraId="03D255B6" w14:textId="77777777" w:rsidR="00227BDE" w:rsidRPr="003C1643" w:rsidRDefault="00227BDE" w:rsidP="00227BDE">
      <w:pPr>
        <w:pStyle w:val="NoSpacing"/>
        <w:rPr>
          <w:rFonts w:ascii="Times New Roman" w:hAnsi="Times New Roman"/>
          <w:sz w:val="24"/>
          <w:szCs w:val="24"/>
        </w:rPr>
      </w:pPr>
    </w:p>
    <w:p w14:paraId="544BE49C" w14:textId="77777777" w:rsidR="00227BDE" w:rsidRDefault="00227BDE" w:rsidP="00F326E5">
      <w:pPr>
        <w:rPr>
          <w:rFonts w:ascii="Arial Black" w:hAnsi="Arial Black"/>
          <w:b/>
          <w:sz w:val="24"/>
          <w:szCs w:val="24"/>
        </w:rPr>
      </w:pPr>
    </w:p>
    <w:p w14:paraId="35A5432F" w14:textId="0D68AEAD" w:rsidR="00227BDE" w:rsidRDefault="00227BDE" w:rsidP="00F326E5">
      <w:pPr>
        <w:rPr>
          <w:rFonts w:ascii="Arial Black" w:hAnsi="Arial Black"/>
          <w:b/>
          <w:sz w:val="24"/>
          <w:szCs w:val="24"/>
        </w:rPr>
      </w:pPr>
      <w:r>
        <w:rPr>
          <w:rFonts w:ascii="Arial Black" w:hAnsi="Arial Black"/>
          <w:b/>
          <w:sz w:val="24"/>
          <w:szCs w:val="24"/>
        </w:rPr>
        <w:t>11-</w:t>
      </w:r>
      <w:r w:rsidR="009601CD">
        <w:rPr>
          <w:rFonts w:ascii="Arial Black" w:hAnsi="Arial Black"/>
          <w:b/>
          <w:sz w:val="24"/>
          <w:szCs w:val="24"/>
        </w:rPr>
        <w:t>43</w:t>
      </w:r>
    </w:p>
    <w:p w14:paraId="45460164" w14:textId="77777777" w:rsidR="00227BDE" w:rsidRPr="00FF72ED" w:rsidRDefault="00227BDE" w:rsidP="00227BDE">
      <w:pPr>
        <w:pStyle w:val="NoSpacing"/>
        <w:rPr>
          <w:rFonts w:ascii="Arial Black" w:hAnsi="Arial Black"/>
          <w:sz w:val="28"/>
          <w:szCs w:val="28"/>
        </w:rPr>
      </w:pPr>
      <w:r w:rsidRPr="00FF72ED">
        <w:rPr>
          <w:rFonts w:ascii="Arial Black" w:hAnsi="Arial Black"/>
          <w:sz w:val="28"/>
          <w:szCs w:val="28"/>
        </w:rPr>
        <w:t>CA (4/19/2023) –</w:t>
      </w:r>
      <w:r>
        <w:rPr>
          <w:rFonts w:ascii="Arial Black" w:hAnsi="Arial Black"/>
          <w:sz w:val="28"/>
          <w:szCs w:val="28"/>
        </w:rPr>
        <w:t xml:space="preserve"> MEDIC WITH </w:t>
      </w:r>
      <w:r w:rsidRPr="00FF72ED">
        <w:rPr>
          <w:rFonts w:ascii="Arial Black" w:hAnsi="Arial Black"/>
          <w:sz w:val="28"/>
          <w:szCs w:val="28"/>
        </w:rPr>
        <w:t>AMR –</w:t>
      </w:r>
      <w:r>
        <w:rPr>
          <w:rFonts w:ascii="Arial Black" w:hAnsi="Arial Black"/>
          <w:sz w:val="28"/>
          <w:szCs w:val="28"/>
        </w:rPr>
        <w:t xml:space="preserve"> NO </w:t>
      </w:r>
      <w:r w:rsidRPr="00FF72ED">
        <w:rPr>
          <w:rFonts w:ascii="Arial Black" w:hAnsi="Arial Black"/>
          <w:sz w:val="28"/>
          <w:szCs w:val="28"/>
        </w:rPr>
        <w:t>MEAL / REST BREAKS</w:t>
      </w:r>
      <w:r>
        <w:rPr>
          <w:rFonts w:ascii="Arial Black" w:hAnsi="Arial Black"/>
          <w:sz w:val="28"/>
          <w:szCs w:val="28"/>
        </w:rPr>
        <w:t xml:space="preserve"> - CASE </w:t>
      </w:r>
      <w:r w:rsidRPr="00FF72ED">
        <w:rPr>
          <w:rFonts w:ascii="Arial Black" w:hAnsi="Arial Black"/>
          <w:sz w:val="28"/>
          <w:szCs w:val="28"/>
        </w:rPr>
        <w:t>DISMISSED</w:t>
      </w:r>
      <w:r>
        <w:rPr>
          <w:rFonts w:ascii="Arial Black" w:hAnsi="Arial Black"/>
          <w:sz w:val="28"/>
          <w:szCs w:val="28"/>
        </w:rPr>
        <w:t xml:space="preserve"> – 2018 VOTERS PROP. 11 </w:t>
      </w:r>
    </w:p>
    <w:p w14:paraId="29B031AC" w14:textId="77777777" w:rsidR="00227BDE" w:rsidRDefault="00227BDE" w:rsidP="00227BDE">
      <w:pPr>
        <w:pStyle w:val="NoSpacing"/>
      </w:pPr>
    </w:p>
    <w:p w14:paraId="676E4CE1" w14:textId="77777777" w:rsidR="00227BDE" w:rsidRPr="003C1643" w:rsidRDefault="00227BDE" w:rsidP="00227BDE">
      <w:pPr>
        <w:pStyle w:val="NoSpacing"/>
        <w:rPr>
          <w:rFonts w:ascii="Times New Roman" w:hAnsi="Times New Roman"/>
          <w:sz w:val="24"/>
          <w:szCs w:val="24"/>
        </w:rPr>
      </w:pPr>
      <w:r w:rsidRPr="003C1643">
        <w:rPr>
          <w:rFonts w:ascii="Times New Roman" w:hAnsi="Times New Roman"/>
          <w:sz w:val="24"/>
          <w:szCs w:val="24"/>
          <w:u w:val="single"/>
        </w:rPr>
        <w:t>Vaughn Banta v. American Medical Response, et al.</w:t>
      </w:r>
      <w:r w:rsidRPr="003C1643">
        <w:rPr>
          <w:rFonts w:ascii="Times New Roman" w:hAnsi="Times New Roman"/>
          <w:sz w:val="24"/>
          <w:szCs w:val="24"/>
        </w:rPr>
        <w:t xml:space="preserve">, California Court of Appeals, Second District, Second Division. [Unpublished Decision.] </w:t>
      </w:r>
    </w:p>
    <w:p w14:paraId="43B3C68B" w14:textId="77777777" w:rsidR="00227BDE" w:rsidRDefault="00227BDE" w:rsidP="00F326E5">
      <w:pPr>
        <w:rPr>
          <w:rFonts w:ascii="Arial Black" w:hAnsi="Arial Black"/>
          <w:b/>
          <w:sz w:val="24"/>
          <w:szCs w:val="24"/>
        </w:rPr>
      </w:pPr>
    </w:p>
    <w:p w14:paraId="4C4EB76A" w14:textId="77777777" w:rsidR="00227BDE" w:rsidRPr="003C1643" w:rsidRDefault="00227BDE" w:rsidP="00227BDE">
      <w:pPr>
        <w:pStyle w:val="NoSpacing"/>
        <w:rPr>
          <w:rFonts w:ascii="Times New Roman" w:hAnsi="Times New Roman"/>
          <w:sz w:val="24"/>
          <w:szCs w:val="24"/>
        </w:rPr>
      </w:pPr>
      <w:hyperlink r:id="rId1818" w:history="1">
        <w:r w:rsidRPr="003C1643">
          <w:rPr>
            <w:rStyle w:val="Hyperlink"/>
            <w:rFonts w:ascii="Times New Roman" w:hAnsi="Times New Roman"/>
            <w:sz w:val="24"/>
            <w:szCs w:val="24"/>
          </w:rPr>
          <w:t>https://public.fastcase.com/ZZhmr5v9wN%2FXOe5IsQ%2FqD%2Bile%2Foxyp5Z8Q8kvhZNO7gH1c2Z5qHls9xhvmb3awOvR3bsCkmvAqMtioFMMuxMBzUhvRQhP83bmryZorCoTbI%3D?utm_medium=email&amp;_hsmi=226712652&amp;_hsenc=p2ANqtz--nFpNqY7MlHedt-bGY2IVgigc3ATGuPz0zM2ZOCoWHuze-qmefTR0632sWWVlZvaDJFdCD_Gl1V9HSDzdZa4P3MSrw7A&amp;utm_content=226712652&amp;utm_source=hs_email</w:t>
        </w:r>
      </w:hyperlink>
      <w:r w:rsidRPr="003C1643">
        <w:rPr>
          <w:rFonts w:ascii="Times New Roman" w:hAnsi="Times New Roman"/>
          <w:sz w:val="24"/>
          <w:szCs w:val="24"/>
        </w:rPr>
        <w:t xml:space="preserve"> </w:t>
      </w:r>
    </w:p>
    <w:p w14:paraId="02DF39C0" w14:textId="77777777" w:rsidR="00227BDE" w:rsidRDefault="00227BDE" w:rsidP="00227BDE">
      <w:pPr>
        <w:pStyle w:val="NormalWeb"/>
        <w:rPr>
          <w:b/>
          <w:bCs/>
        </w:rPr>
      </w:pPr>
      <w:r w:rsidRPr="003C1643">
        <w:rPr>
          <w:b/>
          <w:bCs/>
        </w:rPr>
        <w:t>Legal Lesson Learned: California voters passed Proposition 11, requiring meal and rest period breaks for most employers, but not EMS.</w:t>
      </w:r>
      <w:r>
        <w:rPr>
          <w:b/>
          <w:bCs/>
        </w:rPr>
        <w:t xml:space="preserve"> </w:t>
      </w:r>
    </w:p>
    <w:p w14:paraId="7F49C670" w14:textId="77777777" w:rsidR="00227BDE" w:rsidRDefault="00227BDE" w:rsidP="00F326E5">
      <w:pPr>
        <w:rPr>
          <w:rFonts w:ascii="Arial Black" w:hAnsi="Arial Black"/>
          <w:b/>
          <w:sz w:val="24"/>
          <w:szCs w:val="24"/>
        </w:rPr>
      </w:pPr>
    </w:p>
    <w:p w14:paraId="3DE4C351" w14:textId="77777777" w:rsidR="00227BDE" w:rsidRDefault="00227BDE" w:rsidP="00F326E5">
      <w:pPr>
        <w:rPr>
          <w:rFonts w:ascii="Arial Black" w:hAnsi="Arial Black"/>
          <w:b/>
          <w:sz w:val="24"/>
          <w:szCs w:val="24"/>
        </w:rPr>
      </w:pPr>
    </w:p>
    <w:p w14:paraId="5C23A3D6" w14:textId="762A661C" w:rsidR="003F788B" w:rsidRDefault="003F788B" w:rsidP="00F326E5">
      <w:pPr>
        <w:rPr>
          <w:rFonts w:ascii="Arial Black" w:hAnsi="Arial Black"/>
          <w:b/>
          <w:sz w:val="24"/>
          <w:szCs w:val="24"/>
        </w:rPr>
      </w:pPr>
      <w:r>
        <w:rPr>
          <w:rFonts w:ascii="Arial Black" w:hAnsi="Arial Black"/>
          <w:b/>
          <w:sz w:val="24"/>
          <w:szCs w:val="24"/>
        </w:rPr>
        <w:t>11-</w:t>
      </w:r>
      <w:r w:rsidR="009601CD">
        <w:rPr>
          <w:rFonts w:ascii="Arial Black" w:hAnsi="Arial Black"/>
          <w:b/>
          <w:sz w:val="24"/>
          <w:szCs w:val="24"/>
        </w:rPr>
        <w:t>42</w:t>
      </w:r>
    </w:p>
    <w:p w14:paraId="34ADE42A" w14:textId="77777777" w:rsidR="003F788B" w:rsidRDefault="003F788B" w:rsidP="003F788B">
      <w:pPr>
        <w:pStyle w:val="NormalWeb"/>
        <w:rPr>
          <w:rFonts w:ascii="Arial Black" w:hAnsi="Arial Black"/>
          <w:sz w:val="28"/>
          <w:szCs w:val="28"/>
        </w:rPr>
      </w:pPr>
      <w:r>
        <w:rPr>
          <w:rFonts w:ascii="Arial Black" w:hAnsi="Arial Black"/>
          <w:sz w:val="28"/>
          <w:szCs w:val="28"/>
        </w:rPr>
        <w:t>KS: RETIRED CAPT. CLAIMS BCs MISCHARDING VACATION TIME – NOT FLSA VIOLATION – FLSA CASE DISMISSED</w:t>
      </w:r>
    </w:p>
    <w:p w14:paraId="0E16EB50" w14:textId="77777777" w:rsidR="003F788B" w:rsidRDefault="003F788B" w:rsidP="003F788B">
      <w:pPr>
        <w:pStyle w:val="NormalWeb"/>
      </w:pPr>
      <w:r>
        <w:t xml:space="preserve">On March 30, 2023, in </w:t>
      </w:r>
      <w:r>
        <w:rPr>
          <w:u w:val="single"/>
        </w:rPr>
        <w:t>Tim Lepage v. City of Salina, Kansas, et al</w:t>
      </w:r>
      <w:r>
        <w:t>., U.S. District Court Judge Julie A. Robinson granted the City’s motion to dismiss the FLSA claim since his investigation of Battalion Chiefs never involved violations of FLSA, but rather “</w:t>
      </w:r>
      <w:proofErr w:type="gramStart"/>
      <w:r>
        <w:t>time card</w:t>
      </w:r>
      <w:proofErr w:type="gramEnd"/>
      <w:r>
        <w:t xml:space="preserve"> fraud” where BCs on vacation allegedly recorded their time as on duty. The case will now </w:t>
      </w:r>
      <w:proofErr w:type="gramStart"/>
      <w:r>
        <w:t>return</w:t>
      </w:r>
      <w:proofErr w:type="gramEnd"/>
      <w:r>
        <w:t xml:space="preserve"> to State court for further discovery.  Lepage became frustrated that the </w:t>
      </w:r>
      <w:proofErr w:type="gramStart"/>
      <w:r>
        <w:t>City</w:t>
      </w:r>
      <w:proofErr w:type="gramEnd"/>
      <w:r>
        <w:t xml:space="preserve"> stalled on the investigation, and per his request he was placed on paid leave and retired in </w:t>
      </w:r>
      <w:proofErr w:type="gramStart"/>
      <w:r>
        <w:t>June 2021, and</w:t>
      </w:r>
      <w:proofErr w:type="gramEnd"/>
      <w:r>
        <w:t xml:space="preserve"> then brought this lawsuit. </w:t>
      </w:r>
    </w:p>
    <w:p w14:paraId="204E1D8D" w14:textId="77777777" w:rsidR="003F788B" w:rsidRDefault="003F788B" w:rsidP="003F788B">
      <w:pPr>
        <w:pStyle w:val="NormalWeb"/>
        <w:ind w:left="720"/>
      </w:pPr>
      <w:r>
        <w:t xml:space="preserve">The Judge wrote: “Here, LePage fails to demonstrate a genuine issue of material fact about whether he engaged in protected activity under this objective standard. In terms of content, it is uncontroverted that LePage never explicitly invoked the FLSA when he complained about the BCs' alleged </w:t>
      </w:r>
      <w:proofErr w:type="gramStart"/>
      <w:r>
        <w:t>time card</w:t>
      </w:r>
      <w:proofErr w:type="gramEnd"/>
      <w:r>
        <w:t xml:space="preserve"> fraud. And while this fact standing alone is not fatal to his claim, the substance of his complaint did not involve conduct that is regulated by the FLSA. The FLSA ‘sets </w:t>
      </w:r>
      <w:proofErr w:type="gramStart"/>
      <w:r>
        <w:t>forth</w:t>
      </w:r>
      <w:proofErr w:type="gramEnd"/>
      <w:r>
        <w:t xml:space="preserve"> employment rules concerning minimum wages, maximum hours, and overtime pay.’ LePage did not complain about violations of the federal minimum wage or maximum hour laws.” </w:t>
      </w:r>
      <w:hyperlink r:id="rId1819" w:history="1">
        <w:r>
          <w:rPr>
            <w:rStyle w:val="Hyperlink"/>
          </w:rPr>
          <w:t>https://ecf.ksd.uscourts.gov/cgi-bin/show_public_doc?2022cv4020-41</w:t>
        </w:r>
      </w:hyperlink>
      <w:r>
        <w:t xml:space="preserve"> </w:t>
      </w:r>
    </w:p>
    <w:p w14:paraId="6FD07A9E" w14:textId="77777777" w:rsidR="003F788B" w:rsidRDefault="003F788B" w:rsidP="003F788B">
      <w:pPr>
        <w:pStyle w:val="NormalWeb"/>
        <w:ind w:left="720"/>
      </w:pPr>
      <w:r>
        <w:t xml:space="preserve">“In September 2019, LePage began working with Human Resources Specialist Diane Turner on a project to save money. Specifically, LePage began keeping track of the days BCs were taking vacation, knowing that their use of vacation would require </w:t>
      </w:r>
      <w:proofErr w:type="gramStart"/>
      <w:r>
        <w:t>more captain</w:t>
      </w:r>
      <w:proofErr w:type="gramEnd"/>
      <w:r>
        <w:t xml:space="preserve"> overtime, costing the </w:t>
      </w:r>
      <w:proofErr w:type="gramStart"/>
      <w:r>
        <w:t>City</w:t>
      </w:r>
      <w:proofErr w:type="gramEnd"/>
      <w:r>
        <w:t xml:space="preserve"> money. LePage began what he considered to be an </w:t>
      </w:r>
      <w:proofErr w:type="gramStart"/>
      <w:r>
        <w:t>in depth</w:t>
      </w:r>
      <w:proofErr w:type="gramEnd"/>
      <w:r>
        <w:t xml:space="preserve"> investigation with Human </w:t>
      </w:r>
      <w:proofErr w:type="gramStart"/>
      <w:r>
        <w:t>Resources (‘</w:t>
      </w:r>
      <w:proofErr w:type="gramEnd"/>
      <w:r>
        <w:t xml:space="preserve">HR’) on this issue because HR did not have access to the </w:t>
      </w:r>
      <w:proofErr w:type="spellStart"/>
      <w:r>
        <w:t>DataTracker</w:t>
      </w:r>
      <w:proofErr w:type="spellEnd"/>
      <w:r>
        <w:t xml:space="preserve"> and ‘FD outlook calendar.’ LePage would send HR the days he knew BCs were gone and the reason they had provided. LePage believed that all three [BCs] were . . . taking ten days of vacation, reporting they were on duty, </w:t>
      </w:r>
      <w:proofErr w:type="gramStart"/>
      <w:r>
        <w:t>thusly</w:t>
      </w:r>
      <w:proofErr w:type="gramEnd"/>
      <w:r>
        <w:t xml:space="preserve"> banking those hours and then taking an additional five days off, reporting it correctly and selling the other five days. After a week or two of review, it was found to be well </w:t>
      </w:r>
      <w:proofErr w:type="gramStart"/>
      <w:r>
        <w:t>north</w:t>
      </w:r>
      <w:proofErr w:type="gramEnd"/>
      <w:r>
        <w:t xml:space="preserve"> of $100K stolen in the previous 6 years.</w:t>
      </w:r>
    </w:p>
    <w:p w14:paraId="2BFCFBC8" w14:textId="77777777" w:rsidR="003F788B" w:rsidRDefault="003F788B" w:rsidP="003F788B">
      <w:pPr>
        <w:pStyle w:val="NormalWeb"/>
        <w:ind w:left="720"/>
      </w:pPr>
      <w:r>
        <w:t>***</w:t>
      </w:r>
    </w:p>
    <w:p w14:paraId="2353EF37" w14:textId="77777777" w:rsidR="003F788B" w:rsidRDefault="003F788B" w:rsidP="003F788B">
      <w:pPr>
        <w:pStyle w:val="NormalWeb"/>
        <w:ind w:left="720"/>
        <w:rPr>
          <w:vertAlign w:val="superscript"/>
        </w:rPr>
      </w:pPr>
      <w:r>
        <w:t xml:space="preserve">The Court finds that there are no substantial grounds for jurisdiction over the remaining claims for retaliatory discharge and defamation and that the state court is in a better position to evaluate LePage's claims under state </w:t>
      </w:r>
      <w:proofErr w:type="gramStart"/>
      <w:r>
        <w:t>law.”</w:t>
      </w:r>
      <w:proofErr w:type="gramEnd"/>
    </w:p>
    <w:p w14:paraId="660CD65D" w14:textId="77777777" w:rsidR="003F788B" w:rsidRDefault="003F788B" w:rsidP="003F788B">
      <w:pPr>
        <w:pStyle w:val="NormalWeb"/>
        <w:rPr>
          <w:b/>
          <w:bCs/>
        </w:rPr>
      </w:pPr>
      <w:r>
        <w:rPr>
          <w:b/>
          <w:bCs/>
        </w:rPr>
        <w:t xml:space="preserve">Legal Lessons Learned: The FLSA protects employees from retaliation, but only where there are claims of FLSA violations.  </w:t>
      </w:r>
    </w:p>
    <w:p w14:paraId="15888F45" w14:textId="77777777" w:rsidR="003F788B" w:rsidRDefault="003F788B" w:rsidP="003F788B">
      <w:pPr>
        <w:pStyle w:val="NormalWeb"/>
      </w:pPr>
    </w:p>
    <w:p w14:paraId="205822C3" w14:textId="1A849770" w:rsidR="00104A4C" w:rsidRDefault="00104A4C" w:rsidP="00F326E5">
      <w:pPr>
        <w:rPr>
          <w:rFonts w:ascii="Arial Black" w:hAnsi="Arial Black"/>
          <w:b/>
          <w:sz w:val="24"/>
          <w:szCs w:val="24"/>
        </w:rPr>
      </w:pPr>
      <w:r>
        <w:rPr>
          <w:rFonts w:ascii="Arial Black" w:hAnsi="Arial Black"/>
          <w:b/>
          <w:sz w:val="24"/>
          <w:szCs w:val="24"/>
        </w:rPr>
        <w:t>11-</w:t>
      </w:r>
      <w:r w:rsidR="009601CD">
        <w:rPr>
          <w:rFonts w:ascii="Arial Black" w:hAnsi="Arial Black"/>
          <w:b/>
          <w:sz w:val="24"/>
          <w:szCs w:val="24"/>
        </w:rPr>
        <w:t>41</w:t>
      </w:r>
    </w:p>
    <w:p w14:paraId="57B91EA9" w14:textId="77777777" w:rsidR="00104A4C" w:rsidRDefault="00104A4C" w:rsidP="00104A4C">
      <w:pPr>
        <w:pStyle w:val="NormalWeb"/>
      </w:pPr>
      <w:r>
        <w:rPr>
          <w:rFonts w:ascii="Arial Black" w:hAnsi="Arial Black"/>
          <w:sz w:val="28"/>
          <w:szCs w:val="28"/>
        </w:rPr>
        <w:lastRenderedPageBreak/>
        <w:t>CA: FLSA – FOUR BATTALION CHIEFS CLAIM NOT “EXEMPT” – CITY SETTLEMENT – $145,000, PLUS $25,000 ATTY FEES</w:t>
      </w:r>
    </w:p>
    <w:p w14:paraId="73DA163A" w14:textId="77777777" w:rsidR="00104A4C" w:rsidRDefault="00104A4C" w:rsidP="00104A4C">
      <w:pPr>
        <w:pStyle w:val="NormalWeb"/>
      </w:pPr>
      <w:r>
        <w:t xml:space="preserve">On March 7, 2023, in </w:t>
      </w:r>
      <w:r w:rsidRPr="00BD4D01">
        <w:rPr>
          <w:u w:val="single"/>
        </w:rPr>
        <w:t>James Mickelson v. City of Encinitas</w:t>
      </w:r>
      <w:r>
        <w:t xml:space="preserve">, U.S. District Court Judge Cynthia Bashant, Southern District of California, approved a settlement of a lawsuit filed by four Battalion Chiefs, based on their pay for prior two years, with City not admitting to any violation of FLSA.  The Court agreed to the settlement because law is unclear on whether these Battalion Chiefs are exempt from overtime.  Under the terms of the Settlement, the City agreed to pay a total of $145,000.00 to Battalion Chiefs based on their hours works in two prior years (if willful violations were proven at trial, Court can award three years back pay, doubled as liquidated damages): (1) $26,108.22 paid to James Mickelson; (2) $12,373.71 paid to Terence Chiros; (3) $47,677.74 paid to Jorge Sanchez; and (4) $58,850.33 paid to Michael Spaulding. </w:t>
      </w:r>
      <w:hyperlink r:id="rId1820" w:history="1">
        <w:r w:rsidRPr="005C1F1B">
          <w:rPr>
            <w:rStyle w:val="Hyperlink"/>
            <w:rFonts w:eastAsiaTheme="majorEastAsia"/>
          </w:rPr>
          <w:t>https://law.justia.com/cases/federal/district-courts/california/casdce/3:2022cv00487/730899/28/</w:t>
        </w:r>
      </w:hyperlink>
      <w:r>
        <w:t xml:space="preserve"> </w:t>
      </w:r>
    </w:p>
    <w:p w14:paraId="1093B14D" w14:textId="77777777" w:rsidR="00104A4C" w:rsidRDefault="00104A4C" w:rsidP="00104A4C">
      <w:pPr>
        <w:pStyle w:val="NormalWeb"/>
      </w:pPr>
      <w:r>
        <w:t xml:space="preserve">The Court noted: </w:t>
      </w:r>
    </w:p>
    <w:p w14:paraId="0D057EC3" w14:textId="77777777" w:rsidR="00104A4C" w:rsidRDefault="00104A4C" w:rsidP="00104A4C">
      <w:pPr>
        <w:pStyle w:val="NormalWeb"/>
        <w:ind w:left="720"/>
      </w:pPr>
      <w:r>
        <w:t xml:space="preserve">“First, the parties disagree as to whether Encinitas Battalion Chiefs are FLSA-exempt employees. Plaintiff relies on regulations that clarify the scope of FLSA exemptions: ‘The [FLSA minimum wage provision] exemptions . . . do not apply to . . . fire fighters . . . who perform work such as preventing, controlling or extinguishing fires of any type.’ 29 C.F.R. § 541.3. Plaintiff maintains that Battalion Chiefs ‘actively engage in fire-fighter responsibilities’ and ‘regularly respond to calls for rescuing fire and accident victims; medical calls for </w:t>
      </w:r>
      <w:proofErr w:type="gramStart"/>
      <w:r>
        <w:t>services, and</w:t>
      </w:r>
      <w:proofErr w:type="gramEnd"/>
      <w:r>
        <w:t xml:space="preserve"> regularly carry and use fire suppression and medical equipment….’ </w:t>
      </w:r>
    </w:p>
    <w:p w14:paraId="26DCC3A0" w14:textId="77777777" w:rsidR="00104A4C" w:rsidRDefault="00104A4C" w:rsidP="00104A4C">
      <w:pPr>
        <w:pStyle w:val="NormalWeb"/>
        <w:ind w:left="600"/>
      </w:pPr>
      <w:r>
        <w:t xml:space="preserve">Defendants, by contrast, take the position that managerial fire employees like Battalion Chiefs are properly exempt, so long as they meet the requirements of the executive or administrative exemption….To qualify for the administrative exemption, the employee must meet a minimum salary and the employee's primary duty must be ‘the performance of office or non-manual work directly related to the management or general business operations of the employer....’ 28 C.F.R. § 541.200(a). The parties point to recent Fourth Circuit caselaw and a 2005 Department of Labor Opinion Letter that both determined fire department battalion chiefs were properly classified as exempt….Defendant asserts that Encinitas Battalion Chiefs are ‘always responsible for supervising both Captains and the other firefighters’ and that preliminary discovery confirmed they ‘rarely if ever engage in actual firefighting….”  </w:t>
      </w:r>
    </w:p>
    <w:p w14:paraId="7E49A138" w14:textId="77777777" w:rsidR="00104A4C" w:rsidRPr="00025BA7" w:rsidRDefault="00104A4C" w:rsidP="00104A4C">
      <w:pPr>
        <w:pStyle w:val="NormalWeb"/>
        <w:rPr>
          <w:b/>
          <w:bCs/>
        </w:rPr>
      </w:pPr>
      <w:r w:rsidRPr="00025BA7">
        <w:rPr>
          <w:b/>
          <w:bCs/>
        </w:rPr>
        <w:t xml:space="preserve">Legal Lesson Learned: </w:t>
      </w:r>
      <w:r>
        <w:rPr>
          <w:b/>
          <w:bCs/>
        </w:rPr>
        <w:t xml:space="preserve">The law is unsettled about Battalion Chiefs being “exempt”; be interesting to learn whether the next CBA with City of Encinitas will address this issue. </w:t>
      </w:r>
    </w:p>
    <w:p w14:paraId="69BAE836" w14:textId="77777777" w:rsidR="00104A4C" w:rsidRDefault="00104A4C" w:rsidP="00104A4C">
      <w:pPr>
        <w:pStyle w:val="NormalWeb"/>
        <w:ind w:left="720"/>
      </w:pPr>
      <w:r>
        <w:t>Note: The Court noted the attorney fees were reasonable. “Plaintiff's counsel has acted as lead counsel in more than fifty FLSA lawsuits representing tens of thousands of employees…. In addition, Plaintiff's counsel has published books on the FLSA, conducted FLSA audits, and lectured on the FLSA.”</w:t>
      </w:r>
    </w:p>
    <w:p w14:paraId="426B5E05" w14:textId="77777777" w:rsidR="00104A4C" w:rsidRDefault="00104A4C" w:rsidP="00104A4C">
      <w:pPr>
        <w:pStyle w:val="NormalWeb"/>
      </w:pPr>
    </w:p>
    <w:p w14:paraId="52426212" w14:textId="3C041114" w:rsidR="00104A4C" w:rsidRDefault="00104A4C" w:rsidP="00F326E5">
      <w:pPr>
        <w:rPr>
          <w:rFonts w:ascii="Arial Black" w:hAnsi="Arial Black"/>
          <w:b/>
          <w:sz w:val="24"/>
          <w:szCs w:val="24"/>
        </w:rPr>
      </w:pPr>
      <w:r>
        <w:rPr>
          <w:rFonts w:ascii="Arial Black" w:hAnsi="Arial Black"/>
          <w:b/>
          <w:sz w:val="24"/>
          <w:szCs w:val="24"/>
        </w:rPr>
        <w:t>11-</w:t>
      </w:r>
      <w:r w:rsidR="009601CD">
        <w:rPr>
          <w:rFonts w:ascii="Arial Black" w:hAnsi="Arial Black"/>
          <w:b/>
          <w:sz w:val="24"/>
          <w:szCs w:val="24"/>
        </w:rPr>
        <w:t>40</w:t>
      </w:r>
    </w:p>
    <w:p w14:paraId="2ED20389" w14:textId="77777777" w:rsidR="00104A4C" w:rsidRPr="00682E43" w:rsidRDefault="00104A4C" w:rsidP="00104A4C">
      <w:pPr>
        <w:pStyle w:val="NormalWeb"/>
        <w:rPr>
          <w:rFonts w:ascii="Arial Black" w:hAnsi="Arial Black"/>
          <w:b/>
          <w:bCs/>
          <w:sz w:val="28"/>
          <w:szCs w:val="28"/>
        </w:rPr>
      </w:pPr>
      <w:r>
        <w:rPr>
          <w:rFonts w:ascii="Arial Black" w:hAnsi="Arial Black"/>
          <w:b/>
          <w:bCs/>
          <w:sz w:val="28"/>
          <w:szCs w:val="28"/>
        </w:rPr>
        <w:t>DC: FLSA – U.S. SUP. CT. - OIL RIG “TOOL PUSHER” – MAKES $200,000 / YR - SINCE HE IS PAID HOURLY, NOT EXEMPT</w:t>
      </w:r>
    </w:p>
    <w:p w14:paraId="49DE6594" w14:textId="77777777" w:rsidR="00104A4C" w:rsidRDefault="00104A4C" w:rsidP="00104A4C">
      <w:pPr>
        <w:pStyle w:val="NormalWeb"/>
        <w:rPr>
          <w:rStyle w:val="markedcontent"/>
        </w:rPr>
      </w:pPr>
      <w:r>
        <w:rPr>
          <w:rStyle w:val="markedcontent"/>
        </w:rPr>
        <w:lastRenderedPageBreak/>
        <w:t xml:space="preserve">On Feb. 23, 2023, in </w:t>
      </w:r>
      <w:r w:rsidRPr="00275035">
        <w:rPr>
          <w:rStyle w:val="markedcontent"/>
        </w:rPr>
        <w:t>Helix Energy Solutions Group, Inc. et al. v. Michael Hewitt</w:t>
      </w:r>
      <w:r>
        <w:rPr>
          <w:rStyle w:val="markedcontent"/>
        </w:rPr>
        <w:t>, the U.S. Supreme Court held (6 to 3) that the Supervisor (earned $200,000 a year), working 84 hours a week on the oil rig, supervising 12-14 employees, was not “exempt” from earning overtime after 40 hours.  After he was fired, he sued for overtime pay, seeking “</w:t>
      </w:r>
      <w:r>
        <w:t xml:space="preserve">hundreds of thousands of dollars in retroactive overtime pay.” [Dissenting opinion, Justice Brett Kavanaugh.] The majority opinion has awarded him this windfall.  From 2015 to 2017, Hewitt worked 28-day "hitches," living on an offshore oil rig for 28 days at a time and being on-duty for 12 hours each day. His pay ranged from $963 to $1,341 per day. Hewitt earned $248,053 in 2015 and $218,863 in 2016, according to court records. </w:t>
      </w:r>
      <w:hyperlink r:id="rId1821" w:history="1">
        <w:r w:rsidRPr="00933DFB">
          <w:rPr>
            <w:rStyle w:val="Hyperlink"/>
            <w:rFonts w:eastAsiaTheme="majorEastAsia"/>
          </w:rPr>
          <w:t>https://www.supremecourt.gov/opinions/22pdf/21-984_j426.pdf</w:t>
        </w:r>
      </w:hyperlink>
      <w:r>
        <w:rPr>
          <w:rStyle w:val="markedcontent"/>
        </w:rPr>
        <w:t xml:space="preserve"> </w:t>
      </w:r>
    </w:p>
    <w:p w14:paraId="73EBAB31" w14:textId="77777777" w:rsidR="00104A4C" w:rsidRDefault="00104A4C" w:rsidP="00104A4C">
      <w:pPr>
        <w:pStyle w:val="NormalWeb"/>
        <w:ind w:left="720"/>
        <w:rPr>
          <w:rStyle w:val="markedcontent"/>
        </w:rPr>
      </w:pPr>
      <w:r>
        <w:rPr>
          <w:rStyle w:val="markedcontent"/>
        </w:rPr>
        <w:t xml:space="preserve">“The question here is whether a high-earning employee is compensated on a ‘salary </w:t>
      </w:r>
      <w:proofErr w:type="spellStart"/>
      <w:r>
        <w:rPr>
          <w:rStyle w:val="markedcontent"/>
        </w:rPr>
        <w:t>basis’</w:t>
      </w:r>
      <w:proofErr w:type="spellEnd"/>
      <w:r>
        <w:rPr>
          <w:rStyle w:val="markedcontent"/>
        </w:rPr>
        <w:t xml:space="preserve"> when his paycheck is based solely on a daily rate—so that he receives a certain amount if he works one day in a week, twice as much for two days, three times as much for three, and so on. We hold that such an employee is not paid on a salary </w:t>
      </w:r>
      <w:proofErr w:type="gramStart"/>
      <w:r>
        <w:rPr>
          <w:rStyle w:val="markedcontent"/>
        </w:rPr>
        <w:t>basis, and</w:t>
      </w:r>
      <w:proofErr w:type="gramEnd"/>
      <w:r>
        <w:rPr>
          <w:rStyle w:val="markedcontent"/>
        </w:rPr>
        <w:t xml:space="preserve"> thus is entitled to overtime </w:t>
      </w:r>
      <w:proofErr w:type="gramStart"/>
      <w:r>
        <w:rPr>
          <w:rStyle w:val="markedcontent"/>
        </w:rPr>
        <w:t>pay.”</w:t>
      </w:r>
      <w:proofErr w:type="gramEnd"/>
      <w:r>
        <w:rPr>
          <w:rStyle w:val="markedcontent"/>
        </w:rPr>
        <w:t xml:space="preserve"> </w:t>
      </w:r>
    </w:p>
    <w:p w14:paraId="33135B22" w14:textId="77777777" w:rsidR="00104A4C" w:rsidRPr="005B5614" w:rsidRDefault="00104A4C" w:rsidP="00104A4C">
      <w:pPr>
        <w:pStyle w:val="NormalWeb"/>
        <w:rPr>
          <w:rStyle w:val="markedcontent"/>
          <w:b/>
          <w:bCs/>
        </w:rPr>
      </w:pPr>
      <w:r w:rsidRPr="005B5614">
        <w:rPr>
          <w:rStyle w:val="markedcontent"/>
          <w:b/>
          <w:bCs/>
        </w:rPr>
        <w:t xml:space="preserve">Legal Lesson Learned: </w:t>
      </w:r>
      <w:r>
        <w:rPr>
          <w:rStyle w:val="markedcontent"/>
          <w:b/>
          <w:bCs/>
        </w:rPr>
        <w:t xml:space="preserve">In the fire service, typically Fire Chief are considered “executives” under FLSA and “exempt” from overtime pay.  Battalion Chiefs, and other lower ranked officers, may or may not be “exempt” based on their job duties.  </w:t>
      </w:r>
    </w:p>
    <w:p w14:paraId="089BE339" w14:textId="77777777" w:rsidR="00104A4C" w:rsidRDefault="00104A4C" w:rsidP="00104A4C">
      <w:pPr>
        <w:pStyle w:val="Heading1"/>
        <w:ind w:left="720"/>
        <w:rPr>
          <w:b w:val="0"/>
          <w:bCs w:val="0"/>
          <w:sz w:val="24"/>
          <w:szCs w:val="24"/>
        </w:rPr>
      </w:pPr>
      <w:r w:rsidRPr="00F76346">
        <w:rPr>
          <w:b w:val="0"/>
          <w:bCs w:val="0"/>
          <w:sz w:val="24"/>
          <w:szCs w:val="24"/>
        </w:rPr>
        <w:t xml:space="preserve">See this article: Battalion Chiefs, Executive Exemption, and Overtime (Sept. 17, 2018): </w:t>
      </w:r>
      <w:hyperlink r:id="rId1822" w:history="1">
        <w:r w:rsidRPr="00933DFB">
          <w:rPr>
            <w:rStyle w:val="Hyperlink"/>
            <w:rFonts w:eastAsiaTheme="majorEastAsia"/>
            <w:b w:val="0"/>
            <w:bCs w:val="0"/>
            <w:sz w:val="24"/>
            <w:szCs w:val="24"/>
          </w:rPr>
          <w:t>http://www.firefighterovertime.org/2018/09/17/battalion/</w:t>
        </w:r>
      </w:hyperlink>
      <w:r w:rsidRPr="00F76346">
        <w:rPr>
          <w:b w:val="0"/>
          <w:bCs w:val="0"/>
          <w:sz w:val="24"/>
          <w:szCs w:val="24"/>
        </w:rPr>
        <w:t xml:space="preserve"> </w:t>
      </w:r>
    </w:p>
    <w:p w14:paraId="5F68BA34" w14:textId="77777777" w:rsidR="00104A4C" w:rsidRPr="00F504E7" w:rsidRDefault="00104A4C" w:rsidP="00104A4C">
      <w:pPr>
        <w:pStyle w:val="Heading1"/>
        <w:ind w:left="720"/>
        <w:rPr>
          <w:b w:val="0"/>
          <w:bCs w:val="0"/>
          <w:sz w:val="24"/>
          <w:szCs w:val="24"/>
        </w:rPr>
      </w:pPr>
      <w:r w:rsidRPr="00F504E7">
        <w:rPr>
          <w:b w:val="0"/>
          <w:bCs w:val="0"/>
          <w:sz w:val="24"/>
          <w:szCs w:val="24"/>
        </w:rPr>
        <w:t xml:space="preserve">See Feb. 22, </w:t>
      </w:r>
      <w:proofErr w:type="gramStart"/>
      <w:r w:rsidRPr="00F504E7">
        <w:rPr>
          <w:b w:val="0"/>
          <w:bCs w:val="0"/>
          <w:sz w:val="24"/>
          <w:szCs w:val="24"/>
        </w:rPr>
        <w:t>2023</w:t>
      </w:r>
      <w:proofErr w:type="gramEnd"/>
      <w:r w:rsidRPr="00F504E7">
        <w:rPr>
          <w:b w:val="0"/>
          <w:bCs w:val="0"/>
          <w:sz w:val="24"/>
          <w:szCs w:val="24"/>
        </w:rPr>
        <w:t xml:space="preserve"> article on the Supreme Court’s decision: </w:t>
      </w:r>
      <w:r>
        <w:rPr>
          <w:b w:val="0"/>
          <w:bCs w:val="0"/>
          <w:sz w:val="24"/>
          <w:szCs w:val="24"/>
        </w:rPr>
        <w:t>“</w:t>
      </w:r>
      <w:r w:rsidRPr="00F504E7">
        <w:rPr>
          <w:b w:val="0"/>
          <w:bCs w:val="0"/>
          <w:sz w:val="24"/>
          <w:szCs w:val="24"/>
        </w:rPr>
        <w:t>Supreme Court Upholds Salary Requirement for Overtime Exemption</w:t>
      </w:r>
      <w:r>
        <w:rPr>
          <w:b w:val="0"/>
          <w:bCs w:val="0"/>
          <w:sz w:val="24"/>
          <w:szCs w:val="24"/>
        </w:rPr>
        <w:t xml:space="preserve">.” </w:t>
      </w:r>
      <w:hyperlink r:id="rId1823" w:history="1">
        <w:r w:rsidRPr="00933DFB">
          <w:rPr>
            <w:rStyle w:val="Hyperlink"/>
            <w:rFonts w:eastAsiaTheme="majorEastAsia"/>
            <w:b w:val="0"/>
            <w:bCs w:val="0"/>
            <w:sz w:val="24"/>
            <w:szCs w:val="24"/>
          </w:rPr>
          <w:t>https://www.shrm.org/resourcesandtools/legal-and-compliance/employment-law/pages/supreme-court-helix-flsa-exemption.aspx</w:t>
        </w:r>
      </w:hyperlink>
      <w:r>
        <w:rPr>
          <w:b w:val="0"/>
          <w:bCs w:val="0"/>
          <w:sz w:val="24"/>
          <w:szCs w:val="24"/>
        </w:rPr>
        <w:t xml:space="preserve"> </w:t>
      </w:r>
      <w:r w:rsidRPr="00F504E7">
        <w:rPr>
          <w:b w:val="0"/>
          <w:bCs w:val="0"/>
          <w:sz w:val="24"/>
          <w:szCs w:val="24"/>
        </w:rPr>
        <w:t xml:space="preserve"> </w:t>
      </w:r>
    </w:p>
    <w:p w14:paraId="216D60BA" w14:textId="77777777" w:rsidR="00104A4C" w:rsidRDefault="00104A4C" w:rsidP="00F326E5">
      <w:pPr>
        <w:rPr>
          <w:rFonts w:ascii="Arial Black" w:hAnsi="Arial Black"/>
          <w:b/>
          <w:sz w:val="24"/>
          <w:szCs w:val="24"/>
        </w:rPr>
      </w:pPr>
    </w:p>
    <w:p w14:paraId="72FB6AF6" w14:textId="2BF4197C" w:rsidR="008A4533" w:rsidRDefault="008A4533" w:rsidP="00F326E5">
      <w:pPr>
        <w:rPr>
          <w:rFonts w:ascii="Arial Black" w:hAnsi="Arial Black"/>
          <w:b/>
          <w:sz w:val="24"/>
          <w:szCs w:val="24"/>
        </w:rPr>
      </w:pPr>
      <w:r>
        <w:rPr>
          <w:rFonts w:ascii="Arial Black" w:hAnsi="Arial Black"/>
          <w:b/>
          <w:sz w:val="24"/>
          <w:szCs w:val="24"/>
        </w:rPr>
        <w:t>11-3</w:t>
      </w:r>
      <w:r w:rsidR="009601CD">
        <w:rPr>
          <w:rFonts w:ascii="Arial Black" w:hAnsi="Arial Black"/>
          <w:b/>
          <w:sz w:val="24"/>
          <w:szCs w:val="24"/>
        </w:rPr>
        <w:t>9</w:t>
      </w:r>
    </w:p>
    <w:p w14:paraId="647277E3" w14:textId="77777777" w:rsidR="008A4533" w:rsidRPr="00DC6943" w:rsidRDefault="008A4533" w:rsidP="008A4533">
      <w:pPr>
        <w:pStyle w:val="NormalWeb"/>
        <w:rPr>
          <w:rFonts w:ascii="Arial Black" w:hAnsi="Arial Black"/>
          <w:sz w:val="28"/>
          <w:szCs w:val="28"/>
        </w:rPr>
      </w:pPr>
      <w:r>
        <w:rPr>
          <w:rFonts w:ascii="Arial Black" w:hAnsi="Arial Black"/>
          <w:sz w:val="28"/>
          <w:szCs w:val="28"/>
        </w:rPr>
        <w:t>OH: FLSA – 7(K) EXEMPTION APPLIES TO SMALL UNINCORP. TOWNSHIPS – OVERTIME ONLY AFTER 53 HOURS / NOT 40</w:t>
      </w:r>
    </w:p>
    <w:p w14:paraId="166E38A0" w14:textId="77777777" w:rsidR="008A4533" w:rsidRDefault="008A4533" w:rsidP="008A4533">
      <w:pPr>
        <w:pStyle w:val="NormalWeb"/>
      </w:pPr>
      <w:r>
        <w:t xml:space="preserve">On Jan. 11, 2023, in </w:t>
      </w:r>
      <w:r w:rsidRPr="0036596D">
        <w:rPr>
          <w:u w:val="single"/>
        </w:rPr>
        <w:t>Phillip Strzalkowski v. Mary Ann Township</w:t>
      </w:r>
      <w:r>
        <w:t xml:space="preserve">, Chief U.S. District Court Judge Algenon L. Marbley, U.S. District Court for Southern District of Ohio, held that a former fulltime firefighter with Mary Ann Township, an unincorporated civil township located in northeastern Licking County, Ohio, is covered by the 7(K) exemption, and he is not entitled to overtime after 40 hours. Larger townships (i.e., with a population of 2,500 or more) are authorized to adopt a </w:t>
      </w:r>
      <w:proofErr w:type="gramStart"/>
      <w:r>
        <w:t>limited home</w:t>
      </w:r>
      <w:proofErr w:type="gramEnd"/>
      <w:r>
        <w:t xml:space="preserve"> </w:t>
      </w:r>
      <w:proofErr w:type="gramStart"/>
      <w:r>
        <w:t>rule government</w:t>
      </w:r>
      <w:proofErr w:type="gramEnd"/>
      <w:r>
        <w:t xml:space="preserve">. </w:t>
      </w:r>
      <w:r w:rsidRPr="008708F4">
        <w:t>Strzalkowski</w:t>
      </w:r>
      <w:r>
        <w:rPr>
          <w:u w:val="single"/>
        </w:rPr>
        <w:t xml:space="preserve"> b</w:t>
      </w:r>
      <w:r>
        <w:t xml:space="preserve">ecame a full-time firefighter with the township in </w:t>
      </w:r>
      <w:proofErr w:type="gramStart"/>
      <w:r>
        <w:t>2019, and</w:t>
      </w:r>
      <w:proofErr w:type="gramEnd"/>
      <w:r>
        <w:t xml:space="preserve"> continued in that role until August 9, 2021. He often worked more than 40 hours per week, and was given overtime pay (i.e., time-and-a-half pay, or 1.5 times his regular hourly wages) for time worked </w:t>
      </w:r>
      <w:proofErr w:type="gramStart"/>
      <w:r>
        <w:t>in excess of</w:t>
      </w:r>
      <w:proofErr w:type="gramEnd"/>
      <w:r>
        <w:t xml:space="preserve"> 106 hours during each two-week work period.</w:t>
      </w:r>
      <w:r>
        <w:rPr>
          <w:b/>
          <w:bCs/>
        </w:rPr>
        <w:t xml:space="preserve"> </w:t>
      </w:r>
      <w:r>
        <w:t>The Court held that a civil township (1,308 in Ohio) qualifies as “a municipality, county, fire district, or State” under the Fair Labor Standards Act. “Ultimately, it is clear to this Court that § 3(y) was not intended to exclude the numerous unincorporated local government units across the United States that provide fire protection services to their residents. The language of the statute is ambiguous as to the question of incorporation: as noted, whether the definition of municipality includes only incorporated local governments depends on the dictionary one cites.”</w:t>
      </w:r>
      <w:hyperlink r:id="rId1824" w:history="1">
        <w:r w:rsidRPr="006E56EF">
          <w:rPr>
            <w:rStyle w:val="Hyperlink"/>
          </w:rPr>
          <w:t>https://public.fastcase.com/J%2FJP6pdidelsXxEE4k%2BLMlJvV4SJAfGPsaCb1kEJI4NiHVvOih0KoHLgsQ3SFDCtHhkE7RYPh6rKF3vfpYjTBRyXwDRXesvaMheieGfjP1w%3D?utm_medium=email&amp;_hsmi=226712652&amp;_hsenc=p2ANqtz--UObyDUMiaZSwq-4NoEzNR5o4eO8V_D5uKHJYL4ZZ256ZhZPYzbGLx-gR6MhxNsQvJKJXWqSitgcrGqHUpT5pkRHztzQ&amp;utm_content=226712652&amp;utm_source=hs_emai</w:t>
        </w:r>
      </w:hyperlink>
      <w:r>
        <w:t xml:space="preserve"> </w:t>
      </w:r>
    </w:p>
    <w:p w14:paraId="1D7F20F4" w14:textId="77777777" w:rsidR="008A4533" w:rsidRDefault="008A4533" w:rsidP="008A4533">
      <w:pPr>
        <w:pStyle w:val="NormalWeb"/>
        <w:ind w:left="720"/>
      </w:pPr>
      <w:r>
        <w:lastRenderedPageBreak/>
        <w:t>“FLSA is a federal statute, applicable nationwide; the firefighter exemption applies in all fifty states, many of which use different names for their local governments. Given that background, this Court concludes that § 7(k) was intended by Congress to be applicable for the broad spectrum of local governments across the country that offer fire protection services, regardless of nomenclature or incorporation status. The applicability of the exemption should not depend on how a particular state labels its administrative subdivisions.</w:t>
      </w:r>
    </w:p>
    <w:p w14:paraId="311FE76A" w14:textId="77777777" w:rsidR="008A4533" w:rsidRDefault="008A4533" w:rsidP="008A4533">
      <w:pPr>
        <w:pStyle w:val="NormalWeb"/>
        <w:ind w:left="720"/>
      </w:pPr>
      <w:r>
        <w:t>***</w:t>
      </w:r>
    </w:p>
    <w:p w14:paraId="2FFD9EE2" w14:textId="77777777" w:rsidR="008A4533" w:rsidRDefault="008A4533" w:rsidP="008A4533">
      <w:pPr>
        <w:pStyle w:val="NormalWeb"/>
        <w:ind w:left="720"/>
      </w:pPr>
      <w:r>
        <w:t>But Congress created the § 7(k) exemption for public fire protection personnel, in acknowledgement of the unique schedules that firefighters work, and added the § 3(y) definition to expand, not limit, the scope of the firefighter exemption. A fair reading of Congress's intent leads to the inescapable conclusion that Mary Ann Township is a municipality under 29 U.S.C. § 203(y) and is authorized pay its firefighters according to the partial overtime exemption in 29 U.S.C. § 207(k).”</w:t>
      </w:r>
    </w:p>
    <w:p w14:paraId="2FC5019E" w14:textId="77777777" w:rsidR="008A4533" w:rsidRPr="0047379E" w:rsidRDefault="008A4533" w:rsidP="008A4533">
      <w:pPr>
        <w:pStyle w:val="NormalWeb"/>
        <w:rPr>
          <w:b/>
          <w:bCs/>
        </w:rPr>
      </w:pPr>
      <w:r w:rsidRPr="0047379E">
        <w:rPr>
          <w:b/>
          <w:bCs/>
        </w:rPr>
        <w:t>Legal Lesson Learned:</w:t>
      </w:r>
      <w:r>
        <w:rPr>
          <w:b/>
          <w:bCs/>
        </w:rPr>
        <w:t xml:space="preserve"> Important decision for 1,308 small, unincorporated civil townships in Ohio; their career firefighters are entitled to overtime, like </w:t>
      </w:r>
      <w:proofErr w:type="gramStart"/>
      <w:r>
        <w:rPr>
          <w:b/>
          <w:bCs/>
        </w:rPr>
        <w:t>firefighter</w:t>
      </w:r>
      <w:proofErr w:type="gramEnd"/>
      <w:r>
        <w:rPr>
          <w:b/>
          <w:bCs/>
        </w:rPr>
        <w:t xml:space="preserve"> in larger townships with 2,500 residents, after 106 hours in a 14-day period, or 53 hours in a 7-day period.</w:t>
      </w:r>
    </w:p>
    <w:p w14:paraId="27939972" w14:textId="77777777" w:rsidR="008A4533" w:rsidRDefault="008A4533" w:rsidP="00F326E5">
      <w:pPr>
        <w:rPr>
          <w:rFonts w:ascii="Arial Black" w:hAnsi="Arial Black"/>
          <w:b/>
          <w:sz w:val="24"/>
          <w:szCs w:val="24"/>
        </w:rPr>
      </w:pPr>
    </w:p>
    <w:p w14:paraId="5A4C5D1A" w14:textId="77777777" w:rsidR="008A4533" w:rsidRDefault="008A4533" w:rsidP="00F326E5">
      <w:pPr>
        <w:rPr>
          <w:rFonts w:ascii="Arial Black" w:hAnsi="Arial Black"/>
          <w:b/>
          <w:sz w:val="24"/>
          <w:szCs w:val="24"/>
        </w:rPr>
      </w:pPr>
    </w:p>
    <w:p w14:paraId="7B7861B6" w14:textId="70C488B9" w:rsidR="00BA3CDE" w:rsidRDefault="00BA3CDE" w:rsidP="00F326E5">
      <w:pPr>
        <w:rPr>
          <w:rFonts w:ascii="Arial Black" w:hAnsi="Arial Black"/>
          <w:b/>
          <w:sz w:val="24"/>
          <w:szCs w:val="24"/>
        </w:rPr>
      </w:pPr>
      <w:r>
        <w:rPr>
          <w:rFonts w:ascii="Arial Black" w:hAnsi="Arial Black"/>
          <w:b/>
          <w:sz w:val="24"/>
          <w:szCs w:val="24"/>
        </w:rPr>
        <w:t>11-3</w:t>
      </w:r>
      <w:r w:rsidR="00912048">
        <w:rPr>
          <w:rFonts w:ascii="Arial Black" w:hAnsi="Arial Black"/>
          <w:b/>
          <w:sz w:val="24"/>
          <w:szCs w:val="24"/>
        </w:rPr>
        <w:t>8</w:t>
      </w:r>
    </w:p>
    <w:p w14:paraId="16303F7C" w14:textId="77777777" w:rsidR="00BA3CDE" w:rsidRPr="006A274F" w:rsidRDefault="00BA3CDE" w:rsidP="00BA3CDE">
      <w:pPr>
        <w:pStyle w:val="NormalWeb"/>
        <w:rPr>
          <w:rFonts w:ascii="Arial Black" w:hAnsi="Arial Black"/>
          <w:b/>
          <w:bCs/>
          <w:sz w:val="28"/>
          <w:szCs w:val="28"/>
        </w:rPr>
      </w:pPr>
      <w:r>
        <w:rPr>
          <w:rFonts w:ascii="Arial Black" w:hAnsi="Arial Black"/>
          <w:b/>
          <w:bCs/>
          <w:sz w:val="28"/>
          <w:szCs w:val="28"/>
        </w:rPr>
        <w:t xml:space="preserve">CA: FLSA – SETTLEMENT SALARIED “REGIONAL DISASTER COORDINATOR” 16 COUNTIES - 71% OVERTIME CLAIMED </w:t>
      </w:r>
    </w:p>
    <w:p w14:paraId="540023F5" w14:textId="77777777" w:rsidR="00BA3CDE" w:rsidRDefault="00BA3CDE" w:rsidP="00BA3CDE">
      <w:pPr>
        <w:pStyle w:val="NormalWeb"/>
      </w:pPr>
      <w:r w:rsidRPr="006A274F">
        <w:t xml:space="preserve">On Dec. 9, 2022, in </w:t>
      </w:r>
      <w:r w:rsidRPr="006A274F">
        <w:rPr>
          <w:u w:val="single"/>
        </w:rPr>
        <w:t>Aram Bronston v. County of Alameda</w:t>
      </w:r>
      <w:r>
        <w:t xml:space="preserve">, U.S. Magistrate Judge Alex G. Tse, U.S. District Court for Northern District of California (San Francisco Division) approved the settlement: $97,448 to Mr. Bronston, and $52,531 to his attorney.  His original claim was for $135,000 in unpaid overtime and an equal amount in liquidated damages.  The plaintiff worked for 21 months as an EMS Coordinator, with job title of “Regional Disaster Medical Health Specialist,” where he coordinated regional medical and health responses for 16 counties in Northern California in the event of an epidemic, natural disaster, power shutoff, other situation requiring the coordination of medical and health needs. He worked 1,400 hours of overtime during his employment from November 19, 2018, and August 21, 2020; he was paid as a salaried employee with no overtime pay.  The County contends that Plaintiff's position fell within the FLSA's administrative and highly compensated employee exemptions to its overtime requirement because: (1) Plaintiff met the weekly and annual salary requirements for each exemption; (2) performed non-manual work directly related to the County and the State's general business operations; and (3) exercised discretion and independent judgment as to matters of significance. </w:t>
      </w:r>
      <w:r>
        <w:rPr>
          <w:rStyle w:val="Emphasis"/>
        </w:rPr>
        <w:t>See</w:t>
      </w:r>
      <w:r>
        <w:t xml:space="preserve"> 29 C.F.R. §§ 541.200(a) &amp; 541.601(a)(1).  Mr. Bronston Plaintiff disputes that his job duties directly related to the County's general business operations and required him to exercise discretion and independent judgment with respect to matters of significance. The Court referred the case to Magistrate Judge Donna Ryu for a settlement conference, who held a settlement conference on November 7, 2022, during which the parties reached a settlement agreement, conditioned upon this Court's approval.</w:t>
      </w:r>
    </w:p>
    <w:p w14:paraId="2470496B" w14:textId="77777777" w:rsidR="00BA3CDE" w:rsidRDefault="00BA3CDE" w:rsidP="00BA3CDE">
      <w:pPr>
        <w:pStyle w:val="NormalWeb"/>
        <w:ind w:left="720"/>
      </w:pPr>
      <w:r>
        <w:t xml:space="preserve">“The Court finds that the proposed agreement-which represents approximately seventy one percent of the overtime pay Plaintiff claims that he is due and seventy four percent of the attorney's fees and costs that Plaintiff claims would be recoverable as of the date of the settlement conference were this matter to proceed to trial-reflects a reasonable compromise with respect to these difficult issues. “  </w:t>
      </w:r>
      <w:hyperlink r:id="rId1825" w:history="1">
        <w:r w:rsidRPr="00237809">
          <w:rPr>
            <w:rStyle w:val="Hyperlink"/>
            <w:rFonts w:eastAsiaTheme="majorEastAsia"/>
          </w:rPr>
          <w:t>https://public.fastcase.com/J%2FJP6pdidelsXxEE4k%2BLMiCd6Oijia%2Fc6dpDEIpvDgGdBy7usCtPvTYolvlwqFI2OWdzcN0GLk8kd6eOjq%2BBgMFCfp0NjuKJ0H4Eu6Lk4a8%3D?utm_medium=email&amp;_hsmi=226712652&amp;_hsenc=p2ANqtz-_pRHETuUebeWpUr_lBMH_-KDZL8nDlWZhRdTrL-TINRZ0QEuK3FTmopjSHxO-qjinMuMJlbokRF3HYxxN6yYg5FnBUqg&amp;utm_content=226712652&amp;utm_source=hs_email</w:t>
        </w:r>
      </w:hyperlink>
      <w:r>
        <w:t xml:space="preserve"> </w:t>
      </w:r>
    </w:p>
    <w:p w14:paraId="02BD586E" w14:textId="77777777" w:rsidR="00BA3CDE" w:rsidRPr="00015813" w:rsidRDefault="00BA3CDE" w:rsidP="00BA3CDE">
      <w:pPr>
        <w:pStyle w:val="NormalWeb"/>
        <w:rPr>
          <w:b/>
          <w:bCs/>
        </w:rPr>
      </w:pPr>
      <w:r w:rsidRPr="00015813">
        <w:rPr>
          <w:b/>
          <w:bCs/>
        </w:rPr>
        <w:t xml:space="preserve">Legal Lesson Learned: </w:t>
      </w:r>
      <w:r>
        <w:rPr>
          <w:b/>
          <w:bCs/>
        </w:rPr>
        <w:t xml:space="preserve"> Settlement of the case avoids the expense and risk to both parties of protracted litigation.  </w:t>
      </w:r>
    </w:p>
    <w:p w14:paraId="0212616D" w14:textId="34F61D2C" w:rsidR="00BA3CDE" w:rsidRDefault="00BA3CDE" w:rsidP="00BA3CDE">
      <w:pPr>
        <w:ind w:firstLine="720"/>
        <w:rPr>
          <w:rFonts w:ascii="Arial Black" w:hAnsi="Arial Black"/>
          <w:b/>
          <w:sz w:val="24"/>
          <w:szCs w:val="24"/>
        </w:rPr>
      </w:pPr>
      <w:r>
        <w:t xml:space="preserve">Note: See article on this settlement. </w:t>
      </w:r>
      <w:hyperlink r:id="rId1826" w:history="1">
        <w:r w:rsidRPr="00237809">
          <w:rPr>
            <w:rStyle w:val="Hyperlink"/>
            <w:rFonts w:eastAsiaTheme="majorEastAsia"/>
          </w:rPr>
          <w:t>http://www.firefighterovertime.org/2022/12/12/ca-county-settles-flsa-suit/</w:t>
        </w:r>
      </w:hyperlink>
    </w:p>
    <w:p w14:paraId="1F9C5C71" w14:textId="77777777" w:rsidR="00BA3CDE" w:rsidRDefault="00BA3CDE" w:rsidP="00F326E5">
      <w:pPr>
        <w:rPr>
          <w:rFonts w:ascii="Arial Black" w:hAnsi="Arial Black"/>
          <w:b/>
          <w:sz w:val="24"/>
          <w:szCs w:val="24"/>
        </w:rPr>
      </w:pPr>
    </w:p>
    <w:p w14:paraId="29C73C68" w14:textId="1369E804" w:rsidR="00F04A7D" w:rsidRDefault="00F04A7D" w:rsidP="00F326E5">
      <w:pPr>
        <w:rPr>
          <w:rFonts w:ascii="Arial Black" w:hAnsi="Arial Black"/>
          <w:b/>
          <w:sz w:val="24"/>
          <w:szCs w:val="24"/>
        </w:rPr>
      </w:pPr>
      <w:r>
        <w:rPr>
          <w:rFonts w:ascii="Arial Black" w:hAnsi="Arial Black"/>
          <w:b/>
          <w:sz w:val="24"/>
          <w:szCs w:val="24"/>
        </w:rPr>
        <w:t>11-3</w:t>
      </w:r>
      <w:r w:rsidR="00912048">
        <w:rPr>
          <w:rFonts w:ascii="Arial Black" w:hAnsi="Arial Black"/>
          <w:b/>
          <w:sz w:val="24"/>
          <w:szCs w:val="24"/>
        </w:rPr>
        <w:t>7</w:t>
      </w:r>
    </w:p>
    <w:p w14:paraId="7C3E1D52" w14:textId="77777777" w:rsidR="00282AF3" w:rsidRPr="006E476B" w:rsidRDefault="00282AF3" w:rsidP="00282AF3">
      <w:pPr>
        <w:spacing w:before="100" w:beforeAutospacing="1" w:after="100" w:afterAutospacing="1" w:line="240" w:lineRule="auto"/>
        <w:rPr>
          <w:rFonts w:ascii="Arial Black" w:eastAsia="Times New Roman" w:hAnsi="Arial Black"/>
          <w:sz w:val="28"/>
          <w:szCs w:val="28"/>
        </w:rPr>
      </w:pPr>
      <w:bookmarkStart w:id="385" w:name="_Hlk112723375"/>
      <w:r>
        <w:rPr>
          <w:rFonts w:ascii="Arial Black" w:eastAsia="Times New Roman" w:hAnsi="Arial Black"/>
          <w:sz w:val="28"/>
          <w:szCs w:val="28"/>
        </w:rPr>
        <w:t>RI: FD IN RECEIVERSHIP – “CAP” OVERTIME PAY IN CBA – FLSA VIOL. – BACKPAY &amp; LIQUIDATED DAMAGES $279,969</w:t>
      </w:r>
    </w:p>
    <w:bookmarkEnd w:id="385"/>
    <w:p w14:paraId="500A89DD" w14:textId="6CD5E528" w:rsidR="00F04A7D" w:rsidRDefault="00282AF3" w:rsidP="00282AF3">
      <w:pPr>
        <w:rPr>
          <w:rStyle w:val="Hyperlink"/>
          <w:rFonts w:ascii="Times New Roman" w:eastAsiaTheme="majorEastAsia" w:hAnsi="Times New Roman"/>
          <w:sz w:val="24"/>
          <w:szCs w:val="24"/>
        </w:rPr>
      </w:pPr>
      <w:r w:rsidRPr="00282AF3">
        <w:rPr>
          <w:rFonts w:ascii="Times New Roman" w:hAnsi="Times New Roman"/>
          <w:sz w:val="24"/>
          <w:szCs w:val="24"/>
        </w:rPr>
        <w:t xml:space="preserve">On Aug. 19, 2022, in </w:t>
      </w:r>
      <w:r w:rsidRPr="00282AF3">
        <w:rPr>
          <w:rFonts w:ascii="Times New Roman" w:hAnsi="Times New Roman"/>
          <w:sz w:val="24"/>
          <w:szCs w:val="24"/>
          <w:u w:val="single"/>
        </w:rPr>
        <w:t>James Almagno, on behalf of all similarly situated current and former employees v. Central Coventry Fire District</w:t>
      </w:r>
      <w:r w:rsidRPr="00282AF3">
        <w:rPr>
          <w:rFonts w:ascii="Times New Roman" w:hAnsi="Times New Roman"/>
          <w:sz w:val="24"/>
          <w:szCs w:val="24"/>
        </w:rPr>
        <w:t xml:space="preserve">, U.S. District Court Judge John J. McConnell, Jr., U.S. District Court of Rhode Island, the Judge held that cap on overtime pay in the CBA violated FLSA. “The CBA also caps overtime paid. Under Article III, Section 3 of the CBA, ‘when the </w:t>
      </w:r>
      <w:proofErr w:type="gramStart"/>
      <w:r w:rsidRPr="00282AF3">
        <w:rPr>
          <w:rFonts w:ascii="Times New Roman" w:hAnsi="Times New Roman"/>
          <w:sz w:val="24"/>
          <w:szCs w:val="24"/>
        </w:rPr>
        <w:t>District</w:t>
      </w:r>
      <w:proofErr w:type="gramEnd"/>
      <w:r w:rsidRPr="00282AF3">
        <w:rPr>
          <w:rFonts w:ascii="Times New Roman" w:hAnsi="Times New Roman"/>
          <w:sz w:val="24"/>
          <w:szCs w:val="24"/>
        </w:rPr>
        <w:t xml:space="preserve"> reaches One Hundred Twenty Thousand Dollars ($120,000.00) in overtime expenses (i.e., time-and-one-half pay) in any fiscal year...the </w:t>
      </w:r>
      <w:proofErr w:type="gramStart"/>
      <w:r w:rsidRPr="00282AF3">
        <w:rPr>
          <w:rFonts w:ascii="Times New Roman" w:hAnsi="Times New Roman"/>
          <w:sz w:val="24"/>
          <w:szCs w:val="24"/>
        </w:rPr>
        <w:t>District</w:t>
      </w:r>
      <w:proofErr w:type="gramEnd"/>
      <w:r w:rsidRPr="00282AF3">
        <w:rPr>
          <w:rFonts w:ascii="Times New Roman" w:hAnsi="Times New Roman"/>
          <w:sz w:val="24"/>
          <w:szCs w:val="24"/>
        </w:rPr>
        <w:t xml:space="preserve"> shall pay firefighters...their straight time hourly rate... for each hour actually worked in excess of 212 hours. *** Relying on the DOL's investigation, Plaintiffs now move for summary judgment, arguing that there are no disputed issues of material fact as to the </w:t>
      </w:r>
      <w:proofErr w:type="gramStart"/>
      <w:r w:rsidRPr="00282AF3">
        <w:rPr>
          <w:rFonts w:ascii="Times New Roman" w:hAnsi="Times New Roman"/>
          <w:sz w:val="24"/>
          <w:szCs w:val="24"/>
        </w:rPr>
        <w:t>District's</w:t>
      </w:r>
      <w:proofErr w:type="gramEnd"/>
      <w:r w:rsidRPr="00282AF3">
        <w:rPr>
          <w:rFonts w:ascii="Times New Roman" w:hAnsi="Times New Roman"/>
          <w:sz w:val="24"/>
          <w:szCs w:val="24"/>
        </w:rPr>
        <w:t xml:space="preserve"> liability or damages such that they are entitled to judgment. After a thorough review of the briefing and record, the Court GRANTS Plaintiffs Motion for Summary Judgment. *** Considering the statutory double damage requirement for all but “reasonable,” ‘good faith’ mistakes, the Court finds that Plaintiffs are entitled to liquidated damages of $279,969.68. See 29 U.S.C. §§ 216(b), 260.” </w:t>
      </w:r>
      <w:hyperlink r:id="rId1827" w:history="1">
        <w:r w:rsidRPr="00282AF3">
          <w:rPr>
            <w:rStyle w:val="Hyperlink"/>
            <w:rFonts w:ascii="Times New Roman" w:eastAsiaTheme="majorEastAsia" w:hAnsi="Times New Roman"/>
            <w:sz w:val="24"/>
            <w:szCs w:val="24"/>
          </w:rPr>
          <w:t>https://public.fastcase.com/J%2FJP6pdidelsXxEE4k%2BLMr0y9kFOAzIUnYfOqh5rzor5PqJTkzf5B1o34%2FZmTTqCNP3Iy4k13qLiNXQ3dhjTd98I5NdjhvTfnAcaeUtmaKs%3D</w:t>
        </w:r>
      </w:hyperlink>
    </w:p>
    <w:p w14:paraId="51FCFA9D" w14:textId="77777777" w:rsidR="00282AF3" w:rsidRPr="00C0439B" w:rsidRDefault="00282AF3" w:rsidP="00282AF3">
      <w:pPr>
        <w:spacing w:before="100" w:beforeAutospacing="1" w:after="100" w:afterAutospacing="1" w:line="240" w:lineRule="auto"/>
        <w:rPr>
          <w:rFonts w:ascii="Times New Roman" w:eastAsia="Times New Roman" w:hAnsi="Times New Roman"/>
          <w:b/>
          <w:bCs/>
          <w:sz w:val="24"/>
          <w:szCs w:val="24"/>
        </w:rPr>
      </w:pPr>
      <w:r w:rsidRPr="00C0439B">
        <w:rPr>
          <w:rFonts w:ascii="Times New Roman" w:eastAsia="Times New Roman" w:hAnsi="Times New Roman"/>
          <w:b/>
          <w:bCs/>
          <w:sz w:val="24"/>
          <w:szCs w:val="24"/>
        </w:rPr>
        <w:t>Legal Lesson Learned:</w:t>
      </w:r>
      <w:r>
        <w:rPr>
          <w:rFonts w:ascii="Times New Roman" w:eastAsia="Times New Roman" w:hAnsi="Times New Roman"/>
          <w:b/>
          <w:bCs/>
          <w:sz w:val="24"/>
          <w:szCs w:val="24"/>
        </w:rPr>
        <w:t xml:space="preserve"> The Fire Department and the Union </w:t>
      </w:r>
      <w:proofErr w:type="spellStart"/>
      <w:r>
        <w:rPr>
          <w:rFonts w:ascii="Times New Roman" w:eastAsia="Times New Roman" w:hAnsi="Times New Roman"/>
          <w:b/>
          <w:bCs/>
          <w:sz w:val="24"/>
          <w:szCs w:val="24"/>
        </w:rPr>
        <w:t>can not</w:t>
      </w:r>
      <w:proofErr w:type="spellEnd"/>
      <w:r>
        <w:rPr>
          <w:rFonts w:ascii="Times New Roman" w:eastAsia="Times New Roman" w:hAnsi="Times New Roman"/>
          <w:b/>
          <w:bCs/>
          <w:sz w:val="24"/>
          <w:szCs w:val="24"/>
        </w:rPr>
        <w:t xml:space="preserve"> agree to “cap” overtime pay in violation of the FLSA. </w:t>
      </w:r>
    </w:p>
    <w:p w14:paraId="71273AE4" w14:textId="77777777" w:rsidR="00282AF3" w:rsidRPr="003F16DC" w:rsidRDefault="00282AF3" w:rsidP="00282AF3">
      <w:pPr>
        <w:pStyle w:val="Heading1"/>
        <w:ind w:left="720"/>
        <w:rPr>
          <w:b w:val="0"/>
          <w:bCs w:val="0"/>
          <w:sz w:val="24"/>
          <w:szCs w:val="24"/>
        </w:rPr>
      </w:pPr>
      <w:r w:rsidRPr="00BD1685">
        <w:rPr>
          <w:b w:val="0"/>
          <w:bCs w:val="0"/>
          <w:sz w:val="24"/>
          <w:szCs w:val="24"/>
        </w:rPr>
        <w:t xml:space="preserve">Note: See article, Oct. 22, 2020, Central Coventry firefighters sue, claiming district stiffed them on overtime. </w:t>
      </w:r>
      <w:hyperlink r:id="rId1828" w:history="1">
        <w:r w:rsidRPr="004073E4">
          <w:rPr>
            <w:rStyle w:val="Hyperlink"/>
            <w:rFonts w:eastAsiaTheme="majorEastAsia"/>
            <w:b w:val="0"/>
            <w:bCs w:val="0"/>
            <w:sz w:val="24"/>
            <w:szCs w:val="24"/>
          </w:rPr>
          <w:t>https://www.providencejournal.com/story/news/courts/2020/10/20/central-coventry-firefighters-say-district-stiffed-them-overtime/5990213002/</w:t>
        </w:r>
      </w:hyperlink>
      <w:r w:rsidRPr="004073E4">
        <w:rPr>
          <w:b w:val="0"/>
          <w:bCs w:val="0"/>
          <w:sz w:val="24"/>
          <w:szCs w:val="24"/>
        </w:rPr>
        <w:t xml:space="preserve"> </w:t>
      </w:r>
      <w:r w:rsidRPr="004073E4">
        <w:rPr>
          <w:rStyle w:val="Strong"/>
          <w:sz w:val="24"/>
          <w:szCs w:val="24"/>
        </w:rPr>
        <w:t>“The suit follows</w:t>
      </w:r>
      <w:r w:rsidRPr="004073E4">
        <w:rPr>
          <w:b w:val="0"/>
          <w:bCs w:val="0"/>
          <w:sz w:val="24"/>
          <w:szCs w:val="24"/>
        </w:rPr>
        <w:t xml:space="preserve"> a U.S. Department of Labor investigation, launched in 2018, that </w:t>
      </w:r>
      <w:r w:rsidRPr="00BD1685">
        <w:rPr>
          <w:b w:val="0"/>
          <w:bCs w:val="0"/>
          <w:sz w:val="24"/>
          <w:szCs w:val="24"/>
        </w:rPr>
        <w:t>found the district owed $139,484 in unpaid overtime to 32 employees accrued from 2016 through 2018.</w:t>
      </w:r>
      <w:r>
        <w:rPr>
          <w:b w:val="0"/>
          <w:bCs w:val="0"/>
          <w:sz w:val="24"/>
          <w:szCs w:val="24"/>
        </w:rPr>
        <w:t xml:space="preserve"> *** </w:t>
      </w:r>
      <w:r w:rsidRPr="003F16DC">
        <w:rPr>
          <w:rStyle w:val="Strong"/>
          <w:sz w:val="24"/>
          <w:szCs w:val="24"/>
        </w:rPr>
        <w:t>The lawsuit is</w:t>
      </w:r>
      <w:r w:rsidRPr="003F16DC">
        <w:rPr>
          <w:b w:val="0"/>
          <w:bCs w:val="0"/>
          <w:sz w:val="24"/>
          <w:szCs w:val="24"/>
        </w:rPr>
        <w:t xml:space="preserve"> yet another chapter in the district’s sometimes-strained relationship with its firefighters. The union and the district were long mired in the courts after the district’s financial troubles surfaced in 2012 and it was taken into receivership by the state.</w:t>
      </w:r>
      <w:r>
        <w:rPr>
          <w:b w:val="0"/>
          <w:bCs w:val="0"/>
          <w:sz w:val="24"/>
          <w:szCs w:val="24"/>
        </w:rPr>
        <w:t>”</w:t>
      </w:r>
    </w:p>
    <w:p w14:paraId="0B839522" w14:textId="77777777" w:rsidR="00282AF3" w:rsidRPr="00282AF3" w:rsidRDefault="00282AF3" w:rsidP="00282AF3">
      <w:pPr>
        <w:rPr>
          <w:rFonts w:ascii="Times New Roman" w:hAnsi="Times New Roman"/>
          <w:b/>
          <w:sz w:val="24"/>
          <w:szCs w:val="24"/>
        </w:rPr>
      </w:pPr>
    </w:p>
    <w:p w14:paraId="5334B0E2" w14:textId="77777777" w:rsidR="00F04A7D" w:rsidRDefault="00F04A7D" w:rsidP="00F326E5">
      <w:pPr>
        <w:rPr>
          <w:rFonts w:ascii="Arial Black" w:hAnsi="Arial Black"/>
          <w:b/>
          <w:sz w:val="24"/>
          <w:szCs w:val="24"/>
        </w:rPr>
      </w:pPr>
    </w:p>
    <w:p w14:paraId="6F3F7015" w14:textId="44D402BA" w:rsidR="00C67B2A" w:rsidRDefault="00C67B2A" w:rsidP="00F326E5">
      <w:pPr>
        <w:rPr>
          <w:rFonts w:ascii="Arial Black" w:hAnsi="Arial Black"/>
          <w:b/>
          <w:sz w:val="24"/>
          <w:szCs w:val="24"/>
        </w:rPr>
      </w:pPr>
      <w:r>
        <w:rPr>
          <w:rFonts w:ascii="Arial Black" w:hAnsi="Arial Black"/>
          <w:b/>
          <w:sz w:val="24"/>
          <w:szCs w:val="24"/>
        </w:rPr>
        <w:lastRenderedPageBreak/>
        <w:t>11-3</w:t>
      </w:r>
      <w:r w:rsidR="00912048">
        <w:rPr>
          <w:rFonts w:ascii="Arial Black" w:hAnsi="Arial Black"/>
          <w:b/>
          <w:sz w:val="24"/>
          <w:szCs w:val="24"/>
        </w:rPr>
        <w:t>6</w:t>
      </w:r>
    </w:p>
    <w:p w14:paraId="2AC60FE0" w14:textId="77777777" w:rsidR="00C67B2A" w:rsidRDefault="00C67B2A" w:rsidP="00C67B2A">
      <w:pPr>
        <w:pStyle w:val="NormalWeb"/>
        <w:rPr>
          <w:rFonts w:ascii="Arial Black" w:hAnsi="Arial Black"/>
          <w:sz w:val="28"/>
          <w:szCs w:val="28"/>
        </w:rPr>
      </w:pPr>
      <w:r>
        <w:rPr>
          <w:rFonts w:ascii="Arial Black" w:hAnsi="Arial Black"/>
          <w:sz w:val="28"/>
          <w:szCs w:val="28"/>
        </w:rPr>
        <w:t xml:space="preserve">PA: FIRST DEPUTY CHIEF – 1996 RE-CLASSIFIED AS “EXEMPT” - LAWSUIT TO PROCEED – JURY DECISION </w:t>
      </w:r>
    </w:p>
    <w:p w14:paraId="0B5BD9B9" w14:textId="77777777" w:rsidR="00C67B2A" w:rsidRDefault="00C67B2A" w:rsidP="00C67B2A">
      <w:pPr>
        <w:pStyle w:val="NormalWeb"/>
      </w:pPr>
      <w:r>
        <w:t xml:space="preserve">On Oct. 27, 2021, in </w:t>
      </w:r>
      <w:r w:rsidRPr="00BA1555">
        <w:rPr>
          <w:u w:val="single"/>
        </w:rPr>
        <w:t>Gary Mogel v. City of Reading</w:t>
      </w:r>
      <w:r>
        <w:t xml:space="preserve">, U.S. District Court Judge John M. Gallagher, U.S. District Court for Eastern District of Pennsylvania, denied motions for summary judgment by both the plaintiff and the city, and will have a jury decide if there has been a violation of FLSA.  The Court did hold that if the plaintiff does win, he is entitled to liquidated damages (double amount of back pay) since the City failed to show it contacted U.S. Department of Labor or consulted legal counsel when in 1996 it stopped paying overtime to First Chiefs. </w:t>
      </w:r>
    </w:p>
    <w:p w14:paraId="5DBC3D69" w14:textId="77777777" w:rsidR="00C67B2A" w:rsidRDefault="00C67B2A" w:rsidP="00C67B2A">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r w:rsidRPr="00607549">
        <w:rPr>
          <w:rFonts w:ascii="Times New Roman" w:hAnsi="Times New Roman"/>
          <w:sz w:val="24"/>
          <w:szCs w:val="24"/>
        </w:rPr>
        <w:t>In sum, each party has produced evidence that could persuade a jury to resolve the exemption issue in its favor. Since there remains a genuine dispute as to what Plaintiff's primary duty was, it would be inappropriate to enter summary judgment for either party on this issue.</w:t>
      </w:r>
    </w:p>
    <w:p w14:paraId="198CCF9F" w14:textId="77777777" w:rsidR="00C67B2A" w:rsidRDefault="00C67B2A" w:rsidP="00C67B2A">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p>
    <w:p w14:paraId="4A05BE82" w14:textId="77777777" w:rsidR="00C67B2A" w:rsidRDefault="00C67B2A" w:rsidP="00C67B2A">
      <w:pPr>
        <w:spacing w:before="100" w:beforeAutospacing="1" w:after="100" w:afterAutospacing="1" w:line="240" w:lineRule="auto"/>
        <w:ind w:left="720"/>
        <w:rPr>
          <w:rFonts w:ascii="Times New Roman" w:hAnsi="Times New Roman"/>
          <w:sz w:val="24"/>
          <w:szCs w:val="24"/>
        </w:rPr>
      </w:pPr>
      <w:r w:rsidRPr="00607549">
        <w:rPr>
          <w:rFonts w:ascii="Times New Roman" w:hAnsi="Times New Roman"/>
          <w:sz w:val="24"/>
          <w:szCs w:val="24"/>
        </w:rPr>
        <w:t xml:space="preserve">Defendant argues that caselaw from other circuit courts, the Department of Labor's regulations, and a Department of Labor opinion letter comport with Defendant's compensation scheme, and Defendant asks the Court to infer from the mere existence of these authorities that Defendant relied on them in good faith. </w:t>
      </w:r>
      <w:proofErr w:type="spellStart"/>
      <w:r w:rsidRPr="00607549">
        <w:rPr>
          <w:rFonts w:ascii="Times New Roman" w:hAnsi="Times New Roman"/>
          <w:sz w:val="24"/>
          <w:szCs w:val="24"/>
        </w:rPr>
        <w:t>Def.'s</w:t>
      </w:r>
      <w:proofErr w:type="spellEnd"/>
      <w:r w:rsidRPr="00607549">
        <w:rPr>
          <w:rFonts w:ascii="Times New Roman" w:hAnsi="Times New Roman"/>
          <w:sz w:val="24"/>
          <w:szCs w:val="24"/>
        </w:rPr>
        <w:t xml:space="preserve"> Mem. Law Opp. Pl.'s Mot. Summ. J. at 18. But Defendant has not produced any evidence that it </w:t>
      </w:r>
      <w:proofErr w:type="gramStart"/>
      <w:r w:rsidRPr="00607549">
        <w:rPr>
          <w:rFonts w:ascii="Times New Roman" w:hAnsi="Times New Roman"/>
          <w:sz w:val="24"/>
          <w:szCs w:val="24"/>
        </w:rPr>
        <w:t>actually reviewed</w:t>
      </w:r>
      <w:proofErr w:type="gramEnd"/>
      <w:r w:rsidRPr="00607549">
        <w:rPr>
          <w:rFonts w:ascii="Times New Roman" w:hAnsi="Times New Roman"/>
          <w:sz w:val="24"/>
          <w:szCs w:val="24"/>
        </w:rPr>
        <w:t xml:space="preserve"> or was aware of these authorities when it decided to stop paying First Deputies overtime or at any point thereafter. While these authorities might support a conclusion that Defendant had a reasonable basis to change compensation schemes, they cannot support a finding of good faith unless Defendant can show that Defendant </w:t>
      </w:r>
      <w:proofErr w:type="gramStart"/>
      <w:r w:rsidRPr="00607549">
        <w:rPr>
          <w:rFonts w:ascii="Times New Roman" w:hAnsi="Times New Roman"/>
          <w:sz w:val="24"/>
          <w:szCs w:val="24"/>
        </w:rPr>
        <w:t>actually consulted</w:t>
      </w:r>
      <w:proofErr w:type="gramEnd"/>
      <w:r w:rsidRPr="00607549">
        <w:rPr>
          <w:rFonts w:ascii="Times New Roman" w:hAnsi="Times New Roman"/>
          <w:sz w:val="24"/>
          <w:szCs w:val="24"/>
        </w:rPr>
        <w:t xml:space="preserve"> them</w:t>
      </w:r>
      <w:r>
        <w:rPr>
          <w:rFonts w:ascii="Times New Roman" w:hAnsi="Times New Roman"/>
          <w:sz w:val="24"/>
          <w:szCs w:val="24"/>
        </w:rPr>
        <w:t xml:space="preserve">…. </w:t>
      </w:r>
      <w:r w:rsidRPr="00607549">
        <w:rPr>
          <w:rFonts w:ascii="Times New Roman" w:hAnsi="Times New Roman"/>
          <w:sz w:val="24"/>
          <w:szCs w:val="24"/>
        </w:rPr>
        <w:t>It is yet to be determined whether Defendant's compensation scheme violated the FLSA. But if a jury finds that it did, then Plaintiff will be entitled to liquidated damages.</w:t>
      </w:r>
      <w:r>
        <w:rPr>
          <w:rFonts w:ascii="Times New Roman" w:hAnsi="Times New Roman"/>
          <w:sz w:val="24"/>
          <w:szCs w:val="24"/>
        </w:rPr>
        <w:t xml:space="preserve">” </w:t>
      </w:r>
      <w:hyperlink r:id="rId1829" w:history="1">
        <w:r w:rsidRPr="009545D0">
          <w:rPr>
            <w:rStyle w:val="Hyperlink"/>
            <w:sz w:val="24"/>
            <w:szCs w:val="24"/>
          </w:rPr>
          <w:t>https://public.fastcase.com/9SKwsfNqTc6OieYDhNMyM6wIjV%2FgrP6%2B9MDXlv1tVkNXweOaDt%2BbGPgPJ0OsLFYAPgMRGXfDo03cnu2EwM1JQQOl%2Bf0LG6cX5zSOobt1xqY%3D</w:t>
        </w:r>
      </w:hyperlink>
      <w:r>
        <w:rPr>
          <w:rFonts w:ascii="Times New Roman" w:hAnsi="Times New Roman"/>
          <w:sz w:val="24"/>
          <w:szCs w:val="24"/>
        </w:rPr>
        <w:t xml:space="preserve"> </w:t>
      </w:r>
    </w:p>
    <w:p w14:paraId="74DFD987" w14:textId="77777777" w:rsidR="00C67B2A" w:rsidRPr="00607549" w:rsidRDefault="00C67B2A" w:rsidP="00C67B2A">
      <w:pPr>
        <w:spacing w:before="100" w:beforeAutospacing="1" w:after="100" w:afterAutospacing="1" w:line="240" w:lineRule="auto"/>
        <w:rPr>
          <w:rFonts w:ascii="Times New Roman" w:hAnsi="Times New Roman"/>
          <w:b/>
          <w:bCs/>
          <w:sz w:val="24"/>
          <w:szCs w:val="24"/>
        </w:rPr>
      </w:pPr>
      <w:r w:rsidRPr="00607549">
        <w:rPr>
          <w:rFonts w:ascii="Times New Roman" w:hAnsi="Times New Roman"/>
          <w:b/>
          <w:bCs/>
          <w:sz w:val="24"/>
          <w:szCs w:val="24"/>
        </w:rPr>
        <w:t>Legal Lesson Learned:</w:t>
      </w:r>
      <w:r>
        <w:rPr>
          <w:rFonts w:ascii="Times New Roman" w:hAnsi="Times New Roman"/>
          <w:b/>
          <w:bCs/>
          <w:sz w:val="24"/>
          <w:szCs w:val="24"/>
        </w:rPr>
        <w:t xml:space="preserve"> If a FD is going to re-classify officers as “exempt” it is wise to consult with legal counsel or the U.S. Department of Labor to prove you acted in “good faith” to avoid liquidated damages. </w:t>
      </w:r>
    </w:p>
    <w:p w14:paraId="13D6995C" w14:textId="184E075B" w:rsidR="00C67B2A" w:rsidRDefault="00C67B2A" w:rsidP="00F326E5">
      <w:pPr>
        <w:rPr>
          <w:rFonts w:ascii="Arial Black" w:hAnsi="Arial Black"/>
          <w:b/>
          <w:sz w:val="24"/>
          <w:szCs w:val="24"/>
        </w:rPr>
      </w:pPr>
      <w:r>
        <w:rPr>
          <w:rFonts w:ascii="Arial Black" w:hAnsi="Arial Black"/>
          <w:b/>
          <w:sz w:val="24"/>
          <w:szCs w:val="24"/>
        </w:rPr>
        <w:t>11-3</w:t>
      </w:r>
      <w:r w:rsidR="00912048">
        <w:rPr>
          <w:rFonts w:ascii="Arial Black" w:hAnsi="Arial Black"/>
          <w:b/>
          <w:sz w:val="24"/>
          <w:szCs w:val="24"/>
        </w:rPr>
        <w:t>5</w:t>
      </w:r>
    </w:p>
    <w:p w14:paraId="3ABABD46" w14:textId="77777777" w:rsidR="00C67B2A" w:rsidRDefault="00C67B2A" w:rsidP="00C67B2A">
      <w:pPr>
        <w:rPr>
          <w:rFonts w:ascii="Arial Black" w:eastAsia="Times New Roman" w:hAnsi="Arial Black"/>
          <w:sz w:val="28"/>
          <w:szCs w:val="28"/>
        </w:rPr>
      </w:pPr>
      <w:r>
        <w:rPr>
          <w:rFonts w:ascii="Arial Black" w:eastAsia="Times New Roman" w:hAnsi="Arial Black"/>
          <w:sz w:val="28"/>
          <w:szCs w:val="28"/>
        </w:rPr>
        <w:t>OH: VILLAGE FD FAILED TO PAY ANY OVERTIME – FF GET $25K BACK PAY – DOUBLED LIQUIDATED DAMAGES - $50K</w:t>
      </w:r>
    </w:p>
    <w:p w14:paraId="28FC0810" w14:textId="77777777" w:rsidR="00C67B2A" w:rsidRDefault="00C67B2A" w:rsidP="00C67B2A">
      <w:pPr>
        <w:rPr>
          <w:rFonts w:ascii="Times New Roman" w:eastAsia="Times New Roman" w:hAnsi="Times New Roman"/>
          <w:sz w:val="24"/>
          <w:szCs w:val="24"/>
        </w:rPr>
      </w:pPr>
      <w:r>
        <w:rPr>
          <w:rFonts w:ascii="Times New Roman" w:eastAsia="Times New Roman" w:hAnsi="Times New Roman"/>
          <w:sz w:val="24"/>
          <w:szCs w:val="24"/>
        </w:rPr>
        <w:t xml:space="preserve">On Oct. 26, 2021, in </w:t>
      </w:r>
      <w:r w:rsidRPr="00485145">
        <w:rPr>
          <w:rFonts w:ascii="Times New Roman" w:eastAsia="Times New Roman" w:hAnsi="Times New Roman"/>
          <w:sz w:val="24"/>
          <w:szCs w:val="24"/>
          <w:u w:val="single"/>
        </w:rPr>
        <w:t>David Vance v. Village of Highland Hills</w:t>
      </w:r>
      <w:r>
        <w:rPr>
          <w:rFonts w:ascii="Times New Roman" w:eastAsia="Times New Roman" w:hAnsi="Times New Roman"/>
          <w:sz w:val="24"/>
          <w:szCs w:val="24"/>
        </w:rPr>
        <w:t>, the U.S. Court of Appeals for 6</w:t>
      </w:r>
      <w:r w:rsidRPr="00485145">
        <w:rPr>
          <w:rFonts w:ascii="Times New Roman" w:eastAsia="Times New Roman" w:hAnsi="Times New Roman"/>
          <w:sz w:val="24"/>
          <w:szCs w:val="24"/>
          <w:vertAlign w:val="superscript"/>
        </w:rPr>
        <w:t>th</w:t>
      </w:r>
      <w:r>
        <w:rPr>
          <w:rFonts w:ascii="Times New Roman" w:eastAsia="Times New Roman" w:hAnsi="Times New Roman"/>
          <w:sz w:val="24"/>
          <w:szCs w:val="24"/>
        </w:rPr>
        <w:t xml:space="preserve"> Circuit (Cincinnati), held (3 to 0) in unpublished opinion that since the Fire Chief never paid any firefighters overtime, and never established a 28-day pay period, the U.S. District Court judge properly held that the firefighter is entitled to $50,160.90.</w:t>
      </w:r>
    </w:p>
    <w:p w14:paraId="67CE1B49" w14:textId="77777777" w:rsidR="00C67B2A" w:rsidRDefault="00C67B2A" w:rsidP="00C67B2A">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w:t>
      </w:r>
      <w:r w:rsidRPr="00DA1574">
        <w:rPr>
          <w:rFonts w:ascii="Times New Roman" w:eastAsia="Times New Roman" w:hAnsi="Times New Roman"/>
          <w:sz w:val="24"/>
          <w:szCs w:val="24"/>
        </w:rPr>
        <w:t xml:space="preserve">The Village </w:t>
      </w:r>
      <w:r>
        <w:rPr>
          <w:rFonts w:ascii="Times New Roman" w:eastAsia="Times New Roman" w:hAnsi="Times New Roman"/>
          <w:sz w:val="24"/>
          <w:szCs w:val="24"/>
        </w:rPr>
        <w:t>‘</w:t>
      </w:r>
      <w:r w:rsidRPr="00DA1574">
        <w:rPr>
          <w:rFonts w:ascii="Times New Roman" w:eastAsia="Times New Roman" w:hAnsi="Times New Roman"/>
          <w:sz w:val="24"/>
          <w:szCs w:val="24"/>
        </w:rPr>
        <w:t>bears the burden of proving it adopted a work period that brings it within the rule of § 207(k).</w:t>
      </w:r>
      <w:r>
        <w:rPr>
          <w:rFonts w:ascii="Times New Roman" w:eastAsia="Times New Roman" w:hAnsi="Times New Roman"/>
          <w:sz w:val="24"/>
          <w:szCs w:val="24"/>
        </w:rPr>
        <w:t xml:space="preserve">’ </w:t>
      </w:r>
      <w:r w:rsidRPr="00DA1574">
        <w:rPr>
          <w:rFonts w:ascii="Times New Roman" w:eastAsia="Times New Roman" w:hAnsi="Times New Roman"/>
          <w:i/>
          <w:iCs/>
          <w:sz w:val="24"/>
          <w:szCs w:val="24"/>
        </w:rPr>
        <w:t>Brock</w:t>
      </w:r>
      <w:r w:rsidRPr="00DA1574">
        <w:rPr>
          <w:rFonts w:ascii="Times New Roman" w:eastAsia="Times New Roman" w:hAnsi="Times New Roman"/>
          <w:sz w:val="24"/>
          <w:szCs w:val="24"/>
        </w:rPr>
        <w:t xml:space="preserve">, 236 F.3d at 810. Based on the stipulated facts, the district court found that the Village did not meet this burden. The Village did provide evidence that its personnel manual calls for a 28-day pay period for public safety employees and for the payment of overtime, but both parties stipulated that </w:t>
      </w:r>
      <w:r w:rsidRPr="00DA1574">
        <w:rPr>
          <w:rFonts w:ascii="Times New Roman" w:eastAsia="Times New Roman" w:hAnsi="Times New Roman"/>
          <w:sz w:val="24"/>
          <w:szCs w:val="24"/>
        </w:rPr>
        <w:lastRenderedPageBreak/>
        <w:t xml:space="preserve">this policy was not applied to Vance. The fire chief himself acknowledged this, noting both that a previous fire chief </w:t>
      </w:r>
      <w:r>
        <w:rPr>
          <w:rFonts w:ascii="Times New Roman" w:eastAsia="Times New Roman" w:hAnsi="Times New Roman"/>
          <w:sz w:val="24"/>
          <w:szCs w:val="24"/>
        </w:rPr>
        <w:t>‘</w:t>
      </w:r>
      <w:r w:rsidRPr="00DA1574">
        <w:rPr>
          <w:rFonts w:ascii="Times New Roman" w:eastAsia="Times New Roman" w:hAnsi="Times New Roman"/>
          <w:sz w:val="24"/>
          <w:szCs w:val="24"/>
        </w:rPr>
        <w:t>used to tell us, you guys can work as much as you want, but you're not going to get paid overtime . . .</w:t>
      </w:r>
      <w:r>
        <w:rPr>
          <w:rFonts w:ascii="Times New Roman" w:eastAsia="Times New Roman" w:hAnsi="Times New Roman"/>
          <w:sz w:val="24"/>
          <w:szCs w:val="24"/>
        </w:rPr>
        <w:t>’</w:t>
      </w:r>
      <w:r w:rsidRPr="00DA1574">
        <w:rPr>
          <w:rFonts w:ascii="Times New Roman" w:eastAsia="Times New Roman" w:hAnsi="Times New Roman"/>
          <w:sz w:val="24"/>
          <w:szCs w:val="24"/>
        </w:rPr>
        <w:t xml:space="preserve"> and that </w:t>
      </w:r>
      <w:r>
        <w:rPr>
          <w:rFonts w:ascii="Times New Roman" w:eastAsia="Times New Roman" w:hAnsi="Times New Roman"/>
          <w:sz w:val="24"/>
          <w:szCs w:val="24"/>
        </w:rPr>
        <w:t>‘</w:t>
      </w:r>
      <w:r w:rsidRPr="00DA1574">
        <w:rPr>
          <w:rFonts w:ascii="Times New Roman" w:eastAsia="Times New Roman" w:hAnsi="Times New Roman"/>
          <w:sz w:val="24"/>
          <w:szCs w:val="24"/>
        </w:rPr>
        <w:t>[t]o my knowledge nobody was paid overtime within our department.</w:t>
      </w:r>
      <w:r>
        <w:rPr>
          <w:rFonts w:ascii="Times New Roman" w:eastAsia="Times New Roman" w:hAnsi="Times New Roman"/>
          <w:sz w:val="24"/>
          <w:szCs w:val="24"/>
        </w:rPr>
        <w:t>’</w:t>
      </w:r>
      <w:r w:rsidRPr="00DA1574">
        <w:rPr>
          <w:rFonts w:ascii="Times New Roman" w:eastAsia="Times New Roman" w:hAnsi="Times New Roman"/>
          <w:sz w:val="24"/>
          <w:szCs w:val="24"/>
        </w:rPr>
        <w:t xml:space="preserve"> This led the district court to find that the Village </w:t>
      </w:r>
      <w:r>
        <w:rPr>
          <w:rFonts w:ascii="Times New Roman" w:eastAsia="Times New Roman" w:hAnsi="Times New Roman"/>
          <w:sz w:val="24"/>
          <w:szCs w:val="24"/>
        </w:rPr>
        <w:t>‘</w:t>
      </w:r>
      <w:r w:rsidRPr="00DA1574">
        <w:rPr>
          <w:rFonts w:ascii="Times New Roman" w:eastAsia="Times New Roman" w:hAnsi="Times New Roman"/>
          <w:sz w:val="24"/>
          <w:szCs w:val="24"/>
        </w:rPr>
        <w:t>did not establish a 28-day work period as the § 207(k) exemption required[, ]</w:t>
      </w:r>
      <w:r>
        <w:rPr>
          <w:rFonts w:ascii="Times New Roman" w:eastAsia="Times New Roman" w:hAnsi="Times New Roman"/>
          <w:sz w:val="24"/>
          <w:szCs w:val="24"/>
        </w:rPr>
        <w:t>’</w:t>
      </w:r>
      <w:r w:rsidRPr="00DA1574">
        <w:rPr>
          <w:rFonts w:ascii="Times New Roman" w:eastAsia="Times New Roman" w:hAnsi="Times New Roman"/>
          <w:sz w:val="24"/>
          <w:szCs w:val="24"/>
        </w:rPr>
        <w:t xml:space="preserve"> and </w:t>
      </w:r>
      <w:r>
        <w:rPr>
          <w:rFonts w:ascii="Times New Roman" w:eastAsia="Times New Roman" w:hAnsi="Times New Roman"/>
          <w:sz w:val="24"/>
          <w:szCs w:val="24"/>
        </w:rPr>
        <w:t>‘</w:t>
      </w:r>
      <w:r w:rsidRPr="00DA1574">
        <w:rPr>
          <w:rFonts w:ascii="Times New Roman" w:eastAsia="Times New Roman" w:hAnsi="Times New Roman"/>
          <w:sz w:val="24"/>
          <w:szCs w:val="24"/>
        </w:rPr>
        <w:t>[t]here is no indication that the fire department ever actually followed the employee manual policy with respect to [Vance].</w:t>
      </w:r>
      <w:r>
        <w:rPr>
          <w:rFonts w:ascii="Times New Roman" w:eastAsia="Times New Roman" w:hAnsi="Times New Roman"/>
          <w:sz w:val="24"/>
          <w:szCs w:val="24"/>
        </w:rPr>
        <w:t>’</w:t>
      </w:r>
      <w:r w:rsidRPr="00DA1574">
        <w:rPr>
          <w:rFonts w:ascii="Times New Roman" w:eastAsia="Times New Roman" w:hAnsi="Times New Roman"/>
          <w:sz w:val="24"/>
          <w:szCs w:val="24"/>
        </w:rPr>
        <w:t xml:space="preserve"> </w:t>
      </w:r>
      <w:r w:rsidRPr="00DA1574">
        <w:rPr>
          <w:rFonts w:ascii="Times New Roman" w:eastAsia="Times New Roman" w:hAnsi="Times New Roman"/>
          <w:i/>
          <w:iCs/>
          <w:sz w:val="24"/>
          <w:szCs w:val="24"/>
        </w:rPr>
        <w:t>Vance</w:t>
      </w:r>
      <w:r w:rsidRPr="00DA1574">
        <w:rPr>
          <w:rFonts w:ascii="Times New Roman" w:eastAsia="Times New Roman" w:hAnsi="Times New Roman"/>
          <w:sz w:val="24"/>
          <w:szCs w:val="24"/>
        </w:rPr>
        <w:t>, 2020 WL 7490100, at *2-3. This conclusion is well-supported by the record, and it was not erroneous. We affirm.</w:t>
      </w:r>
      <w:r>
        <w:rPr>
          <w:rFonts w:ascii="Times New Roman" w:eastAsia="Times New Roman" w:hAnsi="Times New Roman"/>
          <w:sz w:val="24"/>
          <w:szCs w:val="24"/>
        </w:rPr>
        <w:t xml:space="preserve">”  </w:t>
      </w:r>
      <w:hyperlink r:id="rId1830" w:history="1">
        <w:r w:rsidRPr="009545D0">
          <w:rPr>
            <w:rStyle w:val="Hyperlink"/>
            <w:sz w:val="24"/>
            <w:szCs w:val="24"/>
          </w:rPr>
          <w:t>https://www.opn.ca6.uscourts.gov/opinions.pdf/21a0485n-06.pdf</w:t>
        </w:r>
      </w:hyperlink>
      <w:r>
        <w:rPr>
          <w:rFonts w:ascii="Times New Roman" w:eastAsia="Times New Roman" w:hAnsi="Times New Roman"/>
          <w:sz w:val="24"/>
          <w:szCs w:val="24"/>
        </w:rPr>
        <w:t xml:space="preserve"> </w:t>
      </w:r>
    </w:p>
    <w:p w14:paraId="0CEE2F0D" w14:textId="77777777" w:rsidR="00C67B2A" w:rsidRPr="00DA1574" w:rsidRDefault="00C67B2A" w:rsidP="00C67B2A">
      <w:pPr>
        <w:spacing w:before="100" w:beforeAutospacing="1" w:after="100" w:afterAutospacing="1" w:line="240" w:lineRule="auto"/>
        <w:jc w:val="both"/>
        <w:rPr>
          <w:rFonts w:ascii="Times New Roman" w:eastAsia="Times New Roman" w:hAnsi="Times New Roman"/>
          <w:b/>
          <w:bCs/>
          <w:sz w:val="24"/>
          <w:szCs w:val="24"/>
        </w:rPr>
      </w:pPr>
      <w:r w:rsidRPr="00DA1574">
        <w:rPr>
          <w:rFonts w:ascii="Times New Roman" w:eastAsia="Times New Roman" w:hAnsi="Times New Roman"/>
          <w:b/>
          <w:bCs/>
          <w:sz w:val="24"/>
          <w:szCs w:val="24"/>
        </w:rPr>
        <w:t xml:space="preserve">Legal Lesson Learned: </w:t>
      </w:r>
      <w:r>
        <w:rPr>
          <w:rFonts w:ascii="Times New Roman" w:eastAsia="Times New Roman" w:hAnsi="Times New Roman"/>
          <w:b/>
          <w:bCs/>
          <w:sz w:val="24"/>
          <w:szCs w:val="24"/>
        </w:rPr>
        <w:t xml:space="preserve">Under the FLSA, liquidated damages are designed to punish an employer who ignores the law. </w:t>
      </w:r>
    </w:p>
    <w:p w14:paraId="288FBE25" w14:textId="77777777" w:rsidR="00C67B2A" w:rsidRPr="00DA1574" w:rsidRDefault="00C67B2A" w:rsidP="00C67B2A">
      <w:pPr>
        <w:spacing w:before="100" w:beforeAutospacing="1" w:after="100" w:afterAutospacing="1" w:line="240" w:lineRule="auto"/>
        <w:ind w:left="720"/>
        <w:rPr>
          <w:rFonts w:ascii="Times New Roman" w:eastAsia="Times New Roman" w:hAnsi="Times New Roman"/>
          <w:b/>
          <w:bCs/>
          <w:sz w:val="24"/>
          <w:szCs w:val="24"/>
        </w:rPr>
      </w:pPr>
      <w:r w:rsidRPr="00DA1574">
        <w:rPr>
          <w:rFonts w:ascii="Times New Roman" w:eastAsia="Times New Roman" w:hAnsi="Times New Roman"/>
          <w:sz w:val="24"/>
          <w:szCs w:val="24"/>
        </w:rPr>
        <w:t xml:space="preserve">Note: Good faith exception under FLSA: </w:t>
      </w:r>
      <w:hyperlink r:id="rId1831" w:history="1">
        <w:r w:rsidRPr="009545D0">
          <w:rPr>
            <w:rStyle w:val="Hyperlink"/>
            <w:sz w:val="24"/>
            <w:szCs w:val="24"/>
          </w:rPr>
          <w:t>https://www.law.cornell.edu/uscode/text/29/260</w:t>
        </w:r>
      </w:hyperlink>
      <w:r>
        <w:rPr>
          <w:rFonts w:ascii="Times New Roman" w:eastAsia="Times New Roman" w:hAnsi="Times New Roman"/>
          <w:sz w:val="24"/>
          <w:szCs w:val="24"/>
        </w:rPr>
        <w:t xml:space="preserve"> </w:t>
      </w:r>
      <w:r>
        <w:rPr>
          <w:rFonts w:ascii="Times New Roman" w:hAnsi="Times New Roman"/>
          <w:sz w:val="24"/>
          <w:szCs w:val="24"/>
        </w:rPr>
        <w:t>“</w:t>
      </w:r>
      <w:r w:rsidRPr="00DA1574">
        <w:rPr>
          <w:rFonts w:ascii="Times New Roman" w:hAnsi="Times New Roman"/>
          <w:sz w:val="24"/>
          <w:szCs w:val="24"/>
        </w:rPr>
        <w:t xml:space="preserve">In any action commenced prior to or on or after </w:t>
      </w:r>
      <w:r w:rsidRPr="00DA1574">
        <w:rPr>
          <w:rStyle w:val="Date2"/>
          <w:rFonts w:ascii="Times New Roman" w:hAnsi="Times New Roman"/>
          <w:sz w:val="24"/>
          <w:szCs w:val="24"/>
        </w:rPr>
        <w:t>May 14, 1947</w:t>
      </w:r>
      <w:r w:rsidRPr="00DA1574">
        <w:rPr>
          <w:rFonts w:ascii="Times New Roman" w:hAnsi="Times New Roman"/>
          <w:sz w:val="24"/>
          <w:szCs w:val="24"/>
        </w:rPr>
        <w:t xml:space="preserve"> to recover unpaid minimum</w:t>
      </w:r>
      <w:hyperlink r:id="rId1832" w:history="1">
        <w:r w:rsidRPr="00DA1574">
          <w:rPr>
            <w:rStyle w:val="Hyperlink"/>
            <w:sz w:val="24"/>
            <w:szCs w:val="24"/>
          </w:rPr>
          <w:t xml:space="preserve"> wages,</w:t>
        </w:r>
      </w:hyperlink>
      <w:r w:rsidRPr="00DA1574">
        <w:rPr>
          <w:rFonts w:ascii="Times New Roman" w:hAnsi="Times New Roman"/>
          <w:sz w:val="24"/>
          <w:szCs w:val="24"/>
        </w:rPr>
        <w:t xml:space="preserve"> unpaid overtime compensation, or liquidated damages, under the </w:t>
      </w:r>
      <w:hyperlink r:id="rId1833" w:history="1">
        <w:r w:rsidRPr="00DA1574">
          <w:rPr>
            <w:rStyle w:val="Hyperlink"/>
            <w:sz w:val="24"/>
            <w:szCs w:val="24"/>
          </w:rPr>
          <w:t>Fair Labor Standards Act of 1938</w:t>
        </w:r>
      </w:hyperlink>
      <w:r w:rsidRPr="00DA1574">
        <w:rPr>
          <w:rFonts w:ascii="Times New Roman" w:hAnsi="Times New Roman"/>
          <w:sz w:val="24"/>
          <w:szCs w:val="24"/>
        </w:rPr>
        <w:t>, as amended [</w:t>
      </w:r>
      <w:hyperlink r:id="rId1834" w:history="1">
        <w:r w:rsidRPr="00DA1574">
          <w:rPr>
            <w:rStyle w:val="Hyperlink"/>
            <w:sz w:val="24"/>
            <w:szCs w:val="24"/>
          </w:rPr>
          <w:t>29 U.S.C. 201</w:t>
        </w:r>
      </w:hyperlink>
      <w:r w:rsidRPr="00DA1574">
        <w:rPr>
          <w:rFonts w:ascii="Times New Roman" w:hAnsi="Times New Roman"/>
          <w:sz w:val="24"/>
          <w:szCs w:val="24"/>
        </w:rPr>
        <w:t xml:space="preserve"> et seq.], if the</w:t>
      </w:r>
      <w:hyperlink r:id="rId1835" w:history="1">
        <w:r w:rsidRPr="00DA1574">
          <w:rPr>
            <w:rStyle w:val="Hyperlink"/>
            <w:sz w:val="24"/>
            <w:szCs w:val="24"/>
          </w:rPr>
          <w:t xml:space="preserve"> employer </w:t>
        </w:r>
      </w:hyperlink>
      <w:r w:rsidRPr="00DA1574">
        <w:rPr>
          <w:rFonts w:ascii="Times New Roman" w:hAnsi="Times New Roman"/>
          <w:sz w:val="24"/>
          <w:szCs w:val="24"/>
        </w:rPr>
        <w:t xml:space="preserve">shows to the satisfaction of the court that the act or omission giving rise to such action was in good faith and that he had reasonable grounds for believing that his act or omission was not a violation of the </w:t>
      </w:r>
      <w:hyperlink r:id="rId1836" w:history="1">
        <w:r w:rsidRPr="00DA1574">
          <w:rPr>
            <w:rStyle w:val="Hyperlink"/>
            <w:sz w:val="24"/>
            <w:szCs w:val="24"/>
          </w:rPr>
          <w:t>Fair Labor Standards Act of 1938</w:t>
        </w:r>
      </w:hyperlink>
      <w:r w:rsidRPr="00DA1574">
        <w:rPr>
          <w:rFonts w:ascii="Times New Roman" w:hAnsi="Times New Roman"/>
          <w:sz w:val="24"/>
          <w:szCs w:val="24"/>
        </w:rPr>
        <w:t xml:space="preserve">, as amended, the court may, in its sound discretion, award no liquidated damages or award any amount thereof not to exceed the amount specified in </w:t>
      </w:r>
      <w:hyperlink r:id="rId1837" w:history="1">
        <w:r w:rsidRPr="00DA1574">
          <w:rPr>
            <w:rStyle w:val="Hyperlink"/>
            <w:sz w:val="24"/>
            <w:szCs w:val="24"/>
          </w:rPr>
          <w:t>section 216 of this title</w:t>
        </w:r>
      </w:hyperlink>
      <w:r w:rsidRPr="00DA1574">
        <w:rPr>
          <w:rFonts w:ascii="Times New Roman" w:hAnsi="Times New Roman"/>
          <w:sz w:val="24"/>
          <w:szCs w:val="24"/>
        </w:rPr>
        <w:t>.</w:t>
      </w:r>
      <w:r>
        <w:rPr>
          <w:rFonts w:ascii="Times New Roman" w:hAnsi="Times New Roman"/>
          <w:sz w:val="24"/>
          <w:szCs w:val="24"/>
        </w:rPr>
        <w:t>”</w:t>
      </w:r>
    </w:p>
    <w:p w14:paraId="65E28ACE" w14:textId="77777777" w:rsidR="00C67B2A" w:rsidRDefault="00C67B2A" w:rsidP="00F326E5">
      <w:pPr>
        <w:rPr>
          <w:rFonts w:ascii="Arial Black" w:hAnsi="Arial Black"/>
          <w:b/>
          <w:sz w:val="24"/>
          <w:szCs w:val="24"/>
        </w:rPr>
      </w:pPr>
    </w:p>
    <w:p w14:paraId="4DF2F127" w14:textId="660C835F" w:rsidR="00C67B2A" w:rsidRDefault="00C67B2A" w:rsidP="00F326E5">
      <w:pPr>
        <w:rPr>
          <w:rFonts w:ascii="Arial Black" w:hAnsi="Arial Black"/>
          <w:b/>
          <w:sz w:val="24"/>
          <w:szCs w:val="24"/>
        </w:rPr>
      </w:pPr>
      <w:r>
        <w:rPr>
          <w:rFonts w:ascii="Arial Black" w:hAnsi="Arial Black"/>
          <w:b/>
          <w:sz w:val="24"/>
          <w:szCs w:val="24"/>
        </w:rPr>
        <w:t>11-</w:t>
      </w:r>
      <w:r w:rsidR="00885321">
        <w:rPr>
          <w:rFonts w:ascii="Arial Black" w:hAnsi="Arial Black"/>
          <w:b/>
          <w:sz w:val="24"/>
          <w:szCs w:val="24"/>
        </w:rPr>
        <w:t>3</w:t>
      </w:r>
      <w:r w:rsidR="00912048">
        <w:rPr>
          <w:rFonts w:ascii="Arial Black" w:hAnsi="Arial Black"/>
          <w:b/>
          <w:sz w:val="24"/>
          <w:szCs w:val="24"/>
        </w:rPr>
        <w:t>4</w:t>
      </w:r>
    </w:p>
    <w:p w14:paraId="6478C3D0" w14:textId="77777777" w:rsidR="00774A91" w:rsidRPr="002531E2" w:rsidRDefault="00774A91" w:rsidP="00774A91">
      <w:pPr>
        <w:spacing w:before="100" w:beforeAutospacing="1" w:after="100" w:afterAutospacing="1" w:line="240" w:lineRule="auto"/>
        <w:rPr>
          <w:rFonts w:ascii="Arial Black" w:hAnsi="Arial Black"/>
          <w:sz w:val="28"/>
          <w:szCs w:val="28"/>
        </w:rPr>
      </w:pPr>
      <w:r>
        <w:rPr>
          <w:rFonts w:ascii="Arial Black" w:hAnsi="Arial Black"/>
          <w:sz w:val="28"/>
          <w:szCs w:val="28"/>
        </w:rPr>
        <w:t>MO: FLSA VIOLATED – 450 FF – CITY PAID OVERTIME WITHOUT “REGULATE RATE” – CBA NOT DEFENSE</w:t>
      </w:r>
    </w:p>
    <w:p w14:paraId="07FCDE0E" w14:textId="77777777" w:rsidR="00774A91" w:rsidRPr="004E4533" w:rsidRDefault="00774A91" w:rsidP="00774A91">
      <w:pPr>
        <w:spacing w:before="100" w:beforeAutospacing="1" w:after="100" w:afterAutospacing="1" w:line="240" w:lineRule="auto"/>
        <w:ind w:left="90"/>
        <w:rPr>
          <w:rFonts w:ascii="Times New Roman" w:hAnsi="Times New Roman"/>
          <w:sz w:val="24"/>
          <w:szCs w:val="24"/>
        </w:rPr>
      </w:pPr>
      <w:r>
        <w:rPr>
          <w:rFonts w:ascii="Times New Roman" w:hAnsi="Times New Roman"/>
          <w:sz w:val="24"/>
          <w:szCs w:val="24"/>
        </w:rPr>
        <w:t xml:space="preserve">On September 29, 2021, in </w:t>
      </w:r>
      <w:r w:rsidRPr="002531E2">
        <w:rPr>
          <w:rFonts w:ascii="Times New Roman" w:hAnsi="Times New Roman"/>
          <w:sz w:val="24"/>
          <w:szCs w:val="24"/>
          <w:u w:val="single"/>
        </w:rPr>
        <w:t>Craig Adams, et al. v. City of Kansas City, Missouri</w:t>
      </w:r>
      <w:r>
        <w:rPr>
          <w:rFonts w:ascii="Times New Roman" w:hAnsi="Times New Roman"/>
          <w:sz w:val="24"/>
          <w:szCs w:val="24"/>
        </w:rPr>
        <w:t xml:space="preserve">, U.S. Magistrate Judge W. Brian Gaddy, U.S. District Court for District of Missouri (Western Division) granted summary judgment in this class action on behalf of 450 firefighters.  The </w:t>
      </w:r>
      <w:proofErr w:type="gramStart"/>
      <w:r>
        <w:rPr>
          <w:rFonts w:ascii="Times New Roman" w:hAnsi="Times New Roman"/>
          <w:sz w:val="24"/>
          <w:szCs w:val="24"/>
        </w:rPr>
        <w:t>City</w:t>
      </w:r>
      <w:proofErr w:type="gramEnd"/>
      <w:r>
        <w:rPr>
          <w:rFonts w:ascii="Times New Roman" w:hAnsi="Times New Roman"/>
          <w:sz w:val="24"/>
          <w:szCs w:val="24"/>
        </w:rPr>
        <w:t xml:space="preserve"> didn’t include their wage augments (such as for HAZMAT cert) in calculating their “regular rate of pay” for time they were working overtime, while they did include wage augments for FF non-overtime hours.  The City’s defense is that they were following the CBA.  </w:t>
      </w:r>
      <w:r w:rsidRPr="004E4533">
        <w:rPr>
          <w:rFonts w:ascii="Times New Roman" w:hAnsi="Times New Roman"/>
          <w:sz w:val="24"/>
          <w:szCs w:val="24"/>
        </w:rPr>
        <w:t>“The CBA pronounces the wage augments ‘shall not be regarded as wages.’ states that wage augments ‘shall not be considered wages.</w:t>
      </w:r>
      <w:r>
        <w:rPr>
          <w:rFonts w:ascii="Times New Roman" w:hAnsi="Times New Roman"/>
          <w:sz w:val="24"/>
          <w:szCs w:val="24"/>
        </w:rPr>
        <w:t>’</w:t>
      </w:r>
      <w:r w:rsidRPr="004E4533">
        <w:rPr>
          <w:rFonts w:ascii="Times New Roman" w:hAnsi="Times New Roman"/>
          <w:sz w:val="24"/>
          <w:szCs w:val="24"/>
        </w:rPr>
        <w:t xml:space="preserve">” </w:t>
      </w:r>
      <w:r>
        <w:rPr>
          <w:rFonts w:ascii="Times New Roman" w:hAnsi="Times New Roman"/>
          <w:sz w:val="24"/>
          <w:szCs w:val="24"/>
        </w:rPr>
        <w:t xml:space="preserve">The Court found that this is violation of FLSA. </w:t>
      </w:r>
    </w:p>
    <w:p w14:paraId="0ADF6A40" w14:textId="77777777" w:rsidR="00774A91" w:rsidRPr="00A37557" w:rsidRDefault="00774A91" w:rsidP="00774A91">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r w:rsidRPr="00A37557">
        <w:rPr>
          <w:rFonts w:ascii="Times New Roman" w:hAnsi="Times New Roman"/>
          <w:sz w:val="24"/>
          <w:szCs w:val="24"/>
        </w:rPr>
        <w:t xml:space="preserve">The </w:t>
      </w:r>
      <w:proofErr w:type="gramStart"/>
      <w:r w:rsidRPr="00A37557">
        <w:rPr>
          <w:rFonts w:ascii="Times New Roman" w:hAnsi="Times New Roman"/>
          <w:sz w:val="24"/>
          <w:szCs w:val="24"/>
        </w:rPr>
        <w:t>City</w:t>
      </w:r>
      <w:proofErr w:type="gramEnd"/>
      <w:r w:rsidRPr="00A37557">
        <w:rPr>
          <w:rFonts w:ascii="Times New Roman" w:hAnsi="Times New Roman"/>
          <w:sz w:val="24"/>
          <w:szCs w:val="24"/>
        </w:rPr>
        <w:t xml:space="preserve"> argues the firefighters are paid a salary, and the salary is intended to compensate the firefighters for working 49.5 hours per week</w:t>
      </w:r>
      <w:r>
        <w:rPr>
          <w:rFonts w:ascii="Times New Roman" w:hAnsi="Times New Roman"/>
          <w:sz w:val="24"/>
          <w:szCs w:val="24"/>
        </w:rPr>
        <w:t xml:space="preserve">…. </w:t>
      </w:r>
      <w:r w:rsidRPr="00A37557">
        <w:rPr>
          <w:rFonts w:ascii="Times New Roman" w:hAnsi="Times New Roman"/>
          <w:sz w:val="24"/>
          <w:szCs w:val="24"/>
        </w:rPr>
        <w:t xml:space="preserve">According to the City, if a firefighter </w:t>
      </w:r>
      <w:r>
        <w:rPr>
          <w:rFonts w:ascii="Times New Roman" w:hAnsi="Times New Roman"/>
          <w:sz w:val="24"/>
          <w:szCs w:val="24"/>
        </w:rPr>
        <w:t>‘</w:t>
      </w:r>
      <w:r w:rsidRPr="00A37557">
        <w:rPr>
          <w:rFonts w:ascii="Times New Roman" w:hAnsi="Times New Roman"/>
          <w:sz w:val="24"/>
          <w:szCs w:val="24"/>
        </w:rPr>
        <w:t>chooses to work beyond those 49.5 hours in a week,</w:t>
      </w:r>
      <w:r>
        <w:rPr>
          <w:rFonts w:ascii="Times New Roman" w:hAnsi="Times New Roman"/>
          <w:sz w:val="24"/>
          <w:szCs w:val="24"/>
        </w:rPr>
        <w:t>’</w:t>
      </w:r>
      <w:r w:rsidRPr="00A37557">
        <w:rPr>
          <w:rFonts w:ascii="Times New Roman" w:hAnsi="Times New Roman"/>
          <w:sz w:val="24"/>
          <w:szCs w:val="24"/>
        </w:rPr>
        <w:t xml:space="preserve"> the firefighter is paid the base hourly rate</w:t>
      </w:r>
      <w:r>
        <w:rPr>
          <w:rFonts w:ascii="Times New Roman" w:hAnsi="Times New Roman"/>
          <w:sz w:val="24"/>
          <w:szCs w:val="24"/>
        </w:rPr>
        <w:t xml:space="preserve">…. </w:t>
      </w:r>
      <w:r w:rsidRPr="00A37557">
        <w:rPr>
          <w:rFonts w:ascii="Times New Roman" w:hAnsi="Times New Roman"/>
          <w:sz w:val="24"/>
          <w:szCs w:val="24"/>
        </w:rPr>
        <w:t xml:space="preserve">The firefighter is not paid the wage augment because the wage augment </w:t>
      </w:r>
      <w:r>
        <w:rPr>
          <w:rFonts w:ascii="Times New Roman" w:hAnsi="Times New Roman"/>
          <w:sz w:val="24"/>
          <w:szCs w:val="24"/>
        </w:rPr>
        <w:t>‘</w:t>
      </w:r>
      <w:r w:rsidRPr="00A37557">
        <w:rPr>
          <w:rFonts w:ascii="Times New Roman" w:hAnsi="Times New Roman"/>
          <w:sz w:val="24"/>
          <w:szCs w:val="24"/>
        </w:rPr>
        <w:t>pay is only to be awarded in addition to the salary, not for hours worked beyond what the salary covers.</w:t>
      </w:r>
      <w:r>
        <w:rPr>
          <w:rFonts w:ascii="Times New Roman" w:hAnsi="Times New Roman"/>
          <w:sz w:val="24"/>
          <w:szCs w:val="24"/>
        </w:rPr>
        <w:t>’</w:t>
      </w:r>
      <w:r w:rsidRPr="00A37557">
        <w:rPr>
          <w:rFonts w:ascii="Times New Roman" w:hAnsi="Times New Roman"/>
          <w:sz w:val="24"/>
          <w:szCs w:val="24"/>
        </w:rPr>
        <w:t xml:space="preserve"> The City, however, cites no authority for this proposition</w:t>
      </w:r>
      <w:r>
        <w:rPr>
          <w:rFonts w:ascii="Times New Roman" w:hAnsi="Times New Roman"/>
          <w:sz w:val="24"/>
          <w:szCs w:val="24"/>
        </w:rPr>
        <w:t xml:space="preserve">…. </w:t>
      </w:r>
    </w:p>
    <w:p w14:paraId="37FBBE57" w14:textId="77777777" w:rsidR="00774A91" w:rsidRPr="00A37557" w:rsidRDefault="00774A91" w:rsidP="00774A91">
      <w:pPr>
        <w:spacing w:before="100" w:beforeAutospacing="1" w:after="100" w:afterAutospacing="1" w:line="240" w:lineRule="auto"/>
        <w:ind w:left="720"/>
        <w:rPr>
          <w:rFonts w:ascii="Times New Roman" w:hAnsi="Times New Roman"/>
          <w:sz w:val="24"/>
          <w:szCs w:val="24"/>
        </w:rPr>
      </w:pPr>
      <w:r w:rsidRPr="00A37557">
        <w:rPr>
          <w:rFonts w:ascii="Times New Roman" w:hAnsi="Times New Roman"/>
          <w:sz w:val="24"/>
          <w:szCs w:val="24"/>
        </w:rPr>
        <w:t xml:space="preserve">Instead, the </w:t>
      </w:r>
      <w:proofErr w:type="gramStart"/>
      <w:r w:rsidRPr="00A37557">
        <w:rPr>
          <w:rFonts w:ascii="Times New Roman" w:hAnsi="Times New Roman"/>
          <w:sz w:val="24"/>
          <w:szCs w:val="24"/>
        </w:rPr>
        <w:t>City</w:t>
      </w:r>
      <w:proofErr w:type="gramEnd"/>
      <w:r w:rsidRPr="00A37557">
        <w:rPr>
          <w:rFonts w:ascii="Times New Roman" w:hAnsi="Times New Roman"/>
          <w:sz w:val="24"/>
          <w:szCs w:val="24"/>
        </w:rPr>
        <w:t xml:space="preserve"> directs the Court’s attention to the CBA, which indicates the wage </w:t>
      </w:r>
      <w:r w:rsidRPr="00A37557">
        <w:rPr>
          <w:rFonts w:ascii="Times New Roman" w:hAnsi="Times New Roman"/>
          <w:sz w:val="24"/>
          <w:szCs w:val="24"/>
        </w:rPr>
        <w:br/>
        <w:t xml:space="preserve">augments are not to be regarded as </w:t>
      </w:r>
      <w:r>
        <w:rPr>
          <w:rFonts w:ascii="Times New Roman" w:hAnsi="Times New Roman"/>
          <w:sz w:val="24"/>
          <w:szCs w:val="24"/>
        </w:rPr>
        <w:t>‘</w:t>
      </w:r>
      <w:r w:rsidRPr="00A37557">
        <w:rPr>
          <w:rFonts w:ascii="Times New Roman" w:hAnsi="Times New Roman"/>
          <w:sz w:val="24"/>
          <w:szCs w:val="24"/>
        </w:rPr>
        <w:t>wages</w:t>
      </w:r>
      <w:r>
        <w:rPr>
          <w:rFonts w:ascii="Times New Roman" w:hAnsi="Times New Roman"/>
          <w:sz w:val="24"/>
          <w:szCs w:val="24"/>
        </w:rPr>
        <w:t>…’</w:t>
      </w:r>
      <w:r w:rsidRPr="00A37557">
        <w:rPr>
          <w:rFonts w:ascii="Times New Roman" w:hAnsi="Times New Roman"/>
          <w:sz w:val="24"/>
          <w:szCs w:val="24"/>
        </w:rPr>
        <w:t>This argument is without merit and ignores the precedent this Court must follow. See Barrentine</w:t>
      </w:r>
      <w:r>
        <w:rPr>
          <w:rFonts w:ascii="Times New Roman" w:hAnsi="Times New Roman"/>
          <w:sz w:val="24"/>
          <w:szCs w:val="24"/>
        </w:rPr>
        <w:t xml:space="preserve"> [v. Arkansas-Best Freight Sys., 450 U.S. 728 (!981); </w:t>
      </w:r>
      <w:hyperlink r:id="rId1838" w:history="1">
        <w:r w:rsidRPr="007B327B">
          <w:rPr>
            <w:rStyle w:val="Hyperlink"/>
            <w:sz w:val="24"/>
            <w:szCs w:val="24"/>
          </w:rPr>
          <w:t>https://supreme.justia.com/cases/federal/us/450/728/</w:t>
        </w:r>
      </w:hyperlink>
      <w:r>
        <w:rPr>
          <w:rFonts w:ascii="Times New Roman" w:hAnsi="Times New Roman"/>
          <w:sz w:val="24"/>
          <w:szCs w:val="24"/>
        </w:rPr>
        <w:t xml:space="preserve"> ]</w:t>
      </w:r>
      <w:r w:rsidRPr="00A37557">
        <w:rPr>
          <w:rFonts w:ascii="Times New Roman" w:hAnsi="Times New Roman"/>
          <w:sz w:val="24"/>
          <w:szCs w:val="24"/>
        </w:rPr>
        <w:t xml:space="preserve">450 U.S. at 740 (holding </w:t>
      </w:r>
      <w:r>
        <w:rPr>
          <w:rFonts w:ascii="Times New Roman" w:hAnsi="Times New Roman"/>
          <w:sz w:val="24"/>
          <w:szCs w:val="24"/>
        </w:rPr>
        <w:t>‘</w:t>
      </w:r>
      <w:r w:rsidRPr="00A37557">
        <w:rPr>
          <w:rFonts w:ascii="Times New Roman" w:hAnsi="Times New Roman"/>
          <w:sz w:val="24"/>
          <w:szCs w:val="24"/>
        </w:rPr>
        <w:t>FLSA rights cannot be abridged by contract or otherwise waived because this would ‘nullify the purposes’ of the statute and thwart the legislative policies it was designed to effectuate.</w:t>
      </w:r>
      <w:r>
        <w:rPr>
          <w:rFonts w:ascii="Times New Roman" w:hAnsi="Times New Roman"/>
          <w:sz w:val="24"/>
          <w:szCs w:val="24"/>
        </w:rPr>
        <w:t>’</w:t>
      </w:r>
      <w:r w:rsidRPr="00A37557">
        <w:rPr>
          <w:rFonts w:ascii="Times New Roman" w:hAnsi="Times New Roman"/>
          <w:sz w:val="24"/>
          <w:szCs w:val="24"/>
        </w:rPr>
        <w:t xml:space="preserve">). The City’s failure to pay the regular rate </w:t>
      </w:r>
      <w:r w:rsidRPr="00A37557">
        <w:rPr>
          <w:rFonts w:ascii="Times New Roman" w:hAnsi="Times New Roman"/>
          <w:sz w:val="24"/>
          <w:szCs w:val="24"/>
        </w:rPr>
        <w:lastRenderedPageBreak/>
        <w:t xml:space="preserve">(i.e., the “one...times the regular rate”) for hours worked </w:t>
      </w:r>
      <w:proofErr w:type="gramStart"/>
      <w:r w:rsidRPr="00A37557">
        <w:rPr>
          <w:rFonts w:ascii="Times New Roman" w:hAnsi="Times New Roman"/>
          <w:sz w:val="24"/>
          <w:szCs w:val="24"/>
        </w:rPr>
        <w:t>in excess of</w:t>
      </w:r>
      <w:proofErr w:type="gramEnd"/>
      <w:r w:rsidRPr="00A37557">
        <w:rPr>
          <w:rFonts w:ascii="Times New Roman" w:hAnsi="Times New Roman"/>
          <w:sz w:val="24"/>
          <w:szCs w:val="24"/>
        </w:rPr>
        <w:t xml:space="preserve"> 212 hours during a 28-day period violates the FLSA.</w:t>
      </w:r>
    </w:p>
    <w:p w14:paraId="4FC1E612" w14:textId="77777777" w:rsidR="00774A91" w:rsidRPr="00A37557" w:rsidRDefault="00774A91" w:rsidP="00774A91">
      <w:pPr>
        <w:spacing w:before="100" w:beforeAutospacing="1" w:after="100" w:afterAutospacing="1" w:line="240" w:lineRule="auto"/>
        <w:ind w:left="720"/>
        <w:rPr>
          <w:rFonts w:ascii="Times New Roman" w:eastAsia="Times New Roman" w:hAnsi="Times New Roman"/>
          <w:sz w:val="24"/>
          <w:szCs w:val="24"/>
        </w:rPr>
      </w:pPr>
      <w:r w:rsidRPr="00A37557">
        <w:rPr>
          <w:rFonts w:ascii="Times New Roman" w:hAnsi="Times New Roman"/>
          <w:sz w:val="24"/>
          <w:szCs w:val="24"/>
        </w:rPr>
        <w:t xml:space="preserve">Because, at a minimum, the City failed to pay the regular rate (i.e., the </w:t>
      </w:r>
      <w:r>
        <w:rPr>
          <w:rFonts w:ascii="Times New Roman" w:hAnsi="Times New Roman"/>
          <w:sz w:val="24"/>
          <w:szCs w:val="24"/>
        </w:rPr>
        <w:t>‘</w:t>
      </w:r>
      <w:r w:rsidRPr="00A37557">
        <w:rPr>
          <w:rFonts w:ascii="Times New Roman" w:hAnsi="Times New Roman"/>
          <w:sz w:val="24"/>
          <w:szCs w:val="24"/>
        </w:rPr>
        <w:t xml:space="preserve">one...times the </w:t>
      </w:r>
      <w:r w:rsidRPr="00A37557">
        <w:rPr>
          <w:rFonts w:ascii="Times New Roman" w:hAnsi="Times New Roman"/>
          <w:sz w:val="24"/>
          <w:szCs w:val="24"/>
        </w:rPr>
        <w:br/>
        <w:t>regular rate</w:t>
      </w:r>
      <w:r>
        <w:rPr>
          <w:rFonts w:ascii="Times New Roman" w:hAnsi="Times New Roman"/>
          <w:sz w:val="24"/>
          <w:szCs w:val="24"/>
        </w:rPr>
        <w:t>’</w:t>
      </w:r>
      <w:r w:rsidRPr="00A37557">
        <w:rPr>
          <w:rFonts w:ascii="Times New Roman" w:hAnsi="Times New Roman"/>
          <w:sz w:val="24"/>
          <w:szCs w:val="24"/>
        </w:rPr>
        <w:t>) for hours worked in excess of 212 hours during a 28-day period, and thus, violated the FLSA, the Court DENIES the City’s motion for summary judgment on the issue of whether it violated the FLSA and GRANTS Plaintiffs’ motion for partial summary judgment.</w:t>
      </w:r>
      <w:r>
        <w:rPr>
          <w:rFonts w:ascii="Times New Roman" w:hAnsi="Times New Roman"/>
          <w:sz w:val="24"/>
          <w:szCs w:val="24"/>
        </w:rPr>
        <w:t xml:space="preserve">” </w:t>
      </w:r>
      <w:hyperlink r:id="rId1839" w:history="1">
        <w:r w:rsidRPr="007B327B">
          <w:rPr>
            <w:rStyle w:val="Hyperlink"/>
            <w:sz w:val="24"/>
            <w:szCs w:val="24"/>
          </w:rPr>
          <w:t>https://www.govinfo.gov/content/pkg/USCOURTS-mowd-4_19-cv-00093/pdf/USCOURTS-mowd-4_19-cv-00093-1.pdf</w:t>
        </w:r>
      </w:hyperlink>
      <w:r>
        <w:rPr>
          <w:rFonts w:ascii="Times New Roman" w:hAnsi="Times New Roman"/>
          <w:sz w:val="24"/>
          <w:szCs w:val="24"/>
        </w:rPr>
        <w:t xml:space="preserve"> </w:t>
      </w:r>
    </w:p>
    <w:p w14:paraId="0103AD6F" w14:textId="77777777" w:rsidR="00774A91" w:rsidRDefault="00774A91" w:rsidP="00774A91">
      <w:pPr>
        <w:spacing w:before="100" w:beforeAutospacing="1" w:after="100" w:afterAutospacing="1" w:line="240" w:lineRule="auto"/>
        <w:rPr>
          <w:rFonts w:ascii="Times New Roman" w:hAnsi="Times New Roman"/>
          <w:b/>
          <w:bCs/>
          <w:sz w:val="24"/>
          <w:szCs w:val="24"/>
        </w:rPr>
      </w:pPr>
      <w:r w:rsidRPr="004E4533">
        <w:rPr>
          <w:rFonts w:ascii="Times New Roman" w:hAnsi="Times New Roman"/>
          <w:b/>
          <w:bCs/>
          <w:sz w:val="24"/>
          <w:szCs w:val="24"/>
        </w:rPr>
        <w:t xml:space="preserve">Legal Lesson Learned: </w:t>
      </w:r>
      <w:r>
        <w:rPr>
          <w:rFonts w:ascii="Times New Roman" w:hAnsi="Times New Roman"/>
          <w:b/>
          <w:bCs/>
          <w:sz w:val="24"/>
          <w:szCs w:val="24"/>
        </w:rPr>
        <w:t>The City will now have to pay back pay; the amount is based on whether the Court finds this a “willful” violation (3 years versus 2 years back pay) and “liquidated damages” (back pay doubles) if City did not act in good faith.</w:t>
      </w:r>
    </w:p>
    <w:p w14:paraId="05211C39" w14:textId="77777777" w:rsidR="00774A91" w:rsidRDefault="00774A91" w:rsidP="00774A91">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 xml:space="preserve">Note: </w:t>
      </w:r>
      <w:r w:rsidRPr="004E4533">
        <w:rPr>
          <w:rFonts w:ascii="Times New Roman" w:hAnsi="Times New Roman"/>
          <w:sz w:val="24"/>
          <w:szCs w:val="24"/>
        </w:rPr>
        <w:t xml:space="preserve">Under the FLSA, the statute of limitations is “two years after the cause of action accrued...except that a cause of action arising out of a willful violation may be </w:t>
      </w:r>
      <w:r w:rsidRPr="004E4533">
        <w:rPr>
          <w:rFonts w:ascii="Times New Roman" w:hAnsi="Times New Roman"/>
          <w:sz w:val="24"/>
          <w:szCs w:val="24"/>
        </w:rPr>
        <w:br/>
        <w:t>commenced within three years after the cause of action accrued.” 29 U.S.C. § 255(a)</w:t>
      </w:r>
    </w:p>
    <w:p w14:paraId="62446037" w14:textId="77777777" w:rsidR="00774A91" w:rsidRPr="00697B15" w:rsidRDefault="00774A91" w:rsidP="00774A91">
      <w:pPr>
        <w:spacing w:before="100" w:beforeAutospacing="1" w:after="100" w:afterAutospacing="1" w:line="240" w:lineRule="auto"/>
        <w:ind w:left="720"/>
        <w:rPr>
          <w:rFonts w:ascii="Times New Roman" w:hAnsi="Times New Roman"/>
          <w:b/>
          <w:bCs/>
          <w:sz w:val="24"/>
          <w:szCs w:val="24"/>
        </w:rPr>
      </w:pPr>
      <w:r w:rsidRPr="00697B15">
        <w:rPr>
          <w:rFonts w:ascii="Times New Roman" w:hAnsi="Times New Roman"/>
          <w:sz w:val="24"/>
          <w:szCs w:val="24"/>
        </w:rPr>
        <w:t xml:space="preserve">If an employer violates 29 U.S.C. § 207, the employer is liable to the affected </w:t>
      </w:r>
      <w:r w:rsidRPr="00697B15">
        <w:rPr>
          <w:rFonts w:ascii="Times New Roman" w:hAnsi="Times New Roman"/>
          <w:sz w:val="24"/>
          <w:szCs w:val="24"/>
        </w:rPr>
        <w:br/>
        <w:t xml:space="preserve">employees in the amount of unpaid overtime compensation, and it may also be liable for </w:t>
      </w:r>
      <w:r>
        <w:rPr>
          <w:rFonts w:ascii="Times New Roman" w:hAnsi="Times New Roman"/>
          <w:sz w:val="24"/>
          <w:szCs w:val="24"/>
        </w:rPr>
        <w:t>‘</w:t>
      </w:r>
      <w:r w:rsidRPr="00697B15">
        <w:rPr>
          <w:rFonts w:ascii="Times New Roman" w:hAnsi="Times New Roman"/>
          <w:sz w:val="24"/>
          <w:szCs w:val="24"/>
        </w:rPr>
        <w:t>an additional equal amount as liquidated damages.</w:t>
      </w:r>
      <w:r>
        <w:rPr>
          <w:rFonts w:ascii="Times New Roman" w:hAnsi="Times New Roman"/>
          <w:sz w:val="24"/>
          <w:szCs w:val="24"/>
        </w:rPr>
        <w:t>’</w:t>
      </w:r>
      <w:r w:rsidRPr="00697B15">
        <w:rPr>
          <w:rFonts w:ascii="Times New Roman" w:hAnsi="Times New Roman"/>
          <w:sz w:val="24"/>
          <w:szCs w:val="24"/>
        </w:rPr>
        <w:t xml:space="preserve"> 29 U.S.C. § 216(b). If the employer </w:t>
      </w:r>
      <w:r>
        <w:rPr>
          <w:rFonts w:ascii="Times New Roman" w:hAnsi="Times New Roman"/>
          <w:sz w:val="24"/>
          <w:szCs w:val="24"/>
        </w:rPr>
        <w:t>‘</w:t>
      </w:r>
      <w:r w:rsidRPr="00697B15">
        <w:rPr>
          <w:rFonts w:ascii="Times New Roman" w:hAnsi="Times New Roman"/>
          <w:sz w:val="24"/>
          <w:szCs w:val="24"/>
        </w:rPr>
        <w:t>shows to the satisfaction of the court</w:t>
      </w:r>
      <w:r>
        <w:rPr>
          <w:rFonts w:ascii="Times New Roman" w:hAnsi="Times New Roman"/>
          <w:sz w:val="24"/>
          <w:szCs w:val="24"/>
        </w:rPr>
        <w:t>’</w:t>
      </w:r>
      <w:r w:rsidRPr="00697B15">
        <w:rPr>
          <w:rFonts w:ascii="Times New Roman" w:hAnsi="Times New Roman"/>
          <w:sz w:val="24"/>
          <w:szCs w:val="24"/>
        </w:rPr>
        <w:t xml:space="preserve"> that its actions were </w:t>
      </w:r>
      <w:r>
        <w:rPr>
          <w:rFonts w:ascii="Times New Roman" w:hAnsi="Times New Roman"/>
          <w:sz w:val="24"/>
          <w:szCs w:val="24"/>
        </w:rPr>
        <w:t>‘</w:t>
      </w:r>
      <w:r w:rsidRPr="00697B15">
        <w:rPr>
          <w:rFonts w:ascii="Times New Roman" w:hAnsi="Times New Roman"/>
          <w:sz w:val="24"/>
          <w:szCs w:val="24"/>
        </w:rPr>
        <w:t>in good faith</w:t>
      </w:r>
      <w:r>
        <w:rPr>
          <w:rFonts w:ascii="Times New Roman" w:hAnsi="Times New Roman"/>
          <w:sz w:val="24"/>
          <w:szCs w:val="24"/>
        </w:rPr>
        <w:t>’</w:t>
      </w:r>
      <w:r w:rsidRPr="00697B15">
        <w:rPr>
          <w:rFonts w:ascii="Times New Roman" w:hAnsi="Times New Roman"/>
          <w:sz w:val="24"/>
          <w:szCs w:val="24"/>
        </w:rPr>
        <w:t xml:space="preserve"> and it </w:t>
      </w:r>
      <w:r>
        <w:rPr>
          <w:rFonts w:ascii="Times New Roman" w:hAnsi="Times New Roman"/>
          <w:sz w:val="24"/>
          <w:szCs w:val="24"/>
        </w:rPr>
        <w:t>‘</w:t>
      </w:r>
      <w:r w:rsidRPr="00697B15">
        <w:rPr>
          <w:rFonts w:ascii="Times New Roman" w:hAnsi="Times New Roman"/>
          <w:sz w:val="24"/>
          <w:szCs w:val="24"/>
        </w:rPr>
        <w:t>had reasonable grounds</w:t>
      </w:r>
      <w:r>
        <w:rPr>
          <w:rFonts w:ascii="Times New Roman" w:hAnsi="Times New Roman"/>
          <w:sz w:val="24"/>
          <w:szCs w:val="24"/>
        </w:rPr>
        <w:t xml:space="preserve"> </w:t>
      </w:r>
      <w:r w:rsidRPr="00697B15">
        <w:rPr>
          <w:rFonts w:ascii="Times New Roman" w:hAnsi="Times New Roman"/>
          <w:sz w:val="24"/>
          <w:szCs w:val="24"/>
        </w:rPr>
        <w:t>for believing</w:t>
      </w:r>
      <w:r>
        <w:rPr>
          <w:rFonts w:ascii="Times New Roman" w:hAnsi="Times New Roman"/>
          <w:sz w:val="24"/>
          <w:szCs w:val="24"/>
        </w:rPr>
        <w:t>’</w:t>
      </w:r>
      <w:r w:rsidRPr="00697B15">
        <w:rPr>
          <w:rFonts w:ascii="Times New Roman" w:hAnsi="Times New Roman"/>
          <w:sz w:val="24"/>
          <w:szCs w:val="24"/>
        </w:rPr>
        <w:t xml:space="preserve"> its actions were not violating the FLSA, </w:t>
      </w:r>
      <w:r>
        <w:rPr>
          <w:rFonts w:ascii="Times New Roman" w:hAnsi="Times New Roman"/>
          <w:sz w:val="24"/>
          <w:szCs w:val="24"/>
        </w:rPr>
        <w:t>‘</w:t>
      </w:r>
      <w:r w:rsidRPr="00697B15">
        <w:rPr>
          <w:rFonts w:ascii="Times New Roman" w:hAnsi="Times New Roman"/>
          <w:sz w:val="24"/>
          <w:szCs w:val="24"/>
        </w:rPr>
        <w:t xml:space="preserve">the court may, in its sound discretion, award no liquidated damages or award any amount thereof not to exceed the amount specified in section 216 of this title.” </w:t>
      </w:r>
    </w:p>
    <w:p w14:paraId="11FBF5AB" w14:textId="202C29D3" w:rsidR="00C67B2A" w:rsidRDefault="00C67B2A" w:rsidP="00F326E5">
      <w:pPr>
        <w:rPr>
          <w:rFonts w:ascii="Arial Black" w:hAnsi="Arial Black"/>
          <w:b/>
          <w:sz w:val="24"/>
          <w:szCs w:val="24"/>
        </w:rPr>
      </w:pPr>
    </w:p>
    <w:p w14:paraId="594D4C08" w14:textId="705BC43C" w:rsidR="00885321" w:rsidRDefault="00885321" w:rsidP="00F326E5">
      <w:pPr>
        <w:rPr>
          <w:rFonts w:ascii="Arial Black" w:hAnsi="Arial Black"/>
          <w:b/>
          <w:sz w:val="24"/>
          <w:szCs w:val="24"/>
        </w:rPr>
      </w:pPr>
      <w:r>
        <w:rPr>
          <w:rFonts w:ascii="Arial Black" w:hAnsi="Arial Black"/>
          <w:b/>
          <w:sz w:val="24"/>
          <w:szCs w:val="24"/>
        </w:rPr>
        <w:t>11-</w:t>
      </w:r>
      <w:r w:rsidR="00912048">
        <w:rPr>
          <w:rFonts w:ascii="Arial Black" w:hAnsi="Arial Black"/>
          <w:b/>
          <w:sz w:val="24"/>
          <w:szCs w:val="24"/>
        </w:rPr>
        <w:t>33</w:t>
      </w:r>
    </w:p>
    <w:p w14:paraId="7B7419EA" w14:textId="77777777" w:rsidR="00885321" w:rsidRPr="00E1552C" w:rsidRDefault="00885321" w:rsidP="00885321">
      <w:pPr>
        <w:spacing w:before="100" w:beforeAutospacing="1" w:after="100" w:afterAutospacing="1" w:line="240" w:lineRule="auto"/>
        <w:rPr>
          <w:rFonts w:ascii="Arial Black" w:hAnsi="Arial Black"/>
          <w:sz w:val="28"/>
          <w:szCs w:val="28"/>
        </w:rPr>
      </w:pPr>
      <w:r>
        <w:rPr>
          <w:rFonts w:ascii="Arial Black" w:hAnsi="Arial Black"/>
          <w:sz w:val="28"/>
          <w:szCs w:val="28"/>
        </w:rPr>
        <w:t xml:space="preserve">VA: FLSA - VIRGINIA BEACH FD SETTLEMENT – EMS CAPTAINS WILL BE “NON-EXEMPT” - BACK PAY 3 YEARS </w:t>
      </w:r>
    </w:p>
    <w:p w14:paraId="301332F3" w14:textId="77777777" w:rsidR="00885321" w:rsidRDefault="00885321" w:rsidP="00885321">
      <w:pPr>
        <w:spacing w:before="100" w:beforeAutospacing="1" w:after="100" w:afterAutospacing="1" w:line="240" w:lineRule="auto"/>
        <w:rPr>
          <w:rStyle w:val="markedcontent"/>
          <w:rFonts w:ascii="Times New Roman" w:hAnsi="Times New Roman"/>
          <w:sz w:val="24"/>
          <w:szCs w:val="24"/>
        </w:rPr>
      </w:pPr>
      <w:r>
        <w:rPr>
          <w:rStyle w:val="markedcontent"/>
          <w:rFonts w:ascii="Times New Roman" w:hAnsi="Times New Roman"/>
          <w:sz w:val="24"/>
          <w:szCs w:val="24"/>
        </w:rPr>
        <w:t xml:space="preserve">On Sept. 14, 2021, in </w:t>
      </w:r>
      <w:r w:rsidRPr="00696625">
        <w:rPr>
          <w:rStyle w:val="markedcontent"/>
          <w:rFonts w:ascii="Times New Roman" w:hAnsi="Times New Roman"/>
          <w:sz w:val="24"/>
          <w:szCs w:val="24"/>
          <w:u w:val="single"/>
        </w:rPr>
        <w:t>David Bust, et al. v. Virginia Beach, Virginia</w:t>
      </w:r>
      <w:r>
        <w:rPr>
          <w:rStyle w:val="markedcontent"/>
          <w:rFonts w:ascii="Times New Roman" w:hAnsi="Times New Roman"/>
          <w:sz w:val="24"/>
          <w:szCs w:val="24"/>
        </w:rPr>
        <w:t xml:space="preserve">, U.S. District Court for Eastern District of Virginia (Norfolk Division), eight EMS Captains settled their 2020 lawsuit with the city.  The settlement included agreement by the City to re-classify EMS Captains as non-exempt effective Aug. 26, 2021, and back pay from </w:t>
      </w:r>
      <w:r w:rsidRPr="000D7DF7">
        <w:rPr>
          <w:rStyle w:val="markedcontent"/>
          <w:rFonts w:ascii="Times New Roman" w:hAnsi="Times New Roman"/>
          <w:sz w:val="24"/>
          <w:szCs w:val="24"/>
        </w:rPr>
        <w:t>November 25, 2017</w:t>
      </w:r>
      <w:r>
        <w:rPr>
          <w:rStyle w:val="markedcontent"/>
          <w:rFonts w:ascii="Times New Roman" w:hAnsi="Times New Roman"/>
          <w:sz w:val="24"/>
          <w:szCs w:val="24"/>
        </w:rPr>
        <w:t xml:space="preserve">. </w:t>
      </w:r>
    </w:p>
    <w:p w14:paraId="6B966160" w14:textId="77777777" w:rsidR="00885321" w:rsidRPr="00B42905" w:rsidRDefault="00885321" w:rsidP="00885321">
      <w:pPr>
        <w:spacing w:before="100" w:beforeAutospacing="1" w:after="100" w:afterAutospacing="1" w:line="240" w:lineRule="auto"/>
        <w:ind w:left="720"/>
        <w:rPr>
          <w:rStyle w:val="markedcontent"/>
          <w:rFonts w:ascii="Times New Roman" w:eastAsiaTheme="majorEastAsia" w:hAnsi="Times New Roman"/>
          <w:sz w:val="24"/>
          <w:szCs w:val="24"/>
        </w:rPr>
      </w:pPr>
      <w:r w:rsidRPr="00B42905">
        <w:rPr>
          <w:rStyle w:val="markedcontent"/>
          <w:rFonts w:ascii="Times New Roman" w:eastAsiaTheme="majorEastAsia" w:hAnsi="Times New Roman"/>
          <w:sz w:val="24"/>
          <w:szCs w:val="24"/>
        </w:rPr>
        <w:t xml:space="preserve">“Under the Settlement Agreement, the </w:t>
      </w:r>
      <w:proofErr w:type="gramStart"/>
      <w:r w:rsidRPr="00B42905">
        <w:rPr>
          <w:rStyle w:val="markedcontent"/>
          <w:rFonts w:ascii="Times New Roman" w:eastAsiaTheme="majorEastAsia" w:hAnsi="Times New Roman"/>
          <w:sz w:val="24"/>
          <w:szCs w:val="24"/>
        </w:rPr>
        <w:t>City</w:t>
      </w:r>
      <w:proofErr w:type="gramEnd"/>
      <w:r w:rsidRPr="00B42905">
        <w:rPr>
          <w:rStyle w:val="markedcontent"/>
          <w:rFonts w:ascii="Times New Roman" w:eastAsiaTheme="majorEastAsia" w:hAnsi="Times New Roman"/>
          <w:sz w:val="24"/>
          <w:szCs w:val="24"/>
        </w:rPr>
        <w:t xml:space="preserve"> will pay a total of $200,000.00 (two hundred thousand dollars) to resolve the Plaintiffs’ FLSA and VGPA claims. Ex. 1, ¶ 2.1. The Settlement Amount will be divided and distributed as follows: (1) one check in the amount of $80,000.00, payable to Plaintiffs’ counsel, McGillivary Steele Elkin </w:t>
      </w:r>
      <w:r w:rsidRPr="00B42905">
        <w:rPr>
          <w:rFonts w:ascii="Times New Roman" w:hAnsi="Times New Roman"/>
          <w:sz w:val="24"/>
          <w:szCs w:val="24"/>
        </w:rPr>
        <w:br/>
      </w:r>
      <w:r w:rsidRPr="00B42905">
        <w:rPr>
          <w:rStyle w:val="markedcontent"/>
          <w:rFonts w:ascii="Times New Roman" w:eastAsiaTheme="majorEastAsia" w:hAnsi="Times New Roman"/>
          <w:sz w:val="24"/>
          <w:szCs w:val="24"/>
        </w:rPr>
        <w:t xml:space="preserve">LLP, representing a negotiated amount of reimbursed attorneys’ fees and expenses; and (2) a set of payroll checks payable to individual Plaintiffs, totaling a pre-tax amount of $120,000.00, which shall be distributed to individual Plaintiffs in accordance with the pre-tax amounts set forth in Exhibit A to the Settlement Agreement, to which the City shall be entitled to apply all applicable deductions and withholdings for each individual Plaintiff. Id., ¶ 2.2. In addition, the City agreed to re-classify Plaintiffs in the position of EMS Captain as non-exempt, effective August 26, 2021. Id., ¶ 2.1. These amounts and terms are agreed to among the Parties to compromise, settle, and satisfy the Released Claims described in paragraph 3.1 of the Settlement Agreement, and all attorneys’ fees and expenses related to the Released Claims. Significantly, Plaintiffs and their </w:t>
      </w:r>
      <w:r w:rsidRPr="00B42905">
        <w:rPr>
          <w:rFonts w:ascii="Times New Roman" w:hAnsi="Times New Roman"/>
          <w:sz w:val="24"/>
          <w:szCs w:val="24"/>
        </w:rPr>
        <w:br/>
      </w:r>
      <w:r w:rsidRPr="00B42905">
        <w:rPr>
          <w:rStyle w:val="markedcontent"/>
          <w:rFonts w:ascii="Times New Roman" w:eastAsiaTheme="majorEastAsia" w:hAnsi="Times New Roman"/>
          <w:sz w:val="24"/>
          <w:szCs w:val="24"/>
        </w:rPr>
        <w:lastRenderedPageBreak/>
        <w:t xml:space="preserve">counsel determined the method used to calculate the pro rata amounts to be paid to each Plaintiff for the Back Pay Amount. Id., ¶ 2.6.”  </w:t>
      </w:r>
      <w:hyperlink r:id="rId1840" w:history="1">
        <w:r w:rsidRPr="00B42905">
          <w:rPr>
            <w:rStyle w:val="Hyperlink"/>
            <w:rFonts w:ascii="Times New Roman" w:eastAsiaTheme="majorEastAsia" w:hAnsi="Times New Roman"/>
            <w:sz w:val="24"/>
            <w:szCs w:val="24"/>
          </w:rPr>
          <w:t>http://www.firefighterovertime.org/wp-content/uploads/2021/11/US_DIS_VAED_2_20cv595_Memorandum_in_Support_re_41_Joint_MOTION_for_Settl.pdf</w:t>
        </w:r>
      </w:hyperlink>
      <w:r w:rsidRPr="00B42905">
        <w:rPr>
          <w:rStyle w:val="markedcontent"/>
          <w:rFonts w:ascii="Times New Roman" w:eastAsiaTheme="majorEastAsia" w:hAnsi="Times New Roman"/>
          <w:sz w:val="24"/>
          <w:szCs w:val="24"/>
        </w:rPr>
        <w:t xml:space="preserve"> </w:t>
      </w:r>
    </w:p>
    <w:p w14:paraId="566BF8FB" w14:textId="77777777" w:rsidR="00885321" w:rsidRPr="000D7DF7" w:rsidRDefault="00885321" w:rsidP="00885321">
      <w:pPr>
        <w:rPr>
          <w:rFonts w:ascii="Times New Roman" w:eastAsia="Times New Roman" w:hAnsi="Times New Roman"/>
          <w:b/>
          <w:bCs/>
          <w:sz w:val="24"/>
          <w:szCs w:val="24"/>
        </w:rPr>
      </w:pPr>
      <w:r w:rsidRPr="000D7DF7">
        <w:rPr>
          <w:rStyle w:val="markedcontent"/>
          <w:rFonts w:ascii="Times New Roman" w:hAnsi="Times New Roman"/>
          <w:b/>
          <w:bCs/>
          <w:sz w:val="24"/>
          <w:szCs w:val="24"/>
        </w:rPr>
        <w:t>Legal Lesson Learned:</w:t>
      </w:r>
      <w:r>
        <w:rPr>
          <w:rStyle w:val="markedcontent"/>
          <w:rFonts w:ascii="Times New Roman" w:hAnsi="Times New Roman"/>
          <w:b/>
          <w:bCs/>
          <w:sz w:val="24"/>
          <w:szCs w:val="24"/>
        </w:rPr>
        <w:t xml:space="preserve"> Settlements are encouraged to avoid “liquidated damages” (back pay doubled) under FLSA.  Fire &amp; EMS department, when in doubt about classification of officers under FLSA, are encouraged to consult with experienced FLSA attorneys and the U.S. Department of Labor, Wage &amp; Hour Division. </w:t>
      </w:r>
    </w:p>
    <w:p w14:paraId="073B8B5B" w14:textId="77777777" w:rsidR="00885321" w:rsidRDefault="00885321" w:rsidP="00885321">
      <w:pPr>
        <w:pStyle w:val="NormalWeb"/>
        <w:ind w:left="720"/>
        <w:rPr>
          <w:rStyle w:val="markedcontent"/>
          <w:rFonts w:eastAsiaTheme="majorEastAsia"/>
        </w:rPr>
      </w:pPr>
      <w:r>
        <w:rPr>
          <w:rStyle w:val="markedcontent"/>
          <w:rFonts w:eastAsiaTheme="majorEastAsia"/>
        </w:rPr>
        <w:t xml:space="preserve">Note: See article on the settlement. Nov. 16, 2021: </w:t>
      </w:r>
      <w:r w:rsidRPr="00EF1C86">
        <w:t>“VA Beach Settles ‘White Collar’ FLSA Lawsuit with EMS Captains.”</w:t>
      </w:r>
      <w:r>
        <w:t xml:space="preserve"> </w:t>
      </w:r>
      <w:hyperlink r:id="rId1841" w:history="1">
        <w:r w:rsidRPr="00673E18">
          <w:rPr>
            <w:rStyle w:val="Hyperlink"/>
          </w:rPr>
          <w:t>http://www.firefighterovertime.org/2021/11/08/va-beach-settles-flsa-lawsuit/</w:t>
        </w:r>
      </w:hyperlink>
      <w:r>
        <w:rPr>
          <w:rStyle w:val="Hyperlink"/>
        </w:rPr>
        <w:t xml:space="preserve"> </w:t>
      </w:r>
    </w:p>
    <w:p w14:paraId="056B2B98" w14:textId="77777777" w:rsidR="00885321" w:rsidRDefault="00885321" w:rsidP="00F326E5">
      <w:pPr>
        <w:rPr>
          <w:rFonts w:ascii="Arial Black" w:hAnsi="Arial Black"/>
          <w:b/>
          <w:sz w:val="24"/>
          <w:szCs w:val="24"/>
        </w:rPr>
      </w:pPr>
    </w:p>
    <w:p w14:paraId="147E159F" w14:textId="77777777" w:rsidR="00C67B2A" w:rsidRDefault="00C67B2A" w:rsidP="00F326E5">
      <w:pPr>
        <w:rPr>
          <w:rFonts w:ascii="Arial Black" w:hAnsi="Arial Black"/>
          <w:b/>
          <w:sz w:val="24"/>
          <w:szCs w:val="24"/>
        </w:rPr>
      </w:pPr>
    </w:p>
    <w:p w14:paraId="5A6E75A2" w14:textId="7BD80205" w:rsidR="00B03268" w:rsidRDefault="00B03268" w:rsidP="00F326E5">
      <w:pPr>
        <w:rPr>
          <w:rFonts w:ascii="Arial Black" w:hAnsi="Arial Black"/>
          <w:b/>
          <w:sz w:val="24"/>
          <w:szCs w:val="24"/>
        </w:rPr>
      </w:pPr>
      <w:r>
        <w:rPr>
          <w:rFonts w:ascii="Arial Black" w:hAnsi="Arial Black"/>
          <w:b/>
          <w:sz w:val="24"/>
          <w:szCs w:val="24"/>
        </w:rPr>
        <w:t>11-</w:t>
      </w:r>
      <w:r w:rsidR="00B13773">
        <w:rPr>
          <w:rFonts w:ascii="Arial Black" w:hAnsi="Arial Black"/>
          <w:b/>
          <w:sz w:val="24"/>
          <w:szCs w:val="24"/>
        </w:rPr>
        <w:t>32</w:t>
      </w:r>
    </w:p>
    <w:p w14:paraId="4CA007ED" w14:textId="77777777" w:rsidR="00B03268" w:rsidRPr="00D1078B" w:rsidRDefault="00B03268" w:rsidP="00B03268">
      <w:pPr>
        <w:pStyle w:val="NoSpacing"/>
        <w:rPr>
          <w:rFonts w:ascii="Arial Black" w:hAnsi="Arial Black"/>
          <w:sz w:val="28"/>
          <w:szCs w:val="28"/>
        </w:rPr>
      </w:pPr>
      <w:r>
        <w:rPr>
          <w:rFonts w:ascii="Arial Black" w:hAnsi="Arial Black"/>
          <w:sz w:val="28"/>
          <w:szCs w:val="28"/>
        </w:rPr>
        <w:t xml:space="preserve">IL: CITY OF CHICAGO MAILROOM EMPLOYEE – “EQUAL PAY” CASE DISMISSED – DUTIES NOT SAME FF, OTHERS </w:t>
      </w:r>
    </w:p>
    <w:p w14:paraId="325CFA06" w14:textId="77777777" w:rsidR="00B03268" w:rsidRDefault="00B03268" w:rsidP="00B03268">
      <w:pPr>
        <w:pStyle w:val="NoSpacing"/>
      </w:pPr>
    </w:p>
    <w:p w14:paraId="33F07360" w14:textId="77777777" w:rsidR="00B03268" w:rsidRPr="00BD5433" w:rsidRDefault="00B03268" w:rsidP="00B03268">
      <w:pPr>
        <w:pStyle w:val="NoSpacing"/>
        <w:rPr>
          <w:rFonts w:ascii="Times New Roman" w:hAnsi="Times New Roman"/>
          <w:sz w:val="24"/>
          <w:szCs w:val="24"/>
        </w:rPr>
      </w:pPr>
      <w:r>
        <w:rPr>
          <w:rFonts w:ascii="Times New Roman" w:hAnsi="Times New Roman"/>
          <w:sz w:val="24"/>
          <w:szCs w:val="24"/>
        </w:rPr>
        <w:t xml:space="preserve">On May 20, 2021, in </w:t>
      </w:r>
      <w:r w:rsidRPr="00D1078B">
        <w:rPr>
          <w:rFonts w:ascii="Times New Roman" w:hAnsi="Times New Roman"/>
          <w:sz w:val="24"/>
          <w:szCs w:val="24"/>
          <w:u w:val="single"/>
        </w:rPr>
        <w:t>Angela D. Boyd v. City of Chicago</w:t>
      </w:r>
      <w:r>
        <w:rPr>
          <w:rFonts w:ascii="Times New Roman" w:hAnsi="Times New Roman"/>
          <w:sz w:val="24"/>
          <w:szCs w:val="24"/>
        </w:rPr>
        <w:t xml:space="preserve">, U.S. District Court Judge Charles P. </w:t>
      </w:r>
      <w:proofErr w:type="spellStart"/>
      <w:r>
        <w:rPr>
          <w:rFonts w:ascii="Times New Roman" w:hAnsi="Times New Roman"/>
          <w:sz w:val="24"/>
          <w:szCs w:val="24"/>
        </w:rPr>
        <w:t>Kocoras</w:t>
      </w:r>
      <w:proofErr w:type="spellEnd"/>
      <w:r>
        <w:rPr>
          <w:rFonts w:ascii="Times New Roman" w:hAnsi="Times New Roman"/>
          <w:sz w:val="24"/>
          <w:szCs w:val="24"/>
        </w:rPr>
        <w:t xml:space="preserve">, U.S. District Court for Northern District of Illinois, Eastern District, granted the City’s motion to dismiss this lawsuit, </w:t>
      </w:r>
      <w:proofErr w:type="gramStart"/>
      <w:r>
        <w:rPr>
          <w:rFonts w:ascii="Times New Roman" w:hAnsi="Times New Roman"/>
          <w:sz w:val="24"/>
          <w:szCs w:val="24"/>
        </w:rPr>
        <w:t>and also</w:t>
      </w:r>
      <w:proofErr w:type="gramEnd"/>
      <w:r>
        <w:rPr>
          <w:rFonts w:ascii="Times New Roman" w:hAnsi="Times New Roman"/>
          <w:sz w:val="24"/>
          <w:szCs w:val="24"/>
        </w:rPr>
        <w:t xml:space="preserve"> the motion of her union, </w:t>
      </w:r>
      <w:r w:rsidRPr="00BD5433">
        <w:rPr>
          <w:rFonts w:ascii="Times New Roman" w:hAnsi="Times New Roman"/>
          <w:sz w:val="24"/>
          <w:szCs w:val="24"/>
        </w:rPr>
        <w:t>AFSCME Council 31</w:t>
      </w:r>
      <w:r>
        <w:rPr>
          <w:rFonts w:ascii="Times New Roman" w:hAnsi="Times New Roman"/>
          <w:sz w:val="24"/>
          <w:szCs w:val="24"/>
        </w:rPr>
        <w:t>.</w:t>
      </w:r>
    </w:p>
    <w:p w14:paraId="6E3043A5" w14:textId="2A86F062" w:rsidR="00B03268" w:rsidRDefault="00B03268" w:rsidP="00B03268">
      <w:pPr>
        <w:rPr>
          <w:rFonts w:ascii="Arial Black" w:hAnsi="Arial Black"/>
          <w:b/>
          <w:sz w:val="24"/>
          <w:szCs w:val="24"/>
        </w:rPr>
      </w:pPr>
      <w:r>
        <w:rPr>
          <w:rFonts w:ascii="Times New Roman" w:eastAsia="Times New Roman" w:hAnsi="Times New Roman"/>
          <w:sz w:val="24"/>
          <w:szCs w:val="24"/>
        </w:rPr>
        <w:t>“</w:t>
      </w:r>
      <w:r w:rsidRPr="00BD5433">
        <w:rPr>
          <w:rFonts w:ascii="Times New Roman" w:eastAsia="Times New Roman" w:hAnsi="Times New Roman"/>
          <w:sz w:val="24"/>
          <w:szCs w:val="24"/>
        </w:rPr>
        <w:t xml:space="preserve">Boyd's duties specifically included picking up and dropping off mail and boxes at various City locations. Despite these distinct duties, Boyd alleges that she was paid less than three other men. First, she alleges that she was paid less than Mr. Romell Short, a concrete laborer, who was paid $40.20 an hour. Second, she alleges that she was paid less than Mr. Michael Evans, a City Assistant Commissioner, who was paid an annual salary of over $90,000. And third, Boyd alleges that another man—a firefighter—was paid an annual salary of over $100,000. *** </w:t>
      </w:r>
      <w:r w:rsidRPr="00BD5433">
        <w:rPr>
          <w:rFonts w:ascii="Times New Roman" w:hAnsi="Times New Roman"/>
          <w:sz w:val="24"/>
          <w:szCs w:val="24"/>
        </w:rPr>
        <w:t>Put simply: Boyd alleges no facts to support an inference that the three men at issue completed equal work that required similar skill, effort, or responsibility. That is fatal to Boyd's Amended Complaint.</w:t>
      </w:r>
      <w:r>
        <w:rPr>
          <w:rFonts w:ascii="Times New Roman" w:hAnsi="Times New Roman"/>
          <w:sz w:val="24"/>
          <w:szCs w:val="24"/>
        </w:rPr>
        <w:t xml:space="preserve">” </w:t>
      </w:r>
      <w:hyperlink r:id="rId1842" w:history="1">
        <w:r w:rsidRPr="007344F4">
          <w:rPr>
            <w:rStyle w:val="Hyperlink"/>
            <w:sz w:val="24"/>
            <w:szCs w:val="24"/>
          </w:rPr>
          <w:t>https://public.fastcase.com/9SKwsfNqTc6OieYDhNMyM%2Bd%2B2eK88WBpQndaMaa6S5BNLFOYsG1I8lL7zJutyS4p</w:t>
        </w:r>
      </w:hyperlink>
    </w:p>
    <w:p w14:paraId="24E94DF9" w14:textId="77777777" w:rsidR="00B03268" w:rsidRPr="00BD5433" w:rsidRDefault="00B03268" w:rsidP="00B03268">
      <w:pPr>
        <w:spacing w:before="100" w:beforeAutospacing="1" w:after="100" w:afterAutospacing="1"/>
        <w:rPr>
          <w:rFonts w:ascii="Times New Roman" w:eastAsia="Times New Roman" w:hAnsi="Times New Roman"/>
          <w:b/>
          <w:bCs/>
          <w:sz w:val="24"/>
          <w:szCs w:val="24"/>
        </w:rPr>
      </w:pPr>
      <w:r w:rsidRPr="00F9640F">
        <w:rPr>
          <w:rFonts w:ascii="Times New Roman" w:eastAsia="Times New Roman" w:hAnsi="Times New Roman"/>
          <w:b/>
          <w:bCs/>
          <w:sz w:val="24"/>
          <w:szCs w:val="24"/>
        </w:rPr>
        <w:t>Legal Lesson Learned:</w:t>
      </w:r>
      <w:r>
        <w:rPr>
          <w:rFonts w:ascii="Times New Roman" w:eastAsia="Times New Roman" w:hAnsi="Times New Roman"/>
          <w:b/>
          <w:bCs/>
          <w:sz w:val="24"/>
          <w:szCs w:val="24"/>
        </w:rPr>
        <w:t xml:space="preserve"> The plaintiff obviously does not do the same work as those she used to compare her pay - a concrete laborer, fire fighter, Assistant Commissioner. </w:t>
      </w:r>
    </w:p>
    <w:p w14:paraId="568C8649" w14:textId="77777777" w:rsidR="00B03268" w:rsidRDefault="00B03268" w:rsidP="00F326E5">
      <w:pPr>
        <w:rPr>
          <w:rFonts w:ascii="Arial Black" w:hAnsi="Arial Black"/>
          <w:b/>
          <w:sz w:val="24"/>
          <w:szCs w:val="24"/>
        </w:rPr>
      </w:pPr>
    </w:p>
    <w:p w14:paraId="77405754" w14:textId="09C8B91B" w:rsidR="00BC5936" w:rsidRPr="00BC5936" w:rsidRDefault="00BC5936" w:rsidP="00F326E5">
      <w:pPr>
        <w:rPr>
          <w:rFonts w:ascii="Times New Roman" w:hAnsi="Times New Roman"/>
          <w:bCs/>
          <w:sz w:val="24"/>
          <w:szCs w:val="24"/>
        </w:rPr>
      </w:pPr>
      <w:r>
        <w:rPr>
          <w:rFonts w:ascii="Arial Black" w:hAnsi="Arial Black"/>
          <w:b/>
          <w:sz w:val="24"/>
          <w:szCs w:val="24"/>
        </w:rPr>
        <w:t>11-</w:t>
      </w:r>
      <w:r w:rsidR="00B13773">
        <w:rPr>
          <w:rFonts w:ascii="Arial Black" w:hAnsi="Arial Black"/>
          <w:b/>
          <w:sz w:val="24"/>
          <w:szCs w:val="24"/>
        </w:rPr>
        <w:t>31</w:t>
      </w:r>
      <w:r>
        <w:rPr>
          <w:rFonts w:ascii="Arial Black" w:hAnsi="Arial Black"/>
          <w:b/>
          <w:sz w:val="24"/>
          <w:szCs w:val="24"/>
        </w:rPr>
        <w:t xml:space="preserve"> </w:t>
      </w:r>
      <w:r>
        <w:rPr>
          <w:rFonts w:ascii="Times New Roman" w:hAnsi="Times New Roman"/>
          <w:bCs/>
          <w:sz w:val="24"/>
          <w:szCs w:val="24"/>
        </w:rPr>
        <w:t>[also filed, Chap. 16]</w:t>
      </w:r>
    </w:p>
    <w:p w14:paraId="4D4EF384" w14:textId="77777777" w:rsidR="00BC5936" w:rsidRPr="003A1BB2" w:rsidRDefault="00BC5936" w:rsidP="00BC5936">
      <w:pPr>
        <w:pStyle w:val="NoSpacing"/>
        <w:rPr>
          <w:rFonts w:ascii="Arial Black" w:hAnsi="Arial Black"/>
          <w:sz w:val="28"/>
          <w:szCs w:val="28"/>
        </w:rPr>
      </w:pPr>
      <w:r>
        <w:rPr>
          <w:rFonts w:ascii="Arial Black" w:hAnsi="Arial Black"/>
          <w:sz w:val="28"/>
          <w:szCs w:val="28"/>
        </w:rPr>
        <w:t>NV: AT-WILL HOSPITAL PARAMEDIC - TERMINATED WITHIN 1-YR PROBATIONARY PERIOD – LAWSUIT DISMISSED</w:t>
      </w:r>
    </w:p>
    <w:p w14:paraId="68E0DE4D" w14:textId="77777777" w:rsidR="00BC5936" w:rsidRDefault="00BC5936" w:rsidP="00BC5936">
      <w:pPr>
        <w:pStyle w:val="NoSpacing"/>
      </w:pPr>
    </w:p>
    <w:p w14:paraId="15BD1787" w14:textId="77777777" w:rsidR="00BC5936" w:rsidRPr="00D106AE" w:rsidRDefault="00BC5936" w:rsidP="00BC5936">
      <w:pPr>
        <w:pStyle w:val="NoSpacing"/>
        <w:rPr>
          <w:rFonts w:ascii="Times New Roman" w:hAnsi="Times New Roman"/>
          <w:sz w:val="24"/>
          <w:szCs w:val="24"/>
        </w:rPr>
      </w:pPr>
      <w:r>
        <w:rPr>
          <w:rFonts w:ascii="Times New Roman" w:hAnsi="Times New Roman"/>
          <w:sz w:val="24"/>
          <w:szCs w:val="24"/>
        </w:rPr>
        <w:t xml:space="preserve">On May 13, 2021, in </w:t>
      </w:r>
      <w:r w:rsidRPr="00D106AE">
        <w:rPr>
          <w:rFonts w:ascii="Times New Roman" w:hAnsi="Times New Roman"/>
          <w:sz w:val="24"/>
          <w:szCs w:val="24"/>
          <w:u w:val="single"/>
        </w:rPr>
        <w:t>Todd P. Evans v. Lander County Hospital District, d/b/a Battle Mountain General Hospital</w:t>
      </w:r>
      <w:r w:rsidRPr="00D106AE">
        <w:rPr>
          <w:rFonts w:ascii="Times New Roman" w:hAnsi="Times New Roman"/>
          <w:sz w:val="24"/>
          <w:szCs w:val="24"/>
        </w:rPr>
        <w:t xml:space="preserve">, U.S. District Court Judge Larry R. Hicks, U.S. District Court, District of Nevada, </w:t>
      </w:r>
      <w:r>
        <w:rPr>
          <w:rFonts w:ascii="Times New Roman" w:hAnsi="Times New Roman"/>
          <w:sz w:val="24"/>
          <w:szCs w:val="24"/>
        </w:rPr>
        <w:t xml:space="preserve">held that the </w:t>
      </w:r>
      <w:r>
        <w:rPr>
          <w:rFonts w:ascii="Times New Roman" w:hAnsi="Times New Roman"/>
          <w:sz w:val="24"/>
          <w:szCs w:val="24"/>
        </w:rPr>
        <w:lastRenderedPageBreak/>
        <w:t>paramedic did not file or otherwise orally make a complaint of FLSA violation, and he was an at-will employee that can be terminated without cause by the hospital.</w:t>
      </w:r>
    </w:p>
    <w:p w14:paraId="123C4A92" w14:textId="77777777" w:rsidR="00BC5936" w:rsidRDefault="00BC5936" w:rsidP="00BC5936">
      <w:pPr>
        <w:spacing w:before="100" w:beforeAutospacing="1" w:after="100" w:afterAutospacing="1"/>
        <w:ind w:left="720"/>
        <w:rPr>
          <w:rFonts w:ascii="Times New Roman" w:eastAsia="Times New Roman" w:hAnsi="Times New Roman"/>
          <w:sz w:val="24"/>
          <w:szCs w:val="24"/>
        </w:rPr>
      </w:pPr>
      <w:r>
        <w:rPr>
          <w:rFonts w:ascii="Times New Roman" w:eastAsia="Times New Roman" w:hAnsi="Times New Roman"/>
          <w:sz w:val="24"/>
          <w:szCs w:val="24"/>
        </w:rPr>
        <w:t>“</w:t>
      </w:r>
      <w:r w:rsidRPr="003A1BB2">
        <w:rPr>
          <w:rFonts w:ascii="Times New Roman" w:eastAsia="Times New Roman" w:hAnsi="Times New Roman"/>
          <w:sz w:val="24"/>
          <w:szCs w:val="24"/>
        </w:rPr>
        <w:t>Again, based on Evans' testimony, the Court finds that Evans' statements during the April 2019 meeting do not constitute filling a complaint with the BMGH as contemplated by the FLSA anti-retaliation statute. The content of this meeting was the financial and economic status of the EMS Department and was focused on how Evans' suggested alterations to the department, including transitioning the volunteer EMTs to paid staff, would make the department more fiscally responsible and increase staff. While Evans did address the FLSA and again suggested that the volunteer program may be violating the federal statute, he did not specify an illegality related to the program and did not provide Trustee Roberts with any documentation related to the FLSA. A reasonable employer would have seen Evans' statements as an attempt to recruit a board member to support his budget proposal, not an assertion of the employment rights of the volunteer EMTs in the program. Accordingly, his statements cannot be considered a filed complaint under the FLSA anti-retaliation statute.</w:t>
      </w:r>
    </w:p>
    <w:p w14:paraId="2E05832E" w14:textId="77777777" w:rsidR="00BC5936" w:rsidRDefault="00BC5936" w:rsidP="00BC5936">
      <w:pPr>
        <w:spacing w:before="100" w:beforeAutospacing="1" w:after="100" w:afterAutospacing="1"/>
        <w:ind w:left="720"/>
        <w:rPr>
          <w:rFonts w:ascii="Times New Roman" w:eastAsia="Times New Roman" w:hAnsi="Times New Roman"/>
          <w:sz w:val="24"/>
          <w:szCs w:val="24"/>
        </w:rPr>
      </w:pPr>
      <w:r>
        <w:rPr>
          <w:rFonts w:ascii="Times New Roman" w:eastAsia="Times New Roman" w:hAnsi="Times New Roman"/>
          <w:sz w:val="24"/>
          <w:szCs w:val="24"/>
        </w:rPr>
        <w:t>***</w:t>
      </w:r>
    </w:p>
    <w:p w14:paraId="248641C5" w14:textId="77777777" w:rsidR="00BC5936" w:rsidRPr="003A1BB2" w:rsidRDefault="00BC5936" w:rsidP="00BC5936">
      <w:pPr>
        <w:spacing w:before="100" w:beforeAutospacing="1" w:after="100" w:afterAutospacing="1"/>
        <w:ind w:left="720"/>
        <w:rPr>
          <w:rFonts w:ascii="Times New Roman" w:eastAsia="Times New Roman" w:hAnsi="Times New Roman"/>
          <w:sz w:val="24"/>
          <w:szCs w:val="24"/>
        </w:rPr>
      </w:pPr>
      <w:r w:rsidRPr="00D106AE">
        <w:rPr>
          <w:rFonts w:ascii="Times New Roman" w:hAnsi="Times New Roman"/>
          <w:sz w:val="24"/>
          <w:szCs w:val="24"/>
        </w:rPr>
        <w:t xml:space="preserve">Evans' fourth cause of action alleges Defendant breached its oral employment contract in which BMGH agreed to pay Evans a salary of $115,000.00 per year plus a travel stipend of no more than $500.00 per month. ECF No. 1 ¶¶ 55-58. Defendant argues that it could not have breached an employment contract that did not exist as Evans was an at-will employee. Having reviewed the record, there can be no dispute that Evans was an at-will </w:t>
      </w:r>
      <w:proofErr w:type="gramStart"/>
      <w:r w:rsidRPr="00D106AE">
        <w:rPr>
          <w:rFonts w:ascii="Times New Roman" w:hAnsi="Times New Roman"/>
          <w:sz w:val="24"/>
          <w:szCs w:val="24"/>
        </w:rPr>
        <w:t>employee.</w:t>
      </w:r>
      <w:r>
        <w:rPr>
          <w:rFonts w:ascii="Times New Roman" w:hAnsi="Times New Roman"/>
          <w:sz w:val="24"/>
          <w:szCs w:val="24"/>
        </w:rPr>
        <w:t>”</w:t>
      </w:r>
      <w:proofErr w:type="gramEnd"/>
      <w:r>
        <w:rPr>
          <w:rFonts w:ascii="Times New Roman" w:hAnsi="Times New Roman"/>
          <w:sz w:val="24"/>
          <w:szCs w:val="24"/>
        </w:rPr>
        <w:t xml:space="preserve"> </w:t>
      </w:r>
      <w:hyperlink r:id="rId1843" w:history="1">
        <w:r w:rsidRPr="00C724D5">
          <w:rPr>
            <w:rStyle w:val="Hyperlink"/>
            <w:sz w:val="24"/>
            <w:szCs w:val="24"/>
          </w:rPr>
          <w:t>https://www.leagle.com/decision/infdco20210518900</w:t>
        </w:r>
      </w:hyperlink>
      <w:r>
        <w:rPr>
          <w:rFonts w:ascii="Times New Roman" w:eastAsia="Times New Roman" w:hAnsi="Times New Roman"/>
          <w:sz w:val="24"/>
          <w:szCs w:val="24"/>
        </w:rPr>
        <w:t xml:space="preserve"> </w:t>
      </w:r>
    </w:p>
    <w:p w14:paraId="4D95F609" w14:textId="77777777" w:rsidR="00BC5936" w:rsidRPr="00E7248E" w:rsidRDefault="00BC5936" w:rsidP="00BC5936">
      <w:pPr>
        <w:pStyle w:val="NormalWeb"/>
        <w:rPr>
          <w:b/>
          <w:bCs/>
        </w:rPr>
      </w:pPr>
      <w:r w:rsidRPr="00E7248E">
        <w:rPr>
          <w:b/>
          <w:bCs/>
        </w:rPr>
        <w:t>Legal Lesson Learned:</w:t>
      </w:r>
      <w:r>
        <w:rPr>
          <w:b/>
          <w:bCs/>
        </w:rPr>
        <w:t xml:space="preserve"> At will employees can be terminated, with or without cause.  </w:t>
      </w:r>
    </w:p>
    <w:p w14:paraId="6C3BCDB1" w14:textId="77777777" w:rsidR="00BC5936" w:rsidRDefault="00BC5936" w:rsidP="00F326E5">
      <w:pPr>
        <w:rPr>
          <w:rFonts w:ascii="Arial Black" w:hAnsi="Arial Black"/>
          <w:b/>
          <w:sz w:val="24"/>
          <w:szCs w:val="24"/>
        </w:rPr>
      </w:pPr>
    </w:p>
    <w:p w14:paraId="46528163" w14:textId="77777777" w:rsidR="00BC5936" w:rsidRDefault="00BC5936" w:rsidP="00F326E5">
      <w:pPr>
        <w:rPr>
          <w:rFonts w:ascii="Arial Black" w:hAnsi="Arial Black"/>
          <w:b/>
          <w:sz w:val="24"/>
          <w:szCs w:val="24"/>
        </w:rPr>
      </w:pPr>
    </w:p>
    <w:p w14:paraId="6F2D0D06" w14:textId="77777777" w:rsidR="00BC5936" w:rsidRDefault="00BC5936" w:rsidP="00F326E5">
      <w:pPr>
        <w:rPr>
          <w:rFonts w:ascii="Arial Black" w:hAnsi="Arial Black"/>
          <w:b/>
          <w:sz w:val="24"/>
          <w:szCs w:val="24"/>
        </w:rPr>
      </w:pPr>
    </w:p>
    <w:p w14:paraId="1BA09A10" w14:textId="241CE1CD" w:rsidR="003E0A22" w:rsidRDefault="003E0A22" w:rsidP="00F326E5">
      <w:pPr>
        <w:rPr>
          <w:rFonts w:ascii="Arial Black" w:hAnsi="Arial Black"/>
          <w:b/>
          <w:sz w:val="24"/>
          <w:szCs w:val="24"/>
        </w:rPr>
      </w:pPr>
      <w:r>
        <w:rPr>
          <w:rFonts w:ascii="Arial Black" w:hAnsi="Arial Black"/>
          <w:b/>
          <w:sz w:val="24"/>
          <w:szCs w:val="24"/>
        </w:rPr>
        <w:t>11-</w:t>
      </w:r>
      <w:r w:rsidR="00B13773">
        <w:rPr>
          <w:rFonts w:ascii="Arial Black" w:hAnsi="Arial Black"/>
          <w:b/>
          <w:sz w:val="24"/>
          <w:szCs w:val="24"/>
        </w:rPr>
        <w:t>30</w:t>
      </w:r>
    </w:p>
    <w:p w14:paraId="562E3288" w14:textId="77777777" w:rsidR="003E0A22" w:rsidRDefault="003E0A22" w:rsidP="003E0A22">
      <w:pPr>
        <w:rPr>
          <w:rFonts w:ascii="Arial Black" w:hAnsi="Arial Black"/>
          <w:sz w:val="28"/>
          <w:szCs w:val="28"/>
        </w:rPr>
      </w:pPr>
      <w:r>
        <w:rPr>
          <w:rFonts w:ascii="Arial Black" w:hAnsi="Arial Black"/>
          <w:sz w:val="28"/>
          <w:szCs w:val="28"/>
        </w:rPr>
        <w:t>MO:  FLSA CLASS ACTION MAY PROCEED – 400+ FF – SPECIALTY PAY NOT ADDED TO “REGULAR RATE OF PAY”</w:t>
      </w:r>
    </w:p>
    <w:p w14:paraId="455574E8" w14:textId="77777777" w:rsidR="003E0A22" w:rsidRDefault="003E0A22" w:rsidP="003E0A22">
      <w:pPr>
        <w:rPr>
          <w:rFonts w:ascii="Times New Roman" w:hAnsi="Times New Roman"/>
          <w:sz w:val="24"/>
          <w:szCs w:val="24"/>
        </w:rPr>
      </w:pPr>
      <w:r>
        <w:rPr>
          <w:rFonts w:ascii="Times New Roman" w:hAnsi="Times New Roman"/>
          <w:sz w:val="24"/>
          <w:szCs w:val="24"/>
        </w:rPr>
        <w:t xml:space="preserve">On March 30, 2021, in </w:t>
      </w:r>
      <w:r w:rsidRPr="00EE3F62">
        <w:rPr>
          <w:rFonts w:ascii="Times New Roman" w:hAnsi="Times New Roman"/>
          <w:sz w:val="24"/>
          <w:szCs w:val="24"/>
          <w:u w:val="single"/>
        </w:rPr>
        <w:t>Craig Adams and Joseph Knopp, individually and on behalf of similarly situated plaintiffs v. City of Kansas, Missouri</w:t>
      </w:r>
      <w:r>
        <w:rPr>
          <w:rFonts w:ascii="Times New Roman" w:hAnsi="Times New Roman"/>
          <w:sz w:val="24"/>
          <w:szCs w:val="24"/>
        </w:rPr>
        <w:t>, U.S. Magistrate W. Brian Gaddy denied the City’s motion to decertify the class action, where 474 firefighters submitted consent forms to join the class action (91 firefighters who did not receive the specialty pay since 2016 were with agreement dropped from the case).   The Complaint, filed in 2019, alleges that City failed to increase the firefighters “regular rate of pay” for those FF receiving specialty pay, including members of the Hazards Material Team (3%); members of ARFF receive a 5% pay increase; Instructors (10%); FTO’s (5%); EST maintaining cardiac monitors and hydraulic cots (10%); cross trained FF / EMS assigned to combined rescue and Squad (3%).</w:t>
      </w:r>
    </w:p>
    <w:p w14:paraId="7A72B887" w14:textId="77777777" w:rsidR="003E0A22" w:rsidRDefault="003E0A22" w:rsidP="003E0A22">
      <w:pPr>
        <w:pStyle w:val="NormalWeb"/>
        <w:ind w:left="720"/>
      </w:pPr>
      <w:r>
        <w:lastRenderedPageBreak/>
        <w:t>“</w:t>
      </w:r>
      <w:r w:rsidRPr="006F4267">
        <w:t xml:space="preserve">The Court notes the more than 400 collective action members have been and continue to be represented by the same law firm. Throughout more than two years of litigation, counsel has sought and continues to seek relief on behalf of the collective action members. </w:t>
      </w:r>
    </w:p>
    <w:p w14:paraId="1E1E017D" w14:textId="77777777" w:rsidR="003E0A22" w:rsidRPr="006F4267" w:rsidRDefault="003E0A22" w:rsidP="003E0A22">
      <w:pPr>
        <w:pStyle w:val="NormalWeb"/>
        <w:ind w:left="720"/>
      </w:pPr>
      <w:r>
        <w:t>***</w:t>
      </w:r>
    </w:p>
    <w:p w14:paraId="002BE85D" w14:textId="77777777" w:rsidR="003E0A22" w:rsidRDefault="003E0A22" w:rsidP="003E0A22">
      <w:pPr>
        <w:ind w:left="720"/>
        <w:rPr>
          <w:rFonts w:ascii="Times New Roman" w:hAnsi="Times New Roman"/>
          <w:sz w:val="24"/>
          <w:szCs w:val="24"/>
        </w:rPr>
      </w:pPr>
      <w:r w:rsidRPr="006F4267">
        <w:rPr>
          <w:rFonts w:ascii="Times New Roman" w:hAnsi="Times New Roman"/>
          <w:sz w:val="24"/>
          <w:szCs w:val="24"/>
        </w:rPr>
        <w:t xml:space="preserve">Here, the Court concludes collective adjudication reduces the burden on Plaintiffs through the pooling of resources and efficiently resolves common issues of law and fact arising from the City’s application of a pay policy. Not only would it be impractical or difficult for each collective action member to pursue his or her FLSA claim individually, the legal questions and common factual issues lend themselves to resolution through common evidence. By permitting this matter to proceed as a collective action, the result will be one judgment. </w:t>
      </w:r>
      <w:proofErr w:type="gramStart"/>
      <w:r w:rsidRPr="006F4267">
        <w:rPr>
          <w:rFonts w:ascii="Times New Roman" w:hAnsi="Times New Roman"/>
          <w:sz w:val="24"/>
          <w:szCs w:val="24"/>
        </w:rPr>
        <w:t>Whereas,</w:t>
      </w:r>
      <w:proofErr w:type="gramEnd"/>
      <w:r w:rsidRPr="006F4267">
        <w:rPr>
          <w:rFonts w:ascii="Times New Roman" w:hAnsi="Times New Roman"/>
          <w:sz w:val="24"/>
          <w:szCs w:val="24"/>
        </w:rPr>
        <w:t xml:space="preserve"> decertification could result in hundreds of individual trials. See </w:t>
      </w:r>
      <w:proofErr w:type="spellStart"/>
      <w:r w:rsidRPr="006F4267">
        <w:rPr>
          <w:rFonts w:ascii="Times New Roman" w:hAnsi="Times New Roman"/>
          <w:sz w:val="24"/>
          <w:szCs w:val="24"/>
        </w:rPr>
        <w:t>Kautsch</w:t>
      </w:r>
      <w:proofErr w:type="spellEnd"/>
      <w:r w:rsidRPr="006F4267">
        <w:rPr>
          <w:rFonts w:ascii="Times New Roman" w:hAnsi="Times New Roman"/>
          <w:sz w:val="24"/>
          <w:szCs w:val="24"/>
        </w:rPr>
        <w:t>, 2008 WL 294271, at *4; see also Shoots, 325 F.R.D. at 279-80. Accordingly, the issues will be efficiently resolved for the parties and the Court.</w:t>
      </w:r>
      <w:r>
        <w:t xml:space="preserve">” </w:t>
      </w:r>
      <w:hyperlink r:id="rId1844" w:history="1">
        <w:r w:rsidRPr="0041276B">
          <w:rPr>
            <w:rStyle w:val="Hyperlink"/>
            <w:rFonts w:ascii="Times New Roman" w:hAnsi="Times New Roman"/>
            <w:sz w:val="24"/>
            <w:szCs w:val="24"/>
          </w:rPr>
          <w:t>https://casetext.com/case/adams-v-city-of-kan-city-1</w:t>
        </w:r>
      </w:hyperlink>
      <w:r w:rsidRPr="005D1860">
        <w:rPr>
          <w:rFonts w:ascii="Times New Roman" w:hAnsi="Times New Roman"/>
          <w:sz w:val="24"/>
          <w:szCs w:val="24"/>
        </w:rPr>
        <w:t xml:space="preserve">  </w:t>
      </w:r>
    </w:p>
    <w:p w14:paraId="4D772AC9" w14:textId="77777777" w:rsidR="003E0A22" w:rsidRPr="005C2B75" w:rsidRDefault="003E0A22" w:rsidP="003E0A22">
      <w:pPr>
        <w:pStyle w:val="NormalWeb"/>
      </w:pPr>
      <w:r w:rsidRPr="005C2B75">
        <w:rPr>
          <w:b/>
          <w:bCs/>
        </w:rPr>
        <w:t>Legal Lesson Learned:</w:t>
      </w:r>
      <w:r>
        <w:rPr>
          <w:b/>
          <w:bCs/>
        </w:rPr>
        <w:t xml:space="preserve"> Case will now proceed to trial.  See the Complaint: </w:t>
      </w:r>
      <w:hyperlink r:id="rId1845" w:history="1">
        <w:r w:rsidRPr="005C2B75">
          <w:rPr>
            <w:rStyle w:val="Hyperlink"/>
          </w:rPr>
          <w:t>http://www.firefighterovertime.org/wp-content/uploads/2021/04/KC-MO-FF-FLSA-Complaint-1.pdf</w:t>
        </w:r>
      </w:hyperlink>
      <w:r w:rsidRPr="005C2B75">
        <w:t xml:space="preserve"> </w:t>
      </w:r>
    </w:p>
    <w:p w14:paraId="6FB13DDA" w14:textId="77777777" w:rsidR="003E0A22" w:rsidRPr="005C2B75" w:rsidRDefault="003E0A22" w:rsidP="003E0A22">
      <w:pPr>
        <w:pStyle w:val="NormalWeb"/>
        <w:ind w:left="720"/>
      </w:pPr>
      <w:r>
        <w:t xml:space="preserve">Note: See this helpful U.S. Department of Labor, Wage &amp; Hour instructions on “regular rate of pay” (Dec. 2019): </w:t>
      </w:r>
      <w:hyperlink r:id="rId1846" w:history="1">
        <w:r w:rsidRPr="0094590E">
          <w:rPr>
            <w:rStyle w:val="Hyperlink"/>
          </w:rPr>
          <w:t>https://www.dol.gov/agencies/whd/fact-sheets/56a-regular-rate</w:t>
        </w:r>
      </w:hyperlink>
      <w:r>
        <w:t xml:space="preserve"> </w:t>
      </w:r>
    </w:p>
    <w:p w14:paraId="7D9ED66B" w14:textId="77777777" w:rsidR="003E0A22" w:rsidRDefault="003E0A22" w:rsidP="003E0A22">
      <w:pPr>
        <w:pStyle w:val="NormalWeb"/>
        <w:ind w:left="720"/>
        <w:rPr>
          <w:rFonts w:ascii="Arial" w:hAnsi="Arial" w:cs="Arial"/>
          <w:sz w:val="30"/>
          <w:szCs w:val="30"/>
        </w:rPr>
      </w:pPr>
      <w:r>
        <w:t xml:space="preserve">“Under the FLSA, the regular rate includes ‘all remuneration for employment paid to, or on behalf of, the employee.’ The FLSA (29 USC § 207(e)) provides an exhaustive list of types of payments that can be excluded from the regular rate of pay when calculating overtime compensation.  Unless specifically noted, payments that are excludable from the regular rate may not be credited towards overtime compensation due under the FLSA.  Additional information regarding exclusions from the regular rate may be found in the regulations, </w:t>
      </w:r>
      <w:hyperlink r:id="rId1847" w:anchor="sp29.3.778.c" w:tgtFrame="_blank" w:history="1">
        <w:r>
          <w:rPr>
            <w:rStyle w:val="Hyperlink"/>
          </w:rPr>
          <w:t>29 C.F.R. § 778</w:t>
        </w:r>
      </w:hyperlink>
      <w:r>
        <w:t>.200-.225.”</w:t>
      </w:r>
    </w:p>
    <w:p w14:paraId="6524F740" w14:textId="77777777" w:rsidR="003E0A22" w:rsidRDefault="003E0A22" w:rsidP="00F326E5">
      <w:pPr>
        <w:rPr>
          <w:rFonts w:ascii="Arial Black" w:hAnsi="Arial Black"/>
          <w:b/>
          <w:sz w:val="24"/>
          <w:szCs w:val="24"/>
        </w:rPr>
      </w:pPr>
    </w:p>
    <w:p w14:paraId="5642E57C" w14:textId="77777777" w:rsidR="003E0A22" w:rsidRDefault="003E0A22" w:rsidP="00F326E5">
      <w:pPr>
        <w:rPr>
          <w:rFonts w:ascii="Arial Black" w:hAnsi="Arial Black"/>
          <w:b/>
          <w:sz w:val="24"/>
          <w:szCs w:val="24"/>
        </w:rPr>
      </w:pPr>
    </w:p>
    <w:p w14:paraId="66993A39" w14:textId="18C10217" w:rsidR="00EB2493" w:rsidRDefault="00EB2493" w:rsidP="00F326E5">
      <w:pPr>
        <w:rPr>
          <w:rFonts w:ascii="Arial Black" w:hAnsi="Arial Black"/>
          <w:b/>
          <w:sz w:val="24"/>
          <w:szCs w:val="24"/>
        </w:rPr>
      </w:pPr>
      <w:r>
        <w:rPr>
          <w:rFonts w:ascii="Arial Black" w:hAnsi="Arial Black"/>
          <w:b/>
          <w:sz w:val="24"/>
          <w:szCs w:val="24"/>
        </w:rPr>
        <w:t>11-2</w:t>
      </w:r>
      <w:r w:rsidR="00B13773">
        <w:rPr>
          <w:rFonts w:ascii="Arial Black" w:hAnsi="Arial Black"/>
          <w:b/>
          <w:sz w:val="24"/>
          <w:szCs w:val="24"/>
        </w:rPr>
        <w:t>9</w:t>
      </w:r>
    </w:p>
    <w:p w14:paraId="01B977B2" w14:textId="77777777" w:rsidR="00EB2493" w:rsidRPr="002D1748" w:rsidRDefault="00EB2493" w:rsidP="00EB2493">
      <w:pPr>
        <w:pStyle w:val="Heading1"/>
        <w:rPr>
          <w:rFonts w:ascii="Arial Black" w:hAnsi="Arial Black"/>
          <w:sz w:val="28"/>
          <w:szCs w:val="28"/>
        </w:rPr>
      </w:pPr>
      <w:bookmarkStart w:id="386" w:name="_Hlk66948836"/>
      <w:r>
        <w:rPr>
          <w:rFonts w:ascii="Arial Black" w:hAnsi="Arial Black"/>
          <w:sz w:val="28"/>
          <w:szCs w:val="28"/>
        </w:rPr>
        <w:t>CA: $3.4M FLSA SETTLEMENT – FF CASH IF DON’T USE MEDICAL BENEFITS - “REGULAR RATE” PAY IMPACT</w:t>
      </w:r>
    </w:p>
    <w:p w14:paraId="29DB577E" w14:textId="1A1832F7" w:rsidR="00EB2493" w:rsidRDefault="00EB2493" w:rsidP="00EB2493">
      <w:pPr>
        <w:pStyle w:val="Heading1"/>
        <w:rPr>
          <w:b w:val="0"/>
          <w:bCs w:val="0"/>
          <w:sz w:val="24"/>
          <w:szCs w:val="24"/>
        </w:rPr>
      </w:pPr>
      <w:r>
        <w:rPr>
          <w:b w:val="0"/>
          <w:bCs w:val="0"/>
          <w:sz w:val="24"/>
          <w:szCs w:val="24"/>
        </w:rPr>
        <w:t xml:space="preserve">On Feb. 8, 2021, in </w:t>
      </w:r>
      <w:r w:rsidRPr="002D1748">
        <w:rPr>
          <w:b w:val="0"/>
          <w:bCs w:val="0"/>
          <w:sz w:val="24"/>
          <w:szCs w:val="24"/>
          <w:u w:val="single"/>
        </w:rPr>
        <w:t>Eric Kelley, et al. v. City of San Diego</w:t>
      </w:r>
      <w:r>
        <w:rPr>
          <w:b w:val="0"/>
          <w:bCs w:val="0"/>
          <w:sz w:val="24"/>
          <w:szCs w:val="24"/>
        </w:rPr>
        <w:t xml:space="preserve">, U.S. District Court Judge Gonzalo P. Curiel, U.S. District Court for Southern District of California, approved this settlement; if a firefighter’s spouse has medical coverage from the spouse’s employer, the City pay the firefighter “cash-in-lieu” of using City’s insurance.  </w:t>
      </w:r>
      <w:bookmarkEnd w:id="386"/>
      <w:r>
        <w:rPr>
          <w:b w:val="0"/>
          <w:bCs w:val="0"/>
          <w:sz w:val="24"/>
          <w:szCs w:val="24"/>
        </w:rPr>
        <w:t>In a 2016 decision by the U.S. Court of Appeals for the 9</w:t>
      </w:r>
      <w:r w:rsidRPr="002D1748">
        <w:rPr>
          <w:b w:val="0"/>
          <w:bCs w:val="0"/>
          <w:sz w:val="24"/>
          <w:szCs w:val="24"/>
          <w:vertAlign w:val="superscript"/>
        </w:rPr>
        <w:t>th</w:t>
      </w:r>
      <w:r>
        <w:rPr>
          <w:b w:val="0"/>
          <w:bCs w:val="0"/>
          <w:sz w:val="24"/>
          <w:szCs w:val="24"/>
        </w:rPr>
        <w:t xml:space="preserve"> Circuit, </w:t>
      </w:r>
      <w:r w:rsidRPr="002D1748">
        <w:rPr>
          <w:b w:val="0"/>
          <w:bCs w:val="0"/>
          <w:i/>
          <w:iCs/>
          <w:sz w:val="24"/>
          <w:szCs w:val="24"/>
        </w:rPr>
        <w:t>Flores v</w:t>
      </w:r>
      <w:r w:rsidRPr="002D1748">
        <w:rPr>
          <w:b w:val="0"/>
          <w:bCs w:val="0"/>
          <w:sz w:val="24"/>
          <w:szCs w:val="24"/>
        </w:rPr>
        <w:t xml:space="preserve">. </w:t>
      </w:r>
      <w:r w:rsidRPr="002D1748">
        <w:rPr>
          <w:b w:val="0"/>
          <w:bCs w:val="0"/>
          <w:i/>
          <w:iCs/>
          <w:sz w:val="24"/>
          <w:szCs w:val="24"/>
        </w:rPr>
        <w:t>City of San Gabriel</w:t>
      </w:r>
      <w:r w:rsidRPr="002D1748">
        <w:rPr>
          <w:b w:val="0"/>
          <w:bCs w:val="0"/>
          <w:sz w:val="24"/>
          <w:szCs w:val="24"/>
        </w:rPr>
        <w:t>, 824 F.3d 890, 895 (9th Cir. 2016)</w:t>
      </w:r>
      <w:r>
        <w:rPr>
          <w:b w:val="0"/>
          <w:bCs w:val="0"/>
          <w:sz w:val="24"/>
          <w:szCs w:val="24"/>
        </w:rPr>
        <w:t>, the City of San Gabriel provided a “Flexible Benefit Plan” where a designated monetary amount was furnished to each employee for purchase of medical, vision and dental benefits.  Employees could decline the purchase of medical benefits on proof of alternate coverage, such as spouse’s medical coverage.  9</w:t>
      </w:r>
      <w:r w:rsidRPr="00A47DED">
        <w:rPr>
          <w:b w:val="0"/>
          <w:bCs w:val="0"/>
          <w:sz w:val="24"/>
          <w:szCs w:val="24"/>
          <w:vertAlign w:val="superscript"/>
        </w:rPr>
        <w:t>th</w:t>
      </w:r>
      <w:r>
        <w:rPr>
          <w:b w:val="0"/>
          <w:bCs w:val="0"/>
          <w:sz w:val="24"/>
          <w:szCs w:val="24"/>
        </w:rPr>
        <w:t xml:space="preserve"> Circuit held that these guaranteed cash payments (42% - 47%; over $1,000 per month) must be treated like other guaranteed employee payments [such as annual Medic bonuses] to increase the “regular rate” of pay when calculating overtime pay. </w:t>
      </w:r>
    </w:p>
    <w:p w14:paraId="5EB839D7" w14:textId="77777777" w:rsidR="00EB2493" w:rsidRDefault="00EB2493" w:rsidP="00EB2493">
      <w:pPr>
        <w:pStyle w:val="Heading1"/>
        <w:ind w:left="720"/>
        <w:rPr>
          <w:b w:val="0"/>
          <w:bCs w:val="0"/>
          <w:sz w:val="24"/>
          <w:szCs w:val="24"/>
        </w:rPr>
      </w:pPr>
      <w:r>
        <w:rPr>
          <w:b w:val="0"/>
          <w:bCs w:val="0"/>
          <w:sz w:val="24"/>
          <w:szCs w:val="24"/>
        </w:rPr>
        <w:lastRenderedPageBreak/>
        <w:t>“</w:t>
      </w:r>
      <w:r w:rsidRPr="002D1748">
        <w:rPr>
          <w:b w:val="0"/>
          <w:bCs w:val="0"/>
          <w:sz w:val="24"/>
          <w:szCs w:val="24"/>
        </w:rPr>
        <w:t>The Parties now move for the Court to approve the Settlement Agreement, which provides that the City will pay a total sum of $3,400,000, comprised of three elements: A payment of back overtime of $1,575,000, liquidated damages of $1,575,000, and a payment by the City of $250,000 towards Plaintiffs' attorney's fees and litigation costs.</w:t>
      </w:r>
    </w:p>
    <w:p w14:paraId="5C8FC85E" w14:textId="77777777" w:rsidR="00EB2493" w:rsidRDefault="00EB2493" w:rsidP="00EB2493">
      <w:pPr>
        <w:pStyle w:val="Heading1"/>
        <w:ind w:left="720"/>
        <w:rPr>
          <w:b w:val="0"/>
          <w:bCs w:val="0"/>
          <w:sz w:val="24"/>
          <w:szCs w:val="24"/>
        </w:rPr>
      </w:pPr>
      <w:r>
        <w:rPr>
          <w:b w:val="0"/>
          <w:bCs w:val="0"/>
          <w:sz w:val="24"/>
          <w:szCs w:val="24"/>
        </w:rPr>
        <w:t>***</w:t>
      </w:r>
    </w:p>
    <w:p w14:paraId="5DD2F979" w14:textId="1306A122" w:rsidR="00EB2493" w:rsidRPr="00EB2493" w:rsidRDefault="00EB2493" w:rsidP="00EB2493">
      <w:pPr>
        <w:rPr>
          <w:rFonts w:ascii="Times New Roman" w:hAnsi="Times New Roman"/>
          <w:b/>
          <w:sz w:val="24"/>
          <w:szCs w:val="24"/>
        </w:rPr>
      </w:pPr>
      <w:r w:rsidRPr="00EB2493">
        <w:rPr>
          <w:rFonts w:ascii="Times New Roman" w:hAnsi="Times New Roman"/>
          <w:sz w:val="24"/>
          <w:szCs w:val="24"/>
        </w:rPr>
        <w:t xml:space="preserve">This case involves a wage-and-hour class action, wherein Plaintiffs are non-exempt City of San Diego employees of the City' Fire Department who argue that they are entitled to overtime compensation under the Fair Labor Standards Act ("FLSA"), 29 U.S.C. § 201, </w:t>
      </w:r>
      <w:r w:rsidRPr="00EB2493">
        <w:rPr>
          <w:rFonts w:ascii="Times New Roman" w:hAnsi="Times New Roman"/>
          <w:i/>
          <w:iCs/>
          <w:sz w:val="24"/>
          <w:szCs w:val="24"/>
        </w:rPr>
        <w:t>et seq</w:t>
      </w:r>
      <w:r w:rsidRPr="00EB2493">
        <w:rPr>
          <w:rFonts w:ascii="Times New Roman" w:hAnsi="Times New Roman"/>
          <w:sz w:val="24"/>
          <w:szCs w:val="24"/>
        </w:rPr>
        <w:t xml:space="preserve">. and seek unpaid overtime compensation, liquidated damages, and reasonable attorney's fees on the basis of the Ninth Circuit decision </w:t>
      </w:r>
      <w:r w:rsidRPr="00EB2493">
        <w:rPr>
          <w:rFonts w:ascii="Times New Roman" w:hAnsi="Times New Roman"/>
          <w:i/>
          <w:iCs/>
          <w:sz w:val="24"/>
          <w:szCs w:val="24"/>
        </w:rPr>
        <w:t>Flores v</w:t>
      </w:r>
      <w:r w:rsidRPr="00EB2493">
        <w:rPr>
          <w:rFonts w:ascii="Times New Roman" w:hAnsi="Times New Roman"/>
          <w:sz w:val="24"/>
          <w:szCs w:val="24"/>
        </w:rPr>
        <w:t xml:space="preserve">. </w:t>
      </w:r>
      <w:r w:rsidRPr="00EB2493">
        <w:rPr>
          <w:rFonts w:ascii="Times New Roman" w:hAnsi="Times New Roman"/>
          <w:i/>
          <w:iCs/>
          <w:sz w:val="24"/>
          <w:szCs w:val="24"/>
        </w:rPr>
        <w:t>City of San Gabriel</w:t>
      </w:r>
      <w:r w:rsidRPr="00EB2493">
        <w:rPr>
          <w:rFonts w:ascii="Times New Roman" w:hAnsi="Times New Roman"/>
          <w:sz w:val="24"/>
          <w:szCs w:val="24"/>
        </w:rPr>
        <w:t xml:space="preserve">, 824 F.3d 890, 895 (9th Cir. 2016). </w:t>
      </w:r>
      <w:r w:rsidRPr="00EB2493">
        <w:rPr>
          <w:rFonts w:ascii="Times New Roman" w:hAnsi="Times New Roman"/>
          <w:i/>
          <w:iCs/>
          <w:sz w:val="24"/>
          <w:szCs w:val="24"/>
        </w:rPr>
        <w:t>Flores</w:t>
      </w:r>
      <w:r w:rsidRPr="00EB2493">
        <w:rPr>
          <w:rFonts w:ascii="Times New Roman" w:hAnsi="Times New Roman"/>
          <w:sz w:val="24"/>
          <w:szCs w:val="24"/>
        </w:rPr>
        <w:t xml:space="preserve"> held that employees who did not spend the whole of their allocated flex benefit plan dollars received the unused portions as cash, sometimes referred to as ‘cash-in-lieu’ (‘CIL’) payments, and that the employee's CIL payments must be included in the calculation of the regular rate of pay for overtime payments under FLSA. </w:t>
      </w:r>
      <w:r w:rsidRPr="00EB2493">
        <w:rPr>
          <w:rFonts w:ascii="Times New Roman" w:hAnsi="Times New Roman"/>
          <w:i/>
          <w:iCs/>
          <w:sz w:val="24"/>
          <w:szCs w:val="24"/>
        </w:rPr>
        <w:t>Flores</w:t>
      </w:r>
      <w:r w:rsidRPr="00EB2493">
        <w:rPr>
          <w:rFonts w:ascii="Times New Roman" w:hAnsi="Times New Roman"/>
          <w:sz w:val="24"/>
          <w:szCs w:val="24"/>
        </w:rPr>
        <w:t xml:space="preserve">, 824 F.3d at 901-02. </w:t>
      </w:r>
      <w:r w:rsidRPr="00EB2493">
        <w:rPr>
          <w:rFonts w:ascii="Times New Roman" w:hAnsi="Times New Roman"/>
          <w:i/>
          <w:iCs/>
          <w:sz w:val="24"/>
          <w:szCs w:val="24"/>
        </w:rPr>
        <w:t>Flores</w:t>
      </w:r>
      <w:r w:rsidRPr="00EB2493">
        <w:rPr>
          <w:rFonts w:ascii="Times New Roman" w:hAnsi="Times New Roman"/>
          <w:sz w:val="24"/>
          <w:szCs w:val="24"/>
        </w:rPr>
        <w:t xml:space="preserve"> additionally held that the total value of flex benefit dollars provided by the flexible benefits plan ("FBP") became eligible for inclusion in the regular rate of pay when calculating overtime payments under FLSA because it was not a ‘bona fide’ plan. </w:t>
      </w:r>
      <w:r w:rsidRPr="00EB2493">
        <w:rPr>
          <w:rFonts w:ascii="Times New Roman" w:hAnsi="Times New Roman"/>
          <w:i/>
          <w:iCs/>
          <w:sz w:val="24"/>
          <w:szCs w:val="24"/>
        </w:rPr>
        <w:t>Id</w:t>
      </w:r>
      <w:r w:rsidRPr="00EB2493">
        <w:rPr>
          <w:rFonts w:ascii="Times New Roman" w:hAnsi="Times New Roman"/>
          <w:sz w:val="24"/>
          <w:szCs w:val="24"/>
        </w:rPr>
        <w:t xml:space="preserve">. at 903.”  </w:t>
      </w:r>
      <w:bookmarkStart w:id="387" w:name="_Hlk66948897"/>
      <w:r w:rsidR="00F00958">
        <w:fldChar w:fldCharType="begin"/>
      </w:r>
      <w:r w:rsidR="00F00958">
        <w:instrText xml:space="preserve"> HYPERLINK "https://casetext.com/case/kelley-v-city-of-san-diego" </w:instrText>
      </w:r>
      <w:r w:rsidR="00F00958">
        <w:fldChar w:fldCharType="separate"/>
      </w:r>
      <w:r w:rsidRPr="00EB2493">
        <w:rPr>
          <w:rStyle w:val="Hyperlink"/>
          <w:rFonts w:ascii="Times New Roman" w:hAnsi="Times New Roman"/>
          <w:sz w:val="24"/>
          <w:szCs w:val="24"/>
        </w:rPr>
        <w:t>https://casetext.com/case/kelley-v-city-of-san-diego</w:t>
      </w:r>
      <w:r w:rsidR="00F00958">
        <w:rPr>
          <w:rStyle w:val="Hyperlink"/>
          <w:rFonts w:ascii="Times New Roman" w:hAnsi="Times New Roman"/>
          <w:sz w:val="24"/>
          <w:szCs w:val="24"/>
        </w:rPr>
        <w:fldChar w:fldCharType="end"/>
      </w:r>
    </w:p>
    <w:p w14:paraId="1F514879" w14:textId="77777777" w:rsidR="00EB2493" w:rsidRDefault="00EB2493" w:rsidP="00EB2493">
      <w:pPr>
        <w:spacing w:before="100" w:beforeAutospacing="1" w:after="100" w:afterAutospacing="1" w:line="240" w:lineRule="auto"/>
        <w:rPr>
          <w:rFonts w:ascii="Times New Roman" w:hAnsi="Times New Roman"/>
          <w:b/>
          <w:bCs/>
          <w:sz w:val="24"/>
          <w:szCs w:val="24"/>
        </w:rPr>
      </w:pPr>
      <w:r w:rsidRPr="00A47DED">
        <w:rPr>
          <w:rFonts w:ascii="Times New Roman" w:hAnsi="Times New Roman"/>
          <w:b/>
          <w:bCs/>
          <w:sz w:val="24"/>
          <w:szCs w:val="24"/>
        </w:rPr>
        <w:t>Legal Lesson Learned:</w:t>
      </w:r>
      <w:r>
        <w:rPr>
          <w:rFonts w:ascii="Times New Roman" w:hAnsi="Times New Roman"/>
          <w:b/>
          <w:bCs/>
          <w:sz w:val="24"/>
          <w:szCs w:val="24"/>
        </w:rPr>
        <w:t xml:space="preserve"> If your FD pays “cash-in-lieu” payments for unused medical or other benefits, consult with Legal Counsel and U.S. Department of Labor on its impact on the “regular rate” of pay for your personnel. </w:t>
      </w:r>
    </w:p>
    <w:p w14:paraId="0C56096D" w14:textId="77777777" w:rsidR="00EB2493" w:rsidRPr="00451D4E" w:rsidRDefault="00EB2493" w:rsidP="00EB2493">
      <w:pPr>
        <w:ind w:left="720"/>
        <w:rPr>
          <w:rFonts w:ascii="Times New Roman" w:eastAsia="Times New Roman" w:hAnsi="Times New Roman"/>
          <w:sz w:val="24"/>
          <w:szCs w:val="24"/>
        </w:rPr>
      </w:pPr>
      <w:r>
        <w:rPr>
          <w:rFonts w:ascii="Times New Roman" w:hAnsi="Times New Roman"/>
          <w:sz w:val="24"/>
          <w:szCs w:val="24"/>
        </w:rPr>
        <w:t xml:space="preserve">Note:  See U.S. Department of Labor revised regulations.  29 CFR </w:t>
      </w:r>
      <w:r w:rsidRPr="00451D4E">
        <w:rPr>
          <w:rFonts w:ascii="Times New Roman" w:eastAsia="Times New Roman" w:hAnsi="Times New Roman"/>
          <w:sz w:val="24"/>
          <w:szCs w:val="24"/>
        </w:rPr>
        <w:t>§ 778.215</w:t>
      </w:r>
      <w:r>
        <w:rPr>
          <w:rFonts w:ascii="Times New Roman" w:eastAsia="Times New Roman" w:hAnsi="Times New Roman"/>
          <w:sz w:val="24"/>
          <w:szCs w:val="24"/>
        </w:rPr>
        <w:t>,</w:t>
      </w:r>
      <w:r w:rsidRPr="00451D4E">
        <w:rPr>
          <w:rFonts w:ascii="Times New Roman" w:eastAsia="Times New Roman" w:hAnsi="Times New Roman"/>
          <w:sz w:val="24"/>
          <w:szCs w:val="24"/>
        </w:rPr>
        <w:t xml:space="preserve"> Conditions for exclusion of benefit-plan contributions under section 7(e)(4).</w:t>
      </w:r>
      <w:r>
        <w:rPr>
          <w:rFonts w:ascii="Times New Roman" w:eastAsia="Times New Roman" w:hAnsi="Times New Roman"/>
          <w:sz w:val="24"/>
          <w:szCs w:val="24"/>
        </w:rPr>
        <w:t xml:space="preserve"> </w:t>
      </w:r>
      <w:hyperlink r:id="rId1848" w:history="1">
        <w:r w:rsidRPr="00FE7279">
          <w:rPr>
            <w:rStyle w:val="Hyperlink"/>
            <w:rFonts w:ascii="Times New Roman" w:eastAsia="Times New Roman" w:hAnsi="Times New Roman"/>
            <w:sz w:val="24"/>
            <w:szCs w:val="24"/>
          </w:rPr>
          <w:t>https://www.law.cornell.edu/cfr/text/29/778.215</w:t>
        </w:r>
      </w:hyperlink>
      <w:r>
        <w:rPr>
          <w:rFonts w:ascii="Times New Roman" w:eastAsia="Times New Roman" w:hAnsi="Times New Roman"/>
          <w:sz w:val="24"/>
          <w:szCs w:val="24"/>
        </w:rPr>
        <w:t xml:space="preserve"> </w:t>
      </w:r>
      <w:r w:rsidRPr="00451D4E">
        <w:rPr>
          <w:rFonts w:ascii="Times New Roman" w:eastAsia="Times New Roman" w:hAnsi="Times New Roman"/>
          <w:sz w:val="24"/>
          <w:szCs w:val="24"/>
        </w:rPr>
        <w:t xml:space="preserve"> </w:t>
      </w:r>
    </w:p>
    <w:bookmarkEnd w:id="387"/>
    <w:p w14:paraId="5BB4484D" w14:textId="77777777" w:rsidR="00EB2493" w:rsidRPr="00451D4E" w:rsidRDefault="00EB2493" w:rsidP="00EB2493">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 xml:space="preserve">See Aug. 11, </w:t>
      </w:r>
      <w:proofErr w:type="gramStart"/>
      <w:r>
        <w:rPr>
          <w:rFonts w:ascii="Times New Roman" w:hAnsi="Times New Roman"/>
          <w:sz w:val="24"/>
          <w:szCs w:val="24"/>
        </w:rPr>
        <w:t>2016</w:t>
      </w:r>
      <w:proofErr w:type="gramEnd"/>
      <w:r>
        <w:rPr>
          <w:rFonts w:ascii="Times New Roman" w:hAnsi="Times New Roman"/>
          <w:sz w:val="24"/>
          <w:szCs w:val="24"/>
        </w:rPr>
        <w:t xml:space="preserve"> article from California law firm about </w:t>
      </w:r>
      <w:r w:rsidRPr="00451D4E">
        <w:rPr>
          <w:rFonts w:ascii="Times New Roman" w:hAnsi="Times New Roman"/>
          <w:i/>
          <w:iCs/>
          <w:sz w:val="24"/>
          <w:szCs w:val="24"/>
        </w:rPr>
        <w:t xml:space="preserve">Flores </w:t>
      </w:r>
      <w:r>
        <w:rPr>
          <w:rFonts w:ascii="Times New Roman" w:hAnsi="Times New Roman"/>
          <w:sz w:val="24"/>
          <w:szCs w:val="24"/>
        </w:rPr>
        <w:t xml:space="preserve">decision. </w:t>
      </w:r>
      <w:hyperlink r:id="rId1849" w:history="1">
        <w:r w:rsidRPr="00FE7279">
          <w:rPr>
            <w:rStyle w:val="Hyperlink"/>
            <w:rFonts w:ascii="Times New Roman" w:hAnsi="Times New Roman"/>
            <w:sz w:val="24"/>
            <w:szCs w:val="24"/>
          </w:rPr>
          <w:t>https://www.lcwlegal.com/news/cash-in-lieu-must-be-included-in-the-regular-rate-for-overtime-purposes-under-the-flsa-4</w:t>
        </w:r>
      </w:hyperlink>
      <w:r>
        <w:rPr>
          <w:rFonts w:ascii="Times New Roman" w:hAnsi="Times New Roman"/>
          <w:sz w:val="24"/>
          <w:szCs w:val="24"/>
        </w:rPr>
        <w:t xml:space="preserve"> </w:t>
      </w:r>
    </w:p>
    <w:p w14:paraId="13444602" w14:textId="77777777" w:rsidR="00EB2493" w:rsidRDefault="00EB2493" w:rsidP="00F326E5">
      <w:pPr>
        <w:rPr>
          <w:rFonts w:ascii="Arial Black" w:hAnsi="Arial Black"/>
          <w:b/>
          <w:sz w:val="24"/>
          <w:szCs w:val="24"/>
        </w:rPr>
      </w:pPr>
    </w:p>
    <w:p w14:paraId="2066E36F" w14:textId="77777777" w:rsidR="00EB2493" w:rsidRDefault="00EB2493" w:rsidP="00F326E5">
      <w:pPr>
        <w:rPr>
          <w:rFonts w:ascii="Arial Black" w:hAnsi="Arial Black"/>
          <w:b/>
          <w:sz w:val="24"/>
          <w:szCs w:val="24"/>
        </w:rPr>
      </w:pPr>
    </w:p>
    <w:p w14:paraId="690D20CC" w14:textId="3DDACDD2" w:rsidR="007F3C7D" w:rsidRDefault="007F3C7D" w:rsidP="00F326E5">
      <w:pPr>
        <w:rPr>
          <w:rFonts w:ascii="Arial Black" w:hAnsi="Arial Black"/>
          <w:b/>
          <w:sz w:val="24"/>
          <w:szCs w:val="24"/>
        </w:rPr>
      </w:pPr>
      <w:r>
        <w:rPr>
          <w:rFonts w:ascii="Arial Black" w:hAnsi="Arial Black"/>
          <w:b/>
          <w:sz w:val="24"/>
          <w:szCs w:val="24"/>
        </w:rPr>
        <w:t>11-2</w:t>
      </w:r>
      <w:r w:rsidR="00B13773">
        <w:rPr>
          <w:rFonts w:ascii="Arial Black" w:hAnsi="Arial Black"/>
          <w:b/>
          <w:sz w:val="24"/>
          <w:szCs w:val="24"/>
        </w:rPr>
        <w:t>8</w:t>
      </w:r>
    </w:p>
    <w:p w14:paraId="59CFBF11" w14:textId="77777777" w:rsidR="007F3C7D" w:rsidRPr="006C3119" w:rsidRDefault="007F3C7D" w:rsidP="007F3C7D">
      <w:pPr>
        <w:spacing w:before="100" w:beforeAutospacing="1" w:after="100" w:afterAutospacing="1" w:line="240" w:lineRule="auto"/>
        <w:rPr>
          <w:rFonts w:ascii="Arial Black" w:hAnsi="Arial Black"/>
          <w:sz w:val="28"/>
          <w:szCs w:val="28"/>
        </w:rPr>
      </w:pPr>
      <w:r>
        <w:rPr>
          <w:rFonts w:ascii="Arial Black" w:hAnsi="Arial Black"/>
          <w:sz w:val="28"/>
          <w:szCs w:val="28"/>
        </w:rPr>
        <w:t>NY: FDNY VEHICLE MAINTENANCE EMPLOYEES - CLAIM NOT PAID WORKING PRE-SHIFT OR LUNCH PERIOD – CASE TO TRIAL</w:t>
      </w:r>
    </w:p>
    <w:p w14:paraId="11E1DBC0" w14:textId="77777777" w:rsidR="007F3C7D" w:rsidRDefault="007F3C7D" w:rsidP="007F3C7D">
      <w:pPr>
        <w:rPr>
          <w:rFonts w:ascii="Times New Roman" w:hAnsi="Times New Roman"/>
          <w:sz w:val="24"/>
          <w:szCs w:val="24"/>
        </w:rPr>
      </w:pPr>
      <w:r w:rsidRPr="006C3119">
        <w:rPr>
          <w:rFonts w:ascii="Times New Roman" w:hAnsi="Times New Roman"/>
          <w:sz w:val="24"/>
          <w:szCs w:val="24"/>
        </w:rPr>
        <w:t xml:space="preserve">On </w:t>
      </w:r>
      <w:r>
        <w:rPr>
          <w:rFonts w:ascii="Times New Roman" w:hAnsi="Times New Roman"/>
          <w:sz w:val="24"/>
          <w:szCs w:val="24"/>
        </w:rPr>
        <w:t xml:space="preserve">Jan. 8, 2021, in </w:t>
      </w:r>
      <w:r w:rsidRPr="006C3119">
        <w:rPr>
          <w:rFonts w:ascii="Times New Roman" w:hAnsi="Times New Roman"/>
          <w:sz w:val="24"/>
          <w:szCs w:val="24"/>
          <w:u w:val="single"/>
        </w:rPr>
        <w:t>Christopher Viera, et al. v. City of New York</w:t>
      </w:r>
      <w:r>
        <w:rPr>
          <w:rFonts w:ascii="Times New Roman" w:hAnsi="Times New Roman"/>
          <w:sz w:val="24"/>
          <w:szCs w:val="24"/>
        </w:rPr>
        <w:t xml:space="preserve">, U.S. Magistrate Judge Stewart D. Aaron, U.S. District Court, Southern District of New York, held that neither the Plaintiffs, nor the </w:t>
      </w:r>
      <w:proofErr w:type="gramStart"/>
      <w:r>
        <w:rPr>
          <w:rFonts w:ascii="Times New Roman" w:hAnsi="Times New Roman"/>
          <w:sz w:val="24"/>
          <w:szCs w:val="24"/>
        </w:rPr>
        <w:t>City</w:t>
      </w:r>
      <w:proofErr w:type="gramEnd"/>
      <w:r>
        <w:rPr>
          <w:rFonts w:ascii="Times New Roman" w:hAnsi="Times New Roman"/>
          <w:sz w:val="24"/>
          <w:szCs w:val="24"/>
        </w:rPr>
        <w:t xml:space="preserve"> are entitled to summary judgment.  While there is an established process for employees to submit overtime hours into “Citytime” computer system, the employees claim that they often must start work early to locate and move vehicles, and also do work during their 30-minute lunch breaks, and that their Supervisors have directed them to not submit overtime unless it was “pre-approve.” </w:t>
      </w:r>
    </w:p>
    <w:p w14:paraId="20B80FCC" w14:textId="77777777" w:rsidR="007F3C7D" w:rsidRDefault="007F3C7D" w:rsidP="007F3C7D">
      <w:pPr>
        <w:ind w:left="720"/>
        <w:rPr>
          <w:rFonts w:ascii="Times New Roman" w:hAnsi="Times New Roman"/>
          <w:sz w:val="24"/>
          <w:szCs w:val="24"/>
        </w:rPr>
      </w:pPr>
      <w:r>
        <w:rPr>
          <w:rFonts w:ascii="Times New Roman" w:hAnsi="Times New Roman"/>
          <w:sz w:val="24"/>
          <w:szCs w:val="24"/>
        </w:rPr>
        <w:lastRenderedPageBreak/>
        <w:t>“</w:t>
      </w:r>
      <w:r w:rsidRPr="003503A8">
        <w:rPr>
          <w:rFonts w:ascii="Times New Roman" w:hAnsi="Times New Roman"/>
          <w:sz w:val="24"/>
          <w:szCs w:val="24"/>
        </w:rPr>
        <w:t xml:space="preserve">The </w:t>
      </w:r>
      <w:proofErr w:type="gramStart"/>
      <w:r w:rsidRPr="003503A8">
        <w:rPr>
          <w:rFonts w:ascii="Times New Roman" w:hAnsi="Times New Roman"/>
          <w:sz w:val="24"/>
          <w:szCs w:val="24"/>
        </w:rPr>
        <w:t>City</w:t>
      </w:r>
      <w:proofErr w:type="gramEnd"/>
      <w:r w:rsidRPr="003503A8">
        <w:rPr>
          <w:rFonts w:ascii="Times New Roman" w:hAnsi="Times New Roman"/>
          <w:sz w:val="24"/>
          <w:szCs w:val="24"/>
        </w:rPr>
        <w:t xml:space="preserve"> submits an expert declaration asserting that over 94% of the overtime requests that Plaintiffs submitted in </w:t>
      </w:r>
      <w:proofErr w:type="spellStart"/>
      <w:r w:rsidRPr="003503A8">
        <w:rPr>
          <w:rFonts w:ascii="Times New Roman" w:hAnsi="Times New Roman"/>
          <w:sz w:val="24"/>
          <w:szCs w:val="24"/>
        </w:rPr>
        <w:t>CityTime</w:t>
      </w:r>
      <w:proofErr w:type="spellEnd"/>
      <w:r w:rsidRPr="003503A8">
        <w:rPr>
          <w:rFonts w:ascii="Times New Roman" w:hAnsi="Times New Roman"/>
          <w:sz w:val="24"/>
          <w:szCs w:val="24"/>
        </w:rPr>
        <w:t xml:space="preserve"> during the relevant </w:t>
      </w:r>
      <w:proofErr w:type="gramStart"/>
      <w:r w:rsidRPr="003503A8">
        <w:rPr>
          <w:rFonts w:ascii="Times New Roman" w:hAnsi="Times New Roman"/>
          <w:sz w:val="24"/>
          <w:szCs w:val="24"/>
        </w:rPr>
        <w:t>time period</w:t>
      </w:r>
      <w:proofErr w:type="gramEnd"/>
      <w:r w:rsidRPr="003503A8">
        <w:rPr>
          <w:rFonts w:ascii="Times New Roman" w:hAnsi="Times New Roman"/>
          <w:sz w:val="24"/>
          <w:szCs w:val="24"/>
        </w:rPr>
        <w:t xml:space="preserve"> were approved.</w:t>
      </w:r>
    </w:p>
    <w:p w14:paraId="5042BDAE" w14:textId="77777777" w:rsidR="007F3C7D" w:rsidRDefault="007F3C7D" w:rsidP="007F3C7D">
      <w:pPr>
        <w:ind w:left="720"/>
        <w:rPr>
          <w:rFonts w:ascii="Times New Roman" w:hAnsi="Times New Roman"/>
          <w:sz w:val="24"/>
          <w:szCs w:val="24"/>
        </w:rPr>
      </w:pPr>
    </w:p>
    <w:p w14:paraId="2B739B5F" w14:textId="77777777" w:rsidR="007F3C7D" w:rsidRDefault="007F3C7D" w:rsidP="007F3C7D">
      <w:pPr>
        <w:ind w:left="720"/>
        <w:rPr>
          <w:rFonts w:ascii="Times New Roman" w:hAnsi="Times New Roman"/>
          <w:sz w:val="24"/>
          <w:szCs w:val="24"/>
        </w:rPr>
      </w:pPr>
      <w:r>
        <w:rPr>
          <w:rFonts w:ascii="Times New Roman" w:hAnsi="Times New Roman"/>
          <w:sz w:val="24"/>
          <w:szCs w:val="24"/>
        </w:rPr>
        <w:t>***</w:t>
      </w:r>
    </w:p>
    <w:p w14:paraId="0D1C5937" w14:textId="77777777" w:rsidR="007F3C7D" w:rsidRDefault="007F3C7D" w:rsidP="007F3C7D">
      <w:pPr>
        <w:ind w:left="720"/>
        <w:rPr>
          <w:rFonts w:ascii="Times New Roman" w:hAnsi="Times New Roman"/>
          <w:sz w:val="24"/>
          <w:szCs w:val="24"/>
        </w:rPr>
      </w:pPr>
      <w:r w:rsidRPr="000020A0">
        <w:rPr>
          <w:rFonts w:ascii="Times New Roman" w:hAnsi="Times New Roman"/>
          <w:sz w:val="24"/>
          <w:szCs w:val="24"/>
        </w:rPr>
        <w:t xml:space="preserve">For its part, Defendant argues that it is entitled to summary judgment on Count I because </w:t>
      </w:r>
      <w:r>
        <w:rPr>
          <w:rFonts w:ascii="Times New Roman" w:hAnsi="Times New Roman"/>
          <w:sz w:val="24"/>
          <w:szCs w:val="24"/>
        </w:rPr>
        <w:t>‘</w:t>
      </w:r>
      <w:r w:rsidRPr="000020A0">
        <w:rPr>
          <w:rFonts w:ascii="Times New Roman" w:hAnsi="Times New Roman"/>
          <w:sz w:val="24"/>
          <w:szCs w:val="24"/>
        </w:rPr>
        <w:t>it is undisputed that the allegedly uncompensated work time at issue in this case was not reported to the City through its timekeeping system, and therefore, the City did not have the requisite knowledge to establish liability.</w:t>
      </w:r>
      <w:r>
        <w:rPr>
          <w:rFonts w:ascii="Times New Roman" w:hAnsi="Times New Roman"/>
          <w:sz w:val="24"/>
          <w:szCs w:val="24"/>
        </w:rPr>
        <w:t>’</w:t>
      </w:r>
      <w:r w:rsidRPr="000020A0">
        <w:rPr>
          <w:rFonts w:ascii="Times New Roman" w:hAnsi="Times New Roman"/>
          <w:sz w:val="24"/>
          <w:szCs w:val="24"/>
        </w:rPr>
        <w:t xml:space="preserve"> (</w:t>
      </w:r>
      <w:proofErr w:type="spellStart"/>
      <w:r w:rsidRPr="000020A0">
        <w:rPr>
          <w:rFonts w:ascii="Times New Roman" w:hAnsi="Times New Roman"/>
          <w:sz w:val="24"/>
          <w:szCs w:val="24"/>
        </w:rPr>
        <w:t>Def.'s</w:t>
      </w:r>
      <w:proofErr w:type="spellEnd"/>
      <w:r w:rsidRPr="000020A0">
        <w:rPr>
          <w:rFonts w:ascii="Times New Roman" w:hAnsi="Times New Roman"/>
          <w:sz w:val="24"/>
          <w:szCs w:val="24"/>
        </w:rPr>
        <w:t xml:space="preserve"> Mem. at 4.) </w:t>
      </w:r>
      <w:r>
        <w:rPr>
          <w:rFonts w:ascii="Times New Roman" w:hAnsi="Times New Roman"/>
          <w:sz w:val="24"/>
          <w:szCs w:val="24"/>
        </w:rPr>
        <w:t>‘</w:t>
      </w:r>
      <w:r w:rsidRPr="000020A0">
        <w:rPr>
          <w:rFonts w:ascii="Times New Roman" w:hAnsi="Times New Roman"/>
          <w:sz w:val="24"/>
          <w:szCs w:val="24"/>
        </w:rPr>
        <w:t xml:space="preserve">The </w:t>
      </w:r>
      <w:proofErr w:type="gramStart"/>
      <w:r w:rsidRPr="000020A0">
        <w:rPr>
          <w:rFonts w:ascii="Times New Roman" w:hAnsi="Times New Roman"/>
          <w:sz w:val="24"/>
          <w:szCs w:val="24"/>
        </w:rPr>
        <w:t>City</w:t>
      </w:r>
      <w:proofErr w:type="gramEnd"/>
      <w:r w:rsidRPr="000020A0">
        <w:rPr>
          <w:rFonts w:ascii="Times New Roman" w:hAnsi="Times New Roman"/>
          <w:sz w:val="24"/>
          <w:szCs w:val="24"/>
        </w:rPr>
        <w:t xml:space="preserve"> has made this [same] argument repeatedly in FLSA overtime litigation in this District and it has been unanimously rejected.</w:t>
      </w:r>
      <w:r>
        <w:rPr>
          <w:rFonts w:ascii="Times New Roman" w:hAnsi="Times New Roman"/>
          <w:sz w:val="24"/>
          <w:szCs w:val="24"/>
        </w:rPr>
        <w:t>’</w:t>
      </w:r>
      <w:r w:rsidRPr="000020A0">
        <w:rPr>
          <w:rFonts w:ascii="Times New Roman" w:hAnsi="Times New Roman"/>
          <w:sz w:val="24"/>
          <w:szCs w:val="24"/>
        </w:rPr>
        <w:t xml:space="preserve"> </w:t>
      </w:r>
      <w:proofErr w:type="spellStart"/>
      <w:r w:rsidRPr="000020A0">
        <w:rPr>
          <w:rFonts w:ascii="Times New Roman" w:hAnsi="Times New Roman"/>
          <w:i/>
          <w:iCs/>
          <w:sz w:val="24"/>
          <w:szCs w:val="24"/>
        </w:rPr>
        <w:t>Lawtone</w:t>
      </w:r>
      <w:proofErr w:type="spellEnd"/>
      <w:r w:rsidRPr="000020A0">
        <w:rPr>
          <w:rFonts w:ascii="Times New Roman" w:hAnsi="Times New Roman"/>
          <w:i/>
          <w:iCs/>
          <w:sz w:val="24"/>
          <w:szCs w:val="24"/>
        </w:rPr>
        <w:t>-Bowles</w:t>
      </w:r>
      <w:r w:rsidRPr="000020A0">
        <w:rPr>
          <w:rFonts w:ascii="Times New Roman" w:hAnsi="Times New Roman"/>
          <w:sz w:val="24"/>
          <w:szCs w:val="24"/>
        </w:rPr>
        <w:t xml:space="preserve">, 2020 WL 2833366, at *4. Here, as in </w:t>
      </w:r>
      <w:proofErr w:type="spellStart"/>
      <w:r w:rsidRPr="000020A0">
        <w:rPr>
          <w:rFonts w:ascii="Times New Roman" w:hAnsi="Times New Roman"/>
          <w:i/>
          <w:iCs/>
          <w:sz w:val="24"/>
          <w:szCs w:val="24"/>
        </w:rPr>
        <w:t>Lawtone</w:t>
      </w:r>
      <w:proofErr w:type="spellEnd"/>
      <w:r w:rsidRPr="000020A0">
        <w:rPr>
          <w:rFonts w:ascii="Times New Roman" w:hAnsi="Times New Roman"/>
          <w:i/>
          <w:iCs/>
          <w:sz w:val="24"/>
          <w:szCs w:val="24"/>
        </w:rPr>
        <w:t>-Bowles</w:t>
      </w:r>
      <w:r w:rsidRPr="000020A0">
        <w:rPr>
          <w:rFonts w:ascii="Times New Roman" w:hAnsi="Times New Roman"/>
          <w:sz w:val="24"/>
          <w:szCs w:val="24"/>
        </w:rPr>
        <w:t xml:space="preserve">, the record evidence—including Plaintiffs' testimony that their supervisors, </w:t>
      </w:r>
      <w:r w:rsidRPr="000020A0">
        <w:rPr>
          <w:rFonts w:ascii="Times New Roman" w:hAnsi="Times New Roman"/>
          <w:i/>
          <w:iCs/>
          <w:sz w:val="24"/>
          <w:szCs w:val="24"/>
        </w:rPr>
        <w:t>e</w:t>
      </w:r>
      <w:r w:rsidRPr="000020A0">
        <w:rPr>
          <w:rFonts w:ascii="Times New Roman" w:hAnsi="Times New Roman"/>
          <w:sz w:val="24"/>
          <w:szCs w:val="24"/>
        </w:rPr>
        <w:t>.</w:t>
      </w:r>
      <w:r w:rsidRPr="000020A0">
        <w:rPr>
          <w:rFonts w:ascii="Times New Roman" w:hAnsi="Times New Roman"/>
          <w:i/>
          <w:iCs/>
          <w:sz w:val="24"/>
          <w:szCs w:val="24"/>
        </w:rPr>
        <w:t>g</w:t>
      </w:r>
      <w:r w:rsidRPr="000020A0">
        <w:rPr>
          <w:rFonts w:ascii="Times New Roman" w:hAnsi="Times New Roman"/>
          <w:sz w:val="24"/>
          <w:szCs w:val="24"/>
        </w:rPr>
        <w:t>., assigned pre-shift and mealtime work tasks, reviewed time sheets on a weekly basis, and gave instructions not to submit overtime requests for work that was not pre-approved (</w:t>
      </w:r>
      <w:r w:rsidRPr="000020A0">
        <w:rPr>
          <w:rFonts w:ascii="Times New Roman" w:hAnsi="Times New Roman"/>
          <w:i/>
          <w:iCs/>
          <w:sz w:val="24"/>
          <w:szCs w:val="24"/>
        </w:rPr>
        <w:t>see</w:t>
      </w:r>
      <w:r w:rsidRPr="000020A0">
        <w:rPr>
          <w:rFonts w:ascii="Times New Roman" w:hAnsi="Times New Roman"/>
          <w:sz w:val="24"/>
          <w:szCs w:val="24"/>
        </w:rPr>
        <w:t xml:space="preserve"> Pls.' Mem. at 10, 12)—could, if credited, allow </w:t>
      </w:r>
      <w:r>
        <w:rPr>
          <w:rFonts w:ascii="Times New Roman" w:hAnsi="Times New Roman"/>
          <w:sz w:val="24"/>
          <w:szCs w:val="24"/>
        </w:rPr>
        <w:t>‘</w:t>
      </w:r>
      <w:r w:rsidRPr="000020A0">
        <w:rPr>
          <w:rFonts w:ascii="Times New Roman" w:hAnsi="Times New Roman"/>
          <w:sz w:val="24"/>
          <w:szCs w:val="24"/>
        </w:rPr>
        <w:t>[a] reasonable factfinder [to] conclude that Plaintiffs worked uncompensated overtime, that Defendant had actual or constructive knowledge of this time, and that Defendant discouraged the reporting of accurate overtime that was not pre-approved.</w:t>
      </w:r>
      <w:r>
        <w:rPr>
          <w:rFonts w:ascii="Times New Roman" w:hAnsi="Times New Roman"/>
          <w:sz w:val="24"/>
          <w:szCs w:val="24"/>
        </w:rPr>
        <w:t xml:space="preserve">’” </w:t>
      </w:r>
      <w:hyperlink r:id="rId1850" w:history="1">
        <w:r w:rsidRPr="002F4AC3">
          <w:rPr>
            <w:rStyle w:val="Hyperlink"/>
            <w:rFonts w:ascii="Times New Roman" w:hAnsi="Times New Roman"/>
            <w:sz w:val="24"/>
            <w:szCs w:val="24"/>
          </w:rPr>
          <w:t>https://law.justia.com/cases/federal/district-courts/new-york/nysdce/1:2019cv05773/517969/98/</w:t>
        </w:r>
      </w:hyperlink>
      <w:r>
        <w:rPr>
          <w:rFonts w:ascii="Times New Roman" w:hAnsi="Times New Roman"/>
          <w:sz w:val="24"/>
          <w:szCs w:val="24"/>
        </w:rPr>
        <w:t xml:space="preserve"> </w:t>
      </w:r>
    </w:p>
    <w:p w14:paraId="57C1F965" w14:textId="77777777" w:rsidR="007F3C7D" w:rsidRPr="000020A0" w:rsidRDefault="007F3C7D" w:rsidP="007F3C7D">
      <w:pPr>
        <w:pStyle w:val="NormalWeb"/>
        <w:rPr>
          <w:b/>
          <w:bCs/>
        </w:rPr>
      </w:pPr>
      <w:r w:rsidRPr="00DA0ACA">
        <w:rPr>
          <w:b/>
          <w:bCs/>
        </w:rPr>
        <w:t>Legal Lesson Learned:</w:t>
      </w:r>
      <w:r>
        <w:rPr>
          <w:b/>
          <w:bCs/>
        </w:rPr>
        <w:t xml:space="preserve">  It appears that this case is headed to trial, unless the parties can settle.  </w:t>
      </w:r>
    </w:p>
    <w:p w14:paraId="663351A3" w14:textId="77777777" w:rsidR="007F3C7D" w:rsidRDefault="007F3C7D" w:rsidP="00F326E5">
      <w:pPr>
        <w:rPr>
          <w:rFonts w:ascii="Arial Black" w:hAnsi="Arial Black"/>
          <w:b/>
          <w:sz w:val="24"/>
          <w:szCs w:val="24"/>
        </w:rPr>
      </w:pPr>
    </w:p>
    <w:p w14:paraId="7BE06BBE" w14:textId="77777777" w:rsidR="007F3C7D" w:rsidRDefault="007F3C7D" w:rsidP="00F326E5">
      <w:pPr>
        <w:rPr>
          <w:rFonts w:ascii="Arial Black" w:hAnsi="Arial Black"/>
          <w:b/>
          <w:sz w:val="24"/>
          <w:szCs w:val="24"/>
        </w:rPr>
      </w:pPr>
    </w:p>
    <w:p w14:paraId="0CFF1339" w14:textId="432F29BD" w:rsidR="00863F9E" w:rsidRDefault="00863F9E" w:rsidP="00F326E5">
      <w:pPr>
        <w:rPr>
          <w:rFonts w:ascii="Arial Black" w:hAnsi="Arial Black"/>
          <w:b/>
          <w:sz w:val="24"/>
          <w:szCs w:val="24"/>
        </w:rPr>
      </w:pPr>
      <w:r>
        <w:rPr>
          <w:rFonts w:ascii="Arial Black" w:hAnsi="Arial Black"/>
          <w:b/>
          <w:sz w:val="24"/>
          <w:szCs w:val="24"/>
        </w:rPr>
        <w:t>11-2</w:t>
      </w:r>
      <w:r w:rsidR="00B13773">
        <w:rPr>
          <w:rFonts w:ascii="Arial Black" w:hAnsi="Arial Black"/>
          <w:b/>
          <w:sz w:val="24"/>
          <w:szCs w:val="24"/>
        </w:rPr>
        <w:t xml:space="preserve">7 </w:t>
      </w:r>
      <w:r w:rsidRPr="007F3C7D">
        <w:rPr>
          <w:rFonts w:ascii="Times New Roman" w:hAnsi="Times New Roman"/>
          <w:bCs/>
          <w:sz w:val="24"/>
          <w:szCs w:val="24"/>
        </w:rPr>
        <w:t>[also filed, Chap. 10]</w:t>
      </w:r>
    </w:p>
    <w:p w14:paraId="6CBCF93F" w14:textId="77777777" w:rsidR="00863F9E" w:rsidRDefault="00863F9E" w:rsidP="00863F9E">
      <w:pPr>
        <w:spacing w:before="100" w:beforeAutospacing="1" w:after="100" w:afterAutospacing="1" w:line="240" w:lineRule="auto"/>
        <w:rPr>
          <w:rFonts w:eastAsia="Times New Roman" w:cs="Calibri"/>
          <w:vanish/>
        </w:rPr>
      </w:pPr>
      <w:r>
        <w:rPr>
          <w:rFonts w:ascii="Arial Black" w:eastAsia="Times New Roman" w:hAnsi="Arial Black"/>
          <w:b/>
          <w:bCs/>
          <w:sz w:val="28"/>
          <w:szCs w:val="28"/>
        </w:rPr>
        <w:t>U.S. DOL: ELECTRONIC POSTING CAN’T REPLACE FLSA / FMLA POSTERS – UNLESS ALL EMPLOYEES WORK ONLINE</w:t>
      </w:r>
    </w:p>
    <w:tbl>
      <w:tblPr>
        <w:tblW w:w="5000" w:type="pct"/>
        <w:jc w:val="center"/>
        <w:tblCellMar>
          <w:left w:w="0" w:type="dxa"/>
          <w:right w:w="0" w:type="dxa"/>
        </w:tblCellMar>
        <w:tblLook w:val="04A0" w:firstRow="1" w:lastRow="0" w:firstColumn="1" w:lastColumn="0" w:noHBand="0" w:noVBand="1"/>
      </w:tblPr>
      <w:tblGrid>
        <w:gridCol w:w="10800"/>
      </w:tblGrid>
      <w:tr w:rsidR="00863F9E" w14:paraId="40599FA2" w14:textId="77777777" w:rsidTr="00F90EE5">
        <w:trPr>
          <w:jc w:val="center"/>
          <w:hidden/>
        </w:trPr>
        <w:tc>
          <w:tcPr>
            <w:tcW w:w="0" w:type="auto"/>
            <w:hideMark/>
          </w:tcPr>
          <w:tbl>
            <w:tblPr>
              <w:tblW w:w="9750" w:type="dxa"/>
              <w:jc w:val="center"/>
              <w:tblCellMar>
                <w:left w:w="0" w:type="dxa"/>
                <w:right w:w="0" w:type="dxa"/>
              </w:tblCellMar>
              <w:tblLook w:val="04A0" w:firstRow="1" w:lastRow="0" w:firstColumn="1" w:lastColumn="0" w:noHBand="0" w:noVBand="1"/>
            </w:tblPr>
            <w:tblGrid>
              <w:gridCol w:w="9750"/>
            </w:tblGrid>
            <w:tr w:rsidR="00863F9E" w14:paraId="1E1D5657" w14:textId="77777777" w:rsidTr="00F90EE5">
              <w:trPr>
                <w:jc w:val="center"/>
                <w:hidden/>
              </w:trPr>
              <w:tc>
                <w:tcPr>
                  <w:tcW w:w="9750" w:type="dxa"/>
                  <w:hideMark/>
                </w:tcPr>
                <w:tbl>
                  <w:tblPr>
                    <w:tblW w:w="5000" w:type="pct"/>
                    <w:jc w:val="center"/>
                    <w:tblCellMar>
                      <w:left w:w="0" w:type="dxa"/>
                      <w:right w:w="0" w:type="dxa"/>
                    </w:tblCellMar>
                    <w:tblLook w:val="04A0" w:firstRow="1" w:lastRow="0" w:firstColumn="1" w:lastColumn="0" w:noHBand="0" w:noVBand="1"/>
                  </w:tblPr>
                  <w:tblGrid>
                    <w:gridCol w:w="9750"/>
                  </w:tblGrid>
                  <w:tr w:rsidR="00863F9E" w14:paraId="6E54FE96" w14:textId="77777777" w:rsidTr="00F90EE5">
                    <w:trPr>
                      <w:jc w:val="center"/>
                      <w:hidden/>
                    </w:trPr>
                    <w:tc>
                      <w:tcPr>
                        <w:tcW w:w="0" w:type="auto"/>
                        <w:tcMar>
                          <w:top w:w="75" w:type="dxa"/>
                          <w:left w:w="0" w:type="dxa"/>
                          <w:bottom w:w="75" w:type="dxa"/>
                          <w:right w:w="0" w:type="dxa"/>
                        </w:tcMar>
                        <w:hideMark/>
                      </w:tcPr>
                      <w:p w14:paraId="28B2CC51" w14:textId="77777777" w:rsidR="00863F9E" w:rsidRDefault="00863F9E" w:rsidP="00F90EE5">
                        <w:pPr>
                          <w:rPr>
                            <w:rFonts w:eastAsia="Times New Roman" w:cs="Calibri"/>
                            <w:vanish/>
                          </w:rPr>
                        </w:pPr>
                      </w:p>
                    </w:tc>
                  </w:tr>
                </w:tbl>
                <w:p w14:paraId="4DB7C56A" w14:textId="77777777" w:rsidR="00863F9E" w:rsidRDefault="00863F9E" w:rsidP="00F90EE5">
                  <w:pPr>
                    <w:jc w:val="center"/>
                  </w:pPr>
                </w:p>
              </w:tc>
            </w:tr>
          </w:tbl>
          <w:p w14:paraId="6686117C" w14:textId="77777777" w:rsidR="00863F9E" w:rsidRDefault="00863F9E" w:rsidP="00F90EE5">
            <w:pPr>
              <w:jc w:val="center"/>
            </w:pPr>
          </w:p>
        </w:tc>
      </w:tr>
    </w:tbl>
    <w:p w14:paraId="494DDEAC" w14:textId="77777777" w:rsidR="00863F9E" w:rsidRDefault="00863F9E" w:rsidP="00863F9E">
      <w:pPr>
        <w:pStyle w:val="NormalWeb"/>
        <w:spacing w:line="255" w:lineRule="atLeast"/>
        <w:rPr>
          <w:bCs/>
        </w:rPr>
      </w:pPr>
      <w:r>
        <w:rPr>
          <w:bCs/>
        </w:rPr>
        <w:t xml:space="preserve">On Dec. 29, 2020, the U.S. Department of Labor / Wage &amp; Hour Division issued Field Assistance Bulletin regarding posters that are required in workplaces, including the </w:t>
      </w:r>
      <w:r>
        <w:t>Fair Labor Standards Act (FLSA), the Family and Medical Leave Act (FMLA), Section 14I of the FLSA (Section 14I), the Employee Polygraph Protection Act (EPPA), and the Service Contract Act (SCA).</w:t>
      </w:r>
    </w:p>
    <w:p w14:paraId="4B6437A3" w14:textId="77777777" w:rsidR="00863F9E" w:rsidRDefault="00863F9E" w:rsidP="00863F9E">
      <w:pPr>
        <w:pStyle w:val="NormalWeb"/>
        <w:spacing w:line="255" w:lineRule="atLeast"/>
        <w:ind w:left="720"/>
      </w:pPr>
      <w:r>
        <w:t>“In most cases, these electronic notices supplement but do not replace the statutory and regulatory requirements that employers post a hard-copy notice. Whether notices are provided electronically or in hard-copy format, it is an employer’s obligation to provide the required notices to all affected individuals.</w:t>
      </w:r>
    </w:p>
    <w:p w14:paraId="5EB7492C" w14:textId="77777777" w:rsidR="00863F9E" w:rsidRDefault="00863F9E" w:rsidP="00863F9E">
      <w:pPr>
        <w:pStyle w:val="NormalWeb"/>
        <w:spacing w:line="255" w:lineRule="atLeast"/>
        <w:ind w:left="720"/>
      </w:pPr>
      <w:r>
        <w:t>***</w:t>
      </w:r>
    </w:p>
    <w:p w14:paraId="387EF879" w14:textId="77777777" w:rsidR="00863F9E" w:rsidRDefault="00863F9E" w:rsidP="00863F9E">
      <w:pPr>
        <w:pStyle w:val="NormalWeb"/>
        <w:spacing w:line="255" w:lineRule="atLeast"/>
        <w:ind w:left="720"/>
        <w:rPr>
          <w:rStyle w:val="Hyperlink"/>
        </w:rPr>
      </w:pPr>
      <w:r>
        <w:t xml:space="preserve">If a statute and its regulations require a notice to be continuously posted at a worksite, in most cases, WHD will only consider electronic posting an acceptable substitute for the continuous posting requirement where (1) all of the employer’s employees exclusively work remotely, (2) all employees customarily receive information from the employer via electronic means, and (3) all employees have readily available access to the electronic posting at all times. This ensures the electronic posting satisfies </w:t>
      </w:r>
      <w:r>
        <w:lastRenderedPageBreak/>
        <w:t xml:space="preserve">the statutory and regulatory requirements that such postings </w:t>
      </w:r>
      <w:proofErr w:type="gramStart"/>
      <w:r>
        <w:t>be</w:t>
      </w:r>
      <w:proofErr w:type="gramEnd"/>
      <w:r>
        <w:t xml:space="preserve"> continuously accessible to employees. Where an employer has employees on-site and other employees teleworking full-time, for example, the employer may supplement a hard-copy posting requirement with electronic posting and the Department would encourage both methods of posting.”  </w:t>
      </w:r>
      <w:hyperlink r:id="rId1851" w:history="1">
        <w:r>
          <w:rPr>
            <w:rStyle w:val="Hyperlink"/>
          </w:rPr>
          <w:t>https://www.dol.gov/sites/dolgov/files/WHD/legacy/files/fab_2020_7.pdf</w:t>
        </w:r>
      </w:hyperlink>
    </w:p>
    <w:p w14:paraId="7A0F0B7A" w14:textId="77777777" w:rsidR="00863F9E" w:rsidRDefault="00863F9E" w:rsidP="00863F9E">
      <w:pPr>
        <w:pStyle w:val="NormalWeb"/>
        <w:spacing w:line="255" w:lineRule="atLeast"/>
        <w:rPr>
          <w:b/>
        </w:rPr>
      </w:pPr>
      <w:r>
        <w:rPr>
          <w:b/>
        </w:rPr>
        <w:t>Legal Lesson Learned: Fire Department need to keep posters on the wall.</w:t>
      </w:r>
    </w:p>
    <w:p w14:paraId="1774891E" w14:textId="7906AF94" w:rsidR="00863F9E" w:rsidRDefault="00863F9E" w:rsidP="00F326E5">
      <w:pPr>
        <w:rPr>
          <w:rFonts w:ascii="Arial Black" w:hAnsi="Arial Black"/>
          <w:b/>
          <w:sz w:val="24"/>
          <w:szCs w:val="24"/>
        </w:rPr>
      </w:pPr>
    </w:p>
    <w:p w14:paraId="108AB8E1" w14:textId="73EC4A4F" w:rsidR="00863F9E" w:rsidRDefault="00863F9E" w:rsidP="00F326E5">
      <w:pPr>
        <w:rPr>
          <w:rFonts w:ascii="Arial Black" w:hAnsi="Arial Black"/>
          <w:b/>
          <w:sz w:val="24"/>
          <w:szCs w:val="24"/>
        </w:rPr>
      </w:pPr>
      <w:r>
        <w:rPr>
          <w:rFonts w:ascii="Arial Black" w:hAnsi="Arial Black"/>
          <w:b/>
          <w:sz w:val="24"/>
          <w:szCs w:val="24"/>
        </w:rPr>
        <w:t>11-2</w:t>
      </w:r>
      <w:r w:rsidR="00B13773">
        <w:rPr>
          <w:rFonts w:ascii="Arial Black" w:hAnsi="Arial Black"/>
          <w:b/>
          <w:sz w:val="24"/>
          <w:szCs w:val="24"/>
        </w:rPr>
        <w:t>6</w:t>
      </w:r>
    </w:p>
    <w:p w14:paraId="0A361B27" w14:textId="77777777" w:rsidR="00863F9E" w:rsidRDefault="00863F9E" w:rsidP="00863F9E">
      <w:pPr>
        <w:spacing w:before="100" w:beforeAutospacing="1" w:after="100" w:afterAutospacing="1" w:line="240" w:lineRule="auto"/>
        <w:rPr>
          <w:rFonts w:ascii="Arial Black" w:eastAsia="Times New Roman" w:hAnsi="Arial Black"/>
          <w:b/>
          <w:bCs/>
          <w:sz w:val="28"/>
          <w:szCs w:val="28"/>
        </w:rPr>
      </w:pPr>
      <w:bookmarkStart w:id="388" w:name="_Hlk66949025"/>
      <w:r>
        <w:rPr>
          <w:rFonts w:ascii="Arial Black" w:eastAsia="Times New Roman" w:hAnsi="Arial Black"/>
          <w:b/>
          <w:bCs/>
          <w:sz w:val="28"/>
          <w:szCs w:val="28"/>
        </w:rPr>
        <w:t xml:space="preserve">OH: FIRE CHIEF POLICY - NO OVERTIME – BACK PAY / DOUBLED – DAMAGES CALCULATED AFTER 40 HOURS (NOT 53 HRS)  </w:t>
      </w:r>
    </w:p>
    <w:p w14:paraId="58BC7039" w14:textId="77777777" w:rsidR="00863F9E" w:rsidRDefault="00863F9E" w:rsidP="00863F9E">
      <w:pPr>
        <w:tabs>
          <w:tab w:val="left" w:pos="6970"/>
        </w:tabs>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On Dec. 21, 2020, in </w:t>
      </w:r>
      <w:r>
        <w:rPr>
          <w:rFonts w:ascii="Times New Roman" w:eastAsia="Times New Roman" w:hAnsi="Times New Roman"/>
          <w:sz w:val="24"/>
          <w:szCs w:val="24"/>
          <w:u w:val="single"/>
        </w:rPr>
        <w:t>David Vance v. Village of Highlands, OH</w:t>
      </w:r>
      <w:r>
        <w:rPr>
          <w:rFonts w:ascii="Times New Roman" w:eastAsia="Times New Roman" w:hAnsi="Times New Roman"/>
          <w:sz w:val="24"/>
          <w:szCs w:val="24"/>
        </w:rPr>
        <w:t>, U.S. District Court Judge James S. Gwin, U.S. District Court for Northern District of Ohio, held given the deposition testimony of the Fire Chief that the FD never paid overtime to any firefighter, despite what the FD Employee Manual provided.  The former firefighter is entitled to back pay and liquidated damages (double the back pay) for all hours he worked beyond 40 hours, not 53 hours [216 hours / 28-day pay period exemption in Sec. 207(k)], since FD never established a 28-day “work period.”</w:t>
      </w:r>
    </w:p>
    <w:bookmarkEnd w:id="388"/>
    <w:p w14:paraId="502A185E" w14:textId="77777777" w:rsidR="00863F9E" w:rsidRDefault="00863F9E" w:rsidP="00863F9E">
      <w:pPr>
        <w:tabs>
          <w:tab w:val="left" w:pos="6970"/>
        </w:tabs>
        <w:spacing w:before="100" w:beforeAutospacing="1" w:after="100" w:afterAutospacing="1" w:line="240" w:lineRule="auto"/>
        <w:ind w:left="720"/>
        <w:rPr>
          <w:rFonts w:ascii="Times New Roman" w:eastAsiaTheme="minorHAnsi" w:hAnsi="Times New Roman"/>
          <w:sz w:val="24"/>
          <w:szCs w:val="24"/>
        </w:rPr>
      </w:pPr>
      <w:r>
        <w:rPr>
          <w:rFonts w:ascii="Times New Roman" w:hAnsi="Times New Roman"/>
          <w:sz w:val="24"/>
          <w:szCs w:val="24"/>
        </w:rPr>
        <w:t>“At his deposition, Defendant’s fire chief explained that the fire department followed a policy of never paying overtime.</w:t>
      </w:r>
      <w:bookmarkStart w:id="389" w:name="fn7"/>
      <w:bookmarkEnd w:id="389"/>
      <w:r>
        <w:rPr>
          <w:rFonts w:ascii="Times New Roman" w:hAnsi="Times New Roman"/>
          <w:sz w:val="24"/>
          <w:szCs w:val="24"/>
          <w:vertAlign w:val="superscript"/>
        </w:rPr>
        <w:t xml:space="preserve"> </w:t>
      </w:r>
      <w:r>
        <w:rPr>
          <w:rFonts w:ascii="Times New Roman" w:hAnsi="Times New Roman"/>
          <w:sz w:val="24"/>
          <w:szCs w:val="24"/>
        </w:rPr>
        <w:t>Defendant now accepts that it must pay overtime. The parties stipulate that Plaintiff is entitled to the overtime Defendant did not pay together with liquidated damages.</w:t>
      </w:r>
    </w:p>
    <w:p w14:paraId="79F5A9EF" w14:textId="77777777" w:rsidR="00863F9E" w:rsidRDefault="00863F9E" w:rsidP="00863F9E">
      <w:pPr>
        <w:tabs>
          <w:tab w:val="left" w:pos="6970"/>
        </w:tabs>
        <w:spacing w:before="100" w:beforeAutospacing="1" w:after="100" w:afterAutospacing="1" w:line="240" w:lineRule="auto"/>
        <w:ind w:left="810"/>
        <w:rPr>
          <w:rFonts w:ascii="Times New Roman" w:eastAsia="Times New Roman" w:hAnsi="Times New Roman"/>
          <w:sz w:val="24"/>
          <w:szCs w:val="24"/>
        </w:rPr>
      </w:pPr>
      <w:r>
        <w:rPr>
          <w:rFonts w:ascii="Times New Roman" w:hAnsi="Times New Roman"/>
          <w:sz w:val="24"/>
          <w:szCs w:val="24"/>
        </w:rPr>
        <w:t>***</w:t>
      </w:r>
      <w:r>
        <w:rPr>
          <w:rFonts w:ascii="Times New Roman" w:eastAsia="Times New Roman" w:hAnsi="Times New Roman"/>
          <w:sz w:val="24"/>
          <w:szCs w:val="24"/>
        </w:rPr>
        <w:t xml:space="preserve">  </w:t>
      </w:r>
    </w:p>
    <w:p w14:paraId="60852338" w14:textId="77777777" w:rsidR="00863F9E" w:rsidRDefault="00863F9E" w:rsidP="00863F9E">
      <w:pPr>
        <w:spacing w:before="100" w:beforeAutospacing="1" w:after="100" w:afterAutospacing="1" w:line="240" w:lineRule="auto"/>
        <w:ind w:left="720"/>
        <w:rPr>
          <w:rFonts w:ascii="Times New Roman" w:eastAsiaTheme="minorHAnsi" w:hAnsi="Times New Roman"/>
          <w:sz w:val="24"/>
          <w:szCs w:val="24"/>
        </w:rPr>
      </w:pPr>
      <w:r>
        <w:rPr>
          <w:rFonts w:ascii="Times New Roman" w:hAnsi="Times New Roman"/>
          <w:sz w:val="24"/>
          <w:szCs w:val="24"/>
        </w:rPr>
        <w:t xml:space="preserve">The Court agrees with Plaintiff that the 29 U.S.C.§207(k) exemption should not apply in this instance. Defendant did not establish a 28-day work period as the §207(k) exemption required. There may have been a policy on the books, but Defendant made no effort to apply it to </w:t>
      </w:r>
      <w:proofErr w:type="gramStart"/>
      <w:r>
        <w:rPr>
          <w:rFonts w:ascii="Times New Roman" w:hAnsi="Times New Roman"/>
          <w:sz w:val="24"/>
          <w:szCs w:val="24"/>
        </w:rPr>
        <w:t>Plaintiff.”</w:t>
      </w:r>
      <w:proofErr w:type="gramEnd"/>
      <w:r>
        <w:rPr>
          <w:rFonts w:ascii="Times New Roman" w:hAnsi="Times New Roman"/>
          <w:sz w:val="24"/>
          <w:szCs w:val="24"/>
        </w:rPr>
        <w:t xml:space="preserve">  </w:t>
      </w:r>
      <w:bookmarkStart w:id="390" w:name="_Hlk66949056"/>
      <w:r w:rsidR="00F00958">
        <w:fldChar w:fldCharType="begin"/>
      </w:r>
      <w:r w:rsidR="00F00958">
        <w:instrText xml:space="preserve"> HYPERLINK "https://www.leagle.com/decision/infdco20201224948" </w:instrText>
      </w:r>
      <w:r w:rsidR="00F00958">
        <w:fldChar w:fldCharType="separate"/>
      </w:r>
      <w:r>
        <w:rPr>
          <w:rStyle w:val="Hyperlink"/>
        </w:rPr>
        <w:t>https://www.leagle.com/decision/infdco20201224948</w:t>
      </w:r>
      <w:r w:rsidR="00F00958">
        <w:rPr>
          <w:rStyle w:val="Hyperlink"/>
        </w:rPr>
        <w:fldChar w:fldCharType="end"/>
      </w:r>
      <w:r>
        <w:rPr>
          <w:rFonts w:ascii="Times New Roman" w:hAnsi="Times New Roman"/>
          <w:sz w:val="24"/>
          <w:szCs w:val="24"/>
        </w:rPr>
        <w:t xml:space="preserve"> </w:t>
      </w:r>
    </w:p>
    <w:p w14:paraId="602D57A5" w14:textId="77777777" w:rsidR="00863F9E" w:rsidRDefault="00863F9E" w:rsidP="00863F9E">
      <w:pPr>
        <w:pStyle w:val="NoSpacing"/>
        <w:jc w:val="both"/>
        <w:rPr>
          <w:rFonts w:ascii="Times New Roman" w:hAnsi="Times New Roman"/>
          <w:b/>
          <w:bCs/>
          <w:sz w:val="24"/>
          <w:szCs w:val="24"/>
        </w:rPr>
      </w:pPr>
      <w:r>
        <w:rPr>
          <w:rFonts w:ascii="Times New Roman" w:hAnsi="Times New Roman"/>
          <w:b/>
          <w:bCs/>
          <w:sz w:val="24"/>
          <w:szCs w:val="24"/>
        </w:rPr>
        <w:t xml:space="preserve">Legal Lesson Learned: FD’s legal counsel wisely stipulated violated FLSA and avoided expense of trial.  FD will most likely now review payroll records and pay back </w:t>
      </w:r>
      <w:proofErr w:type="gramStart"/>
      <w:r>
        <w:rPr>
          <w:rFonts w:ascii="Times New Roman" w:hAnsi="Times New Roman"/>
          <w:b/>
          <w:bCs/>
          <w:sz w:val="24"/>
          <w:szCs w:val="24"/>
        </w:rPr>
        <w:t>pay</w:t>
      </w:r>
      <w:proofErr w:type="gramEnd"/>
      <w:r>
        <w:rPr>
          <w:rFonts w:ascii="Times New Roman" w:hAnsi="Times New Roman"/>
          <w:b/>
          <w:bCs/>
          <w:sz w:val="24"/>
          <w:szCs w:val="24"/>
        </w:rPr>
        <w:t xml:space="preserve"> to other firefighters. </w:t>
      </w:r>
    </w:p>
    <w:bookmarkEnd w:id="390"/>
    <w:p w14:paraId="0B565636" w14:textId="239A72CC" w:rsidR="00863F9E" w:rsidRDefault="00863F9E" w:rsidP="00F326E5">
      <w:pPr>
        <w:rPr>
          <w:rFonts w:ascii="Arial Black" w:hAnsi="Arial Black"/>
          <w:b/>
          <w:sz w:val="24"/>
          <w:szCs w:val="24"/>
        </w:rPr>
      </w:pPr>
    </w:p>
    <w:p w14:paraId="7732C6CF" w14:textId="402CF6B2" w:rsidR="00863F9E" w:rsidRDefault="00863F9E" w:rsidP="00F326E5">
      <w:pPr>
        <w:rPr>
          <w:rFonts w:ascii="Arial Black" w:hAnsi="Arial Black"/>
          <w:b/>
          <w:sz w:val="24"/>
          <w:szCs w:val="24"/>
        </w:rPr>
      </w:pPr>
      <w:r>
        <w:rPr>
          <w:rFonts w:ascii="Arial Black" w:hAnsi="Arial Black"/>
          <w:b/>
          <w:sz w:val="24"/>
          <w:szCs w:val="24"/>
        </w:rPr>
        <w:t>11-2</w:t>
      </w:r>
      <w:r w:rsidR="00B13773">
        <w:rPr>
          <w:rFonts w:ascii="Arial Black" w:hAnsi="Arial Black"/>
          <w:b/>
          <w:sz w:val="24"/>
          <w:szCs w:val="24"/>
        </w:rPr>
        <w:t>5</w:t>
      </w:r>
    </w:p>
    <w:p w14:paraId="0262F877" w14:textId="77777777" w:rsidR="00863F9E" w:rsidRDefault="00863F9E" w:rsidP="00863F9E">
      <w:pPr>
        <w:pStyle w:val="NoSpacing"/>
        <w:rPr>
          <w:rFonts w:ascii="Arial Black" w:hAnsi="Arial Black"/>
          <w:sz w:val="28"/>
          <w:szCs w:val="28"/>
        </w:rPr>
      </w:pPr>
      <w:r>
        <w:rPr>
          <w:rFonts w:ascii="Arial Black" w:hAnsi="Arial Black"/>
          <w:sz w:val="28"/>
          <w:szCs w:val="28"/>
        </w:rPr>
        <w:t>VA: BATTALION CHIEFS – DUTIES SHOW THEY ARE “EXECUTIVE” EMPLOYEES – “EXEMPT” UNDER FLSA FROM OVERTIME PAY</w:t>
      </w:r>
    </w:p>
    <w:p w14:paraId="29E2AE6B" w14:textId="77777777" w:rsidR="00863F9E" w:rsidRDefault="00863F9E" w:rsidP="00863F9E">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On Dec. 4, 2020, in </w:t>
      </w:r>
      <w:r>
        <w:rPr>
          <w:rFonts w:ascii="Times New Roman" w:eastAsia="Times New Roman" w:hAnsi="Times New Roman"/>
          <w:sz w:val="24"/>
          <w:szCs w:val="24"/>
          <w:u w:val="single"/>
        </w:rPr>
        <w:t>Shean Emmons, et al. v. City of Chesapeake</w:t>
      </w:r>
      <w:r>
        <w:rPr>
          <w:rFonts w:ascii="Times New Roman" w:eastAsia="Times New Roman" w:hAnsi="Times New Roman"/>
          <w:sz w:val="24"/>
          <w:szCs w:val="24"/>
        </w:rPr>
        <w:t>, the U.S. Court of Appeals for the Fourth Circuit (Richmond, VA) held (3 to 0) that the Battalion Chiefs are “managers” and “executive” employees under the FLSA.</w:t>
      </w:r>
    </w:p>
    <w:p w14:paraId="784A19C2" w14:textId="77777777" w:rsidR="00863F9E" w:rsidRDefault="00863F9E" w:rsidP="00863F9E">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 xml:space="preserve">“The appellants in this case are Battalion Chiefs who have sued their employer, the City of Chesapeake Fire Department (CFD), for non-compliance with the overtime pay requirement of the Fair Labor Standards Act (FLSA). </w:t>
      </w:r>
    </w:p>
    <w:p w14:paraId="4DCB24FB" w14:textId="77777777" w:rsidR="00863F9E" w:rsidRDefault="00863F9E" w:rsidP="00863F9E">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lastRenderedPageBreak/>
        <w:t>***</w:t>
      </w:r>
    </w:p>
    <w:p w14:paraId="0556949E" w14:textId="77777777" w:rsidR="00863F9E" w:rsidRDefault="00863F9E" w:rsidP="00863F9E">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We disagree. Section 541.3(b) does not categorically except the plaintiff BCs from the FLSA's system of exemptions, because the BCs are, first and foremost, managers within the CFD, not frontline firefighters. Nor do the plain terms of the FLSA's exemptions fail to apply. The BCs are executive employees under the FLSA, and it is on this basis that we affirm the district court's grant of summary judgment in favor of the CFD.”</w:t>
      </w:r>
      <w:r>
        <w:t xml:space="preserve">  </w:t>
      </w:r>
      <w:hyperlink r:id="rId1852" w:history="1">
        <w:r>
          <w:rPr>
            <w:rStyle w:val="Hyperlink"/>
          </w:rPr>
          <w:t>https://www.ca4.uscourts.gov/Opinions/191755.P.pdf</w:t>
        </w:r>
      </w:hyperlink>
      <w:r>
        <w:t xml:space="preserve">   </w:t>
      </w:r>
    </w:p>
    <w:p w14:paraId="31571927" w14:textId="77777777" w:rsidR="00863F9E" w:rsidRDefault="00863F9E" w:rsidP="00863F9E">
      <w:pPr>
        <w:spacing w:before="100" w:beforeAutospacing="1" w:after="100" w:afterAutospacing="1" w:line="240" w:lineRule="auto"/>
        <w:rPr>
          <w:rFonts w:ascii="Times New Roman" w:eastAsia="Times New Roman" w:hAnsi="Times New Roman"/>
          <w:b/>
          <w:bCs/>
          <w:sz w:val="24"/>
          <w:szCs w:val="24"/>
        </w:rPr>
      </w:pPr>
      <w:r>
        <w:rPr>
          <w:rFonts w:ascii="Times New Roman" w:hAnsi="Times New Roman"/>
          <w:b/>
          <w:bCs/>
          <w:sz w:val="24"/>
          <w:szCs w:val="24"/>
        </w:rPr>
        <w:t xml:space="preserve">Legal Lesson Learned: The Court was extremely thorough in describing the duties of the Battalion Chiefs; this decision will undoubtedly be referenced in future court decisions throughout the Nation. </w:t>
      </w:r>
    </w:p>
    <w:p w14:paraId="507061C1" w14:textId="77777777" w:rsidR="00863F9E" w:rsidRDefault="00863F9E" w:rsidP="00F326E5">
      <w:pPr>
        <w:rPr>
          <w:rFonts w:ascii="Arial Black" w:hAnsi="Arial Black"/>
          <w:b/>
          <w:sz w:val="24"/>
          <w:szCs w:val="24"/>
        </w:rPr>
      </w:pPr>
    </w:p>
    <w:p w14:paraId="2810CEDC" w14:textId="77777777" w:rsidR="00B13773" w:rsidRDefault="00B13773" w:rsidP="00AC1E3A">
      <w:pPr>
        <w:pStyle w:val="NormalWeb"/>
        <w:rPr>
          <w:rFonts w:ascii="Arial Black" w:hAnsi="Arial Black"/>
          <w:sz w:val="28"/>
          <w:szCs w:val="28"/>
        </w:rPr>
      </w:pPr>
    </w:p>
    <w:p w14:paraId="533A2242" w14:textId="6780D87F" w:rsidR="00B13773" w:rsidRDefault="00B13773" w:rsidP="00AC1E3A">
      <w:pPr>
        <w:pStyle w:val="NormalWeb"/>
        <w:rPr>
          <w:rFonts w:ascii="Arial Black" w:hAnsi="Arial Black"/>
          <w:sz w:val="28"/>
          <w:szCs w:val="28"/>
        </w:rPr>
      </w:pPr>
      <w:r>
        <w:rPr>
          <w:rFonts w:ascii="Arial Black" w:hAnsi="Arial Black"/>
          <w:sz w:val="28"/>
          <w:szCs w:val="28"/>
        </w:rPr>
        <w:t>11-24</w:t>
      </w:r>
    </w:p>
    <w:p w14:paraId="2FA7CCFF" w14:textId="27DC8DD6" w:rsidR="00AC1E3A" w:rsidRDefault="00AC1E3A" w:rsidP="00AC1E3A">
      <w:pPr>
        <w:pStyle w:val="NormalWeb"/>
        <w:rPr>
          <w:rFonts w:ascii="Arial Black" w:hAnsi="Arial Black"/>
          <w:sz w:val="28"/>
          <w:szCs w:val="28"/>
        </w:rPr>
      </w:pPr>
      <w:r>
        <w:rPr>
          <w:rFonts w:ascii="Arial Black" w:hAnsi="Arial Black"/>
          <w:sz w:val="28"/>
          <w:szCs w:val="28"/>
        </w:rPr>
        <w:t>IL: CHICAGO FF WHILE ON MILITARY LEAVE – MISSED TEST FOR ENGINEER, FD REFUSED MAKE-UP – CASE PROCEED</w:t>
      </w:r>
    </w:p>
    <w:p w14:paraId="1025247B" w14:textId="77777777" w:rsidR="00AC1E3A" w:rsidRPr="00CB0145" w:rsidRDefault="00AC1E3A" w:rsidP="00AC1E3A">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On Oct. 23, 2020, in lawsuit filed by U.S. Department of Justice in </w:t>
      </w:r>
      <w:r w:rsidRPr="006D68B7">
        <w:rPr>
          <w:rFonts w:ascii="Times New Roman" w:eastAsia="Times New Roman" w:hAnsi="Times New Roman"/>
          <w:sz w:val="24"/>
          <w:szCs w:val="24"/>
          <w:u w:val="single"/>
        </w:rPr>
        <w:t>Derrick Strong v. City of Chicago</w:t>
      </w:r>
      <w:r>
        <w:rPr>
          <w:rFonts w:ascii="Times New Roman" w:eastAsia="Times New Roman" w:hAnsi="Times New Roman"/>
          <w:sz w:val="24"/>
          <w:szCs w:val="24"/>
        </w:rPr>
        <w:t xml:space="preserve">, U.S. District Court Judge Elain E. </w:t>
      </w:r>
      <w:proofErr w:type="spellStart"/>
      <w:r>
        <w:rPr>
          <w:rFonts w:ascii="Times New Roman" w:eastAsia="Times New Roman" w:hAnsi="Times New Roman"/>
          <w:sz w:val="24"/>
          <w:szCs w:val="24"/>
        </w:rPr>
        <w:t>Bucklo</w:t>
      </w:r>
      <w:proofErr w:type="spellEnd"/>
      <w:r>
        <w:rPr>
          <w:rFonts w:ascii="Times New Roman" w:eastAsia="Times New Roman" w:hAnsi="Times New Roman"/>
          <w:sz w:val="24"/>
          <w:szCs w:val="24"/>
        </w:rPr>
        <w:t xml:space="preserve">, Northern District of Illinois,  denied the City’s motion for summary judgment. The written exam for Firefighter Engineer was given on Nov. 14, 2016. When the firefighter completed his active duty </w:t>
      </w:r>
      <w:proofErr w:type="gramStart"/>
      <w:r>
        <w:rPr>
          <w:rFonts w:ascii="Times New Roman" w:eastAsia="Times New Roman" w:hAnsi="Times New Roman"/>
          <w:sz w:val="24"/>
          <w:szCs w:val="24"/>
        </w:rPr>
        <w:t>in</w:t>
      </w:r>
      <w:proofErr w:type="gramEnd"/>
      <w:r>
        <w:rPr>
          <w:rFonts w:ascii="Times New Roman" w:eastAsia="Times New Roman" w:hAnsi="Times New Roman"/>
          <w:sz w:val="24"/>
          <w:szCs w:val="24"/>
        </w:rPr>
        <w:t xml:space="preserve"> June 26, 2017, he requested a make-up exam but was denied.  The U.S. Department of Justice filed this lawsuit on his behalf under the </w:t>
      </w:r>
      <w:r w:rsidRPr="00CB0145">
        <w:rPr>
          <w:rFonts w:ascii="Times New Roman" w:hAnsi="Times New Roman"/>
          <w:sz w:val="24"/>
          <w:szCs w:val="24"/>
        </w:rPr>
        <w:t>Uniformed Services Employment and Reemployment Rights Act of 1994 ("USERRA"), 38 U.S.C. § 4313</w:t>
      </w:r>
      <w:r>
        <w:rPr>
          <w:rFonts w:ascii="Times New Roman" w:hAnsi="Times New Roman"/>
          <w:sz w:val="24"/>
          <w:szCs w:val="24"/>
        </w:rPr>
        <w:t xml:space="preserve">, even if the </w:t>
      </w:r>
      <w:proofErr w:type="gramStart"/>
      <w:r>
        <w:rPr>
          <w:rFonts w:ascii="Times New Roman" w:hAnsi="Times New Roman"/>
          <w:sz w:val="24"/>
          <w:szCs w:val="24"/>
        </w:rPr>
        <w:t>City</w:t>
      </w:r>
      <w:proofErr w:type="gramEnd"/>
      <w:r>
        <w:rPr>
          <w:rFonts w:ascii="Times New Roman" w:hAnsi="Times New Roman"/>
          <w:sz w:val="24"/>
          <w:szCs w:val="24"/>
        </w:rPr>
        <w:t xml:space="preserve"> had </w:t>
      </w:r>
      <w:r>
        <w:rPr>
          <w:rFonts w:ascii="Times New Roman" w:eastAsia="Times New Roman" w:hAnsi="Times New Roman"/>
          <w:sz w:val="24"/>
          <w:szCs w:val="24"/>
        </w:rPr>
        <w:t>offered him opportunity to take exam remotely while on military duty.</w:t>
      </w:r>
    </w:p>
    <w:p w14:paraId="7BF536E8" w14:textId="77777777" w:rsidR="00AC1E3A" w:rsidRDefault="00AC1E3A" w:rsidP="00AC1E3A">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w:t>
      </w:r>
      <w:r w:rsidRPr="006D68B7">
        <w:rPr>
          <w:rFonts w:ascii="Times New Roman" w:eastAsia="Times New Roman" w:hAnsi="Times New Roman"/>
          <w:sz w:val="24"/>
          <w:szCs w:val="24"/>
        </w:rPr>
        <w:t>Accordingly, plaintiff can potentially prevail on his § 4313 claim if he can</w:t>
      </w:r>
      <w:r>
        <w:rPr>
          <w:rFonts w:ascii="Times New Roman" w:eastAsia="Times New Roman" w:hAnsi="Times New Roman"/>
          <w:sz w:val="24"/>
          <w:szCs w:val="24"/>
        </w:rPr>
        <w:t xml:space="preserve"> </w:t>
      </w:r>
      <w:r w:rsidRPr="006D68B7">
        <w:rPr>
          <w:rFonts w:ascii="Times New Roman" w:eastAsia="Times New Roman" w:hAnsi="Times New Roman"/>
          <w:sz w:val="24"/>
          <w:szCs w:val="24"/>
        </w:rPr>
        <w:t xml:space="preserve">show that without undue hardship, the City could have administered a make-up examination upon his return to service that might have earned him a spot on the 2016 Eligibility List. Of course, plaintiff would also have to show that his promotion to Fire Engineer was reasonably </w:t>
      </w:r>
      <w:proofErr w:type="gramStart"/>
      <w:r w:rsidRPr="006D68B7">
        <w:rPr>
          <w:rFonts w:ascii="Times New Roman" w:eastAsia="Times New Roman" w:hAnsi="Times New Roman"/>
          <w:sz w:val="24"/>
          <w:szCs w:val="24"/>
        </w:rPr>
        <w:t>certain</w:t>
      </w:r>
      <w:proofErr w:type="gramEnd"/>
      <w:r w:rsidRPr="006D68B7">
        <w:rPr>
          <w:rFonts w:ascii="Times New Roman" w:eastAsia="Times New Roman" w:hAnsi="Times New Roman"/>
          <w:sz w:val="24"/>
          <w:szCs w:val="24"/>
        </w:rPr>
        <w:t xml:space="preserve"> assuming his successful completion of the exam.</w:t>
      </w:r>
    </w:p>
    <w:p w14:paraId="09485347" w14:textId="77777777" w:rsidR="00AC1E3A" w:rsidRDefault="00AC1E3A" w:rsidP="00AC1E3A">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w:t>
      </w:r>
    </w:p>
    <w:p w14:paraId="36AF7AF9" w14:textId="77777777" w:rsidR="00AC1E3A" w:rsidRDefault="00AC1E3A" w:rsidP="00AC1E3A">
      <w:pPr>
        <w:spacing w:before="100" w:beforeAutospacing="1" w:after="100" w:afterAutospacing="1" w:line="240" w:lineRule="auto"/>
        <w:ind w:left="720"/>
        <w:rPr>
          <w:rFonts w:ascii="Times New Roman" w:eastAsia="Times New Roman" w:hAnsi="Times New Roman"/>
          <w:sz w:val="24"/>
          <w:szCs w:val="24"/>
        </w:rPr>
      </w:pPr>
      <w:r w:rsidRPr="00E57CCD">
        <w:rPr>
          <w:rFonts w:ascii="Times New Roman" w:eastAsia="Times New Roman" w:hAnsi="Times New Roman"/>
          <w:sz w:val="24"/>
          <w:szCs w:val="24"/>
        </w:rPr>
        <w:t xml:space="preserve">The City also argues that because it offered to administer the exam remotely during plaintiff's period of active duty, it was not required to offer him a make-up exam upon his return. As noted above, however, the inquiry into the reasonableness of an employer's efforts focuses on hardship to the employer in qualifying the returning service member </w:t>
      </w:r>
      <w:r w:rsidRPr="00E57CCD">
        <w:rPr>
          <w:rFonts w:ascii="Times New Roman" w:eastAsia="Times New Roman" w:hAnsi="Times New Roman"/>
          <w:i/>
          <w:iCs/>
          <w:sz w:val="24"/>
          <w:szCs w:val="24"/>
        </w:rPr>
        <w:t>after</w:t>
      </w:r>
      <w:r w:rsidRPr="00E57CCD">
        <w:rPr>
          <w:rFonts w:ascii="Times New Roman" w:eastAsia="Times New Roman" w:hAnsi="Times New Roman"/>
          <w:sz w:val="24"/>
          <w:szCs w:val="24"/>
        </w:rPr>
        <w:t xml:space="preserve"> his or her return from service, not on the employer's conduct during the service member's military leave. Moreover, one of USERRA's primary purposes is </w:t>
      </w:r>
      <w:r>
        <w:rPr>
          <w:rFonts w:ascii="Times New Roman" w:eastAsia="Times New Roman" w:hAnsi="Times New Roman"/>
          <w:sz w:val="24"/>
          <w:szCs w:val="24"/>
        </w:rPr>
        <w:t>‘</w:t>
      </w:r>
      <w:r w:rsidRPr="00E57CCD">
        <w:rPr>
          <w:rFonts w:ascii="Times New Roman" w:eastAsia="Times New Roman" w:hAnsi="Times New Roman"/>
          <w:sz w:val="24"/>
          <w:szCs w:val="24"/>
        </w:rPr>
        <w:t>to encourage military service by minimizing the disadvantages to civilian careers.</w:t>
      </w:r>
      <w:r>
        <w:rPr>
          <w:rFonts w:ascii="Times New Roman" w:eastAsia="Times New Roman" w:hAnsi="Times New Roman"/>
          <w:sz w:val="24"/>
          <w:szCs w:val="24"/>
        </w:rPr>
        <w:t>’</w:t>
      </w:r>
      <w:r w:rsidRPr="00E57CCD">
        <w:rPr>
          <w:rFonts w:ascii="Times New Roman" w:eastAsia="Times New Roman" w:hAnsi="Times New Roman"/>
          <w:sz w:val="24"/>
          <w:szCs w:val="24"/>
        </w:rPr>
        <w:t xml:space="preserve"> </w:t>
      </w:r>
      <w:r w:rsidRPr="00E57CCD">
        <w:rPr>
          <w:rFonts w:ascii="Times New Roman" w:eastAsia="Times New Roman" w:hAnsi="Times New Roman"/>
          <w:i/>
          <w:iCs/>
          <w:sz w:val="24"/>
          <w:szCs w:val="24"/>
        </w:rPr>
        <w:t>DeLee v</w:t>
      </w:r>
      <w:r w:rsidRPr="00E57CCD">
        <w:rPr>
          <w:rFonts w:ascii="Times New Roman" w:eastAsia="Times New Roman" w:hAnsi="Times New Roman"/>
          <w:sz w:val="24"/>
          <w:szCs w:val="24"/>
        </w:rPr>
        <w:t xml:space="preserve">. </w:t>
      </w:r>
      <w:r w:rsidRPr="00E57CCD">
        <w:rPr>
          <w:rFonts w:ascii="Times New Roman" w:eastAsia="Times New Roman" w:hAnsi="Times New Roman"/>
          <w:i/>
          <w:iCs/>
          <w:sz w:val="24"/>
          <w:szCs w:val="24"/>
        </w:rPr>
        <w:t>City of Plymouth</w:t>
      </w:r>
      <w:r w:rsidRPr="00E57CCD">
        <w:rPr>
          <w:rFonts w:ascii="Times New Roman" w:eastAsia="Times New Roman" w:hAnsi="Times New Roman"/>
          <w:sz w:val="24"/>
          <w:szCs w:val="24"/>
        </w:rPr>
        <w:t xml:space="preserve">, </w:t>
      </w:r>
      <w:r w:rsidRPr="00E57CCD">
        <w:rPr>
          <w:rFonts w:ascii="Times New Roman" w:eastAsia="Times New Roman" w:hAnsi="Times New Roman"/>
          <w:i/>
          <w:iCs/>
          <w:sz w:val="24"/>
          <w:szCs w:val="24"/>
        </w:rPr>
        <w:t>Ind</w:t>
      </w:r>
      <w:r w:rsidRPr="00E57CCD">
        <w:rPr>
          <w:rFonts w:ascii="Times New Roman" w:eastAsia="Times New Roman" w:hAnsi="Times New Roman"/>
          <w:sz w:val="24"/>
          <w:szCs w:val="24"/>
        </w:rPr>
        <w:t>., 773 F.3d 172, 175 (7th Cir. 2014). While it may be true that plaintiff could have avoided missing the qualifying exam if he had agreed to take the written portion remotely, plaintiff might be able to show that requiring him to prepare for and take the test during his period of active duty placed him at a disadvantage as</w:t>
      </w:r>
      <w:r>
        <w:rPr>
          <w:rFonts w:ascii="Times New Roman" w:eastAsia="Times New Roman" w:hAnsi="Times New Roman"/>
          <w:sz w:val="24"/>
          <w:szCs w:val="24"/>
        </w:rPr>
        <w:t xml:space="preserve"> </w:t>
      </w:r>
      <w:r w:rsidRPr="00E57CCD">
        <w:rPr>
          <w:rFonts w:ascii="Times New Roman" w:eastAsia="Times New Roman" w:hAnsi="Times New Roman"/>
          <w:sz w:val="24"/>
          <w:szCs w:val="24"/>
        </w:rPr>
        <w:t>compared to non-service members, arguably in violation of the statute's purpose.</w:t>
      </w:r>
      <w:r>
        <w:rPr>
          <w:rFonts w:ascii="Times New Roman" w:eastAsia="Times New Roman" w:hAnsi="Times New Roman"/>
          <w:sz w:val="24"/>
          <w:szCs w:val="24"/>
        </w:rPr>
        <w:t>”</w:t>
      </w:r>
      <w:hyperlink r:id="rId1853" w:history="1">
        <w:r w:rsidRPr="00C34615">
          <w:rPr>
            <w:rStyle w:val="Hyperlink"/>
            <w:rFonts w:ascii="Times New Roman" w:eastAsia="Times New Roman" w:hAnsi="Times New Roman"/>
            <w:sz w:val="24"/>
            <w:szCs w:val="24"/>
          </w:rPr>
          <w:t>https://public.fastcase.com/Wl%2B2t%2BeVuI35%2FN70vAMFZq7BNtl3UAn66ukthA6exr4OG2Q55i9ib96ohnNtBuMo</w:t>
        </w:r>
      </w:hyperlink>
      <w:r>
        <w:rPr>
          <w:rFonts w:ascii="Times New Roman" w:eastAsia="Times New Roman" w:hAnsi="Times New Roman"/>
          <w:sz w:val="24"/>
          <w:szCs w:val="24"/>
        </w:rPr>
        <w:t xml:space="preserve"> </w:t>
      </w:r>
    </w:p>
    <w:p w14:paraId="050D746F" w14:textId="77777777" w:rsidR="00AC1E3A" w:rsidRDefault="00AC1E3A" w:rsidP="00AC1E3A">
      <w:pPr>
        <w:spacing w:before="100" w:beforeAutospacing="1" w:after="100" w:afterAutospacing="1" w:line="240" w:lineRule="auto"/>
        <w:rPr>
          <w:rStyle w:val="Hyperlink"/>
          <w:rFonts w:ascii="Times New Roman" w:hAnsi="Times New Roman"/>
          <w:sz w:val="24"/>
          <w:szCs w:val="24"/>
        </w:rPr>
      </w:pPr>
      <w:r w:rsidRPr="00C17950">
        <w:rPr>
          <w:rFonts w:ascii="Times New Roman" w:eastAsia="Times New Roman" w:hAnsi="Times New Roman"/>
          <w:b/>
          <w:bCs/>
          <w:sz w:val="24"/>
          <w:szCs w:val="24"/>
        </w:rPr>
        <w:lastRenderedPageBreak/>
        <w:t>Legal Lesson</w:t>
      </w:r>
      <w:r>
        <w:rPr>
          <w:rFonts w:ascii="Times New Roman" w:eastAsia="Times New Roman" w:hAnsi="Times New Roman"/>
          <w:b/>
          <w:bCs/>
          <w:sz w:val="24"/>
          <w:szCs w:val="24"/>
        </w:rPr>
        <w:t xml:space="preserve"> </w:t>
      </w:r>
      <w:r w:rsidRPr="00C17950">
        <w:rPr>
          <w:rFonts w:ascii="Times New Roman" w:eastAsia="Times New Roman" w:hAnsi="Times New Roman"/>
          <w:b/>
          <w:bCs/>
          <w:sz w:val="24"/>
          <w:szCs w:val="24"/>
        </w:rPr>
        <w:t xml:space="preserve">Learned: The U.S. Department of Justice has aggressively enforced the </w:t>
      </w:r>
      <w:r w:rsidRPr="00C17950">
        <w:rPr>
          <w:rFonts w:ascii="Times New Roman" w:hAnsi="Times New Roman"/>
          <w:b/>
          <w:bCs/>
          <w:sz w:val="24"/>
          <w:szCs w:val="24"/>
        </w:rPr>
        <w:t>Uniformed Services Employment and Reemployment Rights Act.  See their Web page:</w:t>
      </w:r>
      <w:r>
        <w:rPr>
          <w:rFonts w:ascii="Times New Roman" w:hAnsi="Times New Roman"/>
          <w:sz w:val="24"/>
          <w:szCs w:val="24"/>
        </w:rPr>
        <w:t xml:space="preserve"> </w:t>
      </w:r>
      <w:hyperlink r:id="rId1854" w:history="1">
        <w:r w:rsidRPr="00C34615">
          <w:rPr>
            <w:rStyle w:val="Hyperlink"/>
            <w:rFonts w:ascii="Times New Roman" w:hAnsi="Times New Roman"/>
            <w:sz w:val="24"/>
            <w:szCs w:val="24"/>
          </w:rPr>
          <w:t>https://www.justice.gov/servicemembers/other-resources</w:t>
        </w:r>
      </w:hyperlink>
      <w:r>
        <w:rPr>
          <w:rStyle w:val="Hyperlink"/>
          <w:rFonts w:ascii="Times New Roman" w:hAnsi="Times New Roman"/>
          <w:sz w:val="24"/>
          <w:szCs w:val="24"/>
        </w:rPr>
        <w:t>.</w:t>
      </w:r>
    </w:p>
    <w:p w14:paraId="70386EDC" w14:textId="77777777" w:rsidR="00AC1E3A" w:rsidRDefault="00AC1E3A" w:rsidP="00AC1E3A">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 xml:space="preserve">See also the Complaint they filed in this case: </w:t>
      </w:r>
      <w:hyperlink r:id="rId1855" w:history="1">
        <w:r w:rsidRPr="00C34615">
          <w:rPr>
            <w:rStyle w:val="Hyperlink"/>
            <w:rFonts w:ascii="Times New Roman" w:eastAsia="Times New Roman" w:hAnsi="Times New Roman"/>
            <w:sz w:val="24"/>
            <w:szCs w:val="24"/>
          </w:rPr>
          <w:t>https://www.justice.gov/crt/case-document/file/1227366/download</w:t>
        </w:r>
      </w:hyperlink>
      <w:r>
        <w:rPr>
          <w:rFonts w:ascii="Times New Roman" w:eastAsia="Times New Roman" w:hAnsi="Times New Roman"/>
          <w:sz w:val="24"/>
          <w:szCs w:val="24"/>
        </w:rPr>
        <w:t xml:space="preserve"> .   He was on military duty as an attorney at Fort Riley, Kansas. </w:t>
      </w:r>
      <w:r>
        <w:rPr>
          <w:rFonts w:ascii="Times New Roman" w:hAnsi="Times New Roman"/>
          <w:sz w:val="24"/>
          <w:szCs w:val="24"/>
        </w:rPr>
        <w:t>“</w:t>
      </w:r>
      <w:r w:rsidRPr="00425EED">
        <w:rPr>
          <w:rFonts w:ascii="Times New Roman" w:hAnsi="Times New Roman"/>
          <w:sz w:val="24"/>
          <w:szCs w:val="24"/>
        </w:rPr>
        <w:t>On October 31, 2016, Jill May notified Strong that the DHR’s October 5, 2016, grant of his request to take the Fire Engineer examination upon his return from</w:t>
      </w:r>
      <w:r>
        <w:rPr>
          <w:rFonts w:ascii="Times New Roman" w:hAnsi="Times New Roman"/>
          <w:sz w:val="24"/>
          <w:szCs w:val="24"/>
        </w:rPr>
        <w:t xml:space="preserve"> </w:t>
      </w:r>
      <w:r w:rsidRPr="00425EED">
        <w:rPr>
          <w:rFonts w:ascii="Times New Roman" w:hAnsi="Times New Roman"/>
          <w:sz w:val="24"/>
          <w:szCs w:val="24"/>
        </w:rPr>
        <w:t>active duty was</w:t>
      </w:r>
      <w:r>
        <w:rPr>
          <w:rFonts w:ascii="Times New Roman" w:hAnsi="Times New Roman"/>
          <w:sz w:val="24"/>
          <w:szCs w:val="24"/>
        </w:rPr>
        <w:t xml:space="preserve"> </w:t>
      </w:r>
      <w:r w:rsidRPr="00425EED">
        <w:rPr>
          <w:rFonts w:ascii="Times New Roman" w:hAnsi="Times New Roman"/>
          <w:sz w:val="24"/>
          <w:szCs w:val="24"/>
        </w:rPr>
        <w:t>erroneous. She noted that</w:t>
      </w:r>
      <w:r>
        <w:rPr>
          <w:rFonts w:ascii="Times New Roman" w:hAnsi="Times New Roman"/>
          <w:sz w:val="24"/>
          <w:szCs w:val="24"/>
        </w:rPr>
        <w:t xml:space="preserve"> </w:t>
      </w:r>
      <w:r w:rsidRPr="00425EED">
        <w:rPr>
          <w:rFonts w:ascii="Times New Roman" w:hAnsi="Times New Roman"/>
          <w:sz w:val="24"/>
          <w:szCs w:val="24"/>
        </w:rPr>
        <w:t>the</w:t>
      </w:r>
      <w:r>
        <w:rPr>
          <w:rFonts w:ascii="Times New Roman" w:hAnsi="Times New Roman"/>
          <w:sz w:val="24"/>
          <w:szCs w:val="24"/>
        </w:rPr>
        <w:t xml:space="preserve"> </w:t>
      </w:r>
      <w:r w:rsidRPr="00425EED">
        <w:rPr>
          <w:rFonts w:ascii="Times New Roman" w:hAnsi="Times New Roman"/>
          <w:sz w:val="24"/>
          <w:szCs w:val="24"/>
        </w:rPr>
        <w:t>DHR was prepared</w:t>
      </w:r>
      <w:r>
        <w:rPr>
          <w:rFonts w:ascii="Times New Roman" w:hAnsi="Times New Roman"/>
          <w:sz w:val="24"/>
          <w:szCs w:val="24"/>
        </w:rPr>
        <w:t xml:space="preserve"> </w:t>
      </w:r>
      <w:r w:rsidRPr="00425EED">
        <w:rPr>
          <w:rFonts w:ascii="Times New Roman" w:hAnsi="Times New Roman"/>
          <w:sz w:val="24"/>
          <w:szCs w:val="24"/>
        </w:rPr>
        <w:t>to remotely</w:t>
      </w:r>
      <w:r>
        <w:rPr>
          <w:rFonts w:ascii="Times New Roman" w:hAnsi="Times New Roman"/>
          <w:sz w:val="24"/>
          <w:szCs w:val="24"/>
        </w:rPr>
        <w:t xml:space="preserve"> </w:t>
      </w:r>
      <w:r w:rsidRPr="00425EED">
        <w:rPr>
          <w:rFonts w:ascii="Times New Roman" w:hAnsi="Times New Roman"/>
          <w:sz w:val="24"/>
          <w:szCs w:val="24"/>
        </w:rPr>
        <w:t>administer the first part of the examination to Strong on</w:t>
      </w:r>
      <w:r>
        <w:rPr>
          <w:rFonts w:ascii="Times New Roman" w:hAnsi="Times New Roman"/>
          <w:sz w:val="24"/>
          <w:szCs w:val="24"/>
        </w:rPr>
        <w:t xml:space="preserve"> </w:t>
      </w:r>
      <w:r w:rsidRPr="00425EED">
        <w:rPr>
          <w:rFonts w:ascii="Times New Roman" w:hAnsi="Times New Roman"/>
          <w:sz w:val="24"/>
          <w:szCs w:val="24"/>
        </w:rPr>
        <w:t>December 10, 2016, while he was on approved</w:t>
      </w:r>
      <w:r>
        <w:rPr>
          <w:rFonts w:ascii="Times New Roman" w:hAnsi="Times New Roman"/>
          <w:sz w:val="24"/>
          <w:szCs w:val="24"/>
        </w:rPr>
        <w:t xml:space="preserve"> </w:t>
      </w:r>
      <w:r w:rsidRPr="00425EED">
        <w:rPr>
          <w:rFonts w:ascii="Times New Roman" w:hAnsi="Times New Roman"/>
          <w:sz w:val="24"/>
          <w:szCs w:val="24"/>
        </w:rPr>
        <w:t>military leave from</w:t>
      </w:r>
      <w:r>
        <w:rPr>
          <w:rFonts w:ascii="Times New Roman" w:hAnsi="Times New Roman"/>
          <w:sz w:val="24"/>
          <w:szCs w:val="24"/>
        </w:rPr>
        <w:t xml:space="preserve"> </w:t>
      </w:r>
      <w:r w:rsidRPr="00425EED">
        <w:rPr>
          <w:rFonts w:ascii="Times New Roman" w:hAnsi="Times New Roman"/>
          <w:sz w:val="24"/>
          <w:szCs w:val="24"/>
        </w:rPr>
        <w:t>the CFD, at the site</w:t>
      </w:r>
      <w:r>
        <w:rPr>
          <w:rFonts w:ascii="Times New Roman" w:hAnsi="Times New Roman"/>
          <w:sz w:val="24"/>
          <w:szCs w:val="24"/>
        </w:rPr>
        <w:t xml:space="preserve"> </w:t>
      </w:r>
      <w:r w:rsidRPr="00425EED">
        <w:rPr>
          <w:rFonts w:ascii="Times New Roman" w:hAnsi="Times New Roman"/>
          <w:sz w:val="24"/>
          <w:szCs w:val="24"/>
        </w:rPr>
        <w:t>of</w:t>
      </w:r>
      <w:r>
        <w:rPr>
          <w:rFonts w:ascii="Times New Roman" w:hAnsi="Times New Roman"/>
          <w:sz w:val="24"/>
          <w:szCs w:val="24"/>
        </w:rPr>
        <w:t xml:space="preserve"> </w:t>
      </w:r>
      <w:r w:rsidRPr="00425EED">
        <w:rPr>
          <w:rFonts w:ascii="Times New Roman" w:hAnsi="Times New Roman"/>
          <w:sz w:val="24"/>
          <w:szCs w:val="24"/>
        </w:rPr>
        <w:t>his military</w:t>
      </w:r>
      <w:r>
        <w:rPr>
          <w:rFonts w:ascii="Times New Roman" w:hAnsi="Times New Roman"/>
          <w:sz w:val="24"/>
          <w:szCs w:val="24"/>
        </w:rPr>
        <w:t xml:space="preserve"> </w:t>
      </w:r>
      <w:r w:rsidRPr="00425EED">
        <w:rPr>
          <w:rFonts w:ascii="Times New Roman" w:hAnsi="Times New Roman"/>
          <w:sz w:val="24"/>
          <w:szCs w:val="24"/>
        </w:rPr>
        <w:t>duty</w:t>
      </w:r>
      <w:r>
        <w:rPr>
          <w:rFonts w:ascii="Times New Roman" w:hAnsi="Times New Roman"/>
          <w:sz w:val="24"/>
          <w:szCs w:val="24"/>
        </w:rPr>
        <w:t xml:space="preserve"> </w:t>
      </w:r>
      <w:r w:rsidRPr="00425EED">
        <w:rPr>
          <w:rFonts w:ascii="Times New Roman" w:hAnsi="Times New Roman"/>
          <w:sz w:val="24"/>
          <w:szCs w:val="24"/>
        </w:rPr>
        <w:t>station, and required that he accept or decline the remote test administration notice by November 4, 2016.</w:t>
      </w:r>
      <w:r>
        <w:rPr>
          <w:rFonts w:ascii="Times New Roman" w:hAnsi="Times New Roman"/>
          <w:sz w:val="24"/>
          <w:szCs w:val="24"/>
        </w:rPr>
        <w:t xml:space="preserve">” [Para. 32.]  </w:t>
      </w:r>
    </w:p>
    <w:p w14:paraId="4001D207" w14:textId="77777777" w:rsidR="00AC1E3A" w:rsidRPr="00425EED" w:rsidRDefault="00AC1E3A" w:rsidP="00AC1E3A">
      <w:pPr>
        <w:spacing w:before="100" w:beforeAutospacing="1" w:after="100" w:afterAutospacing="1" w:line="240" w:lineRule="auto"/>
        <w:ind w:left="720"/>
        <w:rPr>
          <w:rFonts w:ascii="Times New Roman" w:eastAsia="Times New Roman" w:hAnsi="Times New Roman"/>
          <w:b/>
          <w:bCs/>
          <w:sz w:val="24"/>
          <w:szCs w:val="24"/>
        </w:rPr>
      </w:pPr>
      <w:r>
        <w:rPr>
          <w:rFonts w:ascii="Times New Roman" w:hAnsi="Times New Roman"/>
          <w:sz w:val="24"/>
          <w:szCs w:val="24"/>
        </w:rPr>
        <w:t>Relief requested includes: “</w:t>
      </w:r>
      <w:r w:rsidRPr="00425EED">
        <w:rPr>
          <w:rFonts w:ascii="Times New Roman" w:hAnsi="Times New Roman"/>
          <w:sz w:val="24"/>
          <w:szCs w:val="24"/>
        </w:rPr>
        <w:t>should his score merit, providing Strong a certification for promotion date that corresponds to that of others who took the 2016 Fire Engineer promotional examination and achieved the same or similar score</w:t>
      </w:r>
      <w:r>
        <w:rPr>
          <w:rFonts w:ascii="Times New Roman" w:hAnsi="Times New Roman"/>
          <w:sz w:val="24"/>
          <w:szCs w:val="24"/>
        </w:rPr>
        <w:t>….” [Para. 62 (40.]</w:t>
      </w:r>
    </w:p>
    <w:p w14:paraId="7A8A889C" w14:textId="77777777" w:rsidR="00AC1E3A" w:rsidRDefault="00AC1E3A" w:rsidP="00F326E5">
      <w:pPr>
        <w:rPr>
          <w:rFonts w:ascii="Arial Black" w:hAnsi="Arial Black"/>
          <w:b/>
          <w:sz w:val="24"/>
          <w:szCs w:val="24"/>
        </w:rPr>
      </w:pPr>
    </w:p>
    <w:p w14:paraId="4E06CE52" w14:textId="77777777" w:rsidR="00863F9E" w:rsidRDefault="00863F9E" w:rsidP="00F326E5">
      <w:pPr>
        <w:rPr>
          <w:rFonts w:ascii="Arial Black" w:hAnsi="Arial Black"/>
          <w:b/>
          <w:sz w:val="24"/>
          <w:szCs w:val="24"/>
        </w:rPr>
      </w:pPr>
    </w:p>
    <w:p w14:paraId="486BB607" w14:textId="5B83DAE4" w:rsidR="00102FD0" w:rsidRDefault="00102FD0" w:rsidP="00F326E5">
      <w:pPr>
        <w:rPr>
          <w:rFonts w:ascii="Arial Black" w:hAnsi="Arial Black"/>
          <w:b/>
          <w:sz w:val="24"/>
          <w:szCs w:val="24"/>
        </w:rPr>
      </w:pPr>
      <w:r>
        <w:rPr>
          <w:rFonts w:ascii="Arial Black" w:hAnsi="Arial Black"/>
          <w:b/>
          <w:sz w:val="24"/>
          <w:szCs w:val="24"/>
        </w:rPr>
        <w:t>11-2</w:t>
      </w:r>
      <w:r w:rsidR="00B13773">
        <w:rPr>
          <w:rFonts w:ascii="Arial Black" w:hAnsi="Arial Black"/>
          <w:b/>
          <w:sz w:val="24"/>
          <w:szCs w:val="24"/>
        </w:rPr>
        <w:t>3</w:t>
      </w:r>
    </w:p>
    <w:p w14:paraId="61003C9D" w14:textId="77777777" w:rsidR="00102FD0" w:rsidRDefault="00102FD0" w:rsidP="00102FD0">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FL: “ON CALL” TIME - DEPUTY SHERIFF, 1-HR TO RESPOND – PERSONAL TIME NOT SEVERELY RESTRICTED – NO PAY</w:t>
      </w:r>
    </w:p>
    <w:p w14:paraId="61223A6F" w14:textId="77777777" w:rsidR="00102FD0" w:rsidRDefault="00102FD0" w:rsidP="00102FD0">
      <w:pPr>
        <w:tabs>
          <w:tab w:val="left" w:pos="2220"/>
        </w:tabs>
        <w:spacing w:before="100" w:beforeAutospacing="1" w:after="100" w:afterAutospacing="1" w:line="240" w:lineRule="auto"/>
        <w:rPr>
          <w:rFonts w:ascii="Times New Roman" w:eastAsia="Times New Roman" w:hAnsi="Times New Roman"/>
          <w:sz w:val="24"/>
          <w:szCs w:val="24"/>
        </w:rPr>
      </w:pPr>
      <w:r w:rsidRPr="00B05EAF">
        <w:rPr>
          <w:rFonts w:ascii="Times New Roman" w:eastAsia="Times New Roman" w:hAnsi="Times New Roman"/>
          <w:sz w:val="24"/>
          <w:szCs w:val="24"/>
        </w:rPr>
        <w:t xml:space="preserve">On Oct. 3, 2020, </w:t>
      </w:r>
      <w:r>
        <w:rPr>
          <w:rFonts w:ascii="Times New Roman" w:eastAsia="Times New Roman" w:hAnsi="Times New Roman"/>
          <w:sz w:val="24"/>
          <w:szCs w:val="24"/>
        </w:rPr>
        <w:t xml:space="preserve">in </w:t>
      </w:r>
      <w:r w:rsidRPr="00B05EAF">
        <w:rPr>
          <w:rFonts w:ascii="Times New Roman" w:eastAsia="Times New Roman" w:hAnsi="Times New Roman"/>
          <w:sz w:val="24"/>
          <w:szCs w:val="24"/>
          <w:u w:val="single"/>
        </w:rPr>
        <w:t>Joseph Caiazza</w:t>
      </w:r>
      <w:r>
        <w:rPr>
          <w:rFonts w:ascii="Times New Roman" w:eastAsia="Times New Roman" w:hAnsi="Times New Roman"/>
          <w:sz w:val="24"/>
          <w:szCs w:val="24"/>
          <w:u w:val="single"/>
        </w:rPr>
        <w:t>, on his own behalf and those similarly situated</w:t>
      </w:r>
      <w:r w:rsidRPr="00B05EAF">
        <w:rPr>
          <w:rFonts w:ascii="Times New Roman" w:eastAsia="Times New Roman" w:hAnsi="Times New Roman"/>
          <w:sz w:val="24"/>
          <w:szCs w:val="24"/>
          <w:u w:val="single"/>
        </w:rPr>
        <w:t xml:space="preserve"> v. Carmine Marceno</w:t>
      </w:r>
      <w:r>
        <w:rPr>
          <w:rFonts w:ascii="Times New Roman" w:eastAsia="Times New Roman" w:hAnsi="Times New Roman"/>
          <w:sz w:val="24"/>
          <w:szCs w:val="24"/>
        </w:rPr>
        <w:t xml:space="preserve">, U.S. District Court Judge Sheri P. Chappell, Middle District of Florida (Fort Myers Division), granted the County’s motion for summary judgment concerning on call time;  during on call times, Deputy Sheriff had to respond within one hour, and no alcohol; but case may proceed on plaintiff’s allegation that County failed to pay him when held over after working shifts. </w:t>
      </w:r>
    </w:p>
    <w:p w14:paraId="407BD0D3" w14:textId="4943E67C" w:rsidR="00102FD0" w:rsidRPr="00944B05" w:rsidRDefault="00102FD0" w:rsidP="00102FD0">
      <w:pPr>
        <w:tabs>
          <w:tab w:val="left" w:pos="2220"/>
        </w:tabs>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 xml:space="preserve"> “</w:t>
      </w:r>
      <w:r w:rsidRPr="00944B05">
        <w:rPr>
          <w:rFonts w:ascii="Times New Roman" w:hAnsi="Times New Roman"/>
          <w:sz w:val="24"/>
          <w:szCs w:val="24"/>
        </w:rPr>
        <w:t xml:space="preserve">Caiazza contends all the time he spent on call is compensable. </w:t>
      </w:r>
      <w:proofErr w:type="spellStart"/>
      <w:r w:rsidRPr="00944B05">
        <w:rPr>
          <w:rFonts w:ascii="Times New Roman" w:hAnsi="Times New Roman"/>
          <w:sz w:val="24"/>
          <w:szCs w:val="24"/>
        </w:rPr>
        <w:t>Marceno</w:t>
      </w:r>
      <w:proofErr w:type="spellEnd"/>
      <w:r w:rsidRPr="00944B05">
        <w:rPr>
          <w:rFonts w:ascii="Times New Roman" w:hAnsi="Times New Roman"/>
          <w:sz w:val="24"/>
          <w:szCs w:val="24"/>
        </w:rPr>
        <w:t xml:space="preserve"> counters </w:t>
      </w:r>
      <w:r>
        <w:rPr>
          <w:rFonts w:ascii="Times New Roman" w:hAnsi="Times New Roman"/>
          <w:sz w:val="24"/>
          <w:szCs w:val="24"/>
        </w:rPr>
        <w:t xml:space="preserve">  </w:t>
      </w:r>
      <w:r w:rsidRPr="00944B05">
        <w:rPr>
          <w:rFonts w:ascii="Times New Roman" w:hAnsi="Times New Roman"/>
          <w:sz w:val="24"/>
          <w:szCs w:val="24"/>
        </w:rPr>
        <w:t xml:space="preserve">that such time was not spent working under the FLSA, so no pay was necessary. The Court agrees with </w:t>
      </w:r>
      <w:proofErr w:type="spellStart"/>
      <w:r w:rsidRPr="00944B05">
        <w:rPr>
          <w:rFonts w:ascii="Times New Roman" w:hAnsi="Times New Roman"/>
          <w:sz w:val="24"/>
          <w:szCs w:val="24"/>
        </w:rPr>
        <w:t>Marceno</w:t>
      </w:r>
      <w:proofErr w:type="spellEnd"/>
      <w:r w:rsidRPr="00944B05">
        <w:rPr>
          <w:rFonts w:ascii="Times New Roman" w:hAnsi="Times New Roman"/>
          <w:sz w:val="24"/>
          <w:szCs w:val="24"/>
        </w:rPr>
        <w:t xml:space="preserve"> and holds the time Caiazza spent on call (but not called out) was not compensable, so Caiazza is not entitled to overtime pay based on those hours.</w:t>
      </w:r>
      <w:r>
        <w:rPr>
          <w:rFonts w:ascii="Times New Roman" w:hAnsi="Times New Roman"/>
          <w:sz w:val="24"/>
          <w:szCs w:val="24"/>
        </w:rPr>
        <w:t xml:space="preserve">”  </w:t>
      </w:r>
      <w:hyperlink r:id="rId1856" w:history="1">
        <w:r w:rsidRPr="00A8739B">
          <w:rPr>
            <w:rStyle w:val="Hyperlink"/>
            <w:rFonts w:ascii="Times New Roman" w:hAnsi="Times New Roman"/>
            <w:sz w:val="24"/>
            <w:szCs w:val="24"/>
          </w:rPr>
          <w:t>https://public.fastcase.com/Wl%2B2t%2BeVuI35%2FN70vAMFZjQ0yk8eNGgy%2FibI6B2NDAJYgZ2PRe3I9j%2FKWgfFbNa7</w:t>
        </w:r>
      </w:hyperlink>
      <w:r w:rsidRPr="00944B05">
        <w:rPr>
          <w:rFonts w:ascii="Times New Roman" w:hAnsi="Times New Roman"/>
          <w:sz w:val="24"/>
          <w:szCs w:val="24"/>
        </w:rPr>
        <w:t xml:space="preserve"> </w:t>
      </w:r>
    </w:p>
    <w:p w14:paraId="733B539C" w14:textId="77777777" w:rsidR="00102FD0" w:rsidRPr="005C6354" w:rsidRDefault="00102FD0" w:rsidP="00102FD0">
      <w:pPr>
        <w:spacing w:before="100" w:beforeAutospacing="1" w:after="100" w:afterAutospacing="1" w:line="240" w:lineRule="auto"/>
        <w:rPr>
          <w:rFonts w:ascii="Times New Roman" w:eastAsia="Times New Roman" w:hAnsi="Times New Roman"/>
          <w:b/>
          <w:bCs/>
          <w:sz w:val="24"/>
          <w:szCs w:val="24"/>
        </w:rPr>
      </w:pPr>
      <w:r w:rsidRPr="005C6354">
        <w:rPr>
          <w:rFonts w:ascii="Times New Roman" w:eastAsia="Times New Roman" w:hAnsi="Times New Roman"/>
          <w:b/>
          <w:bCs/>
          <w:sz w:val="24"/>
          <w:szCs w:val="24"/>
        </w:rPr>
        <w:t>Legal Lesson</w:t>
      </w:r>
      <w:r>
        <w:rPr>
          <w:rFonts w:ascii="Times New Roman" w:eastAsia="Times New Roman" w:hAnsi="Times New Roman"/>
          <w:b/>
          <w:bCs/>
          <w:sz w:val="24"/>
          <w:szCs w:val="24"/>
        </w:rPr>
        <w:t xml:space="preserve"> </w:t>
      </w:r>
      <w:r w:rsidRPr="005C6354">
        <w:rPr>
          <w:rFonts w:ascii="Times New Roman" w:eastAsia="Times New Roman" w:hAnsi="Times New Roman"/>
          <w:b/>
          <w:bCs/>
          <w:sz w:val="24"/>
          <w:szCs w:val="24"/>
        </w:rPr>
        <w:t xml:space="preserve">Learned: Unless the </w:t>
      </w:r>
      <w:proofErr w:type="gramStart"/>
      <w:r w:rsidRPr="005C6354">
        <w:rPr>
          <w:rFonts w:ascii="Times New Roman" w:eastAsia="Times New Roman" w:hAnsi="Times New Roman"/>
          <w:b/>
          <w:bCs/>
          <w:sz w:val="24"/>
          <w:szCs w:val="24"/>
        </w:rPr>
        <w:t>on call</w:t>
      </w:r>
      <w:proofErr w:type="gramEnd"/>
      <w:r w:rsidRPr="005C6354">
        <w:rPr>
          <w:rFonts w:ascii="Times New Roman" w:eastAsia="Times New Roman" w:hAnsi="Times New Roman"/>
          <w:b/>
          <w:bCs/>
          <w:sz w:val="24"/>
          <w:szCs w:val="24"/>
        </w:rPr>
        <w:t xml:space="preserve"> </w:t>
      </w:r>
      <w:r w:rsidRPr="00944B05">
        <w:rPr>
          <w:rFonts w:ascii="Times New Roman" w:eastAsia="Times New Roman" w:hAnsi="Times New Roman"/>
          <w:b/>
          <w:bCs/>
          <w:sz w:val="24"/>
          <w:szCs w:val="24"/>
        </w:rPr>
        <w:t xml:space="preserve">employee </w:t>
      </w:r>
      <w:r>
        <w:rPr>
          <w:rFonts w:ascii="Times New Roman" w:eastAsia="Times New Roman" w:hAnsi="Times New Roman"/>
          <w:b/>
          <w:bCs/>
          <w:sz w:val="24"/>
          <w:szCs w:val="24"/>
        </w:rPr>
        <w:t xml:space="preserve">is severely restricted in his </w:t>
      </w:r>
      <w:r w:rsidRPr="00944B05">
        <w:rPr>
          <w:rFonts w:ascii="Times New Roman" w:eastAsia="Times New Roman" w:hAnsi="Times New Roman"/>
          <w:b/>
          <w:bCs/>
          <w:sz w:val="24"/>
          <w:szCs w:val="24"/>
        </w:rPr>
        <w:t>personal pursuits</w:t>
      </w:r>
      <w:r w:rsidRPr="005C6354">
        <w:rPr>
          <w:rFonts w:ascii="Times New Roman" w:eastAsia="Times New Roman" w:hAnsi="Times New Roman"/>
          <w:b/>
          <w:bCs/>
          <w:sz w:val="24"/>
          <w:szCs w:val="24"/>
        </w:rPr>
        <w:t>, the employee is “off the clock.”</w:t>
      </w:r>
    </w:p>
    <w:p w14:paraId="65BB6435" w14:textId="77777777" w:rsidR="00102FD0" w:rsidRDefault="00102FD0" w:rsidP="00F326E5">
      <w:pPr>
        <w:rPr>
          <w:rFonts w:ascii="Arial Black" w:hAnsi="Arial Black"/>
          <w:b/>
          <w:sz w:val="24"/>
          <w:szCs w:val="24"/>
        </w:rPr>
      </w:pPr>
    </w:p>
    <w:p w14:paraId="29C64616" w14:textId="57C42E14" w:rsidR="00102FD0" w:rsidRDefault="00102FD0" w:rsidP="00F326E5">
      <w:pPr>
        <w:rPr>
          <w:rFonts w:ascii="Arial Black" w:hAnsi="Arial Black"/>
          <w:b/>
          <w:sz w:val="24"/>
          <w:szCs w:val="24"/>
        </w:rPr>
      </w:pPr>
      <w:r>
        <w:rPr>
          <w:rFonts w:ascii="Arial Black" w:hAnsi="Arial Black"/>
          <w:b/>
          <w:sz w:val="24"/>
          <w:szCs w:val="24"/>
        </w:rPr>
        <w:t>11-</w:t>
      </w:r>
      <w:r w:rsidR="00B13773">
        <w:rPr>
          <w:rFonts w:ascii="Arial Black" w:hAnsi="Arial Black"/>
          <w:b/>
          <w:sz w:val="24"/>
          <w:szCs w:val="24"/>
        </w:rPr>
        <w:t>22</w:t>
      </w:r>
    </w:p>
    <w:p w14:paraId="5BEF003E" w14:textId="77777777" w:rsidR="00102FD0" w:rsidRPr="00DC2F46" w:rsidRDefault="00102FD0" w:rsidP="00102FD0">
      <w:pPr>
        <w:pStyle w:val="NoSpacing"/>
        <w:rPr>
          <w:rFonts w:ascii="Arial Black" w:hAnsi="Arial Black"/>
          <w:sz w:val="28"/>
          <w:szCs w:val="28"/>
        </w:rPr>
      </w:pPr>
      <w:r>
        <w:rPr>
          <w:rFonts w:ascii="Arial Black" w:hAnsi="Arial Black"/>
          <w:sz w:val="28"/>
          <w:szCs w:val="28"/>
        </w:rPr>
        <w:t>IN: FLSA SETTLEMENT APPROVED BY FED. JUDGE - $26K AND TOWN DROPPED DEMAND THAT FF PAY BACK $89,878 IN OVERPAY</w:t>
      </w:r>
    </w:p>
    <w:p w14:paraId="7AE93764" w14:textId="77777777" w:rsidR="00102FD0" w:rsidRDefault="00102FD0" w:rsidP="00102FD0">
      <w:pPr>
        <w:spacing w:before="100" w:beforeAutospacing="1" w:after="100" w:afterAutospacing="1" w:line="240" w:lineRule="auto"/>
        <w:rPr>
          <w:rFonts w:ascii="Times New Roman" w:eastAsia="Times New Roman" w:hAnsi="Times New Roman"/>
          <w:sz w:val="24"/>
          <w:szCs w:val="24"/>
        </w:rPr>
      </w:pPr>
      <w:r w:rsidRPr="00DC2F46">
        <w:rPr>
          <w:rFonts w:ascii="Times New Roman" w:eastAsia="Times New Roman" w:hAnsi="Times New Roman"/>
          <w:sz w:val="24"/>
          <w:szCs w:val="24"/>
        </w:rPr>
        <w:lastRenderedPageBreak/>
        <w:t xml:space="preserve">On </w:t>
      </w:r>
      <w:r>
        <w:rPr>
          <w:rFonts w:ascii="Times New Roman" w:eastAsia="Times New Roman" w:hAnsi="Times New Roman"/>
          <w:sz w:val="24"/>
          <w:szCs w:val="24"/>
        </w:rPr>
        <w:t xml:space="preserve">Oct. 2, 2020, in </w:t>
      </w:r>
      <w:r w:rsidRPr="00DC2F46">
        <w:rPr>
          <w:rFonts w:ascii="Times New Roman" w:eastAsia="Times New Roman" w:hAnsi="Times New Roman"/>
          <w:sz w:val="24"/>
          <w:szCs w:val="24"/>
          <w:u w:val="single"/>
        </w:rPr>
        <w:t>Eric Camel, et al. v.  Town of Chesterton</w:t>
      </w:r>
      <w:r>
        <w:rPr>
          <w:rFonts w:ascii="Times New Roman" w:eastAsia="Times New Roman" w:hAnsi="Times New Roman"/>
          <w:sz w:val="24"/>
          <w:szCs w:val="24"/>
        </w:rPr>
        <w:t xml:space="preserve">, U.S. District Court Judge Theresa L. Springmann, Northern District of Indiana, approved the settlement for overtime pay of from 2011 to 2019 of $26,371, and waiver of City’s demand for repayment by 10 firefighters of $89,878 in overpayments received. </w:t>
      </w:r>
    </w:p>
    <w:p w14:paraId="5FFEF49B" w14:textId="77777777" w:rsidR="00102FD0" w:rsidRPr="00DC2F46" w:rsidRDefault="00102FD0" w:rsidP="00102FD0">
      <w:pPr>
        <w:spacing w:before="100" w:beforeAutospacing="1" w:after="100" w:afterAutospacing="1" w:line="240" w:lineRule="auto"/>
        <w:ind w:left="720"/>
        <w:rPr>
          <w:rFonts w:ascii="Times New Roman" w:eastAsia="Times New Roman" w:hAnsi="Times New Roman"/>
          <w:sz w:val="24"/>
          <w:szCs w:val="24"/>
        </w:rPr>
      </w:pPr>
      <w:r>
        <w:t>“</w:t>
      </w:r>
      <w:r w:rsidRPr="00DC2F46">
        <w:rPr>
          <w:rFonts w:ascii="Times New Roman" w:eastAsia="Times New Roman" w:hAnsi="Times New Roman"/>
          <w:sz w:val="24"/>
          <w:szCs w:val="24"/>
        </w:rPr>
        <w:t>Counsel for the parties represent that they reached an arms-length agreement</w:t>
      </w:r>
      <w:r>
        <w:rPr>
          <w:rFonts w:ascii="Times New Roman" w:eastAsia="Times New Roman" w:hAnsi="Times New Roman"/>
          <w:sz w:val="24"/>
          <w:szCs w:val="24"/>
        </w:rPr>
        <w:t xml:space="preserve"> </w:t>
      </w:r>
      <w:r w:rsidRPr="00DC2F46">
        <w:rPr>
          <w:rFonts w:ascii="Times New Roman" w:eastAsia="Times New Roman" w:hAnsi="Times New Roman"/>
          <w:sz w:val="24"/>
          <w:szCs w:val="24"/>
        </w:rPr>
        <w:t>to settle the case on August 10, 2020, after two months of extensive negotiations over the language of the Settlement Agreement. The parties agree that Plaintiffs' attorney's fees are reasonable in relation to the requirements of the case. They finalized the terms of the Settlement Agreement on August 25, 2020.</w:t>
      </w:r>
    </w:p>
    <w:p w14:paraId="52FAD31F" w14:textId="77777777" w:rsidR="00102FD0" w:rsidRDefault="00102FD0" w:rsidP="00102FD0">
      <w:pPr>
        <w:spacing w:before="100" w:beforeAutospacing="1" w:after="100" w:afterAutospacing="1" w:line="240" w:lineRule="auto"/>
        <w:ind w:left="720"/>
        <w:rPr>
          <w:rFonts w:ascii="Times New Roman" w:eastAsia="Times New Roman" w:hAnsi="Times New Roman"/>
          <w:sz w:val="24"/>
          <w:szCs w:val="24"/>
        </w:rPr>
      </w:pPr>
      <w:r w:rsidRPr="00DC2F46">
        <w:rPr>
          <w:rFonts w:ascii="Times New Roman" w:eastAsia="Times New Roman" w:hAnsi="Times New Roman"/>
          <w:sz w:val="24"/>
          <w:szCs w:val="24"/>
        </w:rPr>
        <w:t xml:space="preserve">The Settlement Agreement provides for a total payment of $26,371.24, which includes (1) a payment of $647.40 to Plaintiff Amanda Shine for back pay and liquidated damages, inclusive of all attorney's fees and costs; (2) a payment of $723.84 to Plaintiff Michael A. Coslet for back pay and liquidated damages, inclusive of all attorney's fees and costs; and (3) a payment of $25,000.00 in attorney's fees. The Settlement </w:t>
      </w:r>
    </w:p>
    <w:p w14:paraId="7B822CEA" w14:textId="77777777" w:rsidR="00102FD0" w:rsidRDefault="00102FD0" w:rsidP="00102FD0">
      <w:pPr>
        <w:spacing w:before="100" w:beforeAutospacing="1" w:after="100" w:afterAutospacing="1" w:line="240" w:lineRule="auto"/>
        <w:ind w:left="720"/>
        <w:rPr>
          <w:rFonts w:ascii="Times New Roman" w:eastAsia="Times New Roman" w:hAnsi="Times New Roman"/>
          <w:sz w:val="24"/>
          <w:szCs w:val="24"/>
        </w:rPr>
      </w:pPr>
    </w:p>
    <w:p w14:paraId="4C021959" w14:textId="77777777" w:rsidR="00102FD0" w:rsidRPr="00DC2F46" w:rsidRDefault="00102FD0" w:rsidP="00102FD0">
      <w:pPr>
        <w:spacing w:before="100" w:beforeAutospacing="1" w:after="100" w:afterAutospacing="1" w:line="240" w:lineRule="auto"/>
        <w:ind w:left="720"/>
        <w:rPr>
          <w:rFonts w:ascii="Times New Roman" w:eastAsia="Times New Roman" w:hAnsi="Times New Roman"/>
          <w:sz w:val="24"/>
          <w:szCs w:val="24"/>
        </w:rPr>
      </w:pPr>
      <w:r w:rsidRPr="00DC2F46">
        <w:rPr>
          <w:rFonts w:ascii="Times New Roman" w:eastAsia="Times New Roman" w:hAnsi="Times New Roman"/>
          <w:sz w:val="24"/>
          <w:szCs w:val="24"/>
        </w:rPr>
        <w:t xml:space="preserve">Agreement further provides for significant non-economic awards such as the addition of four vacation days in lieu of reduction time (and the elimination of reduction time), enacted through amendments to the Personnel Handbook and to the agreement between the Town of Chesterton and Chesterton Firefighters Local 4600; waiver of the $89,878.26 overpayment the Town of Chesterton alleges is owed by ten of the Plaintiffs; and the removal of a reprimand in two of the Plaintiffs' personnel files. </w:t>
      </w:r>
      <w:proofErr w:type="gramStart"/>
      <w:r w:rsidRPr="00DC2F46">
        <w:rPr>
          <w:rFonts w:ascii="Times New Roman" w:eastAsia="Times New Roman" w:hAnsi="Times New Roman"/>
          <w:sz w:val="24"/>
          <w:szCs w:val="24"/>
        </w:rPr>
        <w:t>And,</w:t>
      </w:r>
      <w:proofErr w:type="gramEnd"/>
      <w:r w:rsidRPr="00DC2F46">
        <w:rPr>
          <w:rFonts w:ascii="Times New Roman" w:eastAsia="Times New Roman" w:hAnsi="Times New Roman"/>
          <w:sz w:val="24"/>
          <w:szCs w:val="24"/>
        </w:rPr>
        <w:t xml:space="preserve"> the Settlement Agreement provides that Plaintiffs and the Town of Chesterton agree to dismiss </w:t>
      </w:r>
      <w:proofErr w:type="gramStart"/>
      <w:r w:rsidRPr="00DC2F46">
        <w:rPr>
          <w:rFonts w:ascii="Times New Roman" w:eastAsia="Times New Roman" w:hAnsi="Times New Roman"/>
          <w:sz w:val="24"/>
          <w:szCs w:val="24"/>
        </w:rPr>
        <w:t>all of</w:t>
      </w:r>
      <w:proofErr w:type="gramEnd"/>
      <w:r w:rsidRPr="00DC2F46">
        <w:rPr>
          <w:rFonts w:ascii="Times New Roman" w:eastAsia="Times New Roman" w:hAnsi="Times New Roman"/>
          <w:sz w:val="24"/>
          <w:szCs w:val="24"/>
        </w:rPr>
        <w:t xml:space="preserve"> their claims with prejudice within three business days of receipt of the settlement funds. The parties have submitted a spreadsheet showing the breakdown by named Plaintiff of the alleged overtime wages owed, the pre-suit payments made, the amounts to be paid pursuant to the Settlement Agreement, and the overpayments that will be waived pursuant to the Settlement Agreement. </w:t>
      </w:r>
      <w:r w:rsidRPr="00DC2F46">
        <w:rPr>
          <w:rFonts w:ascii="Times New Roman" w:eastAsia="Times New Roman" w:hAnsi="Times New Roman"/>
          <w:i/>
          <w:iCs/>
          <w:sz w:val="24"/>
          <w:szCs w:val="24"/>
        </w:rPr>
        <w:t>See</w:t>
      </w:r>
      <w:r w:rsidRPr="00DC2F46">
        <w:rPr>
          <w:rFonts w:ascii="Times New Roman" w:eastAsia="Times New Roman" w:hAnsi="Times New Roman"/>
          <w:sz w:val="24"/>
          <w:szCs w:val="24"/>
        </w:rPr>
        <w:t xml:space="preserve"> ECF No. 60-1.</w:t>
      </w:r>
      <w:r>
        <w:rPr>
          <w:rFonts w:ascii="Times New Roman" w:eastAsia="Times New Roman" w:hAnsi="Times New Roman"/>
          <w:sz w:val="24"/>
          <w:szCs w:val="24"/>
        </w:rPr>
        <w:t xml:space="preserve">” </w:t>
      </w:r>
      <w:hyperlink r:id="rId1857" w:history="1">
        <w:r w:rsidRPr="00987F62">
          <w:rPr>
            <w:rStyle w:val="Hyperlink"/>
            <w:rFonts w:ascii="Times New Roman" w:eastAsia="Times New Roman" w:hAnsi="Times New Roman"/>
            <w:sz w:val="24"/>
            <w:szCs w:val="24"/>
          </w:rPr>
          <w:t>https://law.justia.com/cases/federal/district-courts/indiana/inndce/2:2019cv00065/97508/61/</w:t>
        </w:r>
      </w:hyperlink>
      <w:r>
        <w:rPr>
          <w:rFonts w:ascii="Times New Roman" w:eastAsia="Times New Roman" w:hAnsi="Times New Roman"/>
          <w:sz w:val="24"/>
          <w:szCs w:val="24"/>
        </w:rPr>
        <w:t xml:space="preserve"> </w:t>
      </w:r>
    </w:p>
    <w:p w14:paraId="53580E72" w14:textId="77777777" w:rsidR="00102FD0" w:rsidRDefault="00102FD0" w:rsidP="00102FD0">
      <w:pPr>
        <w:tabs>
          <w:tab w:val="left" w:pos="3000"/>
        </w:tabs>
        <w:spacing w:before="100" w:beforeAutospacing="1" w:after="100" w:afterAutospacing="1" w:line="240" w:lineRule="auto"/>
        <w:rPr>
          <w:rFonts w:ascii="Times New Roman" w:eastAsia="Times New Roman" w:hAnsi="Times New Roman"/>
          <w:b/>
          <w:bCs/>
          <w:sz w:val="24"/>
          <w:szCs w:val="24"/>
        </w:rPr>
      </w:pPr>
      <w:r w:rsidRPr="00C01300">
        <w:rPr>
          <w:rFonts w:ascii="Times New Roman" w:eastAsia="Times New Roman" w:hAnsi="Times New Roman"/>
          <w:b/>
          <w:bCs/>
          <w:sz w:val="24"/>
          <w:szCs w:val="24"/>
        </w:rPr>
        <w:t>Legal Lesson Learned:</w:t>
      </w:r>
      <w:r>
        <w:rPr>
          <w:rFonts w:ascii="Times New Roman" w:eastAsia="Times New Roman" w:hAnsi="Times New Roman"/>
          <w:b/>
          <w:bCs/>
          <w:sz w:val="24"/>
          <w:szCs w:val="24"/>
        </w:rPr>
        <w:t xml:space="preserve"> FLSA settlements must be approved by Federal court or by the U.S. Department of Labor to ensure fairness of the settlements. </w:t>
      </w:r>
    </w:p>
    <w:p w14:paraId="742F1A88" w14:textId="77777777" w:rsidR="00102FD0" w:rsidRPr="00C01300" w:rsidRDefault="00102FD0" w:rsidP="00102FD0">
      <w:pPr>
        <w:pStyle w:val="NormalWeb"/>
        <w:ind w:firstLine="720"/>
      </w:pPr>
      <w:r w:rsidRPr="00C01300">
        <w:t>Note:</w:t>
      </w:r>
      <w:r>
        <w:rPr>
          <w:b/>
          <w:bCs/>
        </w:rPr>
        <w:t xml:space="preserve"> </w:t>
      </w:r>
      <w:r w:rsidRPr="00C01300">
        <w:t>The governing provision of the FLSA provides:</w:t>
      </w:r>
    </w:p>
    <w:p w14:paraId="4E19BB8E" w14:textId="77777777" w:rsidR="00102FD0" w:rsidRPr="00C01300" w:rsidRDefault="00102FD0" w:rsidP="00102FD0">
      <w:pPr>
        <w:spacing w:after="100" w:line="240" w:lineRule="auto"/>
        <w:ind w:left="720"/>
        <w:rPr>
          <w:rFonts w:ascii="Times New Roman" w:eastAsia="Times New Roman" w:hAnsi="Times New Roman"/>
          <w:sz w:val="24"/>
          <w:szCs w:val="24"/>
        </w:rPr>
      </w:pPr>
      <w:r>
        <w:rPr>
          <w:rFonts w:ascii="Times New Roman" w:eastAsia="Times New Roman" w:hAnsi="Times New Roman"/>
          <w:sz w:val="24"/>
          <w:szCs w:val="24"/>
        </w:rPr>
        <w:t>“</w:t>
      </w:r>
      <w:r w:rsidRPr="00C01300">
        <w:rPr>
          <w:rFonts w:ascii="Times New Roman" w:eastAsia="Times New Roman" w:hAnsi="Times New Roman"/>
          <w:sz w:val="24"/>
          <w:szCs w:val="24"/>
        </w:rPr>
        <w:t>The Secretary is authorized to supervise the payment of the unpaid minimum wages or the unpaid overtime compensation owing to any employee or employees under section 206 or section 207 of this title, and the agreement of any employee to accept such payment shall upon payment in full constitute a waiver by such employee of any right he may have under subsection (b) of this section to such unpaid minimum wages or unpaid overtime compensation and an additional equal amount as liquidated damages.</w:t>
      </w:r>
      <w:r>
        <w:rPr>
          <w:rFonts w:ascii="Times New Roman" w:eastAsia="Times New Roman" w:hAnsi="Times New Roman"/>
          <w:sz w:val="24"/>
          <w:szCs w:val="24"/>
        </w:rPr>
        <w:t xml:space="preserve">” </w:t>
      </w:r>
      <w:r w:rsidRPr="00C01300">
        <w:rPr>
          <w:rFonts w:ascii="Times New Roman" w:eastAsia="Times New Roman" w:hAnsi="Times New Roman"/>
          <w:sz w:val="24"/>
          <w:szCs w:val="24"/>
        </w:rPr>
        <w:t>29 U.S.C. § 216(c).</w:t>
      </w:r>
    </w:p>
    <w:p w14:paraId="2F1D3C70" w14:textId="77777777" w:rsidR="00102FD0" w:rsidRDefault="00102FD0" w:rsidP="00F326E5">
      <w:pPr>
        <w:rPr>
          <w:rFonts w:ascii="Arial Black" w:hAnsi="Arial Black"/>
          <w:b/>
          <w:sz w:val="24"/>
          <w:szCs w:val="24"/>
        </w:rPr>
      </w:pPr>
    </w:p>
    <w:p w14:paraId="0D26F710" w14:textId="77777777" w:rsidR="00D4542A" w:rsidRDefault="00D4542A" w:rsidP="00F326E5">
      <w:pPr>
        <w:rPr>
          <w:rFonts w:ascii="Arial Black" w:hAnsi="Arial Black"/>
          <w:b/>
          <w:sz w:val="24"/>
          <w:szCs w:val="24"/>
        </w:rPr>
      </w:pPr>
    </w:p>
    <w:p w14:paraId="0DF50FCB" w14:textId="45200451" w:rsidR="00D4542A" w:rsidRDefault="00B13773" w:rsidP="00F326E5">
      <w:pPr>
        <w:rPr>
          <w:rFonts w:ascii="Arial Black" w:hAnsi="Arial Black"/>
          <w:b/>
          <w:sz w:val="24"/>
          <w:szCs w:val="24"/>
        </w:rPr>
      </w:pPr>
      <w:r>
        <w:rPr>
          <w:rFonts w:ascii="Arial Black" w:hAnsi="Arial Black"/>
          <w:b/>
          <w:sz w:val="24"/>
          <w:szCs w:val="24"/>
        </w:rPr>
        <w:t>11-21</w:t>
      </w:r>
    </w:p>
    <w:p w14:paraId="0B156FDA" w14:textId="77777777" w:rsidR="00D4542A" w:rsidRDefault="00D4542A" w:rsidP="00D4542A">
      <w:pPr>
        <w:rPr>
          <w:rFonts w:ascii="Arial Black" w:hAnsi="Arial Black"/>
          <w:sz w:val="28"/>
          <w:szCs w:val="28"/>
        </w:rPr>
      </w:pPr>
      <w:r>
        <w:rPr>
          <w:rFonts w:ascii="Arial Black" w:hAnsi="Arial Black"/>
          <w:sz w:val="28"/>
          <w:szCs w:val="28"/>
        </w:rPr>
        <w:t xml:space="preserve">IL: FF IN U.S. ARMY RESERVE – NOT ENTITLED TO “DIFFERENTIAL PAY” UNDER </w:t>
      </w:r>
      <w:r w:rsidRPr="00742B82">
        <w:rPr>
          <w:rFonts w:ascii="Arial Black" w:hAnsi="Arial Black"/>
          <w:sz w:val="28"/>
          <w:szCs w:val="28"/>
        </w:rPr>
        <w:t>USERRA</w:t>
      </w:r>
      <w:r>
        <w:rPr>
          <w:rFonts w:ascii="Arial Black" w:hAnsi="Arial Black"/>
          <w:sz w:val="28"/>
          <w:szCs w:val="28"/>
        </w:rPr>
        <w:t xml:space="preserve"> – MAY HAVE CLAIM UNDER STATE STATUTE</w:t>
      </w:r>
    </w:p>
    <w:p w14:paraId="117C0135" w14:textId="77777777" w:rsidR="00D4542A" w:rsidRDefault="00D4542A" w:rsidP="00D4542A">
      <w:pPr>
        <w:rPr>
          <w:rFonts w:ascii="Times New Roman" w:hAnsi="Times New Roman"/>
          <w:sz w:val="24"/>
          <w:szCs w:val="24"/>
        </w:rPr>
      </w:pPr>
      <w:r>
        <w:rPr>
          <w:rFonts w:ascii="Times New Roman" w:hAnsi="Times New Roman"/>
          <w:sz w:val="24"/>
          <w:szCs w:val="24"/>
        </w:rPr>
        <w:lastRenderedPageBreak/>
        <w:t xml:space="preserve">On September 28, 2020, in </w:t>
      </w:r>
      <w:r w:rsidRPr="00FC1C33">
        <w:rPr>
          <w:rFonts w:ascii="Times New Roman" w:hAnsi="Times New Roman"/>
          <w:sz w:val="24"/>
          <w:szCs w:val="24"/>
          <w:u w:val="single"/>
        </w:rPr>
        <w:t>Gregory Heckenbach v. Bloomingdale Fire Protection District et al</w:t>
      </w:r>
      <w:r>
        <w:rPr>
          <w:rFonts w:ascii="Times New Roman" w:hAnsi="Times New Roman"/>
          <w:sz w:val="24"/>
          <w:szCs w:val="24"/>
        </w:rPr>
        <w:t>., U.S. District Court Judge Steven C. Seeger granted the City’s motion for judgment on the pleadings concerning alleged violation of the federal USERRA (Uniformed Services Employment and Reemployment Rights Act of 1964).  While the State of Illinois has enacted a statute requiring differential pay under the Illinois Military Leave of Absence Act (for example, plaintiff states Chicago Police Department makes up difference) the federal statute has no such provision. Court also dismissed his defamation claim concerning FD calls to his Army Reserve commanders, since Illinois has a statute protecting public employees from on duty defamation claims.  His lawsuit on other counts concerning hostile workplace may proceed; he may also now sue in State court on his differential pay claim.</w:t>
      </w:r>
    </w:p>
    <w:p w14:paraId="5D470686" w14:textId="77777777" w:rsidR="00D4542A" w:rsidRPr="00EC52DB" w:rsidRDefault="00D4542A" w:rsidP="00D4542A">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w:t>
      </w:r>
      <w:r w:rsidRPr="00EC52DB">
        <w:rPr>
          <w:rFonts w:ascii="Times New Roman" w:eastAsia="Times New Roman" w:hAnsi="Times New Roman"/>
          <w:sz w:val="24"/>
          <w:szCs w:val="24"/>
        </w:rPr>
        <w:t xml:space="preserve">Heckenbach relies on the fact that the Illinois Military Leave of Absence Act requires differential pay. </w:t>
      </w:r>
      <w:r w:rsidRPr="00EC52DB">
        <w:rPr>
          <w:rFonts w:ascii="Times New Roman" w:eastAsia="Times New Roman" w:hAnsi="Times New Roman"/>
          <w:i/>
          <w:iCs/>
          <w:sz w:val="24"/>
          <w:szCs w:val="24"/>
        </w:rPr>
        <w:t>Id</w:t>
      </w:r>
      <w:r w:rsidRPr="00EC52DB">
        <w:rPr>
          <w:rFonts w:ascii="Times New Roman" w:eastAsia="Times New Roman" w:hAnsi="Times New Roman"/>
          <w:sz w:val="24"/>
          <w:szCs w:val="24"/>
        </w:rPr>
        <w:t xml:space="preserve">. at 4-5. Again, that's the statute that governed during the period in question. The text of the statute required differential pay during training, </w:t>
      </w:r>
      <w:r w:rsidRPr="00EC52DB">
        <w:rPr>
          <w:rFonts w:ascii="Times New Roman" w:eastAsia="Times New Roman" w:hAnsi="Times New Roman"/>
          <w:i/>
          <w:iCs/>
          <w:sz w:val="24"/>
          <w:szCs w:val="24"/>
        </w:rPr>
        <w:t>see</w:t>
      </w:r>
      <w:r w:rsidRPr="00EC52DB">
        <w:rPr>
          <w:rFonts w:ascii="Times New Roman" w:eastAsia="Times New Roman" w:hAnsi="Times New Roman"/>
          <w:sz w:val="24"/>
          <w:szCs w:val="24"/>
        </w:rPr>
        <w:t xml:space="preserve"> 5 ILCS 325/1(a) (repealed 2019), and during active duty, </w:t>
      </w:r>
      <w:r w:rsidRPr="00EC52DB">
        <w:rPr>
          <w:rFonts w:ascii="Times New Roman" w:eastAsia="Times New Roman" w:hAnsi="Times New Roman"/>
          <w:i/>
          <w:iCs/>
          <w:sz w:val="24"/>
          <w:szCs w:val="24"/>
        </w:rPr>
        <w:t>see id</w:t>
      </w:r>
      <w:r w:rsidRPr="00EC52DB">
        <w:rPr>
          <w:rFonts w:ascii="Times New Roman" w:eastAsia="Times New Roman" w:hAnsi="Times New Roman"/>
          <w:sz w:val="24"/>
          <w:szCs w:val="24"/>
        </w:rPr>
        <w:t xml:space="preserve">. at § 1(b). Like that statute, the current Illinois statute requires differential pay, too. The text is </w:t>
      </w:r>
      <w:proofErr w:type="gramStart"/>
      <w:r w:rsidRPr="00EC52DB">
        <w:rPr>
          <w:rFonts w:ascii="Times New Roman" w:eastAsia="Times New Roman" w:hAnsi="Times New Roman"/>
          <w:sz w:val="24"/>
          <w:szCs w:val="24"/>
        </w:rPr>
        <w:t xml:space="preserve">straightforward: </w:t>
      </w:r>
      <w:r>
        <w:rPr>
          <w:rFonts w:ascii="Times New Roman" w:eastAsia="Times New Roman" w:hAnsi="Times New Roman"/>
          <w:sz w:val="24"/>
          <w:szCs w:val="24"/>
        </w:rPr>
        <w:t>‘</w:t>
      </w:r>
      <w:proofErr w:type="gramEnd"/>
      <w:r w:rsidRPr="00EC52DB">
        <w:rPr>
          <w:rFonts w:ascii="Times New Roman" w:eastAsia="Times New Roman" w:hAnsi="Times New Roman"/>
          <w:sz w:val="24"/>
          <w:szCs w:val="24"/>
        </w:rPr>
        <w:t>Differential compensation shall be paid to all forms of active service except active service without pay.</w:t>
      </w:r>
      <w:r>
        <w:rPr>
          <w:rFonts w:ascii="Times New Roman" w:eastAsia="Times New Roman" w:hAnsi="Times New Roman"/>
          <w:sz w:val="24"/>
          <w:szCs w:val="24"/>
        </w:rPr>
        <w:t>’</w:t>
      </w:r>
      <w:r w:rsidRPr="00EC52DB">
        <w:rPr>
          <w:rFonts w:ascii="Times New Roman" w:eastAsia="Times New Roman" w:hAnsi="Times New Roman"/>
          <w:sz w:val="24"/>
          <w:szCs w:val="24"/>
        </w:rPr>
        <w:t xml:space="preserve"> </w:t>
      </w:r>
      <w:r w:rsidRPr="00EC52DB">
        <w:rPr>
          <w:rFonts w:ascii="Times New Roman" w:eastAsia="Times New Roman" w:hAnsi="Times New Roman"/>
          <w:i/>
          <w:iCs/>
          <w:sz w:val="24"/>
          <w:szCs w:val="24"/>
        </w:rPr>
        <w:t>See</w:t>
      </w:r>
      <w:r w:rsidRPr="00EC52DB">
        <w:rPr>
          <w:rFonts w:ascii="Times New Roman" w:eastAsia="Times New Roman" w:hAnsi="Times New Roman"/>
          <w:sz w:val="24"/>
          <w:szCs w:val="24"/>
        </w:rPr>
        <w:t xml:space="preserve"> 330 ILCS 61/1-15(b).</w:t>
      </w:r>
    </w:p>
    <w:p w14:paraId="08D22C55" w14:textId="77777777" w:rsidR="00D4542A" w:rsidRDefault="00D4542A" w:rsidP="00D4542A">
      <w:pPr>
        <w:spacing w:before="100" w:beforeAutospacing="1" w:after="100" w:afterAutospacing="1" w:line="240" w:lineRule="auto"/>
        <w:ind w:left="720"/>
        <w:rPr>
          <w:rFonts w:ascii="Times New Roman" w:eastAsia="Times New Roman" w:hAnsi="Times New Roman"/>
          <w:sz w:val="24"/>
          <w:szCs w:val="24"/>
        </w:rPr>
      </w:pPr>
      <w:r w:rsidRPr="00EC52DB">
        <w:rPr>
          <w:rFonts w:ascii="Times New Roman" w:eastAsia="Times New Roman" w:hAnsi="Times New Roman"/>
          <w:sz w:val="24"/>
          <w:szCs w:val="24"/>
        </w:rPr>
        <w:t>That language sinks, rather than supports, Heckenbach's argument. No comparable language appears in the federal statute. The USERRA does not mention differential pay, let alone require public entities to pay it. The text of the state statute expressly requires differential pay, but the text of the federal statute does not. If anything, the foothold for differential pay in the state statute exposes the fact that there is no toehold for differential pay in the federal statute</w:t>
      </w:r>
      <w:r>
        <w:rPr>
          <w:rFonts w:ascii="Times New Roman" w:eastAsia="Times New Roman" w:hAnsi="Times New Roman"/>
          <w:sz w:val="24"/>
          <w:szCs w:val="24"/>
        </w:rPr>
        <w:t xml:space="preserve">.” </w:t>
      </w:r>
      <w:hyperlink r:id="rId1858" w:history="1">
        <w:r w:rsidRPr="00141589">
          <w:rPr>
            <w:rStyle w:val="Hyperlink"/>
            <w:rFonts w:ascii="Times New Roman" w:eastAsia="Times New Roman" w:hAnsi="Times New Roman"/>
            <w:sz w:val="24"/>
            <w:szCs w:val="24"/>
          </w:rPr>
          <w:t>https://public.fastcase.com/Wl%2B2t%2BeVuI35%2FN70vAMFZpdjKXDmRY5LJSAOUJ86zVs5waUL1YS3yBNtSKE8F5Gl</w:t>
        </w:r>
      </w:hyperlink>
      <w:r>
        <w:rPr>
          <w:rFonts w:ascii="Times New Roman" w:eastAsia="Times New Roman" w:hAnsi="Times New Roman"/>
          <w:sz w:val="24"/>
          <w:szCs w:val="24"/>
        </w:rPr>
        <w:t xml:space="preserve"> </w:t>
      </w:r>
    </w:p>
    <w:p w14:paraId="01FB70B4" w14:textId="77777777" w:rsidR="00D4542A" w:rsidRPr="004D5BFC" w:rsidRDefault="00D4542A" w:rsidP="00D4542A">
      <w:pPr>
        <w:spacing w:before="100" w:beforeAutospacing="1" w:after="100" w:afterAutospacing="1" w:line="240" w:lineRule="auto"/>
        <w:rPr>
          <w:rFonts w:ascii="Times New Roman" w:hAnsi="Times New Roman"/>
          <w:b/>
          <w:bCs/>
          <w:sz w:val="24"/>
          <w:szCs w:val="24"/>
        </w:rPr>
      </w:pPr>
      <w:r w:rsidRPr="00C63CA5">
        <w:rPr>
          <w:rFonts w:ascii="Times New Roman" w:hAnsi="Times New Roman"/>
          <w:b/>
          <w:bCs/>
          <w:sz w:val="24"/>
          <w:szCs w:val="24"/>
        </w:rPr>
        <w:t>Legal Lessons Learned</w:t>
      </w:r>
      <w:r w:rsidRPr="004D5BFC">
        <w:rPr>
          <w:rFonts w:ascii="Times New Roman" w:hAnsi="Times New Roman"/>
          <w:b/>
          <w:bCs/>
          <w:sz w:val="24"/>
          <w:szCs w:val="24"/>
        </w:rPr>
        <w:t xml:space="preserve">: USERRA provides for </w:t>
      </w:r>
      <w:proofErr w:type="gramStart"/>
      <w:r w:rsidRPr="004D5BFC">
        <w:rPr>
          <w:rFonts w:ascii="Times New Roman" w:hAnsi="Times New Roman"/>
          <w:b/>
          <w:bCs/>
          <w:i/>
          <w:iCs/>
          <w:sz w:val="24"/>
          <w:szCs w:val="24"/>
        </w:rPr>
        <w:t>unpaid</w:t>
      </w:r>
      <w:proofErr w:type="gramEnd"/>
      <w:r w:rsidRPr="004D5BFC">
        <w:rPr>
          <w:rFonts w:ascii="Times New Roman" w:hAnsi="Times New Roman"/>
          <w:b/>
          <w:bCs/>
          <w:sz w:val="24"/>
          <w:szCs w:val="24"/>
        </w:rPr>
        <w:t xml:space="preserve"> but job protected leave for service in the uniformed services. </w:t>
      </w:r>
      <w:r>
        <w:rPr>
          <w:rFonts w:ascii="Times New Roman" w:hAnsi="Times New Roman"/>
          <w:b/>
          <w:bCs/>
          <w:sz w:val="24"/>
          <w:szCs w:val="24"/>
        </w:rPr>
        <w:t xml:space="preserve"> If you are in the Reserves, keep your FD well informed when you </w:t>
      </w:r>
      <w:proofErr w:type="gramStart"/>
      <w:r>
        <w:rPr>
          <w:rFonts w:ascii="Times New Roman" w:hAnsi="Times New Roman"/>
          <w:b/>
          <w:bCs/>
          <w:sz w:val="24"/>
          <w:szCs w:val="24"/>
        </w:rPr>
        <w:t>will be</w:t>
      </w:r>
      <w:proofErr w:type="gramEnd"/>
      <w:r>
        <w:rPr>
          <w:rFonts w:ascii="Times New Roman" w:hAnsi="Times New Roman"/>
          <w:b/>
          <w:bCs/>
          <w:sz w:val="24"/>
          <w:szCs w:val="24"/>
        </w:rPr>
        <w:t xml:space="preserve"> on military duty. </w:t>
      </w:r>
    </w:p>
    <w:p w14:paraId="261F693B" w14:textId="77777777" w:rsidR="00D4542A" w:rsidRDefault="00D4542A" w:rsidP="00D4542A">
      <w:pPr>
        <w:pStyle w:val="Heading1"/>
        <w:ind w:left="720"/>
        <w:rPr>
          <w:b w:val="0"/>
          <w:bCs w:val="0"/>
          <w:sz w:val="24"/>
          <w:szCs w:val="24"/>
        </w:rPr>
      </w:pPr>
      <w:r w:rsidRPr="000A6F2D">
        <w:rPr>
          <w:b w:val="0"/>
          <w:bCs w:val="0"/>
          <w:sz w:val="24"/>
          <w:szCs w:val="24"/>
        </w:rPr>
        <w:t xml:space="preserve">See </w:t>
      </w:r>
      <w:r>
        <w:rPr>
          <w:b w:val="0"/>
          <w:bCs w:val="0"/>
          <w:sz w:val="24"/>
          <w:szCs w:val="24"/>
        </w:rPr>
        <w:t xml:space="preserve">Sept. 23, </w:t>
      </w:r>
      <w:proofErr w:type="gramStart"/>
      <w:r>
        <w:rPr>
          <w:b w:val="0"/>
          <w:bCs w:val="0"/>
          <w:sz w:val="24"/>
          <w:szCs w:val="24"/>
        </w:rPr>
        <w:t>2019</w:t>
      </w:r>
      <w:proofErr w:type="gramEnd"/>
      <w:r>
        <w:rPr>
          <w:b w:val="0"/>
          <w:bCs w:val="0"/>
          <w:sz w:val="24"/>
          <w:szCs w:val="24"/>
        </w:rPr>
        <w:t xml:space="preserve"> </w:t>
      </w:r>
      <w:r w:rsidRPr="000A6F2D">
        <w:rPr>
          <w:b w:val="0"/>
          <w:bCs w:val="0"/>
          <w:sz w:val="24"/>
          <w:szCs w:val="24"/>
        </w:rPr>
        <w:t xml:space="preserve">TV news story interviewing plaintiff: </w:t>
      </w:r>
      <w:r>
        <w:rPr>
          <w:b w:val="0"/>
          <w:bCs w:val="0"/>
          <w:sz w:val="24"/>
          <w:szCs w:val="24"/>
        </w:rPr>
        <w:t>“</w:t>
      </w:r>
      <w:r w:rsidRPr="000A6F2D">
        <w:rPr>
          <w:b w:val="0"/>
          <w:bCs w:val="0"/>
          <w:sz w:val="24"/>
          <w:szCs w:val="24"/>
        </w:rPr>
        <w:t>Army Reservist Sues Suburban Fire District for Alleged Retaliation</w:t>
      </w:r>
      <w:r>
        <w:rPr>
          <w:b w:val="0"/>
          <w:bCs w:val="0"/>
          <w:sz w:val="24"/>
          <w:szCs w:val="24"/>
        </w:rPr>
        <w:t xml:space="preserve">.” </w:t>
      </w:r>
      <w:r w:rsidRPr="000A6F2D">
        <w:rPr>
          <w:b w:val="0"/>
          <w:bCs w:val="0"/>
          <w:sz w:val="24"/>
          <w:szCs w:val="24"/>
        </w:rPr>
        <w:t xml:space="preserve"> </w:t>
      </w:r>
      <w:hyperlink r:id="rId1859" w:history="1">
        <w:r w:rsidRPr="000A6F2D">
          <w:rPr>
            <w:rStyle w:val="Hyperlink"/>
            <w:b w:val="0"/>
            <w:bCs w:val="0"/>
            <w:sz w:val="24"/>
            <w:szCs w:val="24"/>
          </w:rPr>
          <w:t>https://www.nbcchicago.com/news/local/reservist-sues-civilian-employer-nbc-investigates/153292/</w:t>
        </w:r>
      </w:hyperlink>
      <w:r w:rsidRPr="000A6F2D">
        <w:rPr>
          <w:b w:val="0"/>
          <w:bCs w:val="0"/>
          <w:sz w:val="24"/>
          <w:szCs w:val="24"/>
        </w:rPr>
        <w:t xml:space="preserve"> </w:t>
      </w:r>
    </w:p>
    <w:p w14:paraId="1E14CCFC" w14:textId="77777777" w:rsidR="00D4542A" w:rsidRPr="00C63CA5" w:rsidRDefault="00D4542A" w:rsidP="00D4542A">
      <w:pPr>
        <w:spacing w:before="100" w:beforeAutospacing="1" w:after="100" w:afterAutospacing="1" w:line="240" w:lineRule="auto"/>
        <w:ind w:left="720"/>
        <w:rPr>
          <w:rFonts w:ascii="Times New Roman" w:eastAsia="Times New Roman" w:hAnsi="Times New Roman"/>
          <w:b/>
          <w:bCs/>
          <w:sz w:val="24"/>
          <w:szCs w:val="24"/>
        </w:rPr>
      </w:pPr>
      <w:r w:rsidRPr="00711F3A">
        <w:rPr>
          <w:rFonts w:ascii="Times New Roman" w:hAnsi="Times New Roman"/>
          <w:sz w:val="24"/>
          <w:szCs w:val="24"/>
        </w:rPr>
        <w:t>See this July 2016 Law Review article</w:t>
      </w:r>
      <w:r>
        <w:rPr>
          <w:rFonts w:ascii="Times New Roman" w:hAnsi="Times New Roman"/>
          <w:sz w:val="24"/>
          <w:szCs w:val="24"/>
        </w:rPr>
        <w:t xml:space="preserve"> concerning lawsuit by Indianapolis firefighters who were in the Reserves</w:t>
      </w:r>
      <w:r w:rsidRPr="00711F3A">
        <w:rPr>
          <w:rFonts w:ascii="Times New Roman" w:hAnsi="Times New Roman"/>
          <w:sz w:val="24"/>
          <w:szCs w:val="24"/>
        </w:rPr>
        <w:t>:</w:t>
      </w:r>
      <w:r w:rsidRPr="00711F3A">
        <w:rPr>
          <w:rFonts w:ascii="Times New Roman" w:hAnsi="Times New Roman"/>
          <w:b/>
          <w:bCs/>
          <w:sz w:val="24"/>
          <w:szCs w:val="24"/>
        </w:rPr>
        <w:t xml:space="preserve"> </w:t>
      </w:r>
      <w:r>
        <w:rPr>
          <w:rFonts w:ascii="Times New Roman" w:hAnsi="Times New Roman"/>
          <w:b/>
          <w:bCs/>
          <w:sz w:val="24"/>
          <w:szCs w:val="24"/>
        </w:rPr>
        <w:t>“</w:t>
      </w:r>
      <w:r w:rsidRPr="00711F3A">
        <w:rPr>
          <w:rFonts w:ascii="Times New Roman" w:hAnsi="Times New Roman"/>
          <w:sz w:val="24"/>
          <w:szCs w:val="24"/>
        </w:rPr>
        <w:t>Right to Paid Military Leave Is a Matter of State Law, not USERRA</w:t>
      </w:r>
      <w:r>
        <w:rPr>
          <w:rFonts w:ascii="Times New Roman" w:hAnsi="Times New Roman"/>
          <w:sz w:val="24"/>
          <w:szCs w:val="24"/>
        </w:rPr>
        <w:t xml:space="preserve">.” </w:t>
      </w:r>
      <w:r w:rsidRPr="00711F3A">
        <w:rPr>
          <w:rFonts w:ascii="Times New Roman" w:hAnsi="Times New Roman"/>
          <w:sz w:val="24"/>
          <w:szCs w:val="24"/>
        </w:rPr>
        <w:t xml:space="preserve"> </w:t>
      </w:r>
      <w:hyperlink r:id="rId1860" w:history="1">
        <w:r w:rsidRPr="00711F3A">
          <w:rPr>
            <w:rStyle w:val="Hyperlink"/>
            <w:rFonts w:ascii="Times New Roman" w:hAnsi="Times New Roman"/>
            <w:sz w:val="24"/>
            <w:szCs w:val="24"/>
          </w:rPr>
          <w:t>https://cdn.ymaws.com/www.roa.org/resource/resmgr/LawReviews/2016/16065-LR.pdf</w:t>
        </w:r>
      </w:hyperlink>
      <w:r w:rsidRPr="00711F3A">
        <w:rPr>
          <w:rFonts w:ascii="Times New Roman" w:hAnsi="Times New Roman"/>
          <w:sz w:val="24"/>
          <w:szCs w:val="24"/>
        </w:rPr>
        <w:t xml:space="preserve"> </w:t>
      </w:r>
    </w:p>
    <w:p w14:paraId="1F08B425" w14:textId="77777777" w:rsidR="00D4542A" w:rsidRPr="00894498" w:rsidRDefault="00D4542A" w:rsidP="00D4542A">
      <w:pPr>
        <w:pStyle w:val="Heading1"/>
        <w:ind w:left="720"/>
        <w:rPr>
          <w:b w:val="0"/>
          <w:bCs w:val="0"/>
          <w:sz w:val="24"/>
          <w:szCs w:val="24"/>
        </w:rPr>
      </w:pPr>
      <w:r w:rsidRPr="00894498">
        <w:rPr>
          <w:b w:val="0"/>
          <w:bCs w:val="0"/>
          <w:sz w:val="24"/>
          <w:szCs w:val="24"/>
        </w:rPr>
        <w:t>Miller v. City of Indianapolis, 281 F.3d 648(7</w:t>
      </w:r>
      <w:r w:rsidRPr="00894498">
        <w:rPr>
          <w:b w:val="0"/>
          <w:bCs w:val="0"/>
          <w:sz w:val="24"/>
          <w:szCs w:val="24"/>
          <w:vertAlign w:val="superscript"/>
        </w:rPr>
        <w:t>th</w:t>
      </w:r>
      <w:r w:rsidRPr="00894498">
        <w:rPr>
          <w:b w:val="0"/>
          <w:bCs w:val="0"/>
          <w:sz w:val="24"/>
          <w:szCs w:val="24"/>
        </w:rPr>
        <w:t xml:space="preserve"> Cir. 2002): </w:t>
      </w:r>
      <w:hyperlink r:id="rId1861" w:history="1">
        <w:r w:rsidRPr="00894498">
          <w:rPr>
            <w:rStyle w:val="Hyperlink"/>
            <w:b w:val="0"/>
            <w:bCs w:val="0"/>
            <w:sz w:val="24"/>
            <w:szCs w:val="24"/>
          </w:rPr>
          <w:t>https://casetext.com/case/miller-v-city-of-indianapolis</w:t>
        </w:r>
      </w:hyperlink>
      <w:r w:rsidRPr="00894498">
        <w:rPr>
          <w:b w:val="0"/>
          <w:bCs w:val="0"/>
          <w:sz w:val="24"/>
          <w:szCs w:val="24"/>
        </w:rPr>
        <w:t xml:space="preserve"> </w:t>
      </w:r>
    </w:p>
    <w:p w14:paraId="70F55BF9" w14:textId="77777777" w:rsidR="00D4542A" w:rsidRDefault="00D4542A" w:rsidP="00F326E5">
      <w:pPr>
        <w:rPr>
          <w:rFonts w:ascii="Arial Black" w:hAnsi="Arial Black"/>
          <w:b/>
          <w:sz w:val="24"/>
          <w:szCs w:val="24"/>
        </w:rPr>
      </w:pPr>
    </w:p>
    <w:p w14:paraId="2DB64D01" w14:textId="77777777" w:rsidR="00D4542A" w:rsidRDefault="00D4542A" w:rsidP="00F326E5">
      <w:pPr>
        <w:rPr>
          <w:rFonts w:ascii="Arial Black" w:hAnsi="Arial Black"/>
          <w:b/>
          <w:sz w:val="24"/>
          <w:szCs w:val="24"/>
        </w:rPr>
      </w:pPr>
    </w:p>
    <w:p w14:paraId="46E95E2E" w14:textId="77777777" w:rsidR="00D4542A" w:rsidRDefault="00D4542A" w:rsidP="00F326E5">
      <w:pPr>
        <w:rPr>
          <w:rFonts w:ascii="Arial Black" w:hAnsi="Arial Black"/>
          <w:b/>
          <w:sz w:val="24"/>
          <w:szCs w:val="24"/>
        </w:rPr>
      </w:pPr>
    </w:p>
    <w:p w14:paraId="796AA3A8" w14:textId="77777777" w:rsidR="00D4542A" w:rsidRDefault="00D4542A" w:rsidP="00F326E5">
      <w:pPr>
        <w:rPr>
          <w:rFonts w:ascii="Arial Black" w:hAnsi="Arial Black"/>
          <w:b/>
          <w:sz w:val="24"/>
          <w:szCs w:val="24"/>
        </w:rPr>
      </w:pPr>
    </w:p>
    <w:p w14:paraId="0E2202D7" w14:textId="58181084" w:rsidR="00B532F6" w:rsidRDefault="00B532F6" w:rsidP="00F326E5">
      <w:pPr>
        <w:rPr>
          <w:rFonts w:ascii="Arial Black" w:hAnsi="Arial Black"/>
          <w:b/>
          <w:sz w:val="24"/>
          <w:szCs w:val="24"/>
        </w:rPr>
      </w:pPr>
      <w:r>
        <w:rPr>
          <w:rFonts w:ascii="Arial Black" w:hAnsi="Arial Black"/>
          <w:b/>
          <w:sz w:val="24"/>
          <w:szCs w:val="24"/>
        </w:rPr>
        <w:t>11-</w:t>
      </w:r>
      <w:r w:rsidR="00B13773">
        <w:rPr>
          <w:rFonts w:ascii="Arial Black" w:hAnsi="Arial Black"/>
          <w:b/>
          <w:sz w:val="24"/>
          <w:szCs w:val="24"/>
        </w:rPr>
        <w:t>20</w:t>
      </w:r>
    </w:p>
    <w:p w14:paraId="3F16C831" w14:textId="77777777" w:rsidR="00B532F6" w:rsidRPr="007444E2" w:rsidRDefault="00B532F6" w:rsidP="00B532F6">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lastRenderedPageBreak/>
        <w:t xml:space="preserve">TX: DALLAS / FORT WORTH AIRPORT FD – CROSS-TRAINED PERSONNEL IN EMS DIVISION ONLY DID EMS DUTIES - OVERTIME AFTER 40 HOURS </w:t>
      </w:r>
    </w:p>
    <w:p w14:paraId="680AE28E" w14:textId="77777777" w:rsidR="00B532F6" w:rsidRDefault="00B532F6" w:rsidP="00B532F6">
      <w:pPr>
        <w:tabs>
          <w:tab w:val="left" w:pos="2970"/>
        </w:tabs>
        <w:spacing w:before="100" w:beforeAutospacing="1" w:after="100" w:afterAutospacing="1" w:line="240" w:lineRule="auto"/>
        <w:rPr>
          <w:rFonts w:ascii="Times New Roman" w:eastAsia="Times New Roman" w:hAnsi="Times New Roman"/>
          <w:sz w:val="24"/>
          <w:szCs w:val="24"/>
        </w:rPr>
      </w:pPr>
      <w:r w:rsidRPr="00D617B8">
        <w:rPr>
          <w:rFonts w:ascii="Times New Roman" w:eastAsia="Times New Roman" w:hAnsi="Times New Roman"/>
          <w:sz w:val="24"/>
          <w:szCs w:val="24"/>
        </w:rPr>
        <w:t xml:space="preserve">On Sept. 28, 2020, in </w:t>
      </w:r>
      <w:r w:rsidRPr="00D617B8">
        <w:rPr>
          <w:rFonts w:ascii="Times New Roman" w:eastAsia="Times New Roman" w:hAnsi="Times New Roman"/>
          <w:sz w:val="24"/>
          <w:szCs w:val="24"/>
          <w:u w:val="single"/>
        </w:rPr>
        <w:t>Douglas Patterson, et al. v. Dallas/Fort Worth International Airport Board</w:t>
      </w:r>
      <w:r>
        <w:rPr>
          <w:rFonts w:ascii="Times New Roman" w:eastAsia="Times New Roman" w:hAnsi="Times New Roman"/>
          <w:sz w:val="24"/>
          <w:szCs w:val="24"/>
        </w:rPr>
        <w:t xml:space="preserve">, U.S. District Court Judge Ada Brown held that the FD failed to prove that the cross-trained EMS Division personnel ever engaged in firefighting in 3 years prior to the 2019 merger of EMS and Fire Service Divisions; only two of EMS personnel engaged in live fire training, and SOG for EMS Division had no firefighting responsibilities.  Court granted Summary Judgment to the </w:t>
      </w:r>
      <w:proofErr w:type="gramStart"/>
      <w:r>
        <w:rPr>
          <w:rFonts w:ascii="Times New Roman" w:eastAsia="Times New Roman" w:hAnsi="Times New Roman"/>
          <w:sz w:val="24"/>
          <w:szCs w:val="24"/>
        </w:rPr>
        <w:t>plaintiffs</w:t>
      </w:r>
      <w:proofErr w:type="gramEnd"/>
      <w:r>
        <w:rPr>
          <w:rFonts w:ascii="Times New Roman" w:eastAsia="Times New Roman" w:hAnsi="Times New Roman"/>
          <w:sz w:val="24"/>
          <w:szCs w:val="24"/>
        </w:rPr>
        <w:t xml:space="preserve"> and they are entitled to overtime after 40 hours, with back pay for 2 years; not 3 years and not liquidated damages [back pay doubled] since FD acted in good faith. 29 USC 260: </w:t>
      </w:r>
      <w:hyperlink r:id="rId1862" w:history="1">
        <w:r w:rsidRPr="00141589">
          <w:rPr>
            <w:rStyle w:val="Hyperlink"/>
            <w:rFonts w:ascii="Times New Roman" w:eastAsia="Times New Roman" w:hAnsi="Times New Roman"/>
            <w:sz w:val="24"/>
            <w:szCs w:val="24"/>
          </w:rPr>
          <w:t>https://www.law.cornell.edu/uscode/text/29/260</w:t>
        </w:r>
      </w:hyperlink>
      <w:r>
        <w:rPr>
          <w:rFonts w:ascii="Times New Roman" w:eastAsia="Times New Roman" w:hAnsi="Times New Roman"/>
          <w:sz w:val="24"/>
          <w:szCs w:val="24"/>
        </w:rPr>
        <w:t xml:space="preserve">  </w:t>
      </w:r>
    </w:p>
    <w:p w14:paraId="04A24ADD" w14:textId="77777777" w:rsidR="00B532F6" w:rsidRDefault="00B532F6" w:rsidP="00B532F6">
      <w:pPr>
        <w:pStyle w:val="NormalWeb"/>
        <w:ind w:left="720"/>
      </w:pPr>
      <w:r>
        <w:t xml:space="preserve">“The fact that DFW required plaintiffs to hold firefighting certifications is some indication that they might be expected to engage in fire suppression. However, neither Chief McKinney's declaration nor any other evidence shows the circumstances, other than the odd training exercise, under which plaintiffs might have been required to engage in fire suppression prior to this lawsuit being </w:t>
      </w:r>
      <w:proofErr w:type="spellStart"/>
      <w:r>
        <w:t>filed.</w:t>
      </w:r>
      <w:bookmarkStart w:id="391" w:name="fn10"/>
      <w:r>
        <w:rPr>
          <w:sz w:val="20"/>
          <w:szCs w:val="20"/>
          <w:vertAlign w:val="superscript"/>
        </w:rPr>
        <w:fldChar w:fldCharType="begin"/>
      </w:r>
      <w:r>
        <w:rPr>
          <w:sz w:val="20"/>
          <w:szCs w:val="20"/>
          <w:vertAlign w:val="superscript"/>
        </w:rPr>
        <w:instrText xml:space="preserve"> HYPERLINK "https://public.fastcase.com/" \l "fr10" </w:instrText>
      </w:r>
      <w:r>
        <w:rPr>
          <w:sz w:val="20"/>
          <w:szCs w:val="20"/>
          <w:vertAlign w:val="superscript"/>
        </w:rPr>
      </w:r>
      <w:r>
        <w:rPr>
          <w:sz w:val="20"/>
          <w:szCs w:val="20"/>
          <w:vertAlign w:val="superscript"/>
        </w:rPr>
        <w:fldChar w:fldCharType="separate"/>
      </w:r>
      <w:r w:rsidR="00814FB6">
        <w:rPr>
          <w:rStyle w:val="Hyperlink"/>
          <w:rFonts w:ascii="Calibri" w:eastAsia="Calibri" w:hAnsi="Calibri"/>
          <w:sz w:val="22"/>
          <w:szCs w:val="22"/>
        </w:rPr>
        <w:t>https</w:t>
      </w:r>
      <w:proofErr w:type="spellEnd"/>
      <w:r w:rsidR="00814FB6">
        <w:rPr>
          <w:rStyle w:val="Hyperlink"/>
          <w:rFonts w:ascii="Calibri" w:eastAsia="Calibri" w:hAnsi="Calibri"/>
          <w:sz w:val="22"/>
          <w:szCs w:val="22"/>
        </w:rPr>
        <w:t>://public.fastcase.com/ - fr10</w:t>
      </w:r>
      <w:r>
        <w:rPr>
          <w:sz w:val="20"/>
          <w:szCs w:val="20"/>
          <w:vertAlign w:val="superscript"/>
        </w:rPr>
        <w:fldChar w:fldCharType="end"/>
      </w:r>
      <w:bookmarkEnd w:id="391"/>
      <w:r>
        <w:rPr>
          <w:sz w:val="20"/>
          <w:szCs w:val="20"/>
          <w:vertAlign w:val="superscript"/>
        </w:rPr>
        <w:t xml:space="preserve"> </w:t>
      </w:r>
      <w:r>
        <w:t xml:space="preserve">  Instead, they were assigned exclusively to MICUs or Trauma Unit 611, neither of which held any fire rescue or firefighting equipment. They were not dispatched to every fire incident and did not wear their bunker gear when responding to calls. Perhaps most importantly, the SOP setting out their procedures and responsibilities made no reference to fire suppression. Nor is there any evidence that plaintiffs would be disciplined for failing to engage in fire suppression. Without more, the Court finds DFW has not met its burden to show, or raised a genuine issue of material fact, that plaintiffs had even a forward-looking obligation or responsibility to engage in fire suppression as EMS division Firefighters before this suit was filed.</w:t>
      </w:r>
      <w:r>
        <w:rPr>
          <w:sz w:val="20"/>
          <w:szCs w:val="20"/>
          <w:vertAlign w:val="superscript"/>
        </w:rPr>
        <w:t xml:space="preserve">  </w:t>
      </w:r>
      <w:r>
        <w:rPr>
          <w:i/>
          <w:iCs/>
        </w:rPr>
        <w:t xml:space="preserve"> Compare Regan v</w:t>
      </w:r>
      <w:r>
        <w:t xml:space="preserve">. </w:t>
      </w:r>
      <w:r>
        <w:rPr>
          <w:i/>
          <w:iCs/>
        </w:rPr>
        <w:t>City of Hanahan</w:t>
      </w:r>
      <w:r>
        <w:t xml:space="preserve">, No. 02-16-cv-1077-RMG, 2017 WL 2303504, at *3 (D.S.C. May 26, 2017) (plaintiffs, who were almost always assigned to ambulances but, at various times, were assigned to fire trucks, were employees in fire protection activities). Accordingly, plaintiffs are entitled to summary judgment that they were not employees in fire protection </w:t>
      </w:r>
      <w:proofErr w:type="gramStart"/>
      <w:r>
        <w:t>activities</w:t>
      </w:r>
      <w:proofErr w:type="gramEnd"/>
      <w:r>
        <w:t xml:space="preserve"> and the section 207(k) exemption does not apply.” </w:t>
      </w:r>
      <w:hyperlink r:id="rId1863" w:history="1">
        <w:r w:rsidRPr="00141589">
          <w:rPr>
            <w:rStyle w:val="Hyperlink"/>
          </w:rPr>
          <w:t>https://public.fastcase.com/Wl%2B2t%2BeVuI35%2FN70vAMFZsSjCAViXICEJmEyj88%2Bo6FVmb%2F3MefopOCGEPTmoSc%2F</w:t>
        </w:r>
      </w:hyperlink>
      <w:r>
        <w:t xml:space="preserve"> </w:t>
      </w:r>
    </w:p>
    <w:p w14:paraId="5E20673F" w14:textId="77777777" w:rsidR="00B532F6" w:rsidRDefault="00B532F6" w:rsidP="00B532F6">
      <w:pPr>
        <w:pStyle w:val="NormalWeb"/>
        <w:rPr>
          <w:b/>
          <w:bCs/>
        </w:rPr>
      </w:pPr>
      <w:r w:rsidRPr="00E91965">
        <w:rPr>
          <w:b/>
          <w:bCs/>
        </w:rPr>
        <w:t>Legal Lessons Learned:</w:t>
      </w:r>
      <w:r>
        <w:rPr>
          <w:b/>
          <w:bCs/>
        </w:rPr>
        <w:t xml:space="preserve">  The FD may appeal this decision.  As the Trial Court judge acknowledged in this case, there are several Federal Courts of Appeal that have held that FD personnel who are trained as both EMS and firefighters (“cross trained”), but assigned only to EMS duties, are “firefighters” under the 207(k) exemption. </w:t>
      </w:r>
    </w:p>
    <w:p w14:paraId="1C25B701" w14:textId="77777777" w:rsidR="00B532F6" w:rsidRPr="00E91965" w:rsidRDefault="00B532F6" w:rsidP="00B532F6">
      <w:pPr>
        <w:pStyle w:val="NormalWeb"/>
        <w:ind w:left="720"/>
        <w:rPr>
          <w:b/>
          <w:bCs/>
        </w:rPr>
      </w:pPr>
      <w:r>
        <w:t xml:space="preserve">Note: The Court denied summary judgment to plaintiffs on issue of bonus payments; this will be decided in future proceedings. The </w:t>
      </w:r>
      <w:proofErr w:type="gramStart"/>
      <w:r>
        <w:t>plaintiffs’</w:t>
      </w:r>
      <w:proofErr w:type="gramEnd"/>
      <w:r>
        <w:t xml:space="preserve"> in their 2018 Complaint allege that bonuses were not included in their “regular rate” of pay when calculating overtime pay.</w:t>
      </w:r>
    </w:p>
    <w:p w14:paraId="6DEA500B" w14:textId="77777777" w:rsidR="00B532F6" w:rsidRPr="00EC52DB" w:rsidRDefault="00B532F6" w:rsidP="00B532F6">
      <w:pPr>
        <w:spacing w:before="100" w:beforeAutospacing="1" w:after="100" w:afterAutospacing="1" w:line="240" w:lineRule="auto"/>
        <w:ind w:left="1440"/>
        <w:rPr>
          <w:rFonts w:ascii="Times New Roman" w:eastAsia="Times New Roman" w:hAnsi="Times New Roman"/>
          <w:sz w:val="24"/>
          <w:szCs w:val="24"/>
        </w:rPr>
      </w:pPr>
      <w:r w:rsidRPr="006B7587">
        <w:rPr>
          <w:rFonts w:ascii="Times New Roman" w:hAnsi="Times New Roman"/>
          <w:sz w:val="24"/>
          <w:szCs w:val="24"/>
        </w:rPr>
        <w:t>56.</w:t>
      </w:r>
      <w:r>
        <w:rPr>
          <w:rFonts w:ascii="Times New Roman" w:hAnsi="Times New Roman"/>
          <w:sz w:val="24"/>
          <w:szCs w:val="24"/>
        </w:rPr>
        <w:t xml:space="preserve"> </w:t>
      </w:r>
      <w:r w:rsidRPr="006B7587">
        <w:rPr>
          <w:rFonts w:ascii="Times New Roman" w:hAnsi="Times New Roman"/>
          <w:sz w:val="24"/>
          <w:szCs w:val="24"/>
        </w:rPr>
        <w:t>Plaintiff and Class Members’ regular rate must include all compensation, bonuses, and other remuneration paid by Defendant</w:t>
      </w:r>
      <w:r>
        <w:rPr>
          <w:rFonts w:ascii="Times New Roman" w:hAnsi="Times New Roman"/>
          <w:sz w:val="24"/>
          <w:szCs w:val="24"/>
        </w:rPr>
        <w:t xml:space="preserve"> </w:t>
      </w:r>
      <w:r w:rsidRPr="006B7587">
        <w:rPr>
          <w:rFonts w:ascii="Times New Roman" w:hAnsi="Times New Roman"/>
          <w:sz w:val="24"/>
          <w:szCs w:val="24"/>
        </w:rPr>
        <w:t xml:space="preserve">for purposes of calculating the overtime rate. See 29 C.F.R. 778.208. Defendant has failed to include all bonuses </w:t>
      </w:r>
      <w:proofErr w:type="gramStart"/>
      <w:r w:rsidRPr="006B7587">
        <w:rPr>
          <w:rFonts w:ascii="Times New Roman" w:hAnsi="Times New Roman"/>
          <w:sz w:val="24"/>
          <w:szCs w:val="24"/>
        </w:rPr>
        <w:t>into</w:t>
      </w:r>
      <w:proofErr w:type="gramEnd"/>
      <w:r w:rsidRPr="006B7587">
        <w:rPr>
          <w:rFonts w:ascii="Times New Roman" w:hAnsi="Times New Roman"/>
          <w:sz w:val="24"/>
          <w:szCs w:val="24"/>
        </w:rPr>
        <w:t xml:space="preserve"> the regular rate for purposes of calculating the overtime premium rate.</w:t>
      </w:r>
      <w:r>
        <w:rPr>
          <w:rFonts w:ascii="Times New Roman" w:hAnsi="Times New Roman"/>
          <w:sz w:val="24"/>
          <w:szCs w:val="24"/>
        </w:rPr>
        <w:t xml:space="preserve"> </w:t>
      </w:r>
      <w:hyperlink r:id="rId1864" w:history="1">
        <w:r w:rsidRPr="00EC52DB">
          <w:rPr>
            <w:rStyle w:val="Hyperlink"/>
            <w:rFonts w:ascii="Times New Roman" w:hAnsi="Times New Roman"/>
            <w:sz w:val="24"/>
            <w:szCs w:val="24"/>
          </w:rPr>
          <w:t>http://www.firefighterovertime.org/wp-content/uploads/2018/03/DFW-FLSA-Complaint-2018.pdf</w:t>
        </w:r>
      </w:hyperlink>
      <w:r w:rsidRPr="00EC52DB">
        <w:rPr>
          <w:rFonts w:ascii="Times New Roman" w:eastAsia="Times New Roman" w:hAnsi="Times New Roman"/>
          <w:sz w:val="24"/>
          <w:szCs w:val="24"/>
        </w:rPr>
        <w:t xml:space="preserve">  </w:t>
      </w:r>
    </w:p>
    <w:p w14:paraId="510D960E" w14:textId="77777777" w:rsidR="00B532F6" w:rsidRDefault="00B532F6" w:rsidP="00B532F6">
      <w:pPr>
        <w:pStyle w:val="NormalWeb"/>
        <w:ind w:left="720"/>
      </w:pPr>
      <w:r>
        <w:t xml:space="preserve">Court held:  Without any evidence on the issue, plaintiffs cannot be entitled to summary judgment. </w:t>
      </w:r>
      <w:r>
        <w:rPr>
          <w:i/>
          <w:iCs/>
        </w:rPr>
        <w:t>See</w:t>
      </w:r>
      <w:r>
        <w:t xml:space="preserve"> FED. R. CIV. P. 56(c). Further, DFW presented evidence that, where plaintiffs were entitled to overtime pay </w:t>
      </w:r>
      <w:proofErr w:type="gramStart"/>
      <w:r>
        <w:t>in a given</w:t>
      </w:r>
      <w:proofErr w:type="gramEnd"/>
      <w:r>
        <w:t xml:space="preserve"> pay period, they received an overtime adjustment to compensate them for the increased </w:t>
      </w:r>
      <w:r>
        <w:lastRenderedPageBreak/>
        <w:t xml:space="preserve">regular rate for that pay period based on incentive pay received (Doc. 65-30). Accordingly, the Court must deny plaintiffs' summary judgment motion on this ground. </w:t>
      </w:r>
    </w:p>
    <w:p w14:paraId="11426BD5" w14:textId="77777777" w:rsidR="00B532F6" w:rsidRDefault="00B532F6" w:rsidP="00B532F6">
      <w:pPr>
        <w:pStyle w:val="NormalWeb"/>
        <w:ind w:left="720"/>
      </w:pPr>
      <w:r>
        <w:t xml:space="preserve">Note – New DOL Rules On Regular Rate </w:t>
      </w:r>
      <w:proofErr w:type="gramStart"/>
      <w:r>
        <w:t>Of</w:t>
      </w:r>
      <w:proofErr w:type="gramEnd"/>
      <w:r>
        <w:t xml:space="preserve"> Pay</w:t>
      </w:r>
    </w:p>
    <w:p w14:paraId="3C2F8E90" w14:textId="77777777" w:rsidR="00B532F6" w:rsidRDefault="00B532F6" w:rsidP="00B532F6">
      <w:pPr>
        <w:pStyle w:val="NormalWeb"/>
        <w:ind w:left="720"/>
      </w:pPr>
      <w:r>
        <w:t>The U.S. Department of Labor, on Jan. 15, 2020, issued its “Final Rule” changes on items to be excluded from the “regular rate of pay.” “The final rule clarifies when payments for forgoing unused paid leave, payments for bona fide meal periods, reimbursements, benefit plan contributions, and certain ancillary benefits may be excluded from the regular rate.”</w:t>
      </w:r>
      <w:r w:rsidRPr="00EC52DB">
        <w:t xml:space="preserve"> </w:t>
      </w:r>
      <w:hyperlink r:id="rId1865" w:history="1">
        <w:r w:rsidRPr="00141589">
          <w:rPr>
            <w:rStyle w:val="Hyperlink"/>
          </w:rPr>
          <w:t>https://www.federalregister.gov/documents/2019/12/16/2019-26447/regular-rate-under-the-fair-labor-standards-act</w:t>
        </w:r>
      </w:hyperlink>
      <w:r>
        <w:t xml:space="preserve"> </w:t>
      </w:r>
    </w:p>
    <w:p w14:paraId="0CB962FA" w14:textId="77777777" w:rsidR="00B532F6" w:rsidRDefault="00B532F6" w:rsidP="00F326E5">
      <w:pPr>
        <w:rPr>
          <w:rFonts w:ascii="Arial Black" w:hAnsi="Arial Black"/>
          <w:b/>
          <w:sz w:val="24"/>
          <w:szCs w:val="24"/>
        </w:rPr>
      </w:pPr>
    </w:p>
    <w:p w14:paraId="56256694" w14:textId="77777777" w:rsidR="00B532F6" w:rsidRDefault="00B532F6" w:rsidP="00F326E5">
      <w:pPr>
        <w:rPr>
          <w:rFonts w:ascii="Arial Black" w:hAnsi="Arial Black"/>
          <w:b/>
          <w:sz w:val="24"/>
          <w:szCs w:val="24"/>
        </w:rPr>
      </w:pPr>
    </w:p>
    <w:p w14:paraId="041CA6C7" w14:textId="77777777" w:rsidR="00B532F6" w:rsidRDefault="00B532F6" w:rsidP="00F326E5">
      <w:pPr>
        <w:rPr>
          <w:rFonts w:ascii="Arial Black" w:hAnsi="Arial Black"/>
          <w:b/>
          <w:sz w:val="24"/>
          <w:szCs w:val="24"/>
        </w:rPr>
      </w:pPr>
    </w:p>
    <w:p w14:paraId="66CC5F95" w14:textId="604DB300" w:rsidR="00B532F6" w:rsidRDefault="00B532F6" w:rsidP="00F326E5">
      <w:pPr>
        <w:rPr>
          <w:rFonts w:ascii="Arial Black" w:hAnsi="Arial Black"/>
          <w:b/>
          <w:sz w:val="24"/>
          <w:szCs w:val="24"/>
        </w:rPr>
      </w:pPr>
      <w:r>
        <w:rPr>
          <w:rFonts w:ascii="Arial Black" w:hAnsi="Arial Black"/>
          <w:b/>
          <w:sz w:val="24"/>
          <w:szCs w:val="24"/>
        </w:rPr>
        <w:t>11-1</w:t>
      </w:r>
      <w:r w:rsidR="00B13773">
        <w:rPr>
          <w:rFonts w:ascii="Arial Black" w:hAnsi="Arial Black"/>
          <w:b/>
          <w:sz w:val="24"/>
          <w:szCs w:val="24"/>
        </w:rPr>
        <w:t>9</w:t>
      </w:r>
    </w:p>
    <w:p w14:paraId="3A450ABB" w14:textId="77777777" w:rsidR="00B532F6" w:rsidRPr="00D20EA3" w:rsidRDefault="00B532F6" w:rsidP="00B532F6">
      <w:pPr>
        <w:pStyle w:val="text"/>
        <w:rPr>
          <w:rFonts w:ascii="Arial Black" w:hAnsi="Arial Black"/>
          <w:sz w:val="28"/>
          <w:szCs w:val="28"/>
        </w:rPr>
      </w:pPr>
      <w:r w:rsidRPr="00D20EA3">
        <w:rPr>
          <w:rFonts w:ascii="Arial Black" w:hAnsi="Arial Black"/>
          <w:sz w:val="28"/>
          <w:szCs w:val="28"/>
        </w:rPr>
        <w:t xml:space="preserve">LA: </w:t>
      </w:r>
      <w:r>
        <w:rPr>
          <w:rFonts w:ascii="Arial Black" w:hAnsi="Arial Black"/>
          <w:sz w:val="28"/>
          <w:szCs w:val="28"/>
        </w:rPr>
        <w:t>CITY OWES $1.6 MILLION BACKPAY 32 FF – LONGEVITY - MUST WAIT FOR MUNICIPALITY TO RAISE $ THROUGH LEVY</w:t>
      </w:r>
    </w:p>
    <w:p w14:paraId="2CBC03AD" w14:textId="1A93435B" w:rsidR="00B532F6" w:rsidRPr="00B532F6" w:rsidRDefault="00B532F6" w:rsidP="00B532F6">
      <w:pPr>
        <w:rPr>
          <w:rStyle w:val="Hyperlink"/>
          <w:rFonts w:ascii="Times New Roman" w:hAnsi="Times New Roman"/>
          <w:sz w:val="24"/>
          <w:szCs w:val="24"/>
        </w:rPr>
      </w:pPr>
      <w:r w:rsidRPr="00B532F6">
        <w:rPr>
          <w:rFonts w:ascii="Times New Roman" w:hAnsi="Times New Roman"/>
          <w:sz w:val="24"/>
          <w:szCs w:val="24"/>
        </w:rPr>
        <w:t xml:space="preserve">On Sept. 23, 2020, in </w:t>
      </w:r>
      <w:r w:rsidRPr="00B532F6">
        <w:rPr>
          <w:rFonts w:ascii="Times New Roman" w:hAnsi="Times New Roman"/>
          <w:sz w:val="24"/>
          <w:szCs w:val="24"/>
          <w:u w:val="single"/>
        </w:rPr>
        <w:t>Arnold Lowther v. Town of Bastrop</w:t>
      </w:r>
      <w:r w:rsidRPr="00B532F6">
        <w:rPr>
          <w:rFonts w:ascii="Times New Roman" w:hAnsi="Times New Roman"/>
          <w:sz w:val="24"/>
          <w:szCs w:val="24"/>
        </w:rPr>
        <w:t xml:space="preserve">, the Court of Appeal, Second Circuit, State of Louisiana, held (3 to 0) that while the firefighters won their 2008 lawsuit in 2014, and trial court ordered the City and its fire department to enact a uniform pay plan, which the trial court approved with backpay from 2005. </w:t>
      </w:r>
      <w:proofErr w:type="gramStart"/>
      <w:r w:rsidRPr="00B532F6">
        <w:rPr>
          <w:rFonts w:ascii="Times New Roman" w:hAnsi="Times New Roman"/>
          <w:sz w:val="24"/>
          <w:szCs w:val="24"/>
        </w:rPr>
        <w:t>However</w:t>
      </w:r>
      <w:proofErr w:type="gramEnd"/>
      <w:r w:rsidRPr="00B532F6">
        <w:rPr>
          <w:rFonts w:ascii="Times New Roman" w:hAnsi="Times New Roman"/>
          <w:sz w:val="24"/>
          <w:szCs w:val="24"/>
        </w:rPr>
        <w:t xml:space="preserve"> under Louisiana law the courts cannot order municipality to create a deficit.  According to Press Reports, $1.6 million in back pay: “A recent judgement from a lawsuit dating back to 2005 under a </w:t>
      </w:r>
      <w:proofErr w:type="gramStart"/>
      <w:r w:rsidRPr="00B532F6">
        <w:rPr>
          <w:rFonts w:ascii="Times New Roman" w:hAnsi="Times New Roman"/>
          <w:sz w:val="24"/>
          <w:szCs w:val="24"/>
        </w:rPr>
        <w:t>prior administration mandates</w:t>
      </w:r>
      <w:proofErr w:type="gramEnd"/>
      <w:r w:rsidRPr="00B532F6">
        <w:rPr>
          <w:rFonts w:ascii="Times New Roman" w:hAnsi="Times New Roman"/>
          <w:sz w:val="24"/>
          <w:szCs w:val="24"/>
        </w:rPr>
        <w:t xml:space="preserve"> that the city must repay $1.6 million to 32 current and former firemen. The suit claimed city firemen weren't paid properly for their longevity, performance or responsibilities for </w:t>
      </w:r>
      <w:proofErr w:type="gramStart"/>
      <w:r w:rsidRPr="00B532F6">
        <w:rPr>
          <w:rFonts w:ascii="Times New Roman" w:hAnsi="Times New Roman"/>
          <w:sz w:val="24"/>
          <w:szCs w:val="24"/>
        </w:rPr>
        <w:t>a number of</w:t>
      </w:r>
      <w:proofErr w:type="gramEnd"/>
      <w:r w:rsidRPr="00B532F6">
        <w:rPr>
          <w:rFonts w:ascii="Times New Roman" w:hAnsi="Times New Roman"/>
          <w:sz w:val="24"/>
          <w:szCs w:val="24"/>
        </w:rPr>
        <w:t xml:space="preserve"> years. The problem Mayor Henry Cotton says is that the city doesn't have that kind of money, and needs a mill increase to do it. The proposal would be designated for 10 years to repay the debt.” </w:t>
      </w:r>
      <w:hyperlink r:id="rId1866" w:history="1">
        <w:r w:rsidRPr="00B532F6">
          <w:rPr>
            <w:rStyle w:val="Hyperlink"/>
            <w:rFonts w:ascii="Times New Roman" w:hAnsi="Times New Roman"/>
            <w:sz w:val="24"/>
            <w:szCs w:val="24"/>
          </w:rPr>
          <w:t>https://www.knoe.com/content/news/Bastrop-mayor-proposes-3-mill-increase-to-repay-debt-from-fireman-lawsuit-513531241.html</w:t>
        </w:r>
      </w:hyperlink>
    </w:p>
    <w:p w14:paraId="73D4612A" w14:textId="77777777" w:rsidR="00B532F6" w:rsidRPr="00A726BF" w:rsidRDefault="00B532F6" w:rsidP="00B532F6">
      <w:pPr>
        <w:pStyle w:val="Heading1"/>
        <w:tabs>
          <w:tab w:val="left" w:pos="2990"/>
        </w:tabs>
        <w:rPr>
          <w:sz w:val="24"/>
          <w:szCs w:val="24"/>
        </w:rPr>
      </w:pPr>
      <w:r w:rsidRPr="00A726BF">
        <w:rPr>
          <w:sz w:val="24"/>
          <w:szCs w:val="24"/>
        </w:rPr>
        <w:t xml:space="preserve">Legal Lessons Learned: </w:t>
      </w:r>
      <w:proofErr w:type="gramStart"/>
      <w:r>
        <w:rPr>
          <w:sz w:val="24"/>
          <w:szCs w:val="24"/>
        </w:rPr>
        <w:t>In order for</w:t>
      </w:r>
      <w:proofErr w:type="gramEnd"/>
      <w:r>
        <w:rPr>
          <w:sz w:val="24"/>
          <w:szCs w:val="24"/>
        </w:rPr>
        <w:t xml:space="preserve"> these 32 current and former fighters to collect on their judgment, they must wait for the City to raise the money.  </w:t>
      </w:r>
    </w:p>
    <w:p w14:paraId="1E8BCA16" w14:textId="77777777" w:rsidR="00B532F6" w:rsidRDefault="00B532F6" w:rsidP="00B532F6">
      <w:pPr>
        <w:rPr>
          <w:rFonts w:ascii="Arial Black" w:hAnsi="Arial Black"/>
          <w:b/>
          <w:sz w:val="24"/>
          <w:szCs w:val="24"/>
        </w:rPr>
      </w:pPr>
    </w:p>
    <w:p w14:paraId="62AA8F4D" w14:textId="77777777" w:rsidR="00B532F6" w:rsidRDefault="00B532F6" w:rsidP="00F326E5">
      <w:pPr>
        <w:rPr>
          <w:rFonts w:ascii="Arial Black" w:hAnsi="Arial Black"/>
          <w:b/>
          <w:sz w:val="24"/>
          <w:szCs w:val="24"/>
        </w:rPr>
      </w:pPr>
    </w:p>
    <w:p w14:paraId="2739EF99" w14:textId="77777777" w:rsidR="00B532F6" w:rsidRDefault="00B532F6" w:rsidP="00F326E5">
      <w:pPr>
        <w:rPr>
          <w:rFonts w:ascii="Arial Black" w:hAnsi="Arial Black"/>
          <w:b/>
          <w:sz w:val="24"/>
          <w:szCs w:val="24"/>
        </w:rPr>
      </w:pPr>
    </w:p>
    <w:p w14:paraId="5BE2659C" w14:textId="78540CB4" w:rsidR="00B532F6" w:rsidRDefault="00B532F6" w:rsidP="00F326E5">
      <w:pPr>
        <w:rPr>
          <w:rFonts w:ascii="Arial Black" w:hAnsi="Arial Black"/>
          <w:b/>
          <w:sz w:val="24"/>
          <w:szCs w:val="24"/>
        </w:rPr>
      </w:pPr>
      <w:r>
        <w:rPr>
          <w:rFonts w:ascii="Arial Black" w:hAnsi="Arial Black"/>
          <w:b/>
          <w:sz w:val="24"/>
          <w:szCs w:val="24"/>
        </w:rPr>
        <w:t>11-1</w:t>
      </w:r>
      <w:r w:rsidR="00B13773">
        <w:rPr>
          <w:rFonts w:ascii="Arial Black" w:hAnsi="Arial Black"/>
          <w:b/>
          <w:sz w:val="24"/>
          <w:szCs w:val="24"/>
        </w:rPr>
        <w:t>8</w:t>
      </w:r>
    </w:p>
    <w:p w14:paraId="5CC2291A" w14:textId="77777777" w:rsidR="00B532F6" w:rsidRDefault="00B532F6" w:rsidP="00B532F6">
      <w:pPr>
        <w:rPr>
          <w:rFonts w:ascii="Arial Black" w:hAnsi="Arial Black"/>
          <w:sz w:val="28"/>
          <w:szCs w:val="28"/>
        </w:rPr>
      </w:pPr>
      <w:r w:rsidRPr="00B42CBD">
        <w:rPr>
          <w:rFonts w:ascii="Arial Black" w:hAnsi="Arial Black"/>
          <w:sz w:val="28"/>
          <w:szCs w:val="28"/>
        </w:rPr>
        <w:lastRenderedPageBreak/>
        <w:t xml:space="preserve">IN: </w:t>
      </w:r>
      <w:r>
        <w:rPr>
          <w:rFonts w:ascii="Arial Black" w:hAnsi="Arial Black"/>
          <w:sz w:val="28"/>
          <w:szCs w:val="28"/>
        </w:rPr>
        <w:t xml:space="preserve">FLSA SETTLEMENT – CITY SETTLES WITH </w:t>
      </w:r>
      <w:r w:rsidRPr="00B42CBD">
        <w:rPr>
          <w:rFonts w:ascii="Arial Black" w:hAnsi="Arial Black"/>
          <w:sz w:val="28"/>
          <w:szCs w:val="28"/>
        </w:rPr>
        <w:t>15 FF</w:t>
      </w:r>
      <w:r>
        <w:rPr>
          <w:rFonts w:ascii="Arial Black" w:hAnsi="Arial Black"/>
          <w:sz w:val="28"/>
          <w:szCs w:val="28"/>
        </w:rPr>
        <w:t xml:space="preserve"> -</w:t>
      </w:r>
      <w:r w:rsidRPr="00B42CBD">
        <w:rPr>
          <w:rFonts w:ascii="Arial Black" w:hAnsi="Arial Black"/>
          <w:sz w:val="28"/>
          <w:szCs w:val="28"/>
        </w:rPr>
        <w:t xml:space="preserve"> </w:t>
      </w:r>
      <w:r>
        <w:rPr>
          <w:rFonts w:ascii="Arial Black" w:hAnsi="Arial Black"/>
          <w:sz w:val="28"/>
          <w:szCs w:val="28"/>
        </w:rPr>
        <w:t>PLUS NOT DEMAND PAYBACK OVERPAYMENTS – FED JUDGE MUST APPROVE</w:t>
      </w:r>
    </w:p>
    <w:p w14:paraId="1FAFA749" w14:textId="77777777" w:rsidR="00B532F6" w:rsidRDefault="00B532F6" w:rsidP="00B532F6">
      <w:pPr>
        <w:pStyle w:val="NormalWeb"/>
      </w:pPr>
      <w:r>
        <w:t xml:space="preserve">On Sept. 22, 2020, in </w:t>
      </w:r>
      <w:r w:rsidRPr="00743799">
        <w:rPr>
          <w:u w:val="single"/>
        </w:rPr>
        <w:t>Eric Camel, et al. v. Town of Chesterton, Indiana and J</w:t>
      </w:r>
      <w:r>
        <w:rPr>
          <w:u w:val="single"/>
        </w:rPr>
        <w:t>ohn</w:t>
      </w:r>
      <w:r w:rsidRPr="00743799">
        <w:rPr>
          <w:u w:val="single"/>
        </w:rPr>
        <w:t xml:space="preserve"> Jarka, Fire Chief</w:t>
      </w:r>
      <w:r>
        <w:t xml:space="preserve">, U.S. District Court Judge Theresa L. Springmann, U.S. District Court, Norther District of Indiana (Hammond Division) has generally approved the settlement, but has taken the matter “under advisement” until the parties advise the Court how much of the funds go to attorney fees.  Plaintiffs allege, among numerous other claims against both Defendants, that Defendant Town of Chesterton failed to comply with statutory overtime provisions when </w:t>
      </w:r>
      <w:proofErr w:type="gramStart"/>
      <w:r>
        <w:t>it</w:t>
      </w:r>
      <w:proofErr w:type="gramEnd"/>
      <w:r>
        <w:t xml:space="preserve"> failed to pay them overtime wages when they worked </w:t>
      </w:r>
      <w:proofErr w:type="gramStart"/>
      <w:r>
        <w:t>in excess of</w:t>
      </w:r>
      <w:proofErr w:type="gramEnd"/>
      <w:r>
        <w:t xml:space="preserve"> 204 hours in a twenty-seven (27) day work period from 2011 through and including 2019.</w:t>
      </w:r>
    </w:p>
    <w:p w14:paraId="30B15105" w14:textId="77777777" w:rsidR="00B532F6" w:rsidRDefault="00B532F6" w:rsidP="00B532F6">
      <w:pPr>
        <w:pStyle w:val="NormalWeb"/>
        <w:ind w:left="720"/>
      </w:pPr>
      <w:r>
        <w:t>“Under the FLSA, settlement agreements for the recovery of unpaid overtime compensation must be approved by the Court in the absence of direct supervision by the Secretary of Labor.</w:t>
      </w:r>
    </w:p>
    <w:p w14:paraId="1D7DFAD2" w14:textId="77777777" w:rsidR="00B532F6" w:rsidRDefault="00B532F6" w:rsidP="00B532F6">
      <w:pPr>
        <w:pStyle w:val="NormalWeb"/>
        <w:ind w:left="720"/>
      </w:pPr>
      <w:r>
        <w:t>***</w:t>
      </w:r>
    </w:p>
    <w:p w14:paraId="050C0124" w14:textId="77777777" w:rsidR="00B532F6" w:rsidRDefault="00B532F6" w:rsidP="00B532F6">
      <w:pPr>
        <w:pStyle w:val="NormalWeb"/>
        <w:ind w:left="720"/>
      </w:pPr>
      <w:r>
        <w:t>The Settlement Agreement provides for a total payment of $26,371.24, which includes (1) a payment of $647.40 to Plaintiff Amanda Shine for back pay and liquidated damages, inclusive of all attorney's fees and costs; (2) a payment of $723.84 to Plaintiff Michael A. Coslet for back pay and liquidated damages [amount owed, doubled], inclusive of all attorney's fees and costs; and (3) a payment of $25,000 to all Plaintiffs, inclusive of all attorney's fees and costs.</w:t>
      </w:r>
    </w:p>
    <w:p w14:paraId="3894740E" w14:textId="77777777" w:rsidR="00B532F6" w:rsidRDefault="00B532F6" w:rsidP="00B532F6">
      <w:pPr>
        <w:pStyle w:val="NormalWeb"/>
        <w:ind w:left="720"/>
      </w:pPr>
      <w:r>
        <w:t>***</w:t>
      </w:r>
    </w:p>
    <w:p w14:paraId="32351CD8" w14:textId="77777777" w:rsidR="00B532F6" w:rsidRDefault="00B532F6" w:rsidP="00B532F6">
      <w:pPr>
        <w:pStyle w:val="NormalWeb"/>
        <w:ind w:left="720"/>
      </w:pPr>
      <w:r>
        <w:t>The Settlement Agreement further provides for significant non-economic awards such as the addition of four vacation days in lieu of reduction time (and the elimination of reduction time), enacted through amendments to the Personnel Handbook and to the agreement between the Town of Chesterton and Chesterton Firefighters Local 4600; waiver of the $89,878.26 overpayment the Town of Chesterton alleges is owed by ten of the Plaintiffs; and the removal of a reprimand in two of the Plaintiffs' personnel files.”</w:t>
      </w:r>
      <w:r w:rsidRPr="00743799">
        <w:t xml:space="preserve"> </w:t>
      </w:r>
      <w:hyperlink r:id="rId1867" w:history="1">
        <w:r w:rsidRPr="000929D2">
          <w:rPr>
            <w:rStyle w:val="Hyperlink"/>
          </w:rPr>
          <w:t>https://public.fastcase.com/Wl%2B2t%2BeVuI35%2FN70vAMFZtsu4ffMdPWfOx%2BdxBXmfVAnwIw9ms7kbCEt1faHV%2BzM</w:t>
        </w:r>
      </w:hyperlink>
      <w:r>
        <w:t xml:space="preserve"> </w:t>
      </w:r>
    </w:p>
    <w:p w14:paraId="7C05CE01" w14:textId="77777777" w:rsidR="00B532F6" w:rsidRPr="00BA2CA5" w:rsidRDefault="00B532F6" w:rsidP="00B532F6">
      <w:pPr>
        <w:rPr>
          <w:rFonts w:ascii="Times New Roman" w:hAnsi="Times New Roman"/>
          <w:b/>
          <w:bCs/>
          <w:sz w:val="24"/>
          <w:szCs w:val="24"/>
        </w:rPr>
      </w:pPr>
      <w:r w:rsidRPr="00BA2CA5">
        <w:rPr>
          <w:rFonts w:ascii="Times New Roman" w:hAnsi="Times New Roman"/>
          <w:b/>
          <w:bCs/>
          <w:sz w:val="24"/>
          <w:szCs w:val="24"/>
        </w:rPr>
        <w:t>Legal Lessons Learned:</w:t>
      </w:r>
      <w:r>
        <w:rPr>
          <w:rFonts w:ascii="Times New Roman" w:hAnsi="Times New Roman"/>
          <w:b/>
          <w:bCs/>
          <w:sz w:val="24"/>
          <w:szCs w:val="24"/>
        </w:rPr>
        <w:t xml:space="preserve"> FLSA requires approval of settlements by U.S. Department of Labor, or by U.S. District Court judge.</w:t>
      </w:r>
    </w:p>
    <w:p w14:paraId="05BCF706" w14:textId="77777777" w:rsidR="00B532F6" w:rsidRDefault="00B532F6" w:rsidP="00B532F6">
      <w:pPr>
        <w:pStyle w:val="NormalWeb"/>
        <w:ind w:left="720"/>
      </w:pPr>
      <w:r>
        <w:t xml:space="preserve">Note: See FD’s web page: The department currently has 15 full-time personnel that staff an engine 24/7/365, as well as a full time Fire Chief and Deputy Fire Chief. The department also utilizes a staff of 15 volunteer personnel who respond to calls for assistance. </w:t>
      </w:r>
      <w:hyperlink r:id="rId1868" w:history="1">
        <w:r w:rsidRPr="000929D2">
          <w:rPr>
            <w:rStyle w:val="Hyperlink"/>
          </w:rPr>
          <w:t>https://www.chestertonin.org/145/Fire-Department</w:t>
        </w:r>
      </w:hyperlink>
      <w:r>
        <w:t xml:space="preserve"> </w:t>
      </w:r>
    </w:p>
    <w:p w14:paraId="7BEA0B58" w14:textId="77777777" w:rsidR="00B532F6" w:rsidRDefault="00B532F6" w:rsidP="00F326E5">
      <w:pPr>
        <w:rPr>
          <w:rFonts w:ascii="Arial Black" w:hAnsi="Arial Black"/>
          <w:b/>
          <w:sz w:val="24"/>
          <w:szCs w:val="24"/>
        </w:rPr>
      </w:pPr>
    </w:p>
    <w:p w14:paraId="7B6BBB71" w14:textId="77777777" w:rsidR="00B532F6" w:rsidRDefault="00B532F6" w:rsidP="00F326E5">
      <w:pPr>
        <w:rPr>
          <w:rFonts w:ascii="Arial Black" w:hAnsi="Arial Black"/>
          <w:b/>
          <w:sz w:val="24"/>
          <w:szCs w:val="24"/>
        </w:rPr>
      </w:pPr>
    </w:p>
    <w:p w14:paraId="0422D056" w14:textId="47F6C820" w:rsidR="00557CA2" w:rsidRDefault="00557CA2" w:rsidP="00F326E5">
      <w:pPr>
        <w:rPr>
          <w:rFonts w:ascii="Arial Black" w:hAnsi="Arial Black"/>
          <w:b/>
          <w:sz w:val="24"/>
          <w:szCs w:val="24"/>
        </w:rPr>
      </w:pPr>
      <w:r>
        <w:rPr>
          <w:rFonts w:ascii="Arial Black" w:hAnsi="Arial Black"/>
          <w:b/>
          <w:sz w:val="24"/>
          <w:szCs w:val="24"/>
        </w:rPr>
        <w:t>11-1</w:t>
      </w:r>
      <w:r w:rsidR="00B13773">
        <w:rPr>
          <w:rFonts w:ascii="Arial Black" w:hAnsi="Arial Black"/>
          <w:b/>
          <w:sz w:val="24"/>
          <w:szCs w:val="24"/>
        </w:rPr>
        <w:t>7</w:t>
      </w:r>
    </w:p>
    <w:p w14:paraId="1C0A2D23" w14:textId="77777777" w:rsidR="00557CA2" w:rsidRDefault="00557CA2" w:rsidP="00557CA2">
      <w:pPr>
        <w:pStyle w:val="NormalWeb"/>
        <w:spacing w:line="255" w:lineRule="atLeast"/>
        <w:rPr>
          <w:rFonts w:ascii="Arial Black" w:hAnsi="Arial Black"/>
          <w:sz w:val="28"/>
          <w:szCs w:val="28"/>
        </w:rPr>
      </w:pPr>
      <w:r>
        <w:rPr>
          <w:rFonts w:ascii="Arial Black" w:hAnsi="Arial Black"/>
          <w:sz w:val="28"/>
          <w:szCs w:val="28"/>
        </w:rPr>
        <w:lastRenderedPageBreak/>
        <w:t>DC: FLSA – WORKING FROM HOME – NEED SYSTEM THAT REQUIRES HOURLY EMPLOYEES TO REPORT THEIR HOURS</w:t>
      </w:r>
    </w:p>
    <w:p w14:paraId="4D725FDF" w14:textId="77777777" w:rsidR="00557CA2" w:rsidRDefault="00557CA2" w:rsidP="00557CA2">
      <w:pPr>
        <w:pStyle w:val="NormalWeb"/>
        <w:spacing w:line="255" w:lineRule="atLeast"/>
      </w:pPr>
      <w:r>
        <w:t>On Aug. 24, 2020, the U.S. Department of Labor, Wage &amp; Hour Division, published FIELD ASSISTANCE BULLETIN No. 2020-5: “Employers’ obligation to exercise reasonable diligence in tracking teleworking employees’ hours of work.”</w:t>
      </w:r>
    </w:p>
    <w:p w14:paraId="37D4C4C8" w14:textId="77777777" w:rsidR="00557CA2" w:rsidRDefault="00557CA2" w:rsidP="00557CA2">
      <w:pPr>
        <w:pStyle w:val="NormalWeb"/>
        <w:spacing w:line="255" w:lineRule="atLeast"/>
        <w:ind w:left="720"/>
      </w:pPr>
      <w:r>
        <w:t xml:space="preserve">“In a telework or remote work arrangement, the question of the employer’s obligation to track hours </w:t>
      </w:r>
      <w:proofErr w:type="gramStart"/>
      <w:r>
        <w:t>actually worked</w:t>
      </w:r>
      <w:proofErr w:type="gramEnd"/>
      <w:r>
        <w:t xml:space="preserve"> for which the employee was not scheduled may often arise. While this guidance responds directly to needs created by new telework or remote work arrangements that arose in response to COVID-19, it also applies to other telework or remote work arrangements. An employer is required to pay </w:t>
      </w:r>
      <w:proofErr w:type="gramStart"/>
      <w:r>
        <w:t>its</w:t>
      </w:r>
      <w:proofErr w:type="gramEnd"/>
      <w:r>
        <w:t xml:space="preserve"> employees for all hours worked, including work not requested but suffered or permitted, including work performed at home. See 29 C.F.R. § 785.11-12. If the employer knows or has reason to believe that work is being performed, the time must be counted as hours worked.</w:t>
      </w:r>
    </w:p>
    <w:p w14:paraId="788DED2B" w14:textId="77777777" w:rsidR="00557CA2" w:rsidRDefault="00557CA2" w:rsidP="00557CA2">
      <w:pPr>
        <w:pStyle w:val="NormalWeb"/>
        <w:spacing w:line="255" w:lineRule="atLeast"/>
        <w:ind w:left="720"/>
      </w:pPr>
      <w:r>
        <w:t>***</w:t>
      </w:r>
    </w:p>
    <w:p w14:paraId="77D07385" w14:textId="77777777" w:rsidR="00557CA2" w:rsidRDefault="00557CA2" w:rsidP="00557CA2">
      <w:pPr>
        <w:pStyle w:val="NormalWeb"/>
        <w:spacing w:line="255" w:lineRule="atLeast"/>
        <w:ind w:left="720"/>
      </w:pPr>
      <w:r>
        <w:t xml:space="preserve">If an employee fails to report unscheduled hours worked through such a procedure, the employer is not required to undergo impractical efforts to investigate further to uncover unreported hours of work and provide compensation for those hours.” </w:t>
      </w:r>
      <w:hyperlink r:id="rId1869" w:history="1">
        <w:r>
          <w:rPr>
            <w:rStyle w:val="Hyperlink"/>
            <w:rFonts w:eastAsiaTheme="majorEastAsia"/>
          </w:rPr>
          <w:t>https://www.dol.gov/sites/dolgov/files/WHD/legacy/files/fab_2020_5.pdf</w:t>
        </w:r>
      </w:hyperlink>
      <w:r>
        <w:t xml:space="preserve"> </w:t>
      </w:r>
    </w:p>
    <w:p w14:paraId="12EC9A8C" w14:textId="77777777" w:rsidR="00557CA2" w:rsidRDefault="00557CA2" w:rsidP="00557CA2">
      <w:pPr>
        <w:pStyle w:val="NormalWeb"/>
        <w:spacing w:line="255" w:lineRule="atLeast"/>
        <w:rPr>
          <w:b/>
          <w:bCs/>
        </w:rPr>
      </w:pPr>
    </w:p>
    <w:p w14:paraId="5470047E" w14:textId="77777777" w:rsidR="00557CA2" w:rsidRDefault="00557CA2" w:rsidP="00557CA2">
      <w:pPr>
        <w:pStyle w:val="NormalWeb"/>
        <w:spacing w:line="255" w:lineRule="atLeast"/>
        <w:rPr>
          <w:b/>
          <w:bCs/>
        </w:rPr>
      </w:pPr>
      <w:r>
        <w:rPr>
          <w:b/>
          <w:bCs/>
        </w:rPr>
        <w:t xml:space="preserve">Legal Lessons Learned:  Fire departments that allow administrative or other hourly personnel to work from home should implement an online system for reporting of hours worked.  </w:t>
      </w:r>
    </w:p>
    <w:p w14:paraId="68692DAA" w14:textId="77777777" w:rsidR="00557CA2" w:rsidRDefault="00557CA2" w:rsidP="00557CA2">
      <w:pPr>
        <w:pStyle w:val="NormalWeb"/>
        <w:spacing w:line="255" w:lineRule="atLeast"/>
        <w:ind w:left="720"/>
      </w:pPr>
      <w:r>
        <w:t xml:space="preserve">Note: The </w:t>
      </w:r>
      <w:proofErr w:type="spellStart"/>
      <w:r>
        <w:t>DoL</w:t>
      </w:r>
      <w:proofErr w:type="spellEnd"/>
      <w:r>
        <w:t xml:space="preserve"> referenced Allen v. City of Chicago, 865 F.3d 936, 945 (7th Cir. 2017), cert. denied, 138 S. Ct. 1302 (2018), where the 7</w:t>
      </w:r>
      <w:r>
        <w:rPr>
          <w:vertAlign w:val="superscript"/>
        </w:rPr>
        <w:t>th</w:t>
      </w:r>
      <w:r>
        <w:t xml:space="preserve"> Circuit </w:t>
      </w:r>
      <w:proofErr w:type="gramStart"/>
      <w:r>
        <w:t>held</w:t>
      </w:r>
      <w:proofErr w:type="gramEnd"/>
      <w:r>
        <w:t xml:space="preserve">: </w:t>
      </w:r>
      <w:r>
        <w:tab/>
      </w:r>
    </w:p>
    <w:p w14:paraId="2609AF12" w14:textId="77777777" w:rsidR="00557CA2" w:rsidRDefault="00557CA2" w:rsidP="00557CA2">
      <w:pPr>
        <w:pStyle w:val="NormalWeb"/>
        <w:spacing w:line="255" w:lineRule="atLeast"/>
        <w:ind w:left="720"/>
      </w:pPr>
      <w:r>
        <w:t xml:space="preserve">“This appeal arises from a Fair Labor Standards Act collective action. Plaintiffs are current and former members of the Chicago Police Department's Bureau of Organized Crime who claim that the Bureau did not compensate them for work they did </w:t>
      </w:r>
      <w:proofErr w:type="gramStart"/>
      <w:r>
        <w:t>off-duty</w:t>
      </w:r>
      <w:proofErr w:type="gramEnd"/>
      <w:r>
        <w:t xml:space="preserve"> on their mobile electronic devices (BlackBerrys). The case was </w:t>
      </w:r>
      <w:proofErr w:type="spellStart"/>
      <w:r>
        <w:t>tried</w:t>
      </w:r>
      <w:proofErr w:type="spellEnd"/>
      <w:r>
        <w:t xml:space="preserve"> to the court, Magistrate Judge Schenkier, presiding by consent under 28 U.S.C. § 636(c). The judge issued detailed findings of </w:t>
      </w:r>
      <w:proofErr w:type="gramStart"/>
      <w:r>
        <w:t>fact</w:t>
      </w:r>
      <w:proofErr w:type="gramEnd"/>
      <w:r>
        <w:t xml:space="preserve"> and conclusions of law in favor of the Bureau, finding that it did not prevent plaintiffs from requesting payment for such non-scheduled overtime work and did not know that plaintiffs were not being paid for it. Plaintiffs appeal, but we find no persuasive reason to upset the judgment of the district court. We affirm the judgment for the Bureau.</w:t>
      </w:r>
    </w:p>
    <w:p w14:paraId="5C8E16FC" w14:textId="77777777" w:rsidR="00557CA2" w:rsidRDefault="00557CA2" w:rsidP="00557CA2">
      <w:pPr>
        <w:pStyle w:val="NormalWeb"/>
        <w:spacing w:line="255" w:lineRule="atLeast"/>
        <w:ind w:left="720"/>
      </w:pPr>
      <w:r>
        <w:t>***</w:t>
      </w:r>
    </w:p>
    <w:p w14:paraId="5214AC65" w14:textId="77777777" w:rsidR="00557CA2" w:rsidRDefault="00557CA2" w:rsidP="00557CA2">
      <w:pPr>
        <w:spacing w:after="0" w:line="240" w:lineRule="auto"/>
        <w:ind w:left="720"/>
        <w:rPr>
          <w:rFonts w:ascii="Times New Roman" w:hAnsi="Times New Roman"/>
          <w:sz w:val="24"/>
          <w:szCs w:val="24"/>
        </w:rPr>
      </w:pPr>
      <w:r>
        <w:rPr>
          <w:rFonts w:ascii="Times New Roman" w:hAnsi="Times New Roman"/>
          <w:sz w:val="24"/>
          <w:szCs w:val="24"/>
        </w:rPr>
        <w:t>The [trial court judge, after a 6-day bench trial] agreed with plaintiffs that some of their off-duty BlackBerry activity was work that was compensable under the FLSA. It acknowledged evidence that Bureau supervisors knew plaintiffs sometimes worked off-duty on their Black-</w:t>
      </w:r>
      <w:proofErr w:type="spellStart"/>
      <w:r>
        <w:rPr>
          <w:rFonts w:ascii="Times New Roman" w:hAnsi="Times New Roman"/>
          <w:sz w:val="24"/>
          <w:szCs w:val="24"/>
        </w:rPr>
        <w:t>Berrys</w:t>
      </w:r>
      <w:proofErr w:type="spellEnd"/>
      <w:r>
        <w:rPr>
          <w:rFonts w:ascii="Times New Roman" w:hAnsi="Times New Roman"/>
          <w:sz w:val="24"/>
          <w:szCs w:val="24"/>
        </w:rPr>
        <w:t xml:space="preserve">. But the court also found that the supervisors did not know or have reason to know that plaintiffs were not submitting slips and therefore were not being paid for that work. Although supervisors in theory could have checked what they knew of plaintiffs' off-duty work against the time slips they approved, the court found that requiring them to do so would be impractical: supervisors approved a large number of slips per day, and slips were sometimes submitted and reviewed well after the work was performed. Also, the court found, plaintiffs never told their supervisors that they were not being paid for such work.” </w:t>
      </w:r>
      <w:hyperlink r:id="rId1870" w:history="1">
        <w:r>
          <w:rPr>
            <w:rStyle w:val="Hyperlink"/>
            <w:sz w:val="24"/>
            <w:szCs w:val="24"/>
          </w:rPr>
          <w:t>https://www.leagle.com/decision/infco20170803124</w:t>
        </w:r>
      </w:hyperlink>
      <w:r>
        <w:rPr>
          <w:rFonts w:ascii="Times New Roman" w:hAnsi="Times New Roman"/>
          <w:sz w:val="24"/>
          <w:szCs w:val="24"/>
        </w:rPr>
        <w:t xml:space="preserve"> </w:t>
      </w:r>
    </w:p>
    <w:p w14:paraId="7E267947" w14:textId="77777777" w:rsidR="00557CA2" w:rsidRDefault="00557CA2" w:rsidP="00557CA2">
      <w:pPr>
        <w:rPr>
          <w:rFonts w:ascii="Times New Roman" w:hAnsi="Times New Roman"/>
          <w:b/>
          <w:sz w:val="20"/>
          <w:szCs w:val="20"/>
        </w:rPr>
      </w:pPr>
      <w:r>
        <w:rPr>
          <w:rFonts w:ascii="Times New Roman" w:hAnsi="Times New Roman"/>
          <w:b/>
          <w:sz w:val="20"/>
          <w:szCs w:val="20"/>
        </w:rPr>
        <w:lastRenderedPageBreak/>
        <w:tab/>
      </w:r>
      <w:r>
        <w:rPr>
          <w:rFonts w:ascii="Times New Roman" w:hAnsi="Times New Roman"/>
          <w:b/>
          <w:sz w:val="20"/>
          <w:szCs w:val="20"/>
        </w:rPr>
        <w:tab/>
      </w:r>
      <w:r>
        <w:rPr>
          <w:rFonts w:ascii="Times New Roman" w:hAnsi="Times New Roman"/>
          <w:b/>
          <w:sz w:val="20"/>
          <w:szCs w:val="20"/>
        </w:rPr>
        <w:tab/>
      </w:r>
    </w:p>
    <w:p w14:paraId="60D14735" w14:textId="77777777" w:rsidR="00557CA2" w:rsidRDefault="00557CA2" w:rsidP="00F326E5">
      <w:pPr>
        <w:rPr>
          <w:rFonts w:ascii="Arial Black" w:hAnsi="Arial Black"/>
          <w:b/>
          <w:sz w:val="24"/>
          <w:szCs w:val="24"/>
        </w:rPr>
      </w:pPr>
    </w:p>
    <w:p w14:paraId="182846F8" w14:textId="1B13F31E" w:rsidR="00557CA2" w:rsidRDefault="00557CA2" w:rsidP="00F326E5">
      <w:pPr>
        <w:rPr>
          <w:rFonts w:ascii="Arial Black" w:hAnsi="Arial Black"/>
          <w:b/>
          <w:sz w:val="24"/>
          <w:szCs w:val="24"/>
        </w:rPr>
      </w:pPr>
      <w:r>
        <w:rPr>
          <w:rFonts w:ascii="Arial Black" w:hAnsi="Arial Black"/>
          <w:b/>
          <w:sz w:val="24"/>
          <w:szCs w:val="24"/>
        </w:rPr>
        <w:t>11-1</w:t>
      </w:r>
      <w:r w:rsidR="00B13773">
        <w:rPr>
          <w:rFonts w:ascii="Arial Black" w:hAnsi="Arial Black"/>
          <w:b/>
          <w:sz w:val="24"/>
          <w:szCs w:val="24"/>
        </w:rPr>
        <w:t>6</w:t>
      </w:r>
    </w:p>
    <w:p w14:paraId="11052372" w14:textId="77777777" w:rsidR="00557CA2" w:rsidRDefault="00557CA2" w:rsidP="00557CA2">
      <w:pPr>
        <w:spacing w:before="100" w:beforeAutospacing="1" w:after="100" w:afterAutospacing="1" w:line="240" w:lineRule="auto"/>
        <w:rPr>
          <w:rFonts w:ascii="Arial Black" w:hAnsi="Arial Black"/>
          <w:sz w:val="28"/>
          <w:szCs w:val="28"/>
        </w:rPr>
      </w:pPr>
      <w:r>
        <w:rPr>
          <w:rFonts w:ascii="Arial Black" w:hAnsi="Arial Black"/>
          <w:sz w:val="28"/>
          <w:szCs w:val="28"/>
        </w:rPr>
        <w:t>MO: FLSA – FLIGHT MEDIC – AIR EVAC IS “COMMON CARRIER” AND CAN PAY OVERTIME AFTER 84 HRS / 2 WKS</w:t>
      </w:r>
    </w:p>
    <w:p w14:paraId="0D2D9433" w14:textId="77777777" w:rsidR="00557CA2" w:rsidRDefault="00557CA2" w:rsidP="00557CA2">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On Aug. 17, 2020, in </w:t>
      </w:r>
      <w:r>
        <w:rPr>
          <w:rFonts w:ascii="Times New Roman" w:hAnsi="Times New Roman"/>
          <w:sz w:val="24"/>
          <w:szCs w:val="24"/>
          <w:u w:val="single"/>
        </w:rPr>
        <w:t>Jacob Rieglsberger, individually and on behalf of all similarly situated persons v. Air Evac EMS, Inc. et al</w:t>
      </w:r>
      <w:r>
        <w:rPr>
          <w:rFonts w:ascii="Times New Roman" w:hAnsi="Times New Roman"/>
          <w:sz w:val="24"/>
          <w:szCs w:val="24"/>
        </w:rPr>
        <w:t>., the U.S. Court of Appeals for the 8</w:t>
      </w:r>
      <w:r>
        <w:rPr>
          <w:rFonts w:ascii="Times New Roman" w:hAnsi="Times New Roman"/>
          <w:sz w:val="24"/>
          <w:szCs w:val="24"/>
          <w:vertAlign w:val="superscript"/>
        </w:rPr>
        <w:t>th</w:t>
      </w:r>
      <w:r>
        <w:rPr>
          <w:rFonts w:ascii="Times New Roman" w:hAnsi="Times New Roman"/>
          <w:sz w:val="24"/>
          <w:szCs w:val="24"/>
        </w:rPr>
        <w:t xml:space="preserve"> Circuit (St. Louis) held (3 to 0) that plaintiff’s arguments “do not get off the ground.” </w:t>
      </w:r>
    </w:p>
    <w:p w14:paraId="3AAFC201" w14:textId="2EAE3A2A" w:rsidR="00557CA2" w:rsidRDefault="00557CA2" w:rsidP="00557CA2">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 xml:space="preserve">“Riegelsberger's arguments to the contrary do not get off the ground. It makes no difference, for example, that medical providers, rather than the patients themselves, are the primary points of contact in arranging transportation. Just as a major airline can still be a common carrier if a passenger uses a travel agent to arrange transportation, health-care providers can provide the same service for their patients without affecting Air Evac's common-carrier status. </w:t>
      </w:r>
      <w:r>
        <w:rPr>
          <w:rFonts w:ascii="Times New Roman" w:eastAsia="Times New Roman" w:hAnsi="Times New Roman"/>
          <w:i/>
          <w:iCs/>
          <w:sz w:val="24"/>
          <w:szCs w:val="24"/>
        </w:rPr>
        <w:t>Cf</w:t>
      </w:r>
      <w:r>
        <w:rPr>
          <w:rFonts w:ascii="Times New Roman" w:eastAsia="Times New Roman" w:hAnsi="Times New Roman"/>
          <w:sz w:val="24"/>
          <w:szCs w:val="24"/>
        </w:rPr>
        <w:t xml:space="preserve">. </w:t>
      </w:r>
      <w:r>
        <w:rPr>
          <w:rFonts w:ascii="Times New Roman" w:eastAsia="Times New Roman" w:hAnsi="Times New Roman"/>
          <w:i/>
          <w:iCs/>
          <w:sz w:val="24"/>
          <w:szCs w:val="24"/>
        </w:rPr>
        <w:t>Air Evac EMS</w:t>
      </w:r>
      <w:r>
        <w:rPr>
          <w:rFonts w:ascii="Times New Roman" w:eastAsia="Times New Roman" w:hAnsi="Times New Roman"/>
          <w:sz w:val="24"/>
          <w:szCs w:val="24"/>
        </w:rPr>
        <w:t xml:space="preserve">, </w:t>
      </w:r>
      <w:r>
        <w:rPr>
          <w:rFonts w:ascii="Times New Roman" w:eastAsia="Times New Roman" w:hAnsi="Times New Roman"/>
          <w:i/>
          <w:iCs/>
          <w:sz w:val="24"/>
          <w:szCs w:val="24"/>
        </w:rPr>
        <w:t>Inc</w:t>
      </w:r>
      <w:r>
        <w:rPr>
          <w:rFonts w:ascii="Times New Roman" w:eastAsia="Times New Roman" w:hAnsi="Times New Roman"/>
          <w:sz w:val="24"/>
          <w:szCs w:val="24"/>
        </w:rPr>
        <w:t xml:space="preserve">., 910 F.3d at 764 (making a similar analogy). The fact that intermediaries are involved, in other words, does not change what Air Evac ‘actually does,’ which is to transport patients for a fee. </w:t>
      </w:r>
      <w:r>
        <w:rPr>
          <w:rFonts w:ascii="Times New Roman" w:eastAsia="Times New Roman" w:hAnsi="Times New Roman"/>
          <w:i/>
          <w:iCs/>
          <w:sz w:val="24"/>
          <w:szCs w:val="24"/>
        </w:rPr>
        <w:t>United States v</w:t>
      </w:r>
      <w:r>
        <w:rPr>
          <w:rFonts w:ascii="Times New Roman" w:eastAsia="Times New Roman" w:hAnsi="Times New Roman"/>
          <w:sz w:val="24"/>
          <w:szCs w:val="24"/>
        </w:rPr>
        <w:t xml:space="preserve">. </w:t>
      </w:r>
      <w:r>
        <w:rPr>
          <w:rFonts w:ascii="Times New Roman" w:eastAsia="Times New Roman" w:hAnsi="Times New Roman"/>
          <w:i/>
          <w:iCs/>
          <w:sz w:val="24"/>
          <w:szCs w:val="24"/>
        </w:rPr>
        <w:t>One Rockwell Int'l Commander 690C/840</w:t>
      </w:r>
      <w:r>
        <w:rPr>
          <w:rFonts w:ascii="Times New Roman" w:eastAsia="Times New Roman" w:hAnsi="Times New Roman"/>
          <w:sz w:val="24"/>
          <w:szCs w:val="24"/>
        </w:rPr>
        <w:t xml:space="preserve">, </w:t>
      </w:r>
      <w:r>
        <w:rPr>
          <w:rFonts w:ascii="Times New Roman" w:eastAsia="Times New Roman" w:hAnsi="Times New Roman"/>
          <w:i/>
          <w:iCs/>
          <w:sz w:val="24"/>
          <w:szCs w:val="24"/>
        </w:rPr>
        <w:t>Serial No</w:t>
      </w:r>
      <w:r>
        <w:rPr>
          <w:rFonts w:ascii="Times New Roman" w:eastAsia="Times New Roman" w:hAnsi="Times New Roman"/>
          <w:sz w:val="24"/>
          <w:szCs w:val="24"/>
        </w:rPr>
        <w:t xml:space="preserve">. </w:t>
      </w:r>
      <w:r>
        <w:rPr>
          <w:rFonts w:ascii="Times New Roman" w:eastAsia="Times New Roman" w:hAnsi="Times New Roman"/>
          <w:i/>
          <w:iCs/>
          <w:sz w:val="24"/>
          <w:szCs w:val="24"/>
        </w:rPr>
        <w:t>11627</w:t>
      </w:r>
      <w:r>
        <w:rPr>
          <w:rFonts w:ascii="Times New Roman" w:eastAsia="Times New Roman" w:hAnsi="Times New Roman"/>
          <w:sz w:val="24"/>
          <w:szCs w:val="24"/>
        </w:rPr>
        <w:t xml:space="preserve">, 754 F.2d 284, 287 (8th Cir. 1985).”  </w:t>
      </w:r>
      <w:hyperlink r:id="rId1871" w:history="1">
        <w:r>
          <w:rPr>
            <w:rStyle w:val="Hyperlink"/>
            <w:sz w:val="24"/>
            <w:szCs w:val="24"/>
          </w:rPr>
          <w:t>https://law.justia.com/cases/federal/appellate-courts/ca8/19-1414/19-1414-2020-08-17.html</w:t>
        </w:r>
      </w:hyperlink>
      <w:r>
        <w:rPr>
          <w:rFonts w:ascii="Times New Roman" w:eastAsia="Times New Roman" w:hAnsi="Times New Roman"/>
          <w:sz w:val="24"/>
          <w:szCs w:val="24"/>
        </w:rPr>
        <w:t xml:space="preserve"> </w:t>
      </w:r>
    </w:p>
    <w:p w14:paraId="1614ADB0" w14:textId="77777777" w:rsidR="00557CA2" w:rsidRDefault="00557CA2" w:rsidP="00557CA2">
      <w:pPr>
        <w:spacing w:before="100" w:beforeAutospacing="1" w:after="100" w:afterAutospacing="1" w:line="240" w:lineRule="auto"/>
        <w:rPr>
          <w:rFonts w:ascii="Times New Roman" w:hAnsi="Times New Roman"/>
          <w:b/>
          <w:bCs/>
          <w:sz w:val="24"/>
          <w:szCs w:val="24"/>
        </w:rPr>
      </w:pPr>
      <w:r>
        <w:rPr>
          <w:rFonts w:ascii="Times New Roman" w:hAnsi="Times New Roman"/>
          <w:b/>
          <w:bCs/>
          <w:sz w:val="24"/>
          <w:szCs w:val="24"/>
        </w:rPr>
        <w:t xml:space="preserve">Legal Lessons Learned:  Flight medics are entitled to overtime.  </w:t>
      </w:r>
    </w:p>
    <w:p w14:paraId="3257FCF9" w14:textId="77777777" w:rsidR="00557CA2" w:rsidRDefault="00557CA2" w:rsidP="00557CA2">
      <w:pPr>
        <w:pStyle w:val="Heading1"/>
        <w:ind w:left="720"/>
      </w:pPr>
      <w:r>
        <w:rPr>
          <w:b w:val="0"/>
          <w:bCs w:val="0"/>
          <w:sz w:val="24"/>
          <w:szCs w:val="24"/>
        </w:rPr>
        <w:t xml:space="preserve">Note: See this recent settlement: “Air medical company agrees to $78M settlement for overtime” (July 2, 2020); </w:t>
      </w:r>
      <w:hyperlink r:id="rId1872" w:history="1">
        <w:r>
          <w:rPr>
            <w:rStyle w:val="Hyperlink"/>
            <w:rFonts w:eastAsiaTheme="majorEastAsia"/>
            <w:b w:val="0"/>
            <w:bCs w:val="0"/>
            <w:sz w:val="24"/>
            <w:szCs w:val="24"/>
          </w:rPr>
          <w:t>https://www.ems1.com/legal/articles/air-medical-company-agrees-to-78m-settlement-for-overtime-ExknCez8O1D6ZfI4/</w:t>
        </w:r>
      </w:hyperlink>
      <w:r>
        <w:t xml:space="preserve"> </w:t>
      </w:r>
    </w:p>
    <w:p w14:paraId="7490B399" w14:textId="77777777" w:rsidR="00557CA2" w:rsidRDefault="00557CA2" w:rsidP="00557CA2">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“OAKLAND, Calif. — A medical helicopter operator has been ordered to pay $78 million to its flight crew employees for unpaid overtime and missed breaks in a class-action lawsuit settlement. Alameda County Superior Court Judge Winifred Y. Smith agreed Wednesday to the preliminary settlement filed by about 450 former and current medical flight crew members employed in California by Air Methods Corporation of Colorado.</w:t>
      </w:r>
    </w:p>
    <w:p w14:paraId="6E46D7EF" w14:textId="77777777" w:rsidR="00557CA2" w:rsidRDefault="00557CA2" w:rsidP="00557CA2">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Air Methods also is expected to pay daily overtime to its medical flight crew starting from June 28, resulting in an estimated 20% or more increase to their salaries, according to the attorneys representing the crew.</w:t>
      </w:r>
    </w:p>
    <w:p w14:paraId="2ED6E6A2" w14:textId="77777777" w:rsidR="00557CA2" w:rsidRDefault="00557CA2" w:rsidP="00557CA2">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 xml:space="preserve">Air Methods is reportedly the country’s largest air medical transport company and operates helicopter bases. Teams of nurses and paramedics are dispatched in </w:t>
      </w:r>
      <w:proofErr w:type="gramStart"/>
      <w:r>
        <w:rPr>
          <w:rFonts w:ascii="Times New Roman" w:eastAsia="Times New Roman" w:hAnsi="Times New Roman"/>
          <w:sz w:val="24"/>
          <w:szCs w:val="24"/>
        </w:rPr>
        <w:t>the helicopters</w:t>
      </w:r>
      <w:proofErr w:type="gramEnd"/>
      <w:r>
        <w:rPr>
          <w:rFonts w:ascii="Times New Roman" w:eastAsia="Times New Roman" w:hAnsi="Times New Roman"/>
          <w:sz w:val="24"/>
          <w:szCs w:val="24"/>
        </w:rPr>
        <w:t>, often to remote areas.</w:t>
      </w:r>
    </w:p>
    <w:p w14:paraId="055AA39B" w14:textId="77777777" w:rsidR="00557CA2" w:rsidRDefault="00557CA2" w:rsidP="00557CA2">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Air Methods was accused of refusing to pay daily overtime for crews working more than eight hours in a workday. The flight crew commonly worked 24-hour shifts, according to attorney James Sitkin, who represented the crew. He alleged that Air Methods did not allow the flight crew to take off-duty meal breaks or rest breaks.”</w:t>
      </w:r>
    </w:p>
    <w:p w14:paraId="0EC4051F" w14:textId="77777777" w:rsidR="00557CA2" w:rsidRDefault="00557CA2" w:rsidP="00F326E5">
      <w:pPr>
        <w:rPr>
          <w:rFonts w:ascii="Arial Black" w:hAnsi="Arial Black"/>
          <w:b/>
          <w:sz w:val="24"/>
          <w:szCs w:val="24"/>
        </w:rPr>
      </w:pPr>
    </w:p>
    <w:p w14:paraId="54600369" w14:textId="77777777" w:rsidR="00557CA2" w:rsidRDefault="00557CA2" w:rsidP="00F326E5">
      <w:pPr>
        <w:rPr>
          <w:rFonts w:ascii="Arial Black" w:hAnsi="Arial Black"/>
          <w:b/>
          <w:sz w:val="24"/>
          <w:szCs w:val="24"/>
        </w:rPr>
      </w:pPr>
    </w:p>
    <w:p w14:paraId="354AC977" w14:textId="4AF74980" w:rsidR="006B2083" w:rsidRDefault="006B2083" w:rsidP="00F326E5">
      <w:pPr>
        <w:rPr>
          <w:rFonts w:ascii="Arial Black" w:hAnsi="Arial Black"/>
          <w:b/>
          <w:sz w:val="24"/>
          <w:szCs w:val="24"/>
        </w:rPr>
      </w:pPr>
      <w:r>
        <w:rPr>
          <w:rFonts w:ascii="Arial Black" w:hAnsi="Arial Black"/>
          <w:b/>
          <w:sz w:val="24"/>
          <w:szCs w:val="24"/>
        </w:rPr>
        <w:lastRenderedPageBreak/>
        <w:t>11-1</w:t>
      </w:r>
      <w:r w:rsidR="00B13773">
        <w:rPr>
          <w:rFonts w:ascii="Arial Black" w:hAnsi="Arial Black"/>
          <w:b/>
          <w:sz w:val="24"/>
          <w:szCs w:val="24"/>
        </w:rPr>
        <w:t>5</w:t>
      </w:r>
    </w:p>
    <w:p w14:paraId="5E111747" w14:textId="77777777" w:rsidR="006B2083" w:rsidRPr="000046E6" w:rsidRDefault="006B2083" w:rsidP="006B2083">
      <w:pPr>
        <w:pStyle w:val="NoSpacing"/>
        <w:rPr>
          <w:rFonts w:ascii="Arial Black" w:hAnsi="Arial Black"/>
          <w:sz w:val="28"/>
          <w:szCs w:val="28"/>
        </w:rPr>
      </w:pPr>
      <w:r w:rsidRPr="000046E6">
        <w:rPr>
          <w:rFonts w:ascii="Arial Black" w:hAnsi="Arial Black"/>
          <w:sz w:val="28"/>
          <w:szCs w:val="28"/>
        </w:rPr>
        <w:t xml:space="preserve">GA: </w:t>
      </w:r>
      <w:r>
        <w:rPr>
          <w:rFonts w:ascii="Arial Black" w:hAnsi="Arial Black"/>
          <w:sz w:val="28"/>
          <w:szCs w:val="28"/>
        </w:rPr>
        <w:t>COMP TIME – FIREFIGHTERS SUED FD FOR DENIAL LEAVE - SETTLED, 14 FF PAID $1000 EACH - NEW FD POLICY – ATTY FEES</w:t>
      </w:r>
    </w:p>
    <w:p w14:paraId="50B6F46E" w14:textId="77777777" w:rsidR="006B2083" w:rsidRDefault="006B2083" w:rsidP="006B2083">
      <w:pPr>
        <w:pStyle w:val="NoSpacing"/>
        <w:rPr>
          <w:rFonts w:ascii="Times New Roman" w:hAnsi="Times New Roman"/>
          <w:sz w:val="24"/>
          <w:szCs w:val="24"/>
        </w:rPr>
      </w:pPr>
    </w:p>
    <w:p w14:paraId="15CC008C" w14:textId="77777777" w:rsidR="006B2083" w:rsidRDefault="006B2083" w:rsidP="006B2083">
      <w:pPr>
        <w:pStyle w:val="NoSpacing"/>
        <w:rPr>
          <w:rFonts w:ascii="Times New Roman" w:hAnsi="Times New Roman"/>
          <w:sz w:val="24"/>
          <w:szCs w:val="24"/>
        </w:rPr>
      </w:pPr>
      <w:r w:rsidRPr="00EA7DA2">
        <w:rPr>
          <w:rFonts w:ascii="Times New Roman" w:hAnsi="Times New Roman"/>
          <w:sz w:val="24"/>
          <w:szCs w:val="24"/>
        </w:rPr>
        <w:t xml:space="preserve">On July 16, 2020, in </w:t>
      </w:r>
      <w:r w:rsidRPr="00EA7DA2">
        <w:rPr>
          <w:rFonts w:ascii="Times New Roman" w:hAnsi="Times New Roman"/>
          <w:sz w:val="24"/>
          <w:szCs w:val="24"/>
          <w:u w:val="single"/>
        </w:rPr>
        <w:t>Robert Milie, et. al. v. City of Savannah</w:t>
      </w:r>
      <w:r w:rsidRPr="00EA7DA2">
        <w:rPr>
          <w:rFonts w:ascii="Times New Roman" w:hAnsi="Times New Roman"/>
          <w:sz w:val="24"/>
          <w:szCs w:val="24"/>
        </w:rPr>
        <w:t xml:space="preserve">, U.S. District Court Judge R. Stan Baker, Southern District of Georgia, the Court pursuant to the settlement agreement approved attorneys’ fees. </w:t>
      </w:r>
      <w:r>
        <w:rPr>
          <w:rFonts w:ascii="Times New Roman" w:hAnsi="Times New Roman"/>
          <w:sz w:val="24"/>
          <w:szCs w:val="24"/>
        </w:rPr>
        <w:t xml:space="preserve"> Court wrote: </w:t>
      </w:r>
      <w:r w:rsidRPr="005174B8">
        <w:rPr>
          <w:rFonts w:ascii="Times New Roman" w:hAnsi="Times New Roman"/>
          <w:sz w:val="24"/>
          <w:szCs w:val="24"/>
        </w:rPr>
        <w:t>For the reasons set forth below, the Court finds the following across-the-board reductions of Plaintiffs' requested hours to be appropriate: a thirty percent (30%) reduction to the hours billed in Plaintiffs' initial fee petition</w:t>
      </w:r>
      <w:r>
        <w:rPr>
          <w:rFonts w:ascii="Times New Roman" w:hAnsi="Times New Roman"/>
          <w:sz w:val="24"/>
          <w:szCs w:val="24"/>
        </w:rPr>
        <w:t xml:space="preserve"> …;</w:t>
      </w:r>
      <w:r w:rsidRPr="005174B8">
        <w:rPr>
          <w:rFonts w:ascii="Times New Roman" w:hAnsi="Times New Roman"/>
          <w:sz w:val="24"/>
          <w:szCs w:val="24"/>
        </w:rPr>
        <w:t xml:space="preserve"> a sixty percent (60%) reduction to the hours billed in Plaintiffs' first supplemental request</w:t>
      </w:r>
      <w:r>
        <w:rPr>
          <w:rFonts w:ascii="Times New Roman" w:hAnsi="Times New Roman"/>
          <w:sz w:val="24"/>
          <w:szCs w:val="24"/>
        </w:rPr>
        <w:t>…</w:t>
      </w:r>
      <w:r w:rsidRPr="005174B8">
        <w:rPr>
          <w:rFonts w:ascii="Times New Roman" w:hAnsi="Times New Roman"/>
          <w:sz w:val="24"/>
          <w:szCs w:val="24"/>
        </w:rPr>
        <w:t>; and a one-hundred percent (100%) reduction to the hours billed in the second supplemental request</w:t>
      </w:r>
      <w:r>
        <w:rPr>
          <w:rFonts w:ascii="Times New Roman" w:hAnsi="Times New Roman"/>
          <w:sz w:val="24"/>
          <w:szCs w:val="24"/>
        </w:rPr>
        <w:t>….</w:t>
      </w:r>
      <w:r w:rsidRPr="005174B8">
        <w:rPr>
          <w:rFonts w:ascii="Times New Roman" w:hAnsi="Times New Roman"/>
          <w:sz w:val="24"/>
          <w:szCs w:val="24"/>
        </w:rPr>
        <w:t>.</w:t>
      </w:r>
      <w:r>
        <w:rPr>
          <w:rFonts w:ascii="Times New Roman" w:hAnsi="Times New Roman"/>
          <w:sz w:val="24"/>
          <w:szCs w:val="24"/>
        </w:rPr>
        <w:t xml:space="preserve">”  </w:t>
      </w:r>
    </w:p>
    <w:p w14:paraId="4E3DB381" w14:textId="77777777" w:rsidR="006B2083" w:rsidRDefault="006B2083" w:rsidP="006B2083">
      <w:pPr>
        <w:pStyle w:val="NoSpacing"/>
        <w:rPr>
          <w:rFonts w:ascii="Times New Roman" w:hAnsi="Times New Roman"/>
          <w:sz w:val="24"/>
          <w:szCs w:val="24"/>
        </w:rPr>
      </w:pPr>
      <w:hyperlink r:id="rId1873" w:history="1">
        <w:r w:rsidRPr="000603D4">
          <w:rPr>
            <w:rStyle w:val="Hyperlink"/>
            <w:rFonts w:ascii="Times New Roman" w:hAnsi="Times New Roman"/>
            <w:sz w:val="24"/>
            <w:szCs w:val="24"/>
          </w:rPr>
          <w:t>https://public.fastcase.com/Wl%2B2t%2BeVuI35%2FN70vAMFZqOCIluAWFXT7dyIbWSJtbA2tJbGDR%2F5EmjVBjMYm1QS</w:t>
        </w:r>
      </w:hyperlink>
      <w:r>
        <w:rPr>
          <w:rFonts w:ascii="Times New Roman" w:hAnsi="Times New Roman"/>
          <w:sz w:val="24"/>
          <w:szCs w:val="24"/>
        </w:rPr>
        <w:t xml:space="preserve"> </w:t>
      </w:r>
    </w:p>
    <w:p w14:paraId="0F856D1F" w14:textId="77777777" w:rsidR="006B2083" w:rsidRDefault="006B2083" w:rsidP="006B2083">
      <w:pPr>
        <w:pStyle w:val="NoSpacing"/>
        <w:rPr>
          <w:rFonts w:ascii="Times New Roman" w:hAnsi="Times New Roman"/>
          <w:b/>
          <w:bCs/>
          <w:sz w:val="24"/>
          <w:szCs w:val="24"/>
        </w:rPr>
      </w:pPr>
    </w:p>
    <w:p w14:paraId="74C2B557" w14:textId="2BFC779C" w:rsidR="006B2083" w:rsidRDefault="006B2083" w:rsidP="006B2083">
      <w:pPr>
        <w:pStyle w:val="NoSpacing"/>
        <w:rPr>
          <w:rFonts w:ascii="Times New Roman" w:hAnsi="Times New Roman"/>
          <w:b/>
          <w:bCs/>
          <w:sz w:val="24"/>
          <w:szCs w:val="24"/>
        </w:rPr>
      </w:pPr>
      <w:r w:rsidRPr="005174B8">
        <w:rPr>
          <w:rFonts w:ascii="Times New Roman" w:hAnsi="Times New Roman"/>
          <w:b/>
          <w:bCs/>
          <w:sz w:val="24"/>
          <w:szCs w:val="24"/>
        </w:rPr>
        <w:t>Legal Lessons Learned:</w:t>
      </w:r>
      <w:r>
        <w:rPr>
          <w:rFonts w:ascii="Times New Roman" w:hAnsi="Times New Roman"/>
          <w:b/>
          <w:bCs/>
          <w:sz w:val="24"/>
          <w:szCs w:val="24"/>
        </w:rPr>
        <w:t xml:space="preserve"> Comp time requests can sometimes lead to disputes; helpful to have a clear process in the CBA or FD policy. </w:t>
      </w:r>
    </w:p>
    <w:p w14:paraId="6CB3B05B" w14:textId="77777777" w:rsidR="006B2083" w:rsidRDefault="006B2083" w:rsidP="006B2083">
      <w:pPr>
        <w:pStyle w:val="NoSpacing"/>
        <w:rPr>
          <w:rFonts w:ascii="Times New Roman" w:hAnsi="Times New Roman"/>
          <w:b/>
          <w:bCs/>
          <w:sz w:val="24"/>
          <w:szCs w:val="24"/>
        </w:rPr>
      </w:pPr>
    </w:p>
    <w:p w14:paraId="448186AC" w14:textId="77777777" w:rsidR="006B2083" w:rsidRDefault="006B2083" w:rsidP="006B2083">
      <w:pPr>
        <w:pStyle w:val="NoSpacing"/>
        <w:ind w:left="720"/>
        <w:rPr>
          <w:rFonts w:ascii="Times New Roman" w:hAnsi="Times New Roman"/>
          <w:sz w:val="24"/>
          <w:szCs w:val="24"/>
        </w:rPr>
      </w:pPr>
      <w:r w:rsidRPr="005174B8">
        <w:rPr>
          <w:rFonts w:ascii="Times New Roman" w:hAnsi="Times New Roman"/>
          <w:sz w:val="24"/>
          <w:szCs w:val="24"/>
        </w:rPr>
        <w:t xml:space="preserve">Note: While researching this case, found this disturbing </w:t>
      </w:r>
      <w:r>
        <w:rPr>
          <w:rFonts w:ascii="Times New Roman" w:hAnsi="Times New Roman"/>
          <w:sz w:val="24"/>
          <w:szCs w:val="24"/>
        </w:rPr>
        <w:t xml:space="preserve">article about named plaintiff.  </w:t>
      </w:r>
    </w:p>
    <w:p w14:paraId="381858D0" w14:textId="77777777" w:rsidR="006B2083" w:rsidRPr="005174B8" w:rsidRDefault="006B2083" w:rsidP="006B2083">
      <w:pPr>
        <w:pStyle w:val="NoSpacing"/>
        <w:ind w:left="720"/>
        <w:rPr>
          <w:rFonts w:ascii="Times New Roman" w:hAnsi="Times New Roman"/>
          <w:sz w:val="24"/>
          <w:szCs w:val="24"/>
        </w:rPr>
      </w:pPr>
      <w:r w:rsidRPr="005174B8">
        <w:rPr>
          <w:rStyle w:val="timestamp"/>
          <w:rFonts w:ascii="Times New Roman" w:hAnsi="Times New Roman"/>
          <w:sz w:val="24"/>
          <w:szCs w:val="24"/>
        </w:rPr>
        <w:t xml:space="preserve">October 12, 2018, </w:t>
      </w:r>
      <w:r w:rsidRPr="005174B8">
        <w:rPr>
          <w:rFonts w:ascii="Times New Roman" w:hAnsi="Times New Roman"/>
          <w:sz w:val="24"/>
          <w:szCs w:val="24"/>
        </w:rPr>
        <w:t xml:space="preserve">SAVANNAH, GA (WTOC) - The president of the Savannah Professional Firefighters Association has been arrested and is awaiting extradition to Colorado. Robert Milie is in the Chatham County Jail on an extradition hold. The hold is for a sexual assault charge, according to the El Paso County Sheriff’s Office in Colorado. </w:t>
      </w:r>
      <w:hyperlink r:id="rId1874" w:history="1">
        <w:r w:rsidRPr="005174B8">
          <w:rPr>
            <w:rStyle w:val="Hyperlink"/>
            <w:rFonts w:ascii="Times New Roman" w:hAnsi="Times New Roman"/>
            <w:sz w:val="24"/>
            <w:szCs w:val="24"/>
          </w:rPr>
          <w:t>https://www.wtoc.com/2018/10/12/president-savannah-firefighters-association-arrested-incident-colorado/</w:t>
        </w:r>
      </w:hyperlink>
      <w:r w:rsidRPr="005174B8">
        <w:rPr>
          <w:rFonts w:ascii="Times New Roman" w:hAnsi="Times New Roman"/>
          <w:sz w:val="24"/>
          <w:szCs w:val="24"/>
        </w:rPr>
        <w:t xml:space="preserve"> </w:t>
      </w:r>
    </w:p>
    <w:p w14:paraId="191405B9" w14:textId="77777777" w:rsidR="006B2083" w:rsidRDefault="006B2083" w:rsidP="006B2083">
      <w:pPr>
        <w:pStyle w:val="NoSpacing"/>
        <w:rPr>
          <w:rFonts w:ascii="Times New Roman" w:hAnsi="Times New Roman"/>
          <w:b/>
          <w:bCs/>
          <w:sz w:val="24"/>
          <w:szCs w:val="24"/>
        </w:rPr>
      </w:pPr>
    </w:p>
    <w:p w14:paraId="302C3BBC" w14:textId="77777777" w:rsidR="006B2083" w:rsidRPr="005174B8" w:rsidRDefault="006B2083" w:rsidP="006B2083">
      <w:pPr>
        <w:pStyle w:val="NoSpacing"/>
        <w:rPr>
          <w:rFonts w:ascii="Times New Roman" w:eastAsia="Times New Roman" w:hAnsi="Times New Roman"/>
          <w:b/>
          <w:bCs/>
          <w:sz w:val="24"/>
          <w:szCs w:val="24"/>
        </w:rPr>
      </w:pPr>
    </w:p>
    <w:p w14:paraId="2A364FEB" w14:textId="77777777" w:rsidR="006B2083" w:rsidRDefault="006B2083" w:rsidP="00F326E5">
      <w:pPr>
        <w:rPr>
          <w:rFonts w:ascii="Arial Black" w:hAnsi="Arial Black"/>
          <w:b/>
          <w:sz w:val="24"/>
          <w:szCs w:val="24"/>
        </w:rPr>
      </w:pPr>
    </w:p>
    <w:p w14:paraId="44D09ECF" w14:textId="0BED738B" w:rsidR="00FA7B26" w:rsidRDefault="00FA7B26" w:rsidP="00F326E5">
      <w:pPr>
        <w:rPr>
          <w:rFonts w:ascii="Arial Black" w:hAnsi="Arial Black"/>
          <w:b/>
          <w:sz w:val="24"/>
          <w:szCs w:val="24"/>
        </w:rPr>
      </w:pPr>
      <w:r>
        <w:rPr>
          <w:rFonts w:ascii="Arial Black" w:hAnsi="Arial Black"/>
          <w:b/>
          <w:sz w:val="24"/>
          <w:szCs w:val="24"/>
        </w:rPr>
        <w:t>11-1</w:t>
      </w:r>
      <w:r w:rsidR="00B13773">
        <w:rPr>
          <w:rFonts w:ascii="Arial Black" w:hAnsi="Arial Black"/>
          <w:b/>
          <w:sz w:val="24"/>
          <w:szCs w:val="24"/>
        </w:rPr>
        <w:t>4</w:t>
      </w:r>
    </w:p>
    <w:p w14:paraId="6E9FAF7C" w14:textId="77777777" w:rsidR="00FA7B26" w:rsidRPr="00B370C5" w:rsidRDefault="00FA7B26" w:rsidP="00FA7B26">
      <w:pPr>
        <w:spacing w:before="100" w:beforeAutospacing="1" w:after="100" w:afterAutospacing="1" w:line="240" w:lineRule="auto"/>
        <w:rPr>
          <w:rFonts w:ascii="Arial Black" w:eastAsia="Times New Roman" w:hAnsi="Arial Black"/>
          <w:b/>
          <w:bCs/>
          <w:sz w:val="28"/>
          <w:szCs w:val="28"/>
        </w:rPr>
      </w:pPr>
      <w:r w:rsidRPr="00B370C5">
        <w:rPr>
          <w:rFonts w:ascii="Arial Black" w:eastAsia="Times New Roman" w:hAnsi="Arial Black"/>
          <w:b/>
          <w:bCs/>
          <w:sz w:val="28"/>
          <w:szCs w:val="28"/>
        </w:rPr>
        <w:t xml:space="preserve">WI: </w:t>
      </w:r>
      <w:r>
        <w:rPr>
          <w:rFonts w:ascii="Arial Black" w:eastAsia="Times New Roman" w:hAnsi="Arial Black"/>
          <w:b/>
          <w:bCs/>
          <w:sz w:val="28"/>
          <w:szCs w:val="28"/>
        </w:rPr>
        <w:t>PARAMEDIC SUED VILLAGE – CLAIMED NOT PAID OVERTIME AFTER 40 HRS - PROPOSED $55K SETTLEMENT, COURT REQUIRES MORE INFO TO CONFIRM FAIR AMOUNT</w:t>
      </w:r>
    </w:p>
    <w:p w14:paraId="7F1C2B8B" w14:textId="77777777" w:rsidR="00FA7B26" w:rsidRPr="00085C91" w:rsidRDefault="00FA7B26" w:rsidP="00FA7B26">
      <w:pPr>
        <w:pStyle w:val="NoSpacing"/>
        <w:jc w:val="both"/>
        <w:rPr>
          <w:rFonts w:ascii="Times New Roman" w:eastAsia="Times New Roman" w:hAnsi="Times New Roman"/>
          <w:b/>
          <w:bCs/>
          <w:sz w:val="24"/>
          <w:szCs w:val="24"/>
        </w:rPr>
      </w:pPr>
      <w:r w:rsidRPr="00085C91">
        <w:rPr>
          <w:rFonts w:ascii="Times New Roman" w:hAnsi="Times New Roman"/>
          <w:bCs/>
          <w:sz w:val="24"/>
          <w:szCs w:val="24"/>
        </w:rPr>
        <w:t xml:space="preserve">On May 13, 2020, in </w:t>
      </w:r>
      <w:r w:rsidRPr="00085C91">
        <w:rPr>
          <w:rFonts w:ascii="Times New Roman" w:hAnsi="Times New Roman"/>
          <w:bCs/>
          <w:sz w:val="24"/>
          <w:szCs w:val="24"/>
          <w:u w:val="single"/>
        </w:rPr>
        <w:t>Joshua Wendorf v. Village of Plover</w:t>
      </w:r>
      <w:r w:rsidRPr="00085C91">
        <w:rPr>
          <w:rFonts w:ascii="Times New Roman" w:hAnsi="Times New Roman"/>
          <w:bCs/>
          <w:sz w:val="24"/>
          <w:szCs w:val="24"/>
        </w:rPr>
        <w:t>, U.S. District Court William M. Conley, Western District of Wisconsin, declined to approve the settlement, and gave parties 14 days to submit further information regarding “</w:t>
      </w:r>
      <w:r w:rsidRPr="00085C91">
        <w:rPr>
          <w:rFonts w:ascii="Times New Roman" w:eastAsia="Times New Roman" w:hAnsi="Times New Roman"/>
          <w:bCs/>
          <w:sz w:val="24"/>
          <w:szCs w:val="24"/>
        </w:rPr>
        <w:t>whether (a) plaintiff's compensation under the agreement is reasonably consistent with the minimum hourly wage calculation contemplated by the FLSA; and (b) counsel's fee recovery is consistent with plaintiff's written agreement or otherwise supported on this record.”</w:t>
      </w:r>
    </w:p>
    <w:p w14:paraId="76BF6B4E" w14:textId="77777777" w:rsidR="00FA7B26" w:rsidRPr="00085C91" w:rsidRDefault="00FA7B26" w:rsidP="00FA7B26">
      <w:pPr>
        <w:pStyle w:val="NoSpacing"/>
        <w:jc w:val="both"/>
        <w:rPr>
          <w:rFonts w:eastAsia="Times New Roman"/>
          <w:sz w:val="24"/>
          <w:szCs w:val="24"/>
        </w:rPr>
      </w:pPr>
      <w:hyperlink r:id="rId1875" w:history="1">
        <w:r w:rsidRPr="00085C91">
          <w:rPr>
            <w:rStyle w:val="Hyperlink"/>
            <w:rFonts w:ascii="Times New Roman" w:hAnsi="Times New Roman"/>
            <w:sz w:val="24"/>
            <w:szCs w:val="24"/>
          </w:rPr>
          <w:t>https://public.fastcase.com/Wl%2B2t%2BeVuI35%2FN70vAMFZiOi%2BYkXYMCNnCyjC1oPHdpZa1VeLChap2kxy9UfPfNs</w:t>
        </w:r>
      </w:hyperlink>
      <w:r w:rsidRPr="00085C91">
        <w:rPr>
          <w:rFonts w:eastAsia="Times New Roman"/>
          <w:sz w:val="24"/>
          <w:szCs w:val="24"/>
        </w:rPr>
        <w:t xml:space="preserve"> </w:t>
      </w:r>
    </w:p>
    <w:p w14:paraId="12574E10" w14:textId="77777777" w:rsidR="00FA7B26" w:rsidRDefault="00FA7B26" w:rsidP="00FA7B26">
      <w:pPr>
        <w:spacing w:before="100" w:beforeAutospacing="1" w:after="100" w:afterAutospacing="1" w:line="240" w:lineRule="auto"/>
        <w:rPr>
          <w:rFonts w:ascii="Times New Roman" w:eastAsia="Times New Roman" w:hAnsi="Times New Roman"/>
          <w:b/>
          <w:bCs/>
          <w:sz w:val="24"/>
          <w:szCs w:val="24"/>
        </w:rPr>
      </w:pPr>
      <w:r w:rsidRPr="00E06806">
        <w:rPr>
          <w:rFonts w:ascii="Times New Roman" w:eastAsia="Times New Roman" w:hAnsi="Times New Roman"/>
          <w:b/>
          <w:bCs/>
          <w:sz w:val="24"/>
          <w:szCs w:val="24"/>
        </w:rPr>
        <w:t>Legal Lessons Learned:</w:t>
      </w:r>
      <w:r>
        <w:rPr>
          <w:rFonts w:ascii="Times New Roman" w:eastAsia="Times New Roman" w:hAnsi="Times New Roman"/>
          <w:b/>
          <w:bCs/>
          <w:sz w:val="24"/>
          <w:szCs w:val="24"/>
        </w:rPr>
        <w:t xml:space="preserve"> If the paramedic was not “cross-trained” as a firefighter, or had no firefighting duties, he would normally be entitled to overtime pay after 40 hours in a work week.   </w:t>
      </w:r>
    </w:p>
    <w:p w14:paraId="3A5A72A9" w14:textId="77777777" w:rsidR="00FA7B26" w:rsidRPr="00E06806" w:rsidRDefault="00FA7B26" w:rsidP="00FA7B26">
      <w:pPr>
        <w:spacing w:before="100" w:beforeAutospacing="1" w:after="100" w:afterAutospacing="1" w:line="240" w:lineRule="auto"/>
        <w:ind w:left="720"/>
        <w:rPr>
          <w:rFonts w:ascii="Times New Roman" w:eastAsia="Times New Roman" w:hAnsi="Times New Roman"/>
          <w:sz w:val="24"/>
          <w:szCs w:val="24"/>
        </w:rPr>
      </w:pPr>
      <w:r w:rsidRPr="00E06806">
        <w:rPr>
          <w:rFonts w:ascii="Times New Roman" w:eastAsia="Times New Roman" w:hAnsi="Times New Roman"/>
          <w:sz w:val="24"/>
          <w:szCs w:val="24"/>
        </w:rPr>
        <w:t xml:space="preserve">Note: </w:t>
      </w:r>
      <w:r w:rsidRPr="00E06806">
        <w:rPr>
          <w:rFonts w:ascii="Times New Roman" w:hAnsi="Times New Roman"/>
          <w:sz w:val="24"/>
          <w:szCs w:val="24"/>
        </w:rPr>
        <w:t>Section 7(k) of the</w:t>
      </w:r>
      <w:r>
        <w:rPr>
          <w:rFonts w:ascii="Times New Roman" w:hAnsi="Times New Roman"/>
          <w:sz w:val="24"/>
          <w:szCs w:val="24"/>
        </w:rPr>
        <w:t xml:space="preserve"> FLSA </w:t>
      </w:r>
      <w:r w:rsidRPr="00E06806">
        <w:rPr>
          <w:rFonts w:ascii="Times New Roman" w:hAnsi="Times New Roman"/>
          <w:sz w:val="24"/>
          <w:szCs w:val="24"/>
        </w:rPr>
        <w:t xml:space="preserve">provides a partial overtime pay exemption for fire protection and law enforcement personnel (including security personnel in correctional institutions) who are employed by public agencies on a work period basis. </w:t>
      </w:r>
      <w:hyperlink r:id="rId1876" w:history="1">
        <w:r w:rsidRPr="00E06806">
          <w:rPr>
            <w:rStyle w:val="Hyperlink"/>
            <w:sz w:val="24"/>
            <w:szCs w:val="24"/>
          </w:rPr>
          <w:t>https://www.law.cornell.edu/cfr/text/29/553.201</w:t>
        </w:r>
      </w:hyperlink>
      <w:r w:rsidRPr="00E06806">
        <w:rPr>
          <w:rFonts w:ascii="Times New Roman" w:hAnsi="Times New Roman"/>
          <w:sz w:val="24"/>
          <w:szCs w:val="24"/>
        </w:rPr>
        <w:t xml:space="preserve"> </w:t>
      </w:r>
    </w:p>
    <w:p w14:paraId="6508815A" w14:textId="77777777" w:rsidR="00FA7B26" w:rsidRDefault="00FA7B26" w:rsidP="00F326E5">
      <w:pPr>
        <w:rPr>
          <w:rFonts w:ascii="Arial Black" w:hAnsi="Arial Black"/>
          <w:b/>
          <w:sz w:val="24"/>
          <w:szCs w:val="24"/>
        </w:rPr>
      </w:pPr>
    </w:p>
    <w:p w14:paraId="6C539940" w14:textId="77777777" w:rsidR="00FA7B26" w:rsidRDefault="00FA7B26" w:rsidP="00F326E5">
      <w:pPr>
        <w:rPr>
          <w:rFonts w:ascii="Arial Black" w:hAnsi="Arial Black"/>
          <w:b/>
          <w:sz w:val="24"/>
          <w:szCs w:val="24"/>
        </w:rPr>
      </w:pPr>
    </w:p>
    <w:p w14:paraId="726D3577" w14:textId="041E76C7" w:rsidR="0066298F" w:rsidRDefault="003E0062" w:rsidP="00F326E5">
      <w:pPr>
        <w:rPr>
          <w:rFonts w:ascii="Arial Black" w:hAnsi="Arial Black"/>
          <w:b/>
          <w:sz w:val="24"/>
          <w:szCs w:val="24"/>
        </w:rPr>
      </w:pPr>
      <w:r>
        <w:rPr>
          <w:rFonts w:ascii="Arial Black" w:hAnsi="Arial Black"/>
          <w:b/>
          <w:sz w:val="24"/>
          <w:szCs w:val="24"/>
        </w:rPr>
        <w:t>1</w:t>
      </w:r>
      <w:r w:rsidR="0066298F">
        <w:rPr>
          <w:rFonts w:ascii="Arial Black" w:hAnsi="Arial Black"/>
          <w:b/>
          <w:sz w:val="24"/>
          <w:szCs w:val="24"/>
        </w:rPr>
        <w:t>1-1</w:t>
      </w:r>
      <w:r w:rsidR="00B13773">
        <w:rPr>
          <w:rFonts w:ascii="Arial Black" w:hAnsi="Arial Black"/>
          <w:b/>
          <w:sz w:val="24"/>
          <w:szCs w:val="24"/>
        </w:rPr>
        <w:t>3</w:t>
      </w:r>
    </w:p>
    <w:p w14:paraId="14EAB4C5" w14:textId="77777777" w:rsidR="0066298F" w:rsidRDefault="0066298F" w:rsidP="0066298F">
      <w:pPr>
        <w:pStyle w:val="NoSpacing"/>
        <w:rPr>
          <w:rFonts w:ascii="DArial Black" w:hAnsi="DArial Black"/>
          <w:sz w:val="28"/>
          <w:szCs w:val="28"/>
        </w:rPr>
      </w:pPr>
      <w:bookmarkStart w:id="392" w:name="_Hlk39771771"/>
      <w:r w:rsidRPr="001953A2">
        <w:rPr>
          <w:rFonts w:ascii="Arial Black" w:hAnsi="Arial Black"/>
          <w:sz w:val="28"/>
          <w:szCs w:val="28"/>
        </w:rPr>
        <w:t>U.S. DEPT. OF LABOR:  BONUS PAYMENTS FOR LENGTH OF SERVICE – IF GUARANTEED</w:t>
      </w:r>
      <w:r>
        <w:rPr>
          <w:rFonts w:ascii="Arial Black" w:hAnsi="Arial Black"/>
          <w:sz w:val="28"/>
          <w:szCs w:val="28"/>
        </w:rPr>
        <w:t>, M</w:t>
      </w:r>
      <w:r w:rsidRPr="001953A2">
        <w:rPr>
          <w:rFonts w:ascii="Arial Black" w:hAnsi="Arial Black"/>
          <w:sz w:val="28"/>
          <w:szCs w:val="28"/>
        </w:rPr>
        <w:t xml:space="preserve">UST </w:t>
      </w:r>
      <w:r>
        <w:rPr>
          <w:rFonts w:ascii="Arial Black" w:hAnsi="Arial Black"/>
          <w:sz w:val="28"/>
          <w:szCs w:val="28"/>
        </w:rPr>
        <w:t>INCLUDE IN “</w:t>
      </w:r>
      <w:r w:rsidRPr="001953A2">
        <w:rPr>
          <w:rFonts w:ascii="Arial Black" w:hAnsi="Arial Black"/>
          <w:sz w:val="28"/>
          <w:szCs w:val="28"/>
        </w:rPr>
        <w:t>REGULAR RATE OF PAY</w:t>
      </w:r>
      <w:r>
        <w:rPr>
          <w:rFonts w:ascii="DArial Black" w:hAnsi="DArial Black"/>
          <w:sz w:val="28"/>
          <w:szCs w:val="28"/>
        </w:rPr>
        <w:t>”</w:t>
      </w:r>
    </w:p>
    <w:p w14:paraId="0B259E05" w14:textId="77777777" w:rsidR="0066298F" w:rsidRDefault="0066298F" w:rsidP="0066298F">
      <w:pPr>
        <w:pStyle w:val="NoSpacing"/>
        <w:rPr>
          <w:rFonts w:ascii="DArial Black" w:hAnsi="DArial Black"/>
          <w:sz w:val="28"/>
          <w:szCs w:val="28"/>
        </w:rPr>
      </w:pPr>
    </w:p>
    <w:p w14:paraId="3D2BDEFD" w14:textId="77777777" w:rsidR="0066298F" w:rsidRPr="00665BD0" w:rsidRDefault="0066298F" w:rsidP="0066298F">
      <w:pPr>
        <w:pStyle w:val="NoSpacing"/>
        <w:rPr>
          <w:rFonts w:ascii="Times New Roman" w:hAnsi="Times New Roman"/>
          <w:b/>
          <w:bCs/>
          <w:sz w:val="24"/>
          <w:szCs w:val="24"/>
        </w:rPr>
      </w:pPr>
      <w:r w:rsidRPr="00665BD0">
        <w:rPr>
          <w:rFonts w:ascii="Times New Roman" w:hAnsi="Times New Roman"/>
          <w:bCs/>
          <w:sz w:val="24"/>
          <w:szCs w:val="24"/>
        </w:rPr>
        <w:t xml:space="preserve">On March 26, 2020, the U.S. Department of Labor, Wage &amp; Hour Division, issued Opinion Letter </w:t>
      </w:r>
      <w:bookmarkStart w:id="393" w:name="_Hlk39847348"/>
      <w:r w:rsidRPr="00665BD0">
        <w:rPr>
          <w:rFonts w:ascii="Times New Roman" w:hAnsi="Times New Roman"/>
          <w:bCs/>
          <w:sz w:val="24"/>
          <w:szCs w:val="24"/>
        </w:rPr>
        <w:t>FLSA 2020-3</w:t>
      </w:r>
      <w:bookmarkEnd w:id="393"/>
      <w:r w:rsidRPr="00665BD0">
        <w:rPr>
          <w:rFonts w:ascii="Times New Roman" w:hAnsi="Times New Roman"/>
          <w:bCs/>
          <w:sz w:val="24"/>
          <w:szCs w:val="24"/>
        </w:rPr>
        <w:t>.</w:t>
      </w:r>
    </w:p>
    <w:p w14:paraId="57165A17" w14:textId="77777777" w:rsidR="0066298F" w:rsidRPr="00665BD0" w:rsidRDefault="0066298F" w:rsidP="0066298F">
      <w:pPr>
        <w:pStyle w:val="NoSpacing"/>
        <w:rPr>
          <w:rFonts w:ascii="Times New Roman" w:hAnsi="Times New Roman"/>
          <w:b/>
          <w:bCs/>
          <w:sz w:val="24"/>
          <w:szCs w:val="24"/>
        </w:rPr>
      </w:pPr>
    </w:p>
    <w:p w14:paraId="0F8AF774" w14:textId="77777777" w:rsidR="0066298F" w:rsidRPr="00665BD0" w:rsidRDefault="0066298F" w:rsidP="0066298F">
      <w:pPr>
        <w:pStyle w:val="NoSpacing"/>
        <w:ind w:left="720"/>
        <w:rPr>
          <w:rFonts w:ascii="Times New Roman" w:hAnsi="Times New Roman"/>
          <w:b/>
          <w:bCs/>
          <w:sz w:val="24"/>
          <w:szCs w:val="24"/>
        </w:rPr>
      </w:pPr>
      <w:r w:rsidRPr="00665BD0">
        <w:rPr>
          <w:rFonts w:ascii="Times New Roman" w:hAnsi="Times New Roman"/>
          <w:bCs/>
          <w:sz w:val="24"/>
          <w:szCs w:val="24"/>
        </w:rPr>
        <w:t xml:space="preserve">“Based on the facts you have provided, the City’s longevity payments made to employees pursuant to the 1981 Resolution are not excludable as ‘payments </w:t>
      </w:r>
      <w:proofErr w:type="gramStart"/>
      <w:r w:rsidRPr="00665BD0">
        <w:rPr>
          <w:rFonts w:ascii="Times New Roman" w:hAnsi="Times New Roman"/>
          <w:bCs/>
          <w:sz w:val="24"/>
          <w:szCs w:val="24"/>
        </w:rPr>
        <w:t>in the nature of gifts’</w:t>
      </w:r>
      <w:proofErr w:type="gramEnd"/>
      <w:r w:rsidRPr="00665BD0">
        <w:rPr>
          <w:rFonts w:ascii="Times New Roman" w:hAnsi="Times New Roman"/>
          <w:bCs/>
          <w:sz w:val="24"/>
          <w:szCs w:val="24"/>
        </w:rPr>
        <w:t xml:space="preserve"> under Section 207(e)(1)…. Thus, longevity payments to eligible employees are </w:t>
      </w:r>
      <w:r w:rsidRPr="00665BD0">
        <w:rPr>
          <w:rFonts w:ascii="Times New Roman" w:hAnsi="Times New Roman"/>
          <w:bCs/>
          <w:i/>
          <w:iCs/>
          <w:sz w:val="24"/>
          <w:szCs w:val="24"/>
        </w:rPr>
        <w:t>required</w:t>
      </w:r>
      <w:r w:rsidRPr="00665BD0">
        <w:rPr>
          <w:rFonts w:ascii="Times New Roman" w:hAnsi="Times New Roman"/>
          <w:bCs/>
          <w:sz w:val="24"/>
          <w:szCs w:val="24"/>
        </w:rPr>
        <w:t xml:space="preserve"> by the 1981 Resolution…. Rather, such longevity </w:t>
      </w:r>
      <w:proofErr w:type="gramStart"/>
      <w:r w:rsidRPr="00665BD0">
        <w:rPr>
          <w:rFonts w:ascii="Times New Roman" w:hAnsi="Times New Roman"/>
          <w:bCs/>
          <w:sz w:val="24"/>
          <w:szCs w:val="24"/>
        </w:rPr>
        <w:t>pay</w:t>
      </w:r>
      <w:proofErr w:type="gramEnd"/>
      <w:r w:rsidRPr="00665BD0">
        <w:rPr>
          <w:rFonts w:ascii="Times New Roman" w:hAnsi="Times New Roman"/>
          <w:bCs/>
          <w:sz w:val="24"/>
          <w:szCs w:val="24"/>
        </w:rPr>
        <w:t xml:space="preserve"> required by law must be included in the regular rate…. If, on the other hand, the City’s Resolution said that “eligible employees of the City </w:t>
      </w:r>
      <w:r w:rsidRPr="00665BD0">
        <w:rPr>
          <w:rFonts w:ascii="Times New Roman" w:hAnsi="Times New Roman"/>
          <w:bCs/>
          <w:i/>
          <w:iCs/>
          <w:sz w:val="24"/>
          <w:szCs w:val="24"/>
        </w:rPr>
        <w:t xml:space="preserve">may </w:t>
      </w:r>
      <w:r w:rsidRPr="00665BD0">
        <w:rPr>
          <w:rFonts w:ascii="Times New Roman" w:hAnsi="Times New Roman"/>
          <w:bCs/>
          <w:sz w:val="24"/>
          <w:szCs w:val="24"/>
        </w:rPr>
        <w:t xml:space="preserve">be entitled to longevity pay” of up to a maximum amount … the payments could still be excluded from the regular rate….”   </w:t>
      </w:r>
      <w:bookmarkStart w:id="394" w:name="_Hlk39847370"/>
      <w:r w:rsidR="00BC38B6">
        <w:fldChar w:fldCharType="begin"/>
      </w:r>
      <w:r w:rsidR="00BC38B6">
        <w:instrText xml:space="preserve"> HYPERLINK "https://www.dol.gov/sites/dolgov/files/WHD/legacy/files/2020_03_26_03_FLSA.pdf" </w:instrText>
      </w:r>
      <w:r w:rsidR="00BC38B6">
        <w:fldChar w:fldCharType="separate"/>
      </w:r>
      <w:r w:rsidRPr="00665BD0">
        <w:rPr>
          <w:rStyle w:val="Hyperlink"/>
          <w:rFonts w:ascii="Times New Roman" w:hAnsi="Times New Roman"/>
          <w:b/>
          <w:sz w:val="24"/>
          <w:szCs w:val="24"/>
        </w:rPr>
        <w:t>https://www.dol.gov/sites/dolgov/files/WHD/legacy/files/2020_03_26_03_FLSA.pdf</w:t>
      </w:r>
      <w:r w:rsidR="00BC38B6">
        <w:rPr>
          <w:rStyle w:val="Hyperlink"/>
          <w:rFonts w:ascii="Times New Roman" w:hAnsi="Times New Roman"/>
          <w:b/>
          <w:sz w:val="24"/>
          <w:szCs w:val="24"/>
        </w:rPr>
        <w:fldChar w:fldCharType="end"/>
      </w:r>
    </w:p>
    <w:bookmarkEnd w:id="392"/>
    <w:bookmarkEnd w:id="394"/>
    <w:p w14:paraId="6143E179" w14:textId="77777777" w:rsidR="0066298F" w:rsidRPr="00665BD0" w:rsidRDefault="0066298F" w:rsidP="0066298F">
      <w:pPr>
        <w:pStyle w:val="NoSpacing"/>
        <w:rPr>
          <w:rFonts w:ascii="Times New Roman" w:hAnsi="Times New Roman"/>
          <w:b/>
          <w:bCs/>
          <w:sz w:val="24"/>
          <w:szCs w:val="24"/>
        </w:rPr>
      </w:pPr>
    </w:p>
    <w:p w14:paraId="6E3767DF" w14:textId="77777777" w:rsidR="0066298F" w:rsidRPr="00665BD0" w:rsidRDefault="0066298F" w:rsidP="0066298F">
      <w:pPr>
        <w:pStyle w:val="NoSpacing"/>
        <w:rPr>
          <w:rFonts w:ascii="Times New Roman" w:hAnsi="Times New Roman"/>
          <w:b/>
          <w:bCs/>
          <w:sz w:val="24"/>
          <w:szCs w:val="24"/>
        </w:rPr>
      </w:pPr>
      <w:r w:rsidRPr="00665BD0">
        <w:rPr>
          <w:rFonts w:ascii="Times New Roman" w:hAnsi="Times New Roman"/>
          <w:b/>
          <w:bCs/>
          <w:sz w:val="24"/>
          <w:szCs w:val="24"/>
        </w:rPr>
        <w:t>Legal Lessons Learned: Under this opinion letter, employees of this city who are paid on an hourly basis will now be entitled to a higher hourly rate of pay based on the guaranteed annual longevity bonus.</w:t>
      </w:r>
      <w:r w:rsidRPr="00665BD0">
        <w:rPr>
          <w:rFonts w:ascii="Times New Roman" w:hAnsi="Times New Roman"/>
          <w:sz w:val="24"/>
          <w:szCs w:val="24"/>
        </w:rPr>
        <w:t xml:space="preserve">  </w:t>
      </w:r>
      <w:r w:rsidRPr="00665BD0">
        <w:rPr>
          <w:rFonts w:ascii="Times New Roman" w:hAnsi="Times New Roman"/>
          <w:bCs/>
          <w:sz w:val="24"/>
          <w:szCs w:val="24"/>
        </w:rPr>
        <w:t xml:space="preserve">See the regulation: </w:t>
      </w:r>
    </w:p>
    <w:p w14:paraId="5E98D311" w14:textId="77777777" w:rsidR="0066298F" w:rsidRPr="00665BD0" w:rsidRDefault="0066298F" w:rsidP="0066298F">
      <w:pPr>
        <w:pStyle w:val="NoSpacing"/>
        <w:ind w:firstLine="720"/>
        <w:rPr>
          <w:rFonts w:ascii="Times New Roman" w:hAnsi="Times New Roman"/>
          <w:b/>
          <w:bCs/>
          <w:sz w:val="24"/>
          <w:szCs w:val="24"/>
        </w:rPr>
      </w:pPr>
      <w:r w:rsidRPr="00665BD0">
        <w:rPr>
          <w:rFonts w:ascii="Times New Roman" w:hAnsi="Times New Roman"/>
          <w:bCs/>
          <w:sz w:val="24"/>
          <w:szCs w:val="24"/>
        </w:rPr>
        <w:t>29 U.S.C. § 207(e)(l)</w:t>
      </w:r>
    </w:p>
    <w:p w14:paraId="27E61329" w14:textId="77777777" w:rsidR="0066298F" w:rsidRPr="00665BD0" w:rsidRDefault="0066298F" w:rsidP="0066298F">
      <w:pPr>
        <w:pStyle w:val="NoSpacing"/>
        <w:ind w:left="720"/>
        <w:rPr>
          <w:rStyle w:val="heading"/>
          <w:rFonts w:ascii="Times New Roman" w:hAnsi="Times New Roman"/>
          <w:b/>
          <w:bCs/>
          <w:sz w:val="24"/>
          <w:szCs w:val="24"/>
        </w:rPr>
      </w:pPr>
      <w:r w:rsidRPr="00665BD0">
        <w:rPr>
          <w:rStyle w:val="num"/>
          <w:rFonts w:ascii="Times New Roman" w:hAnsi="Times New Roman"/>
          <w:bCs/>
          <w:sz w:val="24"/>
          <w:szCs w:val="24"/>
        </w:rPr>
        <w:t>(e)</w:t>
      </w:r>
      <w:r w:rsidRPr="00665BD0">
        <w:rPr>
          <w:rStyle w:val="heading"/>
          <w:rFonts w:ascii="Times New Roman" w:hAnsi="Times New Roman"/>
          <w:bCs/>
          <w:sz w:val="24"/>
          <w:szCs w:val="24"/>
        </w:rPr>
        <w:t xml:space="preserve"> “Regular rate” defined</w:t>
      </w:r>
    </w:p>
    <w:p w14:paraId="4079D985" w14:textId="77777777" w:rsidR="0066298F" w:rsidRPr="00665BD0" w:rsidRDefault="0066298F" w:rsidP="0066298F">
      <w:pPr>
        <w:pStyle w:val="NoSpacing"/>
        <w:ind w:left="720"/>
        <w:rPr>
          <w:rFonts w:ascii="Times New Roman" w:hAnsi="Times New Roman"/>
          <w:b/>
          <w:bCs/>
          <w:sz w:val="24"/>
          <w:szCs w:val="24"/>
        </w:rPr>
      </w:pPr>
      <w:r w:rsidRPr="00665BD0">
        <w:rPr>
          <w:rStyle w:val="chapeau"/>
          <w:rFonts w:ascii="Times New Roman" w:hAnsi="Times New Roman"/>
          <w:bCs/>
          <w:sz w:val="24"/>
          <w:szCs w:val="24"/>
        </w:rPr>
        <w:t xml:space="preserve">As used in this section the “regular rate” at which an </w:t>
      </w:r>
      <w:hyperlink r:id="rId1877" w:history="1">
        <w:r w:rsidRPr="00665BD0">
          <w:rPr>
            <w:rStyle w:val="Hyperlink"/>
            <w:rFonts w:ascii="Times New Roman" w:hAnsi="Times New Roman"/>
            <w:b/>
            <w:sz w:val="24"/>
            <w:szCs w:val="24"/>
          </w:rPr>
          <w:t>employee</w:t>
        </w:r>
      </w:hyperlink>
      <w:r w:rsidRPr="00665BD0">
        <w:rPr>
          <w:rStyle w:val="chapeau"/>
          <w:rFonts w:ascii="Times New Roman" w:hAnsi="Times New Roman"/>
          <w:bCs/>
          <w:sz w:val="24"/>
          <w:szCs w:val="24"/>
        </w:rPr>
        <w:t xml:space="preserve"> is employed shall be deemed to include all remuneration for employment paid to, or on behalf of, the </w:t>
      </w:r>
      <w:hyperlink r:id="rId1878" w:history="1">
        <w:r w:rsidRPr="00665BD0">
          <w:rPr>
            <w:rStyle w:val="Hyperlink"/>
            <w:rFonts w:ascii="Times New Roman" w:hAnsi="Times New Roman"/>
            <w:b/>
            <w:sz w:val="24"/>
            <w:szCs w:val="24"/>
          </w:rPr>
          <w:t>employee</w:t>
        </w:r>
      </w:hyperlink>
      <w:r w:rsidRPr="00665BD0">
        <w:rPr>
          <w:rStyle w:val="chapeau"/>
          <w:rFonts w:ascii="Times New Roman" w:hAnsi="Times New Roman"/>
          <w:bCs/>
          <w:sz w:val="24"/>
          <w:szCs w:val="24"/>
        </w:rPr>
        <w:t>, but shall not be deemed to include—</w:t>
      </w:r>
      <w:r w:rsidRPr="00665BD0">
        <w:rPr>
          <w:rFonts w:ascii="Times New Roman" w:hAnsi="Times New Roman"/>
          <w:bCs/>
          <w:sz w:val="24"/>
          <w:szCs w:val="24"/>
        </w:rPr>
        <w:t xml:space="preserve"> </w:t>
      </w:r>
    </w:p>
    <w:p w14:paraId="1D9AA40D" w14:textId="77777777" w:rsidR="0066298F" w:rsidRPr="00665BD0" w:rsidRDefault="0066298F" w:rsidP="0066298F">
      <w:pPr>
        <w:pStyle w:val="NoSpacing"/>
        <w:ind w:left="720"/>
        <w:rPr>
          <w:rFonts w:ascii="Times New Roman" w:hAnsi="Times New Roman"/>
          <w:b/>
          <w:bCs/>
          <w:sz w:val="24"/>
          <w:szCs w:val="24"/>
        </w:rPr>
      </w:pPr>
      <w:bookmarkStart w:id="395" w:name="e_1"/>
      <w:bookmarkEnd w:id="395"/>
      <w:r w:rsidRPr="00665BD0">
        <w:rPr>
          <w:rStyle w:val="num"/>
          <w:rFonts w:ascii="Times New Roman" w:hAnsi="Times New Roman"/>
          <w:bCs/>
          <w:sz w:val="24"/>
          <w:szCs w:val="24"/>
        </w:rPr>
        <w:t>(1)</w:t>
      </w:r>
      <w:r w:rsidRPr="00665BD0">
        <w:rPr>
          <w:rFonts w:ascii="Times New Roman" w:hAnsi="Times New Roman"/>
          <w:bCs/>
          <w:sz w:val="24"/>
          <w:szCs w:val="24"/>
        </w:rPr>
        <w:t xml:space="preserve"> sums paid as gifts; payments </w:t>
      </w:r>
      <w:proofErr w:type="gramStart"/>
      <w:r w:rsidRPr="00665BD0">
        <w:rPr>
          <w:rFonts w:ascii="Times New Roman" w:hAnsi="Times New Roman"/>
          <w:bCs/>
          <w:sz w:val="24"/>
          <w:szCs w:val="24"/>
        </w:rPr>
        <w:t>in the nature of gifts</w:t>
      </w:r>
      <w:proofErr w:type="gramEnd"/>
      <w:r w:rsidRPr="00665BD0">
        <w:rPr>
          <w:rFonts w:ascii="Times New Roman" w:hAnsi="Times New Roman"/>
          <w:bCs/>
          <w:sz w:val="24"/>
          <w:szCs w:val="24"/>
        </w:rPr>
        <w:t xml:space="preserve"> made at Christmas time or on other special occasions, as a reward for service, the amounts of which are not measured by or dependent on hours worked, production, or efficiency…. </w:t>
      </w:r>
      <w:hyperlink r:id="rId1879" w:history="1">
        <w:r w:rsidRPr="00665BD0">
          <w:rPr>
            <w:rStyle w:val="Hyperlink"/>
            <w:rFonts w:ascii="Times New Roman" w:hAnsi="Times New Roman"/>
            <w:b/>
            <w:sz w:val="24"/>
            <w:szCs w:val="24"/>
          </w:rPr>
          <w:t>https://www.law.cornell.edu/uscode/text/29/207</w:t>
        </w:r>
      </w:hyperlink>
      <w:r w:rsidRPr="00665BD0">
        <w:rPr>
          <w:rFonts w:ascii="Times New Roman" w:hAnsi="Times New Roman"/>
          <w:bCs/>
          <w:sz w:val="24"/>
          <w:szCs w:val="24"/>
        </w:rPr>
        <w:t xml:space="preserve"> </w:t>
      </w:r>
    </w:p>
    <w:p w14:paraId="50944D4E" w14:textId="77777777" w:rsidR="0066298F" w:rsidRPr="000426EE" w:rsidRDefault="0066298F" w:rsidP="0066298F">
      <w:pPr>
        <w:pStyle w:val="NoSpacing"/>
        <w:rPr>
          <w:b/>
          <w:bCs/>
          <w:sz w:val="24"/>
          <w:szCs w:val="24"/>
        </w:rPr>
      </w:pPr>
    </w:p>
    <w:p w14:paraId="245CFAD0" w14:textId="77777777" w:rsidR="0066298F" w:rsidRDefault="0066298F" w:rsidP="00F326E5">
      <w:pPr>
        <w:rPr>
          <w:rFonts w:ascii="Arial Black" w:hAnsi="Arial Black"/>
          <w:b/>
          <w:sz w:val="24"/>
          <w:szCs w:val="24"/>
        </w:rPr>
      </w:pPr>
    </w:p>
    <w:p w14:paraId="67C345AF" w14:textId="6C40945C" w:rsidR="00F55498" w:rsidRDefault="00B13773" w:rsidP="00F326E5">
      <w:pPr>
        <w:rPr>
          <w:rFonts w:ascii="Arial Black" w:hAnsi="Arial Black"/>
          <w:b/>
          <w:sz w:val="24"/>
          <w:szCs w:val="24"/>
        </w:rPr>
      </w:pPr>
      <w:r>
        <w:rPr>
          <w:rFonts w:ascii="Arial Black" w:hAnsi="Arial Black"/>
          <w:b/>
          <w:sz w:val="24"/>
          <w:szCs w:val="24"/>
        </w:rPr>
        <w:t>11-12</w:t>
      </w:r>
    </w:p>
    <w:p w14:paraId="76825F13" w14:textId="77777777" w:rsidR="00F55498" w:rsidRDefault="00F55498" w:rsidP="00F55498">
      <w:pPr>
        <w:rPr>
          <w:rFonts w:ascii="Arial Black" w:hAnsi="Arial Black"/>
          <w:b/>
          <w:sz w:val="28"/>
          <w:szCs w:val="28"/>
        </w:rPr>
      </w:pPr>
      <w:r>
        <w:rPr>
          <w:rFonts w:ascii="Arial Black" w:hAnsi="Arial Black"/>
          <w:b/>
          <w:sz w:val="28"/>
          <w:szCs w:val="28"/>
        </w:rPr>
        <w:t>DC: U.S. DEPARTMENT OF JUSTICE – SERVICEMEMBERS’ CIVIL RIGHTS</w:t>
      </w:r>
    </w:p>
    <w:p w14:paraId="74101197" w14:textId="77777777" w:rsidR="00F55498" w:rsidRDefault="00F55498" w:rsidP="00F55498">
      <w:pPr>
        <w:pStyle w:val="NoSpacing"/>
        <w:rPr>
          <w:rFonts w:ascii="Times New Roman" w:hAnsi="Times New Roman"/>
          <w:sz w:val="24"/>
          <w:szCs w:val="24"/>
        </w:rPr>
      </w:pPr>
      <w:r w:rsidRPr="00E9307E">
        <w:rPr>
          <w:rFonts w:ascii="Times New Roman" w:hAnsi="Times New Roman"/>
          <w:sz w:val="24"/>
          <w:szCs w:val="24"/>
        </w:rPr>
        <w:t xml:space="preserve">March 30, 2020: DC – COVID-19: Servicemembers’ Civil Rights - Message </w:t>
      </w:r>
      <w:proofErr w:type="gramStart"/>
      <w:r w:rsidRPr="00E9307E">
        <w:rPr>
          <w:rFonts w:ascii="Times New Roman" w:hAnsi="Times New Roman"/>
          <w:sz w:val="24"/>
          <w:szCs w:val="24"/>
        </w:rPr>
        <w:t>From</w:t>
      </w:r>
      <w:proofErr w:type="gramEnd"/>
      <w:r w:rsidRPr="00E9307E">
        <w:rPr>
          <w:rFonts w:ascii="Times New Roman" w:hAnsi="Times New Roman"/>
          <w:sz w:val="24"/>
          <w:szCs w:val="24"/>
        </w:rPr>
        <w:t xml:space="preserve"> </w:t>
      </w:r>
      <w:proofErr w:type="gramStart"/>
      <w:r w:rsidRPr="00E9307E">
        <w:rPr>
          <w:rFonts w:ascii="Times New Roman" w:hAnsi="Times New Roman"/>
          <w:sz w:val="24"/>
          <w:szCs w:val="24"/>
        </w:rPr>
        <w:t>The</w:t>
      </w:r>
      <w:proofErr w:type="gramEnd"/>
      <w:r w:rsidRPr="00E9307E">
        <w:rPr>
          <w:rFonts w:ascii="Times New Roman" w:hAnsi="Times New Roman"/>
          <w:sz w:val="24"/>
          <w:szCs w:val="24"/>
        </w:rPr>
        <w:t xml:space="preserve"> Assistant Attorney General </w:t>
      </w:r>
    </w:p>
    <w:p w14:paraId="277FBC9B" w14:textId="77777777" w:rsidR="00F55498" w:rsidRDefault="00F55498" w:rsidP="00F55498">
      <w:pPr>
        <w:pStyle w:val="NoSpacing"/>
        <w:ind w:left="720"/>
        <w:rPr>
          <w:rFonts w:ascii="Times New Roman" w:hAnsi="Times New Roman"/>
          <w:sz w:val="24"/>
          <w:szCs w:val="24"/>
        </w:rPr>
      </w:pPr>
      <w:r>
        <w:rPr>
          <w:rFonts w:ascii="Times New Roman" w:hAnsi="Times New Roman"/>
          <w:sz w:val="24"/>
          <w:szCs w:val="24"/>
        </w:rPr>
        <w:t>“</w:t>
      </w:r>
      <w:r w:rsidRPr="00E9307E">
        <w:rPr>
          <w:rFonts w:ascii="Times New Roman" w:hAnsi="Times New Roman"/>
          <w:sz w:val="24"/>
          <w:szCs w:val="24"/>
        </w:rPr>
        <w:t xml:space="preserve">The Civil Rights Division enforces multiple federal laws that protect the rights of servicemembers and veterans.  We protect servicemembers’ financial and housing rights by enforcing the Servicemembers Civil Relief Act, or the SCRA.  Since January 2017, our SCRA settlements have included over $10 million in damages and civil penalties.  We protect servicemembers’ civilian employment rights by litigating claims against employers who violate the Uniformed Services Employment and Reemployment Rights Act, or USERRA.  And, we protect their voting rights by enforcing the Uniformed and Overseas Citizens Absentee Voting Act, also known as UOCAVA.  The Division also safeguards the rights of servicemember spouses, dependents, and veterans eligible for certain protections </w:t>
      </w:r>
      <w:r w:rsidRPr="00E9307E">
        <w:rPr>
          <w:rFonts w:ascii="Times New Roman" w:hAnsi="Times New Roman"/>
          <w:sz w:val="24"/>
          <w:szCs w:val="24"/>
        </w:rPr>
        <w:lastRenderedPageBreak/>
        <w:t xml:space="preserve">under the SCRA and UOCAVA. *** It is </w:t>
      </w:r>
      <w:proofErr w:type="gramStart"/>
      <w:r w:rsidRPr="00E9307E">
        <w:rPr>
          <w:rFonts w:ascii="Times New Roman" w:hAnsi="Times New Roman"/>
          <w:sz w:val="24"/>
          <w:szCs w:val="24"/>
        </w:rPr>
        <w:t>at this time</w:t>
      </w:r>
      <w:proofErr w:type="gramEnd"/>
      <w:r w:rsidRPr="00E9307E">
        <w:rPr>
          <w:rFonts w:ascii="Times New Roman" w:hAnsi="Times New Roman"/>
          <w:sz w:val="24"/>
          <w:szCs w:val="24"/>
        </w:rPr>
        <w:t xml:space="preserve"> we also ask employers and landlords to be mindful of the responsibilities they have with respect to members of the National Guard and Reserve under USERRA, the SCRA and similar state laws.  These </w:t>
      </w:r>
      <w:proofErr w:type="gramStart"/>
      <w:r w:rsidRPr="00E9307E">
        <w:rPr>
          <w:rFonts w:ascii="Times New Roman" w:hAnsi="Times New Roman"/>
          <w:sz w:val="24"/>
          <w:szCs w:val="24"/>
        </w:rPr>
        <w:t>servicemembers</w:t>
      </w:r>
      <w:proofErr w:type="gramEnd"/>
      <w:r w:rsidRPr="00E9307E">
        <w:rPr>
          <w:rFonts w:ascii="Times New Roman" w:hAnsi="Times New Roman"/>
          <w:sz w:val="24"/>
          <w:szCs w:val="24"/>
        </w:rPr>
        <w:t xml:space="preserve"> are being pulled from their homes and jobs and tasked with vital operations in protection of our most vulnerable citizens.  When this emergency ends, USERRA and other state laws will protect servicemembers’ prompt reemployment and continued pension benefits.  These laws also protect servicemembers from discrimination based on their service.</w:t>
      </w:r>
      <w:r>
        <w:rPr>
          <w:rFonts w:ascii="Times New Roman" w:hAnsi="Times New Roman"/>
          <w:sz w:val="24"/>
          <w:szCs w:val="24"/>
        </w:rPr>
        <w:t>”</w:t>
      </w:r>
      <w:r w:rsidRPr="00E9307E">
        <w:rPr>
          <w:rFonts w:ascii="Times New Roman" w:hAnsi="Times New Roman"/>
          <w:sz w:val="24"/>
          <w:szCs w:val="24"/>
        </w:rPr>
        <w:t xml:space="preserve">  </w:t>
      </w:r>
    </w:p>
    <w:p w14:paraId="6A733C54" w14:textId="77777777" w:rsidR="00F55498" w:rsidRPr="00E9307E" w:rsidRDefault="00F55498" w:rsidP="00F55498">
      <w:pPr>
        <w:pStyle w:val="NoSpacing"/>
        <w:ind w:left="720"/>
        <w:rPr>
          <w:rFonts w:ascii="Times New Roman" w:hAnsi="Times New Roman"/>
          <w:b/>
          <w:sz w:val="24"/>
          <w:szCs w:val="24"/>
        </w:rPr>
      </w:pPr>
      <w:hyperlink r:id="rId1880" w:history="1">
        <w:r w:rsidRPr="00D07486">
          <w:rPr>
            <w:rStyle w:val="Hyperlink"/>
            <w:rFonts w:ascii="Times New Roman" w:hAnsi="Times New Roman"/>
            <w:b/>
            <w:sz w:val="24"/>
            <w:szCs w:val="24"/>
          </w:rPr>
          <w:t>https://www.justice.gov/opa/pr/covid-19-servicemembers-civil-rights-message-assistant-attorney-general</w:t>
        </w:r>
      </w:hyperlink>
      <w:r w:rsidRPr="00E9307E">
        <w:rPr>
          <w:rFonts w:ascii="Times New Roman" w:hAnsi="Times New Roman"/>
          <w:b/>
          <w:sz w:val="24"/>
          <w:szCs w:val="24"/>
        </w:rPr>
        <w:t xml:space="preserve"> </w:t>
      </w:r>
    </w:p>
    <w:p w14:paraId="61DE614B" w14:textId="77777777" w:rsidR="00F55498" w:rsidRDefault="00F55498" w:rsidP="00F55498">
      <w:pPr>
        <w:rPr>
          <w:rFonts w:ascii="Arial Black" w:hAnsi="Arial Black"/>
          <w:b/>
          <w:sz w:val="28"/>
          <w:szCs w:val="28"/>
        </w:rPr>
      </w:pPr>
    </w:p>
    <w:p w14:paraId="6456F1AD" w14:textId="77777777" w:rsidR="00F55498" w:rsidRDefault="00F55498" w:rsidP="00F326E5">
      <w:pPr>
        <w:rPr>
          <w:rFonts w:ascii="Arial Black" w:hAnsi="Arial Black"/>
          <w:b/>
          <w:sz w:val="24"/>
          <w:szCs w:val="24"/>
        </w:rPr>
      </w:pPr>
    </w:p>
    <w:p w14:paraId="474CC558" w14:textId="5A6463F9" w:rsidR="00177094" w:rsidRDefault="00177094" w:rsidP="00F326E5">
      <w:pPr>
        <w:rPr>
          <w:rFonts w:ascii="Arial Black" w:hAnsi="Arial Black"/>
          <w:b/>
          <w:sz w:val="24"/>
          <w:szCs w:val="24"/>
        </w:rPr>
      </w:pPr>
      <w:r>
        <w:rPr>
          <w:rFonts w:ascii="Arial Black" w:hAnsi="Arial Black"/>
          <w:b/>
          <w:sz w:val="24"/>
          <w:szCs w:val="24"/>
        </w:rPr>
        <w:t>11-1</w:t>
      </w:r>
      <w:r w:rsidR="00B13773">
        <w:rPr>
          <w:rFonts w:ascii="Arial Black" w:hAnsi="Arial Black"/>
          <w:b/>
          <w:sz w:val="24"/>
          <w:szCs w:val="24"/>
        </w:rPr>
        <w:t>1</w:t>
      </w:r>
    </w:p>
    <w:p w14:paraId="55D674C5" w14:textId="77777777" w:rsidR="00177094" w:rsidRPr="00BE0EBB" w:rsidRDefault="00177094" w:rsidP="00177094">
      <w:pPr>
        <w:spacing w:before="100" w:beforeAutospacing="1" w:after="100" w:afterAutospacing="1"/>
        <w:rPr>
          <w:rFonts w:ascii="Arial Black" w:eastAsia="Times New Roman" w:hAnsi="Arial Black"/>
          <w:bCs/>
          <w:sz w:val="28"/>
          <w:szCs w:val="28"/>
        </w:rPr>
      </w:pPr>
      <w:bookmarkStart w:id="396" w:name="_Hlk39819600"/>
      <w:r w:rsidRPr="00BE0EBB">
        <w:rPr>
          <w:rFonts w:ascii="Arial Black" w:eastAsia="Times New Roman" w:hAnsi="Arial Black"/>
          <w:bCs/>
          <w:sz w:val="28"/>
          <w:szCs w:val="28"/>
        </w:rPr>
        <w:t xml:space="preserve">KY:  </w:t>
      </w:r>
      <w:r>
        <w:rPr>
          <w:rFonts w:ascii="Arial Black" w:eastAsia="Times New Roman" w:hAnsi="Arial Black"/>
          <w:bCs/>
          <w:sz w:val="28"/>
          <w:szCs w:val="28"/>
        </w:rPr>
        <w:t xml:space="preserve">428 </w:t>
      </w:r>
      <w:r w:rsidRPr="00BE0EBB">
        <w:rPr>
          <w:rFonts w:ascii="Arial Black" w:eastAsia="Times New Roman" w:hAnsi="Arial Black"/>
          <w:bCs/>
          <w:sz w:val="28"/>
          <w:szCs w:val="28"/>
        </w:rPr>
        <w:t xml:space="preserve">FLIGHT MEDICS, </w:t>
      </w:r>
      <w:r>
        <w:rPr>
          <w:rFonts w:ascii="Arial Black" w:eastAsia="Times New Roman" w:hAnsi="Arial Black"/>
          <w:bCs/>
          <w:sz w:val="28"/>
          <w:szCs w:val="28"/>
        </w:rPr>
        <w:t xml:space="preserve">RNS, PILOTS - OVERTIME AFTER 120 HOURS – CLASS ACTION - </w:t>
      </w:r>
      <w:r w:rsidRPr="00BE0EBB">
        <w:rPr>
          <w:rFonts w:ascii="Arial Black" w:eastAsia="Times New Roman" w:hAnsi="Arial Black"/>
          <w:bCs/>
          <w:sz w:val="28"/>
          <w:szCs w:val="28"/>
        </w:rPr>
        <w:t>$2,950,000</w:t>
      </w:r>
      <w:r>
        <w:rPr>
          <w:rFonts w:ascii="Arial Black" w:eastAsia="Times New Roman" w:hAnsi="Arial Black"/>
          <w:bCs/>
          <w:sz w:val="28"/>
          <w:szCs w:val="28"/>
        </w:rPr>
        <w:t xml:space="preserve"> SETTLEMENT</w:t>
      </w:r>
    </w:p>
    <w:p w14:paraId="1F4A7F96" w14:textId="77777777" w:rsidR="00177094" w:rsidRPr="004236BE" w:rsidRDefault="00177094" w:rsidP="00177094">
      <w:pPr>
        <w:spacing w:before="100" w:beforeAutospacing="1" w:after="100" w:afterAutospacing="1"/>
        <w:rPr>
          <w:rFonts w:ascii="Times New Roman" w:eastAsia="Times New Roman" w:hAnsi="Times New Roman"/>
          <w:b/>
          <w:sz w:val="24"/>
          <w:szCs w:val="24"/>
        </w:rPr>
      </w:pPr>
      <w:r w:rsidRPr="004236BE">
        <w:rPr>
          <w:rFonts w:ascii="Times New Roman" w:eastAsia="Times New Roman" w:hAnsi="Times New Roman"/>
          <w:sz w:val="24"/>
          <w:szCs w:val="24"/>
        </w:rPr>
        <w:t xml:space="preserve">On Jan. 21, 2020, in </w:t>
      </w:r>
      <w:r w:rsidRPr="004236BE">
        <w:rPr>
          <w:rFonts w:ascii="Times New Roman" w:eastAsia="Times New Roman" w:hAnsi="Times New Roman"/>
          <w:sz w:val="24"/>
          <w:szCs w:val="24"/>
          <w:u w:val="single"/>
        </w:rPr>
        <w:t xml:space="preserve">Jason Peck v. Air Evac EMS, Inc., d/b/a Air Evac </w:t>
      </w:r>
      <w:proofErr w:type="spellStart"/>
      <w:r w:rsidRPr="004236BE">
        <w:rPr>
          <w:rFonts w:ascii="Times New Roman" w:eastAsia="Times New Roman" w:hAnsi="Times New Roman"/>
          <w:sz w:val="24"/>
          <w:szCs w:val="24"/>
          <w:u w:val="single"/>
        </w:rPr>
        <w:t>Lifeteam</w:t>
      </w:r>
      <w:proofErr w:type="spellEnd"/>
      <w:r w:rsidRPr="004236BE">
        <w:rPr>
          <w:rFonts w:ascii="Times New Roman" w:eastAsia="Times New Roman" w:hAnsi="Times New Roman"/>
          <w:sz w:val="24"/>
          <w:szCs w:val="24"/>
        </w:rPr>
        <w:t>, U.S. District Court Chief Judge Danny C. Reeves, U.S. District Court, Eastern District of Kentucky, Central Division (Lexington), approved the class action settlement, including attorney fees.</w:t>
      </w:r>
    </w:p>
    <w:p w14:paraId="080D650D" w14:textId="77777777" w:rsidR="00177094" w:rsidRPr="004236BE" w:rsidRDefault="00177094" w:rsidP="00177094">
      <w:pPr>
        <w:pStyle w:val="NoSpacing"/>
        <w:ind w:left="720"/>
        <w:rPr>
          <w:rFonts w:ascii="Times New Roman" w:eastAsia="Times New Roman" w:hAnsi="Times New Roman"/>
          <w:b/>
          <w:bCs/>
          <w:sz w:val="24"/>
          <w:szCs w:val="24"/>
        </w:rPr>
      </w:pPr>
      <w:r w:rsidRPr="004236BE">
        <w:rPr>
          <w:rFonts w:ascii="Times New Roman" w:hAnsi="Times New Roman"/>
          <w:bCs/>
          <w:sz w:val="24"/>
          <w:szCs w:val="24"/>
        </w:rPr>
        <w:t xml:space="preserve">“The parties previously agreed to a gross settlement fund of $3,000,000.00, including up to $800,000.000 in attorney's fees and costs and a $15,000.00 incentive for Peck. The parties later filed a motion to amend the settlement seeking $750,000.00 in attorney's fees and a gross settlement fund of $2,950,000.00…  The Court granted the motion to amend the settlement to reduce the amount of attorney's fees. The proposed class includes 428 ‘current and former flight nurses, flight paramedics, and pilots employed by [Air Evac] in the Commonwealth of Kentucky at any time from October 25, </w:t>
      </w:r>
      <w:proofErr w:type="gramStart"/>
      <w:r w:rsidRPr="004236BE">
        <w:rPr>
          <w:rFonts w:ascii="Times New Roman" w:hAnsi="Times New Roman"/>
          <w:bCs/>
          <w:sz w:val="24"/>
          <w:szCs w:val="24"/>
        </w:rPr>
        <w:t>2013</w:t>
      </w:r>
      <w:proofErr w:type="gramEnd"/>
      <w:r w:rsidRPr="004236BE">
        <w:rPr>
          <w:rFonts w:ascii="Times New Roman" w:hAnsi="Times New Roman"/>
          <w:bCs/>
          <w:sz w:val="24"/>
          <w:szCs w:val="24"/>
        </w:rPr>
        <w:t xml:space="preserve"> through July 17, </w:t>
      </w:r>
      <w:proofErr w:type="gramStart"/>
      <w:r w:rsidRPr="004236BE">
        <w:rPr>
          <w:rFonts w:ascii="Times New Roman" w:hAnsi="Times New Roman"/>
          <w:bCs/>
          <w:sz w:val="24"/>
          <w:szCs w:val="24"/>
        </w:rPr>
        <w:t>2019.’</w:t>
      </w:r>
      <w:proofErr w:type="gramEnd"/>
      <w:r w:rsidRPr="004236BE">
        <w:rPr>
          <w:rFonts w:ascii="Times New Roman" w:hAnsi="Times New Roman"/>
          <w:bCs/>
          <w:sz w:val="24"/>
          <w:szCs w:val="24"/>
        </w:rPr>
        <w:t xml:space="preserve"> …. The parties explained that individual settlement payments were calculated by reviewing Air Evac's payroll and timecard records to establish the amount of unpaid overtime for each class member assuming that the claims were true.” </w:t>
      </w:r>
      <w:hyperlink r:id="rId1881" w:history="1">
        <w:r w:rsidRPr="004236BE">
          <w:rPr>
            <w:rStyle w:val="Hyperlink"/>
            <w:rFonts w:ascii="Times New Roman" w:hAnsi="Times New Roman"/>
            <w:b/>
            <w:sz w:val="24"/>
            <w:szCs w:val="24"/>
          </w:rPr>
          <w:t>https://public.fastcase.com/Wl%2B2t%2BeVuI35%2FN70vAMFZpr47IXL%2FNqq46QG15nW3r0g0xInlPjrGPn7upgPO%2BUR</w:t>
        </w:r>
      </w:hyperlink>
      <w:bookmarkEnd w:id="396"/>
      <w:r w:rsidRPr="004236BE">
        <w:rPr>
          <w:rFonts w:ascii="Times New Roman" w:hAnsi="Times New Roman"/>
          <w:bCs/>
          <w:sz w:val="24"/>
          <w:szCs w:val="24"/>
        </w:rPr>
        <w:t xml:space="preserve"> </w:t>
      </w:r>
    </w:p>
    <w:p w14:paraId="2FCF124B" w14:textId="77777777" w:rsidR="00177094" w:rsidRPr="004236BE" w:rsidRDefault="00177094" w:rsidP="00177094">
      <w:pPr>
        <w:spacing w:before="100" w:beforeAutospacing="1" w:after="100" w:afterAutospacing="1"/>
        <w:rPr>
          <w:rFonts w:ascii="Times New Roman" w:eastAsia="Times New Roman" w:hAnsi="Times New Roman"/>
          <w:b/>
          <w:sz w:val="24"/>
          <w:szCs w:val="24"/>
        </w:rPr>
      </w:pPr>
      <w:r w:rsidRPr="004236BE">
        <w:rPr>
          <w:rFonts w:ascii="Times New Roman" w:eastAsia="Times New Roman" w:hAnsi="Times New Roman"/>
          <w:b/>
          <w:sz w:val="24"/>
          <w:szCs w:val="24"/>
        </w:rPr>
        <w:t xml:space="preserve">Legal Lessons Learned: Overtime claims can result in very large settlements; if in doubt about overtime eligibility, contact U.S. Department of Labor, Wage &amp; Hour Division. </w:t>
      </w:r>
    </w:p>
    <w:p w14:paraId="1A5F51EB" w14:textId="77777777" w:rsidR="00177094" w:rsidRDefault="00177094" w:rsidP="00F326E5">
      <w:pPr>
        <w:rPr>
          <w:rFonts w:ascii="Arial Black" w:hAnsi="Arial Black"/>
          <w:b/>
          <w:sz w:val="24"/>
          <w:szCs w:val="24"/>
        </w:rPr>
      </w:pPr>
    </w:p>
    <w:p w14:paraId="75BA1CD7" w14:textId="00344DED" w:rsidR="00177094" w:rsidRDefault="00177094" w:rsidP="00F326E5">
      <w:pPr>
        <w:rPr>
          <w:rFonts w:ascii="Arial Black" w:hAnsi="Arial Black"/>
          <w:b/>
          <w:sz w:val="24"/>
          <w:szCs w:val="24"/>
        </w:rPr>
      </w:pPr>
      <w:r>
        <w:rPr>
          <w:rFonts w:ascii="Arial Black" w:hAnsi="Arial Black"/>
          <w:b/>
          <w:sz w:val="24"/>
          <w:szCs w:val="24"/>
        </w:rPr>
        <w:t>11-</w:t>
      </w:r>
      <w:r w:rsidR="00B13773">
        <w:rPr>
          <w:rFonts w:ascii="Arial Black" w:hAnsi="Arial Black"/>
          <w:b/>
          <w:sz w:val="24"/>
          <w:szCs w:val="24"/>
        </w:rPr>
        <w:t>10</w:t>
      </w:r>
    </w:p>
    <w:p w14:paraId="3AD46F5F" w14:textId="77777777" w:rsidR="00177094" w:rsidRDefault="00177094" w:rsidP="00177094">
      <w:pPr>
        <w:pStyle w:val="NoSpacing"/>
        <w:rPr>
          <w:rFonts w:ascii="Arial Black" w:hAnsi="Arial Black"/>
          <w:b/>
          <w:bCs/>
          <w:sz w:val="28"/>
          <w:szCs w:val="28"/>
        </w:rPr>
      </w:pPr>
      <w:bookmarkStart w:id="397" w:name="_Hlk39771850"/>
      <w:r w:rsidRPr="009A44AE">
        <w:rPr>
          <w:rFonts w:ascii="Arial Black" w:hAnsi="Arial Black"/>
          <w:bCs/>
          <w:sz w:val="28"/>
          <w:szCs w:val="28"/>
        </w:rPr>
        <w:t>CA</w:t>
      </w:r>
      <w:r>
        <w:rPr>
          <w:rFonts w:ascii="Arial Black" w:hAnsi="Arial Black"/>
          <w:bCs/>
          <w:sz w:val="28"/>
          <w:szCs w:val="28"/>
        </w:rPr>
        <w:t>: THREE FF CLAIMED NOT PAID CORRECT “REGULAR RATE OF PAY” FOR 6 PAY PERIODS – CITY PROVED IT WAS ACTUALLY OVERPAYING</w:t>
      </w:r>
    </w:p>
    <w:p w14:paraId="522FA524" w14:textId="77777777" w:rsidR="00177094" w:rsidRPr="004236BE" w:rsidRDefault="00177094" w:rsidP="00177094">
      <w:pPr>
        <w:pStyle w:val="NoSpacing"/>
        <w:rPr>
          <w:rFonts w:ascii="Times New Roman" w:hAnsi="Times New Roman"/>
          <w:b/>
          <w:bCs/>
          <w:sz w:val="24"/>
          <w:szCs w:val="24"/>
        </w:rPr>
      </w:pPr>
      <w:r w:rsidRPr="004236BE">
        <w:rPr>
          <w:rFonts w:ascii="Times New Roman" w:hAnsi="Times New Roman"/>
          <w:bCs/>
          <w:sz w:val="24"/>
          <w:szCs w:val="24"/>
        </w:rPr>
        <w:t xml:space="preserve">On </w:t>
      </w:r>
      <w:bookmarkStart w:id="398" w:name="_Hlk39847841"/>
      <w:r w:rsidRPr="004236BE">
        <w:rPr>
          <w:rFonts w:ascii="Times New Roman" w:hAnsi="Times New Roman"/>
          <w:bCs/>
          <w:sz w:val="24"/>
          <w:szCs w:val="24"/>
        </w:rPr>
        <w:t xml:space="preserve">Jan. 15, 2020, in </w:t>
      </w:r>
      <w:r w:rsidRPr="004236BE">
        <w:rPr>
          <w:rFonts w:ascii="Times New Roman" w:hAnsi="Times New Roman"/>
          <w:bCs/>
          <w:sz w:val="24"/>
          <w:szCs w:val="24"/>
          <w:u w:val="single"/>
        </w:rPr>
        <w:t>Darren Wallace v. City of San Jose</w:t>
      </w:r>
      <w:bookmarkEnd w:id="398"/>
      <w:r w:rsidRPr="004236BE">
        <w:rPr>
          <w:rFonts w:ascii="Times New Roman" w:hAnsi="Times New Roman"/>
          <w:bCs/>
          <w:sz w:val="24"/>
          <w:szCs w:val="24"/>
        </w:rPr>
        <w:t>, the U.S. Court of Appeals for the 9</w:t>
      </w:r>
      <w:r w:rsidRPr="004236BE">
        <w:rPr>
          <w:rFonts w:ascii="Times New Roman" w:hAnsi="Times New Roman"/>
          <w:bCs/>
          <w:sz w:val="24"/>
          <w:szCs w:val="24"/>
          <w:vertAlign w:val="superscript"/>
        </w:rPr>
        <w:t>th</w:t>
      </w:r>
      <w:r w:rsidRPr="004236BE">
        <w:rPr>
          <w:rFonts w:ascii="Times New Roman" w:hAnsi="Times New Roman"/>
          <w:bCs/>
          <w:sz w:val="24"/>
          <w:szCs w:val="24"/>
        </w:rPr>
        <w:t xml:space="preserve"> Circuit (San Francisco) held (3 to 0) that the U.S. District Court judge properly granted summary judgement for the city.  Court decided case without even needing to schedule oral </w:t>
      </w:r>
      <w:proofErr w:type="gramStart"/>
      <w:r w:rsidRPr="004236BE">
        <w:rPr>
          <w:rFonts w:ascii="Times New Roman" w:hAnsi="Times New Roman"/>
          <w:bCs/>
          <w:sz w:val="24"/>
          <w:szCs w:val="24"/>
        </w:rPr>
        <w:t>argument</w:t>
      </w:r>
      <w:proofErr w:type="gramEnd"/>
      <w:r w:rsidRPr="004236BE">
        <w:rPr>
          <w:rFonts w:ascii="Times New Roman" w:hAnsi="Times New Roman"/>
          <w:bCs/>
          <w:sz w:val="24"/>
          <w:szCs w:val="24"/>
        </w:rPr>
        <w:t xml:space="preserve">. </w:t>
      </w:r>
    </w:p>
    <w:p w14:paraId="08DF3684" w14:textId="77777777" w:rsidR="00177094" w:rsidRPr="004236BE" w:rsidRDefault="00177094" w:rsidP="00177094">
      <w:pPr>
        <w:pStyle w:val="NoSpacing"/>
        <w:rPr>
          <w:rFonts w:ascii="Times New Roman" w:hAnsi="Times New Roman"/>
          <w:b/>
          <w:bCs/>
          <w:sz w:val="24"/>
          <w:szCs w:val="24"/>
        </w:rPr>
      </w:pPr>
    </w:p>
    <w:p w14:paraId="763B27AA" w14:textId="77777777" w:rsidR="00177094" w:rsidRPr="004236BE" w:rsidRDefault="00177094" w:rsidP="00177094">
      <w:pPr>
        <w:pStyle w:val="NoSpacing"/>
        <w:ind w:left="720"/>
        <w:rPr>
          <w:rFonts w:ascii="Times New Roman" w:hAnsi="Times New Roman"/>
          <w:b/>
          <w:bCs/>
          <w:sz w:val="24"/>
          <w:szCs w:val="24"/>
        </w:rPr>
      </w:pPr>
      <w:r w:rsidRPr="004236BE">
        <w:rPr>
          <w:rFonts w:ascii="Times New Roman" w:hAnsi="Times New Roman"/>
          <w:bCs/>
          <w:sz w:val="24"/>
          <w:szCs w:val="24"/>
        </w:rPr>
        <w:t>“Under 29 U.S.C. § 207(k), public agencies employing firefighters may adopt a 28-day work period for purposes of calculating FLSA overtime pay. FLSA requires overtime pay of 1.5times the regular rate of pay for every hour above 212 hours that a firefighter works in a 28-</w:t>
      </w:r>
      <w:proofErr w:type="gramStart"/>
      <w:r w:rsidRPr="004236BE">
        <w:rPr>
          <w:rFonts w:ascii="Times New Roman" w:hAnsi="Times New Roman"/>
          <w:bCs/>
          <w:sz w:val="24"/>
          <w:szCs w:val="24"/>
        </w:rPr>
        <w:t>daywork</w:t>
      </w:r>
      <w:proofErr w:type="gramEnd"/>
      <w:r w:rsidRPr="004236BE">
        <w:rPr>
          <w:rFonts w:ascii="Times New Roman" w:hAnsi="Times New Roman"/>
          <w:bCs/>
          <w:sz w:val="24"/>
          <w:szCs w:val="24"/>
        </w:rPr>
        <w:t xml:space="preserve"> period. See id.; 29 C.F.R. § 553.230. The </w:t>
      </w:r>
      <w:proofErr w:type="gramStart"/>
      <w:r w:rsidRPr="004236BE">
        <w:rPr>
          <w:rFonts w:ascii="Times New Roman" w:hAnsi="Times New Roman"/>
          <w:bCs/>
          <w:sz w:val="24"/>
          <w:szCs w:val="24"/>
        </w:rPr>
        <w:t>City</w:t>
      </w:r>
      <w:proofErr w:type="gramEnd"/>
      <w:r w:rsidRPr="004236BE">
        <w:rPr>
          <w:rFonts w:ascii="Times New Roman" w:hAnsi="Times New Roman"/>
          <w:bCs/>
          <w:sz w:val="24"/>
          <w:szCs w:val="24"/>
        </w:rPr>
        <w:t xml:space="preserve"> has adopted a 28-day pay period for its firefighters and pays them biweekly. It pays firefighters a base hourly rate for 224 hours per work period, regardless of whether they </w:t>
      </w:r>
      <w:proofErr w:type="gramStart"/>
      <w:r w:rsidRPr="004236BE">
        <w:rPr>
          <w:rFonts w:ascii="Times New Roman" w:hAnsi="Times New Roman"/>
          <w:bCs/>
          <w:sz w:val="24"/>
          <w:szCs w:val="24"/>
        </w:rPr>
        <w:t>actually work</w:t>
      </w:r>
      <w:proofErr w:type="gramEnd"/>
      <w:r w:rsidRPr="004236BE">
        <w:rPr>
          <w:rFonts w:ascii="Times New Roman" w:hAnsi="Times New Roman"/>
          <w:bCs/>
          <w:sz w:val="24"/>
          <w:szCs w:val="24"/>
        </w:rPr>
        <w:t xml:space="preserve"> a full 224 hours. Furthermore, when a firefighter works hours outside of his or her regularly scheduled shifts, the </w:t>
      </w:r>
      <w:proofErr w:type="gramStart"/>
      <w:r w:rsidRPr="004236BE">
        <w:rPr>
          <w:rFonts w:ascii="Times New Roman" w:hAnsi="Times New Roman"/>
          <w:bCs/>
          <w:sz w:val="24"/>
          <w:szCs w:val="24"/>
        </w:rPr>
        <w:t>City</w:t>
      </w:r>
      <w:proofErr w:type="gramEnd"/>
      <w:r w:rsidRPr="004236BE">
        <w:rPr>
          <w:rFonts w:ascii="Times New Roman" w:hAnsi="Times New Roman"/>
          <w:bCs/>
          <w:sz w:val="24"/>
          <w:szCs w:val="24"/>
        </w:rPr>
        <w:t xml:space="preserve"> pays ‘contractual overtime’ of 1.5 times his or her base hourly rate for each additional hour worked. The City’s ‘contractual overtime’ payments are distinct from FLSA overtime pay, and the firefighters are entitled to FLSA overtime pay for each hour worked over the 212-hour threshold</w:t>
      </w:r>
      <w:r w:rsidRPr="004236BE">
        <w:rPr>
          <w:rFonts w:ascii="Times New Roman" w:hAnsi="Times New Roman"/>
          <w:sz w:val="24"/>
          <w:szCs w:val="24"/>
        </w:rPr>
        <w:t xml:space="preserve">…. </w:t>
      </w:r>
      <w:r w:rsidRPr="004236BE">
        <w:rPr>
          <w:rFonts w:ascii="Times New Roman" w:hAnsi="Times New Roman"/>
          <w:bCs/>
          <w:sz w:val="24"/>
          <w:szCs w:val="24"/>
        </w:rPr>
        <w:t xml:space="preserve">Each work period, the </w:t>
      </w:r>
      <w:proofErr w:type="gramStart"/>
      <w:r w:rsidRPr="004236BE">
        <w:rPr>
          <w:rFonts w:ascii="Times New Roman" w:hAnsi="Times New Roman"/>
          <w:bCs/>
          <w:sz w:val="24"/>
          <w:szCs w:val="24"/>
        </w:rPr>
        <w:t>City</w:t>
      </w:r>
      <w:proofErr w:type="gramEnd"/>
      <w:r w:rsidRPr="004236BE">
        <w:rPr>
          <w:rFonts w:ascii="Times New Roman" w:hAnsi="Times New Roman"/>
          <w:bCs/>
          <w:sz w:val="24"/>
          <w:szCs w:val="24"/>
        </w:rPr>
        <w:t xml:space="preserve"> calculates what is owed to its firefighters under FLSA. If the amount the </w:t>
      </w:r>
      <w:proofErr w:type="gramStart"/>
      <w:r w:rsidRPr="004236BE">
        <w:rPr>
          <w:rFonts w:ascii="Times New Roman" w:hAnsi="Times New Roman"/>
          <w:bCs/>
          <w:sz w:val="24"/>
          <w:szCs w:val="24"/>
        </w:rPr>
        <w:t>City</w:t>
      </w:r>
      <w:proofErr w:type="gramEnd"/>
      <w:r w:rsidRPr="004236BE">
        <w:rPr>
          <w:rFonts w:ascii="Times New Roman" w:hAnsi="Times New Roman"/>
          <w:bCs/>
          <w:sz w:val="24"/>
          <w:szCs w:val="24"/>
        </w:rPr>
        <w:t xml:space="preserve"> paid a firefighter is less than required under FLSA, it adds a FLSA overtime adjustment to the firefighter’s paycheck at the end of the work period. If the amount the </w:t>
      </w:r>
      <w:proofErr w:type="gramStart"/>
      <w:r w:rsidRPr="004236BE">
        <w:rPr>
          <w:rFonts w:ascii="Times New Roman" w:hAnsi="Times New Roman"/>
          <w:bCs/>
          <w:sz w:val="24"/>
          <w:szCs w:val="24"/>
        </w:rPr>
        <w:t>City</w:t>
      </w:r>
      <w:proofErr w:type="gramEnd"/>
      <w:r w:rsidRPr="004236BE">
        <w:rPr>
          <w:rFonts w:ascii="Times New Roman" w:hAnsi="Times New Roman"/>
          <w:bCs/>
          <w:sz w:val="24"/>
          <w:szCs w:val="24"/>
        </w:rPr>
        <w:t xml:space="preserve"> paid is more than required under FLSA, no adjustment is made.” </w:t>
      </w:r>
      <w:bookmarkStart w:id="399" w:name="_Hlk39847867"/>
      <w:r w:rsidR="00BC38B6">
        <w:fldChar w:fldCharType="begin"/>
      </w:r>
      <w:r w:rsidR="00BC38B6">
        <w:instrText xml:space="preserve"> HYPERLINK "http://cdn.ca9.uscourts.gov/datastore/memoranda/2020/01/15/18-16083.pdf" </w:instrText>
      </w:r>
      <w:r w:rsidR="00BC38B6">
        <w:fldChar w:fldCharType="separate"/>
      </w:r>
      <w:r w:rsidRPr="004236BE">
        <w:rPr>
          <w:rStyle w:val="Hyperlink"/>
          <w:rFonts w:ascii="Times New Roman" w:hAnsi="Times New Roman"/>
          <w:b/>
          <w:sz w:val="24"/>
          <w:szCs w:val="24"/>
        </w:rPr>
        <w:t>http://cdn.ca9.uscourts.gov/datastore/memoranda/2020/01/15/18-16083.pdf</w:t>
      </w:r>
      <w:r w:rsidR="00BC38B6">
        <w:rPr>
          <w:rStyle w:val="Hyperlink"/>
          <w:rFonts w:ascii="Times New Roman" w:hAnsi="Times New Roman"/>
          <w:b/>
          <w:sz w:val="24"/>
          <w:szCs w:val="24"/>
        </w:rPr>
        <w:fldChar w:fldCharType="end"/>
      </w:r>
      <w:r w:rsidRPr="004236BE">
        <w:rPr>
          <w:rFonts w:ascii="Times New Roman" w:hAnsi="Times New Roman"/>
          <w:bCs/>
          <w:sz w:val="24"/>
          <w:szCs w:val="24"/>
        </w:rPr>
        <w:t xml:space="preserve"> </w:t>
      </w:r>
      <w:bookmarkEnd w:id="399"/>
    </w:p>
    <w:bookmarkEnd w:id="397"/>
    <w:p w14:paraId="73CE8155" w14:textId="77777777" w:rsidR="00177094" w:rsidRDefault="00177094" w:rsidP="00177094">
      <w:pPr>
        <w:pStyle w:val="NoSpacing"/>
        <w:rPr>
          <w:rFonts w:ascii="Times New Roman" w:hAnsi="Times New Roman"/>
          <w:b/>
          <w:bCs/>
          <w:sz w:val="24"/>
          <w:szCs w:val="24"/>
        </w:rPr>
      </w:pPr>
    </w:p>
    <w:p w14:paraId="0DEF2B9D" w14:textId="61B2E8CA" w:rsidR="00177094" w:rsidRPr="004236BE" w:rsidRDefault="00177094" w:rsidP="00177094">
      <w:pPr>
        <w:pStyle w:val="NoSpacing"/>
        <w:rPr>
          <w:rFonts w:ascii="Times New Roman" w:eastAsia="Times New Roman" w:hAnsi="Times New Roman"/>
          <w:b/>
          <w:bCs/>
          <w:sz w:val="24"/>
          <w:szCs w:val="24"/>
        </w:rPr>
      </w:pPr>
      <w:bookmarkStart w:id="400" w:name="_Hlk40512999"/>
      <w:r w:rsidRPr="004236BE">
        <w:rPr>
          <w:rFonts w:ascii="Times New Roman" w:hAnsi="Times New Roman"/>
          <w:b/>
          <w:bCs/>
          <w:sz w:val="24"/>
          <w:szCs w:val="24"/>
        </w:rPr>
        <w:t xml:space="preserve">Legal Lessons Learned: If </w:t>
      </w:r>
      <w:r w:rsidR="00A16B10">
        <w:rPr>
          <w:rFonts w:ascii="Times New Roman" w:hAnsi="Times New Roman"/>
          <w:b/>
          <w:bCs/>
          <w:sz w:val="24"/>
          <w:szCs w:val="24"/>
        </w:rPr>
        <w:t>C</w:t>
      </w:r>
      <w:r w:rsidRPr="004236BE">
        <w:rPr>
          <w:rFonts w:ascii="Times New Roman" w:hAnsi="Times New Roman"/>
          <w:b/>
          <w:bCs/>
          <w:sz w:val="24"/>
          <w:szCs w:val="24"/>
        </w:rPr>
        <w:t xml:space="preserve">ity is paying more than required under FLSA, then courts will grant summary judgment. </w:t>
      </w:r>
    </w:p>
    <w:bookmarkEnd w:id="400"/>
    <w:p w14:paraId="61803146" w14:textId="77777777" w:rsidR="00177094" w:rsidRDefault="00177094" w:rsidP="00F326E5">
      <w:pPr>
        <w:rPr>
          <w:rFonts w:ascii="Arial Black" w:hAnsi="Arial Black"/>
          <w:b/>
          <w:sz w:val="24"/>
          <w:szCs w:val="24"/>
        </w:rPr>
      </w:pPr>
    </w:p>
    <w:p w14:paraId="12B6E77D" w14:textId="439633A1" w:rsidR="007C6FEF" w:rsidRDefault="007C6FEF" w:rsidP="00F326E5">
      <w:pPr>
        <w:rPr>
          <w:rFonts w:ascii="Arial Black" w:hAnsi="Arial Black"/>
          <w:b/>
          <w:sz w:val="24"/>
          <w:szCs w:val="24"/>
        </w:rPr>
      </w:pPr>
      <w:r>
        <w:rPr>
          <w:rFonts w:ascii="Arial Black" w:hAnsi="Arial Black"/>
          <w:b/>
          <w:sz w:val="24"/>
          <w:szCs w:val="24"/>
        </w:rPr>
        <w:t>11-</w:t>
      </w:r>
      <w:r w:rsidR="00B13773">
        <w:rPr>
          <w:rFonts w:ascii="Arial Black" w:hAnsi="Arial Black"/>
          <w:b/>
          <w:sz w:val="24"/>
          <w:szCs w:val="24"/>
        </w:rPr>
        <w:t>9</w:t>
      </w:r>
    </w:p>
    <w:p w14:paraId="01A48BA9" w14:textId="77777777" w:rsidR="007C6FEF" w:rsidRDefault="007C6FEF" w:rsidP="007C6FEF">
      <w:pPr>
        <w:rPr>
          <w:rFonts w:ascii="Arial Black" w:hAnsi="Arial Black"/>
          <w:sz w:val="28"/>
          <w:szCs w:val="28"/>
        </w:rPr>
      </w:pPr>
      <w:bookmarkStart w:id="401" w:name="_Hlk40513169"/>
      <w:bookmarkStart w:id="402" w:name="_Hlk29205188"/>
      <w:bookmarkStart w:id="403" w:name="_Hlk41155747"/>
      <w:r w:rsidRPr="00AC7203">
        <w:rPr>
          <w:rFonts w:ascii="Arial Black" w:hAnsi="Arial Black"/>
          <w:sz w:val="28"/>
          <w:szCs w:val="28"/>
        </w:rPr>
        <w:t>NY</w:t>
      </w:r>
      <w:r>
        <w:rPr>
          <w:rFonts w:ascii="Arial Black" w:hAnsi="Arial Black"/>
          <w:sz w:val="28"/>
          <w:szCs w:val="28"/>
        </w:rPr>
        <w:t>:  FDNY - BACK PAY FOR EMS – HRS WORKED BEFORE / AFTER SHIFT – WILFULL VIOLATION – 3-YRS BACK PAY, DOUBLED - $14.4 MILLION</w:t>
      </w:r>
    </w:p>
    <w:p w14:paraId="208E8366" w14:textId="77777777" w:rsidR="007C6FEF" w:rsidRDefault="007C6FEF" w:rsidP="007C6FEF">
      <w:pPr>
        <w:rPr>
          <w:rFonts w:ascii="Times New Roman" w:hAnsi="Times New Roman"/>
          <w:sz w:val="24"/>
          <w:szCs w:val="24"/>
        </w:rPr>
      </w:pPr>
      <w:r w:rsidRPr="00AC7203">
        <w:rPr>
          <w:rFonts w:ascii="Times New Roman" w:hAnsi="Times New Roman"/>
          <w:sz w:val="24"/>
          <w:szCs w:val="24"/>
        </w:rPr>
        <w:t xml:space="preserve">On </w:t>
      </w:r>
      <w:bookmarkStart w:id="404" w:name="_Hlk39848062"/>
      <w:r>
        <w:rPr>
          <w:rFonts w:ascii="Times New Roman" w:hAnsi="Times New Roman"/>
          <w:sz w:val="24"/>
          <w:szCs w:val="24"/>
        </w:rPr>
        <w:t xml:space="preserve">Dec. 23, 2019, in </w:t>
      </w:r>
      <w:r w:rsidRPr="00AC7203">
        <w:rPr>
          <w:rFonts w:ascii="Times New Roman" w:hAnsi="Times New Roman"/>
          <w:sz w:val="24"/>
          <w:szCs w:val="24"/>
          <w:u w:val="single"/>
        </w:rPr>
        <w:t>Chaz Perry, et al. v. City of New York</w:t>
      </w:r>
      <w:r>
        <w:rPr>
          <w:rFonts w:ascii="Times New Roman" w:hAnsi="Times New Roman"/>
          <w:sz w:val="24"/>
          <w:szCs w:val="24"/>
        </w:rPr>
        <w:t xml:space="preserve">, </w:t>
      </w:r>
      <w:bookmarkEnd w:id="404"/>
      <w:r>
        <w:rPr>
          <w:rFonts w:ascii="Times New Roman" w:hAnsi="Times New Roman"/>
          <w:sz w:val="24"/>
          <w:szCs w:val="24"/>
        </w:rPr>
        <w:t xml:space="preserve">U.S. District Court Judge Vernon S. Broderick, Southern District of New York, granted plaintiff’s motion for final judgment on behalf of </w:t>
      </w:r>
      <w:r w:rsidRPr="003C5EA4">
        <w:rPr>
          <w:rFonts w:ascii="Times New Roman" w:hAnsi="Times New Roman"/>
          <w:sz w:val="24"/>
          <w:szCs w:val="24"/>
        </w:rPr>
        <w:t>2,519</w:t>
      </w:r>
      <w:r>
        <w:rPr>
          <w:rFonts w:ascii="Times New Roman" w:hAnsi="Times New Roman"/>
          <w:sz w:val="24"/>
          <w:szCs w:val="24"/>
        </w:rPr>
        <w:t xml:space="preserve"> </w:t>
      </w:r>
      <w:r w:rsidRPr="003C5EA4">
        <w:rPr>
          <w:rFonts w:ascii="Times New Roman" w:hAnsi="Times New Roman"/>
          <w:sz w:val="24"/>
          <w:szCs w:val="24"/>
        </w:rPr>
        <w:t xml:space="preserve">current </w:t>
      </w:r>
      <w:r>
        <w:rPr>
          <w:rFonts w:ascii="Times New Roman" w:hAnsi="Times New Roman"/>
          <w:sz w:val="24"/>
          <w:szCs w:val="24"/>
        </w:rPr>
        <w:t>and</w:t>
      </w:r>
      <w:r w:rsidRPr="003C5EA4">
        <w:rPr>
          <w:rFonts w:ascii="Times New Roman" w:hAnsi="Times New Roman"/>
          <w:sz w:val="24"/>
          <w:szCs w:val="24"/>
        </w:rPr>
        <w:t xml:space="preserve"> former</w:t>
      </w:r>
      <w:r>
        <w:rPr>
          <w:rFonts w:ascii="Times New Roman" w:hAnsi="Times New Roman"/>
          <w:sz w:val="24"/>
          <w:szCs w:val="24"/>
        </w:rPr>
        <w:t xml:space="preserve"> EMS</w:t>
      </w:r>
      <w:r w:rsidRPr="003C5EA4">
        <w:rPr>
          <w:rFonts w:ascii="Times New Roman" w:hAnsi="Times New Roman"/>
          <w:sz w:val="24"/>
          <w:szCs w:val="24"/>
        </w:rPr>
        <w:t xml:space="preserve">, </w:t>
      </w:r>
      <w:proofErr w:type="gramStart"/>
      <w:r w:rsidRPr="003C5EA4">
        <w:rPr>
          <w:rFonts w:ascii="Times New Roman" w:hAnsi="Times New Roman"/>
          <w:sz w:val="24"/>
          <w:szCs w:val="24"/>
        </w:rPr>
        <w:t xml:space="preserve">and </w:t>
      </w:r>
      <w:r>
        <w:rPr>
          <w:rFonts w:ascii="Times New Roman" w:hAnsi="Times New Roman"/>
          <w:sz w:val="24"/>
          <w:szCs w:val="24"/>
        </w:rPr>
        <w:t>also</w:t>
      </w:r>
      <w:proofErr w:type="gramEnd"/>
      <w:r>
        <w:rPr>
          <w:rFonts w:ascii="Times New Roman" w:hAnsi="Times New Roman"/>
          <w:sz w:val="24"/>
          <w:szCs w:val="24"/>
        </w:rPr>
        <w:t xml:space="preserve"> </w:t>
      </w:r>
      <w:r w:rsidRPr="003C5EA4">
        <w:rPr>
          <w:rFonts w:ascii="Times New Roman" w:hAnsi="Times New Roman"/>
          <w:sz w:val="24"/>
          <w:szCs w:val="24"/>
        </w:rPr>
        <w:t>Fire Safety Inspectors below the rank of lieutenan</w:t>
      </w:r>
      <w:r>
        <w:rPr>
          <w:rFonts w:ascii="Times New Roman" w:hAnsi="Times New Roman"/>
          <w:sz w:val="24"/>
          <w:szCs w:val="24"/>
        </w:rPr>
        <w:t xml:space="preserve">t.   A jury found the FDNY willfully violated FLSA by allowing EMS and Inspector to work early or after shift while not “on the clock.”  Federal judge awarded backpay for three years for willful violation (not just two years) of </w:t>
      </w:r>
      <w:r w:rsidRPr="003C5EA4">
        <w:rPr>
          <w:rFonts w:ascii="Times New Roman" w:hAnsi="Times New Roman"/>
          <w:sz w:val="24"/>
          <w:szCs w:val="24"/>
        </w:rPr>
        <w:t>$7,238,513.00</w:t>
      </w:r>
      <w:r>
        <w:rPr>
          <w:rFonts w:ascii="Times New Roman" w:hAnsi="Times New Roman"/>
          <w:sz w:val="24"/>
          <w:szCs w:val="24"/>
        </w:rPr>
        <w:t xml:space="preserve">, </w:t>
      </w:r>
      <w:r w:rsidRPr="003C5EA4">
        <w:rPr>
          <w:rFonts w:ascii="Times New Roman" w:hAnsi="Times New Roman"/>
          <w:sz w:val="24"/>
          <w:szCs w:val="24"/>
        </w:rPr>
        <w:t>as well as</w:t>
      </w:r>
      <w:r>
        <w:rPr>
          <w:rFonts w:ascii="Times New Roman" w:hAnsi="Times New Roman"/>
          <w:sz w:val="24"/>
          <w:szCs w:val="24"/>
        </w:rPr>
        <w:t xml:space="preserve"> an equal amount of </w:t>
      </w:r>
      <w:r w:rsidRPr="003C5EA4">
        <w:rPr>
          <w:rFonts w:ascii="Times New Roman" w:hAnsi="Times New Roman"/>
          <w:sz w:val="24"/>
          <w:szCs w:val="24"/>
        </w:rPr>
        <w:t>$7,238,513.00 in liquidated damages</w:t>
      </w:r>
      <w:r>
        <w:rPr>
          <w:rFonts w:ascii="Times New Roman" w:hAnsi="Times New Roman"/>
          <w:sz w:val="24"/>
          <w:szCs w:val="24"/>
        </w:rPr>
        <w:t xml:space="preserve">. </w:t>
      </w:r>
    </w:p>
    <w:bookmarkEnd w:id="401"/>
    <w:p w14:paraId="1653B1F5" w14:textId="77777777" w:rsidR="007C6FEF" w:rsidRPr="003C5EA4" w:rsidRDefault="007C6FEF" w:rsidP="007C6FEF">
      <w:pPr>
        <w:ind w:left="720"/>
        <w:rPr>
          <w:rFonts w:ascii="Times New Roman" w:hAnsi="Times New Roman"/>
          <w:sz w:val="24"/>
          <w:szCs w:val="24"/>
        </w:rPr>
      </w:pPr>
      <w:r>
        <w:rPr>
          <w:rFonts w:ascii="Times New Roman" w:hAnsi="Times New Roman"/>
          <w:sz w:val="24"/>
          <w:szCs w:val="24"/>
        </w:rPr>
        <w:t>“</w:t>
      </w:r>
      <w:r w:rsidRPr="003C5EA4">
        <w:rPr>
          <w:rFonts w:ascii="Times New Roman" w:hAnsi="Times New Roman"/>
          <w:sz w:val="24"/>
          <w:szCs w:val="24"/>
        </w:rPr>
        <w:t>Because the jury in this case has already determined that Defendants committed a willful violation of the FLSA, I reject Defendants’ request to deny liquidated damages in this case.</w:t>
      </w:r>
      <w:r>
        <w:rPr>
          <w:rFonts w:ascii="Times New Roman" w:hAnsi="Times New Roman"/>
          <w:sz w:val="24"/>
          <w:szCs w:val="24"/>
        </w:rPr>
        <w:t xml:space="preserve">”   </w:t>
      </w:r>
      <w:bookmarkStart w:id="405" w:name="_Hlk29205937"/>
      <w:bookmarkStart w:id="406" w:name="_Hlk39848078"/>
      <w:r>
        <w:rPr>
          <w:rFonts w:ascii="Times New Roman" w:hAnsi="Times New Roman"/>
          <w:sz w:val="24"/>
          <w:szCs w:val="24"/>
        </w:rPr>
        <w:fldChar w:fldCharType="begin"/>
      </w:r>
      <w:r>
        <w:rPr>
          <w:rFonts w:ascii="Times New Roman" w:hAnsi="Times New Roman"/>
          <w:sz w:val="24"/>
          <w:szCs w:val="24"/>
        </w:rPr>
        <w:instrText xml:space="preserve"> HYPERLINK "</w:instrText>
      </w:r>
      <w:r w:rsidRPr="004B1B03">
        <w:rPr>
          <w:rFonts w:ascii="Times New Roman" w:hAnsi="Times New Roman"/>
          <w:sz w:val="24"/>
          <w:szCs w:val="24"/>
        </w:rPr>
        <w:instrText>https://casetext.com/case/perry-v-city-of-ny-4</w:instrText>
      </w:r>
      <w:r>
        <w:rPr>
          <w:rFonts w:ascii="Times New Roman" w:hAnsi="Times New Roman"/>
          <w:sz w:val="24"/>
          <w:szCs w:val="24"/>
        </w:rPr>
        <w:instrText xml:space="preserve">" </w:instrText>
      </w:r>
      <w:r>
        <w:rPr>
          <w:rFonts w:ascii="Times New Roman" w:hAnsi="Times New Roman"/>
          <w:sz w:val="24"/>
          <w:szCs w:val="24"/>
        </w:rPr>
      </w:r>
      <w:r>
        <w:rPr>
          <w:rFonts w:ascii="Times New Roman" w:hAnsi="Times New Roman"/>
          <w:sz w:val="24"/>
          <w:szCs w:val="24"/>
        </w:rPr>
        <w:fldChar w:fldCharType="separate"/>
      </w:r>
      <w:r w:rsidRPr="00D24870">
        <w:rPr>
          <w:rStyle w:val="Hyperlink"/>
          <w:rFonts w:ascii="Times New Roman" w:hAnsi="Times New Roman"/>
          <w:sz w:val="24"/>
          <w:szCs w:val="24"/>
        </w:rPr>
        <w:t>https://casetext.com/case/perry-v-city-of-ny-4</w:t>
      </w:r>
      <w:r>
        <w:rPr>
          <w:rFonts w:ascii="Times New Roman" w:hAnsi="Times New Roman"/>
          <w:sz w:val="24"/>
          <w:szCs w:val="24"/>
        </w:rPr>
        <w:fldChar w:fldCharType="end"/>
      </w:r>
      <w:r>
        <w:rPr>
          <w:rFonts w:ascii="Times New Roman" w:hAnsi="Times New Roman"/>
          <w:sz w:val="24"/>
          <w:szCs w:val="24"/>
        </w:rPr>
        <w:t xml:space="preserve"> </w:t>
      </w:r>
      <w:bookmarkEnd w:id="405"/>
    </w:p>
    <w:bookmarkEnd w:id="402"/>
    <w:bookmarkEnd w:id="406"/>
    <w:p w14:paraId="5C6A6D25" w14:textId="77777777" w:rsidR="00A16B10" w:rsidRDefault="00A16B10" w:rsidP="00A16B10">
      <w:pPr>
        <w:rPr>
          <w:rFonts w:ascii="Times New Roman" w:hAnsi="Times New Roman"/>
          <w:b/>
          <w:bCs/>
          <w:sz w:val="24"/>
          <w:szCs w:val="24"/>
        </w:rPr>
      </w:pPr>
      <w:r w:rsidRPr="00A16B10">
        <w:rPr>
          <w:rFonts w:ascii="Times New Roman" w:hAnsi="Times New Roman"/>
          <w:b/>
          <w:bCs/>
          <w:sz w:val="24"/>
          <w:szCs w:val="24"/>
        </w:rPr>
        <w:t>Legal Lesson Learned: Willful violations of FLSA can result in damages of three years of back pay, doubled</w:t>
      </w:r>
      <w:bookmarkEnd w:id="403"/>
      <w:r w:rsidRPr="00A16B10">
        <w:rPr>
          <w:rFonts w:ascii="Times New Roman" w:hAnsi="Times New Roman"/>
          <w:b/>
          <w:bCs/>
          <w:sz w:val="24"/>
          <w:szCs w:val="24"/>
        </w:rPr>
        <w:t xml:space="preserve">. </w:t>
      </w:r>
    </w:p>
    <w:p w14:paraId="1585BA87" w14:textId="77777777" w:rsidR="00B13773" w:rsidRDefault="00B13773" w:rsidP="00A16B10">
      <w:pPr>
        <w:rPr>
          <w:rFonts w:ascii="Arial Black" w:hAnsi="Arial Black"/>
          <w:b/>
          <w:bCs/>
          <w:sz w:val="28"/>
          <w:szCs w:val="28"/>
        </w:rPr>
      </w:pPr>
    </w:p>
    <w:p w14:paraId="06DAD8A5" w14:textId="5C82806D" w:rsidR="00411E0E" w:rsidRPr="00B13773" w:rsidRDefault="00B13773" w:rsidP="00A16B10">
      <w:pPr>
        <w:rPr>
          <w:rFonts w:ascii="Arial Black" w:hAnsi="Arial Black"/>
          <w:b/>
          <w:bCs/>
          <w:sz w:val="28"/>
          <w:szCs w:val="28"/>
        </w:rPr>
      </w:pPr>
      <w:r w:rsidRPr="00B13773">
        <w:rPr>
          <w:rFonts w:ascii="Arial Black" w:hAnsi="Arial Black"/>
          <w:b/>
          <w:bCs/>
          <w:sz w:val="28"/>
          <w:szCs w:val="28"/>
        </w:rPr>
        <w:t>11-8</w:t>
      </w:r>
    </w:p>
    <w:p w14:paraId="61C21C93" w14:textId="77777777" w:rsidR="00411E0E" w:rsidRDefault="00411E0E" w:rsidP="00411E0E">
      <w:pPr>
        <w:rPr>
          <w:sz w:val="48"/>
          <w:szCs w:val="48"/>
        </w:rPr>
      </w:pPr>
      <w:r>
        <w:rPr>
          <w:rFonts w:ascii="Arial Black" w:hAnsi="Arial Black"/>
          <w:b/>
          <w:sz w:val="28"/>
          <w:szCs w:val="28"/>
        </w:rPr>
        <w:t xml:space="preserve">IL: </w:t>
      </w:r>
      <w:r w:rsidRPr="00097703">
        <w:rPr>
          <w:rFonts w:ascii="Arial Black" w:hAnsi="Arial Black"/>
          <w:sz w:val="28"/>
          <w:szCs w:val="28"/>
        </w:rPr>
        <w:t xml:space="preserve">Justice Department Files Lawsuit Against the City of Chicago </w:t>
      </w:r>
      <w:proofErr w:type="gramStart"/>
      <w:r w:rsidRPr="00097703">
        <w:rPr>
          <w:rFonts w:ascii="Arial Black" w:hAnsi="Arial Black"/>
          <w:sz w:val="28"/>
          <w:szCs w:val="28"/>
        </w:rPr>
        <w:t>To</w:t>
      </w:r>
      <w:proofErr w:type="gramEnd"/>
      <w:r w:rsidRPr="00097703">
        <w:rPr>
          <w:rFonts w:ascii="Arial Black" w:hAnsi="Arial Black"/>
          <w:sz w:val="28"/>
          <w:szCs w:val="28"/>
        </w:rPr>
        <w:t xml:space="preserve"> Enforce USERRA Rights of U.S. Army Reservist</w:t>
      </w:r>
    </w:p>
    <w:p w14:paraId="1AC29819" w14:textId="77777777" w:rsidR="00411E0E" w:rsidRDefault="00411E0E" w:rsidP="00411E0E">
      <w:pPr>
        <w:pStyle w:val="NoSpacing"/>
        <w:rPr>
          <w:rFonts w:ascii="Times New Roman" w:hAnsi="Times New Roman"/>
          <w:sz w:val="24"/>
          <w:szCs w:val="24"/>
        </w:rPr>
      </w:pPr>
    </w:p>
    <w:p w14:paraId="3651CA07" w14:textId="77777777" w:rsidR="00411E0E" w:rsidRDefault="00411E0E" w:rsidP="00411E0E">
      <w:pPr>
        <w:pStyle w:val="NoSpacing"/>
        <w:ind w:left="720"/>
        <w:rPr>
          <w:rFonts w:ascii="Times New Roman" w:hAnsi="Times New Roman"/>
          <w:sz w:val="24"/>
          <w:szCs w:val="24"/>
        </w:rPr>
      </w:pPr>
      <w:r w:rsidRPr="00097703">
        <w:rPr>
          <w:rFonts w:ascii="Times New Roman" w:hAnsi="Times New Roman"/>
          <w:sz w:val="24"/>
          <w:szCs w:val="24"/>
        </w:rPr>
        <w:t xml:space="preserve">“On Dec. 17, 2019, the Department of Justice filed a complaint in the U.S. District Court for the Northern District of Illinois on behalf of Captain and Judge Advocate Derrick Strong against the City of Chicago Fire Department (CFD), alleging that the City violated the Uniformed Services Employment and Reemployment Rights Act of 1994 (USERRA) when it failed to provide Strong with an opportunity, after his return from active duty military service, to take a promotional examination that he missed while deployed.  ***  According to the complaint, Strong is currently assigned to the 416th Theater Engineer Command’s (TEC), Office of the Staff Judge Advocate as a trial counsel and administrative law attorney, where he provides legal advice and overall legal support to the 416th TEC and its Command. He is also employed as a cross-trained firefighter and emergency medical technician-basic (firefighter/EMT) for the Chicago Fire Department. Strong is currently assigned to Squad 5, which is a special operations heavy rescue unit. From Sept. 30, 2016, to June 26, 2017, he was actively deployed with the U.S. Army Reserve in support of Operation Enduring Freedom. While Strong was deployed, the city of Chicago administered a test for firefighters to become fire engineers. He alleges, as outlined in the complaint filed in federal court, that the CFD violated USERRA by failing to provide him with an opportunity to take a fire engineer promotional examination following his return to work upon his honorable discharge from </w:t>
      </w:r>
      <w:proofErr w:type="gramStart"/>
      <w:r w:rsidRPr="00097703">
        <w:rPr>
          <w:rFonts w:ascii="Times New Roman" w:hAnsi="Times New Roman"/>
          <w:sz w:val="24"/>
          <w:szCs w:val="24"/>
        </w:rPr>
        <w:t>active duty</w:t>
      </w:r>
      <w:proofErr w:type="gramEnd"/>
      <w:r w:rsidRPr="00097703">
        <w:rPr>
          <w:rFonts w:ascii="Times New Roman" w:hAnsi="Times New Roman"/>
          <w:sz w:val="24"/>
          <w:szCs w:val="24"/>
        </w:rPr>
        <w:t xml:space="preserve"> military service. </w:t>
      </w:r>
    </w:p>
    <w:p w14:paraId="7AC04B4D" w14:textId="77777777" w:rsidR="00411E0E" w:rsidRDefault="00411E0E" w:rsidP="00411E0E">
      <w:pPr>
        <w:pStyle w:val="NoSpacing"/>
        <w:ind w:left="720"/>
        <w:rPr>
          <w:rFonts w:ascii="Times New Roman" w:hAnsi="Times New Roman"/>
          <w:sz w:val="24"/>
          <w:szCs w:val="24"/>
        </w:rPr>
      </w:pPr>
    </w:p>
    <w:p w14:paraId="3E15C43B" w14:textId="77777777" w:rsidR="00411E0E" w:rsidRPr="00097703" w:rsidRDefault="00411E0E" w:rsidP="00411E0E">
      <w:pPr>
        <w:pStyle w:val="NoSpacing"/>
        <w:ind w:left="1440"/>
        <w:rPr>
          <w:rFonts w:ascii="Times New Roman" w:hAnsi="Times New Roman"/>
          <w:sz w:val="24"/>
          <w:szCs w:val="24"/>
        </w:rPr>
      </w:pPr>
      <w:r>
        <w:rPr>
          <w:rFonts w:ascii="Times New Roman" w:hAnsi="Times New Roman"/>
          <w:sz w:val="24"/>
          <w:szCs w:val="24"/>
        </w:rPr>
        <w:t>“</w:t>
      </w:r>
      <w:r w:rsidRPr="00097703">
        <w:rPr>
          <w:rFonts w:ascii="Times New Roman" w:hAnsi="Times New Roman"/>
          <w:sz w:val="24"/>
          <w:szCs w:val="24"/>
        </w:rPr>
        <w:t xml:space="preserve">The Justice Department gives high priority to the enforcement of servicemembers’ rights under USERRA. This lawsuit stems from a referral to the Department of Justice from the U.S. Department of Labor, after an investigation by the Department of Labor’s Veterans’ Employment and Training Service. Additional information about USERRA can be found on the Justice Department’s websites at </w:t>
      </w:r>
      <w:hyperlink r:id="rId1882" w:history="1">
        <w:r w:rsidRPr="00097703">
          <w:rPr>
            <w:rStyle w:val="Hyperlink"/>
            <w:rFonts w:ascii="Times New Roman" w:hAnsi="Times New Roman"/>
            <w:color w:val="auto"/>
            <w:sz w:val="24"/>
            <w:szCs w:val="24"/>
            <w:u w:val="none"/>
          </w:rPr>
          <w:t>https://www.justice.gov/crt-military/employment-rights-userra</w:t>
        </w:r>
      </w:hyperlink>
      <w:r w:rsidRPr="00097703">
        <w:rPr>
          <w:rFonts w:ascii="Times New Roman" w:hAnsi="Times New Roman"/>
          <w:sz w:val="24"/>
          <w:szCs w:val="24"/>
        </w:rPr>
        <w:t xml:space="preserve"> and </w:t>
      </w:r>
      <w:hyperlink r:id="rId1883" w:history="1">
        <w:r w:rsidRPr="00097703">
          <w:rPr>
            <w:rStyle w:val="Hyperlink"/>
            <w:rFonts w:ascii="Times New Roman" w:hAnsi="Times New Roman"/>
            <w:color w:val="auto"/>
            <w:sz w:val="24"/>
            <w:szCs w:val="24"/>
            <w:u w:val="none"/>
          </w:rPr>
          <w:t>https://www.justice.gov/servicemembers</w:t>
        </w:r>
      </w:hyperlink>
      <w:r w:rsidRPr="00097703">
        <w:rPr>
          <w:rFonts w:ascii="Times New Roman" w:hAnsi="Times New Roman"/>
          <w:sz w:val="24"/>
          <w:szCs w:val="24"/>
        </w:rPr>
        <w:t xml:space="preserve">, as well as on the Department of Labor’s website at </w:t>
      </w:r>
      <w:hyperlink r:id="rId1884" w:history="1">
        <w:r w:rsidRPr="00097703">
          <w:rPr>
            <w:rStyle w:val="Hyperlink"/>
            <w:rFonts w:ascii="Times New Roman" w:hAnsi="Times New Roman"/>
            <w:color w:val="auto"/>
            <w:sz w:val="24"/>
            <w:szCs w:val="24"/>
            <w:u w:val="none"/>
          </w:rPr>
          <w:t>https://www.dol.gov/agencies/vets/programs/userra</w:t>
        </w:r>
      </w:hyperlink>
      <w:r w:rsidRPr="00097703">
        <w:rPr>
          <w:rFonts w:ascii="Times New Roman" w:hAnsi="Times New Roman"/>
          <w:sz w:val="24"/>
          <w:szCs w:val="24"/>
        </w:rPr>
        <w:t>.</w:t>
      </w:r>
      <w:r>
        <w:rPr>
          <w:rFonts w:ascii="Times New Roman" w:hAnsi="Times New Roman"/>
          <w:sz w:val="24"/>
          <w:szCs w:val="24"/>
        </w:rPr>
        <w:t>”</w:t>
      </w:r>
    </w:p>
    <w:p w14:paraId="6415DDA1" w14:textId="77777777" w:rsidR="00411E0E" w:rsidRPr="00097703" w:rsidRDefault="00411E0E" w:rsidP="00411E0E">
      <w:pPr>
        <w:pStyle w:val="NoSpacing"/>
        <w:ind w:left="720"/>
        <w:rPr>
          <w:rFonts w:ascii="Times New Roman" w:hAnsi="Times New Roman"/>
          <w:b/>
          <w:sz w:val="24"/>
          <w:szCs w:val="24"/>
        </w:rPr>
      </w:pPr>
      <w:hyperlink r:id="rId1885" w:history="1">
        <w:r w:rsidRPr="00E54FA8">
          <w:rPr>
            <w:rStyle w:val="Hyperlink"/>
            <w:rFonts w:ascii="Times New Roman" w:hAnsi="Times New Roman"/>
            <w:b/>
            <w:sz w:val="24"/>
            <w:szCs w:val="24"/>
          </w:rPr>
          <w:t>https://www.justice.gov/opa/pr/justice-department-files-lawsuit-against-city-chicago-enforce-userra-rights-us-army-reservist</w:t>
        </w:r>
      </w:hyperlink>
      <w:r w:rsidRPr="00097703">
        <w:rPr>
          <w:rFonts w:ascii="Times New Roman" w:hAnsi="Times New Roman"/>
          <w:b/>
          <w:sz w:val="24"/>
          <w:szCs w:val="24"/>
        </w:rPr>
        <w:t xml:space="preserve"> </w:t>
      </w:r>
    </w:p>
    <w:p w14:paraId="35E44D4B" w14:textId="77777777" w:rsidR="00411E0E" w:rsidRPr="0052665B" w:rsidRDefault="00411E0E" w:rsidP="00411E0E">
      <w:pPr>
        <w:ind w:left="720"/>
        <w:rPr>
          <w:rFonts w:ascii="Times New Roman" w:hAnsi="Times New Roman"/>
          <w:b/>
          <w:sz w:val="24"/>
          <w:szCs w:val="24"/>
        </w:rPr>
      </w:pPr>
      <w:r w:rsidRPr="0052665B">
        <w:rPr>
          <w:rFonts w:ascii="Times New Roman" w:hAnsi="Times New Roman"/>
          <w:b/>
          <w:sz w:val="24"/>
          <w:szCs w:val="24"/>
        </w:rPr>
        <w:t xml:space="preserve">Legal Lesson Learned: U.S. Department of Justice gives high priority to enforcement of servicemember’s rights under USERRA. </w:t>
      </w:r>
    </w:p>
    <w:p w14:paraId="220981B7" w14:textId="12760DFD" w:rsidR="00411E0E" w:rsidRPr="00A16B10" w:rsidRDefault="00411E0E" w:rsidP="00411E0E">
      <w:pPr>
        <w:rPr>
          <w:rFonts w:ascii="Times New Roman" w:hAnsi="Times New Roman"/>
          <w:b/>
          <w:bCs/>
          <w:sz w:val="24"/>
          <w:szCs w:val="24"/>
        </w:rPr>
      </w:pPr>
      <w:r w:rsidRPr="0052665B">
        <w:rPr>
          <w:rFonts w:ascii="Times New Roman" w:hAnsi="Times New Roman"/>
          <w:bCs/>
          <w:sz w:val="24"/>
          <w:szCs w:val="24"/>
        </w:rPr>
        <w:tab/>
        <w:t>Note:</w:t>
      </w:r>
      <w:r>
        <w:rPr>
          <w:rFonts w:ascii="Arial Black" w:hAnsi="Arial Black"/>
          <w:b/>
          <w:sz w:val="28"/>
          <w:szCs w:val="28"/>
        </w:rPr>
        <w:t xml:space="preserve"> </w:t>
      </w:r>
      <w:r w:rsidRPr="003A64EA">
        <w:rPr>
          <w:rFonts w:ascii="Times New Roman" w:hAnsi="Times New Roman"/>
          <w:bCs/>
          <w:sz w:val="24"/>
          <w:szCs w:val="24"/>
        </w:rPr>
        <w:t xml:space="preserve">See the complaint: </w:t>
      </w:r>
      <w:hyperlink r:id="rId1886" w:history="1">
        <w:r w:rsidRPr="003A64EA">
          <w:rPr>
            <w:rStyle w:val="Hyperlink"/>
            <w:rFonts w:ascii="Times New Roman" w:hAnsi="Times New Roman"/>
            <w:bCs/>
            <w:sz w:val="24"/>
            <w:szCs w:val="24"/>
          </w:rPr>
          <w:t>https://www.justice.gov/crt/case-document/file/1227366/download</w:t>
        </w:r>
      </w:hyperlink>
    </w:p>
    <w:p w14:paraId="31F797F1" w14:textId="77777777" w:rsidR="007C6FEF" w:rsidRDefault="007C6FEF" w:rsidP="00F326E5">
      <w:pPr>
        <w:rPr>
          <w:rFonts w:ascii="Arial Black" w:hAnsi="Arial Black"/>
          <w:b/>
          <w:sz w:val="24"/>
          <w:szCs w:val="24"/>
        </w:rPr>
      </w:pPr>
    </w:p>
    <w:p w14:paraId="015CE13D" w14:textId="2D6F740D" w:rsidR="00C80464" w:rsidRDefault="00C80464" w:rsidP="00F326E5">
      <w:pPr>
        <w:rPr>
          <w:rFonts w:ascii="Arial Black" w:hAnsi="Arial Black"/>
          <w:b/>
          <w:sz w:val="24"/>
          <w:szCs w:val="24"/>
        </w:rPr>
      </w:pPr>
      <w:r>
        <w:rPr>
          <w:rFonts w:ascii="Arial Black" w:hAnsi="Arial Black"/>
          <w:b/>
          <w:sz w:val="24"/>
          <w:szCs w:val="24"/>
        </w:rPr>
        <w:t>11-</w:t>
      </w:r>
      <w:r w:rsidR="00E9307E">
        <w:rPr>
          <w:rFonts w:ascii="Arial Black" w:hAnsi="Arial Black"/>
          <w:b/>
          <w:sz w:val="24"/>
          <w:szCs w:val="24"/>
        </w:rPr>
        <w:t>7</w:t>
      </w:r>
    </w:p>
    <w:p w14:paraId="6C87C887" w14:textId="77777777" w:rsidR="00C80464" w:rsidRPr="008B02FC" w:rsidRDefault="00C80464" w:rsidP="00C80464">
      <w:pPr>
        <w:pStyle w:val="NoSpacing"/>
        <w:rPr>
          <w:rFonts w:ascii="Arial Black" w:eastAsia="Times New Roman" w:hAnsi="Arial Black"/>
          <w:b/>
          <w:bCs/>
          <w:sz w:val="28"/>
          <w:szCs w:val="28"/>
        </w:rPr>
      </w:pPr>
      <w:bookmarkStart w:id="407" w:name="_Hlk39771953"/>
      <w:r w:rsidRPr="008B02FC">
        <w:rPr>
          <w:rFonts w:ascii="Arial Black" w:hAnsi="Arial Black"/>
          <w:b/>
          <w:bCs/>
          <w:sz w:val="28"/>
          <w:szCs w:val="28"/>
        </w:rPr>
        <w:t>GA</w:t>
      </w:r>
      <w:r>
        <w:rPr>
          <w:rFonts w:ascii="Arial Black" w:hAnsi="Arial Black"/>
          <w:b/>
          <w:bCs/>
          <w:sz w:val="28"/>
          <w:szCs w:val="28"/>
        </w:rPr>
        <w:t xml:space="preserve">:  FF WORKING 40-HOURS, BUT CLASSIFIED “PART-TIME” - CLASS ACTION LAWSUIT ON BEHALF OF 86 FF PROCEED </w:t>
      </w:r>
    </w:p>
    <w:p w14:paraId="12797646" w14:textId="58DE771F" w:rsidR="00C80464" w:rsidRDefault="00C80464" w:rsidP="00C80464">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On Sept. 16, 2019, in </w:t>
      </w:r>
      <w:r w:rsidRPr="00D26715">
        <w:rPr>
          <w:rFonts w:ascii="Times New Roman" w:eastAsia="Times New Roman" w:hAnsi="Times New Roman"/>
          <w:sz w:val="24"/>
          <w:szCs w:val="24"/>
          <w:u w:val="single"/>
        </w:rPr>
        <w:t>City of Roswell v. David Bible and Brian Rogers</w:t>
      </w:r>
      <w:r>
        <w:rPr>
          <w:rFonts w:ascii="Times New Roman" w:eastAsia="Times New Roman" w:hAnsi="Times New Roman"/>
          <w:sz w:val="24"/>
          <w:szCs w:val="24"/>
        </w:rPr>
        <w:t xml:space="preserve">, the Court of Appeals of Georgia, held (3 to 0) that trial judge properly held that the class action lawsuit on behalf of about 86 firefighters may proceed.  </w:t>
      </w:r>
      <w:r w:rsidR="00E75F94">
        <w:rPr>
          <w:rFonts w:ascii="Times New Roman" w:eastAsia="Times New Roman" w:hAnsi="Times New Roman"/>
          <w:sz w:val="24"/>
          <w:szCs w:val="24"/>
        </w:rPr>
        <w:t>P</w:t>
      </w:r>
      <w:r>
        <w:rPr>
          <w:rFonts w:ascii="Times New Roman" w:eastAsia="Times New Roman" w:hAnsi="Times New Roman"/>
          <w:sz w:val="24"/>
          <w:szCs w:val="24"/>
        </w:rPr>
        <w:t xml:space="preserve">residing Judge Christopher J. McMillan wrote:  </w:t>
      </w:r>
    </w:p>
    <w:p w14:paraId="65530C47" w14:textId="53A66770" w:rsidR="00C80464" w:rsidRDefault="00C80464" w:rsidP="00A16B10">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r w:rsidRPr="00D2295F">
        <w:rPr>
          <w:rFonts w:ascii="Times New Roman" w:hAnsi="Times New Roman"/>
          <w:sz w:val="24"/>
          <w:szCs w:val="24"/>
        </w:rPr>
        <w:t>The</w:t>
      </w:r>
      <w:r>
        <w:rPr>
          <w:rFonts w:ascii="Times New Roman" w:hAnsi="Times New Roman"/>
          <w:sz w:val="24"/>
          <w:szCs w:val="24"/>
        </w:rPr>
        <w:t xml:space="preserve"> </w:t>
      </w:r>
      <w:proofErr w:type="gramStart"/>
      <w:r w:rsidRPr="00D2295F">
        <w:rPr>
          <w:rFonts w:ascii="Times New Roman" w:hAnsi="Times New Roman"/>
          <w:sz w:val="24"/>
          <w:szCs w:val="24"/>
        </w:rPr>
        <w:t>City</w:t>
      </w:r>
      <w:proofErr w:type="gramEnd"/>
      <w:r>
        <w:rPr>
          <w:rFonts w:ascii="Times New Roman" w:hAnsi="Times New Roman"/>
          <w:sz w:val="24"/>
          <w:szCs w:val="24"/>
        </w:rPr>
        <w:t xml:space="preserve"> </w:t>
      </w:r>
      <w:r w:rsidRPr="00D2295F">
        <w:rPr>
          <w:rFonts w:ascii="Times New Roman" w:hAnsi="Times New Roman"/>
          <w:sz w:val="24"/>
          <w:szCs w:val="24"/>
        </w:rPr>
        <w:t>alleges</w:t>
      </w:r>
      <w:r>
        <w:rPr>
          <w:rFonts w:ascii="Times New Roman" w:hAnsi="Times New Roman"/>
          <w:sz w:val="24"/>
          <w:szCs w:val="24"/>
        </w:rPr>
        <w:t xml:space="preserve"> </w:t>
      </w:r>
      <w:r w:rsidRPr="00D2295F">
        <w:rPr>
          <w:rFonts w:ascii="Times New Roman" w:hAnsi="Times New Roman"/>
          <w:sz w:val="24"/>
          <w:szCs w:val="24"/>
        </w:rPr>
        <w:t>that</w:t>
      </w:r>
      <w:r>
        <w:rPr>
          <w:rFonts w:ascii="Times New Roman" w:hAnsi="Times New Roman"/>
          <w:sz w:val="24"/>
          <w:szCs w:val="24"/>
        </w:rPr>
        <w:t xml:space="preserve"> </w:t>
      </w:r>
      <w:r w:rsidRPr="00D2295F">
        <w:rPr>
          <w:rFonts w:ascii="Times New Roman" w:hAnsi="Times New Roman"/>
          <w:sz w:val="24"/>
          <w:szCs w:val="24"/>
        </w:rPr>
        <w:t>because Bible and</w:t>
      </w:r>
      <w:r>
        <w:rPr>
          <w:rFonts w:ascii="Times New Roman" w:hAnsi="Times New Roman"/>
          <w:sz w:val="24"/>
          <w:szCs w:val="24"/>
        </w:rPr>
        <w:t xml:space="preserve"> </w:t>
      </w:r>
      <w:r w:rsidRPr="00D2295F">
        <w:rPr>
          <w:rFonts w:ascii="Times New Roman" w:hAnsi="Times New Roman"/>
          <w:sz w:val="24"/>
          <w:szCs w:val="24"/>
        </w:rPr>
        <w:t>Rogers</w:t>
      </w:r>
      <w:r>
        <w:rPr>
          <w:rFonts w:ascii="Times New Roman" w:hAnsi="Times New Roman"/>
          <w:sz w:val="24"/>
          <w:szCs w:val="24"/>
        </w:rPr>
        <w:t xml:space="preserve"> </w:t>
      </w:r>
      <w:r w:rsidRPr="00D2295F">
        <w:rPr>
          <w:rFonts w:ascii="Times New Roman" w:hAnsi="Times New Roman"/>
          <w:sz w:val="24"/>
          <w:szCs w:val="24"/>
        </w:rPr>
        <w:t>acquiesced</w:t>
      </w:r>
      <w:r>
        <w:rPr>
          <w:rFonts w:ascii="Times New Roman" w:hAnsi="Times New Roman"/>
          <w:sz w:val="24"/>
          <w:szCs w:val="24"/>
        </w:rPr>
        <w:t xml:space="preserve"> </w:t>
      </w:r>
      <w:r w:rsidRPr="00D2295F">
        <w:rPr>
          <w:rFonts w:ascii="Times New Roman" w:hAnsi="Times New Roman"/>
          <w:sz w:val="24"/>
          <w:szCs w:val="24"/>
        </w:rPr>
        <w:t>in</w:t>
      </w:r>
      <w:r>
        <w:rPr>
          <w:rFonts w:ascii="Times New Roman" w:hAnsi="Times New Roman"/>
          <w:sz w:val="24"/>
          <w:szCs w:val="24"/>
        </w:rPr>
        <w:t xml:space="preserve"> </w:t>
      </w:r>
      <w:r w:rsidRPr="00D2295F">
        <w:rPr>
          <w:rFonts w:ascii="Times New Roman" w:hAnsi="Times New Roman"/>
          <w:sz w:val="24"/>
          <w:szCs w:val="24"/>
        </w:rPr>
        <w:t>their non-benefitted</w:t>
      </w:r>
      <w:r>
        <w:rPr>
          <w:rFonts w:ascii="Times New Roman" w:hAnsi="Times New Roman"/>
          <w:sz w:val="24"/>
          <w:szCs w:val="24"/>
        </w:rPr>
        <w:t xml:space="preserve"> </w:t>
      </w:r>
      <w:r w:rsidRPr="00D2295F">
        <w:rPr>
          <w:rFonts w:ascii="Times New Roman" w:hAnsi="Times New Roman"/>
          <w:sz w:val="24"/>
          <w:szCs w:val="24"/>
        </w:rPr>
        <w:t>status</w:t>
      </w:r>
      <w:r>
        <w:rPr>
          <w:rFonts w:ascii="Times New Roman" w:hAnsi="Times New Roman"/>
          <w:sz w:val="24"/>
          <w:szCs w:val="24"/>
        </w:rPr>
        <w:t xml:space="preserve"> </w:t>
      </w:r>
      <w:r w:rsidRPr="00D2295F">
        <w:rPr>
          <w:rFonts w:ascii="Times New Roman" w:hAnsi="Times New Roman"/>
          <w:sz w:val="24"/>
          <w:szCs w:val="24"/>
        </w:rPr>
        <w:t>and</w:t>
      </w:r>
      <w:r>
        <w:rPr>
          <w:rFonts w:ascii="Times New Roman" w:hAnsi="Times New Roman"/>
          <w:sz w:val="24"/>
          <w:szCs w:val="24"/>
        </w:rPr>
        <w:t xml:space="preserve"> </w:t>
      </w:r>
      <w:r w:rsidRPr="00D2295F">
        <w:rPr>
          <w:rFonts w:ascii="Times New Roman" w:hAnsi="Times New Roman"/>
          <w:sz w:val="24"/>
          <w:szCs w:val="24"/>
        </w:rPr>
        <w:t>worked</w:t>
      </w:r>
      <w:r>
        <w:rPr>
          <w:rFonts w:ascii="Times New Roman" w:hAnsi="Times New Roman"/>
          <w:sz w:val="24"/>
          <w:szCs w:val="24"/>
        </w:rPr>
        <w:t xml:space="preserve"> </w:t>
      </w:r>
      <w:r w:rsidRPr="00D2295F">
        <w:rPr>
          <w:rFonts w:ascii="Times New Roman" w:hAnsi="Times New Roman"/>
          <w:sz w:val="24"/>
          <w:szCs w:val="24"/>
        </w:rPr>
        <w:t>over 2,080</w:t>
      </w:r>
      <w:r>
        <w:rPr>
          <w:rFonts w:ascii="Times New Roman" w:hAnsi="Times New Roman"/>
          <w:sz w:val="24"/>
          <w:szCs w:val="24"/>
        </w:rPr>
        <w:t xml:space="preserve"> </w:t>
      </w:r>
      <w:r w:rsidRPr="00D2295F">
        <w:rPr>
          <w:rFonts w:ascii="Times New Roman" w:hAnsi="Times New Roman"/>
          <w:sz w:val="24"/>
          <w:szCs w:val="24"/>
        </w:rPr>
        <w:t>hours</w:t>
      </w:r>
      <w:r>
        <w:rPr>
          <w:rFonts w:ascii="Times New Roman" w:hAnsi="Times New Roman"/>
          <w:sz w:val="24"/>
          <w:szCs w:val="24"/>
        </w:rPr>
        <w:t xml:space="preserve"> </w:t>
      </w:r>
      <w:r w:rsidRPr="00D2295F">
        <w:rPr>
          <w:rFonts w:ascii="Times New Roman" w:hAnsi="Times New Roman"/>
          <w:sz w:val="24"/>
          <w:szCs w:val="24"/>
        </w:rPr>
        <w:t>per year, they</w:t>
      </w:r>
      <w:r>
        <w:rPr>
          <w:rFonts w:ascii="Times New Roman" w:hAnsi="Times New Roman"/>
          <w:sz w:val="24"/>
          <w:szCs w:val="24"/>
        </w:rPr>
        <w:t xml:space="preserve"> </w:t>
      </w:r>
      <w:r w:rsidRPr="00D2295F">
        <w:rPr>
          <w:rFonts w:ascii="Times New Roman" w:hAnsi="Times New Roman"/>
          <w:sz w:val="24"/>
          <w:szCs w:val="24"/>
        </w:rPr>
        <w:t>are not</w:t>
      </w:r>
      <w:r>
        <w:rPr>
          <w:rFonts w:ascii="Times New Roman" w:hAnsi="Times New Roman"/>
          <w:sz w:val="24"/>
          <w:szCs w:val="24"/>
        </w:rPr>
        <w:t xml:space="preserve"> </w:t>
      </w:r>
      <w:r w:rsidRPr="00D2295F">
        <w:rPr>
          <w:rFonts w:ascii="Times New Roman" w:hAnsi="Times New Roman"/>
          <w:sz w:val="24"/>
          <w:szCs w:val="24"/>
        </w:rPr>
        <w:t>typical</w:t>
      </w:r>
      <w:r>
        <w:rPr>
          <w:rFonts w:ascii="Times New Roman" w:hAnsi="Times New Roman"/>
          <w:sz w:val="24"/>
          <w:szCs w:val="24"/>
        </w:rPr>
        <w:t xml:space="preserve"> </w:t>
      </w:r>
      <w:r w:rsidRPr="00D2295F">
        <w:rPr>
          <w:rFonts w:ascii="Times New Roman" w:hAnsi="Times New Roman"/>
          <w:sz w:val="24"/>
          <w:szCs w:val="24"/>
        </w:rPr>
        <w:t>of other</w:t>
      </w:r>
      <w:r>
        <w:rPr>
          <w:rFonts w:ascii="Times New Roman" w:hAnsi="Times New Roman"/>
          <w:sz w:val="24"/>
          <w:szCs w:val="24"/>
        </w:rPr>
        <w:t xml:space="preserve"> </w:t>
      </w:r>
      <w:r w:rsidRPr="00D2295F">
        <w:rPr>
          <w:rFonts w:ascii="Times New Roman" w:hAnsi="Times New Roman"/>
          <w:sz w:val="24"/>
          <w:szCs w:val="24"/>
        </w:rPr>
        <w:t>class</w:t>
      </w:r>
      <w:r>
        <w:rPr>
          <w:rFonts w:ascii="Times New Roman" w:hAnsi="Times New Roman"/>
          <w:sz w:val="24"/>
          <w:szCs w:val="24"/>
        </w:rPr>
        <w:t xml:space="preserve"> </w:t>
      </w:r>
      <w:r w:rsidRPr="00D2295F">
        <w:rPr>
          <w:rFonts w:ascii="Times New Roman" w:hAnsi="Times New Roman"/>
          <w:sz w:val="24"/>
          <w:szCs w:val="24"/>
        </w:rPr>
        <w:t>members</w:t>
      </w:r>
      <w:r>
        <w:rPr>
          <w:rFonts w:ascii="Times New Roman" w:hAnsi="Times New Roman"/>
          <w:sz w:val="24"/>
          <w:szCs w:val="24"/>
        </w:rPr>
        <w:t xml:space="preserve"> </w:t>
      </w:r>
      <w:r w:rsidRPr="00D2295F">
        <w:rPr>
          <w:rFonts w:ascii="Times New Roman" w:hAnsi="Times New Roman"/>
          <w:sz w:val="24"/>
          <w:szCs w:val="24"/>
        </w:rPr>
        <w:t>who</w:t>
      </w:r>
      <w:r>
        <w:rPr>
          <w:rFonts w:ascii="Times New Roman" w:hAnsi="Times New Roman"/>
          <w:sz w:val="24"/>
          <w:szCs w:val="24"/>
        </w:rPr>
        <w:t xml:space="preserve"> </w:t>
      </w:r>
      <w:r w:rsidRPr="00D2295F">
        <w:rPr>
          <w:rFonts w:ascii="Times New Roman" w:hAnsi="Times New Roman"/>
          <w:sz w:val="24"/>
          <w:szCs w:val="24"/>
        </w:rPr>
        <w:t>did</w:t>
      </w:r>
      <w:r>
        <w:rPr>
          <w:rFonts w:ascii="Times New Roman" w:hAnsi="Times New Roman"/>
          <w:sz w:val="24"/>
          <w:szCs w:val="24"/>
        </w:rPr>
        <w:t xml:space="preserve"> </w:t>
      </w:r>
      <w:r w:rsidRPr="00D2295F">
        <w:rPr>
          <w:rFonts w:ascii="Times New Roman" w:hAnsi="Times New Roman"/>
          <w:sz w:val="24"/>
          <w:szCs w:val="24"/>
        </w:rPr>
        <w:t>not waive their entitlement</w:t>
      </w:r>
      <w:r>
        <w:rPr>
          <w:rFonts w:ascii="Times New Roman" w:hAnsi="Times New Roman"/>
          <w:sz w:val="24"/>
          <w:szCs w:val="24"/>
        </w:rPr>
        <w:t xml:space="preserve"> </w:t>
      </w:r>
      <w:r w:rsidRPr="00D2295F">
        <w:rPr>
          <w:rFonts w:ascii="Times New Roman" w:hAnsi="Times New Roman"/>
          <w:sz w:val="24"/>
          <w:szCs w:val="24"/>
        </w:rPr>
        <w:t>to</w:t>
      </w:r>
      <w:r>
        <w:rPr>
          <w:rFonts w:ascii="Times New Roman" w:hAnsi="Times New Roman"/>
          <w:sz w:val="24"/>
          <w:szCs w:val="24"/>
        </w:rPr>
        <w:t xml:space="preserve"> </w:t>
      </w:r>
      <w:r w:rsidRPr="00D2295F">
        <w:rPr>
          <w:rFonts w:ascii="Times New Roman" w:hAnsi="Times New Roman"/>
          <w:sz w:val="24"/>
          <w:szCs w:val="24"/>
        </w:rPr>
        <w:t>any</w:t>
      </w:r>
      <w:r>
        <w:rPr>
          <w:rFonts w:ascii="Times New Roman" w:hAnsi="Times New Roman"/>
          <w:sz w:val="24"/>
          <w:szCs w:val="24"/>
        </w:rPr>
        <w:t xml:space="preserve"> </w:t>
      </w:r>
      <w:r w:rsidRPr="00D2295F">
        <w:rPr>
          <w:rFonts w:ascii="Times New Roman" w:hAnsi="Times New Roman"/>
          <w:sz w:val="24"/>
          <w:szCs w:val="24"/>
        </w:rPr>
        <w:t>benefits</w:t>
      </w:r>
      <w:r>
        <w:rPr>
          <w:rFonts w:ascii="Times New Roman" w:hAnsi="Times New Roman"/>
          <w:sz w:val="24"/>
          <w:szCs w:val="24"/>
        </w:rPr>
        <w:t xml:space="preserve"> </w:t>
      </w:r>
      <w:r w:rsidRPr="00D2295F">
        <w:rPr>
          <w:rFonts w:ascii="Times New Roman" w:hAnsi="Times New Roman"/>
          <w:sz w:val="24"/>
          <w:szCs w:val="24"/>
        </w:rPr>
        <w:t>or those who</w:t>
      </w:r>
      <w:r>
        <w:rPr>
          <w:rFonts w:ascii="Times New Roman" w:hAnsi="Times New Roman"/>
          <w:sz w:val="24"/>
          <w:szCs w:val="24"/>
        </w:rPr>
        <w:t xml:space="preserve"> </w:t>
      </w:r>
      <w:r w:rsidRPr="00D2295F">
        <w:rPr>
          <w:rFonts w:ascii="Times New Roman" w:hAnsi="Times New Roman"/>
          <w:sz w:val="24"/>
          <w:szCs w:val="24"/>
        </w:rPr>
        <w:t>worked</w:t>
      </w:r>
      <w:r>
        <w:rPr>
          <w:rFonts w:ascii="Times New Roman" w:hAnsi="Times New Roman"/>
          <w:sz w:val="24"/>
          <w:szCs w:val="24"/>
        </w:rPr>
        <w:t xml:space="preserve"> </w:t>
      </w:r>
      <w:r w:rsidRPr="00D2295F">
        <w:rPr>
          <w:rFonts w:ascii="Times New Roman" w:hAnsi="Times New Roman"/>
          <w:sz w:val="24"/>
          <w:szCs w:val="24"/>
        </w:rPr>
        <w:t>less</w:t>
      </w:r>
      <w:r>
        <w:rPr>
          <w:rFonts w:ascii="Times New Roman" w:hAnsi="Times New Roman"/>
          <w:sz w:val="24"/>
          <w:szCs w:val="24"/>
        </w:rPr>
        <w:t xml:space="preserve"> </w:t>
      </w:r>
      <w:r w:rsidRPr="00D2295F">
        <w:rPr>
          <w:rFonts w:ascii="Times New Roman" w:hAnsi="Times New Roman"/>
          <w:sz w:val="24"/>
          <w:szCs w:val="24"/>
        </w:rPr>
        <w:t>than</w:t>
      </w:r>
      <w:r>
        <w:rPr>
          <w:rFonts w:ascii="Times New Roman" w:hAnsi="Times New Roman"/>
          <w:sz w:val="24"/>
          <w:szCs w:val="24"/>
        </w:rPr>
        <w:t xml:space="preserve"> </w:t>
      </w:r>
      <w:r w:rsidRPr="00D2295F">
        <w:rPr>
          <w:rFonts w:ascii="Times New Roman" w:hAnsi="Times New Roman"/>
          <w:sz w:val="24"/>
          <w:szCs w:val="24"/>
        </w:rPr>
        <w:t>2,080</w:t>
      </w:r>
      <w:r>
        <w:rPr>
          <w:rFonts w:ascii="Times New Roman" w:hAnsi="Times New Roman"/>
          <w:sz w:val="24"/>
          <w:szCs w:val="24"/>
        </w:rPr>
        <w:t xml:space="preserve"> </w:t>
      </w:r>
      <w:r w:rsidRPr="00D2295F">
        <w:rPr>
          <w:rFonts w:ascii="Times New Roman" w:hAnsi="Times New Roman"/>
          <w:sz w:val="24"/>
          <w:szCs w:val="24"/>
        </w:rPr>
        <w:t>hours</w:t>
      </w:r>
      <w:r>
        <w:rPr>
          <w:rFonts w:ascii="Times New Roman" w:hAnsi="Times New Roman"/>
          <w:sz w:val="24"/>
          <w:szCs w:val="24"/>
        </w:rPr>
        <w:t xml:space="preserve"> </w:t>
      </w:r>
      <w:r w:rsidRPr="00D2295F">
        <w:rPr>
          <w:rFonts w:ascii="Times New Roman" w:hAnsi="Times New Roman"/>
          <w:sz w:val="24"/>
          <w:szCs w:val="24"/>
        </w:rPr>
        <w:t xml:space="preserve">per year. However, </w:t>
      </w:r>
      <w:proofErr w:type="gramStart"/>
      <w:r w:rsidRPr="00D2295F">
        <w:rPr>
          <w:rFonts w:ascii="Times New Roman" w:hAnsi="Times New Roman"/>
          <w:sz w:val="24"/>
          <w:szCs w:val="24"/>
        </w:rPr>
        <w:t>it</w:t>
      </w:r>
      <w:r>
        <w:rPr>
          <w:rFonts w:ascii="Times New Roman" w:hAnsi="Times New Roman"/>
          <w:sz w:val="24"/>
          <w:szCs w:val="24"/>
        </w:rPr>
        <w:t xml:space="preserve"> </w:t>
      </w:r>
      <w:r w:rsidRPr="00D2295F">
        <w:rPr>
          <w:rFonts w:ascii="Times New Roman" w:hAnsi="Times New Roman"/>
          <w:sz w:val="24"/>
          <w:szCs w:val="24"/>
        </w:rPr>
        <w:t>is</w:t>
      </w:r>
      <w:r>
        <w:rPr>
          <w:rFonts w:ascii="Times New Roman" w:hAnsi="Times New Roman"/>
          <w:sz w:val="24"/>
          <w:szCs w:val="24"/>
        </w:rPr>
        <w:t xml:space="preserve"> </w:t>
      </w:r>
      <w:r w:rsidRPr="00D2295F">
        <w:rPr>
          <w:rFonts w:ascii="Times New Roman" w:hAnsi="Times New Roman"/>
          <w:sz w:val="24"/>
          <w:szCs w:val="24"/>
        </w:rPr>
        <w:t>clear</w:t>
      </w:r>
      <w:r>
        <w:rPr>
          <w:rFonts w:ascii="Times New Roman" w:hAnsi="Times New Roman"/>
          <w:sz w:val="24"/>
          <w:szCs w:val="24"/>
        </w:rPr>
        <w:t xml:space="preserve"> </w:t>
      </w:r>
      <w:r w:rsidRPr="00D2295F">
        <w:rPr>
          <w:rFonts w:ascii="Times New Roman" w:hAnsi="Times New Roman"/>
          <w:sz w:val="24"/>
          <w:szCs w:val="24"/>
        </w:rPr>
        <w:t>that</w:t>
      </w:r>
      <w:r>
        <w:rPr>
          <w:rFonts w:ascii="Times New Roman" w:hAnsi="Times New Roman"/>
          <w:sz w:val="24"/>
          <w:szCs w:val="24"/>
        </w:rPr>
        <w:t xml:space="preserve"> </w:t>
      </w:r>
      <w:r w:rsidRPr="00D2295F">
        <w:rPr>
          <w:rFonts w:ascii="Times New Roman" w:hAnsi="Times New Roman"/>
          <w:sz w:val="24"/>
          <w:szCs w:val="24"/>
        </w:rPr>
        <w:t>Appellees’</w:t>
      </w:r>
      <w:proofErr w:type="gramEnd"/>
      <w:r>
        <w:rPr>
          <w:rFonts w:ascii="Times New Roman" w:hAnsi="Times New Roman"/>
          <w:sz w:val="24"/>
          <w:szCs w:val="24"/>
        </w:rPr>
        <w:t xml:space="preserve"> </w:t>
      </w:r>
      <w:r w:rsidRPr="00D2295F">
        <w:rPr>
          <w:rFonts w:ascii="Times New Roman" w:hAnsi="Times New Roman"/>
          <w:sz w:val="24"/>
          <w:szCs w:val="24"/>
        </w:rPr>
        <w:t>breach</w:t>
      </w:r>
      <w:r>
        <w:rPr>
          <w:rFonts w:ascii="Times New Roman" w:hAnsi="Times New Roman"/>
          <w:sz w:val="24"/>
          <w:szCs w:val="24"/>
        </w:rPr>
        <w:t xml:space="preserve"> </w:t>
      </w:r>
      <w:r w:rsidRPr="00D2295F">
        <w:rPr>
          <w:rFonts w:ascii="Times New Roman" w:hAnsi="Times New Roman"/>
          <w:sz w:val="24"/>
          <w:szCs w:val="24"/>
        </w:rPr>
        <w:t>of</w:t>
      </w:r>
      <w:r>
        <w:rPr>
          <w:rFonts w:ascii="Times New Roman" w:hAnsi="Times New Roman"/>
          <w:sz w:val="24"/>
          <w:szCs w:val="24"/>
        </w:rPr>
        <w:t xml:space="preserve"> </w:t>
      </w:r>
      <w:r w:rsidRPr="00D2295F">
        <w:rPr>
          <w:rFonts w:ascii="Times New Roman" w:hAnsi="Times New Roman"/>
          <w:sz w:val="24"/>
          <w:szCs w:val="24"/>
        </w:rPr>
        <w:t>contract</w:t>
      </w:r>
      <w:r>
        <w:rPr>
          <w:rFonts w:ascii="Times New Roman" w:hAnsi="Times New Roman"/>
          <w:sz w:val="24"/>
          <w:szCs w:val="24"/>
        </w:rPr>
        <w:t xml:space="preserve"> </w:t>
      </w:r>
      <w:r w:rsidRPr="00D2295F">
        <w:rPr>
          <w:rFonts w:ascii="Times New Roman" w:hAnsi="Times New Roman"/>
          <w:sz w:val="24"/>
          <w:szCs w:val="24"/>
        </w:rPr>
        <w:t>claims, arising from</w:t>
      </w:r>
      <w:r>
        <w:rPr>
          <w:rFonts w:ascii="Times New Roman" w:hAnsi="Times New Roman"/>
          <w:sz w:val="24"/>
          <w:szCs w:val="24"/>
        </w:rPr>
        <w:t xml:space="preserve"> </w:t>
      </w:r>
      <w:r w:rsidRPr="00D2295F">
        <w:rPr>
          <w:rFonts w:ascii="Times New Roman" w:hAnsi="Times New Roman"/>
          <w:sz w:val="24"/>
          <w:szCs w:val="24"/>
        </w:rPr>
        <w:t>the City’s</w:t>
      </w:r>
      <w:r>
        <w:rPr>
          <w:rFonts w:ascii="Times New Roman" w:hAnsi="Times New Roman"/>
          <w:sz w:val="24"/>
          <w:szCs w:val="24"/>
        </w:rPr>
        <w:t xml:space="preserve"> </w:t>
      </w:r>
      <w:r w:rsidRPr="00D2295F">
        <w:rPr>
          <w:rFonts w:ascii="Times New Roman" w:hAnsi="Times New Roman"/>
          <w:sz w:val="24"/>
          <w:szCs w:val="24"/>
        </w:rPr>
        <w:t>denial</w:t>
      </w:r>
      <w:r>
        <w:rPr>
          <w:rFonts w:ascii="Times New Roman" w:hAnsi="Times New Roman"/>
          <w:sz w:val="24"/>
          <w:szCs w:val="24"/>
        </w:rPr>
        <w:t xml:space="preserve"> </w:t>
      </w:r>
      <w:r w:rsidRPr="00D2295F">
        <w:rPr>
          <w:rFonts w:ascii="Times New Roman" w:hAnsi="Times New Roman"/>
          <w:sz w:val="24"/>
          <w:szCs w:val="24"/>
        </w:rPr>
        <w:t>of full-time employment</w:t>
      </w:r>
      <w:r>
        <w:rPr>
          <w:rFonts w:ascii="Times New Roman" w:hAnsi="Times New Roman"/>
          <w:sz w:val="24"/>
          <w:szCs w:val="24"/>
        </w:rPr>
        <w:t xml:space="preserve"> </w:t>
      </w:r>
      <w:r w:rsidRPr="00D2295F">
        <w:rPr>
          <w:rFonts w:ascii="Times New Roman" w:hAnsi="Times New Roman"/>
          <w:sz w:val="24"/>
          <w:szCs w:val="24"/>
        </w:rPr>
        <w:t>benefits, are</w:t>
      </w:r>
      <w:r>
        <w:rPr>
          <w:rFonts w:ascii="Times New Roman" w:hAnsi="Times New Roman"/>
          <w:sz w:val="24"/>
          <w:szCs w:val="24"/>
        </w:rPr>
        <w:t xml:space="preserve"> </w:t>
      </w:r>
      <w:r w:rsidRPr="00D2295F">
        <w:rPr>
          <w:rFonts w:ascii="Times New Roman" w:hAnsi="Times New Roman"/>
          <w:sz w:val="24"/>
          <w:szCs w:val="24"/>
        </w:rPr>
        <w:t>virtually</w:t>
      </w:r>
      <w:r>
        <w:rPr>
          <w:rFonts w:ascii="Times New Roman" w:hAnsi="Times New Roman"/>
          <w:sz w:val="24"/>
          <w:szCs w:val="24"/>
        </w:rPr>
        <w:t xml:space="preserve"> </w:t>
      </w:r>
      <w:r w:rsidRPr="00D2295F">
        <w:rPr>
          <w:rFonts w:ascii="Times New Roman" w:hAnsi="Times New Roman"/>
          <w:sz w:val="24"/>
          <w:szCs w:val="24"/>
        </w:rPr>
        <w:t>identical</w:t>
      </w:r>
      <w:r>
        <w:rPr>
          <w:rFonts w:ascii="Times New Roman" w:hAnsi="Times New Roman"/>
          <w:sz w:val="24"/>
          <w:szCs w:val="24"/>
        </w:rPr>
        <w:t xml:space="preserve"> </w:t>
      </w:r>
      <w:r w:rsidRPr="00D2295F">
        <w:rPr>
          <w:rFonts w:ascii="Times New Roman" w:hAnsi="Times New Roman"/>
          <w:sz w:val="24"/>
          <w:szCs w:val="24"/>
        </w:rPr>
        <w:t>to</w:t>
      </w:r>
      <w:r>
        <w:rPr>
          <w:rFonts w:ascii="Times New Roman" w:hAnsi="Times New Roman"/>
          <w:sz w:val="24"/>
          <w:szCs w:val="24"/>
        </w:rPr>
        <w:t xml:space="preserve"> </w:t>
      </w:r>
      <w:r w:rsidRPr="00D2295F">
        <w:rPr>
          <w:rFonts w:ascii="Times New Roman" w:hAnsi="Times New Roman"/>
          <w:sz w:val="24"/>
          <w:szCs w:val="24"/>
        </w:rPr>
        <w:t>the claims</w:t>
      </w:r>
      <w:r>
        <w:rPr>
          <w:rFonts w:ascii="Times New Roman" w:hAnsi="Times New Roman"/>
          <w:sz w:val="24"/>
          <w:szCs w:val="24"/>
        </w:rPr>
        <w:t xml:space="preserve"> </w:t>
      </w:r>
      <w:r w:rsidRPr="00D2295F">
        <w:rPr>
          <w:rFonts w:ascii="Times New Roman" w:hAnsi="Times New Roman"/>
          <w:sz w:val="24"/>
          <w:szCs w:val="24"/>
        </w:rPr>
        <w:t>of each</w:t>
      </w:r>
      <w:r>
        <w:rPr>
          <w:rFonts w:ascii="Times New Roman" w:hAnsi="Times New Roman"/>
          <w:sz w:val="24"/>
          <w:szCs w:val="24"/>
        </w:rPr>
        <w:t xml:space="preserve"> </w:t>
      </w:r>
      <w:r w:rsidRPr="00D2295F">
        <w:rPr>
          <w:rFonts w:ascii="Times New Roman" w:hAnsi="Times New Roman"/>
          <w:sz w:val="24"/>
          <w:szCs w:val="24"/>
        </w:rPr>
        <w:t>proposed</w:t>
      </w:r>
      <w:r>
        <w:rPr>
          <w:rFonts w:ascii="Times New Roman" w:hAnsi="Times New Roman"/>
          <w:sz w:val="24"/>
          <w:szCs w:val="24"/>
        </w:rPr>
        <w:t xml:space="preserve"> </w:t>
      </w:r>
      <w:r w:rsidRPr="00D2295F">
        <w:rPr>
          <w:rFonts w:ascii="Times New Roman" w:hAnsi="Times New Roman"/>
          <w:sz w:val="24"/>
          <w:szCs w:val="24"/>
        </w:rPr>
        <w:t>class</w:t>
      </w:r>
      <w:r>
        <w:rPr>
          <w:rFonts w:ascii="Times New Roman" w:hAnsi="Times New Roman"/>
          <w:sz w:val="24"/>
          <w:szCs w:val="24"/>
        </w:rPr>
        <w:t xml:space="preserve"> </w:t>
      </w:r>
      <w:r w:rsidRPr="00D2295F">
        <w:rPr>
          <w:rFonts w:ascii="Times New Roman" w:hAnsi="Times New Roman"/>
          <w:sz w:val="24"/>
          <w:szCs w:val="24"/>
        </w:rPr>
        <w:t xml:space="preserve">member. </w:t>
      </w:r>
      <w:r>
        <w:rPr>
          <w:rFonts w:ascii="Times New Roman" w:hAnsi="Times New Roman"/>
          <w:sz w:val="24"/>
          <w:szCs w:val="24"/>
        </w:rPr>
        <w:t xml:space="preserve"> *** </w:t>
      </w:r>
      <w:r w:rsidRPr="00D2295F">
        <w:rPr>
          <w:rFonts w:ascii="Times New Roman" w:hAnsi="Times New Roman"/>
          <w:sz w:val="24"/>
          <w:szCs w:val="24"/>
        </w:rPr>
        <w:t xml:space="preserve">The </w:t>
      </w:r>
      <w:proofErr w:type="gramStart"/>
      <w:r w:rsidRPr="00D2295F">
        <w:rPr>
          <w:rFonts w:ascii="Times New Roman" w:hAnsi="Times New Roman"/>
          <w:sz w:val="24"/>
          <w:szCs w:val="24"/>
        </w:rPr>
        <w:t>City</w:t>
      </w:r>
      <w:proofErr w:type="gramEnd"/>
      <w:r w:rsidRPr="00D2295F">
        <w:rPr>
          <w:rFonts w:ascii="Times New Roman" w:hAnsi="Times New Roman"/>
          <w:sz w:val="24"/>
          <w:szCs w:val="24"/>
        </w:rPr>
        <w:t xml:space="preserve"> argued</w:t>
      </w:r>
      <w:r>
        <w:rPr>
          <w:rFonts w:ascii="Times New Roman" w:hAnsi="Times New Roman"/>
          <w:sz w:val="24"/>
          <w:szCs w:val="24"/>
        </w:rPr>
        <w:t xml:space="preserve"> </w:t>
      </w:r>
      <w:r w:rsidRPr="00D2295F">
        <w:rPr>
          <w:rFonts w:ascii="Times New Roman" w:hAnsi="Times New Roman"/>
          <w:sz w:val="24"/>
          <w:szCs w:val="24"/>
        </w:rPr>
        <w:t>that</w:t>
      </w:r>
      <w:r>
        <w:rPr>
          <w:rFonts w:ascii="Times New Roman" w:hAnsi="Times New Roman"/>
          <w:sz w:val="24"/>
          <w:szCs w:val="24"/>
        </w:rPr>
        <w:t xml:space="preserve"> </w:t>
      </w:r>
      <w:proofErr w:type="gramStart"/>
      <w:r w:rsidRPr="00D2295F">
        <w:rPr>
          <w:rFonts w:ascii="Times New Roman" w:hAnsi="Times New Roman"/>
          <w:sz w:val="24"/>
          <w:szCs w:val="24"/>
        </w:rPr>
        <w:t>in</w:t>
      </w:r>
      <w:r>
        <w:rPr>
          <w:rFonts w:ascii="Times New Roman" w:hAnsi="Times New Roman"/>
          <w:sz w:val="24"/>
          <w:szCs w:val="24"/>
        </w:rPr>
        <w:t xml:space="preserve"> </w:t>
      </w:r>
      <w:r w:rsidRPr="00D2295F">
        <w:rPr>
          <w:rFonts w:ascii="Times New Roman" w:hAnsi="Times New Roman"/>
          <w:sz w:val="24"/>
          <w:szCs w:val="24"/>
        </w:rPr>
        <w:t>order to</w:t>
      </w:r>
      <w:proofErr w:type="gramEnd"/>
      <w:r>
        <w:rPr>
          <w:rFonts w:ascii="Times New Roman" w:hAnsi="Times New Roman"/>
          <w:sz w:val="24"/>
          <w:szCs w:val="24"/>
        </w:rPr>
        <w:t xml:space="preserve"> </w:t>
      </w:r>
      <w:r w:rsidRPr="00D2295F">
        <w:rPr>
          <w:rFonts w:ascii="Times New Roman" w:hAnsi="Times New Roman"/>
          <w:sz w:val="24"/>
          <w:szCs w:val="24"/>
        </w:rPr>
        <w:t>be considered</w:t>
      </w:r>
      <w:r>
        <w:rPr>
          <w:rFonts w:ascii="Times New Roman" w:hAnsi="Times New Roman"/>
          <w:sz w:val="24"/>
          <w:szCs w:val="24"/>
        </w:rPr>
        <w:t xml:space="preserve"> </w:t>
      </w:r>
      <w:r w:rsidRPr="00D2295F">
        <w:rPr>
          <w:rFonts w:ascii="Times New Roman" w:hAnsi="Times New Roman"/>
          <w:sz w:val="24"/>
          <w:szCs w:val="24"/>
        </w:rPr>
        <w:t>a full-time employee, the</w:t>
      </w:r>
      <w:r>
        <w:rPr>
          <w:rFonts w:ascii="Times New Roman" w:hAnsi="Times New Roman"/>
          <w:sz w:val="24"/>
          <w:szCs w:val="24"/>
        </w:rPr>
        <w:t xml:space="preserve"> </w:t>
      </w:r>
      <w:r w:rsidRPr="00D2295F">
        <w:rPr>
          <w:rFonts w:ascii="Times New Roman" w:hAnsi="Times New Roman"/>
          <w:sz w:val="24"/>
          <w:szCs w:val="24"/>
        </w:rPr>
        <w:t>employee should</w:t>
      </w:r>
      <w:r>
        <w:rPr>
          <w:rFonts w:ascii="Times New Roman" w:hAnsi="Times New Roman"/>
          <w:sz w:val="24"/>
          <w:szCs w:val="24"/>
        </w:rPr>
        <w:t xml:space="preserve"> </w:t>
      </w:r>
      <w:r w:rsidRPr="00D2295F">
        <w:rPr>
          <w:rFonts w:ascii="Times New Roman" w:hAnsi="Times New Roman"/>
          <w:sz w:val="24"/>
          <w:szCs w:val="24"/>
        </w:rPr>
        <w:t>have worked</w:t>
      </w:r>
      <w:r>
        <w:rPr>
          <w:rFonts w:ascii="Times New Roman" w:hAnsi="Times New Roman"/>
          <w:sz w:val="24"/>
          <w:szCs w:val="24"/>
        </w:rPr>
        <w:t xml:space="preserve"> </w:t>
      </w:r>
      <w:r w:rsidRPr="00D2295F">
        <w:rPr>
          <w:rFonts w:ascii="Times New Roman" w:hAnsi="Times New Roman"/>
          <w:sz w:val="24"/>
          <w:szCs w:val="24"/>
        </w:rPr>
        <w:t>2,080</w:t>
      </w:r>
      <w:r>
        <w:rPr>
          <w:rFonts w:ascii="Times New Roman" w:hAnsi="Times New Roman"/>
          <w:sz w:val="24"/>
          <w:szCs w:val="24"/>
        </w:rPr>
        <w:t xml:space="preserve"> </w:t>
      </w:r>
      <w:r w:rsidRPr="00D2295F">
        <w:rPr>
          <w:rFonts w:ascii="Times New Roman" w:hAnsi="Times New Roman"/>
          <w:sz w:val="24"/>
          <w:szCs w:val="24"/>
        </w:rPr>
        <w:t>hours</w:t>
      </w:r>
      <w:r>
        <w:rPr>
          <w:rFonts w:ascii="Times New Roman" w:hAnsi="Times New Roman"/>
          <w:sz w:val="24"/>
          <w:szCs w:val="24"/>
        </w:rPr>
        <w:t xml:space="preserve"> </w:t>
      </w:r>
      <w:r w:rsidRPr="00D2295F">
        <w:rPr>
          <w:rFonts w:ascii="Times New Roman" w:hAnsi="Times New Roman"/>
          <w:sz w:val="24"/>
          <w:szCs w:val="24"/>
        </w:rPr>
        <w:t>each</w:t>
      </w:r>
      <w:r>
        <w:rPr>
          <w:rFonts w:ascii="Times New Roman" w:hAnsi="Times New Roman"/>
          <w:sz w:val="24"/>
          <w:szCs w:val="24"/>
        </w:rPr>
        <w:t xml:space="preserve"> </w:t>
      </w:r>
      <w:r w:rsidRPr="00D2295F">
        <w:rPr>
          <w:rFonts w:ascii="Times New Roman" w:hAnsi="Times New Roman"/>
          <w:sz w:val="24"/>
          <w:szCs w:val="24"/>
        </w:rPr>
        <w:t>year (a number that would</w:t>
      </w:r>
      <w:r>
        <w:rPr>
          <w:rFonts w:ascii="Times New Roman" w:hAnsi="Times New Roman"/>
          <w:sz w:val="24"/>
          <w:szCs w:val="24"/>
        </w:rPr>
        <w:t xml:space="preserve"> </w:t>
      </w:r>
      <w:r w:rsidRPr="00D2295F">
        <w:rPr>
          <w:rFonts w:ascii="Times New Roman" w:hAnsi="Times New Roman"/>
          <w:sz w:val="24"/>
          <w:szCs w:val="24"/>
        </w:rPr>
        <w:t>require</w:t>
      </w:r>
      <w:r>
        <w:rPr>
          <w:rFonts w:ascii="Times New Roman" w:hAnsi="Times New Roman"/>
          <w:sz w:val="24"/>
          <w:szCs w:val="24"/>
        </w:rPr>
        <w:t xml:space="preserve"> </w:t>
      </w:r>
      <w:r w:rsidRPr="00D2295F">
        <w:rPr>
          <w:rFonts w:ascii="Times New Roman" w:hAnsi="Times New Roman"/>
          <w:sz w:val="24"/>
          <w:szCs w:val="24"/>
        </w:rPr>
        <w:t>the employee to</w:t>
      </w:r>
      <w:r>
        <w:rPr>
          <w:rFonts w:ascii="Times New Roman" w:hAnsi="Times New Roman"/>
          <w:sz w:val="24"/>
          <w:szCs w:val="24"/>
        </w:rPr>
        <w:t xml:space="preserve"> </w:t>
      </w:r>
      <w:r w:rsidRPr="00D2295F">
        <w:rPr>
          <w:rFonts w:ascii="Times New Roman" w:hAnsi="Times New Roman"/>
          <w:sz w:val="24"/>
          <w:szCs w:val="24"/>
        </w:rPr>
        <w:t>work</w:t>
      </w:r>
      <w:r>
        <w:rPr>
          <w:rFonts w:ascii="Times New Roman" w:hAnsi="Times New Roman"/>
          <w:sz w:val="24"/>
          <w:szCs w:val="24"/>
        </w:rPr>
        <w:t xml:space="preserve"> </w:t>
      </w:r>
      <w:r w:rsidRPr="00D2295F">
        <w:rPr>
          <w:rFonts w:ascii="Times New Roman" w:hAnsi="Times New Roman"/>
          <w:sz w:val="24"/>
          <w:szCs w:val="24"/>
        </w:rPr>
        <w:t>40hours</w:t>
      </w:r>
      <w:r>
        <w:rPr>
          <w:rFonts w:ascii="Times New Roman" w:hAnsi="Times New Roman"/>
          <w:sz w:val="24"/>
          <w:szCs w:val="24"/>
        </w:rPr>
        <w:t xml:space="preserve"> </w:t>
      </w:r>
      <w:r w:rsidRPr="00D2295F">
        <w:rPr>
          <w:rFonts w:ascii="Times New Roman" w:hAnsi="Times New Roman"/>
          <w:sz w:val="24"/>
          <w:szCs w:val="24"/>
        </w:rPr>
        <w:t>per week</w:t>
      </w:r>
      <w:r>
        <w:rPr>
          <w:rFonts w:ascii="Times New Roman" w:hAnsi="Times New Roman"/>
          <w:sz w:val="24"/>
          <w:szCs w:val="24"/>
        </w:rPr>
        <w:t xml:space="preserve"> </w:t>
      </w:r>
      <w:r w:rsidRPr="00D2295F">
        <w:rPr>
          <w:rFonts w:ascii="Times New Roman" w:hAnsi="Times New Roman"/>
          <w:sz w:val="24"/>
          <w:szCs w:val="24"/>
        </w:rPr>
        <w:t>for each</w:t>
      </w:r>
      <w:r>
        <w:rPr>
          <w:rFonts w:ascii="Times New Roman" w:hAnsi="Times New Roman"/>
          <w:sz w:val="24"/>
          <w:szCs w:val="24"/>
        </w:rPr>
        <w:t xml:space="preserve"> </w:t>
      </w:r>
      <w:r w:rsidRPr="00D2295F">
        <w:rPr>
          <w:rFonts w:ascii="Times New Roman" w:hAnsi="Times New Roman"/>
          <w:sz w:val="24"/>
          <w:szCs w:val="24"/>
        </w:rPr>
        <w:t>of the 52</w:t>
      </w:r>
      <w:r>
        <w:rPr>
          <w:rFonts w:ascii="Times New Roman" w:hAnsi="Times New Roman"/>
          <w:sz w:val="24"/>
          <w:szCs w:val="24"/>
        </w:rPr>
        <w:t xml:space="preserve"> </w:t>
      </w:r>
      <w:r w:rsidRPr="00D2295F">
        <w:rPr>
          <w:rFonts w:ascii="Times New Roman" w:hAnsi="Times New Roman"/>
          <w:sz w:val="24"/>
          <w:szCs w:val="24"/>
        </w:rPr>
        <w:t>weeks</w:t>
      </w:r>
      <w:r>
        <w:rPr>
          <w:rFonts w:ascii="Times New Roman" w:hAnsi="Times New Roman"/>
          <w:sz w:val="24"/>
          <w:szCs w:val="24"/>
        </w:rPr>
        <w:t xml:space="preserve"> </w:t>
      </w:r>
      <w:r w:rsidRPr="00D2295F">
        <w:rPr>
          <w:rFonts w:ascii="Times New Roman" w:hAnsi="Times New Roman"/>
          <w:sz w:val="24"/>
          <w:szCs w:val="24"/>
        </w:rPr>
        <w:t>per year). However,</w:t>
      </w:r>
      <w:r>
        <w:rPr>
          <w:rFonts w:ascii="Times New Roman" w:hAnsi="Times New Roman"/>
          <w:sz w:val="24"/>
          <w:szCs w:val="24"/>
        </w:rPr>
        <w:t xml:space="preserve"> </w:t>
      </w:r>
      <w:r w:rsidRPr="00D2295F">
        <w:rPr>
          <w:rFonts w:ascii="Times New Roman" w:hAnsi="Times New Roman"/>
          <w:sz w:val="24"/>
          <w:szCs w:val="24"/>
        </w:rPr>
        <w:lastRenderedPageBreak/>
        <w:t>even</w:t>
      </w:r>
      <w:r>
        <w:rPr>
          <w:rFonts w:ascii="Times New Roman" w:hAnsi="Times New Roman"/>
          <w:sz w:val="24"/>
          <w:szCs w:val="24"/>
        </w:rPr>
        <w:t xml:space="preserve"> </w:t>
      </w:r>
      <w:r w:rsidRPr="00D2295F">
        <w:rPr>
          <w:rFonts w:ascii="Times New Roman" w:hAnsi="Times New Roman"/>
          <w:sz w:val="24"/>
          <w:szCs w:val="24"/>
        </w:rPr>
        <w:t>under the City’s</w:t>
      </w:r>
      <w:r>
        <w:rPr>
          <w:rFonts w:ascii="Times New Roman" w:hAnsi="Times New Roman"/>
          <w:sz w:val="24"/>
          <w:szCs w:val="24"/>
        </w:rPr>
        <w:t xml:space="preserve"> </w:t>
      </w:r>
      <w:r w:rsidRPr="00D2295F">
        <w:rPr>
          <w:rFonts w:ascii="Times New Roman" w:hAnsi="Times New Roman"/>
          <w:sz w:val="24"/>
          <w:szCs w:val="24"/>
        </w:rPr>
        <w:t>proposed</w:t>
      </w:r>
      <w:r>
        <w:rPr>
          <w:rFonts w:ascii="Times New Roman" w:hAnsi="Times New Roman"/>
          <w:sz w:val="24"/>
          <w:szCs w:val="24"/>
        </w:rPr>
        <w:t xml:space="preserve"> </w:t>
      </w:r>
      <w:r w:rsidRPr="00D2295F">
        <w:rPr>
          <w:rFonts w:ascii="Times New Roman" w:hAnsi="Times New Roman"/>
          <w:sz w:val="24"/>
          <w:szCs w:val="24"/>
        </w:rPr>
        <w:t>definition, the Appellees</w:t>
      </w:r>
      <w:r>
        <w:rPr>
          <w:rFonts w:ascii="Times New Roman" w:hAnsi="Times New Roman"/>
          <w:sz w:val="24"/>
          <w:szCs w:val="24"/>
        </w:rPr>
        <w:t xml:space="preserve"> </w:t>
      </w:r>
      <w:r w:rsidRPr="00D2295F">
        <w:rPr>
          <w:rFonts w:ascii="Times New Roman" w:hAnsi="Times New Roman"/>
          <w:sz w:val="24"/>
          <w:szCs w:val="24"/>
        </w:rPr>
        <w:t>maintained</w:t>
      </w:r>
      <w:r>
        <w:rPr>
          <w:rFonts w:ascii="Times New Roman" w:hAnsi="Times New Roman"/>
          <w:sz w:val="24"/>
          <w:szCs w:val="24"/>
        </w:rPr>
        <w:t xml:space="preserve"> </w:t>
      </w:r>
      <w:r w:rsidRPr="00D2295F">
        <w:rPr>
          <w:rFonts w:ascii="Times New Roman" w:hAnsi="Times New Roman"/>
          <w:sz w:val="24"/>
          <w:szCs w:val="24"/>
        </w:rPr>
        <w:t>that</w:t>
      </w:r>
      <w:r>
        <w:rPr>
          <w:rFonts w:ascii="Times New Roman" w:hAnsi="Times New Roman"/>
          <w:sz w:val="24"/>
          <w:szCs w:val="24"/>
        </w:rPr>
        <w:t xml:space="preserve"> </w:t>
      </w:r>
      <w:r w:rsidRPr="00D2295F">
        <w:rPr>
          <w:rFonts w:ascii="Times New Roman" w:hAnsi="Times New Roman"/>
          <w:sz w:val="24"/>
          <w:szCs w:val="24"/>
        </w:rPr>
        <w:t>the class</w:t>
      </w:r>
      <w:r>
        <w:rPr>
          <w:rFonts w:ascii="Times New Roman" w:hAnsi="Times New Roman"/>
          <w:sz w:val="24"/>
          <w:szCs w:val="24"/>
        </w:rPr>
        <w:t xml:space="preserve"> </w:t>
      </w:r>
      <w:r w:rsidRPr="00D2295F">
        <w:rPr>
          <w:rFonts w:ascii="Times New Roman" w:hAnsi="Times New Roman"/>
          <w:sz w:val="24"/>
          <w:szCs w:val="24"/>
        </w:rPr>
        <w:t>would include 86 members.</w:t>
      </w:r>
      <w:r>
        <w:rPr>
          <w:rFonts w:ascii="Times New Roman" w:hAnsi="Times New Roman"/>
          <w:sz w:val="24"/>
          <w:szCs w:val="24"/>
        </w:rPr>
        <w:t>”</w:t>
      </w:r>
      <w:r w:rsidR="00E75F94">
        <w:rPr>
          <w:rFonts w:ascii="Times New Roman" w:hAnsi="Times New Roman"/>
          <w:sz w:val="24"/>
          <w:szCs w:val="24"/>
        </w:rPr>
        <w:t xml:space="preserve"> </w:t>
      </w:r>
      <w:hyperlink r:id="rId1887" w:history="1">
        <w:r w:rsidR="00E75F94" w:rsidRPr="00DB571D">
          <w:rPr>
            <w:rStyle w:val="Hyperlink"/>
            <w:rFonts w:ascii="Times New Roman" w:eastAsia="Times New Roman" w:hAnsi="Times New Roman"/>
            <w:sz w:val="24"/>
            <w:szCs w:val="24"/>
          </w:rPr>
          <w:t>https://cases.justia.com/georgia/court-of-appeals/2019-a19a1310.pdf?ts=1568657244</w:t>
        </w:r>
      </w:hyperlink>
      <w:bookmarkEnd w:id="407"/>
    </w:p>
    <w:p w14:paraId="3C915AFB" w14:textId="77777777" w:rsidR="00A16B10" w:rsidRDefault="00C80464" w:rsidP="00C80464">
      <w:pPr>
        <w:pStyle w:val="NoSpacing"/>
        <w:rPr>
          <w:rFonts w:ascii="Times New Roman" w:hAnsi="Times New Roman"/>
          <w:b/>
          <w:bCs/>
          <w:sz w:val="24"/>
          <w:szCs w:val="24"/>
        </w:rPr>
      </w:pPr>
      <w:bookmarkStart w:id="408" w:name="_Hlk40513525"/>
      <w:r>
        <w:rPr>
          <w:rFonts w:ascii="Times New Roman" w:hAnsi="Times New Roman"/>
          <w:b/>
          <w:bCs/>
          <w:sz w:val="24"/>
          <w:szCs w:val="24"/>
        </w:rPr>
        <w:t xml:space="preserve">Legal Lessons Learned: Class actions are an effective method of resolving a matter affecting numerous class members. This case will now proceed to trial, unless settled by the parties.  </w:t>
      </w:r>
    </w:p>
    <w:p w14:paraId="3E0AFB0D" w14:textId="0AF730F0" w:rsidR="00C80464" w:rsidRPr="00A16B10" w:rsidRDefault="00A16B10" w:rsidP="00C80464">
      <w:pPr>
        <w:pStyle w:val="NoSpacing"/>
        <w:rPr>
          <w:rFonts w:ascii="Times New Roman" w:hAnsi="Times New Roman"/>
          <w:sz w:val="24"/>
          <w:szCs w:val="24"/>
        </w:rPr>
      </w:pPr>
      <w:r w:rsidRPr="00A16B10">
        <w:rPr>
          <w:rFonts w:ascii="Times New Roman" w:hAnsi="Times New Roman"/>
          <w:sz w:val="24"/>
          <w:szCs w:val="24"/>
        </w:rPr>
        <w:t xml:space="preserve">Note: </w:t>
      </w:r>
      <w:r w:rsidR="00C80464" w:rsidRPr="00A16B10">
        <w:rPr>
          <w:rFonts w:ascii="Times New Roman" w:hAnsi="Times New Roman"/>
          <w:sz w:val="24"/>
          <w:szCs w:val="24"/>
        </w:rPr>
        <w:t>In Ohio, see Ohio Revised Code</w:t>
      </w:r>
      <w:r>
        <w:rPr>
          <w:rFonts w:ascii="Times New Roman" w:hAnsi="Times New Roman"/>
          <w:sz w:val="24"/>
          <w:szCs w:val="24"/>
        </w:rPr>
        <w:t xml:space="preserve">’s </w:t>
      </w:r>
      <w:r w:rsidR="00C80464" w:rsidRPr="00A16B10">
        <w:rPr>
          <w:rFonts w:ascii="Times New Roman" w:hAnsi="Times New Roman"/>
          <w:sz w:val="24"/>
          <w:szCs w:val="24"/>
        </w:rPr>
        <w:t>“1500 Hour Rule”</w:t>
      </w:r>
      <w:r>
        <w:rPr>
          <w:rFonts w:ascii="Times New Roman" w:hAnsi="Times New Roman"/>
          <w:sz w:val="24"/>
          <w:szCs w:val="24"/>
        </w:rPr>
        <w:t xml:space="preserve"> </w:t>
      </w:r>
      <w:r w:rsidR="00C80464" w:rsidRPr="00A16B10">
        <w:rPr>
          <w:rFonts w:ascii="Times New Roman" w:hAnsi="Times New Roman"/>
          <w:sz w:val="24"/>
          <w:szCs w:val="24"/>
        </w:rPr>
        <w:t>applies to Township firefighters:</w:t>
      </w:r>
    </w:p>
    <w:p w14:paraId="464DF3D8" w14:textId="77777777" w:rsidR="00C80464" w:rsidRPr="00A16B10" w:rsidRDefault="00C80464" w:rsidP="00C80464">
      <w:pPr>
        <w:pStyle w:val="NoSpacing"/>
        <w:rPr>
          <w:rFonts w:ascii="Times New Roman" w:hAnsi="Times New Roman"/>
          <w:sz w:val="24"/>
          <w:szCs w:val="24"/>
        </w:rPr>
      </w:pPr>
    </w:p>
    <w:p w14:paraId="0CED5D89" w14:textId="77777777" w:rsidR="00A16B10" w:rsidRDefault="00C80464" w:rsidP="00A16B10">
      <w:pPr>
        <w:ind w:left="720" w:firstLine="720"/>
        <w:rPr>
          <w:rFonts w:asciiTheme="minorHAnsi" w:hAnsiTheme="minorHAnsi" w:cstheme="minorHAnsi"/>
          <w:sz w:val="24"/>
          <w:szCs w:val="24"/>
        </w:rPr>
      </w:pPr>
      <w:hyperlink r:id="rId1888" w:history="1">
        <w:r w:rsidRPr="00A16B10">
          <w:rPr>
            <w:rStyle w:val="Hyperlink"/>
            <w:rFonts w:asciiTheme="minorHAnsi" w:hAnsiTheme="minorHAnsi" w:cstheme="minorHAnsi"/>
            <w:sz w:val="24"/>
            <w:szCs w:val="24"/>
          </w:rPr>
          <w:t>http://codes.ohio.gov/orc/505.60</w:t>
        </w:r>
      </w:hyperlink>
      <w:r w:rsidRPr="00A16B10">
        <w:rPr>
          <w:rFonts w:asciiTheme="minorHAnsi" w:hAnsiTheme="minorHAnsi" w:cstheme="minorHAnsi"/>
          <w:sz w:val="24"/>
          <w:szCs w:val="24"/>
        </w:rPr>
        <w:t xml:space="preserve"> </w:t>
      </w:r>
    </w:p>
    <w:p w14:paraId="3DE3C633" w14:textId="0CAE11CB" w:rsidR="00C80464" w:rsidRPr="00A16B10" w:rsidRDefault="00C80464" w:rsidP="00A16B10">
      <w:pPr>
        <w:ind w:left="720" w:firstLine="720"/>
        <w:rPr>
          <w:rFonts w:asciiTheme="minorHAnsi" w:hAnsiTheme="minorHAnsi" w:cstheme="minorHAnsi"/>
        </w:rPr>
      </w:pPr>
      <w:r w:rsidRPr="00A16B10">
        <w:rPr>
          <w:rFonts w:asciiTheme="minorHAnsi" w:hAnsiTheme="minorHAnsi" w:cstheme="minorHAnsi"/>
        </w:rPr>
        <w:t xml:space="preserve">(G) As used in this section and section </w:t>
      </w:r>
      <w:hyperlink r:id="rId1889" w:history="1">
        <w:r w:rsidRPr="00A16B10">
          <w:rPr>
            <w:rStyle w:val="Hyperlink"/>
            <w:rFonts w:asciiTheme="minorHAnsi" w:hAnsiTheme="minorHAnsi" w:cstheme="minorHAnsi"/>
          </w:rPr>
          <w:t>505.601</w:t>
        </w:r>
      </w:hyperlink>
      <w:r w:rsidRPr="00A16B10">
        <w:rPr>
          <w:rFonts w:asciiTheme="minorHAnsi" w:hAnsiTheme="minorHAnsi" w:cstheme="minorHAnsi"/>
        </w:rPr>
        <w:t xml:space="preserve"> of the Revised Code: </w:t>
      </w:r>
    </w:p>
    <w:p w14:paraId="66376087" w14:textId="77777777" w:rsidR="00C80464" w:rsidRPr="00A16B10" w:rsidRDefault="00C80464" w:rsidP="00C80464">
      <w:pPr>
        <w:pStyle w:val="NormalWeb"/>
        <w:ind w:left="1440"/>
        <w:rPr>
          <w:rFonts w:asciiTheme="minorHAnsi" w:hAnsiTheme="minorHAnsi" w:cstheme="minorHAnsi"/>
        </w:rPr>
      </w:pPr>
      <w:r w:rsidRPr="00A16B10">
        <w:rPr>
          <w:rFonts w:asciiTheme="minorHAnsi" w:hAnsiTheme="minorHAnsi" w:cstheme="minorHAnsi"/>
        </w:rPr>
        <w:t xml:space="preserve">(1) "Part-time township employee" means a township employee who is hired with the expectation that the employee will work not more than one thousand five hundred hours in any year. </w:t>
      </w:r>
    </w:p>
    <w:bookmarkEnd w:id="408"/>
    <w:p w14:paraId="79E17F21" w14:textId="77777777" w:rsidR="00A67C57" w:rsidRDefault="00A67C57" w:rsidP="00F326E5">
      <w:pPr>
        <w:rPr>
          <w:rFonts w:ascii="Arial Black" w:hAnsi="Arial Black"/>
          <w:b/>
          <w:sz w:val="24"/>
          <w:szCs w:val="24"/>
        </w:rPr>
      </w:pPr>
    </w:p>
    <w:p w14:paraId="4E5ED752" w14:textId="753BA38B" w:rsidR="009F0F05" w:rsidRDefault="009F0F05" w:rsidP="00F326E5">
      <w:pPr>
        <w:rPr>
          <w:rFonts w:ascii="Arial Black" w:hAnsi="Arial Black"/>
          <w:b/>
          <w:sz w:val="24"/>
          <w:szCs w:val="24"/>
        </w:rPr>
      </w:pPr>
      <w:r>
        <w:rPr>
          <w:rFonts w:ascii="Arial Black" w:hAnsi="Arial Black"/>
          <w:b/>
          <w:sz w:val="24"/>
          <w:szCs w:val="24"/>
        </w:rPr>
        <w:t>11-</w:t>
      </w:r>
      <w:r w:rsidR="00E9307E">
        <w:rPr>
          <w:rFonts w:ascii="Arial Black" w:hAnsi="Arial Black"/>
          <w:b/>
          <w:sz w:val="24"/>
          <w:szCs w:val="24"/>
        </w:rPr>
        <w:t>6</w:t>
      </w:r>
    </w:p>
    <w:p w14:paraId="45A1D981" w14:textId="77777777" w:rsidR="009F0F05" w:rsidRDefault="009F0F05" w:rsidP="009F0F05">
      <w:pPr>
        <w:rPr>
          <w:rFonts w:ascii="Arial Black" w:hAnsi="Arial Black"/>
          <w:sz w:val="28"/>
          <w:szCs w:val="28"/>
        </w:rPr>
      </w:pPr>
      <w:r>
        <w:rPr>
          <w:rFonts w:ascii="Arial Black" w:hAnsi="Arial Black"/>
          <w:sz w:val="28"/>
          <w:szCs w:val="28"/>
        </w:rPr>
        <w:t xml:space="preserve">FLSA:  DOL OPINION LETTER – WHEN EMPLOYEE IS BOTH FF / POLICE OFFICER SAME PUBLIC AGENCY – CALCULATING OVERTIME </w:t>
      </w:r>
    </w:p>
    <w:p w14:paraId="6D21F96F" w14:textId="77777777" w:rsidR="009F0F05" w:rsidRDefault="009F0F05" w:rsidP="009F0F05">
      <w:pPr>
        <w:rPr>
          <w:rFonts w:ascii="Times New Roman" w:hAnsi="Times New Roman"/>
          <w:sz w:val="24"/>
          <w:szCs w:val="24"/>
        </w:rPr>
      </w:pPr>
      <w:r w:rsidRPr="00AB528C">
        <w:rPr>
          <w:rFonts w:ascii="Times New Roman" w:hAnsi="Times New Roman"/>
          <w:sz w:val="24"/>
          <w:szCs w:val="24"/>
        </w:rPr>
        <w:t>On</w:t>
      </w:r>
      <w:r>
        <w:rPr>
          <w:rFonts w:ascii="Times New Roman" w:hAnsi="Times New Roman"/>
          <w:sz w:val="24"/>
          <w:szCs w:val="24"/>
        </w:rPr>
        <w:t xml:space="preserve"> Aug. 8, 2019, the U.S. Department of Labor issued Opinion Letter </w:t>
      </w:r>
      <w:r w:rsidRPr="000235F1">
        <w:rPr>
          <w:rFonts w:ascii="Times New Roman" w:hAnsi="Times New Roman"/>
          <w:sz w:val="24"/>
          <w:szCs w:val="24"/>
        </w:rPr>
        <w:t>FLSA2019- 11</w:t>
      </w:r>
      <w:r>
        <w:rPr>
          <w:rFonts w:ascii="Times New Roman" w:hAnsi="Times New Roman"/>
          <w:sz w:val="24"/>
          <w:szCs w:val="24"/>
        </w:rPr>
        <w:t xml:space="preserve">, confirmed that if working for same public agency, then the total hours worked are aggregated when determining overtime pay. </w:t>
      </w:r>
      <w:hyperlink r:id="rId1890" w:history="1">
        <w:r w:rsidRPr="00A05487">
          <w:rPr>
            <w:rStyle w:val="Hyperlink"/>
            <w:rFonts w:ascii="Times New Roman" w:hAnsi="Times New Roman"/>
            <w:sz w:val="24"/>
            <w:szCs w:val="24"/>
          </w:rPr>
          <w:t>https://www.dol.gov/whd/opinion/FLSA/2019/2019_08_08_11_FLSA.pdf</w:t>
        </w:r>
      </w:hyperlink>
      <w:r>
        <w:rPr>
          <w:rFonts w:ascii="Times New Roman" w:hAnsi="Times New Roman"/>
          <w:sz w:val="24"/>
          <w:szCs w:val="24"/>
        </w:rPr>
        <w:t xml:space="preserve"> </w:t>
      </w:r>
    </w:p>
    <w:p w14:paraId="4B6B13C8" w14:textId="77777777" w:rsidR="009F0F05" w:rsidRDefault="009F0F05" w:rsidP="009F0F05">
      <w:pPr>
        <w:ind w:left="720"/>
        <w:rPr>
          <w:rFonts w:ascii="Times New Roman" w:hAnsi="Times New Roman"/>
          <w:sz w:val="24"/>
          <w:szCs w:val="24"/>
        </w:rPr>
      </w:pPr>
      <w:r>
        <w:rPr>
          <w:rFonts w:ascii="Times New Roman" w:hAnsi="Times New Roman"/>
          <w:sz w:val="24"/>
          <w:szCs w:val="24"/>
        </w:rPr>
        <w:t>“</w:t>
      </w:r>
      <w:r w:rsidRPr="00A4365A">
        <w:rPr>
          <w:rFonts w:ascii="Times New Roman" w:hAnsi="Times New Roman"/>
          <w:sz w:val="24"/>
          <w:szCs w:val="24"/>
        </w:rPr>
        <w:t>If an employee works for separate and distinct employers, each employer may disregard work performed by the employee for the other employer when determining its responsibility under the Fair Labor Standards Act (FLSA). 29 C.F.R. § 791.2. However, where the employee performs “fire protection activities” for the fire department and “law enforcement activities” for the police department of the same public agency, as you state is the case here, the hours are aggregated.</w:t>
      </w:r>
      <w:r>
        <w:rPr>
          <w:rFonts w:ascii="Times New Roman" w:hAnsi="Times New Roman"/>
          <w:sz w:val="24"/>
          <w:szCs w:val="24"/>
        </w:rPr>
        <w:t>”</w:t>
      </w:r>
    </w:p>
    <w:p w14:paraId="4443E235" w14:textId="73B61801" w:rsidR="009F0F05" w:rsidRDefault="009F0F05" w:rsidP="009F0F05">
      <w:pPr>
        <w:rPr>
          <w:rFonts w:ascii="Times New Roman" w:hAnsi="Times New Roman"/>
          <w:b/>
          <w:bCs/>
          <w:sz w:val="24"/>
          <w:szCs w:val="24"/>
        </w:rPr>
      </w:pPr>
      <w:r w:rsidRPr="003E4638">
        <w:rPr>
          <w:rFonts w:ascii="Times New Roman" w:hAnsi="Times New Roman"/>
          <w:b/>
          <w:bCs/>
          <w:sz w:val="24"/>
          <w:szCs w:val="24"/>
        </w:rPr>
        <w:t>Legal Lessons Learned:</w:t>
      </w:r>
      <w:r>
        <w:rPr>
          <w:rFonts w:ascii="Times New Roman" w:hAnsi="Times New Roman"/>
          <w:b/>
          <w:bCs/>
          <w:sz w:val="24"/>
          <w:szCs w:val="24"/>
        </w:rPr>
        <w:t xml:space="preserve">  When in doubt about paying overtime, review FLSA opinion letters.  </w:t>
      </w:r>
      <w:hyperlink r:id="rId1891" w:history="1">
        <w:r w:rsidRPr="00A05487">
          <w:rPr>
            <w:rStyle w:val="Hyperlink"/>
            <w:rFonts w:ascii="Times New Roman" w:hAnsi="Times New Roman"/>
            <w:b/>
            <w:bCs/>
            <w:sz w:val="24"/>
            <w:szCs w:val="24"/>
          </w:rPr>
          <w:t>https://www.dol.gov/whd/opinion/search/index.htm?FLSA</w:t>
        </w:r>
      </w:hyperlink>
      <w:r>
        <w:rPr>
          <w:rFonts w:ascii="Times New Roman" w:hAnsi="Times New Roman"/>
          <w:b/>
          <w:bCs/>
          <w:sz w:val="24"/>
          <w:szCs w:val="24"/>
        </w:rPr>
        <w:t xml:space="preserve">   If still not clear, call </w:t>
      </w:r>
      <w:proofErr w:type="spellStart"/>
      <w:r>
        <w:rPr>
          <w:rFonts w:ascii="Times New Roman" w:hAnsi="Times New Roman"/>
          <w:b/>
          <w:bCs/>
          <w:sz w:val="24"/>
          <w:szCs w:val="24"/>
        </w:rPr>
        <w:t>DoL</w:t>
      </w:r>
      <w:proofErr w:type="spellEnd"/>
      <w:r>
        <w:rPr>
          <w:rFonts w:ascii="Times New Roman" w:hAnsi="Times New Roman"/>
          <w:b/>
          <w:bCs/>
          <w:sz w:val="24"/>
          <w:szCs w:val="24"/>
        </w:rPr>
        <w:t xml:space="preserve"> Wage </w:t>
      </w:r>
      <w:proofErr w:type="gramStart"/>
      <w:r>
        <w:rPr>
          <w:rFonts w:ascii="Times New Roman" w:hAnsi="Times New Roman"/>
          <w:b/>
          <w:bCs/>
          <w:sz w:val="24"/>
          <w:szCs w:val="24"/>
        </w:rPr>
        <w:t>And</w:t>
      </w:r>
      <w:proofErr w:type="gramEnd"/>
      <w:r>
        <w:rPr>
          <w:rFonts w:ascii="Times New Roman" w:hAnsi="Times New Roman"/>
          <w:b/>
          <w:bCs/>
          <w:sz w:val="24"/>
          <w:szCs w:val="24"/>
        </w:rPr>
        <w:t xml:space="preserve"> Hour Division and consult with experienced Legal Counsel.  </w:t>
      </w:r>
    </w:p>
    <w:p w14:paraId="1224AA89" w14:textId="127DE820" w:rsidR="00E052A6" w:rsidRDefault="00E052A6" w:rsidP="00E052A6">
      <w:pPr>
        <w:rPr>
          <w:rFonts w:ascii="Times New Roman" w:hAnsi="Times New Roman"/>
          <w:bCs/>
          <w:sz w:val="24"/>
          <w:szCs w:val="24"/>
        </w:rPr>
      </w:pPr>
    </w:p>
    <w:p w14:paraId="5714D2E1" w14:textId="77777777" w:rsidR="00EC50D5" w:rsidRPr="004647F6" w:rsidRDefault="00EC50D5" w:rsidP="00EC50D5">
      <w:pPr>
        <w:rPr>
          <w:rFonts w:ascii="Arial Black" w:hAnsi="Arial Black"/>
          <w:b/>
          <w:sz w:val="28"/>
          <w:szCs w:val="28"/>
        </w:rPr>
      </w:pPr>
      <w:r w:rsidRPr="004647F6">
        <w:rPr>
          <w:rFonts w:ascii="Arial Black" w:hAnsi="Arial Black"/>
          <w:b/>
          <w:sz w:val="28"/>
          <w:szCs w:val="28"/>
        </w:rPr>
        <w:t xml:space="preserve">FL – </w:t>
      </w:r>
      <w:r>
        <w:rPr>
          <w:rFonts w:ascii="Arial Black" w:hAnsi="Arial Black"/>
          <w:b/>
          <w:sz w:val="28"/>
          <w:szCs w:val="28"/>
        </w:rPr>
        <w:t xml:space="preserve">FF / U.S. ARMY RESERVE - </w:t>
      </w:r>
      <w:r w:rsidRPr="004647F6">
        <w:rPr>
          <w:rFonts w:ascii="Arial Black" w:hAnsi="Arial Black"/>
          <w:b/>
          <w:sz w:val="28"/>
          <w:szCs w:val="28"/>
        </w:rPr>
        <w:t>USERRA LAWSUIT DISMISSED –</w:t>
      </w:r>
      <w:r>
        <w:rPr>
          <w:rFonts w:ascii="Arial Black" w:hAnsi="Arial Black"/>
          <w:b/>
          <w:sz w:val="28"/>
          <w:szCs w:val="28"/>
        </w:rPr>
        <w:t xml:space="preserve"> NOT </w:t>
      </w:r>
      <w:r w:rsidRPr="004647F6">
        <w:rPr>
          <w:rFonts w:ascii="Arial Black" w:hAnsi="Arial Black"/>
          <w:b/>
          <w:sz w:val="28"/>
          <w:szCs w:val="28"/>
        </w:rPr>
        <w:t>PROMOTE</w:t>
      </w:r>
      <w:r>
        <w:rPr>
          <w:rFonts w:ascii="Arial Black" w:hAnsi="Arial Black"/>
          <w:b/>
          <w:sz w:val="28"/>
          <w:szCs w:val="28"/>
        </w:rPr>
        <w:t>D TO DISTRICT CHIEF – CITY USES “RULE OF 5”</w:t>
      </w:r>
    </w:p>
    <w:p w14:paraId="54EAF161" w14:textId="77777777" w:rsidR="00EC50D5" w:rsidRPr="002119A9" w:rsidRDefault="00EC50D5" w:rsidP="00EC50D5">
      <w:pPr>
        <w:pStyle w:val="NoSpacing"/>
        <w:rPr>
          <w:rFonts w:ascii="Times New Roman" w:hAnsi="Times New Roman"/>
          <w:sz w:val="24"/>
          <w:szCs w:val="24"/>
        </w:rPr>
      </w:pPr>
      <w:r w:rsidRPr="002119A9">
        <w:rPr>
          <w:rFonts w:ascii="Times New Roman" w:hAnsi="Times New Roman"/>
          <w:sz w:val="24"/>
          <w:szCs w:val="24"/>
        </w:rPr>
        <w:t xml:space="preserve">On April 29, 2019, in </w:t>
      </w:r>
      <w:r w:rsidRPr="002119A9">
        <w:rPr>
          <w:rFonts w:ascii="Times New Roman" w:hAnsi="Times New Roman"/>
          <w:sz w:val="24"/>
          <w:szCs w:val="24"/>
          <w:u w:val="single"/>
        </w:rPr>
        <w:t>John H. Ramirez v. City of Fort Lauderdale</w:t>
      </w:r>
      <w:r w:rsidRPr="002119A9">
        <w:rPr>
          <w:rFonts w:ascii="Times New Roman" w:hAnsi="Times New Roman"/>
          <w:sz w:val="24"/>
          <w:szCs w:val="24"/>
        </w:rPr>
        <w:t xml:space="preserve">, U.S. District Court judge William P. </w:t>
      </w:r>
      <w:proofErr w:type="spellStart"/>
      <w:r w:rsidRPr="002119A9">
        <w:rPr>
          <w:rFonts w:ascii="Times New Roman" w:hAnsi="Times New Roman"/>
          <w:sz w:val="24"/>
          <w:szCs w:val="24"/>
        </w:rPr>
        <w:t>Dimitrouleas</w:t>
      </w:r>
      <w:proofErr w:type="spellEnd"/>
      <w:r w:rsidRPr="002119A9">
        <w:rPr>
          <w:rFonts w:ascii="Times New Roman" w:hAnsi="Times New Roman"/>
          <w:sz w:val="24"/>
          <w:szCs w:val="24"/>
        </w:rPr>
        <w:t xml:space="preserve">, Southern District of Florida, granted the City’s motion to dismiss, but Plaintiff was afforded an opportunity to file an amended Complaint to show he was denied promotions because of his military service. </w:t>
      </w:r>
    </w:p>
    <w:p w14:paraId="543B08CD" w14:textId="77777777" w:rsidR="00EC50D5" w:rsidRPr="002119A9" w:rsidRDefault="00EC50D5" w:rsidP="00EC50D5">
      <w:pPr>
        <w:pStyle w:val="NoSpacing"/>
        <w:rPr>
          <w:rFonts w:ascii="Times New Roman" w:hAnsi="Times New Roman"/>
          <w:sz w:val="24"/>
          <w:szCs w:val="24"/>
        </w:rPr>
      </w:pPr>
    </w:p>
    <w:p w14:paraId="77CD9642" w14:textId="77777777" w:rsidR="00EC50D5" w:rsidRPr="002119A9" w:rsidRDefault="00EC50D5" w:rsidP="00EC50D5">
      <w:pPr>
        <w:pStyle w:val="NoSpacing"/>
        <w:ind w:left="720"/>
        <w:rPr>
          <w:rFonts w:ascii="Times New Roman" w:hAnsi="Times New Roman"/>
          <w:sz w:val="24"/>
          <w:szCs w:val="24"/>
        </w:rPr>
      </w:pPr>
      <w:r w:rsidRPr="002119A9">
        <w:rPr>
          <w:rFonts w:ascii="Times New Roman" w:hAnsi="Times New Roman"/>
          <w:sz w:val="24"/>
          <w:szCs w:val="24"/>
        </w:rPr>
        <w:t xml:space="preserve">During Plaintiff's employment, he served in the United States Army and was called for various deployments.  Plaintiff has repeatedly applied for promotion to Division Chief and was passed over for promotion several times. *** Defendant uses the rule of five to select personnel for promotion, which, </w:t>
      </w:r>
      <w:r w:rsidRPr="002119A9">
        <w:rPr>
          <w:rFonts w:ascii="Times New Roman" w:hAnsi="Times New Roman"/>
          <w:sz w:val="24"/>
          <w:szCs w:val="24"/>
        </w:rPr>
        <w:lastRenderedPageBreak/>
        <w:t xml:space="preserve">according to Plaintiff violates Plaintiff's rights under USERRA by ‘not following the State of Florida Veterans preference.’  Plaintiff has complained to the Defendant that his military service was a factor in the decision to deny him promotion. </w:t>
      </w:r>
    </w:p>
    <w:p w14:paraId="250A507F" w14:textId="77777777" w:rsidR="00EC50D5" w:rsidRPr="002119A9" w:rsidRDefault="00EC50D5" w:rsidP="00EC50D5">
      <w:pPr>
        <w:pStyle w:val="NoSpacing"/>
        <w:ind w:left="720"/>
        <w:rPr>
          <w:rFonts w:ascii="Times New Roman" w:hAnsi="Times New Roman"/>
          <w:sz w:val="24"/>
          <w:szCs w:val="24"/>
        </w:rPr>
      </w:pPr>
    </w:p>
    <w:p w14:paraId="17BEEEFB" w14:textId="77777777" w:rsidR="00EC50D5" w:rsidRPr="002119A9" w:rsidRDefault="00EC50D5" w:rsidP="00EC50D5">
      <w:pPr>
        <w:pStyle w:val="NoSpacing"/>
        <w:ind w:left="720"/>
        <w:rPr>
          <w:rFonts w:ascii="Times New Roman" w:hAnsi="Times New Roman"/>
          <w:sz w:val="24"/>
          <w:szCs w:val="24"/>
        </w:rPr>
      </w:pPr>
      <w:r w:rsidRPr="002119A9">
        <w:rPr>
          <w:rFonts w:ascii="Times New Roman" w:hAnsi="Times New Roman"/>
          <w:sz w:val="24"/>
          <w:szCs w:val="24"/>
        </w:rPr>
        <w:t>***</w:t>
      </w:r>
    </w:p>
    <w:p w14:paraId="12E2DAAB" w14:textId="77777777" w:rsidR="00EC50D5" w:rsidRPr="002119A9" w:rsidRDefault="00EC50D5" w:rsidP="00EC50D5">
      <w:pPr>
        <w:pStyle w:val="NoSpacing"/>
        <w:rPr>
          <w:rFonts w:ascii="Times New Roman" w:hAnsi="Times New Roman"/>
          <w:sz w:val="24"/>
          <w:szCs w:val="24"/>
        </w:rPr>
      </w:pPr>
    </w:p>
    <w:p w14:paraId="23EB908A" w14:textId="77777777" w:rsidR="00EC50D5" w:rsidRPr="002119A9" w:rsidRDefault="00EC50D5" w:rsidP="00EC50D5">
      <w:pPr>
        <w:pStyle w:val="NoSpacing"/>
        <w:ind w:left="720"/>
        <w:rPr>
          <w:rFonts w:ascii="Times New Roman" w:eastAsia="Times New Roman" w:hAnsi="Times New Roman"/>
          <w:b/>
          <w:bCs/>
          <w:sz w:val="24"/>
          <w:szCs w:val="24"/>
        </w:rPr>
      </w:pPr>
      <w:r w:rsidRPr="002119A9">
        <w:rPr>
          <w:rFonts w:ascii="Times New Roman" w:hAnsi="Times New Roman"/>
          <w:sz w:val="24"/>
          <w:szCs w:val="24"/>
        </w:rPr>
        <w:t xml:space="preserve">To establish a prima facie case under USERRA, "a plaintiff must show by a preponderance of the evidence that his protected status was a motivating factor in the challenged action." Dominguez v. Miami-Dade </w:t>
      </w:r>
      <w:proofErr w:type="spellStart"/>
      <w:r w:rsidRPr="002119A9">
        <w:rPr>
          <w:rFonts w:ascii="Times New Roman" w:hAnsi="Times New Roman"/>
          <w:sz w:val="24"/>
          <w:szCs w:val="24"/>
        </w:rPr>
        <w:t>Cty</w:t>
      </w:r>
      <w:proofErr w:type="spellEnd"/>
      <w:r w:rsidRPr="002119A9">
        <w:rPr>
          <w:rFonts w:ascii="Times New Roman" w:hAnsi="Times New Roman"/>
          <w:sz w:val="24"/>
          <w:szCs w:val="24"/>
        </w:rPr>
        <w:t xml:space="preserve">., 669 F. Supp. 2d 1340, 1347 (S.D. Fla. 2009), aff'd, 416 F. </w:t>
      </w:r>
      <w:proofErr w:type="spellStart"/>
      <w:r w:rsidRPr="002119A9">
        <w:rPr>
          <w:rFonts w:ascii="Times New Roman" w:hAnsi="Times New Roman"/>
          <w:sz w:val="24"/>
          <w:szCs w:val="24"/>
        </w:rPr>
        <w:t>App'x</w:t>
      </w:r>
      <w:proofErr w:type="spellEnd"/>
      <w:r w:rsidRPr="002119A9">
        <w:rPr>
          <w:rFonts w:ascii="Times New Roman" w:hAnsi="Times New Roman"/>
          <w:sz w:val="24"/>
          <w:szCs w:val="24"/>
        </w:rPr>
        <w:t xml:space="preserve"> 884 (11th Cir. 2011). *** The Court finds that Plaintiff has failed to meet the burden to allege that his protected status as a servicemember was the motivating factor behind Defendant's choice not to promote him.  </w:t>
      </w:r>
      <w:hyperlink r:id="rId1892" w:history="1">
        <w:r w:rsidRPr="002119A9">
          <w:rPr>
            <w:rStyle w:val="Hyperlink"/>
            <w:rFonts w:ascii="Times New Roman" w:eastAsia="Times New Roman" w:hAnsi="Times New Roman"/>
            <w:b/>
            <w:bCs/>
            <w:sz w:val="24"/>
            <w:szCs w:val="24"/>
          </w:rPr>
          <w:t>http://41af3k34gprx4f6bg12df75i.wpengine.netdna-cdn.com/wp-content/uploads/sites/19/2019/05/Ramirez-v.-City-of-Fort-Lauderdale-Fire-Rescue_-2019-U.pdf</w:t>
        </w:r>
      </w:hyperlink>
      <w:r w:rsidRPr="002119A9">
        <w:rPr>
          <w:rFonts w:ascii="Times New Roman" w:eastAsia="Times New Roman" w:hAnsi="Times New Roman"/>
          <w:b/>
          <w:bCs/>
          <w:sz w:val="24"/>
          <w:szCs w:val="24"/>
        </w:rPr>
        <w:t xml:space="preserve"> </w:t>
      </w:r>
    </w:p>
    <w:p w14:paraId="66F16DF9" w14:textId="1F14BD60" w:rsidR="00EC50D5" w:rsidRPr="00715CF2" w:rsidRDefault="00EC50D5" w:rsidP="00EC50D5">
      <w:pPr>
        <w:rPr>
          <w:rFonts w:ascii="Times New Roman" w:hAnsi="Times New Roman"/>
          <w:bCs/>
          <w:sz w:val="24"/>
          <w:szCs w:val="24"/>
        </w:rPr>
      </w:pPr>
      <w:r w:rsidRPr="0052665B">
        <w:rPr>
          <w:rFonts w:ascii="Times New Roman" w:hAnsi="Times New Roman"/>
          <w:b/>
          <w:sz w:val="24"/>
          <w:szCs w:val="24"/>
        </w:rPr>
        <w:t>Legal Lesson Learned:  Plaintiff failed to show that his protected military status was a motivating factor in not being promoted</w:t>
      </w:r>
    </w:p>
    <w:p w14:paraId="115D1A0E" w14:textId="77777777" w:rsidR="005B0774" w:rsidRDefault="005B0774" w:rsidP="00F326E5">
      <w:pPr>
        <w:rPr>
          <w:rFonts w:ascii="Arial Black" w:hAnsi="Arial Black"/>
          <w:b/>
          <w:sz w:val="24"/>
          <w:szCs w:val="24"/>
        </w:rPr>
      </w:pPr>
    </w:p>
    <w:p w14:paraId="6968C5B4" w14:textId="3C2D78DC" w:rsidR="005B0774" w:rsidRDefault="005B0774" w:rsidP="00F326E5">
      <w:pPr>
        <w:rPr>
          <w:rFonts w:ascii="Arial Black" w:hAnsi="Arial Black"/>
          <w:b/>
          <w:sz w:val="24"/>
          <w:szCs w:val="24"/>
        </w:rPr>
      </w:pPr>
      <w:r>
        <w:rPr>
          <w:rFonts w:ascii="Arial Black" w:hAnsi="Arial Black"/>
          <w:b/>
          <w:sz w:val="24"/>
          <w:szCs w:val="24"/>
        </w:rPr>
        <w:t>11-5</w:t>
      </w:r>
    </w:p>
    <w:p w14:paraId="16813B02" w14:textId="2766604B" w:rsidR="005B0774" w:rsidRPr="00E9307E" w:rsidRDefault="005B0774" w:rsidP="00F326E5">
      <w:pPr>
        <w:rPr>
          <w:rFonts w:ascii="Arial Black" w:hAnsi="Arial Black"/>
          <w:sz w:val="28"/>
          <w:szCs w:val="28"/>
        </w:rPr>
      </w:pPr>
      <w:r w:rsidRPr="00E9307E">
        <w:rPr>
          <w:rFonts w:ascii="Arial Black" w:hAnsi="Arial Black" w:cs="Arial"/>
          <w:sz w:val="28"/>
          <w:szCs w:val="28"/>
        </w:rPr>
        <w:t xml:space="preserve">WA: FED. JUDGE REFUSES DECLARATORY JUDGMENT – BATTALION </w:t>
      </w:r>
      <w:r w:rsidRPr="00E9307E">
        <w:rPr>
          <w:rFonts w:ascii="Arial Black" w:hAnsi="Arial Black"/>
          <w:sz w:val="28"/>
          <w:szCs w:val="28"/>
        </w:rPr>
        <w:t xml:space="preserve">CHIEFS / FIRE MARSHALS ARE “EXEMPT” FLSA </w:t>
      </w:r>
    </w:p>
    <w:p w14:paraId="195ACE47" w14:textId="77777777" w:rsidR="00E658E1" w:rsidRDefault="005B0774" w:rsidP="00F326E5">
      <w:pPr>
        <w:rPr>
          <w:rFonts w:ascii="Times New Roman" w:hAnsi="Times New Roman"/>
          <w:sz w:val="24"/>
          <w:szCs w:val="24"/>
        </w:rPr>
      </w:pPr>
      <w:r w:rsidRPr="0036327D">
        <w:rPr>
          <w:rFonts w:ascii="Times New Roman" w:hAnsi="Times New Roman"/>
          <w:sz w:val="24"/>
          <w:szCs w:val="24"/>
        </w:rPr>
        <w:t>On April 18, 2019, in Spokane Valley Fire Department v. IAFF Local 3701, U.S. District Court Judge Salvador Mendoza, Jr., held:</w:t>
      </w:r>
    </w:p>
    <w:p w14:paraId="7AACB06E" w14:textId="033EC010" w:rsidR="005B0774" w:rsidRPr="0036327D" w:rsidRDefault="005B0774" w:rsidP="00E658E1">
      <w:pPr>
        <w:ind w:left="720"/>
        <w:rPr>
          <w:rFonts w:ascii="Times New Roman" w:hAnsi="Times New Roman"/>
          <w:sz w:val="24"/>
          <w:szCs w:val="24"/>
        </w:rPr>
      </w:pPr>
      <w:r w:rsidRPr="0036327D">
        <w:rPr>
          <w:rFonts w:ascii="Times New Roman" w:hAnsi="Times New Roman"/>
          <w:sz w:val="24"/>
          <w:szCs w:val="24"/>
        </w:rPr>
        <w:t xml:space="preserve">“But the problem for the Department is that it fails to demonstrate any potential FLSA overtime claims have accrued or are certainly impending and pose an imminent threat, </w:t>
      </w:r>
      <w:proofErr w:type="gramStart"/>
      <w:r w:rsidRPr="0036327D">
        <w:rPr>
          <w:rFonts w:ascii="Times New Roman" w:hAnsi="Times New Roman"/>
          <w:sz w:val="24"/>
          <w:szCs w:val="24"/>
        </w:rPr>
        <w:t>so as to</w:t>
      </w:r>
      <w:proofErr w:type="gramEnd"/>
      <w:r w:rsidRPr="0036327D">
        <w:rPr>
          <w:rFonts w:ascii="Times New Roman" w:hAnsi="Times New Roman"/>
          <w:sz w:val="24"/>
          <w:szCs w:val="24"/>
        </w:rPr>
        <w:t xml:space="preserve"> establish standing and ripeness. By continuing to operate under the existing collective bargaining agreement, the Department is preserving an injury-free status quo.”</w:t>
      </w:r>
      <w:r w:rsidR="00C95AF6" w:rsidRPr="0036327D">
        <w:rPr>
          <w:rFonts w:ascii="Times New Roman" w:hAnsi="Times New Roman"/>
          <w:sz w:val="24"/>
          <w:szCs w:val="24"/>
        </w:rPr>
        <w:t xml:space="preserve"> </w:t>
      </w:r>
      <w:hyperlink r:id="rId1893" w:history="1">
        <w:r w:rsidR="00C95AF6" w:rsidRPr="0036327D">
          <w:rPr>
            <w:rStyle w:val="Hyperlink"/>
            <w:rFonts w:ascii="Times New Roman" w:hAnsi="Times New Roman"/>
            <w:sz w:val="24"/>
            <w:szCs w:val="24"/>
          </w:rPr>
          <w:t>http://41af3k34gprx4f6bg12df75i.wpengine.netdna-cdn.com/wp-content/uploads/sites/19/2019/04/Spokane-Valley-Fire-Department-v-IAFF-Local-3701-RULING.pdf</w:t>
        </w:r>
      </w:hyperlink>
      <w:r w:rsidR="00C95AF6" w:rsidRPr="0036327D">
        <w:rPr>
          <w:rFonts w:ascii="Times New Roman" w:hAnsi="Times New Roman"/>
          <w:sz w:val="24"/>
          <w:szCs w:val="24"/>
        </w:rPr>
        <w:t xml:space="preserve"> </w:t>
      </w:r>
    </w:p>
    <w:p w14:paraId="611A277B" w14:textId="77777777" w:rsidR="00C95AF6" w:rsidRPr="0036327D" w:rsidRDefault="00C95AF6" w:rsidP="00F326E5">
      <w:pPr>
        <w:rPr>
          <w:rFonts w:ascii="Times New Roman" w:hAnsi="Times New Roman"/>
          <w:b/>
          <w:bCs/>
          <w:sz w:val="24"/>
          <w:szCs w:val="24"/>
        </w:rPr>
      </w:pPr>
      <w:r w:rsidRPr="0036327D">
        <w:rPr>
          <w:rFonts w:ascii="Times New Roman" w:hAnsi="Times New Roman"/>
          <w:b/>
          <w:bCs/>
          <w:sz w:val="24"/>
          <w:szCs w:val="24"/>
        </w:rPr>
        <w:t>Legal Lessons Learned: The Fire Department can always consult with U.S. Department of Labor, Wage &amp; Hour Division, or seek a formal opinion letter concerning the proper classification of their Battalion Chiefs and Fire Marshals based on a detailed description of their job duties.</w:t>
      </w:r>
    </w:p>
    <w:p w14:paraId="7C470B39" w14:textId="0F5AB7AC" w:rsidR="00C95AF6" w:rsidRPr="0036327D" w:rsidRDefault="00C95AF6" w:rsidP="00C95AF6">
      <w:pPr>
        <w:ind w:left="720"/>
        <w:rPr>
          <w:rFonts w:ascii="Times New Roman" w:hAnsi="Times New Roman"/>
          <w:sz w:val="24"/>
          <w:szCs w:val="24"/>
        </w:rPr>
      </w:pPr>
      <w:r w:rsidRPr="0036327D">
        <w:rPr>
          <w:rFonts w:ascii="Times New Roman" w:hAnsi="Times New Roman"/>
          <w:sz w:val="24"/>
          <w:szCs w:val="24"/>
        </w:rPr>
        <w:t xml:space="preserve">For example, see Opinion Letter FLSA 2005-40: “Accordingly, the duties described in your letter are sufficient to qualify the City’s Police Lieutenants, Police Captains, and Fire Battalion Chiefs as exempt from the minimum wage and overtime provisions of the FLSA. Therefore, so long as the actual duties performed by these employees are consistent with those described, the referenced employees are exempt from these provisions of the FLSA.” </w:t>
      </w:r>
      <w:hyperlink r:id="rId1894" w:history="1">
        <w:r w:rsidRPr="0036327D">
          <w:rPr>
            <w:rStyle w:val="Hyperlink"/>
            <w:rFonts w:ascii="Times New Roman" w:hAnsi="Times New Roman"/>
            <w:sz w:val="24"/>
            <w:szCs w:val="24"/>
          </w:rPr>
          <w:t>https://www.dol.gov/whd/opinion/FLSA/2005/2005_10_14_40_FLSA.pdf</w:t>
        </w:r>
      </w:hyperlink>
      <w:r w:rsidRPr="0036327D">
        <w:rPr>
          <w:rFonts w:ascii="Times New Roman" w:hAnsi="Times New Roman"/>
          <w:sz w:val="24"/>
          <w:szCs w:val="24"/>
        </w:rPr>
        <w:t xml:space="preserve"> </w:t>
      </w:r>
    </w:p>
    <w:p w14:paraId="719DFCB2" w14:textId="77777777" w:rsidR="005B0774" w:rsidRPr="0036327D" w:rsidRDefault="005B0774" w:rsidP="00F326E5">
      <w:pPr>
        <w:rPr>
          <w:rFonts w:ascii="Times New Roman" w:hAnsi="Times New Roman"/>
          <w:b/>
          <w:sz w:val="24"/>
          <w:szCs w:val="24"/>
        </w:rPr>
      </w:pPr>
    </w:p>
    <w:p w14:paraId="6D127516" w14:textId="4DF9577C" w:rsidR="00DE0F03" w:rsidRDefault="00DE0F03" w:rsidP="00F326E5">
      <w:pPr>
        <w:rPr>
          <w:rFonts w:ascii="Arial Black" w:hAnsi="Arial Black"/>
          <w:sz w:val="40"/>
          <w:szCs w:val="40"/>
        </w:rPr>
      </w:pPr>
      <w:r>
        <w:rPr>
          <w:rFonts w:ascii="Arial Black" w:hAnsi="Arial Black"/>
          <w:b/>
          <w:sz w:val="24"/>
          <w:szCs w:val="24"/>
        </w:rPr>
        <w:t>11</w:t>
      </w:r>
      <w:r w:rsidRPr="00EF1133">
        <w:rPr>
          <w:rFonts w:ascii="Arial Black" w:hAnsi="Arial Black"/>
          <w:b/>
          <w:sz w:val="24"/>
          <w:szCs w:val="24"/>
        </w:rPr>
        <w:t>-</w:t>
      </w:r>
      <w:r>
        <w:rPr>
          <w:rFonts w:ascii="Arial Black" w:hAnsi="Arial Black"/>
          <w:b/>
          <w:sz w:val="24"/>
          <w:szCs w:val="24"/>
        </w:rPr>
        <w:t>4</w:t>
      </w:r>
    </w:p>
    <w:p w14:paraId="1C7DB8BA" w14:textId="0633FCA0" w:rsidR="00F326E5" w:rsidRDefault="00F326E5" w:rsidP="00F326E5">
      <w:pPr>
        <w:pStyle w:val="NoSpacing"/>
        <w:rPr>
          <w:rFonts w:ascii="Arial Black" w:hAnsi="Arial Black"/>
          <w:sz w:val="28"/>
          <w:szCs w:val="28"/>
        </w:rPr>
      </w:pPr>
      <w:bookmarkStart w:id="409" w:name="_Hlk7345398"/>
      <w:r>
        <w:rPr>
          <w:rFonts w:ascii="Arial Black" w:hAnsi="Arial Black"/>
          <w:sz w:val="28"/>
          <w:szCs w:val="28"/>
        </w:rPr>
        <w:lastRenderedPageBreak/>
        <w:t>U.S. DEPT. OF LABOR: PROPOSED NEW RULE –</w:t>
      </w:r>
      <w:r w:rsidR="008F1BBB">
        <w:rPr>
          <w:rFonts w:ascii="Arial Black" w:hAnsi="Arial Black"/>
          <w:sz w:val="28"/>
          <w:szCs w:val="28"/>
        </w:rPr>
        <w:t xml:space="preserve"> </w:t>
      </w:r>
      <w:r>
        <w:rPr>
          <w:rFonts w:ascii="Arial Black" w:hAnsi="Arial Black"/>
          <w:sz w:val="28"/>
          <w:szCs w:val="28"/>
        </w:rPr>
        <w:t xml:space="preserve">ITEMS NOT INCLUDED IN “REGULAR RATE OF PAY” </w:t>
      </w:r>
    </w:p>
    <w:p w14:paraId="1E24790F" w14:textId="77777777" w:rsidR="00F326E5" w:rsidRPr="00E658E1" w:rsidRDefault="00F326E5" w:rsidP="00F326E5">
      <w:pPr>
        <w:spacing w:before="100" w:beforeAutospacing="1" w:after="100" w:afterAutospacing="1"/>
        <w:rPr>
          <w:rFonts w:ascii="Times New Roman" w:eastAsia="Times New Roman" w:hAnsi="Times New Roman"/>
          <w:sz w:val="24"/>
          <w:szCs w:val="24"/>
        </w:rPr>
      </w:pPr>
      <w:r w:rsidRPr="00E658E1">
        <w:rPr>
          <w:rFonts w:ascii="Times New Roman" w:eastAsia="Times New Roman" w:hAnsi="Times New Roman"/>
          <w:sz w:val="24"/>
          <w:szCs w:val="24"/>
        </w:rPr>
        <w:t xml:space="preserve">On March 28, 2019, the U.S. Department of Labor (Department) announced a proposed rule to amend 29 CFR part 778 to clarify and update regular rate requirements under section 7(e) of the Fair Labor Standards Act (FLSA).  </w:t>
      </w:r>
      <w:hyperlink r:id="rId1895" w:history="1">
        <w:r w:rsidRPr="00E658E1">
          <w:rPr>
            <w:rStyle w:val="Hyperlink"/>
            <w:rFonts w:ascii="Times New Roman" w:hAnsi="Times New Roman"/>
            <w:sz w:val="24"/>
            <w:szCs w:val="24"/>
          </w:rPr>
          <w:t>https://www.dol.gov/whd/overtime/regularrate2019.htm</w:t>
        </w:r>
      </w:hyperlink>
      <w:r w:rsidRPr="00E658E1">
        <w:rPr>
          <w:rFonts w:ascii="Times New Roman" w:eastAsia="Times New Roman" w:hAnsi="Times New Roman"/>
          <w:sz w:val="24"/>
          <w:szCs w:val="24"/>
        </w:rPr>
        <w:t xml:space="preserve"> </w:t>
      </w:r>
    </w:p>
    <w:p w14:paraId="784504D8" w14:textId="77777777" w:rsidR="00F326E5" w:rsidRPr="00E658E1" w:rsidRDefault="00F326E5" w:rsidP="00F326E5">
      <w:pPr>
        <w:spacing w:before="100" w:beforeAutospacing="1" w:after="100" w:afterAutospacing="1"/>
        <w:ind w:left="720"/>
        <w:rPr>
          <w:rFonts w:ascii="Times New Roman" w:eastAsia="Times New Roman" w:hAnsi="Times New Roman"/>
          <w:sz w:val="24"/>
          <w:szCs w:val="24"/>
        </w:rPr>
      </w:pPr>
      <w:r w:rsidRPr="00E658E1">
        <w:rPr>
          <w:rFonts w:ascii="Times New Roman" w:eastAsia="Times New Roman" w:hAnsi="Times New Roman"/>
          <w:sz w:val="24"/>
          <w:szCs w:val="24"/>
        </w:rPr>
        <w:t xml:space="preserve">“The FLSA generally requires overtime pay of at least one and one-half times the regular rate of pay for hours worked </w:t>
      </w:r>
      <w:proofErr w:type="gramStart"/>
      <w:r w:rsidRPr="00E658E1">
        <w:rPr>
          <w:rFonts w:ascii="Times New Roman" w:eastAsia="Times New Roman" w:hAnsi="Times New Roman"/>
          <w:sz w:val="24"/>
          <w:szCs w:val="24"/>
        </w:rPr>
        <w:t>in excess of</w:t>
      </w:r>
      <w:proofErr w:type="gramEnd"/>
      <w:r w:rsidRPr="00E658E1">
        <w:rPr>
          <w:rFonts w:ascii="Times New Roman" w:eastAsia="Times New Roman" w:hAnsi="Times New Roman"/>
          <w:sz w:val="24"/>
          <w:szCs w:val="24"/>
        </w:rPr>
        <w:t xml:space="preserve"> 40 hours per workweek. Regular rate requirements define what forms of payment employers include and exclude in the “time and one-half” calculation when determining workers’ overtime rates. Under current rules, employers are discouraged from offering more perks to their employees as it may be unclear whether those perks must be included in the calculation of an employees’ regular rate of pay. The proposed rule focuses primarily on clarifying whether certain kinds of perks, benefits, or other miscellaneous items must be included in the regular rate. Because these regulations have not been updated in decades, the proposal would better define the regular rate for today’s workplace practices.</w:t>
      </w:r>
    </w:p>
    <w:p w14:paraId="0AD7CEDA" w14:textId="77777777" w:rsidR="00F326E5" w:rsidRPr="00E658E1" w:rsidRDefault="00F326E5" w:rsidP="00F326E5">
      <w:pPr>
        <w:spacing w:before="100" w:beforeAutospacing="1" w:after="100" w:afterAutospacing="1"/>
        <w:ind w:left="720"/>
        <w:rPr>
          <w:rFonts w:ascii="Times New Roman" w:eastAsia="Times New Roman" w:hAnsi="Times New Roman"/>
          <w:sz w:val="24"/>
          <w:szCs w:val="24"/>
        </w:rPr>
      </w:pPr>
      <w:r w:rsidRPr="00E658E1">
        <w:rPr>
          <w:rFonts w:ascii="Times New Roman" w:eastAsia="Times New Roman" w:hAnsi="Times New Roman"/>
          <w:sz w:val="24"/>
          <w:szCs w:val="24"/>
        </w:rPr>
        <w:t>The Department proposes clarifications to the regulations to confirm that employers may exclude the following from an employee’s regular rate of pay:</w:t>
      </w:r>
    </w:p>
    <w:p w14:paraId="142748C1" w14:textId="77777777" w:rsidR="00F326E5" w:rsidRPr="00E658E1" w:rsidRDefault="00F326E5" w:rsidP="00F326E5">
      <w:pPr>
        <w:numPr>
          <w:ilvl w:val="0"/>
          <w:numId w:val="3"/>
        </w:numPr>
        <w:spacing w:before="100" w:beforeAutospacing="1" w:after="100" w:afterAutospacing="1" w:line="240" w:lineRule="auto"/>
        <w:rPr>
          <w:rFonts w:ascii="Times New Roman" w:eastAsia="Times New Roman" w:hAnsi="Times New Roman"/>
          <w:sz w:val="24"/>
          <w:szCs w:val="24"/>
        </w:rPr>
      </w:pPr>
      <w:r w:rsidRPr="00E658E1">
        <w:rPr>
          <w:rFonts w:ascii="Times New Roman" w:eastAsia="Times New Roman" w:hAnsi="Times New Roman"/>
          <w:sz w:val="24"/>
          <w:szCs w:val="24"/>
        </w:rPr>
        <w:t>the cost of providing wellness programs, onsite specialist treatment, gym access and fitness classes, and employee discounts on retail goods and services;</w:t>
      </w:r>
    </w:p>
    <w:p w14:paraId="421ED97F" w14:textId="77777777" w:rsidR="00F326E5" w:rsidRPr="00E658E1" w:rsidRDefault="00F326E5" w:rsidP="00F326E5">
      <w:pPr>
        <w:numPr>
          <w:ilvl w:val="0"/>
          <w:numId w:val="3"/>
        </w:numPr>
        <w:spacing w:before="100" w:beforeAutospacing="1" w:after="100" w:afterAutospacing="1" w:line="240" w:lineRule="auto"/>
        <w:rPr>
          <w:rFonts w:ascii="Times New Roman" w:eastAsia="Times New Roman" w:hAnsi="Times New Roman"/>
          <w:sz w:val="24"/>
          <w:szCs w:val="24"/>
        </w:rPr>
      </w:pPr>
      <w:r w:rsidRPr="00E658E1">
        <w:rPr>
          <w:rFonts w:ascii="Times New Roman" w:eastAsia="Times New Roman" w:hAnsi="Times New Roman"/>
          <w:sz w:val="24"/>
          <w:szCs w:val="24"/>
        </w:rPr>
        <w:t>payments for unused paid leave, including paid sick leave;</w:t>
      </w:r>
    </w:p>
    <w:p w14:paraId="348ABE9F" w14:textId="77777777" w:rsidR="00F326E5" w:rsidRPr="00E658E1" w:rsidRDefault="00F326E5" w:rsidP="00F326E5">
      <w:pPr>
        <w:numPr>
          <w:ilvl w:val="0"/>
          <w:numId w:val="3"/>
        </w:numPr>
        <w:spacing w:before="100" w:beforeAutospacing="1" w:after="100" w:afterAutospacing="1" w:line="240" w:lineRule="auto"/>
        <w:rPr>
          <w:rFonts w:ascii="Times New Roman" w:eastAsia="Times New Roman" w:hAnsi="Times New Roman"/>
          <w:sz w:val="24"/>
          <w:szCs w:val="24"/>
        </w:rPr>
      </w:pPr>
      <w:r w:rsidRPr="00E658E1">
        <w:rPr>
          <w:rFonts w:ascii="Times New Roman" w:eastAsia="Times New Roman" w:hAnsi="Times New Roman"/>
          <w:sz w:val="24"/>
          <w:szCs w:val="24"/>
        </w:rPr>
        <w:t>reimbursed expenses, even if not incurred “solely” for the employer’s benefit;</w:t>
      </w:r>
    </w:p>
    <w:p w14:paraId="49BF994D" w14:textId="77777777" w:rsidR="00F326E5" w:rsidRPr="00E658E1" w:rsidRDefault="00F326E5" w:rsidP="00F326E5">
      <w:pPr>
        <w:numPr>
          <w:ilvl w:val="0"/>
          <w:numId w:val="3"/>
        </w:numPr>
        <w:spacing w:before="100" w:beforeAutospacing="1" w:after="100" w:afterAutospacing="1" w:line="240" w:lineRule="auto"/>
        <w:rPr>
          <w:rFonts w:ascii="Times New Roman" w:eastAsia="Times New Roman" w:hAnsi="Times New Roman"/>
          <w:sz w:val="24"/>
          <w:szCs w:val="24"/>
        </w:rPr>
      </w:pPr>
      <w:r w:rsidRPr="00E658E1">
        <w:rPr>
          <w:rFonts w:ascii="Times New Roman" w:eastAsia="Times New Roman" w:hAnsi="Times New Roman"/>
          <w:sz w:val="24"/>
          <w:szCs w:val="24"/>
        </w:rPr>
        <w:t>reimbursed travel expenses that do not exceed the maximum travel reimbursement permitted under the Federal Travel Regulation System regulations and that satisfy other regulatory requirements;</w:t>
      </w:r>
    </w:p>
    <w:p w14:paraId="5668FA02" w14:textId="77777777" w:rsidR="00F326E5" w:rsidRPr="00E658E1" w:rsidRDefault="00F326E5" w:rsidP="00F326E5">
      <w:pPr>
        <w:numPr>
          <w:ilvl w:val="0"/>
          <w:numId w:val="3"/>
        </w:numPr>
        <w:spacing w:before="100" w:beforeAutospacing="1" w:after="100" w:afterAutospacing="1" w:line="240" w:lineRule="auto"/>
        <w:rPr>
          <w:rFonts w:ascii="Times New Roman" w:eastAsia="Times New Roman" w:hAnsi="Times New Roman"/>
          <w:sz w:val="24"/>
          <w:szCs w:val="24"/>
        </w:rPr>
      </w:pPr>
      <w:r w:rsidRPr="00E658E1">
        <w:rPr>
          <w:rFonts w:ascii="Times New Roman" w:eastAsia="Times New Roman" w:hAnsi="Times New Roman"/>
          <w:sz w:val="24"/>
          <w:szCs w:val="24"/>
        </w:rPr>
        <w:t>discretionary bonuses;</w:t>
      </w:r>
    </w:p>
    <w:p w14:paraId="144C132B" w14:textId="77777777" w:rsidR="00F326E5" w:rsidRPr="00E658E1" w:rsidRDefault="00F326E5" w:rsidP="00F326E5">
      <w:pPr>
        <w:numPr>
          <w:ilvl w:val="0"/>
          <w:numId w:val="3"/>
        </w:numPr>
        <w:spacing w:before="100" w:beforeAutospacing="1" w:after="100" w:afterAutospacing="1" w:line="240" w:lineRule="auto"/>
        <w:rPr>
          <w:rFonts w:ascii="Times New Roman" w:eastAsia="Times New Roman" w:hAnsi="Times New Roman"/>
          <w:sz w:val="24"/>
          <w:szCs w:val="24"/>
        </w:rPr>
      </w:pPr>
      <w:r w:rsidRPr="00E658E1">
        <w:rPr>
          <w:rFonts w:ascii="Times New Roman" w:eastAsia="Times New Roman" w:hAnsi="Times New Roman"/>
          <w:sz w:val="24"/>
          <w:szCs w:val="24"/>
        </w:rPr>
        <w:t>Benefit plans, including accident, unemployment, and legal services; and</w:t>
      </w:r>
    </w:p>
    <w:p w14:paraId="45881670" w14:textId="77777777" w:rsidR="00F326E5" w:rsidRPr="00E658E1" w:rsidRDefault="00F326E5" w:rsidP="00F326E5">
      <w:pPr>
        <w:numPr>
          <w:ilvl w:val="0"/>
          <w:numId w:val="3"/>
        </w:numPr>
        <w:spacing w:before="100" w:beforeAutospacing="1" w:after="100" w:afterAutospacing="1" w:line="240" w:lineRule="auto"/>
        <w:rPr>
          <w:rFonts w:ascii="Times New Roman" w:eastAsia="Times New Roman" w:hAnsi="Times New Roman"/>
          <w:sz w:val="24"/>
          <w:szCs w:val="24"/>
        </w:rPr>
      </w:pPr>
      <w:r w:rsidRPr="00E658E1">
        <w:rPr>
          <w:rFonts w:ascii="Times New Roman" w:eastAsia="Times New Roman" w:hAnsi="Times New Roman"/>
          <w:sz w:val="24"/>
          <w:szCs w:val="24"/>
        </w:rPr>
        <w:t xml:space="preserve">Tuition programs, such as reimbursement programs or repayment of educational </w:t>
      </w:r>
      <w:proofErr w:type="gramStart"/>
      <w:r w:rsidRPr="00E658E1">
        <w:rPr>
          <w:rFonts w:ascii="Times New Roman" w:eastAsia="Times New Roman" w:hAnsi="Times New Roman"/>
          <w:sz w:val="24"/>
          <w:szCs w:val="24"/>
        </w:rPr>
        <w:t>deb</w:t>
      </w:r>
      <w:proofErr w:type="gramEnd"/>
    </w:p>
    <w:p w14:paraId="10D19AE9" w14:textId="77777777" w:rsidR="00F326E5" w:rsidRPr="00E658E1" w:rsidRDefault="00F326E5" w:rsidP="00F326E5">
      <w:pPr>
        <w:spacing w:before="100" w:beforeAutospacing="1" w:after="100" w:afterAutospacing="1"/>
        <w:ind w:left="360"/>
        <w:rPr>
          <w:rFonts w:ascii="Times New Roman" w:eastAsia="Times New Roman" w:hAnsi="Times New Roman"/>
          <w:sz w:val="24"/>
          <w:szCs w:val="24"/>
        </w:rPr>
      </w:pPr>
      <w:r w:rsidRPr="00E658E1">
        <w:rPr>
          <w:rFonts w:ascii="Times New Roman" w:eastAsia="Times New Roman" w:hAnsi="Times New Roman"/>
          <w:sz w:val="24"/>
          <w:szCs w:val="24"/>
        </w:rPr>
        <w:t xml:space="preserve">The proposed rule also includes additional clarification about other forms of compensation, including payment for meal </w:t>
      </w:r>
      <w:proofErr w:type="gramStart"/>
      <w:r w:rsidRPr="00E658E1">
        <w:rPr>
          <w:rFonts w:ascii="Times New Roman" w:eastAsia="Times New Roman" w:hAnsi="Times New Roman"/>
          <w:sz w:val="24"/>
          <w:szCs w:val="24"/>
        </w:rPr>
        <w:t>periods, ‘</w:t>
      </w:r>
      <w:proofErr w:type="gramEnd"/>
      <w:r w:rsidRPr="00E658E1">
        <w:rPr>
          <w:rFonts w:ascii="Times New Roman" w:eastAsia="Times New Roman" w:hAnsi="Times New Roman"/>
          <w:sz w:val="24"/>
          <w:szCs w:val="24"/>
        </w:rPr>
        <w:t>call back’ pay, and others.</w:t>
      </w:r>
    </w:p>
    <w:p w14:paraId="5430966A" w14:textId="77777777" w:rsidR="00F326E5" w:rsidRPr="00E658E1" w:rsidRDefault="00F326E5" w:rsidP="00F326E5">
      <w:pPr>
        <w:spacing w:before="100" w:beforeAutospacing="1" w:after="100" w:afterAutospacing="1"/>
        <w:rPr>
          <w:rFonts w:ascii="Times New Roman" w:eastAsia="Times New Roman" w:hAnsi="Times New Roman"/>
          <w:b/>
          <w:sz w:val="24"/>
          <w:szCs w:val="24"/>
        </w:rPr>
      </w:pPr>
      <w:r w:rsidRPr="00E658E1">
        <w:rPr>
          <w:rFonts w:ascii="Times New Roman" w:eastAsia="Times New Roman" w:hAnsi="Times New Roman"/>
          <w:b/>
          <w:sz w:val="24"/>
          <w:szCs w:val="24"/>
        </w:rPr>
        <w:t xml:space="preserve">Legal Lessons Learned:  This new rule will hopefully provide more clarification for Fire &amp; EMS Departments and avoid litigation about “regular rate” of pay. </w:t>
      </w:r>
    </w:p>
    <w:p w14:paraId="67073C11" w14:textId="77777777" w:rsidR="00F326E5" w:rsidRPr="00E658E1" w:rsidRDefault="00F326E5" w:rsidP="00F326E5">
      <w:pPr>
        <w:spacing w:before="100" w:beforeAutospacing="1" w:after="100" w:afterAutospacing="1"/>
        <w:ind w:left="720"/>
        <w:rPr>
          <w:rFonts w:ascii="Times New Roman" w:hAnsi="Times New Roman"/>
          <w:sz w:val="24"/>
          <w:szCs w:val="24"/>
        </w:rPr>
      </w:pPr>
      <w:r w:rsidRPr="00E658E1">
        <w:rPr>
          <w:rFonts w:ascii="Times New Roman" w:eastAsia="Times New Roman" w:hAnsi="Times New Roman"/>
          <w:sz w:val="24"/>
          <w:szCs w:val="24"/>
        </w:rPr>
        <w:t xml:space="preserve">See, for example, </w:t>
      </w:r>
      <w:proofErr w:type="spellStart"/>
      <w:r w:rsidRPr="00E658E1">
        <w:rPr>
          <w:rFonts w:ascii="Times New Roman" w:eastAsia="Times New Roman" w:hAnsi="Times New Roman"/>
          <w:sz w:val="24"/>
          <w:szCs w:val="24"/>
        </w:rPr>
        <w:t>DoL</w:t>
      </w:r>
      <w:proofErr w:type="spellEnd"/>
      <w:r w:rsidRPr="00E658E1">
        <w:rPr>
          <w:rFonts w:ascii="Times New Roman" w:eastAsia="Times New Roman" w:hAnsi="Times New Roman"/>
          <w:sz w:val="24"/>
          <w:szCs w:val="24"/>
        </w:rPr>
        <w:t xml:space="preserve"> Advisory Opinion </w:t>
      </w:r>
      <w:r w:rsidRPr="00E658E1">
        <w:rPr>
          <w:rFonts w:ascii="Times New Roman" w:hAnsi="Times New Roman"/>
          <w:sz w:val="24"/>
          <w:szCs w:val="24"/>
        </w:rPr>
        <w:t xml:space="preserve">FLSA2018-5 (Jan. 5, 2018) regarding a Fire Department’s calculation of “regular rate of pay” concerning annual bonuses, such as certification pay, education pay, and longevity pay: </w:t>
      </w:r>
      <w:hyperlink r:id="rId1896" w:history="1">
        <w:r w:rsidRPr="00E658E1">
          <w:rPr>
            <w:rStyle w:val="Hyperlink"/>
            <w:rFonts w:ascii="Times New Roman" w:hAnsi="Times New Roman"/>
            <w:sz w:val="24"/>
            <w:szCs w:val="24"/>
          </w:rPr>
          <w:t>https://www.dol.gov/whd/opinion/FLSA/2018/2018_01_05_05_FLSA.pdf</w:t>
        </w:r>
      </w:hyperlink>
      <w:r w:rsidRPr="00E658E1">
        <w:rPr>
          <w:rFonts w:ascii="Times New Roman" w:hAnsi="Times New Roman"/>
          <w:sz w:val="24"/>
          <w:szCs w:val="24"/>
        </w:rPr>
        <w:t xml:space="preserve"> </w:t>
      </w:r>
      <w:bookmarkEnd w:id="409"/>
    </w:p>
    <w:p w14:paraId="350BF387" w14:textId="77777777" w:rsidR="005B0774" w:rsidRDefault="005B0774" w:rsidP="00F326E5">
      <w:pPr>
        <w:rPr>
          <w:rFonts w:ascii="Arial Black" w:hAnsi="Arial Black"/>
          <w:b/>
          <w:sz w:val="24"/>
          <w:szCs w:val="24"/>
        </w:rPr>
      </w:pPr>
    </w:p>
    <w:p w14:paraId="3E4F953D" w14:textId="5D30D298" w:rsidR="00F326E5" w:rsidRDefault="00DE0F03" w:rsidP="00F326E5">
      <w:pPr>
        <w:rPr>
          <w:rFonts w:ascii="Arial Black" w:hAnsi="Arial Black"/>
          <w:sz w:val="40"/>
          <w:szCs w:val="40"/>
        </w:rPr>
      </w:pPr>
      <w:r>
        <w:rPr>
          <w:rFonts w:ascii="Arial Black" w:hAnsi="Arial Black"/>
          <w:b/>
          <w:sz w:val="24"/>
          <w:szCs w:val="24"/>
        </w:rPr>
        <w:t>11</w:t>
      </w:r>
      <w:r w:rsidRPr="00EF1133">
        <w:rPr>
          <w:rFonts w:ascii="Arial Black" w:hAnsi="Arial Black"/>
          <w:b/>
          <w:sz w:val="24"/>
          <w:szCs w:val="24"/>
        </w:rPr>
        <w:t>-</w:t>
      </w:r>
      <w:r>
        <w:rPr>
          <w:rFonts w:ascii="Arial Black" w:hAnsi="Arial Black"/>
          <w:b/>
          <w:sz w:val="24"/>
          <w:szCs w:val="24"/>
        </w:rPr>
        <w:t>3</w:t>
      </w:r>
    </w:p>
    <w:p w14:paraId="0E1D1C01" w14:textId="136F4CB6" w:rsidR="00F326E5" w:rsidRDefault="00F326E5" w:rsidP="00F326E5">
      <w:pPr>
        <w:pStyle w:val="NoSpacing"/>
        <w:rPr>
          <w:rFonts w:ascii="Arial Black" w:eastAsia="Times New Roman" w:hAnsi="Arial Black"/>
          <w:sz w:val="28"/>
          <w:szCs w:val="28"/>
        </w:rPr>
      </w:pPr>
      <w:bookmarkStart w:id="410" w:name="_Hlk7345530"/>
      <w:r>
        <w:rPr>
          <w:rFonts w:ascii="Arial Black" w:eastAsia="Times New Roman" w:hAnsi="Arial Black"/>
          <w:sz w:val="28"/>
          <w:szCs w:val="28"/>
        </w:rPr>
        <w:t xml:space="preserve">NC: FLSA – NONPROFIT, PRIVATE VOL. FD – NOT ELIGIBLE OVERTIME EXEMPTION – NOT “PUBLIC AGENCY” </w:t>
      </w:r>
    </w:p>
    <w:p w14:paraId="0DC819D9" w14:textId="77777777" w:rsidR="00F326E5" w:rsidRPr="00E658E1" w:rsidRDefault="00F326E5" w:rsidP="00F326E5">
      <w:pPr>
        <w:rPr>
          <w:rFonts w:ascii="Times New Roman" w:eastAsia="Times New Roman" w:hAnsi="Times New Roman"/>
          <w:sz w:val="24"/>
          <w:szCs w:val="24"/>
        </w:rPr>
      </w:pPr>
      <w:r w:rsidRPr="00E658E1">
        <w:rPr>
          <w:rFonts w:ascii="Times New Roman" w:eastAsia="Times New Roman" w:hAnsi="Times New Roman"/>
          <w:sz w:val="24"/>
          <w:szCs w:val="24"/>
        </w:rPr>
        <w:lastRenderedPageBreak/>
        <w:t xml:space="preserve">On Nov. 8, 2018, the U.S. Department of Labor issued Opinion Letter FLSA 2018-24, concluding: “Based on the facts you have provided, the nonprofit, privately owned fire departments that you describe are not public agencies within the meaning of Section 7(k) and are therefore not entitled to its partial overtime exemption.” </w:t>
      </w:r>
      <w:hyperlink r:id="rId1897" w:history="1">
        <w:r w:rsidRPr="00E658E1">
          <w:rPr>
            <w:rStyle w:val="Hyperlink"/>
            <w:rFonts w:ascii="Times New Roman" w:hAnsi="Times New Roman"/>
            <w:sz w:val="24"/>
            <w:szCs w:val="24"/>
          </w:rPr>
          <w:t>https://www.dol.gov/whd/opinion/FLSA/2018/2018_11_08_24_FLSA.pdf</w:t>
        </w:r>
      </w:hyperlink>
      <w:r w:rsidRPr="00E658E1">
        <w:rPr>
          <w:rFonts w:ascii="Times New Roman" w:eastAsia="Times New Roman" w:hAnsi="Times New Roman"/>
          <w:sz w:val="24"/>
          <w:szCs w:val="24"/>
        </w:rPr>
        <w:t xml:space="preserve"> </w:t>
      </w:r>
    </w:p>
    <w:p w14:paraId="5094583F" w14:textId="77777777" w:rsidR="00F326E5" w:rsidRPr="00E658E1" w:rsidRDefault="00F326E5" w:rsidP="00F326E5">
      <w:pPr>
        <w:jc w:val="both"/>
        <w:rPr>
          <w:rFonts w:ascii="Times New Roman" w:eastAsia="Times New Roman" w:hAnsi="Times New Roman"/>
          <w:b/>
          <w:sz w:val="24"/>
          <w:szCs w:val="24"/>
        </w:rPr>
      </w:pPr>
      <w:r w:rsidRPr="00E658E1">
        <w:rPr>
          <w:rFonts w:ascii="Times New Roman" w:eastAsia="Times New Roman" w:hAnsi="Times New Roman"/>
          <w:b/>
          <w:sz w:val="24"/>
          <w:szCs w:val="24"/>
        </w:rPr>
        <w:t xml:space="preserve">Legal Lessons Learned:  When in doubt, it is helpful to seek an “official” Opinion Letter;   helps avoid litigation. These North Carolina nonprofit FDs must therefore continue to  pay overtime to employees working over 40 hours in a work week.  They don’t enjoy the “7(k) exemption” which allows public-sector FDs, for example, to pay overtime after 212 hours in a 28-day pay period (after 53 hours in a work week). </w:t>
      </w:r>
    </w:p>
    <w:p w14:paraId="131B33C0" w14:textId="77777777" w:rsidR="00F326E5" w:rsidRPr="00071B42" w:rsidRDefault="00F326E5" w:rsidP="00F326E5">
      <w:pPr>
        <w:ind w:firstLine="720"/>
        <w:jc w:val="both"/>
        <w:rPr>
          <w:rFonts w:eastAsia="Times New Roman"/>
          <w:sz w:val="24"/>
          <w:szCs w:val="24"/>
        </w:rPr>
      </w:pPr>
      <w:r w:rsidRPr="00071B42">
        <w:rPr>
          <w:rFonts w:eastAsia="Times New Roman"/>
          <w:sz w:val="24"/>
          <w:szCs w:val="24"/>
        </w:rPr>
        <w:t xml:space="preserve">See IAFF Manual (page 8); court cases involving 7k exemption: </w:t>
      </w:r>
    </w:p>
    <w:p w14:paraId="159D0912" w14:textId="77777777" w:rsidR="00F326E5" w:rsidRPr="00071B42" w:rsidRDefault="00F326E5" w:rsidP="00F326E5">
      <w:pPr>
        <w:ind w:firstLine="720"/>
        <w:jc w:val="both"/>
        <w:rPr>
          <w:rFonts w:eastAsia="Times New Roman"/>
          <w:sz w:val="24"/>
          <w:szCs w:val="24"/>
        </w:rPr>
      </w:pPr>
      <w:hyperlink r:id="rId1898" w:history="1">
        <w:r w:rsidRPr="00071B42">
          <w:rPr>
            <w:rStyle w:val="Hyperlink"/>
            <w:sz w:val="24"/>
            <w:szCs w:val="24"/>
          </w:rPr>
          <w:t>http://www.iaff.org/Legal/PDF/1996FLSAManual.pdf</w:t>
        </w:r>
      </w:hyperlink>
      <w:r w:rsidRPr="00071B42">
        <w:rPr>
          <w:rFonts w:eastAsia="Times New Roman"/>
          <w:sz w:val="24"/>
          <w:szCs w:val="24"/>
        </w:rPr>
        <w:t xml:space="preserve"> </w:t>
      </w:r>
    </w:p>
    <w:bookmarkEnd w:id="410"/>
    <w:p w14:paraId="4471B37B" w14:textId="77777777" w:rsidR="00F326E5" w:rsidRPr="00071B42" w:rsidRDefault="00F326E5" w:rsidP="00F326E5">
      <w:pPr>
        <w:rPr>
          <w:rFonts w:eastAsia="Times New Roman"/>
          <w:sz w:val="24"/>
          <w:szCs w:val="24"/>
        </w:rPr>
      </w:pPr>
    </w:p>
    <w:p w14:paraId="6C6E99A8" w14:textId="77777777" w:rsidR="00F326E5" w:rsidRDefault="00F326E5" w:rsidP="00F326E5">
      <w:pPr>
        <w:pStyle w:val="NoSpacing"/>
        <w:rPr>
          <w:sz w:val="24"/>
          <w:szCs w:val="24"/>
        </w:rPr>
      </w:pPr>
    </w:p>
    <w:p w14:paraId="365AB88B" w14:textId="6E96CDB6" w:rsidR="00DE0F03" w:rsidRDefault="00DE0F03" w:rsidP="00DE0F03">
      <w:pPr>
        <w:rPr>
          <w:sz w:val="24"/>
          <w:szCs w:val="24"/>
        </w:rPr>
      </w:pPr>
      <w:r>
        <w:rPr>
          <w:rFonts w:ascii="Arial Black" w:hAnsi="Arial Black"/>
          <w:b/>
          <w:sz w:val="24"/>
          <w:szCs w:val="24"/>
        </w:rPr>
        <w:t>11</w:t>
      </w:r>
      <w:r w:rsidRPr="00EF1133">
        <w:rPr>
          <w:rFonts w:ascii="Arial Black" w:hAnsi="Arial Black"/>
          <w:b/>
          <w:sz w:val="24"/>
          <w:szCs w:val="24"/>
        </w:rPr>
        <w:t>-</w:t>
      </w:r>
      <w:r>
        <w:rPr>
          <w:rFonts w:ascii="Arial Black" w:hAnsi="Arial Black"/>
          <w:b/>
          <w:sz w:val="24"/>
          <w:szCs w:val="24"/>
        </w:rPr>
        <w:t>2</w:t>
      </w:r>
    </w:p>
    <w:p w14:paraId="6A09C022" w14:textId="77777777" w:rsidR="00F326E5" w:rsidRDefault="00F326E5" w:rsidP="00F326E5">
      <w:pPr>
        <w:pStyle w:val="NoSpacing"/>
        <w:rPr>
          <w:sz w:val="24"/>
          <w:szCs w:val="24"/>
        </w:rPr>
      </w:pPr>
    </w:p>
    <w:p w14:paraId="131CCD2B" w14:textId="2FDE99A4" w:rsidR="00F326E5" w:rsidRDefault="00F326E5" w:rsidP="00F326E5">
      <w:pPr>
        <w:pStyle w:val="NoSpacing"/>
        <w:rPr>
          <w:b/>
          <w:sz w:val="24"/>
          <w:szCs w:val="24"/>
        </w:rPr>
      </w:pPr>
      <w:bookmarkStart w:id="411" w:name="_Hlk7345571"/>
      <w:r w:rsidRPr="00B018B0">
        <w:rPr>
          <w:rFonts w:ascii="Arial Black" w:hAnsi="Arial Black"/>
          <w:b/>
          <w:sz w:val="28"/>
          <w:szCs w:val="28"/>
        </w:rPr>
        <w:t xml:space="preserve">NY:  MEAL ALLOWANCES FOR FDNY EMS – MUST BE INCLUDED IN CALCULATING </w:t>
      </w:r>
      <w:r>
        <w:rPr>
          <w:rFonts w:ascii="Arial Black" w:hAnsi="Arial Black"/>
          <w:b/>
          <w:sz w:val="28"/>
          <w:szCs w:val="28"/>
        </w:rPr>
        <w:t>“REGUL</w:t>
      </w:r>
      <w:r w:rsidR="000F0910">
        <w:rPr>
          <w:rFonts w:ascii="Arial Black" w:hAnsi="Arial Black"/>
          <w:b/>
          <w:sz w:val="28"/>
          <w:szCs w:val="28"/>
        </w:rPr>
        <w:t>A</w:t>
      </w:r>
      <w:r>
        <w:rPr>
          <w:rFonts w:ascii="Arial Black" w:hAnsi="Arial Black"/>
          <w:b/>
          <w:sz w:val="28"/>
          <w:szCs w:val="28"/>
        </w:rPr>
        <w:t xml:space="preserve">R </w:t>
      </w:r>
      <w:r w:rsidRPr="00B018B0">
        <w:rPr>
          <w:rFonts w:ascii="Arial Black" w:hAnsi="Arial Black"/>
          <w:b/>
          <w:sz w:val="28"/>
          <w:szCs w:val="28"/>
        </w:rPr>
        <w:t>RATE OF PAY</w:t>
      </w:r>
      <w:r>
        <w:rPr>
          <w:rFonts w:ascii="Arial Black" w:hAnsi="Arial Black"/>
          <w:b/>
          <w:sz w:val="28"/>
          <w:szCs w:val="28"/>
        </w:rPr>
        <w:t>”</w:t>
      </w:r>
    </w:p>
    <w:p w14:paraId="52F7A4EA" w14:textId="77777777" w:rsidR="00F326E5" w:rsidRPr="00E658E1" w:rsidRDefault="00F326E5" w:rsidP="00F326E5">
      <w:pPr>
        <w:pStyle w:val="NoSpacing"/>
        <w:rPr>
          <w:rFonts w:ascii="Times New Roman" w:hAnsi="Times New Roman"/>
          <w:sz w:val="24"/>
          <w:szCs w:val="24"/>
        </w:rPr>
      </w:pPr>
      <w:r w:rsidRPr="00E658E1">
        <w:rPr>
          <w:rFonts w:ascii="Times New Roman" w:hAnsi="Times New Roman"/>
          <w:sz w:val="24"/>
          <w:szCs w:val="24"/>
        </w:rPr>
        <w:t xml:space="preserve">On March 26, 2018, in </w:t>
      </w:r>
      <w:r w:rsidRPr="00E658E1">
        <w:rPr>
          <w:rFonts w:ascii="Times New Roman" w:hAnsi="Times New Roman"/>
          <w:sz w:val="24"/>
          <w:szCs w:val="24"/>
          <w:u w:val="single"/>
        </w:rPr>
        <w:t>Chaz Perry et al. v. City of New York</w:t>
      </w:r>
      <w:r w:rsidRPr="00E658E1">
        <w:rPr>
          <w:rFonts w:ascii="Times New Roman" w:hAnsi="Times New Roman"/>
          <w:sz w:val="24"/>
          <w:szCs w:val="24"/>
        </w:rPr>
        <w:t xml:space="preserve">, U.S. District Court for Southern District of New York, Federal District Judge Vernon S. Broderick held that the </w:t>
      </w:r>
      <w:proofErr w:type="gramStart"/>
      <w:r w:rsidRPr="00E658E1">
        <w:rPr>
          <w:rFonts w:ascii="Times New Roman" w:hAnsi="Times New Roman"/>
          <w:sz w:val="24"/>
          <w:szCs w:val="24"/>
        </w:rPr>
        <w:t>City</w:t>
      </w:r>
      <w:proofErr w:type="gramEnd"/>
      <w:r w:rsidRPr="00E658E1">
        <w:rPr>
          <w:rFonts w:ascii="Times New Roman" w:hAnsi="Times New Roman"/>
          <w:sz w:val="24"/>
          <w:szCs w:val="24"/>
        </w:rPr>
        <w:t xml:space="preserve"> must include meal allowances when calculating the “regular rate” of pay for overtime, just as City does for night shift differential pay.  In this lawsuit by over 2,600 FDNY paramedics, EMTs and Fire Inspectors, other claims in the lawsuit, including compensable work performed before and after Plaintiffs’ shifts, will go to trial. </w:t>
      </w:r>
      <w:hyperlink r:id="rId1899" w:history="1">
        <w:r w:rsidRPr="00E658E1">
          <w:rPr>
            <w:rStyle w:val="Hyperlink"/>
            <w:rFonts w:ascii="Times New Roman" w:hAnsi="Times New Roman"/>
            <w:sz w:val="24"/>
            <w:szCs w:val="24"/>
          </w:rPr>
          <w:t>https://law.justia.com/cases/federal/district-courts/new-york/nysdce/1:2013cv01015/407972/168/</w:t>
        </w:r>
      </w:hyperlink>
      <w:r w:rsidRPr="00E658E1">
        <w:rPr>
          <w:rFonts w:ascii="Times New Roman" w:hAnsi="Times New Roman"/>
          <w:sz w:val="24"/>
          <w:szCs w:val="24"/>
        </w:rPr>
        <w:t xml:space="preserve"> </w:t>
      </w:r>
    </w:p>
    <w:p w14:paraId="351228D4" w14:textId="77777777" w:rsidR="00E658E1" w:rsidRDefault="00E658E1" w:rsidP="00F326E5">
      <w:pPr>
        <w:rPr>
          <w:rFonts w:ascii="Times New Roman" w:hAnsi="Times New Roman"/>
          <w:b/>
          <w:sz w:val="24"/>
          <w:szCs w:val="24"/>
        </w:rPr>
      </w:pPr>
    </w:p>
    <w:p w14:paraId="017E8AFD" w14:textId="64B2A934" w:rsidR="00F326E5" w:rsidRPr="00E658E1" w:rsidRDefault="00F326E5" w:rsidP="00F326E5">
      <w:pPr>
        <w:rPr>
          <w:rFonts w:ascii="Times New Roman" w:hAnsi="Times New Roman"/>
          <w:b/>
          <w:sz w:val="24"/>
          <w:szCs w:val="24"/>
        </w:rPr>
      </w:pPr>
      <w:r w:rsidRPr="00E658E1">
        <w:rPr>
          <w:rFonts w:ascii="Times New Roman" w:hAnsi="Times New Roman"/>
          <w:b/>
          <w:sz w:val="24"/>
          <w:szCs w:val="24"/>
        </w:rPr>
        <w:t xml:space="preserve">Legal Lessons Learned:  Overtime pay is calculated by not only your hourly rate, but also other bonuses received, such as paramedic </w:t>
      </w:r>
      <w:proofErr w:type="gramStart"/>
      <w:r w:rsidRPr="00E658E1">
        <w:rPr>
          <w:rFonts w:ascii="Times New Roman" w:hAnsi="Times New Roman"/>
          <w:b/>
          <w:sz w:val="24"/>
          <w:szCs w:val="24"/>
        </w:rPr>
        <w:t>bonus</w:t>
      </w:r>
      <w:proofErr w:type="gramEnd"/>
      <w:r w:rsidRPr="00E658E1">
        <w:rPr>
          <w:rFonts w:ascii="Times New Roman" w:hAnsi="Times New Roman"/>
          <w:b/>
          <w:sz w:val="24"/>
          <w:szCs w:val="24"/>
        </w:rPr>
        <w:t xml:space="preserve"> and night shift differential. </w:t>
      </w:r>
    </w:p>
    <w:p w14:paraId="6EA6C78D" w14:textId="225D146E" w:rsidR="00F326E5" w:rsidRPr="00E658E1" w:rsidRDefault="00F326E5" w:rsidP="00F326E5">
      <w:pPr>
        <w:ind w:left="720"/>
        <w:rPr>
          <w:rFonts w:ascii="Times New Roman" w:hAnsi="Times New Roman"/>
          <w:sz w:val="24"/>
          <w:szCs w:val="24"/>
        </w:rPr>
      </w:pPr>
      <w:r w:rsidRPr="00E658E1">
        <w:rPr>
          <w:rFonts w:ascii="Times New Roman" w:hAnsi="Times New Roman"/>
          <w:sz w:val="24"/>
          <w:szCs w:val="24"/>
        </w:rPr>
        <w:t xml:space="preserve">See U.S. Department of Labor, Fact Sheet No. 23, and regulations. </w:t>
      </w:r>
      <w:hyperlink r:id="rId1900" w:history="1">
        <w:r w:rsidRPr="00E658E1">
          <w:rPr>
            <w:rStyle w:val="Hyperlink"/>
            <w:rFonts w:ascii="Times New Roman" w:hAnsi="Times New Roman"/>
            <w:sz w:val="24"/>
            <w:szCs w:val="24"/>
          </w:rPr>
          <w:t>file:///C:/Users/lawre/AppData/Local/Microsoft/Windows/INetCache/IE/CTCRXJ99/whdfs23.pdf</w:t>
        </w:r>
      </w:hyperlink>
      <w:r w:rsidRPr="00E658E1">
        <w:rPr>
          <w:rFonts w:ascii="Times New Roman" w:hAnsi="Times New Roman"/>
          <w:sz w:val="24"/>
          <w:szCs w:val="24"/>
        </w:rPr>
        <w:t xml:space="preserve">  </w:t>
      </w:r>
    </w:p>
    <w:p w14:paraId="6EA47649" w14:textId="77777777" w:rsidR="00DE0F03" w:rsidRPr="00E658E1" w:rsidRDefault="00DE0F03" w:rsidP="00DE0F03">
      <w:pPr>
        <w:rPr>
          <w:rFonts w:ascii="Times New Roman" w:hAnsi="Times New Roman"/>
          <w:b/>
          <w:sz w:val="24"/>
          <w:szCs w:val="24"/>
        </w:rPr>
      </w:pPr>
    </w:p>
    <w:p w14:paraId="5BEB22CC" w14:textId="7C98027D" w:rsidR="00DE0F03" w:rsidRDefault="00DE0F03" w:rsidP="00DE0F03">
      <w:pPr>
        <w:rPr>
          <w:sz w:val="24"/>
          <w:szCs w:val="24"/>
        </w:rPr>
      </w:pPr>
      <w:r>
        <w:rPr>
          <w:rFonts w:ascii="Arial Black" w:hAnsi="Arial Black"/>
          <w:b/>
          <w:sz w:val="24"/>
          <w:szCs w:val="24"/>
        </w:rPr>
        <w:t>11</w:t>
      </w:r>
      <w:r w:rsidRPr="00EF1133">
        <w:rPr>
          <w:rFonts w:ascii="Arial Black" w:hAnsi="Arial Black"/>
          <w:b/>
          <w:sz w:val="24"/>
          <w:szCs w:val="24"/>
        </w:rPr>
        <w:t>-1</w:t>
      </w:r>
    </w:p>
    <w:p w14:paraId="7FE50A4C" w14:textId="09B8F2E9" w:rsidR="00F326E5" w:rsidRPr="0000463F" w:rsidRDefault="00F326E5" w:rsidP="00F326E5">
      <w:pPr>
        <w:rPr>
          <w:rFonts w:ascii="Arial Black" w:hAnsi="Arial Black"/>
          <w:sz w:val="28"/>
          <w:szCs w:val="28"/>
        </w:rPr>
      </w:pPr>
      <w:bookmarkStart w:id="412" w:name="_Hlk7345626"/>
      <w:bookmarkEnd w:id="411"/>
      <w:r w:rsidRPr="0000463F">
        <w:rPr>
          <w:rFonts w:ascii="Arial Black" w:hAnsi="Arial Black"/>
          <w:sz w:val="28"/>
          <w:szCs w:val="28"/>
        </w:rPr>
        <w:t xml:space="preserve">U.S. </w:t>
      </w:r>
      <w:r>
        <w:rPr>
          <w:rFonts w:ascii="Arial Black" w:hAnsi="Arial Black"/>
          <w:sz w:val="28"/>
          <w:szCs w:val="28"/>
        </w:rPr>
        <w:t xml:space="preserve">DOL:  FD CONTRACTS WITH PRIVATE COMPANY FOR EMS – </w:t>
      </w:r>
      <w:r w:rsidR="008F1BBB">
        <w:rPr>
          <w:rFonts w:ascii="Arial Black" w:hAnsi="Arial Black"/>
          <w:sz w:val="28"/>
          <w:szCs w:val="28"/>
        </w:rPr>
        <w:t xml:space="preserve">EMT </w:t>
      </w:r>
      <w:r>
        <w:rPr>
          <w:rFonts w:ascii="Arial Black" w:hAnsi="Arial Black"/>
          <w:sz w:val="28"/>
          <w:szCs w:val="28"/>
        </w:rPr>
        <w:t>CAN’T VOL</w:t>
      </w:r>
      <w:r w:rsidR="008F1BBB">
        <w:rPr>
          <w:rFonts w:ascii="Arial Black" w:hAnsi="Arial Black"/>
          <w:sz w:val="28"/>
          <w:szCs w:val="28"/>
        </w:rPr>
        <w:t xml:space="preserve">UNTEER </w:t>
      </w:r>
      <w:r>
        <w:rPr>
          <w:rFonts w:ascii="Arial Black" w:hAnsi="Arial Black"/>
          <w:sz w:val="28"/>
          <w:szCs w:val="28"/>
        </w:rPr>
        <w:t xml:space="preserve">IF </w:t>
      </w:r>
      <w:r w:rsidR="008F1BBB">
        <w:rPr>
          <w:rFonts w:ascii="Arial Black" w:hAnsi="Arial Black"/>
          <w:sz w:val="28"/>
          <w:szCs w:val="28"/>
        </w:rPr>
        <w:t xml:space="preserve">PERFORMING </w:t>
      </w:r>
      <w:r>
        <w:rPr>
          <w:rFonts w:ascii="Arial Black" w:hAnsi="Arial Black"/>
          <w:sz w:val="28"/>
          <w:szCs w:val="28"/>
        </w:rPr>
        <w:t>SAME SERVICES</w:t>
      </w:r>
    </w:p>
    <w:p w14:paraId="43E1D9EC" w14:textId="77777777" w:rsidR="00E658E1" w:rsidRDefault="00F326E5" w:rsidP="00F326E5">
      <w:pPr>
        <w:rPr>
          <w:rFonts w:ascii="Times New Roman" w:eastAsia="Times New Roman" w:hAnsi="Times New Roman"/>
          <w:sz w:val="24"/>
          <w:szCs w:val="24"/>
        </w:rPr>
      </w:pPr>
      <w:r w:rsidRPr="00E658E1">
        <w:rPr>
          <w:rFonts w:ascii="Times New Roman" w:eastAsia="Times New Roman" w:hAnsi="Times New Roman"/>
          <w:sz w:val="24"/>
          <w:szCs w:val="24"/>
        </w:rPr>
        <w:t xml:space="preserve">On Jan. 5, 2018, the U.S. Department of Labor issued Opinion Letter FLSA 2018-16, re-affirmed a 2009 Opinion Letter: </w:t>
      </w:r>
    </w:p>
    <w:p w14:paraId="10C90298" w14:textId="7265BBC8" w:rsidR="00F326E5" w:rsidRPr="00E658E1" w:rsidRDefault="00F326E5" w:rsidP="00E658E1">
      <w:pPr>
        <w:ind w:left="720"/>
        <w:rPr>
          <w:rFonts w:ascii="Times New Roman" w:eastAsia="Times New Roman" w:hAnsi="Times New Roman"/>
          <w:sz w:val="24"/>
          <w:szCs w:val="24"/>
        </w:rPr>
      </w:pPr>
      <w:r w:rsidRPr="00E658E1">
        <w:rPr>
          <w:rFonts w:ascii="Times New Roman" w:eastAsia="Times New Roman" w:hAnsi="Times New Roman"/>
          <w:sz w:val="24"/>
          <w:szCs w:val="24"/>
        </w:rPr>
        <w:t xml:space="preserve">“You [ask] whether the EMTs paid by the VFC’s contractor may continue to ‘volunteer’ as EMTs for the VFC without being compensated in accordance with the FLSA. The answer to this question depends on whether the VFC </w:t>
      </w:r>
      <w:proofErr w:type="gramStart"/>
      <w:r w:rsidRPr="00E658E1">
        <w:rPr>
          <w:rFonts w:ascii="Times New Roman" w:eastAsia="Times New Roman" w:hAnsi="Times New Roman"/>
          <w:sz w:val="24"/>
          <w:szCs w:val="24"/>
        </w:rPr>
        <w:t>is considered to be</w:t>
      </w:r>
      <w:proofErr w:type="gramEnd"/>
      <w:r w:rsidRPr="00E658E1">
        <w:rPr>
          <w:rFonts w:ascii="Times New Roman" w:eastAsia="Times New Roman" w:hAnsi="Times New Roman"/>
          <w:sz w:val="24"/>
          <w:szCs w:val="24"/>
        </w:rPr>
        <w:t xml:space="preserve"> an employer of the paid staff members. If the VFC is in fact </w:t>
      </w:r>
      <w:r w:rsidRPr="00E658E1">
        <w:rPr>
          <w:rFonts w:ascii="Times New Roman" w:eastAsia="Times New Roman" w:hAnsi="Times New Roman"/>
          <w:sz w:val="24"/>
          <w:szCs w:val="24"/>
        </w:rPr>
        <w:lastRenderedPageBreak/>
        <w:t xml:space="preserve">deemed to be an employer (along with the contractor) of the paid staff members, the EMTs could not ‘volunteer’ to the VFC the same services that they perform </w:t>
      </w:r>
      <w:proofErr w:type="gramStart"/>
      <w:r w:rsidRPr="00E658E1">
        <w:rPr>
          <w:rFonts w:ascii="Times New Roman" w:eastAsia="Times New Roman" w:hAnsi="Times New Roman"/>
          <w:sz w:val="24"/>
          <w:szCs w:val="24"/>
        </w:rPr>
        <w:t>for</w:t>
      </w:r>
      <w:proofErr w:type="gramEnd"/>
      <w:r w:rsidRPr="00E658E1">
        <w:rPr>
          <w:rFonts w:ascii="Times New Roman" w:eastAsia="Times New Roman" w:hAnsi="Times New Roman"/>
          <w:sz w:val="24"/>
          <w:szCs w:val="24"/>
        </w:rPr>
        <w:t xml:space="preserve"> pay for the contractor. </w:t>
      </w:r>
      <w:hyperlink r:id="rId1901" w:history="1">
        <w:r w:rsidRPr="00E658E1">
          <w:rPr>
            <w:rStyle w:val="Hyperlink"/>
            <w:rFonts w:ascii="Times New Roman" w:hAnsi="Times New Roman"/>
            <w:sz w:val="24"/>
            <w:szCs w:val="24"/>
          </w:rPr>
          <w:t>https://www.dol.gov/whd/opinion/FLSA/2018/2018_01_05_16_FLSA.pdf</w:t>
        </w:r>
      </w:hyperlink>
      <w:r w:rsidRPr="00E658E1">
        <w:rPr>
          <w:rFonts w:ascii="Times New Roman" w:eastAsia="Times New Roman" w:hAnsi="Times New Roman"/>
          <w:sz w:val="24"/>
          <w:szCs w:val="24"/>
        </w:rPr>
        <w:t xml:space="preserve"> </w:t>
      </w:r>
    </w:p>
    <w:p w14:paraId="4AAFD519" w14:textId="77777777" w:rsidR="00F44623" w:rsidRDefault="00F326E5" w:rsidP="00F326E5">
      <w:pPr>
        <w:rPr>
          <w:rFonts w:ascii="Times New Roman" w:eastAsia="Times New Roman" w:hAnsi="Times New Roman"/>
          <w:b/>
          <w:sz w:val="24"/>
          <w:szCs w:val="24"/>
        </w:rPr>
      </w:pPr>
      <w:r w:rsidRPr="00E658E1">
        <w:rPr>
          <w:rFonts w:ascii="Times New Roman" w:eastAsia="Times New Roman" w:hAnsi="Times New Roman"/>
          <w:b/>
          <w:sz w:val="24"/>
          <w:szCs w:val="24"/>
        </w:rPr>
        <w:t xml:space="preserve">Legal Lessons Learned: FLSA Opinion Letters are helpful, but as in this matter are not always definitive.  Fire &amp; EMS Departments are also encouraged to meet “face to face” with Wage &amp; Hour staff and get their informal </w:t>
      </w:r>
      <w:proofErr w:type="gramStart"/>
      <w:r w:rsidRPr="00E658E1">
        <w:rPr>
          <w:rFonts w:ascii="Times New Roman" w:eastAsia="Times New Roman" w:hAnsi="Times New Roman"/>
          <w:b/>
          <w:sz w:val="24"/>
          <w:szCs w:val="24"/>
        </w:rPr>
        <w:t xml:space="preserve">feedback, </w:t>
      </w:r>
      <w:r w:rsidR="00E658E1">
        <w:rPr>
          <w:rFonts w:ascii="Times New Roman" w:eastAsia="Times New Roman" w:hAnsi="Times New Roman"/>
          <w:b/>
          <w:sz w:val="24"/>
          <w:szCs w:val="24"/>
        </w:rPr>
        <w:t xml:space="preserve"> </w:t>
      </w:r>
      <w:r w:rsidRPr="00E658E1">
        <w:rPr>
          <w:rFonts w:ascii="Times New Roman" w:eastAsia="Times New Roman" w:hAnsi="Times New Roman"/>
          <w:b/>
          <w:sz w:val="24"/>
          <w:szCs w:val="24"/>
        </w:rPr>
        <w:t>and</w:t>
      </w:r>
      <w:proofErr w:type="gramEnd"/>
      <w:r w:rsidRPr="00E658E1">
        <w:rPr>
          <w:rFonts w:ascii="Times New Roman" w:eastAsia="Times New Roman" w:hAnsi="Times New Roman"/>
          <w:b/>
          <w:sz w:val="24"/>
          <w:szCs w:val="24"/>
        </w:rPr>
        <w:t xml:space="preserve"> consider retaining Legal Counsel experienced with FLSA issues. </w:t>
      </w:r>
    </w:p>
    <w:bookmarkEnd w:id="412"/>
    <w:p w14:paraId="3ABE2BFD" w14:textId="77777777" w:rsidR="00F44623" w:rsidRDefault="00F44623" w:rsidP="00F326E5">
      <w:pPr>
        <w:pStyle w:val="NoSpacing"/>
        <w:rPr>
          <w:rFonts w:ascii="Arial Black" w:hAnsi="Arial Black"/>
          <w:sz w:val="40"/>
          <w:szCs w:val="40"/>
        </w:rPr>
      </w:pPr>
    </w:p>
    <w:p w14:paraId="0F6AF8AF" w14:textId="4C154D1E" w:rsidR="00F44623" w:rsidRDefault="00F44623" w:rsidP="00F326E5">
      <w:pPr>
        <w:pStyle w:val="NoSpacing"/>
        <w:rPr>
          <w:rFonts w:ascii="Arial Black" w:hAnsi="Arial Black"/>
          <w:sz w:val="40"/>
          <w:szCs w:val="40"/>
        </w:rPr>
      </w:pPr>
      <w:r w:rsidRPr="00F44623">
        <w:rPr>
          <w:rFonts w:ascii="Times New Roman" w:hAnsi="Times New Roman"/>
          <w:b/>
          <w:bCs/>
          <w:sz w:val="24"/>
          <w:szCs w:val="24"/>
        </w:rPr>
        <w:t>See also 2018 PowerPoints by David Comstock, Esq.:</w:t>
      </w:r>
      <w:r>
        <w:rPr>
          <w:rFonts w:ascii="Arial Black" w:hAnsi="Arial Black"/>
          <w:sz w:val="40"/>
          <w:szCs w:val="40"/>
        </w:rPr>
        <w:t xml:space="preserve"> </w:t>
      </w:r>
      <w:hyperlink r:id="rId1902" w:history="1">
        <w:r w:rsidRPr="00F44623">
          <w:rPr>
            <w:rStyle w:val="Hyperlink"/>
            <w:rFonts w:ascii="Times New Roman" w:hAnsi="Times New Roman"/>
            <w:sz w:val="24"/>
            <w:szCs w:val="24"/>
          </w:rPr>
          <w:t>https://www.ohioauditor.gov/trainings/lgoc/2018/Fair%20Labor%20Standards%20Act%20for%20Firefighters.pdf</w:t>
        </w:r>
      </w:hyperlink>
      <w:r>
        <w:rPr>
          <w:rFonts w:ascii="Arial Black" w:hAnsi="Arial Black"/>
          <w:sz w:val="40"/>
          <w:szCs w:val="40"/>
        </w:rPr>
        <w:t xml:space="preserve"> </w:t>
      </w:r>
    </w:p>
    <w:p w14:paraId="71E4CC93" w14:textId="71892566" w:rsidR="00F44623" w:rsidRDefault="00F44623" w:rsidP="00F326E5">
      <w:pPr>
        <w:pStyle w:val="NoSpacing"/>
        <w:rPr>
          <w:rFonts w:ascii="Arial Black" w:hAnsi="Arial Black"/>
          <w:sz w:val="40"/>
          <w:szCs w:val="40"/>
        </w:rPr>
      </w:pPr>
    </w:p>
    <w:p w14:paraId="0D2D6C43" w14:textId="6A77043A" w:rsidR="00F44623" w:rsidRPr="00F44623" w:rsidRDefault="00F44623" w:rsidP="00F326E5">
      <w:pPr>
        <w:pStyle w:val="NoSpacing"/>
        <w:rPr>
          <w:rFonts w:ascii="Times New Roman" w:hAnsi="Times New Roman"/>
          <w:sz w:val="24"/>
          <w:szCs w:val="24"/>
        </w:rPr>
      </w:pPr>
      <w:r>
        <w:rPr>
          <w:rFonts w:ascii="Times New Roman" w:hAnsi="Times New Roman"/>
          <w:sz w:val="24"/>
          <w:szCs w:val="24"/>
        </w:rPr>
        <w:t xml:space="preserve">Nov. 14, 2014: </w:t>
      </w:r>
      <w:r w:rsidRPr="00F44623">
        <w:rPr>
          <w:rFonts w:ascii="Times New Roman" w:hAnsi="Times New Roman"/>
          <w:sz w:val="24"/>
          <w:szCs w:val="24"/>
          <w:u w:val="single"/>
        </w:rPr>
        <w:t>Jon Misewicz, et al. v. City of Memphis</w:t>
      </w:r>
      <w:r w:rsidRPr="00F44623">
        <w:rPr>
          <w:rFonts w:ascii="Times New Roman" w:hAnsi="Times New Roman"/>
          <w:sz w:val="24"/>
          <w:szCs w:val="24"/>
        </w:rPr>
        <w:t xml:space="preserve"> (6</w:t>
      </w:r>
      <w:r w:rsidRPr="00F44623">
        <w:rPr>
          <w:rFonts w:ascii="Times New Roman" w:hAnsi="Times New Roman"/>
          <w:sz w:val="24"/>
          <w:szCs w:val="24"/>
          <w:vertAlign w:val="superscript"/>
        </w:rPr>
        <w:t>th</w:t>
      </w:r>
      <w:r w:rsidRPr="00F44623">
        <w:rPr>
          <w:rFonts w:ascii="Times New Roman" w:hAnsi="Times New Roman"/>
          <w:sz w:val="24"/>
          <w:szCs w:val="24"/>
        </w:rPr>
        <w:t xml:space="preserve"> Circuit)</w:t>
      </w:r>
    </w:p>
    <w:p w14:paraId="19A23741" w14:textId="77777777" w:rsidR="00F44623" w:rsidRDefault="00F44623" w:rsidP="00F326E5">
      <w:pPr>
        <w:pStyle w:val="NoSpacing"/>
        <w:rPr>
          <w:rFonts w:ascii="Times New Roman" w:hAnsi="Times New Roman"/>
          <w:sz w:val="24"/>
          <w:szCs w:val="24"/>
        </w:rPr>
      </w:pPr>
    </w:p>
    <w:p w14:paraId="356CBFF4" w14:textId="3FACB675" w:rsidR="00F44623" w:rsidRPr="00F44623" w:rsidRDefault="00F44623" w:rsidP="00F44623">
      <w:pPr>
        <w:pStyle w:val="NoSpacing"/>
        <w:ind w:left="720"/>
        <w:rPr>
          <w:rFonts w:ascii="Times New Roman" w:hAnsi="Times New Roman"/>
          <w:sz w:val="24"/>
          <w:szCs w:val="24"/>
        </w:rPr>
      </w:pPr>
      <w:r>
        <w:rPr>
          <w:rFonts w:ascii="Times New Roman" w:hAnsi="Times New Roman"/>
          <w:sz w:val="24"/>
          <w:szCs w:val="24"/>
        </w:rPr>
        <w:t>“</w:t>
      </w:r>
      <w:r w:rsidRPr="00F44623">
        <w:rPr>
          <w:rFonts w:ascii="Times New Roman" w:hAnsi="Times New Roman"/>
          <w:sz w:val="24"/>
          <w:szCs w:val="24"/>
        </w:rPr>
        <w:t xml:space="preserve">In this case alleging violations of § 207 of the Fair Labor Standards Act, 29 U.S.C. § 207, plaintiffs-appellants (hereinafter </w:t>
      </w:r>
      <w:r w:rsidR="00AE3176">
        <w:rPr>
          <w:rFonts w:ascii="Times New Roman" w:hAnsi="Times New Roman"/>
          <w:sz w:val="24"/>
          <w:szCs w:val="24"/>
        </w:rPr>
        <w:t>‘</w:t>
      </w:r>
      <w:r w:rsidRPr="00F44623">
        <w:rPr>
          <w:rFonts w:ascii="Times New Roman" w:hAnsi="Times New Roman"/>
          <w:sz w:val="24"/>
          <w:szCs w:val="24"/>
        </w:rPr>
        <w:t>Plaintiffs</w:t>
      </w:r>
      <w:r w:rsidR="00AE3176">
        <w:rPr>
          <w:rFonts w:ascii="Times New Roman" w:hAnsi="Times New Roman"/>
          <w:sz w:val="24"/>
          <w:szCs w:val="24"/>
        </w:rPr>
        <w:t>’</w:t>
      </w:r>
      <w:r w:rsidRPr="00F44623">
        <w:rPr>
          <w:rFonts w:ascii="Times New Roman" w:hAnsi="Times New Roman"/>
          <w:sz w:val="24"/>
          <w:szCs w:val="24"/>
        </w:rPr>
        <w:t xml:space="preserve">), fire fighters employed by the Memphis Fire Department, appeal the district court’s grant of summary judgment to defendant-appellee the City of Memphis, Tennessee on their complaint asserting overtime pay for paramedic training time. For the reasons set forth below, we AFFIRM the district court’s grant of summary judgment to the City of Memphis. *** In relevant part, the form required an applicant to agree that </w:t>
      </w:r>
      <w:r w:rsidR="00AE3176">
        <w:rPr>
          <w:rFonts w:ascii="Times New Roman" w:hAnsi="Times New Roman"/>
          <w:sz w:val="24"/>
          <w:szCs w:val="24"/>
        </w:rPr>
        <w:t>‘</w:t>
      </w:r>
      <w:r w:rsidRPr="00F44623">
        <w:rPr>
          <w:rFonts w:ascii="Times New Roman" w:hAnsi="Times New Roman"/>
          <w:sz w:val="24"/>
          <w:szCs w:val="24"/>
        </w:rPr>
        <w:t>[w]</w:t>
      </w:r>
      <w:proofErr w:type="spellStart"/>
      <w:r w:rsidRPr="00F44623">
        <w:rPr>
          <w:rFonts w:ascii="Times New Roman" w:hAnsi="Times New Roman"/>
          <w:sz w:val="24"/>
          <w:szCs w:val="24"/>
        </w:rPr>
        <w:t>ithin</w:t>
      </w:r>
      <w:proofErr w:type="spellEnd"/>
      <w:r w:rsidRPr="00F44623">
        <w:rPr>
          <w:rFonts w:ascii="Times New Roman" w:hAnsi="Times New Roman"/>
          <w:sz w:val="24"/>
          <w:szCs w:val="24"/>
        </w:rPr>
        <w:t xml:space="preserve"> three (3) years of employment with the Memphis Fire Department, you must become licensed by the State of Tennessee as a Paramedic (EMT-Advanced), as a condition of continued employment.</w:t>
      </w:r>
      <w:r w:rsidR="00AE3176">
        <w:rPr>
          <w:rFonts w:ascii="Times New Roman" w:hAnsi="Times New Roman"/>
          <w:sz w:val="24"/>
          <w:szCs w:val="24"/>
        </w:rPr>
        <w:t>’</w:t>
      </w:r>
      <w:r w:rsidRPr="00F44623">
        <w:rPr>
          <w:rFonts w:ascii="Times New Roman" w:hAnsi="Times New Roman"/>
          <w:sz w:val="24"/>
          <w:szCs w:val="24"/>
        </w:rPr>
        <w:t xml:space="preserve">1Id. One hundred and eleven Plaintiffs signed the forms, and </w:t>
      </w:r>
      <w:r w:rsidR="00AE3176">
        <w:rPr>
          <w:rFonts w:ascii="Times New Roman" w:hAnsi="Times New Roman"/>
          <w:sz w:val="24"/>
          <w:szCs w:val="24"/>
        </w:rPr>
        <w:t>‘</w:t>
      </w:r>
      <w:r w:rsidRPr="00F44623">
        <w:rPr>
          <w:rFonts w:ascii="Times New Roman" w:hAnsi="Times New Roman"/>
          <w:sz w:val="24"/>
          <w:szCs w:val="24"/>
        </w:rPr>
        <w:t>[a]</w:t>
      </w:r>
      <w:proofErr w:type="spellStart"/>
      <w:r w:rsidRPr="00F44623">
        <w:rPr>
          <w:rFonts w:ascii="Times New Roman" w:hAnsi="Times New Roman"/>
          <w:sz w:val="24"/>
          <w:szCs w:val="24"/>
        </w:rPr>
        <w:t>ll</w:t>
      </w:r>
      <w:proofErr w:type="spellEnd"/>
      <w:r w:rsidRPr="00F44623">
        <w:rPr>
          <w:rFonts w:ascii="Times New Roman" w:hAnsi="Times New Roman"/>
          <w:sz w:val="24"/>
          <w:szCs w:val="24"/>
        </w:rPr>
        <w:t xml:space="preserve"> but four . . . signed in January or February 2007.</w:t>
      </w:r>
      <w:r w:rsidR="00AE3176">
        <w:rPr>
          <w:rFonts w:ascii="Times New Roman" w:hAnsi="Times New Roman"/>
          <w:sz w:val="24"/>
          <w:szCs w:val="24"/>
        </w:rPr>
        <w:t>’</w:t>
      </w:r>
      <w:r w:rsidRPr="00F44623">
        <w:rPr>
          <w:rFonts w:ascii="Times New Roman" w:hAnsi="Times New Roman"/>
          <w:sz w:val="24"/>
          <w:szCs w:val="24"/>
        </w:rPr>
        <w:t xml:space="preserve"> Id. ¶ 17 (Page ID #906). When Plaintiffs signed the forms, the MFD did not tell them that the training would be uncompensated or </w:t>
      </w:r>
      <w:proofErr w:type="gramStart"/>
      <w:r w:rsidRPr="00F44623">
        <w:rPr>
          <w:rFonts w:ascii="Times New Roman" w:hAnsi="Times New Roman"/>
          <w:sz w:val="24"/>
          <w:szCs w:val="24"/>
        </w:rPr>
        <w:t>off-duty</w:t>
      </w:r>
      <w:proofErr w:type="gramEnd"/>
      <w:r w:rsidRPr="00F44623">
        <w:rPr>
          <w:rFonts w:ascii="Times New Roman" w:hAnsi="Times New Roman"/>
          <w:sz w:val="24"/>
          <w:szCs w:val="24"/>
        </w:rPr>
        <w:t xml:space="preserve">. Id. ¶ 16 (Page ID #906). </w:t>
      </w:r>
      <w:hyperlink r:id="rId1903" w:history="1">
        <w:r w:rsidRPr="00F44623">
          <w:rPr>
            <w:rStyle w:val="Hyperlink"/>
            <w:rFonts w:ascii="Times New Roman" w:hAnsi="Times New Roman"/>
            <w:sz w:val="24"/>
            <w:szCs w:val="24"/>
          </w:rPr>
          <w:t>https://cases.justia.com/federal/appellate-courts/ca6/14-5053/14-5053-2014-11-14.pdf?ts=1415984433</w:t>
        </w:r>
      </w:hyperlink>
      <w:r w:rsidRPr="00F44623">
        <w:rPr>
          <w:rFonts w:ascii="Times New Roman" w:hAnsi="Times New Roman"/>
          <w:sz w:val="24"/>
          <w:szCs w:val="24"/>
        </w:rPr>
        <w:t xml:space="preserve"> </w:t>
      </w:r>
    </w:p>
    <w:p w14:paraId="0BDDD442" w14:textId="5824A830" w:rsidR="00F44623" w:rsidRDefault="00F44623">
      <w:pPr>
        <w:spacing w:after="0" w:line="240" w:lineRule="auto"/>
        <w:rPr>
          <w:rFonts w:ascii="Arial Black" w:hAnsi="Arial Black"/>
          <w:sz w:val="40"/>
          <w:szCs w:val="40"/>
        </w:rPr>
      </w:pPr>
      <w:r>
        <w:rPr>
          <w:rFonts w:ascii="Arial Black" w:hAnsi="Arial Black"/>
          <w:sz w:val="40"/>
          <w:szCs w:val="40"/>
        </w:rPr>
        <w:br w:type="page"/>
      </w:r>
    </w:p>
    <w:p w14:paraId="1ABCC0DD" w14:textId="098F2555" w:rsidR="00411E0E" w:rsidRDefault="00411E0E" w:rsidP="00411E0E">
      <w:pPr>
        <w:rPr>
          <w:rFonts w:ascii="Arial Black" w:hAnsi="Arial Black"/>
          <w:b/>
          <w:sz w:val="24"/>
          <w:szCs w:val="24"/>
        </w:rPr>
      </w:pPr>
    </w:p>
    <w:p w14:paraId="563FADC8" w14:textId="77777777" w:rsidR="00411E0E" w:rsidRDefault="00411E0E" w:rsidP="00411E0E">
      <w:pPr>
        <w:rPr>
          <w:rFonts w:ascii="Arial Black" w:hAnsi="Arial Black"/>
          <w:b/>
          <w:sz w:val="28"/>
          <w:szCs w:val="28"/>
        </w:rPr>
      </w:pPr>
    </w:p>
    <w:p w14:paraId="7B0D7F06" w14:textId="77777777" w:rsidR="00411E0E" w:rsidRDefault="00411E0E">
      <w:pPr>
        <w:spacing w:after="0" w:line="240" w:lineRule="auto"/>
        <w:rPr>
          <w:rFonts w:ascii="Arial Black" w:hAnsi="Arial Black"/>
          <w:sz w:val="40"/>
          <w:szCs w:val="40"/>
        </w:rPr>
      </w:pPr>
    </w:p>
    <w:p w14:paraId="11552CD5" w14:textId="77777777" w:rsidR="00F44623" w:rsidRDefault="00F44623" w:rsidP="00F326E5">
      <w:pPr>
        <w:pStyle w:val="NoSpacing"/>
        <w:rPr>
          <w:rFonts w:ascii="Arial Black" w:hAnsi="Arial Black"/>
          <w:sz w:val="40"/>
          <w:szCs w:val="40"/>
        </w:rPr>
      </w:pPr>
    </w:p>
    <w:p w14:paraId="588CE49C" w14:textId="77777777" w:rsidR="00020106" w:rsidRDefault="00020106" w:rsidP="00F326E5">
      <w:pPr>
        <w:pStyle w:val="NoSpacing"/>
        <w:rPr>
          <w:rFonts w:ascii="Arial Black" w:hAnsi="Arial Black"/>
          <w:sz w:val="40"/>
          <w:szCs w:val="40"/>
        </w:rPr>
      </w:pPr>
    </w:p>
    <w:p w14:paraId="030B98E6" w14:textId="77777777" w:rsidR="00020106" w:rsidRDefault="00020106" w:rsidP="00F326E5">
      <w:pPr>
        <w:pStyle w:val="NoSpacing"/>
        <w:rPr>
          <w:rFonts w:ascii="Arial Black" w:hAnsi="Arial Black"/>
          <w:sz w:val="40"/>
          <w:szCs w:val="40"/>
        </w:rPr>
      </w:pPr>
    </w:p>
    <w:p w14:paraId="55D107FF" w14:textId="77777777" w:rsidR="00020106" w:rsidRDefault="00020106" w:rsidP="00F326E5">
      <w:pPr>
        <w:pStyle w:val="NoSpacing"/>
        <w:rPr>
          <w:rFonts w:ascii="Arial Black" w:hAnsi="Arial Black"/>
          <w:sz w:val="40"/>
          <w:szCs w:val="40"/>
        </w:rPr>
      </w:pPr>
    </w:p>
    <w:p w14:paraId="7CC5AF74" w14:textId="77777777" w:rsidR="00020106" w:rsidRDefault="00020106" w:rsidP="00F326E5">
      <w:pPr>
        <w:pStyle w:val="NoSpacing"/>
        <w:rPr>
          <w:rFonts w:ascii="Arial Black" w:hAnsi="Arial Black"/>
          <w:sz w:val="40"/>
          <w:szCs w:val="40"/>
        </w:rPr>
      </w:pPr>
    </w:p>
    <w:p w14:paraId="7429EAEB" w14:textId="77777777" w:rsidR="00020106" w:rsidRDefault="00020106" w:rsidP="00F326E5">
      <w:pPr>
        <w:pStyle w:val="NoSpacing"/>
        <w:rPr>
          <w:rFonts w:ascii="Arial Black" w:hAnsi="Arial Black"/>
          <w:sz w:val="40"/>
          <w:szCs w:val="40"/>
        </w:rPr>
      </w:pPr>
    </w:p>
    <w:p w14:paraId="5D0ED5AB" w14:textId="77777777" w:rsidR="00020106" w:rsidRDefault="00020106" w:rsidP="00F326E5">
      <w:pPr>
        <w:pStyle w:val="NoSpacing"/>
        <w:rPr>
          <w:rFonts w:ascii="Arial Black" w:hAnsi="Arial Black"/>
          <w:sz w:val="40"/>
          <w:szCs w:val="40"/>
        </w:rPr>
      </w:pPr>
    </w:p>
    <w:p w14:paraId="1DB17969" w14:textId="77777777" w:rsidR="00020106" w:rsidRDefault="00020106" w:rsidP="00F326E5">
      <w:pPr>
        <w:pStyle w:val="NoSpacing"/>
        <w:rPr>
          <w:rFonts w:ascii="Arial Black" w:hAnsi="Arial Black"/>
          <w:sz w:val="40"/>
          <w:szCs w:val="40"/>
        </w:rPr>
      </w:pPr>
    </w:p>
    <w:p w14:paraId="4E5D2E5E" w14:textId="77777777" w:rsidR="00020106" w:rsidRDefault="00020106" w:rsidP="00F326E5">
      <w:pPr>
        <w:pStyle w:val="NoSpacing"/>
        <w:rPr>
          <w:rFonts w:ascii="Arial Black" w:hAnsi="Arial Black"/>
          <w:sz w:val="40"/>
          <w:szCs w:val="40"/>
        </w:rPr>
      </w:pPr>
    </w:p>
    <w:p w14:paraId="18D3BE3B" w14:textId="77777777" w:rsidR="00020106" w:rsidRDefault="00020106" w:rsidP="00F326E5">
      <w:pPr>
        <w:pStyle w:val="NoSpacing"/>
        <w:rPr>
          <w:rFonts w:ascii="Arial Black" w:hAnsi="Arial Black"/>
          <w:sz w:val="40"/>
          <w:szCs w:val="40"/>
        </w:rPr>
      </w:pPr>
    </w:p>
    <w:p w14:paraId="3863E80D" w14:textId="77777777" w:rsidR="00020106" w:rsidRDefault="00020106" w:rsidP="00F326E5">
      <w:pPr>
        <w:pStyle w:val="NoSpacing"/>
        <w:rPr>
          <w:rFonts w:ascii="Arial Black" w:hAnsi="Arial Black"/>
          <w:sz w:val="40"/>
          <w:szCs w:val="40"/>
        </w:rPr>
      </w:pPr>
    </w:p>
    <w:p w14:paraId="3F506ED8" w14:textId="77777777" w:rsidR="00020106" w:rsidRDefault="00020106" w:rsidP="00F326E5">
      <w:pPr>
        <w:pStyle w:val="NoSpacing"/>
        <w:rPr>
          <w:rFonts w:ascii="Arial Black" w:hAnsi="Arial Black"/>
          <w:sz w:val="40"/>
          <w:szCs w:val="40"/>
        </w:rPr>
      </w:pPr>
    </w:p>
    <w:p w14:paraId="57EDB87E" w14:textId="77777777" w:rsidR="00020106" w:rsidRDefault="00020106" w:rsidP="00F326E5">
      <w:pPr>
        <w:pStyle w:val="NoSpacing"/>
        <w:rPr>
          <w:rFonts w:ascii="Arial Black" w:hAnsi="Arial Black"/>
          <w:sz w:val="40"/>
          <w:szCs w:val="40"/>
        </w:rPr>
      </w:pPr>
    </w:p>
    <w:p w14:paraId="01DE9230" w14:textId="77777777" w:rsidR="00020106" w:rsidRDefault="00020106" w:rsidP="00F326E5">
      <w:pPr>
        <w:pStyle w:val="NoSpacing"/>
        <w:rPr>
          <w:rFonts w:ascii="Arial Black" w:hAnsi="Arial Black"/>
          <w:sz w:val="40"/>
          <w:szCs w:val="40"/>
        </w:rPr>
      </w:pPr>
    </w:p>
    <w:p w14:paraId="1DCF0D0C" w14:textId="77777777" w:rsidR="00020106" w:rsidRDefault="00020106" w:rsidP="00F326E5">
      <w:pPr>
        <w:pStyle w:val="NoSpacing"/>
        <w:rPr>
          <w:rFonts w:ascii="Arial Black" w:hAnsi="Arial Black"/>
          <w:sz w:val="40"/>
          <w:szCs w:val="40"/>
        </w:rPr>
      </w:pPr>
    </w:p>
    <w:p w14:paraId="0CFF60B8" w14:textId="77777777" w:rsidR="00020106" w:rsidRDefault="00020106" w:rsidP="00F326E5">
      <w:pPr>
        <w:pStyle w:val="NoSpacing"/>
        <w:rPr>
          <w:rFonts w:ascii="Arial Black" w:hAnsi="Arial Black"/>
          <w:sz w:val="40"/>
          <w:szCs w:val="40"/>
        </w:rPr>
      </w:pPr>
    </w:p>
    <w:p w14:paraId="53C2AF77" w14:textId="77777777" w:rsidR="00020106" w:rsidRDefault="00020106" w:rsidP="00F326E5">
      <w:pPr>
        <w:pStyle w:val="NoSpacing"/>
        <w:rPr>
          <w:rFonts w:ascii="Arial Black" w:hAnsi="Arial Black"/>
          <w:sz w:val="40"/>
          <w:szCs w:val="40"/>
        </w:rPr>
      </w:pPr>
    </w:p>
    <w:p w14:paraId="158503F6" w14:textId="77777777" w:rsidR="00020106" w:rsidRDefault="00020106" w:rsidP="00F326E5">
      <w:pPr>
        <w:pStyle w:val="NoSpacing"/>
        <w:rPr>
          <w:rFonts w:ascii="Arial Black" w:hAnsi="Arial Black"/>
          <w:sz w:val="40"/>
          <w:szCs w:val="40"/>
        </w:rPr>
      </w:pPr>
    </w:p>
    <w:p w14:paraId="2E430EFC" w14:textId="77777777" w:rsidR="00020106" w:rsidRDefault="00020106" w:rsidP="00F326E5">
      <w:pPr>
        <w:pStyle w:val="NoSpacing"/>
        <w:rPr>
          <w:rFonts w:ascii="Arial Black" w:hAnsi="Arial Black"/>
          <w:sz w:val="40"/>
          <w:szCs w:val="40"/>
        </w:rPr>
      </w:pPr>
    </w:p>
    <w:p w14:paraId="4527B5E1" w14:textId="77777777" w:rsidR="00020106" w:rsidRDefault="00020106" w:rsidP="00F326E5">
      <w:pPr>
        <w:pStyle w:val="NoSpacing"/>
        <w:rPr>
          <w:rFonts w:ascii="Arial Black" w:hAnsi="Arial Black"/>
          <w:sz w:val="40"/>
          <w:szCs w:val="40"/>
        </w:rPr>
      </w:pPr>
    </w:p>
    <w:p w14:paraId="0C67892F" w14:textId="77777777" w:rsidR="00020106" w:rsidRDefault="00020106" w:rsidP="00F326E5">
      <w:pPr>
        <w:pStyle w:val="NoSpacing"/>
        <w:rPr>
          <w:rFonts w:ascii="Arial Black" w:hAnsi="Arial Black"/>
          <w:sz w:val="40"/>
          <w:szCs w:val="40"/>
        </w:rPr>
      </w:pPr>
    </w:p>
    <w:p w14:paraId="42A418E5" w14:textId="77777777" w:rsidR="00020106" w:rsidRDefault="00020106" w:rsidP="00F326E5">
      <w:pPr>
        <w:pStyle w:val="NoSpacing"/>
        <w:rPr>
          <w:rFonts w:ascii="Arial Black" w:hAnsi="Arial Black"/>
          <w:sz w:val="40"/>
          <w:szCs w:val="40"/>
        </w:rPr>
      </w:pPr>
    </w:p>
    <w:p w14:paraId="21EDD998" w14:textId="76740DD5" w:rsidR="00F326E5" w:rsidRDefault="00F326E5" w:rsidP="00F326E5">
      <w:pPr>
        <w:pStyle w:val="NoSpacing"/>
        <w:rPr>
          <w:rFonts w:ascii="Arial Black" w:hAnsi="Arial Black"/>
          <w:sz w:val="40"/>
          <w:szCs w:val="40"/>
        </w:rPr>
      </w:pPr>
      <w:r w:rsidRPr="007732FA">
        <w:rPr>
          <w:rFonts w:ascii="Arial Black" w:hAnsi="Arial Black"/>
          <w:sz w:val="40"/>
          <w:szCs w:val="40"/>
        </w:rPr>
        <w:lastRenderedPageBreak/>
        <w:t>Chap. 12</w:t>
      </w:r>
      <w:r w:rsidRPr="007732FA">
        <w:rPr>
          <w:rFonts w:ascii="Arial Black" w:hAnsi="Arial Black"/>
          <w:sz w:val="40"/>
          <w:szCs w:val="40"/>
        </w:rPr>
        <w:tab/>
        <w:t>Drug-Free Workplace</w:t>
      </w:r>
    </w:p>
    <w:p w14:paraId="23B984FE" w14:textId="77777777" w:rsidR="00743B05" w:rsidRDefault="00743B05" w:rsidP="00F326E5">
      <w:pPr>
        <w:rPr>
          <w:rFonts w:ascii="Arial Black" w:hAnsi="Arial Black"/>
          <w:b/>
          <w:sz w:val="24"/>
          <w:szCs w:val="24"/>
        </w:rPr>
      </w:pPr>
    </w:p>
    <w:p w14:paraId="57538EED" w14:textId="6534DC89" w:rsidR="00C37020" w:rsidRDefault="00C37020" w:rsidP="00C37020">
      <w:pPr>
        <w:pStyle w:val="NoSpacing"/>
        <w:rPr>
          <w:rFonts w:ascii="Arial Black" w:hAnsi="Arial Black"/>
          <w:sz w:val="28"/>
          <w:szCs w:val="28"/>
        </w:rPr>
      </w:pPr>
      <w:r>
        <w:rPr>
          <w:rFonts w:ascii="Arial Black" w:hAnsi="Arial Black"/>
          <w:sz w:val="28"/>
          <w:szCs w:val="28"/>
        </w:rPr>
        <w:t>12-40</w:t>
      </w:r>
    </w:p>
    <w:p w14:paraId="5C238E4E" w14:textId="77777777" w:rsidR="00C37020" w:rsidRDefault="00C37020" w:rsidP="00C37020">
      <w:pPr>
        <w:pStyle w:val="NoSpacing"/>
        <w:rPr>
          <w:rFonts w:ascii="Arial Black" w:hAnsi="Arial Black"/>
          <w:sz w:val="28"/>
          <w:szCs w:val="28"/>
        </w:rPr>
      </w:pPr>
    </w:p>
    <w:p w14:paraId="687744A9" w14:textId="3B9EF4D6" w:rsidR="00C37020" w:rsidRDefault="00C37020" w:rsidP="00C37020">
      <w:pPr>
        <w:pStyle w:val="NoSpacing"/>
        <w:rPr>
          <w:rFonts w:ascii="Arial Black" w:hAnsi="Arial Black"/>
          <w:sz w:val="28"/>
          <w:szCs w:val="28"/>
        </w:rPr>
      </w:pPr>
      <w:r>
        <w:rPr>
          <w:rFonts w:ascii="Arial Black" w:hAnsi="Arial Black"/>
          <w:sz w:val="28"/>
          <w:szCs w:val="28"/>
        </w:rPr>
        <w:t xml:space="preserve">CA: POSITIVE DRUG – ARMY - NOT DISAB IF ACTIVE USER </w:t>
      </w:r>
    </w:p>
    <w:p w14:paraId="4291E98D" w14:textId="77777777" w:rsidR="00C37020" w:rsidRDefault="00C37020" w:rsidP="00C37020">
      <w:pPr>
        <w:pStyle w:val="NoSpacing"/>
        <w:rPr>
          <w:rFonts w:ascii="Arial Black" w:hAnsi="Arial Black"/>
          <w:sz w:val="28"/>
          <w:szCs w:val="28"/>
        </w:rPr>
      </w:pPr>
    </w:p>
    <w:p w14:paraId="72B99E1C" w14:textId="77777777" w:rsidR="00C37020" w:rsidRDefault="00C37020" w:rsidP="00C37020">
      <w:pPr>
        <w:pStyle w:val="NoSpacing"/>
      </w:pPr>
      <w:r>
        <w:t xml:space="preserve">On July 21, 2026, in </w:t>
      </w:r>
      <w:r w:rsidRPr="00BB5886">
        <w:rPr>
          <w:u w:val="single"/>
        </w:rPr>
        <w:t>Roger E. Greer v. Christine Wormuth, Secretary, U.S. Department of the Army, et al</w:t>
      </w:r>
      <w:r>
        <w:t>., the United States Court of Appeals for the Ninth Circuit (San Francisco) held (3 to 0; unpublished decision) that the trial court judge properly dismissed his lawsuit.  He filed the case pro se [no attorney] and was fired for “</w:t>
      </w:r>
      <w:r w:rsidRPr="00A078DA">
        <w:t>testing positive for illegal substances</w:t>
      </w:r>
      <w:r>
        <w:t xml:space="preserve">’ [drugs not identified]. </w:t>
      </w:r>
      <w:hyperlink r:id="rId1904" w:history="1">
        <w:r w:rsidRPr="002E6E7A">
          <w:rPr>
            <w:rStyle w:val="Hyperlink"/>
          </w:rPr>
          <w:t>https://cdn.ca9.uscourts.gov/datastore/memoranda/2026/07/21/24-6425.pdf</w:t>
        </w:r>
      </w:hyperlink>
      <w:r>
        <w:t xml:space="preserve"> </w:t>
      </w:r>
    </w:p>
    <w:p w14:paraId="55F39AD9" w14:textId="77777777" w:rsidR="00C37020" w:rsidRDefault="00C37020" w:rsidP="00C37020">
      <w:pPr>
        <w:pStyle w:val="NoSpacing"/>
      </w:pPr>
    </w:p>
    <w:p w14:paraId="7D884847" w14:textId="77777777" w:rsidR="00C37020" w:rsidRDefault="00C37020" w:rsidP="00C37020">
      <w:pPr>
        <w:pStyle w:val="NoSpacing"/>
      </w:pPr>
      <w:r>
        <w:t>THE COURT WROTE:</w:t>
      </w:r>
    </w:p>
    <w:p w14:paraId="7049B6A3" w14:textId="77777777" w:rsidR="00C37020" w:rsidRDefault="00C37020" w:rsidP="00C37020">
      <w:pPr>
        <w:pStyle w:val="NoSpacing"/>
      </w:pPr>
    </w:p>
    <w:p w14:paraId="56F08C51" w14:textId="77777777" w:rsidR="00C37020" w:rsidRDefault="00C37020" w:rsidP="00C37020">
      <w:pPr>
        <w:pStyle w:val="NoSpacing"/>
      </w:pPr>
      <w:r>
        <w:rPr>
          <w:i/>
          <w:iCs/>
        </w:rPr>
        <w:t>“</w:t>
      </w:r>
      <w:r w:rsidRPr="000C7CAC">
        <w:rPr>
          <w:i/>
          <w:iCs/>
        </w:rPr>
        <w:t>Rehabilitation Act discrimination claim</w:t>
      </w:r>
      <w:r w:rsidRPr="000C7CAC">
        <w:t>. Greer also failed to state a disability discrimination claim under the Rehabilitation Act. To bring a successful claim under the Rehabilitation Act, a plaintiff must show that he (1) has a disability; (2) is otherwise qualified for employment; and (3) was discriminated against because of his disability</w:t>
      </w:r>
      <w:r>
        <w:t xml:space="preserve">…. </w:t>
      </w:r>
      <w:r w:rsidRPr="000C7CAC">
        <w:t xml:space="preserve">Greer's claim fails to allege the threshold requirement that he is </w:t>
      </w:r>
      <w:r>
        <w:t>‘</w:t>
      </w:r>
      <w:r w:rsidRPr="000C7CAC">
        <w:t>disabled</w:t>
      </w:r>
      <w:r>
        <w:t>’</w:t>
      </w:r>
      <w:r w:rsidRPr="000C7CAC">
        <w:t xml:space="preserve"> because the FAC </w:t>
      </w:r>
      <w:r>
        <w:t xml:space="preserve">[First Amended Complaint] </w:t>
      </w:r>
      <w:r w:rsidRPr="000C7CAC">
        <w:t xml:space="preserve">does not describe the nature of his impairment with sufficient particularity. Greer merely alleges that he was </w:t>
      </w:r>
      <w:r>
        <w:t>‘</w:t>
      </w:r>
      <w:r w:rsidRPr="000C7CAC">
        <w:t>perceived to have an actual or perceived physical or mental impairment</w:t>
      </w:r>
      <w:r>
        <w:t>’</w:t>
      </w:r>
      <w:r w:rsidRPr="000C7CAC">
        <w:t xml:space="preserve"> without any additional factual details</w:t>
      </w:r>
      <w:r>
        <w:t xml:space="preserve">….  </w:t>
      </w:r>
    </w:p>
    <w:p w14:paraId="6543D810" w14:textId="77777777" w:rsidR="00C37020" w:rsidRDefault="00C37020" w:rsidP="00C37020">
      <w:pPr>
        <w:pStyle w:val="NoSpacing"/>
      </w:pPr>
    </w:p>
    <w:p w14:paraId="76C4D971" w14:textId="77777777" w:rsidR="00C37020" w:rsidRDefault="00C37020" w:rsidP="00C37020">
      <w:pPr>
        <w:pStyle w:val="NoSpacing"/>
      </w:pPr>
      <w:r>
        <w:t>***</w:t>
      </w:r>
    </w:p>
    <w:p w14:paraId="78D6B903" w14:textId="77777777" w:rsidR="00C37020" w:rsidRDefault="00C37020" w:rsidP="00C37020">
      <w:pPr>
        <w:pStyle w:val="NoSpacing"/>
      </w:pPr>
    </w:p>
    <w:p w14:paraId="608496C2" w14:textId="77777777" w:rsidR="00C37020" w:rsidRDefault="00C37020" w:rsidP="00C37020">
      <w:pPr>
        <w:pStyle w:val="NoSpacing"/>
      </w:pPr>
      <w:r>
        <w:t xml:space="preserve">[Footnote 3] </w:t>
      </w:r>
      <w:r>
        <w:rPr>
          <w:vertAlign w:val="superscript"/>
        </w:rPr>
        <w:t xml:space="preserve"> </w:t>
      </w:r>
      <w:r>
        <w:t xml:space="preserve">Even if </w:t>
      </w:r>
      <w:r w:rsidRPr="00C90419">
        <w:t xml:space="preserve">we infer that Greer's </w:t>
      </w:r>
      <w:r>
        <w:t>‘</w:t>
      </w:r>
      <w:r w:rsidRPr="00C90419">
        <w:t>disability</w:t>
      </w:r>
      <w:r>
        <w:t xml:space="preserve">’ </w:t>
      </w:r>
      <w:r w:rsidRPr="00C90419">
        <w:t xml:space="preserve">was a perceived substance-use impairment, the Rehabilitation Act expressly states that </w:t>
      </w:r>
      <w:r>
        <w:t>‘</w:t>
      </w:r>
      <w:r w:rsidRPr="00C90419">
        <w:t>the term 'individual with a disability' does not include an individual who is currently engaging in the illegal use of drugs, when a covered entity acts on the basis of such use.</w:t>
      </w:r>
      <w:r>
        <w:t xml:space="preserve">’ </w:t>
      </w:r>
      <w:r w:rsidRPr="00C90419">
        <w:t>29 U.S.C. § 705(20)(C)(</w:t>
      </w:r>
      <w:proofErr w:type="spellStart"/>
      <w:r w:rsidRPr="00C90419">
        <w:t>i</w:t>
      </w:r>
      <w:proofErr w:type="spellEnd"/>
      <w:r w:rsidRPr="00C90419">
        <w:t>).</w:t>
      </w:r>
      <w:r>
        <w:t>”</w:t>
      </w:r>
    </w:p>
    <w:p w14:paraId="59987541" w14:textId="77777777" w:rsidR="00C37020" w:rsidRDefault="00C37020" w:rsidP="00C37020">
      <w:pPr>
        <w:pStyle w:val="NoSpacing"/>
      </w:pPr>
    </w:p>
    <w:p w14:paraId="48D72437" w14:textId="77777777" w:rsidR="00C37020" w:rsidRPr="00D266A9" w:rsidRDefault="00C37020" w:rsidP="00C37020">
      <w:pPr>
        <w:pStyle w:val="NoSpacing"/>
        <w:rPr>
          <w:b/>
          <w:bCs/>
        </w:rPr>
      </w:pPr>
      <w:r w:rsidRPr="00D266A9">
        <w:rPr>
          <w:b/>
        </w:rPr>
        <w:t xml:space="preserve">Legal lesson learned: </w:t>
      </w:r>
      <w:r>
        <w:rPr>
          <w:b/>
        </w:rPr>
        <w:t xml:space="preserve">Current users of illegal drugs are not “individuals with a disability.” </w:t>
      </w:r>
    </w:p>
    <w:p w14:paraId="00953783" w14:textId="77777777" w:rsidR="00C37020" w:rsidRPr="00D266A9" w:rsidRDefault="00C37020" w:rsidP="00C37020">
      <w:pPr>
        <w:pStyle w:val="NoSpacing"/>
        <w:rPr>
          <w:b/>
          <w:bCs/>
        </w:rPr>
      </w:pPr>
    </w:p>
    <w:p w14:paraId="777F54C8" w14:textId="77777777" w:rsidR="00C37020" w:rsidRDefault="00C37020" w:rsidP="00C37020">
      <w:pPr>
        <w:pStyle w:val="NoSpacing"/>
        <w:rPr>
          <w:b/>
          <w:sz w:val="20"/>
          <w:szCs w:val="20"/>
        </w:rPr>
      </w:pPr>
    </w:p>
    <w:p w14:paraId="6AE485B3" w14:textId="77777777" w:rsidR="00C37020" w:rsidRDefault="00C37020" w:rsidP="00C37020">
      <w:pPr>
        <w:pStyle w:val="NoSpacing"/>
        <w:rPr>
          <w:b/>
          <w:sz w:val="20"/>
          <w:szCs w:val="20"/>
        </w:rPr>
      </w:pPr>
    </w:p>
    <w:p w14:paraId="5BEA11F2" w14:textId="77777777" w:rsidR="00C37020" w:rsidRDefault="00C37020" w:rsidP="00C37020">
      <w:pPr>
        <w:pStyle w:val="NoSpacing"/>
        <w:rPr>
          <w:b/>
          <w:sz w:val="20"/>
          <w:szCs w:val="20"/>
        </w:rPr>
      </w:pPr>
    </w:p>
    <w:p w14:paraId="3DBF5CBD" w14:textId="77777777" w:rsidR="00C37020" w:rsidRDefault="00C37020" w:rsidP="00C37020">
      <w:pPr>
        <w:pStyle w:val="NoSpacing"/>
        <w:rPr>
          <w:b/>
          <w:sz w:val="20"/>
          <w:szCs w:val="20"/>
        </w:rPr>
      </w:pPr>
    </w:p>
    <w:p w14:paraId="715580BF" w14:textId="77777777" w:rsidR="00C37020" w:rsidRDefault="00C37020" w:rsidP="00C37020">
      <w:pPr>
        <w:pStyle w:val="NoSpacing"/>
        <w:rPr>
          <w:b/>
          <w:sz w:val="20"/>
          <w:szCs w:val="20"/>
        </w:rPr>
      </w:pPr>
    </w:p>
    <w:p w14:paraId="3DEEAA1C" w14:textId="43BF6BD7" w:rsidR="00C37020" w:rsidRDefault="00C37020" w:rsidP="00C37020">
      <w:pPr>
        <w:pStyle w:val="NoSpacing"/>
        <w:rPr>
          <w:rFonts w:ascii="Arial Black" w:hAnsi="Arial Black"/>
          <w:b/>
          <w:sz w:val="28"/>
          <w:szCs w:val="28"/>
        </w:rPr>
      </w:pPr>
      <w:r>
        <w:rPr>
          <w:rFonts w:ascii="Arial Black" w:hAnsi="Arial Black"/>
          <w:b/>
          <w:sz w:val="28"/>
          <w:szCs w:val="28"/>
        </w:rPr>
        <w:t>12-39</w:t>
      </w:r>
    </w:p>
    <w:p w14:paraId="042F3C47" w14:textId="77777777" w:rsidR="00C37020" w:rsidRDefault="00C37020" w:rsidP="00C37020">
      <w:pPr>
        <w:pStyle w:val="NoSpacing"/>
        <w:rPr>
          <w:rFonts w:ascii="Arial Black" w:hAnsi="Arial Black"/>
          <w:b/>
          <w:sz w:val="28"/>
          <w:szCs w:val="28"/>
        </w:rPr>
      </w:pPr>
    </w:p>
    <w:p w14:paraId="0800C5C6" w14:textId="77777777" w:rsidR="00C37020" w:rsidRPr="00FD6FBD" w:rsidRDefault="00C37020" w:rsidP="00C37020">
      <w:pPr>
        <w:pStyle w:val="NoSpacing"/>
        <w:rPr>
          <w:rFonts w:ascii="Arial Black" w:hAnsi="Arial Black"/>
          <w:b/>
          <w:sz w:val="28"/>
          <w:szCs w:val="28"/>
        </w:rPr>
      </w:pPr>
      <w:r>
        <w:rPr>
          <w:rFonts w:ascii="Arial Black" w:hAnsi="Arial Black"/>
          <w:b/>
          <w:sz w:val="28"/>
          <w:szCs w:val="28"/>
        </w:rPr>
        <w:t xml:space="preserve">NJ: OFF-DUTY MJ USE – PD – LAWFUL 2021 STATUTE </w:t>
      </w:r>
    </w:p>
    <w:p w14:paraId="20AFE8FD" w14:textId="77777777" w:rsidR="00C37020" w:rsidRDefault="00C37020" w:rsidP="00C37020">
      <w:pPr>
        <w:pStyle w:val="NoSpacing"/>
      </w:pPr>
    </w:p>
    <w:p w14:paraId="178A0442" w14:textId="77777777" w:rsidR="00C37020" w:rsidRDefault="00C37020" w:rsidP="00C37020">
      <w:pPr>
        <w:pStyle w:val="NoSpacing"/>
      </w:pPr>
      <w:r>
        <w:t xml:space="preserve">On May 1, 2026, in two combined cases – </w:t>
      </w:r>
      <w:r w:rsidRPr="003A18C8">
        <w:rPr>
          <w:u w:val="single"/>
        </w:rPr>
        <w:t xml:space="preserve">In </w:t>
      </w:r>
      <w:proofErr w:type="gramStart"/>
      <w:r w:rsidRPr="003A18C8">
        <w:rPr>
          <w:u w:val="single"/>
        </w:rPr>
        <w:t>The</w:t>
      </w:r>
      <w:proofErr w:type="gramEnd"/>
      <w:r w:rsidRPr="003A18C8">
        <w:rPr>
          <w:u w:val="single"/>
        </w:rPr>
        <w:t xml:space="preserve"> Matter </w:t>
      </w:r>
      <w:proofErr w:type="gramStart"/>
      <w:r w:rsidRPr="003A18C8">
        <w:rPr>
          <w:u w:val="single"/>
        </w:rPr>
        <w:t>Of</w:t>
      </w:r>
      <w:proofErr w:type="gramEnd"/>
      <w:r w:rsidRPr="003A18C8">
        <w:rPr>
          <w:u w:val="single"/>
        </w:rPr>
        <w:t xml:space="preserve"> Norman Mansor, Jersey City Police Department</w:t>
      </w:r>
      <w:r>
        <w:t xml:space="preserve">; and </w:t>
      </w:r>
      <w:r w:rsidRPr="003A18C8">
        <w:rPr>
          <w:u w:val="single"/>
        </w:rPr>
        <w:t xml:space="preserve">In </w:t>
      </w:r>
      <w:proofErr w:type="gramStart"/>
      <w:r w:rsidRPr="003A18C8">
        <w:rPr>
          <w:u w:val="single"/>
        </w:rPr>
        <w:t>The</w:t>
      </w:r>
      <w:proofErr w:type="gramEnd"/>
      <w:r w:rsidRPr="003A18C8">
        <w:rPr>
          <w:u w:val="single"/>
        </w:rPr>
        <w:t xml:space="preserve"> Matter </w:t>
      </w:r>
      <w:proofErr w:type="gramStart"/>
      <w:r w:rsidRPr="003A18C8">
        <w:rPr>
          <w:u w:val="single"/>
        </w:rPr>
        <w:t>Of</w:t>
      </w:r>
      <w:proofErr w:type="gramEnd"/>
      <w:r w:rsidRPr="003A18C8">
        <w:rPr>
          <w:u w:val="single"/>
        </w:rPr>
        <w:t xml:space="preserve"> Omar Polanco, Jersey City Police Department</w:t>
      </w:r>
      <w:r>
        <w:t xml:space="preserve"> – the Superior Court of New Jersey, Appellate Division, held (3 to 0) that the Civil Service Commission properly upheld the decision of two Administrative Law Judges reinstating the police officers (including back pay and reasonable attorney fees).  [See note below - Maryland has now enacted a similar law, effective October 1, 2026].  </w:t>
      </w:r>
      <w:hyperlink r:id="rId1905" w:history="1">
        <w:r w:rsidRPr="00841548">
          <w:rPr>
            <w:rStyle w:val="Hyperlink"/>
          </w:rPr>
          <w:t>https://www.njcourts.gov/system/files/court-opinions/2026/a3876-23a3886-23.pdf</w:t>
        </w:r>
      </w:hyperlink>
      <w:r>
        <w:t xml:space="preserve"> </w:t>
      </w:r>
    </w:p>
    <w:p w14:paraId="24D2235B" w14:textId="77777777" w:rsidR="00C37020" w:rsidRDefault="00C37020" w:rsidP="00C37020">
      <w:pPr>
        <w:pStyle w:val="NoSpacing"/>
      </w:pPr>
    </w:p>
    <w:p w14:paraId="2CA3298F" w14:textId="77777777" w:rsidR="00C37020" w:rsidRDefault="00C37020" w:rsidP="00C37020">
      <w:pPr>
        <w:pStyle w:val="NoSpacing"/>
      </w:pPr>
      <w:r>
        <w:t xml:space="preserve">THE COURT WROTE: </w:t>
      </w:r>
    </w:p>
    <w:p w14:paraId="0A7E2214" w14:textId="77777777" w:rsidR="00C37020" w:rsidRDefault="00C37020" w:rsidP="00C37020">
      <w:pPr>
        <w:pStyle w:val="NoSpacing"/>
      </w:pPr>
    </w:p>
    <w:p w14:paraId="23EE058D" w14:textId="77777777" w:rsidR="00C37020" w:rsidRDefault="00C37020" w:rsidP="00C37020">
      <w:pPr>
        <w:pStyle w:val="NoSpacing"/>
      </w:pPr>
      <w:r>
        <w:t xml:space="preserve">“In her decision, the ALJ summarized the facts that led to the charges against Mansour. The ALJ also recognized, ‘In April 2022, [the] JCPD Police Director and Deputy Chief issued an order stating that officers were prohibited from using </w:t>
      </w:r>
      <w:r>
        <w:lastRenderedPageBreak/>
        <w:t>cannabis on or off duty as it is illegal under federal law for cannabis users to possess, carry or use firearms.’ The ALJ further observed when</w:t>
      </w:r>
    </w:p>
    <w:p w14:paraId="7D57B31B" w14:textId="77777777" w:rsidR="00C37020" w:rsidRDefault="00C37020" w:rsidP="00C37020">
      <w:pPr>
        <w:pStyle w:val="NoSpacing"/>
      </w:pPr>
      <w:r>
        <w:t>Mansour was tested ‘[</w:t>
      </w:r>
      <w:proofErr w:type="spellStart"/>
      <w:r>
        <w:t>i</w:t>
      </w:r>
      <w:proofErr w:type="spellEnd"/>
      <w:r>
        <w:t xml:space="preserve">]n September 2022[,] regulated marijuana, cannabis was legal in New Jersey and available for purchase from in[-]state cannabis dispensaries.’ She further noted the JCPD did not allege Mansour used cannabis or was impaired while on </w:t>
      </w:r>
      <w:proofErr w:type="gramStart"/>
      <w:r>
        <w:t>duty, or</w:t>
      </w:r>
      <w:proofErr w:type="gramEnd"/>
      <w:r>
        <w:t xml:space="preserve"> used unregulated cannabis…. The ALJ recognized in August 2021, prior to Mansour's random drug screening, ‘N.J.S.A. 24:6I-52 became operative’ and states, in relevant part:</w:t>
      </w:r>
    </w:p>
    <w:p w14:paraId="287F1E8D" w14:textId="77777777" w:rsidR="00C37020" w:rsidRDefault="00C37020" w:rsidP="00C37020">
      <w:pPr>
        <w:pStyle w:val="NoSpacing"/>
        <w:ind w:left="720"/>
      </w:pPr>
    </w:p>
    <w:p w14:paraId="2FC3D7EC" w14:textId="77777777" w:rsidR="00C37020" w:rsidRDefault="00C37020" w:rsidP="00C37020">
      <w:pPr>
        <w:pStyle w:val="NoSpacing"/>
        <w:ind w:left="720"/>
      </w:pPr>
      <w:r>
        <w:t>No employer shall refuse to hire or employ any person</w:t>
      </w:r>
    </w:p>
    <w:p w14:paraId="073F4444" w14:textId="77777777" w:rsidR="00C37020" w:rsidRDefault="00C37020" w:rsidP="00C37020">
      <w:pPr>
        <w:pStyle w:val="NoSpacing"/>
        <w:ind w:firstLine="720"/>
      </w:pPr>
      <w:r>
        <w:t>or shall discharge from employment or take any adverse</w:t>
      </w:r>
    </w:p>
    <w:p w14:paraId="212A9BC7" w14:textId="77777777" w:rsidR="00C37020" w:rsidRDefault="00C37020" w:rsidP="00C37020">
      <w:pPr>
        <w:pStyle w:val="NoSpacing"/>
        <w:ind w:firstLine="720"/>
      </w:pPr>
      <w:r>
        <w:t>action against any employee with respect to</w:t>
      </w:r>
    </w:p>
    <w:p w14:paraId="7AA6E82C" w14:textId="77777777" w:rsidR="00C37020" w:rsidRDefault="00C37020" w:rsidP="00C37020">
      <w:pPr>
        <w:pStyle w:val="NoSpacing"/>
        <w:ind w:firstLine="720"/>
      </w:pPr>
      <w:r>
        <w:t>compensation, terms, conditions, or other privileges of</w:t>
      </w:r>
    </w:p>
    <w:p w14:paraId="7025D9BE" w14:textId="77777777" w:rsidR="00C37020" w:rsidRDefault="00C37020" w:rsidP="00C37020">
      <w:pPr>
        <w:pStyle w:val="NoSpacing"/>
        <w:ind w:firstLine="720"/>
      </w:pPr>
      <w:r>
        <w:t>employment because that person does or does not</w:t>
      </w:r>
    </w:p>
    <w:p w14:paraId="771F2E4E" w14:textId="77777777" w:rsidR="00C37020" w:rsidRDefault="00C37020" w:rsidP="00C37020">
      <w:pPr>
        <w:pStyle w:val="NoSpacing"/>
        <w:ind w:firstLine="720"/>
      </w:pPr>
      <w:r>
        <w:t>smoke, . . . or otherwise use cannabis items, and an</w:t>
      </w:r>
    </w:p>
    <w:p w14:paraId="02404FEA" w14:textId="77777777" w:rsidR="00C37020" w:rsidRDefault="00C37020" w:rsidP="00C37020">
      <w:pPr>
        <w:pStyle w:val="NoSpacing"/>
        <w:ind w:firstLine="720"/>
      </w:pPr>
      <w:r>
        <w:t>employee shall not be subject to any adverse action by</w:t>
      </w:r>
    </w:p>
    <w:p w14:paraId="784674EF" w14:textId="77777777" w:rsidR="00C37020" w:rsidRDefault="00C37020" w:rsidP="00C37020">
      <w:pPr>
        <w:pStyle w:val="NoSpacing"/>
        <w:ind w:firstLine="720"/>
      </w:pPr>
      <w:r>
        <w:t>an employer solely due to the presence of cannabinoid</w:t>
      </w:r>
    </w:p>
    <w:p w14:paraId="4200E61E" w14:textId="77777777" w:rsidR="00C37020" w:rsidRDefault="00C37020" w:rsidP="00C37020">
      <w:pPr>
        <w:pStyle w:val="NoSpacing"/>
        <w:ind w:firstLine="720"/>
      </w:pPr>
      <w:r>
        <w:t>metabolites in the employee's bodily fluid from</w:t>
      </w:r>
    </w:p>
    <w:p w14:paraId="3788F008" w14:textId="77777777" w:rsidR="00C37020" w:rsidRDefault="00C37020" w:rsidP="00C37020">
      <w:pPr>
        <w:pStyle w:val="NoSpacing"/>
        <w:ind w:firstLine="720"/>
      </w:pPr>
      <w:r>
        <w:t>engaging in conduct permitted under [CREAMMA].</w:t>
      </w:r>
    </w:p>
    <w:p w14:paraId="1B6D224C" w14:textId="77777777" w:rsidR="00C37020" w:rsidRDefault="00C37020" w:rsidP="00C37020">
      <w:pPr>
        <w:pStyle w:val="NoSpacing"/>
      </w:pPr>
      <w:r>
        <w:t>***</w:t>
      </w:r>
    </w:p>
    <w:p w14:paraId="44C98AB6" w14:textId="77777777" w:rsidR="00C37020" w:rsidRDefault="00C37020" w:rsidP="00C37020">
      <w:pPr>
        <w:pStyle w:val="NoSpacing"/>
      </w:pPr>
      <w:r w:rsidRPr="00C04A88">
        <w:t xml:space="preserve">In summary, we conclude the JCPD may comply with both the GCA </w:t>
      </w:r>
      <w:r>
        <w:t>[</w:t>
      </w:r>
      <w:r w:rsidRPr="00496437">
        <w:t>federal Gun Control Act (GCA), 18 U.S.C. §§ 921-934</w:t>
      </w:r>
      <w:r>
        <w:t xml:space="preserve">] </w:t>
      </w:r>
      <w:r w:rsidRPr="00C04A88">
        <w:t>and</w:t>
      </w:r>
      <w:r>
        <w:t xml:space="preserve"> </w:t>
      </w:r>
      <w:r w:rsidRPr="00C04A88">
        <w:t>CREAMMA</w:t>
      </w:r>
      <w:r>
        <w:t xml:space="preserve"> [PA Cannabis Regulatory, Enforcement Assistance, and Marketplace Modernization Act, N.J.S.A. 24:6I-31 to -56.] </w:t>
      </w:r>
      <w:r w:rsidRPr="00C04A88">
        <w:t xml:space="preserve"> Because the GCA does not preempt CREAMMA, we discern no</w:t>
      </w:r>
      <w:r>
        <w:t xml:space="preserve"> </w:t>
      </w:r>
      <w:r w:rsidRPr="00C04A88">
        <w:t>error in the CSC's decision that Mansour's and Polanco's use of regulated</w:t>
      </w:r>
      <w:r>
        <w:t xml:space="preserve"> </w:t>
      </w:r>
      <w:r w:rsidRPr="00C04A88">
        <w:t>cannabis, off duty, could not sustain the JCPD's removal decisions. We</w:t>
      </w:r>
      <w:r>
        <w:t xml:space="preserve"> </w:t>
      </w:r>
      <w:r w:rsidRPr="00C04A88">
        <w:t xml:space="preserve">therefore affirm the CSC's July 24, </w:t>
      </w:r>
      <w:proofErr w:type="gramStart"/>
      <w:r w:rsidRPr="00C04A88">
        <w:t>2024</w:t>
      </w:r>
      <w:proofErr w:type="gramEnd"/>
      <w:r w:rsidRPr="00C04A88">
        <w:t xml:space="preserve"> decisions in both matters.</w:t>
      </w:r>
      <w:r>
        <w:t>”</w:t>
      </w:r>
    </w:p>
    <w:p w14:paraId="02DB3E70" w14:textId="77777777" w:rsidR="00C37020" w:rsidRDefault="00C37020" w:rsidP="00C37020">
      <w:pPr>
        <w:pStyle w:val="NoSpacing"/>
      </w:pPr>
    </w:p>
    <w:p w14:paraId="2FF70BC1" w14:textId="77777777" w:rsidR="00C37020" w:rsidRDefault="00C37020" w:rsidP="00C37020">
      <w:pPr>
        <w:pStyle w:val="NoSpacing"/>
        <w:rPr>
          <w:b/>
          <w:bCs/>
        </w:rPr>
      </w:pPr>
      <w:r>
        <w:rPr>
          <w:b/>
        </w:rPr>
        <w:t xml:space="preserve">Legal lesson learned:  Fire &amp; EMS departments, in states where marijuana may be purchased lawfully, should carefully review </w:t>
      </w:r>
      <w:proofErr w:type="gramStart"/>
      <w:r>
        <w:rPr>
          <w:b/>
        </w:rPr>
        <w:t>there</w:t>
      </w:r>
      <w:proofErr w:type="gramEnd"/>
      <w:r>
        <w:rPr>
          <w:b/>
        </w:rPr>
        <w:t xml:space="preserve"> policy; in states </w:t>
      </w:r>
      <w:proofErr w:type="spellStart"/>
      <w:r>
        <w:rPr>
          <w:b/>
        </w:rPr>
        <w:t>kike</w:t>
      </w:r>
      <w:proofErr w:type="spellEnd"/>
      <w:r>
        <w:rPr>
          <w:b/>
        </w:rPr>
        <w:t xml:space="preserve"> New Jersey where legislature has enacted a statute prohibiting employer discipline, the policy may need to be modified. </w:t>
      </w:r>
    </w:p>
    <w:p w14:paraId="338AC661" w14:textId="77777777" w:rsidR="00C37020" w:rsidRDefault="00C37020" w:rsidP="00C37020">
      <w:pPr>
        <w:pStyle w:val="NoSpacing"/>
        <w:rPr>
          <w:b/>
          <w:bCs/>
        </w:rPr>
      </w:pPr>
    </w:p>
    <w:p w14:paraId="6DE94ADB" w14:textId="77777777" w:rsidR="00C37020" w:rsidRPr="003D4E4A" w:rsidRDefault="00C37020" w:rsidP="00C37020">
      <w:pPr>
        <w:pStyle w:val="NoSpacing"/>
        <w:ind w:left="720"/>
      </w:pPr>
      <w:r w:rsidRPr="003D4E4A">
        <w:t xml:space="preserve">Note: See the new Maryland statute for public safety employees, effective Oct. 1, 2026. </w:t>
      </w:r>
    </w:p>
    <w:p w14:paraId="29E9A8AC" w14:textId="77777777" w:rsidR="00C37020" w:rsidRPr="00556B50" w:rsidRDefault="00C37020" w:rsidP="00C37020">
      <w:pPr>
        <w:ind w:firstLine="720"/>
      </w:pPr>
      <w:hyperlink r:id="rId1906" w:history="1">
        <w:r w:rsidRPr="00556B50">
          <w:rPr>
            <w:rStyle w:val="Hyperlink"/>
          </w:rPr>
          <w:t>https://mgaleg.maryland.gov/mgawebsite/Legislation/Details/sb0439/?ys=2026rs</w:t>
        </w:r>
      </w:hyperlink>
    </w:p>
    <w:p w14:paraId="03F8A4BB" w14:textId="77777777" w:rsidR="00C37020" w:rsidRPr="00392CD0" w:rsidRDefault="00C37020" w:rsidP="00C37020">
      <w:pPr>
        <w:pStyle w:val="NoSpacing"/>
        <w:ind w:left="720"/>
        <w:rPr>
          <w:b/>
          <w:bCs/>
        </w:rPr>
      </w:pPr>
      <w:r>
        <w:t xml:space="preserve">Here are some key provisions of the bill: </w:t>
      </w:r>
      <w:hyperlink r:id="rId1907" w:history="1">
        <w:r w:rsidRPr="00841548">
          <w:rPr>
            <w:rStyle w:val="Hyperlink"/>
            <w:b/>
          </w:rPr>
          <w:t>https://mgaleg.maryland.gov/2026RS/bills/sb/sb0439T.pdf</w:t>
        </w:r>
      </w:hyperlink>
      <w:r>
        <w:rPr>
          <w:b/>
        </w:rPr>
        <w:t xml:space="preserve"> </w:t>
      </w:r>
    </w:p>
    <w:p w14:paraId="74D45007" w14:textId="77777777" w:rsidR="00C37020" w:rsidRDefault="00C37020" w:rsidP="00C37020">
      <w:pPr>
        <w:pStyle w:val="NoSpacing"/>
        <w:rPr>
          <w:b/>
        </w:rPr>
      </w:pPr>
    </w:p>
    <w:p w14:paraId="100F224B" w14:textId="77777777" w:rsidR="00C37020" w:rsidRPr="00FB438A" w:rsidRDefault="00C37020" w:rsidP="00C37020">
      <w:pPr>
        <w:pStyle w:val="NoSpacing"/>
        <w:ind w:left="720"/>
        <w:rPr>
          <w:b/>
          <w:bCs/>
        </w:rPr>
      </w:pPr>
      <w:r>
        <w:t xml:space="preserve">See this YouTube video with fire union members celebrating passage of the law. </w:t>
      </w:r>
      <w:hyperlink r:id="rId1908" w:history="1">
        <w:r w:rsidRPr="00841548">
          <w:rPr>
            <w:rStyle w:val="Hyperlink"/>
          </w:rPr>
          <w:t>https://www.facebook.com/watch/?v=2023629185244531</w:t>
        </w:r>
      </w:hyperlink>
    </w:p>
    <w:p w14:paraId="2FA35391" w14:textId="77777777" w:rsidR="00C37020" w:rsidRPr="00C04A88" w:rsidRDefault="00C37020" w:rsidP="00C37020">
      <w:pPr>
        <w:pStyle w:val="NoSpacing"/>
      </w:pPr>
    </w:p>
    <w:p w14:paraId="517D4831" w14:textId="77777777" w:rsidR="0062797C" w:rsidRDefault="0062797C" w:rsidP="00986B93">
      <w:pPr>
        <w:rPr>
          <w:rFonts w:ascii="Arial Black" w:hAnsi="Arial Black"/>
          <w:b/>
          <w:sz w:val="28"/>
          <w:szCs w:val="28"/>
        </w:rPr>
      </w:pPr>
    </w:p>
    <w:p w14:paraId="25A52A75" w14:textId="77777777" w:rsidR="0062797C" w:rsidRDefault="0062797C" w:rsidP="00986B93">
      <w:pPr>
        <w:rPr>
          <w:rFonts w:ascii="Arial Black" w:hAnsi="Arial Black"/>
          <w:b/>
          <w:sz w:val="28"/>
          <w:szCs w:val="28"/>
        </w:rPr>
      </w:pPr>
    </w:p>
    <w:p w14:paraId="49A51511" w14:textId="77777777" w:rsidR="0062797C" w:rsidRDefault="0062797C" w:rsidP="00986B93">
      <w:pPr>
        <w:rPr>
          <w:rFonts w:ascii="Arial Black" w:hAnsi="Arial Black"/>
          <w:b/>
          <w:sz w:val="28"/>
          <w:szCs w:val="28"/>
        </w:rPr>
      </w:pPr>
    </w:p>
    <w:p w14:paraId="5E682FA1" w14:textId="4C5A9223" w:rsidR="00E147E0" w:rsidRDefault="00E147E0" w:rsidP="00986B93">
      <w:pPr>
        <w:rPr>
          <w:rFonts w:ascii="Arial Black" w:hAnsi="Arial Black"/>
          <w:b/>
          <w:sz w:val="28"/>
          <w:szCs w:val="28"/>
        </w:rPr>
      </w:pPr>
      <w:r>
        <w:rPr>
          <w:rFonts w:ascii="Arial Black" w:hAnsi="Arial Black"/>
          <w:b/>
          <w:sz w:val="28"/>
          <w:szCs w:val="28"/>
        </w:rPr>
        <w:t>12-38</w:t>
      </w:r>
    </w:p>
    <w:p w14:paraId="5E348CFC" w14:textId="3BF5C3E0" w:rsidR="00986B93" w:rsidRPr="00D52490" w:rsidRDefault="00986B93" w:rsidP="00986B93">
      <w:pPr>
        <w:rPr>
          <w:rFonts w:ascii="Arial Black" w:hAnsi="Arial Black"/>
          <w:b/>
          <w:sz w:val="28"/>
          <w:szCs w:val="28"/>
        </w:rPr>
      </w:pPr>
      <w:r>
        <w:rPr>
          <w:rFonts w:ascii="Arial Black" w:hAnsi="Arial Black"/>
          <w:b/>
          <w:sz w:val="28"/>
          <w:szCs w:val="28"/>
        </w:rPr>
        <w:t>U.S. SUP. CT. – MARIJUANA LEGAL 40 STATES – OWN GUN</w:t>
      </w:r>
    </w:p>
    <w:p w14:paraId="2111969C" w14:textId="77777777" w:rsidR="00986B93" w:rsidRDefault="00986B93" w:rsidP="00986B93">
      <w:pPr>
        <w:pStyle w:val="NoSpacing"/>
      </w:pPr>
      <w:r>
        <w:t xml:space="preserve">On June 18, 2026, in </w:t>
      </w:r>
      <w:r w:rsidRPr="00270B86">
        <w:rPr>
          <w:u w:val="single"/>
        </w:rPr>
        <w:t>United States v. Ali Hemani</w:t>
      </w:r>
      <w:r>
        <w:t xml:space="preserve">, the United States Supreme Court held (9 to 0) that federal law banning possession of a firearm for someone who regularly smokes marijuana is violation of Second Amendment; recognizing that millions of Americans now regularly use marijuana. The opinion by Justice Neil, the Court held unconstitutional a provision in the federal Gun Control Act, §922(g)(3): anyone who is an “unlawful user of ” or “addicted to” a “controlled substance” is automatically banned from possessing a gun. In future litigation, this case may impact Fire Departments </w:t>
      </w:r>
      <w:r>
        <w:lastRenderedPageBreak/>
        <w:t>that seek to prohibit (rather than impose restrictions) the use of proscribed marijuana. The Court wrote: “Whatever one thinks of these developments, the federal government has not just tolerated them; it helped fuel them. All of which leaves it awkwardly positioned to suggest that the millions of Americans who now regularly use marijuana are categorically and unusually dangerous.”</w:t>
      </w:r>
    </w:p>
    <w:p w14:paraId="3ACBAA33" w14:textId="77777777" w:rsidR="00986B93" w:rsidRPr="00270B86" w:rsidRDefault="00986B93" w:rsidP="00986B93">
      <w:pPr>
        <w:rPr>
          <w:bCs/>
        </w:rPr>
      </w:pPr>
      <w:r>
        <w:t xml:space="preserve"> </w:t>
      </w:r>
      <w:hyperlink r:id="rId1909" w:history="1">
        <w:r w:rsidRPr="004E2277">
          <w:rPr>
            <w:rStyle w:val="Hyperlink"/>
          </w:rPr>
          <w:t>https://www.supremecourt.gov/opinions/25pdf/24-1234_g2bh.pdf</w:t>
        </w:r>
      </w:hyperlink>
      <w:r>
        <w:t xml:space="preserve"> </w:t>
      </w:r>
    </w:p>
    <w:p w14:paraId="324D43F7" w14:textId="77777777" w:rsidR="00986B93" w:rsidRDefault="00986B93" w:rsidP="00986B93">
      <w:pPr>
        <w:rPr>
          <w:b/>
        </w:rPr>
      </w:pPr>
      <w:r>
        <w:rPr>
          <w:b/>
        </w:rPr>
        <w:t>FACTS:</w:t>
      </w:r>
    </w:p>
    <w:p w14:paraId="5935219D" w14:textId="77777777" w:rsidR="00986B93" w:rsidRDefault="00986B93" w:rsidP="00986B93">
      <w:pPr>
        <w:pStyle w:val="NoSpacing"/>
      </w:pPr>
      <w:r>
        <w:t>“</w:t>
      </w:r>
      <w:r w:rsidRPr="00AF0E8D">
        <w:t>Ali Hemani uses marijuana a few times a week. That fact</w:t>
      </w:r>
      <w:r>
        <w:t xml:space="preserve"> </w:t>
      </w:r>
      <w:r w:rsidRPr="00AF0E8D">
        <w:t>alone, the government says, means he is automatically</w:t>
      </w:r>
      <w:r>
        <w:t xml:space="preserve"> </w:t>
      </w:r>
      <w:r w:rsidRPr="00AF0E8D">
        <w:t>banned from possessing a firearm under federal law. And</w:t>
      </w:r>
      <w:r>
        <w:t xml:space="preserve"> </w:t>
      </w:r>
      <w:r w:rsidRPr="00AF0E8D">
        <w:t>because Mr. Hemani admits he owns a gun despite this ban,</w:t>
      </w:r>
      <w:r>
        <w:t xml:space="preserve"> </w:t>
      </w:r>
      <w:r w:rsidRPr="00AF0E8D">
        <w:t>the government now seeks to prosecute him, imprison him</w:t>
      </w:r>
      <w:r>
        <w:t xml:space="preserve"> </w:t>
      </w:r>
      <w:r w:rsidRPr="00AF0E8D">
        <w:t>for up to 15 years, and disarm him for life. This case poses</w:t>
      </w:r>
      <w:r>
        <w:t xml:space="preserve"> </w:t>
      </w:r>
      <w:r w:rsidRPr="00AF0E8D">
        <w:t>the question whether the government’s prosecution of Mr.</w:t>
      </w:r>
      <w:r>
        <w:t xml:space="preserve"> </w:t>
      </w:r>
      <w:r w:rsidRPr="00AF0E8D">
        <w:t>Hemani is consistent with the Second Amendment.</w:t>
      </w:r>
    </w:p>
    <w:p w14:paraId="6657576E" w14:textId="77777777" w:rsidR="00986B93" w:rsidRDefault="00986B93" w:rsidP="00986B93">
      <w:pPr>
        <w:pStyle w:val="NoSpacing"/>
      </w:pPr>
    </w:p>
    <w:p w14:paraId="3FC1F72B" w14:textId="77777777" w:rsidR="00986B93" w:rsidRDefault="00986B93" w:rsidP="00986B93">
      <w:pPr>
        <w:pStyle w:val="NoSpacing"/>
      </w:pPr>
      <w:r>
        <w:t>***</w:t>
      </w:r>
    </w:p>
    <w:p w14:paraId="0F340F28" w14:textId="77777777" w:rsidR="00986B93" w:rsidRDefault="00986B93" w:rsidP="00986B93">
      <w:pPr>
        <w:pStyle w:val="NoSpacing"/>
      </w:pPr>
      <w:r>
        <w:t xml:space="preserve">Mr. Hemani is a dual citizen of the United States and Pakistan who was born in Texas and has spent most of his life there. In recent years, he has lived in the Dallas area with his parents and worked a stable job. But, suspecting Mr. Hemani and his family members of terrorism-related activities, the government conducted a search </w:t>
      </w:r>
      <w:proofErr w:type="gramStart"/>
      <w:r>
        <w:t>of</w:t>
      </w:r>
      <w:proofErr w:type="gramEnd"/>
      <w:r>
        <w:t xml:space="preserve"> the family home in 2022. Throughout the process, Mr. Hemani proved cooperative. He surrendered a gun he kept in the house and </w:t>
      </w:r>
      <w:proofErr w:type="gramStart"/>
      <w:r>
        <w:t>pointed agents to</w:t>
      </w:r>
      <w:proofErr w:type="gramEnd"/>
      <w:r>
        <w:t xml:space="preserve"> some marijuana on the property. He also consented to an interview, telling law enforcement agents that he used marijuana ‘about every other </w:t>
      </w:r>
      <w:proofErr w:type="gramStart"/>
      <w:r>
        <w:t>day.”’</w:t>
      </w:r>
      <w:proofErr w:type="gramEnd"/>
      <w:r>
        <w:t xml:space="preserve"> …  After the agents found cocaine in his parents’ closet, Mr. Hemani claimed ownership of that as well, though he maintained that his mother had hidden it from him and that he had not used any recently.</w:t>
      </w:r>
    </w:p>
    <w:p w14:paraId="5B361F89" w14:textId="77777777" w:rsidR="00986B93" w:rsidRDefault="00986B93" w:rsidP="00986B93">
      <w:pPr>
        <w:pStyle w:val="NoSpacing"/>
      </w:pPr>
    </w:p>
    <w:p w14:paraId="4664B8D7" w14:textId="77777777" w:rsidR="00986B93" w:rsidRDefault="00986B93" w:rsidP="00986B93">
      <w:pPr>
        <w:pStyle w:val="NoSpacing"/>
      </w:pPr>
      <w:r>
        <w:t xml:space="preserve">More than six months after the search, the government brought a single-charge indictment against Mr. Hemani. The charge had nothing to do with </w:t>
      </w:r>
      <w:proofErr w:type="gramStart"/>
      <w:r>
        <w:t>terrorism—</w:t>
      </w:r>
      <w:proofErr w:type="gramEnd"/>
      <w:r>
        <w:t>the reason for the search in the first place. Nor did the charge involve possession of cocaine, drug trafficking, or anything like that. Instead, relying solely on his admitted use of marijuana about every other day, the government prosecuted Mr. Hemani for knowingly possessing a gun in his home while being an ‘unlawful user’ of a controlled substance…. For that alone, the government claimed, Mr. Hemani</w:t>
      </w:r>
    </w:p>
    <w:p w14:paraId="2113E36E" w14:textId="77777777" w:rsidR="00986B93" w:rsidRDefault="00986B93" w:rsidP="00986B93">
      <w:pPr>
        <w:pStyle w:val="NoSpacing"/>
      </w:pPr>
      <w:r>
        <w:t>faced up to 15 years in prison and disarmament for life.</w:t>
      </w:r>
    </w:p>
    <w:p w14:paraId="1308A5D7" w14:textId="77777777" w:rsidR="00986B93" w:rsidRDefault="00986B93" w:rsidP="00986B93">
      <w:pPr>
        <w:pStyle w:val="NoSpacing"/>
      </w:pPr>
    </w:p>
    <w:p w14:paraId="4DCEE965" w14:textId="77777777" w:rsidR="00986B93" w:rsidRDefault="00986B93" w:rsidP="00986B93">
      <w:pPr>
        <w:pStyle w:val="NoSpacing"/>
      </w:pPr>
      <w:r>
        <w:t>***</w:t>
      </w:r>
    </w:p>
    <w:p w14:paraId="15DC9BB0" w14:textId="77777777" w:rsidR="00986B93" w:rsidRDefault="00986B93" w:rsidP="00986B93">
      <w:pPr>
        <w:pStyle w:val="NoSpacing"/>
      </w:pPr>
      <w:r>
        <w:t>Mr. Hemani moved to dismiss the indictment, arguing that the government’s effort to enforce §922(g)(3) against him violated the Second Amendment. The district court granted the motion and, after an unsuccessful appeal to the Fifth Circuit, the government asked us to review the case. We agreed to do so.</w:t>
      </w:r>
    </w:p>
    <w:p w14:paraId="4B4D7A2A" w14:textId="77777777" w:rsidR="00986B93" w:rsidRDefault="00986B93" w:rsidP="00986B93">
      <w:pPr>
        <w:pStyle w:val="NoSpacing"/>
      </w:pPr>
    </w:p>
    <w:p w14:paraId="7654852E" w14:textId="77777777" w:rsidR="00986B93" w:rsidRDefault="00986B93" w:rsidP="00986B93">
      <w:pPr>
        <w:pStyle w:val="NoSpacing"/>
        <w:rPr>
          <w:b/>
          <w:bCs/>
        </w:rPr>
      </w:pPr>
      <w:r w:rsidRPr="00B1025D">
        <w:rPr>
          <w:b/>
        </w:rPr>
        <w:t xml:space="preserve">COURT HELD: </w:t>
      </w:r>
    </w:p>
    <w:p w14:paraId="23863371" w14:textId="77777777" w:rsidR="00986B93" w:rsidRDefault="00986B93" w:rsidP="00986B93">
      <w:pPr>
        <w:pStyle w:val="NoSpacing"/>
        <w:rPr>
          <w:b/>
          <w:bCs/>
        </w:rPr>
      </w:pPr>
    </w:p>
    <w:p w14:paraId="6E704818" w14:textId="77777777" w:rsidR="00986B93" w:rsidRPr="00CB01DE" w:rsidRDefault="00986B93" w:rsidP="00986B93">
      <w:pPr>
        <w:pStyle w:val="NoSpacing"/>
      </w:pPr>
      <w:r>
        <w:t>“</w:t>
      </w:r>
      <w:r w:rsidRPr="00CB01DE">
        <w:t>The law, says the government, doesn’t</w:t>
      </w:r>
      <w:r>
        <w:t xml:space="preserve"> </w:t>
      </w:r>
      <w:r w:rsidRPr="00CB01DE">
        <w:t>require anything more. It doesn’t matter what controlled</w:t>
      </w:r>
    </w:p>
    <w:p w14:paraId="648ABCF3" w14:textId="77777777" w:rsidR="00986B93" w:rsidRDefault="00986B93" w:rsidP="00986B93">
      <w:pPr>
        <w:pStyle w:val="NoSpacing"/>
      </w:pPr>
      <w:r w:rsidRPr="00CB01DE">
        <w:t>substance an individual uses, in what amounts he does so,</w:t>
      </w:r>
      <w:r>
        <w:t xml:space="preserve"> </w:t>
      </w:r>
      <w:r w:rsidRPr="00CB01DE">
        <w:t>or whether his drug use has ever made him a danger to himself or others. It doesn’t even matter why he keeps a gun or</w:t>
      </w:r>
      <w:r>
        <w:t xml:space="preserve"> </w:t>
      </w:r>
      <w:r w:rsidRPr="00CB01DE">
        <w:t>how safely he does so. And for violating this automatic ban,</w:t>
      </w:r>
      <w:r>
        <w:t xml:space="preserve"> </w:t>
      </w:r>
      <w:r w:rsidRPr="00CB01DE">
        <w:t xml:space="preserve">the government </w:t>
      </w:r>
      <w:proofErr w:type="gramStart"/>
      <w:r w:rsidRPr="00CB01DE">
        <w:t>insists,</w:t>
      </w:r>
      <w:proofErr w:type="gramEnd"/>
      <w:r w:rsidRPr="00CB01DE">
        <w:t xml:space="preserve"> an individual like Mr. Hemani may</w:t>
      </w:r>
      <w:r>
        <w:t xml:space="preserve"> </w:t>
      </w:r>
      <w:r w:rsidRPr="00CB01DE">
        <w:t>be sent to prison for up to 15 years and disarmed for life.</w:t>
      </w:r>
    </w:p>
    <w:p w14:paraId="397F9669" w14:textId="77777777" w:rsidR="00986B93" w:rsidRDefault="00986B93" w:rsidP="00986B93">
      <w:pPr>
        <w:pStyle w:val="NoSpacing"/>
      </w:pPr>
    </w:p>
    <w:p w14:paraId="6EBA15B4" w14:textId="77777777" w:rsidR="00986B93" w:rsidRDefault="00986B93" w:rsidP="00986B93">
      <w:pPr>
        <w:pStyle w:val="NoSpacing"/>
      </w:pPr>
      <w:r>
        <w:t>***</w:t>
      </w:r>
    </w:p>
    <w:p w14:paraId="73DF993E" w14:textId="77777777" w:rsidR="00986B93" w:rsidRDefault="00986B93" w:rsidP="00986B93">
      <w:pPr>
        <w:pStyle w:val="NoSpacing"/>
      </w:pPr>
      <w:r>
        <w:t xml:space="preserve">The second reason has to do with the government’s approach to the drug at issue here. As this case came to us, marijuana was listed on Schedule I—a schedule reserved for drugs with ‘a high potential for abuse’ with ‘no currently accepted medical use.’ 21 U. S. C. §812(b)(1). But after we heard oral argument, the government moved some marijuana products to Schedule III, 91 Fed. Reg. 22714 (2026), a schedule that applies to drugs with a lower potential for dependence and abuse and for which a ‘currently accepted medical use’ exists, §812(b)(3). </w:t>
      </w:r>
    </w:p>
    <w:p w14:paraId="6406CD4B" w14:textId="77777777" w:rsidR="00986B93" w:rsidRDefault="00986B93" w:rsidP="00986B93">
      <w:pPr>
        <w:pStyle w:val="NoSpacing"/>
      </w:pPr>
    </w:p>
    <w:p w14:paraId="73FE9421" w14:textId="77777777" w:rsidR="00986B93" w:rsidRDefault="00986B93" w:rsidP="00986B93">
      <w:pPr>
        <w:pStyle w:val="NoSpacing"/>
      </w:pPr>
      <w:r>
        <w:t>Years before that, too, the Department of Justice issued a memorandum directing federal prosecutors nationwide to curtail their enforcement efforts against marijuana users even while all</w:t>
      </w:r>
    </w:p>
    <w:p w14:paraId="0885A6AF" w14:textId="77777777" w:rsidR="00986B93" w:rsidRDefault="00986B93" w:rsidP="00986B93">
      <w:pPr>
        <w:pStyle w:val="NoSpacing"/>
      </w:pPr>
      <w:proofErr w:type="gramStart"/>
      <w:r>
        <w:t>marijuana</w:t>
      </w:r>
      <w:proofErr w:type="gramEnd"/>
      <w:r>
        <w:t xml:space="preserve"> products remained on Schedule I. Attorney General Memo (Aug. 29, 2013).</w:t>
      </w:r>
    </w:p>
    <w:p w14:paraId="0A58423F" w14:textId="77777777" w:rsidR="00986B93" w:rsidRDefault="00986B93" w:rsidP="00986B93">
      <w:pPr>
        <w:pStyle w:val="NoSpacing"/>
      </w:pPr>
    </w:p>
    <w:p w14:paraId="76F226FA" w14:textId="77777777" w:rsidR="00986B93" w:rsidRDefault="00986B93" w:rsidP="00986B93">
      <w:pPr>
        <w:pStyle w:val="NoSpacing"/>
      </w:pPr>
      <w:r>
        <w:lastRenderedPageBreak/>
        <w:t>Seismic changes followed that memorandum. While marijuana use largely remained unlawful under federal law, the number of federal offenders sentenced for possession of marijuana dwindled. See United States Sentencing Commission, Interactive Data Analyzer. And most States responded by legalizing marijuana use to one degree or another as a matter of state law. See Nat. Conf. of State Legislatures, State Medical Cannabis Laws (June 27, 2025)(‘Forty states, three territories and the District of Columbia’ have legalized some marijuana use). As a result, some</w:t>
      </w:r>
    </w:p>
    <w:p w14:paraId="42CE3896" w14:textId="77777777" w:rsidR="00986B93" w:rsidRDefault="00986B93" w:rsidP="00986B93">
      <w:pPr>
        <w:pStyle w:val="NoSpacing"/>
      </w:pPr>
      <w:r>
        <w:t>surveys suggest there now may be more adults in this country who regularly use marijuana than consume alcohol. See, e.g., J. Caulkins, Changes in Self-Reported Cannabis Use in the United States from 1979 to 2022, 119 Addiction 1648 (2024) (finding, for the first time in 2022, more individuals who self-report daily or near-daily marijuana use than alcohol use). Whatever one thinks of these developments, the federal government has not just tolerated them; it helped fuel them. All of which leaves it awkwardly positioned to suggest that the millions of Americans who now regularly use marijuana are categorically and unusually dangerous.”</w:t>
      </w:r>
    </w:p>
    <w:p w14:paraId="7C5D9E64" w14:textId="77777777" w:rsidR="00986B93" w:rsidRDefault="00986B93" w:rsidP="00986B93">
      <w:pPr>
        <w:pStyle w:val="NoSpacing"/>
      </w:pPr>
    </w:p>
    <w:p w14:paraId="2E92629B" w14:textId="77777777" w:rsidR="00986B93" w:rsidRPr="00AD5B03" w:rsidRDefault="00986B93" w:rsidP="00986B93">
      <w:pPr>
        <w:pStyle w:val="NoSpacing"/>
        <w:rPr>
          <w:b/>
          <w:bCs/>
        </w:rPr>
      </w:pPr>
      <w:r>
        <w:rPr>
          <w:b/>
        </w:rPr>
        <w:t xml:space="preserve">Legal lesson learned: The unanimous decision may be cited in future litigation against fire departments that prohibit use of proscribed marijuana. </w:t>
      </w:r>
    </w:p>
    <w:p w14:paraId="40DDACF3" w14:textId="77777777" w:rsidR="00986B93" w:rsidRDefault="00986B93" w:rsidP="00986B93">
      <w:pPr>
        <w:pStyle w:val="NoSpacing"/>
        <w:rPr>
          <w:sz w:val="20"/>
          <w:szCs w:val="20"/>
        </w:rPr>
      </w:pPr>
    </w:p>
    <w:p w14:paraId="71A7F468" w14:textId="77777777" w:rsidR="00986B93" w:rsidRDefault="00986B93" w:rsidP="00A13485">
      <w:pPr>
        <w:rPr>
          <w:rFonts w:ascii="Arial Black" w:hAnsi="Arial Black"/>
          <w:b/>
          <w:sz w:val="24"/>
          <w:szCs w:val="24"/>
        </w:rPr>
      </w:pPr>
    </w:p>
    <w:p w14:paraId="775F90C6" w14:textId="77777777" w:rsidR="00986B93" w:rsidRDefault="00986B93" w:rsidP="00A13485">
      <w:pPr>
        <w:rPr>
          <w:rFonts w:ascii="Arial Black" w:hAnsi="Arial Black"/>
          <w:b/>
          <w:sz w:val="24"/>
          <w:szCs w:val="24"/>
        </w:rPr>
      </w:pPr>
    </w:p>
    <w:p w14:paraId="07EB053C" w14:textId="77777777" w:rsidR="00986B93" w:rsidRDefault="00986B93" w:rsidP="00A13485">
      <w:pPr>
        <w:rPr>
          <w:rFonts w:ascii="Arial Black" w:hAnsi="Arial Black"/>
          <w:b/>
          <w:sz w:val="24"/>
          <w:szCs w:val="24"/>
        </w:rPr>
      </w:pPr>
    </w:p>
    <w:p w14:paraId="75398E76" w14:textId="284205F3" w:rsidR="00A13485" w:rsidRDefault="00A13485" w:rsidP="00A13485">
      <w:pPr>
        <w:rPr>
          <w:rFonts w:ascii="Arial Black" w:hAnsi="Arial Black"/>
          <w:b/>
          <w:sz w:val="28"/>
          <w:szCs w:val="28"/>
        </w:rPr>
      </w:pPr>
      <w:r>
        <w:rPr>
          <w:rFonts w:ascii="Arial Black" w:hAnsi="Arial Black"/>
          <w:b/>
          <w:sz w:val="24"/>
          <w:szCs w:val="24"/>
        </w:rPr>
        <w:t>12-37</w:t>
      </w:r>
    </w:p>
    <w:p w14:paraId="7D8E5026" w14:textId="4BF0F025" w:rsidR="00A13485" w:rsidRPr="0086572F" w:rsidRDefault="00A13485" w:rsidP="00A13485">
      <w:pPr>
        <w:pStyle w:val="NoSpacing"/>
        <w:rPr>
          <w:rFonts w:ascii="Arial Black" w:hAnsi="Arial Black"/>
          <w:b/>
          <w:sz w:val="28"/>
          <w:szCs w:val="28"/>
        </w:rPr>
      </w:pPr>
      <w:r>
        <w:rPr>
          <w:rFonts w:ascii="Arial Black" w:hAnsi="Arial Black"/>
          <w:b/>
          <w:sz w:val="28"/>
          <w:szCs w:val="28"/>
        </w:rPr>
        <w:t>LA: CAPT PTSD – 2</w:t>
      </w:r>
      <w:r w:rsidRPr="00DC1547">
        <w:rPr>
          <w:rFonts w:ascii="Arial Black" w:hAnsi="Arial Black"/>
          <w:b/>
          <w:sz w:val="28"/>
          <w:szCs w:val="28"/>
          <w:vertAlign w:val="superscript"/>
        </w:rPr>
        <w:t>nd</w:t>
      </w:r>
      <w:r>
        <w:rPr>
          <w:rFonts w:ascii="Arial Black" w:hAnsi="Arial Black"/>
          <w:b/>
          <w:sz w:val="28"/>
          <w:szCs w:val="28"/>
        </w:rPr>
        <w:t xml:space="preserve"> POSITIVE MJ – TERMINATION UPHELD</w:t>
      </w:r>
    </w:p>
    <w:p w14:paraId="57A5BA10" w14:textId="77777777" w:rsidR="00A13485" w:rsidRDefault="00A13485" w:rsidP="00A13485">
      <w:pPr>
        <w:pStyle w:val="NoSpacing"/>
      </w:pPr>
    </w:p>
    <w:p w14:paraId="0BDFE62F" w14:textId="77777777" w:rsidR="00A13485" w:rsidRDefault="00A13485" w:rsidP="00A13485">
      <w:pPr>
        <w:pStyle w:val="NoSpacing"/>
        <w:rPr>
          <w:b/>
        </w:rPr>
      </w:pPr>
      <w:r>
        <w:t xml:space="preserve">On April 23, 2026, </w:t>
      </w:r>
      <w:r w:rsidRPr="001627E8">
        <w:rPr>
          <w:u w:val="single"/>
        </w:rPr>
        <w:t>In Re Appeal of Todd David</w:t>
      </w:r>
      <w:r>
        <w:t xml:space="preserve">, the </w:t>
      </w:r>
      <w:r w:rsidRPr="004D370E">
        <w:t>Court of Appeals of Louisiana, First Circuit</w:t>
      </w:r>
      <w:r>
        <w:t xml:space="preserve"> held (3 to 0) that the Fire &amp; Police Board had reasonable basis for the termination, and trial court judge improperly reversed the Board.  On September 14, 2022, the firefighter tested positive for marijuana; at the pre-termination hearing he stated that a doctor gave him the marijuana recommendation because he experienced issues during his sleep due to PTSD.  This was his second positive for marijuana; 1999 he testified positive and signed a rehabilitation agreement that under Board’s ordinance, police and firefighters, as ‘safety-sensitive” employees, can only have one positive in their employment.  The City of Baton Rouge has more lenient policy.  </w:t>
      </w:r>
      <w:hyperlink r:id="rId1910" w:history="1">
        <w:r w:rsidRPr="006400E9">
          <w:rPr>
            <w:rStyle w:val="Hyperlink"/>
            <w:b/>
          </w:rPr>
          <w:t>https://cases.justia.com/louisiana/first-circuit-court-of-appeal/2026-2025cw0332.pdf?ts=1776975731</w:t>
        </w:r>
      </w:hyperlink>
      <w:r>
        <w:rPr>
          <w:b/>
        </w:rPr>
        <w:t xml:space="preserve"> </w:t>
      </w:r>
    </w:p>
    <w:p w14:paraId="278E61E8" w14:textId="77777777" w:rsidR="00A13485" w:rsidRDefault="00A13485" w:rsidP="00A13485">
      <w:pPr>
        <w:pStyle w:val="NoSpacing"/>
        <w:rPr>
          <w:b/>
        </w:rPr>
      </w:pPr>
    </w:p>
    <w:p w14:paraId="1C4ECA0A" w14:textId="77777777" w:rsidR="00A13485" w:rsidRPr="004D370E" w:rsidRDefault="00A13485" w:rsidP="00A13485">
      <w:pPr>
        <w:pStyle w:val="NoSpacing"/>
        <w:rPr>
          <w:bCs/>
        </w:rPr>
      </w:pPr>
      <w:r>
        <w:t>THE COURT HELD:</w:t>
      </w:r>
    </w:p>
    <w:p w14:paraId="15A9A36C" w14:textId="77777777" w:rsidR="00A13485" w:rsidRDefault="00A13485" w:rsidP="00A13485">
      <w:pPr>
        <w:pStyle w:val="NoSpacing"/>
      </w:pPr>
    </w:p>
    <w:p w14:paraId="27EF2C25" w14:textId="77777777" w:rsidR="00A13485" w:rsidRDefault="00A13485" w:rsidP="00A13485">
      <w:pPr>
        <w:pStyle w:val="NoSpacing"/>
        <w:ind w:firstLine="720"/>
      </w:pPr>
      <w:r>
        <w:t>“The district court exceeded its authority by reversing the board's decision in this</w:t>
      </w:r>
    </w:p>
    <w:p w14:paraId="1D7D4CFA" w14:textId="77777777" w:rsidR="00A13485" w:rsidRDefault="00A13485" w:rsidP="00A13485">
      <w:pPr>
        <w:pStyle w:val="NoSpacing"/>
        <w:ind w:firstLine="720"/>
      </w:pPr>
      <w:r>
        <w:t>matter…. [T</w:t>
      </w:r>
      <w:proofErr w:type="gramStart"/>
      <w:r>
        <w:t xml:space="preserve">]he </w:t>
      </w:r>
      <w:proofErr w:type="gramEnd"/>
      <w:r>
        <w:t xml:space="preserve">evidence in the administrative record establishes </w:t>
      </w:r>
      <w:proofErr w:type="gramStart"/>
      <w:r>
        <w:t>the reasonableness</w:t>
      </w:r>
      <w:proofErr w:type="gramEnd"/>
    </w:p>
    <w:p w14:paraId="6AFEDBE0" w14:textId="77777777" w:rsidR="00A13485" w:rsidRDefault="00A13485" w:rsidP="00A13485">
      <w:pPr>
        <w:pStyle w:val="NoSpacing"/>
        <w:ind w:firstLine="720"/>
      </w:pPr>
      <w:r>
        <w:t>of the board' s determination. After all, David' s attorney did not dispute that there was a</w:t>
      </w:r>
    </w:p>
    <w:p w14:paraId="4E45FE09" w14:textId="77777777" w:rsidR="00A13485" w:rsidRDefault="00A13485" w:rsidP="00A13485">
      <w:pPr>
        <w:pStyle w:val="NoSpacing"/>
        <w:ind w:firstLine="720"/>
      </w:pPr>
      <w:r>
        <w:t>“</w:t>
      </w:r>
      <w:proofErr w:type="gramStart"/>
      <w:r>
        <w:t>positive</w:t>
      </w:r>
      <w:proofErr w:type="gramEnd"/>
      <w:r>
        <w:t xml:space="preserve"> test" at the hearing. Instead, David argued that he did not know his use of</w:t>
      </w:r>
    </w:p>
    <w:p w14:paraId="6E2F7B34" w14:textId="77777777" w:rsidR="00A13485" w:rsidRDefault="00A13485" w:rsidP="00A13485">
      <w:pPr>
        <w:pStyle w:val="NoSpacing"/>
        <w:ind w:left="720"/>
      </w:pPr>
      <w:proofErr w:type="gramStart"/>
      <w:r>
        <w:t>marijuana</w:t>
      </w:r>
      <w:proofErr w:type="gramEnd"/>
      <w:r>
        <w:t xml:space="preserve"> under these circumstances would jeopardize his employment.</w:t>
      </w:r>
    </w:p>
    <w:p w14:paraId="2E967539" w14:textId="77777777" w:rsidR="00A13485" w:rsidRDefault="00A13485" w:rsidP="00A13485">
      <w:pPr>
        <w:pStyle w:val="NoSpacing"/>
        <w:ind w:left="720"/>
      </w:pPr>
    </w:p>
    <w:p w14:paraId="5D1BE4F2" w14:textId="77777777" w:rsidR="00A13485" w:rsidRDefault="00A13485" w:rsidP="00A13485">
      <w:pPr>
        <w:pStyle w:val="NoSpacing"/>
        <w:ind w:left="720"/>
      </w:pPr>
      <w:r>
        <w:t>***</w:t>
      </w:r>
    </w:p>
    <w:p w14:paraId="122AFE92" w14:textId="77777777" w:rsidR="00A13485" w:rsidRDefault="00A13485" w:rsidP="00A13485">
      <w:pPr>
        <w:pStyle w:val="NoSpacing"/>
        <w:ind w:left="720"/>
      </w:pPr>
      <w:r>
        <w:t>Chief Kimble' s termination letter did not find David's actions were justified, stating:</w:t>
      </w:r>
    </w:p>
    <w:p w14:paraId="1674D4AC" w14:textId="77777777" w:rsidR="00A13485" w:rsidRDefault="00A13485" w:rsidP="00A13485">
      <w:pPr>
        <w:pStyle w:val="NoSpacing"/>
        <w:ind w:left="720"/>
      </w:pPr>
      <w:r>
        <w:t>“</w:t>
      </w:r>
      <w:proofErr w:type="gramStart"/>
      <w:r>
        <w:t>particularly</w:t>
      </w:r>
      <w:proofErr w:type="gramEnd"/>
      <w:r>
        <w:t xml:space="preserve"> since you [ David] previously acknowledged to me [ Chief Kimble] that you</w:t>
      </w:r>
    </w:p>
    <w:p w14:paraId="1B0F95B7" w14:textId="77777777" w:rsidR="00A13485" w:rsidRDefault="00A13485" w:rsidP="00A13485">
      <w:pPr>
        <w:pStyle w:val="NoSpacing"/>
        <w:ind w:left="720"/>
      </w:pPr>
      <w:r>
        <w:t>were aware [ taking] medical marijuana would place me in the difficult position to have</w:t>
      </w:r>
    </w:p>
    <w:p w14:paraId="3FEF4F0B" w14:textId="77777777" w:rsidR="00A13485" w:rsidRDefault="00A13485" w:rsidP="00A13485">
      <w:pPr>
        <w:pStyle w:val="NoSpacing"/>
        <w:ind w:left="720"/>
      </w:pPr>
      <w:r>
        <w:t xml:space="preserve">to make a decision regarding your employment." </w:t>
      </w:r>
    </w:p>
    <w:p w14:paraId="5AB8305C" w14:textId="77777777" w:rsidR="00A13485" w:rsidRDefault="00A13485" w:rsidP="00A13485">
      <w:pPr>
        <w:pStyle w:val="NoSpacing"/>
        <w:ind w:left="720"/>
      </w:pPr>
    </w:p>
    <w:p w14:paraId="672431AE" w14:textId="77777777" w:rsidR="00A13485" w:rsidRDefault="00A13485" w:rsidP="00A13485">
      <w:pPr>
        <w:pStyle w:val="NoSpacing"/>
        <w:ind w:left="720"/>
      </w:pPr>
      <w:r>
        <w:t>***</w:t>
      </w:r>
    </w:p>
    <w:p w14:paraId="7292CE81" w14:textId="77777777" w:rsidR="00A13485" w:rsidRDefault="00A13485" w:rsidP="00A13485">
      <w:pPr>
        <w:pStyle w:val="NoSpacing"/>
        <w:ind w:left="720"/>
      </w:pPr>
      <w:r>
        <w:t xml:space="preserve">David suggested that it would be unfair to terminate him for violating a rule that he was unable to find-- either on his employer's website, the State Examiner's website, or in the BRFD policy manual. In response, BRFD pointed out that the rehabilitation agreement David signed in 1999 specifically cited the Fire and Police Board' s </w:t>
      </w:r>
      <w:r>
        <w:lastRenderedPageBreak/>
        <w:t>Drug -Free Ordinance. BRFD also pointed out that its policy manual was implemented in 1997, when there were no valid recommendations for medical marijuana.”</w:t>
      </w:r>
    </w:p>
    <w:p w14:paraId="05091318" w14:textId="77777777" w:rsidR="00A13485" w:rsidRDefault="00A13485" w:rsidP="00A13485">
      <w:pPr>
        <w:pStyle w:val="NoSpacing"/>
        <w:ind w:left="720"/>
      </w:pPr>
    </w:p>
    <w:p w14:paraId="482E264F" w14:textId="77777777" w:rsidR="00A13485" w:rsidRPr="00AC3281" w:rsidRDefault="00A13485" w:rsidP="00A13485">
      <w:pPr>
        <w:pStyle w:val="NoSpacing"/>
        <w:rPr>
          <w:b/>
          <w:bCs/>
        </w:rPr>
      </w:pPr>
      <w:r>
        <w:rPr>
          <w:b/>
        </w:rPr>
        <w:t xml:space="preserve">Legal lesson learned: Fire Boards can implement tougher drug-free policy than city policy; it would also be helpful to update FD policy manual with the policy. </w:t>
      </w:r>
    </w:p>
    <w:p w14:paraId="2D806D15" w14:textId="77777777" w:rsidR="00A13485" w:rsidRDefault="00A13485" w:rsidP="00A13485">
      <w:pPr>
        <w:pStyle w:val="NoSpacing"/>
        <w:rPr>
          <w:bCs/>
        </w:rPr>
      </w:pPr>
    </w:p>
    <w:p w14:paraId="35FD28BA" w14:textId="77777777" w:rsidR="001C5665" w:rsidRDefault="001C5665" w:rsidP="00800ACD">
      <w:pPr>
        <w:rPr>
          <w:rFonts w:ascii="Arial Black" w:hAnsi="Arial Black"/>
          <w:b/>
          <w:sz w:val="24"/>
          <w:szCs w:val="24"/>
        </w:rPr>
      </w:pPr>
    </w:p>
    <w:p w14:paraId="231DD3AF" w14:textId="77777777" w:rsidR="001C5665" w:rsidRDefault="001C5665" w:rsidP="00800ACD">
      <w:pPr>
        <w:rPr>
          <w:rFonts w:ascii="Arial Black" w:hAnsi="Arial Black"/>
          <w:b/>
          <w:sz w:val="24"/>
          <w:szCs w:val="24"/>
        </w:rPr>
      </w:pPr>
    </w:p>
    <w:p w14:paraId="630D72B0" w14:textId="4C1029BB" w:rsidR="006C0A0C" w:rsidRDefault="006C0A0C" w:rsidP="00800ACD">
      <w:pPr>
        <w:rPr>
          <w:rFonts w:ascii="Arial Black" w:hAnsi="Arial Black"/>
          <w:b/>
          <w:sz w:val="24"/>
          <w:szCs w:val="24"/>
        </w:rPr>
      </w:pPr>
      <w:r>
        <w:rPr>
          <w:rFonts w:ascii="Arial Black" w:hAnsi="Arial Black"/>
          <w:b/>
          <w:sz w:val="24"/>
          <w:szCs w:val="24"/>
        </w:rPr>
        <w:t>12-36</w:t>
      </w:r>
    </w:p>
    <w:p w14:paraId="4D4EEE90" w14:textId="77777777" w:rsidR="00B170D7" w:rsidRDefault="00B170D7" w:rsidP="00B170D7">
      <w:pPr>
        <w:pStyle w:val="NoSpacing"/>
        <w:rPr>
          <w:rFonts w:ascii="Arial Black" w:hAnsi="Arial Black"/>
          <w:b/>
          <w:sz w:val="28"/>
          <w:szCs w:val="28"/>
        </w:rPr>
      </w:pPr>
      <w:r>
        <w:rPr>
          <w:rFonts w:ascii="Arial Black" w:hAnsi="Arial Black"/>
          <w:b/>
          <w:sz w:val="28"/>
          <w:szCs w:val="28"/>
        </w:rPr>
        <w:t>FL: DRUG-TEST - FF/EMT TOOK HUSBAND’S DRUG – FIRED</w:t>
      </w:r>
    </w:p>
    <w:p w14:paraId="6822E340" w14:textId="77777777" w:rsidR="00B170D7" w:rsidRDefault="00B170D7" w:rsidP="00B170D7">
      <w:pPr>
        <w:pStyle w:val="NoSpacing"/>
        <w:rPr>
          <w:bCs/>
        </w:rPr>
      </w:pPr>
    </w:p>
    <w:p w14:paraId="1D74FF65" w14:textId="77777777" w:rsidR="00B170D7" w:rsidRDefault="00B170D7" w:rsidP="00B170D7">
      <w:pPr>
        <w:pStyle w:val="NoSpacing"/>
      </w:pPr>
      <w:r w:rsidRPr="00442D02">
        <w:t xml:space="preserve">On March 4, 2026, in </w:t>
      </w:r>
      <w:r w:rsidRPr="00442D02">
        <w:rPr>
          <w:u w:val="single"/>
        </w:rPr>
        <w:t>Dawn Oakley v. Polk County Board of Commissioners</w:t>
      </w:r>
      <w:r>
        <w:rPr>
          <w:b/>
        </w:rPr>
        <w:t xml:space="preserve">,  </w:t>
      </w:r>
      <w:r w:rsidRPr="008864DD">
        <w:t>U.S. District Court Judge</w:t>
      </w:r>
      <w:r>
        <w:t xml:space="preserve"> Virginia M. Hernandez Covington</w:t>
      </w:r>
      <w:r w:rsidRPr="008864DD">
        <w:t>, United States District Court, Middle District of Florida, Tampa Division</w:t>
      </w:r>
      <w:r>
        <w:t xml:space="preserve">, granted the County’s motion for summary judgment. </w:t>
      </w:r>
      <w:r w:rsidRPr="00430AF4">
        <w:t> </w:t>
      </w:r>
      <w:r>
        <w:t>The Court wrote: “</w:t>
      </w:r>
      <w:r w:rsidRPr="00430AF4">
        <w:t xml:space="preserve">Ms. Oakley argues that termination was a draconian punishment for a good employee who made a mistake. The Court tends to agree and has sympathy for Ms. Oakley. But this Court cannot second guess whether the County's decision was </w:t>
      </w:r>
      <w:r>
        <w:t>“</w:t>
      </w:r>
      <w:r w:rsidRPr="00430AF4">
        <w:t>prudent or fair.</w:t>
      </w:r>
      <w:r>
        <w:t xml:space="preserve">”… </w:t>
      </w:r>
      <w:r w:rsidRPr="00E97B54">
        <w:t> This Court does “not sit as a super-personnel department that reexamines an entity's business decisions.</w:t>
      </w:r>
      <w:r>
        <w:t xml:space="preserve">” </w:t>
      </w:r>
      <w:hyperlink r:id="rId1911" w:history="1">
        <w:r w:rsidRPr="00502BCE">
          <w:rPr>
            <w:rStyle w:val="Hyperlink"/>
          </w:rPr>
          <w:t>https://ecf.flmd.uscourts.gov/cgi-bin/show_public_doc?2025-00120-37-8-cv</w:t>
        </w:r>
      </w:hyperlink>
      <w:r>
        <w:t xml:space="preserve"> </w:t>
      </w:r>
    </w:p>
    <w:p w14:paraId="2C7683CF" w14:textId="77777777" w:rsidR="00B170D7" w:rsidRDefault="00B170D7" w:rsidP="00B170D7">
      <w:pPr>
        <w:pStyle w:val="NoSpacing"/>
      </w:pPr>
    </w:p>
    <w:p w14:paraId="59AB65ED" w14:textId="77777777" w:rsidR="00B170D7" w:rsidRDefault="00B170D7" w:rsidP="00B170D7">
      <w:pPr>
        <w:pStyle w:val="NoSpacing"/>
      </w:pPr>
      <w:r>
        <w:t>THE COURT HELD: “</w:t>
      </w:r>
      <w:r w:rsidRPr="002965D8">
        <w:t>On March 28, 2022, Ms. Oakley was selected to undergo a random drug test</w:t>
      </w:r>
      <w:r>
        <w:t xml:space="preserve">…. </w:t>
      </w:r>
      <w:r w:rsidRPr="002965D8">
        <w:t>Before she drove to Bartow where the test would be administered, Ms. Oakley took two pills from her to-go pill bottle that she believed were Tylenol to alleviate her back pain</w:t>
      </w:r>
      <w:r>
        <w:t>….</w:t>
      </w:r>
      <w:r w:rsidRPr="002965D8">
        <w:t>But Ms. Oakley accidentally ingested her husband's Vyvanse, which she mistook for Tylenol</w:t>
      </w:r>
      <w:r>
        <w:t>….</w:t>
      </w:r>
      <w:r w:rsidRPr="002965D8">
        <w:t xml:space="preserve"> The weekend before her drug test, Ms. Oakley put one of her husband's Vyvanse pills in her to-go pill bottle in case they decided to spend the night in Orlando after a concert</w:t>
      </w:r>
      <w:r>
        <w:t xml:space="preserve">…. </w:t>
      </w:r>
      <w:r w:rsidRPr="002965D8">
        <w:t>Ms. Oakley had forgotten about her husband's Vyvanse, failing to remove it from her to-go bottle</w:t>
      </w:r>
      <w:r>
        <w:t xml:space="preserve">…. </w:t>
      </w:r>
      <w:r w:rsidRPr="002965D8">
        <w:t>Ms. Oakley completed a breathalyzer test and provided a urine sample</w:t>
      </w:r>
      <w:r>
        <w:t xml:space="preserve">…. </w:t>
      </w:r>
      <w:r w:rsidRPr="007803F7">
        <w:t>Ms. Oakley admitted to taking 70 milligrams of Vyvanse, and, although she did not feel any effects from the medication, she was still under its influence during her shift.</w:t>
      </w:r>
    </w:p>
    <w:p w14:paraId="1F722B1D" w14:textId="77777777" w:rsidR="00B170D7" w:rsidRDefault="00B170D7" w:rsidP="00B170D7">
      <w:pPr>
        <w:pStyle w:val="NoSpacing"/>
      </w:pPr>
    </w:p>
    <w:p w14:paraId="79ECAE3B" w14:textId="77777777" w:rsidR="00B170D7" w:rsidRDefault="00B170D7" w:rsidP="00B170D7">
      <w:pPr>
        <w:pStyle w:val="NoSpacing"/>
      </w:pPr>
      <w:r>
        <w:t>***</w:t>
      </w:r>
    </w:p>
    <w:p w14:paraId="07E4FE34" w14:textId="77777777" w:rsidR="00B170D7" w:rsidRDefault="00B170D7" w:rsidP="00B170D7">
      <w:pPr>
        <w:pStyle w:val="NoSpacing"/>
      </w:pPr>
    </w:p>
    <w:p w14:paraId="76F8D29A" w14:textId="77777777" w:rsidR="00B170D7" w:rsidRDefault="00B170D7" w:rsidP="00B170D7">
      <w:pPr>
        <w:pStyle w:val="NoSpacing"/>
      </w:pPr>
      <w:r w:rsidRPr="00F97586">
        <w:t>From January 2015 through December 2023, Polk County either terminated or allowed resignation in lieu of termination for 14 employees after positive random drug tests</w:t>
      </w:r>
      <w:r>
        <w:t>….</w:t>
      </w:r>
      <w:r w:rsidRPr="00F97586">
        <w:t>Eight of these employees, including Ms. Oakley, worked for PCFR</w:t>
      </w:r>
      <w:r>
        <w:t xml:space="preserve">…. </w:t>
      </w:r>
      <w:r w:rsidRPr="00F97586">
        <w:t xml:space="preserve">The group included two African American males, one Hispanic </w:t>
      </w:r>
      <w:r>
        <w:t xml:space="preserve"> </w:t>
      </w:r>
      <w:r w:rsidRPr="00F97586">
        <w:t>male, and one white male</w:t>
      </w:r>
      <w:r>
        <w:t xml:space="preserve">…. </w:t>
      </w:r>
      <w:r w:rsidRPr="00F97586">
        <w:t>The fifth male did not disclose his racial identity, so that remains unknown</w:t>
      </w:r>
      <w:r>
        <w:t xml:space="preserve">…. </w:t>
      </w:r>
      <w:r w:rsidRPr="00F97586">
        <w:t>In addition to Ms. Oakley, two white females have also been terminated for positive drug tests</w:t>
      </w:r>
      <w:r>
        <w:t xml:space="preserve">…. </w:t>
      </w:r>
      <w:r w:rsidRPr="00F97586">
        <w:t>Four white males and two Hispanic males who worked in the County's other divisions also lost their jobs after positive drug tests.</w:t>
      </w:r>
      <w:r>
        <w:t>”</w:t>
      </w:r>
    </w:p>
    <w:p w14:paraId="42B44340" w14:textId="77777777" w:rsidR="00B170D7" w:rsidRDefault="00B170D7" w:rsidP="00B170D7">
      <w:pPr>
        <w:pStyle w:val="NoSpacing"/>
      </w:pPr>
    </w:p>
    <w:p w14:paraId="1884B7E8" w14:textId="77777777" w:rsidR="00B170D7" w:rsidRPr="00F97586" w:rsidRDefault="00B170D7" w:rsidP="00B170D7">
      <w:pPr>
        <w:pStyle w:val="NoSpacing"/>
        <w:rPr>
          <w:b/>
          <w:bCs/>
        </w:rPr>
      </w:pPr>
      <w:r w:rsidRPr="003E0542">
        <w:rPr>
          <w:b/>
        </w:rPr>
        <w:t xml:space="preserve">Legal lesson learned: </w:t>
      </w:r>
      <w:r>
        <w:rPr>
          <w:b/>
        </w:rPr>
        <w:t xml:space="preserve">The County has consistently followed its drug free workplace policy (even if it may be called “harsh”). </w:t>
      </w:r>
    </w:p>
    <w:p w14:paraId="1E9A86A8" w14:textId="77777777" w:rsidR="006C0A0C" w:rsidRDefault="006C0A0C" w:rsidP="00800ACD">
      <w:pPr>
        <w:rPr>
          <w:rFonts w:ascii="Arial Black" w:hAnsi="Arial Black"/>
          <w:b/>
          <w:sz w:val="24"/>
          <w:szCs w:val="24"/>
        </w:rPr>
      </w:pPr>
    </w:p>
    <w:p w14:paraId="0D4247D4" w14:textId="77777777" w:rsidR="006C0A0C" w:rsidRDefault="006C0A0C" w:rsidP="00800ACD">
      <w:pPr>
        <w:rPr>
          <w:rFonts w:ascii="Arial Black" w:hAnsi="Arial Black"/>
          <w:b/>
          <w:sz w:val="24"/>
          <w:szCs w:val="24"/>
        </w:rPr>
      </w:pPr>
    </w:p>
    <w:p w14:paraId="7FCA3057" w14:textId="15F5AEDE" w:rsidR="005F4889" w:rsidRDefault="005F4889" w:rsidP="00800ACD">
      <w:pPr>
        <w:rPr>
          <w:rFonts w:ascii="Arial Black" w:hAnsi="Arial Black"/>
          <w:b/>
          <w:sz w:val="24"/>
          <w:szCs w:val="24"/>
        </w:rPr>
      </w:pPr>
      <w:r>
        <w:rPr>
          <w:rFonts w:ascii="Arial Black" w:hAnsi="Arial Black"/>
          <w:b/>
          <w:sz w:val="24"/>
          <w:szCs w:val="24"/>
        </w:rPr>
        <w:t>12-35</w:t>
      </w:r>
    </w:p>
    <w:p w14:paraId="5599C142" w14:textId="77777777" w:rsidR="00C812C2" w:rsidRPr="00E361DB" w:rsidRDefault="00C812C2" w:rsidP="00C812C2">
      <w:pPr>
        <w:rPr>
          <w:rFonts w:ascii="Arial Black" w:hAnsi="Arial Black"/>
          <w:b/>
          <w:sz w:val="28"/>
          <w:szCs w:val="28"/>
        </w:rPr>
      </w:pPr>
      <w:r>
        <w:rPr>
          <w:rFonts w:ascii="Arial Black" w:hAnsi="Arial Black"/>
          <w:b/>
          <w:sz w:val="28"/>
          <w:szCs w:val="28"/>
        </w:rPr>
        <w:t xml:space="preserve">FL: B/C MJ MEDICAL USE – DEMOTED -  NOT COVERED ADA </w:t>
      </w:r>
    </w:p>
    <w:p w14:paraId="0697D919" w14:textId="77777777" w:rsidR="00C812C2" w:rsidRDefault="00C812C2" w:rsidP="00C812C2">
      <w:pPr>
        <w:pStyle w:val="NoSpacing"/>
      </w:pPr>
      <w:r>
        <w:lastRenderedPageBreak/>
        <w:t>On January 13, 2026</w:t>
      </w:r>
      <w:proofErr w:type="gramStart"/>
      <w:r>
        <w:t>, in</w:t>
      </w:r>
      <w:proofErr w:type="gramEnd"/>
      <w:r>
        <w:t xml:space="preserve"> </w:t>
      </w:r>
      <w:r w:rsidRPr="005515CC">
        <w:rPr>
          <w:u w:val="single"/>
        </w:rPr>
        <w:t>John Beckman v. The Collier County Board of Commissioners</w:t>
      </w:r>
      <w:r>
        <w:t xml:space="preserve">, Senior U.S. District Court Judge John E. Steele, United States District Court for the Middle District of Florida, Fort Myers Division, granted summary judgment to the County; even though Florida allows medically prescribed marijuana, it is still an illegal Federal drug and under ADA persons using illegal drugs are not “qualified individual.” The record shows that Beckman’s disability disclosures to Fire Department occurred in October 2020, April 2021, and September 2022. He  was selected for random drug testing on September 1, 2023, and after testing positive, placed on unpaid administrative leave, returned to work on October 17, </w:t>
      </w:r>
      <w:proofErr w:type="gramStart"/>
      <w:r>
        <w:t>2023</w:t>
      </w:r>
      <w:proofErr w:type="gramEnd"/>
      <w:r>
        <w:t xml:space="preserve"> he was demoted.  He </w:t>
      </w:r>
      <w:proofErr w:type="gramStart"/>
      <w:r>
        <w:t>resigned</w:t>
      </w:r>
      <w:proofErr w:type="gramEnd"/>
      <w:r>
        <w:t xml:space="preserve"> November 9, 2023.  </w:t>
      </w:r>
      <w:hyperlink r:id="rId1912" w:history="1">
        <w:r w:rsidRPr="00EB79A3">
          <w:rPr>
            <w:rStyle w:val="Hyperlink"/>
          </w:rPr>
          <w:t>https://cases.justia.com/federal/district-courts/florida/flmdce/2:2024cv00585/429227/35/0.pdf?ts=1768388107</w:t>
        </w:r>
      </w:hyperlink>
      <w:r>
        <w:t xml:space="preserve"> </w:t>
      </w:r>
    </w:p>
    <w:p w14:paraId="0A703893" w14:textId="77777777" w:rsidR="00C812C2" w:rsidRDefault="00C812C2" w:rsidP="00C812C2">
      <w:pPr>
        <w:pStyle w:val="NoSpacing"/>
      </w:pPr>
    </w:p>
    <w:p w14:paraId="0E37247D" w14:textId="77777777" w:rsidR="00C812C2" w:rsidRDefault="00C812C2" w:rsidP="00C812C2">
      <w:pPr>
        <w:pStyle w:val="NoSpacing"/>
      </w:pPr>
      <w:r>
        <w:t>THE COURT HELD:</w:t>
      </w:r>
    </w:p>
    <w:p w14:paraId="747F9504" w14:textId="77777777" w:rsidR="00C812C2" w:rsidRDefault="00C812C2" w:rsidP="00C812C2">
      <w:pPr>
        <w:pStyle w:val="NoSpacing"/>
      </w:pPr>
    </w:p>
    <w:p w14:paraId="5D84B0D7" w14:textId="77777777" w:rsidR="00C812C2" w:rsidRDefault="00C812C2" w:rsidP="00C812C2">
      <w:pPr>
        <w:pStyle w:val="NoSpacing"/>
        <w:ind w:left="720"/>
      </w:pPr>
      <w:r>
        <w:t>“</w:t>
      </w:r>
      <w:r w:rsidRPr="00AF601A">
        <w:t>Beckman began his employment with the County in 2006 as an</w:t>
      </w:r>
      <w:r>
        <w:t xml:space="preserve"> </w:t>
      </w:r>
      <w:r w:rsidRPr="00AF601A">
        <w:t>Emergency Medical Technician. Beckman enjoyed a successful career</w:t>
      </w:r>
      <w:r>
        <w:t xml:space="preserve"> </w:t>
      </w:r>
      <w:r w:rsidRPr="00AF601A">
        <w:t>with the County, and by 2016 had been promoted to Battalion Chief.</w:t>
      </w:r>
      <w:r>
        <w:t xml:space="preserve"> </w:t>
      </w:r>
      <w:r w:rsidRPr="00AF601A">
        <w:t>At all relevant times Beckman had been able to perform the</w:t>
      </w:r>
      <w:r>
        <w:t xml:space="preserve"> </w:t>
      </w:r>
      <w:r w:rsidRPr="00AF601A">
        <w:t xml:space="preserve">essential functions of his employment position with </w:t>
      </w:r>
      <w:proofErr w:type="gramStart"/>
      <w:r w:rsidRPr="00AF601A">
        <w:t>an</w:t>
      </w:r>
      <w:r>
        <w:t xml:space="preserve"> </w:t>
      </w:r>
      <w:r w:rsidRPr="00AF601A">
        <w:t>accommodation</w:t>
      </w:r>
      <w:proofErr w:type="gramEnd"/>
      <w:r w:rsidRPr="00AF601A">
        <w:t xml:space="preserve"> for a gastrointestinal condition that substantially</w:t>
      </w:r>
      <w:r>
        <w:t xml:space="preserve"> </w:t>
      </w:r>
      <w:r w:rsidRPr="00AF601A">
        <w:t>limits his major life activities. After multiple medications</w:t>
      </w:r>
      <w:r>
        <w:t xml:space="preserve"> </w:t>
      </w:r>
      <w:r w:rsidRPr="00AF601A">
        <w:t>proved unsuccessful in managing the condition, on September 12,</w:t>
      </w:r>
      <w:r>
        <w:t xml:space="preserve"> </w:t>
      </w:r>
      <w:r w:rsidRPr="00AF601A">
        <w:t>2020, Beckman obtained a certification for medical marijuana use</w:t>
      </w:r>
      <w:r>
        <w:t xml:space="preserve"> </w:t>
      </w:r>
      <w:r w:rsidRPr="00AF601A">
        <w:t>from the State of Florida.</w:t>
      </w:r>
    </w:p>
    <w:p w14:paraId="468101A5" w14:textId="77777777" w:rsidR="00C812C2" w:rsidRDefault="00C812C2" w:rsidP="00C812C2">
      <w:pPr>
        <w:pStyle w:val="NoSpacing"/>
        <w:ind w:left="720"/>
      </w:pPr>
    </w:p>
    <w:p w14:paraId="5E28F31A" w14:textId="77777777" w:rsidR="00C812C2" w:rsidRDefault="00C812C2" w:rsidP="00C812C2">
      <w:pPr>
        <w:pStyle w:val="NoSpacing"/>
        <w:ind w:left="720"/>
      </w:pPr>
      <w:r>
        <w:t>***</w:t>
      </w:r>
    </w:p>
    <w:p w14:paraId="64031651" w14:textId="77777777" w:rsidR="00C812C2" w:rsidRDefault="00C812C2" w:rsidP="00C812C2">
      <w:pPr>
        <w:pStyle w:val="NoSpacing"/>
        <w:ind w:left="720"/>
      </w:pPr>
    </w:p>
    <w:p w14:paraId="657C1484" w14:textId="77777777" w:rsidR="00C812C2" w:rsidRDefault="00C812C2" w:rsidP="00C812C2">
      <w:pPr>
        <w:pStyle w:val="NoSpacing"/>
        <w:ind w:left="720"/>
      </w:pPr>
      <w:r>
        <w:t>In October 2020 Beckman notified both Deputy Chief Tony Camps (‘Deputy Chief Camps’) and Chief Tabatha Butcher (‘Chief Butcher’)about his medical marijuana use certification…. Beckman would periodically request and receive paid time off because of his medical condition. There were no issues about Beckman’s work performance, and Beckman continued to use the medical marijuana on and off as needed. Beckman was only tested at work because of the random drug testing protocol, and until September 1, 2023, he had never tested positive for the presence of marijuana in his system.</w:t>
      </w:r>
    </w:p>
    <w:p w14:paraId="642BE5CA" w14:textId="77777777" w:rsidR="00C812C2" w:rsidRDefault="00C812C2" w:rsidP="00C812C2">
      <w:pPr>
        <w:pStyle w:val="NoSpacing"/>
        <w:ind w:left="720"/>
      </w:pPr>
    </w:p>
    <w:p w14:paraId="031B6E6C" w14:textId="77777777" w:rsidR="00C812C2" w:rsidRDefault="00C812C2" w:rsidP="00C812C2">
      <w:pPr>
        <w:pStyle w:val="NoSpacing"/>
        <w:ind w:left="720"/>
      </w:pPr>
      <w:r>
        <w:t>On September 1, 2023, Beckman was selected for random drug testing as part of the County’s testing protocol. The test came back positive for the presence of marijuana in Beckman’s system, and he was immediately placed on unpaid administrative leave until completing counseling with a substance abuse professional and returning a negative drug screening.</w:t>
      </w:r>
    </w:p>
    <w:p w14:paraId="4E67D843" w14:textId="77777777" w:rsidR="00C812C2" w:rsidRDefault="00C812C2" w:rsidP="00C812C2">
      <w:pPr>
        <w:pStyle w:val="NoSpacing"/>
        <w:ind w:left="720"/>
      </w:pPr>
    </w:p>
    <w:p w14:paraId="00E05092" w14:textId="77777777" w:rsidR="00C812C2" w:rsidRDefault="00C812C2" w:rsidP="00C812C2">
      <w:pPr>
        <w:pStyle w:val="NoSpacing"/>
        <w:ind w:left="720"/>
      </w:pPr>
      <w:r>
        <w:t xml:space="preserve">Beckman was cleared to return to work after testing negative for illegal substances on October 17, 2023. By October 24, 2023, Beckman received and signed a Behavioral Action Plan (‘BAP’) which included: (1) a thirty-day suspension credited as time served, (2) demotion from Battalion Chief II to Paramedic II with an approximate 24.5% pay cut, (3) a six-month driving prohibition, (4) a six-month probationary period, and (5) ineligibility for promotional opportunities for up to twenty-four months. Beckman did not appeal this </w:t>
      </w:r>
      <w:proofErr w:type="gramStart"/>
      <w:r>
        <w:t>discipline, but</w:t>
      </w:r>
      <w:proofErr w:type="gramEnd"/>
      <w:r>
        <w:t xml:space="preserve"> was unwilling to accept the demotion in rank. Beckman submitted a letter of resignation on October 26, 2023, and terminated his employment with the County on November 9, 2023. Beckman characterizes this as a constructive discharge by the County.</w:t>
      </w:r>
    </w:p>
    <w:p w14:paraId="387FAD6F" w14:textId="77777777" w:rsidR="00C812C2" w:rsidRDefault="00C812C2" w:rsidP="00C812C2">
      <w:pPr>
        <w:pStyle w:val="NoSpacing"/>
        <w:ind w:left="720"/>
      </w:pPr>
    </w:p>
    <w:p w14:paraId="152D3E3D" w14:textId="77777777" w:rsidR="00C812C2" w:rsidRDefault="00C812C2" w:rsidP="00C812C2">
      <w:pPr>
        <w:pStyle w:val="NoSpacing"/>
        <w:ind w:left="720"/>
      </w:pPr>
      <w:r>
        <w:t>***</w:t>
      </w:r>
    </w:p>
    <w:p w14:paraId="03B970F9" w14:textId="77777777" w:rsidR="00C812C2" w:rsidRDefault="00C812C2" w:rsidP="00C812C2">
      <w:pPr>
        <w:pStyle w:val="NoSpacing"/>
        <w:ind w:left="720"/>
      </w:pPr>
      <w:r>
        <w:t xml:space="preserve">Beckman’s use of marijuana, even pursuant to his Florida certificate, was illegal under federal law, and the statutory exclusion is not satisfied by the Florida medical marijuana program. Accordingly, Beckman was not a qualified individual with a disability under the ADA…. But even construing this conduct as being a requested accommodation to allow the use of marijuana, it was not reasonable under the ADA because medical marijuana use was and still is illegal under federal law. Accordingly, any failure to accommodate claim based on the underlying facts fails as a matter of </w:t>
      </w:r>
      <w:proofErr w:type="gramStart"/>
      <w:r>
        <w:t>law.”</w:t>
      </w:r>
      <w:proofErr w:type="gramEnd"/>
    </w:p>
    <w:p w14:paraId="7C2FA684" w14:textId="77777777" w:rsidR="00C812C2" w:rsidRDefault="00C812C2" w:rsidP="00C812C2">
      <w:pPr>
        <w:pStyle w:val="NoSpacing"/>
        <w:ind w:left="720"/>
      </w:pPr>
    </w:p>
    <w:p w14:paraId="4B1420A5" w14:textId="77777777" w:rsidR="00C812C2" w:rsidRPr="003032F5" w:rsidRDefault="00C812C2" w:rsidP="00C812C2">
      <w:pPr>
        <w:pStyle w:val="NoSpacing"/>
        <w:rPr>
          <w:b/>
          <w:bCs/>
        </w:rPr>
      </w:pPr>
      <w:r>
        <w:rPr>
          <w:b/>
        </w:rPr>
        <w:t xml:space="preserve">Legal lesson learned: Unfortunate to discipline a Battalion Chief for use of proscribed medical marijuana; numerous fire departments have in their </w:t>
      </w:r>
      <w:proofErr w:type="gramStart"/>
      <w:r>
        <w:rPr>
          <w:b/>
        </w:rPr>
        <w:t>policies</w:t>
      </w:r>
      <w:proofErr w:type="gramEnd"/>
      <w:r>
        <w:rPr>
          <w:b/>
        </w:rPr>
        <w:t xml:space="preserve"> or Collective Bargaining Agreements recognized the use of proscribed medical marijuana.</w:t>
      </w:r>
    </w:p>
    <w:p w14:paraId="5E353C2C" w14:textId="77777777" w:rsidR="00C812C2" w:rsidRDefault="00C812C2" w:rsidP="00C812C2">
      <w:pPr>
        <w:pStyle w:val="NoSpacing"/>
      </w:pPr>
    </w:p>
    <w:p w14:paraId="3B5242D8" w14:textId="77777777" w:rsidR="00C812C2" w:rsidRDefault="00C812C2" w:rsidP="00C812C2">
      <w:pPr>
        <w:pStyle w:val="NoSpacing"/>
        <w:ind w:left="720"/>
      </w:pPr>
      <w:r>
        <w:lastRenderedPageBreak/>
        <w:t xml:space="preserve">Note: The Drug Enforcement Administration (DEA) recently proposed a new rule to reclassify Marijuana as a Schedule III drug, which would allow use of marijuana for medical treatment. On December 18, </w:t>
      </w:r>
      <w:proofErr w:type="gramStart"/>
      <w:r>
        <w:t>2025</w:t>
      </w:r>
      <w:proofErr w:type="gramEnd"/>
      <w:r>
        <w:t xml:space="preserve"> President Donald J. Trump has issued an Executive Order to speed up consideration of the reclassification of marijuana. Increasing</w:t>
      </w:r>
    </w:p>
    <w:p w14:paraId="5DDB30A8" w14:textId="77777777" w:rsidR="00C812C2" w:rsidRDefault="00C812C2" w:rsidP="00C812C2">
      <w:pPr>
        <w:pStyle w:val="NoSpacing"/>
        <w:ind w:left="720"/>
      </w:pPr>
      <w:r>
        <w:t xml:space="preserve">Medical Marijuana and Cannabidiol Research, 90 FR 60541. </w:t>
      </w:r>
      <w:hyperlink r:id="rId1913" w:history="1">
        <w:r w:rsidRPr="00EB79A3">
          <w:rPr>
            <w:rStyle w:val="Hyperlink"/>
          </w:rPr>
          <w:t>https://www.federalregister.gov/documents/2025/12/23/2025-23846/increasing-medical-marijuana-and-cannabidiol-research</w:t>
        </w:r>
      </w:hyperlink>
      <w:r>
        <w:t xml:space="preserve"> </w:t>
      </w:r>
    </w:p>
    <w:p w14:paraId="3CE69537" w14:textId="77777777" w:rsidR="00C812C2" w:rsidRDefault="00C812C2" w:rsidP="00C812C2">
      <w:pPr>
        <w:pStyle w:val="NoSpacing"/>
        <w:ind w:left="720"/>
      </w:pPr>
    </w:p>
    <w:p w14:paraId="74F7464E" w14:textId="77777777" w:rsidR="00C812C2" w:rsidRDefault="00C812C2" w:rsidP="00C812C2">
      <w:pPr>
        <w:pStyle w:val="NoSpacing"/>
        <w:ind w:left="720"/>
        <w:rPr>
          <w:bCs/>
        </w:rPr>
      </w:pPr>
      <w:r>
        <w:t xml:space="preserve">See also: Dec. 22, 2025: MD – </w:t>
      </w:r>
      <w:r w:rsidRPr="005841E1">
        <w:t xml:space="preserve">Howard County firefighters may use medical cannabis during off-hours, starting soon. </w:t>
      </w:r>
      <w:hyperlink r:id="rId1914" w:history="1">
        <w:r w:rsidRPr="00815351">
          <w:rPr>
            <w:rStyle w:val="Hyperlink"/>
          </w:rPr>
          <w:t>https://baltimorefishbowl.com/stories/howard-county-firefighters-medical-cannabis/</w:t>
        </w:r>
      </w:hyperlink>
      <w:r>
        <w:t xml:space="preserve"> </w:t>
      </w:r>
    </w:p>
    <w:p w14:paraId="4D510AAF" w14:textId="77777777" w:rsidR="00C812C2" w:rsidRPr="005841E1" w:rsidRDefault="00C812C2" w:rsidP="00C812C2">
      <w:pPr>
        <w:pStyle w:val="NoSpacing"/>
        <w:ind w:left="720"/>
        <w:rPr>
          <w:bCs/>
        </w:rPr>
      </w:pPr>
      <w:r w:rsidRPr="00BC6E53">
        <w:t>Howard County Executive Calvin Ball on Friday announced an agreement between Howard County Government and the Howard County International Association of Fire Fighters (IAFF) Local 2000 to allow County Department of Fire and Rescue Services (DFRS) uniformed personnel off-duty usage of medical cannabis. The employees may not use the substance 12 hours before reporting to work, and they must present a valid medical cannabis authorization form to the County’s Office of Human Resources.</w:t>
      </w:r>
    </w:p>
    <w:p w14:paraId="3913A83A" w14:textId="77777777" w:rsidR="00C812C2" w:rsidRDefault="00C812C2" w:rsidP="00C812C2">
      <w:pPr>
        <w:pStyle w:val="NoSpacing"/>
        <w:ind w:left="720"/>
      </w:pPr>
    </w:p>
    <w:p w14:paraId="42298BF1" w14:textId="77777777" w:rsidR="00C812C2" w:rsidRPr="00C83C95" w:rsidRDefault="00C812C2" w:rsidP="00C812C2">
      <w:pPr>
        <w:pStyle w:val="NoSpacing"/>
        <w:ind w:left="720"/>
        <w:rPr>
          <w:b/>
        </w:rPr>
      </w:pPr>
      <w:r w:rsidRPr="00C83C95">
        <w:t>New policy allows Howard County firefighters to use medical cannabis</w:t>
      </w:r>
      <w:r>
        <w:t xml:space="preserve">. </w:t>
      </w:r>
      <w:hyperlink r:id="rId1915" w:history="1">
        <w:r w:rsidRPr="00815351">
          <w:rPr>
            <w:rStyle w:val="Hyperlink"/>
          </w:rPr>
          <w:t>https://www.youtube.com/watch?v=wVEUB8WSdp8</w:t>
        </w:r>
      </w:hyperlink>
      <w:r>
        <w:t xml:space="preserve"> </w:t>
      </w:r>
    </w:p>
    <w:p w14:paraId="4EEA7258" w14:textId="77777777" w:rsidR="00C812C2" w:rsidRDefault="00C812C2" w:rsidP="00C812C2">
      <w:pPr>
        <w:pStyle w:val="NoSpacing"/>
        <w:ind w:left="720"/>
      </w:pPr>
    </w:p>
    <w:p w14:paraId="133172FD" w14:textId="77777777" w:rsidR="00C812C2" w:rsidRPr="00F71B22" w:rsidRDefault="00C812C2" w:rsidP="00C812C2">
      <w:pPr>
        <w:pStyle w:val="NoSpacing"/>
        <w:ind w:left="720"/>
        <w:rPr>
          <w:bCs/>
        </w:rPr>
      </w:pPr>
      <w:r>
        <w:t xml:space="preserve">Dec. 19, 2025: </w:t>
      </w:r>
      <w:r w:rsidRPr="00F71B22">
        <w:t>What Does President Trump’s New Marijuana Directive Mean for You as a Fire Chief?</w:t>
      </w:r>
      <w:r>
        <w:t xml:space="preserve"> </w:t>
      </w:r>
      <w:hyperlink r:id="rId1916" w:history="1">
        <w:r w:rsidRPr="00815351">
          <w:rPr>
            <w:rStyle w:val="Hyperlink"/>
          </w:rPr>
          <w:t>https://www.firefighternation.com/fire-leadership/what-does-president-trumps-new-marijuana-directive-mean-for-you-as-a-fire-chief/</w:t>
        </w:r>
      </w:hyperlink>
      <w:r>
        <w:t xml:space="preserve"> </w:t>
      </w:r>
    </w:p>
    <w:p w14:paraId="6B14FF4B" w14:textId="77777777" w:rsidR="00C812C2" w:rsidRDefault="00C812C2" w:rsidP="00C812C2">
      <w:pPr>
        <w:pStyle w:val="NoSpacing"/>
        <w:ind w:left="720"/>
      </w:pPr>
    </w:p>
    <w:p w14:paraId="1F92C09B" w14:textId="77777777" w:rsidR="00C812C2" w:rsidRPr="001B7700" w:rsidRDefault="00C812C2" w:rsidP="00C812C2">
      <w:pPr>
        <w:pStyle w:val="NoSpacing"/>
        <w:ind w:left="720"/>
        <w:rPr>
          <w:vanish/>
        </w:rPr>
      </w:pPr>
      <w:r>
        <w:t xml:space="preserve">Jan. 2025: KY - </w:t>
      </w:r>
      <w:r w:rsidRPr="00FE3452">
        <w:t xml:space="preserve">Louisville union sues city to allow firefighters to use medical cannabis. </w:t>
      </w:r>
      <w:hyperlink r:id="rId1917" w:history="1">
        <w:r w:rsidRPr="00FE3452">
          <w:rPr>
            <w:rStyle w:val="Hyperlink"/>
          </w:rPr>
          <w:t>https://www.youtube.com/watch?v=1jL6w0_sguI</w:t>
        </w:r>
      </w:hyperlink>
      <w:r w:rsidRPr="00FE3452">
        <w:t xml:space="preserve"> </w:t>
      </w:r>
    </w:p>
    <w:p w14:paraId="5BF3C490" w14:textId="77777777" w:rsidR="00C812C2" w:rsidRPr="001B7700" w:rsidRDefault="00C812C2" w:rsidP="00C812C2">
      <w:pPr>
        <w:ind w:left="720"/>
        <w:rPr>
          <w:vanish/>
        </w:rPr>
      </w:pPr>
      <w:r w:rsidRPr="001B7700">
        <w:rPr>
          <w:vanish/>
        </w:rPr>
        <w:t>Bottom of Form</w:t>
      </w:r>
    </w:p>
    <w:p w14:paraId="31C8A261" w14:textId="77777777" w:rsidR="00C812C2" w:rsidRPr="001B7700" w:rsidRDefault="00C812C2" w:rsidP="00C812C2">
      <w:pPr>
        <w:ind w:left="720"/>
        <w:rPr>
          <w:rStyle w:val="Hyperlink"/>
        </w:rPr>
      </w:pPr>
      <w:r w:rsidRPr="001B7700">
        <w:fldChar w:fldCharType="begin"/>
      </w:r>
      <w:r w:rsidRPr="001B7700">
        <w:instrText>HYPERLINK "https://www.youtube.com/" \o "YouTube Home"</w:instrText>
      </w:r>
      <w:r w:rsidRPr="001B7700">
        <w:fldChar w:fldCharType="separate"/>
      </w:r>
    </w:p>
    <w:p w14:paraId="44D30990" w14:textId="790A2373" w:rsidR="005F4889" w:rsidRDefault="00C812C2" w:rsidP="00C812C2">
      <w:pPr>
        <w:rPr>
          <w:rFonts w:ascii="Arial Black" w:hAnsi="Arial Black"/>
          <w:b/>
          <w:sz w:val="24"/>
          <w:szCs w:val="24"/>
        </w:rPr>
      </w:pPr>
      <w:r w:rsidRPr="001B7700">
        <w:fldChar w:fldCharType="end"/>
      </w:r>
    </w:p>
    <w:p w14:paraId="3BEA6EBD" w14:textId="77777777" w:rsidR="005F4889" w:rsidRDefault="005F4889" w:rsidP="00800ACD">
      <w:pPr>
        <w:rPr>
          <w:rFonts w:ascii="Arial Black" w:hAnsi="Arial Black"/>
          <w:b/>
          <w:sz w:val="24"/>
          <w:szCs w:val="24"/>
        </w:rPr>
      </w:pPr>
    </w:p>
    <w:p w14:paraId="43A1942B" w14:textId="77777777" w:rsidR="005F4889" w:rsidRDefault="005F4889" w:rsidP="00800ACD">
      <w:pPr>
        <w:rPr>
          <w:rFonts w:ascii="Arial Black" w:hAnsi="Arial Black"/>
          <w:b/>
          <w:sz w:val="24"/>
          <w:szCs w:val="24"/>
        </w:rPr>
      </w:pPr>
    </w:p>
    <w:p w14:paraId="08BAB7EB" w14:textId="2BA71371" w:rsidR="008E743B" w:rsidRDefault="00A34683" w:rsidP="00800ACD">
      <w:pPr>
        <w:rPr>
          <w:rFonts w:ascii="Arial Black" w:hAnsi="Arial Black"/>
          <w:b/>
          <w:sz w:val="24"/>
          <w:szCs w:val="24"/>
        </w:rPr>
      </w:pPr>
      <w:r>
        <w:rPr>
          <w:rFonts w:ascii="Arial Black" w:hAnsi="Arial Black"/>
          <w:b/>
          <w:sz w:val="24"/>
          <w:szCs w:val="24"/>
        </w:rPr>
        <w:t>12-34</w:t>
      </w:r>
    </w:p>
    <w:p w14:paraId="15394B7C" w14:textId="77777777" w:rsidR="00A34683" w:rsidRPr="005F4150" w:rsidRDefault="00A34683" w:rsidP="00A34683">
      <w:pPr>
        <w:rPr>
          <w:rFonts w:ascii="Arial Black" w:hAnsi="Arial Black"/>
          <w:b/>
          <w:sz w:val="28"/>
          <w:szCs w:val="28"/>
        </w:rPr>
      </w:pPr>
      <w:r>
        <w:rPr>
          <w:rFonts w:ascii="Arial Black" w:hAnsi="Arial Black"/>
          <w:b/>
          <w:sz w:val="28"/>
          <w:szCs w:val="28"/>
        </w:rPr>
        <w:t>CT: MEDICAL MJ – FF VIOL. LAST CHANCE AGREEMENT</w:t>
      </w:r>
    </w:p>
    <w:p w14:paraId="61FF3C09" w14:textId="77777777" w:rsidR="00D104F2" w:rsidRDefault="00A34683" w:rsidP="00D104F2">
      <w:pPr>
        <w:pStyle w:val="NoSpacing"/>
      </w:pPr>
      <w:r>
        <w:t xml:space="preserve">On June 11, 2025, in </w:t>
      </w:r>
      <w:r w:rsidRPr="00BC5D65">
        <w:rPr>
          <w:u w:val="single"/>
        </w:rPr>
        <w:t>Thomas Eccleston, III v. City of Waterbury</w:t>
      </w:r>
      <w:r>
        <w:t xml:space="preserve">, Judge Kiberly P. Massicotte, </w:t>
      </w:r>
      <w:r w:rsidRPr="00270B5A">
        <w:t>Superior Court of Connecticut, Judicial District of Waterbury, Waterbury</w:t>
      </w:r>
      <w:r>
        <w:t xml:space="preserve">, held after a bench </w:t>
      </w:r>
      <w:r w:rsidRPr="007F5AEF">
        <w:t xml:space="preserve">trial on February 20, </w:t>
      </w:r>
      <w:proofErr w:type="gramStart"/>
      <w:r w:rsidRPr="007F5AEF">
        <w:t>2025</w:t>
      </w:r>
      <w:proofErr w:type="gramEnd"/>
      <w:r>
        <w:t xml:space="preserve"> that the city properly fired the firefighter for violation of Las Chance agreement.   On </w:t>
      </w:r>
      <w:r w:rsidRPr="00CA655F">
        <w:t>November 19, 2015, to avoid termination, the plaintiff signed a "last chance agreement" after the plaintiff was arrested for domestic violence</w:t>
      </w:r>
      <w:r>
        <w:t xml:space="preserve">; the agreement prohibits use of alcohol or a controlled substance.  He tested positive in random drug test on </w:t>
      </w:r>
      <w:r w:rsidRPr="0094669A">
        <w:t>March 20, 2018</w:t>
      </w:r>
      <w:r>
        <w:t xml:space="preserve"> (obtained medical marijuana card March 6, 2018).  </w:t>
      </w:r>
      <w:hyperlink r:id="rId1918" w:history="1">
        <w:r w:rsidR="00D104F2" w:rsidRPr="00774087">
          <w:rPr>
            <w:rStyle w:val="Hyperlink"/>
          </w:rPr>
          <w:t>https://public.fastcase.com/jaEE2PXzRXmZ99jOLMt1It2Tjmgxo5hSPIplN9zr2RKL3xaZLK1Vh5eTa9w8Wk8pfXZv57sP%2BSheWcKHfFgy9Ah5Ev5ZnvIAKgdp6Yn%2FiQI%3D?utm_medium=email&amp;_hsenc=p2ANqtz-_xr08pWLevFeFI8Ge2XvipIP7qRBaDeRzA2aeNOeAMxf3drkc7WBb-blscAE4MgKHVvRlF4GyH0W6s2eAyYhQEv9ZP9w&amp;_hsmi=226712652&amp;utm_content=226712652&amp;utm_source=hs_email</w:t>
        </w:r>
      </w:hyperlink>
      <w:r w:rsidR="00D104F2">
        <w:t xml:space="preserve"> </w:t>
      </w:r>
    </w:p>
    <w:p w14:paraId="52119EE6" w14:textId="17AF1E5B" w:rsidR="00A34683" w:rsidRDefault="00A34683" w:rsidP="00A34683"/>
    <w:p w14:paraId="0909C901" w14:textId="77777777" w:rsidR="00A34683" w:rsidRPr="00FF6498" w:rsidRDefault="00A34683" w:rsidP="00A34683">
      <w:pPr>
        <w:rPr>
          <w:b/>
          <w:bCs/>
        </w:rPr>
      </w:pPr>
      <w:r w:rsidRPr="00FF6498">
        <w:rPr>
          <w:b/>
        </w:rPr>
        <w:t>THE COURT HELD:</w:t>
      </w:r>
    </w:p>
    <w:p w14:paraId="5770F0F8" w14:textId="77777777" w:rsidR="00A34683" w:rsidRDefault="00A34683" w:rsidP="00A34683">
      <w:pPr>
        <w:pStyle w:val="NoSpacing"/>
        <w:ind w:left="720"/>
      </w:pPr>
      <w:r>
        <w:t>“</w:t>
      </w:r>
      <w:r w:rsidRPr="002321AE">
        <w:t xml:space="preserve">The </w:t>
      </w:r>
      <w:r>
        <w:t xml:space="preserve">[Last Chance] </w:t>
      </w:r>
      <w:r w:rsidRPr="002321AE">
        <w:t xml:space="preserve">Agreement provides: </w:t>
      </w:r>
      <w:r>
        <w:t>‘</w:t>
      </w:r>
      <w:r w:rsidRPr="002321AE">
        <w:t xml:space="preserve">WHEREAS, Thomas F. Eccleston has issues with alcohol abuse and domestic violence; WHEREAS, the parties wish to enter into this stipulated agreement, in lieu of Thomas F. </w:t>
      </w:r>
      <w:r w:rsidRPr="002321AE">
        <w:lastRenderedPageBreak/>
        <w:t>Eccleston's termination, setting forth the terms and conditions of Thomas F. Eccleston's continued employment with the City; and WHEREAS, Thomas F. Eccleston accepts responsibility for the issues and acknowledges the need for immediate improvement.</w:t>
      </w:r>
      <w:r>
        <w:t xml:space="preserve">’ … </w:t>
      </w:r>
      <w:r w:rsidRPr="002321AE">
        <w:t xml:space="preserve">The condition relevant to this case is that the plaintiff agreed that he may be subject to immediate termination </w:t>
      </w:r>
      <w:r>
        <w:t>‘</w:t>
      </w:r>
      <w:r w:rsidRPr="002321AE">
        <w:t>[</w:t>
      </w:r>
      <w:proofErr w:type="spellStart"/>
      <w:r w:rsidRPr="002321AE">
        <w:t>i</w:t>
      </w:r>
      <w:proofErr w:type="spellEnd"/>
      <w:r w:rsidRPr="002321AE">
        <w:t>]f Thomas F. Eccleston tests positive for alcohol (at the level of 0.04 or above) or a controlled substance.</w:t>
      </w:r>
      <w:r>
        <w:t>’</w:t>
      </w:r>
    </w:p>
    <w:p w14:paraId="22D9507C" w14:textId="77777777" w:rsidR="00A34683" w:rsidRDefault="00A34683" w:rsidP="00A34683">
      <w:pPr>
        <w:pStyle w:val="NoSpacing"/>
        <w:ind w:left="720"/>
      </w:pPr>
    </w:p>
    <w:p w14:paraId="05F1583A" w14:textId="77777777" w:rsidR="00A34683" w:rsidRDefault="00A34683" w:rsidP="00A34683">
      <w:pPr>
        <w:pStyle w:val="NoSpacing"/>
        <w:ind w:left="720"/>
      </w:pPr>
      <w:r>
        <w:t>***</w:t>
      </w:r>
    </w:p>
    <w:p w14:paraId="16D25EDF" w14:textId="77777777" w:rsidR="00A34683" w:rsidRDefault="00A34683" w:rsidP="00A34683">
      <w:pPr>
        <w:pStyle w:val="NoSpacing"/>
        <w:ind w:left="720"/>
      </w:pPr>
      <w:r w:rsidRPr="008036C4">
        <w:t>This can only mean that the plaintiff waived his rights under PUMA.</w:t>
      </w:r>
      <w:r>
        <w:t xml:space="preserve"> </w:t>
      </w:r>
      <w:r w:rsidRPr="00DC3909">
        <w:t>His agreement to waive his rights under PUMA did not run contrary to state law because the sound reasons for prohibiting the use of marijuana under the circumstances leave no room, without more, for the claim that the plaintiff's status as a qualifying patient was the sole reason for discharge pursuant to the Agreement. The plaintiff contractually agreed that he could be terminated for testing positive for the use of marijuana. He did so to save himself for other alleged and cumulative misconduct including substance abuse. Having done so, he cannot now invoke the statutory protections of PUMA which he effectively surrendered.</w:t>
      </w:r>
      <w:r>
        <w:t>”</w:t>
      </w:r>
      <w:r w:rsidRPr="00D8111A">
        <w:t xml:space="preserve"> </w:t>
      </w:r>
      <w:hyperlink r:id="rId1919" w:history="1">
        <w:r w:rsidRPr="00774087">
          <w:rPr>
            <w:rStyle w:val="Hyperlink"/>
          </w:rPr>
          <w:t>https://public.fastcase.com/jaEE2PXzRXmZ99jOLMt1It2Tjmgxo5hSPIplN9zr2RKL3xaZLK1Vh5eTa9w8Wk8pfXZv57sP%2BSheWcKHfFgy9Ah5Ev5ZnvIAKgdp6Yn%2FiQI%3D?utm_medium=email&amp;_hsenc=p2ANqtz-_xr08pWLevFeFI8Ge2XvipIP7qRBaDeRzA2aeNOeAMxf3drkc7WBb-blscAE4MgKHVvRlF4GyH0W6s2eAyYhQEv9ZP9w&amp;_hsmi=226712652&amp;utm_content=226712652&amp;utm_source=hs_email</w:t>
        </w:r>
      </w:hyperlink>
      <w:r>
        <w:t xml:space="preserve"> </w:t>
      </w:r>
    </w:p>
    <w:p w14:paraId="1F8E5486" w14:textId="77777777" w:rsidR="00A34683" w:rsidRDefault="00A34683" w:rsidP="00A34683">
      <w:pPr>
        <w:pStyle w:val="NoSpacing"/>
        <w:ind w:left="720"/>
      </w:pPr>
    </w:p>
    <w:p w14:paraId="324D6568" w14:textId="77777777" w:rsidR="00A34683" w:rsidRDefault="00A34683" w:rsidP="00A34683">
      <w:pPr>
        <w:pStyle w:val="NoSpacing"/>
        <w:rPr>
          <w:b/>
          <w:bCs/>
        </w:rPr>
      </w:pPr>
      <w:r>
        <w:rPr>
          <w:b/>
        </w:rPr>
        <w:t xml:space="preserve">KEY FACTS: </w:t>
      </w:r>
    </w:p>
    <w:p w14:paraId="5E38209E" w14:textId="77777777" w:rsidR="00A34683" w:rsidRDefault="00A34683" w:rsidP="00A34683">
      <w:pPr>
        <w:pStyle w:val="NoSpacing"/>
        <w:rPr>
          <w:b/>
          <w:bCs/>
        </w:rPr>
      </w:pPr>
    </w:p>
    <w:p w14:paraId="2A48456F" w14:textId="77777777" w:rsidR="00A34683" w:rsidRDefault="00A34683" w:rsidP="00A34683">
      <w:pPr>
        <w:pStyle w:val="NoSpacing"/>
        <w:ind w:left="720"/>
      </w:pPr>
      <w:r>
        <w:rPr>
          <w:b/>
        </w:rPr>
        <w:t>“</w:t>
      </w:r>
      <w:r w:rsidRPr="00C30B72">
        <w:t xml:space="preserve">The plaintiff obtained a medical marijuana card on March 6, 2018. During a random drug test on March 20, 2018, the plaintiff tested positive for marijuana. On March 30, 2018, Dr. Leela </w:t>
      </w:r>
      <w:proofErr w:type="spellStart"/>
      <w:r w:rsidRPr="00C30B72">
        <w:t>Panoor</w:t>
      </w:r>
      <w:proofErr w:type="spellEnd"/>
      <w:r w:rsidRPr="00C30B72">
        <w:t xml:space="preserve"> declared him fit for duty. On April 23, 2018, the plaintiff was terminated. The parties stipulated that the plaintiff obtained a valid medical marijuana card under PUMA, but the plaintiff did not tell his employer that he had the card until after he tested positive for marijuana and before he was terminated.</w:t>
      </w:r>
    </w:p>
    <w:p w14:paraId="319C8CB7" w14:textId="77777777" w:rsidR="00A34683" w:rsidRDefault="00A34683" w:rsidP="00A34683">
      <w:pPr>
        <w:pStyle w:val="NoSpacing"/>
        <w:ind w:left="720"/>
      </w:pPr>
    </w:p>
    <w:p w14:paraId="5DCF16B4" w14:textId="77777777" w:rsidR="00A34683" w:rsidRDefault="00A34683" w:rsidP="00A34683">
      <w:pPr>
        <w:pStyle w:val="NoSpacing"/>
        <w:ind w:left="720"/>
      </w:pPr>
      <w:r>
        <w:t>***</w:t>
      </w:r>
    </w:p>
    <w:p w14:paraId="6CA6E981" w14:textId="77777777" w:rsidR="00A34683" w:rsidRDefault="00A34683" w:rsidP="00A34683">
      <w:pPr>
        <w:pStyle w:val="NoSpacing"/>
      </w:pPr>
    </w:p>
    <w:p w14:paraId="5A58EC34" w14:textId="77777777" w:rsidR="00A34683" w:rsidRDefault="00A34683" w:rsidP="00A34683">
      <w:pPr>
        <w:pStyle w:val="NoSpacing"/>
        <w:ind w:left="720"/>
        <w:rPr>
          <w:vertAlign w:val="superscript"/>
        </w:rPr>
      </w:pPr>
      <w:r w:rsidRPr="00416AA3">
        <w:t xml:space="preserve">The plaintiff testified, and the court takes as true for the purpose of this motion, that he was diagnosed with PTSD on September 20, 2017. His doctor recommended medical marijuana as a treatment. He obtained two additional opinions. He talked to his crew about taking marijuana for medical treatment. He subsequently received all state law requirements necessary to obtain prescribed marijuana for the treatment of his PTSD on March 6, 2018. He took measures to prevent the possibility of being under the influence at work by not taking the prescribed marijuana the day before or the day of work. As an added measure, he asked his immediate supervisor to keep an eye on him because </w:t>
      </w:r>
      <w:r>
        <w:t>‘</w:t>
      </w:r>
      <w:r w:rsidRPr="00416AA3">
        <w:t>if he was under the influence, how would he know?</w:t>
      </w:r>
      <w:r>
        <w:t>’</w:t>
      </w:r>
      <w:r w:rsidRPr="00416AA3">
        <w:t xml:space="preserve"> Testimony, Thomas Eccleston, 2/20/25. He was not accused of being under the influence at work, nor was he accused of taking marijuana during work hours. The plaintiff testified that it was his understanding that if one ingested marijuana, one could test positive for it up to 30 days later. The plaintiff challenged his termination through administrative processes available to him. He was unsuccessful in his challenge and the termination was upheld. When he appealed the administrative decision upholding his termination to court, the case was dismissed because the union named the wrong party.</w:t>
      </w:r>
      <w:r>
        <w:rPr>
          <w:vertAlign w:val="superscript"/>
        </w:rPr>
        <w:t>”</w:t>
      </w:r>
    </w:p>
    <w:p w14:paraId="206A67ED" w14:textId="77777777" w:rsidR="00A34683" w:rsidRDefault="00A34683" w:rsidP="00A34683">
      <w:pPr>
        <w:pStyle w:val="NoSpacing"/>
        <w:ind w:left="720"/>
        <w:rPr>
          <w:vertAlign w:val="superscript"/>
        </w:rPr>
      </w:pPr>
    </w:p>
    <w:p w14:paraId="2D21AB31" w14:textId="77777777" w:rsidR="00A34683" w:rsidRPr="00416AA3" w:rsidRDefault="00A34683" w:rsidP="00A34683">
      <w:pPr>
        <w:pStyle w:val="NoSpacing"/>
      </w:pPr>
      <w:r>
        <w:rPr>
          <w:b/>
        </w:rPr>
        <w:t xml:space="preserve">Legal lesson learned: The firefighter might have avoided termination if he informed the fire department of his medical condition and need for prescribed marijuana, and they worked out a reasonable accommodation plan (including no use of marijuana for specific </w:t>
      </w:r>
      <w:proofErr w:type="gramStart"/>
      <w:r>
        <w:rPr>
          <w:b/>
        </w:rPr>
        <w:t>period of time</w:t>
      </w:r>
      <w:proofErr w:type="gramEnd"/>
      <w:r>
        <w:rPr>
          <w:b/>
        </w:rPr>
        <w:t xml:space="preserve"> before reporting for duty). </w:t>
      </w:r>
    </w:p>
    <w:p w14:paraId="7FB14433" w14:textId="77777777" w:rsidR="00A34683" w:rsidRDefault="00A34683" w:rsidP="00A34683">
      <w:pPr>
        <w:pStyle w:val="NoSpacing"/>
        <w:rPr>
          <w:b/>
          <w:bCs/>
        </w:rPr>
      </w:pPr>
    </w:p>
    <w:p w14:paraId="4E924AB8" w14:textId="77777777" w:rsidR="00A34683" w:rsidRPr="00914A87" w:rsidRDefault="00A34683" w:rsidP="00A34683">
      <w:pPr>
        <w:pStyle w:val="NoSpacing"/>
        <w:ind w:left="720"/>
      </w:pPr>
      <w:r w:rsidRPr="00914A87">
        <w:t xml:space="preserve">Note: See this article, “Medical Marijuana and Firefighters: Creating a Medical Marijuana Use Policy” Dec. 15, 2022; </w:t>
      </w:r>
      <w:hyperlink r:id="rId1920" w:history="1">
        <w:r w:rsidRPr="00914A87">
          <w:rPr>
            <w:rStyle w:val="Hyperlink"/>
          </w:rPr>
          <w:t>https://www.fireengineering.com/firefighting/medical-marijuana-and-firefighters-creating-a-medical-marijuana-use-policy/</w:t>
        </w:r>
      </w:hyperlink>
      <w:r w:rsidRPr="00914A87">
        <w:t xml:space="preserve"> </w:t>
      </w:r>
    </w:p>
    <w:p w14:paraId="2BC08EF6" w14:textId="77777777" w:rsidR="00A34683" w:rsidRDefault="00A34683" w:rsidP="00800ACD">
      <w:pPr>
        <w:rPr>
          <w:rFonts w:ascii="Arial Black" w:hAnsi="Arial Black"/>
          <w:b/>
          <w:sz w:val="24"/>
          <w:szCs w:val="24"/>
        </w:rPr>
      </w:pPr>
    </w:p>
    <w:p w14:paraId="57FA10FE" w14:textId="77777777" w:rsidR="008E743B" w:rsidRDefault="008E743B" w:rsidP="00800ACD">
      <w:pPr>
        <w:rPr>
          <w:rFonts w:ascii="Arial Black" w:hAnsi="Arial Black"/>
          <w:b/>
          <w:sz w:val="24"/>
          <w:szCs w:val="24"/>
        </w:rPr>
      </w:pPr>
    </w:p>
    <w:p w14:paraId="67DDF5FB" w14:textId="7E2E798D" w:rsidR="00800ACD" w:rsidRDefault="00800ACD" w:rsidP="00800ACD">
      <w:pPr>
        <w:rPr>
          <w:rFonts w:ascii="Arial Black" w:hAnsi="Arial Black"/>
          <w:b/>
          <w:sz w:val="24"/>
          <w:szCs w:val="24"/>
        </w:rPr>
      </w:pPr>
      <w:r>
        <w:rPr>
          <w:rFonts w:ascii="Arial Black" w:hAnsi="Arial Black"/>
          <w:b/>
          <w:sz w:val="24"/>
          <w:szCs w:val="24"/>
        </w:rPr>
        <w:t>12-33</w:t>
      </w:r>
    </w:p>
    <w:p w14:paraId="12FDA850" w14:textId="695C5977" w:rsidR="00985434" w:rsidRPr="00C707AE" w:rsidRDefault="00985434" w:rsidP="00985434">
      <w:pPr>
        <w:pStyle w:val="NoSpacing"/>
        <w:rPr>
          <w:rFonts w:ascii="Arial Black" w:hAnsi="Arial Black"/>
          <w:sz w:val="28"/>
          <w:szCs w:val="28"/>
        </w:rPr>
      </w:pPr>
      <w:r>
        <w:rPr>
          <w:rFonts w:ascii="Arial Black" w:hAnsi="Arial Black"/>
          <w:sz w:val="28"/>
          <w:szCs w:val="28"/>
        </w:rPr>
        <w:t xml:space="preserve">LA: AMBULANCE DAMAGED – DRUG TEST - COCAINE / METH </w:t>
      </w:r>
      <w:r w:rsidR="006D37B6">
        <w:rPr>
          <w:rFonts w:ascii="Arial Black" w:hAnsi="Arial Black"/>
          <w:sz w:val="28"/>
          <w:szCs w:val="28"/>
        </w:rPr>
        <w:t>- FIRED</w:t>
      </w:r>
    </w:p>
    <w:p w14:paraId="282EBF35" w14:textId="77777777" w:rsidR="00985434" w:rsidRDefault="00985434" w:rsidP="00985434">
      <w:pPr>
        <w:pStyle w:val="NoSpacing"/>
      </w:pPr>
    </w:p>
    <w:p w14:paraId="246A2C4C" w14:textId="77777777" w:rsidR="00985434" w:rsidRPr="00826327" w:rsidRDefault="00985434" w:rsidP="00985434">
      <w:pPr>
        <w:rPr>
          <w:rFonts w:ascii="Times New Roman" w:hAnsi="Times New Roman"/>
          <w:sz w:val="24"/>
          <w:szCs w:val="24"/>
        </w:rPr>
      </w:pPr>
      <w:r w:rsidRPr="00826327">
        <w:rPr>
          <w:rFonts w:ascii="Times New Roman" w:hAnsi="Times New Roman"/>
          <w:sz w:val="24"/>
          <w:szCs w:val="24"/>
        </w:rPr>
        <w:t xml:space="preserve">On June 13, 2025, </w:t>
      </w:r>
      <w:r w:rsidRPr="00826327">
        <w:rPr>
          <w:rFonts w:ascii="Times New Roman" w:hAnsi="Times New Roman"/>
          <w:sz w:val="24"/>
          <w:szCs w:val="24"/>
          <w:u w:val="single"/>
        </w:rPr>
        <w:t>in Benjamin Woods v. City of Baton Rouge, through the Department of Emergency Medical Services</w:t>
      </w:r>
      <w:r w:rsidRPr="00826327">
        <w:rPr>
          <w:rFonts w:ascii="Times New Roman" w:hAnsi="Times New Roman"/>
          <w:sz w:val="24"/>
          <w:szCs w:val="24"/>
        </w:rPr>
        <w:t xml:space="preserve">, the Court of Appeals of Louisiana, First Circuit held (3 to 0) that the Paramedic was properly fired by the Department and the City Personnel Board – tested positive for meth and cocaine after telling supervisor had no knowledge of how the ambulance he was driving was damaged. The Court reversed the trial court, which found that the administration of the drug test to Mr. Woods was unreasonable ($2,060 in damage in ambulance; “serious incident” was $2,500 or more damage).  The Court of Appeals found that management had “reasonable suspicion” to drug test, not because of the amount of damage, but because the Paramedic transporting a patient non-emergency to hospital on July 5, </w:t>
      </w:r>
      <w:proofErr w:type="gramStart"/>
      <w:r w:rsidRPr="00826327">
        <w:rPr>
          <w:rFonts w:ascii="Times New Roman" w:hAnsi="Times New Roman"/>
          <w:sz w:val="24"/>
          <w:szCs w:val="24"/>
        </w:rPr>
        <w:t>2018</w:t>
      </w:r>
      <w:proofErr w:type="gramEnd"/>
      <w:r w:rsidRPr="00826327">
        <w:rPr>
          <w:rFonts w:ascii="Times New Roman" w:hAnsi="Times New Roman"/>
          <w:sz w:val="24"/>
          <w:szCs w:val="24"/>
        </w:rPr>
        <w:t xml:space="preserve">  did not immediately stop when he reportedly felt a bump and heard a “pop.” He didn’t immediately inspect the ambulance for damage, initially denied any knowledge of damages, and had no explanation for how “one and a half to two feet of rub rail broke off.”  THE COURT HELD: “We find these circumstances sufficient to support a reasonable suspicion that the Mr. Wood' s behavior indicated that he may have been under the influence of drugs or alcohol while working for the City/Parish such that the administration of a drug test was reasonable and warranted.” </w:t>
      </w:r>
      <w:hyperlink r:id="rId1921" w:history="1">
        <w:r w:rsidRPr="00826327">
          <w:rPr>
            <w:rStyle w:val="Hyperlink"/>
            <w:rFonts w:ascii="Times New Roman" w:hAnsi="Times New Roman"/>
            <w:sz w:val="24"/>
            <w:szCs w:val="24"/>
          </w:rPr>
          <w:t>https://cases.justia.com/louisiana/first-circuit-court-of-appeal/2025-2023ca0459.pdf?ts=1749828408</w:t>
        </w:r>
      </w:hyperlink>
      <w:r w:rsidRPr="00826327">
        <w:rPr>
          <w:rFonts w:ascii="Times New Roman" w:hAnsi="Times New Roman"/>
          <w:sz w:val="24"/>
          <w:szCs w:val="24"/>
        </w:rPr>
        <w:t xml:space="preserve"> </w:t>
      </w:r>
    </w:p>
    <w:p w14:paraId="4AC7CBF3" w14:textId="77777777" w:rsidR="00826327" w:rsidRPr="00826327" w:rsidRDefault="00826327" w:rsidP="00826327">
      <w:pPr>
        <w:rPr>
          <w:rFonts w:ascii="Times New Roman" w:hAnsi="Times New Roman"/>
          <w:b/>
          <w:bCs/>
          <w:sz w:val="24"/>
          <w:szCs w:val="24"/>
        </w:rPr>
      </w:pPr>
      <w:r w:rsidRPr="00826327">
        <w:rPr>
          <w:rFonts w:ascii="Times New Roman" w:hAnsi="Times New Roman"/>
          <w:b/>
          <w:sz w:val="24"/>
          <w:szCs w:val="24"/>
        </w:rPr>
        <w:t xml:space="preserve">Legal lesson learned:  “Reasonable suspicion” includes questionable responses by ambulance driver concerning how ambulance was seriously damaged. </w:t>
      </w:r>
    </w:p>
    <w:p w14:paraId="136B016B" w14:textId="77777777" w:rsidR="00020106" w:rsidRDefault="00020106" w:rsidP="00F326E5">
      <w:pPr>
        <w:rPr>
          <w:rFonts w:ascii="Arial Black" w:hAnsi="Arial Black"/>
          <w:b/>
          <w:sz w:val="24"/>
          <w:szCs w:val="24"/>
        </w:rPr>
      </w:pPr>
    </w:p>
    <w:p w14:paraId="2286877B" w14:textId="6721B6B4" w:rsidR="00707821" w:rsidRDefault="00707821" w:rsidP="00F326E5">
      <w:pPr>
        <w:rPr>
          <w:rFonts w:ascii="Arial Black" w:hAnsi="Arial Black"/>
          <w:b/>
          <w:sz w:val="24"/>
          <w:szCs w:val="24"/>
        </w:rPr>
      </w:pPr>
      <w:r>
        <w:rPr>
          <w:rFonts w:ascii="Arial Black" w:hAnsi="Arial Black"/>
          <w:b/>
          <w:sz w:val="24"/>
          <w:szCs w:val="24"/>
        </w:rPr>
        <w:t>12-32</w:t>
      </w:r>
    </w:p>
    <w:p w14:paraId="244AD6AC" w14:textId="5D4CF884" w:rsidR="00707821" w:rsidRPr="009B58E5" w:rsidRDefault="00707821" w:rsidP="00707821">
      <w:pPr>
        <w:pStyle w:val="NoSpacing"/>
        <w:rPr>
          <w:rFonts w:ascii="Arial Black" w:hAnsi="Arial Black"/>
          <w:b/>
          <w:sz w:val="28"/>
          <w:szCs w:val="28"/>
        </w:rPr>
      </w:pPr>
      <w:r>
        <w:rPr>
          <w:rFonts w:ascii="Arial Black" w:hAnsi="Arial Black"/>
          <w:b/>
          <w:sz w:val="28"/>
          <w:szCs w:val="28"/>
        </w:rPr>
        <w:t xml:space="preserve">AL: FLIGHT RN - TAMPERED KETAMINE – </w:t>
      </w:r>
      <w:r w:rsidR="0017434A">
        <w:rPr>
          <w:rFonts w:ascii="Arial Black" w:hAnsi="Arial Black"/>
          <w:b/>
          <w:sz w:val="28"/>
          <w:szCs w:val="28"/>
        </w:rPr>
        <w:t>ONE YR FEDERAL PRISON</w:t>
      </w:r>
    </w:p>
    <w:p w14:paraId="661A44EC" w14:textId="77777777" w:rsidR="00707821" w:rsidRDefault="00707821" w:rsidP="00707821">
      <w:pPr>
        <w:pStyle w:val="NoSpacing"/>
        <w:rPr>
          <w:b/>
        </w:rPr>
      </w:pPr>
    </w:p>
    <w:p w14:paraId="18D2F3AB" w14:textId="77777777" w:rsidR="00707821" w:rsidRPr="00F065F7" w:rsidRDefault="00707821" w:rsidP="00707821">
      <w:pPr>
        <w:pStyle w:val="NoSpacing"/>
        <w:rPr>
          <w:rFonts w:ascii="Times New Roman" w:hAnsi="Times New Roman"/>
          <w:bCs/>
          <w:sz w:val="24"/>
          <w:szCs w:val="24"/>
        </w:rPr>
      </w:pPr>
      <w:r w:rsidRPr="00F065F7">
        <w:rPr>
          <w:rFonts w:ascii="Times New Roman" w:hAnsi="Times New Roman"/>
          <w:sz w:val="24"/>
          <w:szCs w:val="24"/>
        </w:rPr>
        <w:t xml:space="preserve">On March 21, 2025, </w:t>
      </w:r>
      <w:proofErr w:type="gramStart"/>
      <w:r w:rsidRPr="00F065F7">
        <w:rPr>
          <w:rFonts w:ascii="Times New Roman" w:hAnsi="Times New Roman"/>
          <w:sz w:val="24"/>
          <w:szCs w:val="24"/>
        </w:rPr>
        <w:t>in</w:t>
      </w:r>
      <w:proofErr w:type="gramEnd"/>
      <w:r w:rsidRPr="00F065F7">
        <w:rPr>
          <w:rFonts w:ascii="Times New Roman" w:hAnsi="Times New Roman"/>
          <w:sz w:val="24"/>
          <w:szCs w:val="24"/>
        </w:rPr>
        <w:t xml:space="preserve"> </w:t>
      </w:r>
      <w:r w:rsidRPr="00F065F7">
        <w:rPr>
          <w:rFonts w:ascii="Times New Roman" w:hAnsi="Times New Roman"/>
          <w:sz w:val="24"/>
          <w:szCs w:val="24"/>
          <w:u w:val="single"/>
        </w:rPr>
        <w:t xml:space="preserve">Ex </w:t>
      </w:r>
      <w:proofErr w:type="spellStart"/>
      <w:r w:rsidRPr="00F065F7">
        <w:rPr>
          <w:rFonts w:ascii="Times New Roman" w:hAnsi="Times New Roman"/>
          <w:sz w:val="24"/>
          <w:szCs w:val="24"/>
          <w:u w:val="single"/>
        </w:rPr>
        <w:t>parte</w:t>
      </w:r>
      <w:proofErr w:type="spellEnd"/>
      <w:r w:rsidRPr="00F065F7">
        <w:rPr>
          <w:rFonts w:ascii="Times New Roman" w:hAnsi="Times New Roman"/>
          <w:sz w:val="24"/>
          <w:szCs w:val="24"/>
          <w:u w:val="single"/>
        </w:rPr>
        <w:t xml:space="preserve"> Air Evac EMS, Inc. (In re: Ernest Charles Jones, by and through Ovetta Jones, as spouse and next friend) v. Bryan Heath Webster, et al.</w:t>
      </w:r>
      <w:r w:rsidRPr="00F065F7">
        <w:rPr>
          <w:rFonts w:ascii="Times New Roman" w:hAnsi="Times New Roman"/>
          <w:sz w:val="24"/>
          <w:szCs w:val="24"/>
        </w:rPr>
        <w:t xml:space="preserve">, the Supreme Court of Alabama held (7 to 0) that Air Evac’s motion for summary judgment on plaintiff’s amended complaint should have been granted; it was filed 6 years after the patient’s transport on Aug. 18, 2018 (well beyond the two-year statute of limitation) and dealt with flight nurse tampering with two vials of ketamine the day prior to the transport. The flight nurse, Bryan Heath Wester, pled guilty and was sentenced on Aug. 5, </w:t>
      </w:r>
      <w:proofErr w:type="gramStart"/>
      <w:r w:rsidRPr="00F065F7">
        <w:rPr>
          <w:rFonts w:ascii="Times New Roman" w:hAnsi="Times New Roman"/>
          <w:sz w:val="24"/>
          <w:szCs w:val="24"/>
        </w:rPr>
        <w:t>2019</w:t>
      </w:r>
      <w:proofErr w:type="gramEnd"/>
      <w:r w:rsidRPr="00F065F7">
        <w:rPr>
          <w:rFonts w:ascii="Times New Roman" w:hAnsi="Times New Roman"/>
          <w:sz w:val="24"/>
          <w:szCs w:val="24"/>
        </w:rPr>
        <w:t xml:space="preserve"> </w:t>
      </w:r>
      <w:proofErr w:type="gramStart"/>
      <w:r w:rsidRPr="00F065F7">
        <w:rPr>
          <w:rFonts w:ascii="Times New Roman" w:hAnsi="Times New Roman"/>
          <w:sz w:val="24"/>
          <w:szCs w:val="24"/>
        </w:rPr>
        <w:t>in</w:t>
      </w:r>
      <w:proofErr w:type="gramEnd"/>
      <w:r w:rsidRPr="00F065F7">
        <w:rPr>
          <w:rFonts w:ascii="Times New Roman" w:hAnsi="Times New Roman"/>
          <w:sz w:val="24"/>
          <w:szCs w:val="24"/>
        </w:rPr>
        <w:t xml:space="preserve"> federal court to one year in prison [see details in Note below]. “Because the Joneses’ amended complaint ‘clearly addresses conduct distinct in kind and in time from the conduct alleged in [their] original complaint,’ … and ‘listed several actions by [the defendants] that [the Joneses] alleged had breached the applicable standard of care owed to [Earnest] that were entirely different than some of the actions listed in the original complaint,’ their amended complaint cannot relate back to the filing of their initial complaint.” </w:t>
      </w:r>
      <w:hyperlink r:id="rId1922" w:history="1">
        <w:r w:rsidRPr="00F065F7">
          <w:rPr>
            <w:rStyle w:val="Hyperlink"/>
            <w:rFonts w:ascii="Times New Roman" w:hAnsi="Times New Roman"/>
            <w:sz w:val="24"/>
            <w:szCs w:val="24"/>
          </w:rPr>
          <w:t>https://caselaw.findlaw.com/court/al-supreme-court/117080306.html</w:t>
        </w:r>
      </w:hyperlink>
      <w:r w:rsidRPr="00F065F7">
        <w:rPr>
          <w:rFonts w:ascii="Times New Roman" w:hAnsi="Times New Roman"/>
          <w:sz w:val="24"/>
          <w:szCs w:val="24"/>
        </w:rPr>
        <w:t xml:space="preserve"> </w:t>
      </w:r>
    </w:p>
    <w:p w14:paraId="0A1D6225" w14:textId="77777777" w:rsidR="00707821" w:rsidRPr="00F065F7" w:rsidRDefault="00707821" w:rsidP="00F326E5">
      <w:pPr>
        <w:rPr>
          <w:rFonts w:ascii="Times New Roman" w:hAnsi="Times New Roman"/>
          <w:b/>
          <w:sz w:val="24"/>
          <w:szCs w:val="24"/>
        </w:rPr>
      </w:pPr>
    </w:p>
    <w:p w14:paraId="67A00B31" w14:textId="77777777" w:rsidR="00012C74" w:rsidRPr="00F065F7" w:rsidRDefault="00012C74" w:rsidP="00012C74">
      <w:pPr>
        <w:pStyle w:val="NoSpacing"/>
        <w:rPr>
          <w:rFonts w:ascii="Times New Roman" w:hAnsi="Times New Roman"/>
          <w:b/>
          <w:bCs/>
          <w:sz w:val="24"/>
          <w:szCs w:val="24"/>
        </w:rPr>
      </w:pPr>
      <w:r w:rsidRPr="00F065F7">
        <w:rPr>
          <w:rFonts w:ascii="Times New Roman" w:hAnsi="Times New Roman"/>
          <w:b/>
          <w:sz w:val="24"/>
          <w:szCs w:val="24"/>
        </w:rPr>
        <w:t xml:space="preserve">Legal Lesson Learned: Read below details of how the tampering occurred; share with your </w:t>
      </w:r>
      <w:proofErr w:type="gramStart"/>
      <w:r w:rsidRPr="00F065F7">
        <w:rPr>
          <w:rFonts w:ascii="Times New Roman" w:hAnsi="Times New Roman"/>
          <w:b/>
          <w:sz w:val="24"/>
          <w:szCs w:val="24"/>
        </w:rPr>
        <w:t>crews</w:t>
      </w:r>
      <w:proofErr w:type="gramEnd"/>
      <w:r w:rsidRPr="00F065F7">
        <w:rPr>
          <w:rFonts w:ascii="Times New Roman" w:hAnsi="Times New Roman"/>
          <w:b/>
          <w:sz w:val="24"/>
          <w:szCs w:val="24"/>
        </w:rPr>
        <w:t xml:space="preserve">. </w:t>
      </w:r>
    </w:p>
    <w:p w14:paraId="01DA3344" w14:textId="77777777" w:rsidR="00012C74" w:rsidRPr="00F065F7" w:rsidRDefault="00012C74" w:rsidP="00012C74">
      <w:pPr>
        <w:pStyle w:val="NoSpacing"/>
        <w:rPr>
          <w:rFonts w:ascii="Times New Roman" w:hAnsi="Times New Roman"/>
          <w:bCs/>
          <w:sz w:val="24"/>
          <w:szCs w:val="24"/>
        </w:rPr>
      </w:pPr>
    </w:p>
    <w:p w14:paraId="2AED70BA" w14:textId="77777777" w:rsidR="00012C74" w:rsidRPr="00F065F7" w:rsidRDefault="00012C74" w:rsidP="00012C74">
      <w:pPr>
        <w:pStyle w:val="NoSpacing"/>
        <w:rPr>
          <w:rFonts w:ascii="Times New Roman" w:hAnsi="Times New Roman"/>
          <w:bCs/>
          <w:sz w:val="24"/>
          <w:szCs w:val="24"/>
        </w:rPr>
      </w:pPr>
      <w:r w:rsidRPr="00F065F7">
        <w:rPr>
          <w:rFonts w:ascii="Times New Roman" w:hAnsi="Times New Roman"/>
          <w:sz w:val="24"/>
          <w:szCs w:val="24"/>
        </w:rPr>
        <w:tab/>
        <w:t>Note: Aug. 5, 2019: U.S. Department of Justice / Press Release.</w:t>
      </w:r>
    </w:p>
    <w:p w14:paraId="720A4BD0" w14:textId="77777777" w:rsidR="00012C74" w:rsidRPr="00F065F7" w:rsidRDefault="00012C74" w:rsidP="00012C74">
      <w:pPr>
        <w:pStyle w:val="NoSpacing"/>
        <w:rPr>
          <w:rFonts w:ascii="Times New Roman" w:hAnsi="Times New Roman"/>
          <w:bCs/>
          <w:sz w:val="24"/>
          <w:szCs w:val="24"/>
        </w:rPr>
      </w:pPr>
    </w:p>
    <w:p w14:paraId="100B5CE8" w14:textId="77777777" w:rsidR="00012C74" w:rsidRPr="00F065F7" w:rsidRDefault="00012C74" w:rsidP="00012C74">
      <w:pPr>
        <w:pStyle w:val="NoSpacing"/>
        <w:ind w:left="720"/>
        <w:rPr>
          <w:rFonts w:ascii="Times New Roman" w:hAnsi="Times New Roman"/>
          <w:bCs/>
          <w:sz w:val="24"/>
          <w:szCs w:val="24"/>
        </w:rPr>
      </w:pPr>
      <w:r w:rsidRPr="00F065F7">
        <w:rPr>
          <w:rFonts w:ascii="Times New Roman" w:hAnsi="Times New Roman"/>
          <w:sz w:val="24"/>
          <w:szCs w:val="24"/>
        </w:rPr>
        <w:t xml:space="preserve">Former Paramedic and Flight Nurse Receives One Year in Prison for Tampering with Ketamine Vials. </w:t>
      </w:r>
    </w:p>
    <w:p w14:paraId="1EF7EAF4" w14:textId="77777777" w:rsidR="00012C74" w:rsidRPr="00F065F7" w:rsidRDefault="00012C74" w:rsidP="00012C74">
      <w:pPr>
        <w:pStyle w:val="NoSpacing"/>
        <w:rPr>
          <w:rFonts w:ascii="Times New Roman" w:hAnsi="Times New Roman"/>
          <w:b/>
          <w:sz w:val="24"/>
          <w:szCs w:val="24"/>
        </w:rPr>
      </w:pPr>
    </w:p>
    <w:p w14:paraId="27FD4EBC" w14:textId="77777777" w:rsidR="00012C74" w:rsidRPr="00F065F7" w:rsidRDefault="00012C74" w:rsidP="00012C74">
      <w:pPr>
        <w:pStyle w:val="NoSpacing"/>
        <w:ind w:left="720"/>
        <w:rPr>
          <w:rFonts w:ascii="Times New Roman" w:hAnsi="Times New Roman"/>
          <w:bCs/>
          <w:sz w:val="24"/>
          <w:szCs w:val="24"/>
        </w:rPr>
      </w:pPr>
      <w:r w:rsidRPr="00F065F7">
        <w:rPr>
          <w:rFonts w:ascii="Times New Roman" w:hAnsi="Times New Roman"/>
          <w:sz w:val="24"/>
          <w:szCs w:val="24"/>
        </w:rPr>
        <w:lastRenderedPageBreak/>
        <w:t xml:space="preserve">United States Attorney Richard W. Moore of the Southern District of Alabama announces today that United States District Judge Jeffrey U. </w:t>
      </w:r>
      <w:proofErr w:type="spellStart"/>
      <w:r w:rsidRPr="00F065F7">
        <w:rPr>
          <w:rFonts w:ascii="Times New Roman" w:hAnsi="Times New Roman"/>
          <w:sz w:val="24"/>
          <w:szCs w:val="24"/>
        </w:rPr>
        <w:t>Beaverstock</w:t>
      </w:r>
      <w:proofErr w:type="spellEnd"/>
      <w:r w:rsidRPr="00F065F7">
        <w:rPr>
          <w:rFonts w:ascii="Times New Roman" w:hAnsi="Times New Roman"/>
          <w:sz w:val="24"/>
          <w:szCs w:val="24"/>
        </w:rPr>
        <w:t xml:space="preserve"> sentenced defendant Bryan Heath Wester, 43, a resident of Springville, Alabama, to imprisonment for 12 months and one day for tampering with a consumer product. As part of the sentence, the judge ordered that Wester undergo three years of supervised release after finishing his term of imprisonment, pay a $100 mandatory special assessment, receive substance abuse and mental health treatment as directed by the U.S. Probation Office, and pay restitution totaling $511.48 to a patient-victim in the case.</w:t>
      </w:r>
    </w:p>
    <w:p w14:paraId="3BC24FB3" w14:textId="77777777" w:rsidR="00012C74" w:rsidRPr="00F065F7" w:rsidRDefault="00012C74" w:rsidP="00012C74">
      <w:pPr>
        <w:pStyle w:val="NoSpacing"/>
        <w:rPr>
          <w:rFonts w:ascii="Times New Roman" w:hAnsi="Times New Roman"/>
          <w:b/>
          <w:sz w:val="24"/>
          <w:szCs w:val="24"/>
        </w:rPr>
      </w:pPr>
    </w:p>
    <w:p w14:paraId="287851DB" w14:textId="77777777" w:rsidR="00012C74" w:rsidRPr="00F065F7" w:rsidRDefault="00012C74" w:rsidP="00012C74">
      <w:pPr>
        <w:pStyle w:val="NoSpacing"/>
        <w:ind w:firstLine="720"/>
        <w:rPr>
          <w:rFonts w:ascii="Times New Roman" w:hAnsi="Times New Roman"/>
          <w:b/>
          <w:sz w:val="24"/>
          <w:szCs w:val="24"/>
        </w:rPr>
      </w:pPr>
      <w:r w:rsidRPr="00F065F7">
        <w:rPr>
          <w:rFonts w:ascii="Times New Roman" w:hAnsi="Times New Roman"/>
          <w:b/>
          <w:sz w:val="24"/>
          <w:szCs w:val="24"/>
        </w:rPr>
        <w:t>***</w:t>
      </w:r>
    </w:p>
    <w:p w14:paraId="2AE91181" w14:textId="77777777" w:rsidR="00012C74" w:rsidRPr="00F065F7" w:rsidRDefault="00012C74" w:rsidP="00012C74">
      <w:pPr>
        <w:pStyle w:val="NoSpacing"/>
        <w:rPr>
          <w:rFonts w:ascii="Times New Roman" w:hAnsi="Times New Roman"/>
          <w:b/>
          <w:sz w:val="24"/>
          <w:szCs w:val="24"/>
        </w:rPr>
      </w:pPr>
    </w:p>
    <w:p w14:paraId="4A515EA0" w14:textId="77777777" w:rsidR="00012C74" w:rsidRPr="00F065F7" w:rsidRDefault="00012C74" w:rsidP="00012C74">
      <w:pPr>
        <w:pStyle w:val="NoSpacing"/>
        <w:ind w:left="720"/>
        <w:rPr>
          <w:rFonts w:ascii="Times New Roman" w:hAnsi="Times New Roman"/>
          <w:bCs/>
          <w:sz w:val="24"/>
          <w:szCs w:val="24"/>
        </w:rPr>
      </w:pPr>
      <w:r w:rsidRPr="00F065F7">
        <w:rPr>
          <w:rFonts w:ascii="Times New Roman" w:hAnsi="Times New Roman"/>
          <w:sz w:val="24"/>
          <w:szCs w:val="24"/>
        </w:rPr>
        <w:t xml:space="preserve">Wester </w:t>
      </w:r>
      <w:proofErr w:type="gramStart"/>
      <w:r w:rsidRPr="00F065F7">
        <w:rPr>
          <w:rFonts w:ascii="Times New Roman" w:hAnsi="Times New Roman"/>
          <w:sz w:val="24"/>
          <w:szCs w:val="24"/>
        </w:rPr>
        <w:t>admitted to</w:t>
      </w:r>
      <w:proofErr w:type="gramEnd"/>
      <w:r w:rsidRPr="00F065F7">
        <w:rPr>
          <w:rFonts w:ascii="Times New Roman" w:hAnsi="Times New Roman"/>
          <w:sz w:val="24"/>
          <w:szCs w:val="24"/>
        </w:rPr>
        <w:t xml:space="preserve"> the following facts at his plea hearing. He was previously a licensed nurse and a paramedic who worked for an air ambulance service in Demopolis, Alabama. On August 26, 2018, Wester, with reckless disregard for the risk that another person would be placed in danger of death and bodily injury, and under circumstances manifesting extreme indifference to such risk, tampered with ketamine hydrochloride (ketamine), a consumer product that was manufactured outside of Alabama and affected interstate commerce. Wester accessed the controlled substances box inside a locked safe located on board an emergency helicopter, removed ketamine from two vials, and replaced the removed ketamine with saline, knowing that the ketamine was intended to be administered via injection to critically ill and injured patients being transported by helicopter for emergency treatment. </w:t>
      </w:r>
    </w:p>
    <w:p w14:paraId="2EA7F505" w14:textId="77777777" w:rsidR="00012C74" w:rsidRPr="00F065F7" w:rsidRDefault="00012C74" w:rsidP="00012C74">
      <w:pPr>
        <w:pStyle w:val="NoSpacing"/>
        <w:rPr>
          <w:rFonts w:ascii="Times New Roman" w:hAnsi="Times New Roman"/>
          <w:bCs/>
          <w:sz w:val="24"/>
          <w:szCs w:val="24"/>
        </w:rPr>
      </w:pPr>
    </w:p>
    <w:p w14:paraId="7C6F92EF" w14:textId="77777777" w:rsidR="00012C74" w:rsidRPr="00F065F7" w:rsidRDefault="00012C74" w:rsidP="00012C74">
      <w:pPr>
        <w:pStyle w:val="NoSpacing"/>
        <w:ind w:left="720"/>
        <w:rPr>
          <w:rFonts w:ascii="Times New Roman" w:hAnsi="Times New Roman"/>
          <w:bCs/>
          <w:sz w:val="24"/>
          <w:szCs w:val="24"/>
        </w:rPr>
      </w:pPr>
      <w:r w:rsidRPr="00F065F7">
        <w:rPr>
          <w:rFonts w:ascii="Times New Roman" w:hAnsi="Times New Roman"/>
          <w:sz w:val="24"/>
          <w:szCs w:val="24"/>
        </w:rPr>
        <w:t xml:space="preserve">On August 27, 2018, a critically injured patient required air transport to Mobile, Alabama. The patient had been run over by a cow and suffered head trauma and loss of consciousness. The on-board nurse attempted to administer ketamine. The vial appeared to have a blue glue on the cap. When the needle was inserted, the vial did not appear to be vacuum sealed. The nurse administered the </w:t>
      </w:r>
      <w:proofErr w:type="gramStart"/>
      <w:r w:rsidRPr="00F065F7">
        <w:rPr>
          <w:rFonts w:ascii="Times New Roman" w:hAnsi="Times New Roman"/>
          <w:sz w:val="24"/>
          <w:szCs w:val="24"/>
        </w:rPr>
        <w:t>dose</w:t>
      </w:r>
      <w:proofErr w:type="gramEnd"/>
      <w:r w:rsidRPr="00F065F7">
        <w:rPr>
          <w:rFonts w:ascii="Times New Roman" w:hAnsi="Times New Roman"/>
          <w:sz w:val="24"/>
          <w:szCs w:val="24"/>
        </w:rPr>
        <w:t xml:space="preserve"> but it did not have the anticipated effect. The nurse then obtained a second vial of ketamine and found that the cap had been glued on. </w:t>
      </w:r>
    </w:p>
    <w:p w14:paraId="5F64DE06" w14:textId="77777777" w:rsidR="00012C74" w:rsidRPr="00F065F7" w:rsidRDefault="00012C74" w:rsidP="00012C74">
      <w:pPr>
        <w:pStyle w:val="NoSpacing"/>
        <w:rPr>
          <w:rFonts w:ascii="Times New Roman" w:hAnsi="Times New Roman"/>
          <w:bCs/>
          <w:sz w:val="24"/>
          <w:szCs w:val="24"/>
        </w:rPr>
      </w:pPr>
    </w:p>
    <w:p w14:paraId="3BA6681E" w14:textId="77777777" w:rsidR="00012C74" w:rsidRPr="00F065F7" w:rsidRDefault="00012C74" w:rsidP="00012C74">
      <w:pPr>
        <w:pStyle w:val="NoSpacing"/>
        <w:ind w:left="720"/>
        <w:rPr>
          <w:rFonts w:ascii="Times New Roman" w:hAnsi="Times New Roman"/>
          <w:bCs/>
          <w:sz w:val="24"/>
          <w:szCs w:val="24"/>
        </w:rPr>
      </w:pPr>
      <w:r w:rsidRPr="00F065F7">
        <w:rPr>
          <w:rFonts w:ascii="Times New Roman" w:hAnsi="Times New Roman"/>
          <w:sz w:val="24"/>
          <w:szCs w:val="24"/>
        </w:rPr>
        <w:t xml:space="preserve">On August 30, 2018, a special agent with the Food and Drug Administration (FDA)’s Office of Criminal Investigations interviewed Wester, who admitted to removing ketamine from two vials on August 26. According to his statements, around midday on August 26 Wester asked another nurse on duty for the nurse’s set of keys to the locked narcotics on the helicopter, telling the other nurse that he would do the equipment check. The nurse gave Wester the keys. Wester opened the safe and did not lock one side back. The two-key lock system allowed Wester to return later with his own keys and access the safe. Later that evening, Wester went out to the helicopter, withdrew the ketamine from two vials, and replaced it with saline. Wester re-glued the tops of the vials with </w:t>
      </w:r>
      <w:proofErr w:type="spellStart"/>
      <w:r w:rsidRPr="00F065F7">
        <w:rPr>
          <w:rFonts w:ascii="Times New Roman" w:hAnsi="Times New Roman"/>
          <w:sz w:val="24"/>
          <w:szCs w:val="24"/>
        </w:rPr>
        <w:t>dermabond</w:t>
      </w:r>
      <w:proofErr w:type="spellEnd"/>
      <w:r w:rsidRPr="00F065F7">
        <w:rPr>
          <w:rFonts w:ascii="Times New Roman" w:hAnsi="Times New Roman"/>
          <w:sz w:val="24"/>
          <w:szCs w:val="24"/>
        </w:rPr>
        <w:t>. There was a zip-tie securing the plastic narcotics box inside the safe; Wester cut the zip-tie off and replaced it with a new one. Wester also changed the number in the logbook to reflect the new number. The old number ended in a “2.” Wester changed it to a “1.”</w:t>
      </w:r>
    </w:p>
    <w:p w14:paraId="79F51BDD" w14:textId="77777777" w:rsidR="00012C74" w:rsidRPr="003D63D9" w:rsidRDefault="00012C74" w:rsidP="00012C74">
      <w:pPr>
        <w:pStyle w:val="NoSpacing"/>
        <w:rPr>
          <w:bCs/>
        </w:rPr>
      </w:pPr>
    </w:p>
    <w:p w14:paraId="4B3AECBD" w14:textId="77777777" w:rsidR="00012C74" w:rsidRDefault="00012C74" w:rsidP="00012C74">
      <w:pPr>
        <w:pStyle w:val="NoSpacing"/>
        <w:rPr>
          <w:b/>
        </w:rPr>
      </w:pPr>
    </w:p>
    <w:p w14:paraId="302A738F" w14:textId="77777777" w:rsidR="00012C74" w:rsidRDefault="00012C74" w:rsidP="00F326E5">
      <w:pPr>
        <w:rPr>
          <w:rFonts w:ascii="Arial Black" w:hAnsi="Arial Black"/>
          <w:b/>
          <w:sz w:val="24"/>
          <w:szCs w:val="24"/>
        </w:rPr>
      </w:pPr>
    </w:p>
    <w:p w14:paraId="3EE69F75" w14:textId="77777777" w:rsidR="00707821" w:rsidRDefault="00707821" w:rsidP="00F326E5">
      <w:pPr>
        <w:rPr>
          <w:rFonts w:ascii="Arial Black" w:hAnsi="Arial Black"/>
          <w:b/>
          <w:sz w:val="24"/>
          <w:szCs w:val="24"/>
        </w:rPr>
      </w:pPr>
    </w:p>
    <w:p w14:paraId="3F4DB0D5" w14:textId="77777777" w:rsidR="00707821" w:rsidRDefault="00707821" w:rsidP="00F326E5">
      <w:pPr>
        <w:rPr>
          <w:rFonts w:ascii="Arial Black" w:hAnsi="Arial Black"/>
          <w:b/>
          <w:sz w:val="24"/>
          <w:szCs w:val="24"/>
        </w:rPr>
      </w:pPr>
    </w:p>
    <w:p w14:paraId="6A5A9D4D" w14:textId="30802665" w:rsidR="00131912" w:rsidRDefault="00131912" w:rsidP="00F326E5">
      <w:pPr>
        <w:rPr>
          <w:rFonts w:ascii="Arial Black" w:hAnsi="Arial Black"/>
          <w:b/>
          <w:sz w:val="24"/>
          <w:szCs w:val="24"/>
        </w:rPr>
      </w:pPr>
      <w:r>
        <w:rPr>
          <w:rFonts w:ascii="Arial Black" w:hAnsi="Arial Black"/>
          <w:b/>
          <w:sz w:val="24"/>
          <w:szCs w:val="24"/>
        </w:rPr>
        <w:t>12-31</w:t>
      </w:r>
    </w:p>
    <w:p w14:paraId="22710BCE" w14:textId="77777777" w:rsidR="00131912" w:rsidRPr="0089400B" w:rsidRDefault="00131912" w:rsidP="00131912">
      <w:pPr>
        <w:pStyle w:val="NoSpacing"/>
        <w:rPr>
          <w:rFonts w:ascii="Arial Black" w:hAnsi="Arial Black"/>
          <w:sz w:val="28"/>
          <w:szCs w:val="28"/>
        </w:rPr>
      </w:pPr>
      <w:r w:rsidRPr="0089400B">
        <w:rPr>
          <w:rFonts w:ascii="Arial Black" w:hAnsi="Arial Black"/>
          <w:sz w:val="28"/>
          <w:szCs w:val="28"/>
        </w:rPr>
        <w:t>MA: FF PINPOINT PUPILS – DELAY DRUG TEST / CBD - FIRED</w:t>
      </w:r>
    </w:p>
    <w:p w14:paraId="65DE9069" w14:textId="77777777" w:rsidR="00131912" w:rsidRPr="0089400B" w:rsidRDefault="00131912" w:rsidP="00131912">
      <w:pPr>
        <w:pStyle w:val="NoSpacing"/>
        <w:rPr>
          <w:rFonts w:ascii="Times New Roman" w:hAnsi="Times New Roman"/>
          <w:sz w:val="24"/>
          <w:szCs w:val="24"/>
        </w:rPr>
      </w:pPr>
    </w:p>
    <w:p w14:paraId="36950906" w14:textId="77777777" w:rsidR="003E0872" w:rsidRDefault="00131912" w:rsidP="003E0872">
      <w:pPr>
        <w:pStyle w:val="NoSpacing"/>
      </w:pPr>
      <w:r w:rsidRPr="0089400B">
        <w:rPr>
          <w:rFonts w:ascii="Times New Roman" w:hAnsi="Times New Roman"/>
          <w:sz w:val="24"/>
          <w:szCs w:val="24"/>
        </w:rPr>
        <w:lastRenderedPageBreak/>
        <w:t xml:space="preserve">On March 20, 2025, in </w:t>
      </w:r>
      <w:r w:rsidRPr="0089400B">
        <w:rPr>
          <w:rFonts w:ascii="Times New Roman" w:hAnsi="Times New Roman"/>
          <w:sz w:val="24"/>
          <w:szCs w:val="24"/>
          <w:u w:val="single"/>
        </w:rPr>
        <w:t>Patrick F. Burns, Sr, v. The City of Worchester, et al</w:t>
      </w:r>
      <w:r w:rsidRPr="0089400B">
        <w:rPr>
          <w:rFonts w:ascii="Times New Roman" w:hAnsi="Times New Roman"/>
          <w:sz w:val="24"/>
          <w:szCs w:val="24"/>
        </w:rPr>
        <w:t xml:space="preserve">., U.S. District Court Judge Margaret R. Guzman, U.S. District Court for the District of Massachusetts, granted the city’s motion to dismiss.  A Deputy Fire Chief observed the firefighter with “pinpoint” pupils during Recue 1 training on September 7, </w:t>
      </w:r>
      <w:proofErr w:type="gramStart"/>
      <w:r w:rsidRPr="0089400B">
        <w:rPr>
          <w:rFonts w:ascii="Times New Roman" w:hAnsi="Times New Roman"/>
          <w:sz w:val="24"/>
          <w:szCs w:val="24"/>
        </w:rPr>
        <w:t>2023</w:t>
      </w:r>
      <w:proofErr w:type="gramEnd"/>
      <w:r w:rsidRPr="0089400B">
        <w:rPr>
          <w:rFonts w:ascii="Times New Roman" w:hAnsi="Times New Roman"/>
          <w:sz w:val="24"/>
          <w:szCs w:val="24"/>
        </w:rPr>
        <w:t xml:space="preserve"> and ordered him to take drug test.  The firefighter didn’t take urine test until Nov. 8.  “Burns had recently begun the lawful off-duty use of prescribed oral cannabidiol (CBD), a non-intoxicating derivative of cannabis, as a sleep aid; he was unsure how this could affect drug test results or how such results might be interpreted or portrayed. He was suspended without pay since Oct. 8, 2023, and on Jan. 21, </w:t>
      </w:r>
      <w:proofErr w:type="gramStart"/>
      <w:r w:rsidRPr="0089400B">
        <w:rPr>
          <w:rFonts w:ascii="Times New Roman" w:hAnsi="Times New Roman"/>
          <w:sz w:val="24"/>
          <w:szCs w:val="24"/>
        </w:rPr>
        <w:t>2024</w:t>
      </w:r>
      <w:proofErr w:type="gramEnd"/>
      <w:r w:rsidRPr="0089400B">
        <w:rPr>
          <w:rFonts w:ascii="Times New Roman" w:hAnsi="Times New Roman"/>
          <w:sz w:val="24"/>
          <w:szCs w:val="24"/>
        </w:rPr>
        <w:t xml:space="preserve"> the FD offered him a substance abuse agreement [which he rejected].  The agreement “required Burns to accept its premise that he was an admitted drug abuser…. The agreement called for Burns to complete treatment with a licensed substance abuse rehabilitation program and provide negative results from hair, urine, and breathalyzer tests, or to accept a ‘last chance agreement’ requiring three years of highly intrusive drug testing on demand with ‘physical inspection’ before providing a urine sample and provision of each sample ‘under direct observation.’ …  The agreement also included ‘permanent transfer off the Rescue [unit] and outside the Franklin Street Fire Station’ with Burns to be barred from assignment to that station ‘even on a temporary basis.’ The letter stated the </w:t>
      </w:r>
      <w:proofErr w:type="gramStart"/>
      <w:r w:rsidRPr="0089400B">
        <w:rPr>
          <w:rFonts w:ascii="Times New Roman" w:hAnsi="Times New Roman"/>
          <w:sz w:val="24"/>
          <w:szCs w:val="24"/>
        </w:rPr>
        <w:t>City</w:t>
      </w:r>
      <w:proofErr w:type="gramEnd"/>
      <w:r w:rsidRPr="0089400B">
        <w:rPr>
          <w:rFonts w:ascii="Times New Roman" w:hAnsi="Times New Roman"/>
          <w:sz w:val="24"/>
          <w:szCs w:val="24"/>
        </w:rPr>
        <w:t xml:space="preserve"> would ‘move for your termination’ if Burns did not return the signed agreement within 10 days.”  His termination was upheld by a city Hearing Officer upheld after full hearing on June 7, 2023; and by Civil Service Commission on June 27, </w:t>
      </w:r>
      <w:proofErr w:type="gramStart"/>
      <w:r w:rsidRPr="0089400B">
        <w:rPr>
          <w:rFonts w:ascii="Times New Roman" w:hAnsi="Times New Roman"/>
          <w:sz w:val="24"/>
          <w:szCs w:val="24"/>
        </w:rPr>
        <w:t>2024</w:t>
      </w:r>
      <w:proofErr w:type="gramEnd"/>
      <w:r w:rsidRPr="0089400B">
        <w:rPr>
          <w:rFonts w:ascii="Times New Roman" w:hAnsi="Times New Roman"/>
          <w:sz w:val="24"/>
          <w:szCs w:val="24"/>
        </w:rPr>
        <w:t xml:space="preserve"> after a hearing.”</w:t>
      </w:r>
      <w:r w:rsidR="003E0872">
        <w:rPr>
          <w:rFonts w:ascii="Times New Roman" w:hAnsi="Times New Roman"/>
          <w:sz w:val="24"/>
          <w:szCs w:val="24"/>
        </w:rPr>
        <w:t xml:space="preserve"> </w:t>
      </w:r>
      <w:hyperlink r:id="rId1923" w:history="1">
        <w:r w:rsidR="003E0872" w:rsidRPr="00A02498">
          <w:rPr>
            <w:rStyle w:val="Hyperlink"/>
          </w:rPr>
          <w:t>https://public.fastcase.com/jaEE2PXzRXmZ99jOLMt1IkwLjDIafZivsAf6axO%2B3QZjm6x80NhvTxxrXJiS64do?utm_medium=email&amp;_hsenc=p2ANqtz-_ZLiMFX9yN1wO2MCWrhyQko1U4dUXhzxPQAtrBDBjCrjbe9Dh7_kNIbfrc-1zaAPZ0Y1FmrwNmXCeWeaeUVjh5p5R-nw&amp;_hsmi=226712652&amp;utm_content=226712652&amp;utm_source=hs_email</w:t>
        </w:r>
      </w:hyperlink>
      <w:r w:rsidR="003E0872">
        <w:t xml:space="preserve"> </w:t>
      </w:r>
    </w:p>
    <w:p w14:paraId="0E880446" w14:textId="77777777" w:rsidR="003E0872" w:rsidRDefault="003E0872" w:rsidP="003E0872">
      <w:pPr>
        <w:pStyle w:val="NoSpacing"/>
      </w:pPr>
    </w:p>
    <w:p w14:paraId="2656FD4A" w14:textId="1318A3C9" w:rsidR="00131912" w:rsidRPr="0089400B" w:rsidRDefault="00131912" w:rsidP="00131912">
      <w:pPr>
        <w:pStyle w:val="NoSpacing"/>
        <w:rPr>
          <w:rFonts w:ascii="Times New Roman" w:hAnsi="Times New Roman"/>
          <w:sz w:val="24"/>
          <w:szCs w:val="24"/>
        </w:rPr>
      </w:pPr>
    </w:p>
    <w:p w14:paraId="56CACE56" w14:textId="77777777" w:rsidR="0089400B" w:rsidRPr="0089400B" w:rsidRDefault="0089400B" w:rsidP="0089400B">
      <w:pPr>
        <w:pStyle w:val="NoSpacing"/>
        <w:rPr>
          <w:rFonts w:ascii="Times New Roman" w:hAnsi="Times New Roman"/>
          <w:b/>
          <w:sz w:val="24"/>
          <w:szCs w:val="24"/>
        </w:rPr>
      </w:pPr>
    </w:p>
    <w:p w14:paraId="6E5747C4" w14:textId="07DA2504" w:rsidR="0089400B" w:rsidRPr="0089400B" w:rsidRDefault="0089400B" w:rsidP="0089400B">
      <w:pPr>
        <w:pStyle w:val="NoSpacing"/>
        <w:rPr>
          <w:rFonts w:ascii="Times New Roman" w:hAnsi="Times New Roman"/>
          <w:b/>
          <w:bCs/>
          <w:sz w:val="24"/>
          <w:szCs w:val="24"/>
        </w:rPr>
      </w:pPr>
      <w:r w:rsidRPr="0089400B">
        <w:rPr>
          <w:rFonts w:ascii="Times New Roman" w:hAnsi="Times New Roman"/>
          <w:b/>
          <w:sz w:val="24"/>
          <w:szCs w:val="24"/>
        </w:rPr>
        <w:t xml:space="preserve">Legal Lesson Learned: Firefighting is a “safety-sensitive” job and employer may order drug test if there is reasonable suspicion.  </w:t>
      </w:r>
    </w:p>
    <w:p w14:paraId="25692397" w14:textId="77777777" w:rsidR="0089400B" w:rsidRPr="0089400B" w:rsidRDefault="0089400B" w:rsidP="0089400B">
      <w:pPr>
        <w:pStyle w:val="NoSpacing"/>
        <w:rPr>
          <w:rFonts w:ascii="Times New Roman" w:hAnsi="Times New Roman"/>
          <w:sz w:val="24"/>
          <w:szCs w:val="24"/>
        </w:rPr>
      </w:pPr>
    </w:p>
    <w:p w14:paraId="38429B94" w14:textId="77777777" w:rsidR="0089400B" w:rsidRDefault="0089400B" w:rsidP="00131912">
      <w:pPr>
        <w:pStyle w:val="NoSpacing"/>
      </w:pPr>
    </w:p>
    <w:p w14:paraId="101F78FC" w14:textId="77777777" w:rsidR="00131912" w:rsidRDefault="00131912" w:rsidP="00F326E5">
      <w:pPr>
        <w:rPr>
          <w:rFonts w:ascii="Arial Black" w:hAnsi="Arial Black"/>
          <w:b/>
          <w:sz w:val="24"/>
          <w:szCs w:val="24"/>
        </w:rPr>
      </w:pPr>
    </w:p>
    <w:p w14:paraId="1D88A510" w14:textId="77777777" w:rsidR="00131912" w:rsidRDefault="00131912" w:rsidP="00F326E5">
      <w:pPr>
        <w:rPr>
          <w:rFonts w:ascii="Arial Black" w:hAnsi="Arial Black"/>
          <w:b/>
          <w:sz w:val="24"/>
          <w:szCs w:val="24"/>
        </w:rPr>
      </w:pPr>
    </w:p>
    <w:p w14:paraId="5BB7BB4B" w14:textId="77777777" w:rsidR="00131912" w:rsidRDefault="00131912" w:rsidP="00F326E5">
      <w:pPr>
        <w:rPr>
          <w:rFonts w:ascii="Arial Black" w:hAnsi="Arial Black"/>
          <w:b/>
          <w:sz w:val="24"/>
          <w:szCs w:val="24"/>
        </w:rPr>
      </w:pPr>
    </w:p>
    <w:p w14:paraId="08E6AC15" w14:textId="1E311322" w:rsidR="00EE6BDE" w:rsidRDefault="00EE6BDE" w:rsidP="00F326E5">
      <w:pPr>
        <w:rPr>
          <w:rFonts w:ascii="Arial Black" w:hAnsi="Arial Black"/>
          <w:b/>
          <w:sz w:val="24"/>
          <w:szCs w:val="24"/>
        </w:rPr>
      </w:pPr>
      <w:r>
        <w:rPr>
          <w:rFonts w:ascii="Arial Black" w:hAnsi="Arial Black"/>
          <w:b/>
          <w:sz w:val="24"/>
          <w:szCs w:val="24"/>
        </w:rPr>
        <w:t>12-30</w:t>
      </w:r>
    </w:p>
    <w:p w14:paraId="10BA2680" w14:textId="77777777" w:rsidR="00EE6BDE" w:rsidRPr="000B7F2C" w:rsidRDefault="00EE6BDE" w:rsidP="00EE6BDE">
      <w:pPr>
        <w:rPr>
          <w:rFonts w:ascii="Arial Black" w:hAnsi="Arial Black"/>
          <w:sz w:val="28"/>
          <w:szCs w:val="28"/>
        </w:rPr>
      </w:pPr>
      <w:r w:rsidRPr="000B7F2C">
        <w:rPr>
          <w:rFonts w:ascii="Arial Black" w:hAnsi="Arial Black"/>
          <w:sz w:val="28"/>
          <w:szCs w:val="28"/>
        </w:rPr>
        <w:t xml:space="preserve">PA: MEDICAL MJ – PTSD – LAB HIRE DEMOTED – NO ADA </w:t>
      </w:r>
    </w:p>
    <w:p w14:paraId="5063C9C0" w14:textId="77777777" w:rsidR="00EE6BDE" w:rsidRPr="00BA592A" w:rsidRDefault="00EE6BDE" w:rsidP="00EE6BDE">
      <w:pPr>
        <w:rPr>
          <w:rFonts w:ascii="Times New Roman" w:hAnsi="Times New Roman"/>
          <w:sz w:val="24"/>
          <w:szCs w:val="24"/>
        </w:rPr>
      </w:pPr>
      <w:r w:rsidRPr="00BA592A">
        <w:rPr>
          <w:rFonts w:ascii="Times New Roman" w:hAnsi="Times New Roman"/>
          <w:sz w:val="24"/>
          <w:szCs w:val="24"/>
        </w:rPr>
        <w:t xml:space="preserve">On Feb. 12, 2025, in </w:t>
      </w:r>
      <w:r w:rsidRPr="00BA592A">
        <w:rPr>
          <w:rFonts w:ascii="Times New Roman" w:hAnsi="Times New Roman"/>
          <w:sz w:val="24"/>
          <w:szCs w:val="24"/>
          <w:u w:val="single"/>
        </w:rPr>
        <w:t>Nicole Zimmerman v. Health Network Laboratories, L.P</w:t>
      </w:r>
      <w:r w:rsidRPr="00BA592A">
        <w:rPr>
          <w:rFonts w:ascii="Times New Roman" w:hAnsi="Times New Roman"/>
          <w:sz w:val="24"/>
          <w:szCs w:val="24"/>
        </w:rPr>
        <w:t xml:space="preserve">., United States District Court Judge Gail A. Weilheimer, U.S. District Court for Eastern District of Pennsylvania, granted defense motion for summary judgment’ medical marijuana use is not protected under the Americans with Disabilities Act (ADA).   The company (50 locations; 1,500 employees) hired the plaintiff on March 3, </w:t>
      </w:r>
      <w:proofErr w:type="gramStart"/>
      <w:r w:rsidRPr="00BA592A">
        <w:rPr>
          <w:rFonts w:ascii="Times New Roman" w:hAnsi="Times New Roman"/>
          <w:sz w:val="24"/>
          <w:szCs w:val="24"/>
        </w:rPr>
        <w:t>2022</w:t>
      </w:r>
      <w:proofErr w:type="gramEnd"/>
      <w:r w:rsidRPr="00BA592A">
        <w:rPr>
          <w:rFonts w:ascii="Times New Roman" w:hAnsi="Times New Roman"/>
          <w:sz w:val="24"/>
          <w:szCs w:val="24"/>
        </w:rPr>
        <w:t xml:space="preserve"> as a </w:t>
      </w:r>
      <w:proofErr w:type="gramStart"/>
      <w:r w:rsidRPr="00BA592A">
        <w:rPr>
          <w:rFonts w:ascii="Times New Roman" w:hAnsi="Times New Roman"/>
          <w:sz w:val="24"/>
          <w:szCs w:val="24"/>
        </w:rPr>
        <w:t>Phlebotomist</w:t>
      </w:r>
      <w:proofErr w:type="gramEnd"/>
      <w:r w:rsidRPr="00BA592A">
        <w:rPr>
          <w:rFonts w:ascii="Times New Roman" w:hAnsi="Times New Roman"/>
          <w:sz w:val="24"/>
          <w:szCs w:val="24"/>
        </w:rPr>
        <w:t xml:space="preserve"> II.  She suffers from Post-Traumatic Stress Disorder ("PTSD") and Generalized Anxiety Disorder ("GAD") and uses medical marijuana to support her treatment for these diagnoses.  On April 13, 2022, Ms. Zimmerman was instead offered a position as a Laboratory Assistant</w:t>
      </w:r>
      <w:r w:rsidRPr="00BA592A">
        <w:rPr>
          <w:rFonts w:ascii="Times New Roman" w:hAnsi="Times New Roman"/>
          <w:sz w:val="24"/>
          <w:szCs w:val="24"/>
          <w:vertAlign w:val="superscript"/>
        </w:rPr>
        <w:t xml:space="preserve"> </w:t>
      </w:r>
      <w:r w:rsidRPr="00BA592A">
        <w:rPr>
          <w:rFonts w:ascii="Times New Roman" w:hAnsi="Times New Roman"/>
          <w:sz w:val="24"/>
          <w:szCs w:val="24"/>
        </w:rPr>
        <w:t xml:space="preserve">[classified as non-safety sensitive] which constituted a demotion with a lower hourly rate of pay.  </w:t>
      </w:r>
      <w:hyperlink r:id="rId1924" w:history="1">
        <w:r w:rsidRPr="00BA592A">
          <w:rPr>
            <w:rStyle w:val="Hyperlink"/>
            <w:rFonts w:ascii="Times New Roman" w:hAnsi="Times New Roman"/>
            <w:sz w:val="24"/>
            <w:szCs w:val="24"/>
          </w:rPr>
          <w:t>https://public.fastcase.com/jaEE2PXzRXmZ99jOLMt1IkeXMb88bktridCVT2cNJQMzpCQ6GgqcAq9z2DsPb3SV?utm_medium=email&amp;_hsenc=p2ANqtz-85xVo1nyN3HdtXmyEBbnKz3steTpDAfhmpvG3xr6TrZ9DYf7Sn2b546JhEk92EHRSHghCxIzSuD7PvUX919GE5tGfx5g&amp;_hsmi=226712652&amp;utm_content=226712652&amp;utm_source=hs_email</w:t>
        </w:r>
      </w:hyperlink>
      <w:r w:rsidRPr="00BA592A">
        <w:rPr>
          <w:rFonts w:ascii="Times New Roman" w:hAnsi="Times New Roman"/>
          <w:sz w:val="24"/>
          <w:szCs w:val="24"/>
        </w:rPr>
        <w:t xml:space="preserve"> </w:t>
      </w:r>
    </w:p>
    <w:p w14:paraId="1F3FAF02" w14:textId="77777777" w:rsidR="00EE6BDE" w:rsidRPr="00BA592A" w:rsidRDefault="00EE6BDE" w:rsidP="00EE6BDE">
      <w:pPr>
        <w:pStyle w:val="NoSpacing"/>
        <w:rPr>
          <w:rFonts w:ascii="Times New Roman" w:hAnsi="Times New Roman"/>
          <w:sz w:val="24"/>
          <w:szCs w:val="24"/>
        </w:rPr>
      </w:pPr>
      <w:r w:rsidRPr="00BA592A">
        <w:rPr>
          <w:rFonts w:ascii="Times New Roman" w:hAnsi="Times New Roman"/>
          <w:sz w:val="24"/>
          <w:szCs w:val="24"/>
        </w:rPr>
        <w:lastRenderedPageBreak/>
        <w:t>The Court wrote:</w:t>
      </w:r>
    </w:p>
    <w:p w14:paraId="6929948C" w14:textId="77777777" w:rsidR="00EE6BDE" w:rsidRPr="00BA592A" w:rsidRDefault="00EE6BDE" w:rsidP="00EE6BDE">
      <w:pPr>
        <w:pStyle w:val="NoSpacing"/>
        <w:rPr>
          <w:rFonts w:ascii="Times New Roman" w:hAnsi="Times New Roman"/>
          <w:sz w:val="24"/>
          <w:szCs w:val="24"/>
        </w:rPr>
      </w:pPr>
    </w:p>
    <w:p w14:paraId="7B34C13B" w14:textId="77777777" w:rsidR="00EE6BDE" w:rsidRPr="00BA592A" w:rsidRDefault="00EE6BDE" w:rsidP="00EE6BDE">
      <w:pPr>
        <w:pStyle w:val="NoSpacing"/>
        <w:ind w:left="720"/>
        <w:rPr>
          <w:rFonts w:ascii="Times New Roman" w:hAnsi="Times New Roman"/>
          <w:sz w:val="24"/>
          <w:szCs w:val="24"/>
        </w:rPr>
      </w:pPr>
      <w:r w:rsidRPr="00BA592A">
        <w:rPr>
          <w:rFonts w:ascii="Times New Roman" w:hAnsi="Times New Roman"/>
          <w:sz w:val="24"/>
          <w:szCs w:val="24"/>
        </w:rPr>
        <w:t xml:space="preserve">“Because the adverse employment action here was precipitated by Ms. Zimmerman's use of medical marijuana, she is not a qualified individual per the ADA. </w:t>
      </w:r>
    </w:p>
    <w:p w14:paraId="31E5F6BC" w14:textId="77777777" w:rsidR="00EE6BDE" w:rsidRPr="00BA592A" w:rsidRDefault="00EE6BDE" w:rsidP="00EE6BDE">
      <w:pPr>
        <w:pStyle w:val="NoSpacing"/>
        <w:rPr>
          <w:rFonts w:ascii="Times New Roman" w:hAnsi="Times New Roman"/>
          <w:sz w:val="24"/>
          <w:szCs w:val="24"/>
        </w:rPr>
      </w:pPr>
    </w:p>
    <w:p w14:paraId="5E375F57" w14:textId="77777777" w:rsidR="00EE6BDE" w:rsidRPr="00BA592A" w:rsidRDefault="00EE6BDE" w:rsidP="00EE6BDE">
      <w:pPr>
        <w:pStyle w:val="NoSpacing"/>
        <w:ind w:left="720"/>
        <w:rPr>
          <w:rFonts w:ascii="Times New Roman" w:hAnsi="Times New Roman"/>
          <w:sz w:val="24"/>
          <w:szCs w:val="24"/>
        </w:rPr>
      </w:pPr>
      <w:r w:rsidRPr="00BA592A">
        <w:rPr>
          <w:rFonts w:ascii="Times New Roman" w:hAnsi="Times New Roman"/>
          <w:sz w:val="24"/>
          <w:szCs w:val="24"/>
        </w:rPr>
        <w:t xml:space="preserve">[Fire Department case – in] </w:t>
      </w:r>
      <w:r w:rsidRPr="00BA592A">
        <w:rPr>
          <w:rFonts w:ascii="Times New Roman" w:hAnsi="Times New Roman"/>
          <w:i/>
          <w:iCs/>
          <w:sz w:val="24"/>
          <w:szCs w:val="24"/>
        </w:rPr>
        <w:t>Eccleston v. City of Waterbury,</w:t>
      </w:r>
      <w:r w:rsidRPr="00BA592A">
        <w:rPr>
          <w:rFonts w:ascii="Times New Roman" w:hAnsi="Times New Roman"/>
          <w:sz w:val="24"/>
          <w:szCs w:val="24"/>
        </w:rPr>
        <w:t xml:space="preserve"> No. 3:19-cv-1614, 2021 WL 1090754, at *6 (D. Conn. Mar. 22, 2021). In </w:t>
      </w:r>
      <w:r w:rsidRPr="00BA592A">
        <w:rPr>
          <w:rFonts w:ascii="Times New Roman" w:hAnsi="Times New Roman"/>
          <w:i/>
          <w:iCs/>
          <w:sz w:val="24"/>
          <w:szCs w:val="24"/>
        </w:rPr>
        <w:t>Eccleston,</w:t>
      </w:r>
      <w:r w:rsidRPr="00BA592A">
        <w:rPr>
          <w:rFonts w:ascii="Times New Roman" w:hAnsi="Times New Roman"/>
          <w:sz w:val="24"/>
          <w:szCs w:val="24"/>
        </w:rPr>
        <w:t xml:space="preserve"> the District Court of Connecticut held that a firefighter, lawfully prescribed medical marijuana under Connecticut state law, was not protected as a qualified individual under the ADA. </w:t>
      </w:r>
      <w:r w:rsidRPr="00BA592A">
        <w:rPr>
          <w:rFonts w:ascii="Times New Roman" w:hAnsi="Times New Roman"/>
          <w:i/>
          <w:iCs/>
          <w:sz w:val="24"/>
          <w:szCs w:val="24"/>
        </w:rPr>
        <w:t>See Eccleston,</w:t>
      </w:r>
      <w:r w:rsidRPr="00BA592A">
        <w:rPr>
          <w:rFonts w:ascii="Times New Roman" w:hAnsi="Times New Roman"/>
          <w:sz w:val="24"/>
          <w:szCs w:val="24"/>
        </w:rPr>
        <w:t xml:space="preserve"> at *6. The Court explained that to hold ‘otherwise would place [the ADA] in direct tension with the clear provisions of the CSA-a statute the ADA relies upon </w:t>
      </w:r>
      <w:proofErr w:type="gramStart"/>
      <w:r w:rsidRPr="00BA592A">
        <w:rPr>
          <w:rFonts w:ascii="Times New Roman" w:hAnsi="Times New Roman"/>
          <w:sz w:val="24"/>
          <w:szCs w:val="24"/>
        </w:rPr>
        <w:t>to define</w:t>
      </w:r>
      <w:proofErr w:type="gramEnd"/>
      <w:r w:rsidRPr="00BA592A">
        <w:rPr>
          <w:rFonts w:ascii="Times New Roman" w:hAnsi="Times New Roman"/>
          <w:sz w:val="24"/>
          <w:szCs w:val="24"/>
        </w:rPr>
        <w:t xml:space="preserve"> the term "illegal drug use.’ </w:t>
      </w:r>
    </w:p>
    <w:p w14:paraId="0D516CAB" w14:textId="77777777" w:rsidR="00EE6BDE" w:rsidRPr="00BA592A" w:rsidRDefault="00EE6BDE" w:rsidP="00EE6BDE">
      <w:pPr>
        <w:pStyle w:val="NoSpacing"/>
        <w:rPr>
          <w:rFonts w:ascii="Times New Roman" w:hAnsi="Times New Roman"/>
          <w:sz w:val="24"/>
          <w:szCs w:val="24"/>
        </w:rPr>
      </w:pPr>
    </w:p>
    <w:p w14:paraId="07C28A5B" w14:textId="77777777" w:rsidR="00EE6BDE" w:rsidRPr="00BA592A" w:rsidRDefault="00EE6BDE" w:rsidP="00EE6BDE">
      <w:pPr>
        <w:pStyle w:val="NoSpacing"/>
        <w:ind w:firstLine="720"/>
        <w:rPr>
          <w:rFonts w:ascii="Times New Roman" w:hAnsi="Times New Roman"/>
          <w:sz w:val="24"/>
          <w:szCs w:val="24"/>
        </w:rPr>
      </w:pPr>
      <w:r w:rsidRPr="00BA592A">
        <w:rPr>
          <w:rFonts w:ascii="Times New Roman" w:hAnsi="Times New Roman"/>
          <w:sz w:val="24"/>
          <w:szCs w:val="24"/>
        </w:rPr>
        <w:t>***</w:t>
      </w:r>
    </w:p>
    <w:p w14:paraId="4D427B4E" w14:textId="77777777" w:rsidR="00EE6BDE" w:rsidRPr="00BA592A" w:rsidRDefault="00EE6BDE" w:rsidP="00EE6BDE">
      <w:pPr>
        <w:pStyle w:val="NoSpacing"/>
        <w:rPr>
          <w:rFonts w:ascii="Times New Roman" w:hAnsi="Times New Roman"/>
          <w:sz w:val="24"/>
          <w:szCs w:val="24"/>
        </w:rPr>
      </w:pPr>
    </w:p>
    <w:p w14:paraId="0A814CA9" w14:textId="77777777" w:rsidR="00EE6BDE" w:rsidRPr="00BA592A" w:rsidRDefault="00EE6BDE" w:rsidP="00EE6BDE">
      <w:pPr>
        <w:pStyle w:val="NoSpacing"/>
        <w:ind w:left="720"/>
        <w:rPr>
          <w:rFonts w:ascii="Times New Roman" w:hAnsi="Times New Roman"/>
          <w:sz w:val="24"/>
          <w:szCs w:val="24"/>
        </w:rPr>
      </w:pPr>
      <w:r w:rsidRPr="00BA592A">
        <w:rPr>
          <w:rFonts w:ascii="Times New Roman" w:hAnsi="Times New Roman"/>
          <w:sz w:val="24"/>
          <w:szCs w:val="24"/>
        </w:rPr>
        <w:t xml:space="preserve">Similarly, the District Court of Colorado held termination on account of complainant's medical marijuana use did not constitute discrimination under the ADA. </w:t>
      </w:r>
      <w:r w:rsidRPr="00BA592A">
        <w:rPr>
          <w:rFonts w:ascii="Times New Roman" w:hAnsi="Times New Roman"/>
          <w:i/>
          <w:iCs/>
          <w:sz w:val="24"/>
          <w:szCs w:val="24"/>
        </w:rPr>
        <w:t>Steele v. Stallion Rockies Ltd,</w:t>
      </w:r>
      <w:r w:rsidRPr="00BA592A">
        <w:rPr>
          <w:rFonts w:ascii="Times New Roman" w:hAnsi="Times New Roman"/>
          <w:sz w:val="24"/>
          <w:szCs w:val="24"/>
        </w:rPr>
        <w:t xml:space="preserve"> 106 F.Supp.3d 1205, 1218 (D. Colo. 2015); </w:t>
      </w:r>
      <w:r w:rsidRPr="00BA592A">
        <w:rPr>
          <w:rFonts w:ascii="Times New Roman" w:hAnsi="Times New Roman"/>
          <w:i/>
          <w:iCs/>
          <w:sz w:val="24"/>
          <w:szCs w:val="24"/>
        </w:rPr>
        <w:t xml:space="preserve">see also </w:t>
      </w:r>
      <w:proofErr w:type="spellStart"/>
      <w:r w:rsidRPr="00BA592A">
        <w:rPr>
          <w:rFonts w:ascii="Times New Roman" w:hAnsi="Times New Roman"/>
          <w:i/>
          <w:iCs/>
          <w:sz w:val="24"/>
          <w:szCs w:val="24"/>
        </w:rPr>
        <w:t>Aiiderson</w:t>
      </w:r>
      <w:proofErr w:type="spellEnd"/>
      <w:r w:rsidRPr="00BA592A">
        <w:rPr>
          <w:rFonts w:ascii="Times New Roman" w:hAnsi="Times New Roman"/>
          <w:i/>
          <w:iCs/>
          <w:sz w:val="24"/>
          <w:szCs w:val="24"/>
        </w:rPr>
        <w:t xml:space="preserve"> v. Diamondback Investment Group,</w:t>
      </w:r>
      <w:r w:rsidRPr="00BA592A">
        <w:rPr>
          <w:rFonts w:ascii="Times New Roman" w:hAnsi="Times New Roman"/>
          <w:sz w:val="24"/>
          <w:szCs w:val="24"/>
        </w:rPr>
        <w:t xml:space="preserve"> 117 F.4</w:t>
      </w:r>
      <w:r w:rsidRPr="00BA592A">
        <w:rPr>
          <w:rFonts w:ascii="Times New Roman" w:hAnsi="Times New Roman"/>
          <w:sz w:val="24"/>
          <w:szCs w:val="24"/>
          <w:vertAlign w:val="superscript"/>
        </w:rPr>
        <w:t>th</w:t>
      </w:r>
      <w:r w:rsidRPr="00BA592A">
        <w:rPr>
          <w:rFonts w:ascii="Times New Roman" w:hAnsi="Times New Roman"/>
          <w:sz w:val="24"/>
          <w:szCs w:val="24"/>
        </w:rPr>
        <w:t xml:space="preserve"> 165 (4th Cir. 2024) (terminating individuals taking illegal drugs to treat a disability is permissible, so long as the goal of the drug testing scheme does not intentionally exclude any individual taking a </w:t>
      </w:r>
      <w:r w:rsidRPr="00BA592A">
        <w:rPr>
          <w:rFonts w:ascii="Times New Roman" w:hAnsi="Times New Roman"/>
          <w:i/>
          <w:iCs/>
          <w:sz w:val="24"/>
          <w:szCs w:val="24"/>
        </w:rPr>
        <w:t>lawfully prescribed</w:t>
      </w:r>
      <w:r w:rsidRPr="00BA592A">
        <w:rPr>
          <w:rFonts w:ascii="Times New Roman" w:hAnsi="Times New Roman"/>
          <w:sz w:val="24"/>
          <w:szCs w:val="24"/>
        </w:rPr>
        <w:t xml:space="preserve"> drug to treat a disability); </w:t>
      </w:r>
      <w:r w:rsidRPr="00BA592A">
        <w:rPr>
          <w:rFonts w:ascii="Times New Roman" w:hAnsi="Times New Roman"/>
          <w:i/>
          <w:iCs/>
          <w:sz w:val="24"/>
          <w:szCs w:val="24"/>
        </w:rPr>
        <w:t>Zarazua v. Ricketts,</w:t>
      </w:r>
      <w:r w:rsidRPr="00BA592A">
        <w:rPr>
          <w:rFonts w:ascii="Times New Roman" w:hAnsi="Times New Roman"/>
          <w:sz w:val="24"/>
          <w:szCs w:val="24"/>
        </w:rPr>
        <w:t xml:space="preserve"> 8:17CV318, 2017 WL 6503395, at *2 (D. Neb. Oct. 2, 2017) (exception for medical marijuana in state law is not a reasonable accommodation under the ADA); </w:t>
      </w:r>
      <w:r w:rsidRPr="00BA592A">
        <w:rPr>
          <w:rFonts w:ascii="Times New Roman" w:hAnsi="Times New Roman"/>
          <w:i/>
          <w:iCs/>
          <w:sz w:val="24"/>
          <w:szCs w:val="24"/>
        </w:rPr>
        <w:t>Barber v. Gonzalez</w:t>
      </w:r>
      <w:r w:rsidRPr="00BA592A">
        <w:rPr>
          <w:rFonts w:ascii="Times New Roman" w:hAnsi="Times New Roman"/>
          <w:sz w:val="24"/>
          <w:szCs w:val="24"/>
        </w:rPr>
        <w:t xml:space="preserve"> No. CV-05-0173, 2005 WL 1607189, at *1 (E.D. Wash. Jul. 1, 2005) (physician supervised drug use must be authorized under the Controlled Substances Act or other provisions of Federal law, regardless of any state law authorization).</w:t>
      </w:r>
    </w:p>
    <w:p w14:paraId="1D66A366" w14:textId="77777777" w:rsidR="00EE6BDE" w:rsidRPr="00BA592A" w:rsidRDefault="00EE6BDE" w:rsidP="00EE6BDE">
      <w:pPr>
        <w:pStyle w:val="NoSpacing"/>
        <w:rPr>
          <w:rFonts w:ascii="Times New Roman" w:hAnsi="Times New Roman"/>
          <w:sz w:val="24"/>
          <w:szCs w:val="24"/>
        </w:rPr>
      </w:pPr>
    </w:p>
    <w:p w14:paraId="059735C8" w14:textId="77777777" w:rsidR="00EE6BDE" w:rsidRPr="00BA592A" w:rsidRDefault="00EE6BDE" w:rsidP="00EE6BDE">
      <w:pPr>
        <w:pStyle w:val="NoSpacing"/>
        <w:ind w:firstLine="720"/>
        <w:rPr>
          <w:rFonts w:ascii="Times New Roman" w:hAnsi="Times New Roman"/>
          <w:sz w:val="24"/>
          <w:szCs w:val="24"/>
        </w:rPr>
      </w:pPr>
      <w:r w:rsidRPr="00BA592A">
        <w:rPr>
          <w:rFonts w:ascii="Times New Roman" w:hAnsi="Times New Roman"/>
          <w:sz w:val="24"/>
          <w:szCs w:val="24"/>
        </w:rPr>
        <w:t>***</w:t>
      </w:r>
    </w:p>
    <w:p w14:paraId="14F6F634" w14:textId="77777777" w:rsidR="00EE6BDE" w:rsidRPr="00BA592A" w:rsidRDefault="00EE6BDE" w:rsidP="00EE6BDE">
      <w:pPr>
        <w:pStyle w:val="NoSpacing"/>
        <w:rPr>
          <w:rFonts w:ascii="Times New Roman" w:hAnsi="Times New Roman"/>
          <w:sz w:val="24"/>
          <w:szCs w:val="24"/>
        </w:rPr>
      </w:pPr>
    </w:p>
    <w:p w14:paraId="614FD360" w14:textId="77777777" w:rsidR="00EE6BDE" w:rsidRPr="00BA592A" w:rsidRDefault="00EE6BDE" w:rsidP="00EE6BDE">
      <w:pPr>
        <w:pStyle w:val="NoSpacing"/>
        <w:ind w:left="720"/>
        <w:rPr>
          <w:rFonts w:ascii="Times New Roman" w:hAnsi="Times New Roman"/>
          <w:sz w:val="24"/>
          <w:szCs w:val="24"/>
        </w:rPr>
      </w:pPr>
      <w:r w:rsidRPr="00BA592A">
        <w:rPr>
          <w:rFonts w:ascii="Times New Roman" w:hAnsi="Times New Roman"/>
          <w:sz w:val="24"/>
          <w:szCs w:val="24"/>
        </w:rPr>
        <w:t xml:space="preserve">Accordingly, this Court concludes that employees properly prescribed marijuana in compliance with Pennsylvania law, who then experience adverse employment determinations based on that use, are not "qualified individuals" contemplated at 42 U.S.C, § 12101, et seq. Although this specific issue has not been decided by the Third Circuit, this Court's conclusion accords with case law within the Circuit examining failed drug tests in slightly different factual contexts. </w:t>
      </w:r>
      <w:r w:rsidRPr="00BA592A">
        <w:rPr>
          <w:rFonts w:ascii="Times New Roman" w:hAnsi="Times New Roman"/>
          <w:i/>
          <w:iCs/>
          <w:sz w:val="24"/>
          <w:szCs w:val="24"/>
        </w:rPr>
        <w:t>See Drift, supra</w:t>
      </w:r>
      <w:r w:rsidRPr="00BA592A">
        <w:rPr>
          <w:rFonts w:ascii="Times New Roman" w:hAnsi="Times New Roman"/>
          <w:sz w:val="24"/>
          <w:szCs w:val="24"/>
        </w:rPr>
        <w:t xml:space="preserve"> (use of marijuana precludes and individual from being "qualified" under the ADA if the employer acts on this use); </w:t>
      </w:r>
      <w:proofErr w:type="spellStart"/>
      <w:r w:rsidRPr="00BA592A">
        <w:rPr>
          <w:rFonts w:ascii="Times New Roman" w:hAnsi="Times New Roman"/>
          <w:i/>
          <w:iCs/>
          <w:sz w:val="24"/>
          <w:szCs w:val="24"/>
        </w:rPr>
        <w:t>Lehenky</w:t>
      </w:r>
      <w:proofErr w:type="spellEnd"/>
      <w:r w:rsidRPr="00BA592A">
        <w:rPr>
          <w:rFonts w:ascii="Times New Roman" w:hAnsi="Times New Roman"/>
          <w:i/>
          <w:iCs/>
          <w:sz w:val="24"/>
          <w:szCs w:val="24"/>
        </w:rPr>
        <w:t xml:space="preserve"> v. Toshiba America Energy Systems Corp.,</w:t>
      </w:r>
      <w:r w:rsidRPr="00BA592A">
        <w:rPr>
          <w:rFonts w:ascii="Times New Roman" w:hAnsi="Times New Roman"/>
          <w:sz w:val="24"/>
          <w:szCs w:val="24"/>
        </w:rPr>
        <w:t xml:space="preserve"> No. 20-4573, 2022 WL 523739, at *3 (E.D. Pa. 2022) (over-the-counter CBD product resulting in positive drug test and subsequent termination not covered by ADA), </w:t>
      </w:r>
      <w:r w:rsidRPr="00BA592A">
        <w:rPr>
          <w:rFonts w:ascii="Times New Roman" w:hAnsi="Times New Roman"/>
          <w:i/>
          <w:iCs/>
          <w:sz w:val="24"/>
          <w:szCs w:val="24"/>
        </w:rPr>
        <w:t>aff'd,</w:t>
      </w:r>
      <w:r w:rsidRPr="00BA592A">
        <w:rPr>
          <w:rFonts w:ascii="Times New Roman" w:hAnsi="Times New Roman"/>
          <w:sz w:val="24"/>
          <w:szCs w:val="24"/>
        </w:rPr>
        <w:t xml:space="preserve"> 2023 WL 3562981 (3d Cir. May 19, 2023). As such, Plaintiff cannot make </w:t>
      </w:r>
      <w:r w:rsidRPr="00BA592A">
        <w:rPr>
          <w:rFonts w:ascii="Times New Roman" w:hAnsi="Times New Roman"/>
          <w:i/>
          <w:iCs/>
          <w:sz w:val="24"/>
          <w:szCs w:val="24"/>
        </w:rPr>
        <w:t>a prima facie</w:t>
      </w:r>
      <w:r w:rsidRPr="00BA592A">
        <w:rPr>
          <w:rFonts w:ascii="Times New Roman" w:hAnsi="Times New Roman"/>
          <w:sz w:val="24"/>
          <w:szCs w:val="24"/>
        </w:rPr>
        <w:t xml:space="preserve"> showing of discrimination to even engage the </w:t>
      </w:r>
      <w:r w:rsidRPr="00BA592A">
        <w:rPr>
          <w:rFonts w:ascii="Times New Roman" w:hAnsi="Times New Roman"/>
          <w:i/>
          <w:iCs/>
          <w:sz w:val="24"/>
          <w:szCs w:val="24"/>
        </w:rPr>
        <w:t>McDonnell Douglas</w:t>
      </w:r>
      <w:r w:rsidRPr="00BA592A">
        <w:rPr>
          <w:rFonts w:ascii="Times New Roman" w:hAnsi="Times New Roman"/>
          <w:sz w:val="24"/>
          <w:szCs w:val="24"/>
        </w:rPr>
        <w:t xml:space="preserve"> burden shifting framework in the first place.”</w:t>
      </w:r>
    </w:p>
    <w:p w14:paraId="4E6CE357" w14:textId="77777777" w:rsidR="00EE6BDE" w:rsidRPr="00BA592A" w:rsidRDefault="00EE6BDE" w:rsidP="00EE6BDE">
      <w:pPr>
        <w:pStyle w:val="NoSpacing"/>
        <w:rPr>
          <w:rFonts w:ascii="Times New Roman" w:hAnsi="Times New Roman"/>
          <w:sz w:val="24"/>
          <w:szCs w:val="24"/>
        </w:rPr>
      </w:pPr>
    </w:p>
    <w:p w14:paraId="425A55CD" w14:textId="77777777" w:rsidR="00EE6BDE" w:rsidRPr="00BA592A" w:rsidRDefault="00EE6BDE" w:rsidP="00EE6BDE">
      <w:pPr>
        <w:pStyle w:val="NoSpacing"/>
        <w:rPr>
          <w:rFonts w:ascii="Times New Roman" w:hAnsi="Times New Roman"/>
          <w:b/>
          <w:sz w:val="24"/>
          <w:szCs w:val="24"/>
        </w:rPr>
      </w:pPr>
      <w:r w:rsidRPr="00BA592A">
        <w:rPr>
          <w:rFonts w:ascii="Times New Roman" w:hAnsi="Times New Roman"/>
          <w:b/>
          <w:sz w:val="24"/>
          <w:szCs w:val="24"/>
        </w:rPr>
        <w:t xml:space="preserve">Legal Lesson Learned:  Fire &amp; EMS department dug use policies should address medical marijuana and recreational marijuana. </w:t>
      </w:r>
    </w:p>
    <w:p w14:paraId="4AE6BBA9" w14:textId="77777777" w:rsidR="00EE6BDE" w:rsidRDefault="00EE6BDE" w:rsidP="00F326E5">
      <w:pPr>
        <w:rPr>
          <w:rFonts w:ascii="Arial Black" w:hAnsi="Arial Black"/>
          <w:b/>
          <w:sz w:val="24"/>
          <w:szCs w:val="24"/>
        </w:rPr>
      </w:pPr>
    </w:p>
    <w:p w14:paraId="67D701D7" w14:textId="77777777" w:rsidR="00EE6BDE" w:rsidRDefault="00EE6BDE" w:rsidP="00F326E5">
      <w:pPr>
        <w:rPr>
          <w:rFonts w:ascii="Arial Black" w:hAnsi="Arial Black"/>
          <w:b/>
          <w:sz w:val="24"/>
          <w:szCs w:val="24"/>
        </w:rPr>
      </w:pPr>
    </w:p>
    <w:p w14:paraId="188AF957" w14:textId="14645329" w:rsidR="00743B05" w:rsidRDefault="00743B05" w:rsidP="00F326E5">
      <w:pPr>
        <w:rPr>
          <w:rFonts w:ascii="Arial Black" w:hAnsi="Arial Black"/>
          <w:b/>
          <w:sz w:val="24"/>
          <w:szCs w:val="24"/>
        </w:rPr>
      </w:pPr>
      <w:r>
        <w:rPr>
          <w:rFonts w:ascii="Arial Black" w:hAnsi="Arial Black"/>
          <w:b/>
          <w:sz w:val="24"/>
          <w:szCs w:val="24"/>
        </w:rPr>
        <w:t>12-29</w:t>
      </w:r>
    </w:p>
    <w:p w14:paraId="57BA6686" w14:textId="77777777" w:rsidR="00743B05" w:rsidRPr="00444233" w:rsidRDefault="00743B05" w:rsidP="00743B05">
      <w:pPr>
        <w:rPr>
          <w:rFonts w:ascii="Arial Black" w:hAnsi="Arial Black"/>
          <w:b/>
          <w:sz w:val="28"/>
          <w:szCs w:val="28"/>
        </w:rPr>
      </w:pPr>
      <w:r>
        <w:rPr>
          <w:rFonts w:ascii="Arial Black" w:hAnsi="Arial Black"/>
          <w:b/>
          <w:sz w:val="28"/>
          <w:szCs w:val="28"/>
        </w:rPr>
        <w:t xml:space="preserve">WA: ALCOHOL – FRAT - STUDENT DEAD – CAN SUE UNIV. </w:t>
      </w:r>
    </w:p>
    <w:p w14:paraId="4F9EEA30" w14:textId="0711D694" w:rsidR="00151EBE" w:rsidRDefault="00743B05" w:rsidP="00151EBE">
      <w:pPr>
        <w:pStyle w:val="NoSpacing"/>
        <w:rPr>
          <w:rFonts w:ascii="Times New Roman" w:hAnsi="Times New Roman"/>
          <w:sz w:val="24"/>
          <w:szCs w:val="24"/>
        </w:rPr>
      </w:pPr>
      <w:r w:rsidRPr="00151EBE">
        <w:rPr>
          <w:rFonts w:ascii="Times New Roman" w:hAnsi="Times New Roman"/>
          <w:sz w:val="24"/>
          <w:szCs w:val="24"/>
        </w:rPr>
        <w:t xml:space="preserve">On Jan. 21, 2025, in </w:t>
      </w:r>
      <w:r w:rsidRPr="00151EBE">
        <w:rPr>
          <w:rFonts w:ascii="Times New Roman" w:hAnsi="Times New Roman"/>
          <w:sz w:val="24"/>
          <w:szCs w:val="24"/>
          <w:u w:val="single"/>
        </w:rPr>
        <w:t xml:space="preserve">Hector Martinez and Jolayne Houtz, husband and wife and co-personal representatives of the Estate of Samuel H. Marinez v. Washington State University, Gamma Chi Chapter of Alpha Tau Omega </w:t>
      </w:r>
      <w:r w:rsidRPr="00151EBE">
        <w:rPr>
          <w:rFonts w:ascii="Times New Roman" w:hAnsi="Times New Roman"/>
          <w:sz w:val="24"/>
          <w:szCs w:val="24"/>
          <w:u w:val="single"/>
        </w:rPr>
        <w:lastRenderedPageBreak/>
        <w:t xml:space="preserve">Fraternity, et al., </w:t>
      </w:r>
      <w:r w:rsidRPr="00151EBE">
        <w:rPr>
          <w:rFonts w:ascii="Times New Roman" w:hAnsi="Times New Roman"/>
          <w:sz w:val="24"/>
          <w:szCs w:val="24"/>
        </w:rPr>
        <w:t xml:space="preserve">the Court of Appeals of Washington, Division 1 held (3 to 0) that the lawsuit should be reinstated against the University, and not just against the Gamma Chi fraternity.  The university can be sued because it has a “special relationship” with its recognized fraternal organizations – a similar legal doctrine to the duty of EMS when transporting a patient, or a jail holding a prisoner.  </w:t>
      </w:r>
      <w:hyperlink r:id="rId1925" w:history="1">
        <w:r w:rsidRPr="00151EBE">
          <w:rPr>
            <w:rStyle w:val="Hyperlink"/>
            <w:rFonts w:ascii="Times New Roman" w:hAnsi="Times New Roman"/>
            <w:sz w:val="24"/>
            <w:szCs w:val="24"/>
          </w:rPr>
          <w:t>https://cases.justia.com/washington/court-of-appeals-division-i/2025-83853-9.pdf?ts=1737494121</w:t>
        </w:r>
      </w:hyperlink>
      <w:r w:rsidRPr="00151EBE">
        <w:rPr>
          <w:rFonts w:ascii="Times New Roman" w:hAnsi="Times New Roman"/>
          <w:sz w:val="24"/>
          <w:szCs w:val="24"/>
        </w:rPr>
        <w:t xml:space="preserve"> </w:t>
      </w:r>
    </w:p>
    <w:p w14:paraId="07C1ECB5" w14:textId="77777777" w:rsidR="00151EBE" w:rsidRPr="00151EBE" w:rsidRDefault="00151EBE" w:rsidP="00151EBE">
      <w:pPr>
        <w:pStyle w:val="NoSpacing"/>
        <w:rPr>
          <w:rFonts w:ascii="Times New Roman" w:hAnsi="Times New Roman"/>
          <w:bCs/>
          <w:sz w:val="24"/>
          <w:szCs w:val="24"/>
        </w:rPr>
      </w:pPr>
    </w:p>
    <w:p w14:paraId="129DF7D2" w14:textId="77777777" w:rsidR="00743B05" w:rsidRPr="00151EBE" w:rsidRDefault="00743B05" w:rsidP="00743B05">
      <w:pPr>
        <w:rPr>
          <w:rFonts w:ascii="Times New Roman" w:hAnsi="Times New Roman"/>
          <w:bCs/>
          <w:sz w:val="24"/>
          <w:szCs w:val="24"/>
        </w:rPr>
      </w:pPr>
      <w:r w:rsidRPr="00151EBE">
        <w:rPr>
          <w:rFonts w:ascii="Times New Roman" w:hAnsi="Times New Roman"/>
          <w:sz w:val="24"/>
          <w:szCs w:val="24"/>
        </w:rPr>
        <w:t>The Court wrote:</w:t>
      </w:r>
    </w:p>
    <w:p w14:paraId="5138EAA9" w14:textId="77777777" w:rsidR="00743B05" w:rsidRPr="00151EBE" w:rsidRDefault="00743B05" w:rsidP="00743B05">
      <w:pPr>
        <w:pStyle w:val="NoSpacing"/>
        <w:ind w:left="720"/>
        <w:rPr>
          <w:rFonts w:ascii="Times New Roman" w:hAnsi="Times New Roman"/>
          <w:bCs/>
          <w:sz w:val="24"/>
          <w:szCs w:val="24"/>
        </w:rPr>
      </w:pPr>
      <w:r w:rsidRPr="00151EBE">
        <w:rPr>
          <w:rFonts w:ascii="Times New Roman" w:hAnsi="Times New Roman"/>
          <w:sz w:val="24"/>
          <w:szCs w:val="24"/>
        </w:rPr>
        <w:t xml:space="preserve">“Samuel ‘Sam’ Martinez died of acute alcohol poisoning in November 2019 following a hazing ritual at a fraternity house located near the Pullman campus of Washington State University (WSU). Sam’s estate representatives and parents Hector Martinez and Jolayne Houtz (collectively Estate) appeal summary judgment dismissal of their lawsuit against WSU. WSU contends that it </w:t>
      </w:r>
      <w:proofErr w:type="gramStart"/>
      <w:r w:rsidRPr="00151EBE">
        <w:rPr>
          <w:rFonts w:ascii="Times New Roman" w:hAnsi="Times New Roman"/>
          <w:sz w:val="24"/>
          <w:szCs w:val="24"/>
        </w:rPr>
        <w:t>owed</w:t>
      </w:r>
      <w:proofErr w:type="gramEnd"/>
      <w:r w:rsidRPr="00151EBE">
        <w:rPr>
          <w:rFonts w:ascii="Times New Roman" w:hAnsi="Times New Roman"/>
          <w:sz w:val="24"/>
          <w:szCs w:val="24"/>
        </w:rPr>
        <w:t xml:space="preserve"> no duty to protect Sam. Because WSU has a special</w:t>
      </w:r>
    </w:p>
    <w:p w14:paraId="0F8F3827" w14:textId="77777777" w:rsidR="00743B05" w:rsidRPr="00151EBE" w:rsidRDefault="00743B05" w:rsidP="00743B05">
      <w:pPr>
        <w:pStyle w:val="NoSpacing"/>
        <w:ind w:left="720"/>
        <w:rPr>
          <w:rFonts w:ascii="Times New Roman" w:hAnsi="Times New Roman"/>
          <w:bCs/>
          <w:sz w:val="24"/>
          <w:szCs w:val="24"/>
        </w:rPr>
      </w:pPr>
      <w:r w:rsidRPr="00151EBE">
        <w:rPr>
          <w:rFonts w:ascii="Times New Roman" w:hAnsi="Times New Roman"/>
          <w:sz w:val="24"/>
          <w:szCs w:val="24"/>
        </w:rPr>
        <w:t>relationship with its recognized fraternal organizations, we conclude that it owed a duty to use reasonable care to control the fraternity and protect Sam from the foreseeable harms of fraternal hazing and alcohol misuse. We reverse and remand.</w:t>
      </w:r>
    </w:p>
    <w:p w14:paraId="0469F315" w14:textId="77777777" w:rsidR="00743B05" w:rsidRPr="00151EBE" w:rsidRDefault="00743B05" w:rsidP="00743B05">
      <w:pPr>
        <w:rPr>
          <w:rFonts w:ascii="Times New Roman" w:hAnsi="Times New Roman"/>
          <w:bCs/>
          <w:sz w:val="24"/>
          <w:szCs w:val="24"/>
        </w:rPr>
      </w:pPr>
    </w:p>
    <w:p w14:paraId="6F9F27F8" w14:textId="77777777" w:rsidR="00743B05" w:rsidRPr="00151EBE" w:rsidRDefault="00743B05" w:rsidP="00743B05">
      <w:pPr>
        <w:rPr>
          <w:rFonts w:ascii="Times New Roman" w:hAnsi="Times New Roman"/>
          <w:bCs/>
          <w:sz w:val="24"/>
          <w:szCs w:val="24"/>
        </w:rPr>
      </w:pPr>
      <w:r w:rsidRPr="00151EBE">
        <w:rPr>
          <w:rFonts w:ascii="Times New Roman" w:hAnsi="Times New Roman"/>
          <w:sz w:val="24"/>
          <w:szCs w:val="24"/>
        </w:rPr>
        <w:tab/>
        <w:t>***</w:t>
      </w:r>
    </w:p>
    <w:p w14:paraId="47CD4FE7" w14:textId="77777777" w:rsidR="00743B05" w:rsidRPr="00151EBE" w:rsidRDefault="00743B05" w:rsidP="00743B05">
      <w:pPr>
        <w:pStyle w:val="NoSpacing"/>
        <w:ind w:left="720"/>
        <w:rPr>
          <w:rFonts w:ascii="Times New Roman" w:hAnsi="Times New Roman"/>
          <w:bCs/>
          <w:sz w:val="24"/>
          <w:szCs w:val="24"/>
        </w:rPr>
      </w:pPr>
      <w:r w:rsidRPr="00151EBE">
        <w:rPr>
          <w:rFonts w:ascii="Times New Roman" w:hAnsi="Times New Roman"/>
          <w:sz w:val="24"/>
          <w:szCs w:val="24"/>
        </w:rPr>
        <w:t>During the ritual [on Nov. 11, 2019] Sam drank straight from the bottle. After 30 to 45 minutes in the live-out house, the event moved to Gamma Chi’s chapter house, where the drinking continued. Sam ‘tried to shotgun a beer’ and drank ‘clear hard alcohol.’ He began ‘slurring his words’ and ‘lost coordination.’ After seeing Sam ‘getting visibly more intoxicated,’ Oswald ‘cut him off’ around 11:00 p.m., telling Sam, ‘Hey, let’s take a break for a little bit.’ Sam eventually passed out on a couch in Oswald’s room. ‘He was asleep</w:t>
      </w:r>
    </w:p>
    <w:p w14:paraId="2A7F1FAB" w14:textId="77777777" w:rsidR="00743B05" w:rsidRPr="00151EBE" w:rsidRDefault="00743B05" w:rsidP="00743B05">
      <w:pPr>
        <w:pStyle w:val="NoSpacing"/>
        <w:ind w:left="720"/>
        <w:rPr>
          <w:rFonts w:ascii="Times New Roman" w:hAnsi="Times New Roman"/>
          <w:bCs/>
          <w:sz w:val="24"/>
          <w:szCs w:val="24"/>
        </w:rPr>
      </w:pPr>
      <w:r w:rsidRPr="00151EBE">
        <w:rPr>
          <w:rFonts w:ascii="Times New Roman" w:hAnsi="Times New Roman"/>
          <w:sz w:val="24"/>
          <w:szCs w:val="24"/>
        </w:rPr>
        <w:t xml:space="preserve">for a while, woke back up, and was still visibly drunk.’ So, Oswald and another fraternity member carried Sam to the bathroom and tried to force him to vomit for 5 to 10 minutes. Their efforts failed. A few people then helped Oswald move Sam to the </w:t>
      </w:r>
      <w:proofErr w:type="gramStart"/>
      <w:r w:rsidRPr="00151EBE">
        <w:rPr>
          <w:rFonts w:ascii="Times New Roman" w:hAnsi="Times New Roman"/>
          <w:sz w:val="24"/>
          <w:szCs w:val="24"/>
        </w:rPr>
        <w:t>basement, ‘</w:t>
      </w:r>
      <w:proofErr w:type="gramEnd"/>
      <w:r w:rsidRPr="00151EBE">
        <w:rPr>
          <w:rFonts w:ascii="Times New Roman" w:hAnsi="Times New Roman"/>
          <w:sz w:val="24"/>
          <w:szCs w:val="24"/>
        </w:rPr>
        <w:t xml:space="preserve">where a variety of pledges were already asleep.’ They placed Sam on a couch, where he remained ‘for the rest of the night.’ Oswald said he checked on Sam ‘two to three </w:t>
      </w:r>
      <w:proofErr w:type="gramStart"/>
      <w:r w:rsidRPr="00151EBE">
        <w:rPr>
          <w:rFonts w:ascii="Times New Roman" w:hAnsi="Times New Roman"/>
          <w:sz w:val="24"/>
          <w:szCs w:val="24"/>
        </w:rPr>
        <w:t>times’</w:t>
      </w:r>
      <w:proofErr w:type="gramEnd"/>
      <w:r w:rsidRPr="00151EBE">
        <w:rPr>
          <w:rFonts w:ascii="Times New Roman" w:hAnsi="Times New Roman"/>
          <w:sz w:val="24"/>
          <w:szCs w:val="24"/>
        </w:rPr>
        <w:t xml:space="preserve"> before going to bed around 3:00 a.m. on November 12. Hours later at about 9:00 a.m., Gamma Chi member Soreano found Sam face down on the couch with </w:t>
      </w:r>
      <w:proofErr w:type="gramStart"/>
      <w:r w:rsidRPr="00151EBE">
        <w:rPr>
          <w:rFonts w:ascii="Times New Roman" w:hAnsi="Times New Roman"/>
          <w:sz w:val="24"/>
          <w:szCs w:val="24"/>
        </w:rPr>
        <w:t>vomit</w:t>
      </w:r>
      <w:proofErr w:type="gramEnd"/>
      <w:r w:rsidRPr="00151EBE">
        <w:rPr>
          <w:rFonts w:ascii="Times New Roman" w:hAnsi="Times New Roman"/>
          <w:sz w:val="24"/>
          <w:szCs w:val="24"/>
        </w:rPr>
        <w:t xml:space="preserve"> in his mouth and unresponsive. He called 911 and tried to resuscitate Sam. Paramedics arrived but ceased their efforts to resuscitate Sam soon after. The medical examiner determined Sam died from ‘acute ethanol intoxication’ at about 4:30 a.m. on November 12, 2019. His</w:t>
      </w:r>
    </w:p>
    <w:p w14:paraId="69EEB949" w14:textId="77777777" w:rsidR="00743B05" w:rsidRPr="00151EBE" w:rsidRDefault="00743B05" w:rsidP="00743B05">
      <w:pPr>
        <w:pStyle w:val="NoSpacing"/>
        <w:ind w:left="720"/>
        <w:rPr>
          <w:rFonts w:ascii="Times New Roman" w:hAnsi="Times New Roman"/>
          <w:bCs/>
          <w:sz w:val="24"/>
          <w:szCs w:val="24"/>
        </w:rPr>
      </w:pPr>
      <w:r w:rsidRPr="00151EBE">
        <w:rPr>
          <w:rFonts w:ascii="Times New Roman" w:hAnsi="Times New Roman"/>
          <w:sz w:val="24"/>
          <w:szCs w:val="24"/>
        </w:rPr>
        <w:t>femoral blood alcohol concentration measured 0.372. Sam had just turned 19 years old in October.”</w:t>
      </w:r>
    </w:p>
    <w:p w14:paraId="06472161" w14:textId="77777777" w:rsidR="00743B05" w:rsidRPr="00151EBE" w:rsidRDefault="00743B05" w:rsidP="00743B05">
      <w:pPr>
        <w:rPr>
          <w:rFonts w:ascii="Times New Roman" w:hAnsi="Times New Roman"/>
          <w:b/>
          <w:sz w:val="24"/>
          <w:szCs w:val="24"/>
        </w:rPr>
      </w:pPr>
    </w:p>
    <w:p w14:paraId="71D84361" w14:textId="57D37232" w:rsidR="00743B05" w:rsidRPr="00151EBE" w:rsidRDefault="00743B05" w:rsidP="00743B05">
      <w:pPr>
        <w:rPr>
          <w:rFonts w:ascii="Times New Roman" w:hAnsi="Times New Roman"/>
          <w:b/>
          <w:sz w:val="24"/>
          <w:szCs w:val="24"/>
        </w:rPr>
      </w:pPr>
      <w:r w:rsidRPr="00151EBE">
        <w:rPr>
          <w:rFonts w:ascii="Times New Roman" w:hAnsi="Times New Roman"/>
          <w:b/>
          <w:sz w:val="24"/>
          <w:szCs w:val="24"/>
        </w:rPr>
        <w:t>Legal Lesson Learned: Fire &amp; EMS responders are all too familiar with deaths by students in fraternities and elsewhere from acute ethanol intoxication.</w:t>
      </w:r>
      <w:r w:rsidR="00151EBE">
        <w:rPr>
          <w:rFonts w:ascii="Times New Roman" w:hAnsi="Times New Roman"/>
          <w:b/>
          <w:sz w:val="24"/>
          <w:szCs w:val="24"/>
        </w:rPr>
        <w:t xml:space="preserve"> Perhaps this decision will “get the attention” of </w:t>
      </w:r>
      <w:proofErr w:type="gramStart"/>
      <w:r w:rsidR="00CC049C">
        <w:rPr>
          <w:rFonts w:ascii="Times New Roman" w:hAnsi="Times New Roman"/>
          <w:b/>
          <w:sz w:val="24"/>
          <w:szCs w:val="24"/>
        </w:rPr>
        <w:t>University</w:t>
      </w:r>
      <w:proofErr w:type="gramEnd"/>
      <w:r w:rsidR="00CC049C">
        <w:rPr>
          <w:rFonts w:ascii="Times New Roman" w:hAnsi="Times New Roman"/>
          <w:b/>
          <w:sz w:val="24"/>
          <w:szCs w:val="24"/>
        </w:rPr>
        <w:t xml:space="preserve"> officials who </w:t>
      </w:r>
      <w:r w:rsidR="00896888">
        <w:rPr>
          <w:rFonts w:ascii="Times New Roman" w:hAnsi="Times New Roman"/>
          <w:b/>
          <w:sz w:val="24"/>
          <w:szCs w:val="24"/>
        </w:rPr>
        <w:t xml:space="preserve">have responsibilities </w:t>
      </w:r>
      <w:r w:rsidR="00275738">
        <w:rPr>
          <w:rFonts w:ascii="Times New Roman" w:hAnsi="Times New Roman"/>
          <w:b/>
          <w:sz w:val="24"/>
          <w:szCs w:val="24"/>
        </w:rPr>
        <w:t xml:space="preserve">concerning </w:t>
      </w:r>
      <w:r w:rsidR="00CC049C">
        <w:rPr>
          <w:rFonts w:ascii="Times New Roman" w:hAnsi="Times New Roman"/>
          <w:b/>
          <w:sz w:val="24"/>
          <w:szCs w:val="24"/>
        </w:rPr>
        <w:t xml:space="preserve">fraternities. </w:t>
      </w:r>
    </w:p>
    <w:p w14:paraId="61ECE281" w14:textId="77777777" w:rsidR="00743B05" w:rsidRDefault="00743B05" w:rsidP="00F326E5">
      <w:pPr>
        <w:rPr>
          <w:rFonts w:ascii="Arial Black" w:hAnsi="Arial Black"/>
          <w:b/>
          <w:sz w:val="24"/>
          <w:szCs w:val="24"/>
        </w:rPr>
      </w:pPr>
    </w:p>
    <w:p w14:paraId="56C1FBB0" w14:textId="7C074363" w:rsidR="00BF78AE" w:rsidRDefault="00BF78AE" w:rsidP="00F326E5">
      <w:pPr>
        <w:rPr>
          <w:rFonts w:ascii="Arial Black" w:hAnsi="Arial Black"/>
          <w:b/>
          <w:sz w:val="24"/>
          <w:szCs w:val="24"/>
        </w:rPr>
      </w:pPr>
      <w:r>
        <w:rPr>
          <w:rFonts w:ascii="Arial Black" w:hAnsi="Arial Black"/>
          <w:b/>
          <w:sz w:val="24"/>
          <w:szCs w:val="24"/>
        </w:rPr>
        <w:t>12-28</w:t>
      </w:r>
    </w:p>
    <w:p w14:paraId="3C188998" w14:textId="77777777" w:rsidR="00BF78AE" w:rsidRPr="00E17720" w:rsidRDefault="00BF78AE" w:rsidP="00BF78AE">
      <w:pPr>
        <w:pStyle w:val="NoSpacing"/>
        <w:rPr>
          <w:rFonts w:ascii="Arial Black" w:hAnsi="Arial Black"/>
          <w:b/>
          <w:sz w:val="28"/>
          <w:szCs w:val="28"/>
        </w:rPr>
      </w:pPr>
      <w:r>
        <w:rPr>
          <w:rFonts w:ascii="Arial Black" w:hAnsi="Arial Black"/>
          <w:b/>
          <w:sz w:val="28"/>
          <w:szCs w:val="28"/>
        </w:rPr>
        <w:t>MT: NEW RANDOM POLICY – MUST BARGAIN</w:t>
      </w:r>
    </w:p>
    <w:p w14:paraId="14635188" w14:textId="77777777" w:rsidR="00BF78AE" w:rsidRDefault="00BF78AE" w:rsidP="00BF78AE">
      <w:pPr>
        <w:pStyle w:val="NoSpacing"/>
        <w:rPr>
          <w:b/>
        </w:rPr>
      </w:pPr>
      <w:r>
        <w:rPr>
          <w:b/>
        </w:rPr>
        <w:t xml:space="preserve"> </w:t>
      </w:r>
    </w:p>
    <w:p w14:paraId="470B9448" w14:textId="0927FC7E" w:rsidR="0026092A" w:rsidRPr="0026092A" w:rsidRDefault="0026092A" w:rsidP="00BF78AE">
      <w:pPr>
        <w:pStyle w:val="NoSpacing"/>
        <w:rPr>
          <w:rFonts w:ascii="Times New Roman" w:hAnsi="Times New Roman"/>
          <w:sz w:val="24"/>
          <w:szCs w:val="24"/>
        </w:rPr>
      </w:pPr>
      <w:r w:rsidRPr="0026092A">
        <w:rPr>
          <w:rFonts w:ascii="Times New Roman" w:hAnsi="Times New Roman"/>
          <w:sz w:val="24"/>
          <w:szCs w:val="24"/>
        </w:rPr>
        <w:t xml:space="preserve">On Dec. 10, 2024, in </w:t>
      </w:r>
      <w:r w:rsidRPr="0026092A">
        <w:rPr>
          <w:rFonts w:ascii="Times New Roman" w:hAnsi="Times New Roman"/>
          <w:sz w:val="24"/>
          <w:szCs w:val="24"/>
          <w:u w:val="single"/>
        </w:rPr>
        <w:t xml:space="preserve">City of Great Falls v. Int'l </w:t>
      </w:r>
      <w:proofErr w:type="spellStart"/>
      <w:r w:rsidRPr="0026092A">
        <w:rPr>
          <w:rFonts w:ascii="Times New Roman" w:hAnsi="Times New Roman"/>
          <w:sz w:val="24"/>
          <w:szCs w:val="24"/>
          <w:u w:val="single"/>
        </w:rPr>
        <w:t>Ass'n</w:t>
      </w:r>
      <w:proofErr w:type="spellEnd"/>
      <w:r w:rsidRPr="0026092A">
        <w:rPr>
          <w:rFonts w:ascii="Times New Roman" w:hAnsi="Times New Roman"/>
          <w:sz w:val="24"/>
          <w:szCs w:val="24"/>
          <w:u w:val="single"/>
        </w:rPr>
        <w:t xml:space="preserve"> of Fire Fighters, Local #8</w:t>
      </w:r>
      <w:r w:rsidRPr="0026092A">
        <w:rPr>
          <w:rFonts w:ascii="Times New Roman" w:hAnsi="Times New Roman"/>
          <w:sz w:val="24"/>
          <w:szCs w:val="24"/>
        </w:rPr>
        <w:t xml:space="preserve">, the Supreme Court of Montana held (5 to 0) that the city failed to collectively bargain the new policy and failed to exhaust its administrative remedies. The pre-2019 collectively bargained random drug testing policy applied only to employees with </w:t>
      </w:r>
      <w:r w:rsidRPr="0026092A">
        <w:rPr>
          <w:rFonts w:ascii="Times New Roman" w:hAnsi="Times New Roman"/>
          <w:sz w:val="24"/>
          <w:szCs w:val="24"/>
        </w:rPr>
        <w:lastRenderedPageBreak/>
        <w:t xml:space="preserve">CDLs [commercial driver licenses] and specific “safety-sensitive positions.”   The new policy included all city drivers of city vehicles, including firefighters. Multiple city unions filed unfair labor practice charges with the Montana Board of Personnel Appeals (MBPA), and on October 22, </w:t>
      </w:r>
      <w:proofErr w:type="gramStart"/>
      <w:r w:rsidRPr="0026092A">
        <w:rPr>
          <w:rFonts w:ascii="Times New Roman" w:hAnsi="Times New Roman"/>
          <w:sz w:val="24"/>
          <w:szCs w:val="24"/>
        </w:rPr>
        <w:t>2020</w:t>
      </w:r>
      <w:proofErr w:type="gramEnd"/>
      <w:r w:rsidRPr="0026092A">
        <w:rPr>
          <w:rFonts w:ascii="Times New Roman" w:hAnsi="Times New Roman"/>
          <w:sz w:val="24"/>
          <w:szCs w:val="24"/>
        </w:rPr>
        <w:t xml:space="preserve"> the hearing officer found for the unions. The city did not appeal to the MBPA, but instead on November 20, 2020, petitioned for district court judicial review. The District Court judge denied the petition since the city failed to exhaust administrative rights. </w:t>
      </w:r>
      <w:hyperlink r:id="rId1926" w:history="1">
        <w:r w:rsidRPr="0026092A">
          <w:rPr>
            <w:rStyle w:val="Hyperlink"/>
            <w:rFonts w:ascii="Times New Roman" w:hAnsi="Times New Roman"/>
            <w:sz w:val="24"/>
            <w:szCs w:val="24"/>
          </w:rPr>
          <w:t>https://casetext.com/case/city-of-great-falls-v-intl-assn-of-fire-fighters-loca</w:t>
        </w:r>
      </w:hyperlink>
    </w:p>
    <w:p w14:paraId="37F1554E" w14:textId="77777777" w:rsidR="0026092A" w:rsidRPr="0026092A" w:rsidRDefault="0026092A" w:rsidP="00BF78AE">
      <w:pPr>
        <w:pStyle w:val="NoSpacing"/>
        <w:rPr>
          <w:rFonts w:ascii="Times New Roman" w:hAnsi="Times New Roman"/>
          <w:sz w:val="24"/>
          <w:szCs w:val="24"/>
        </w:rPr>
      </w:pPr>
    </w:p>
    <w:p w14:paraId="413B828E" w14:textId="014F1AB3" w:rsidR="00BF78AE" w:rsidRPr="005A220C" w:rsidRDefault="00BF78AE" w:rsidP="00BF78AE">
      <w:pPr>
        <w:pStyle w:val="NoSpacing"/>
        <w:rPr>
          <w:rFonts w:ascii="Times New Roman" w:hAnsi="Times New Roman"/>
          <w:sz w:val="24"/>
          <w:szCs w:val="24"/>
        </w:rPr>
      </w:pPr>
      <w:r w:rsidRPr="005A220C">
        <w:rPr>
          <w:rFonts w:ascii="Times New Roman" w:hAnsi="Times New Roman"/>
          <w:sz w:val="24"/>
          <w:szCs w:val="24"/>
        </w:rPr>
        <w:t xml:space="preserve">The </w:t>
      </w:r>
      <w:r w:rsidR="0026092A">
        <w:rPr>
          <w:rFonts w:ascii="Times New Roman" w:hAnsi="Times New Roman"/>
          <w:sz w:val="24"/>
          <w:szCs w:val="24"/>
        </w:rPr>
        <w:t xml:space="preserve">MT </w:t>
      </w:r>
      <w:r w:rsidRPr="005A220C">
        <w:rPr>
          <w:rFonts w:ascii="Times New Roman" w:hAnsi="Times New Roman"/>
          <w:sz w:val="24"/>
          <w:szCs w:val="24"/>
        </w:rPr>
        <w:t>Supreme Court wrote:</w:t>
      </w:r>
    </w:p>
    <w:p w14:paraId="230C6B9D" w14:textId="77777777" w:rsidR="00BF78AE" w:rsidRPr="005A220C" w:rsidRDefault="00BF78AE" w:rsidP="00BF78AE">
      <w:pPr>
        <w:pStyle w:val="NoSpacing"/>
        <w:rPr>
          <w:rFonts w:ascii="Times New Roman" w:hAnsi="Times New Roman"/>
          <w:sz w:val="24"/>
          <w:szCs w:val="24"/>
        </w:rPr>
      </w:pPr>
    </w:p>
    <w:p w14:paraId="2E891A56" w14:textId="77777777" w:rsidR="00BF78AE" w:rsidRPr="005A220C" w:rsidRDefault="00BF78AE" w:rsidP="00BF78AE">
      <w:pPr>
        <w:pStyle w:val="NoSpacing"/>
        <w:ind w:left="720"/>
        <w:rPr>
          <w:rFonts w:ascii="Times New Roman" w:hAnsi="Times New Roman"/>
          <w:sz w:val="24"/>
          <w:szCs w:val="24"/>
        </w:rPr>
      </w:pPr>
      <w:r w:rsidRPr="005A220C">
        <w:rPr>
          <w:rFonts w:ascii="Times New Roman" w:hAnsi="Times New Roman"/>
          <w:sz w:val="24"/>
          <w:szCs w:val="24"/>
        </w:rPr>
        <w:t xml:space="preserve">“We must thus consider whether the District Court correctly concluded that the October 2020 hearing examiner's decision and order was not eligible for judicial review under </w:t>
      </w:r>
      <w:hyperlink r:id="rId1927" w:history="1">
        <w:r w:rsidRPr="005A220C">
          <w:rPr>
            <w:rStyle w:val="Hyperlink"/>
            <w:rFonts w:ascii="Times New Roman" w:hAnsi="Times New Roman"/>
            <w:sz w:val="24"/>
            <w:szCs w:val="24"/>
          </w:rPr>
          <w:t>§ 2-4-702(1)(a), MCA</w:t>
        </w:r>
      </w:hyperlink>
      <w:r w:rsidRPr="005A220C">
        <w:rPr>
          <w:rFonts w:ascii="Times New Roman" w:hAnsi="Times New Roman"/>
          <w:sz w:val="24"/>
          <w:szCs w:val="24"/>
        </w:rPr>
        <w:t xml:space="preserve">, due to the City's failure to exhaust the administrative ‘exceptions’ and final agency review remedy provided by </w:t>
      </w:r>
      <w:hyperlink r:id="rId1928" w:history="1">
        <w:r w:rsidRPr="005A220C">
          <w:rPr>
            <w:rStyle w:val="Hyperlink"/>
            <w:rFonts w:ascii="Times New Roman" w:hAnsi="Times New Roman"/>
            <w:sz w:val="24"/>
            <w:szCs w:val="24"/>
          </w:rPr>
          <w:t>§§ 39-31-406(6)</w:t>
        </w:r>
      </w:hyperlink>
      <w:r w:rsidRPr="005A220C">
        <w:rPr>
          <w:rFonts w:ascii="Times New Roman" w:hAnsi="Times New Roman"/>
          <w:sz w:val="24"/>
          <w:szCs w:val="24"/>
        </w:rPr>
        <w:t xml:space="preserve">, </w:t>
      </w:r>
      <w:hyperlink r:id="rId1929" w:history="1">
        <w:r w:rsidRPr="005A220C">
          <w:rPr>
            <w:rStyle w:val="Hyperlink"/>
            <w:rFonts w:ascii="Times New Roman" w:hAnsi="Times New Roman"/>
            <w:sz w:val="24"/>
            <w:szCs w:val="24"/>
          </w:rPr>
          <w:t>2-4-621(1)</w:t>
        </w:r>
      </w:hyperlink>
      <w:r w:rsidRPr="005A220C">
        <w:rPr>
          <w:rFonts w:ascii="Times New Roman" w:hAnsi="Times New Roman"/>
          <w:sz w:val="24"/>
          <w:szCs w:val="24"/>
        </w:rPr>
        <w:t xml:space="preserve">-(3), and -623(1)(a), MCA. *** We hold that the District Court correctly concluded that the hearing examiner's October 2020 proposed agency/MBPA decision and order was not eligible for judicial review as a preliminary order under </w:t>
      </w:r>
      <w:hyperlink r:id="rId1930" w:history="1">
        <w:r w:rsidRPr="005A220C">
          <w:rPr>
            <w:rStyle w:val="Hyperlink"/>
            <w:rFonts w:ascii="Times New Roman" w:hAnsi="Times New Roman"/>
            <w:sz w:val="24"/>
            <w:szCs w:val="24"/>
          </w:rPr>
          <w:t>§ 2-4-701, MCA.</w:t>
        </w:r>
      </w:hyperlink>
      <w:r w:rsidRPr="005A220C">
        <w:rPr>
          <w:rFonts w:ascii="Times New Roman" w:hAnsi="Times New Roman"/>
          <w:sz w:val="24"/>
          <w:szCs w:val="24"/>
        </w:rPr>
        <w:t xml:space="preserve"> We hold further that the District Court also correctly concluded that the resulting October 2020 final agency/MBPA decision and order was not eligible for judicial review under </w:t>
      </w:r>
      <w:hyperlink r:id="rId1931" w:history="1">
        <w:r w:rsidRPr="005A220C">
          <w:rPr>
            <w:rStyle w:val="Hyperlink"/>
            <w:rFonts w:ascii="Times New Roman" w:hAnsi="Times New Roman"/>
            <w:sz w:val="24"/>
            <w:szCs w:val="24"/>
          </w:rPr>
          <w:t>§ 2-4-702(1)(a), MCA</w:t>
        </w:r>
      </w:hyperlink>
      <w:r w:rsidRPr="005A220C">
        <w:rPr>
          <w:rFonts w:ascii="Times New Roman" w:hAnsi="Times New Roman"/>
          <w:sz w:val="24"/>
          <w:szCs w:val="24"/>
        </w:rPr>
        <w:t xml:space="preserve">, due to the City's failure to exhaust the ‘exceptions’ and final agency review remedy available under </w:t>
      </w:r>
      <w:hyperlink r:id="rId1932" w:history="1">
        <w:r w:rsidRPr="005A220C">
          <w:rPr>
            <w:rStyle w:val="Hyperlink"/>
            <w:rFonts w:ascii="Times New Roman" w:hAnsi="Times New Roman"/>
            <w:sz w:val="24"/>
            <w:szCs w:val="24"/>
          </w:rPr>
          <w:t>§§ 39-31-406(6)</w:t>
        </w:r>
      </w:hyperlink>
      <w:r w:rsidRPr="005A220C">
        <w:rPr>
          <w:rFonts w:ascii="Times New Roman" w:hAnsi="Times New Roman"/>
          <w:sz w:val="24"/>
          <w:szCs w:val="24"/>
        </w:rPr>
        <w:t xml:space="preserve">, </w:t>
      </w:r>
      <w:hyperlink r:id="rId1933" w:history="1">
        <w:r w:rsidRPr="005A220C">
          <w:rPr>
            <w:rStyle w:val="Hyperlink"/>
            <w:rFonts w:ascii="Times New Roman" w:hAnsi="Times New Roman"/>
            <w:sz w:val="24"/>
            <w:szCs w:val="24"/>
          </w:rPr>
          <w:t>2-4-621(1)</w:t>
        </w:r>
      </w:hyperlink>
      <w:r w:rsidRPr="005A220C">
        <w:rPr>
          <w:rFonts w:ascii="Times New Roman" w:hAnsi="Times New Roman"/>
          <w:sz w:val="24"/>
          <w:szCs w:val="24"/>
        </w:rPr>
        <w:t>-(3), and -623(1)(a), MCA. The District Court's 2022 order and judgment denying the City's petition for judicial review of the October 2020 MBPA hearing examiner decision and order is therefore AFFIRMED.”</w:t>
      </w:r>
    </w:p>
    <w:p w14:paraId="6C12D886" w14:textId="0D77E60D" w:rsidR="00BF78AE" w:rsidRDefault="00BF78AE" w:rsidP="0026092A">
      <w:pPr>
        <w:pStyle w:val="NoSpacing"/>
        <w:ind w:left="720"/>
      </w:pPr>
      <w:r w:rsidRPr="005A220C">
        <w:rPr>
          <w:rFonts w:ascii="Times New Roman" w:hAnsi="Times New Roman"/>
          <w:sz w:val="24"/>
          <w:szCs w:val="24"/>
        </w:rPr>
        <w:t xml:space="preserve"> </w:t>
      </w:r>
    </w:p>
    <w:p w14:paraId="5A0B81C0" w14:textId="77777777" w:rsidR="003923C6" w:rsidRPr="003923C6" w:rsidRDefault="003923C6" w:rsidP="003923C6">
      <w:pPr>
        <w:pStyle w:val="NoSpacing"/>
        <w:rPr>
          <w:rFonts w:ascii="Times New Roman" w:hAnsi="Times New Roman"/>
          <w:bCs/>
          <w:sz w:val="24"/>
          <w:szCs w:val="24"/>
        </w:rPr>
      </w:pPr>
      <w:r w:rsidRPr="003923C6">
        <w:rPr>
          <w:rFonts w:ascii="Times New Roman" w:hAnsi="Times New Roman"/>
          <w:sz w:val="24"/>
          <w:szCs w:val="24"/>
        </w:rPr>
        <w:t>HOLDING:</w:t>
      </w:r>
    </w:p>
    <w:p w14:paraId="067D8DC0" w14:textId="77777777" w:rsidR="003923C6" w:rsidRPr="003923C6" w:rsidRDefault="003923C6" w:rsidP="003923C6">
      <w:pPr>
        <w:pStyle w:val="NoSpacing"/>
        <w:rPr>
          <w:rFonts w:ascii="Times New Roman" w:hAnsi="Times New Roman"/>
          <w:bCs/>
          <w:sz w:val="24"/>
          <w:szCs w:val="24"/>
        </w:rPr>
      </w:pPr>
    </w:p>
    <w:p w14:paraId="19B3C0EA" w14:textId="77777777" w:rsidR="003923C6" w:rsidRPr="003923C6" w:rsidRDefault="003923C6" w:rsidP="003923C6">
      <w:pPr>
        <w:pStyle w:val="NoSpacing"/>
        <w:ind w:left="720"/>
        <w:rPr>
          <w:rFonts w:ascii="Times New Roman" w:hAnsi="Times New Roman"/>
          <w:bCs/>
          <w:sz w:val="24"/>
          <w:szCs w:val="24"/>
        </w:rPr>
      </w:pPr>
      <w:r w:rsidRPr="003923C6">
        <w:rPr>
          <w:rFonts w:ascii="Times New Roman" w:hAnsi="Times New Roman"/>
          <w:sz w:val="24"/>
          <w:szCs w:val="24"/>
        </w:rPr>
        <w:t xml:space="preserve">“We hold that the District Court correctly concluded that the hearing examiner's October 2020 proposed agency/MBPA decision and order was not eligible for judicial review as a preliminary order under </w:t>
      </w:r>
      <w:hyperlink r:id="rId1934" w:history="1">
        <w:r w:rsidRPr="003923C6">
          <w:rPr>
            <w:rStyle w:val="Hyperlink"/>
            <w:rFonts w:ascii="Times New Roman" w:hAnsi="Times New Roman"/>
            <w:sz w:val="24"/>
            <w:szCs w:val="24"/>
          </w:rPr>
          <w:t>§ 2-4-701, MCA.</w:t>
        </w:r>
      </w:hyperlink>
      <w:r w:rsidRPr="003923C6">
        <w:rPr>
          <w:rFonts w:ascii="Times New Roman" w:hAnsi="Times New Roman"/>
          <w:sz w:val="24"/>
          <w:szCs w:val="24"/>
        </w:rPr>
        <w:t>”</w:t>
      </w:r>
    </w:p>
    <w:p w14:paraId="1FFC9366" w14:textId="77777777" w:rsidR="003923C6" w:rsidRPr="003923C6" w:rsidRDefault="003923C6" w:rsidP="003923C6">
      <w:pPr>
        <w:pStyle w:val="NoSpacing"/>
        <w:ind w:left="720"/>
        <w:rPr>
          <w:rFonts w:ascii="Times New Roman" w:hAnsi="Times New Roman"/>
          <w:bCs/>
          <w:sz w:val="24"/>
          <w:szCs w:val="24"/>
        </w:rPr>
      </w:pPr>
    </w:p>
    <w:p w14:paraId="37AF60FC" w14:textId="77777777" w:rsidR="003923C6" w:rsidRPr="003923C6" w:rsidRDefault="003923C6" w:rsidP="003923C6">
      <w:pPr>
        <w:pStyle w:val="NoSpacing"/>
        <w:rPr>
          <w:rFonts w:ascii="Times New Roman" w:hAnsi="Times New Roman"/>
          <w:b/>
          <w:sz w:val="24"/>
          <w:szCs w:val="24"/>
        </w:rPr>
      </w:pPr>
      <w:r w:rsidRPr="003923C6">
        <w:rPr>
          <w:rFonts w:ascii="Times New Roman" w:hAnsi="Times New Roman"/>
          <w:b/>
          <w:sz w:val="24"/>
          <w:szCs w:val="24"/>
        </w:rPr>
        <w:t xml:space="preserve">Legal Lesson Learned:  A collectively bargained random drug testing policy can be modified through additional collective bargaining. </w:t>
      </w:r>
    </w:p>
    <w:p w14:paraId="188186AE" w14:textId="77777777" w:rsidR="00BF78AE" w:rsidRDefault="00BF78AE" w:rsidP="00F326E5">
      <w:pPr>
        <w:rPr>
          <w:rFonts w:ascii="Arial Black" w:hAnsi="Arial Black"/>
          <w:b/>
          <w:sz w:val="24"/>
          <w:szCs w:val="24"/>
        </w:rPr>
      </w:pPr>
    </w:p>
    <w:p w14:paraId="63CE13DA" w14:textId="77777777" w:rsidR="00BF78AE" w:rsidRDefault="00BF78AE" w:rsidP="00F326E5">
      <w:pPr>
        <w:rPr>
          <w:rFonts w:ascii="Arial Black" w:hAnsi="Arial Black"/>
          <w:b/>
          <w:sz w:val="24"/>
          <w:szCs w:val="24"/>
        </w:rPr>
      </w:pPr>
    </w:p>
    <w:p w14:paraId="6D4882FD" w14:textId="77777777" w:rsidR="00BF78AE" w:rsidRDefault="00BF78AE" w:rsidP="00F326E5">
      <w:pPr>
        <w:rPr>
          <w:rFonts w:ascii="Arial Black" w:hAnsi="Arial Black"/>
          <w:b/>
          <w:sz w:val="24"/>
          <w:szCs w:val="24"/>
        </w:rPr>
      </w:pPr>
    </w:p>
    <w:p w14:paraId="0F8553BF" w14:textId="73DC80DD" w:rsidR="00081AD1" w:rsidRDefault="00081AD1" w:rsidP="00F326E5">
      <w:pPr>
        <w:rPr>
          <w:rFonts w:ascii="Arial Black" w:hAnsi="Arial Black"/>
          <w:b/>
          <w:sz w:val="24"/>
          <w:szCs w:val="24"/>
        </w:rPr>
      </w:pPr>
      <w:r>
        <w:rPr>
          <w:rFonts w:ascii="Arial Black" w:hAnsi="Arial Black"/>
          <w:b/>
          <w:sz w:val="24"/>
          <w:szCs w:val="24"/>
        </w:rPr>
        <w:t>12-27</w:t>
      </w:r>
    </w:p>
    <w:p w14:paraId="49253D6F" w14:textId="77777777" w:rsidR="003378B6" w:rsidRPr="00340F44" w:rsidRDefault="003378B6" w:rsidP="003378B6">
      <w:pPr>
        <w:rPr>
          <w:rFonts w:ascii="Arial Black" w:hAnsi="Arial Black"/>
          <w:b/>
          <w:bCs/>
          <w:sz w:val="28"/>
        </w:rPr>
      </w:pPr>
      <w:r>
        <w:rPr>
          <w:rFonts w:ascii="Arial Black" w:hAnsi="Arial Black"/>
          <w:b/>
          <w:bCs/>
          <w:sz w:val="28"/>
        </w:rPr>
        <w:t>IN: FF DRUG TEST - MARIJUANA – ADMIN. INVEST. STOPPED, MIGHT NOT HAVE USED – CANNOT SUE CITY</w:t>
      </w:r>
    </w:p>
    <w:p w14:paraId="34B2A16B" w14:textId="77777777" w:rsidR="003378B6" w:rsidRPr="003378B6" w:rsidRDefault="003378B6" w:rsidP="003378B6">
      <w:pPr>
        <w:rPr>
          <w:rFonts w:ascii="Times New Roman" w:hAnsi="Times New Roman"/>
          <w:sz w:val="24"/>
          <w:szCs w:val="24"/>
        </w:rPr>
      </w:pPr>
      <w:r w:rsidRPr="003378B6">
        <w:rPr>
          <w:rFonts w:ascii="Times New Roman" w:hAnsi="Times New Roman"/>
          <w:sz w:val="24"/>
          <w:szCs w:val="24"/>
        </w:rPr>
        <w:t xml:space="preserve">On Aug. 8, 2024, in </w:t>
      </w:r>
      <w:r w:rsidRPr="003378B6">
        <w:rPr>
          <w:rFonts w:ascii="Times New Roman" w:hAnsi="Times New Roman"/>
          <w:sz w:val="24"/>
          <w:szCs w:val="24"/>
          <w:u w:val="single"/>
        </w:rPr>
        <w:t xml:space="preserve">Paul Russell v. John Doe, M.D., John Doe Hospital, John Doe Retracted Network, Inc. d/b/a John Doe Redacted Health, Omega Laboratories Inc., and City of East Chicago, </w:t>
      </w:r>
      <w:r w:rsidRPr="003378B6">
        <w:rPr>
          <w:rFonts w:ascii="Times New Roman" w:hAnsi="Times New Roman"/>
          <w:sz w:val="24"/>
          <w:szCs w:val="24"/>
        </w:rPr>
        <w:t xml:space="preserve">the Court of Appeals of Indiana held (3 to 0) that trial court properly dismissed his complaint against the City of East Chicago. The Court wrote: “In his complaint, Russell made clear that he was ‘not alleging that [the City] wrongly or negligently initiated an administrative process’ but that ‘there came a point in [that] administrative process when [the City] knew or had reason to know that [Russell] had not ingested marijuana.’ Appellant's App. Vol. 2, p. 40; </w:t>
      </w:r>
      <w:r w:rsidRPr="003378B6">
        <w:rPr>
          <w:rFonts w:ascii="Times New Roman" w:hAnsi="Times New Roman"/>
          <w:i/>
          <w:iCs/>
          <w:sz w:val="24"/>
          <w:szCs w:val="24"/>
        </w:rPr>
        <w:t>see also</w:t>
      </w:r>
      <w:r w:rsidRPr="003378B6">
        <w:rPr>
          <w:rFonts w:ascii="Times New Roman" w:hAnsi="Times New Roman"/>
          <w:sz w:val="24"/>
          <w:szCs w:val="24"/>
        </w:rPr>
        <w:t xml:space="preserve"> Appellant's Br. at 45. Russell thus alleged that the </w:t>
      </w:r>
      <w:proofErr w:type="gramStart"/>
      <w:r w:rsidRPr="003378B6">
        <w:rPr>
          <w:rFonts w:ascii="Times New Roman" w:hAnsi="Times New Roman"/>
          <w:sz w:val="24"/>
          <w:szCs w:val="24"/>
        </w:rPr>
        <w:t>City</w:t>
      </w:r>
      <w:proofErr w:type="gramEnd"/>
      <w:r w:rsidRPr="003378B6">
        <w:rPr>
          <w:rFonts w:ascii="Times New Roman" w:hAnsi="Times New Roman"/>
          <w:sz w:val="24"/>
          <w:szCs w:val="24"/>
        </w:rPr>
        <w:t xml:space="preserve"> had caused him monetary harm by continuing with the administrative process after having received the conflicting evidence. *** Indiana Code </w:t>
      </w:r>
      <w:r w:rsidRPr="003378B6">
        <w:rPr>
          <w:rFonts w:ascii="Times New Roman" w:hAnsi="Times New Roman"/>
          <w:sz w:val="24"/>
          <w:szCs w:val="24"/>
        </w:rPr>
        <w:lastRenderedPageBreak/>
        <w:t xml:space="preserve">section 34-13-3-3(a)(6) provides that a governmental entity "is not liable if a loss </w:t>
      </w:r>
      <w:r w:rsidRPr="003378B6">
        <w:rPr>
          <w:rFonts w:ascii="Times New Roman" w:hAnsi="Times New Roman"/>
          <w:i/>
          <w:iCs/>
          <w:sz w:val="24"/>
          <w:szCs w:val="24"/>
        </w:rPr>
        <w:t>results from</w:t>
      </w:r>
      <w:r w:rsidRPr="003378B6">
        <w:rPr>
          <w:rFonts w:ascii="Times New Roman" w:hAnsi="Times New Roman"/>
          <w:sz w:val="24"/>
          <w:szCs w:val="24"/>
        </w:rPr>
        <w:t xml:space="preserve"> . . . [t]</w:t>
      </w:r>
      <w:proofErr w:type="gramStart"/>
      <w:r w:rsidRPr="003378B6">
        <w:rPr>
          <w:rFonts w:ascii="Times New Roman" w:hAnsi="Times New Roman"/>
          <w:sz w:val="24"/>
          <w:szCs w:val="24"/>
        </w:rPr>
        <w:t>he</w:t>
      </w:r>
      <w:proofErr w:type="gramEnd"/>
      <w:r w:rsidRPr="003378B6">
        <w:rPr>
          <w:rFonts w:ascii="Times New Roman" w:hAnsi="Times New Roman"/>
          <w:sz w:val="24"/>
          <w:szCs w:val="24"/>
        </w:rPr>
        <w:t xml:space="preserve"> initiation of a judicial or an administrative proceeding." (Emphasis added.) We think that language is clear: a governmental entity is not liable for any loss that arises from the initiation of an administrative proceeding or "results from" the initiation of that proceeding. A loss plainly "results from" the initiation of a proceeding if it occurred </w:t>
      </w:r>
      <w:r w:rsidRPr="003378B6">
        <w:rPr>
          <w:rFonts w:ascii="Times New Roman" w:hAnsi="Times New Roman"/>
          <w:i/>
          <w:iCs/>
          <w:sz w:val="24"/>
          <w:szCs w:val="24"/>
        </w:rPr>
        <w:t>during</w:t>
      </w:r>
      <w:r w:rsidRPr="003378B6">
        <w:rPr>
          <w:rFonts w:ascii="Times New Roman" w:hAnsi="Times New Roman"/>
          <w:sz w:val="24"/>
          <w:szCs w:val="24"/>
        </w:rPr>
        <w:t xml:space="preserve"> the proceeding and </w:t>
      </w:r>
      <w:r w:rsidRPr="003378B6">
        <w:rPr>
          <w:rFonts w:ascii="Times New Roman" w:hAnsi="Times New Roman"/>
          <w:i/>
          <w:iCs/>
          <w:sz w:val="24"/>
          <w:szCs w:val="24"/>
        </w:rPr>
        <w:t>after</w:t>
      </w:r>
      <w:r w:rsidRPr="003378B6">
        <w:rPr>
          <w:rFonts w:ascii="Times New Roman" w:hAnsi="Times New Roman"/>
          <w:sz w:val="24"/>
          <w:szCs w:val="24"/>
        </w:rPr>
        <w:t xml:space="preserve"> its initiation.” </w:t>
      </w:r>
      <w:hyperlink r:id="rId1935" w:history="1">
        <w:r w:rsidRPr="003378B6">
          <w:rPr>
            <w:rStyle w:val="Hyperlink"/>
            <w:rFonts w:ascii="Times New Roman" w:hAnsi="Times New Roman"/>
            <w:sz w:val="24"/>
            <w:szCs w:val="24"/>
          </w:rPr>
          <w:t>https://caselaw.findlaw.com/court/in-court-of-appeals/116468399.html</w:t>
        </w:r>
      </w:hyperlink>
      <w:r w:rsidRPr="003378B6">
        <w:rPr>
          <w:rFonts w:ascii="Times New Roman" w:hAnsi="Times New Roman"/>
          <w:sz w:val="24"/>
          <w:szCs w:val="24"/>
        </w:rPr>
        <w:t xml:space="preserve"> </w:t>
      </w:r>
    </w:p>
    <w:p w14:paraId="43E75465" w14:textId="77777777" w:rsidR="003378B6" w:rsidRPr="003378B6" w:rsidRDefault="003378B6" w:rsidP="003378B6">
      <w:pPr>
        <w:rPr>
          <w:rFonts w:ascii="Times New Roman" w:hAnsi="Times New Roman"/>
          <w:sz w:val="24"/>
          <w:szCs w:val="24"/>
        </w:rPr>
      </w:pPr>
      <w:r w:rsidRPr="003378B6">
        <w:rPr>
          <w:rFonts w:ascii="Times New Roman" w:hAnsi="Times New Roman"/>
          <w:sz w:val="24"/>
          <w:szCs w:val="24"/>
        </w:rPr>
        <w:t>THE COURT HELD:</w:t>
      </w:r>
    </w:p>
    <w:p w14:paraId="1C9D8E52" w14:textId="77777777" w:rsidR="003378B6" w:rsidRPr="003378B6" w:rsidRDefault="003378B6" w:rsidP="003378B6">
      <w:pPr>
        <w:ind w:left="720"/>
        <w:rPr>
          <w:rFonts w:ascii="Times New Roman" w:hAnsi="Times New Roman"/>
          <w:sz w:val="24"/>
          <w:szCs w:val="24"/>
        </w:rPr>
      </w:pPr>
      <w:r w:rsidRPr="003378B6">
        <w:rPr>
          <w:rFonts w:ascii="Times New Roman" w:hAnsi="Times New Roman"/>
          <w:sz w:val="24"/>
          <w:szCs w:val="24"/>
        </w:rPr>
        <w:t xml:space="preserve">“Russell's claims against the </w:t>
      </w:r>
      <w:proofErr w:type="gramStart"/>
      <w:r w:rsidRPr="003378B6">
        <w:rPr>
          <w:rFonts w:ascii="Times New Roman" w:hAnsi="Times New Roman"/>
          <w:sz w:val="24"/>
          <w:szCs w:val="24"/>
        </w:rPr>
        <w:t>City</w:t>
      </w:r>
      <w:proofErr w:type="gramEnd"/>
      <w:r w:rsidRPr="003378B6">
        <w:rPr>
          <w:rFonts w:ascii="Times New Roman" w:hAnsi="Times New Roman"/>
          <w:sz w:val="24"/>
          <w:szCs w:val="24"/>
        </w:rPr>
        <w:t xml:space="preserve"> are expressly premised on information obtained by the </w:t>
      </w:r>
      <w:proofErr w:type="gramStart"/>
      <w:r w:rsidRPr="003378B6">
        <w:rPr>
          <w:rFonts w:ascii="Times New Roman" w:hAnsi="Times New Roman"/>
          <w:sz w:val="24"/>
          <w:szCs w:val="24"/>
        </w:rPr>
        <w:t>City</w:t>
      </w:r>
      <w:proofErr w:type="gramEnd"/>
      <w:r w:rsidRPr="003378B6">
        <w:rPr>
          <w:rFonts w:ascii="Times New Roman" w:hAnsi="Times New Roman"/>
          <w:sz w:val="24"/>
          <w:szCs w:val="24"/>
        </w:rPr>
        <w:t xml:space="preserve"> after it had initiated the administrative proceedings against him and while those administrative proceedings were ongoing. Russell's claims against the </w:t>
      </w:r>
      <w:proofErr w:type="gramStart"/>
      <w:r w:rsidRPr="003378B6">
        <w:rPr>
          <w:rFonts w:ascii="Times New Roman" w:hAnsi="Times New Roman"/>
          <w:sz w:val="24"/>
          <w:szCs w:val="24"/>
        </w:rPr>
        <w:t>City</w:t>
      </w:r>
      <w:proofErr w:type="gramEnd"/>
      <w:r w:rsidRPr="003378B6">
        <w:rPr>
          <w:rFonts w:ascii="Times New Roman" w:hAnsi="Times New Roman"/>
          <w:sz w:val="24"/>
          <w:szCs w:val="24"/>
        </w:rPr>
        <w:t xml:space="preserve"> therefore seek to hold the </w:t>
      </w:r>
      <w:proofErr w:type="gramStart"/>
      <w:r w:rsidRPr="003378B6">
        <w:rPr>
          <w:rFonts w:ascii="Times New Roman" w:hAnsi="Times New Roman"/>
          <w:sz w:val="24"/>
          <w:szCs w:val="24"/>
        </w:rPr>
        <w:t>City</w:t>
      </w:r>
      <w:proofErr w:type="gramEnd"/>
      <w:r w:rsidRPr="003378B6">
        <w:rPr>
          <w:rFonts w:ascii="Times New Roman" w:hAnsi="Times New Roman"/>
          <w:sz w:val="24"/>
          <w:szCs w:val="24"/>
        </w:rPr>
        <w:t xml:space="preserve"> liable for losses that ‘result from’ the City's initiation of the administrative proceedings against Russell. The </w:t>
      </w:r>
      <w:proofErr w:type="gramStart"/>
      <w:r w:rsidRPr="003378B6">
        <w:rPr>
          <w:rFonts w:ascii="Times New Roman" w:hAnsi="Times New Roman"/>
          <w:sz w:val="24"/>
          <w:szCs w:val="24"/>
        </w:rPr>
        <w:t>City</w:t>
      </w:r>
      <w:proofErr w:type="gramEnd"/>
      <w:r w:rsidRPr="003378B6">
        <w:rPr>
          <w:rFonts w:ascii="Times New Roman" w:hAnsi="Times New Roman"/>
          <w:sz w:val="24"/>
          <w:szCs w:val="24"/>
        </w:rPr>
        <w:t xml:space="preserve"> is therefore immune from Russell's claims, and the trial court properly dismissed them. </w:t>
      </w:r>
    </w:p>
    <w:p w14:paraId="63699B48" w14:textId="77777777" w:rsidR="003378B6" w:rsidRPr="003378B6" w:rsidRDefault="003378B6" w:rsidP="003378B6">
      <w:pPr>
        <w:ind w:left="720"/>
        <w:rPr>
          <w:rFonts w:ascii="Times New Roman" w:hAnsi="Times New Roman"/>
          <w:sz w:val="24"/>
          <w:szCs w:val="24"/>
        </w:rPr>
      </w:pPr>
      <w:r w:rsidRPr="003378B6">
        <w:rPr>
          <w:rFonts w:ascii="Times New Roman" w:hAnsi="Times New Roman"/>
          <w:sz w:val="24"/>
          <w:szCs w:val="24"/>
        </w:rPr>
        <w:t>Still, Russell asserts that, insofar as his claims against the City are premised on ‘intentional misrepresentation’ by the City, they should proceed because Indiana Code section 34-</w:t>
      </w:r>
      <w:proofErr w:type="gramStart"/>
      <w:r w:rsidRPr="003378B6">
        <w:rPr>
          <w:rFonts w:ascii="Times New Roman" w:hAnsi="Times New Roman"/>
          <w:sz w:val="24"/>
          <w:szCs w:val="24"/>
        </w:rPr>
        <w:t>13-3-3</w:t>
      </w:r>
      <w:proofErr w:type="gramEnd"/>
      <w:r w:rsidRPr="003378B6">
        <w:rPr>
          <w:rFonts w:ascii="Times New Roman" w:hAnsi="Times New Roman"/>
          <w:sz w:val="24"/>
          <w:szCs w:val="24"/>
        </w:rPr>
        <w:t xml:space="preserve">(a)(14) provides that a governmental entity is not liable for only ‘unintentional’ misrepresentations. Appellant's Br. at 10-11. But we conclude that section 34-13-3-3(a)(14) is irrelevant where, as here, the governmental entity has established that it is entitled to immunity under a different subsection of the ITCA on the same facts. </w:t>
      </w:r>
    </w:p>
    <w:p w14:paraId="6576FB89" w14:textId="77777777" w:rsidR="003378B6" w:rsidRPr="003378B6" w:rsidRDefault="003378B6" w:rsidP="003378B6">
      <w:pPr>
        <w:ind w:left="720"/>
        <w:rPr>
          <w:rFonts w:ascii="Times New Roman" w:hAnsi="Times New Roman"/>
          <w:sz w:val="24"/>
          <w:szCs w:val="24"/>
        </w:rPr>
      </w:pPr>
      <w:r w:rsidRPr="003378B6">
        <w:rPr>
          <w:rFonts w:ascii="Times New Roman" w:hAnsi="Times New Roman"/>
          <w:sz w:val="24"/>
          <w:szCs w:val="24"/>
        </w:rPr>
        <w:t xml:space="preserve">For </w:t>
      </w:r>
      <w:proofErr w:type="gramStart"/>
      <w:r w:rsidRPr="003378B6">
        <w:rPr>
          <w:rFonts w:ascii="Times New Roman" w:hAnsi="Times New Roman"/>
          <w:sz w:val="24"/>
          <w:szCs w:val="24"/>
        </w:rPr>
        <w:t>all of</w:t>
      </w:r>
      <w:proofErr w:type="gramEnd"/>
      <w:r w:rsidRPr="003378B6">
        <w:rPr>
          <w:rFonts w:ascii="Times New Roman" w:hAnsi="Times New Roman"/>
          <w:sz w:val="24"/>
          <w:szCs w:val="24"/>
        </w:rPr>
        <w:t xml:space="preserve"> these reasons, we affirm the trial court's dismissal of Russell's complaint against the </w:t>
      </w:r>
      <w:proofErr w:type="gramStart"/>
      <w:r w:rsidRPr="003378B6">
        <w:rPr>
          <w:rFonts w:ascii="Times New Roman" w:hAnsi="Times New Roman"/>
          <w:sz w:val="24"/>
          <w:szCs w:val="24"/>
        </w:rPr>
        <w:t>City</w:t>
      </w:r>
      <w:proofErr w:type="gramEnd"/>
      <w:r w:rsidRPr="003378B6">
        <w:rPr>
          <w:rFonts w:ascii="Times New Roman" w:hAnsi="Times New Roman"/>
          <w:sz w:val="24"/>
          <w:szCs w:val="24"/>
        </w:rPr>
        <w:t>.”</w:t>
      </w:r>
    </w:p>
    <w:p w14:paraId="0D3531F3" w14:textId="77777777" w:rsidR="003378B6" w:rsidRPr="003378B6" w:rsidRDefault="003378B6" w:rsidP="003378B6">
      <w:pPr>
        <w:rPr>
          <w:rFonts w:ascii="Times New Roman" w:hAnsi="Times New Roman"/>
          <w:b/>
          <w:bCs/>
          <w:sz w:val="24"/>
          <w:szCs w:val="24"/>
        </w:rPr>
      </w:pPr>
      <w:r w:rsidRPr="003378B6">
        <w:rPr>
          <w:rFonts w:ascii="Times New Roman" w:hAnsi="Times New Roman"/>
          <w:b/>
          <w:bCs/>
          <w:sz w:val="24"/>
          <w:szCs w:val="24"/>
        </w:rPr>
        <w:t xml:space="preserve">Legal Lesson Learned: City not liable for bringing administrative charges; </w:t>
      </w:r>
      <w:proofErr w:type="gramStart"/>
      <w:r w:rsidRPr="003378B6">
        <w:rPr>
          <w:rFonts w:ascii="Times New Roman" w:hAnsi="Times New Roman"/>
          <w:b/>
          <w:bCs/>
          <w:sz w:val="24"/>
          <w:szCs w:val="24"/>
        </w:rPr>
        <w:t>firefighter</w:t>
      </w:r>
      <w:proofErr w:type="gramEnd"/>
      <w:r w:rsidRPr="003378B6">
        <w:rPr>
          <w:rFonts w:ascii="Times New Roman" w:hAnsi="Times New Roman"/>
          <w:b/>
          <w:bCs/>
          <w:sz w:val="24"/>
          <w:szCs w:val="24"/>
        </w:rPr>
        <w:t xml:space="preserve"> however can still bring lawsuit against drug testing facility. </w:t>
      </w:r>
    </w:p>
    <w:p w14:paraId="0572A433" w14:textId="77777777" w:rsidR="00081AD1" w:rsidRDefault="00081AD1" w:rsidP="00F326E5">
      <w:pPr>
        <w:rPr>
          <w:rFonts w:ascii="Arial Black" w:hAnsi="Arial Black"/>
          <w:b/>
          <w:sz w:val="24"/>
          <w:szCs w:val="24"/>
        </w:rPr>
      </w:pPr>
    </w:p>
    <w:p w14:paraId="27715807" w14:textId="77777777" w:rsidR="00081AD1" w:rsidRDefault="00081AD1" w:rsidP="00F326E5">
      <w:pPr>
        <w:rPr>
          <w:rFonts w:ascii="Arial Black" w:hAnsi="Arial Black"/>
          <w:b/>
          <w:sz w:val="24"/>
          <w:szCs w:val="24"/>
        </w:rPr>
      </w:pPr>
    </w:p>
    <w:p w14:paraId="2109E1A9" w14:textId="08EA815C" w:rsidR="00CF5424" w:rsidRDefault="00CF5424" w:rsidP="00F326E5">
      <w:pPr>
        <w:rPr>
          <w:rFonts w:ascii="Arial Black" w:hAnsi="Arial Black"/>
          <w:b/>
          <w:sz w:val="24"/>
          <w:szCs w:val="24"/>
        </w:rPr>
      </w:pPr>
      <w:r>
        <w:rPr>
          <w:rFonts w:ascii="Arial Black" w:hAnsi="Arial Black"/>
          <w:b/>
          <w:sz w:val="24"/>
          <w:szCs w:val="24"/>
        </w:rPr>
        <w:t>12-26</w:t>
      </w:r>
    </w:p>
    <w:p w14:paraId="337444A1" w14:textId="77777777" w:rsidR="0041296B" w:rsidRPr="00767FB4" w:rsidRDefault="0041296B" w:rsidP="0041296B">
      <w:pPr>
        <w:pStyle w:val="NormalWeb"/>
        <w:spacing w:before="0" w:beforeAutospacing="0"/>
        <w:rPr>
          <w:rFonts w:ascii="Arial Black" w:hAnsi="Arial Black"/>
          <w:sz w:val="28"/>
          <w:szCs w:val="28"/>
        </w:rPr>
      </w:pPr>
      <w:r>
        <w:rPr>
          <w:rFonts w:ascii="Arial Black" w:hAnsi="Arial Black"/>
          <w:sz w:val="28"/>
          <w:szCs w:val="28"/>
        </w:rPr>
        <w:t xml:space="preserve">CA: FIREFIGHTER - U.S. ARMY - FIRED POSITIVE RANDOM DRUG TEST METH – WAS IN TREATMENT - NO CASE </w:t>
      </w:r>
    </w:p>
    <w:p w14:paraId="0E799514" w14:textId="20378D7F" w:rsidR="0041296B" w:rsidRPr="0041296B" w:rsidRDefault="0041296B" w:rsidP="0041296B">
      <w:pPr>
        <w:pStyle w:val="NormalWeb"/>
      </w:pPr>
      <w:r w:rsidRPr="0041296B">
        <w:t xml:space="preserve">On May 22, 2024, in </w:t>
      </w:r>
      <w:r w:rsidRPr="0041296B">
        <w:rPr>
          <w:u w:val="single"/>
        </w:rPr>
        <w:t xml:space="preserve">Roger E. Greer v. Christine Wormuth </w:t>
      </w:r>
      <w:r w:rsidRPr="0041296B">
        <w:t>(Secretary of U.S. Army), United States District Court Judge Maxine M. Chesney, U.S. District Court for Northern District of California, granted defense motion to dismiss (firefighter filed lawsuit pro se; without an attorney).  Ten months (Aug. 2014) prior to his notice of removal (June 26, 2015), he told Supervisor he was in treatment and detoxification for drug use under 'Safe Harbor' under the government's DFWP [Drug-Free Workplace Program. On April 16, 2015, he tested positive for tested positive for amphetamine and methamphetamine</w:t>
      </w:r>
      <w:proofErr w:type="gramStart"/>
      <w:r w:rsidRPr="0041296B">
        <w:t>/d-</w:t>
      </w:r>
      <w:proofErr w:type="gramEnd"/>
      <w:r w:rsidRPr="0041296B">
        <w:t>methamphetamine. The Court held:</w:t>
      </w:r>
    </w:p>
    <w:p w14:paraId="5688E531" w14:textId="6958E9C5" w:rsidR="00CF5424" w:rsidRPr="0041296B" w:rsidRDefault="0041296B" w:rsidP="0041296B">
      <w:pPr>
        <w:ind w:left="720"/>
        <w:rPr>
          <w:rFonts w:ascii="Times New Roman" w:hAnsi="Times New Roman"/>
          <w:b/>
          <w:sz w:val="24"/>
          <w:szCs w:val="24"/>
        </w:rPr>
      </w:pPr>
      <w:r w:rsidRPr="0041296B">
        <w:rPr>
          <w:rFonts w:ascii="Times New Roman" w:hAnsi="Times New Roman"/>
          <w:sz w:val="24"/>
          <w:szCs w:val="24"/>
        </w:rPr>
        <w:t xml:space="preserve">“Further, even assuming Greer is, in some manner, disabled, his reliance on the Rehabilitation Act's ‘safe harbor’ provision is unavailing. </w:t>
      </w:r>
      <w:proofErr w:type="gramStart"/>
      <w:r w:rsidRPr="0041296B">
        <w:rPr>
          <w:rFonts w:ascii="Times New Roman" w:hAnsi="Times New Roman"/>
          <w:sz w:val="24"/>
          <w:szCs w:val="24"/>
        </w:rPr>
        <w:t>In particular, said</w:t>
      </w:r>
      <w:proofErr w:type="gramEnd"/>
      <w:r w:rsidRPr="0041296B">
        <w:rPr>
          <w:rFonts w:ascii="Times New Roman" w:hAnsi="Times New Roman"/>
          <w:sz w:val="24"/>
          <w:szCs w:val="24"/>
        </w:rPr>
        <w:t xml:space="preserve"> statutory provision sets forth three ‘exceptions’ to the general rule that, if ‘currently engaged in the illegal use of drugs,’ an employee is not disabled where the employer ‘acts on the basis of such use.’ </w:t>
      </w:r>
      <w:r w:rsidRPr="0041296B">
        <w:rPr>
          <w:rStyle w:val="Emphasis"/>
          <w:rFonts w:ascii="Times New Roman" w:eastAsiaTheme="majorEastAsia" w:hAnsi="Times New Roman"/>
          <w:sz w:val="24"/>
          <w:szCs w:val="24"/>
        </w:rPr>
        <w:t>See</w:t>
      </w:r>
      <w:r w:rsidRPr="0041296B">
        <w:rPr>
          <w:rFonts w:ascii="Times New Roman" w:hAnsi="Times New Roman"/>
          <w:sz w:val="24"/>
          <w:szCs w:val="24"/>
        </w:rPr>
        <w:t xml:space="preserve"> 29 U.S.C. § 705(20)(C)(</w:t>
      </w:r>
      <w:proofErr w:type="spellStart"/>
      <w:r w:rsidRPr="0041296B">
        <w:rPr>
          <w:rFonts w:ascii="Times New Roman" w:hAnsi="Times New Roman"/>
          <w:sz w:val="24"/>
          <w:szCs w:val="24"/>
        </w:rPr>
        <w:t>i</w:t>
      </w:r>
      <w:proofErr w:type="spellEnd"/>
      <w:r w:rsidRPr="0041296B">
        <w:rPr>
          <w:rFonts w:ascii="Times New Roman" w:hAnsi="Times New Roman"/>
          <w:sz w:val="24"/>
          <w:szCs w:val="24"/>
        </w:rPr>
        <w:t xml:space="preserve">). Each such exception, however, requires a showing that the employee ‘is no longer’ or ‘is not’ engaging in the illegal use of </w:t>
      </w:r>
      <w:r w:rsidRPr="0041296B">
        <w:rPr>
          <w:rFonts w:ascii="Times New Roman" w:hAnsi="Times New Roman"/>
          <w:sz w:val="24"/>
          <w:szCs w:val="24"/>
        </w:rPr>
        <w:lastRenderedPageBreak/>
        <w:t xml:space="preserve">drugs, </w:t>
      </w:r>
      <w:r w:rsidRPr="0041296B">
        <w:rPr>
          <w:rStyle w:val="Emphasis"/>
          <w:rFonts w:ascii="Times New Roman" w:eastAsiaTheme="majorEastAsia" w:hAnsi="Times New Roman"/>
          <w:sz w:val="24"/>
          <w:szCs w:val="24"/>
        </w:rPr>
        <w:t>see</w:t>
      </w:r>
      <w:r w:rsidRPr="0041296B">
        <w:rPr>
          <w:rFonts w:ascii="Times New Roman" w:hAnsi="Times New Roman"/>
          <w:sz w:val="24"/>
          <w:szCs w:val="24"/>
        </w:rPr>
        <w:t xml:space="preserve"> 29 U.S.C. § 705(20)(C)(ii),</w:t>
      </w:r>
      <w:r w:rsidRPr="0041296B">
        <w:rPr>
          <w:rFonts w:ascii="Times New Roman" w:hAnsi="Times New Roman"/>
          <w:sz w:val="24"/>
          <w:szCs w:val="24"/>
          <w:vertAlign w:val="superscript"/>
        </w:rPr>
        <w:t>[</w:t>
      </w:r>
      <w:bookmarkStart w:id="413" w:name="FN1"/>
      <w:r w:rsidRPr="0041296B">
        <w:rPr>
          <w:rFonts w:ascii="Times New Roman" w:hAnsi="Times New Roman"/>
          <w:sz w:val="24"/>
          <w:szCs w:val="24"/>
          <w:vertAlign w:val="superscript"/>
        </w:rPr>
        <w:fldChar w:fldCharType="begin"/>
      </w:r>
      <w:r w:rsidRPr="0041296B">
        <w:rPr>
          <w:rFonts w:ascii="Times New Roman" w:hAnsi="Times New Roman"/>
          <w:sz w:val="24"/>
          <w:szCs w:val="24"/>
          <w:vertAlign w:val="superscript"/>
        </w:rPr>
        <w:instrText>HYPERLINK "https://public.fastcase.com/" \l "ftn.FN1"</w:instrText>
      </w:r>
      <w:r w:rsidRPr="0041296B">
        <w:rPr>
          <w:rFonts w:ascii="Times New Roman" w:hAnsi="Times New Roman"/>
          <w:sz w:val="24"/>
          <w:szCs w:val="24"/>
          <w:vertAlign w:val="superscript"/>
        </w:rPr>
      </w:r>
      <w:r w:rsidRPr="0041296B">
        <w:rPr>
          <w:rFonts w:ascii="Times New Roman" w:hAnsi="Times New Roman"/>
          <w:sz w:val="24"/>
          <w:szCs w:val="24"/>
          <w:vertAlign w:val="superscript"/>
        </w:rPr>
        <w:fldChar w:fldCharType="separate"/>
      </w:r>
      <w:r w:rsidRPr="0041296B">
        <w:rPr>
          <w:rStyle w:val="Hyperlink"/>
          <w:rFonts w:ascii="Times New Roman" w:eastAsiaTheme="majorEastAsia" w:hAnsi="Times New Roman"/>
          <w:sz w:val="24"/>
          <w:szCs w:val="24"/>
          <w:vertAlign w:val="superscript"/>
        </w:rPr>
        <w:t>1</w:t>
      </w:r>
      <w:r w:rsidRPr="0041296B">
        <w:rPr>
          <w:rFonts w:ascii="Times New Roman" w:hAnsi="Times New Roman"/>
          <w:sz w:val="24"/>
          <w:szCs w:val="24"/>
          <w:vertAlign w:val="superscript"/>
        </w:rPr>
        <w:fldChar w:fldCharType="end"/>
      </w:r>
      <w:bookmarkEnd w:id="413"/>
      <w:r w:rsidRPr="0041296B">
        <w:rPr>
          <w:rFonts w:ascii="Times New Roman" w:hAnsi="Times New Roman"/>
          <w:sz w:val="24"/>
          <w:szCs w:val="24"/>
          <w:vertAlign w:val="superscript"/>
        </w:rPr>
        <w:t>]</w:t>
      </w:r>
      <w:r w:rsidRPr="0041296B">
        <w:rPr>
          <w:rFonts w:ascii="Times New Roman" w:hAnsi="Times New Roman"/>
          <w:sz w:val="24"/>
          <w:szCs w:val="24"/>
        </w:rPr>
        <w:t xml:space="preserve"> and Greer, at best, alleges he stated to his supervisor that he was ‘seeking treatment and detoxification,’ not that he was no longer using illegal drugs.” </w:t>
      </w:r>
      <w:hyperlink r:id="rId1936" w:history="1">
        <w:r w:rsidRPr="0041296B">
          <w:rPr>
            <w:rStyle w:val="Hyperlink"/>
            <w:rFonts w:ascii="Times New Roman" w:hAnsi="Times New Roman"/>
            <w:sz w:val="24"/>
            <w:szCs w:val="24"/>
          </w:rPr>
          <w:t>https://cases.justia.com/federal/district-courts/california/candce/3:2024cv00614/424391/24/0.pdf</w:t>
        </w:r>
      </w:hyperlink>
    </w:p>
    <w:p w14:paraId="146E6E78" w14:textId="77777777" w:rsidR="00303E7B" w:rsidRDefault="00303E7B" w:rsidP="00303E7B">
      <w:pPr>
        <w:spacing w:after="100" w:line="240" w:lineRule="auto"/>
        <w:rPr>
          <w:rFonts w:ascii="Times New Roman" w:eastAsia="Times New Roman" w:hAnsi="Times New Roman"/>
          <w:b/>
          <w:bCs/>
          <w:sz w:val="24"/>
          <w:szCs w:val="24"/>
        </w:rPr>
      </w:pPr>
      <w:r w:rsidRPr="00A92D10">
        <w:rPr>
          <w:rFonts w:ascii="Times New Roman" w:eastAsia="Times New Roman" w:hAnsi="Times New Roman"/>
          <w:b/>
          <w:bCs/>
          <w:sz w:val="24"/>
          <w:szCs w:val="24"/>
        </w:rPr>
        <w:t xml:space="preserve">Legal Lesson Learned: </w:t>
      </w:r>
      <w:r>
        <w:rPr>
          <w:rFonts w:ascii="Times New Roman" w:eastAsia="Times New Roman" w:hAnsi="Times New Roman"/>
          <w:b/>
          <w:bCs/>
          <w:sz w:val="24"/>
          <w:szCs w:val="24"/>
        </w:rPr>
        <w:t xml:space="preserve">The “Safe Harbor” provisions of the federal Rehabilitation Act, </w:t>
      </w:r>
      <w:proofErr w:type="gramStart"/>
      <w:r>
        <w:rPr>
          <w:rFonts w:ascii="Times New Roman" w:eastAsia="Times New Roman" w:hAnsi="Times New Roman"/>
          <w:b/>
          <w:bCs/>
          <w:sz w:val="24"/>
          <w:szCs w:val="24"/>
        </w:rPr>
        <w:t>similar to</w:t>
      </w:r>
      <w:proofErr w:type="gramEnd"/>
      <w:r>
        <w:rPr>
          <w:rFonts w:ascii="Times New Roman" w:eastAsia="Times New Roman" w:hAnsi="Times New Roman"/>
          <w:b/>
          <w:bCs/>
          <w:sz w:val="24"/>
          <w:szCs w:val="24"/>
        </w:rPr>
        <w:t xml:space="preserve"> ADA, does not protect employees who continue to use illegal drugs. </w:t>
      </w:r>
    </w:p>
    <w:p w14:paraId="25A0E628" w14:textId="47C19348" w:rsidR="00303E7B" w:rsidRPr="00303E7B" w:rsidRDefault="00303E7B" w:rsidP="00303E7B">
      <w:pPr>
        <w:pStyle w:val="Heading1"/>
        <w:ind w:left="720"/>
        <w:rPr>
          <w:b w:val="0"/>
          <w:bCs w:val="0"/>
          <w:sz w:val="24"/>
          <w:szCs w:val="24"/>
        </w:rPr>
      </w:pPr>
      <w:r w:rsidRPr="00303E7B">
        <w:rPr>
          <w:b w:val="0"/>
          <w:bCs w:val="0"/>
          <w:kern w:val="0"/>
          <w:sz w:val="24"/>
          <w:szCs w:val="24"/>
        </w:rPr>
        <w:t>Note: “</w:t>
      </w:r>
      <w:r w:rsidRPr="00303E7B">
        <w:rPr>
          <w:b w:val="0"/>
          <w:bCs w:val="0"/>
          <w:sz w:val="24"/>
          <w:szCs w:val="24"/>
        </w:rPr>
        <w:t xml:space="preserve">Addiction and the ADA: The “Current User,” Safe Harbor.” </w:t>
      </w:r>
      <w:hyperlink r:id="rId1937" w:history="1">
        <w:r w:rsidRPr="00303E7B">
          <w:rPr>
            <w:rStyle w:val="Hyperlink"/>
            <w:b w:val="0"/>
            <w:bCs w:val="0"/>
            <w:sz w:val="24"/>
            <w:szCs w:val="24"/>
          </w:rPr>
          <w:t>https://www.understandingtheada.com/blog/2015/02/03/addiction-ada-current-user-safe-harbor/</w:t>
        </w:r>
      </w:hyperlink>
      <w:r w:rsidRPr="00303E7B">
        <w:rPr>
          <w:b w:val="0"/>
          <w:bCs w:val="0"/>
          <w:sz w:val="24"/>
          <w:szCs w:val="24"/>
        </w:rPr>
        <w:t xml:space="preserve">  </w:t>
      </w:r>
    </w:p>
    <w:p w14:paraId="28AA4268" w14:textId="77777777" w:rsidR="00303E7B" w:rsidRPr="003F5245" w:rsidRDefault="00303E7B" w:rsidP="00303E7B">
      <w:pPr>
        <w:spacing w:after="100" w:line="240" w:lineRule="auto"/>
        <w:ind w:left="720"/>
        <w:rPr>
          <w:rFonts w:ascii="Times New Roman" w:eastAsia="Times New Roman" w:hAnsi="Times New Roman"/>
          <w:b/>
          <w:bCs/>
          <w:sz w:val="24"/>
          <w:szCs w:val="24"/>
        </w:rPr>
      </w:pPr>
      <w:r>
        <w:rPr>
          <w:rFonts w:ascii="Times New Roman" w:hAnsi="Times New Roman"/>
          <w:sz w:val="24"/>
          <w:szCs w:val="24"/>
        </w:rPr>
        <w:t>“</w:t>
      </w:r>
      <w:r w:rsidRPr="005C7112">
        <w:rPr>
          <w:rFonts w:ascii="Times New Roman" w:hAnsi="Times New Roman"/>
          <w:sz w:val="24"/>
          <w:szCs w:val="24"/>
        </w:rPr>
        <w:t xml:space="preserve">When it comes to drugs and alcohol, those addicted to drugs and alcohol are not treated the same way as persons with other disabilities. For example, an employer has the right to evaluate an alcoholic employee or an employee addicted to drugs as if the disability didn’t exist. 42 U.S.C. § 12114(c)(4); EEOC interpretive guidance on 29 C.F.R. § 1630.16(b). Also, under </w:t>
      </w:r>
      <w:hyperlink r:id="rId1938" w:tooltip="42 U.S.C. § 12114" w:history="1">
        <w:r w:rsidRPr="005C7112">
          <w:rPr>
            <w:rStyle w:val="Hyperlink"/>
            <w:rFonts w:ascii="Times New Roman" w:hAnsi="Times New Roman"/>
            <w:sz w:val="24"/>
            <w:szCs w:val="24"/>
          </w:rPr>
          <w:t>42 U.S.C. § 12114(a)</w:t>
        </w:r>
      </w:hyperlink>
      <w:r w:rsidRPr="005C7112">
        <w:rPr>
          <w:rFonts w:ascii="Times New Roman" w:hAnsi="Times New Roman"/>
          <w:sz w:val="24"/>
          <w:szCs w:val="24"/>
        </w:rPr>
        <w:t xml:space="preserve"> a person currently using illegal drugs or alcohol is not protected. Finally, a person who is in a rehabilitation program or has completed a rehabilitation program and is no longer engaging in the use of alcohol or drugs can be protected under the ADA. 42 U.S.C. § 12114(b)(1),(2). In short, a person using drugs or alcohol is not protected, but a person with a record of using drugs or alcohol can be. Case law often refers to this as a safe harbor. Case law may also refer to it as a person not being qualified since that is the statutory language.</w:t>
      </w:r>
      <w:r>
        <w:rPr>
          <w:rFonts w:ascii="Times New Roman" w:hAnsi="Times New Roman"/>
          <w:sz w:val="24"/>
          <w:szCs w:val="24"/>
        </w:rPr>
        <w:t>”</w:t>
      </w:r>
    </w:p>
    <w:p w14:paraId="399E3E37" w14:textId="77777777" w:rsidR="00CF5424" w:rsidRDefault="00CF5424" w:rsidP="00F326E5">
      <w:pPr>
        <w:rPr>
          <w:rFonts w:ascii="Arial Black" w:hAnsi="Arial Black"/>
          <w:b/>
          <w:sz w:val="24"/>
          <w:szCs w:val="24"/>
        </w:rPr>
      </w:pPr>
    </w:p>
    <w:p w14:paraId="672A489D" w14:textId="77777777" w:rsidR="00CF5424" w:rsidRDefault="00CF5424" w:rsidP="00F326E5">
      <w:pPr>
        <w:rPr>
          <w:rFonts w:ascii="Arial Black" w:hAnsi="Arial Black"/>
          <w:b/>
          <w:sz w:val="24"/>
          <w:szCs w:val="24"/>
        </w:rPr>
      </w:pPr>
    </w:p>
    <w:p w14:paraId="18134E19" w14:textId="06C5A3D1" w:rsidR="005677A6" w:rsidRDefault="005677A6" w:rsidP="00F326E5">
      <w:pPr>
        <w:rPr>
          <w:rFonts w:ascii="Arial Black" w:hAnsi="Arial Black"/>
          <w:b/>
          <w:sz w:val="24"/>
          <w:szCs w:val="24"/>
        </w:rPr>
      </w:pPr>
      <w:r>
        <w:rPr>
          <w:rFonts w:ascii="Arial Black" w:hAnsi="Arial Black"/>
          <w:b/>
          <w:sz w:val="24"/>
          <w:szCs w:val="24"/>
        </w:rPr>
        <w:t>12-25</w:t>
      </w:r>
    </w:p>
    <w:p w14:paraId="192FE1E1" w14:textId="77777777" w:rsidR="005677A6" w:rsidRPr="00057368" w:rsidRDefault="005677A6" w:rsidP="005677A6">
      <w:pPr>
        <w:pStyle w:val="NormalWeb"/>
        <w:rPr>
          <w:rFonts w:ascii="Arial Black" w:hAnsi="Arial Black"/>
          <w:sz w:val="28"/>
          <w:szCs w:val="28"/>
        </w:rPr>
      </w:pPr>
      <w:r>
        <w:rPr>
          <w:rFonts w:ascii="Arial Black" w:hAnsi="Arial Black"/>
          <w:sz w:val="28"/>
          <w:szCs w:val="28"/>
        </w:rPr>
        <w:t>MD: FF SUPPORTIVE 1</w:t>
      </w:r>
      <w:r w:rsidRPr="00DA29D6">
        <w:rPr>
          <w:rFonts w:ascii="Arial Black" w:hAnsi="Arial Black"/>
          <w:sz w:val="28"/>
          <w:szCs w:val="28"/>
          <w:vertAlign w:val="superscript"/>
        </w:rPr>
        <w:t>st</w:t>
      </w:r>
      <w:r>
        <w:rPr>
          <w:rFonts w:ascii="Arial Black" w:hAnsi="Arial Black"/>
          <w:sz w:val="28"/>
          <w:szCs w:val="28"/>
        </w:rPr>
        <w:t xml:space="preserve"> DUI - WENT TO IAFF CENTER OF EXCELLENCE – 2</w:t>
      </w:r>
      <w:r w:rsidRPr="00025810">
        <w:rPr>
          <w:rFonts w:ascii="Arial Black" w:hAnsi="Arial Black"/>
          <w:sz w:val="28"/>
          <w:szCs w:val="28"/>
          <w:vertAlign w:val="superscript"/>
        </w:rPr>
        <w:t>nd</w:t>
      </w:r>
      <w:r>
        <w:rPr>
          <w:rFonts w:ascii="Arial Black" w:hAnsi="Arial Black"/>
          <w:sz w:val="28"/>
          <w:szCs w:val="28"/>
        </w:rPr>
        <w:t xml:space="preserve"> DUI / FIRED, NOT BECAUSE PTSD</w:t>
      </w:r>
    </w:p>
    <w:p w14:paraId="5CF93CE5" w14:textId="77777777" w:rsidR="005677A6" w:rsidRDefault="005677A6" w:rsidP="005677A6">
      <w:pPr>
        <w:pStyle w:val="NormalWeb"/>
      </w:pPr>
      <w:r>
        <w:t xml:space="preserve">On March 28, </w:t>
      </w:r>
      <w:proofErr w:type="gramStart"/>
      <w:r>
        <w:t>2024</w:t>
      </w:r>
      <w:proofErr w:type="gramEnd"/>
      <w:r>
        <w:t xml:space="preserve"> in </w:t>
      </w:r>
      <w:r w:rsidRPr="00546246">
        <w:rPr>
          <w:u w:val="single"/>
        </w:rPr>
        <w:t>Deanna Jones v. Cecil County, Maryland</w:t>
      </w:r>
      <w:r>
        <w:t xml:space="preserve">, United States District Court Judge Richard D. Bennett, U.S. District Court for District of Maryland, granted County’s motion for summary judgment. </w:t>
      </w:r>
    </w:p>
    <w:p w14:paraId="5BF8AA74" w14:textId="77777777" w:rsidR="00D90293" w:rsidRPr="004C0299" w:rsidRDefault="00D90293" w:rsidP="00D90293">
      <w:pPr>
        <w:pStyle w:val="NoSpacing"/>
        <w:rPr>
          <w:rFonts w:ascii="Times New Roman" w:hAnsi="Times New Roman"/>
          <w:sz w:val="24"/>
          <w:szCs w:val="24"/>
        </w:rPr>
      </w:pPr>
      <w:r>
        <w:rPr>
          <w:rFonts w:ascii="Times New Roman" w:hAnsi="Times New Roman"/>
          <w:sz w:val="24"/>
          <w:szCs w:val="24"/>
          <w:shd w:val="clear" w:color="auto" w:fill="FFFFFF"/>
        </w:rPr>
        <w:t>THE COURT HELD:</w:t>
      </w:r>
    </w:p>
    <w:p w14:paraId="60A1F3F5" w14:textId="77777777" w:rsidR="005677A6" w:rsidRDefault="005677A6" w:rsidP="005677A6">
      <w:pPr>
        <w:pStyle w:val="NormalWeb"/>
        <w:ind w:left="720"/>
      </w:pPr>
      <w:r>
        <w:t xml:space="preserve">“Even assuming arguendo that Jones is a qualified individual with a disability under the meaning of the ADA, she has not plausibly stated that she was terminated because of her disability. Jones provides nothing more than conclusory statements that she was terminated because of her alcohol use disorder. As discussed, the facts alleged by Jones indicate that she was terminated because of her second DUI, not because of her disability. Moreover, the Department's support of Jones after her first DUI undermines her claim of discrimination. Jones admits that the Department was supportive of her following her first DUI and that it was only after her second DUI that she was terminated.” </w:t>
      </w:r>
      <w:hyperlink r:id="rId1939" w:history="1">
        <w:r w:rsidRPr="007E7996">
          <w:rPr>
            <w:rStyle w:val="Hyperlink"/>
          </w:rPr>
          <w:t>https://public.fastcase.com/H1P9uiW3J20SFp%2BGCG%2BxLWxsjT87vgsYeUyD6XhJjN4sWvyHUDi1iD6eePPdFLtF?utm_medium=email&amp;_hsmi=226712652&amp;_hsenc=p2ANqtz-_iI2JExLit36jQEG92m9s-4sdtZgfob1tVRc-o7xFd5g7DvtyOGh3o-vGJ1z88YzXriHS74jMuVuWJoviL5aHAnGRzpg&amp;utm_content=226712652&amp;utm_source=hs_email</w:t>
        </w:r>
      </w:hyperlink>
      <w:r>
        <w:t xml:space="preserve"> </w:t>
      </w:r>
    </w:p>
    <w:p w14:paraId="4F3D12BE" w14:textId="77777777" w:rsidR="005677A6" w:rsidRPr="009614DD" w:rsidRDefault="005677A6" w:rsidP="005677A6">
      <w:pPr>
        <w:pStyle w:val="NormalWeb"/>
        <w:rPr>
          <w:b/>
          <w:bCs/>
        </w:rPr>
      </w:pPr>
      <w:r>
        <w:rPr>
          <w:b/>
          <w:bCs/>
        </w:rPr>
        <w:t xml:space="preserve">Legal Lesson Learned: Fire &amp; EMS departments should require in their policies an immediate written notice of DUI arrests, not just convictions. </w:t>
      </w:r>
    </w:p>
    <w:p w14:paraId="5272CD04" w14:textId="77777777" w:rsidR="005677A6" w:rsidRDefault="005677A6" w:rsidP="00F326E5">
      <w:pPr>
        <w:rPr>
          <w:rFonts w:ascii="Arial Black" w:hAnsi="Arial Black"/>
          <w:b/>
          <w:sz w:val="24"/>
          <w:szCs w:val="24"/>
        </w:rPr>
      </w:pPr>
    </w:p>
    <w:p w14:paraId="3B839F16" w14:textId="77777777" w:rsidR="005677A6" w:rsidRDefault="005677A6" w:rsidP="00F326E5">
      <w:pPr>
        <w:rPr>
          <w:rFonts w:ascii="Arial Black" w:hAnsi="Arial Black"/>
          <w:b/>
          <w:sz w:val="24"/>
          <w:szCs w:val="24"/>
        </w:rPr>
      </w:pPr>
    </w:p>
    <w:p w14:paraId="2602E47B" w14:textId="37A7CD81" w:rsidR="009C19A1" w:rsidRDefault="009C19A1" w:rsidP="00F326E5">
      <w:pPr>
        <w:rPr>
          <w:rFonts w:ascii="Arial Black" w:hAnsi="Arial Black"/>
          <w:b/>
          <w:sz w:val="24"/>
          <w:szCs w:val="24"/>
        </w:rPr>
      </w:pPr>
      <w:r>
        <w:rPr>
          <w:rFonts w:ascii="Arial Black" w:hAnsi="Arial Black"/>
          <w:b/>
          <w:sz w:val="24"/>
          <w:szCs w:val="24"/>
        </w:rPr>
        <w:t>12-24</w:t>
      </w:r>
    </w:p>
    <w:p w14:paraId="7F14028C" w14:textId="77777777" w:rsidR="00C72905" w:rsidRDefault="00C72905" w:rsidP="00C72905">
      <w:pPr>
        <w:pStyle w:val="NormalWeb"/>
        <w:rPr>
          <w:b/>
          <w:bCs/>
        </w:rPr>
      </w:pPr>
      <w:r>
        <w:rPr>
          <w:rFonts w:ascii="Arial Black" w:hAnsi="Arial Black"/>
          <w:b/>
          <w:bCs/>
          <w:sz w:val="28"/>
          <w:szCs w:val="28"/>
        </w:rPr>
        <w:t>TX: OFF DUTY DALLAS FF – DRUNK DRIVING, KILLED PREGNANT TEEN – 12 YRS, PLED GUILTY AVOID 40 YRS</w:t>
      </w:r>
      <w:r>
        <w:rPr>
          <w:b/>
          <w:bCs/>
        </w:rPr>
        <w:t xml:space="preserve"> </w:t>
      </w:r>
    </w:p>
    <w:p w14:paraId="3DB2B4C3" w14:textId="77777777" w:rsidR="00C72905" w:rsidRDefault="00C72905" w:rsidP="00C72905">
      <w:pPr>
        <w:pStyle w:val="NoSpacing"/>
        <w:rPr>
          <w:rFonts w:ascii="Times New Roman" w:hAnsi="Times New Roman"/>
          <w:sz w:val="24"/>
          <w:szCs w:val="24"/>
        </w:rPr>
      </w:pPr>
      <w:r>
        <w:rPr>
          <w:rFonts w:ascii="Times New Roman" w:hAnsi="Times New Roman"/>
          <w:sz w:val="24"/>
          <w:szCs w:val="24"/>
        </w:rPr>
        <w:t xml:space="preserve">On Feb. 20, 2024, in </w:t>
      </w:r>
      <w:r w:rsidRPr="00461ABE">
        <w:rPr>
          <w:rFonts w:ascii="Times New Roman" w:hAnsi="Times New Roman"/>
          <w:sz w:val="24"/>
          <w:szCs w:val="24"/>
          <w:u w:val="single"/>
        </w:rPr>
        <w:t>Horace Shaw v. The State of Texas</w:t>
      </w:r>
      <w:r>
        <w:rPr>
          <w:rFonts w:ascii="Times New Roman" w:hAnsi="Times New Roman"/>
          <w:sz w:val="24"/>
          <w:szCs w:val="24"/>
        </w:rPr>
        <w:t xml:space="preserve">, the </w:t>
      </w:r>
      <w:r w:rsidRPr="003A17CB">
        <w:rPr>
          <w:rFonts w:ascii="Times New Roman" w:hAnsi="Times New Roman"/>
          <w:sz w:val="24"/>
          <w:szCs w:val="24"/>
        </w:rPr>
        <w:t>Court of Appeals</w:t>
      </w:r>
      <w:r>
        <w:rPr>
          <w:rFonts w:ascii="Times New Roman" w:hAnsi="Times New Roman"/>
          <w:sz w:val="24"/>
          <w:szCs w:val="24"/>
        </w:rPr>
        <w:t xml:space="preserve">, </w:t>
      </w:r>
      <w:r w:rsidRPr="003A17CB">
        <w:rPr>
          <w:rFonts w:ascii="Times New Roman" w:hAnsi="Times New Roman"/>
          <w:sz w:val="24"/>
          <w:szCs w:val="24"/>
        </w:rPr>
        <w:t>Fifth District of Texas at Dallas</w:t>
      </w:r>
      <w:r>
        <w:rPr>
          <w:rFonts w:ascii="Times New Roman" w:hAnsi="Times New Roman"/>
          <w:sz w:val="24"/>
          <w:szCs w:val="24"/>
        </w:rPr>
        <w:t xml:space="preserve"> held (3 to 0; unpublished opinion) denied the defendant’s appeal based on alleged in effective of counsel; he pled guilty to manslaughter, and if convicted of intoxicated manslaughter he could have sentenced up to 40 years. </w:t>
      </w:r>
    </w:p>
    <w:p w14:paraId="0BCD7915" w14:textId="77777777" w:rsidR="00C72905" w:rsidRDefault="00C72905" w:rsidP="00C72905">
      <w:pPr>
        <w:pStyle w:val="NoSpacing"/>
        <w:rPr>
          <w:rFonts w:ascii="Times New Roman" w:hAnsi="Times New Roman"/>
          <w:sz w:val="24"/>
          <w:szCs w:val="24"/>
        </w:rPr>
      </w:pPr>
    </w:p>
    <w:p w14:paraId="64AABEBE" w14:textId="77777777" w:rsidR="00C72905" w:rsidRDefault="00C72905" w:rsidP="00C72905">
      <w:pPr>
        <w:pStyle w:val="NoSpacing"/>
        <w:rPr>
          <w:rFonts w:ascii="Times New Roman" w:hAnsi="Times New Roman"/>
          <w:sz w:val="24"/>
          <w:szCs w:val="24"/>
        </w:rPr>
      </w:pPr>
      <w:r>
        <w:rPr>
          <w:rFonts w:ascii="Times New Roman" w:hAnsi="Times New Roman"/>
          <w:sz w:val="24"/>
          <w:szCs w:val="24"/>
        </w:rPr>
        <w:t>The Court held:</w:t>
      </w:r>
    </w:p>
    <w:p w14:paraId="05646DFF" w14:textId="77777777" w:rsidR="00C72905" w:rsidRDefault="00C72905" w:rsidP="00C72905">
      <w:pPr>
        <w:pStyle w:val="NoSpacing"/>
        <w:rPr>
          <w:rFonts w:ascii="Times New Roman" w:hAnsi="Times New Roman"/>
          <w:sz w:val="24"/>
          <w:szCs w:val="24"/>
        </w:rPr>
      </w:pPr>
    </w:p>
    <w:p w14:paraId="78DC837C" w14:textId="77777777" w:rsidR="00C72905" w:rsidRPr="00527850" w:rsidRDefault="00C72905" w:rsidP="00C72905">
      <w:pPr>
        <w:pStyle w:val="NoSpacing"/>
        <w:ind w:firstLine="720"/>
        <w:rPr>
          <w:rFonts w:ascii="Times New Roman" w:hAnsi="Times New Roman"/>
          <w:sz w:val="24"/>
          <w:szCs w:val="24"/>
        </w:rPr>
      </w:pPr>
      <w:r>
        <w:rPr>
          <w:rFonts w:ascii="Times New Roman" w:hAnsi="Times New Roman"/>
          <w:sz w:val="24"/>
          <w:szCs w:val="24"/>
        </w:rPr>
        <w:t>“</w:t>
      </w:r>
      <w:r w:rsidRPr="00527850">
        <w:rPr>
          <w:rFonts w:ascii="Times New Roman" w:hAnsi="Times New Roman"/>
          <w:sz w:val="24"/>
          <w:szCs w:val="24"/>
        </w:rPr>
        <w:t>Notably, the record shows these cases were filed by information and the state</w:t>
      </w:r>
    </w:p>
    <w:p w14:paraId="3EAD2090" w14:textId="77777777" w:rsidR="00C72905" w:rsidRPr="00527850" w:rsidRDefault="00C72905" w:rsidP="00C72905">
      <w:pPr>
        <w:pStyle w:val="NoSpacing"/>
        <w:ind w:firstLine="720"/>
        <w:rPr>
          <w:rFonts w:ascii="Times New Roman" w:hAnsi="Times New Roman"/>
          <w:sz w:val="24"/>
          <w:szCs w:val="24"/>
        </w:rPr>
      </w:pPr>
      <w:r w:rsidRPr="00527850">
        <w:rPr>
          <w:rFonts w:ascii="Times New Roman" w:hAnsi="Times New Roman"/>
          <w:sz w:val="24"/>
          <w:szCs w:val="24"/>
        </w:rPr>
        <w:t>only charged Mr. Shaw with manslaughter for which the sentences could only run</w:t>
      </w:r>
    </w:p>
    <w:p w14:paraId="12C6F92D" w14:textId="77777777" w:rsidR="00C72905" w:rsidRPr="00527850" w:rsidRDefault="00C72905" w:rsidP="00C72905">
      <w:pPr>
        <w:pStyle w:val="NoSpacing"/>
        <w:ind w:firstLine="720"/>
        <w:rPr>
          <w:rFonts w:ascii="Times New Roman" w:hAnsi="Times New Roman"/>
          <w:sz w:val="24"/>
          <w:szCs w:val="24"/>
        </w:rPr>
      </w:pPr>
      <w:r w:rsidRPr="00527850">
        <w:rPr>
          <w:rFonts w:ascii="Times New Roman" w:hAnsi="Times New Roman"/>
          <w:sz w:val="24"/>
          <w:szCs w:val="24"/>
        </w:rPr>
        <w:t>concurrently. See TEX. PENAL CODE § 3.03(a). Had the state charged Mr. Shaw with</w:t>
      </w:r>
    </w:p>
    <w:p w14:paraId="7651E40C" w14:textId="77777777" w:rsidR="00C72905" w:rsidRPr="00527850" w:rsidRDefault="00C72905" w:rsidP="00C72905">
      <w:pPr>
        <w:pStyle w:val="NoSpacing"/>
        <w:ind w:firstLine="720"/>
        <w:rPr>
          <w:rFonts w:ascii="Times New Roman" w:hAnsi="Times New Roman"/>
          <w:sz w:val="24"/>
          <w:szCs w:val="24"/>
        </w:rPr>
      </w:pPr>
      <w:r w:rsidRPr="00527850">
        <w:rPr>
          <w:rFonts w:ascii="Times New Roman" w:hAnsi="Times New Roman"/>
          <w:sz w:val="24"/>
          <w:szCs w:val="24"/>
        </w:rPr>
        <w:t>intoxication manslaughter, also a second-degree felony, the judge could have</w:t>
      </w:r>
    </w:p>
    <w:p w14:paraId="3EA6A31C" w14:textId="77777777" w:rsidR="00C72905" w:rsidRPr="00527850" w:rsidRDefault="00C72905" w:rsidP="00C72905">
      <w:pPr>
        <w:pStyle w:val="NoSpacing"/>
        <w:ind w:firstLine="720"/>
        <w:rPr>
          <w:rFonts w:ascii="Times New Roman" w:hAnsi="Times New Roman"/>
          <w:sz w:val="24"/>
          <w:szCs w:val="24"/>
        </w:rPr>
      </w:pPr>
      <w:r w:rsidRPr="00527850">
        <w:rPr>
          <w:rFonts w:ascii="Times New Roman" w:hAnsi="Times New Roman"/>
          <w:sz w:val="24"/>
          <w:szCs w:val="24"/>
        </w:rPr>
        <w:t>ordered the sentences to run consecutively, opening Mr. Shaw up to a potential forty</w:t>
      </w:r>
    </w:p>
    <w:p w14:paraId="19CC41AA" w14:textId="77777777" w:rsidR="00C72905" w:rsidRDefault="00C72905" w:rsidP="00C72905">
      <w:pPr>
        <w:pStyle w:val="NoSpacing"/>
        <w:ind w:left="720"/>
        <w:rPr>
          <w:rFonts w:ascii="Times New Roman" w:hAnsi="Times New Roman"/>
          <w:sz w:val="24"/>
          <w:szCs w:val="24"/>
        </w:rPr>
      </w:pPr>
      <w:r w:rsidRPr="00527850">
        <w:rPr>
          <w:rFonts w:ascii="Times New Roman" w:hAnsi="Times New Roman"/>
          <w:sz w:val="24"/>
          <w:szCs w:val="24"/>
        </w:rPr>
        <w:t>years in prison.</w:t>
      </w:r>
      <w:r>
        <w:rPr>
          <w:rFonts w:ascii="Times New Roman" w:hAnsi="Times New Roman"/>
          <w:sz w:val="24"/>
          <w:szCs w:val="24"/>
        </w:rPr>
        <w:t xml:space="preserve"> *** </w:t>
      </w:r>
      <w:r w:rsidRPr="006C19C6">
        <w:rPr>
          <w:rFonts w:ascii="Times New Roman" w:hAnsi="Times New Roman"/>
          <w:sz w:val="24"/>
          <w:szCs w:val="24"/>
        </w:rPr>
        <w:t>We agree the appeal is frivolous and</w:t>
      </w:r>
      <w:r>
        <w:rPr>
          <w:rFonts w:ascii="Times New Roman" w:hAnsi="Times New Roman"/>
          <w:sz w:val="24"/>
          <w:szCs w:val="24"/>
        </w:rPr>
        <w:t xml:space="preserve"> </w:t>
      </w:r>
      <w:r w:rsidRPr="006C19C6">
        <w:rPr>
          <w:rFonts w:ascii="Times New Roman" w:hAnsi="Times New Roman"/>
          <w:sz w:val="24"/>
          <w:szCs w:val="24"/>
        </w:rPr>
        <w:t>without merit, and we find nothing in the record that might arguably support the</w:t>
      </w:r>
      <w:r>
        <w:rPr>
          <w:rFonts w:ascii="Times New Roman" w:hAnsi="Times New Roman"/>
          <w:sz w:val="24"/>
          <w:szCs w:val="24"/>
        </w:rPr>
        <w:t xml:space="preserve"> </w:t>
      </w:r>
      <w:r w:rsidRPr="006C19C6">
        <w:rPr>
          <w:rFonts w:ascii="Times New Roman" w:hAnsi="Times New Roman"/>
          <w:sz w:val="24"/>
          <w:szCs w:val="24"/>
        </w:rPr>
        <w:t>appea</w:t>
      </w:r>
      <w:r>
        <w:rPr>
          <w:rFonts w:ascii="Times New Roman" w:hAnsi="Times New Roman"/>
          <w:sz w:val="24"/>
          <w:szCs w:val="24"/>
        </w:rPr>
        <w:t xml:space="preserve">l.” </w:t>
      </w:r>
      <w:hyperlink r:id="rId1940" w:history="1">
        <w:r w:rsidRPr="00216BB3">
          <w:rPr>
            <w:rStyle w:val="Hyperlink"/>
            <w:rFonts w:ascii="Times New Roman" w:hAnsi="Times New Roman"/>
            <w:sz w:val="24"/>
            <w:szCs w:val="24"/>
          </w:rPr>
          <w:t>https://cases.justia.com/texas/fifth-court-of-appeals/2024-05-22-01220-cr.pdf?ts=1708523726</w:t>
        </w:r>
      </w:hyperlink>
      <w:r>
        <w:rPr>
          <w:rFonts w:ascii="Times New Roman" w:hAnsi="Times New Roman"/>
          <w:sz w:val="24"/>
          <w:szCs w:val="24"/>
        </w:rPr>
        <w:t xml:space="preserve"> </w:t>
      </w:r>
    </w:p>
    <w:p w14:paraId="4BFFDE17" w14:textId="77777777" w:rsidR="00C72905" w:rsidRDefault="00C72905" w:rsidP="00C72905">
      <w:pPr>
        <w:jc w:val="center"/>
        <w:rPr>
          <w:rFonts w:cs="Calibri"/>
        </w:rPr>
      </w:pPr>
    </w:p>
    <w:p w14:paraId="345180C2" w14:textId="77777777" w:rsidR="00C72905" w:rsidRDefault="00C72905" w:rsidP="00C72905">
      <w:pPr>
        <w:pStyle w:val="NoSpacing"/>
        <w:rPr>
          <w:rFonts w:ascii="Times New Roman" w:hAnsi="Times New Roman"/>
          <w:b/>
          <w:bCs/>
          <w:sz w:val="24"/>
          <w:szCs w:val="24"/>
        </w:rPr>
      </w:pPr>
      <w:r w:rsidRPr="00A15543">
        <w:rPr>
          <w:rFonts w:ascii="Times New Roman" w:hAnsi="Times New Roman"/>
          <w:b/>
          <w:bCs/>
          <w:sz w:val="24"/>
          <w:szCs w:val="24"/>
        </w:rPr>
        <w:t>Legal Lesson Learned:</w:t>
      </w:r>
      <w:r>
        <w:rPr>
          <w:rFonts w:ascii="Times New Roman" w:hAnsi="Times New Roman"/>
          <w:b/>
          <w:bCs/>
          <w:sz w:val="24"/>
          <w:szCs w:val="24"/>
        </w:rPr>
        <w:t xml:space="preserve"> If you plead guilty to a lesser offense to avoid much longer prison sentence, with advice of legal counsel, then </w:t>
      </w:r>
      <w:proofErr w:type="gramStart"/>
      <w:r>
        <w:rPr>
          <w:rFonts w:ascii="Times New Roman" w:hAnsi="Times New Roman"/>
          <w:b/>
          <w:bCs/>
          <w:sz w:val="24"/>
          <w:szCs w:val="24"/>
        </w:rPr>
        <w:t>very</w:t>
      </w:r>
      <w:proofErr w:type="gramEnd"/>
      <w:r>
        <w:rPr>
          <w:rFonts w:ascii="Times New Roman" w:hAnsi="Times New Roman"/>
          <w:b/>
          <w:bCs/>
          <w:sz w:val="24"/>
          <w:szCs w:val="24"/>
        </w:rPr>
        <w:t xml:space="preserve"> difficult to appeal on basis of ineffective legal counsel. </w:t>
      </w:r>
    </w:p>
    <w:p w14:paraId="35C5711D" w14:textId="77777777" w:rsidR="00C72905" w:rsidRDefault="00C72905" w:rsidP="00C72905">
      <w:pPr>
        <w:pStyle w:val="NoSpacing"/>
        <w:rPr>
          <w:rFonts w:ascii="Times New Roman" w:hAnsi="Times New Roman"/>
          <w:b/>
          <w:bCs/>
          <w:sz w:val="24"/>
          <w:szCs w:val="24"/>
        </w:rPr>
      </w:pPr>
    </w:p>
    <w:p w14:paraId="729128D1" w14:textId="77777777" w:rsidR="00C72905" w:rsidRPr="00A15543" w:rsidRDefault="00C72905" w:rsidP="00C72905">
      <w:pPr>
        <w:pStyle w:val="NoSpacing"/>
        <w:rPr>
          <w:rFonts w:ascii="Times New Roman" w:hAnsi="Times New Roman"/>
          <w:b/>
          <w:bCs/>
          <w:sz w:val="24"/>
          <w:szCs w:val="24"/>
        </w:rPr>
      </w:pPr>
      <w:r>
        <w:rPr>
          <w:rFonts w:ascii="Times New Roman" w:hAnsi="Times New Roman"/>
          <w:b/>
          <w:bCs/>
          <w:sz w:val="24"/>
          <w:szCs w:val="24"/>
        </w:rPr>
        <w:tab/>
      </w:r>
      <w:r w:rsidRPr="00F3105C">
        <w:rPr>
          <w:rFonts w:ascii="Times New Roman" w:hAnsi="Times New Roman"/>
          <w:sz w:val="24"/>
          <w:szCs w:val="24"/>
        </w:rPr>
        <w:t>Note: See articles on this tragic event</w:t>
      </w:r>
      <w:r>
        <w:rPr>
          <w:rFonts w:ascii="Times New Roman" w:hAnsi="Times New Roman"/>
          <w:b/>
          <w:bCs/>
          <w:sz w:val="24"/>
          <w:szCs w:val="24"/>
        </w:rPr>
        <w:t xml:space="preserve">.  </w:t>
      </w:r>
    </w:p>
    <w:p w14:paraId="45D7DE79" w14:textId="77777777" w:rsidR="00C72905" w:rsidRPr="00F3105C" w:rsidRDefault="00C72905" w:rsidP="00C72905">
      <w:pPr>
        <w:pStyle w:val="NoSpacing"/>
        <w:ind w:left="720"/>
        <w:rPr>
          <w:rFonts w:ascii="Times New Roman" w:eastAsia="Times New Roman" w:hAnsi="Times New Roman"/>
          <w:sz w:val="24"/>
          <w:szCs w:val="24"/>
        </w:rPr>
      </w:pPr>
      <w:r>
        <w:rPr>
          <w:rFonts w:ascii="Times New Roman" w:eastAsia="Times New Roman" w:hAnsi="Times New Roman"/>
          <w:kern w:val="36"/>
          <w:sz w:val="24"/>
          <w:szCs w:val="24"/>
        </w:rPr>
        <w:t xml:space="preserve">Dec. 14, 2017: </w:t>
      </w:r>
      <w:r w:rsidRPr="00F3105C">
        <w:rPr>
          <w:rFonts w:ascii="Times New Roman" w:eastAsia="Times New Roman" w:hAnsi="Times New Roman"/>
          <w:kern w:val="36"/>
          <w:sz w:val="24"/>
          <w:szCs w:val="24"/>
        </w:rPr>
        <w:t>“Firefighter charged with killing pregnant teen in DUI crash</w:t>
      </w:r>
      <w:r>
        <w:rPr>
          <w:rFonts w:ascii="Times New Roman" w:eastAsia="Times New Roman" w:hAnsi="Times New Roman"/>
          <w:kern w:val="36"/>
          <w:sz w:val="24"/>
          <w:szCs w:val="24"/>
        </w:rPr>
        <w:t xml:space="preserve">.” </w:t>
      </w:r>
      <w:hyperlink r:id="rId1941" w:history="1">
        <w:r w:rsidRPr="00216BB3">
          <w:rPr>
            <w:rStyle w:val="Hyperlink"/>
            <w:rFonts w:ascii="Times New Roman" w:eastAsia="Times New Roman" w:hAnsi="Times New Roman"/>
            <w:sz w:val="24"/>
            <w:szCs w:val="24"/>
          </w:rPr>
          <w:t>https://www.10tv.com/article/news/nation-world/firefighter-charged-killing-pregnant-teen-dui-crash/530-c59458ea-0d76-4ce2-8b1e-022640f424f8</w:t>
        </w:r>
      </w:hyperlink>
      <w:r w:rsidRPr="00F3105C">
        <w:rPr>
          <w:rFonts w:ascii="Times New Roman" w:eastAsia="Times New Roman" w:hAnsi="Times New Roman"/>
          <w:sz w:val="24"/>
          <w:szCs w:val="24"/>
        </w:rPr>
        <w:t xml:space="preserve"> </w:t>
      </w:r>
    </w:p>
    <w:p w14:paraId="057EAE3D" w14:textId="77777777" w:rsidR="00C72905" w:rsidRDefault="00C72905" w:rsidP="00C72905">
      <w:pPr>
        <w:spacing w:after="0" w:line="240" w:lineRule="auto"/>
        <w:rPr>
          <w:rFonts w:ascii="Times New Roman" w:eastAsia="Times New Roman" w:hAnsi="Times New Roman"/>
          <w:sz w:val="24"/>
          <w:szCs w:val="24"/>
        </w:rPr>
      </w:pPr>
    </w:p>
    <w:p w14:paraId="67EF0B50" w14:textId="77777777" w:rsidR="00C72905" w:rsidRPr="00A870A8" w:rsidRDefault="00C72905" w:rsidP="00C72905">
      <w:pPr>
        <w:pStyle w:val="Heading1"/>
        <w:ind w:left="720"/>
        <w:rPr>
          <w:b w:val="0"/>
          <w:bCs w:val="0"/>
          <w:kern w:val="0"/>
          <w:sz w:val="24"/>
          <w:szCs w:val="24"/>
        </w:rPr>
      </w:pPr>
      <w:r>
        <w:rPr>
          <w:b w:val="0"/>
          <w:bCs w:val="0"/>
          <w:sz w:val="24"/>
          <w:szCs w:val="24"/>
        </w:rPr>
        <w:t xml:space="preserve">Nov. 7, 2022: </w:t>
      </w:r>
      <w:r w:rsidRPr="00A870A8">
        <w:rPr>
          <w:b w:val="0"/>
          <w:bCs w:val="0"/>
          <w:sz w:val="24"/>
          <w:szCs w:val="24"/>
        </w:rPr>
        <w:t>“Former DFR firefighter sent to prison for DWI accident</w:t>
      </w:r>
      <w:r>
        <w:rPr>
          <w:b w:val="0"/>
          <w:bCs w:val="0"/>
          <w:sz w:val="24"/>
          <w:szCs w:val="24"/>
        </w:rPr>
        <w:t xml:space="preserve">. </w:t>
      </w:r>
      <w:r w:rsidRPr="00A870A8">
        <w:rPr>
          <w:b w:val="0"/>
          <w:bCs w:val="0"/>
          <w:sz w:val="24"/>
          <w:szCs w:val="24"/>
        </w:rPr>
        <w:t xml:space="preserve"> </w:t>
      </w:r>
      <w:hyperlink r:id="rId1942" w:history="1">
        <w:r w:rsidRPr="00216BB3">
          <w:rPr>
            <w:rStyle w:val="Hyperlink"/>
            <w:b w:val="0"/>
            <w:bCs w:val="0"/>
            <w:kern w:val="0"/>
            <w:sz w:val="24"/>
            <w:szCs w:val="24"/>
          </w:rPr>
          <w:t>https://www.audacy.com/krld/news/local/former-dfr-firefighter-sent-to-prison-for-dwi-accident</w:t>
        </w:r>
      </w:hyperlink>
      <w:r w:rsidRPr="00A870A8">
        <w:rPr>
          <w:b w:val="0"/>
          <w:bCs w:val="0"/>
          <w:kern w:val="0"/>
          <w:sz w:val="24"/>
          <w:szCs w:val="24"/>
        </w:rPr>
        <w:t xml:space="preserve"> </w:t>
      </w:r>
    </w:p>
    <w:p w14:paraId="44678573" w14:textId="77777777" w:rsidR="009C19A1" w:rsidRDefault="009C19A1" w:rsidP="00F326E5">
      <w:pPr>
        <w:rPr>
          <w:rFonts w:ascii="Arial Black" w:hAnsi="Arial Black"/>
          <w:b/>
          <w:sz w:val="24"/>
          <w:szCs w:val="24"/>
        </w:rPr>
      </w:pPr>
    </w:p>
    <w:p w14:paraId="2ED008FC" w14:textId="77777777" w:rsidR="009C19A1" w:rsidRDefault="009C19A1" w:rsidP="00F326E5">
      <w:pPr>
        <w:rPr>
          <w:rFonts w:ascii="Arial Black" w:hAnsi="Arial Black"/>
          <w:b/>
          <w:sz w:val="24"/>
          <w:szCs w:val="24"/>
        </w:rPr>
      </w:pPr>
    </w:p>
    <w:p w14:paraId="70FD9879" w14:textId="58040F69" w:rsidR="000644B6" w:rsidRDefault="000644B6" w:rsidP="00F326E5">
      <w:pPr>
        <w:rPr>
          <w:rFonts w:ascii="Arial Black" w:hAnsi="Arial Black"/>
          <w:b/>
          <w:sz w:val="24"/>
          <w:szCs w:val="24"/>
        </w:rPr>
      </w:pPr>
      <w:r>
        <w:rPr>
          <w:rFonts w:ascii="Arial Black" w:hAnsi="Arial Black"/>
          <w:b/>
          <w:sz w:val="24"/>
          <w:szCs w:val="24"/>
        </w:rPr>
        <w:t>12-23</w:t>
      </w:r>
    </w:p>
    <w:p w14:paraId="3B39510E" w14:textId="77777777" w:rsidR="000644B6" w:rsidRDefault="000644B6" w:rsidP="000644B6">
      <w:pPr>
        <w:pStyle w:val="NormalWeb"/>
        <w:rPr>
          <w:rFonts w:ascii="Arial Black" w:hAnsi="Arial Black"/>
          <w:b/>
          <w:bCs/>
          <w:sz w:val="28"/>
          <w:szCs w:val="28"/>
        </w:rPr>
      </w:pPr>
      <w:r>
        <w:rPr>
          <w:rFonts w:ascii="Arial Black" w:hAnsi="Arial Black"/>
          <w:b/>
          <w:bCs/>
          <w:sz w:val="28"/>
          <w:szCs w:val="28"/>
        </w:rPr>
        <w:t>TX: OFF DUTY FF AT CITY HALL TO COPY EEOC DOCUMENT – APPEARED INTOXICATED – REFUSED BE TESTED – FIRED</w:t>
      </w:r>
    </w:p>
    <w:p w14:paraId="20E748A0" w14:textId="77777777" w:rsidR="000644B6" w:rsidRDefault="000644B6" w:rsidP="000644B6">
      <w:pPr>
        <w:pStyle w:val="NormalWeb"/>
      </w:pPr>
      <w:r w:rsidRPr="00A65A26">
        <w:t xml:space="preserve">On </w:t>
      </w:r>
      <w:r>
        <w:t xml:space="preserve">July 24, 2023, in </w:t>
      </w:r>
      <w:r w:rsidRPr="00A65A26">
        <w:rPr>
          <w:u w:val="single"/>
        </w:rPr>
        <w:t>Jason January v. City of Huntsville</w:t>
      </w:r>
      <w:r>
        <w:t>, the U.S. Court of Appeals for 5</w:t>
      </w:r>
      <w:r w:rsidRPr="00A65A26">
        <w:rPr>
          <w:vertAlign w:val="superscript"/>
        </w:rPr>
        <w:t>th</w:t>
      </w:r>
      <w:r>
        <w:t xml:space="preserve"> Circuit (New Orleans), held (2 to 1) that the City was properly granted summary judgment since the FF could not prove </w:t>
      </w:r>
      <w:r>
        <w:lastRenderedPageBreak/>
        <w:t xml:space="preserve">City’s explication for firing him was a pretext.  According to secretary in City Hall, the FF boxed her in and blocked the copy room </w:t>
      </w:r>
      <w:proofErr w:type="gramStart"/>
      <w:r>
        <w:t>exit, and</w:t>
      </w:r>
      <w:proofErr w:type="gramEnd"/>
      <w:r>
        <w:t xml:space="preserve"> told her that “when all of this comes out, they're going to be sorry that they messed with me." Ms. Poe, feeling threatened, escaped past him when she could and ran to hide in the women's bathroom nearby.  A video camera in the City Manager’s office showed the City Manager, with several other officials, ordering him to stay until his wife could drive him home.  He repeatedly refused to take a drug test (took test the following day). </w:t>
      </w:r>
    </w:p>
    <w:p w14:paraId="63D9E0FD" w14:textId="77777777" w:rsidR="000644B6" w:rsidRDefault="000644B6" w:rsidP="000644B6">
      <w:pPr>
        <w:pStyle w:val="NormalWeb"/>
      </w:pPr>
      <w:r>
        <w:t xml:space="preserve">The Court noted: “All told then, beyond temporal proximity, January produces no evidence that Lunsford's reasoning concerning his intoxication was false (such that he was not actually intoxicated at the time) or pretextual (such that January's protected activities were the real reason for his firing).  *** [The City’s explanation was as follows.] The </w:t>
      </w:r>
      <w:proofErr w:type="gramStart"/>
      <w:r>
        <w:t>City</w:t>
      </w:r>
      <w:proofErr w:type="gramEnd"/>
      <w:r>
        <w:t xml:space="preserve"> placed January on administrative leave and investigated. Two weeks later, it fired him. Director of Public Safety Kevin Lunsford, the decisionmaker, explained that January was fired because: 1) despite a drug test taken the next day showing no intoxication, there remained a ‘high probability’ that January was impaired at City Hall; 2) January was insubordinate because he refused to leave City Hall when told to do so; 3) January's lack of cooperation and intoxication harmed the City's reputation; and 4) January was disrespectful in intimidating and scaring Poe. Given January's past warning that any further violation could end his employment, the </w:t>
      </w:r>
      <w:proofErr w:type="gramStart"/>
      <w:r>
        <w:t>City</w:t>
      </w:r>
      <w:proofErr w:type="gramEnd"/>
      <w:r>
        <w:t xml:space="preserve"> terminated him. </w:t>
      </w:r>
      <w:hyperlink r:id="rId1943" w:history="1">
        <w:r w:rsidRPr="00B46EE7">
          <w:rPr>
            <w:rStyle w:val="Hyperlink"/>
            <w:rFonts w:eastAsiaTheme="majorEastAsia"/>
          </w:rPr>
          <w:t>https://cases.justia.com/federal/appellate-courts/ca5/22-20380/22-20380-2023-07-24.pdf?ts=1690219861</w:t>
        </w:r>
      </w:hyperlink>
      <w:r>
        <w:t xml:space="preserve"> </w:t>
      </w:r>
    </w:p>
    <w:p w14:paraId="18BF19E3" w14:textId="77777777" w:rsidR="000644B6" w:rsidRDefault="000644B6" w:rsidP="000644B6">
      <w:pPr>
        <w:pStyle w:val="NormalWeb"/>
      </w:pPr>
      <w:r>
        <w:t xml:space="preserve">Dissent:  </w:t>
      </w:r>
    </w:p>
    <w:p w14:paraId="7650D2A2" w14:textId="77777777" w:rsidR="000644B6" w:rsidRDefault="000644B6" w:rsidP="000644B6">
      <w:pPr>
        <w:pStyle w:val="NormalWeb"/>
        <w:ind w:left="720"/>
      </w:pPr>
      <w:r>
        <w:t>“As [</w:t>
      </w:r>
      <w:proofErr w:type="gramStart"/>
      <w:r>
        <w:t>secretary</w:t>
      </w:r>
      <w:proofErr w:type="gramEnd"/>
      <w:r>
        <w:t xml:space="preserve"> Ms.] Poe acknowledged, it was entirely normal for January to wait in the copy machine room with her while she was making copies. That is what most people do, so there is nothing to support the notion that he was threatening her by doing so. At some point January made his allegedly threatening statement, but, as Poe also admitted, she understood this statement to be directed </w:t>
      </w:r>
      <w:r>
        <w:rPr>
          <w:rStyle w:val="Emphasis"/>
        </w:rPr>
        <w:t>at Huntsville</w:t>
      </w:r>
      <w:r>
        <w:t xml:space="preserve">, rather than </w:t>
      </w:r>
      <w:r>
        <w:rPr>
          <w:rStyle w:val="Emphasis"/>
        </w:rPr>
        <w:t>herself</w:t>
      </w:r>
      <w:r>
        <w:t xml:space="preserve">. Put another way, he was threatening to sue the </w:t>
      </w:r>
      <w:proofErr w:type="gramStart"/>
      <w:r>
        <w:t>City</w:t>
      </w:r>
      <w:proofErr w:type="gramEnd"/>
      <w:r>
        <w:t>, not to hurt her physically (or otherwise). If telling one of the employees of a company or city that you are going to sue their employer is a threat that allows firing, that would be the opposite of the exact point of the retaliation clause: to preserve the protected activities of employees to file EEOC claims.”</w:t>
      </w:r>
    </w:p>
    <w:p w14:paraId="15AD8166" w14:textId="77777777" w:rsidR="000644B6" w:rsidRPr="006B356E" w:rsidRDefault="000644B6" w:rsidP="000644B6">
      <w:pPr>
        <w:pStyle w:val="NormalWeb"/>
        <w:rPr>
          <w:b/>
          <w:bCs/>
        </w:rPr>
      </w:pPr>
      <w:r w:rsidRPr="006B356E">
        <w:rPr>
          <w:b/>
          <w:bCs/>
        </w:rPr>
        <w:t xml:space="preserve">Legal Lesson Learned: </w:t>
      </w:r>
      <w:r>
        <w:rPr>
          <w:b/>
          <w:bCs/>
        </w:rPr>
        <w:t xml:space="preserve">The City officials had a reasonable basis to order a drug test; no retaliation for filing EEOC complaint was proven.  </w:t>
      </w:r>
    </w:p>
    <w:p w14:paraId="7D319C06" w14:textId="77777777" w:rsidR="000644B6" w:rsidRDefault="000644B6" w:rsidP="00F326E5">
      <w:pPr>
        <w:rPr>
          <w:rFonts w:ascii="Arial Black" w:hAnsi="Arial Black"/>
          <w:b/>
          <w:sz w:val="24"/>
          <w:szCs w:val="24"/>
        </w:rPr>
      </w:pPr>
    </w:p>
    <w:p w14:paraId="687B79FD" w14:textId="77777777" w:rsidR="000644B6" w:rsidRDefault="000644B6" w:rsidP="00F326E5">
      <w:pPr>
        <w:rPr>
          <w:rFonts w:ascii="Arial Black" w:hAnsi="Arial Black"/>
          <w:b/>
          <w:sz w:val="24"/>
          <w:szCs w:val="24"/>
        </w:rPr>
      </w:pPr>
    </w:p>
    <w:p w14:paraId="7F6E7CED" w14:textId="77777777" w:rsidR="000644B6" w:rsidRDefault="000644B6" w:rsidP="00F326E5">
      <w:pPr>
        <w:rPr>
          <w:rFonts w:ascii="Arial Black" w:hAnsi="Arial Black"/>
          <w:b/>
          <w:sz w:val="24"/>
          <w:szCs w:val="24"/>
        </w:rPr>
      </w:pPr>
    </w:p>
    <w:p w14:paraId="5C9B86D8" w14:textId="6403C376" w:rsidR="00237599" w:rsidRDefault="00237599" w:rsidP="00F326E5">
      <w:pPr>
        <w:rPr>
          <w:rFonts w:ascii="Arial Black" w:hAnsi="Arial Black"/>
          <w:b/>
          <w:sz w:val="24"/>
          <w:szCs w:val="24"/>
        </w:rPr>
      </w:pPr>
      <w:r>
        <w:rPr>
          <w:rFonts w:ascii="Arial Black" w:hAnsi="Arial Black"/>
          <w:b/>
          <w:sz w:val="24"/>
          <w:szCs w:val="24"/>
        </w:rPr>
        <w:t>12-22</w:t>
      </w:r>
    </w:p>
    <w:p w14:paraId="5CCE0507" w14:textId="77777777" w:rsidR="00237599" w:rsidRDefault="00237599" w:rsidP="00237599">
      <w:pPr>
        <w:pStyle w:val="NormalWeb"/>
        <w:rPr>
          <w:rFonts w:ascii="Arial Black" w:hAnsi="Arial Black"/>
          <w:sz w:val="28"/>
          <w:szCs w:val="28"/>
        </w:rPr>
      </w:pPr>
      <w:bookmarkStart w:id="414" w:name="_Hlk136860476"/>
      <w:r>
        <w:rPr>
          <w:rFonts w:ascii="Arial Black" w:hAnsi="Arial Black"/>
          <w:sz w:val="28"/>
          <w:szCs w:val="28"/>
        </w:rPr>
        <w:t>NY: OXYCONTIN – CO. BANKRUPTCY APPROVED, ALONG WITH SACKLER FAMILY RELEASE - $5 - $6B TO STATES</w:t>
      </w:r>
    </w:p>
    <w:bookmarkEnd w:id="414"/>
    <w:p w14:paraId="66A3C9AA" w14:textId="77777777" w:rsidR="00237599" w:rsidRPr="005B0088" w:rsidRDefault="00237599" w:rsidP="00237599">
      <w:pPr>
        <w:pStyle w:val="NormalWeb"/>
        <w:rPr>
          <w:rFonts w:ascii="Arial Black" w:hAnsi="Arial Black"/>
          <w:sz w:val="28"/>
          <w:szCs w:val="28"/>
        </w:rPr>
      </w:pPr>
      <w:r>
        <w:t xml:space="preserve">On May 30, 2023, in bankruptcy case </w:t>
      </w:r>
      <w:r w:rsidRPr="002F4F98">
        <w:rPr>
          <w:rStyle w:val="markedcontent"/>
          <w:u w:val="single"/>
        </w:rPr>
        <w:t>In Re: Purdue Pharma L.P., et a</w:t>
      </w:r>
      <w:r>
        <w:rPr>
          <w:rStyle w:val="markedcontent"/>
        </w:rPr>
        <w:t xml:space="preserve">l., </w:t>
      </w:r>
      <w:r>
        <w:t xml:space="preserve">the U.S. Court of Appeals for Second Circuit (in New York City), approved (3 to 0) settlement of mass tort litigation from overdose deaths from OxyContin, and the Sackler family owners will pay about $5 to $6 billion to state and local governments and others and give up control of Purdue Pharma (based in Stamford, CT) , and about $750 million will go to individuals (ranging from $3,500 to $48,000). Several states had opposed the plan, but with revisions all agreed to the plan. In 2021, U.S. District Judge Colleen McMahon in New York found that federal bankruptcy law </w:t>
      </w:r>
      <w:r>
        <w:lastRenderedPageBreak/>
        <w:t>does not give the bankruptcy judge who had accepted the plan the authority to grant that kind of release to Sackler family; the 2</w:t>
      </w:r>
      <w:r w:rsidRPr="007A5B02">
        <w:rPr>
          <w:vertAlign w:val="superscript"/>
        </w:rPr>
        <w:t>nd</w:t>
      </w:r>
      <w:r>
        <w:t xml:space="preserve"> Circuit reversed that ruling.  </w:t>
      </w:r>
      <w:hyperlink r:id="rId1944" w:anchor="xml=https://www.ca2.uscourts.gov/decisions/isysquery/8c1d712c-7872-4b25-a064-fe1fbb801f2a/1/hilite/" w:history="1">
        <w:r w:rsidRPr="00BA70FB">
          <w:rPr>
            <w:rStyle w:val="Hyperlink"/>
            <w:rFonts w:eastAsiaTheme="majorEastAsia"/>
          </w:rPr>
          <w:t>https://www.ca2.uscourts.gov/decisions/isysquery/8c1d712c-7872-4b25-a064-fe1fbb801f2a/1/doc/22-110_complete_opn.pdf#xml=https://www.ca2.uscourts.gov/decisions/isysquery/8c1d712c-7872-4b25-a064-fe1fbb801f2a/1/hilite/</w:t>
        </w:r>
      </w:hyperlink>
      <w:r>
        <w:t xml:space="preserve">  </w:t>
      </w:r>
    </w:p>
    <w:p w14:paraId="347C5CB8" w14:textId="77777777" w:rsidR="00237599" w:rsidRPr="005B0088" w:rsidRDefault="00237599" w:rsidP="00237599">
      <w:pPr>
        <w:pStyle w:val="NormalWeb"/>
        <w:ind w:left="720"/>
        <w:jc w:val="both"/>
        <w:rPr>
          <w:rFonts w:ascii="Arial Black" w:hAnsi="Arial Black"/>
          <w:sz w:val="28"/>
          <w:szCs w:val="28"/>
        </w:rPr>
      </w:pPr>
      <w:r>
        <w:t>“</w:t>
      </w:r>
      <w:r>
        <w:rPr>
          <w:rStyle w:val="markedcontent"/>
        </w:rPr>
        <w:t xml:space="preserve">In sum, we reverse the district court’s holding that the bankruptcy court lacked the authority to approve the Plan that included the nonconsensual third-party releases. We instead hold that the bankruptcy court properly approved the Plan and made the requisite detailed factual findings to approve of the Shareholder Releases.” </w:t>
      </w:r>
    </w:p>
    <w:p w14:paraId="2863C9AB" w14:textId="77777777" w:rsidR="00237599" w:rsidRPr="001F18CE" w:rsidRDefault="00237599" w:rsidP="00237599">
      <w:pPr>
        <w:pStyle w:val="NormalWeb"/>
        <w:rPr>
          <w:rStyle w:val="markedcontent"/>
          <w:b/>
          <w:bCs/>
        </w:rPr>
      </w:pPr>
      <w:r w:rsidRPr="001F18CE">
        <w:rPr>
          <w:rStyle w:val="markedcontent"/>
          <w:b/>
          <w:bCs/>
        </w:rPr>
        <w:t xml:space="preserve">Legal Lesson Learned: </w:t>
      </w:r>
      <w:r>
        <w:rPr>
          <w:rStyle w:val="markedcontent"/>
          <w:b/>
          <w:bCs/>
        </w:rPr>
        <w:t xml:space="preserve">OxyContin has led to death of many; this bankruptcy ends numerous mass tort cases.  </w:t>
      </w:r>
    </w:p>
    <w:p w14:paraId="173C6EB4" w14:textId="77777777" w:rsidR="00237599" w:rsidRDefault="00237599" w:rsidP="00237599">
      <w:pPr>
        <w:pStyle w:val="NormalWeb"/>
        <w:ind w:left="720"/>
        <w:rPr>
          <w:b/>
          <w:bCs/>
        </w:rPr>
      </w:pPr>
      <w:r>
        <w:rPr>
          <w:rStyle w:val="markedcontent"/>
        </w:rPr>
        <w:t xml:space="preserve">Note: </w:t>
      </w:r>
      <w:r w:rsidRPr="005B0088">
        <w:t xml:space="preserve">See May 30, </w:t>
      </w:r>
      <w:proofErr w:type="gramStart"/>
      <w:r w:rsidRPr="005B0088">
        <w:t>2023</w:t>
      </w:r>
      <w:proofErr w:type="gramEnd"/>
      <w:r w:rsidRPr="005B0088">
        <w:t xml:space="preserve"> article, “A landmark appeals court ruling clears way for Purdue Pharma-Sackler bankruptcy deal.”</w:t>
      </w:r>
      <w:r>
        <w:rPr>
          <w:b/>
          <w:bCs/>
        </w:rPr>
        <w:t xml:space="preserve"> </w:t>
      </w:r>
      <w:hyperlink r:id="rId1945" w:history="1">
        <w:r w:rsidRPr="00BA70FB">
          <w:rPr>
            <w:rStyle w:val="Hyperlink"/>
            <w:rFonts w:eastAsiaTheme="majorEastAsia"/>
          </w:rPr>
          <w:t>https://www.npr.org/2023/05/30/1178850879/sackler-family-purdue-pharma-immunity-lawsuits-oxycontin-opioid</w:t>
        </w:r>
      </w:hyperlink>
      <w:r>
        <w:rPr>
          <w:b/>
          <w:bCs/>
        </w:rPr>
        <w:t xml:space="preserve"> </w:t>
      </w:r>
    </w:p>
    <w:p w14:paraId="046FBC9C" w14:textId="77777777" w:rsidR="00237599" w:rsidRPr="005B0088" w:rsidRDefault="00237599" w:rsidP="00237599">
      <w:pPr>
        <w:pStyle w:val="NormalWeb"/>
        <w:ind w:left="1440"/>
        <w:rPr>
          <w:color w:val="000000" w:themeColor="text1"/>
        </w:rPr>
      </w:pPr>
      <w:r w:rsidRPr="005B0088">
        <w:rPr>
          <w:color w:val="000000" w:themeColor="text1"/>
        </w:rPr>
        <w:t xml:space="preserve">“As part of the bankruptcy settlement, the </w:t>
      </w:r>
      <w:proofErr w:type="spellStart"/>
      <w:r w:rsidRPr="005B0088">
        <w:rPr>
          <w:color w:val="000000" w:themeColor="text1"/>
        </w:rPr>
        <w:t>Sacklers</w:t>
      </w:r>
      <w:proofErr w:type="spellEnd"/>
      <w:r w:rsidRPr="005B0088">
        <w:rPr>
          <w:color w:val="000000" w:themeColor="text1"/>
        </w:rPr>
        <w:t xml:space="preserve"> are </w:t>
      </w:r>
      <w:hyperlink r:id="rId1946" w:anchor=":~:text=The%20Sackler%20families%20must%20pay,to%20the%20previous%20bankruptcy%20plan." w:history="1">
        <w:r w:rsidRPr="005B0088">
          <w:rPr>
            <w:rStyle w:val="Hyperlink"/>
            <w:rFonts w:eastAsiaTheme="majorEastAsia"/>
            <w:color w:val="000000" w:themeColor="text1"/>
          </w:rPr>
          <w:t>expected to pay roughly $5 to $6 billion and give up control of Purdue Pharma</w:t>
        </w:r>
      </w:hyperlink>
      <w:r w:rsidRPr="005B0088">
        <w:rPr>
          <w:color w:val="000000" w:themeColor="text1"/>
        </w:rPr>
        <w:t>. Roughly $750 million from that payout will go to individuals across the U.S. who became addicted to OxyContin and to the families of those who died from overdoses.”</w:t>
      </w:r>
    </w:p>
    <w:p w14:paraId="4DA353E5" w14:textId="77777777" w:rsidR="00237599" w:rsidRPr="00BD34DC" w:rsidRDefault="00237599" w:rsidP="00237599">
      <w:pPr>
        <w:pStyle w:val="Heading1"/>
        <w:ind w:left="720"/>
        <w:rPr>
          <w:b w:val="0"/>
          <w:bCs w:val="0"/>
          <w:sz w:val="24"/>
          <w:szCs w:val="24"/>
        </w:rPr>
      </w:pPr>
      <w:r w:rsidRPr="00BD34DC">
        <w:rPr>
          <w:b w:val="0"/>
          <w:bCs w:val="0"/>
          <w:sz w:val="24"/>
          <w:szCs w:val="24"/>
        </w:rPr>
        <w:t xml:space="preserve">See March 3, </w:t>
      </w:r>
      <w:proofErr w:type="gramStart"/>
      <w:r w:rsidRPr="00BD34DC">
        <w:rPr>
          <w:b w:val="0"/>
          <w:bCs w:val="0"/>
          <w:sz w:val="24"/>
          <w:szCs w:val="24"/>
        </w:rPr>
        <w:t>2022</w:t>
      </w:r>
      <w:proofErr w:type="gramEnd"/>
      <w:r w:rsidRPr="00BD34DC">
        <w:rPr>
          <w:b w:val="0"/>
          <w:bCs w:val="0"/>
          <w:sz w:val="24"/>
          <w:szCs w:val="24"/>
        </w:rPr>
        <w:t xml:space="preserve"> New York Times article, </w:t>
      </w:r>
      <w:r>
        <w:rPr>
          <w:b w:val="0"/>
          <w:bCs w:val="0"/>
          <w:sz w:val="24"/>
          <w:szCs w:val="24"/>
        </w:rPr>
        <w:t>“</w:t>
      </w:r>
      <w:proofErr w:type="spellStart"/>
      <w:r w:rsidRPr="00BD34DC">
        <w:rPr>
          <w:b w:val="0"/>
          <w:bCs w:val="0"/>
          <w:sz w:val="24"/>
          <w:szCs w:val="24"/>
        </w:rPr>
        <w:t>Sacklers</w:t>
      </w:r>
      <w:proofErr w:type="spellEnd"/>
      <w:r w:rsidRPr="00BD34DC">
        <w:rPr>
          <w:b w:val="0"/>
          <w:bCs w:val="0"/>
          <w:sz w:val="24"/>
          <w:szCs w:val="24"/>
        </w:rPr>
        <w:t xml:space="preserve"> and Purdue Pharma Reach New Deal </w:t>
      </w:r>
      <w:proofErr w:type="gramStart"/>
      <w:r w:rsidRPr="00BD34DC">
        <w:rPr>
          <w:b w:val="0"/>
          <w:bCs w:val="0"/>
          <w:sz w:val="24"/>
          <w:szCs w:val="24"/>
        </w:rPr>
        <w:t>With</w:t>
      </w:r>
      <w:proofErr w:type="gramEnd"/>
      <w:r w:rsidRPr="00BD34DC">
        <w:rPr>
          <w:b w:val="0"/>
          <w:bCs w:val="0"/>
          <w:sz w:val="24"/>
          <w:szCs w:val="24"/>
        </w:rPr>
        <w:t xml:space="preserve"> States Over Opioids</w:t>
      </w:r>
      <w:r>
        <w:rPr>
          <w:b w:val="0"/>
          <w:bCs w:val="0"/>
          <w:sz w:val="24"/>
          <w:szCs w:val="24"/>
        </w:rPr>
        <w:t xml:space="preserve">.” </w:t>
      </w:r>
      <w:hyperlink r:id="rId1947" w:history="1">
        <w:r w:rsidRPr="006E17D1">
          <w:rPr>
            <w:rStyle w:val="Hyperlink"/>
            <w:rFonts w:eastAsiaTheme="majorEastAsia"/>
            <w:b w:val="0"/>
            <w:bCs w:val="0"/>
            <w:sz w:val="24"/>
            <w:szCs w:val="24"/>
          </w:rPr>
          <w:t>https://www.nytimes.com/2022/03/03/health/sacklers-purdue-oxycontin-settlement.html</w:t>
        </w:r>
      </w:hyperlink>
      <w:r>
        <w:rPr>
          <w:b w:val="0"/>
          <w:bCs w:val="0"/>
          <w:sz w:val="24"/>
          <w:szCs w:val="24"/>
        </w:rPr>
        <w:t xml:space="preserve"> </w:t>
      </w:r>
    </w:p>
    <w:p w14:paraId="0DD668A0" w14:textId="77777777" w:rsidR="00237599" w:rsidRDefault="00237599" w:rsidP="00237599">
      <w:pPr>
        <w:pStyle w:val="css-1n0orw4"/>
        <w:ind w:left="1440"/>
      </w:pPr>
      <w:r>
        <w:t xml:space="preserve">“The agreement brought holdout states on </w:t>
      </w:r>
      <w:proofErr w:type="gramStart"/>
      <w:r>
        <w:t>board, and</w:t>
      </w:r>
      <w:proofErr w:type="gramEnd"/>
      <w:r>
        <w:t xml:space="preserve"> would settle thousands of lawsuits over the company’s and family’s roles in the opioid epidemic. The </w:t>
      </w:r>
      <w:proofErr w:type="spellStart"/>
      <w:r>
        <w:t>Sacklers</w:t>
      </w:r>
      <w:proofErr w:type="spellEnd"/>
      <w:r>
        <w:t xml:space="preserve"> agreed to pay an extra $1 billion. Members of the billionaire Sackler family and their company, Purdue Pharma, have reached a deal with a group of states that had long resisted the company’s bankruptcy plan — a crucial step toward funneling billions of dollars from the family’s fortune to addiction treatment programs nationwide, according to a </w:t>
      </w:r>
      <w:hyperlink r:id="rId1948" w:tgtFrame="_blank" w:history="1">
        <w:r>
          <w:rPr>
            <w:rStyle w:val="Hyperlink"/>
            <w:rFonts w:eastAsiaTheme="majorEastAsia"/>
          </w:rPr>
          <w:t>court filing</w:t>
        </w:r>
      </w:hyperlink>
      <w:r>
        <w:t xml:space="preserve"> on Thursday. If Judge Robert Drain, who has presided over Purdue’s bankruptcy proceedings in White Plains, N.Y., approves the agreement, the </w:t>
      </w:r>
      <w:proofErr w:type="spellStart"/>
      <w:r>
        <w:t>Sacklers</w:t>
      </w:r>
      <w:proofErr w:type="spellEnd"/>
      <w:r>
        <w:t xml:space="preserve"> would pay as much as $6 billion to help communities address the damage from the opioid crisis. In return, Sackler family members would get the</w:t>
      </w:r>
      <w:hyperlink r:id="rId1949" w:history="1">
        <w:r>
          <w:rPr>
            <w:rStyle w:val="Hyperlink"/>
            <w:rFonts w:eastAsiaTheme="majorEastAsia"/>
          </w:rPr>
          <w:t xml:space="preserve"> prize they insisted upon for nearly three years</w:t>
        </w:r>
      </w:hyperlink>
      <w:r>
        <w:t xml:space="preserve">: an end to all current and future civil claims against them over the company’s prescription opioid </w:t>
      </w:r>
      <w:proofErr w:type="gramStart"/>
      <w:r>
        <w:t>business.”</w:t>
      </w:r>
      <w:proofErr w:type="gramEnd"/>
    </w:p>
    <w:p w14:paraId="7578779F" w14:textId="77777777" w:rsidR="00237599" w:rsidRDefault="00237599" w:rsidP="00237599">
      <w:pPr>
        <w:pStyle w:val="Heading1"/>
        <w:ind w:left="720"/>
        <w:rPr>
          <w:b w:val="0"/>
          <w:bCs w:val="0"/>
          <w:sz w:val="24"/>
          <w:szCs w:val="24"/>
        </w:rPr>
      </w:pPr>
      <w:r>
        <w:rPr>
          <w:b w:val="0"/>
          <w:bCs w:val="0"/>
          <w:sz w:val="24"/>
          <w:szCs w:val="24"/>
        </w:rPr>
        <w:t xml:space="preserve">See </w:t>
      </w:r>
      <w:r w:rsidRPr="00022A47">
        <w:rPr>
          <w:b w:val="0"/>
          <w:bCs w:val="0"/>
          <w:sz w:val="24"/>
          <w:szCs w:val="24"/>
        </w:rPr>
        <w:t xml:space="preserve">Oct. 21, </w:t>
      </w:r>
      <w:proofErr w:type="gramStart"/>
      <w:r w:rsidRPr="00022A47">
        <w:rPr>
          <w:b w:val="0"/>
          <w:bCs w:val="0"/>
          <w:sz w:val="24"/>
          <w:szCs w:val="24"/>
        </w:rPr>
        <w:t>20</w:t>
      </w:r>
      <w:r>
        <w:rPr>
          <w:b w:val="0"/>
          <w:bCs w:val="0"/>
          <w:sz w:val="24"/>
          <w:szCs w:val="24"/>
        </w:rPr>
        <w:t>20</w:t>
      </w:r>
      <w:proofErr w:type="gramEnd"/>
      <w:r>
        <w:rPr>
          <w:b w:val="0"/>
          <w:bCs w:val="0"/>
          <w:sz w:val="24"/>
          <w:szCs w:val="24"/>
        </w:rPr>
        <w:t xml:space="preserve"> Press Release, “</w:t>
      </w:r>
      <w:r w:rsidRPr="00022A47">
        <w:rPr>
          <w:b w:val="0"/>
          <w:bCs w:val="0"/>
          <w:sz w:val="24"/>
          <w:szCs w:val="24"/>
        </w:rPr>
        <w:t>Justice Department Announces Global Resolution of Criminal and Civil Investigations with Opioid Manufacturer Purdue Pharma and Civil Settlement with Members of the Sackler Family</w:t>
      </w:r>
      <w:r>
        <w:rPr>
          <w:b w:val="0"/>
          <w:bCs w:val="0"/>
          <w:sz w:val="24"/>
          <w:szCs w:val="24"/>
        </w:rPr>
        <w:t>.”</w:t>
      </w:r>
      <w:r w:rsidRPr="00022A47">
        <w:t xml:space="preserve"> </w:t>
      </w:r>
      <w:hyperlink r:id="rId1950" w:history="1">
        <w:r w:rsidRPr="005639A2">
          <w:rPr>
            <w:rStyle w:val="Hyperlink"/>
            <w:rFonts w:eastAsiaTheme="majorEastAsia"/>
            <w:b w:val="0"/>
            <w:bCs w:val="0"/>
            <w:sz w:val="24"/>
            <w:szCs w:val="24"/>
          </w:rPr>
          <w:t>https://www.justice.gov/opa/pr/justice-department-announces-global-resolution-criminal-and-civil-investigations-opioid</w:t>
        </w:r>
      </w:hyperlink>
      <w:r>
        <w:rPr>
          <w:b w:val="0"/>
          <w:bCs w:val="0"/>
          <w:sz w:val="24"/>
          <w:szCs w:val="24"/>
        </w:rPr>
        <w:t xml:space="preserve"> </w:t>
      </w:r>
    </w:p>
    <w:p w14:paraId="29920321" w14:textId="77777777" w:rsidR="00237599" w:rsidRPr="00022A47" w:rsidRDefault="00237599" w:rsidP="00237599">
      <w:pPr>
        <w:pStyle w:val="Heading1"/>
        <w:ind w:left="1440"/>
        <w:rPr>
          <w:b w:val="0"/>
          <w:bCs w:val="0"/>
          <w:sz w:val="24"/>
          <w:szCs w:val="24"/>
        </w:rPr>
      </w:pPr>
      <w:r>
        <w:rPr>
          <w:b w:val="0"/>
          <w:bCs w:val="0"/>
          <w:sz w:val="24"/>
          <w:szCs w:val="24"/>
        </w:rPr>
        <w:t>“</w:t>
      </w:r>
      <w:r w:rsidRPr="00022A47">
        <w:rPr>
          <w:b w:val="0"/>
          <w:bCs w:val="0"/>
          <w:sz w:val="24"/>
          <w:szCs w:val="24"/>
        </w:rPr>
        <w:t xml:space="preserve">Under a separate civil settlement, individual members of the Sackler family will pay the United States $225 million arising from the alleged conduct of Dr. Richard Sackler, David Sackler, Mortimer D.A. Sackler, Dr. Kathe Sackler, and Jonathan Sackler (the Named </w:t>
      </w:r>
      <w:proofErr w:type="spellStart"/>
      <w:r w:rsidRPr="00022A47">
        <w:rPr>
          <w:b w:val="0"/>
          <w:bCs w:val="0"/>
          <w:sz w:val="24"/>
          <w:szCs w:val="24"/>
        </w:rPr>
        <w:t>Sacklers</w:t>
      </w:r>
      <w:proofErr w:type="spellEnd"/>
      <w:r w:rsidRPr="00022A47">
        <w:rPr>
          <w:b w:val="0"/>
          <w:bCs w:val="0"/>
          <w:sz w:val="24"/>
          <w:szCs w:val="24"/>
        </w:rPr>
        <w:t xml:space="preserve">).  This settlement resolves allegations that, in 2012, the Named </w:t>
      </w:r>
      <w:proofErr w:type="spellStart"/>
      <w:r w:rsidRPr="00022A47">
        <w:rPr>
          <w:b w:val="0"/>
          <w:bCs w:val="0"/>
          <w:sz w:val="24"/>
          <w:szCs w:val="24"/>
        </w:rPr>
        <w:t>Sacklers</w:t>
      </w:r>
      <w:proofErr w:type="spellEnd"/>
      <w:r w:rsidRPr="00022A47">
        <w:rPr>
          <w:b w:val="0"/>
          <w:bCs w:val="0"/>
          <w:sz w:val="24"/>
          <w:szCs w:val="24"/>
        </w:rPr>
        <w:t xml:space="preserve"> knew that the legitimate market for Purdue’s opioids had contracted.  Nevertheless, they requested that Purdue executives recapture lost sales and increase Purdue’s share of the opioid market.  The Named </w:t>
      </w:r>
      <w:proofErr w:type="spellStart"/>
      <w:r w:rsidRPr="00022A47">
        <w:rPr>
          <w:b w:val="0"/>
          <w:bCs w:val="0"/>
          <w:sz w:val="24"/>
          <w:szCs w:val="24"/>
        </w:rPr>
        <w:t>Sacklers</w:t>
      </w:r>
      <w:proofErr w:type="spellEnd"/>
      <w:r w:rsidRPr="00022A47">
        <w:rPr>
          <w:b w:val="0"/>
          <w:bCs w:val="0"/>
          <w:sz w:val="24"/>
          <w:szCs w:val="24"/>
        </w:rPr>
        <w:t xml:space="preserve"> then approved a new marketing program beginning in 2013 called </w:t>
      </w:r>
      <w:r>
        <w:rPr>
          <w:b w:val="0"/>
          <w:bCs w:val="0"/>
          <w:sz w:val="24"/>
          <w:szCs w:val="24"/>
        </w:rPr>
        <w:t>‘</w:t>
      </w:r>
      <w:r w:rsidRPr="00022A47">
        <w:rPr>
          <w:b w:val="0"/>
          <w:bCs w:val="0"/>
          <w:sz w:val="24"/>
          <w:szCs w:val="24"/>
        </w:rPr>
        <w:t>Evolve to Excellence,</w:t>
      </w:r>
      <w:r>
        <w:rPr>
          <w:b w:val="0"/>
          <w:bCs w:val="0"/>
          <w:sz w:val="24"/>
          <w:szCs w:val="24"/>
        </w:rPr>
        <w:t>’</w:t>
      </w:r>
      <w:r w:rsidRPr="00022A47">
        <w:rPr>
          <w:b w:val="0"/>
          <w:bCs w:val="0"/>
          <w:sz w:val="24"/>
          <w:szCs w:val="24"/>
        </w:rPr>
        <w:t xml:space="preserve"> through which Purdue sales representatives intensified their marketing of OxyContin to extreme, high-volume prescribers who were already writing “25 times as many OxyContin scripts” as their </w:t>
      </w:r>
      <w:r w:rsidRPr="00022A47">
        <w:rPr>
          <w:b w:val="0"/>
          <w:bCs w:val="0"/>
          <w:sz w:val="24"/>
          <w:szCs w:val="24"/>
        </w:rPr>
        <w:lastRenderedPageBreak/>
        <w:t>peers, causing health care providers to prescribe opioids for uses that were unsafe, ineffective, and medically unnecessary, and that often led to abuse and diversion.</w:t>
      </w:r>
      <w:r>
        <w:rPr>
          <w:b w:val="0"/>
          <w:bCs w:val="0"/>
          <w:sz w:val="24"/>
          <w:szCs w:val="24"/>
        </w:rPr>
        <w:t>”</w:t>
      </w:r>
      <w:r w:rsidRPr="00022A47">
        <w:rPr>
          <w:b w:val="0"/>
          <w:bCs w:val="0"/>
          <w:sz w:val="24"/>
          <w:szCs w:val="24"/>
        </w:rPr>
        <w:t xml:space="preserve">    </w:t>
      </w:r>
    </w:p>
    <w:p w14:paraId="6BD81C99" w14:textId="77777777" w:rsidR="00237599" w:rsidRDefault="00237599" w:rsidP="00F326E5">
      <w:pPr>
        <w:rPr>
          <w:rFonts w:ascii="Arial Black" w:hAnsi="Arial Black"/>
          <w:b/>
          <w:sz w:val="24"/>
          <w:szCs w:val="24"/>
        </w:rPr>
      </w:pPr>
    </w:p>
    <w:p w14:paraId="37276519" w14:textId="77777777" w:rsidR="00237599" w:rsidRDefault="00237599" w:rsidP="00F326E5">
      <w:pPr>
        <w:rPr>
          <w:rFonts w:ascii="Arial Black" w:hAnsi="Arial Black"/>
          <w:b/>
          <w:sz w:val="24"/>
          <w:szCs w:val="24"/>
        </w:rPr>
      </w:pPr>
    </w:p>
    <w:p w14:paraId="73A66DE2" w14:textId="559102DB" w:rsidR="00F55395" w:rsidRDefault="00F55395" w:rsidP="00F326E5">
      <w:pPr>
        <w:rPr>
          <w:rFonts w:ascii="Arial Black" w:hAnsi="Arial Black"/>
          <w:b/>
          <w:sz w:val="24"/>
          <w:szCs w:val="24"/>
        </w:rPr>
      </w:pPr>
      <w:r>
        <w:rPr>
          <w:rFonts w:ascii="Arial Black" w:hAnsi="Arial Black"/>
          <w:b/>
          <w:sz w:val="24"/>
          <w:szCs w:val="24"/>
        </w:rPr>
        <w:t>12-21</w:t>
      </w:r>
    </w:p>
    <w:p w14:paraId="6EA76482" w14:textId="77777777" w:rsidR="00F55395" w:rsidRDefault="00F55395" w:rsidP="00F55395">
      <w:pPr>
        <w:pStyle w:val="NormalWeb"/>
        <w:rPr>
          <w:rFonts w:ascii="Arial Black" w:hAnsi="Arial Black"/>
          <w:sz w:val="28"/>
          <w:szCs w:val="28"/>
        </w:rPr>
      </w:pPr>
      <w:r>
        <w:rPr>
          <w:rFonts w:ascii="Arial Black" w:hAnsi="Arial Black"/>
          <w:sz w:val="28"/>
          <w:szCs w:val="28"/>
        </w:rPr>
        <w:t>PA: 7 DISPATCHERS FIRED – EGG NOG / ALCOHOL – THEIR PRIOR CALL CENTER ISSUES NOT “CITIZEN SPEECH”</w:t>
      </w:r>
    </w:p>
    <w:p w14:paraId="26C7C252" w14:textId="77777777" w:rsidR="00F55395" w:rsidRDefault="00F55395" w:rsidP="00F55395">
      <w:pPr>
        <w:pStyle w:val="NormalWeb"/>
      </w:pPr>
      <w:r>
        <w:t xml:space="preserve">On March 9, 2023, in </w:t>
      </w:r>
      <w:r w:rsidRPr="00D85D57">
        <w:rPr>
          <w:u w:val="single"/>
        </w:rPr>
        <w:t>Justin Zucal, et al. v. County of Lehigh, et al</w:t>
      </w:r>
      <w:r>
        <w:t xml:space="preserve">., U.S. District Court Judge John M. Gallaher, Eastern District of Pennsylvania, granted the defense motion to dismiss the lawsuit filed by seven dispatchers who were fired on Jan. 21, </w:t>
      </w:r>
      <w:proofErr w:type="gramStart"/>
      <w:r>
        <w:t>2020</w:t>
      </w:r>
      <w:proofErr w:type="gramEnd"/>
      <w:r>
        <w:t xml:space="preserve"> after the New Year’s Eve toast.  In January 2019, the Allentown 911 Emergency Call Center merged with the Lehigh County 911 Emergency Call Center; some dispatchers complained to County officials, and police and fire agencies about call center issues, and alleged discrimination against a Latino dispatcher.  The Court rejected their claim that they were fired in retaliation for exercising their First Amendment rights to complain to public.  “[T]he Court finds that Plaintiffs' complaints that serve as the basis for their retaliation claim are not protected by the First Amendment as citizen speech. And because the Plaintiffs' statements were made within their duties as government employees, the Court need not address whether their statements involved a matter of public concern or whether the government lacked an ‘adequate justification' for treating the employee differently than the general public based on its needs as an employer under the </w:t>
      </w:r>
      <w:r>
        <w:rPr>
          <w:rStyle w:val="Emphasis"/>
        </w:rPr>
        <w:t>Pickering</w:t>
      </w:r>
      <w:r>
        <w:t xml:space="preserve"> balancing test.’ </w:t>
      </w:r>
      <w:r>
        <w:rPr>
          <w:rStyle w:val="Emphasis"/>
        </w:rPr>
        <w:t>Dougherty</w:t>
      </w:r>
      <w:r>
        <w:t xml:space="preserve">, 772 F.3d at 987 (quoting </w:t>
      </w:r>
      <w:r>
        <w:rPr>
          <w:rStyle w:val="Emphasis"/>
        </w:rPr>
        <w:t>Gorum</w:t>
      </w:r>
      <w:r>
        <w:t xml:space="preserve">, 561 F.3d at 185). Accordingly, Defendants' motion to dismiss this claim is granted.” </w:t>
      </w:r>
      <w:hyperlink r:id="rId1951" w:history="1">
        <w:r w:rsidRPr="005C1F1B">
          <w:rPr>
            <w:rStyle w:val="Hyperlink"/>
            <w:rFonts w:eastAsiaTheme="majorEastAsia"/>
          </w:rPr>
          <w:t>https://public.fastcase.com/J%2FJP6pdidelsXxEE4k%2BLMjguDlksD8dKELdpfFWP9cYBmH83FdbmlTzl%2FYR%2FGHKVJmTrfPX2dR0kqVK5JcTrQwWj0Xyj7G2BHa1wkLBWvR8%3D?utm_medium=email&amp;_hsmi=226712652&amp;_hsenc=p2ANqtz-8X8hd1OyKx9xBVWTYyyRcKWZqDrqGklavKHA9oFy03k-3f0cMxPP9GwSn13jNQOldot2axaAKjxlo1irLgFnquT2grYg&amp;utm_content=226712652&amp;utm_source=hs_email</w:t>
        </w:r>
      </w:hyperlink>
      <w:r>
        <w:t xml:space="preserve"> </w:t>
      </w:r>
    </w:p>
    <w:p w14:paraId="587682CD" w14:textId="77777777" w:rsidR="00F55395" w:rsidRDefault="00F55395" w:rsidP="00F55395">
      <w:pPr>
        <w:pStyle w:val="NormalWeb"/>
      </w:pPr>
      <w:r>
        <w:t xml:space="preserve">The Court described the “Fact Finding” meeting that led to their termination. </w:t>
      </w:r>
    </w:p>
    <w:p w14:paraId="5584E975" w14:textId="77777777" w:rsidR="00F55395" w:rsidRDefault="00F55395" w:rsidP="00F55395">
      <w:pPr>
        <w:pStyle w:val="NormalWeb"/>
        <w:ind w:left="720"/>
      </w:pPr>
      <w:r>
        <w:t>On December 31, 2019, Alvarez-Carril, Plaintiffs and other 911 dispatchers shared a New Year's Eve toast over small cups of eggnog….Plaintiffs claim that Gieringer granted permission to Alvarez-Carril to use alcohol for the toast….Plaintiffs also claim that prior to the toast, they had observed supervisors and other Lehigh County employees use, possess, or distribute alcohol on county property without any discipline….</w:t>
      </w:r>
    </w:p>
    <w:p w14:paraId="66FD186D" w14:textId="77777777" w:rsidR="00F55395" w:rsidRDefault="00F55395" w:rsidP="00F55395">
      <w:pPr>
        <w:pStyle w:val="NormalWeb"/>
        <w:ind w:left="720"/>
      </w:pPr>
      <w:r>
        <w:t>***</w:t>
      </w:r>
    </w:p>
    <w:p w14:paraId="169EEF28" w14:textId="77777777" w:rsidR="00F55395" w:rsidRDefault="00F55395" w:rsidP="00F55395">
      <w:pPr>
        <w:pStyle w:val="NormalWeb"/>
        <w:ind w:left="720"/>
      </w:pPr>
      <w:r>
        <w:t xml:space="preserve">On January 21, 2020, Plaintiffs were all ordered to attend individual meetings with Redding the next day…. Plaintiffs claim that during these meetings with Redding, they learned that county supervisors were alleging they had “drinking problems….” During these meetings, Plaintiffs Zucal, Francis C. Gatens, Geiger, Landis and Palmer were told their positions were being terminated and they were given an opportunity to resign….These plaintiffs claim Redding told them they could reapply for their positions, and that resignation would look better than termination…. They subsequently resigned, wrote a resignation letter, and immediately applied for reinstatement…. Plaintiffs claim the applications for reinstatement were ignored and dismissed….During their meetings with Redding that day, Plaintiffs </w:t>
      </w:r>
      <w:r>
        <w:lastRenderedPageBreak/>
        <w:t>David M. Gatens and Kirchner were informed their employment was being terminated and were subsequently escorted from the premises.”</w:t>
      </w:r>
    </w:p>
    <w:p w14:paraId="6A499809" w14:textId="77777777" w:rsidR="00F55395" w:rsidRPr="00D35EF0" w:rsidRDefault="00F55395" w:rsidP="00F55395">
      <w:pPr>
        <w:pStyle w:val="NormalWeb"/>
        <w:rPr>
          <w:b/>
          <w:bCs/>
        </w:rPr>
      </w:pPr>
      <w:r w:rsidRPr="00D35EF0">
        <w:rPr>
          <w:b/>
          <w:bCs/>
        </w:rPr>
        <w:t xml:space="preserve">Legal Lesson Learned:  </w:t>
      </w:r>
      <w:r>
        <w:rPr>
          <w:b/>
          <w:bCs/>
        </w:rPr>
        <w:t xml:space="preserve">Dispatchers drinking alcohol on duty, of any amount, can lead to termination. </w:t>
      </w:r>
    </w:p>
    <w:p w14:paraId="245A8E8D" w14:textId="77777777" w:rsidR="00F55395" w:rsidRPr="00D35EF0" w:rsidRDefault="00F55395" w:rsidP="00F55395">
      <w:pPr>
        <w:pStyle w:val="Heading1"/>
        <w:ind w:left="720"/>
        <w:rPr>
          <w:b w:val="0"/>
          <w:bCs w:val="0"/>
          <w:sz w:val="24"/>
          <w:szCs w:val="24"/>
        </w:rPr>
      </w:pPr>
      <w:r w:rsidRPr="00D35EF0">
        <w:rPr>
          <w:b w:val="0"/>
          <w:bCs w:val="0"/>
          <w:sz w:val="24"/>
          <w:szCs w:val="24"/>
        </w:rPr>
        <w:t xml:space="preserve">Note: See </w:t>
      </w:r>
      <w:r>
        <w:rPr>
          <w:b w:val="0"/>
          <w:bCs w:val="0"/>
          <w:sz w:val="24"/>
          <w:szCs w:val="24"/>
        </w:rPr>
        <w:t xml:space="preserve">Oct. 22, </w:t>
      </w:r>
      <w:proofErr w:type="gramStart"/>
      <w:r>
        <w:rPr>
          <w:b w:val="0"/>
          <w:bCs w:val="0"/>
          <w:sz w:val="24"/>
          <w:szCs w:val="24"/>
        </w:rPr>
        <w:t>2021</w:t>
      </w:r>
      <w:proofErr w:type="gramEnd"/>
      <w:r>
        <w:rPr>
          <w:b w:val="0"/>
          <w:bCs w:val="0"/>
          <w:sz w:val="24"/>
          <w:szCs w:val="24"/>
        </w:rPr>
        <w:t xml:space="preserve"> </w:t>
      </w:r>
      <w:r w:rsidRPr="00D35EF0">
        <w:rPr>
          <w:b w:val="0"/>
          <w:bCs w:val="0"/>
          <w:sz w:val="24"/>
          <w:szCs w:val="24"/>
        </w:rPr>
        <w:t>article</w:t>
      </w:r>
      <w:r>
        <w:rPr>
          <w:b w:val="0"/>
          <w:bCs w:val="0"/>
          <w:sz w:val="24"/>
          <w:szCs w:val="24"/>
        </w:rPr>
        <w:t>, “</w:t>
      </w:r>
      <w:r w:rsidRPr="00D35EF0">
        <w:rPr>
          <w:b w:val="0"/>
          <w:bCs w:val="0"/>
          <w:sz w:val="24"/>
          <w:szCs w:val="24"/>
        </w:rPr>
        <w:t>Lehigh County Pushes Back Against Lawsuit Alleging that Racism, Negligence at Emergency Call Center Led to Deaths</w:t>
      </w:r>
      <w:r>
        <w:rPr>
          <w:b w:val="0"/>
          <w:bCs w:val="0"/>
          <w:sz w:val="24"/>
          <w:szCs w:val="24"/>
        </w:rPr>
        <w:t xml:space="preserve">.” </w:t>
      </w:r>
      <w:hyperlink r:id="rId1952" w:history="1">
        <w:r w:rsidRPr="005C1F1B">
          <w:rPr>
            <w:rStyle w:val="Hyperlink"/>
            <w:rFonts w:eastAsiaTheme="majorEastAsia"/>
            <w:b w:val="0"/>
            <w:bCs w:val="0"/>
            <w:sz w:val="24"/>
            <w:szCs w:val="24"/>
          </w:rPr>
          <w:t>https://lawandcrime.com/lawsuit/racism-negligence-at-pennsylvania-emergency-call-center-led-to-deaths-lawsuit/</w:t>
        </w:r>
      </w:hyperlink>
      <w:r>
        <w:rPr>
          <w:b w:val="0"/>
          <w:bCs w:val="0"/>
          <w:sz w:val="24"/>
          <w:szCs w:val="24"/>
        </w:rPr>
        <w:t xml:space="preserve"> </w:t>
      </w:r>
    </w:p>
    <w:p w14:paraId="00F91500" w14:textId="77777777" w:rsidR="00F55395" w:rsidRDefault="00F55395" w:rsidP="00F326E5">
      <w:pPr>
        <w:rPr>
          <w:rFonts w:ascii="Arial Black" w:hAnsi="Arial Black"/>
          <w:b/>
          <w:sz w:val="24"/>
          <w:szCs w:val="24"/>
        </w:rPr>
      </w:pPr>
    </w:p>
    <w:p w14:paraId="6F3D7CD2" w14:textId="77777777" w:rsidR="00F55395" w:rsidRDefault="00F55395" w:rsidP="00F326E5">
      <w:pPr>
        <w:rPr>
          <w:rFonts w:ascii="Arial Black" w:hAnsi="Arial Black"/>
          <w:b/>
          <w:sz w:val="24"/>
          <w:szCs w:val="24"/>
        </w:rPr>
      </w:pPr>
    </w:p>
    <w:p w14:paraId="74BE185E" w14:textId="52D27774" w:rsidR="00D47B53" w:rsidRDefault="00D47B53" w:rsidP="00F326E5">
      <w:pPr>
        <w:rPr>
          <w:rFonts w:ascii="Arial Black" w:hAnsi="Arial Black"/>
          <w:b/>
          <w:sz w:val="24"/>
          <w:szCs w:val="24"/>
        </w:rPr>
      </w:pPr>
      <w:r>
        <w:rPr>
          <w:rFonts w:ascii="Arial Black" w:hAnsi="Arial Black"/>
          <w:b/>
          <w:sz w:val="24"/>
          <w:szCs w:val="24"/>
        </w:rPr>
        <w:t>12-20</w:t>
      </w:r>
    </w:p>
    <w:p w14:paraId="75EA4B90" w14:textId="77777777" w:rsidR="00D47B53" w:rsidRDefault="00D47B53" w:rsidP="00D47B53">
      <w:pPr>
        <w:pStyle w:val="NormalWeb"/>
      </w:pPr>
      <w:bookmarkStart w:id="415" w:name="_Hlk120878043"/>
      <w:r>
        <w:rPr>
          <w:rFonts w:ascii="Arial Black" w:hAnsi="Arial Black"/>
          <w:sz w:val="28"/>
          <w:szCs w:val="28"/>
        </w:rPr>
        <w:t>CT: FF BREACHED LAST CHANCE AGREEMENT – FIRED – PRESCRIPTION MARIJUANA – WINS UNEMPLOYMENT</w:t>
      </w:r>
      <w:r>
        <w:t xml:space="preserve"> </w:t>
      </w:r>
    </w:p>
    <w:p w14:paraId="3861BE3C" w14:textId="77777777" w:rsidR="00D47B53" w:rsidRDefault="00D47B53" w:rsidP="00D47B53">
      <w:pPr>
        <w:pStyle w:val="NormalWeb"/>
      </w:pPr>
      <w:r>
        <w:t xml:space="preserve">On Nov. 29, 2022, in </w:t>
      </w:r>
      <w:r w:rsidRPr="00544DBB">
        <w:rPr>
          <w:u w:val="single"/>
        </w:rPr>
        <w:t>City of Waterbury v. Administrator, Unemployment Compensation Act, et al.</w:t>
      </w:r>
      <w:r>
        <w:t xml:space="preserve">, the Court of Appeals of Connecticut held (3 to 0) that the referee decision and the Board of Review correctly held that firefighter </w:t>
      </w:r>
      <w:r w:rsidRPr="00AC0FB0">
        <w:t>Thomas F. Eccleston II, fired for use of marijuana, was</w:t>
      </w:r>
      <w:r>
        <w:t xml:space="preserve"> entitled to unemployment compensation. He was using prescribed marijuana under the state’s Palliative Use of Marijuana Act (PUMA); the Last Chance Agreement was signed prior to new marijuana prescription statute.   Under state law, employees may receive unemployment unless not discharged for “</w:t>
      </w:r>
      <w:proofErr w:type="spellStart"/>
      <w:r>
        <w:t>wilful</w:t>
      </w:r>
      <w:proofErr w:type="spellEnd"/>
      <w:r>
        <w:t xml:space="preserve"> misconduct.” </w:t>
      </w:r>
    </w:p>
    <w:p w14:paraId="18CBE56E" w14:textId="77777777" w:rsidR="00D47B53" w:rsidRDefault="00D47B53" w:rsidP="00D47B53">
      <w:pPr>
        <w:pStyle w:val="NormalWeb"/>
        <w:ind w:left="720"/>
      </w:pPr>
      <w:r>
        <w:t xml:space="preserve">“It is undisputed that the claimant is a qualifying patient entitled to protections under PUMA, which likewise entails protection against employment penalties resulting from the claimant's legal, off-duty use of medical marijuana. General Statutes § 21a-408p (b) (3); see also General Statutes § 21a-408a (a) (‘ [a] qualifying patient who has a valid registration certificate from the Department of Consumer Protection . . . and complies with the requirements of [PUMA] . . . shall not be subject to arrest or prosecution, penalized in any manner, including, but not limited to, being subject to any civil penalty, or denied any right or privilege, including, but not limited to, being subject to any disciplinary action by a professional licensing board, for the palliative </w:t>
      </w:r>
      <w:r>
        <w:rPr>
          <w:rStyle w:val="Emphasis"/>
        </w:rPr>
        <w:t>use</w:t>
      </w:r>
      <w:r>
        <w:t xml:space="preserve"> of marijuana’ (emphasis added)). Consequently, the board reasonably concluded that, insofar as the last chance agreement operated to allow the plaintiff to terminate the claimant's employment for his palliative use of marijuana, it was unreasonable. See Regs., Conn. State Agencies § 31-236-26b (d). Further, the unreasonable application of the last chance agreement to the claimant's palliative marijuana use forecloses the possibility that the claimant's employment was terminated for </w:t>
      </w:r>
      <w:proofErr w:type="spellStart"/>
      <w:r>
        <w:t>wilful</w:t>
      </w:r>
      <w:proofErr w:type="spellEnd"/>
      <w:r>
        <w:t xml:space="preserve"> misconduct. See General Statutes § 31-236 (a) (16).</w:t>
      </w:r>
      <w:r>
        <w:rPr>
          <w:vertAlign w:val="superscript"/>
        </w:rPr>
        <w:t xml:space="preserve">” </w:t>
      </w:r>
      <w:hyperlink r:id="rId1953" w:history="1">
        <w:r w:rsidRPr="00AF231E">
          <w:rPr>
            <w:rStyle w:val="Hyperlink"/>
            <w:rFonts w:eastAsiaTheme="majorEastAsia"/>
          </w:rPr>
          <w:t>https://www.jud.ct.gov/external/supapp/Cases/AROap/AP216/216AP25.pdf</w:t>
        </w:r>
      </w:hyperlink>
      <w:r>
        <w:t xml:space="preserve"> </w:t>
      </w:r>
    </w:p>
    <w:bookmarkEnd w:id="415"/>
    <w:p w14:paraId="1D75FEF6" w14:textId="77777777" w:rsidR="00D47B53" w:rsidRPr="00F5602A" w:rsidRDefault="00D47B53" w:rsidP="00D47B53">
      <w:pPr>
        <w:pStyle w:val="NormalWeb"/>
        <w:rPr>
          <w:b/>
          <w:bCs/>
        </w:rPr>
      </w:pPr>
      <w:r w:rsidRPr="00F5602A">
        <w:rPr>
          <w:b/>
          <w:bCs/>
        </w:rPr>
        <w:t>Legal Lesson Learned:</w:t>
      </w:r>
      <w:r>
        <w:rPr>
          <w:b/>
          <w:bCs/>
        </w:rPr>
        <w:t xml:space="preserve"> The last chance agreement was signed prior to the State’s new palliative marijuana legislation; future last chance agreements should address prescription marijuana. </w:t>
      </w:r>
    </w:p>
    <w:p w14:paraId="79CB2FF6" w14:textId="77777777" w:rsidR="00D47B53" w:rsidRDefault="00D47B53" w:rsidP="00F326E5">
      <w:pPr>
        <w:rPr>
          <w:rFonts w:ascii="Arial Black" w:hAnsi="Arial Black"/>
          <w:b/>
          <w:sz w:val="24"/>
          <w:szCs w:val="24"/>
        </w:rPr>
      </w:pPr>
    </w:p>
    <w:p w14:paraId="5E27A2D7" w14:textId="77777777" w:rsidR="00D47B53" w:rsidRDefault="00D47B53" w:rsidP="00F326E5">
      <w:pPr>
        <w:rPr>
          <w:rFonts w:ascii="Arial Black" w:hAnsi="Arial Black"/>
          <w:b/>
          <w:sz w:val="24"/>
          <w:szCs w:val="24"/>
        </w:rPr>
      </w:pPr>
    </w:p>
    <w:p w14:paraId="28A59F4E" w14:textId="3BB9B37D" w:rsidR="00AC5FED" w:rsidRDefault="00AC5FED" w:rsidP="00F326E5">
      <w:pPr>
        <w:rPr>
          <w:rFonts w:ascii="Arial Black" w:hAnsi="Arial Black"/>
          <w:b/>
          <w:sz w:val="24"/>
          <w:szCs w:val="24"/>
        </w:rPr>
      </w:pPr>
      <w:r>
        <w:rPr>
          <w:rFonts w:ascii="Arial Black" w:hAnsi="Arial Black"/>
          <w:b/>
          <w:sz w:val="24"/>
          <w:szCs w:val="24"/>
        </w:rPr>
        <w:t>12-19</w:t>
      </w:r>
    </w:p>
    <w:p w14:paraId="7A191B74" w14:textId="77777777" w:rsidR="00AC5FED" w:rsidRDefault="00AC5FED" w:rsidP="00AC5FED">
      <w:pPr>
        <w:pStyle w:val="NormalWeb"/>
        <w:rPr>
          <w:rFonts w:ascii="Arial Black" w:hAnsi="Arial Black"/>
          <w:b/>
          <w:bCs/>
          <w:sz w:val="28"/>
          <w:szCs w:val="28"/>
        </w:rPr>
      </w:pPr>
      <w:r>
        <w:rPr>
          <w:rFonts w:ascii="Arial Black" w:hAnsi="Arial Black"/>
          <w:b/>
          <w:bCs/>
          <w:sz w:val="28"/>
          <w:szCs w:val="28"/>
        </w:rPr>
        <w:lastRenderedPageBreak/>
        <w:t>FL: DRUG OVERDOSE / 911 CALLED - GOOD SAMARITAN ACT DOES NOT PREVENT PD ARREST OUTSTANDING WARRANT</w:t>
      </w:r>
    </w:p>
    <w:p w14:paraId="303F189E" w14:textId="77777777" w:rsidR="00AC5FED" w:rsidRDefault="00AC5FED" w:rsidP="00AC5FED">
      <w:pPr>
        <w:pStyle w:val="NormalWeb"/>
        <w:rPr>
          <w:rFonts w:eastAsiaTheme="minorHAnsi"/>
        </w:rPr>
      </w:pPr>
      <w:r>
        <w:t xml:space="preserve">On Sept. 23, 2022, in </w:t>
      </w:r>
      <w:r>
        <w:rPr>
          <w:u w:val="single"/>
        </w:rPr>
        <w:t>State of Florida v. Anthony L. Waiters</w:t>
      </w:r>
      <w:r>
        <w:t xml:space="preserve">, the Florida Court of Appeals, Second District, held (3 to 0) that the trial court improperly dismissed </w:t>
      </w:r>
      <w:r>
        <w:rPr>
          <w:rFonts w:eastAsiaTheme="minorHAnsi"/>
        </w:rPr>
        <w:t xml:space="preserve">the drug-related offenses under the 911 Good Samaritan Act, § 893.21(2), Fla. Stat. (2020). </w:t>
      </w:r>
    </w:p>
    <w:p w14:paraId="72DF42F8" w14:textId="29F24255" w:rsidR="00AC5FED" w:rsidRPr="00AC5FED" w:rsidRDefault="00AC5FED" w:rsidP="00AC5FED">
      <w:pPr>
        <w:ind w:left="720"/>
        <w:rPr>
          <w:rStyle w:val="Hyperlink"/>
          <w:rFonts w:ascii="Times New Roman" w:hAnsi="Times New Roman"/>
          <w:sz w:val="24"/>
          <w:szCs w:val="24"/>
        </w:rPr>
      </w:pPr>
      <w:r w:rsidRPr="00AC5FED">
        <w:rPr>
          <w:rFonts w:ascii="Times New Roman" w:eastAsiaTheme="minorHAnsi" w:hAnsi="Times New Roman"/>
          <w:sz w:val="24"/>
          <w:szCs w:val="24"/>
        </w:rPr>
        <w:t>“[T]</w:t>
      </w:r>
      <w:r w:rsidRPr="00AC5FED">
        <w:rPr>
          <w:rFonts w:ascii="Times New Roman" w:hAnsi="Times New Roman"/>
          <w:sz w:val="24"/>
          <w:szCs w:val="24"/>
        </w:rPr>
        <w:t xml:space="preserve">he legislature did not intend to immunize individuals seeking medical assistance for a drug overdose from arrest pursuant to an outstanding arrest warrant.” </w:t>
      </w:r>
      <w:hyperlink r:id="rId1954" w:history="1">
        <w:r w:rsidRPr="00AC5FED">
          <w:rPr>
            <w:rStyle w:val="Hyperlink"/>
            <w:rFonts w:ascii="Times New Roman" w:hAnsi="Times New Roman"/>
            <w:sz w:val="24"/>
            <w:szCs w:val="24"/>
          </w:rPr>
          <w:t>https://www.2dca.org/content/download/849844/opinion/211477_DC13_09232022_081840_i.pdf</w:t>
        </w:r>
      </w:hyperlink>
    </w:p>
    <w:p w14:paraId="0502456E" w14:textId="77777777" w:rsidR="00AC5FED" w:rsidRDefault="00AC5FED" w:rsidP="00AC5FED">
      <w:pPr>
        <w:pStyle w:val="NormalWeb"/>
        <w:rPr>
          <w:b/>
          <w:bCs/>
        </w:rPr>
      </w:pPr>
      <w:r>
        <w:rPr>
          <w:b/>
          <w:bCs/>
        </w:rPr>
        <w:t>Legal Lesson Learned: Several states have enacted drug overdose “Good Samaritan Acts.”  In Florida, you are still subject to arrest for an outstanding warrant.</w:t>
      </w:r>
    </w:p>
    <w:p w14:paraId="432E2EE7" w14:textId="77777777" w:rsidR="00AC5FED" w:rsidRPr="00AC5FED" w:rsidRDefault="00AC5FED" w:rsidP="00AC5FED">
      <w:pPr>
        <w:pStyle w:val="NormalWeb"/>
      </w:pPr>
      <w:r>
        <w:rPr>
          <w:b/>
          <w:bCs/>
        </w:rPr>
        <w:tab/>
      </w:r>
      <w:r w:rsidRPr="00AC5FED">
        <w:t>Note: See Court’s Opinion, footnote 4:</w:t>
      </w:r>
    </w:p>
    <w:p w14:paraId="4B1BCFDE" w14:textId="5DCA389F" w:rsidR="00AC5FED" w:rsidRPr="00AC5FED" w:rsidRDefault="00AC5FED" w:rsidP="00AC5FED">
      <w:pPr>
        <w:ind w:left="720"/>
        <w:rPr>
          <w:rFonts w:ascii="Times New Roman" w:hAnsi="Times New Roman"/>
          <w:b/>
          <w:sz w:val="24"/>
          <w:szCs w:val="24"/>
        </w:rPr>
      </w:pPr>
      <w:r w:rsidRPr="00AC5FED">
        <w:rPr>
          <w:rFonts w:ascii="Times New Roman" w:eastAsiaTheme="minorHAnsi" w:hAnsi="Times New Roman"/>
          <w:sz w:val="24"/>
          <w:szCs w:val="24"/>
        </w:rPr>
        <w:t xml:space="preserve">“Other states have adopted similar laws; however, the statutory language in some is more explicit. </w:t>
      </w:r>
      <w:r w:rsidRPr="00AC5FED">
        <w:rPr>
          <w:rFonts w:ascii="Times New Roman" w:eastAsiaTheme="minorHAnsi" w:hAnsi="Times New Roman"/>
          <w:i/>
          <w:iCs/>
          <w:sz w:val="24"/>
          <w:szCs w:val="24"/>
        </w:rPr>
        <w:t>See</w:t>
      </w:r>
      <w:r w:rsidRPr="00AC5FED">
        <w:rPr>
          <w:rFonts w:ascii="Times New Roman" w:eastAsiaTheme="minorHAnsi" w:hAnsi="Times New Roman"/>
          <w:sz w:val="24"/>
          <w:szCs w:val="24"/>
        </w:rPr>
        <w:t xml:space="preserve">, </w:t>
      </w:r>
      <w:r w:rsidRPr="00AC5FED">
        <w:rPr>
          <w:rFonts w:ascii="Times New Roman" w:eastAsiaTheme="minorHAnsi" w:hAnsi="Times New Roman"/>
          <w:i/>
          <w:iCs/>
          <w:sz w:val="24"/>
          <w:szCs w:val="24"/>
        </w:rPr>
        <w:t>e.g.</w:t>
      </w:r>
      <w:r w:rsidRPr="00AC5FED">
        <w:rPr>
          <w:rFonts w:ascii="Times New Roman" w:eastAsiaTheme="minorHAnsi" w:hAnsi="Times New Roman"/>
          <w:sz w:val="24"/>
          <w:szCs w:val="24"/>
        </w:rPr>
        <w:t xml:space="preserve">, Ga. Code Ann. § 16-13-5(b) (West 2014) (‘Any person who is experiencing a drug overdose and, in good faith, seeks medical assistance for himself or herself or is the subject of such a request shall not be arrested, charged, or prosecuted for a drug violation if the evidence for the arrest, charge, or prosecution of such drug violation </w:t>
      </w:r>
      <w:r w:rsidRPr="00AC5FED">
        <w:rPr>
          <w:rFonts w:ascii="Times New Roman" w:eastAsiaTheme="minorHAnsi" w:hAnsi="Times New Roman"/>
          <w:i/>
          <w:iCs/>
          <w:sz w:val="24"/>
          <w:szCs w:val="24"/>
        </w:rPr>
        <w:t>resulted solely from</w:t>
      </w:r>
      <w:r w:rsidRPr="00AC5FED">
        <w:rPr>
          <w:rFonts w:ascii="Times New Roman" w:eastAsiaTheme="minorHAnsi" w:hAnsi="Times New Roman"/>
          <w:sz w:val="24"/>
          <w:szCs w:val="24"/>
        </w:rPr>
        <w:t xml:space="preserve"> seeking such medical assistance.’ (emphasis added)); Md. Code Ann., Crim. Proc. § 1-210(b) (West 2016) (‘A person who, in good faith, seeks, provides, or assists with the provision of medical assistance for a person reasonably believed to be experiencing a medical emergency after ingesting or using alcohol or drugs shall be immune from criminal arrest, charge, or prosecution for a violation of § 5-601, § 5-619, § 5-620, § 10-114, § 10-116, or § 10-117 of the Criminal Law Article if the evidence for the criminal arrest, charge, or prosecution was obtained </w:t>
      </w:r>
      <w:r w:rsidRPr="00AC5FED">
        <w:rPr>
          <w:rFonts w:ascii="Times New Roman" w:eastAsiaTheme="minorHAnsi" w:hAnsi="Times New Roman"/>
          <w:i/>
          <w:iCs/>
          <w:sz w:val="24"/>
          <w:szCs w:val="24"/>
        </w:rPr>
        <w:t>solely as a result</w:t>
      </w:r>
      <w:r w:rsidRPr="00AC5FED">
        <w:rPr>
          <w:rFonts w:ascii="Times New Roman" w:eastAsiaTheme="minorHAnsi" w:hAnsi="Times New Roman"/>
          <w:sz w:val="24"/>
          <w:szCs w:val="24"/>
        </w:rPr>
        <w:t xml:space="preserve"> of the person's seeking, providing, or assisting with the provision of medical assistance.’ (emphasis added)); N.H. Rev. Stat. Ann. § 318-B:28-b (2021) (creating a defense to enumerated drug possession charges ‘if the evidence for the charge was gained as a </w:t>
      </w:r>
      <w:r w:rsidRPr="00AC5FED">
        <w:rPr>
          <w:rFonts w:ascii="Times New Roman" w:eastAsiaTheme="minorHAnsi" w:hAnsi="Times New Roman"/>
          <w:i/>
          <w:iCs/>
          <w:sz w:val="24"/>
          <w:szCs w:val="24"/>
        </w:rPr>
        <w:t>proximate result</w:t>
      </w:r>
      <w:r w:rsidRPr="00AC5FED">
        <w:rPr>
          <w:rFonts w:ascii="Times New Roman" w:eastAsiaTheme="minorHAnsi" w:hAnsi="Times New Roman"/>
          <w:sz w:val="24"/>
          <w:szCs w:val="24"/>
        </w:rPr>
        <w:t xml:space="preserve"> of the request for medical assistance or the report to law enforcement’ (emphasis added)).”</w:t>
      </w:r>
    </w:p>
    <w:p w14:paraId="66DE406D" w14:textId="77777777" w:rsidR="00AC5FED" w:rsidRDefault="00AC5FED" w:rsidP="00F326E5">
      <w:pPr>
        <w:rPr>
          <w:rFonts w:ascii="Arial Black" w:hAnsi="Arial Black"/>
          <w:b/>
          <w:sz w:val="24"/>
          <w:szCs w:val="24"/>
        </w:rPr>
      </w:pPr>
    </w:p>
    <w:p w14:paraId="65F010A6" w14:textId="77777777" w:rsidR="00AC5FED" w:rsidRDefault="00AC5FED" w:rsidP="00F326E5">
      <w:pPr>
        <w:rPr>
          <w:rFonts w:ascii="Arial Black" w:hAnsi="Arial Black"/>
          <w:b/>
          <w:sz w:val="24"/>
          <w:szCs w:val="24"/>
        </w:rPr>
      </w:pPr>
    </w:p>
    <w:p w14:paraId="55F8EA15" w14:textId="775A8011" w:rsidR="007F3F5A" w:rsidRDefault="00A707E2" w:rsidP="00F326E5">
      <w:pPr>
        <w:rPr>
          <w:rFonts w:ascii="Arial Black" w:hAnsi="Arial Black"/>
          <w:b/>
          <w:sz w:val="24"/>
          <w:szCs w:val="24"/>
        </w:rPr>
      </w:pPr>
      <w:r>
        <w:rPr>
          <w:rFonts w:ascii="Arial Black" w:hAnsi="Arial Black"/>
          <w:b/>
          <w:sz w:val="24"/>
          <w:szCs w:val="24"/>
        </w:rPr>
        <w:t>12-18</w:t>
      </w:r>
    </w:p>
    <w:p w14:paraId="368F49EB" w14:textId="77777777" w:rsidR="00A707E2" w:rsidRDefault="00A707E2" w:rsidP="00A707E2">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NJ: RANDOM DRUG TEST - “INDUSTRY STANDARDS” FOR EQUIPMENT CALIBRATION UNCLEAR - FF REINSTATED</w:t>
      </w:r>
    </w:p>
    <w:p w14:paraId="1D63D7C4" w14:textId="6B4AC4C6" w:rsidR="00A707E2" w:rsidRDefault="00A707E2" w:rsidP="00A707E2">
      <w:pPr>
        <w:rPr>
          <w:rStyle w:val="Hyperlink"/>
          <w:sz w:val="24"/>
          <w:szCs w:val="24"/>
        </w:rPr>
      </w:pPr>
      <w:r>
        <w:rPr>
          <w:rFonts w:ascii="Times New Roman" w:eastAsia="Times New Roman" w:hAnsi="Times New Roman"/>
          <w:sz w:val="24"/>
          <w:szCs w:val="24"/>
        </w:rPr>
        <w:t xml:space="preserve">On June 28, 2022, </w:t>
      </w:r>
      <w:r>
        <w:rPr>
          <w:rFonts w:ascii="Times New Roman" w:eastAsia="Times New Roman" w:hAnsi="Times New Roman"/>
          <w:sz w:val="24"/>
          <w:szCs w:val="24"/>
          <w:u w:val="single"/>
        </w:rPr>
        <w:t>In The Matter Of Eric Beagin, City of Paterson, Fire Department</w:t>
      </w:r>
      <w:r>
        <w:rPr>
          <w:rFonts w:ascii="Times New Roman" w:eastAsia="Times New Roman" w:hAnsi="Times New Roman"/>
          <w:sz w:val="24"/>
          <w:szCs w:val="24"/>
        </w:rPr>
        <w:t>, the Superior Court of New Jersey, Appellate Division, held (2 to 0) the Court stated that the Civil Service Commission’s decisions [reversing Administrative Law Judge who found calibrations of drug testing equipment questionable] “</w:t>
      </w:r>
      <w:r>
        <w:rPr>
          <w:rFonts w:ascii="Times New Roman" w:hAnsi="Times New Roman"/>
          <w:sz w:val="24"/>
          <w:szCs w:val="24"/>
        </w:rPr>
        <w:t xml:space="preserve">are not supported by sufficient, credible evidence in the record and are arbitrary, capricious, and unreasonable. The urine sample was sent to the New Jersey State Toxicology Laboratory (State Lab) and on July 17, 2015, the State Lab reported </w:t>
      </w:r>
      <w:proofErr w:type="spellStart"/>
      <w:r>
        <w:rPr>
          <w:rFonts w:ascii="Times New Roman" w:hAnsi="Times New Roman"/>
          <w:sz w:val="24"/>
          <w:szCs w:val="24"/>
        </w:rPr>
        <w:t>Beagin's</w:t>
      </w:r>
      <w:proofErr w:type="spellEnd"/>
      <w:r>
        <w:rPr>
          <w:rFonts w:ascii="Times New Roman" w:hAnsi="Times New Roman"/>
          <w:sz w:val="24"/>
          <w:szCs w:val="24"/>
        </w:rPr>
        <w:t xml:space="preserve"> random urine screen positive for oxycodone at 114 ng/mL, 14 nanograms over the </w:t>
      </w:r>
      <w:r>
        <w:rPr>
          <w:rFonts w:ascii="Times New Roman" w:hAnsi="Times New Roman"/>
          <w:sz w:val="24"/>
          <w:szCs w:val="24"/>
        </w:rPr>
        <w:lastRenderedPageBreak/>
        <w:t>State Lab's defined cutoff of 100 ng/</w:t>
      </w:r>
      <w:proofErr w:type="spellStart"/>
      <w:r>
        <w:rPr>
          <w:rFonts w:ascii="Times New Roman" w:hAnsi="Times New Roman"/>
          <w:sz w:val="24"/>
          <w:szCs w:val="24"/>
        </w:rPr>
        <w:t>mL.</w:t>
      </w:r>
      <w:proofErr w:type="spellEnd"/>
      <w:r>
        <w:rPr>
          <w:rFonts w:ascii="Times New Roman" w:hAnsi="Times New Roman"/>
          <w:sz w:val="24"/>
          <w:szCs w:val="24"/>
        </w:rPr>
        <w:t xml:space="preserve">  He was immediately suspended.  On March 11 and 15, 2019, a hearing was held before ALJ Celentano. Dr. Robert  Havier, with State Lab for 40 years and Acting Director for 8 years, was cross examined about “industry standards” on calibrating testing equipment used by federal government in testing military, but FD never had him write a report on those standards. The ALJ recommended </w:t>
      </w:r>
      <w:proofErr w:type="spellStart"/>
      <w:r>
        <w:rPr>
          <w:rFonts w:ascii="Times New Roman" w:hAnsi="Times New Roman"/>
          <w:sz w:val="24"/>
          <w:szCs w:val="24"/>
        </w:rPr>
        <w:t>Beagin</w:t>
      </w:r>
      <w:proofErr w:type="spellEnd"/>
      <w:r>
        <w:rPr>
          <w:rFonts w:ascii="Times New Roman" w:hAnsi="Times New Roman"/>
          <w:sz w:val="24"/>
          <w:szCs w:val="24"/>
        </w:rPr>
        <w:t xml:space="preserve"> be reinstated to the position of firefighter. The Civil Service Commission rejected the ALJ’s recommendation, placing burden on the firefighter to prove “industry standards” were not followed.  </w:t>
      </w:r>
      <w:hyperlink r:id="rId1955" w:history="1">
        <w:r>
          <w:rPr>
            <w:rStyle w:val="Hyperlink"/>
            <w:sz w:val="24"/>
            <w:szCs w:val="24"/>
          </w:rPr>
          <w:t>https://public.fastcase.com/J%2FJP6pdidelsXxEE4k%2BLMm7PttKNvW62%2BDA0%2BSJrBHAICFIaFusuxX5Jb%2BuxRPK6Bzlob%2BslGSm9QeXJwFgRUwDQqdPl09RLYbpqdskqtWk%3D</w:t>
        </w:r>
      </w:hyperlink>
    </w:p>
    <w:p w14:paraId="1D1093FF" w14:textId="77777777" w:rsidR="00936792" w:rsidRDefault="00936792" w:rsidP="00936792">
      <w:pPr>
        <w:spacing w:after="100" w:line="240" w:lineRule="auto"/>
        <w:rPr>
          <w:rFonts w:ascii="Times New Roman" w:hAnsi="Times New Roman"/>
          <w:sz w:val="24"/>
          <w:szCs w:val="24"/>
        </w:rPr>
      </w:pPr>
      <w:r>
        <w:rPr>
          <w:rFonts w:ascii="Times New Roman" w:hAnsi="Times New Roman"/>
          <w:b/>
          <w:bCs/>
          <w:sz w:val="24"/>
          <w:szCs w:val="24"/>
        </w:rPr>
        <w:t xml:space="preserve">Legal Lesson Learned: Since the main issue was “industry standards” on calibration of testing equipment, the State Lab expert should have been asked to provide a report to the ALJ on those standards.  </w:t>
      </w:r>
    </w:p>
    <w:p w14:paraId="200A6472" w14:textId="77777777" w:rsidR="00936792" w:rsidRPr="004535AA" w:rsidRDefault="00936792" w:rsidP="00936792">
      <w:pPr>
        <w:pStyle w:val="Heading1"/>
        <w:ind w:left="720"/>
        <w:rPr>
          <w:b w:val="0"/>
          <w:bCs w:val="0"/>
          <w:sz w:val="24"/>
          <w:szCs w:val="24"/>
        </w:rPr>
      </w:pPr>
      <w:r>
        <w:rPr>
          <w:b w:val="0"/>
          <w:bCs w:val="0"/>
          <w:sz w:val="24"/>
          <w:szCs w:val="24"/>
        </w:rPr>
        <w:t xml:space="preserve">Note: See article after ALJ decision: “Judge orders Paterson firefighter terminated for failing drug test reinstated” (Dec. 9, 2019): </w:t>
      </w:r>
      <w:hyperlink r:id="rId1956" w:history="1">
        <w:r w:rsidRPr="004535AA">
          <w:rPr>
            <w:rStyle w:val="Hyperlink"/>
            <w:b w:val="0"/>
            <w:bCs w:val="0"/>
            <w:sz w:val="24"/>
            <w:szCs w:val="24"/>
          </w:rPr>
          <w:t>https://patersontimes.com/2019/12/09/judge-orders-paterson-firefighter-terminated-for-failing-drug-test-reinstated/</w:t>
        </w:r>
      </w:hyperlink>
      <w:r w:rsidRPr="004535AA">
        <w:rPr>
          <w:b w:val="0"/>
          <w:bCs w:val="0"/>
          <w:sz w:val="24"/>
          <w:szCs w:val="24"/>
        </w:rPr>
        <w:t xml:space="preserve"> </w:t>
      </w:r>
    </w:p>
    <w:p w14:paraId="49CE837F" w14:textId="77777777" w:rsidR="00A707E2" w:rsidRDefault="00A707E2" w:rsidP="00A707E2">
      <w:pPr>
        <w:rPr>
          <w:rFonts w:ascii="Arial Black" w:hAnsi="Arial Black"/>
          <w:b/>
          <w:sz w:val="24"/>
          <w:szCs w:val="24"/>
        </w:rPr>
      </w:pPr>
    </w:p>
    <w:p w14:paraId="2D2D90EB" w14:textId="1E43D974" w:rsidR="007F3F5A" w:rsidRDefault="007F3F5A" w:rsidP="00F326E5">
      <w:pPr>
        <w:rPr>
          <w:rFonts w:ascii="Arial Black" w:hAnsi="Arial Black"/>
          <w:b/>
          <w:sz w:val="24"/>
          <w:szCs w:val="24"/>
        </w:rPr>
      </w:pPr>
      <w:r>
        <w:rPr>
          <w:rFonts w:ascii="Arial Black" w:hAnsi="Arial Black"/>
          <w:b/>
          <w:sz w:val="24"/>
          <w:szCs w:val="24"/>
        </w:rPr>
        <w:t>12-17</w:t>
      </w:r>
    </w:p>
    <w:p w14:paraId="0244E688" w14:textId="77777777" w:rsidR="00A707E2" w:rsidRDefault="00A707E2" w:rsidP="00A707E2">
      <w:pPr>
        <w:pStyle w:val="Heading1"/>
        <w:jc w:val="both"/>
        <w:rPr>
          <w:rFonts w:ascii="Arial Black" w:hAnsi="Arial Black"/>
          <w:b w:val="0"/>
          <w:bCs w:val="0"/>
          <w:sz w:val="28"/>
          <w:szCs w:val="28"/>
        </w:rPr>
      </w:pPr>
      <w:bookmarkStart w:id="416" w:name="_Hlk107815505"/>
      <w:r>
        <w:rPr>
          <w:rFonts w:ascii="Arial Black" w:hAnsi="Arial Black"/>
          <w:b w:val="0"/>
          <w:bCs w:val="0"/>
          <w:sz w:val="28"/>
          <w:szCs w:val="28"/>
        </w:rPr>
        <w:t xml:space="preserve">U.S. SUP. COURT: THREE “PAIN MILL” DOCTORS – RE-TRIAL - MUST PROVE KNEW ACTING IN “UNAUHORIZED MANNER” </w:t>
      </w:r>
    </w:p>
    <w:p w14:paraId="284C940C" w14:textId="109E851B" w:rsidR="00A707E2" w:rsidRDefault="00A707E2" w:rsidP="00A707E2">
      <w:pPr>
        <w:pStyle w:val="Heading1"/>
        <w:rPr>
          <w:rStyle w:val="markedcontent"/>
          <w:sz w:val="24"/>
          <w:szCs w:val="24"/>
        </w:rPr>
      </w:pPr>
      <w:r>
        <w:rPr>
          <w:b w:val="0"/>
          <w:bCs w:val="0"/>
          <w:sz w:val="24"/>
          <w:szCs w:val="24"/>
        </w:rPr>
        <w:t xml:space="preserve">On June 27, 2022, in </w:t>
      </w:r>
      <w:proofErr w:type="spellStart"/>
      <w:r>
        <w:rPr>
          <w:b w:val="0"/>
          <w:bCs w:val="0"/>
          <w:sz w:val="24"/>
          <w:szCs w:val="24"/>
          <w:u w:val="single"/>
        </w:rPr>
        <w:t>Xiulu</w:t>
      </w:r>
      <w:proofErr w:type="spellEnd"/>
      <w:r>
        <w:rPr>
          <w:b w:val="0"/>
          <w:bCs w:val="0"/>
          <w:sz w:val="24"/>
          <w:szCs w:val="24"/>
          <w:u w:val="single"/>
        </w:rPr>
        <w:t xml:space="preserve"> Ruan v. United States</w:t>
      </w:r>
      <w:r>
        <w:rPr>
          <w:b w:val="0"/>
          <w:bCs w:val="0"/>
          <w:sz w:val="24"/>
          <w:szCs w:val="24"/>
        </w:rPr>
        <w:t xml:space="preserve">, the U.S. Supreme Court held (9 to 0) that a Mobile, Alabama pain mill doctor, </w:t>
      </w:r>
      <w:proofErr w:type="spellStart"/>
      <w:r>
        <w:rPr>
          <w:rStyle w:val="markedcontent"/>
          <w:b w:val="0"/>
          <w:bCs w:val="0"/>
          <w:sz w:val="24"/>
          <w:szCs w:val="24"/>
        </w:rPr>
        <w:t>Xiulu</w:t>
      </w:r>
      <w:proofErr w:type="spellEnd"/>
      <w:r>
        <w:rPr>
          <w:rStyle w:val="markedcontent"/>
          <w:b w:val="0"/>
          <w:bCs w:val="0"/>
          <w:sz w:val="24"/>
          <w:szCs w:val="24"/>
        </w:rPr>
        <w:t xml:space="preserve"> Ruan, who was sentenced in to 21 years in federal prison in 2017 and pain mill doctor from Arizona and Wyoming, Dr. Shakeel Kahn, 25 years in prison, may be entitled to new trials because the jury instructions did not clearly state the Government must prove they were acting in an “unauthorized manner” when issuing thousands of proscriptions, including for fentanyl. </w:t>
      </w:r>
      <w:hyperlink r:id="rId1957" w:history="1">
        <w:r>
          <w:rPr>
            <w:rStyle w:val="Hyperlink"/>
            <w:sz w:val="24"/>
            <w:szCs w:val="24"/>
          </w:rPr>
          <w:t>https://www.supremecourt.gov/opinions/21pdf/20-1410_1an2.pdf</w:t>
        </w:r>
      </w:hyperlink>
      <w:r>
        <w:rPr>
          <w:rStyle w:val="markedcontent"/>
          <w:b w:val="0"/>
          <w:bCs w:val="0"/>
          <w:sz w:val="24"/>
          <w:szCs w:val="24"/>
        </w:rPr>
        <w:t xml:space="preserve">.  Dr. Ruan’s partner, Dr. Patrick Couch, 20 years in prison, had his conviction also set aside, by separate Court order, and will likely also get a new trial. </w:t>
      </w:r>
      <w:hyperlink r:id="rId1958" w:history="1">
        <w:r>
          <w:rPr>
            <w:rStyle w:val="Hyperlink"/>
            <w:sz w:val="24"/>
            <w:szCs w:val="24"/>
          </w:rPr>
          <w:t>https://www.supremecourt.gov/docket/docketfiles/html/public/20-7934.html</w:t>
        </w:r>
      </w:hyperlink>
      <w:r>
        <w:rPr>
          <w:rStyle w:val="markedcontent"/>
          <w:b w:val="0"/>
          <w:bCs w:val="0"/>
          <w:sz w:val="24"/>
          <w:szCs w:val="24"/>
        </w:rPr>
        <w:t xml:space="preserve"> </w:t>
      </w:r>
    </w:p>
    <w:p w14:paraId="1D407EBB" w14:textId="44B1A327" w:rsidR="00A707E2" w:rsidRDefault="00A707E2" w:rsidP="00A707E2">
      <w:pPr>
        <w:pStyle w:val="Heading1"/>
        <w:rPr>
          <w:rStyle w:val="markedcontent"/>
          <w:sz w:val="24"/>
          <w:szCs w:val="24"/>
        </w:rPr>
      </w:pPr>
      <w:bookmarkStart w:id="417" w:name="_Hlk107815724"/>
      <w:bookmarkEnd w:id="416"/>
      <w:r>
        <w:rPr>
          <w:rStyle w:val="markedcontent"/>
          <w:sz w:val="24"/>
          <w:szCs w:val="24"/>
        </w:rPr>
        <w:t xml:space="preserve">Legal Lesson Learned: This decision may impact numerous other “pain mill” physicians. </w:t>
      </w:r>
    </w:p>
    <w:bookmarkEnd w:id="417"/>
    <w:p w14:paraId="3531F9CE" w14:textId="77777777" w:rsidR="00A707E2" w:rsidRDefault="007F3F5A" w:rsidP="00A707E2">
      <w:pPr>
        <w:pStyle w:val="Heading1"/>
        <w:ind w:left="720"/>
        <w:rPr>
          <w:b w:val="0"/>
          <w:bCs w:val="0"/>
        </w:rPr>
      </w:pPr>
      <w:r>
        <w:rPr>
          <w:rStyle w:val="markedcontent"/>
          <w:b w:val="0"/>
          <w:bCs w:val="0"/>
          <w:sz w:val="24"/>
          <w:szCs w:val="24"/>
        </w:rPr>
        <w:t xml:space="preserve"> </w:t>
      </w:r>
      <w:r w:rsidR="00A707E2">
        <w:rPr>
          <w:b w:val="0"/>
          <w:bCs w:val="0"/>
          <w:sz w:val="24"/>
          <w:szCs w:val="24"/>
        </w:rPr>
        <w:t xml:space="preserve">Note: “Mobile doctor’s Supreme Court win could impact other ‘pill mill’ convictions” (June 27, 2022) – VIDEO: </w:t>
      </w:r>
      <w:hyperlink r:id="rId1959" w:history="1">
        <w:r w:rsidR="00A707E2">
          <w:rPr>
            <w:rStyle w:val="Hyperlink"/>
            <w:sz w:val="24"/>
            <w:szCs w:val="24"/>
          </w:rPr>
          <w:t>https://www.fox10tv.com/2022/06/27/mobile-doctors-supreme-court-win-could-impact-other-pill-mill-convictions/</w:t>
        </w:r>
      </w:hyperlink>
      <w:r w:rsidR="00A707E2">
        <w:rPr>
          <w:b w:val="0"/>
          <w:bCs w:val="0"/>
          <w:sz w:val="24"/>
          <w:szCs w:val="24"/>
        </w:rPr>
        <w:t xml:space="preserve"> . “The justices sent the case against Dr. </w:t>
      </w:r>
      <w:proofErr w:type="spellStart"/>
      <w:r w:rsidR="00A707E2">
        <w:rPr>
          <w:b w:val="0"/>
          <w:bCs w:val="0"/>
          <w:sz w:val="24"/>
          <w:szCs w:val="24"/>
        </w:rPr>
        <w:t>Xiulu</w:t>
      </w:r>
      <w:proofErr w:type="spellEnd"/>
      <w:r w:rsidR="00A707E2">
        <w:rPr>
          <w:b w:val="0"/>
          <w:bCs w:val="0"/>
          <w:sz w:val="24"/>
          <w:szCs w:val="24"/>
        </w:rPr>
        <w:t xml:space="preserve"> Ruan back to the Atlanta-based 11th U.S. Circuit Court of Appeals, which likely will instruct a federal judge in Mobile to order a new trial. A spokesman for the U.S. Attorney’s Office in Mobile declined to comment.”</w:t>
      </w:r>
    </w:p>
    <w:p w14:paraId="713499C6" w14:textId="5949159F" w:rsidR="007F3F5A" w:rsidRPr="00A707E2" w:rsidRDefault="00A707E2" w:rsidP="00A707E2">
      <w:pPr>
        <w:pStyle w:val="Heading1"/>
        <w:ind w:left="720"/>
        <w:rPr>
          <w:rStyle w:val="markedcontent"/>
          <w:b w:val="0"/>
          <w:bCs w:val="0"/>
          <w:sz w:val="24"/>
          <w:szCs w:val="24"/>
        </w:rPr>
      </w:pPr>
      <w:r w:rsidRPr="00A707E2">
        <w:rPr>
          <w:b w:val="0"/>
          <w:bCs w:val="0"/>
          <w:sz w:val="24"/>
          <w:szCs w:val="24"/>
        </w:rPr>
        <w:t xml:space="preserve">Regarding Dr. </w:t>
      </w:r>
      <w:r w:rsidRPr="00A707E2">
        <w:rPr>
          <w:rStyle w:val="markedcontent"/>
          <w:b w:val="0"/>
          <w:bCs w:val="0"/>
          <w:sz w:val="24"/>
          <w:szCs w:val="24"/>
        </w:rPr>
        <w:t xml:space="preserve">Shakeel Kahn in Wyoming, see this article: </w:t>
      </w:r>
      <w:r w:rsidRPr="00A707E2">
        <w:rPr>
          <w:b w:val="0"/>
          <w:bCs w:val="0"/>
          <w:sz w:val="24"/>
          <w:szCs w:val="24"/>
        </w:rPr>
        <w:t xml:space="preserve"> “Federal Appellate Court Upholds Former Casper Doctor’s Drug Conspiracy Verdict” (Feb. 23, 2021): </w:t>
      </w:r>
      <w:hyperlink r:id="rId1960" w:history="1">
        <w:r w:rsidRPr="00A707E2">
          <w:rPr>
            <w:rStyle w:val="Hyperlink"/>
            <w:b w:val="0"/>
            <w:bCs w:val="0"/>
            <w:sz w:val="24"/>
            <w:szCs w:val="24"/>
          </w:rPr>
          <w:t>https://k2radio.com/federal-appellate-court-upholds-former-casper-doctors-drug-conspiracy-verdict/</w:t>
        </w:r>
      </w:hyperlink>
      <w:r w:rsidRPr="00A707E2">
        <w:rPr>
          <w:b w:val="0"/>
          <w:bCs w:val="0"/>
          <w:sz w:val="24"/>
          <w:szCs w:val="24"/>
        </w:rPr>
        <w:t xml:space="preserve">.  In late 2016, federal authorities </w:t>
      </w:r>
      <w:proofErr w:type="gramStart"/>
      <w:r w:rsidRPr="00A707E2">
        <w:rPr>
          <w:b w:val="0"/>
          <w:bCs w:val="0"/>
          <w:sz w:val="24"/>
          <w:szCs w:val="24"/>
        </w:rPr>
        <w:t>searched</w:t>
      </w:r>
      <w:proofErr w:type="gramEnd"/>
      <w:r w:rsidRPr="00A707E2">
        <w:rPr>
          <w:b w:val="0"/>
          <w:bCs w:val="0"/>
          <w:sz w:val="24"/>
          <w:szCs w:val="24"/>
        </w:rPr>
        <w:t xml:space="preserve"> the Kahns’ properties in Casper and Arizona, and seized financial and business records, cars, firearms and more than $1 million in cash.</w:t>
      </w:r>
      <w:r w:rsidRPr="00A707E2">
        <w:rPr>
          <w:b w:val="0"/>
          <w:bCs w:val="0"/>
          <w:sz w:val="24"/>
          <w:szCs w:val="24"/>
        </w:rPr>
        <w:br/>
      </w:r>
    </w:p>
    <w:p w14:paraId="2BF9F243" w14:textId="77777777" w:rsidR="007F3F5A" w:rsidRDefault="007F3F5A" w:rsidP="00F326E5">
      <w:pPr>
        <w:rPr>
          <w:rFonts w:ascii="Arial Black" w:hAnsi="Arial Black"/>
          <w:b/>
          <w:sz w:val="24"/>
          <w:szCs w:val="24"/>
        </w:rPr>
      </w:pPr>
    </w:p>
    <w:p w14:paraId="29C56AB0" w14:textId="77777777" w:rsidR="007F3F5A" w:rsidRDefault="007F3F5A" w:rsidP="00F326E5">
      <w:pPr>
        <w:rPr>
          <w:rFonts w:ascii="Arial Black" w:hAnsi="Arial Black"/>
          <w:b/>
          <w:sz w:val="24"/>
          <w:szCs w:val="24"/>
        </w:rPr>
      </w:pPr>
    </w:p>
    <w:p w14:paraId="113351E4" w14:textId="481D5EAA" w:rsidR="00174109" w:rsidRDefault="00174109" w:rsidP="00F326E5">
      <w:pPr>
        <w:rPr>
          <w:rFonts w:ascii="Arial Black" w:hAnsi="Arial Black"/>
          <w:b/>
          <w:sz w:val="24"/>
          <w:szCs w:val="24"/>
        </w:rPr>
      </w:pPr>
      <w:r>
        <w:rPr>
          <w:rFonts w:ascii="Arial Black" w:hAnsi="Arial Black"/>
          <w:b/>
          <w:sz w:val="24"/>
          <w:szCs w:val="24"/>
        </w:rPr>
        <w:t>12-16</w:t>
      </w:r>
    </w:p>
    <w:p w14:paraId="4911B6F8" w14:textId="77777777" w:rsidR="00174109" w:rsidRDefault="00174109" w:rsidP="00174109">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 xml:space="preserve">LA: DRUG TEST - EMT FAILED / FIRED - INJURED BACK WITH PATIENT – TOOK WIFE’S BARBITURATE PILLS BEFORE TEST </w:t>
      </w:r>
    </w:p>
    <w:p w14:paraId="47A523BB" w14:textId="77777777" w:rsidR="00174109" w:rsidRPr="00021FC8" w:rsidRDefault="00174109" w:rsidP="00174109">
      <w:pPr>
        <w:spacing w:before="100" w:beforeAutospacing="1" w:after="100" w:afterAutospacing="1" w:line="240" w:lineRule="auto"/>
        <w:rPr>
          <w:rFonts w:ascii="Times New Roman" w:eastAsia="Times New Roman" w:hAnsi="Times New Roman"/>
          <w:sz w:val="24"/>
          <w:szCs w:val="24"/>
        </w:rPr>
      </w:pPr>
      <w:r w:rsidRPr="00021FC8">
        <w:rPr>
          <w:rFonts w:ascii="Times New Roman" w:eastAsia="Times New Roman" w:hAnsi="Times New Roman"/>
          <w:sz w:val="24"/>
          <w:szCs w:val="24"/>
        </w:rPr>
        <w:t xml:space="preserve">On </w:t>
      </w:r>
      <w:r>
        <w:rPr>
          <w:rFonts w:ascii="Times New Roman" w:eastAsia="Times New Roman" w:hAnsi="Times New Roman"/>
          <w:sz w:val="24"/>
          <w:szCs w:val="24"/>
        </w:rPr>
        <w:t xml:space="preserve">Dec. 22, 2021, in </w:t>
      </w:r>
      <w:r w:rsidRPr="00021FC8">
        <w:rPr>
          <w:rFonts w:ascii="Times New Roman" w:eastAsia="Times New Roman" w:hAnsi="Times New Roman"/>
          <w:sz w:val="24"/>
          <w:szCs w:val="24"/>
          <w:u w:val="single"/>
        </w:rPr>
        <w:t>Antoine Dufrene v. Northshore EMS, LLC</w:t>
      </w:r>
      <w:r>
        <w:rPr>
          <w:rFonts w:ascii="Times New Roman" w:eastAsia="Times New Roman" w:hAnsi="Times New Roman"/>
          <w:sz w:val="24"/>
          <w:szCs w:val="24"/>
        </w:rPr>
        <w:t xml:space="preserve">, Court of Appeals of Louisiana, Fire Circuit, held (3 to 0) that trial judge properly granted summary judgment to the employer which terminated the EMT for breach of Drug-Free Workplace policy; plaintiff failed to that he  was fired in retaliation for filing workers comp claim. </w:t>
      </w:r>
    </w:p>
    <w:p w14:paraId="25589C65" w14:textId="77777777" w:rsidR="00174109" w:rsidRPr="00021FC8" w:rsidRDefault="00174109" w:rsidP="00174109">
      <w:pPr>
        <w:spacing w:before="100" w:beforeAutospacing="1" w:after="100" w:afterAutospacing="1" w:line="240" w:lineRule="auto"/>
        <w:ind w:left="720"/>
        <w:rPr>
          <w:rFonts w:ascii="Times New Roman" w:eastAsia="Times New Roman" w:hAnsi="Times New Roman"/>
          <w:sz w:val="24"/>
          <w:szCs w:val="24"/>
        </w:rPr>
      </w:pPr>
      <w:r>
        <w:rPr>
          <w:rFonts w:ascii="Times New Roman" w:hAnsi="Times New Roman"/>
          <w:sz w:val="24"/>
          <w:szCs w:val="24"/>
        </w:rPr>
        <w:t>“[W]</w:t>
      </w:r>
      <w:r w:rsidRPr="00021FC8">
        <w:rPr>
          <w:rFonts w:ascii="Times New Roman" w:hAnsi="Times New Roman"/>
          <w:sz w:val="24"/>
          <w:szCs w:val="24"/>
        </w:rPr>
        <w:t>e find that the plaintiff failed to produce sufficient factual support demonstrating the existence of a genuine issue of material fact on the question of whether he was terminated from his employment due to him filing a workers' compensation claim. The evidence offered by the plaintiff in opposition to the motion for summary judgment did not establish that he could demonstrate a causal connection between his termination of employment and his workers' compensation claim with any reasonable probability. In fact, the plaintiff offered no evidence to rebut the defendant's claim that his employment was terminated due to the plaintiff</w:t>
      </w:r>
      <w:r>
        <w:rPr>
          <w:rFonts w:ascii="Times New Roman" w:hAnsi="Times New Roman"/>
          <w:sz w:val="24"/>
          <w:szCs w:val="24"/>
        </w:rPr>
        <w:t>’</w:t>
      </w:r>
      <w:r w:rsidRPr="00021FC8">
        <w:rPr>
          <w:rFonts w:ascii="Times New Roman" w:hAnsi="Times New Roman"/>
          <w:sz w:val="24"/>
          <w:szCs w:val="24"/>
        </w:rPr>
        <w:t>s violation of the defendant's Drug-Free Workplace policy. Therefore, the trial court correctly granted summary judgment in favor of the</w:t>
      </w:r>
      <w:r>
        <w:rPr>
          <w:rFonts w:ascii="Times New Roman" w:hAnsi="Times New Roman"/>
          <w:sz w:val="24"/>
          <w:szCs w:val="24"/>
        </w:rPr>
        <w:t xml:space="preserve"> </w:t>
      </w:r>
      <w:proofErr w:type="gramStart"/>
      <w:r w:rsidRPr="00021FC8">
        <w:rPr>
          <w:rFonts w:ascii="Times New Roman" w:hAnsi="Times New Roman"/>
          <w:sz w:val="24"/>
          <w:szCs w:val="24"/>
        </w:rPr>
        <w:t>defendant.</w:t>
      </w:r>
      <w:r>
        <w:rPr>
          <w:rFonts w:ascii="Times New Roman" w:hAnsi="Times New Roman"/>
          <w:sz w:val="24"/>
          <w:szCs w:val="24"/>
        </w:rPr>
        <w:t>”</w:t>
      </w:r>
      <w:proofErr w:type="gramEnd"/>
      <w:r>
        <w:rPr>
          <w:rFonts w:ascii="Times New Roman" w:hAnsi="Times New Roman"/>
          <w:sz w:val="24"/>
          <w:szCs w:val="24"/>
        </w:rPr>
        <w:t xml:space="preserve"> </w:t>
      </w:r>
      <w:hyperlink r:id="rId1961" w:history="1">
        <w:r w:rsidRPr="00EC5853">
          <w:rPr>
            <w:rStyle w:val="Hyperlink"/>
            <w:rFonts w:ascii="Times New Roman" w:hAnsi="Times New Roman"/>
            <w:sz w:val="24"/>
            <w:szCs w:val="24"/>
          </w:rPr>
          <w:t>https://casetext.com/case/dufrene-v-northshore-ems-llc</w:t>
        </w:r>
      </w:hyperlink>
      <w:r>
        <w:rPr>
          <w:rFonts w:ascii="Times New Roman" w:hAnsi="Times New Roman"/>
          <w:sz w:val="24"/>
          <w:szCs w:val="24"/>
        </w:rPr>
        <w:t xml:space="preserve"> </w:t>
      </w:r>
    </w:p>
    <w:p w14:paraId="481ABC2A" w14:textId="77777777" w:rsidR="00001D9A" w:rsidRDefault="00001D9A" w:rsidP="00001D9A">
      <w:pPr>
        <w:spacing w:before="100" w:beforeAutospacing="1" w:after="100" w:afterAutospacing="1" w:line="240" w:lineRule="auto"/>
        <w:rPr>
          <w:rFonts w:ascii="Times New Roman" w:hAnsi="Times New Roman"/>
          <w:b/>
          <w:bCs/>
          <w:sz w:val="24"/>
          <w:szCs w:val="24"/>
        </w:rPr>
      </w:pPr>
      <w:r w:rsidRPr="00B27F71">
        <w:rPr>
          <w:rFonts w:ascii="Times New Roman" w:hAnsi="Times New Roman"/>
          <w:b/>
          <w:bCs/>
          <w:sz w:val="24"/>
          <w:szCs w:val="24"/>
        </w:rPr>
        <w:t>Legal Lesson Learned:</w:t>
      </w:r>
      <w:r>
        <w:rPr>
          <w:rFonts w:ascii="Times New Roman" w:hAnsi="Times New Roman"/>
          <w:b/>
          <w:bCs/>
          <w:sz w:val="24"/>
          <w:szCs w:val="24"/>
        </w:rPr>
        <w:t xml:space="preserve"> Drug-Free Workplace policies, including post injury drug testing, are lawful for EMS and other emergency responders. </w:t>
      </w:r>
    </w:p>
    <w:p w14:paraId="44B174D8" w14:textId="77777777" w:rsidR="00001D9A" w:rsidRDefault="00001D9A" w:rsidP="00001D9A">
      <w:pPr>
        <w:spacing w:before="100" w:beforeAutospacing="1" w:after="100" w:afterAutospacing="1" w:line="240" w:lineRule="auto"/>
        <w:ind w:left="720"/>
        <w:rPr>
          <w:rFonts w:ascii="Times New Roman" w:hAnsi="Times New Roman"/>
          <w:sz w:val="24"/>
          <w:szCs w:val="24"/>
        </w:rPr>
      </w:pPr>
      <w:r w:rsidRPr="00D456FB">
        <w:rPr>
          <w:rFonts w:ascii="Times New Roman" w:hAnsi="Times New Roman"/>
          <w:sz w:val="24"/>
          <w:szCs w:val="24"/>
        </w:rPr>
        <w:t xml:space="preserve">Note: Drug-Free Workplace policies should require all personnel to report in writing if they are on prescribed medication. </w:t>
      </w:r>
    </w:p>
    <w:p w14:paraId="66DC5749" w14:textId="77777777" w:rsidR="00001D9A" w:rsidRDefault="00001D9A" w:rsidP="00001D9A">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For example, s</w:t>
      </w:r>
      <w:r w:rsidRPr="00D456FB">
        <w:rPr>
          <w:rFonts w:ascii="Times New Roman" w:hAnsi="Times New Roman"/>
          <w:sz w:val="24"/>
          <w:szCs w:val="24"/>
        </w:rPr>
        <w:t xml:space="preserve">ee </w:t>
      </w:r>
      <w:r>
        <w:rPr>
          <w:rFonts w:ascii="Times New Roman" w:hAnsi="Times New Roman"/>
          <w:sz w:val="24"/>
          <w:szCs w:val="24"/>
        </w:rPr>
        <w:t xml:space="preserve">Court’s comment in this case. </w:t>
      </w:r>
    </w:p>
    <w:p w14:paraId="2E0D7D0A" w14:textId="77777777" w:rsidR="00001D9A" w:rsidRPr="00021FC8" w:rsidRDefault="00001D9A" w:rsidP="00001D9A">
      <w:pPr>
        <w:spacing w:before="100" w:beforeAutospacing="1" w:after="100" w:afterAutospacing="1" w:line="240" w:lineRule="auto"/>
        <w:ind w:left="1440"/>
        <w:rPr>
          <w:rFonts w:ascii="Times New Roman" w:eastAsia="Times New Roman" w:hAnsi="Times New Roman"/>
          <w:sz w:val="24"/>
          <w:szCs w:val="24"/>
        </w:rPr>
      </w:pPr>
      <w:r>
        <w:rPr>
          <w:rFonts w:ascii="Times New Roman" w:hAnsi="Times New Roman"/>
          <w:sz w:val="24"/>
          <w:szCs w:val="24"/>
        </w:rPr>
        <w:t>“</w:t>
      </w:r>
      <w:r w:rsidRPr="00D456FB">
        <w:rPr>
          <w:rFonts w:ascii="Times New Roman" w:hAnsi="Times New Roman"/>
          <w:sz w:val="24"/>
          <w:szCs w:val="24"/>
        </w:rPr>
        <w:t>Dr. Jasmin further stated that the plaintiff was undergoing opioid treatment with suboxone, which is buprenorphine. The plaintiff had been treated for his opioid addiction with suboxone for over five years.</w:t>
      </w:r>
      <w:r>
        <w:rPr>
          <w:rFonts w:ascii="Times New Roman" w:hAnsi="Times New Roman"/>
          <w:sz w:val="24"/>
          <w:szCs w:val="24"/>
        </w:rPr>
        <w:t>”</w:t>
      </w:r>
      <w:r w:rsidRPr="00D456FB">
        <w:rPr>
          <w:rFonts w:ascii="Times New Roman" w:hAnsi="Times New Roman"/>
          <w:sz w:val="24"/>
          <w:szCs w:val="24"/>
        </w:rPr>
        <w:t xml:space="preserve"> </w:t>
      </w:r>
      <w:hyperlink r:id="rId1962" w:history="1">
        <w:r w:rsidRPr="004065C6">
          <w:rPr>
            <w:rStyle w:val="Hyperlink"/>
            <w:rFonts w:ascii="Times New Roman" w:hAnsi="Times New Roman"/>
            <w:sz w:val="24"/>
            <w:szCs w:val="24"/>
          </w:rPr>
          <w:t>https://casetext.com/case/dufrene-v-northshore-ems-llc</w:t>
        </w:r>
      </w:hyperlink>
      <w:r>
        <w:rPr>
          <w:rFonts w:ascii="Times New Roman" w:hAnsi="Times New Roman"/>
          <w:sz w:val="24"/>
          <w:szCs w:val="24"/>
        </w:rPr>
        <w:t xml:space="preserve"> </w:t>
      </w:r>
    </w:p>
    <w:p w14:paraId="5682A33A" w14:textId="77777777" w:rsidR="00001D9A" w:rsidRDefault="00001D9A" w:rsidP="00001D9A">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 xml:space="preserve">See also this info on suboxone: </w:t>
      </w:r>
    </w:p>
    <w:p w14:paraId="6CBCC38E" w14:textId="77777777" w:rsidR="00001D9A" w:rsidRDefault="00001D9A" w:rsidP="00001D9A">
      <w:pPr>
        <w:spacing w:before="100" w:beforeAutospacing="1" w:after="100" w:afterAutospacing="1" w:line="240" w:lineRule="auto"/>
        <w:ind w:left="1440"/>
        <w:rPr>
          <w:rFonts w:ascii="Times New Roman" w:eastAsia="Times New Roman" w:hAnsi="Times New Roman"/>
          <w:sz w:val="24"/>
          <w:szCs w:val="24"/>
        </w:rPr>
      </w:pPr>
      <w:r>
        <w:rPr>
          <w:rFonts w:ascii="Times New Roman" w:eastAsia="Times New Roman" w:hAnsi="Times New Roman"/>
          <w:sz w:val="24"/>
          <w:szCs w:val="24"/>
        </w:rPr>
        <w:t>“</w:t>
      </w:r>
      <w:r w:rsidRPr="00C914C9">
        <w:rPr>
          <w:rFonts w:ascii="Times New Roman" w:eastAsia="Times New Roman" w:hAnsi="Times New Roman"/>
          <w:sz w:val="24"/>
          <w:szCs w:val="24"/>
        </w:rPr>
        <w:t>Suboxone does sometimes create mild side effects such as dizziness that could affect your ability to do certain types of work. You will begin using suboxone while you are in the treatment center and under the care of your medical team. This allows you to learn how your body responds to the suboxone before you ever return home and go back to work.</w:t>
      </w:r>
      <w:r>
        <w:rPr>
          <w:rFonts w:ascii="Times New Roman" w:eastAsia="Times New Roman" w:hAnsi="Times New Roman"/>
          <w:sz w:val="24"/>
          <w:szCs w:val="24"/>
        </w:rPr>
        <w:t xml:space="preserve"> </w:t>
      </w:r>
      <w:r w:rsidRPr="00C914C9">
        <w:rPr>
          <w:rFonts w:ascii="Times New Roman" w:eastAsia="Times New Roman" w:hAnsi="Times New Roman"/>
          <w:sz w:val="24"/>
          <w:szCs w:val="24"/>
        </w:rPr>
        <w:t>In most cases, you will find that any side effects that you experience are mild enough that they do not affect your ability to perform your job duties. In fact, you will be better able to maintain a career when you are not stuck in the throes of dealing with addiction. Keep in mind that adjustments to your dosage could alter your reaction so always follow the medication instructions and be cautious about activities such as driving until you know how you react.</w:t>
      </w:r>
      <w:r>
        <w:rPr>
          <w:rFonts w:ascii="Times New Roman" w:eastAsia="Times New Roman" w:hAnsi="Times New Roman"/>
          <w:sz w:val="24"/>
          <w:szCs w:val="24"/>
        </w:rPr>
        <w:t xml:space="preserve">” </w:t>
      </w:r>
      <w:hyperlink r:id="rId1963" w:history="1">
        <w:r w:rsidRPr="004065C6">
          <w:rPr>
            <w:rStyle w:val="Hyperlink"/>
            <w:rFonts w:ascii="Times New Roman" w:eastAsia="Times New Roman" w:hAnsi="Times New Roman"/>
            <w:sz w:val="24"/>
            <w:szCs w:val="24"/>
          </w:rPr>
          <w:t>https://dreamcenterforrecovery.com/can-take-suboxone-still-go-work/</w:t>
        </w:r>
      </w:hyperlink>
      <w:r>
        <w:rPr>
          <w:rFonts w:ascii="Times New Roman" w:eastAsia="Times New Roman" w:hAnsi="Times New Roman"/>
          <w:sz w:val="24"/>
          <w:szCs w:val="24"/>
        </w:rPr>
        <w:t xml:space="preserve"> </w:t>
      </w:r>
    </w:p>
    <w:p w14:paraId="20A71679" w14:textId="77777777" w:rsidR="00001D9A" w:rsidRDefault="00001D9A" w:rsidP="00001D9A">
      <w:pPr>
        <w:spacing w:before="100" w:beforeAutospacing="1" w:after="100" w:afterAutospacing="1" w:line="240" w:lineRule="auto"/>
        <w:rPr>
          <w:rFonts w:ascii="Arial Black" w:eastAsia="Times New Roman" w:hAnsi="Arial Black"/>
          <w:sz w:val="28"/>
          <w:szCs w:val="28"/>
        </w:rPr>
      </w:pPr>
    </w:p>
    <w:p w14:paraId="3E34AC99" w14:textId="77777777" w:rsidR="00174109" w:rsidRDefault="00174109" w:rsidP="00F326E5">
      <w:pPr>
        <w:rPr>
          <w:rFonts w:ascii="Arial Black" w:hAnsi="Arial Black"/>
          <w:b/>
          <w:sz w:val="24"/>
          <w:szCs w:val="24"/>
        </w:rPr>
      </w:pPr>
    </w:p>
    <w:p w14:paraId="4563E767" w14:textId="77777777" w:rsidR="00174109" w:rsidRDefault="00174109" w:rsidP="00F326E5">
      <w:pPr>
        <w:rPr>
          <w:rFonts w:ascii="Arial Black" w:hAnsi="Arial Black"/>
          <w:b/>
          <w:sz w:val="24"/>
          <w:szCs w:val="24"/>
        </w:rPr>
      </w:pPr>
    </w:p>
    <w:p w14:paraId="5DD01093" w14:textId="78D95A23" w:rsidR="00174109" w:rsidRDefault="00174109" w:rsidP="00F326E5">
      <w:pPr>
        <w:rPr>
          <w:rFonts w:ascii="Arial Black" w:hAnsi="Arial Black"/>
          <w:b/>
          <w:sz w:val="24"/>
          <w:szCs w:val="24"/>
        </w:rPr>
      </w:pPr>
      <w:r>
        <w:rPr>
          <w:rFonts w:ascii="Arial Black" w:hAnsi="Arial Black"/>
          <w:b/>
          <w:sz w:val="24"/>
          <w:szCs w:val="24"/>
        </w:rPr>
        <w:t>12-15</w:t>
      </w:r>
    </w:p>
    <w:p w14:paraId="7A969389" w14:textId="77777777" w:rsidR="00174109" w:rsidRDefault="00174109" w:rsidP="00174109">
      <w:pPr>
        <w:ind w:left="90"/>
        <w:rPr>
          <w:rFonts w:ascii="Arial Black" w:hAnsi="Arial Black"/>
          <w:sz w:val="28"/>
          <w:szCs w:val="28"/>
        </w:rPr>
      </w:pPr>
      <w:r>
        <w:rPr>
          <w:rFonts w:ascii="Arial Black" w:hAnsi="Arial Black"/>
          <w:sz w:val="28"/>
          <w:szCs w:val="28"/>
        </w:rPr>
        <w:t>LA: URINE TEST – “SHY BLADDER” - 1</w:t>
      </w:r>
      <w:r w:rsidRPr="00D20B2B">
        <w:rPr>
          <w:rFonts w:ascii="Arial Black" w:hAnsi="Arial Black"/>
          <w:sz w:val="28"/>
          <w:szCs w:val="28"/>
          <w:vertAlign w:val="superscript"/>
        </w:rPr>
        <w:t>st</w:t>
      </w:r>
      <w:r>
        <w:rPr>
          <w:rFonts w:ascii="Arial Black" w:hAnsi="Arial Black"/>
          <w:sz w:val="28"/>
          <w:szCs w:val="28"/>
        </w:rPr>
        <w:t xml:space="preserve"> SAMPLE TOO COLD - 3 HRS NO SAMPLES – REHIRED – BREACH FED. PROTOCOL  </w:t>
      </w:r>
    </w:p>
    <w:p w14:paraId="7DA6F4BD" w14:textId="77777777" w:rsidR="00174109" w:rsidRPr="00EF39AB" w:rsidRDefault="00174109" w:rsidP="00174109">
      <w:pPr>
        <w:ind w:left="90"/>
        <w:rPr>
          <w:rFonts w:ascii="Times New Roman" w:hAnsi="Times New Roman"/>
          <w:sz w:val="24"/>
          <w:szCs w:val="24"/>
        </w:rPr>
      </w:pPr>
      <w:r w:rsidRPr="00EF39AB">
        <w:rPr>
          <w:rFonts w:ascii="Times New Roman" w:hAnsi="Times New Roman"/>
          <w:sz w:val="24"/>
          <w:szCs w:val="24"/>
        </w:rPr>
        <w:t xml:space="preserve">On Dec. 1, 2021, in </w:t>
      </w:r>
      <w:r w:rsidRPr="00EF39AB">
        <w:rPr>
          <w:rFonts w:ascii="Times New Roman" w:hAnsi="Times New Roman"/>
          <w:sz w:val="24"/>
          <w:szCs w:val="24"/>
          <w:u w:val="single"/>
        </w:rPr>
        <w:t>Roy Neely v. Department of Fire [New Orleans]</w:t>
      </w:r>
      <w:r w:rsidRPr="00EF39AB">
        <w:rPr>
          <w:rFonts w:ascii="Times New Roman" w:hAnsi="Times New Roman"/>
          <w:sz w:val="24"/>
          <w:szCs w:val="24"/>
        </w:rPr>
        <w:t xml:space="preserve">, the Court of Appeals of Louisiana, Fourth Circuit, held (3 to 0) that the City Civil Service Commission properly ordered the 11-year firefighter (no prior discipline) reinstated. “Had the SAMHSA [federal Substance Abuse and Mental Health Services Administration] guidelines been followed, an alternate specimen would have been quickly </w:t>
      </w:r>
      <w:proofErr w:type="gramStart"/>
      <w:r w:rsidRPr="00EF39AB">
        <w:rPr>
          <w:rFonts w:ascii="Times New Roman" w:hAnsi="Times New Roman"/>
          <w:sz w:val="24"/>
          <w:szCs w:val="24"/>
        </w:rPr>
        <w:t>collected</w:t>
      </w:r>
      <w:proofErr w:type="gramEnd"/>
      <w:r w:rsidRPr="00EF39AB">
        <w:rPr>
          <w:rFonts w:ascii="Times New Roman" w:hAnsi="Times New Roman"/>
          <w:sz w:val="24"/>
          <w:szCs w:val="24"/>
        </w:rPr>
        <w:t xml:space="preserve"> or a medical evaluation would have occurred within five days, thereby facilitating the agency's efficient operation.” The Court noted that the FD could have provided in its protocol for hair or blood testing for “shy bladder” cases. </w:t>
      </w:r>
    </w:p>
    <w:p w14:paraId="0907EE2D" w14:textId="77777777" w:rsidR="00174109" w:rsidRPr="00EF39AB" w:rsidRDefault="00174109" w:rsidP="00174109">
      <w:pPr>
        <w:spacing w:before="100" w:beforeAutospacing="1" w:after="100" w:afterAutospacing="1" w:line="240" w:lineRule="auto"/>
        <w:ind w:left="720"/>
        <w:rPr>
          <w:rFonts w:ascii="Times New Roman" w:eastAsia="Times New Roman" w:hAnsi="Times New Roman"/>
          <w:b/>
          <w:bCs/>
          <w:sz w:val="24"/>
          <w:szCs w:val="24"/>
        </w:rPr>
      </w:pPr>
      <w:r w:rsidRPr="00EF39AB">
        <w:rPr>
          <w:rFonts w:ascii="Times New Roman" w:hAnsi="Times New Roman"/>
          <w:sz w:val="24"/>
          <w:szCs w:val="24"/>
        </w:rPr>
        <w:t xml:space="preserve">“Analyzing these guidelines together, it is evident that the appellee's conduct did not characterize a refusal to test. He appeared for the test, underwent and passed the first portion of it, stayed on the premises for the duration of the test, drank more than the minimum amount of fluid to facilitate urination, made three observed attempts to provide a sample, and expressed a willingness to undergo additional testing when he was unable to provide a second specimen. The appellee believed that he would have an opportunity to provide an alternate specimen, and when one was not requested, he paid for an additional test himself. The appellant failed to follow the mandatory testing protocol set forth in SAMHSA by not requesting an alternate sample or ordering a medical </w:t>
      </w:r>
      <w:proofErr w:type="gramStart"/>
      <w:r w:rsidRPr="00EF39AB">
        <w:rPr>
          <w:rFonts w:ascii="Times New Roman" w:hAnsi="Times New Roman"/>
          <w:sz w:val="24"/>
          <w:szCs w:val="24"/>
        </w:rPr>
        <w:t>evaluation, and</w:t>
      </w:r>
      <w:proofErr w:type="gramEnd"/>
      <w:r w:rsidRPr="00EF39AB">
        <w:rPr>
          <w:rFonts w:ascii="Times New Roman" w:hAnsi="Times New Roman"/>
          <w:sz w:val="24"/>
          <w:szCs w:val="24"/>
        </w:rPr>
        <w:t xml:space="preserve"> incorrectly concluded that the appellee's behavior constituted a refusal to test. *** The comments reveal that in drafting updates to the guidelines, a commenter requested that immediate alternate collections be made mandatory, to avoid additional costs associated with medical evaluations of "shy bladder" that would otherwise be necessary. Instead, the Department gave agencies the authority to decide whether to implement a standard protocol requiring an immediate alternate specimen, or to decide on a case-by-case basis whether to request an alternate specimen. This commentary illustrates a collective understanding that a ‘shy bladder’ is a condition requiring further evaluation.” </w:t>
      </w:r>
      <w:hyperlink r:id="rId1964" w:history="1">
        <w:r w:rsidRPr="00EC5853">
          <w:rPr>
            <w:rStyle w:val="Hyperlink"/>
            <w:rFonts w:ascii="Times New Roman" w:hAnsi="Times New Roman"/>
            <w:sz w:val="24"/>
            <w:szCs w:val="24"/>
          </w:rPr>
          <w:t>https://law.justia.com/cases/louisiana/fourth-circuit-court-of-appeal/2021/2021-ca-0454.html</w:t>
        </w:r>
      </w:hyperlink>
      <w:r>
        <w:rPr>
          <w:rFonts w:ascii="Times New Roman" w:hAnsi="Times New Roman"/>
          <w:sz w:val="24"/>
          <w:szCs w:val="24"/>
        </w:rPr>
        <w:t xml:space="preserve"> </w:t>
      </w:r>
    </w:p>
    <w:p w14:paraId="38B27D86" w14:textId="77777777" w:rsidR="00174109" w:rsidRPr="00131B6D" w:rsidRDefault="00174109" w:rsidP="00174109">
      <w:pPr>
        <w:spacing w:before="100" w:beforeAutospacing="1" w:after="100" w:afterAutospacing="1" w:line="240" w:lineRule="auto"/>
        <w:rPr>
          <w:rFonts w:ascii="Times New Roman" w:eastAsia="Times New Roman" w:hAnsi="Times New Roman"/>
          <w:b/>
          <w:bCs/>
          <w:sz w:val="24"/>
          <w:szCs w:val="24"/>
        </w:rPr>
      </w:pPr>
      <w:r w:rsidRPr="00131B6D">
        <w:rPr>
          <w:rFonts w:ascii="Times New Roman" w:eastAsia="Times New Roman" w:hAnsi="Times New Roman"/>
          <w:b/>
          <w:bCs/>
          <w:sz w:val="24"/>
          <w:szCs w:val="24"/>
        </w:rPr>
        <w:t>Legal Lesson Learned:</w:t>
      </w:r>
      <w:r>
        <w:rPr>
          <w:rFonts w:ascii="Times New Roman" w:eastAsia="Times New Roman" w:hAnsi="Times New Roman"/>
          <w:b/>
          <w:bCs/>
          <w:sz w:val="24"/>
          <w:szCs w:val="24"/>
        </w:rPr>
        <w:t xml:space="preserve"> To avoid similar litigation, FDs should adopt a policy that gives firefighters with a “shy bladder” the option taking a hair or blood test, or a medical exam at the firefighter’s expense. </w:t>
      </w:r>
    </w:p>
    <w:p w14:paraId="5CDAD513" w14:textId="77777777" w:rsidR="00174109" w:rsidRDefault="00174109" w:rsidP="00F326E5">
      <w:pPr>
        <w:rPr>
          <w:rFonts w:ascii="Arial Black" w:hAnsi="Arial Black"/>
          <w:b/>
          <w:sz w:val="24"/>
          <w:szCs w:val="24"/>
        </w:rPr>
      </w:pPr>
    </w:p>
    <w:p w14:paraId="4C38BEE5" w14:textId="1218CF71" w:rsidR="00885321" w:rsidRDefault="00885321" w:rsidP="00F326E5">
      <w:pPr>
        <w:rPr>
          <w:rFonts w:ascii="Arial Black" w:hAnsi="Arial Black"/>
          <w:b/>
          <w:sz w:val="24"/>
          <w:szCs w:val="24"/>
        </w:rPr>
      </w:pPr>
      <w:r>
        <w:rPr>
          <w:rFonts w:ascii="Arial Black" w:hAnsi="Arial Black"/>
          <w:b/>
          <w:sz w:val="24"/>
          <w:szCs w:val="24"/>
        </w:rPr>
        <w:t>12-14</w:t>
      </w:r>
    </w:p>
    <w:p w14:paraId="1FBB9DF8" w14:textId="77777777" w:rsidR="00885321" w:rsidRDefault="00885321" w:rsidP="00885321">
      <w:pPr>
        <w:pStyle w:val="NormalWeb"/>
        <w:rPr>
          <w:rFonts w:ascii="Arial Black" w:hAnsi="Arial Black"/>
          <w:sz w:val="28"/>
          <w:szCs w:val="28"/>
        </w:rPr>
      </w:pPr>
      <w:r>
        <w:rPr>
          <w:rFonts w:ascii="Arial Black" w:hAnsi="Arial Black"/>
          <w:sz w:val="28"/>
          <w:szCs w:val="28"/>
        </w:rPr>
        <w:t>OK: STATE AG SUES OPIOID MANUFACTURERS – MARKETING DRUGS - $465M VERDICT SET ASIDE – J&amp;J</w:t>
      </w:r>
    </w:p>
    <w:p w14:paraId="7BA7E78A" w14:textId="77777777" w:rsidR="00885321" w:rsidRDefault="00885321" w:rsidP="00885321">
      <w:pPr>
        <w:pStyle w:val="NormalWeb"/>
      </w:pPr>
      <w:r>
        <w:t xml:space="preserve">On Nov. 9, 2021, in </w:t>
      </w:r>
      <w:r w:rsidRPr="00CA6C2D">
        <w:rPr>
          <w:u w:val="single"/>
        </w:rPr>
        <w:t>State ex rel. Attorney General of Oklahoma v. Johnson &amp; Johnson</w:t>
      </w:r>
      <w:r>
        <w:t>, the Supreme Court of the State of Oklahoma (5 to 1) overturned $465 million judgment won by the State.  In 2019, state District Judge Thad Balkman ruled in a bench trial supporting the State’s argument that J&amp;J created a "public nuisance" through its marketing of prescription pain pills.</w:t>
      </w:r>
    </w:p>
    <w:p w14:paraId="736A9F07" w14:textId="77777777" w:rsidR="00885321" w:rsidRDefault="00885321" w:rsidP="00885321">
      <w:pPr>
        <w:pStyle w:val="NormalWeb"/>
        <w:ind w:left="720"/>
      </w:pPr>
      <w:r>
        <w:lastRenderedPageBreak/>
        <w:t xml:space="preserve">“To address this problem, the State of Oklahoma ex rel. Mike Hunter, Attorney General of Oklahoma ("State"), sued three prescription opioid manufacturers and requested that the district court hold opioid manufacturers liable for violating Oklahoma's public nuisance statute. The question before the Court is whether the conduct of an opioid manufacturer in marketing and selling its products constituted a public nuisance under 50 O.S.2011, §§ 1 &amp; 2. We hold that the district court's expansion of public nuisance law went too far. Oklahoma public nuisance law does not extend to the manufacturing, marketing, and selling of prescription opioids.” </w:t>
      </w:r>
      <w:hyperlink r:id="rId1965" w:history="1">
        <w:r w:rsidRPr="0085682C">
          <w:rPr>
            <w:rStyle w:val="Hyperlink"/>
          </w:rPr>
          <w:t>https://law.justia.com/cases/oklahoma/supreme-court/2021/118474.html</w:t>
        </w:r>
      </w:hyperlink>
      <w:r>
        <w:t xml:space="preserve"> </w:t>
      </w:r>
    </w:p>
    <w:p w14:paraId="4270A239" w14:textId="77777777" w:rsidR="00885321" w:rsidRPr="00D37C80" w:rsidRDefault="00885321" w:rsidP="00885321">
      <w:pPr>
        <w:spacing w:before="100" w:beforeAutospacing="1" w:after="100" w:afterAutospacing="1" w:line="240" w:lineRule="auto"/>
        <w:rPr>
          <w:rFonts w:ascii="Times New Roman" w:eastAsia="Times New Roman" w:hAnsi="Times New Roman"/>
          <w:b/>
          <w:bCs/>
          <w:sz w:val="24"/>
          <w:szCs w:val="24"/>
        </w:rPr>
      </w:pPr>
      <w:r w:rsidRPr="00D37C80">
        <w:rPr>
          <w:rFonts w:ascii="Times New Roman" w:eastAsia="Times New Roman" w:hAnsi="Times New Roman"/>
          <w:b/>
          <w:bCs/>
          <w:sz w:val="24"/>
          <w:szCs w:val="24"/>
        </w:rPr>
        <w:t>Legal Lesson Learned:</w:t>
      </w:r>
      <w:r>
        <w:rPr>
          <w:rFonts w:ascii="Times New Roman" w:eastAsia="Times New Roman" w:hAnsi="Times New Roman"/>
          <w:b/>
          <w:bCs/>
          <w:sz w:val="24"/>
          <w:szCs w:val="24"/>
        </w:rPr>
        <w:t xml:space="preserve">  Numerous states have sued drug manufacturers and drug retail stores; the Oklahoma Supreme Court decision applies only to Oklahoma.</w:t>
      </w:r>
    </w:p>
    <w:p w14:paraId="760C2990" w14:textId="77777777" w:rsidR="00885321" w:rsidRDefault="00885321" w:rsidP="00885321">
      <w:pPr>
        <w:pStyle w:val="Heading1"/>
        <w:ind w:left="720"/>
        <w:rPr>
          <w:b w:val="0"/>
          <w:bCs w:val="0"/>
          <w:sz w:val="24"/>
          <w:szCs w:val="24"/>
        </w:rPr>
      </w:pPr>
      <w:r>
        <w:rPr>
          <w:b w:val="0"/>
          <w:bCs w:val="0"/>
          <w:sz w:val="24"/>
          <w:szCs w:val="24"/>
        </w:rPr>
        <w:t>See article on this decision:</w:t>
      </w:r>
      <w:r w:rsidRPr="00190C74">
        <w:rPr>
          <w:b w:val="0"/>
          <w:bCs w:val="0"/>
          <w:sz w:val="24"/>
          <w:szCs w:val="24"/>
        </w:rPr>
        <w:t xml:space="preserve"> </w:t>
      </w:r>
    </w:p>
    <w:p w14:paraId="4BA376BE" w14:textId="77777777" w:rsidR="00885321" w:rsidRDefault="00885321" w:rsidP="00885321">
      <w:pPr>
        <w:pStyle w:val="Heading1"/>
        <w:ind w:left="720"/>
        <w:rPr>
          <w:b w:val="0"/>
          <w:bCs w:val="0"/>
          <w:sz w:val="24"/>
          <w:szCs w:val="24"/>
        </w:rPr>
      </w:pPr>
      <w:r>
        <w:rPr>
          <w:b w:val="0"/>
          <w:bCs w:val="0"/>
          <w:sz w:val="24"/>
          <w:szCs w:val="24"/>
        </w:rPr>
        <w:t>Nov. 9, 2021: “</w:t>
      </w:r>
      <w:r w:rsidRPr="00190C74">
        <w:rPr>
          <w:b w:val="0"/>
          <w:bCs w:val="0"/>
          <w:sz w:val="24"/>
          <w:szCs w:val="24"/>
        </w:rPr>
        <w:t>Oklahoma's Supreme Court tossed out a landmark $465 million opioid ruling</w:t>
      </w:r>
      <w:r>
        <w:rPr>
          <w:b w:val="0"/>
          <w:bCs w:val="0"/>
          <w:sz w:val="24"/>
          <w:szCs w:val="24"/>
        </w:rPr>
        <w:t xml:space="preserve">.” </w:t>
      </w:r>
      <w:r w:rsidRPr="00190C74">
        <w:rPr>
          <w:b w:val="0"/>
          <w:bCs w:val="0"/>
          <w:sz w:val="24"/>
          <w:szCs w:val="24"/>
        </w:rPr>
        <w:t xml:space="preserve"> </w:t>
      </w:r>
      <w:hyperlink r:id="rId1966" w:history="1">
        <w:r w:rsidRPr="0085682C">
          <w:rPr>
            <w:rStyle w:val="Hyperlink"/>
            <w:b w:val="0"/>
            <w:bCs w:val="0"/>
            <w:sz w:val="24"/>
            <w:szCs w:val="24"/>
          </w:rPr>
          <w:t>https://www.npr.org/2021/11/09/1054000996/oklahoma-supreme-court-465-million-opioid-ruling</w:t>
        </w:r>
      </w:hyperlink>
      <w:r w:rsidRPr="00190C74">
        <w:rPr>
          <w:b w:val="0"/>
          <w:bCs w:val="0"/>
          <w:sz w:val="24"/>
          <w:szCs w:val="24"/>
        </w:rPr>
        <w:t xml:space="preserve"> </w:t>
      </w:r>
    </w:p>
    <w:p w14:paraId="590F338F" w14:textId="77777777" w:rsidR="00885321" w:rsidRDefault="00885321" w:rsidP="00885321">
      <w:pPr>
        <w:pStyle w:val="Heading1"/>
        <w:ind w:left="720"/>
        <w:rPr>
          <w:b w:val="0"/>
          <w:bCs w:val="0"/>
          <w:sz w:val="24"/>
          <w:szCs w:val="24"/>
        </w:rPr>
      </w:pPr>
      <w:r>
        <w:rPr>
          <w:b w:val="0"/>
          <w:bCs w:val="0"/>
          <w:sz w:val="24"/>
          <w:szCs w:val="24"/>
        </w:rPr>
        <w:t xml:space="preserve">But see other Court decisions: </w:t>
      </w:r>
    </w:p>
    <w:p w14:paraId="3739DB4D" w14:textId="77777777" w:rsidR="00885321" w:rsidRDefault="00885321" w:rsidP="00885321">
      <w:pPr>
        <w:pStyle w:val="Heading1"/>
        <w:ind w:left="720"/>
        <w:rPr>
          <w:b w:val="0"/>
          <w:bCs w:val="0"/>
          <w:sz w:val="24"/>
          <w:szCs w:val="24"/>
        </w:rPr>
      </w:pPr>
      <w:r>
        <w:rPr>
          <w:b w:val="0"/>
          <w:bCs w:val="0"/>
          <w:sz w:val="24"/>
          <w:szCs w:val="24"/>
        </w:rPr>
        <w:t xml:space="preserve">Nov. 23, 2021: </w:t>
      </w:r>
      <w:r w:rsidRPr="00C201AC">
        <w:rPr>
          <w:b w:val="0"/>
          <w:bCs w:val="0"/>
          <w:sz w:val="24"/>
          <w:szCs w:val="24"/>
        </w:rPr>
        <w:t xml:space="preserve">“3 of America's biggest pharmacy chains </w:t>
      </w:r>
      <w:proofErr w:type="gramStart"/>
      <w:r w:rsidRPr="00C201AC">
        <w:rPr>
          <w:b w:val="0"/>
          <w:bCs w:val="0"/>
          <w:sz w:val="24"/>
          <w:szCs w:val="24"/>
        </w:rPr>
        <w:t>have</w:t>
      </w:r>
      <w:proofErr w:type="gramEnd"/>
      <w:r w:rsidRPr="00C201AC">
        <w:rPr>
          <w:b w:val="0"/>
          <w:bCs w:val="0"/>
          <w:sz w:val="24"/>
          <w:szCs w:val="24"/>
        </w:rPr>
        <w:t xml:space="preserve"> been found liable for the opioid crisis.” </w:t>
      </w:r>
      <w:hyperlink r:id="rId1967" w:history="1">
        <w:r w:rsidRPr="0085682C">
          <w:rPr>
            <w:rStyle w:val="Hyperlink"/>
            <w:b w:val="0"/>
            <w:bCs w:val="0"/>
            <w:sz w:val="24"/>
            <w:szCs w:val="24"/>
          </w:rPr>
          <w:t>https://www.npr.org/2021/11/23/1058539458/a-jury-in-ohio-says-americas-big-pharmacy-chains-are-liable-for-the-opioid-epide</w:t>
        </w:r>
      </w:hyperlink>
      <w:r w:rsidRPr="00C201AC">
        <w:rPr>
          <w:b w:val="0"/>
          <w:bCs w:val="0"/>
          <w:sz w:val="24"/>
          <w:szCs w:val="24"/>
        </w:rPr>
        <w:t xml:space="preserve"> </w:t>
      </w:r>
    </w:p>
    <w:p w14:paraId="419EF775" w14:textId="77777777" w:rsidR="00885321" w:rsidRPr="00C201AC" w:rsidRDefault="00885321" w:rsidP="00885321">
      <w:pPr>
        <w:pStyle w:val="Heading1"/>
        <w:ind w:left="1440"/>
        <w:rPr>
          <w:b w:val="0"/>
          <w:bCs w:val="0"/>
          <w:sz w:val="24"/>
          <w:szCs w:val="24"/>
        </w:rPr>
      </w:pPr>
      <w:r>
        <w:rPr>
          <w:b w:val="0"/>
          <w:bCs w:val="0"/>
          <w:sz w:val="24"/>
          <w:szCs w:val="24"/>
        </w:rPr>
        <w:t>“</w:t>
      </w:r>
      <w:r w:rsidRPr="00C201AC">
        <w:rPr>
          <w:b w:val="0"/>
          <w:bCs w:val="0"/>
          <w:sz w:val="24"/>
          <w:szCs w:val="24"/>
        </w:rPr>
        <w:t>A federal jury on Tuesday found three of the nation's biggest pharmacy chains, CVS, Walgreens and Walmart, liable for helping to fuel the U.S. opioid crisis — a decision that's expected to have legal repercussions as thousands of similar lawsuits move forward in courts across the country.</w:t>
      </w:r>
      <w:r>
        <w:rPr>
          <w:b w:val="0"/>
          <w:bCs w:val="0"/>
          <w:sz w:val="24"/>
          <w:szCs w:val="24"/>
        </w:rPr>
        <w:t>”</w:t>
      </w:r>
    </w:p>
    <w:p w14:paraId="0A881F38" w14:textId="77777777" w:rsidR="00885321" w:rsidRPr="00190C74" w:rsidRDefault="00885321" w:rsidP="00885321">
      <w:pPr>
        <w:pStyle w:val="Heading1"/>
        <w:ind w:left="720"/>
        <w:rPr>
          <w:b w:val="0"/>
          <w:bCs w:val="0"/>
          <w:sz w:val="24"/>
          <w:szCs w:val="24"/>
        </w:rPr>
      </w:pPr>
      <w:r>
        <w:rPr>
          <w:b w:val="0"/>
          <w:bCs w:val="0"/>
          <w:sz w:val="24"/>
          <w:szCs w:val="24"/>
        </w:rPr>
        <w:t xml:space="preserve"> Nov. 1, 2021: “</w:t>
      </w:r>
      <w:r w:rsidRPr="00190C74">
        <w:rPr>
          <w:b w:val="0"/>
          <w:bCs w:val="0"/>
          <w:sz w:val="24"/>
          <w:szCs w:val="24"/>
        </w:rPr>
        <w:t xml:space="preserve">A California court says drug companies aren't liable for the state's opioid crisis. </w:t>
      </w:r>
      <w:hyperlink r:id="rId1968" w:history="1">
        <w:r w:rsidRPr="0085682C">
          <w:rPr>
            <w:rStyle w:val="Hyperlink"/>
            <w:b w:val="0"/>
            <w:bCs w:val="0"/>
            <w:sz w:val="24"/>
            <w:szCs w:val="24"/>
          </w:rPr>
          <w:t>https://www.npr.org/2021/11/01/1051321580/california-judge-drug-companies-opioid-crisis-allergan-endo-johnson-teva</w:t>
        </w:r>
      </w:hyperlink>
      <w:r w:rsidRPr="00190C74">
        <w:rPr>
          <w:b w:val="0"/>
          <w:bCs w:val="0"/>
          <w:sz w:val="24"/>
          <w:szCs w:val="24"/>
        </w:rPr>
        <w:t xml:space="preserve"> </w:t>
      </w:r>
    </w:p>
    <w:p w14:paraId="23226769" w14:textId="77777777" w:rsidR="00885321" w:rsidRPr="00C201AC" w:rsidRDefault="00885321" w:rsidP="00885321">
      <w:pPr>
        <w:spacing w:before="100" w:beforeAutospacing="1" w:after="100" w:afterAutospacing="1" w:line="240" w:lineRule="auto"/>
        <w:ind w:left="1440"/>
        <w:rPr>
          <w:rFonts w:ascii="Times New Roman" w:eastAsia="Times New Roman" w:hAnsi="Times New Roman"/>
          <w:sz w:val="24"/>
          <w:szCs w:val="24"/>
        </w:rPr>
      </w:pPr>
      <w:r>
        <w:rPr>
          <w:rFonts w:ascii="Times New Roman" w:eastAsia="Times New Roman" w:hAnsi="Times New Roman"/>
          <w:sz w:val="24"/>
          <w:szCs w:val="24"/>
        </w:rPr>
        <w:t>“</w:t>
      </w:r>
      <w:r w:rsidRPr="00C201AC">
        <w:rPr>
          <w:rFonts w:ascii="Times New Roman" w:eastAsia="Times New Roman" w:hAnsi="Times New Roman"/>
          <w:sz w:val="24"/>
          <w:szCs w:val="24"/>
        </w:rPr>
        <w:t xml:space="preserve">A state judge in California ruled late Monday that four drug companies can't be held liable for that state's opioid epidemic. Communities had hoped for tens of billions of dollars in compensation to help ease the addiction crisis. </w:t>
      </w:r>
      <w:r>
        <w:rPr>
          <w:rFonts w:ascii="Times New Roman" w:eastAsia="Times New Roman" w:hAnsi="Times New Roman"/>
          <w:sz w:val="24"/>
          <w:szCs w:val="24"/>
        </w:rPr>
        <w:t xml:space="preserve"> </w:t>
      </w:r>
      <w:r w:rsidRPr="00C201AC">
        <w:rPr>
          <w:rFonts w:ascii="Times New Roman" w:eastAsia="Times New Roman" w:hAnsi="Times New Roman"/>
          <w:sz w:val="24"/>
          <w:szCs w:val="24"/>
        </w:rPr>
        <w:t>Attorneys representing four California counties argued the drug companies Allergan, Endo, Johnson &amp; Johnson and Teva used false and misleading marketing to push up the sale of prescription opioids.</w:t>
      </w:r>
      <w:r>
        <w:rPr>
          <w:rFonts w:ascii="Times New Roman" w:eastAsia="Times New Roman" w:hAnsi="Times New Roman"/>
          <w:sz w:val="24"/>
          <w:szCs w:val="24"/>
        </w:rPr>
        <w:t>”</w:t>
      </w:r>
    </w:p>
    <w:p w14:paraId="5CAE2483" w14:textId="77777777" w:rsidR="00885321" w:rsidRDefault="00885321" w:rsidP="00F326E5">
      <w:pPr>
        <w:rPr>
          <w:rFonts w:ascii="Arial Black" w:hAnsi="Arial Black"/>
          <w:b/>
          <w:sz w:val="24"/>
          <w:szCs w:val="24"/>
        </w:rPr>
      </w:pPr>
    </w:p>
    <w:p w14:paraId="7ECE1CD5" w14:textId="357215CC" w:rsidR="00774A91" w:rsidRDefault="00774A91" w:rsidP="00F326E5">
      <w:pPr>
        <w:rPr>
          <w:rFonts w:ascii="Arial Black" w:hAnsi="Arial Black"/>
          <w:b/>
          <w:sz w:val="24"/>
          <w:szCs w:val="24"/>
        </w:rPr>
      </w:pPr>
      <w:r>
        <w:rPr>
          <w:rFonts w:ascii="Arial Black" w:hAnsi="Arial Black"/>
          <w:b/>
          <w:sz w:val="24"/>
          <w:szCs w:val="24"/>
        </w:rPr>
        <w:t>12-13</w:t>
      </w:r>
    </w:p>
    <w:p w14:paraId="3D0AFAC3" w14:textId="77777777" w:rsidR="00774A91" w:rsidRPr="005C4D5B" w:rsidRDefault="00774A91" w:rsidP="00774A91">
      <w:pPr>
        <w:spacing w:before="100" w:beforeAutospacing="1" w:after="100" w:afterAutospacing="1" w:line="240" w:lineRule="auto"/>
        <w:rPr>
          <w:rFonts w:ascii="Arial Black" w:eastAsia="Times New Roman" w:hAnsi="Arial Black"/>
          <w:b/>
          <w:bCs/>
          <w:sz w:val="28"/>
          <w:szCs w:val="28"/>
        </w:rPr>
      </w:pPr>
      <w:r w:rsidRPr="005C4D5B">
        <w:rPr>
          <w:rFonts w:ascii="Arial Black" w:eastAsia="Times New Roman" w:hAnsi="Arial Black"/>
          <w:b/>
          <w:bCs/>
          <w:sz w:val="28"/>
          <w:szCs w:val="28"/>
        </w:rPr>
        <w:t>MI: FREELANCE PHOTOGRAPHER –</w:t>
      </w:r>
      <w:r>
        <w:rPr>
          <w:rFonts w:ascii="Arial Black" w:eastAsia="Times New Roman" w:hAnsi="Arial Black"/>
          <w:b/>
          <w:bCs/>
          <w:sz w:val="28"/>
          <w:szCs w:val="28"/>
        </w:rPr>
        <w:t xml:space="preserve"> LAWFULLY BANNED FROM FIREHOUSES FOR DRINKING – NOT RETALIATION</w:t>
      </w:r>
    </w:p>
    <w:p w14:paraId="6942F097" w14:textId="77777777" w:rsidR="00774A91" w:rsidRDefault="00774A91" w:rsidP="00774A91">
      <w:pPr>
        <w:pStyle w:val="NormalWeb"/>
      </w:pPr>
      <w:r>
        <w:t xml:space="preserve">On Oct. 27, 2021, in </w:t>
      </w:r>
      <w:r w:rsidRPr="005C4D5B">
        <w:rPr>
          <w:u w:val="single"/>
        </w:rPr>
        <w:t>Alexander Haggart v. City of Detroit, et al</w:t>
      </w:r>
      <w:r>
        <w:t xml:space="preserve">., U.S. District Court Judge Steven J. Murphy, U.S. District Court, Eastern District of Michigan (Southern Division) granted defendants’ motion for summary judgment, </w:t>
      </w:r>
      <w:r w:rsidRPr="00B97D8A">
        <w:t xml:space="preserve">including </w:t>
      </w:r>
      <w:r>
        <w:t xml:space="preserve">Fire </w:t>
      </w:r>
      <w:r w:rsidRPr="00B97D8A">
        <w:t>Chief Patrick McNulty</w:t>
      </w:r>
      <w:r>
        <w:t xml:space="preserve"> and </w:t>
      </w:r>
      <w:r w:rsidRPr="00B97D8A">
        <w:t>Deputy Chief Robert Shinske</w:t>
      </w:r>
      <w:r>
        <w:t xml:space="preserve">.  The Court held the </w:t>
      </w:r>
      <w:proofErr w:type="gramStart"/>
      <w:r>
        <w:t>banning</w:t>
      </w:r>
      <w:proofErr w:type="gramEnd"/>
      <w:r>
        <w:t xml:space="preserve"> was not in retaliation for taking photo of Deputy Chief Shinske’s command vehicle at bar 18 months earlier, where Deputy Chief received a 5-day suspension. Note: the photo was picked up by press and “went viral.”  See </w:t>
      </w:r>
      <w:r>
        <w:lastRenderedPageBreak/>
        <w:t xml:space="preserve">Oct. 18, </w:t>
      </w:r>
      <w:proofErr w:type="gramStart"/>
      <w:r>
        <w:t>2017</w:t>
      </w:r>
      <w:proofErr w:type="gramEnd"/>
      <w:r>
        <w:t xml:space="preserve"> article, “Detroit fire chief investigated for taking department car to bar.” </w:t>
      </w:r>
      <w:hyperlink r:id="rId1969" w:history="1">
        <w:r w:rsidRPr="00EF1618">
          <w:rPr>
            <w:rStyle w:val="Hyperlink"/>
          </w:rPr>
          <w:t>https://www.fox2detroit.com/news/detroit-fire-chief-investigated-for-taking-department-car-to-bar</w:t>
        </w:r>
      </w:hyperlink>
      <w:r>
        <w:t xml:space="preserve"> </w:t>
      </w:r>
    </w:p>
    <w:p w14:paraId="4814C452" w14:textId="77777777" w:rsidR="00774A91" w:rsidRDefault="00774A91" w:rsidP="00774A91">
      <w:pPr>
        <w:pStyle w:val="NormalWeb"/>
        <w:ind w:left="720"/>
      </w:pPr>
      <w:r>
        <w:t xml:space="preserve">“And the evidence shows that Deputy Chief Shinske had a legitimate reason to ban Plaintiff from firehouses based on Plaintiff's drinking and horsing around on department equipment. </w:t>
      </w:r>
      <w:r w:rsidRPr="005C4D5B">
        <w:t xml:space="preserve">In all, Plaintiff has failed to show that Deputy Chief Shinske would not have banned him but for posting </w:t>
      </w:r>
      <w:proofErr w:type="gramStart"/>
      <w:r w:rsidRPr="005C4D5B">
        <w:t>the photos</w:t>
      </w:r>
      <w:proofErr w:type="gramEnd"/>
      <w:r w:rsidRPr="005C4D5B">
        <w:t xml:space="preserve"> on social media. Because no evidence shows a </w:t>
      </w:r>
      <w:proofErr w:type="spellStart"/>
      <w:r w:rsidRPr="005C4D5B">
        <w:t>but</w:t>
      </w:r>
      <w:proofErr w:type="spellEnd"/>
      <w:r w:rsidRPr="005C4D5B">
        <w:t>-for causation, Deputy Chief Shinske did not violate Plaintiff's constitutional rights and is therefore entitled to qualified immunity.</w:t>
      </w:r>
      <w:r>
        <w:t xml:space="preserve">” </w:t>
      </w:r>
      <w:hyperlink r:id="rId1970" w:history="1">
        <w:r w:rsidRPr="009545D0">
          <w:rPr>
            <w:rStyle w:val="Hyperlink"/>
          </w:rPr>
          <w:t>https://public.fastcase.com/9SKwsfNqTc6OieYDhNMyM8QDIumtbytcTIYRS7vEe0pQ3%2BAszz%2FAIWxBBPTdhGkJW%2FsZnkZT639gd%2FCKUheamGpg8tPb2WiD4LZsCmDtik8%3D</w:t>
        </w:r>
      </w:hyperlink>
      <w:r>
        <w:t xml:space="preserve"> </w:t>
      </w:r>
    </w:p>
    <w:p w14:paraId="74BB0873" w14:textId="77777777" w:rsidR="00774A91" w:rsidRDefault="00774A91" w:rsidP="00774A91">
      <w:pPr>
        <w:pStyle w:val="NormalWeb"/>
        <w:rPr>
          <w:b/>
          <w:bCs/>
        </w:rPr>
      </w:pPr>
      <w:r w:rsidRPr="00FC31F8">
        <w:rPr>
          <w:b/>
          <w:bCs/>
        </w:rPr>
        <w:t>Legal Lesson Learned:</w:t>
      </w:r>
      <w:r>
        <w:rPr>
          <w:b/>
          <w:bCs/>
        </w:rPr>
        <w:t xml:space="preserve"> (1) Even if off duty, don’t drive your marked FD vehicle to bar unless conducting official business; (2) station officers who allow </w:t>
      </w:r>
      <w:proofErr w:type="gramStart"/>
      <w:r>
        <w:rPr>
          <w:b/>
          <w:bCs/>
        </w:rPr>
        <w:t>civilian</w:t>
      </w:r>
      <w:proofErr w:type="gramEnd"/>
      <w:r>
        <w:rPr>
          <w:b/>
          <w:bCs/>
        </w:rPr>
        <w:t xml:space="preserve"> to drink </w:t>
      </w:r>
      <w:proofErr w:type="gramStart"/>
      <w:r>
        <w:rPr>
          <w:b/>
          <w:bCs/>
        </w:rPr>
        <w:t>a beer</w:t>
      </w:r>
      <w:proofErr w:type="gramEnd"/>
      <w:r>
        <w:rPr>
          <w:b/>
          <w:bCs/>
        </w:rPr>
        <w:t xml:space="preserve"> at the station should also face discipline. </w:t>
      </w:r>
    </w:p>
    <w:p w14:paraId="2DF5780B" w14:textId="0A5E47ED" w:rsidR="00774A91" w:rsidRDefault="00774A91" w:rsidP="00F326E5">
      <w:pPr>
        <w:rPr>
          <w:rFonts w:ascii="Arial Black" w:hAnsi="Arial Black"/>
          <w:b/>
          <w:sz w:val="24"/>
          <w:szCs w:val="24"/>
        </w:rPr>
      </w:pPr>
    </w:p>
    <w:p w14:paraId="1F406173" w14:textId="666A1562" w:rsidR="00774A91" w:rsidRDefault="00774A91" w:rsidP="00F326E5">
      <w:pPr>
        <w:rPr>
          <w:rFonts w:ascii="Arial Black" w:hAnsi="Arial Black"/>
          <w:b/>
          <w:sz w:val="24"/>
          <w:szCs w:val="24"/>
        </w:rPr>
      </w:pPr>
      <w:r>
        <w:rPr>
          <w:rFonts w:ascii="Arial Black" w:hAnsi="Arial Black"/>
          <w:b/>
          <w:sz w:val="24"/>
          <w:szCs w:val="24"/>
        </w:rPr>
        <w:t>12-12</w:t>
      </w:r>
    </w:p>
    <w:p w14:paraId="15F7599E" w14:textId="77777777" w:rsidR="00774A91" w:rsidRPr="002B1B5D" w:rsidRDefault="00774A91" w:rsidP="00774A91">
      <w:pPr>
        <w:spacing w:before="100" w:beforeAutospacing="1" w:after="100" w:afterAutospacing="1" w:line="240" w:lineRule="auto"/>
        <w:rPr>
          <w:rFonts w:ascii="Arial Black" w:eastAsia="Times New Roman" w:hAnsi="Arial Black"/>
          <w:sz w:val="28"/>
          <w:szCs w:val="28"/>
        </w:rPr>
      </w:pPr>
      <w:r>
        <w:rPr>
          <w:rFonts w:ascii="Arial Black" w:eastAsia="Times New Roman" w:hAnsi="Arial Black"/>
          <w:sz w:val="28"/>
          <w:szCs w:val="28"/>
        </w:rPr>
        <w:t xml:space="preserve">LA: FF 3rd DUI – AFTER FIRST DUI SIGNED “RETURN TO WORK AGREEMENT” - TERMINATION UPHELD </w:t>
      </w:r>
    </w:p>
    <w:p w14:paraId="4D35CBAE" w14:textId="77777777" w:rsidR="00774A91" w:rsidRDefault="00774A91" w:rsidP="00774A91">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On Oct. 20, 2021, in </w:t>
      </w:r>
      <w:r w:rsidRPr="00C0791C">
        <w:rPr>
          <w:rFonts w:ascii="Times New Roman" w:eastAsia="Times New Roman" w:hAnsi="Times New Roman"/>
          <w:sz w:val="24"/>
          <w:szCs w:val="24"/>
          <w:u w:val="single"/>
        </w:rPr>
        <w:t>Lance Martin v. Department of Fire [New Orleans]</w:t>
      </w:r>
      <w:r>
        <w:rPr>
          <w:rFonts w:ascii="Times New Roman" w:eastAsia="Times New Roman" w:hAnsi="Times New Roman"/>
          <w:sz w:val="24"/>
          <w:szCs w:val="24"/>
        </w:rPr>
        <w:t>, the Court of Appeals of Louisiana, Fourth Circuit, held (3 to 0) that the Civil Service Commission properly upheld the  firefighter’s termination.  After his first DUI (July 18, 2018), he agreed to seek help from EAP and signed a “</w:t>
      </w:r>
      <w:r w:rsidRPr="00C0791C">
        <w:rPr>
          <w:rFonts w:ascii="Times New Roman" w:hAnsi="Times New Roman"/>
          <w:sz w:val="24"/>
          <w:szCs w:val="24"/>
        </w:rPr>
        <w:t>Return to Work Consent for Information Disclosure</w:t>
      </w:r>
      <w:r>
        <w:rPr>
          <w:rFonts w:ascii="Times New Roman" w:hAnsi="Times New Roman"/>
          <w:sz w:val="24"/>
          <w:szCs w:val="24"/>
        </w:rPr>
        <w:t>’</w:t>
      </w:r>
      <w:r w:rsidRPr="00C0791C">
        <w:rPr>
          <w:rFonts w:ascii="Times New Roman" w:hAnsi="Times New Roman"/>
          <w:sz w:val="24"/>
          <w:szCs w:val="24"/>
        </w:rPr>
        <w:t xml:space="preserve"> </w:t>
      </w:r>
      <w:r>
        <w:rPr>
          <w:rFonts w:ascii="Times New Roman" w:hAnsi="Times New Roman"/>
          <w:sz w:val="24"/>
          <w:szCs w:val="24"/>
        </w:rPr>
        <w:t>A</w:t>
      </w:r>
      <w:r w:rsidRPr="00C0791C">
        <w:rPr>
          <w:rFonts w:ascii="Times New Roman" w:hAnsi="Times New Roman"/>
          <w:sz w:val="24"/>
          <w:szCs w:val="24"/>
        </w:rPr>
        <w:t>greement</w:t>
      </w:r>
      <w:r>
        <w:rPr>
          <w:rFonts w:ascii="Times New Roman" w:hAnsi="Times New Roman"/>
          <w:sz w:val="24"/>
          <w:szCs w:val="24"/>
        </w:rPr>
        <w:t xml:space="preserve"> </w:t>
      </w:r>
      <w:r w:rsidRPr="00D431D9">
        <w:rPr>
          <w:rFonts w:ascii="Times New Roman" w:hAnsi="Times New Roman"/>
          <w:sz w:val="24"/>
          <w:szCs w:val="24"/>
        </w:rPr>
        <w:t>which obligated him to abstain from alcohol consumption during the term of his employment</w:t>
      </w:r>
      <w:r>
        <w:rPr>
          <w:rFonts w:ascii="Times New Roman" w:hAnsi="Times New Roman"/>
          <w:sz w:val="24"/>
          <w:szCs w:val="24"/>
        </w:rPr>
        <w:t>.  Thereafter he had two more DUIs: Oct. 10, 2018, and July 12, 2019.</w:t>
      </w:r>
    </w:p>
    <w:p w14:paraId="23D3B56B" w14:textId="77777777" w:rsidR="00774A91" w:rsidRDefault="00774A91" w:rsidP="00774A91">
      <w:pPr>
        <w:spacing w:before="100" w:beforeAutospacing="1" w:after="100" w:afterAutospacing="1" w:line="240" w:lineRule="auto"/>
        <w:ind w:left="1440"/>
        <w:rPr>
          <w:rFonts w:ascii="Times New Roman" w:eastAsia="Times New Roman" w:hAnsi="Times New Roman"/>
          <w:sz w:val="24"/>
          <w:szCs w:val="24"/>
        </w:rPr>
      </w:pPr>
      <w:r>
        <w:rPr>
          <w:rFonts w:ascii="Times New Roman" w:eastAsia="Times New Roman" w:hAnsi="Times New Roman"/>
          <w:sz w:val="24"/>
          <w:szCs w:val="24"/>
        </w:rPr>
        <w:t>“</w:t>
      </w:r>
      <w:r w:rsidRPr="002B1B5D">
        <w:rPr>
          <w:rFonts w:ascii="Times New Roman" w:eastAsia="Times New Roman" w:hAnsi="Times New Roman"/>
          <w:sz w:val="24"/>
          <w:szCs w:val="24"/>
        </w:rPr>
        <w:t xml:space="preserve">Upon review of the record, we find the Commission's decision to uphold Mr. Martin's termination is rationally based on the facts established in the record. The record reflects that after </w:t>
      </w:r>
      <w:proofErr w:type="gramStart"/>
      <w:r w:rsidRPr="002B1B5D">
        <w:rPr>
          <w:rFonts w:ascii="Times New Roman" w:eastAsia="Times New Roman" w:hAnsi="Times New Roman"/>
          <w:sz w:val="24"/>
          <w:szCs w:val="24"/>
        </w:rPr>
        <w:t>entering into</w:t>
      </w:r>
      <w:proofErr w:type="gramEnd"/>
      <w:r w:rsidRPr="002B1B5D">
        <w:rPr>
          <w:rFonts w:ascii="Times New Roman" w:eastAsia="Times New Roman" w:hAnsi="Times New Roman"/>
          <w:sz w:val="24"/>
          <w:szCs w:val="24"/>
        </w:rPr>
        <w:t xml:space="preserve"> the </w:t>
      </w:r>
      <w:proofErr w:type="gramStart"/>
      <w:r w:rsidRPr="002B1B5D">
        <w:rPr>
          <w:rFonts w:ascii="Times New Roman" w:eastAsia="Times New Roman" w:hAnsi="Times New Roman"/>
          <w:sz w:val="24"/>
          <w:szCs w:val="24"/>
        </w:rPr>
        <w:t>return to work</w:t>
      </w:r>
      <w:proofErr w:type="gramEnd"/>
      <w:r w:rsidRPr="002B1B5D">
        <w:rPr>
          <w:rFonts w:ascii="Times New Roman" w:eastAsia="Times New Roman" w:hAnsi="Times New Roman"/>
          <w:sz w:val="24"/>
          <w:szCs w:val="24"/>
        </w:rPr>
        <w:t xml:space="preserve"> agreement, Mr. Martin had two additional incidents of alcohol misuse, which led to him being arrested. Consequently, he violated his </w:t>
      </w:r>
      <w:proofErr w:type="gramStart"/>
      <w:r w:rsidRPr="002B1B5D">
        <w:rPr>
          <w:rFonts w:ascii="Times New Roman" w:eastAsia="Times New Roman" w:hAnsi="Times New Roman"/>
          <w:sz w:val="24"/>
          <w:szCs w:val="24"/>
        </w:rPr>
        <w:t>return to work</w:t>
      </w:r>
      <w:proofErr w:type="gramEnd"/>
      <w:r w:rsidRPr="002B1B5D">
        <w:rPr>
          <w:rFonts w:ascii="Times New Roman" w:eastAsia="Times New Roman" w:hAnsi="Times New Roman"/>
          <w:sz w:val="24"/>
          <w:szCs w:val="24"/>
        </w:rPr>
        <w:t xml:space="preserve"> agreement. While we acknowledge that termination from permanent employment is the most extreme form of disciplinary action taken against an employee, we cannot say the Commission's decision to uphold the termination in this case was arbitrary, capricious, or an abuse of discretion.</w:t>
      </w:r>
      <w:r>
        <w:rPr>
          <w:rFonts w:ascii="Times New Roman" w:eastAsia="Times New Roman" w:hAnsi="Times New Roman"/>
          <w:sz w:val="24"/>
          <w:szCs w:val="24"/>
        </w:rPr>
        <w:t xml:space="preserve">” </w:t>
      </w:r>
      <w:hyperlink r:id="rId1971" w:history="1">
        <w:r w:rsidRPr="00ED2C8C">
          <w:rPr>
            <w:rStyle w:val="Hyperlink"/>
            <w:sz w:val="24"/>
            <w:szCs w:val="24"/>
          </w:rPr>
          <w:t>https://law.justia.com/cases/louisiana/fourth-circuit-court-of-appeal/2021/2021-ca-0070.html</w:t>
        </w:r>
      </w:hyperlink>
      <w:r>
        <w:rPr>
          <w:rFonts w:ascii="Times New Roman" w:eastAsia="Times New Roman" w:hAnsi="Times New Roman"/>
          <w:sz w:val="24"/>
          <w:szCs w:val="24"/>
        </w:rPr>
        <w:t xml:space="preserve"> </w:t>
      </w:r>
    </w:p>
    <w:p w14:paraId="07062970" w14:textId="77777777" w:rsidR="00774A91" w:rsidRPr="00C0791C" w:rsidRDefault="00774A91" w:rsidP="00774A91">
      <w:pPr>
        <w:spacing w:before="100" w:beforeAutospacing="1" w:after="100" w:afterAutospacing="1" w:line="240" w:lineRule="auto"/>
        <w:rPr>
          <w:rFonts w:ascii="Times New Roman" w:eastAsia="Times New Roman" w:hAnsi="Times New Roman"/>
          <w:b/>
          <w:bCs/>
          <w:sz w:val="24"/>
          <w:szCs w:val="24"/>
        </w:rPr>
      </w:pPr>
      <w:r w:rsidRPr="00D431D9">
        <w:rPr>
          <w:rFonts w:ascii="Times New Roman" w:hAnsi="Times New Roman"/>
          <w:b/>
          <w:bCs/>
          <w:sz w:val="24"/>
          <w:szCs w:val="24"/>
        </w:rPr>
        <w:t>Legal Lesson Learned:</w:t>
      </w:r>
      <w:r>
        <w:rPr>
          <w:rFonts w:ascii="Times New Roman" w:hAnsi="Times New Roman"/>
          <w:b/>
          <w:bCs/>
          <w:sz w:val="24"/>
          <w:szCs w:val="24"/>
        </w:rPr>
        <w:t xml:space="preserve"> Return to work agreements and other “last chance agreements” are enforceable. </w:t>
      </w:r>
    </w:p>
    <w:p w14:paraId="41723C7F" w14:textId="77777777" w:rsidR="00774A91" w:rsidRDefault="00774A91" w:rsidP="00F326E5">
      <w:pPr>
        <w:rPr>
          <w:rFonts w:ascii="Arial Black" w:hAnsi="Arial Black"/>
          <w:b/>
          <w:sz w:val="24"/>
          <w:szCs w:val="24"/>
        </w:rPr>
      </w:pPr>
    </w:p>
    <w:p w14:paraId="2D0D6631" w14:textId="4435079F" w:rsidR="003E0A22" w:rsidRDefault="00A82898" w:rsidP="00F326E5">
      <w:pPr>
        <w:rPr>
          <w:rFonts w:ascii="Arial Black" w:hAnsi="Arial Black"/>
          <w:b/>
          <w:sz w:val="24"/>
          <w:szCs w:val="24"/>
        </w:rPr>
      </w:pPr>
      <w:r>
        <w:rPr>
          <w:rFonts w:ascii="Arial Black" w:hAnsi="Arial Black"/>
          <w:b/>
          <w:sz w:val="24"/>
          <w:szCs w:val="24"/>
        </w:rPr>
        <w:t>12-11</w:t>
      </w:r>
    </w:p>
    <w:p w14:paraId="16D4701E" w14:textId="77777777" w:rsidR="00A82898" w:rsidRDefault="00A82898" w:rsidP="00A82898">
      <w:pPr>
        <w:pStyle w:val="NormalWeb"/>
        <w:spacing w:before="0" w:beforeAutospacing="0" w:after="0" w:afterAutospacing="0" w:line="255" w:lineRule="atLeast"/>
        <w:rPr>
          <w:rStyle w:val="markedcontent"/>
          <w:rFonts w:ascii="Arial Black" w:hAnsi="Arial Black"/>
          <w:sz w:val="28"/>
          <w:szCs w:val="28"/>
        </w:rPr>
      </w:pPr>
      <w:r>
        <w:rPr>
          <w:rStyle w:val="markedcontent"/>
          <w:rFonts w:ascii="Arial Black" w:hAnsi="Arial Black"/>
          <w:sz w:val="28"/>
          <w:szCs w:val="28"/>
        </w:rPr>
        <w:t xml:space="preserve">CO: MARIJUANA - 44 STATES ALLOW USE – U.S. SUPREME COURT JUSTICE THOMAS: FEDS ARE “HALF-IN, HALF OUT” </w:t>
      </w:r>
    </w:p>
    <w:p w14:paraId="6EDDF135" w14:textId="77777777" w:rsidR="00A82898" w:rsidRDefault="00A82898" w:rsidP="00A82898">
      <w:pPr>
        <w:pStyle w:val="NormalWeb"/>
        <w:spacing w:before="0" w:beforeAutospacing="0" w:after="0" w:afterAutospacing="0" w:line="255" w:lineRule="atLeast"/>
        <w:rPr>
          <w:rStyle w:val="markedcontent"/>
          <w:rFonts w:ascii="Arial Black" w:hAnsi="Arial Black"/>
          <w:sz w:val="28"/>
          <w:szCs w:val="28"/>
        </w:rPr>
      </w:pPr>
    </w:p>
    <w:p w14:paraId="537B74F1" w14:textId="77777777" w:rsidR="00A82898" w:rsidRPr="005B0F3E" w:rsidRDefault="00A82898" w:rsidP="00A82898">
      <w:pPr>
        <w:pStyle w:val="NormalWeb"/>
        <w:spacing w:before="0" w:beforeAutospacing="0" w:after="0" w:afterAutospacing="0" w:line="255" w:lineRule="atLeast"/>
        <w:rPr>
          <w:rStyle w:val="markedcontent"/>
        </w:rPr>
      </w:pPr>
      <w:r w:rsidRPr="00C13F94">
        <w:rPr>
          <w:rStyle w:val="markedcontent"/>
        </w:rPr>
        <w:t xml:space="preserve">On June 28, 2021, in </w:t>
      </w:r>
      <w:r w:rsidRPr="00C13F94">
        <w:rPr>
          <w:rStyle w:val="markedcontent"/>
          <w:u w:val="single"/>
        </w:rPr>
        <w:t>Standing Akimbo, LLC et al. v. United States</w:t>
      </w:r>
      <w:r w:rsidRPr="00C13F94">
        <w:rPr>
          <w:rStyle w:val="markedcontent"/>
        </w:rPr>
        <w:t xml:space="preserve">, filed a dissent when the </w:t>
      </w:r>
      <w:r w:rsidRPr="005B0F3E">
        <w:rPr>
          <w:rStyle w:val="markedcontent"/>
        </w:rPr>
        <w:t xml:space="preserve">Court declined to hear appeal (requires 4 Justices to hear an appeal) of a medical marijuana dispensary in Colorado, that under </w:t>
      </w:r>
      <w:r w:rsidRPr="005B0F3E">
        <w:rPr>
          <w:rStyle w:val="markedcontent"/>
        </w:rPr>
        <w:lastRenderedPageBreak/>
        <w:t xml:space="preserve">Federal law cannot deduct cost of doing business from IRS taxes.  His dissent pointed out that “36 States allow medicinal marijuana use and 18 of those States also allow recreational use.”  </w:t>
      </w:r>
    </w:p>
    <w:p w14:paraId="4242109A" w14:textId="77777777" w:rsidR="00A82898" w:rsidRPr="005B0F3E" w:rsidRDefault="00A82898" w:rsidP="00A82898">
      <w:pPr>
        <w:pStyle w:val="NormalWeb"/>
        <w:spacing w:before="0" w:beforeAutospacing="0" w:after="0" w:afterAutospacing="0" w:line="255" w:lineRule="atLeast"/>
        <w:rPr>
          <w:rStyle w:val="markedcontent"/>
        </w:rPr>
      </w:pPr>
    </w:p>
    <w:p w14:paraId="7B83AF9F" w14:textId="77777777" w:rsidR="00A82898" w:rsidRPr="005B0F3E" w:rsidRDefault="00A82898" w:rsidP="00A82898">
      <w:pPr>
        <w:pStyle w:val="NormalWeb"/>
        <w:spacing w:before="0" w:beforeAutospacing="0" w:after="0" w:afterAutospacing="0" w:line="255" w:lineRule="atLeast"/>
        <w:ind w:left="720"/>
        <w:rPr>
          <w:rStyle w:val="Strong"/>
          <w:rFonts w:ascii="Arial" w:eastAsiaTheme="majorEastAsia" w:hAnsi="Arial" w:cs="Arial"/>
          <w:color w:val="555555"/>
        </w:rPr>
      </w:pPr>
      <w:r w:rsidRPr="005B0F3E">
        <w:rPr>
          <w:rStyle w:val="markedcontent"/>
        </w:rPr>
        <w:t xml:space="preserve">“Once comprehensive, the Federal Government’s current approach is a half-in, half-out regime that simultaneously tolerates and forbids local use of marijuana. This contradictory and unstable </w:t>
      </w:r>
      <w:proofErr w:type="gramStart"/>
      <w:r w:rsidRPr="005B0F3E">
        <w:rPr>
          <w:rStyle w:val="markedcontent"/>
        </w:rPr>
        <w:t>state of affairs</w:t>
      </w:r>
      <w:proofErr w:type="gramEnd"/>
      <w:r w:rsidRPr="005B0F3E">
        <w:rPr>
          <w:rStyle w:val="markedcontent"/>
        </w:rPr>
        <w:t xml:space="preserve"> strains basic principles of federalism and conceals traps for the unwary.  ***A prohibition on intrastate use or cultivation of marijuana may no longer be necessary or proper to support the Federal Government’s piecemeal approach.” </w:t>
      </w:r>
      <w:hyperlink r:id="rId1972" w:history="1">
        <w:r w:rsidRPr="005B0F3E">
          <w:rPr>
            <w:rStyle w:val="Hyperlink"/>
          </w:rPr>
          <w:t>https://www.supremecourt.gov/opinions/20pdf/20-645_9p6b.pdf</w:t>
        </w:r>
      </w:hyperlink>
      <w:r w:rsidRPr="005B0F3E">
        <w:rPr>
          <w:rStyle w:val="markedcontent"/>
        </w:rPr>
        <w:t xml:space="preserve"> </w:t>
      </w:r>
    </w:p>
    <w:p w14:paraId="05F55223" w14:textId="77777777" w:rsidR="00A82898" w:rsidRPr="005B0F3E" w:rsidRDefault="00A82898" w:rsidP="00A82898">
      <w:pPr>
        <w:pStyle w:val="NormalWeb"/>
        <w:spacing w:before="0" w:beforeAutospacing="0" w:after="0" w:afterAutospacing="0" w:line="255" w:lineRule="atLeast"/>
        <w:rPr>
          <w:rStyle w:val="markedcontent"/>
        </w:rPr>
      </w:pPr>
    </w:p>
    <w:p w14:paraId="2F5CC76E" w14:textId="77777777" w:rsidR="00A82898" w:rsidRPr="005B0F3E" w:rsidRDefault="00A82898" w:rsidP="00A82898">
      <w:pPr>
        <w:pStyle w:val="NormalWeb"/>
        <w:spacing w:before="0" w:beforeAutospacing="0" w:after="0" w:afterAutospacing="0" w:line="255" w:lineRule="atLeast"/>
        <w:rPr>
          <w:rStyle w:val="markedcontent"/>
        </w:rPr>
      </w:pPr>
      <w:r w:rsidRPr="005B0F3E">
        <w:rPr>
          <w:rStyle w:val="markedcontent"/>
        </w:rPr>
        <w:t>Facts [from 10</w:t>
      </w:r>
      <w:r w:rsidRPr="005B0F3E">
        <w:rPr>
          <w:rStyle w:val="markedcontent"/>
          <w:vertAlign w:val="superscript"/>
        </w:rPr>
        <w:t>th</w:t>
      </w:r>
      <w:r w:rsidRPr="005B0F3E">
        <w:rPr>
          <w:rStyle w:val="markedcontent"/>
        </w:rPr>
        <w:t xml:space="preserve"> Circuit decision, April 7, 2020: </w:t>
      </w:r>
    </w:p>
    <w:p w14:paraId="155BA214" w14:textId="77777777" w:rsidR="00A82898" w:rsidRPr="005B0F3E" w:rsidRDefault="00A82898" w:rsidP="00A82898">
      <w:pPr>
        <w:pStyle w:val="NormalWeb"/>
        <w:spacing w:before="0" w:beforeAutospacing="0" w:after="0" w:afterAutospacing="0" w:line="255" w:lineRule="atLeast"/>
        <w:rPr>
          <w:rStyle w:val="markedcontent"/>
        </w:rPr>
      </w:pPr>
    </w:p>
    <w:p w14:paraId="776587F1" w14:textId="77777777" w:rsidR="00A82898" w:rsidRPr="005B0F3E" w:rsidRDefault="00A82898" w:rsidP="00A82898">
      <w:pPr>
        <w:pStyle w:val="NormalWeb"/>
        <w:spacing w:before="0" w:beforeAutospacing="0" w:after="0" w:afterAutospacing="0" w:line="255" w:lineRule="atLeast"/>
        <w:ind w:left="720"/>
      </w:pPr>
      <w:r w:rsidRPr="005B0F3E">
        <w:t>“The Internal Revenue Service (IRS) is responsible to enforce the federal tax code against marijuana businesses operating legally under state law. This led to a civil audit of Peter Hermes, Kevin Desilet, Samantha Murphy, and John Murphy (collectively, the ‘Taxpayers’) to verify their tax liabilities for their medical-marijuana dispensary, Standing Akimbo, LLC. The IRS was investigating whether the Taxpayers had taken improper deductions for business expenses arising from a ‘trade or business’ that ‘consists of trafficking in controlled substances.’ 26 U.S.C. § 280E. But claiming to fear criminal prosecution, the Taxpayers declined to provide the audit information to the IRS. This left the IRS to seek the information elsewhere—it issued four summonses for plant reports, gross-sales reports and license information to the Colorado Department of Revenue’s Marijuana Enforcement Division (the ‘Enforcement Division’), which is the state entity responsible for regulating licensed marijuana sales.</w:t>
      </w:r>
    </w:p>
    <w:p w14:paraId="0D1D2EFA" w14:textId="77777777" w:rsidR="00A82898" w:rsidRPr="005B0F3E" w:rsidRDefault="00A82898" w:rsidP="00A82898">
      <w:pPr>
        <w:pStyle w:val="NormalWeb"/>
        <w:spacing w:before="0" w:beforeAutospacing="0" w:after="0" w:afterAutospacing="0" w:line="255" w:lineRule="atLeast"/>
        <w:ind w:left="720"/>
      </w:pPr>
    </w:p>
    <w:p w14:paraId="339FDB34" w14:textId="77777777" w:rsidR="00A82898" w:rsidRDefault="00A82898" w:rsidP="00A82898">
      <w:pPr>
        <w:pStyle w:val="NormalWeb"/>
        <w:spacing w:before="0" w:beforeAutospacing="0" w:after="0" w:afterAutospacing="0" w:line="255" w:lineRule="atLeast"/>
        <w:ind w:left="720"/>
        <w:rPr>
          <w:rStyle w:val="markedcontent"/>
          <w:sz w:val="27"/>
          <w:szCs w:val="27"/>
        </w:rPr>
      </w:pPr>
      <w:r w:rsidRPr="005B0F3E">
        <w:t>In Colorado federal district court, the Taxpayers filed a petition to quash the summonses. The government moved to dismiss the petition and to enforce the summonses. The district court granted the motion to dismiss and ordered the summonses enforced. Exercising jurisdiction under 28 U.S.C. § 1291, we affirm.”</w:t>
      </w:r>
      <w:r w:rsidRPr="005B0F3E">
        <w:rPr>
          <w:rStyle w:val="markedcontent"/>
        </w:rPr>
        <w:t xml:space="preserve"> </w:t>
      </w:r>
      <w:hyperlink r:id="rId1973" w:history="1">
        <w:r w:rsidRPr="005B0F3E">
          <w:rPr>
            <w:rStyle w:val="Hyperlink"/>
          </w:rPr>
          <w:t>https://cases.justia.com/federal/appellate-courts/ca10/19-1049/19-1049-2020-04-07.pdf?ts=1586277066</w:t>
        </w:r>
      </w:hyperlink>
      <w:r>
        <w:rPr>
          <w:rStyle w:val="markedcontent"/>
          <w:sz w:val="27"/>
          <w:szCs w:val="27"/>
        </w:rPr>
        <w:t xml:space="preserve"> ]</w:t>
      </w:r>
    </w:p>
    <w:p w14:paraId="16A91E14" w14:textId="77777777" w:rsidR="00A82898" w:rsidRPr="00AE19EB" w:rsidRDefault="00A82898" w:rsidP="00A82898">
      <w:pPr>
        <w:pStyle w:val="NormalWeb"/>
        <w:spacing w:before="0" w:beforeAutospacing="0" w:after="0" w:afterAutospacing="0" w:line="255" w:lineRule="atLeast"/>
        <w:ind w:left="720"/>
        <w:rPr>
          <w:rStyle w:val="markedcontent"/>
        </w:rPr>
      </w:pPr>
    </w:p>
    <w:p w14:paraId="70F3A3FA" w14:textId="77777777" w:rsidR="00A82898" w:rsidRPr="00AE19EB" w:rsidRDefault="00A82898" w:rsidP="00A82898">
      <w:pPr>
        <w:pStyle w:val="NormalWeb"/>
        <w:spacing w:before="0" w:beforeAutospacing="0" w:after="0" w:afterAutospacing="0" w:line="255" w:lineRule="atLeast"/>
        <w:rPr>
          <w:rStyle w:val="markedcontent"/>
          <w:b/>
          <w:bCs/>
        </w:rPr>
      </w:pPr>
      <w:r w:rsidRPr="00AE19EB">
        <w:rPr>
          <w:rStyle w:val="markedcontent"/>
          <w:b/>
          <w:bCs/>
        </w:rPr>
        <w:t xml:space="preserve">Legal Lesson Learned: Fire Departments should </w:t>
      </w:r>
      <w:r>
        <w:rPr>
          <w:rStyle w:val="markedcontent"/>
          <w:b/>
          <w:bCs/>
        </w:rPr>
        <w:t xml:space="preserve">consider </w:t>
      </w:r>
      <w:proofErr w:type="gramStart"/>
      <w:r w:rsidRPr="00AE19EB">
        <w:rPr>
          <w:rStyle w:val="markedcontent"/>
          <w:b/>
          <w:bCs/>
        </w:rPr>
        <w:t>adopt</w:t>
      </w:r>
      <w:proofErr w:type="gramEnd"/>
      <w:r w:rsidRPr="00AE19EB">
        <w:rPr>
          <w:rStyle w:val="markedcontent"/>
          <w:b/>
          <w:bCs/>
        </w:rPr>
        <w:t xml:space="preserve"> policies that </w:t>
      </w:r>
      <w:proofErr w:type="gramStart"/>
      <w:r w:rsidRPr="00AE19EB">
        <w:rPr>
          <w:rStyle w:val="markedcontent"/>
          <w:b/>
          <w:bCs/>
        </w:rPr>
        <w:t>requires</w:t>
      </w:r>
      <w:proofErr w:type="gramEnd"/>
      <w:r w:rsidRPr="00AE19EB">
        <w:rPr>
          <w:rStyle w:val="markedcontent"/>
          <w:b/>
          <w:bCs/>
        </w:rPr>
        <w:t xml:space="preserve"> firefighters to disclose any prescription for medicinal marijuana use, and </w:t>
      </w:r>
      <w:r>
        <w:rPr>
          <w:rStyle w:val="markedcontent"/>
          <w:b/>
          <w:bCs/>
        </w:rPr>
        <w:t xml:space="preserve">the </w:t>
      </w:r>
      <w:r w:rsidRPr="00AE19EB">
        <w:rPr>
          <w:rStyle w:val="markedcontent"/>
          <w:b/>
          <w:bCs/>
        </w:rPr>
        <w:t>duty restrictions</w:t>
      </w:r>
      <w:r>
        <w:rPr>
          <w:rStyle w:val="markedcontent"/>
          <w:b/>
          <w:bCs/>
        </w:rPr>
        <w:t xml:space="preserve"> for such firefighters. </w:t>
      </w:r>
    </w:p>
    <w:p w14:paraId="4DE6AF4C" w14:textId="77777777" w:rsidR="00A82898" w:rsidRDefault="00A82898" w:rsidP="00A82898">
      <w:pPr>
        <w:pStyle w:val="NoSpacing"/>
        <w:rPr>
          <w:rStyle w:val="markedcontent"/>
          <w:rFonts w:ascii="Times New Roman" w:hAnsi="Times New Roman"/>
          <w:sz w:val="24"/>
          <w:szCs w:val="24"/>
        </w:rPr>
      </w:pPr>
      <w:r w:rsidRPr="0041393A">
        <w:rPr>
          <w:rStyle w:val="markedcontent"/>
          <w:rFonts w:ascii="Times New Roman" w:hAnsi="Times New Roman"/>
          <w:sz w:val="24"/>
          <w:szCs w:val="24"/>
        </w:rPr>
        <w:tab/>
        <w:t>Note:</w:t>
      </w:r>
    </w:p>
    <w:p w14:paraId="25DFCBA8" w14:textId="77777777" w:rsidR="00A82898" w:rsidRDefault="00A82898" w:rsidP="00A82898">
      <w:pPr>
        <w:pStyle w:val="NoSpacing"/>
        <w:rPr>
          <w:rStyle w:val="markedcontent"/>
        </w:rPr>
      </w:pPr>
    </w:p>
    <w:p w14:paraId="1594A5BB" w14:textId="77777777" w:rsidR="00A82898" w:rsidRPr="0041393A" w:rsidRDefault="00A82898" w:rsidP="00A82898">
      <w:pPr>
        <w:pStyle w:val="NoSpacing"/>
        <w:ind w:firstLine="720"/>
        <w:rPr>
          <w:rFonts w:ascii="Times New Roman" w:hAnsi="Times New Roman"/>
          <w:sz w:val="24"/>
          <w:szCs w:val="24"/>
        </w:rPr>
      </w:pPr>
      <w:r w:rsidRPr="0041393A">
        <w:rPr>
          <w:rStyle w:val="markedcontent"/>
          <w:rFonts w:ascii="Times New Roman" w:hAnsi="Times New Roman"/>
          <w:sz w:val="24"/>
          <w:szCs w:val="24"/>
        </w:rPr>
        <w:t xml:space="preserve">June 29, 2021: </w:t>
      </w:r>
      <w:r w:rsidRPr="0041393A">
        <w:rPr>
          <w:rFonts w:ascii="Times New Roman" w:hAnsi="Times New Roman"/>
          <w:sz w:val="24"/>
          <w:szCs w:val="24"/>
        </w:rPr>
        <w:t>Mexico's supreme court decriminalizes recreational use of cannabis</w:t>
      </w:r>
    </w:p>
    <w:p w14:paraId="02A6A52B" w14:textId="77777777" w:rsidR="00A82898" w:rsidRDefault="00A82898" w:rsidP="00A82898">
      <w:pPr>
        <w:pStyle w:val="NoSpacing"/>
        <w:ind w:left="720"/>
      </w:pPr>
      <w:hyperlink r:id="rId1974" w:history="1">
        <w:r w:rsidRPr="004E5B98">
          <w:rPr>
            <w:rStyle w:val="Hyperlink"/>
            <w:sz w:val="24"/>
            <w:szCs w:val="24"/>
          </w:rPr>
          <w:t>https://www.cnn.com/2021/06/29/americas/mexico-cannabis-decriminalization-intl/index.html?utm_content=2021-06-29T08%3A51%3A14&amp;utm_term=link&amp;utm_source=twcnnbrk&amp;utm_medium=social</w:t>
        </w:r>
      </w:hyperlink>
      <w:r>
        <w:t xml:space="preserve"> </w:t>
      </w:r>
    </w:p>
    <w:p w14:paraId="4E1B18DE" w14:textId="77777777" w:rsidR="00A82898" w:rsidRPr="007E3D25" w:rsidRDefault="00A82898" w:rsidP="00A82898">
      <w:pPr>
        <w:pStyle w:val="NormalWeb"/>
        <w:spacing w:before="0" w:beforeAutospacing="0" w:after="0" w:afterAutospacing="0" w:line="255" w:lineRule="atLeast"/>
        <w:rPr>
          <w:rStyle w:val="markedcontent"/>
        </w:rPr>
      </w:pPr>
    </w:p>
    <w:p w14:paraId="0095E9FA" w14:textId="77777777" w:rsidR="00A82898" w:rsidRPr="00A82898" w:rsidRDefault="00A82898" w:rsidP="00A82898">
      <w:pPr>
        <w:pStyle w:val="Heading1"/>
        <w:ind w:left="720"/>
        <w:rPr>
          <w:b w:val="0"/>
          <w:bCs w:val="0"/>
          <w:sz w:val="24"/>
          <w:szCs w:val="24"/>
        </w:rPr>
      </w:pPr>
      <w:r>
        <w:rPr>
          <w:b w:val="0"/>
          <w:bCs w:val="0"/>
          <w:sz w:val="24"/>
          <w:szCs w:val="24"/>
        </w:rPr>
        <w:t>Sept. 23, 2020: “</w:t>
      </w:r>
      <w:r w:rsidRPr="00AE19EB">
        <w:rPr>
          <w:b w:val="0"/>
          <w:bCs w:val="0"/>
          <w:sz w:val="24"/>
          <w:szCs w:val="24"/>
        </w:rPr>
        <w:t>Can Fire Departments Prohibit Firefighter Off-Duty Medical Marijuana Use?</w:t>
      </w:r>
      <w:r>
        <w:rPr>
          <w:b w:val="0"/>
          <w:bCs w:val="0"/>
          <w:sz w:val="24"/>
          <w:szCs w:val="24"/>
        </w:rPr>
        <w:t xml:space="preserve">” </w:t>
      </w:r>
      <w:hyperlink r:id="rId1975" w:history="1">
        <w:r w:rsidRPr="00A82898">
          <w:rPr>
            <w:rStyle w:val="Hyperlink"/>
            <w:b w:val="0"/>
            <w:bCs w:val="0"/>
            <w:sz w:val="24"/>
            <w:szCs w:val="24"/>
          </w:rPr>
          <w:t>https://www.lexipol.com/resources/blog/can-fire-departments-prohibit-firefighter-off-duty-medical-marijuana-use/</w:t>
        </w:r>
      </w:hyperlink>
      <w:r w:rsidRPr="00A82898">
        <w:rPr>
          <w:b w:val="0"/>
          <w:bCs w:val="0"/>
          <w:sz w:val="24"/>
          <w:szCs w:val="24"/>
        </w:rPr>
        <w:t xml:space="preserve"> </w:t>
      </w:r>
    </w:p>
    <w:p w14:paraId="123DC077" w14:textId="77777777" w:rsidR="00A82898" w:rsidRPr="003D5D8C" w:rsidRDefault="00A82898" w:rsidP="00A82898">
      <w:pPr>
        <w:pStyle w:val="Heading1"/>
        <w:ind w:left="720"/>
        <w:rPr>
          <w:b w:val="0"/>
          <w:bCs w:val="0"/>
          <w:sz w:val="24"/>
          <w:szCs w:val="24"/>
        </w:rPr>
      </w:pPr>
      <w:r>
        <w:rPr>
          <w:b w:val="0"/>
          <w:bCs w:val="0"/>
          <w:sz w:val="24"/>
          <w:szCs w:val="24"/>
        </w:rPr>
        <w:t>Feb. 5, 2020: “</w:t>
      </w:r>
      <w:r w:rsidRPr="00434B0D">
        <w:rPr>
          <w:b w:val="0"/>
          <w:bCs w:val="0"/>
          <w:sz w:val="24"/>
          <w:szCs w:val="24"/>
        </w:rPr>
        <w:t>Marijuana in the Fire Service: Up in Smoke, Part II</w:t>
      </w:r>
      <w:r>
        <w:rPr>
          <w:b w:val="0"/>
          <w:bCs w:val="0"/>
          <w:sz w:val="24"/>
          <w:szCs w:val="24"/>
        </w:rPr>
        <w:t xml:space="preserve">.” </w:t>
      </w:r>
      <w:hyperlink r:id="rId1976" w:anchor="gref" w:history="1">
        <w:r w:rsidRPr="00A82898">
          <w:rPr>
            <w:rStyle w:val="Hyperlink"/>
            <w:b w:val="0"/>
            <w:bCs w:val="0"/>
            <w:sz w:val="24"/>
            <w:szCs w:val="24"/>
          </w:rPr>
          <w:t>https://www.fireengineering.com/leadership/marijuana-in-the-fire-service-up-in-smoke-part-ii/#gref</w:t>
        </w:r>
      </w:hyperlink>
      <w:r w:rsidRPr="00A82898">
        <w:rPr>
          <w:b w:val="0"/>
          <w:bCs w:val="0"/>
          <w:sz w:val="24"/>
          <w:szCs w:val="24"/>
        </w:rPr>
        <w:t xml:space="preserve"> </w:t>
      </w:r>
    </w:p>
    <w:p w14:paraId="427E286B" w14:textId="7CE17B31" w:rsidR="00A82898" w:rsidRDefault="00A82898" w:rsidP="00F326E5">
      <w:pPr>
        <w:rPr>
          <w:rFonts w:ascii="Arial Black" w:hAnsi="Arial Black"/>
          <w:b/>
          <w:sz w:val="24"/>
          <w:szCs w:val="24"/>
        </w:rPr>
      </w:pPr>
    </w:p>
    <w:p w14:paraId="338F2D95" w14:textId="77777777" w:rsidR="00A82898" w:rsidRDefault="00A82898" w:rsidP="00F326E5">
      <w:pPr>
        <w:rPr>
          <w:rFonts w:ascii="Arial Black" w:hAnsi="Arial Black"/>
          <w:b/>
          <w:sz w:val="24"/>
          <w:szCs w:val="24"/>
        </w:rPr>
      </w:pPr>
    </w:p>
    <w:p w14:paraId="4AAED520" w14:textId="37F24BB6" w:rsidR="003E0A22" w:rsidRDefault="003E0A22" w:rsidP="00F326E5">
      <w:pPr>
        <w:rPr>
          <w:rFonts w:ascii="Arial Black" w:hAnsi="Arial Black"/>
          <w:b/>
          <w:sz w:val="24"/>
          <w:szCs w:val="24"/>
        </w:rPr>
      </w:pPr>
      <w:r>
        <w:rPr>
          <w:rFonts w:ascii="Arial Black" w:hAnsi="Arial Black"/>
          <w:b/>
          <w:sz w:val="24"/>
          <w:szCs w:val="24"/>
        </w:rPr>
        <w:t>12-10</w:t>
      </w:r>
    </w:p>
    <w:p w14:paraId="11740AD7" w14:textId="77777777" w:rsidR="003E0A22" w:rsidRDefault="003E0A22" w:rsidP="003E0A22">
      <w:pPr>
        <w:rPr>
          <w:rFonts w:ascii="Arial Black" w:hAnsi="Arial Black"/>
          <w:b/>
          <w:sz w:val="28"/>
          <w:szCs w:val="28"/>
        </w:rPr>
      </w:pPr>
      <w:r>
        <w:rPr>
          <w:rFonts w:ascii="Arial Black" w:hAnsi="Arial Black"/>
          <w:b/>
          <w:sz w:val="28"/>
          <w:szCs w:val="28"/>
        </w:rPr>
        <w:lastRenderedPageBreak/>
        <w:t>NC: DIVISION CHIEF’S DUI CONVICTION – NOT ELIGIBLE TWO PROMOTIONS 2019 – TITLE VII (RACE) DISMISSED</w:t>
      </w:r>
    </w:p>
    <w:p w14:paraId="2BD0929A" w14:textId="77777777" w:rsidR="003E0A22" w:rsidRDefault="003E0A22" w:rsidP="003E0A22">
      <w:pPr>
        <w:rPr>
          <w:rFonts w:ascii="Times New Roman" w:hAnsi="Times New Roman"/>
          <w:bCs/>
          <w:sz w:val="24"/>
          <w:szCs w:val="24"/>
        </w:rPr>
      </w:pPr>
      <w:r>
        <w:rPr>
          <w:rFonts w:ascii="Times New Roman" w:hAnsi="Times New Roman"/>
          <w:bCs/>
          <w:sz w:val="24"/>
          <w:szCs w:val="24"/>
        </w:rPr>
        <w:t xml:space="preserve">On April 1, 2021, in </w:t>
      </w:r>
      <w:r>
        <w:rPr>
          <w:rFonts w:ascii="Times New Roman" w:hAnsi="Times New Roman"/>
          <w:bCs/>
          <w:sz w:val="24"/>
          <w:szCs w:val="24"/>
          <w:u w:val="single"/>
        </w:rPr>
        <w:t>Kevin Coppage v. City of Raleigh</w:t>
      </w:r>
      <w:r>
        <w:rPr>
          <w:rFonts w:ascii="Times New Roman" w:hAnsi="Times New Roman"/>
          <w:bCs/>
          <w:sz w:val="24"/>
          <w:szCs w:val="24"/>
        </w:rPr>
        <w:t xml:space="preserve">, U.S. District Court Chief Judge Richard E, Myers, II, </w:t>
      </w:r>
      <w:r>
        <w:rPr>
          <w:rFonts w:ascii="Times New Roman" w:hAnsi="Times New Roman"/>
          <w:sz w:val="24"/>
          <w:szCs w:val="24"/>
        </w:rPr>
        <w:t xml:space="preserve">United States District Court for the Eastern District of North Carolina, </w:t>
      </w:r>
      <w:r>
        <w:rPr>
          <w:rFonts w:ascii="Times New Roman" w:hAnsi="Times New Roman"/>
          <w:bCs/>
          <w:sz w:val="24"/>
          <w:szCs w:val="24"/>
        </w:rPr>
        <w:t xml:space="preserve">granted the City’s motion to for partial dismissal of the Amended Complaint. The plaintiff, a Division Chief (highest ranking </w:t>
      </w:r>
      <w:proofErr w:type="gramStart"/>
      <w:r>
        <w:rPr>
          <w:rFonts w:ascii="Times New Roman" w:hAnsi="Times New Roman"/>
          <w:bCs/>
          <w:sz w:val="24"/>
          <w:szCs w:val="24"/>
        </w:rPr>
        <w:t>African-American</w:t>
      </w:r>
      <w:proofErr w:type="gramEnd"/>
      <w:r>
        <w:rPr>
          <w:rFonts w:ascii="Times New Roman" w:hAnsi="Times New Roman"/>
          <w:bCs/>
          <w:sz w:val="24"/>
          <w:szCs w:val="24"/>
        </w:rPr>
        <w:t xml:space="preserve"> on the fire department), was convicted of an off-duty DUI on July 10, 2019.  In Oct. 2019, he was denied promotion to Assistant Fire </w:t>
      </w:r>
      <w:proofErr w:type="gramStart"/>
      <w:r>
        <w:rPr>
          <w:rFonts w:ascii="Times New Roman" w:hAnsi="Times New Roman"/>
          <w:bCs/>
          <w:sz w:val="24"/>
          <w:szCs w:val="24"/>
        </w:rPr>
        <w:t>based</w:t>
      </w:r>
      <w:proofErr w:type="gramEnd"/>
      <w:r>
        <w:rPr>
          <w:rFonts w:ascii="Times New Roman" w:hAnsi="Times New Roman"/>
          <w:bCs/>
          <w:sz w:val="24"/>
          <w:szCs w:val="24"/>
        </w:rPr>
        <w:t xml:space="preserve"> the FD’s Administrative Directive of March 21, </w:t>
      </w:r>
      <w:proofErr w:type="gramStart"/>
      <w:r>
        <w:rPr>
          <w:rFonts w:ascii="Times New Roman" w:hAnsi="Times New Roman"/>
          <w:bCs/>
          <w:sz w:val="24"/>
          <w:szCs w:val="24"/>
        </w:rPr>
        <w:t>2019</w:t>
      </w:r>
      <w:proofErr w:type="gramEnd"/>
      <w:r>
        <w:rPr>
          <w:rFonts w:ascii="Times New Roman" w:hAnsi="Times New Roman"/>
          <w:bCs/>
          <w:sz w:val="24"/>
          <w:szCs w:val="24"/>
        </w:rPr>
        <w:t xml:space="preserve"> that </w:t>
      </w:r>
      <w:proofErr w:type="gramStart"/>
      <w:r>
        <w:rPr>
          <w:rFonts w:ascii="Times New Roman" w:hAnsi="Times New Roman"/>
          <w:bCs/>
          <w:sz w:val="24"/>
          <w:szCs w:val="24"/>
        </w:rPr>
        <w:t>employees are current promotion lists</w:t>
      </w:r>
      <w:proofErr w:type="gramEnd"/>
      <w:r>
        <w:rPr>
          <w:rFonts w:ascii="Times New Roman" w:hAnsi="Times New Roman"/>
          <w:bCs/>
          <w:sz w:val="24"/>
          <w:szCs w:val="24"/>
        </w:rPr>
        <w:t xml:space="preserve"> are ineligible upon conviction. On </w:t>
      </w:r>
      <w:r>
        <w:rPr>
          <w:rFonts w:ascii="Times New Roman" w:hAnsi="Times New Roman"/>
          <w:sz w:val="24"/>
          <w:szCs w:val="24"/>
        </w:rPr>
        <w:t>November 29, 2019, plaintiff applied for the position of Division Chief of Service and was again denied based on his DUI conviction.  In Dec. 2019, he filed EEOC charge claiming he was denied seven (7) promotions because of his race.</w:t>
      </w:r>
    </w:p>
    <w:p w14:paraId="7B94F622" w14:textId="77777777" w:rsidR="003E0A22" w:rsidRDefault="003E0A22" w:rsidP="003E0A22">
      <w:pPr>
        <w:ind w:left="1440"/>
        <w:rPr>
          <w:rFonts w:ascii="Times New Roman" w:hAnsi="Times New Roman"/>
          <w:sz w:val="24"/>
          <w:szCs w:val="24"/>
        </w:rPr>
      </w:pPr>
      <w:r>
        <w:rPr>
          <w:rFonts w:ascii="Times New Roman" w:hAnsi="Times New Roman"/>
          <w:sz w:val="24"/>
          <w:szCs w:val="24"/>
        </w:rPr>
        <w:t xml:space="preserve">“On or about March 4, 2019, when Plaintiff was off duty, he was charged with ‘driving under the influence’ (‘DUI’); he was eventually convicted of the charge on or about July 10, 2019. On or about March 21, 2019, the Fire Department's Office of the Fire Chief published an Administrative Directive titled, ‘Impaired Driving Offenses,’ which directed that ‘[a]n employee . . . [who] is eligible for promotion on a concurrent promotional list will be ineligible for the current promotion if charged and convicted with an impaired driving offense.’ While the Administrative Directive was published with an effective date of March 1, 2019, the Office of the Fire Chief issued two other policies on March 21, </w:t>
      </w:r>
      <w:proofErr w:type="gramStart"/>
      <w:r>
        <w:rPr>
          <w:rFonts w:ascii="Times New Roman" w:hAnsi="Times New Roman"/>
          <w:sz w:val="24"/>
          <w:szCs w:val="24"/>
        </w:rPr>
        <w:t>2019</w:t>
      </w:r>
      <w:proofErr w:type="gramEnd"/>
      <w:r>
        <w:rPr>
          <w:rFonts w:ascii="Times New Roman" w:hAnsi="Times New Roman"/>
          <w:sz w:val="24"/>
          <w:szCs w:val="24"/>
        </w:rPr>
        <w:t xml:space="preserve"> that had effective dates of March 21, 2019. Plaintiff believes that the Office of </w:t>
      </w:r>
      <w:proofErr w:type="gramStart"/>
      <w:r>
        <w:rPr>
          <w:rFonts w:ascii="Times New Roman" w:hAnsi="Times New Roman"/>
          <w:sz w:val="24"/>
          <w:szCs w:val="24"/>
        </w:rPr>
        <w:t>the Fire</w:t>
      </w:r>
      <w:proofErr w:type="gramEnd"/>
      <w:r>
        <w:rPr>
          <w:rFonts w:ascii="Times New Roman" w:hAnsi="Times New Roman"/>
          <w:sz w:val="24"/>
          <w:szCs w:val="24"/>
        </w:rPr>
        <w:t xml:space="preserve"> Chief had never issued new policies with effective dates prior to the publication date and that the purpose of backdating the ‘Impaired Driving Offenses’ Administrative Directive was to provide a racially neutral pretext for denying Plaintiff further promotions. Plaintiff also believes that the Fire Department has promoted white firefighters who have been subject to the March 2019 Administrative Directive.</w:t>
      </w:r>
    </w:p>
    <w:p w14:paraId="1CB36E8A" w14:textId="77777777" w:rsidR="003E0A22" w:rsidRDefault="003E0A22" w:rsidP="003E0A22">
      <w:pPr>
        <w:ind w:left="720"/>
        <w:rPr>
          <w:rFonts w:ascii="Times New Roman" w:hAnsi="Times New Roman"/>
          <w:bCs/>
          <w:sz w:val="24"/>
          <w:szCs w:val="24"/>
        </w:rPr>
      </w:pPr>
      <w:r>
        <w:rPr>
          <w:rFonts w:ascii="Times New Roman" w:hAnsi="Times New Roman"/>
          <w:bCs/>
          <w:sz w:val="24"/>
          <w:szCs w:val="24"/>
        </w:rPr>
        <w:t xml:space="preserve"> </w:t>
      </w:r>
      <w:r>
        <w:rPr>
          <w:rFonts w:ascii="Times New Roman" w:hAnsi="Times New Roman"/>
          <w:bCs/>
          <w:sz w:val="24"/>
          <w:szCs w:val="24"/>
        </w:rPr>
        <w:tab/>
        <w:t>***</w:t>
      </w:r>
    </w:p>
    <w:p w14:paraId="2AA46519" w14:textId="77777777" w:rsidR="003E0A22" w:rsidRDefault="003E0A22" w:rsidP="003E0A22">
      <w:pPr>
        <w:ind w:left="1440"/>
        <w:rPr>
          <w:rFonts w:ascii="Times New Roman" w:hAnsi="Times New Roman"/>
          <w:sz w:val="24"/>
          <w:szCs w:val="24"/>
        </w:rPr>
      </w:pPr>
      <w:r>
        <w:rPr>
          <w:rFonts w:ascii="Times New Roman" w:hAnsi="Times New Roman"/>
          <w:sz w:val="24"/>
          <w:szCs w:val="24"/>
        </w:rPr>
        <w:t>Plaintiff's [Dec. 2019 EEOC] charge of discrimination lists only the discrete acts of failures to promote [on 7 occasions] and does not mention Defendant's treatment of other non-white firefighters, statistics concerning non-white employees in the Department, or the application of the Administrative Directive to Plaintiff or any other employee.</w:t>
      </w:r>
    </w:p>
    <w:p w14:paraId="7FC73610" w14:textId="77777777" w:rsidR="003E0A22" w:rsidRDefault="003E0A22" w:rsidP="003E0A22">
      <w:pPr>
        <w:ind w:left="1440"/>
        <w:rPr>
          <w:rFonts w:ascii="Times New Roman" w:hAnsi="Times New Roman"/>
          <w:sz w:val="24"/>
          <w:szCs w:val="24"/>
        </w:rPr>
      </w:pPr>
      <w:r>
        <w:rPr>
          <w:rFonts w:ascii="Times New Roman" w:hAnsi="Times New Roman"/>
          <w:sz w:val="24"/>
          <w:szCs w:val="24"/>
        </w:rPr>
        <w:t>***</w:t>
      </w:r>
    </w:p>
    <w:p w14:paraId="1871F6AE" w14:textId="77777777" w:rsidR="003E0A22" w:rsidRDefault="003E0A22" w:rsidP="003E0A22">
      <w:pPr>
        <w:ind w:left="1440"/>
        <w:rPr>
          <w:rFonts w:ascii="Times New Roman" w:hAnsi="Times New Roman"/>
          <w:bCs/>
          <w:sz w:val="24"/>
          <w:szCs w:val="24"/>
        </w:rPr>
      </w:pPr>
      <w:r>
        <w:rPr>
          <w:rFonts w:ascii="Times New Roman" w:hAnsi="Times New Roman"/>
          <w:sz w:val="24"/>
          <w:szCs w:val="24"/>
        </w:rPr>
        <w:t xml:space="preserve">The court must conclude that the factual allegations in the Amended Complaint are not reasonably related to the factual allegations in </w:t>
      </w:r>
      <w:proofErr w:type="gramStart"/>
      <w:r>
        <w:rPr>
          <w:rFonts w:ascii="Times New Roman" w:hAnsi="Times New Roman"/>
          <w:sz w:val="24"/>
          <w:szCs w:val="24"/>
        </w:rPr>
        <w:t>the charge</w:t>
      </w:r>
      <w:proofErr w:type="gramEnd"/>
      <w:r>
        <w:rPr>
          <w:rFonts w:ascii="Times New Roman" w:hAnsi="Times New Roman"/>
          <w:sz w:val="24"/>
          <w:szCs w:val="24"/>
        </w:rPr>
        <w:t xml:space="preserve"> of discrimination and, therefore, the Plaintiff's hostile work environment claim has exceeded the scope of the EEOC charge. As such, Plaintiff fails to state a plausible second claim for relief having failed to exhaust required administrative remedies.” </w:t>
      </w:r>
      <w:hyperlink r:id="rId1977" w:history="1">
        <w:r w:rsidRPr="0041276B">
          <w:rPr>
            <w:rStyle w:val="Hyperlink"/>
            <w:rFonts w:ascii="Times New Roman" w:hAnsi="Times New Roman"/>
            <w:sz w:val="24"/>
            <w:szCs w:val="24"/>
          </w:rPr>
          <w:t>https://casetext.com/case/coppage-v-city-of-raleigh-1</w:t>
        </w:r>
      </w:hyperlink>
      <w:r>
        <w:rPr>
          <w:rFonts w:ascii="Times New Roman" w:hAnsi="Times New Roman"/>
          <w:sz w:val="24"/>
          <w:szCs w:val="24"/>
        </w:rPr>
        <w:t xml:space="preserve"> </w:t>
      </w:r>
    </w:p>
    <w:p w14:paraId="3F8D963A" w14:textId="77777777" w:rsidR="003E0A22" w:rsidRDefault="003E0A22" w:rsidP="003E0A22">
      <w:pPr>
        <w:rPr>
          <w:rFonts w:ascii="Times New Roman" w:hAnsi="Times New Roman"/>
          <w:b/>
          <w:bCs/>
          <w:sz w:val="24"/>
          <w:szCs w:val="24"/>
        </w:rPr>
      </w:pPr>
      <w:r>
        <w:rPr>
          <w:rFonts w:ascii="Times New Roman" w:hAnsi="Times New Roman"/>
          <w:b/>
          <w:bCs/>
          <w:sz w:val="24"/>
          <w:szCs w:val="24"/>
        </w:rPr>
        <w:t xml:space="preserve">Legal Lesson Learned: FDs may adopt DUI policy prohibiting promotion based on a DUI conviction. </w:t>
      </w:r>
    </w:p>
    <w:p w14:paraId="35C8FF2B" w14:textId="77777777" w:rsidR="003E0A22" w:rsidRPr="0026670B" w:rsidRDefault="003E0A22" w:rsidP="003E0A22">
      <w:pPr>
        <w:ind w:left="720"/>
        <w:rPr>
          <w:rFonts w:ascii="Times New Roman" w:hAnsi="Times New Roman"/>
          <w:b/>
          <w:bCs/>
          <w:sz w:val="24"/>
          <w:szCs w:val="24"/>
        </w:rPr>
      </w:pPr>
      <w:r>
        <w:rPr>
          <w:rFonts w:ascii="Times New Roman" w:hAnsi="Times New Roman"/>
          <w:sz w:val="24"/>
          <w:szCs w:val="24"/>
        </w:rPr>
        <w:t xml:space="preserve">Note:  See article on San Antonio policy (Jan. 15, 2015): “Fire dept. changes rules after firefighter DWI arrests. The change in protocol comes after three firefighters were arrested for suspected drunk driving during a seven-week period last summer.” </w:t>
      </w:r>
      <w:hyperlink r:id="rId1978" w:history="1">
        <w:r w:rsidRPr="0026670B">
          <w:rPr>
            <w:rStyle w:val="Hyperlink"/>
            <w:sz w:val="24"/>
            <w:szCs w:val="24"/>
          </w:rPr>
          <w:t>https://www.firerescue1.com/dwi/articles/fire-dept-changes-rules-after-firefighter-dwi-arrests-rmaW6QcL6R9YmTqf/</w:t>
        </w:r>
      </w:hyperlink>
      <w:r w:rsidRPr="0026670B">
        <w:rPr>
          <w:rFonts w:ascii="Times New Roman" w:hAnsi="Times New Roman"/>
          <w:sz w:val="24"/>
          <w:szCs w:val="24"/>
        </w:rPr>
        <w:t xml:space="preserve"> </w:t>
      </w:r>
    </w:p>
    <w:p w14:paraId="7AF1F520" w14:textId="77777777" w:rsidR="003E0A22" w:rsidRDefault="003E0A22" w:rsidP="003E0A22">
      <w:pPr>
        <w:ind w:left="1440"/>
        <w:rPr>
          <w:rFonts w:ascii="Times New Roman" w:hAnsi="Times New Roman"/>
          <w:b/>
          <w:bCs/>
          <w:sz w:val="24"/>
          <w:szCs w:val="24"/>
        </w:rPr>
      </w:pPr>
      <w:r>
        <w:rPr>
          <w:rFonts w:ascii="Times New Roman" w:hAnsi="Times New Roman"/>
          <w:sz w:val="24"/>
          <w:szCs w:val="24"/>
        </w:rPr>
        <w:lastRenderedPageBreak/>
        <w:t xml:space="preserve">“SAFD has increased suspension lengths for firefighters arrested for Driving While Intoxicated. </w:t>
      </w:r>
      <w:proofErr w:type="gramStart"/>
      <w:r>
        <w:rPr>
          <w:rFonts w:ascii="Times New Roman" w:hAnsi="Times New Roman"/>
          <w:sz w:val="24"/>
          <w:szCs w:val="24"/>
        </w:rPr>
        <w:t>A first</w:t>
      </w:r>
      <w:proofErr w:type="gramEnd"/>
      <w:r>
        <w:rPr>
          <w:rFonts w:ascii="Times New Roman" w:hAnsi="Times New Roman"/>
          <w:sz w:val="24"/>
          <w:szCs w:val="24"/>
        </w:rPr>
        <w:t xml:space="preserve"> DWI arrest now results in a 60-day suspension and mandatory alcohol abuse counseling. This suspension length is four times longer than the 15-day suspension previously given for a first offense. A second DWI arrest results in termination.” </w:t>
      </w:r>
    </w:p>
    <w:p w14:paraId="2F55CB08" w14:textId="77777777" w:rsidR="003E0A22" w:rsidRPr="0078387A" w:rsidRDefault="003E0A22" w:rsidP="003E0A22">
      <w:pPr>
        <w:pStyle w:val="Heading1"/>
        <w:ind w:left="720"/>
        <w:rPr>
          <w:b w:val="0"/>
          <w:bCs w:val="0"/>
          <w:sz w:val="24"/>
          <w:szCs w:val="24"/>
        </w:rPr>
      </w:pPr>
      <w:r w:rsidRPr="0078387A">
        <w:rPr>
          <w:b w:val="0"/>
          <w:bCs w:val="0"/>
          <w:sz w:val="24"/>
          <w:szCs w:val="24"/>
        </w:rPr>
        <w:t xml:space="preserve">See this article on firefighter DUIs in California, written by Retired Captain Rafael Ortiz, Los Angeles County Fire Department.  “What Happens if a Firefighter Drinks/Drives in their Personal Life?”  </w:t>
      </w:r>
      <w:hyperlink r:id="rId1979" w:history="1">
        <w:r w:rsidRPr="003E0A22">
          <w:rPr>
            <w:rStyle w:val="Hyperlink"/>
            <w:b w:val="0"/>
            <w:bCs w:val="0"/>
            <w:sz w:val="24"/>
            <w:szCs w:val="24"/>
          </w:rPr>
          <w:t>http://futurefirefighters.org/firefighter-drinking-driving/</w:t>
        </w:r>
      </w:hyperlink>
      <w:r w:rsidRPr="003E0A22">
        <w:rPr>
          <w:b w:val="0"/>
          <w:bCs w:val="0"/>
          <w:sz w:val="24"/>
          <w:szCs w:val="24"/>
        </w:rPr>
        <w:t xml:space="preserve"> </w:t>
      </w:r>
    </w:p>
    <w:p w14:paraId="095AB5DF" w14:textId="77777777" w:rsidR="003E0A22" w:rsidRDefault="003E0A22" w:rsidP="003E0A22">
      <w:pPr>
        <w:pStyle w:val="Heading3"/>
        <w:ind w:left="720" w:firstLine="720"/>
        <w:rPr>
          <w:rFonts w:ascii="Times New Roman" w:hAnsi="Times New Roman" w:cs="Times New Roman"/>
          <w:color w:val="auto"/>
        </w:rPr>
      </w:pPr>
      <w:r>
        <w:rPr>
          <w:rFonts w:ascii="Times New Roman" w:hAnsi="Times New Roman" w:cs="Times New Roman"/>
          <w:color w:val="auto"/>
        </w:rPr>
        <w:t xml:space="preserve">“Typical Costs and Consequences of First Offense DUI. </w:t>
      </w:r>
    </w:p>
    <w:p w14:paraId="77FFD5D2" w14:textId="77777777" w:rsidR="003E0A22" w:rsidRDefault="003E0A22" w:rsidP="003E0A22">
      <w:pPr>
        <w:pStyle w:val="NormalWeb"/>
        <w:ind w:left="1440"/>
      </w:pPr>
      <w:r>
        <w:t>These would be without any aggravated circumstances, such as collision, injury, etc.</w:t>
      </w:r>
    </w:p>
    <w:p w14:paraId="2CBAC0C4" w14:textId="77777777" w:rsidR="003E0A22" w:rsidRDefault="003E0A22" w:rsidP="003E0A22">
      <w:pPr>
        <w:pStyle w:val="NormalWeb"/>
        <w:ind w:left="1440"/>
      </w:pPr>
      <w:r>
        <w:t>• Attorney Fees: $8,500.00</w:t>
      </w:r>
      <w:r>
        <w:br/>
        <w:t>• Court fines/fees: $1,500.00</w:t>
      </w:r>
      <w:r>
        <w:br/>
        <w:t>• Court mandated classes: $500.00</w:t>
      </w:r>
      <w:r>
        <w:br/>
        <w:t>• Additional insurance of: $1200.00 (per year for three years)</w:t>
      </w:r>
      <w:r>
        <w:br/>
        <w:t>• 6 months restricted license</w:t>
      </w:r>
      <w:r>
        <w:br/>
        <w:t>• Time off work during DMV license suspension (typically 30 days)</w:t>
      </w:r>
      <w:r>
        <w:br/>
        <w:t>• Attend eight classes at Alcohol Anonymous – 12 hours</w:t>
      </w:r>
      <w:r>
        <w:br/>
        <w:t>• Attend ten classes for Alcohol Awareness – 30 hours</w:t>
      </w:r>
      <w:r>
        <w:br/>
        <w:t>• Suspension or discharges from Fire Department or various lesser charges</w:t>
      </w:r>
    </w:p>
    <w:p w14:paraId="1381F333" w14:textId="77777777" w:rsidR="003E0A22" w:rsidRDefault="003E0A22" w:rsidP="003E0A22">
      <w:pPr>
        <w:pStyle w:val="NormalWeb"/>
        <w:ind w:left="1440"/>
        <w:rPr>
          <w:rFonts w:ascii="Arial Black" w:hAnsi="Arial Black"/>
          <w:b/>
          <w:bCs/>
          <w:sz w:val="40"/>
          <w:szCs w:val="40"/>
        </w:rPr>
      </w:pPr>
      <w:r>
        <w:t xml:space="preserve">The point is, if you want to be a firefighter (or remain a firefighter), don’t drink and drive.”  </w:t>
      </w:r>
    </w:p>
    <w:p w14:paraId="654F51C4" w14:textId="77777777" w:rsidR="003E0A22" w:rsidRDefault="003E0A22" w:rsidP="00F326E5">
      <w:pPr>
        <w:rPr>
          <w:rFonts w:ascii="Arial Black" w:hAnsi="Arial Black"/>
          <w:b/>
          <w:sz w:val="24"/>
          <w:szCs w:val="24"/>
        </w:rPr>
      </w:pPr>
    </w:p>
    <w:p w14:paraId="3212C351" w14:textId="77777777" w:rsidR="003E0A22" w:rsidRDefault="003E0A22" w:rsidP="00F326E5">
      <w:pPr>
        <w:rPr>
          <w:rFonts w:ascii="Arial Black" w:hAnsi="Arial Black"/>
          <w:b/>
          <w:sz w:val="24"/>
          <w:szCs w:val="24"/>
        </w:rPr>
      </w:pPr>
    </w:p>
    <w:p w14:paraId="32A05B25" w14:textId="303310A8" w:rsidR="00AD5461" w:rsidRDefault="00AD5461" w:rsidP="00F326E5">
      <w:pPr>
        <w:rPr>
          <w:rFonts w:ascii="Arial Black" w:hAnsi="Arial Black"/>
          <w:b/>
          <w:sz w:val="24"/>
          <w:szCs w:val="24"/>
        </w:rPr>
      </w:pPr>
      <w:r>
        <w:rPr>
          <w:rFonts w:ascii="Arial Black" w:hAnsi="Arial Black"/>
          <w:b/>
          <w:sz w:val="24"/>
          <w:szCs w:val="24"/>
        </w:rPr>
        <w:t>12-9</w:t>
      </w:r>
    </w:p>
    <w:p w14:paraId="0C5E5BF4" w14:textId="77777777" w:rsidR="00AD5461" w:rsidRPr="006C3DB9" w:rsidRDefault="00AD5461" w:rsidP="00AD5461">
      <w:pPr>
        <w:pStyle w:val="NoSpacing"/>
        <w:rPr>
          <w:rFonts w:ascii="Arial Black" w:hAnsi="Arial Black"/>
          <w:sz w:val="28"/>
          <w:szCs w:val="28"/>
        </w:rPr>
      </w:pPr>
      <w:r>
        <w:rPr>
          <w:rFonts w:ascii="Arial Black" w:hAnsi="Arial Black"/>
          <w:sz w:val="28"/>
          <w:szCs w:val="28"/>
        </w:rPr>
        <w:t>PA: PHILADELPHIA CANNOT OPEN A “SAFEHOUSE” WHERE DRUG ADDICTS CAN USE DRUGS – VIOL. FEDERAL LAW</w:t>
      </w:r>
    </w:p>
    <w:p w14:paraId="1AFA66E6" w14:textId="77777777" w:rsidR="00AD5461" w:rsidRPr="0043365C" w:rsidRDefault="00AD5461" w:rsidP="00AD5461">
      <w:pPr>
        <w:tabs>
          <w:tab w:val="left" w:pos="3820"/>
        </w:tabs>
        <w:spacing w:before="100" w:beforeAutospacing="1" w:after="100" w:afterAutospacing="1" w:line="240" w:lineRule="auto"/>
        <w:rPr>
          <w:rFonts w:ascii="Times New Roman" w:hAnsi="Times New Roman"/>
          <w:sz w:val="24"/>
          <w:szCs w:val="24"/>
        </w:rPr>
      </w:pPr>
      <w:r w:rsidRPr="0043365C">
        <w:rPr>
          <w:rFonts w:ascii="Times New Roman" w:hAnsi="Times New Roman"/>
          <w:sz w:val="24"/>
          <w:szCs w:val="24"/>
        </w:rPr>
        <w:t xml:space="preserve">On Jan. 12, 2021, in </w:t>
      </w:r>
      <w:r w:rsidRPr="0043365C">
        <w:rPr>
          <w:rFonts w:ascii="Times New Roman" w:hAnsi="Times New Roman"/>
          <w:sz w:val="24"/>
          <w:szCs w:val="24"/>
          <w:u w:val="single"/>
        </w:rPr>
        <w:t>Safehouse, a Pennsylvania nonprofit corporation, et al. v. U.S. Department of Justice</w:t>
      </w:r>
      <w:r w:rsidRPr="0043365C">
        <w:rPr>
          <w:rFonts w:ascii="Times New Roman" w:hAnsi="Times New Roman"/>
          <w:sz w:val="24"/>
          <w:szCs w:val="24"/>
        </w:rPr>
        <w:t xml:space="preserve">, </w:t>
      </w:r>
      <w:r>
        <w:rPr>
          <w:rFonts w:ascii="Times New Roman" w:hAnsi="Times New Roman"/>
          <w:sz w:val="24"/>
          <w:szCs w:val="24"/>
        </w:rPr>
        <w:t xml:space="preserve">the U.S. Court of Appeals for the Third Circuit, held (2 to 1) that the U.S. District Court improperly held that Safehouses conduct would not violate the Controlled Substance Act of 1970, and denied the Government’s motion for declaratory judgment.  </w:t>
      </w:r>
    </w:p>
    <w:p w14:paraId="134A556E" w14:textId="77777777" w:rsidR="00AD5461" w:rsidRDefault="00AD5461" w:rsidP="00AD5461">
      <w:pPr>
        <w:pStyle w:val="NoSpacing"/>
        <w:ind w:left="720"/>
        <w:rPr>
          <w:rFonts w:ascii="Times New Roman" w:hAnsi="Times New Roman"/>
          <w:sz w:val="24"/>
          <w:szCs w:val="24"/>
        </w:rPr>
      </w:pPr>
      <w:r w:rsidRPr="0043365C">
        <w:rPr>
          <w:rFonts w:ascii="Times New Roman" w:hAnsi="Times New Roman"/>
          <w:sz w:val="24"/>
          <w:szCs w:val="24"/>
        </w:rPr>
        <w:t xml:space="preserve">“The opioid crisis is a grave problem that calls for creative solutions. Safehouse wants to experiment with one. Its goal, saving lives, is laudable. But it is not our job to </w:t>
      </w:r>
      <w:proofErr w:type="gramStart"/>
      <w:r w:rsidRPr="0043365C">
        <w:rPr>
          <w:rFonts w:ascii="Times New Roman" w:hAnsi="Times New Roman"/>
          <w:sz w:val="24"/>
          <w:szCs w:val="24"/>
        </w:rPr>
        <w:t>opine on</w:t>
      </w:r>
      <w:proofErr w:type="gramEnd"/>
      <w:r w:rsidRPr="0043365C">
        <w:rPr>
          <w:rFonts w:ascii="Times New Roman" w:hAnsi="Times New Roman"/>
          <w:sz w:val="24"/>
          <w:szCs w:val="24"/>
        </w:rPr>
        <w:t xml:space="preserve"> whether its experiment is wise. The statute forbids opening and maintaining any place for visitors to come use drugs. Its words are not limited to crack houses. Congress has chosen one rational approach to reducing drug use and trafficking: a flat ban. We cannot rewrite the statute. Only Congress can. </w:t>
      </w:r>
      <w:proofErr w:type="gramStart"/>
      <w:r w:rsidRPr="0043365C">
        <w:rPr>
          <w:rFonts w:ascii="Times New Roman" w:hAnsi="Times New Roman"/>
          <w:sz w:val="24"/>
          <w:szCs w:val="24"/>
        </w:rPr>
        <w:t>So</w:t>
      </w:r>
      <w:proofErr w:type="gramEnd"/>
      <w:r w:rsidRPr="0043365C">
        <w:rPr>
          <w:rFonts w:ascii="Times New Roman" w:hAnsi="Times New Roman"/>
          <w:sz w:val="24"/>
          <w:szCs w:val="24"/>
        </w:rPr>
        <w:t xml:space="preserve"> we will reverse and remand for the District Court to consider the RFRA counterclaim.”  </w:t>
      </w:r>
      <w:hyperlink r:id="rId1980" w:history="1">
        <w:r w:rsidRPr="00AA6AFA">
          <w:rPr>
            <w:rStyle w:val="Hyperlink"/>
            <w:rFonts w:ascii="Times New Roman" w:hAnsi="Times New Roman"/>
            <w:sz w:val="24"/>
            <w:szCs w:val="24"/>
          </w:rPr>
          <w:t>https://law.justia.com/cases/federal/appellate-courts/ca3/20-1422/20-1422-2021-01-12.html</w:t>
        </w:r>
      </w:hyperlink>
      <w:r>
        <w:rPr>
          <w:rFonts w:ascii="Times New Roman" w:hAnsi="Times New Roman"/>
          <w:sz w:val="24"/>
          <w:szCs w:val="24"/>
        </w:rPr>
        <w:t xml:space="preserve"> </w:t>
      </w:r>
    </w:p>
    <w:p w14:paraId="0206A222" w14:textId="77777777" w:rsidR="00AD5461" w:rsidRDefault="00AD5461" w:rsidP="00AD5461">
      <w:pPr>
        <w:spacing w:before="100" w:beforeAutospacing="1" w:after="100" w:afterAutospacing="1" w:line="240" w:lineRule="auto"/>
        <w:rPr>
          <w:rFonts w:ascii="Times New Roman" w:eastAsia="Times New Roman" w:hAnsi="Times New Roman"/>
          <w:b/>
          <w:bCs/>
          <w:sz w:val="24"/>
          <w:szCs w:val="24"/>
        </w:rPr>
      </w:pPr>
      <w:r w:rsidRPr="0015227C">
        <w:rPr>
          <w:rFonts w:ascii="Times New Roman" w:eastAsia="Times New Roman" w:hAnsi="Times New Roman"/>
          <w:b/>
          <w:bCs/>
          <w:sz w:val="24"/>
          <w:szCs w:val="24"/>
        </w:rPr>
        <w:t>Legal Lesson Learned:</w:t>
      </w:r>
      <w:r>
        <w:rPr>
          <w:rFonts w:ascii="Times New Roman" w:eastAsia="Times New Roman" w:hAnsi="Times New Roman"/>
          <w:b/>
          <w:bCs/>
          <w:sz w:val="24"/>
          <w:szCs w:val="24"/>
        </w:rPr>
        <w:t xml:space="preserve">  Amsterdam and other locations in Europe proved “safe sites” for drug use, but in U.S. this violates federal law.</w:t>
      </w:r>
    </w:p>
    <w:p w14:paraId="5386A4B4" w14:textId="77777777" w:rsidR="00AD5461" w:rsidRDefault="00AD5461" w:rsidP="00AD5461">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lastRenderedPageBreak/>
        <w:t xml:space="preserve">Note: See Report – “Drug Consumption Rooms </w:t>
      </w:r>
      <w:proofErr w:type="gramStart"/>
      <w:r>
        <w:rPr>
          <w:rFonts w:ascii="Times New Roman" w:eastAsia="Times New Roman" w:hAnsi="Times New Roman"/>
          <w:sz w:val="24"/>
          <w:szCs w:val="24"/>
        </w:rPr>
        <w:t>In</w:t>
      </w:r>
      <w:proofErr w:type="gramEnd"/>
      <w:r>
        <w:rPr>
          <w:rFonts w:ascii="Times New Roman" w:eastAsia="Times New Roman" w:hAnsi="Times New Roman"/>
          <w:sz w:val="24"/>
          <w:szCs w:val="24"/>
        </w:rPr>
        <w:t xml:space="preserve"> Europe.” </w:t>
      </w:r>
    </w:p>
    <w:p w14:paraId="6F6969A1" w14:textId="77777777" w:rsidR="00AD5461" w:rsidRPr="0015227C" w:rsidRDefault="00AD5461" w:rsidP="00AD5461">
      <w:pPr>
        <w:spacing w:before="100" w:beforeAutospacing="1" w:after="100" w:afterAutospacing="1" w:line="240" w:lineRule="auto"/>
        <w:ind w:left="720"/>
        <w:rPr>
          <w:rFonts w:ascii="Times New Roman" w:eastAsia="Times New Roman" w:hAnsi="Times New Roman"/>
          <w:sz w:val="24"/>
          <w:szCs w:val="24"/>
        </w:rPr>
      </w:pPr>
      <w:r>
        <w:rPr>
          <w:rFonts w:ascii="Times New Roman" w:hAnsi="Times New Roman"/>
          <w:sz w:val="24"/>
          <w:szCs w:val="24"/>
        </w:rPr>
        <w:t>“</w:t>
      </w:r>
      <w:r w:rsidRPr="0015227C">
        <w:rPr>
          <w:rFonts w:ascii="Times New Roman" w:hAnsi="Times New Roman"/>
          <w:sz w:val="24"/>
          <w:szCs w:val="24"/>
        </w:rPr>
        <w:t>Clients generally report low levels of public drug use, particularly during the hours when DCR [drug consumption room] facilities are open. Respondents indicated that the main reasons for</w:t>
      </w:r>
      <w:r>
        <w:rPr>
          <w:rFonts w:ascii="Times New Roman" w:hAnsi="Times New Roman"/>
          <w:sz w:val="24"/>
          <w:szCs w:val="24"/>
        </w:rPr>
        <w:t xml:space="preserve"> </w:t>
      </w:r>
      <w:r w:rsidRPr="0015227C">
        <w:rPr>
          <w:rFonts w:ascii="Times New Roman" w:hAnsi="Times New Roman"/>
          <w:sz w:val="24"/>
          <w:szCs w:val="24"/>
        </w:rPr>
        <w:t>attending DCR facilities included safety, social interaction, and police avoidance. Clients rely heavily on the social functions of the DCR –many clients who have their own home or other private place to use their drugs still choose to regularly access DCR services and to maintain contact with peers.</w:t>
      </w:r>
      <w:r>
        <w:rPr>
          <w:rFonts w:ascii="Times New Roman" w:hAnsi="Times New Roman"/>
          <w:sz w:val="24"/>
          <w:szCs w:val="24"/>
        </w:rPr>
        <w:t xml:space="preserve">” </w:t>
      </w:r>
      <w:hyperlink r:id="rId1981" w:history="1">
        <w:r w:rsidRPr="00AA6AFA">
          <w:rPr>
            <w:rStyle w:val="Hyperlink"/>
            <w:rFonts w:ascii="Times New Roman" w:eastAsia="Times New Roman" w:hAnsi="Times New Roman"/>
            <w:sz w:val="24"/>
            <w:szCs w:val="24"/>
          </w:rPr>
          <w:t>http://www.drugconsumptionroom-international.org/images/pdf/dcr_in_rotterdam_amsterdam.pdf</w:t>
        </w:r>
      </w:hyperlink>
      <w:r>
        <w:rPr>
          <w:rFonts w:ascii="Times New Roman" w:eastAsia="Times New Roman" w:hAnsi="Times New Roman"/>
          <w:sz w:val="24"/>
          <w:szCs w:val="24"/>
        </w:rPr>
        <w:t xml:space="preserve"> </w:t>
      </w:r>
    </w:p>
    <w:p w14:paraId="1F650893" w14:textId="77777777" w:rsidR="00AD5461" w:rsidRDefault="00AD5461" w:rsidP="00F326E5">
      <w:pPr>
        <w:rPr>
          <w:rFonts w:ascii="Arial Black" w:hAnsi="Arial Black"/>
          <w:b/>
          <w:sz w:val="24"/>
          <w:szCs w:val="24"/>
        </w:rPr>
      </w:pPr>
    </w:p>
    <w:p w14:paraId="2B8A163C" w14:textId="561F4D04" w:rsidR="00557CA2" w:rsidRDefault="00557CA2" w:rsidP="00F326E5">
      <w:pPr>
        <w:rPr>
          <w:rFonts w:ascii="Arial Black" w:hAnsi="Arial Black"/>
          <w:b/>
          <w:sz w:val="24"/>
          <w:szCs w:val="24"/>
        </w:rPr>
      </w:pPr>
      <w:r>
        <w:rPr>
          <w:rFonts w:ascii="Arial Black" w:hAnsi="Arial Black"/>
          <w:b/>
          <w:sz w:val="24"/>
          <w:szCs w:val="24"/>
        </w:rPr>
        <w:t>12-8</w:t>
      </w:r>
    </w:p>
    <w:p w14:paraId="40883192" w14:textId="77777777" w:rsidR="00557CA2" w:rsidRDefault="00557CA2" w:rsidP="00557CA2">
      <w:pPr>
        <w:pStyle w:val="Heading1"/>
        <w:rPr>
          <w:rFonts w:ascii="Arial Black" w:hAnsi="Arial Black"/>
          <w:sz w:val="28"/>
          <w:szCs w:val="28"/>
        </w:rPr>
      </w:pPr>
      <w:r>
        <w:rPr>
          <w:rFonts w:ascii="Arial Black" w:hAnsi="Arial Black"/>
          <w:sz w:val="28"/>
          <w:szCs w:val="28"/>
        </w:rPr>
        <w:t xml:space="preserve">PA: TACO BELL MANAGER CALLS 911 – CUSTOMER “ASLEEP STANDING UP” – PD FIND DRUGS – CUSTOMER CONVICTED </w:t>
      </w:r>
    </w:p>
    <w:p w14:paraId="43E28C99" w14:textId="77777777" w:rsidR="00557CA2" w:rsidRDefault="00557CA2" w:rsidP="00557CA2">
      <w:pPr>
        <w:pStyle w:val="Heading1"/>
        <w:rPr>
          <w:b w:val="0"/>
          <w:bCs w:val="0"/>
          <w:sz w:val="24"/>
          <w:szCs w:val="24"/>
        </w:rPr>
      </w:pPr>
      <w:r>
        <w:rPr>
          <w:b w:val="0"/>
          <w:bCs w:val="0"/>
          <w:sz w:val="24"/>
          <w:szCs w:val="24"/>
        </w:rPr>
        <w:t xml:space="preserve">On Aug. 14, 2020, in </w:t>
      </w:r>
      <w:r>
        <w:rPr>
          <w:b w:val="0"/>
          <w:bCs w:val="0"/>
          <w:sz w:val="24"/>
          <w:szCs w:val="24"/>
          <w:u w:val="single"/>
        </w:rPr>
        <w:t>Commonwealth of Pennsylvania v. Obed Nunez</w:t>
      </w:r>
      <w:r>
        <w:rPr>
          <w:b w:val="0"/>
          <w:bCs w:val="0"/>
          <w:sz w:val="24"/>
          <w:szCs w:val="24"/>
        </w:rPr>
        <w:t xml:space="preserve">, Superior Court of Pennsylvania, 2020 PA Super 198, held (3 to 0) that the trial court judge properly held that the PA Overdose Immunity statute does not apply since the Taco Bell Manager William Jay called 911 because a customer was “asleep standing up,” not because the customer was necessarily having an overdose.  </w:t>
      </w:r>
      <w:proofErr w:type="gramStart"/>
      <w:r>
        <w:rPr>
          <w:b w:val="0"/>
          <w:bCs w:val="0"/>
          <w:sz w:val="24"/>
          <w:szCs w:val="24"/>
        </w:rPr>
        <w:t>Also</w:t>
      </w:r>
      <w:proofErr w:type="gramEnd"/>
      <w:r>
        <w:rPr>
          <w:b w:val="0"/>
          <w:bCs w:val="0"/>
          <w:sz w:val="24"/>
          <w:szCs w:val="24"/>
        </w:rPr>
        <w:t xml:space="preserve"> PA statute requires 911 </w:t>
      </w:r>
      <w:proofErr w:type="gramStart"/>
      <w:r>
        <w:rPr>
          <w:b w:val="0"/>
          <w:bCs w:val="0"/>
          <w:sz w:val="24"/>
          <w:szCs w:val="24"/>
        </w:rPr>
        <w:t>caller</w:t>
      </w:r>
      <w:proofErr w:type="gramEnd"/>
      <w:r>
        <w:rPr>
          <w:b w:val="0"/>
          <w:bCs w:val="0"/>
          <w:sz w:val="24"/>
          <w:szCs w:val="24"/>
        </w:rPr>
        <w:t xml:space="preserve"> to remain with overdose person. </w:t>
      </w:r>
    </w:p>
    <w:p w14:paraId="6538AC43" w14:textId="27055F52" w:rsidR="00557CA2" w:rsidRDefault="00557CA2" w:rsidP="00557CA2">
      <w:pPr>
        <w:spacing w:after="100" w:line="240" w:lineRule="auto"/>
        <w:ind w:left="720"/>
        <w:rPr>
          <w:rFonts w:ascii="Times New Roman" w:hAnsi="Times New Roman"/>
          <w:sz w:val="24"/>
          <w:szCs w:val="24"/>
        </w:rPr>
      </w:pPr>
      <w:r>
        <w:rPr>
          <w:rFonts w:ascii="Times New Roman" w:hAnsi="Times New Roman"/>
          <w:sz w:val="24"/>
          <w:szCs w:val="24"/>
        </w:rPr>
        <w:t xml:space="preserve">“However, Mr. Jay [Taco Bell Manager] did not make any statement during this call that he reasonably believed Appellant required immediate medical attention, </w:t>
      </w:r>
      <w:r>
        <w:rPr>
          <w:rFonts w:ascii="Times New Roman" w:hAnsi="Times New Roman"/>
          <w:i/>
          <w:iCs/>
          <w:sz w:val="24"/>
          <w:szCs w:val="24"/>
        </w:rPr>
        <w:t>see id.,</w:t>
      </w:r>
      <w:r>
        <w:rPr>
          <w:rFonts w:ascii="Times New Roman" w:hAnsi="Times New Roman"/>
          <w:sz w:val="24"/>
          <w:szCs w:val="24"/>
        </w:rPr>
        <w:t xml:space="preserve"> nor did Mr. Jay relay to the dispatcher that he reasonably believed Appellant was experiencing a drug overdose event, as defined by the Act.” </w:t>
      </w:r>
      <w:hyperlink r:id="rId1982" w:history="1">
        <w:r>
          <w:rPr>
            <w:rStyle w:val="Hyperlink"/>
            <w:sz w:val="24"/>
            <w:szCs w:val="24"/>
          </w:rPr>
          <w:t>https://scholar.google.com/scholar_case?case=14934683326774120071&amp;q=Pennsylvania+%22overdose+response%22&amp;hl=en&amp;scisbd=2&amp;as_sdt=6,36&amp;as_ylo=2020</w:t>
        </w:r>
      </w:hyperlink>
      <w:r>
        <w:rPr>
          <w:rFonts w:ascii="Times New Roman" w:hAnsi="Times New Roman"/>
          <w:sz w:val="24"/>
          <w:szCs w:val="24"/>
        </w:rPr>
        <w:t xml:space="preserve"> </w:t>
      </w:r>
    </w:p>
    <w:p w14:paraId="273E1DE8" w14:textId="77777777" w:rsidR="00557CA2" w:rsidRDefault="00557CA2" w:rsidP="00557CA2">
      <w:pPr>
        <w:spacing w:after="100" w:line="240" w:lineRule="auto"/>
        <w:rPr>
          <w:rFonts w:ascii="Times New Roman" w:eastAsia="Times New Roman" w:hAnsi="Times New Roman"/>
          <w:b/>
          <w:bCs/>
          <w:sz w:val="24"/>
          <w:szCs w:val="24"/>
        </w:rPr>
      </w:pPr>
      <w:r>
        <w:rPr>
          <w:rFonts w:ascii="Times New Roman" w:eastAsia="Times New Roman" w:hAnsi="Times New Roman"/>
          <w:b/>
          <w:bCs/>
          <w:sz w:val="24"/>
          <w:szCs w:val="24"/>
        </w:rPr>
        <w:t xml:space="preserve">Legal Lessons Learned:  Over 40 states have enacted Drug Overdose Immunity statutes, designed to encourage fellow drug users to call 911, without fear of their own arrest.   </w:t>
      </w:r>
    </w:p>
    <w:p w14:paraId="150E1B6F" w14:textId="77777777" w:rsidR="00557CA2" w:rsidRDefault="00557CA2" w:rsidP="00557CA2">
      <w:pPr>
        <w:spacing w:after="100" w:line="240" w:lineRule="auto"/>
        <w:ind w:left="720"/>
        <w:rPr>
          <w:rFonts w:ascii="Times New Roman" w:eastAsia="Times New Roman" w:hAnsi="Times New Roman"/>
          <w:sz w:val="24"/>
          <w:szCs w:val="24"/>
        </w:rPr>
      </w:pPr>
      <w:r>
        <w:rPr>
          <w:rFonts w:ascii="Times New Roman" w:eastAsia="Times New Roman" w:hAnsi="Times New Roman"/>
          <w:sz w:val="24"/>
          <w:szCs w:val="24"/>
        </w:rPr>
        <w:t xml:space="preserve">Note: A similar decision involving a customer in a McDonald’s restaurant, Aug. 13, 2020: Commonwealth of Pennsylvania v. Francis South, 2020 PA Super 194: </w:t>
      </w:r>
    </w:p>
    <w:p w14:paraId="593F361B" w14:textId="77777777" w:rsidR="00557CA2" w:rsidRDefault="00557CA2" w:rsidP="00557CA2">
      <w:pPr>
        <w:spacing w:after="100" w:line="240" w:lineRule="auto"/>
        <w:ind w:left="720"/>
        <w:rPr>
          <w:rFonts w:ascii="Times New Roman" w:eastAsia="Times New Roman" w:hAnsi="Times New Roman"/>
          <w:sz w:val="24"/>
          <w:szCs w:val="24"/>
        </w:rPr>
      </w:pPr>
      <w:r>
        <w:rPr>
          <w:rFonts w:ascii="Times New Roman" w:hAnsi="Times New Roman"/>
          <w:sz w:val="24"/>
          <w:szCs w:val="24"/>
        </w:rPr>
        <w:t>“During her shift, Ms. Glass called 911 and [reported that an adult white male was passed out in the restaurant, and during the call, he got up and proceeded to exit the building and stumble through the parking lot….  To qualify for immunity, it was Appellant's burden to show that Ms. Glass reasonably believed he required emergency medical care due to a drug overdose. 35 P.S. § 780-113.7(2)(</w:t>
      </w:r>
      <w:proofErr w:type="spellStart"/>
      <w:r>
        <w:rPr>
          <w:rFonts w:ascii="Times New Roman" w:hAnsi="Times New Roman"/>
          <w:sz w:val="24"/>
          <w:szCs w:val="24"/>
        </w:rPr>
        <w:t>i</w:t>
      </w:r>
      <w:proofErr w:type="spellEnd"/>
      <w:r>
        <w:rPr>
          <w:rFonts w:ascii="Times New Roman" w:hAnsi="Times New Roman"/>
          <w:sz w:val="24"/>
          <w:szCs w:val="24"/>
        </w:rPr>
        <w:t xml:space="preserve">); </w:t>
      </w:r>
      <w:hyperlink r:id="rId1983" w:history="1">
        <w:r>
          <w:rPr>
            <w:rStyle w:val="Hyperlink"/>
            <w:i/>
            <w:iCs/>
            <w:sz w:val="24"/>
            <w:szCs w:val="24"/>
          </w:rPr>
          <w:t>Lewis,</w:t>
        </w:r>
        <w:r>
          <w:rPr>
            <w:rStyle w:val="Hyperlink"/>
            <w:sz w:val="24"/>
            <w:szCs w:val="24"/>
          </w:rPr>
          <w:t xml:space="preserve"> 180 A.3d at 791</w:t>
        </w:r>
      </w:hyperlink>
      <w:r>
        <w:rPr>
          <w:rFonts w:ascii="Times New Roman" w:hAnsi="Times New Roman"/>
          <w:sz w:val="24"/>
          <w:szCs w:val="24"/>
        </w:rPr>
        <w:t xml:space="preserve">. We agree with the trial court's conclusion that there was no evidence submitted at Appellant's trial ‘which would support that Ms. Glass, as the reporter, had any reasonable belief that Appellant was in need of immediate medical attention to prevent death or serious bodily injury from a drug overdose." Trial Court Opinion, 1/10/20, at 8.’”  </w:t>
      </w:r>
      <w:hyperlink r:id="rId1984" w:history="1">
        <w:r>
          <w:rPr>
            <w:rStyle w:val="Hyperlink"/>
            <w:sz w:val="24"/>
            <w:szCs w:val="24"/>
          </w:rPr>
          <w:t>https://scholar.google.com/scholar_case?case=1228128574784444684&amp;q=Pennsylvania+%22overdose+response%22&amp;hl=en&amp;scisbd=2&amp;as_sdt=6,36&amp;as_ylo=2020</w:t>
        </w:r>
      </w:hyperlink>
      <w:r>
        <w:rPr>
          <w:rFonts w:ascii="Times New Roman" w:eastAsia="Times New Roman" w:hAnsi="Times New Roman"/>
          <w:sz w:val="24"/>
          <w:szCs w:val="24"/>
        </w:rPr>
        <w:t xml:space="preserve"> </w:t>
      </w:r>
    </w:p>
    <w:p w14:paraId="690BA045" w14:textId="77777777" w:rsidR="00557CA2" w:rsidRDefault="00557CA2" w:rsidP="00557CA2">
      <w:pPr>
        <w:spacing w:after="100" w:line="240" w:lineRule="auto"/>
        <w:ind w:left="720"/>
        <w:rPr>
          <w:rFonts w:ascii="Times New Roman" w:eastAsia="Times New Roman" w:hAnsi="Times New Roman"/>
          <w:b/>
          <w:bCs/>
          <w:sz w:val="24"/>
          <w:szCs w:val="24"/>
        </w:rPr>
      </w:pPr>
    </w:p>
    <w:p w14:paraId="7E105792" w14:textId="77777777" w:rsidR="00557CA2" w:rsidRPr="007C158F" w:rsidRDefault="00557CA2" w:rsidP="00557CA2">
      <w:pPr>
        <w:pStyle w:val="Heading2"/>
        <w:ind w:left="720"/>
        <w:rPr>
          <w:rFonts w:ascii="Times New Roman" w:eastAsiaTheme="majorEastAsia" w:hAnsi="Times New Roman"/>
          <w:b w:val="0"/>
          <w:bCs w:val="0"/>
          <w:i w:val="0"/>
          <w:iCs w:val="0"/>
          <w:sz w:val="24"/>
          <w:szCs w:val="24"/>
        </w:rPr>
      </w:pPr>
      <w:r w:rsidRPr="007C158F">
        <w:rPr>
          <w:rFonts w:ascii="Times New Roman" w:hAnsi="Times New Roman"/>
          <w:b w:val="0"/>
          <w:bCs w:val="0"/>
          <w:i w:val="0"/>
          <w:iCs w:val="0"/>
          <w:sz w:val="24"/>
          <w:szCs w:val="24"/>
        </w:rPr>
        <w:t xml:space="preserve">See also Ohio law – ORC 2925.11 Possession of controlled substances. </w:t>
      </w:r>
      <w:hyperlink r:id="rId1985" w:history="1">
        <w:r w:rsidRPr="007C158F">
          <w:rPr>
            <w:rStyle w:val="Hyperlink"/>
            <w:rFonts w:ascii="Times New Roman" w:hAnsi="Times New Roman"/>
            <w:b w:val="0"/>
            <w:bCs w:val="0"/>
            <w:i w:val="0"/>
            <w:iCs w:val="0"/>
            <w:sz w:val="24"/>
            <w:szCs w:val="24"/>
          </w:rPr>
          <w:t>https://codes.ohio.gov/orc/2925.11</w:t>
        </w:r>
      </w:hyperlink>
      <w:r w:rsidRPr="007C158F">
        <w:rPr>
          <w:rFonts w:ascii="Times New Roman" w:hAnsi="Times New Roman"/>
          <w:b w:val="0"/>
          <w:bCs w:val="0"/>
          <w:i w:val="0"/>
          <w:iCs w:val="0"/>
          <w:sz w:val="24"/>
          <w:szCs w:val="24"/>
        </w:rPr>
        <w:t xml:space="preserve"> </w:t>
      </w:r>
    </w:p>
    <w:p w14:paraId="53FC7A71" w14:textId="77777777" w:rsidR="00557CA2" w:rsidRDefault="00557CA2" w:rsidP="00557CA2">
      <w:pPr>
        <w:pStyle w:val="Heading1"/>
        <w:ind w:left="1440"/>
        <w:rPr>
          <w:b w:val="0"/>
          <w:bCs w:val="0"/>
          <w:sz w:val="24"/>
          <w:szCs w:val="24"/>
        </w:rPr>
      </w:pPr>
      <w:r>
        <w:rPr>
          <w:b w:val="0"/>
          <w:bCs w:val="0"/>
          <w:sz w:val="24"/>
          <w:szCs w:val="24"/>
        </w:rPr>
        <w:t xml:space="preserve">(viii) "Qualified individual" means a person who is not on community control or post-release control and is a person acting in good faith who seeks or obtains medical assistance for another </w:t>
      </w:r>
      <w:r>
        <w:rPr>
          <w:b w:val="0"/>
          <w:bCs w:val="0"/>
          <w:sz w:val="24"/>
          <w:szCs w:val="24"/>
        </w:rPr>
        <w:lastRenderedPageBreak/>
        <w:t>person who is experiencing a drug overdose, a person who experiences a drug overdose and who seeks medical assistance for that overdose, or a person who is the subject of another person seeking or obtaining medical assistance for that overdose as described in division (B)(2)(b) of  this section</w:t>
      </w:r>
      <w:r>
        <w:rPr>
          <w:sz w:val="24"/>
          <w:szCs w:val="24"/>
        </w:rPr>
        <w:t>.</w:t>
      </w:r>
    </w:p>
    <w:p w14:paraId="17F22B60" w14:textId="77777777" w:rsidR="00557CA2" w:rsidRDefault="00557CA2" w:rsidP="00557CA2">
      <w:pPr>
        <w:pStyle w:val="Heading1"/>
        <w:rPr>
          <w:b w:val="0"/>
          <w:bCs w:val="0"/>
          <w:sz w:val="24"/>
          <w:szCs w:val="24"/>
        </w:rPr>
      </w:pPr>
      <w:r>
        <w:rPr>
          <w:b w:val="0"/>
          <w:bCs w:val="0"/>
          <w:sz w:val="24"/>
          <w:szCs w:val="24"/>
        </w:rPr>
        <w:tab/>
        <w:t>But there is a treatment requirement:</w:t>
      </w:r>
    </w:p>
    <w:p w14:paraId="226ACEAA" w14:textId="4AAD1061" w:rsidR="00557CA2" w:rsidRDefault="00557CA2" w:rsidP="00557CA2">
      <w:pPr>
        <w:pStyle w:val="Heading1"/>
        <w:ind w:left="1440"/>
        <w:rPr>
          <w:b w:val="0"/>
          <w:bCs w:val="0"/>
          <w:sz w:val="24"/>
          <w:szCs w:val="24"/>
        </w:rPr>
      </w:pPr>
      <w:r>
        <w:rPr>
          <w:b w:val="0"/>
          <w:bCs w:val="0"/>
          <w:sz w:val="24"/>
          <w:szCs w:val="24"/>
        </w:rPr>
        <w:t xml:space="preserve">(ii) Subject to division (B)(2)(g) of this section, within thirty days after seeking or obtaining </w:t>
      </w:r>
      <w:proofErr w:type="gramStart"/>
      <w:r>
        <w:rPr>
          <w:b w:val="0"/>
          <w:bCs w:val="0"/>
          <w:sz w:val="24"/>
          <w:szCs w:val="24"/>
        </w:rPr>
        <w:t>the medical</w:t>
      </w:r>
      <w:proofErr w:type="gramEnd"/>
      <w:r>
        <w:rPr>
          <w:b w:val="0"/>
          <w:bCs w:val="0"/>
          <w:sz w:val="24"/>
          <w:szCs w:val="24"/>
        </w:rPr>
        <w:t xml:space="preserve"> assistance, the qualified individual seeks and obtains a screening and receives a referral for treatment from a community addiction services provider or a properly credentialed addiction treatment professional.</w:t>
      </w:r>
    </w:p>
    <w:p w14:paraId="76871404" w14:textId="77777777" w:rsidR="00557CA2" w:rsidRDefault="00557CA2" w:rsidP="00557CA2">
      <w:pPr>
        <w:pStyle w:val="Heading1"/>
        <w:ind w:left="720"/>
      </w:pPr>
      <w:r>
        <w:rPr>
          <w:b w:val="0"/>
          <w:bCs w:val="0"/>
          <w:sz w:val="24"/>
          <w:szCs w:val="24"/>
        </w:rPr>
        <w:t xml:space="preserve">But see criticism: The Network </w:t>
      </w:r>
      <w:proofErr w:type="gramStart"/>
      <w:r>
        <w:rPr>
          <w:b w:val="0"/>
          <w:bCs w:val="0"/>
          <w:sz w:val="24"/>
          <w:szCs w:val="24"/>
        </w:rPr>
        <w:t>For</w:t>
      </w:r>
      <w:proofErr w:type="gramEnd"/>
      <w:r>
        <w:rPr>
          <w:b w:val="0"/>
          <w:bCs w:val="0"/>
          <w:sz w:val="24"/>
          <w:szCs w:val="24"/>
        </w:rPr>
        <w:t xml:space="preserve"> Public Health Law - “Overdose ‘Good Samaritan’ Laws Should Protect, Not Punish” (Jan. 26, 2020): </w:t>
      </w:r>
      <w:hyperlink r:id="rId1986" w:history="1">
        <w:r>
          <w:rPr>
            <w:rStyle w:val="Hyperlink"/>
            <w:rFonts w:eastAsiaTheme="majorEastAsia"/>
            <w:b w:val="0"/>
            <w:bCs w:val="0"/>
            <w:sz w:val="24"/>
            <w:szCs w:val="24"/>
          </w:rPr>
          <w:t>https://www.networkforphl.org/news-insights/overdose-good-samaritan-laws-should-protect-not-punish/</w:t>
        </w:r>
      </w:hyperlink>
      <w:r>
        <w:rPr>
          <w:b w:val="0"/>
          <w:bCs w:val="0"/>
          <w:sz w:val="24"/>
          <w:szCs w:val="24"/>
        </w:rPr>
        <w:t xml:space="preserve"> </w:t>
      </w:r>
    </w:p>
    <w:p w14:paraId="3717C980" w14:textId="77777777" w:rsidR="00557CA2" w:rsidRDefault="00557CA2" w:rsidP="00557CA2">
      <w:pPr>
        <w:pStyle w:val="NormalWeb"/>
        <w:ind w:left="1440"/>
      </w:pPr>
      <w:r>
        <w:t xml:space="preserve">“These laws have further limitations as well. In at least a </w:t>
      </w:r>
      <w:hyperlink r:id="rId1987" w:history="1">
        <w:r>
          <w:rPr>
            <w:rStyle w:val="Hyperlink"/>
            <w:rFonts w:eastAsiaTheme="majorEastAsia"/>
          </w:rPr>
          <w:t>dozen states</w:t>
        </w:r>
      </w:hyperlink>
      <w:r>
        <w:t>, the Good Samaritan is required not only to call for help but also to jump through additional hoops such as providing their full name to law enforcement, staying on the scene, and cooperating with responding officers. None of those requirements are necessary to help the person suffering from an overdose; all are likely to discourage people from calling for help.”</w:t>
      </w:r>
    </w:p>
    <w:p w14:paraId="269A0AA5" w14:textId="77777777" w:rsidR="00557CA2" w:rsidRDefault="00557CA2" w:rsidP="00557CA2">
      <w:pPr>
        <w:rPr>
          <w:rFonts w:ascii="Times New Roman" w:hAnsi="Times New Roman"/>
          <w:b/>
          <w:sz w:val="20"/>
          <w:szCs w:val="20"/>
        </w:rPr>
      </w:pPr>
    </w:p>
    <w:p w14:paraId="3B3D44AC" w14:textId="77777777" w:rsidR="00557CA2" w:rsidRDefault="00557CA2" w:rsidP="00F326E5">
      <w:pPr>
        <w:rPr>
          <w:rFonts w:ascii="Arial Black" w:hAnsi="Arial Black"/>
          <w:b/>
          <w:sz w:val="24"/>
          <w:szCs w:val="24"/>
        </w:rPr>
      </w:pPr>
    </w:p>
    <w:p w14:paraId="605C3CF9" w14:textId="6B83D2DC" w:rsidR="007105B3" w:rsidRDefault="007105B3" w:rsidP="00F326E5">
      <w:pPr>
        <w:rPr>
          <w:rFonts w:ascii="Arial Black" w:hAnsi="Arial Black"/>
          <w:b/>
          <w:sz w:val="24"/>
          <w:szCs w:val="24"/>
        </w:rPr>
      </w:pPr>
      <w:r>
        <w:rPr>
          <w:rFonts w:ascii="Arial Black" w:hAnsi="Arial Black"/>
          <w:b/>
          <w:sz w:val="24"/>
          <w:szCs w:val="24"/>
        </w:rPr>
        <w:t>12-7</w:t>
      </w:r>
    </w:p>
    <w:p w14:paraId="131EB7B1" w14:textId="77777777" w:rsidR="001C563D" w:rsidRDefault="001C563D" w:rsidP="001C563D">
      <w:pPr>
        <w:pStyle w:val="Heading1"/>
        <w:rPr>
          <w:rFonts w:ascii="Arial Black" w:hAnsi="Arial Black"/>
          <w:sz w:val="28"/>
          <w:szCs w:val="28"/>
        </w:rPr>
      </w:pPr>
      <w:r w:rsidRPr="003B2D7D">
        <w:rPr>
          <w:rFonts w:ascii="Arial Black" w:hAnsi="Arial Black"/>
          <w:sz w:val="28"/>
          <w:szCs w:val="28"/>
        </w:rPr>
        <w:t xml:space="preserve">PA: </w:t>
      </w:r>
      <w:r>
        <w:rPr>
          <w:rFonts w:ascii="Arial Black" w:hAnsi="Arial Black"/>
          <w:sz w:val="28"/>
          <w:szCs w:val="28"/>
        </w:rPr>
        <w:t>PHILADELPHIA NEW “SAFE INJECTION SITE” PROGRAM – INJUNCTION DURING COVID-19 &amp; NATIONWIDE PROTESTS</w:t>
      </w:r>
    </w:p>
    <w:p w14:paraId="1C79BBE6" w14:textId="77777777" w:rsidR="001C563D" w:rsidRPr="00F72F3E" w:rsidRDefault="001C563D" w:rsidP="001C563D">
      <w:pPr>
        <w:pStyle w:val="NoSpacing"/>
        <w:rPr>
          <w:rFonts w:ascii="Times New Roman" w:hAnsi="Times New Roman"/>
          <w:sz w:val="24"/>
          <w:szCs w:val="24"/>
        </w:rPr>
      </w:pPr>
      <w:r w:rsidRPr="003B2D7D">
        <w:rPr>
          <w:rFonts w:ascii="Times New Roman" w:hAnsi="Times New Roman"/>
          <w:sz w:val="24"/>
          <w:szCs w:val="24"/>
        </w:rPr>
        <w:t xml:space="preserve">On </w:t>
      </w:r>
      <w:r>
        <w:rPr>
          <w:rFonts w:ascii="Times New Roman" w:hAnsi="Times New Roman"/>
          <w:sz w:val="24"/>
          <w:szCs w:val="24"/>
        </w:rPr>
        <w:t xml:space="preserve">June 24, 2020, in </w:t>
      </w:r>
      <w:r w:rsidRPr="003B2D7D">
        <w:rPr>
          <w:rFonts w:ascii="Times New Roman" w:hAnsi="Times New Roman"/>
          <w:sz w:val="24"/>
          <w:szCs w:val="24"/>
          <w:u w:val="single"/>
        </w:rPr>
        <w:t>United States of America v. SAFEHOUSE</w:t>
      </w:r>
      <w:r>
        <w:rPr>
          <w:rFonts w:ascii="Times New Roman" w:hAnsi="Times New Roman"/>
          <w:sz w:val="24"/>
          <w:szCs w:val="24"/>
        </w:rPr>
        <w:t>, U.S. District Court Judge George Austin McHugh, U.S. District Court for Eastern District of Pennsylvania, ordered that the injection program in South Philadelphia be stayed.  “</w:t>
      </w:r>
      <w:r w:rsidRPr="00F72F3E">
        <w:rPr>
          <w:rFonts w:ascii="Times New Roman" w:hAnsi="Times New Roman"/>
          <w:sz w:val="24"/>
          <w:szCs w:val="24"/>
        </w:rPr>
        <w:t>Although the Government has failed to show that it will suffer harms that cannot be prevented or fully rectified by a successful appeal, the ongoing challenges posed by COVID-19 and the deep social currents and introspection following the tragic killing of Mr. Floyd make this the wrong moment for another change in the status quo. Accordingly, the Government’s request for a stay will be granted.</w:t>
      </w:r>
      <w:r>
        <w:rPr>
          <w:rFonts w:ascii="Times New Roman" w:hAnsi="Times New Roman"/>
          <w:sz w:val="24"/>
          <w:szCs w:val="24"/>
        </w:rPr>
        <w:t>”</w:t>
      </w:r>
      <w:r w:rsidRPr="00F72F3E">
        <w:t xml:space="preserve"> </w:t>
      </w:r>
      <w:hyperlink r:id="rId1988" w:history="1">
        <w:r w:rsidRPr="003B7380">
          <w:rPr>
            <w:rStyle w:val="Hyperlink"/>
            <w:rFonts w:ascii="Times New Roman" w:hAnsi="Times New Roman"/>
            <w:sz w:val="24"/>
            <w:szCs w:val="24"/>
          </w:rPr>
          <w:t>https://www.courthousenews.com/wp-content/uploads/2020/06/safehouse-pa.pdf</w:t>
        </w:r>
      </w:hyperlink>
      <w:r>
        <w:rPr>
          <w:rFonts w:ascii="Times New Roman" w:hAnsi="Times New Roman"/>
          <w:sz w:val="24"/>
          <w:szCs w:val="24"/>
        </w:rPr>
        <w:t xml:space="preserve"> </w:t>
      </w:r>
    </w:p>
    <w:p w14:paraId="15CF32E1" w14:textId="77777777" w:rsidR="001C563D" w:rsidRDefault="001C563D" w:rsidP="001C563D">
      <w:pPr>
        <w:pStyle w:val="NoSpacing"/>
        <w:rPr>
          <w:rFonts w:ascii="Times New Roman" w:hAnsi="Times New Roman"/>
          <w:b/>
          <w:bCs/>
          <w:sz w:val="24"/>
          <w:szCs w:val="24"/>
        </w:rPr>
      </w:pPr>
    </w:p>
    <w:p w14:paraId="538C0A36" w14:textId="5D68BAB2" w:rsidR="001C563D" w:rsidRPr="002B1D2F" w:rsidRDefault="001C563D" w:rsidP="001C563D">
      <w:pPr>
        <w:pStyle w:val="NoSpacing"/>
        <w:rPr>
          <w:rFonts w:ascii="Times New Roman" w:hAnsi="Times New Roman"/>
          <w:b/>
          <w:bCs/>
          <w:sz w:val="24"/>
          <w:szCs w:val="24"/>
        </w:rPr>
      </w:pPr>
      <w:r w:rsidRPr="002B1D2F">
        <w:rPr>
          <w:rFonts w:ascii="Times New Roman" w:hAnsi="Times New Roman"/>
          <w:b/>
          <w:bCs/>
          <w:sz w:val="24"/>
          <w:szCs w:val="24"/>
        </w:rPr>
        <w:t xml:space="preserve">Legal Lessons Learned: The Court has wise issued an injunction preventing the opening a “safe injection site” during the COVID-19 pandemic.  </w:t>
      </w:r>
    </w:p>
    <w:p w14:paraId="3E70ACC8" w14:textId="77777777" w:rsidR="001C563D" w:rsidRDefault="001C563D" w:rsidP="001C563D">
      <w:pPr>
        <w:pStyle w:val="NoSpacing"/>
        <w:ind w:left="720"/>
        <w:rPr>
          <w:rFonts w:ascii="Times New Roman" w:hAnsi="Times New Roman"/>
          <w:sz w:val="24"/>
          <w:szCs w:val="24"/>
        </w:rPr>
      </w:pPr>
    </w:p>
    <w:p w14:paraId="03A15578" w14:textId="77777777" w:rsidR="001C563D" w:rsidRPr="002B1D2F" w:rsidRDefault="001C563D" w:rsidP="001C563D">
      <w:pPr>
        <w:pStyle w:val="NoSpacing"/>
        <w:ind w:left="720"/>
        <w:rPr>
          <w:rFonts w:ascii="Times New Roman" w:hAnsi="Times New Roman"/>
          <w:sz w:val="24"/>
          <w:szCs w:val="24"/>
        </w:rPr>
      </w:pPr>
      <w:r w:rsidRPr="002B1D2F">
        <w:rPr>
          <w:rFonts w:ascii="Times New Roman" w:hAnsi="Times New Roman"/>
          <w:sz w:val="24"/>
          <w:szCs w:val="24"/>
        </w:rPr>
        <w:t xml:space="preserve">Note: See June 25, 2020 article, </w:t>
      </w:r>
      <w:r>
        <w:rPr>
          <w:rFonts w:ascii="Times New Roman" w:hAnsi="Times New Roman"/>
          <w:sz w:val="24"/>
          <w:szCs w:val="24"/>
        </w:rPr>
        <w:t>“</w:t>
      </w:r>
      <w:r w:rsidRPr="002B1D2F">
        <w:rPr>
          <w:rFonts w:ascii="Times New Roman" w:hAnsi="Times New Roman"/>
          <w:sz w:val="24"/>
          <w:szCs w:val="24"/>
        </w:rPr>
        <w:t>Judge Halts Opening of Safe Injection Site, Citing COVID-19 Pandemic and Protests</w:t>
      </w:r>
      <w:r>
        <w:rPr>
          <w:rFonts w:ascii="Times New Roman" w:hAnsi="Times New Roman"/>
          <w:sz w:val="24"/>
          <w:szCs w:val="24"/>
        </w:rPr>
        <w:t xml:space="preserve">” </w:t>
      </w:r>
      <w:r w:rsidRPr="002B1D2F">
        <w:rPr>
          <w:rFonts w:ascii="Times New Roman" w:hAnsi="Times New Roman"/>
          <w:sz w:val="24"/>
          <w:szCs w:val="24"/>
        </w:rPr>
        <w:t xml:space="preserve">-  A federal judge has hit pause on efforts to open the nation’s first so-called </w:t>
      </w:r>
      <w:hyperlink r:id="rId1989" w:history="1">
        <w:r w:rsidRPr="002B1D2F">
          <w:rPr>
            <w:rStyle w:val="Hyperlink"/>
            <w:rFonts w:ascii="Times New Roman" w:hAnsi="Times New Roman"/>
            <w:sz w:val="24"/>
            <w:szCs w:val="24"/>
          </w:rPr>
          <w:t>safe injection</w:t>
        </w:r>
      </w:hyperlink>
      <w:r w:rsidRPr="002B1D2F">
        <w:rPr>
          <w:rFonts w:ascii="Times New Roman" w:hAnsi="Times New Roman"/>
          <w:sz w:val="24"/>
          <w:szCs w:val="24"/>
        </w:rPr>
        <w:t xml:space="preserve"> site, where heroin users would be able to inject the drug under </w:t>
      </w:r>
      <w:hyperlink r:id="rId1990" w:history="1">
        <w:r w:rsidRPr="002B1D2F">
          <w:rPr>
            <w:rStyle w:val="Hyperlink"/>
            <w:rFonts w:ascii="Times New Roman" w:hAnsi="Times New Roman"/>
            <w:sz w:val="24"/>
            <w:szCs w:val="24"/>
          </w:rPr>
          <w:t>medical supervision</w:t>
        </w:r>
      </w:hyperlink>
      <w:r w:rsidRPr="002B1D2F">
        <w:rPr>
          <w:rFonts w:ascii="Times New Roman" w:hAnsi="Times New Roman"/>
          <w:sz w:val="24"/>
          <w:szCs w:val="24"/>
        </w:rPr>
        <w:t>, citing Philadelphia’s “frayed” nerves in the midst of a global pandemic and mounting protests for social justice reform.</w:t>
      </w:r>
    </w:p>
    <w:p w14:paraId="5F5883C8" w14:textId="77777777" w:rsidR="001C563D" w:rsidRPr="002B1D2F" w:rsidRDefault="001C563D" w:rsidP="001C563D">
      <w:pPr>
        <w:pStyle w:val="NoSpacing"/>
        <w:ind w:left="720"/>
        <w:rPr>
          <w:rFonts w:ascii="Times New Roman" w:hAnsi="Times New Roman"/>
          <w:sz w:val="24"/>
          <w:szCs w:val="24"/>
        </w:rPr>
      </w:pPr>
      <w:hyperlink r:id="rId1991" w:history="1">
        <w:r w:rsidRPr="003B7380">
          <w:rPr>
            <w:rStyle w:val="Hyperlink"/>
            <w:rFonts w:ascii="Times New Roman" w:hAnsi="Times New Roman"/>
            <w:sz w:val="24"/>
            <w:szCs w:val="24"/>
          </w:rPr>
          <w:t>https://www.law.com/thelegalintelligencer/2020/06/25/judge-halts-opening-of-safe-injection-site-citing-covid-19-pandemic-and-protests/</w:t>
        </w:r>
      </w:hyperlink>
      <w:r w:rsidRPr="002B1D2F">
        <w:rPr>
          <w:rFonts w:ascii="Times New Roman" w:hAnsi="Times New Roman"/>
          <w:sz w:val="24"/>
          <w:szCs w:val="24"/>
        </w:rPr>
        <w:t xml:space="preserve"> </w:t>
      </w:r>
    </w:p>
    <w:p w14:paraId="720C0E43" w14:textId="77777777" w:rsidR="001C563D" w:rsidRDefault="001C563D" w:rsidP="00F326E5">
      <w:pPr>
        <w:rPr>
          <w:rFonts w:ascii="Arial Black" w:hAnsi="Arial Black"/>
          <w:b/>
          <w:sz w:val="24"/>
          <w:szCs w:val="24"/>
        </w:rPr>
      </w:pPr>
    </w:p>
    <w:p w14:paraId="746F85D4" w14:textId="77777777" w:rsidR="007105B3" w:rsidRDefault="007105B3" w:rsidP="00F326E5">
      <w:pPr>
        <w:rPr>
          <w:rFonts w:ascii="Arial Black" w:hAnsi="Arial Black"/>
          <w:b/>
          <w:sz w:val="24"/>
          <w:szCs w:val="24"/>
        </w:rPr>
      </w:pPr>
    </w:p>
    <w:p w14:paraId="423860FC" w14:textId="4D9BFE17" w:rsidR="00FA7B26" w:rsidRDefault="00FA7B26" w:rsidP="00F326E5">
      <w:pPr>
        <w:rPr>
          <w:rFonts w:ascii="Arial Black" w:hAnsi="Arial Black"/>
          <w:b/>
          <w:sz w:val="24"/>
          <w:szCs w:val="24"/>
        </w:rPr>
      </w:pPr>
      <w:r>
        <w:rPr>
          <w:rFonts w:ascii="Arial Black" w:hAnsi="Arial Black"/>
          <w:b/>
          <w:sz w:val="24"/>
          <w:szCs w:val="24"/>
        </w:rPr>
        <w:t>12-6</w:t>
      </w:r>
    </w:p>
    <w:p w14:paraId="4DF99FA8" w14:textId="77777777" w:rsidR="00FA7B26" w:rsidRPr="00BE492A" w:rsidRDefault="00FA7B26" w:rsidP="00FA7B26">
      <w:pPr>
        <w:spacing w:before="100" w:beforeAutospacing="1" w:after="100" w:afterAutospacing="1" w:line="240" w:lineRule="auto"/>
        <w:rPr>
          <w:rFonts w:ascii="Arial Black" w:eastAsia="Times New Roman" w:hAnsi="Arial Black"/>
          <w:b/>
          <w:bCs/>
          <w:sz w:val="28"/>
          <w:szCs w:val="28"/>
        </w:rPr>
      </w:pPr>
      <w:bookmarkStart w:id="418" w:name="_Hlk66949143"/>
      <w:r w:rsidRPr="00BE492A">
        <w:rPr>
          <w:rFonts w:ascii="Arial Black" w:eastAsia="Times New Roman" w:hAnsi="Arial Black"/>
          <w:b/>
          <w:bCs/>
          <w:sz w:val="28"/>
          <w:szCs w:val="28"/>
        </w:rPr>
        <w:t xml:space="preserve">LA: </w:t>
      </w:r>
      <w:r>
        <w:rPr>
          <w:rFonts w:ascii="Arial Black" w:eastAsia="Times New Roman" w:hAnsi="Arial Black"/>
          <w:b/>
          <w:bCs/>
          <w:sz w:val="28"/>
          <w:szCs w:val="28"/>
        </w:rPr>
        <w:t>FF REINSTATED – FIRED FOR POSITIVE MARIJUANA – HIS DOCTOR HAD APPROVED USE OF OVER-THE-COUNTER CANNABIODAL (CBD) FOR PAIN</w:t>
      </w:r>
    </w:p>
    <w:p w14:paraId="7C6EE212" w14:textId="77777777" w:rsidR="00FA7B26" w:rsidRDefault="00FA7B26" w:rsidP="00FA7B26">
      <w:pPr>
        <w:spacing w:before="100" w:beforeAutospacing="1" w:after="100" w:afterAutospacing="1" w:line="240" w:lineRule="auto"/>
        <w:jc w:val="both"/>
        <w:rPr>
          <w:rFonts w:ascii="Times New Roman" w:hAnsi="Times New Roman"/>
          <w:sz w:val="24"/>
          <w:szCs w:val="24"/>
        </w:rPr>
      </w:pPr>
      <w:r w:rsidRPr="00BE492A">
        <w:rPr>
          <w:rFonts w:ascii="Times New Roman" w:hAnsi="Times New Roman"/>
          <w:sz w:val="24"/>
          <w:szCs w:val="24"/>
        </w:rPr>
        <w:t xml:space="preserve">On May 20, 2020, in </w:t>
      </w:r>
      <w:r w:rsidRPr="00BE492A">
        <w:rPr>
          <w:rFonts w:ascii="Times New Roman" w:hAnsi="Times New Roman"/>
          <w:sz w:val="24"/>
          <w:szCs w:val="24"/>
          <w:u w:val="single"/>
        </w:rPr>
        <w:t>Gregory Matusoff v. New Orleans Department of Fire</w:t>
      </w:r>
      <w:r>
        <w:rPr>
          <w:rFonts w:ascii="Times New Roman" w:hAnsi="Times New Roman"/>
          <w:sz w:val="24"/>
          <w:szCs w:val="24"/>
        </w:rPr>
        <w:t xml:space="preserve">, the Court of Appeal, Fourth Circuit, State of Louisiana, held (3 to 0) that City’s Civil Service Commission abused its discretion in deny the firefighter’s appeal. </w:t>
      </w:r>
      <w:hyperlink r:id="rId1992" w:history="1">
        <w:r w:rsidRPr="004A7721">
          <w:rPr>
            <w:rStyle w:val="Hyperlink"/>
            <w:sz w:val="24"/>
            <w:szCs w:val="24"/>
          </w:rPr>
          <w:t>https://www.la4th.org/opinion/2019/486077.pdf</w:t>
        </w:r>
      </w:hyperlink>
      <w:r>
        <w:rPr>
          <w:rFonts w:ascii="Times New Roman" w:hAnsi="Times New Roman"/>
          <w:sz w:val="24"/>
          <w:szCs w:val="24"/>
        </w:rPr>
        <w:t xml:space="preserve"> </w:t>
      </w:r>
    </w:p>
    <w:p w14:paraId="2895FCD6" w14:textId="1BE1D3DE" w:rsidR="00FA7B26" w:rsidRPr="00B53124" w:rsidRDefault="00FA7B26" w:rsidP="00FA7B26">
      <w:pPr>
        <w:spacing w:before="100" w:beforeAutospacing="1" w:after="100" w:afterAutospacing="1" w:line="240" w:lineRule="auto"/>
        <w:jc w:val="both"/>
        <w:rPr>
          <w:rFonts w:ascii="Times New Roman" w:eastAsia="Times New Roman" w:hAnsi="Times New Roman"/>
          <w:b/>
          <w:bCs/>
          <w:sz w:val="24"/>
          <w:szCs w:val="24"/>
        </w:rPr>
      </w:pPr>
      <w:r w:rsidRPr="00B53124">
        <w:rPr>
          <w:rFonts w:ascii="Times New Roman" w:hAnsi="Times New Roman"/>
          <w:b/>
          <w:bCs/>
          <w:sz w:val="24"/>
          <w:szCs w:val="24"/>
        </w:rPr>
        <w:t>Legal Lessons Learned:</w:t>
      </w:r>
      <w:r>
        <w:rPr>
          <w:rFonts w:ascii="Times New Roman" w:hAnsi="Times New Roman"/>
          <w:b/>
          <w:bCs/>
          <w:sz w:val="24"/>
          <w:szCs w:val="24"/>
        </w:rPr>
        <w:t xml:space="preserve">  This termination makes one wonder what the FD and the Civil Service Commission were thinking.  Suggestion to FF using CBD; ask your physician for a “prescription” or other written authorization, that you can then </w:t>
      </w:r>
      <w:r w:rsidR="00D44294">
        <w:rPr>
          <w:rFonts w:ascii="Times New Roman" w:hAnsi="Times New Roman"/>
          <w:b/>
          <w:bCs/>
          <w:sz w:val="24"/>
          <w:szCs w:val="24"/>
        </w:rPr>
        <w:t xml:space="preserve">provide to </w:t>
      </w:r>
      <w:r>
        <w:rPr>
          <w:rFonts w:ascii="Times New Roman" w:hAnsi="Times New Roman"/>
          <w:b/>
          <w:bCs/>
          <w:sz w:val="24"/>
          <w:szCs w:val="24"/>
        </w:rPr>
        <w:t xml:space="preserve">your FD. </w:t>
      </w:r>
    </w:p>
    <w:bookmarkEnd w:id="418"/>
    <w:p w14:paraId="3B830110" w14:textId="77777777" w:rsidR="00FA7B26" w:rsidRDefault="00FA7B26" w:rsidP="00F326E5">
      <w:pPr>
        <w:rPr>
          <w:rFonts w:ascii="Arial Black" w:hAnsi="Arial Black"/>
          <w:b/>
          <w:sz w:val="24"/>
          <w:szCs w:val="24"/>
        </w:rPr>
      </w:pPr>
    </w:p>
    <w:p w14:paraId="0249E464" w14:textId="07ED73E0" w:rsidR="005C30A4" w:rsidRDefault="005C30A4" w:rsidP="00F326E5">
      <w:pPr>
        <w:rPr>
          <w:rFonts w:ascii="Arial Black" w:hAnsi="Arial Black"/>
          <w:b/>
          <w:sz w:val="24"/>
          <w:szCs w:val="24"/>
        </w:rPr>
      </w:pPr>
      <w:r>
        <w:rPr>
          <w:rFonts w:ascii="Arial Black" w:hAnsi="Arial Black"/>
          <w:b/>
          <w:sz w:val="24"/>
          <w:szCs w:val="24"/>
        </w:rPr>
        <w:t>12-5</w:t>
      </w:r>
    </w:p>
    <w:p w14:paraId="197B1E2A" w14:textId="77777777" w:rsidR="005C30A4" w:rsidRPr="00514F51" w:rsidRDefault="005C30A4" w:rsidP="005C30A4">
      <w:pPr>
        <w:pStyle w:val="NoSpacing"/>
        <w:rPr>
          <w:rFonts w:ascii="Arial Black" w:hAnsi="Arial Black"/>
          <w:sz w:val="28"/>
          <w:szCs w:val="28"/>
        </w:rPr>
      </w:pPr>
      <w:bookmarkStart w:id="419" w:name="_Hlk39772175"/>
      <w:r w:rsidRPr="00514F51">
        <w:rPr>
          <w:rFonts w:ascii="Arial Black" w:hAnsi="Arial Black"/>
          <w:sz w:val="28"/>
          <w:szCs w:val="28"/>
        </w:rPr>
        <w:t>KY:</w:t>
      </w:r>
      <w:r>
        <w:rPr>
          <w:rFonts w:ascii="Arial Black" w:hAnsi="Arial Black"/>
          <w:sz w:val="28"/>
          <w:szCs w:val="28"/>
        </w:rPr>
        <w:t xml:space="preserve"> DRUG USER - GOOD SAMARITAN STATUTE – IMMUNITY FROM PROSECUTION – EVEN IF 911 CALLER LEAVES</w:t>
      </w:r>
    </w:p>
    <w:p w14:paraId="2340F6DE" w14:textId="77777777" w:rsidR="005C30A4" w:rsidRDefault="005C30A4" w:rsidP="005C30A4">
      <w:pPr>
        <w:pStyle w:val="NoSpacing"/>
        <w:ind w:left="720"/>
        <w:rPr>
          <w:rFonts w:ascii="KYArial Black" w:hAnsi="KYArial Black"/>
          <w:sz w:val="28"/>
          <w:szCs w:val="28"/>
        </w:rPr>
      </w:pPr>
    </w:p>
    <w:p w14:paraId="0E4B72AD" w14:textId="77777777" w:rsidR="005C30A4" w:rsidRPr="00465FB3" w:rsidRDefault="005C30A4" w:rsidP="005C30A4">
      <w:pPr>
        <w:pStyle w:val="NoSpacing"/>
        <w:rPr>
          <w:rFonts w:ascii="Times New Roman" w:hAnsi="Times New Roman"/>
          <w:b/>
          <w:bCs/>
          <w:sz w:val="24"/>
          <w:szCs w:val="24"/>
        </w:rPr>
      </w:pPr>
      <w:r w:rsidRPr="00465FB3">
        <w:rPr>
          <w:rFonts w:ascii="Times New Roman" w:hAnsi="Times New Roman"/>
          <w:bCs/>
          <w:sz w:val="24"/>
          <w:szCs w:val="24"/>
        </w:rPr>
        <w:t xml:space="preserve">On </w:t>
      </w:r>
      <w:bookmarkStart w:id="420" w:name="_Hlk39848381"/>
      <w:r w:rsidRPr="00465FB3">
        <w:rPr>
          <w:rFonts w:ascii="Times New Roman" w:hAnsi="Times New Roman"/>
          <w:bCs/>
          <w:sz w:val="24"/>
          <w:szCs w:val="24"/>
        </w:rPr>
        <w:t xml:space="preserve">Feb. 21, 2020, in </w:t>
      </w:r>
      <w:r w:rsidRPr="00465FB3">
        <w:rPr>
          <w:rFonts w:ascii="Times New Roman" w:hAnsi="Times New Roman"/>
          <w:bCs/>
          <w:sz w:val="24"/>
          <w:szCs w:val="24"/>
          <w:u w:val="single"/>
        </w:rPr>
        <w:t>Jeremy Logsdon v. Commonwealth of Kentucky</w:t>
      </w:r>
      <w:bookmarkEnd w:id="420"/>
      <w:r w:rsidRPr="00465FB3">
        <w:rPr>
          <w:rFonts w:ascii="Times New Roman" w:hAnsi="Times New Roman"/>
          <w:bCs/>
          <w:sz w:val="24"/>
          <w:szCs w:val="24"/>
        </w:rPr>
        <w:t>, the Kentucky Court of Appeals held (3 to 0) that the defendant enjoys immunity from prosecution, even if the 911 caller took off (had outstanding warrants) before police &amp; EMS arrived, reversing the decision of the [Boone Circuit Court] judge.</w:t>
      </w:r>
    </w:p>
    <w:p w14:paraId="7F7B0A05" w14:textId="77777777" w:rsidR="005C30A4" w:rsidRPr="00465FB3" w:rsidRDefault="005C30A4" w:rsidP="005C30A4">
      <w:pPr>
        <w:spacing w:before="100" w:beforeAutospacing="1" w:after="100" w:afterAutospacing="1" w:line="240" w:lineRule="auto"/>
        <w:ind w:left="720"/>
        <w:rPr>
          <w:rFonts w:ascii="Times New Roman" w:eastAsia="Times New Roman" w:hAnsi="Times New Roman"/>
          <w:sz w:val="24"/>
          <w:szCs w:val="24"/>
        </w:rPr>
      </w:pPr>
      <w:r w:rsidRPr="00465FB3">
        <w:rPr>
          <w:rFonts w:ascii="Times New Roman" w:eastAsia="Times New Roman" w:hAnsi="Times New Roman"/>
          <w:sz w:val="24"/>
          <w:szCs w:val="24"/>
        </w:rPr>
        <w:t xml:space="preserve">“We agree with both Appellant … that the Boone Circuit Court's ruling is not supported by a strict interpretation of KRS 218A.133(2). Throughout this </w:t>
      </w:r>
      <w:proofErr w:type="gramStart"/>
      <w:r w:rsidRPr="00465FB3">
        <w:rPr>
          <w:rFonts w:ascii="Times New Roman" w:eastAsia="Times New Roman" w:hAnsi="Times New Roman"/>
          <w:sz w:val="24"/>
          <w:szCs w:val="24"/>
        </w:rPr>
        <w:t>statute, ‘</w:t>
      </w:r>
      <w:proofErr w:type="gramEnd"/>
      <w:r w:rsidRPr="00465FB3">
        <w:rPr>
          <w:rFonts w:ascii="Times New Roman" w:eastAsia="Times New Roman" w:hAnsi="Times New Roman"/>
          <w:sz w:val="24"/>
          <w:szCs w:val="24"/>
        </w:rPr>
        <w:t>the person’ may reasonably be construed as the individual experiencing a drug overdose, and for whom a third-party caller requested medical assistance. When read in this light, KRS 218A.133(2) does not require a third-party caller to be present with the individual experiencing a drug overdose when medical personnel arrive. As such, the circuit court erred in concluding that Appellant was not entitled to the KRS 218A.133(2) exemption from prosecution. Accordingly, we REVERSE the judgment of the Boone Circuit Court.”</w:t>
      </w:r>
      <w:r w:rsidRPr="00465FB3">
        <w:rPr>
          <w:rFonts w:ascii="Times New Roman" w:hAnsi="Times New Roman"/>
          <w:sz w:val="24"/>
          <w:szCs w:val="24"/>
        </w:rPr>
        <w:t xml:space="preserve"> </w:t>
      </w:r>
      <w:bookmarkStart w:id="421" w:name="_Hlk39848396"/>
      <w:r w:rsidR="00BC38B6">
        <w:fldChar w:fldCharType="begin"/>
      </w:r>
      <w:r w:rsidR="00BC38B6">
        <w:instrText xml:space="preserve"> HYPERLINK "https://public.fastcase.com/Wl%2B2t%2BeVuI35%2FN70vAMFZhWagCVrrnIVHI5ze3ezrqb5nbCRO4xyuBvAFcv5WsVX" </w:instrText>
      </w:r>
      <w:r w:rsidR="00BC38B6">
        <w:fldChar w:fldCharType="separate"/>
      </w:r>
      <w:r w:rsidRPr="00465FB3">
        <w:rPr>
          <w:rStyle w:val="Hyperlink"/>
          <w:rFonts w:ascii="Times New Roman" w:eastAsia="Times New Roman" w:hAnsi="Times New Roman"/>
          <w:sz w:val="24"/>
          <w:szCs w:val="24"/>
        </w:rPr>
        <w:t>https://public.fastcase.com/Wl%2B2t%2BeVuI35%2FN70vAMFZhWagCVrrnIVHI5ze3ezrqb5nbCRO4xyuBvAFcv5WsVX</w:t>
      </w:r>
      <w:r w:rsidR="00BC38B6">
        <w:rPr>
          <w:rStyle w:val="Hyperlink"/>
          <w:rFonts w:ascii="Times New Roman" w:eastAsia="Times New Roman" w:hAnsi="Times New Roman"/>
          <w:sz w:val="24"/>
          <w:szCs w:val="24"/>
        </w:rPr>
        <w:fldChar w:fldCharType="end"/>
      </w:r>
      <w:bookmarkEnd w:id="419"/>
      <w:r w:rsidRPr="00465FB3">
        <w:rPr>
          <w:rFonts w:ascii="Times New Roman" w:eastAsia="Times New Roman" w:hAnsi="Times New Roman"/>
          <w:sz w:val="24"/>
          <w:szCs w:val="24"/>
        </w:rPr>
        <w:t xml:space="preserve"> </w:t>
      </w:r>
      <w:bookmarkEnd w:id="421"/>
    </w:p>
    <w:p w14:paraId="5DE247A1" w14:textId="15558E64" w:rsidR="005C30A4" w:rsidRPr="00465FB3" w:rsidRDefault="005C30A4" w:rsidP="005C30A4">
      <w:pPr>
        <w:pStyle w:val="NoSpacing"/>
        <w:rPr>
          <w:rFonts w:ascii="Times New Roman" w:eastAsia="Times New Roman" w:hAnsi="Times New Roman"/>
          <w:b/>
          <w:bCs/>
          <w:sz w:val="24"/>
          <w:szCs w:val="24"/>
        </w:rPr>
      </w:pPr>
      <w:bookmarkStart w:id="422" w:name="_Hlk40513640"/>
      <w:r w:rsidRPr="00465FB3">
        <w:rPr>
          <w:rFonts w:ascii="Times New Roman" w:hAnsi="Times New Roman"/>
          <w:b/>
          <w:bCs/>
          <w:sz w:val="24"/>
          <w:szCs w:val="24"/>
        </w:rPr>
        <w:t>Legal Lesson</w:t>
      </w:r>
      <w:r w:rsidR="00E71BA9">
        <w:rPr>
          <w:rFonts w:ascii="Times New Roman" w:hAnsi="Times New Roman"/>
          <w:b/>
          <w:bCs/>
          <w:sz w:val="24"/>
          <w:szCs w:val="24"/>
        </w:rPr>
        <w:t xml:space="preserve"> </w:t>
      </w:r>
      <w:r w:rsidRPr="00465FB3">
        <w:rPr>
          <w:rFonts w:ascii="Times New Roman" w:hAnsi="Times New Roman"/>
          <w:b/>
          <w:bCs/>
          <w:sz w:val="24"/>
          <w:szCs w:val="24"/>
        </w:rPr>
        <w:t xml:space="preserve">Learned: Many states have enacted drug-user Good Samaritan statutes, to encourage the user or friend to call 911. </w:t>
      </w:r>
    </w:p>
    <w:bookmarkEnd w:id="422"/>
    <w:p w14:paraId="02A5BE40" w14:textId="77777777" w:rsidR="005C30A4" w:rsidRDefault="005C30A4" w:rsidP="00F326E5">
      <w:pPr>
        <w:rPr>
          <w:rFonts w:ascii="Arial Black" w:hAnsi="Arial Black"/>
          <w:b/>
          <w:sz w:val="24"/>
          <w:szCs w:val="24"/>
        </w:rPr>
      </w:pPr>
    </w:p>
    <w:p w14:paraId="065B3E34" w14:textId="77777777" w:rsidR="005C30A4" w:rsidRDefault="005C30A4" w:rsidP="00F326E5">
      <w:pPr>
        <w:rPr>
          <w:rFonts w:ascii="Arial Black" w:hAnsi="Arial Black"/>
          <w:b/>
          <w:sz w:val="24"/>
          <w:szCs w:val="24"/>
        </w:rPr>
      </w:pPr>
    </w:p>
    <w:p w14:paraId="7B9EE014" w14:textId="67CB8932" w:rsidR="005C30A4" w:rsidRDefault="005C30A4" w:rsidP="00F326E5">
      <w:pPr>
        <w:rPr>
          <w:rFonts w:ascii="Arial Black" w:hAnsi="Arial Black"/>
          <w:b/>
          <w:sz w:val="24"/>
          <w:szCs w:val="24"/>
        </w:rPr>
      </w:pPr>
      <w:r>
        <w:rPr>
          <w:rFonts w:ascii="Arial Black" w:hAnsi="Arial Black"/>
          <w:b/>
          <w:sz w:val="24"/>
          <w:szCs w:val="24"/>
        </w:rPr>
        <w:t>12-4</w:t>
      </w:r>
    </w:p>
    <w:p w14:paraId="1777747A" w14:textId="77777777" w:rsidR="005C30A4" w:rsidRPr="00021226" w:rsidRDefault="005C30A4" w:rsidP="005C30A4">
      <w:pPr>
        <w:pStyle w:val="NoSpacing"/>
        <w:rPr>
          <w:rFonts w:ascii="Arial Black" w:hAnsi="Arial Black"/>
          <w:sz w:val="28"/>
          <w:szCs w:val="28"/>
        </w:rPr>
      </w:pPr>
      <w:r>
        <w:rPr>
          <w:rFonts w:ascii="Arial Black" w:hAnsi="Arial Black"/>
          <w:sz w:val="28"/>
          <w:szCs w:val="28"/>
        </w:rPr>
        <w:t>RI: DRUG USER - GOOD SAMARITAN ACT - PD FOUND 6 MARIJUANA PLANTS – IMMUNITY EVEN IF DEALER</w:t>
      </w:r>
    </w:p>
    <w:p w14:paraId="5CBC19BA" w14:textId="77777777" w:rsidR="005C30A4" w:rsidRDefault="005C30A4" w:rsidP="005C30A4">
      <w:pPr>
        <w:pStyle w:val="NoSpacing"/>
        <w:rPr>
          <w:b/>
          <w:bCs/>
          <w:sz w:val="24"/>
          <w:szCs w:val="24"/>
        </w:rPr>
      </w:pPr>
    </w:p>
    <w:p w14:paraId="3733D142" w14:textId="77777777" w:rsidR="005C30A4" w:rsidRPr="00465FB3" w:rsidRDefault="005C30A4" w:rsidP="005C30A4">
      <w:pPr>
        <w:pStyle w:val="NoSpacing"/>
        <w:rPr>
          <w:rFonts w:ascii="Times New Roman" w:hAnsi="Times New Roman"/>
          <w:b/>
          <w:bCs/>
          <w:sz w:val="24"/>
          <w:szCs w:val="24"/>
        </w:rPr>
      </w:pPr>
      <w:r w:rsidRPr="00465FB3">
        <w:rPr>
          <w:rFonts w:ascii="Times New Roman" w:hAnsi="Times New Roman"/>
          <w:bCs/>
          <w:sz w:val="24"/>
          <w:szCs w:val="24"/>
        </w:rPr>
        <w:t xml:space="preserve">On </w:t>
      </w:r>
      <w:bookmarkStart w:id="423" w:name="_Hlk39848608"/>
      <w:r w:rsidRPr="00465FB3">
        <w:rPr>
          <w:rFonts w:ascii="Times New Roman" w:hAnsi="Times New Roman"/>
          <w:bCs/>
          <w:sz w:val="24"/>
          <w:szCs w:val="24"/>
        </w:rPr>
        <w:t xml:space="preserve">Feb. 7, 2020, in </w:t>
      </w:r>
      <w:r w:rsidRPr="00465FB3">
        <w:rPr>
          <w:rFonts w:ascii="Times New Roman" w:hAnsi="Times New Roman"/>
          <w:bCs/>
          <w:sz w:val="24"/>
          <w:szCs w:val="24"/>
          <w:u w:val="single"/>
        </w:rPr>
        <w:t xml:space="preserve">State of Rhode Island v. Daniel </w:t>
      </w:r>
      <w:proofErr w:type="spellStart"/>
      <w:r w:rsidRPr="00465FB3">
        <w:rPr>
          <w:rFonts w:ascii="Times New Roman" w:hAnsi="Times New Roman"/>
          <w:bCs/>
          <w:sz w:val="24"/>
          <w:szCs w:val="24"/>
          <w:u w:val="single"/>
        </w:rPr>
        <w:t>Disalvo</w:t>
      </w:r>
      <w:proofErr w:type="spellEnd"/>
      <w:r w:rsidRPr="00465FB3">
        <w:rPr>
          <w:rFonts w:ascii="Times New Roman" w:hAnsi="Times New Roman"/>
          <w:bCs/>
          <w:sz w:val="24"/>
          <w:szCs w:val="24"/>
        </w:rPr>
        <w:t xml:space="preserve">, </w:t>
      </w:r>
      <w:bookmarkEnd w:id="423"/>
      <w:r w:rsidRPr="00465FB3">
        <w:rPr>
          <w:rFonts w:ascii="Times New Roman" w:hAnsi="Times New Roman"/>
          <w:bCs/>
          <w:sz w:val="24"/>
          <w:szCs w:val="24"/>
        </w:rPr>
        <w:t>the Superior Court (Washington County) Judge Melanie Thunberg held that the criminal complaint must be dismissed, since the defendant is covered by the Good Samaritan Act even though he appears to be a dealer.</w:t>
      </w:r>
    </w:p>
    <w:p w14:paraId="59EF9EE7" w14:textId="77777777" w:rsidR="005C30A4" w:rsidRPr="00465FB3" w:rsidRDefault="005C30A4" w:rsidP="005C30A4">
      <w:pPr>
        <w:pStyle w:val="NoSpacing"/>
        <w:rPr>
          <w:rFonts w:ascii="Times New Roman" w:hAnsi="Times New Roman"/>
          <w:b/>
          <w:bCs/>
          <w:sz w:val="24"/>
          <w:szCs w:val="24"/>
        </w:rPr>
      </w:pPr>
    </w:p>
    <w:p w14:paraId="58AFDA29" w14:textId="77777777" w:rsidR="005C30A4" w:rsidRPr="00465FB3" w:rsidRDefault="005C30A4" w:rsidP="005C30A4">
      <w:pPr>
        <w:pStyle w:val="NoSpacing"/>
        <w:ind w:left="720"/>
        <w:rPr>
          <w:rFonts w:ascii="Times New Roman" w:hAnsi="Times New Roman"/>
          <w:b/>
          <w:bCs/>
          <w:sz w:val="24"/>
          <w:szCs w:val="24"/>
        </w:rPr>
      </w:pPr>
      <w:r w:rsidRPr="00465FB3">
        <w:rPr>
          <w:rFonts w:ascii="Times New Roman" w:hAnsi="Times New Roman"/>
          <w:bCs/>
          <w:sz w:val="24"/>
          <w:szCs w:val="24"/>
        </w:rPr>
        <w:t xml:space="preserve">“At issue here is whether the State may prosecute Defendant for possession of controlled substances with the intent to deliver </w:t>
      </w:r>
      <w:proofErr w:type="gramStart"/>
      <w:r w:rsidRPr="00465FB3">
        <w:rPr>
          <w:rFonts w:ascii="Times New Roman" w:hAnsi="Times New Roman"/>
          <w:bCs/>
          <w:sz w:val="24"/>
          <w:szCs w:val="24"/>
        </w:rPr>
        <w:t>despite the fact that</w:t>
      </w:r>
      <w:proofErr w:type="gramEnd"/>
      <w:r w:rsidRPr="00465FB3">
        <w:rPr>
          <w:rFonts w:ascii="Times New Roman" w:hAnsi="Times New Roman"/>
          <w:bCs/>
          <w:sz w:val="24"/>
          <w:szCs w:val="24"/>
        </w:rPr>
        <w:t xml:space="preserve"> law enforcement would not have discovered the contraband but for Defendant’s need for medical attention. The parties dispute the application of G.L. 1956 § 21-28.9-4, the Good Samaritan Overdose Prevention Act of 2016 (the Act). Their arguments turn on whether the individual who experiences an overdose may seek immunity under the Act; whether the drug or alcohol user needs to actually overdose in order for the protections of the Act to apply; and whether the Act immunizes only possession related crimes—not the crime of possession with the intent to deliver.  *** Again, the language contained in § 21-28.9-4(b) is dispositive. This section provides that qualifying individuals ‘shall not be charged or prosecuted for any crime related to the possession of a controlled substance or drug paraphernalia, possession or transportation of alcohol by an underage person, or the operation of a drug-involved premises, if the evidence. . .was gained as a result of the overdose and the need for medical assistance.’Section21-28.9-4(b) (emphasis added). *** The outcome of this dispute turns on whether the crime of unlawful possession of a controlled substance with the intent to distribute is a crime ‘related to the possession of a controlled substance.’ Id. Clearly, it is.  An individual must possess the controlled substances with which he or she intends to distribute </w:t>
      </w:r>
      <w:proofErr w:type="gramStart"/>
      <w:r w:rsidRPr="00465FB3">
        <w:rPr>
          <w:rFonts w:ascii="Times New Roman" w:hAnsi="Times New Roman"/>
          <w:bCs/>
          <w:sz w:val="24"/>
          <w:szCs w:val="24"/>
        </w:rPr>
        <w:t>in order to</w:t>
      </w:r>
      <w:proofErr w:type="gramEnd"/>
      <w:r w:rsidRPr="00465FB3">
        <w:rPr>
          <w:rFonts w:ascii="Times New Roman" w:hAnsi="Times New Roman"/>
          <w:bCs/>
          <w:sz w:val="24"/>
          <w:szCs w:val="24"/>
        </w:rPr>
        <w:t xml:space="preserve"> be guilty of possession with the intent to deliver. Moreover, the unambiguous language of § 21-28.9-4(b) establishes that the Legislature intended that the individual who </w:t>
      </w:r>
      <w:proofErr w:type="gramStart"/>
      <w:r w:rsidRPr="00465FB3">
        <w:rPr>
          <w:rFonts w:ascii="Times New Roman" w:hAnsi="Times New Roman"/>
          <w:bCs/>
          <w:sz w:val="24"/>
          <w:szCs w:val="24"/>
        </w:rPr>
        <w:t>overdoses</w:t>
      </w:r>
      <w:proofErr w:type="gramEnd"/>
      <w:r w:rsidRPr="00465FB3">
        <w:rPr>
          <w:rFonts w:ascii="Times New Roman" w:hAnsi="Times New Roman"/>
          <w:bCs/>
          <w:sz w:val="24"/>
          <w:szCs w:val="24"/>
        </w:rPr>
        <w:t xml:space="preserve"> or experiences a drug-or alcohol-related medical emergency receive immunity for ‘any crime related to the possession of a controlled substance or drug paraphernalia. . . .’ Section 21-28.9-4(b) (emphasis added). The Legislature chose to use the words ‘any crime related to the possession of a controlled substance’ to delineate the crimes that would fall under the umbrella of protection afforded by the Act. The Legislature could have carved out crimes related to the delivery or distribution of controlled substances; however, as demonstrated by the existing statute, it did not.</w:t>
      </w:r>
    </w:p>
    <w:bookmarkStart w:id="424" w:name="_Hlk39848627"/>
    <w:p w14:paraId="6D51335B" w14:textId="77777777" w:rsidR="005C30A4" w:rsidRPr="00465FB3" w:rsidRDefault="00BC38B6" w:rsidP="005C30A4">
      <w:pPr>
        <w:pStyle w:val="NoSpacing"/>
        <w:ind w:left="720"/>
        <w:rPr>
          <w:rFonts w:ascii="Times New Roman" w:hAnsi="Times New Roman"/>
          <w:b/>
          <w:bCs/>
          <w:sz w:val="24"/>
          <w:szCs w:val="24"/>
        </w:rPr>
      </w:pPr>
      <w:r>
        <w:fldChar w:fldCharType="begin"/>
      </w:r>
      <w:r>
        <w:instrText xml:space="preserve"> HYPERLINK "https://cases.justia.com/rhode-island/superior-court/2020-18-0273.pdf?ts=1581362174" </w:instrText>
      </w:r>
      <w:r>
        <w:fldChar w:fldCharType="separate"/>
      </w:r>
      <w:r w:rsidR="005C30A4" w:rsidRPr="00465FB3">
        <w:rPr>
          <w:rStyle w:val="Hyperlink"/>
          <w:rFonts w:ascii="Times New Roman" w:hAnsi="Times New Roman"/>
          <w:bCs/>
          <w:sz w:val="24"/>
          <w:szCs w:val="24"/>
        </w:rPr>
        <w:t>https://cases.justia.com/rhode-island/superior-court/2020-18-0273.pdf?ts=1581362174</w:t>
      </w:r>
      <w:r>
        <w:rPr>
          <w:rStyle w:val="Hyperlink"/>
          <w:rFonts w:ascii="Times New Roman" w:hAnsi="Times New Roman"/>
          <w:bCs/>
          <w:sz w:val="24"/>
          <w:szCs w:val="24"/>
        </w:rPr>
        <w:fldChar w:fldCharType="end"/>
      </w:r>
      <w:r w:rsidR="005C30A4" w:rsidRPr="00465FB3">
        <w:rPr>
          <w:rFonts w:ascii="Times New Roman" w:hAnsi="Times New Roman"/>
          <w:bCs/>
          <w:sz w:val="24"/>
          <w:szCs w:val="24"/>
        </w:rPr>
        <w:t xml:space="preserve"> </w:t>
      </w:r>
    </w:p>
    <w:bookmarkEnd w:id="424"/>
    <w:p w14:paraId="5F2C0971" w14:textId="77777777" w:rsidR="005C30A4" w:rsidRPr="00465FB3" w:rsidRDefault="005C30A4" w:rsidP="005C30A4">
      <w:pPr>
        <w:pStyle w:val="NoSpacing"/>
        <w:ind w:left="720"/>
        <w:rPr>
          <w:rFonts w:ascii="Times New Roman" w:hAnsi="Times New Roman"/>
          <w:b/>
          <w:bCs/>
          <w:sz w:val="24"/>
          <w:szCs w:val="24"/>
        </w:rPr>
      </w:pPr>
    </w:p>
    <w:p w14:paraId="553BE63D" w14:textId="77777777" w:rsidR="005C30A4" w:rsidRPr="00465FB3" w:rsidRDefault="005C30A4" w:rsidP="005C30A4">
      <w:pPr>
        <w:pStyle w:val="NoSpacing"/>
        <w:rPr>
          <w:rFonts w:ascii="Times New Roman" w:hAnsi="Times New Roman"/>
          <w:b/>
          <w:bCs/>
          <w:sz w:val="24"/>
          <w:szCs w:val="24"/>
        </w:rPr>
      </w:pPr>
      <w:r w:rsidRPr="00465FB3">
        <w:rPr>
          <w:rFonts w:ascii="Times New Roman" w:hAnsi="Times New Roman"/>
          <w:b/>
          <w:bCs/>
          <w:sz w:val="24"/>
          <w:szCs w:val="24"/>
        </w:rPr>
        <w:t xml:space="preserve">Legal Lessons Learned: This Good Samaritan Act was written to broadly protect drug users and others who call 911 for help. </w:t>
      </w:r>
    </w:p>
    <w:p w14:paraId="607C312D" w14:textId="77777777" w:rsidR="005C30A4" w:rsidRDefault="005C30A4" w:rsidP="00F326E5">
      <w:pPr>
        <w:rPr>
          <w:rFonts w:ascii="Arial Black" w:hAnsi="Arial Black"/>
          <w:b/>
          <w:sz w:val="24"/>
          <w:szCs w:val="24"/>
        </w:rPr>
      </w:pPr>
    </w:p>
    <w:p w14:paraId="483A2F1F" w14:textId="77777777" w:rsidR="005C30A4" w:rsidRDefault="005C30A4" w:rsidP="00F326E5">
      <w:pPr>
        <w:rPr>
          <w:rFonts w:ascii="Arial Black" w:hAnsi="Arial Black"/>
          <w:b/>
          <w:sz w:val="24"/>
          <w:szCs w:val="24"/>
        </w:rPr>
      </w:pPr>
    </w:p>
    <w:p w14:paraId="4323B294" w14:textId="77777777" w:rsidR="005C30A4" w:rsidRDefault="005C30A4" w:rsidP="00F326E5">
      <w:pPr>
        <w:rPr>
          <w:rFonts w:ascii="Arial Black" w:hAnsi="Arial Black"/>
          <w:b/>
          <w:sz w:val="24"/>
          <w:szCs w:val="24"/>
        </w:rPr>
      </w:pPr>
    </w:p>
    <w:p w14:paraId="2E040259" w14:textId="7B2E87FB" w:rsidR="00A52325" w:rsidRDefault="00A52325" w:rsidP="00F326E5">
      <w:pPr>
        <w:rPr>
          <w:rFonts w:ascii="Arial Black" w:hAnsi="Arial Black"/>
          <w:b/>
          <w:sz w:val="24"/>
          <w:szCs w:val="24"/>
        </w:rPr>
      </w:pPr>
      <w:r>
        <w:rPr>
          <w:rFonts w:ascii="Arial Black" w:hAnsi="Arial Black"/>
          <w:b/>
          <w:sz w:val="24"/>
          <w:szCs w:val="24"/>
        </w:rPr>
        <w:t>12-3</w:t>
      </w:r>
    </w:p>
    <w:p w14:paraId="6C5A2033" w14:textId="77777777" w:rsidR="00A52325" w:rsidRDefault="00A52325" w:rsidP="00A52325">
      <w:pPr>
        <w:pStyle w:val="NoSpacing"/>
        <w:rPr>
          <w:rFonts w:ascii="Arial Black" w:hAnsi="Arial Black"/>
          <w:sz w:val="28"/>
          <w:szCs w:val="28"/>
        </w:rPr>
      </w:pPr>
      <w:bookmarkStart w:id="425" w:name="_Hlk39772024"/>
      <w:bookmarkStart w:id="426" w:name="_Hlk41155561"/>
      <w:r>
        <w:rPr>
          <w:rFonts w:ascii="Arial Black" w:hAnsi="Arial Black"/>
          <w:sz w:val="28"/>
          <w:szCs w:val="28"/>
        </w:rPr>
        <w:t>IL: PARAMEDIC USING SQUAD FENTANYL – HOSPITAL FOUND PIN HOLES IN VIALS – CONVICTION UPHELD</w:t>
      </w:r>
    </w:p>
    <w:p w14:paraId="58922B2E" w14:textId="77777777" w:rsidR="00A52325" w:rsidRDefault="00A52325" w:rsidP="00A52325">
      <w:pPr>
        <w:pStyle w:val="NoSpacing"/>
        <w:rPr>
          <w:rFonts w:ascii="Times New Roman" w:hAnsi="Times New Roman"/>
          <w:sz w:val="24"/>
          <w:szCs w:val="24"/>
        </w:rPr>
      </w:pPr>
    </w:p>
    <w:p w14:paraId="7A8F57DA" w14:textId="77777777" w:rsidR="00A52325" w:rsidRDefault="00A52325" w:rsidP="00A52325">
      <w:pPr>
        <w:pStyle w:val="NoSpacing"/>
        <w:rPr>
          <w:rFonts w:ascii="Times New Roman" w:hAnsi="Times New Roman"/>
          <w:sz w:val="24"/>
          <w:szCs w:val="24"/>
        </w:rPr>
      </w:pPr>
      <w:r>
        <w:rPr>
          <w:rFonts w:ascii="Times New Roman" w:hAnsi="Times New Roman"/>
          <w:sz w:val="24"/>
          <w:szCs w:val="24"/>
        </w:rPr>
        <w:t xml:space="preserve">On </w:t>
      </w:r>
      <w:bookmarkStart w:id="427" w:name="_Hlk39849052"/>
      <w:r>
        <w:rPr>
          <w:rFonts w:ascii="Times New Roman" w:hAnsi="Times New Roman"/>
          <w:sz w:val="24"/>
          <w:szCs w:val="24"/>
        </w:rPr>
        <w:t xml:space="preserve">Dec. 6, 2019, in </w:t>
      </w:r>
      <w:r>
        <w:rPr>
          <w:rFonts w:ascii="Times New Roman" w:hAnsi="Times New Roman"/>
          <w:sz w:val="24"/>
          <w:szCs w:val="24"/>
          <w:u w:val="single"/>
        </w:rPr>
        <w:t>United States v. Jason Laut</w:t>
      </w:r>
      <w:bookmarkEnd w:id="427"/>
      <w:r>
        <w:rPr>
          <w:rFonts w:ascii="Times New Roman" w:hAnsi="Times New Roman"/>
          <w:sz w:val="24"/>
          <w:szCs w:val="24"/>
        </w:rPr>
        <w:t>, the U.S. Court of Appeals for the 7</w:t>
      </w:r>
      <w:r>
        <w:rPr>
          <w:rFonts w:ascii="Times New Roman" w:hAnsi="Times New Roman"/>
          <w:sz w:val="24"/>
          <w:szCs w:val="24"/>
          <w:vertAlign w:val="superscript"/>
        </w:rPr>
        <w:t>th</w:t>
      </w:r>
      <w:r>
        <w:rPr>
          <w:rFonts w:ascii="Times New Roman" w:hAnsi="Times New Roman"/>
          <w:sz w:val="24"/>
          <w:szCs w:val="24"/>
        </w:rPr>
        <w:t xml:space="preserve"> Circuit (Chicago), held (3 to 0) that in a nonprecedential disposition that his jury conviction was affirmed. </w:t>
      </w:r>
    </w:p>
    <w:p w14:paraId="682A45B9" w14:textId="77777777" w:rsidR="00A52325" w:rsidRDefault="00A52325" w:rsidP="00A52325">
      <w:pPr>
        <w:pStyle w:val="NoSpacing"/>
        <w:rPr>
          <w:rFonts w:ascii="Times New Roman" w:hAnsi="Times New Roman"/>
          <w:sz w:val="24"/>
          <w:szCs w:val="24"/>
        </w:rPr>
      </w:pPr>
    </w:p>
    <w:p w14:paraId="38C1AA0B" w14:textId="77777777" w:rsidR="00A52325" w:rsidRDefault="00A52325" w:rsidP="00A52325">
      <w:pPr>
        <w:pStyle w:val="NoSpacing"/>
        <w:ind w:left="720"/>
        <w:rPr>
          <w:rFonts w:ascii="Times New Roman" w:hAnsi="Times New Roman"/>
          <w:sz w:val="24"/>
          <w:szCs w:val="24"/>
        </w:rPr>
      </w:pPr>
      <w:r>
        <w:rPr>
          <w:rFonts w:ascii="Times New Roman" w:hAnsi="Times New Roman"/>
          <w:sz w:val="24"/>
          <w:szCs w:val="24"/>
        </w:rPr>
        <w:t xml:space="preserve">“Specifically, the government stated that Laut had tampered with fentanyl vials ‘57 times in 2014, 28 times in 2015; and repeatedly referred to the ‘85 tampered vials.’ Also, when describing the 2015 tampering, the government stated that pharmacists discovered the tampered vials ‘after Jason Laut’s </w:t>
      </w:r>
      <w:r>
        <w:rPr>
          <w:rFonts w:ascii="Times New Roman" w:hAnsi="Times New Roman"/>
          <w:sz w:val="24"/>
          <w:szCs w:val="24"/>
        </w:rPr>
        <w:lastRenderedPageBreak/>
        <w:t>tampering had already been caught once ... but he got away with it.’ *** The jury found Laut guilty on all 38 counts.</w:t>
      </w:r>
    </w:p>
    <w:bookmarkStart w:id="428" w:name="_Hlk39849070"/>
    <w:p w14:paraId="78A527AF" w14:textId="77777777" w:rsidR="00A52325" w:rsidRDefault="00BC38B6" w:rsidP="00A52325">
      <w:pPr>
        <w:pStyle w:val="NoSpacing"/>
        <w:ind w:left="720"/>
        <w:rPr>
          <w:rFonts w:ascii="Times New Roman" w:hAnsi="Times New Roman"/>
          <w:sz w:val="24"/>
          <w:szCs w:val="24"/>
        </w:rPr>
      </w:pPr>
      <w:r>
        <w:fldChar w:fldCharType="begin"/>
      </w:r>
      <w:r>
        <w:instrText xml:space="preserve"> HYPERLINK "http://media.ca7.uscourts.gov/cgi-bin/rssExec.pl?Submit=Display&amp;Path=Y2019/D12-06/C:18-2843:J:PerCuriam:aut:T:npDp:N:2440892:S:0" </w:instrText>
      </w:r>
      <w:r>
        <w:fldChar w:fldCharType="separate"/>
      </w:r>
      <w:r w:rsidR="00A52325">
        <w:rPr>
          <w:rStyle w:val="Hyperlink"/>
          <w:rFonts w:ascii="Times New Roman" w:hAnsi="Times New Roman"/>
          <w:sz w:val="24"/>
          <w:szCs w:val="24"/>
        </w:rPr>
        <w:t>http://media.ca7.uscourts.gov/cgi-bin/rssExec.pl?Submit=Display&amp;Path=Y2019/D12-06/C:18-2843:J:PerCuriam:aut:T:npDp:N:2440892:S:0</w:t>
      </w:r>
      <w:r>
        <w:rPr>
          <w:rStyle w:val="Hyperlink"/>
          <w:rFonts w:ascii="Times New Roman" w:hAnsi="Times New Roman"/>
          <w:sz w:val="24"/>
          <w:szCs w:val="24"/>
        </w:rPr>
        <w:fldChar w:fldCharType="end"/>
      </w:r>
      <w:r w:rsidR="00A52325">
        <w:rPr>
          <w:rFonts w:ascii="Times New Roman" w:hAnsi="Times New Roman"/>
          <w:sz w:val="24"/>
          <w:szCs w:val="24"/>
        </w:rPr>
        <w:t xml:space="preserve"> </w:t>
      </w:r>
    </w:p>
    <w:p w14:paraId="208CA5FC" w14:textId="56C65859" w:rsidR="00A52325" w:rsidRPr="00E71BA9" w:rsidRDefault="00A52325" w:rsidP="00A52325">
      <w:pPr>
        <w:spacing w:before="100" w:beforeAutospacing="1" w:after="100" w:afterAutospacing="1" w:line="240" w:lineRule="auto"/>
        <w:rPr>
          <w:rFonts w:ascii="Times New Roman" w:hAnsi="Times New Roman"/>
          <w:b/>
          <w:bCs/>
          <w:sz w:val="24"/>
          <w:szCs w:val="24"/>
        </w:rPr>
      </w:pPr>
      <w:bookmarkStart w:id="429" w:name="_Hlk40513758"/>
      <w:bookmarkEnd w:id="425"/>
      <w:bookmarkEnd w:id="428"/>
      <w:r>
        <w:rPr>
          <w:rFonts w:ascii="Times New Roman" w:hAnsi="Times New Roman"/>
          <w:b/>
          <w:bCs/>
          <w:sz w:val="24"/>
          <w:szCs w:val="24"/>
        </w:rPr>
        <w:t xml:space="preserve">Legal Lesson Learned: Conduct training of all </w:t>
      </w:r>
      <w:r w:rsidR="00E71BA9">
        <w:rPr>
          <w:rFonts w:ascii="Times New Roman" w:hAnsi="Times New Roman"/>
          <w:b/>
          <w:bCs/>
          <w:sz w:val="24"/>
          <w:szCs w:val="24"/>
        </w:rPr>
        <w:t xml:space="preserve">FD </w:t>
      </w:r>
      <w:r>
        <w:rPr>
          <w:rFonts w:ascii="Times New Roman" w:hAnsi="Times New Roman"/>
          <w:b/>
          <w:bCs/>
          <w:sz w:val="24"/>
          <w:szCs w:val="24"/>
        </w:rPr>
        <w:t>personnel on tamperin</w:t>
      </w:r>
      <w:r w:rsidR="00E71BA9">
        <w:rPr>
          <w:rFonts w:ascii="Times New Roman" w:hAnsi="Times New Roman"/>
          <w:b/>
          <w:bCs/>
          <w:sz w:val="24"/>
          <w:szCs w:val="24"/>
        </w:rPr>
        <w:t xml:space="preserve">g.   </w:t>
      </w:r>
      <w:r w:rsidR="00E71BA9" w:rsidRPr="00E71BA9">
        <w:rPr>
          <w:rFonts w:ascii="Times New Roman" w:hAnsi="Times New Roman"/>
          <w:sz w:val="24"/>
          <w:szCs w:val="24"/>
        </w:rPr>
        <w:t xml:space="preserve">Note:  See this web site: </w:t>
      </w:r>
      <w:hyperlink r:id="rId1993" w:history="1">
        <w:r w:rsidRPr="00E71BA9">
          <w:rPr>
            <w:rStyle w:val="Hyperlink"/>
            <w:rFonts w:ascii="Times New Roman" w:hAnsi="Times New Roman"/>
            <w:sz w:val="24"/>
            <w:szCs w:val="24"/>
          </w:rPr>
          <w:t>http://www.diversionspecialists.com/wp-content/uploads/Considerations-When-Tampering-Occurs.pdf</w:t>
        </w:r>
      </w:hyperlink>
      <w:r w:rsidRPr="00E71BA9">
        <w:rPr>
          <w:rFonts w:ascii="Times New Roman" w:hAnsi="Times New Roman"/>
          <w:b/>
          <w:bCs/>
          <w:sz w:val="24"/>
          <w:szCs w:val="24"/>
        </w:rPr>
        <w:t xml:space="preserve"> </w:t>
      </w:r>
    </w:p>
    <w:bookmarkEnd w:id="426"/>
    <w:bookmarkEnd w:id="429"/>
    <w:p w14:paraId="160E7F52" w14:textId="2BFBF2E1" w:rsidR="00A52325" w:rsidRDefault="00A52325" w:rsidP="00F326E5">
      <w:pPr>
        <w:rPr>
          <w:rFonts w:ascii="Times New Roman" w:hAnsi="Times New Roman"/>
          <w:bCs/>
          <w:sz w:val="24"/>
          <w:szCs w:val="24"/>
        </w:rPr>
      </w:pPr>
    </w:p>
    <w:p w14:paraId="7BA16672" w14:textId="77777777" w:rsidR="00E658E1" w:rsidRPr="00A52325" w:rsidRDefault="00E658E1" w:rsidP="00F326E5">
      <w:pPr>
        <w:rPr>
          <w:rFonts w:ascii="Times New Roman" w:hAnsi="Times New Roman"/>
          <w:bCs/>
          <w:sz w:val="24"/>
          <w:szCs w:val="24"/>
        </w:rPr>
      </w:pPr>
    </w:p>
    <w:p w14:paraId="6C0B8382" w14:textId="77777777" w:rsidR="00A52325" w:rsidRDefault="00A52325" w:rsidP="00F326E5">
      <w:pPr>
        <w:rPr>
          <w:rFonts w:ascii="Arial Black" w:hAnsi="Arial Black"/>
          <w:b/>
          <w:sz w:val="24"/>
          <w:szCs w:val="24"/>
        </w:rPr>
      </w:pPr>
    </w:p>
    <w:p w14:paraId="689E5B5E" w14:textId="6ADAEEE4" w:rsidR="009F0F05" w:rsidRDefault="009F0F05" w:rsidP="00F326E5">
      <w:pPr>
        <w:rPr>
          <w:rFonts w:ascii="Arial Black" w:hAnsi="Arial Black"/>
          <w:b/>
          <w:sz w:val="24"/>
          <w:szCs w:val="24"/>
        </w:rPr>
      </w:pPr>
      <w:r>
        <w:rPr>
          <w:rFonts w:ascii="Arial Black" w:hAnsi="Arial Black"/>
          <w:b/>
          <w:sz w:val="24"/>
          <w:szCs w:val="24"/>
        </w:rPr>
        <w:t>12-2</w:t>
      </w:r>
    </w:p>
    <w:p w14:paraId="511B0FF8" w14:textId="77777777" w:rsidR="009F0F05" w:rsidRPr="00412490" w:rsidRDefault="009F0F05" w:rsidP="009F0F05">
      <w:pPr>
        <w:rPr>
          <w:rFonts w:ascii="Arial Black" w:hAnsi="Arial Black"/>
          <w:sz w:val="28"/>
          <w:szCs w:val="28"/>
        </w:rPr>
      </w:pPr>
      <w:r w:rsidRPr="00412490">
        <w:rPr>
          <w:rFonts w:ascii="Arial Black" w:hAnsi="Arial Black"/>
          <w:sz w:val="28"/>
          <w:szCs w:val="28"/>
        </w:rPr>
        <w:t xml:space="preserve">NY: </w:t>
      </w:r>
      <w:r>
        <w:rPr>
          <w:rFonts w:ascii="Arial Black" w:hAnsi="Arial Black"/>
          <w:sz w:val="28"/>
          <w:szCs w:val="28"/>
        </w:rPr>
        <w:t xml:space="preserve">COURT REFUSES TO DROP DUI CHARGES AGAINST POLICE OFFICER / EMT – NOT “INTEREST OF JUSTICE” </w:t>
      </w:r>
    </w:p>
    <w:p w14:paraId="1640859F" w14:textId="77777777" w:rsidR="009F0F05" w:rsidRPr="00412490" w:rsidRDefault="009F0F05" w:rsidP="009F0F05">
      <w:pPr>
        <w:rPr>
          <w:rFonts w:ascii="Times New Roman" w:hAnsi="Times New Roman"/>
          <w:sz w:val="24"/>
          <w:szCs w:val="24"/>
        </w:rPr>
      </w:pPr>
      <w:r w:rsidRPr="00412490">
        <w:rPr>
          <w:rFonts w:ascii="Times New Roman" w:hAnsi="Times New Roman"/>
          <w:sz w:val="24"/>
          <w:szCs w:val="24"/>
        </w:rPr>
        <w:t xml:space="preserve">On </w:t>
      </w:r>
      <w:r>
        <w:rPr>
          <w:rFonts w:ascii="Times New Roman" w:hAnsi="Times New Roman"/>
          <w:sz w:val="24"/>
          <w:szCs w:val="24"/>
        </w:rPr>
        <w:t xml:space="preserve">Aug. 13, 2019, in </w:t>
      </w:r>
      <w:r w:rsidRPr="00412490">
        <w:rPr>
          <w:rFonts w:ascii="Times New Roman" w:hAnsi="Times New Roman"/>
          <w:sz w:val="24"/>
          <w:szCs w:val="24"/>
          <w:u w:val="single"/>
        </w:rPr>
        <w:t xml:space="preserve">The People </w:t>
      </w:r>
      <w:proofErr w:type="gramStart"/>
      <w:r w:rsidRPr="00412490">
        <w:rPr>
          <w:rFonts w:ascii="Times New Roman" w:hAnsi="Times New Roman"/>
          <w:sz w:val="24"/>
          <w:szCs w:val="24"/>
          <w:u w:val="single"/>
        </w:rPr>
        <w:t>Of</w:t>
      </w:r>
      <w:proofErr w:type="gramEnd"/>
      <w:r w:rsidRPr="00412490">
        <w:rPr>
          <w:rFonts w:ascii="Times New Roman" w:hAnsi="Times New Roman"/>
          <w:sz w:val="24"/>
          <w:szCs w:val="24"/>
          <w:u w:val="single"/>
        </w:rPr>
        <w:t xml:space="preserve"> </w:t>
      </w:r>
      <w:proofErr w:type="gramStart"/>
      <w:r w:rsidRPr="00412490">
        <w:rPr>
          <w:rFonts w:ascii="Times New Roman" w:hAnsi="Times New Roman"/>
          <w:sz w:val="24"/>
          <w:szCs w:val="24"/>
          <w:u w:val="single"/>
        </w:rPr>
        <w:t>The</w:t>
      </w:r>
      <w:proofErr w:type="gramEnd"/>
      <w:r w:rsidRPr="00412490">
        <w:rPr>
          <w:rFonts w:ascii="Times New Roman" w:hAnsi="Times New Roman"/>
          <w:sz w:val="24"/>
          <w:szCs w:val="24"/>
          <w:u w:val="single"/>
        </w:rPr>
        <w:t xml:space="preserve"> State Of New York v. Shreeganes Meade</w:t>
      </w:r>
      <w:r>
        <w:rPr>
          <w:rFonts w:ascii="Times New Roman" w:hAnsi="Times New Roman"/>
          <w:sz w:val="24"/>
          <w:szCs w:val="24"/>
        </w:rPr>
        <w:t xml:space="preserve">, </w:t>
      </w:r>
      <w:r w:rsidRPr="00A31BF5">
        <w:rPr>
          <w:rFonts w:ascii="Times New Roman" w:hAnsi="Times New Roman"/>
          <w:sz w:val="24"/>
          <w:szCs w:val="24"/>
        </w:rPr>
        <w:t>2019 NY Slip Op 51419(U)</w:t>
      </w:r>
      <w:r>
        <w:rPr>
          <w:rFonts w:ascii="Times New Roman" w:hAnsi="Times New Roman"/>
          <w:sz w:val="24"/>
          <w:szCs w:val="24"/>
        </w:rPr>
        <w:t>,</w:t>
      </w:r>
      <w:r>
        <w:t xml:space="preserve"> </w:t>
      </w:r>
      <w:r w:rsidRPr="00A31BF5">
        <w:rPr>
          <w:rFonts w:ascii="Times New Roman" w:hAnsi="Times New Roman"/>
          <w:sz w:val="24"/>
          <w:szCs w:val="24"/>
        </w:rPr>
        <w:t>N.Y. Crim. Ct., 2019</w:t>
      </w:r>
      <w:r>
        <w:t xml:space="preserve">, </w:t>
      </w:r>
      <w:r>
        <w:rPr>
          <w:rFonts w:ascii="Times New Roman" w:hAnsi="Times New Roman"/>
          <w:sz w:val="24"/>
          <w:szCs w:val="24"/>
        </w:rPr>
        <w:t xml:space="preserve"> trial judge Kate Paek, Criminal Court of the City of New York, denied the defense motion to dismiss the two misdemeanor counts “in the interest of justice.”  </w:t>
      </w:r>
      <w:hyperlink r:id="rId1994" w:history="1">
        <w:r w:rsidRPr="00412490">
          <w:rPr>
            <w:rStyle w:val="Hyperlink"/>
            <w:rFonts w:ascii="Times New Roman" w:hAnsi="Times New Roman"/>
            <w:sz w:val="24"/>
            <w:szCs w:val="24"/>
          </w:rPr>
          <w:t>https://law.justia.com/cases/new-york/other-courts/2019/2019-ny-slip-op-51419-u.html</w:t>
        </w:r>
      </w:hyperlink>
      <w:r w:rsidRPr="00412490">
        <w:rPr>
          <w:rFonts w:ascii="Times New Roman" w:hAnsi="Times New Roman"/>
          <w:sz w:val="24"/>
          <w:szCs w:val="24"/>
        </w:rPr>
        <w:t xml:space="preserve"> </w:t>
      </w:r>
    </w:p>
    <w:p w14:paraId="4452E726" w14:textId="77777777" w:rsidR="009F0F05" w:rsidRDefault="009F0F05" w:rsidP="009F0F05">
      <w:pPr>
        <w:ind w:firstLine="720"/>
        <w:rPr>
          <w:rFonts w:ascii="Times New Roman" w:hAnsi="Times New Roman"/>
          <w:sz w:val="24"/>
          <w:szCs w:val="24"/>
        </w:rPr>
      </w:pPr>
      <w:r>
        <w:rPr>
          <w:rFonts w:ascii="Times New Roman" w:hAnsi="Times New Roman"/>
          <w:sz w:val="24"/>
          <w:szCs w:val="24"/>
        </w:rPr>
        <w:t>The judge held:</w:t>
      </w:r>
    </w:p>
    <w:p w14:paraId="3B7A7419" w14:textId="77777777" w:rsidR="009F0F05" w:rsidRPr="00412490" w:rsidRDefault="009F0F05" w:rsidP="009F0F05">
      <w:pPr>
        <w:ind w:left="720"/>
        <w:rPr>
          <w:rFonts w:ascii="Times New Roman" w:hAnsi="Times New Roman"/>
          <w:sz w:val="24"/>
          <w:szCs w:val="24"/>
        </w:rPr>
      </w:pPr>
      <w:r>
        <w:rPr>
          <w:rFonts w:ascii="Times New Roman" w:hAnsi="Times New Roman"/>
          <w:sz w:val="24"/>
          <w:szCs w:val="24"/>
        </w:rPr>
        <w:t>“</w:t>
      </w:r>
      <w:r w:rsidRPr="00412490">
        <w:rPr>
          <w:rFonts w:ascii="Times New Roman" w:hAnsi="Times New Roman"/>
          <w:sz w:val="24"/>
          <w:szCs w:val="24"/>
        </w:rPr>
        <w:t xml:space="preserve">The defendant asserts that he will face discipline, including possible termination from the NYPD, if he is convicted of a misdemeanor DWI offense. He also states that he will face removal from the New York State Guard and could lose his license to work as an Emergency Medical Technician. Defense counsel asserts that these consequences would not only impact the defendant </w:t>
      </w:r>
      <w:proofErr w:type="gramStart"/>
      <w:r w:rsidRPr="00412490">
        <w:rPr>
          <w:rFonts w:ascii="Times New Roman" w:hAnsi="Times New Roman"/>
          <w:sz w:val="24"/>
          <w:szCs w:val="24"/>
        </w:rPr>
        <w:t>personally,</w:t>
      </w:r>
      <w:r>
        <w:rPr>
          <w:rFonts w:ascii="Times New Roman" w:hAnsi="Times New Roman"/>
          <w:sz w:val="24"/>
          <w:szCs w:val="24"/>
        </w:rPr>
        <w:t xml:space="preserve"> </w:t>
      </w:r>
      <w:r w:rsidRPr="00412490">
        <w:rPr>
          <w:rFonts w:ascii="Times New Roman" w:hAnsi="Times New Roman"/>
          <w:sz w:val="24"/>
          <w:szCs w:val="24"/>
        </w:rPr>
        <w:t>but</w:t>
      </w:r>
      <w:proofErr w:type="gramEnd"/>
      <w:r w:rsidRPr="00412490">
        <w:rPr>
          <w:rFonts w:ascii="Times New Roman" w:hAnsi="Times New Roman"/>
          <w:sz w:val="24"/>
          <w:szCs w:val="24"/>
        </w:rPr>
        <w:t xml:space="preserve"> would deprive the community of the defendant's service in those roles. The court is mindful of these potential collateral </w:t>
      </w:r>
      <w:proofErr w:type="gramStart"/>
      <w:r w:rsidRPr="00412490">
        <w:rPr>
          <w:rFonts w:ascii="Times New Roman" w:hAnsi="Times New Roman"/>
          <w:sz w:val="24"/>
          <w:szCs w:val="24"/>
        </w:rPr>
        <w:t>consequences, but</w:t>
      </w:r>
      <w:proofErr w:type="gramEnd"/>
      <w:r w:rsidRPr="00412490">
        <w:rPr>
          <w:rFonts w:ascii="Times New Roman" w:hAnsi="Times New Roman"/>
          <w:sz w:val="24"/>
          <w:szCs w:val="24"/>
        </w:rPr>
        <w:t xml:space="preserve"> finds that they do not mandate dismissal in this case.</w:t>
      </w:r>
      <w:r>
        <w:rPr>
          <w:rFonts w:ascii="Times New Roman" w:hAnsi="Times New Roman"/>
          <w:sz w:val="24"/>
          <w:szCs w:val="24"/>
        </w:rPr>
        <w:t>”</w:t>
      </w:r>
    </w:p>
    <w:p w14:paraId="0B547525" w14:textId="77777777" w:rsidR="009F0F05" w:rsidRDefault="009F0F05" w:rsidP="009F0F05">
      <w:pPr>
        <w:spacing w:before="100" w:beforeAutospacing="1" w:after="100" w:afterAutospacing="1" w:line="240" w:lineRule="auto"/>
        <w:rPr>
          <w:rFonts w:ascii="Times New Roman" w:eastAsia="Times New Roman" w:hAnsi="Times New Roman"/>
          <w:b/>
          <w:bCs/>
          <w:sz w:val="24"/>
          <w:szCs w:val="24"/>
        </w:rPr>
      </w:pPr>
      <w:r>
        <w:rPr>
          <w:rFonts w:ascii="Times New Roman" w:eastAsia="Times New Roman" w:hAnsi="Times New Roman"/>
          <w:b/>
          <w:bCs/>
          <w:sz w:val="24"/>
          <w:szCs w:val="24"/>
        </w:rPr>
        <w:t xml:space="preserve">Legal Lessons Learned:  The job consequences of an emergency responder being convicted of driving while intoxicated can be very severe.  The case will now go to a jury, unless the police officer elects to have a “bench trial” or pleads guilty.   </w:t>
      </w:r>
    </w:p>
    <w:p w14:paraId="3DB632E9" w14:textId="77777777" w:rsidR="00E658E1" w:rsidRDefault="00E658E1" w:rsidP="00F326E5">
      <w:pPr>
        <w:rPr>
          <w:rFonts w:ascii="Arial Black" w:hAnsi="Arial Black"/>
          <w:b/>
          <w:sz w:val="24"/>
          <w:szCs w:val="24"/>
        </w:rPr>
      </w:pPr>
    </w:p>
    <w:p w14:paraId="3CC152EB" w14:textId="79E412E7" w:rsidR="00F326E5" w:rsidRDefault="00DE0F03" w:rsidP="00F326E5">
      <w:pPr>
        <w:rPr>
          <w:rFonts w:ascii="Arial Black" w:hAnsi="Arial Black"/>
          <w:sz w:val="40"/>
          <w:szCs w:val="40"/>
        </w:rPr>
      </w:pPr>
      <w:r>
        <w:rPr>
          <w:rFonts w:ascii="Arial Black" w:hAnsi="Arial Black"/>
          <w:b/>
          <w:sz w:val="24"/>
          <w:szCs w:val="24"/>
        </w:rPr>
        <w:t xml:space="preserve">12-1 </w:t>
      </w:r>
    </w:p>
    <w:p w14:paraId="5F96CBC6" w14:textId="174B8F51" w:rsidR="00F326E5" w:rsidRDefault="00F326E5" w:rsidP="00F326E5">
      <w:pPr>
        <w:pStyle w:val="NoSpacing"/>
        <w:rPr>
          <w:rFonts w:ascii="Arial Black" w:hAnsi="Arial Black"/>
          <w:sz w:val="28"/>
          <w:szCs w:val="28"/>
        </w:rPr>
      </w:pPr>
      <w:bookmarkStart w:id="430" w:name="_Hlk39772079"/>
      <w:bookmarkStart w:id="431" w:name="_Hlk7345754"/>
      <w:r w:rsidRPr="00541B0F">
        <w:rPr>
          <w:rFonts w:ascii="Arial Black" w:hAnsi="Arial Black"/>
          <w:b/>
          <w:sz w:val="28"/>
          <w:szCs w:val="28"/>
        </w:rPr>
        <w:t>MD</w:t>
      </w:r>
      <w:r>
        <w:rPr>
          <w:rFonts w:ascii="Arial Black" w:hAnsi="Arial Black"/>
          <w:b/>
          <w:sz w:val="28"/>
          <w:szCs w:val="28"/>
        </w:rPr>
        <w:t xml:space="preserve">: </w:t>
      </w:r>
      <w:r w:rsidRPr="00541B0F">
        <w:rPr>
          <w:rFonts w:ascii="Arial Black" w:hAnsi="Arial Black"/>
          <w:b/>
          <w:sz w:val="28"/>
          <w:szCs w:val="28"/>
        </w:rPr>
        <w:t>F</w:t>
      </w:r>
      <w:r>
        <w:rPr>
          <w:rFonts w:ascii="Arial Black" w:hAnsi="Arial Black"/>
          <w:b/>
          <w:sz w:val="28"/>
          <w:szCs w:val="28"/>
        </w:rPr>
        <w:t xml:space="preserve">F </w:t>
      </w:r>
      <w:r w:rsidRPr="00541B0F">
        <w:rPr>
          <w:rFonts w:ascii="Arial Black" w:hAnsi="Arial Black"/>
          <w:b/>
          <w:sz w:val="28"/>
          <w:szCs w:val="28"/>
        </w:rPr>
        <w:t>TERMINATED FOR ALCOHOL</w:t>
      </w:r>
      <w:r>
        <w:rPr>
          <w:rFonts w:ascii="Arial Black" w:hAnsi="Arial Black"/>
          <w:sz w:val="28"/>
          <w:szCs w:val="28"/>
        </w:rPr>
        <w:t xml:space="preserve"> – GIVEN SECOND CHANCE – PRE-TERMINATION HEARING</w:t>
      </w:r>
    </w:p>
    <w:p w14:paraId="09636522" w14:textId="77777777" w:rsidR="00E658E1" w:rsidRDefault="00F326E5" w:rsidP="00F326E5">
      <w:pPr>
        <w:pStyle w:val="NoSpacing"/>
        <w:rPr>
          <w:rFonts w:ascii="Times New Roman" w:hAnsi="Times New Roman"/>
          <w:sz w:val="24"/>
          <w:szCs w:val="24"/>
        </w:rPr>
      </w:pPr>
      <w:r w:rsidRPr="00E658E1">
        <w:rPr>
          <w:rFonts w:ascii="Times New Roman" w:hAnsi="Times New Roman"/>
          <w:sz w:val="24"/>
          <w:szCs w:val="24"/>
        </w:rPr>
        <w:t xml:space="preserve">On Oct. 19, 2018, in </w:t>
      </w:r>
      <w:r w:rsidRPr="00E658E1">
        <w:rPr>
          <w:rFonts w:ascii="Times New Roman" w:hAnsi="Times New Roman"/>
          <w:sz w:val="24"/>
          <w:szCs w:val="24"/>
          <w:u w:val="single"/>
        </w:rPr>
        <w:t>Darryl K. Lewis, Jr. v. City of Baltimore Civil Service Commission, et al</w:t>
      </w:r>
      <w:r w:rsidRPr="00E658E1">
        <w:rPr>
          <w:rFonts w:ascii="Times New Roman" w:hAnsi="Times New Roman"/>
          <w:sz w:val="24"/>
          <w:szCs w:val="24"/>
        </w:rPr>
        <w:t xml:space="preserve">, the Circuit Court for Baltimore City, held (3 to 0) in unreported decision that the firefighter was provided due process, affirming the Hearing Officer’s findings: </w:t>
      </w:r>
    </w:p>
    <w:p w14:paraId="2EBA2134" w14:textId="77777777" w:rsidR="00E658E1" w:rsidRDefault="00E658E1" w:rsidP="00F326E5">
      <w:pPr>
        <w:pStyle w:val="NoSpacing"/>
        <w:rPr>
          <w:rFonts w:ascii="Times New Roman" w:hAnsi="Times New Roman"/>
          <w:sz w:val="24"/>
          <w:szCs w:val="24"/>
        </w:rPr>
      </w:pPr>
    </w:p>
    <w:p w14:paraId="371452EE" w14:textId="452B71D0" w:rsidR="00F326E5" w:rsidRPr="00E658E1" w:rsidRDefault="00F326E5" w:rsidP="00E658E1">
      <w:pPr>
        <w:pStyle w:val="NoSpacing"/>
        <w:ind w:left="720"/>
        <w:rPr>
          <w:rFonts w:ascii="Times New Roman" w:eastAsia="Times New Roman" w:hAnsi="Times New Roman"/>
          <w:sz w:val="24"/>
          <w:szCs w:val="24"/>
        </w:rPr>
      </w:pPr>
      <w:r w:rsidRPr="00E658E1">
        <w:rPr>
          <w:rFonts w:ascii="Times New Roman" w:hAnsi="Times New Roman"/>
          <w:sz w:val="24"/>
          <w:szCs w:val="24"/>
        </w:rPr>
        <w:lastRenderedPageBreak/>
        <w:t>“</w:t>
      </w:r>
      <w:r w:rsidRPr="00E658E1">
        <w:rPr>
          <w:rFonts w:ascii="Times New Roman" w:eastAsia="Times New Roman" w:hAnsi="Times New Roman"/>
          <w:sz w:val="24"/>
          <w:szCs w:val="24"/>
        </w:rPr>
        <w:t xml:space="preserve">The Hearing Officer’s Recommendation states, ‘Procedural due process was afforded in that Lewis received notice of the underlying charges and an opportunity to be heard at a pre-termination hearing. He received sufficient notification of the outcome of that hearing and was advised of his right to this investigation.’” </w:t>
      </w:r>
      <w:hyperlink r:id="rId1995" w:history="1">
        <w:r w:rsidRPr="00E658E1">
          <w:rPr>
            <w:rStyle w:val="Hyperlink"/>
            <w:rFonts w:ascii="Times New Roman" w:hAnsi="Times New Roman"/>
            <w:sz w:val="24"/>
            <w:szCs w:val="24"/>
          </w:rPr>
          <w:t>https://www.courts.state.md.us/sites/default/files/unreported-opinions/2605s16.pdf</w:t>
        </w:r>
      </w:hyperlink>
      <w:r w:rsidRPr="00E658E1">
        <w:rPr>
          <w:rFonts w:ascii="Times New Roman" w:eastAsia="Times New Roman" w:hAnsi="Times New Roman"/>
          <w:sz w:val="24"/>
          <w:szCs w:val="24"/>
        </w:rPr>
        <w:t xml:space="preserve"> </w:t>
      </w:r>
    </w:p>
    <w:p w14:paraId="4E968E6B" w14:textId="77777777" w:rsidR="00E658E1" w:rsidRDefault="00E658E1" w:rsidP="00F326E5">
      <w:pPr>
        <w:pStyle w:val="NoSpacing"/>
        <w:rPr>
          <w:rFonts w:ascii="Times New Roman" w:hAnsi="Times New Roman"/>
          <w:b/>
          <w:sz w:val="24"/>
          <w:szCs w:val="24"/>
        </w:rPr>
      </w:pPr>
    </w:p>
    <w:p w14:paraId="21BE52CC" w14:textId="3494E15D" w:rsidR="00F326E5" w:rsidRPr="00E658E1" w:rsidRDefault="00F326E5" w:rsidP="00F326E5">
      <w:pPr>
        <w:pStyle w:val="NoSpacing"/>
        <w:rPr>
          <w:rFonts w:ascii="Times New Roman" w:hAnsi="Times New Roman"/>
          <w:b/>
          <w:sz w:val="24"/>
          <w:szCs w:val="24"/>
        </w:rPr>
      </w:pPr>
      <w:bookmarkStart w:id="432" w:name="_Hlk40513865"/>
      <w:bookmarkEnd w:id="430"/>
      <w:r w:rsidRPr="00E658E1">
        <w:rPr>
          <w:rFonts w:ascii="Times New Roman" w:hAnsi="Times New Roman"/>
          <w:b/>
          <w:sz w:val="24"/>
          <w:szCs w:val="24"/>
        </w:rPr>
        <w:t xml:space="preserve">Legal Lesson Learned: “After Care Contracts” and other forms of last chance agreements are enforceable, and procedural due process rights were followed in this case.   </w:t>
      </w:r>
    </w:p>
    <w:p w14:paraId="79D791FF" w14:textId="0B8F9210" w:rsidR="000F0910" w:rsidRPr="00E658E1" w:rsidRDefault="00F326E5" w:rsidP="00E71BA9">
      <w:pPr>
        <w:pStyle w:val="NoSpacing"/>
        <w:ind w:left="720"/>
        <w:rPr>
          <w:rFonts w:ascii="Times New Roman" w:hAnsi="Times New Roman"/>
          <w:sz w:val="24"/>
          <w:szCs w:val="24"/>
        </w:rPr>
      </w:pPr>
      <w:r w:rsidRPr="00E658E1">
        <w:rPr>
          <w:rFonts w:ascii="Times New Roman" w:hAnsi="Times New Roman"/>
          <w:sz w:val="24"/>
          <w:szCs w:val="24"/>
        </w:rPr>
        <w:t>Note:  Consider in such agreements a requirement that the employee enroll in a continuing care program</w:t>
      </w:r>
      <w:bookmarkEnd w:id="431"/>
      <w:bookmarkEnd w:id="432"/>
      <w:r w:rsidR="00E71BA9">
        <w:rPr>
          <w:rFonts w:ascii="Times New Roman" w:hAnsi="Times New Roman"/>
          <w:sz w:val="24"/>
          <w:szCs w:val="24"/>
        </w:rPr>
        <w:t>.</w:t>
      </w:r>
    </w:p>
    <w:p w14:paraId="10F8BFED" w14:textId="77777777" w:rsidR="000F0910" w:rsidRDefault="000F0910" w:rsidP="00F326E5">
      <w:pPr>
        <w:pStyle w:val="NoSpacing"/>
        <w:rPr>
          <w:rFonts w:ascii="Arial Black" w:hAnsi="Arial Black"/>
          <w:sz w:val="40"/>
          <w:szCs w:val="40"/>
        </w:rPr>
      </w:pPr>
    </w:p>
    <w:p w14:paraId="4E25EFB5" w14:textId="2D2AEA7B" w:rsidR="00FA7B26" w:rsidRDefault="00FA7B26">
      <w:pPr>
        <w:spacing w:after="0" w:line="240" w:lineRule="auto"/>
        <w:rPr>
          <w:rFonts w:ascii="Arial Black" w:hAnsi="Arial Black"/>
          <w:sz w:val="40"/>
          <w:szCs w:val="40"/>
        </w:rPr>
      </w:pPr>
      <w:r>
        <w:rPr>
          <w:rFonts w:ascii="Arial Black" w:hAnsi="Arial Black"/>
          <w:sz w:val="40"/>
          <w:szCs w:val="40"/>
        </w:rPr>
        <w:br w:type="page"/>
      </w:r>
    </w:p>
    <w:p w14:paraId="18E891B7" w14:textId="77777777" w:rsidR="00FA7B26" w:rsidRDefault="00FA7B26" w:rsidP="00F326E5">
      <w:pPr>
        <w:pStyle w:val="NoSpacing"/>
        <w:rPr>
          <w:rFonts w:ascii="Arial Black" w:hAnsi="Arial Black"/>
          <w:sz w:val="40"/>
          <w:szCs w:val="40"/>
        </w:rPr>
      </w:pPr>
    </w:p>
    <w:p w14:paraId="6111C988" w14:textId="77777777" w:rsidR="00F55DAF" w:rsidRDefault="00F55DAF" w:rsidP="00F326E5">
      <w:pPr>
        <w:pStyle w:val="NoSpacing"/>
        <w:rPr>
          <w:rFonts w:ascii="Arial Black" w:hAnsi="Arial Black"/>
          <w:sz w:val="40"/>
          <w:szCs w:val="40"/>
        </w:rPr>
      </w:pPr>
    </w:p>
    <w:p w14:paraId="3485BFB7" w14:textId="77777777" w:rsidR="00F55DAF" w:rsidRDefault="00F55DAF" w:rsidP="00F326E5">
      <w:pPr>
        <w:pStyle w:val="NoSpacing"/>
        <w:rPr>
          <w:rFonts w:ascii="Arial Black" w:hAnsi="Arial Black"/>
          <w:sz w:val="40"/>
          <w:szCs w:val="40"/>
        </w:rPr>
      </w:pPr>
    </w:p>
    <w:p w14:paraId="6CFCB04B" w14:textId="77777777" w:rsidR="00F55DAF" w:rsidRDefault="00F55DAF" w:rsidP="00F326E5">
      <w:pPr>
        <w:pStyle w:val="NoSpacing"/>
        <w:rPr>
          <w:rFonts w:ascii="Arial Black" w:hAnsi="Arial Black"/>
          <w:sz w:val="40"/>
          <w:szCs w:val="40"/>
        </w:rPr>
      </w:pPr>
    </w:p>
    <w:p w14:paraId="78BB6FB3" w14:textId="77777777" w:rsidR="00F55DAF" w:rsidRDefault="00F55DAF" w:rsidP="00F326E5">
      <w:pPr>
        <w:pStyle w:val="NoSpacing"/>
        <w:rPr>
          <w:rFonts w:ascii="Arial Black" w:hAnsi="Arial Black"/>
          <w:sz w:val="40"/>
          <w:szCs w:val="40"/>
        </w:rPr>
      </w:pPr>
    </w:p>
    <w:p w14:paraId="60750650" w14:textId="77777777" w:rsidR="00F55DAF" w:rsidRDefault="00F55DAF" w:rsidP="00F326E5">
      <w:pPr>
        <w:pStyle w:val="NoSpacing"/>
        <w:rPr>
          <w:rFonts w:ascii="Arial Black" w:hAnsi="Arial Black"/>
          <w:sz w:val="40"/>
          <w:szCs w:val="40"/>
        </w:rPr>
      </w:pPr>
    </w:p>
    <w:p w14:paraId="3FE3F119" w14:textId="77777777" w:rsidR="00F55DAF" w:rsidRDefault="00F55DAF" w:rsidP="00F326E5">
      <w:pPr>
        <w:pStyle w:val="NoSpacing"/>
        <w:rPr>
          <w:rFonts w:ascii="Arial Black" w:hAnsi="Arial Black"/>
          <w:sz w:val="40"/>
          <w:szCs w:val="40"/>
        </w:rPr>
      </w:pPr>
    </w:p>
    <w:p w14:paraId="2687991C" w14:textId="77777777" w:rsidR="00F55DAF" w:rsidRDefault="00F55DAF" w:rsidP="00F326E5">
      <w:pPr>
        <w:pStyle w:val="NoSpacing"/>
        <w:rPr>
          <w:rFonts w:ascii="Arial Black" w:hAnsi="Arial Black"/>
          <w:sz w:val="40"/>
          <w:szCs w:val="40"/>
        </w:rPr>
      </w:pPr>
    </w:p>
    <w:p w14:paraId="789B827A" w14:textId="77777777" w:rsidR="00F55DAF" w:rsidRDefault="00F55DAF" w:rsidP="00F326E5">
      <w:pPr>
        <w:pStyle w:val="NoSpacing"/>
        <w:rPr>
          <w:rFonts w:ascii="Arial Black" w:hAnsi="Arial Black"/>
          <w:sz w:val="40"/>
          <w:szCs w:val="40"/>
        </w:rPr>
      </w:pPr>
    </w:p>
    <w:p w14:paraId="1A35755D" w14:textId="77777777" w:rsidR="00F55DAF" w:rsidRDefault="00F55DAF" w:rsidP="00F326E5">
      <w:pPr>
        <w:pStyle w:val="NoSpacing"/>
        <w:rPr>
          <w:rFonts w:ascii="Arial Black" w:hAnsi="Arial Black"/>
          <w:sz w:val="40"/>
          <w:szCs w:val="40"/>
        </w:rPr>
      </w:pPr>
    </w:p>
    <w:p w14:paraId="3D7E24F4" w14:textId="77777777" w:rsidR="00F55DAF" w:rsidRDefault="00F55DAF" w:rsidP="00F326E5">
      <w:pPr>
        <w:pStyle w:val="NoSpacing"/>
        <w:rPr>
          <w:rFonts w:ascii="Arial Black" w:hAnsi="Arial Black"/>
          <w:sz w:val="40"/>
          <w:szCs w:val="40"/>
        </w:rPr>
      </w:pPr>
    </w:p>
    <w:p w14:paraId="17A4E84A" w14:textId="77777777" w:rsidR="00F55DAF" w:rsidRDefault="00F55DAF" w:rsidP="00F326E5">
      <w:pPr>
        <w:pStyle w:val="NoSpacing"/>
        <w:rPr>
          <w:rFonts w:ascii="Arial Black" w:hAnsi="Arial Black"/>
          <w:sz w:val="40"/>
          <w:szCs w:val="40"/>
        </w:rPr>
      </w:pPr>
    </w:p>
    <w:p w14:paraId="63E1950E" w14:textId="77777777" w:rsidR="00F55DAF" w:rsidRDefault="00F55DAF" w:rsidP="00F326E5">
      <w:pPr>
        <w:pStyle w:val="NoSpacing"/>
        <w:rPr>
          <w:rFonts w:ascii="Arial Black" w:hAnsi="Arial Black"/>
          <w:sz w:val="40"/>
          <w:szCs w:val="40"/>
        </w:rPr>
      </w:pPr>
    </w:p>
    <w:p w14:paraId="4D80508A" w14:textId="77777777" w:rsidR="00F55DAF" w:rsidRDefault="00F55DAF" w:rsidP="00F326E5">
      <w:pPr>
        <w:pStyle w:val="NoSpacing"/>
        <w:rPr>
          <w:rFonts w:ascii="Arial Black" w:hAnsi="Arial Black"/>
          <w:sz w:val="40"/>
          <w:szCs w:val="40"/>
        </w:rPr>
      </w:pPr>
    </w:p>
    <w:p w14:paraId="36A8EC93" w14:textId="77777777" w:rsidR="00F55DAF" w:rsidRDefault="00F55DAF" w:rsidP="00F326E5">
      <w:pPr>
        <w:pStyle w:val="NoSpacing"/>
        <w:rPr>
          <w:rFonts w:ascii="Arial Black" w:hAnsi="Arial Black"/>
          <w:sz w:val="40"/>
          <w:szCs w:val="40"/>
        </w:rPr>
      </w:pPr>
    </w:p>
    <w:p w14:paraId="5A63D56B" w14:textId="77777777" w:rsidR="00F55DAF" w:rsidRDefault="00F55DAF" w:rsidP="00F326E5">
      <w:pPr>
        <w:pStyle w:val="NoSpacing"/>
        <w:rPr>
          <w:rFonts w:ascii="Arial Black" w:hAnsi="Arial Black"/>
          <w:sz w:val="40"/>
          <w:szCs w:val="40"/>
        </w:rPr>
      </w:pPr>
    </w:p>
    <w:p w14:paraId="5528F68C" w14:textId="77777777" w:rsidR="00F55DAF" w:rsidRDefault="00F55DAF" w:rsidP="00F326E5">
      <w:pPr>
        <w:pStyle w:val="NoSpacing"/>
        <w:rPr>
          <w:rFonts w:ascii="Arial Black" w:hAnsi="Arial Black"/>
          <w:sz w:val="40"/>
          <w:szCs w:val="40"/>
        </w:rPr>
      </w:pPr>
    </w:p>
    <w:p w14:paraId="232EF1FE" w14:textId="77777777" w:rsidR="00F55DAF" w:rsidRDefault="00F55DAF" w:rsidP="00F326E5">
      <w:pPr>
        <w:pStyle w:val="NoSpacing"/>
        <w:rPr>
          <w:rFonts w:ascii="Arial Black" w:hAnsi="Arial Black"/>
          <w:sz w:val="40"/>
          <w:szCs w:val="40"/>
        </w:rPr>
      </w:pPr>
    </w:p>
    <w:p w14:paraId="1D239E1D" w14:textId="77777777" w:rsidR="00F55DAF" w:rsidRDefault="00F55DAF" w:rsidP="00F326E5">
      <w:pPr>
        <w:pStyle w:val="NoSpacing"/>
        <w:rPr>
          <w:rFonts w:ascii="Arial Black" w:hAnsi="Arial Black"/>
          <w:sz w:val="40"/>
          <w:szCs w:val="40"/>
        </w:rPr>
      </w:pPr>
    </w:p>
    <w:p w14:paraId="08195DF4" w14:textId="77777777" w:rsidR="00F55DAF" w:rsidRDefault="00F55DAF" w:rsidP="00F326E5">
      <w:pPr>
        <w:pStyle w:val="NoSpacing"/>
        <w:rPr>
          <w:rFonts w:ascii="Arial Black" w:hAnsi="Arial Black"/>
          <w:sz w:val="40"/>
          <w:szCs w:val="40"/>
        </w:rPr>
      </w:pPr>
    </w:p>
    <w:p w14:paraId="44C48805" w14:textId="77777777" w:rsidR="00F55DAF" w:rsidRDefault="00F55DAF" w:rsidP="00F326E5">
      <w:pPr>
        <w:pStyle w:val="NoSpacing"/>
        <w:rPr>
          <w:rFonts w:ascii="Arial Black" w:hAnsi="Arial Black"/>
          <w:sz w:val="40"/>
          <w:szCs w:val="40"/>
        </w:rPr>
      </w:pPr>
    </w:p>
    <w:p w14:paraId="00C8AFA0" w14:textId="77777777" w:rsidR="00F55DAF" w:rsidRDefault="00F55DAF" w:rsidP="00F326E5">
      <w:pPr>
        <w:pStyle w:val="NoSpacing"/>
        <w:rPr>
          <w:rFonts w:ascii="Arial Black" w:hAnsi="Arial Black"/>
          <w:sz w:val="40"/>
          <w:szCs w:val="40"/>
        </w:rPr>
      </w:pPr>
    </w:p>
    <w:p w14:paraId="3E3744A8" w14:textId="77777777" w:rsidR="00F55DAF" w:rsidRDefault="00F55DAF" w:rsidP="00F326E5">
      <w:pPr>
        <w:pStyle w:val="NoSpacing"/>
        <w:rPr>
          <w:rFonts w:ascii="Arial Black" w:hAnsi="Arial Black"/>
          <w:sz w:val="40"/>
          <w:szCs w:val="40"/>
        </w:rPr>
      </w:pPr>
    </w:p>
    <w:p w14:paraId="7FE0DA20" w14:textId="77777777" w:rsidR="00F55DAF" w:rsidRDefault="00F55DAF" w:rsidP="00F326E5">
      <w:pPr>
        <w:pStyle w:val="NoSpacing"/>
        <w:rPr>
          <w:rFonts w:ascii="Arial Black" w:hAnsi="Arial Black"/>
          <w:sz w:val="40"/>
          <w:szCs w:val="40"/>
        </w:rPr>
      </w:pPr>
    </w:p>
    <w:p w14:paraId="50B99505" w14:textId="6951BD87" w:rsidR="00F326E5" w:rsidRDefault="00F326E5" w:rsidP="00F326E5">
      <w:pPr>
        <w:pStyle w:val="NoSpacing"/>
        <w:rPr>
          <w:rFonts w:ascii="Arial Black" w:hAnsi="Arial Black"/>
          <w:sz w:val="40"/>
          <w:szCs w:val="40"/>
        </w:rPr>
      </w:pPr>
      <w:r w:rsidRPr="007732FA">
        <w:rPr>
          <w:rFonts w:ascii="Arial Black" w:hAnsi="Arial Black"/>
          <w:sz w:val="40"/>
          <w:szCs w:val="40"/>
        </w:rPr>
        <w:lastRenderedPageBreak/>
        <w:t>Chap. 13</w:t>
      </w:r>
      <w:r w:rsidRPr="007732FA">
        <w:rPr>
          <w:rFonts w:ascii="Arial Black" w:hAnsi="Arial Black"/>
          <w:sz w:val="40"/>
          <w:szCs w:val="40"/>
        </w:rPr>
        <w:tab/>
        <w:t>EMS</w:t>
      </w:r>
      <w:r w:rsidR="003F660F">
        <w:rPr>
          <w:rFonts w:ascii="Arial Black" w:hAnsi="Arial Black"/>
          <w:sz w:val="40"/>
          <w:szCs w:val="40"/>
        </w:rPr>
        <w:t xml:space="preserve">, including </w:t>
      </w:r>
      <w:r w:rsidR="00636395">
        <w:rPr>
          <w:rFonts w:ascii="Arial Black" w:hAnsi="Arial Black"/>
          <w:sz w:val="40"/>
          <w:szCs w:val="40"/>
        </w:rPr>
        <w:t>Community Paramedicine</w:t>
      </w:r>
      <w:r w:rsidR="003F660F">
        <w:rPr>
          <w:rFonts w:ascii="Arial Black" w:hAnsi="Arial Black"/>
          <w:sz w:val="40"/>
          <w:szCs w:val="40"/>
        </w:rPr>
        <w:t>, Corona Virus</w:t>
      </w:r>
      <w:r w:rsidRPr="007732FA">
        <w:rPr>
          <w:rFonts w:ascii="Arial Black" w:hAnsi="Arial Black"/>
          <w:sz w:val="40"/>
          <w:szCs w:val="40"/>
        </w:rPr>
        <w:tab/>
      </w:r>
    </w:p>
    <w:p w14:paraId="4145B648" w14:textId="77777777" w:rsidR="00AC1F80" w:rsidRDefault="00AC1F80" w:rsidP="002B1283">
      <w:pPr>
        <w:rPr>
          <w:rFonts w:ascii="Arial Black" w:hAnsi="Arial Black"/>
          <w:b/>
          <w:bCs/>
          <w:sz w:val="28"/>
          <w:szCs w:val="28"/>
        </w:rPr>
      </w:pPr>
      <w:bookmarkStart w:id="433" w:name="_Hlk7346153"/>
    </w:p>
    <w:p w14:paraId="7D41EBB3" w14:textId="1582985A" w:rsidR="00A971EA" w:rsidRDefault="00A971EA" w:rsidP="002B1283">
      <w:pPr>
        <w:rPr>
          <w:rFonts w:ascii="Arial Black" w:hAnsi="Arial Black"/>
          <w:b/>
          <w:bCs/>
          <w:sz w:val="28"/>
          <w:szCs w:val="28"/>
        </w:rPr>
      </w:pPr>
      <w:r>
        <w:rPr>
          <w:rFonts w:ascii="Arial Black" w:hAnsi="Arial Black"/>
          <w:b/>
          <w:bCs/>
          <w:sz w:val="28"/>
          <w:szCs w:val="28"/>
        </w:rPr>
        <w:t>13-274</w:t>
      </w:r>
    </w:p>
    <w:p w14:paraId="0C96EF7A" w14:textId="77777777" w:rsidR="00C37020" w:rsidRDefault="00C37020" w:rsidP="00752531">
      <w:pPr>
        <w:pStyle w:val="NoSpacing"/>
        <w:rPr>
          <w:rFonts w:ascii="Arial Black" w:hAnsi="Arial Black"/>
          <w:sz w:val="24"/>
          <w:szCs w:val="24"/>
        </w:rPr>
      </w:pPr>
    </w:p>
    <w:p w14:paraId="28E03A2A" w14:textId="77777777" w:rsidR="002D139D" w:rsidRPr="005212AF" w:rsidRDefault="002D139D" w:rsidP="002D139D">
      <w:pPr>
        <w:pStyle w:val="NoSpacing"/>
        <w:rPr>
          <w:rFonts w:ascii="Arial Black" w:hAnsi="Arial Black"/>
          <w:sz w:val="28"/>
          <w:szCs w:val="28"/>
        </w:rPr>
      </w:pPr>
      <w:r>
        <w:rPr>
          <w:rFonts w:ascii="Arial Black" w:hAnsi="Arial Black"/>
          <w:sz w:val="28"/>
          <w:szCs w:val="28"/>
        </w:rPr>
        <w:t xml:space="preserve">WA: COVID – 26 SEATTLE FF – GOT </w:t>
      </w:r>
      <w:r w:rsidRPr="00D73FE2">
        <w:rPr>
          <w:rFonts w:ascii="Arial Black" w:hAnsi="Arial Black"/>
          <w:i/>
          <w:iCs/>
          <w:sz w:val="28"/>
          <w:szCs w:val="28"/>
        </w:rPr>
        <w:t xml:space="preserve">LOUDERMILL </w:t>
      </w:r>
      <w:r>
        <w:rPr>
          <w:rFonts w:ascii="Arial Black" w:hAnsi="Arial Black"/>
          <w:sz w:val="28"/>
          <w:szCs w:val="28"/>
        </w:rPr>
        <w:t xml:space="preserve">HEARINGS </w:t>
      </w:r>
    </w:p>
    <w:p w14:paraId="3D2422CB" w14:textId="77777777" w:rsidR="002D139D" w:rsidRDefault="002D139D" w:rsidP="002D139D">
      <w:pPr>
        <w:pStyle w:val="NoSpacing"/>
      </w:pPr>
    </w:p>
    <w:p w14:paraId="2E578ECD" w14:textId="77777777" w:rsidR="002D139D" w:rsidRDefault="002D139D" w:rsidP="002D139D">
      <w:pPr>
        <w:pStyle w:val="NoSpacing"/>
      </w:pPr>
      <w:r>
        <w:t xml:space="preserve">On July 24, 2026, in </w:t>
      </w:r>
      <w:r w:rsidRPr="00F341B4">
        <w:rPr>
          <w:u w:val="single"/>
        </w:rPr>
        <w:t>Jeffrey Vale, et al. v. City of Seattle</w:t>
      </w:r>
      <w:r>
        <w:t xml:space="preserve">, U.S. Magistrate Judge Theresa L. Fricke denied the former firefighters’ motion for summary judgment claiming city violated their Free Exercise Clause claim of religious </w:t>
      </w:r>
      <w:proofErr w:type="gramStart"/>
      <w:r>
        <w:t>discrimination, and</w:t>
      </w:r>
      <w:proofErr w:type="gramEnd"/>
      <w:r>
        <w:t xml:space="preserve"> also granted the City’s motion for summary judgment on providing due process prior to termination. The firefighters each received pre-termination </w:t>
      </w:r>
      <w:r w:rsidRPr="007B2004">
        <w:rPr>
          <w:i/>
          <w:iCs/>
        </w:rPr>
        <w:t xml:space="preserve">Loudermill </w:t>
      </w:r>
      <w:r>
        <w:t>hearing; and 9</w:t>
      </w:r>
      <w:r w:rsidRPr="0065019E">
        <w:rPr>
          <w:vertAlign w:val="superscript"/>
        </w:rPr>
        <w:t>th</w:t>
      </w:r>
      <w:r>
        <w:t xml:space="preserve"> Circuit later held in another case that </w:t>
      </w:r>
      <w:r w:rsidRPr="00B6146C">
        <w:rPr>
          <w:i/>
          <w:iCs/>
        </w:rPr>
        <w:t xml:space="preserve">Loudermill </w:t>
      </w:r>
      <w:r>
        <w:t xml:space="preserve">hearings were not required in Covid cases where firefighters receive notice of need to vaccinate). decision </w:t>
      </w:r>
      <w:proofErr w:type="gramStart"/>
      <w:r>
        <w:t>are</w:t>
      </w:r>
      <w:proofErr w:type="gramEnd"/>
      <w:r>
        <w:t xml:space="preserve"> not required).</w:t>
      </w:r>
      <w:r w:rsidRPr="00F40CB1">
        <w:t xml:space="preserve"> </w:t>
      </w:r>
      <w:hyperlink r:id="rId1996" w:history="1">
        <w:r w:rsidRPr="009C317C">
          <w:rPr>
            <w:rStyle w:val="Hyperlink"/>
          </w:rPr>
          <w:t>https://cases.justia.com/federal/district-courts/washington/wawdce/2:2023cv01095/324497/258/0.pdf?ts=1785113252</w:t>
        </w:r>
      </w:hyperlink>
      <w:r>
        <w:t xml:space="preserve"> </w:t>
      </w:r>
    </w:p>
    <w:p w14:paraId="700E2C21" w14:textId="77777777" w:rsidR="002D139D" w:rsidRDefault="002D139D" w:rsidP="002D139D">
      <w:pPr>
        <w:pStyle w:val="NoSpacing"/>
      </w:pPr>
    </w:p>
    <w:p w14:paraId="6ABFF023" w14:textId="77777777" w:rsidR="002D139D" w:rsidRPr="007B2004" w:rsidRDefault="002D139D" w:rsidP="002D139D">
      <w:pPr>
        <w:pStyle w:val="NoSpacing"/>
      </w:pPr>
      <w:r>
        <w:t xml:space="preserve">THE COURT WROTE: </w:t>
      </w:r>
    </w:p>
    <w:p w14:paraId="606C5C2F" w14:textId="77777777" w:rsidR="002D139D" w:rsidRDefault="002D139D" w:rsidP="002D139D">
      <w:pPr>
        <w:pStyle w:val="NoSpacing"/>
      </w:pPr>
    </w:p>
    <w:p w14:paraId="38195F60" w14:textId="77777777" w:rsidR="002D139D" w:rsidRDefault="002D139D" w:rsidP="002D139D">
      <w:pPr>
        <w:pStyle w:val="NoSpacing"/>
      </w:pPr>
      <w:r>
        <w:t>“This matter concerns thirty Plaintiffs challenge their separation from the SFD due to their non-compliance with the COVID-19 vaccination mandate of defendant City of Seattle (hereinafter the ‘City’). On August 9, 2021, Mayor Jenny Durkan issued Mayoral Directive No. 9, which</w:t>
      </w:r>
    </w:p>
    <w:p w14:paraId="406CB9B8" w14:textId="77777777" w:rsidR="002D139D" w:rsidRDefault="002D139D" w:rsidP="002D139D">
      <w:pPr>
        <w:pStyle w:val="NoSpacing"/>
      </w:pPr>
      <w:r>
        <w:t>required City employees to be vaccinated against COVID-19 by October 18, 2021….The directive allowed employees to seek medical or religious exemptions from the vaccination mandate…. For [the 26] employees who were granted exemptions, the City later issued final</w:t>
      </w:r>
    </w:p>
    <w:p w14:paraId="261DAB80" w14:textId="77777777" w:rsidR="002D139D" w:rsidRDefault="002D139D" w:rsidP="002D139D">
      <w:pPr>
        <w:pStyle w:val="NoSpacing"/>
      </w:pPr>
      <w:r>
        <w:t xml:space="preserve">determination letters stating that it was unable to identify any reasonable accommodation that would allow the employees to perform the essential functions of their positions while unvaccinated…. The </w:t>
      </w:r>
      <w:proofErr w:type="gramStart"/>
      <w:r>
        <w:t>City</w:t>
      </w:r>
      <w:proofErr w:type="gramEnd"/>
      <w:r>
        <w:t xml:space="preserve"> states employees who remained unvaccinated and were recommended</w:t>
      </w:r>
    </w:p>
    <w:p w14:paraId="5B49174E" w14:textId="77777777" w:rsidR="002D139D" w:rsidRDefault="002D139D" w:rsidP="002D139D">
      <w:pPr>
        <w:pStyle w:val="NoSpacing"/>
      </w:pPr>
      <w:r>
        <w:t xml:space="preserve">for separation were provided an opportunity to participate in </w:t>
      </w:r>
      <w:r w:rsidRPr="00D80CE1">
        <w:rPr>
          <w:i/>
          <w:iCs/>
        </w:rPr>
        <w:t>Loudermill</w:t>
      </w:r>
      <w:r>
        <w:t xml:space="preserve"> hearings before</w:t>
      </w:r>
    </w:p>
    <w:p w14:paraId="1E0FE1F5" w14:textId="77777777" w:rsidR="002D139D" w:rsidRDefault="002D139D" w:rsidP="002D139D">
      <w:pPr>
        <w:pStyle w:val="NoSpacing"/>
      </w:pPr>
      <w:r>
        <w:t>separation from employment.</w:t>
      </w:r>
    </w:p>
    <w:p w14:paraId="625C2694" w14:textId="77777777" w:rsidR="002D139D" w:rsidRDefault="002D139D" w:rsidP="002D139D">
      <w:pPr>
        <w:pStyle w:val="NoSpacing"/>
      </w:pPr>
    </w:p>
    <w:p w14:paraId="0440ECE9" w14:textId="77777777" w:rsidR="002D139D" w:rsidRDefault="002D139D" w:rsidP="002D139D">
      <w:pPr>
        <w:pStyle w:val="NoSpacing"/>
      </w:pPr>
      <w:r>
        <w:t>***</w:t>
      </w:r>
    </w:p>
    <w:p w14:paraId="49CD64C3" w14:textId="77777777" w:rsidR="002D139D" w:rsidRDefault="002D139D" w:rsidP="002D139D">
      <w:pPr>
        <w:pStyle w:val="NoSpacing"/>
      </w:pPr>
    </w:p>
    <w:p w14:paraId="679F5691" w14:textId="77777777" w:rsidR="002D139D" w:rsidRDefault="002D139D" w:rsidP="002D139D">
      <w:pPr>
        <w:pStyle w:val="NoSpacing"/>
      </w:pPr>
      <w:r>
        <w:t xml:space="preserve">[FREE EXERCISE CLAIM] Plaintiffs assert that evidence concerning non-City firefighters and emergency personnel (such as those from Boeing, South Snohomish County, Central Pierce, and South Pierce) shows the </w:t>
      </w:r>
      <w:proofErr w:type="gramStart"/>
      <w:r>
        <w:t>City</w:t>
      </w:r>
      <w:proofErr w:type="gramEnd"/>
      <w:r>
        <w:t xml:space="preserve"> applied its mandate in an underinclusive manner…. </w:t>
      </w:r>
      <w:proofErr w:type="gramStart"/>
      <w:r>
        <w:t>But,</w:t>
      </w:r>
      <w:proofErr w:type="gramEnd"/>
      <w:r>
        <w:t xml:space="preserve"> defendants assert that from October 2021 to February 2023, the </w:t>
      </w:r>
      <w:proofErr w:type="gramStart"/>
      <w:r>
        <w:t>City</w:t>
      </w:r>
      <w:proofErr w:type="gramEnd"/>
      <w:r>
        <w:t xml:space="preserve"> did not use automatic-aid responses or agreements to supplement or replace its unvaccinated employees from neighboring cities…. Defendants also point to the City’s contractor mandate and attestation requirements for covered onsite or in-person City work…. Plaintiffs also rely on public events and gatherings, including SFD Neighbor Day events, station tours, a King County Fire Chiefs Association event, and a summer</w:t>
      </w:r>
    </w:p>
    <w:p w14:paraId="66C8EEB0" w14:textId="77777777" w:rsidR="002D139D" w:rsidRDefault="002D139D" w:rsidP="002D139D">
      <w:pPr>
        <w:pStyle w:val="NoSpacing"/>
      </w:pPr>
      <w:r>
        <w:t>potluck…. Plaintiffs argue these events exposed SFD personnel to unvaccinated members of the public while religious- objector employees were denied accommodations….Viewing the record in the light most favorable to defendants, a reasonable factfinder could conclude that transient public contact at events is not comparable to unvaccinated firefighters working regular shifts, sharing station living spaces, using City vehicles, responding to emergency calls, and providing patient care.</w:t>
      </w:r>
    </w:p>
    <w:p w14:paraId="4579B300" w14:textId="77777777" w:rsidR="002D139D" w:rsidRDefault="002D139D" w:rsidP="002D139D">
      <w:pPr>
        <w:pStyle w:val="NoSpacing"/>
      </w:pPr>
    </w:p>
    <w:p w14:paraId="68D4D167" w14:textId="77777777" w:rsidR="002D139D" w:rsidRDefault="002D139D" w:rsidP="002D139D">
      <w:pPr>
        <w:pStyle w:val="NoSpacing"/>
      </w:pPr>
      <w:r>
        <w:t>[DUE PROCESS CLAIM] The Court thus finds defendants are entitled to judgment as a matter of law on</w:t>
      </w:r>
    </w:p>
    <w:p w14:paraId="4772446B" w14:textId="77777777" w:rsidR="002D139D" w:rsidRDefault="002D139D" w:rsidP="002D139D">
      <w:pPr>
        <w:pStyle w:val="NoSpacing"/>
      </w:pPr>
      <w:r>
        <w:t xml:space="preserve">plaintiffs’ due process </w:t>
      </w:r>
      <w:proofErr w:type="gramStart"/>
      <w:r>
        <w:t>claim</w:t>
      </w:r>
      <w:proofErr w:type="gramEnd"/>
      <w:r>
        <w:t xml:space="preserve"> under the above-described authorities. On the same day however, the Ninth Circuit issued its decision in Bacon v. Woodward, No. 22-35611, 2024 WL 3041850 (9th Cir. Jun. 18, 2024) (hereinafter “Bacon II”). The </w:t>
      </w:r>
      <w:r>
        <w:lastRenderedPageBreak/>
        <w:t>matter addressed Washington’s Proclamation that “required firefighters in Washington State to be fully vaccinated against COVID-19.” Id. at *1. The Bacon II Court affirmed the dismissal of the firefighters’ due process claim. Id. at *1-*2. The Court rejected the firefighters’ reliance on Loudermill to assert “</w:t>
      </w:r>
      <w:proofErr w:type="gramStart"/>
      <w:r>
        <w:t>their</w:t>
      </w:r>
      <w:proofErr w:type="gramEnd"/>
    </w:p>
    <w:p w14:paraId="05B79B36" w14:textId="77777777" w:rsidR="002D139D" w:rsidRDefault="002D139D" w:rsidP="002D139D">
      <w:pPr>
        <w:pStyle w:val="NoSpacing"/>
      </w:pPr>
      <w:r>
        <w:t>due process rights were violated when they were denied religious and medical accommodations after what they considered to be sham hearings.” Id. at *1-*2”</w:t>
      </w:r>
    </w:p>
    <w:p w14:paraId="6FCA0E07" w14:textId="77777777" w:rsidR="002D139D" w:rsidRDefault="002D139D" w:rsidP="002D139D">
      <w:pPr>
        <w:pStyle w:val="NoSpacing"/>
      </w:pPr>
    </w:p>
    <w:p w14:paraId="35891137" w14:textId="77777777" w:rsidR="002D139D" w:rsidRPr="00121C86" w:rsidRDefault="002D139D" w:rsidP="002D139D">
      <w:pPr>
        <w:pStyle w:val="NoSpacing"/>
        <w:rPr>
          <w:b/>
          <w:bCs/>
        </w:rPr>
      </w:pPr>
      <w:r>
        <w:rPr>
          <w:b/>
        </w:rPr>
        <w:t xml:space="preserve">Legal lesson learned: FD followed due process procedures prior to termination. </w:t>
      </w:r>
    </w:p>
    <w:p w14:paraId="66662965" w14:textId="77777777" w:rsidR="002D139D" w:rsidRDefault="002D139D" w:rsidP="002D139D">
      <w:pPr>
        <w:pStyle w:val="NoSpacing"/>
      </w:pPr>
    </w:p>
    <w:p w14:paraId="784EED4B" w14:textId="77777777" w:rsidR="002D139D" w:rsidRDefault="002D139D" w:rsidP="002D139D">
      <w:pPr>
        <w:pStyle w:val="NoSpacing"/>
        <w:rPr>
          <w:b/>
          <w:sz w:val="20"/>
          <w:szCs w:val="20"/>
        </w:rPr>
      </w:pPr>
    </w:p>
    <w:p w14:paraId="06F23BC7" w14:textId="77777777" w:rsidR="002D139D" w:rsidRDefault="002D139D" w:rsidP="002D139D">
      <w:pPr>
        <w:pStyle w:val="NoSpacing"/>
        <w:rPr>
          <w:b/>
          <w:sz w:val="20"/>
          <w:szCs w:val="20"/>
        </w:rPr>
      </w:pPr>
    </w:p>
    <w:p w14:paraId="15EBF991" w14:textId="673D18B2" w:rsidR="002D139D" w:rsidRPr="00A971EA" w:rsidRDefault="00A971EA" w:rsidP="002D139D">
      <w:pPr>
        <w:pStyle w:val="NoSpacing"/>
        <w:rPr>
          <w:rFonts w:ascii="Arial Black" w:hAnsi="Arial Black"/>
          <w:b/>
          <w:sz w:val="24"/>
          <w:szCs w:val="24"/>
        </w:rPr>
      </w:pPr>
      <w:r w:rsidRPr="00A971EA">
        <w:rPr>
          <w:rFonts w:ascii="Arial Black" w:hAnsi="Arial Black"/>
          <w:b/>
          <w:sz w:val="24"/>
          <w:szCs w:val="24"/>
        </w:rPr>
        <w:t>13-273</w:t>
      </w:r>
    </w:p>
    <w:p w14:paraId="18D1F2F7" w14:textId="77777777" w:rsidR="002D139D" w:rsidRDefault="002D139D" w:rsidP="002D139D">
      <w:pPr>
        <w:pStyle w:val="NoSpacing"/>
        <w:rPr>
          <w:b/>
        </w:rPr>
      </w:pPr>
    </w:p>
    <w:p w14:paraId="4962A58D" w14:textId="77777777" w:rsidR="002D139D" w:rsidRDefault="002D139D" w:rsidP="002D139D">
      <w:pPr>
        <w:pStyle w:val="NoSpacing"/>
        <w:rPr>
          <w:rFonts w:ascii="Arial Black" w:hAnsi="Arial Black"/>
          <w:b/>
          <w:sz w:val="28"/>
          <w:szCs w:val="28"/>
        </w:rPr>
      </w:pPr>
      <w:r>
        <w:rPr>
          <w:rFonts w:ascii="Arial Black" w:hAnsi="Arial Black"/>
          <w:b/>
          <w:sz w:val="28"/>
          <w:szCs w:val="28"/>
        </w:rPr>
        <w:t>OR: DEF. CONV. INTERFERING EMS - NO CIVIL COMPROMISE</w:t>
      </w:r>
    </w:p>
    <w:p w14:paraId="6875F86C" w14:textId="77777777" w:rsidR="002D139D" w:rsidRDefault="002D139D" w:rsidP="002D139D">
      <w:pPr>
        <w:pStyle w:val="NoSpacing"/>
        <w:rPr>
          <w:rFonts w:ascii="Arial Black" w:hAnsi="Arial Black"/>
          <w:b/>
          <w:sz w:val="28"/>
          <w:szCs w:val="28"/>
        </w:rPr>
      </w:pPr>
    </w:p>
    <w:p w14:paraId="10C83E26" w14:textId="77777777" w:rsidR="002D139D" w:rsidRPr="00DA6AC7" w:rsidRDefault="002D139D" w:rsidP="002D139D">
      <w:pPr>
        <w:pStyle w:val="NoSpacing"/>
        <w:rPr>
          <w:bCs/>
        </w:rPr>
      </w:pPr>
      <w:r w:rsidRPr="00F32109">
        <w:t xml:space="preserve">On July 22, 2026, in </w:t>
      </w:r>
      <w:r w:rsidRPr="00F32109">
        <w:rPr>
          <w:u w:val="single"/>
        </w:rPr>
        <w:t>State of Oregon v. Roberto Hernandez</w:t>
      </w:r>
      <w:r w:rsidRPr="00F32109">
        <w:t xml:space="preserve">, </w:t>
      </w:r>
      <w:r>
        <w:t xml:space="preserve">the </w:t>
      </w:r>
      <w:r w:rsidRPr="008B3DCE">
        <w:t>Court of Appeals of Oregon</w:t>
      </w:r>
      <w:r>
        <w:t xml:space="preserve"> held (3 to 0) that trial court properly found defendant guilty and refused to drop the misdemeanor charges, since the offense of </w:t>
      </w:r>
      <w:r w:rsidRPr="00E46D74">
        <w:t>interfering with emergency medical service (EMS)</w:t>
      </w:r>
      <w:r>
        <w:t xml:space="preserve">, </w:t>
      </w:r>
      <w:r w:rsidRPr="00E46D74">
        <w:t>ORS 162.257</w:t>
      </w:r>
      <w:r>
        <w:t>, is an offense against the public at large. Under Oregon’s  “civilly compromise” statute a misdemeanor can be privately resolved if the injured party has a civil cause of action for the injury, and “</w:t>
      </w:r>
      <w:r w:rsidRPr="00DA6AC7">
        <w:t>the</w:t>
      </w:r>
      <w:r>
        <w:t xml:space="preserve"> </w:t>
      </w:r>
      <w:r w:rsidRPr="00DA6AC7">
        <w:t>injured party acknowledges in writing before trial that they</w:t>
      </w:r>
      <w:r>
        <w:t xml:space="preserve"> </w:t>
      </w:r>
      <w:r w:rsidRPr="00DA6AC7">
        <w:t>have received satisfaction for their injury, and (4) the defendant pays the cost of any incurred expenses.</w:t>
      </w:r>
      <w:r>
        <w:t xml:space="preserve">”  The EMT had signed that he had received satisfaction. </w:t>
      </w:r>
      <w:hyperlink r:id="rId1997" w:history="1">
        <w:r w:rsidRPr="005B5770">
          <w:rPr>
            <w:rStyle w:val="Hyperlink"/>
          </w:rPr>
          <w:t>https://cases.justia.com/oregon/court-of-appeals/2026-a185059.pdf?ts=1784734294</w:t>
        </w:r>
      </w:hyperlink>
      <w:r>
        <w:t xml:space="preserve"> </w:t>
      </w:r>
    </w:p>
    <w:p w14:paraId="6D04F565" w14:textId="77777777" w:rsidR="002D139D" w:rsidRDefault="002D139D" w:rsidP="002D139D">
      <w:pPr>
        <w:pStyle w:val="NoSpacing"/>
        <w:rPr>
          <w:bCs/>
        </w:rPr>
      </w:pPr>
    </w:p>
    <w:p w14:paraId="7247095E" w14:textId="77777777" w:rsidR="002D139D" w:rsidRDefault="002D139D" w:rsidP="002D139D">
      <w:pPr>
        <w:pStyle w:val="NoSpacing"/>
      </w:pPr>
      <w:r>
        <w:t xml:space="preserve">THE COURT WROTE: </w:t>
      </w:r>
    </w:p>
    <w:p w14:paraId="2A3F47B9" w14:textId="77777777" w:rsidR="002D139D" w:rsidRDefault="002D139D" w:rsidP="002D139D">
      <w:pPr>
        <w:pStyle w:val="NoSpacing"/>
      </w:pPr>
    </w:p>
    <w:p w14:paraId="58AF3F53" w14:textId="77777777" w:rsidR="002D139D" w:rsidRDefault="002D139D" w:rsidP="002D139D">
      <w:pPr>
        <w:pStyle w:val="NoSpacing"/>
      </w:pPr>
      <w:r>
        <w:t>“</w:t>
      </w:r>
      <w:r w:rsidRPr="00D26819">
        <w:t>Defendant was charged with interfering with EMS</w:t>
      </w:r>
      <w:r>
        <w:t xml:space="preserve"> </w:t>
      </w:r>
      <w:r w:rsidRPr="00D26819">
        <w:t>providers after he prevented EMS from rendering aid to an</w:t>
      </w:r>
      <w:r>
        <w:t xml:space="preserve"> </w:t>
      </w:r>
      <w:r w:rsidRPr="00D26819">
        <w:t>injured woman following a vehicular accident.</w:t>
      </w:r>
      <w:r>
        <w:t xml:space="preserve"> </w:t>
      </w:r>
      <w:r w:rsidRPr="00D26819">
        <w:t>The woman</w:t>
      </w:r>
      <w:r>
        <w:t xml:space="preserve"> </w:t>
      </w:r>
      <w:r w:rsidRPr="00D26819">
        <w:t>had been driving, and defendant was a passenger. At the</w:t>
      </w:r>
      <w:r>
        <w:t xml:space="preserve"> </w:t>
      </w:r>
      <w:r w:rsidRPr="00D26819">
        <w:t xml:space="preserve">crash site, defendant lay on top of the woman and </w:t>
      </w:r>
    </w:p>
    <w:p w14:paraId="561D390E" w14:textId="77777777" w:rsidR="002D139D" w:rsidRPr="00D26819" w:rsidRDefault="002D139D" w:rsidP="002D139D">
      <w:pPr>
        <w:pStyle w:val="NoSpacing"/>
      </w:pPr>
      <w:r w:rsidRPr="00D26819">
        <w:t>continuously screamed that she needed help.</w:t>
      </w:r>
      <w:r>
        <w:t xml:space="preserve">  </w:t>
      </w:r>
      <w:r w:rsidRPr="00D26819">
        <w:t>However, when EMS</w:t>
      </w:r>
      <w:r>
        <w:t xml:space="preserve"> </w:t>
      </w:r>
      <w:r w:rsidRPr="00D26819">
        <w:t>providers tried to render her aid, defendant refused to move</w:t>
      </w:r>
      <w:r>
        <w:t xml:space="preserve"> </w:t>
      </w:r>
      <w:r w:rsidRPr="00D26819">
        <w:t>and punched an EMS provider once in the chest—though no</w:t>
      </w:r>
    </w:p>
    <w:p w14:paraId="3A22A920" w14:textId="77777777" w:rsidR="002D139D" w:rsidRDefault="002D139D" w:rsidP="002D139D">
      <w:pPr>
        <w:pStyle w:val="NoSpacing"/>
      </w:pPr>
      <w:proofErr w:type="gramStart"/>
      <w:r w:rsidRPr="00D26819">
        <w:t>injury</w:t>
      </w:r>
      <w:proofErr w:type="gramEnd"/>
      <w:r w:rsidRPr="00D26819">
        <w:t xml:space="preserve"> resulted. Defendant was subsequently detained.</w:t>
      </w:r>
      <w:r>
        <w:t xml:space="preserve"> [Footnote 2: Prior to the accident, defendant and the woman had been drinking. When EMS providers arrived, the woman was lying on the ground profusely bleeding and screaming for help. She was later transported to the hospital. Her injuries required four surgeries and being airlifted to an intensive care unit.] </w:t>
      </w:r>
    </w:p>
    <w:p w14:paraId="5EBEFEB3" w14:textId="77777777" w:rsidR="002D139D" w:rsidRDefault="002D139D" w:rsidP="002D139D">
      <w:pPr>
        <w:pStyle w:val="NoSpacing"/>
      </w:pPr>
      <w:r>
        <w:t xml:space="preserve">Before trial, defendant wrote the EMS provider an apology, and the EMS provider acknowledged in writing that he had received satisfaction for his injuries and agreed to a civil compromise. Defendant moved to dismiss the charge pursuant to that civil compromise, but the trial court denied the motion, reasoning that civil compromise requires that the injured party have a civil cause of action against the defendant for the conduct prohibited by the criminal statute and that no such civil cause of action existed for the conduct prohibited by the offense of interfering with EMS providers. Defendant was convicted at trial.  [Footnote 1: Defendant was also charged with second-degree disorderly conduct, ORS 166.025, but was acquitted of that charge at trial.] </w:t>
      </w:r>
    </w:p>
    <w:p w14:paraId="603DFD34" w14:textId="77777777" w:rsidR="002D139D" w:rsidRDefault="002D139D" w:rsidP="002D139D">
      <w:pPr>
        <w:pStyle w:val="NoSpacing"/>
      </w:pPr>
    </w:p>
    <w:p w14:paraId="4527AE79" w14:textId="77777777" w:rsidR="002D139D" w:rsidRDefault="002D139D" w:rsidP="002D139D">
      <w:pPr>
        <w:pStyle w:val="NoSpacing"/>
      </w:pPr>
      <w:r>
        <w:t>***</w:t>
      </w:r>
    </w:p>
    <w:p w14:paraId="1E5D3818" w14:textId="77777777" w:rsidR="002D139D" w:rsidRDefault="002D139D" w:rsidP="002D139D">
      <w:pPr>
        <w:pStyle w:val="NoSpacing"/>
      </w:pPr>
    </w:p>
    <w:p w14:paraId="793DA5EA" w14:textId="77777777" w:rsidR="002D139D" w:rsidRDefault="002D139D" w:rsidP="002D139D">
      <w:pPr>
        <w:pStyle w:val="NoSpacing"/>
      </w:pPr>
      <w:r>
        <w:t>On appeal, defendant argues that the trial court erred by denying his motion to dismiss pursuant to a civil compromise. Defendant argues that the EMS provider had a civilly actionable battery claim, and therefore, the acknowledgement of satisfaction of injury between defendant and</w:t>
      </w:r>
    </w:p>
    <w:p w14:paraId="4D1300DC" w14:textId="77777777" w:rsidR="002D139D" w:rsidRDefault="002D139D" w:rsidP="002D139D">
      <w:pPr>
        <w:pStyle w:val="NoSpacing"/>
      </w:pPr>
      <w:proofErr w:type="gramStart"/>
      <w:r>
        <w:t>the</w:t>
      </w:r>
      <w:proofErr w:type="gramEnd"/>
      <w:r>
        <w:t xml:space="preserve"> EMS provider satisfied the statutory requirements for a civil compromise. In response, the state argues that the public at large, not the EMS provider, is the “injured person,” and therefore, an individual EMS provider does not have a civil cause of action for the criminal conduct </w:t>
      </w:r>
    </w:p>
    <w:p w14:paraId="6D14E5B0" w14:textId="77777777" w:rsidR="002D139D" w:rsidRDefault="002D139D" w:rsidP="002D139D">
      <w:pPr>
        <w:pStyle w:val="NoSpacing"/>
      </w:pPr>
      <w:r>
        <w:t>prohibited by the offense of interfering with EMS providers. We agree with the state that the public is the ‘injured person’ under ORS 162.257 and, thus, affirm…. ORS 162.257 is an offense that primarily injures the public at large and, therefore, cannot be civilly compromised. The trial court did not err in denying defendant’s motion.</w:t>
      </w:r>
    </w:p>
    <w:p w14:paraId="55BC951C" w14:textId="77777777" w:rsidR="002D139D" w:rsidRDefault="002D139D" w:rsidP="002D139D">
      <w:pPr>
        <w:pStyle w:val="NoSpacing"/>
      </w:pPr>
    </w:p>
    <w:p w14:paraId="3EB13CE5" w14:textId="77777777" w:rsidR="002D139D" w:rsidRPr="00FF74A3" w:rsidRDefault="002D139D" w:rsidP="002D139D">
      <w:pPr>
        <w:pStyle w:val="NoSpacing"/>
        <w:rPr>
          <w:b/>
          <w:bCs/>
        </w:rPr>
      </w:pPr>
      <w:r>
        <w:rPr>
          <w:b/>
        </w:rPr>
        <w:t xml:space="preserve">Legal lesson learned: Interfering with EMS is not subject to civil compromise between the EMS and the offender. </w:t>
      </w:r>
    </w:p>
    <w:p w14:paraId="307A0259" w14:textId="77777777" w:rsidR="002D139D" w:rsidRDefault="002D139D" w:rsidP="002D139D">
      <w:pPr>
        <w:pStyle w:val="NoSpacing"/>
        <w:rPr>
          <w:b/>
          <w:sz w:val="20"/>
          <w:szCs w:val="20"/>
        </w:rPr>
      </w:pPr>
    </w:p>
    <w:p w14:paraId="53B8CC0D" w14:textId="77777777" w:rsidR="002D139D" w:rsidRDefault="002D139D" w:rsidP="002D139D">
      <w:pPr>
        <w:pStyle w:val="NoSpacing"/>
        <w:rPr>
          <w:b/>
          <w:sz w:val="20"/>
          <w:szCs w:val="20"/>
        </w:rPr>
      </w:pPr>
    </w:p>
    <w:p w14:paraId="7378DFA4" w14:textId="77777777" w:rsidR="002D139D" w:rsidRDefault="002D139D" w:rsidP="002D139D">
      <w:pPr>
        <w:pStyle w:val="NoSpacing"/>
        <w:rPr>
          <w:b/>
          <w:sz w:val="20"/>
          <w:szCs w:val="20"/>
        </w:rPr>
      </w:pPr>
    </w:p>
    <w:p w14:paraId="542A3D05" w14:textId="5D5B04C1" w:rsidR="002D139D" w:rsidRDefault="00A971EA" w:rsidP="002D139D">
      <w:pPr>
        <w:pStyle w:val="NoSpacing"/>
        <w:rPr>
          <w:rFonts w:ascii="Arial Black" w:hAnsi="Arial Black"/>
          <w:b/>
          <w:sz w:val="28"/>
          <w:szCs w:val="28"/>
        </w:rPr>
      </w:pPr>
      <w:r>
        <w:rPr>
          <w:rFonts w:ascii="Arial Black" w:hAnsi="Arial Black"/>
          <w:b/>
          <w:sz w:val="28"/>
          <w:szCs w:val="28"/>
        </w:rPr>
        <w:t xml:space="preserve">13-272 </w:t>
      </w:r>
    </w:p>
    <w:p w14:paraId="2916FF85" w14:textId="77777777" w:rsidR="00A971EA" w:rsidRDefault="00A971EA" w:rsidP="002D139D">
      <w:pPr>
        <w:pStyle w:val="NoSpacing"/>
        <w:rPr>
          <w:rFonts w:ascii="Arial Black" w:hAnsi="Arial Black"/>
          <w:b/>
          <w:sz w:val="28"/>
          <w:szCs w:val="28"/>
        </w:rPr>
      </w:pPr>
    </w:p>
    <w:p w14:paraId="7373DE3A" w14:textId="77777777" w:rsidR="002D139D" w:rsidRDefault="002D139D" w:rsidP="002D139D">
      <w:pPr>
        <w:pStyle w:val="NoSpacing"/>
        <w:rPr>
          <w:rFonts w:ascii="Arial Black" w:hAnsi="Arial Black"/>
          <w:b/>
          <w:sz w:val="28"/>
          <w:szCs w:val="28"/>
        </w:rPr>
      </w:pPr>
      <w:r>
        <w:rPr>
          <w:rFonts w:ascii="Arial Black" w:hAnsi="Arial Black"/>
          <w:b/>
          <w:sz w:val="28"/>
          <w:szCs w:val="28"/>
        </w:rPr>
        <w:t xml:space="preserve">NJ: EMS SUPER SUED BY EMT – TOLD OTHERS EMT CONV  </w:t>
      </w:r>
    </w:p>
    <w:p w14:paraId="3F21491D" w14:textId="77777777" w:rsidR="002D139D" w:rsidRDefault="002D139D" w:rsidP="002D139D">
      <w:pPr>
        <w:pStyle w:val="NoSpacing"/>
        <w:rPr>
          <w:rFonts w:ascii="Arial Black" w:hAnsi="Arial Black"/>
          <w:b/>
          <w:sz w:val="28"/>
          <w:szCs w:val="28"/>
        </w:rPr>
      </w:pPr>
    </w:p>
    <w:p w14:paraId="7AFEA2B1" w14:textId="77777777" w:rsidR="002D139D" w:rsidRDefault="002D139D" w:rsidP="002D139D">
      <w:pPr>
        <w:pStyle w:val="NoSpacing"/>
        <w:rPr>
          <w:bCs/>
        </w:rPr>
      </w:pPr>
      <w:r w:rsidRPr="00AC2490">
        <w:t xml:space="preserve">On July 21, 2026, in </w:t>
      </w:r>
      <w:r w:rsidRPr="00AC2490">
        <w:rPr>
          <w:u w:val="single"/>
        </w:rPr>
        <w:t>L.R. Jr. v. J.R.B</w:t>
      </w:r>
      <w:r w:rsidRPr="00AC2490">
        <w:t xml:space="preserve">., </w:t>
      </w:r>
      <w:r>
        <w:t xml:space="preserve">the </w:t>
      </w:r>
      <w:r w:rsidRPr="00AC2490">
        <w:t>Superior Court of New Jersey, Appellate Division</w:t>
      </w:r>
      <w:r>
        <w:t xml:space="preserve"> held (2 to 0; unpublished decision) that the former EMT Supervisor (initials J.R.B.) is entitled to a new hearing, before a new judge; the original judge issued a final protective order against him to stop his publicly sharing EMT’s conviction, without first advising him of right to counsel and the consequences of a final protective order.  </w:t>
      </w:r>
    </w:p>
    <w:p w14:paraId="15B4533E" w14:textId="77777777" w:rsidR="002D139D" w:rsidRDefault="002D139D" w:rsidP="002D139D">
      <w:pPr>
        <w:pStyle w:val="NoSpacing"/>
        <w:rPr>
          <w:bCs/>
        </w:rPr>
      </w:pPr>
      <w:hyperlink r:id="rId1998" w:history="1">
        <w:r w:rsidRPr="0044034D">
          <w:rPr>
            <w:rStyle w:val="Hyperlink"/>
          </w:rPr>
          <w:t>https://www.njcourts.gov/system/files/court-opinions/2026/a1374-24.pdf</w:t>
        </w:r>
      </w:hyperlink>
      <w:r>
        <w:t xml:space="preserve"> </w:t>
      </w:r>
    </w:p>
    <w:p w14:paraId="41EA3D93" w14:textId="77777777" w:rsidR="002D139D" w:rsidRDefault="002D139D" w:rsidP="002D139D">
      <w:pPr>
        <w:pStyle w:val="NoSpacing"/>
        <w:rPr>
          <w:bCs/>
        </w:rPr>
      </w:pPr>
    </w:p>
    <w:p w14:paraId="52491841" w14:textId="77777777" w:rsidR="002D139D" w:rsidRDefault="002D139D" w:rsidP="002D139D">
      <w:pPr>
        <w:pStyle w:val="NoSpacing"/>
        <w:rPr>
          <w:bCs/>
        </w:rPr>
      </w:pPr>
      <w:r>
        <w:t>THE COURT WROTE:</w:t>
      </w:r>
    </w:p>
    <w:p w14:paraId="59344603" w14:textId="77777777" w:rsidR="002D139D" w:rsidRDefault="002D139D" w:rsidP="002D139D">
      <w:pPr>
        <w:pStyle w:val="NoSpacing"/>
        <w:rPr>
          <w:bCs/>
        </w:rPr>
      </w:pPr>
    </w:p>
    <w:p w14:paraId="456EB71C" w14:textId="77777777" w:rsidR="002D139D" w:rsidRPr="00557E89" w:rsidRDefault="002D139D" w:rsidP="002D139D">
      <w:pPr>
        <w:pStyle w:val="NoSpacing"/>
        <w:rPr>
          <w:bCs/>
        </w:rPr>
      </w:pPr>
      <w:r>
        <w:t>“</w:t>
      </w:r>
      <w:r w:rsidRPr="00557E89">
        <w:t>Plaintiff pled</w:t>
      </w:r>
      <w:r>
        <w:t xml:space="preserve"> </w:t>
      </w:r>
      <w:r w:rsidRPr="00557E89">
        <w:t>guilty to endangering the welfare of a child in 2001 and was subject to Megan 's</w:t>
      </w:r>
    </w:p>
    <w:p w14:paraId="437374BA" w14:textId="77777777" w:rsidR="002D139D" w:rsidRPr="00F23DB2" w:rsidRDefault="002D139D" w:rsidP="002D139D">
      <w:pPr>
        <w:pStyle w:val="NoSpacing"/>
        <w:rPr>
          <w:bCs/>
        </w:rPr>
      </w:pPr>
      <w:r w:rsidRPr="00557E89">
        <w:t xml:space="preserve">Law and parole supervision for </w:t>
      </w:r>
      <w:proofErr w:type="gramStart"/>
      <w:r w:rsidRPr="00557E89">
        <w:t>life (</w:t>
      </w:r>
      <w:r>
        <w:t>‘</w:t>
      </w:r>
      <w:proofErr w:type="gramEnd"/>
      <w:r w:rsidRPr="00557E89">
        <w:t>PSL</w:t>
      </w:r>
      <w:r>
        <w:t>’</w:t>
      </w:r>
      <w:r w:rsidRPr="00557E89">
        <w:t>). In 2011, plaintiff and defendant</w:t>
      </w:r>
      <w:r>
        <w:t xml:space="preserve"> </w:t>
      </w:r>
      <w:r w:rsidRPr="00557E89">
        <w:t xml:space="preserve">worked together as volunteer emergency medical </w:t>
      </w:r>
      <w:proofErr w:type="gramStart"/>
      <w:r w:rsidRPr="00557E89">
        <w:t>technicians (</w:t>
      </w:r>
      <w:r>
        <w:t>‘</w:t>
      </w:r>
      <w:proofErr w:type="gramEnd"/>
      <w:r w:rsidRPr="00557E89">
        <w:t>EMTs</w:t>
      </w:r>
      <w:r>
        <w:t>’</w:t>
      </w:r>
      <w:r w:rsidRPr="00557E89">
        <w:t>).</w:t>
      </w:r>
      <w:r>
        <w:t xml:space="preserve"> </w:t>
      </w:r>
      <w:r w:rsidRPr="00557E89">
        <w:t>Plaintiff served as defendant's supervisor. After plaintiff filed a complaint,</w:t>
      </w:r>
      <w:r>
        <w:t xml:space="preserve"> </w:t>
      </w:r>
      <w:r w:rsidRPr="00557E89">
        <w:t>defendant received a thirty-day suspension. Defendant then voluntarily left his</w:t>
      </w:r>
      <w:r>
        <w:t xml:space="preserve"> </w:t>
      </w:r>
      <w:r w:rsidRPr="00557E89">
        <w:t>position.</w:t>
      </w:r>
      <w:r>
        <w:t xml:space="preserve"> </w:t>
      </w:r>
      <w:r w:rsidRPr="00557E89">
        <w:t>Plaintiff claimed that his record was expunged in April 2016. Plaintiff</w:t>
      </w:r>
      <w:r>
        <w:t xml:space="preserve"> </w:t>
      </w:r>
      <w:r w:rsidRPr="00557E89">
        <w:t>moved to Florida in 2018. In 2019, defendant discovered plaintiff's LinkedIn</w:t>
      </w:r>
      <w:r>
        <w:t xml:space="preserve"> </w:t>
      </w:r>
      <w:r w:rsidRPr="00557E89">
        <w:t>account and saw that plaintiff worked as an EMT in Florida. Defendant then</w:t>
      </w:r>
      <w:r>
        <w:t xml:space="preserve"> </w:t>
      </w:r>
      <w:r w:rsidRPr="00557E89">
        <w:t xml:space="preserve">submitted an Open Public Records </w:t>
      </w:r>
      <w:proofErr w:type="gramStart"/>
      <w:r w:rsidRPr="00557E89">
        <w:t>Act (</w:t>
      </w:r>
      <w:r>
        <w:t>‘</w:t>
      </w:r>
      <w:proofErr w:type="gramEnd"/>
      <w:r w:rsidRPr="00557E89">
        <w:t>OPRA</w:t>
      </w:r>
      <w:r>
        <w:t>’</w:t>
      </w:r>
      <w:r w:rsidRPr="00557E89">
        <w:t>) request to the State Parole</w:t>
      </w:r>
      <w:r>
        <w:t xml:space="preserve"> </w:t>
      </w:r>
      <w:r w:rsidRPr="00F23DB2">
        <w:t>Board and obtained plaintiff's judgment of conviction, which included Megan's</w:t>
      </w:r>
      <w:r>
        <w:t xml:space="preserve"> </w:t>
      </w:r>
      <w:r w:rsidRPr="00F23DB2">
        <w:t>Law and PSL requirements. After receiving these documents, defendant notified</w:t>
      </w:r>
      <w:r>
        <w:t xml:space="preserve"> </w:t>
      </w:r>
      <w:r w:rsidRPr="00F23DB2">
        <w:t>Florida authorities that plaintiff resided in Florida and was required to register</w:t>
      </w:r>
      <w:r>
        <w:t xml:space="preserve"> </w:t>
      </w:r>
      <w:r w:rsidRPr="00F23DB2">
        <w:t>under Megan's Law. In November 2019, Florida law enforcement officers</w:t>
      </w:r>
    </w:p>
    <w:p w14:paraId="3F51EF51" w14:textId="77777777" w:rsidR="002D139D" w:rsidRPr="002515CB" w:rsidRDefault="002D139D" w:rsidP="002D139D">
      <w:pPr>
        <w:pStyle w:val="NoSpacing"/>
        <w:rPr>
          <w:bCs/>
        </w:rPr>
      </w:pPr>
      <w:r w:rsidRPr="00F23DB2">
        <w:t>visited plaintiff's residence and informed him that he must register as a sex</w:t>
      </w:r>
      <w:r>
        <w:t xml:space="preserve"> </w:t>
      </w:r>
      <w:r w:rsidRPr="00F23DB2">
        <w:t>offender because of his New Jersey conviction. Plaintiff subsequently returned</w:t>
      </w:r>
      <w:r>
        <w:t xml:space="preserve"> </w:t>
      </w:r>
      <w:r w:rsidRPr="00F23DB2">
        <w:t>to New Jersey and started to work here again as an EMT.</w:t>
      </w:r>
      <w:r>
        <w:t xml:space="preserve"> </w:t>
      </w:r>
      <w:r w:rsidRPr="002515CB">
        <w:t>In February 2020, defendant posted the documents obtained through the</w:t>
      </w:r>
    </w:p>
    <w:p w14:paraId="4556D7E8" w14:textId="77777777" w:rsidR="002D139D" w:rsidRPr="00F036F0" w:rsidRDefault="002D139D" w:rsidP="002D139D">
      <w:pPr>
        <w:pStyle w:val="NoSpacing"/>
        <w:rPr>
          <w:bCs/>
        </w:rPr>
      </w:pPr>
      <w:r w:rsidRPr="002515CB">
        <w:t>OPRA request on Facebook. Plaintiff testified that defendant then made</w:t>
      </w:r>
      <w:r>
        <w:t xml:space="preserve"> </w:t>
      </w:r>
      <w:r w:rsidRPr="002515CB">
        <w:t xml:space="preserve">additional posts about his past but plaintiff </w:t>
      </w:r>
      <w:r>
        <w:t>‘</w:t>
      </w:r>
      <w:r w:rsidRPr="002515CB">
        <w:t xml:space="preserve">let it go, </w:t>
      </w:r>
      <w:proofErr w:type="gramStart"/>
      <w:r w:rsidRPr="002515CB">
        <w:t>cause</w:t>
      </w:r>
      <w:proofErr w:type="gramEnd"/>
      <w:r w:rsidRPr="002515CB">
        <w:t xml:space="preserve"> I was hoping if I let</w:t>
      </w:r>
      <w:r>
        <w:t xml:space="preserve"> </w:t>
      </w:r>
      <w:r w:rsidRPr="002515CB">
        <w:t>it go it would just stop.</w:t>
      </w:r>
      <w:r>
        <w:t xml:space="preserve">’ </w:t>
      </w:r>
      <w:r w:rsidRPr="00F036F0">
        <w:t>In November 2024, defendant emailed the New Jersey State Emergency</w:t>
      </w:r>
      <w:r>
        <w:t xml:space="preserve"> </w:t>
      </w:r>
      <w:r w:rsidRPr="00F036F0">
        <w:t xml:space="preserve">Medical Services Task </w:t>
      </w:r>
      <w:proofErr w:type="gramStart"/>
      <w:r w:rsidRPr="00F036F0">
        <w:t>Force (</w:t>
      </w:r>
      <w:r>
        <w:t>‘</w:t>
      </w:r>
      <w:proofErr w:type="gramEnd"/>
      <w:r w:rsidRPr="00F036F0">
        <w:t>EMSTF</w:t>
      </w:r>
      <w:r>
        <w:t>’</w:t>
      </w:r>
      <w:r w:rsidRPr="00F036F0">
        <w:t>), stating that he knew of an employee</w:t>
      </w:r>
      <w:r>
        <w:t xml:space="preserve"> </w:t>
      </w:r>
      <w:r w:rsidRPr="00F036F0">
        <w:t>with a child endangerment conviction. That same month, defendant posted on</w:t>
      </w:r>
      <w:r>
        <w:t xml:space="preserve"> </w:t>
      </w:r>
      <w:r w:rsidRPr="00F036F0">
        <w:t xml:space="preserve">the New Jersey Forest Fire Department's webpage, </w:t>
      </w:r>
      <w:r>
        <w:t>‘</w:t>
      </w:r>
      <w:r w:rsidRPr="00F036F0">
        <w:t>[w]hy does the Department</w:t>
      </w:r>
      <w:r>
        <w:t xml:space="preserve"> </w:t>
      </w:r>
      <w:r w:rsidRPr="00F036F0">
        <w:t>allow sex offenders on the crew?</w:t>
      </w:r>
      <w:r>
        <w:t>’</w:t>
      </w:r>
      <w:r w:rsidRPr="00F036F0">
        <w:t xml:space="preserve"> He also linked plaintiff's payroll information</w:t>
      </w:r>
      <w:r>
        <w:t xml:space="preserve"> </w:t>
      </w:r>
      <w:r w:rsidRPr="00F036F0">
        <w:t>from the State Department of Treasury. In December 2024, defendant posted</w:t>
      </w:r>
    </w:p>
    <w:p w14:paraId="2FA5C52F" w14:textId="77777777" w:rsidR="002D139D" w:rsidRDefault="002D139D" w:rsidP="002D139D">
      <w:pPr>
        <w:pStyle w:val="NoSpacing"/>
        <w:rPr>
          <w:bCs/>
        </w:rPr>
      </w:pPr>
      <w:r w:rsidRPr="00F036F0">
        <w:t xml:space="preserve">on the EMSTF webpage, </w:t>
      </w:r>
      <w:r>
        <w:t>‘</w:t>
      </w:r>
      <w:r w:rsidRPr="00F036F0">
        <w:t>[w]hy does the [EMSTF] have people who pled to</w:t>
      </w:r>
      <w:r>
        <w:t xml:space="preserve"> </w:t>
      </w:r>
      <w:proofErr w:type="gramStart"/>
      <w:r w:rsidRPr="00F036F0">
        <w:t>endangering</w:t>
      </w:r>
      <w:proofErr w:type="gramEnd"/>
      <w:r w:rsidRPr="00F036F0">
        <w:t xml:space="preserve"> the welfare of a child?</w:t>
      </w:r>
      <w:r>
        <w:t>’</w:t>
      </w:r>
    </w:p>
    <w:p w14:paraId="058A771E" w14:textId="77777777" w:rsidR="002D139D" w:rsidRDefault="002D139D" w:rsidP="002D139D">
      <w:pPr>
        <w:pStyle w:val="NoSpacing"/>
        <w:rPr>
          <w:bCs/>
        </w:rPr>
      </w:pPr>
    </w:p>
    <w:p w14:paraId="2C08619D" w14:textId="77777777" w:rsidR="002D139D" w:rsidRDefault="002D139D" w:rsidP="002D139D">
      <w:pPr>
        <w:pStyle w:val="NoSpacing"/>
        <w:rPr>
          <w:bCs/>
        </w:rPr>
      </w:pPr>
      <w:r>
        <w:t>***</w:t>
      </w:r>
    </w:p>
    <w:p w14:paraId="589581DA" w14:textId="77777777" w:rsidR="002D139D" w:rsidRPr="00794B93" w:rsidRDefault="002D139D" w:rsidP="002D139D">
      <w:pPr>
        <w:pStyle w:val="NoSpacing"/>
        <w:rPr>
          <w:bCs/>
        </w:rPr>
      </w:pPr>
      <w:r w:rsidRPr="00B37DFD">
        <w:t>As noted above, the record neither demonstrates that the judge informed</w:t>
      </w:r>
      <w:r>
        <w:t xml:space="preserve"> </w:t>
      </w:r>
      <w:r w:rsidRPr="00B37DFD">
        <w:t>defendant of his right to be represented by legal counsel in advance of trial, nor</w:t>
      </w:r>
      <w:r>
        <w:t xml:space="preserve"> </w:t>
      </w:r>
      <w:r w:rsidRPr="00B37DFD">
        <w:t>that defendant voluntarily and knowingly waived his right to counsel. Guided</w:t>
      </w:r>
      <w:r>
        <w:t xml:space="preserve"> </w:t>
      </w:r>
      <w:r w:rsidRPr="00B37DFD">
        <w:t>by the noted principles, we conclude the court mistakenly applied its discretion</w:t>
      </w:r>
      <w:r>
        <w:t xml:space="preserve"> </w:t>
      </w:r>
      <w:r w:rsidRPr="00B37DFD">
        <w:t>by its failure to instruct defendant of his right to be represented by legal counsel</w:t>
      </w:r>
      <w:r>
        <w:t xml:space="preserve"> </w:t>
      </w:r>
      <w:r w:rsidRPr="00B37DFD">
        <w:t>in advance of trial and by not taking testimony concerning whether defendant</w:t>
      </w:r>
      <w:r>
        <w:t xml:space="preserve"> </w:t>
      </w:r>
      <w:r w:rsidRPr="00794B93">
        <w:t>knowingly and voluntarily waived his right to counsel. Although we can</w:t>
      </w:r>
      <w:r>
        <w:t xml:space="preserve"> </w:t>
      </w:r>
      <w:r w:rsidRPr="00794B93">
        <w:t>appreciate the need for the court to have control over management of its trial</w:t>
      </w:r>
      <w:r>
        <w:t xml:space="preserve"> </w:t>
      </w:r>
      <w:r w:rsidRPr="00794B93">
        <w:t>list, we discern there would have been no undue prejudice to plaintiff if</w:t>
      </w:r>
      <w:r>
        <w:t xml:space="preserve"> </w:t>
      </w:r>
      <w:r w:rsidRPr="00794B93">
        <w:t>defendant sought an adjournment to obtain counsel as the TPO protections</w:t>
      </w:r>
      <w:r>
        <w:t xml:space="preserve"> </w:t>
      </w:r>
      <w:r w:rsidRPr="00794B93">
        <w:t>would have remained in effect. Therefore, we are constrained to vacate the FPO,</w:t>
      </w:r>
    </w:p>
    <w:p w14:paraId="7AA35C69" w14:textId="77777777" w:rsidR="002D139D" w:rsidRDefault="002D139D" w:rsidP="002D139D">
      <w:pPr>
        <w:pStyle w:val="NoSpacing"/>
        <w:rPr>
          <w:bCs/>
        </w:rPr>
      </w:pPr>
      <w:r w:rsidRPr="00794B93">
        <w:t>reinstate the TPO, and remand for a new trial.</w:t>
      </w:r>
      <w:r>
        <w:t>”</w:t>
      </w:r>
    </w:p>
    <w:p w14:paraId="681D2EA4" w14:textId="77777777" w:rsidR="002D139D" w:rsidRDefault="002D139D" w:rsidP="002D139D">
      <w:pPr>
        <w:pStyle w:val="NoSpacing"/>
        <w:rPr>
          <w:bCs/>
        </w:rPr>
      </w:pPr>
    </w:p>
    <w:p w14:paraId="42932537" w14:textId="77777777" w:rsidR="002D139D" w:rsidRPr="00091D5C" w:rsidRDefault="002D139D" w:rsidP="002D139D">
      <w:pPr>
        <w:pStyle w:val="NoSpacing"/>
        <w:rPr>
          <w:b/>
        </w:rPr>
      </w:pPr>
      <w:r w:rsidRPr="00091D5C">
        <w:rPr>
          <w:b/>
        </w:rPr>
        <w:t xml:space="preserve">Legal lesson learned: </w:t>
      </w:r>
      <w:r>
        <w:rPr>
          <w:b/>
        </w:rPr>
        <w:t xml:space="preserve">The EMT’s conviction is a public record, but posting documents on Facebook can lead to “cyber harassment” litigation. </w:t>
      </w:r>
    </w:p>
    <w:p w14:paraId="22078E71" w14:textId="77777777" w:rsidR="002D139D" w:rsidRDefault="002D139D" w:rsidP="002D139D">
      <w:pPr>
        <w:pStyle w:val="NoSpacing"/>
        <w:rPr>
          <w:bCs/>
        </w:rPr>
      </w:pPr>
    </w:p>
    <w:p w14:paraId="16F04844" w14:textId="77777777" w:rsidR="002D139D" w:rsidRDefault="002D139D" w:rsidP="002D139D">
      <w:pPr>
        <w:pStyle w:val="NoSpacing"/>
      </w:pPr>
    </w:p>
    <w:p w14:paraId="1B11098F" w14:textId="77777777" w:rsidR="002D139D" w:rsidRDefault="002D139D" w:rsidP="002D139D">
      <w:pPr>
        <w:pStyle w:val="NoSpacing"/>
      </w:pPr>
    </w:p>
    <w:p w14:paraId="14E698D2" w14:textId="654D6CED" w:rsidR="002D139D" w:rsidRDefault="00A971EA" w:rsidP="002D139D">
      <w:pPr>
        <w:rPr>
          <w:rFonts w:ascii="Arial Black" w:hAnsi="Arial Black"/>
          <w:b/>
          <w:sz w:val="28"/>
          <w:szCs w:val="28"/>
        </w:rPr>
      </w:pPr>
      <w:r>
        <w:rPr>
          <w:rFonts w:ascii="Arial Black" w:hAnsi="Arial Black"/>
          <w:b/>
          <w:sz w:val="28"/>
          <w:szCs w:val="28"/>
        </w:rPr>
        <w:t>13-271</w:t>
      </w:r>
    </w:p>
    <w:p w14:paraId="6D81718D" w14:textId="77777777" w:rsidR="002D139D" w:rsidRPr="00C46E5F" w:rsidRDefault="002D139D" w:rsidP="002D139D">
      <w:pPr>
        <w:rPr>
          <w:b/>
          <w:sz w:val="40"/>
          <w:szCs w:val="40"/>
        </w:rPr>
      </w:pPr>
      <w:r>
        <w:rPr>
          <w:rFonts w:ascii="Arial Black" w:hAnsi="Arial Black"/>
          <w:b/>
          <w:sz w:val="28"/>
          <w:szCs w:val="28"/>
        </w:rPr>
        <w:t xml:space="preserve">MI: PT TOLD MEDIC DEF HURT HER - HEARSAY EXCEPTION </w:t>
      </w:r>
    </w:p>
    <w:p w14:paraId="19EE1015" w14:textId="77777777" w:rsidR="002D139D" w:rsidRDefault="002D139D" w:rsidP="002D139D">
      <w:pPr>
        <w:pStyle w:val="NoSpacing"/>
        <w:rPr>
          <w:bCs/>
        </w:rPr>
      </w:pPr>
      <w:r w:rsidRPr="00012298">
        <w:t xml:space="preserve">On July 16, 2026, in </w:t>
      </w:r>
      <w:r w:rsidRPr="0059572D">
        <w:rPr>
          <w:u w:val="single"/>
        </w:rPr>
        <w:t>People of the</w:t>
      </w:r>
      <w:r w:rsidRPr="00012298">
        <w:t xml:space="preserve"> </w:t>
      </w:r>
      <w:r w:rsidRPr="00012298">
        <w:rPr>
          <w:u w:val="single"/>
        </w:rPr>
        <w:t>State of Michigan v. Robert A. Hollon</w:t>
      </w:r>
      <w:r w:rsidRPr="00012298">
        <w:t xml:space="preserve">, </w:t>
      </w:r>
      <w:r>
        <w:t xml:space="preserve">the </w:t>
      </w:r>
      <w:r w:rsidRPr="0059572D">
        <w:t>Court of Appeals of Michigan</w:t>
      </w:r>
      <w:r>
        <w:t xml:space="preserve"> held (3 to 0; unpublished decision) that prior to trial court allowing Medic and ER doctor to testify in murder trial, court should first hold hearing on defendant’s </w:t>
      </w:r>
      <w:r w:rsidRPr="00164115">
        <w:t xml:space="preserve">motion to exclude evidence. </w:t>
      </w:r>
      <w:r>
        <w:t xml:space="preserve"> The patient [identified by her initials “WP”], who later died, told Medic in ambulance and ER doctor that her boyfriend had pushed her down the stairs. </w:t>
      </w:r>
      <w:hyperlink r:id="rId1999" w:history="1">
        <w:r w:rsidRPr="001C4F77">
          <w:rPr>
            <w:rStyle w:val="Hyperlink"/>
          </w:rPr>
          <w:t>https://cases.justia.com/michigan/court-of-appeals-unpublished/2026-377838.pdf?ts=1784293205</w:t>
        </w:r>
      </w:hyperlink>
      <w:r>
        <w:t xml:space="preserve"> </w:t>
      </w:r>
    </w:p>
    <w:p w14:paraId="5CEBB1CB" w14:textId="77777777" w:rsidR="002D139D" w:rsidRDefault="002D139D" w:rsidP="002D139D">
      <w:pPr>
        <w:pStyle w:val="NoSpacing"/>
        <w:rPr>
          <w:bCs/>
        </w:rPr>
      </w:pPr>
    </w:p>
    <w:p w14:paraId="5910B37A" w14:textId="77777777" w:rsidR="002D139D" w:rsidRDefault="002D139D" w:rsidP="002D139D">
      <w:pPr>
        <w:pStyle w:val="NoSpacing"/>
      </w:pPr>
      <w:r>
        <w:t>THE COURT WROTE: “</w:t>
      </w:r>
      <w:r w:rsidRPr="00066976">
        <w:t xml:space="preserve">Therefore, on remand, if the prosecution continues to seek to elicit testimony at trial from the paramedic or ER doctor as to WP's statements identifying her assailant (either by name or otherwise), the trial court must first hold an evidentiary hearing at which the prospective witness testifies, and the trial court must apply this evidence to the </w:t>
      </w:r>
      <w:r w:rsidRPr="00827032">
        <w:rPr>
          <w:i/>
          <w:iCs/>
        </w:rPr>
        <w:t xml:space="preserve">Meeboer </w:t>
      </w:r>
      <w:r w:rsidRPr="00066976">
        <w:t>factors to determine its possible admissibility under MRE 803(4)</w:t>
      </w:r>
      <w:r>
        <w:t xml:space="preserve">…. In </w:t>
      </w:r>
      <w:r w:rsidRPr="004C1020">
        <w:rPr>
          <w:i/>
          <w:iCs/>
        </w:rPr>
        <w:t>People v Meeboer (After Remand)</w:t>
      </w:r>
      <w:r w:rsidRPr="004C1020">
        <w:t>, 439 Mich. 310, 322; 484 N.W.2d 621 (1992), the Michigan Supreme Court held that a child sexual assault victim's hearsay statement identifying the child's assailant made to a physician-as opposed to a psychologist- was admissible under MRE 803(4).</w:t>
      </w:r>
      <w:r>
        <w:t xml:space="preserve"> </w:t>
      </w:r>
      <w:r w:rsidRPr="00D75B8B">
        <w:t xml:space="preserve">Instead, </w:t>
      </w:r>
      <w:r w:rsidRPr="00D75B8B">
        <w:rPr>
          <w:i/>
          <w:iCs/>
        </w:rPr>
        <w:t>Meeboer</w:t>
      </w:r>
      <w:r w:rsidRPr="00D75B8B">
        <w:t xml:space="preserve"> held that, when deciding the admissibility of a hearsay statement of identification under MRE 803(4), courts look to the trustworthiness and necessity of the statement in light of MRE 803(4)'s underlying rationale: </w:t>
      </w:r>
      <w:r>
        <w:t>‘</w:t>
      </w:r>
      <w:r w:rsidRPr="00D75B8B">
        <w:t>(1) the self-interested motivation to speak the truth to treating physicians in order to receive proper medical care, and (2) the reasonable necessity of the statement to the diagnosis and treatment of the patient.</w:t>
      </w:r>
      <w:r>
        <w:t>’</w:t>
      </w:r>
      <w:r w:rsidRPr="00D75B8B">
        <w:t xml:space="preserve"> </w:t>
      </w:r>
      <w:r w:rsidRPr="00D75B8B">
        <w:rPr>
          <w:i/>
          <w:iCs/>
        </w:rPr>
        <w:t>Id</w:t>
      </w:r>
      <w:r w:rsidRPr="00D75B8B">
        <w:t>. at 322-30.</w:t>
      </w:r>
      <w:r>
        <w:t>”</w:t>
      </w:r>
    </w:p>
    <w:p w14:paraId="70C23D63" w14:textId="77777777" w:rsidR="002D139D" w:rsidRDefault="002D139D" w:rsidP="002D139D">
      <w:pPr>
        <w:pStyle w:val="NoSpacing"/>
      </w:pPr>
    </w:p>
    <w:p w14:paraId="66B9F8A5" w14:textId="77777777" w:rsidR="002D139D" w:rsidRPr="004C1020" w:rsidRDefault="002D139D" w:rsidP="002D139D">
      <w:pPr>
        <w:pStyle w:val="NoSpacing"/>
      </w:pPr>
      <w:r>
        <w:t>***</w:t>
      </w:r>
    </w:p>
    <w:p w14:paraId="0784D18C" w14:textId="77777777" w:rsidR="002D139D" w:rsidRDefault="002D139D" w:rsidP="002D139D">
      <w:pPr>
        <w:pStyle w:val="NoSpacing"/>
      </w:pPr>
    </w:p>
    <w:p w14:paraId="0D67A827" w14:textId="77777777" w:rsidR="002D139D" w:rsidRDefault="002D139D" w:rsidP="002D139D">
      <w:pPr>
        <w:pStyle w:val="NoSpacing"/>
      </w:pPr>
      <w:r>
        <w:t xml:space="preserve">Concurring Judge: “The urgency of her medical condition, that the statements were made in the back of an ambulance, and while receiving emergency medical care at a hospital align well with the trustworthiness factor to be considered under </w:t>
      </w:r>
      <w:r w:rsidRPr="00BB3761">
        <w:rPr>
          <w:i/>
          <w:iCs/>
        </w:rPr>
        <w:t>Meeboer</w:t>
      </w:r>
      <w:r>
        <w:t xml:space="preserve">.” </w:t>
      </w:r>
      <w:hyperlink r:id="rId2000" w:history="1">
        <w:r w:rsidRPr="002B5610">
          <w:rPr>
            <w:rStyle w:val="Hyperlink"/>
          </w:rPr>
          <w:t>https://cases.justia.com/michigan/court-of-appeals-unpublished/2026-377838.pdf?ts=1784293205</w:t>
        </w:r>
      </w:hyperlink>
      <w:r>
        <w:t xml:space="preserve"> </w:t>
      </w:r>
    </w:p>
    <w:p w14:paraId="5CAA8DCC" w14:textId="77777777" w:rsidR="002D139D" w:rsidRDefault="002D139D" w:rsidP="002D139D">
      <w:pPr>
        <w:pStyle w:val="NoSpacing"/>
        <w:rPr>
          <w:b/>
          <w:bCs/>
        </w:rPr>
      </w:pPr>
    </w:p>
    <w:p w14:paraId="160EBCB4" w14:textId="77777777" w:rsidR="002D139D" w:rsidRDefault="002D139D" w:rsidP="002D139D">
      <w:pPr>
        <w:pStyle w:val="NoSpacing"/>
        <w:rPr>
          <w:b/>
          <w:bCs/>
        </w:rPr>
      </w:pPr>
      <w:r>
        <w:rPr>
          <w:b/>
        </w:rPr>
        <w:t xml:space="preserve">Legal lesson learned: Patient’s comments to EMS while receiving emergency medical care can be admissible at trial.  EMS should document the comments in the </w:t>
      </w:r>
      <w:proofErr w:type="gramStart"/>
      <w:r>
        <w:rPr>
          <w:b/>
        </w:rPr>
        <w:t>run</w:t>
      </w:r>
      <w:proofErr w:type="gramEnd"/>
      <w:r>
        <w:rPr>
          <w:b/>
        </w:rPr>
        <w:t xml:space="preserve"> report </w:t>
      </w:r>
    </w:p>
    <w:p w14:paraId="4E6A06F4" w14:textId="77777777" w:rsidR="002D139D" w:rsidRDefault="002D139D" w:rsidP="002D139D">
      <w:pPr>
        <w:pStyle w:val="NoSpacing"/>
        <w:rPr>
          <w:b/>
          <w:bCs/>
        </w:rPr>
      </w:pPr>
    </w:p>
    <w:p w14:paraId="54999602" w14:textId="77777777" w:rsidR="002D139D" w:rsidRDefault="002D139D" w:rsidP="002D139D">
      <w:pPr>
        <w:pStyle w:val="NoSpacing"/>
      </w:pPr>
      <w:r>
        <w:rPr>
          <w:b/>
        </w:rPr>
        <w:tab/>
      </w:r>
      <w:r w:rsidRPr="003E7066">
        <w:t>See Michigan Rule of Evidence 803(4)</w:t>
      </w:r>
      <w:r>
        <w:t xml:space="preserve">. </w:t>
      </w:r>
      <w:hyperlink r:id="rId2001" w:history="1">
        <w:r w:rsidRPr="002B5610">
          <w:rPr>
            <w:rStyle w:val="Hyperlink"/>
          </w:rPr>
          <w:t>https://www.law.cornell.edu/rules/fre/rule_803</w:t>
        </w:r>
      </w:hyperlink>
      <w:r>
        <w:t xml:space="preserve"> </w:t>
      </w:r>
    </w:p>
    <w:p w14:paraId="231C9CA0" w14:textId="77777777" w:rsidR="002D139D" w:rsidRPr="003E7066" w:rsidRDefault="002D139D" w:rsidP="002D139D">
      <w:pPr>
        <w:pStyle w:val="NoSpacing"/>
        <w:ind w:left="720"/>
      </w:pPr>
      <w:r w:rsidRPr="003E7066">
        <w:t>Exceptions to the Rule Against Hearsay:</w:t>
      </w:r>
    </w:p>
    <w:p w14:paraId="1BB16E0F" w14:textId="77777777" w:rsidR="002D139D" w:rsidRPr="003E7066" w:rsidRDefault="002D139D" w:rsidP="002D139D">
      <w:pPr>
        <w:pStyle w:val="NoSpacing"/>
        <w:ind w:left="720"/>
      </w:pPr>
      <w:r w:rsidRPr="003E7066">
        <w:t>The following are not excluded by the rule against hearsay, regardless of whether the declarant is available as a witness:</w:t>
      </w:r>
      <w:r>
        <w:t xml:space="preserve"> ***</w:t>
      </w:r>
    </w:p>
    <w:p w14:paraId="00D7F751" w14:textId="77777777" w:rsidR="002D139D" w:rsidRPr="003E7066" w:rsidRDefault="002D139D" w:rsidP="002D139D">
      <w:pPr>
        <w:pStyle w:val="NoSpacing"/>
        <w:ind w:firstLine="720"/>
      </w:pPr>
      <w:r w:rsidRPr="003E7066">
        <w:t xml:space="preserve">(4) </w:t>
      </w:r>
      <w:r w:rsidRPr="003E7066">
        <w:rPr>
          <w:i/>
          <w:iCs/>
        </w:rPr>
        <w:t>Statement Made for Medical Diagnosis or Treatment</w:t>
      </w:r>
      <w:r w:rsidRPr="003E7066">
        <w:t>. A statement that:</w:t>
      </w:r>
    </w:p>
    <w:p w14:paraId="783784F0" w14:textId="77777777" w:rsidR="002D139D" w:rsidRPr="003E7066" w:rsidRDefault="002D139D" w:rsidP="002D139D">
      <w:pPr>
        <w:pStyle w:val="NoSpacing"/>
        <w:ind w:left="720"/>
      </w:pPr>
      <w:r w:rsidRPr="003E7066">
        <w:t>(A) is made for — and is reasonably pertinent to — medical diagnosis or treatment; and (B) describes medical history; past or present symptoms or sensations; their inception; or their general cause.</w:t>
      </w:r>
    </w:p>
    <w:p w14:paraId="04F3D2F8" w14:textId="77777777" w:rsidR="002D139D" w:rsidRDefault="002D139D" w:rsidP="002D139D">
      <w:pPr>
        <w:pStyle w:val="NoSpacing"/>
        <w:rPr>
          <w:b/>
        </w:rPr>
      </w:pPr>
    </w:p>
    <w:p w14:paraId="18F122C7" w14:textId="77777777" w:rsidR="002D139D" w:rsidRDefault="002D139D" w:rsidP="002D139D">
      <w:pPr>
        <w:pStyle w:val="NoSpacing"/>
        <w:rPr>
          <w:b/>
        </w:rPr>
      </w:pPr>
    </w:p>
    <w:p w14:paraId="75CFE5FC" w14:textId="77777777" w:rsidR="002D139D" w:rsidRDefault="002D139D" w:rsidP="002D139D">
      <w:pPr>
        <w:pStyle w:val="NoSpacing"/>
        <w:rPr>
          <w:rFonts w:ascii="Arial Black" w:hAnsi="Arial Black"/>
          <w:sz w:val="28"/>
          <w:szCs w:val="28"/>
        </w:rPr>
      </w:pPr>
    </w:p>
    <w:p w14:paraId="5C0F048C" w14:textId="014EC2D5" w:rsidR="002D139D" w:rsidRDefault="00A971EA" w:rsidP="002D139D">
      <w:pPr>
        <w:pStyle w:val="NoSpacing"/>
        <w:rPr>
          <w:rFonts w:ascii="Arial Black" w:hAnsi="Arial Black"/>
          <w:sz w:val="28"/>
          <w:szCs w:val="28"/>
        </w:rPr>
      </w:pPr>
      <w:r>
        <w:rPr>
          <w:rFonts w:ascii="Arial Black" w:hAnsi="Arial Black"/>
          <w:sz w:val="28"/>
          <w:szCs w:val="28"/>
        </w:rPr>
        <w:t xml:space="preserve">13-270 </w:t>
      </w:r>
    </w:p>
    <w:p w14:paraId="04183909" w14:textId="77777777" w:rsidR="00A971EA" w:rsidRDefault="00A971EA" w:rsidP="002D139D">
      <w:pPr>
        <w:pStyle w:val="NoSpacing"/>
        <w:rPr>
          <w:rFonts w:ascii="Arial Black" w:hAnsi="Arial Black"/>
          <w:sz w:val="28"/>
          <w:szCs w:val="28"/>
        </w:rPr>
      </w:pPr>
    </w:p>
    <w:p w14:paraId="472E6326" w14:textId="77777777" w:rsidR="002D139D" w:rsidRPr="003A5B53" w:rsidRDefault="002D139D" w:rsidP="002D139D">
      <w:pPr>
        <w:pStyle w:val="NoSpacing"/>
        <w:rPr>
          <w:rFonts w:ascii="Arial Black" w:hAnsi="Arial Black"/>
          <w:sz w:val="28"/>
          <w:szCs w:val="28"/>
        </w:rPr>
      </w:pPr>
      <w:r>
        <w:rPr>
          <w:rFonts w:ascii="Arial Black" w:hAnsi="Arial Black"/>
          <w:sz w:val="28"/>
          <w:szCs w:val="28"/>
        </w:rPr>
        <w:t>WA: COVID – CHRISTIAN FFs – ADMIN DUTY 4 MOS / FIRED</w:t>
      </w:r>
    </w:p>
    <w:p w14:paraId="599E7F0C" w14:textId="77777777" w:rsidR="002D139D" w:rsidRDefault="002D139D" w:rsidP="002D139D">
      <w:pPr>
        <w:pStyle w:val="NoSpacing"/>
      </w:pPr>
    </w:p>
    <w:p w14:paraId="307CCBD2" w14:textId="77777777" w:rsidR="002D139D" w:rsidRDefault="002D139D" w:rsidP="002D139D">
      <w:pPr>
        <w:pStyle w:val="NoSpacing"/>
      </w:pPr>
      <w:r>
        <w:t xml:space="preserve">On July 14, 2026, in </w:t>
      </w:r>
      <w:r w:rsidRPr="008A2380">
        <w:rPr>
          <w:u w:val="single"/>
        </w:rPr>
        <w:t>Erik Gustafson, et al. v. City of Kirkland, et al</w:t>
      </w:r>
      <w:r>
        <w:t xml:space="preserve">., U.S. District Court Judge Robert S. </w:t>
      </w:r>
      <w:proofErr w:type="spellStart"/>
      <w:r>
        <w:t>Lasnik</w:t>
      </w:r>
      <w:proofErr w:type="spellEnd"/>
      <w:r>
        <w:t xml:space="preserve">, United States District Court, Western District of Washinton (Seattle) granted City’s motion to dismiss.  The city implemented the Governor’s COVID vaccination requirement; City granted temporary administrative positions from August 20, </w:t>
      </w:r>
      <w:proofErr w:type="gramStart"/>
      <w:r>
        <w:t>2021</w:t>
      </w:r>
      <w:proofErr w:type="gramEnd"/>
      <w:r>
        <w:t xml:space="preserve"> until </w:t>
      </w:r>
      <w:r>
        <w:lastRenderedPageBreak/>
        <w:t xml:space="preserve">Dec. 31, 2021, and then terminated unvaccinated firefighters of all religious faiths.   </w:t>
      </w:r>
      <w:hyperlink r:id="rId2002" w:history="1">
        <w:r w:rsidRPr="00CE452D">
          <w:rPr>
            <w:rStyle w:val="Hyperlink"/>
          </w:rPr>
          <w:t>https://cases.justia.com/federal/district-courts/washington/wawdce/2:2025cv00367/345154/49/0.pdf?ts=1784314094</w:t>
        </w:r>
      </w:hyperlink>
      <w:r>
        <w:t xml:space="preserve"> </w:t>
      </w:r>
    </w:p>
    <w:p w14:paraId="3EA416AC" w14:textId="77777777" w:rsidR="002D139D" w:rsidRDefault="002D139D" w:rsidP="002D139D">
      <w:pPr>
        <w:pStyle w:val="NoSpacing"/>
      </w:pPr>
    </w:p>
    <w:p w14:paraId="3806A717" w14:textId="77777777" w:rsidR="002D139D" w:rsidRDefault="002D139D" w:rsidP="002D139D">
      <w:pPr>
        <w:pStyle w:val="NoSpacing"/>
      </w:pPr>
      <w:r>
        <w:t>THE COURT WROTE: “Plaintiffs ‘are devout, practicing Christians’ who allege they ‘were terminated from their employment by the City of Kirkland Fire Department, after exercising their rights to religious freedom and declining to receive the COVID-19 vaccine.’ … After submitting requests for religious exemptions to a vaccination requirement that was in effect for firefighters beginning Aug. 20, 2021, plaintiffs allege that their “requests for religious exemptions were approved by their employers, the Defendants, based on Plaintiffs’ sincerely held religious beliefs.’ … With their religious exemptions approved, plaintiffs were offered accommodations through Dec. 31, 2021…. After that, plaintiffs’ employment with the City of Kirkland Fire Department was terminated.</w:t>
      </w:r>
    </w:p>
    <w:p w14:paraId="7244F8B1" w14:textId="77777777" w:rsidR="002D139D" w:rsidRDefault="002D139D" w:rsidP="002D139D">
      <w:pPr>
        <w:pStyle w:val="NoSpacing"/>
      </w:pPr>
    </w:p>
    <w:p w14:paraId="5B058840" w14:textId="77777777" w:rsidR="002D139D" w:rsidRDefault="002D139D" w:rsidP="002D139D">
      <w:pPr>
        <w:pStyle w:val="NoSpacing"/>
      </w:pPr>
      <w:r>
        <w:t>***</w:t>
      </w:r>
    </w:p>
    <w:p w14:paraId="7E48D317" w14:textId="77777777" w:rsidR="002D139D" w:rsidRDefault="002D139D" w:rsidP="002D139D">
      <w:pPr>
        <w:pStyle w:val="NoSpacing"/>
      </w:pPr>
    </w:p>
    <w:p w14:paraId="4AD72360" w14:textId="77777777" w:rsidR="002D139D" w:rsidRDefault="002D139D" w:rsidP="002D139D">
      <w:pPr>
        <w:pStyle w:val="NoSpacing"/>
      </w:pPr>
      <w:r w:rsidRPr="000F69B7">
        <w:t xml:space="preserve">Plaintiffs allege that </w:t>
      </w:r>
      <w:r>
        <w:t>‘</w:t>
      </w:r>
      <w:r w:rsidRPr="000F69B7">
        <w:t>day shift</w:t>
      </w:r>
      <w:r>
        <w:t>’</w:t>
      </w:r>
      <w:r w:rsidRPr="000F69B7">
        <w:t xml:space="preserve"> accommodations, in which accommodated firefighters</w:t>
      </w:r>
      <w:r>
        <w:t xml:space="preserve"> </w:t>
      </w:r>
      <w:r w:rsidRPr="000F69B7">
        <w:t xml:space="preserve">were allowed to perform </w:t>
      </w:r>
      <w:r>
        <w:t>‘</w:t>
      </w:r>
      <w:r w:rsidRPr="000F69B7">
        <w:t>administrative functions</w:t>
      </w:r>
      <w:r>
        <w:t>’</w:t>
      </w:r>
      <w:r w:rsidRPr="000F69B7">
        <w:t xml:space="preserve"> that didn’t require contact with the public,</w:t>
      </w:r>
      <w:r>
        <w:t xml:space="preserve"> </w:t>
      </w:r>
      <w:r w:rsidRPr="000F69B7">
        <w:t xml:space="preserve">were given </w:t>
      </w:r>
      <w:r>
        <w:t>‘</w:t>
      </w:r>
      <w:r w:rsidRPr="000F69B7">
        <w:t>only</w:t>
      </w:r>
      <w:r>
        <w:t>’</w:t>
      </w:r>
      <w:r w:rsidRPr="000F69B7">
        <w:t xml:space="preserve"> to those firefighters who requested a vaccination exemption on religious</w:t>
      </w:r>
      <w:r>
        <w:t xml:space="preserve"> </w:t>
      </w:r>
      <w:r w:rsidRPr="000F69B7">
        <w:t>grounds</w:t>
      </w:r>
      <w:r>
        <w:t xml:space="preserve">…. </w:t>
      </w:r>
      <w:r w:rsidRPr="000F69B7">
        <w:t>But exhibits attached to plaintiffs’ complaint only support a claim</w:t>
      </w:r>
      <w:r>
        <w:t xml:space="preserve"> </w:t>
      </w:r>
      <w:r w:rsidRPr="000F69B7">
        <w:t xml:space="preserve">that day shift </w:t>
      </w:r>
      <w:proofErr w:type="gramStart"/>
      <w:r w:rsidRPr="000F69B7">
        <w:t>accommodations were</w:t>
      </w:r>
      <w:proofErr w:type="gramEnd"/>
      <w:r w:rsidRPr="000F69B7">
        <w:t xml:space="preserve"> given to a broader category of </w:t>
      </w:r>
      <w:proofErr w:type="gramStart"/>
      <w:r w:rsidRPr="000F69B7">
        <w:t xml:space="preserve">individuals: </w:t>
      </w:r>
      <w:r>
        <w:t>‘</w:t>
      </w:r>
      <w:proofErr w:type="gramEnd"/>
      <w:r w:rsidRPr="000F69B7">
        <w:t>unvaccinated</w:t>
      </w:r>
      <w:r>
        <w:t xml:space="preserve"> </w:t>
      </w:r>
      <w:r w:rsidRPr="000F69B7">
        <w:t>firefighters.</w:t>
      </w:r>
      <w:r>
        <w:t>’ …</w:t>
      </w:r>
      <w:r w:rsidRPr="000F69B7">
        <w:t>Even taking as true plaintiffs’ claim that day shift accommodations were given only to those requesting religious exemptions</w:t>
      </w:r>
      <w:r>
        <w:t xml:space="preserve"> … </w:t>
      </w:r>
      <w:r w:rsidRPr="000F69B7">
        <w:t xml:space="preserve">those claims do not support a specific inference that animus against </w:t>
      </w:r>
      <w:r w:rsidRPr="000F69B7">
        <w:rPr>
          <w:i/>
          <w:iCs/>
        </w:rPr>
        <w:t>Christians</w:t>
      </w:r>
      <w:r w:rsidRPr="000F69B7">
        <w:t xml:space="preserve"> motivated the</w:t>
      </w:r>
      <w:r>
        <w:t xml:space="preserve"> </w:t>
      </w:r>
      <w:r w:rsidRPr="000F69B7">
        <w:t>implementation of defendants’ vaccination policy.</w:t>
      </w:r>
      <w:r>
        <w:t>”</w:t>
      </w:r>
      <w:r w:rsidRPr="00242674">
        <w:t xml:space="preserve"> </w:t>
      </w:r>
    </w:p>
    <w:p w14:paraId="3A74E3D4" w14:textId="77777777" w:rsidR="002D139D" w:rsidRDefault="002D139D" w:rsidP="002D139D">
      <w:pPr>
        <w:pStyle w:val="NoSpacing"/>
      </w:pPr>
    </w:p>
    <w:p w14:paraId="31552092" w14:textId="77777777" w:rsidR="002D139D" w:rsidRPr="00242674" w:rsidRDefault="002D139D" w:rsidP="002D139D">
      <w:pPr>
        <w:pStyle w:val="NoSpacing"/>
        <w:rPr>
          <w:b/>
          <w:bCs/>
        </w:rPr>
      </w:pPr>
      <w:r>
        <w:rPr>
          <w:b/>
        </w:rPr>
        <w:t>Legal lesson learned: No animus shown to Christian firefighters; no obligation to continue to offer administrative positions with no patient contact.</w:t>
      </w:r>
    </w:p>
    <w:p w14:paraId="29CF51BD" w14:textId="77777777" w:rsidR="002D139D" w:rsidRPr="000F69B7" w:rsidRDefault="002D139D" w:rsidP="002D139D">
      <w:pPr>
        <w:pStyle w:val="NoSpacing"/>
      </w:pPr>
    </w:p>
    <w:p w14:paraId="117F8B31" w14:textId="77777777" w:rsidR="002D139D" w:rsidRPr="00BB2BFD" w:rsidRDefault="002D139D" w:rsidP="002D139D">
      <w:pPr>
        <w:pStyle w:val="NoSpacing"/>
        <w:rPr>
          <w:b/>
        </w:rPr>
      </w:pPr>
    </w:p>
    <w:p w14:paraId="6C27645F" w14:textId="490E9E1D" w:rsidR="002D139D" w:rsidRPr="00A971EA" w:rsidRDefault="00A971EA" w:rsidP="002D139D">
      <w:pPr>
        <w:pStyle w:val="NoSpacing"/>
        <w:rPr>
          <w:rFonts w:ascii="Arial Black" w:hAnsi="Arial Black"/>
          <w:sz w:val="24"/>
          <w:szCs w:val="24"/>
        </w:rPr>
      </w:pPr>
      <w:r w:rsidRPr="00A971EA">
        <w:rPr>
          <w:rFonts w:ascii="Arial Black" w:hAnsi="Arial Black"/>
          <w:sz w:val="24"/>
          <w:szCs w:val="24"/>
        </w:rPr>
        <w:t>13-269</w:t>
      </w:r>
    </w:p>
    <w:p w14:paraId="05F7D749" w14:textId="77777777" w:rsidR="00A971EA" w:rsidRDefault="00A971EA" w:rsidP="002D139D">
      <w:pPr>
        <w:pStyle w:val="NoSpacing"/>
      </w:pPr>
    </w:p>
    <w:p w14:paraId="3E4270B8" w14:textId="77777777" w:rsidR="002D139D" w:rsidRPr="00254CC1" w:rsidRDefault="002D139D" w:rsidP="002D139D">
      <w:pPr>
        <w:pStyle w:val="NoSpacing"/>
        <w:rPr>
          <w:rFonts w:ascii="Arial Black" w:hAnsi="Arial Black"/>
          <w:sz w:val="28"/>
          <w:szCs w:val="28"/>
        </w:rPr>
      </w:pPr>
      <w:r>
        <w:rPr>
          <w:rFonts w:ascii="Arial Black" w:hAnsi="Arial Black"/>
          <w:sz w:val="28"/>
          <w:szCs w:val="28"/>
        </w:rPr>
        <w:t xml:space="preserve">WA: COVID – 15 FF – DUE PROCESS – NOTICE / NO HEARING </w:t>
      </w:r>
    </w:p>
    <w:p w14:paraId="15EB2561" w14:textId="77777777" w:rsidR="002D139D" w:rsidRDefault="002D139D" w:rsidP="002D139D">
      <w:pPr>
        <w:pStyle w:val="NoSpacing"/>
      </w:pPr>
    </w:p>
    <w:p w14:paraId="7905A83E" w14:textId="77777777" w:rsidR="002D139D" w:rsidRDefault="002D139D" w:rsidP="002D139D">
      <w:pPr>
        <w:pStyle w:val="NoSpacing"/>
      </w:pPr>
      <w:r>
        <w:t xml:space="preserve">On July 10, 2026, in </w:t>
      </w:r>
      <w:r w:rsidRPr="008D59DD">
        <w:rPr>
          <w:u w:val="single"/>
        </w:rPr>
        <w:t>Monroe Hill et al. v. Washington Department of Natural Resources</w:t>
      </w:r>
      <w:r>
        <w:t xml:space="preserve">, the United States Court of Appeals for Ninth Circuit (sitting in Seattle) held (3 to 0; unpublished decision) that the trial court judge properly dismissed the lawsuit by 15 firefighters, who refused to be vaccinated on account of their religious beliefs and were subsequently terminated. They were provided due process through the vaccination notice and response process and were not entitled to a </w:t>
      </w:r>
      <w:r w:rsidRPr="00BA6BCD">
        <w:rPr>
          <w:i/>
          <w:iCs/>
        </w:rPr>
        <w:t xml:space="preserve">Loudermill </w:t>
      </w:r>
      <w:r>
        <w:t xml:space="preserve">pre-termination hearing. </w:t>
      </w:r>
      <w:hyperlink r:id="rId2003" w:history="1">
        <w:r w:rsidRPr="00237C6E">
          <w:rPr>
            <w:rStyle w:val="Hyperlink"/>
          </w:rPr>
          <w:t>https://cdn.ca9.uscourts.gov/datastore/memoranda/2026/07/10/25-3863.pdf</w:t>
        </w:r>
      </w:hyperlink>
    </w:p>
    <w:p w14:paraId="69144097" w14:textId="77777777" w:rsidR="002D139D" w:rsidRDefault="002D139D" w:rsidP="002D139D">
      <w:pPr>
        <w:pStyle w:val="NoSpacing"/>
      </w:pPr>
    </w:p>
    <w:p w14:paraId="48FEDA9D" w14:textId="77777777" w:rsidR="002D139D" w:rsidRDefault="002D139D" w:rsidP="002D139D">
      <w:pPr>
        <w:pStyle w:val="NoSpacing"/>
      </w:pPr>
      <w:r>
        <w:t xml:space="preserve">THE COURT WROTE: </w:t>
      </w:r>
    </w:p>
    <w:p w14:paraId="7415993D" w14:textId="77777777" w:rsidR="002D139D" w:rsidRDefault="002D139D" w:rsidP="002D139D">
      <w:pPr>
        <w:pStyle w:val="NoSpacing"/>
      </w:pPr>
      <w:r>
        <w:t>“Defendants-Appellees Washington Department of Natural Resources (‘WDNR’) and Commissioner of Public Lands Hilary Franz (‘Franz’) (together, ‘Defendants’) enacted a department-wide policy requiring employees to be vaccinated against COVID-19. Plaintiffs-Appellants (‘Plaintiffs’) WDNR firefighters declined to be vaccinated on account of their religious beliefs and were subsequently terminated. Plaintiffs appeal the district court’s order dismissing with prejudice three claims brought under 42 U.S.C. § 1983 alleging violations of the</w:t>
      </w:r>
    </w:p>
    <w:p w14:paraId="7BA4C20D" w14:textId="77777777" w:rsidR="002D139D" w:rsidRDefault="002D139D" w:rsidP="002D139D">
      <w:pPr>
        <w:pStyle w:val="NoSpacing"/>
      </w:pPr>
      <w:r>
        <w:t>Free Exercise Clause, Equal Protection Clause, and Due Process Clause…. The vaccine mandate was rescinded on or about May 11, 2023.</w:t>
      </w:r>
    </w:p>
    <w:p w14:paraId="7AB56787" w14:textId="77777777" w:rsidR="002D139D" w:rsidRDefault="002D139D" w:rsidP="002D139D">
      <w:pPr>
        <w:pStyle w:val="NoSpacing"/>
      </w:pPr>
    </w:p>
    <w:p w14:paraId="1C519B29" w14:textId="77777777" w:rsidR="002D139D" w:rsidRDefault="002D139D" w:rsidP="002D139D">
      <w:pPr>
        <w:pStyle w:val="NoSpacing"/>
      </w:pPr>
      <w:r>
        <w:t>***</w:t>
      </w:r>
    </w:p>
    <w:p w14:paraId="01BA23C7" w14:textId="77777777" w:rsidR="002D139D" w:rsidRDefault="002D139D" w:rsidP="002D139D">
      <w:pPr>
        <w:pStyle w:val="NoSpacing"/>
      </w:pPr>
    </w:p>
    <w:p w14:paraId="5CFB3F64" w14:textId="77777777" w:rsidR="002D139D" w:rsidRDefault="002D139D" w:rsidP="002D139D">
      <w:pPr>
        <w:pStyle w:val="NoSpacing"/>
      </w:pPr>
      <w:r w:rsidRPr="004D5F03">
        <w:t>Plaintiffs point to Cleveland Board of Education v. Loudermill, 470 U.S. 532</w:t>
      </w:r>
      <w:r>
        <w:t xml:space="preserve"> </w:t>
      </w:r>
      <w:r w:rsidRPr="004D5F03">
        <w:t>(1985) to support a clearly established right to a pre-termination hearing. In</w:t>
      </w:r>
      <w:r>
        <w:t xml:space="preserve"> </w:t>
      </w:r>
      <w:r w:rsidRPr="004D5F03">
        <w:t xml:space="preserve">Loudermill, the Court determined that </w:t>
      </w:r>
      <w:r>
        <w:t>‘</w:t>
      </w:r>
      <w:r w:rsidRPr="004D5F03">
        <w:t>[t]he essential requirements of due process</w:t>
      </w:r>
      <w:r>
        <w:t xml:space="preserve"> </w:t>
      </w:r>
      <w:r w:rsidRPr="004D5F03">
        <w:t>. . . are notice and an opportunity to respond.” 470 U.S. at 546. WDNR’s</w:t>
      </w:r>
      <w:r>
        <w:t xml:space="preserve"> </w:t>
      </w:r>
      <w:r w:rsidRPr="004D5F03">
        <w:t>accommodation and exemption process</w:t>
      </w:r>
      <w:proofErr w:type="gramStart"/>
      <w:r w:rsidRPr="004D5F03">
        <w:t>, in itself, provided</w:t>
      </w:r>
      <w:proofErr w:type="gramEnd"/>
      <w:r w:rsidRPr="004D5F03">
        <w:t xml:space="preserve"> as much notice and</w:t>
      </w:r>
      <w:r>
        <w:t xml:space="preserve"> </w:t>
      </w:r>
      <w:r w:rsidRPr="004D5F03">
        <w:t>process as the law required. WDNR notified employees that they would be terminated if they did not get vaccinated and the exemption and accommodation</w:t>
      </w:r>
      <w:r>
        <w:t xml:space="preserve"> </w:t>
      </w:r>
      <w:r w:rsidRPr="004D5F03">
        <w:t xml:space="preserve">process provided an opportunity for employees to </w:t>
      </w:r>
      <w:r w:rsidRPr="004D5F03">
        <w:lastRenderedPageBreak/>
        <w:t>present their reasons for</w:t>
      </w:r>
      <w:r>
        <w:t xml:space="preserve"> </w:t>
      </w:r>
      <w:r w:rsidRPr="004D5F03">
        <w:t>noncompliance. We affirm the district court’s dismissal of their Due Process claim</w:t>
      </w:r>
      <w:r>
        <w:t xml:space="preserve"> </w:t>
      </w:r>
      <w:r w:rsidRPr="004D5F03">
        <w:t>with prejudice.</w:t>
      </w:r>
      <w:r>
        <w:t>”</w:t>
      </w:r>
    </w:p>
    <w:p w14:paraId="2DBBBEB7" w14:textId="77777777" w:rsidR="002D139D" w:rsidRDefault="002D139D" w:rsidP="002D139D">
      <w:pPr>
        <w:pStyle w:val="NoSpacing"/>
      </w:pPr>
    </w:p>
    <w:p w14:paraId="169045BB" w14:textId="77777777" w:rsidR="002D139D" w:rsidRDefault="002D139D" w:rsidP="002D139D">
      <w:pPr>
        <w:pStyle w:val="NoSpacing"/>
        <w:rPr>
          <w:b/>
          <w:bCs/>
        </w:rPr>
      </w:pPr>
      <w:r w:rsidRPr="000F7471">
        <w:rPr>
          <w:b/>
        </w:rPr>
        <w:t xml:space="preserve">Legal lesson learned: </w:t>
      </w:r>
      <w:r>
        <w:rPr>
          <w:b/>
        </w:rPr>
        <w:t xml:space="preserve">The notice and opportunity to respond was adequate due process. </w:t>
      </w:r>
    </w:p>
    <w:p w14:paraId="37CFC2D8" w14:textId="77777777" w:rsidR="002D139D" w:rsidRDefault="002D139D" w:rsidP="002D139D">
      <w:pPr>
        <w:pStyle w:val="NoSpacing"/>
        <w:rPr>
          <w:b/>
          <w:bCs/>
        </w:rPr>
      </w:pPr>
    </w:p>
    <w:p w14:paraId="38729CE1" w14:textId="77777777" w:rsidR="002D139D" w:rsidRDefault="002D139D" w:rsidP="002D139D">
      <w:pPr>
        <w:pStyle w:val="NoSpacing"/>
        <w:ind w:left="720"/>
      </w:pPr>
      <w:r>
        <w:t xml:space="preserve">Note:  The U.S. Supreme Court </w:t>
      </w:r>
      <w:r w:rsidRPr="00C70286">
        <w:t xml:space="preserve">in </w:t>
      </w:r>
      <w:r w:rsidRPr="00186123">
        <w:rPr>
          <w:u w:val="single"/>
        </w:rPr>
        <w:t>Cleveland Bd. of Educ. v. Loudermill</w:t>
      </w:r>
      <w:r w:rsidRPr="00C70286">
        <w:t xml:space="preserve">, </w:t>
      </w:r>
      <w:hyperlink r:id="rId2004" w:history="1">
        <w:r w:rsidRPr="00C70286">
          <w:rPr>
            <w:rStyle w:val="Hyperlink"/>
          </w:rPr>
          <w:t>470 U.S. 532</w:t>
        </w:r>
      </w:hyperlink>
      <w:r w:rsidRPr="00C70286">
        <w:t xml:space="preserve"> (1985)</w:t>
      </w:r>
      <w:r>
        <w:t xml:space="preserve"> held (6 to 3) that the Board was required to provide a pre-termination hearing before firing a security guard about an undisclosed felony. </w:t>
      </w:r>
      <w:hyperlink r:id="rId2005" w:anchor="top" w:history="1">
        <w:r w:rsidRPr="00743E29">
          <w:rPr>
            <w:rStyle w:val="Hyperlink"/>
          </w:rPr>
          <w:t>https://supreme.justia.com/cases/federal/us/470/532/#top</w:t>
        </w:r>
      </w:hyperlink>
    </w:p>
    <w:p w14:paraId="1FF9375C" w14:textId="77777777" w:rsidR="002D139D" w:rsidRDefault="002D139D" w:rsidP="002D139D">
      <w:pPr>
        <w:pStyle w:val="NoSpacing"/>
      </w:pPr>
    </w:p>
    <w:p w14:paraId="36CD932C" w14:textId="77777777" w:rsidR="002D139D" w:rsidRDefault="002D139D" w:rsidP="002D139D">
      <w:pPr>
        <w:pStyle w:val="NoSpacing"/>
        <w:rPr>
          <w:b/>
          <w:sz w:val="20"/>
          <w:szCs w:val="20"/>
        </w:rPr>
      </w:pPr>
    </w:p>
    <w:p w14:paraId="38F04CE6" w14:textId="0C1C36E7" w:rsidR="002D139D" w:rsidRPr="00A971EA" w:rsidRDefault="00A971EA" w:rsidP="002D139D">
      <w:pPr>
        <w:pStyle w:val="NoSpacing"/>
        <w:rPr>
          <w:rFonts w:ascii="Arial Black" w:hAnsi="Arial Black"/>
          <w:bCs/>
          <w:sz w:val="24"/>
          <w:szCs w:val="24"/>
        </w:rPr>
      </w:pPr>
      <w:r w:rsidRPr="00A971EA">
        <w:rPr>
          <w:rFonts w:ascii="Arial Black" w:hAnsi="Arial Black"/>
          <w:bCs/>
          <w:sz w:val="24"/>
          <w:szCs w:val="24"/>
        </w:rPr>
        <w:t>13-268</w:t>
      </w:r>
    </w:p>
    <w:p w14:paraId="21486803" w14:textId="77777777" w:rsidR="00A971EA" w:rsidRPr="00E5565B" w:rsidRDefault="00A971EA" w:rsidP="002D139D">
      <w:pPr>
        <w:pStyle w:val="NoSpacing"/>
        <w:rPr>
          <w:bCs/>
        </w:rPr>
      </w:pPr>
    </w:p>
    <w:p w14:paraId="75C2F5C8" w14:textId="77777777" w:rsidR="002D139D" w:rsidRDefault="002D139D" w:rsidP="002D139D">
      <w:pPr>
        <w:pStyle w:val="NoSpacing"/>
        <w:rPr>
          <w:rFonts w:ascii="Arial Black" w:hAnsi="Arial Black"/>
          <w:b/>
          <w:sz w:val="28"/>
          <w:szCs w:val="28"/>
        </w:rPr>
      </w:pPr>
      <w:r>
        <w:rPr>
          <w:rFonts w:ascii="Arial Black" w:hAnsi="Arial Black"/>
          <w:b/>
          <w:sz w:val="28"/>
          <w:szCs w:val="28"/>
        </w:rPr>
        <w:t>NY: PRIVATE AMBUL CO – DENIED LICENSE – NO “NEED”</w:t>
      </w:r>
    </w:p>
    <w:p w14:paraId="535BFEE1" w14:textId="77777777" w:rsidR="002D139D" w:rsidRPr="00AD2D8A" w:rsidRDefault="002D139D" w:rsidP="002D139D">
      <w:pPr>
        <w:pStyle w:val="NoSpacing"/>
        <w:rPr>
          <w:rFonts w:ascii="Arial Black" w:hAnsi="Arial Black"/>
          <w:b/>
          <w:sz w:val="28"/>
          <w:szCs w:val="28"/>
        </w:rPr>
      </w:pPr>
    </w:p>
    <w:p w14:paraId="0B4DD615" w14:textId="77777777" w:rsidR="002D139D" w:rsidRPr="00196850" w:rsidRDefault="002D139D" w:rsidP="002D139D">
      <w:pPr>
        <w:pStyle w:val="NoSpacing"/>
        <w:rPr>
          <w:bCs/>
        </w:rPr>
      </w:pPr>
      <w:r>
        <w:t xml:space="preserve">On July 10, 2026, in </w:t>
      </w:r>
      <w:r w:rsidRPr="00196850">
        <w:rPr>
          <w:u w:val="single"/>
        </w:rPr>
        <w:t>Blue Care, Inc. v. The New York State Department of Health</w:t>
      </w:r>
      <w:r>
        <w:t xml:space="preserve">, Judge </w:t>
      </w:r>
      <w:r w:rsidRPr="00066677">
        <w:t>John P. Collins, Jr.</w:t>
      </w:r>
      <w:r>
        <w:t xml:space="preserve">, the </w:t>
      </w:r>
      <w:r w:rsidRPr="00196850">
        <w:t>Supreme Court, Rockland County</w:t>
      </w:r>
      <w:r>
        <w:t xml:space="preserve"> held (unpublished opinion) that the State’s Emergency Medical Services Council properly denied an </w:t>
      </w:r>
      <w:r w:rsidRPr="00E16227">
        <w:t>ambulance service certificate for Rockland County, New York</w:t>
      </w:r>
      <w:r>
        <w:t xml:space="preserve">; there was no “need” for another ambulance service per 2024 hearing before the </w:t>
      </w:r>
      <w:r w:rsidRPr="00E16227">
        <w:t>Hudson Valley Regional Emergency Medical Services Council</w:t>
      </w:r>
      <w:r>
        <w:t xml:space="preserve">. The Ambulance company presented testimony at the hearing about hospitals and nursing facilities needing more services, but failed to present any statistical evidence. </w:t>
      </w:r>
      <w:hyperlink r:id="rId2006" w:history="1">
        <w:r w:rsidRPr="000F5D15">
          <w:rPr>
            <w:rStyle w:val="Hyperlink"/>
          </w:rPr>
          <w:t>https://public.fastcase.com/Jhe1Qn%2BmJndQYQU6z%2FeNm1ngVbZVwfb9i9nq%2ByxsJt7eYa6Yri%2FXr9veF2mIoPRbBYalWXjl02DPpQ9AYC5%2BzkBbUV9CJV65Gz31ZPaNAhA%3D?utm_medium=email&amp;_hsenc=p2ANqtz--v_X0_ty2KgZc4cuUGDg0UHRgKtD60M90IuqE8DpMJ6uO5aXr8LyUQmZOmsR5mb8hE3f734Ge27BP-t9ynHj9iUX7jKQ&amp;_hsmi=226712652&amp;utm_content=226712652&amp;utm_source=hs_email</w:t>
        </w:r>
      </w:hyperlink>
      <w:r>
        <w:t xml:space="preserve"> </w:t>
      </w:r>
    </w:p>
    <w:p w14:paraId="441A9D06" w14:textId="77777777" w:rsidR="002D139D" w:rsidRPr="00196850" w:rsidRDefault="002D139D" w:rsidP="002D139D">
      <w:pPr>
        <w:pStyle w:val="NoSpacing"/>
        <w:rPr>
          <w:bCs/>
        </w:rPr>
      </w:pPr>
    </w:p>
    <w:p w14:paraId="4C06CE43" w14:textId="77777777" w:rsidR="002D139D" w:rsidRDefault="002D139D" w:rsidP="002D139D">
      <w:pPr>
        <w:pStyle w:val="NoSpacing"/>
        <w:rPr>
          <w:bCs/>
        </w:rPr>
      </w:pPr>
    </w:p>
    <w:p w14:paraId="3C23CD70" w14:textId="77777777" w:rsidR="002D139D" w:rsidRDefault="002D139D" w:rsidP="002D139D">
      <w:pPr>
        <w:pStyle w:val="NoSpacing"/>
        <w:rPr>
          <w:bCs/>
        </w:rPr>
      </w:pPr>
      <w:r>
        <w:t>THE COURT WROTE:</w:t>
      </w:r>
    </w:p>
    <w:p w14:paraId="448D0725" w14:textId="77777777" w:rsidR="002D139D" w:rsidRDefault="002D139D" w:rsidP="002D139D">
      <w:pPr>
        <w:pStyle w:val="NoSpacing"/>
        <w:rPr>
          <w:bCs/>
        </w:rPr>
      </w:pPr>
    </w:p>
    <w:p w14:paraId="7157FEE4" w14:textId="77777777" w:rsidR="002D139D" w:rsidRDefault="002D139D" w:rsidP="002D139D">
      <w:pPr>
        <w:pStyle w:val="NoSpacing"/>
      </w:pPr>
      <w:r>
        <w:t>“</w:t>
      </w:r>
      <w:r w:rsidRPr="00865DE0">
        <w:t>The Petitioner was informed on January 27, 2026, that the State Emergency Medical Services Council voted to uphold the Hudson Valley Regional Emergency Medical Services Council's decision to deny Petitioner's application for new service</w:t>
      </w:r>
      <w:r>
        <w:t xml:space="preserve">…. </w:t>
      </w:r>
      <w:proofErr w:type="gramStart"/>
      <w:r w:rsidRPr="00865DE0">
        <w:t>Petitioner</w:t>
      </w:r>
      <w:proofErr w:type="gramEnd"/>
      <w:r w:rsidRPr="00865DE0">
        <w:t xml:space="preserve"> commenced the instant Article 78 proceeding within sixty (60) days of </w:t>
      </w:r>
      <w:proofErr w:type="gramStart"/>
      <w:r w:rsidRPr="00865DE0">
        <w:t>the January</w:t>
      </w:r>
      <w:proofErr w:type="gramEnd"/>
      <w:r w:rsidRPr="00865DE0">
        <w:t xml:space="preserve"> 27, 2026, determination, as required by </w:t>
      </w:r>
      <w:r w:rsidRPr="00865DE0">
        <w:rPr>
          <w:i/>
          <w:iCs/>
        </w:rPr>
        <w:t>Public Health Law</w:t>
      </w:r>
      <w:r w:rsidRPr="00865DE0">
        <w:t xml:space="preserve"> § 3002.</w:t>
      </w:r>
    </w:p>
    <w:p w14:paraId="57DA529C" w14:textId="77777777" w:rsidR="002D139D" w:rsidRDefault="002D139D" w:rsidP="002D139D">
      <w:pPr>
        <w:pStyle w:val="NoSpacing"/>
      </w:pPr>
    </w:p>
    <w:p w14:paraId="6DA00628" w14:textId="77777777" w:rsidR="002D139D" w:rsidRDefault="002D139D" w:rsidP="002D139D">
      <w:pPr>
        <w:pStyle w:val="NoSpacing"/>
      </w:pPr>
      <w:r>
        <w:t>***</w:t>
      </w:r>
    </w:p>
    <w:p w14:paraId="2F19246B" w14:textId="77777777" w:rsidR="002D139D" w:rsidRDefault="002D139D" w:rsidP="002D139D">
      <w:pPr>
        <w:pStyle w:val="NoSpacing"/>
      </w:pPr>
      <w:r w:rsidRPr="00956D99">
        <w:t xml:space="preserve">Petitioner contends the question before the Court is whether it established a need for ambulance services in Rockland County and whether he Respondent's determination that the Petition failed to prove </w:t>
      </w:r>
      <w:r>
        <w:t>‘</w:t>
      </w:r>
      <w:r w:rsidRPr="00956D99">
        <w:t>need</w:t>
      </w:r>
      <w:r>
        <w:t xml:space="preserve">’ </w:t>
      </w:r>
      <w:r w:rsidRPr="00956D99">
        <w:t xml:space="preserve">of services through </w:t>
      </w:r>
      <w:r>
        <w:t>‘</w:t>
      </w:r>
      <w:r w:rsidRPr="00956D99">
        <w:t>quantifiable date</w:t>
      </w:r>
      <w:r>
        <w:t>’</w:t>
      </w:r>
      <w:r w:rsidRPr="00956D99">
        <w:t xml:space="preserve"> was arbitrary and capricious. Specifically, the Petitioner challenges the requirement that a Petitioner can only establish </w:t>
      </w:r>
      <w:r>
        <w:t>‘</w:t>
      </w:r>
      <w:r w:rsidRPr="00956D99">
        <w:t>need,</w:t>
      </w:r>
      <w:r>
        <w:t>’</w:t>
      </w:r>
      <w:r w:rsidRPr="00956D99">
        <w:t xml:space="preserve"> as it is defined in Department of Health Policy 06-06, through statistics instead of through testimony and written support from affected hospitals and nursing homes.</w:t>
      </w:r>
      <w:r w:rsidRPr="00160BD1">
        <w:t xml:space="preserve"> </w:t>
      </w:r>
      <w:proofErr w:type="gramStart"/>
      <w:r w:rsidRPr="00160BD1">
        <w:t>Petitioner contends</w:t>
      </w:r>
      <w:proofErr w:type="gramEnd"/>
      <w:r w:rsidRPr="00160BD1">
        <w:t xml:space="preserve"> that there is no statute, regulation or policy that requires use of statistics as a means of establishing </w:t>
      </w:r>
      <w:r>
        <w:t>‘</w:t>
      </w:r>
      <w:r w:rsidRPr="00160BD1">
        <w:t>need.</w:t>
      </w:r>
      <w:r>
        <w:t>’</w:t>
      </w:r>
      <w:r w:rsidRPr="00160BD1">
        <w:t xml:space="preserve"> Petitioner notes that neither </w:t>
      </w:r>
      <w:r w:rsidRPr="00160BD1">
        <w:rPr>
          <w:i/>
          <w:iCs/>
        </w:rPr>
        <w:t>Public Health Law</w:t>
      </w:r>
      <w:r w:rsidRPr="00160BD1">
        <w:t xml:space="preserve"> § 30, 29 NYCRR Part 800 nor Department of Health Policy 06-6 require an applicant to submit statistics from hospitals and nursing homes of the need for additional ambulance services. According to Petitioner, these types of statistics are not required -- as the records that would support these statistics are not maintained by the hospitals and nursing homes. Instead, Petitioner contends that this </w:t>
      </w:r>
      <w:r>
        <w:t>‘</w:t>
      </w:r>
      <w:r w:rsidRPr="00160BD1">
        <w:t>need</w:t>
      </w:r>
      <w:r>
        <w:t>’</w:t>
      </w:r>
      <w:r w:rsidRPr="00160BD1">
        <w:t xml:space="preserve"> is determined through anecdotal testimony from representatives of the hospitals and nursing homes, which is sufficient. Also, Petitioner asserts that there is no requirement that statistics are the only method of establishing </w:t>
      </w:r>
      <w:r>
        <w:t>‘</w:t>
      </w:r>
      <w:r w:rsidRPr="00160BD1">
        <w:t>need.</w:t>
      </w:r>
      <w:r>
        <w:t xml:space="preserve">’… </w:t>
      </w:r>
      <w:r w:rsidRPr="00EE4454">
        <w:t>Accordingly, it is hereby ORDERED that the Declaratory Judgment action pursuant to Civil Practice Law and Rules § 3001 is dismissed consistent with the foregoing Decisio</w:t>
      </w:r>
      <w:r>
        <w:t xml:space="preserve">n; </w:t>
      </w:r>
      <w:r w:rsidRPr="0049391F">
        <w:t xml:space="preserve">it is further ORDERED that the Article 78 action is transferred to the Appellate Division, Second Department pursuant to </w:t>
      </w:r>
      <w:r w:rsidRPr="0049391F">
        <w:rPr>
          <w:i/>
          <w:iCs/>
        </w:rPr>
        <w:t>Civil Practice Law and Rules</w:t>
      </w:r>
      <w:r w:rsidRPr="0049391F">
        <w:t xml:space="preserve"> § 7804(g).</w:t>
      </w:r>
      <w:r>
        <w:t>”</w:t>
      </w:r>
    </w:p>
    <w:p w14:paraId="7296E852" w14:textId="77777777" w:rsidR="002D139D" w:rsidRDefault="002D139D" w:rsidP="002D139D">
      <w:pPr>
        <w:pStyle w:val="NoSpacing"/>
      </w:pPr>
    </w:p>
    <w:p w14:paraId="225B8E9F" w14:textId="77777777" w:rsidR="002D139D" w:rsidRPr="0049391F" w:rsidRDefault="002D139D" w:rsidP="002D139D">
      <w:pPr>
        <w:pStyle w:val="NoSpacing"/>
        <w:rPr>
          <w:b/>
          <w:bCs/>
        </w:rPr>
      </w:pPr>
      <w:r>
        <w:rPr>
          <w:b/>
        </w:rPr>
        <w:lastRenderedPageBreak/>
        <w:t xml:space="preserve">Legal lesson learned: Statistical evidence of a need for another ambulance company can be important in a hearing; you would expect the company </w:t>
      </w:r>
      <w:proofErr w:type="gramStart"/>
      <w:r>
        <w:rPr>
          <w:b/>
        </w:rPr>
        <w:t>had</w:t>
      </w:r>
      <w:proofErr w:type="gramEnd"/>
      <w:r>
        <w:rPr>
          <w:b/>
        </w:rPr>
        <w:t xml:space="preserve"> conducted some survey of need in its business plan prior to submitting its petition.</w:t>
      </w:r>
    </w:p>
    <w:p w14:paraId="2D7B34EB" w14:textId="77777777" w:rsidR="002D139D" w:rsidRPr="00EE4454" w:rsidRDefault="002D139D" w:rsidP="002D139D">
      <w:pPr>
        <w:pStyle w:val="NoSpacing"/>
      </w:pPr>
    </w:p>
    <w:p w14:paraId="6AA9D5F6" w14:textId="77777777" w:rsidR="002D139D" w:rsidRDefault="002D139D" w:rsidP="002D139D">
      <w:pPr>
        <w:pStyle w:val="NoSpacing"/>
        <w:rPr>
          <w:bCs/>
        </w:rPr>
      </w:pPr>
    </w:p>
    <w:p w14:paraId="10824039" w14:textId="77777777" w:rsidR="002D139D" w:rsidRDefault="002D139D" w:rsidP="002D139D">
      <w:pPr>
        <w:pStyle w:val="NoSpacing"/>
        <w:rPr>
          <w:b/>
          <w:sz w:val="20"/>
          <w:szCs w:val="20"/>
        </w:rPr>
      </w:pPr>
    </w:p>
    <w:p w14:paraId="6FE675DD" w14:textId="77777777" w:rsidR="002D139D" w:rsidRDefault="002D139D" w:rsidP="002D139D">
      <w:pPr>
        <w:pStyle w:val="NoSpacing"/>
        <w:rPr>
          <w:b/>
          <w:sz w:val="20"/>
          <w:szCs w:val="20"/>
        </w:rPr>
      </w:pPr>
    </w:p>
    <w:p w14:paraId="77449119" w14:textId="77777777" w:rsidR="002D139D" w:rsidRDefault="002D139D" w:rsidP="002D139D">
      <w:pPr>
        <w:pStyle w:val="NoSpacing"/>
        <w:rPr>
          <w:b/>
          <w:sz w:val="20"/>
          <w:szCs w:val="20"/>
        </w:rPr>
      </w:pPr>
    </w:p>
    <w:p w14:paraId="1C7F68FD" w14:textId="77777777" w:rsidR="002D139D" w:rsidRDefault="002D139D" w:rsidP="002D139D">
      <w:pPr>
        <w:pStyle w:val="NoSpacing"/>
        <w:rPr>
          <w:b/>
          <w:sz w:val="20"/>
          <w:szCs w:val="20"/>
        </w:rPr>
      </w:pPr>
    </w:p>
    <w:p w14:paraId="5EEB83F4" w14:textId="77777777" w:rsidR="002D139D" w:rsidRDefault="002D139D" w:rsidP="002D139D">
      <w:pPr>
        <w:pStyle w:val="NoSpacing"/>
        <w:rPr>
          <w:b/>
          <w:sz w:val="20"/>
          <w:szCs w:val="20"/>
        </w:rPr>
      </w:pPr>
    </w:p>
    <w:p w14:paraId="0C3223E0" w14:textId="77777777" w:rsidR="002D139D" w:rsidRDefault="002D139D" w:rsidP="002D139D">
      <w:pPr>
        <w:pStyle w:val="NoSpacing"/>
        <w:rPr>
          <w:b/>
          <w:sz w:val="20"/>
          <w:szCs w:val="20"/>
        </w:rPr>
      </w:pPr>
    </w:p>
    <w:p w14:paraId="7A9701FE" w14:textId="77777777" w:rsidR="002D139D" w:rsidRDefault="002D139D" w:rsidP="002D139D">
      <w:pPr>
        <w:pStyle w:val="NoSpacing"/>
        <w:rPr>
          <w:b/>
          <w:sz w:val="20"/>
          <w:szCs w:val="20"/>
        </w:rPr>
      </w:pPr>
    </w:p>
    <w:p w14:paraId="0B02277D" w14:textId="00F49392" w:rsidR="002D139D" w:rsidRDefault="00A971EA" w:rsidP="002D139D">
      <w:pPr>
        <w:pStyle w:val="NoSpacing"/>
        <w:rPr>
          <w:rFonts w:ascii="Arial Black" w:hAnsi="Arial Black"/>
          <w:b/>
          <w:sz w:val="24"/>
          <w:szCs w:val="24"/>
        </w:rPr>
      </w:pPr>
      <w:r w:rsidRPr="00A971EA">
        <w:rPr>
          <w:rFonts w:ascii="Arial Black" w:hAnsi="Arial Black"/>
          <w:b/>
          <w:sz w:val="24"/>
          <w:szCs w:val="24"/>
        </w:rPr>
        <w:t>13-267</w:t>
      </w:r>
    </w:p>
    <w:p w14:paraId="5A3AF5C0" w14:textId="77777777" w:rsidR="00A971EA" w:rsidRPr="00A971EA" w:rsidRDefault="00A971EA" w:rsidP="002D139D">
      <w:pPr>
        <w:pStyle w:val="NoSpacing"/>
        <w:rPr>
          <w:rFonts w:ascii="Arial Black" w:hAnsi="Arial Black"/>
          <w:b/>
          <w:sz w:val="24"/>
          <w:szCs w:val="24"/>
        </w:rPr>
      </w:pPr>
    </w:p>
    <w:p w14:paraId="6CB19DEE" w14:textId="77777777" w:rsidR="002D139D" w:rsidRDefault="002D139D" w:rsidP="002D139D">
      <w:pPr>
        <w:pStyle w:val="NoSpacing"/>
        <w:rPr>
          <w:rFonts w:ascii="Arial Black" w:hAnsi="Arial Black"/>
          <w:b/>
          <w:sz w:val="28"/>
          <w:szCs w:val="28"/>
        </w:rPr>
      </w:pPr>
      <w:r>
        <w:rPr>
          <w:rFonts w:ascii="Arial Black" w:hAnsi="Arial Black"/>
          <w:b/>
          <w:sz w:val="28"/>
          <w:szCs w:val="28"/>
        </w:rPr>
        <w:t>CO: CRISIS RESP - MEDIC TAKLED PT / DIED - IMMUNITY</w:t>
      </w:r>
    </w:p>
    <w:p w14:paraId="7504A426" w14:textId="77777777" w:rsidR="002D139D" w:rsidRDefault="002D139D" w:rsidP="002D139D">
      <w:pPr>
        <w:pStyle w:val="NoSpacing"/>
        <w:rPr>
          <w:rFonts w:ascii="Arial Black" w:hAnsi="Arial Black"/>
          <w:b/>
          <w:sz w:val="28"/>
          <w:szCs w:val="28"/>
        </w:rPr>
      </w:pPr>
    </w:p>
    <w:p w14:paraId="4E1A4D33" w14:textId="77777777" w:rsidR="002D139D" w:rsidRDefault="002D139D" w:rsidP="002D139D">
      <w:pPr>
        <w:pStyle w:val="NoSpacing"/>
        <w:rPr>
          <w:b/>
        </w:rPr>
      </w:pPr>
      <w:r w:rsidRPr="00F1416F">
        <w:t xml:space="preserve">On July 6, 2026, in </w:t>
      </w:r>
      <w:r w:rsidRPr="00757F6B">
        <w:rPr>
          <w:u w:val="single"/>
        </w:rPr>
        <w:t>Estate of Kevin Dizmang v. Sean Reed, a Colorado Springs Police Officer</w:t>
      </w:r>
      <w:r>
        <w:rPr>
          <w:u w:val="single"/>
        </w:rPr>
        <w:t>, and Nick Fischer, a Colorado Springs Fire Department Paramedic</w:t>
      </w:r>
      <w:r>
        <w:t xml:space="preserve">, the </w:t>
      </w:r>
      <w:r w:rsidRPr="0050642F">
        <w:t>United States Court of Appeals, Tenth Circuit</w:t>
      </w:r>
      <w:r>
        <w:t xml:space="preserve"> (Denver) held (3 to 0) that trial court properly held both members of crisis response unit are entitled to qualified immunity.  </w:t>
      </w:r>
      <w:hyperlink r:id="rId2007" w:history="1">
        <w:r w:rsidRPr="003158CB">
          <w:rPr>
            <w:rStyle w:val="Hyperlink"/>
            <w:b/>
          </w:rPr>
          <w:t>https://cases.justia.com/federal/appellate-courts/ca10/25-1118/25-1118-2026-07-06.pdf?ts=1783359113</w:t>
        </w:r>
      </w:hyperlink>
      <w:r>
        <w:rPr>
          <w:b/>
        </w:rPr>
        <w:t xml:space="preserve"> </w:t>
      </w:r>
    </w:p>
    <w:p w14:paraId="6210800E" w14:textId="77777777" w:rsidR="002D139D" w:rsidRDefault="002D139D" w:rsidP="002D139D">
      <w:pPr>
        <w:pStyle w:val="NoSpacing"/>
        <w:rPr>
          <w:bCs/>
        </w:rPr>
      </w:pPr>
    </w:p>
    <w:p w14:paraId="2E0D93D2" w14:textId="77777777" w:rsidR="002D139D" w:rsidRPr="0050642F" w:rsidRDefault="002D139D" w:rsidP="002D139D">
      <w:pPr>
        <w:pStyle w:val="NoSpacing"/>
        <w:rPr>
          <w:bCs/>
        </w:rPr>
      </w:pPr>
      <w:r>
        <w:t xml:space="preserve">THE COURT WROTE: </w:t>
      </w:r>
    </w:p>
    <w:p w14:paraId="59ECA6FF" w14:textId="77777777" w:rsidR="002D139D" w:rsidRPr="00757F6B" w:rsidRDefault="002D139D" w:rsidP="002D139D">
      <w:pPr>
        <w:pStyle w:val="NoSpacing"/>
        <w:rPr>
          <w:bCs/>
        </w:rPr>
      </w:pPr>
    </w:p>
    <w:p w14:paraId="66CF57F4" w14:textId="77777777" w:rsidR="002D139D" w:rsidRDefault="002D139D" w:rsidP="002D139D">
      <w:pPr>
        <w:pStyle w:val="NoSpacing"/>
      </w:pPr>
      <w:r>
        <w:t>“</w:t>
      </w:r>
      <w:r w:rsidRPr="00CB5F0D">
        <w:t>On November 15, 2022, CSPD received reports that Dizmang was displaying symptoms of schizophrenia and post-traumatic stress disorder, damaging his residential vehicle, and walking in traffic. CSPD dispatched Reed, Fischer, and a clinician named Andrea Alban to the scene</w:t>
      </w:r>
      <w:r>
        <w:t xml:space="preserve">…. </w:t>
      </w:r>
      <w:r w:rsidRPr="004E2640">
        <w:t xml:space="preserve">Reed eventually got ahold of Dizmang, walked him towards the sidewalk, and attempted to handcuff him. Dizmang broke free and walked away from the sidewalk, towards the middle of the road. Reed again got ahold of Dizmang, moved him onto the sidewalk, and attempted to handcuff him a second time. Dizmang again broke free, but this time he fled toward a line of trees in front of a mobile-home park. As Reed caught up and attempted to handcuff Dizmang for a third time, Alban told Fischer to help restrain Dizmang. </w:t>
      </w:r>
      <w:r>
        <w:t xml:space="preserve"> [Per the plaintiff’s complaint] </w:t>
      </w:r>
      <w:r w:rsidRPr="004E2640">
        <w:t xml:space="preserve">Fischer then </w:t>
      </w:r>
      <w:r>
        <w:t>‘</w:t>
      </w:r>
      <w:r w:rsidRPr="004E2640">
        <w:t>suddenly and violently tackled</w:t>
      </w:r>
      <w:r>
        <w:t>’</w:t>
      </w:r>
      <w:r w:rsidRPr="004E2640">
        <w:t xml:space="preserve"> Dizmang and drove him into the ground, where Dizmang landed on his right side</w:t>
      </w:r>
      <w:r>
        <w:t xml:space="preserve">…. </w:t>
      </w:r>
      <w:r w:rsidRPr="004E2640">
        <w:t xml:space="preserve"> Fischer then put Dizmang in a chokehold for approximately 30 seconds. During this time, Dizmang </w:t>
      </w:r>
      <w:r>
        <w:t>‘</w:t>
      </w:r>
      <w:r w:rsidRPr="004E2640">
        <w:t>quit moving.</w:t>
      </w:r>
      <w:r>
        <w:t xml:space="preserve">’ … </w:t>
      </w:r>
      <w:r w:rsidRPr="004E2640">
        <w:t xml:space="preserve">Then, Fischer </w:t>
      </w:r>
      <w:r>
        <w:t>‘</w:t>
      </w:r>
      <w:r w:rsidRPr="004E2640">
        <w:t>rolled [Dizmang] face down onto the ground, . . . placed his hands on the back of [Dizmang's] neck and dr[</w:t>
      </w:r>
      <w:proofErr w:type="spellStart"/>
      <w:r w:rsidRPr="004E2640">
        <w:t>ove</w:t>
      </w:r>
      <w:proofErr w:type="spellEnd"/>
      <w:r w:rsidRPr="004E2640">
        <w:t>] his body weight downward, pushing [Dizmang's] neck and face into the ground. At this point, [Dizmang] remained completely motionless.</w:t>
      </w:r>
      <w:r>
        <w:t xml:space="preserve">’ … </w:t>
      </w:r>
      <w:r w:rsidRPr="004E2640">
        <w:t>Fischer maintained this position for approximately 45 seconds, long enough for Reed to finish handcuffing Dizmang. Fischer and Reed then rolled Dizmang onto his back and seated him upright</w:t>
      </w:r>
      <w:r>
        <w:t xml:space="preserve">…. </w:t>
      </w:r>
      <w:r w:rsidRPr="007356F6">
        <w:t xml:space="preserve">By this time, Dizmang was unresponsive. Fischer noted that Dizmang was not aspirating and stated that he wanted to </w:t>
      </w:r>
      <w:r>
        <w:t>‘</w:t>
      </w:r>
      <w:r w:rsidRPr="007356F6">
        <w:t>attempt a nasal airway,</w:t>
      </w:r>
      <w:r>
        <w:t>’</w:t>
      </w:r>
      <w:r w:rsidRPr="007356F6">
        <w:t xml:space="preserve"> and Reed called for an ambulance</w:t>
      </w:r>
      <w:r>
        <w:t xml:space="preserve">…. </w:t>
      </w:r>
      <w:r w:rsidRPr="007356F6">
        <w:t xml:space="preserve">Once the ambulance arrived, Fischer and other medical professionals tried to resuscitate Dizmang </w:t>
      </w:r>
      <w:proofErr w:type="spellStart"/>
      <w:r w:rsidRPr="007356F6">
        <w:t>en</w:t>
      </w:r>
      <w:proofErr w:type="spellEnd"/>
      <w:r w:rsidRPr="007356F6">
        <w:t xml:space="preserve"> route to a hospital. These efforts continued once Dizmang arrived at the hospital. However, Dizmang was pronounced dead in the emergency room.</w:t>
      </w:r>
      <w:r>
        <w:t xml:space="preserve"> </w:t>
      </w:r>
    </w:p>
    <w:p w14:paraId="3B6E2B3E" w14:textId="77777777" w:rsidR="002D139D" w:rsidRDefault="002D139D" w:rsidP="002D139D">
      <w:pPr>
        <w:pStyle w:val="NoSpacing"/>
      </w:pPr>
    </w:p>
    <w:p w14:paraId="0C7DD02E" w14:textId="77777777" w:rsidR="002D139D" w:rsidRDefault="002D139D" w:rsidP="002D139D">
      <w:pPr>
        <w:pStyle w:val="NoSpacing"/>
      </w:pPr>
      <w:r>
        <w:t xml:space="preserve">*** </w:t>
      </w:r>
    </w:p>
    <w:p w14:paraId="51A82257" w14:textId="77777777" w:rsidR="002D139D" w:rsidRDefault="002D139D" w:rsidP="002D139D">
      <w:pPr>
        <w:pStyle w:val="NoSpacing"/>
        <w:rPr>
          <w:bCs/>
        </w:rPr>
      </w:pPr>
    </w:p>
    <w:p w14:paraId="3A3A5533" w14:textId="77777777" w:rsidR="002D139D" w:rsidRDefault="002D139D" w:rsidP="002D139D">
      <w:pPr>
        <w:pStyle w:val="NoSpacing"/>
      </w:pPr>
      <w:r w:rsidRPr="00A65E70">
        <w:t xml:space="preserve">These facts do not support the Estate's theory that Fischer used </w:t>
      </w:r>
      <w:r>
        <w:t>‘</w:t>
      </w:r>
      <w:r w:rsidRPr="00A65E70">
        <w:t>totally unnecessary</w:t>
      </w:r>
      <w:r>
        <w:t>’</w:t>
      </w:r>
      <w:r w:rsidRPr="00A65E70">
        <w:t xml:space="preserve"> force to restrain Dizmang and differ substantially from the unnecessary force applied in </w:t>
      </w:r>
      <w:r w:rsidRPr="00A65E70">
        <w:rPr>
          <w:i/>
          <w:iCs/>
        </w:rPr>
        <w:t>Weigel</w:t>
      </w:r>
      <w:r w:rsidRPr="00A65E70">
        <w:t xml:space="preserve">. </w:t>
      </w:r>
      <w:r w:rsidRPr="00A65E70">
        <w:rPr>
          <w:i/>
          <w:iCs/>
        </w:rPr>
        <w:t>Id.</w:t>
      </w:r>
      <w:r w:rsidRPr="00A65E70">
        <w:t xml:space="preserve"> at 1154. Thus, </w:t>
      </w:r>
      <w:r w:rsidRPr="00A65E70">
        <w:rPr>
          <w:i/>
          <w:iCs/>
        </w:rPr>
        <w:t>Weigel</w:t>
      </w:r>
      <w:r w:rsidRPr="00A65E70">
        <w:t xml:space="preserve"> did not place Fischer on notice that his use of force would subject him to constitutional liability</w:t>
      </w:r>
      <w:r>
        <w:t xml:space="preserve">…. </w:t>
      </w:r>
      <w:r w:rsidRPr="00B66519">
        <w:t xml:space="preserve">Fischer's conduct was not particularly egregious, at least when compared to the incidents in </w:t>
      </w:r>
      <w:r w:rsidRPr="00B66519">
        <w:rPr>
          <w:i/>
          <w:iCs/>
        </w:rPr>
        <w:t>Weigel</w:t>
      </w:r>
      <w:r w:rsidRPr="00B66519">
        <w:t xml:space="preserve">, </w:t>
      </w:r>
      <w:r w:rsidRPr="00B66519">
        <w:rPr>
          <w:i/>
          <w:iCs/>
        </w:rPr>
        <w:t>Teetz</w:t>
      </w:r>
      <w:r w:rsidRPr="00B66519">
        <w:t xml:space="preserve">, and </w:t>
      </w:r>
      <w:r w:rsidRPr="00B66519">
        <w:rPr>
          <w:i/>
          <w:iCs/>
        </w:rPr>
        <w:t>Estate of Booker</w:t>
      </w:r>
      <w:r w:rsidRPr="00B66519">
        <w:t>; we certainly cannot say he committed an obvious constitutional violation by restraining Dizmang so that Reed could apply handcuffs. Therefore, the Estate has not overcome Fischer's assertion of qualified immunity.</w:t>
      </w:r>
      <w:r>
        <w:t>”</w:t>
      </w:r>
    </w:p>
    <w:p w14:paraId="6AE34716" w14:textId="77777777" w:rsidR="002D139D" w:rsidRDefault="002D139D" w:rsidP="002D139D">
      <w:pPr>
        <w:pStyle w:val="NoSpacing"/>
      </w:pPr>
    </w:p>
    <w:p w14:paraId="2C2B14B9" w14:textId="77777777" w:rsidR="002D139D" w:rsidRDefault="002D139D" w:rsidP="002D139D">
      <w:pPr>
        <w:pStyle w:val="NoSpacing"/>
        <w:rPr>
          <w:b/>
        </w:rPr>
      </w:pPr>
      <w:r w:rsidRPr="0054722F">
        <w:rPr>
          <w:b/>
        </w:rPr>
        <w:t>Legal lesson learned:</w:t>
      </w:r>
      <w:r>
        <w:rPr>
          <w:b/>
        </w:rPr>
        <w:t xml:space="preserve"> There was no proof of “unnecessary force” being applied.  </w:t>
      </w:r>
    </w:p>
    <w:p w14:paraId="0BC6CF42" w14:textId="77777777" w:rsidR="002D139D" w:rsidRPr="009F63E1" w:rsidRDefault="002D139D" w:rsidP="002D139D">
      <w:pPr>
        <w:pStyle w:val="NoSpacing"/>
        <w:rPr>
          <w:b/>
          <w:bCs/>
        </w:rPr>
      </w:pPr>
    </w:p>
    <w:p w14:paraId="6509C67B" w14:textId="77777777" w:rsidR="002D139D" w:rsidRDefault="002D139D" w:rsidP="002D139D">
      <w:pPr>
        <w:pStyle w:val="NoSpacing"/>
      </w:pPr>
    </w:p>
    <w:p w14:paraId="43103CAB" w14:textId="77777777" w:rsidR="002D139D" w:rsidRDefault="002D139D" w:rsidP="002D139D">
      <w:pPr>
        <w:pStyle w:val="NoSpacing"/>
      </w:pPr>
    </w:p>
    <w:p w14:paraId="1458351F" w14:textId="338483F0" w:rsidR="002D139D" w:rsidRPr="00A971EA" w:rsidRDefault="00A971EA" w:rsidP="002D139D">
      <w:pPr>
        <w:rPr>
          <w:rFonts w:ascii="Arial Black" w:hAnsi="Arial Black"/>
          <w:b/>
          <w:sz w:val="24"/>
          <w:szCs w:val="24"/>
        </w:rPr>
      </w:pPr>
      <w:r w:rsidRPr="00A971EA">
        <w:rPr>
          <w:rFonts w:ascii="Arial Black" w:hAnsi="Arial Black"/>
          <w:b/>
          <w:sz w:val="24"/>
          <w:szCs w:val="24"/>
        </w:rPr>
        <w:t>13-266</w:t>
      </w:r>
    </w:p>
    <w:p w14:paraId="16FAACD9" w14:textId="77777777" w:rsidR="002D139D" w:rsidRPr="00906FE0" w:rsidRDefault="002D139D" w:rsidP="002D139D">
      <w:pPr>
        <w:rPr>
          <w:rFonts w:ascii="Arial Black" w:hAnsi="Arial Black"/>
          <w:b/>
          <w:sz w:val="28"/>
          <w:szCs w:val="28"/>
        </w:rPr>
      </w:pPr>
      <w:r>
        <w:rPr>
          <w:rFonts w:ascii="Arial Black" w:hAnsi="Arial Black"/>
          <w:b/>
          <w:sz w:val="28"/>
          <w:szCs w:val="28"/>
        </w:rPr>
        <w:t xml:space="preserve">NY: TOWN – USE NEW COUNTY-WIDE EMS – OLD SINCE 1949   </w:t>
      </w:r>
    </w:p>
    <w:p w14:paraId="29C5B85B" w14:textId="77777777" w:rsidR="002D139D" w:rsidRDefault="002D139D" w:rsidP="002D139D">
      <w:r>
        <w:t>On June 29, 2026</w:t>
      </w:r>
      <w:r w:rsidRPr="007653F9">
        <w:rPr>
          <w:u w:val="single"/>
        </w:rPr>
        <w:t xml:space="preserve">, In the Matter of the Application of Western Wayne Ambulance, Inc d/b/a </w:t>
      </w:r>
      <w:proofErr w:type="spellStart"/>
      <w:r w:rsidRPr="007653F9">
        <w:rPr>
          <w:u w:val="single"/>
        </w:rPr>
        <w:t>Walmorth</w:t>
      </w:r>
      <w:proofErr w:type="spellEnd"/>
      <w:r w:rsidRPr="007653F9">
        <w:rPr>
          <w:u w:val="single"/>
        </w:rPr>
        <w:t xml:space="preserve"> Ambulance v. Town of Walworth</w:t>
      </w:r>
      <w:r>
        <w:t xml:space="preserve">, Judge </w:t>
      </w:r>
      <w:r w:rsidRPr="00C40154">
        <w:t>Arthur B. Williams, Supreme Court</w:t>
      </w:r>
      <w:r>
        <w:t xml:space="preserve">, Wayne County, granted the Town’s </w:t>
      </w:r>
      <w:r w:rsidRPr="004D379A">
        <w:t xml:space="preserve">motion to dismiss the </w:t>
      </w:r>
      <w:r>
        <w:t>p</w:t>
      </w:r>
      <w:r w:rsidRPr="004D379A">
        <w:t>etition</w:t>
      </w:r>
      <w:r>
        <w:t xml:space="preserve"> to set aside the Town’s decision to change EMS provider.  On </w:t>
      </w:r>
      <w:r w:rsidRPr="00A57E79">
        <w:t xml:space="preserve">November 6, </w:t>
      </w:r>
      <w:proofErr w:type="gramStart"/>
      <w:r w:rsidRPr="00A57E79">
        <w:t>2025</w:t>
      </w:r>
      <w:proofErr w:type="gramEnd"/>
      <w:r w:rsidRPr="00A57E79">
        <w:t xml:space="preserve"> </w:t>
      </w:r>
      <w:r>
        <w:t xml:space="preserve">the Town </w:t>
      </w:r>
      <w:r w:rsidRPr="00A57E79">
        <w:t>recogni</w:t>
      </w:r>
      <w:r>
        <w:t>zed newly formed county-wide</w:t>
      </w:r>
      <w:r w:rsidRPr="00A57E79">
        <w:t xml:space="preserve"> Wayne County Emergency Medical Services as the Town's primary provider of emergency medical services</w:t>
      </w:r>
      <w:r>
        <w:t xml:space="preserve">; this </w:t>
      </w:r>
      <w:r w:rsidRPr="00A57E79">
        <w:t>effectively remov</w:t>
      </w:r>
      <w:r>
        <w:t>ed</w:t>
      </w:r>
      <w:r w:rsidRPr="00A57E79">
        <w:t xml:space="preserve"> Petitioner from that role</w:t>
      </w:r>
      <w:r>
        <w:t xml:space="preserve"> which it provided since 1949.</w:t>
      </w:r>
      <w:r w:rsidRPr="003B0877">
        <w:t xml:space="preserve"> </w:t>
      </w:r>
      <w:r w:rsidRPr="0034278C">
        <w:t xml:space="preserve">At the Board meeting of November 6, 2025, it was discussed that WWA would still be available to provide second call out ambulance services. </w:t>
      </w:r>
      <w:hyperlink r:id="rId2008" w:history="1">
        <w:r w:rsidRPr="00305A77">
          <w:rPr>
            <w:rStyle w:val="Hyperlink"/>
          </w:rPr>
          <w:t>https://public.fastcase.com/Jhe1Qn%2BmJndQYQU6z%2FeNm6ju%2Bd0XMiKIQG0dYFr7cgUzgsifv99YXHK%2BxnD66TJoHk4g2WwtQKDS%2BvASTYn2UbNIVhBuboQ2Vfvy9hViY%2Bk%3D?utm_medium=email&amp;_hsenc=p2ANqtz-8NHhkkKcWj0_qee_n9oiHaTk7VwtWB_afCW5GLhqKW_ltr3Dza-rNcLPsWMOqNw3cx9q-xKyAAVyV_SrzeJvBmwADJtg&amp;_hsmi=226712652&amp;utm_content=226712652&amp;utm_source=hs_email</w:t>
        </w:r>
      </w:hyperlink>
      <w:r>
        <w:t xml:space="preserve"> </w:t>
      </w:r>
    </w:p>
    <w:p w14:paraId="213E4564" w14:textId="77777777" w:rsidR="002D139D" w:rsidRDefault="002D139D" w:rsidP="002D139D">
      <w:pPr>
        <w:rPr>
          <w:bCs/>
        </w:rPr>
      </w:pPr>
      <w:r>
        <w:t xml:space="preserve">THE COURT WROTE:   </w:t>
      </w:r>
    </w:p>
    <w:p w14:paraId="6CF8C7FF" w14:textId="77777777" w:rsidR="002D139D" w:rsidRDefault="002D139D" w:rsidP="002D139D">
      <w:pPr>
        <w:pStyle w:val="NoSpacing"/>
      </w:pPr>
      <w:r>
        <w:t>“</w:t>
      </w:r>
      <w:r w:rsidRPr="00830F8E">
        <w:t xml:space="preserve">Respondents state that between 2022 and 2025 they were made aware of numerous complaints of exorbitant bills submitted to individuals receiving services from WWA. The Town further states that they repeatedly requested certain detailed financial information from WWA which was only partially provided. Petitioner asserts that at a regular Town Board meeting it did provide information regarding WWA's coverage statistics, payments and staffing. </w:t>
      </w:r>
      <w:proofErr w:type="gramStart"/>
      <w:r w:rsidRPr="00830F8E">
        <w:t>Petitioner claims</w:t>
      </w:r>
      <w:proofErr w:type="gramEnd"/>
      <w:r w:rsidRPr="00830F8E">
        <w:t xml:space="preserve"> that on multiple occasions it was assured that the Town would continue to support WWA. During this time there was also discussion regarding the costs and rationale for WWA expanding its services from providing basic life support services (BLS) to </w:t>
      </w:r>
      <w:proofErr w:type="gramStart"/>
      <w:r w:rsidRPr="00830F8E">
        <w:t>include</w:t>
      </w:r>
      <w:proofErr w:type="gramEnd"/>
      <w:r w:rsidRPr="00830F8E">
        <w:t xml:space="preserve"> advanced life support services (ALS). In 2023 WWA approached the Walworth Town Board for the purpose of seeking approval for construction of an addition to the ambulance base which was approved by the Town and funded exclusively by WWA. All during this time there was discussion throughout Wayne County regarding the establishment of a county-wide EMS service. Wayne County EMS became operational during 2023. Thereafter on October 17, </w:t>
      </w:r>
      <w:proofErr w:type="gramStart"/>
      <w:r w:rsidRPr="00830F8E">
        <w:t>2024</w:t>
      </w:r>
      <w:proofErr w:type="gramEnd"/>
      <w:r w:rsidRPr="00830F8E">
        <w:t xml:space="preserve"> citing a lack of information from WWA, the Town Board voted to not provide financial support for WWA for the year 2025. On November 6, 2025, the Town Board resolved to recognize Wayne County EMS as the primary provider of emergency medical services for the Town of Walworth.</w:t>
      </w:r>
      <w:r>
        <w:t>”</w:t>
      </w:r>
    </w:p>
    <w:p w14:paraId="1F1D6418" w14:textId="77777777" w:rsidR="002D139D" w:rsidRDefault="002D139D" w:rsidP="002D139D">
      <w:pPr>
        <w:pStyle w:val="NoSpacing"/>
      </w:pPr>
    </w:p>
    <w:p w14:paraId="4595BA45" w14:textId="77777777" w:rsidR="002D139D" w:rsidRDefault="002D139D" w:rsidP="002D139D">
      <w:pPr>
        <w:pStyle w:val="NoSpacing"/>
      </w:pPr>
      <w:r>
        <w:t>***</w:t>
      </w:r>
    </w:p>
    <w:p w14:paraId="1C17C2D5" w14:textId="77777777" w:rsidR="002D139D" w:rsidRDefault="002D139D" w:rsidP="002D139D">
      <w:pPr>
        <w:pStyle w:val="NoSpacing"/>
      </w:pPr>
    </w:p>
    <w:p w14:paraId="569A3015" w14:textId="77777777" w:rsidR="002D139D" w:rsidRPr="00AD636C" w:rsidRDefault="002D139D" w:rsidP="002D139D">
      <w:pPr>
        <w:pStyle w:val="NoSpacing"/>
      </w:pPr>
      <w:r w:rsidRPr="00AD636C">
        <w:t>Likewise, at the Town Board meeting held on November 6, 2025</w:t>
      </w:r>
      <w:proofErr w:type="gramStart"/>
      <w:r w:rsidRPr="00AD636C">
        <w:t>, wherein</w:t>
      </w:r>
      <w:proofErr w:type="gramEnd"/>
      <w:r w:rsidRPr="00AD636C">
        <w:t xml:space="preserve"> the Board named Wayne County EMS as the primary ambulance provider discussion was had in support of the Board's decision. The relevant minutes read as follows: </w:t>
      </w:r>
    </w:p>
    <w:p w14:paraId="74337323" w14:textId="77777777" w:rsidR="002D139D" w:rsidRDefault="002D139D" w:rsidP="002D139D">
      <w:pPr>
        <w:pStyle w:val="NoSpacing"/>
        <w:rPr>
          <w:i/>
          <w:iCs/>
        </w:rPr>
      </w:pPr>
    </w:p>
    <w:p w14:paraId="74D4F9ED" w14:textId="77777777" w:rsidR="002D139D" w:rsidRPr="00AD636C" w:rsidRDefault="002D139D" w:rsidP="002D139D">
      <w:pPr>
        <w:pStyle w:val="NoSpacing"/>
        <w:ind w:left="720"/>
      </w:pPr>
      <w:r w:rsidRPr="00AD636C">
        <w:rPr>
          <w:i/>
          <w:iCs/>
        </w:rPr>
        <w:t>Discussion - Councilman Kelly stated that we have been having conversations for a couple of years now with our ambulance provider and the county is opening on November 15</w:t>
      </w:r>
      <w:r w:rsidRPr="00AD636C">
        <w:rPr>
          <w:i/>
          <w:iCs/>
          <w:vertAlign w:val="superscript"/>
        </w:rPr>
        <w:t>th</w:t>
      </w:r>
      <w:r w:rsidRPr="00AD636C">
        <w:rPr>
          <w:i/>
          <w:iCs/>
        </w:rPr>
        <w:t>, it's going to be the best choice for the Town and the protection of our citizens. But just so everyone knows Western Wayne is not going away, they are still an ambulance agency within the Town of Walworth, they will still be providing</w:t>
      </w:r>
      <w:r w:rsidRPr="00AD636C">
        <w:t xml:space="preserve"> </w:t>
      </w:r>
      <w:r>
        <w:t xml:space="preserve"> </w:t>
      </w:r>
      <w:r w:rsidRPr="00AD636C">
        <w:rPr>
          <w:i/>
          <w:iCs/>
        </w:rPr>
        <w:t xml:space="preserve">services, they will just be second out. </w:t>
      </w:r>
      <w:proofErr w:type="gramStart"/>
      <w:r w:rsidRPr="00AD636C">
        <w:rPr>
          <w:i/>
          <w:iCs/>
        </w:rPr>
        <w:t>So</w:t>
      </w:r>
      <w:proofErr w:type="gramEnd"/>
      <w:r w:rsidRPr="00AD636C">
        <w:rPr>
          <w:i/>
          <w:iCs/>
        </w:rPr>
        <w:t xml:space="preserve"> if there is a second emergency with the Town of Walworth and they are available they will come and assist you.</w:t>
      </w:r>
      <w:r w:rsidRPr="00AD636C">
        <w:t xml:space="preserve"> </w:t>
      </w:r>
    </w:p>
    <w:p w14:paraId="2984EED0" w14:textId="77777777" w:rsidR="002D139D" w:rsidRDefault="002D139D" w:rsidP="002D139D">
      <w:pPr>
        <w:pStyle w:val="NoSpacing"/>
      </w:pPr>
    </w:p>
    <w:p w14:paraId="6BCA62D3" w14:textId="77777777" w:rsidR="002D139D" w:rsidRPr="00D979B3" w:rsidRDefault="002D139D" w:rsidP="002D139D">
      <w:pPr>
        <w:pStyle w:val="NoSpacing"/>
      </w:pPr>
      <w:r w:rsidRPr="00D979B3">
        <w:t xml:space="preserve">There was also public discussion at the November 21, 2024, Town Board meeting wherein the difference in the fee structure between WWA and Wayne County EMS was considered as reflected in the following minutes: </w:t>
      </w:r>
    </w:p>
    <w:p w14:paraId="4E3E1A82" w14:textId="77777777" w:rsidR="002D139D" w:rsidRDefault="002D139D" w:rsidP="002D139D">
      <w:pPr>
        <w:pStyle w:val="NoSpacing"/>
        <w:rPr>
          <w:i/>
          <w:iCs/>
        </w:rPr>
      </w:pPr>
    </w:p>
    <w:p w14:paraId="3F8BCFC2" w14:textId="77777777" w:rsidR="002D139D" w:rsidRPr="00D979B3" w:rsidRDefault="002D139D" w:rsidP="002D139D">
      <w:pPr>
        <w:pStyle w:val="NoSpacing"/>
        <w:ind w:left="720"/>
      </w:pPr>
      <w:r w:rsidRPr="00D979B3">
        <w:rPr>
          <w:i/>
          <w:iCs/>
        </w:rPr>
        <w:t xml:space="preserve">Councilman Linson wanted to discuss Western Wayne Ambulance and their charges. She would like to see an Ambulance provide quality service to our residents. Councilman Kelly received some information regarding </w:t>
      </w:r>
      <w:r w:rsidRPr="00D979B3">
        <w:rPr>
          <w:i/>
          <w:iCs/>
        </w:rPr>
        <w:lastRenderedPageBreak/>
        <w:t>pricing for Western Wayne charges around $2,000 whereas the County charges around $400.00for basic services.</w:t>
      </w:r>
      <w:r w:rsidRPr="00D979B3">
        <w:t xml:space="preserve"> </w:t>
      </w:r>
    </w:p>
    <w:p w14:paraId="71AE19D8" w14:textId="77777777" w:rsidR="002D139D" w:rsidRDefault="002D139D" w:rsidP="002D139D">
      <w:pPr>
        <w:pStyle w:val="NoSpacing"/>
      </w:pPr>
    </w:p>
    <w:p w14:paraId="3F22618A" w14:textId="77777777" w:rsidR="002D139D" w:rsidRDefault="002D139D" w:rsidP="002D139D">
      <w:pPr>
        <w:pStyle w:val="NoSpacing"/>
      </w:pPr>
      <w:r w:rsidRPr="00B81758">
        <w:t>The Court finds that the decisions of the Town Board regarding continued funding for WWA and the designation of Wayne County EMS as a primary ambulance service provider were rationally determined on the facts and were thus not arbitrary and capricious</w:t>
      </w:r>
      <w:r>
        <w:t xml:space="preserve">…. </w:t>
      </w:r>
      <w:r w:rsidRPr="0007308E">
        <w:t>Given the issues leading up to the Town Board's decisions in this matter, albeit abrupt, the Court does not find that the actions of the Town Board give rise to a prospective enforceable contract right nor does it find a basis for which declaratory judgment can be granted.</w:t>
      </w:r>
      <w:r>
        <w:t>”</w:t>
      </w:r>
    </w:p>
    <w:p w14:paraId="2504BE88" w14:textId="77777777" w:rsidR="002D139D" w:rsidRDefault="002D139D" w:rsidP="002D139D">
      <w:pPr>
        <w:pStyle w:val="NoSpacing"/>
      </w:pPr>
    </w:p>
    <w:p w14:paraId="420E2140" w14:textId="77777777" w:rsidR="002D139D" w:rsidRDefault="002D139D" w:rsidP="002D139D">
      <w:pPr>
        <w:pStyle w:val="NoSpacing"/>
      </w:pPr>
      <w:r>
        <w:rPr>
          <w:b/>
        </w:rPr>
        <w:t>Legal lesson learned: Town had lawful right to switch primary EMS provider.</w:t>
      </w:r>
    </w:p>
    <w:p w14:paraId="331E76C8" w14:textId="77777777" w:rsidR="002D139D" w:rsidRDefault="002D139D" w:rsidP="002D139D">
      <w:pPr>
        <w:pStyle w:val="NoSpacing"/>
      </w:pPr>
    </w:p>
    <w:p w14:paraId="32160919" w14:textId="77777777" w:rsidR="00C37020" w:rsidRDefault="00C37020" w:rsidP="00752531">
      <w:pPr>
        <w:pStyle w:val="NoSpacing"/>
        <w:rPr>
          <w:rFonts w:ascii="Arial Black" w:hAnsi="Arial Black"/>
          <w:sz w:val="24"/>
          <w:szCs w:val="24"/>
        </w:rPr>
      </w:pPr>
    </w:p>
    <w:p w14:paraId="367A0FBE" w14:textId="77777777" w:rsidR="00C37020" w:rsidRDefault="00C37020" w:rsidP="00752531">
      <w:pPr>
        <w:pStyle w:val="NoSpacing"/>
        <w:rPr>
          <w:rFonts w:ascii="Arial Black" w:hAnsi="Arial Black"/>
          <w:sz w:val="24"/>
          <w:szCs w:val="24"/>
        </w:rPr>
      </w:pPr>
    </w:p>
    <w:p w14:paraId="2E11EECC" w14:textId="77777777" w:rsidR="00C37020" w:rsidRDefault="00C37020" w:rsidP="00752531">
      <w:pPr>
        <w:pStyle w:val="NoSpacing"/>
        <w:rPr>
          <w:rFonts w:ascii="Arial Black" w:hAnsi="Arial Black"/>
          <w:sz w:val="24"/>
          <w:szCs w:val="24"/>
        </w:rPr>
      </w:pPr>
    </w:p>
    <w:p w14:paraId="63A93B38" w14:textId="77777777" w:rsidR="00C37020" w:rsidRDefault="00C37020" w:rsidP="00752531">
      <w:pPr>
        <w:pStyle w:val="NoSpacing"/>
        <w:rPr>
          <w:rFonts w:ascii="Arial Black" w:hAnsi="Arial Black"/>
          <w:sz w:val="24"/>
          <w:szCs w:val="24"/>
        </w:rPr>
      </w:pPr>
    </w:p>
    <w:p w14:paraId="510B8314" w14:textId="77777777" w:rsidR="00C37020" w:rsidRDefault="00C37020" w:rsidP="00752531">
      <w:pPr>
        <w:pStyle w:val="NoSpacing"/>
        <w:rPr>
          <w:rFonts w:ascii="Arial Black" w:hAnsi="Arial Black"/>
          <w:sz w:val="24"/>
          <w:szCs w:val="24"/>
        </w:rPr>
      </w:pPr>
    </w:p>
    <w:p w14:paraId="733571F4" w14:textId="6E51BEA4" w:rsidR="00752531" w:rsidRPr="00DA5EE8" w:rsidRDefault="00752531" w:rsidP="00752531">
      <w:pPr>
        <w:pStyle w:val="NoSpacing"/>
        <w:rPr>
          <w:rFonts w:ascii="Arial Black" w:hAnsi="Arial Black"/>
          <w:sz w:val="24"/>
          <w:szCs w:val="24"/>
        </w:rPr>
      </w:pPr>
      <w:r w:rsidRPr="00DA5EE8">
        <w:rPr>
          <w:rFonts w:ascii="Arial Black" w:hAnsi="Arial Black"/>
          <w:sz w:val="24"/>
          <w:szCs w:val="24"/>
        </w:rPr>
        <w:t>13-2</w:t>
      </w:r>
      <w:r>
        <w:rPr>
          <w:rFonts w:ascii="Arial Black" w:hAnsi="Arial Black"/>
          <w:sz w:val="24"/>
          <w:szCs w:val="24"/>
        </w:rPr>
        <w:t>65</w:t>
      </w:r>
    </w:p>
    <w:p w14:paraId="391A2C8D" w14:textId="77777777" w:rsidR="00EB0265" w:rsidRDefault="00EB0265" w:rsidP="00824E5F">
      <w:pPr>
        <w:pStyle w:val="NoSpacing"/>
        <w:rPr>
          <w:rFonts w:ascii="Arial Black" w:hAnsi="Arial Black"/>
          <w:sz w:val="24"/>
          <w:szCs w:val="24"/>
        </w:rPr>
      </w:pPr>
    </w:p>
    <w:p w14:paraId="052A904C" w14:textId="77777777" w:rsidR="00EB0265" w:rsidRPr="00805D73" w:rsidRDefault="00EB0265" w:rsidP="00EB0265">
      <w:pPr>
        <w:pStyle w:val="NoSpacing"/>
        <w:rPr>
          <w:rFonts w:ascii="Arial Black" w:hAnsi="Arial Black"/>
          <w:bCs/>
          <w:sz w:val="28"/>
          <w:szCs w:val="28"/>
        </w:rPr>
      </w:pPr>
      <w:r>
        <w:rPr>
          <w:rFonts w:ascii="Arial Black" w:hAnsi="Arial Black"/>
          <w:sz w:val="28"/>
          <w:szCs w:val="28"/>
        </w:rPr>
        <w:t xml:space="preserve">NJ: HOSP. MD OK’D DRUG / INTUBATION – EMS IMMUNITY </w:t>
      </w:r>
    </w:p>
    <w:p w14:paraId="4CEE6CDB" w14:textId="77777777" w:rsidR="00EB0265" w:rsidRDefault="00EB0265" w:rsidP="00EB0265">
      <w:pPr>
        <w:pStyle w:val="NoSpacing"/>
        <w:rPr>
          <w:bCs/>
        </w:rPr>
      </w:pPr>
    </w:p>
    <w:p w14:paraId="71D2DEB4" w14:textId="77777777" w:rsidR="00EB0265" w:rsidRPr="002B7C2B" w:rsidRDefault="00EB0265" w:rsidP="00EB0265">
      <w:pPr>
        <w:pStyle w:val="NoSpacing"/>
        <w:rPr>
          <w:bCs/>
          <w:u w:val="single"/>
        </w:rPr>
      </w:pPr>
      <w:r>
        <w:t xml:space="preserve">On June 25, 2026, in </w:t>
      </w:r>
      <w:r w:rsidRPr="002B7C2B">
        <w:rPr>
          <w:u w:val="single"/>
        </w:rPr>
        <w:t>Jari Almonte and Yahaira Almanzar, individually and as parents and</w:t>
      </w:r>
    </w:p>
    <w:p w14:paraId="41B694BB" w14:textId="77777777" w:rsidR="00EB0265" w:rsidRPr="006A0694" w:rsidRDefault="00EB0265" w:rsidP="00EB0265">
      <w:pPr>
        <w:pStyle w:val="NoSpacing"/>
        <w:rPr>
          <w:bCs/>
        </w:rPr>
      </w:pPr>
      <w:r w:rsidRPr="002B7C2B">
        <w:rPr>
          <w:u w:val="single"/>
        </w:rPr>
        <w:t>natural guardians of Jeremy Almonte, an infant v. Township of Union, Township of Union Fire Department, et al</w:t>
      </w:r>
      <w:r w:rsidRPr="002B7C2B">
        <w:t xml:space="preserve">., </w:t>
      </w:r>
      <w:r>
        <w:t xml:space="preserve">the Supreme Court of New Jersey held (7 to 0) that trial court judge, and the Appellate Court properly held that the paramedics and their employer </w:t>
      </w:r>
      <w:r w:rsidRPr="006A0694">
        <w:t xml:space="preserve">have immunity under </w:t>
      </w:r>
      <w:r>
        <w:t xml:space="preserve">NJ statute, failed intubations, but made two calls to hospital doctor and there is no requirement they have “constant, live stream” with the physician. </w:t>
      </w:r>
      <w:r w:rsidRPr="005B4CCA">
        <w:t>The version of the EMSA that controls this appeal was</w:t>
      </w:r>
      <w:r>
        <w:t xml:space="preserve"> </w:t>
      </w:r>
      <w:r w:rsidRPr="005B4CCA">
        <w:t>adopted in 1984. At that time, N.J.S.A. 26:2K-14 immunized paramedics who</w:t>
      </w:r>
      <w:r>
        <w:t xml:space="preserve"> </w:t>
      </w:r>
      <w:r w:rsidRPr="005B4CCA">
        <w:t xml:space="preserve">perform advanced life support services </w:t>
      </w:r>
      <w:r>
        <w:t>‘</w:t>
      </w:r>
      <w:r w:rsidRPr="005B4CCA">
        <w:t>in good faith</w:t>
      </w:r>
      <w:r>
        <w:t>’</w:t>
      </w:r>
      <w:r w:rsidRPr="005B4CCA">
        <w:t xml:space="preserve"> and </w:t>
      </w:r>
      <w:r>
        <w:t>‘</w:t>
      </w:r>
      <w:r w:rsidRPr="005B4CCA">
        <w:t>in accordance with [the</w:t>
      </w:r>
      <w:r>
        <w:t xml:space="preserve"> </w:t>
      </w:r>
      <w:r w:rsidRPr="005B4CCA">
        <w:t xml:space="preserve">EMSA].” </w:t>
      </w:r>
      <w:r>
        <w:t>The Court wrote: “</w:t>
      </w:r>
      <w:r w:rsidRPr="005B4CCA">
        <w:t>The latter requirement, which is at issue in plaintiffs’ challenge, is</w:t>
      </w:r>
      <w:r>
        <w:t xml:space="preserve"> </w:t>
      </w:r>
      <w:r w:rsidRPr="005B4CCA">
        <w:t xml:space="preserve">fulfilled if paramedics (1) </w:t>
      </w:r>
      <w:r>
        <w:t>‘</w:t>
      </w:r>
      <w:r w:rsidRPr="005B4CCA">
        <w:t>maintain direct voice communication with</w:t>
      </w:r>
      <w:r>
        <w:t>’</w:t>
      </w:r>
      <w:r w:rsidRPr="005B4CCA">
        <w:t xml:space="preserve"> and (2) </w:t>
      </w:r>
      <w:r>
        <w:t>‘</w:t>
      </w:r>
      <w:r w:rsidRPr="005B4CCA">
        <w:t>are</w:t>
      </w:r>
      <w:r>
        <w:t xml:space="preserve"> </w:t>
      </w:r>
      <w:r w:rsidRPr="005B4CCA">
        <w:t>taking orders from a licensed physician</w:t>
      </w:r>
      <w:r>
        <w:t>’</w:t>
      </w:r>
      <w:r w:rsidRPr="005B4CCA">
        <w:t xml:space="preserve"> while providing ALS.</w:t>
      </w:r>
      <w:r>
        <w:t xml:space="preserve">” </w:t>
      </w:r>
      <w:hyperlink r:id="rId2009" w:history="1">
        <w:r w:rsidRPr="005431AD">
          <w:rPr>
            <w:rStyle w:val="Hyperlink"/>
          </w:rPr>
          <w:t>https://www.njcourts.gov/system/files/court-opinions/2026/a_73_24.pdf</w:t>
        </w:r>
      </w:hyperlink>
      <w:r>
        <w:t xml:space="preserve"> </w:t>
      </w:r>
    </w:p>
    <w:p w14:paraId="14748ECC" w14:textId="77777777" w:rsidR="00EB0265" w:rsidRDefault="00EB0265" w:rsidP="00EB0265">
      <w:pPr>
        <w:pStyle w:val="NoSpacing"/>
        <w:rPr>
          <w:b/>
        </w:rPr>
      </w:pPr>
    </w:p>
    <w:p w14:paraId="5696D8D0" w14:textId="77777777" w:rsidR="00EB0265" w:rsidRPr="00F26F6D" w:rsidRDefault="00EB0265" w:rsidP="00EB0265">
      <w:pPr>
        <w:pStyle w:val="NoSpacing"/>
        <w:rPr>
          <w:b/>
        </w:rPr>
      </w:pPr>
      <w:r w:rsidRPr="00F26F6D">
        <w:rPr>
          <w:b/>
        </w:rPr>
        <w:t xml:space="preserve">FACTS: </w:t>
      </w:r>
    </w:p>
    <w:p w14:paraId="74087FF2" w14:textId="77777777" w:rsidR="00EB0265" w:rsidRDefault="00EB0265" w:rsidP="00EB0265">
      <w:pPr>
        <w:pStyle w:val="NoSpacing"/>
        <w:rPr>
          <w:b/>
        </w:rPr>
      </w:pPr>
    </w:p>
    <w:p w14:paraId="052165B2" w14:textId="77777777" w:rsidR="00EB0265" w:rsidRDefault="00EB0265" w:rsidP="00EB0265">
      <w:pPr>
        <w:pStyle w:val="NoSpacing"/>
      </w:pPr>
      <w:r>
        <w:t>“8:56 p.m. Jeremy Almonte’s mother called 9-1-1 immediately after observing her twenty-one-month-old son fall and strike his head on a hardwood floor while running and playing in their Vauxhall home. After the fall, Almonte’s face and neck began ‘twitching</w:t>
      </w:r>
      <w:proofErr w:type="gramStart"/>
      <w:r>
        <w:t>,’ ‘</w:t>
      </w:r>
      <w:proofErr w:type="gramEnd"/>
      <w:r>
        <w:t>which rapidly</w:t>
      </w:r>
    </w:p>
    <w:p w14:paraId="6D471E06" w14:textId="77777777" w:rsidR="00EB0265" w:rsidRDefault="00EB0265" w:rsidP="00EB0265">
      <w:pPr>
        <w:pStyle w:val="NoSpacing"/>
      </w:pPr>
      <w:r>
        <w:t>progressed into full body convulsions.’</w:t>
      </w:r>
    </w:p>
    <w:p w14:paraId="5C57CD81" w14:textId="77777777" w:rsidR="00EB0265" w:rsidRDefault="00EB0265" w:rsidP="00EB0265">
      <w:pPr>
        <w:pStyle w:val="NoSpacing"/>
      </w:pPr>
    </w:p>
    <w:p w14:paraId="2F73BB7C" w14:textId="77777777" w:rsidR="00EB0265" w:rsidRDefault="00EB0265" w:rsidP="00EB0265">
      <w:pPr>
        <w:pStyle w:val="NoSpacing"/>
      </w:pPr>
      <w:r>
        <w:t>9:00 p.m. Basic life support (BLS) Emergency Medical Technicians (EMTs) arrived at the Almonte home. They found Almonte with a fist-sized lump on the rear of his head and reported that he was actively seizing and ‘unresponsive’ but breathing on his own. Almonte was</w:t>
      </w:r>
    </w:p>
    <w:p w14:paraId="05EC53ED" w14:textId="77777777" w:rsidR="00EB0265" w:rsidRDefault="00EB0265" w:rsidP="00EB0265">
      <w:pPr>
        <w:pStyle w:val="NoSpacing"/>
      </w:pPr>
      <w:r>
        <w:t>‘</w:t>
      </w:r>
      <w:proofErr w:type="gramStart"/>
      <w:r>
        <w:t>vomiting</w:t>
      </w:r>
      <w:proofErr w:type="gramEnd"/>
      <w:r>
        <w:t xml:space="preserve"> large amounts of fluid from his oral and nasal airway.’ The BLS EMTs administered oxygen, suctioned fluid from Almonte’s airway, and loaded him into an ambulance.</w:t>
      </w:r>
    </w:p>
    <w:p w14:paraId="565C5056" w14:textId="77777777" w:rsidR="00EB0265" w:rsidRDefault="00EB0265" w:rsidP="00EB0265">
      <w:pPr>
        <w:pStyle w:val="NoSpacing"/>
      </w:pPr>
    </w:p>
    <w:p w14:paraId="2E82D7A6" w14:textId="77777777" w:rsidR="00EB0265" w:rsidRDefault="00EB0265" w:rsidP="00EB0265">
      <w:pPr>
        <w:pStyle w:val="NoSpacing"/>
      </w:pPr>
      <w:r>
        <w:t xml:space="preserve">9:10 p.m. Advanced life support (ALS) paramedics employed by the Atlantic Ambulance Corporation, David Pernell and Denyel Cusimano (the paramedics), arrived and assumed care of Almonte. Almonte remained ‘unresponsive,’ with his </w:t>
      </w:r>
      <w:proofErr w:type="gramStart"/>
      <w:r>
        <w:t>lips blue</w:t>
      </w:r>
      <w:proofErr w:type="gramEnd"/>
      <w:r>
        <w:t xml:space="preserve">, extremities cool </w:t>
      </w:r>
      <w:proofErr w:type="gramStart"/>
      <w:r>
        <w:t>to</w:t>
      </w:r>
      <w:proofErr w:type="gramEnd"/>
      <w:r>
        <w:t xml:space="preserve"> the</w:t>
      </w:r>
    </w:p>
    <w:p w14:paraId="6C97BE10" w14:textId="77777777" w:rsidR="00EB0265" w:rsidRDefault="00EB0265" w:rsidP="00EB0265">
      <w:pPr>
        <w:pStyle w:val="NoSpacing"/>
      </w:pPr>
      <w:r>
        <w:t>touch, and jaw clenched shut; his breathing became ‘labored’ and he continued to actively seize.</w:t>
      </w:r>
    </w:p>
    <w:p w14:paraId="146365F3" w14:textId="77777777" w:rsidR="00EB0265" w:rsidRDefault="00EB0265" w:rsidP="00EB0265">
      <w:pPr>
        <w:pStyle w:val="NoSpacing"/>
      </w:pPr>
    </w:p>
    <w:p w14:paraId="444AD1C0" w14:textId="77777777" w:rsidR="00EB0265" w:rsidRDefault="00EB0265" w:rsidP="00EB0265">
      <w:pPr>
        <w:pStyle w:val="NoSpacing"/>
      </w:pPr>
      <w:r w:rsidRPr="00722122">
        <w:lastRenderedPageBreak/>
        <w:t>9:17 p.m. Pernell placed the first cellular phone call to Dr. Sharma</w:t>
      </w:r>
      <w:r>
        <w:t xml:space="preserve"> [Dr. Niti Sharma, M.D., a licensed physician working in the Emergency Department at Overlook Medical Center]…. DR. SHARMA: You can give him . . . one milligram [of Valium]….</w:t>
      </w:r>
    </w:p>
    <w:p w14:paraId="055D8E9E" w14:textId="77777777" w:rsidR="00EB0265" w:rsidRDefault="00EB0265" w:rsidP="00EB0265">
      <w:pPr>
        <w:pStyle w:val="NoSpacing"/>
      </w:pPr>
    </w:p>
    <w:p w14:paraId="7134EB08" w14:textId="77777777" w:rsidR="00EB0265" w:rsidRDefault="00EB0265" w:rsidP="00EB0265">
      <w:pPr>
        <w:pStyle w:val="NoSpacing"/>
      </w:pPr>
      <w:r>
        <w:t>9:29 p.m. Almonte’s ‘respiratory drive had decreased’ and his heart rate declined to 158 beats per minute (bpm). The paramedics suctioned ‘large amount[s] of fluid’ from Almonte’s ‘oral and nasal airways. Cusimano was able to open Almonte’s airway enough to insert a device to perform ventilation through a bag-valve-mask.</w:t>
      </w:r>
    </w:p>
    <w:p w14:paraId="1629957C" w14:textId="77777777" w:rsidR="00EB0265" w:rsidRDefault="00EB0265" w:rsidP="00EB0265">
      <w:pPr>
        <w:pStyle w:val="NoSpacing"/>
      </w:pPr>
    </w:p>
    <w:p w14:paraId="54586806" w14:textId="77777777" w:rsidR="00EB0265" w:rsidRDefault="00EB0265" w:rsidP="00EB0265">
      <w:pPr>
        <w:pStyle w:val="NoSpacing"/>
      </w:pPr>
      <w:r>
        <w:t>9:30 p.m. Pernell made the second cellular phone call to Dr. Sharma, during which the following exchange occurred:</w:t>
      </w:r>
    </w:p>
    <w:p w14:paraId="5E9B8DF0" w14:textId="77777777" w:rsidR="00EB0265" w:rsidRDefault="00EB0265" w:rsidP="00EB0265">
      <w:pPr>
        <w:pStyle w:val="NoSpacing"/>
        <w:ind w:left="720"/>
      </w:pPr>
    </w:p>
    <w:p w14:paraId="10A10F46" w14:textId="77777777" w:rsidR="00EB0265" w:rsidRDefault="00EB0265" w:rsidP="00EB0265">
      <w:pPr>
        <w:pStyle w:val="NoSpacing"/>
        <w:ind w:left="720"/>
      </w:pPr>
      <w:r>
        <w:t xml:space="preserve">PERNELL: This kid needs to be intubated. I need to get some orders for </w:t>
      </w:r>
      <w:proofErr w:type="spellStart"/>
      <w:r>
        <w:t>Succ</w:t>
      </w:r>
      <w:proofErr w:type="spellEnd"/>
      <w:r>
        <w:t xml:space="preserve"> and Etomidate. . . .</w:t>
      </w:r>
    </w:p>
    <w:p w14:paraId="0DD3B72A" w14:textId="77777777" w:rsidR="00EB0265" w:rsidRDefault="00EB0265" w:rsidP="00EB0265">
      <w:pPr>
        <w:pStyle w:val="NoSpacing"/>
      </w:pPr>
    </w:p>
    <w:p w14:paraId="0E268BB8" w14:textId="77777777" w:rsidR="00EB0265" w:rsidRDefault="00EB0265" w:rsidP="00EB0265">
      <w:pPr>
        <w:pStyle w:val="NoSpacing"/>
        <w:ind w:left="720"/>
      </w:pPr>
      <w:r>
        <w:t>DR. SHARMA: Etomidate . . . would be around four milligrams . . . And Succinylcholine . . . you can give him about [twenty-four] milligrams</w:t>
      </w:r>
      <w:proofErr w:type="gramStart"/>
      <w:r>
        <w:t>…..</w:t>
      </w:r>
      <w:proofErr w:type="gramEnd"/>
    </w:p>
    <w:p w14:paraId="77CAD3ED" w14:textId="77777777" w:rsidR="00EB0265" w:rsidRDefault="00EB0265" w:rsidP="00EB0265">
      <w:pPr>
        <w:pStyle w:val="NoSpacing"/>
        <w:ind w:left="720"/>
      </w:pPr>
    </w:p>
    <w:p w14:paraId="3B31333E" w14:textId="77777777" w:rsidR="00EB0265" w:rsidRDefault="00EB0265" w:rsidP="00EB0265">
      <w:pPr>
        <w:pStyle w:val="NoSpacing"/>
      </w:pPr>
      <w:r>
        <w:t>***</w:t>
      </w:r>
    </w:p>
    <w:p w14:paraId="6987AD02" w14:textId="77777777" w:rsidR="00EB0265" w:rsidRDefault="00EB0265" w:rsidP="00EB0265">
      <w:pPr>
        <w:pStyle w:val="NoSpacing"/>
      </w:pPr>
    </w:p>
    <w:p w14:paraId="15051D9D" w14:textId="77777777" w:rsidR="00EB0265" w:rsidRDefault="00EB0265" w:rsidP="00EB0265">
      <w:pPr>
        <w:pStyle w:val="NoSpacing"/>
      </w:pPr>
      <w:r>
        <w:t>9:37 p.m. The ambulance arrived at University Hospital. The paramedics remained with Almonte in the ambulance to continue their attempts to intubate him.</w:t>
      </w:r>
    </w:p>
    <w:p w14:paraId="004DDB7E" w14:textId="77777777" w:rsidR="00EB0265" w:rsidRDefault="00EB0265" w:rsidP="00EB0265">
      <w:pPr>
        <w:pStyle w:val="NoSpacing"/>
      </w:pPr>
    </w:p>
    <w:p w14:paraId="45EA20E1" w14:textId="77777777" w:rsidR="00EB0265" w:rsidRDefault="00EB0265" w:rsidP="00EB0265">
      <w:pPr>
        <w:pStyle w:val="NoSpacing"/>
      </w:pPr>
      <w:r>
        <w:t>9:42 p.m. Pernell began the third intubation attempt. Almonte’s ‘airway [was] cleared via suction while intubating.’ The ‘[p]</w:t>
      </w:r>
      <w:proofErr w:type="spellStart"/>
      <w:r>
        <w:t>lacement</w:t>
      </w:r>
      <w:proofErr w:type="spellEnd"/>
      <w:r>
        <w:t xml:space="preserve"> of [the] tube [was] successful’ and was ‘verified by’ measuring Almonte’s breathing and </w:t>
      </w:r>
      <w:proofErr w:type="gramStart"/>
      <w:r>
        <w:t>through ‘[</w:t>
      </w:r>
      <w:proofErr w:type="gramEnd"/>
      <w:r>
        <w:t>d]</w:t>
      </w:r>
      <w:proofErr w:type="spellStart"/>
      <w:r>
        <w:t>irect</w:t>
      </w:r>
      <w:proofErr w:type="spellEnd"/>
      <w:r>
        <w:t xml:space="preserve"> [v]</w:t>
      </w:r>
      <w:proofErr w:type="spellStart"/>
      <w:r>
        <w:t>isualization</w:t>
      </w:r>
      <w:proofErr w:type="spellEnd"/>
      <w:r>
        <w:t>.’ At this point, Almonte’s heart rate decreased to 71 bpm.</w:t>
      </w:r>
    </w:p>
    <w:p w14:paraId="41FC22BE" w14:textId="77777777" w:rsidR="00EB0265" w:rsidRDefault="00EB0265" w:rsidP="00EB0265">
      <w:pPr>
        <w:pStyle w:val="NoSpacing"/>
      </w:pPr>
    </w:p>
    <w:p w14:paraId="00CDB46F" w14:textId="77777777" w:rsidR="00EB0265" w:rsidRDefault="00EB0265" w:rsidP="00EB0265">
      <w:pPr>
        <w:pStyle w:val="NoSpacing"/>
      </w:pPr>
      <w:r>
        <w:t>9:47 p.m. Almonte was transferred to the Trauma Center by stretcher. When Almonte arrived, he was in cardiac arrest. The trauma physician found that the endotracheal tube was not in Almonte’s trachea. Almonte was then reintubated and resuscitated.</w:t>
      </w:r>
    </w:p>
    <w:p w14:paraId="6E8FBEE4" w14:textId="77777777" w:rsidR="00EB0265" w:rsidRDefault="00EB0265" w:rsidP="00EB0265">
      <w:pPr>
        <w:pStyle w:val="NoSpacing"/>
      </w:pPr>
    </w:p>
    <w:p w14:paraId="1B9B365B" w14:textId="77777777" w:rsidR="00EB0265" w:rsidRDefault="00EB0265" w:rsidP="00EB0265">
      <w:pPr>
        <w:pStyle w:val="NoSpacing"/>
      </w:pPr>
      <w:r>
        <w:t>9:57 p.m. Almonte’s breathing returned.”</w:t>
      </w:r>
    </w:p>
    <w:p w14:paraId="2C80F3F0" w14:textId="77777777" w:rsidR="00EB0265" w:rsidRDefault="00EB0265" w:rsidP="00EB0265">
      <w:pPr>
        <w:pStyle w:val="NoSpacing"/>
      </w:pPr>
    </w:p>
    <w:p w14:paraId="6A1AFE79" w14:textId="77777777" w:rsidR="00EB0265" w:rsidRDefault="00EB0265" w:rsidP="00EB0265">
      <w:pPr>
        <w:pStyle w:val="NoSpacing"/>
      </w:pPr>
    </w:p>
    <w:p w14:paraId="28A16251" w14:textId="77777777" w:rsidR="00EB0265" w:rsidRDefault="00EB0265" w:rsidP="00EB0265">
      <w:pPr>
        <w:pStyle w:val="NoSpacing"/>
        <w:rPr>
          <w:b/>
          <w:bCs/>
        </w:rPr>
      </w:pPr>
      <w:r w:rsidRPr="003D3633">
        <w:rPr>
          <w:b/>
        </w:rPr>
        <w:t>COURT HELD:</w:t>
      </w:r>
    </w:p>
    <w:p w14:paraId="524588A7" w14:textId="77777777" w:rsidR="00EB0265" w:rsidRDefault="00EB0265" w:rsidP="00EB0265">
      <w:pPr>
        <w:pStyle w:val="NoSpacing"/>
        <w:rPr>
          <w:b/>
          <w:bCs/>
        </w:rPr>
      </w:pPr>
    </w:p>
    <w:p w14:paraId="50985698" w14:textId="77777777" w:rsidR="00EB0265" w:rsidRPr="00B554DF" w:rsidRDefault="00EB0265" w:rsidP="00EB0265">
      <w:pPr>
        <w:pStyle w:val="NoSpacing"/>
      </w:pPr>
      <w:r>
        <w:t>“</w:t>
      </w:r>
      <w:r w:rsidRPr="00B554DF">
        <w:t>We conclude that the paramedics who provided care to Jeremy Almonte</w:t>
      </w:r>
      <w:r>
        <w:t xml:space="preserve"> </w:t>
      </w:r>
      <w:r w:rsidRPr="00B554DF">
        <w:t xml:space="preserve">acted under the </w:t>
      </w:r>
      <w:r>
        <w:t>‘</w:t>
      </w:r>
      <w:r w:rsidRPr="00B554DF">
        <w:t>orders</w:t>
      </w:r>
      <w:r>
        <w:t>’</w:t>
      </w:r>
      <w:r w:rsidRPr="00B554DF">
        <w:t xml:space="preserve"> of Dr. Niti Sharma, M.D., a licensed physician</w:t>
      </w:r>
      <w:r>
        <w:t xml:space="preserve"> </w:t>
      </w:r>
      <w:r w:rsidRPr="00B554DF">
        <w:t>working in the Emergency Department at Overlook Medical Center in Summit,</w:t>
      </w:r>
      <w:r>
        <w:t xml:space="preserve"> </w:t>
      </w:r>
      <w:r w:rsidRPr="00B554DF">
        <w:t>to intubate Almonte in an effort to open his airway; we also have determined</w:t>
      </w:r>
      <w:r>
        <w:t xml:space="preserve"> </w:t>
      </w:r>
      <w:r w:rsidRPr="00B554DF">
        <w:t xml:space="preserve">that those orders were conveyed during </w:t>
      </w:r>
      <w:r>
        <w:t>‘</w:t>
      </w:r>
      <w:r w:rsidRPr="00B554DF">
        <w:t>direct voice communication[s]</w:t>
      </w:r>
      <w:r>
        <w:t>’</w:t>
      </w:r>
      <w:r w:rsidRPr="00B554DF">
        <w:t xml:space="preserve"> with</w:t>
      </w:r>
    </w:p>
    <w:p w14:paraId="7F3EDC95" w14:textId="77777777" w:rsidR="00EB0265" w:rsidRDefault="00EB0265" w:rsidP="00EB0265">
      <w:pPr>
        <w:pStyle w:val="NoSpacing"/>
      </w:pPr>
      <w:r w:rsidRPr="00B554DF">
        <w:t>Dr. Sharma. Accordingly, we hold that defendants are entitled to immunity.</w:t>
      </w:r>
      <w:r>
        <w:t xml:space="preserve"> </w:t>
      </w:r>
      <w:r w:rsidRPr="00B554DF">
        <w:t>We reach this holding based on N.J.S.A. 26:2K-10’s plain language, aided by</w:t>
      </w:r>
      <w:r>
        <w:t xml:space="preserve"> </w:t>
      </w:r>
      <w:r w:rsidRPr="00B554DF">
        <w:t>legislative intent.</w:t>
      </w:r>
    </w:p>
    <w:p w14:paraId="29A13864" w14:textId="77777777" w:rsidR="00EB0265" w:rsidRDefault="00EB0265" w:rsidP="00EB0265">
      <w:pPr>
        <w:pStyle w:val="NoSpacing"/>
      </w:pPr>
    </w:p>
    <w:p w14:paraId="28FD1C56" w14:textId="77777777" w:rsidR="00EB0265" w:rsidRDefault="00EB0265" w:rsidP="00EB0265">
      <w:pPr>
        <w:pStyle w:val="NoSpacing"/>
      </w:pPr>
      <w:r>
        <w:t>***</w:t>
      </w:r>
    </w:p>
    <w:p w14:paraId="1134D813" w14:textId="77777777" w:rsidR="00EB0265" w:rsidRPr="00B554DF" w:rsidRDefault="00EB0265" w:rsidP="00EB0265">
      <w:pPr>
        <w:pStyle w:val="NoSpacing"/>
      </w:pPr>
      <w:r>
        <w:t>The appellate court noted that the statute itself does not define ‘maintain direct voice communication’ and credited the testimony of plaintiffs’ expert, Dr. Brown, that such communication need not be a ‘</w:t>
      </w:r>
      <w:r w:rsidRPr="00907730">
        <w:t>constant, live stream.</w:t>
      </w:r>
      <w:r>
        <w:t>’”</w:t>
      </w:r>
    </w:p>
    <w:p w14:paraId="335219A9" w14:textId="77777777" w:rsidR="00EB0265" w:rsidRDefault="00EB0265" w:rsidP="00EB0265">
      <w:pPr>
        <w:pStyle w:val="NoSpacing"/>
      </w:pPr>
    </w:p>
    <w:p w14:paraId="6FAF2A2E" w14:textId="77777777" w:rsidR="00EB0265" w:rsidRPr="00F010AA" w:rsidRDefault="00EB0265" w:rsidP="00EB0265">
      <w:pPr>
        <w:pStyle w:val="NoSpacing"/>
        <w:rPr>
          <w:b/>
          <w:bCs/>
        </w:rPr>
      </w:pPr>
      <w:r>
        <w:rPr>
          <w:b/>
        </w:rPr>
        <w:t xml:space="preserve">Legal lesson learned: Medics have immunity under the NJ law (now broadened) since they called hospital </w:t>
      </w:r>
      <w:proofErr w:type="gramStart"/>
      <w:r>
        <w:rPr>
          <w:b/>
        </w:rPr>
        <w:t>physician</w:t>
      </w:r>
      <w:proofErr w:type="gramEnd"/>
      <w:r>
        <w:rPr>
          <w:b/>
        </w:rPr>
        <w:t xml:space="preserve"> before intubation and administration of meds; check the law and your protocol in your state on when must contact Medical Control.</w:t>
      </w:r>
    </w:p>
    <w:p w14:paraId="3AFD0224" w14:textId="77777777" w:rsidR="00752531" w:rsidRDefault="00752531" w:rsidP="00752531">
      <w:pPr>
        <w:pStyle w:val="NoSpacing"/>
        <w:rPr>
          <w:rFonts w:ascii="Arial Black" w:hAnsi="Arial Black"/>
          <w:sz w:val="24"/>
          <w:szCs w:val="24"/>
        </w:rPr>
      </w:pPr>
    </w:p>
    <w:p w14:paraId="3D229831" w14:textId="77777777" w:rsidR="00752531" w:rsidRDefault="00752531" w:rsidP="00752531">
      <w:pPr>
        <w:pStyle w:val="NoSpacing"/>
        <w:rPr>
          <w:rFonts w:ascii="Arial Black" w:hAnsi="Arial Black"/>
          <w:sz w:val="24"/>
          <w:szCs w:val="24"/>
        </w:rPr>
      </w:pPr>
    </w:p>
    <w:p w14:paraId="027546E3" w14:textId="1747EB82" w:rsidR="00752531" w:rsidRPr="00DA5EE8" w:rsidRDefault="00752531" w:rsidP="00752531">
      <w:pPr>
        <w:pStyle w:val="NoSpacing"/>
        <w:rPr>
          <w:rFonts w:ascii="Arial Black" w:hAnsi="Arial Black"/>
          <w:sz w:val="24"/>
          <w:szCs w:val="24"/>
        </w:rPr>
      </w:pPr>
      <w:r w:rsidRPr="00DA5EE8">
        <w:rPr>
          <w:rFonts w:ascii="Arial Black" w:hAnsi="Arial Black"/>
          <w:sz w:val="24"/>
          <w:szCs w:val="24"/>
        </w:rPr>
        <w:t>13-2</w:t>
      </w:r>
      <w:r>
        <w:rPr>
          <w:rFonts w:ascii="Arial Black" w:hAnsi="Arial Black"/>
          <w:sz w:val="24"/>
          <w:szCs w:val="24"/>
        </w:rPr>
        <w:t>64</w:t>
      </w:r>
    </w:p>
    <w:p w14:paraId="351EB58E" w14:textId="4C9B721B" w:rsidR="00EB0265" w:rsidRDefault="00EB0265" w:rsidP="00EB0265">
      <w:pPr>
        <w:pStyle w:val="NoSpacing"/>
        <w:rPr>
          <w:sz w:val="20"/>
          <w:szCs w:val="20"/>
        </w:rPr>
      </w:pPr>
      <w:r w:rsidRPr="00F922D6">
        <w:rPr>
          <w:sz w:val="20"/>
          <w:szCs w:val="20"/>
        </w:rPr>
        <w:tab/>
      </w:r>
    </w:p>
    <w:p w14:paraId="7627E21F" w14:textId="77777777" w:rsidR="00EB0265" w:rsidRDefault="00EB0265" w:rsidP="00EB0265">
      <w:pPr>
        <w:pStyle w:val="NoSpacing"/>
      </w:pPr>
    </w:p>
    <w:p w14:paraId="731AC1C9" w14:textId="77777777" w:rsidR="00EB0265" w:rsidRPr="000629C2" w:rsidRDefault="00EB0265" w:rsidP="00EB0265">
      <w:pPr>
        <w:pStyle w:val="NoSpacing"/>
        <w:rPr>
          <w:rFonts w:ascii="Arial Black" w:hAnsi="Arial Black"/>
          <w:sz w:val="28"/>
          <w:szCs w:val="28"/>
        </w:rPr>
      </w:pPr>
      <w:r>
        <w:rPr>
          <w:rFonts w:ascii="Arial Black" w:hAnsi="Arial Black"/>
          <w:sz w:val="28"/>
          <w:szCs w:val="28"/>
        </w:rPr>
        <w:lastRenderedPageBreak/>
        <w:t>TX: AMBUL OUT 02 TRANSP – P’s EXPERT RPT TOSSED</w:t>
      </w:r>
    </w:p>
    <w:p w14:paraId="6489260B" w14:textId="77777777" w:rsidR="00EB0265" w:rsidRDefault="00EB0265" w:rsidP="00EB0265">
      <w:pPr>
        <w:pStyle w:val="NoSpacing"/>
      </w:pPr>
    </w:p>
    <w:p w14:paraId="7C854EBB" w14:textId="77777777" w:rsidR="00EB0265" w:rsidRDefault="00EB0265" w:rsidP="00EB0265">
      <w:pPr>
        <w:pStyle w:val="NoSpacing"/>
      </w:pPr>
      <w:r>
        <w:t xml:space="preserve">On June 25, 2026, in </w:t>
      </w:r>
      <w:r w:rsidRPr="00FB68FB">
        <w:rPr>
          <w:u w:val="single"/>
        </w:rPr>
        <w:t>Chester Powell v. Jimmy Cruz Sanchez</w:t>
      </w:r>
      <w:r>
        <w:t xml:space="preserve">, the </w:t>
      </w:r>
      <w:r w:rsidRPr="00FB68FB">
        <w:t>Court of Appeals of Texas, Thirteenth District, Corpus Christi-Edinburg</w:t>
      </w:r>
      <w:r>
        <w:t xml:space="preserve"> held (3 to 0) that case was properly dismissed; trial court had discretion to either allow or prohibit plaintiff to file new report about EMT duties instead of paramedic duties. The EMT employed by </w:t>
      </w:r>
      <w:r w:rsidRPr="000B25EA">
        <w:t>Sacred Heart EMS</w:t>
      </w:r>
      <w:r>
        <w:t xml:space="preserve"> was driving a patient from </w:t>
      </w:r>
      <w:r w:rsidRPr="00B970BB">
        <w:t>DeTar Hospital in Victoria</w:t>
      </w:r>
      <w:r>
        <w:t>, Texas</w:t>
      </w:r>
      <w:r w:rsidRPr="00B970BB">
        <w:t xml:space="preserve"> to Methodist Hospital in San Antonio. During the transport, the oxygen supply ran out, and the ambulance diverted to the nearest hospital</w:t>
      </w:r>
      <w:r>
        <w:t xml:space="preserve">, where patient was admitted to intensive care. In a TX </w:t>
      </w:r>
      <w:r w:rsidRPr="000629C2">
        <w:t>health care liability case</w:t>
      </w:r>
      <w:r>
        <w:t>, the plaintiff must submit expert report with the lawsuit setting out breach of duty – in this case the MDs report was about paramedic duties.   Trial court dismissed the lawsuit, instead of granting 30 days to for plaintiff to file revised report;  Court of Appeals upheld the dismissal.  The Court wrote: “</w:t>
      </w:r>
      <w:r w:rsidRPr="00AB6B88">
        <w:t>Accordingly, the trial court did not abuse its discretion in granting Cruz's motion to dismiss with prejudice based on an inadequate report.</w:t>
      </w:r>
      <w:r>
        <w:t>”</w:t>
      </w:r>
    </w:p>
    <w:p w14:paraId="212A5ADD" w14:textId="77777777" w:rsidR="00EB0265" w:rsidRPr="003F2723" w:rsidRDefault="00EB0265" w:rsidP="00EB0265">
      <w:pPr>
        <w:pStyle w:val="NoSpacing"/>
        <w:rPr>
          <w:b/>
        </w:rPr>
      </w:pPr>
      <w:hyperlink r:id="rId2010" w:history="1">
        <w:r w:rsidRPr="00014504">
          <w:rPr>
            <w:rStyle w:val="Hyperlink"/>
            <w:b/>
          </w:rPr>
          <w:t>https://public.fastcase.com/Jhe1Qn%2BmJndQYQU6z%2FeNmxd3J8jpmxXxyeidb6WXrTEciJVACoDQGCX04YyoIKQxWs5hBfmCFqjSsPik5w4la1NJYiz6fo5tDOdYnNwjoT0%3D?utm_medium=email&amp;_hsenc=p2ANqtz-9LzrN1R9Pgrlzgu6Bjb006a7Y-7J4xKc7rzHzZp95cTtgFvjhjxyCpE0IXkHF1YdLpVWdu75zDjIRZyumRHM8CB80GGw&amp;_hsmi=226712652&amp;utm_content=226712652&amp;utm_source=hs_email</w:t>
        </w:r>
      </w:hyperlink>
      <w:r>
        <w:rPr>
          <w:b/>
        </w:rPr>
        <w:t xml:space="preserve"> </w:t>
      </w:r>
    </w:p>
    <w:p w14:paraId="70EC9EBB" w14:textId="77777777" w:rsidR="00EB0265" w:rsidRDefault="00EB0265" w:rsidP="00EB0265">
      <w:pPr>
        <w:pStyle w:val="NoSpacing"/>
      </w:pPr>
    </w:p>
    <w:p w14:paraId="409272F4" w14:textId="77777777" w:rsidR="00EB0265" w:rsidRPr="000629C2" w:rsidRDefault="00EB0265" w:rsidP="00EB0265">
      <w:pPr>
        <w:pStyle w:val="NoSpacing"/>
      </w:pPr>
    </w:p>
    <w:p w14:paraId="4D50E0C4" w14:textId="77777777" w:rsidR="00EB0265" w:rsidRDefault="00EB0265" w:rsidP="00EB0265">
      <w:pPr>
        <w:pStyle w:val="NoSpacing"/>
        <w:rPr>
          <w:b/>
          <w:bCs/>
        </w:rPr>
      </w:pPr>
      <w:r w:rsidRPr="00FC1481">
        <w:rPr>
          <w:b/>
        </w:rPr>
        <w:t>FACTS:</w:t>
      </w:r>
    </w:p>
    <w:p w14:paraId="32CBAF26" w14:textId="77777777" w:rsidR="00EB0265" w:rsidRDefault="00EB0265" w:rsidP="00EB0265">
      <w:pPr>
        <w:pStyle w:val="NoSpacing"/>
        <w:rPr>
          <w:b/>
          <w:bCs/>
        </w:rPr>
      </w:pPr>
    </w:p>
    <w:p w14:paraId="4B0B0684" w14:textId="77777777" w:rsidR="00EB0265" w:rsidRDefault="00EB0265" w:rsidP="00EB0265">
      <w:pPr>
        <w:pStyle w:val="NoSpacing"/>
      </w:pPr>
      <w:r>
        <w:t>“</w:t>
      </w:r>
      <w:r w:rsidRPr="00481044">
        <w:t>Powell asserted that he was transported in an ambulance "manned by" Cruz</w:t>
      </w:r>
      <w:r>
        <w:t xml:space="preserve"> [Jimmy Cruz Sanchez] from </w:t>
      </w:r>
      <w:r w:rsidRPr="00481044">
        <w:t xml:space="preserve">DeTar Hospital in Victoria to Methodist Hospital in San Antonio. During the transport, the oxygen supply ran out, and the ambulance diverted to the nearest hospital. Powell was admitted to the Intensive Care Unit, and he was placed on </w:t>
      </w:r>
      <w:r>
        <w:t>‘</w:t>
      </w:r>
      <w:proofErr w:type="spellStart"/>
      <w:r w:rsidRPr="00481044">
        <w:t>veno</w:t>
      </w:r>
      <w:proofErr w:type="spellEnd"/>
      <w:r w:rsidRPr="00481044">
        <w:t>-venous Extra Corporal Membrane Oxygenation</w:t>
      </w:r>
      <w:r>
        <w:t>’</w:t>
      </w:r>
      <w:r w:rsidRPr="00481044">
        <w:t xml:space="preserve"> for eighty-two days and suffered from adult respiratory distress syndrome. Powell stated that he could not recover from this incident and remains on a portable oxygen ventilator. Powell alleged that Cruz's conduct was a proximate cause of his resulting injuries.</w:t>
      </w:r>
    </w:p>
    <w:p w14:paraId="0105DB43" w14:textId="77777777" w:rsidR="00EB0265" w:rsidRDefault="00EB0265" w:rsidP="00EB0265">
      <w:pPr>
        <w:pStyle w:val="NoSpacing"/>
      </w:pPr>
    </w:p>
    <w:p w14:paraId="58B93CA1" w14:textId="77777777" w:rsidR="00EB0265" w:rsidRDefault="00EB0265" w:rsidP="00EB0265">
      <w:pPr>
        <w:pStyle w:val="NoSpacing"/>
      </w:pPr>
      <w:r>
        <w:t>***</w:t>
      </w:r>
    </w:p>
    <w:p w14:paraId="5557DB88" w14:textId="77777777" w:rsidR="00EB0265" w:rsidRDefault="00EB0265" w:rsidP="00EB0265">
      <w:pPr>
        <w:pStyle w:val="NoSpacing"/>
      </w:pPr>
      <w:r w:rsidRPr="005E585F">
        <w:t xml:space="preserve">On September 17, 2024, Cruz objected to the expert report, asserting Dr. Bedolla based his expert report on the roles and duties of a paramedic, which Cruz is not. In his motion, Cruz stated that he is merely an EMT, and he explained the difference between the two roles. Cruz moved to dismiss contending the expert report did not constitute a </w:t>
      </w:r>
      <w:r>
        <w:t>‘</w:t>
      </w:r>
      <w:r w:rsidRPr="005E585F">
        <w:t>good faith</w:t>
      </w:r>
      <w:r>
        <w:t>’</w:t>
      </w:r>
      <w:r w:rsidRPr="005E585F">
        <w:t xml:space="preserve"> effort to comply with section 74.351 because Dr. Bedolla only addressed the standard of care, breach, roles and duties of a paramedic and failed to address the appropriate standard of an EMT.</w:t>
      </w:r>
      <w:r>
        <w:t>”</w:t>
      </w:r>
    </w:p>
    <w:p w14:paraId="268DDD0E" w14:textId="77777777" w:rsidR="00EB0265" w:rsidRDefault="00EB0265" w:rsidP="00EB0265">
      <w:pPr>
        <w:pStyle w:val="NoSpacing"/>
      </w:pPr>
    </w:p>
    <w:p w14:paraId="2B662419" w14:textId="77777777" w:rsidR="00EB0265" w:rsidRDefault="00EB0265" w:rsidP="00EB0265">
      <w:pPr>
        <w:pStyle w:val="NoSpacing"/>
        <w:rPr>
          <w:b/>
          <w:bCs/>
        </w:rPr>
      </w:pPr>
      <w:r w:rsidRPr="005E585F">
        <w:rPr>
          <w:b/>
        </w:rPr>
        <w:t>COURT HELD:</w:t>
      </w:r>
    </w:p>
    <w:p w14:paraId="0883ADE6" w14:textId="77777777" w:rsidR="00EB0265" w:rsidRDefault="00EB0265" w:rsidP="00EB0265">
      <w:pPr>
        <w:pStyle w:val="NoSpacing"/>
        <w:rPr>
          <w:b/>
          <w:bCs/>
        </w:rPr>
      </w:pPr>
    </w:p>
    <w:p w14:paraId="3EB309BA" w14:textId="77777777" w:rsidR="00EB0265" w:rsidRDefault="00EB0265" w:rsidP="00EB0265">
      <w:pPr>
        <w:pStyle w:val="NoSpacing"/>
      </w:pPr>
      <w:r>
        <w:t>“</w:t>
      </w:r>
      <w:r w:rsidRPr="00094EF3">
        <w:t xml:space="preserve">Dr. Bedolla prefaced his expert report with the following: </w:t>
      </w:r>
      <w:r>
        <w:t>‘</w:t>
      </w:r>
      <w:r w:rsidRPr="00094EF3">
        <w:t xml:space="preserve">Thank you for the opportunity to review this case. It is a case of negligence involving EMS transport by </w:t>
      </w:r>
      <w:proofErr w:type="gramStart"/>
      <w:r w:rsidRPr="00094EF3">
        <w:t>Mr. [Cruz],</w:t>
      </w:r>
      <w:proofErr w:type="gramEnd"/>
      <w:r w:rsidRPr="00094EF3">
        <w:t xml:space="preserve"> a paramedic with Sacred Heart EMS.</w:t>
      </w:r>
      <w:r>
        <w:t>’</w:t>
      </w:r>
      <w:r w:rsidRPr="00094EF3">
        <w:t xml:space="preserve"> The report then details a paramedic's duties and roles and further opines how Cruz failed to adhere to a paramedic's standard of care and how he breached that standard.</w:t>
      </w:r>
    </w:p>
    <w:p w14:paraId="7588EEBF" w14:textId="77777777" w:rsidR="00EB0265" w:rsidRDefault="00EB0265" w:rsidP="00EB0265">
      <w:pPr>
        <w:pStyle w:val="NoSpacing"/>
      </w:pPr>
    </w:p>
    <w:p w14:paraId="213C0ED9" w14:textId="77777777" w:rsidR="00EB0265" w:rsidRDefault="00EB0265" w:rsidP="00EB0265">
      <w:pPr>
        <w:pStyle w:val="NoSpacing"/>
      </w:pPr>
      <w:r>
        <w:t>***</w:t>
      </w:r>
    </w:p>
    <w:p w14:paraId="18125F3F" w14:textId="77777777" w:rsidR="00EB0265" w:rsidRPr="00094EF3" w:rsidRDefault="00EB0265" w:rsidP="00EB0265">
      <w:pPr>
        <w:pStyle w:val="NoSpacing"/>
      </w:pPr>
      <w:r w:rsidRPr="0040133C">
        <w:t xml:space="preserve">We recognize that </w:t>
      </w:r>
      <w:r>
        <w:t>‘</w:t>
      </w:r>
      <w:r w:rsidRPr="0040133C">
        <w:t>even when a report is deemed not served because it is deficient, the trial court retains discretion to grant a thirty[-]day extension.</w:t>
      </w:r>
      <w:r>
        <w:t>’</w:t>
      </w:r>
      <w:r w:rsidRPr="0040133C">
        <w:t xml:space="preserve"> </w:t>
      </w:r>
      <w:r w:rsidRPr="0040133C">
        <w:rPr>
          <w:i/>
          <w:iCs/>
        </w:rPr>
        <w:t>Ogletree</w:t>
      </w:r>
      <w:r w:rsidRPr="0040133C">
        <w:t xml:space="preserve">, 262 S.W.3d at 320-321. </w:t>
      </w:r>
      <w:r>
        <w:t>‘</w:t>
      </w:r>
      <w:r w:rsidRPr="0040133C">
        <w:t>Although the distinction between 'no report' and a deficient-but-potentially curable report can be elusive,</w:t>
      </w:r>
      <w:r>
        <w:t>’</w:t>
      </w:r>
      <w:r w:rsidRPr="0040133C">
        <w:t xml:space="preserve"> we conclude that the expert report as to Cruz is "no report," as it does not address an applicable standard of care, such that a dismissal of the actions against him was required without an opportunity to cure the report</w:t>
      </w:r>
      <w:r>
        <w:t xml:space="preserve">…. </w:t>
      </w:r>
      <w:r w:rsidRPr="00AB6B88">
        <w:t>Accordingly, the trial court did not abuse its discretion in granting Cruz's motion to dismiss with prejudice based on an inadequate report. We overrule Powell's issue.</w:t>
      </w:r>
      <w:r>
        <w:t>”</w:t>
      </w:r>
    </w:p>
    <w:p w14:paraId="13DCA125" w14:textId="77777777" w:rsidR="00EB0265" w:rsidRPr="00094EF3" w:rsidRDefault="00EB0265" w:rsidP="00EB0265">
      <w:pPr>
        <w:pStyle w:val="NoSpacing"/>
      </w:pPr>
    </w:p>
    <w:p w14:paraId="121ED732" w14:textId="77777777" w:rsidR="00EB0265" w:rsidRDefault="00EB0265" w:rsidP="00EB0265">
      <w:pPr>
        <w:pStyle w:val="NoSpacing"/>
      </w:pPr>
      <w:r>
        <w:rPr>
          <w:b/>
        </w:rPr>
        <w:t xml:space="preserve">Legal lesson learned: Expert reports are required in healthcare liability cases when case is filed; expert must carefully describe duties that were allegedly breached.  Check your ambulance O2 should be checked every shift and prior to patient </w:t>
      </w:r>
      <w:proofErr w:type="gramStart"/>
      <w:r>
        <w:rPr>
          <w:b/>
        </w:rPr>
        <w:t>transports</w:t>
      </w:r>
      <w:proofErr w:type="gramEnd"/>
      <w:r>
        <w:rPr>
          <w:b/>
        </w:rPr>
        <w:t xml:space="preserve">. </w:t>
      </w:r>
    </w:p>
    <w:p w14:paraId="443248F8" w14:textId="77777777" w:rsidR="00EB0265" w:rsidRDefault="00EB0265" w:rsidP="00EB0265">
      <w:pPr>
        <w:pStyle w:val="NoSpacing"/>
      </w:pPr>
    </w:p>
    <w:p w14:paraId="2343161C" w14:textId="77777777" w:rsidR="00752531" w:rsidRDefault="00752531" w:rsidP="00752531">
      <w:pPr>
        <w:pStyle w:val="NoSpacing"/>
        <w:rPr>
          <w:rFonts w:ascii="Arial Black" w:hAnsi="Arial Black"/>
          <w:sz w:val="24"/>
          <w:szCs w:val="24"/>
        </w:rPr>
      </w:pPr>
    </w:p>
    <w:p w14:paraId="5AF079AC" w14:textId="58ED50D6" w:rsidR="00752531" w:rsidRPr="00DA5EE8" w:rsidRDefault="00752531" w:rsidP="00752531">
      <w:pPr>
        <w:pStyle w:val="NoSpacing"/>
        <w:rPr>
          <w:rFonts w:ascii="Arial Black" w:hAnsi="Arial Black"/>
          <w:sz w:val="24"/>
          <w:szCs w:val="24"/>
        </w:rPr>
      </w:pPr>
      <w:r w:rsidRPr="00DA5EE8">
        <w:rPr>
          <w:rFonts w:ascii="Arial Black" w:hAnsi="Arial Black"/>
          <w:sz w:val="24"/>
          <w:szCs w:val="24"/>
        </w:rPr>
        <w:t>13-2</w:t>
      </w:r>
      <w:r>
        <w:rPr>
          <w:rFonts w:ascii="Arial Black" w:hAnsi="Arial Black"/>
          <w:sz w:val="24"/>
          <w:szCs w:val="24"/>
        </w:rPr>
        <w:t>63</w:t>
      </w:r>
    </w:p>
    <w:p w14:paraId="309980DE" w14:textId="77777777" w:rsidR="00EB0265" w:rsidRDefault="00EB0265" w:rsidP="00EB0265">
      <w:pPr>
        <w:pStyle w:val="NoSpacing"/>
      </w:pPr>
    </w:p>
    <w:p w14:paraId="0BF1A383" w14:textId="77777777" w:rsidR="00EB0265" w:rsidRPr="00F7747C" w:rsidRDefault="00EB0265" w:rsidP="00EB0265">
      <w:pPr>
        <w:rPr>
          <w:rFonts w:ascii="Arial Black" w:hAnsi="Arial Black"/>
          <w:b/>
          <w:bCs/>
          <w:sz w:val="28"/>
          <w:szCs w:val="28"/>
        </w:rPr>
      </w:pPr>
      <w:r>
        <w:rPr>
          <w:rFonts w:ascii="Arial Black" w:hAnsi="Arial Black"/>
          <w:b/>
          <w:sz w:val="28"/>
          <w:szCs w:val="28"/>
        </w:rPr>
        <w:t>IL: COVID-19 – RELIGION – CITY PROH. FETUS CELL MEDS</w:t>
      </w:r>
    </w:p>
    <w:p w14:paraId="501A8A6B" w14:textId="77777777" w:rsidR="00EB0265" w:rsidRDefault="00EB0265" w:rsidP="00EB0265">
      <w:pPr>
        <w:pStyle w:val="NoSpacing"/>
      </w:pPr>
      <w:r>
        <w:t xml:space="preserve">On June 22, 2026, in </w:t>
      </w:r>
      <w:r w:rsidRPr="00FF6D9F">
        <w:rPr>
          <w:u w:val="single"/>
        </w:rPr>
        <w:t>Robert Morris v. The City of Chicago</w:t>
      </w:r>
      <w:r>
        <w:t xml:space="preserve">, U.S. District Court Judge </w:t>
      </w:r>
      <w:r w:rsidRPr="00A22E52">
        <w:t xml:space="preserve">Joan H. </w:t>
      </w:r>
      <w:proofErr w:type="spellStart"/>
      <w:r w:rsidRPr="00A22E52">
        <w:t>Lefkow</w:t>
      </w:r>
      <w:proofErr w:type="spellEnd"/>
      <w:r>
        <w:t xml:space="preserve">, </w:t>
      </w:r>
      <w:r w:rsidRPr="00A22E52">
        <w:t>United States District Court, Northern District of Illinois, Eastern Division</w:t>
      </w:r>
      <w:r>
        <w:t xml:space="preserve">, held that the fighter’s claim of religious discrimination may proceed – during COVID-19 vaccination period only firefighters seeking religious discrimination were required to sign a form certifying they would forgo certain medications that city claims </w:t>
      </w:r>
      <w:r w:rsidRPr="00E51E4E">
        <w:t>were developed using cells obtained from aborted fetuses.</w:t>
      </w:r>
      <w:r>
        <w:t xml:space="preserve"> The Court wrote: “</w:t>
      </w:r>
      <w:r w:rsidRPr="00551616">
        <w:t>Further, Morris alleges that no parallel requirement existed for individuals requesting non-religious accommodations—only those, like him, who opposed the use of fetal cell lines in the development of vaccines on religious grounds.</w:t>
      </w:r>
      <w:r>
        <w:t>”</w:t>
      </w:r>
    </w:p>
    <w:p w14:paraId="253CFCB2" w14:textId="77777777" w:rsidR="00EB0265" w:rsidRDefault="00EB0265" w:rsidP="00EB0265">
      <w:pPr>
        <w:pStyle w:val="NoSpacing"/>
      </w:pPr>
      <w:hyperlink r:id="rId2011" w:history="1">
        <w:r w:rsidRPr="001B1815">
          <w:rPr>
            <w:rStyle w:val="Hyperlink"/>
          </w:rPr>
          <w:t>https://public.fastcase.com/Jhe1Qn%2BmJndQYQU6z%2FeNm00La4tSCrrnQj5Y3npvm8fdoq4TeulewGlEW3bFFA7N?utm_medium=email&amp;_hsenc=p2ANqtz-8ThEk2xAXh6kES_woWZ5vNzcOTlPOgA5SAfsmD2YLCJ8ZqGGe3eNs5iYP9SOCvDgMCA2VIbcxNqC2sINqsn3X7XvkFGA&amp;_hsmi=226712652&amp;utm_content=226712652&amp;utm_source=hs_email</w:t>
        </w:r>
      </w:hyperlink>
      <w:r>
        <w:t xml:space="preserve"> </w:t>
      </w:r>
    </w:p>
    <w:p w14:paraId="2FB6F9A1" w14:textId="77777777" w:rsidR="00EB0265" w:rsidRDefault="00EB0265" w:rsidP="00EB0265">
      <w:pPr>
        <w:rPr>
          <w:bCs/>
        </w:rPr>
      </w:pPr>
    </w:p>
    <w:p w14:paraId="19935B79" w14:textId="77777777" w:rsidR="00EB0265" w:rsidRDefault="00EB0265" w:rsidP="00EB0265">
      <w:pPr>
        <w:rPr>
          <w:bCs/>
        </w:rPr>
      </w:pPr>
      <w:r w:rsidRPr="00F26F6D">
        <w:rPr>
          <w:b/>
        </w:rPr>
        <w:t>FACTS:</w:t>
      </w:r>
      <w:r>
        <w:t xml:space="preserve"> </w:t>
      </w:r>
    </w:p>
    <w:p w14:paraId="4528FD75" w14:textId="77777777" w:rsidR="00EB0265" w:rsidRDefault="00EB0265" w:rsidP="00EB0265">
      <w:r>
        <w:t>“</w:t>
      </w:r>
      <w:r w:rsidRPr="003E0DC7">
        <w:t xml:space="preserve">In August 2021, the City implemented a COVID-19 vaccination policy that required its employees to be vaccinated against the COVID-19 virus. Morris, a firefighter for the </w:t>
      </w:r>
      <w:proofErr w:type="gramStart"/>
      <w:r w:rsidRPr="003E0DC7">
        <w:t>City</w:t>
      </w:r>
      <w:proofErr w:type="gramEnd"/>
      <w:r w:rsidRPr="003E0DC7">
        <w:t xml:space="preserve"> and a devout Catholic deacon, refused to take the COVID-19 vaccine due to his religious beliefs. Morris opposes, on religious grounds, the use of vaccines derived from fetal cell lines. So, on October 13, 2021, he submitted a religious accommodation request, seeking an exemption from the COVID-19 vaccine requirement. His request included a multi-page explanation of his </w:t>
      </w:r>
      <w:r>
        <w:t xml:space="preserve"> </w:t>
      </w:r>
      <w:r w:rsidRPr="003E0DC7">
        <w:t>religious beliefs that addressed each of the questions outlined in the City's form. He had, however, deliberately omitted from the request the signature of a spiritual advisor, since he believed that requiring such a signature was unnecessary and illegal. As a Catholic deacon, he deemed his signature to be sufficient</w:t>
      </w:r>
      <w:r>
        <w:t xml:space="preserve">…. </w:t>
      </w:r>
      <w:r w:rsidRPr="00AF6F9F">
        <w:t xml:space="preserve">Eventually, on January 26, 2022, Morris signed the Attestation Form, since he feared repercussions from the </w:t>
      </w:r>
      <w:proofErr w:type="gramStart"/>
      <w:r w:rsidRPr="00AF6F9F">
        <w:t>City</w:t>
      </w:r>
      <w:proofErr w:type="gramEnd"/>
      <w:r w:rsidRPr="00AF6F9F">
        <w:t xml:space="preserve"> if he refused to do so. One day later, the </w:t>
      </w:r>
      <w:proofErr w:type="gramStart"/>
      <w:r w:rsidRPr="00AF6F9F">
        <w:t>City</w:t>
      </w:r>
      <w:proofErr w:type="gramEnd"/>
      <w:r w:rsidRPr="00AF6F9F">
        <w:t xml:space="preserve"> granted his accommodations request</w:t>
      </w:r>
      <w:r>
        <w:t xml:space="preserve">…. </w:t>
      </w:r>
      <w:r w:rsidRPr="00F7747C">
        <w:t xml:space="preserve">The City also introduced additional requirements for Morris to seek an exemption, including a new condition that he </w:t>
      </w:r>
      <w:proofErr w:type="gramStart"/>
      <w:r w:rsidRPr="00F7747C">
        <w:t>sign</w:t>
      </w:r>
      <w:proofErr w:type="gramEnd"/>
      <w:r w:rsidRPr="00F7747C">
        <w:t xml:space="preserve"> a medication follow-up attestation (the Attestation Form), which required Morris to agree that he would forgo using certain medications. Individuals who sought medical exemptions were not required to sign the Attestation Form or a comparable form. Only individuals seeking a religious exemption were required to sign this form.</w:t>
      </w:r>
      <w:r>
        <w:t>”</w:t>
      </w:r>
    </w:p>
    <w:p w14:paraId="50905CCD" w14:textId="77777777" w:rsidR="00EB0265" w:rsidRDefault="00EB0265" w:rsidP="00EB0265">
      <w:pPr>
        <w:pStyle w:val="NoSpacing"/>
      </w:pPr>
    </w:p>
    <w:p w14:paraId="4D450282" w14:textId="77777777" w:rsidR="00EB0265" w:rsidRDefault="00EB0265" w:rsidP="00EB0265">
      <w:pPr>
        <w:pStyle w:val="NoSpacing"/>
        <w:rPr>
          <w:b/>
          <w:bCs/>
        </w:rPr>
      </w:pPr>
      <w:r w:rsidRPr="00F26F6D">
        <w:rPr>
          <w:b/>
        </w:rPr>
        <w:t>COURT HELD:</w:t>
      </w:r>
    </w:p>
    <w:p w14:paraId="6B7E0D7D" w14:textId="77777777" w:rsidR="00EB0265" w:rsidRDefault="00EB0265" w:rsidP="00EB0265">
      <w:pPr>
        <w:pStyle w:val="NoSpacing"/>
      </w:pPr>
    </w:p>
    <w:p w14:paraId="5DD87390" w14:textId="77777777" w:rsidR="00EB0265" w:rsidRPr="00551616" w:rsidRDefault="00EB0265" w:rsidP="00EB0265">
      <w:pPr>
        <w:pStyle w:val="NoSpacing"/>
      </w:pPr>
      <w:r>
        <w:t xml:space="preserve"> </w:t>
      </w:r>
      <w:r w:rsidRPr="009E2CCD">
        <w:t>“Religious Discrimination (Count II)….</w:t>
      </w:r>
      <w:r>
        <w:t xml:space="preserve"> </w:t>
      </w:r>
      <w:r w:rsidRPr="008A0C1C">
        <w:t>Moreover, following the Supreme Court's decision in Muldrow v. City of St. Louis, Missouri, it is clear that a relatively minor adverse action suffices for pleading a Title VII disparate treatment claim: A plaintiff need only allege “some harm respecting an identifiable term or condition of employment.” 601 U.S. 346, 355 (2024) (emphasis added). There is no need to allege that the harm a plaintiff suffered is “serious, or substantial, or any similar adjective” for a such a claim to be well-pleaded. Id</w:t>
      </w:r>
      <w:r>
        <w:t xml:space="preserve">…. </w:t>
      </w:r>
      <w:r w:rsidRPr="00551616">
        <w:t xml:space="preserve">Morris has met the low threshold requirements for pleading disparate treatment and religious discrimination. The City argues that Morris has failed to allege an adverse action, but Morris alleges that as a precondition for receiving his vaccine exemption, the City required him to complete the Attestation Form, which prohibited him from taking a range of common medications or potentially face discipline. Since many of these were </w:t>
      </w:r>
      <w:proofErr w:type="gramStart"/>
      <w:r w:rsidRPr="00551616">
        <w:t>medications</w:t>
      </w:r>
      <w:proofErr w:type="gramEnd"/>
      <w:r w:rsidRPr="00551616">
        <w:t xml:space="preserve"> he did not have any religious opposition to, this not only changed the terms and conditions of Morris's employment but also required him to misrepresent his religious views </w:t>
      </w:r>
      <w:proofErr w:type="gramStart"/>
      <w:r w:rsidRPr="00551616">
        <w:t>in order to</w:t>
      </w:r>
      <w:proofErr w:type="gramEnd"/>
      <w:r w:rsidRPr="00551616">
        <w:t xml:space="preserve"> be exempt from the City's vaccination requirement. Accordingly, Morris has shown at least </w:t>
      </w:r>
      <w:r>
        <w:t>‘</w:t>
      </w:r>
      <w:r w:rsidRPr="00551616">
        <w:t>some harm</w:t>
      </w:r>
      <w:r>
        <w:t>’</w:t>
      </w:r>
      <w:r w:rsidRPr="00551616">
        <w:t xml:space="preserve"> for purposes of stating an adverse action. </w:t>
      </w:r>
      <w:r w:rsidRPr="00551616">
        <w:rPr>
          <w:i/>
          <w:iCs/>
        </w:rPr>
        <w:t>Muldrow</w:t>
      </w:r>
      <w:r w:rsidRPr="00551616">
        <w:t xml:space="preserve">, 601 U.S. at 355. Further, Morris alleges that no parallel requirement existed for individuals requesting non-religious accommodations—only </w:t>
      </w:r>
    </w:p>
    <w:p w14:paraId="53D63E97" w14:textId="77777777" w:rsidR="00EB0265" w:rsidRDefault="00EB0265" w:rsidP="00EB0265">
      <w:pPr>
        <w:pStyle w:val="NoSpacing"/>
      </w:pPr>
      <w:r w:rsidRPr="00551616">
        <w:lastRenderedPageBreak/>
        <w:t>those, like him, who opposed the use of fetal cell lines in the development of vaccines on religious grounds. In other words, Morris alleges that the changes to the terms and conditions of his employment were made on account of his religious beliefs. Under Title VII's generous pleading standards for disparate treatment claims, this is sufficient.</w:t>
      </w:r>
      <w:r>
        <w:t xml:space="preserve">”  </w:t>
      </w:r>
    </w:p>
    <w:p w14:paraId="5D2C1A8B" w14:textId="77777777" w:rsidR="00EB0265" w:rsidRDefault="00EB0265" w:rsidP="00EB0265">
      <w:pPr>
        <w:pStyle w:val="NoSpacing"/>
      </w:pPr>
    </w:p>
    <w:p w14:paraId="000331B9" w14:textId="77777777" w:rsidR="00EB0265" w:rsidRPr="003209C4" w:rsidRDefault="00EB0265" w:rsidP="00EB0265">
      <w:pPr>
        <w:pStyle w:val="NoSpacing"/>
        <w:rPr>
          <w:b/>
          <w:bCs/>
        </w:rPr>
      </w:pPr>
      <w:r>
        <w:rPr>
          <w:b/>
        </w:rPr>
        <w:t xml:space="preserve">Legal lesson learned: To avoid religious discrimination lawsuits, do not impose unique requirements on only those firefighters seeking religious accommodations. </w:t>
      </w:r>
    </w:p>
    <w:p w14:paraId="159736EA" w14:textId="77777777" w:rsidR="00EB0265" w:rsidRPr="008A0C1C" w:rsidRDefault="00EB0265" w:rsidP="00EB0265">
      <w:pPr>
        <w:pStyle w:val="NoSpacing"/>
      </w:pPr>
    </w:p>
    <w:p w14:paraId="65226508" w14:textId="77777777" w:rsidR="00EB0265" w:rsidRPr="008A0C1C" w:rsidRDefault="00EB0265" w:rsidP="00EB0265">
      <w:pPr>
        <w:pStyle w:val="NoSpacing"/>
      </w:pPr>
      <w:r>
        <w:tab/>
        <w:t xml:space="preserve">Note: See this Feb. 19, </w:t>
      </w:r>
      <w:proofErr w:type="gramStart"/>
      <w:r>
        <w:t>2024</w:t>
      </w:r>
      <w:proofErr w:type="gramEnd"/>
      <w:r>
        <w:t xml:space="preserve"> article:</w:t>
      </w:r>
    </w:p>
    <w:p w14:paraId="738ACA25" w14:textId="77777777" w:rsidR="00EB0265" w:rsidRDefault="00EB0265" w:rsidP="00EB0265">
      <w:pPr>
        <w:pStyle w:val="NoSpacing"/>
        <w:ind w:left="720"/>
        <w:rPr>
          <w:bCs/>
        </w:rPr>
      </w:pPr>
      <w:r w:rsidRPr="009D4AD6">
        <w:t>“Chicago firefighter says city forced him to refuse all other meds before granting Covid vax religious exemption</w:t>
      </w:r>
      <w:r w:rsidRPr="00024DD4">
        <w:t>. A Chicago firefighter has filed suit against the city, claiming his rights were violated when the city of Chicago forced him to sign a form agreeing not to take even the most basic of medications before granting him a religious exemption from the city's Covid vaccine mandate.</w:t>
      </w:r>
      <w:r>
        <w:t xml:space="preserve"> </w:t>
      </w:r>
      <w:hyperlink r:id="rId2012" w:history="1">
        <w:r w:rsidRPr="00D079ED">
          <w:rPr>
            <w:rStyle w:val="Hyperlink"/>
            <w:color w:val="auto"/>
            <w:u w:val="none"/>
          </w:rPr>
          <w:t>On Feb. 5, plaintiff Daniel Baumgartner filed suit in Chicago federal court against the city, accusing the city of religious discrimination.</w:t>
        </w:r>
      </w:hyperlink>
      <w:r>
        <w:t xml:space="preserve">... </w:t>
      </w:r>
      <w:r w:rsidRPr="00E51E4E">
        <w:t xml:space="preserve">The lawsuit asserts the form would all but bar Baumgartner from taking even basic over the counter medications, including Benadryl, ibuprofen and aspirin, because the city claims </w:t>
      </w:r>
      <w:proofErr w:type="gramStart"/>
      <w:r w:rsidRPr="00E51E4E">
        <w:t>all of</w:t>
      </w:r>
      <w:proofErr w:type="gramEnd"/>
      <w:r w:rsidRPr="00E51E4E">
        <w:t xml:space="preserve"> those medications were developed using cells obtained from aborted fetuses. Baumgartner's complaint asserts the forms are </w:t>
      </w:r>
      <w:r>
        <w:t>‘</w:t>
      </w:r>
      <w:r w:rsidRPr="00E51E4E">
        <w:t>riddled with inaccurate and flatly erroneous information about the listed medications and their connections to fetal cells.</w:t>
      </w:r>
      <w:r>
        <w:t>’”</w:t>
      </w:r>
    </w:p>
    <w:p w14:paraId="2E79D4B2" w14:textId="77777777" w:rsidR="00EB0265" w:rsidRPr="00D079ED" w:rsidRDefault="00EB0265" w:rsidP="00EB0265">
      <w:pPr>
        <w:pStyle w:val="NoSpacing"/>
        <w:ind w:left="720"/>
        <w:rPr>
          <w:bCs/>
        </w:rPr>
      </w:pPr>
      <w:hyperlink r:id="rId2013" w:history="1">
        <w:r w:rsidRPr="001B1815">
          <w:rPr>
            <w:rStyle w:val="Hyperlink"/>
          </w:rPr>
          <w:t>https://www.legalnewsline.com/cook-county-record/chicago-firefighter-says-city-forced-him-to-refuse-all-other-meds-before-granting-covid-vax/article_68ad87a4-9b1a-50d4-8779-f38508fd4aad.html</w:t>
        </w:r>
      </w:hyperlink>
      <w:r>
        <w:t xml:space="preserve"> </w:t>
      </w:r>
    </w:p>
    <w:p w14:paraId="12E16FD5" w14:textId="77777777" w:rsidR="00EB0265" w:rsidRDefault="00EB0265" w:rsidP="00EB0265">
      <w:pPr>
        <w:pStyle w:val="NoSpacing"/>
        <w:rPr>
          <w:b/>
        </w:rPr>
      </w:pPr>
    </w:p>
    <w:p w14:paraId="6D8BF693" w14:textId="77777777" w:rsidR="00EB0265" w:rsidRDefault="00EB0265" w:rsidP="00EB0265">
      <w:pPr>
        <w:pStyle w:val="NoSpacing"/>
        <w:rPr>
          <w:b/>
        </w:rPr>
      </w:pPr>
    </w:p>
    <w:p w14:paraId="1A3A062C" w14:textId="05A5978F" w:rsidR="007A053D" w:rsidRDefault="007A053D" w:rsidP="007A053D">
      <w:pPr>
        <w:pStyle w:val="NoSpacing"/>
        <w:rPr>
          <w:rFonts w:ascii="Arial Black" w:hAnsi="Arial Black"/>
          <w:sz w:val="24"/>
          <w:szCs w:val="24"/>
        </w:rPr>
      </w:pPr>
      <w:r w:rsidRPr="00DA5EE8">
        <w:rPr>
          <w:rFonts w:ascii="Arial Black" w:hAnsi="Arial Black"/>
          <w:sz w:val="24"/>
          <w:szCs w:val="24"/>
        </w:rPr>
        <w:t>13-2</w:t>
      </w:r>
      <w:r>
        <w:rPr>
          <w:rFonts w:ascii="Arial Black" w:hAnsi="Arial Black"/>
          <w:sz w:val="24"/>
          <w:szCs w:val="24"/>
        </w:rPr>
        <w:t>62</w:t>
      </w:r>
    </w:p>
    <w:p w14:paraId="68471CAF" w14:textId="77777777" w:rsidR="00752531" w:rsidRDefault="00752531" w:rsidP="00EB0265">
      <w:pPr>
        <w:rPr>
          <w:rFonts w:ascii="Arial Black" w:hAnsi="Arial Black"/>
          <w:b/>
          <w:sz w:val="28"/>
          <w:szCs w:val="28"/>
        </w:rPr>
      </w:pPr>
    </w:p>
    <w:p w14:paraId="1E9F49A1" w14:textId="410141D3" w:rsidR="00EB0265" w:rsidRPr="00C26528" w:rsidRDefault="00EB0265" w:rsidP="00EB0265">
      <w:pPr>
        <w:rPr>
          <w:rFonts w:ascii="Arial Black" w:hAnsi="Arial Black"/>
          <w:b/>
          <w:sz w:val="28"/>
          <w:szCs w:val="28"/>
        </w:rPr>
      </w:pPr>
      <w:r>
        <w:rPr>
          <w:rFonts w:ascii="Arial Black" w:hAnsi="Arial Black"/>
          <w:b/>
          <w:sz w:val="28"/>
          <w:szCs w:val="28"/>
        </w:rPr>
        <w:t>CO: MEDIC – CONV. REV. KETAMINE DEATH – NEW TRIAL</w:t>
      </w:r>
    </w:p>
    <w:p w14:paraId="5FD8780F" w14:textId="77777777" w:rsidR="00EB0265" w:rsidRDefault="00EB0265" w:rsidP="00EB0265">
      <w:pPr>
        <w:rPr>
          <w:b/>
        </w:rPr>
      </w:pPr>
      <w:r>
        <w:t xml:space="preserve">On June 4. 2026, in </w:t>
      </w:r>
      <w:r w:rsidRPr="00C94F16">
        <w:rPr>
          <w:u w:val="single"/>
        </w:rPr>
        <w:t>The People of the State of Colorado v. Jeremy Cooper</w:t>
      </w:r>
      <w:r>
        <w:t xml:space="preserve">, the </w:t>
      </w:r>
      <w:r w:rsidRPr="004E2276">
        <w:t>Court of Appeals of Colorado, First Division</w:t>
      </w:r>
      <w:r>
        <w:t xml:space="preserve"> held (3 to 0) that the trial court judge gave jury an improperly jury instruction on when a medic could be guilty of “criminally negligent homicide.”  The trial judge should have instructed the jury in 2023 trial that a paramedic </w:t>
      </w:r>
      <w:proofErr w:type="spellStart"/>
      <w:r>
        <w:t>isonly</w:t>
      </w:r>
      <w:proofErr w:type="spellEnd"/>
      <w:r>
        <w:t xml:space="preserve">  </w:t>
      </w:r>
      <w:r w:rsidRPr="0086124D">
        <w:t xml:space="preserve">guilty of </w:t>
      </w:r>
      <w:r>
        <w:t>“</w:t>
      </w:r>
      <w:r w:rsidRPr="0086124D">
        <w:t>criminally negligent homicide</w:t>
      </w:r>
      <w:r>
        <w:t>” only when his conduct in 2019 was a gross violation of the protocols to be followed by a reasonable medic in that community.  The Court wrote: The Court wrote: “</w:t>
      </w:r>
      <w:r w:rsidRPr="00F572CB">
        <w:t xml:space="preserve">A person acts 'with criminal negligence' when, through a gross deviation from the standard of care that a </w:t>
      </w:r>
      <w:r w:rsidRPr="00F572CB">
        <w:rPr>
          <w:i/>
          <w:iCs/>
        </w:rPr>
        <w:t>reasonable paramedic in Aurora, Colorado</w:t>
      </w:r>
      <w:r w:rsidRPr="00F572CB">
        <w:t xml:space="preserve"> would exercise in the same circumstance, he fails to perceive a substantial and unjustifiable risk that a result will occur or that a circumstance exists.</w:t>
      </w:r>
      <w:r>
        <w:t xml:space="preserve">’ </w:t>
      </w:r>
      <w:hyperlink r:id="rId2014" w:history="1">
        <w:r w:rsidRPr="00971037">
          <w:rPr>
            <w:rStyle w:val="Hyperlink"/>
          </w:rPr>
          <w:t>https://www.coloradojudicial.gov/system/files/opinions-2026-06/24CA1002.pdf</w:t>
        </w:r>
      </w:hyperlink>
      <w:r>
        <w:t xml:space="preserve"> </w:t>
      </w:r>
    </w:p>
    <w:p w14:paraId="0E82B7BC" w14:textId="77777777" w:rsidR="00EB0265" w:rsidRDefault="00EB0265" w:rsidP="00EB0265">
      <w:pPr>
        <w:rPr>
          <w:b/>
        </w:rPr>
      </w:pPr>
      <w:r>
        <w:rPr>
          <w:b/>
        </w:rPr>
        <w:t>FACTS:</w:t>
      </w:r>
    </w:p>
    <w:p w14:paraId="47CF6A6F" w14:textId="77777777" w:rsidR="00EB0265" w:rsidRDefault="00EB0265" w:rsidP="00EB0265">
      <w:pPr>
        <w:pStyle w:val="NoSpacing"/>
      </w:pPr>
      <w:r>
        <w:t>“</w:t>
      </w:r>
      <w:r w:rsidRPr="005C2B80">
        <w:t xml:space="preserve">This case arises out of the tragic death of Elijah McClain following an interaction with Aurora police officers and fire rescue paramedics. Defendant, Jeremy Cooper, is the paramedic who injected Mr. McClain with ketamine, which, the People contend, contributed to his death. Cooper appeals the district court's judgment of conviction entered on a jury's verdict finding him guilty of criminally negligent homicide. We conclude that the district court erred by failing to properly instruct the jury on the standard of care applicable to the criminally negligent homicide charge and that the error wasn't harmless. Accordingly, we reverse the judgment and </w:t>
      </w:r>
      <w:proofErr w:type="gramStart"/>
      <w:r w:rsidRPr="005C2B80">
        <w:t>remand</w:t>
      </w:r>
      <w:proofErr w:type="gramEnd"/>
      <w:r w:rsidRPr="005C2B80">
        <w:t xml:space="preserve"> the case for a new trial.</w:t>
      </w:r>
    </w:p>
    <w:p w14:paraId="7B32F492" w14:textId="77777777" w:rsidR="00EB0265" w:rsidRDefault="00EB0265" w:rsidP="00EB0265">
      <w:pPr>
        <w:pStyle w:val="NoSpacing"/>
      </w:pPr>
    </w:p>
    <w:p w14:paraId="6CDD737B" w14:textId="77777777" w:rsidR="00EB0265" w:rsidRDefault="00EB0265" w:rsidP="00EB0265">
      <w:pPr>
        <w:pStyle w:val="NoSpacing"/>
      </w:pPr>
      <w:r>
        <w:t>***</w:t>
      </w:r>
    </w:p>
    <w:p w14:paraId="06A42C00" w14:textId="77777777" w:rsidR="00EB0265" w:rsidRPr="00B97DA4" w:rsidRDefault="00EB0265" w:rsidP="00EB0265">
      <w:pPr>
        <w:pStyle w:val="NoSpacing"/>
      </w:pPr>
      <w:r w:rsidRPr="00B97DA4">
        <w:t xml:space="preserve">One summer evening, Mr. McClain walked to a convenience store and bought a few cans of iced tea. The store's security </w:t>
      </w:r>
      <w:proofErr w:type="gramStart"/>
      <w:r w:rsidRPr="00B97DA4">
        <w:t>cameras</w:t>
      </w:r>
      <w:proofErr w:type="gramEnd"/>
      <w:r w:rsidRPr="00B97DA4">
        <w:t xml:space="preserve"> showed him wearing a black ski mask and headphones, paying for his tea, and dancing with his arms raised in the parking lot. </w:t>
      </w:r>
    </w:p>
    <w:p w14:paraId="6338A848" w14:textId="77777777" w:rsidR="00EB0265" w:rsidRDefault="00EB0265" w:rsidP="00EB0265">
      <w:pPr>
        <w:pStyle w:val="NoSpacing"/>
      </w:pPr>
    </w:p>
    <w:p w14:paraId="0F9CB969" w14:textId="77777777" w:rsidR="00EB0265" w:rsidRPr="00B97DA4" w:rsidRDefault="00EB0265" w:rsidP="00EB0265">
      <w:pPr>
        <w:pStyle w:val="NoSpacing"/>
      </w:pPr>
      <w:r w:rsidRPr="00B97DA4">
        <w:t xml:space="preserve">Soon after Mr. McClain left the store, a 911 caller reported a "sketchy" looking black male </w:t>
      </w:r>
      <w:r>
        <w:t>‘</w:t>
      </w:r>
      <w:r w:rsidRPr="00B97DA4">
        <w:t>walking fast</w:t>
      </w:r>
      <w:r>
        <w:t>’</w:t>
      </w:r>
      <w:r w:rsidRPr="00B97DA4">
        <w:t xml:space="preserve"> down the street wearing a black ski mask and "moving his arms." </w:t>
      </w:r>
    </w:p>
    <w:p w14:paraId="0A81B02A" w14:textId="77777777" w:rsidR="00EB0265" w:rsidRPr="00B97DA4" w:rsidRDefault="00EB0265" w:rsidP="00EB0265">
      <w:pPr>
        <w:pStyle w:val="NoSpacing"/>
      </w:pPr>
    </w:p>
    <w:p w14:paraId="2C4FE585" w14:textId="77777777" w:rsidR="00EB0265" w:rsidRPr="00B97DA4" w:rsidRDefault="00EB0265" w:rsidP="00EB0265">
      <w:pPr>
        <w:pStyle w:val="NoSpacing"/>
      </w:pPr>
      <w:r w:rsidRPr="00B97DA4">
        <w:t xml:space="preserve">Aurora police officers saw Mr. McClain. Police body-worn cameras recorded the interaction. When the officers asked Mr. McClain to stop, he said he had a right to walk where he was going and continued walking. Three officers then tried to physically restrain Mr. McClain. One repeatedly told him to </w:t>
      </w:r>
      <w:r>
        <w:t>‘</w:t>
      </w:r>
      <w:r w:rsidRPr="00B97DA4">
        <w:t>stop tensing up,</w:t>
      </w:r>
      <w:r>
        <w:t>’</w:t>
      </w:r>
      <w:r w:rsidRPr="00B97DA4">
        <w:t xml:space="preserve"> and one told him to </w:t>
      </w:r>
      <w:r>
        <w:t>‘</w:t>
      </w:r>
      <w:r w:rsidRPr="00B97DA4">
        <w:t>relax or I'm going to have to change this situation.</w:t>
      </w:r>
      <w:r>
        <w:t>’</w:t>
      </w:r>
      <w:r w:rsidRPr="00B97DA4">
        <w:t xml:space="preserve"> Mr. McClain objected to being stopped, and the officers began to struggle with him. </w:t>
      </w:r>
    </w:p>
    <w:p w14:paraId="1024E3E1" w14:textId="77777777" w:rsidR="00EB0265" w:rsidRDefault="00EB0265" w:rsidP="00EB0265">
      <w:pPr>
        <w:pStyle w:val="NoSpacing"/>
      </w:pPr>
      <w:r w:rsidRPr="00B97DA4">
        <w:t>        </w:t>
      </w:r>
    </w:p>
    <w:p w14:paraId="7246E9EE" w14:textId="77777777" w:rsidR="00EB0265" w:rsidRPr="00B97DA4" w:rsidRDefault="00EB0265" w:rsidP="00EB0265">
      <w:pPr>
        <w:pStyle w:val="NoSpacing"/>
      </w:pPr>
      <w:r w:rsidRPr="00B97DA4">
        <w:t xml:space="preserve"> As the officers continued to struggle with Mr. McClain, one of them said, </w:t>
      </w:r>
      <w:r>
        <w:t>‘</w:t>
      </w:r>
      <w:r w:rsidRPr="00B97DA4">
        <w:t>He just grabbed your gun,</w:t>
      </w:r>
      <w:r>
        <w:t>’</w:t>
      </w:r>
      <w:r w:rsidRPr="00B97DA4">
        <w:t xml:space="preserve"> to one of the other officers. The officers pushed Mr. McClain to the ground. An officer tried to put Mr. McClain in a carotid control hold, whereby a person applies pressure on someone's neck with his bicep and forearm. When that effort failed, another officer put Mr. McClain in a carotid control hold. The second hold cut off blood flow to Mr. McClain's brain, causing him to temporarily lose consciousness. When Mr. McClain regained consciousness, he told the officers that he couldn't breathe. He later vomited. An officer asked a dispatcher to send paramedics to treat Mr. McClain because he had temporarily lost consciousness. </w:t>
      </w:r>
    </w:p>
    <w:p w14:paraId="25893C55" w14:textId="77777777" w:rsidR="00EB0265" w:rsidRPr="00B97DA4" w:rsidRDefault="00EB0265" w:rsidP="00EB0265">
      <w:pPr>
        <w:pStyle w:val="NoSpacing"/>
      </w:pPr>
    </w:p>
    <w:p w14:paraId="1CDC5FE0" w14:textId="77777777" w:rsidR="00EB0265" w:rsidRPr="00B97DA4" w:rsidRDefault="00EB0265" w:rsidP="00EB0265">
      <w:pPr>
        <w:pStyle w:val="NoSpacing"/>
      </w:pPr>
      <w:r w:rsidRPr="00B97DA4">
        <w:t xml:space="preserve">Cooper; his supervisor, Lieutenant Peter Cichuniec; and two </w:t>
      </w:r>
      <w:proofErr w:type="gramStart"/>
      <w:r w:rsidRPr="00B97DA4">
        <w:t>nonmedical</w:t>
      </w:r>
      <w:proofErr w:type="gramEnd"/>
      <w:r w:rsidRPr="00B97DA4">
        <w:t xml:space="preserve"> fire department personnel (an </w:t>
      </w:r>
      <w:r>
        <w:t>‘</w:t>
      </w:r>
      <w:r w:rsidRPr="00B97DA4">
        <w:t>engineer</w:t>
      </w:r>
      <w:r>
        <w:t>’</w:t>
      </w:r>
      <w:r w:rsidRPr="00B97DA4">
        <w:t xml:space="preserve"> and a firefighter) arrived a few minutes later. They saw two officers restraining Mr. McClain on the ground. The police officers told Cooper and </w:t>
      </w:r>
      <w:proofErr w:type="spellStart"/>
      <w:r w:rsidRPr="00B97DA4">
        <w:t>Cichuniec</w:t>
      </w:r>
      <w:proofErr w:type="spellEnd"/>
      <w:r w:rsidRPr="00B97DA4">
        <w:t xml:space="preserve"> that Mr. McClain had </w:t>
      </w:r>
      <w:r>
        <w:t>‘</w:t>
      </w:r>
      <w:r w:rsidRPr="00B97DA4">
        <w:t>passed out,</w:t>
      </w:r>
      <w:r>
        <w:t>’</w:t>
      </w:r>
      <w:r w:rsidRPr="00B97DA4">
        <w:t xml:space="preserve"> was </w:t>
      </w:r>
      <w:r>
        <w:t>‘</w:t>
      </w:r>
      <w:r w:rsidRPr="00B97DA4">
        <w:t>definitely on something,</w:t>
      </w:r>
      <w:r>
        <w:t>’</w:t>
      </w:r>
      <w:r w:rsidRPr="00B97DA4">
        <w:t xml:space="preserve"> and was </w:t>
      </w:r>
      <w:r>
        <w:t>‘</w:t>
      </w:r>
      <w:r w:rsidRPr="00B97DA4">
        <w:t>acting crazy.</w:t>
      </w:r>
      <w:r>
        <w:t>’</w:t>
      </w:r>
      <w:r w:rsidRPr="00B97DA4">
        <w:t xml:space="preserve"> One of the officers said that the officers had tried to </w:t>
      </w:r>
      <w:r>
        <w:t>‘</w:t>
      </w:r>
      <w:r w:rsidRPr="00B97DA4">
        <w:t>put a carotid on the guy</w:t>
      </w:r>
      <w:r>
        <w:t>’</w:t>
      </w:r>
      <w:r w:rsidRPr="00B97DA4">
        <w:t xml:space="preserve"> and had done so, which </w:t>
      </w:r>
      <w:r>
        <w:t>‘</w:t>
      </w:r>
      <w:r w:rsidRPr="00B97DA4">
        <w:t>put [Mr. McClain] out.</w:t>
      </w:r>
      <w:r>
        <w:t>’</w:t>
      </w:r>
      <w:r w:rsidRPr="00B97DA4">
        <w:t xml:space="preserve"> Officers also said Mr. McClain had shown </w:t>
      </w:r>
      <w:r>
        <w:t>‘</w:t>
      </w:r>
      <w:r w:rsidRPr="00B97DA4">
        <w:t>incredible</w:t>
      </w:r>
      <w:r>
        <w:t xml:space="preserve">’ </w:t>
      </w:r>
      <w:r w:rsidRPr="00B97DA4">
        <w:t xml:space="preserve">and </w:t>
      </w:r>
      <w:r>
        <w:t>‘</w:t>
      </w:r>
      <w:r w:rsidRPr="00B97DA4">
        <w:t>crazy</w:t>
      </w:r>
      <w:r>
        <w:t>’</w:t>
      </w:r>
      <w:r w:rsidRPr="00B97DA4">
        <w:t xml:space="preserve"> strength from </w:t>
      </w:r>
      <w:r>
        <w:t>‘</w:t>
      </w:r>
      <w:r w:rsidRPr="00B97DA4">
        <w:t>whatever he's on</w:t>
      </w:r>
      <w:r>
        <w:t>’</w:t>
      </w:r>
      <w:r w:rsidRPr="00B97DA4">
        <w:t xml:space="preserve"> and </w:t>
      </w:r>
      <w:r>
        <w:t>‘</w:t>
      </w:r>
      <w:r w:rsidRPr="00B97DA4">
        <w:t>almost did a pushup with all three of us on his back.</w:t>
      </w:r>
      <w:r>
        <w:t>’</w:t>
      </w:r>
      <w:r w:rsidRPr="00B97DA4">
        <w:t xml:space="preserve"> </w:t>
      </w:r>
    </w:p>
    <w:p w14:paraId="4D56C36E" w14:textId="77777777" w:rsidR="00EB0265" w:rsidRDefault="00EB0265" w:rsidP="00EB0265">
      <w:pPr>
        <w:pStyle w:val="NoSpacing"/>
      </w:pPr>
      <w:r w:rsidRPr="00B97DA4">
        <w:t>         </w:t>
      </w:r>
    </w:p>
    <w:p w14:paraId="14942F80" w14:textId="77777777" w:rsidR="00EB0265" w:rsidRDefault="00EB0265" w:rsidP="00EB0265">
      <w:pPr>
        <w:pStyle w:val="NoSpacing"/>
      </w:pPr>
      <w:r w:rsidRPr="00B97DA4">
        <w:t xml:space="preserve">Based on the information the officers had told them and their visual assessment of Mr. McClain, Cooper and </w:t>
      </w:r>
      <w:proofErr w:type="spellStart"/>
      <w:r w:rsidRPr="00B97DA4">
        <w:t>Cichuniec</w:t>
      </w:r>
      <w:proofErr w:type="spellEnd"/>
      <w:r w:rsidRPr="00B97DA4">
        <w:t xml:space="preserve"> concluded that Mr. McClain showed symptoms of a condition called </w:t>
      </w:r>
      <w:r>
        <w:t>‘</w:t>
      </w:r>
      <w:r w:rsidRPr="00B97DA4">
        <w:t>excited delirium</w:t>
      </w:r>
      <w:proofErr w:type="gramStart"/>
      <w:r w:rsidRPr="00B97DA4">
        <w:t>.</w:t>
      </w:r>
      <w:r>
        <w:t>’</w:t>
      </w:r>
      <w:proofErr w:type="gramEnd"/>
      <w:r>
        <w:t xml:space="preserve"> </w:t>
      </w:r>
      <w:r w:rsidRPr="00B97DA4">
        <w:t xml:space="preserve"> They agreed they would inject Mr. McClain with ketamine. Cooper told the officers that the paramedics would inject Mr. McClain with ketamine once the ambulance arrived with the drug. (An ambulance with two emergency medical technicians (EMTs) had also been dispatched to the scene.) </w:t>
      </w:r>
    </w:p>
    <w:p w14:paraId="13EF017E" w14:textId="77777777" w:rsidR="00EB0265" w:rsidRPr="00B97DA4" w:rsidRDefault="00EB0265" w:rsidP="00EB0265">
      <w:pPr>
        <w:pStyle w:val="NoSpacing"/>
      </w:pPr>
    </w:p>
    <w:p w14:paraId="5318F6E5" w14:textId="77777777" w:rsidR="00EB0265" w:rsidRDefault="00EB0265" w:rsidP="00EB0265">
      <w:pPr>
        <w:pStyle w:val="NoSpacing"/>
      </w:pPr>
      <w:r w:rsidRPr="00B97DA4">
        <w:t xml:space="preserve">Once the ambulance arrived, Cooper and </w:t>
      </w:r>
      <w:proofErr w:type="spellStart"/>
      <w:r w:rsidRPr="00B97DA4">
        <w:t>Cichuniec</w:t>
      </w:r>
      <w:proofErr w:type="spellEnd"/>
      <w:r w:rsidRPr="00B97DA4">
        <w:t xml:space="preserve"> determined that 500 mg of ketamine was the correct dosage to give to Mr. McClain based on his weight (which Cooper estimated at about 220 pounds (100 kg) and </w:t>
      </w:r>
      <w:proofErr w:type="spellStart"/>
      <w:r w:rsidRPr="00B97DA4">
        <w:t>Cichuniec</w:t>
      </w:r>
      <w:proofErr w:type="spellEnd"/>
      <w:r w:rsidRPr="00B97DA4">
        <w:t xml:space="preserve"> estimated at 187 pounds (85 kg)) and his degree of agitation. (In fact, Mr. McClain weighed only 143 pounds.) Either Cooper or </w:t>
      </w:r>
      <w:proofErr w:type="spellStart"/>
      <w:r w:rsidRPr="00B97DA4">
        <w:t>Cichuniec</w:t>
      </w:r>
      <w:proofErr w:type="spellEnd"/>
      <w:r w:rsidRPr="00B97DA4">
        <w:t xml:space="preserve"> told an EMT to prepare it. Once the EMT did so, Cooper injected it into Mr. McClain. </w:t>
      </w:r>
    </w:p>
    <w:p w14:paraId="7FC48AE6" w14:textId="77777777" w:rsidR="00EB0265" w:rsidRPr="00B97DA4" w:rsidRDefault="00EB0265" w:rsidP="00EB0265">
      <w:pPr>
        <w:pStyle w:val="NoSpacing"/>
      </w:pPr>
    </w:p>
    <w:p w14:paraId="3211A659" w14:textId="77777777" w:rsidR="00EB0265" w:rsidRDefault="00EB0265" w:rsidP="00EB0265">
      <w:pPr>
        <w:pStyle w:val="NoSpacing"/>
      </w:pPr>
      <w:r w:rsidRPr="00B97DA4">
        <w:t xml:space="preserve">Sometime after Mr. McClain was placed in the ambulance, </w:t>
      </w:r>
      <w:proofErr w:type="spellStart"/>
      <w:r w:rsidRPr="00B97DA4">
        <w:t>Cichuniec</w:t>
      </w:r>
      <w:proofErr w:type="spellEnd"/>
      <w:r w:rsidRPr="00B97DA4">
        <w:t xml:space="preserve"> noticed that he had stopped breathing. He told an EMT to check Mr. McClain's pulse. When the EMT couldn't find one, the EMTs began CPR. Mr. McClain was subsequently admitted to a hospital. Doctors declared </w:t>
      </w:r>
      <w:proofErr w:type="gramStart"/>
      <w:r w:rsidRPr="00B97DA4">
        <w:t>him</w:t>
      </w:r>
      <w:proofErr w:type="gramEnd"/>
      <w:r w:rsidRPr="00B97DA4">
        <w:t xml:space="preserve"> brain dead a few days later.</w:t>
      </w:r>
    </w:p>
    <w:p w14:paraId="6A27637F" w14:textId="77777777" w:rsidR="00EB0265" w:rsidRDefault="00EB0265" w:rsidP="00EB0265">
      <w:pPr>
        <w:pStyle w:val="NoSpacing"/>
      </w:pPr>
    </w:p>
    <w:p w14:paraId="0420DDB3" w14:textId="77777777" w:rsidR="00EB0265" w:rsidRDefault="00EB0265" w:rsidP="00EB0265">
      <w:pPr>
        <w:pStyle w:val="NoSpacing"/>
      </w:pPr>
      <w:r>
        <w:t>***</w:t>
      </w:r>
    </w:p>
    <w:p w14:paraId="7BE5D857" w14:textId="77777777" w:rsidR="00EB0265" w:rsidRPr="00AE6BA2" w:rsidRDefault="00EB0265" w:rsidP="00EB0265">
      <w:pPr>
        <w:pStyle w:val="NoSpacing"/>
      </w:pPr>
      <w:r w:rsidRPr="00AE6BA2">
        <w:t xml:space="preserve">A state grand jury subsequently indicted Cooper and </w:t>
      </w:r>
      <w:proofErr w:type="spellStart"/>
      <w:r w:rsidRPr="00AE6BA2">
        <w:t>Cichuniec</w:t>
      </w:r>
      <w:proofErr w:type="spellEnd"/>
      <w:r w:rsidRPr="00AE6BA2">
        <w:t xml:space="preserve"> on one count each of reckless manslaughter and criminally negligent homicide and three counts each of </w:t>
      </w:r>
      <w:proofErr w:type="gramStart"/>
      <w:r w:rsidRPr="00AE6BA2">
        <w:t>second degree</w:t>
      </w:r>
      <w:proofErr w:type="gramEnd"/>
      <w:r w:rsidRPr="00AE6BA2">
        <w:t xml:space="preserve"> assault. They were </w:t>
      </w:r>
      <w:proofErr w:type="gramStart"/>
      <w:r w:rsidRPr="00AE6BA2">
        <w:t>tried</w:t>
      </w:r>
      <w:proofErr w:type="gramEnd"/>
      <w:r w:rsidRPr="00AE6BA2">
        <w:t xml:space="preserve"> together. The prosecution's theory was that Cooper and </w:t>
      </w:r>
      <w:proofErr w:type="spellStart"/>
      <w:r w:rsidRPr="00AE6BA2">
        <w:t>Cichuniec</w:t>
      </w:r>
      <w:proofErr w:type="spellEnd"/>
      <w:r w:rsidRPr="00AE6BA2">
        <w:t xml:space="preserve"> had acted contrary to their medical training and proper protocols. And the prosecution charged that  </w:t>
      </w:r>
    </w:p>
    <w:p w14:paraId="3BA98A46" w14:textId="77777777" w:rsidR="00EB0265" w:rsidRDefault="00EB0265" w:rsidP="00EB0265">
      <w:pPr>
        <w:pStyle w:val="NoSpacing"/>
      </w:pPr>
      <w:proofErr w:type="gramStart"/>
      <w:r w:rsidRPr="00AE6BA2">
        <w:t>each</w:t>
      </w:r>
      <w:proofErr w:type="gramEnd"/>
      <w:r w:rsidRPr="00AE6BA2">
        <w:t xml:space="preserve"> could be found guilty of all the charges as either a principal or a </w:t>
      </w:r>
      <w:proofErr w:type="spellStart"/>
      <w:r w:rsidRPr="00AE6BA2">
        <w:t>complicitor</w:t>
      </w:r>
      <w:proofErr w:type="spellEnd"/>
      <w:r w:rsidRPr="00AE6BA2">
        <w:t xml:space="preserve">. </w:t>
      </w:r>
    </w:p>
    <w:p w14:paraId="722A8541" w14:textId="77777777" w:rsidR="00EB0265" w:rsidRDefault="00EB0265" w:rsidP="00EB0265">
      <w:pPr>
        <w:pStyle w:val="NoSpacing"/>
      </w:pPr>
    </w:p>
    <w:p w14:paraId="6447090B" w14:textId="77777777" w:rsidR="00EB0265" w:rsidRPr="00AE6BA2" w:rsidRDefault="00EB0265" w:rsidP="00EB0265">
      <w:pPr>
        <w:pStyle w:val="NoSpacing"/>
      </w:pPr>
      <w:r w:rsidRPr="0086124D">
        <w:t xml:space="preserve">A jury found Cooper guilty of criminally negligent homicide but acquitted him of all other charges. The same jury found </w:t>
      </w:r>
      <w:proofErr w:type="spellStart"/>
      <w:r w:rsidRPr="0086124D">
        <w:t>Cichuniec</w:t>
      </w:r>
      <w:proofErr w:type="spellEnd"/>
      <w:r w:rsidRPr="0086124D">
        <w:t xml:space="preserve"> guilty of criminally negligent homicide and one count of </w:t>
      </w:r>
      <w:proofErr w:type="gramStart"/>
      <w:r w:rsidRPr="0086124D">
        <w:t>second degree</w:t>
      </w:r>
      <w:proofErr w:type="gramEnd"/>
      <w:r w:rsidRPr="0086124D">
        <w:t xml:space="preserve"> assault (unlawful administration of drugs) but acquitted him of reckless manslaughter and the remaining count of </w:t>
      </w:r>
      <w:proofErr w:type="gramStart"/>
      <w:r w:rsidRPr="0086124D">
        <w:t>second degree</w:t>
      </w:r>
      <w:proofErr w:type="gramEnd"/>
      <w:r w:rsidRPr="0086124D">
        <w:t xml:space="preserve"> assault (causing serious bodily injury with intent to cause bodily injury). Cooper and </w:t>
      </w:r>
      <w:proofErr w:type="spellStart"/>
      <w:r w:rsidRPr="0086124D">
        <w:t>Cichuniec</w:t>
      </w:r>
      <w:proofErr w:type="spellEnd"/>
      <w:r w:rsidRPr="0086124D">
        <w:t xml:space="preserve"> separately appealed their convictions. This appeal is </w:t>
      </w:r>
      <w:proofErr w:type="gramStart"/>
      <w:r w:rsidRPr="0086124D">
        <w:t>Cooper's.</w:t>
      </w:r>
      <w:r>
        <w:t>”</w:t>
      </w:r>
      <w:proofErr w:type="gramEnd"/>
    </w:p>
    <w:p w14:paraId="1432E3B5" w14:textId="77777777" w:rsidR="00EB0265" w:rsidRPr="00B97DA4" w:rsidRDefault="00EB0265" w:rsidP="00EB0265">
      <w:pPr>
        <w:pStyle w:val="NoSpacing"/>
      </w:pPr>
    </w:p>
    <w:p w14:paraId="7F566221" w14:textId="77777777" w:rsidR="00EB0265" w:rsidRDefault="00EB0265" w:rsidP="00EB0265">
      <w:pPr>
        <w:pStyle w:val="NoSpacing"/>
      </w:pPr>
    </w:p>
    <w:p w14:paraId="2FFF81DA" w14:textId="77777777" w:rsidR="00EB0265" w:rsidRDefault="00EB0265" w:rsidP="00EB0265">
      <w:pPr>
        <w:pStyle w:val="NoSpacing"/>
        <w:rPr>
          <w:b/>
          <w:bCs/>
        </w:rPr>
      </w:pPr>
      <w:r w:rsidRPr="005C2B80">
        <w:rPr>
          <w:b/>
        </w:rPr>
        <w:t>COURT HELD:</w:t>
      </w:r>
    </w:p>
    <w:p w14:paraId="78255764" w14:textId="77777777" w:rsidR="00EB0265" w:rsidRDefault="00EB0265" w:rsidP="00EB0265">
      <w:pPr>
        <w:pStyle w:val="NoSpacing"/>
        <w:rPr>
          <w:b/>
          <w:bCs/>
        </w:rPr>
      </w:pPr>
    </w:p>
    <w:p w14:paraId="4B96974E" w14:textId="77777777" w:rsidR="00EB0265" w:rsidRDefault="00EB0265" w:rsidP="00EB0265">
      <w:pPr>
        <w:pStyle w:val="NoSpacing"/>
      </w:pPr>
      <w:r>
        <w:lastRenderedPageBreak/>
        <w:t>“</w:t>
      </w:r>
      <w:r w:rsidRPr="00064EE0">
        <w:t xml:space="preserve">Cooper contends that the district court erred by refusing his counsel's tendered instruction specifying the standard of care applicable to the charge of criminally negligent homicide and by refusing to adequately and accurately define that standard after the jurors affirmatively indicated that they didn't understand what standard to apply. We agree with Cooper. We also conclude that the errors weren't harmless. </w:t>
      </w:r>
    </w:p>
    <w:p w14:paraId="6B376E77" w14:textId="77777777" w:rsidR="00EB0265" w:rsidRDefault="00EB0265" w:rsidP="00EB0265">
      <w:pPr>
        <w:pStyle w:val="NoSpacing"/>
      </w:pPr>
    </w:p>
    <w:p w14:paraId="4895B0FC" w14:textId="77777777" w:rsidR="00EB0265" w:rsidRDefault="00EB0265" w:rsidP="00EB0265">
      <w:pPr>
        <w:pStyle w:val="NoSpacing"/>
      </w:pPr>
      <w:r>
        <w:t>***</w:t>
      </w:r>
    </w:p>
    <w:p w14:paraId="31B380CD" w14:textId="77777777" w:rsidR="00EB0265" w:rsidRDefault="00EB0265" w:rsidP="00EB0265">
      <w:pPr>
        <w:pStyle w:val="NoSpacing"/>
      </w:pPr>
    </w:p>
    <w:p w14:paraId="4E60F65D" w14:textId="77777777" w:rsidR="00EB0265" w:rsidRDefault="00EB0265" w:rsidP="00EB0265">
      <w:pPr>
        <w:pStyle w:val="NoSpacing"/>
      </w:pPr>
      <w:r w:rsidRPr="00F572CB">
        <w:t xml:space="preserve">Before closing arguments, based on the prosecution's theory of culpability, Cooper's counsel tendered a jury instruction that read, </w:t>
      </w:r>
      <w:r>
        <w:t>‘</w:t>
      </w:r>
      <w:r w:rsidRPr="00F572CB">
        <w:t xml:space="preserve">A person acts 'with criminal negligence' when, through a gross deviation from the standard of care that a </w:t>
      </w:r>
      <w:r w:rsidRPr="00F572CB">
        <w:rPr>
          <w:i/>
          <w:iCs/>
        </w:rPr>
        <w:t>reasonable paramedic in Aurora, Colorado</w:t>
      </w:r>
      <w:r w:rsidRPr="00F572CB">
        <w:t xml:space="preserve"> would exercise in the same circumstance, he fails to perceive a substantial and unjustifiable risk that a result will occur or that a circumstance exists.</w:t>
      </w:r>
      <w:r>
        <w:t>’</w:t>
      </w:r>
      <w:r w:rsidRPr="00F572CB">
        <w:t xml:space="preserve"> (Emphasis added.)</w:t>
      </w:r>
    </w:p>
    <w:p w14:paraId="78D828F8" w14:textId="77777777" w:rsidR="00EB0265" w:rsidRDefault="00EB0265" w:rsidP="00EB0265">
      <w:pPr>
        <w:pStyle w:val="NoSpacing"/>
      </w:pPr>
    </w:p>
    <w:p w14:paraId="17A8B479" w14:textId="77777777" w:rsidR="00EB0265" w:rsidRDefault="00EB0265" w:rsidP="00EB0265">
      <w:pPr>
        <w:pStyle w:val="NoSpacing"/>
      </w:pPr>
      <w:r>
        <w:t>***</w:t>
      </w:r>
    </w:p>
    <w:p w14:paraId="3E203B88" w14:textId="77777777" w:rsidR="00EB0265" w:rsidRDefault="00EB0265" w:rsidP="00EB0265">
      <w:pPr>
        <w:pStyle w:val="NoSpacing"/>
      </w:pPr>
      <w:r w:rsidRPr="00C06A25">
        <w:t xml:space="preserve">After the jurors began deliberating, the court received the following question from the jurors: </w:t>
      </w:r>
      <w:r>
        <w:t>‘</w:t>
      </w:r>
      <w:r w:rsidRPr="00C06A25">
        <w:t>May we have a definition of the standard of care</w:t>
      </w:r>
      <w:proofErr w:type="gramStart"/>
      <w:r w:rsidRPr="00C06A25">
        <w:t>?</w:t>
      </w:r>
      <w:proofErr w:type="gramEnd"/>
      <w:r w:rsidRPr="00C06A25">
        <w:t xml:space="preserve"> Or a description of it?</w:t>
      </w:r>
      <w:r>
        <w:t>’</w:t>
      </w:r>
      <w:r w:rsidRPr="00C06A25">
        <w:t xml:space="preserve"> Cooper's counsel reiterated the defense's position that </w:t>
      </w:r>
      <w:r>
        <w:t>‘</w:t>
      </w:r>
      <w:r w:rsidRPr="00C06A25">
        <w:t xml:space="preserve">the professional standard of care . . . in this case . . . would be reasonable paramedics in Aurora, Colorado." The prosecutor asked the court to just refer </w:t>
      </w:r>
      <w:proofErr w:type="gramStart"/>
      <w:r w:rsidRPr="00C06A25">
        <w:t>the jury back to the</w:t>
      </w:r>
      <w:proofErr w:type="gramEnd"/>
      <w:r w:rsidRPr="00C06A25">
        <w:t xml:space="preserve"> </w:t>
      </w:r>
      <w:proofErr w:type="gramStart"/>
      <w:r w:rsidRPr="00C06A25">
        <w:t>instructions as</w:t>
      </w:r>
      <w:proofErr w:type="gramEnd"/>
      <w:r w:rsidRPr="00C06A25">
        <w:t xml:space="preserve"> given. </w:t>
      </w:r>
    </w:p>
    <w:p w14:paraId="7598A55F" w14:textId="77777777" w:rsidR="00EB0265" w:rsidRDefault="00EB0265" w:rsidP="00EB0265">
      <w:pPr>
        <w:pStyle w:val="NoSpacing"/>
      </w:pPr>
    </w:p>
    <w:p w14:paraId="7C0D2CF6" w14:textId="77777777" w:rsidR="00EB0265" w:rsidRDefault="00EB0265" w:rsidP="00EB0265">
      <w:pPr>
        <w:pStyle w:val="NoSpacing"/>
      </w:pPr>
      <w:r>
        <w:t>***</w:t>
      </w:r>
    </w:p>
    <w:p w14:paraId="2082D886" w14:textId="77777777" w:rsidR="00EB0265" w:rsidRDefault="00EB0265" w:rsidP="00EB0265">
      <w:pPr>
        <w:pStyle w:val="NoSpacing"/>
      </w:pPr>
      <w:r w:rsidRPr="0061527B">
        <w:t>The relevant circumstances in this case were that a medical professional provided medical treatment to a person needing medical attention while under law enforcement's physical restraint. The standard of care was therefore that which would apply in a civil case involving such a situation - one applicable to a reasonable paramedic in Aurora, Colorado, in 2019 treating a person in Mr. McClain's condition</w:t>
      </w:r>
      <w:r>
        <w:t xml:space="preserve">…. </w:t>
      </w:r>
      <w:r w:rsidRPr="00320D42">
        <w:t>It follows, then, that the district court erred by refusing defense counsel's tendered instruction and by refusing to clarify the standard of care in response to the jurors' question.</w:t>
      </w:r>
    </w:p>
    <w:p w14:paraId="56B94998" w14:textId="77777777" w:rsidR="00EB0265" w:rsidRDefault="00EB0265" w:rsidP="00EB0265">
      <w:pPr>
        <w:pStyle w:val="NoSpacing"/>
      </w:pPr>
    </w:p>
    <w:p w14:paraId="1D493FE9" w14:textId="77777777" w:rsidR="00EB0265" w:rsidRDefault="00EB0265" w:rsidP="00EB0265">
      <w:pPr>
        <w:pStyle w:val="NoSpacing"/>
      </w:pPr>
      <w:r>
        <w:t>***</w:t>
      </w:r>
    </w:p>
    <w:p w14:paraId="1E259282" w14:textId="77777777" w:rsidR="00EB0265" w:rsidRDefault="00EB0265" w:rsidP="00EB0265">
      <w:pPr>
        <w:pStyle w:val="NoSpacing"/>
      </w:pPr>
      <w:r w:rsidRPr="00DB7856">
        <w:t>Under the facts of this case, the definitional instruction didn't adequately articulate the applicable standard of care but rather left the jury in the dark</w:t>
      </w:r>
      <w:r>
        <w:t xml:space="preserve">…. </w:t>
      </w:r>
      <w:r w:rsidRPr="0037576A">
        <w:t>Also, the jurors' question told the court that they didn't know what standard to apply. By telling the jurors to apply the "common and ordinary meanings" of the words in the instruction, the court failed to shine any light on the issue and in fact misled the jurors as to the applicable standard of care</w:t>
      </w:r>
      <w:r>
        <w:t>….”</w:t>
      </w:r>
    </w:p>
    <w:p w14:paraId="227235EF" w14:textId="77777777" w:rsidR="00EB0265" w:rsidRDefault="00EB0265" w:rsidP="00EB0265">
      <w:pPr>
        <w:pStyle w:val="NoSpacing"/>
      </w:pPr>
    </w:p>
    <w:p w14:paraId="128BC7DA" w14:textId="77777777" w:rsidR="00EB0265" w:rsidRDefault="00EB0265" w:rsidP="00EB0265">
      <w:pPr>
        <w:pStyle w:val="NoSpacing"/>
        <w:rPr>
          <w:b/>
          <w:bCs/>
        </w:rPr>
      </w:pPr>
      <w:r w:rsidRPr="00377720">
        <w:rPr>
          <w:b/>
        </w:rPr>
        <w:t xml:space="preserve">Legal lesson learned: </w:t>
      </w:r>
      <w:r>
        <w:rPr>
          <w:b/>
        </w:rPr>
        <w:t xml:space="preserve">The jury instructions were clearly wrong; but since .  Since the </w:t>
      </w:r>
    </w:p>
    <w:p w14:paraId="177EA840" w14:textId="77777777" w:rsidR="00EB0265" w:rsidRDefault="00EB0265" w:rsidP="00EB0265">
      <w:pPr>
        <w:pStyle w:val="NoSpacing"/>
        <w:rPr>
          <w:b/>
          <w:bCs/>
        </w:rPr>
      </w:pPr>
    </w:p>
    <w:p w14:paraId="71095F9C" w14:textId="77777777" w:rsidR="00EB0265" w:rsidRPr="00000ABC" w:rsidRDefault="00EB0265" w:rsidP="00EB0265">
      <w:pPr>
        <w:ind w:left="720"/>
      </w:pPr>
      <w:r>
        <w:t xml:space="preserve">Note: Cooper was sentenced to 14 </w:t>
      </w:r>
      <w:proofErr w:type="gramStart"/>
      <w:r>
        <w:t>months</w:t>
      </w:r>
      <w:proofErr w:type="gramEnd"/>
      <w:r>
        <w:t xml:space="preserve"> work release and probation, so doubtful he will be retired.  In a separate Court of Appeals decision (3 to 0), the lead medic</w:t>
      </w:r>
      <w:r w:rsidRPr="00273730">
        <w:t>, Peter Cichuniec</w:t>
      </w:r>
      <w:r>
        <w:t xml:space="preserve">, co-tried with Cooper also had his conviction for </w:t>
      </w:r>
      <w:r w:rsidRPr="0086124D">
        <w:t>criminally negligent homicide</w:t>
      </w:r>
      <w:r>
        <w:t xml:space="preserve"> reversed but his assault conviction was affirmed. </w:t>
      </w:r>
      <w:hyperlink r:id="rId2015" w:history="1">
        <w:r w:rsidRPr="00971037">
          <w:rPr>
            <w:rStyle w:val="Hyperlink"/>
          </w:rPr>
          <w:t>https://www.coloradojudicial.gov/system/files/opinions-2026-06/24CA0675.pdf</w:t>
        </w:r>
      </w:hyperlink>
      <w:r>
        <w:t xml:space="preserve"> It is doubtful he will be retried; he </w:t>
      </w:r>
      <w:r w:rsidRPr="00273A62">
        <w:t xml:space="preserve">received </w:t>
      </w:r>
      <w:r>
        <w:t xml:space="preserve">a sentence of </w:t>
      </w:r>
      <w:r w:rsidRPr="00273A62">
        <w:t xml:space="preserve">five years in </w:t>
      </w:r>
      <w:proofErr w:type="gramStart"/>
      <w:r w:rsidRPr="00273A62">
        <w:t>prison</w:t>
      </w:r>
      <w:r>
        <w:t>, but</w:t>
      </w:r>
      <w:proofErr w:type="gramEnd"/>
      <w:r>
        <w:t xml:space="preserve"> was </w:t>
      </w:r>
      <w:r w:rsidRPr="00CA2153">
        <w:t>released early from prison in 2024 after a judge reduced his sentence to four years of probation</w:t>
      </w:r>
      <w:r>
        <w:t xml:space="preserve">.  </w:t>
      </w:r>
      <w:r w:rsidRPr="0024472D">
        <w:t>The city of Aurora in 2021 agreed to pay $15 million to settle a federal civil rights lawsuit brought by McClain's parents.</w:t>
      </w:r>
      <w:r>
        <w:t xml:space="preserve"> </w:t>
      </w:r>
    </w:p>
    <w:p w14:paraId="0FA5E500" w14:textId="77777777" w:rsidR="00EB0265" w:rsidRDefault="00EB0265" w:rsidP="00EB0265">
      <w:pPr>
        <w:pStyle w:val="NoSpacing"/>
        <w:rPr>
          <w:b/>
          <w:bCs/>
        </w:rPr>
      </w:pPr>
    </w:p>
    <w:p w14:paraId="6A4EF841" w14:textId="77777777" w:rsidR="00EB0265" w:rsidRDefault="00EB0265" w:rsidP="00EB0265">
      <w:pPr>
        <w:pStyle w:val="NoSpacing"/>
        <w:rPr>
          <w:b/>
          <w:bCs/>
        </w:rPr>
      </w:pPr>
    </w:p>
    <w:p w14:paraId="7296CBD9" w14:textId="77777777" w:rsidR="00EB0265" w:rsidRDefault="00EB0265" w:rsidP="00EB0265">
      <w:pPr>
        <w:pStyle w:val="NoSpacing"/>
        <w:rPr>
          <w:b/>
          <w:bCs/>
        </w:rPr>
      </w:pPr>
    </w:p>
    <w:p w14:paraId="1E1735CD" w14:textId="77777777" w:rsidR="00EB0265" w:rsidRDefault="00EB0265" w:rsidP="00EB0265">
      <w:pPr>
        <w:pStyle w:val="NoSpacing"/>
        <w:rPr>
          <w:b/>
          <w:bCs/>
        </w:rPr>
      </w:pPr>
    </w:p>
    <w:p w14:paraId="2001654B" w14:textId="7967E3B0" w:rsidR="007A053D" w:rsidRPr="00DA5EE8" w:rsidRDefault="007A053D" w:rsidP="007A053D">
      <w:pPr>
        <w:pStyle w:val="NoSpacing"/>
        <w:rPr>
          <w:rFonts w:ascii="Arial Black" w:hAnsi="Arial Black"/>
          <w:sz w:val="24"/>
          <w:szCs w:val="24"/>
        </w:rPr>
      </w:pPr>
      <w:r w:rsidRPr="00DA5EE8">
        <w:rPr>
          <w:rFonts w:ascii="Arial Black" w:hAnsi="Arial Black"/>
          <w:sz w:val="24"/>
          <w:szCs w:val="24"/>
        </w:rPr>
        <w:t>13-2</w:t>
      </w:r>
      <w:r>
        <w:rPr>
          <w:rFonts w:ascii="Arial Black" w:hAnsi="Arial Black"/>
          <w:sz w:val="24"/>
          <w:szCs w:val="24"/>
        </w:rPr>
        <w:t>61</w:t>
      </w:r>
    </w:p>
    <w:p w14:paraId="3ACAE596" w14:textId="77777777" w:rsidR="00EB0265" w:rsidRDefault="00EB0265" w:rsidP="00EB0265">
      <w:pPr>
        <w:pStyle w:val="NoSpacing"/>
        <w:rPr>
          <w:rFonts w:ascii="Arial Black" w:hAnsi="Arial Black"/>
          <w:sz w:val="28"/>
          <w:szCs w:val="28"/>
        </w:rPr>
      </w:pPr>
    </w:p>
    <w:p w14:paraId="14D67B25" w14:textId="77777777" w:rsidR="00EB0265" w:rsidRDefault="00EB0265" w:rsidP="00EB0265">
      <w:pPr>
        <w:pStyle w:val="NoSpacing"/>
        <w:rPr>
          <w:rFonts w:ascii="Arial Black" w:hAnsi="Arial Black"/>
          <w:sz w:val="28"/>
          <w:szCs w:val="28"/>
        </w:rPr>
      </w:pPr>
      <w:r>
        <w:rPr>
          <w:rFonts w:ascii="Arial Black" w:hAnsi="Arial Black"/>
          <w:sz w:val="28"/>
          <w:szCs w:val="28"/>
        </w:rPr>
        <w:t xml:space="preserve">CO: LEAD MEDIC – NEW TRIAL </w:t>
      </w:r>
      <w:r>
        <w:rPr>
          <w:rFonts w:ascii="Arial Black" w:hAnsi="Arial Black"/>
          <w:b/>
          <w:sz w:val="28"/>
          <w:szCs w:val="28"/>
        </w:rPr>
        <w:t>KETAMINE</w:t>
      </w:r>
      <w:r>
        <w:rPr>
          <w:rFonts w:ascii="Arial Black" w:hAnsi="Arial Black"/>
          <w:sz w:val="28"/>
          <w:szCs w:val="28"/>
        </w:rPr>
        <w:t xml:space="preserve"> - GUITY ASSAULT</w:t>
      </w:r>
    </w:p>
    <w:p w14:paraId="033EF125" w14:textId="77777777" w:rsidR="00EB0265" w:rsidRDefault="00EB0265" w:rsidP="00EB0265">
      <w:pPr>
        <w:pStyle w:val="NoSpacing"/>
        <w:rPr>
          <w:rFonts w:ascii="Arial Black" w:hAnsi="Arial Black"/>
          <w:sz w:val="28"/>
          <w:szCs w:val="28"/>
        </w:rPr>
      </w:pPr>
    </w:p>
    <w:p w14:paraId="20B5BC7C" w14:textId="77777777" w:rsidR="00EB0265" w:rsidRDefault="00EB0265" w:rsidP="00EB0265">
      <w:r>
        <w:t xml:space="preserve">On June 4, 2026, in </w:t>
      </w:r>
      <w:r w:rsidRPr="00C40923">
        <w:rPr>
          <w:u w:val="single"/>
        </w:rPr>
        <w:t>The People of the State of Colorado v. Peter Cichuniec</w:t>
      </w:r>
      <w:r w:rsidRPr="00C40923">
        <w:t xml:space="preserve">, </w:t>
      </w:r>
      <w:r>
        <w:t xml:space="preserve">the </w:t>
      </w:r>
      <w:r w:rsidRPr="002F147B">
        <w:t>Court of Appeals of Colorado, First Division</w:t>
      </w:r>
      <w:r>
        <w:t xml:space="preserve"> held (3 to 0) that </w:t>
      </w:r>
      <w:r w:rsidRPr="00695527">
        <w:t>Peter Cichuniec</w:t>
      </w:r>
      <w:r>
        <w:t xml:space="preserve">, the lead Medic, had authorized Medic Jeremy Cooper to administer the </w:t>
      </w:r>
      <w:r>
        <w:lastRenderedPageBreak/>
        <w:t xml:space="preserve">ketamine that killed the patient, </w:t>
      </w:r>
      <w:r w:rsidRPr="0083787B">
        <w:t>Elijah McClain</w:t>
      </w:r>
      <w:r>
        <w:t xml:space="preserve">. </w:t>
      </w:r>
      <w:proofErr w:type="spellStart"/>
      <w:r w:rsidRPr="00273A62">
        <w:t>Cichuniec</w:t>
      </w:r>
      <w:proofErr w:type="spellEnd"/>
      <w:r w:rsidRPr="00273A62">
        <w:t xml:space="preserve"> received five years in prison</w:t>
      </w:r>
      <w:r>
        <w:t xml:space="preserve"> and</w:t>
      </w:r>
      <w:r w:rsidRPr="00CA2153">
        <w:t xml:space="preserve"> was released early from prison in 2024 after a judge reduced his sentence to four years of probation</w:t>
      </w:r>
      <w:r>
        <w:t>; his partner Jeremy</w:t>
      </w:r>
      <w:r w:rsidRPr="00273A62">
        <w:t xml:space="preserve"> Cooper avoided prison and was sentenced to 14 months work release and probation.</w:t>
      </w:r>
      <w:r>
        <w:t xml:space="preserve"> </w:t>
      </w:r>
      <w:r w:rsidRPr="0024472D">
        <w:t>The city of Aurora in 2021 agreed to pay $15 million to settle a federal civil rights lawsuit brought by McClain's parents.</w:t>
      </w:r>
      <w:r>
        <w:t xml:space="preserve"> The Court wrote:  The judgment of conviction on the charge of criminally negligent homicide is reversed, and the case is remanded for a new trial on that charge. The judgment of conviction on the charge of </w:t>
      </w:r>
      <w:proofErr w:type="gramStart"/>
      <w:r>
        <w:t>second degree</w:t>
      </w:r>
      <w:proofErr w:type="gramEnd"/>
      <w:r>
        <w:t xml:space="preserve"> assault is affirmed.”  </w:t>
      </w:r>
      <w:hyperlink r:id="rId2016" w:history="1">
        <w:r w:rsidRPr="00971037">
          <w:rPr>
            <w:rStyle w:val="Hyperlink"/>
          </w:rPr>
          <w:t>https://www.coloradojudicial.gov/system/files/opinions-2026-06/24CA0675.pdf</w:t>
        </w:r>
      </w:hyperlink>
      <w:r>
        <w:t xml:space="preserve"> </w:t>
      </w:r>
    </w:p>
    <w:p w14:paraId="770CA2AF" w14:textId="77777777" w:rsidR="00EB0265" w:rsidRDefault="00EB0265" w:rsidP="00EB0265">
      <w:pPr>
        <w:pStyle w:val="NoSpacing"/>
      </w:pPr>
    </w:p>
    <w:p w14:paraId="3ACA08EA" w14:textId="77777777" w:rsidR="00EB0265" w:rsidRDefault="00EB0265" w:rsidP="00EB0265">
      <w:pPr>
        <w:rPr>
          <w:b/>
        </w:rPr>
      </w:pPr>
      <w:r>
        <w:rPr>
          <w:b/>
        </w:rPr>
        <w:t>FACTS:</w:t>
      </w:r>
    </w:p>
    <w:p w14:paraId="73C4BDDD" w14:textId="77777777" w:rsidR="00EB0265" w:rsidRDefault="00EB0265" w:rsidP="00EB0265">
      <w:pPr>
        <w:pStyle w:val="NoSpacing"/>
      </w:pPr>
      <w:r>
        <w:t>“</w:t>
      </w:r>
      <w:r w:rsidRPr="006B39B1">
        <w:t>Based on the information the officers had told them and their</w:t>
      </w:r>
      <w:r>
        <w:t xml:space="preserve"> </w:t>
      </w:r>
      <w:r w:rsidRPr="006B39B1">
        <w:t xml:space="preserve">visual assessment of Mr. McClain, </w:t>
      </w:r>
      <w:proofErr w:type="spellStart"/>
      <w:r w:rsidRPr="006B39B1">
        <w:t>Cichuniec</w:t>
      </w:r>
      <w:proofErr w:type="spellEnd"/>
      <w:r w:rsidRPr="006B39B1">
        <w:t xml:space="preserve"> and Cooper concluded</w:t>
      </w:r>
      <w:r>
        <w:t xml:space="preserve"> </w:t>
      </w:r>
      <w:r w:rsidRPr="006B39B1">
        <w:t xml:space="preserve">that Mr. McClain showed symptoms of a condition called </w:t>
      </w:r>
      <w:r>
        <w:t>‘</w:t>
      </w:r>
      <w:r w:rsidRPr="006B39B1">
        <w:t>excited</w:t>
      </w:r>
      <w:r>
        <w:t xml:space="preserve"> </w:t>
      </w:r>
      <w:r w:rsidRPr="006B39B1">
        <w:t>delirium.</w:t>
      </w:r>
      <w:r>
        <w:t>’</w:t>
      </w:r>
      <w:r w:rsidRPr="006B39B1">
        <w:t xml:space="preserve"> They agreed they would inject Mr. McClain with</w:t>
      </w:r>
      <w:r>
        <w:t xml:space="preserve"> </w:t>
      </w:r>
      <w:r w:rsidRPr="006B39B1">
        <w:t>ketamine.</w:t>
      </w:r>
      <w:r>
        <w:t xml:space="preserve"> </w:t>
      </w:r>
      <w:r w:rsidRPr="006B39B1">
        <w:t>Cooper told the officers that the paramedics would</w:t>
      </w:r>
      <w:r>
        <w:t xml:space="preserve"> </w:t>
      </w:r>
      <w:r w:rsidRPr="006B39B1">
        <w:t>inject Mr. McClain with ketamine once the ambulance arrived with</w:t>
      </w:r>
      <w:r>
        <w:t xml:space="preserve"> the drug. (An ambulance with two emergency medical technicians (EMTs) had also been dispatched to the scene.)</w:t>
      </w:r>
    </w:p>
    <w:p w14:paraId="5DB4C4B7" w14:textId="77777777" w:rsidR="00EB0265" w:rsidRDefault="00EB0265" w:rsidP="00EB0265">
      <w:pPr>
        <w:pStyle w:val="NoSpacing"/>
      </w:pPr>
      <w:r>
        <w:t xml:space="preserve">Once the ambulance arrived, </w:t>
      </w:r>
      <w:proofErr w:type="spellStart"/>
      <w:r>
        <w:t>Cichuniec</w:t>
      </w:r>
      <w:proofErr w:type="spellEnd"/>
      <w:r>
        <w:t xml:space="preserve"> and Cooper determined that 500 mg of ketamine was the correct dosage to give to Mr. McClain based on his weight (which </w:t>
      </w:r>
      <w:proofErr w:type="spellStart"/>
      <w:r>
        <w:t>Cichuniec</w:t>
      </w:r>
      <w:proofErr w:type="spellEnd"/>
      <w:r>
        <w:t xml:space="preserve"> estimated at 187 pounds (85 kg) and Cooper estimated at about 220 pounds (100 kg)) and his degree of agitation. (In fact, Mr. McClain weighed only 143 pounds.) Either </w:t>
      </w:r>
      <w:proofErr w:type="spellStart"/>
      <w:r>
        <w:t>Cichuniec</w:t>
      </w:r>
      <w:proofErr w:type="spellEnd"/>
      <w:r>
        <w:t xml:space="preserve"> or Cooper told an EMT to</w:t>
      </w:r>
    </w:p>
    <w:p w14:paraId="7AEB7D03" w14:textId="77777777" w:rsidR="00EB0265" w:rsidRDefault="00EB0265" w:rsidP="00EB0265">
      <w:pPr>
        <w:pStyle w:val="NoSpacing"/>
      </w:pPr>
      <w:proofErr w:type="gramStart"/>
      <w:r>
        <w:t>prepare</w:t>
      </w:r>
      <w:proofErr w:type="gramEnd"/>
      <w:r>
        <w:t xml:space="preserve"> it. Once the EMT did so, Cooper injected it into Mr. McClain.</w:t>
      </w:r>
    </w:p>
    <w:p w14:paraId="3727E8CE" w14:textId="77777777" w:rsidR="00EB0265" w:rsidRDefault="00EB0265" w:rsidP="00EB0265">
      <w:pPr>
        <w:pStyle w:val="NoSpacing"/>
      </w:pPr>
    </w:p>
    <w:p w14:paraId="111B0579" w14:textId="77777777" w:rsidR="00EB0265" w:rsidRDefault="00EB0265" w:rsidP="00EB0265">
      <w:pPr>
        <w:pStyle w:val="NoSpacing"/>
      </w:pPr>
      <w:r>
        <w:t xml:space="preserve">Sometime after Mr. McClain was placed in the ambulance, </w:t>
      </w:r>
      <w:proofErr w:type="spellStart"/>
      <w:r>
        <w:t>Cichuniec</w:t>
      </w:r>
      <w:proofErr w:type="spellEnd"/>
      <w:r>
        <w:t xml:space="preserve"> noticed that he had stopped breathing. He told an EMT to check Mr. McClain’s pulse. When the EMT couldn’t find one, the EMTs began CPR. Mr. McClain was subsequently admitted to a hospital. Doctors declared him brain dead a few days later.”</w:t>
      </w:r>
    </w:p>
    <w:p w14:paraId="54ADB63E" w14:textId="77777777" w:rsidR="00EB0265" w:rsidRDefault="00EB0265" w:rsidP="00EB0265">
      <w:pPr>
        <w:pStyle w:val="NoSpacing"/>
      </w:pPr>
    </w:p>
    <w:p w14:paraId="273546B6" w14:textId="77777777" w:rsidR="00EB0265" w:rsidRPr="00C16E9C" w:rsidRDefault="00EB0265" w:rsidP="00EB0265">
      <w:pPr>
        <w:pStyle w:val="NoSpacing"/>
        <w:rPr>
          <w:b/>
          <w:bCs/>
        </w:rPr>
      </w:pPr>
      <w:r w:rsidRPr="00C16E9C">
        <w:rPr>
          <w:b/>
        </w:rPr>
        <w:t xml:space="preserve">COURT HELD: </w:t>
      </w:r>
    </w:p>
    <w:p w14:paraId="41E673F5" w14:textId="77777777" w:rsidR="00EB0265" w:rsidRDefault="00EB0265" w:rsidP="00EB0265">
      <w:pPr>
        <w:pStyle w:val="NoSpacing"/>
      </w:pPr>
    </w:p>
    <w:p w14:paraId="40FB4E8D" w14:textId="77777777" w:rsidR="00EB0265" w:rsidRDefault="00EB0265" w:rsidP="00EB0265">
      <w:r>
        <w:t>“</w:t>
      </w:r>
      <w:r w:rsidRPr="0083787B">
        <w:t>Defendant, Peter Cichuniec, appeals the district court’s</w:t>
      </w:r>
      <w:r>
        <w:t xml:space="preserve"> </w:t>
      </w:r>
      <w:r w:rsidRPr="0083787B">
        <w:t>judgment of conviction entered after a jury found him guilty of</w:t>
      </w:r>
      <w:r>
        <w:t xml:space="preserve"> </w:t>
      </w:r>
      <w:r w:rsidRPr="0083787B">
        <w:t xml:space="preserve">criminally negligent homicide and </w:t>
      </w:r>
      <w:proofErr w:type="gramStart"/>
      <w:r w:rsidRPr="0083787B">
        <w:t>second degree</w:t>
      </w:r>
      <w:proofErr w:type="gramEnd"/>
      <w:r w:rsidRPr="0083787B">
        <w:t xml:space="preserve"> assault.</w:t>
      </w:r>
      <w:r>
        <w:t xml:space="preserve"> </w:t>
      </w:r>
      <w:r w:rsidRPr="0083787B">
        <w:t xml:space="preserve">The People charged </w:t>
      </w:r>
      <w:proofErr w:type="spellStart"/>
      <w:r w:rsidRPr="0083787B">
        <w:t>Cichuniec</w:t>
      </w:r>
      <w:proofErr w:type="spellEnd"/>
      <w:r w:rsidRPr="0083787B">
        <w:t>, a paramedic, and his</w:t>
      </w:r>
      <w:r>
        <w:t xml:space="preserve"> </w:t>
      </w:r>
      <w:r w:rsidRPr="0083787B">
        <w:t>codefendant, Jeremy Cooper, also a paramedic, with various</w:t>
      </w:r>
      <w:r>
        <w:t xml:space="preserve"> </w:t>
      </w:r>
      <w:r w:rsidRPr="0083787B">
        <w:t>offenses arising out their medical treatment of Elijah McClain based</w:t>
      </w:r>
      <w:r>
        <w:t xml:space="preserve"> </w:t>
      </w:r>
      <w:r w:rsidRPr="0083787B">
        <w:t>on a theory that Cooper’s injection of Mr. McClain with ketamine</w:t>
      </w:r>
      <w:r>
        <w:t xml:space="preserve"> </w:t>
      </w:r>
      <w:r w:rsidRPr="0083787B">
        <w:t xml:space="preserve">contributed to Mr. McClain’s tragic death. A jury found </w:t>
      </w:r>
      <w:proofErr w:type="spellStart"/>
      <w:r w:rsidRPr="0083787B">
        <w:t>Cichuniec</w:t>
      </w:r>
      <w:proofErr w:type="spellEnd"/>
      <w:r>
        <w:t xml:space="preserve"> </w:t>
      </w:r>
      <w:r w:rsidRPr="0083787B">
        <w:t xml:space="preserve">guilty of both criminally negligent homicide and </w:t>
      </w:r>
      <w:proofErr w:type="gramStart"/>
      <w:r w:rsidRPr="0083787B">
        <w:t>second degree</w:t>
      </w:r>
      <w:proofErr w:type="gramEnd"/>
      <w:r>
        <w:t xml:space="preserve"> </w:t>
      </w:r>
      <w:r w:rsidRPr="0083787B">
        <w:t>assault. That same jury found Cooper guilty of criminally negligent</w:t>
      </w:r>
      <w:r>
        <w:t xml:space="preserve"> </w:t>
      </w:r>
      <w:r w:rsidRPr="0083787B">
        <w:t xml:space="preserve">homicide but not guilty of </w:t>
      </w:r>
      <w:proofErr w:type="gramStart"/>
      <w:r w:rsidRPr="0083787B">
        <w:t>second degree</w:t>
      </w:r>
      <w:proofErr w:type="gramEnd"/>
      <w:r w:rsidRPr="0083787B">
        <w:t xml:space="preserve"> assault. Cooper separately</w:t>
      </w:r>
      <w:r>
        <w:t xml:space="preserve"> </w:t>
      </w:r>
      <w:r w:rsidRPr="0083787B">
        <w:t>appealed, and this division (with Judge Berger substituting for</w:t>
      </w:r>
      <w:r>
        <w:t xml:space="preserve"> </w:t>
      </w:r>
      <w:r w:rsidRPr="0083787B">
        <w:t>Judge Lum) reversed Cooper’s conviction for criminally negligent</w:t>
      </w:r>
      <w:r>
        <w:t xml:space="preserve"> </w:t>
      </w:r>
      <w:r w:rsidRPr="0083787B">
        <w:t xml:space="preserve">homicide and </w:t>
      </w:r>
      <w:proofErr w:type="gramStart"/>
      <w:r w:rsidRPr="0083787B">
        <w:t>remanded</w:t>
      </w:r>
      <w:proofErr w:type="gramEnd"/>
      <w:r w:rsidRPr="0083787B">
        <w:t xml:space="preserve"> for a new trial on that charge. People v.</w:t>
      </w:r>
      <w:r>
        <w:t xml:space="preserve"> </w:t>
      </w:r>
      <w:r w:rsidRPr="0083787B">
        <w:t>Cooper, 2026 COA 44.</w:t>
      </w:r>
      <w:r>
        <w:t xml:space="preserve"> We now also reverse </w:t>
      </w:r>
      <w:proofErr w:type="spellStart"/>
      <w:r>
        <w:t>Cichuniec’s</w:t>
      </w:r>
      <w:proofErr w:type="spellEnd"/>
      <w:r>
        <w:t xml:space="preserve"> conviction for criminally negligent homicide and </w:t>
      </w:r>
      <w:proofErr w:type="gramStart"/>
      <w:r>
        <w:t>remand</w:t>
      </w:r>
      <w:proofErr w:type="gramEnd"/>
      <w:r>
        <w:t xml:space="preserve"> for a new trial on that charge. But we affirm </w:t>
      </w:r>
      <w:proofErr w:type="spellStart"/>
      <w:r>
        <w:t>Cichuniec’s</w:t>
      </w:r>
      <w:proofErr w:type="spellEnd"/>
      <w:r>
        <w:t xml:space="preserve"> conviction for second degree assault.</w:t>
      </w:r>
    </w:p>
    <w:p w14:paraId="04015B2E" w14:textId="77777777" w:rsidR="00EB0265" w:rsidRDefault="00EB0265" w:rsidP="00EB0265">
      <w:r>
        <w:t>***</w:t>
      </w:r>
    </w:p>
    <w:p w14:paraId="4313B307" w14:textId="77777777" w:rsidR="00EB0265" w:rsidRDefault="00EB0265" w:rsidP="00EB0265">
      <w:pPr>
        <w:pStyle w:val="NoSpacing"/>
      </w:pPr>
      <w:r w:rsidRPr="00483A61">
        <w:t xml:space="preserve">We therefore reverse </w:t>
      </w:r>
      <w:proofErr w:type="spellStart"/>
      <w:r w:rsidRPr="00483A61">
        <w:t>Cichuniec’s</w:t>
      </w:r>
      <w:proofErr w:type="spellEnd"/>
      <w:r w:rsidRPr="00483A61">
        <w:t xml:space="preserve"> conviction for criminally</w:t>
      </w:r>
      <w:r>
        <w:t xml:space="preserve"> </w:t>
      </w:r>
      <w:r w:rsidRPr="00483A61">
        <w:t>negligent homicide and remand the case for a new trial on that</w:t>
      </w:r>
      <w:r>
        <w:t xml:space="preserve"> </w:t>
      </w:r>
      <w:r w:rsidRPr="00483A61">
        <w:t>charge (should the People so elect).</w:t>
      </w:r>
      <w:r>
        <w:t>”</w:t>
      </w:r>
    </w:p>
    <w:p w14:paraId="65C7D9AD" w14:textId="77777777" w:rsidR="00EB0265" w:rsidRDefault="00EB0265" w:rsidP="00EB0265">
      <w:pPr>
        <w:pStyle w:val="NoSpacing"/>
      </w:pPr>
    </w:p>
    <w:p w14:paraId="3EF69C49" w14:textId="77777777" w:rsidR="00EB0265" w:rsidRPr="00377720" w:rsidRDefault="00EB0265" w:rsidP="00EB0265">
      <w:pPr>
        <w:pStyle w:val="NoSpacing"/>
        <w:rPr>
          <w:b/>
          <w:bCs/>
        </w:rPr>
      </w:pPr>
      <w:r w:rsidRPr="004E2529">
        <w:rPr>
          <w:b/>
        </w:rPr>
        <w:t xml:space="preserve">Legal lesson learned: </w:t>
      </w:r>
      <w:r>
        <w:rPr>
          <w:b/>
        </w:rPr>
        <w:t>The medic was never sentenced to prison for the assault conviction, so hopefully he will not be re-tried for that offense</w:t>
      </w:r>
    </w:p>
    <w:p w14:paraId="15D67F94" w14:textId="77777777" w:rsidR="00EB0265" w:rsidRPr="00C06A25" w:rsidRDefault="00EB0265" w:rsidP="00EB0265">
      <w:pPr>
        <w:pStyle w:val="NoSpacing"/>
      </w:pPr>
    </w:p>
    <w:p w14:paraId="60E9092F" w14:textId="77777777" w:rsidR="00EB0265" w:rsidRDefault="00EB0265" w:rsidP="00EB0265">
      <w:pPr>
        <w:pStyle w:val="NoSpacing"/>
      </w:pPr>
    </w:p>
    <w:p w14:paraId="671247A8" w14:textId="77777777" w:rsidR="00EB0265" w:rsidRDefault="00EB0265" w:rsidP="00EB0265">
      <w:pPr>
        <w:pStyle w:val="NoSpacing"/>
      </w:pPr>
    </w:p>
    <w:p w14:paraId="4353F456" w14:textId="77777777" w:rsidR="00EB0265" w:rsidRDefault="00EB0265" w:rsidP="00EB0265">
      <w:pPr>
        <w:pStyle w:val="NoSpacing"/>
        <w:rPr>
          <w:b/>
        </w:rPr>
      </w:pPr>
    </w:p>
    <w:p w14:paraId="1DD4A4D9" w14:textId="003A5C0D" w:rsidR="00824E5F" w:rsidRPr="00DA5EE8" w:rsidRDefault="00824E5F" w:rsidP="00824E5F">
      <w:pPr>
        <w:pStyle w:val="NoSpacing"/>
        <w:rPr>
          <w:rFonts w:ascii="Arial Black" w:hAnsi="Arial Black"/>
          <w:sz w:val="24"/>
          <w:szCs w:val="24"/>
        </w:rPr>
      </w:pPr>
      <w:r w:rsidRPr="00DA5EE8">
        <w:rPr>
          <w:rFonts w:ascii="Arial Black" w:hAnsi="Arial Black"/>
          <w:sz w:val="24"/>
          <w:szCs w:val="24"/>
        </w:rPr>
        <w:t>13-2</w:t>
      </w:r>
      <w:r>
        <w:rPr>
          <w:rFonts w:ascii="Arial Black" w:hAnsi="Arial Black"/>
          <w:sz w:val="24"/>
          <w:szCs w:val="24"/>
        </w:rPr>
        <w:t>60</w:t>
      </w:r>
    </w:p>
    <w:p w14:paraId="36857338" w14:textId="77777777" w:rsidR="00824E5F" w:rsidRDefault="00824E5F" w:rsidP="0087684E">
      <w:pPr>
        <w:pStyle w:val="NoSpacing"/>
        <w:rPr>
          <w:rFonts w:ascii="Arial Black" w:hAnsi="Arial Black"/>
          <w:sz w:val="28"/>
          <w:szCs w:val="28"/>
        </w:rPr>
      </w:pPr>
    </w:p>
    <w:p w14:paraId="4ABE72CF" w14:textId="15591C96" w:rsidR="0087684E" w:rsidRDefault="0087684E" w:rsidP="0087684E">
      <w:pPr>
        <w:pStyle w:val="NoSpacing"/>
      </w:pPr>
      <w:r>
        <w:rPr>
          <w:rFonts w:ascii="Arial Black" w:hAnsi="Arial Black"/>
          <w:sz w:val="28"/>
          <w:szCs w:val="28"/>
        </w:rPr>
        <w:t>TN: MEDIC CASE PROCEED – WHISTLEBLOWER /</w:t>
      </w:r>
      <w:r w:rsidR="00824E5F">
        <w:rPr>
          <w:rFonts w:ascii="Arial Black" w:hAnsi="Arial Black"/>
          <w:sz w:val="28"/>
          <w:szCs w:val="28"/>
        </w:rPr>
        <w:t xml:space="preserve"> </w:t>
      </w:r>
      <w:r>
        <w:rPr>
          <w:rFonts w:ascii="Arial Black" w:hAnsi="Arial Black"/>
          <w:sz w:val="28"/>
          <w:szCs w:val="28"/>
        </w:rPr>
        <w:t xml:space="preserve">PT REFUSAL </w:t>
      </w:r>
    </w:p>
    <w:p w14:paraId="0747497E" w14:textId="77777777" w:rsidR="0087684E" w:rsidRDefault="0087684E" w:rsidP="0087684E">
      <w:pPr>
        <w:pStyle w:val="NoSpacing"/>
      </w:pPr>
    </w:p>
    <w:p w14:paraId="54DB1587" w14:textId="77777777" w:rsidR="0087684E" w:rsidRDefault="0087684E" w:rsidP="0087684E">
      <w:pPr>
        <w:rPr>
          <w:b/>
        </w:rPr>
      </w:pPr>
      <w:r>
        <w:t xml:space="preserve">On May 26, 2026, in </w:t>
      </w:r>
      <w:r w:rsidRPr="00654575">
        <w:rPr>
          <w:u w:val="single"/>
        </w:rPr>
        <w:t>Adam Thomas v. Metropolitan Government of Nashville and Davidson County</w:t>
      </w:r>
      <w:r>
        <w:t xml:space="preserve">, the </w:t>
      </w:r>
      <w:r w:rsidRPr="00555F7A">
        <w:t>Court of Appeals of Tennessee, Nashville</w:t>
      </w:r>
      <w:r>
        <w:t xml:space="preserve"> held (3 to 0) that the former paramedic’s whistleblower lawsuit is </w:t>
      </w:r>
      <w:proofErr w:type="gramStart"/>
      <w:r>
        <w:t>reinstated, and</w:t>
      </w:r>
      <w:proofErr w:type="gramEnd"/>
      <w:r>
        <w:t xml:space="preserve"> will now proceed to pre-trial discovery.  THE COURT WROTE:  “</w:t>
      </w:r>
      <w:r w:rsidRPr="005F3752">
        <w:t>He</w:t>
      </w:r>
      <w:r>
        <w:t xml:space="preserve"> </w:t>
      </w:r>
      <w:r w:rsidRPr="005F3752">
        <w:t>asserted that in violation of the Tennessee Public Protection Act he was discharged by the</w:t>
      </w:r>
      <w:r>
        <w:t xml:space="preserve"> </w:t>
      </w:r>
      <w:r w:rsidRPr="005F3752">
        <w:t>Nashville Fire Department because he refused to participate in or remain silent about the</w:t>
      </w:r>
      <w:r>
        <w:t xml:space="preserve"> </w:t>
      </w:r>
      <w:r w:rsidRPr="005F3752">
        <w:t>department forcing mentally competent inmates to undergo medical treatment without their</w:t>
      </w:r>
      <w:r>
        <w:t xml:space="preserve"> </w:t>
      </w:r>
      <w:r w:rsidRPr="005F3752">
        <w:t>consent</w:t>
      </w:r>
      <w:r>
        <w:t xml:space="preserve">…. </w:t>
      </w:r>
      <w:r w:rsidRPr="00650425">
        <w:t>According to the complaint, Mr.</w:t>
      </w:r>
      <w:r>
        <w:t xml:space="preserve"> </w:t>
      </w:r>
      <w:r w:rsidRPr="00650425">
        <w:t xml:space="preserve">Thomas reported </w:t>
      </w:r>
      <w:proofErr w:type="gramStart"/>
      <w:r w:rsidRPr="00650425">
        <w:t>the illegal</w:t>
      </w:r>
      <w:proofErr w:type="gramEnd"/>
      <w:r w:rsidRPr="00650425">
        <w:t xml:space="preserve"> activity to </w:t>
      </w:r>
      <w:proofErr w:type="gramStart"/>
      <w:r w:rsidRPr="00650425">
        <w:t>persons</w:t>
      </w:r>
      <w:proofErr w:type="gramEnd"/>
      <w:r w:rsidRPr="00650425">
        <w:t xml:space="preserve"> outside of the fire department, including</w:t>
      </w:r>
      <w:r>
        <w:t xml:space="preserve"> </w:t>
      </w:r>
      <w:r w:rsidRPr="00650425">
        <w:t>doctors, nurses, and an inmate. As to the latter, he not only informed the inmate that his</w:t>
      </w:r>
      <w:r>
        <w:t xml:space="preserve"> </w:t>
      </w:r>
      <w:r w:rsidRPr="00650425">
        <w:t>legal rights may have been violated but also proceeded to document the violation</w:t>
      </w:r>
      <w:r>
        <w:t xml:space="preserve">…. </w:t>
      </w:r>
      <w:r w:rsidRPr="00650425">
        <w:t>See Tenn.</w:t>
      </w:r>
      <w:r>
        <w:t xml:space="preserve"> </w:t>
      </w:r>
      <w:r w:rsidRPr="00650425">
        <w:t>Code Ann. § 50-1-304 (b)</w:t>
      </w:r>
      <w:proofErr w:type="gramStart"/>
      <w:r w:rsidRPr="00650425">
        <w:t>) (</w:t>
      </w:r>
      <w:r>
        <w:t>‘</w:t>
      </w:r>
      <w:proofErr w:type="gramEnd"/>
      <w:r w:rsidRPr="00650425">
        <w:t>No employee shall be discharged or terminated solely for</w:t>
      </w:r>
      <w:r>
        <w:t xml:space="preserve"> </w:t>
      </w:r>
      <w:r w:rsidRPr="00650425">
        <w:t>refusing to participate in, or for refusing to remain silent about, illegal activities.</w:t>
      </w:r>
      <w:r>
        <w:t>’</w:t>
      </w:r>
      <w:r w:rsidRPr="003140C1">
        <w:t xml:space="preserve">). </w:t>
      </w:r>
      <w:hyperlink r:id="rId2017" w:history="1">
        <w:r w:rsidRPr="003140C1">
          <w:rPr>
            <w:rStyle w:val="Hyperlink"/>
          </w:rPr>
          <w:t>https://cases.justia.com/tennessee/court-of-appeals/2026-m2025-00288-coa-r3-cv.pdf?ts=1779919242</w:t>
        </w:r>
      </w:hyperlink>
      <w:r>
        <w:rPr>
          <w:b/>
        </w:rPr>
        <w:t xml:space="preserve"> </w:t>
      </w:r>
    </w:p>
    <w:p w14:paraId="73D5C311" w14:textId="77777777" w:rsidR="0087684E" w:rsidRDefault="0087684E" w:rsidP="0087684E">
      <w:pPr>
        <w:rPr>
          <w:bCs/>
        </w:rPr>
      </w:pPr>
      <w:r w:rsidRPr="003140C1">
        <w:t>THE COURT HELD:</w:t>
      </w:r>
    </w:p>
    <w:p w14:paraId="6AA95A03" w14:textId="77777777" w:rsidR="0087684E" w:rsidRPr="0076569D" w:rsidRDefault="0087684E" w:rsidP="0087684E">
      <w:pPr>
        <w:pStyle w:val="NoSpacing"/>
        <w:ind w:firstLine="720"/>
        <w:rPr>
          <w:bCs/>
        </w:rPr>
      </w:pPr>
      <w:r>
        <w:t>“</w:t>
      </w:r>
      <w:r w:rsidRPr="0076569D">
        <w:t>According to his amended complaint, Mr. Thomas began working for the Nashville</w:t>
      </w:r>
    </w:p>
    <w:p w14:paraId="7DEF0239" w14:textId="77777777" w:rsidR="0087684E" w:rsidRPr="0076569D" w:rsidRDefault="0087684E" w:rsidP="0087684E">
      <w:pPr>
        <w:pStyle w:val="NoSpacing"/>
        <w:ind w:firstLine="720"/>
        <w:rPr>
          <w:bCs/>
        </w:rPr>
      </w:pPr>
      <w:r w:rsidRPr="0076569D">
        <w:t>Fire Department in October 2023. He was not new to being a paramedic; rather, he had</w:t>
      </w:r>
    </w:p>
    <w:p w14:paraId="55353C71" w14:textId="77777777" w:rsidR="0087684E" w:rsidRPr="0076569D" w:rsidRDefault="0087684E" w:rsidP="0087684E">
      <w:pPr>
        <w:pStyle w:val="NoSpacing"/>
        <w:ind w:firstLine="720"/>
        <w:rPr>
          <w:bCs/>
        </w:rPr>
      </w:pPr>
      <w:r w:rsidRPr="0076569D">
        <w:t>eight years of experience in such a role. In his first six months with the Nashville Fire</w:t>
      </w:r>
    </w:p>
    <w:p w14:paraId="765C9F14" w14:textId="77777777" w:rsidR="0087684E" w:rsidRPr="0076569D" w:rsidRDefault="0087684E" w:rsidP="0087684E">
      <w:pPr>
        <w:pStyle w:val="NoSpacing"/>
        <w:ind w:firstLine="720"/>
        <w:rPr>
          <w:bCs/>
        </w:rPr>
      </w:pPr>
      <w:proofErr w:type="gramStart"/>
      <w:r w:rsidRPr="0076569D">
        <w:t>Department, Mr</w:t>
      </w:r>
      <w:proofErr w:type="gramEnd"/>
      <w:r w:rsidRPr="0076569D">
        <w:t>. Thomas was recognized with three awards for his outstanding job</w:t>
      </w:r>
    </w:p>
    <w:p w14:paraId="5A4FAEE9" w14:textId="77777777" w:rsidR="0087684E" w:rsidRPr="0076569D" w:rsidRDefault="0087684E" w:rsidP="0087684E">
      <w:pPr>
        <w:pStyle w:val="NoSpacing"/>
        <w:ind w:firstLine="720"/>
        <w:rPr>
          <w:bCs/>
        </w:rPr>
      </w:pPr>
      <w:r w:rsidRPr="0076569D">
        <w:t>performance.</w:t>
      </w:r>
    </w:p>
    <w:p w14:paraId="3DF6092C" w14:textId="77777777" w:rsidR="0087684E" w:rsidRDefault="0087684E" w:rsidP="0087684E">
      <w:pPr>
        <w:pStyle w:val="NoSpacing"/>
        <w:rPr>
          <w:bCs/>
        </w:rPr>
      </w:pPr>
    </w:p>
    <w:p w14:paraId="22CA9F5F" w14:textId="77777777" w:rsidR="0087684E" w:rsidRPr="0076569D" w:rsidRDefault="0087684E" w:rsidP="0087684E">
      <w:pPr>
        <w:pStyle w:val="NoSpacing"/>
        <w:ind w:firstLine="720"/>
        <w:rPr>
          <w:bCs/>
        </w:rPr>
      </w:pPr>
      <w:r w:rsidRPr="0076569D">
        <w:t>However, things turned for Mr. Thomas starting on January 23, 2024. On that date,</w:t>
      </w:r>
    </w:p>
    <w:p w14:paraId="5250D6CD" w14:textId="77777777" w:rsidR="0087684E" w:rsidRPr="0076569D" w:rsidRDefault="0087684E" w:rsidP="0087684E">
      <w:pPr>
        <w:pStyle w:val="NoSpacing"/>
        <w:ind w:firstLine="720"/>
        <w:rPr>
          <w:bCs/>
        </w:rPr>
      </w:pPr>
      <w:r w:rsidRPr="0076569D">
        <w:t>Mr. Thomas responded to a call indicating an inmate needed medical attention at the</w:t>
      </w:r>
    </w:p>
    <w:p w14:paraId="024D67C5" w14:textId="77777777" w:rsidR="0087684E" w:rsidRPr="0076569D" w:rsidRDefault="0087684E" w:rsidP="0087684E">
      <w:pPr>
        <w:pStyle w:val="NoSpacing"/>
        <w:ind w:firstLine="720"/>
        <w:rPr>
          <w:bCs/>
        </w:rPr>
      </w:pPr>
      <w:r w:rsidRPr="0076569D">
        <w:t>Davidson County Jail. Upon arriving, Mr. Thomas was informed the inmate was refusing</w:t>
      </w:r>
    </w:p>
    <w:p w14:paraId="6E929641" w14:textId="77777777" w:rsidR="0087684E" w:rsidRPr="0076569D" w:rsidRDefault="0087684E" w:rsidP="0087684E">
      <w:pPr>
        <w:pStyle w:val="NoSpacing"/>
        <w:ind w:firstLine="720"/>
        <w:rPr>
          <w:bCs/>
        </w:rPr>
      </w:pPr>
      <w:r w:rsidRPr="0076569D">
        <w:t>medical treatment and transport to the hospital. While Mr. Thomas maintained that the</w:t>
      </w:r>
    </w:p>
    <w:p w14:paraId="089B2378" w14:textId="77777777" w:rsidR="0087684E" w:rsidRPr="0076569D" w:rsidRDefault="0087684E" w:rsidP="0087684E">
      <w:pPr>
        <w:pStyle w:val="NoSpacing"/>
        <w:ind w:firstLine="720"/>
        <w:rPr>
          <w:bCs/>
        </w:rPr>
      </w:pPr>
      <w:r w:rsidRPr="0076569D">
        <w:t>inmate had a right to refuse medical treatment, a nurse at the jail remained steadfast that</w:t>
      </w:r>
    </w:p>
    <w:p w14:paraId="42AC73B5" w14:textId="77777777" w:rsidR="0087684E" w:rsidRPr="0076569D" w:rsidRDefault="0087684E" w:rsidP="0087684E">
      <w:pPr>
        <w:pStyle w:val="NoSpacing"/>
        <w:ind w:firstLine="720"/>
        <w:rPr>
          <w:bCs/>
        </w:rPr>
      </w:pPr>
      <w:proofErr w:type="gramStart"/>
      <w:r w:rsidRPr="0076569D">
        <w:t>the</w:t>
      </w:r>
      <w:proofErr w:type="gramEnd"/>
      <w:r w:rsidRPr="0076569D">
        <w:t xml:space="preserve"> inmate did not have a right to refuse care or medical transport because of his status as</w:t>
      </w:r>
    </w:p>
    <w:p w14:paraId="6CDFBAAC" w14:textId="77777777" w:rsidR="0087684E" w:rsidRPr="0076569D" w:rsidRDefault="0087684E" w:rsidP="0087684E">
      <w:pPr>
        <w:pStyle w:val="NoSpacing"/>
        <w:ind w:firstLine="720"/>
        <w:rPr>
          <w:bCs/>
        </w:rPr>
      </w:pPr>
      <w:r w:rsidRPr="0076569D">
        <w:t>an inmate. On this occasion, Mr. Thomas relented and transported the inmate to the</w:t>
      </w:r>
    </w:p>
    <w:p w14:paraId="5E09431B" w14:textId="77777777" w:rsidR="0087684E" w:rsidRPr="0076569D" w:rsidRDefault="0087684E" w:rsidP="0087684E">
      <w:pPr>
        <w:pStyle w:val="NoSpacing"/>
        <w:ind w:firstLine="720"/>
        <w:rPr>
          <w:bCs/>
        </w:rPr>
      </w:pPr>
      <w:r w:rsidRPr="0076569D">
        <w:t xml:space="preserve">hospital despite the inmate’s refusal to be treated. To fulfill his duty to </w:t>
      </w:r>
      <w:proofErr w:type="gramStart"/>
      <w:r w:rsidRPr="0076569D">
        <w:t>medically</w:t>
      </w:r>
      <w:proofErr w:type="gramEnd"/>
      <w:r w:rsidRPr="0076569D">
        <w:t xml:space="preserve"> monitor</w:t>
      </w:r>
    </w:p>
    <w:p w14:paraId="24604EEF" w14:textId="77777777" w:rsidR="0087684E" w:rsidRPr="0076569D" w:rsidRDefault="0087684E" w:rsidP="0087684E">
      <w:pPr>
        <w:pStyle w:val="NoSpacing"/>
        <w:ind w:firstLine="720"/>
        <w:rPr>
          <w:bCs/>
        </w:rPr>
      </w:pPr>
      <w:r w:rsidRPr="0076569D">
        <w:t>a patient during transport, he took the inmate’s vital signs and continued to monitor those</w:t>
      </w:r>
    </w:p>
    <w:p w14:paraId="1DC0DE6C" w14:textId="77777777" w:rsidR="0087684E" w:rsidRDefault="0087684E" w:rsidP="0087684E">
      <w:pPr>
        <w:pStyle w:val="NoSpacing"/>
        <w:ind w:firstLine="720"/>
        <w:rPr>
          <w:bCs/>
        </w:rPr>
      </w:pPr>
      <w:r w:rsidRPr="0076569D">
        <w:t>vitals until arriving at the hospital.</w:t>
      </w:r>
    </w:p>
    <w:p w14:paraId="0B21A689" w14:textId="77777777" w:rsidR="0087684E" w:rsidRDefault="0087684E" w:rsidP="0087684E">
      <w:pPr>
        <w:pStyle w:val="NoSpacing"/>
        <w:ind w:firstLine="720"/>
        <w:rPr>
          <w:bCs/>
        </w:rPr>
      </w:pPr>
    </w:p>
    <w:p w14:paraId="24FE8C52" w14:textId="77777777" w:rsidR="0087684E" w:rsidRDefault="0087684E" w:rsidP="0087684E">
      <w:pPr>
        <w:pStyle w:val="NoSpacing"/>
        <w:ind w:firstLine="720"/>
        <w:rPr>
          <w:bCs/>
        </w:rPr>
      </w:pPr>
      <w:r>
        <w:t>***</w:t>
      </w:r>
    </w:p>
    <w:p w14:paraId="5459E241" w14:textId="77777777" w:rsidR="0087684E" w:rsidRPr="002967D3" w:rsidRDefault="0087684E" w:rsidP="0087684E">
      <w:pPr>
        <w:pStyle w:val="NoSpacing"/>
        <w:ind w:firstLine="720"/>
        <w:rPr>
          <w:bCs/>
        </w:rPr>
      </w:pPr>
      <w:r w:rsidRPr="002967D3">
        <w:t>Mr. Thomas also conducted his own research. His research confirmed his understanding</w:t>
      </w:r>
    </w:p>
    <w:p w14:paraId="1749C7DC" w14:textId="77777777" w:rsidR="0087684E" w:rsidRPr="002967D3" w:rsidRDefault="0087684E" w:rsidP="0087684E">
      <w:pPr>
        <w:pStyle w:val="NoSpacing"/>
        <w:ind w:left="720"/>
        <w:rPr>
          <w:bCs/>
        </w:rPr>
      </w:pPr>
      <w:r w:rsidRPr="002967D3">
        <w:t>that a mentally competent inmate has a right to refuse medical treatment. Mr. Thomas filed</w:t>
      </w:r>
      <w:r>
        <w:t xml:space="preserve"> </w:t>
      </w:r>
      <w:r w:rsidRPr="002967D3">
        <w:t>a detailed report at the conclusion of his shift. In his report, Mr. Thomas cited Tennessee</w:t>
      </w:r>
      <w:r>
        <w:t xml:space="preserve"> </w:t>
      </w:r>
      <w:r w:rsidRPr="002967D3">
        <w:t>Department of Correction policies and Tennessee Corrections Institute guidelines,</w:t>
      </w:r>
      <w:r>
        <w:t xml:space="preserve"> </w:t>
      </w:r>
      <w:r w:rsidRPr="002967D3">
        <w:t>indicating that prisoners have a right to refuse medical treatment.</w:t>
      </w:r>
    </w:p>
    <w:p w14:paraId="0484FA26" w14:textId="77777777" w:rsidR="0087684E" w:rsidRDefault="0087684E" w:rsidP="0087684E">
      <w:pPr>
        <w:pStyle w:val="NoSpacing"/>
        <w:ind w:firstLine="720"/>
        <w:rPr>
          <w:bCs/>
        </w:rPr>
      </w:pPr>
    </w:p>
    <w:p w14:paraId="7C7D3242" w14:textId="77777777" w:rsidR="0087684E" w:rsidRPr="002967D3" w:rsidRDefault="0087684E" w:rsidP="0087684E">
      <w:pPr>
        <w:pStyle w:val="NoSpacing"/>
        <w:ind w:firstLine="720"/>
        <w:rPr>
          <w:bCs/>
        </w:rPr>
      </w:pPr>
      <w:r w:rsidRPr="002967D3">
        <w:t xml:space="preserve">Approximately a week later, Mr. Thomas was called into a meeting with several </w:t>
      </w:r>
      <w:proofErr w:type="gramStart"/>
      <w:r w:rsidRPr="002967D3">
        <w:t>fire</w:t>
      </w:r>
      <w:proofErr w:type="gramEnd"/>
    </w:p>
    <w:p w14:paraId="69FDFF7E" w14:textId="77777777" w:rsidR="0087684E" w:rsidRPr="002967D3" w:rsidRDefault="0087684E" w:rsidP="0087684E">
      <w:pPr>
        <w:pStyle w:val="NoSpacing"/>
        <w:ind w:firstLine="720"/>
        <w:rPr>
          <w:bCs/>
        </w:rPr>
      </w:pPr>
      <w:r w:rsidRPr="002967D3">
        <w:t>department Chiefs. Mr. Thomas alleges that in this meeting, he was reprimanded</w:t>
      </w:r>
    </w:p>
    <w:p w14:paraId="503F65CE" w14:textId="77777777" w:rsidR="0087684E" w:rsidRPr="002967D3" w:rsidRDefault="0087684E" w:rsidP="0087684E">
      <w:pPr>
        <w:pStyle w:val="NoSpacing"/>
        <w:ind w:firstLine="720"/>
        <w:rPr>
          <w:bCs/>
        </w:rPr>
      </w:pPr>
      <w:r w:rsidRPr="002967D3">
        <w:t xml:space="preserve">extensively for the report he filed regarding the January 23, </w:t>
      </w:r>
      <w:proofErr w:type="gramStart"/>
      <w:r w:rsidRPr="002967D3">
        <w:t>2024</w:t>
      </w:r>
      <w:proofErr w:type="gramEnd"/>
      <w:r w:rsidRPr="002967D3">
        <w:t xml:space="preserve"> transport of the inmate.</w:t>
      </w:r>
    </w:p>
    <w:p w14:paraId="2B31724B" w14:textId="77777777" w:rsidR="0087684E" w:rsidRPr="002967D3" w:rsidRDefault="0087684E" w:rsidP="0087684E">
      <w:pPr>
        <w:pStyle w:val="NoSpacing"/>
        <w:ind w:firstLine="720"/>
        <w:rPr>
          <w:bCs/>
        </w:rPr>
      </w:pPr>
      <w:r w:rsidRPr="002967D3">
        <w:t>The Chiefs indicated that he was correct that an inmate could refuse treatment, but they</w:t>
      </w:r>
    </w:p>
    <w:p w14:paraId="22FA74A6" w14:textId="77777777" w:rsidR="0087684E" w:rsidRPr="00C1245A" w:rsidRDefault="0087684E" w:rsidP="0087684E">
      <w:pPr>
        <w:pStyle w:val="NoSpacing"/>
        <w:ind w:left="720"/>
        <w:rPr>
          <w:bCs/>
        </w:rPr>
      </w:pPr>
      <w:r w:rsidRPr="002967D3">
        <w:t>could not believe that he had documented the incident. In the meeting, Mr. Thomas</w:t>
      </w:r>
      <w:r>
        <w:t xml:space="preserve"> </w:t>
      </w:r>
      <w:r w:rsidRPr="00C1245A">
        <w:t>indicated that he would not transport another competent inmate to the hospital without the</w:t>
      </w:r>
      <w:r>
        <w:t xml:space="preserve"> </w:t>
      </w:r>
      <w:r w:rsidRPr="00C1245A">
        <w:t>inmate’s consent.</w:t>
      </w:r>
    </w:p>
    <w:p w14:paraId="7D59D021" w14:textId="77777777" w:rsidR="0087684E" w:rsidRDefault="0087684E" w:rsidP="0087684E">
      <w:pPr>
        <w:pStyle w:val="NoSpacing"/>
        <w:ind w:firstLine="720"/>
        <w:rPr>
          <w:bCs/>
        </w:rPr>
      </w:pPr>
    </w:p>
    <w:p w14:paraId="79927B4B" w14:textId="77777777" w:rsidR="0087684E" w:rsidRPr="00C1245A" w:rsidRDefault="0087684E" w:rsidP="0087684E">
      <w:pPr>
        <w:pStyle w:val="NoSpacing"/>
        <w:ind w:firstLine="720"/>
        <w:rPr>
          <w:bCs/>
        </w:rPr>
      </w:pPr>
      <w:r w:rsidRPr="00C1245A">
        <w:t>Less than a month later, Mr. Thomas, who had previously served in the Marine</w:t>
      </w:r>
    </w:p>
    <w:p w14:paraId="0390EF73" w14:textId="77777777" w:rsidR="0087684E" w:rsidRPr="00C1245A" w:rsidRDefault="0087684E" w:rsidP="0087684E">
      <w:pPr>
        <w:pStyle w:val="NoSpacing"/>
        <w:ind w:firstLine="720"/>
        <w:rPr>
          <w:bCs/>
        </w:rPr>
      </w:pPr>
      <w:proofErr w:type="gramStart"/>
      <w:r w:rsidRPr="00C1245A">
        <w:t>Corps,</w:t>
      </w:r>
      <w:proofErr w:type="gramEnd"/>
      <w:r w:rsidRPr="00C1245A">
        <w:t xml:space="preserve"> was scheduled to be in Arlington. Members of his platoon annually gathered to</w:t>
      </w:r>
    </w:p>
    <w:p w14:paraId="6A3EC459" w14:textId="77777777" w:rsidR="0087684E" w:rsidRPr="00C1245A" w:rsidRDefault="0087684E" w:rsidP="0087684E">
      <w:pPr>
        <w:pStyle w:val="NoSpacing"/>
        <w:ind w:firstLine="720"/>
        <w:rPr>
          <w:bCs/>
        </w:rPr>
      </w:pPr>
      <w:r w:rsidRPr="00C1245A">
        <w:t>honor a fallen comrade who had died in Afghanistan. Mr. Thomas had been approved for</w:t>
      </w:r>
    </w:p>
    <w:p w14:paraId="04FF85AB" w14:textId="77777777" w:rsidR="0087684E" w:rsidRPr="00C1245A" w:rsidRDefault="0087684E" w:rsidP="0087684E">
      <w:pPr>
        <w:pStyle w:val="NoSpacing"/>
        <w:ind w:firstLine="720"/>
        <w:rPr>
          <w:bCs/>
        </w:rPr>
      </w:pPr>
      <w:r w:rsidRPr="00C1245A">
        <w:t xml:space="preserve">vacation time, and a coworker was going to cover his shift on February 16. </w:t>
      </w:r>
      <w:proofErr w:type="gramStart"/>
      <w:r w:rsidRPr="00C1245A">
        <w:t>The coworker</w:t>
      </w:r>
      <w:proofErr w:type="gramEnd"/>
      <w:r w:rsidRPr="00C1245A">
        <w:t>,</w:t>
      </w:r>
    </w:p>
    <w:p w14:paraId="59B7A3D9" w14:textId="77777777" w:rsidR="0087684E" w:rsidRPr="00C1245A" w:rsidRDefault="0087684E" w:rsidP="0087684E">
      <w:pPr>
        <w:pStyle w:val="NoSpacing"/>
        <w:ind w:firstLine="720"/>
        <w:rPr>
          <w:bCs/>
        </w:rPr>
      </w:pPr>
      <w:proofErr w:type="gramStart"/>
      <w:r w:rsidRPr="00C1245A">
        <w:t>however</w:t>
      </w:r>
      <w:proofErr w:type="gramEnd"/>
      <w:r w:rsidRPr="00C1245A">
        <w:t>, was forbidden by superiors from covering his February 16 shift, which went</w:t>
      </w:r>
    </w:p>
    <w:p w14:paraId="7515948B" w14:textId="77777777" w:rsidR="0087684E" w:rsidRDefault="0087684E" w:rsidP="0087684E">
      <w:pPr>
        <w:pStyle w:val="NoSpacing"/>
        <w:ind w:firstLine="720"/>
        <w:rPr>
          <w:bCs/>
        </w:rPr>
      </w:pPr>
      <w:r w:rsidRPr="00C1245A">
        <w:lastRenderedPageBreak/>
        <w:t>uncovered.</w:t>
      </w:r>
    </w:p>
    <w:p w14:paraId="57F09B18" w14:textId="77777777" w:rsidR="0087684E" w:rsidRDefault="0087684E" w:rsidP="0087684E">
      <w:pPr>
        <w:pStyle w:val="NoSpacing"/>
        <w:ind w:firstLine="720"/>
        <w:rPr>
          <w:bCs/>
        </w:rPr>
      </w:pPr>
    </w:p>
    <w:p w14:paraId="447AD8A3" w14:textId="77777777" w:rsidR="0087684E" w:rsidRPr="00F85597" w:rsidRDefault="0087684E" w:rsidP="0087684E">
      <w:pPr>
        <w:pStyle w:val="NoSpacing"/>
        <w:ind w:firstLine="720"/>
        <w:rPr>
          <w:bCs/>
        </w:rPr>
      </w:pPr>
      <w:r w:rsidRPr="00F85597">
        <w:t>On or around February 26, 2024, Nashville Fire Department Chief Fred Smith gave</w:t>
      </w:r>
    </w:p>
    <w:p w14:paraId="37D5B4CA" w14:textId="77777777" w:rsidR="0087684E" w:rsidRPr="00F85597" w:rsidRDefault="0087684E" w:rsidP="0087684E">
      <w:pPr>
        <w:pStyle w:val="NoSpacing"/>
        <w:ind w:firstLine="720"/>
        <w:rPr>
          <w:bCs/>
        </w:rPr>
      </w:pPr>
      <w:r w:rsidRPr="00F85597">
        <w:t>Mr. Thomas an ultimatum: “You can either resign, or I can fire you.” Metro contends this</w:t>
      </w:r>
    </w:p>
    <w:p w14:paraId="1C857F7A" w14:textId="77777777" w:rsidR="0087684E" w:rsidRPr="00F85597" w:rsidRDefault="0087684E" w:rsidP="0087684E">
      <w:pPr>
        <w:pStyle w:val="NoSpacing"/>
        <w:ind w:left="720"/>
        <w:rPr>
          <w:bCs/>
        </w:rPr>
      </w:pPr>
      <w:r w:rsidRPr="00F85597">
        <w:t>ultimatum was the result of Mr. Thomas missing a single shift and not finding coverage to</w:t>
      </w:r>
      <w:r>
        <w:t xml:space="preserve"> </w:t>
      </w:r>
      <w:r w:rsidRPr="00F85597">
        <w:t>replace him. Mr. Thomas chose to resign to prevent a termination from becoming part of</w:t>
      </w:r>
      <w:r>
        <w:t xml:space="preserve"> </w:t>
      </w:r>
      <w:r w:rsidRPr="00F85597">
        <w:t>his record. Thereafter, Mr. Thomas alleges he received a text message from another</w:t>
      </w:r>
    </w:p>
    <w:p w14:paraId="487839D8" w14:textId="77777777" w:rsidR="0087684E" w:rsidRPr="00F85597" w:rsidRDefault="0087684E" w:rsidP="0087684E">
      <w:pPr>
        <w:pStyle w:val="NoSpacing"/>
        <w:ind w:firstLine="720"/>
        <w:rPr>
          <w:bCs/>
        </w:rPr>
      </w:pPr>
      <w:r w:rsidRPr="00F85597">
        <w:t>paramedic employed by the fire department stating that, when that employee had</w:t>
      </w:r>
    </w:p>
    <w:p w14:paraId="474FFB18" w14:textId="77777777" w:rsidR="0087684E" w:rsidRDefault="0087684E" w:rsidP="0087684E">
      <w:pPr>
        <w:pStyle w:val="NoSpacing"/>
        <w:ind w:firstLine="720"/>
        <w:rPr>
          <w:bCs/>
        </w:rPr>
      </w:pPr>
      <w:r w:rsidRPr="00F85597">
        <w:t>previously missed a shift, the only consequence was a write-up</w:t>
      </w:r>
      <w:r>
        <w:t>.”</w:t>
      </w:r>
    </w:p>
    <w:p w14:paraId="6260A993" w14:textId="77777777" w:rsidR="0087684E" w:rsidRDefault="0087684E" w:rsidP="0087684E">
      <w:pPr>
        <w:pStyle w:val="NoSpacing"/>
        <w:ind w:firstLine="720"/>
        <w:rPr>
          <w:bCs/>
        </w:rPr>
      </w:pPr>
    </w:p>
    <w:p w14:paraId="31564EC9" w14:textId="77777777" w:rsidR="0087684E" w:rsidRPr="005936B4" w:rsidRDefault="0087684E" w:rsidP="0087684E">
      <w:pPr>
        <w:rPr>
          <w:b/>
        </w:rPr>
      </w:pPr>
      <w:r>
        <w:rPr>
          <w:b/>
        </w:rPr>
        <w:t xml:space="preserve">Legal lesson learned: </w:t>
      </w:r>
      <w:r w:rsidRPr="005936B4">
        <w:rPr>
          <w:b/>
        </w:rPr>
        <w:t>The Tennessee Public Protection Act protects whistleblowers; case will now proceed to pre-trial discovery; a jury may ultimately reward</w:t>
      </w:r>
      <w:r>
        <w:rPr>
          <w:b/>
        </w:rPr>
        <w:t xml:space="preserve"> Medic with </w:t>
      </w:r>
      <w:r w:rsidRPr="005936B4">
        <w:rPr>
          <w:b/>
        </w:rPr>
        <w:t xml:space="preserve">substantial damages. </w:t>
      </w:r>
    </w:p>
    <w:p w14:paraId="57193B73" w14:textId="77777777" w:rsidR="0087684E" w:rsidRDefault="0087684E" w:rsidP="0087684E">
      <w:pPr>
        <w:ind w:left="720"/>
        <w:rPr>
          <w:bCs/>
        </w:rPr>
      </w:pPr>
      <w:r w:rsidRPr="008B6EA3">
        <w:t>Note: The Tenn. Code</w:t>
      </w:r>
      <w:r>
        <w:t xml:space="preserve"> provides in </w:t>
      </w:r>
      <w:r w:rsidRPr="00FD65F6">
        <w:t>§ 50-1-304 (2024)</w:t>
      </w:r>
      <w:r>
        <w:t xml:space="preserve">: </w:t>
      </w:r>
      <w:hyperlink r:id="rId2018" w:history="1">
        <w:r w:rsidRPr="003971FA">
          <w:rPr>
            <w:rStyle w:val="Hyperlink"/>
          </w:rPr>
          <w:t>https://law.justia.com/codes/tennessee/title-50/chapter-1/part-3/section-50-1-304/</w:t>
        </w:r>
      </w:hyperlink>
      <w:r>
        <w:t xml:space="preserve"> </w:t>
      </w:r>
    </w:p>
    <w:p w14:paraId="7E0AA116" w14:textId="77777777" w:rsidR="0087684E" w:rsidRPr="008B6EA3" w:rsidRDefault="0087684E" w:rsidP="0087684E">
      <w:pPr>
        <w:ind w:left="720"/>
        <w:rPr>
          <w:bCs/>
        </w:rPr>
      </w:pPr>
      <w:r>
        <w:rPr>
          <w:b/>
        </w:rPr>
        <w:t>“</w:t>
      </w:r>
      <w:r w:rsidRPr="000F04F2">
        <w:rPr>
          <w:b/>
        </w:rPr>
        <w:t>(1)</w:t>
      </w:r>
      <w:r w:rsidRPr="000F04F2">
        <w:t xml:space="preserve"> Any employee terminated in violation of subsection (b) shall have a cause of action against the employer for retaliatory discharge and any other damages to which the employee may be entitled, subject to the limitations set out in § 4-21-313.</w:t>
      </w:r>
      <w:r>
        <w:t>”</w:t>
      </w:r>
    </w:p>
    <w:p w14:paraId="78D2C1EC" w14:textId="77777777" w:rsidR="0087684E" w:rsidRDefault="0087684E" w:rsidP="0087684E">
      <w:pPr>
        <w:rPr>
          <w:bCs/>
        </w:rPr>
      </w:pPr>
    </w:p>
    <w:p w14:paraId="0E47927F" w14:textId="185829FA" w:rsidR="00DA5EE8" w:rsidRPr="00DA5EE8" w:rsidRDefault="00DA5EE8" w:rsidP="00DA5EE8">
      <w:pPr>
        <w:pStyle w:val="NoSpacing"/>
        <w:rPr>
          <w:rFonts w:ascii="Arial Black" w:hAnsi="Arial Black"/>
          <w:sz w:val="24"/>
          <w:szCs w:val="24"/>
        </w:rPr>
      </w:pPr>
      <w:r w:rsidRPr="00DA5EE8">
        <w:rPr>
          <w:rFonts w:ascii="Arial Black" w:hAnsi="Arial Black"/>
          <w:sz w:val="24"/>
          <w:szCs w:val="24"/>
        </w:rPr>
        <w:t>13-25</w:t>
      </w:r>
      <w:r>
        <w:rPr>
          <w:rFonts w:ascii="Arial Black" w:hAnsi="Arial Black"/>
          <w:sz w:val="24"/>
          <w:szCs w:val="24"/>
        </w:rPr>
        <w:t>9</w:t>
      </w:r>
    </w:p>
    <w:p w14:paraId="48668188" w14:textId="77777777" w:rsidR="0087684E" w:rsidRDefault="0087684E" w:rsidP="0087684E">
      <w:pPr>
        <w:rPr>
          <w:bCs/>
        </w:rPr>
      </w:pPr>
    </w:p>
    <w:p w14:paraId="748B1E05" w14:textId="77777777" w:rsidR="0087684E" w:rsidRPr="00161BDB" w:rsidRDefault="0087684E" w:rsidP="0087684E">
      <w:pPr>
        <w:rPr>
          <w:rFonts w:ascii="Arial Black" w:hAnsi="Arial Black"/>
          <w:b/>
          <w:sz w:val="28"/>
          <w:szCs w:val="28"/>
        </w:rPr>
      </w:pPr>
      <w:r>
        <w:rPr>
          <w:rFonts w:ascii="Arial Black" w:hAnsi="Arial Black"/>
          <w:b/>
          <w:sz w:val="28"/>
          <w:szCs w:val="28"/>
        </w:rPr>
        <w:t>MI: PT GURNEY / UNLOADING – NO IMMUN. STATE MV LAW</w:t>
      </w:r>
    </w:p>
    <w:p w14:paraId="180B9550" w14:textId="77777777" w:rsidR="0087684E" w:rsidRDefault="0087684E" w:rsidP="0087684E">
      <w:pPr>
        <w:pStyle w:val="NoSpacing"/>
      </w:pPr>
      <w:r>
        <w:t xml:space="preserve">On May 19, 2026, in </w:t>
      </w:r>
      <w:r w:rsidRPr="0087386B">
        <w:rPr>
          <w:u w:val="single"/>
        </w:rPr>
        <w:t>Walter Winters v. City of Detroit</w:t>
      </w:r>
      <w:r>
        <w:t xml:space="preserve">, the State of Michigan Court of Appeals held (3 to 0) that the patient’s lawsuit may proceed, since this was an injury arising out of </w:t>
      </w:r>
      <w:proofErr w:type="spellStart"/>
      <w:r>
        <w:t>a</w:t>
      </w:r>
      <w:proofErr w:type="spellEnd"/>
      <w:r>
        <w:t xml:space="preserve"> accident involving a motor vehicle (ambulance); trial court improperly dismissed the case under EMS immunity statute.  THE COURT WROTE: “</w:t>
      </w:r>
      <w:r w:rsidRPr="00F53EB6">
        <w:t>Winters appeals by right the trial court’s order granting the City’s motion for</w:t>
      </w:r>
      <w:r>
        <w:t xml:space="preserve"> </w:t>
      </w:r>
      <w:r w:rsidRPr="00F53EB6">
        <w:t xml:space="preserve">summary disposition. Because the trial court erroneously applied the EMSA </w:t>
      </w:r>
      <w:r>
        <w:t>[E</w:t>
      </w:r>
      <w:r w:rsidRPr="002147CE">
        <w:t xml:space="preserve">mergency </w:t>
      </w:r>
      <w:r>
        <w:t>M</w:t>
      </w:r>
      <w:r w:rsidRPr="002147CE">
        <w:t xml:space="preserve">edical </w:t>
      </w:r>
      <w:r>
        <w:t>S</w:t>
      </w:r>
      <w:r w:rsidRPr="002147CE">
        <w:t xml:space="preserve">ervices </w:t>
      </w:r>
      <w:r>
        <w:t>A</w:t>
      </w:r>
      <w:r w:rsidRPr="002147CE">
        <w:t>ct</w:t>
      </w:r>
      <w:r>
        <w:t>]</w:t>
      </w:r>
      <w:r w:rsidRPr="002147CE">
        <w:t xml:space="preserve"> </w:t>
      </w:r>
      <w:r w:rsidRPr="00F53EB6">
        <w:t>and Winters’s</w:t>
      </w:r>
      <w:r>
        <w:t xml:space="preserve"> </w:t>
      </w:r>
      <w:r w:rsidRPr="00F53EB6">
        <w:t>complaint asserted a claim under the motor-vehicle exception to governmental immunity, MCL</w:t>
      </w:r>
      <w:r>
        <w:t xml:space="preserve"> </w:t>
      </w:r>
      <w:r w:rsidRPr="00F53EB6">
        <w:t>691.1405, we reverse and remand for further proceedings</w:t>
      </w:r>
      <w:r>
        <w:t>.”</w:t>
      </w:r>
    </w:p>
    <w:p w14:paraId="0F6BDC55" w14:textId="77777777" w:rsidR="0087684E" w:rsidRDefault="0087684E" w:rsidP="0087684E">
      <w:pPr>
        <w:pStyle w:val="NoSpacing"/>
      </w:pPr>
      <w:r>
        <w:t xml:space="preserve"> </w:t>
      </w:r>
      <w:hyperlink r:id="rId2019" w:history="1">
        <w:r w:rsidRPr="00061A2D">
          <w:rPr>
            <w:rStyle w:val="Hyperlink"/>
          </w:rPr>
          <w:t>https://cases.justia.com/michigan/court-of-appeals-unpublished/2026-371690.pdf?ts=1779282004</w:t>
        </w:r>
      </w:hyperlink>
      <w:r>
        <w:t xml:space="preserve"> </w:t>
      </w:r>
    </w:p>
    <w:p w14:paraId="37F05A2F" w14:textId="77777777" w:rsidR="0087684E" w:rsidRDefault="0087684E" w:rsidP="0087684E">
      <w:pPr>
        <w:pStyle w:val="NoSpacing"/>
      </w:pPr>
    </w:p>
    <w:p w14:paraId="1AC0847C" w14:textId="77777777" w:rsidR="0087684E" w:rsidRDefault="0087684E" w:rsidP="0087684E">
      <w:pPr>
        <w:pStyle w:val="NoSpacing"/>
      </w:pPr>
      <w:r>
        <w:t>THE COURT HELD:</w:t>
      </w:r>
    </w:p>
    <w:p w14:paraId="66A7407E" w14:textId="77777777" w:rsidR="0087684E" w:rsidRDefault="0087684E" w:rsidP="0087684E">
      <w:pPr>
        <w:pStyle w:val="NoSpacing"/>
      </w:pPr>
    </w:p>
    <w:p w14:paraId="39620B7F" w14:textId="77777777" w:rsidR="0087684E" w:rsidRPr="00161BDB" w:rsidRDefault="0087684E" w:rsidP="0087684E">
      <w:pPr>
        <w:pStyle w:val="NoSpacing"/>
        <w:ind w:firstLine="720"/>
      </w:pPr>
      <w:r>
        <w:t>“</w:t>
      </w:r>
      <w:r w:rsidRPr="00161BDB">
        <w:t>In his complaint, Winters alleged that the City’s EMTs strapped him onto a gurney for</w:t>
      </w:r>
    </w:p>
    <w:p w14:paraId="015FEC4B" w14:textId="77777777" w:rsidR="0087684E" w:rsidRDefault="0087684E" w:rsidP="0087684E">
      <w:pPr>
        <w:pStyle w:val="NoSpacing"/>
        <w:ind w:left="720"/>
      </w:pPr>
      <w:r w:rsidRPr="00161BDB">
        <w:t xml:space="preserve">transport and negligently </w:t>
      </w:r>
      <w:r>
        <w:t>‘</w:t>
      </w:r>
      <w:r w:rsidRPr="00161BDB">
        <w:t>failed to keep the gurney upright</w:t>
      </w:r>
      <w:r>
        <w:t>’</w:t>
      </w:r>
      <w:r w:rsidRPr="00161BDB">
        <w:t xml:space="preserve"> which caused him to fall to the ground</w:t>
      </w:r>
      <w:r>
        <w:t xml:space="preserve"> </w:t>
      </w:r>
      <w:r w:rsidRPr="00161BDB">
        <w:t>and sustain injury while the EMTs unloaded him from the ambulance. Winters also alleged that</w:t>
      </w:r>
      <w:r>
        <w:t xml:space="preserve"> </w:t>
      </w:r>
      <w:r w:rsidRPr="00161BDB">
        <w:t xml:space="preserve">the </w:t>
      </w:r>
      <w:proofErr w:type="gramStart"/>
      <w:r w:rsidRPr="00161BDB">
        <w:t>City</w:t>
      </w:r>
      <w:proofErr w:type="gramEnd"/>
      <w:r w:rsidRPr="00161BDB">
        <w:t xml:space="preserve"> had a duty to ensure that its employees safely unload patients from an ambulance and that</w:t>
      </w:r>
      <w:r>
        <w:t xml:space="preserve"> </w:t>
      </w:r>
      <w:r w:rsidRPr="00161BDB">
        <w:t xml:space="preserve">the </w:t>
      </w:r>
      <w:proofErr w:type="gramStart"/>
      <w:r w:rsidRPr="00161BDB">
        <w:t>City</w:t>
      </w:r>
      <w:proofErr w:type="gramEnd"/>
      <w:r w:rsidRPr="00161BDB">
        <w:t xml:space="preserve"> was liable for its own negligence, and that of the EMTs, because the </w:t>
      </w:r>
      <w:proofErr w:type="gramStart"/>
      <w:r w:rsidRPr="00161BDB">
        <w:t>City</w:t>
      </w:r>
      <w:proofErr w:type="gramEnd"/>
      <w:r w:rsidRPr="00161BDB">
        <w:t xml:space="preserve"> owned the</w:t>
      </w:r>
      <w:r>
        <w:t xml:space="preserve"> </w:t>
      </w:r>
      <w:r w:rsidRPr="00161BDB">
        <w:t>ambulance. Winters cited the owner’s liability statute, MCL 257.401. Winters’s allegations were</w:t>
      </w:r>
      <w:r>
        <w:t xml:space="preserve"> </w:t>
      </w:r>
      <w:r w:rsidRPr="00161BDB">
        <w:t>sufficient to plead in avoidance of governmental immunity because they stated a claim that fit</w:t>
      </w:r>
      <w:r>
        <w:t xml:space="preserve"> </w:t>
      </w:r>
      <w:r w:rsidRPr="00161BDB">
        <w:t>within the motor-vehicle exception to governmental immunity. See Mount Clemens Recreational</w:t>
      </w:r>
      <w:r>
        <w:t xml:space="preserve"> </w:t>
      </w:r>
      <w:r w:rsidRPr="00161BDB">
        <w:t>Bowl, 344 Mich App at 245. The motor-vehicle exception requires that the governmental agency</w:t>
      </w:r>
      <w:r>
        <w:t xml:space="preserve"> </w:t>
      </w:r>
      <w:r w:rsidRPr="00161BDB">
        <w:t>owned the motor vehicle involved in the incident and that the plaintiff’s injuries resulted from the</w:t>
      </w:r>
      <w:r>
        <w:t xml:space="preserve"> </w:t>
      </w:r>
      <w:r w:rsidRPr="00161BDB">
        <w:t xml:space="preserve">negligent operation of the vehicle by the governmental agency’s employees. Further, as in </w:t>
      </w:r>
      <w:r w:rsidRPr="00AF59D3">
        <w:rPr>
          <w:i/>
          <w:iCs/>
        </w:rPr>
        <w:t>Martin,</w:t>
      </w:r>
      <w:r>
        <w:t xml:space="preserve"> </w:t>
      </w:r>
      <w:r w:rsidRPr="00161BDB">
        <w:t>the loading and unloading of patients is an action within the operation of an ambulance. Indeed,</w:t>
      </w:r>
      <w:r>
        <w:t xml:space="preserve"> </w:t>
      </w:r>
      <w:proofErr w:type="gramStart"/>
      <w:r w:rsidRPr="00161BDB">
        <w:t>similar to</w:t>
      </w:r>
      <w:proofErr w:type="gramEnd"/>
      <w:r w:rsidRPr="00161BDB">
        <w:t xml:space="preserve"> the garbage truck in Strozier, it is impossible for an ambulance to perform its intended</w:t>
      </w:r>
      <w:r>
        <w:t xml:space="preserve"> </w:t>
      </w:r>
      <w:proofErr w:type="gramStart"/>
      <w:r w:rsidRPr="00161BDB">
        <w:t>function</w:t>
      </w:r>
      <w:proofErr w:type="gramEnd"/>
      <w:r w:rsidRPr="00161BDB">
        <w:t xml:space="preserve"> absent the loading and unloading of patients. Accordingly, because Winters’s complaint</w:t>
      </w:r>
      <w:r>
        <w:t xml:space="preserve"> </w:t>
      </w:r>
      <w:r w:rsidRPr="00161BDB">
        <w:t>stated a claim within the motor-vehicle exception to governmental immunity, the trial court erred</w:t>
      </w:r>
      <w:r>
        <w:t xml:space="preserve"> </w:t>
      </w:r>
      <w:r w:rsidRPr="00161BDB">
        <w:t>by granting the City’s motion for summary disposition.</w:t>
      </w:r>
      <w:r>
        <w:t>:</w:t>
      </w:r>
    </w:p>
    <w:p w14:paraId="57F8B4F6" w14:textId="77777777" w:rsidR="0087684E" w:rsidRDefault="0087684E" w:rsidP="0087684E">
      <w:pPr>
        <w:pStyle w:val="NoSpacing"/>
        <w:ind w:left="720"/>
      </w:pPr>
    </w:p>
    <w:p w14:paraId="7B4338A7" w14:textId="77777777" w:rsidR="0087684E" w:rsidRPr="005F70EF" w:rsidRDefault="0087684E" w:rsidP="0087684E">
      <w:pPr>
        <w:pStyle w:val="NoSpacing"/>
        <w:rPr>
          <w:b/>
          <w:bCs/>
        </w:rPr>
      </w:pPr>
      <w:r>
        <w:rPr>
          <w:b/>
        </w:rPr>
        <w:lastRenderedPageBreak/>
        <w:t xml:space="preserve">Legal lesson learned: </w:t>
      </w:r>
      <w:r w:rsidRPr="005F70EF">
        <w:rPr>
          <w:b/>
        </w:rPr>
        <w:t>Novel decision – no immunity for an injury arising out of accident involving a motor vehicle (ambulance).</w:t>
      </w:r>
    </w:p>
    <w:p w14:paraId="5CE14A90" w14:textId="77777777" w:rsidR="0087684E" w:rsidRDefault="0087684E" w:rsidP="0087684E">
      <w:pPr>
        <w:pStyle w:val="NoSpacing"/>
        <w:rPr>
          <w:b/>
          <w:bCs/>
        </w:rPr>
      </w:pPr>
    </w:p>
    <w:p w14:paraId="49F665BB" w14:textId="77777777" w:rsidR="0087684E" w:rsidRDefault="0087684E" w:rsidP="0087684E">
      <w:pPr>
        <w:ind w:firstLine="720"/>
      </w:pPr>
      <w:r>
        <w:t>Note: See Michigan government agency motor vehicle liability statute.</w:t>
      </w:r>
    </w:p>
    <w:p w14:paraId="0CA99499" w14:textId="77777777" w:rsidR="0087684E" w:rsidRDefault="0087684E" w:rsidP="0087684E">
      <w:pPr>
        <w:pStyle w:val="NoSpacing"/>
        <w:ind w:left="720"/>
      </w:pPr>
      <w:r>
        <w:t>“</w:t>
      </w:r>
      <w:r w:rsidRPr="00E747BB">
        <w:t>Governmental agencies shall be liable for bodily injury and property damage resulting from the negligent operation by any officer, agent, or employee of the governmental agency, of a motor vehicle of which the governmental agency is owner, as defined in Act No. 300 of the Public Acts of 1949, as amended, being sections 257.1 to 257.923 of the Compiled Laws of 1948.</w:t>
      </w:r>
      <w:r>
        <w:t xml:space="preserve">” </w:t>
      </w:r>
      <w:hyperlink r:id="rId2020" w:history="1">
        <w:r w:rsidRPr="00966D1B">
          <w:rPr>
            <w:rStyle w:val="Hyperlink"/>
          </w:rPr>
          <w:t>https://www.legislature.mi.gov/Laws/MCL?objectName=MCL-691-1405</w:t>
        </w:r>
      </w:hyperlink>
    </w:p>
    <w:p w14:paraId="60B66701" w14:textId="77777777" w:rsidR="0087684E" w:rsidRDefault="0087684E" w:rsidP="0087684E">
      <w:pPr>
        <w:pStyle w:val="NoSpacing"/>
      </w:pPr>
    </w:p>
    <w:p w14:paraId="509A7EC2" w14:textId="77777777" w:rsidR="0087684E" w:rsidRDefault="0087684E" w:rsidP="0087684E">
      <w:pPr>
        <w:pStyle w:val="NoSpacing"/>
      </w:pPr>
    </w:p>
    <w:p w14:paraId="51FDB9CF" w14:textId="77777777" w:rsidR="0087684E" w:rsidRDefault="0087684E" w:rsidP="0087684E">
      <w:pPr>
        <w:rPr>
          <w:bCs/>
        </w:rPr>
      </w:pPr>
    </w:p>
    <w:p w14:paraId="0DCE122B" w14:textId="77777777" w:rsidR="0087684E" w:rsidRPr="00B46857" w:rsidRDefault="0087684E" w:rsidP="0087684E">
      <w:pPr>
        <w:rPr>
          <w:bCs/>
        </w:rPr>
      </w:pPr>
      <w:r w:rsidRPr="00B46857">
        <w:t>Chap. 13: EMS, incl. Community Paramedicine, Corona Virus</w:t>
      </w:r>
    </w:p>
    <w:p w14:paraId="359BB88A" w14:textId="77777777" w:rsidR="0087684E" w:rsidRPr="00505DF5" w:rsidRDefault="0087684E" w:rsidP="0087684E">
      <w:pPr>
        <w:rPr>
          <w:rFonts w:ascii="Arial Black" w:hAnsi="Arial Black"/>
          <w:b/>
          <w:sz w:val="28"/>
          <w:szCs w:val="28"/>
        </w:rPr>
      </w:pPr>
      <w:r>
        <w:rPr>
          <w:rFonts w:ascii="Arial Black" w:hAnsi="Arial Black"/>
          <w:b/>
          <w:sz w:val="28"/>
          <w:szCs w:val="28"/>
        </w:rPr>
        <w:t>WA: COVID – FF TURNED DOWN 3 FD JOBS - NO CASE</w:t>
      </w:r>
    </w:p>
    <w:p w14:paraId="32035376" w14:textId="77777777" w:rsidR="0087684E" w:rsidRDefault="0087684E" w:rsidP="0087684E">
      <w:pPr>
        <w:rPr>
          <w:b/>
        </w:rPr>
      </w:pPr>
      <w:r>
        <w:t xml:space="preserve">On May 17, 2026, in </w:t>
      </w:r>
      <w:r w:rsidRPr="00EA2931">
        <w:rPr>
          <w:u w:val="single"/>
        </w:rPr>
        <w:t>Justin Jobes v. City of Bellevue</w:t>
      </w:r>
      <w:r>
        <w:t xml:space="preserve">, </w:t>
      </w:r>
      <w:r w:rsidRPr="00F823BE">
        <w:t>the United States Court of Appeals, Ninth Circuit</w:t>
      </w:r>
      <w:r>
        <w:t xml:space="preserve"> (San Francisco) held (3 to 0; unpublished decision) that the trial court properly granted city summary judgment.  </w:t>
      </w:r>
      <w:r w:rsidRPr="00BB6C9C">
        <w:t xml:space="preserve">The </w:t>
      </w:r>
      <w:proofErr w:type="gramStart"/>
      <w:r w:rsidRPr="00BB6C9C">
        <w:t>City</w:t>
      </w:r>
      <w:proofErr w:type="gramEnd"/>
      <w:r w:rsidRPr="00BB6C9C">
        <w:t xml:space="preserve"> offered Jobes several reasonable accommodations. First, the </w:t>
      </w:r>
      <w:proofErr w:type="gramStart"/>
      <w:r w:rsidRPr="00BB6C9C">
        <w:t>City</w:t>
      </w:r>
      <w:proofErr w:type="gramEnd"/>
      <w:r>
        <w:t xml:space="preserve"> </w:t>
      </w:r>
      <w:r w:rsidRPr="00BB6C9C">
        <w:t>offered Jobes a utilities position, which Jobes rejected. Jobes requested paid medical</w:t>
      </w:r>
      <w:r>
        <w:t xml:space="preserve"> </w:t>
      </w:r>
      <w:r w:rsidRPr="00BB6C9C">
        <w:t xml:space="preserve">leave paid medical leave for stress related to the vaccine mandate, and the </w:t>
      </w:r>
      <w:proofErr w:type="gramStart"/>
      <w:r w:rsidRPr="00BB6C9C">
        <w:t>City</w:t>
      </w:r>
      <w:proofErr w:type="gramEnd"/>
      <w:r>
        <w:t xml:space="preserve"> </w:t>
      </w:r>
      <w:r w:rsidRPr="00BB6C9C">
        <w:t>granted it to him for five months.</w:t>
      </w:r>
      <w:r>
        <w:t xml:space="preserve"> </w:t>
      </w:r>
      <w:r w:rsidRPr="00222ECA">
        <w:t>When Jobes’ medical leave was set to end, the</w:t>
      </w:r>
      <w:r>
        <w:t xml:space="preserve"> </w:t>
      </w:r>
      <w:proofErr w:type="gramStart"/>
      <w:r w:rsidRPr="00222ECA">
        <w:t>City</w:t>
      </w:r>
      <w:proofErr w:type="gramEnd"/>
      <w:r w:rsidRPr="00222ECA">
        <w:t xml:space="preserve"> offered him three other potential positions</w:t>
      </w:r>
      <w:r>
        <w:t xml:space="preserve">, which he turned down. THE COURT WROTE:  </w:t>
      </w:r>
      <w:r w:rsidRPr="0062080F">
        <w:t>Jobes alleges religious</w:t>
      </w:r>
      <w:r>
        <w:t xml:space="preserve"> </w:t>
      </w:r>
      <w:r w:rsidRPr="0062080F">
        <w:t>discrimination and failure to accommodate under Title VII, 42 U.S.C. § 2000e et</w:t>
      </w:r>
      <w:r>
        <w:t xml:space="preserve">. </w:t>
      </w:r>
      <w:r w:rsidRPr="00981D4F">
        <w:t>seq, and the Washington Law Against Discrimination.1 Because the district court</w:t>
      </w:r>
      <w:r>
        <w:t xml:space="preserve"> </w:t>
      </w:r>
      <w:r w:rsidRPr="00981D4F">
        <w:t xml:space="preserve">correctly concluded that the </w:t>
      </w:r>
      <w:proofErr w:type="gramStart"/>
      <w:r w:rsidRPr="00981D4F">
        <w:t>City</w:t>
      </w:r>
      <w:proofErr w:type="gramEnd"/>
      <w:r w:rsidRPr="00981D4F">
        <w:t xml:space="preserve"> tried to reasonably accommodate Jobes, we affirm.</w:t>
      </w:r>
      <w:r>
        <w:t xml:space="preserve">” </w:t>
      </w:r>
      <w:hyperlink r:id="rId2021" w:history="1">
        <w:r w:rsidRPr="00C37C99">
          <w:rPr>
            <w:rStyle w:val="Hyperlink"/>
          </w:rPr>
          <w:t>https://cdn.ca9.uscourts.gov/datastore/memoranda/2026/05/27/24-6656.pdf</w:t>
        </w:r>
      </w:hyperlink>
      <w:r w:rsidRPr="00C37C99">
        <w:t xml:space="preserve"> </w:t>
      </w:r>
    </w:p>
    <w:p w14:paraId="44A59ABA" w14:textId="77777777" w:rsidR="0087684E" w:rsidRPr="00F823BE" w:rsidRDefault="0087684E" w:rsidP="0087684E">
      <w:pPr>
        <w:rPr>
          <w:bCs/>
        </w:rPr>
      </w:pPr>
      <w:r>
        <w:t>THE COURT HELD:</w:t>
      </w:r>
    </w:p>
    <w:p w14:paraId="202DA8A4" w14:textId="77777777" w:rsidR="0087684E" w:rsidRDefault="0087684E" w:rsidP="0087684E">
      <w:pPr>
        <w:pStyle w:val="NoSpacing"/>
        <w:ind w:left="720"/>
      </w:pPr>
      <w:r>
        <w:t>“</w:t>
      </w:r>
      <w:r w:rsidRPr="00C4416D">
        <w:t xml:space="preserve">The </w:t>
      </w:r>
      <w:proofErr w:type="gramStart"/>
      <w:r w:rsidRPr="00C4416D">
        <w:t>City</w:t>
      </w:r>
      <w:proofErr w:type="gramEnd"/>
      <w:r w:rsidRPr="00C4416D">
        <w:t xml:space="preserve"> offered Jobes several reasonable accommodations. First, the </w:t>
      </w:r>
      <w:proofErr w:type="gramStart"/>
      <w:r w:rsidRPr="00C4416D">
        <w:t>City</w:t>
      </w:r>
      <w:proofErr w:type="gramEnd"/>
      <w:r>
        <w:t xml:space="preserve"> </w:t>
      </w:r>
      <w:r w:rsidRPr="00C4416D">
        <w:t>offered Jobes a utilities position, which Jobes rejected. Jobes requested paid medical</w:t>
      </w:r>
      <w:r>
        <w:t xml:space="preserve"> </w:t>
      </w:r>
      <w:r w:rsidRPr="00C4416D">
        <w:t xml:space="preserve">leave paid medical leave for stress related to the vaccine mandate, and the </w:t>
      </w:r>
      <w:proofErr w:type="gramStart"/>
      <w:r w:rsidRPr="00C4416D">
        <w:t>City</w:t>
      </w:r>
      <w:proofErr w:type="gramEnd"/>
      <w:r>
        <w:t xml:space="preserve"> </w:t>
      </w:r>
      <w:r w:rsidRPr="00C4416D">
        <w:t>granted it to him for five months. When Jobes’ medical leave was set to end, the</w:t>
      </w:r>
      <w:r>
        <w:t xml:space="preserve"> </w:t>
      </w:r>
      <w:proofErr w:type="gramStart"/>
      <w:r w:rsidRPr="00C4416D">
        <w:t>City</w:t>
      </w:r>
      <w:proofErr w:type="gramEnd"/>
      <w:r w:rsidRPr="00C4416D">
        <w:t xml:space="preserve"> offered him three other potential positions—as an Emergency Management</w:t>
      </w:r>
      <w:r>
        <w:t xml:space="preserve"> </w:t>
      </w:r>
      <w:proofErr w:type="gramStart"/>
      <w:r w:rsidRPr="00C4416D">
        <w:t>Coordinator, as</w:t>
      </w:r>
      <w:proofErr w:type="gramEnd"/>
      <w:r w:rsidRPr="00C4416D">
        <w:t xml:space="preserve"> an LTE Grants Coordinator, and as a Fire Prevention Program</w:t>
      </w:r>
      <w:r>
        <w:t xml:space="preserve"> </w:t>
      </w:r>
      <w:r w:rsidRPr="00C4416D">
        <w:t>Analyst. None of these jobs required contact with patients, and the Fire Prevention</w:t>
      </w:r>
      <w:r>
        <w:t xml:space="preserve"> </w:t>
      </w:r>
      <w:r w:rsidRPr="00C4416D">
        <w:t>position allowed Jobes to remain within the City’s Fire Department. Jobes refused</w:t>
      </w:r>
      <w:r>
        <w:t xml:space="preserve"> </w:t>
      </w:r>
      <w:r w:rsidRPr="00C4416D">
        <w:t xml:space="preserve">these accommodations. The </w:t>
      </w:r>
      <w:proofErr w:type="gramStart"/>
      <w:r w:rsidRPr="00C4416D">
        <w:t>City</w:t>
      </w:r>
      <w:proofErr w:type="gramEnd"/>
      <w:r w:rsidRPr="00C4416D">
        <w:t xml:space="preserve"> contacted Jobes subsequently and offered him a</w:t>
      </w:r>
      <w:r>
        <w:t xml:space="preserve"> </w:t>
      </w:r>
      <w:r w:rsidRPr="00C4416D">
        <w:t>Fire Prevention Officer position within the Fire Department. Jobes declined this</w:t>
      </w:r>
      <w:r>
        <w:t xml:space="preserve"> accommodation as well. </w:t>
      </w:r>
    </w:p>
    <w:p w14:paraId="12AB519B" w14:textId="77777777" w:rsidR="0087684E" w:rsidRDefault="0087684E" w:rsidP="0087684E">
      <w:pPr>
        <w:pStyle w:val="NoSpacing"/>
        <w:ind w:left="720"/>
      </w:pPr>
    </w:p>
    <w:p w14:paraId="5166595C" w14:textId="77777777" w:rsidR="0087684E" w:rsidRDefault="0087684E" w:rsidP="0087684E">
      <w:pPr>
        <w:pStyle w:val="NoSpacing"/>
        <w:ind w:left="720"/>
      </w:pPr>
      <w:r>
        <w:t xml:space="preserve">And after Jobes voluntarily resigned and the vaccine mandate was lifted, the </w:t>
      </w:r>
      <w:proofErr w:type="gramStart"/>
      <w:r>
        <w:t>City</w:t>
      </w:r>
      <w:proofErr w:type="gramEnd"/>
      <w:r>
        <w:t xml:space="preserve"> later contacted Jobes through one of its Fire Chiefs and advised him there was a pathway for him to return to his old job as a Firefighter/EMT. Jobes declined this final offer as well.</w:t>
      </w:r>
    </w:p>
    <w:p w14:paraId="5E7F0526" w14:textId="77777777" w:rsidR="0087684E" w:rsidRDefault="0087684E" w:rsidP="0087684E">
      <w:pPr>
        <w:pStyle w:val="NoSpacing"/>
        <w:ind w:left="720"/>
      </w:pPr>
    </w:p>
    <w:p w14:paraId="49F55DC4" w14:textId="77777777" w:rsidR="0087684E" w:rsidRDefault="0087684E" w:rsidP="0087684E">
      <w:pPr>
        <w:pStyle w:val="NoSpacing"/>
        <w:ind w:left="720"/>
      </w:pPr>
      <w:r>
        <w:t>***</w:t>
      </w:r>
    </w:p>
    <w:p w14:paraId="651B15AC" w14:textId="77777777" w:rsidR="0087684E" w:rsidRDefault="0087684E" w:rsidP="0087684E">
      <w:pPr>
        <w:pStyle w:val="NoSpacing"/>
        <w:ind w:left="720"/>
      </w:pPr>
      <w:r>
        <w:t xml:space="preserve">The record shows that the </w:t>
      </w:r>
      <w:proofErr w:type="gramStart"/>
      <w:r>
        <w:t>City</w:t>
      </w:r>
      <w:proofErr w:type="gramEnd"/>
      <w:r>
        <w:t xml:space="preserve"> repeatedly offered reasonable </w:t>
      </w:r>
      <w:proofErr w:type="gramStart"/>
      <w:r>
        <w:t>accommodations</w:t>
      </w:r>
      <w:proofErr w:type="gramEnd"/>
      <w:r>
        <w:t xml:space="preserve"> to Jobes which he repeatedly declined. As such, the </w:t>
      </w:r>
      <w:proofErr w:type="gramStart"/>
      <w:r>
        <w:t>City</w:t>
      </w:r>
      <w:proofErr w:type="gramEnd"/>
      <w:r>
        <w:t xml:space="preserve"> carried its burden on the affirmative defense, and the district court did not err in granting summary judgment…. Moreover …  the </w:t>
      </w:r>
      <w:proofErr w:type="gramStart"/>
      <w:r>
        <w:t>City</w:t>
      </w:r>
      <w:proofErr w:type="gramEnd"/>
      <w:r>
        <w:t xml:space="preserve"> also would have prevailed on its affirmative defense of undue hardship as the district court </w:t>
      </w:r>
      <w:proofErr w:type="gramStart"/>
      <w:r>
        <w:t>concluded.”</w:t>
      </w:r>
      <w:proofErr w:type="gramEnd"/>
    </w:p>
    <w:p w14:paraId="5B1B4FC9" w14:textId="77777777" w:rsidR="0087684E" w:rsidRDefault="0087684E" w:rsidP="0087684E">
      <w:pPr>
        <w:pStyle w:val="NoSpacing"/>
        <w:ind w:left="720"/>
      </w:pPr>
    </w:p>
    <w:p w14:paraId="41D0A5DD" w14:textId="77777777" w:rsidR="0087684E" w:rsidRPr="00F26DBD" w:rsidRDefault="0087684E" w:rsidP="0087684E">
      <w:pPr>
        <w:rPr>
          <w:b/>
          <w:bCs/>
        </w:rPr>
      </w:pPr>
      <w:r>
        <w:rPr>
          <w:b/>
        </w:rPr>
        <w:t xml:space="preserve">Legal lesson learned: The City was very generous in offering numerous positions that avoided patient contact. </w:t>
      </w:r>
    </w:p>
    <w:p w14:paraId="7C77F2F0" w14:textId="77777777" w:rsidR="0087684E" w:rsidRDefault="0087684E" w:rsidP="0087684E">
      <w:pPr>
        <w:pStyle w:val="NoSpacing"/>
        <w:ind w:left="720"/>
      </w:pPr>
    </w:p>
    <w:p w14:paraId="20AFD15B" w14:textId="77777777" w:rsidR="0087684E" w:rsidRDefault="0087684E" w:rsidP="0087684E">
      <w:pPr>
        <w:rPr>
          <w:bCs/>
        </w:rPr>
      </w:pPr>
    </w:p>
    <w:p w14:paraId="13FF66C1" w14:textId="77777777" w:rsidR="0087684E" w:rsidRDefault="0087684E" w:rsidP="0087684E">
      <w:pPr>
        <w:rPr>
          <w:bCs/>
        </w:rPr>
      </w:pPr>
    </w:p>
    <w:p w14:paraId="039A210E" w14:textId="2BD35D4D" w:rsidR="0087684E" w:rsidRPr="00DA5EE8" w:rsidRDefault="00DA5EE8" w:rsidP="0087684E">
      <w:pPr>
        <w:pStyle w:val="NoSpacing"/>
        <w:rPr>
          <w:rFonts w:ascii="Arial Black" w:hAnsi="Arial Black"/>
          <w:sz w:val="24"/>
          <w:szCs w:val="24"/>
        </w:rPr>
      </w:pPr>
      <w:r w:rsidRPr="00DA5EE8">
        <w:rPr>
          <w:rFonts w:ascii="Arial Black" w:hAnsi="Arial Black"/>
          <w:sz w:val="24"/>
          <w:szCs w:val="24"/>
        </w:rPr>
        <w:t>13-258</w:t>
      </w:r>
    </w:p>
    <w:p w14:paraId="69D293AC" w14:textId="77777777" w:rsidR="00DA5EE8" w:rsidRDefault="00DA5EE8" w:rsidP="0087684E">
      <w:pPr>
        <w:pStyle w:val="NoSpacing"/>
      </w:pPr>
    </w:p>
    <w:p w14:paraId="4AF2D493" w14:textId="77777777" w:rsidR="0087684E" w:rsidRPr="003D0299" w:rsidRDefault="0087684E" w:rsidP="0087684E">
      <w:pPr>
        <w:pStyle w:val="NoSpacing"/>
        <w:rPr>
          <w:rFonts w:ascii="Arial Black" w:hAnsi="Arial Black"/>
          <w:sz w:val="28"/>
          <w:szCs w:val="28"/>
        </w:rPr>
      </w:pPr>
      <w:r>
        <w:rPr>
          <w:rFonts w:ascii="Arial Black" w:hAnsi="Arial Black"/>
          <w:sz w:val="28"/>
          <w:szCs w:val="28"/>
        </w:rPr>
        <w:t>ID: IMMUNITY LAW / OVERDOSE – DRUNK CAR NOT IMMUNE</w:t>
      </w:r>
    </w:p>
    <w:p w14:paraId="60D1F7F9" w14:textId="77777777" w:rsidR="0087684E" w:rsidRDefault="0087684E" w:rsidP="0087684E">
      <w:pPr>
        <w:pStyle w:val="NoSpacing"/>
      </w:pPr>
    </w:p>
    <w:p w14:paraId="7222ECDC" w14:textId="77777777" w:rsidR="0087684E" w:rsidRDefault="0087684E" w:rsidP="0087684E">
      <w:pPr>
        <w:rPr>
          <w:b/>
        </w:rPr>
      </w:pPr>
      <w:r>
        <w:t xml:space="preserve">On May 7, 2026, in </w:t>
      </w:r>
      <w:r w:rsidRPr="00150AE4">
        <w:rPr>
          <w:u w:val="single"/>
        </w:rPr>
        <w:t>State of Idaho v. Gannon Manuelito</w:t>
      </w:r>
      <w:r>
        <w:t xml:space="preserve">, the </w:t>
      </w:r>
      <w:r w:rsidRPr="00150AE4">
        <w:t>Supreme Court of Idaho</w:t>
      </w:r>
      <w:r>
        <w:t xml:space="preserve"> held (5 to 0) that trial court improperly dismissed drug charges against the defendant; he was drunk and not suffering a </w:t>
      </w:r>
      <w:r w:rsidRPr="008B0F56">
        <w:t>drug-related medical emergency</w:t>
      </w:r>
      <w:r>
        <w:t xml:space="preserve">.    </w:t>
      </w:r>
      <w:r w:rsidRPr="000B2D28">
        <w:t>On May 7, 2023, a Flying-J truck stop manager was informed by a customer that a person,</w:t>
      </w:r>
      <w:r>
        <w:t xml:space="preserve"> </w:t>
      </w:r>
      <w:r w:rsidRPr="000B2D28">
        <w:t>later identified as Manuelito, “may be . . . in distress in [the] parking lot.”</w:t>
      </w:r>
      <w:r>
        <w:t xml:space="preserve"> He thought the driver had overdosed and called 911, but police woke him </w:t>
      </w:r>
      <w:proofErr w:type="gramStart"/>
      <w:r>
        <w:t>up</w:t>
      </w:r>
      <w:proofErr w:type="gramEnd"/>
      <w:r>
        <w:t xml:space="preserve"> found he was intoxicated and EMS provided no treatment. THE COURT WROTE: “The only evidence offered to support that characterization is the manager’s observation that Manuelito might be overdosing or might have passed out from alcohol consumption or other drugs. Subsection (2) does not turn on a third party’s subjective belief—it turns on the defendant’s actual condition…. Further, no evidence in the record indicates that Manuelito required or even received medical intervention for a drug-related emergency. Officer Jaramillo testified that Manuelito was able to speak and repeatedly told him he was okay. Manuelito was not placed in an ambulance, was not transported to a hospital, and there is no evidence that any medical treatment was administered. The patient care record that was admitted into evidence confirms that Manuelito did not receive assistance beyond waking him up.” </w:t>
      </w:r>
      <w:hyperlink r:id="rId2022" w:history="1">
        <w:r w:rsidRPr="00A32209">
          <w:rPr>
            <w:rStyle w:val="Hyperlink"/>
          </w:rPr>
          <w:t>https://cases.justia.com/idaho/supreme-court-criminal/2026-51595.pdf?ts=1778169780</w:t>
        </w:r>
      </w:hyperlink>
      <w:r>
        <w:rPr>
          <w:b/>
        </w:rPr>
        <w:t xml:space="preserve"> </w:t>
      </w:r>
    </w:p>
    <w:p w14:paraId="40E5B938" w14:textId="77777777" w:rsidR="0087684E" w:rsidRDefault="0087684E" w:rsidP="0087684E">
      <w:pPr>
        <w:pStyle w:val="NoSpacing"/>
      </w:pPr>
      <w:r>
        <w:t xml:space="preserve">THE COURT HELD:  </w:t>
      </w:r>
    </w:p>
    <w:p w14:paraId="47FF7894" w14:textId="77777777" w:rsidR="0087684E" w:rsidRDefault="0087684E" w:rsidP="0087684E">
      <w:pPr>
        <w:pStyle w:val="NoSpacing"/>
      </w:pPr>
    </w:p>
    <w:p w14:paraId="2EC19A70" w14:textId="77777777" w:rsidR="0087684E" w:rsidRDefault="0087684E" w:rsidP="0087684E">
      <w:pPr>
        <w:pStyle w:val="NoSpacing"/>
        <w:ind w:left="720"/>
        <w:rPr>
          <w:bCs/>
        </w:rPr>
      </w:pPr>
      <w:r>
        <w:t>“</w:t>
      </w:r>
      <w:r w:rsidRPr="008E758B">
        <w:t>Officer Jaramillo conducted a DUI investigation. Manuelito provided two breath samples,</w:t>
      </w:r>
      <w:r>
        <w:t xml:space="preserve"> </w:t>
      </w:r>
      <w:r w:rsidRPr="008E758B">
        <w:t>which showed that his blood alcohol content (BAC) was nearly twice the legal limit. Officer</w:t>
      </w:r>
      <w:r>
        <w:t xml:space="preserve"> </w:t>
      </w:r>
      <w:r w:rsidRPr="008E758B">
        <w:t>Jaramillo also searched Manuelito’s vehicle and discovered drug paraphernalia, including a</w:t>
      </w:r>
      <w:r>
        <w:t xml:space="preserve"> </w:t>
      </w:r>
      <w:r w:rsidRPr="008E758B">
        <w:t>grinder with marijuana residue, a smoking bowl with burnt marijuana residue, and an empty THC</w:t>
      </w:r>
      <w:r>
        <w:t xml:space="preserve"> </w:t>
      </w:r>
      <w:r w:rsidRPr="008E758B">
        <w:t>cartridge. In the back seat, the officer found a cooler containing a bag of marijuana weighing</w:t>
      </w:r>
      <w:r>
        <w:t xml:space="preserve"> </w:t>
      </w:r>
      <w:r w:rsidRPr="008E758B">
        <w:t>approximately 12.29 ounces. Inside the cooler was a backpack with more marijuana and a bag that</w:t>
      </w:r>
      <w:r>
        <w:t xml:space="preserve"> </w:t>
      </w:r>
      <w:r w:rsidRPr="008E758B">
        <w:t>contained the hallucinogen dimethyltryptamine (DMT). The officer also discovered a THC vape</w:t>
      </w:r>
      <w:r>
        <w:t xml:space="preserve"> </w:t>
      </w:r>
      <w:r w:rsidRPr="008E758B">
        <w:t>pen in Manuelito’s pocket.</w:t>
      </w:r>
    </w:p>
    <w:p w14:paraId="544E77E7" w14:textId="77777777" w:rsidR="0087684E" w:rsidRDefault="0087684E" w:rsidP="0087684E">
      <w:pPr>
        <w:pStyle w:val="NoSpacing"/>
        <w:ind w:left="720"/>
        <w:rPr>
          <w:bCs/>
        </w:rPr>
      </w:pPr>
    </w:p>
    <w:p w14:paraId="615AC21E" w14:textId="77777777" w:rsidR="0087684E" w:rsidRDefault="0087684E" w:rsidP="0087684E">
      <w:pPr>
        <w:pStyle w:val="NoSpacing"/>
        <w:ind w:left="720"/>
        <w:rPr>
          <w:bCs/>
        </w:rPr>
      </w:pPr>
      <w:r>
        <w:t>***</w:t>
      </w:r>
    </w:p>
    <w:p w14:paraId="71D5D3A2" w14:textId="77777777" w:rsidR="0087684E" w:rsidRPr="00C227B7" w:rsidRDefault="0087684E" w:rsidP="0087684E">
      <w:pPr>
        <w:pStyle w:val="NoSpacing"/>
        <w:ind w:firstLine="720"/>
      </w:pPr>
      <w:r w:rsidRPr="00C227B7">
        <w:t>Following Manuelito’s motion to dismiss, the district court determined that Idaho’s</w:t>
      </w:r>
    </w:p>
    <w:p w14:paraId="3324ECC8" w14:textId="77777777" w:rsidR="0087684E" w:rsidRDefault="0087684E" w:rsidP="0087684E">
      <w:pPr>
        <w:pStyle w:val="NoSpacing"/>
        <w:ind w:left="720"/>
      </w:pPr>
      <w:r w:rsidRPr="00C227B7">
        <w:t>overdose immunity statute, Idaho Code section 37-2739C, applied to Manuelito, thereby granting</w:t>
      </w:r>
      <w:r>
        <w:t xml:space="preserve"> </w:t>
      </w:r>
      <w:r w:rsidRPr="00C227B7">
        <w:t xml:space="preserve">him immunity from prosecution for </w:t>
      </w:r>
      <w:proofErr w:type="gramStart"/>
      <w:r w:rsidRPr="00C227B7">
        <w:t>the possession</w:t>
      </w:r>
      <w:proofErr w:type="gramEnd"/>
      <w:r w:rsidRPr="00C227B7">
        <w:t xml:space="preserve"> offenses. We reverse the district court’s order</w:t>
      </w:r>
      <w:r>
        <w:t xml:space="preserve"> </w:t>
      </w:r>
      <w:r w:rsidRPr="00C227B7">
        <w:t>because the record contains no showing that Manuelito either experienced a drug-related medical</w:t>
      </w:r>
      <w:r>
        <w:t xml:space="preserve"> </w:t>
      </w:r>
      <w:r w:rsidRPr="00C227B7">
        <w:t xml:space="preserve">emergency or </w:t>
      </w:r>
      <w:proofErr w:type="gramStart"/>
      <w:r w:rsidRPr="00C227B7">
        <w:t>was in need of</w:t>
      </w:r>
      <w:proofErr w:type="gramEnd"/>
      <w:r w:rsidRPr="00C227B7">
        <w:t xml:space="preserve"> medical assistance.</w:t>
      </w:r>
    </w:p>
    <w:p w14:paraId="2A9C831C" w14:textId="77777777" w:rsidR="0087684E" w:rsidRDefault="0087684E" w:rsidP="0087684E">
      <w:pPr>
        <w:pStyle w:val="NoSpacing"/>
        <w:ind w:left="720"/>
      </w:pPr>
    </w:p>
    <w:p w14:paraId="515E8377" w14:textId="77777777" w:rsidR="0087684E" w:rsidRDefault="0087684E" w:rsidP="0087684E">
      <w:pPr>
        <w:pStyle w:val="NoSpacing"/>
        <w:ind w:left="720"/>
      </w:pPr>
      <w:r>
        <w:t>***</w:t>
      </w:r>
    </w:p>
    <w:p w14:paraId="31E65236" w14:textId="77777777" w:rsidR="0087684E" w:rsidRDefault="0087684E" w:rsidP="0087684E">
      <w:pPr>
        <w:pStyle w:val="NoSpacing"/>
      </w:pPr>
    </w:p>
    <w:p w14:paraId="6BEC9D42" w14:textId="77777777" w:rsidR="0087684E" w:rsidRDefault="0087684E" w:rsidP="0087684E">
      <w:pPr>
        <w:pStyle w:val="NoSpacing"/>
        <w:ind w:firstLine="720"/>
      </w:pPr>
      <w:r>
        <w:t>Based on legislative intent and policy considerations, the court adopted a broad</w:t>
      </w:r>
    </w:p>
    <w:p w14:paraId="6F59DD4B" w14:textId="77777777" w:rsidR="0087684E" w:rsidRDefault="0087684E" w:rsidP="0087684E">
      <w:pPr>
        <w:pStyle w:val="NoSpacing"/>
        <w:ind w:left="720"/>
      </w:pPr>
      <w:r>
        <w:t>interpretation of the statute, concluding that a ‘drug-related medical emergency’ encompasses situations where a person in good faith believes another is experiencing a drug- or alcohol-related medical issue requiring assistance. The court reasoned that this interpretation aligns with the legislature’s intent to encourage a request for emergency assistance without fear of prosecution. For those reasons, the court granted Manuelito’s motion to dismiss the three possession charges relating to controlled substances (marijuana and DMT) and paraphernalia.</w:t>
      </w:r>
    </w:p>
    <w:p w14:paraId="658B6ADF" w14:textId="77777777" w:rsidR="0087684E" w:rsidRDefault="0087684E" w:rsidP="0087684E">
      <w:pPr>
        <w:pStyle w:val="NoSpacing"/>
        <w:ind w:left="720"/>
      </w:pPr>
    </w:p>
    <w:p w14:paraId="308FEB1E" w14:textId="77777777" w:rsidR="0087684E" w:rsidRDefault="0087684E" w:rsidP="0087684E">
      <w:pPr>
        <w:pStyle w:val="NoSpacing"/>
        <w:ind w:left="720"/>
      </w:pPr>
      <w:r>
        <w:t>***</w:t>
      </w:r>
    </w:p>
    <w:p w14:paraId="1C3BAC47" w14:textId="77777777" w:rsidR="0087684E" w:rsidRDefault="0087684E" w:rsidP="0087684E">
      <w:pPr>
        <w:pStyle w:val="NoSpacing"/>
        <w:ind w:left="720"/>
      </w:pPr>
      <w:r>
        <w:lastRenderedPageBreak/>
        <w:t xml:space="preserve">Manuelito did not establish he was suffering a drug-related medical emergency at the time police obtained </w:t>
      </w:r>
      <w:proofErr w:type="gramStart"/>
      <w:r>
        <w:t>the evidence</w:t>
      </w:r>
      <w:proofErr w:type="gramEnd"/>
      <w:r>
        <w:t xml:space="preserve"> supporting his drug-related charges for immunity to apply under Idaho Code section 37-2739C(2). Therefore, the statute does not provide </w:t>
      </w:r>
      <w:proofErr w:type="gramStart"/>
      <w:r>
        <w:t>him</w:t>
      </w:r>
      <w:proofErr w:type="gramEnd"/>
      <w:r>
        <w:t xml:space="preserve"> immunity from prosecution on counts one through three. The district court erred in concluding otherwise.”</w:t>
      </w:r>
    </w:p>
    <w:p w14:paraId="384CD31F" w14:textId="77777777" w:rsidR="0087684E" w:rsidRDefault="0087684E" w:rsidP="0087684E">
      <w:pPr>
        <w:pStyle w:val="NoSpacing"/>
      </w:pPr>
    </w:p>
    <w:p w14:paraId="764C0FFE" w14:textId="77777777" w:rsidR="0087684E" w:rsidRPr="006841DB" w:rsidRDefault="0087684E" w:rsidP="0087684E">
      <w:pPr>
        <w:rPr>
          <w:b/>
        </w:rPr>
      </w:pPr>
      <w:r>
        <w:rPr>
          <w:b/>
        </w:rPr>
        <w:t xml:space="preserve">Legal lesson learned: Drug immunity statutes are designed to encourage third parties to call 911; Idaho’s statute only applies if the person is suffering a drug-related emergency.  </w:t>
      </w:r>
    </w:p>
    <w:p w14:paraId="5F0E8B44" w14:textId="77777777" w:rsidR="0087684E" w:rsidRDefault="0087684E" w:rsidP="0087684E">
      <w:pPr>
        <w:ind w:left="720"/>
      </w:pPr>
      <w:r>
        <w:t xml:space="preserve">Note: Idaho immunity law: </w:t>
      </w:r>
      <w:hyperlink r:id="rId2023" w:history="1">
        <w:r w:rsidRPr="00C109A8">
          <w:rPr>
            <w:rStyle w:val="Hyperlink"/>
          </w:rPr>
          <w:t>https://law.justia.com/codes/idaho/title-37/chapter-27/article-iv/section-37-2739c/</w:t>
        </w:r>
      </w:hyperlink>
      <w:r>
        <w:t xml:space="preserve"> </w:t>
      </w:r>
    </w:p>
    <w:p w14:paraId="4C01A39E" w14:textId="77777777" w:rsidR="0087684E" w:rsidRDefault="0087684E" w:rsidP="0087684E">
      <w:pPr>
        <w:ind w:left="720"/>
      </w:pPr>
      <w:r w:rsidRPr="008B0F56">
        <w:t>37-2739C. MEDICAL ASSISTANCE — DRUG-RELATED OVERDOSE — PROSECUTION FOR POSSESSION.</w:t>
      </w:r>
    </w:p>
    <w:p w14:paraId="75EEBE29" w14:textId="77777777" w:rsidR="0087684E" w:rsidRPr="008B0F56" w:rsidRDefault="0087684E" w:rsidP="0087684E">
      <w:pPr>
        <w:ind w:left="720"/>
      </w:pPr>
      <w:r w:rsidRPr="008B0F56">
        <w:t>(1) A person acting in good faith who seeks medical assistance for any person experiencing a drug-related medical emergency shall not be charged or prosecuted for possession of a controlled substance pursuant to section 37-2732(c) or (e), Idaho Code, for using or being under the influence of a controlled substance pursuant to section 37-2732C(a), Idaho Code, or for using or possessing with intent to use drug paraphernalia pursuant to section 37-2734A(1), Idaho Code, if the evidence for the charge of possession of or using or being under the influence of a controlled substance or using or possessing drug paraphernalia was obtained as a result of the person seeking medical assistance.</w:t>
      </w:r>
    </w:p>
    <w:p w14:paraId="63021BF6" w14:textId="77777777" w:rsidR="0087684E" w:rsidRPr="008B0F56" w:rsidRDefault="0087684E" w:rsidP="0087684E">
      <w:pPr>
        <w:ind w:left="720"/>
      </w:pPr>
      <w:r w:rsidRPr="008B0F56">
        <w:t>(2) A person who experiences a drug-related medical emergency and is in need of medical assistance shall not be charged or prosecuted for possession of a controlled substance pursuant to section 37-2732(c) or (e), Idaho Code, for using or being under the influence of a controlled substance pursuant to section 37-2732C(a), Idaho Code, or for using or possessing with intent to use drug paraphernalia pursuant to section 37-2734A(1), Idaho Code, if the evidence for the charge of possession of or using or being under the influence of a controlled substance or using or possessing drug paraphernalia was obtained as a result of the medical emergency and the need for medical assistance.</w:t>
      </w:r>
    </w:p>
    <w:p w14:paraId="62F789F3" w14:textId="77777777" w:rsidR="0087684E" w:rsidRPr="008B0F56" w:rsidRDefault="0087684E" w:rsidP="0087684E">
      <w:pPr>
        <w:ind w:left="720"/>
      </w:pPr>
      <w:r w:rsidRPr="008B0F56">
        <w:t>(3) The protections in this section from prosecution shall not be grounds for suppression of evidence in other criminal charges.</w:t>
      </w:r>
    </w:p>
    <w:p w14:paraId="4D742A75" w14:textId="77777777" w:rsidR="0087684E" w:rsidRDefault="0087684E" w:rsidP="0087684E">
      <w:pPr>
        <w:pStyle w:val="NoSpacing"/>
        <w:rPr>
          <w:bCs/>
        </w:rPr>
      </w:pPr>
    </w:p>
    <w:p w14:paraId="168EB01A" w14:textId="77777777" w:rsidR="0087684E" w:rsidRDefault="0087684E" w:rsidP="0087684E">
      <w:pPr>
        <w:pStyle w:val="NoSpacing"/>
      </w:pPr>
    </w:p>
    <w:p w14:paraId="7B068B9D" w14:textId="77777777" w:rsidR="0087684E" w:rsidRDefault="0087684E" w:rsidP="0087684E">
      <w:pPr>
        <w:pStyle w:val="NoSpacing"/>
      </w:pPr>
    </w:p>
    <w:p w14:paraId="452712C0" w14:textId="77777777" w:rsidR="0087684E" w:rsidRDefault="0087684E" w:rsidP="0087684E">
      <w:pPr>
        <w:rPr>
          <w:bCs/>
        </w:rPr>
      </w:pPr>
    </w:p>
    <w:p w14:paraId="07072E63" w14:textId="77777777" w:rsidR="0087684E" w:rsidRDefault="0087684E" w:rsidP="0087684E">
      <w:pPr>
        <w:rPr>
          <w:bCs/>
        </w:rPr>
      </w:pPr>
    </w:p>
    <w:p w14:paraId="2E63B2AA" w14:textId="77777777" w:rsidR="0036420D" w:rsidRDefault="0036420D" w:rsidP="0091755D">
      <w:pPr>
        <w:rPr>
          <w:rFonts w:ascii="Arial Black" w:hAnsi="Arial Black"/>
          <w:b/>
          <w:bCs/>
          <w:sz w:val="24"/>
          <w:szCs w:val="24"/>
        </w:rPr>
      </w:pPr>
    </w:p>
    <w:p w14:paraId="799D5015" w14:textId="77777777" w:rsidR="0036420D" w:rsidRDefault="0036420D" w:rsidP="0091755D">
      <w:pPr>
        <w:rPr>
          <w:rFonts w:ascii="Arial Black" w:hAnsi="Arial Black"/>
          <w:b/>
          <w:bCs/>
          <w:sz w:val="24"/>
          <w:szCs w:val="24"/>
        </w:rPr>
      </w:pPr>
    </w:p>
    <w:p w14:paraId="26893937" w14:textId="77777777" w:rsidR="0036420D" w:rsidRDefault="0036420D" w:rsidP="0091755D">
      <w:pPr>
        <w:rPr>
          <w:rFonts w:ascii="Arial Black" w:hAnsi="Arial Black"/>
          <w:b/>
          <w:bCs/>
          <w:sz w:val="24"/>
          <w:szCs w:val="24"/>
        </w:rPr>
      </w:pPr>
    </w:p>
    <w:p w14:paraId="660DFBA3" w14:textId="33BE0CF3" w:rsidR="0091755D" w:rsidRDefault="0091755D" w:rsidP="0091755D">
      <w:pPr>
        <w:rPr>
          <w:rFonts w:ascii="Arial Black" w:hAnsi="Arial Black"/>
          <w:b/>
          <w:bCs/>
          <w:sz w:val="24"/>
          <w:szCs w:val="24"/>
        </w:rPr>
      </w:pPr>
      <w:r>
        <w:rPr>
          <w:rFonts w:ascii="Arial Black" w:hAnsi="Arial Black"/>
          <w:b/>
          <w:bCs/>
          <w:sz w:val="24"/>
          <w:szCs w:val="24"/>
        </w:rPr>
        <w:t>13-25</w:t>
      </w:r>
      <w:r w:rsidR="00DA5EE8">
        <w:rPr>
          <w:rFonts w:ascii="Arial Black" w:hAnsi="Arial Black"/>
          <w:b/>
          <w:bCs/>
          <w:sz w:val="24"/>
          <w:szCs w:val="24"/>
        </w:rPr>
        <w:t>7</w:t>
      </w:r>
    </w:p>
    <w:p w14:paraId="65B951EF" w14:textId="77777777" w:rsidR="007F7423" w:rsidRDefault="007F7423" w:rsidP="007F7423">
      <w:pPr>
        <w:pStyle w:val="NoSpacing"/>
        <w:rPr>
          <w:rFonts w:ascii="Arial Black" w:hAnsi="Arial Black"/>
          <w:bCs/>
          <w:sz w:val="28"/>
          <w:szCs w:val="28"/>
        </w:rPr>
      </w:pPr>
      <w:r>
        <w:rPr>
          <w:rFonts w:ascii="Arial Black" w:hAnsi="Arial Black"/>
          <w:sz w:val="28"/>
          <w:szCs w:val="28"/>
        </w:rPr>
        <w:t>NY: EMT DISCIPLINE - STATE DPT HEALTH - NO JURY TRIAL</w:t>
      </w:r>
    </w:p>
    <w:p w14:paraId="118919D7" w14:textId="77777777" w:rsidR="007F7423" w:rsidRDefault="007F7423" w:rsidP="007F7423">
      <w:pPr>
        <w:pStyle w:val="NoSpacing"/>
        <w:rPr>
          <w:bCs/>
        </w:rPr>
      </w:pPr>
    </w:p>
    <w:p w14:paraId="53B102AE" w14:textId="77777777" w:rsidR="007F7423" w:rsidRPr="00BE66C3" w:rsidRDefault="007F7423" w:rsidP="007F7423">
      <w:pPr>
        <w:pStyle w:val="NoSpacing"/>
        <w:rPr>
          <w:b/>
        </w:rPr>
      </w:pPr>
      <w:r>
        <w:t xml:space="preserve">On April 23, 2026, in </w:t>
      </w:r>
      <w:r w:rsidRPr="00D17474">
        <w:rPr>
          <w:u w:val="single"/>
        </w:rPr>
        <w:t>Justin Ball v. New York State Department of Health</w:t>
      </w:r>
      <w:r w:rsidRPr="00D17474">
        <w:t xml:space="preserve">, </w:t>
      </w:r>
      <w:r>
        <w:t xml:space="preserve">the </w:t>
      </w:r>
      <w:r w:rsidRPr="00D17474">
        <w:t>Supreme Court of New York, Third Department</w:t>
      </w:r>
      <w:r>
        <w:t xml:space="preserve"> held (5 to 0) that a Supreme Court Judge for </w:t>
      </w:r>
      <w:r w:rsidRPr="00537671">
        <w:t>Schoharie County</w:t>
      </w:r>
      <w:r>
        <w:t xml:space="preserve"> improperly held the EMT was entitled </w:t>
      </w:r>
      <w:r w:rsidRPr="00537671">
        <w:t>to a civil jury trial in a pending administrative license revocation proceeding.</w:t>
      </w:r>
      <w:r>
        <w:t xml:space="preserve">  He is under investigation for a complaint that </w:t>
      </w:r>
      <w:r>
        <w:lastRenderedPageBreak/>
        <w:t xml:space="preserve">on a </w:t>
      </w:r>
      <w:r w:rsidRPr="00BB5F73">
        <w:t xml:space="preserve">call </w:t>
      </w:r>
      <w:r>
        <w:t xml:space="preserve">to help a </w:t>
      </w:r>
      <w:r w:rsidRPr="00BB5F73">
        <w:t>63-year-old man who was allegedly unable to get up after having fallen down</w:t>
      </w:r>
      <w:r>
        <w:t>, the EMT “</w:t>
      </w:r>
      <w:r w:rsidRPr="00BB5F73">
        <w:t>believed that the patient was faking his condition and, rather than providing any meaningful assistance to the patient, plaintiff ridiculed him and offered minimal, rough aid.</w:t>
      </w:r>
      <w:r>
        <w:t xml:space="preserve">” </w:t>
      </w:r>
      <w:hyperlink r:id="rId2024" w:history="1">
        <w:r w:rsidRPr="003A1948">
          <w:rPr>
            <w:rStyle w:val="Hyperlink"/>
          </w:rPr>
          <w:t>https://www.nycourts.gov/reporter/current/3dseries/2026/2026_02494.shtml</w:t>
        </w:r>
      </w:hyperlink>
      <w:r>
        <w:t xml:space="preserve"> </w:t>
      </w:r>
    </w:p>
    <w:p w14:paraId="48C0A22E" w14:textId="77777777" w:rsidR="007F7423" w:rsidRDefault="007F7423" w:rsidP="007F7423">
      <w:pPr>
        <w:pStyle w:val="NoSpacing"/>
      </w:pPr>
      <w:r>
        <w:t xml:space="preserve"> </w:t>
      </w:r>
    </w:p>
    <w:p w14:paraId="211A97CE" w14:textId="77777777" w:rsidR="007F7423" w:rsidRDefault="007F7423" w:rsidP="007F7423">
      <w:pPr>
        <w:pStyle w:val="NoSpacing"/>
      </w:pPr>
    </w:p>
    <w:p w14:paraId="143E6C31" w14:textId="77777777" w:rsidR="007F7423" w:rsidRDefault="007F7423" w:rsidP="007F7423">
      <w:pPr>
        <w:pStyle w:val="NoSpacing"/>
      </w:pPr>
      <w:r>
        <w:t>THE COURT HELD:</w:t>
      </w:r>
    </w:p>
    <w:p w14:paraId="39C949AD" w14:textId="77777777" w:rsidR="007F7423" w:rsidRDefault="007F7423" w:rsidP="007F7423">
      <w:pPr>
        <w:pStyle w:val="NoSpacing"/>
      </w:pPr>
    </w:p>
    <w:p w14:paraId="7A1C3C53" w14:textId="77777777" w:rsidR="007F7423" w:rsidRDefault="007F7423" w:rsidP="007F7423">
      <w:pPr>
        <w:pStyle w:val="NoSpacing"/>
        <w:ind w:left="720"/>
      </w:pPr>
      <w:r>
        <w:t>“</w:t>
      </w:r>
      <w:r w:rsidRPr="00152C4C">
        <w:t>Defendant argues that Supreme Court improperly disregarded binding precedent from the Supreme Court of the United States that the Seventh Amendment does not apply to the states. We agree. The Seventh Amendment to the US Constitution preserves the right of trial by jury in suits at common law where the value of the controversy exceeds $20 (</w:t>
      </w:r>
      <w:r w:rsidRPr="00152C4C">
        <w:rPr>
          <w:i/>
          <w:iCs/>
        </w:rPr>
        <w:t>see</w:t>
      </w:r>
      <w:r w:rsidRPr="00152C4C">
        <w:t xml:space="preserve"> US Const, 7th Amend). Longstanding precedent from the Supreme Court of the United States holds that the Seventh Amendment "applies only to proceedings in courts of the United States, and does not in any manner whatever govern or regulate trials by jury in state courts, or the standards which must be applied concerning the same"(</w:t>
      </w:r>
      <w:r w:rsidRPr="00152C4C">
        <w:rPr>
          <w:i/>
          <w:iCs/>
        </w:rPr>
        <w:t xml:space="preserve">Minneapolis &amp; St. Louis R. Co. v </w:t>
      </w:r>
      <w:proofErr w:type="spellStart"/>
      <w:r w:rsidRPr="00152C4C">
        <w:rPr>
          <w:i/>
          <w:iCs/>
        </w:rPr>
        <w:t>Bombolis</w:t>
      </w:r>
      <w:proofErr w:type="spellEnd"/>
      <w:r w:rsidRPr="00152C4C">
        <w:t xml:space="preserve">, 241 US 211, 217 [1916]; </w:t>
      </w:r>
      <w:r w:rsidRPr="00152C4C">
        <w:rPr>
          <w:i/>
          <w:iCs/>
        </w:rPr>
        <w:t>see</w:t>
      </w:r>
      <w:r w:rsidRPr="00152C4C">
        <w:t xml:space="preserve"> </w:t>
      </w:r>
      <w:r w:rsidRPr="00152C4C">
        <w:rPr>
          <w:i/>
          <w:iCs/>
        </w:rPr>
        <w:t xml:space="preserve">Walker v </w:t>
      </w:r>
      <w:proofErr w:type="spellStart"/>
      <w:r w:rsidRPr="00152C4C">
        <w:rPr>
          <w:i/>
          <w:iCs/>
        </w:rPr>
        <w:t>Sauvinet</w:t>
      </w:r>
      <w:proofErr w:type="spellEnd"/>
      <w:r w:rsidRPr="00152C4C">
        <w:t>, 92 US 90, 92 [1875]).</w:t>
      </w:r>
    </w:p>
    <w:p w14:paraId="28432B1F" w14:textId="77777777" w:rsidR="007F7423" w:rsidRDefault="007F7423" w:rsidP="007F7423">
      <w:pPr>
        <w:pStyle w:val="NoSpacing"/>
      </w:pPr>
    </w:p>
    <w:p w14:paraId="33DA1E8D" w14:textId="77777777" w:rsidR="007F7423" w:rsidRDefault="007F7423" w:rsidP="007F7423">
      <w:pPr>
        <w:pStyle w:val="NoSpacing"/>
        <w:ind w:firstLine="720"/>
      </w:pPr>
      <w:r>
        <w:t>***</w:t>
      </w:r>
    </w:p>
    <w:p w14:paraId="51D2DC57" w14:textId="77777777" w:rsidR="007F7423" w:rsidRDefault="007F7423" w:rsidP="007F7423">
      <w:pPr>
        <w:pStyle w:val="NoSpacing"/>
        <w:ind w:left="720"/>
      </w:pPr>
      <w:r w:rsidRPr="005D4F0C">
        <w:t xml:space="preserve">Indeed, the right to a trial by jury provided in the NY Constitution does not extend to those proceedings concerning professional licensure </w:t>
      </w:r>
      <w:r>
        <w:t>‘</w:t>
      </w:r>
      <w:r w:rsidRPr="005D4F0C">
        <w:t>where the object is not the punishment of the offender, but to purge of an unworthy member a profession in which purity of conduct and character are all important</w:t>
      </w:r>
      <w:r>
        <w:t>’</w:t>
      </w:r>
      <w:r w:rsidRPr="005D4F0C">
        <w:t xml:space="preserve"> (</w:t>
      </w:r>
      <w:r w:rsidRPr="005D4F0C">
        <w:rPr>
          <w:i/>
          <w:iCs/>
        </w:rPr>
        <w:t>Matter of Smith</w:t>
      </w:r>
      <w:r w:rsidRPr="005D4F0C">
        <w:t>, 10 Wend at 454). The fact that plaintiff's alleged conduct may also form the basis for common-law claims sounding in tort does not alter the fact that this proceeding arises through defendant's statutory obligation to regulate EMT licenses. Accordingly, because plaintiff has failed to establish that a regulatory revocation proceeding for an EMT license is analogous to common-law cases traditionally entitled to trial by jury before 1777, plaintiff is not entitled to a jury trial under the NY Constitution (</w:t>
      </w:r>
      <w:r w:rsidRPr="005D4F0C">
        <w:rPr>
          <w:i/>
          <w:iCs/>
        </w:rPr>
        <w:t>see Matter of DES Mkt. Share Litig.</w:t>
      </w:r>
      <w:r w:rsidRPr="005D4F0C">
        <w:t xml:space="preserve">, 79 NY2d at 304-305; </w:t>
      </w:r>
      <w:r w:rsidRPr="005D4F0C">
        <w:rPr>
          <w:i/>
          <w:iCs/>
        </w:rPr>
        <w:t>Matter of State of New York v Myron P.</w:t>
      </w:r>
      <w:r w:rsidRPr="005D4F0C">
        <w:t>, 86 AD3d at 29-30).</w:t>
      </w:r>
      <w:r>
        <w:t>”</w:t>
      </w:r>
    </w:p>
    <w:p w14:paraId="215BDCA2" w14:textId="77777777" w:rsidR="007F7423" w:rsidRDefault="007F7423" w:rsidP="007F7423">
      <w:pPr>
        <w:pStyle w:val="NoSpacing"/>
      </w:pPr>
    </w:p>
    <w:p w14:paraId="5C2C0353" w14:textId="77777777" w:rsidR="007F7423" w:rsidRPr="00CE4216" w:rsidRDefault="007F7423" w:rsidP="007F7423">
      <w:pPr>
        <w:pStyle w:val="NoSpacing"/>
        <w:rPr>
          <w:b/>
          <w:bCs/>
        </w:rPr>
      </w:pPr>
      <w:r>
        <w:rPr>
          <w:b/>
        </w:rPr>
        <w:t xml:space="preserve">Legal </w:t>
      </w:r>
      <w:proofErr w:type="gramStart"/>
      <w:r>
        <w:rPr>
          <w:b/>
        </w:rPr>
        <w:t>lesson</w:t>
      </w:r>
      <w:proofErr w:type="gramEnd"/>
      <w:r>
        <w:rPr>
          <w:b/>
        </w:rPr>
        <w:t xml:space="preserve"> learned: EMS are entitled to a hearing before the state board, but not a civil jury trial in state court.  If license is revoked, can then appeal to court.</w:t>
      </w:r>
    </w:p>
    <w:p w14:paraId="1F886424" w14:textId="77777777" w:rsidR="007F7423" w:rsidRDefault="007F7423" w:rsidP="007F7423">
      <w:pPr>
        <w:pStyle w:val="NoSpacing"/>
      </w:pPr>
    </w:p>
    <w:p w14:paraId="4E767C83" w14:textId="77777777" w:rsidR="007F7423" w:rsidRDefault="007F7423" w:rsidP="007F7423">
      <w:pPr>
        <w:pStyle w:val="NoSpacing"/>
        <w:ind w:left="720"/>
      </w:pPr>
      <w:r>
        <w:t xml:space="preserve">Note:  For example, </w:t>
      </w:r>
      <w:r w:rsidRPr="007B3D37">
        <w:t>see H</w:t>
      </w:r>
      <w:r>
        <w:t xml:space="preserve">olycross v. State Board of EMS (2005): </w:t>
      </w:r>
      <w:r>
        <w:rPr>
          <w:b/>
        </w:rPr>
        <w:t xml:space="preserve"> </w:t>
      </w:r>
      <w:hyperlink r:id="rId2025" w:history="1">
        <w:r w:rsidRPr="003C3573">
          <w:rPr>
            <w:rStyle w:val="Hyperlink"/>
            <w:b/>
          </w:rPr>
          <w:t>https://www.studicata.com/summaries/court-of-appeals-of-ohio/holycross-v-state-board-of-emergency-med-2005-oor7s1/</w:t>
        </w:r>
      </w:hyperlink>
      <w:r>
        <w:rPr>
          <w:b/>
        </w:rPr>
        <w:t xml:space="preserve">  </w:t>
      </w:r>
      <w:r>
        <w:t>“</w:t>
      </w:r>
      <w:r w:rsidRPr="0013381F">
        <w:t xml:space="preserve">We agree with Holycross that the board's decision to revoke his license is not supported by the probative, credible evidence in the record. </w:t>
      </w:r>
      <w:r w:rsidRPr="0013381F">
        <w:t> </w:t>
      </w:r>
      <w:r w:rsidRPr="0013381F">
        <w:t xml:space="preserve"> We therefore reverse the judgment of the trial court and remand this cause, without reaching his constitutional claim, which we find to be moot.</w:t>
      </w:r>
      <w:r>
        <w:t xml:space="preserve">” </w:t>
      </w:r>
    </w:p>
    <w:p w14:paraId="329399B6" w14:textId="77777777" w:rsidR="007F7423" w:rsidRDefault="007F7423" w:rsidP="007F7423">
      <w:pPr>
        <w:pStyle w:val="NoSpacing"/>
        <w:ind w:left="720"/>
      </w:pPr>
    </w:p>
    <w:p w14:paraId="02428C54" w14:textId="77777777" w:rsidR="0091755D" w:rsidRDefault="0091755D" w:rsidP="00756ACB">
      <w:pPr>
        <w:rPr>
          <w:rFonts w:ascii="Arial Black" w:hAnsi="Arial Black"/>
          <w:b/>
          <w:bCs/>
          <w:sz w:val="24"/>
          <w:szCs w:val="24"/>
        </w:rPr>
      </w:pPr>
    </w:p>
    <w:p w14:paraId="1080CB31" w14:textId="77777777" w:rsidR="0091755D" w:rsidRDefault="0091755D" w:rsidP="00756ACB">
      <w:pPr>
        <w:rPr>
          <w:rFonts w:ascii="Arial Black" w:hAnsi="Arial Black"/>
          <w:b/>
          <w:bCs/>
          <w:sz w:val="24"/>
          <w:szCs w:val="24"/>
        </w:rPr>
      </w:pPr>
    </w:p>
    <w:p w14:paraId="658809D2" w14:textId="4EB04F87" w:rsidR="00756ACB" w:rsidRDefault="00756ACB" w:rsidP="00756ACB">
      <w:pPr>
        <w:rPr>
          <w:rFonts w:ascii="Arial Black" w:hAnsi="Arial Black"/>
          <w:b/>
          <w:bCs/>
          <w:sz w:val="24"/>
          <w:szCs w:val="24"/>
        </w:rPr>
      </w:pPr>
      <w:r>
        <w:rPr>
          <w:rFonts w:ascii="Arial Black" w:hAnsi="Arial Black"/>
          <w:b/>
          <w:bCs/>
          <w:sz w:val="24"/>
          <w:szCs w:val="24"/>
        </w:rPr>
        <w:t>13-25</w:t>
      </w:r>
      <w:r w:rsidR="00DA5EE8">
        <w:rPr>
          <w:rFonts w:ascii="Arial Black" w:hAnsi="Arial Black"/>
          <w:b/>
          <w:bCs/>
          <w:sz w:val="24"/>
          <w:szCs w:val="24"/>
        </w:rPr>
        <w:t>6</w:t>
      </w:r>
    </w:p>
    <w:p w14:paraId="75158E20" w14:textId="77777777" w:rsidR="00E14BE6" w:rsidRPr="00EC03B8" w:rsidRDefault="00E14BE6" w:rsidP="00E14BE6">
      <w:pPr>
        <w:pStyle w:val="NoSpacing"/>
        <w:rPr>
          <w:rFonts w:ascii="Arial Black" w:hAnsi="Arial Black"/>
          <w:sz w:val="28"/>
          <w:szCs w:val="28"/>
        </w:rPr>
      </w:pPr>
      <w:r>
        <w:rPr>
          <w:rFonts w:ascii="Arial Black" w:hAnsi="Arial Black"/>
          <w:sz w:val="28"/>
          <w:szCs w:val="28"/>
        </w:rPr>
        <w:t>PA: MOTORCYCLE PT TO NON-TRAUMA HOSP - IMMUNITY</w:t>
      </w:r>
    </w:p>
    <w:p w14:paraId="56FA4893" w14:textId="77777777" w:rsidR="00E14BE6" w:rsidRDefault="00E14BE6" w:rsidP="00E14BE6">
      <w:pPr>
        <w:pStyle w:val="NoSpacing"/>
      </w:pPr>
    </w:p>
    <w:p w14:paraId="5ABF1F6B" w14:textId="77777777" w:rsidR="00E14BE6" w:rsidRPr="008F6F62" w:rsidRDefault="00E14BE6" w:rsidP="00E14BE6">
      <w:pPr>
        <w:pStyle w:val="NoSpacing"/>
        <w:rPr>
          <w:bCs/>
        </w:rPr>
      </w:pPr>
      <w:r>
        <w:t xml:space="preserve">On April 23, 2026, in </w:t>
      </w:r>
      <w:r w:rsidRPr="006C06CA">
        <w:rPr>
          <w:u w:val="single"/>
        </w:rPr>
        <w:t>Kristin Claypoole and Melissa Knepp as Co-Administrators of the Estate of Glenn M. Noel v. Altoona-Logan Township Mobile Medical Emergency Department Authority d/b/a AMED</w:t>
      </w:r>
      <w:r>
        <w:t xml:space="preserve">, the </w:t>
      </w:r>
      <w:r w:rsidRPr="008F6F62">
        <w:t>Commonwealth Court of Pennsylvania</w:t>
      </w:r>
      <w:r>
        <w:t xml:space="preserve"> held (3 to 0) that trial court judge properly dismissed the lawsuit; the local EMS agency enjoys broad immunity under state law, unless proof of gross negligence or willful </w:t>
      </w:r>
      <w:proofErr w:type="spellStart"/>
      <w:r>
        <w:t>miscondict</w:t>
      </w:r>
      <w:proofErr w:type="spellEnd"/>
      <w:r>
        <w:t xml:space="preserve">. Accident was on October 25, transported at </w:t>
      </w:r>
      <w:r w:rsidRPr="00AF132A">
        <w:t>6:49 a.m.</w:t>
      </w:r>
      <w:r>
        <w:t xml:space="preserve"> to local hospital (7 minutes); not to Level II trauma hospital !9 minutes).   Approximately 3 1/2 hours later was transferred by ground transport (Air Care not available due to weather) to UPMC Altoona, where he died </w:t>
      </w:r>
      <w:r>
        <w:lastRenderedPageBreak/>
        <w:t xml:space="preserve">at 2:04 p.m. on October 26, </w:t>
      </w:r>
      <w:proofErr w:type="gramStart"/>
      <w:r>
        <w:t>2022</w:t>
      </w:r>
      <w:proofErr w:type="gramEnd"/>
      <w:r>
        <w:t xml:space="preserve"> from traumatic brain injury.  </w:t>
      </w:r>
      <w:hyperlink r:id="rId2026" w:history="1">
        <w:r w:rsidRPr="003C3573">
          <w:rPr>
            <w:rStyle w:val="Hyperlink"/>
          </w:rPr>
          <w:t>https://www.pacourts.us/assets/opinions/Commonwealth/out/196CD25_4-23-26.pdf?cb=1</w:t>
        </w:r>
      </w:hyperlink>
      <w:r>
        <w:t xml:space="preserve"> </w:t>
      </w:r>
    </w:p>
    <w:p w14:paraId="71253AEA" w14:textId="77777777" w:rsidR="00E14BE6" w:rsidRDefault="00E14BE6" w:rsidP="00E14BE6">
      <w:pPr>
        <w:pStyle w:val="NoSpacing"/>
      </w:pPr>
    </w:p>
    <w:p w14:paraId="3C520431" w14:textId="77777777" w:rsidR="00E14BE6" w:rsidRDefault="00E14BE6" w:rsidP="00E14BE6">
      <w:pPr>
        <w:pStyle w:val="NoSpacing"/>
      </w:pPr>
      <w:r>
        <w:t>THE COURT HELD:</w:t>
      </w:r>
    </w:p>
    <w:p w14:paraId="317795E8" w14:textId="77777777" w:rsidR="00E14BE6" w:rsidRDefault="00E14BE6" w:rsidP="00E14BE6">
      <w:pPr>
        <w:pStyle w:val="NoSpacing"/>
      </w:pPr>
    </w:p>
    <w:p w14:paraId="53BEB168" w14:textId="77777777" w:rsidR="00E14BE6" w:rsidRDefault="00E14BE6" w:rsidP="00E14BE6">
      <w:pPr>
        <w:pStyle w:val="NoSpacing"/>
        <w:ind w:left="720"/>
      </w:pPr>
      <w:r>
        <w:t>“</w:t>
      </w:r>
      <w:r w:rsidRPr="00F118CC">
        <w:t>The Complaint asserts claims for negligence/gross negligence (survival)</w:t>
      </w:r>
      <w:r>
        <w:t xml:space="preserve"> </w:t>
      </w:r>
      <w:r w:rsidRPr="00F118CC">
        <w:t>(Count I) and wrongful death (Count II) against AMED, chiefly alleging that AMED’s</w:t>
      </w:r>
      <w:r>
        <w:t xml:space="preserve"> </w:t>
      </w:r>
      <w:r w:rsidRPr="00F118CC">
        <w:t>failure to immediately transport Decedent to a Level I or II trauma center was</w:t>
      </w:r>
      <w:r>
        <w:t xml:space="preserve"> ‘</w:t>
      </w:r>
      <w:r w:rsidRPr="00F118CC">
        <w:t>negligent, grossly negligent, and reckless.</w:t>
      </w:r>
      <w:r>
        <w:t xml:space="preserve">’ </w:t>
      </w:r>
    </w:p>
    <w:p w14:paraId="55A8D199" w14:textId="77777777" w:rsidR="00E14BE6" w:rsidRDefault="00E14BE6" w:rsidP="00E14BE6">
      <w:pPr>
        <w:pStyle w:val="NoSpacing"/>
        <w:ind w:left="720"/>
      </w:pPr>
    </w:p>
    <w:p w14:paraId="487DCD39" w14:textId="77777777" w:rsidR="00E14BE6" w:rsidRDefault="00E14BE6" w:rsidP="00E14BE6">
      <w:pPr>
        <w:pStyle w:val="NoSpacing"/>
        <w:ind w:left="720"/>
      </w:pPr>
      <w:r>
        <w:t>***</w:t>
      </w:r>
    </w:p>
    <w:p w14:paraId="1D36DA1A" w14:textId="77777777" w:rsidR="00E14BE6" w:rsidRPr="00F118CC" w:rsidRDefault="00E14BE6" w:rsidP="00E14BE6">
      <w:pPr>
        <w:pStyle w:val="NoSpacing"/>
        <w:ind w:left="720"/>
      </w:pPr>
    </w:p>
    <w:p w14:paraId="5C59DB7B" w14:textId="77777777" w:rsidR="00E14BE6" w:rsidRDefault="00E14BE6" w:rsidP="00E14BE6">
      <w:pPr>
        <w:pStyle w:val="NoSpacing"/>
        <w:ind w:left="720"/>
      </w:pPr>
      <w:r w:rsidRPr="002D328B">
        <w:t>Because it also is undisputed</w:t>
      </w:r>
      <w:r>
        <w:t xml:space="preserve"> </w:t>
      </w:r>
      <w:r w:rsidRPr="002D328B">
        <w:t>that none of those exceptions apply here, we must determine whether, as the Estate</w:t>
      </w:r>
      <w:r>
        <w:t xml:space="preserve"> </w:t>
      </w:r>
      <w:r w:rsidRPr="002D328B">
        <w:t>argues, the General Assembly specifically intended to abrogate immunity for local</w:t>
      </w:r>
      <w:r>
        <w:t xml:space="preserve"> </w:t>
      </w:r>
      <w:r w:rsidRPr="002D328B">
        <w:t>agencies via Section 8151(2) of the EMSSA and permit claims for gross negligence or</w:t>
      </w:r>
      <w:r>
        <w:t xml:space="preserve"> </w:t>
      </w:r>
      <w:r w:rsidRPr="002D328B">
        <w:t>willful misconduct arising out of the provision of EMS care. See Doe v. Franklin</w:t>
      </w:r>
      <w:r>
        <w:t xml:space="preserve"> </w:t>
      </w:r>
      <w:r w:rsidRPr="002D328B">
        <w:t>County, 174 A.3d 593, 605 (Pa. 2017). We conclude that it did not.</w:t>
      </w:r>
      <w:r>
        <w:t>’</w:t>
      </w:r>
    </w:p>
    <w:p w14:paraId="7E45D4D2" w14:textId="77777777" w:rsidR="00E14BE6" w:rsidRDefault="00E14BE6" w:rsidP="00E14BE6">
      <w:pPr>
        <w:pStyle w:val="NoSpacing"/>
        <w:ind w:left="720"/>
      </w:pPr>
    </w:p>
    <w:p w14:paraId="58028602" w14:textId="77777777" w:rsidR="00E14BE6" w:rsidRDefault="00E14BE6" w:rsidP="00E14BE6">
      <w:pPr>
        <w:pStyle w:val="NoSpacing"/>
        <w:ind w:left="720"/>
      </w:pPr>
      <w:r>
        <w:t>***</w:t>
      </w:r>
    </w:p>
    <w:p w14:paraId="73DBCF2B" w14:textId="77777777" w:rsidR="00E14BE6" w:rsidRDefault="00E14BE6" w:rsidP="00E14BE6">
      <w:pPr>
        <w:pStyle w:val="NoSpacing"/>
      </w:pPr>
    </w:p>
    <w:p w14:paraId="52A799A9" w14:textId="77777777" w:rsidR="00E14BE6" w:rsidRDefault="00E14BE6" w:rsidP="00E14BE6">
      <w:pPr>
        <w:pStyle w:val="NoSpacing"/>
        <w:ind w:left="720"/>
      </w:pPr>
      <w:r>
        <w:t>The EMSSA [E</w:t>
      </w:r>
      <w:r w:rsidRPr="00E472D0">
        <w:t>mergency Medical Services System Act</w:t>
      </w:r>
      <w:r>
        <w:t xml:space="preserve">] enacted in 2009, is a comprehensive statute that regulates the provision of EMS in Pennsylvania… a single miscellaneous provision of the EMSSA, Section 8151(2), prohibits the liability of EMS agencies related to the good faith rendering of EMS care unless gross negligence or willful misconduct is established. 35 </w:t>
      </w:r>
      <w:proofErr w:type="spellStart"/>
      <w:r>
        <w:t>Pa.C.S</w:t>
      </w:r>
      <w:proofErr w:type="spellEnd"/>
      <w:r>
        <w:t>. § 8151(2).</w:t>
      </w:r>
    </w:p>
    <w:p w14:paraId="02BEB7BF" w14:textId="77777777" w:rsidR="00E14BE6" w:rsidRDefault="00E14BE6" w:rsidP="00E14BE6">
      <w:pPr>
        <w:pStyle w:val="NoSpacing"/>
        <w:ind w:left="720"/>
      </w:pPr>
    </w:p>
    <w:p w14:paraId="699BDB92" w14:textId="77777777" w:rsidR="00E14BE6" w:rsidRPr="000573EE" w:rsidRDefault="00E14BE6" w:rsidP="00E14BE6">
      <w:pPr>
        <w:pStyle w:val="NoSpacing"/>
        <w:ind w:left="1440"/>
      </w:pPr>
      <w:r w:rsidRPr="000573EE">
        <w:t>(2) No EMS agency, EMS agency medical director or EMS</w:t>
      </w:r>
      <w:r>
        <w:t xml:space="preserve"> </w:t>
      </w:r>
      <w:r w:rsidRPr="000573EE">
        <w:t>provider[4] who in good faith attempts to render or facilitate</w:t>
      </w:r>
      <w:r>
        <w:t xml:space="preserve"> </w:t>
      </w:r>
      <w:r w:rsidRPr="000573EE">
        <w:t>emergency medical care authorized by this chapter shall be</w:t>
      </w:r>
      <w:r>
        <w:t xml:space="preserve"> </w:t>
      </w:r>
      <w:r w:rsidRPr="000573EE">
        <w:t xml:space="preserve">liable for civil damages </w:t>
      </w:r>
      <w:proofErr w:type="gramStart"/>
      <w:r w:rsidRPr="000573EE">
        <w:t>as a result of</w:t>
      </w:r>
      <w:proofErr w:type="gramEnd"/>
      <w:r w:rsidRPr="000573EE">
        <w:t xml:space="preserve"> an act or omission,</w:t>
      </w:r>
      <w:r>
        <w:t xml:space="preserve"> </w:t>
      </w:r>
      <w:r w:rsidRPr="000573EE">
        <w:t>absent a showing of gross negligence or willful</w:t>
      </w:r>
      <w:r>
        <w:t xml:space="preserve"> </w:t>
      </w:r>
      <w:r w:rsidRPr="000573EE">
        <w:t>misconduct. This paragraph shall also apply to students</w:t>
      </w:r>
      <w:r>
        <w:t xml:space="preserve"> </w:t>
      </w:r>
      <w:r w:rsidRPr="000573EE">
        <w:t>enrolled in approved courses of instruction and supervised</w:t>
      </w:r>
      <w:r>
        <w:t xml:space="preserve"> </w:t>
      </w:r>
      <w:r w:rsidRPr="000573EE">
        <w:t>pursuant to rules and regulations.</w:t>
      </w:r>
      <w:r>
        <w:t>”</w:t>
      </w:r>
    </w:p>
    <w:p w14:paraId="1B43714C" w14:textId="77777777" w:rsidR="00E14BE6" w:rsidRPr="000573EE" w:rsidRDefault="00E14BE6" w:rsidP="00E14BE6">
      <w:pPr>
        <w:pStyle w:val="NoSpacing"/>
      </w:pPr>
    </w:p>
    <w:p w14:paraId="055E2164" w14:textId="77777777" w:rsidR="00E14BE6" w:rsidRPr="00F71EF9" w:rsidRDefault="00E14BE6" w:rsidP="00E14BE6">
      <w:pPr>
        <w:pStyle w:val="NoSpacing"/>
        <w:rPr>
          <w:b/>
        </w:rPr>
      </w:pPr>
      <w:r>
        <w:rPr>
          <w:b/>
        </w:rPr>
        <w:t xml:space="preserve">Legal lesson learned: EMS agencies have broad immunity; follow your protocol on when to call Air Care for head trauma, and when to transport to Level I or II trauma hospital. </w:t>
      </w:r>
    </w:p>
    <w:p w14:paraId="4FA7D7FB" w14:textId="77777777" w:rsidR="00E14BE6" w:rsidRDefault="00E14BE6" w:rsidP="002B1283">
      <w:pPr>
        <w:rPr>
          <w:rFonts w:ascii="Arial Black" w:hAnsi="Arial Black"/>
          <w:b/>
          <w:bCs/>
          <w:sz w:val="28"/>
          <w:szCs w:val="28"/>
        </w:rPr>
      </w:pPr>
    </w:p>
    <w:p w14:paraId="740A7DFA" w14:textId="3C9BAF27" w:rsidR="00DA5EE8" w:rsidRDefault="00DA5EE8" w:rsidP="00756ACB">
      <w:pPr>
        <w:rPr>
          <w:rFonts w:ascii="Arial Black" w:hAnsi="Arial Black"/>
          <w:b/>
          <w:bCs/>
          <w:sz w:val="24"/>
          <w:szCs w:val="24"/>
        </w:rPr>
      </w:pPr>
      <w:r>
        <w:rPr>
          <w:rFonts w:ascii="Arial Black" w:hAnsi="Arial Black"/>
          <w:b/>
          <w:bCs/>
          <w:sz w:val="24"/>
          <w:szCs w:val="24"/>
        </w:rPr>
        <w:t>13-255</w:t>
      </w:r>
    </w:p>
    <w:p w14:paraId="06A5332C" w14:textId="77777777" w:rsidR="00DA5EE8" w:rsidRPr="00374D58" w:rsidRDefault="00DA5EE8" w:rsidP="00DA5EE8">
      <w:pPr>
        <w:rPr>
          <w:rFonts w:ascii="Arial Black" w:hAnsi="Arial Black"/>
          <w:b/>
          <w:sz w:val="28"/>
          <w:szCs w:val="28"/>
        </w:rPr>
      </w:pPr>
      <w:r>
        <w:rPr>
          <w:rFonts w:ascii="Arial Black" w:hAnsi="Arial Black"/>
          <w:b/>
          <w:sz w:val="28"/>
          <w:szCs w:val="28"/>
        </w:rPr>
        <w:t>DC: MEDICAL DIRECTOR - EMT-I FAILED TWICE - FIRED</w:t>
      </w:r>
    </w:p>
    <w:p w14:paraId="0AA8C02E" w14:textId="77777777" w:rsidR="00DA5EE8" w:rsidRDefault="00DA5EE8" w:rsidP="00DA5EE8">
      <w:pPr>
        <w:rPr>
          <w:b/>
        </w:rPr>
      </w:pPr>
      <w:r>
        <w:t xml:space="preserve">On April 17, 2026, in </w:t>
      </w:r>
      <w:r w:rsidRPr="00EA62C7">
        <w:rPr>
          <w:u w:val="single"/>
        </w:rPr>
        <w:t>Harold Dargan v. District of Columbia Office of Employee Appeals, et al.,</w:t>
      </w:r>
      <w:r>
        <w:rPr>
          <w:u w:val="single"/>
        </w:rPr>
        <w:t xml:space="preserve"> </w:t>
      </w:r>
      <w:r w:rsidRPr="00EA62C7">
        <w:t>the Court of Appeals of The District of Columbia</w:t>
      </w:r>
      <w:r>
        <w:t xml:space="preserve"> held (3 to 0) that the EMT-Intermediate, who declined to be reclassified at lower level as an EMT-Advanced, was properly terminated on May 3, 2013.   After an EMS run on June 14, </w:t>
      </w:r>
      <w:proofErr w:type="gramStart"/>
      <w:r>
        <w:t>2011</w:t>
      </w:r>
      <w:proofErr w:type="gramEnd"/>
      <w:r>
        <w:t xml:space="preserve"> where patient died and patient’s airway was unattended while he was retrieving additional equipment, he was immediately removed from the field and sent to Training Academy for six months.  The Medical Director then assessed his skills on February 2, 2012 (failed to </w:t>
      </w:r>
      <w:r w:rsidRPr="002572E6">
        <w:t>perform a cardiac life support scenario</w:t>
      </w:r>
      <w:r>
        <w:t>) and on February 14 (again failed).  THE COURT WROTE: “</w:t>
      </w:r>
      <w:r w:rsidRPr="008A58CB">
        <w:t>As Mr. Dargan himself concedes, Dr. Miramontes, as</w:t>
      </w:r>
      <w:r>
        <w:t xml:space="preserve"> </w:t>
      </w:r>
      <w:r w:rsidRPr="008A58CB">
        <w:t xml:space="preserve">the FEMS Medical Director, </w:t>
      </w:r>
      <w:r>
        <w:t>‘</w:t>
      </w:r>
      <w:r w:rsidRPr="008A58CB">
        <w:t>must have the absolute right—short of discriminatory</w:t>
      </w:r>
      <w:r>
        <w:t xml:space="preserve"> </w:t>
      </w:r>
      <w:r w:rsidRPr="008A58CB">
        <w:t>animus—to protect the public by designating which EMTs and Paramedics are to be</w:t>
      </w:r>
      <w:r>
        <w:t xml:space="preserve"> </w:t>
      </w:r>
      <w:r w:rsidRPr="008A58CB">
        <w:t xml:space="preserve">permitted to practice under his </w:t>
      </w:r>
      <w:proofErr w:type="spellStart"/>
      <w:r w:rsidRPr="008A58CB">
        <w:t>licens</w:t>
      </w:r>
      <w:proofErr w:type="spellEnd"/>
      <w:r w:rsidRPr="008A58CB">
        <w:t>[e].</w:t>
      </w:r>
      <w:r>
        <w:t xml:space="preserve">’”  </w:t>
      </w:r>
      <w:hyperlink r:id="rId2027" w:history="1">
        <w:r w:rsidRPr="003823BB">
          <w:rPr>
            <w:rStyle w:val="Hyperlink"/>
            <w:b/>
          </w:rPr>
          <w:t>https://www.dccourts.gov/sites/default/files/2026-05/Dargan%20%20v.%20D.C.%20Office%20of%20Employee%20Appeals.%2024-CV-1001.pdf</w:t>
        </w:r>
      </w:hyperlink>
      <w:r>
        <w:rPr>
          <w:b/>
        </w:rPr>
        <w:t xml:space="preserve"> </w:t>
      </w:r>
    </w:p>
    <w:p w14:paraId="06E16A19" w14:textId="77777777" w:rsidR="00DA5EE8" w:rsidRDefault="00DA5EE8" w:rsidP="00DA5EE8">
      <w:pPr>
        <w:pStyle w:val="NoSpacing"/>
      </w:pPr>
    </w:p>
    <w:p w14:paraId="10AFFC34" w14:textId="77777777" w:rsidR="00DA5EE8" w:rsidRDefault="00DA5EE8" w:rsidP="00DA5EE8">
      <w:pPr>
        <w:pStyle w:val="NoSpacing"/>
      </w:pPr>
    </w:p>
    <w:p w14:paraId="4A6B166E" w14:textId="77777777" w:rsidR="00DA5EE8" w:rsidRDefault="00DA5EE8" w:rsidP="00DA5EE8">
      <w:pPr>
        <w:pStyle w:val="NoSpacing"/>
      </w:pPr>
      <w:r>
        <w:t xml:space="preserve">THE COURT HELD: </w:t>
      </w:r>
    </w:p>
    <w:p w14:paraId="09485501" w14:textId="77777777" w:rsidR="00DA5EE8" w:rsidRDefault="00DA5EE8" w:rsidP="00DA5EE8">
      <w:pPr>
        <w:pStyle w:val="NoSpacing"/>
      </w:pPr>
    </w:p>
    <w:p w14:paraId="36F1AF13" w14:textId="77777777" w:rsidR="00DA5EE8" w:rsidRDefault="00DA5EE8" w:rsidP="00DA5EE8">
      <w:pPr>
        <w:pStyle w:val="NoSpacing"/>
        <w:ind w:firstLine="720"/>
      </w:pPr>
      <w:r>
        <w:t>“As such, Dr. Miramontes was responsible only for evaluating Mr. Dargan and</w:t>
      </w:r>
    </w:p>
    <w:p w14:paraId="70D65014" w14:textId="77777777" w:rsidR="00DA5EE8" w:rsidRDefault="00DA5EE8" w:rsidP="00DA5EE8">
      <w:pPr>
        <w:pStyle w:val="NoSpacing"/>
        <w:ind w:firstLine="720"/>
      </w:pPr>
      <w:r>
        <w:t>deciding whether to sign off on his recertification as an EMT-Intermediate based on</w:t>
      </w:r>
    </w:p>
    <w:p w14:paraId="68CB09D9" w14:textId="77777777" w:rsidR="00DA5EE8" w:rsidRDefault="00DA5EE8" w:rsidP="00DA5EE8">
      <w:pPr>
        <w:pStyle w:val="NoSpacing"/>
        <w:ind w:firstLine="720"/>
      </w:pPr>
      <w:r>
        <w:t>his evaluation of Mr. Dargan’s competency. Dr. Miramontes did just this. Following</w:t>
      </w:r>
    </w:p>
    <w:p w14:paraId="5045A9F7" w14:textId="77777777" w:rsidR="00DA5EE8" w:rsidRDefault="00DA5EE8" w:rsidP="00DA5EE8">
      <w:pPr>
        <w:pStyle w:val="NoSpacing"/>
        <w:ind w:firstLine="720"/>
      </w:pPr>
      <w:r>
        <w:t>Mr. Dargan’s extensive remediation, Dr. Miramontes administered two practical</w:t>
      </w:r>
    </w:p>
    <w:p w14:paraId="1B96444C" w14:textId="77777777" w:rsidR="00DA5EE8" w:rsidRDefault="00DA5EE8" w:rsidP="00DA5EE8">
      <w:pPr>
        <w:pStyle w:val="NoSpacing"/>
        <w:ind w:firstLine="720"/>
      </w:pPr>
      <w:r>
        <w:t>skills assessments to determine whether Mr. Dargan could perform at the level</w:t>
      </w:r>
    </w:p>
    <w:p w14:paraId="6EC6C9BC" w14:textId="77777777" w:rsidR="00DA5EE8" w:rsidRDefault="00DA5EE8" w:rsidP="00DA5EE8">
      <w:pPr>
        <w:pStyle w:val="NoSpacing"/>
        <w:ind w:firstLine="720"/>
      </w:pPr>
      <w:r>
        <w:t>expected for an EMT-Intermediate. After Mr. Dargan failed the first assessment, Dr.</w:t>
      </w:r>
    </w:p>
    <w:p w14:paraId="5B361EFE" w14:textId="77777777" w:rsidR="00DA5EE8" w:rsidRDefault="00DA5EE8" w:rsidP="00DA5EE8">
      <w:pPr>
        <w:pStyle w:val="NoSpacing"/>
        <w:ind w:firstLine="720"/>
      </w:pPr>
      <w:r>
        <w:t>Miramontes gave him an opportunity for additional remediation and offered to</w:t>
      </w:r>
    </w:p>
    <w:p w14:paraId="464FCD1E" w14:textId="77777777" w:rsidR="00DA5EE8" w:rsidRDefault="00DA5EE8" w:rsidP="00DA5EE8">
      <w:pPr>
        <w:pStyle w:val="NoSpacing"/>
        <w:ind w:firstLine="720"/>
      </w:pPr>
      <w:r>
        <w:t>sponsor him at the basic life support level as an EMT-Advanced. When Mr. Dargan</w:t>
      </w:r>
    </w:p>
    <w:p w14:paraId="7E7CBF60" w14:textId="77777777" w:rsidR="00DA5EE8" w:rsidRDefault="00DA5EE8" w:rsidP="00DA5EE8">
      <w:pPr>
        <w:pStyle w:val="NoSpacing"/>
        <w:ind w:firstLine="720"/>
      </w:pPr>
      <w:r>
        <w:t>failed the second assessment, Dr. Miramontes again told him that he would not</w:t>
      </w:r>
    </w:p>
    <w:p w14:paraId="12C6D105" w14:textId="77777777" w:rsidR="00DA5EE8" w:rsidRDefault="00DA5EE8" w:rsidP="00DA5EE8">
      <w:pPr>
        <w:pStyle w:val="NoSpacing"/>
        <w:ind w:firstLine="720"/>
      </w:pPr>
      <w:r>
        <w:t>sponsor him at the EMT-Intermediate level for his DOH recertification, but that he</w:t>
      </w:r>
    </w:p>
    <w:p w14:paraId="704D6C21" w14:textId="77777777" w:rsidR="00DA5EE8" w:rsidRDefault="00DA5EE8" w:rsidP="00DA5EE8">
      <w:pPr>
        <w:pStyle w:val="NoSpacing"/>
        <w:ind w:firstLine="720"/>
      </w:pPr>
      <w:r>
        <w:t>would sponsor him at the lower EMT-Advanced level. Despite this knowledge, Mr.</w:t>
      </w:r>
    </w:p>
    <w:p w14:paraId="653A1A7C" w14:textId="77777777" w:rsidR="00DA5EE8" w:rsidRDefault="00DA5EE8" w:rsidP="00DA5EE8">
      <w:pPr>
        <w:pStyle w:val="NoSpacing"/>
        <w:ind w:firstLine="720"/>
      </w:pPr>
      <w:r>
        <w:t>Dargan did not apply for the EMT-Advanced DOH certification, choosing instead</w:t>
      </w:r>
    </w:p>
    <w:p w14:paraId="0116E17D" w14:textId="77777777" w:rsidR="00DA5EE8" w:rsidRDefault="00DA5EE8" w:rsidP="00DA5EE8">
      <w:pPr>
        <w:pStyle w:val="NoSpacing"/>
        <w:ind w:left="720"/>
      </w:pPr>
      <w:r>
        <w:t>to submit to Dr. Miramontes his application for the EMT-Intermediate DOH certification. Dr. Miramontes refused to sign Mr. Dargan’s application, rendering it</w:t>
      </w:r>
    </w:p>
    <w:p w14:paraId="65D5351A" w14:textId="77777777" w:rsidR="00DA5EE8" w:rsidRDefault="00DA5EE8" w:rsidP="00DA5EE8">
      <w:pPr>
        <w:pStyle w:val="NoSpacing"/>
        <w:ind w:firstLine="720"/>
      </w:pPr>
      <w:r>
        <w:t>incomplete, and likewise refused to submit the application to DOH.”</w:t>
      </w:r>
    </w:p>
    <w:p w14:paraId="3F63053B" w14:textId="77777777" w:rsidR="00DA5EE8" w:rsidRDefault="00DA5EE8" w:rsidP="00DA5EE8">
      <w:pPr>
        <w:pStyle w:val="NoSpacing"/>
        <w:ind w:firstLine="720"/>
      </w:pPr>
    </w:p>
    <w:p w14:paraId="54CC851E" w14:textId="77777777" w:rsidR="00DA5EE8" w:rsidRPr="00A95FA3" w:rsidRDefault="00DA5EE8" w:rsidP="00DA5EE8">
      <w:pPr>
        <w:rPr>
          <w:b/>
          <w:bCs/>
        </w:rPr>
      </w:pPr>
      <w:r>
        <w:rPr>
          <w:b/>
        </w:rPr>
        <w:t xml:space="preserve">Legal lesson learned: EMS Medical Directors have the “absolute right” to designate appropriate level of EMS personnel. </w:t>
      </w:r>
    </w:p>
    <w:p w14:paraId="15561197" w14:textId="77777777" w:rsidR="00DA5EE8" w:rsidRDefault="00DA5EE8" w:rsidP="00756ACB">
      <w:pPr>
        <w:rPr>
          <w:rFonts w:ascii="Arial Black" w:hAnsi="Arial Black"/>
          <w:b/>
          <w:bCs/>
          <w:sz w:val="24"/>
          <w:szCs w:val="24"/>
        </w:rPr>
      </w:pPr>
    </w:p>
    <w:p w14:paraId="31A0F35E" w14:textId="77777777" w:rsidR="00DA5EE8" w:rsidRDefault="00DA5EE8" w:rsidP="00756ACB">
      <w:pPr>
        <w:rPr>
          <w:rFonts w:ascii="Arial Black" w:hAnsi="Arial Black"/>
          <w:b/>
          <w:bCs/>
          <w:sz w:val="24"/>
          <w:szCs w:val="24"/>
        </w:rPr>
      </w:pPr>
    </w:p>
    <w:p w14:paraId="5E665B1B" w14:textId="21ED8F58" w:rsidR="00756ACB" w:rsidRDefault="00756ACB" w:rsidP="00756ACB">
      <w:pPr>
        <w:rPr>
          <w:rFonts w:ascii="Arial Black" w:hAnsi="Arial Black"/>
          <w:b/>
          <w:bCs/>
          <w:sz w:val="24"/>
          <w:szCs w:val="24"/>
        </w:rPr>
      </w:pPr>
      <w:r>
        <w:rPr>
          <w:rFonts w:ascii="Arial Black" w:hAnsi="Arial Black"/>
          <w:b/>
          <w:bCs/>
          <w:sz w:val="24"/>
          <w:szCs w:val="24"/>
        </w:rPr>
        <w:t>13-254</w:t>
      </w:r>
    </w:p>
    <w:p w14:paraId="6B9A7B5F" w14:textId="77777777" w:rsidR="00A93BF7" w:rsidRPr="003E1686" w:rsidRDefault="00A93BF7" w:rsidP="00A93BF7">
      <w:pPr>
        <w:pStyle w:val="NoSpacing"/>
        <w:rPr>
          <w:rFonts w:ascii="Arial Black" w:hAnsi="Arial Black"/>
          <w:sz w:val="28"/>
          <w:szCs w:val="28"/>
        </w:rPr>
      </w:pPr>
      <w:r>
        <w:rPr>
          <w:rFonts w:ascii="Arial Black" w:hAnsi="Arial Black"/>
          <w:sz w:val="28"/>
          <w:szCs w:val="28"/>
        </w:rPr>
        <w:t xml:space="preserve">VA: MED RECORS – JUSTICE GINSBURG - 2 YRS PRISON </w:t>
      </w:r>
    </w:p>
    <w:p w14:paraId="207BD8D6" w14:textId="77777777" w:rsidR="00A93BF7" w:rsidRDefault="00A93BF7" w:rsidP="00A93BF7">
      <w:pPr>
        <w:pStyle w:val="NoSpacing"/>
      </w:pPr>
    </w:p>
    <w:p w14:paraId="4A3A3DD1" w14:textId="77777777" w:rsidR="00A93BF7" w:rsidRDefault="00A93BF7" w:rsidP="00A93BF7">
      <w:pPr>
        <w:pStyle w:val="NoSpacing"/>
      </w:pPr>
      <w:r>
        <w:t xml:space="preserve">On April 14, 2026 in </w:t>
      </w:r>
      <w:r w:rsidRPr="003E1686">
        <w:rPr>
          <w:u w:val="single"/>
        </w:rPr>
        <w:t>United States of America v. Trent James Russell</w:t>
      </w:r>
      <w:r>
        <w:t xml:space="preserve">, the U.S. Court of Appeals for the Fourth Circuit (Richmond, VA) held (3 to 0) that jury properly found Russell guilty of (1) destroying and altering records, and (2) obtaining individually identifiable health information, and trial court sentenced him to </w:t>
      </w:r>
      <w:r w:rsidRPr="00EE3E0E">
        <w:t>twenty-four months’ imprisonment</w:t>
      </w:r>
      <w:r>
        <w:t xml:space="preserve"> for posting on Twitter a screenshot of the George Washington University hospital’s patient search screen, which highlighted Justice Ginsburg’s name and showed the dates of ten visits, along with medical services she received (which included radiology, oncology, and surgery services). Based</w:t>
      </w:r>
    </w:p>
    <w:p w14:paraId="37625DFB" w14:textId="77777777" w:rsidR="00A93BF7" w:rsidRDefault="00A93BF7" w:rsidP="00A93BF7">
      <w:pPr>
        <w:pStyle w:val="NoSpacing"/>
      </w:pPr>
      <w:r>
        <w:t>on the dates captured in the screenshot, it was taken between December 31, 2018, and</w:t>
      </w:r>
    </w:p>
    <w:p w14:paraId="53BC44F8" w14:textId="77777777" w:rsidR="00A93BF7" w:rsidRDefault="00A93BF7" w:rsidP="00A93BF7">
      <w:pPr>
        <w:pStyle w:val="NoSpacing"/>
      </w:pPr>
      <w:r>
        <w:t xml:space="preserve">January 9, 2019. </w:t>
      </w:r>
      <w:hyperlink r:id="rId2028" w:history="1">
        <w:r w:rsidRPr="009126C9">
          <w:rPr>
            <w:rStyle w:val="Hyperlink"/>
          </w:rPr>
          <w:t>https://www.ca4.uscourts.gov/opinions/244620.P.pd</w:t>
        </w:r>
      </w:hyperlink>
      <w:r>
        <w:t xml:space="preserve"> </w:t>
      </w:r>
    </w:p>
    <w:p w14:paraId="78AEAF50" w14:textId="77777777" w:rsidR="00A93BF7" w:rsidRDefault="00A93BF7" w:rsidP="00A93BF7">
      <w:pPr>
        <w:pStyle w:val="NoSpacing"/>
      </w:pPr>
    </w:p>
    <w:p w14:paraId="60888C5E" w14:textId="77777777" w:rsidR="00A93BF7" w:rsidRDefault="00A93BF7" w:rsidP="00A93BF7">
      <w:pPr>
        <w:pStyle w:val="NoSpacing"/>
      </w:pPr>
      <w:r>
        <w:t>THE COURT WROTE:</w:t>
      </w:r>
    </w:p>
    <w:p w14:paraId="717DD92C" w14:textId="77777777" w:rsidR="00A93BF7" w:rsidRDefault="00A93BF7" w:rsidP="00A93BF7">
      <w:pPr>
        <w:pStyle w:val="NoSpacing"/>
        <w:ind w:firstLine="720"/>
      </w:pPr>
    </w:p>
    <w:p w14:paraId="040163D3" w14:textId="77777777" w:rsidR="00A93BF7" w:rsidRDefault="00A93BF7" w:rsidP="00A93BF7">
      <w:pPr>
        <w:pStyle w:val="NoSpacing"/>
        <w:ind w:firstLine="720"/>
      </w:pPr>
      <w:r>
        <w:t>“Before Supreme Court Justice Ruth Bader Ginsburg passed away, someone posted</w:t>
      </w:r>
    </w:p>
    <w:p w14:paraId="445F4C6D" w14:textId="77777777" w:rsidR="00A93BF7" w:rsidRDefault="00A93BF7" w:rsidP="00A93BF7">
      <w:pPr>
        <w:pStyle w:val="NoSpacing"/>
        <w:ind w:firstLine="720"/>
      </w:pPr>
      <w:r>
        <w:t>a screenshot of her private medical information on the internet. The information related to</w:t>
      </w:r>
    </w:p>
    <w:p w14:paraId="1703C2F9" w14:textId="77777777" w:rsidR="00A93BF7" w:rsidRDefault="00A93BF7" w:rsidP="00A93BF7">
      <w:pPr>
        <w:pStyle w:val="NoSpacing"/>
        <w:ind w:left="720"/>
      </w:pPr>
      <w:r>
        <w:t>treatment the Justice received at George Washington University Hospital. An investigation led federal agents to Trent Russell, who worked for a company with access to the hospital’s medical records.</w:t>
      </w:r>
    </w:p>
    <w:p w14:paraId="065B87FA" w14:textId="77777777" w:rsidR="00A93BF7" w:rsidRDefault="00A93BF7" w:rsidP="00A93BF7">
      <w:pPr>
        <w:pStyle w:val="NoSpacing"/>
        <w:ind w:left="720"/>
      </w:pPr>
    </w:p>
    <w:p w14:paraId="007C3A2C" w14:textId="77777777" w:rsidR="00A93BF7" w:rsidRDefault="00A93BF7" w:rsidP="00A93BF7">
      <w:pPr>
        <w:pStyle w:val="NoSpacing"/>
        <w:ind w:left="720"/>
      </w:pPr>
      <w:r>
        <w:t>***</w:t>
      </w:r>
    </w:p>
    <w:p w14:paraId="38D04DE0" w14:textId="77777777" w:rsidR="00A93BF7" w:rsidRDefault="00A93BF7" w:rsidP="00A93BF7">
      <w:pPr>
        <w:pStyle w:val="NoSpacing"/>
        <w:ind w:left="720"/>
      </w:pPr>
      <w:r>
        <w:t>That led him to Russell, who worked for a non-profit that facilitates organ donations.</w:t>
      </w:r>
    </w:p>
    <w:p w14:paraId="2A486471" w14:textId="77777777" w:rsidR="00A93BF7" w:rsidRDefault="00A93BF7" w:rsidP="00A93BF7">
      <w:pPr>
        <w:pStyle w:val="NoSpacing"/>
        <w:ind w:left="720"/>
      </w:pPr>
      <w:r>
        <w:t>Russell’s position gave him both on-site and remote access to patient medical records and</w:t>
      </w:r>
    </w:p>
    <w:p w14:paraId="36420EBB" w14:textId="77777777" w:rsidR="00A93BF7" w:rsidRDefault="00A93BF7" w:rsidP="00A93BF7">
      <w:pPr>
        <w:pStyle w:val="NoSpacing"/>
        <w:ind w:left="720"/>
      </w:pPr>
      <w:r>
        <w:t>other hospital data.”</w:t>
      </w:r>
    </w:p>
    <w:p w14:paraId="1F3BE0F2" w14:textId="77777777" w:rsidR="00A93BF7" w:rsidRDefault="00A93BF7" w:rsidP="00A93BF7">
      <w:pPr>
        <w:pStyle w:val="NoSpacing"/>
        <w:ind w:left="720"/>
      </w:pPr>
    </w:p>
    <w:p w14:paraId="5731628E" w14:textId="77777777" w:rsidR="00A93BF7" w:rsidRPr="00301C5F" w:rsidRDefault="00A93BF7" w:rsidP="00A93BF7">
      <w:pPr>
        <w:rPr>
          <w:b/>
          <w:bCs/>
        </w:rPr>
      </w:pPr>
      <w:r>
        <w:rPr>
          <w:b/>
        </w:rPr>
        <w:t xml:space="preserve">Legal lesson learned:  </w:t>
      </w:r>
      <w:r w:rsidRPr="00677791">
        <w:rPr>
          <w:b/>
        </w:rPr>
        <w:t>Disclosure of individually identifiable health information can lead to criminal indictment and prison</w:t>
      </w:r>
      <w:r>
        <w:rPr>
          <w:b/>
        </w:rPr>
        <w:t xml:space="preserve">. </w:t>
      </w:r>
    </w:p>
    <w:p w14:paraId="1C9EB5BC" w14:textId="77777777" w:rsidR="00A93BF7" w:rsidRDefault="00A93BF7" w:rsidP="00A93BF7">
      <w:pPr>
        <w:pStyle w:val="NoSpacing"/>
        <w:ind w:left="720"/>
      </w:pPr>
      <w:r>
        <w:lastRenderedPageBreak/>
        <w:t xml:space="preserve">Note: See HIPAA Violations – 2026.  </w:t>
      </w:r>
      <w:hyperlink r:id="rId2029" w:history="1">
        <w:r w:rsidRPr="009126C9">
          <w:rPr>
            <w:rStyle w:val="Hyperlink"/>
          </w:rPr>
          <w:t>https://www.hipaajournal.com/hipaa-violation-cases/</w:t>
        </w:r>
      </w:hyperlink>
      <w:r>
        <w:t xml:space="preserve"> </w:t>
      </w:r>
    </w:p>
    <w:p w14:paraId="2B0D70F5" w14:textId="77777777" w:rsidR="00A93BF7" w:rsidRDefault="00A93BF7" w:rsidP="002B1283">
      <w:pPr>
        <w:rPr>
          <w:rFonts w:ascii="Arial Black" w:hAnsi="Arial Black"/>
          <w:b/>
          <w:bCs/>
          <w:sz w:val="28"/>
          <w:szCs w:val="28"/>
        </w:rPr>
      </w:pPr>
    </w:p>
    <w:p w14:paraId="32F04E91" w14:textId="02048C69" w:rsidR="00756ACB" w:rsidRDefault="00756ACB" w:rsidP="00756ACB">
      <w:pPr>
        <w:rPr>
          <w:rFonts w:ascii="Arial Black" w:hAnsi="Arial Black"/>
          <w:b/>
          <w:bCs/>
          <w:sz w:val="24"/>
          <w:szCs w:val="24"/>
        </w:rPr>
      </w:pPr>
      <w:r>
        <w:rPr>
          <w:rFonts w:ascii="Arial Black" w:hAnsi="Arial Black"/>
          <w:b/>
          <w:bCs/>
          <w:sz w:val="24"/>
          <w:szCs w:val="24"/>
        </w:rPr>
        <w:t>13-253</w:t>
      </w:r>
    </w:p>
    <w:p w14:paraId="707A49E4" w14:textId="77777777" w:rsidR="00756ACB" w:rsidRDefault="00756ACB" w:rsidP="00756ACB">
      <w:pPr>
        <w:pStyle w:val="NoSpacing"/>
        <w:rPr>
          <w:rFonts w:ascii="Arial Black" w:hAnsi="Arial Black"/>
          <w:b/>
          <w:color w:val="000000" w:themeColor="text1"/>
          <w:sz w:val="28"/>
          <w:szCs w:val="28"/>
        </w:rPr>
      </w:pPr>
      <w:r>
        <w:rPr>
          <w:rFonts w:ascii="Arial Black" w:hAnsi="Arial Black"/>
          <w:b/>
          <w:color w:val="000000" w:themeColor="text1"/>
          <w:sz w:val="28"/>
          <w:szCs w:val="28"/>
        </w:rPr>
        <w:t>NV: EMS OPER MGR – FIRED / ALS CREW – NO RETALIATION</w:t>
      </w:r>
    </w:p>
    <w:p w14:paraId="1E71B341" w14:textId="77777777" w:rsidR="00756ACB" w:rsidRDefault="00756ACB" w:rsidP="00756ACB">
      <w:pPr>
        <w:pStyle w:val="NoSpacing"/>
        <w:rPr>
          <w:rFonts w:ascii="Arial Black" w:hAnsi="Arial Black"/>
          <w:b/>
          <w:color w:val="000000" w:themeColor="text1"/>
          <w:sz w:val="28"/>
          <w:szCs w:val="28"/>
        </w:rPr>
      </w:pPr>
    </w:p>
    <w:p w14:paraId="0AF68F2C" w14:textId="77777777" w:rsidR="00756ACB" w:rsidRDefault="00756ACB" w:rsidP="00756ACB">
      <w:pPr>
        <w:pStyle w:val="NoSpacing"/>
      </w:pPr>
      <w:r>
        <w:rPr>
          <w:color w:val="000000" w:themeColor="text1"/>
        </w:rPr>
        <w:t xml:space="preserve">On March 27, 2026, in </w:t>
      </w:r>
      <w:r w:rsidRPr="006D5B67">
        <w:rPr>
          <w:color w:val="000000" w:themeColor="text1"/>
          <w:u w:val="single"/>
        </w:rPr>
        <w:t>Dusty Allen v. Mercy, Inc</w:t>
      </w:r>
      <w:r>
        <w:rPr>
          <w:color w:val="000000" w:themeColor="text1"/>
        </w:rPr>
        <w:t xml:space="preserve">., U.S. District Court Judge </w:t>
      </w:r>
      <w:r w:rsidRPr="000F569F">
        <w:rPr>
          <w:color w:val="000000" w:themeColor="text1"/>
        </w:rPr>
        <w:t>Gloria M. Navarro,</w:t>
      </w:r>
      <w:r>
        <w:rPr>
          <w:color w:val="000000" w:themeColor="text1"/>
        </w:rPr>
        <w:t xml:space="preserve"> United States District Court for the District of Nevada, granted the employer’s motion for summary judgment; fired because of a weekend staffing shortage of ALS medics for one hour – a </w:t>
      </w:r>
      <w:r w:rsidRPr="00A92472">
        <w:rPr>
          <w:color w:val="000000" w:themeColor="text1"/>
        </w:rPr>
        <w:t>“critical system failure.”</w:t>
      </w:r>
      <w:r>
        <w:rPr>
          <w:color w:val="000000" w:themeColor="text1"/>
        </w:rPr>
        <w:t xml:space="preserve"> </w:t>
      </w:r>
      <w:r w:rsidRPr="00806927">
        <w:rPr>
          <w:color w:val="000000" w:themeColor="text1"/>
        </w:rPr>
        <w:t xml:space="preserve">Plaintiff </w:t>
      </w:r>
      <w:r>
        <w:rPr>
          <w:color w:val="000000" w:themeColor="text1"/>
        </w:rPr>
        <w:t>alleges</w:t>
      </w:r>
      <w:r w:rsidRPr="00806927">
        <w:rPr>
          <w:color w:val="000000" w:themeColor="text1"/>
        </w:rPr>
        <w:t xml:space="preserve"> he was terminated because </w:t>
      </w:r>
      <w:r>
        <w:rPr>
          <w:color w:val="000000" w:themeColor="text1"/>
        </w:rPr>
        <w:t xml:space="preserve">one month earlier </w:t>
      </w:r>
      <w:r w:rsidRPr="00806927">
        <w:rPr>
          <w:color w:val="000000" w:themeColor="text1"/>
        </w:rPr>
        <w:t>he confronted his supervisor, Kirk Schmitt, Regional Director of Southern Nevada, about two female coworkers</w:t>
      </w:r>
      <w:r>
        <w:rPr>
          <w:color w:val="000000" w:themeColor="text1"/>
        </w:rPr>
        <w:t xml:space="preserve"> uncomfortable with manager comments.  But Court referenced plaintiff’s deposition testimony -  he wasn’t making a formal report of sexual harassment complaints by two women, he was</w:t>
      </w:r>
      <w:r>
        <w:t xml:space="preserve"> merely trying to </w:t>
      </w:r>
      <w:r w:rsidRPr="00FF08F8">
        <w:t>“fix. . . a toxic work environment</w:t>
      </w:r>
      <w:r>
        <w:t xml:space="preserve">.” </w:t>
      </w:r>
      <w:hyperlink r:id="rId2030" w:history="1">
        <w:r w:rsidRPr="00A849F7">
          <w:rPr>
            <w:rStyle w:val="Hyperlink"/>
          </w:rPr>
          <w:t>https://public.fastcase.com/Jhe1Qn%2BmJndQYQU6z%2FeNm2IRLtoYkrU6PXL9o8jwzst%2FNdrzc21hLfx%2B7rIFE%2Fjg?utm_medium=email&amp;_hsenc=p2ANqtz--U5QylLiDrvLvgZPxLp1UD1XwB_7biW9lkq8qHdnYocPTAWXoAY4eWtL30hGAHlHHG6f150Lk3QwJZsSzIIPSSPKfBlQ&amp;_hsmi=226712652&amp;utm_content=226712652&amp;utm_source=hs_email</w:t>
        </w:r>
      </w:hyperlink>
      <w:r>
        <w:t xml:space="preserve"> </w:t>
      </w:r>
    </w:p>
    <w:p w14:paraId="2FDF3432" w14:textId="77777777" w:rsidR="00756ACB" w:rsidRDefault="00756ACB" w:rsidP="00756ACB">
      <w:pPr>
        <w:pStyle w:val="NoSpacing"/>
        <w:rPr>
          <w:color w:val="000000" w:themeColor="text1"/>
        </w:rPr>
      </w:pPr>
    </w:p>
    <w:p w14:paraId="20E23842" w14:textId="77777777" w:rsidR="00756ACB" w:rsidRDefault="00756ACB" w:rsidP="00756ACB">
      <w:pPr>
        <w:pStyle w:val="NoSpacing"/>
        <w:rPr>
          <w:color w:val="000000" w:themeColor="text1"/>
        </w:rPr>
      </w:pPr>
      <w:r>
        <w:rPr>
          <w:color w:val="000000" w:themeColor="text1"/>
        </w:rPr>
        <w:t xml:space="preserve">THE COURT HELD: </w:t>
      </w:r>
    </w:p>
    <w:p w14:paraId="21950A81" w14:textId="77777777" w:rsidR="00756ACB" w:rsidRDefault="00756ACB" w:rsidP="00756ACB">
      <w:pPr>
        <w:pStyle w:val="NoSpacing"/>
        <w:rPr>
          <w:color w:val="000000" w:themeColor="text1"/>
        </w:rPr>
      </w:pPr>
    </w:p>
    <w:p w14:paraId="6DC0B820" w14:textId="77777777" w:rsidR="00756ACB" w:rsidRDefault="00756ACB" w:rsidP="00756ACB">
      <w:pPr>
        <w:pStyle w:val="NoSpacing"/>
        <w:ind w:left="720"/>
      </w:pPr>
      <w:r>
        <w:rPr>
          <w:color w:val="000000" w:themeColor="text1"/>
        </w:rPr>
        <w:t xml:space="preserve">“Plaintiff’s job duties </w:t>
      </w:r>
      <w:r>
        <w:t>a</w:t>
      </w:r>
      <w:r w:rsidRPr="00F772E3">
        <w:t>s an Operations Manager, Plaintiff's job duties included working with the scheduling department and his team of operations supervisors to ensure that there was adequate employee coverage</w:t>
      </w:r>
      <w:r>
        <w:t xml:space="preserve"> for </w:t>
      </w:r>
      <w:r w:rsidRPr="00FB30E3">
        <w:t xml:space="preserve">has two locations in Las Vegas: </w:t>
      </w:r>
      <w:proofErr w:type="spellStart"/>
      <w:r w:rsidRPr="00FB30E3">
        <w:t>MedicWest</w:t>
      </w:r>
      <w:proofErr w:type="spellEnd"/>
      <w:r w:rsidRPr="00FB30E3">
        <w:t xml:space="preserve"> and American Medical Response (</w:t>
      </w:r>
      <w:r>
        <w:t>‘</w:t>
      </w:r>
      <w:r w:rsidRPr="00FB30E3">
        <w:t>AMR</w:t>
      </w:r>
      <w:r>
        <w:t>’</w:t>
      </w:r>
      <w:r w:rsidRPr="00FB30E3">
        <w:t>).</w:t>
      </w:r>
      <w:r>
        <w:t xml:space="preserve">  </w:t>
      </w:r>
    </w:p>
    <w:p w14:paraId="1564857C" w14:textId="77777777" w:rsidR="00756ACB" w:rsidRDefault="00756ACB" w:rsidP="00756ACB">
      <w:pPr>
        <w:pStyle w:val="NoSpacing"/>
        <w:ind w:left="720"/>
      </w:pPr>
    </w:p>
    <w:p w14:paraId="4C61A237" w14:textId="77777777" w:rsidR="00756ACB" w:rsidRDefault="00756ACB" w:rsidP="00756ACB">
      <w:pPr>
        <w:pStyle w:val="NoSpacing"/>
        <w:ind w:left="720"/>
      </w:pPr>
      <w:r>
        <w:t>***</w:t>
      </w:r>
    </w:p>
    <w:p w14:paraId="5898EC59" w14:textId="77777777" w:rsidR="00756ACB" w:rsidRDefault="00756ACB" w:rsidP="00756ACB">
      <w:pPr>
        <w:pStyle w:val="NoSpacing"/>
        <w:ind w:left="720"/>
      </w:pPr>
      <w:r w:rsidRPr="00211E94">
        <w:t xml:space="preserve">On September 25, 2023, Plaintiff had a conversation with a female coworker, Audra, who expressed to Plaintiff that she does not like Schmitt because he makes </w:t>
      </w:r>
      <w:r>
        <w:t>‘</w:t>
      </w:r>
      <w:r w:rsidRPr="00211E94">
        <w:t>comments that [are] sexist in nature,</w:t>
      </w:r>
      <w:r>
        <w:t>’</w:t>
      </w:r>
      <w:r w:rsidRPr="00211E94">
        <w:t xml:space="preserve"> and feels uncomfortable around him</w:t>
      </w:r>
      <w:r>
        <w:t xml:space="preserve">…. </w:t>
      </w:r>
      <w:r w:rsidRPr="00211E94">
        <w:t>Another female coworker, Stephanie, also expressed to Audra that she was uncomfortable being around Schmitt because of the sexist comments he makes</w:t>
      </w:r>
      <w:r>
        <w:t>…. Pla</w:t>
      </w:r>
      <w:r w:rsidRPr="00211E94">
        <w:t xml:space="preserve">intiff does not know what the sexist comments made were. </w:t>
      </w:r>
      <w:r w:rsidRPr="009B08C7">
        <w:t>But Plaintiff encouraged Audra to report the allegations to HR and told her to advise Stephanie to do the same.</w:t>
      </w:r>
    </w:p>
    <w:p w14:paraId="7DB00066" w14:textId="77777777" w:rsidR="00756ACB" w:rsidRDefault="00756ACB" w:rsidP="00756ACB">
      <w:pPr>
        <w:pStyle w:val="NoSpacing"/>
        <w:ind w:left="720"/>
      </w:pPr>
    </w:p>
    <w:p w14:paraId="640C42BD" w14:textId="77777777" w:rsidR="00756ACB" w:rsidRDefault="00756ACB" w:rsidP="00756ACB">
      <w:pPr>
        <w:pStyle w:val="NoSpacing"/>
        <w:ind w:left="720"/>
      </w:pPr>
      <w:r>
        <w:t>***</w:t>
      </w:r>
    </w:p>
    <w:p w14:paraId="456925E6" w14:textId="77777777" w:rsidR="00756ACB" w:rsidRDefault="00756ACB" w:rsidP="00756ACB">
      <w:pPr>
        <w:pStyle w:val="NoSpacing"/>
        <w:ind w:left="720"/>
      </w:pPr>
      <w:r>
        <w:t xml:space="preserve">[Two days later] </w:t>
      </w:r>
      <w:r w:rsidRPr="00B51821">
        <w:t>Plaintiff confronted Schmitt about the allegations two days after his conversation with Audra</w:t>
      </w:r>
      <w:r>
        <w:t xml:space="preserve">…. </w:t>
      </w:r>
      <w:r w:rsidRPr="00B51821">
        <w:t>Plaintiff also spoke with Schmitt about the way he generally spoke to people, both men and women</w:t>
      </w:r>
      <w:r>
        <w:t xml:space="preserve">…. </w:t>
      </w:r>
      <w:r w:rsidRPr="00B51821">
        <w:t>Plaintiff details that Schmitt was rude and condescending to a coworker, made another coworker cry, and raised his voice frequently</w:t>
      </w:r>
      <w:r>
        <w:t>….</w:t>
      </w:r>
      <w:r w:rsidRPr="00B51821">
        <w:t xml:space="preserve">Plaintiff's goal in speaking with Schmitt was to get him </w:t>
      </w:r>
      <w:r>
        <w:t>‘</w:t>
      </w:r>
      <w:r w:rsidRPr="00B51821">
        <w:t>to be a little bit more mindful of the interactions he had.</w:t>
      </w:r>
      <w:r>
        <w:t xml:space="preserve">’ </w:t>
      </w:r>
      <w:r w:rsidRPr="00B51821">
        <w:t xml:space="preserve">Plaintiff states that </w:t>
      </w:r>
      <w:r>
        <w:t>‘</w:t>
      </w:r>
      <w:r w:rsidRPr="00B51821">
        <w:t>the spirit of the conversation</w:t>
      </w:r>
      <w:r>
        <w:t>’</w:t>
      </w:r>
      <w:r w:rsidRPr="00B51821">
        <w:t xml:space="preserve"> with Schmitt was to </w:t>
      </w:r>
      <w:r>
        <w:t>‘</w:t>
      </w:r>
      <w:r w:rsidRPr="00B51821">
        <w:t>fix. . . a toxic work environment. . . [and] if there was any sort of inappropriate [sic] with the [sexist] comments, that was up for the corporate HR to discuss and investigate.</w:t>
      </w:r>
      <w:r>
        <w:t>’</w:t>
      </w:r>
    </w:p>
    <w:p w14:paraId="6DDFCF34" w14:textId="77777777" w:rsidR="00756ACB" w:rsidRDefault="00756ACB" w:rsidP="00756ACB">
      <w:pPr>
        <w:pStyle w:val="NoSpacing"/>
        <w:ind w:left="720"/>
      </w:pPr>
    </w:p>
    <w:p w14:paraId="3E1CF840" w14:textId="77777777" w:rsidR="00756ACB" w:rsidRDefault="00756ACB" w:rsidP="00756ACB">
      <w:pPr>
        <w:pStyle w:val="NoSpacing"/>
        <w:ind w:left="720"/>
      </w:pPr>
      <w:r>
        <w:t>***</w:t>
      </w:r>
    </w:p>
    <w:p w14:paraId="786C7A8D" w14:textId="77777777" w:rsidR="00756ACB" w:rsidRDefault="00756ACB" w:rsidP="00756ACB">
      <w:pPr>
        <w:pStyle w:val="NoSpacing"/>
        <w:ind w:left="720"/>
      </w:pPr>
      <w:r w:rsidRPr="00154A82">
        <w:t xml:space="preserve">Making an informal complaint to a supervisor can be considered a protected activity, </w:t>
      </w:r>
      <w:r w:rsidRPr="00154A82">
        <w:rPr>
          <w:i/>
          <w:iCs/>
        </w:rPr>
        <w:t>if</w:t>
      </w:r>
      <w:r w:rsidRPr="00154A82">
        <w:t xml:space="preserve"> Plaintiff was acting on a reasonable belief that an unlawful employment practice had occurred.</w:t>
      </w:r>
      <w:r>
        <w:t xml:space="preserve"> </w:t>
      </w:r>
      <w:r w:rsidRPr="00BA635F">
        <w:t>Indeed, Plaintiff did not know whether any unlawful employment practices had occurred, took no position on whether he thought an unlawful act occurred, and instead deferred to HR to investigate whether there was anything inappropriate about the sexist comments. Thus, Defendant meets its initial burden of negating an essential element of Plaintiff's claim-the element of protected activity.</w:t>
      </w:r>
      <w:r>
        <w:t>”</w:t>
      </w:r>
    </w:p>
    <w:p w14:paraId="74A6621D" w14:textId="77777777" w:rsidR="00756ACB" w:rsidRDefault="00756ACB" w:rsidP="00756ACB">
      <w:pPr>
        <w:pStyle w:val="NoSpacing"/>
        <w:ind w:left="720"/>
      </w:pPr>
    </w:p>
    <w:p w14:paraId="2E0EEC25" w14:textId="77777777" w:rsidR="00756ACB" w:rsidRPr="00BA635F" w:rsidRDefault="00756ACB" w:rsidP="00756ACB">
      <w:pPr>
        <w:rPr>
          <w:b/>
          <w:bCs/>
        </w:rPr>
      </w:pPr>
      <w:r>
        <w:rPr>
          <w:b/>
        </w:rPr>
        <w:t xml:space="preserve">Legal lesson learned:  Employer terminated plaintiff for gross misconduct. </w:t>
      </w:r>
    </w:p>
    <w:p w14:paraId="22AD614B" w14:textId="77777777" w:rsidR="00756ACB" w:rsidRDefault="00756ACB" w:rsidP="002B1283">
      <w:pPr>
        <w:rPr>
          <w:rFonts w:ascii="Arial Black" w:hAnsi="Arial Black"/>
          <w:b/>
          <w:bCs/>
          <w:sz w:val="28"/>
          <w:szCs w:val="28"/>
        </w:rPr>
      </w:pPr>
    </w:p>
    <w:p w14:paraId="38C4BEA5" w14:textId="77777777" w:rsidR="001150EA" w:rsidRDefault="001150EA" w:rsidP="00004498">
      <w:pPr>
        <w:rPr>
          <w:rFonts w:ascii="Arial Black" w:hAnsi="Arial Black"/>
          <w:b/>
          <w:bCs/>
          <w:sz w:val="24"/>
          <w:szCs w:val="24"/>
        </w:rPr>
      </w:pPr>
    </w:p>
    <w:p w14:paraId="1FC16693" w14:textId="77777777" w:rsidR="001150EA" w:rsidRDefault="001150EA" w:rsidP="00004498">
      <w:pPr>
        <w:rPr>
          <w:rFonts w:ascii="Arial Black" w:hAnsi="Arial Black"/>
          <w:b/>
          <w:bCs/>
          <w:sz w:val="24"/>
          <w:szCs w:val="24"/>
        </w:rPr>
      </w:pPr>
    </w:p>
    <w:p w14:paraId="6F9AB0E4" w14:textId="77777777" w:rsidR="001150EA" w:rsidRDefault="001150EA" w:rsidP="00004498">
      <w:pPr>
        <w:rPr>
          <w:rFonts w:ascii="Arial Black" w:hAnsi="Arial Black"/>
          <w:b/>
          <w:bCs/>
          <w:sz w:val="24"/>
          <w:szCs w:val="24"/>
        </w:rPr>
      </w:pPr>
    </w:p>
    <w:p w14:paraId="3C30CCCA" w14:textId="5988C92D" w:rsidR="00B170D7" w:rsidRDefault="00B170D7" w:rsidP="00004498">
      <w:pPr>
        <w:rPr>
          <w:rFonts w:ascii="Arial Black" w:hAnsi="Arial Black"/>
          <w:b/>
          <w:bCs/>
          <w:sz w:val="24"/>
          <w:szCs w:val="24"/>
        </w:rPr>
      </w:pPr>
      <w:r>
        <w:rPr>
          <w:rFonts w:ascii="Arial Black" w:hAnsi="Arial Black"/>
          <w:b/>
          <w:bCs/>
          <w:sz w:val="24"/>
          <w:szCs w:val="24"/>
        </w:rPr>
        <w:t>13-</w:t>
      </w:r>
      <w:r w:rsidR="009256C3">
        <w:rPr>
          <w:rFonts w:ascii="Arial Black" w:hAnsi="Arial Black"/>
          <w:b/>
          <w:bCs/>
          <w:sz w:val="24"/>
          <w:szCs w:val="24"/>
        </w:rPr>
        <w:t>252</w:t>
      </w:r>
    </w:p>
    <w:p w14:paraId="00C9DBE0" w14:textId="77777777" w:rsidR="00DD2FCE" w:rsidRPr="00226169" w:rsidRDefault="00DD2FCE" w:rsidP="00DD2FCE">
      <w:pPr>
        <w:pStyle w:val="NoSpacing"/>
        <w:rPr>
          <w:rFonts w:ascii="Arial Black" w:hAnsi="Arial Black"/>
          <w:sz w:val="28"/>
          <w:szCs w:val="28"/>
        </w:rPr>
      </w:pPr>
      <w:r>
        <w:rPr>
          <w:rFonts w:ascii="Arial Black" w:hAnsi="Arial Black"/>
          <w:sz w:val="28"/>
          <w:szCs w:val="28"/>
        </w:rPr>
        <w:t xml:space="preserve">OK: COMBATIVE PT - “POSITIONAL ASPHYXIA” – DIED </w:t>
      </w:r>
    </w:p>
    <w:p w14:paraId="5B04D20D" w14:textId="77777777" w:rsidR="00DD2FCE" w:rsidRDefault="00DD2FCE" w:rsidP="00DD2FCE">
      <w:pPr>
        <w:pStyle w:val="NoSpacing"/>
        <w:ind w:left="720"/>
      </w:pPr>
    </w:p>
    <w:p w14:paraId="62FB26F8" w14:textId="77777777" w:rsidR="00DD2FCE" w:rsidRDefault="00DD2FCE" w:rsidP="00DD2FCE">
      <w:pPr>
        <w:pStyle w:val="NoSpacing"/>
      </w:pPr>
      <w:r>
        <w:t xml:space="preserve">On March 18, 2026, in </w:t>
      </w:r>
      <w:r w:rsidRPr="00C503C4">
        <w:rPr>
          <w:u w:val="single"/>
        </w:rPr>
        <w:t>Charles Kaleb Vanlandingham, Administrator for the Estate of Charles Lamar Vanlandingham v. The City of Oklahoma City, et al.</w:t>
      </w:r>
      <w:r>
        <w:t xml:space="preserve">, U.S. District Court Judge Timothy D. </w:t>
      </w:r>
      <w:proofErr w:type="spellStart"/>
      <w:r>
        <w:t>DeGiusti</w:t>
      </w:r>
      <w:proofErr w:type="spellEnd"/>
      <w:r>
        <w:t xml:space="preserve">, United States District Court for Western District of Oklahoma, denied the defense motion for summary judgment, finding that there was a lack of training by police officers and EMS/fire </w:t>
      </w:r>
      <w:r w:rsidRPr="009C398A">
        <w:t>of positional asphyxia</w:t>
      </w:r>
      <w:r>
        <w:t>. There is “</w:t>
      </w:r>
      <w:r w:rsidRPr="00BD5698">
        <w:t>sufficient evidence for a jury to conclude that the City acted with deliberate indifference.</w:t>
      </w:r>
      <w:r>
        <w:t xml:space="preserve">”  Court did </w:t>
      </w:r>
      <w:proofErr w:type="gramStart"/>
      <w:r>
        <w:t>dismiss</w:t>
      </w:r>
      <w:proofErr w:type="gramEnd"/>
      <w:r>
        <w:t xml:space="preserve"> claims that Officer Lee violated state negligence law. “</w:t>
      </w:r>
      <w:r w:rsidRPr="00854B99">
        <w:t>The body-worn camera footage shows Officer Lee entering the home, placing handcuffs on Mr. Vanlandingham, and placing his weight and shin on Plaintiff's back to restrain him. The Court finds these actions consistent with an officer taking an individual into protective custody.</w:t>
      </w:r>
      <w:r>
        <w:t>”</w:t>
      </w:r>
    </w:p>
    <w:p w14:paraId="5812F320" w14:textId="77777777" w:rsidR="00DD2FCE" w:rsidRDefault="00DD2FCE" w:rsidP="00DD2FCE">
      <w:pPr>
        <w:pStyle w:val="NoSpacing"/>
      </w:pPr>
      <w:hyperlink r:id="rId2031" w:history="1">
        <w:r w:rsidRPr="004C7C67">
          <w:rPr>
            <w:rStyle w:val="Hyperlink"/>
          </w:rPr>
          <w:t>https://public.fastcase.com/Jhe1Qn%2BmJndQYQU6z%2FeNm94x%2BjtPzHFQX2c8S%2Bx9Phdmrv4s2ioOEI%2FF1Ai%2FXC71?utm_medium=email&amp;_hsenc=p2ANqtz-9AeMkmBBV7ab-HOOGxYui1F4KaPFQMcLoSV_UpG8Q7nnWqxWkhxKerqRyhPDwCCdLiDrxj3K5C-zreoAE1nVCtmbRsSQ&amp;_hsmi=226712652&amp;utm_content=226712652&amp;utm_source=hs_email</w:t>
        </w:r>
      </w:hyperlink>
      <w:r>
        <w:t xml:space="preserve"> </w:t>
      </w:r>
    </w:p>
    <w:p w14:paraId="6A05F634" w14:textId="77777777" w:rsidR="00DD2FCE" w:rsidRDefault="00DD2FCE" w:rsidP="00DD2FCE">
      <w:pPr>
        <w:pStyle w:val="NoSpacing"/>
      </w:pPr>
    </w:p>
    <w:p w14:paraId="01C31218" w14:textId="77777777" w:rsidR="00DD2FCE" w:rsidRDefault="00DD2FCE" w:rsidP="00DD2FCE">
      <w:pPr>
        <w:pStyle w:val="NoSpacing"/>
      </w:pPr>
      <w:r>
        <w:t>THE COURT HELD:  “</w:t>
      </w:r>
      <w:r w:rsidRPr="00E033CA">
        <w:t>The Court finds there is evidence from which a reasonable jury could conclude that the need for additional training was so obvious as to support a finding of deliberate indifference. Although Defendant offers extensive evidence regarding its training for officers that has been accredited by a national accrediting organization, Plaintiff provides evidence that the OCPD has known of the dangers of positional asphyxia and has failed to update or change their use of force policy.</w:t>
      </w:r>
    </w:p>
    <w:p w14:paraId="3399D718" w14:textId="77777777" w:rsidR="00DD2FCE" w:rsidRDefault="00DD2FCE" w:rsidP="00DD2FCE">
      <w:pPr>
        <w:pStyle w:val="NoSpacing"/>
      </w:pPr>
    </w:p>
    <w:p w14:paraId="2FDD8C4A" w14:textId="77777777" w:rsidR="00DD2FCE" w:rsidRDefault="00DD2FCE" w:rsidP="00DD2FCE">
      <w:pPr>
        <w:pStyle w:val="NoSpacing"/>
      </w:pPr>
      <w:r>
        <w:t>***</w:t>
      </w:r>
    </w:p>
    <w:p w14:paraId="615BB1D2" w14:textId="77777777" w:rsidR="00DD2FCE" w:rsidRDefault="00DD2FCE" w:rsidP="00DD2FCE">
      <w:pPr>
        <w:pStyle w:val="NoSpacing"/>
      </w:pPr>
    </w:p>
    <w:p w14:paraId="15C1B54F" w14:textId="77777777" w:rsidR="00DD2FCE" w:rsidRDefault="00DD2FCE" w:rsidP="00DD2FCE">
      <w:pPr>
        <w:pStyle w:val="NoSpacing"/>
      </w:pPr>
      <w:r w:rsidRPr="00CD137A">
        <w:t>On September 15, 2019, at approximately 3:54 a.m., Theresa Hancock called 911 seeking help for her boyfriend, Charles Vanlandingham, who was having a medical emergency</w:t>
      </w:r>
      <w:r>
        <w:t xml:space="preserve"> ….</w:t>
      </w:r>
      <w:r w:rsidRPr="00CD137A">
        <w:t>Paramedics employed by American Medical Response Ambulance Service were dispatched to the home where they found Mr. Vanlandingham on a bed</w:t>
      </w:r>
      <w:r>
        <w:t xml:space="preserve"> ….</w:t>
      </w:r>
      <w:r w:rsidRPr="00CD137A">
        <w:t>One of the paramedics attempted to move him from the bed to a cot</w:t>
      </w:r>
      <w:r>
        <w:t>…. it i</w:t>
      </w:r>
      <w:r w:rsidRPr="00CD137A">
        <w:t>s undisputed that at some point during this attempt, the paramedic pushed his panic button and sent another paramedic to the ambulance to call for assistance from both the fire department and Oklahoma City police officers</w:t>
      </w:r>
      <w:r>
        <w:t xml:space="preserve">…. </w:t>
      </w:r>
      <w:r w:rsidRPr="00CD137A">
        <w:t>Shortly thereafter, four firefighters arrived at the scene</w:t>
      </w:r>
      <w:r>
        <w:t xml:space="preserve"> … t</w:t>
      </w:r>
      <w:r w:rsidRPr="00CD137A">
        <w:t>he first firefighter entered the home and found the paramedic struggling with Mr. Vanlandingham</w:t>
      </w:r>
      <w:r>
        <w:t xml:space="preserve">… </w:t>
      </w:r>
      <w:r w:rsidRPr="00CD137A">
        <w:t>After several minutes, the firefighter placed Mr. Vanlandingham on the ground in a prone position</w:t>
      </w:r>
      <w:r>
        <w:t xml:space="preserve">…. </w:t>
      </w:r>
      <w:r w:rsidRPr="00CD137A">
        <w:t>Upon entering the home, Officer Lee went to the room where Mr. Vanlandingham was located and saw him wheezing and experiencing labored breaching</w:t>
      </w:r>
      <w:r>
        <w:t xml:space="preserve">…. </w:t>
      </w:r>
      <w:r w:rsidRPr="00CD137A">
        <w:t>A paramedic asked Officer Lee if he had a set of handcuffs, to which Officer Lee immediately responded by securing two sets of handcuffs on Mr. Vanlandingham</w:t>
      </w:r>
      <w:r>
        <w:t xml:space="preserve"> …. </w:t>
      </w:r>
      <w:r w:rsidRPr="00CD137A">
        <w:t>Although someone on the scene asked whether soft restraints should be used, the paramedic stated that it was his call and he wanted Mr. Vanlandingham to remain handcuffed until he was in the ambulance</w:t>
      </w:r>
      <w:r>
        <w:t xml:space="preserve">…. </w:t>
      </w:r>
      <w:r w:rsidRPr="00CD137A">
        <w:t>Officer Lee told dispatch that he was in custody but needed the assistance of another officer</w:t>
      </w:r>
      <w:r>
        <w:t xml:space="preserve">…. </w:t>
      </w:r>
      <w:r w:rsidRPr="00CD137A">
        <w:t>He proceeded to place his shin across Mr. Vanlandingham's back while four other firefighters held him down</w:t>
      </w:r>
      <w:r>
        <w:t xml:space="preserve">…. </w:t>
      </w:r>
      <w:r w:rsidRPr="00CD137A">
        <w:t>Officer Lee estimates that he placed 10% to 20% of his total body weight on Mr. Vanlandingham for approximately 90 seconds</w:t>
      </w:r>
      <w:r>
        <w:t xml:space="preserve">…. </w:t>
      </w:r>
      <w:r w:rsidRPr="00CD137A">
        <w:t xml:space="preserve"> Another firefighter was holding and bending Mr. Vanlandingham's right leg to his buttocks while his other leg was held down by another firefighter</w:t>
      </w:r>
      <w:r>
        <w:t xml:space="preserve"> …. </w:t>
      </w:r>
      <w:r w:rsidRPr="00CD137A">
        <w:t>While Mr. Vanlandingham was still handcuffed, the paramedics administered 5mg of Versed, and within seconds he became unresponsive</w:t>
      </w:r>
      <w:r>
        <w:t xml:space="preserve">…. </w:t>
      </w:r>
      <w:r w:rsidRPr="00CD137A">
        <w:t>Officer Lee removed the handcuffs and left the room</w:t>
      </w:r>
      <w:r>
        <w:t xml:space="preserve"> …. </w:t>
      </w:r>
      <w:r w:rsidRPr="00CD137A">
        <w:lastRenderedPageBreak/>
        <w:t>Paramedics then began to render emergency aid for approximately 30 minutes, but it was unsuccessful and Mr. Vanlandingham was pronounced dead at the scene.</w:t>
      </w:r>
      <w:r>
        <w:t>”</w:t>
      </w:r>
    </w:p>
    <w:p w14:paraId="43556061" w14:textId="77777777" w:rsidR="00DD2FCE" w:rsidRDefault="00DD2FCE" w:rsidP="00DD2FCE">
      <w:pPr>
        <w:pStyle w:val="NoSpacing"/>
      </w:pPr>
    </w:p>
    <w:p w14:paraId="3D5F4A6C" w14:textId="77777777" w:rsidR="00DD2FCE" w:rsidRPr="00846D95" w:rsidRDefault="00DD2FCE" w:rsidP="00DD2FCE">
      <w:pPr>
        <w:pStyle w:val="NoSpacing"/>
        <w:rPr>
          <w:b/>
          <w:bCs/>
        </w:rPr>
      </w:pPr>
      <w:r>
        <w:rPr>
          <w:b/>
        </w:rPr>
        <w:t xml:space="preserve">Legal lesson learned: EMS should review their protocols, and conduct joint training with law enforcement, on handling a combative patient. </w:t>
      </w:r>
    </w:p>
    <w:p w14:paraId="0BB6DB44" w14:textId="77777777" w:rsidR="00DD2FCE" w:rsidRPr="00CD137A" w:rsidRDefault="00DD2FCE" w:rsidP="00DD2FCE">
      <w:pPr>
        <w:pStyle w:val="NoSpacing"/>
      </w:pPr>
    </w:p>
    <w:p w14:paraId="010684DE" w14:textId="77777777" w:rsidR="00DD2FCE" w:rsidRPr="00576F3F" w:rsidRDefault="00DD2FCE" w:rsidP="00DD2FCE">
      <w:pPr>
        <w:pStyle w:val="NoSpacing"/>
        <w:ind w:left="720"/>
      </w:pPr>
      <w:r>
        <w:t xml:space="preserve">Note: See 2025 YouTube video: </w:t>
      </w:r>
      <w:r w:rsidRPr="00576F3F">
        <w:t xml:space="preserve">“What Is Positional Asphyxia </w:t>
      </w:r>
      <w:proofErr w:type="gramStart"/>
      <w:r w:rsidRPr="00576F3F">
        <w:t>And</w:t>
      </w:r>
      <w:proofErr w:type="gramEnd"/>
      <w:r w:rsidRPr="00576F3F">
        <w:t xml:space="preserve"> How </w:t>
      </w:r>
      <w:proofErr w:type="gramStart"/>
      <w:r w:rsidRPr="00576F3F">
        <w:t>To</w:t>
      </w:r>
      <w:proofErr w:type="gramEnd"/>
      <w:r w:rsidRPr="00576F3F">
        <w:t xml:space="preserve"> Prevent It? - Law Enforcement Insider.”</w:t>
      </w:r>
      <w:r>
        <w:t xml:space="preserve"> </w:t>
      </w:r>
      <w:hyperlink r:id="rId2032" w:history="1">
        <w:r w:rsidRPr="004C7C67">
          <w:rPr>
            <w:rStyle w:val="Hyperlink"/>
          </w:rPr>
          <w:t>https://www.youtube.com/watch?v=_LFgzOE_WU8</w:t>
        </w:r>
      </w:hyperlink>
      <w:r>
        <w:t xml:space="preserve"> </w:t>
      </w:r>
    </w:p>
    <w:p w14:paraId="7223DEDC" w14:textId="77777777" w:rsidR="00DD2FCE" w:rsidRPr="00576F3F" w:rsidRDefault="00DD2FCE" w:rsidP="00DD2FCE">
      <w:pPr>
        <w:pStyle w:val="NoSpacing"/>
        <w:ind w:left="720"/>
      </w:pPr>
    </w:p>
    <w:p w14:paraId="65299030" w14:textId="77777777" w:rsidR="00DD2FCE" w:rsidRDefault="00DD2FCE" w:rsidP="00DD2FCE">
      <w:pPr>
        <w:pStyle w:val="NoSpacing"/>
        <w:ind w:left="720"/>
      </w:pPr>
      <w:r>
        <w:t>See also U.S. Department of Justice June 1995 bulletin: “</w:t>
      </w:r>
      <w:r w:rsidRPr="00C31F2D">
        <w:t>Positional Asphyxia—Sudden Death</w:t>
      </w:r>
      <w:r>
        <w:t xml:space="preserve">.” </w:t>
      </w:r>
      <w:hyperlink r:id="rId2033" w:history="1">
        <w:r w:rsidRPr="004C7C67">
          <w:rPr>
            <w:rStyle w:val="Hyperlink"/>
          </w:rPr>
          <w:t>https://www.ojp.gov/pdffiles/posasph.pdf</w:t>
        </w:r>
      </w:hyperlink>
      <w:r>
        <w:t xml:space="preserve"> </w:t>
      </w:r>
    </w:p>
    <w:p w14:paraId="068D66F8" w14:textId="77777777" w:rsidR="00DD2FCE" w:rsidRDefault="00DD2FCE" w:rsidP="00DD2FCE">
      <w:pPr>
        <w:pStyle w:val="NoSpacing"/>
      </w:pPr>
    </w:p>
    <w:p w14:paraId="79B3F049" w14:textId="77777777" w:rsidR="00DD2FCE" w:rsidRDefault="00DD2FCE" w:rsidP="00DD2FCE">
      <w:pPr>
        <w:pStyle w:val="NoSpacing"/>
      </w:pPr>
    </w:p>
    <w:p w14:paraId="34A9565A" w14:textId="77777777" w:rsidR="00B170D7" w:rsidRDefault="00B170D7" w:rsidP="00004498">
      <w:pPr>
        <w:rPr>
          <w:rFonts w:ascii="Arial Black" w:hAnsi="Arial Black"/>
          <w:b/>
          <w:bCs/>
          <w:sz w:val="24"/>
          <w:szCs w:val="24"/>
        </w:rPr>
      </w:pPr>
    </w:p>
    <w:p w14:paraId="6DE3A8F7" w14:textId="3633BCF4" w:rsidR="00DD2FCE" w:rsidRDefault="00DD2FCE" w:rsidP="00004498">
      <w:pPr>
        <w:rPr>
          <w:rFonts w:ascii="Arial Black" w:hAnsi="Arial Black"/>
          <w:b/>
          <w:bCs/>
          <w:sz w:val="24"/>
          <w:szCs w:val="24"/>
        </w:rPr>
      </w:pPr>
      <w:r>
        <w:rPr>
          <w:rFonts w:ascii="Arial Black" w:hAnsi="Arial Black"/>
          <w:b/>
          <w:bCs/>
          <w:sz w:val="24"/>
          <w:szCs w:val="24"/>
        </w:rPr>
        <w:t>13-</w:t>
      </w:r>
      <w:r w:rsidR="009256C3">
        <w:rPr>
          <w:rFonts w:ascii="Arial Black" w:hAnsi="Arial Black"/>
          <w:b/>
          <w:bCs/>
          <w:sz w:val="24"/>
          <w:szCs w:val="24"/>
        </w:rPr>
        <w:t>251</w:t>
      </w:r>
    </w:p>
    <w:p w14:paraId="018D5317" w14:textId="77777777" w:rsidR="00552D25" w:rsidRPr="00C15F7A" w:rsidRDefault="00552D25" w:rsidP="00552D25">
      <w:pPr>
        <w:pStyle w:val="NoSpacing"/>
        <w:rPr>
          <w:rFonts w:ascii="Arial Black" w:hAnsi="Arial Black"/>
          <w:sz w:val="28"/>
          <w:szCs w:val="28"/>
        </w:rPr>
      </w:pPr>
      <w:r>
        <w:rPr>
          <w:rFonts w:ascii="Arial Black" w:hAnsi="Arial Black"/>
          <w:sz w:val="28"/>
          <w:szCs w:val="28"/>
        </w:rPr>
        <w:t xml:space="preserve">MN: PT TOLD MEDIC USING HEROIN – RUN RPT ADMISSIBLE </w:t>
      </w:r>
    </w:p>
    <w:p w14:paraId="25B94484" w14:textId="77777777" w:rsidR="00552D25" w:rsidRDefault="00552D25" w:rsidP="00552D25">
      <w:pPr>
        <w:pStyle w:val="NoSpacing"/>
      </w:pPr>
    </w:p>
    <w:p w14:paraId="4F864768" w14:textId="77777777" w:rsidR="00552D25" w:rsidRDefault="00552D25" w:rsidP="00552D25">
      <w:pPr>
        <w:pStyle w:val="NoSpacing"/>
      </w:pPr>
      <w:r>
        <w:t xml:space="preserve">On March 18, 2026, in </w:t>
      </w:r>
      <w:r w:rsidRPr="005442BF">
        <w:rPr>
          <w:u w:val="single"/>
        </w:rPr>
        <w:t>State of Minnesota v. Anthony Richard Smeby</w:t>
      </w:r>
      <w:r>
        <w:t xml:space="preserve">, the </w:t>
      </w:r>
      <w:r w:rsidRPr="00454086">
        <w:t>Supreme Court of Minnesota</w:t>
      </w:r>
      <w:r>
        <w:t xml:space="preserve"> held (6 to 1) that the trial court judge properly denied the defendant’s motion to suppress the EMS run record confirming that prior to the three-car crash Smeby told the paramedics and his girlfriend that he had used heroin. The jury convicted </w:t>
      </w:r>
      <w:proofErr w:type="gramStart"/>
      <w:r>
        <w:t>him</w:t>
      </w:r>
      <w:proofErr w:type="gramEnd"/>
      <w:r>
        <w:t xml:space="preserve"> driving while under the influence of a controlled substance.   The Court of Appeals rejected Smeby’s argument on appeal that the disclosure of his statements to the paramedics and his girlfriend violated the physician-patient privilege statute; holding that “paramedics are categorically excluded from the</w:t>
      </w:r>
    </w:p>
    <w:p w14:paraId="6D6E42BF" w14:textId="77777777" w:rsidR="00552D25" w:rsidRDefault="00552D25" w:rsidP="00552D25">
      <w:pPr>
        <w:pStyle w:val="NoSpacing"/>
      </w:pPr>
      <w:r>
        <w:t xml:space="preserve">physician-patient privilege statute” since EMS not mentioned in the statute.  Minnesota Supreme Court clarified that if EMS were performing activities are the specific direction of a physician [such as in Emergency Department] that a defendant’s comments about his heroin use could be privileged. </w:t>
      </w:r>
      <w:hyperlink r:id="rId2034" w:history="1">
        <w:r w:rsidRPr="004C7C67">
          <w:rPr>
            <w:rStyle w:val="Hyperlink"/>
          </w:rPr>
          <w:t>https://cases.justia.com/minnesota/supreme-court/2026-a23-0516.pdf?ts=1773911973</w:t>
        </w:r>
      </w:hyperlink>
      <w:r>
        <w:t xml:space="preserve"> </w:t>
      </w:r>
    </w:p>
    <w:p w14:paraId="3A03995D" w14:textId="77777777" w:rsidR="00552D25" w:rsidRDefault="00552D25" w:rsidP="00552D25">
      <w:pPr>
        <w:pStyle w:val="NoSpacing"/>
      </w:pPr>
      <w:r>
        <w:t xml:space="preserve"> </w:t>
      </w:r>
    </w:p>
    <w:p w14:paraId="371F67EB" w14:textId="77777777" w:rsidR="00552D25" w:rsidRDefault="00552D25" w:rsidP="00552D25">
      <w:pPr>
        <w:pStyle w:val="NoSpacing"/>
      </w:pPr>
    </w:p>
    <w:p w14:paraId="4AE261C3" w14:textId="77777777" w:rsidR="00552D25" w:rsidRDefault="00552D25" w:rsidP="00552D25">
      <w:pPr>
        <w:pStyle w:val="NoSpacing"/>
      </w:pPr>
      <w:r>
        <w:t>THE COURT HELD: “In August 2021, law enforcement officers responded to the scene of a three-car accident and found appellant Anthony Richard Smeby unconscious behind the wheel of</w:t>
      </w:r>
    </w:p>
    <w:p w14:paraId="69CD42F0" w14:textId="77777777" w:rsidR="00552D25" w:rsidRDefault="00552D25" w:rsidP="00552D25">
      <w:pPr>
        <w:pStyle w:val="NoSpacing"/>
      </w:pPr>
      <w:r>
        <w:t>one of the cars. After an officer administered two doses of Narcan,1 Smeby regained</w:t>
      </w:r>
    </w:p>
    <w:p w14:paraId="028DEDDF" w14:textId="77777777" w:rsidR="00552D25" w:rsidRDefault="00552D25" w:rsidP="00552D25">
      <w:pPr>
        <w:pStyle w:val="NoSpacing"/>
      </w:pPr>
      <w:r>
        <w:t>consciousness. Ambulance paramedics transported Smeby to a hospital. A district court</w:t>
      </w:r>
    </w:p>
    <w:p w14:paraId="19EB4115" w14:textId="77777777" w:rsidR="00552D25" w:rsidRDefault="00552D25" w:rsidP="00552D25">
      <w:pPr>
        <w:pStyle w:val="NoSpacing"/>
      </w:pPr>
      <w:r>
        <w:t>later signed a search warrant presented by law enforcement that authorized the State to</w:t>
      </w:r>
    </w:p>
    <w:p w14:paraId="712C7787" w14:textId="77777777" w:rsidR="00552D25" w:rsidRDefault="00552D25" w:rsidP="00552D25">
      <w:pPr>
        <w:pStyle w:val="NoSpacing"/>
      </w:pPr>
      <w:r>
        <w:t>search the medical records and ambulance run sheets related to Smeby from the date of the</w:t>
      </w:r>
    </w:p>
    <w:p w14:paraId="51F27007" w14:textId="77777777" w:rsidR="00552D25" w:rsidRDefault="00552D25" w:rsidP="00552D25">
      <w:pPr>
        <w:pStyle w:val="NoSpacing"/>
      </w:pPr>
      <w:r>
        <w:t>accident. The search revealed that Smeby told the paramedics and his girlfriend that he</w:t>
      </w:r>
    </w:p>
    <w:p w14:paraId="5CC08B4B" w14:textId="77777777" w:rsidR="00552D25" w:rsidRDefault="00552D25" w:rsidP="00552D25">
      <w:pPr>
        <w:pStyle w:val="NoSpacing"/>
      </w:pPr>
      <w:r>
        <w:t>had used heroin.</w:t>
      </w:r>
    </w:p>
    <w:p w14:paraId="61AC9269" w14:textId="77777777" w:rsidR="00552D25" w:rsidRDefault="00552D25" w:rsidP="00552D25">
      <w:pPr>
        <w:pStyle w:val="NoSpacing"/>
      </w:pPr>
    </w:p>
    <w:p w14:paraId="3479C201" w14:textId="77777777" w:rsidR="00552D25" w:rsidRDefault="00552D25" w:rsidP="00552D25">
      <w:pPr>
        <w:pStyle w:val="NoSpacing"/>
      </w:pPr>
      <w:r>
        <w:t>***</w:t>
      </w:r>
    </w:p>
    <w:p w14:paraId="3E145D81" w14:textId="77777777" w:rsidR="00552D25" w:rsidRDefault="00552D25" w:rsidP="00552D25">
      <w:pPr>
        <w:pStyle w:val="NoSpacing"/>
      </w:pPr>
      <w:r>
        <w:t>We now clarify that Minn. Stat. § 595.02, subd. 1(d), applies to communications between paramedics and patients if the paramedic is acting ‘under the direction’ of the treating physician such that there is an agency relationship with the physician….</w:t>
      </w:r>
    </w:p>
    <w:p w14:paraId="2E540018" w14:textId="77777777" w:rsidR="00552D25" w:rsidRDefault="00552D25" w:rsidP="00552D25">
      <w:pPr>
        <w:pStyle w:val="NoSpacing"/>
      </w:pPr>
    </w:p>
    <w:p w14:paraId="67947793" w14:textId="77777777" w:rsidR="00552D25" w:rsidRDefault="00552D25" w:rsidP="00552D25">
      <w:pPr>
        <w:pStyle w:val="NoSpacing"/>
      </w:pPr>
      <w:r>
        <w:t>The same is true for Smeby’s girlfriend’s statements to the nurse about his heroin use. For the reasons already explained, those statements are not protected by the physician-patient privilege or the nurse-patient privilege. The inclusion of the girlfriend’s comment in Smeby’s medical record does not render the girlfriend’s comment privileged.”</w:t>
      </w:r>
    </w:p>
    <w:p w14:paraId="45BC40F5" w14:textId="77777777" w:rsidR="00552D25" w:rsidRDefault="00552D25" w:rsidP="00552D25">
      <w:pPr>
        <w:pStyle w:val="NoSpacing"/>
      </w:pPr>
    </w:p>
    <w:p w14:paraId="6214C8D3" w14:textId="77777777" w:rsidR="00552D25" w:rsidRPr="00273001" w:rsidRDefault="00552D25" w:rsidP="00552D25">
      <w:pPr>
        <w:pStyle w:val="NoSpacing"/>
        <w:rPr>
          <w:b/>
          <w:bCs/>
        </w:rPr>
      </w:pPr>
      <w:r w:rsidRPr="00273001">
        <w:rPr>
          <w:b/>
        </w:rPr>
        <w:t xml:space="preserve">Legal lesson learned: </w:t>
      </w:r>
      <w:r>
        <w:rPr>
          <w:b/>
        </w:rPr>
        <w:t xml:space="preserve">EMS wisely documented in EMS run report that both the patient and his girlfriend stated he was using heroin prior to crash.  </w:t>
      </w:r>
    </w:p>
    <w:p w14:paraId="52692DFA" w14:textId="77777777" w:rsidR="00552D25" w:rsidRDefault="00552D25" w:rsidP="00552D25">
      <w:pPr>
        <w:pStyle w:val="NoSpacing"/>
      </w:pPr>
    </w:p>
    <w:p w14:paraId="2815BC2B" w14:textId="77777777" w:rsidR="00552D25" w:rsidRDefault="00552D25" w:rsidP="00552D25">
      <w:pPr>
        <w:pStyle w:val="NoSpacing"/>
      </w:pPr>
      <w:r>
        <w:lastRenderedPageBreak/>
        <w:tab/>
        <w:t>Note:  See the Minnesota privilege statue.</w:t>
      </w:r>
    </w:p>
    <w:p w14:paraId="64E08A1F" w14:textId="77777777" w:rsidR="00552D25" w:rsidRDefault="00552D25" w:rsidP="00552D25">
      <w:pPr>
        <w:pStyle w:val="NoSpacing"/>
        <w:ind w:firstLine="720"/>
      </w:pPr>
      <w:hyperlink r:id="rId2035" w:history="1">
        <w:r w:rsidRPr="004C7C67">
          <w:rPr>
            <w:rStyle w:val="Hyperlink"/>
          </w:rPr>
          <w:t>https://www.revisor.mn.gov/statutes/cite/595.02</w:t>
        </w:r>
      </w:hyperlink>
      <w:r>
        <w:t xml:space="preserve"> </w:t>
      </w:r>
    </w:p>
    <w:p w14:paraId="151FB290" w14:textId="77777777" w:rsidR="00552D25" w:rsidRDefault="00552D25" w:rsidP="00552D25">
      <w:pPr>
        <w:pStyle w:val="NoSpacing"/>
      </w:pPr>
    </w:p>
    <w:p w14:paraId="7C11F5FB" w14:textId="77777777" w:rsidR="00552D25" w:rsidRDefault="00552D25" w:rsidP="00552D25">
      <w:pPr>
        <w:pStyle w:val="NoSpacing"/>
        <w:ind w:left="720"/>
      </w:pPr>
      <w:r>
        <w:t>“</w:t>
      </w:r>
      <w:r w:rsidRPr="008235AE">
        <w:t>(d) A licensed physician or surgeon, dentist, or chiropractor shall not, without the consent of the patient, be allowed to disclose any information or any opinion based thereon which the professional acquired in attending the patient in a professional capacity, and which was necessary to enable the professional to act in that capacity; after the decease of the patient, in an action to recover insurance benefits, where the insurance has been in existence two years or more, the beneficiaries shall be deemed to be the personal representatives of the deceased person for the purpose of waiving this privilege, and no oral or written waiver of the privilege shall have any binding force or effect except when made upon the trial or examination where the evidence is offered or received.</w:t>
      </w:r>
      <w:r>
        <w:t>”</w:t>
      </w:r>
    </w:p>
    <w:p w14:paraId="58169CD0" w14:textId="77777777" w:rsidR="00552D25" w:rsidRPr="00BC4B85" w:rsidRDefault="00552D25" w:rsidP="00552D25">
      <w:pPr>
        <w:pStyle w:val="NoSpacing"/>
        <w:rPr>
          <w:b/>
          <w:bCs/>
        </w:rPr>
      </w:pPr>
    </w:p>
    <w:p w14:paraId="29447C2D" w14:textId="77777777" w:rsidR="00DD2FCE" w:rsidRDefault="00DD2FCE" w:rsidP="00004498">
      <w:pPr>
        <w:rPr>
          <w:rFonts w:ascii="Arial Black" w:hAnsi="Arial Black"/>
          <w:b/>
          <w:bCs/>
          <w:sz w:val="24"/>
          <w:szCs w:val="24"/>
        </w:rPr>
      </w:pPr>
    </w:p>
    <w:p w14:paraId="159D361F" w14:textId="066733D5" w:rsidR="00552D25" w:rsidRDefault="00552D25" w:rsidP="00004498">
      <w:pPr>
        <w:rPr>
          <w:rFonts w:ascii="Arial Black" w:hAnsi="Arial Black"/>
          <w:b/>
          <w:bCs/>
          <w:sz w:val="24"/>
          <w:szCs w:val="24"/>
        </w:rPr>
      </w:pPr>
      <w:r>
        <w:rPr>
          <w:rFonts w:ascii="Arial Black" w:hAnsi="Arial Black"/>
          <w:b/>
          <w:bCs/>
          <w:sz w:val="24"/>
          <w:szCs w:val="24"/>
        </w:rPr>
        <w:t>13-</w:t>
      </w:r>
      <w:r w:rsidR="009256C3">
        <w:rPr>
          <w:rFonts w:ascii="Arial Black" w:hAnsi="Arial Black"/>
          <w:b/>
          <w:bCs/>
          <w:sz w:val="24"/>
          <w:szCs w:val="24"/>
        </w:rPr>
        <w:t>250</w:t>
      </w:r>
    </w:p>
    <w:p w14:paraId="05500C7A" w14:textId="77777777" w:rsidR="00E306E9" w:rsidRPr="00752ABB" w:rsidRDefault="00E306E9" w:rsidP="00E306E9">
      <w:pPr>
        <w:pStyle w:val="NoSpacing"/>
        <w:rPr>
          <w:rFonts w:ascii="Arial Black" w:hAnsi="Arial Black"/>
          <w:b/>
          <w:sz w:val="28"/>
          <w:szCs w:val="28"/>
        </w:rPr>
      </w:pPr>
      <w:r>
        <w:rPr>
          <w:rFonts w:ascii="Arial Black" w:hAnsi="Arial Black"/>
          <w:b/>
          <w:sz w:val="28"/>
          <w:szCs w:val="28"/>
        </w:rPr>
        <w:t>FL: EMS &amp; HOSP BLOOD DRAWS – SUBPOENA MURDER</w:t>
      </w:r>
    </w:p>
    <w:p w14:paraId="6AFB49B5" w14:textId="77777777" w:rsidR="00E306E9" w:rsidRDefault="00E306E9" w:rsidP="00E306E9">
      <w:pPr>
        <w:pStyle w:val="NoSpacing"/>
        <w:rPr>
          <w:b/>
        </w:rPr>
      </w:pPr>
    </w:p>
    <w:p w14:paraId="45479718" w14:textId="21CF744F" w:rsidR="00E306E9" w:rsidRDefault="00E306E9" w:rsidP="00E306E9">
      <w:pPr>
        <w:pStyle w:val="NoSpacing"/>
        <w:rPr>
          <w:b/>
        </w:rPr>
      </w:pPr>
      <w:r>
        <w:t xml:space="preserve">On March 18, 2026, in </w:t>
      </w:r>
      <w:r w:rsidRPr="007F0612">
        <w:rPr>
          <w:u w:val="single"/>
        </w:rPr>
        <w:t>Kyle Matthew Hill v. State of Florida</w:t>
      </w:r>
      <w:r>
        <w:t xml:space="preserve">, the </w:t>
      </w:r>
      <w:r w:rsidRPr="006D0767">
        <w:t>Florida Court of Appeals, Second District</w:t>
      </w:r>
      <w:r>
        <w:t xml:space="preserve">, held (3 to 0) that trial court judge properly refused the defendant’s motion to quash the state’s subpoena for EMS blood draw and EMS run report, and the Hospital’s blood draw records.  </w:t>
      </w:r>
      <w:r w:rsidRPr="00307C91">
        <w:t>The State indicted Mr. Hill for first-degree murder, attempted first-degree murder, DUI manslaughter, and DUI with serious bodily injury</w:t>
      </w:r>
      <w:r>
        <w:t xml:space="preserve">, and the </w:t>
      </w:r>
      <w:r w:rsidRPr="00307C91">
        <w:t>State seeks the death penalty</w:t>
      </w:r>
      <w:r>
        <w:t xml:space="preserve">.  </w:t>
      </w:r>
      <w:hyperlink r:id="rId2036" w:history="1">
        <w:r w:rsidRPr="004C7C67">
          <w:rPr>
            <w:rStyle w:val="Hyperlink"/>
            <w:b/>
          </w:rPr>
          <w:t>https://flcourts-media.flcourts.gov/content/download/2486201/opinion/Opinion_2025-1955.pdf</w:t>
        </w:r>
      </w:hyperlink>
      <w:r>
        <w:rPr>
          <w:b/>
        </w:rPr>
        <w:t xml:space="preserve"> </w:t>
      </w:r>
    </w:p>
    <w:p w14:paraId="667C54C0" w14:textId="77777777" w:rsidR="00E306E9" w:rsidRDefault="00E306E9" w:rsidP="00E306E9">
      <w:pPr>
        <w:pStyle w:val="NoSpacing"/>
        <w:rPr>
          <w:bCs/>
        </w:rPr>
      </w:pPr>
    </w:p>
    <w:p w14:paraId="4ACC2C35" w14:textId="77777777" w:rsidR="00E306E9" w:rsidRPr="00752ABB" w:rsidRDefault="00E306E9" w:rsidP="00E306E9">
      <w:pPr>
        <w:pStyle w:val="NoSpacing"/>
      </w:pPr>
      <w:r>
        <w:t>THE COURT HELD:  “</w:t>
      </w:r>
      <w:r w:rsidRPr="00752ABB">
        <w:t>Allegedly, Mr. Hill purposefully sideswiped another vehicle, causing</w:t>
      </w:r>
    </w:p>
    <w:p w14:paraId="15C8BAA8" w14:textId="77777777" w:rsidR="00E306E9" w:rsidRDefault="00E306E9" w:rsidP="00E306E9">
      <w:pPr>
        <w:pStyle w:val="NoSpacing"/>
      </w:pPr>
      <w:proofErr w:type="gramStart"/>
      <w:r w:rsidRPr="00752ABB">
        <w:t>it</w:t>
      </w:r>
      <w:proofErr w:type="gramEnd"/>
      <w:r w:rsidRPr="00752ABB">
        <w:t xml:space="preserve"> </w:t>
      </w:r>
      <w:proofErr w:type="gramStart"/>
      <w:r w:rsidRPr="00752ABB">
        <w:t>to</w:t>
      </w:r>
      <w:proofErr w:type="gramEnd"/>
      <w:r w:rsidRPr="00752ABB">
        <w:t xml:space="preserve"> leave the roadway and crash into a pole. The collision injured the</w:t>
      </w:r>
      <w:r>
        <w:t xml:space="preserve"> </w:t>
      </w:r>
      <w:r w:rsidRPr="00752ABB">
        <w:t>driver and killed her passenger.</w:t>
      </w:r>
      <w:r>
        <w:t xml:space="preserve"> </w:t>
      </w:r>
      <w:r w:rsidRPr="00752ABB">
        <w:t>Police suspected that Mr. Hill was driving under the influence of</w:t>
      </w:r>
      <w:r>
        <w:t xml:space="preserve"> </w:t>
      </w:r>
      <w:r w:rsidRPr="00752ABB">
        <w:t>alcohol. They directed emergency medical services (EMS) personnel to</w:t>
      </w:r>
      <w:r>
        <w:t xml:space="preserve"> </w:t>
      </w:r>
      <w:r w:rsidRPr="00752ABB">
        <w:t xml:space="preserve">conduct </w:t>
      </w:r>
      <w:proofErr w:type="gramStart"/>
      <w:r w:rsidRPr="00752ABB">
        <w:t>a blood</w:t>
      </w:r>
      <w:proofErr w:type="gramEnd"/>
      <w:r w:rsidRPr="00752ABB">
        <w:t xml:space="preserve"> draw. EMS personnel then took Mr. Hill to the hospital</w:t>
      </w:r>
      <w:r>
        <w:t xml:space="preserve"> </w:t>
      </w:r>
      <w:r w:rsidRPr="00752ABB">
        <w:t>where staff performed another blood draw.</w:t>
      </w:r>
    </w:p>
    <w:p w14:paraId="50AD8ADC" w14:textId="77777777" w:rsidR="00E306E9" w:rsidRDefault="00E306E9" w:rsidP="00E306E9">
      <w:pPr>
        <w:pStyle w:val="NoSpacing"/>
      </w:pPr>
    </w:p>
    <w:p w14:paraId="2CB4ECDE" w14:textId="77777777" w:rsidR="00E306E9" w:rsidRDefault="00E306E9" w:rsidP="00E306E9">
      <w:pPr>
        <w:pStyle w:val="NoSpacing"/>
      </w:pPr>
      <w:r>
        <w:t>***</w:t>
      </w:r>
    </w:p>
    <w:p w14:paraId="33EFDD69" w14:textId="77777777" w:rsidR="00E306E9" w:rsidRDefault="00E306E9" w:rsidP="00E306E9">
      <w:pPr>
        <w:pStyle w:val="NoSpacing"/>
        <w:rPr>
          <w:bCs/>
        </w:rPr>
      </w:pPr>
      <w:r w:rsidRPr="00104E34">
        <w:t>Thus, the charging documents indicate that Mr. Hill's medical</w:t>
      </w:r>
      <w:r>
        <w:t xml:space="preserve"> </w:t>
      </w:r>
      <w:r w:rsidRPr="00104E34">
        <w:t>records will provide evidence of intoxication.</w:t>
      </w:r>
      <w:r>
        <w:t xml:space="preserve"> </w:t>
      </w:r>
      <w:r w:rsidRPr="00104E34">
        <w:t>Mr. Hill contends that the State's quantum of evidence was</w:t>
      </w:r>
      <w:r>
        <w:t xml:space="preserve"> </w:t>
      </w:r>
      <w:r w:rsidRPr="00104E34">
        <w:t xml:space="preserve">insufficient to support issuance of the subpoenas. He laments </w:t>
      </w:r>
      <w:proofErr w:type="gramStart"/>
      <w:r w:rsidRPr="00104E34">
        <w:t xml:space="preserve">that </w:t>
      </w:r>
      <w:r>
        <w:t>‘</w:t>
      </w:r>
      <w:r w:rsidRPr="00104E34">
        <w:t>[t]he</w:t>
      </w:r>
      <w:proofErr w:type="gramEnd"/>
      <w:r>
        <w:t xml:space="preserve"> </w:t>
      </w:r>
      <w:r w:rsidRPr="00104E34">
        <w:t xml:space="preserve">State advanced a brief </w:t>
      </w:r>
      <w:proofErr w:type="gramStart"/>
      <w:r w:rsidRPr="00104E34">
        <w:t>argument, and</w:t>
      </w:r>
      <w:proofErr w:type="gramEnd"/>
      <w:r w:rsidRPr="00104E34">
        <w:t xml:space="preserve"> presented no evidence . . . other</w:t>
      </w:r>
      <w:r>
        <w:t xml:space="preserve"> </w:t>
      </w:r>
      <w:r w:rsidRPr="00104E34">
        <w:t>than the arrest affidavits.</w:t>
      </w:r>
      <w:r>
        <w:t>’</w:t>
      </w:r>
      <w:r w:rsidRPr="00104E34">
        <w:t xml:space="preserve"> We are unpersuaded</w:t>
      </w:r>
      <w:r>
        <w:t>.”</w:t>
      </w:r>
    </w:p>
    <w:p w14:paraId="140DDA0B" w14:textId="77777777" w:rsidR="00E306E9" w:rsidRDefault="00E306E9" w:rsidP="00E306E9">
      <w:pPr>
        <w:pStyle w:val="NoSpacing"/>
        <w:rPr>
          <w:bCs/>
        </w:rPr>
      </w:pPr>
    </w:p>
    <w:p w14:paraId="727283C0" w14:textId="77777777" w:rsidR="00E306E9" w:rsidRDefault="00E306E9" w:rsidP="00E306E9">
      <w:pPr>
        <w:pStyle w:val="NoSpacing"/>
        <w:rPr>
          <w:b/>
        </w:rPr>
      </w:pPr>
      <w:r w:rsidRPr="00B018C5">
        <w:rPr>
          <w:b/>
        </w:rPr>
        <w:t xml:space="preserve">Legal lesson learned: </w:t>
      </w:r>
      <w:r>
        <w:rPr>
          <w:b/>
        </w:rPr>
        <w:t xml:space="preserve">The defendant is facing death penalty, and the blood draw records will be provided to the jury. </w:t>
      </w:r>
    </w:p>
    <w:p w14:paraId="07F3F69F" w14:textId="77777777" w:rsidR="00552D25" w:rsidRDefault="00552D25" w:rsidP="00004498">
      <w:pPr>
        <w:rPr>
          <w:rFonts w:ascii="Arial Black" w:hAnsi="Arial Black"/>
          <w:b/>
          <w:bCs/>
          <w:sz w:val="24"/>
          <w:szCs w:val="24"/>
        </w:rPr>
      </w:pPr>
    </w:p>
    <w:p w14:paraId="5D850888" w14:textId="492F529D" w:rsidR="00B170D7" w:rsidRDefault="005127F9" w:rsidP="00004498">
      <w:pPr>
        <w:rPr>
          <w:rFonts w:ascii="Arial Black" w:hAnsi="Arial Black"/>
          <w:b/>
          <w:bCs/>
          <w:sz w:val="24"/>
          <w:szCs w:val="24"/>
        </w:rPr>
      </w:pPr>
      <w:r>
        <w:rPr>
          <w:rFonts w:ascii="Arial Black" w:hAnsi="Arial Black"/>
          <w:b/>
          <w:bCs/>
          <w:sz w:val="24"/>
          <w:szCs w:val="24"/>
        </w:rPr>
        <w:t>13-</w:t>
      </w:r>
      <w:r w:rsidR="009256C3">
        <w:rPr>
          <w:rFonts w:ascii="Arial Black" w:hAnsi="Arial Black"/>
          <w:b/>
          <w:bCs/>
          <w:sz w:val="24"/>
          <w:szCs w:val="24"/>
        </w:rPr>
        <w:t>249</w:t>
      </w:r>
    </w:p>
    <w:p w14:paraId="73789317" w14:textId="77777777" w:rsidR="007C0834" w:rsidRPr="002870FF" w:rsidRDefault="007C0834" w:rsidP="007C0834">
      <w:pPr>
        <w:pStyle w:val="NoSpacing"/>
        <w:rPr>
          <w:rFonts w:ascii="Arial Black" w:hAnsi="Arial Black"/>
          <w:b/>
          <w:sz w:val="28"/>
          <w:szCs w:val="28"/>
        </w:rPr>
      </w:pPr>
      <w:r>
        <w:rPr>
          <w:rFonts w:ascii="Arial Black" w:hAnsi="Arial Black"/>
          <w:b/>
          <w:sz w:val="28"/>
          <w:szCs w:val="28"/>
        </w:rPr>
        <w:t xml:space="preserve">TN: SEIZURE PT - TASED - SPIT SOCK - FACE DOWN – DIED </w:t>
      </w:r>
    </w:p>
    <w:p w14:paraId="73AFC9BF" w14:textId="77777777" w:rsidR="007C0834" w:rsidRDefault="007C0834" w:rsidP="007C0834">
      <w:pPr>
        <w:pStyle w:val="NoSpacing"/>
        <w:rPr>
          <w:b/>
        </w:rPr>
      </w:pPr>
    </w:p>
    <w:p w14:paraId="39DB9B73" w14:textId="77777777" w:rsidR="007C0834" w:rsidRDefault="007C0834" w:rsidP="007C0834">
      <w:pPr>
        <w:pStyle w:val="NoSpacing"/>
        <w:rPr>
          <w:bCs/>
        </w:rPr>
      </w:pPr>
      <w:r w:rsidRPr="00E565A4">
        <w:t xml:space="preserve">On March 16, 2026, in </w:t>
      </w:r>
      <w:r w:rsidRPr="00E565A4">
        <w:rPr>
          <w:u w:val="single"/>
        </w:rPr>
        <w:t>Karen Goodwin, individually and on behalf of Austin Hunter Turner, deceased v. City of Bristol, Tennessee</w:t>
      </w:r>
      <w:r w:rsidRPr="00E565A4">
        <w:t xml:space="preserve">, </w:t>
      </w:r>
      <w:r>
        <w:t xml:space="preserve">U.S. District Court Judge Clifton L. Corker, United States District Court for the Eastern District of Tennessee, </w:t>
      </w:r>
      <w:r w:rsidRPr="00646F7A">
        <w:t>Greeneville Division</w:t>
      </w:r>
      <w:r>
        <w:t xml:space="preserve">, granted defense motion for summary judgment.  Combative patient, face down, restraints on hands and feet – died. Family did not file lawsuit within one year – August 30, </w:t>
      </w:r>
      <w:proofErr w:type="gramStart"/>
      <w:r>
        <w:t>2017</w:t>
      </w:r>
      <w:proofErr w:type="gramEnd"/>
      <w:r>
        <w:t xml:space="preserve"> death; case filed six years later.  </w:t>
      </w:r>
      <w:hyperlink r:id="rId2037" w:history="1">
        <w:r w:rsidRPr="00A9331C">
          <w:rPr>
            <w:rStyle w:val="Hyperlink"/>
          </w:rPr>
          <w:t>https://public.fastcase.com/Jhe1Qn%2BmJndQYQU6z%2FeNm%2BJGkZOBI%2FIR3xMI1hqgTrQGqCoob0t8sJ6Oq4%2B3vNWN?utm_medium=email&amp;_hsenc=p2ANqtz-9C5O8INd3-mOP0XdLpifj0NkMcgvHJMlYVXVlVDxFjxItyF7mxImlUcaWgD0DywBt6olIyvEknUS-SxKw_pSJ1xCMABg&amp;_hsmi=226712652&amp;utm_content=226712652&amp;utm_source=hs_email</w:t>
        </w:r>
      </w:hyperlink>
      <w:r>
        <w:t xml:space="preserve"> </w:t>
      </w:r>
    </w:p>
    <w:p w14:paraId="38E75661" w14:textId="77777777" w:rsidR="007C0834" w:rsidRDefault="007C0834" w:rsidP="007C0834">
      <w:pPr>
        <w:pStyle w:val="NoSpacing"/>
        <w:rPr>
          <w:bCs/>
        </w:rPr>
      </w:pPr>
    </w:p>
    <w:p w14:paraId="1DE9ABA5" w14:textId="77777777" w:rsidR="007C0834" w:rsidRDefault="007C0834" w:rsidP="007C0834">
      <w:pPr>
        <w:pStyle w:val="NoSpacing"/>
      </w:pPr>
      <w:r>
        <w:lastRenderedPageBreak/>
        <w:t>THE COURT HELD:  “</w:t>
      </w:r>
      <w:r w:rsidRPr="00EE41D8">
        <w:t>Tennessee's one-year statute of limitations therefore expired on August 30, 2018—nearly six years before this action was filed. Plaintiff's § 1983 claims must therefore be dismissed for failure to state a claim.</w:t>
      </w:r>
    </w:p>
    <w:p w14:paraId="286A9BB4" w14:textId="77777777" w:rsidR="007C0834" w:rsidRDefault="007C0834" w:rsidP="007C0834">
      <w:pPr>
        <w:pStyle w:val="NoSpacing"/>
      </w:pPr>
    </w:p>
    <w:p w14:paraId="1CE41C2A" w14:textId="77777777" w:rsidR="007C0834" w:rsidRDefault="007C0834" w:rsidP="007C0834">
      <w:pPr>
        <w:pStyle w:val="NoSpacing"/>
        <w:rPr>
          <w:bCs/>
        </w:rPr>
      </w:pPr>
      <w:r>
        <w:t>***</w:t>
      </w:r>
    </w:p>
    <w:p w14:paraId="76192D94" w14:textId="77777777" w:rsidR="007C0834" w:rsidRDefault="007C0834" w:rsidP="007C0834">
      <w:pPr>
        <w:pStyle w:val="NoSpacing"/>
        <w:rPr>
          <w:bCs/>
        </w:rPr>
      </w:pPr>
    </w:p>
    <w:p w14:paraId="3EF67B0E" w14:textId="77777777" w:rsidR="007C0834" w:rsidRDefault="007C0834" w:rsidP="007C0834">
      <w:pPr>
        <w:pStyle w:val="NoSpacing"/>
      </w:pPr>
      <w:r w:rsidRPr="00F1137B">
        <w:t xml:space="preserve">Though Plaintiff is not seen on camera when Turner was </w:t>
      </w:r>
      <w:proofErr w:type="gramStart"/>
      <w:r w:rsidRPr="00F1137B">
        <w:t>tased</w:t>
      </w:r>
      <w:proofErr w:type="gramEnd"/>
      <w:r w:rsidRPr="00F1137B">
        <w:t xml:space="preserve">, the footage makes clear that she was standing only a few feet away. </w:t>
      </w:r>
      <w:r>
        <w:t>[</w:t>
      </w:r>
      <w:r w:rsidRPr="00EC243A">
        <w:t xml:space="preserve">Bristol Police </w:t>
      </w:r>
      <w:r>
        <w:t xml:space="preserve">Officer Eric] </w:t>
      </w:r>
      <w:r w:rsidRPr="00F1137B">
        <w:t>Keller's warning, the sound of the taser, and Turner's audible reaction would have been plainly perceptible to anyone in the room. The struggle continued for roughly another minute as officers and paramedics attempted to secure Turner in handcuffs</w:t>
      </w:r>
      <w:r>
        <w:t xml:space="preserve">…. </w:t>
      </w:r>
      <w:r w:rsidRPr="00A91024">
        <w:t>The footage next shows Plaintiff outside after the paramedics moved Turner towards the ambulance. She got out of her car and walked towards Turner as he lay face down on the cot with a spit sock over his head and restraints on both his hands and feet</w:t>
      </w:r>
      <w:r>
        <w:t xml:space="preserve">…. </w:t>
      </w:r>
      <w:r w:rsidRPr="00A91024">
        <w:t>Plaintiff stood beside him facing the cot</w:t>
      </w:r>
      <w:r>
        <w:t xml:space="preserve">…. </w:t>
      </w:r>
      <w:r w:rsidRPr="00A91024">
        <w:t>She is also seen outside the ambulance looking inside while officers and paramedics applied pressure to Turner's head</w:t>
      </w:r>
      <w:r>
        <w:t xml:space="preserve">…. </w:t>
      </w:r>
      <w:r w:rsidRPr="00A91024">
        <w:t xml:space="preserve"> She was also outside the ambulance door seconds after someone shut the door.</w:t>
      </w:r>
      <w:r>
        <w:t>”</w:t>
      </w:r>
    </w:p>
    <w:p w14:paraId="10DB9E55" w14:textId="77777777" w:rsidR="007C0834" w:rsidRDefault="007C0834" w:rsidP="007C0834">
      <w:pPr>
        <w:pStyle w:val="NoSpacing"/>
      </w:pPr>
    </w:p>
    <w:p w14:paraId="5455D8FA" w14:textId="77777777" w:rsidR="007C0834" w:rsidRDefault="007C0834" w:rsidP="007C0834">
      <w:pPr>
        <w:pStyle w:val="NoSpacing"/>
        <w:rPr>
          <w:b/>
          <w:bCs/>
        </w:rPr>
      </w:pPr>
      <w:r w:rsidRPr="00BC4B85">
        <w:rPr>
          <w:b/>
        </w:rPr>
        <w:t xml:space="preserve">Legal lesson learned: </w:t>
      </w:r>
      <w:r>
        <w:rPr>
          <w:b/>
        </w:rPr>
        <w:t xml:space="preserve">Case was not timely filed.  Review your protocol about transporting combative patients, handcuffed, face down with spit sock. </w:t>
      </w:r>
    </w:p>
    <w:p w14:paraId="7C71CE33" w14:textId="77777777" w:rsidR="007C0834" w:rsidRDefault="007C0834" w:rsidP="007C0834">
      <w:pPr>
        <w:pStyle w:val="NoSpacing"/>
        <w:rPr>
          <w:b/>
          <w:bCs/>
        </w:rPr>
      </w:pPr>
    </w:p>
    <w:p w14:paraId="3500837F" w14:textId="77777777" w:rsidR="007C0834" w:rsidRDefault="007C0834" w:rsidP="007C0834">
      <w:pPr>
        <w:pStyle w:val="NoSpacing"/>
        <w:rPr>
          <w:rFonts w:ascii="Arial Black" w:hAnsi="Arial Black"/>
          <w:sz w:val="28"/>
          <w:szCs w:val="28"/>
        </w:rPr>
      </w:pPr>
    </w:p>
    <w:p w14:paraId="7F18D8ED" w14:textId="70E45617" w:rsidR="009256C3" w:rsidRDefault="007C0834" w:rsidP="00004498">
      <w:pPr>
        <w:rPr>
          <w:rFonts w:ascii="Arial Black" w:hAnsi="Arial Black"/>
          <w:b/>
          <w:bCs/>
          <w:sz w:val="24"/>
          <w:szCs w:val="24"/>
        </w:rPr>
      </w:pPr>
      <w:r>
        <w:rPr>
          <w:rFonts w:ascii="Arial Black" w:hAnsi="Arial Black"/>
          <w:b/>
          <w:bCs/>
          <w:sz w:val="24"/>
          <w:szCs w:val="24"/>
        </w:rPr>
        <w:t>13-</w:t>
      </w:r>
      <w:r w:rsidR="009256C3">
        <w:rPr>
          <w:rFonts w:ascii="Arial Black" w:hAnsi="Arial Black"/>
          <w:b/>
          <w:bCs/>
          <w:sz w:val="24"/>
          <w:szCs w:val="24"/>
        </w:rPr>
        <w:t>248</w:t>
      </w:r>
    </w:p>
    <w:p w14:paraId="4ACA8CD6" w14:textId="77777777" w:rsidR="009256C3" w:rsidRPr="008A6E9C" w:rsidRDefault="009256C3" w:rsidP="009256C3">
      <w:pPr>
        <w:pStyle w:val="NoSpacing"/>
        <w:rPr>
          <w:rFonts w:ascii="Arial Black" w:hAnsi="Arial Black"/>
          <w:b/>
          <w:sz w:val="28"/>
          <w:szCs w:val="28"/>
        </w:rPr>
      </w:pPr>
      <w:r>
        <w:rPr>
          <w:rFonts w:ascii="Arial Black" w:hAnsi="Arial Black"/>
          <w:b/>
          <w:sz w:val="28"/>
          <w:szCs w:val="28"/>
        </w:rPr>
        <w:t xml:space="preserve">CA: EMS DIVERTED BY HOSP - PREGNANT PT – EMTALA </w:t>
      </w:r>
    </w:p>
    <w:p w14:paraId="5789CEC6" w14:textId="77777777" w:rsidR="009256C3" w:rsidRDefault="009256C3" w:rsidP="009256C3">
      <w:pPr>
        <w:pStyle w:val="NoSpacing"/>
        <w:rPr>
          <w:b/>
        </w:rPr>
      </w:pPr>
    </w:p>
    <w:p w14:paraId="5CCE6462" w14:textId="77777777" w:rsidR="009256C3" w:rsidRDefault="009256C3" w:rsidP="009256C3">
      <w:pPr>
        <w:pStyle w:val="NoSpacing"/>
        <w:rPr>
          <w:bCs/>
        </w:rPr>
      </w:pPr>
      <w:r>
        <w:t xml:space="preserve">On March 13, 2026 in </w:t>
      </w:r>
      <w:r w:rsidRPr="00134CC5">
        <w:rPr>
          <w:u w:val="single"/>
        </w:rPr>
        <w:t>Keiko Kawamura v. Mammoth Hospital, et al</w:t>
      </w:r>
      <w:r>
        <w:t xml:space="preserve">., U.S. Magistrate Judge has issued a Report and Recommendation to U.S. District Court judge, United States District Court for the Eastern District of California, that the lawsuit filed by pro se plaintiff (not represented by an attorney) may proceed against the Hospital under </w:t>
      </w:r>
      <w:r w:rsidRPr="008F7969">
        <w:t>Emergency Medical Treatment and Active Labor Act (EMTALA) because Mammoth Hospital failed to screen her under 42 U.S.C. § 1395dd(a) and failed to stabilize her under § 1395dd(b).</w:t>
      </w:r>
      <w:r>
        <w:t xml:space="preserve">  However, the EMTALA does not provide for litigation against any individual doctors.  She claims the ambulance was three minutes from the hospital, in third stage of labor and EMS were directed to take her to another hospital, </w:t>
      </w:r>
      <w:r w:rsidRPr="000F6DB1">
        <w:t>resulting in an almost 2-hour delay between when EMS personnel</w:t>
      </w:r>
      <w:r>
        <w:t xml:space="preserve"> first</w:t>
      </w:r>
      <w:r w:rsidRPr="000F6DB1">
        <w:t xml:space="preserve"> </w:t>
      </w:r>
      <w:proofErr w:type="gramStart"/>
      <w:r w:rsidRPr="000F6DB1">
        <w:t>made contact with</w:t>
      </w:r>
      <w:proofErr w:type="gramEnd"/>
      <w:r w:rsidRPr="000F6DB1">
        <w:t xml:space="preserve"> Plaintiff and the time </w:t>
      </w:r>
      <w:r>
        <w:t xml:space="preserve">physicians </w:t>
      </w:r>
      <w:r w:rsidRPr="000F6DB1">
        <w:t>evaluated her.</w:t>
      </w:r>
      <w:r>
        <w:t xml:space="preserve"> </w:t>
      </w:r>
      <w:hyperlink r:id="rId2038" w:history="1">
        <w:r w:rsidRPr="00502BCE">
          <w:rPr>
            <w:rStyle w:val="Hyperlink"/>
          </w:rPr>
          <w:t>https://cases.justia.com/federal/district-courts/california/caedce/1:2025cv00789/467494/25/0.pdf?ts=1773524860</w:t>
        </w:r>
      </w:hyperlink>
      <w:r>
        <w:t xml:space="preserve"> </w:t>
      </w:r>
    </w:p>
    <w:p w14:paraId="74EDF75D" w14:textId="77777777" w:rsidR="009256C3" w:rsidRDefault="009256C3" w:rsidP="009256C3">
      <w:pPr>
        <w:pStyle w:val="NoSpacing"/>
        <w:rPr>
          <w:bCs/>
        </w:rPr>
      </w:pPr>
    </w:p>
    <w:p w14:paraId="68379CF9" w14:textId="77777777" w:rsidR="009256C3" w:rsidRDefault="009256C3" w:rsidP="009256C3">
      <w:pPr>
        <w:pStyle w:val="NoSpacing"/>
        <w:rPr>
          <w:bCs/>
        </w:rPr>
      </w:pPr>
      <w:r>
        <w:t>THE COURT HELD: “</w:t>
      </w:r>
      <w:r w:rsidRPr="006A1EB3">
        <w:t>The Court has screened Plaintiff's second amended complaint and concludes that it sufficiently states a claim that Defendant Mammoth Hospital violated EMTALA, specifically that it failed to screen her under 42 U.S.C. § 1395dd(a) and failed to stabilize her under § 1395dd(b). However, the Court recommends that all other claims and Defendants be dismissed without further leave to amend.</w:t>
      </w:r>
    </w:p>
    <w:p w14:paraId="388DF5C4" w14:textId="77777777" w:rsidR="009256C3" w:rsidRDefault="009256C3" w:rsidP="009256C3">
      <w:pPr>
        <w:pStyle w:val="NoSpacing"/>
        <w:rPr>
          <w:bCs/>
        </w:rPr>
      </w:pPr>
    </w:p>
    <w:p w14:paraId="391A3CF7" w14:textId="77777777" w:rsidR="009256C3" w:rsidRDefault="009256C3" w:rsidP="009256C3">
      <w:pPr>
        <w:pStyle w:val="NoSpacing"/>
        <w:rPr>
          <w:bCs/>
        </w:rPr>
      </w:pPr>
      <w:r>
        <w:t>***</w:t>
      </w:r>
    </w:p>
    <w:p w14:paraId="3EA1A4A0" w14:textId="77777777" w:rsidR="009256C3" w:rsidRPr="000F6DB1" w:rsidRDefault="009256C3" w:rsidP="009256C3">
      <w:pPr>
        <w:pStyle w:val="NoSpacing"/>
      </w:pPr>
      <w:r w:rsidRPr="000F6DB1">
        <w:t>Moreover, Plaintiff's second amended complaint alleges that Plaintiff was approximately three minutes from Mammoth hospital while in labor</w:t>
      </w:r>
      <w:r>
        <w:t xml:space="preserve">…. </w:t>
      </w:r>
      <w:r w:rsidRPr="000F6DB1">
        <w:t xml:space="preserve">Communications between EMS services and Mammoth Hospital indicate that Mammoth Hospital knew that Plaintiff had an emergency medical condition, including “that Plaintiff was still in the third stage of labor, had not yet </w:t>
      </w:r>
    </w:p>
    <w:p w14:paraId="5A35603F" w14:textId="77777777" w:rsidR="009256C3" w:rsidRDefault="009256C3" w:rsidP="009256C3">
      <w:pPr>
        <w:pStyle w:val="NoSpacing"/>
        <w:rPr>
          <w:b/>
        </w:rPr>
      </w:pPr>
      <w:r w:rsidRPr="000F6DB1">
        <w:t>delivered the placenta, was actively hemorrhaging, and that the umbilical cord remained attached to the newborn.”</w:t>
      </w:r>
      <w:r>
        <w:t xml:space="preserve"> … </w:t>
      </w:r>
      <w:r w:rsidRPr="000F6DB1">
        <w:t xml:space="preserve">Despite knowing this, Mammoth Hospital declined to screen Plaintiff for medical care or provide stabilizing treatment, and instead diverted the ambulance that Plaintiff was </w:t>
      </w:r>
      <w:proofErr w:type="gramStart"/>
      <w:r w:rsidRPr="000F6DB1">
        <w:t>in to</w:t>
      </w:r>
      <w:proofErr w:type="gramEnd"/>
      <w:r w:rsidRPr="000F6DB1">
        <w:t xml:space="preserve"> NIHD,</w:t>
      </w:r>
      <w:r>
        <w:t xml:space="preserve"> [</w:t>
      </w:r>
      <w:r w:rsidRPr="00C45FE9">
        <w:t>Northern Inyo Healthcare District</w:t>
      </w:r>
      <w:r>
        <w:t xml:space="preserve">] </w:t>
      </w:r>
      <w:r w:rsidRPr="000F6DB1">
        <w:t>resulting in an almost 2-hour delay between when EMS personnel made contact with Plaintiff and the time NIHD evaluated her</w:t>
      </w:r>
      <w:r>
        <w:t xml:space="preserve">…. </w:t>
      </w:r>
      <w:r w:rsidRPr="000F6DB1">
        <w:t xml:space="preserve"> Liberally construing the allegations in Plaintiff's second amended complaint, the Court concludes that she has sufficiently stated a claim against Defendant Mammoth Hospital for violation of 42 U.S.C. § § 1395dd(a) and (b) to proceed past screening. </w:t>
      </w:r>
    </w:p>
    <w:p w14:paraId="4CBA2DB9" w14:textId="77777777" w:rsidR="009256C3" w:rsidRDefault="009256C3" w:rsidP="009256C3">
      <w:pPr>
        <w:pStyle w:val="NoSpacing"/>
        <w:rPr>
          <w:b/>
        </w:rPr>
      </w:pPr>
    </w:p>
    <w:p w14:paraId="1D78EE12" w14:textId="77777777" w:rsidR="009256C3" w:rsidRDefault="009256C3" w:rsidP="009256C3">
      <w:pPr>
        <w:pStyle w:val="NoSpacing"/>
      </w:pPr>
      <w:r w:rsidRPr="00F525DB">
        <w:lastRenderedPageBreak/>
        <w:t>However, as noted in the Court's previous screening order, because a private EMTALA right of action is authorized as to “a participating hospital's violation” under 42 U.S.C.A. § 1395dd(d)(2)(A), Plaintiff cannot sue non-hospital Defendants, i.e., Dr. Howell, Tom Parker, and Does 1-10.</w:t>
      </w:r>
      <w:r>
        <w:t>”</w:t>
      </w:r>
    </w:p>
    <w:p w14:paraId="4351F68A" w14:textId="77777777" w:rsidR="009256C3" w:rsidRDefault="009256C3" w:rsidP="009256C3">
      <w:pPr>
        <w:pStyle w:val="NoSpacing"/>
      </w:pPr>
    </w:p>
    <w:p w14:paraId="3A6BE958" w14:textId="77777777" w:rsidR="009256C3" w:rsidRDefault="009256C3" w:rsidP="009256C3">
      <w:pPr>
        <w:pStyle w:val="NoSpacing"/>
        <w:rPr>
          <w:b/>
          <w:bCs/>
        </w:rPr>
      </w:pPr>
      <w:r w:rsidRPr="00EA02A3">
        <w:rPr>
          <w:b/>
        </w:rPr>
        <w:t xml:space="preserve">Legal lesson learned: </w:t>
      </w:r>
      <w:r>
        <w:rPr>
          <w:b/>
        </w:rPr>
        <w:t>The case will now proceed to pre-trial discovery with the hospital.</w:t>
      </w:r>
    </w:p>
    <w:p w14:paraId="58E3AD4F" w14:textId="77777777" w:rsidR="009256C3" w:rsidRDefault="009256C3" w:rsidP="009256C3">
      <w:pPr>
        <w:pStyle w:val="NoSpacing"/>
        <w:rPr>
          <w:b/>
          <w:bCs/>
        </w:rPr>
      </w:pPr>
    </w:p>
    <w:p w14:paraId="317C8F75" w14:textId="77777777" w:rsidR="009256C3" w:rsidRPr="001F7B5B" w:rsidRDefault="009256C3" w:rsidP="009256C3">
      <w:pPr>
        <w:pStyle w:val="NoSpacing"/>
        <w:ind w:left="720"/>
      </w:pPr>
      <w:r w:rsidRPr="00BA4F71">
        <w:t>Note: Plaintiff also claimed a HIPAA violation.</w:t>
      </w:r>
      <w:r>
        <w:rPr>
          <w:b/>
        </w:rPr>
        <w:t xml:space="preserve"> “</w:t>
      </w:r>
      <w:r w:rsidRPr="001F7B5B">
        <w:t>In addition, Plaintiff's claims under HIPAA are subject to dismissal because, as the Court previously advised Plaintiff in the screening order, HIPAA does not authorize a private right of action for HIPAA violations.</w:t>
      </w:r>
      <w:r>
        <w:t>”</w:t>
      </w:r>
    </w:p>
    <w:p w14:paraId="789D6F7A" w14:textId="77777777" w:rsidR="009256C3" w:rsidRDefault="009256C3" w:rsidP="00004498">
      <w:pPr>
        <w:rPr>
          <w:rFonts w:ascii="Arial Black" w:hAnsi="Arial Black"/>
          <w:b/>
          <w:bCs/>
          <w:sz w:val="24"/>
          <w:szCs w:val="24"/>
        </w:rPr>
      </w:pPr>
    </w:p>
    <w:p w14:paraId="04DDD02E" w14:textId="77777777" w:rsidR="00B170D7" w:rsidRDefault="00B170D7" w:rsidP="00004498">
      <w:pPr>
        <w:rPr>
          <w:rFonts w:ascii="Arial Black" w:hAnsi="Arial Black"/>
          <w:b/>
          <w:bCs/>
          <w:sz w:val="24"/>
          <w:szCs w:val="24"/>
        </w:rPr>
      </w:pPr>
    </w:p>
    <w:p w14:paraId="1C4164B8" w14:textId="77777777" w:rsidR="00B170D7" w:rsidRDefault="00B170D7" w:rsidP="00004498">
      <w:pPr>
        <w:rPr>
          <w:rFonts w:ascii="Arial Black" w:hAnsi="Arial Black"/>
          <w:b/>
          <w:bCs/>
          <w:sz w:val="24"/>
          <w:szCs w:val="24"/>
        </w:rPr>
      </w:pPr>
    </w:p>
    <w:p w14:paraId="4EDE43A2" w14:textId="4C88195A" w:rsidR="0064577F" w:rsidRDefault="0064577F" w:rsidP="00004498">
      <w:pPr>
        <w:rPr>
          <w:rFonts w:ascii="Arial Black" w:hAnsi="Arial Black"/>
          <w:b/>
          <w:bCs/>
          <w:sz w:val="24"/>
          <w:szCs w:val="24"/>
        </w:rPr>
      </w:pPr>
      <w:r>
        <w:rPr>
          <w:rFonts w:ascii="Arial Black" w:hAnsi="Arial Black"/>
          <w:b/>
          <w:bCs/>
          <w:sz w:val="24"/>
          <w:szCs w:val="24"/>
        </w:rPr>
        <w:t>13-</w:t>
      </w:r>
      <w:r w:rsidR="00E6034E">
        <w:rPr>
          <w:rFonts w:ascii="Arial Black" w:hAnsi="Arial Black"/>
          <w:b/>
          <w:bCs/>
          <w:sz w:val="24"/>
          <w:szCs w:val="24"/>
        </w:rPr>
        <w:t>24</w:t>
      </w:r>
      <w:r w:rsidR="008D7CEA">
        <w:rPr>
          <w:rFonts w:ascii="Arial Black" w:hAnsi="Arial Black"/>
          <w:b/>
          <w:bCs/>
          <w:sz w:val="24"/>
          <w:szCs w:val="24"/>
        </w:rPr>
        <w:t>7</w:t>
      </w:r>
    </w:p>
    <w:p w14:paraId="096C4509" w14:textId="77777777" w:rsidR="00E6034E" w:rsidRPr="000E4586" w:rsidRDefault="00E6034E" w:rsidP="00E6034E">
      <w:pPr>
        <w:pStyle w:val="NoSpacing"/>
        <w:rPr>
          <w:rFonts w:ascii="Arial Black" w:hAnsi="Arial Black"/>
          <w:bCs/>
          <w:sz w:val="28"/>
          <w:szCs w:val="28"/>
        </w:rPr>
      </w:pPr>
      <w:r w:rsidRPr="000E4586">
        <w:rPr>
          <w:rFonts w:ascii="Arial Black" w:hAnsi="Arial Black"/>
          <w:sz w:val="28"/>
          <w:szCs w:val="28"/>
        </w:rPr>
        <w:t xml:space="preserve">NY: </w:t>
      </w:r>
      <w:r>
        <w:rPr>
          <w:rFonts w:ascii="Arial Black" w:hAnsi="Arial Black"/>
          <w:sz w:val="28"/>
          <w:szCs w:val="28"/>
        </w:rPr>
        <w:t>EMT LICENSE REVOKED – 26 PATIENTS / VITAL SIGNS</w:t>
      </w:r>
    </w:p>
    <w:p w14:paraId="19A112A9" w14:textId="77777777" w:rsidR="00E6034E" w:rsidRDefault="00E6034E" w:rsidP="00E6034E">
      <w:pPr>
        <w:pStyle w:val="NoSpacing"/>
      </w:pPr>
    </w:p>
    <w:p w14:paraId="53558D33" w14:textId="77777777" w:rsidR="00E6034E" w:rsidRDefault="00E6034E" w:rsidP="00E6034E">
      <w:pPr>
        <w:pStyle w:val="NoSpacing"/>
      </w:pPr>
      <w:r>
        <w:t xml:space="preserve">On February 26, 2026, in </w:t>
      </w:r>
      <w:r w:rsidRPr="0087051E">
        <w:rPr>
          <w:u w:val="single"/>
        </w:rPr>
        <w:t xml:space="preserve">In </w:t>
      </w:r>
      <w:proofErr w:type="gramStart"/>
      <w:r w:rsidRPr="0087051E">
        <w:rPr>
          <w:u w:val="single"/>
        </w:rPr>
        <w:t>The</w:t>
      </w:r>
      <w:proofErr w:type="gramEnd"/>
      <w:r w:rsidRPr="0087051E">
        <w:rPr>
          <w:u w:val="single"/>
        </w:rPr>
        <w:t xml:space="preserve"> Matter of Andrew P. DeWolf v. James McDonald, Commissioner of Health, et al</w:t>
      </w:r>
      <w:r>
        <w:t xml:space="preserve">., </w:t>
      </w:r>
      <w:r w:rsidRPr="001E064D">
        <w:t>the Supreme Court of New York, Third Department</w:t>
      </w:r>
      <w:r>
        <w:t xml:space="preserve"> held (5 to 0) that the revocation and $26,000 fine is supported by the administrative record (May 2024 and December 2024 final orders) and the appeal is moot.  </w:t>
      </w:r>
      <w:hyperlink r:id="rId2039" w:history="1">
        <w:r w:rsidRPr="000D51C6">
          <w:rPr>
            <w:rStyle w:val="Hyperlink"/>
          </w:rPr>
          <w:t>https://law.justia.com/cases/new-york/appellate-division-third-department/2026/cv-24-1117-cv-25-0151.html</w:t>
        </w:r>
      </w:hyperlink>
      <w:r>
        <w:t xml:space="preserve"> </w:t>
      </w:r>
    </w:p>
    <w:p w14:paraId="1416B306" w14:textId="77777777" w:rsidR="00E6034E" w:rsidRDefault="00E6034E" w:rsidP="00E6034E">
      <w:pPr>
        <w:pStyle w:val="NoSpacing"/>
      </w:pPr>
    </w:p>
    <w:p w14:paraId="45DEAA52" w14:textId="77777777" w:rsidR="00E6034E" w:rsidRDefault="00E6034E" w:rsidP="00E6034E">
      <w:pPr>
        <w:pStyle w:val="NoSpacing"/>
        <w:rPr>
          <w:bCs/>
        </w:rPr>
      </w:pPr>
      <w:r>
        <w:t>THE COURT HELD: “</w:t>
      </w:r>
      <w:r w:rsidRPr="00280636">
        <w:t xml:space="preserve">In June 2021, respondent Department of Health (hereinafter DOH) served petitioner with a notice of hearing and statement of charges, alleging that, between 2018 and 2019, petitioner endangered the lives of 26 patients in his care as an emergency medical technician (hereinafter EMT). </w:t>
      </w:r>
      <w:r w:rsidRPr="00280636">
        <w:rPr>
          <w:vertAlign w:val="superscript"/>
        </w:rPr>
        <w:t>[</w:t>
      </w:r>
      <w:bookmarkStart w:id="434" w:name="ftn.FN1"/>
      <w:r w:rsidRPr="00280636">
        <w:rPr>
          <w:bCs/>
          <w:vertAlign w:val="superscript"/>
        </w:rPr>
        <w:fldChar w:fldCharType="begin"/>
      </w:r>
      <w:r w:rsidRPr="00280636">
        <w:rPr>
          <w:vertAlign w:val="superscript"/>
        </w:rPr>
        <w:instrText>HYPERLINK "https://public.fastcase.com/" \l "FN1"</w:instrText>
      </w:r>
      <w:r w:rsidRPr="00280636">
        <w:rPr>
          <w:bCs/>
          <w:vertAlign w:val="superscript"/>
        </w:rPr>
      </w:r>
      <w:r w:rsidRPr="00280636">
        <w:rPr>
          <w:bCs/>
          <w:vertAlign w:val="superscript"/>
        </w:rPr>
        <w:fldChar w:fldCharType="separate"/>
      </w:r>
      <w:r w:rsidRPr="00280636">
        <w:rPr>
          <w:rStyle w:val="Hyperlink"/>
          <w:vertAlign w:val="superscript"/>
        </w:rPr>
        <w:t>1</w:t>
      </w:r>
      <w:r w:rsidRPr="00280636">
        <w:rPr>
          <w:bCs/>
        </w:rPr>
        <w:fldChar w:fldCharType="end"/>
      </w:r>
      <w:bookmarkEnd w:id="434"/>
      <w:r w:rsidRPr="00280636">
        <w:rPr>
          <w:vertAlign w:val="superscript"/>
        </w:rPr>
        <w:t>]</w:t>
      </w:r>
      <w:r w:rsidRPr="00280636">
        <w:t xml:space="preserve"> </w:t>
      </w:r>
    </w:p>
    <w:p w14:paraId="0A38EE06" w14:textId="77777777" w:rsidR="00E6034E" w:rsidRDefault="00E6034E" w:rsidP="00E6034E">
      <w:pPr>
        <w:pStyle w:val="NoSpacing"/>
        <w:rPr>
          <w:bCs/>
        </w:rPr>
      </w:pPr>
    </w:p>
    <w:p w14:paraId="451014AD" w14:textId="77777777" w:rsidR="00E6034E" w:rsidRPr="00280636" w:rsidRDefault="00E6034E" w:rsidP="00E6034E">
      <w:pPr>
        <w:pStyle w:val="NoSpacing"/>
        <w:ind w:left="720"/>
        <w:rPr>
          <w:bCs/>
        </w:rPr>
      </w:pPr>
      <w:r>
        <w:t xml:space="preserve">Footnote 1: </w:t>
      </w:r>
      <w:r w:rsidRPr="00280636">
        <w:t xml:space="preserve">DOH charged petitioner with 134 violations of basic and advanced life support treatment protocols; </w:t>
      </w:r>
      <w:proofErr w:type="gramStart"/>
      <w:r w:rsidRPr="00280636">
        <w:t>namely, that</w:t>
      </w:r>
      <w:proofErr w:type="gramEnd"/>
      <w:r w:rsidRPr="00280636">
        <w:t xml:space="preserve"> he failed to regularly monitor patients' vital signs, failed to follow instructions from supervising physicians and overdosed patients on various controlled substances.</w:t>
      </w:r>
    </w:p>
    <w:p w14:paraId="14F6090B" w14:textId="77777777" w:rsidR="00E6034E" w:rsidRDefault="00E6034E" w:rsidP="00E6034E">
      <w:pPr>
        <w:pStyle w:val="NoSpacing"/>
        <w:rPr>
          <w:bCs/>
        </w:rPr>
      </w:pPr>
    </w:p>
    <w:p w14:paraId="3DC59674" w14:textId="77777777" w:rsidR="00E6034E" w:rsidRDefault="00E6034E" w:rsidP="00E6034E">
      <w:pPr>
        <w:pStyle w:val="NoSpacing"/>
      </w:pPr>
      <w:r w:rsidRPr="00280636">
        <w:t>Petitioner contested the charges and, after an evidentiary hearing, an Administrative Law Judge (hereinafter ALJ) issued a report and recommendation that the charges be sustained, petitioner's EMT certification be revoked and he be fined $26,000</w:t>
      </w:r>
      <w:r>
        <w:t xml:space="preserve">…. </w:t>
      </w:r>
      <w:r w:rsidRPr="00F35C35">
        <w:t>Subsequently, in July 2024, respondent Commissioner of Health issued a final determination which adopted the ALJ's report and recommendation.</w:t>
      </w:r>
      <w:r>
        <w:t xml:space="preserve">” </w:t>
      </w:r>
    </w:p>
    <w:p w14:paraId="6029C777" w14:textId="77777777" w:rsidR="00E6034E" w:rsidRDefault="00E6034E" w:rsidP="00E6034E">
      <w:pPr>
        <w:pStyle w:val="NoSpacing"/>
      </w:pPr>
    </w:p>
    <w:p w14:paraId="3DD60C94" w14:textId="77777777" w:rsidR="00E6034E" w:rsidRPr="00BC60DC" w:rsidRDefault="00E6034E" w:rsidP="00E6034E">
      <w:pPr>
        <w:pStyle w:val="NoSpacing"/>
        <w:rPr>
          <w:b/>
          <w:bCs/>
        </w:rPr>
      </w:pPr>
      <w:r>
        <w:rPr>
          <w:b/>
        </w:rPr>
        <w:t xml:space="preserve">Legal lesson learned: EMTs must follow their protocol on monitoring patients’ vital signs </w:t>
      </w:r>
      <w:proofErr w:type="gramStart"/>
      <w:r>
        <w:rPr>
          <w:b/>
        </w:rPr>
        <w:t>and also</w:t>
      </w:r>
      <w:proofErr w:type="gramEnd"/>
      <w:r>
        <w:rPr>
          <w:b/>
        </w:rPr>
        <w:t xml:space="preserve"> follow medical directions.</w:t>
      </w:r>
    </w:p>
    <w:p w14:paraId="3E882E7D" w14:textId="77777777" w:rsidR="00E6034E" w:rsidRDefault="00E6034E" w:rsidP="00004498">
      <w:pPr>
        <w:rPr>
          <w:rFonts w:ascii="Arial Black" w:hAnsi="Arial Black"/>
          <w:b/>
          <w:bCs/>
          <w:sz w:val="24"/>
          <w:szCs w:val="24"/>
        </w:rPr>
      </w:pPr>
    </w:p>
    <w:p w14:paraId="7A6C1DD5" w14:textId="742EADA7" w:rsidR="0064577F" w:rsidRDefault="00A2043F" w:rsidP="00004498">
      <w:pPr>
        <w:rPr>
          <w:rFonts w:ascii="Arial Black" w:hAnsi="Arial Black"/>
          <w:b/>
          <w:bCs/>
          <w:sz w:val="24"/>
          <w:szCs w:val="24"/>
        </w:rPr>
      </w:pPr>
      <w:r>
        <w:rPr>
          <w:rFonts w:ascii="Arial Black" w:hAnsi="Arial Black"/>
          <w:b/>
          <w:bCs/>
          <w:sz w:val="24"/>
          <w:szCs w:val="24"/>
        </w:rPr>
        <w:t>13-24</w:t>
      </w:r>
      <w:r w:rsidR="008D7CEA">
        <w:rPr>
          <w:rFonts w:ascii="Arial Black" w:hAnsi="Arial Black"/>
          <w:b/>
          <w:bCs/>
          <w:sz w:val="24"/>
          <w:szCs w:val="24"/>
        </w:rPr>
        <w:t>6</w:t>
      </w:r>
    </w:p>
    <w:p w14:paraId="18E9DD20" w14:textId="77777777" w:rsidR="00A2043F" w:rsidRPr="00DB2B54" w:rsidRDefault="00A2043F" w:rsidP="00A2043F">
      <w:pPr>
        <w:pStyle w:val="NoSpacing"/>
        <w:rPr>
          <w:rFonts w:ascii="Arial Black" w:hAnsi="Arial Black"/>
          <w:b/>
          <w:sz w:val="28"/>
          <w:szCs w:val="28"/>
        </w:rPr>
      </w:pPr>
      <w:r>
        <w:rPr>
          <w:rFonts w:ascii="Arial Black" w:hAnsi="Arial Black"/>
          <w:b/>
          <w:sz w:val="28"/>
          <w:szCs w:val="28"/>
        </w:rPr>
        <w:t xml:space="preserve">TX: PATIENT FELL OFF COT – P’S EXPERT CAN BE A MEDIC </w:t>
      </w:r>
    </w:p>
    <w:p w14:paraId="5ED4DFB4" w14:textId="77777777" w:rsidR="00A2043F" w:rsidRDefault="00A2043F" w:rsidP="00A2043F">
      <w:pPr>
        <w:pStyle w:val="NoSpacing"/>
        <w:rPr>
          <w:b/>
        </w:rPr>
      </w:pPr>
    </w:p>
    <w:p w14:paraId="2796D662" w14:textId="77777777" w:rsidR="00A2043F" w:rsidRPr="000D6884" w:rsidRDefault="00A2043F" w:rsidP="00A2043F">
      <w:pPr>
        <w:pStyle w:val="NoSpacing"/>
        <w:rPr>
          <w:bCs/>
        </w:rPr>
      </w:pPr>
      <w:r>
        <w:t xml:space="preserve">On February 26, 2026, in </w:t>
      </w:r>
      <w:proofErr w:type="spellStart"/>
      <w:r w:rsidRPr="000D6884">
        <w:rPr>
          <w:u w:val="single"/>
        </w:rPr>
        <w:t>Medcare</w:t>
      </w:r>
      <w:proofErr w:type="spellEnd"/>
      <w:r w:rsidRPr="000D6884">
        <w:rPr>
          <w:u w:val="single"/>
        </w:rPr>
        <w:t xml:space="preserve"> EMS v. Carolina Flores</w:t>
      </w:r>
      <w:r>
        <w:t xml:space="preserve">, the </w:t>
      </w:r>
      <w:r w:rsidRPr="000D6884">
        <w:t>Court of Appeals of Texas, Thirteenth District, Corpus Christi-Edinburg</w:t>
      </w:r>
      <w:r>
        <w:t xml:space="preserve">, held (3 to 0) that the lawsuit may proceed since the plaintiff timely filed an expert’s report from a paramedic within the 120 days required under the Texas Medical Liability Act.  Trial court denied </w:t>
      </w:r>
      <w:proofErr w:type="spellStart"/>
      <w:r>
        <w:t>Medcare’s</w:t>
      </w:r>
      <w:proofErr w:type="spellEnd"/>
      <w:r>
        <w:t xml:space="preserve"> motion to dismiss, arguing the expert had to be a physician.  </w:t>
      </w:r>
      <w:hyperlink r:id="rId2040" w:history="1">
        <w:r w:rsidRPr="000D51C6">
          <w:rPr>
            <w:rStyle w:val="Hyperlink"/>
          </w:rPr>
          <w:t>https://cases.justia.com/texas/thirteenth-court-of-appeals/2026-13-25-00099-cv.pdf?ts=1772125541</w:t>
        </w:r>
      </w:hyperlink>
      <w:r>
        <w:t xml:space="preserve"> </w:t>
      </w:r>
    </w:p>
    <w:p w14:paraId="60AB26D8" w14:textId="77777777" w:rsidR="00A2043F" w:rsidRDefault="00A2043F" w:rsidP="00A2043F">
      <w:pPr>
        <w:pStyle w:val="NoSpacing"/>
        <w:rPr>
          <w:bCs/>
        </w:rPr>
      </w:pPr>
    </w:p>
    <w:p w14:paraId="20FE23FB" w14:textId="77777777" w:rsidR="00A2043F" w:rsidRDefault="00A2043F" w:rsidP="00A2043F">
      <w:pPr>
        <w:pStyle w:val="NoSpacing"/>
      </w:pPr>
      <w:r>
        <w:lastRenderedPageBreak/>
        <w:t>THE COURT HELD: “</w:t>
      </w:r>
      <w:r w:rsidRPr="00D3244C">
        <w:t xml:space="preserve">It is undisputed that </w:t>
      </w:r>
      <w:proofErr w:type="spellStart"/>
      <w:r w:rsidRPr="00D3244C">
        <w:t>Everlove</w:t>
      </w:r>
      <w:proofErr w:type="spellEnd"/>
      <w:r w:rsidRPr="00D3244C">
        <w:t xml:space="preserve"> was qualified to opine as to the standard of care</w:t>
      </w:r>
      <w:r>
        <w:t xml:space="preserve"> </w:t>
      </w:r>
      <w:r w:rsidRPr="00D3244C">
        <w:t xml:space="preserve">applicable to </w:t>
      </w:r>
      <w:proofErr w:type="spellStart"/>
      <w:r w:rsidRPr="00D3244C">
        <w:t>MedCare</w:t>
      </w:r>
      <w:proofErr w:type="spellEnd"/>
      <w:r>
        <w:t xml:space="preserve">…. </w:t>
      </w:r>
      <w:r w:rsidRPr="00C72FB6">
        <w:t xml:space="preserve">On December 9, 2021, Flores called emergency services after experiencing abdominal pain. A </w:t>
      </w:r>
      <w:proofErr w:type="spellStart"/>
      <w:r w:rsidRPr="00C72FB6">
        <w:t>MedCare</w:t>
      </w:r>
      <w:proofErr w:type="spellEnd"/>
      <w:r w:rsidRPr="00C72FB6">
        <w:t xml:space="preserve"> emergency medical technician (EMT) and paramedic arrived at her apartment and assessed her. Flores was subsequently placed and strapped onto a stretcher, which was wheeled from her apartment to the parking lot of Flores's apartment complex. Flores </w:t>
      </w:r>
      <w:proofErr w:type="gramStart"/>
      <w:r w:rsidRPr="00C72FB6">
        <w:t>was</w:t>
      </w:r>
      <w:proofErr w:type="gramEnd"/>
      <w:r w:rsidRPr="00C72FB6">
        <w:t xml:space="preserve"> left in the stretcher under the paramedic's supervision while the EMT moved the ambulance closer to Flores's location. Flores's stretcher ultimately tipped over, and she sustained injuries from the fall</w:t>
      </w:r>
      <w:r>
        <w:t xml:space="preserve">.  </w:t>
      </w:r>
      <w:r w:rsidRPr="00474CA1">
        <w:t xml:space="preserve">On December 20, 2022, Flores sent </w:t>
      </w:r>
      <w:proofErr w:type="spellStart"/>
      <w:r w:rsidRPr="00474CA1">
        <w:t>MedCare</w:t>
      </w:r>
      <w:proofErr w:type="spellEnd"/>
      <w:r w:rsidRPr="00474CA1">
        <w:t xml:space="preserve"> a pre-suit letter by certified mail which included an expert report authored by registered paramedic John B. </w:t>
      </w:r>
      <w:proofErr w:type="spellStart"/>
      <w:r w:rsidRPr="00474CA1">
        <w:t>Everlove</w:t>
      </w:r>
      <w:proofErr w:type="spellEnd"/>
      <w:r w:rsidRPr="00474CA1">
        <w:t xml:space="preserve">, as well as his curriculum vitae. In his report, </w:t>
      </w:r>
      <w:proofErr w:type="spellStart"/>
      <w:r w:rsidRPr="00474CA1">
        <w:t>Everlove</w:t>
      </w:r>
      <w:proofErr w:type="spellEnd"/>
      <w:r w:rsidRPr="00474CA1">
        <w:t xml:space="preserve"> described the standard of care applicable to </w:t>
      </w:r>
      <w:proofErr w:type="spellStart"/>
      <w:r w:rsidRPr="00474CA1">
        <w:t>MedCare</w:t>
      </w:r>
      <w:proofErr w:type="spellEnd"/>
      <w:r w:rsidRPr="00474CA1">
        <w:t xml:space="preserve"> and deviations from that standard by </w:t>
      </w:r>
      <w:proofErr w:type="spellStart"/>
      <w:r w:rsidRPr="00474CA1">
        <w:t>MedCare</w:t>
      </w:r>
      <w:proofErr w:type="spellEnd"/>
      <w:r w:rsidRPr="00474CA1">
        <w:t xml:space="preserve"> personnel concerning the </w:t>
      </w:r>
      <w:r>
        <w:t>‘</w:t>
      </w:r>
      <w:r w:rsidRPr="00474CA1">
        <w:t>care, treatment, and management of . . . Flores.</w:t>
      </w:r>
      <w:r>
        <w:t>’ ***</w:t>
      </w:r>
    </w:p>
    <w:p w14:paraId="50B72328" w14:textId="77777777" w:rsidR="00A2043F" w:rsidRPr="000D6884" w:rsidRDefault="00A2043F" w:rsidP="00A2043F">
      <w:pPr>
        <w:pStyle w:val="NoSpacing"/>
        <w:rPr>
          <w:bCs/>
        </w:rPr>
      </w:pPr>
      <w:r w:rsidRPr="009B7BDF">
        <w:t xml:space="preserve">It is undisputed that </w:t>
      </w:r>
      <w:proofErr w:type="spellStart"/>
      <w:r w:rsidRPr="009B7BDF">
        <w:t>Everlove</w:t>
      </w:r>
      <w:proofErr w:type="spellEnd"/>
      <w:r w:rsidRPr="009B7BDF">
        <w:t xml:space="preserve"> was qualified to opine as to the standard of care applicable to </w:t>
      </w:r>
      <w:proofErr w:type="spellStart"/>
      <w:r w:rsidRPr="009B7BDF">
        <w:t>MedCare</w:t>
      </w:r>
      <w:proofErr w:type="spellEnd"/>
      <w:r w:rsidRPr="009B7BDF">
        <w:t xml:space="preserve">. </w:t>
      </w:r>
      <w:r w:rsidRPr="009B7BDF">
        <w:rPr>
          <w:i/>
          <w:iCs/>
        </w:rPr>
        <w:t>See</w:t>
      </w:r>
      <w:r w:rsidRPr="009B7BDF">
        <w:t xml:space="preserve"> Tex. Civ. </w:t>
      </w:r>
      <w:proofErr w:type="spellStart"/>
      <w:r w:rsidRPr="009B7BDF">
        <w:t>Prac</w:t>
      </w:r>
      <w:proofErr w:type="spellEnd"/>
      <w:r w:rsidRPr="009B7BDF">
        <w:t xml:space="preserve">. &amp; Rem. Code § 74.402. Moreover, </w:t>
      </w:r>
      <w:proofErr w:type="spellStart"/>
      <w:r w:rsidRPr="009B7BDF">
        <w:t>Everlove</w:t>
      </w:r>
      <w:proofErr w:type="spellEnd"/>
      <w:r w:rsidRPr="009B7BDF">
        <w:t xml:space="preserve"> opined in his report that </w:t>
      </w:r>
      <w:proofErr w:type="spellStart"/>
      <w:r w:rsidRPr="009B7BDF">
        <w:t>MedCare</w:t>
      </w:r>
      <w:proofErr w:type="spellEnd"/>
      <w:r w:rsidRPr="009B7BDF">
        <w:t xml:space="preserve"> personnel deviated from that standard concerning their "care, treatment, and management of . . . Flores." In other words, </w:t>
      </w:r>
      <w:proofErr w:type="spellStart"/>
      <w:r w:rsidRPr="009B7BDF">
        <w:t>Everlove</w:t>
      </w:r>
      <w:proofErr w:type="spellEnd"/>
      <w:r w:rsidRPr="009B7BDF">
        <w:t xml:space="preserve"> opined that </w:t>
      </w:r>
      <w:proofErr w:type="spellStart"/>
      <w:r w:rsidRPr="009B7BDF">
        <w:t>MedCare</w:t>
      </w:r>
      <w:proofErr w:type="spellEnd"/>
      <w:r w:rsidRPr="009B7BDF">
        <w:t xml:space="preserve"> was negligent. Accordingly, we hold that </w:t>
      </w:r>
      <w:proofErr w:type="spellStart"/>
      <w:r w:rsidRPr="009B7BDF">
        <w:t>Everlove's</w:t>
      </w:r>
      <w:proofErr w:type="spellEnd"/>
      <w:r w:rsidRPr="009B7BDF">
        <w:t xml:space="preserve"> report constitutes a statement of opinion by an individual with expertise indicating that the claim asserted by Flores against </w:t>
      </w:r>
      <w:proofErr w:type="spellStart"/>
      <w:r w:rsidRPr="009B7BDF">
        <w:t>MedCare</w:t>
      </w:r>
      <w:proofErr w:type="spellEnd"/>
      <w:r w:rsidRPr="009B7BDF">
        <w:t xml:space="preserve"> has merit.</w:t>
      </w:r>
      <w:r>
        <w:t xml:space="preserve">”  </w:t>
      </w:r>
    </w:p>
    <w:p w14:paraId="1CCCA09B" w14:textId="77777777" w:rsidR="00A2043F" w:rsidRDefault="00A2043F" w:rsidP="00A2043F">
      <w:pPr>
        <w:pStyle w:val="NoSpacing"/>
        <w:rPr>
          <w:bCs/>
        </w:rPr>
      </w:pPr>
    </w:p>
    <w:p w14:paraId="713A2370" w14:textId="77777777" w:rsidR="00A2043F" w:rsidRDefault="00A2043F" w:rsidP="00A2043F">
      <w:pPr>
        <w:pStyle w:val="NoSpacing"/>
        <w:rPr>
          <w:b/>
        </w:rPr>
      </w:pPr>
      <w:r>
        <w:rPr>
          <w:b/>
        </w:rPr>
        <w:t xml:space="preserve">Legal lesson learned:  This is yet another case of a patient falling off a cot and being injured. </w:t>
      </w:r>
    </w:p>
    <w:p w14:paraId="5E6E6451" w14:textId="77777777" w:rsidR="00A2043F" w:rsidRDefault="00A2043F" w:rsidP="00A2043F">
      <w:pPr>
        <w:pStyle w:val="NoSpacing"/>
        <w:rPr>
          <w:b/>
        </w:rPr>
      </w:pPr>
    </w:p>
    <w:p w14:paraId="381857B7" w14:textId="77777777" w:rsidR="00A2043F" w:rsidRDefault="00A2043F" w:rsidP="00004498">
      <w:pPr>
        <w:rPr>
          <w:rFonts w:ascii="Arial Black" w:hAnsi="Arial Black"/>
          <w:b/>
          <w:bCs/>
          <w:sz w:val="24"/>
          <w:szCs w:val="24"/>
        </w:rPr>
      </w:pPr>
    </w:p>
    <w:p w14:paraId="3BD1F70E" w14:textId="2213E646" w:rsidR="008D7CEA" w:rsidRDefault="008D7CEA" w:rsidP="00004498">
      <w:pPr>
        <w:rPr>
          <w:rFonts w:ascii="Arial Black" w:hAnsi="Arial Black"/>
          <w:b/>
          <w:bCs/>
          <w:sz w:val="24"/>
          <w:szCs w:val="24"/>
        </w:rPr>
      </w:pPr>
      <w:r>
        <w:rPr>
          <w:rFonts w:ascii="Arial Black" w:hAnsi="Arial Black"/>
          <w:b/>
          <w:bCs/>
          <w:sz w:val="24"/>
          <w:szCs w:val="24"/>
        </w:rPr>
        <w:t>13-245</w:t>
      </w:r>
    </w:p>
    <w:p w14:paraId="01A6D54F" w14:textId="77777777" w:rsidR="008D7CEA" w:rsidRDefault="008D7CEA" w:rsidP="008D7CEA">
      <w:pPr>
        <w:pStyle w:val="NoSpacing"/>
        <w:rPr>
          <w:rFonts w:ascii="Arial Black" w:hAnsi="Arial Black"/>
          <w:b/>
          <w:sz w:val="28"/>
          <w:szCs w:val="28"/>
        </w:rPr>
      </w:pPr>
      <w:r>
        <w:rPr>
          <w:rFonts w:ascii="Arial Black" w:hAnsi="Arial Black"/>
          <w:b/>
          <w:sz w:val="28"/>
          <w:szCs w:val="28"/>
        </w:rPr>
        <w:t xml:space="preserve">FL: B/C FIRED – REFUSED TO ISSUE COVID REPRIMANDS </w:t>
      </w:r>
    </w:p>
    <w:p w14:paraId="7851E63A" w14:textId="77777777" w:rsidR="008D7CEA" w:rsidRDefault="008D7CEA" w:rsidP="008D7CEA">
      <w:pPr>
        <w:pStyle w:val="NoSpacing"/>
        <w:rPr>
          <w:rFonts w:ascii="Arial Black" w:hAnsi="Arial Black"/>
          <w:b/>
          <w:sz w:val="28"/>
          <w:szCs w:val="28"/>
        </w:rPr>
      </w:pPr>
    </w:p>
    <w:p w14:paraId="78FA378E" w14:textId="77777777" w:rsidR="008D7CEA" w:rsidRDefault="008D7CEA" w:rsidP="008D7CEA">
      <w:pPr>
        <w:pStyle w:val="NoSpacing"/>
        <w:rPr>
          <w:bCs/>
        </w:rPr>
      </w:pPr>
      <w:r>
        <w:t xml:space="preserve">On February 13, 2026, in </w:t>
      </w:r>
      <w:r w:rsidRPr="00805F39">
        <w:rPr>
          <w:u w:val="single"/>
        </w:rPr>
        <w:t>Stephen M. Davis v. Orange County</w:t>
      </w:r>
      <w:r>
        <w:t xml:space="preserve">, the United States Court of Appeals for the Eleventh Circuit (Atlanta) held (3 to 0; unpublished decision) that his lawsuit was properly dismissed.  </w:t>
      </w:r>
      <w:r w:rsidRPr="00CD2C4C">
        <w:t xml:space="preserve">Davis worked for the department for 15 years and advanced through the ranks to battalion chief. In 2021, Davis was terminated after he did not reprimand department personnel who refused the Orange County’s mandated COVID-19 vaccine. </w:t>
      </w:r>
      <w:r>
        <w:t xml:space="preserve"> Davis has failed to allege an” objectively reasonable” belief that issuing the written reprimands to firefighters who hadn’t timely provided a vaccination certificate or exemption request, because the union had negotiated an MOU with the County that COVID reprimands could not be considered or used in a union member’s performance evaluation, and that no further disciplinary action could be taken against employees who didn’t file a timely vaccination certificate or exemption request. </w:t>
      </w:r>
      <w:hyperlink r:id="rId2041" w:history="1">
        <w:r w:rsidRPr="002B0907">
          <w:rPr>
            <w:rStyle w:val="Hyperlink"/>
          </w:rPr>
          <w:t>https://www.govinfo.gov/content/pkg/USCOURTS-ca11-25-11434/pdf/USCOURTS-ca11-25-11434-0.pdf</w:t>
        </w:r>
      </w:hyperlink>
      <w:r>
        <w:t xml:space="preserve"> </w:t>
      </w:r>
    </w:p>
    <w:p w14:paraId="32322AF6" w14:textId="77777777" w:rsidR="008D7CEA" w:rsidRDefault="008D7CEA" w:rsidP="008D7CEA">
      <w:pPr>
        <w:pStyle w:val="NoSpacing"/>
        <w:rPr>
          <w:bCs/>
        </w:rPr>
      </w:pPr>
    </w:p>
    <w:p w14:paraId="49A6FA41" w14:textId="77777777" w:rsidR="008D7CEA" w:rsidRDefault="008D7CEA" w:rsidP="008D7CEA">
      <w:pPr>
        <w:pStyle w:val="NoSpacing"/>
      </w:pPr>
      <w:r>
        <w:t>THE COURT HELD: “It is undisputed that Davis’s termination was an adverse employment action caused by his refusal to issue reprimands for violations of the department’s COVID-19 policy, so this case comes down to whether that refusal was protected activity…. Here, Davis asserts that he believed the reprimands he was ordered to issue violated Title VII’s anti-discrimination provision. That belief wasn’t objectively reasonable….  The memorandum of understanding between the union representing Orange County firefighters and the county stated that the reprimands could not be considered or used in a union member’s performance</w:t>
      </w:r>
    </w:p>
    <w:p w14:paraId="25DB761E" w14:textId="77777777" w:rsidR="008D7CEA" w:rsidRDefault="008D7CEA" w:rsidP="008D7CEA">
      <w:pPr>
        <w:pStyle w:val="NoSpacing"/>
      </w:pPr>
      <w:r>
        <w:t xml:space="preserve">evaluation, and that no further disciplinary action could be taken against employees who didn’t file a timely vaccination certificate or exemption request. In other words, the reprimands were toothless—they themselves didn’t rise to the level of an adverse employment action, and a future adverse employment action couldn’t be based on them…. In other words, the reprimands were toothless—they themselves didn’t rise to the level of an adverse employment action, and a future adverse employment action couldn’t be based on them. </w:t>
      </w:r>
      <w:proofErr w:type="gramStart"/>
      <w:r>
        <w:t>So</w:t>
      </w:r>
      <w:proofErr w:type="gramEnd"/>
      <w:r>
        <w:t xml:space="preserve"> Davis has failed to allege an objectively reasonable belief that a written reprimand—that by its own terms could</w:t>
      </w:r>
    </w:p>
    <w:p w14:paraId="6F4F22F4" w14:textId="77777777" w:rsidR="008D7CEA" w:rsidRDefault="008D7CEA" w:rsidP="008D7CEA">
      <w:pPr>
        <w:pStyle w:val="NoSpacing"/>
      </w:pPr>
      <w:r>
        <w:t>not impact the terms or conditions of a firefighter’s employment— would disadvantage, harm, or make “worse off” his subordinates’ employment in any way.”</w:t>
      </w:r>
    </w:p>
    <w:p w14:paraId="49FCE479" w14:textId="77777777" w:rsidR="008D7CEA" w:rsidRDefault="008D7CEA" w:rsidP="008D7CEA">
      <w:pPr>
        <w:pStyle w:val="NoSpacing"/>
      </w:pPr>
    </w:p>
    <w:p w14:paraId="05D5DD49" w14:textId="77777777" w:rsidR="008D7CEA" w:rsidRDefault="008D7CEA" w:rsidP="008D7CEA">
      <w:pPr>
        <w:pStyle w:val="NoSpacing"/>
        <w:rPr>
          <w:b/>
          <w:bCs/>
        </w:rPr>
      </w:pPr>
      <w:r>
        <w:rPr>
          <w:b/>
        </w:rPr>
        <w:t>Legal lesson learned:  Davis should have consulted an employment layer before refusing to issue the COVID reprimands.</w:t>
      </w:r>
    </w:p>
    <w:p w14:paraId="7896FF80" w14:textId="77777777" w:rsidR="008D7CEA" w:rsidRDefault="008D7CEA" w:rsidP="008D7CEA">
      <w:pPr>
        <w:pStyle w:val="NoSpacing"/>
        <w:rPr>
          <w:b/>
          <w:bCs/>
        </w:rPr>
      </w:pPr>
    </w:p>
    <w:p w14:paraId="53D4C45D" w14:textId="77777777" w:rsidR="008D7CEA" w:rsidRDefault="008D7CEA" w:rsidP="008D7CEA">
      <w:pPr>
        <w:pStyle w:val="NoSpacing"/>
        <w:ind w:left="720"/>
      </w:pPr>
      <w:r>
        <w:lastRenderedPageBreak/>
        <w:t xml:space="preserve">Note: See June 15, </w:t>
      </w:r>
      <w:proofErr w:type="gramStart"/>
      <w:r>
        <w:t>2024</w:t>
      </w:r>
      <w:proofErr w:type="gramEnd"/>
      <w:r>
        <w:t xml:space="preserve"> article</w:t>
      </w:r>
      <w:r w:rsidRPr="001260AC">
        <w:rPr>
          <w:b/>
        </w:rPr>
        <w:t xml:space="preserve">: </w:t>
      </w:r>
      <w:r>
        <w:rPr>
          <w:b/>
        </w:rPr>
        <w:t>“</w:t>
      </w:r>
      <w:r w:rsidRPr="001260AC">
        <w:t>BREAKING: Former Orange County Fire Rescue battalion chief announces candidacy for County Commission District 1</w:t>
      </w:r>
      <w:r>
        <w:t xml:space="preserve">. </w:t>
      </w:r>
      <w:hyperlink r:id="rId2042" w:history="1">
        <w:r w:rsidRPr="002B0907">
          <w:rPr>
            <w:rStyle w:val="Hyperlink"/>
          </w:rPr>
          <w:t>https://www.orangeobserver.com/news/2024/jun/15/breaking-former-orange-county-fire-rescue-battalion-chief-announces-candidacy-for-county-commission-district-1/</w:t>
        </w:r>
      </w:hyperlink>
      <w:r>
        <w:t xml:space="preserve"> </w:t>
      </w:r>
    </w:p>
    <w:p w14:paraId="247E0F29" w14:textId="77777777" w:rsidR="008D7CEA" w:rsidRDefault="008D7CEA" w:rsidP="008D7CEA">
      <w:pPr>
        <w:pStyle w:val="NoSpacing"/>
        <w:ind w:left="720"/>
      </w:pPr>
    </w:p>
    <w:p w14:paraId="1318568A" w14:textId="77777777" w:rsidR="008D7CEA" w:rsidRPr="00A21182" w:rsidRDefault="008D7CEA" w:rsidP="008D7CEA">
      <w:pPr>
        <w:pStyle w:val="NoSpacing"/>
        <w:ind w:left="720"/>
      </w:pPr>
      <w:r>
        <w:t>“</w:t>
      </w:r>
      <w:r w:rsidRPr="00722EC8">
        <w:t xml:space="preserve">Stephen Davis, a former Orange County Fire Rescue battalion chief has filed as a qualified write-in candidate for the </w:t>
      </w:r>
      <w:proofErr w:type="gramStart"/>
      <w:r w:rsidRPr="00722EC8">
        <w:t>District</w:t>
      </w:r>
      <w:proofErr w:type="gramEnd"/>
      <w:r w:rsidRPr="00722EC8">
        <w:t xml:space="preserve"> 1 Orange County Commission seat.</w:t>
      </w:r>
      <w:r>
        <w:t xml:space="preserve"> </w:t>
      </w:r>
      <w:r w:rsidRPr="00722EC8">
        <w:t xml:space="preserve">Davis joins incumbent Nicole Wilson and challenger Austin Arthur in the race. </w:t>
      </w:r>
      <w:proofErr w:type="spellStart"/>
      <w:r w:rsidRPr="00722EC8">
        <w:t>Davis’</w:t>
      </w:r>
      <w:proofErr w:type="spellEnd"/>
      <w:r w:rsidRPr="00722EC8">
        <w:t xml:space="preserve"> candidacy also moves the race from November general election up to the primary ballot, Aug. 20.</w:t>
      </w:r>
      <w:r>
        <w:t xml:space="preserve"> </w:t>
      </w:r>
      <w:r w:rsidRPr="00722EC8">
        <w:t xml:space="preserve">If one candidate gets 50% plus one vote in the primary, that person wins the seat, Orange County Supervisor of Elections Public Information Officer Christopher Heath said. </w:t>
      </w:r>
      <w:r>
        <w:t xml:space="preserve"> </w:t>
      </w:r>
      <w:r w:rsidRPr="00722EC8">
        <w:t>Davis worked for the department for 15 years and advanced through the ranks to battalion chief. In 2021, Davis was terminated after he did not reprimand department personnel who refused the Orange County’s mandated COVID-19 vaccine.</w:t>
      </w:r>
      <w:r w:rsidRPr="00A21182">
        <w:rPr>
          <w:rFonts w:eastAsia="Times New Roman"/>
        </w:rPr>
        <w:t xml:space="preserve"> </w:t>
      </w:r>
      <w:r w:rsidRPr="00A21182">
        <w:t xml:space="preserve">He later filed a lawsuit against the county for wrongful termination </w:t>
      </w:r>
      <w:proofErr w:type="gramStart"/>
      <w:r w:rsidRPr="00A21182">
        <w:t>and also</w:t>
      </w:r>
      <w:proofErr w:type="gramEnd"/>
      <w:r w:rsidRPr="00A21182">
        <w:t xml:space="preserve"> has written a book about his experience.</w:t>
      </w:r>
      <w:r>
        <w:t xml:space="preserve"> ‘</w:t>
      </w:r>
      <w:r w:rsidRPr="00A21182">
        <w:t>History has now proven Orange County was wrong to mandate the so-called vaccine,</w:t>
      </w:r>
      <w:r>
        <w:t>’</w:t>
      </w:r>
      <w:r w:rsidRPr="00A21182">
        <w:t xml:space="preserve"> Davis said. </w:t>
      </w:r>
      <w:r>
        <w:t>‘</w:t>
      </w:r>
      <w:r w:rsidRPr="00A21182">
        <w:t>It did not stop the spread. Worse, Commissioner Nicole Wilson ridiculed and showed disdain for the firefighters who refused it. That’s why I’m running — to make sure this issue does not go away.</w:t>
      </w:r>
      <w:r>
        <w:t>’”</w:t>
      </w:r>
    </w:p>
    <w:p w14:paraId="7943B121" w14:textId="77777777" w:rsidR="00DB1FBE" w:rsidRDefault="00DB1FBE" w:rsidP="00004498">
      <w:pPr>
        <w:rPr>
          <w:rFonts w:ascii="Arial Black" w:hAnsi="Arial Black"/>
          <w:b/>
          <w:bCs/>
          <w:sz w:val="24"/>
          <w:szCs w:val="24"/>
        </w:rPr>
      </w:pPr>
    </w:p>
    <w:p w14:paraId="58697735" w14:textId="77777777" w:rsidR="00DB1FBE" w:rsidRDefault="00DB1FBE" w:rsidP="00004498">
      <w:pPr>
        <w:rPr>
          <w:rFonts w:ascii="Arial Black" w:hAnsi="Arial Black"/>
          <w:b/>
          <w:bCs/>
          <w:sz w:val="24"/>
          <w:szCs w:val="24"/>
        </w:rPr>
      </w:pPr>
    </w:p>
    <w:p w14:paraId="039E4D67" w14:textId="42AA3F76" w:rsidR="00F448F2" w:rsidRDefault="00F448F2" w:rsidP="00004498">
      <w:pPr>
        <w:rPr>
          <w:rFonts w:ascii="Arial Black" w:hAnsi="Arial Black"/>
          <w:b/>
          <w:bCs/>
          <w:sz w:val="24"/>
          <w:szCs w:val="24"/>
        </w:rPr>
      </w:pPr>
      <w:r>
        <w:rPr>
          <w:rFonts w:ascii="Arial Black" w:hAnsi="Arial Black"/>
          <w:b/>
          <w:bCs/>
          <w:sz w:val="24"/>
          <w:szCs w:val="24"/>
        </w:rPr>
        <w:t>13-244</w:t>
      </w:r>
    </w:p>
    <w:p w14:paraId="4FC97D69" w14:textId="77777777" w:rsidR="00F448F2" w:rsidRPr="005A0B1B" w:rsidRDefault="00F448F2" w:rsidP="00F448F2">
      <w:pPr>
        <w:pStyle w:val="NoSpacing"/>
        <w:rPr>
          <w:rFonts w:ascii="Arial Black" w:hAnsi="Arial Black"/>
          <w:b/>
          <w:sz w:val="28"/>
          <w:szCs w:val="28"/>
        </w:rPr>
      </w:pPr>
      <w:r>
        <w:rPr>
          <w:rFonts w:ascii="Arial Black" w:hAnsi="Arial Black"/>
          <w:b/>
          <w:sz w:val="28"/>
          <w:szCs w:val="28"/>
        </w:rPr>
        <w:t>MA: 8-MO CHILD – 2 EMTs DIDN’T CANCEL ALS – NO CASE</w:t>
      </w:r>
    </w:p>
    <w:p w14:paraId="7FDD11F0" w14:textId="77777777" w:rsidR="00F448F2" w:rsidRDefault="00F448F2" w:rsidP="00F448F2">
      <w:pPr>
        <w:pStyle w:val="NoSpacing"/>
        <w:rPr>
          <w:b/>
        </w:rPr>
      </w:pPr>
    </w:p>
    <w:p w14:paraId="5F061A7F" w14:textId="77777777" w:rsidR="00F448F2" w:rsidRDefault="00F448F2" w:rsidP="00F448F2">
      <w:pPr>
        <w:pStyle w:val="NoSpacing"/>
      </w:pPr>
      <w:r>
        <w:t xml:space="preserve">On February 6, 2026, in </w:t>
      </w:r>
      <w:r w:rsidRPr="00A658F9">
        <w:rPr>
          <w:u w:val="single"/>
        </w:rPr>
        <w:t>Matthew Lincoff and Taylor Lincoff, co-personal representatives of the estate of Landon Lincoff v. Town of Topsfield, et al</w:t>
      </w:r>
      <w:r>
        <w:t xml:space="preserve">., U.S. District Court Judge Brian E. Murphy, </w:t>
      </w:r>
    </w:p>
    <w:p w14:paraId="08337326" w14:textId="77777777" w:rsidR="00F448F2" w:rsidRDefault="00F448F2" w:rsidP="00F448F2">
      <w:pPr>
        <w:pStyle w:val="NoSpacing"/>
      </w:pPr>
      <w:r w:rsidRPr="00B672B3">
        <w:t>United States District Court for the District of Massachusetts</w:t>
      </w:r>
      <w:r>
        <w:t xml:space="preserve"> granted the defendants motion to dismiss federal case; there no proof that the Town’s policy in 2020 to handle their own EMS transports, with mutual aid ALS back up, led to a practice of cancelling ALS mutual aid. In the </w:t>
      </w:r>
      <w:r w:rsidRPr="00B73581">
        <w:t xml:space="preserve">early hours of June 5, 2021, eight-month-old Landon stopped breathing at </w:t>
      </w:r>
      <w:proofErr w:type="gramStart"/>
      <w:r w:rsidRPr="00B73581">
        <w:t>his home</w:t>
      </w:r>
      <w:proofErr w:type="gramEnd"/>
      <w:r w:rsidRPr="00B73581">
        <w:t xml:space="preserve"> after having been sick with a cough and respiratory illness in the preceding days.</w:t>
      </w:r>
      <w:r>
        <w:t xml:space="preserve"> </w:t>
      </w:r>
      <w:r w:rsidRPr="0005295A">
        <w:t xml:space="preserve">Two Topsfield </w:t>
      </w:r>
      <w:r>
        <w:t xml:space="preserve">police </w:t>
      </w:r>
      <w:r w:rsidRPr="0005295A">
        <w:t xml:space="preserve">officers arrived at the residence around 2:11 a.m. </w:t>
      </w:r>
      <w:r>
        <w:t xml:space="preserve">and </w:t>
      </w:r>
      <w:r w:rsidRPr="0005295A">
        <w:t>found Landon pulseless and not breathing.</w:t>
      </w:r>
      <w:r>
        <w:t xml:space="preserve">  At 2:12 am, off duty TDF paramedic </w:t>
      </w:r>
      <w:r w:rsidRPr="00064812">
        <w:t>Jonathan Hallina</w:t>
      </w:r>
      <w:r>
        <w:t xml:space="preserve">n heard the call at home, requested mutual aid and drove to the fire station, while two EMT-Basics at the station responded in ambulance and arrived at </w:t>
      </w:r>
      <w:r w:rsidRPr="00A24981">
        <w:t>2:16 a.m.</w:t>
      </w:r>
      <w:r>
        <w:t xml:space="preserve">, and departed for </w:t>
      </w:r>
      <w:r w:rsidRPr="009A12DF">
        <w:t xml:space="preserve">Beverly Hospital </w:t>
      </w:r>
      <w:r>
        <w:t xml:space="preserve">at 2:19 pm </w:t>
      </w:r>
      <w:r w:rsidRPr="009A12DF">
        <w:t>with a police escor</w:t>
      </w:r>
      <w:r>
        <w:t xml:space="preserve">t, along with Mrs. </w:t>
      </w:r>
      <w:proofErr w:type="spellStart"/>
      <w:r>
        <w:t>Lincoff</w:t>
      </w:r>
      <w:proofErr w:type="spellEnd"/>
      <w:r>
        <w:t xml:space="preserve"> on board. At 2:22 the ambulance picked up Paramedic </w:t>
      </w:r>
      <w:r w:rsidRPr="00064812">
        <w:t>Hallina</w:t>
      </w:r>
      <w:r>
        <w:t xml:space="preserve">n and at </w:t>
      </w:r>
      <w:r w:rsidRPr="00B62E7F">
        <w:t xml:space="preserve">2:23 a.m., picked up </w:t>
      </w:r>
      <w:r>
        <w:t xml:space="preserve">Lt. Paramedic </w:t>
      </w:r>
      <w:r w:rsidRPr="00472E7E">
        <w:t>John Boyle</w:t>
      </w:r>
      <w:r>
        <w:t xml:space="preserve"> and went to hospital. The mutual aid ambulance from </w:t>
      </w:r>
      <w:r w:rsidRPr="001C5499">
        <w:t>Northeast Regional Ambulance Service (</w:t>
      </w:r>
      <w:r>
        <w:t>‘</w:t>
      </w:r>
      <w:r w:rsidRPr="001C5499">
        <w:t>NRAS</w:t>
      </w:r>
      <w:r>
        <w:t>’</w:t>
      </w:r>
      <w:r w:rsidRPr="001C5499">
        <w:t>)</w:t>
      </w:r>
      <w:r>
        <w:t xml:space="preserve"> was not needed – but advised they w</w:t>
      </w:r>
      <w:r w:rsidRPr="006B140B">
        <w:t xml:space="preserve">ould “be coming down </w:t>
      </w:r>
      <w:r>
        <w:t>[R</w:t>
      </w:r>
      <w:r w:rsidRPr="006B140B">
        <w:t xml:space="preserve">oute] 97 also, we will intercept you as easy as possible. If you do not need to stop, </w:t>
      </w:r>
      <w:proofErr w:type="gramStart"/>
      <w:r w:rsidRPr="006B140B">
        <w:t>continue on</w:t>
      </w:r>
      <w:proofErr w:type="gramEnd"/>
      <w:r w:rsidRPr="006B140B">
        <w:t>, we will stop if you need to.”</w:t>
      </w:r>
      <w:r>
        <w:t xml:space="preserve"> </w:t>
      </w:r>
      <w:hyperlink r:id="rId2043" w:history="1">
        <w:r w:rsidRPr="00C72C21">
          <w:rPr>
            <w:rStyle w:val="Hyperlink"/>
          </w:rPr>
          <w:t>https://cases.justia.com/federal/district-courts/massachusetts/madce/1:2023cv12125/261357/75/0.pdf?ts=1770465752</w:t>
        </w:r>
      </w:hyperlink>
      <w:r>
        <w:t xml:space="preserve"> </w:t>
      </w:r>
    </w:p>
    <w:p w14:paraId="38D539B1" w14:textId="77777777" w:rsidR="00F448F2" w:rsidRDefault="00F448F2" w:rsidP="00F448F2">
      <w:pPr>
        <w:pStyle w:val="NoSpacing"/>
      </w:pPr>
    </w:p>
    <w:p w14:paraId="671320AD" w14:textId="77777777" w:rsidR="00F448F2" w:rsidRDefault="00F448F2" w:rsidP="00F448F2">
      <w:pPr>
        <w:pStyle w:val="NoSpacing"/>
      </w:pPr>
      <w:r>
        <w:t>THE COURT HELD: “</w:t>
      </w:r>
      <w:r w:rsidRPr="005C6982">
        <w:t>Since 2020, TFD has been the primary transport service, though the Town maintains agreements with other emergency first responder services to provide backup emergency services</w:t>
      </w:r>
      <w:r>
        <w:t xml:space="preserve">…. </w:t>
      </w:r>
      <w:r w:rsidRPr="005C6982">
        <w:t xml:space="preserve"> Backup emergency services are available via an </w:t>
      </w:r>
      <w:r>
        <w:t>‘</w:t>
      </w:r>
      <w:r w:rsidRPr="005C6982">
        <w:t>intercept,</w:t>
      </w:r>
      <w:r>
        <w:t>’</w:t>
      </w:r>
      <w:r w:rsidRPr="005C6982">
        <w:t xml:space="preserve"> which refers to any ambulance or individual dispatched for the purpose of supplementing staff</w:t>
      </w:r>
      <w:r>
        <w:t xml:space="preserve">…. </w:t>
      </w:r>
      <w:r w:rsidRPr="00A45B59">
        <w:t>One such service is Northeast Regional Ambulance Service (</w:t>
      </w:r>
      <w:r>
        <w:t>‘</w:t>
      </w:r>
      <w:r w:rsidRPr="00A45B59">
        <w:t>NRAS</w:t>
      </w:r>
      <w:r>
        <w:t>’</w:t>
      </w:r>
      <w:r w:rsidRPr="00A45B59">
        <w:t>)</w:t>
      </w:r>
      <w:r>
        <w:t xml:space="preserve">…. </w:t>
      </w:r>
      <w:r w:rsidRPr="00A45B59">
        <w:t>The Town claims to have decided to make TFD the primary transportation service because when NRAS was the primary transport provider, NRAS's delayed response time would result in TFD personnel arriving to provide services but then needing to wait for NRAS to arrive to make the transport</w:t>
      </w:r>
      <w:r>
        <w:t>….</w:t>
      </w:r>
      <w:r w:rsidRPr="00A45B59">
        <w:t>The Town experienced additional difficulties relying on NRAS's staffing of ambulances, including sending BLS services instead of ALS</w:t>
      </w:r>
      <w:r>
        <w:t xml:space="preserve">…. </w:t>
      </w:r>
      <w:r w:rsidRPr="00101460">
        <w:t>Around the same time, Collins-Brown expressed a desire to ensure that TFD paramedics gain more experience in the field, to provide better and faster care to Topsfield residents.</w:t>
      </w:r>
      <w:r>
        <w:t xml:space="preserve"> *** </w:t>
      </w:r>
      <w:r w:rsidRPr="00E502A2">
        <w:t xml:space="preserve"> The </w:t>
      </w:r>
      <w:proofErr w:type="spellStart"/>
      <w:r w:rsidRPr="00E502A2">
        <w:t>Lincoffs</w:t>
      </w:r>
      <w:proofErr w:type="spellEnd"/>
      <w:r w:rsidRPr="00E502A2">
        <w:t xml:space="preserve"> contend that this preference became a policy or practice of cancelling NRAS intercepts to allow the TFD paramedics to gain more experience</w:t>
      </w:r>
      <w:r>
        <w:t xml:space="preserve">…. </w:t>
      </w:r>
      <w:r w:rsidRPr="00E502A2">
        <w:t xml:space="preserve">However, none of the TFD personnel involved in this case were aware of a policy or practice of cancelling intercepts for any reason other than because it was deemed unnecessary for patient care. </w:t>
      </w:r>
      <w:r>
        <w:t xml:space="preserve">*** </w:t>
      </w:r>
      <w:r w:rsidRPr="001607ED">
        <w:t xml:space="preserve">Based on the </w:t>
      </w:r>
      <w:r w:rsidRPr="001607ED">
        <w:lastRenderedPageBreak/>
        <w:t>undisputed record before the Court, Boyle's actions cannot be said to have been deliberately indifferent to a substantial risk of serious harm.</w:t>
      </w:r>
      <w:r>
        <w:t>”</w:t>
      </w:r>
    </w:p>
    <w:p w14:paraId="63D983D5" w14:textId="77777777" w:rsidR="00F448F2" w:rsidRDefault="00F448F2" w:rsidP="00F448F2">
      <w:pPr>
        <w:pStyle w:val="NoSpacing"/>
      </w:pPr>
    </w:p>
    <w:p w14:paraId="2AA36D4E" w14:textId="77777777" w:rsidR="00F448F2" w:rsidRPr="00E502A2" w:rsidRDefault="00F448F2" w:rsidP="00F448F2">
      <w:pPr>
        <w:pStyle w:val="NoSpacing"/>
        <w:rPr>
          <w:b/>
          <w:bCs/>
        </w:rPr>
      </w:pPr>
      <w:r w:rsidRPr="00AD2716">
        <w:rPr>
          <w:b/>
        </w:rPr>
        <w:t xml:space="preserve">Legal lesson learned: </w:t>
      </w:r>
      <w:r>
        <w:rPr>
          <w:b/>
        </w:rPr>
        <w:t xml:space="preserve">There was no evidence of any of the EMS being “deliberate indifferent” to the needs of the patient. </w:t>
      </w:r>
    </w:p>
    <w:p w14:paraId="5AA50487" w14:textId="77777777" w:rsidR="00F448F2" w:rsidRPr="00A45B59" w:rsidRDefault="00F448F2" w:rsidP="00F448F2">
      <w:pPr>
        <w:pStyle w:val="NoSpacing"/>
      </w:pPr>
    </w:p>
    <w:p w14:paraId="0D48D4C6" w14:textId="77777777" w:rsidR="00F448F2" w:rsidRDefault="00F448F2" w:rsidP="00004498">
      <w:pPr>
        <w:rPr>
          <w:rFonts w:ascii="Arial Black" w:hAnsi="Arial Black"/>
          <w:b/>
          <w:bCs/>
          <w:sz w:val="24"/>
          <w:szCs w:val="24"/>
        </w:rPr>
      </w:pPr>
    </w:p>
    <w:p w14:paraId="2A36AC61" w14:textId="3AF748A3" w:rsidR="00BF6824" w:rsidRDefault="00BF6824" w:rsidP="00004498">
      <w:pPr>
        <w:rPr>
          <w:rFonts w:ascii="Arial Black" w:hAnsi="Arial Black"/>
          <w:b/>
          <w:bCs/>
          <w:sz w:val="24"/>
          <w:szCs w:val="24"/>
        </w:rPr>
      </w:pPr>
      <w:r>
        <w:rPr>
          <w:rFonts w:ascii="Arial Black" w:hAnsi="Arial Black"/>
          <w:b/>
          <w:bCs/>
          <w:sz w:val="24"/>
          <w:szCs w:val="24"/>
        </w:rPr>
        <w:t>13-243</w:t>
      </w:r>
    </w:p>
    <w:p w14:paraId="2E90720B" w14:textId="77777777" w:rsidR="00BF6824" w:rsidRPr="005D5832" w:rsidRDefault="00BF6824" w:rsidP="00BF6824">
      <w:pPr>
        <w:pStyle w:val="NoSpacing"/>
        <w:rPr>
          <w:rFonts w:ascii="Arial Black" w:hAnsi="Arial Black"/>
          <w:sz w:val="28"/>
          <w:szCs w:val="28"/>
        </w:rPr>
      </w:pPr>
      <w:r>
        <w:rPr>
          <w:rFonts w:ascii="Arial Black" w:hAnsi="Arial Black"/>
          <w:sz w:val="28"/>
          <w:szCs w:val="28"/>
        </w:rPr>
        <w:t>NY: COVID – FF CLAIM VAC FETAL CELLS – CASE PROCEED</w:t>
      </w:r>
    </w:p>
    <w:p w14:paraId="7673D1EE" w14:textId="77777777" w:rsidR="00BF6824" w:rsidRDefault="00BF6824" w:rsidP="00BF6824">
      <w:pPr>
        <w:pStyle w:val="NoSpacing"/>
      </w:pPr>
    </w:p>
    <w:p w14:paraId="544991AB" w14:textId="77777777" w:rsidR="00BF6824" w:rsidRDefault="00BF6824" w:rsidP="00BF6824">
      <w:pPr>
        <w:pStyle w:val="NoSpacing"/>
      </w:pPr>
      <w:r>
        <w:t xml:space="preserve">On February 2, 2026, in Salvatore Maita v. City of New York, U.S. Magistrate Judge Vera M. Scanlon, </w:t>
      </w:r>
      <w:r w:rsidRPr="00914791">
        <w:t>United States District Court for Eastern District of New York</w:t>
      </w:r>
      <w:r>
        <w:rPr>
          <w:b/>
        </w:rPr>
        <w:t xml:space="preserve">, </w:t>
      </w:r>
      <w:r w:rsidRPr="001B0201">
        <w:t xml:space="preserve">issued a Report and Recommendation </w:t>
      </w:r>
      <w:r>
        <w:t xml:space="preserve">that the lawsuit proceed to pre-trial discovery.  FDNY on November 1, </w:t>
      </w:r>
      <w:proofErr w:type="gramStart"/>
      <w:r>
        <w:t>2021</w:t>
      </w:r>
      <w:proofErr w:type="gramEnd"/>
      <w:r>
        <w:t xml:space="preserve"> he was placed on leave without pay; his request for accommodation because it was not based on his religion – Catholic – but on his claim the vaccination was “produced </w:t>
      </w:r>
      <w:r w:rsidRPr="006E2758">
        <w:t>researched, manufactured, and/or tested using aborted fetal cell lines</w:t>
      </w:r>
      <w:r>
        <w:t>.</w:t>
      </w:r>
      <w:r w:rsidRPr="006E2758">
        <w:t>”</w:t>
      </w:r>
      <w:r>
        <w:t xml:space="preserve"> He was fired on February 11, 2022. In 2023 he requested reinstatement, but it was denied on April 17, 2023 when he refused to sign a waiver </w:t>
      </w:r>
      <w:r w:rsidRPr="00300A52">
        <w:t>waiving his right to all backpay from the time he was placed on Leave Without Pay</w:t>
      </w:r>
      <w:r>
        <w:t xml:space="preserve">.  </w:t>
      </w:r>
      <w:hyperlink r:id="rId2044" w:history="1">
        <w:r w:rsidRPr="00125CD1">
          <w:rPr>
            <w:rStyle w:val="Hyperlink"/>
          </w:rPr>
          <w:t>https://public.fastcase.com/Jhe1Qn%2BmJndQYQU6z%2FeNm1LICE259A5ulYHxnw3lcJtDWEaUq57rExGHQXd3hU8EgaPHTdGS%2FRk5aoRP0crRKmeZauTqc6nD5gh3xIKTEMg%3D?utm_medium=email&amp;_hsenc=p2ANqtz-9zYvhQr5QF-kHvOgqVEwwEjeDJW6aa7G89aGppWtTq6GnIfdSTK1neKuS-jEFNuUA2B3hULaVGvwBQIPV_0qoJel6h4w&amp;_hsmi=226712652&amp;utm_content=226712652&amp;utm_source=hs_email</w:t>
        </w:r>
      </w:hyperlink>
      <w:r>
        <w:t xml:space="preserve"> </w:t>
      </w:r>
    </w:p>
    <w:p w14:paraId="256630DA" w14:textId="77777777" w:rsidR="00BF6824" w:rsidRDefault="00BF6824" w:rsidP="00BF6824">
      <w:pPr>
        <w:pStyle w:val="NoSpacing"/>
      </w:pPr>
    </w:p>
    <w:p w14:paraId="5C6CEBF7" w14:textId="77777777" w:rsidR="00BF6824" w:rsidRDefault="00BF6824" w:rsidP="00BF6824">
      <w:pPr>
        <w:pStyle w:val="NoSpacing"/>
      </w:pPr>
      <w:r>
        <w:t>THE COURT HELD:  “[Plaintiff claims] that</w:t>
      </w:r>
      <w:r w:rsidRPr="00106892">
        <w:t xml:space="preserve"> Defendant granted approximately 105 religious and medical accommodations to other employees of the FDNY, including </w:t>
      </w:r>
      <w:r>
        <w:t>‘</w:t>
      </w:r>
      <w:r w:rsidRPr="00106892">
        <w:t>active-duty firefighters,</w:t>
      </w:r>
      <w:r>
        <w:t>’</w:t>
      </w:r>
      <w:r w:rsidRPr="00106892">
        <w:t xml:space="preserve"> as of January 11, 2022, including at least thirty medical accommodations and at least six religious accommodations, and permitted them </w:t>
      </w:r>
      <w:r>
        <w:t>‘</w:t>
      </w:r>
      <w:r w:rsidRPr="00106892">
        <w:t>to submit to weekly PCR testing</w:t>
      </w:r>
      <w:r>
        <w:t>’</w:t>
      </w:r>
      <w:r w:rsidRPr="00106892">
        <w:t xml:space="preserve"> in lieu of receiving the COVID-19 vaccine, such that providing this accommodation was not an undue hardship, particularly given that only the initial dose was required, that </w:t>
      </w:r>
      <w:r>
        <w:t>‘</w:t>
      </w:r>
      <w:r w:rsidRPr="00106892">
        <w:t>[t]he COVID-19 vaccine does not cause prevention or [sic] transmission of the COVID-19 virus,</w:t>
      </w:r>
      <w:r>
        <w:t xml:space="preserve">’ </w:t>
      </w:r>
      <w:r w:rsidRPr="00106892">
        <w:t xml:space="preserve"> and that </w:t>
      </w:r>
      <w:r>
        <w:t>‘</w:t>
      </w:r>
      <w:r w:rsidRPr="00106892">
        <w:t>vaccinated and unvaccinated people infected with COVID-19</w:t>
      </w:r>
      <w:r>
        <w:t>’</w:t>
      </w:r>
      <w:r w:rsidRPr="00106892">
        <w:t xml:space="preserve"> had </w:t>
      </w:r>
      <w:r>
        <w:t>‘</w:t>
      </w:r>
      <w:r w:rsidRPr="00106892">
        <w:t>similar viral loads.</w:t>
      </w:r>
      <w:r>
        <w:t xml:space="preserve">’ … </w:t>
      </w:r>
      <w:r w:rsidRPr="00106892">
        <w:t>Employees of the New York City Police Department were similarly accommodated</w:t>
      </w:r>
      <w:r>
        <w:t xml:space="preserve">…. *** </w:t>
      </w:r>
      <w:r w:rsidRPr="00823740">
        <w:t xml:space="preserve">Once Plaintiff has pleaded his claims, and the possible affirmative defenses are not evident on the face of the amended complaint, the claims may move forward. </w:t>
      </w:r>
      <w:proofErr w:type="gramStart"/>
      <w:r w:rsidRPr="00823740">
        <w:t>Defendant</w:t>
      </w:r>
      <w:proofErr w:type="gramEnd"/>
      <w:r w:rsidRPr="00823740">
        <w:t xml:space="preserve"> may, indeed, have valid defenses, but they require the presentation of facts beyond the amended complaint. For example, Plaintiff bases his claims on a claim that aborted fetal cell lines were used in the production, research, manufacture and/or testing of the COVID-19 vaccine. This is posited as a fact, not a religious belief in and of itself such that Plaintiff will have to prove such alleged fact at a later stage of the proceedings. This allegation cannot be resolved on the current record. By way of another factual dispute that cannot be resolved on the face of the amended complaint or as a matter of law is the defense of undue hardship. At this juncture, determination of whether accommodating Plaintiff would have been an undue hardship for Defendant would be premature.</w:t>
      </w:r>
      <w:r>
        <w:t>”</w:t>
      </w:r>
    </w:p>
    <w:p w14:paraId="59A55B97" w14:textId="77777777" w:rsidR="00BF6824" w:rsidRDefault="00BF6824" w:rsidP="00BF6824">
      <w:pPr>
        <w:pStyle w:val="NoSpacing"/>
      </w:pPr>
    </w:p>
    <w:p w14:paraId="37B7892C" w14:textId="77777777" w:rsidR="00BF6824" w:rsidRPr="00106892" w:rsidRDefault="00BF6824" w:rsidP="00BF6824">
      <w:pPr>
        <w:pStyle w:val="NoSpacing"/>
        <w:rPr>
          <w:b/>
          <w:bCs/>
        </w:rPr>
      </w:pPr>
      <w:r w:rsidRPr="00B57F27">
        <w:rPr>
          <w:b/>
        </w:rPr>
        <w:t xml:space="preserve">Legal lesson learned: </w:t>
      </w:r>
      <w:r>
        <w:rPr>
          <w:b/>
        </w:rPr>
        <w:t xml:space="preserve">Case will now proceed to pre-trial discovery; many COVID cases against FDNY have resulted in dismissal of the cases. </w:t>
      </w:r>
    </w:p>
    <w:p w14:paraId="10A1E9BB" w14:textId="77777777" w:rsidR="00BF6824" w:rsidRDefault="00BF6824" w:rsidP="00004498">
      <w:pPr>
        <w:rPr>
          <w:rFonts w:ascii="Arial Black" w:hAnsi="Arial Black"/>
          <w:b/>
          <w:bCs/>
          <w:sz w:val="24"/>
          <w:szCs w:val="24"/>
        </w:rPr>
      </w:pPr>
    </w:p>
    <w:p w14:paraId="541EAFB2" w14:textId="3FD57166" w:rsidR="00C812C2" w:rsidRDefault="00627649" w:rsidP="00004498">
      <w:pPr>
        <w:rPr>
          <w:rFonts w:ascii="Arial Black" w:hAnsi="Arial Black"/>
          <w:b/>
          <w:bCs/>
          <w:sz w:val="24"/>
          <w:szCs w:val="24"/>
        </w:rPr>
      </w:pPr>
      <w:r>
        <w:rPr>
          <w:rFonts w:ascii="Arial Black" w:hAnsi="Arial Black"/>
          <w:b/>
          <w:bCs/>
          <w:sz w:val="24"/>
          <w:szCs w:val="24"/>
        </w:rPr>
        <w:t>13-242</w:t>
      </w:r>
    </w:p>
    <w:p w14:paraId="39FB2AB2" w14:textId="0277EA31" w:rsidR="00627649" w:rsidRPr="00454803" w:rsidRDefault="00627649" w:rsidP="00627649">
      <w:pPr>
        <w:rPr>
          <w:rFonts w:ascii="Arial Black" w:hAnsi="Arial Black"/>
          <w:b/>
          <w:sz w:val="28"/>
          <w:szCs w:val="28"/>
        </w:rPr>
      </w:pPr>
      <w:r>
        <w:rPr>
          <w:rFonts w:ascii="Arial Black" w:hAnsi="Arial Black"/>
          <w:b/>
          <w:sz w:val="28"/>
          <w:szCs w:val="28"/>
        </w:rPr>
        <w:t>OH: ASHMA PT – 911 / HANG UP – DISPATCHERS NEG</w:t>
      </w:r>
      <w:r w:rsidR="005A04E2">
        <w:rPr>
          <w:rFonts w:ascii="Arial Black" w:hAnsi="Arial Black"/>
          <w:b/>
          <w:sz w:val="28"/>
          <w:szCs w:val="28"/>
        </w:rPr>
        <w:t>LIGENCE</w:t>
      </w:r>
      <w:r>
        <w:rPr>
          <w:rFonts w:ascii="Arial Black" w:hAnsi="Arial Black"/>
          <w:b/>
          <w:sz w:val="28"/>
          <w:szCs w:val="28"/>
        </w:rPr>
        <w:t xml:space="preserve"> </w:t>
      </w:r>
    </w:p>
    <w:p w14:paraId="73A1C282" w14:textId="77777777" w:rsidR="00627649" w:rsidRDefault="00627649" w:rsidP="00627649">
      <w:pPr>
        <w:pStyle w:val="NoSpacing"/>
      </w:pPr>
      <w:r>
        <w:t xml:space="preserve">On January 12, 2026, in </w:t>
      </w:r>
      <w:r w:rsidRPr="0005582E">
        <w:rPr>
          <w:u w:val="single"/>
        </w:rPr>
        <w:t>Clinton T. Widdowson, as Administrator of the Estate of Tyler Joe-Austin Widdowson, et al. v. Lake County, Ohio</w:t>
      </w:r>
      <w:r>
        <w:t xml:space="preserve">, the </w:t>
      </w:r>
      <w:r w:rsidRPr="0005582E">
        <w:t>Court of Appeals of Ohio, Eleventh District, Lake</w:t>
      </w:r>
      <w:r>
        <w:t xml:space="preserve"> County held (2 to 1) that trial court judge should not have dismissed the two dispatchers from this lawsuit for their alleged “</w:t>
      </w:r>
      <w:r w:rsidRPr="00C47724">
        <w:t>wanton and reckless conduct</w:t>
      </w:r>
      <w:r>
        <w:t>”</w:t>
      </w:r>
      <w:r w:rsidRPr="00C47724">
        <w:t xml:space="preserve"> </w:t>
      </w:r>
      <w:r>
        <w:t xml:space="preserve">- </w:t>
      </w:r>
      <w:r w:rsidRPr="00471BDC">
        <w:t xml:space="preserve">Angela King </w:t>
      </w:r>
      <w:r w:rsidRPr="00471BDC">
        <w:lastRenderedPageBreak/>
        <w:t>and Brandy</w:t>
      </w:r>
      <w:r>
        <w:t xml:space="preserve"> </w:t>
      </w:r>
      <w:r w:rsidRPr="00471BDC">
        <w:t xml:space="preserve">Catanese. </w:t>
      </w:r>
      <w:r>
        <w:t xml:space="preserve"> On </w:t>
      </w:r>
      <w:r w:rsidRPr="00CC1EE2">
        <w:t>Saturday, April 30, 2022, at 5:26 a.m.,</w:t>
      </w:r>
      <w:r>
        <w:t xml:space="preserve"> </w:t>
      </w:r>
      <w:r w:rsidRPr="00CC1EE2">
        <w:t xml:space="preserve">Tiler Widdowson </w:t>
      </w:r>
      <w:r>
        <w:t xml:space="preserve">(age 24) </w:t>
      </w:r>
      <w:r w:rsidRPr="00CC1EE2">
        <w:t>called 911 on his cell phone for assistance. The</w:t>
      </w:r>
      <w:r>
        <w:t xml:space="preserve"> </w:t>
      </w:r>
      <w:r w:rsidRPr="00CC1EE2">
        <w:t>call was received by Sgt. King who had difficulty discerning what</w:t>
      </w:r>
      <w:r>
        <w:t xml:space="preserve"> </w:t>
      </w:r>
      <w:r w:rsidRPr="00CC1EE2">
        <w:t>Widdowson was saying. She was only able to discern the word</w:t>
      </w:r>
      <w:r>
        <w:t xml:space="preserve"> '</w:t>
      </w:r>
      <w:r w:rsidRPr="00CC1EE2">
        <w:t xml:space="preserve">help.” She </w:t>
      </w:r>
      <w:proofErr w:type="gramStart"/>
      <w:r w:rsidRPr="00CC1EE2">
        <w:t>entered into</w:t>
      </w:r>
      <w:proofErr w:type="gramEnd"/>
      <w:r w:rsidRPr="00CC1EE2">
        <w:t xml:space="preserve"> the Computer Aided Dispatch (CAD) system</w:t>
      </w:r>
      <w:r>
        <w:t xml:space="preserve"> </w:t>
      </w:r>
      <w:r w:rsidRPr="00CC1EE2">
        <w:t>“Male just yelling help.” Despite her repeated requests, Widdowson</w:t>
      </w:r>
      <w:r>
        <w:t xml:space="preserve"> </w:t>
      </w:r>
      <w:r w:rsidRPr="00CC1EE2">
        <w:t>was unable to provide his location</w:t>
      </w:r>
      <w:r>
        <w:t xml:space="preserve">, and sent deputies to Cambridge Condominiums on low level welfare check. At 6:06 a.m., she relistened to the call and added in the CAD the comment “just says please help, please help, can’t breathe” and further commented “sounds like it’s not directly into the phone either.” She did not reclassify the call from a welfare check to a medical emergency and did send fire or </w:t>
      </w:r>
      <w:proofErr w:type="gramStart"/>
      <w:r>
        <w:t>EMS, and</w:t>
      </w:r>
      <w:proofErr w:type="gramEnd"/>
      <w:r>
        <w:t xml:space="preserve"> did have second dispatcher radio this information to the deputies. </w:t>
      </w:r>
      <w:hyperlink r:id="rId2045" w:history="1">
        <w:r w:rsidRPr="00815351">
          <w:rPr>
            <w:rStyle w:val="Hyperlink"/>
          </w:rPr>
          <w:t>https://www.supremecourt.ohio.gov/rod/docs/pdf/11/2026/2026-Ohio-67.pdf</w:t>
        </w:r>
      </w:hyperlink>
      <w:r>
        <w:t xml:space="preserve"> </w:t>
      </w:r>
    </w:p>
    <w:p w14:paraId="1FAFD8E2" w14:textId="77777777" w:rsidR="00627649" w:rsidRDefault="00627649" w:rsidP="00627649">
      <w:pPr>
        <w:pStyle w:val="NoSpacing"/>
      </w:pPr>
    </w:p>
    <w:p w14:paraId="3820200E" w14:textId="77777777" w:rsidR="00627649" w:rsidRDefault="00627649" w:rsidP="00627649">
      <w:pPr>
        <w:pStyle w:val="NoSpacing"/>
      </w:pPr>
      <w:r>
        <w:t>THE COURT HELD:</w:t>
      </w:r>
    </w:p>
    <w:p w14:paraId="437A9DA4" w14:textId="77777777" w:rsidR="00627649" w:rsidRDefault="00627649" w:rsidP="00627649">
      <w:pPr>
        <w:pStyle w:val="NoSpacing"/>
      </w:pPr>
    </w:p>
    <w:p w14:paraId="51FE6D46" w14:textId="77777777" w:rsidR="00627649" w:rsidRDefault="00627649" w:rsidP="00627649">
      <w:pPr>
        <w:pStyle w:val="NoSpacing"/>
        <w:ind w:firstLine="720"/>
      </w:pPr>
      <w:r>
        <w:t>“King was the fire and EMS dispatcher and could have directly dispatched</w:t>
      </w:r>
    </w:p>
    <w:p w14:paraId="28B30853" w14:textId="77777777" w:rsidR="00627649" w:rsidRDefault="00627649" w:rsidP="00627649">
      <w:pPr>
        <w:pStyle w:val="NoSpacing"/>
        <w:ind w:firstLine="720"/>
      </w:pPr>
      <w:r>
        <w:t>those units (located about two minutes away) to the scene or, at the least, staged them</w:t>
      </w:r>
    </w:p>
    <w:p w14:paraId="77530F39" w14:textId="77777777" w:rsidR="00627649" w:rsidRDefault="00627649" w:rsidP="00627649">
      <w:pPr>
        <w:pStyle w:val="NoSpacing"/>
        <w:ind w:firstLine="720"/>
      </w:pPr>
      <w:r>
        <w:t>(</w:t>
      </w:r>
      <w:proofErr w:type="gramStart"/>
      <w:r>
        <w:t>put</w:t>
      </w:r>
      <w:proofErr w:type="gramEnd"/>
      <w:r>
        <w:t xml:space="preserve"> them on notice</w:t>
      </w:r>
      <w:proofErr w:type="gramStart"/>
      <w:r>
        <w:t>), but</w:t>
      </w:r>
      <w:proofErr w:type="gramEnd"/>
      <w:r>
        <w:t xml:space="preserve"> did not do so. Nor did she reclassify the call as a medical</w:t>
      </w:r>
    </w:p>
    <w:p w14:paraId="487BEAF4" w14:textId="77777777" w:rsidR="00627649" w:rsidRDefault="00627649" w:rsidP="00627649">
      <w:pPr>
        <w:pStyle w:val="NoSpacing"/>
        <w:ind w:firstLine="720"/>
      </w:pPr>
      <w:r>
        <w:t>emergency. Although deputies were already on the scene, the deputies, according to</w:t>
      </w:r>
    </w:p>
    <w:p w14:paraId="54F1662F" w14:textId="77777777" w:rsidR="00627649" w:rsidRDefault="00627649" w:rsidP="00627649">
      <w:pPr>
        <w:pStyle w:val="NoSpacing"/>
        <w:ind w:firstLine="720"/>
      </w:pPr>
      <w:proofErr w:type="gramStart"/>
      <w:r>
        <w:t>Bowers,</w:t>
      </w:r>
      <w:proofErr w:type="gramEnd"/>
      <w:r>
        <w:t xml:space="preserve"> were not ‘trained medically’ to deal with a medical emergency.</w:t>
      </w:r>
    </w:p>
    <w:p w14:paraId="4BEA0738" w14:textId="77777777" w:rsidR="00627649" w:rsidRDefault="00627649" w:rsidP="00627649">
      <w:pPr>
        <w:pStyle w:val="NoSpacing"/>
        <w:ind w:firstLine="720"/>
      </w:pPr>
    </w:p>
    <w:p w14:paraId="6C23C9A1" w14:textId="77777777" w:rsidR="00627649" w:rsidRDefault="00627649" w:rsidP="00627649">
      <w:pPr>
        <w:pStyle w:val="NoSpacing"/>
        <w:ind w:firstLine="720"/>
      </w:pPr>
      <w:r>
        <w:t>We do find that the plaintiffs merit the opportunity of making that case to the</w:t>
      </w:r>
    </w:p>
    <w:p w14:paraId="33FB20F9" w14:textId="77777777" w:rsidR="00627649" w:rsidRDefault="00627649" w:rsidP="00627649">
      <w:pPr>
        <w:pStyle w:val="NoSpacing"/>
        <w:ind w:firstLine="720"/>
      </w:pPr>
      <w:r>
        <w:t>jury. Accordingly, summary judgment was improperly granted with respect to King.</w:t>
      </w:r>
    </w:p>
    <w:p w14:paraId="442CB11F" w14:textId="77777777" w:rsidR="00627649" w:rsidRDefault="00627649" w:rsidP="00627649">
      <w:pPr>
        <w:pStyle w:val="NoSpacing"/>
        <w:ind w:firstLine="720"/>
      </w:pPr>
    </w:p>
    <w:p w14:paraId="0193C2BD" w14:textId="77777777" w:rsidR="00627649" w:rsidRDefault="00627649" w:rsidP="00627649">
      <w:pPr>
        <w:pStyle w:val="NoSpacing"/>
        <w:ind w:firstLine="720"/>
      </w:pPr>
      <w:r>
        <w:t>***</w:t>
      </w:r>
    </w:p>
    <w:p w14:paraId="1CA28349" w14:textId="77777777" w:rsidR="00627649" w:rsidRDefault="00627649" w:rsidP="00627649">
      <w:pPr>
        <w:pStyle w:val="NoSpacing"/>
      </w:pPr>
    </w:p>
    <w:p w14:paraId="21934AF5" w14:textId="77777777" w:rsidR="00627649" w:rsidRDefault="00627649" w:rsidP="00627649">
      <w:pPr>
        <w:pStyle w:val="NoSpacing"/>
        <w:ind w:left="720"/>
      </w:pPr>
      <w:r>
        <w:t>We find that prior to hearing Tiler’s complaint that he could not breathe at about 6:06 a.m., King’s conduct was at most negligent. The initial classification of the call as a welfare check was in accordance with call center policies. In addition to classifying the event, King noted that the male caller was yelling ‘help’ and Catanese duly broadcast this information when dispatching Deputy Bowers.</w:t>
      </w:r>
    </w:p>
    <w:p w14:paraId="2AAF6A44" w14:textId="77777777" w:rsidR="00627649" w:rsidRDefault="00627649" w:rsidP="00627649">
      <w:pPr>
        <w:pStyle w:val="NoSpacing"/>
      </w:pPr>
    </w:p>
    <w:p w14:paraId="268C78F3" w14:textId="77777777" w:rsidR="00627649" w:rsidRDefault="00627649" w:rsidP="00627649">
      <w:pPr>
        <w:pStyle w:val="NoSpacing"/>
        <w:ind w:left="720"/>
      </w:pPr>
      <w:r>
        <w:t>After realizing the severity of the situation, however, King’s conduct could be described as the failure to exercise any care in circumstances in which there was a great probability of harm and/or the conscious disregard of or indifference to an obvious risk of harm. The critical issue of whether Tiler’s not being able to breathe constituted a medical emergency, i.e., a situation requiring an emergency medical response, is not one that needs to be resolved.”</w:t>
      </w:r>
    </w:p>
    <w:p w14:paraId="7608D3FC" w14:textId="77777777" w:rsidR="00627649" w:rsidRDefault="00627649" w:rsidP="00627649">
      <w:pPr>
        <w:pStyle w:val="NoSpacing"/>
        <w:ind w:left="720"/>
      </w:pPr>
    </w:p>
    <w:p w14:paraId="4BB95A9A" w14:textId="77777777" w:rsidR="00627649" w:rsidRPr="00EB0A64" w:rsidRDefault="00627649" w:rsidP="00627649">
      <w:pPr>
        <w:pStyle w:val="NoSpacing"/>
        <w:rPr>
          <w:b/>
          <w:bCs/>
        </w:rPr>
      </w:pPr>
      <w:r>
        <w:rPr>
          <w:b/>
        </w:rPr>
        <w:t xml:space="preserve">Legal lesson learned: Please share this case with your dispatchers; a 911 call for “can’t </w:t>
      </w:r>
      <w:proofErr w:type="spellStart"/>
      <w:proofErr w:type="gramStart"/>
      <w:r>
        <w:rPr>
          <w:b/>
        </w:rPr>
        <w:t>breath</w:t>
      </w:r>
      <w:proofErr w:type="spellEnd"/>
      <w:proofErr w:type="gramEnd"/>
      <w:r>
        <w:rPr>
          <w:b/>
        </w:rPr>
        <w:t xml:space="preserve">” should be handled as a medical emergency with EMS responding. </w:t>
      </w:r>
    </w:p>
    <w:p w14:paraId="20D5A555" w14:textId="77777777" w:rsidR="00627649" w:rsidRDefault="00627649" w:rsidP="00627649">
      <w:pPr>
        <w:pStyle w:val="NoSpacing"/>
      </w:pPr>
    </w:p>
    <w:p w14:paraId="3F346A1F" w14:textId="77777777" w:rsidR="00627649" w:rsidRDefault="00627649" w:rsidP="00627649">
      <w:pPr>
        <w:pStyle w:val="NoSpacing"/>
        <w:ind w:left="720"/>
      </w:pPr>
      <w:r>
        <w:t xml:space="preserve">Note: Dissenting Justice: “While Tiler Widdowson’s death is undeniably tragic, and while the emergency response may not have been perfect, the legal standards governing this case do not permit liability under these circumstances.” </w:t>
      </w:r>
    </w:p>
    <w:p w14:paraId="58D80299" w14:textId="77777777" w:rsidR="00627649" w:rsidRDefault="00627649" w:rsidP="00627649">
      <w:pPr>
        <w:pStyle w:val="NoSpacing"/>
      </w:pPr>
    </w:p>
    <w:p w14:paraId="631BBBA9" w14:textId="77777777" w:rsidR="00627649" w:rsidRDefault="00627649" w:rsidP="00004498">
      <w:pPr>
        <w:rPr>
          <w:rFonts w:ascii="Arial Black" w:hAnsi="Arial Black"/>
          <w:b/>
          <w:bCs/>
          <w:sz w:val="24"/>
          <w:szCs w:val="24"/>
        </w:rPr>
      </w:pPr>
    </w:p>
    <w:p w14:paraId="4125F5CB" w14:textId="2EC099D8" w:rsidR="009F546C" w:rsidRDefault="00424793" w:rsidP="00004498">
      <w:pPr>
        <w:rPr>
          <w:rFonts w:ascii="Arial Black" w:hAnsi="Arial Black"/>
          <w:b/>
          <w:bCs/>
          <w:sz w:val="24"/>
          <w:szCs w:val="24"/>
        </w:rPr>
      </w:pPr>
      <w:r>
        <w:rPr>
          <w:rFonts w:ascii="Arial Black" w:hAnsi="Arial Black"/>
          <w:b/>
          <w:bCs/>
          <w:sz w:val="24"/>
          <w:szCs w:val="24"/>
        </w:rPr>
        <w:t xml:space="preserve">13 – </w:t>
      </w:r>
      <w:r w:rsidR="002E2246">
        <w:rPr>
          <w:rFonts w:ascii="Arial Black" w:hAnsi="Arial Black"/>
          <w:b/>
          <w:bCs/>
          <w:sz w:val="24"/>
          <w:szCs w:val="24"/>
        </w:rPr>
        <w:t>24</w:t>
      </w:r>
      <w:r w:rsidR="00524647">
        <w:rPr>
          <w:rFonts w:ascii="Arial Black" w:hAnsi="Arial Black"/>
          <w:b/>
          <w:bCs/>
          <w:sz w:val="24"/>
          <w:szCs w:val="24"/>
        </w:rPr>
        <w:t>1</w:t>
      </w:r>
    </w:p>
    <w:p w14:paraId="42C17C39" w14:textId="61D17F23" w:rsidR="00424793" w:rsidRDefault="00424793" w:rsidP="00424793">
      <w:pPr>
        <w:rPr>
          <w:rFonts w:ascii="Arial Black" w:hAnsi="Arial Black"/>
          <w:b/>
          <w:sz w:val="28"/>
          <w:szCs w:val="28"/>
        </w:rPr>
      </w:pPr>
      <w:r>
        <w:rPr>
          <w:rFonts w:ascii="Arial Black" w:hAnsi="Arial Black"/>
          <w:b/>
          <w:sz w:val="28"/>
          <w:szCs w:val="28"/>
        </w:rPr>
        <w:t xml:space="preserve">IL: VICTIM DIED – MEDIC </w:t>
      </w:r>
      <w:r w:rsidR="00437034">
        <w:rPr>
          <w:rFonts w:ascii="Arial Black" w:hAnsi="Arial Black"/>
          <w:b/>
          <w:sz w:val="28"/>
          <w:szCs w:val="28"/>
        </w:rPr>
        <w:t xml:space="preserve">CAN TESTIFY </w:t>
      </w:r>
      <w:r w:rsidR="00014738">
        <w:rPr>
          <w:rFonts w:ascii="Arial Black" w:hAnsi="Arial Black"/>
          <w:b/>
          <w:sz w:val="28"/>
          <w:szCs w:val="28"/>
        </w:rPr>
        <w:t xml:space="preserve">TO </w:t>
      </w:r>
      <w:r>
        <w:rPr>
          <w:rFonts w:ascii="Arial Black" w:hAnsi="Arial Black"/>
          <w:b/>
          <w:sz w:val="28"/>
          <w:szCs w:val="28"/>
        </w:rPr>
        <w:t xml:space="preserve">JURY </w:t>
      </w:r>
      <w:r w:rsidR="00014738">
        <w:rPr>
          <w:rFonts w:ascii="Arial Black" w:hAnsi="Arial Black"/>
          <w:b/>
          <w:sz w:val="28"/>
          <w:szCs w:val="28"/>
        </w:rPr>
        <w:t xml:space="preserve">– PT’s </w:t>
      </w:r>
      <w:r>
        <w:rPr>
          <w:rFonts w:ascii="Arial Black" w:hAnsi="Arial Black"/>
          <w:b/>
          <w:sz w:val="28"/>
          <w:szCs w:val="28"/>
        </w:rPr>
        <w:t xml:space="preserve">“EXCITED UTTERANCE” </w:t>
      </w:r>
    </w:p>
    <w:p w14:paraId="13C761B7" w14:textId="77777777" w:rsidR="00424793" w:rsidRDefault="00424793" w:rsidP="00424793">
      <w:pPr>
        <w:rPr>
          <w:b/>
        </w:rPr>
      </w:pPr>
      <w:r>
        <w:t xml:space="preserve">On December 23, 2025, in </w:t>
      </w:r>
      <w:r w:rsidRPr="001D5214">
        <w:rPr>
          <w:u w:val="single"/>
        </w:rPr>
        <w:t>The People of the State of Illinois v. Londre Brown</w:t>
      </w:r>
      <w:r>
        <w:t xml:space="preserve">, the </w:t>
      </w:r>
      <w:r w:rsidRPr="001D5214">
        <w:t>Court of Appeals of Illinois, First District, Fifth Division</w:t>
      </w:r>
      <w:r>
        <w:t xml:space="preserve"> held (3 to 0) that the defendant was properly convicted by a jury of </w:t>
      </w:r>
      <w:r w:rsidRPr="00CD235D">
        <w:t>two counts of aggravated criminal</w:t>
      </w:r>
      <w:r>
        <w:t xml:space="preserve"> </w:t>
      </w:r>
      <w:r w:rsidRPr="00CD235D">
        <w:t>sexual assault and one count of aggravated battery of a person 60 years of age or older</w:t>
      </w:r>
      <w:r>
        <w:t xml:space="preserve">, and the sentence of 54 </w:t>
      </w:r>
      <w:r>
        <w:lastRenderedPageBreak/>
        <w:t xml:space="preserve">years.  The paramedic was properly allowed to testify about  the victim’s comments to her at the scene – excited utterance exception to hearsay rule and EMS run report was admissible as nontestimonial medical record (she died before trail, apparently from unrelated cause).   </w:t>
      </w:r>
      <w:hyperlink r:id="rId2046" w:history="1">
        <w:r w:rsidRPr="00D31421">
          <w:rPr>
            <w:rStyle w:val="Hyperlink"/>
            <w:b/>
          </w:rPr>
          <w:t>https://ilcourtsaudio.blob.core.windows.net/</w:t>
        </w:r>
      </w:hyperlink>
      <w:r>
        <w:rPr>
          <w:b/>
        </w:rPr>
        <w:t xml:space="preserve"> </w:t>
      </w:r>
    </w:p>
    <w:p w14:paraId="62FC5623" w14:textId="77777777" w:rsidR="00424793" w:rsidRDefault="00424793" w:rsidP="00424793">
      <w:pPr>
        <w:rPr>
          <w:bCs/>
        </w:rPr>
      </w:pPr>
      <w:r>
        <w:t>THE COURT HELD:</w:t>
      </w:r>
    </w:p>
    <w:p w14:paraId="05816073" w14:textId="77777777" w:rsidR="00424793" w:rsidRPr="001C2565" w:rsidRDefault="00424793" w:rsidP="00424793">
      <w:pPr>
        <w:pStyle w:val="NoSpacing"/>
        <w:ind w:firstLine="720"/>
        <w:rPr>
          <w:bCs/>
        </w:rPr>
      </w:pPr>
      <w:r>
        <w:t>“</w:t>
      </w:r>
      <w:r w:rsidRPr="001C2565">
        <w:t>Christopher Daly, a paramedic, testified that, on December 13, 2019, at approximately</w:t>
      </w:r>
    </w:p>
    <w:p w14:paraId="4F5DC630" w14:textId="77777777" w:rsidR="00424793" w:rsidRDefault="00424793" w:rsidP="00424793">
      <w:pPr>
        <w:pStyle w:val="NoSpacing"/>
        <w:ind w:left="720"/>
        <w:rPr>
          <w:bCs/>
        </w:rPr>
      </w:pPr>
      <w:r w:rsidRPr="001C2565">
        <w:t>8:30 p.m. when he arrived at the scene, he observed an elderly woman sitting at the top of the</w:t>
      </w:r>
      <w:r>
        <w:t xml:space="preserve"> </w:t>
      </w:r>
      <w:r w:rsidRPr="001C2565">
        <w:t xml:space="preserve">stairs, who was </w:t>
      </w:r>
      <w:r>
        <w:t>‘</w:t>
      </w:r>
      <w:r w:rsidRPr="001C2565">
        <w:t>stressed out</w:t>
      </w:r>
      <w:r>
        <w:t>’</w:t>
      </w:r>
      <w:r w:rsidRPr="001C2565">
        <w:t xml:space="preserve"> and </w:t>
      </w:r>
      <w:r>
        <w:t>‘</w:t>
      </w:r>
      <w:r w:rsidRPr="001C2565">
        <w:t>near hysterical.</w:t>
      </w:r>
      <w:r>
        <w:t>’</w:t>
      </w:r>
      <w:r w:rsidRPr="001C2565">
        <w:t xml:space="preserve"> The victim did not want anyone to touch her;</w:t>
      </w:r>
      <w:r>
        <w:t xml:space="preserve"> </w:t>
      </w:r>
      <w:r w:rsidRPr="001C2565">
        <w:t xml:space="preserve">she was </w:t>
      </w:r>
      <w:r>
        <w:t>‘</w:t>
      </w:r>
      <w:r w:rsidRPr="001C2565">
        <w:t>shaking</w:t>
      </w:r>
      <w:r>
        <w:t>’</w:t>
      </w:r>
      <w:r w:rsidRPr="001C2565">
        <w:t xml:space="preserve"> and </w:t>
      </w:r>
      <w:r>
        <w:t>‘</w:t>
      </w:r>
      <w:r w:rsidRPr="001C2565">
        <w:t>very scared.</w:t>
      </w:r>
      <w:r>
        <w:t>’</w:t>
      </w:r>
      <w:r w:rsidRPr="001C2565">
        <w:t xml:space="preserve"> Daly’s partner, Anthony Hoard, coaxed her down the stairs.</w:t>
      </w:r>
      <w:r>
        <w:t xml:space="preserve"> </w:t>
      </w:r>
      <w:r w:rsidRPr="001C2565">
        <w:t>After the victim stepped outside, she sat in a chair they had brought, and they took her to the</w:t>
      </w:r>
      <w:r>
        <w:t xml:space="preserve"> </w:t>
      </w:r>
      <w:r w:rsidRPr="001C2565">
        <w:t>ambulance. Her demeanor in the ambulance was the same as it had been at the top of stairs:</w:t>
      </w:r>
      <w:r>
        <w:t xml:space="preserve"> ‘</w:t>
      </w:r>
      <w:r w:rsidRPr="001C2565">
        <w:t>anxious, nervous, seemed very scared.</w:t>
      </w:r>
      <w:r>
        <w:t xml:space="preserve">’ </w:t>
      </w:r>
      <w:r w:rsidRPr="001C2565">
        <w:t>Daly explained that, because he was the paramedic, he</w:t>
      </w:r>
      <w:r>
        <w:t xml:space="preserve"> </w:t>
      </w:r>
      <w:r w:rsidRPr="001C2565">
        <w:t>assessed the patient while his partner did the documentation. While Daly was assessing her and</w:t>
      </w:r>
      <w:r>
        <w:t xml:space="preserve"> </w:t>
      </w:r>
      <w:r w:rsidRPr="001C2565">
        <w:t xml:space="preserve">asking, </w:t>
      </w:r>
      <w:r>
        <w:t>‘</w:t>
      </w:r>
      <w:r w:rsidRPr="001C2565">
        <w:t>what happened,</w:t>
      </w:r>
      <w:r>
        <w:t>’</w:t>
      </w:r>
      <w:r w:rsidRPr="001C2565">
        <w:t xml:space="preserve"> the victim said that defendant had bitten her and had </w:t>
      </w:r>
      <w:r>
        <w:t>‘</w:t>
      </w:r>
      <w:r w:rsidRPr="001C2565">
        <w:t>stuck his penis in</w:t>
      </w:r>
      <w:r>
        <w:t xml:space="preserve"> </w:t>
      </w:r>
      <w:r w:rsidRPr="001C2565">
        <w:t>her mouth.</w:t>
      </w:r>
      <w:r>
        <w:t>’</w:t>
      </w:r>
      <w:r w:rsidRPr="001C2565">
        <w:t xml:space="preserve"> The victim said defendant was holding her down and she was fighting him off and</w:t>
      </w:r>
      <w:r>
        <w:t xml:space="preserve"> ‘</w:t>
      </w:r>
      <w:r w:rsidRPr="001C2565">
        <w:t>that’s why she was hurt all over.”</w:t>
      </w:r>
      <w:r>
        <w:t xml:space="preserve"> </w:t>
      </w:r>
    </w:p>
    <w:p w14:paraId="5B88F1EF" w14:textId="77777777" w:rsidR="00424793" w:rsidRDefault="00424793" w:rsidP="00424793">
      <w:pPr>
        <w:pStyle w:val="NoSpacing"/>
        <w:rPr>
          <w:bCs/>
        </w:rPr>
      </w:pPr>
    </w:p>
    <w:p w14:paraId="2FB63724" w14:textId="77777777" w:rsidR="00424793" w:rsidRPr="00465B82" w:rsidRDefault="00424793" w:rsidP="00424793">
      <w:pPr>
        <w:pStyle w:val="NoSpacing"/>
        <w:ind w:firstLine="720"/>
        <w:rPr>
          <w:bCs/>
        </w:rPr>
      </w:pPr>
      <w:r w:rsidRPr="00465B82">
        <w:t>Daly described the injuries he observed, including a very deep cut in her right thigh</w:t>
      </w:r>
    </w:p>
    <w:p w14:paraId="7C6E2755" w14:textId="77777777" w:rsidR="00424793" w:rsidRDefault="00424793" w:rsidP="00424793">
      <w:pPr>
        <w:pStyle w:val="NoSpacing"/>
        <w:ind w:left="720"/>
        <w:rPr>
          <w:bCs/>
        </w:rPr>
      </w:pPr>
      <w:r w:rsidRPr="00465B82">
        <w:t xml:space="preserve">that seemed almost to </w:t>
      </w:r>
      <w:proofErr w:type="gramStart"/>
      <w:r w:rsidRPr="00465B82">
        <w:t>the</w:t>
      </w:r>
      <w:proofErr w:type="gramEnd"/>
      <w:r w:rsidRPr="00465B82">
        <w:t xml:space="preserve"> bone. Daly explained that doctors at the hospital would want to know</w:t>
      </w:r>
      <w:r>
        <w:t xml:space="preserve"> </w:t>
      </w:r>
      <w:r w:rsidRPr="00465B82">
        <w:t xml:space="preserve">how big the knife was, what kind of knife was used, and whether it was clean or dirty. </w:t>
      </w:r>
    </w:p>
    <w:p w14:paraId="28E7DE1E" w14:textId="77777777" w:rsidR="00424793" w:rsidRDefault="00424793" w:rsidP="00424793">
      <w:pPr>
        <w:pStyle w:val="NoSpacing"/>
        <w:ind w:left="720"/>
        <w:rPr>
          <w:bCs/>
        </w:rPr>
      </w:pPr>
    </w:p>
    <w:p w14:paraId="6240F0A6" w14:textId="77777777" w:rsidR="00424793" w:rsidRDefault="00424793" w:rsidP="00424793">
      <w:pPr>
        <w:pStyle w:val="NoSpacing"/>
        <w:ind w:left="720"/>
        <w:rPr>
          <w:bCs/>
        </w:rPr>
      </w:pPr>
      <w:r w:rsidRPr="00465B82">
        <w:t>For this</w:t>
      </w:r>
      <w:r>
        <w:t xml:space="preserve"> </w:t>
      </w:r>
      <w:r w:rsidRPr="00465B82">
        <w:t>reason, Daly went back inside the victim’s house and asked defendant ‘What kind of knife did</w:t>
      </w:r>
      <w:r>
        <w:t xml:space="preserve"> </w:t>
      </w:r>
      <w:r w:rsidRPr="00465B82">
        <w:t xml:space="preserve">you use to cut her?’ </w:t>
      </w:r>
      <w:r>
        <w:t>‘</w:t>
      </w:r>
      <w:r w:rsidRPr="00465B82">
        <w:t xml:space="preserve"> Defendant replied: ‘I didn’t use a knife</w:t>
      </w:r>
      <w:proofErr w:type="gramStart"/>
      <w:r w:rsidRPr="00465B82">
        <w:t>.</w:t>
      </w:r>
      <w:proofErr w:type="gramEnd"/>
      <w:r w:rsidRPr="00465B82">
        <w:t xml:space="preserve"> I bit her.’ Daly described</w:t>
      </w:r>
      <w:r>
        <w:t xml:space="preserve"> </w:t>
      </w:r>
      <w:r w:rsidRPr="00465B82">
        <w:t xml:space="preserve">defendant’s demeanor as </w:t>
      </w:r>
      <w:r>
        <w:t>‘</w:t>
      </w:r>
      <w:r w:rsidRPr="00465B82">
        <w:t>[a]</w:t>
      </w:r>
      <w:proofErr w:type="spellStart"/>
      <w:r w:rsidRPr="00465B82">
        <w:t>lmost</w:t>
      </w:r>
      <w:proofErr w:type="spellEnd"/>
      <w:r w:rsidRPr="00465B82">
        <w:t xml:space="preserve"> smug,</w:t>
      </w:r>
      <w:r>
        <w:t>’</w:t>
      </w:r>
      <w:r w:rsidRPr="00465B82">
        <w:t xml:space="preserve"> like he </w:t>
      </w:r>
      <w:r>
        <w:t>‘</w:t>
      </w:r>
      <w:r w:rsidRPr="00465B82">
        <w:t>didn’t care.</w:t>
      </w:r>
      <w:r>
        <w:t>’</w:t>
      </w:r>
      <w:r w:rsidRPr="00465B82">
        <w:t xml:space="preserve"> After speaking with defendant</w:t>
      </w:r>
      <w:r>
        <w:t>.</w:t>
      </w:r>
    </w:p>
    <w:p w14:paraId="705D02A5" w14:textId="77777777" w:rsidR="00424793" w:rsidRDefault="00424793" w:rsidP="00424793">
      <w:pPr>
        <w:pStyle w:val="NoSpacing"/>
        <w:ind w:left="720"/>
        <w:rPr>
          <w:bCs/>
        </w:rPr>
      </w:pPr>
    </w:p>
    <w:p w14:paraId="3B3B54D3" w14:textId="77777777" w:rsidR="00424793" w:rsidRDefault="00424793" w:rsidP="00424793">
      <w:pPr>
        <w:pStyle w:val="NoSpacing"/>
        <w:ind w:left="720"/>
        <w:rPr>
          <w:bCs/>
        </w:rPr>
      </w:pPr>
      <w:r>
        <w:t>***</w:t>
      </w:r>
    </w:p>
    <w:p w14:paraId="6E31F73E" w14:textId="77777777" w:rsidR="00424793" w:rsidRPr="00465B82" w:rsidRDefault="00424793" w:rsidP="00424793">
      <w:pPr>
        <w:pStyle w:val="NoSpacing"/>
        <w:ind w:left="720"/>
        <w:rPr>
          <w:bCs/>
        </w:rPr>
      </w:pPr>
    </w:p>
    <w:p w14:paraId="0DE70880" w14:textId="77777777" w:rsidR="00424793" w:rsidRPr="003A1E73" w:rsidRDefault="00424793" w:rsidP="00424793">
      <w:pPr>
        <w:pStyle w:val="NoSpacing"/>
        <w:ind w:firstLine="720"/>
        <w:rPr>
          <w:bCs/>
        </w:rPr>
      </w:pPr>
      <w:r w:rsidRPr="003A1E73">
        <w:t xml:space="preserve">The </w:t>
      </w:r>
      <w:r>
        <w:t>‘</w:t>
      </w:r>
      <w:r w:rsidRPr="003A1E73">
        <w:t>Excited Utterance</w:t>
      </w:r>
      <w:r>
        <w:t>’</w:t>
      </w:r>
      <w:r w:rsidRPr="003A1E73">
        <w:t xml:space="preserve"> exception permits the introduction of </w:t>
      </w:r>
      <w:r>
        <w:t>‘</w:t>
      </w:r>
      <w:r w:rsidRPr="003A1E73">
        <w:t>[a] statement relating</w:t>
      </w:r>
    </w:p>
    <w:p w14:paraId="733DDD74" w14:textId="77777777" w:rsidR="00424793" w:rsidRDefault="00424793" w:rsidP="00424793">
      <w:pPr>
        <w:pStyle w:val="NoSpacing"/>
        <w:ind w:left="720"/>
        <w:rPr>
          <w:bCs/>
        </w:rPr>
      </w:pPr>
      <w:r w:rsidRPr="003A1E73">
        <w:t>to a startling event or condition made while the declarant was under the stress of excitement caused</w:t>
      </w:r>
      <w:r>
        <w:t xml:space="preserve"> </w:t>
      </w:r>
      <w:r w:rsidRPr="003A1E73">
        <w:t>by the event or condition.</w:t>
      </w:r>
      <w:r>
        <w:t>’</w:t>
      </w:r>
      <w:r w:rsidRPr="003A1E73">
        <w:t xml:space="preserve"> Ill. R. Evid. 803(2) (eff. Jan. 25, 2023). For a hearsay statement to be</w:t>
      </w:r>
      <w:r>
        <w:t xml:space="preserve"> </w:t>
      </w:r>
      <w:r w:rsidRPr="003A1E73">
        <w:t xml:space="preserve">admissible under this exception, our supreme court has set forth three </w:t>
      </w:r>
      <w:r>
        <w:t>‘</w:t>
      </w:r>
      <w:r w:rsidRPr="003A1E73">
        <w:t>must</w:t>
      </w:r>
      <w:r>
        <w:t>’</w:t>
      </w:r>
      <w:r w:rsidRPr="003A1E73">
        <w:t xml:space="preserve"> requirements:</w:t>
      </w:r>
      <w:r>
        <w:t xml:space="preserve"> </w:t>
      </w:r>
      <w:r w:rsidRPr="003A1E73">
        <w:t xml:space="preserve">(1) </w:t>
      </w:r>
      <w:r>
        <w:t>‘</w:t>
      </w:r>
      <w:r w:rsidRPr="003A1E73">
        <w:t>there must be an occurrence sufficiently startling to produce a spontaneous and unreflecting</w:t>
      </w:r>
      <w:r>
        <w:t xml:space="preserve"> </w:t>
      </w:r>
      <w:r w:rsidRPr="003A1E73">
        <w:t>statement,</w:t>
      </w:r>
      <w:r>
        <w:t>’</w:t>
      </w:r>
      <w:r w:rsidRPr="003A1E73">
        <w:t xml:space="preserve">(2) </w:t>
      </w:r>
      <w:r>
        <w:t>‘</w:t>
      </w:r>
      <w:r w:rsidRPr="003A1E73">
        <w:t>there must be an absence of time for the declarant to fabricate the statement,</w:t>
      </w:r>
      <w:r>
        <w:t>’</w:t>
      </w:r>
      <w:r w:rsidRPr="003A1E73">
        <w:t xml:space="preserve"> and</w:t>
      </w:r>
      <w:r>
        <w:t xml:space="preserve"> </w:t>
      </w:r>
      <w:r w:rsidRPr="003A1E73">
        <w:t xml:space="preserve">(3) </w:t>
      </w:r>
      <w:r>
        <w:t>‘</w:t>
      </w:r>
      <w:r w:rsidRPr="003A1E73">
        <w:t>the statement must relate to the circumstances of the occurrence.</w:t>
      </w:r>
      <w:r>
        <w:t>’</w:t>
      </w:r>
      <w:r w:rsidRPr="003A1E73">
        <w:t xml:space="preserve"> (Emphases added.) People</w:t>
      </w:r>
      <w:r>
        <w:t xml:space="preserve"> </w:t>
      </w:r>
      <w:r w:rsidRPr="003A1E73">
        <w:t>v. Sutton, 233 Ill. 2d 89, 107 (2009); People v. Williams, 193 Ill. 2d 306, 352 (2000); Jones, 2025</w:t>
      </w:r>
      <w:r>
        <w:t xml:space="preserve"> </w:t>
      </w:r>
      <w:r w:rsidRPr="003A1E73">
        <w:t>IL App (1st) 230771, ¶ 114; People v. Morales, 2021 IL App (2d) 190408, ¶ 12.</w:t>
      </w:r>
    </w:p>
    <w:p w14:paraId="2765ABDF" w14:textId="77777777" w:rsidR="00424793" w:rsidRDefault="00424793" w:rsidP="00424793">
      <w:pPr>
        <w:pStyle w:val="NoSpacing"/>
        <w:ind w:left="720"/>
        <w:rPr>
          <w:bCs/>
        </w:rPr>
      </w:pPr>
    </w:p>
    <w:p w14:paraId="027F3FE4" w14:textId="77777777" w:rsidR="00424793" w:rsidRDefault="00424793" w:rsidP="00424793">
      <w:pPr>
        <w:pStyle w:val="NoSpacing"/>
        <w:ind w:left="720"/>
        <w:rPr>
          <w:bCs/>
        </w:rPr>
      </w:pPr>
      <w:r>
        <w:t>***</w:t>
      </w:r>
    </w:p>
    <w:p w14:paraId="66C2B1F1" w14:textId="77777777" w:rsidR="00424793" w:rsidRDefault="00424793" w:rsidP="00424793">
      <w:pPr>
        <w:pStyle w:val="NoSpacing"/>
        <w:ind w:left="720"/>
        <w:rPr>
          <w:bCs/>
        </w:rPr>
      </w:pPr>
    </w:p>
    <w:p w14:paraId="56315985" w14:textId="77777777" w:rsidR="00424793" w:rsidRDefault="00424793" w:rsidP="00424793">
      <w:pPr>
        <w:pStyle w:val="NoSpacing"/>
        <w:ind w:left="720"/>
        <w:rPr>
          <w:bCs/>
        </w:rPr>
      </w:pPr>
      <w:r>
        <w:t>[T]</w:t>
      </w:r>
      <w:r w:rsidRPr="000A6A49">
        <w:t xml:space="preserve">here is no indication that their </w:t>
      </w:r>
      <w:r>
        <w:t xml:space="preserve">[EMS] </w:t>
      </w:r>
      <w:r w:rsidRPr="000A6A49">
        <w:t>report was intended as a substitute for victim</w:t>
      </w:r>
      <w:r>
        <w:t xml:space="preserve"> </w:t>
      </w:r>
      <w:r w:rsidRPr="000A6A49">
        <w:t>testimony, as opposed to a medical record intended to enable accurate treatment once they reached</w:t>
      </w:r>
      <w:r>
        <w:t xml:space="preserve"> </w:t>
      </w:r>
      <w:r w:rsidRPr="000A6A49">
        <w:t>the hospital and doctors.</w:t>
      </w:r>
      <w:r>
        <w:t>”</w:t>
      </w:r>
    </w:p>
    <w:p w14:paraId="3E443489" w14:textId="77777777" w:rsidR="00424793" w:rsidRDefault="00424793" w:rsidP="00424793">
      <w:pPr>
        <w:pStyle w:val="NoSpacing"/>
        <w:ind w:left="720"/>
        <w:rPr>
          <w:bCs/>
        </w:rPr>
      </w:pPr>
    </w:p>
    <w:p w14:paraId="59A030DA" w14:textId="77777777" w:rsidR="00424793" w:rsidRPr="005D1520" w:rsidRDefault="00424793" w:rsidP="00424793">
      <w:pPr>
        <w:pStyle w:val="NoSpacing"/>
        <w:rPr>
          <w:b/>
        </w:rPr>
      </w:pPr>
      <w:r>
        <w:rPr>
          <w:b/>
        </w:rPr>
        <w:t xml:space="preserve">Legal lesson learned: Excited utterances are admissible as an exception to the Hearsay Rule; </w:t>
      </w:r>
      <w:proofErr w:type="gramStart"/>
      <w:r>
        <w:rPr>
          <w:b/>
        </w:rPr>
        <w:t>a best</w:t>
      </w:r>
      <w:proofErr w:type="gramEnd"/>
      <w:r>
        <w:rPr>
          <w:b/>
        </w:rPr>
        <w:t xml:space="preserve"> practice is to </w:t>
      </w:r>
      <w:proofErr w:type="gramStart"/>
      <w:r>
        <w:rPr>
          <w:b/>
        </w:rPr>
        <w:t>document to</w:t>
      </w:r>
      <w:proofErr w:type="gramEnd"/>
      <w:r>
        <w:rPr>
          <w:b/>
        </w:rPr>
        <w:t xml:space="preserve"> victim’s comments in the EMR run report. </w:t>
      </w:r>
    </w:p>
    <w:p w14:paraId="717F072A" w14:textId="77777777" w:rsidR="00424793" w:rsidRDefault="00424793" w:rsidP="00424793">
      <w:pPr>
        <w:pStyle w:val="NoSpacing"/>
        <w:ind w:left="720"/>
        <w:rPr>
          <w:bCs/>
        </w:rPr>
      </w:pPr>
    </w:p>
    <w:p w14:paraId="7219418B" w14:textId="77777777" w:rsidR="00424793" w:rsidRDefault="00424793" w:rsidP="00004498">
      <w:pPr>
        <w:rPr>
          <w:rFonts w:ascii="Arial Black" w:hAnsi="Arial Black"/>
          <w:b/>
          <w:bCs/>
          <w:sz w:val="24"/>
          <w:szCs w:val="24"/>
        </w:rPr>
      </w:pPr>
    </w:p>
    <w:p w14:paraId="7C5C0CC2" w14:textId="11759C71" w:rsidR="00424793" w:rsidRDefault="00424793" w:rsidP="00004498">
      <w:pPr>
        <w:rPr>
          <w:rFonts w:ascii="Arial Black" w:hAnsi="Arial Black"/>
          <w:b/>
          <w:bCs/>
          <w:sz w:val="24"/>
          <w:szCs w:val="24"/>
        </w:rPr>
      </w:pPr>
      <w:r>
        <w:rPr>
          <w:rFonts w:ascii="Arial Black" w:hAnsi="Arial Black"/>
          <w:b/>
          <w:bCs/>
          <w:sz w:val="24"/>
          <w:szCs w:val="24"/>
        </w:rPr>
        <w:t>13-</w:t>
      </w:r>
      <w:r w:rsidR="002E2246">
        <w:rPr>
          <w:rFonts w:ascii="Arial Black" w:hAnsi="Arial Black"/>
          <w:b/>
          <w:bCs/>
          <w:sz w:val="24"/>
          <w:szCs w:val="24"/>
        </w:rPr>
        <w:t>24</w:t>
      </w:r>
      <w:r w:rsidR="00524647">
        <w:rPr>
          <w:rFonts w:ascii="Arial Black" w:hAnsi="Arial Black"/>
          <w:b/>
          <w:bCs/>
          <w:sz w:val="24"/>
          <w:szCs w:val="24"/>
        </w:rPr>
        <w:t>0</w:t>
      </w:r>
    </w:p>
    <w:p w14:paraId="60C44056" w14:textId="77777777" w:rsidR="006F6E5A" w:rsidRPr="00EA63F0" w:rsidRDefault="006F6E5A" w:rsidP="006F6E5A">
      <w:pPr>
        <w:rPr>
          <w:rFonts w:ascii="Arial Black" w:hAnsi="Arial Black"/>
          <w:b/>
          <w:sz w:val="28"/>
          <w:szCs w:val="28"/>
        </w:rPr>
      </w:pPr>
      <w:r>
        <w:rPr>
          <w:rFonts w:ascii="Arial Black" w:hAnsi="Arial Black"/>
          <w:b/>
          <w:sz w:val="28"/>
          <w:szCs w:val="28"/>
        </w:rPr>
        <w:t xml:space="preserve">NY: NO TRANSPORT – PT AGREED WITH EMS – IMMUNITY </w:t>
      </w:r>
    </w:p>
    <w:p w14:paraId="63E51B80" w14:textId="7F621EB5" w:rsidR="006F6E5A" w:rsidRDefault="006F6E5A" w:rsidP="006F6E5A">
      <w:pPr>
        <w:rPr>
          <w:bCs/>
        </w:rPr>
      </w:pPr>
      <w:r>
        <w:t xml:space="preserve">On December 23, 2025, in </w:t>
      </w:r>
      <w:r w:rsidRPr="000C240F">
        <w:rPr>
          <w:u w:val="single"/>
        </w:rPr>
        <w:t>Kathleen Gumkowski, Administrator Of The Estate Of Gregory Gumkowski, Deceased, et al. v. Thomas Shwaab, M.D., et al</w:t>
      </w:r>
      <w:r>
        <w:t xml:space="preserve">., the </w:t>
      </w:r>
      <w:r w:rsidRPr="000C240F">
        <w:t>Supreme Court of New York, Fourth Department</w:t>
      </w:r>
      <w:r>
        <w:t xml:space="preserve">, held (5 to 0) that the trial improperly </w:t>
      </w:r>
      <w:r>
        <w:lastRenderedPageBreak/>
        <w:t xml:space="preserve">denied summary judgment for the Town of Tonawanda, Town of Tonawanda EMS and two paramedics on the run.   EMS and the patient jointly </w:t>
      </w:r>
      <w:proofErr w:type="gramStart"/>
      <w:r>
        <w:t>agreed</w:t>
      </w:r>
      <w:proofErr w:type="gramEnd"/>
      <w:r>
        <w:t xml:space="preserve"> no transport was necessary. </w:t>
      </w:r>
      <w:hyperlink r:id="rId2047" w:history="1">
        <w:r w:rsidR="008343E2" w:rsidRPr="000F3B38">
          <w:rPr>
            <w:rStyle w:val="Hyperlink"/>
            <w:b/>
          </w:rPr>
          <w:t>https://law.justia.com/cases/new-york/appellate-division-fourth-department/2025/816-1-ca-24-01193.html</w:t>
        </w:r>
      </w:hyperlink>
    </w:p>
    <w:p w14:paraId="675CEBCB" w14:textId="77777777" w:rsidR="006F6E5A" w:rsidRDefault="006F6E5A" w:rsidP="006F6E5A">
      <w:pPr>
        <w:rPr>
          <w:bCs/>
        </w:rPr>
      </w:pPr>
      <w:r>
        <w:t>THE COURT HELD:</w:t>
      </w:r>
    </w:p>
    <w:p w14:paraId="72CEB2F8" w14:textId="77777777" w:rsidR="006F6E5A" w:rsidRDefault="006F6E5A" w:rsidP="006F6E5A">
      <w:pPr>
        <w:pStyle w:val="NoSpacing"/>
        <w:ind w:left="720"/>
      </w:pPr>
      <w:r>
        <w:t>“</w:t>
      </w:r>
      <w:r w:rsidRPr="00604A64">
        <w:t>Following his discharge</w:t>
      </w:r>
      <w:r>
        <w:t xml:space="preserve"> [on Jan. 11, </w:t>
      </w:r>
      <w:proofErr w:type="gramStart"/>
      <w:r>
        <w:t>2016</w:t>
      </w:r>
      <w:proofErr w:type="gramEnd"/>
      <w:r>
        <w:t xml:space="preserve"> from </w:t>
      </w:r>
      <w:r w:rsidRPr="001B33C6">
        <w:t>Roswell Park Cancer Institute</w:t>
      </w:r>
      <w:r>
        <w:t>]</w:t>
      </w:r>
      <w:r w:rsidRPr="00604A64">
        <w:t xml:space="preserve">, decedent called Roswell Park on several occasions, including a call to Pieri </w:t>
      </w:r>
      <w:r>
        <w:t>[</w:t>
      </w:r>
      <w:r w:rsidRPr="00DA5A83">
        <w:t>Christine Pieri, R.N</w:t>
      </w:r>
      <w:r>
        <w:t xml:space="preserve">.] </w:t>
      </w:r>
      <w:r w:rsidRPr="00604A64">
        <w:t xml:space="preserve">on January 13, 2016, wherein decedent reported shallow breathing and lightheadedness. A few hours later, decedent called 911 with a chief complaint of shortness of breath. </w:t>
      </w:r>
      <w:proofErr w:type="spellStart"/>
      <w:r w:rsidRPr="00604A64">
        <w:t>Rutenkroger</w:t>
      </w:r>
      <w:proofErr w:type="spellEnd"/>
      <w:r w:rsidRPr="00604A64">
        <w:t xml:space="preserve"> and Rice, paramedics employed by the Town of Tonawanda, arrived at the decedent's residence, took his vital signs, and assessed his condition. Given decedent's history of anxiety and the absence of any other clinical indications of respiratory distress, the paramedics concluded that decedent's shortness of breath was caused by anxiety. According to plaintiff's deposition testimony, decedent and the paramedics made "a joint decision" that decedent would not be taken to the emergency room that day, and decedent signed a treatment refusal acknowledgment.</w:t>
      </w:r>
    </w:p>
    <w:p w14:paraId="7EB4C754" w14:textId="77777777" w:rsidR="006F6E5A" w:rsidRDefault="006F6E5A" w:rsidP="006F6E5A">
      <w:pPr>
        <w:pStyle w:val="NoSpacing"/>
        <w:ind w:left="720"/>
      </w:pPr>
    </w:p>
    <w:p w14:paraId="784FEFCD" w14:textId="77777777" w:rsidR="006F6E5A" w:rsidRDefault="006F6E5A" w:rsidP="006F6E5A">
      <w:pPr>
        <w:pStyle w:val="NoSpacing"/>
        <w:ind w:left="720"/>
      </w:pPr>
      <w:r>
        <w:t>***</w:t>
      </w:r>
    </w:p>
    <w:p w14:paraId="2DAF8947" w14:textId="77777777" w:rsidR="006F6E5A" w:rsidRDefault="006F6E5A" w:rsidP="006F6E5A">
      <w:pPr>
        <w:pStyle w:val="NoSpacing"/>
        <w:ind w:left="720"/>
      </w:pPr>
    </w:p>
    <w:p w14:paraId="423241BC" w14:textId="77777777" w:rsidR="006F6E5A" w:rsidRDefault="006F6E5A" w:rsidP="006F6E5A">
      <w:pPr>
        <w:pStyle w:val="NoSpacing"/>
        <w:ind w:left="720"/>
      </w:pPr>
      <w:r w:rsidRPr="006D0006">
        <w:t xml:space="preserve">Under the circumstances presented here, we conclude that the Town defendants established that </w:t>
      </w:r>
      <w:proofErr w:type="spellStart"/>
      <w:r w:rsidRPr="006D0006">
        <w:t>Rutenkroger's</w:t>
      </w:r>
      <w:proofErr w:type="spellEnd"/>
      <w:r w:rsidRPr="006D0006">
        <w:t xml:space="preserve"> and Rice's actions were discretionary and, thus, the Town defendants are entitled to governmental function immunity.</w:t>
      </w:r>
    </w:p>
    <w:p w14:paraId="1D109414" w14:textId="77777777" w:rsidR="006F6E5A" w:rsidRDefault="006F6E5A" w:rsidP="006F6E5A">
      <w:pPr>
        <w:pStyle w:val="NoSpacing"/>
        <w:ind w:left="720"/>
      </w:pPr>
    </w:p>
    <w:p w14:paraId="200D8162" w14:textId="77777777" w:rsidR="006F6E5A" w:rsidRDefault="006F6E5A" w:rsidP="006F6E5A">
      <w:pPr>
        <w:pStyle w:val="NoSpacing"/>
        <w:ind w:left="720"/>
      </w:pPr>
      <w:r>
        <w:t>***</w:t>
      </w:r>
    </w:p>
    <w:p w14:paraId="41295655" w14:textId="77777777" w:rsidR="006F6E5A" w:rsidRDefault="006F6E5A" w:rsidP="006F6E5A">
      <w:pPr>
        <w:pStyle w:val="NoSpacing"/>
        <w:ind w:left="720"/>
      </w:pPr>
    </w:p>
    <w:p w14:paraId="69E1CA87" w14:textId="77777777" w:rsidR="006F6E5A" w:rsidRDefault="006F6E5A" w:rsidP="006F6E5A">
      <w:pPr>
        <w:ind w:left="720"/>
        <w:rPr>
          <w:b/>
        </w:rPr>
      </w:pPr>
      <w:r>
        <w:t>[W]</w:t>
      </w:r>
      <w:r w:rsidRPr="003E3A48">
        <w:t xml:space="preserve">e </w:t>
      </w:r>
      <w:proofErr w:type="gramStart"/>
      <w:r w:rsidRPr="003E3A48">
        <w:t>agree</w:t>
      </w:r>
      <w:proofErr w:type="gramEnd"/>
      <w:r w:rsidRPr="003E3A48">
        <w:t xml:space="preserve"> with the Town defendants that they are entitled to governmental function immunity and the court therefore erred in denying their motion for summary judgment dismissing the complaint and </w:t>
      </w:r>
      <w:proofErr w:type="gramStart"/>
      <w:r w:rsidRPr="003E3A48">
        <w:t>cross-claims</w:t>
      </w:r>
      <w:proofErr w:type="gramEnd"/>
      <w:r w:rsidRPr="003E3A48">
        <w:t xml:space="preserve"> against them. </w:t>
      </w:r>
      <w:r>
        <w:t>‘</w:t>
      </w:r>
      <w:r w:rsidRPr="003E3A48">
        <w:t>A municipality is immune from liability where the actions of its employees in performing governmental functions involve[ ] the exercise of discretion</w:t>
      </w:r>
      <w:r>
        <w:t>’</w:t>
      </w:r>
      <w:r w:rsidRPr="003E3A48">
        <w:t xml:space="preserve"> (</w:t>
      </w:r>
      <w:r w:rsidRPr="003E3A48">
        <w:rPr>
          <w:i/>
          <w:iCs/>
        </w:rPr>
        <w:t>Morales v City of New York</w:t>
      </w:r>
      <w:r w:rsidRPr="003E3A48">
        <w:t xml:space="preserve">, 235 AD3d 595, 597 [1st Dept 2025]; </w:t>
      </w:r>
      <w:r w:rsidRPr="003E3A48">
        <w:rPr>
          <w:i/>
          <w:iCs/>
        </w:rPr>
        <w:t>see McLean v City of New York</w:t>
      </w:r>
      <w:r w:rsidRPr="003E3A48">
        <w:t xml:space="preserve">, 12 NY3d 194, 202-203 [2009]). </w:t>
      </w:r>
      <w:r>
        <w:t>‘</w:t>
      </w:r>
      <w:r w:rsidRPr="003E3A48">
        <w:t>[A]</w:t>
      </w:r>
      <w:proofErr w:type="spellStart"/>
      <w:r w:rsidRPr="003E3A48">
        <w:t>mbulance</w:t>
      </w:r>
      <w:proofErr w:type="spellEnd"/>
      <w:r w:rsidRPr="003E3A48">
        <w:t xml:space="preserve"> assistance rendered by first responders . . . should be viewed as a classic governmental, rather than proprietary, function</w:t>
      </w:r>
      <w:r>
        <w:t>’</w:t>
      </w:r>
      <w:r w:rsidRPr="003E3A48">
        <w:t xml:space="preserve"> (</w:t>
      </w:r>
      <w:r w:rsidRPr="003E3A48">
        <w:rPr>
          <w:i/>
          <w:iCs/>
        </w:rPr>
        <w:t xml:space="preserve">Applewhite v </w:t>
      </w:r>
      <w:proofErr w:type="spellStart"/>
      <w:r w:rsidRPr="003E3A48">
        <w:rPr>
          <w:i/>
          <w:iCs/>
        </w:rPr>
        <w:t>Accuhealth</w:t>
      </w:r>
      <w:proofErr w:type="spellEnd"/>
      <w:r w:rsidRPr="003E3A48">
        <w:t>,</w:t>
      </w:r>
      <w:r w:rsidRPr="003E3A48">
        <w:rPr>
          <w:i/>
          <w:iCs/>
        </w:rPr>
        <w:t xml:space="preserve"> Inc</w:t>
      </w:r>
      <w:r w:rsidRPr="003E3A48">
        <w:t>., 21 NY3d 420, 430 [2013] [internal quotation marks omitted]).</w:t>
      </w:r>
      <w:r>
        <w:t xml:space="preserve">” </w:t>
      </w:r>
      <w:hyperlink r:id="rId2048" w:history="1">
        <w:r w:rsidRPr="009B6A10">
          <w:rPr>
            <w:rStyle w:val="Hyperlink"/>
            <w:b/>
          </w:rPr>
          <w:t>https://law.justia.com/cases/new-york/appellate-division-fourth-department/2025/816-1-ca-24-01193.html</w:t>
        </w:r>
      </w:hyperlink>
      <w:r>
        <w:rPr>
          <w:b/>
        </w:rPr>
        <w:t xml:space="preserve"> </w:t>
      </w:r>
    </w:p>
    <w:p w14:paraId="16237A1B" w14:textId="77777777" w:rsidR="006F6E5A" w:rsidRDefault="006F6E5A" w:rsidP="006F6E5A">
      <w:pPr>
        <w:pStyle w:val="NoSpacing"/>
        <w:ind w:left="720"/>
      </w:pPr>
    </w:p>
    <w:p w14:paraId="6A102836" w14:textId="77777777" w:rsidR="006F6E5A" w:rsidRPr="0080119F" w:rsidRDefault="006F6E5A" w:rsidP="006F6E5A">
      <w:pPr>
        <w:pStyle w:val="NoSpacing"/>
        <w:rPr>
          <w:b/>
          <w:bCs/>
        </w:rPr>
      </w:pPr>
      <w:r>
        <w:rPr>
          <w:b/>
        </w:rPr>
        <w:t>Legal lesson learned: Medics and patient made “joint decision” to not transport – hopefully they also had patient sign a refusal form.   When in doubt, also call Hospital Medical Control.</w:t>
      </w:r>
    </w:p>
    <w:p w14:paraId="08E3879F" w14:textId="77777777" w:rsidR="006F6E5A" w:rsidRDefault="006F6E5A" w:rsidP="006F6E5A">
      <w:pPr>
        <w:pStyle w:val="NoSpacing"/>
      </w:pPr>
    </w:p>
    <w:p w14:paraId="369F8F71" w14:textId="77777777" w:rsidR="00CD1570" w:rsidRDefault="00CD1570" w:rsidP="00004498">
      <w:pPr>
        <w:rPr>
          <w:rFonts w:ascii="Arial Black" w:hAnsi="Arial Black"/>
          <w:b/>
          <w:bCs/>
          <w:sz w:val="24"/>
          <w:szCs w:val="24"/>
        </w:rPr>
      </w:pPr>
    </w:p>
    <w:p w14:paraId="4DD3D089" w14:textId="1628CF26" w:rsidR="00424793" w:rsidRDefault="006F6E5A" w:rsidP="00004498">
      <w:pPr>
        <w:rPr>
          <w:rFonts w:ascii="Arial Black" w:hAnsi="Arial Black"/>
          <w:b/>
          <w:bCs/>
          <w:sz w:val="24"/>
          <w:szCs w:val="24"/>
        </w:rPr>
      </w:pPr>
      <w:r>
        <w:rPr>
          <w:rFonts w:ascii="Arial Black" w:hAnsi="Arial Black"/>
          <w:b/>
          <w:bCs/>
          <w:sz w:val="24"/>
          <w:szCs w:val="24"/>
        </w:rPr>
        <w:t>13-</w:t>
      </w:r>
      <w:r w:rsidR="002E2246">
        <w:rPr>
          <w:rFonts w:ascii="Arial Black" w:hAnsi="Arial Black"/>
          <w:b/>
          <w:bCs/>
          <w:sz w:val="24"/>
          <w:szCs w:val="24"/>
        </w:rPr>
        <w:t>2</w:t>
      </w:r>
      <w:r w:rsidR="00524647">
        <w:rPr>
          <w:rFonts w:ascii="Arial Black" w:hAnsi="Arial Black"/>
          <w:b/>
          <w:bCs/>
          <w:sz w:val="24"/>
          <w:szCs w:val="24"/>
        </w:rPr>
        <w:t>39</w:t>
      </w:r>
    </w:p>
    <w:p w14:paraId="0887E386" w14:textId="77777777" w:rsidR="007D294B" w:rsidRDefault="007D294B" w:rsidP="00004498">
      <w:pPr>
        <w:rPr>
          <w:rFonts w:ascii="Arial Black" w:hAnsi="Arial Black"/>
          <w:b/>
          <w:bCs/>
          <w:sz w:val="24"/>
          <w:szCs w:val="24"/>
        </w:rPr>
      </w:pPr>
    </w:p>
    <w:p w14:paraId="25DF064C" w14:textId="77777777" w:rsidR="00092D5A" w:rsidRPr="008159A8" w:rsidRDefault="00092D5A" w:rsidP="00092D5A">
      <w:pPr>
        <w:rPr>
          <w:rFonts w:ascii="Arial Black" w:hAnsi="Arial Black"/>
          <w:b/>
          <w:sz w:val="28"/>
          <w:szCs w:val="28"/>
        </w:rPr>
      </w:pPr>
      <w:r>
        <w:rPr>
          <w:rFonts w:ascii="Arial Black" w:hAnsi="Arial Black"/>
          <w:b/>
          <w:sz w:val="28"/>
          <w:szCs w:val="28"/>
        </w:rPr>
        <w:t>NY: DISPATCH DID NOT TELL PT 1</w:t>
      </w:r>
      <w:r w:rsidRPr="001E7EF7">
        <w:rPr>
          <w:rFonts w:ascii="Arial Black" w:hAnsi="Arial Black"/>
          <w:b/>
          <w:sz w:val="28"/>
          <w:szCs w:val="28"/>
          <w:vertAlign w:val="superscript"/>
        </w:rPr>
        <w:t>st</w:t>
      </w:r>
      <w:r>
        <w:rPr>
          <w:rFonts w:ascii="Arial Black" w:hAnsi="Arial Black"/>
          <w:b/>
          <w:sz w:val="28"/>
          <w:szCs w:val="28"/>
        </w:rPr>
        <w:t xml:space="preserve"> UNIT ALS - IMMUNITY</w:t>
      </w:r>
    </w:p>
    <w:p w14:paraId="78016B85" w14:textId="3CF15A8B" w:rsidR="00092D5A" w:rsidRPr="00A528FE" w:rsidRDefault="00092D5A" w:rsidP="00092D5A">
      <w:pPr>
        <w:rPr>
          <w:bCs/>
        </w:rPr>
      </w:pPr>
      <w:r w:rsidRPr="00A528FE">
        <w:t xml:space="preserve">On December 18, 2025, in </w:t>
      </w:r>
      <w:r w:rsidRPr="00A528FE">
        <w:rPr>
          <w:u w:val="single"/>
        </w:rPr>
        <w:t>Ebony Hinkson, et al. v. New York-Presbyterian Queens, et al</w:t>
      </w:r>
      <w:r w:rsidRPr="00A528FE">
        <w:t xml:space="preserve">., </w:t>
      </w:r>
      <w:r>
        <w:t xml:space="preserve">the </w:t>
      </w:r>
      <w:r w:rsidRPr="00A528FE">
        <w:t>Supreme Court of New York, First Department</w:t>
      </w:r>
      <w:r>
        <w:t xml:space="preserve"> held (4 to ) that that trial court judge improperly denied motion to dismiss by </w:t>
      </w:r>
      <w:r w:rsidRPr="006D09AC">
        <w:t>City of New York and FDNY EMS</w:t>
      </w:r>
      <w:r>
        <w:t xml:space="preserve">.  Dispatch did not advise patient that ALS would be first on scene.  </w:t>
      </w:r>
      <w:hyperlink r:id="rId2049" w:history="1">
        <w:r w:rsidR="008343E2" w:rsidRPr="000F3B38">
          <w:rPr>
            <w:rStyle w:val="Hyperlink"/>
          </w:rPr>
          <w:t>https://law.justia.com/cases/new-york/appellate-division-first-department/2025/index-no-153104-18-appeal-no-5428-case-no-2024-01885.html</w:t>
        </w:r>
      </w:hyperlink>
      <w:r>
        <w:t xml:space="preserve"> </w:t>
      </w:r>
    </w:p>
    <w:p w14:paraId="6986CC51" w14:textId="77777777" w:rsidR="00092D5A" w:rsidRPr="00A528FE" w:rsidRDefault="00092D5A" w:rsidP="00092D5A">
      <w:pPr>
        <w:rPr>
          <w:bCs/>
        </w:rPr>
      </w:pPr>
      <w:r>
        <w:t>THE COURT HELD:</w:t>
      </w:r>
    </w:p>
    <w:p w14:paraId="73593B21" w14:textId="77777777" w:rsidR="00092D5A" w:rsidRDefault="00092D5A" w:rsidP="00092D5A">
      <w:pPr>
        <w:ind w:left="720"/>
      </w:pPr>
      <w:r>
        <w:rPr>
          <w:b/>
        </w:rPr>
        <w:lastRenderedPageBreak/>
        <w:t>“</w:t>
      </w:r>
      <w:r w:rsidRPr="006939D7">
        <w:t xml:space="preserve">To establish the requisite </w:t>
      </w:r>
      <w:r>
        <w:t>‘</w:t>
      </w:r>
      <w:r w:rsidRPr="006939D7">
        <w:t>assumption by the municipality, through promises or actions, of an affirmative duty to act on behalf of the party who was injured</w:t>
      </w:r>
      <w:r>
        <w:t>’ … p</w:t>
      </w:r>
      <w:r w:rsidRPr="006939D7">
        <w:t>laintiff relies solely on the 911 operator's purported assurance to the decedent's grandmother that an ambulance was on its way; the grandmother does not claim to have received any additional assurances from the FDNY paramedics themselves. It is not enough that they arrived and provided treatment because that is what emergency responders do for any member of the public (</w:t>
      </w:r>
      <w:r w:rsidRPr="006939D7">
        <w:rPr>
          <w:i/>
          <w:iCs/>
        </w:rPr>
        <w:t xml:space="preserve">see Estate of Kyle A. v New York City </w:t>
      </w:r>
      <w:proofErr w:type="spellStart"/>
      <w:r w:rsidRPr="006939D7">
        <w:rPr>
          <w:i/>
          <w:iCs/>
        </w:rPr>
        <w:t>Hous</w:t>
      </w:r>
      <w:proofErr w:type="spellEnd"/>
      <w:r w:rsidRPr="006939D7">
        <w:rPr>
          <w:i/>
          <w:iCs/>
        </w:rPr>
        <w:t>. Auth.</w:t>
      </w:r>
      <w:r w:rsidRPr="006939D7">
        <w:t>, 181 AD3d 492, 493 [1st Dept 2020]). Even ignoring any purported inconsistencies between the grandmother's deposition testimony and her summary judgment opposition affidavit with respect to what the 911 operator said, any special duty created by the 911 operator's purported assurance that the ambulance was on its way was fulfilled when the first ambulance (operated by defendant New York-Presbyterian d/b/a New York Presbyterian EMS [NYP-EMS]) arrived five minutes later.</w:t>
      </w:r>
    </w:p>
    <w:p w14:paraId="413E5CEC" w14:textId="77777777" w:rsidR="00092D5A" w:rsidRPr="006939D7" w:rsidRDefault="00092D5A" w:rsidP="00092D5A">
      <w:pPr>
        <w:ind w:left="720"/>
      </w:pPr>
      <w:r>
        <w:t>***</w:t>
      </w:r>
    </w:p>
    <w:p w14:paraId="107F8DFF" w14:textId="77777777" w:rsidR="00092D5A" w:rsidRPr="006939D7" w:rsidRDefault="00092D5A" w:rsidP="00092D5A">
      <w:pPr>
        <w:pStyle w:val="NoSpacing"/>
        <w:ind w:left="720"/>
      </w:pPr>
      <w:r w:rsidRPr="006939D7">
        <w:t>Plaintiff does not claim that the 911 operator promised that the ambulance would be capable of rendering advanced life support (ALS) rather than basic life support or that it would be operated by the FDNY as opposed to some other provider. The 911 operator at any rate also dispatched an FDNY ALS ambulance at the same time; it was just farther away and took longer (14 minutes) to arrive. Plaintiff does not claim that there was anything negligent about the amount of time it took the FDNY ambulance to arrive, challenging only the NYP-EMS ambulance's delay of transport (for which the City is not responsible) (</w:t>
      </w:r>
      <w:r w:rsidRPr="006939D7">
        <w:rPr>
          <w:i/>
          <w:iCs/>
        </w:rPr>
        <w:t xml:space="preserve">see Brown v </w:t>
      </w:r>
      <w:proofErr w:type="spellStart"/>
      <w:r w:rsidRPr="006939D7">
        <w:rPr>
          <w:i/>
          <w:iCs/>
        </w:rPr>
        <w:t>Transcare</w:t>
      </w:r>
      <w:proofErr w:type="spellEnd"/>
      <w:r w:rsidRPr="006939D7">
        <w:rPr>
          <w:i/>
          <w:iCs/>
        </w:rPr>
        <w:t xml:space="preserve"> N.Y., Inc.</w:t>
      </w:r>
      <w:r w:rsidRPr="006939D7">
        <w:t>, 27 AD3d 350, 351 [1st Dept 2006]), and the FDNY paramedics' failure to properly intubate the decedent (which had nothing to do with their time of arrival).</w:t>
      </w:r>
      <w:r>
        <w:t>”</w:t>
      </w:r>
    </w:p>
    <w:p w14:paraId="08773553" w14:textId="77777777" w:rsidR="00092D5A" w:rsidRDefault="00092D5A" w:rsidP="00092D5A">
      <w:pPr>
        <w:rPr>
          <w:b/>
        </w:rPr>
      </w:pPr>
    </w:p>
    <w:p w14:paraId="604561C7" w14:textId="2264219F" w:rsidR="00092D5A" w:rsidRPr="00F02ABA" w:rsidRDefault="00092D5A" w:rsidP="00092D5A">
      <w:pPr>
        <w:rPr>
          <w:b/>
        </w:rPr>
      </w:pPr>
      <w:r>
        <w:rPr>
          <w:b/>
        </w:rPr>
        <w:t>Legal lesson learned: Dispatchers and EMS enjoy immunity – owe no “special duty” t</w:t>
      </w:r>
      <w:r w:rsidR="00A33C55">
        <w:rPr>
          <w:b/>
        </w:rPr>
        <w:t>o</w:t>
      </w:r>
      <w:r>
        <w:rPr>
          <w:b/>
        </w:rPr>
        <w:t xml:space="preserve"> patients. </w:t>
      </w:r>
    </w:p>
    <w:p w14:paraId="60C50B13" w14:textId="77777777" w:rsidR="00092D5A" w:rsidRDefault="00092D5A" w:rsidP="00092D5A">
      <w:pPr>
        <w:pStyle w:val="NoSpacing"/>
      </w:pPr>
    </w:p>
    <w:p w14:paraId="0246B471" w14:textId="77777777" w:rsidR="00092D5A" w:rsidRDefault="00092D5A" w:rsidP="00092D5A">
      <w:pPr>
        <w:pStyle w:val="NoSpacing"/>
      </w:pPr>
    </w:p>
    <w:p w14:paraId="66D5347F" w14:textId="240E3528" w:rsidR="00BE2EF9" w:rsidRDefault="00092D5A" w:rsidP="00004498">
      <w:pPr>
        <w:rPr>
          <w:rFonts w:ascii="Arial Black" w:hAnsi="Arial Black"/>
          <w:b/>
          <w:bCs/>
          <w:sz w:val="24"/>
          <w:szCs w:val="24"/>
        </w:rPr>
      </w:pPr>
      <w:r>
        <w:rPr>
          <w:rFonts w:ascii="Arial Black" w:hAnsi="Arial Black"/>
          <w:b/>
          <w:bCs/>
          <w:sz w:val="24"/>
          <w:szCs w:val="24"/>
        </w:rPr>
        <w:t xml:space="preserve">13 </w:t>
      </w:r>
      <w:r w:rsidR="00BE2EF9">
        <w:rPr>
          <w:rFonts w:ascii="Arial Black" w:hAnsi="Arial Black"/>
          <w:b/>
          <w:bCs/>
          <w:sz w:val="24"/>
          <w:szCs w:val="24"/>
        </w:rPr>
        <w:t>–</w:t>
      </w:r>
      <w:r>
        <w:rPr>
          <w:rFonts w:ascii="Arial Black" w:hAnsi="Arial Black"/>
          <w:b/>
          <w:bCs/>
          <w:sz w:val="24"/>
          <w:szCs w:val="24"/>
        </w:rPr>
        <w:t xml:space="preserve"> </w:t>
      </w:r>
      <w:r w:rsidR="002E2246">
        <w:rPr>
          <w:rFonts w:ascii="Arial Black" w:hAnsi="Arial Black"/>
          <w:b/>
          <w:bCs/>
          <w:sz w:val="24"/>
          <w:szCs w:val="24"/>
        </w:rPr>
        <w:t>23</w:t>
      </w:r>
      <w:r w:rsidR="00524647">
        <w:rPr>
          <w:rFonts w:ascii="Arial Black" w:hAnsi="Arial Black"/>
          <w:b/>
          <w:bCs/>
          <w:sz w:val="24"/>
          <w:szCs w:val="24"/>
        </w:rPr>
        <w:t>8</w:t>
      </w:r>
    </w:p>
    <w:p w14:paraId="2A628E46" w14:textId="77777777" w:rsidR="00BE2EF9" w:rsidRDefault="00BE2EF9" w:rsidP="00BE2EF9">
      <w:pPr>
        <w:rPr>
          <w:rFonts w:ascii="Arial Black" w:hAnsi="Arial Black"/>
          <w:b/>
          <w:sz w:val="28"/>
          <w:szCs w:val="28"/>
        </w:rPr>
      </w:pPr>
      <w:r>
        <w:rPr>
          <w:rFonts w:ascii="Arial Black" w:hAnsi="Arial Black"/>
          <w:b/>
          <w:sz w:val="28"/>
          <w:szCs w:val="28"/>
        </w:rPr>
        <w:t xml:space="preserve">CA: AMR – WAS COUNTY EMS - </w:t>
      </w:r>
      <w:proofErr w:type="spellStart"/>
      <w:r>
        <w:rPr>
          <w:rFonts w:ascii="Arial Black" w:hAnsi="Arial Black"/>
          <w:b/>
          <w:sz w:val="28"/>
          <w:szCs w:val="28"/>
        </w:rPr>
        <w:t>ConFIRE</w:t>
      </w:r>
      <w:proofErr w:type="spellEnd"/>
      <w:r>
        <w:rPr>
          <w:rFonts w:ascii="Arial Black" w:hAnsi="Arial Black"/>
          <w:b/>
          <w:sz w:val="28"/>
          <w:szCs w:val="28"/>
        </w:rPr>
        <w:t xml:space="preserve"> WINS CONTRACT</w:t>
      </w:r>
    </w:p>
    <w:p w14:paraId="21F8D538" w14:textId="77777777" w:rsidR="00BE2EF9" w:rsidRPr="00E654C4" w:rsidRDefault="00BE2EF9" w:rsidP="00BE2EF9">
      <w:pPr>
        <w:rPr>
          <w:b/>
        </w:rPr>
      </w:pPr>
      <w:r w:rsidRPr="001079CA">
        <w:t xml:space="preserve">On December 18, 205 in </w:t>
      </w:r>
      <w:r w:rsidRPr="000020FF">
        <w:rPr>
          <w:u w:val="single"/>
        </w:rPr>
        <w:t>American Medical Response of Inland Empire v. County of San Bernardino, et al</w:t>
      </w:r>
      <w:r>
        <w:t xml:space="preserve">.; the </w:t>
      </w:r>
      <w:r w:rsidRPr="000020FF">
        <w:t>California Court of Appeals, Fourth District, First Division</w:t>
      </w:r>
      <w:r>
        <w:t xml:space="preserve"> held (3 to 0; unpublished decision) that trial court improperly granted AMR a preliminary injunction during the pendency of this lawsuit to stop the County from switching to </w:t>
      </w:r>
      <w:proofErr w:type="spellStart"/>
      <w:r>
        <w:t>ConFire</w:t>
      </w:r>
      <w:proofErr w:type="spellEnd"/>
      <w:r>
        <w:t xml:space="preserve"> as their new EMS provider. </w:t>
      </w:r>
      <w:hyperlink r:id="rId2050" w:history="1">
        <w:r w:rsidRPr="00FC78E3">
          <w:rPr>
            <w:rStyle w:val="Hyperlink"/>
            <w:b/>
          </w:rPr>
          <w:t>https://www4.courts.ca.gov/opinions/nonpub/D085716.PDF</w:t>
        </w:r>
      </w:hyperlink>
      <w:r>
        <w:rPr>
          <w:b/>
        </w:rPr>
        <w:t xml:space="preserve"> </w:t>
      </w:r>
    </w:p>
    <w:p w14:paraId="62188B40" w14:textId="77777777" w:rsidR="00BE2EF9" w:rsidRPr="00E654C4" w:rsidRDefault="00BE2EF9" w:rsidP="00BE2EF9">
      <w:pPr>
        <w:rPr>
          <w:b/>
        </w:rPr>
      </w:pPr>
      <w:r>
        <w:t xml:space="preserve">THE COURT HELD: </w:t>
      </w:r>
    </w:p>
    <w:p w14:paraId="62A30225" w14:textId="77777777" w:rsidR="00BE2EF9" w:rsidRDefault="00BE2EF9" w:rsidP="00BE2EF9">
      <w:pPr>
        <w:pStyle w:val="NoSpacing"/>
        <w:ind w:left="720"/>
      </w:pPr>
      <w:r>
        <w:t>“</w:t>
      </w:r>
      <w:r w:rsidRPr="00BF5999">
        <w:t>AMR began operating as the ambulance service provider for the County in the late 1970s. Since that time, the County has retained AMR as its exclusive EMS provider, grandfathered into its system in accordance with section 1797.224 of the EMS Act</w:t>
      </w:r>
      <w:r>
        <w:t>.</w:t>
      </w:r>
    </w:p>
    <w:p w14:paraId="229634DD" w14:textId="77777777" w:rsidR="00BE2EF9" w:rsidRDefault="00BE2EF9" w:rsidP="00BE2EF9">
      <w:pPr>
        <w:pStyle w:val="NoSpacing"/>
        <w:ind w:left="720"/>
      </w:pPr>
    </w:p>
    <w:p w14:paraId="7776B994" w14:textId="77777777" w:rsidR="00BE2EF9" w:rsidRDefault="00BE2EF9" w:rsidP="00BE2EF9">
      <w:pPr>
        <w:pStyle w:val="NoSpacing"/>
        <w:ind w:left="720"/>
      </w:pPr>
      <w:r>
        <w:t>***</w:t>
      </w:r>
    </w:p>
    <w:p w14:paraId="20BA64EB" w14:textId="77777777" w:rsidR="00BE2EF9" w:rsidRDefault="00BE2EF9" w:rsidP="00BE2EF9">
      <w:pPr>
        <w:pStyle w:val="NoSpacing"/>
        <w:ind w:left="720"/>
      </w:pPr>
      <w:r w:rsidRPr="00356A3B">
        <w:t>In 2022, the County initiated a competitive process to improve its EMS system and issued a request for proposal (RFP) seeking bidders for a new exclusive contract to provide EMS services. The RFP set forth three overarching goals for its procurement process-to improve service delivery to customers and partners, to establish a more efficient EMS system, and to make investments back into the system.</w:t>
      </w:r>
    </w:p>
    <w:p w14:paraId="29BE527B" w14:textId="77777777" w:rsidR="00BE2EF9" w:rsidRDefault="00BE2EF9" w:rsidP="00BE2EF9">
      <w:pPr>
        <w:pStyle w:val="NoSpacing"/>
        <w:ind w:left="720"/>
      </w:pPr>
    </w:p>
    <w:p w14:paraId="056EFAA0" w14:textId="77777777" w:rsidR="00BE2EF9" w:rsidRDefault="00BE2EF9" w:rsidP="00BE2EF9">
      <w:pPr>
        <w:pStyle w:val="NoSpacing"/>
        <w:ind w:left="720"/>
      </w:pPr>
      <w:r>
        <w:t>***</w:t>
      </w:r>
    </w:p>
    <w:p w14:paraId="0D91799C" w14:textId="77777777" w:rsidR="00BE2EF9" w:rsidRDefault="00BE2EF9" w:rsidP="00BE2EF9">
      <w:pPr>
        <w:pStyle w:val="NoSpacing"/>
        <w:ind w:left="720"/>
      </w:pPr>
      <w:r>
        <w:t>T</w:t>
      </w:r>
      <w:r w:rsidRPr="00476B0A">
        <w:t xml:space="preserve">he County and </w:t>
      </w:r>
      <w:proofErr w:type="spellStart"/>
      <w:r w:rsidRPr="00476B0A">
        <w:t>ConFire</w:t>
      </w:r>
      <w:proofErr w:type="spellEnd"/>
      <w:r w:rsidRPr="00476B0A">
        <w:t xml:space="preserve"> appeal from the preliminary injunction order, asserting the trial court improperly determined the County had a ministerial duty to advance only AMR's proposal to the County's Board of </w:t>
      </w:r>
      <w:r w:rsidRPr="00476B0A">
        <w:lastRenderedPageBreak/>
        <w:t xml:space="preserve">Supervisors because it was the </w:t>
      </w:r>
      <w:r>
        <w:t>‘</w:t>
      </w:r>
      <w:proofErr w:type="gramStart"/>
      <w:r w:rsidRPr="00476B0A">
        <w:t>highest-scoring</w:t>
      </w:r>
      <w:proofErr w:type="gramEnd"/>
      <w:r>
        <w:t xml:space="preserve">’ </w:t>
      </w:r>
      <w:r w:rsidRPr="00476B0A">
        <w:t xml:space="preserve">proposal. Further, the County and </w:t>
      </w:r>
      <w:proofErr w:type="spellStart"/>
      <w:r w:rsidRPr="00476B0A">
        <w:t>ConFire</w:t>
      </w:r>
      <w:proofErr w:type="spellEnd"/>
      <w:r w:rsidRPr="00476B0A">
        <w:t xml:space="preserve"> assert the County did not abuse its discretion by advancing both </w:t>
      </w:r>
      <w:proofErr w:type="spellStart"/>
      <w:r w:rsidRPr="00476B0A">
        <w:t>ConFire's</w:t>
      </w:r>
      <w:proofErr w:type="spellEnd"/>
      <w:r w:rsidRPr="00476B0A">
        <w:t xml:space="preserve"> and AMR's proposals to the Board and ultimately selecting </w:t>
      </w:r>
      <w:proofErr w:type="spellStart"/>
      <w:r w:rsidRPr="00476B0A">
        <w:t>ConFire</w:t>
      </w:r>
      <w:proofErr w:type="spellEnd"/>
      <w:r w:rsidRPr="00476B0A">
        <w:t xml:space="preserve"> as the provider.</w:t>
      </w:r>
      <w:r>
        <w:t>”</w:t>
      </w:r>
    </w:p>
    <w:p w14:paraId="20F312F7" w14:textId="77777777" w:rsidR="00BE2EF9" w:rsidRDefault="00BE2EF9" w:rsidP="00BE2EF9">
      <w:pPr>
        <w:pStyle w:val="NoSpacing"/>
        <w:ind w:left="720"/>
      </w:pPr>
    </w:p>
    <w:p w14:paraId="282B5789" w14:textId="77777777" w:rsidR="00BE2EF9" w:rsidRDefault="00BE2EF9" w:rsidP="00BE2EF9">
      <w:pPr>
        <w:pStyle w:val="NoSpacing"/>
        <w:ind w:left="720"/>
      </w:pPr>
      <w:r>
        <w:t>***</w:t>
      </w:r>
    </w:p>
    <w:p w14:paraId="21C9F964" w14:textId="77777777" w:rsidR="00BE2EF9" w:rsidRDefault="00BE2EF9" w:rsidP="00BE2EF9">
      <w:pPr>
        <w:pStyle w:val="NoSpacing"/>
        <w:ind w:left="720"/>
      </w:pPr>
      <w:r>
        <w:t xml:space="preserve">The County received responses to the RFP from AMR and </w:t>
      </w:r>
      <w:proofErr w:type="spellStart"/>
      <w:r>
        <w:t>ConFire</w:t>
      </w:r>
      <w:proofErr w:type="spellEnd"/>
      <w:r>
        <w:t xml:space="preserve">. Four evaluators scored both proposals. Three of the four evaluators gave </w:t>
      </w:r>
      <w:proofErr w:type="spellStart"/>
      <w:r>
        <w:t>ConFire</w:t>
      </w:r>
      <w:proofErr w:type="spellEnd"/>
      <w:r>
        <w:t xml:space="preserve"> a higher score. The total cumulative score for AMR, however, was higher by four points. </w:t>
      </w:r>
      <w:proofErr w:type="spellStart"/>
      <w:r>
        <w:t>ConFire</w:t>
      </w:r>
      <w:proofErr w:type="spellEnd"/>
      <w:r>
        <w:t xml:space="preserve"> received individual scores </w:t>
      </w:r>
      <w:proofErr w:type="gramStart"/>
      <w:r>
        <w:t>of:</w:t>
      </w:r>
      <w:proofErr w:type="gramEnd"/>
      <w:r>
        <w:t xml:space="preserve"> 383, 384, 363 and 385. AMR’s scores were: 373, 419, 346, 381. After the proposals were scored, in June 2023, the County sent a letter to both AMR and </w:t>
      </w:r>
      <w:proofErr w:type="spellStart"/>
      <w:r>
        <w:t>ConFire</w:t>
      </w:r>
      <w:proofErr w:type="spellEnd"/>
      <w:r>
        <w:t xml:space="preserve"> stating that because the scores for both proposers were ‘substantially </w:t>
      </w:r>
      <w:proofErr w:type="gramStart"/>
      <w:r>
        <w:t>equivalent’</w:t>
      </w:r>
      <w:proofErr w:type="gramEnd"/>
      <w:r>
        <w:t xml:space="preserve"> it intended to ‘move forward with </w:t>
      </w:r>
      <w:proofErr w:type="gramStart"/>
      <w:r>
        <w:t xml:space="preserve">negotiations’ </w:t>
      </w:r>
      <w:proofErr w:type="gramEnd"/>
      <w:r>
        <w:t xml:space="preserve"> with both entities.</w:t>
      </w:r>
    </w:p>
    <w:p w14:paraId="5C7123E7" w14:textId="77777777" w:rsidR="00BE2EF9" w:rsidRDefault="00BE2EF9" w:rsidP="00BE2EF9">
      <w:pPr>
        <w:pStyle w:val="NoSpacing"/>
        <w:ind w:left="720"/>
      </w:pPr>
    </w:p>
    <w:p w14:paraId="7B7B460E" w14:textId="77777777" w:rsidR="00BE2EF9" w:rsidRDefault="00BE2EF9" w:rsidP="00BE2EF9">
      <w:pPr>
        <w:pStyle w:val="NoSpacing"/>
        <w:ind w:left="720"/>
      </w:pPr>
      <w:r>
        <w:t>***</w:t>
      </w:r>
    </w:p>
    <w:p w14:paraId="433B91EE" w14:textId="77777777" w:rsidR="00BE2EF9" w:rsidRDefault="00BE2EF9" w:rsidP="00BE2EF9">
      <w:pPr>
        <w:pStyle w:val="NoSpacing"/>
        <w:ind w:left="720"/>
      </w:pPr>
      <w:r>
        <w:t>On November 3, 2023, AMR submitted a letter protesting the County’s decision to advance both proposals to the Board…. On November 28, 2023, the County sent a letter to AMR denying its protest.</w:t>
      </w:r>
    </w:p>
    <w:p w14:paraId="5F5A2144" w14:textId="77777777" w:rsidR="00BE2EF9" w:rsidRDefault="00BE2EF9" w:rsidP="00BE2EF9">
      <w:pPr>
        <w:pStyle w:val="NoSpacing"/>
        <w:ind w:left="720"/>
      </w:pPr>
    </w:p>
    <w:p w14:paraId="1FBB0453" w14:textId="77777777" w:rsidR="00BE2EF9" w:rsidRDefault="00BE2EF9" w:rsidP="00BE2EF9">
      <w:pPr>
        <w:pStyle w:val="NoSpacing"/>
        <w:ind w:left="720"/>
      </w:pPr>
      <w:r>
        <w:t>***</w:t>
      </w:r>
    </w:p>
    <w:p w14:paraId="64A196BA" w14:textId="77777777" w:rsidR="00BE2EF9" w:rsidRDefault="00BE2EF9" w:rsidP="00BE2EF9">
      <w:pPr>
        <w:pStyle w:val="NoSpacing"/>
        <w:ind w:left="720"/>
      </w:pPr>
      <w:r>
        <w:t xml:space="preserve">At a regular meeting of the County’s Board on December 5, 2023, AMR and </w:t>
      </w:r>
      <w:proofErr w:type="spellStart"/>
      <w:r>
        <w:t>ConFire</w:t>
      </w:r>
      <w:proofErr w:type="spellEnd"/>
      <w:r>
        <w:t xml:space="preserve"> each presented their proposals. Thereafter, the Board heard several public comments in support of each proposal, including from representatives of cities within the exclusive operation area for which the RFP was issued. At the conclusion of the hearing, the Board voted to deny AMR’s protest and award the service contract to </w:t>
      </w:r>
      <w:proofErr w:type="spellStart"/>
      <w:r>
        <w:t>ConFire</w:t>
      </w:r>
      <w:proofErr w:type="spellEnd"/>
      <w:r>
        <w:t>.</w:t>
      </w:r>
    </w:p>
    <w:p w14:paraId="26204EB7" w14:textId="77777777" w:rsidR="00BE2EF9" w:rsidRDefault="00BE2EF9" w:rsidP="00BE2EF9">
      <w:pPr>
        <w:pStyle w:val="NoSpacing"/>
        <w:ind w:left="720"/>
      </w:pPr>
    </w:p>
    <w:p w14:paraId="40788099" w14:textId="77777777" w:rsidR="00BE2EF9" w:rsidRDefault="00BE2EF9" w:rsidP="00BE2EF9">
      <w:pPr>
        <w:pStyle w:val="NoSpacing"/>
        <w:ind w:left="720"/>
      </w:pPr>
      <w:r>
        <w:t>***</w:t>
      </w:r>
    </w:p>
    <w:p w14:paraId="69EA374F" w14:textId="77777777" w:rsidR="00BE2EF9" w:rsidRDefault="00BE2EF9" w:rsidP="00BE2EF9">
      <w:pPr>
        <w:pStyle w:val="NoSpacing"/>
        <w:ind w:left="720"/>
      </w:pPr>
      <w:r>
        <w:t xml:space="preserve">In short, the RFP’s plain language provides that the County may negotiate with more than one proposer and that the final determination is left to the discretion of the Board based on the scoring, and the Board’s determination of the proposer’s ability to meet the needs of the County and provide the best value. Contrary to the trial court’s </w:t>
      </w:r>
      <w:proofErr w:type="gramStart"/>
      <w:r>
        <w:t>finding</w:t>
      </w:r>
      <w:proofErr w:type="gramEnd"/>
      <w:r>
        <w:t>, the RFP does not impose a ministerial duty on the County to negotiate solely with the proposer</w:t>
      </w:r>
    </w:p>
    <w:p w14:paraId="5958C7B6" w14:textId="77777777" w:rsidR="00BE2EF9" w:rsidRDefault="00BE2EF9" w:rsidP="00BE2EF9">
      <w:pPr>
        <w:pStyle w:val="NoSpacing"/>
        <w:ind w:left="720"/>
      </w:pPr>
      <w:r>
        <w:t>who received the highest total score…. Given our conclusion that AMR cannot show a</w:t>
      </w:r>
    </w:p>
    <w:p w14:paraId="3DF26E2E" w14:textId="77777777" w:rsidR="00BE2EF9" w:rsidRDefault="00BE2EF9" w:rsidP="00BE2EF9">
      <w:pPr>
        <w:pStyle w:val="NoSpacing"/>
        <w:ind w:left="720"/>
      </w:pPr>
      <w:r>
        <w:t>likelihood of prevailing on the merits of its mandate claim and the general rule against enjoining public agencies, AMR has not shown that its risk of injury supports the imposition of a preliminary injunction.”</w:t>
      </w:r>
    </w:p>
    <w:p w14:paraId="1879A51E" w14:textId="77777777" w:rsidR="00BE2EF9" w:rsidRDefault="00BE2EF9" w:rsidP="00BE2EF9">
      <w:pPr>
        <w:pStyle w:val="NoSpacing"/>
        <w:ind w:left="720"/>
      </w:pPr>
    </w:p>
    <w:p w14:paraId="0DC0318A" w14:textId="77777777" w:rsidR="00BE2EF9" w:rsidRPr="00E778FA" w:rsidRDefault="00BE2EF9" w:rsidP="00BE2EF9">
      <w:pPr>
        <w:pStyle w:val="NoSpacing"/>
        <w:rPr>
          <w:b/>
          <w:bCs/>
        </w:rPr>
      </w:pPr>
      <w:r>
        <w:rPr>
          <w:b/>
        </w:rPr>
        <w:t xml:space="preserve">Legal lesson learned:  The RFP was clear and Courts </w:t>
      </w:r>
      <w:proofErr w:type="gramStart"/>
      <w:r>
        <w:rPr>
          <w:b/>
        </w:rPr>
        <w:t>as a general rule</w:t>
      </w:r>
      <w:proofErr w:type="gramEnd"/>
      <w:r>
        <w:rPr>
          <w:b/>
        </w:rPr>
        <w:t xml:space="preserve"> oppose issuing injunctions against public agencies. </w:t>
      </w:r>
    </w:p>
    <w:p w14:paraId="2139331B" w14:textId="77777777" w:rsidR="00BE2EF9" w:rsidRDefault="00BE2EF9" w:rsidP="00BE2EF9">
      <w:pPr>
        <w:pStyle w:val="NoSpacing"/>
      </w:pPr>
    </w:p>
    <w:p w14:paraId="04510C60" w14:textId="77777777" w:rsidR="002E2246" w:rsidRDefault="002E2246" w:rsidP="00004498">
      <w:pPr>
        <w:rPr>
          <w:rFonts w:ascii="Arial Black" w:hAnsi="Arial Black"/>
          <w:b/>
          <w:bCs/>
          <w:sz w:val="24"/>
          <w:szCs w:val="24"/>
        </w:rPr>
      </w:pPr>
    </w:p>
    <w:p w14:paraId="269419CB" w14:textId="77777777" w:rsidR="002E2246" w:rsidRDefault="002E2246" w:rsidP="00004498">
      <w:pPr>
        <w:rPr>
          <w:rFonts w:ascii="Arial Black" w:hAnsi="Arial Black"/>
          <w:b/>
          <w:bCs/>
          <w:sz w:val="24"/>
          <w:szCs w:val="24"/>
        </w:rPr>
      </w:pPr>
    </w:p>
    <w:p w14:paraId="1D9CFB54" w14:textId="0A5DDDB2" w:rsidR="00BE2EF9" w:rsidRDefault="008E7464" w:rsidP="00004498">
      <w:pPr>
        <w:rPr>
          <w:rFonts w:ascii="Arial Black" w:hAnsi="Arial Black"/>
          <w:b/>
          <w:bCs/>
          <w:sz w:val="24"/>
          <w:szCs w:val="24"/>
        </w:rPr>
      </w:pPr>
      <w:r>
        <w:rPr>
          <w:rFonts w:ascii="Arial Black" w:hAnsi="Arial Black"/>
          <w:b/>
          <w:bCs/>
          <w:sz w:val="24"/>
          <w:szCs w:val="24"/>
        </w:rPr>
        <w:t>13-</w:t>
      </w:r>
      <w:r w:rsidR="002E2246">
        <w:rPr>
          <w:rFonts w:ascii="Arial Black" w:hAnsi="Arial Black"/>
          <w:b/>
          <w:bCs/>
          <w:sz w:val="24"/>
          <w:szCs w:val="24"/>
        </w:rPr>
        <w:t>23</w:t>
      </w:r>
      <w:r w:rsidR="00524647">
        <w:rPr>
          <w:rFonts w:ascii="Arial Black" w:hAnsi="Arial Black"/>
          <w:b/>
          <w:bCs/>
          <w:sz w:val="24"/>
          <w:szCs w:val="24"/>
        </w:rPr>
        <w:t>7</w:t>
      </w:r>
    </w:p>
    <w:p w14:paraId="67E1B4F5" w14:textId="77777777" w:rsidR="00907B6A" w:rsidRDefault="00907B6A" w:rsidP="00004498">
      <w:pPr>
        <w:rPr>
          <w:rFonts w:ascii="Arial Black" w:hAnsi="Arial Black"/>
          <w:b/>
          <w:bCs/>
          <w:sz w:val="24"/>
          <w:szCs w:val="24"/>
        </w:rPr>
      </w:pPr>
    </w:p>
    <w:p w14:paraId="426FE7A2" w14:textId="77777777" w:rsidR="00907B6A" w:rsidRPr="00737DC2" w:rsidRDefault="00907B6A" w:rsidP="00907B6A">
      <w:pPr>
        <w:pStyle w:val="NoSpacing"/>
        <w:rPr>
          <w:rFonts w:ascii="Arial Black" w:hAnsi="Arial Black"/>
          <w:sz w:val="28"/>
          <w:szCs w:val="28"/>
        </w:rPr>
      </w:pPr>
      <w:r>
        <w:rPr>
          <w:rFonts w:ascii="Arial Black" w:hAnsi="Arial Black"/>
          <w:sz w:val="28"/>
          <w:szCs w:val="28"/>
        </w:rPr>
        <w:t xml:space="preserve">UT: EMS – SUES INSUR. CO. NOT PAYING STATE RATES </w:t>
      </w:r>
    </w:p>
    <w:p w14:paraId="5A161CFF" w14:textId="77777777" w:rsidR="00907B6A" w:rsidRDefault="00907B6A" w:rsidP="00907B6A">
      <w:pPr>
        <w:pStyle w:val="NoSpacing"/>
      </w:pPr>
    </w:p>
    <w:p w14:paraId="1D63591A" w14:textId="77777777" w:rsidR="00907B6A" w:rsidRDefault="00907B6A" w:rsidP="00907B6A">
      <w:pPr>
        <w:rPr>
          <w:b/>
        </w:rPr>
      </w:pPr>
      <w:r>
        <w:t xml:space="preserve">On December 12, 2025, </w:t>
      </w:r>
      <w:proofErr w:type="gramStart"/>
      <w:r>
        <w:t>in</w:t>
      </w:r>
      <w:proofErr w:type="gramEnd"/>
      <w:r>
        <w:t xml:space="preserve"> </w:t>
      </w:r>
      <w:r w:rsidRPr="005A464F">
        <w:rPr>
          <w:u w:val="single"/>
        </w:rPr>
        <w:t>Gold Cross Services, Inc. v</w:t>
      </w:r>
      <w:r>
        <w:rPr>
          <w:u w:val="single"/>
        </w:rPr>
        <w:t xml:space="preserve">. </w:t>
      </w:r>
      <w:r w:rsidRPr="005A464F">
        <w:rPr>
          <w:u w:val="single"/>
        </w:rPr>
        <w:t>The Cigna Group</w:t>
      </w:r>
      <w:r>
        <w:t xml:space="preserve">, U.S. District court Judge  Dale A. Kimball, </w:t>
      </w:r>
      <w:r w:rsidRPr="0057656F">
        <w:t>United States District Court, D. Utah</w:t>
      </w:r>
      <w:r>
        <w:t xml:space="preserve">, denied The Cigna Group’s motion to dismiss; the EMS services provided by Gold Cross to patients insured by Cigna were billed at State levels, and Cigna’s not paying full price is a breach of the “implied contract” claim.  As of July 1, </w:t>
      </w:r>
      <w:proofErr w:type="gramStart"/>
      <w:r>
        <w:t>2024</w:t>
      </w:r>
      <w:proofErr w:type="gramEnd"/>
      <w:r>
        <w:t xml:space="preserve"> the state’s </w:t>
      </w:r>
      <w:r w:rsidRPr="004F491B">
        <w:t>maximum ambulance base rate permitted for EMT services is $1,176.11, for</w:t>
      </w:r>
      <w:r>
        <w:t xml:space="preserve"> </w:t>
      </w:r>
      <w:r w:rsidRPr="004F491B">
        <w:t>AEMT services is $1,552.68, and for Paramedic services is $2,270.22. See Utah Admin. Code</w:t>
      </w:r>
      <w:r>
        <w:t xml:space="preserve"> </w:t>
      </w:r>
      <w:r w:rsidRPr="004F491B">
        <w:t>R911-8-200(6)</w:t>
      </w:r>
      <w:r>
        <w:t xml:space="preserve">.   The Cigna Group’s counterclaim of “up charging” is dismissed since they failed to provide any proof of a charge over the </w:t>
      </w:r>
      <w:r>
        <w:lastRenderedPageBreak/>
        <w:t xml:space="preserve">state’s rates (reviewed 50 claims and alleged </w:t>
      </w:r>
      <w:r w:rsidRPr="00FC6A24">
        <w:t>$406, 328.73 in overbillings</w:t>
      </w:r>
      <w:r>
        <w:t xml:space="preserve">.  Case will now go to pre-trial discovery. </w:t>
      </w:r>
      <w:hyperlink r:id="rId2051" w:history="1">
        <w:r w:rsidRPr="00AE4181">
          <w:rPr>
            <w:rStyle w:val="Hyperlink"/>
            <w:b/>
          </w:rPr>
          <w:t>https://cases.justia.com/federal/district-courts/utah/utdce/2:2025cv00111/154289/32/0.pdf?ts=1765634947</w:t>
        </w:r>
      </w:hyperlink>
      <w:r>
        <w:rPr>
          <w:b/>
        </w:rPr>
        <w:t xml:space="preserve"> </w:t>
      </w:r>
    </w:p>
    <w:p w14:paraId="075DF498" w14:textId="77777777" w:rsidR="00907B6A" w:rsidRDefault="00907B6A" w:rsidP="00907B6A">
      <w:pPr>
        <w:pStyle w:val="NoSpacing"/>
        <w:rPr>
          <w:bCs/>
        </w:rPr>
      </w:pPr>
      <w:r>
        <w:t xml:space="preserve"> THE COURT HELD:</w:t>
      </w:r>
    </w:p>
    <w:p w14:paraId="3A7D1CE6" w14:textId="77777777" w:rsidR="00907B6A" w:rsidRDefault="00907B6A" w:rsidP="00907B6A">
      <w:pPr>
        <w:pStyle w:val="NoSpacing"/>
        <w:rPr>
          <w:bCs/>
        </w:rPr>
      </w:pPr>
    </w:p>
    <w:p w14:paraId="6CCA6770" w14:textId="77777777" w:rsidR="00907B6A" w:rsidRPr="008544FB" w:rsidRDefault="00907B6A" w:rsidP="00907B6A">
      <w:pPr>
        <w:pStyle w:val="NoSpacing"/>
        <w:ind w:left="720"/>
        <w:rPr>
          <w:bCs/>
        </w:rPr>
      </w:pPr>
      <w:r>
        <w:t>“</w:t>
      </w:r>
      <w:r w:rsidRPr="008544FB">
        <w:t>Under this regulatory framework, an ambulance provider may not charge more than the</w:t>
      </w:r>
    </w:p>
    <w:p w14:paraId="2BEF2342" w14:textId="77777777" w:rsidR="00907B6A" w:rsidRDefault="00907B6A" w:rsidP="00907B6A">
      <w:pPr>
        <w:pStyle w:val="NoSpacing"/>
        <w:ind w:left="720"/>
        <w:rPr>
          <w:bCs/>
        </w:rPr>
      </w:pPr>
      <w:r w:rsidRPr="008544FB">
        <w:t xml:space="preserve">maximum base rate for </w:t>
      </w:r>
      <w:proofErr w:type="gramStart"/>
      <w:r w:rsidRPr="008544FB">
        <w:t>an ambulance</w:t>
      </w:r>
      <w:proofErr w:type="gramEnd"/>
      <w:r w:rsidRPr="008544FB">
        <w:t xml:space="preserve"> transfer and may not include costs for procedures or</w:t>
      </w:r>
      <w:r>
        <w:t xml:space="preserve"> </w:t>
      </w:r>
      <w:r w:rsidRPr="008544FB">
        <w:t xml:space="preserve">medications administered to patients </w:t>
      </w:r>
      <w:proofErr w:type="gramStart"/>
      <w:r w:rsidRPr="008544FB">
        <w:t>in</w:t>
      </w:r>
      <w:proofErr w:type="gramEnd"/>
      <w:r w:rsidRPr="008544FB">
        <w:t xml:space="preserve"> that base rate. Utah’s regulatory framework also</w:t>
      </w:r>
      <w:r>
        <w:t xml:space="preserve"> </w:t>
      </w:r>
      <w:r w:rsidRPr="008544FB">
        <w:t xml:space="preserve">recognizes that ambulance providers may incur additional costs during ambulance </w:t>
      </w:r>
      <w:proofErr w:type="gramStart"/>
      <w:r w:rsidRPr="008544FB">
        <w:t>transports</w:t>
      </w:r>
      <w:proofErr w:type="gramEnd"/>
      <w:r>
        <w:t xml:space="preserve"> </w:t>
      </w:r>
      <w:r w:rsidRPr="008544FB">
        <w:t>beyond what is covered by the maximum base rates. To account for these costs, an ambulance</w:t>
      </w:r>
      <w:r>
        <w:t xml:space="preserve"> </w:t>
      </w:r>
      <w:r w:rsidRPr="008544FB">
        <w:t>provider may charge for mileage, supplies, and medications as prescribed by law in addition to</w:t>
      </w:r>
      <w:r>
        <w:t xml:space="preserve"> </w:t>
      </w:r>
      <w:r w:rsidRPr="008544FB">
        <w:t>the base rate.</w:t>
      </w:r>
    </w:p>
    <w:p w14:paraId="1028604A" w14:textId="77777777" w:rsidR="00907B6A" w:rsidRDefault="00907B6A" w:rsidP="00907B6A">
      <w:pPr>
        <w:pStyle w:val="NoSpacing"/>
        <w:ind w:left="720"/>
        <w:rPr>
          <w:bCs/>
        </w:rPr>
      </w:pPr>
    </w:p>
    <w:p w14:paraId="7802AB08" w14:textId="77777777" w:rsidR="00907B6A" w:rsidRDefault="00907B6A" w:rsidP="00907B6A">
      <w:pPr>
        <w:pStyle w:val="NoSpacing"/>
        <w:ind w:left="720"/>
        <w:rPr>
          <w:bCs/>
        </w:rPr>
      </w:pPr>
      <w:r>
        <w:t>***</w:t>
      </w:r>
    </w:p>
    <w:p w14:paraId="19683BEF" w14:textId="77777777" w:rsidR="00907B6A" w:rsidRDefault="00907B6A" w:rsidP="00907B6A">
      <w:pPr>
        <w:pStyle w:val="NoSpacing"/>
        <w:ind w:left="720"/>
        <w:rPr>
          <w:bCs/>
        </w:rPr>
      </w:pPr>
    </w:p>
    <w:p w14:paraId="4ECFF433" w14:textId="77777777" w:rsidR="00907B6A" w:rsidRDefault="00907B6A" w:rsidP="00907B6A">
      <w:pPr>
        <w:pStyle w:val="NoSpacing"/>
        <w:ind w:left="720"/>
      </w:pPr>
      <w:r>
        <w:t xml:space="preserve">Utah law provides a rate for ambulance transport that is charged regardless of which HCPCS code is used. The statutory rate is what Gold Cross is entitled to charge. While Cigna claims that the use of certain HCPCS codes caused Cigna to incorrectly evaluate the claim under the respective insured’s policy, this is Cigna’s own </w:t>
      </w:r>
      <w:proofErr w:type="gramStart"/>
      <w:r>
        <w:t>mistake</w:t>
      </w:r>
      <w:proofErr w:type="gramEnd"/>
      <w:r>
        <w:t xml:space="preserve"> and it stems from Cigna’s failure to account for Utah’s statutory framework. Utah’s regulatory</w:t>
      </w:r>
    </w:p>
    <w:p w14:paraId="1AD82118" w14:textId="77777777" w:rsidR="00907B6A" w:rsidRDefault="00907B6A" w:rsidP="00907B6A">
      <w:pPr>
        <w:pStyle w:val="NoSpacing"/>
        <w:ind w:left="720"/>
      </w:pPr>
      <w:r>
        <w:t>framework allows ambulance providers to bill at the level of service dispatched, not the level of service rendered.</w:t>
      </w:r>
    </w:p>
    <w:p w14:paraId="707A6404" w14:textId="77777777" w:rsidR="00907B6A" w:rsidRDefault="00907B6A" w:rsidP="00907B6A">
      <w:pPr>
        <w:pStyle w:val="NoSpacing"/>
        <w:ind w:left="720"/>
      </w:pPr>
    </w:p>
    <w:p w14:paraId="225BE68A" w14:textId="77777777" w:rsidR="00907B6A" w:rsidRDefault="00907B6A" w:rsidP="00907B6A">
      <w:pPr>
        <w:pStyle w:val="NoSpacing"/>
        <w:ind w:left="720"/>
      </w:pPr>
      <w:r>
        <w:t>***</w:t>
      </w:r>
    </w:p>
    <w:p w14:paraId="3AA803FD" w14:textId="77777777" w:rsidR="00907B6A" w:rsidRDefault="00907B6A" w:rsidP="00907B6A">
      <w:pPr>
        <w:pStyle w:val="NoSpacing"/>
      </w:pPr>
    </w:p>
    <w:p w14:paraId="5AADE22A" w14:textId="77777777" w:rsidR="00907B6A" w:rsidRDefault="00907B6A" w:rsidP="00907B6A">
      <w:pPr>
        <w:pStyle w:val="NoSpacing"/>
        <w:ind w:left="720"/>
      </w:pPr>
      <w:r>
        <w:t xml:space="preserve">However, Cigna fails to appreciate that these duties [to pay state’s rates] were alleged to have been breached when Cigna inconsistently assigned different allowed amounts for the exact same HCPCS code and ambulance service. These duties were also allegedly breached when Cigna refused to consider Utah’s statutory framework when evaluating claims. As a result, Cigna has assigned different allowed amounts to identical HCPCS codes that are less than what are customary under Utah law. The parties can explore these duties and the alleged factual allegations in discovery. At the motion to dismiss stage, Gold Cross’ allegations are sufficiently </w:t>
      </w:r>
      <w:proofErr w:type="gramStart"/>
      <w:r>
        <w:t>pled</w:t>
      </w:r>
      <w:proofErr w:type="gramEnd"/>
      <w:r>
        <w:t xml:space="preserve">. The court, therefore, denies Cigna’s motion to dismiss the claim.”  </w:t>
      </w:r>
    </w:p>
    <w:p w14:paraId="5BCA5C9E" w14:textId="77777777" w:rsidR="00907B6A" w:rsidRDefault="00907B6A" w:rsidP="00907B6A">
      <w:pPr>
        <w:pStyle w:val="NoSpacing"/>
        <w:ind w:left="720"/>
      </w:pPr>
    </w:p>
    <w:p w14:paraId="7D5000CC" w14:textId="77777777" w:rsidR="00907B6A" w:rsidRDefault="00907B6A" w:rsidP="00907B6A">
      <w:pPr>
        <w:pStyle w:val="NoSpacing"/>
        <w:rPr>
          <w:b/>
        </w:rPr>
      </w:pPr>
      <w:r>
        <w:rPr>
          <w:b/>
        </w:rPr>
        <w:t xml:space="preserve">Legal lesson learned:  Pre-trial discovery will focus on any evidence of “up charging: by the ambulance company. </w:t>
      </w:r>
    </w:p>
    <w:p w14:paraId="58D36FAB" w14:textId="77777777" w:rsidR="00907B6A" w:rsidRDefault="00907B6A" w:rsidP="00004498">
      <w:pPr>
        <w:rPr>
          <w:rFonts w:ascii="Arial Black" w:hAnsi="Arial Black"/>
          <w:b/>
          <w:bCs/>
          <w:sz w:val="24"/>
          <w:szCs w:val="24"/>
        </w:rPr>
      </w:pPr>
    </w:p>
    <w:p w14:paraId="38E76735" w14:textId="7169D20F" w:rsidR="002C0B2A" w:rsidRDefault="002C0B2A" w:rsidP="00004498">
      <w:pPr>
        <w:rPr>
          <w:rFonts w:ascii="Arial Black" w:hAnsi="Arial Black"/>
          <w:b/>
          <w:bCs/>
          <w:sz w:val="24"/>
          <w:szCs w:val="24"/>
        </w:rPr>
      </w:pPr>
      <w:r>
        <w:rPr>
          <w:rFonts w:ascii="Arial Black" w:hAnsi="Arial Black"/>
          <w:b/>
          <w:bCs/>
          <w:sz w:val="24"/>
          <w:szCs w:val="24"/>
        </w:rPr>
        <w:t xml:space="preserve">13 – </w:t>
      </w:r>
      <w:r w:rsidR="00C16AA1">
        <w:rPr>
          <w:rFonts w:ascii="Arial Black" w:hAnsi="Arial Black"/>
          <w:b/>
          <w:bCs/>
          <w:sz w:val="24"/>
          <w:szCs w:val="24"/>
        </w:rPr>
        <w:t>23</w:t>
      </w:r>
      <w:r w:rsidR="00524647">
        <w:rPr>
          <w:rFonts w:ascii="Arial Black" w:hAnsi="Arial Black"/>
          <w:b/>
          <w:bCs/>
          <w:sz w:val="24"/>
          <w:szCs w:val="24"/>
        </w:rPr>
        <w:t>6</w:t>
      </w:r>
    </w:p>
    <w:p w14:paraId="2E2DE977" w14:textId="0A045C59" w:rsidR="002C0B2A" w:rsidRPr="008743D2" w:rsidRDefault="002C0B2A" w:rsidP="002C0B2A">
      <w:pPr>
        <w:rPr>
          <w:rFonts w:ascii="Arial Black" w:hAnsi="Arial Black"/>
          <w:b/>
          <w:sz w:val="28"/>
          <w:szCs w:val="28"/>
        </w:rPr>
      </w:pPr>
      <w:r>
        <w:rPr>
          <w:rFonts w:ascii="Arial Black" w:hAnsi="Arial Black"/>
          <w:b/>
          <w:sz w:val="28"/>
          <w:szCs w:val="28"/>
        </w:rPr>
        <w:t xml:space="preserve">MI: </w:t>
      </w:r>
      <w:r w:rsidR="002720DE">
        <w:rPr>
          <w:rFonts w:ascii="Arial Black" w:hAnsi="Arial Black"/>
          <w:b/>
          <w:sz w:val="28"/>
          <w:szCs w:val="28"/>
        </w:rPr>
        <w:t>DEFENDANT</w:t>
      </w:r>
      <w:r>
        <w:rPr>
          <w:rFonts w:ascii="Arial Black" w:hAnsi="Arial Black"/>
          <w:b/>
          <w:sz w:val="28"/>
          <w:szCs w:val="28"/>
        </w:rPr>
        <w:t xml:space="preserve"> IMPERSONATED EMT / FOOTBALL – CHILD PORN</w:t>
      </w:r>
    </w:p>
    <w:p w14:paraId="32625292" w14:textId="77777777" w:rsidR="002C0B2A" w:rsidRDefault="002C0B2A" w:rsidP="002C0B2A">
      <w:r>
        <w:t xml:space="preserve">On December 10, 2025, in </w:t>
      </w:r>
      <w:r w:rsidRPr="00A17D21">
        <w:rPr>
          <w:u w:val="single"/>
        </w:rPr>
        <w:t>United States of America v. Scott A. Lantzy</w:t>
      </w:r>
      <w:r>
        <w:t xml:space="preserve">, U.S. District Court Judge </w:t>
      </w:r>
      <w:r w:rsidRPr="00E8243B">
        <w:t>Thomas L. Ludington</w:t>
      </w:r>
      <w:r>
        <w:t xml:space="preserve">, </w:t>
      </w:r>
      <w:r w:rsidRPr="00DB542E">
        <w:t>United States District Court, E.D. Michigan, Northern Division</w:t>
      </w:r>
      <w:r>
        <w:t xml:space="preserve">. Denied new trial for the convicted child pornographer.  </w:t>
      </w:r>
      <w:r w:rsidRPr="002925B6">
        <w:t>On October 26, 2021, a jury convicted Defendant on all five counts</w:t>
      </w:r>
      <w:r>
        <w:t xml:space="preserve">, and he </w:t>
      </w:r>
      <w:r w:rsidRPr="002925B6">
        <w:t>was sentenced to 235 months of imprisonment, followed by a lifetime term</w:t>
      </w:r>
      <w:r>
        <w:t xml:space="preserve"> </w:t>
      </w:r>
      <w:r w:rsidRPr="002925B6">
        <w:t xml:space="preserve">of supervised release. </w:t>
      </w:r>
      <w:r>
        <w:t xml:space="preserve">On </w:t>
      </w:r>
      <w:r w:rsidRPr="002925B6">
        <w:t>October 4, 2023, the United States Court of Appeals for the Sixth Circuit affirmed his</w:t>
      </w:r>
      <w:r>
        <w:t xml:space="preserve"> </w:t>
      </w:r>
      <w:r w:rsidRPr="002925B6">
        <w:t xml:space="preserve">conviction. </w:t>
      </w:r>
      <w:r>
        <w:t xml:space="preserve">Two years after his </w:t>
      </w:r>
      <w:proofErr w:type="gramStart"/>
      <w:r>
        <w:t>trial, that</w:t>
      </w:r>
      <w:proofErr w:type="gramEnd"/>
      <w:r>
        <w:t xml:space="preserve"> he had ineffective defense attorney. </w:t>
      </w:r>
      <w:hyperlink r:id="rId2052" w:history="1">
        <w:r w:rsidRPr="00AE4181">
          <w:rPr>
            <w:rStyle w:val="Hyperlink"/>
          </w:rPr>
          <w:t>https://www.govinfo.gov/content/pkg/USCOURTS-mied-1_19-cr-20167/pdf/USCOURTS-mied-1_19-cr-20167-2.pdf</w:t>
        </w:r>
      </w:hyperlink>
      <w:r>
        <w:t xml:space="preserve"> </w:t>
      </w:r>
    </w:p>
    <w:p w14:paraId="01068ACD" w14:textId="77777777" w:rsidR="002C0B2A" w:rsidRDefault="002C0B2A" w:rsidP="002C0B2A">
      <w:r>
        <w:t>THE COURT HELD:</w:t>
      </w:r>
    </w:p>
    <w:p w14:paraId="73079331" w14:textId="77777777" w:rsidR="002C0B2A" w:rsidRPr="00096EC3" w:rsidRDefault="002C0B2A" w:rsidP="002C0B2A">
      <w:pPr>
        <w:pStyle w:val="NoSpacing"/>
        <w:ind w:firstLine="720"/>
      </w:pPr>
      <w:r>
        <w:t>“</w:t>
      </w:r>
      <w:r w:rsidRPr="00096EC3">
        <w:t>In 2018, Defendant Scott A. Lantzy impersonated an Emergency Medical Technician</w:t>
      </w:r>
    </w:p>
    <w:p w14:paraId="04A6ABE7" w14:textId="77777777" w:rsidR="002C0B2A" w:rsidRDefault="002C0B2A" w:rsidP="002C0B2A">
      <w:pPr>
        <w:pStyle w:val="NoSpacing"/>
        <w:ind w:left="720"/>
      </w:pPr>
      <w:r w:rsidRPr="00096EC3">
        <w:t>(EMT) at a high school football game</w:t>
      </w:r>
      <w:r>
        <w:t xml:space="preserve">…. </w:t>
      </w:r>
      <w:r w:rsidRPr="00096EC3">
        <w:t>In so doing, Defendant pretended to assist a player who had broken</w:t>
      </w:r>
      <w:r>
        <w:t xml:space="preserve"> </w:t>
      </w:r>
      <w:r w:rsidRPr="00096EC3">
        <w:t>his leg during that game and then followed him to the hospital</w:t>
      </w:r>
      <w:r>
        <w:t xml:space="preserve">…. </w:t>
      </w:r>
      <w:r w:rsidRPr="00096EC3">
        <w:t xml:space="preserve">  Once at the hospital, Defendant</w:t>
      </w:r>
      <w:r>
        <w:t xml:space="preserve"> ‘</w:t>
      </w:r>
      <w:r w:rsidRPr="00096EC3">
        <w:t>remained in the player’s</w:t>
      </w:r>
      <w:r>
        <w:t>’</w:t>
      </w:r>
      <w:r w:rsidRPr="00096EC3">
        <w:t xml:space="preserve"> room </w:t>
      </w:r>
      <w:r>
        <w:t>‘</w:t>
      </w:r>
      <w:r w:rsidRPr="00096EC3">
        <w:t>for over two hours before he was identified as an imposter.</w:t>
      </w:r>
      <w:r>
        <w:t>’</w:t>
      </w:r>
    </w:p>
    <w:p w14:paraId="091D678E" w14:textId="77777777" w:rsidR="002C0B2A" w:rsidRDefault="002C0B2A" w:rsidP="002C0B2A">
      <w:pPr>
        <w:pStyle w:val="NoSpacing"/>
        <w:ind w:left="720"/>
      </w:pPr>
    </w:p>
    <w:p w14:paraId="481A73A0" w14:textId="77777777" w:rsidR="002C0B2A" w:rsidRDefault="002C0B2A" w:rsidP="002C0B2A">
      <w:pPr>
        <w:pStyle w:val="NoSpacing"/>
        <w:ind w:left="720"/>
      </w:pPr>
      <w:r>
        <w:lastRenderedPageBreak/>
        <w:t>***</w:t>
      </w:r>
    </w:p>
    <w:p w14:paraId="39D28E14" w14:textId="77777777" w:rsidR="002C0B2A" w:rsidRPr="004C1AF9" w:rsidRDefault="002C0B2A" w:rsidP="002C0B2A">
      <w:pPr>
        <w:pStyle w:val="NoSpacing"/>
        <w:ind w:firstLine="720"/>
      </w:pPr>
      <w:r w:rsidRPr="004C1AF9">
        <w:t>As a part of the investigation into the EMT incident, law enforcement learned that before</w:t>
      </w:r>
    </w:p>
    <w:p w14:paraId="5DA15DA5" w14:textId="77777777" w:rsidR="002C0B2A" w:rsidRDefault="002C0B2A" w:rsidP="002C0B2A">
      <w:pPr>
        <w:pStyle w:val="NoSpacing"/>
        <w:ind w:left="720"/>
      </w:pPr>
      <w:r w:rsidRPr="004C1AF9">
        <w:t xml:space="preserve">that, Defendant had </w:t>
      </w:r>
      <w:r>
        <w:t>‘</w:t>
      </w:r>
      <w:r w:rsidRPr="004C1AF9">
        <w:t>developed a close relationship with another student.</w:t>
      </w:r>
      <w:r>
        <w:t xml:space="preserve">’ … </w:t>
      </w:r>
      <w:r w:rsidRPr="004C1AF9">
        <w:t>Defendant gave the</w:t>
      </w:r>
      <w:r>
        <w:t xml:space="preserve"> </w:t>
      </w:r>
      <w:r w:rsidRPr="004C1AF9">
        <w:t xml:space="preserve">student gifts and </w:t>
      </w:r>
      <w:r>
        <w:t>‘</w:t>
      </w:r>
      <w:r w:rsidRPr="004C1AF9">
        <w:t>asked the student and his friend to house sit for several days.</w:t>
      </w:r>
      <w:r>
        <w:t>’…</w:t>
      </w:r>
      <w:r w:rsidRPr="004C1AF9">
        <w:t>When the</w:t>
      </w:r>
      <w:r>
        <w:t xml:space="preserve"> </w:t>
      </w:r>
      <w:r w:rsidRPr="004C1AF9">
        <w:t>student agreed, Defendant gave him a camera and directed him to take pictures of what he and his</w:t>
      </w:r>
      <w:r>
        <w:t xml:space="preserve"> </w:t>
      </w:r>
      <w:r w:rsidRPr="004C1AF9">
        <w:t>friend did while housesitting</w:t>
      </w:r>
      <w:r>
        <w:t xml:space="preserve">…. </w:t>
      </w:r>
      <w:r w:rsidRPr="004C1AF9">
        <w:t>Defendant then texted the student daily to see if he had taken</w:t>
      </w:r>
      <w:r>
        <w:t xml:space="preserve"> </w:t>
      </w:r>
      <w:r w:rsidRPr="004C1AF9">
        <w:t xml:space="preserve">pictures and responded to one picture that it was </w:t>
      </w:r>
      <w:r>
        <w:t>‘</w:t>
      </w:r>
      <w:r w:rsidRPr="004C1AF9">
        <w:t>nice to see that</w:t>
      </w:r>
      <w:r>
        <w:t>’</w:t>
      </w:r>
      <w:r w:rsidRPr="004C1AF9">
        <w:t xml:space="preserve"> the student and his friend were</w:t>
      </w:r>
      <w:r>
        <w:t xml:space="preserve"> </w:t>
      </w:r>
      <w:r w:rsidRPr="00560EE7">
        <w:t>clothed</w:t>
      </w:r>
      <w:r>
        <w:t xml:space="preserve">…. </w:t>
      </w:r>
      <w:r w:rsidRPr="00560EE7">
        <w:t xml:space="preserve">In addition to that line of text messages, Defendant discussed </w:t>
      </w:r>
      <w:r>
        <w:t>‘</w:t>
      </w:r>
      <w:r w:rsidRPr="00560EE7">
        <w:t>sex</w:t>
      </w:r>
      <w:r>
        <w:t xml:space="preserve"> </w:t>
      </w:r>
      <w:r w:rsidRPr="00560EE7">
        <w:t>with the student.</w:t>
      </w:r>
      <w:r>
        <w:t>’</w:t>
      </w:r>
    </w:p>
    <w:p w14:paraId="12926E9E" w14:textId="77777777" w:rsidR="002C0B2A" w:rsidRDefault="002C0B2A" w:rsidP="002C0B2A">
      <w:pPr>
        <w:pStyle w:val="NoSpacing"/>
        <w:ind w:left="720"/>
      </w:pPr>
    </w:p>
    <w:p w14:paraId="16AA578D" w14:textId="77777777" w:rsidR="002C0B2A" w:rsidRDefault="002C0B2A" w:rsidP="002C0B2A">
      <w:pPr>
        <w:pStyle w:val="NoSpacing"/>
        <w:ind w:left="720"/>
      </w:pPr>
      <w:r>
        <w:t>***</w:t>
      </w:r>
    </w:p>
    <w:p w14:paraId="1FED7FE3" w14:textId="77777777" w:rsidR="002C0B2A" w:rsidRDefault="002C0B2A" w:rsidP="002C0B2A">
      <w:pPr>
        <w:pStyle w:val="NoSpacing"/>
        <w:ind w:left="720"/>
      </w:pPr>
      <w:r>
        <w:t xml:space="preserve">In sum, Defendant’s Motion is time-barred. Defendant moved for a new trial over two years after his 14-day deadline under Criminal Rule 33. And he does not </w:t>
      </w:r>
      <w:proofErr w:type="gramStart"/>
      <w:r>
        <w:t>argue—nor could he—</w:t>
      </w:r>
      <w:proofErr w:type="gramEnd"/>
      <w:r>
        <w:t xml:space="preserve">that this inordinate delay was the product of excusable neglect. As a result, Defendant’s Motion for a New Trial, ECF No. 125, will be </w:t>
      </w:r>
      <w:proofErr w:type="gramStart"/>
      <w:r>
        <w:t>denied.”</w:t>
      </w:r>
      <w:proofErr w:type="gramEnd"/>
    </w:p>
    <w:p w14:paraId="754FDBC3" w14:textId="77777777" w:rsidR="002C0B2A" w:rsidRDefault="002C0B2A" w:rsidP="002C0B2A">
      <w:pPr>
        <w:pStyle w:val="NoSpacing"/>
        <w:ind w:left="720"/>
      </w:pPr>
    </w:p>
    <w:p w14:paraId="13AEBFCE" w14:textId="77777777" w:rsidR="002C0B2A" w:rsidRPr="002B074F" w:rsidRDefault="002C0B2A" w:rsidP="002C0B2A">
      <w:pPr>
        <w:pStyle w:val="NoSpacing"/>
        <w:rPr>
          <w:b/>
          <w:bCs/>
        </w:rPr>
      </w:pPr>
      <w:r>
        <w:rPr>
          <w:b/>
        </w:rPr>
        <w:t>Legal lesson learned:  C</w:t>
      </w:r>
      <w:r w:rsidRPr="00EA74B9">
        <w:rPr>
          <w:b/>
        </w:rPr>
        <w:t>hild pornography</w:t>
      </w:r>
      <w:r>
        <w:rPr>
          <w:b/>
        </w:rPr>
        <w:t xml:space="preserve"> is a terrible offense; impersonating an EMT in pursuit of children is particularly offense. </w:t>
      </w:r>
    </w:p>
    <w:p w14:paraId="3200EDF8" w14:textId="77777777" w:rsidR="002C0B2A" w:rsidRDefault="002C0B2A" w:rsidP="002C0B2A">
      <w:pPr>
        <w:rPr>
          <w:b/>
        </w:rPr>
      </w:pPr>
    </w:p>
    <w:p w14:paraId="330B028C" w14:textId="07A80247" w:rsidR="002C0B2A" w:rsidRDefault="00182433" w:rsidP="00004498">
      <w:pPr>
        <w:rPr>
          <w:rFonts w:ascii="Arial Black" w:hAnsi="Arial Black"/>
          <w:b/>
          <w:bCs/>
          <w:sz w:val="24"/>
          <w:szCs w:val="24"/>
        </w:rPr>
      </w:pPr>
      <w:r>
        <w:rPr>
          <w:rFonts w:ascii="Arial Black" w:hAnsi="Arial Black"/>
          <w:b/>
          <w:bCs/>
          <w:sz w:val="24"/>
          <w:szCs w:val="24"/>
        </w:rPr>
        <w:t>13-</w:t>
      </w:r>
      <w:r w:rsidR="00C16AA1">
        <w:rPr>
          <w:rFonts w:ascii="Arial Black" w:hAnsi="Arial Black"/>
          <w:b/>
          <w:bCs/>
          <w:sz w:val="24"/>
          <w:szCs w:val="24"/>
        </w:rPr>
        <w:t>23</w:t>
      </w:r>
      <w:r w:rsidR="00524647">
        <w:rPr>
          <w:rFonts w:ascii="Arial Black" w:hAnsi="Arial Black"/>
          <w:b/>
          <w:bCs/>
          <w:sz w:val="24"/>
          <w:szCs w:val="24"/>
        </w:rPr>
        <w:t>5</w:t>
      </w:r>
    </w:p>
    <w:p w14:paraId="79D99B97" w14:textId="60410BC3" w:rsidR="009F725F" w:rsidRDefault="009F725F" w:rsidP="009F725F">
      <w:pPr>
        <w:rPr>
          <w:rFonts w:ascii="Arial Black" w:hAnsi="Arial Black"/>
          <w:bCs/>
          <w:sz w:val="28"/>
          <w:szCs w:val="28"/>
        </w:rPr>
      </w:pPr>
      <w:r>
        <w:rPr>
          <w:rFonts w:ascii="Arial Black" w:hAnsi="Arial Black"/>
          <w:sz w:val="28"/>
          <w:szCs w:val="28"/>
        </w:rPr>
        <w:t>GA: AGITATED PT – VERSED / PRONE / DIED – QUAL IMMUN</w:t>
      </w:r>
      <w:r w:rsidR="002F4ACE">
        <w:rPr>
          <w:rFonts w:ascii="Arial Black" w:hAnsi="Arial Black"/>
          <w:sz w:val="28"/>
          <w:szCs w:val="28"/>
        </w:rPr>
        <w:t>ITY</w:t>
      </w:r>
    </w:p>
    <w:p w14:paraId="2C32F48E" w14:textId="77777777" w:rsidR="009F725F" w:rsidRPr="003D3384" w:rsidRDefault="009F725F" w:rsidP="009F725F">
      <w:pPr>
        <w:pStyle w:val="NoSpacing"/>
        <w:rPr>
          <w:bCs/>
        </w:rPr>
      </w:pPr>
      <w:r>
        <w:t xml:space="preserve">On December 1, 2025, in </w:t>
      </w:r>
      <w:r w:rsidRPr="004F2FE9">
        <w:rPr>
          <w:u w:val="single"/>
        </w:rPr>
        <w:t>Yvonne M. West, individually and as administrator of the estate of Jamon West v. Dekalb County, Georgia, et al</w:t>
      </w:r>
      <w:r>
        <w:t>., the U.S. Court of Appeals for 11</w:t>
      </w:r>
      <w:r w:rsidRPr="00567FD4">
        <w:rPr>
          <w:vertAlign w:val="superscript"/>
        </w:rPr>
        <w:t>th</w:t>
      </w:r>
      <w:r>
        <w:t xml:space="preserve"> Circuit (Atlanta) held (3 to 0; unpublished opinion) that the trial court judge properly dismissed the lawsuit; no deliberate indifference to the needs of the patient and therefore firefighters have qualified immunity. While the fire department’s policy manual warns that </w:t>
      </w:r>
      <w:r w:rsidRPr="000F2663">
        <w:t>patients with excited delirium “should never be oriented in a prone</w:t>
      </w:r>
      <w:r>
        <w:t xml:space="preserve"> </w:t>
      </w:r>
      <w:r w:rsidRPr="000F2663">
        <w:t xml:space="preserve">position” and should only be restrained with “soft medical restraints” </w:t>
      </w:r>
      <w:r>
        <w:t xml:space="preserve">there was no proof that EMS violated  </w:t>
      </w:r>
      <w:r w:rsidRPr="003D3384">
        <w:t>any clearly established law regarding deliberate indifference to</w:t>
      </w:r>
      <w:r>
        <w:t xml:space="preserve"> </w:t>
      </w:r>
      <w:r w:rsidRPr="003D3384">
        <w:t>medical need</w:t>
      </w:r>
      <w:r>
        <w:t xml:space="preserve">. On August 16, 2019, the patient was at his mother’s home, she called 911 when he </w:t>
      </w:r>
      <w:r w:rsidRPr="000F055C">
        <w:t>suffered “an episode of behavioral crisis,”</w:t>
      </w:r>
      <w:r>
        <w:t xml:space="preserve"> </w:t>
      </w:r>
      <w:r w:rsidRPr="000F055C">
        <w:t>known as “excited delirium</w:t>
      </w:r>
      <w:r>
        <w:t>.</w:t>
      </w:r>
      <w:r w:rsidRPr="000F055C">
        <w:t>”</w:t>
      </w:r>
      <w:r>
        <w:t xml:space="preserve">  Firefighters held him prone in grass, administered Haldol and Versed, and when quieted down, police removed the handcuffs and soft restraints were used.  When moving him to ambulance, he went into cardia arrest, then a coma and died few days later.  </w:t>
      </w:r>
    </w:p>
    <w:p w14:paraId="39DCB970" w14:textId="77777777" w:rsidR="009F725F" w:rsidRDefault="009F725F" w:rsidP="009F725F">
      <w:pPr>
        <w:pStyle w:val="NoSpacing"/>
        <w:rPr>
          <w:bCs/>
        </w:rPr>
      </w:pPr>
      <w:hyperlink r:id="rId2053" w:history="1">
        <w:r w:rsidRPr="00E22D14">
          <w:rPr>
            <w:rStyle w:val="Hyperlink"/>
          </w:rPr>
          <w:t>https://media.ca11.uscourts.gov/opinions/unpub/files/202413197.pdf</w:t>
        </w:r>
      </w:hyperlink>
      <w:r>
        <w:t xml:space="preserve"> </w:t>
      </w:r>
    </w:p>
    <w:p w14:paraId="63C2CCF6" w14:textId="77777777" w:rsidR="009F725F" w:rsidRDefault="009F725F" w:rsidP="009F725F">
      <w:pPr>
        <w:pStyle w:val="NoSpacing"/>
        <w:rPr>
          <w:bCs/>
        </w:rPr>
      </w:pPr>
    </w:p>
    <w:p w14:paraId="433DD9F3" w14:textId="77777777" w:rsidR="009F725F" w:rsidRDefault="009F725F" w:rsidP="009F725F">
      <w:pPr>
        <w:rPr>
          <w:bCs/>
        </w:rPr>
      </w:pPr>
      <w:r>
        <w:t>THE COURT HELD:</w:t>
      </w:r>
    </w:p>
    <w:p w14:paraId="36DF1E4A" w14:textId="77777777" w:rsidR="009F725F" w:rsidRDefault="009F725F" w:rsidP="009F725F">
      <w:pPr>
        <w:pStyle w:val="NoSpacing"/>
        <w:ind w:left="720"/>
      </w:pPr>
      <w:r>
        <w:t>“When Firefighters Winkler and Lakatos initially responded to the call, West appeared ‘highly agitated, hyperactive, confused, and not in control of his behavior.’ Firefighters Winkler and Lakatos restrained West ‘in a prone position, face down on the ground’ with the help of fire department Captain Ditmore and Firefighters Kelly, Van Wie, and Fleming, who arrived shortly after Winkler and Lakatos had started  restraining West. ‘[F]</w:t>
      </w:r>
      <w:proofErr w:type="spellStart"/>
      <w:r>
        <w:t>our</w:t>
      </w:r>
      <w:proofErr w:type="spellEnd"/>
      <w:r>
        <w:t xml:space="preserve"> or five firefighters appl[</w:t>
      </w:r>
      <w:proofErr w:type="spellStart"/>
      <w:r>
        <w:t>ied</w:t>
      </w:r>
      <w:proofErr w:type="spellEnd"/>
      <w:proofErr w:type="gramStart"/>
      <w:r>
        <w:t>] force</w:t>
      </w:r>
      <w:proofErr w:type="gramEnd"/>
      <w:r>
        <w:t xml:space="preserve"> to all four [of West’s] extremities and to his back.’ West’s mother cried for the firefighters to stop because her son couldn’t breathe with his face pressed </w:t>
      </w:r>
      <w:proofErr w:type="gramStart"/>
      <w:r>
        <w:t>in</w:t>
      </w:r>
      <w:proofErr w:type="gramEnd"/>
      <w:r>
        <w:t xml:space="preserve"> the grass. One of the firefighters told West’s mother ‘that she would be arrested if she did not back away.’ Captain Ditmore then ‘took command of the scene,’ directing Firefighter Payne to inject West with a ‘chemical restraint.’ Firefighter Payne gave West the maximum dosage permitted by county policy of two sedatives, Haldol and Versed. </w:t>
      </w:r>
    </w:p>
    <w:p w14:paraId="2899BCA6" w14:textId="77777777" w:rsidR="009F725F" w:rsidRDefault="009F725F" w:rsidP="009F725F">
      <w:pPr>
        <w:pStyle w:val="NoSpacing"/>
        <w:ind w:left="720"/>
      </w:pPr>
    </w:p>
    <w:p w14:paraId="2CE6F5E3" w14:textId="77777777" w:rsidR="009F725F" w:rsidRDefault="009F725F" w:rsidP="009F725F">
      <w:pPr>
        <w:pStyle w:val="NoSpacing"/>
        <w:ind w:left="720"/>
      </w:pPr>
      <w:r>
        <w:t>***</w:t>
      </w:r>
    </w:p>
    <w:p w14:paraId="3373C72E" w14:textId="77777777" w:rsidR="009F725F" w:rsidRDefault="009F725F" w:rsidP="009F725F">
      <w:pPr>
        <w:pStyle w:val="NoSpacing"/>
        <w:ind w:left="720"/>
      </w:pPr>
      <w:r w:rsidRPr="00560F9E">
        <w:t>After the firefighters had given West the sedatives, county</w:t>
      </w:r>
      <w:r>
        <w:t xml:space="preserve"> </w:t>
      </w:r>
      <w:r w:rsidRPr="00560F9E">
        <w:t>police officers arrived. Captain Ditmore asked the police to handcuff West. Police Officers Lattimore and Williams handcuffed</w:t>
      </w:r>
      <w:r>
        <w:t xml:space="preserve"> </w:t>
      </w:r>
      <w:r w:rsidRPr="00560F9E">
        <w:t>West’s hands behind his back with Captain Ditmore’s assistance.</w:t>
      </w:r>
      <w:r>
        <w:t xml:space="preserve"> </w:t>
      </w:r>
      <w:r w:rsidRPr="00560F9E">
        <w:t xml:space="preserve">Captain Ditmore walked away to make a status report </w:t>
      </w:r>
      <w:proofErr w:type="gramStart"/>
      <w:r w:rsidRPr="00560F9E">
        <w:t>by radio</w:t>
      </w:r>
      <w:proofErr w:type="gramEnd"/>
      <w:r w:rsidRPr="00560F9E">
        <w:t>.</w:t>
      </w:r>
      <w:r>
        <w:t xml:space="preserve"> </w:t>
      </w:r>
      <w:r w:rsidRPr="00560F9E">
        <w:t xml:space="preserve">The officers left West </w:t>
      </w:r>
      <w:r>
        <w:t>‘</w:t>
      </w:r>
      <w:r w:rsidRPr="00560F9E">
        <w:t>in a prone position with his hands cuffed</w:t>
      </w:r>
      <w:r>
        <w:t xml:space="preserve"> </w:t>
      </w:r>
      <w:r w:rsidRPr="00560F9E">
        <w:t>behind his back,</w:t>
      </w:r>
      <w:r>
        <w:t>’</w:t>
      </w:r>
      <w:r w:rsidRPr="00560F9E">
        <w:t xml:space="preserve"> and West continued to be restrained </w:t>
      </w:r>
      <w:r>
        <w:t>‘</w:t>
      </w:r>
      <w:r w:rsidRPr="00560F9E">
        <w:t>in this manner long enough for the sedatives to take effect.</w:t>
      </w:r>
      <w:r>
        <w:t>’</w:t>
      </w:r>
      <w:r w:rsidRPr="00560F9E">
        <w:t xml:space="preserve"> After Captain</w:t>
      </w:r>
      <w:r>
        <w:t xml:space="preserve"> Ditmore finished his call and ‘observed that . . . West was calm,’ he ‘ordered the handcuffs removed and replaced with soft restraints.’ As the defendants </w:t>
      </w:r>
      <w:r>
        <w:lastRenderedPageBreak/>
        <w:t xml:space="preserve">began to transport West across his mother’s </w:t>
      </w:r>
      <w:proofErr w:type="gramStart"/>
      <w:r>
        <w:t>yard, ‘</w:t>
      </w:r>
      <w:proofErr w:type="gramEnd"/>
      <w:r>
        <w:t>his respiratory rate dropped and he went into cardiac arrest.’  West was transported to the hospital, fell into a coma, and died a few days later. After performing an autopsy, the county medical examiner concluded that West had ‘died of ‘[d]</w:t>
      </w:r>
      <w:proofErr w:type="spellStart"/>
      <w:r>
        <w:t>elayed</w:t>
      </w:r>
      <w:proofErr w:type="spellEnd"/>
      <w:r>
        <w:t xml:space="preserve"> complications of cardiorespiratory arrest due [to] probable excited delirium and physical restraint,’ describing West’s death as a homicide.</w:t>
      </w:r>
    </w:p>
    <w:p w14:paraId="7BACEEA6" w14:textId="77777777" w:rsidR="009F725F" w:rsidRDefault="009F725F" w:rsidP="009F725F">
      <w:pPr>
        <w:pStyle w:val="NoSpacing"/>
        <w:ind w:left="720"/>
      </w:pPr>
    </w:p>
    <w:p w14:paraId="344C4653" w14:textId="77777777" w:rsidR="009F725F" w:rsidRDefault="009F725F" w:rsidP="009F725F">
      <w:pPr>
        <w:pStyle w:val="NoSpacing"/>
        <w:ind w:left="720"/>
      </w:pPr>
      <w:r>
        <w:t>***</w:t>
      </w:r>
    </w:p>
    <w:p w14:paraId="6D32A6E8" w14:textId="77777777" w:rsidR="009F725F" w:rsidRDefault="009F725F" w:rsidP="009F725F">
      <w:pPr>
        <w:pStyle w:val="NoSpacing"/>
      </w:pPr>
    </w:p>
    <w:p w14:paraId="4B39FA6E" w14:textId="77777777" w:rsidR="009F725F" w:rsidRDefault="009F725F" w:rsidP="009F725F">
      <w:pPr>
        <w:pStyle w:val="NoSpacing"/>
        <w:ind w:left="720"/>
        <w:rPr>
          <w:bCs/>
        </w:rPr>
      </w:pPr>
      <w:r w:rsidRPr="000F2663">
        <w:t>DeKalb County officials</w:t>
      </w:r>
      <w:r>
        <w:t xml:space="preserve"> </w:t>
      </w:r>
      <w:r w:rsidRPr="000F2663">
        <w:t>conducted an internal investigation and determined that the first</w:t>
      </w:r>
      <w:r>
        <w:t xml:space="preserve"> </w:t>
      </w:r>
      <w:r w:rsidRPr="000F2663">
        <w:t>responders involved in West’s death had complied with county policy</w:t>
      </w:r>
      <w:r>
        <w:t>.</w:t>
      </w:r>
    </w:p>
    <w:p w14:paraId="0A493A63" w14:textId="77777777" w:rsidR="009F725F" w:rsidRDefault="009F725F" w:rsidP="009F725F">
      <w:pPr>
        <w:pStyle w:val="NoSpacing"/>
        <w:ind w:left="720"/>
        <w:rPr>
          <w:bCs/>
        </w:rPr>
      </w:pPr>
    </w:p>
    <w:p w14:paraId="36519513" w14:textId="77777777" w:rsidR="009F725F" w:rsidRDefault="009F725F" w:rsidP="009F725F">
      <w:pPr>
        <w:pStyle w:val="NoSpacing"/>
        <w:ind w:left="720"/>
        <w:rPr>
          <w:bCs/>
        </w:rPr>
      </w:pPr>
      <w:r>
        <w:t>***</w:t>
      </w:r>
    </w:p>
    <w:p w14:paraId="72D0BAB6" w14:textId="77777777" w:rsidR="009F725F" w:rsidRDefault="009F725F" w:rsidP="009F725F">
      <w:pPr>
        <w:pStyle w:val="NoSpacing"/>
        <w:ind w:left="720"/>
      </w:pPr>
      <w:r>
        <w:t xml:space="preserve">Turning to the specific practices at issue here, Ms. West does not actually allege that the use of prone restraints or behind-the-back handcuffing on individuals with excited delirium was ‘so obvious” that liability attaches for a single incident. See Weiland v. Palm Beach </w:t>
      </w:r>
      <w:proofErr w:type="spellStart"/>
      <w:r>
        <w:t>Cnty</w:t>
      </w:r>
      <w:proofErr w:type="spellEnd"/>
      <w:r>
        <w:t>. Sheriff’s Off., 792 F.3d 1313, 1329 (11th Cir. 2015) (rejecting failure-to-train claim where the complaint ‘d[id] not allege that the need for specialized training in the constitutional restrictions on the use of force when dealing with mentally ill citizens [</w:t>
      </w:r>
      <w:proofErr w:type="spellStart"/>
      <w:r>
        <w:t>wa</w:t>
      </w:r>
      <w:proofErr w:type="spellEnd"/>
      <w:r>
        <w:t xml:space="preserve">]s ‘so obvious’ that the failure to provide such training amounts to deliberate indifference’). And even if she did, training in the proper use of restraints on individuals with excited delirium ‘falls far short of the kind of ‘obvious’ need for training that would support </w:t>
      </w:r>
      <w:proofErr w:type="gramStart"/>
      <w:r>
        <w:t>a finding</w:t>
      </w:r>
      <w:proofErr w:type="gramEnd"/>
      <w:r>
        <w:t xml:space="preserve"> of deliberate indifference to constitutional rights on the part of the [county].’ Canton, 489 U.S. at 396–97 (O’Connor, J., concurring in part and dissenting in part) (finding no obvious need to train police in diagnosing mental illness)….</w:t>
      </w:r>
    </w:p>
    <w:p w14:paraId="4C97DCE4" w14:textId="77777777" w:rsidR="009F725F" w:rsidRDefault="009F725F" w:rsidP="009F725F">
      <w:pPr>
        <w:pStyle w:val="NoSpacing"/>
        <w:ind w:left="720"/>
      </w:pPr>
    </w:p>
    <w:p w14:paraId="7901EB92" w14:textId="77777777" w:rsidR="009F725F" w:rsidRDefault="009F725F" w:rsidP="009F725F">
      <w:pPr>
        <w:pStyle w:val="NoSpacing"/>
        <w:ind w:left="720"/>
      </w:pPr>
      <w:r>
        <w:t>***</w:t>
      </w:r>
    </w:p>
    <w:p w14:paraId="59B72A96" w14:textId="77777777" w:rsidR="009F725F" w:rsidRDefault="009F725F" w:rsidP="009F725F">
      <w:pPr>
        <w:pStyle w:val="NoSpacing"/>
        <w:ind w:left="720"/>
      </w:pPr>
      <w:r>
        <w:t xml:space="preserve">Because Captain Ditmore and Firefighter Payne did not violate any clearly established law regarding deliberate indifference to medical need, Ms. West cannot overcome their qualified immunity at the dismissal </w:t>
      </w:r>
      <w:proofErr w:type="gramStart"/>
      <w:r>
        <w:t>stage.”</w:t>
      </w:r>
      <w:proofErr w:type="gramEnd"/>
    </w:p>
    <w:p w14:paraId="62E9A1B8" w14:textId="77777777" w:rsidR="009F725F" w:rsidRDefault="009F725F" w:rsidP="009F725F">
      <w:pPr>
        <w:pStyle w:val="NoSpacing"/>
        <w:ind w:left="720"/>
      </w:pPr>
    </w:p>
    <w:p w14:paraId="37EDF8E5" w14:textId="77777777" w:rsidR="009F725F" w:rsidRPr="00F03ED4" w:rsidRDefault="009F725F" w:rsidP="009F725F">
      <w:pPr>
        <w:pStyle w:val="NoSpacing"/>
        <w:rPr>
          <w:b/>
          <w:bCs/>
        </w:rPr>
      </w:pPr>
      <w:r>
        <w:rPr>
          <w:b/>
        </w:rPr>
        <w:t>Legal lesson learned</w:t>
      </w:r>
      <w:r w:rsidRPr="00F03ED4">
        <w:rPr>
          <w:b/>
        </w:rPr>
        <w:t>:  Review your EMS protocols concerning holding combative patient in prone position after administering Haldol and Versed</w:t>
      </w:r>
    </w:p>
    <w:p w14:paraId="3F7235FE" w14:textId="77777777" w:rsidR="009F725F" w:rsidRPr="00F03ED4" w:rsidRDefault="009F725F" w:rsidP="009F725F">
      <w:pPr>
        <w:rPr>
          <w:b/>
          <w:bCs/>
        </w:rPr>
      </w:pPr>
    </w:p>
    <w:p w14:paraId="1BD7EE0F" w14:textId="1AA527A7" w:rsidR="00182433" w:rsidRDefault="009F725F" w:rsidP="00004498">
      <w:pPr>
        <w:rPr>
          <w:rFonts w:ascii="Arial Black" w:hAnsi="Arial Black"/>
          <w:b/>
          <w:bCs/>
          <w:sz w:val="24"/>
          <w:szCs w:val="24"/>
        </w:rPr>
      </w:pPr>
      <w:r>
        <w:rPr>
          <w:rFonts w:ascii="Arial Black" w:hAnsi="Arial Black"/>
          <w:b/>
          <w:bCs/>
          <w:sz w:val="24"/>
          <w:szCs w:val="24"/>
        </w:rPr>
        <w:t>13-</w:t>
      </w:r>
      <w:r w:rsidR="00C16AA1">
        <w:rPr>
          <w:rFonts w:ascii="Arial Black" w:hAnsi="Arial Black"/>
          <w:b/>
          <w:bCs/>
          <w:sz w:val="24"/>
          <w:szCs w:val="24"/>
        </w:rPr>
        <w:t>23</w:t>
      </w:r>
      <w:r w:rsidR="00524647">
        <w:rPr>
          <w:rFonts w:ascii="Arial Black" w:hAnsi="Arial Black"/>
          <w:b/>
          <w:bCs/>
          <w:sz w:val="24"/>
          <w:szCs w:val="24"/>
        </w:rPr>
        <w:t>4</w:t>
      </w:r>
    </w:p>
    <w:p w14:paraId="509B8F2A" w14:textId="66F291E9" w:rsidR="00C16AA1" w:rsidRPr="00C83248" w:rsidRDefault="00C16AA1" w:rsidP="00C16AA1">
      <w:pPr>
        <w:rPr>
          <w:rFonts w:ascii="Arial Black" w:hAnsi="Arial Black"/>
          <w:b/>
          <w:sz w:val="28"/>
          <w:szCs w:val="28"/>
        </w:rPr>
      </w:pPr>
      <w:r>
        <w:rPr>
          <w:rFonts w:ascii="Arial Black" w:hAnsi="Arial Black"/>
          <w:b/>
          <w:sz w:val="28"/>
          <w:szCs w:val="28"/>
        </w:rPr>
        <w:t xml:space="preserve">IL: </w:t>
      </w:r>
      <w:r>
        <w:rPr>
          <w:b/>
        </w:rPr>
        <w:t xml:space="preserve"> </w:t>
      </w:r>
      <w:r>
        <w:rPr>
          <w:rFonts w:ascii="Arial Black" w:hAnsi="Arial Black"/>
          <w:b/>
          <w:sz w:val="28"/>
          <w:szCs w:val="28"/>
        </w:rPr>
        <w:t>330 LB PATIENT – GURNEY F</w:t>
      </w:r>
      <w:r w:rsidR="00F92E13">
        <w:rPr>
          <w:rFonts w:ascii="Arial Black" w:hAnsi="Arial Black"/>
          <w:b/>
          <w:sz w:val="28"/>
          <w:szCs w:val="28"/>
        </w:rPr>
        <w:t>E</w:t>
      </w:r>
      <w:r>
        <w:rPr>
          <w:rFonts w:ascii="Arial Black" w:hAnsi="Arial Black"/>
          <w:b/>
          <w:sz w:val="28"/>
          <w:szCs w:val="28"/>
        </w:rPr>
        <w:t>LL</w:t>
      </w:r>
      <w:r w:rsidR="00F92E13">
        <w:rPr>
          <w:rFonts w:ascii="Arial Black" w:hAnsi="Arial Black"/>
          <w:b/>
          <w:sz w:val="28"/>
          <w:szCs w:val="28"/>
        </w:rPr>
        <w:t xml:space="preserve"> OVER</w:t>
      </w:r>
      <w:r>
        <w:rPr>
          <w:rFonts w:ascii="Arial Black" w:hAnsi="Arial Black"/>
          <w:b/>
          <w:sz w:val="28"/>
          <w:szCs w:val="28"/>
        </w:rPr>
        <w:t xml:space="preserve"> – QUAL. IMMUNITY </w:t>
      </w:r>
    </w:p>
    <w:p w14:paraId="7AD01D1D" w14:textId="1D70EA98" w:rsidR="00C16AA1" w:rsidRDefault="00C16AA1" w:rsidP="00C16AA1">
      <w:pPr>
        <w:rPr>
          <w:bCs/>
        </w:rPr>
      </w:pPr>
      <w:r>
        <w:t xml:space="preserve">On November 26, 2025, in </w:t>
      </w:r>
      <w:r w:rsidRPr="00A6056A">
        <w:rPr>
          <w:u w:val="single"/>
        </w:rPr>
        <w:t>Nancy Gabriel, Administrator of the Estate of James Gabriel v. Alton Memorial Hospital, et al</w:t>
      </w:r>
      <w:r>
        <w:t xml:space="preserve">., the </w:t>
      </w:r>
      <w:r w:rsidRPr="00A6056A">
        <w:t>Court of Appeals of Illinois, Fifth District</w:t>
      </w:r>
      <w:r>
        <w:t xml:space="preserve"> held (3 to 0) that the trial court properly granted summary judgment to the defendants; there was no evidence of willful and wanton misconduct by EMS.  On </w:t>
      </w:r>
      <w:r w:rsidRPr="007611BD">
        <w:t>February 2, 2019,</w:t>
      </w:r>
      <w:r>
        <w:t xml:space="preserve"> after</w:t>
      </w:r>
      <w:r w:rsidRPr="007611BD">
        <w:t xml:space="preserve"> ambulance transport from </w:t>
      </w:r>
      <w:r>
        <w:t xml:space="preserve">the </w:t>
      </w:r>
      <w:r w:rsidRPr="007611BD">
        <w:t>hospital to a</w:t>
      </w:r>
      <w:r>
        <w:t xml:space="preserve"> </w:t>
      </w:r>
      <w:r w:rsidRPr="007611BD">
        <w:t xml:space="preserve">nursing home, </w:t>
      </w:r>
      <w:r>
        <w:t xml:space="preserve">the EMS lost control of the gurney and the strapped patient fell on his </w:t>
      </w:r>
      <w:proofErr w:type="gramStart"/>
      <w:r>
        <w:t>head, and</w:t>
      </w:r>
      <w:proofErr w:type="gramEnd"/>
      <w:r>
        <w:t xml:space="preserve"> died March 23, 2019.  </w:t>
      </w:r>
      <w:hyperlink r:id="rId2054" w:history="1">
        <w:r w:rsidRPr="00347812">
          <w:rPr>
            <w:rStyle w:val="Hyperlink"/>
          </w:rPr>
          <w:t>https://cases.justia.com/illinois/court-of-appeals-fifth-appellate-district/2025-5-24-0729-0.pdf?ts=1764692248</w:t>
        </w:r>
      </w:hyperlink>
      <w:r>
        <w:t xml:space="preserve"> </w:t>
      </w:r>
    </w:p>
    <w:p w14:paraId="1CF9E017" w14:textId="77777777" w:rsidR="00C16AA1" w:rsidRDefault="00C16AA1" w:rsidP="00C16AA1">
      <w:pPr>
        <w:rPr>
          <w:bCs/>
        </w:rPr>
      </w:pPr>
      <w:r>
        <w:t>THE COURT HELD:</w:t>
      </w:r>
    </w:p>
    <w:p w14:paraId="3916A441" w14:textId="77777777" w:rsidR="00C16AA1" w:rsidRDefault="00C16AA1" w:rsidP="00C16AA1">
      <w:pPr>
        <w:pStyle w:val="NoSpacing"/>
        <w:ind w:left="720"/>
      </w:pPr>
      <w:r>
        <w:t>“</w:t>
      </w:r>
      <w:r w:rsidRPr="007B1F2E">
        <w:t>The sidewalk leading to the ambulance entrance of the nursing facility had a right-hand turn. As Brooks and Bell approached the turn, they slowed down. As they began the turn, Bell saw that</w:t>
      </w:r>
      <w:r>
        <w:t xml:space="preserve"> </w:t>
      </w:r>
      <w:proofErr w:type="gramStart"/>
      <w:r w:rsidRPr="007B1F2E">
        <w:t>The</w:t>
      </w:r>
      <w:proofErr w:type="gramEnd"/>
      <w:r w:rsidRPr="007B1F2E">
        <w:t xml:space="preserve"> sidewalk leading to the ambulance entrance of the nursing facility had a Bell saw that James had shifted his body, which tilted the gurney to the left. Bell attempted to balance the gurney and called out to Brooks for assistance. In Bell's deposition, he testified that James was </w:t>
      </w:r>
      <w:r>
        <w:t>‘</w:t>
      </w:r>
      <w:r w:rsidRPr="007B1F2E">
        <w:t>such a heavy guy, I can't do it by myself.</w:t>
      </w:r>
    </w:p>
    <w:p w14:paraId="34A8198C" w14:textId="77777777" w:rsidR="00C16AA1" w:rsidRDefault="00C16AA1" w:rsidP="00C16AA1">
      <w:pPr>
        <w:pStyle w:val="NoSpacing"/>
        <w:ind w:left="720"/>
      </w:pPr>
      <w:r>
        <w:t xml:space="preserve"> </w:t>
      </w:r>
      <w:r w:rsidRPr="007B1F2E">
        <w:t>Brooks started to turn around, and "felt the [gurney's]bar twist in [his] hand.</w:t>
      </w:r>
      <w:r>
        <w:t>’</w:t>
      </w:r>
      <w:r w:rsidRPr="007B1F2E">
        <w:t xml:space="preserve"> Brooks and Bell held onto the bars in a futile attempt to prevent th</w:t>
      </w:r>
      <w:r>
        <w:t>e fall.</w:t>
      </w:r>
    </w:p>
    <w:p w14:paraId="2FE8D1B9" w14:textId="77777777" w:rsidR="00C16AA1" w:rsidRDefault="00C16AA1" w:rsidP="00C16AA1">
      <w:pPr>
        <w:pStyle w:val="NoSpacing"/>
      </w:pPr>
    </w:p>
    <w:p w14:paraId="11C27316" w14:textId="77777777" w:rsidR="00C16AA1" w:rsidRDefault="00C16AA1" w:rsidP="00C16AA1">
      <w:pPr>
        <w:pStyle w:val="NoSpacing"/>
        <w:ind w:left="720"/>
      </w:pPr>
      <w:r w:rsidRPr="00671BAC">
        <w:lastRenderedPageBreak/>
        <w:t>James fell face down onto the ground but avoided striking the concrete. He remained strapped into the gurney, and with effort, Brooks and Bell were slowly able to get the gurney back into an upright position. Following his fall, the nursing facility refused to accept James, and Brooks and Bell transported him back to St. Anthony's Hospital. James sustained a laceration above his left eye from the fall.</w:t>
      </w:r>
    </w:p>
    <w:p w14:paraId="6BC5D467" w14:textId="77777777" w:rsidR="00C16AA1" w:rsidRDefault="00C16AA1" w:rsidP="00C16AA1">
      <w:pPr>
        <w:pStyle w:val="NoSpacing"/>
        <w:ind w:left="720"/>
      </w:pPr>
    </w:p>
    <w:p w14:paraId="1F726337" w14:textId="77777777" w:rsidR="00C16AA1" w:rsidRDefault="00C16AA1" w:rsidP="00C16AA1">
      <w:pPr>
        <w:pStyle w:val="NoSpacing"/>
        <w:ind w:left="720"/>
      </w:pPr>
      <w:r>
        <w:t>***</w:t>
      </w:r>
    </w:p>
    <w:p w14:paraId="0254E8C3" w14:textId="77777777" w:rsidR="00C16AA1" w:rsidRDefault="00C16AA1" w:rsidP="00C16AA1">
      <w:pPr>
        <w:pStyle w:val="NoSpacing"/>
        <w:ind w:left="720"/>
      </w:pPr>
      <w:r>
        <w:t>Alton Memorial can only be held liable for damages in this case pursuant to section</w:t>
      </w:r>
    </w:p>
    <w:p w14:paraId="0E7221A9" w14:textId="77777777" w:rsidR="00C16AA1" w:rsidRDefault="00C16AA1" w:rsidP="00C16AA1">
      <w:pPr>
        <w:pStyle w:val="NoSpacing"/>
        <w:ind w:left="720"/>
      </w:pPr>
      <w:r>
        <w:t>3.150(a) of the EMS Systems Act, which provides: ‘Any person, agency or governmental body certified, licensed or authorized pursuant to this Act … who in good faith provides emergency or non-emergency medical services …in the normal course of conducting their duties …shall not be civilly liable as a result of their acts or omissions in providing such services unless such acts or omissions … constitute willful and wanton misconduct.” 210 ILCS 50/3.150(a).</w:t>
      </w:r>
    </w:p>
    <w:p w14:paraId="4B82194D" w14:textId="77777777" w:rsidR="00C16AA1" w:rsidRDefault="00C16AA1" w:rsidP="00C16AA1">
      <w:pPr>
        <w:pStyle w:val="NoSpacing"/>
        <w:ind w:left="720"/>
      </w:pPr>
    </w:p>
    <w:p w14:paraId="591185B3" w14:textId="77777777" w:rsidR="00C16AA1" w:rsidRDefault="00C16AA1" w:rsidP="00C16AA1">
      <w:pPr>
        <w:pStyle w:val="NoSpacing"/>
        <w:ind w:left="720"/>
      </w:pPr>
      <w:r>
        <w:t>***</w:t>
      </w:r>
    </w:p>
    <w:p w14:paraId="1042FEFE" w14:textId="77777777" w:rsidR="00C16AA1" w:rsidRDefault="00C16AA1" w:rsidP="00C16AA1">
      <w:pPr>
        <w:pStyle w:val="NoSpacing"/>
        <w:ind w:left="720"/>
      </w:pPr>
      <w:r>
        <w:t>We find that summary judgment was appropriate where the pleadings, depositions and any admissions and/or affidavits on file, when viewed in the light most favorable to Nancy, established that there was no genuine issue of material fact to support an allegation of willful and wanton misconduct on behalf of Alton Memorial’s ambulance crew.”</w:t>
      </w:r>
    </w:p>
    <w:p w14:paraId="753D1D61" w14:textId="77777777" w:rsidR="00C16AA1" w:rsidRDefault="00C16AA1" w:rsidP="00C16AA1">
      <w:pPr>
        <w:rPr>
          <w:b/>
        </w:rPr>
      </w:pPr>
    </w:p>
    <w:p w14:paraId="449CFA8A" w14:textId="44AACF47" w:rsidR="00C16AA1" w:rsidRPr="00F5657D" w:rsidRDefault="00C16AA1" w:rsidP="00C16AA1">
      <w:pPr>
        <w:rPr>
          <w:b/>
        </w:rPr>
      </w:pPr>
      <w:r>
        <w:rPr>
          <w:b/>
        </w:rPr>
        <w:t xml:space="preserve">Legal lesson learned: Moving a </w:t>
      </w:r>
      <w:r w:rsidR="003271B2">
        <w:rPr>
          <w:b/>
        </w:rPr>
        <w:t>330-pound</w:t>
      </w:r>
      <w:r>
        <w:rPr>
          <w:b/>
        </w:rPr>
        <w:t xml:space="preserve"> patient </w:t>
      </w:r>
      <w:r w:rsidR="004348E5">
        <w:rPr>
          <w:b/>
        </w:rPr>
        <w:t xml:space="preserve">can be </w:t>
      </w:r>
      <w:r>
        <w:rPr>
          <w:b/>
        </w:rPr>
        <w:t xml:space="preserve">particularly challenging; no liability for negligent conduct that is not deemed willful and wanton misconduct. </w:t>
      </w:r>
    </w:p>
    <w:p w14:paraId="5E2C55A3" w14:textId="77777777" w:rsidR="009F546C" w:rsidRDefault="009F546C" w:rsidP="00004498">
      <w:pPr>
        <w:rPr>
          <w:rFonts w:ascii="Arial Black" w:hAnsi="Arial Black"/>
          <w:b/>
          <w:bCs/>
          <w:sz w:val="24"/>
          <w:szCs w:val="24"/>
        </w:rPr>
      </w:pPr>
    </w:p>
    <w:p w14:paraId="1803C3A1" w14:textId="77777777" w:rsidR="009F546C" w:rsidRDefault="009F546C" w:rsidP="00004498">
      <w:pPr>
        <w:rPr>
          <w:rFonts w:ascii="Arial Black" w:hAnsi="Arial Black"/>
          <w:b/>
          <w:bCs/>
          <w:sz w:val="24"/>
          <w:szCs w:val="24"/>
        </w:rPr>
      </w:pPr>
    </w:p>
    <w:p w14:paraId="256049CE" w14:textId="1300CE9C" w:rsidR="00C6504D" w:rsidRDefault="00C6504D" w:rsidP="00004498">
      <w:pPr>
        <w:rPr>
          <w:rFonts w:ascii="Arial Black" w:hAnsi="Arial Black"/>
          <w:b/>
          <w:bCs/>
          <w:sz w:val="24"/>
          <w:szCs w:val="24"/>
        </w:rPr>
      </w:pPr>
      <w:r>
        <w:rPr>
          <w:rFonts w:ascii="Arial Black" w:hAnsi="Arial Black"/>
          <w:b/>
          <w:bCs/>
          <w:sz w:val="24"/>
          <w:szCs w:val="24"/>
        </w:rPr>
        <w:t>13-23</w:t>
      </w:r>
      <w:r w:rsidR="00524647">
        <w:rPr>
          <w:rFonts w:ascii="Arial Black" w:hAnsi="Arial Black"/>
          <w:b/>
          <w:bCs/>
          <w:sz w:val="24"/>
          <w:szCs w:val="24"/>
        </w:rPr>
        <w:t>3</w:t>
      </w:r>
    </w:p>
    <w:p w14:paraId="73336DA4" w14:textId="77777777" w:rsidR="00C6504D" w:rsidRPr="00864A31" w:rsidRDefault="00C6504D" w:rsidP="00C6504D">
      <w:pPr>
        <w:pStyle w:val="NoSpacing"/>
        <w:rPr>
          <w:rFonts w:ascii="Arial Black" w:hAnsi="Arial Black"/>
          <w:sz w:val="28"/>
          <w:szCs w:val="28"/>
        </w:rPr>
      </w:pPr>
      <w:r>
        <w:rPr>
          <w:rFonts w:ascii="Arial Black" w:hAnsi="Arial Black"/>
          <w:sz w:val="28"/>
          <w:szCs w:val="28"/>
        </w:rPr>
        <w:t>CA: HANCUFFED PRONE PT – VERSED / DIED – LIAB CAP</w:t>
      </w:r>
    </w:p>
    <w:p w14:paraId="170233E7" w14:textId="77777777" w:rsidR="00C6504D" w:rsidRDefault="00C6504D" w:rsidP="00C6504D">
      <w:pPr>
        <w:pStyle w:val="NoSpacing"/>
      </w:pPr>
    </w:p>
    <w:p w14:paraId="4A8DDA31" w14:textId="0EEC163B" w:rsidR="00C6504D" w:rsidRDefault="00C6504D" w:rsidP="00C6504D">
      <w:pPr>
        <w:pStyle w:val="NoSpacing"/>
      </w:pPr>
      <w:r>
        <w:t xml:space="preserve">On November 25, 2025, in </w:t>
      </w:r>
      <w:r w:rsidRPr="00266691">
        <w:rPr>
          <w:u w:val="single"/>
        </w:rPr>
        <w:t>Ivan Gutzalenko, et al. v. City of Richmond, et al</w:t>
      </w:r>
      <w:r>
        <w:t xml:space="preserve">., U.S. District Court Judge Edward M. Chen, United States District Court for Northern District of California, held that the $500,000 caps on medical negligence claims under California state law applies to this medical negligence claim.  A paramedic injected the handcuffed prone patient with </w:t>
      </w:r>
      <w:proofErr w:type="gramStart"/>
      <w:r w:rsidR="002B5A76">
        <w:t>v</w:t>
      </w:r>
      <w:r>
        <w:t>ersed, and</w:t>
      </w:r>
      <w:proofErr w:type="gramEnd"/>
      <w:r>
        <w:t xml:space="preserve"> allegedly </w:t>
      </w:r>
      <w:r w:rsidRPr="002204F5">
        <w:t xml:space="preserve">did not “aspirate” the syringe when he administered the </w:t>
      </w:r>
      <w:r w:rsidR="002B5A76">
        <w:t>v</w:t>
      </w:r>
      <w:r w:rsidRPr="002204F5">
        <w:t xml:space="preserve">ersed to ensure it was not in the vein. </w:t>
      </w:r>
      <w:r>
        <w:t xml:space="preserve"> The Court rejected plaintiff’s attempt to recover more than the medical negligence caps by claiming “assault” and “battery.” THE COURT WROTE: “Although intentional torts are generally not subject to the section 3333.2 cap on noneconomic damages, see Perry, 88 Cal. App. 4th at 662, the gravamen of Plaintiffs’ assault and battery claim is essentially a claim of medical negligence such that MICRA applies….  Further, the MICRA cap on noneconomic damages does not apply to settlement awards. Finally, if Plaintiffs establish wrongful death and survival claims that include noneconomic damages, they are entitled to separate MICRA noneconomic damages caps for the wrongful death and survival claims.” </w:t>
      </w:r>
      <w:hyperlink r:id="rId2055" w:history="1">
        <w:r w:rsidRPr="0075505A">
          <w:rPr>
            <w:rStyle w:val="Hyperlink"/>
          </w:rPr>
          <w:t>https://cases.justia.com/federal/district-courts/california/candce/3:2022cv02130/394009/131/0.pdf</w:t>
        </w:r>
      </w:hyperlink>
      <w:r>
        <w:t xml:space="preserve"> </w:t>
      </w:r>
    </w:p>
    <w:p w14:paraId="3EF86943" w14:textId="77777777" w:rsidR="00C6504D" w:rsidRDefault="00C6504D" w:rsidP="00C6504D">
      <w:pPr>
        <w:pStyle w:val="NoSpacing"/>
      </w:pPr>
    </w:p>
    <w:p w14:paraId="5AEAF28D" w14:textId="77777777" w:rsidR="00C6504D" w:rsidRDefault="00C6504D" w:rsidP="00C6504D">
      <w:pPr>
        <w:pStyle w:val="NoSpacing"/>
      </w:pPr>
      <w:r>
        <w:t>THE COURT HELD:</w:t>
      </w:r>
    </w:p>
    <w:p w14:paraId="0267E271" w14:textId="77777777" w:rsidR="00C6504D" w:rsidRDefault="00C6504D" w:rsidP="00C6504D">
      <w:pPr>
        <w:pStyle w:val="NoSpacing"/>
      </w:pPr>
    </w:p>
    <w:p w14:paraId="6666CD02" w14:textId="77777777" w:rsidR="00C6504D" w:rsidRDefault="00C6504D" w:rsidP="00C6504D">
      <w:pPr>
        <w:pStyle w:val="NoSpacing"/>
        <w:ind w:left="720"/>
      </w:pPr>
      <w:r>
        <w:t xml:space="preserve">“On March 10, 2021, a Richmond police officer responded to a call for service about a man causing a disturbance in a furniture store on San Pablo Avenue in Richmond, California….  When the police officer arrived at the scene, he encountered Mr. Gutzalenko, the decedent. Id. Mr. </w:t>
      </w:r>
      <w:proofErr w:type="spellStart"/>
      <w:r>
        <w:t>Gutzalenko</w:t>
      </w:r>
      <w:proofErr w:type="spellEnd"/>
      <w:r>
        <w:t xml:space="preserve"> needed medical aid and was  ‘possibly intoxicated or experiencing a medical emergency.’ … Specifically, Mr. </w:t>
      </w:r>
      <w:proofErr w:type="spellStart"/>
      <w:r>
        <w:t>Gutzalenko</w:t>
      </w:r>
      <w:proofErr w:type="spellEnd"/>
    </w:p>
    <w:p w14:paraId="10D3BC45" w14:textId="77777777" w:rsidR="00C6504D" w:rsidRDefault="00C6504D" w:rsidP="00C6504D">
      <w:pPr>
        <w:pStyle w:val="NoSpacing"/>
        <w:ind w:left="720"/>
      </w:pPr>
      <w:r>
        <w:t xml:space="preserve">had a dark purple mark on his forehead, was bleeding profusely from one of his hands, and had difficulty focusing on and communicating with the police officer…. Mr. </w:t>
      </w:r>
      <w:proofErr w:type="spellStart"/>
      <w:r>
        <w:t>Gutzalenko</w:t>
      </w:r>
      <w:proofErr w:type="spellEnd"/>
      <w:r>
        <w:t xml:space="preserve"> was also having a hard time breathing. </w:t>
      </w:r>
    </w:p>
    <w:p w14:paraId="25EA54D2" w14:textId="77777777" w:rsidR="00C6504D" w:rsidRDefault="00C6504D" w:rsidP="00C6504D">
      <w:pPr>
        <w:pStyle w:val="NoSpacing"/>
        <w:ind w:left="720"/>
      </w:pPr>
    </w:p>
    <w:p w14:paraId="29C4C725" w14:textId="77777777" w:rsidR="00C6504D" w:rsidRDefault="00C6504D" w:rsidP="00C6504D">
      <w:pPr>
        <w:pStyle w:val="NoSpacing"/>
        <w:ind w:left="720"/>
      </w:pPr>
      <w:r>
        <w:lastRenderedPageBreak/>
        <w:t>***</w:t>
      </w:r>
    </w:p>
    <w:p w14:paraId="7D189B86" w14:textId="77777777" w:rsidR="00C6504D" w:rsidRDefault="00C6504D" w:rsidP="00C6504D">
      <w:pPr>
        <w:pStyle w:val="NoSpacing"/>
        <w:ind w:left="720"/>
      </w:pPr>
    </w:p>
    <w:p w14:paraId="34134FA7" w14:textId="77777777" w:rsidR="00C6504D" w:rsidRDefault="00C6504D" w:rsidP="00C6504D">
      <w:pPr>
        <w:pStyle w:val="NoSpacing"/>
        <w:ind w:left="720"/>
      </w:pPr>
      <w:r w:rsidRPr="002204F5">
        <w:t xml:space="preserve">Medical Defendants, AMR West and the paramedic Mr. Richardson, arrived in an ambulance and attempted to bandage Mr. </w:t>
      </w:r>
      <w:proofErr w:type="spellStart"/>
      <w:r w:rsidRPr="002204F5">
        <w:t>Gutzalenko's</w:t>
      </w:r>
      <w:proofErr w:type="spellEnd"/>
      <w:r w:rsidRPr="002204F5">
        <w:t xml:space="preserve"> hands</w:t>
      </w:r>
      <w:r>
        <w:t xml:space="preserve">…. </w:t>
      </w:r>
      <w:r w:rsidRPr="002204F5">
        <w:t xml:space="preserve">Mr. </w:t>
      </w:r>
      <w:proofErr w:type="spellStart"/>
      <w:r w:rsidRPr="002204F5">
        <w:t>Gutzalenko</w:t>
      </w:r>
      <w:proofErr w:type="spellEnd"/>
      <w:r w:rsidRPr="002204F5">
        <w:t xml:space="preserve"> became agitated and tried to keep his hands away</w:t>
      </w:r>
      <w:r>
        <w:t xml:space="preserve">…. </w:t>
      </w:r>
      <w:r w:rsidRPr="002204F5">
        <w:t xml:space="preserve">After Mr. </w:t>
      </w:r>
      <w:proofErr w:type="spellStart"/>
      <w:r w:rsidRPr="002204F5">
        <w:t>Gutzalenko</w:t>
      </w:r>
      <w:proofErr w:type="spellEnd"/>
      <w:r w:rsidRPr="002204F5">
        <w:t xml:space="preserve"> began to resist, the police officers attempted to handcuff him</w:t>
      </w:r>
      <w:r>
        <w:t xml:space="preserve">…. </w:t>
      </w:r>
      <w:r w:rsidRPr="002204F5">
        <w:t xml:space="preserve">During this struggle, Plaintiffs allege that Officer Tran applied his knee to Mr. </w:t>
      </w:r>
      <w:proofErr w:type="spellStart"/>
      <w:r w:rsidRPr="002204F5">
        <w:t>Gutzalenko's</w:t>
      </w:r>
      <w:proofErr w:type="spellEnd"/>
      <w:r w:rsidRPr="002204F5">
        <w:t xml:space="preserve"> back while he was in a prone position</w:t>
      </w:r>
      <w:r>
        <w:t xml:space="preserve">…. </w:t>
      </w:r>
      <w:r w:rsidRPr="002204F5">
        <w:t>By the time the handcuffs were placed on Mr. Gutzalenko, Plaintiffs claim that he had become non-responsive and no longer resistive. </w:t>
      </w:r>
    </w:p>
    <w:p w14:paraId="63E389C4" w14:textId="77777777" w:rsidR="00C6504D" w:rsidRDefault="00C6504D" w:rsidP="00C6504D">
      <w:pPr>
        <w:pStyle w:val="NoSpacing"/>
        <w:ind w:left="720"/>
      </w:pPr>
    </w:p>
    <w:p w14:paraId="2B2904B6" w14:textId="77777777" w:rsidR="00C6504D" w:rsidRDefault="00C6504D" w:rsidP="00C6504D">
      <w:pPr>
        <w:pStyle w:val="NoSpacing"/>
        <w:ind w:left="720"/>
      </w:pPr>
      <w:r w:rsidRPr="002204F5">
        <w:t xml:space="preserve">After Mr. </w:t>
      </w:r>
      <w:proofErr w:type="spellStart"/>
      <w:r w:rsidRPr="002204F5">
        <w:t>Gutzalenko</w:t>
      </w:r>
      <w:proofErr w:type="spellEnd"/>
      <w:r w:rsidRPr="002204F5">
        <w:t xml:space="preserve"> was handcuffed on the ground, Defendant Mr. Richardson injected Mr. </w:t>
      </w:r>
      <w:proofErr w:type="spellStart"/>
      <w:r w:rsidRPr="002204F5">
        <w:t>Gutzalenko</w:t>
      </w:r>
      <w:proofErr w:type="spellEnd"/>
      <w:r w:rsidRPr="002204F5">
        <w:t xml:space="preserve"> with Versed, a chemical restraint</w:t>
      </w:r>
      <w:r>
        <w:t xml:space="preserve">…. </w:t>
      </w:r>
      <w:r w:rsidRPr="002204F5">
        <w:t xml:space="preserve">At this juncture, there is no dispute that Mr. Richardson administered the chemical restraint for safety reasons, rather than to restrain Mr. </w:t>
      </w:r>
      <w:proofErr w:type="spellStart"/>
      <w:r w:rsidRPr="002204F5">
        <w:t>Gutzalenko</w:t>
      </w:r>
      <w:proofErr w:type="spellEnd"/>
      <w:r w:rsidRPr="002204F5">
        <w:t xml:space="preserve"> in a law enforcement capacity; he injected Mr. </w:t>
      </w:r>
      <w:proofErr w:type="spellStart"/>
      <w:r w:rsidRPr="002204F5">
        <w:t>Gutzalenko</w:t>
      </w:r>
      <w:proofErr w:type="spellEnd"/>
      <w:r w:rsidRPr="002204F5">
        <w:t xml:space="preserve"> to protect himself and others in the ambulance during transport of Mr. </w:t>
      </w:r>
      <w:proofErr w:type="spellStart"/>
      <w:r w:rsidRPr="002204F5">
        <w:t>Gutzalenko</w:t>
      </w:r>
      <w:proofErr w:type="spellEnd"/>
      <w:r w:rsidRPr="002204F5">
        <w:t xml:space="preserve"> to the hospital</w:t>
      </w:r>
      <w:r>
        <w:t xml:space="preserve">…. </w:t>
      </w:r>
    </w:p>
    <w:p w14:paraId="5FA69228" w14:textId="77777777" w:rsidR="00C6504D" w:rsidRDefault="00C6504D" w:rsidP="00C6504D">
      <w:pPr>
        <w:pStyle w:val="NoSpacing"/>
        <w:ind w:left="720"/>
      </w:pPr>
    </w:p>
    <w:p w14:paraId="1441F2C8" w14:textId="77777777" w:rsidR="00C6504D" w:rsidRDefault="00C6504D" w:rsidP="00C6504D">
      <w:pPr>
        <w:pStyle w:val="NoSpacing"/>
        <w:ind w:left="720"/>
      </w:pPr>
      <w:r w:rsidRPr="002204F5">
        <w:t xml:space="preserve">Plaintiffs claim that Mr. Richardson did not </w:t>
      </w:r>
      <w:r>
        <w:t>‘</w:t>
      </w:r>
      <w:r w:rsidRPr="002204F5">
        <w:t>aspirate</w:t>
      </w:r>
      <w:r>
        <w:t xml:space="preserve">’ </w:t>
      </w:r>
      <w:r w:rsidRPr="002204F5">
        <w:t>the syringe when he administered the Versed to ensure it was not in the vein</w:t>
      </w:r>
      <w:r>
        <w:t xml:space="preserve">…. </w:t>
      </w:r>
      <w:r w:rsidRPr="002204F5">
        <w:t xml:space="preserve">Plaintiffs allege that Mr. </w:t>
      </w:r>
      <w:proofErr w:type="spellStart"/>
      <w:r w:rsidRPr="002204F5">
        <w:t>Gutzalenko</w:t>
      </w:r>
      <w:proofErr w:type="spellEnd"/>
      <w:r w:rsidRPr="002204F5">
        <w:t xml:space="preserve"> stopped breathing within 90 seconds of the Versed administration</w:t>
      </w:r>
      <w:r>
        <w:t xml:space="preserve">… </w:t>
      </w:r>
      <w:r w:rsidRPr="002204F5">
        <w:t xml:space="preserve">Mr. </w:t>
      </w:r>
      <w:proofErr w:type="spellStart"/>
      <w:r w:rsidRPr="002204F5">
        <w:t>Gutzalenko</w:t>
      </w:r>
      <w:proofErr w:type="spellEnd"/>
      <w:r w:rsidRPr="002204F5">
        <w:t xml:space="preserve"> was pronounced dead after he was taken to Summit Hospital in Oakland</w:t>
      </w:r>
      <w:r>
        <w:t xml:space="preserve">…. </w:t>
      </w:r>
      <w:r w:rsidRPr="002204F5">
        <w:t xml:space="preserve"> An autopsy determined the cause of death was prone restraint asphyxia and cardiac arrest while under the influence of methamphetamine.</w:t>
      </w:r>
      <w:r>
        <w:t>”</w:t>
      </w:r>
    </w:p>
    <w:p w14:paraId="410BABDD" w14:textId="77777777" w:rsidR="00C6504D" w:rsidRDefault="00C6504D" w:rsidP="00C6504D">
      <w:pPr>
        <w:pStyle w:val="NoSpacing"/>
        <w:ind w:left="720"/>
      </w:pPr>
    </w:p>
    <w:p w14:paraId="77CD0284" w14:textId="16649AAD" w:rsidR="00C6504D" w:rsidRPr="004622D5" w:rsidRDefault="00C6504D" w:rsidP="00C6504D">
      <w:pPr>
        <w:pStyle w:val="NoSpacing"/>
        <w:rPr>
          <w:b/>
          <w:bCs/>
        </w:rPr>
      </w:pPr>
      <w:r>
        <w:rPr>
          <w:b/>
        </w:rPr>
        <w:t xml:space="preserve">Legal lesson learned: Follow your protocol on administering </w:t>
      </w:r>
      <w:r w:rsidR="002B5A76">
        <w:rPr>
          <w:b/>
        </w:rPr>
        <w:t>v</w:t>
      </w:r>
      <w:r>
        <w:rPr>
          <w:b/>
        </w:rPr>
        <w:t xml:space="preserve">ersed to a handcuffed prone patient. </w:t>
      </w:r>
    </w:p>
    <w:p w14:paraId="0EE67BDD" w14:textId="77777777" w:rsidR="00C6504D" w:rsidRDefault="00C6504D" w:rsidP="00C6504D">
      <w:pPr>
        <w:rPr>
          <w:b/>
        </w:rPr>
      </w:pPr>
    </w:p>
    <w:p w14:paraId="61FE4895" w14:textId="77777777" w:rsidR="00C6504D" w:rsidRDefault="00C6504D" w:rsidP="00004498">
      <w:pPr>
        <w:rPr>
          <w:rFonts w:ascii="Arial Black" w:hAnsi="Arial Black"/>
          <w:b/>
          <w:bCs/>
          <w:sz w:val="24"/>
          <w:szCs w:val="24"/>
        </w:rPr>
      </w:pPr>
    </w:p>
    <w:p w14:paraId="5C63ECB1" w14:textId="77777777" w:rsidR="00C6504D" w:rsidRDefault="00C6504D" w:rsidP="00004498">
      <w:pPr>
        <w:rPr>
          <w:rFonts w:ascii="Arial Black" w:hAnsi="Arial Black"/>
          <w:b/>
          <w:bCs/>
          <w:sz w:val="24"/>
          <w:szCs w:val="24"/>
        </w:rPr>
      </w:pPr>
    </w:p>
    <w:p w14:paraId="6BE7BD6D" w14:textId="5FF2DFBB" w:rsidR="004612E3" w:rsidRDefault="00F04117" w:rsidP="00004498">
      <w:pPr>
        <w:rPr>
          <w:rFonts w:ascii="Arial Black" w:hAnsi="Arial Black"/>
          <w:b/>
          <w:bCs/>
          <w:sz w:val="24"/>
          <w:szCs w:val="24"/>
        </w:rPr>
      </w:pPr>
      <w:r>
        <w:rPr>
          <w:rFonts w:ascii="Arial Black" w:hAnsi="Arial Black"/>
          <w:b/>
          <w:bCs/>
          <w:sz w:val="24"/>
          <w:szCs w:val="24"/>
        </w:rPr>
        <w:t>13-23</w:t>
      </w:r>
      <w:r w:rsidR="00524647">
        <w:rPr>
          <w:rFonts w:ascii="Arial Black" w:hAnsi="Arial Black"/>
          <w:b/>
          <w:bCs/>
          <w:sz w:val="24"/>
          <w:szCs w:val="24"/>
        </w:rPr>
        <w:t>2</w:t>
      </w:r>
    </w:p>
    <w:p w14:paraId="2FBEF3A7" w14:textId="4E484F18" w:rsidR="00F04117" w:rsidRDefault="00F04117" w:rsidP="00F04117">
      <w:pPr>
        <w:pStyle w:val="NoSpacing"/>
        <w:rPr>
          <w:rFonts w:ascii="Arial Black" w:hAnsi="Arial Black"/>
          <w:sz w:val="28"/>
          <w:szCs w:val="28"/>
        </w:rPr>
      </w:pPr>
      <w:r>
        <w:rPr>
          <w:rFonts w:ascii="Arial Black" w:hAnsi="Arial Black"/>
          <w:sz w:val="28"/>
          <w:szCs w:val="28"/>
        </w:rPr>
        <w:t xml:space="preserve">GA: PULSE OX MONITOR – NOT IN PCR – JURY </w:t>
      </w:r>
      <w:r w:rsidR="003054C5">
        <w:rPr>
          <w:rFonts w:ascii="Arial Black" w:hAnsi="Arial Black"/>
          <w:sz w:val="28"/>
          <w:szCs w:val="28"/>
        </w:rPr>
        <w:t>FINDS</w:t>
      </w:r>
      <w:r>
        <w:rPr>
          <w:rFonts w:ascii="Arial Black" w:hAnsi="Arial Black"/>
          <w:sz w:val="28"/>
          <w:szCs w:val="28"/>
        </w:rPr>
        <w:t xml:space="preserve"> NO LIAB </w:t>
      </w:r>
    </w:p>
    <w:p w14:paraId="4B962ABB" w14:textId="77777777" w:rsidR="00F04117" w:rsidRDefault="00F04117" w:rsidP="00F04117">
      <w:pPr>
        <w:pStyle w:val="NoSpacing"/>
        <w:rPr>
          <w:rFonts w:ascii="Arial Black" w:hAnsi="Arial Black"/>
          <w:sz w:val="28"/>
          <w:szCs w:val="28"/>
        </w:rPr>
      </w:pPr>
    </w:p>
    <w:p w14:paraId="464C2AC4" w14:textId="77777777" w:rsidR="007438A3" w:rsidRDefault="00F04117" w:rsidP="00F04117">
      <w:pPr>
        <w:pStyle w:val="NoSpacing"/>
      </w:pPr>
      <w:r>
        <w:t xml:space="preserve">On October 30, 2025, in </w:t>
      </w:r>
      <w:r w:rsidRPr="00062B36">
        <w:rPr>
          <w:u w:val="single"/>
        </w:rPr>
        <w:t>Wright v. Metro Ambulance Services, Inc</w:t>
      </w:r>
      <w:r>
        <w:t xml:space="preserve">., the </w:t>
      </w:r>
      <w:r w:rsidRPr="00B92007">
        <w:t>Court of Appeals of Georgia</w:t>
      </w:r>
      <w:r>
        <w:t xml:space="preserve"> held (3 to 0) that jury verdict for defense is affirmed. The lawsuit was brought by Dr. Joray Wright, as survivor and administrator of the Estate of Vanessa Banks.  Plaintiffs’ expert, cardiologist Dr. B</w:t>
      </w:r>
      <w:r w:rsidRPr="00B54144">
        <w:t>rian Swirsky,</w:t>
      </w:r>
      <w:r>
        <w:t xml:space="preserve"> testified by videotaped deposition that a patient’s oxygen saturation is a vital sign that must be taken by a pulse oximeter, and there was no such reading recorded </w:t>
      </w:r>
      <w:r w:rsidRPr="00E25A64">
        <w:t>as having been taken by Kern in Banks’s patient care record.</w:t>
      </w:r>
      <w:r>
        <w:t xml:space="preserve">  The cardiologist testified that Kern may have “fabricated” the 99% oxygen saturation level he reported to the hospital when requesting to administer a morphine 20 minutes from the hospital.  Defense expert, cardiologist Dr. </w:t>
      </w:r>
      <w:r w:rsidRPr="000B73D5">
        <w:t>Charles Wilmer</w:t>
      </w:r>
      <w:r>
        <w:t xml:space="preserve">, testified in person to the jury that paramedic continued speaking with </w:t>
      </w:r>
      <w:proofErr w:type="gramStart"/>
      <w:r>
        <w:t>patient</w:t>
      </w:r>
      <w:proofErr w:type="gramEnd"/>
      <w:r>
        <w:t xml:space="preserve"> during transport until she suddenly experienced respiratory depression leading to a fatal cardiac arrhythmia (VFIB).  The Court of Appeals rejected plaintiff’s argument that trial court abused its discretion by excluding the in-person testimony of their cardiologist (his videotaped testimony was shown to the jury) as a rebuttal witness after the defense cardiologist testified in person.  </w:t>
      </w:r>
    </w:p>
    <w:p w14:paraId="5AF21256" w14:textId="458B2C0F" w:rsidR="00F04117" w:rsidRPr="00B92007" w:rsidRDefault="005D3D7E" w:rsidP="00F04117">
      <w:pPr>
        <w:pStyle w:val="NoSpacing"/>
      </w:pPr>
      <w:hyperlink r:id="rId2056" w:history="1">
        <w:r w:rsidRPr="000F3B38">
          <w:rPr>
            <w:rStyle w:val="Hyperlink"/>
            <w:b/>
          </w:rPr>
          <w:t>https://cases.justia.com/georgia/court-of-appeals/2025-a25a1173.pdf?ts=1761847932</w:t>
        </w:r>
      </w:hyperlink>
    </w:p>
    <w:p w14:paraId="13B6553F" w14:textId="77777777" w:rsidR="00F04117" w:rsidRDefault="00F04117" w:rsidP="00F04117">
      <w:pPr>
        <w:pStyle w:val="NoSpacing"/>
      </w:pPr>
    </w:p>
    <w:p w14:paraId="54F109DB" w14:textId="77777777" w:rsidR="00F04117" w:rsidRDefault="00F04117" w:rsidP="00F04117">
      <w:pPr>
        <w:pStyle w:val="NoSpacing"/>
      </w:pPr>
      <w:r>
        <w:t>THE COURT HELD:</w:t>
      </w:r>
    </w:p>
    <w:p w14:paraId="3E140AB3" w14:textId="77777777" w:rsidR="00F04117" w:rsidRDefault="00F04117" w:rsidP="00F04117">
      <w:pPr>
        <w:pStyle w:val="NoSpacing"/>
      </w:pPr>
    </w:p>
    <w:p w14:paraId="21EB3D56" w14:textId="77777777" w:rsidR="00F04117" w:rsidRDefault="00F04117" w:rsidP="00F04117">
      <w:pPr>
        <w:pStyle w:val="NoSpacing"/>
        <w:ind w:left="720"/>
      </w:pPr>
      <w:r>
        <w:t xml:space="preserve">“The more prudent course in this case would have been for the trial court to allow Dr. Swirsky to testify in rebuttal to Dr. Wilmer’s theory regarding the GCS. Nevertheless, our de novo review of the full record does not evidence harm </w:t>
      </w:r>
      <w:proofErr w:type="gramStart"/>
      <w:r>
        <w:t>as a result of</w:t>
      </w:r>
      <w:proofErr w:type="gramEnd"/>
      <w:r>
        <w:t xml:space="preserve"> the trial court’s refusal to allow Swirsky’s testimony.</w:t>
      </w:r>
    </w:p>
    <w:p w14:paraId="589CCA95" w14:textId="77777777" w:rsidR="00F04117" w:rsidRDefault="00F04117" w:rsidP="00F04117">
      <w:pPr>
        <w:pStyle w:val="NoSpacing"/>
        <w:ind w:left="720"/>
      </w:pPr>
    </w:p>
    <w:p w14:paraId="121494C4" w14:textId="77777777" w:rsidR="00F04117" w:rsidRDefault="00F04117" w:rsidP="00F04117">
      <w:pPr>
        <w:pStyle w:val="NoSpacing"/>
        <w:ind w:left="720"/>
      </w:pPr>
      <w:r>
        <w:t>***</w:t>
      </w:r>
    </w:p>
    <w:p w14:paraId="3A9BE67D" w14:textId="77777777" w:rsidR="00F04117" w:rsidRDefault="00F04117" w:rsidP="00F04117">
      <w:pPr>
        <w:pStyle w:val="NoSpacing"/>
      </w:pPr>
    </w:p>
    <w:p w14:paraId="09E62799" w14:textId="77777777" w:rsidR="00F04117" w:rsidRDefault="00F04117" w:rsidP="00F04117">
      <w:pPr>
        <w:pStyle w:val="NoSpacing"/>
        <w:ind w:left="720"/>
      </w:pPr>
      <w:r>
        <w:t xml:space="preserve">[T]he </w:t>
      </w:r>
      <w:r w:rsidRPr="009433B1">
        <w:t>evidence showed that after the death of his mother, 63-year-old</w:t>
      </w:r>
      <w:r>
        <w:t xml:space="preserve"> </w:t>
      </w:r>
      <w:r w:rsidRPr="009433B1">
        <w:t>Vanessa Banks, Wright filed the instant wrongful death action against Metro on a</w:t>
      </w:r>
      <w:r>
        <w:t xml:space="preserve"> </w:t>
      </w:r>
      <w:r w:rsidRPr="009433B1">
        <w:t>theory of vicarious liability based on the negligence of its paramedic, Michael Kern.</w:t>
      </w:r>
      <w:r>
        <w:t xml:space="preserve"> </w:t>
      </w:r>
      <w:r w:rsidRPr="009433B1">
        <w:t>Testimony at trial showed that in the early morning hours of April 15, 2019, Banks was</w:t>
      </w:r>
      <w:r>
        <w:t xml:space="preserve"> </w:t>
      </w:r>
      <w:r w:rsidRPr="009433B1">
        <w:t>pushed from a second story window onto vegetation below. She survived the fall, and</w:t>
      </w:r>
      <w:r>
        <w:t xml:space="preserve"> </w:t>
      </w:r>
      <w:r w:rsidRPr="009433B1">
        <w:t>Metro’s ambulance arrived at 12:33 a.m. Banks was alert and oriented at the time of</w:t>
      </w:r>
      <w:r>
        <w:t xml:space="preserve"> </w:t>
      </w:r>
      <w:r w:rsidRPr="009433B1">
        <w:t xml:space="preserve">transport but complained of ten out of ten </w:t>
      </w:r>
      <w:proofErr w:type="gramStart"/>
      <w:r w:rsidRPr="009433B1">
        <w:t>pain</w:t>
      </w:r>
      <w:proofErr w:type="gramEnd"/>
      <w:r w:rsidRPr="009433B1">
        <w:t xml:space="preserve"> in her left side and abdomen.</w:t>
      </w:r>
    </w:p>
    <w:p w14:paraId="5D89D86B" w14:textId="77777777" w:rsidR="00F04117" w:rsidRDefault="00F04117" w:rsidP="00F04117">
      <w:pPr>
        <w:pStyle w:val="NoSpacing"/>
      </w:pPr>
    </w:p>
    <w:p w14:paraId="0C4077C9" w14:textId="77777777" w:rsidR="00F04117" w:rsidRDefault="00F04117" w:rsidP="00F04117">
      <w:pPr>
        <w:pStyle w:val="NoSpacing"/>
        <w:ind w:left="720"/>
      </w:pPr>
      <w:r>
        <w:t>Kern and technician Chayce Burton placed Banks on a backboard and collar to protect her spine. Kern testified that he took a baseline blood oxygen level with a handheld pulse oximeter prior to leaving the scene with Banks, and based on his observations of her, he did not consider her unstable. The ambulance left the scene around 12:45 a.m., and Kern treated Banks therein, attaching a four-line cardiac monitor and establishing an IV. Kern did not place a pulse oximeter to measure blood oxygen saturation during the trip.</w:t>
      </w:r>
    </w:p>
    <w:p w14:paraId="2040179D" w14:textId="77777777" w:rsidR="00F04117" w:rsidRDefault="00F04117" w:rsidP="00F04117">
      <w:pPr>
        <w:pStyle w:val="NoSpacing"/>
      </w:pPr>
    </w:p>
    <w:p w14:paraId="55D6A159" w14:textId="77777777" w:rsidR="00F04117" w:rsidRDefault="00F04117" w:rsidP="00F04117">
      <w:pPr>
        <w:pStyle w:val="NoSpacing"/>
        <w:ind w:left="720"/>
      </w:pPr>
      <w:r>
        <w:t xml:space="preserve">About 20 minutes away from the destination hospital, Kern sought approval from a doctor to give Banks morphine. Kern reported that Banks had a history of diabetes; was conscious, alert, and oriented with a Glasgow Coma Score (“GCS”) of 15; had pain in her lower lumbar and upper back; was tender on palpation; had a pulse rate of 88, normal sinus heart rhythm on the monitor, blood pressure of 150/90, and oxygen saturation of 99 percent on room air; and her breath was fast and shallow, which he scored at a 30 respiration rate. Instead of morphine, the doctor instructed Kern to administer 50 micrograms of fentanyl, which Kern gave Banks intravenously at 12:48 a.m. Kern testified the fentanyl did not reduce Banks’s pain, and she was alert and speaking after he administered it. The monitor recorded Banks’s heart rate approximately six times (12:42, 12:46, 12:51, 12:52, 12:56, and 1:02), and it recorded her blood pressure and </w:t>
      </w:r>
      <w:proofErr w:type="gramStart"/>
      <w:r>
        <w:t>mean</w:t>
      </w:r>
      <w:proofErr w:type="gramEnd"/>
      <w:r>
        <w:t xml:space="preserve"> arterial pressure three times (12:42, 12:52, and 1:02). Kern noted Banks’s respiratory rate, depth, and effort over the course of the ride.</w:t>
      </w:r>
    </w:p>
    <w:p w14:paraId="25F8BFD5" w14:textId="77777777" w:rsidR="00F04117" w:rsidRDefault="00F04117" w:rsidP="00F04117">
      <w:pPr>
        <w:pStyle w:val="NoSpacing"/>
      </w:pPr>
    </w:p>
    <w:p w14:paraId="52E40274" w14:textId="77777777" w:rsidR="00F04117" w:rsidRDefault="00F04117" w:rsidP="00F04117">
      <w:pPr>
        <w:pStyle w:val="NoSpacing"/>
        <w:ind w:left="720"/>
      </w:pPr>
      <w:r>
        <w:t xml:space="preserve">Around 1:06 a.m., Kern testified that they were about two minutes away from the hospital when Banks gasped, turned her head to the side, and became flushed and purple. Her breathing was agonal, she had no palpable pulse, and the heart monitor indicated that she was in ventricular fibrillation (“VFIB”). Kern started cardiopulmonary resuscitation (“CPR”), and after parking the ambulance (about two minutes after CPR began), Burton came back to assist </w:t>
      </w:r>
      <w:proofErr w:type="gramStart"/>
      <w:r>
        <w:t>in order for</w:t>
      </w:r>
      <w:proofErr w:type="gramEnd"/>
      <w:r>
        <w:t xml:space="preserve"> Kern to attempt to defibrillate Banks. Hospital </w:t>
      </w:r>
      <w:proofErr w:type="gramStart"/>
      <w:r>
        <w:t>personal</w:t>
      </w:r>
      <w:proofErr w:type="gramEnd"/>
      <w:r>
        <w:t xml:space="preserve"> from the ambulance bay joined the effort to resuscitate Banks, performing bag-assisted ventilation while Kern administered intravenous amiodarone, an antiarrhythmic medication, at 1:10 a.m. Metro’s crew turned care of Banks over to the hospital by 1:15 a.m. At 1:19 a.m., Banks was pronounced dead from what the medical examiner later determined to be ‘acute cardiac dysrhythmia complicating fall from height.’”</w:t>
      </w:r>
    </w:p>
    <w:p w14:paraId="103EFF33" w14:textId="77777777" w:rsidR="00F04117" w:rsidRDefault="00F04117" w:rsidP="00F04117">
      <w:pPr>
        <w:pStyle w:val="NoSpacing"/>
        <w:ind w:left="720"/>
      </w:pPr>
    </w:p>
    <w:p w14:paraId="5BD0FFF2" w14:textId="2D92B6E9" w:rsidR="00F04117" w:rsidRPr="006572CC" w:rsidRDefault="00F04117" w:rsidP="00F04117">
      <w:pPr>
        <w:pStyle w:val="NoSpacing"/>
        <w:rPr>
          <w:b/>
          <w:bCs/>
        </w:rPr>
      </w:pPr>
      <w:r>
        <w:rPr>
          <w:b/>
        </w:rPr>
        <w:t xml:space="preserve">Lesson learned: Avoid litigation, use pulse ox monitor during transport and record that in patient care report. </w:t>
      </w:r>
    </w:p>
    <w:p w14:paraId="0F7251F6" w14:textId="77777777" w:rsidR="00F04117" w:rsidRDefault="00F04117" w:rsidP="00004498">
      <w:pPr>
        <w:rPr>
          <w:rFonts w:ascii="Arial Black" w:hAnsi="Arial Black"/>
          <w:b/>
          <w:bCs/>
          <w:sz w:val="24"/>
          <w:szCs w:val="24"/>
        </w:rPr>
      </w:pPr>
    </w:p>
    <w:p w14:paraId="69141FB2" w14:textId="77777777" w:rsidR="00F04117" w:rsidRDefault="00F04117" w:rsidP="00004498">
      <w:pPr>
        <w:rPr>
          <w:rFonts w:ascii="Arial Black" w:hAnsi="Arial Black"/>
          <w:b/>
          <w:bCs/>
          <w:sz w:val="24"/>
          <w:szCs w:val="24"/>
        </w:rPr>
      </w:pPr>
    </w:p>
    <w:p w14:paraId="0EC8D52B" w14:textId="5B81DF82" w:rsidR="00F04117" w:rsidRDefault="00E42133" w:rsidP="00004498">
      <w:pPr>
        <w:rPr>
          <w:rFonts w:ascii="Arial Black" w:hAnsi="Arial Black"/>
          <w:b/>
          <w:bCs/>
          <w:sz w:val="24"/>
          <w:szCs w:val="24"/>
        </w:rPr>
      </w:pPr>
      <w:r>
        <w:rPr>
          <w:rFonts w:ascii="Arial Black" w:hAnsi="Arial Black"/>
          <w:b/>
          <w:bCs/>
          <w:sz w:val="24"/>
          <w:szCs w:val="24"/>
        </w:rPr>
        <w:t>13</w:t>
      </w:r>
      <w:r w:rsidR="00B77073">
        <w:rPr>
          <w:rFonts w:ascii="Arial Black" w:hAnsi="Arial Black"/>
          <w:b/>
          <w:bCs/>
          <w:sz w:val="24"/>
          <w:szCs w:val="24"/>
        </w:rPr>
        <w:t>—</w:t>
      </w:r>
      <w:r w:rsidR="00B15D17">
        <w:rPr>
          <w:rFonts w:ascii="Arial Black" w:hAnsi="Arial Black"/>
          <w:b/>
          <w:bCs/>
          <w:sz w:val="24"/>
          <w:szCs w:val="24"/>
        </w:rPr>
        <w:t>23</w:t>
      </w:r>
      <w:r w:rsidR="00524647">
        <w:rPr>
          <w:rFonts w:ascii="Arial Black" w:hAnsi="Arial Black"/>
          <w:b/>
          <w:bCs/>
          <w:sz w:val="24"/>
          <w:szCs w:val="24"/>
        </w:rPr>
        <w:t>1</w:t>
      </w:r>
    </w:p>
    <w:p w14:paraId="6E8BA226" w14:textId="1E1BAAB0" w:rsidR="00E42133" w:rsidRDefault="00E42133" w:rsidP="00E42133">
      <w:pPr>
        <w:pStyle w:val="NoSpacing"/>
        <w:rPr>
          <w:rFonts w:ascii="Arial Black" w:hAnsi="Arial Black"/>
          <w:b/>
          <w:sz w:val="28"/>
          <w:szCs w:val="28"/>
        </w:rPr>
      </w:pPr>
      <w:r>
        <w:rPr>
          <w:rFonts w:ascii="Arial Black" w:hAnsi="Arial Black"/>
          <w:b/>
          <w:sz w:val="28"/>
          <w:szCs w:val="28"/>
        </w:rPr>
        <w:t xml:space="preserve">PA: PT PUNCHED MEDIC IN AMBULANCE </w:t>
      </w:r>
      <w:r w:rsidR="008019DB">
        <w:rPr>
          <w:rFonts w:ascii="Arial Black" w:hAnsi="Arial Black"/>
          <w:b/>
          <w:sz w:val="28"/>
          <w:szCs w:val="28"/>
        </w:rPr>
        <w:t xml:space="preserve">– </w:t>
      </w:r>
      <w:r w:rsidR="004B5399">
        <w:rPr>
          <w:rFonts w:ascii="Arial Black" w:hAnsi="Arial Black"/>
          <w:b/>
          <w:sz w:val="28"/>
          <w:szCs w:val="28"/>
        </w:rPr>
        <w:t>RETRIAL – STANDBY ATTY</w:t>
      </w:r>
    </w:p>
    <w:p w14:paraId="7DD87E5E" w14:textId="77777777" w:rsidR="00E42133" w:rsidRDefault="00E42133" w:rsidP="00E42133">
      <w:pPr>
        <w:pStyle w:val="NoSpacing"/>
        <w:rPr>
          <w:rFonts w:ascii="Arial Black" w:hAnsi="Arial Black"/>
          <w:b/>
          <w:sz w:val="28"/>
          <w:szCs w:val="28"/>
        </w:rPr>
      </w:pPr>
    </w:p>
    <w:p w14:paraId="2E10FAF5" w14:textId="77777777" w:rsidR="00A5402C" w:rsidRDefault="00E42133" w:rsidP="00E42133">
      <w:pPr>
        <w:pStyle w:val="NoSpacing"/>
      </w:pPr>
      <w:r w:rsidRPr="00FD0472">
        <w:t xml:space="preserve">On October 25, 2025, in </w:t>
      </w:r>
      <w:r w:rsidRPr="00A107E9">
        <w:rPr>
          <w:u w:val="single"/>
        </w:rPr>
        <w:t>Commonwealth of Pennsylvania v. Roger Dean Hornberger</w:t>
      </w:r>
      <w:r>
        <w:t xml:space="preserve">, the </w:t>
      </w:r>
      <w:r w:rsidRPr="000761B1">
        <w:t>Superior Court of Pennsylvania</w:t>
      </w:r>
      <w:r>
        <w:t xml:space="preserve"> held (3 to 0; non-precedential decision) that defendant’s conviction for assaulting the paramedic and sentence of 21-42 months in prison must be set aside for a new trial.  Defendant pro se - represented himself at trial (trial court did appoint a “standby attorney” during the trial) but prior to selection of a jury the trial court judge did review with him each charge and possible sentences if convicted.</w:t>
      </w:r>
    </w:p>
    <w:p w14:paraId="7574D202" w14:textId="17A4F328" w:rsidR="00E42133" w:rsidRDefault="00E42133" w:rsidP="00E42133">
      <w:pPr>
        <w:pStyle w:val="NoSpacing"/>
        <w:rPr>
          <w:b/>
        </w:rPr>
      </w:pPr>
      <w:r>
        <w:t xml:space="preserve"> </w:t>
      </w:r>
      <w:hyperlink r:id="rId2057" w:history="1">
        <w:r w:rsidRPr="00937559">
          <w:rPr>
            <w:rStyle w:val="Hyperlink"/>
            <w:b/>
          </w:rPr>
          <w:t>https://www.pacourts.us/assets/opinions/Superior/out/J-A19045-25m%20-%20106549181332513446.pdf?cb=1</w:t>
        </w:r>
      </w:hyperlink>
      <w:r>
        <w:rPr>
          <w:b/>
        </w:rPr>
        <w:t xml:space="preserve"> </w:t>
      </w:r>
    </w:p>
    <w:p w14:paraId="1DA98C4B" w14:textId="77777777" w:rsidR="00E42133" w:rsidRDefault="00E42133" w:rsidP="00E42133">
      <w:pPr>
        <w:pStyle w:val="NoSpacing"/>
        <w:rPr>
          <w:b/>
        </w:rPr>
      </w:pPr>
    </w:p>
    <w:p w14:paraId="0C77CC93" w14:textId="77777777" w:rsidR="00E42133" w:rsidRDefault="00E42133" w:rsidP="00E42133">
      <w:pPr>
        <w:pStyle w:val="NoSpacing"/>
        <w:rPr>
          <w:bCs/>
        </w:rPr>
      </w:pPr>
      <w:r w:rsidRPr="00073BE7">
        <w:t>THE COURT HELD:</w:t>
      </w:r>
    </w:p>
    <w:p w14:paraId="6AEFE723" w14:textId="77777777" w:rsidR="00E42133" w:rsidRDefault="00E42133" w:rsidP="00E42133">
      <w:pPr>
        <w:pStyle w:val="NoSpacing"/>
        <w:rPr>
          <w:bCs/>
        </w:rPr>
      </w:pPr>
    </w:p>
    <w:p w14:paraId="10830B5A" w14:textId="77777777" w:rsidR="00E42133" w:rsidRDefault="00E42133" w:rsidP="00E42133">
      <w:pPr>
        <w:pStyle w:val="NoSpacing"/>
        <w:ind w:left="720"/>
        <w:rPr>
          <w:bCs/>
        </w:rPr>
      </w:pPr>
      <w:r>
        <w:t>“</w:t>
      </w:r>
      <w:r w:rsidRPr="008028D9">
        <w:t>This matter arises from a domestic violence call on September 3, 2023.</w:t>
      </w:r>
      <w:r>
        <w:t xml:space="preserve"> </w:t>
      </w:r>
      <w:r w:rsidRPr="008028D9">
        <w:t>Trooper John Ryan Herold of the Pennsylvania State Police responded to</w:t>
      </w:r>
      <w:r>
        <w:t xml:space="preserve"> </w:t>
      </w:r>
      <w:r w:rsidRPr="008028D9">
        <w:t>Appellant’s house, where he and other troopers discovered that Appellant had</w:t>
      </w:r>
      <w:r>
        <w:t xml:space="preserve"> </w:t>
      </w:r>
      <w:r w:rsidRPr="008028D9">
        <w:t>fallen or jumped from the second story window. Upon contact with Appellant</w:t>
      </w:r>
      <w:r>
        <w:t xml:space="preserve"> </w:t>
      </w:r>
      <w:r w:rsidRPr="008028D9">
        <w:t>outside, Trooper Herold saw that he was holding a red container filled with a</w:t>
      </w:r>
      <w:r>
        <w:t xml:space="preserve"> </w:t>
      </w:r>
      <w:r w:rsidRPr="008028D9">
        <w:t xml:space="preserve">white powdery substance, later identified as </w:t>
      </w:r>
      <w:r>
        <w:t>m</w:t>
      </w:r>
      <w:r w:rsidRPr="008028D9">
        <w:t>ethamphetamine. Instead of</w:t>
      </w:r>
      <w:r>
        <w:t xml:space="preserve"> </w:t>
      </w:r>
      <w:r w:rsidRPr="008028D9">
        <w:t>immediately detaining Appellant and placing him in a cruiser, the troopers</w:t>
      </w:r>
      <w:r>
        <w:t xml:space="preserve"> </w:t>
      </w:r>
      <w:r w:rsidRPr="008028D9">
        <w:t>called an ambulance to transport him to the hospital based on a complaint of</w:t>
      </w:r>
      <w:r>
        <w:t xml:space="preserve"> </w:t>
      </w:r>
      <w:r w:rsidRPr="00FE6C43">
        <w:t xml:space="preserve">back pain. </w:t>
      </w:r>
    </w:p>
    <w:p w14:paraId="0E5722E3" w14:textId="77777777" w:rsidR="00E42133" w:rsidRDefault="00E42133" w:rsidP="00E42133">
      <w:pPr>
        <w:pStyle w:val="NoSpacing"/>
        <w:ind w:left="720"/>
        <w:rPr>
          <w:bCs/>
        </w:rPr>
      </w:pPr>
    </w:p>
    <w:p w14:paraId="3FE211DE" w14:textId="77777777" w:rsidR="00E42133" w:rsidRPr="00FE6C43" w:rsidRDefault="00E42133" w:rsidP="00E42133">
      <w:pPr>
        <w:pStyle w:val="NoSpacing"/>
        <w:ind w:left="720"/>
        <w:rPr>
          <w:bCs/>
        </w:rPr>
      </w:pPr>
      <w:r w:rsidRPr="00FE6C43">
        <w:t>He was strapped to a stretcher in the back of the ambulance and</w:t>
      </w:r>
      <w:r>
        <w:t xml:space="preserve"> </w:t>
      </w:r>
      <w:r w:rsidRPr="00FE6C43">
        <w:t>fell asleep.</w:t>
      </w:r>
      <w:r>
        <w:t xml:space="preserve"> </w:t>
      </w:r>
      <w:r w:rsidRPr="00FE6C43">
        <w:t>Once in motion, Tracy Finnefrach, a paramedic, began her diagnostics</w:t>
      </w:r>
      <w:r>
        <w:t xml:space="preserve"> </w:t>
      </w:r>
      <w:r w:rsidRPr="00FE6C43">
        <w:t>as Appellant awoke from his slumber. He suddenly broke free of his restraints,</w:t>
      </w:r>
      <w:r>
        <w:t xml:space="preserve"> </w:t>
      </w:r>
      <w:r w:rsidRPr="00FE6C43">
        <w:t xml:space="preserve">jumped up from the stretcher, and claimed that Ms. </w:t>
      </w:r>
      <w:proofErr w:type="spellStart"/>
      <w:r w:rsidRPr="00FE6C43">
        <w:t>Finnefrach</w:t>
      </w:r>
      <w:proofErr w:type="spellEnd"/>
      <w:r w:rsidRPr="00FE6C43">
        <w:t xml:space="preserve"> was trying to</w:t>
      </w:r>
      <w:r>
        <w:t xml:space="preserve"> </w:t>
      </w:r>
      <w:r w:rsidRPr="00FE6C43">
        <w:t>kill him. He eventually punched her once in the forehead and again in the</w:t>
      </w:r>
      <w:r>
        <w:t xml:space="preserve"> </w:t>
      </w:r>
      <w:r w:rsidRPr="00FE6C43">
        <w:t>jaw. The ambulance driver, Jayden Cornman, observed Appellant attacking</w:t>
      </w:r>
      <w:r>
        <w:t xml:space="preserve"> </w:t>
      </w:r>
      <w:r w:rsidRPr="00FE6C43">
        <w:t xml:space="preserve">Ms. </w:t>
      </w:r>
      <w:proofErr w:type="spellStart"/>
      <w:r w:rsidRPr="00FE6C43">
        <w:t>Finnefrach</w:t>
      </w:r>
      <w:proofErr w:type="spellEnd"/>
      <w:r w:rsidRPr="00FE6C43">
        <w:t>. He tried to pull the vehicle over, but Appellant reached</w:t>
      </w:r>
      <w:r>
        <w:t xml:space="preserve"> </w:t>
      </w:r>
      <w:r w:rsidRPr="00FE6C43">
        <w:t>through the partition window and pulled on the collar of Mr. Cornman’s shirt,</w:t>
      </w:r>
    </w:p>
    <w:p w14:paraId="5ED43C5A" w14:textId="77777777" w:rsidR="00E42133" w:rsidRDefault="00E42133" w:rsidP="00E42133">
      <w:pPr>
        <w:pStyle w:val="NoSpacing"/>
        <w:ind w:left="720"/>
        <w:rPr>
          <w:bCs/>
        </w:rPr>
      </w:pPr>
      <w:r w:rsidRPr="00FE6C43">
        <w:t>restricting his breathing. Once the driver finally stopped the vehicle, Appellant</w:t>
      </w:r>
      <w:r>
        <w:t xml:space="preserve"> </w:t>
      </w:r>
      <w:r w:rsidRPr="00FE6C43">
        <w:t>jumped through the divider opening and exited the driver’s side door.</w:t>
      </w:r>
      <w:r>
        <w:t xml:space="preserve"> </w:t>
      </w:r>
      <w:r w:rsidRPr="00FE6C43">
        <w:t>Troopers arrived shortly thereafter and transported him to the hospital in a</w:t>
      </w:r>
      <w:r>
        <w:t xml:space="preserve"> </w:t>
      </w:r>
      <w:r w:rsidRPr="00FE6C43">
        <w:t>patrol car.</w:t>
      </w:r>
    </w:p>
    <w:p w14:paraId="0F1C2636" w14:textId="77777777" w:rsidR="00E42133" w:rsidRDefault="00E42133" w:rsidP="00E42133">
      <w:pPr>
        <w:pStyle w:val="NoSpacing"/>
        <w:ind w:left="720"/>
        <w:rPr>
          <w:bCs/>
        </w:rPr>
      </w:pPr>
    </w:p>
    <w:p w14:paraId="45F28D1B" w14:textId="77777777" w:rsidR="00E42133" w:rsidRDefault="00E42133" w:rsidP="00E42133">
      <w:pPr>
        <w:pStyle w:val="NoSpacing"/>
        <w:ind w:left="720"/>
        <w:rPr>
          <w:bCs/>
        </w:rPr>
      </w:pPr>
      <w:r>
        <w:t>***</w:t>
      </w:r>
    </w:p>
    <w:p w14:paraId="051C1416" w14:textId="77777777" w:rsidR="00E42133" w:rsidRDefault="00E42133" w:rsidP="00E42133">
      <w:pPr>
        <w:pStyle w:val="NoSpacing"/>
        <w:ind w:left="720"/>
        <w:rPr>
          <w:bCs/>
        </w:rPr>
      </w:pPr>
      <w:r w:rsidRPr="00061D0A">
        <w:t xml:space="preserve">Based on the </w:t>
      </w:r>
      <w:proofErr w:type="gramStart"/>
      <w:r w:rsidRPr="00061D0A">
        <w:t>aforementioned events</w:t>
      </w:r>
      <w:proofErr w:type="gramEnd"/>
      <w:r w:rsidRPr="00061D0A">
        <w:t>, Appellant was charged with two</w:t>
      </w:r>
      <w:r>
        <w:t xml:space="preserve"> </w:t>
      </w:r>
      <w:r w:rsidRPr="00061D0A">
        <w:t>counts of recklessly endangering another person, and one count each of</w:t>
      </w:r>
      <w:r>
        <w:t xml:space="preserve"> </w:t>
      </w:r>
      <w:r w:rsidRPr="00061D0A">
        <w:t>aggravated assault, simple assault, resisting arrest, possession/use of drug</w:t>
      </w:r>
      <w:r>
        <w:t xml:space="preserve"> </w:t>
      </w:r>
      <w:r w:rsidRPr="00061D0A">
        <w:t>paraphernalia, and possession of a controlled substance. Appellant neglected</w:t>
      </w:r>
      <w:r>
        <w:t xml:space="preserve"> </w:t>
      </w:r>
      <w:r w:rsidRPr="00061D0A">
        <w:t>to appear at the pretrial conference. Consequently, the court issued a bench</w:t>
      </w:r>
      <w:r>
        <w:t xml:space="preserve"> </w:t>
      </w:r>
      <w:r w:rsidRPr="00061D0A">
        <w:t>warrant and Appellant was arrested.</w:t>
      </w:r>
    </w:p>
    <w:p w14:paraId="213B4A37" w14:textId="77777777" w:rsidR="00E42133" w:rsidRDefault="00E42133" w:rsidP="00E42133">
      <w:pPr>
        <w:pStyle w:val="NoSpacing"/>
        <w:ind w:left="720"/>
        <w:rPr>
          <w:bCs/>
        </w:rPr>
      </w:pPr>
    </w:p>
    <w:p w14:paraId="7A9AD89F" w14:textId="77777777" w:rsidR="00E42133" w:rsidRDefault="00E42133" w:rsidP="00E42133">
      <w:pPr>
        <w:pStyle w:val="NoSpacing"/>
        <w:ind w:left="720"/>
        <w:rPr>
          <w:bCs/>
        </w:rPr>
      </w:pPr>
      <w:r>
        <w:t>***</w:t>
      </w:r>
    </w:p>
    <w:p w14:paraId="21755841" w14:textId="77777777" w:rsidR="00E42133" w:rsidRPr="00073BE7" w:rsidRDefault="00E42133" w:rsidP="00E42133">
      <w:pPr>
        <w:pStyle w:val="NoSpacing"/>
        <w:ind w:left="720"/>
        <w:rPr>
          <w:bCs/>
        </w:rPr>
      </w:pPr>
    </w:p>
    <w:p w14:paraId="2DC77F45" w14:textId="77777777" w:rsidR="00E42133" w:rsidRPr="00716FF2" w:rsidRDefault="00E42133" w:rsidP="00E42133">
      <w:pPr>
        <w:pStyle w:val="NoSpacing"/>
        <w:ind w:left="720"/>
        <w:rPr>
          <w:bCs/>
        </w:rPr>
      </w:pPr>
      <w:r w:rsidRPr="004145EE">
        <w:t>The court failed to</w:t>
      </w:r>
      <w:r>
        <w:t xml:space="preserve"> </w:t>
      </w:r>
      <w:r w:rsidRPr="004145EE">
        <w:t>list the specific crimes, explain the nature of the charges, and identify the</w:t>
      </w:r>
      <w:r>
        <w:t xml:space="preserve"> </w:t>
      </w:r>
      <w:r w:rsidRPr="004145EE">
        <w:t>elements that constitute those offenses. We appreciate the Commonwealth’s</w:t>
      </w:r>
      <w:r>
        <w:t xml:space="preserve"> </w:t>
      </w:r>
      <w:r w:rsidRPr="004145EE">
        <w:t>effort to supplement the court’s colloquy by reiterating the name of the</w:t>
      </w:r>
      <w:r>
        <w:t xml:space="preserve"> </w:t>
      </w:r>
      <w:r w:rsidRPr="004145EE">
        <w:t>assault- and drug-related charges brought against Appellant. However, the</w:t>
      </w:r>
      <w:r>
        <w:t xml:space="preserve"> </w:t>
      </w:r>
      <w:r w:rsidRPr="004145EE">
        <w:t>Commonwealth also neglected to articulate the nature of those crimes or the</w:t>
      </w:r>
      <w:r>
        <w:t xml:space="preserve"> </w:t>
      </w:r>
      <w:r w:rsidRPr="004145EE">
        <w:t>elements thereof</w:t>
      </w:r>
      <w:r>
        <w:t xml:space="preserve">…. </w:t>
      </w:r>
      <w:r w:rsidRPr="008F6604">
        <w:t xml:space="preserve">Additionally, the court omitted from the colloquy the </w:t>
      </w:r>
      <w:r>
        <w:t>‘</w:t>
      </w:r>
      <w:r w:rsidRPr="008F6604">
        <w:t>permissible range</w:t>
      </w:r>
      <w:r>
        <w:t xml:space="preserve"> </w:t>
      </w:r>
      <w:r w:rsidRPr="008F6604">
        <w:t>of sentences and/or fines for the offenses charged[.]</w:t>
      </w:r>
      <w:r>
        <w:t>’</w:t>
      </w:r>
      <w:r w:rsidRPr="008F6604">
        <w:t xml:space="preserve"> See </w:t>
      </w:r>
      <w:proofErr w:type="spellStart"/>
      <w:r w:rsidRPr="008F6604">
        <w:t>Pa.R.Crim.P</w:t>
      </w:r>
      <w:proofErr w:type="spellEnd"/>
      <w:r w:rsidRPr="008F6604">
        <w:t>.</w:t>
      </w:r>
      <w:r>
        <w:t xml:space="preserve"> </w:t>
      </w:r>
      <w:r w:rsidRPr="00716FF2">
        <w:t>J-A19045-25</w:t>
      </w:r>
      <w:r>
        <w:t xml:space="preserve">.” </w:t>
      </w:r>
    </w:p>
    <w:p w14:paraId="596A42BF" w14:textId="77777777" w:rsidR="00E42133" w:rsidRDefault="00E42133" w:rsidP="00E42133">
      <w:pPr>
        <w:pStyle w:val="NoSpacing"/>
        <w:ind w:left="720"/>
        <w:rPr>
          <w:bCs/>
        </w:rPr>
      </w:pPr>
    </w:p>
    <w:p w14:paraId="5C8F7A91" w14:textId="1A7524F7" w:rsidR="00E42133" w:rsidRPr="00716FF2" w:rsidRDefault="00E42133" w:rsidP="00E42133">
      <w:pPr>
        <w:pStyle w:val="NoSpacing"/>
        <w:rPr>
          <w:b/>
        </w:rPr>
      </w:pPr>
      <w:r>
        <w:rPr>
          <w:b/>
        </w:rPr>
        <w:t xml:space="preserve">Lesson learned:  Helpful to have PD ride in the ambulance when transporting patient they arrested. </w:t>
      </w:r>
    </w:p>
    <w:p w14:paraId="075DFD12" w14:textId="77777777" w:rsidR="00E42133" w:rsidRDefault="00E42133" w:rsidP="00E42133">
      <w:pPr>
        <w:pStyle w:val="NoSpacing"/>
        <w:ind w:left="720"/>
        <w:rPr>
          <w:bCs/>
        </w:rPr>
      </w:pPr>
    </w:p>
    <w:p w14:paraId="3BC260B3" w14:textId="77777777" w:rsidR="00E42133" w:rsidRDefault="00E42133" w:rsidP="00E42133">
      <w:pPr>
        <w:pStyle w:val="NoSpacing"/>
        <w:rPr>
          <w:b/>
        </w:rPr>
      </w:pPr>
    </w:p>
    <w:p w14:paraId="6E55E687" w14:textId="58538B23" w:rsidR="00B15D17" w:rsidRDefault="00E42133" w:rsidP="00004498">
      <w:pPr>
        <w:rPr>
          <w:rFonts w:ascii="Arial Black" w:hAnsi="Arial Black"/>
          <w:b/>
          <w:bCs/>
          <w:sz w:val="24"/>
          <w:szCs w:val="24"/>
        </w:rPr>
      </w:pPr>
      <w:r>
        <w:rPr>
          <w:rFonts w:ascii="Arial Black" w:hAnsi="Arial Black"/>
          <w:b/>
          <w:bCs/>
          <w:sz w:val="24"/>
          <w:szCs w:val="24"/>
        </w:rPr>
        <w:t>13-2</w:t>
      </w:r>
      <w:r w:rsidR="00C519F1">
        <w:rPr>
          <w:rFonts w:ascii="Arial Black" w:hAnsi="Arial Black"/>
          <w:b/>
          <w:bCs/>
          <w:sz w:val="24"/>
          <w:szCs w:val="24"/>
        </w:rPr>
        <w:t>3</w:t>
      </w:r>
      <w:r w:rsidR="00524647">
        <w:rPr>
          <w:rFonts w:ascii="Arial Black" w:hAnsi="Arial Black"/>
          <w:b/>
          <w:bCs/>
          <w:sz w:val="24"/>
          <w:szCs w:val="24"/>
        </w:rPr>
        <w:t>0</w:t>
      </w:r>
    </w:p>
    <w:p w14:paraId="6B8526AA" w14:textId="378D3AD7" w:rsidR="006B067A" w:rsidRPr="008D675E" w:rsidRDefault="006B067A" w:rsidP="006B067A">
      <w:pPr>
        <w:pStyle w:val="NoSpacing"/>
        <w:rPr>
          <w:rFonts w:ascii="Arial Black" w:hAnsi="Arial Black"/>
          <w:sz w:val="28"/>
          <w:szCs w:val="28"/>
        </w:rPr>
      </w:pPr>
      <w:r>
        <w:rPr>
          <w:rFonts w:ascii="Arial Black" w:hAnsi="Arial Black"/>
          <w:sz w:val="28"/>
          <w:szCs w:val="28"/>
        </w:rPr>
        <w:t xml:space="preserve">KS: EMS WELFARE CHECK –  WARRANT / </w:t>
      </w:r>
      <w:r w:rsidR="00DD4DF6">
        <w:rPr>
          <w:rFonts w:ascii="Arial Black" w:hAnsi="Arial Black"/>
          <w:sz w:val="28"/>
          <w:szCs w:val="28"/>
        </w:rPr>
        <w:t>METH</w:t>
      </w:r>
      <w:r w:rsidR="009C6F45">
        <w:rPr>
          <w:rFonts w:ascii="Arial Black" w:hAnsi="Arial Black"/>
          <w:sz w:val="28"/>
          <w:szCs w:val="28"/>
        </w:rPr>
        <w:t xml:space="preserve"> CONV</w:t>
      </w:r>
      <w:r w:rsidR="00DD4DF6">
        <w:rPr>
          <w:rFonts w:ascii="Arial Black" w:hAnsi="Arial Black"/>
          <w:sz w:val="28"/>
          <w:szCs w:val="28"/>
        </w:rPr>
        <w:t xml:space="preserve"> </w:t>
      </w:r>
      <w:r>
        <w:rPr>
          <w:rFonts w:ascii="Arial Black" w:hAnsi="Arial Black"/>
          <w:sz w:val="28"/>
          <w:szCs w:val="28"/>
        </w:rPr>
        <w:t>SET ASIDE</w:t>
      </w:r>
    </w:p>
    <w:p w14:paraId="6E292CC2" w14:textId="77777777" w:rsidR="006B067A" w:rsidRDefault="006B067A" w:rsidP="006B067A">
      <w:pPr>
        <w:spacing w:after="0"/>
      </w:pPr>
    </w:p>
    <w:p w14:paraId="3CA708FC" w14:textId="77777777" w:rsidR="006B067A" w:rsidRDefault="006B067A" w:rsidP="006B067A">
      <w:pPr>
        <w:spacing w:after="0"/>
        <w:rPr>
          <w:b/>
        </w:rPr>
      </w:pPr>
      <w:r>
        <w:t xml:space="preserve">On Oct. 24, 2025, in </w:t>
      </w:r>
      <w:r w:rsidRPr="002D085A">
        <w:rPr>
          <w:u w:val="single"/>
        </w:rPr>
        <w:t>State of Kansas v. Nicole Willard</w:t>
      </w:r>
      <w:r>
        <w:t xml:space="preserve">, the </w:t>
      </w:r>
      <w:r w:rsidRPr="002D085A">
        <w:t>Court of Appeals of Kansas</w:t>
      </w:r>
      <w:r>
        <w:t xml:space="preserve"> held (2 to 1; unpublished decision) that the warrant check by police, after EMS vitals were checked, was a violation of 4</w:t>
      </w:r>
      <w:r w:rsidRPr="00AD4D18">
        <w:rPr>
          <w:vertAlign w:val="superscript"/>
        </w:rPr>
        <w:t>th</w:t>
      </w:r>
      <w:r>
        <w:t xml:space="preserve"> Amendment, and her conviction for possession of methamphetamine and drug paraphernalia, discovered at the jail, is reversed.  </w:t>
      </w:r>
      <w:hyperlink r:id="rId2058" w:history="1">
        <w:r w:rsidRPr="00E37B9B">
          <w:rPr>
            <w:rStyle w:val="Hyperlink"/>
            <w:b/>
          </w:rPr>
          <w:t>https://searchdro.kscourts.gov/documents/pdf/caseDecisions/d2d9aca8-0558-406d-9148-9139f4e8d305_125812.pdf</w:t>
        </w:r>
      </w:hyperlink>
      <w:r>
        <w:rPr>
          <w:b/>
        </w:rPr>
        <w:t xml:space="preserve"> </w:t>
      </w:r>
    </w:p>
    <w:p w14:paraId="6F1084C9" w14:textId="77777777" w:rsidR="006B067A" w:rsidRDefault="006B067A" w:rsidP="006B067A">
      <w:pPr>
        <w:spacing w:after="0"/>
      </w:pPr>
    </w:p>
    <w:p w14:paraId="67C2F9AB" w14:textId="77777777" w:rsidR="006B067A" w:rsidRDefault="006B067A" w:rsidP="006B067A">
      <w:pPr>
        <w:spacing w:after="0"/>
      </w:pPr>
      <w:r>
        <w:t>THE COURT HELD:</w:t>
      </w:r>
    </w:p>
    <w:p w14:paraId="3DF10FA1" w14:textId="77777777" w:rsidR="006B067A" w:rsidRDefault="006B067A" w:rsidP="006B067A">
      <w:pPr>
        <w:spacing w:after="0"/>
      </w:pPr>
    </w:p>
    <w:p w14:paraId="63F16CA7" w14:textId="77777777" w:rsidR="006B067A" w:rsidRDefault="006B067A" w:rsidP="006B067A">
      <w:pPr>
        <w:spacing w:after="0"/>
        <w:ind w:left="720"/>
      </w:pPr>
      <w:r>
        <w:t xml:space="preserve">“On May 13, 2021, Nicole Willard was the subject of a welfare check after a civilian reported that someone was unconscious under a bridge in Hutchinson, Kansas. Hutchinson Fire Department (HFD) firefighters initially responded, </w:t>
      </w:r>
      <w:proofErr w:type="gramStart"/>
      <w:r>
        <w:t>making contact with</w:t>
      </w:r>
      <w:proofErr w:type="gramEnd"/>
      <w:r>
        <w:t xml:space="preserve"> Willard and offering her aid, which she refused. A few minutes later, Sergeant Cole Long of the Hutchinson Police Department (HPD) arrived.</w:t>
      </w:r>
    </w:p>
    <w:p w14:paraId="3FE2225A" w14:textId="77777777" w:rsidR="006B067A" w:rsidRDefault="006B067A" w:rsidP="006B067A">
      <w:pPr>
        <w:spacing w:after="0"/>
      </w:pPr>
    </w:p>
    <w:p w14:paraId="614CAECF" w14:textId="77777777" w:rsidR="006B067A" w:rsidRDefault="006B067A" w:rsidP="006B067A">
      <w:pPr>
        <w:spacing w:after="0"/>
        <w:ind w:firstLine="720"/>
      </w:pPr>
      <w:r>
        <w:t>Less than three minutes after Long arrived on the scene, Captain Ian Arndt of the</w:t>
      </w:r>
    </w:p>
    <w:p w14:paraId="55DB2C6A" w14:textId="77777777" w:rsidR="006B067A" w:rsidRDefault="006B067A" w:rsidP="006B067A">
      <w:pPr>
        <w:spacing w:after="0"/>
        <w:ind w:left="720"/>
      </w:pPr>
      <w:r>
        <w:t>Hutchinson Fire Department provided Willard's name to Long, and Long immediately stepped away, contacted dispatch, and requested a warrant check. Long learned that Willard was the subject of a warrant.</w:t>
      </w:r>
    </w:p>
    <w:p w14:paraId="5443C9F4" w14:textId="77777777" w:rsidR="006B067A" w:rsidRDefault="006B067A" w:rsidP="006B067A">
      <w:pPr>
        <w:pStyle w:val="NoSpacing"/>
        <w:ind w:firstLine="720"/>
      </w:pPr>
    </w:p>
    <w:p w14:paraId="47A7819D" w14:textId="77777777" w:rsidR="006B067A" w:rsidRDefault="006B067A" w:rsidP="006B067A">
      <w:pPr>
        <w:pStyle w:val="NoSpacing"/>
        <w:ind w:firstLine="720"/>
      </w:pPr>
      <w:r>
        <w:t>***</w:t>
      </w:r>
    </w:p>
    <w:p w14:paraId="00243410" w14:textId="77777777" w:rsidR="006B067A" w:rsidRPr="00BD54FC" w:rsidRDefault="006B067A" w:rsidP="006B067A">
      <w:pPr>
        <w:pStyle w:val="NoSpacing"/>
        <w:ind w:firstLine="720"/>
      </w:pPr>
      <w:r w:rsidRPr="00BD54FC">
        <w:t>Thus, in Kansas, a welfare check cannot lawfully be extended by running a</w:t>
      </w:r>
    </w:p>
    <w:p w14:paraId="07EDFCFE" w14:textId="77777777" w:rsidR="006B067A" w:rsidRPr="00BD54FC" w:rsidRDefault="006B067A" w:rsidP="006B067A">
      <w:pPr>
        <w:pStyle w:val="NoSpacing"/>
        <w:ind w:firstLine="720"/>
      </w:pPr>
      <w:r w:rsidRPr="00BD54FC">
        <w:t xml:space="preserve">warrant check without good reason. </w:t>
      </w:r>
      <w:r>
        <w:t>‘</w:t>
      </w:r>
      <w:r w:rsidRPr="00BD54FC">
        <w:t>Our caselaw makes it clear that police may not</w:t>
      </w:r>
    </w:p>
    <w:p w14:paraId="500F5213" w14:textId="77777777" w:rsidR="006B067A" w:rsidRPr="00BD54FC" w:rsidRDefault="006B067A" w:rsidP="006B067A">
      <w:pPr>
        <w:pStyle w:val="NoSpacing"/>
        <w:ind w:firstLine="720"/>
      </w:pPr>
      <w:r w:rsidRPr="00BD54FC">
        <w:t>lawfully extend a welfare check by running a warrant check on an individual who is the</w:t>
      </w:r>
    </w:p>
    <w:p w14:paraId="76CC74C9" w14:textId="77777777" w:rsidR="006B067A" w:rsidRPr="00BD54FC" w:rsidRDefault="006B067A" w:rsidP="006B067A">
      <w:pPr>
        <w:pStyle w:val="NoSpacing"/>
        <w:ind w:firstLine="720"/>
      </w:pPr>
      <w:r w:rsidRPr="00BD54FC">
        <w:t>subject of the check unless some other circumstances support prolonging the check and</w:t>
      </w:r>
    </w:p>
    <w:p w14:paraId="1CA94865" w14:textId="77777777" w:rsidR="006B067A" w:rsidRDefault="006B067A" w:rsidP="006B067A">
      <w:pPr>
        <w:pStyle w:val="NoSpacing"/>
        <w:ind w:firstLine="720"/>
      </w:pPr>
      <w:r w:rsidRPr="00BD54FC">
        <w:t>converting it into a detention.</w:t>
      </w:r>
      <w:r>
        <w:t>’</w:t>
      </w:r>
      <w:r w:rsidRPr="00BD54FC">
        <w:t xml:space="preserve"> 311 Kan. at 932.</w:t>
      </w:r>
    </w:p>
    <w:p w14:paraId="254B0A75" w14:textId="77777777" w:rsidR="006B067A" w:rsidRDefault="006B067A" w:rsidP="006B067A">
      <w:pPr>
        <w:pStyle w:val="NoSpacing"/>
      </w:pPr>
    </w:p>
    <w:p w14:paraId="4ADCF415" w14:textId="77777777" w:rsidR="006B067A" w:rsidRDefault="006B067A" w:rsidP="006B067A">
      <w:pPr>
        <w:pStyle w:val="NoSpacing"/>
        <w:ind w:firstLine="720"/>
      </w:pPr>
      <w:r>
        <w:t>***</w:t>
      </w:r>
    </w:p>
    <w:p w14:paraId="198CB1B5" w14:textId="77777777" w:rsidR="006B067A" w:rsidRDefault="006B067A" w:rsidP="006B067A">
      <w:pPr>
        <w:pStyle w:val="NoSpacing"/>
        <w:ind w:firstLine="720"/>
      </w:pPr>
      <w:r>
        <w:t>This brings us to the third factor—once the officer is assured that the citizen is not</w:t>
      </w:r>
    </w:p>
    <w:p w14:paraId="458A2BB2" w14:textId="77777777" w:rsidR="006B067A" w:rsidRDefault="006B067A" w:rsidP="006B067A">
      <w:pPr>
        <w:pStyle w:val="NoSpacing"/>
        <w:ind w:firstLine="720"/>
      </w:pPr>
      <w:r>
        <w:t>in peril or is no longer in need of assistance, any actions beyond that constitute a seizure,</w:t>
      </w:r>
    </w:p>
    <w:p w14:paraId="60BB1551" w14:textId="77777777" w:rsidR="006B067A" w:rsidRDefault="006B067A" w:rsidP="006B067A">
      <w:pPr>
        <w:pStyle w:val="NoSpacing"/>
        <w:ind w:firstLine="720"/>
      </w:pPr>
      <w:r>
        <w:t>implicating the protections provided by the Fourth Amendment. Gonzales, 36 Kan. App.</w:t>
      </w:r>
    </w:p>
    <w:p w14:paraId="042DB379" w14:textId="77777777" w:rsidR="006B067A" w:rsidRDefault="006B067A" w:rsidP="006B067A">
      <w:pPr>
        <w:pStyle w:val="NoSpacing"/>
        <w:ind w:firstLine="720"/>
      </w:pPr>
      <w:r>
        <w:t xml:space="preserve">2d at 456. Once Willard refused care, and </w:t>
      </w:r>
      <w:proofErr w:type="gramStart"/>
      <w:r>
        <w:t>Long</w:t>
      </w:r>
      <w:proofErr w:type="gramEnd"/>
      <w:r>
        <w:t xml:space="preserve"> and the firefighters </w:t>
      </w:r>
      <w:proofErr w:type="gramStart"/>
      <w:r>
        <w:t>decided</w:t>
      </w:r>
      <w:proofErr w:type="gramEnd"/>
      <w:r>
        <w:t xml:space="preserve"> her friend</w:t>
      </w:r>
    </w:p>
    <w:p w14:paraId="684AE3C6" w14:textId="77777777" w:rsidR="006B067A" w:rsidRDefault="006B067A" w:rsidP="006B067A">
      <w:pPr>
        <w:pStyle w:val="NoSpacing"/>
        <w:ind w:firstLine="720"/>
      </w:pPr>
      <w:r>
        <w:t>could come pick her up, it was clear that she was not in peril and no longer in need of</w:t>
      </w:r>
    </w:p>
    <w:p w14:paraId="1C111353" w14:textId="77777777" w:rsidR="006B067A" w:rsidRDefault="006B067A" w:rsidP="006B067A">
      <w:pPr>
        <w:pStyle w:val="NoSpacing"/>
        <w:ind w:firstLine="720"/>
      </w:pPr>
      <w:r>
        <w:t>assistance. It was at this point the encounter should have ended.”</w:t>
      </w:r>
    </w:p>
    <w:p w14:paraId="561F1C4F" w14:textId="77777777" w:rsidR="006B067A" w:rsidRDefault="006B067A" w:rsidP="006B067A">
      <w:pPr>
        <w:pStyle w:val="NoSpacing"/>
      </w:pPr>
    </w:p>
    <w:p w14:paraId="028DF5A5" w14:textId="77777777" w:rsidR="006B067A" w:rsidRDefault="006B067A" w:rsidP="006B067A">
      <w:pPr>
        <w:pStyle w:val="NoSpacing"/>
      </w:pPr>
    </w:p>
    <w:p w14:paraId="1B15607C" w14:textId="77777777" w:rsidR="006B067A" w:rsidRPr="00EA0F8C" w:rsidRDefault="006B067A" w:rsidP="006B067A">
      <w:pPr>
        <w:pStyle w:val="NoSpacing"/>
        <w:rPr>
          <w:b/>
        </w:rPr>
      </w:pPr>
      <w:r>
        <w:t xml:space="preserve">DISSENT [Judge </w:t>
      </w:r>
      <w:r w:rsidRPr="00EA0F8C">
        <w:t>Kathryn A. Gardner</w:t>
      </w:r>
      <w:r>
        <w:t>]</w:t>
      </w:r>
    </w:p>
    <w:p w14:paraId="1E23289A" w14:textId="77777777" w:rsidR="006B067A" w:rsidRDefault="006B067A" w:rsidP="006B067A">
      <w:pPr>
        <w:pStyle w:val="NoSpacing"/>
      </w:pPr>
    </w:p>
    <w:p w14:paraId="45D9653A" w14:textId="77777777" w:rsidR="006B067A" w:rsidRDefault="006B067A" w:rsidP="006B067A">
      <w:pPr>
        <w:pStyle w:val="NoSpacing"/>
        <w:ind w:firstLine="720"/>
      </w:pPr>
      <w:r>
        <w:t xml:space="preserve"> “I would find that a seizure did not occur, so the Fourth Amendment to the United</w:t>
      </w:r>
    </w:p>
    <w:p w14:paraId="400D2E46" w14:textId="77777777" w:rsidR="006B067A" w:rsidRDefault="006B067A" w:rsidP="006B067A">
      <w:pPr>
        <w:pStyle w:val="NoSpacing"/>
        <w:ind w:firstLine="720"/>
      </w:pPr>
      <w:r>
        <w:t>States Constitution was not implicated. But even if a seizure did occur, all acts were</w:t>
      </w:r>
    </w:p>
    <w:p w14:paraId="54B502DA" w14:textId="77777777" w:rsidR="006B067A" w:rsidRDefault="006B067A" w:rsidP="006B067A">
      <w:pPr>
        <w:pStyle w:val="NoSpacing"/>
        <w:ind w:firstLine="720"/>
      </w:pPr>
      <w:r>
        <w:t>lawful. Officer Long's decision to run the warrant check was consistent with public safety</w:t>
      </w:r>
    </w:p>
    <w:p w14:paraId="3F3B53B7" w14:textId="77777777" w:rsidR="006B067A" w:rsidRDefault="006B067A" w:rsidP="006B067A">
      <w:pPr>
        <w:pStyle w:val="NoSpacing"/>
        <w:ind w:firstLine="720"/>
      </w:pPr>
      <w:r>
        <w:t>and did not unlawfully broaden or extend the scope of the encounter with Willard. Both</w:t>
      </w:r>
    </w:p>
    <w:p w14:paraId="62076A3F" w14:textId="77777777" w:rsidR="006B067A" w:rsidRDefault="006B067A" w:rsidP="006B067A">
      <w:pPr>
        <w:pStyle w:val="NoSpacing"/>
        <w:ind w:firstLine="720"/>
      </w:pPr>
      <w:proofErr w:type="gramStart"/>
      <w:r>
        <w:t>before</w:t>
      </w:r>
      <w:proofErr w:type="gramEnd"/>
      <w:r>
        <w:t xml:space="preserve"> and after the warrant check, Officer Long's contact with Willard was justified by</w:t>
      </w:r>
    </w:p>
    <w:p w14:paraId="5183D9C3" w14:textId="77777777" w:rsidR="006B067A" w:rsidRDefault="006B067A" w:rsidP="006B067A">
      <w:pPr>
        <w:pStyle w:val="NoSpacing"/>
        <w:ind w:firstLine="720"/>
      </w:pPr>
      <w:r>
        <w:t>safety reasons based on objective, specific, and articulable facts. The majority's</w:t>
      </w:r>
    </w:p>
    <w:p w14:paraId="4A45F6BD" w14:textId="77777777" w:rsidR="006B067A" w:rsidRDefault="006B067A" w:rsidP="006B067A">
      <w:pPr>
        <w:pStyle w:val="NoSpacing"/>
        <w:ind w:firstLine="720"/>
      </w:pPr>
      <w:r>
        <w:t>contention that the justification dissipated when Willard said she did not want assistance</w:t>
      </w:r>
    </w:p>
    <w:p w14:paraId="791795E3" w14:textId="77777777" w:rsidR="006B067A" w:rsidRDefault="006B067A" w:rsidP="006B067A">
      <w:pPr>
        <w:pStyle w:val="NoSpacing"/>
        <w:ind w:firstLine="720"/>
      </w:pPr>
      <w:r>
        <w:t>is unfounded.”</w:t>
      </w:r>
    </w:p>
    <w:p w14:paraId="18DE0E84" w14:textId="77777777" w:rsidR="006B067A" w:rsidRDefault="006B067A" w:rsidP="006B067A">
      <w:pPr>
        <w:pStyle w:val="NoSpacing"/>
        <w:ind w:firstLine="720"/>
      </w:pPr>
    </w:p>
    <w:p w14:paraId="19DFAAE8" w14:textId="31800470" w:rsidR="006B067A" w:rsidRPr="0057222C" w:rsidRDefault="006B067A" w:rsidP="006B067A">
      <w:pPr>
        <w:pStyle w:val="NoSpacing"/>
        <w:rPr>
          <w:b/>
          <w:bCs/>
        </w:rPr>
      </w:pPr>
      <w:r w:rsidRPr="00EA0F8C">
        <w:rPr>
          <w:b/>
        </w:rPr>
        <w:t>L</w:t>
      </w:r>
      <w:r>
        <w:rPr>
          <w:b/>
        </w:rPr>
        <w:t xml:space="preserve">esson learned:  </w:t>
      </w:r>
      <w:r w:rsidRPr="0057222C">
        <w:rPr>
          <w:b/>
        </w:rPr>
        <w:t>Powerful dissent – “warrant check was consistent with public safety.”</w:t>
      </w:r>
    </w:p>
    <w:p w14:paraId="34AC4EAA" w14:textId="77777777" w:rsidR="006B067A" w:rsidRDefault="006B067A" w:rsidP="006B067A">
      <w:pPr>
        <w:pStyle w:val="NoSpacing"/>
      </w:pPr>
    </w:p>
    <w:p w14:paraId="721EEB47" w14:textId="77777777" w:rsidR="006D545F" w:rsidRDefault="006D545F" w:rsidP="00004498">
      <w:pPr>
        <w:rPr>
          <w:rFonts w:ascii="Arial Black" w:hAnsi="Arial Black"/>
          <w:b/>
          <w:bCs/>
          <w:sz w:val="24"/>
          <w:szCs w:val="24"/>
        </w:rPr>
      </w:pPr>
    </w:p>
    <w:p w14:paraId="2DF4DAF2" w14:textId="7F819423" w:rsidR="00F515BD" w:rsidRDefault="00F62795" w:rsidP="00004498">
      <w:pPr>
        <w:rPr>
          <w:rFonts w:ascii="Arial Black" w:hAnsi="Arial Black"/>
          <w:b/>
          <w:bCs/>
          <w:sz w:val="24"/>
          <w:szCs w:val="24"/>
        </w:rPr>
      </w:pPr>
      <w:r>
        <w:rPr>
          <w:rFonts w:ascii="Arial Black" w:hAnsi="Arial Black"/>
          <w:b/>
          <w:bCs/>
          <w:sz w:val="24"/>
          <w:szCs w:val="24"/>
        </w:rPr>
        <w:t>13-2</w:t>
      </w:r>
      <w:r w:rsidR="00524647">
        <w:rPr>
          <w:rFonts w:ascii="Arial Black" w:hAnsi="Arial Black"/>
          <w:b/>
          <w:bCs/>
          <w:sz w:val="24"/>
          <w:szCs w:val="24"/>
        </w:rPr>
        <w:t>29</w:t>
      </w:r>
    </w:p>
    <w:p w14:paraId="7C30A87A" w14:textId="09BAA6F2" w:rsidR="00F515BD" w:rsidRDefault="00F515BD" w:rsidP="00F515BD">
      <w:pPr>
        <w:spacing w:after="0"/>
        <w:rPr>
          <w:rFonts w:ascii="Arial Black" w:hAnsi="Arial Black"/>
          <w:b/>
          <w:sz w:val="28"/>
          <w:szCs w:val="28"/>
        </w:rPr>
      </w:pPr>
      <w:r>
        <w:rPr>
          <w:rFonts w:ascii="Arial Black" w:hAnsi="Arial Black"/>
          <w:sz w:val="28"/>
          <w:szCs w:val="28"/>
        </w:rPr>
        <w:t xml:space="preserve">MI: COVID </w:t>
      </w:r>
      <w:r w:rsidRPr="001D2498">
        <w:rPr>
          <w:rFonts w:ascii="Arial Black" w:hAnsi="Arial Black"/>
          <w:b/>
          <w:sz w:val="28"/>
          <w:szCs w:val="28"/>
        </w:rPr>
        <w:t>PT</w:t>
      </w:r>
      <w:r>
        <w:rPr>
          <w:rFonts w:ascii="Arial Black" w:hAnsi="Arial Black"/>
          <w:b/>
          <w:sz w:val="28"/>
          <w:szCs w:val="28"/>
        </w:rPr>
        <w:t xml:space="preserve"> NOT TRANS (2X) – </w:t>
      </w:r>
      <w:r w:rsidR="006043BC">
        <w:rPr>
          <w:rFonts w:ascii="Arial Black" w:hAnsi="Arial Black"/>
          <w:b/>
          <w:sz w:val="28"/>
          <w:szCs w:val="28"/>
        </w:rPr>
        <w:t xml:space="preserve">GROSS NEG. </w:t>
      </w:r>
      <w:r w:rsidR="00054335">
        <w:rPr>
          <w:rFonts w:ascii="Arial Black" w:hAnsi="Arial Black"/>
          <w:b/>
          <w:sz w:val="28"/>
          <w:szCs w:val="28"/>
        </w:rPr>
        <w:t xml:space="preserve">LAWSUIT REINSTATED </w:t>
      </w:r>
    </w:p>
    <w:p w14:paraId="71BC52EB" w14:textId="77777777" w:rsidR="00F515BD" w:rsidRDefault="00F515BD" w:rsidP="00F515BD">
      <w:pPr>
        <w:spacing w:after="0"/>
      </w:pPr>
    </w:p>
    <w:p w14:paraId="60C5F249" w14:textId="77777777" w:rsidR="00F515BD" w:rsidRDefault="00F515BD" w:rsidP="00F515BD">
      <w:pPr>
        <w:spacing w:after="0"/>
      </w:pPr>
      <w:r>
        <w:t xml:space="preserve">On Oct. 23, 2025, in </w:t>
      </w:r>
      <w:r w:rsidRPr="00B851B0">
        <w:rPr>
          <w:u w:val="single"/>
        </w:rPr>
        <w:t>Daniel Wehner, Personal Representative of the Estate of Dale Wehner v. Tr-Hospital Emergency Medical Services Corporation, et al</w:t>
      </w:r>
      <w:r>
        <w:t xml:space="preserve">, the Court of Appeals of Michigan held (3 to 0) that lawsuit should be reinstated, since there is some evidence of “gross negligence” when EMS did not transport a COVID patient on two calls (Oct. 3, 2021 and Oct. 5, 2021). Whether Dale </w:t>
      </w:r>
      <w:proofErr w:type="gramStart"/>
      <w:r>
        <w:t>actually signed</w:t>
      </w:r>
      <w:proofErr w:type="gramEnd"/>
      <w:r>
        <w:t xml:space="preserve"> or initialed the refusal forms is in dispute; his name is badly misspelled on Oct. 3 report; and only initials were on the Oct. 5 report. </w:t>
      </w:r>
      <w:hyperlink r:id="rId2059" w:history="1">
        <w:r w:rsidRPr="00356365">
          <w:rPr>
            <w:rStyle w:val="Hyperlink"/>
          </w:rPr>
          <w:t>https://www.michbar.org/Portals/0/opinions/appeals/2025/102325/84576.pdf</w:t>
        </w:r>
      </w:hyperlink>
      <w:r>
        <w:t xml:space="preserve"> </w:t>
      </w:r>
    </w:p>
    <w:p w14:paraId="24ECD089" w14:textId="77777777" w:rsidR="00F515BD" w:rsidRDefault="00F515BD" w:rsidP="00F515BD">
      <w:pPr>
        <w:spacing w:after="0"/>
      </w:pPr>
    </w:p>
    <w:p w14:paraId="2C08CE78" w14:textId="77777777" w:rsidR="00F515BD" w:rsidRDefault="00F515BD" w:rsidP="00F515BD">
      <w:pPr>
        <w:spacing w:after="0"/>
      </w:pPr>
      <w:r>
        <w:t xml:space="preserve">COURT HELD:  </w:t>
      </w:r>
    </w:p>
    <w:p w14:paraId="68E59BFF" w14:textId="77777777" w:rsidR="00F515BD" w:rsidRDefault="00F515BD" w:rsidP="00F515BD">
      <w:pPr>
        <w:spacing w:after="0"/>
      </w:pPr>
    </w:p>
    <w:p w14:paraId="4B9E6DA3" w14:textId="77777777" w:rsidR="00F515BD" w:rsidRDefault="00F515BD" w:rsidP="00F515BD">
      <w:pPr>
        <w:spacing w:after="0"/>
        <w:ind w:left="720"/>
      </w:pPr>
      <w:r>
        <w:lastRenderedPageBreak/>
        <w:t xml:space="preserve">“Here, plaintiff alleges that defendants told Dale that he would be fine and that he should not go to the hospital because it was full. In contrast, each defendant [EMS] testified that Dale’s condition was so dire that it was imperative that he </w:t>
      </w:r>
      <w:proofErr w:type="gramStart"/>
      <w:r>
        <w:t>go</w:t>
      </w:r>
      <w:proofErr w:type="gramEnd"/>
      <w:r>
        <w:t xml:space="preserve"> to the hospital. In fact, they have consistently argued that Dale was advised of the risks of declining treatment, yet he voluntarily chose not to be transported to the hospital for further evaluation or treatment. In support, defendants [EMS] rely on their own testimony and the assertion that Dale, on October 3rd, purportedly signed his name in the signature box acknowledging that he was declining treatment and transport, and on October 5th, he purportedly placed his initials in the relevant signature box. Whether Dale </w:t>
      </w:r>
      <w:proofErr w:type="gramStart"/>
      <w:r>
        <w:t>actually signed</w:t>
      </w:r>
      <w:proofErr w:type="gramEnd"/>
      <w:r>
        <w:t xml:space="preserve"> or initialed the documents is in dispute. It is notable that Dale’s name is badly misspelled in the signature box of the Patient Care Report (PCR) generated for the October 3rd ambulance run (‘</w:t>
      </w:r>
      <w:proofErr w:type="spellStart"/>
      <w:r>
        <w:t>Sehren</w:t>
      </w:r>
      <w:proofErr w:type="spellEnd"/>
      <w:r>
        <w:t xml:space="preserve">’ rather than ‘Wehner’), and only the initials ‘DW; were placed in the signature box relative to the October 5th run. *** Added to these discrepancies, Grace Warmbier, a trained document examiner, examined the signature and initials in the signature boxes acknowledging the refusal of treatment or transport. She compared those signatures to known handwriting samples and concluded that Dale did not sign the refusal of services. The foregoing evidence casts sufficient doubt on the assertion that Dale placed his signature and initials in the signature boxes acknowledging that the risks had been explained and he was nonetheless refusing services and transportation to the hospital. If Dale did not sign the acknowledgments, then this would be a particularly relevant piece of </w:t>
      </w:r>
      <w:proofErr w:type="gramStart"/>
      <w:r>
        <w:t>evidence.”</w:t>
      </w:r>
      <w:proofErr w:type="gramEnd"/>
      <w:r>
        <w:t xml:space="preserve"> </w:t>
      </w:r>
    </w:p>
    <w:p w14:paraId="17E0E48D" w14:textId="77777777" w:rsidR="00F515BD" w:rsidRDefault="00F515BD" w:rsidP="00F515BD">
      <w:pPr>
        <w:spacing w:after="0"/>
        <w:rPr>
          <w:b/>
          <w:bCs/>
        </w:rPr>
      </w:pPr>
    </w:p>
    <w:p w14:paraId="29ACC300" w14:textId="50A84284" w:rsidR="00F515BD" w:rsidRDefault="00F515BD" w:rsidP="00F515BD">
      <w:pPr>
        <w:spacing w:after="0"/>
        <w:rPr>
          <w:b/>
          <w:bCs/>
        </w:rPr>
      </w:pPr>
      <w:r>
        <w:rPr>
          <w:b/>
        </w:rPr>
        <w:t>Lesson Learned: If patient signature is misspelled, or initials unclear, ask spouse to co-sign.</w:t>
      </w:r>
    </w:p>
    <w:p w14:paraId="63C19F4E" w14:textId="77777777" w:rsidR="00F515BD" w:rsidRDefault="00F515BD" w:rsidP="00F515BD">
      <w:pPr>
        <w:spacing w:after="0"/>
        <w:rPr>
          <w:b/>
          <w:bCs/>
        </w:rPr>
      </w:pPr>
    </w:p>
    <w:p w14:paraId="49DFB6BD" w14:textId="77777777" w:rsidR="00F515BD" w:rsidRDefault="00F515BD" w:rsidP="00004498">
      <w:pPr>
        <w:rPr>
          <w:rFonts w:ascii="Arial Black" w:hAnsi="Arial Black"/>
          <w:b/>
          <w:bCs/>
          <w:sz w:val="24"/>
          <w:szCs w:val="24"/>
        </w:rPr>
      </w:pPr>
    </w:p>
    <w:p w14:paraId="355C7E01" w14:textId="3CED3CB6" w:rsidR="006D545F" w:rsidRDefault="00F62795" w:rsidP="00004498">
      <w:pPr>
        <w:rPr>
          <w:rFonts w:ascii="Arial Black" w:hAnsi="Arial Black"/>
          <w:b/>
          <w:bCs/>
          <w:sz w:val="24"/>
          <w:szCs w:val="24"/>
        </w:rPr>
      </w:pPr>
      <w:r>
        <w:rPr>
          <w:rFonts w:ascii="Arial Black" w:hAnsi="Arial Black"/>
          <w:b/>
          <w:bCs/>
          <w:sz w:val="24"/>
          <w:szCs w:val="24"/>
        </w:rPr>
        <w:t>13-22</w:t>
      </w:r>
      <w:r w:rsidR="00524647">
        <w:rPr>
          <w:rFonts w:ascii="Arial Black" w:hAnsi="Arial Black"/>
          <w:b/>
          <w:bCs/>
          <w:sz w:val="24"/>
          <w:szCs w:val="24"/>
        </w:rPr>
        <w:t>8</w:t>
      </w:r>
    </w:p>
    <w:p w14:paraId="3798C4BA" w14:textId="5A41B9BD" w:rsidR="00550025" w:rsidRPr="0073614C" w:rsidRDefault="00550025" w:rsidP="00550025">
      <w:pPr>
        <w:pStyle w:val="NoSpacing"/>
        <w:rPr>
          <w:rFonts w:ascii="Arial Black" w:hAnsi="Arial Black"/>
          <w:b/>
          <w:sz w:val="28"/>
          <w:szCs w:val="28"/>
        </w:rPr>
      </w:pPr>
      <w:r>
        <w:rPr>
          <w:rFonts w:ascii="Arial Black" w:hAnsi="Arial Black"/>
          <w:b/>
          <w:sz w:val="28"/>
          <w:szCs w:val="28"/>
        </w:rPr>
        <w:t xml:space="preserve">NJ: PT TRIED JUMP </w:t>
      </w:r>
      <w:r w:rsidR="00FA7170">
        <w:rPr>
          <w:rFonts w:ascii="Arial Black" w:hAnsi="Arial Black"/>
          <w:b/>
          <w:sz w:val="28"/>
          <w:szCs w:val="28"/>
        </w:rPr>
        <w:t xml:space="preserve">OUT </w:t>
      </w:r>
      <w:r>
        <w:rPr>
          <w:rFonts w:ascii="Arial Black" w:hAnsi="Arial Black"/>
          <w:b/>
          <w:sz w:val="28"/>
          <w:szCs w:val="28"/>
        </w:rPr>
        <w:t>AMBUL – STOPPED – NO LIAB / ANKLE</w:t>
      </w:r>
    </w:p>
    <w:p w14:paraId="7ABFEEC1" w14:textId="77777777" w:rsidR="00550025" w:rsidRDefault="00550025" w:rsidP="00550025">
      <w:pPr>
        <w:pStyle w:val="NoSpacing"/>
        <w:rPr>
          <w:b/>
        </w:rPr>
      </w:pPr>
    </w:p>
    <w:p w14:paraId="3037647D" w14:textId="77777777" w:rsidR="00550025" w:rsidRDefault="00550025" w:rsidP="00550025">
      <w:pPr>
        <w:pStyle w:val="NoSpacing"/>
        <w:rPr>
          <w:b/>
        </w:rPr>
      </w:pPr>
      <w:r>
        <w:t xml:space="preserve">On Oct. 22, 2025, in </w:t>
      </w:r>
      <w:r w:rsidRPr="00741E4D">
        <w:rPr>
          <w:u w:val="single"/>
        </w:rPr>
        <w:t>Sandra Poling v. Atlantic Mobile Health, et al</w:t>
      </w:r>
      <w:r>
        <w:t xml:space="preserve">., the </w:t>
      </w:r>
      <w:r w:rsidRPr="00741E4D">
        <w:t>Superior Court of New Jersey, Appellate Division</w:t>
      </w:r>
      <w:r>
        <w:t xml:space="preserve"> held (3 to 0) that trial court properly granted summary judgment to the ambulance company and two EMTs.  The plaintiff claimed that EMT broke her ankle when preventing her from jumping out of a moving ambulance (MD testimony - doubtful he caused injury) and she provided no expert to testify that EMT acted inappropriately in retaining her by the ambulance side exert door.  </w:t>
      </w:r>
      <w:hyperlink r:id="rId2060" w:history="1">
        <w:r w:rsidRPr="00F346A5">
          <w:rPr>
            <w:rStyle w:val="Hyperlink"/>
            <w:b/>
          </w:rPr>
          <w:t>https://www.njcourts.gov/system/files/court-opinions/2025/a0275-24.pdf</w:t>
        </w:r>
      </w:hyperlink>
      <w:r>
        <w:rPr>
          <w:b/>
        </w:rPr>
        <w:t xml:space="preserve"> </w:t>
      </w:r>
    </w:p>
    <w:p w14:paraId="5816EB59" w14:textId="77777777" w:rsidR="00550025" w:rsidRDefault="00550025" w:rsidP="00550025">
      <w:pPr>
        <w:pStyle w:val="NoSpacing"/>
        <w:rPr>
          <w:b/>
        </w:rPr>
      </w:pPr>
    </w:p>
    <w:p w14:paraId="024F8A4E" w14:textId="77777777" w:rsidR="00550025" w:rsidRDefault="00550025" w:rsidP="00550025">
      <w:pPr>
        <w:pStyle w:val="NoSpacing"/>
        <w:rPr>
          <w:bCs/>
        </w:rPr>
      </w:pPr>
      <w:r w:rsidRPr="00BF18DF">
        <w:t xml:space="preserve">THE COURT HELD: </w:t>
      </w:r>
    </w:p>
    <w:p w14:paraId="40798510" w14:textId="77777777" w:rsidR="00550025" w:rsidRDefault="00550025" w:rsidP="00550025">
      <w:pPr>
        <w:pStyle w:val="NoSpacing"/>
        <w:rPr>
          <w:bCs/>
        </w:rPr>
      </w:pPr>
    </w:p>
    <w:p w14:paraId="10F28F88" w14:textId="77777777" w:rsidR="00550025" w:rsidRDefault="00550025" w:rsidP="00550025">
      <w:pPr>
        <w:pStyle w:val="NoSpacing"/>
        <w:ind w:left="720"/>
      </w:pPr>
      <w:r>
        <w:t>“The trial court dismissed plaintiff's complaint determining plaintiff raised claims of professional negligence for injuries sustained during ambulance transport but failed to</w:t>
      </w:r>
    </w:p>
    <w:p w14:paraId="44792148" w14:textId="77777777" w:rsidR="00550025" w:rsidRDefault="00550025" w:rsidP="00550025">
      <w:pPr>
        <w:pStyle w:val="NoSpacing"/>
        <w:ind w:left="720"/>
      </w:pPr>
      <w:r>
        <w:t>provide expert proof regarding the standard of care or breach by defendant emergency responders. We affirm.</w:t>
      </w:r>
    </w:p>
    <w:p w14:paraId="75FEAEEE" w14:textId="77777777" w:rsidR="00550025" w:rsidRDefault="00550025" w:rsidP="00550025">
      <w:pPr>
        <w:pStyle w:val="NoSpacing"/>
        <w:ind w:left="720"/>
      </w:pPr>
    </w:p>
    <w:p w14:paraId="4689D041" w14:textId="77777777" w:rsidR="00550025" w:rsidRDefault="00550025" w:rsidP="00550025">
      <w:pPr>
        <w:pStyle w:val="NoSpacing"/>
        <w:ind w:left="720"/>
      </w:pPr>
      <w:r>
        <w:t>***</w:t>
      </w:r>
    </w:p>
    <w:p w14:paraId="300727C1" w14:textId="77777777" w:rsidR="00550025" w:rsidRDefault="00550025" w:rsidP="00550025">
      <w:pPr>
        <w:pStyle w:val="NoSpacing"/>
        <w:ind w:left="720"/>
      </w:pPr>
      <w:r>
        <w:t xml:space="preserve">Although the precise movements utilized by [EMT] Vazquez to stabilize plaintiff were disputed, the critical material facts were not. Plaintiff was intoxicated, argumentative, and defiant of orders. She removed safety restraints, moved off the stretcher, and vaped all while the vehicle was moving on the roadway. This was a rapidly changing situation in which plaintiff's erratic conduct escalated and potentially threatened her safety. At the time plaintiff admittedly threatened to jump out of the moving ambulance, Vazquez, a licensed and trained emergency response professional, was faced ‘with a split-second decision,’ which implicated multiple complex factors and considerations. These included Vazquez's and Golightly's relevant prior training, applicable safety standards, plaintiff's unpredictable behavior and belligerence, her intoxication and unwillingness to comply with orders or maintain restraints for her own security, the EMTs' understanding of layout of the ambulance as it </w:t>
      </w:r>
      <w:r>
        <w:lastRenderedPageBreak/>
        <w:t>impacted the ability to control the situation to protect plaintiff from harm, and the options for most-safely subduing plaintiff and preventing her movement in light of all the failed attempts to gain her compliance.</w:t>
      </w:r>
    </w:p>
    <w:p w14:paraId="1D8CDE4C" w14:textId="77777777" w:rsidR="00550025" w:rsidRDefault="00550025" w:rsidP="00550025">
      <w:pPr>
        <w:pStyle w:val="NoSpacing"/>
        <w:ind w:left="720"/>
      </w:pPr>
    </w:p>
    <w:p w14:paraId="4038D284" w14:textId="77777777" w:rsidR="00550025" w:rsidRDefault="00550025" w:rsidP="00550025">
      <w:pPr>
        <w:pStyle w:val="NoSpacing"/>
        <w:ind w:left="720"/>
      </w:pPr>
      <w:r>
        <w:t>***</w:t>
      </w:r>
    </w:p>
    <w:p w14:paraId="5EF0E1AD" w14:textId="77777777" w:rsidR="00550025" w:rsidRDefault="00550025" w:rsidP="00550025">
      <w:pPr>
        <w:pStyle w:val="NoSpacing"/>
        <w:ind w:left="720"/>
      </w:pPr>
    </w:p>
    <w:p w14:paraId="5A0E8DE0" w14:textId="77777777" w:rsidR="00550025" w:rsidRDefault="00550025" w:rsidP="00550025">
      <w:pPr>
        <w:pStyle w:val="NoSpacing"/>
        <w:ind w:left="720"/>
      </w:pPr>
      <w:r>
        <w:t xml:space="preserve">Defendants also retained Paul A. Werfel, MS, NR-P, a professional paramedic and Assistant Professor of Clinical Emergency Medicine, as an expert on the standard of care for EMTs…. Professor Werfel recounted the details leading to the incident involving plaintiff. He noted that upon arrival, [EMT] Golightly and Vazquez encountered </w:t>
      </w:r>
      <w:proofErr w:type="gramStart"/>
      <w:r>
        <w:t>plaintiff</w:t>
      </w:r>
      <w:proofErr w:type="gramEnd"/>
      <w:r>
        <w:t xml:space="preserve"> accompanied by police and in a highly intoxicated state. Citing plaintiff's deposition, he found plaintiff became agitated, unbuckled the stretcher's straps, began vaping, became more upset as Vazquez attempted to calm her down, and ‘stated to EMT Vazquez 'you don't give a f[***] about me, I am jumping out of this ambulance.’</w:t>
      </w:r>
    </w:p>
    <w:p w14:paraId="7B65B705" w14:textId="77777777" w:rsidR="00550025" w:rsidRDefault="00550025" w:rsidP="00550025">
      <w:pPr>
        <w:pStyle w:val="NoSpacing"/>
      </w:pPr>
    </w:p>
    <w:p w14:paraId="082B2332" w14:textId="77777777" w:rsidR="00550025" w:rsidRDefault="00550025" w:rsidP="00550025">
      <w:pPr>
        <w:pStyle w:val="NoSpacing"/>
      </w:pPr>
    </w:p>
    <w:p w14:paraId="79F1E9B0" w14:textId="77777777" w:rsidR="00550025" w:rsidRDefault="00550025" w:rsidP="00550025">
      <w:pPr>
        <w:pStyle w:val="NoSpacing"/>
        <w:ind w:left="720"/>
      </w:pPr>
      <w:r>
        <w:t>The expert opined defendants' conduct was ‘what one should expect from an ambulance crew and [</w:t>
      </w:r>
      <w:proofErr w:type="spellStart"/>
      <w:proofErr w:type="gramStart"/>
      <w:r>
        <w:t>wa</w:t>
      </w:r>
      <w:proofErr w:type="spellEnd"/>
      <w:r>
        <w:t>]s</w:t>
      </w:r>
      <w:proofErr w:type="gramEnd"/>
      <w:r>
        <w:t xml:space="preserve"> well within the standard of care.’ He concluded Vazquez and Golightly ‘were faced with an intoxicated, and uncooperative patient [who] ultimately became verbally and physically abusive during transport.’ He determined that both Vazquez and Golightly were adequately trained and conducted themselves within the standard of care for EMTs throughout their interaction with plaintiff. Further, he found ‘Vazquez responded emergently to the fact that [plaintiff] created a very real threat to herself by attempting to open the door to the ambulance and jump out while the truck was moving’ and he ‘did very well to try and de-escalate the situation.’ </w:t>
      </w:r>
    </w:p>
    <w:p w14:paraId="509EEB70" w14:textId="77777777" w:rsidR="00550025" w:rsidRDefault="00550025" w:rsidP="00550025">
      <w:pPr>
        <w:pStyle w:val="NoSpacing"/>
        <w:ind w:left="720"/>
      </w:pPr>
    </w:p>
    <w:p w14:paraId="7BBB141B" w14:textId="77777777" w:rsidR="00550025" w:rsidRDefault="00550025" w:rsidP="00550025">
      <w:pPr>
        <w:pStyle w:val="NoSpacing"/>
        <w:ind w:left="720"/>
        <w:rPr>
          <w:b/>
        </w:rPr>
      </w:pPr>
      <w:r>
        <w:t>***</w:t>
      </w:r>
    </w:p>
    <w:p w14:paraId="52FF49A4" w14:textId="77777777" w:rsidR="00550025" w:rsidRDefault="00550025" w:rsidP="00550025">
      <w:pPr>
        <w:pStyle w:val="NoSpacing"/>
        <w:rPr>
          <w:b/>
        </w:rPr>
      </w:pPr>
    </w:p>
    <w:p w14:paraId="26B8FFE8" w14:textId="77777777" w:rsidR="00550025" w:rsidRDefault="00550025" w:rsidP="00550025">
      <w:pPr>
        <w:pStyle w:val="NoSpacing"/>
        <w:ind w:left="720"/>
      </w:pPr>
      <w:r>
        <w:t>Plaintiff neither presented an expert report nor attempted to depose defendants' expert. Thus, based on the record before it, the [trial] court properly dismissed plaintiff's claims.”</w:t>
      </w:r>
    </w:p>
    <w:p w14:paraId="223E2D44" w14:textId="77777777" w:rsidR="00550025" w:rsidRDefault="00550025" w:rsidP="00550025">
      <w:pPr>
        <w:pStyle w:val="NoSpacing"/>
        <w:ind w:left="720"/>
      </w:pPr>
    </w:p>
    <w:p w14:paraId="465B5634" w14:textId="43E68073" w:rsidR="00550025" w:rsidRPr="0075792F" w:rsidRDefault="00550025" w:rsidP="00550025">
      <w:pPr>
        <w:pStyle w:val="NoSpacing"/>
        <w:rPr>
          <w:b/>
          <w:bCs/>
        </w:rPr>
      </w:pPr>
      <w:r>
        <w:rPr>
          <w:b/>
        </w:rPr>
        <w:t xml:space="preserve">Lesson learned: The EMS run report thoroughly documented efforts to prevent the drunk and belligerent patient from jumping out of a moving ambulance. </w:t>
      </w:r>
    </w:p>
    <w:p w14:paraId="3906F430" w14:textId="77777777" w:rsidR="00550025" w:rsidRPr="00F02C51" w:rsidRDefault="00550025" w:rsidP="00550025">
      <w:pPr>
        <w:spacing w:after="0"/>
        <w:rPr>
          <w:b/>
          <w:bCs/>
        </w:rPr>
      </w:pPr>
    </w:p>
    <w:p w14:paraId="5AD2B379" w14:textId="77777777" w:rsidR="00550025" w:rsidRDefault="00550025" w:rsidP="00550025">
      <w:pPr>
        <w:spacing w:after="0"/>
      </w:pPr>
    </w:p>
    <w:p w14:paraId="28720B74" w14:textId="77777777" w:rsidR="004612E3" w:rsidRDefault="004612E3" w:rsidP="00004498">
      <w:pPr>
        <w:rPr>
          <w:rFonts w:ascii="Arial Black" w:hAnsi="Arial Black"/>
          <w:b/>
          <w:bCs/>
          <w:sz w:val="24"/>
          <w:szCs w:val="24"/>
        </w:rPr>
      </w:pPr>
    </w:p>
    <w:p w14:paraId="15B15960" w14:textId="77777777" w:rsidR="004612E3" w:rsidRDefault="004612E3" w:rsidP="00004498">
      <w:pPr>
        <w:rPr>
          <w:rFonts w:ascii="Arial Black" w:hAnsi="Arial Black"/>
          <w:b/>
          <w:bCs/>
          <w:sz w:val="24"/>
          <w:szCs w:val="24"/>
        </w:rPr>
      </w:pPr>
    </w:p>
    <w:p w14:paraId="56C491E4" w14:textId="77777777" w:rsidR="004612E3" w:rsidRDefault="004612E3" w:rsidP="00004498">
      <w:pPr>
        <w:rPr>
          <w:rFonts w:ascii="Arial Black" w:hAnsi="Arial Black"/>
          <w:b/>
          <w:bCs/>
          <w:sz w:val="24"/>
          <w:szCs w:val="24"/>
        </w:rPr>
      </w:pPr>
    </w:p>
    <w:p w14:paraId="7777C148" w14:textId="4455E4D2" w:rsidR="00004498" w:rsidRPr="002E2CF4" w:rsidRDefault="00004498" w:rsidP="00004498">
      <w:pPr>
        <w:rPr>
          <w:rFonts w:ascii="Arial Black" w:hAnsi="Arial Black"/>
          <w:b/>
          <w:bCs/>
          <w:sz w:val="24"/>
          <w:szCs w:val="24"/>
        </w:rPr>
      </w:pPr>
      <w:r w:rsidRPr="002E2CF4">
        <w:rPr>
          <w:rFonts w:ascii="Arial Black" w:hAnsi="Arial Black"/>
          <w:b/>
          <w:bCs/>
          <w:sz w:val="24"/>
          <w:szCs w:val="24"/>
        </w:rPr>
        <w:t>13-22</w:t>
      </w:r>
      <w:r w:rsidR="00524647">
        <w:rPr>
          <w:rFonts w:ascii="Arial Black" w:hAnsi="Arial Black"/>
          <w:b/>
          <w:bCs/>
          <w:sz w:val="24"/>
          <w:szCs w:val="24"/>
        </w:rPr>
        <w:t>7</w:t>
      </w:r>
    </w:p>
    <w:p w14:paraId="5AEEA28F" w14:textId="3C114372" w:rsidR="00A96BBF" w:rsidRDefault="00A96BBF" w:rsidP="00A96BBF">
      <w:pPr>
        <w:pStyle w:val="NoSpacing"/>
        <w:rPr>
          <w:rFonts w:ascii="Arial Black" w:hAnsi="Arial Black"/>
          <w:bCs/>
          <w:sz w:val="28"/>
          <w:szCs w:val="28"/>
        </w:rPr>
      </w:pPr>
      <w:r>
        <w:rPr>
          <w:rFonts w:ascii="Arial Black" w:hAnsi="Arial Black"/>
          <w:sz w:val="28"/>
          <w:szCs w:val="28"/>
        </w:rPr>
        <w:t>A</w:t>
      </w:r>
      <w:r w:rsidR="00F95C6C">
        <w:rPr>
          <w:rFonts w:ascii="Arial Black" w:hAnsi="Arial Black"/>
          <w:sz w:val="28"/>
          <w:szCs w:val="28"/>
        </w:rPr>
        <w:t>Z</w:t>
      </w:r>
      <w:r>
        <w:rPr>
          <w:rFonts w:ascii="Arial Black" w:hAnsi="Arial Black"/>
          <w:sz w:val="28"/>
          <w:szCs w:val="28"/>
        </w:rPr>
        <w:t xml:space="preserve">: OVERDOSE – </w:t>
      </w:r>
      <w:r w:rsidR="008D3A9B">
        <w:rPr>
          <w:rFonts w:ascii="Arial Black" w:hAnsi="Arial Black"/>
          <w:sz w:val="28"/>
          <w:szCs w:val="28"/>
        </w:rPr>
        <w:t xml:space="preserve">PT </w:t>
      </w:r>
      <w:r>
        <w:rPr>
          <w:rFonts w:ascii="Arial Black" w:hAnsi="Arial Black"/>
          <w:sz w:val="28"/>
          <w:szCs w:val="28"/>
        </w:rPr>
        <w:t>CALL MEDICAL HELP – CAN’T PROSECUTE</w:t>
      </w:r>
    </w:p>
    <w:p w14:paraId="0FDF4036" w14:textId="77777777" w:rsidR="00A96BBF" w:rsidRDefault="00A96BBF" w:rsidP="00A96BBF">
      <w:pPr>
        <w:pStyle w:val="NoSpacing"/>
        <w:rPr>
          <w:bCs/>
        </w:rPr>
      </w:pPr>
    </w:p>
    <w:p w14:paraId="02AF1F8D" w14:textId="46D581CF" w:rsidR="00A96BBF" w:rsidRDefault="00A96BBF" w:rsidP="00A96BBF">
      <w:pPr>
        <w:pStyle w:val="NoSpacing"/>
        <w:rPr>
          <w:bCs/>
        </w:rPr>
      </w:pPr>
      <w:r>
        <w:t xml:space="preserve">On September 25, 2025, in </w:t>
      </w:r>
      <w:r w:rsidRPr="001470E9">
        <w:rPr>
          <w:u w:val="single"/>
        </w:rPr>
        <w:t>State of Arizona v. Corinthian Jerry Johnson</w:t>
      </w:r>
      <w:r>
        <w:t xml:space="preserve">, the </w:t>
      </w:r>
      <w:r w:rsidRPr="0069190C">
        <w:t>Court of Appeals of Arizona, First Division</w:t>
      </w:r>
      <w:r>
        <w:t xml:space="preserve"> held (3 to 0) that trial court properly dismissed possession and use of narcotic charges, since casino Security Guard called 911 when he observed the defendant passed out in his car.</w:t>
      </w:r>
      <w:r w:rsidR="00B9006C">
        <w:t xml:space="preserve"> </w:t>
      </w:r>
      <w:hyperlink r:id="rId2061" w:history="1">
        <w:r w:rsidR="00B9006C" w:rsidRPr="003870A5">
          <w:rPr>
            <w:rStyle w:val="Hyperlink"/>
          </w:rPr>
          <w:t>https://jpr.azcourts.gov/Portals/0/OpinionFiles/Div1/2025/1%20CA-CR%2024-0549%20Johnson.pdf</w:t>
        </w:r>
      </w:hyperlink>
      <w:r w:rsidR="00B9006C">
        <w:t xml:space="preserve"> </w:t>
      </w:r>
    </w:p>
    <w:p w14:paraId="135A2616" w14:textId="77777777" w:rsidR="00A96BBF" w:rsidRDefault="00A96BBF" w:rsidP="00A96BBF">
      <w:pPr>
        <w:pStyle w:val="NoSpacing"/>
        <w:rPr>
          <w:bCs/>
        </w:rPr>
      </w:pPr>
    </w:p>
    <w:p w14:paraId="0473E6E0" w14:textId="77777777" w:rsidR="00A96BBF" w:rsidRDefault="00A96BBF" w:rsidP="00A96BBF">
      <w:pPr>
        <w:pStyle w:val="NoSpacing"/>
      </w:pPr>
      <w:r w:rsidRPr="000E2BDC">
        <w:rPr>
          <w:b/>
        </w:rPr>
        <w:t>THE COURT HELD:</w:t>
      </w:r>
      <w:r>
        <w:rPr>
          <w:b/>
        </w:rPr>
        <w:t xml:space="preserve"> “</w:t>
      </w:r>
      <w:r w:rsidRPr="00686F6C">
        <w:t>In response to Johnson’s motion, the State insisted that A.R.S.</w:t>
      </w:r>
      <w:r>
        <w:t xml:space="preserve"> </w:t>
      </w:r>
      <w:r w:rsidRPr="00686F6C">
        <w:t>§ 13-3423(B) confers immunity only to defendants who are actively</w:t>
      </w:r>
      <w:r>
        <w:t xml:space="preserve"> </w:t>
      </w:r>
      <w:r w:rsidRPr="00686F6C">
        <w:t>overdosing at the time the evidence supporting their charges is discovered.</w:t>
      </w:r>
      <w:r>
        <w:t xml:space="preserve"> </w:t>
      </w:r>
      <w:r w:rsidRPr="00686F6C">
        <w:t xml:space="preserve">The State conceded that Johnson was </w:t>
      </w:r>
      <w:r>
        <w:t>o</w:t>
      </w:r>
      <w:r w:rsidRPr="00686F6C">
        <w:t>verdosing by the time he was treated</w:t>
      </w:r>
      <w:r>
        <w:t xml:space="preserve"> </w:t>
      </w:r>
      <w:r w:rsidRPr="00686F6C">
        <w:t>by the hospital, but it claimed that a question of fact still existed as to</w:t>
      </w:r>
      <w:r>
        <w:t xml:space="preserve"> </w:t>
      </w:r>
      <w:r w:rsidRPr="00686F6C">
        <w:t>whether Johnson was overdosing during the welfare check. The State</w:t>
      </w:r>
      <w:r>
        <w:t xml:space="preserve"> </w:t>
      </w:r>
      <w:r w:rsidRPr="00686F6C">
        <w:t>argued that dismissal would therefore be inappropriate without an</w:t>
      </w:r>
      <w:r>
        <w:t xml:space="preserve"> </w:t>
      </w:r>
      <w:r w:rsidRPr="00686F6C">
        <w:t>evidentiary hearing to determine the timing of Johnson’s overdose</w:t>
      </w:r>
      <w:r>
        <w:t>…. Here, undisputed facts established each element of A.R.S. §</w:t>
      </w:r>
    </w:p>
    <w:p w14:paraId="6D6CD16D" w14:textId="77777777" w:rsidR="00A96BBF" w:rsidRDefault="00A96BBF" w:rsidP="00A96BBF">
      <w:pPr>
        <w:pStyle w:val="NoSpacing"/>
      </w:pPr>
      <w:r>
        <w:lastRenderedPageBreak/>
        <w:t xml:space="preserve">13-3423(B). The police officer discovered Johnson’s drug paraphernalia due to the security guard’s request for a welfare check. The officer suspected that Johnson needed medical care for an overdose and sought medical care accordingly. And Johnson did experience an overdose and did need medical assistance, as his hospital treatment later confirmed.”  </w:t>
      </w:r>
      <w:hyperlink r:id="rId2062" w:history="1">
        <w:r w:rsidRPr="00313D33">
          <w:rPr>
            <w:rStyle w:val="Hyperlink"/>
          </w:rPr>
          <w:t>https://jpr.azcourts.gov/Portals/0/OpinionFiles/Div1/2025/1%20CA-CR%2024-0549%20Johnson.pdf</w:t>
        </w:r>
      </w:hyperlink>
      <w:r>
        <w:t xml:space="preserve"> </w:t>
      </w:r>
    </w:p>
    <w:p w14:paraId="02AB2954" w14:textId="77777777" w:rsidR="00A96BBF" w:rsidRDefault="00A96BBF" w:rsidP="00A96BBF">
      <w:pPr>
        <w:pStyle w:val="NoSpacing"/>
      </w:pPr>
    </w:p>
    <w:p w14:paraId="7B5D3030" w14:textId="77777777" w:rsidR="00A96BBF" w:rsidRDefault="00A96BBF" w:rsidP="00A96BBF">
      <w:pPr>
        <w:pStyle w:val="NoSpacing"/>
      </w:pPr>
      <w:r w:rsidRPr="00A044B1">
        <w:rPr>
          <w:b/>
        </w:rPr>
        <w:t>KEY FACTS</w:t>
      </w:r>
      <w:r>
        <w:t>:</w:t>
      </w:r>
    </w:p>
    <w:p w14:paraId="410E95E1" w14:textId="77777777" w:rsidR="00A96BBF" w:rsidRDefault="00A96BBF" w:rsidP="00A96BBF">
      <w:pPr>
        <w:pStyle w:val="NoSpacing"/>
      </w:pPr>
    </w:p>
    <w:p w14:paraId="6798ADA1" w14:textId="77777777" w:rsidR="00A96BBF" w:rsidRDefault="00A96BBF" w:rsidP="00A96BBF">
      <w:pPr>
        <w:pStyle w:val="NoSpacing"/>
        <w:ind w:left="720"/>
      </w:pPr>
      <w:r>
        <w:t>“In December 2022, a security guard was patrolling a casino’s parking garage at around 1:00 a.m. when he noticed Johnson ‘passed out’ in the front seat of a parked car with a glass pipe in his left hand and a lighter in his right hand. The guard requested a welfare check on Johnson. When a police officer arrived, an emergency medical technician (‘EMT’) from the casino advised him that Johnson was breathing but appeared to</w:t>
      </w:r>
    </w:p>
    <w:p w14:paraId="6749F1F9" w14:textId="77777777" w:rsidR="00A96BBF" w:rsidRDefault="00A96BBF" w:rsidP="00A96BBF">
      <w:pPr>
        <w:pStyle w:val="NoSpacing"/>
        <w:ind w:firstLine="720"/>
      </w:pPr>
      <w:proofErr w:type="gramStart"/>
      <w:r>
        <w:t>be</w:t>
      </w:r>
      <w:proofErr w:type="gramEnd"/>
      <w:r>
        <w:t xml:space="preserve"> asleep.</w:t>
      </w:r>
    </w:p>
    <w:p w14:paraId="1AD4BA4C" w14:textId="77777777" w:rsidR="00A96BBF" w:rsidRDefault="00A96BBF" w:rsidP="00A96BBF">
      <w:pPr>
        <w:pStyle w:val="NoSpacing"/>
        <w:ind w:firstLine="720"/>
      </w:pPr>
    </w:p>
    <w:p w14:paraId="6DFBAB1B" w14:textId="77777777" w:rsidR="00A96BBF" w:rsidRDefault="00A96BBF" w:rsidP="00A96BBF">
      <w:pPr>
        <w:pStyle w:val="NoSpacing"/>
        <w:ind w:left="720"/>
      </w:pPr>
      <w:r>
        <w:t>The officer opened the car’s unlocked passenger door and startled Johnson awake. As the officer helped Johnson step out of the car, he noticed Johnson ‘had very ridged [sic] muscle tone ([c]</w:t>
      </w:r>
      <w:proofErr w:type="spellStart"/>
      <w:r>
        <w:t>ommonly</w:t>
      </w:r>
      <w:proofErr w:type="spellEnd"/>
      <w:r>
        <w:t xml:space="preserve"> observed with </w:t>
      </w:r>
      <w:proofErr w:type="gramStart"/>
      <w:r>
        <w:t>persons</w:t>
      </w:r>
      <w:proofErr w:type="gramEnd"/>
      <w:r>
        <w:t xml:space="preserve"> that have used methamphetamine)’ and appeared to have trouble maintaining his balance.</w:t>
      </w:r>
    </w:p>
    <w:p w14:paraId="6AE01F2C" w14:textId="77777777" w:rsidR="00A96BBF" w:rsidRDefault="00A96BBF" w:rsidP="00A96BBF">
      <w:pPr>
        <w:pStyle w:val="NoSpacing"/>
        <w:ind w:left="720"/>
      </w:pPr>
    </w:p>
    <w:p w14:paraId="3318B845" w14:textId="77777777" w:rsidR="00A96BBF" w:rsidRDefault="00A96BBF" w:rsidP="00A96BBF">
      <w:pPr>
        <w:pStyle w:val="NoSpacing"/>
        <w:ind w:left="720"/>
      </w:pPr>
      <w:r>
        <w:t>The officer arrested Johnson and searched his pockets, finding a lighter, box cutter, glass tube, and piece of foil. The officer then placed Johnson in his patrol car and asked Johnson his name, but Johnson refused to answer and appeared to be incoherent. Suspecting Johnson was overdosing on fentanyl, the officer contacted the Peoria Fire Department and asked the EMT to continue monitoring Johnson’s medical condition. In</w:t>
      </w:r>
    </w:p>
    <w:p w14:paraId="56620E73" w14:textId="77777777" w:rsidR="00A96BBF" w:rsidRDefault="00A96BBF" w:rsidP="00A96BBF">
      <w:pPr>
        <w:pStyle w:val="NoSpacing"/>
        <w:ind w:left="720"/>
      </w:pPr>
      <w:r>
        <w:t>the meantime, the officer searched Johnson’s vehicle and found a pouch containing another glass pipe, several blue pills, several empty plastic baggies with residue, and pieces of foil. In the foil pieces, he found more blue pills and a white crystalline substance.”</w:t>
      </w:r>
    </w:p>
    <w:p w14:paraId="0AD13463" w14:textId="77777777" w:rsidR="00A96BBF" w:rsidRDefault="00A96BBF" w:rsidP="00A96BBF">
      <w:pPr>
        <w:pStyle w:val="NoSpacing"/>
        <w:ind w:left="720"/>
      </w:pPr>
    </w:p>
    <w:p w14:paraId="16D36EF1" w14:textId="77777777" w:rsidR="00A96BBF" w:rsidRDefault="00A96BBF" w:rsidP="00A96BBF">
      <w:pPr>
        <w:pStyle w:val="NoSpacing"/>
        <w:rPr>
          <w:b/>
          <w:bCs/>
        </w:rPr>
      </w:pPr>
      <w:r>
        <w:rPr>
          <w:b/>
        </w:rPr>
        <w:t>Legal lesson learned:  Many states have enacted statutes to encourage overdose victims and others to call 911.</w:t>
      </w:r>
    </w:p>
    <w:p w14:paraId="4853D723" w14:textId="77777777" w:rsidR="00A96BBF" w:rsidRDefault="00A96BBF" w:rsidP="00A96BBF">
      <w:pPr>
        <w:pStyle w:val="NoSpacing"/>
        <w:rPr>
          <w:b/>
          <w:bCs/>
        </w:rPr>
      </w:pPr>
    </w:p>
    <w:p w14:paraId="53712D69" w14:textId="77777777" w:rsidR="00A96BBF" w:rsidRPr="00766927" w:rsidRDefault="00A96BBF" w:rsidP="00A96BBF">
      <w:pPr>
        <w:pStyle w:val="NoSpacing"/>
      </w:pPr>
      <w:r>
        <w:rPr>
          <w:b/>
        </w:rPr>
        <w:tab/>
      </w:r>
      <w:r w:rsidRPr="00766927">
        <w:t>Note:  Arizona Revised Statutes</w:t>
      </w:r>
      <w:r>
        <w:t xml:space="preserve"> </w:t>
      </w:r>
      <w:r w:rsidRPr="00766927">
        <w:t>(“A.R.S.”) section 13-3423(B), states:</w:t>
      </w:r>
    </w:p>
    <w:p w14:paraId="37E7EADD" w14:textId="77777777" w:rsidR="00A96BBF" w:rsidRPr="00766927" w:rsidRDefault="00A96BBF" w:rsidP="00A96BBF">
      <w:pPr>
        <w:pStyle w:val="NoSpacing"/>
        <w:ind w:left="720"/>
      </w:pPr>
      <w:r>
        <w:t>“</w:t>
      </w:r>
      <w:r w:rsidRPr="00766927">
        <w:t>A person who experiences a drug-related overdose,</w:t>
      </w:r>
      <w:r>
        <w:t xml:space="preserve"> </w:t>
      </w:r>
      <w:r w:rsidRPr="00766927">
        <w:t xml:space="preserve">who </w:t>
      </w:r>
      <w:proofErr w:type="gramStart"/>
      <w:r w:rsidRPr="00766927">
        <w:t>is in need of</w:t>
      </w:r>
      <w:proofErr w:type="gramEnd"/>
      <w:r w:rsidRPr="00766927">
        <w:t xml:space="preserve"> medical assistance and for whom medical</w:t>
      </w:r>
      <w:r>
        <w:t xml:space="preserve"> </w:t>
      </w:r>
      <w:r w:rsidRPr="00766927">
        <w:t>assistance is sought . . . may not be charged or prosecuted for</w:t>
      </w:r>
    </w:p>
    <w:p w14:paraId="5729F255" w14:textId="77777777" w:rsidR="00A96BBF" w:rsidRPr="00766927" w:rsidRDefault="00A96BBF" w:rsidP="00A96BBF">
      <w:pPr>
        <w:pStyle w:val="NoSpacing"/>
        <w:ind w:left="720"/>
      </w:pPr>
      <w:r w:rsidRPr="00766927">
        <w:t>the possession or use of a controlled substance or drug</w:t>
      </w:r>
      <w:r>
        <w:t xml:space="preserve"> </w:t>
      </w:r>
      <w:r w:rsidRPr="00766927">
        <w:t xml:space="preserve">paraphernalia if the evidence for the violation was gained </w:t>
      </w:r>
      <w:proofErr w:type="gramStart"/>
      <w:r w:rsidRPr="00766927">
        <w:t>as</w:t>
      </w:r>
      <w:r>
        <w:t xml:space="preserve"> </w:t>
      </w:r>
      <w:r w:rsidRPr="00766927">
        <w:t>a result of</w:t>
      </w:r>
      <w:proofErr w:type="gramEnd"/>
      <w:r w:rsidRPr="00766927">
        <w:t xml:space="preserve"> the person’s overdose and need for medical</w:t>
      </w:r>
    </w:p>
    <w:p w14:paraId="7F427CBE" w14:textId="77777777" w:rsidR="00A96BBF" w:rsidRPr="00766927" w:rsidRDefault="00A96BBF" w:rsidP="00A96BBF">
      <w:pPr>
        <w:pStyle w:val="NoSpacing"/>
        <w:ind w:firstLine="720"/>
      </w:pPr>
      <w:r w:rsidRPr="00766927">
        <w:t>assistance.</w:t>
      </w:r>
      <w:r>
        <w:t>”</w:t>
      </w:r>
    </w:p>
    <w:p w14:paraId="34B88B5F" w14:textId="77777777" w:rsidR="00A96BBF" w:rsidRDefault="00A96BBF" w:rsidP="00A96BBF">
      <w:pPr>
        <w:pStyle w:val="NoSpacing"/>
      </w:pPr>
    </w:p>
    <w:p w14:paraId="5C73A0DA" w14:textId="77777777" w:rsidR="00A96BBF" w:rsidRDefault="00A96BBF" w:rsidP="002B1283">
      <w:pPr>
        <w:rPr>
          <w:rFonts w:ascii="Arial Black" w:hAnsi="Arial Black"/>
          <w:b/>
          <w:bCs/>
          <w:sz w:val="28"/>
          <w:szCs w:val="28"/>
        </w:rPr>
      </w:pPr>
    </w:p>
    <w:p w14:paraId="33BDB765" w14:textId="380FD4CB" w:rsidR="00004498" w:rsidRPr="002E2CF4" w:rsidRDefault="00004498" w:rsidP="00004498">
      <w:pPr>
        <w:rPr>
          <w:rFonts w:ascii="Arial Black" w:hAnsi="Arial Black"/>
          <w:b/>
          <w:bCs/>
          <w:sz w:val="24"/>
          <w:szCs w:val="24"/>
        </w:rPr>
      </w:pPr>
      <w:r w:rsidRPr="002E2CF4">
        <w:rPr>
          <w:rFonts w:ascii="Arial Black" w:hAnsi="Arial Black"/>
          <w:b/>
          <w:bCs/>
          <w:sz w:val="24"/>
          <w:szCs w:val="24"/>
        </w:rPr>
        <w:t>13-22</w:t>
      </w:r>
      <w:r w:rsidR="00524647">
        <w:rPr>
          <w:rFonts w:ascii="Arial Black" w:hAnsi="Arial Black"/>
          <w:b/>
          <w:bCs/>
          <w:sz w:val="24"/>
          <w:szCs w:val="24"/>
        </w:rPr>
        <w:t>6</w:t>
      </w:r>
    </w:p>
    <w:p w14:paraId="0C90D742" w14:textId="536F18A5" w:rsidR="00177852" w:rsidRDefault="00177852" w:rsidP="00177852">
      <w:pPr>
        <w:pStyle w:val="NoSpacing"/>
        <w:rPr>
          <w:rFonts w:ascii="Arial Black" w:hAnsi="Arial Black"/>
          <w:bCs/>
          <w:sz w:val="28"/>
          <w:szCs w:val="28"/>
        </w:rPr>
      </w:pPr>
      <w:r>
        <w:rPr>
          <w:rFonts w:ascii="Arial Black" w:hAnsi="Arial Black"/>
          <w:sz w:val="28"/>
          <w:szCs w:val="28"/>
        </w:rPr>
        <w:t>PA: PD PAT-DOWN</w:t>
      </w:r>
      <w:r w:rsidR="0074334C">
        <w:rPr>
          <w:rFonts w:ascii="Arial Black" w:hAnsi="Arial Black"/>
          <w:sz w:val="28"/>
          <w:szCs w:val="28"/>
        </w:rPr>
        <w:t xml:space="preserve"> UNLAWFUL </w:t>
      </w:r>
      <w:r>
        <w:rPr>
          <w:rFonts w:ascii="Arial Black" w:hAnsi="Arial Black"/>
          <w:sz w:val="28"/>
          <w:szCs w:val="28"/>
        </w:rPr>
        <w:t xml:space="preserve">– PRIOR EMS </w:t>
      </w:r>
      <w:r w:rsidR="00BE5B68">
        <w:rPr>
          <w:rFonts w:ascii="Arial Black" w:hAnsi="Arial Black"/>
          <w:sz w:val="28"/>
          <w:szCs w:val="28"/>
        </w:rPr>
        <w:t xml:space="preserve">PT </w:t>
      </w:r>
      <w:r>
        <w:rPr>
          <w:rFonts w:ascii="Arial Black" w:hAnsi="Arial Black"/>
          <w:sz w:val="28"/>
          <w:szCs w:val="28"/>
        </w:rPr>
        <w:t xml:space="preserve">TRANS - DRUGS </w:t>
      </w:r>
    </w:p>
    <w:p w14:paraId="2B9EB72D" w14:textId="77777777" w:rsidR="00177852" w:rsidRDefault="00177852" w:rsidP="00177852">
      <w:pPr>
        <w:pStyle w:val="NoSpacing"/>
      </w:pPr>
    </w:p>
    <w:p w14:paraId="3D7CDB88" w14:textId="77777777" w:rsidR="0060697B" w:rsidRDefault="00177852" w:rsidP="0060697B">
      <w:pPr>
        <w:pStyle w:val="NoSpacing"/>
      </w:pPr>
      <w:r>
        <w:t xml:space="preserve">On September 19, 2025, in </w:t>
      </w:r>
      <w:r w:rsidRPr="0053267A">
        <w:rPr>
          <w:u w:val="single"/>
        </w:rPr>
        <w:t>Commonwealth of Pennsylvania v. Andre N. Fulton</w:t>
      </w:r>
      <w:r>
        <w:t xml:space="preserve">, the Superior Court of Pennsylvania held (3 to 0) that trial court properly granted defense motion to suppress a straw found in patient’s pocket during pat-down, and </w:t>
      </w:r>
      <w:r w:rsidRPr="006448AB">
        <w:t xml:space="preserve">narcotics found inside the </w:t>
      </w:r>
      <w:r>
        <w:t xml:space="preserve">black </w:t>
      </w:r>
      <w:r w:rsidRPr="006448AB">
        <w:t>plastic bag</w:t>
      </w:r>
      <w:r>
        <w:t xml:space="preserve"> in the patient’s vehicle.  Patient at PA Turnpike restaurant </w:t>
      </w:r>
      <w:proofErr w:type="gramStart"/>
      <w:r>
        <w:t>not</w:t>
      </w:r>
      <w:proofErr w:type="gramEnd"/>
      <w:r>
        <w:t xml:space="preserve"> feeling well; he consented to Troopers looking for his keys and cell phone in his car before EMS transport to hospital.  </w:t>
      </w:r>
      <w:hyperlink r:id="rId2063" w:history="1">
        <w:r w:rsidR="0060697B" w:rsidRPr="000F3B38">
          <w:rPr>
            <w:rStyle w:val="Hyperlink"/>
          </w:rPr>
          <w:t>https://www.pacourts.us/assets/opinions/Superior/out/J-S30019-25o%20-%20106515413327511102.pdf?cb=1</w:t>
        </w:r>
      </w:hyperlink>
      <w:r w:rsidR="0060697B">
        <w:t xml:space="preserve"> </w:t>
      </w:r>
    </w:p>
    <w:p w14:paraId="02E5F5AB" w14:textId="79FEC153" w:rsidR="00177852" w:rsidRDefault="00177852" w:rsidP="00177852">
      <w:pPr>
        <w:pStyle w:val="NoSpacing"/>
      </w:pPr>
    </w:p>
    <w:p w14:paraId="4B0E5D10" w14:textId="77777777" w:rsidR="00177852" w:rsidRDefault="00177852" w:rsidP="00177852">
      <w:pPr>
        <w:pStyle w:val="NoSpacing"/>
      </w:pPr>
    </w:p>
    <w:p w14:paraId="011514A6" w14:textId="77777777" w:rsidR="00177852" w:rsidRDefault="00177852" w:rsidP="00177852">
      <w:pPr>
        <w:pStyle w:val="NoSpacing"/>
      </w:pPr>
      <w:r w:rsidRPr="00913B5B">
        <w:rPr>
          <w:b/>
        </w:rPr>
        <w:t>THE COURT HELD</w:t>
      </w:r>
      <w:r>
        <w:t>: “The Commonwealth argues the suppression court erred by finding police unlawfully (1) performed a pat-down search of Appellee’s person, where he was not under arrest and police had no suspicion he was armed or dangerous; (2) exceeded the scope of Appellee’s consent, when conducting a warrantless search of Appellee’s vehicle for certain items that Appellee asked police to retrieve; and (3) seized contraband from an opaque plastic bag in Appellee’s vehicle that police discovered during the search. After careful review, we affirm.</w:t>
      </w:r>
    </w:p>
    <w:p w14:paraId="20C5C2A7" w14:textId="77777777" w:rsidR="00177852" w:rsidRDefault="00177852" w:rsidP="00177852">
      <w:pPr>
        <w:pStyle w:val="NoSpacing"/>
      </w:pPr>
    </w:p>
    <w:p w14:paraId="5DC949CC" w14:textId="77777777" w:rsidR="00177852" w:rsidRDefault="00177852" w:rsidP="00177852">
      <w:pPr>
        <w:pStyle w:val="NoSpacing"/>
      </w:pPr>
      <w:r>
        <w:t>***</w:t>
      </w:r>
    </w:p>
    <w:p w14:paraId="0886C257" w14:textId="77777777" w:rsidR="00D553CE" w:rsidRDefault="00177852" w:rsidP="00177852">
      <w:pPr>
        <w:pStyle w:val="NoSpacing"/>
      </w:pPr>
      <w:r>
        <w:t xml:space="preserve">ln this case, there was no reasonable belief that [Appellee] was armed and dangerous. Thus, the pat-down was unlawful. Without probable cause to arrest, or without reasonable suspicion that [Appellee] had weapons on him, the pat-down was illegal and unconstitutional[; accordingly,] the item seized, namely the straw, was properly suppressed. Suppression Court Opinion, 4/1/25, at 16-17….  The suppression court’s foregoing analysis is supported by the record and the law, and we agree with its </w:t>
      </w:r>
      <w:proofErr w:type="gramStart"/>
      <w:r>
        <w:t>determination.”</w:t>
      </w:r>
      <w:proofErr w:type="gramEnd"/>
      <w:r>
        <w:t xml:space="preserve"> </w:t>
      </w:r>
    </w:p>
    <w:p w14:paraId="241F9584" w14:textId="77777777" w:rsidR="00177852" w:rsidRDefault="00177852" w:rsidP="00177852">
      <w:pPr>
        <w:pStyle w:val="NoSpacing"/>
      </w:pPr>
    </w:p>
    <w:p w14:paraId="6AB7A112" w14:textId="77777777" w:rsidR="00177852" w:rsidRDefault="00177852" w:rsidP="00177852">
      <w:pPr>
        <w:pStyle w:val="NoSpacing"/>
      </w:pPr>
      <w:r w:rsidRPr="00913B5B">
        <w:rPr>
          <w:b/>
        </w:rPr>
        <w:t>KEY FACTS</w:t>
      </w:r>
      <w:r>
        <w:t xml:space="preserve">: </w:t>
      </w:r>
    </w:p>
    <w:p w14:paraId="21AB319E" w14:textId="77777777" w:rsidR="00177852" w:rsidRDefault="00177852" w:rsidP="00177852">
      <w:pPr>
        <w:pStyle w:val="NoSpacing"/>
      </w:pPr>
    </w:p>
    <w:p w14:paraId="3F9B3A76" w14:textId="77777777" w:rsidR="00177852" w:rsidRDefault="00177852" w:rsidP="00177852">
      <w:pPr>
        <w:pStyle w:val="NoSpacing"/>
        <w:ind w:firstLine="720"/>
      </w:pPr>
      <w:r>
        <w:t>“The suppression court summarized the evidence presented at Appellee’s</w:t>
      </w:r>
    </w:p>
    <w:p w14:paraId="411EA652" w14:textId="77777777" w:rsidR="00177852" w:rsidRDefault="00177852" w:rsidP="00177852">
      <w:pPr>
        <w:pStyle w:val="NoSpacing"/>
        <w:ind w:firstLine="720"/>
      </w:pPr>
      <w:r>
        <w:t>suppression hearing in its order granting suppression:</w:t>
      </w:r>
    </w:p>
    <w:p w14:paraId="4FDF6F61" w14:textId="77777777" w:rsidR="00177852" w:rsidRDefault="00177852" w:rsidP="00177852">
      <w:pPr>
        <w:pStyle w:val="NoSpacing"/>
      </w:pPr>
    </w:p>
    <w:p w14:paraId="49C0C30A" w14:textId="77777777" w:rsidR="00177852" w:rsidRDefault="00177852" w:rsidP="00177852">
      <w:pPr>
        <w:pStyle w:val="NoSpacing"/>
        <w:ind w:left="720"/>
      </w:pPr>
      <w:r>
        <w:t xml:space="preserve">On March 16, 2023, at 12:45 a.m., [Pennsylvania State Police] Trooper Adam Shutter [(Trooper Shutter)] and Trooper Curtis Matthews [(Trooper Matthews) (collectively, ‘the Troopers’)] received a report of a male having a medical emergency at the Peter J. Camiel Service Plaza, [a] Pennsylvania Turnpike rest area [(the Plaza). N.T. (suppression hearing), 2/10/25, at 6, 21]. [Appellee] was seated at a table inside the Plaza. [Id. at 6-7, 22.] Trooper Shutter testified at [the suppression hearing] … that [Appellee] was sweaty and said he had taken an ecstasy pill earlier in </w:t>
      </w:r>
      <w:proofErr w:type="gramStart"/>
      <w:r>
        <w:t>Philadelphia, and</w:t>
      </w:r>
      <w:proofErr w:type="gramEnd"/>
      <w:r>
        <w:t xml:space="preserve"> was not feeling well. [Id. at 22; see also id. at 8 (Trooper Matthews’s consistent testimony).] [Appellee] requested emergency medical [services</w:t>
      </w:r>
      <w:proofErr w:type="gramStart"/>
      <w:r>
        <w:t>] (‘</w:t>
      </w:r>
      <w:proofErr w:type="gramEnd"/>
      <w:r>
        <w:t xml:space="preserve">EMS’). [Id. at 8, 22.] EMS [personnel] arrived and determined that [Appellee] needed to be transported to Reading Hospital for treatment. [Id. at 8, 24.] Trooper Shutter testified that he [performed] a </w:t>
      </w:r>
      <w:proofErr w:type="spellStart"/>
      <w:r>
        <w:t>‘pat</w:t>
      </w:r>
      <w:proofErr w:type="spellEnd"/>
      <w:r>
        <w:t xml:space="preserve"> down’ of [Appellee’s] person to ensure he had no weapons before he got into the ambulance. [Id. at 24-25.]</w:t>
      </w:r>
    </w:p>
    <w:p w14:paraId="03073891" w14:textId="77777777" w:rsidR="00177852" w:rsidRDefault="00177852" w:rsidP="00177852">
      <w:pPr>
        <w:pStyle w:val="NoSpacing"/>
        <w:ind w:left="720"/>
      </w:pPr>
    </w:p>
    <w:p w14:paraId="4711D5A9" w14:textId="6AE85825" w:rsidR="00177852" w:rsidRDefault="00177852" w:rsidP="00177852">
      <w:pPr>
        <w:pStyle w:val="NoSpacing"/>
        <w:ind w:left="720"/>
      </w:pPr>
      <w:r>
        <w:t xml:space="preserve">Both Trooper Matthews and Trooper Shutter testified that [Appellee] stated he did not have his cell phone and keys [to his </w:t>
      </w:r>
      <w:proofErr w:type="gramStart"/>
      <w:r>
        <w:t>vehicle (‘keys’</w:t>
      </w:r>
      <w:proofErr w:type="gramEnd"/>
      <w:r>
        <w:t xml:space="preserve"> or ‘key’)] with him in the Plaza. [Id. at 10 (Trooper Matthews confirming that Appellee was ‘the first person to bring up his cell phone and his keys.’); id. at 26 (Trooper Shutter’s consistent testimony).] [Appellee] requested that [the Troopers] enter his vehicle to locate the cell phone and keys. [See id. at 11, 26-27.]2 [The Troopers walked to Appellee’s car, discovered it was unlocked, and opened the driver’s side door. Id. at 29.] [Trooper Matthews immediately] found [Appellee’s] cell phone on the [driver’s seat] floor. [Id.] [The Troopers continued] search[</w:t>
      </w:r>
      <w:proofErr w:type="spellStart"/>
      <w:r>
        <w:t>ing</w:t>
      </w:r>
      <w:proofErr w:type="spellEnd"/>
      <w:r>
        <w:t xml:space="preserve">] the vehicle for [Appellee’s] keys and found a [black] plastic [grocery] bag … on the rear floor. Id. at 30.]3 The contents of the bag were not visible. [Id. at 44.]4 Trooper Shutter [immediately] opened the bag and found white powder in the bag. Id. at 32. Trooper Shutter found the keys to [Appellee’s] vehicle underneath an ashtray in the center console. [Id.] The [white powder was] seized and </w:t>
      </w:r>
      <w:proofErr w:type="gramStart"/>
      <w:r>
        <w:t>entered into</w:t>
      </w:r>
      <w:proofErr w:type="gramEnd"/>
      <w:r>
        <w:t xml:space="preserve"> evidence. [Id. at 34.] [Appellee’s] vehicle was towed and </w:t>
      </w:r>
      <w:proofErr w:type="gramStart"/>
      <w:r>
        <w:t>entered into</w:t>
      </w:r>
      <w:proofErr w:type="gramEnd"/>
      <w:r>
        <w:t xml:space="preserve"> evidence. [Id. at 35.] On March 17, 2023, police obtained a search warrant to search [Appellee’s] vehicle. [Id. at 35-36.] The seized [white powder was subsequently] tested and identified as heroin,</w:t>
      </w:r>
      <w:r w:rsidR="000A35E0">
        <w:t xml:space="preserve"> </w:t>
      </w:r>
      <w:r>
        <w:t>fentanyl and xylazine.”</w:t>
      </w:r>
    </w:p>
    <w:p w14:paraId="123E9D13" w14:textId="77777777" w:rsidR="00177852" w:rsidRDefault="00177852" w:rsidP="00177852">
      <w:pPr>
        <w:pStyle w:val="NoSpacing"/>
      </w:pPr>
    </w:p>
    <w:p w14:paraId="071CA2DE" w14:textId="77777777" w:rsidR="00177852" w:rsidRDefault="00177852" w:rsidP="00177852">
      <w:pPr>
        <w:pStyle w:val="NoSpacing"/>
        <w:rPr>
          <w:b/>
          <w:bCs/>
        </w:rPr>
      </w:pPr>
      <w:r>
        <w:rPr>
          <w:b/>
        </w:rPr>
        <w:t xml:space="preserve">Legal lesson learned:  Pat-down by police prior to EMS transport is an excellent safety practice; PD and EMS should consider having a written protocol.  </w:t>
      </w:r>
    </w:p>
    <w:p w14:paraId="70A0E4A1" w14:textId="77777777" w:rsidR="00177852" w:rsidRDefault="00177852" w:rsidP="00177852">
      <w:pPr>
        <w:pStyle w:val="NoSpacing"/>
        <w:rPr>
          <w:b/>
          <w:bCs/>
        </w:rPr>
      </w:pPr>
    </w:p>
    <w:p w14:paraId="676FE75A" w14:textId="77777777" w:rsidR="00177852" w:rsidRDefault="00177852" w:rsidP="00177852">
      <w:pPr>
        <w:pStyle w:val="NoSpacing"/>
      </w:pPr>
      <w:r>
        <w:tab/>
        <w:t>Note: Pat downs can save EMS lives.</w:t>
      </w:r>
    </w:p>
    <w:p w14:paraId="4B0B5311" w14:textId="77777777" w:rsidR="00177852" w:rsidRDefault="00177852" w:rsidP="00177852">
      <w:pPr>
        <w:pStyle w:val="NoSpacing"/>
        <w:ind w:firstLine="720"/>
      </w:pPr>
      <w:r>
        <w:t>See Commonwealth of Massachusetts v. Raymond J. Verrier (September 8, 2025):</w:t>
      </w:r>
    </w:p>
    <w:p w14:paraId="0C7E982F" w14:textId="77777777" w:rsidR="00177852" w:rsidRPr="00D45DDD" w:rsidRDefault="00177852" w:rsidP="00177852">
      <w:pPr>
        <w:pStyle w:val="NoSpacing"/>
        <w:ind w:left="720"/>
      </w:pPr>
      <w:r>
        <w:t>Mental patient.  “</w:t>
      </w:r>
      <w:r w:rsidRPr="00D45DDD">
        <w:t>It is undisputed that before placing the defendant in an</w:t>
      </w:r>
      <w:r>
        <w:t xml:space="preserve"> </w:t>
      </w:r>
      <w:r w:rsidRPr="00D45DDD">
        <w:t>ambulance, Chelsea police officer Timothy McCarthy pat frisked</w:t>
      </w:r>
      <w:r>
        <w:t xml:space="preserve"> </w:t>
      </w:r>
      <w:r w:rsidRPr="00D45DDD">
        <w:t>the defendant, finding a loaded firearm. Officer McCarthy then</w:t>
      </w:r>
      <w:r>
        <w:t xml:space="preserve"> </w:t>
      </w:r>
      <w:r w:rsidRPr="00D45DDD">
        <w:t>placed the defendant under arrest and searched him incident to</w:t>
      </w:r>
      <w:r>
        <w:t xml:space="preserve"> </w:t>
      </w:r>
      <w:r w:rsidRPr="00D45DDD">
        <w:t>that arrest, finding drugs on his person.</w:t>
      </w:r>
      <w:r>
        <w:t xml:space="preserve">”  </w:t>
      </w:r>
      <w:hyperlink r:id="rId2064" w:history="1">
        <w:r w:rsidRPr="00FF39E5">
          <w:rPr>
            <w:rStyle w:val="Hyperlink"/>
          </w:rPr>
          <w:t>https://www.mass.gov/doc/commonwealth-v-verrier-ac-g24p446/download</w:t>
        </w:r>
      </w:hyperlink>
      <w:r>
        <w:t xml:space="preserve"> </w:t>
      </w:r>
    </w:p>
    <w:p w14:paraId="4D6DE902" w14:textId="77777777" w:rsidR="00177852" w:rsidRDefault="00177852" w:rsidP="00542851">
      <w:pPr>
        <w:rPr>
          <w:rFonts w:ascii="Times New Roman" w:hAnsi="Times New Roman"/>
          <w:b/>
          <w:bCs/>
          <w:sz w:val="24"/>
          <w:szCs w:val="24"/>
        </w:rPr>
      </w:pPr>
    </w:p>
    <w:p w14:paraId="30AE3843" w14:textId="3FF6BCFF" w:rsidR="00004498" w:rsidRPr="002E2CF4" w:rsidRDefault="00004498" w:rsidP="00004498">
      <w:pPr>
        <w:rPr>
          <w:rFonts w:ascii="Arial Black" w:hAnsi="Arial Black"/>
          <w:b/>
          <w:bCs/>
          <w:sz w:val="24"/>
          <w:szCs w:val="24"/>
        </w:rPr>
      </w:pPr>
      <w:r w:rsidRPr="002E2CF4">
        <w:rPr>
          <w:rFonts w:ascii="Arial Black" w:hAnsi="Arial Black"/>
          <w:b/>
          <w:bCs/>
          <w:sz w:val="24"/>
          <w:szCs w:val="24"/>
        </w:rPr>
        <w:t>13-22</w:t>
      </w:r>
      <w:r w:rsidR="00524647">
        <w:rPr>
          <w:rFonts w:ascii="Arial Black" w:hAnsi="Arial Black"/>
          <w:b/>
          <w:bCs/>
          <w:sz w:val="24"/>
          <w:szCs w:val="24"/>
        </w:rPr>
        <w:t>5</w:t>
      </w:r>
    </w:p>
    <w:p w14:paraId="4C4AF662" w14:textId="4A92C62D" w:rsidR="00E930D2" w:rsidRDefault="00E930D2" w:rsidP="00E930D2">
      <w:pPr>
        <w:pStyle w:val="NoSpacing"/>
        <w:rPr>
          <w:rFonts w:ascii="Arial Black" w:hAnsi="Arial Black"/>
          <w:sz w:val="28"/>
          <w:szCs w:val="28"/>
        </w:rPr>
      </w:pPr>
      <w:r>
        <w:rPr>
          <w:rFonts w:ascii="Arial Black" w:hAnsi="Arial Black"/>
          <w:sz w:val="28"/>
          <w:szCs w:val="28"/>
        </w:rPr>
        <w:t xml:space="preserve">WA: COVID19 – RELIGIOUS ACCOMMODATION </w:t>
      </w:r>
      <w:r w:rsidR="00EC0577">
        <w:rPr>
          <w:rFonts w:ascii="Arial Black" w:hAnsi="Arial Black"/>
          <w:sz w:val="28"/>
          <w:szCs w:val="28"/>
        </w:rPr>
        <w:t>NOT REASONABLE</w:t>
      </w:r>
    </w:p>
    <w:p w14:paraId="72DAE56A" w14:textId="77777777" w:rsidR="00E930D2" w:rsidRDefault="00E930D2" w:rsidP="00E930D2">
      <w:pPr>
        <w:pStyle w:val="NoSpacing"/>
      </w:pPr>
    </w:p>
    <w:p w14:paraId="5EB0D1D5" w14:textId="77777777" w:rsidR="005D334E" w:rsidRDefault="00E930D2" w:rsidP="005D334E">
      <w:pPr>
        <w:pStyle w:val="NoSpacing"/>
      </w:pPr>
      <w:r>
        <w:lastRenderedPageBreak/>
        <w:t xml:space="preserve">On September 2, 2025, in </w:t>
      </w:r>
      <w:r w:rsidRPr="00D15CD1">
        <w:rPr>
          <w:u w:val="single"/>
        </w:rPr>
        <w:t>David Peterso, et al. v. Snohomish Regional Fire and Rescue; Kevin O’Brien, Chief,</w:t>
      </w:r>
      <w:r>
        <w:t xml:space="preserve"> the United States Court of Appeals for 9</w:t>
      </w:r>
      <w:r w:rsidRPr="00D15CD1">
        <w:rPr>
          <w:vertAlign w:val="superscript"/>
        </w:rPr>
        <w:t>th</w:t>
      </w:r>
      <w:r>
        <w:t xml:space="preserve"> Circuit (San Francisco) </w:t>
      </w:r>
      <w:r w:rsidRPr="003C5A0D">
        <w:t>affirmed the district court’s summary</w:t>
      </w:r>
      <w:r>
        <w:t xml:space="preserve"> </w:t>
      </w:r>
      <w:r w:rsidRPr="003C5A0D">
        <w:t>judgment in favor of Snohomish Regional Fire and Rescue</w:t>
      </w:r>
      <w:r>
        <w:t xml:space="preserve"> </w:t>
      </w:r>
      <w:r w:rsidRPr="003C5A0D">
        <w:t>(SRFR)</w:t>
      </w:r>
      <w:r>
        <w:t xml:space="preserve">.  The FD could not “reasonably accommodate” the 8-plaintiff firefighter’s proposed religious accommodation (no vaccination, frequent testing) “without undue hardship on the conduct of” its business. 42 U.S.C. § 2000e(j).  </w:t>
      </w:r>
      <w:hyperlink r:id="rId2065" w:history="1">
        <w:r w:rsidR="005D334E" w:rsidRPr="00FE798F">
          <w:rPr>
            <w:rStyle w:val="Hyperlink"/>
          </w:rPr>
          <w:t>https://cdn.ca9.uscourts.gov/datastore/opinions/2025/09/02/24-1044.pdf</w:t>
        </w:r>
      </w:hyperlink>
      <w:r w:rsidR="005D334E">
        <w:t xml:space="preserve"> </w:t>
      </w:r>
    </w:p>
    <w:p w14:paraId="406EC566" w14:textId="77777777" w:rsidR="005D334E" w:rsidRDefault="005D334E" w:rsidP="005D334E">
      <w:pPr>
        <w:pStyle w:val="NoSpacing"/>
      </w:pPr>
    </w:p>
    <w:p w14:paraId="52A00F37" w14:textId="7497BEE8" w:rsidR="00E930D2" w:rsidRDefault="00E930D2" w:rsidP="00E930D2">
      <w:pPr>
        <w:pStyle w:val="NoSpacing"/>
      </w:pPr>
    </w:p>
    <w:p w14:paraId="6174869F" w14:textId="77777777" w:rsidR="00E930D2" w:rsidRDefault="00E930D2" w:rsidP="00E930D2">
      <w:pPr>
        <w:pStyle w:val="NoSpacing"/>
      </w:pPr>
    </w:p>
    <w:p w14:paraId="72196BE0" w14:textId="5B6490A0" w:rsidR="00E930D2" w:rsidRDefault="00E930D2" w:rsidP="00E930D2">
      <w:pPr>
        <w:pStyle w:val="NoSpacing"/>
      </w:pPr>
      <w:r w:rsidRPr="005A5894">
        <w:rPr>
          <w:b/>
        </w:rPr>
        <w:t>THE COURT HELD:</w:t>
      </w:r>
      <w:r>
        <w:t xml:space="preserve">  “Dr. Lynch is a board-certified physician in infectious disease, Professor of Medicine at the University of Washington School of Medicine, and Associate Medical Director at Harborview Medical Center…. Dr. Lynch explained in some detail why Plaintiffs’ proposed accommodation—testing, masking, and social distancing in lieu of vaccination— was inadequate. Regular COVID-19 testing was ‘not sufficient’ because tests are not always accurate and unvaccinated people subject to testing were ‘among positive cases that . . . caused outbreaks in’ Washington. Dr. Lynch described PPE, like masks, as ‘complements, not substitutes, for getting vaccinated,’ since ‘[m]asks shore up protection on the outside,’ and vaccines do so on the ‘inside.’ According to Dr. Lynch, vaccines are ‘effective around the clock,’ and masks are not because ‘a work-based masking requirement applies only while employees are at work.’ He cited various studies that supported these conclusions.” </w:t>
      </w:r>
    </w:p>
    <w:p w14:paraId="544C7659" w14:textId="77777777" w:rsidR="00E930D2" w:rsidRPr="005A5894" w:rsidRDefault="00E930D2" w:rsidP="00E930D2">
      <w:pPr>
        <w:pStyle w:val="NoSpacing"/>
        <w:rPr>
          <w:b/>
          <w:bCs/>
        </w:rPr>
      </w:pPr>
      <w:r w:rsidRPr="005A5894">
        <w:rPr>
          <w:b/>
        </w:rPr>
        <w:t xml:space="preserve">KEY FACTS: </w:t>
      </w:r>
    </w:p>
    <w:p w14:paraId="1465057B" w14:textId="77777777" w:rsidR="00E930D2" w:rsidRDefault="00E930D2" w:rsidP="00E930D2">
      <w:pPr>
        <w:pStyle w:val="NoSpacing"/>
      </w:pPr>
    </w:p>
    <w:p w14:paraId="02900EA9" w14:textId="77777777" w:rsidR="00E930D2" w:rsidRDefault="00E930D2" w:rsidP="00E930D2">
      <w:pPr>
        <w:pStyle w:val="NoSpacing"/>
        <w:ind w:left="720"/>
      </w:pPr>
      <w:r>
        <w:t>“SRFR provided its firefighters with information about the vaccination requirement and the process for requesting exemptions. Forty-six of SRFR’s 192 firefighters requested</w:t>
      </w:r>
    </w:p>
    <w:p w14:paraId="6B8F2E1A" w14:textId="77777777" w:rsidR="00E930D2" w:rsidRDefault="00E930D2" w:rsidP="00E930D2">
      <w:pPr>
        <w:pStyle w:val="NoSpacing"/>
        <w:ind w:left="720"/>
      </w:pPr>
      <w:r>
        <w:t>exemptions, including the eight Plaintiffs. All the firefighters served in various firefighting and emergency medical technician (EMT) positions, and all held EMT or</w:t>
      </w:r>
    </w:p>
    <w:p w14:paraId="6EE88AF0" w14:textId="77777777" w:rsidR="00E930D2" w:rsidRDefault="00E930D2" w:rsidP="00E930D2">
      <w:pPr>
        <w:pStyle w:val="NoSpacing"/>
        <w:ind w:firstLine="720"/>
      </w:pPr>
      <w:r>
        <w:t>paramedic certifications. SRFR’s Human Resources staff met with each employee</w:t>
      </w:r>
    </w:p>
    <w:p w14:paraId="6A2714E4" w14:textId="77777777" w:rsidR="00E930D2" w:rsidRDefault="00E930D2" w:rsidP="00E930D2">
      <w:pPr>
        <w:pStyle w:val="NoSpacing"/>
        <w:ind w:left="720"/>
      </w:pPr>
      <w:r>
        <w:t>who requested an exemption to discuss their request and any possible accommodation. SRFR simultaneously negotiated with the International Association of Fire Fighters, Local 2781 (the Union) regarding the vaccination requirement, and eventually ‘approved a Memorandum of Understanding (‘MOU’) that modified the collective bargaining agreement to provide accommodation options for firefighters if [SRFR] determined they could not be accommodated in their healthcare roles.’</w:t>
      </w:r>
    </w:p>
    <w:p w14:paraId="78596AD5" w14:textId="77777777" w:rsidR="00E930D2" w:rsidRDefault="00E930D2" w:rsidP="00E930D2">
      <w:pPr>
        <w:pStyle w:val="NoSpacing"/>
        <w:ind w:left="720"/>
      </w:pPr>
    </w:p>
    <w:p w14:paraId="19645ED3" w14:textId="77777777" w:rsidR="00E930D2" w:rsidRDefault="00E930D2" w:rsidP="00E930D2">
      <w:pPr>
        <w:pStyle w:val="NoSpacing"/>
        <w:ind w:left="720"/>
      </w:pPr>
      <w:r>
        <w:t>In these circumstances, the MOU explained that unvaccinated firefighters could use their accrued paid leave while remaining employed. After exhausting that leave, firefighters could take a one-year leave of absence without pay. The MOU also provided that if any firefighters chose to leave SRFR, they could be added to the disability rehire list, which gave them ‘priority’—meaning that they would not lose their rank, seniority, or benefit accrual status if they returned to SRFR within two years. Additionally, the MOU</w:t>
      </w:r>
    </w:p>
    <w:p w14:paraId="3A96786E" w14:textId="77777777" w:rsidR="00E930D2" w:rsidRDefault="00E930D2" w:rsidP="00E930D2">
      <w:pPr>
        <w:pStyle w:val="NoSpacing"/>
        <w:ind w:left="720"/>
      </w:pPr>
      <w:r>
        <w:t>‘</w:t>
      </w:r>
      <w:proofErr w:type="gramStart"/>
      <w:r>
        <w:t>specified</w:t>
      </w:r>
      <w:proofErr w:type="gramEnd"/>
      <w:r>
        <w:t xml:space="preserve"> that the unvaccinated frontline employees could return to work during their period of absence if [the] Proclamation . . . was updated and amended to that effect. </w:t>
      </w:r>
    </w:p>
    <w:p w14:paraId="3996DB25" w14:textId="77777777" w:rsidR="00E930D2" w:rsidRDefault="00E930D2" w:rsidP="00E930D2">
      <w:pPr>
        <w:pStyle w:val="NoSpacing"/>
        <w:ind w:left="720"/>
      </w:pPr>
    </w:p>
    <w:p w14:paraId="6B61E358" w14:textId="77777777" w:rsidR="00E930D2" w:rsidRDefault="00E930D2" w:rsidP="00E930D2">
      <w:pPr>
        <w:pStyle w:val="NoSpacing"/>
        <w:ind w:left="720"/>
      </w:pPr>
      <w:r>
        <w:t>In October 2021, SRFR determined that it could not accommodate unvaccinated firefighters in their firefighting roles without imposing an undue hardship on its operations. SRFR explained that because a firefighter’s work requires interfacing with the public, it did not have alternative positions for those seeking exemptions, nor could it facilitate their requested accommodation—masking, testing, and social distancing. SRFR encouraged all forty-six employees to use their accumulated leave days first and then apply for a one-year leave of absence. SRFR approved all such requests.”</w:t>
      </w:r>
    </w:p>
    <w:p w14:paraId="255B9D0F" w14:textId="77777777" w:rsidR="00E930D2" w:rsidRDefault="00E930D2" w:rsidP="00E930D2">
      <w:pPr>
        <w:pStyle w:val="NoSpacing"/>
        <w:ind w:firstLine="720"/>
      </w:pPr>
    </w:p>
    <w:p w14:paraId="46A5061D" w14:textId="77777777" w:rsidR="00E930D2" w:rsidRPr="00880A98" w:rsidRDefault="00E930D2" w:rsidP="00E930D2">
      <w:pPr>
        <w:pStyle w:val="NoSpacing"/>
        <w:rPr>
          <w:b/>
          <w:bCs/>
        </w:rPr>
      </w:pPr>
      <w:r>
        <w:rPr>
          <w:b/>
        </w:rPr>
        <w:t xml:space="preserve">Legal lesson learned: Yet another case holding that undue hardship for FDs to accommodate firefighters who refused to get vaccinated. </w:t>
      </w:r>
    </w:p>
    <w:p w14:paraId="29AF7C94" w14:textId="77777777" w:rsidR="00E930D2" w:rsidRDefault="00E930D2" w:rsidP="00542851">
      <w:pPr>
        <w:rPr>
          <w:rFonts w:ascii="Times New Roman" w:hAnsi="Times New Roman"/>
          <w:b/>
          <w:bCs/>
          <w:sz w:val="24"/>
          <w:szCs w:val="24"/>
        </w:rPr>
      </w:pPr>
    </w:p>
    <w:p w14:paraId="18BB4D82" w14:textId="1AAA77AC" w:rsidR="00004498" w:rsidRPr="002E2CF4" w:rsidRDefault="00004498" w:rsidP="00004498">
      <w:pPr>
        <w:rPr>
          <w:rFonts w:ascii="Arial Black" w:hAnsi="Arial Black"/>
          <w:b/>
          <w:bCs/>
          <w:sz w:val="24"/>
          <w:szCs w:val="24"/>
        </w:rPr>
      </w:pPr>
      <w:r w:rsidRPr="002E2CF4">
        <w:rPr>
          <w:rFonts w:ascii="Arial Black" w:hAnsi="Arial Black"/>
          <w:b/>
          <w:bCs/>
          <w:sz w:val="24"/>
          <w:szCs w:val="24"/>
        </w:rPr>
        <w:t>13-22</w:t>
      </w:r>
      <w:r w:rsidR="00524647">
        <w:rPr>
          <w:rFonts w:ascii="Arial Black" w:hAnsi="Arial Black"/>
          <w:b/>
          <w:bCs/>
          <w:sz w:val="24"/>
          <w:szCs w:val="24"/>
        </w:rPr>
        <w:t>4</w:t>
      </w:r>
    </w:p>
    <w:p w14:paraId="297D7CCF" w14:textId="7540BCE0" w:rsidR="004704EF" w:rsidRPr="001515BA" w:rsidRDefault="004704EF" w:rsidP="004704EF">
      <w:pPr>
        <w:rPr>
          <w:rFonts w:ascii="Arial Black" w:hAnsi="Arial Black"/>
          <w:b/>
          <w:sz w:val="28"/>
          <w:szCs w:val="28"/>
        </w:rPr>
      </w:pPr>
      <w:r>
        <w:rPr>
          <w:rFonts w:ascii="Arial Black" w:hAnsi="Arial Black"/>
          <w:b/>
          <w:sz w:val="28"/>
          <w:szCs w:val="28"/>
        </w:rPr>
        <w:t xml:space="preserve">AL: </w:t>
      </w:r>
      <w:r w:rsidR="0083128E">
        <w:rPr>
          <w:rFonts w:ascii="Arial Black" w:hAnsi="Arial Black"/>
          <w:b/>
          <w:sz w:val="28"/>
          <w:szCs w:val="28"/>
        </w:rPr>
        <w:t xml:space="preserve">VOL </w:t>
      </w:r>
      <w:r>
        <w:rPr>
          <w:rFonts w:ascii="Arial Black" w:hAnsi="Arial Black"/>
          <w:b/>
          <w:sz w:val="28"/>
          <w:szCs w:val="28"/>
        </w:rPr>
        <w:t>EM</w:t>
      </w:r>
      <w:r w:rsidR="0083128E">
        <w:rPr>
          <w:rFonts w:ascii="Arial Black" w:hAnsi="Arial Black"/>
          <w:b/>
          <w:sz w:val="28"/>
          <w:szCs w:val="28"/>
        </w:rPr>
        <w:t xml:space="preserve">T STOPPED CPR </w:t>
      </w:r>
      <w:r w:rsidR="000B5EEC">
        <w:rPr>
          <w:rFonts w:ascii="Arial Black" w:hAnsi="Arial Black"/>
          <w:b/>
          <w:sz w:val="28"/>
          <w:szCs w:val="28"/>
        </w:rPr>
        <w:t>–</w:t>
      </w:r>
      <w:r w:rsidR="0083128E">
        <w:rPr>
          <w:rFonts w:ascii="Arial Black" w:hAnsi="Arial Black"/>
          <w:b/>
          <w:sz w:val="28"/>
          <w:szCs w:val="28"/>
        </w:rPr>
        <w:t xml:space="preserve"> IMMUN</w:t>
      </w:r>
      <w:r w:rsidR="000B5EEC">
        <w:rPr>
          <w:rFonts w:ascii="Arial Black" w:hAnsi="Arial Black"/>
          <w:b/>
          <w:sz w:val="28"/>
          <w:szCs w:val="28"/>
        </w:rPr>
        <w:t xml:space="preserve">ITY - </w:t>
      </w:r>
      <w:r>
        <w:rPr>
          <w:rFonts w:ascii="Arial Black" w:hAnsi="Arial Black"/>
          <w:b/>
          <w:sz w:val="28"/>
          <w:szCs w:val="28"/>
        </w:rPr>
        <w:t>GOOD SAMAR</w:t>
      </w:r>
      <w:r w:rsidR="00D63907">
        <w:rPr>
          <w:rFonts w:ascii="Arial Black" w:hAnsi="Arial Black"/>
          <w:b/>
          <w:sz w:val="28"/>
          <w:szCs w:val="28"/>
        </w:rPr>
        <w:t>ITAN</w:t>
      </w:r>
      <w:r w:rsidR="00DE7A31">
        <w:rPr>
          <w:rFonts w:ascii="Arial Black" w:hAnsi="Arial Black"/>
          <w:b/>
          <w:sz w:val="28"/>
          <w:szCs w:val="28"/>
        </w:rPr>
        <w:t xml:space="preserve"> </w:t>
      </w:r>
      <w:r>
        <w:rPr>
          <w:rFonts w:ascii="Arial Black" w:hAnsi="Arial Black"/>
          <w:b/>
          <w:sz w:val="28"/>
          <w:szCs w:val="28"/>
        </w:rPr>
        <w:t xml:space="preserve">LAW </w:t>
      </w:r>
    </w:p>
    <w:p w14:paraId="4E29D2C3" w14:textId="0283FEB7" w:rsidR="004704EF" w:rsidRDefault="004704EF" w:rsidP="004704EF">
      <w:pPr>
        <w:pStyle w:val="NoSpacing"/>
      </w:pPr>
      <w:r>
        <w:lastRenderedPageBreak/>
        <w:t xml:space="preserve">On Aug. 29, 2025, in </w:t>
      </w:r>
      <w:r w:rsidRPr="002B4CFC">
        <w:rPr>
          <w:u w:val="single"/>
        </w:rPr>
        <w:t>Carol Rogers, as administratrix of the Estate of Susan Bonner, deceased v. Cedar Bluff Volunteer Fire Department</w:t>
      </w:r>
      <w:r>
        <w:rPr>
          <w:u w:val="single"/>
        </w:rPr>
        <w:t xml:space="preserve"> and the T</w:t>
      </w:r>
      <w:r w:rsidRPr="001B127E">
        <w:rPr>
          <w:u w:val="single"/>
        </w:rPr>
        <w:t>own of</w:t>
      </w:r>
      <w:r>
        <w:rPr>
          <w:u w:val="single"/>
        </w:rPr>
        <w:t xml:space="preserve"> </w:t>
      </w:r>
      <w:r w:rsidRPr="001B127E">
        <w:rPr>
          <w:u w:val="single"/>
        </w:rPr>
        <w:t>Cedar Bluff</w:t>
      </w:r>
      <w:r>
        <w:t xml:space="preserve">, the Alabama Supreme Court held (9 to 0) that trial court properly dismissed the lawsuit against the Town and its Volunteer Fire Department.  June 6, </w:t>
      </w:r>
      <w:proofErr w:type="gramStart"/>
      <w:r>
        <w:t>2017</w:t>
      </w:r>
      <w:proofErr w:type="gramEnd"/>
      <w:r>
        <w:t xml:space="preserve"> motor vehicle accident where drive was submerged in creek; bystander CPR; she died two days later.  Under the state’s </w:t>
      </w:r>
      <w:r w:rsidRPr="00340D54">
        <w:t>"Good Samaritan Act</w:t>
      </w:r>
      <w:r>
        <w:t xml:space="preserve">” the volunteer firefighter / EMT has immunity for negligence, as does his volunteer fire department which is deemed a </w:t>
      </w:r>
      <w:r w:rsidRPr="00786D98">
        <w:t>subordinate entity</w:t>
      </w:r>
      <w:r>
        <w:t xml:space="preserve"> of the Town.  If his conduct was deemed wanton misconduct, the Town and other governmental entities in Alabama are not liable for intentional misconduct of employees and agents.  </w:t>
      </w:r>
      <w:hyperlink r:id="rId2066" w:history="1">
        <w:r w:rsidR="000B5EEC" w:rsidRPr="00204094">
          <w:rPr>
            <w:rStyle w:val="Hyperlink"/>
          </w:rPr>
          <w:t>https://cases.justia.com/alabama/supreme-court/2025-sc-2025-0055.pdf?ts=1756474207</w:t>
        </w:r>
      </w:hyperlink>
    </w:p>
    <w:p w14:paraId="35875A35" w14:textId="77777777" w:rsidR="004704EF" w:rsidRDefault="004704EF" w:rsidP="004704EF">
      <w:pPr>
        <w:pStyle w:val="NoSpacing"/>
      </w:pPr>
    </w:p>
    <w:p w14:paraId="0A454198" w14:textId="77777777" w:rsidR="00957259" w:rsidRDefault="004704EF" w:rsidP="004704EF">
      <w:pPr>
        <w:pStyle w:val="NoSpacing"/>
      </w:pPr>
      <w:r w:rsidRPr="00474D47">
        <w:rPr>
          <w:b/>
        </w:rPr>
        <w:t xml:space="preserve">THE COURT HELD: </w:t>
      </w:r>
      <w:r>
        <w:rPr>
          <w:b/>
        </w:rPr>
        <w:t>“</w:t>
      </w:r>
      <w:r w:rsidRPr="00DF2DDA">
        <w:t>Based on the foregoing, Rogers failed to</w:t>
      </w:r>
      <w:r>
        <w:t xml:space="preserve"> demonstrate that a genuine issue of material fact existed as to whether the Town is vicariously immune from liability for Guice's allegedly wanton acts or omissions in this case, and, thus, the summary judgment in its favor is due to be affirmed…. Even if Guice's conduct was not done in ‘good faith’ and was not done within the ‘scope of [his] official functions and duties’ as a volunteer firefighter with the CBVFD, thereby preventing him from being entitled to immunity under § 6-5-3236(d)(1) of the VSA, § 11-47-190, which was raised in the Town's filings below, makes clear that the Town could not have been liable for that conduct because it would have been intentional, wrongful conduct.”</w:t>
      </w:r>
    </w:p>
    <w:p w14:paraId="249C7527" w14:textId="05BBA212" w:rsidR="004704EF" w:rsidRDefault="004704EF" w:rsidP="004704EF">
      <w:pPr>
        <w:pStyle w:val="NoSpacing"/>
      </w:pPr>
      <w:r>
        <w:t xml:space="preserve"> </w:t>
      </w:r>
      <w:hyperlink r:id="rId2067" w:history="1">
        <w:r w:rsidRPr="00204094">
          <w:rPr>
            <w:rStyle w:val="Hyperlink"/>
          </w:rPr>
          <w:t>https://cases.justia.com/alabama/supreme-court/2025-sc-2025-0055.pdf?ts=1756474207</w:t>
        </w:r>
      </w:hyperlink>
      <w:r>
        <w:t xml:space="preserve"> </w:t>
      </w:r>
    </w:p>
    <w:p w14:paraId="2147211A" w14:textId="77777777" w:rsidR="004704EF" w:rsidRDefault="004704EF" w:rsidP="004704EF">
      <w:pPr>
        <w:ind w:left="720"/>
      </w:pPr>
    </w:p>
    <w:p w14:paraId="40CDA44F" w14:textId="77777777" w:rsidR="004704EF" w:rsidRDefault="004704EF" w:rsidP="004704EF">
      <w:pPr>
        <w:rPr>
          <w:b/>
          <w:bCs/>
        </w:rPr>
      </w:pPr>
      <w:r>
        <w:rPr>
          <w:b/>
        </w:rPr>
        <w:t>KEY FACTS:</w:t>
      </w:r>
    </w:p>
    <w:p w14:paraId="2C253794" w14:textId="77777777" w:rsidR="004704EF" w:rsidRDefault="004704EF" w:rsidP="004704EF">
      <w:pPr>
        <w:pStyle w:val="NoSpacing"/>
        <w:ind w:left="720"/>
      </w:pPr>
      <w:r>
        <w:t>“</w:t>
      </w:r>
      <w:r w:rsidRPr="00443296">
        <w:t xml:space="preserve">On June 6, 2017, </w:t>
      </w:r>
      <w:r>
        <w:t xml:space="preserve">[Susan} </w:t>
      </w:r>
      <w:r w:rsidRPr="00443296">
        <w:t>Bonner was driving on County Road 45 in</w:t>
      </w:r>
      <w:r>
        <w:t xml:space="preserve"> </w:t>
      </w:r>
      <w:r w:rsidRPr="00443296">
        <w:t>Cherokee County when her vehicle left the roadway and ended up</w:t>
      </w:r>
      <w:r>
        <w:t xml:space="preserve"> </w:t>
      </w:r>
      <w:r w:rsidRPr="00443296">
        <w:t>submerged in a creek. After Bonner was rescued by passing motorists, a</w:t>
      </w:r>
      <w:r>
        <w:t xml:space="preserve"> </w:t>
      </w:r>
      <w:r w:rsidRPr="00443296">
        <w:t>bystander who also happened to be a volunteer firefighter with the</w:t>
      </w:r>
      <w:r>
        <w:t xml:space="preserve"> </w:t>
      </w:r>
      <w:r w:rsidRPr="00443296">
        <w:t xml:space="preserve">McCord's Crossroads Volunteer Fire </w:t>
      </w:r>
      <w:proofErr w:type="gramStart"/>
      <w:r w:rsidRPr="00443296">
        <w:t>Department (</w:t>
      </w:r>
      <w:r>
        <w:t>‘</w:t>
      </w:r>
      <w:proofErr w:type="gramEnd"/>
      <w:r w:rsidRPr="00443296">
        <w:t>the MCVFD</w:t>
      </w:r>
      <w:r>
        <w:t>’</w:t>
      </w:r>
      <w:r w:rsidRPr="00443296">
        <w:t>) began</w:t>
      </w:r>
      <w:r>
        <w:t xml:space="preserve"> </w:t>
      </w:r>
      <w:r w:rsidRPr="00493493">
        <w:t xml:space="preserve">performing cardiopulmonary </w:t>
      </w:r>
      <w:proofErr w:type="gramStart"/>
      <w:r w:rsidRPr="00493493">
        <w:t>resuscitation</w:t>
      </w:r>
      <w:r>
        <w:t xml:space="preserve"> </w:t>
      </w:r>
      <w:r w:rsidRPr="00493493">
        <w:t>(</w:t>
      </w:r>
      <w:r>
        <w:t>‘</w:t>
      </w:r>
      <w:proofErr w:type="gramEnd"/>
      <w:r w:rsidRPr="00493493">
        <w:t>CPR</w:t>
      </w:r>
      <w:r>
        <w:t>’</w:t>
      </w:r>
      <w:r w:rsidRPr="00493493">
        <w:t>) on Bonner. At some</w:t>
      </w:r>
      <w:r>
        <w:t xml:space="preserve"> </w:t>
      </w:r>
      <w:r w:rsidRPr="00493493">
        <w:t xml:space="preserve">point thereafter, Cherokee County Emergency Medical </w:t>
      </w:r>
      <w:proofErr w:type="gramStart"/>
      <w:r w:rsidRPr="00493493">
        <w:t>Services</w:t>
      </w:r>
      <w:r>
        <w:t xml:space="preserve"> </w:t>
      </w:r>
      <w:r w:rsidRPr="00493493">
        <w:t>(</w:t>
      </w:r>
      <w:r>
        <w:t>‘</w:t>
      </w:r>
      <w:proofErr w:type="gramEnd"/>
      <w:r w:rsidRPr="00493493">
        <w:t>Cherokee County EMS</w:t>
      </w:r>
      <w:r>
        <w:t>’</w:t>
      </w:r>
      <w:r w:rsidRPr="00493493">
        <w:t>) was notified of the accident, and paramedics</w:t>
      </w:r>
      <w:r>
        <w:t xml:space="preserve"> </w:t>
      </w:r>
      <w:r w:rsidRPr="00493493">
        <w:t>were dispatched to the scene.</w:t>
      </w:r>
    </w:p>
    <w:p w14:paraId="2AD1EA2E" w14:textId="77777777" w:rsidR="004704EF" w:rsidRDefault="004704EF" w:rsidP="004704EF">
      <w:pPr>
        <w:pStyle w:val="NoSpacing"/>
      </w:pPr>
    </w:p>
    <w:p w14:paraId="5211B024" w14:textId="77777777" w:rsidR="004704EF" w:rsidRDefault="004704EF" w:rsidP="004704EF">
      <w:pPr>
        <w:pStyle w:val="NoSpacing"/>
        <w:ind w:left="720"/>
      </w:pPr>
      <w:r>
        <w:t>Guice [Howard Guice, volunteer firefighter and emergency medical technician with the CBVFD]  was nearby, allegedly on a personal errand, and heard the call about the accident on a radio issued to him by the CBVFD. Even though the scene was not within the CBVFD's service area and even though the CBVFD had not dispatched him to the scene, Guice decided to go to the scene to see if he could assist the paramedics. After Guice arrived, the bystander who had been performing CPR on Bonner asked Guice to take over, but Guice declined. Instead, he advised that all resuscitative efforts should cease and stated over his CBVFD-issued radio that a death had occurred at the scene. Guice then allegedly entered the water to help other bystanders search for a possible second victim in Bonner's submerged vehicle.</w:t>
      </w:r>
    </w:p>
    <w:p w14:paraId="0B9F2F38" w14:textId="77777777" w:rsidR="004704EF" w:rsidRDefault="004704EF" w:rsidP="004704EF">
      <w:pPr>
        <w:pStyle w:val="NoSpacing"/>
      </w:pPr>
    </w:p>
    <w:p w14:paraId="74E33E86" w14:textId="77777777" w:rsidR="004704EF" w:rsidRDefault="004704EF" w:rsidP="004704EF">
      <w:pPr>
        <w:pStyle w:val="NoSpacing"/>
        <w:ind w:left="720"/>
      </w:pPr>
      <w:r w:rsidRPr="00464476">
        <w:t>Five minutes after the bystander ceased performing CPR on</w:t>
      </w:r>
      <w:r>
        <w:t xml:space="preserve"> </w:t>
      </w:r>
      <w:r w:rsidRPr="00464476">
        <w:t>Bonner, Cherokee County EMS paramedics arrived at the scene. They</w:t>
      </w:r>
      <w:r>
        <w:t xml:space="preserve"> </w:t>
      </w:r>
      <w:r w:rsidRPr="0004786C">
        <w:t xml:space="preserve">examined Bonner and found that she was warm to </w:t>
      </w:r>
      <w:proofErr w:type="gramStart"/>
      <w:r w:rsidRPr="0004786C">
        <w:t>the touch</w:t>
      </w:r>
      <w:proofErr w:type="gramEnd"/>
      <w:r w:rsidRPr="0004786C">
        <w:t>, had a pulse,</w:t>
      </w:r>
      <w:r>
        <w:t xml:space="preserve"> </w:t>
      </w:r>
      <w:r w:rsidRPr="0004786C">
        <w:t>and had responsive pupils. As a result, the paramedics performed CPR</w:t>
      </w:r>
      <w:r>
        <w:t xml:space="preserve"> </w:t>
      </w:r>
      <w:r w:rsidRPr="0004786C">
        <w:t>on her until she experienced a return of spontaneous circulation. Bonner</w:t>
      </w:r>
      <w:r>
        <w:t xml:space="preserve"> </w:t>
      </w:r>
      <w:r w:rsidRPr="0004786C">
        <w:t>was transported to the hospital for further treatment but died two days</w:t>
      </w:r>
      <w:r>
        <w:t xml:space="preserve"> </w:t>
      </w:r>
      <w:r w:rsidRPr="0004786C">
        <w:t xml:space="preserve">later </w:t>
      </w:r>
      <w:proofErr w:type="gramStart"/>
      <w:r w:rsidRPr="0004786C">
        <w:t>as a result of</w:t>
      </w:r>
      <w:proofErr w:type="gramEnd"/>
      <w:r w:rsidRPr="0004786C">
        <w:t xml:space="preserve"> anoxic </w:t>
      </w:r>
      <w:r w:rsidRPr="008225D6">
        <w:t>encephalopathy.4</w:t>
      </w:r>
    </w:p>
    <w:p w14:paraId="4CE289F3" w14:textId="77777777" w:rsidR="004704EF" w:rsidRDefault="004704EF" w:rsidP="004704EF">
      <w:pPr>
        <w:pStyle w:val="NoSpacing"/>
      </w:pPr>
    </w:p>
    <w:p w14:paraId="29D2FF14" w14:textId="77777777" w:rsidR="004704EF" w:rsidRDefault="004704EF" w:rsidP="004704EF">
      <w:pPr>
        <w:pStyle w:val="NoSpacing"/>
      </w:pPr>
      <w:r>
        <w:tab/>
      </w:r>
      <w:r>
        <w:tab/>
        <w:t>[Footnote 4.] According to the record, anoxic encephalopathy occurs when blood</w:t>
      </w:r>
    </w:p>
    <w:p w14:paraId="1E9066E7" w14:textId="77777777" w:rsidR="004704EF" w:rsidRDefault="004704EF" w:rsidP="004704EF">
      <w:pPr>
        <w:pStyle w:val="NoSpacing"/>
        <w:ind w:left="720" w:firstLine="720"/>
      </w:pPr>
      <w:r>
        <w:t>ceases to flow to the brain.</w:t>
      </w:r>
    </w:p>
    <w:p w14:paraId="24C86E15" w14:textId="77777777" w:rsidR="004704EF" w:rsidRDefault="004704EF" w:rsidP="004704EF">
      <w:r>
        <w:tab/>
        <w:t>***</w:t>
      </w:r>
    </w:p>
    <w:p w14:paraId="3833DE04" w14:textId="77777777" w:rsidR="004704EF" w:rsidRDefault="004704EF" w:rsidP="004704EF">
      <w:pPr>
        <w:pStyle w:val="NoSpacing"/>
        <w:ind w:left="720"/>
      </w:pPr>
      <w:r>
        <w:t xml:space="preserve">Furthermore, Steven Kimmons, the CBVFD's chief, testified during his deposition that he </w:t>
      </w:r>
      <w:proofErr w:type="gramStart"/>
      <w:r>
        <w:t>reports</w:t>
      </w:r>
      <w:proofErr w:type="gramEnd"/>
      <w:r>
        <w:t xml:space="preserve"> directly to the mayor of the Town. Our Court has recognized that this connection between a fire department and a municipality does not prevent that fire department from being deemed a ‘volunteer’ fire department, thus entitling the municipality to be vicariously immune from liability for the acts of the fire department's volunteer firefighters.”</w:t>
      </w:r>
      <w:r>
        <w:tab/>
      </w:r>
    </w:p>
    <w:p w14:paraId="38D916BF" w14:textId="77777777" w:rsidR="004704EF" w:rsidRDefault="004704EF" w:rsidP="004704EF">
      <w:pPr>
        <w:pStyle w:val="NoSpacing"/>
        <w:ind w:left="720"/>
      </w:pPr>
    </w:p>
    <w:p w14:paraId="7B4A6850" w14:textId="451EDCAD" w:rsidR="004704EF" w:rsidRDefault="004704EF" w:rsidP="004704EF">
      <w:pPr>
        <w:pStyle w:val="NoSpacing"/>
      </w:pPr>
      <w:r>
        <w:rPr>
          <w:b/>
        </w:rPr>
        <w:t xml:space="preserve">Legal lesson learned:  Continue CPR until ambulance arrives and takes vital signs. </w:t>
      </w:r>
    </w:p>
    <w:p w14:paraId="6EFD1BD6" w14:textId="77777777" w:rsidR="00004498" w:rsidRDefault="00004498" w:rsidP="00004498">
      <w:pPr>
        <w:rPr>
          <w:rFonts w:ascii="Arial Black" w:hAnsi="Arial Black"/>
          <w:b/>
          <w:bCs/>
          <w:sz w:val="24"/>
          <w:szCs w:val="24"/>
        </w:rPr>
      </w:pPr>
    </w:p>
    <w:p w14:paraId="5419F979" w14:textId="518237F9" w:rsidR="00004498" w:rsidRPr="002E2CF4" w:rsidRDefault="00004498" w:rsidP="00004498">
      <w:pPr>
        <w:rPr>
          <w:rFonts w:ascii="Arial Black" w:hAnsi="Arial Black"/>
          <w:b/>
          <w:bCs/>
          <w:sz w:val="24"/>
          <w:szCs w:val="24"/>
        </w:rPr>
      </w:pPr>
      <w:r w:rsidRPr="002E2CF4">
        <w:rPr>
          <w:rFonts w:ascii="Arial Black" w:hAnsi="Arial Black"/>
          <w:b/>
          <w:bCs/>
          <w:sz w:val="24"/>
          <w:szCs w:val="24"/>
        </w:rPr>
        <w:t>13-22</w:t>
      </w:r>
      <w:r w:rsidR="00524647">
        <w:rPr>
          <w:rFonts w:ascii="Arial Black" w:hAnsi="Arial Black"/>
          <w:b/>
          <w:bCs/>
          <w:sz w:val="24"/>
          <w:szCs w:val="24"/>
        </w:rPr>
        <w:t>3</w:t>
      </w:r>
    </w:p>
    <w:p w14:paraId="0C724300" w14:textId="2D3B7019" w:rsidR="00004498" w:rsidRPr="002B6421" w:rsidRDefault="00004498" w:rsidP="00004498">
      <w:pPr>
        <w:pStyle w:val="NoSpacing"/>
        <w:rPr>
          <w:rFonts w:ascii="Arial Black" w:hAnsi="Arial Black"/>
          <w:sz w:val="28"/>
          <w:szCs w:val="28"/>
        </w:rPr>
      </w:pPr>
      <w:r>
        <w:rPr>
          <w:rFonts w:ascii="Arial Black" w:hAnsi="Arial Black"/>
          <w:sz w:val="28"/>
          <w:szCs w:val="28"/>
        </w:rPr>
        <w:t xml:space="preserve">WA: SHOULDER STRAPS NOT USED – PT DEATH </w:t>
      </w:r>
      <w:r w:rsidR="00345C8F">
        <w:rPr>
          <w:rFonts w:ascii="Arial Black" w:hAnsi="Arial Black"/>
          <w:sz w:val="28"/>
          <w:szCs w:val="28"/>
        </w:rPr>
        <w:t>–</w:t>
      </w:r>
      <w:r>
        <w:rPr>
          <w:rFonts w:ascii="Arial Black" w:hAnsi="Arial Black"/>
          <w:sz w:val="28"/>
          <w:szCs w:val="28"/>
        </w:rPr>
        <w:t xml:space="preserve"> </w:t>
      </w:r>
      <w:r w:rsidR="00345C8F">
        <w:rPr>
          <w:rFonts w:ascii="Arial Black" w:hAnsi="Arial Black"/>
          <w:sz w:val="28"/>
          <w:szCs w:val="28"/>
        </w:rPr>
        <w:t xml:space="preserve">JURY </w:t>
      </w:r>
      <w:r>
        <w:rPr>
          <w:rFonts w:ascii="Arial Black" w:hAnsi="Arial Black"/>
          <w:sz w:val="28"/>
          <w:szCs w:val="28"/>
        </w:rPr>
        <w:t>$2.3M</w:t>
      </w:r>
    </w:p>
    <w:p w14:paraId="16811C29" w14:textId="77777777" w:rsidR="00004498" w:rsidRDefault="00004498" w:rsidP="00004498">
      <w:pPr>
        <w:pStyle w:val="NoSpacing"/>
      </w:pPr>
    </w:p>
    <w:p w14:paraId="082E3C59" w14:textId="77777777" w:rsidR="00542F1E" w:rsidRPr="00D8032C" w:rsidRDefault="00004498" w:rsidP="00542F1E">
      <w:pPr>
        <w:rPr>
          <w:rFonts w:ascii="Times New Roman" w:hAnsi="Times New Roman"/>
          <w:sz w:val="24"/>
          <w:szCs w:val="24"/>
        </w:rPr>
      </w:pPr>
      <w:r w:rsidRPr="00D8032C">
        <w:rPr>
          <w:rFonts w:ascii="Times New Roman" w:hAnsi="Times New Roman"/>
          <w:sz w:val="24"/>
          <w:szCs w:val="24"/>
        </w:rPr>
        <w:t xml:space="preserve">On July 28, 2025, in </w:t>
      </w:r>
      <w:r w:rsidRPr="00D8032C">
        <w:rPr>
          <w:rFonts w:ascii="Times New Roman" w:hAnsi="Times New Roman"/>
          <w:sz w:val="24"/>
          <w:szCs w:val="24"/>
          <w:u w:val="single"/>
        </w:rPr>
        <w:t>Michael J. Lang, individually and as personal representative of the estate of Frank E. Costa, et al. v. Platinum Nine Holdings, LLC, a Washington Limited Liability Corporation, doing business as Northwest Ambulance, et al</w:t>
      </w:r>
      <w:r w:rsidRPr="00D8032C">
        <w:rPr>
          <w:rFonts w:ascii="Times New Roman" w:hAnsi="Times New Roman"/>
          <w:sz w:val="24"/>
          <w:szCs w:val="24"/>
        </w:rPr>
        <w:t xml:space="preserve">., the Court of Appeals of Washington, Division 1 held (3 to 0; unpublished decision) that the trial court judge correctly held that the state’s EMS immunity statute does not apply to negligence in securing the patient to the gurney or negligence in driving ambulance; the jury awarded the estate $2.3 million in non-economic damages.  </w:t>
      </w:r>
      <w:hyperlink r:id="rId2068" w:history="1">
        <w:r w:rsidR="00542F1E" w:rsidRPr="00D8032C">
          <w:rPr>
            <w:rStyle w:val="Hyperlink"/>
            <w:rFonts w:ascii="Times New Roman" w:hAnsi="Times New Roman"/>
            <w:sz w:val="24"/>
            <w:szCs w:val="24"/>
          </w:rPr>
          <w:t>https://www.courts.wa.gov/opinions/pdf/862057.pdf</w:t>
        </w:r>
      </w:hyperlink>
    </w:p>
    <w:p w14:paraId="38755442" w14:textId="34786882" w:rsidR="00542F1E" w:rsidRDefault="006967A6" w:rsidP="00004498">
      <w:pPr>
        <w:rPr>
          <w:rFonts w:ascii="Times New Roman" w:hAnsi="Times New Roman"/>
          <w:sz w:val="24"/>
          <w:szCs w:val="24"/>
        </w:rPr>
      </w:pPr>
      <w:r>
        <w:rPr>
          <w:rFonts w:ascii="Times New Roman" w:hAnsi="Times New Roman"/>
          <w:sz w:val="24"/>
          <w:szCs w:val="24"/>
        </w:rPr>
        <w:t>COURT HELD:</w:t>
      </w:r>
    </w:p>
    <w:p w14:paraId="72221D78" w14:textId="119C6903" w:rsidR="00004498" w:rsidRPr="00D8032C" w:rsidRDefault="00004498" w:rsidP="00004498">
      <w:pPr>
        <w:rPr>
          <w:rFonts w:ascii="Times New Roman" w:hAnsi="Times New Roman"/>
          <w:sz w:val="24"/>
          <w:szCs w:val="24"/>
        </w:rPr>
      </w:pPr>
      <w:r w:rsidRPr="00D8032C">
        <w:rPr>
          <w:rFonts w:ascii="Times New Roman" w:hAnsi="Times New Roman"/>
          <w:sz w:val="24"/>
          <w:szCs w:val="24"/>
        </w:rPr>
        <w:t xml:space="preserve">In Nov. 2020, the private ambulance with three EMS on board transported the 78-year-old patient with metastatic breast cancer from Genesis Care Center to the hospital for bloodwork.  The ambulance crew moved Costa from his bed to the ambulance stretcher and secured him with two lap belts and guardrails but did not use shoulder straps to secure Costa to the gurney. [Lead EMT Jack] Wilson later testified that shoulder straps were for ‘specific patients’ who ‘weren’t able to control their upper body;’ that he had rarely seen anyone use shoulder straps; and that he could not recall being trained on how to use them. During transport, Costa’s condition deteriorated…  [EMT Henry] Shaw, driving the ambulance, turned on the lights and sirens, and when garbage truck started to yield to right, but then moved left Shaw hit the brakes, lost control and hit a highway divider head-on at 53 miles per hour. During the crash, Costa came off the gurney and hit the ambulance wall, sustained injuries to his head and neck, and died later that day.  THE COURT HELD:  “Because, under the facts of this case, RCW 18.71.210 does not extend qualified immunity to ambulance transportation or the use of gurney restraints, we conclude that the trial court acted appropriately in granting Lang’s motion in part and denying NWA’s motion…. NWA contends that the trial court misconstrued RCW 18.71.210 in denying its motion for summary judgment because ambulance transportation of patients receiving treatment and care to a medical facility is part of ‘emergency medical service’ as a matter of law. Because the statute differentiates between emergency medical service and transportation, we disagree. *** But because the statute does not provide qualified immunity for the behavior at issue and NWA conceded negligence, Lang did not need to plead or offer evidence of gross negligence.”  </w:t>
      </w:r>
    </w:p>
    <w:p w14:paraId="21D176DD" w14:textId="77777777" w:rsidR="00004498" w:rsidRPr="00D8032C" w:rsidRDefault="00004498" w:rsidP="00004498">
      <w:pPr>
        <w:pStyle w:val="NoSpacing"/>
        <w:rPr>
          <w:rFonts w:ascii="Times New Roman" w:hAnsi="Times New Roman"/>
          <w:b/>
          <w:bCs/>
          <w:sz w:val="24"/>
          <w:szCs w:val="24"/>
        </w:rPr>
      </w:pPr>
      <w:r w:rsidRPr="00D8032C">
        <w:rPr>
          <w:rFonts w:ascii="Times New Roman" w:hAnsi="Times New Roman"/>
          <w:b/>
          <w:sz w:val="24"/>
          <w:szCs w:val="24"/>
        </w:rPr>
        <w:t xml:space="preserve">Legal lesson learned:  If your gurney has shoulder straps, write a policy that specifies when they are to be used.  </w:t>
      </w:r>
    </w:p>
    <w:p w14:paraId="7BC9AFE8" w14:textId="77777777" w:rsidR="00004498" w:rsidRDefault="00004498" w:rsidP="00004498">
      <w:pPr>
        <w:rPr>
          <w:rFonts w:ascii="Times New Roman" w:hAnsi="Times New Roman"/>
          <w:b/>
          <w:bCs/>
          <w:sz w:val="24"/>
          <w:szCs w:val="24"/>
        </w:rPr>
      </w:pPr>
    </w:p>
    <w:p w14:paraId="78ED5774" w14:textId="77777777" w:rsidR="00004498" w:rsidRDefault="00004498" w:rsidP="00004498">
      <w:pPr>
        <w:rPr>
          <w:rFonts w:ascii="Arial Black" w:hAnsi="Arial Black"/>
          <w:b/>
          <w:bCs/>
          <w:sz w:val="24"/>
          <w:szCs w:val="24"/>
        </w:rPr>
      </w:pPr>
    </w:p>
    <w:p w14:paraId="0DFBB6DB" w14:textId="77777777" w:rsidR="00004498" w:rsidRDefault="00004498" w:rsidP="00004498">
      <w:pPr>
        <w:rPr>
          <w:rFonts w:ascii="Arial Black" w:hAnsi="Arial Black"/>
          <w:b/>
          <w:bCs/>
          <w:sz w:val="24"/>
          <w:szCs w:val="24"/>
        </w:rPr>
      </w:pPr>
    </w:p>
    <w:p w14:paraId="5982DD57" w14:textId="77777777" w:rsidR="00004498" w:rsidRDefault="00004498" w:rsidP="00004498">
      <w:pPr>
        <w:rPr>
          <w:rFonts w:ascii="Arial Black" w:hAnsi="Arial Black"/>
          <w:b/>
          <w:bCs/>
          <w:sz w:val="24"/>
          <w:szCs w:val="24"/>
        </w:rPr>
      </w:pPr>
    </w:p>
    <w:p w14:paraId="126B1008" w14:textId="66930298" w:rsidR="00004498" w:rsidRPr="002E2CF4" w:rsidRDefault="00004498" w:rsidP="00004498">
      <w:pPr>
        <w:rPr>
          <w:rFonts w:ascii="Arial Black" w:hAnsi="Arial Black"/>
          <w:b/>
          <w:bCs/>
          <w:sz w:val="24"/>
          <w:szCs w:val="24"/>
        </w:rPr>
      </w:pPr>
      <w:r w:rsidRPr="002E2CF4">
        <w:rPr>
          <w:rFonts w:ascii="Arial Black" w:hAnsi="Arial Black"/>
          <w:b/>
          <w:bCs/>
          <w:sz w:val="24"/>
          <w:szCs w:val="24"/>
        </w:rPr>
        <w:t>13-22</w:t>
      </w:r>
      <w:r w:rsidR="00524647">
        <w:rPr>
          <w:rFonts w:ascii="Arial Black" w:hAnsi="Arial Black"/>
          <w:b/>
          <w:bCs/>
          <w:sz w:val="24"/>
          <w:szCs w:val="24"/>
        </w:rPr>
        <w:t>2</w:t>
      </w:r>
    </w:p>
    <w:p w14:paraId="09199574" w14:textId="2AC019FC" w:rsidR="00EB5A84" w:rsidRPr="002C5E98" w:rsidRDefault="00EB5A84" w:rsidP="00EB5A84">
      <w:pPr>
        <w:pStyle w:val="NoSpacing"/>
        <w:rPr>
          <w:rFonts w:ascii="Arial Black" w:hAnsi="Arial Black"/>
          <w:b/>
          <w:bCs/>
          <w:sz w:val="28"/>
          <w:szCs w:val="28"/>
        </w:rPr>
      </w:pPr>
      <w:r>
        <w:rPr>
          <w:rFonts w:ascii="Arial Black" w:hAnsi="Arial Black"/>
          <w:b/>
          <w:sz w:val="28"/>
          <w:szCs w:val="28"/>
        </w:rPr>
        <w:lastRenderedPageBreak/>
        <w:t xml:space="preserve">NY: </w:t>
      </w:r>
      <w:r w:rsidR="003204A1">
        <w:rPr>
          <w:rFonts w:ascii="Arial Black" w:hAnsi="Arial Black"/>
          <w:b/>
          <w:sz w:val="28"/>
          <w:szCs w:val="28"/>
        </w:rPr>
        <w:t>EXCI</w:t>
      </w:r>
      <w:r w:rsidR="00D77B56">
        <w:rPr>
          <w:rFonts w:ascii="Arial Black" w:hAnsi="Arial Black"/>
          <w:b/>
          <w:sz w:val="28"/>
          <w:szCs w:val="28"/>
        </w:rPr>
        <w:t xml:space="preserve">TED UTTERANCE - </w:t>
      </w:r>
      <w:r>
        <w:rPr>
          <w:rFonts w:ascii="Arial Black" w:hAnsi="Arial Black"/>
          <w:b/>
          <w:sz w:val="28"/>
          <w:szCs w:val="28"/>
        </w:rPr>
        <w:t>EM</w:t>
      </w:r>
      <w:r w:rsidR="00D77B56">
        <w:rPr>
          <w:rFonts w:ascii="Arial Black" w:hAnsi="Arial Black"/>
          <w:b/>
          <w:sz w:val="28"/>
          <w:szCs w:val="28"/>
        </w:rPr>
        <w:t>T</w:t>
      </w:r>
      <w:r>
        <w:rPr>
          <w:rFonts w:ascii="Arial Black" w:hAnsi="Arial Black"/>
          <w:b/>
          <w:sz w:val="28"/>
          <w:szCs w:val="28"/>
        </w:rPr>
        <w:t xml:space="preserve"> CAN TESTIFY - “MY BROTHER DID IT” </w:t>
      </w:r>
    </w:p>
    <w:p w14:paraId="3587308C" w14:textId="77777777" w:rsidR="00EB5A84" w:rsidRPr="009948C1" w:rsidRDefault="00EB5A84" w:rsidP="00EB5A84">
      <w:pPr>
        <w:pStyle w:val="NoSpacing"/>
      </w:pPr>
    </w:p>
    <w:p w14:paraId="05A5E4B9" w14:textId="77777777" w:rsidR="00D77B56" w:rsidRDefault="00EB5A84" w:rsidP="00D77B56">
      <w:pPr>
        <w:pStyle w:val="NoSpacing"/>
      </w:pPr>
      <w:r>
        <w:t xml:space="preserve">On June 27, 2025, in </w:t>
      </w:r>
      <w:r w:rsidRPr="009948C1">
        <w:rPr>
          <w:u w:val="single"/>
        </w:rPr>
        <w:t>The People of the State of New York</w:t>
      </w:r>
      <w:r w:rsidRPr="006C6A5A">
        <w:rPr>
          <w:u w:val="single"/>
        </w:rPr>
        <w:t xml:space="preserve"> </w:t>
      </w:r>
      <w:r w:rsidRPr="009948C1">
        <w:rPr>
          <w:u w:val="single"/>
        </w:rPr>
        <w:t>v.</w:t>
      </w:r>
      <w:r w:rsidRPr="006C6A5A">
        <w:rPr>
          <w:u w:val="single"/>
        </w:rPr>
        <w:t xml:space="preserve"> </w:t>
      </w:r>
      <w:r w:rsidRPr="009948C1">
        <w:rPr>
          <w:u w:val="single"/>
        </w:rPr>
        <w:t>Bruce Biggs</w:t>
      </w:r>
      <w:r w:rsidRPr="009948C1">
        <w:t xml:space="preserve">, </w:t>
      </w:r>
      <w:r>
        <w:t xml:space="preserve">Judge Dineen Ann Riviezzo, Supreme Court, Kings County, held (unpublished decision) that the “exited utterance”  exception to the hearsay rule allows police and EMS to in Second-Degree Murder trial about the dying patient’s comments. </w:t>
      </w:r>
      <w:hyperlink r:id="rId2069" w:history="1">
        <w:r w:rsidR="00D77B56" w:rsidRPr="008C7245">
          <w:rPr>
            <w:rStyle w:val="Hyperlink"/>
          </w:rPr>
          <w:t>https://law.justia.com/cases/new-york/other-courts/2025/2025-ny-slip-op-51480-u.html</w:t>
        </w:r>
      </w:hyperlink>
      <w:r w:rsidR="00D77B56">
        <w:t xml:space="preserve"> </w:t>
      </w:r>
    </w:p>
    <w:p w14:paraId="1E5E478C" w14:textId="484450CB" w:rsidR="00EB5A84" w:rsidRDefault="00EB5A84" w:rsidP="00EB5A84">
      <w:pPr>
        <w:pStyle w:val="NoSpacing"/>
      </w:pPr>
    </w:p>
    <w:p w14:paraId="21EB93C9" w14:textId="77777777" w:rsidR="00EB5A84" w:rsidRDefault="00EB5A84" w:rsidP="00EB5A84">
      <w:pPr>
        <w:pStyle w:val="NoSpacing"/>
      </w:pPr>
    </w:p>
    <w:p w14:paraId="65915C43" w14:textId="77777777" w:rsidR="00EB5A84" w:rsidRDefault="00EB5A84" w:rsidP="00EB5A84">
      <w:pPr>
        <w:pStyle w:val="NoSpacing"/>
      </w:pPr>
      <w:r w:rsidRPr="005A464F">
        <w:rPr>
          <w:b/>
        </w:rPr>
        <w:t xml:space="preserve">THE COURT HELD: </w:t>
      </w:r>
      <w:r>
        <w:t>“</w:t>
      </w:r>
      <w:r w:rsidRPr="00B158EA">
        <w:t xml:space="preserve">Here, based on the above factors, the court finds that the statement qualifies as an excited utterance. Decedent was shot five times and was suffering from traumatic and serious injuries. He made a spontaneous statement only thirteen minutes after the shooting while he was in the ambulance and the EMTs were tending to his multiple injuries. The body worn camera demonstrates that decedent was </w:t>
      </w:r>
      <w:proofErr w:type="gramStart"/>
      <w:r w:rsidRPr="00B158EA">
        <w:t>in the midst of</w:t>
      </w:r>
      <w:proofErr w:type="gramEnd"/>
      <w:r w:rsidRPr="00B158EA">
        <w:t xml:space="preserve"> a serious medical event and had no time to reflect </w:t>
      </w:r>
      <w:proofErr w:type="gramStart"/>
      <w:r w:rsidRPr="00B158EA">
        <w:t>so as to</w:t>
      </w:r>
      <w:proofErr w:type="gramEnd"/>
      <w:r w:rsidRPr="00B158EA">
        <w:t xml:space="preserve"> deliberately deviate from the truth.</w:t>
      </w:r>
      <w:r>
        <w:t xml:space="preserve">” </w:t>
      </w:r>
      <w:hyperlink r:id="rId2070" w:history="1">
        <w:r w:rsidRPr="008C7245">
          <w:rPr>
            <w:rStyle w:val="Hyperlink"/>
          </w:rPr>
          <w:t>https://law.justia.com/cases/new-york/other-courts/2025/2025-ny-slip-op-51480-u.html</w:t>
        </w:r>
      </w:hyperlink>
      <w:r>
        <w:t xml:space="preserve"> </w:t>
      </w:r>
    </w:p>
    <w:p w14:paraId="148D52CE" w14:textId="77777777" w:rsidR="00EB5A84" w:rsidRDefault="00EB5A84" w:rsidP="00EB5A84">
      <w:pPr>
        <w:pStyle w:val="NoSpacing"/>
      </w:pPr>
      <w:r>
        <w:t xml:space="preserve"> </w:t>
      </w:r>
    </w:p>
    <w:p w14:paraId="0CAE61DC" w14:textId="77777777" w:rsidR="00EB5A84" w:rsidRPr="005A464F" w:rsidRDefault="00EB5A84" w:rsidP="00EB5A84">
      <w:pPr>
        <w:pStyle w:val="NoSpacing"/>
        <w:rPr>
          <w:b/>
          <w:bCs/>
        </w:rPr>
      </w:pPr>
      <w:r w:rsidRPr="005A464F">
        <w:rPr>
          <w:b/>
        </w:rPr>
        <w:t>KEY FACTS:</w:t>
      </w:r>
    </w:p>
    <w:p w14:paraId="18ECF12B" w14:textId="77777777" w:rsidR="00EB5A84" w:rsidRDefault="00EB5A84" w:rsidP="00EB5A84">
      <w:pPr>
        <w:pStyle w:val="NoSpacing"/>
      </w:pPr>
    </w:p>
    <w:p w14:paraId="54ECB398" w14:textId="77777777" w:rsidR="00EB5A84" w:rsidRDefault="00EB5A84" w:rsidP="00EB5A84">
      <w:pPr>
        <w:pStyle w:val="NoSpacing"/>
        <w:ind w:left="720"/>
      </w:pPr>
      <w:r>
        <w:t>“</w:t>
      </w:r>
      <w:r w:rsidRPr="005B601F">
        <w:t>On May 2, 2021, at approximately 8:26p.m., Police Officer Christopher Murphy responded to the corner of Putnam and Patchen Avenues in response to reports of a male shot. Officer Murphy was one of the first officers to respond. His body worn camera was activated and captured the entirety of his interaction with decedent at the crime scene, during transport to the hospital and at the hospital.</w:t>
      </w:r>
    </w:p>
    <w:p w14:paraId="17B2B82C" w14:textId="77777777" w:rsidR="00EB5A84" w:rsidRPr="005B601F" w:rsidRDefault="00EB5A84" w:rsidP="00EB5A84">
      <w:pPr>
        <w:pStyle w:val="NoSpacing"/>
        <w:ind w:left="720"/>
      </w:pPr>
    </w:p>
    <w:p w14:paraId="3E501D51" w14:textId="77777777" w:rsidR="00EB5A84" w:rsidRDefault="00EB5A84" w:rsidP="00EB5A84">
      <w:pPr>
        <w:pStyle w:val="NoSpacing"/>
        <w:ind w:left="720"/>
      </w:pPr>
      <w:r w:rsidRPr="005B601F">
        <w:t xml:space="preserve">Officer Murphy approached decedent, who was lying on his stomach, and assessed him for injuries. Decedent rolled over onto his back and Officer Murphy applied a torniquet to his left leg which was bleeding profusely. Officer Murphy placed pressure on a wound to decedent's stomach area. During this time, decedent repeatedly asked for an ambulance, expressed that he was in pain and requested water. Officer Murphy told him to stay awake and to keep breathing. At one point, it appeared that decedent passed out. Officer Murphy asked what had happened, but </w:t>
      </w:r>
      <w:proofErr w:type="gramStart"/>
      <w:r w:rsidRPr="005B601F">
        <w:t>decedent</w:t>
      </w:r>
      <w:proofErr w:type="gramEnd"/>
      <w:r w:rsidRPr="005B601F">
        <w:t xml:space="preserve"> was unable to answer the most basic questions due to his pain and injuries.</w:t>
      </w:r>
    </w:p>
    <w:p w14:paraId="22818225" w14:textId="77777777" w:rsidR="00EB5A84" w:rsidRPr="005B601F" w:rsidRDefault="00EB5A84" w:rsidP="00EB5A84">
      <w:pPr>
        <w:pStyle w:val="NoSpacing"/>
        <w:ind w:left="720"/>
      </w:pPr>
    </w:p>
    <w:p w14:paraId="5D6A977D" w14:textId="77777777" w:rsidR="00EB5A84" w:rsidRDefault="00EB5A84" w:rsidP="00EB5A84">
      <w:pPr>
        <w:pStyle w:val="NoSpacing"/>
        <w:ind w:left="720"/>
      </w:pPr>
      <w:r w:rsidRPr="005B601F">
        <w:t>While Officer Murphy was attending decedent's injuries, another officer asked his name, where the shooting occurred, and who shot him. Decedent was unable to answer any of the questions posed. The officers learned his name from someone else on the scene and stopped asking decedent questions.</w:t>
      </w:r>
    </w:p>
    <w:p w14:paraId="5D426C47" w14:textId="77777777" w:rsidR="00EB5A84" w:rsidRPr="005B601F" w:rsidRDefault="00EB5A84" w:rsidP="00EB5A84">
      <w:pPr>
        <w:pStyle w:val="NoSpacing"/>
        <w:ind w:left="720"/>
      </w:pPr>
    </w:p>
    <w:p w14:paraId="5840BFC6" w14:textId="77777777" w:rsidR="00EB5A84" w:rsidRDefault="00EB5A84" w:rsidP="00EB5A84">
      <w:pPr>
        <w:pStyle w:val="NoSpacing"/>
        <w:ind w:left="720"/>
      </w:pPr>
      <w:r w:rsidRPr="005B601F">
        <w:t xml:space="preserve">At approximately 8:33 p.m., an ambulance arrived and the EMTs noted decedent's diminished breathing and low blood pressure. The EMTs encouraged decedent to </w:t>
      </w:r>
      <w:r>
        <w:t>‘</w:t>
      </w:r>
      <w:r w:rsidRPr="005B601F">
        <w:t>stay with us, stay awake, stay with me.</w:t>
      </w:r>
      <w:r>
        <w:t>’</w:t>
      </w:r>
      <w:r w:rsidRPr="005B601F">
        <w:t xml:space="preserve"> Decedent was given oxygen and was encouraged to take deep breaths. Decedent requested more oxygen, but the EMTs stated that it was already at a high level. They suggested he breathe through his nose.</w:t>
      </w:r>
    </w:p>
    <w:p w14:paraId="470A02EB" w14:textId="77777777" w:rsidR="00EB5A84" w:rsidRDefault="00EB5A84" w:rsidP="00EB5A84">
      <w:pPr>
        <w:pStyle w:val="NoSpacing"/>
        <w:ind w:left="720"/>
      </w:pPr>
    </w:p>
    <w:p w14:paraId="661ED21A" w14:textId="77777777" w:rsidR="00EB5A84" w:rsidRDefault="00EB5A84" w:rsidP="00EB5A84">
      <w:pPr>
        <w:pStyle w:val="NoSpacing"/>
        <w:ind w:left="720"/>
      </w:pPr>
      <w:r w:rsidRPr="00944CA6">
        <w:t xml:space="preserve">At 8:39 p.m., while still inside the ambulance, Decedent stated </w:t>
      </w:r>
      <w:r>
        <w:t>‘</w:t>
      </w:r>
      <w:r w:rsidRPr="00944CA6">
        <w:t>my brother did it, Bruce Biggs. Bruce Biggs shot me.</w:t>
      </w:r>
      <w:r>
        <w:t>’</w:t>
      </w:r>
      <w:r w:rsidRPr="00944CA6">
        <w:t xml:space="preserve"> The statement was spontaneous and not made in response to any questioning by Officer Murphy or the EMTs. Decedent then stated, </w:t>
      </w:r>
      <w:r>
        <w:t>‘</w:t>
      </w:r>
      <w:r w:rsidRPr="00944CA6">
        <w:t>I went to the precinct the other day and told the cop at the desk, a Spanish dude, he wouldn't listen to me. I told him he's after me [inaudible</w:t>
      </w:r>
      <w:proofErr w:type="gramStart"/>
      <w:r w:rsidRPr="00944CA6">
        <w:t>]</w:t>
      </w:r>
      <w:proofErr w:type="gramEnd"/>
      <w:r w:rsidRPr="00944CA6">
        <w:t xml:space="preserve"> but he wouldn't listen.</w:t>
      </w:r>
      <w:r>
        <w:t>’</w:t>
      </w:r>
      <w:r w:rsidRPr="00944CA6">
        <w:t xml:space="preserve"> After this statement, Officer Murphy asked </w:t>
      </w:r>
      <w:r>
        <w:t>‘</w:t>
      </w:r>
      <w:r w:rsidRPr="00944CA6">
        <w:t>Who did it?</w:t>
      </w:r>
      <w:r>
        <w:t xml:space="preserve">’ </w:t>
      </w:r>
      <w:r w:rsidRPr="00944CA6">
        <w:t xml:space="preserve"> to which Biggs responded, </w:t>
      </w:r>
      <w:r>
        <w:t>‘</w:t>
      </w:r>
      <w:r w:rsidRPr="00944CA6">
        <w:t>Bruce Biggs.</w:t>
      </w:r>
      <w:r>
        <w:t>’</w:t>
      </w:r>
      <w:r w:rsidRPr="00944CA6">
        <w:t xml:space="preserve"> Officer Murphy clarified by asking </w:t>
      </w:r>
      <w:r>
        <w:t>‘</w:t>
      </w:r>
      <w:r w:rsidRPr="00944CA6">
        <w:t>Bruce Biggs?</w:t>
      </w:r>
      <w:r>
        <w:t>’</w:t>
      </w:r>
      <w:r w:rsidRPr="00944CA6">
        <w:t xml:space="preserve"> and Biggs responded, </w:t>
      </w:r>
      <w:r>
        <w:t>‘</w:t>
      </w:r>
      <w:r w:rsidRPr="00944CA6">
        <w:t>74 Bainbridge Street.</w:t>
      </w:r>
      <w:r>
        <w:t>’”</w:t>
      </w:r>
    </w:p>
    <w:p w14:paraId="476F1C64" w14:textId="77777777" w:rsidR="00EB5A84" w:rsidRDefault="00EB5A84" w:rsidP="00EB5A84">
      <w:pPr>
        <w:pStyle w:val="NoSpacing"/>
        <w:ind w:left="720"/>
      </w:pPr>
    </w:p>
    <w:p w14:paraId="0CA10637" w14:textId="77777777" w:rsidR="00EB5A84" w:rsidRPr="00F43962" w:rsidRDefault="00EB5A84" w:rsidP="00EB5A84">
      <w:pPr>
        <w:pStyle w:val="NoSpacing"/>
        <w:rPr>
          <w:b/>
          <w:bCs/>
        </w:rPr>
      </w:pPr>
      <w:r>
        <w:rPr>
          <w:b/>
        </w:rPr>
        <w:t xml:space="preserve">Legal lesson learned: EMS should document in their run report the comments by the patient that his brother shot him.  </w:t>
      </w:r>
    </w:p>
    <w:p w14:paraId="18783650" w14:textId="77777777" w:rsidR="00EB5A84" w:rsidRDefault="00EB5A84" w:rsidP="00EB5A84">
      <w:pPr>
        <w:pStyle w:val="NoSpacing"/>
        <w:ind w:left="720"/>
      </w:pPr>
    </w:p>
    <w:p w14:paraId="56C855BB" w14:textId="77777777" w:rsidR="00EB5A84" w:rsidRDefault="00EB5A84" w:rsidP="00EB5A84">
      <w:pPr>
        <w:pStyle w:val="NoSpacing"/>
        <w:ind w:left="720"/>
      </w:pPr>
    </w:p>
    <w:p w14:paraId="35D2BF59" w14:textId="4001BAA7" w:rsidR="002E2CF4" w:rsidRPr="002E2CF4" w:rsidRDefault="002E2CF4" w:rsidP="00542851">
      <w:pPr>
        <w:rPr>
          <w:rFonts w:ascii="Arial Black" w:hAnsi="Arial Black"/>
          <w:b/>
          <w:bCs/>
          <w:sz w:val="24"/>
          <w:szCs w:val="24"/>
        </w:rPr>
      </w:pPr>
      <w:r w:rsidRPr="002E2CF4">
        <w:rPr>
          <w:rFonts w:ascii="Arial Black" w:hAnsi="Arial Black"/>
          <w:b/>
          <w:bCs/>
          <w:sz w:val="24"/>
          <w:szCs w:val="24"/>
        </w:rPr>
        <w:t>13-22</w:t>
      </w:r>
      <w:r w:rsidR="00524647">
        <w:rPr>
          <w:rFonts w:ascii="Arial Black" w:hAnsi="Arial Black"/>
          <w:b/>
          <w:bCs/>
          <w:sz w:val="24"/>
          <w:szCs w:val="24"/>
        </w:rPr>
        <w:t>1</w:t>
      </w:r>
    </w:p>
    <w:p w14:paraId="760ACA58" w14:textId="77777777" w:rsidR="00BA6717" w:rsidRPr="00204D78" w:rsidRDefault="00BA6717" w:rsidP="00BA6717">
      <w:pPr>
        <w:pStyle w:val="NoSpacing"/>
        <w:rPr>
          <w:rFonts w:ascii="Arial Black" w:hAnsi="Arial Black"/>
          <w:bCs/>
          <w:sz w:val="28"/>
          <w:szCs w:val="28"/>
        </w:rPr>
      </w:pPr>
      <w:r>
        <w:rPr>
          <w:rFonts w:ascii="Arial Black" w:hAnsi="Arial Black"/>
          <w:sz w:val="28"/>
          <w:szCs w:val="28"/>
        </w:rPr>
        <w:lastRenderedPageBreak/>
        <w:t>TX: “MD” TOLD EMS NOT TREAT PT - NOT A PHYSICIAN</w:t>
      </w:r>
    </w:p>
    <w:p w14:paraId="170191E0" w14:textId="77777777" w:rsidR="00BA6717" w:rsidRDefault="00BA6717" w:rsidP="00BA6717">
      <w:pPr>
        <w:pStyle w:val="NoSpacing"/>
        <w:rPr>
          <w:bCs/>
        </w:rPr>
      </w:pPr>
    </w:p>
    <w:p w14:paraId="40B805BB" w14:textId="3F99B353" w:rsidR="00BA6717" w:rsidRPr="00662E1A" w:rsidRDefault="00BA6717" w:rsidP="00BA6717">
      <w:pPr>
        <w:pStyle w:val="NoSpacing"/>
        <w:rPr>
          <w:rFonts w:ascii="Times New Roman" w:hAnsi="Times New Roman"/>
          <w:bCs/>
          <w:sz w:val="24"/>
          <w:szCs w:val="24"/>
        </w:rPr>
      </w:pPr>
      <w:r w:rsidRPr="00662E1A">
        <w:rPr>
          <w:rFonts w:ascii="Times New Roman" w:hAnsi="Times New Roman"/>
          <w:sz w:val="24"/>
          <w:szCs w:val="24"/>
        </w:rPr>
        <w:t xml:space="preserve">On July 24, 2025, in </w:t>
      </w:r>
      <w:r w:rsidRPr="00662E1A">
        <w:rPr>
          <w:rFonts w:ascii="Times New Roman" w:hAnsi="Times New Roman"/>
          <w:sz w:val="24"/>
          <w:szCs w:val="24"/>
          <w:u w:val="single"/>
        </w:rPr>
        <w:t>Texas Medical Board v. Grayce Yannuzzi</w:t>
      </w:r>
      <w:r w:rsidRPr="00662E1A">
        <w:rPr>
          <w:rFonts w:ascii="Times New Roman" w:hAnsi="Times New Roman"/>
          <w:sz w:val="24"/>
          <w:szCs w:val="24"/>
        </w:rPr>
        <w:t>, the Court of Appeals of Texas, Fifteenth District, held (3 to 0) that the Medical Board properly issued a cease-and-desist order</w:t>
      </w:r>
      <w:r w:rsidR="001F4349">
        <w:rPr>
          <w:rFonts w:ascii="Times New Roman" w:hAnsi="Times New Roman"/>
          <w:sz w:val="24"/>
          <w:szCs w:val="24"/>
        </w:rPr>
        <w:t xml:space="preserve"> </w:t>
      </w:r>
      <w:r w:rsidRPr="00662E1A">
        <w:rPr>
          <w:rFonts w:ascii="Times New Roman" w:hAnsi="Times New Roman"/>
          <w:sz w:val="24"/>
          <w:szCs w:val="24"/>
        </w:rPr>
        <w:t xml:space="preserve">prohibiting Grayce Yannuzzi from holding herself out to be a licensed physician.  She is a licensed laser hair professional who works at Ginger Allure </w:t>
      </w:r>
      <w:proofErr w:type="gramStart"/>
      <w:r w:rsidRPr="00662E1A">
        <w:rPr>
          <w:rFonts w:ascii="Times New Roman" w:hAnsi="Times New Roman"/>
          <w:sz w:val="24"/>
          <w:szCs w:val="24"/>
        </w:rPr>
        <w:t>MedSpa (‘</w:t>
      </w:r>
      <w:proofErr w:type="gramEnd"/>
      <w:r w:rsidRPr="00662E1A">
        <w:rPr>
          <w:rFonts w:ascii="Times New Roman" w:hAnsi="Times New Roman"/>
          <w:sz w:val="24"/>
          <w:szCs w:val="24"/>
        </w:rPr>
        <w:t xml:space="preserve">MedSpa’), under the direction of a Dr. Clark.  She claims that she was merely telling the medic and his Medical Director that Dr. Clark would see the patient.  Trial Court judge set aside the Board’s order; Court of Appeals disagreed and reinstated the order. THE COURT HELD: “[Paramedic Christopher] Stevens and Dr. Abraham’s testimony ‘demonstrates a reasonable basis for’ the Board’s decision.” </w:t>
      </w:r>
    </w:p>
    <w:p w14:paraId="6EC09F89" w14:textId="77777777" w:rsidR="00BA6717" w:rsidRPr="00662E1A" w:rsidRDefault="00BA6717" w:rsidP="00BA6717">
      <w:pPr>
        <w:pStyle w:val="NoSpacing"/>
        <w:rPr>
          <w:rFonts w:ascii="Times New Roman" w:hAnsi="Times New Roman"/>
          <w:bCs/>
          <w:sz w:val="24"/>
          <w:szCs w:val="24"/>
        </w:rPr>
      </w:pPr>
      <w:hyperlink r:id="rId2071" w:history="1">
        <w:r w:rsidRPr="00662E1A">
          <w:rPr>
            <w:rStyle w:val="Hyperlink"/>
            <w:rFonts w:ascii="Times New Roman" w:hAnsi="Times New Roman"/>
            <w:sz w:val="24"/>
            <w:szCs w:val="24"/>
          </w:rPr>
          <w:t>https://cases.justia.com/texas/fifteenth-court-of-appeals/2025-15-24-00048-cv.pdf?ts=1753365777</w:t>
        </w:r>
      </w:hyperlink>
    </w:p>
    <w:p w14:paraId="2A69C4BC" w14:textId="77777777" w:rsidR="00180F76" w:rsidRDefault="00180F76" w:rsidP="000A0CD1">
      <w:pPr>
        <w:pStyle w:val="NoSpacing"/>
        <w:rPr>
          <w:rFonts w:ascii="Times New Roman" w:hAnsi="Times New Roman"/>
          <w:b/>
          <w:sz w:val="24"/>
          <w:szCs w:val="24"/>
        </w:rPr>
      </w:pPr>
    </w:p>
    <w:p w14:paraId="0C36EFE3" w14:textId="1FF58E88" w:rsidR="000A0CD1" w:rsidRPr="00662E1A" w:rsidRDefault="000A0CD1" w:rsidP="000A0CD1">
      <w:pPr>
        <w:pStyle w:val="NoSpacing"/>
        <w:rPr>
          <w:rFonts w:ascii="Times New Roman" w:hAnsi="Times New Roman"/>
          <w:b/>
          <w:sz w:val="24"/>
          <w:szCs w:val="24"/>
        </w:rPr>
      </w:pPr>
      <w:r w:rsidRPr="00662E1A">
        <w:rPr>
          <w:rFonts w:ascii="Times New Roman" w:hAnsi="Times New Roman"/>
          <w:b/>
          <w:sz w:val="24"/>
          <w:szCs w:val="24"/>
        </w:rPr>
        <w:t xml:space="preserve">Legal Lesson Learned:  Paramedic wisely contacted Medical Director when person said she was a physician.  </w:t>
      </w:r>
    </w:p>
    <w:p w14:paraId="329D8C24" w14:textId="77777777" w:rsidR="000A0CD1" w:rsidRPr="00662E1A" w:rsidRDefault="000A0CD1" w:rsidP="000A0CD1">
      <w:pPr>
        <w:pStyle w:val="NoSpacing"/>
        <w:ind w:left="720"/>
        <w:rPr>
          <w:rFonts w:ascii="Times New Roman" w:hAnsi="Times New Roman"/>
          <w:b/>
          <w:sz w:val="24"/>
          <w:szCs w:val="24"/>
        </w:rPr>
      </w:pPr>
    </w:p>
    <w:p w14:paraId="03CC4008" w14:textId="77777777" w:rsidR="002E2CF4" w:rsidRDefault="002E2CF4" w:rsidP="00705D47">
      <w:pPr>
        <w:rPr>
          <w:rFonts w:ascii="Arial Black" w:hAnsi="Arial Black"/>
          <w:b/>
          <w:bCs/>
          <w:sz w:val="24"/>
          <w:szCs w:val="24"/>
        </w:rPr>
      </w:pPr>
    </w:p>
    <w:p w14:paraId="63F8D772" w14:textId="66187F28" w:rsidR="00542851" w:rsidRPr="002E2CF4" w:rsidRDefault="002E2CF4" w:rsidP="00705D47">
      <w:pPr>
        <w:rPr>
          <w:rFonts w:ascii="Arial Black" w:hAnsi="Arial Black"/>
          <w:b/>
          <w:bCs/>
          <w:sz w:val="24"/>
          <w:szCs w:val="24"/>
        </w:rPr>
      </w:pPr>
      <w:r w:rsidRPr="002E2CF4">
        <w:rPr>
          <w:rFonts w:ascii="Arial Black" w:hAnsi="Arial Black"/>
          <w:b/>
          <w:bCs/>
          <w:sz w:val="24"/>
          <w:szCs w:val="24"/>
        </w:rPr>
        <w:t>13-22</w:t>
      </w:r>
      <w:r w:rsidR="00524647">
        <w:rPr>
          <w:rFonts w:ascii="Arial Black" w:hAnsi="Arial Black"/>
          <w:b/>
          <w:bCs/>
          <w:sz w:val="24"/>
          <w:szCs w:val="24"/>
        </w:rPr>
        <w:t>0</w:t>
      </w:r>
    </w:p>
    <w:p w14:paraId="009C54BD" w14:textId="444F67CF" w:rsidR="004E4AEF" w:rsidRDefault="004E4AEF" w:rsidP="004E4AEF">
      <w:pPr>
        <w:pStyle w:val="NoSpacing"/>
        <w:rPr>
          <w:rFonts w:ascii="Arial Black" w:hAnsi="Arial Black"/>
          <w:b/>
          <w:sz w:val="28"/>
          <w:szCs w:val="28"/>
        </w:rPr>
      </w:pPr>
      <w:r>
        <w:rPr>
          <w:rFonts w:ascii="Arial Black" w:hAnsi="Arial Black"/>
          <w:b/>
          <w:sz w:val="28"/>
          <w:szCs w:val="28"/>
        </w:rPr>
        <w:t xml:space="preserve">NY: EMS OFFICER – DIDN’T WRITE RPT </w:t>
      </w:r>
      <w:r w:rsidR="0039559E">
        <w:rPr>
          <w:rFonts w:ascii="Arial Black" w:hAnsi="Arial Black"/>
          <w:b/>
          <w:sz w:val="28"/>
          <w:szCs w:val="28"/>
        </w:rPr>
        <w:t xml:space="preserve">TO </w:t>
      </w:r>
      <w:r>
        <w:rPr>
          <w:rFonts w:ascii="Arial Black" w:hAnsi="Arial Black"/>
          <w:b/>
          <w:sz w:val="28"/>
          <w:szCs w:val="28"/>
        </w:rPr>
        <w:t xml:space="preserve">CHIEF – 1-YR SUSP  </w:t>
      </w:r>
    </w:p>
    <w:p w14:paraId="086B832C" w14:textId="77777777" w:rsidR="004E4AEF" w:rsidRDefault="004E4AEF" w:rsidP="004E4AEF">
      <w:pPr>
        <w:pStyle w:val="NoSpacing"/>
        <w:rPr>
          <w:rFonts w:ascii="Arial Black" w:hAnsi="Arial Black"/>
          <w:b/>
          <w:sz w:val="28"/>
          <w:szCs w:val="28"/>
        </w:rPr>
      </w:pPr>
    </w:p>
    <w:p w14:paraId="1F93DE6B" w14:textId="77777777" w:rsidR="004E4AEF" w:rsidRPr="003D20B2" w:rsidRDefault="004E4AEF" w:rsidP="004E4AEF">
      <w:pPr>
        <w:pStyle w:val="NoSpacing"/>
        <w:rPr>
          <w:rFonts w:ascii="Times New Roman" w:hAnsi="Times New Roman"/>
          <w:sz w:val="24"/>
          <w:szCs w:val="24"/>
        </w:rPr>
      </w:pPr>
      <w:r w:rsidRPr="003D20B2">
        <w:rPr>
          <w:rFonts w:ascii="Times New Roman" w:hAnsi="Times New Roman"/>
          <w:sz w:val="24"/>
          <w:szCs w:val="24"/>
        </w:rPr>
        <w:t xml:space="preserve">On July 24, 2025, in </w:t>
      </w:r>
      <w:r w:rsidRPr="003D20B2">
        <w:rPr>
          <w:rFonts w:ascii="Times New Roman" w:hAnsi="Times New Roman"/>
          <w:sz w:val="24"/>
          <w:szCs w:val="24"/>
          <w:u w:val="single"/>
        </w:rPr>
        <w:t>Joseph Oginski v. Vigilant Engine And Hook And Ladder Company, Inc, et al</w:t>
      </w:r>
      <w:r w:rsidRPr="003D20B2">
        <w:rPr>
          <w:rFonts w:ascii="Times New Roman" w:hAnsi="Times New Roman"/>
          <w:sz w:val="24"/>
          <w:szCs w:val="24"/>
        </w:rPr>
        <w:t xml:space="preserve">.,  U.S. District Court Judge Joan M. </w:t>
      </w:r>
      <w:proofErr w:type="spellStart"/>
      <w:r w:rsidRPr="003D20B2">
        <w:rPr>
          <w:rFonts w:ascii="Times New Roman" w:hAnsi="Times New Roman"/>
          <w:sz w:val="24"/>
          <w:szCs w:val="24"/>
        </w:rPr>
        <w:t>Azrack</w:t>
      </w:r>
      <w:proofErr w:type="spellEnd"/>
      <w:r w:rsidRPr="003D20B2">
        <w:rPr>
          <w:rFonts w:ascii="Times New Roman" w:hAnsi="Times New Roman"/>
          <w:sz w:val="24"/>
          <w:szCs w:val="24"/>
        </w:rPr>
        <w:t>, United States District Court for Eastern District of New York, dismissed the lawsuit alleging retaliation in violation of his Constitutional right to free speech since his communications were not as a citizen but as a member on the department.  The plaintiff was EMS 1</w:t>
      </w:r>
      <w:r w:rsidRPr="003D20B2">
        <w:rPr>
          <w:rFonts w:ascii="Times New Roman" w:hAnsi="Times New Roman"/>
          <w:sz w:val="24"/>
          <w:szCs w:val="24"/>
          <w:vertAlign w:val="superscript"/>
        </w:rPr>
        <w:t>st</w:t>
      </w:r>
      <w:r w:rsidRPr="003D20B2">
        <w:rPr>
          <w:rFonts w:ascii="Times New Roman" w:hAnsi="Times New Roman"/>
          <w:sz w:val="24"/>
          <w:szCs w:val="24"/>
        </w:rPr>
        <w:t xml:space="preserve"> Assistant Chief of the department and had repeatedly urged the Board, including in a lengthy e-mail of August 7, 2022, to direct the Fire Chief to have all members use of the County Communication’s </w:t>
      </w:r>
      <w:proofErr w:type="spellStart"/>
      <w:r w:rsidRPr="003D20B2">
        <w:rPr>
          <w:rFonts w:ascii="Times New Roman" w:hAnsi="Times New Roman"/>
          <w:sz w:val="24"/>
          <w:szCs w:val="24"/>
        </w:rPr>
        <w:t>Bryx</w:t>
      </w:r>
      <w:proofErr w:type="spellEnd"/>
      <w:r w:rsidRPr="003D20B2">
        <w:rPr>
          <w:rFonts w:ascii="Times New Roman" w:hAnsi="Times New Roman"/>
          <w:sz w:val="24"/>
          <w:szCs w:val="24"/>
        </w:rPr>
        <w:t xml:space="preserve"> 911 App for early notification of runs. The Board declined to do this.  On September 18, </w:t>
      </w:r>
      <w:proofErr w:type="gramStart"/>
      <w:r w:rsidRPr="003D20B2">
        <w:rPr>
          <w:rFonts w:ascii="Times New Roman" w:hAnsi="Times New Roman"/>
          <w:sz w:val="24"/>
          <w:szCs w:val="24"/>
        </w:rPr>
        <w:t>2022</w:t>
      </w:r>
      <w:proofErr w:type="gramEnd"/>
      <w:r w:rsidRPr="003D20B2">
        <w:rPr>
          <w:rFonts w:ascii="Times New Roman" w:hAnsi="Times New Roman"/>
          <w:sz w:val="24"/>
          <w:szCs w:val="24"/>
        </w:rPr>
        <w:t xml:space="preserve"> the plaintiff responded to EMS call at nursing home for COVID patient; he refused to go in until fit tested COVID masks were brought from fire station to the ambulance.  The Fire Chief ordered him to submit a written report, which he refused to provide until meeting with Board’s Chair and attorney.  After a Board hearing on November 1, </w:t>
      </w:r>
      <w:proofErr w:type="gramStart"/>
      <w:r w:rsidRPr="003D20B2">
        <w:rPr>
          <w:rFonts w:ascii="Times New Roman" w:hAnsi="Times New Roman"/>
          <w:sz w:val="24"/>
          <w:szCs w:val="24"/>
        </w:rPr>
        <w:t>2022</w:t>
      </w:r>
      <w:proofErr w:type="gramEnd"/>
      <w:r w:rsidRPr="003D20B2">
        <w:rPr>
          <w:rFonts w:ascii="Times New Roman" w:hAnsi="Times New Roman"/>
          <w:sz w:val="24"/>
          <w:szCs w:val="24"/>
        </w:rPr>
        <w:t xml:space="preserve"> he was suspended for one year.  The case was first submitted to a U.S. Magistrate Judge who concluded that Oginski’s communications with the FD Board were part of official duties, and not as a private citizen; Federal Judge </w:t>
      </w:r>
      <w:proofErr w:type="spellStart"/>
      <w:r w:rsidRPr="003D20B2">
        <w:rPr>
          <w:rFonts w:ascii="Times New Roman" w:hAnsi="Times New Roman"/>
          <w:sz w:val="24"/>
          <w:szCs w:val="24"/>
        </w:rPr>
        <w:t>Azrack</w:t>
      </w:r>
      <w:proofErr w:type="spellEnd"/>
      <w:r w:rsidRPr="003D20B2">
        <w:rPr>
          <w:rFonts w:ascii="Times New Roman" w:hAnsi="Times New Roman"/>
          <w:sz w:val="24"/>
          <w:szCs w:val="24"/>
        </w:rPr>
        <w:t xml:space="preserve"> agreed. THE COURT HELD: “Here, however, the  communications at issue were made in the context of his employment and pursuant to Plaintiff's official duties.” </w:t>
      </w:r>
      <w:hyperlink r:id="rId2072" w:history="1">
        <w:r w:rsidRPr="003D20B2">
          <w:rPr>
            <w:rStyle w:val="Hyperlink"/>
            <w:rFonts w:ascii="Times New Roman" w:hAnsi="Times New Roman"/>
            <w:sz w:val="24"/>
            <w:szCs w:val="24"/>
          </w:rPr>
          <w:t>https://public.fastcase.com/jaEE2PXzRXmZ99jOLMt1Iur66SqTUHCh2%2F6i5JSa4l6hU%2FvLi%2B5AObhTx2DvFKDq?utm_medium=email&amp;_hsenc=p2ANqtz--swmEKE2bBH1yxnsdN_yPFP1ssqGq5KgURTPyK4vIy-QrvDWKI9I9IkKVZfzKsNc7HzZR6NsXw-W4jNuqGESlXN6G9zw&amp;_hsmi=226712652&amp;utm_content=226712652&amp;utm_source=hs_email</w:t>
        </w:r>
      </w:hyperlink>
      <w:r w:rsidRPr="003D20B2">
        <w:rPr>
          <w:rFonts w:ascii="Times New Roman" w:hAnsi="Times New Roman"/>
          <w:sz w:val="24"/>
          <w:szCs w:val="24"/>
        </w:rPr>
        <w:t xml:space="preserve"> </w:t>
      </w:r>
    </w:p>
    <w:p w14:paraId="06C86D07" w14:textId="77777777" w:rsidR="004E4AEF" w:rsidRPr="003D20B2" w:rsidRDefault="004E4AEF" w:rsidP="004E4AEF">
      <w:pPr>
        <w:pStyle w:val="NoSpacing"/>
        <w:rPr>
          <w:rFonts w:ascii="Times New Roman" w:hAnsi="Times New Roman"/>
          <w:sz w:val="24"/>
          <w:szCs w:val="24"/>
        </w:rPr>
      </w:pPr>
    </w:p>
    <w:p w14:paraId="2EDBDB94" w14:textId="77777777" w:rsidR="00297B95" w:rsidRPr="003D20B2" w:rsidRDefault="00297B95" w:rsidP="00297B95">
      <w:pPr>
        <w:pStyle w:val="NoSpacing"/>
        <w:rPr>
          <w:rFonts w:ascii="Times New Roman" w:hAnsi="Times New Roman"/>
          <w:b/>
          <w:bCs/>
          <w:sz w:val="24"/>
          <w:szCs w:val="24"/>
        </w:rPr>
      </w:pPr>
      <w:r w:rsidRPr="003D20B2">
        <w:rPr>
          <w:rFonts w:ascii="Times New Roman" w:hAnsi="Times New Roman"/>
          <w:b/>
          <w:sz w:val="24"/>
          <w:szCs w:val="24"/>
        </w:rPr>
        <w:t>Legal lesson learned:  EMS officer’s e-mails and other communications with Fire Department Board are not protected by First Amendment; his refusal to complete a written report to the Fire Chief about an EMS run is basis for discipline.</w:t>
      </w:r>
    </w:p>
    <w:p w14:paraId="438390E9" w14:textId="77777777" w:rsidR="00297B95" w:rsidRPr="003D20B2" w:rsidRDefault="00297B95" w:rsidP="00297B95">
      <w:pPr>
        <w:pStyle w:val="NoSpacing"/>
        <w:rPr>
          <w:rFonts w:ascii="Times New Roman" w:hAnsi="Times New Roman"/>
          <w:sz w:val="24"/>
          <w:szCs w:val="24"/>
        </w:rPr>
      </w:pPr>
    </w:p>
    <w:p w14:paraId="295B13D0" w14:textId="77777777" w:rsidR="00297B95" w:rsidRPr="003D20B2" w:rsidRDefault="00297B95" w:rsidP="00297B95">
      <w:pPr>
        <w:pStyle w:val="NoSpacing"/>
        <w:ind w:left="720"/>
        <w:rPr>
          <w:rFonts w:ascii="Times New Roman" w:hAnsi="Times New Roman"/>
          <w:sz w:val="24"/>
          <w:szCs w:val="24"/>
        </w:rPr>
      </w:pPr>
      <w:r w:rsidRPr="003D20B2">
        <w:rPr>
          <w:rFonts w:ascii="Times New Roman" w:hAnsi="Times New Roman"/>
          <w:sz w:val="24"/>
          <w:szCs w:val="24"/>
        </w:rPr>
        <w:t xml:space="preserve">See June 18, </w:t>
      </w:r>
      <w:proofErr w:type="gramStart"/>
      <w:r w:rsidRPr="003D20B2">
        <w:rPr>
          <w:rFonts w:ascii="Times New Roman" w:hAnsi="Times New Roman"/>
          <w:sz w:val="24"/>
          <w:szCs w:val="24"/>
        </w:rPr>
        <w:t>2025</w:t>
      </w:r>
      <w:proofErr w:type="gramEnd"/>
      <w:r w:rsidRPr="003D20B2">
        <w:rPr>
          <w:rFonts w:ascii="Times New Roman" w:hAnsi="Times New Roman"/>
          <w:sz w:val="24"/>
          <w:szCs w:val="24"/>
        </w:rPr>
        <w:t xml:space="preserve"> Report and Recommendation of U.S. Magistrate Judge Shield. </w:t>
      </w:r>
      <w:hyperlink r:id="rId2073" w:history="1">
        <w:r w:rsidRPr="003D20B2">
          <w:rPr>
            <w:rStyle w:val="Hyperlink"/>
            <w:rFonts w:ascii="Times New Roman" w:hAnsi="Times New Roman"/>
            <w:sz w:val="24"/>
            <w:szCs w:val="24"/>
          </w:rPr>
          <w:t>https://public.fastcase.com/jaEE2PXzRXmZ99jOLMt1Ii3GHq1DqUk6JcIatDazVs2MT6qOPN%2BlSHCpyD6INecs?utm_medium=email&amp;_hsenc=p2ANqtz--mlDS8haOQgu8WvAgxTOdChC-L5bDfnY4D7GnlMH_0KI2lqvAqiMoF8QlUmIn8nD4qRtsgkZAeTqUVI7tJfHdW7459rg&amp;_hsmi=226712652&amp;utm_content=226712652&amp;utm_source=hs_email</w:t>
        </w:r>
      </w:hyperlink>
      <w:r w:rsidRPr="003D20B2">
        <w:rPr>
          <w:rFonts w:ascii="Times New Roman" w:hAnsi="Times New Roman"/>
          <w:sz w:val="24"/>
          <w:szCs w:val="24"/>
        </w:rPr>
        <w:t xml:space="preserve"> </w:t>
      </w:r>
    </w:p>
    <w:p w14:paraId="2613CBE2" w14:textId="77777777" w:rsidR="00297B95" w:rsidRPr="003D20B2" w:rsidRDefault="00297B95" w:rsidP="00297B95">
      <w:pPr>
        <w:pStyle w:val="NoSpacing"/>
        <w:rPr>
          <w:rFonts w:ascii="Times New Roman" w:hAnsi="Times New Roman"/>
          <w:sz w:val="24"/>
          <w:szCs w:val="24"/>
        </w:rPr>
      </w:pPr>
      <w:r w:rsidRPr="003D20B2">
        <w:rPr>
          <w:rFonts w:ascii="Times New Roman" w:hAnsi="Times New Roman"/>
          <w:sz w:val="24"/>
          <w:szCs w:val="24"/>
        </w:rPr>
        <w:t xml:space="preserve"> </w:t>
      </w:r>
    </w:p>
    <w:p w14:paraId="60817537" w14:textId="77777777" w:rsidR="00297B95" w:rsidRPr="003D20B2" w:rsidRDefault="00297B95" w:rsidP="00297B95">
      <w:pPr>
        <w:pStyle w:val="NoSpacing"/>
        <w:ind w:left="720"/>
        <w:rPr>
          <w:rFonts w:ascii="Times New Roman" w:hAnsi="Times New Roman"/>
          <w:sz w:val="24"/>
          <w:szCs w:val="24"/>
        </w:rPr>
      </w:pPr>
      <w:r w:rsidRPr="003D20B2">
        <w:rPr>
          <w:rFonts w:ascii="Times New Roman" w:hAnsi="Times New Roman"/>
          <w:sz w:val="24"/>
          <w:szCs w:val="24"/>
        </w:rPr>
        <w:lastRenderedPageBreak/>
        <w:t xml:space="preserve">“Oginski was, at all relevant times, a member of the Company…. He first joined Vigilant in 2008. </w:t>
      </w:r>
      <w:proofErr w:type="gramStart"/>
      <w:r w:rsidRPr="003D20B2">
        <w:rPr>
          <w:rFonts w:ascii="Times New Roman" w:hAnsi="Times New Roman"/>
          <w:sz w:val="24"/>
          <w:szCs w:val="24"/>
        </w:rPr>
        <w:t>During the course of</w:t>
      </w:r>
      <w:proofErr w:type="gramEnd"/>
      <w:r w:rsidRPr="003D20B2">
        <w:rPr>
          <w:rFonts w:ascii="Times New Roman" w:hAnsi="Times New Roman"/>
          <w:sz w:val="24"/>
          <w:szCs w:val="24"/>
        </w:rPr>
        <w:t xml:space="preserve"> his membership Oginski held numerous ‘operational and leadership’ positions. Such positions included serving as Sergeant at Arms, Financial Secretary, EMS Corporal, Fire Lieutenant, EMS Captain and EMS 1st Assistant Chief.</w:t>
      </w:r>
    </w:p>
    <w:p w14:paraId="617AB032" w14:textId="77777777" w:rsidR="00297B95" w:rsidRPr="003D20B2" w:rsidRDefault="00297B95" w:rsidP="00297B95">
      <w:pPr>
        <w:pStyle w:val="NoSpacing"/>
        <w:ind w:left="720"/>
        <w:rPr>
          <w:rFonts w:ascii="Times New Roman" w:hAnsi="Times New Roman"/>
          <w:sz w:val="24"/>
          <w:szCs w:val="24"/>
        </w:rPr>
      </w:pPr>
    </w:p>
    <w:p w14:paraId="3AC6599D" w14:textId="77777777" w:rsidR="00297B95" w:rsidRPr="003D20B2" w:rsidRDefault="00297B95" w:rsidP="00297B95">
      <w:pPr>
        <w:pStyle w:val="NoSpacing"/>
        <w:ind w:left="720"/>
        <w:rPr>
          <w:rFonts w:ascii="Times New Roman" w:hAnsi="Times New Roman"/>
          <w:sz w:val="24"/>
          <w:szCs w:val="24"/>
        </w:rPr>
      </w:pPr>
      <w:r w:rsidRPr="003D20B2">
        <w:rPr>
          <w:rFonts w:ascii="Times New Roman" w:hAnsi="Times New Roman"/>
          <w:sz w:val="24"/>
          <w:szCs w:val="24"/>
        </w:rPr>
        <w:t>***</w:t>
      </w:r>
    </w:p>
    <w:p w14:paraId="6668A1A4" w14:textId="77777777" w:rsidR="00297B95" w:rsidRPr="003D20B2" w:rsidRDefault="00297B95" w:rsidP="00297B95">
      <w:pPr>
        <w:pStyle w:val="NoSpacing"/>
        <w:ind w:left="720"/>
        <w:rPr>
          <w:rFonts w:ascii="Times New Roman" w:hAnsi="Times New Roman"/>
          <w:sz w:val="24"/>
          <w:szCs w:val="24"/>
        </w:rPr>
      </w:pPr>
    </w:p>
    <w:p w14:paraId="570E06F7" w14:textId="77777777" w:rsidR="00297B95" w:rsidRPr="003D20B2" w:rsidRDefault="00297B95" w:rsidP="00297B95">
      <w:pPr>
        <w:pStyle w:val="NoSpacing"/>
        <w:ind w:left="720"/>
        <w:rPr>
          <w:rFonts w:ascii="Times New Roman" w:hAnsi="Times New Roman"/>
          <w:sz w:val="24"/>
          <w:szCs w:val="24"/>
        </w:rPr>
      </w:pPr>
      <w:r w:rsidRPr="003D20B2">
        <w:rPr>
          <w:rFonts w:ascii="Times New Roman" w:hAnsi="Times New Roman"/>
          <w:sz w:val="24"/>
          <w:szCs w:val="24"/>
        </w:rPr>
        <w:t xml:space="preserve">On September 18, </w:t>
      </w:r>
      <w:proofErr w:type="gramStart"/>
      <w:r w:rsidRPr="003D20B2">
        <w:rPr>
          <w:rFonts w:ascii="Times New Roman" w:hAnsi="Times New Roman"/>
          <w:sz w:val="24"/>
          <w:szCs w:val="24"/>
        </w:rPr>
        <w:t>2022</w:t>
      </w:r>
      <w:proofErr w:type="gramEnd"/>
      <w:r w:rsidRPr="003D20B2">
        <w:rPr>
          <w:rFonts w:ascii="Times New Roman" w:hAnsi="Times New Roman"/>
          <w:sz w:val="24"/>
          <w:szCs w:val="24"/>
        </w:rPr>
        <w:t xml:space="preserve"> Oginski and other Company members responded to an emergency call received from a nursing home (the ‘September 2022 Nursing Home Call’)…. That call requested an ambulance for a Covid patient. Oginski was the responding ambulance driver…. A paramedic was already on the scene…. Upon arrival at the nursing home Oginski and the other responders found that their N95 masks did not create a facial seal…. Oginski attributes this to the fact that the masks were not fit-tested as required by law. Oginski had previously complained about the lack of </w:t>
      </w:r>
      <w:proofErr w:type="gramStart"/>
      <w:r w:rsidRPr="003D20B2">
        <w:rPr>
          <w:rFonts w:ascii="Times New Roman" w:hAnsi="Times New Roman"/>
          <w:sz w:val="24"/>
          <w:szCs w:val="24"/>
        </w:rPr>
        <w:t>fit-testing</w:t>
      </w:r>
      <w:proofErr w:type="gramEnd"/>
      <w:r w:rsidRPr="003D20B2">
        <w:rPr>
          <w:rFonts w:ascii="Times New Roman" w:hAnsi="Times New Roman"/>
          <w:sz w:val="24"/>
          <w:szCs w:val="24"/>
        </w:rPr>
        <w:t xml:space="preserve"> to </w:t>
      </w:r>
      <w:proofErr w:type="spellStart"/>
      <w:r w:rsidRPr="003D20B2">
        <w:rPr>
          <w:rFonts w:ascii="Times New Roman" w:hAnsi="Times New Roman"/>
          <w:sz w:val="24"/>
          <w:szCs w:val="24"/>
        </w:rPr>
        <w:t>Sachmechi</w:t>
      </w:r>
      <w:proofErr w:type="spellEnd"/>
      <w:r w:rsidRPr="003D20B2">
        <w:rPr>
          <w:rFonts w:ascii="Times New Roman" w:hAnsi="Times New Roman"/>
          <w:sz w:val="24"/>
          <w:szCs w:val="24"/>
        </w:rPr>
        <w:t xml:space="preserve"> and Cherry who ignored his complaints….  Upon arrival at the nursing home Oginski immediately contacted the firehouse and asked the dispatcher to send masks to the scene…. He also contacted Nassau County Medical </w:t>
      </w:r>
      <w:proofErr w:type="gramStart"/>
      <w:r w:rsidRPr="003D20B2">
        <w:rPr>
          <w:rFonts w:ascii="Times New Roman" w:hAnsi="Times New Roman"/>
          <w:sz w:val="24"/>
          <w:szCs w:val="24"/>
        </w:rPr>
        <w:t>Control (‘</w:t>
      </w:r>
      <w:proofErr w:type="gramEnd"/>
      <w:r w:rsidRPr="003D20B2">
        <w:rPr>
          <w:rFonts w:ascii="Times New Roman" w:hAnsi="Times New Roman"/>
          <w:sz w:val="24"/>
          <w:szCs w:val="24"/>
        </w:rPr>
        <w:t>Medical Control’) for guidance as to how to proceed. Medical Control advised Oginski that it was appropriate to wait at the scene for the arrival of masks before entering the nursing home…. Shortly thereafter, the responding crew was advised that the patient at issue was not Covid positive…. Once masks arrived, the Vigilant responders entered the nursing home to provide the requested emergency assistance.</w:t>
      </w:r>
    </w:p>
    <w:p w14:paraId="502E0B45" w14:textId="77777777" w:rsidR="00297B95" w:rsidRPr="003D20B2" w:rsidRDefault="00297B95" w:rsidP="00297B95">
      <w:pPr>
        <w:pStyle w:val="NoSpacing"/>
        <w:ind w:left="720"/>
        <w:rPr>
          <w:rFonts w:ascii="Times New Roman" w:hAnsi="Times New Roman"/>
          <w:sz w:val="24"/>
          <w:szCs w:val="24"/>
        </w:rPr>
      </w:pPr>
    </w:p>
    <w:p w14:paraId="1173323B" w14:textId="77777777" w:rsidR="00297B95" w:rsidRPr="003D20B2" w:rsidRDefault="00297B95" w:rsidP="00297B95">
      <w:pPr>
        <w:pStyle w:val="NoSpacing"/>
        <w:ind w:left="720"/>
        <w:rPr>
          <w:rFonts w:ascii="Times New Roman" w:hAnsi="Times New Roman"/>
          <w:sz w:val="24"/>
          <w:szCs w:val="24"/>
        </w:rPr>
      </w:pPr>
      <w:r w:rsidRPr="003D20B2">
        <w:rPr>
          <w:rFonts w:ascii="Times New Roman" w:hAnsi="Times New Roman"/>
          <w:sz w:val="24"/>
          <w:szCs w:val="24"/>
        </w:rPr>
        <w:t>***</w:t>
      </w:r>
    </w:p>
    <w:p w14:paraId="0B5AC4F3" w14:textId="77777777" w:rsidR="00297B95" w:rsidRPr="003D20B2" w:rsidRDefault="00297B95" w:rsidP="00297B95">
      <w:pPr>
        <w:pStyle w:val="NoSpacing"/>
        <w:rPr>
          <w:rFonts w:ascii="Times New Roman" w:hAnsi="Times New Roman"/>
          <w:sz w:val="24"/>
          <w:szCs w:val="24"/>
        </w:rPr>
      </w:pPr>
    </w:p>
    <w:p w14:paraId="344244A4" w14:textId="77777777" w:rsidR="00297B95" w:rsidRPr="003D20B2" w:rsidRDefault="00297B95" w:rsidP="00297B95">
      <w:pPr>
        <w:pStyle w:val="NoSpacing"/>
        <w:ind w:left="720"/>
        <w:rPr>
          <w:rFonts w:ascii="Times New Roman" w:hAnsi="Times New Roman"/>
          <w:sz w:val="24"/>
          <w:szCs w:val="24"/>
        </w:rPr>
      </w:pPr>
      <w:r w:rsidRPr="003D20B2">
        <w:rPr>
          <w:rFonts w:ascii="Times New Roman" w:hAnsi="Times New Roman"/>
          <w:sz w:val="24"/>
          <w:szCs w:val="24"/>
        </w:rPr>
        <w:t xml:space="preserve">Before they could meet, [Department Chief Justin] </w:t>
      </w:r>
      <w:proofErr w:type="spellStart"/>
      <w:r w:rsidRPr="003D20B2">
        <w:rPr>
          <w:rFonts w:ascii="Times New Roman" w:hAnsi="Times New Roman"/>
          <w:sz w:val="24"/>
          <w:szCs w:val="24"/>
        </w:rPr>
        <w:t>Sachmechi</w:t>
      </w:r>
      <w:proofErr w:type="spellEnd"/>
      <w:r w:rsidRPr="003D20B2">
        <w:rPr>
          <w:rFonts w:ascii="Times New Roman" w:hAnsi="Times New Roman"/>
          <w:sz w:val="24"/>
          <w:szCs w:val="24"/>
        </w:rPr>
        <w:t xml:space="preserve"> is stated to have approached Oginski and ‘demanded’ that he write a statement about what happened at the nursing home…. Oginski told </w:t>
      </w:r>
      <w:proofErr w:type="spellStart"/>
      <w:r w:rsidRPr="003D20B2">
        <w:rPr>
          <w:rFonts w:ascii="Times New Roman" w:hAnsi="Times New Roman"/>
          <w:sz w:val="24"/>
          <w:szCs w:val="24"/>
        </w:rPr>
        <w:t>Sachmechi</w:t>
      </w:r>
      <w:proofErr w:type="spellEnd"/>
      <w:r w:rsidRPr="003D20B2">
        <w:rPr>
          <w:rFonts w:ascii="Times New Roman" w:hAnsi="Times New Roman"/>
          <w:sz w:val="24"/>
          <w:szCs w:val="24"/>
        </w:rPr>
        <w:t xml:space="preserve"> that he did not wish to meet with him, and that he would provide statements to the Vigilant attorney and to the Chairman of the Board….  </w:t>
      </w:r>
      <w:proofErr w:type="spellStart"/>
      <w:r w:rsidRPr="003D20B2">
        <w:rPr>
          <w:rFonts w:ascii="Times New Roman" w:hAnsi="Times New Roman"/>
          <w:sz w:val="24"/>
          <w:szCs w:val="24"/>
        </w:rPr>
        <w:t>Sachmechi</w:t>
      </w:r>
      <w:proofErr w:type="spellEnd"/>
      <w:r w:rsidRPr="003D20B2">
        <w:rPr>
          <w:rFonts w:ascii="Times New Roman" w:hAnsi="Times New Roman"/>
          <w:sz w:val="24"/>
          <w:szCs w:val="24"/>
        </w:rPr>
        <w:t xml:space="preserve"> continued to ask Oginski to provide him with a </w:t>
      </w:r>
      <w:proofErr w:type="gramStart"/>
      <w:r w:rsidRPr="003D20B2">
        <w:rPr>
          <w:rFonts w:ascii="Times New Roman" w:hAnsi="Times New Roman"/>
          <w:sz w:val="24"/>
          <w:szCs w:val="24"/>
        </w:rPr>
        <w:t>statement, and</w:t>
      </w:r>
      <w:proofErr w:type="gramEnd"/>
      <w:r w:rsidRPr="003D20B2">
        <w:rPr>
          <w:rFonts w:ascii="Times New Roman" w:hAnsi="Times New Roman"/>
          <w:sz w:val="24"/>
          <w:szCs w:val="24"/>
        </w:rPr>
        <w:t xml:space="preserve"> threatened to suspend Oginski for failure to comply….  Oginski reiterated to </w:t>
      </w:r>
      <w:proofErr w:type="spellStart"/>
      <w:r w:rsidRPr="003D20B2">
        <w:rPr>
          <w:rFonts w:ascii="Times New Roman" w:hAnsi="Times New Roman"/>
          <w:sz w:val="24"/>
          <w:szCs w:val="24"/>
        </w:rPr>
        <w:t>Sachmechi</w:t>
      </w:r>
      <w:proofErr w:type="spellEnd"/>
      <w:r w:rsidRPr="003D20B2">
        <w:rPr>
          <w:rFonts w:ascii="Times New Roman" w:hAnsi="Times New Roman"/>
          <w:sz w:val="24"/>
          <w:szCs w:val="24"/>
        </w:rPr>
        <w:t xml:space="preserve"> that he would provide a statement, but only after first speaking with Vigilant's counsel and the Board Chair…. </w:t>
      </w:r>
      <w:proofErr w:type="spellStart"/>
      <w:r w:rsidRPr="003D20B2">
        <w:rPr>
          <w:rFonts w:ascii="Times New Roman" w:hAnsi="Times New Roman"/>
          <w:sz w:val="24"/>
          <w:szCs w:val="24"/>
        </w:rPr>
        <w:t>Sachmechi</w:t>
      </w:r>
      <w:proofErr w:type="spellEnd"/>
      <w:r w:rsidRPr="003D20B2">
        <w:rPr>
          <w:rFonts w:ascii="Times New Roman" w:hAnsi="Times New Roman"/>
          <w:sz w:val="24"/>
          <w:szCs w:val="24"/>
        </w:rPr>
        <w:t xml:space="preserve"> responded by suspending Oginski for 10 days…. On September 20, 2022 (the next day) Vigilant's Recording Secretary emailed Oginski a statement of charges that was filed by </w:t>
      </w:r>
      <w:proofErr w:type="spellStart"/>
      <w:r w:rsidRPr="003D20B2">
        <w:rPr>
          <w:rFonts w:ascii="Times New Roman" w:hAnsi="Times New Roman"/>
          <w:sz w:val="24"/>
          <w:szCs w:val="24"/>
        </w:rPr>
        <w:t>Sachmechi</w:t>
      </w:r>
      <w:proofErr w:type="spellEnd"/>
      <w:r w:rsidRPr="003D20B2">
        <w:rPr>
          <w:rFonts w:ascii="Times New Roman" w:hAnsi="Times New Roman"/>
          <w:sz w:val="24"/>
          <w:szCs w:val="24"/>
        </w:rPr>
        <w:t xml:space="preserve">. In that statement Oginski was charged with insubordination and conduct unbecoming a member.” </w:t>
      </w:r>
    </w:p>
    <w:p w14:paraId="6D50216A" w14:textId="77777777" w:rsidR="00297B95" w:rsidRPr="003D20B2" w:rsidRDefault="00297B95" w:rsidP="00297B95">
      <w:pPr>
        <w:pStyle w:val="NoSpacing"/>
        <w:rPr>
          <w:rFonts w:ascii="Times New Roman" w:hAnsi="Times New Roman"/>
          <w:sz w:val="24"/>
          <w:szCs w:val="24"/>
        </w:rPr>
      </w:pPr>
    </w:p>
    <w:p w14:paraId="361ED78B" w14:textId="77777777" w:rsidR="00297B95" w:rsidRPr="003D20B2" w:rsidRDefault="00297B95" w:rsidP="00297B95">
      <w:pPr>
        <w:pStyle w:val="NoSpacing"/>
        <w:rPr>
          <w:rFonts w:ascii="Times New Roman" w:hAnsi="Times New Roman"/>
          <w:sz w:val="24"/>
          <w:szCs w:val="24"/>
        </w:rPr>
      </w:pPr>
    </w:p>
    <w:p w14:paraId="6E31D346" w14:textId="77777777" w:rsidR="00542851" w:rsidRDefault="00542851" w:rsidP="00705D47">
      <w:pPr>
        <w:rPr>
          <w:rFonts w:ascii="Arial Black" w:hAnsi="Arial Black"/>
          <w:b/>
          <w:bCs/>
          <w:sz w:val="28"/>
          <w:szCs w:val="28"/>
        </w:rPr>
      </w:pPr>
    </w:p>
    <w:p w14:paraId="067EBEC6" w14:textId="77B92400" w:rsidR="00705D47" w:rsidRDefault="00705D47" w:rsidP="00705D47">
      <w:pPr>
        <w:rPr>
          <w:rFonts w:ascii="Arial Black" w:hAnsi="Arial Black"/>
          <w:b/>
          <w:bCs/>
          <w:sz w:val="28"/>
          <w:szCs w:val="28"/>
        </w:rPr>
      </w:pPr>
      <w:r>
        <w:rPr>
          <w:rFonts w:ascii="Arial Black" w:hAnsi="Arial Black"/>
          <w:b/>
          <w:bCs/>
          <w:sz w:val="28"/>
          <w:szCs w:val="28"/>
        </w:rPr>
        <w:t>13-2</w:t>
      </w:r>
      <w:r w:rsidR="00524647">
        <w:rPr>
          <w:rFonts w:ascii="Arial Black" w:hAnsi="Arial Black"/>
          <w:b/>
          <w:bCs/>
          <w:sz w:val="28"/>
          <w:szCs w:val="28"/>
        </w:rPr>
        <w:t>19</w:t>
      </w:r>
    </w:p>
    <w:p w14:paraId="7CA62011" w14:textId="77777777" w:rsidR="005B4276" w:rsidRPr="002E2CF3" w:rsidRDefault="005B4276" w:rsidP="005B4276">
      <w:pPr>
        <w:rPr>
          <w:rFonts w:ascii="Arial Black" w:hAnsi="Arial Black"/>
          <w:b/>
          <w:sz w:val="28"/>
          <w:szCs w:val="28"/>
        </w:rPr>
      </w:pPr>
      <w:r>
        <w:rPr>
          <w:rFonts w:ascii="Arial Black" w:hAnsi="Arial Black"/>
          <w:b/>
          <w:sz w:val="28"/>
          <w:szCs w:val="28"/>
        </w:rPr>
        <w:t xml:space="preserve">NY: FDNY / EMS PAY – CAN’T DEPOSE FDNY COMMISSIONER </w:t>
      </w:r>
    </w:p>
    <w:p w14:paraId="0C291D8C" w14:textId="77777777" w:rsidR="005B4276" w:rsidRPr="005C6596" w:rsidRDefault="005B4276" w:rsidP="005B4276">
      <w:pPr>
        <w:rPr>
          <w:rFonts w:ascii="Times New Roman" w:hAnsi="Times New Roman"/>
          <w:bCs/>
          <w:sz w:val="24"/>
          <w:szCs w:val="24"/>
        </w:rPr>
      </w:pPr>
      <w:r w:rsidRPr="005C6596">
        <w:rPr>
          <w:rFonts w:ascii="Times New Roman" w:hAnsi="Times New Roman"/>
          <w:sz w:val="24"/>
          <w:szCs w:val="24"/>
        </w:rPr>
        <w:t xml:space="preserve">On June 20, 2025, in </w:t>
      </w:r>
      <w:r w:rsidRPr="005C6596">
        <w:rPr>
          <w:rFonts w:ascii="Times New Roman" w:hAnsi="Times New Roman"/>
          <w:sz w:val="24"/>
          <w:szCs w:val="24"/>
          <w:u w:val="single"/>
        </w:rPr>
        <w:t>Local 2507, Uniformed EMTs, Paramedics &amp; Fire Inspectors, et al. v. City of New York</w:t>
      </w:r>
      <w:r w:rsidRPr="005C6596">
        <w:rPr>
          <w:rFonts w:ascii="Times New Roman" w:hAnsi="Times New Roman"/>
          <w:sz w:val="24"/>
          <w:szCs w:val="24"/>
        </w:rPr>
        <w:t xml:space="preserve">, U. S. Magistrate Judge Gabriel W. Gorenstein, United States District Court for Southern District of New York, denied the Union motion to compel the deposition of FDNY Commissioner Robert Tucker.  He is a “high-level” government </w:t>
      </w:r>
      <w:proofErr w:type="gramStart"/>
      <w:r w:rsidRPr="005C6596">
        <w:rPr>
          <w:rFonts w:ascii="Times New Roman" w:hAnsi="Times New Roman"/>
          <w:sz w:val="24"/>
          <w:szCs w:val="24"/>
        </w:rPr>
        <w:t>official</w:t>
      </w:r>
      <w:proofErr w:type="gramEnd"/>
      <w:r w:rsidRPr="005C6596">
        <w:rPr>
          <w:rFonts w:ascii="Times New Roman" w:hAnsi="Times New Roman"/>
          <w:sz w:val="24"/>
          <w:szCs w:val="24"/>
        </w:rPr>
        <w:t xml:space="preserve"> and courts protect such individuals from depositions unless “exceptional circumstances.” He was appointed less than a year ago, well after the lawsuit was filed, and has not been involved in collective bargaining on this issue. THE COURT HELD: “A deposition of a high-level governmental or corporate officer is commonly referred to as an ‘apex deposition’ and may not be ordered absent a special showing by the party seeking the deposition. With respect to governmental officials, the Second Circuit noted in </w:t>
      </w:r>
      <w:r w:rsidRPr="005C6596">
        <w:rPr>
          <w:rFonts w:ascii="Times New Roman" w:hAnsi="Times New Roman"/>
          <w:i/>
          <w:iCs/>
          <w:sz w:val="24"/>
          <w:szCs w:val="24"/>
        </w:rPr>
        <w:t xml:space="preserve">Lederman v. N.Y. </w:t>
      </w:r>
      <w:r w:rsidRPr="005C6596">
        <w:rPr>
          <w:rFonts w:ascii="Times New Roman" w:hAnsi="Times New Roman"/>
          <w:i/>
          <w:iCs/>
          <w:sz w:val="24"/>
          <w:szCs w:val="24"/>
        </w:rPr>
        <w:lastRenderedPageBreak/>
        <w:t>City Dept. of Parks and Recreation</w:t>
      </w:r>
      <w:r w:rsidRPr="005C6596">
        <w:rPr>
          <w:rFonts w:ascii="Times New Roman" w:hAnsi="Times New Roman"/>
          <w:sz w:val="24"/>
          <w:szCs w:val="24"/>
        </w:rPr>
        <w:t>, 731 F.3d 199 (2d Cir. 2013), that courts have commonly held that ‘a high-ranking government official should not - absent exceptional circumstances - be deposed or called to testify regarding the reasons for taking official action, including the manner and extent of his study of the record and his consultation with subordinates.’”</w:t>
      </w:r>
      <w:hyperlink r:id="rId2074" w:history="1">
        <w:r w:rsidRPr="005C6596">
          <w:rPr>
            <w:rStyle w:val="Hyperlink"/>
            <w:rFonts w:ascii="Times New Roman" w:hAnsi="Times New Roman"/>
            <w:sz w:val="24"/>
            <w:szCs w:val="24"/>
          </w:rPr>
          <w:t>https://caselaw.findlaw.com/court/us-dis-crt-sd-new-yor/117411673.html</w:t>
        </w:r>
      </w:hyperlink>
      <w:r w:rsidRPr="005C6596">
        <w:rPr>
          <w:rFonts w:ascii="Times New Roman" w:hAnsi="Times New Roman"/>
          <w:sz w:val="24"/>
          <w:szCs w:val="24"/>
        </w:rPr>
        <w:t xml:space="preserve"> </w:t>
      </w:r>
    </w:p>
    <w:p w14:paraId="6CE04202" w14:textId="77777777" w:rsidR="00571DF6" w:rsidRPr="005C6596" w:rsidRDefault="00571DF6" w:rsidP="00571DF6">
      <w:pPr>
        <w:pStyle w:val="NoSpacing"/>
        <w:rPr>
          <w:rFonts w:ascii="Times New Roman" w:hAnsi="Times New Roman"/>
          <w:b/>
          <w:bCs/>
          <w:sz w:val="24"/>
          <w:szCs w:val="24"/>
        </w:rPr>
      </w:pPr>
      <w:r w:rsidRPr="005C6596">
        <w:rPr>
          <w:rFonts w:ascii="Times New Roman" w:hAnsi="Times New Roman"/>
          <w:b/>
          <w:sz w:val="24"/>
          <w:szCs w:val="24"/>
        </w:rPr>
        <w:t xml:space="preserve">Legal </w:t>
      </w:r>
      <w:proofErr w:type="gramStart"/>
      <w:r w:rsidRPr="005C6596">
        <w:rPr>
          <w:rFonts w:ascii="Times New Roman" w:hAnsi="Times New Roman"/>
          <w:b/>
          <w:sz w:val="24"/>
          <w:szCs w:val="24"/>
        </w:rPr>
        <w:t>lesson</w:t>
      </w:r>
      <w:proofErr w:type="gramEnd"/>
      <w:r w:rsidRPr="005C6596">
        <w:rPr>
          <w:rFonts w:ascii="Times New Roman" w:hAnsi="Times New Roman"/>
          <w:b/>
          <w:sz w:val="24"/>
          <w:szCs w:val="24"/>
        </w:rPr>
        <w:t xml:space="preserve"> learned: High </w:t>
      </w:r>
      <w:r w:rsidRPr="005C6596">
        <w:rPr>
          <w:rFonts w:ascii="Times New Roman" w:hAnsi="Times New Roman"/>
          <w:b/>
          <w:bCs/>
          <w:sz w:val="24"/>
          <w:szCs w:val="24"/>
        </w:rPr>
        <w:t xml:space="preserve">level government officials </w:t>
      </w:r>
      <w:r w:rsidRPr="005C6596">
        <w:rPr>
          <w:rFonts w:ascii="Times New Roman" w:hAnsi="Times New Roman"/>
          <w:b/>
          <w:sz w:val="24"/>
          <w:szCs w:val="24"/>
        </w:rPr>
        <w:t>are generally protected from depositions</w:t>
      </w:r>
      <w:r w:rsidRPr="005C6596">
        <w:rPr>
          <w:rFonts w:ascii="Times New Roman" w:hAnsi="Times New Roman"/>
          <w:b/>
          <w:bCs/>
          <w:sz w:val="24"/>
          <w:szCs w:val="24"/>
        </w:rPr>
        <w:t xml:space="preserve"> so they can do their jobs without disruption.</w:t>
      </w:r>
    </w:p>
    <w:p w14:paraId="24C96E2D" w14:textId="77777777" w:rsidR="00F55DAF" w:rsidRDefault="00F55DAF" w:rsidP="002B1283">
      <w:pPr>
        <w:rPr>
          <w:rFonts w:ascii="Arial Black" w:hAnsi="Arial Black"/>
          <w:b/>
          <w:bCs/>
          <w:sz w:val="28"/>
          <w:szCs w:val="28"/>
        </w:rPr>
      </w:pPr>
    </w:p>
    <w:p w14:paraId="7A792E84" w14:textId="521AAD57" w:rsidR="00705D47" w:rsidRDefault="00705D47" w:rsidP="00705D47">
      <w:pPr>
        <w:rPr>
          <w:rFonts w:ascii="Arial Black" w:hAnsi="Arial Black"/>
          <w:b/>
          <w:bCs/>
          <w:sz w:val="28"/>
          <w:szCs w:val="28"/>
        </w:rPr>
      </w:pPr>
      <w:r>
        <w:rPr>
          <w:rFonts w:ascii="Arial Black" w:hAnsi="Arial Black"/>
          <w:b/>
          <w:bCs/>
          <w:sz w:val="28"/>
          <w:szCs w:val="28"/>
        </w:rPr>
        <w:t>13-21</w:t>
      </w:r>
      <w:r w:rsidR="00524647">
        <w:rPr>
          <w:rFonts w:ascii="Arial Black" w:hAnsi="Arial Black"/>
          <w:b/>
          <w:bCs/>
          <w:sz w:val="28"/>
          <w:szCs w:val="28"/>
        </w:rPr>
        <w:t>8</w:t>
      </w:r>
    </w:p>
    <w:p w14:paraId="54E2DAB6" w14:textId="30988BD6" w:rsidR="003F325A" w:rsidRDefault="003F325A" w:rsidP="003F325A">
      <w:pPr>
        <w:pStyle w:val="NoSpacing"/>
        <w:rPr>
          <w:rFonts w:ascii="Arial Black" w:hAnsi="Arial Black"/>
          <w:sz w:val="28"/>
          <w:szCs w:val="28"/>
        </w:rPr>
      </w:pPr>
      <w:r>
        <w:rPr>
          <w:rFonts w:ascii="Arial Black" w:hAnsi="Arial Black"/>
          <w:sz w:val="28"/>
          <w:szCs w:val="28"/>
        </w:rPr>
        <w:t xml:space="preserve">MO: HIPAA – FF PATIENT </w:t>
      </w:r>
      <w:r w:rsidR="00A10031">
        <w:rPr>
          <w:rFonts w:ascii="Arial Black" w:hAnsi="Arial Black"/>
          <w:sz w:val="28"/>
          <w:szCs w:val="28"/>
        </w:rPr>
        <w:t>–</w:t>
      </w:r>
      <w:r>
        <w:rPr>
          <w:rFonts w:ascii="Arial Black" w:hAnsi="Arial Black"/>
          <w:sz w:val="28"/>
          <w:szCs w:val="28"/>
        </w:rPr>
        <w:t xml:space="preserve"> INFO SHARED</w:t>
      </w:r>
      <w:r w:rsidR="00334308">
        <w:rPr>
          <w:rFonts w:ascii="Arial Black" w:hAnsi="Arial Black"/>
          <w:sz w:val="28"/>
          <w:szCs w:val="28"/>
        </w:rPr>
        <w:t xml:space="preserve"> IN FD</w:t>
      </w:r>
      <w:r>
        <w:rPr>
          <w:rFonts w:ascii="Arial Black" w:hAnsi="Arial Black"/>
          <w:sz w:val="28"/>
          <w:szCs w:val="28"/>
        </w:rPr>
        <w:t xml:space="preserve"> / </w:t>
      </w:r>
      <w:r w:rsidR="00A10031">
        <w:rPr>
          <w:rFonts w:ascii="Arial Black" w:hAnsi="Arial Black"/>
          <w:sz w:val="28"/>
          <w:szCs w:val="28"/>
        </w:rPr>
        <w:t xml:space="preserve">CAN’T SUE </w:t>
      </w:r>
      <w:r w:rsidR="00334308">
        <w:rPr>
          <w:rFonts w:ascii="Arial Black" w:hAnsi="Arial Black"/>
          <w:sz w:val="28"/>
          <w:szCs w:val="28"/>
        </w:rPr>
        <w:t>CITY</w:t>
      </w:r>
    </w:p>
    <w:p w14:paraId="1DED4825" w14:textId="77777777" w:rsidR="003F325A" w:rsidRDefault="003F325A" w:rsidP="003F325A">
      <w:pPr>
        <w:pStyle w:val="NoSpacing"/>
      </w:pPr>
    </w:p>
    <w:p w14:paraId="32F5669E" w14:textId="77777777" w:rsidR="003F325A" w:rsidRPr="0091209E" w:rsidRDefault="003F325A" w:rsidP="003F325A">
      <w:pPr>
        <w:pStyle w:val="NoSpacing"/>
        <w:rPr>
          <w:rFonts w:ascii="Times New Roman" w:hAnsi="Times New Roman"/>
          <w:sz w:val="24"/>
          <w:szCs w:val="24"/>
        </w:rPr>
      </w:pPr>
      <w:r w:rsidRPr="0091209E">
        <w:rPr>
          <w:rFonts w:ascii="Times New Roman" w:hAnsi="Times New Roman"/>
          <w:sz w:val="24"/>
          <w:szCs w:val="24"/>
        </w:rPr>
        <w:t xml:space="preserve">On June 17, 2025, in </w:t>
      </w:r>
      <w:r w:rsidRPr="0091209E">
        <w:rPr>
          <w:rFonts w:ascii="Times New Roman" w:hAnsi="Times New Roman"/>
          <w:sz w:val="24"/>
          <w:szCs w:val="24"/>
          <w:u w:val="single"/>
        </w:rPr>
        <w:t>Joseph Weixeldorfer v. City of Kansas City, Missouri, et al</w:t>
      </w:r>
      <w:r w:rsidRPr="0091209E">
        <w:rPr>
          <w:rFonts w:ascii="Times New Roman" w:hAnsi="Times New Roman"/>
          <w:sz w:val="24"/>
          <w:szCs w:val="24"/>
        </w:rPr>
        <w:t xml:space="preserve">., the Court of Appeals of Missouri, Western District, Second Division, held (3 to 0) that trial court properly granted City’s motion for summary judgment; as a patient when he signed a HIPAA acknowledgement, this did not constitute a “contract” for which he could sue the city.   On November 22, 2017, the plaintiff, a firefighter with the </w:t>
      </w:r>
      <w:proofErr w:type="gramStart"/>
      <w:r w:rsidRPr="0091209E">
        <w:rPr>
          <w:rFonts w:ascii="Times New Roman" w:hAnsi="Times New Roman"/>
          <w:sz w:val="24"/>
          <w:szCs w:val="24"/>
        </w:rPr>
        <w:t>City</w:t>
      </w:r>
      <w:proofErr w:type="gramEnd"/>
      <w:r w:rsidRPr="0091209E">
        <w:rPr>
          <w:rFonts w:ascii="Times New Roman" w:hAnsi="Times New Roman"/>
          <w:sz w:val="24"/>
          <w:szCs w:val="24"/>
        </w:rPr>
        <w:t xml:space="preserve">, was home and called 911 and was transported to the hospital.  Four years later, on November 12, 2021, he filed a lawsuit claiming he suffered humiliation and damage to his reputation when FD personnel and the dispatcher disclosed his “personal medical and mental health” information to both fellow personnel on the fire department, and to his father and others. The trial court judge also refused the plaintiff’s motion to file a Fifth Amended Complaint naming the lead paramedic on the run and the dispatcher – this was well after discovery was closed </w:t>
      </w:r>
      <w:proofErr w:type="gramStart"/>
      <w:r w:rsidRPr="0091209E">
        <w:rPr>
          <w:rFonts w:ascii="Times New Roman" w:hAnsi="Times New Roman"/>
          <w:sz w:val="24"/>
          <w:szCs w:val="24"/>
        </w:rPr>
        <w:t>and also</w:t>
      </w:r>
      <w:proofErr w:type="gramEnd"/>
      <w:r w:rsidRPr="0091209E">
        <w:rPr>
          <w:rFonts w:ascii="Times New Roman" w:hAnsi="Times New Roman"/>
          <w:sz w:val="24"/>
          <w:szCs w:val="24"/>
        </w:rPr>
        <w:t xml:space="preserve"> the 5-year statute of limitations. THE COURT HELD: "[T]he HIPAA Privacy Rule requires only that providers give patients a notice when it is practical to do so after the emergency situation has ended….The acknowledgment creates no duties other than those already required by HIPAA.” </w:t>
      </w:r>
    </w:p>
    <w:p w14:paraId="23F3A3E2" w14:textId="0B6E9790" w:rsidR="003F325A" w:rsidRPr="0091209E" w:rsidRDefault="003F325A" w:rsidP="003F325A">
      <w:pPr>
        <w:rPr>
          <w:rFonts w:ascii="Times New Roman" w:hAnsi="Times New Roman"/>
          <w:sz w:val="24"/>
          <w:szCs w:val="24"/>
        </w:rPr>
      </w:pPr>
      <w:hyperlink r:id="rId2075" w:history="1">
        <w:r w:rsidRPr="0091209E">
          <w:rPr>
            <w:rStyle w:val="Hyperlink"/>
            <w:rFonts w:ascii="Times New Roman" w:hAnsi="Times New Roman"/>
            <w:sz w:val="24"/>
            <w:szCs w:val="24"/>
          </w:rPr>
          <w:t>https://cases.justia.com/missouri/court-of-appeals/2025-wd87298.pdf?ts=1750174248</w:t>
        </w:r>
      </w:hyperlink>
    </w:p>
    <w:p w14:paraId="39BA91AC" w14:textId="77777777" w:rsidR="0091209E" w:rsidRPr="0091209E" w:rsidRDefault="0091209E" w:rsidP="0091209E">
      <w:pPr>
        <w:pStyle w:val="NoSpacing"/>
        <w:rPr>
          <w:rFonts w:ascii="Times New Roman" w:hAnsi="Times New Roman"/>
          <w:b/>
          <w:bCs/>
          <w:sz w:val="24"/>
          <w:szCs w:val="24"/>
        </w:rPr>
      </w:pPr>
      <w:r w:rsidRPr="0091209E">
        <w:rPr>
          <w:rFonts w:ascii="Times New Roman" w:hAnsi="Times New Roman"/>
          <w:b/>
          <w:sz w:val="24"/>
          <w:szCs w:val="24"/>
        </w:rPr>
        <w:t>Legal lesson learned. When transporting a patient who is also a member of the Fire Department special care must be exercised to not discuss the run with those who do not have an official need to know - particularly involving mental health.</w:t>
      </w:r>
    </w:p>
    <w:p w14:paraId="3F76557E" w14:textId="77777777" w:rsidR="0091209E" w:rsidRDefault="0091209E" w:rsidP="003F325A">
      <w:pPr>
        <w:rPr>
          <w:rFonts w:ascii="Arial Black" w:hAnsi="Arial Black"/>
          <w:b/>
          <w:bCs/>
          <w:sz w:val="28"/>
          <w:szCs w:val="28"/>
        </w:rPr>
      </w:pPr>
    </w:p>
    <w:p w14:paraId="241AF9C9" w14:textId="4552A2E7" w:rsidR="00705D47" w:rsidRDefault="00705D47" w:rsidP="00705D47">
      <w:pPr>
        <w:rPr>
          <w:rFonts w:ascii="Arial Black" w:hAnsi="Arial Black"/>
          <w:b/>
          <w:bCs/>
          <w:sz w:val="28"/>
          <w:szCs w:val="28"/>
        </w:rPr>
      </w:pPr>
      <w:r>
        <w:rPr>
          <w:rFonts w:ascii="Arial Black" w:hAnsi="Arial Black"/>
          <w:b/>
          <w:bCs/>
          <w:sz w:val="28"/>
          <w:szCs w:val="28"/>
        </w:rPr>
        <w:t>13-21</w:t>
      </w:r>
      <w:r w:rsidR="00524647">
        <w:rPr>
          <w:rFonts w:ascii="Arial Black" w:hAnsi="Arial Black"/>
          <w:b/>
          <w:bCs/>
          <w:sz w:val="28"/>
          <w:szCs w:val="28"/>
        </w:rPr>
        <w:t>7</w:t>
      </w:r>
    </w:p>
    <w:p w14:paraId="42EAE140" w14:textId="73E8E2A5" w:rsidR="00815DD8" w:rsidRPr="00A11F37" w:rsidRDefault="00815DD8" w:rsidP="00815DD8">
      <w:pPr>
        <w:rPr>
          <w:rFonts w:ascii="Arial Black" w:hAnsi="Arial Black"/>
          <w:b/>
          <w:sz w:val="28"/>
          <w:szCs w:val="28"/>
        </w:rPr>
      </w:pPr>
      <w:r>
        <w:rPr>
          <w:rFonts w:ascii="Arial Black" w:hAnsi="Arial Black"/>
          <w:b/>
          <w:sz w:val="28"/>
          <w:szCs w:val="28"/>
        </w:rPr>
        <w:t>WV: CO EXPOSURE –</w:t>
      </w:r>
      <w:r w:rsidR="00B242F8">
        <w:rPr>
          <w:rFonts w:ascii="Arial Black" w:hAnsi="Arial Black"/>
          <w:b/>
          <w:sz w:val="28"/>
          <w:szCs w:val="28"/>
        </w:rPr>
        <w:t xml:space="preserve"> DISPATCH SENT FF / NOT EMS – IMMUNITY </w:t>
      </w:r>
    </w:p>
    <w:p w14:paraId="47D022A0" w14:textId="77777777" w:rsidR="00815DD8" w:rsidRPr="00420162" w:rsidRDefault="00815DD8" w:rsidP="00815DD8">
      <w:pPr>
        <w:pStyle w:val="NoSpacing"/>
        <w:rPr>
          <w:rFonts w:ascii="Times New Roman" w:hAnsi="Times New Roman"/>
          <w:bCs/>
          <w:sz w:val="24"/>
          <w:szCs w:val="24"/>
        </w:rPr>
      </w:pPr>
      <w:r w:rsidRPr="00420162">
        <w:rPr>
          <w:rFonts w:ascii="Times New Roman" w:hAnsi="Times New Roman"/>
          <w:sz w:val="24"/>
          <w:szCs w:val="24"/>
        </w:rPr>
        <w:t xml:space="preserve">On June 6, 2015 in </w:t>
      </w:r>
      <w:r w:rsidRPr="00420162">
        <w:rPr>
          <w:rFonts w:ascii="Times New Roman" w:hAnsi="Times New Roman"/>
          <w:sz w:val="24"/>
          <w:szCs w:val="24"/>
          <w:u w:val="single"/>
        </w:rPr>
        <w:t xml:space="preserve">Rhoda M. Marchant, Timothy E. </w:t>
      </w:r>
      <w:proofErr w:type="spellStart"/>
      <w:r w:rsidRPr="00420162">
        <w:rPr>
          <w:rFonts w:ascii="Times New Roman" w:hAnsi="Times New Roman"/>
          <w:sz w:val="24"/>
          <w:szCs w:val="24"/>
          <w:u w:val="single"/>
        </w:rPr>
        <w:t>Marchart</w:t>
      </w:r>
      <w:proofErr w:type="spellEnd"/>
      <w:r w:rsidRPr="00420162">
        <w:rPr>
          <w:rFonts w:ascii="Times New Roman" w:hAnsi="Times New Roman"/>
          <w:sz w:val="24"/>
          <w:szCs w:val="24"/>
          <w:u w:val="single"/>
        </w:rPr>
        <w:t xml:space="preserve"> and Timothy S. </w:t>
      </w:r>
      <w:proofErr w:type="spellStart"/>
      <w:r w:rsidRPr="00420162">
        <w:rPr>
          <w:rFonts w:ascii="Times New Roman" w:hAnsi="Times New Roman"/>
          <w:sz w:val="24"/>
          <w:szCs w:val="24"/>
          <w:u w:val="single"/>
        </w:rPr>
        <w:t>Marchart</w:t>
      </w:r>
      <w:proofErr w:type="spellEnd"/>
      <w:r w:rsidRPr="00420162">
        <w:rPr>
          <w:rFonts w:ascii="Times New Roman" w:hAnsi="Times New Roman"/>
          <w:sz w:val="24"/>
          <w:szCs w:val="24"/>
          <w:u w:val="single"/>
        </w:rPr>
        <w:t xml:space="preserve"> v. Preston County Office of Emergency Management / E911 and Preston County Commission</w:t>
      </w:r>
      <w:r w:rsidRPr="00420162">
        <w:rPr>
          <w:rFonts w:ascii="Times New Roman" w:hAnsi="Times New Roman"/>
          <w:sz w:val="24"/>
          <w:szCs w:val="24"/>
        </w:rPr>
        <w:t xml:space="preserve">, the West Virginia Intermediate Court of Appeals held (3 to 0) that the trial court properly granted the County’s motion to dismiss; there was no proof of willful or wanton misconduct by the dispatchers who sent a fire department on Feb. 7, 2018 to their home in response to their 911 call about carbon monoxide from an electrical generator.  After the Fire Department arrived, Timothy E. Marchant drove himself and his family from Independence to Morgantown’s Ruby Memorial Hospital; they allege that all members of the family suffered physical and mental injuries as a result of the delay in treatment, but that Rhoda suffered most severely, as she was rendered permanently legally blind and disabled and is unable to work. THE COURT HELD:  “The Marchants requested a status conference, which was held on July 29, 2024. Thereafter, by order entered on August 14, 2024, the circuit court granted the motion to dismiss, asserting that respondents were entitled to immunity under West Virginia Code § 24-6-8.... Notably, the Marchants have not expressed what amendments [to their complaint] could be made or facts could </w:t>
      </w:r>
      <w:r w:rsidRPr="00420162">
        <w:rPr>
          <w:rFonts w:ascii="Times New Roman" w:hAnsi="Times New Roman"/>
          <w:sz w:val="24"/>
          <w:szCs w:val="24"/>
        </w:rPr>
        <w:lastRenderedPageBreak/>
        <w:t xml:space="preserve">be alleged to demonstrate a valid claim for willful or wanton  misconduct </w:t>
      </w:r>
      <w:proofErr w:type="gramStart"/>
      <w:r w:rsidRPr="00420162">
        <w:rPr>
          <w:rFonts w:ascii="Times New Roman" w:hAnsi="Times New Roman"/>
          <w:sz w:val="24"/>
          <w:szCs w:val="24"/>
        </w:rPr>
        <w:t>in light of</w:t>
      </w:r>
      <w:proofErr w:type="gramEnd"/>
      <w:r w:rsidRPr="00420162">
        <w:rPr>
          <w:rFonts w:ascii="Times New Roman" w:hAnsi="Times New Roman"/>
          <w:sz w:val="24"/>
          <w:szCs w:val="24"/>
        </w:rPr>
        <w:t xml:space="preserve"> the facts asserted in the operative </w:t>
      </w:r>
      <w:proofErr w:type="gramStart"/>
      <w:r w:rsidRPr="00420162">
        <w:rPr>
          <w:rFonts w:ascii="Times New Roman" w:hAnsi="Times New Roman"/>
          <w:sz w:val="24"/>
          <w:szCs w:val="24"/>
        </w:rPr>
        <w:t>complaint.”</w:t>
      </w:r>
      <w:proofErr w:type="gramEnd"/>
    </w:p>
    <w:p w14:paraId="16CD2DD1" w14:textId="77777777" w:rsidR="00815DD8" w:rsidRPr="00420162" w:rsidRDefault="00815DD8" w:rsidP="00815DD8">
      <w:pPr>
        <w:pStyle w:val="NoSpacing"/>
        <w:rPr>
          <w:rFonts w:ascii="Times New Roman" w:hAnsi="Times New Roman"/>
          <w:b/>
          <w:sz w:val="24"/>
          <w:szCs w:val="24"/>
        </w:rPr>
      </w:pPr>
      <w:hyperlink r:id="rId2076" w:history="1">
        <w:r w:rsidRPr="00420162">
          <w:rPr>
            <w:rStyle w:val="Hyperlink"/>
            <w:rFonts w:ascii="Times New Roman" w:hAnsi="Times New Roman"/>
            <w:sz w:val="24"/>
            <w:szCs w:val="24"/>
          </w:rPr>
          <w:t>https://cases.justia.com/west-virginia/intermediate-court-of-appeals/2025-24-ica-364.pdf?ts=1749239242</w:t>
        </w:r>
      </w:hyperlink>
      <w:r w:rsidRPr="00420162">
        <w:rPr>
          <w:rFonts w:ascii="Times New Roman" w:hAnsi="Times New Roman"/>
          <w:b/>
          <w:sz w:val="24"/>
          <w:szCs w:val="24"/>
        </w:rPr>
        <w:t xml:space="preserve"> </w:t>
      </w:r>
    </w:p>
    <w:p w14:paraId="58636EA9" w14:textId="77777777" w:rsidR="00815DD8" w:rsidRPr="00420162" w:rsidRDefault="00815DD8" w:rsidP="00815DD8">
      <w:pPr>
        <w:pStyle w:val="NoSpacing"/>
        <w:rPr>
          <w:rFonts w:ascii="Times New Roman" w:hAnsi="Times New Roman"/>
          <w:bCs/>
          <w:sz w:val="24"/>
          <w:szCs w:val="24"/>
        </w:rPr>
      </w:pPr>
    </w:p>
    <w:p w14:paraId="4336281B" w14:textId="77777777" w:rsidR="00420162" w:rsidRPr="00420162" w:rsidRDefault="00420162" w:rsidP="00420162">
      <w:pPr>
        <w:pStyle w:val="NoSpacing"/>
        <w:rPr>
          <w:rFonts w:ascii="Times New Roman" w:hAnsi="Times New Roman"/>
          <w:b/>
          <w:bCs/>
          <w:sz w:val="24"/>
          <w:szCs w:val="24"/>
        </w:rPr>
      </w:pPr>
      <w:r w:rsidRPr="00420162">
        <w:rPr>
          <w:rFonts w:ascii="Times New Roman" w:hAnsi="Times New Roman"/>
          <w:b/>
          <w:sz w:val="24"/>
          <w:szCs w:val="24"/>
        </w:rPr>
        <w:t xml:space="preserve">Legal lesson learned: Dispatchers and their employer are not liable in West Virginia unless there is proof of “willful or wanton misconduct.”  It is </w:t>
      </w:r>
      <w:proofErr w:type="gramStart"/>
      <w:r w:rsidRPr="00420162">
        <w:rPr>
          <w:rFonts w:ascii="Times New Roman" w:hAnsi="Times New Roman"/>
          <w:b/>
          <w:sz w:val="24"/>
          <w:szCs w:val="24"/>
        </w:rPr>
        <w:t>a best</w:t>
      </w:r>
      <w:proofErr w:type="gramEnd"/>
      <w:r w:rsidRPr="00420162">
        <w:rPr>
          <w:rFonts w:ascii="Times New Roman" w:hAnsi="Times New Roman"/>
          <w:b/>
          <w:sz w:val="24"/>
          <w:szCs w:val="24"/>
        </w:rPr>
        <w:t xml:space="preserve"> practice that dispatchers have a protocol on carbon monoxide calls, including when to dispatch an ambulance. </w:t>
      </w:r>
    </w:p>
    <w:p w14:paraId="0FAD7F2F" w14:textId="77777777" w:rsidR="00420162" w:rsidRPr="00420162" w:rsidRDefault="00420162" w:rsidP="00420162">
      <w:pPr>
        <w:pStyle w:val="NoSpacing"/>
        <w:rPr>
          <w:rFonts w:ascii="Times New Roman" w:hAnsi="Times New Roman"/>
          <w:b/>
          <w:bCs/>
          <w:sz w:val="24"/>
          <w:szCs w:val="24"/>
        </w:rPr>
      </w:pPr>
    </w:p>
    <w:p w14:paraId="0DF4ECB8" w14:textId="77777777" w:rsidR="00420162" w:rsidRPr="00420162" w:rsidRDefault="00420162" w:rsidP="00420162">
      <w:pPr>
        <w:pStyle w:val="NoSpacing"/>
        <w:ind w:firstLine="720"/>
        <w:rPr>
          <w:rFonts w:ascii="Times New Roman" w:hAnsi="Times New Roman"/>
          <w:bCs/>
          <w:sz w:val="24"/>
          <w:szCs w:val="24"/>
        </w:rPr>
      </w:pPr>
      <w:r w:rsidRPr="00420162">
        <w:rPr>
          <w:rFonts w:ascii="Times New Roman" w:hAnsi="Times New Roman"/>
          <w:sz w:val="24"/>
          <w:szCs w:val="24"/>
        </w:rPr>
        <w:t xml:space="preserve">Note: See West Virginia Code §24-6-8. </w:t>
      </w:r>
      <w:hyperlink r:id="rId2077" w:history="1">
        <w:r w:rsidRPr="00420162">
          <w:rPr>
            <w:rStyle w:val="Hyperlink"/>
            <w:rFonts w:ascii="Times New Roman" w:hAnsi="Times New Roman"/>
            <w:sz w:val="24"/>
            <w:szCs w:val="24"/>
          </w:rPr>
          <w:t>https://code.wvlegislature.gov/email/24-6/</w:t>
        </w:r>
      </w:hyperlink>
      <w:r w:rsidRPr="00420162">
        <w:rPr>
          <w:rFonts w:ascii="Times New Roman" w:hAnsi="Times New Roman"/>
          <w:sz w:val="24"/>
          <w:szCs w:val="24"/>
        </w:rPr>
        <w:t xml:space="preserve"> </w:t>
      </w:r>
    </w:p>
    <w:p w14:paraId="0829FCA1" w14:textId="77777777" w:rsidR="00420162" w:rsidRPr="00420162" w:rsidRDefault="00420162" w:rsidP="00420162">
      <w:pPr>
        <w:pStyle w:val="NoSpacing"/>
        <w:ind w:firstLine="720"/>
        <w:rPr>
          <w:rFonts w:ascii="Times New Roman" w:hAnsi="Times New Roman"/>
          <w:bCs/>
          <w:sz w:val="24"/>
          <w:szCs w:val="24"/>
        </w:rPr>
      </w:pPr>
    </w:p>
    <w:p w14:paraId="4DCD5F4A" w14:textId="77777777" w:rsidR="00420162" w:rsidRPr="00420162" w:rsidRDefault="00420162" w:rsidP="00420162">
      <w:pPr>
        <w:pStyle w:val="NoSpacing"/>
        <w:ind w:left="720"/>
        <w:rPr>
          <w:rFonts w:ascii="Times New Roman" w:hAnsi="Times New Roman"/>
          <w:bCs/>
          <w:sz w:val="24"/>
          <w:szCs w:val="24"/>
        </w:rPr>
      </w:pPr>
      <w:r w:rsidRPr="00420162">
        <w:rPr>
          <w:rFonts w:ascii="Times New Roman" w:hAnsi="Times New Roman"/>
          <w:sz w:val="24"/>
          <w:szCs w:val="24"/>
        </w:rPr>
        <w:t>“Limitation of liability. A public agency or a telephone company participating in an emergency telephone system or a county which has established an enhanced emergency telephone system, and any officer, agent or employee of the public agency, telephone company or county is not liable for damages in a civil action for injuries, death or loss to persons or property arising from any act or omission, except willful or wanton misconduct, in connection with developing, adopting or approving any final plan or any agreement made pursuant to this article, or otherwise bringing into operation or participating in the operation of an emergency telephone system or an enhanced emergency telephone system pursuant to this article.”</w:t>
      </w:r>
    </w:p>
    <w:p w14:paraId="5ACD7991" w14:textId="77777777" w:rsidR="00420162" w:rsidRPr="00420162" w:rsidRDefault="00420162" w:rsidP="00420162">
      <w:pPr>
        <w:pStyle w:val="NoSpacing"/>
        <w:rPr>
          <w:rFonts w:ascii="Times New Roman" w:hAnsi="Times New Roman"/>
          <w:b/>
          <w:bCs/>
          <w:sz w:val="24"/>
          <w:szCs w:val="24"/>
        </w:rPr>
      </w:pPr>
    </w:p>
    <w:p w14:paraId="2528AA53" w14:textId="77777777" w:rsidR="00705D47" w:rsidRDefault="00705D47" w:rsidP="00705D47">
      <w:pPr>
        <w:rPr>
          <w:rFonts w:ascii="Arial Black" w:hAnsi="Arial Black"/>
          <w:b/>
          <w:bCs/>
          <w:sz w:val="28"/>
          <w:szCs w:val="28"/>
        </w:rPr>
      </w:pPr>
    </w:p>
    <w:p w14:paraId="58DECBEB" w14:textId="03B97FC1" w:rsidR="00705D47" w:rsidRDefault="00705D47" w:rsidP="00705D47">
      <w:pPr>
        <w:rPr>
          <w:rFonts w:ascii="Arial Black" w:hAnsi="Arial Black"/>
          <w:b/>
          <w:bCs/>
          <w:sz w:val="28"/>
          <w:szCs w:val="28"/>
        </w:rPr>
      </w:pPr>
      <w:r>
        <w:rPr>
          <w:rFonts w:ascii="Arial Black" w:hAnsi="Arial Black"/>
          <w:b/>
          <w:bCs/>
          <w:sz w:val="28"/>
          <w:szCs w:val="28"/>
        </w:rPr>
        <w:t>13-21</w:t>
      </w:r>
      <w:r w:rsidR="00524647">
        <w:rPr>
          <w:rFonts w:ascii="Arial Black" w:hAnsi="Arial Black"/>
          <w:b/>
          <w:bCs/>
          <w:sz w:val="28"/>
          <w:szCs w:val="28"/>
        </w:rPr>
        <w:t>6</w:t>
      </w:r>
    </w:p>
    <w:p w14:paraId="322F1E3F" w14:textId="23ED63C5" w:rsidR="00DC020F" w:rsidRPr="00FD26B7" w:rsidRDefault="00DC020F" w:rsidP="00DC020F">
      <w:pPr>
        <w:rPr>
          <w:rFonts w:ascii="Arial Black" w:hAnsi="Arial Black"/>
          <w:b/>
          <w:sz w:val="28"/>
          <w:szCs w:val="28"/>
        </w:rPr>
      </w:pPr>
      <w:r>
        <w:rPr>
          <w:rFonts w:ascii="Arial Black" w:hAnsi="Arial Black"/>
          <w:b/>
          <w:sz w:val="28"/>
          <w:szCs w:val="28"/>
        </w:rPr>
        <w:t>OH: COMBATIVE P</w:t>
      </w:r>
      <w:r w:rsidR="006672D1">
        <w:rPr>
          <w:rFonts w:ascii="Arial Black" w:hAnsi="Arial Black"/>
          <w:b/>
          <w:sz w:val="28"/>
          <w:szCs w:val="28"/>
        </w:rPr>
        <w:t>T – HANDCUFFED TRANS</w:t>
      </w:r>
      <w:r w:rsidR="00F73364">
        <w:rPr>
          <w:rFonts w:ascii="Arial Black" w:hAnsi="Arial Black"/>
          <w:b/>
          <w:sz w:val="28"/>
          <w:szCs w:val="28"/>
        </w:rPr>
        <w:t xml:space="preserve"> - EMS / PD IMMUNITY </w:t>
      </w:r>
    </w:p>
    <w:p w14:paraId="54A8141A" w14:textId="628824E0" w:rsidR="00DC020F" w:rsidRPr="00705D47" w:rsidRDefault="00DC020F" w:rsidP="00DC020F">
      <w:pPr>
        <w:pStyle w:val="NoSpacing"/>
        <w:rPr>
          <w:rFonts w:ascii="Times New Roman" w:hAnsi="Times New Roman"/>
          <w:bCs/>
          <w:sz w:val="24"/>
          <w:szCs w:val="24"/>
        </w:rPr>
      </w:pPr>
      <w:r w:rsidRPr="00705D47">
        <w:rPr>
          <w:rFonts w:ascii="Times New Roman" w:hAnsi="Times New Roman"/>
          <w:sz w:val="24"/>
          <w:szCs w:val="24"/>
        </w:rPr>
        <w:t>On May 30, 2</w:t>
      </w:r>
      <w:r w:rsidR="003F4271">
        <w:rPr>
          <w:rFonts w:ascii="Times New Roman" w:hAnsi="Times New Roman"/>
          <w:sz w:val="24"/>
          <w:szCs w:val="24"/>
        </w:rPr>
        <w:t>0</w:t>
      </w:r>
      <w:r w:rsidRPr="00705D47">
        <w:rPr>
          <w:rFonts w:ascii="Times New Roman" w:hAnsi="Times New Roman"/>
          <w:sz w:val="24"/>
          <w:szCs w:val="24"/>
        </w:rPr>
        <w:t xml:space="preserve">25, in </w:t>
      </w:r>
      <w:r w:rsidRPr="00705D47">
        <w:rPr>
          <w:rFonts w:ascii="Times New Roman" w:hAnsi="Times New Roman"/>
          <w:sz w:val="24"/>
          <w:szCs w:val="24"/>
          <w:u w:val="single"/>
        </w:rPr>
        <w:t>Robert McGuire, et al. v. City of Mansfield, et al</w:t>
      </w:r>
      <w:r w:rsidRPr="00705D47">
        <w:rPr>
          <w:rFonts w:ascii="Times New Roman" w:hAnsi="Times New Roman"/>
          <w:sz w:val="24"/>
          <w:szCs w:val="24"/>
        </w:rPr>
        <w:t xml:space="preserve">., the Court of Appeals of Ohio, Fifth District, Richland held (3 to 0) that trial court erred in not dismissing the lawsuit; there was no evidence of willful or wanton misconduct by the EMS during transport on March 21, 2022, or of the Mansfield police officer at the hospital who handcuffed the combative patient as he was taken into the hospital. The entire encounter from arrival </w:t>
      </w:r>
      <w:proofErr w:type="gramStart"/>
      <w:r w:rsidRPr="00705D47">
        <w:rPr>
          <w:rFonts w:ascii="Times New Roman" w:hAnsi="Times New Roman"/>
          <w:sz w:val="24"/>
          <w:szCs w:val="24"/>
        </w:rPr>
        <w:t>to</w:t>
      </w:r>
      <w:proofErr w:type="gramEnd"/>
      <w:r w:rsidRPr="00705D47">
        <w:rPr>
          <w:rFonts w:ascii="Times New Roman" w:hAnsi="Times New Roman"/>
          <w:sz w:val="24"/>
          <w:szCs w:val="24"/>
        </w:rPr>
        <w:t xml:space="preserve"> McGuire's residence to taking McGuire into the emergency room was less than ten minutes. McGuire suffered injuries including cardiopulmonary arrest with consistent brain injury due to hypoxia and hypotension.  To use a medical malpractice standard for a first responder would basically eviscerate the immunity statutes; that is why the wanton standard is the “failure to exercise any care.” THE COURT HELD: “The evidence presented also does not show the firefighters' conduct was wanton. They did not fail ‘to exercise any care toward’ McGuire ‘whom a duty of care is owed in circumstances in which there is great probability that harm will result.’ … While experts can argue over the more correct care, that is a negligence issue that does not rise to the standard of wanton care… To use a medical malpractice standard for a first responder would basically eviscerate the immunity statutes; that is why the wanton standard is the ‘failure to exercise any care.’”</w:t>
      </w:r>
      <w:hyperlink r:id="rId2078" w:history="1">
        <w:r w:rsidRPr="00705D47">
          <w:rPr>
            <w:rStyle w:val="Hyperlink"/>
            <w:rFonts w:ascii="Times New Roman" w:hAnsi="Times New Roman"/>
            <w:sz w:val="24"/>
            <w:szCs w:val="24"/>
          </w:rPr>
          <w:t>https://www.supremecourt.ohio.gov/rod/docs/pdf/5/2025/2025-Ohio-1961.pdf</w:t>
        </w:r>
      </w:hyperlink>
      <w:r w:rsidRPr="00705D47">
        <w:rPr>
          <w:rFonts w:ascii="Times New Roman" w:hAnsi="Times New Roman"/>
          <w:sz w:val="24"/>
          <w:szCs w:val="24"/>
        </w:rPr>
        <w:t xml:space="preserve"> </w:t>
      </w:r>
    </w:p>
    <w:p w14:paraId="4F1812A5" w14:textId="77777777" w:rsidR="00DC020F" w:rsidRPr="00705D47" w:rsidRDefault="00DC020F" w:rsidP="00DC020F">
      <w:pPr>
        <w:pStyle w:val="NoSpacing"/>
        <w:rPr>
          <w:rFonts w:ascii="Times New Roman" w:hAnsi="Times New Roman"/>
          <w:sz w:val="24"/>
          <w:szCs w:val="24"/>
        </w:rPr>
      </w:pPr>
    </w:p>
    <w:p w14:paraId="29FBE521" w14:textId="77777777" w:rsidR="00705D47" w:rsidRPr="00705D47" w:rsidRDefault="00705D47" w:rsidP="00705D47">
      <w:pPr>
        <w:pStyle w:val="NoSpacing"/>
        <w:rPr>
          <w:rFonts w:ascii="Times New Roman" w:hAnsi="Times New Roman"/>
          <w:sz w:val="24"/>
          <w:szCs w:val="24"/>
        </w:rPr>
      </w:pPr>
      <w:r w:rsidRPr="00705D47">
        <w:rPr>
          <w:rFonts w:ascii="Times New Roman" w:hAnsi="Times New Roman"/>
          <w:b/>
          <w:sz w:val="24"/>
          <w:szCs w:val="24"/>
        </w:rPr>
        <w:t>Legal lesson learned: Excellent decision; no evidence of EMS or PD “failure to exercise any care.”</w:t>
      </w:r>
    </w:p>
    <w:p w14:paraId="108750B0" w14:textId="77777777" w:rsidR="00DC020F" w:rsidRPr="00705D47" w:rsidRDefault="00DC020F" w:rsidP="003F325A">
      <w:pPr>
        <w:rPr>
          <w:rFonts w:ascii="Times New Roman" w:hAnsi="Times New Roman"/>
          <w:b/>
          <w:bCs/>
          <w:sz w:val="24"/>
          <w:szCs w:val="24"/>
        </w:rPr>
      </w:pPr>
    </w:p>
    <w:p w14:paraId="095A1B9D" w14:textId="77777777" w:rsidR="00705D47" w:rsidRDefault="00705D47" w:rsidP="002B1283">
      <w:pPr>
        <w:rPr>
          <w:rFonts w:ascii="Arial Black" w:hAnsi="Arial Black"/>
          <w:b/>
          <w:bCs/>
          <w:sz w:val="28"/>
          <w:szCs w:val="28"/>
        </w:rPr>
      </w:pPr>
    </w:p>
    <w:p w14:paraId="1B9C17EA" w14:textId="54DD598F" w:rsidR="00254EDF" w:rsidRDefault="00254EDF" w:rsidP="002B1283">
      <w:pPr>
        <w:rPr>
          <w:rFonts w:ascii="Arial Black" w:hAnsi="Arial Black"/>
          <w:b/>
          <w:bCs/>
          <w:sz w:val="28"/>
          <w:szCs w:val="28"/>
        </w:rPr>
      </w:pPr>
      <w:r>
        <w:rPr>
          <w:rFonts w:ascii="Arial Black" w:hAnsi="Arial Black"/>
          <w:b/>
          <w:bCs/>
          <w:sz w:val="28"/>
          <w:szCs w:val="28"/>
        </w:rPr>
        <w:t>13-</w:t>
      </w:r>
      <w:r w:rsidR="00816988">
        <w:rPr>
          <w:rFonts w:ascii="Arial Black" w:hAnsi="Arial Black"/>
          <w:b/>
          <w:bCs/>
          <w:sz w:val="28"/>
          <w:szCs w:val="28"/>
        </w:rPr>
        <w:t>21</w:t>
      </w:r>
      <w:r w:rsidR="00524647">
        <w:rPr>
          <w:rFonts w:ascii="Arial Black" w:hAnsi="Arial Black"/>
          <w:b/>
          <w:bCs/>
          <w:sz w:val="28"/>
          <w:szCs w:val="28"/>
        </w:rPr>
        <w:t>5</w:t>
      </w:r>
    </w:p>
    <w:p w14:paraId="6B30168E" w14:textId="12DD2810" w:rsidR="007B7FD8" w:rsidRPr="000A6F07" w:rsidRDefault="007B7FD8" w:rsidP="007B7FD8">
      <w:pPr>
        <w:pStyle w:val="NoSpacing"/>
        <w:rPr>
          <w:rFonts w:ascii="Arial Black" w:hAnsi="Arial Black"/>
          <w:b/>
          <w:bCs/>
          <w:sz w:val="28"/>
          <w:szCs w:val="28"/>
        </w:rPr>
      </w:pPr>
      <w:r w:rsidRPr="000A6F07">
        <w:rPr>
          <w:rFonts w:ascii="Arial Black" w:hAnsi="Arial Black"/>
          <w:b/>
          <w:sz w:val="28"/>
          <w:szCs w:val="28"/>
        </w:rPr>
        <w:t>WA:</w:t>
      </w:r>
      <w:r>
        <w:rPr>
          <w:rFonts w:ascii="Arial Black" w:hAnsi="Arial Black"/>
          <w:b/>
          <w:sz w:val="28"/>
          <w:szCs w:val="28"/>
        </w:rPr>
        <w:t xml:space="preserve"> 15 MO. </w:t>
      </w:r>
      <w:r w:rsidR="00E844E5">
        <w:rPr>
          <w:rFonts w:ascii="Arial Black" w:hAnsi="Arial Black"/>
          <w:b/>
          <w:sz w:val="28"/>
          <w:szCs w:val="28"/>
        </w:rPr>
        <w:t xml:space="preserve">TO </w:t>
      </w:r>
      <w:r>
        <w:rPr>
          <w:rFonts w:ascii="Arial Black" w:hAnsi="Arial Black"/>
          <w:b/>
          <w:sz w:val="28"/>
          <w:szCs w:val="28"/>
        </w:rPr>
        <w:t xml:space="preserve">GET </w:t>
      </w:r>
      <w:r w:rsidR="004E5E7F">
        <w:rPr>
          <w:rFonts w:ascii="Arial Black" w:hAnsi="Arial Black"/>
          <w:b/>
          <w:sz w:val="28"/>
          <w:szCs w:val="28"/>
        </w:rPr>
        <w:t xml:space="preserve">EMT </w:t>
      </w:r>
      <w:r>
        <w:rPr>
          <w:rFonts w:ascii="Arial Black" w:hAnsi="Arial Black"/>
          <w:b/>
          <w:sz w:val="28"/>
          <w:szCs w:val="28"/>
        </w:rPr>
        <w:t>LICENSE – CRIM RECORD</w:t>
      </w:r>
      <w:r w:rsidR="005745F5">
        <w:rPr>
          <w:rFonts w:ascii="Arial Black" w:hAnsi="Arial Black"/>
          <w:b/>
          <w:sz w:val="28"/>
          <w:szCs w:val="28"/>
        </w:rPr>
        <w:t xml:space="preserve"> CHECK</w:t>
      </w:r>
    </w:p>
    <w:p w14:paraId="2EDE25DF" w14:textId="77777777" w:rsidR="007B7FD8" w:rsidRPr="006F2B87" w:rsidRDefault="007B7FD8" w:rsidP="007B7FD8">
      <w:pPr>
        <w:pStyle w:val="NoSpacing"/>
        <w:rPr>
          <w:b/>
          <w:bCs/>
        </w:rPr>
      </w:pPr>
    </w:p>
    <w:p w14:paraId="1B5F9F3A" w14:textId="11BECB4D" w:rsidR="007B7FD8" w:rsidRPr="00AA6324" w:rsidRDefault="007B7FD8" w:rsidP="007B7FD8">
      <w:pPr>
        <w:pStyle w:val="NoSpacing"/>
        <w:rPr>
          <w:rFonts w:ascii="Times New Roman" w:hAnsi="Times New Roman"/>
          <w:bCs/>
          <w:sz w:val="24"/>
          <w:szCs w:val="24"/>
        </w:rPr>
      </w:pPr>
      <w:r w:rsidRPr="00AA6324">
        <w:rPr>
          <w:rFonts w:ascii="Times New Roman" w:hAnsi="Times New Roman"/>
          <w:sz w:val="24"/>
          <w:szCs w:val="24"/>
        </w:rPr>
        <w:lastRenderedPageBreak/>
        <w:t xml:space="preserve">On May 21, 2025, in </w:t>
      </w:r>
      <w:r w:rsidRPr="00AA6324">
        <w:rPr>
          <w:rFonts w:ascii="Times New Roman" w:hAnsi="Times New Roman"/>
          <w:sz w:val="24"/>
          <w:szCs w:val="24"/>
          <w:u w:val="single"/>
        </w:rPr>
        <w:t>Brooklyn C. Clark v. Washington State Department of Health, et al.</w:t>
      </w:r>
      <w:r w:rsidRPr="00AA6324">
        <w:rPr>
          <w:rFonts w:ascii="Times New Roman" w:hAnsi="Times New Roman"/>
          <w:sz w:val="24"/>
          <w:szCs w:val="24"/>
        </w:rPr>
        <w:t xml:space="preserve">, U.S. District Court Judge Tiffany M. Cartwright, United States District Court for Western District of Washington (Tacoma) granted the State’s motion for summary judgment since the EMT license was granted; 15 months delay caused by applicant not getting </w:t>
      </w:r>
      <w:r w:rsidR="005745F5">
        <w:rPr>
          <w:rFonts w:ascii="Times New Roman" w:hAnsi="Times New Roman"/>
          <w:sz w:val="24"/>
          <w:szCs w:val="24"/>
        </w:rPr>
        <w:t xml:space="preserve">his criminal history </w:t>
      </w:r>
      <w:r w:rsidRPr="00AA6324">
        <w:rPr>
          <w:rFonts w:ascii="Times New Roman" w:hAnsi="Times New Roman"/>
          <w:sz w:val="24"/>
          <w:szCs w:val="24"/>
        </w:rPr>
        <w:t xml:space="preserve">records from Oregon court.  </w:t>
      </w:r>
    </w:p>
    <w:p w14:paraId="3E6C24ED" w14:textId="77777777" w:rsidR="007B7FD8" w:rsidRPr="00AA6324" w:rsidRDefault="007B7FD8" w:rsidP="007B7FD8">
      <w:pPr>
        <w:pStyle w:val="NoSpacing"/>
        <w:rPr>
          <w:rFonts w:ascii="Times New Roman" w:hAnsi="Times New Roman"/>
          <w:bCs/>
          <w:sz w:val="24"/>
          <w:szCs w:val="24"/>
        </w:rPr>
      </w:pPr>
    </w:p>
    <w:p w14:paraId="55D15C0E" w14:textId="77777777" w:rsidR="007B7FD8" w:rsidRPr="00AA6324" w:rsidRDefault="007B7FD8" w:rsidP="007B7FD8">
      <w:pPr>
        <w:pStyle w:val="NoSpacing"/>
        <w:rPr>
          <w:rFonts w:ascii="Times New Roman" w:hAnsi="Times New Roman"/>
          <w:sz w:val="24"/>
          <w:szCs w:val="24"/>
        </w:rPr>
      </w:pPr>
      <w:r w:rsidRPr="00AA6324">
        <w:rPr>
          <w:rFonts w:ascii="Times New Roman" w:hAnsi="Times New Roman"/>
          <w:sz w:val="24"/>
          <w:szCs w:val="24"/>
        </w:rPr>
        <w:t xml:space="preserve">The Court wrote: “On July 3, 2023, Ms. Clark </w:t>
      </w:r>
      <w:proofErr w:type="gramStart"/>
      <w:r w:rsidRPr="00AA6324">
        <w:rPr>
          <w:rFonts w:ascii="Times New Roman" w:hAnsi="Times New Roman"/>
          <w:sz w:val="24"/>
          <w:szCs w:val="24"/>
        </w:rPr>
        <w:t>submitted an application</w:t>
      </w:r>
      <w:proofErr w:type="gramEnd"/>
      <w:r w:rsidRPr="00AA6324">
        <w:rPr>
          <w:rFonts w:ascii="Times New Roman" w:hAnsi="Times New Roman"/>
          <w:sz w:val="24"/>
          <w:szCs w:val="24"/>
        </w:rPr>
        <w:t xml:space="preserve"> to be certified as an Emergency Medical Technician (‘EMT’) in Washington….  Ms. Clark, who is transgender, had ‘disclose[d] her previous name and gender’ to the Department as part of her application.  On her application, Ms. Clark attested that she had never been ‘convicted, entered a plea of guilty, no contest, or a similar plea, or had prosecution or a sentence deferred or [suspended] as an adult or [juvenile] in any state or jurisdiction[.]’ … Because Ms. Clark lived in Oregon … the Department ran an FBI National Fingerprint Database search…. The background check returned an out-of-state criminal history record for Ms. Clark…. Ms. Clark contested the results of the background check…. Defendant Scott Bramhall was the assigned investigator…. Because of Bramhall’s role, he was able to request the necessary information from the Court directly…. Ms. Clark eventually provided the necessary documentation about her criminal history….  On September 20, 2024, the Department issued Ms. Clark her certification to work as an EMT in the state.” </w:t>
      </w:r>
      <w:hyperlink r:id="rId2079" w:history="1">
        <w:r w:rsidRPr="00AA6324">
          <w:rPr>
            <w:rStyle w:val="Hyperlink"/>
            <w:rFonts w:ascii="Times New Roman" w:hAnsi="Times New Roman"/>
            <w:sz w:val="24"/>
            <w:szCs w:val="24"/>
          </w:rPr>
          <w:t>https://cases.justia.com/federal/district-courts/washington/wawdce/2:2023cv01558/327312/54/0.pdf?ts=1747918716</w:t>
        </w:r>
      </w:hyperlink>
      <w:r w:rsidRPr="00AA6324">
        <w:rPr>
          <w:rFonts w:ascii="Times New Roman" w:hAnsi="Times New Roman"/>
          <w:sz w:val="24"/>
          <w:szCs w:val="24"/>
        </w:rPr>
        <w:t xml:space="preserve"> </w:t>
      </w:r>
    </w:p>
    <w:p w14:paraId="5BC57B9F" w14:textId="77777777" w:rsidR="007B7FD8" w:rsidRPr="006F2B87" w:rsidRDefault="007B7FD8" w:rsidP="007B7FD8">
      <w:pPr>
        <w:pStyle w:val="NoSpacing"/>
      </w:pPr>
    </w:p>
    <w:p w14:paraId="637DEB2A" w14:textId="77777777" w:rsidR="001D1462" w:rsidRPr="00DC2632" w:rsidRDefault="001D1462" w:rsidP="001D1462">
      <w:pPr>
        <w:pStyle w:val="NoSpacing"/>
        <w:rPr>
          <w:rFonts w:ascii="Times New Roman" w:hAnsi="Times New Roman"/>
          <w:b/>
          <w:bCs/>
          <w:sz w:val="24"/>
          <w:szCs w:val="24"/>
        </w:rPr>
      </w:pPr>
      <w:r w:rsidRPr="00DC2632">
        <w:rPr>
          <w:rFonts w:ascii="Times New Roman" w:hAnsi="Times New Roman"/>
          <w:b/>
          <w:sz w:val="24"/>
          <w:szCs w:val="24"/>
        </w:rPr>
        <w:t xml:space="preserve">Legal Lesson Learned: EMT applicants must disclose details of prior criminal history. </w:t>
      </w:r>
    </w:p>
    <w:p w14:paraId="70B39853" w14:textId="77777777" w:rsidR="001D1462" w:rsidRPr="00DC2632" w:rsidRDefault="001D1462" w:rsidP="001D1462">
      <w:pPr>
        <w:pStyle w:val="NoSpacing"/>
        <w:rPr>
          <w:rFonts w:ascii="Times New Roman" w:hAnsi="Times New Roman"/>
          <w:b/>
          <w:bCs/>
          <w:sz w:val="24"/>
          <w:szCs w:val="24"/>
        </w:rPr>
      </w:pPr>
    </w:p>
    <w:p w14:paraId="34E7A1D6" w14:textId="77777777" w:rsidR="001D1462" w:rsidRPr="00DC2632" w:rsidRDefault="001D1462" w:rsidP="001D1462">
      <w:pPr>
        <w:pStyle w:val="NoSpacing"/>
        <w:ind w:left="720"/>
        <w:rPr>
          <w:rFonts w:ascii="Times New Roman" w:hAnsi="Times New Roman"/>
          <w:sz w:val="24"/>
          <w:szCs w:val="24"/>
        </w:rPr>
      </w:pPr>
      <w:r w:rsidRPr="00DC2632">
        <w:rPr>
          <w:rFonts w:ascii="Times New Roman" w:hAnsi="Times New Roman"/>
          <w:sz w:val="24"/>
          <w:szCs w:val="24"/>
        </w:rPr>
        <w:t>Note: The Court did not describe the prior criminal history that came up on the FBI record check.</w:t>
      </w:r>
    </w:p>
    <w:p w14:paraId="353867FC" w14:textId="77777777" w:rsidR="001D1462" w:rsidRPr="00DC2632" w:rsidRDefault="001D1462" w:rsidP="001D1462">
      <w:pPr>
        <w:pStyle w:val="NoSpacing"/>
        <w:rPr>
          <w:rFonts w:ascii="Times New Roman" w:hAnsi="Times New Roman"/>
          <w:bCs/>
          <w:sz w:val="24"/>
          <w:szCs w:val="24"/>
        </w:rPr>
      </w:pPr>
    </w:p>
    <w:p w14:paraId="42246A3D" w14:textId="77777777" w:rsidR="007B7FD8" w:rsidRDefault="007B7FD8" w:rsidP="007B7FD8">
      <w:pPr>
        <w:pStyle w:val="NoSpacing"/>
      </w:pPr>
    </w:p>
    <w:p w14:paraId="57BC4E06" w14:textId="41109464" w:rsidR="00DC2632" w:rsidRPr="00254EDF" w:rsidRDefault="00254EDF" w:rsidP="007B7FD8">
      <w:pPr>
        <w:pStyle w:val="NoSpacing"/>
        <w:rPr>
          <w:rFonts w:ascii="Arial Black" w:hAnsi="Arial Black"/>
          <w:sz w:val="24"/>
          <w:szCs w:val="24"/>
        </w:rPr>
      </w:pPr>
      <w:r w:rsidRPr="00254EDF">
        <w:rPr>
          <w:rFonts w:ascii="Arial Black" w:hAnsi="Arial Black"/>
          <w:sz w:val="24"/>
          <w:szCs w:val="24"/>
        </w:rPr>
        <w:t>13-21</w:t>
      </w:r>
      <w:r w:rsidR="00524647">
        <w:rPr>
          <w:rFonts w:ascii="Arial Black" w:hAnsi="Arial Black"/>
          <w:sz w:val="24"/>
          <w:szCs w:val="24"/>
        </w:rPr>
        <w:t>4</w:t>
      </w:r>
    </w:p>
    <w:p w14:paraId="5D26D2B2" w14:textId="77777777" w:rsidR="00254EDF" w:rsidRDefault="00254EDF" w:rsidP="007B7FD8">
      <w:pPr>
        <w:pStyle w:val="NoSpacing"/>
      </w:pPr>
    </w:p>
    <w:p w14:paraId="46EF38A8" w14:textId="77777777" w:rsidR="008F24E3" w:rsidRPr="006F2B87" w:rsidRDefault="008F24E3" w:rsidP="008F24E3">
      <w:pPr>
        <w:pStyle w:val="NoSpacing"/>
        <w:rPr>
          <w:rFonts w:ascii="Arial Black" w:hAnsi="Arial Black"/>
          <w:b/>
          <w:bCs/>
          <w:sz w:val="28"/>
          <w:szCs w:val="28"/>
        </w:rPr>
      </w:pPr>
      <w:r w:rsidRPr="006F2B87">
        <w:rPr>
          <w:rFonts w:ascii="Arial Black" w:hAnsi="Arial Black"/>
          <w:b/>
          <w:sz w:val="28"/>
          <w:szCs w:val="28"/>
        </w:rPr>
        <w:t xml:space="preserve">NY: </w:t>
      </w:r>
      <w:r>
        <w:rPr>
          <w:rFonts w:ascii="Arial Black" w:hAnsi="Arial Black"/>
          <w:b/>
          <w:sz w:val="28"/>
          <w:szCs w:val="28"/>
        </w:rPr>
        <w:t xml:space="preserve">CITY / </w:t>
      </w:r>
      <w:r w:rsidRPr="006F2B87">
        <w:rPr>
          <w:rFonts w:ascii="Arial Black" w:hAnsi="Arial Black"/>
          <w:b/>
          <w:sz w:val="28"/>
          <w:szCs w:val="28"/>
        </w:rPr>
        <w:t xml:space="preserve">EMS </w:t>
      </w:r>
      <w:r>
        <w:rPr>
          <w:rFonts w:ascii="Arial Black" w:hAnsi="Arial Black"/>
          <w:b/>
          <w:sz w:val="28"/>
          <w:szCs w:val="28"/>
        </w:rPr>
        <w:t xml:space="preserve">- </w:t>
      </w:r>
      <w:r w:rsidRPr="006F2B87">
        <w:rPr>
          <w:rFonts w:ascii="Arial Black" w:hAnsi="Arial Black"/>
          <w:b/>
          <w:sz w:val="28"/>
          <w:szCs w:val="28"/>
        </w:rPr>
        <w:t>NO “SPECIAL DUTY” TO PT –</w:t>
      </w:r>
      <w:r>
        <w:rPr>
          <w:rFonts w:ascii="Arial Black" w:hAnsi="Arial Black"/>
          <w:b/>
          <w:sz w:val="28"/>
          <w:szCs w:val="28"/>
        </w:rPr>
        <w:t xml:space="preserve"> </w:t>
      </w:r>
      <w:r w:rsidRPr="006F2B87">
        <w:rPr>
          <w:rFonts w:ascii="Arial Black" w:hAnsi="Arial Black"/>
          <w:b/>
          <w:sz w:val="28"/>
          <w:szCs w:val="28"/>
        </w:rPr>
        <w:t>IMMUNITY</w:t>
      </w:r>
      <w:r>
        <w:rPr>
          <w:rFonts w:ascii="Arial Black" w:hAnsi="Arial Black"/>
          <w:b/>
          <w:sz w:val="28"/>
          <w:szCs w:val="28"/>
        </w:rPr>
        <w:t xml:space="preserve"> </w:t>
      </w:r>
    </w:p>
    <w:p w14:paraId="625D5D4C" w14:textId="77777777" w:rsidR="008F24E3" w:rsidRDefault="008F24E3" w:rsidP="008F24E3">
      <w:pPr>
        <w:pStyle w:val="NoSpacing"/>
        <w:rPr>
          <w:bCs/>
        </w:rPr>
      </w:pPr>
    </w:p>
    <w:p w14:paraId="32D10567" w14:textId="77777777" w:rsidR="008F24E3" w:rsidRPr="008F24E3" w:rsidRDefault="008F24E3" w:rsidP="008F24E3">
      <w:pPr>
        <w:pStyle w:val="NoSpacing"/>
        <w:rPr>
          <w:rFonts w:ascii="Times New Roman" w:hAnsi="Times New Roman"/>
          <w:bCs/>
          <w:sz w:val="24"/>
          <w:szCs w:val="24"/>
        </w:rPr>
      </w:pPr>
      <w:r w:rsidRPr="008F24E3">
        <w:rPr>
          <w:rFonts w:ascii="Times New Roman" w:hAnsi="Times New Roman"/>
          <w:sz w:val="24"/>
          <w:szCs w:val="24"/>
        </w:rPr>
        <w:t xml:space="preserve">On May 5, 2025, in </w:t>
      </w:r>
      <w:proofErr w:type="spellStart"/>
      <w:r w:rsidRPr="008F24E3">
        <w:rPr>
          <w:rFonts w:ascii="Times New Roman" w:hAnsi="Times New Roman"/>
          <w:sz w:val="24"/>
          <w:szCs w:val="24"/>
          <w:u w:val="single"/>
        </w:rPr>
        <w:t>Treverys</w:t>
      </w:r>
      <w:proofErr w:type="spellEnd"/>
      <w:r w:rsidRPr="008F24E3">
        <w:rPr>
          <w:rFonts w:ascii="Times New Roman" w:hAnsi="Times New Roman"/>
          <w:sz w:val="24"/>
          <w:szCs w:val="24"/>
          <w:u w:val="single"/>
        </w:rPr>
        <w:t xml:space="preserve"> Scott, as Administrator of the Estate of Alger Scott, deceased v. City of Schenectady, the Schenectady Fire Department, and Mohawk Ambulance Service</w:t>
      </w:r>
      <w:r w:rsidRPr="008F24E3">
        <w:rPr>
          <w:rFonts w:ascii="Times New Roman" w:hAnsi="Times New Roman"/>
          <w:sz w:val="24"/>
          <w:szCs w:val="24"/>
        </w:rPr>
        <w:t xml:space="preserve">, Supreme Court Justice Thomas D. Buchana dismissed the complaint.  </w:t>
      </w:r>
    </w:p>
    <w:p w14:paraId="17C8FD43" w14:textId="77777777" w:rsidR="008F24E3" w:rsidRPr="008F24E3" w:rsidRDefault="008F24E3" w:rsidP="008F24E3">
      <w:pPr>
        <w:pStyle w:val="NoSpacing"/>
        <w:rPr>
          <w:rFonts w:ascii="Times New Roman" w:hAnsi="Times New Roman"/>
          <w:bCs/>
          <w:sz w:val="24"/>
          <w:szCs w:val="24"/>
        </w:rPr>
      </w:pPr>
    </w:p>
    <w:p w14:paraId="14A8B9B3" w14:textId="77777777" w:rsidR="008F24E3" w:rsidRPr="008F24E3" w:rsidRDefault="008F24E3" w:rsidP="008F24E3">
      <w:pPr>
        <w:pStyle w:val="NoSpacing"/>
        <w:rPr>
          <w:rFonts w:ascii="Times New Roman" w:hAnsi="Times New Roman"/>
          <w:bCs/>
          <w:sz w:val="24"/>
          <w:szCs w:val="24"/>
        </w:rPr>
      </w:pPr>
      <w:r w:rsidRPr="008F24E3">
        <w:rPr>
          <w:rFonts w:ascii="Times New Roman" w:hAnsi="Times New Roman"/>
          <w:sz w:val="24"/>
          <w:szCs w:val="24"/>
        </w:rPr>
        <w:t xml:space="preserve">The Court wrote: “This case arises from the actions of emergency response personnel from defendants Schenectady Fire Department and Mohawk Ambulance Service (‘Mohawk’), who were dispatched to Plaintiff's home in response to a 911 call. Emergency medical treatment was administered at the </w:t>
      </w:r>
      <w:proofErr w:type="gramStart"/>
      <w:r w:rsidRPr="008F24E3">
        <w:rPr>
          <w:rFonts w:ascii="Times New Roman" w:hAnsi="Times New Roman"/>
          <w:sz w:val="24"/>
          <w:szCs w:val="24"/>
        </w:rPr>
        <w:t>residence</w:t>
      </w:r>
      <w:proofErr w:type="gramEnd"/>
      <w:r w:rsidRPr="008F24E3">
        <w:rPr>
          <w:rFonts w:ascii="Times New Roman" w:hAnsi="Times New Roman"/>
          <w:sz w:val="24"/>
          <w:szCs w:val="24"/>
        </w:rPr>
        <w:t xml:space="preserve"> and Mr. Scott was transported to Ellis Hospital, where he passed away. *** The </w:t>
      </w:r>
      <w:proofErr w:type="gramStart"/>
      <w:r w:rsidRPr="008F24E3">
        <w:rPr>
          <w:rFonts w:ascii="Times New Roman" w:hAnsi="Times New Roman"/>
          <w:sz w:val="24"/>
          <w:szCs w:val="24"/>
        </w:rPr>
        <w:t>City</w:t>
      </w:r>
      <w:proofErr w:type="gramEnd"/>
      <w:r w:rsidRPr="008F24E3">
        <w:rPr>
          <w:rFonts w:ascii="Times New Roman" w:hAnsi="Times New Roman"/>
          <w:sz w:val="24"/>
          <w:szCs w:val="24"/>
        </w:rPr>
        <w:t xml:space="preserve"> alleges that the Complaint fails to state a cause of action (CPLR 3211[a][7]) because Plaintiff fails to plead the existence of a special duty running from the City to Plaintiff's decedent. *** The starting point for analysis of Plaintiff's claim against the </w:t>
      </w:r>
      <w:proofErr w:type="gramStart"/>
      <w:r w:rsidRPr="008F24E3">
        <w:rPr>
          <w:rFonts w:ascii="Times New Roman" w:hAnsi="Times New Roman"/>
          <w:sz w:val="24"/>
          <w:szCs w:val="24"/>
        </w:rPr>
        <w:t>City</w:t>
      </w:r>
      <w:proofErr w:type="gramEnd"/>
      <w:r w:rsidRPr="008F24E3">
        <w:rPr>
          <w:rFonts w:ascii="Times New Roman" w:hAnsi="Times New Roman"/>
          <w:sz w:val="24"/>
          <w:szCs w:val="24"/>
        </w:rPr>
        <w:t xml:space="preserve"> is to determine whether the </w:t>
      </w:r>
      <w:proofErr w:type="gramStart"/>
      <w:r w:rsidRPr="008F24E3">
        <w:rPr>
          <w:rFonts w:ascii="Times New Roman" w:hAnsi="Times New Roman"/>
          <w:sz w:val="24"/>
          <w:szCs w:val="24"/>
        </w:rPr>
        <w:t>City</w:t>
      </w:r>
      <w:proofErr w:type="gramEnd"/>
      <w:r w:rsidRPr="008F24E3">
        <w:rPr>
          <w:rFonts w:ascii="Times New Roman" w:hAnsi="Times New Roman"/>
          <w:sz w:val="24"/>
          <w:szCs w:val="24"/>
        </w:rPr>
        <w:t xml:space="preserve"> was involved in a proprietary function or a government function, as the answer to that question determines the standard to be applied. Providing emergency medical services has been established as a governmental function (</w:t>
      </w:r>
      <w:r w:rsidRPr="008F24E3">
        <w:rPr>
          <w:rFonts w:ascii="Times New Roman" w:hAnsi="Times New Roman"/>
          <w:i/>
          <w:iCs/>
          <w:sz w:val="24"/>
          <w:szCs w:val="24"/>
        </w:rPr>
        <w:t xml:space="preserve">Applewhite v. </w:t>
      </w:r>
      <w:proofErr w:type="spellStart"/>
      <w:r w:rsidRPr="008F24E3">
        <w:rPr>
          <w:rFonts w:ascii="Times New Roman" w:hAnsi="Times New Roman"/>
          <w:i/>
          <w:iCs/>
          <w:sz w:val="24"/>
          <w:szCs w:val="24"/>
        </w:rPr>
        <w:t>Accuhealth</w:t>
      </w:r>
      <w:proofErr w:type="spellEnd"/>
      <w:r w:rsidRPr="008F24E3">
        <w:rPr>
          <w:rFonts w:ascii="Times New Roman" w:hAnsi="Times New Roman"/>
          <w:i/>
          <w:iCs/>
          <w:sz w:val="24"/>
          <w:szCs w:val="24"/>
        </w:rPr>
        <w:t>, Inc.</w:t>
      </w:r>
      <w:r w:rsidRPr="008F24E3">
        <w:rPr>
          <w:rFonts w:ascii="Times New Roman" w:hAnsi="Times New Roman"/>
          <w:sz w:val="24"/>
          <w:szCs w:val="24"/>
        </w:rPr>
        <w:t xml:space="preserve">, 21 NY3d 420 [2013]). Therefore, </w:t>
      </w:r>
      <w:proofErr w:type="gramStart"/>
      <w:r w:rsidRPr="008F24E3">
        <w:rPr>
          <w:rFonts w:ascii="Times New Roman" w:hAnsi="Times New Roman"/>
          <w:sz w:val="24"/>
          <w:szCs w:val="24"/>
        </w:rPr>
        <w:t>in order to</w:t>
      </w:r>
      <w:proofErr w:type="gramEnd"/>
      <w:r w:rsidRPr="008F24E3">
        <w:rPr>
          <w:rFonts w:ascii="Times New Roman" w:hAnsi="Times New Roman"/>
          <w:sz w:val="24"/>
          <w:szCs w:val="24"/>
        </w:rPr>
        <w:t xml:space="preserve"> cast the </w:t>
      </w:r>
      <w:proofErr w:type="gramStart"/>
      <w:r w:rsidRPr="008F24E3">
        <w:rPr>
          <w:rFonts w:ascii="Times New Roman" w:hAnsi="Times New Roman"/>
          <w:sz w:val="24"/>
          <w:szCs w:val="24"/>
        </w:rPr>
        <w:t>City</w:t>
      </w:r>
      <w:proofErr w:type="gramEnd"/>
      <w:r w:rsidRPr="008F24E3">
        <w:rPr>
          <w:rFonts w:ascii="Times New Roman" w:hAnsi="Times New Roman"/>
          <w:sz w:val="24"/>
          <w:szCs w:val="24"/>
        </w:rPr>
        <w:t xml:space="preserve"> in negligence, Plaintiff must assert that the </w:t>
      </w:r>
      <w:proofErr w:type="gramStart"/>
      <w:r w:rsidRPr="008F24E3">
        <w:rPr>
          <w:rFonts w:ascii="Times New Roman" w:hAnsi="Times New Roman"/>
          <w:sz w:val="24"/>
          <w:szCs w:val="24"/>
        </w:rPr>
        <w:t>City</w:t>
      </w:r>
      <w:proofErr w:type="gramEnd"/>
      <w:r w:rsidRPr="008F24E3">
        <w:rPr>
          <w:rFonts w:ascii="Times New Roman" w:hAnsi="Times New Roman"/>
          <w:sz w:val="24"/>
          <w:szCs w:val="24"/>
        </w:rPr>
        <w:t xml:space="preserve"> owed Mr. Scott a ‘special </w:t>
      </w:r>
      <w:proofErr w:type="gramStart"/>
      <w:r w:rsidRPr="008F24E3">
        <w:rPr>
          <w:rFonts w:ascii="Times New Roman" w:hAnsi="Times New Roman"/>
          <w:sz w:val="24"/>
          <w:szCs w:val="24"/>
        </w:rPr>
        <w:t>duty’;</w:t>
      </w:r>
      <w:proofErr w:type="gramEnd"/>
      <w:r w:rsidRPr="008F24E3">
        <w:rPr>
          <w:rFonts w:ascii="Times New Roman" w:hAnsi="Times New Roman"/>
          <w:sz w:val="24"/>
          <w:szCs w:val="24"/>
        </w:rPr>
        <w:t xml:space="preserve"> that is, a duty beyond that owed </w:t>
      </w:r>
      <w:proofErr w:type="gramStart"/>
      <w:r w:rsidRPr="008F24E3">
        <w:rPr>
          <w:rFonts w:ascii="Times New Roman" w:hAnsi="Times New Roman"/>
          <w:sz w:val="24"/>
          <w:szCs w:val="24"/>
        </w:rPr>
        <w:t>to</w:t>
      </w:r>
      <w:proofErr w:type="gramEnd"/>
      <w:r w:rsidRPr="008F24E3">
        <w:rPr>
          <w:rFonts w:ascii="Times New Roman" w:hAnsi="Times New Roman"/>
          <w:sz w:val="24"/>
          <w:szCs w:val="24"/>
        </w:rPr>
        <w:t xml:space="preserve"> the public generally. A special duty can arise in three situations: (1) when the plaintiff belonged to a class for whose benefit a statute was enacted, (2) the government entity voluntarily assumed a duty to the plaintiff beyond what was owed to the public generally, and (3) the municipality took positive control of a known and dangerous safety condition (</w:t>
      </w:r>
      <w:r w:rsidRPr="008F24E3">
        <w:rPr>
          <w:rFonts w:ascii="Times New Roman" w:hAnsi="Times New Roman"/>
          <w:i/>
          <w:iCs/>
          <w:sz w:val="24"/>
          <w:szCs w:val="24"/>
        </w:rPr>
        <w:t>Id</w:t>
      </w:r>
      <w:r w:rsidRPr="008F24E3">
        <w:rPr>
          <w:rFonts w:ascii="Times New Roman" w:hAnsi="Times New Roman"/>
          <w:sz w:val="24"/>
          <w:szCs w:val="24"/>
        </w:rPr>
        <w:t xml:space="preserve">. at 426).  *** In the absence of a special duty, there is no viable claim of negligence (or negligent hiring or negligent retention, or negligent supervision) against the </w:t>
      </w:r>
      <w:proofErr w:type="gramStart"/>
      <w:r w:rsidRPr="008F24E3">
        <w:rPr>
          <w:rFonts w:ascii="Times New Roman" w:hAnsi="Times New Roman"/>
          <w:sz w:val="24"/>
          <w:szCs w:val="24"/>
        </w:rPr>
        <w:t>City</w:t>
      </w:r>
      <w:proofErr w:type="gramEnd"/>
      <w:r w:rsidRPr="008F24E3">
        <w:rPr>
          <w:rFonts w:ascii="Times New Roman" w:hAnsi="Times New Roman"/>
          <w:sz w:val="24"/>
          <w:szCs w:val="24"/>
        </w:rPr>
        <w:t xml:space="preserve">. Likewise, Mr. Scott would not have had a viable claim against the City had he survived the events at issue, so that Plaintiff's claim for wrongful death against the City also fails (EPTL §5-4.1).” </w:t>
      </w:r>
      <w:hyperlink r:id="rId2080" w:history="1">
        <w:r w:rsidRPr="008F24E3">
          <w:rPr>
            <w:rStyle w:val="Hyperlink"/>
            <w:rFonts w:ascii="Times New Roman" w:hAnsi="Times New Roman"/>
            <w:sz w:val="24"/>
            <w:szCs w:val="24"/>
          </w:rPr>
          <w:t>https://law.justia.com/cases/new-york/other-courts/2025/2025-ny-slip-op-50759-u.html</w:t>
        </w:r>
      </w:hyperlink>
      <w:r w:rsidRPr="008F24E3">
        <w:rPr>
          <w:rFonts w:ascii="Times New Roman" w:hAnsi="Times New Roman"/>
          <w:sz w:val="24"/>
          <w:szCs w:val="24"/>
        </w:rPr>
        <w:t xml:space="preserve"> </w:t>
      </w:r>
    </w:p>
    <w:p w14:paraId="1640355E" w14:textId="77777777" w:rsidR="00DC2632" w:rsidRPr="006F2B87" w:rsidRDefault="00DC2632" w:rsidP="007B7FD8">
      <w:pPr>
        <w:pStyle w:val="NoSpacing"/>
      </w:pPr>
    </w:p>
    <w:p w14:paraId="294D0B39" w14:textId="77777777" w:rsidR="00B53CC8" w:rsidRPr="00B53CC8" w:rsidRDefault="00B53CC8" w:rsidP="00B53CC8">
      <w:pPr>
        <w:pStyle w:val="NoSpacing"/>
        <w:rPr>
          <w:rFonts w:ascii="Times New Roman" w:hAnsi="Times New Roman"/>
          <w:b/>
          <w:bCs/>
          <w:sz w:val="24"/>
          <w:szCs w:val="24"/>
        </w:rPr>
      </w:pPr>
      <w:r w:rsidRPr="00B53CC8">
        <w:rPr>
          <w:rFonts w:ascii="Times New Roman" w:hAnsi="Times New Roman"/>
          <w:b/>
          <w:sz w:val="24"/>
          <w:szCs w:val="24"/>
        </w:rPr>
        <w:lastRenderedPageBreak/>
        <w:t>Legal Lesson Learned: The “special duty” doctrine protects government agencies when performing a governmental function.</w:t>
      </w:r>
    </w:p>
    <w:p w14:paraId="0BB45131" w14:textId="77777777" w:rsidR="00B53CC8" w:rsidRPr="00B53CC8" w:rsidRDefault="00B53CC8" w:rsidP="00B53CC8">
      <w:pPr>
        <w:pStyle w:val="NoSpacing"/>
        <w:rPr>
          <w:rFonts w:ascii="Times New Roman" w:hAnsi="Times New Roman"/>
          <w:b/>
          <w:bCs/>
          <w:sz w:val="24"/>
          <w:szCs w:val="24"/>
        </w:rPr>
      </w:pPr>
    </w:p>
    <w:p w14:paraId="4D394153" w14:textId="77777777" w:rsidR="007B7FD8" w:rsidRDefault="007B7FD8" w:rsidP="002B1283">
      <w:pPr>
        <w:rPr>
          <w:rFonts w:ascii="Arial Black" w:hAnsi="Arial Black"/>
          <w:b/>
          <w:bCs/>
          <w:sz w:val="28"/>
          <w:szCs w:val="28"/>
        </w:rPr>
      </w:pPr>
    </w:p>
    <w:p w14:paraId="42857FA7" w14:textId="0526A7BE" w:rsidR="00254EDF" w:rsidRDefault="00254EDF" w:rsidP="002B1283">
      <w:pPr>
        <w:rPr>
          <w:rFonts w:ascii="Arial Black" w:hAnsi="Arial Black"/>
          <w:b/>
          <w:bCs/>
          <w:sz w:val="28"/>
          <w:szCs w:val="28"/>
        </w:rPr>
      </w:pPr>
      <w:r>
        <w:rPr>
          <w:rFonts w:ascii="Arial Black" w:hAnsi="Arial Black"/>
          <w:b/>
          <w:bCs/>
          <w:sz w:val="28"/>
          <w:szCs w:val="28"/>
        </w:rPr>
        <w:t>13-21</w:t>
      </w:r>
      <w:r w:rsidR="00524647">
        <w:rPr>
          <w:rFonts w:ascii="Arial Black" w:hAnsi="Arial Black"/>
          <w:b/>
          <w:bCs/>
          <w:sz w:val="28"/>
          <w:szCs w:val="28"/>
        </w:rPr>
        <w:t>3</w:t>
      </w:r>
    </w:p>
    <w:p w14:paraId="13A972C3" w14:textId="10988EEF" w:rsidR="001C6208" w:rsidRPr="006F2B87" w:rsidRDefault="001C6208" w:rsidP="001C6208">
      <w:pPr>
        <w:pStyle w:val="NoSpacing"/>
        <w:rPr>
          <w:rFonts w:ascii="Arial Black" w:hAnsi="Arial Black"/>
          <w:sz w:val="28"/>
          <w:szCs w:val="28"/>
        </w:rPr>
      </w:pPr>
      <w:r w:rsidRPr="006F2B87">
        <w:rPr>
          <w:rFonts w:ascii="Arial Black" w:hAnsi="Arial Black"/>
          <w:sz w:val="28"/>
          <w:szCs w:val="28"/>
        </w:rPr>
        <w:t>A</w:t>
      </w:r>
      <w:r>
        <w:rPr>
          <w:rFonts w:ascii="Arial Black" w:hAnsi="Arial Black"/>
          <w:sz w:val="28"/>
          <w:szCs w:val="28"/>
        </w:rPr>
        <w:t>K</w:t>
      </w:r>
      <w:r w:rsidRPr="006F2B87">
        <w:rPr>
          <w:rFonts w:ascii="Arial Black" w:hAnsi="Arial Black"/>
          <w:sz w:val="28"/>
          <w:szCs w:val="28"/>
        </w:rPr>
        <w:t xml:space="preserve">: </w:t>
      </w:r>
      <w:r w:rsidR="003D1F16">
        <w:rPr>
          <w:rFonts w:ascii="Arial Black" w:hAnsi="Arial Black"/>
          <w:sz w:val="28"/>
          <w:szCs w:val="28"/>
        </w:rPr>
        <w:t xml:space="preserve">MUNICIPAL IMMUNITY – INCLUDES </w:t>
      </w:r>
      <w:r>
        <w:rPr>
          <w:rFonts w:ascii="Arial Black" w:hAnsi="Arial Black"/>
          <w:sz w:val="28"/>
          <w:szCs w:val="28"/>
        </w:rPr>
        <w:t>EMS RUN</w:t>
      </w:r>
      <w:r w:rsidR="003D1F16">
        <w:rPr>
          <w:rFonts w:ascii="Arial Black" w:hAnsi="Arial Black"/>
          <w:sz w:val="28"/>
          <w:szCs w:val="28"/>
        </w:rPr>
        <w:t>S</w:t>
      </w:r>
      <w:r>
        <w:rPr>
          <w:rFonts w:ascii="Arial Black" w:hAnsi="Arial Black"/>
          <w:sz w:val="28"/>
          <w:szCs w:val="28"/>
        </w:rPr>
        <w:t xml:space="preserve"> OUTSIDE CITY</w:t>
      </w:r>
    </w:p>
    <w:p w14:paraId="66A4509E" w14:textId="77777777" w:rsidR="001C6208" w:rsidRPr="006F2B87" w:rsidRDefault="001C6208" w:rsidP="001C6208">
      <w:pPr>
        <w:pStyle w:val="NoSpacing"/>
      </w:pPr>
    </w:p>
    <w:p w14:paraId="48B5BCED" w14:textId="77777777" w:rsidR="001C6208" w:rsidRPr="00215578" w:rsidRDefault="001C6208" w:rsidP="001C6208">
      <w:pPr>
        <w:pStyle w:val="NoSpacing"/>
        <w:rPr>
          <w:rFonts w:ascii="Times New Roman" w:hAnsi="Times New Roman"/>
          <w:sz w:val="24"/>
          <w:szCs w:val="24"/>
        </w:rPr>
      </w:pPr>
      <w:r w:rsidRPr="00215578">
        <w:rPr>
          <w:rFonts w:ascii="Times New Roman" w:hAnsi="Times New Roman"/>
          <w:sz w:val="24"/>
          <w:szCs w:val="24"/>
        </w:rPr>
        <w:t xml:space="preserve">On May 2, 2025, in </w:t>
      </w:r>
      <w:r w:rsidRPr="00215578">
        <w:rPr>
          <w:rFonts w:ascii="Times New Roman" w:hAnsi="Times New Roman"/>
          <w:sz w:val="24"/>
          <w:szCs w:val="24"/>
          <w:u w:val="single"/>
        </w:rPr>
        <w:t>John D. Richon v. City of Nome, Allen Wright, and Jackie L. Reader</w:t>
      </w:r>
      <w:r w:rsidRPr="00215578">
        <w:rPr>
          <w:rFonts w:ascii="Times New Roman" w:hAnsi="Times New Roman"/>
          <w:sz w:val="24"/>
          <w:szCs w:val="24"/>
        </w:rPr>
        <w:t>, the Supreme Court of Alaska held (5 to 0) that trial court properly granted summary judgment to the city and the EMS personnel; the run was outside the city limits and under a unique Alaska statute there is no liability for “gratuitous extension of municipal services” even if the patient was charged for services. The ambulance department billed Rochon for its emergency services $1,775, which included base fee of $725 for advanced life support and $15 for each mile the ambulance travelled.  </w:t>
      </w:r>
    </w:p>
    <w:p w14:paraId="7F1DAFC7" w14:textId="77777777" w:rsidR="001C6208" w:rsidRPr="00215578" w:rsidRDefault="001C6208" w:rsidP="001C6208">
      <w:pPr>
        <w:pStyle w:val="NoSpacing"/>
        <w:rPr>
          <w:rFonts w:ascii="Times New Roman" w:hAnsi="Times New Roman"/>
          <w:sz w:val="24"/>
          <w:szCs w:val="24"/>
        </w:rPr>
      </w:pPr>
    </w:p>
    <w:p w14:paraId="30ED63C6" w14:textId="77777777" w:rsidR="001C6208" w:rsidRPr="00215578" w:rsidRDefault="001C6208" w:rsidP="001C6208">
      <w:pPr>
        <w:pStyle w:val="NoSpacing"/>
        <w:rPr>
          <w:rFonts w:ascii="Times New Roman" w:hAnsi="Times New Roman"/>
          <w:sz w:val="24"/>
          <w:szCs w:val="24"/>
        </w:rPr>
      </w:pPr>
      <w:r w:rsidRPr="00215578">
        <w:rPr>
          <w:rFonts w:ascii="Times New Roman" w:hAnsi="Times New Roman"/>
          <w:sz w:val="24"/>
          <w:szCs w:val="24"/>
        </w:rPr>
        <w:t xml:space="preserve">The Court wrote:  “It does not appear that any other state includes ‘extraterritorial’ in its municipal immunity statute. However, many states protect those who provide emergency care ‘gratuitously and in good faith’ from liability for damages resulting from that service.  These laws are generally referred to as ‘Good Samaritan laws.’ Such laws were created because common law did not require strangers to help people needing emergency assistance. But if someone chose to help another and the emergency assistance went wrong, the rescuer could be sued. Good Samaritan laws were passed to encourage rescues by eliminating the threat of liability. Courts outside Alaska that have interpreted these laws conclude that they protect rescuers who were under no duty to act.” </w:t>
      </w:r>
      <w:hyperlink r:id="rId2081" w:history="1">
        <w:r w:rsidRPr="00215578">
          <w:rPr>
            <w:rStyle w:val="Hyperlink"/>
            <w:rFonts w:ascii="Times New Roman" w:hAnsi="Times New Roman"/>
            <w:sz w:val="24"/>
            <w:szCs w:val="24"/>
          </w:rPr>
          <w:t>https://caselaw.findlaw.com/court/ak-supreme-court/117230404.html</w:t>
        </w:r>
      </w:hyperlink>
      <w:r w:rsidRPr="00215578">
        <w:rPr>
          <w:rFonts w:ascii="Times New Roman" w:hAnsi="Times New Roman"/>
          <w:sz w:val="24"/>
          <w:szCs w:val="24"/>
        </w:rPr>
        <w:t xml:space="preserve"> </w:t>
      </w:r>
    </w:p>
    <w:p w14:paraId="1E196DC9" w14:textId="77777777" w:rsidR="001C6208" w:rsidRPr="006F2B87" w:rsidRDefault="001C6208" w:rsidP="001C6208">
      <w:pPr>
        <w:pStyle w:val="NoSpacing"/>
      </w:pPr>
    </w:p>
    <w:p w14:paraId="16B4E7AF" w14:textId="77777777" w:rsidR="00467FCE" w:rsidRPr="00254EDF" w:rsidRDefault="00467FCE" w:rsidP="00467FCE">
      <w:pPr>
        <w:pStyle w:val="NoSpacing"/>
        <w:rPr>
          <w:rFonts w:ascii="Times New Roman" w:hAnsi="Times New Roman"/>
          <w:b/>
          <w:bCs/>
          <w:sz w:val="24"/>
          <w:szCs w:val="24"/>
        </w:rPr>
      </w:pPr>
      <w:r w:rsidRPr="00254EDF">
        <w:rPr>
          <w:rFonts w:ascii="Times New Roman" w:hAnsi="Times New Roman"/>
          <w:b/>
          <w:sz w:val="24"/>
          <w:szCs w:val="24"/>
        </w:rPr>
        <w:t xml:space="preserve">Legal Lesson Learned: Alaska’s unique statute </w:t>
      </w:r>
      <w:r w:rsidRPr="00254EDF">
        <w:rPr>
          <w:rFonts w:ascii="Times New Roman" w:hAnsi="Times New Roman"/>
          <w:b/>
          <w:bCs/>
          <w:sz w:val="24"/>
          <w:szCs w:val="24"/>
        </w:rPr>
        <w:t xml:space="preserve">protects </w:t>
      </w:r>
      <w:r w:rsidRPr="00254EDF">
        <w:rPr>
          <w:rFonts w:ascii="Times New Roman" w:hAnsi="Times New Roman"/>
          <w:b/>
          <w:sz w:val="24"/>
          <w:szCs w:val="24"/>
        </w:rPr>
        <w:t>municipalities and EMS personal from liability for ordinary negligence claims.  When using a backboard, strap down the patient and consider calling  an Air Ambulance to the scene instead of driving 35 miles on gravel road.</w:t>
      </w:r>
    </w:p>
    <w:p w14:paraId="3528DFC5" w14:textId="77777777" w:rsidR="00467FCE" w:rsidRPr="00254EDF" w:rsidRDefault="00467FCE" w:rsidP="00467FCE">
      <w:pPr>
        <w:pStyle w:val="NoSpacing"/>
        <w:rPr>
          <w:rFonts w:ascii="Times New Roman" w:hAnsi="Times New Roman"/>
          <w:sz w:val="24"/>
          <w:szCs w:val="24"/>
        </w:rPr>
      </w:pPr>
    </w:p>
    <w:p w14:paraId="7C1D4F12" w14:textId="77777777" w:rsidR="00467FCE" w:rsidRPr="00254EDF" w:rsidRDefault="00467FCE" w:rsidP="00467FCE">
      <w:pPr>
        <w:pStyle w:val="NoSpacing"/>
        <w:ind w:left="720"/>
        <w:rPr>
          <w:rFonts w:ascii="Times New Roman" w:hAnsi="Times New Roman"/>
          <w:sz w:val="24"/>
          <w:szCs w:val="24"/>
        </w:rPr>
      </w:pPr>
      <w:r w:rsidRPr="00254EDF">
        <w:rPr>
          <w:rFonts w:ascii="Times New Roman" w:hAnsi="Times New Roman"/>
          <w:sz w:val="24"/>
          <w:szCs w:val="24"/>
        </w:rPr>
        <w:t>Note:  The City’s attorneys made an “offer of judgment” to settle the case for $7.500. The plaintiff rejected that offer and now must reimburse City for attorney’s fees from the date of the offer. “Footnote 4: Under this rule, if the opposing party declines the offer and then receives a judgment that is 90% of the offer or less, it must pay a percentage of the offering party's attorney's fees. Alaska R. Civ. P. 68(a)-(b).”</w:t>
      </w:r>
    </w:p>
    <w:p w14:paraId="0B6F62D3" w14:textId="77777777" w:rsidR="00467FCE" w:rsidRPr="00254EDF" w:rsidRDefault="00467FCE" w:rsidP="00467FCE">
      <w:pPr>
        <w:pStyle w:val="NoSpacing"/>
        <w:rPr>
          <w:rFonts w:ascii="Times New Roman" w:hAnsi="Times New Roman"/>
          <w:sz w:val="24"/>
          <w:szCs w:val="24"/>
        </w:rPr>
      </w:pPr>
    </w:p>
    <w:p w14:paraId="17EC9C2D" w14:textId="77777777" w:rsidR="007B7FD8" w:rsidRDefault="007B7FD8" w:rsidP="002B1283">
      <w:pPr>
        <w:rPr>
          <w:rFonts w:ascii="Arial Black" w:hAnsi="Arial Black"/>
          <w:b/>
          <w:bCs/>
          <w:sz w:val="28"/>
          <w:szCs w:val="28"/>
        </w:rPr>
      </w:pPr>
    </w:p>
    <w:p w14:paraId="70D02C2D" w14:textId="447653FB" w:rsidR="00BA7C2E" w:rsidRDefault="00BA7C2E" w:rsidP="002B1283">
      <w:pPr>
        <w:rPr>
          <w:rFonts w:ascii="Arial Black" w:hAnsi="Arial Black"/>
          <w:b/>
          <w:bCs/>
          <w:sz w:val="28"/>
          <w:szCs w:val="28"/>
        </w:rPr>
      </w:pPr>
      <w:r>
        <w:rPr>
          <w:rFonts w:ascii="Arial Black" w:hAnsi="Arial Black"/>
          <w:b/>
          <w:bCs/>
          <w:sz w:val="28"/>
          <w:szCs w:val="28"/>
        </w:rPr>
        <w:t>13-21</w:t>
      </w:r>
      <w:r w:rsidR="00524647">
        <w:rPr>
          <w:rFonts w:ascii="Arial Black" w:hAnsi="Arial Black"/>
          <w:b/>
          <w:bCs/>
          <w:sz w:val="28"/>
          <w:szCs w:val="28"/>
        </w:rPr>
        <w:t>2</w:t>
      </w:r>
    </w:p>
    <w:p w14:paraId="5CDE112A" w14:textId="7F804292" w:rsidR="00940FEF" w:rsidRPr="00564629" w:rsidRDefault="00940FEF" w:rsidP="00940FEF">
      <w:pPr>
        <w:rPr>
          <w:rFonts w:ascii="Arial Black" w:hAnsi="Arial Black"/>
          <w:b/>
          <w:sz w:val="28"/>
          <w:szCs w:val="28"/>
        </w:rPr>
      </w:pPr>
      <w:r>
        <w:rPr>
          <w:rFonts w:ascii="Arial Black" w:hAnsi="Arial Black"/>
          <w:b/>
          <w:sz w:val="28"/>
          <w:szCs w:val="28"/>
        </w:rPr>
        <w:t xml:space="preserve">CA: AMR LOSES COUNTY CONTRACT – </w:t>
      </w:r>
      <w:r w:rsidR="00882D61">
        <w:rPr>
          <w:rFonts w:ascii="Arial Black" w:hAnsi="Arial Black"/>
          <w:b/>
          <w:sz w:val="28"/>
          <w:szCs w:val="28"/>
        </w:rPr>
        <w:t>NO</w:t>
      </w:r>
      <w:r w:rsidR="003101E1">
        <w:rPr>
          <w:rFonts w:ascii="Arial Black" w:hAnsi="Arial Black"/>
          <w:b/>
          <w:sz w:val="28"/>
          <w:szCs w:val="28"/>
        </w:rPr>
        <w:t>T</w:t>
      </w:r>
      <w:r w:rsidR="00882D61">
        <w:rPr>
          <w:rFonts w:ascii="Arial Black" w:hAnsi="Arial Black"/>
          <w:b/>
          <w:sz w:val="28"/>
          <w:szCs w:val="28"/>
        </w:rPr>
        <w:t xml:space="preserve"> FED ANTITUST </w:t>
      </w:r>
      <w:r>
        <w:rPr>
          <w:rFonts w:ascii="Arial Black" w:hAnsi="Arial Black"/>
          <w:b/>
          <w:sz w:val="28"/>
          <w:szCs w:val="28"/>
        </w:rPr>
        <w:t>CASE</w:t>
      </w:r>
    </w:p>
    <w:p w14:paraId="4E45534C" w14:textId="77777777" w:rsidR="00940FEF" w:rsidRPr="00940FEF" w:rsidRDefault="00940FEF" w:rsidP="00940FEF">
      <w:pPr>
        <w:rPr>
          <w:rFonts w:ascii="Times New Roman" w:hAnsi="Times New Roman"/>
          <w:bCs/>
          <w:sz w:val="24"/>
          <w:szCs w:val="24"/>
        </w:rPr>
      </w:pPr>
      <w:r w:rsidRPr="00940FEF">
        <w:rPr>
          <w:rFonts w:ascii="Times New Roman" w:hAnsi="Times New Roman"/>
          <w:sz w:val="24"/>
          <w:szCs w:val="24"/>
        </w:rPr>
        <w:t xml:space="preserve">On April 30, 2025, in </w:t>
      </w:r>
      <w:r w:rsidRPr="00940FEF">
        <w:rPr>
          <w:rFonts w:ascii="Times New Roman" w:hAnsi="Times New Roman"/>
          <w:sz w:val="24"/>
          <w:szCs w:val="24"/>
          <w:u w:val="single"/>
        </w:rPr>
        <w:t>American Medical Response of Inland Empire v. County of San Bernardino,</w:t>
      </w:r>
      <w:r w:rsidRPr="00940FEF">
        <w:rPr>
          <w:rFonts w:ascii="Times New Roman" w:hAnsi="Times New Roman"/>
          <w:sz w:val="24"/>
          <w:szCs w:val="24"/>
        </w:rPr>
        <w:t xml:space="preserve"> the U.S. Court of Appeals for the 9</w:t>
      </w:r>
      <w:r w:rsidRPr="00940FEF">
        <w:rPr>
          <w:rFonts w:ascii="Times New Roman" w:hAnsi="Times New Roman"/>
          <w:sz w:val="24"/>
          <w:szCs w:val="24"/>
          <w:vertAlign w:val="superscript"/>
        </w:rPr>
        <w:t>th</w:t>
      </w:r>
      <w:r w:rsidRPr="00940FEF">
        <w:rPr>
          <w:rFonts w:ascii="Times New Roman" w:hAnsi="Times New Roman"/>
          <w:sz w:val="24"/>
          <w:szCs w:val="24"/>
        </w:rPr>
        <w:t xml:space="preserve"> Circuit (San Francisco) held (3 to 0; not for publication decision) that the trial court properly dismissed the lawsuit claiming the County violated federal antitrust law by awarding all EMS services in a designated county area to Consolidated Fire Agencies (“</w:t>
      </w:r>
      <w:proofErr w:type="spellStart"/>
      <w:r w:rsidRPr="00940FEF">
        <w:rPr>
          <w:rFonts w:ascii="Times New Roman" w:hAnsi="Times New Roman"/>
          <w:sz w:val="24"/>
          <w:szCs w:val="24"/>
        </w:rPr>
        <w:t>ConFire</w:t>
      </w:r>
      <w:proofErr w:type="spellEnd"/>
      <w:r w:rsidRPr="00940FEF">
        <w:rPr>
          <w:rFonts w:ascii="Times New Roman" w:hAnsi="Times New Roman"/>
          <w:sz w:val="24"/>
          <w:szCs w:val="24"/>
        </w:rPr>
        <w:t xml:space="preserve">”), based in part on anticipated faster response times. AMR is also seeking relief in a state court case.  </w:t>
      </w:r>
      <w:hyperlink r:id="rId2082" w:history="1">
        <w:r w:rsidRPr="00940FEF">
          <w:rPr>
            <w:rStyle w:val="Hyperlink"/>
            <w:rFonts w:ascii="Times New Roman" w:hAnsi="Times New Roman"/>
            <w:sz w:val="24"/>
            <w:szCs w:val="24"/>
          </w:rPr>
          <w:t>https://cdn.ca9.uscourts.gov/datastore/memoranda/2025/04/30/24-3195.pdf</w:t>
        </w:r>
      </w:hyperlink>
      <w:r w:rsidRPr="00940FEF">
        <w:rPr>
          <w:rFonts w:ascii="Times New Roman" w:hAnsi="Times New Roman"/>
          <w:sz w:val="24"/>
          <w:szCs w:val="24"/>
        </w:rPr>
        <w:t xml:space="preserve"> </w:t>
      </w:r>
    </w:p>
    <w:p w14:paraId="0F6E9A2F" w14:textId="77777777" w:rsidR="000B3321" w:rsidRPr="003373B6" w:rsidRDefault="000B3321" w:rsidP="000B3321">
      <w:pPr>
        <w:pStyle w:val="NoSpacing"/>
        <w:rPr>
          <w:rFonts w:ascii="Times New Roman" w:hAnsi="Times New Roman"/>
          <w:b/>
          <w:bCs/>
          <w:sz w:val="24"/>
          <w:szCs w:val="24"/>
        </w:rPr>
      </w:pPr>
      <w:r w:rsidRPr="003373B6">
        <w:rPr>
          <w:rFonts w:ascii="Times New Roman" w:hAnsi="Times New Roman"/>
          <w:b/>
          <w:sz w:val="24"/>
          <w:szCs w:val="24"/>
        </w:rPr>
        <w:t xml:space="preserve">Legal Lesson Learned: Loss of an EMS contract </w:t>
      </w:r>
      <w:r w:rsidRPr="003373B6">
        <w:rPr>
          <w:rFonts w:ascii="Times New Roman" w:hAnsi="Times New Roman"/>
          <w:b/>
          <w:bCs/>
          <w:sz w:val="24"/>
          <w:szCs w:val="24"/>
        </w:rPr>
        <w:t xml:space="preserve">can be litigated </w:t>
      </w:r>
      <w:r w:rsidRPr="003373B6">
        <w:rPr>
          <w:rFonts w:ascii="Times New Roman" w:hAnsi="Times New Roman"/>
          <w:b/>
          <w:sz w:val="24"/>
          <w:szCs w:val="24"/>
        </w:rPr>
        <w:t xml:space="preserve">in state court. </w:t>
      </w:r>
    </w:p>
    <w:p w14:paraId="7C5C7665" w14:textId="77777777" w:rsidR="00BA7C2E" w:rsidRPr="003373B6" w:rsidRDefault="00BA7C2E" w:rsidP="002B1283">
      <w:pPr>
        <w:rPr>
          <w:rFonts w:ascii="Times New Roman" w:hAnsi="Times New Roman"/>
          <w:b/>
          <w:bCs/>
          <w:sz w:val="24"/>
          <w:szCs w:val="24"/>
        </w:rPr>
      </w:pPr>
    </w:p>
    <w:p w14:paraId="777084F7" w14:textId="77777777" w:rsidR="00BA7C2E" w:rsidRDefault="00BA7C2E" w:rsidP="002B1283">
      <w:pPr>
        <w:rPr>
          <w:rFonts w:ascii="Arial Black" w:hAnsi="Arial Black"/>
          <w:b/>
          <w:bCs/>
          <w:sz w:val="28"/>
          <w:szCs w:val="28"/>
        </w:rPr>
      </w:pPr>
    </w:p>
    <w:p w14:paraId="05B00ECD" w14:textId="6C344275" w:rsidR="00DB0A44" w:rsidRDefault="00DB0A44" w:rsidP="002B1283">
      <w:pPr>
        <w:rPr>
          <w:rFonts w:ascii="Arial Black" w:hAnsi="Arial Black"/>
          <w:b/>
          <w:bCs/>
          <w:sz w:val="28"/>
          <w:szCs w:val="28"/>
        </w:rPr>
      </w:pPr>
      <w:r>
        <w:rPr>
          <w:rFonts w:ascii="Arial Black" w:hAnsi="Arial Black"/>
          <w:b/>
          <w:bCs/>
          <w:sz w:val="28"/>
          <w:szCs w:val="28"/>
        </w:rPr>
        <w:t>13-21</w:t>
      </w:r>
      <w:r w:rsidR="00524647">
        <w:rPr>
          <w:rFonts w:ascii="Arial Black" w:hAnsi="Arial Black"/>
          <w:b/>
          <w:bCs/>
          <w:sz w:val="28"/>
          <w:szCs w:val="28"/>
        </w:rPr>
        <w:t>1</w:t>
      </w:r>
    </w:p>
    <w:p w14:paraId="0E80F0C8" w14:textId="77777777" w:rsidR="00233326" w:rsidRDefault="00233326" w:rsidP="00233326">
      <w:pPr>
        <w:rPr>
          <w:rFonts w:ascii="Arial Black" w:hAnsi="Arial Black"/>
          <w:sz w:val="28"/>
          <w:szCs w:val="28"/>
        </w:rPr>
      </w:pPr>
      <w:r>
        <w:rPr>
          <w:rFonts w:ascii="Arial Black" w:hAnsi="Arial Black"/>
          <w:sz w:val="28"/>
          <w:szCs w:val="28"/>
        </w:rPr>
        <w:t>NY: EMT FACING REV. LICENSE – CAN HAVE JURY TRIAL</w:t>
      </w:r>
    </w:p>
    <w:p w14:paraId="38EB5081" w14:textId="33A854B7" w:rsidR="00DB0A44" w:rsidRPr="00233326" w:rsidRDefault="00233326" w:rsidP="00233326">
      <w:pPr>
        <w:rPr>
          <w:rFonts w:ascii="Times New Roman" w:hAnsi="Times New Roman"/>
          <w:b/>
          <w:bCs/>
          <w:sz w:val="24"/>
          <w:szCs w:val="24"/>
        </w:rPr>
      </w:pPr>
      <w:r w:rsidRPr="00233326">
        <w:rPr>
          <w:rFonts w:ascii="Times New Roman" w:hAnsi="Times New Roman"/>
          <w:sz w:val="24"/>
          <w:szCs w:val="24"/>
        </w:rPr>
        <w:t xml:space="preserve">On April 14, 2025, in </w:t>
      </w:r>
      <w:r w:rsidRPr="00233326">
        <w:rPr>
          <w:rFonts w:ascii="Times New Roman" w:hAnsi="Times New Roman"/>
          <w:sz w:val="24"/>
          <w:szCs w:val="24"/>
          <w:u w:val="single"/>
        </w:rPr>
        <w:t>Justin Ball v. The New York State Department of Health</w:t>
      </w:r>
      <w:r w:rsidRPr="00233326">
        <w:rPr>
          <w:rFonts w:ascii="Times New Roman" w:hAnsi="Times New Roman"/>
          <w:b/>
          <w:sz w:val="24"/>
          <w:szCs w:val="24"/>
        </w:rPr>
        <w:t xml:space="preserve">,  </w:t>
      </w:r>
      <w:r w:rsidRPr="00233326">
        <w:rPr>
          <w:rFonts w:ascii="Times New Roman" w:hAnsi="Times New Roman"/>
          <w:sz w:val="24"/>
          <w:szCs w:val="24"/>
        </w:rPr>
        <w:t xml:space="preserve">N.Y. Supreme Court Justice Thomas Marcelle held that the EMT, facing loss of his license for improperly handling </w:t>
      </w:r>
      <w:proofErr w:type="gramStart"/>
      <w:r w:rsidRPr="00233326">
        <w:rPr>
          <w:rFonts w:ascii="Times New Roman" w:hAnsi="Times New Roman"/>
          <w:sz w:val="24"/>
          <w:szCs w:val="24"/>
        </w:rPr>
        <w:t>an</w:t>
      </w:r>
      <w:proofErr w:type="gramEnd"/>
      <w:r w:rsidRPr="00233326">
        <w:rPr>
          <w:rFonts w:ascii="Times New Roman" w:hAnsi="Times New Roman"/>
          <w:sz w:val="24"/>
          <w:szCs w:val="24"/>
        </w:rPr>
        <w:t xml:space="preserve"> patient with “scorn and ridicule” is entitled to a jury trial, rather than administrative hearing before the Department of Health. </w:t>
      </w:r>
      <w:hyperlink r:id="rId2083" w:history="1">
        <w:r w:rsidR="007807F7" w:rsidRPr="003870A5">
          <w:rPr>
            <w:rStyle w:val="Hyperlink"/>
            <w:rFonts w:ascii="Times New Roman" w:hAnsi="Times New Roman"/>
            <w:sz w:val="24"/>
            <w:szCs w:val="24"/>
          </w:rPr>
          <w:t>https://law.justia.com/cases/new-york/other-courts/2025/2025-ny-slip-op-25090.html</w:t>
        </w:r>
      </w:hyperlink>
      <w:r w:rsidR="007807F7">
        <w:rPr>
          <w:rFonts w:ascii="Times New Roman" w:hAnsi="Times New Roman"/>
          <w:sz w:val="24"/>
          <w:szCs w:val="24"/>
        </w:rPr>
        <w:t xml:space="preserve"> </w:t>
      </w:r>
    </w:p>
    <w:p w14:paraId="403649F7" w14:textId="77777777" w:rsidR="00BA7C2E" w:rsidRPr="00F62D6C" w:rsidRDefault="00BA7C2E" w:rsidP="00BA7C2E">
      <w:pPr>
        <w:rPr>
          <w:b/>
          <w:bCs/>
        </w:rPr>
      </w:pPr>
      <w:r w:rsidRPr="00BA7C2E">
        <w:rPr>
          <w:rFonts w:ascii="Times New Roman" w:hAnsi="Times New Roman"/>
          <w:b/>
          <w:sz w:val="24"/>
          <w:szCs w:val="24"/>
        </w:rPr>
        <w:t>Legal Lesson Learned:  A novel decision; State of NY is likely to appeal</w:t>
      </w:r>
      <w:r>
        <w:rPr>
          <w:b/>
        </w:rPr>
        <w:t xml:space="preserve">. </w:t>
      </w:r>
    </w:p>
    <w:p w14:paraId="50BD49B0" w14:textId="77777777" w:rsidR="00DB0A44" w:rsidRDefault="00DB0A44" w:rsidP="002B1283">
      <w:pPr>
        <w:rPr>
          <w:rFonts w:ascii="Arial Black" w:hAnsi="Arial Black"/>
          <w:b/>
          <w:bCs/>
          <w:sz w:val="28"/>
          <w:szCs w:val="28"/>
        </w:rPr>
      </w:pPr>
    </w:p>
    <w:p w14:paraId="6000CDD0" w14:textId="6CDED776" w:rsidR="00EB376E" w:rsidRDefault="00EF2CE3" w:rsidP="002B1283">
      <w:pPr>
        <w:rPr>
          <w:rFonts w:ascii="Arial Black" w:hAnsi="Arial Black"/>
          <w:b/>
          <w:bCs/>
          <w:sz w:val="28"/>
          <w:szCs w:val="28"/>
        </w:rPr>
      </w:pPr>
      <w:r>
        <w:rPr>
          <w:rFonts w:ascii="Arial Black" w:hAnsi="Arial Black"/>
          <w:b/>
          <w:bCs/>
          <w:sz w:val="28"/>
          <w:szCs w:val="28"/>
        </w:rPr>
        <w:t>13-2</w:t>
      </w:r>
      <w:r w:rsidR="00524647">
        <w:rPr>
          <w:rFonts w:ascii="Arial Black" w:hAnsi="Arial Black"/>
          <w:b/>
          <w:bCs/>
          <w:sz w:val="28"/>
          <w:szCs w:val="28"/>
        </w:rPr>
        <w:t>10</w:t>
      </w:r>
    </w:p>
    <w:p w14:paraId="15790D4E" w14:textId="77777777" w:rsidR="00FC77F5" w:rsidRPr="000F03D9" w:rsidRDefault="00FC77F5" w:rsidP="00FC77F5">
      <w:pPr>
        <w:pStyle w:val="NoSpacing"/>
        <w:rPr>
          <w:rFonts w:ascii="Arial Black" w:hAnsi="Arial Black"/>
          <w:sz w:val="28"/>
          <w:szCs w:val="28"/>
        </w:rPr>
      </w:pPr>
      <w:r w:rsidRPr="000F03D9">
        <w:rPr>
          <w:rFonts w:ascii="Arial Black" w:hAnsi="Arial Black"/>
          <w:sz w:val="28"/>
          <w:szCs w:val="28"/>
        </w:rPr>
        <w:t>DC: MEDIC FIRED – COVID - 6-YR OLD BOY NOT EVALUATED</w:t>
      </w:r>
    </w:p>
    <w:p w14:paraId="6000341D" w14:textId="77777777" w:rsidR="00FC77F5" w:rsidRPr="000F03D9" w:rsidRDefault="00FC77F5" w:rsidP="00FC77F5">
      <w:pPr>
        <w:pStyle w:val="NoSpacing"/>
        <w:rPr>
          <w:rFonts w:ascii="Arial Black" w:hAnsi="Arial Black"/>
          <w:sz w:val="28"/>
          <w:szCs w:val="28"/>
        </w:rPr>
      </w:pPr>
    </w:p>
    <w:p w14:paraId="3D0CA716" w14:textId="02DC2105" w:rsidR="00EF2CE3" w:rsidRPr="000F03D9" w:rsidRDefault="00FC77F5" w:rsidP="00FC77F5">
      <w:pPr>
        <w:rPr>
          <w:rFonts w:ascii="Times New Roman" w:hAnsi="Times New Roman"/>
          <w:b/>
          <w:bCs/>
          <w:sz w:val="24"/>
          <w:szCs w:val="24"/>
        </w:rPr>
      </w:pPr>
      <w:r w:rsidRPr="000F03D9">
        <w:rPr>
          <w:rFonts w:ascii="Times New Roman" w:hAnsi="Times New Roman"/>
          <w:sz w:val="24"/>
          <w:szCs w:val="24"/>
        </w:rPr>
        <w:t xml:space="preserve">On March 31, 2025, in </w:t>
      </w:r>
      <w:proofErr w:type="spellStart"/>
      <w:r w:rsidRPr="000F03D9">
        <w:rPr>
          <w:rFonts w:ascii="Times New Roman" w:hAnsi="Times New Roman"/>
          <w:sz w:val="24"/>
          <w:szCs w:val="24"/>
          <w:u w:val="single"/>
        </w:rPr>
        <w:t>Danaryae</w:t>
      </w:r>
      <w:proofErr w:type="spellEnd"/>
      <w:r w:rsidRPr="000F03D9">
        <w:rPr>
          <w:rFonts w:ascii="Times New Roman" w:hAnsi="Times New Roman"/>
          <w:sz w:val="24"/>
          <w:szCs w:val="24"/>
          <w:u w:val="single"/>
        </w:rPr>
        <w:t xml:space="preserve"> Lewis v. District of Columbia</w:t>
      </w:r>
      <w:r w:rsidRPr="000F03D9">
        <w:rPr>
          <w:rFonts w:ascii="Times New Roman" w:hAnsi="Times New Roman"/>
          <w:sz w:val="24"/>
          <w:szCs w:val="24"/>
        </w:rPr>
        <w:t xml:space="preserve">, U.S. District Court Judge Carl  J. Nichols, U.S. District Court for District of Columbia, denied the City’s motion for summary judgment.  She alleges that during COVID white and Hispanic EMS likewise did not put on PPE and enter homes to evaluate patients.  </w:t>
      </w:r>
      <w:hyperlink r:id="rId2084" w:history="1">
        <w:r w:rsidRPr="000F03D9">
          <w:rPr>
            <w:rStyle w:val="Hyperlink"/>
            <w:rFonts w:ascii="Times New Roman" w:hAnsi="Times New Roman"/>
            <w:sz w:val="24"/>
            <w:szCs w:val="24"/>
          </w:rPr>
          <w:t>https://public.fastcase.com/jaEE2PXzRXmZ99jOLMt1IuWGAIUpkkorrJl529LJ3awEx3zEi%2Byx9rGBI4x8eUTPQhULRQSbbdyTI3aaLB6SYlAXn8jJowYQjsFj%2FU%2FJFgg%3D?utm_medium=email&amp;_hsenc=p2ANqtz-83fSGxDadFaAqcLR0jtt8PGQuvqaI_epd1KGRFswTzY3809DqN4cnTFvjtIk9nPU87syAh5PxEK-y1xpj2mK9t5ywDKQ&amp;_hsmi=226712652&amp;utm_content=226712652&amp;utm_source=hs_email</w:t>
        </w:r>
      </w:hyperlink>
    </w:p>
    <w:p w14:paraId="2CCCE686" w14:textId="77777777" w:rsidR="000F03D9" w:rsidRPr="000F03D9" w:rsidRDefault="000F03D9" w:rsidP="000F03D9">
      <w:pPr>
        <w:pStyle w:val="NoSpacing"/>
        <w:rPr>
          <w:rFonts w:ascii="Times New Roman" w:hAnsi="Times New Roman"/>
          <w:b/>
          <w:bCs/>
          <w:sz w:val="24"/>
          <w:szCs w:val="24"/>
        </w:rPr>
      </w:pPr>
      <w:r w:rsidRPr="000F03D9">
        <w:rPr>
          <w:rFonts w:ascii="Times New Roman" w:hAnsi="Times New Roman"/>
          <w:b/>
          <w:sz w:val="24"/>
          <w:szCs w:val="24"/>
        </w:rPr>
        <w:t xml:space="preserve">Legal Lesson Learned: Case will now proceed to pre-trial discovery.  COVID protocols must be followed, including </w:t>
      </w:r>
      <w:proofErr w:type="gramStart"/>
      <w:r w:rsidRPr="000F03D9">
        <w:rPr>
          <w:rFonts w:ascii="Times New Roman" w:hAnsi="Times New Roman"/>
          <w:b/>
          <w:sz w:val="24"/>
          <w:szCs w:val="24"/>
        </w:rPr>
        <w:t>donning</w:t>
      </w:r>
      <w:proofErr w:type="gramEnd"/>
      <w:r w:rsidRPr="000F03D9">
        <w:rPr>
          <w:rFonts w:ascii="Times New Roman" w:hAnsi="Times New Roman"/>
          <w:b/>
          <w:sz w:val="24"/>
          <w:szCs w:val="24"/>
        </w:rPr>
        <w:t xml:space="preserve"> PPE if needed to assess a patient. </w:t>
      </w:r>
    </w:p>
    <w:p w14:paraId="4BB46571" w14:textId="77777777" w:rsidR="000F03D9" w:rsidRDefault="000F03D9" w:rsidP="000F03D9"/>
    <w:p w14:paraId="7A118820" w14:textId="77777777" w:rsidR="00EF2CE3" w:rsidRDefault="00EF2CE3" w:rsidP="00EB376E">
      <w:pPr>
        <w:pStyle w:val="NoSpacing"/>
        <w:rPr>
          <w:rFonts w:ascii="Arial Black" w:hAnsi="Arial Black"/>
          <w:b/>
          <w:bCs/>
          <w:sz w:val="28"/>
          <w:szCs w:val="28"/>
        </w:rPr>
      </w:pPr>
    </w:p>
    <w:p w14:paraId="5702318D" w14:textId="77777777" w:rsidR="00EF2CE3" w:rsidRDefault="00EF2CE3" w:rsidP="00EB376E">
      <w:pPr>
        <w:pStyle w:val="NoSpacing"/>
        <w:rPr>
          <w:rFonts w:ascii="Arial Black" w:hAnsi="Arial Black"/>
          <w:b/>
          <w:bCs/>
          <w:sz w:val="28"/>
          <w:szCs w:val="28"/>
        </w:rPr>
      </w:pPr>
    </w:p>
    <w:p w14:paraId="533B9C74" w14:textId="1BB87358" w:rsidR="00EF2CE3" w:rsidRDefault="00EB376E" w:rsidP="00EB376E">
      <w:pPr>
        <w:pStyle w:val="NoSpacing"/>
        <w:rPr>
          <w:rFonts w:ascii="Arial Black" w:hAnsi="Arial Black"/>
          <w:sz w:val="28"/>
          <w:szCs w:val="28"/>
        </w:rPr>
      </w:pPr>
      <w:r>
        <w:rPr>
          <w:rFonts w:ascii="Arial Black" w:hAnsi="Arial Black"/>
          <w:b/>
          <w:bCs/>
          <w:sz w:val="28"/>
          <w:szCs w:val="28"/>
        </w:rPr>
        <w:t>13-2</w:t>
      </w:r>
      <w:r w:rsidR="00524647">
        <w:rPr>
          <w:rFonts w:ascii="Arial Black" w:hAnsi="Arial Black"/>
          <w:b/>
          <w:bCs/>
          <w:sz w:val="28"/>
          <w:szCs w:val="28"/>
        </w:rPr>
        <w:t>09</w:t>
      </w:r>
      <w:r w:rsidRPr="00EB376E">
        <w:rPr>
          <w:rFonts w:ascii="Arial Black" w:hAnsi="Arial Black"/>
          <w:sz w:val="28"/>
          <w:szCs w:val="28"/>
        </w:rPr>
        <w:t xml:space="preserve"> </w:t>
      </w:r>
    </w:p>
    <w:p w14:paraId="3544D330" w14:textId="77777777" w:rsidR="00EF2CE3" w:rsidRDefault="00EF2CE3" w:rsidP="00EB376E">
      <w:pPr>
        <w:pStyle w:val="NoSpacing"/>
        <w:rPr>
          <w:rFonts w:ascii="Arial Black" w:hAnsi="Arial Black"/>
          <w:sz w:val="28"/>
          <w:szCs w:val="28"/>
        </w:rPr>
      </w:pPr>
    </w:p>
    <w:p w14:paraId="40B968C9" w14:textId="30EDFE62" w:rsidR="00EB376E" w:rsidRPr="00D864F0" w:rsidRDefault="00EB376E" w:rsidP="00EB376E">
      <w:pPr>
        <w:pStyle w:val="NoSpacing"/>
        <w:rPr>
          <w:rFonts w:ascii="Arial Black" w:hAnsi="Arial Black"/>
          <w:sz w:val="28"/>
          <w:szCs w:val="28"/>
        </w:rPr>
      </w:pPr>
      <w:r>
        <w:rPr>
          <w:rFonts w:ascii="Arial Black" w:hAnsi="Arial Black"/>
          <w:sz w:val="28"/>
          <w:szCs w:val="28"/>
        </w:rPr>
        <w:t>LA: POSS. STROKE – NO CONSENT NEEDED TO TRANSPORT</w:t>
      </w:r>
    </w:p>
    <w:p w14:paraId="23F5D10C" w14:textId="77777777" w:rsidR="00EB376E" w:rsidRDefault="00EB376E" w:rsidP="00EB376E">
      <w:pPr>
        <w:pStyle w:val="NoSpacing"/>
      </w:pPr>
    </w:p>
    <w:p w14:paraId="28616DA9" w14:textId="77777777" w:rsidR="00EB376E" w:rsidRPr="00AB754A" w:rsidRDefault="00EB376E" w:rsidP="00EB376E">
      <w:pPr>
        <w:pStyle w:val="NoSpacing"/>
        <w:rPr>
          <w:rFonts w:ascii="Times New Roman" w:hAnsi="Times New Roman"/>
          <w:sz w:val="24"/>
          <w:szCs w:val="24"/>
        </w:rPr>
      </w:pPr>
      <w:r w:rsidRPr="00AB754A">
        <w:rPr>
          <w:rFonts w:ascii="Times New Roman" w:hAnsi="Times New Roman"/>
          <w:sz w:val="24"/>
          <w:szCs w:val="24"/>
        </w:rPr>
        <w:t xml:space="preserve">On March 6, 2025, in </w:t>
      </w:r>
      <w:r w:rsidRPr="00AB754A">
        <w:rPr>
          <w:rFonts w:ascii="Times New Roman" w:hAnsi="Times New Roman"/>
          <w:sz w:val="24"/>
          <w:szCs w:val="24"/>
          <w:u w:val="single"/>
        </w:rPr>
        <w:t>Isiah Cole, Jr. and his wife, Karen Cole v. New Orleans Emergency Medical Services, et al</w:t>
      </w:r>
      <w:r w:rsidRPr="00AB754A">
        <w:rPr>
          <w:rFonts w:ascii="Times New Roman" w:hAnsi="Times New Roman"/>
          <w:sz w:val="24"/>
          <w:szCs w:val="24"/>
        </w:rPr>
        <w:t xml:space="preserve">., the Court of Appeals of Louisiana, Fourth Circuit, held (3 to 0) that the trial court on May 10, 2024 after a bench trial, found defendants not liable for transporting him to hospital without his consent, and for allegedly dropping him off flexible Reeves Stretcher going down a flight of stairs. “At the time the June 23, </w:t>
      </w:r>
      <w:proofErr w:type="gramStart"/>
      <w:r w:rsidRPr="00AB754A">
        <w:rPr>
          <w:rFonts w:ascii="Times New Roman" w:hAnsi="Times New Roman"/>
          <w:sz w:val="24"/>
          <w:szCs w:val="24"/>
        </w:rPr>
        <w:t>2017</w:t>
      </w:r>
      <w:proofErr w:type="gramEnd"/>
      <w:r w:rsidRPr="00AB754A">
        <w:rPr>
          <w:rFonts w:ascii="Times New Roman" w:hAnsi="Times New Roman"/>
          <w:sz w:val="24"/>
          <w:szCs w:val="24"/>
        </w:rPr>
        <w:t xml:space="preserve"> incident occurred, Mr. Cole was a 75-year-old man with </w:t>
      </w:r>
      <w:proofErr w:type="gramStart"/>
      <w:r w:rsidRPr="00AB754A">
        <w:rPr>
          <w:rFonts w:ascii="Times New Roman" w:hAnsi="Times New Roman"/>
          <w:sz w:val="24"/>
          <w:szCs w:val="24"/>
        </w:rPr>
        <w:t>a number of</w:t>
      </w:r>
      <w:proofErr w:type="gramEnd"/>
      <w:r w:rsidRPr="00AB754A">
        <w:rPr>
          <w:rFonts w:ascii="Times New Roman" w:hAnsi="Times New Roman"/>
          <w:sz w:val="24"/>
          <w:szCs w:val="24"/>
        </w:rPr>
        <w:t xml:space="preserve"> health problems. EMS evaluated him thoroughly and determined that a new onset of seizure and his altered mental status necessitated his transport to the hospital. As [Paramedic Derick] Blanchard testified, ‘Time is brain cells.’ The trial court found that “EMS </w:t>
      </w:r>
      <w:r w:rsidRPr="00AB754A">
        <w:rPr>
          <w:rFonts w:ascii="Times New Roman" w:hAnsi="Times New Roman"/>
          <w:sz w:val="24"/>
          <w:szCs w:val="24"/>
        </w:rPr>
        <w:lastRenderedPageBreak/>
        <w:t xml:space="preserve">adhered to proper protocol, and their determination that Mr. Cole did not have the capacity to refuse treatment did not violate the standard of care. After a review of the record and the applicable law, we agree and find that EMS acted pursuant to La. R.S. 40:1159.5 because they reasonably believed that any delay in diagnosis or treatment could have been harmful to Mr. Cole. We do not find that the trial court failed to recognize Mr. Cole’s constitutional and statutory rights; instead, we agree with the trial court that NOEMS could supersede those rights </w:t>
      </w:r>
      <w:proofErr w:type="gramStart"/>
      <w:r w:rsidRPr="00AB754A">
        <w:rPr>
          <w:rFonts w:ascii="Times New Roman" w:hAnsi="Times New Roman"/>
          <w:sz w:val="24"/>
          <w:szCs w:val="24"/>
        </w:rPr>
        <w:t>in order to</w:t>
      </w:r>
      <w:proofErr w:type="gramEnd"/>
      <w:r w:rsidRPr="00AB754A">
        <w:rPr>
          <w:rFonts w:ascii="Times New Roman" w:hAnsi="Times New Roman"/>
          <w:sz w:val="24"/>
          <w:szCs w:val="24"/>
        </w:rPr>
        <w:t xml:space="preserve"> prevent harm to Mr. Cole. Therefore, we find no error in the trial court’s </w:t>
      </w:r>
      <w:proofErr w:type="gramStart"/>
      <w:r w:rsidRPr="00AB754A">
        <w:rPr>
          <w:rFonts w:ascii="Times New Roman" w:hAnsi="Times New Roman"/>
          <w:sz w:val="24"/>
          <w:szCs w:val="24"/>
        </w:rPr>
        <w:t>finding</w:t>
      </w:r>
      <w:proofErr w:type="gramEnd"/>
      <w:r w:rsidRPr="00AB754A">
        <w:rPr>
          <w:rFonts w:ascii="Times New Roman" w:hAnsi="Times New Roman"/>
          <w:sz w:val="24"/>
          <w:szCs w:val="24"/>
        </w:rPr>
        <w:t xml:space="preserve">.  For the reasons discussed herein, we affirm the judgment of the trial court.” </w:t>
      </w:r>
      <w:hyperlink r:id="rId2085" w:history="1">
        <w:r w:rsidRPr="00AB754A">
          <w:rPr>
            <w:rStyle w:val="Hyperlink"/>
            <w:rFonts w:ascii="Times New Roman" w:hAnsi="Times New Roman"/>
            <w:sz w:val="24"/>
            <w:szCs w:val="24"/>
          </w:rPr>
          <w:t>https://cases.justia.com/louisiana/fourth-circuit-court-of-appeal/2025-2024-ca-0437.pdf?ts=1741310103</w:t>
        </w:r>
      </w:hyperlink>
      <w:r w:rsidRPr="00AB754A">
        <w:rPr>
          <w:rFonts w:ascii="Times New Roman" w:hAnsi="Times New Roman"/>
          <w:sz w:val="24"/>
          <w:szCs w:val="24"/>
        </w:rPr>
        <w:t xml:space="preserve"> </w:t>
      </w:r>
    </w:p>
    <w:p w14:paraId="064B67C8" w14:textId="77777777" w:rsidR="00AB754A" w:rsidRPr="00AB754A" w:rsidRDefault="00AB754A" w:rsidP="00AB754A">
      <w:pPr>
        <w:pStyle w:val="NoSpacing"/>
        <w:rPr>
          <w:rFonts w:ascii="Times New Roman" w:hAnsi="Times New Roman"/>
          <w:b/>
          <w:sz w:val="24"/>
          <w:szCs w:val="24"/>
        </w:rPr>
      </w:pPr>
    </w:p>
    <w:p w14:paraId="4EDB7B4C" w14:textId="29A7ACA4" w:rsidR="00AB754A" w:rsidRPr="00AB754A" w:rsidRDefault="00AB754A" w:rsidP="00AB754A">
      <w:pPr>
        <w:pStyle w:val="NoSpacing"/>
        <w:rPr>
          <w:rFonts w:ascii="Times New Roman" w:hAnsi="Times New Roman"/>
          <w:b/>
          <w:bCs/>
          <w:sz w:val="24"/>
          <w:szCs w:val="24"/>
        </w:rPr>
      </w:pPr>
      <w:r w:rsidRPr="00AB754A">
        <w:rPr>
          <w:rFonts w:ascii="Times New Roman" w:hAnsi="Times New Roman"/>
          <w:b/>
          <w:sz w:val="24"/>
          <w:szCs w:val="24"/>
        </w:rPr>
        <w:t>Legal Lesson Learned:  Stroke patient was properly transported to hospital;  state statute does not require patient consent “where an emergency exists.”</w:t>
      </w:r>
    </w:p>
    <w:p w14:paraId="1CDFC028" w14:textId="77777777" w:rsidR="00AB754A" w:rsidRDefault="00AB754A" w:rsidP="002B1283">
      <w:pPr>
        <w:rPr>
          <w:rFonts w:ascii="Arial Black" w:hAnsi="Arial Black"/>
          <w:b/>
          <w:bCs/>
          <w:sz w:val="28"/>
          <w:szCs w:val="28"/>
        </w:rPr>
      </w:pPr>
    </w:p>
    <w:p w14:paraId="19BC067E" w14:textId="77777777" w:rsidR="00EB376E" w:rsidRDefault="00EB376E" w:rsidP="002B1283">
      <w:pPr>
        <w:rPr>
          <w:rFonts w:ascii="Arial Black" w:hAnsi="Arial Black"/>
          <w:b/>
          <w:bCs/>
          <w:sz w:val="28"/>
          <w:szCs w:val="28"/>
        </w:rPr>
      </w:pPr>
    </w:p>
    <w:p w14:paraId="5788523D" w14:textId="4AEC9C62" w:rsidR="00062DA4" w:rsidRDefault="00062DA4" w:rsidP="002B1283">
      <w:pPr>
        <w:rPr>
          <w:rFonts w:ascii="Arial Black" w:hAnsi="Arial Black"/>
          <w:b/>
          <w:bCs/>
          <w:sz w:val="28"/>
          <w:szCs w:val="28"/>
        </w:rPr>
      </w:pPr>
      <w:r>
        <w:rPr>
          <w:rFonts w:ascii="Arial Black" w:hAnsi="Arial Black"/>
          <w:b/>
          <w:bCs/>
          <w:sz w:val="28"/>
          <w:szCs w:val="28"/>
        </w:rPr>
        <w:t xml:space="preserve">13 - </w:t>
      </w:r>
      <w:r w:rsidR="00F607C4">
        <w:rPr>
          <w:rFonts w:ascii="Arial Black" w:hAnsi="Arial Black"/>
          <w:b/>
          <w:bCs/>
          <w:sz w:val="28"/>
          <w:szCs w:val="28"/>
        </w:rPr>
        <w:t>20</w:t>
      </w:r>
      <w:r w:rsidR="00524647">
        <w:rPr>
          <w:rFonts w:ascii="Arial Black" w:hAnsi="Arial Black"/>
          <w:b/>
          <w:bCs/>
          <w:sz w:val="28"/>
          <w:szCs w:val="28"/>
        </w:rPr>
        <w:t>8</w:t>
      </w:r>
      <w:r>
        <w:rPr>
          <w:rFonts w:ascii="Arial Black" w:hAnsi="Arial Black"/>
          <w:b/>
          <w:bCs/>
          <w:sz w:val="28"/>
          <w:szCs w:val="28"/>
        </w:rPr>
        <w:t xml:space="preserve"> [also filed, Chap. 15]</w:t>
      </w:r>
    </w:p>
    <w:p w14:paraId="731220F6" w14:textId="7023D80F" w:rsidR="00062DA4" w:rsidRPr="000B7F2C" w:rsidRDefault="00062DA4" w:rsidP="00062DA4">
      <w:pPr>
        <w:rPr>
          <w:rFonts w:ascii="Arial Black" w:hAnsi="Arial Black"/>
          <w:sz w:val="28"/>
          <w:szCs w:val="28"/>
        </w:rPr>
      </w:pPr>
      <w:r w:rsidRPr="000B7F2C">
        <w:rPr>
          <w:rFonts w:ascii="Arial Black" w:hAnsi="Arial Black"/>
          <w:sz w:val="28"/>
          <w:szCs w:val="28"/>
        </w:rPr>
        <w:t>CO: MEDIC</w:t>
      </w:r>
      <w:r w:rsidR="00A931FC">
        <w:rPr>
          <w:rFonts w:ascii="Arial Black" w:hAnsi="Arial Black"/>
          <w:sz w:val="28"/>
          <w:szCs w:val="28"/>
        </w:rPr>
        <w:t xml:space="preserve"> </w:t>
      </w:r>
      <w:r w:rsidR="005467E9">
        <w:rPr>
          <w:rFonts w:ascii="Arial Black" w:hAnsi="Arial Black"/>
          <w:sz w:val="28"/>
          <w:szCs w:val="28"/>
        </w:rPr>
        <w:t xml:space="preserve">ON CRISIS RESP TEAM - </w:t>
      </w:r>
      <w:r w:rsidRPr="000B7F2C">
        <w:rPr>
          <w:rFonts w:ascii="Arial Black" w:hAnsi="Arial Black"/>
          <w:sz w:val="28"/>
          <w:szCs w:val="28"/>
        </w:rPr>
        <w:t xml:space="preserve">TACKLED </w:t>
      </w:r>
      <w:r w:rsidR="005467E9">
        <w:rPr>
          <w:rFonts w:ascii="Arial Black" w:hAnsi="Arial Black"/>
          <w:sz w:val="28"/>
          <w:szCs w:val="28"/>
        </w:rPr>
        <w:t>PT / DIED - IMMUNITY</w:t>
      </w:r>
    </w:p>
    <w:p w14:paraId="19876359" w14:textId="77777777" w:rsidR="00062DA4" w:rsidRPr="00CA2B3F" w:rsidRDefault="00062DA4" w:rsidP="00062DA4">
      <w:pPr>
        <w:rPr>
          <w:rFonts w:ascii="Times New Roman" w:hAnsi="Times New Roman"/>
          <w:sz w:val="24"/>
          <w:szCs w:val="24"/>
        </w:rPr>
      </w:pPr>
      <w:r w:rsidRPr="00CA2B3F">
        <w:rPr>
          <w:rFonts w:ascii="Times New Roman" w:hAnsi="Times New Roman"/>
          <w:sz w:val="24"/>
          <w:szCs w:val="24"/>
        </w:rPr>
        <w:t xml:space="preserve">On Feb. 28, 2025, in </w:t>
      </w:r>
      <w:r w:rsidRPr="00CA2B3F">
        <w:rPr>
          <w:rFonts w:ascii="Times New Roman" w:hAnsi="Times New Roman"/>
          <w:sz w:val="24"/>
          <w:szCs w:val="24"/>
          <w:u w:val="single"/>
        </w:rPr>
        <w:t>Estate of Kevin Dizmang v. Sean Reed, a Colorado Springs Police Officer and Nick Fischer, a Colorado Springs Paramedic</w:t>
      </w:r>
      <w:r w:rsidRPr="00CA2B3F">
        <w:rPr>
          <w:rFonts w:ascii="Times New Roman" w:hAnsi="Times New Roman"/>
          <w:sz w:val="24"/>
          <w:szCs w:val="24"/>
        </w:rPr>
        <w:t xml:space="preserve">, United States District Court Judge Charlotte N. Sweeney, U.S. District Court for District of Colorado, granted motions to dismiss the paramedic and the police officer.  The paramedic was on a three-person crisis response team (CRT) with a police officer and a licensed clinician.  The paramedic tackled the mental patient to prevent him walking back into the street and then render care. Both the paramedic and the police officer have qualified immunity.  </w:t>
      </w:r>
      <w:hyperlink r:id="rId2086" w:history="1">
        <w:r w:rsidRPr="00CA2B3F">
          <w:rPr>
            <w:rStyle w:val="Hyperlink"/>
            <w:rFonts w:ascii="Times New Roman" w:hAnsi="Times New Roman"/>
            <w:sz w:val="24"/>
            <w:szCs w:val="24"/>
          </w:rPr>
          <w:t>https://storage.courtlistener.com/recap/gov.uscourts.cod.231472/gov.uscourts.cod.231472.63.0.pdf</w:t>
        </w:r>
      </w:hyperlink>
      <w:r w:rsidRPr="00CA2B3F">
        <w:rPr>
          <w:rFonts w:ascii="Times New Roman" w:hAnsi="Times New Roman"/>
          <w:sz w:val="24"/>
          <w:szCs w:val="24"/>
        </w:rPr>
        <w:t xml:space="preserve"> </w:t>
      </w:r>
    </w:p>
    <w:p w14:paraId="79FB090C" w14:textId="77777777" w:rsidR="00062DA4" w:rsidRPr="00CA2B3F" w:rsidRDefault="00062DA4" w:rsidP="00062DA4">
      <w:pPr>
        <w:pStyle w:val="NoSpacing"/>
        <w:rPr>
          <w:rFonts w:ascii="Times New Roman" w:hAnsi="Times New Roman"/>
          <w:sz w:val="24"/>
          <w:szCs w:val="24"/>
        </w:rPr>
      </w:pPr>
      <w:r w:rsidRPr="00CA2B3F">
        <w:rPr>
          <w:rFonts w:ascii="Times New Roman" w:hAnsi="Times New Roman"/>
          <w:sz w:val="24"/>
          <w:szCs w:val="24"/>
        </w:rPr>
        <w:t xml:space="preserve">The Court described facts:  </w:t>
      </w:r>
    </w:p>
    <w:p w14:paraId="2E9708A6" w14:textId="77777777" w:rsidR="00062DA4" w:rsidRPr="00CA2B3F" w:rsidRDefault="00062DA4" w:rsidP="00062DA4">
      <w:pPr>
        <w:pStyle w:val="NoSpacing"/>
        <w:rPr>
          <w:rFonts w:ascii="Times New Roman" w:hAnsi="Times New Roman"/>
          <w:sz w:val="24"/>
          <w:szCs w:val="24"/>
        </w:rPr>
      </w:pPr>
    </w:p>
    <w:p w14:paraId="7333825F" w14:textId="77777777" w:rsidR="00062DA4" w:rsidRPr="00CA2B3F" w:rsidRDefault="00062DA4" w:rsidP="00062DA4">
      <w:pPr>
        <w:pStyle w:val="NoSpacing"/>
        <w:ind w:left="720"/>
        <w:rPr>
          <w:rFonts w:ascii="Times New Roman" w:hAnsi="Times New Roman"/>
          <w:sz w:val="24"/>
          <w:szCs w:val="24"/>
        </w:rPr>
      </w:pPr>
      <w:proofErr w:type="gramStart"/>
      <w:r w:rsidRPr="00CA2B3F">
        <w:rPr>
          <w:rFonts w:ascii="Times New Roman" w:hAnsi="Times New Roman"/>
          <w:sz w:val="24"/>
          <w:szCs w:val="24"/>
        </w:rPr>
        <w:t>“[Officer]Reed</w:t>
      </w:r>
      <w:proofErr w:type="gramEnd"/>
      <w:r w:rsidRPr="00CA2B3F">
        <w:rPr>
          <w:rFonts w:ascii="Times New Roman" w:hAnsi="Times New Roman"/>
          <w:sz w:val="24"/>
          <w:szCs w:val="24"/>
        </w:rPr>
        <w:t xml:space="preserve"> approached Mr. Dizmang, who walked back into traffic and bent over with his hands on his knees, displaying respiratory distress. Id. Mr. Dizmang said, ‘HELP me,’ then walked farther into the road…. Mr. Dizmang repeatedly </w:t>
      </w:r>
      <w:proofErr w:type="gramStart"/>
      <w:r w:rsidRPr="00CA2B3F">
        <w:rPr>
          <w:rFonts w:ascii="Times New Roman" w:hAnsi="Times New Roman"/>
          <w:sz w:val="24"/>
          <w:szCs w:val="24"/>
        </w:rPr>
        <w:t>said ‘please’</w:t>
      </w:r>
      <w:proofErr w:type="gramEnd"/>
      <w:r w:rsidRPr="00CA2B3F">
        <w:rPr>
          <w:rFonts w:ascii="Times New Roman" w:hAnsi="Times New Roman"/>
          <w:sz w:val="24"/>
          <w:szCs w:val="24"/>
        </w:rPr>
        <w:t xml:space="preserve"> and walked in circles in a ‘clearly </w:t>
      </w:r>
      <w:proofErr w:type="gramStart"/>
      <w:r w:rsidRPr="00CA2B3F">
        <w:rPr>
          <w:rFonts w:ascii="Times New Roman" w:hAnsi="Times New Roman"/>
          <w:sz w:val="24"/>
          <w:szCs w:val="24"/>
        </w:rPr>
        <w:t>confused</w:t>
      </w:r>
      <w:proofErr w:type="gramEnd"/>
      <w:r w:rsidRPr="00CA2B3F">
        <w:rPr>
          <w:rFonts w:ascii="Times New Roman" w:hAnsi="Times New Roman"/>
          <w:sz w:val="24"/>
          <w:szCs w:val="24"/>
        </w:rPr>
        <w:t xml:space="preserve"> and panicked state.’ … Defendant Reed then told Mr. Dizmang, </w:t>
      </w:r>
      <w:proofErr w:type="gramStart"/>
      <w:r w:rsidRPr="00CA2B3F">
        <w:rPr>
          <w:rFonts w:ascii="Times New Roman" w:hAnsi="Times New Roman"/>
          <w:sz w:val="24"/>
          <w:szCs w:val="24"/>
        </w:rPr>
        <w:t>‘sit</w:t>
      </w:r>
      <w:proofErr w:type="gramEnd"/>
      <w:r w:rsidRPr="00CA2B3F">
        <w:rPr>
          <w:rFonts w:ascii="Times New Roman" w:hAnsi="Times New Roman"/>
          <w:sz w:val="24"/>
          <w:szCs w:val="24"/>
        </w:rPr>
        <w:t xml:space="preserve"> down or put your hands behind your back.’</w:t>
      </w:r>
    </w:p>
    <w:p w14:paraId="1A1D6DF3" w14:textId="77777777" w:rsidR="00062DA4" w:rsidRPr="00CA2B3F" w:rsidRDefault="00062DA4" w:rsidP="00062DA4">
      <w:pPr>
        <w:pStyle w:val="NoSpacing"/>
        <w:rPr>
          <w:rFonts w:ascii="Times New Roman" w:hAnsi="Times New Roman"/>
          <w:sz w:val="24"/>
          <w:szCs w:val="24"/>
        </w:rPr>
      </w:pPr>
    </w:p>
    <w:p w14:paraId="760FCB6E" w14:textId="77777777" w:rsidR="00062DA4" w:rsidRPr="00CA2B3F" w:rsidRDefault="00062DA4" w:rsidP="00062DA4">
      <w:pPr>
        <w:pStyle w:val="NoSpacing"/>
        <w:ind w:firstLine="720"/>
        <w:rPr>
          <w:rFonts w:ascii="Times New Roman" w:hAnsi="Times New Roman"/>
          <w:sz w:val="24"/>
          <w:szCs w:val="24"/>
        </w:rPr>
      </w:pPr>
      <w:r w:rsidRPr="00CA2B3F">
        <w:rPr>
          <w:rFonts w:ascii="Times New Roman" w:hAnsi="Times New Roman"/>
          <w:sz w:val="24"/>
          <w:szCs w:val="24"/>
        </w:rPr>
        <w:t>***</w:t>
      </w:r>
    </w:p>
    <w:p w14:paraId="56FC3817" w14:textId="77777777" w:rsidR="00062DA4" w:rsidRPr="00CA2B3F" w:rsidRDefault="00062DA4" w:rsidP="00062DA4">
      <w:pPr>
        <w:pStyle w:val="NoSpacing"/>
        <w:ind w:left="720"/>
        <w:rPr>
          <w:rFonts w:ascii="Times New Roman" w:hAnsi="Times New Roman"/>
          <w:sz w:val="24"/>
          <w:szCs w:val="24"/>
        </w:rPr>
      </w:pPr>
      <w:r w:rsidRPr="00CA2B3F">
        <w:rPr>
          <w:rFonts w:ascii="Times New Roman" w:hAnsi="Times New Roman"/>
          <w:sz w:val="24"/>
          <w:szCs w:val="24"/>
        </w:rPr>
        <w:t xml:space="preserve">The parties </w:t>
      </w:r>
      <w:proofErr w:type="gramStart"/>
      <w:r w:rsidRPr="00CA2B3F">
        <w:rPr>
          <w:rFonts w:ascii="Times New Roman" w:hAnsi="Times New Roman"/>
          <w:sz w:val="24"/>
          <w:szCs w:val="24"/>
        </w:rPr>
        <w:t>dispute</w:t>
      </w:r>
      <w:proofErr w:type="gramEnd"/>
      <w:r w:rsidRPr="00CA2B3F">
        <w:rPr>
          <w:rFonts w:ascii="Times New Roman" w:hAnsi="Times New Roman"/>
          <w:sz w:val="24"/>
          <w:szCs w:val="24"/>
        </w:rPr>
        <w:t xml:space="preserve"> what happened next. [Court now references the plaintiff’s complaint.] Plaintiff alleges that, as Mr. Dizmang stood in the tree line approximately 20 feet from the road, [Paramedic] Fischer ‘suddenly and violently tackled’ him to the ground…. As alleged, Defendant Fischer put Mr. Dizmang into a chokehold by wrapping his arms around his neck while Defendant Reed handcuffed Mr. Dizmang’s hands behind his back….  Defendant Fischer maintained this hold for approximately 30 seconds…. Mr. Dizmang stopped moving.</w:t>
      </w:r>
    </w:p>
    <w:p w14:paraId="2500B162" w14:textId="77777777" w:rsidR="00062DA4" w:rsidRPr="00CA2B3F" w:rsidRDefault="00062DA4" w:rsidP="00062DA4">
      <w:pPr>
        <w:pStyle w:val="NoSpacing"/>
        <w:rPr>
          <w:rFonts w:ascii="Times New Roman" w:hAnsi="Times New Roman"/>
          <w:sz w:val="24"/>
          <w:szCs w:val="24"/>
        </w:rPr>
      </w:pPr>
    </w:p>
    <w:p w14:paraId="26A1CD14" w14:textId="77777777" w:rsidR="00062DA4" w:rsidRPr="00CA2B3F" w:rsidRDefault="00062DA4" w:rsidP="00062DA4">
      <w:pPr>
        <w:pStyle w:val="NoSpacing"/>
        <w:ind w:firstLine="720"/>
        <w:rPr>
          <w:rFonts w:ascii="Times New Roman" w:hAnsi="Times New Roman"/>
          <w:sz w:val="24"/>
          <w:szCs w:val="24"/>
        </w:rPr>
      </w:pPr>
      <w:r w:rsidRPr="00CA2B3F">
        <w:rPr>
          <w:rFonts w:ascii="Times New Roman" w:hAnsi="Times New Roman"/>
          <w:sz w:val="24"/>
          <w:szCs w:val="24"/>
        </w:rPr>
        <w:t>Defendant Fischer then rolled Mr. Dizmang face down on the ground, with his</w:t>
      </w:r>
    </w:p>
    <w:p w14:paraId="28452EE4" w14:textId="77777777" w:rsidR="00062DA4" w:rsidRPr="00CA2B3F" w:rsidRDefault="00062DA4" w:rsidP="00062DA4">
      <w:pPr>
        <w:pStyle w:val="NoSpacing"/>
        <w:ind w:left="720"/>
        <w:rPr>
          <w:rFonts w:ascii="Times New Roman" w:hAnsi="Times New Roman"/>
          <w:sz w:val="24"/>
          <w:szCs w:val="24"/>
        </w:rPr>
      </w:pPr>
      <w:r w:rsidRPr="00CA2B3F">
        <w:rPr>
          <w:rFonts w:ascii="Times New Roman" w:hAnsi="Times New Roman"/>
          <w:sz w:val="24"/>
          <w:szCs w:val="24"/>
        </w:rPr>
        <w:t xml:space="preserve">hands on the back of Mr. Dizmang’s neck and ‘driving his body weight downward, [Mr. Dizmang’s] neck and face into the ground. … Plaintiff alleges that Defendant Fischer stayed in that position, ‘with his body weight on [Mr. Dizmang’s] neck and back,’ for approximately forty-five seconds….Defendants Fischer and Reed then rolled Mr. Dizmang into a seated position….  At that point, Mr. Dizmang still had a faint pulse, but he was struggling to breathe and was unresponsive to questions and commands…. A bystander repeatedly told Mr. Dizmang, </w:t>
      </w:r>
      <w:proofErr w:type="gramStart"/>
      <w:r w:rsidRPr="00CA2B3F">
        <w:rPr>
          <w:rFonts w:ascii="Times New Roman" w:hAnsi="Times New Roman"/>
          <w:sz w:val="24"/>
          <w:szCs w:val="24"/>
        </w:rPr>
        <w:t>‘talk</w:t>
      </w:r>
      <w:proofErr w:type="gramEnd"/>
      <w:r w:rsidRPr="00CA2B3F">
        <w:rPr>
          <w:rFonts w:ascii="Times New Roman" w:hAnsi="Times New Roman"/>
          <w:sz w:val="24"/>
          <w:szCs w:val="24"/>
        </w:rPr>
        <w:t xml:space="preserve"> to me,’ but he never responded…. Defendant Reed called </w:t>
      </w:r>
      <w:r w:rsidRPr="00CA2B3F">
        <w:rPr>
          <w:rFonts w:ascii="Times New Roman" w:hAnsi="Times New Roman"/>
          <w:sz w:val="24"/>
          <w:szCs w:val="24"/>
        </w:rPr>
        <w:lastRenderedPageBreak/>
        <w:t>for an ambulance…. Defendants Reed and Fischer left Mr. Dizmang in handcuffs…. He remained handcuffed for nearly seven minutes before he was loaded onto a stretcher and moved into an ambulance…. As alleged,</w:t>
      </w:r>
    </w:p>
    <w:p w14:paraId="0124A445" w14:textId="77777777" w:rsidR="00062DA4" w:rsidRPr="00CA2B3F" w:rsidRDefault="00062DA4" w:rsidP="00062DA4">
      <w:pPr>
        <w:pStyle w:val="NoSpacing"/>
        <w:ind w:firstLine="720"/>
        <w:rPr>
          <w:rFonts w:ascii="Times New Roman" w:hAnsi="Times New Roman"/>
          <w:sz w:val="24"/>
          <w:szCs w:val="24"/>
        </w:rPr>
      </w:pPr>
      <w:r w:rsidRPr="00CA2B3F">
        <w:rPr>
          <w:rFonts w:ascii="Times New Roman" w:hAnsi="Times New Roman"/>
          <w:sz w:val="24"/>
          <w:szCs w:val="24"/>
        </w:rPr>
        <w:t>Defendant Fischer took no actions to provide medical care or resuscitate Mr. Dizmang….</w:t>
      </w:r>
    </w:p>
    <w:p w14:paraId="75BE8A75" w14:textId="77777777" w:rsidR="00062DA4" w:rsidRPr="00CA2B3F" w:rsidRDefault="00062DA4" w:rsidP="00062DA4">
      <w:pPr>
        <w:pStyle w:val="NoSpacing"/>
        <w:ind w:firstLine="720"/>
        <w:rPr>
          <w:rFonts w:ascii="Times New Roman" w:hAnsi="Times New Roman"/>
          <w:sz w:val="24"/>
          <w:szCs w:val="24"/>
        </w:rPr>
      </w:pPr>
      <w:r w:rsidRPr="00CA2B3F">
        <w:rPr>
          <w:rFonts w:ascii="Times New Roman" w:hAnsi="Times New Roman"/>
          <w:sz w:val="24"/>
          <w:szCs w:val="24"/>
        </w:rPr>
        <w:t>Defendant Fischer commented, ‘He’s not aspirating’ and ‘I want to attempt a</w:t>
      </w:r>
    </w:p>
    <w:p w14:paraId="29D2AED5" w14:textId="77777777" w:rsidR="00062DA4" w:rsidRPr="00CA2B3F" w:rsidRDefault="00062DA4" w:rsidP="00062DA4">
      <w:pPr>
        <w:pStyle w:val="NoSpacing"/>
        <w:ind w:firstLine="720"/>
        <w:rPr>
          <w:rFonts w:ascii="Times New Roman" w:hAnsi="Times New Roman"/>
          <w:sz w:val="24"/>
          <w:szCs w:val="24"/>
        </w:rPr>
      </w:pPr>
      <w:r w:rsidRPr="00CA2B3F">
        <w:rPr>
          <w:rFonts w:ascii="Times New Roman" w:hAnsi="Times New Roman"/>
          <w:sz w:val="24"/>
          <w:szCs w:val="24"/>
        </w:rPr>
        <w:t>nasal airway.’ …Medical staff attempted resuscitation measures once Mr. Dizmang was</w:t>
      </w:r>
    </w:p>
    <w:p w14:paraId="1289D7DB" w14:textId="77777777" w:rsidR="00062DA4" w:rsidRPr="00CA2B3F" w:rsidRDefault="00062DA4" w:rsidP="00062DA4">
      <w:pPr>
        <w:pStyle w:val="NoSpacing"/>
        <w:ind w:left="720"/>
        <w:rPr>
          <w:rFonts w:ascii="Times New Roman" w:hAnsi="Times New Roman"/>
          <w:sz w:val="24"/>
          <w:szCs w:val="24"/>
        </w:rPr>
      </w:pPr>
      <w:r w:rsidRPr="00CA2B3F">
        <w:rPr>
          <w:rFonts w:ascii="Times New Roman" w:hAnsi="Times New Roman"/>
          <w:sz w:val="24"/>
          <w:szCs w:val="24"/>
        </w:rPr>
        <w:t>transferred to the ambulance…. Once at the hospital, emergency room staff also attempted life-saving measures, but Mr. Dizmang was pronounced dead at 6:16 p.m.”</w:t>
      </w:r>
    </w:p>
    <w:p w14:paraId="4D2AA20F" w14:textId="77777777" w:rsidR="00062DA4" w:rsidRPr="00CA2B3F" w:rsidRDefault="00062DA4" w:rsidP="00062DA4">
      <w:pPr>
        <w:pStyle w:val="NoSpacing"/>
        <w:rPr>
          <w:rFonts w:ascii="Times New Roman" w:hAnsi="Times New Roman"/>
          <w:sz w:val="24"/>
          <w:szCs w:val="24"/>
        </w:rPr>
      </w:pPr>
    </w:p>
    <w:p w14:paraId="7797E772" w14:textId="77777777" w:rsidR="00062DA4" w:rsidRPr="00CA2B3F" w:rsidRDefault="00062DA4" w:rsidP="00062DA4">
      <w:pPr>
        <w:pStyle w:val="NoSpacing"/>
        <w:rPr>
          <w:rFonts w:ascii="Times New Roman" w:hAnsi="Times New Roman"/>
          <w:sz w:val="24"/>
          <w:szCs w:val="24"/>
        </w:rPr>
      </w:pPr>
      <w:r w:rsidRPr="00CA2B3F">
        <w:rPr>
          <w:rFonts w:ascii="Times New Roman" w:hAnsi="Times New Roman"/>
          <w:sz w:val="24"/>
          <w:szCs w:val="24"/>
        </w:rPr>
        <w:t>The Court held:</w:t>
      </w:r>
    </w:p>
    <w:p w14:paraId="199703FE" w14:textId="77777777" w:rsidR="00062DA4" w:rsidRPr="00CA2B3F" w:rsidRDefault="00062DA4" w:rsidP="00062DA4">
      <w:pPr>
        <w:pStyle w:val="NoSpacing"/>
        <w:rPr>
          <w:rFonts w:ascii="Times New Roman" w:hAnsi="Times New Roman"/>
          <w:sz w:val="24"/>
          <w:szCs w:val="24"/>
        </w:rPr>
      </w:pPr>
    </w:p>
    <w:p w14:paraId="5180D940" w14:textId="77777777" w:rsidR="00062DA4" w:rsidRPr="00CA2B3F" w:rsidRDefault="00062DA4" w:rsidP="00062DA4">
      <w:pPr>
        <w:pStyle w:val="NoSpacing"/>
        <w:ind w:firstLine="720"/>
        <w:rPr>
          <w:rFonts w:ascii="Times New Roman" w:hAnsi="Times New Roman"/>
          <w:sz w:val="24"/>
          <w:szCs w:val="24"/>
        </w:rPr>
      </w:pPr>
      <w:r w:rsidRPr="00CA2B3F">
        <w:rPr>
          <w:rFonts w:ascii="Times New Roman" w:hAnsi="Times New Roman"/>
          <w:sz w:val="24"/>
          <w:szCs w:val="24"/>
        </w:rPr>
        <w:t>“Here, based on the allegations in the complaint, it appears that [Paramedic] Fischer</w:t>
      </w:r>
    </w:p>
    <w:p w14:paraId="571B4C02" w14:textId="77777777" w:rsidR="00062DA4" w:rsidRPr="00CA2B3F" w:rsidRDefault="00062DA4" w:rsidP="00062DA4">
      <w:pPr>
        <w:pStyle w:val="NoSpacing"/>
        <w:ind w:firstLine="720"/>
        <w:rPr>
          <w:rFonts w:ascii="Times New Roman" w:hAnsi="Times New Roman"/>
          <w:sz w:val="24"/>
          <w:szCs w:val="24"/>
        </w:rPr>
      </w:pPr>
      <w:r w:rsidRPr="00CA2B3F">
        <w:rPr>
          <w:rFonts w:ascii="Times New Roman" w:hAnsi="Times New Roman"/>
          <w:sz w:val="24"/>
          <w:szCs w:val="24"/>
        </w:rPr>
        <w:t>was not attempting to arrest Mr. Dizmang or otherwise enforce the law; he was trying to</w:t>
      </w:r>
    </w:p>
    <w:p w14:paraId="4D3FC7CF" w14:textId="77777777" w:rsidR="00062DA4" w:rsidRPr="00CA2B3F" w:rsidRDefault="00062DA4" w:rsidP="00062DA4">
      <w:pPr>
        <w:pStyle w:val="NoSpacing"/>
        <w:ind w:left="720"/>
        <w:rPr>
          <w:rFonts w:ascii="Times New Roman" w:hAnsi="Times New Roman"/>
          <w:sz w:val="24"/>
          <w:szCs w:val="24"/>
        </w:rPr>
      </w:pPr>
      <w:r w:rsidRPr="00CA2B3F">
        <w:rPr>
          <w:rFonts w:ascii="Times New Roman" w:hAnsi="Times New Roman"/>
          <w:sz w:val="24"/>
          <w:szCs w:val="24"/>
        </w:rPr>
        <w:t xml:space="preserve">subdue him so that he could be properly treated…. </w:t>
      </w:r>
      <w:proofErr w:type="gramStart"/>
      <w:r w:rsidRPr="00CA2B3F">
        <w:rPr>
          <w:rFonts w:ascii="Times New Roman" w:hAnsi="Times New Roman"/>
          <w:sz w:val="24"/>
          <w:szCs w:val="24"/>
        </w:rPr>
        <w:t>It is clear that Mr. Dizmang</w:t>
      </w:r>
      <w:proofErr w:type="gramEnd"/>
      <w:r w:rsidRPr="00CA2B3F">
        <w:rPr>
          <w:rFonts w:ascii="Times New Roman" w:hAnsi="Times New Roman"/>
          <w:sz w:val="24"/>
          <w:szCs w:val="24"/>
        </w:rPr>
        <w:t xml:space="preserve"> needed </w:t>
      </w:r>
    </w:p>
    <w:p w14:paraId="22E13D4C" w14:textId="77777777" w:rsidR="00062DA4" w:rsidRPr="00CA2B3F" w:rsidRDefault="00062DA4" w:rsidP="00062DA4">
      <w:pPr>
        <w:pStyle w:val="NoSpacing"/>
        <w:ind w:left="720"/>
        <w:rPr>
          <w:rFonts w:ascii="Times New Roman" w:hAnsi="Times New Roman"/>
          <w:sz w:val="24"/>
          <w:szCs w:val="24"/>
        </w:rPr>
      </w:pPr>
      <w:r w:rsidRPr="00CA2B3F">
        <w:rPr>
          <w:rFonts w:ascii="Times New Roman" w:hAnsi="Times New Roman"/>
          <w:sz w:val="24"/>
          <w:szCs w:val="24"/>
        </w:rPr>
        <w:t>treatment and that Defendant Fischer was attempting to fulfill his role as a treatment provider.</w:t>
      </w:r>
    </w:p>
    <w:p w14:paraId="35F95212" w14:textId="77777777" w:rsidR="00062DA4" w:rsidRPr="00CA2B3F" w:rsidRDefault="00062DA4" w:rsidP="00062DA4">
      <w:pPr>
        <w:pStyle w:val="NoSpacing"/>
        <w:rPr>
          <w:rFonts w:ascii="Times New Roman" w:hAnsi="Times New Roman"/>
          <w:sz w:val="24"/>
          <w:szCs w:val="24"/>
        </w:rPr>
      </w:pPr>
    </w:p>
    <w:p w14:paraId="38CE3EA0" w14:textId="77777777" w:rsidR="00062DA4" w:rsidRPr="00CA2B3F" w:rsidRDefault="00062DA4" w:rsidP="00062DA4">
      <w:pPr>
        <w:pStyle w:val="NoSpacing"/>
        <w:ind w:firstLine="720"/>
        <w:rPr>
          <w:rFonts w:ascii="Times New Roman" w:hAnsi="Times New Roman"/>
          <w:sz w:val="24"/>
          <w:szCs w:val="24"/>
        </w:rPr>
      </w:pPr>
      <w:r w:rsidRPr="00CA2B3F">
        <w:rPr>
          <w:rFonts w:ascii="Times New Roman" w:hAnsi="Times New Roman"/>
          <w:sz w:val="24"/>
          <w:szCs w:val="24"/>
        </w:rPr>
        <w:t>***</w:t>
      </w:r>
    </w:p>
    <w:p w14:paraId="5B4561E8" w14:textId="77777777" w:rsidR="00062DA4" w:rsidRPr="00CA2B3F" w:rsidRDefault="00062DA4" w:rsidP="00062DA4">
      <w:pPr>
        <w:pStyle w:val="NoSpacing"/>
        <w:ind w:left="720"/>
        <w:rPr>
          <w:rFonts w:ascii="Times New Roman" w:hAnsi="Times New Roman"/>
          <w:sz w:val="24"/>
          <w:szCs w:val="24"/>
        </w:rPr>
      </w:pPr>
      <w:r w:rsidRPr="00CA2B3F">
        <w:rPr>
          <w:rFonts w:ascii="Times New Roman" w:hAnsi="Times New Roman"/>
          <w:sz w:val="24"/>
          <w:szCs w:val="24"/>
        </w:rPr>
        <w:t xml:space="preserve">Even if a paramedic’s attempt to provide treatment amounts to a violation of a constitutional right to be free from </w:t>
      </w:r>
      <w:proofErr w:type="gramStart"/>
      <w:r w:rsidRPr="00CA2B3F">
        <w:rPr>
          <w:rFonts w:ascii="Times New Roman" w:hAnsi="Times New Roman"/>
          <w:sz w:val="24"/>
          <w:szCs w:val="24"/>
        </w:rPr>
        <w:t>an unlawful</w:t>
      </w:r>
      <w:proofErr w:type="gramEnd"/>
      <w:r w:rsidRPr="00CA2B3F">
        <w:rPr>
          <w:rFonts w:ascii="Times New Roman" w:hAnsi="Times New Roman"/>
          <w:sz w:val="24"/>
          <w:szCs w:val="24"/>
        </w:rPr>
        <w:t xml:space="preserve"> seizure, the right was not clearly established. The Tenth Circuit has not opined on whether or in what circumstances a paramedic can effectuate a Fourth Amendment seizure…. Thus, the Court grants Defendant Fischer’s motion to dismiss and declines to exercise supplemental jurisdiction over state law claims brought here.</w:t>
      </w:r>
    </w:p>
    <w:p w14:paraId="0FC9DCB2" w14:textId="77777777" w:rsidR="00062DA4" w:rsidRPr="00CA2B3F" w:rsidRDefault="00062DA4" w:rsidP="00062DA4">
      <w:pPr>
        <w:pStyle w:val="NoSpacing"/>
        <w:rPr>
          <w:rFonts w:ascii="Times New Roman" w:hAnsi="Times New Roman"/>
          <w:sz w:val="24"/>
          <w:szCs w:val="24"/>
        </w:rPr>
      </w:pPr>
    </w:p>
    <w:p w14:paraId="4E246338" w14:textId="77777777" w:rsidR="00062DA4" w:rsidRPr="00CA2B3F" w:rsidRDefault="00062DA4" w:rsidP="00062DA4">
      <w:pPr>
        <w:pStyle w:val="NoSpacing"/>
        <w:ind w:firstLine="720"/>
        <w:rPr>
          <w:rFonts w:ascii="Times New Roman" w:hAnsi="Times New Roman"/>
          <w:sz w:val="24"/>
          <w:szCs w:val="24"/>
        </w:rPr>
      </w:pPr>
      <w:r w:rsidRPr="00CA2B3F">
        <w:rPr>
          <w:rFonts w:ascii="Times New Roman" w:hAnsi="Times New Roman"/>
          <w:sz w:val="24"/>
          <w:szCs w:val="24"/>
        </w:rPr>
        <w:t>***</w:t>
      </w:r>
    </w:p>
    <w:p w14:paraId="64FF2AEA" w14:textId="77777777" w:rsidR="00062DA4" w:rsidRPr="00CA2B3F" w:rsidRDefault="00062DA4" w:rsidP="00062DA4">
      <w:pPr>
        <w:pStyle w:val="NoSpacing"/>
        <w:rPr>
          <w:rFonts w:ascii="Times New Roman" w:hAnsi="Times New Roman"/>
          <w:sz w:val="24"/>
          <w:szCs w:val="24"/>
        </w:rPr>
      </w:pPr>
    </w:p>
    <w:p w14:paraId="2C1E4F77" w14:textId="77777777" w:rsidR="00062DA4" w:rsidRPr="00CA2B3F" w:rsidRDefault="00062DA4" w:rsidP="00062DA4">
      <w:pPr>
        <w:pStyle w:val="NoSpacing"/>
        <w:ind w:left="720"/>
        <w:rPr>
          <w:rFonts w:ascii="Times New Roman" w:hAnsi="Times New Roman"/>
          <w:sz w:val="24"/>
          <w:szCs w:val="24"/>
        </w:rPr>
      </w:pPr>
      <w:r w:rsidRPr="00CA2B3F">
        <w:rPr>
          <w:rFonts w:ascii="Times New Roman" w:hAnsi="Times New Roman"/>
          <w:sz w:val="24"/>
          <w:szCs w:val="24"/>
        </w:rPr>
        <w:t xml:space="preserve">[Police Officer] Reed is also entitled to qualified immunity based on the second prong. Plaintiff has not pointed to any Tenth Circuit precedent establishing a Fourth Amendment claim based on a failure to intervene in a paramedic’s alleged use of excessive </w:t>
      </w:r>
      <w:proofErr w:type="gramStart"/>
      <w:r w:rsidRPr="00CA2B3F">
        <w:rPr>
          <w:rFonts w:ascii="Times New Roman" w:hAnsi="Times New Roman"/>
          <w:sz w:val="24"/>
          <w:szCs w:val="24"/>
        </w:rPr>
        <w:t>force.”</w:t>
      </w:r>
      <w:proofErr w:type="gramEnd"/>
    </w:p>
    <w:p w14:paraId="21DB56C2" w14:textId="77777777" w:rsidR="00062DA4" w:rsidRPr="00CA2B3F" w:rsidRDefault="00062DA4" w:rsidP="00062DA4">
      <w:pPr>
        <w:pStyle w:val="NoSpacing"/>
        <w:rPr>
          <w:rFonts w:ascii="Times New Roman" w:hAnsi="Times New Roman"/>
          <w:sz w:val="24"/>
          <w:szCs w:val="24"/>
        </w:rPr>
      </w:pPr>
    </w:p>
    <w:p w14:paraId="769C11BC" w14:textId="0AE82026" w:rsidR="00062DA4" w:rsidRPr="00CA2B3F" w:rsidRDefault="00062DA4" w:rsidP="00062DA4">
      <w:pPr>
        <w:rPr>
          <w:rFonts w:ascii="Times New Roman" w:hAnsi="Times New Roman"/>
          <w:b/>
          <w:bCs/>
          <w:sz w:val="24"/>
          <w:szCs w:val="24"/>
        </w:rPr>
      </w:pPr>
      <w:r w:rsidRPr="00CA2B3F">
        <w:rPr>
          <w:rFonts w:ascii="Times New Roman" w:hAnsi="Times New Roman"/>
          <w:b/>
          <w:sz w:val="24"/>
          <w:szCs w:val="24"/>
        </w:rPr>
        <w:t xml:space="preserve">Legal Lesson Learned:  Critical Response Teams are a wonderful community asset; when subduing a mental </w:t>
      </w:r>
      <w:proofErr w:type="gramStart"/>
      <w:r w:rsidRPr="00CA2B3F">
        <w:rPr>
          <w:rFonts w:ascii="Times New Roman" w:hAnsi="Times New Roman"/>
          <w:b/>
          <w:sz w:val="24"/>
          <w:szCs w:val="24"/>
        </w:rPr>
        <w:t>patient</w:t>
      </w:r>
      <w:proofErr w:type="gramEnd"/>
      <w:r w:rsidRPr="00CA2B3F">
        <w:rPr>
          <w:rFonts w:ascii="Times New Roman" w:hAnsi="Times New Roman"/>
          <w:b/>
          <w:sz w:val="24"/>
          <w:szCs w:val="24"/>
        </w:rPr>
        <w:t xml:space="preserve"> it is helpful to have a member of the team videotape the conduct</w:t>
      </w:r>
      <w:r w:rsidR="008226AC">
        <w:rPr>
          <w:rFonts w:ascii="Times New Roman" w:hAnsi="Times New Roman"/>
          <w:b/>
          <w:sz w:val="24"/>
          <w:szCs w:val="24"/>
        </w:rPr>
        <w:t>.</w:t>
      </w:r>
    </w:p>
    <w:p w14:paraId="07AFF63B" w14:textId="77777777" w:rsidR="00D85226" w:rsidRDefault="00D85226" w:rsidP="002B1283">
      <w:pPr>
        <w:rPr>
          <w:rFonts w:ascii="Arial Black" w:hAnsi="Arial Black"/>
          <w:b/>
          <w:bCs/>
          <w:sz w:val="28"/>
          <w:szCs w:val="28"/>
        </w:rPr>
      </w:pPr>
    </w:p>
    <w:p w14:paraId="7302C3F2" w14:textId="04B3FB33" w:rsidR="003D0C4C" w:rsidRDefault="003D0C4C" w:rsidP="002B1283">
      <w:pPr>
        <w:rPr>
          <w:rFonts w:ascii="Arial Black" w:hAnsi="Arial Black"/>
          <w:b/>
          <w:bCs/>
          <w:sz w:val="28"/>
          <w:szCs w:val="28"/>
        </w:rPr>
      </w:pPr>
      <w:r>
        <w:rPr>
          <w:rFonts w:ascii="Arial Black" w:hAnsi="Arial Black"/>
          <w:b/>
          <w:bCs/>
          <w:sz w:val="28"/>
          <w:szCs w:val="28"/>
        </w:rPr>
        <w:t>13-20</w:t>
      </w:r>
      <w:r w:rsidR="00524647">
        <w:rPr>
          <w:rFonts w:ascii="Arial Black" w:hAnsi="Arial Black"/>
          <w:b/>
          <w:bCs/>
          <w:sz w:val="28"/>
          <w:szCs w:val="28"/>
        </w:rPr>
        <w:t>7</w:t>
      </w:r>
    </w:p>
    <w:p w14:paraId="1CDF1CA2" w14:textId="286C4C04" w:rsidR="003D0C4C" w:rsidRPr="000B7F2C" w:rsidRDefault="003D0C4C" w:rsidP="003D0C4C">
      <w:pPr>
        <w:rPr>
          <w:rFonts w:ascii="Arial Black" w:hAnsi="Arial Black"/>
          <w:sz w:val="28"/>
          <w:szCs w:val="28"/>
        </w:rPr>
      </w:pPr>
      <w:r w:rsidRPr="000B7F2C">
        <w:rPr>
          <w:rFonts w:ascii="Arial Black" w:hAnsi="Arial Black"/>
          <w:sz w:val="28"/>
          <w:szCs w:val="28"/>
        </w:rPr>
        <w:t xml:space="preserve">CA: </w:t>
      </w:r>
      <w:r w:rsidR="004D6D56">
        <w:rPr>
          <w:rFonts w:ascii="Arial Black" w:hAnsi="Arial Black"/>
          <w:sz w:val="28"/>
          <w:szCs w:val="28"/>
        </w:rPr>
        <w:t xml:space="preserve">HEAD INJURY – NO C-COLLAR </w:t>
      </w:r>
      <w:r w:rsidR="00DB1A8A">
        <w:rPr>
          <w:rFonts w:ascii="Arial Black" w:hAnsi="Arial Black"/>
          <w:sz w:val="28"/>
          <w:szCs w:val="28"/>
        </w:rPr>
        <w:t xml:space="preserve">/ </w:t>
      </w:r>
      <w:r w:rsidR="009A6126">
        <w:rPr>
          <w:rFonts w:ascii="Arial Black" w:hAnsi="Arial Black"/>
          <w:sz w:val="28"/>
          <w:szCs w:val="28"/>
        </w:rPr>
        <w:t xml:space="preserve">PT </w:t>
      </w:r>
      <w:r w:rsidR="00110BB4">
        <w:rPr>
          <w:rFonts w:ascii="Arial Black" w:hAnsi="Arial Black"/>
          <w:sz w:val="28"/>
          <w:szCs w:val="28"/>
        </w:rPr>
        <w:t xml:space="preserve">NOW </w:t>
      </w:r>
      <w:r w:rsidRPr="000B7F2C">
        <w:rPr>
          <w:rFonts w:ascii="Arial Black" w:hAnsi="Arial Black"/>
          <w:sz w:val="28"/>
          <w:szCs w:val="28"/>
        </w:rPr>
        <w:t>QUAD</w:t>
      </w:r>
      <w:r w:rsidR="00110BB4">
        <w:rPr>
          <w:rFonts w:ascii="Arial Black" w:hAnsi="Arial Black"/>
          <w:sz w:val="28"/>
          <w:szCs w:val="28"/>
        </w:rPr>
        <w:t xml:space="preserve"> </w:t>
      </w:r>
      <w:r w:rsidR="008226AC">
        <w:rPr>
          <w:rFonts w:ascii="Arial Black" w:hAnsi="Arial Black"/>
          <w:sz w:val="28"/>
          <w:szCs w:val="28"/>
        </w:rPr>
        <w:t>–</w:t>
      </w:r>
      <w:r w:rsidR="00110BB4">
        <w:rPr>
          <w:rFonts w:ascii="Arial Black" w:hAnsi="Arial Black"/>
          <w:sz w:val="28"/>
          <w:szCs w:val="28"/>
        </w:rPr>
        <w:t xml:space="preserve"> </w:t>
      </w:r>
      <w:r w:rsidR="008226AC">
        <w:rPr>
          <w:rFonts w:ascii="Arial Black" w:hAnsi="Arial Black"/>
          <w:sz w:val="28"/>
          <w:szCs w:val="28"/>
        </w:rPr>
        <w:t xml:space="preserve">IMMUNITY - </w:t>
      </w:r>
      <w:r w:rsidR="00110BB4">
        <w:rPr>
          <w:rFonts w:ascii="Arial Black" w:hAnsi="Arial Black"/>
          <w:sz w:val="28"/>
          <w:szCs w:val="28"/>
        </w:rPr>
        <w:t>NOT GROSS NEG</w:t>
      </w:r>
      <w:r w:rsidRPr="000B7F2C">
        <w:rPr>
          <w:rFonts w:ascii="Arial Black" w:hAnsi="Arial Black"/>
          <w:sz w:val="28"/>
          <w:szCs w:val="28"/>
        </w:rPr>
        <w:t xml:space="preserve"> </w:t>
      </w:r>
    </w:p>
    <w:p w14:paraId="365A377D" w14:textId="77777777" w:rsidR="003D0C4C" w:rsidRPr="003D0C4C" w:rsidRDefault="003D0C4C" w:rsidP="003D0C4C">
      <w:pPr>
        <w:rPr>
          <w:rFonts w:ascii="Times New Roman" w:hAnsi="Times New Roman"/>
          <w:sz w:val="24"/>
          <w:szCs w:val="24"/>
        </w:rPr>
      </w:pPr>
      <w:r w:rsidRPr="003D0C4C">
        <w:rPr>
          <w:rFonts w:ascii="Times New Roman" w:hAnsi="Times New Roman"/>
          <w:sz w:val="24"/>
          <w:szCs w:val="24"/>
        </w:rPr>
        <w:t xml:space="preserve">On Feb. 20, 2025, in </w:t>
      </w:r>
      <w:r w:rsidRPr="003D0C4C">
        <w:rPr>
          <w:rFonts w:ascii="Times New Roman" w:hAnsi="Times New Roman"/>
          <w:sz w:val="24"/>
          <w:szCs w:val="24"/>
          <w:u w:val="single"/>
        </w:rPr>
        <w:t xml:space="preserve">Manju </w:t>
      </w:r>
      <w:proofErr w:type="spellStart"/>
      <w:r w:rsidRPr="003D0C4C">
        <w:rPr>
          <w:rFonts w:ascii="Times New Roman" w:hAnsi="Times New Roman"/>
          <w:sz w:val="24"/>
          <w:szCs w:val="24"/>
          <w:u w:val="single"/>
        </w:rPr>
        <w:t>Devga</w:t>
      </w:r>
      <w:proofErr w:type="spellEnd"/>
      <w:r w:rsidRPr="003D0C4C">
        <w:rPr>
          <w:rFonts w:ascii="Times New Roman" w:hAnsi="Times New Roman"/>
          <w:sz w:val="24"/>
          <w:szCs w:val="24"/>
          <w:u w:val="single"/>
        </w:rPr>
        <w:t xml:space="preserve"> v. City of Santa Monica</w:t>
      </w:r>
      <w:r w:rsidRPr="003D0C4C">
        <w:rPr>
          <w:rFonts w:ascii="Times New Roman" w:hAnsi="Times New Roman"/>
          <w:sz w:val="24"/>
          <w:szCs w:val="24"/>
        </w:rPr>
        <w:t xml:space="preserve">, the California Court of Appeals, Second District, Division Two, held (2 to 1; unpublished decision) that trial court properly dismissed the lawsuit.  The conduct of EMS may have been negligent and led to the permanent injuries of the patient (a Medical Doctor), as they ignored the warnings from his wife (another Medical Doctor), but under California law the EMS and the City are immune from liability unless proof of “bad faith or gross negligence.” </w:t>
      </w:r>
      <w:hyperlink r:id="rId2087" w:history="1">
        <w:r w:rsidRPr="003D0C4C">
          <w:rPr>
            <w:rStyle w:val="Hyperlink"/>
            <w:rFonts w:ascii="Times New Roman" w:hAnsi="Times New Roman"/>
            <w:sz w:val="24"/>
            <w:szCs w:val="24"/>
          </w:rPr>
          <w:t>https://www4.courts.ca.gov/opinions/nonpub/B332479.PDF</w:t>
        </w:r>
      </w:hyperlink>
      <w:r w:rsidRPr="003D0C4C">
        <w:rPr>
          <w:rFonts w:ascii="Times New Roman" w:hAnsi="Times New Roman"/>
          <w:sz w:val="24"/>
          <w:szCs w:val="24"/>
        </w:rPr>
        <w:t xml:space="preserve"> </w:t>
      </w:r>
    </w:p>
    <w:p w14:paraId="3E0F7893" w14:textId="77777777" w:rsidR="003D0C4C" w:rsidRPr="003D0C4C" w:rsidRDefault="003D0C4C" w:rsidP="003D0C4C">
      <w:pPr>
        <w:pStyle w:val="NoSpacing"/>
        <w:rPr>
          <w:rFonts w:ascii="Times New Roman" w:hAnsi="Times New Roman"/>
          <w:sz w:val="24"/>
          <w:szCs w:val="24"/>
        </w:rPr>
      </w:pPr>
      <w:r w:rsidRPr="003D0C4C">
        <w:rPr>
          <w:rFonts w:ascii="Times New Roman" w:hAnsi="Times New Roman"/>
          <w:sz w:val="24"/>
          <w:szCs w:val="24"/>
        </w:rPr>
        <w:t xml:space="preserve">Court described facts: </w:t>
      </w:r>
    </w:p>
    <w:p w14:paraId="729161C9" w14:textId="77777777" w:rsidR="003D0C4C" w:rsidRPr="003D0C4C" w:rsidRDefault="003D0C4C" w:rsidP="003D0C4C">
      <w:pPr>
        <w:pStyle w:val="NoSpacing"/>
        <w:rPr>
          <w:rFonts w:ascii="Times New Roman" w:hAnsi="Times New Roman"/>
          <w:sz w:val="24"/>
          <w:szCs w:val="24"/>
        </w:rPr>
      </w:pPr>
    </w:p>
    <w:p w14:paraId="4E6159AC" w14:textId="77777777" w:rsidR="003D0C4C" w:rsidRPr="003D0C4C" w:rsidRDefault="003D0C4C" w:rsidP="003D0C4C">
      <w:pPr>
        <w:pStyle w:val="NoSpacing"/>
        <w:ind w:left="720"/>
        <w:rPr>
          <w:rFonts w:ascii="Times New Roman" w:hAnsi="Times New Roman"/>
          <w:sz w:val="24"/>
          <w:szCs w:val="24"/>
        </w:rPr>
      </w:pPr>
      <w:r w:rsidRPr="003D0C4C">
        <w:rPr>
          <w:rFonts w:ascii="Times New Roman" w:hAnsi="Times New Roman"/>
          <w:sz w:val="24"/>
          <w:szCs w:val="24"/>
        </w:rPr>
        <w:lastRenderedPageBreak/>
        <w:t xml:space="preserve">“Manju and Baldev were medical doctors. On April 27,2022, Baldev fell at home, hitting his head on the bathtub. Manju found her husband on the bathroom floor and called 911. She did not move him because she was concerned that he may have sustained orthopedic injury or brain trauma. </w:t>
      </w:r>
    </w:p>
    <w:p w14:paraId="07BA0CDB" w14:textId="77777777" w:rsidR="003D0C4C" w:rsidRPr="003D0C4C" w:rsidRDefault="003D0C4C" w:rsidP="003D0C4C">
      <w:pPr>
        <w:pStyle w:val="NoSpacing"/>
        <w:rPr>
          <w:rFonts w:ascii="Times New Roman" w:hAnsi="Times New Roman"/>
          <w:sz w:val="24"/>
          <w:szCs w:val="24"/>
        </w:rPr>
      </w:pPr>
    </w:p>
    <w:p w14:paraId="078BDA38" w14:textId="77777777" w:rsidR="003D0C4C" w:rsidRPr="003D0C4C" w:rsidRDefault="003D0C4C" w:rsidP="003D0C4C">
      <w:pPr>
        <w:pStyle w:val="NoSpacing"/>
        <w:ind w:left="720"/>
        <w:rPr>
          <w:rFonts w:ascii="Times New Roman" w:hAnsi="Times New Roman"/>
          <w:sz w:val="24"/>
          <w:szCs w:val="24"/>
        </w:rPr>
      </w:pPr>
      <w:r w:rsidRPr="003D0C4C">
        <w:rPr>
          <w:rFonts w:ascii="Times New Roman" w:hAnsi="Times New Roman"/>
          <w:sz w:val="24"/>
          <w:szCs w:val="24"/>
        </w:rPr>
        <w:t xml:space="preserve">Manju informed City’s emergency medical technicians (EMT’s) that she is a doctor, and that they needed to protect and stabilize Baldev’s neck before moving him because he had hit his head. They replied that they ‘are professionals and you need to let us do our job,’ and pushed her out of the bathroom. </w:t>
      </w:r>
    </w:p>
    <w:p w14:paraId="1B3F53B6" w14:textId="77777777" w:rsidR="003D0C4C" w:rsidRPr="003D0C4C" w:rsidRDefault="003D0C4C" w:rsidP="003D0C4C">
      <w:pPr>
        <w:pStyle w:val="NoSpacing"/>
        <w:rPr>
          <w:rFonts w:ascii="Times New Roman" w:hAnsi="Times New Roman"/>
          <w:sz w:val="24"/>
          <w:szCs w:val="24"/>
        </w:rPr>
      </w:pPr>
    </w:p>
    <w:p w14:paraId="677B3DE3" w14:textId="77777777" w:rsidR="003D0C4C" w:rsidRPr="003D0C4C" w:rsidRDefault="003D0C4C" w:rsidP="003D0C4C">
      <w:pPr>
        <w:pStyle w:val="NoSpacing"/>
        <w:ind w:left="720"/>
        <w:rPr>
          <w:rFonts w:ascii="Times New Roman" w:hAnsi="Times New Roman"/>
          <w:sz w:val="24"/>
          <w:szCs w:val="24"/>
        </w:rPr>
      </w:pPr>
      <w:r w:rsidRPr="003D0C4C">
        <w:rPr>
          <w:rFonts w:ascii="Times New Roman" w:hAnsi="Times New Roman"/>
          <w:sz w:val="24"/>
          <w:szCs w:val="24"/>
        </w:rPr>
        <w:t xml:space="preserve">Manju witnessed the EMT’s actions through the doorway. They did not put a cervical spine (C-spine) immobilization collar on Baldev, or take precautions to protect his spine, contrary to Manju’s warning. They moved him, had him sit up, and tried to get him to stand. They opined that ‘he looks ok’ ” and was able to move his extremities. They sat him on a chair. </w:t>
      </w:r>
    </w:p>
    <w:p w14:paraId="7E022652" w14:textId="77777777" w:rsidR="003D0C4C" w:rsidRPr="003D0C4C" w:rsidRDefault="003D0C4C" w:rsidP="003D0C4C">
      <w:pPr>
        <w:pStyle w:val="NoSpacing"/>
        <w:rPr>
          <w:rFonts w:ascii="Times New Roman" w:hAnsi="Times New Roman"/>
          <w:sz w:val="24"/>
          <w:szCs w:val="24"/>
        </w:rPr>
      </w:pPr>
    </w:p>
    <w:p w14:paraId="33851778" w14:textId="77777777" w:rsidR="003D0C4C" w:rsidRPr="003D0C4C" w:rsidRDefault="003D0C4C" w:rsidP="003D0C4C">
      <w:pPr>
        <w:pStyle w:val="NoSpacing"/>
        <w:ind w:left="720"/>
        <w:rPr>
          <w:rFonts w:ascii="Times New Roman" w:hAnsi="Times New Roman"/>
          <w:sz w:val="24"/>
          <w:szCs w:val="24"/>
        </w:rPr>
      </w:pPr>
      <w:r w:rsidRPr="003D0C4C">
        <w:rPr>
          <w:rFonts w:ascii="Times New Roman" w:hAnsi="Times New Roman"/>
          <w:sz w:val="24"/>
          <w:szCs w:val="24"/>
        </w:rPr>
        <w:t xml:space="preserve">When EMT’s placed Baldev on a gurney, he voiced concern that no precautions were being taken to protect his spine from further injury. Nonetheless, they put the gurney in an upright position and moved him downstairs ‘with a bouncing, jarring motion with each step.’ Baldev expressed discomfort and distress, and Manju protested. The EMT’s put Baldev in a supine position to load him in the ambulance, further jarring him. He complained of </w:t>
      </w:r>
      <w:proofErr w:type="gramStart"/>
      <w:r w:rsidRPr="003D0C4C">
        <w:rPr>
          <w:rFonts w:ascii="Times New Roman" w:hAnsi="Times New Roman"/>
          <w:sz w:val="24"/>
          <w:szCs w:val="24"/>
        </w:rPr>
        <w:t>pain, and</w:t>
      </w:r>
      <w:proofErr w:type="gramEnd"/>
      <w:r w:rsidRPr="003D0C4C">
        <w:rPr>
          <w:rFonts w:ascii="Times New Roman" w:hAnsi="Times New Roman"/>
          <w:sz w:val="24"/>
          <w:szCs w:val="24"/>
        </w:rPr>
        <w:t xml:space="preserve"> asked the EMT’s to place </w:t>
      </w:r>
      <w:proofErr w:type="gramStart"/>
      <w:r w:rsidRPr="003D0C4C">
        <w:rPr>
          <w:rFonts w:ascii="Times New Roman" w:hAnsi="Times New Roman"/>
          <w:sz w:val="24"/>
          <w:szCs w:val="24"/>
        </w:rPr>
        <w:t>supports</w:t>
      </w:r>
      <w:proofErr w:type="gramEnd"/>
      <w:r w:rsidRPr="003D0C4C">
        <w:rPr>
          <w:rFonts w:ascii="Times New Roman" w:hAnsi="Times New Roman"/>
          <w:sz w:val="24"/>
          <w:szCs w:val="24"/>
        </w:rPr>
        <w:t xml:space="preserve"> on him for safety when the vehicle’s movement jostled him while it drove down the road. They ignored his requests. </w:t>
      </w:r>
    </w:p>
    <w:p w14:paraId="13E21DDB" w14:textId="77777777" w:rsidR="003D0C4C" w:rsidRPr="003D0C4C" w:rsidRDefault="003D0C4C" w:rsidP="003D0C4C">
      <w:pPr>
        <w:pStyle w:val="NoSpacing"/>
        <w:rPr>
          <w:rFonts w:ascii="Times New Roman" w:hAnsi="Times New Roman"/>
          <w:sz w:val="24"/>
          <w:szCs w:val="24"/>
        </w:rPr>
      </w:pPr>
    </w:p>
    <w:p w14:paraId="64A00411" w14:textId="77777777" w:rsidR="003D0C4C" w:rsidRPr="003D0C4C" w:rsidRDefault="003D0C4C" w:rsidP="003D0C4C">
      <w:pPr>
        <w:pStyle w:val="NoSpacing"/>
        <w:ind w:left="720"/>
        <w:rPr>
          <w:rFonts w:ascii="Times New Roman" w:hAnsi="Times New Roman"/>
          <w:sz w:val="24"/>
          <w:szCs w:val="24"/>
        </w:rPr>
      </w:pPr>
      <w:r w:rsidRPr="003D0C4C">
        <w:rPr>
          <w:rFonts w:ascii="Times New Roman" w:hAnsi="Times New Roman"/>
          <w:sz w:val="24"/>
          <w:szCs w:val="24"/>
        </w:rPr>
        <w:t>Baldev was evaluated at a nearby hospital. A CT scan showed a serious neck injury. Physicians placed a C-spine collar on him and transferred him to UCLA for emergency surgery for a spinal cord injury. He became quadriplegic after his fall.”</w:t>
      </w:r>
    </w:p>
    <w:p w14:paraId="69C8F224" w14:textId="77777777" w:rsidR="003D0C4C" w:rsidRPr="003D0C4C" w:rsidRDefault="003D0C4C" w:rsidP="003D0C4C">
      <w:pPr>
        <w:pStyle w:val="NoSpacing"/>
        <w:rPr>
          <w:rFonts w:ascii="Times New Roman" w:hAnsi="Times New Roman"/>
          <w:sz w:val="24"/>
          <w:szCs w:val="24"/>
        </w:rPr>
      </w:pPr>
    </w:p>
    <w:p w14:paraId="5CFE337B" w14:textId="77777777" w:rsidR="003D0C4C" w:rsidRPr="003D0C4C" w:rsidRDefault="003D0C4C" w:rsidP="003D0C4C">
      <w:pPr>
        <w:pStyle w:val="NoSpacing"/>
        <w:rPr>
          <w:rFonts w:ascii="Times New Roman" w:hAnsi="Times New Roman"/>
          <w:sz w:val="24"/>
          <w:szCs w:val="24"/>
        </w:rPr>
      </w:pPr>
      <w:r w:rsidRPr="003D0C4C">
        <w:rPr>
          <w:rFonts w:ascii="Times New Roman" w:hAnsi="Times New Roman"/>
          <w:sz w:val="24"/>
          <w:szCs w:val="24"/>
        </w:rPr>
        <w:t xml:space="preserve">The Court held: </w:t>
      </w:r>
    </w:p>
    <w:p w14:paraId="1F09DECF" w14:textId="77777777" w:rsidR="003D0C4C" w:rsidRPr="003D0C4C" w:rsidRDefault="003D0C4C" w:rsidP="003D0C4C">
      <w:pPr>
        <w:pStyle w:val="NoSpacing"/>
        <w:rPr>
          <w:rFonts w:ascii="Times New Roman" w:hAnsi="Times New Roman"/>
          <w:sz w:val="24"/>
          <w:szCs w:val="24"/>
        </w:rPr>
      </w:pPr>
    </w:p>
    <w:p w14:paraId="58B57EF8" w14:textId="77777777" w:rsidR="003D0C4C" w:rsidRPr="003D0C4C" w:rsidRDefault="003D0C4C" w:rsidP="003D0C4C">
      <w:pPr>
        <w:pStyle w:val="NoSpacing"/>
        <w:ind w:left="720"/>
        <w:rPr>
          <w:rFonts w:ascii="Times New Roman" w:hAnsi="Times New Roman"/>
          <w:sz w:val="24"/>
          <w:szCs w:val="24"/>
        </w:rPr>
      </w:pPr>
      <w:r w:rsidRPr="003D0C4C">
        <w:rPr>
          <w:rFonts w:ascii="Times New Roman" w:hAnsi="Times New Roman"/>
          <w:sz w:val="24"/>
          <w:szCs w:val="24"/>
        </w:rPr>
        <w:t>“The issue is whether EMT’s efforts were grossly negligent. However, the pleading does not show an ‘extreme departure’ from the standard of care. Baldev was awake, alert, talking, moving his extremities, and able to sit in a chair. If EMT’s undertake triage measures and arrange transport to a hospital, it is immaterial if their acts or omissions are alleged to be below the standard of care: Efforts that are ultimately unavailing are not</w:t>
      </w:r>
    </w:p>
    <w:p w14:paraId="45D4CCC8" w14:textId="77777777" w:rsidR="003D0C4C" w:rsidRPr="003D0C4C" w:rsidRDefault="003D0C4C" w:rsidP="003D0C4C">
      <w:pPr>
        <w:pStyle w:val="NoSpacing"/>
        <w:ind w:firstLine="720"/>
        <w:rPr>
          <w:rFonts w:ascii="Times New Roman" w:hAnsi="Times New Roman"/>
          <w:sz w:val="24"/>
          <w:szCs w:val="24"/>
        </w:rPr>
      </w:pPr>
      <w:r w:rsidRPr="003D0C4C">
        <w:rPr>
          <w:rFonts w:ascii="Times New Roman" w:hAnsi="Times New Roman"/>
          <w:sz w:val="24"/>
          <w:szCs w:val="24"/>
        </w:rPr>
        <w:t>an ‘extreme departure’ from the standard of care.</w:t>
      </w:r>
    </w:p>
    <w:p w14:paraId="0FC0E296" w14:textId="77777777" w:rsidR="003D0C4C" w:rsidRPr="003D0C4C" w:rsidRDefault="003D0C4C" w:rsidP="003D0C4C">
      <w:pPr>
        <w:pStyle w:val="NoSpacing"/>
        <w:rPr>
          <w:rFonts w:ascii="Times New Roman" w:hAnsi="Times New Roman"/>
          <w:sz w:val="24"/>
          <w:szCs w:val="24"/>
        </w:rPr>
      </w:pPr>
    </w:p>
    <w:p w14:paraId="75C1445E" w14:textId="77777777" w:rsidR="003D0C4C" w:rsidRPr="003D0C4C" w:rsidRDefault="003D0C4C" w:rsidP="003D0C4C">
      <w:pPr>
        <w:pStyle w:val="NoSpacing"/>
        <w:ind w:firstLine="720"/>
        <w:rPr>
          <w:rFonts w:ascii="Times New Roman" w:hAnsi="Times New Roman"/>
          <w:sz w:val="24"/>
          <w:szCs w:val="24"/>
        </w:rPr>
      </w:pPr>
      <w:r w:rsidRPr="003D0C4C">
        <w:rPr>
          <w:rFonts w:ascii="Times New Roman" w:hAnsi="Times New Roman"/>
          <w:sz w:val="24"/>
          <w:szCs w:val="24"/>
        </w:rPr>
        <w:t>***</w:t>
      </w:r>
    </w:p>
    <w:p w14:paraId="1268CCFA" w14:textId="77777777" w:rsidR="003D0C4C" w:rsidRPr="003D0C4C" w:rsidRDefault="003D0C4C" w:rsidP="003D0C4C">
      <w:pPr>
        <w:pStyle w:val="NoSpacing"/>
        <w:rPr>
          <w:rFonts w:ascii="Times New Roman" w:hAnsi="Times New Roman"/>
          <w:sz w:val="24"/>
          <w:szCs w:val="24"/>
        </w:rPr>
      </w:pPr>
    </w:p>
    <w:p w14:paraId="598C4BFD" w14:textId="77777777" w:rsidR="003D0C4C" w:rsidRPr="003D0C4C" w:rsidRDefault="003D0C4C" w:rsidP="003D0C4C">
      <w:pPr>
        <w:pStyle w:val="NoSpacing"/>
        <w:ind w:left="720"/>
        <w:rPr>
          <w:rFonts w:ascii="Times New Roman" w:hAnsi="Times New Roman"/>
          <w:sz w:val="24"/>
          <w:szCs w:val="24"/>
        </w:rPr>
      </w:pPr>
      <w:r w:rsidRPr="003D0C4C">
        <w:rPr>
          <w:rFonts w:ascii="Times New Roman" w:hAnsi="Times New Roman"/>
          <w:sz w:val="24"/>
          <w:szCs w:val="24"/>
        </w:rPr>
        <w:t xml:space="preserve">The facts here show ordinary negligence, not gross negligence. The Legislature has chosen to give immunity to EMT’s who must make rapid decisions without the benefit of a testing device, such as a CT scanner, that would show </w:t>
      </w:r>
      <w:proofErr w:type="gramStart"/>
      <w:r w:rsidRPr="003D0C4C">
        <w:rPr>
          <w:rFonts w:ascii="Times New Roman" w:hAnsi="Times New Roman"/>
          <w:sz w:val="24"/>
          <w:szCs w:val="24"/>
        </w:rPr>
        <w:t>injury.”</w:t>
      </w:r>
      <w:proofErr w:type="gramEnd"/>
    </w:p>
    <w:p w14:paraId="764C1973" w14:textId="77777777" w:rsidR="003D0C4C" w:rsidRPr="003D0C4C" w:rsidRDefault="003D0C4C" w:rsidP="003D0C4C">
      <w:pPr>
        <w:pStyle w:val="NoSpacing"/>
        <w:rPr>
          <w:rFonts w:ascii="Times New Roman" w:hAnsi="Times New Roman"/>
          <w:sz w:val="24"/>
          <w:szCs w:val="24"/>
        </w:rPr>
      </w:pPr>
    </w:p>
    <w:p w14:paraId="60794A3C" w14:textId="77777777" w:rsidR="003D0C4C" w:rsidRPr="003D0C4C" w:rsidRDefault="003D0C4C" w:rsidP="003D0C4C">
      <w:pPr>
        <w:pStyle w:val="NoSpacing"/>
        <w:rPr>
          <w:rFonts w:ascii="Times New Roman" w:hAnsi="Times New Roman"/>
          <w:bCs/>
          <w:sz w:val="24"/>
          <w:szCs w:val="24"/>
        </w:rPr>
      </w:pPr>
      <w:r w:rsidRPr="003D0C4C">
        <w:rPr>
          <w:rFonts w:ascii="Times New Roman" w:hAnsi="Times New Roman"/>
          <w:sz w:val="24"/>
          <w:szCs w:val="24"/>
        </w:rPr>
        <w:t>DISSENT:</w:t>
      </w:r>
    </w:p>
    <w:p w14:paraId="2821CA92" w14:textId="77777777" w:rsidR="003D0C4C" w:rsidRPr="003D0C4C" w:rsidRDefault="003D0C4C" w:rsidP="003D0C4C">
      <w:pPr>
        <w:pStyle w:val="NoSpacing"/>
        <w:rPr>
          <w:rFonts w:ascii="Times New Roman" w:hAnsi="Times New Roman"/>
          <w:sz w:val="24"/>
          <w:szCs w:val="24"/>
        </w:rPr>
      </w:pPr>
    </w:p>
    <w:p w14:paraId="336516A9" w14:textId="77777777" w:rsidR="003D0C4C" w:rsidRPr="003D0C4C" w:rsidRDefault="003D0C4C" w:rsidP="003D0C4C">
      <w:pPr>
        <w:pStyle w:val="NoSpacing"/>
        <w:ind w:left="720"/>
        <w:rPr>
          <w:rFonts w:ascii="Times New Roman" w:hAnsi="Times New Roman"/>
          <w:sz w:val="24"/>
          <w:szCs w:val="24"/>
        </w:rPr>
      </w:pPr>
      <w:r w:rsidRPr="003D0C4C">
        <w:rPr>
          <w:rFonts w:ascii="Times New Roman" w:hAnsi="Times New Roman"/>
          <w:sz w:val="24"/>
          <w:szCs w:val="24"/>
        </w:rPr>
        <w:t xml:space="preserve">“Despite this information, the EMTs failed to ‘put a cervical spine (‘c-spine’) immobilization collar’ on Baldev or ‘otherwise secure and protect his spine’ before proceeding to sit him up. The EMTs moved Baldev to a gurney, converted the gurney into a sitting position, and brought it down two flights of stairs ‘with a bouncing, jarring[] motion with each step.’ ‘With each jarring movement[,]’ Baldev indicated his </w:t>
      </w:r>
      <w:proofErr w:type="gramStart"/>
      <w:r w:rsidRPr="003D0C4C">
        <w:rPr>
          <w:rFonts w:ascii="Times New Roman" w:hAnsi="Times New Roman"/>
          <w:sz w:val="24"/>
          <w:szCs w:val="24"/>
        </w:rPr>
        <w:t>distress, ‘</w:t>
      </w:r>
      <w:proofErr w:type="gramEnd"/>
      <w:r w:rsidRPr="003D0C4C">
        <w:rPr>
          <w:rFonts w:ascii="Times New Roman" w:hAnsi="Times New Roman"/>
          <w:sz w:val="24"/>
          <w:szCs w:val="24"/>
        </w:rPr>
        <w:t>informing the [EMTs] of [the] discomfort the movements were causing him.’</w:t>
      </w:r>
    </w:p>
    <w:p w14:paraId="48232025" w14:textId="77777777" w:rsidR="003D0C4C" w:rsidRPr="003D0C4C" w:rsidRDefault="003D0C4C" w:rsidP="003D0C4C">
      <w:pPr>
        <w:pStyle w:val="NoSpacing"/>
        <w:ind w:left="720"/>
        <w:rPr>
          <w:rFonts w:ascii="Times New Roman" w:hAnsi="Times New Roman"/>
          <w:sz w:val="24"/>
          <w:szCs w:val="24"/>
        </w:rPr>
      </w:pPr>
      <w:r w:rsidRPr="003D0C4C">
        <w:rPr>
          <w:rFonts w:ascii="Times New Roman" w:hAnsi="Times New Roman"/>
          <w:sz w:val="24"/>
          <w:szCs w:val="24"/>
        </w:rPr>
        <w:t>Once loaded into the ambulance, Baldev again informed the EMTs of his discomfort, including spinal pain, and requested support as he continued to be jarred by the motion of the ambulance. These requests were ignored. As a result, Baldev was rendered quadriplegic.</w:t>
      </w:r>
    </w:p>
    <w:p w14:paraId="0695019D" w14:textId="77777777" w:rsidR="003D0C4C" w:rsidRPr="003D0C4C" w:rsidRDefault="003D0C4C" w:rsidP="003D0C4C">
      <w:pPr>
        <w:pStyle w:val="NoSpacing"/>
        <w:rPr>
          <w:rFonts w:ascii="Times New Roman" w:hAnsi="Times New Roman"/>
          <w:sz w:val="24"/>
          <w:szCs w:val="24"/>
        </w:rPr>
      </w:pPr>
    </w:p>
    <w:p w14:paraId="1D6B932B" w14:textId="77777777" w:rsidR="003D0C4C" w:rsidRPr="003D0C4C" w:rsidRDefault="003D0C4C" w:rsidP="003D0C4C">
      <w:pPr>
        <w:pStyle w:val="NoSpacing"/>
        <w:ind w:firstLine="720"/>
        <w:rPr>
          <w:rFonts w:ascii="Times New Roman" w:hAnsi="Times New Roman"/>
          <w:sz w:val="24"/>
          <w:szCs w:val="24"/>
        </w:rPr>
      </w:pPr>
      <w:r w:rsidRPr="003D0C4C">
        <w:rPr>
          <w:rFonts w:ascii="Times New Roman" w:hAnsi="Times New Roman"/>
          <w:sz w:val="24"/>
          <w:szCs w:val="24"/>
        </w:rPr>
        <w:t>***</w:t>
      </w:r>
    </w:p>
    <w:p w14:paraId="42F995C3" w14:textId="77777777" w:rsidR="003D0C4C" w:rsidRPr="003D0C4C" w:rsidRDefault="003D0C4C" w:rsidP="003D0C4C">
      <w:pPr>
        <w:pStyle w:val="NoSpacing"/>
        <w:ind w:left="720"/>
        <w:rPr>
          <w:rFonts w:ascii="Times New Roman" w:hAnsi="Times New Roman"/>
          <w:sz w:val="24"/>
          <w:szCs w:val="24"/>
        </w:rPr>
      </w:pPr>
      <w:r w:rsidRPr="003D0C4C">
        <w:rPr>
          <w:rFonts w:ascii="Times New Roman" w:hAnsi="Times New Roman"/>
          <w:sz w:val="24"/>
          <w:szCs w:val="24"/>
        </w:rPr>
        <w:lastRenderedPageBreak/>
        <w:t>Because, liberally construed, the complaint here states a cause of action for gross negligence, it cannot be said at this early juncture that the City of Santa Monica is entitled to section 1799.107 immunity as a matter of law…. I proffer that appellant has sufficiently pled gross negligence or, at a minimum, should be permitted an opportunity</w:t>
      </w:r>
    </w:p>
    <w:p w14:paraId="7BF33C11" w14:textId="77777777" w:rsidR="003D0C4C" w:rsidRPr="003D0C4C" w:rsidRDefault="003D0C4C" w:rsidP="003D0C4C">
      <w:pPr>
        <w:pStyle w:val="NoSpacing"/>
        <w:ind w:firstLine="720"/>
        <w:rPr>
          <w:rFonts w:ascii="Times New Roman" w:hAnsi="Times New Roman"/>
          <w:sz w:val="24"/>
          <w:szCs w:val="24"/>
        </w:rPr>
      </w:pPr>
      <w:r w:rsidRPr="003D0C4C">
        <w:rPr>
          <w:rFonts w:ascii="Times New Roman" w:hAnsi="Times New Roman"/>
          <w:sz w:val="24"/>
          <w:szCs w:val="24"/>
        </w:rPr>
        <w:t>to amend the complaint.”</w:t>
      </w:r>
    </w:p>
    <w:p w14:paraId="3D545D66" w14:textId="77777777" w:rsidR="003D0C4C" w:rsidRPr="003D0C4C" w:rsidRDefault="003D0C4C" w:rsidP="003D0C4C">
      <w:pPr>
        <w:pStyle w:val="NoSpacing"/>
        <w:rPr>
          <w:rFonts w:ascii="Times New Roman" w:hAnsi="Times New Roman"/>
          <w:sz w:val="24"/>
          <w:szCs w:val="24"/>
        </w:rPr>
      </w:pPr>
    </w:p>
    <w:p w14:paraId="688FEA65" w14:textId="77777777" w:rsidR="003D0C4C" w:rsidRPr="003D0C4C" w:rsidRDefault="003D0C4C" w:rsidP="003D0C4C">
      <w:pPr>
        <w:pStyle w:val="NoSpacing"/>
        <w:rPr>
          <w:rFonts w:ascii="Times New Roman" w:hAnsi="Times New Roman"/>
          <w:b/>
          <w:bCs/>
          <w:sz w:val="24"/>
          <w:szCs w:val="24"/>
        </w:rPr>
      </w:pPr>
      <w:r w:rsidRPr="003D0C4C">
        <w:rPr>
          <w:rFonts w:ascii="Times New Roman" w:hAnsi="Times New Roman"/>
          <w:b/>
          <w:sz w:val="24"/>
          <w:szCs w:val="24"/>
        </w:rPr>
        <w:t xml:space="preserve">Legal Lesson Learned: These are very disturbing facts; please share with your personnel in continuing education sessions. </w:t>
      </w:r>
    </w:p>
    <w:p w14:paraId="74200472" w14:textId="77777777" w:rsidR="003D0C4C" w:rsidRPr="003D0C4C" w:rsidRDefault="003D0C4C" w:rsidP="003D0C4C">
      <w:pPr>
        <w:pStyle w:val="NoSpacing"/>
        <w:rPr>
          <w:rFonts w:ascii="Times New Roman" w:hAnsi="Times New Roman"/>
          <w:b/>
          <w:bCs/>
          <w:sz w:val="24"/>
          <w:szCs w:val="24"/>
        </w:rPr>
      </w:pPr>
      <w:r w:rsidRPr="003D0C4C">
        <w:rPr>
          <w:rFonts w:ascii="Times New Roman" w:hAnsi="Times New Roman"/>
          <w:b/>
          <w:sz w:val="24"/>
          <w:szCs w:val="24"/>
        </w:rPr>
        <w:tab/>
      </w:r>
    </w:p>
    <w:p w14:paraId="0B578EDD" w14:textId="77777777" w:rsidR="003D0C4C" w:rsidRPr="003D0C4C" w:rsidRDefault="003D0C4C" w:rsidP="003D0C4C">
      <w:pPr>
        <w:pStyle w:val="NoSpacing"/>
        <w:ind w:left="720"/>
        <w:rPr>
          <w:rFonts w:ascii="Times New Roman" w:hAnsi="Times New Roman"/>
          <w:sz w:val="24"/>
          <w:szCs w:val="24"/>
        </w:rPr>
      </w:pPr>
      <w:r w:rsidRPr="003D0C4C">
        <w:rPr>
          <w:rFonts w:ascii="Times New Roman" w:hAnsi="Times New Roman"/>
          <w:sz w:val="24"/>
          <w:szCs w:val="24"/>
        </w:rPr>
        <w:t xml:space="preserve">Note: California code – Section 1799.106 </w:t>
      </w:r>
      <w:hyperlink r:id="rId2088" w:history="1">
        <w:r w:rsidRPr="003D0C4C">
          <w:rPr>
            <w:rStyle w:val="Hyperlink"/>
            <w:rFonts w:ascii="Times New Roman" w:hAnsi="Times New Roman"/>
            <w:sz w:val="24"/>
            <w:szCs w:val="24"/>
          </w:rPr>
          <w:t>https://leginfo.legislature.ca.gov/faces/codes_displaySection.xhtml?sectionNum=1799.106.&amp;lawCode=HSC</w:t>
        </w:r>
      </w:hyperlink>
      <w:r w:rsidRPr="003D0C4C">
        <w:rPr>
          <w:rFonts w:ascii="Times New Roman" w:hAnsi="Times New Roman"/>
          <w:sz w:val="24"/>
          <w:szCs w:val="24"/>
        </w:rPr>
        <w:t xml:space="preserve"> </w:t>
      </w:r>
    </w:p>
    <w:p w14:paraId="39107B18" w14:textId="77777777" w:rsidR="003D0C4C" w:rsidRPr="003D0C4C" w:rsidRDefault="003D0C4C" w:rsidP="003D0C4C">
      <w:pPr>
        <w:pStyle w:val="NoSpacing"/>
        <w:ind w:firstLine="720"/>
        <w:rPr>
          <w:rFonts w:ascii="Times New Roman" w:hAnsi="Times New Roman"/>
          <w:sz w:val="24"/>
          <w:szCs w:val="24"/>
        </w:rPr>
      </w:pPr>
      <w:r w:rsidRPr="003D0C4C">
        <w:rPr>
          <w:rFonts w:ascii="Times New Roman" w:hAnsi="Times New Roman"/>
          <w:sz w:val="24"/>
          <w:szCs w:val="24"/>
        </w:rPr>
        <w:t>“CHAPTER 9. Liability Limitation</w:t>
      </w:r>
    </w:p>
    <w:p w14:paraId="484F1425" w14:textId="77777777" w:rsidR="003D0C4C" w:rsidRPr="003D0C4C" w:rsidRDefault="003D0C4C" w:rsidP="003D0C4C">
      <w:pPr>
        <w:pStyle w:val="NoSpacing"/>
        <w:rPr>
          <w:rFonts w:ascii="Times New Roman" w:hAnsi="Times New Roman"/>
          <w:sz w:val="24"/>
          <w:szCs w:val="24"/>
        </w:rPr>
      </w:pPr>
      <w:r w:rsidRPr="003D0C4C">
        <w:rPr>
          <w:rFonts w:ascii="Times New Roman" w:hAnsi="Times New Roman"/>
          <w:sz w:val="24"/>
          <w:szCs w:val="24"/>
        </w:rPr>
        <w:t>  </w:t>
      </w:r>
    </w:p>
    <w:p w14:paraId="1CC4B3C6" w14:textId="77777777" w:rsidR="003D0C4C" w:rsidRPr="003D0C4C" w:rsidRDefault="003D0C4C" w:rsidP="003D0C4C">
      <w:pPr>
        <w:pStyle w:val="NoSpacing"/>
        <w:ind w:firstLine="720"/>
        <w:rPr>
          <w:rFonts w:ascii="Times New Roman" w:hAnsi="Times New Roman"/>
          <w:sz w:val="24"/>
          <w:szCs w:val="24"/>
        </w:rPr>
      </w:pPr>
      <w:r w:rsidRPr="003D0C4C">
        <w:rPr>
          <w:rFonts w:ascii="Times New Roman" w:hAnsi="Times New Roman"/>
          <w:sz w:val="24"/>
          <w:szCs w:val="24"/>
        </w:rPr>
        <w:t>1799.106.  </w:t>
      </w:r>
    </w:p>
    <w:p w14:paraId="41316EB9" w14:textId="77777777" w:rsidR="003D0C4C" w:rsidRPr="003D0C4C" w:rsidRDefault="003D0C4C" w:rsidP="003D0C4C">
      <w:pPr>
        <w:pStyle w:val="NoSpacing"/>
        <w:ind w:left="720"/>
        <w:rPr>
          <w:rFonts w:ascii="Times New Roman" w:hAnsi="Times New Roman"/>
          <w:sz w:val="24"/>
          <w:szCs w:val="24"/>
        </w:rPr>
      </w:pPr>
      <w:r w:rsidRPr="003D0C4C">
        <w:rPr>
          <w:rFonts w:ascii="Times New Roman" w:hAnsi="Times New Roman"/>
          <w:sz w:val="24"/>
          <w:szCs w:val="24"/>
        </w:rPr>
        <w:t xml:space="preserve">(a) In addition to the provisions of Section 1799.104 of this code, Section 2727.5 of the </w:t>
      </w:r>
      <w:r w:rsidRPr="003D0C4C">
        <w:rPr>
          <w:rFonts w:ascii="Times New Roman" w:hAnsi="Times New Roman"/>
          <w:sz w:val="24"/>
          <w:szCs w:val="24"/>
        </w:rPr>
        <w:tab/>
        <w:t xml:space="preserve"> and Professions Code, and Section 1714.2 of the Civil Code, and in order to encourage the provision of emergency medical services by firefighters, police officers or other law enforcement officers, EMT-I, EMT-II, EMT-P, or registered nurses, a firefighter, police officer or other law enforcement officer, EMT-I, EMT-II, EMT-P, or registered nurse who renders emergency medical services at the scene of an emergency or during an emergency air or ground ambulance transport shall only be liable in civil damages for acts or omissions performed in a grossly negligent manner or acts or omissions not performed in good faith. A public agency employing such a firefighter, police officer or other law enforcement officer, EMT-I, EMT-II, EMT-P, or registered nurse shall not be liable for civil damages if the firefighter, police officer or other law enforcement officer, EMT-I, EMT-II, EMT-P, or registered nurse is not liable.</w:t>
      </w:r>
    </w:p>
    <w:p w14:paraId="2071871A" w14:textId="77777777" w:rsidR="003D0C4C" w:rsidRPr="003D0C4C" w:rsidRDefault="003D0C4C" w:rsidP="003D0C4C">
      <w:pPr>
        <w:pStyle w:val="NoSpacing"/>
        <w:ind w:left="720"/>
        <w:rPr>
          <w:rFonts w:ascii="Times New Roman" w:hAnsi="Times New Roman"/>
          <w:sz w:val="24"/>
          <w:szCs w:val="24"/>
        </w:rPr>
      </w:pPr>
      <w:r w:rsidRPr="003D0C4C">
        <w:rPr>
          <w:rFonts w:ascii="Times New Roman" w:hAnsi="Times New Roman"/>
          <w:sz w:val="24"/>
          <w:szCs w:val="24"/>
        </w:rPr>
        <w:t>(b) For purposes of this section, “registered nurse” means a registered nurse trained in emergency medical services and licensed pursuant to Chapter 6 (commencing with Section 2700) of Division 2 of the Business and Professions Code.”</w:t>
      </w:r>
    </w:p>
    <w:p w14:paraId="60CC68D8" w14:textId="77777777" w:rsidR="003D0C4C" w:rsidRDefault="003D0C4C" w:rsidP="002B1283">
      <w:pPr>
        <w:rPr>
          <w:rFonts w:ascii="Arial Black" w:hAnsi="Arial Black"/>
          <w:b/>
          <w:bCs/>
          <w:sz w:val="28"/>
          <w:szCs w:val="28"/>
        </w:rPr>
      </w:pPr>
    </w:p>
    <w:p w14:paraId="55692033" w14:textId="77777777" w:rsidR="00D85226" w:rsidRPr="00F607C4" w:rsidRDefault="00D85226" w:rsidP="002B1283">
      <w:pPr>
        <w:rPr>
          <w:rFonts w:ascii="Times New Roman" w:hAnsi="Times New Roman"/>
          <w:b/>
          <w:bCs/>
          <w:sz w:val="24"/>
          <w:szCs w:val="24"/>
        </w:rPr>
      </w:pPr>
    </w:p>
    <w:p w14:paraId="247E06E4" w14:textId="0E6869D7" w:rsidR="006D52C4" w:rsidRDefault="006D52C4" w:rsidP="002B1283">
      <w:pPr>
        <w:rPr>
          <w:rFonts w:ascii="Arial Black" w:hAnsi="Arial Black"/>
          <w:b/>
          <w:bCs/>
          <w:sz w:val="28"/>
          <w:szCs w:val="28"/>
        </w:rPr>
      </w:pPr>
      <w:r>
        <w:rPr>
          <w:rFonts w:ascii="Arial Black" w:hAnsi="Arial Black"/>
          <w:b/>
          <w:bCs/>
          <w:sz w:val="28"/>
          <w:szCs w:val="28"/>
        </w:rPr>
        <w:t>13-206</w:t>
      </w:r>
    </w:p>
    <w:p w14:paraId="0F901C86" w14:textId="56BE8AC9" w:rsidR="00C35503" w:rsidRPr="000B7F2C" w:rsidRDefault="00C35503" w:rsidP="00C35503">
      <w:pPr>
        <w:rPr>
          <w:rFonts w:ascii="Arial Black" w:hAnsi="Arial Black"/>
          <w:b/>
          <w:sz w:val="28"/>
          <w:szCs w:val="28"/>
        </w:rPr>
      </w:pPr>
      <w:r w:rsidRPr="000B7F2C">
        <w:rPr>
          <w:rFonts w:ascii="Arial Black" w:hAnsi="Arial Black"/>
          <w:b/>
          <w:sz w:val="28"/>
          <w:szCs w:val="28"/>
        </w:rPr>
        <w:t>DE: EMT REPORT - WOMAN INTERFERED</w:t>
      </w:r>
      <w:r w:rsidR="00004638">
        <w:rPr>
          <w:rFonts w:ascii="Arial Black" w:hAnsi="Arial Black"/>
          <w:b/>
          <w:sz w:val="28"/>
          <w:szCs w:val="28"/>
        </w:rPr>
        <w:t xml:space="preserve"> WITH EMS</w:t>
      </w:r>
      <w:r>
        <w:rPr>
          <w:rFonts w:ascii="Arial Black" w:hAnsi="Arial Black"/>
          <w:b/>
          <w:sz w:val="28"/>
          <w:szCs w:val="28"/>
        </w:rPr>
        <w:t xml:space="preserve"> – 2-YR STATUTE</w:t>
      </w:r>
      <w:r w:rsidRPr="000B7F2C">
        <w:rPr>
          <w:rFonts w:ascii="Arial Black" w:hAnsi="Arial Black"/>
          <w:b/>
          <w:sz w:val="28"/>
          <w:szCs w:val="28"/>
        </w:rPr>
        <w:t xml:space="preserve"> </w:t>
      </w:r>
    </w:p>
    <w:p w14:paraId="26A2E77F" w14:textId="77777777" w:rsidR="00C35503" w:rsidRPr="00C35503" w:rsidRDefault="00C35503" w:rsidP="00C35503">
      <w:pPr>
        <w:rPr>
          <w:rFonts w:ascii="Times New Roman" w:hAnsi="Times New Roman"/>
          <w:sz w:val="24"/>
          <w:szCs w:val="24"/>
        </w:rPr>
      </w:pPr>
      <w:r w:rsidRPr="00C35503">
        <w:rPr>
          <w:rFonts w:ascii="Times New Roman" w:hAnsi="Times New Roman"/>
          <w:sz w:val="24"/>
          <w:szCs w:val="24"/>
        </w:rPr>
        <w:t xml:space="preserve">On Feb. 10, 2025, in </w:t>
      </w:r>
      <w:r w:rsidRPr="00C35503">
        <w:rPr>
          <w:rFonts w:ascii="Times New Roman" w:hAnsi="Times New Roman"/>
          <w:sz w:val="24"/>
          <w:szCs w:val="24"/>
          <w:u w:val="single"/>
        </w:rPr>
        <w:t>Keisha Cappel and Alfonso Jones v. Aston Township Fire Department, et al</w:t>
      </w:r>
      <w:r w:rsidRPr="00C35503">
        <w:rPr>
          <w:rFonts w:ascii="Times New Roman" w:hAnsi="Times New Roman"/>
          <w:sz w:val="24"/>
          <w:szCs w:val="24"/>
        </w:rPr>
        <w:t xml:space="preserve">, United States District Court Judge John F. Murphy approved the settlement of $950,000.  “After apparently convincing Ms. Jones not to go to the hospital, the paramedics left the scene and inaccurately documented the encounter.” The contingency fee agreement distributes 33.3% of sums recovered after costs to counsel, totaling a fee of $303,504.96. “Following our review of the proposed settlement agreement, as required by Pennsylvania’s Probate, Estates, and Fiduciaries Code, we find the proposed settlement amount to be adequate, the allocation of proceeds to be reasonable, and the attorneys’ fees and costs to be reasonable.”  </w:t>
      </w:r>
      <w:hyperlink r:id="rId2089" w:history="1">
        <w:r w:rsidRPr="00C35503">
          <w:rPr>
            <w:rStyle w:val="Hyperlink"/>
            <w:rFonts w:ascii="Times New Roman" w:hAnsi="Times New Roman"/>
            <w:sz w:val="24"/>
            <w:szCs w:val="24"/>
          </w:rPr>
          <w:t>https://cases.justia.com/federal/district-courts/pennsylvania/paedce/2:2023cv00155/604825/106/0.pdf?ts=1739281859</w:t>
        </w:r>
      </w:hyperlink>
      <w:r w:rsidRPr="00C35503">
        <w:rPr>
          <w:rFonts w:ascii="Times New Roman" w:hAnsi="Times New Roman"/>
          <w:sz w:val="24"/>
          <w:szCs w:val="24"/>
        </w:rPr>
        <w:t xml:space="preserve"> </w:t>
      </w:r>
    </w:p>
    <w:p w14:paraId="5297AA0F" w14:textId="77777777" w:rsidR="00C35503" w:rsidRPr="00C35503" w:rsidRDefault="00C35503" w:rsidP="00C35503">
      <w:pPr>
        <w:pStyle w:val="NoSpacing"/>
        <w:rPr>
          <w:rFonts w:ascii="Times New Roman" w:hAnsi="Times New Roman"/>
          <w:sz w:val="24"/>
          <w:szCs w:val="24"/>
        </w:rPr>
      </w:pPr>
      <w:r w:rsidRPr="00C35503">
        <w:rPr>
          <w:rFonts w:ascii="Times New Roman" w:hAnsi="Times New Roman"/>
          <w:sz w:val="24"/>
          <w:szCs w:val="24"/>
        </w:rPr>
        <w:t>The Court wrote:</w:t>
      </w:r>
    </w:p>
    <w:p w14:paraId="1F63E0C3" w14:textId="77777777" w:rsidR="00C35503" w:rsidRPr="00C35503" w:rsidRDefault="00C35503" w:rsidP="00C35503">
      <w:pPr>
        <w:pStyle w:val="NoSpacing"/>
        <w:rPr>
          <w:rFonts w:ascii="Times New Roman" w:hAnsi="Times New Roman"/>
          <w:sz w:val="24"/>
          <w:szCs w:val="24"/>
        </w:rPr>
      </w:pPr>
    </w:p>
    <w:p w14:paraId="55B24E1D" w14:textId="77777777" w:rsidR="00C35503" w:rsidRPr="00C35503" w:rsidRDefault="00C35503" w:rsidP="00C35503">
      <w:pPr>
        <w:pStyle w:val="NoSpacing"/>
        <w:ind w:firstLine="720"/>
        <w:rPr>
          <w:rFonts w:ascii="Times New Roman" w:hAnsi="Times New Roman"/>
          <w:sz w:val="24"/>
          <w:szCs w:val="24"/>
        </w:rPr>
      </w:pPr>
      <w:r w:rsidRPr="00C35503">
        <w:rPr>
          <w:rFonts w:ascii="Times New Roman" w:hAnsi="Times New Roman"/>
          <w:sz w:val="24"/>
          <w:szCs w:val="24"/>
        </w:rPr>
        <w:t>“This case involves the death of a woman, Tamika Jones. Ms. Jones’s family called 911</w:t>
      </w:r>
    </w:p>
    <w:p w14:paraId="346B8DFF" w14:textId="77777777" w:rsidR="00C35503" w:rsidRPr="00C35503" w:rsidRDefault="00C35503" w:rsidP="00C35503">
      <w:pPr>
        <w:pStyle w:val="NoSpacing"/>
        <w:ind w:left="720"/>
        <w:rPr>
          <w:rFonts w:ascii="Times New Roman" w:hAnsi="Times New Roman"/>
          <w:sz w:val="24"/>
          <w:szCs w:val="24"/>
        </w:rPr>
      </w:pPr>
      <w:r w:rsidRPr="00C35503">
        <w:rPr>
          <w:rFonts w:ascii="Times New Roman" w:hAnsi="Times New Roman"/>
          <w:sz w:val="24"/>
          <w:szCs w:val="24"/>
        </w:rPr>
        <w:lastRenderedPageBreak/>
        <w:t xml:space="preserve">for help because she was experiencing significant and concerning COVID-19 symptoms. Two teams of paramedics were sent, including an advanced team, but only one junior paramedic evaluated Ms. Jones. After apparently convincing Ms. Jones not to go to the hospital, the paramedics left the scene and inaccurately documented the encounter. Ms. Jones died the next day. </w:t>
      </w:r>
    </w:p>
    <w:p w14:paraId="1D3332DA" w14:textId="77777777" w:rsidR="00C35503" w:rsidRPr="00C35503" w:rsidRDefault="00C35503" w:rsidP="00C35503">
      <w:pPr>
        <w:pStyle w:val="NoSpacing"/>
        <w:rPr>
          <w:rFonts w:ascii="Times New Roman" w:hAnsi="Times New Roman"/>
          <w:sz w:val="24"/>
          <w:szCs w:val="24"/>
        </w:rPr>
      </w:pPr>
    </w:p>
    <w:p w14:paraId="5032860C" w14:textId="77777777" w:rsidR="00C35503" w:rsidRPr="00C35503" w:rsidRDefault="00C35503" w:rsidP="00C35503">
      <w:pPr>
        <w:pStyle w:val="NoSpacing"/>
        <w:ind w:firstLine="720"/>
        <w:rPr>
          <w:rFonts w:ascii="Times New Roman" w:hAnsi="Times New Roman"/>
          <w:sz w:val="24"/>
          <w:szCs w:val="24"/>
        </w:rPr>
      </w:pPr>
      <w:r w:rsidRPr="00C35503">
        <w:rPr>
          <w:rFonts w:ascii="Times New Roman" w:hAnsi="Times New Roman"/>
          <w:sz w:val="24"/>
          <w:szCs w:val="24"/>
        </w:rPr>
        <w:t>***</w:t>
      </w:r>
    </w:p>
    <w:p w14:paraId="3D4D64AF" w14:textId="77777777" w:rsidR="00C35503" w:rsidRPr="00C35503" w:rsidRDefault="00C35503" w:rsidP="00C35503">
      <w:pPr>
        <w:pStyle w:val="NoSpacing"/>
        <w:rPr>
          <w:rFonts w:ascii="Times New Roman" w:hAnsi="Times New Roman"/>
          <w:sz w:val="24"/>
          <w:szCs w:val="24"/>
        </w:rPr>
      </w:pPr>
    </w:p>
    <w:p w14:paraId="5D1C5DBF" w14:textId="77777777" w:rsidR="00C35503" w:rsidRPr="00C35503" w:rsidRDefault="00C35503" w:rsidP="00C35503">
      <w:pPr>
        <w:pStyle w:val="NoSpacing"/>
        <w:ind w:firstLine="720"/>
        <w:rPr>
          <w:rFonts w:ascii="Times New Roman" w:hAnsi="Times New Roman"/>
          <w:sz w:val="24"/>
          <w:szCs w:val="24"/>
        </w:rPr>
      </w:pPr>
      <w:r w:rsidRPr="00C35503">
        <w:rPr>
          <w:rFonts w:ascii="Times New Roman" w:hAnsi="Times New Roman"/>
          <w:sz w:val="24"/>
          <w:szCs w:val="24"/>
        </w:rPr>
        <w:t xml:space="preserve">On the evening of January 22, 2021, while at the home of her mother and father — </w:t>
      </w:r>
      <w:proofErr w:type="gramStart"/>
      <w:r w:rsidRPr="00C35503">
        <w:rPr>
          <w:rFonts w:ascii="Times New Roman" w:hAnsi="Times New Roman"/>
          <w:sz w:val="24"/>
          <w:szCs w:val="24"/>
        </w:rPr>
        <w:t>where</w:t>
      </w:r>
      <w:proofErr w:type="gramEnd"/>
    </w:p>
    <w:p w14:paraId="24454FDD" w14:textId="77777777" w:rsidR="00C35503" w:rsidRPr="00C35503" w:rsidRDefault="00C35503" w:rsidP="00C35503">
      <w:pPr>
        <w:pStyle w:val="NoSpacing"/>
        <w:ind w:left="720"/>
        <w:rPr>
          <w:rFonts w:ascii="Times New Roman" w:hAnsi="Times New Roman"/>
          <w:sz w:val="24"/>
          <w:szCs w:val="24"/>
        </w:rPr>
      </w:pPr>
      <w:r w:rsidRPr="00C35503">
        <w:rPr>
          <w:rFonts w:ascii="Times New Roman" w:hAnsi="Times New Roman"/>
          <w:sz w:val="24"/>
          <w:szCs w:val="24"/>
        </w:rPr>
        <w:t>she was living to help her mother who was battling cancer — Tamika Jones was struggling to breathe and could not walk….  Five days earlier, Ms. Jones’s father, Mr. Jones, had been hospitalized for symptoms related to COVID-19.</w:t>
      </w:r>
    </w:p>
    <w:p w14:paraId="1215A535" w14:textId="77777777" w:rsidR="00C35503" w:rsidRPr="00C35503" w:rsidRDefault="00C35503" w:rsidP="00C35503">
      <w:pPr>
        <w:pStyle w:val="NoSpacing"/>
        <w:rPr>
          <w:rFonts w:ascii="Times New Roman" w:hAnsi="Times New Roman"/>
          <w:sz w:val="24"/>
          <w:szCs w:val="24"/>
        </w:rPr>
      </w:pPr>
    </w:p>
    <w:p w14:paraId="636FA683" w14:textId="77777777" w:rsidR="00C35503" w:rsidRPr="00C35503" w:rsidRDefault="00C35503" w:rsidP="00C35503">
      <w:pPr>
        <w:pStyle w:val="NoSpacing"/>
        <w:ind w:firstLine="720"/>
        <w:rPr>
          <w:rFonts w:ascii="Times New Roman" w:hAnsi="Times New Roman"/>
          <w:sz w:val="24"/>
          <w:szCs w:val="24"/>
        </w:rPr>
      </w:pPr>
      <w:r w:rsidRPr="00C35503">
        <w:rPr>
          <w:rFonts w:ascii="Times New Roman" w:hAnsi="Times New Roman"/>
          <w:sz w:val="24"/>
          <w:szCs w:val="24"/>
        </w:rPr>
        <w:t>***</w:t>
      </w:r>
    </w:p>
    <w:p w14:paraId="4D53DBA3" w14:textId="77777777" w:rsidR="00C35503" w:rsidRPr="00C35503" w:rsidRDefault="00C35503" w:rsidP="00C35503">
      <w:pPr>
        <w:pStyle w:val="NoSpacing"/>
        <w:ind w:firstLine="720"/>
        <w:rPr>
          <w:rFonts w:ascii="Times New Roman" w:hAnsi="Times New Roman"/>
          <w:sz w:val="24"/>
          <w:szCs w:val="24"/>
        </w:rPr>
      </w:pPr>
      <w:r w:rsidRPr="00C35503">
        <w:rPr>
          <w:rFonts w:ascii="Times New Roman" w:hAnsi="Times New Roman"/>
          <w:sz w:val="24"/>
          <w:szCs w:val="24"/>
        </w:rPr>
        <w:t>The Aston Township Fire Department unit arrived first, and Marshall, a new EMT-B,</w:t>
      </w:r>
    </w:p>
    <w:p w14:paraId="251DD335" w14:textId="77777777" w:rsidR="00C35503" w:rsidRPr="00C35503" w:rsidRDefault="00C35503" w:rsidP="00C35503">
      <w:pPr>
        <w:pStyle w:val="NoSpacing"/>
        <w:ind w:firstLine="720"/>
        <w:rPr>
          <w:rFonts w:ascii="Times New Roman" w:hAnsi="Times New Roman"/>
          <w:sz w:val="24"/>
          <w:szCs w:val="24"/>
        </w:rPr>
      </w:pPr>
      <w:r w:rsidRPr="00C35503">
        <w:rPr>
          <w:rFonts w:ascii="Times New Roman" w:hAnsi="Times New Roman"/>
          <w:sz w:val="24"/>
          <w:szCs w:val="24"/>
        </w:rPr>
        <w:t>went inside the home…. According to the complaint, Marshall ‘consciously disregarded</w:t>
      </w:r>
    </w:p>
    <w:p w14:paraId="043C6DAD" w14:textId="77777777" w:rsidR="00C35503" w:rsidRPr="00C35503" w:rsidRDefault="00C35503" w:rsidP="00C35503">
      <w:pPr>
        <w:pStyle w:val="NoSpacing"/>
        <w:ind w:left="720"/>
        <w:rPr>
          <w:rFonts w:ascii="Times New Roman" w:hAnsi="Times New Roman"/>
          <w:sz w:val="24"/>
          <w:szCs w:val="24"/>
        </w:rPr>
      </w:pPr>
      <w:r w:rsidRPr="00C35503">
        <w:rPr>
          <w:rFonts w:ascii="Times New Roman" w:hAnsi="Times New Roman"/>
          <w:sz w:val="24"/>
          <w:szCs w:val="24"/>
        </w:rPr>
        <w:t xml:space="preserve">two blood oxygen readings [of Ms. Jones] which Marshall himself stated would be nearly fatal’ and “instead of investigating further by checking vital signs, [] acted with deliberate indifference by halting his evaluation.’ … Marshall purportedly told </w:t>
      </w:r>
      <w:proofErr w:type="gramStart"/>
      <w:r w:rsidRPr="00C35503">
        <w:rPr>
          <w:rFonts w:ascii="Times New Roman" w:hAnsi="Times New Roman"/>
          <w:sz w:val="24"/>
          <w:szCs w:val="24"/>
        </w:rPr>
        <w:t>Ms. Jones</w:t>
      </w:r>
      <w:proofErr w:type="gramEnd"/>
      <w:r w:rsidRPr="00C35503">
        <w:rPr>
          <w:rFonts w:ascii="Times New Roman" w:hAnsi="Times New Roman"/>
          <w:sz w:val="24"/>
          <w:szCs w:val="24"/>
        </w:rPr>
        <w:t xml:space="preserve"> ‘I can take you to the hospital, but they will just bring you back home’ and added ‘I’d stay here. </w:t>
      </w:r>
      <w:proofErr w:type="gramStart"/>
      <w:r w:rsidRPr="00C35503">
        <w:rPr>
          <w:rFonts w:ascii="Times New Roman" w:hAnsi="Times New Roman"/>
          <w:sz w:val="24"/>
          <w:szCs w:val="24"/>
        </w:rPr>
        <w:t>They are</w:t>
      </w:r>
      <w:proofErr w:type="gramEnd"/>
      <w:r w:rsidRPr="00C35503">
        <w:rPr>
          <w:rFonts w:ascii="Times New Roman" w:hAnsi="Times New Roman"/>
          <w:sz w:val="24"/>
          <w:szCs w:val="24"/>
        </w:rPr>
        <w:t xml:space="preserve"> really wanting people to </w:t>
      </w:r>
      <w:proofErr w:type="gramStart"/>
      <w:r w:rsidRPr="00C35503">
        <w:rPr>
          <w:rFonts w:ascii="Times New Roman" w:hAnsi="Times New Roman"/>
          <w:sz w:val="24"/>
          <w:szCs w:val="24"/>
        </w:rPr>
        <w:t>stay</w:t>
      </w:r>
      <w:proofErr w:type="gramEnd"/>
      <w:r w:rsidRPr="00C35503">
        <w:rPr>
          <w:rFonts w:ascii="Times New Roman" w:hAnsi="Times New Roman"/>
          <w:sz w:val="24"/>
          <w:szCs w:val="24"/>
        </w:rPr>
        <w:t xml:space="preserve"> home. Your best chance is to stay here.’ … Before leaving Ms. Jones, Marshall did not get a signed refusal form or contact Medical Command, which is supposed to be ‘the final sign-off in deciding not to transport a patient.’ Meanwhile, Kisela, the more experienced EMT-B, ‘waived off’ the Advanced Life Support unit….The incident report completed by Marshall and Kisela indicated ‘No Patient Assessed.’ …Ms. Jones died the next day.”</w:t>
      </w:r>
    </w:p>
    <w:p w14:paraId="1D483C06" w14:textId="77777777" w:rsidR="00C35503" w:rsidRPr="00C35503" w:rsidRDefault="00C35503" w:rsidP="00C35503">
      <w:pPr>
        <w:pStyle w:val="NoSpacing"/>
        <w:rPr>
          <w:rFonts w:ascii="Times New Roman" w:hAnsi="Times New Roman"/>
          <w:sz w:val="24"/>
          <w:szCs w:val="24"/>
        </w:rPr>
      </w:pPr>
    </w:p>
    <w:p w14:paraId="7733722A" w14:textId="77777777" w:rsidR="00C35503" w:rsidRPr="00C35503" w:rsidRDefault="00C35503" w:rsidP="00C35503">
      <w:pPr>
        <w:pStyle w:val="NoSpacing"/>
        <w:rPr>
          <w:rFonts w:ascii="Times New Roman" w:hAnsi="Times New Roman"/>
          <w:b/>
          <w:bCs/>
          <w:sz w:val="24"/>
          <w:szCs w:val="24"/>
        </w:rPr>
      </w:pPr>
      <w:r w:rsidRPr="00C35503">
        <w:rPr>
          <w:rFonts w:ascii="Times New Roman" w:hAnsi="Times New Roman"/>
          <w:b/>
          <w:sz w:val="24"/>
          <w:szCs w:val="24"/>
        </w:rPr>
        <w:t xml:space="preserve">Legal Lesson Learned: Get a set of vitals and if no transported is indicated, obtain a signed patient refusal. </w:t>
      </w:r>
    </w:p>
    <w:p w14:paraId="1FB26D20" w14:textId="77777777" w:rsidR="006D52C4" w:rsidRPr="00C35503" w:rsidRDefault="006D52C4" w:rsidP="002B1283">
      <w:pPr>
        <w:rPr>
          <w:rFonts w:ascii="Times New Roman" w:hAnsi="Times New Roman"/>
          <w:b/>
          <w:bCs/>
          <w:sz w:val="24"/>
          <w:szCs w:val="24"/>
        </w:rPr>
      </w:pPr>
    </w:p>
    <w:p w14:paraId="7C09D5C4" w14:textId="77777777" w:rsidR="006D52C4" w:rsidRDefault="006D52C4" w:rsidP="002B1283">
      <w:pPr>
        <w:rPr>
          <w:rFonts w:ascii="Arial Black" w:hAnsi="Arial Black"/>
          <w:b/>
          <w:bCs/>
          <w:sz w:val="28"/>
          <w:szCs w:val="28"/>
        </w:rPr>
      </w:pPr>
    </w:p>
    <w:p w14:paraId="60C32DD2" w14:textId="1B1126CA" w:rsidR="00300506" w:rsidRDefault="00300506" w:rsidP="002B1283">
      <w:pPr>
        <w:rPr>
          <w:rFonts w:ascii="Arial Black" w:hAnsi="Arial Black"/>
          <w:b/>
          <w:bCs/>
          <w:sz w:val="28"/>
          <w:szCs w:val="28"/>
        </w:rPr>
      </w:pPr>
      <w:r>
        <w:rPr>
          <w:rFonts w:ascii="Arial Black" w:hAnsi="Arial Black"/>
          <w:b/>
          <w:bCs/>
          <w:sz w:val="28"/>
          <w:szCs w:val="28"/>
        </w:rPr>
        <w:t>13-205</w:t>
      </w:r>
    </w:p>
    <w:p w14:paraId="7CEDE818" w14:textId="689F7F76" w:rsidR="002270FF" w:rsidRPr="000B7F2C" w:rsidRDefault="002270FF" w:rsidP="002270FF">
      <w:pPr>
        <w:rPr>
          <w:rFonts w:ascii="Arial Black" w:hAnsi="Arial Black"/>
          <w:bCs/>
          <w:sz w:val="28"/>
          <w:szCs w:val="28"/>
        </w:rPr>
      </w:pPr>
      <w:r w:rsidRPr="000B7F2C">
        <w:rPr>
          <w:rFonts w:ascii="Arial Black" w:hAnsi="Arial Black"/>
          <w:sz w:val="28"/>
          <w:szCs w:val="28"/>
        </w:rPr>
        <w:t xml:space="preserve">MA: </w:t>
      </w:r>
      <w:r>
        <w:rPr>
          <w:rFonts w:ascii="Arial Black" w:hAnsi="Arial Black"/>
          <w:sz w:val="28"/>
          <w:szCs w:val="28"/>
        </w:rPr>
        <w:t xml:space="preserve">FIRED </w:t>
      </w:r>
      <w:r w:rsidR="00E56ACD">
        <w:rPr>
          <w:rFonts w:ascii="Arial Black" w:hAnsi="Arial Black"/>
          <w:sz w:val="28"/>
          <w:szCs w:val="28"/>
        </w:rPr>
        <w:t>–</w:t>
      </w:r>
      <w:r>
        <w:rPr>
          <w:rFonts w:ascii="Arial Black" w:hAnsi="Arial Black"/>
          <w:sz w:val="28"/>
          <w:szCs w:val="28"/>
        </w:rPr>
        <w:t xml:space="preserve"> </w:t>
      </w:r>
      <w:r w:rsidRPr="000B7F2C">
        <w:rPr>
          <w:rFonts w:ascii="Arial Black" w:hAnsi="Arial Black"/>
          <w:sz w:val="28"/>
          <w:szCs w:val="28"/>
        </w:rPr>
        <w:t>WHISTLEBLOWER</w:t>
      </w:r>
      <w:r w:rsidR="004B4BE8">
        <w:rPr>
          <w:rFonts w:ascii="Arial Black" w:hAnsi="Arial Black"/>
          <w:sz w:val="28"/>
          <w:szCs w:val="28"/>
        </w:rPr>
        <w:t xml:space="preserve"> CASE PROCEED</w:t>
      </w:r>
      <w:r w:rsidR="00E56ACD">
        <w:rPr>
          <w:rFonts w:ascii="Arial Black" w:hAnsi="Arial Black"/>
          <w:sz w:val="28"/>
          <w:szCs w:val="28"/>
        </w:rPr>
        <w:t xml:space="preserve"> </w:t>
      </w:r>
      <w:r w:rsidR="004B4BE8">
        <w:rPr>
          <w:rFonts w:ascii="Arial Black" w:hAnsi="Arial Black"/>
          <w:sz w:val="28"/>
          <w:szCs w:val="28"/>
        </w:rPr>
        <w:t>–</w:t>
      </w:r>
      <w:r w:rsidR="00E56ACD">
        <w:rPr>
          <w:rFonts w:ascii="Arial Black" w:hAnsi="Arial Black"/>
          <w:sz w:val="28"/>
          <w:szCs w:val="28"/>
        </w:rPr>
        <w:t xml:space="preserve"> </w:t>
      </w:r>
      <w:r w:rsidR="004B4BE8">
        <w:rPr>
          <w:rFonts w:ascii="Arial Black" w:hAnsi="Arial Black"/>
          <w:sz w:val="28"/>
          <w:szCs w:val="28"/>
        </w:rPr>
        <w:t>PHOTO PT INJURY</w:t>
      </w:r>
    </w:p>
    <w:p w14:paraId="4DEDE99D" w14:textId="775005AD" w:rsidR="002270FF" w:rsidRPr="002270FF" w:rsidRDefault="002270FF" w:rsidP="002270FF">
      <w:pPr>
        <w:rPr>
          <w:rFonts w:ascii="Times New Roman" w:hAnsi="Times New Roman"/>
          <w:bCs/>
          <w:sz w:val="24"/>
          <w:szCs w:val="24"/>
        </w:rPr>
      </w:pPr>
      <w:r w:rsidRPr="002270FF">
        <w:rPr>
          <w:rFonts w:ascii="Times New Roman" w:hAnsi="Times New Roman"/>
          <w:sz w:val="24"/>
          <w:szCs w:val="24"/>
        </w:rPr>
        <w:t xml:space="preserve">On Jan. 30, 2025, in </w:t>
      </w:r>
      <w:r w:rsidRPr="002270FF">
        <w:rPr>
          <w:rFonts w:ascii="Times New Roman" w:hAnsi="Times New Roman"/>
          <w:sz w:val="24"/>
          <w:szCs w:val="24"/>
          <w:u w:val="single"/>
        </w:rPr>
        <w:t>Nial Luu v. Falon Service, Inc</w:t>
      </w:r>
      <w:r w:rsidRPr="002270FF">
        <w:rPr>
          <w:rFonts w:ascii="Times New Roman" w:hAnsi="Times New Roman"/>
          <w:sz w:val="24"/>
          <w:szCs w:val="24"/>
        </w:rPr>
        <w:t xml:space="preserve">., the Appeals Court of Massachusetts held (3 to 0) that trial court improperly dismissed the lawsuit.  On Nov. 30, 2019, the EMT was driving ambulance transporting patent from Encompass Health Rehabilitation Hospital experiencing an altered mental status to a hospital.   “Upon arrival at the hospital, the plaintiff became aware of a new hemorrhage wound on the patient's arm. The plaintiff questioned his partner about how the injury resulted, but the partner </w:t>
      </w:r>
      <w:proofErr w:type="gramStart"/>
      <w:r w:rsidRPr="002270FF">
        <w:rPr>
          <w:rFonts w:ascii="Times New Roman" w:hAnsi="Times New Roman"/>
          <w:sz w:val="24"/>
          <w:szCs w:val="24"/>
        </w:rPr>
        <w:t>was not able to</w:t>
      </w:r>
      <w:proofErr w:type="gramEnd"/>
      <w:r w:rsidRPr="002270FF">
        <w:rPr>
          <w:rFonts w:ascii="Times New Roman" w:hAnsi="Times New Roman"/>
          <w:sz w:val="24"/>
          <w:szCs w:val="24"/>
        </w:rPr>
        <w:t xml:space="preserve"> provide an explanation. Believing that the injury was a result of his partner's misconduct and neglect of the patient, the plaintiff used his personal cell phone to take photographs and one video recording of the patient's arm injury prior to taking the patient into the hospital.”   After reporting this to his </w:t>
      </w:r>
      <w:proofErr w:type="gramStart"/>
      <w:r w:rsidRPr="002270FF">
        <w:rPr>
          <w:rFonts w:ascii="Times New Roman" w:hAnsi="Times New Roman"/>
          <w:sz w:val="24"/>
          <w:szCs w:val="24"/>
        </w:rPr>
        <w:t>Supervisor</w:t>
      </w:r>
      <w:proofErr w:type="gramEnd"/>
      <w:r w:rsidRPr="002270FF">
        <w:rPr>
          <w:rFonts w:ascii="Times New Roman" w:hAnsi="Times New Roman"/>
          <w:sz w:val="24"/>
          <w:szCs w:val="24"/>
        </w:rPr>
        <w:t xml:space="preserve"> and sending her a copy of the photo, his job duties now included sweeping, mopping, and sanitizing the station and paramedic trucks.  On Jan. 8, </w:t>
      </w:r>
      <w:proofErr w:type="gramStart"/>
      <w:r w:rsidRPr="002270FF">
        <w:rPr>
          <w:rFonts w:ascii="Times New Roman" w:hAnsi="Times New Roman"/>
          <w:sz w:val="24"/>
          <w:szCs w:val="24"/>
        </w:rPr>
        <w:t>2020</w:t>
      </w:r>
      <w:proofErr w:type="gramEnd"/>
      <w:r w:rsidRPr="002270FF">
        <w:rPr>
          <w:rFonts w:ascii="Times New Roman" w:hAnsi="Times New Roman"/>
          <w:sz w:val="24"/>
          <w:szCs w:val="24"/>
        </w:rPr>
        <w:t xml:space="preserve"> he was told to delete the photo in meeting with Vice-President, Human Resources Director, and Senior Vice-President. Instead, on Jan. 14, </w:t>
      </w:r>
      <w:proofErr w:type="gramStart"/>
      <w:r w:rsidRPr="002270FF">
        <w:rPr>
          <w:rFonts w:ascii="Times New Roman" w:hAnsi="Times New Roman"/>
          <w:sz w:val="24"/>
          <w:szCs w:val="24"/>
        </w:rPr>
        <w:t>2020</w:t>
      </w:r>
      <w:proofErr w:type="gramEnd"/>
      <w:r w:rsidRPr="002270FF">
        <w:rPr>
          <w:rFonts w:ascii="Times New Roman" w:hAnsi="Times New Roman"/>
          <w:sz w:val="24"/>
          <w:szCs w:val="24"/>
        </w:rPr>
        <w:t xml:space="preserve"> he made report to the State Office of Emergency Medical Services – he was fired on Jan. 17 for not deleting the photo.</w:t>
      </w:r>
      <w:r w:rsidR="00956215">
        <w:rPr>
          <w:rFonts w:ascii="Times New Roman" w:hAnsi="Times New Roman"/>
          <w:sz w:val="24"/>
          <w:szCs w:val="24"/>
        </w:rPr>
        <w:t xml:space="preserve"> </w:t>
      </w:r>
      <w:hyperlink r:id="rId2090" w:history="1">
        <w:r w:rsidR="00956215" w:rsidRPr="000F3B38">
          <w:rPr>
            <w:rStyle w:val="Hyperlink"/>
            <w:rFonts w:ascii="Times New Roman" w:hAnsi="Times New Roman"/>
            <w:sz w:val="24"/>
            <w:szCs w:val="24"/>
          </w:rPr>
          <w:t>https://caselaw.findlaw.com/court/ma-court-of-appeals/116890923.html</w:t>
        </w:r>
      </w:hyperlink>
      <w:r w:rsidR="00956215">
        <w:rPr>
          <w:rFonts w:ascii="Times New Roman" w:hAnsi="Times New Roman"/>
          <w:sz w:val="24"/>
          <w:szCs w:val="24"/>
        </w:rPr>
        <w:t xml:space="preserve"> </w:t>
      </w:r>
    </w:p>
    <w:p w14:paraId="3B28007B" w14:textId="77777777" w:rsidR="002270FF" w:rsidRPr="002270FF" w:rsidRDefault="002270FF" w:rsidP="002270FF">
      <w:pPr>
        <w:rPr>
          <w:rFonts w:ascii="Times New Roman" w:hAnsi="Times New Roman"/>
          <w:bCs/>
          <w:sz w:val="24"/>
          <w:szCs w:val="24"/>
        </w:rPr>
      </w:pPr>
      <w:r w:rsidRPr="002270FF">
        <w:rPr>
          <w:rFonts w:ascii="Times New Roman" w:hAnsi="Times New Roman"/>
          <w:sz w:val="24"/>
          <w:szCs w:val="24"/>
        </w:rPr>
        <w:lastRenderedPageBreak/>
        <w:t>The Court wrote:</w:t>
      </w:r>
    </w:p>
    <w:p w14:paraId="08A73D5D" w14:textId="77777777" w:rsidR="002270FF" w:rsidRPr="002270FF" w:rsidRDefault="002270FF" w:rsidP="002270FF">
      <w:pPr>
        <w:ind w:left="720"/>
        <w:rPr>
          <w:rFonts w:ascii="Times New Roman" w:hAnsi="Times New Roman"/>
          <w:sz w:val="24"/>
          <w:szCs w:val="24"/>
        </w:rPr>
      </w:pPr>
      <w:r w:rsidRPr="002270FF">
        <w:rPr>
          <w:rFonts w:ascii="Times New Roman" w:hAnsi="Times New Roman"/>
          <w:sz w:val="24"/>
          <w:szCs w:val="24"/>
        </w:rPr>
        <w:t xml:space="preserve">“Concluding that </w:t>
      </w:r>
      <w:hyperlink r:id="rId2091" w:history="1">
        <w:r w:rsidRPr="002270FF">
          <w:rPr>
            <w:rStyle w:val="Hyperlink"/>
            <w:rFonts w:ascii="Times New Roman" w:hAnsi="Times New Roman"/>
            <w:sz w:val="24"/>
            <w:szCs w:val="24"/>
          </w:rPr>
          <w:t>G. L. c. 149, § 187 (</w:t>
        </w:r>
        <w:r w:rsidRPr="002270FF">
          <w:rPr>
            <w:rStyle w:val="Hyperlink"/>
            <w:rFonts w:ascii="Times New Roman" w:hAnsi="Times New Roman"/>
            <w:i/>
            <w:iCs/>
            <w:sz w:val="24"/>
            <w:szCs w:val="24"/>
          </w:rPr>
          <w:t>b</w:t>
        </w:r>
        <w:r w:rsidRPr="002270FF">
          <w:rPr>
            <w:rStyle w:val="Hyperlink"/>
            <w:rFonts w:ascii="Times New Roman" w:hAnsi="Times New Roman"/>
            <w:sz w:val="24"/>
            <w:szCs w:val="24"/>
          </w:rPr>
          <w:t>)</w:t>
        </w:r>
      </w:hyperlink>
      <w:r w:rsidRPr="002270FF">
        <w:rPr>
          <w:rFonts w:ascii="Times New Roman" w:hAnsi="Times New Roman"/>
          <w:sz w:val="24"/>
          <w:szCs w:val="24"/>
        </w:rPr>
        <w:t>, prohibits retaliation by an ambulance service against an EMT employed by it for reporting medical misconduct to the government, we reverse the dismissal of the whistleblower claim.</w:t>
      </w:r>
    </w:p>
    <w:p w14:paraId="12E9C1A0" w14:textId="77777777" w:rsidR="002270FF" w:rsidRPr="002270FF" w:rsidRDefault="002270FF" w:rsidP="002270FF">
      <w:pPr>
        <w:ind w:firstLine="720"/>
        <w:rPr>
          <w:rFonts w:ascii="Times New Roman" w:hAnsi="Times New Roman"/>
          <w:sz w:val="24"/>
          <w:szCs w:val="24"/>
        </w:rPr>
      </w:pPr>
      <w:r w:rsidRPr="002270FF">
        <w:rPr>
          <w:rFonts w:ascii="Times New Roman" w:hAnsi="Times New Roman"/>
          <w:sz w:val="24"/>
          <w:szCs w:val="24"/>
        </w:rPr>
        <w:t>***</w:t>
      </w:r>
    </w:p>
    <w:p w14:paraId="2CB5CA61" w14:textId="77777777" w:rsidR="002270FF" w:rsidRPr="002270FF" w:rsidRDefault="002270FF" w:rsidP="002270FF">
      <w:pPr>
        <w:ind w:left="720"/>
        <w:rPr>
          <w:rFonts w:ascii="Times New Roman" w:hAnsi="Times New Roman"/>
          <w:sz w:val="24"/>
          <w:szCs w:val="24"/>
        </w:rPr>
      </w:pPr>
      <w:r w:rsidRPr="002270FF">
        <w:rPr>
          <w:rFonts w:ascii="Times New Roman" w:hAnsi="Times New Roman"/>
          <w:sz w:val="24"/>
          <w:szCs w:val="24"/>
        </w:rPr>
        <w:t xml:space="preserve">The plaintiff here falls squarely within ‘any other health care provider who performs or has performed health care related services for and under the control of a health care facility for care-related services.’ </w:t>
      </w:r>
      <w:hyperlink r:id="rId2092" w:history="1">
        <w:r w:rsidRPr="002270FF">
          <w:rPr>
            <w:rStyle w:val="Hyperlink"/>
            <w:rFonts w:ascii="Times New Roman" w:hAnsi="Times New Roman"/>
            <w:sz w:val="24"/>
            <w:szCs w:val="24"/>
          </w:rPr>
          <w:t>G. L. c. 149, § 187 (</w:t>
        </w:r>
        <w:r w:rsidRPr="002270FF">
          <w:rPr>
            <w:rStyle w:val="Hyperlink"/>
            <w:rFonts w:ascii="Times New Roman" w:hAnsi="Times New Roman"/>
            <w:i/>
            <w:iCs/>
            <w:sz w:val="24"/>
            <w:szCs w:val="24"/>
          </w:rPr>
          <w:t>a</w:t>
        </w:r>
        <w:r w:rsidRPr="002270FF">
          <w:rPr>
            <w:rStyle w:val="Hyperlink"/>
            <w:rFonts w:ascii="Times New Roman" w:hAnsi="Times New Roman"/>
            <w:sz w:val="24"/>
            <w:szCs w:val="24"/>
          </w:rPr>
          <w:t>)</w:t>
        </w:r>
      </w:hyperlink>
      <w:r w:rsidRPr="002270FF">
        <w:rPr>
          <w:rFonts w:ascii="Times New Roman" w:hAnsi="Times New Roman"/>
          <w:sz w:val="24"/>
          <w:szCs w:val="24"/>
        </w:rPr>
        <w:t xml:space="preserve">. As an EMT employed by Fallon, the plaintiff performed care-related services for and under the control of Fallon, a health care facility, including driving an ambulance and providing patient care in transport. During the incident in question, the plaintiff responded to a call at a rehabilitation hospital for a patient experiencing a medical emergency. The plaintiff was responsible for driving the ambulance as his partner provided medical care to the patient in the vehicle. In each of these tasks, the plaintiff interacted directly with the patient, who required immediate health care service. This falls within the patient care that </w:t>
      </w:r>
      <w:hyperlink r:id="rId2093" w:history="1">
        <w:r w:rsidRPr="002270FF">
          <w:rPr>
            <w:rStyle w:val="Hyperlink"/>
            <w:rFonts w:ascii="Times New Roman" w:hAnsi="Times New Roman"/>
            <w:sz w:val="24"/>
            <w:szCs w:val="24"/>
          </w:rPr>
          <w:t>G. L. c. 149, § 187</w:t>
        </w:r>
      </w:hyperlink>
      <w:r w:rsidRPr="002270FF">
        <w:rPr>
          <w:rFonts w:ascii="Times New Roman" w:hAnsi="Times New Roman"/>
          <w:sz w:val="24"/>
          <w:szCs w:val="24"/>
        </w:rPr>
        <w:t>, was designed to safeguard.”</w:t>
      </w:r>
    </w:p>
    <w:p w14:paraId="5521A801" w14:textId="6A20C893" w:rsidR="002270FF" w:rsidRPr="002270FF" w:rsidRDefault="002270FF" w:rsidP="002270FF">
      <w:pPr>
        <w:rPr>
          <w:rFonts w:ascii="Times New Roman" w:hAnsi="Times New Roman"/>
          <w:b/>
          <w:bCs/>
          <w:sz w:val="24"/>
          <w:szCs w:val="24"/>
        </w:rPr>
      </w:pPr>
      <w:r w:rsidRPr="002270FF">
        <w:rPr>
          <w:rFonts w:ascii="Times New Roman" w:hAnsi="Times New Roman"/>
          <w:b/>
          <w:sz w:val="24"/>
          <w:szCs w:val="24"/>
        </w:rPr>
        <w:t xml:space="preserve">Legal Lesson Learned: Avoid whistleblower lawsuits.  When an employee reports possible misconduct by another employee, promptly </w:t>
      </w:r>
      <w:proofErr w:type="gramStart"/>
      <w:r w:rsidRPr="002270FF">
        <w:rPr>
          <w:rFonts w:ascii="Times New Roman" w:hAnsi="Times New Roman"/>
          <w:b/>
          <w:sz w:val="24"/>
          <w:szCs w:val="24"/>
        </w:rPr>
        <w:t>conduct an investigation</w:t>
      </w:r>
      <w:proofErr w:type="gramEnd"/>
      <w:r w:rsidRPr="002270FF">
        <w:rPr>
          <w:rFonts w:ascii="Times New Roman" w:hAnsi="Times New Roman"/>
          <w:b/>
          <w:sz w:val="24"/>
          <w:szCs w:val="24"/>
        </w:rPr>
        <w:t xml:space="preserve"> and </w:t>
      </w:r>
      <w:r w:rsidR="001C1BE8">
        <w:rPr>
          <w:rFonts w:ascii="Times New Roman" w:hAnsi="Times New Roman"/>
          <w:b/>
          <w:sz w:val="24"/>
          <w:szCs w:val="24"/>
        </w:rPr>
        <w:t xml:space="preserve">inform </w:t>
      </w:r>
      <w:proofErr w:type="gramStart"/>
      <w:r w:rsidR="009B6783">
        <w:rPr>
          <w:rFonts w:ascii="Times New Roman" w:hAnsi="Times New Roman"/>
          <w:b/>
          <w:sz w:val="24"/>
          <w:szCs w:val="24"/>
        </w:rPr>
        <w:t>employee</w:t>
      </w:r>
      <w:proofErr w:type="gramEnd"/>
      <w:r w:rsidR="009B6783">
        <w:rPr>
          <w:rFonts w:ascii="Times New Roman" w:hAnsi="Times New Roman"/>
          <w:b/>
          <w:sz w:val="24"/>
          <w:szCs w:val="24"/>
        </w:rPr>
        <w:t xml:space="preserve"> </w:t>
      </w:r>
      <w:r w:rsidRPr="002270FF">
        <w:rPr>
          <w:rFonts w:ascii="Times New Roman" w:hAnsi="Times New Roman"/>
          <w:b/>
          <w:sz w:val="24"/>
          <w:szCs w:val="24"/>
        </w:rPr>
        <w:t xml:space="preserve">of </w:t>
      </w:r>
      <w:proofErr w:type="gramStart"/>
      <w:r w:rsidRPr="002270FF">
        <w:rPr>
          <w:rFonts w:ascii="Times New Roman" w:hAnsi="Times New Roman"/>
          <w:b/>
          <w:sz w:val="24"/>
          <w:szCs w:val="24"/>
        </w:rPr>
        <w:t>your</w:t>
      </w:r>
      <w:proofErr w:type="gramEnd"/>
      <w:r w:rsidRPr="002270FF">
        <w:rPr>
          <w:rFonts w:ascii="Times New Roman" w:hAnsi="Times New Roman"/>
          <w:b/>
          <w:sz w:val="24"/>
          <w:szCs w:val="24"/>
        </w:rPr>
        <w:t xml:space="preserve"> actions.  </w:t>
      </w:r>
    </w:p>
    <w:p w14:paraId="2C1EAEC4" w14:textId="77777777" w:rsidR="00300506" w:rsidRPr="002270FF" w:rsidRDefault="00300506" w:rsidP="002B1283">
      <w:pPr>
        <w:rPr>
          <w:rFonts w:ascii="Times New Roman" w:hAnsi="Times New Roman"/>
          <w:b/>
          <w:bCs/>
          <w:sz w:val="24"/>
          <w:szCs w:val="24"/>
        </w:rPr>
      </w:pPr>
    </w:p>
    <w:p w14:paraId="0785EAA7" w14:textId="37720460" w:rsidR="00816951" w:rsidRDefault="00816951" w:rsidP="002B1283">
      <w:pPr>
        <w:rPr>
          <w:rFonts w:ascii="Arial Black" w:hAnsi="Arial Black"/>
          <w:b/>
          <w:bCs/>
          <w:sz w:val="28"/>
          <w:szCs w:val="28"/>
        </w:rPr>
      </w:pPr>
      <w:r>
        <w:rPr>
          <w:rFonts w:ascii="Arial Black" w:hAnsi="Arial Black"/>
          <w:b/>
          <w:bCs/>
          <w:sz w:val="28"/>
          <w:szCs w:val="28"/>
        </w:rPr>
        <w:t>13-204</w:t>
      </w:r>
    </w:p>
    <w:p w14:paraId="0D36C7C3" w14:textId="07B8C3B8" w:rsidR="00816951" w:rsidRPr="00BF1717" w:rsidRDefault="00816951" w:rsidP="00816951">
      <w:pPr>
        <w:rPr>
          <w:rFonts w:ascii="Arial Black" w:hAnsi="Arial Black"/>
          <w:b/>
          <w:sz w:val="28"/>
          <w:szCs w:val="28"/>
        </w:rPr>
      </w:pPr>
      <w:r>
        <w:rPr>
          <w:rFonts w:ascii="Arial Black" w:hAnsi="Arial Black"/>
          <w:b/>
          <w:sz w:val="28"/>
          <w:szCs w:val="28"/>
        </w:rPr>
        <w:t xml:space="preserve">MN: </w:t>
      </w:r>
      <w:r w:rsidR="00206727">
        <w:rPr>
          <w:rFonts w:ascii="Arial Black" w:hAnsi="Arial Black"/>
          <w:b/>
          <w:sz w:val="28"/>
          <w:szCs w:val="28"/>
        </w:rPr>
        <w:t xml:space="preserve">AMBUL. CODER – </w:t>
      </w:r>
      <w:r>
        <w:rPr>
          <w:rFonts w:ascii="Arial Black" w:hAnsi="Arial Black"/>
          <w:b/>
          <w:sz w:val="28"/>
          <w:szCs w:val="28"/>
        </w:rPr>
        <w:t>WHISTLEBLOWER</w:t>
      </w:r>
      <w:r w:rsidR="00206727">
        <w:rPr>
          <w:rFonts w:ascii="Arial Black" w:hAnsi="Arial Black"/>
          <w:b/>
          <w:sz w:val="28"/>
          <w:szCs w:val="28"/>
        </w:rPr>
        <w:t xml:space="preserve"> - “BLS” UPCHARGED “ALS” </w:t>
      </w:r>
    </w:p>
    <w:p w14:paraId="099A4B53" w14:textId="77777777" w:rsidR="00816951" w:rsidRPr="000C1D8F" w:rsidRDefault="00816951" w:rsidP="00816951">
      <w:pPr>
        <w:pStyle w:val="NoSpacing"/>
        <w:rPr>
          <w:rFonts w:ascii="Times New Roman" w:hAnsi="Times New Roman"/>
          <w:sz w:val="24"/>
          <w:szCs w:val="24"/>
        </w:rPr>
      </w:pPr>
      <w:r w:rsidRPr="000C1D8F">
        <w:rPr>
          <w:rFonts w:ascii="Times New Roman" w:hAnsi="Times New Roman"/>
          <w:sz w:val="24"/>
          <w:szCs w:val="24"/>
        </w:rPr>
        <w:t xml:space="preserve">On Jan. 24, 2025, in </w:t>
      </w:r>
      <w:r w:rsidRPr="000C1D8F">
        <w:rPr>
          <w:rFonts w:ascii="Times New Roman" w:hAnsi="Times New Roman"/>
          <w:sz w:val="24"/>
          <w:szCs w:val="24"/>
          <w:u w:val="single"/>
        </w:rPr>
        <w:t>United States of America and the State of Minnesota, ex rel. Ashley Mothershed v. Mayo Clinic Ambulance</w:t>
      </w:r>
      <w:r w:rsidRPr="000C1D8F">
        <w:rPr>
          <w:rFonts w:ascii="Times New Roman" w:hAnsi="Times New Roman"/>
          <w:sz w:val="24"/>
          <w:szCs w:val="24"/>
        </w:rPr>
        <w:t xml:space="preserve">, United States District Court Judge Donovan W. Frank denied the Mayo Clinic motion to dismiss the false claim case (but dismiss duplicative counts of submitting false records). The whistleblower is an experienced ambulance coding employee; in her lawsuit she provided numerous examples of inflated charges.  Pre-trial discovery will now proceed (when federal government intervenes, whistleblowers typically receive 15% to 30% of the recovery by federal government). </w:t>
      </w:r>
      <w:hyperlink r:id="rId2094" w:history="1">
        <w:r w:rsidRPr="000C1D8F">
          <w:rPr>
            <w:rStyle w:val="Hyperlink"/>
            <w:rFonts w:ascii="Times New Roman" w:hAnsi="Times New Roman"/>
            <w:sz w:val="24"/>
            <w:szCs w:val="24"/>
          </w:rPr>
          <w:t>https://cases.justia.com/federal/district-courts/minnesota/mndce/0:2022cv00602/199430/91/0.pdf?ts=1737802391</w:t>
        </w:r>
      </w:hyperlink>
      <w:r w:rsidRPr="000C1D8F">
        <w:rPr>
          <w:rFonts w:ascii="Times New Roman" w:hAnsi="Times New Roman"/>
          <w:sz w:val="24"/>
          <w:szCs w:val="24"/>
        </w:rPr>
        <w:t xml:space="preserve"> </w:t>
      </w:r>
    </w:p>
    <w:p w14:paraId="7F486D90" w14:textId="77777777" w:rsidR="00816951" w:rsidRPr="000C1D8F" w:rsidRDefault="00816951" w:rsidP="00816951">
      <w:pPr>
        <w:pStyle w:val="NoSpacing"/>
        <w:rPr>
          <w:rFonts w:ascii="Times New Roman" w:hAnsi="Times New Roman"/>
          <w:sz w:val="24"/>
          <w:szCs w:val="24"/>
        </w:rPr>
      </w:pPr>
    </w:p>
    <w:p w14:paraId="18A03948" w14:textId="77777777" w:rsidR="00816951" w:rsidRPr="000C1D8F" w:rsidRDefault="00816951" w:rsidP="00816951">
      <w:pPr>
        <w:pStyle w:val="NoSpacing"/>
        <w:rPr>
          <w:rFonts w:ascii="Times New Roman" w:hAnsi="Times New Roman"/>
          <w:sz w:val="24"/>
          <w:szCs w:val="24"/>
        </w:rPr>
      </w:pPr>
      <w:r w:rsidRPr="000C1D8F">
        <w:rPr>
          <w:rFonts w:ascii="Times New Roman" w:hAnsi="Times New Roman"/>
          <w:sz w:val="24"/>
          <w:szCs w:val="24"/>
        </w:rPr>
        <w:t>The Court wrote:</w:t>
      </w:r>
    </w:p>
    <w:p w14:paraId="55C23E52" w14:textId="77777777" w:rsidR="00816951" w:rsidRPr="000C1D8F" w:rsidRDefault="00816951" w:rsidP="00816951">
      <w:pPr>
        <w:pStyle w:val="NoSpacing"/>
        <w:rPr>
          <w:rFonts w:ascii="Times New Roman" w:hAnsi="Times New Roman"/>
          <w:sz w:val="24"/>
          <w:szCs w:val="24"/>
        </w:rPr>
      </w:pPr>
    </w:p>
    <w:p w14:paraId="17DDAE5A" w14:textId="77777777" w:rsidR="00816951" w:rsidRPr="000C1D8F" w:rsidRDefault="00816951" w:rsidP="00816951">
      <w:pPr>
        <w:pStyle w:val="NoSpacing"/>
        <w:ind w:firstLine="720"/>
        <w:rPr>
          <w:rFonts w:ascii="Times New Roman" w:hAnsi="Times New Roman"/>
          <w:sz w:val="24"/>
          <w:szCs w:val="24"/>
        </w:rPr>
      </w:pPr>
      <w:r w:rsidRPr="000C1D8F">
        <w:rPr>
          <w:rFonts w:ascii="Times New Roman" w:hAnsi="Times New Roman"/>
          <w:sz w:val="24"/>
          <w:szCs w:val="24"/>
        </w:rPr>
        <w:t>“Mothershed is an experienced professional in ambulance coding compliance….</w:t>
      </w:r>
    </w:p>
    <w:p w14:paraId="2E766F04" w14:textId="77777777" w:rsidR="00816951" w:rsidRPr="000C1D8F" w:rsidRDefault="00816951" w:rsidP="00816951">
      <w:pPr>
        <w:pStyle w:val="NoSpacing"/>
        <w:ind w:left="720"/>
        <w:rPr>
          <w:rFonts w:ascii="Times New Roman" w:hAnsi="Times New Roman"/>
          <w:sz w:val="24"/>
          <w:szCs w:val="24"/>
        </w:rPr>
      </w:pPr>
      <w:r w:rsidRPr="000C1D8F">
        <w:rPr>
          <w:rFonts w:ascii="Times New Roman" w:hAnsi="Times New Roman"/>
          <w:sz w:val="24"/>
          <w:szCs w:val="24"/>
        </w:rPr>
        <w:t>Mayo is a Minnesota-based, non-profit organization that provides ambulance transport services in both Minnesota and Wisconsin</w:t>
      </w:r>
      <w:proofErr w:type="gramStart"/>
      <w:r w:rsidRPr="000C1D8F">
        <w:rPr>
          <w:rFonts w:ascii="Times New Roman" w:hAnsi="Times New Roman"/>
          <w:sz w:val="24"/>
          <w:szCs w:val="24"/>
        </w:rPr>
        <w:t>.…</w:t>
      </w:r>
      <w:proofErr w:type="gramEnd"/>
      <w:r w:rsidRPr="000C1D8F">
        <w:rPr>
          <w:rFonts w:ascii="Times New Roman" w:hAnsi="Times New Roman"/>
          <w:sz w:val="24"/>
          <w:szCs w:val="24"/>
        </w:rPr>
        <w:t xml:space="preserve"> In November 2020, Mothershed began working remotely for Mayo’s billing department….She worked for Mayo from November 2020 through June 2021, and then again from September 2021 through May 2022….As a biller in Mayo’s billing department, Mothershed used information from</w:t>
      </w:r>
    </w:p>
    <w:p w14:paraId="108DA866" w14:textId="77777777" w:rsidR="00816951" w:rsidRPr="000C1D8F" w:rsidRDefault="00816951" w:rsidP="00816951">
      <w:pPr>
        <w:pStyle w:val="NoSpacing"/>
        <w:rPr>
          <w:rFonts w:ascii="Times New Roman" w:hAnsi="Times New Roman"/>
          <w:sz w:val="24"/>
          <w:szCs w:val="24"/>
        </w:rPr>
      </w:pPr>
    </w:p>
    <w:p w14:paraId="25821085" w14:textId="77777777" w:rsidR="00816951" w:rsidRPr="000C1D8F" w:rsidRDefault="00816951" w:rsidP="00816951">
      <w:pPr>
        <w:pStyle w:val="NoSpacing"/>
        <w:ind w:left="720"/>
        <w:rPr>
          <w:rFonts w:ascii="Times New Roman" w:hAnsi="Times New Roman"/>
          <w:sz w:val="24"/>
          <w:szCs w:val="24"/>
        </w:rPr>
      </w:pPr>
      <w:r w:rsidRPr="000C1D8F">
        <w:rPr>
          <w:rFonts w:ascii="Times New Roman" w:hAnsi="Times New Roman"/>
          <w:sz w:val="24"/>
          <w:szCs w:val="24"/>
        </w:rPr>
        <w:t xml:space="preserve">Mothershed brings this qui tam action on behalf of the United States of America and the State of Minnesota against Mayo under the federal False Claims Act (‘FCA’) and the Minnesota False Claims Act (‘MFCA.). </w:t>
      </w:r>
    </w:p>
    <w:p w14:paraId="09C09264" w14:textId="77777777" w:rsidR="00816951" w:rsidRPr="000C1D8F" w:rsidRDefault="00816951" w:rsidP="00816951">
      <w:pPr>
        <w:pStyle w:val="NoSpacing"/>
        <w:ind w:left="720"/>
        <w:rPr>
          <w:rFonts w:ascii="Times New Roman" w:hAnsi="Times New Roman"/>
          <w:sz w:val="24"/>
          <w:szCs w:val="24"/>
        </w:rPr>
      </w:pPr>
    </w:p>
    <w:p w14:paraId="3BBCB229" w14:textId="77777777" w:rsidR="00816951" w:rsidRPr="000C1D8F" w:rsidRDefault="00816951" w:rsidP="00816951">
      <w:pPr>
        <w:pStyle w:val="NoSpacing"/>
        <w:ind w:left="720"/>
        <w:rPr>
          <w:rFonts w:ascii="Times New Roman" w:hAnsi="Times New Roman"/>
          <w:b/>
          <w:sz w:val="24"/>
          <w:szCs w:val="24"/>
        </w:rPr>
      </w:pPr>
      <w:r w:rsidRPr="000C1D8F">
        <w:rPr>
          <w:rFonts w:ascii="Times New Roman" w:hAnsi="Times New Roman"/>
          <w:sz w:val="24"/>
          <w:szCs w:val="24"/>
        </w:rPr>
        <w:t>***</w:t>
      </w:r>
    </w:p>
    <w:p w14:paraId="510BB2B3" w14:textId="77777777" w:rsidR="00816951" w:rsidRPr="000C1D8F" w:rsidRDefault="00816951" w:rsidP="00816951">
      <w:pPr>
        <w:pStyle w:val="NoSpacing"/>
        <w:ind w:left="720"/>
        <w:rPr>
          <w:rFonts w:ascii="Times New Roman" w:hAnsi="Times New Roman"/>
          <w:sz w:val="24"/>
          <w:szCs w:val="24"/>
        </w:rPr>
      </w:pPr>
      <w:r w:rsidRPr="000C1D8F">
        <w:rPr>
          <w:rFonts w:ascii="Times New Roman" w:hAnsi="Times New Roman"/>
          <w:sz w:val="24"/>
          <w:szCs w:val="24"/>
        </w:rPr>
        <w:lastRenderedPageBreak/>
        <w:t>Mothershed alleges that Mayo had three schemes for submitting false claims: (1) failing to review whether ambulance transports were medically necessary; (2) inaccurately reporting the level of services provided by upcoding non-emergency transports to emergency transports; and (3) inaccurately reporting the level of services provided by upcoding basic life support (‘BLS’) services to advanced life support (‘ALS’) services.</w:t>
      </w:r>
    </w:p>
    <w:p w14:paraId="48D354C5" w14:textId="77777777" w:rsidR="00816951" w:rsidRPr="000C1D8F" w:rsidRDefault="00816951" w:rsidP="00816951">
      <w:pPr>
        <w:pStyle w:val="NoSpacing"/>
        <w:ind w:left="720"/>
        <w:rPr>
          <w:rFonts w:ascii="Times New Roman" w:hAnsi="Times New Roman"/>
          <w:sz w:val="24"/>
          <w:szCs w:val="24"/>
        </w:rPr>
      </w:pPr>
    </w:p>
    <w:p w14:paraId="6E67D7F0" w14:textId="77777777" w:rsidR="00816951" w:rsidRPr="000C1D8F" w:rsidRDefault="00816951" w:rsidP="00816951">
      <w:pPr>
        <w:pStyle w:val="NoSpacing"/>
        <w:ind w:left="720"/>
        <w:rPr>
          <w:rFonts w:ascii="Times New Roman" w:hAnsi="Times New Roman"/>
          <w:sz w:val="24"/>
          <w:szCs w:val="24"/>
        </w:rPr>
      </w:pPr>
      <w:r w:rsidRPr="000C1D8F">
        <w:rPr>
          <w:rFonts w:ascii="Times New Roman" w:hAnsi="Times New Roman"/>
          <w:sz w:val="24"/>
          <w:szCs w:val="24"/>
        </w:rPr>
        <w:t>***</w:t>
      </w:r>
    </w:p>
    <w:p w14:paraId="20D4123E" w14:textId="77777777" w:rsidR="00816951" w:rsidRPr="000C1D8F" w:rsidRDefault="00816951" w:rsidP="00816951">
      <w:pPr>
        <w:pStyle w:val="NoSpacing"/>
        <w:rPr>
          <w:rFonts w:ascii="Times New Roman" w:hAnsi="Times New Roman"/>
          <w:sz w:val="24"/>
          <w:szCs w:val="24"/>
        </w:rPr>
      </w:pPr>
    </w:p>
    <w:p w14:paraId="02CC9856" w14:textId="77777777" w:rsidR="00816951" w:rsidRPr="000C1D8F" w:rsidRDefault="00816951" w:rsidP="00816951">
      <w:pPr>
        <w:pStyle w:val="NoSpacing"/>
        <w:ind w:left="720"/>
        <w:rPr>
          <w:rFonts w:ascii="Times New Roman" w:hAnsi="Times New Roman"/>
          <w:sz w:val="24"/>
          <w:szCs w:val="24"/>
        </w:rPr>
      </w:pPr>
      <w:r w:rsidRPr="000C1D8F">
        <w:rPr>
          <w:rFonts w:ascii="Times New Roman" w:hAnsi="Times New Roman"/>
          <w:sz w:val="24"/>
          <w:szCs w:val="24"/>
        </w:rPr>
        <w:t>As for knowledge, Mothershed alleges many conversations with her supervisors at Mayo about the problems with this billing practice. Her supervisors ignored her suggestions and told her to keep billing this way, even at times telling her to go back and change her codes. These actions demonstrate, at a minimum, a reckless disregard because Mayo was aware of the substantial and unjustifiable risk that they might have been submitting false claims, but they ignored those warnings by Mothershed. Thus, Mothershed sufficiently alleges knowledge.</w:t>
      </w:r>
    </w:p>
    <w:p w14:paraId="7DFCDD7A" w14:textId="77777777" w:rsidR="00816951" w:rsidRPr="000C1D8F" w:rsidRDefault="00816951" w:rsidP="00816951">
      <w:pPr>
        <w:pStyle w:val="NoSpacing"/>
        <w:ind w:left="720"/>
        <w:rPr>
          <w:rFonts w:ascii="Times New Roman" w:hAnsi="Times New Roman"/>
          <w:sz w:val="24"/>
          <w:szCs w:val="24"/>
        </w:rPr>
      </w:pPr>
    </w:p>
    <w:p w14:paraId="68C9810A" w14:textId="77777777" w:rsidR="00816951" w:rsidRPr="000C1D8F" w:rsidRDefault="00816951" w:rsidP="00816951">
      <w:pPr>
        <w:pStyle w:val="NoSpacing"/>
        <w:ind w:left="720"/>
        <w:rPr>
          <w:rFonts w:ascii="Times New Roman" w:hAnsi="Times New Roman"/>
          <w:sz w:val="24"/>
          <w:szCs w:val="24"/>
        </w:rPr>
      </w:pPr>
      <w:r w:rsidRPr="000C1D8F">
        <w:rPr>
          <w:rFonts w:ascii="Times New Roman" w:hAnsi="Times New Roman"/>
          <w:sz w:val="24"/>
          <w:szCs w:val="24"/>
        </w:rPr>
        <w:t>***</w:t>
      </w:r>
    </w:p>
    <w:p w14:paraId="156846CF" w14:textId="77777777" w:rsidR="00816951" w:rsidRPr="000C1D8F" w:rsidRDefault="00816951" w:rsidP="00816951">
      <w:pPr>
        <w:pStyle w:val="NoSpacing"/>
        <w:rPr>
          <w:rFonts w:ascii="Times New Roman" w:hAnsi="Times New Roman"/>
          <w:sz w:val="24"/>
          <w:szCs w:val="24"/>
        </w:rPr>
      </w:pPr>
    </w:p>
    <w:p w14:paraId="5C71356F" w14:textId="77777777" w:rsidR="00816951" w:rsidRPr="000C1D8F" w:rsidRDefault="00816951" w:rsidP="00816951">
      <w:pPr>
        <w:pStyle w:val="NoSpacing"/>
        <w:ind w:left="720"/>
        <w:rPr>
          <w:rFonts w:ascii="Times New Roman" w:hAnsi="Times New Roman"/>
          <w:sz w:val="24"/>
          <w:szCs w:val="24"/>
        </w:rPr>
      </w:pPr>
      <w:r w:rsidRPr="000C1D8F">
        <w:rPr>
          <w:rFonts w:ascii="Times New Roman" w:hAnsi="Times New Roman"/>
          <w:sz w:val="24"/>
          <w:szCs w:val="24"/>
        </w:rPr>
        <w:t>Mothershed provides two specific examples of this practice. Patient LS-3 was suffering from diarrhea, abdominal pain, nausea, and vomiting…. An ALS crew was dispatched to respond to the call, consisting of one Paramedic and one EMT-Basic….Dispatch marked the call type as ‘BLS.’… Upon arriving at the scene, the EMT-Basic performed an assessment of the patient…. No ALS interventions were conducted during the call…. Mayo billed the transport as ALS instead of BLS.</w:t>
      </w:r>
    </w:p>
    <w:p w14:paraId="7E1BD30A" w14:textId="77777777" w:rsidR="00816951" w:rsidRPr="000C1D8F" w:rsidRDefault="00816951" w:rsidP="00816951">
      <w:pPr>
        <w:pStyle w:val="NoSpacing"/>
        <w:ind w:left="720"/>
        <w:rPr>
          <w:rFonts w:ascii="Times New Roman" w:hAnsi="Times New Roman"/>
          <w:sz w:val="24"/>
          <w:szCs w:val="24"/>
        </w:rPr>
      </w:pPr>
    </w:p>
    <w:p w14:paraId="0C7C202C" w14:textId="77777777" w:rsidR="00816951" w:rsidRPr="000C1D8F" w:rsidRDefault="00816951" w:rsidP="00816951">
      <w:pPr>
        <w:pStyle w:val="NoSpacing"/>
        <w:ind w:left="720"/>
        <w:rPr>
          <w:rFonts w:ascii="Times New Roman" w:hAnsi="Times New Roman"/>
          <w:sz w:val="24"/>
          <w:szCs w:val="24"/>
        </w:rPr>
      </w:pPr>
      <w:r w:rsidRPr="000C1D8F">
        <w:rPr>
          <w:rFonts w:ascii="Times New Roman" w:hAnsi="Times New Roman"/>
          <w:sz w:val="24"/>
          <w:szCs w:val="24"/>
        </w:rPr>
        <w:t>Patient LS-5 was found on the floor not making sense and reported experiencing</w:t>
      </w:r>
    </w:p>
    <w:p w14:paraId="10EADD14" w14:textId="77777777" w:rsidR="00816951" w:rsidRPr="000C1D8F" w:rsidRDefault="00816951" w:rsidP="00816951">
      <w:pPr>
        <w:pStyle w:val="NoSpacing"/>
        <w:ind w:left="720"/>
        <w:rPr>
          <w:rFonts w:ascii="Times New Roman" w:hAnsi="Times New Roman"/>
          <w:sz w:val="24"/>
          <w:szCs w:val="24"/>
        </w:rPr>
      </w:pPr>
      <w:r w:rsidRPr="000C1D8F">
        <w:rPr>
          <w:rFonts w:ascii="Times New Roman" w:hAnsi="Times New Roman"/>
          <w:sz w:val="24"/>
          <w:szCs w:val="24"/>
        </w:rPr>
        <w:t>weakness…. An ALS crew was dispatched to respond to the call, consisting of one Paramedic and one EMT-Basic….Dispatch marked the call type as ‘BLS.’ Upon arriving at the scene, the EMT-Basic performed an assessment of the patient….No ALS interventions were conducted during the call…. Mayo billed the transport as ALS instead of BLS.”</w:t>
      </w:r>
    </w:p>
    <w:p w14:paraId="1D2FF85F" w14:textId="77777777" w:rsidR="00816951" w:rsidRPr="000C1D8F" w:rsidRDefault="00816951" w:rsidP="00816951">
      <w:pPr>
        <w:pStyle w:val="NoSpacing"/>
        <w:ind w:left="720"/>
        <w:rPr>
          <w:rFonts w:ascii="Times New Roman" w:hAnsi="Times New Roman"/>
          <w:sz w:val="24"/>
          <w:szCs w:val="24"/>
        </w:rPr>
      </w:pPr>
    </w:p>
    <w:p w14:paraId="54581F84" w14:textId="77777777" w:rsidR="00816951" w:rsidRPr="000C1D8F" w:rsidRDefault="00816951" w:rsidP="00816951">
      <w:pPr>
        <w:pStyle w:val="NoSpacing"/>
        <w:rPr>
          <w:rFonts w:ascii="Times New Roman" w:hAnsi="Times New Roman"/>
          <w:b/>
          <w:bCs/>
          <w:sz w:val="24"/>
          <w:szCs w:val="24"/>
        </w:rPr>
      </w:pPr>
      <w:r w:rsidRPr="000C1D8F">
        <w:rPr>
          <w:rFonts w:ascii="Times New Roman" w:hAnsi="Times New Roman"/>
          <w:b/>
          <w:sz w:val="24"/>
          <w:szCs w:val="24"/>
        </w:rPr>
        <w:t xml:space="preserve">Legal Lesson Learned:  Up charging BLS services as ALS can lead to litigation by both whistleblowers and by federal and state governments. </w:t>
      </w:r>
    </w:p>
    <w:p w14:paraId="53BDDDF9" w14:textId="77777777" w:rsidR="00816951" w:rsidRPr="000C1D8F" w:rsidRDefault="00816951" w:rsidP="00816951">
      <w:pPr>
        <w:pStyle w:val="NoSpacing"/>
        <w:ind w:left="720"/>
        <w:rPr>
          <w:rFonts w:ascii="Times New Roman" w:hAnsi="Times New Roman"/>
          <w:bCs/>
          <w:sz w:val="24"/>
          <w:szCs w:val="24"/>
        </w:rPr>
      </w:pPr>
    </w:p>
    <w:p w14:paraId="35F97D30" w14:textId="77777777" w:rsidR="00816951" w:rsidRPr="000C1D8F" w:rsidRDefault="00816951" w:rsidP="00816951">
      <w:pPr>
        <w:ind w:left="720"/>
        <w:rPr>
          <w:rFonts w:ascii="Times New Roman" w:hAnsi="Times New Roman"/>
          <w:bCs/>
          <w:sz w:val="24"/>
          <w:szCs w:val="24"/>
        </w:rPr>
      </w:pPr>
      <w:r w:rsidRPr="000C1D8F">
        <w:rPr>
          <w:rFonts w:ascii="Times New Roman" w:hAnsi="Times New Roman"/>
          <w:sz w:val="24"/>
          <w:szCs w:val="24"/>
        </w:rPr>
        <w:t xml:space="preserve">Note: See Jan. 17, </w:t>
      </w:r>
      <w:proofErr w:type="gramStart"/>
      <w:r w:rsidRPr="000C1D8F">
        <w:rPr>
          <w:rFonts w:ascii="Times New Roman" w:hAnsi="Times New Roman"/>
          <w:sz w:val="24"/>
          <w:szCs w:val="24"/>
        </w:rPr>
        <w:t>2025</w:t>
      </w:r>
      <w:proofErr w:type="gramEnd"/>
      <w:r w:rsidRPr="000C1D8F">
        <w:rPr>
          <w:rFonts w:ascii="Times New Roman" w:hAnsi="Times New Roman"/>
          <w:sz w:val="24"/>
          <w:szCs w:val="24"/>
        </w:rPr>
        <w:t xml:space="preserve"> U.S. Department of Justice report, “False Claims Act Settlements and Judgments Exceed $2.9B in Fiscal Year 2024.”</w:t>
      </w:r>
    </w:p>
    <w:p w14:paraId="3F446B36" w14:textId="77777777" w:rsidR="00816951" w:rsidRPr="000C1D8F" w:rsidRDefault="00816951" w:rsidP="00816951">
      <w:pPr>
        <w:pStyle w:val="NoSpacing"/>
        <w:ind w:left="720"/>
        <w:rPr>
          <w:rFonts w:ascii="Times New Roman" w:hAnsi="Times New Roman"/>
          <w:sz w:val="24"/>
          <w:szCs w:val="24"/>
        </w:rPr>
      </w:pPr>
      <w:r w:rsidRPr="000C1D8F">
        <w:rPr>
          <w:rFonts w:ascii="Times New Roman" w:hAnsi="Times New Roman"/>
          <w:sz w:val="24"/>
          <w:szCs w:val="24"/>
        </w:rPr>
        <w:t>“In 1986, Congress strengthened the False Claims Act by increasing incentives for whistleblowers to file lawsuits alleging false claims on behalf of the government. These whistleblowers, or qui tam, actions comprise a significant percentage of the False Claims Act cases that are filed. Qui tam cases may be pursued by the government or the whistleblower, and this past year, significant recoveries were obtained by both. When a qui tam action is successful, the whistleblower, also known as the relator, typically receives a portion of the recovery ranging between 15% and 30%. The 979 qui tam suits filed in fiscal year 2024 breaks the prior record set in 2013, and this past year, the Justice Department reported settlements and judgments exceeding $2.4 billion in these and earlier-filed qui tam suits.”</w:t>
      </w:r>
    </w:p>
    <w:p w14:paraId="3BC419B0" w14:textId="77777777" w:rsidR="00816951" w:rsidRDefault="00816951" w:rsidP="002B1283">
      <w:pPr>
        <w:rPr>
          <w:rFonts w:ascii="Arial Black" w:hAnsi="Arial Black"/>
          <w:b/>
          <w:bCs/>
          <w:sz w:val="28"/>
          <w:szCs w:val="28"/>
        </w:rPr>
      </w:pPr>
    </w:p>
    <w:p w14:paraId="2610712C" w14:textId="76115DC2" w:rsidR="00816951" w:rsidRDefault="00816951" w:rsidP="002B1283">
      <w:pPr>
        <w:rPr>
          <w:rFonts w:ascii="Arial Black" w:hAnsi="Arial Black"/>
          <w:b/>
          <w:bCs/>
          <w:sz w:val="28"/>
          <w:szCs w:val="28"/>
        </w:rPr>
      </w:pPr>
      <w:r>
        <w:rPr>
          <w:rFonts w:ascii="Arial Black" w:hAnsi="Arial Black"/>
          <w:b/>
          <w:bCs/>
          <w:sz w:val="28"/>
          <w:szCs w:val="28"/>
        </w:rPr>
        <w:t>13-203</w:t>
      </w:r>
    </w:p>
    <w:p w14:paraId="137072DF" w14:textId="42CCD4B0" w:rsidR="00A47FDE" w:rsidRPr="00314C53" w:rsidRDefault="00A47FDE" w:rsidP="00A47FDE">
      <w:pPr>
        <w:rPr>
          <w:rFonts w:ascii="Arial Black" w:hAnsi="Arial Black"/>
          <w:b/>
          <w:sz w:val="28"/>
          <w:szCs w:val="28"/>
        </w:rPr>
      </w:pPr>
      <w:r>
        <w:rPr>
          <w:rFonts w:ascii="Arial Black" w:hAnsi="Arial Black"/>
          <w:b/>
          <w:sz w:val="28"/>
          <w:szCs w:val="28"/>
        </w:rPr>
        <w:t>CA: COVID-19 –</w:t>
      </w:r>
      <w:r w:rsidR="00500351">
        <w:rPr>
          <w:rFonts w:ascii="Arial Black" w:hAnsi="Arial Black"/>
          <w:b/>
          <w:sz w:val="28"/>
          <w:szCs w:val="28"/>
        </w:rPr>
        <w:t xml:space="preserve"> </w:t>
      </w:r>
      <w:r>
        <w:rPr>
          <w:rFonts w:ascii="Arial Black" w:hAnsi="Arial Black"/>
          <w:b/>
          <w:sz w:val="28"/>
          <w:szCs w:val="28"/>
        </w:rPr>
        <w:t>RELIGIOUS ACCOM</w:t>
      </w:r>
      <w:r w:rsidR="00500351">
        <w:rPr>
          <w:rFonts w:ascii="Arial Black" w:hAnsi="Arial Black"/>
          <w:b/>
          <w:sz w:val="28"/>
          <w:szCs w:val="28"/>
        </w:rPr>
        <w:t xml:space="preserve"> </w:t>
      </w:r>
      <w:r w:rsidR="003275FF">
        <w:rPr>
          <w:rFonts w:ascii="Arial Black" w:hAnsi="Arial Black"/>
          <w:b/>
          <w:sz w:val="28"/>
          <w:szCs w:val="28"/>
        </w:rPr>
        <w:t xml:space="preserve">- </w:t>
      </w:r>
      <w:r w:rsidR="000A4BD5">
        <w:rPr>
          <w:rFonts w:ascii="Arial Black" w:hAnsi="Arial Black"/>
          <w:b/>
          <w:sz w:val="28"/>
          <w:szCs w:val="28"/>
        </w:rPr>
        <w:t xml:space="preserve">14 GRANTED </w:t>
      </w:r>
      <w:r w:rsidR="00895720">
        <w:rPr>
          <w:rFonts w:ascii="Arial Black" w:hAnsi="Arial Black"/>
          <w:b/>
          <w:sz w:val="28"/>
          <w:szCs w:val="28"/>
        </w:rPr>
        <w:t>/ 6 DENIED</w:t>
      </w:r>
    </w:p>
    <w:p w14:paraId="5BF382CB" w14:textId="77777777" w:rsidR="00A47FDE" w:rsidRPr="00A47FDE" w:rsidRDefault="00A47FDE" w:rsidP="00A47FDE">
      <w:pPr>
        <w:pStyle w:val="NoSpacing"/>
        <w:rPr>
          <w:rFonts w:ascii="Times New Roman" w:hAnsi="Times New Roman"/>
          <w:sz w:val="24"/>
          <w:szCs w:val="24"/>
        </w:rPr>
      </w:pPr>
      <w:r w:rsidRPr="00A47FDE">
        <w:rPr>
          <w:rFonts w:ascii="Times New Roman" w:hAnsi="Times New Roman"/>
          <w:sz w:val="24"/>
          <w:szCs w:val="24"/>
        </w:rPr>
        <w:t xml:space="preserve">On Jan. 22, 2025, in </w:t>
      </w:r>
      <w:r w:rsidRPr="00A47FDE">
        <w:rPr>
          <w:rFonts w:ascii="Times New Roman" w:hAnsi="Times New Roman"/>
          <w:sz w:val="24"/>
          <w:szCs w:val="24"/>
          <w:u w:val="single"/>
        </w:rPr>
        <w:t>Josh Sattley v. The City of Beverly Hills</w:t>
      </w:r>
      <w:r w:rsidRPr="00A47FDE">
        <w:rPr>
          <w:rFonts w:ascii="Times New Roman" w:hAnsi="Times New Roman"/>
          <w:sz w:val="24"/>
          <w:szCs w:val="24"/>
        </w:rPr>
        <w:t xml:space="preserve">, the California Court of Appeals, Second District, Second Division held (3 to 0; unpublished decision) that the firefighter / EMT was properly fired after 11 years </w:t>
      </w:r>
      <w:r w:rsidRPr="00A47FDE">
        <w:rPr>
          <w:rFonts w:ascii="Times New Roman" w:hAnsi="Times New Roman"/>
          <w:sz w:val="24"/>
          <w:szCs w:val="24"/>
        </w:rPr>
        <w:lastRenderedPageBreak/>
        <w:t xml:space="preserve">on the job; his request for religious accommodation was merely one sentence - “He had a sincerely held religious belief or practices that conflicted with a stated job requirement (mandatory Covid vaccination).”  The City’s HR Director met with each of the firefighters seeking religious accommodations; 14 were granted, and 6 denied (5 then got vaccinated, only Sattley refused). There was no proof that his social media posts criticizing the </w:t>
      </w:r>
      <w:proofErr w:type="gramStart"/>
      <w:r w:rsidRPr="00A47FDE">
        <w:rPr>
          <w:rFonts w:ascii="Times New Roman" w:hAnsi="Times New Roman"/>
          <w:sz w:val="24"/>
          <w:szCs w:val="24"/>
        </w:rPr>
        <w:t>City</w:t>
      </w:r>
      <w:proofErr w:type="gramEnd"/>
      <w:r w:rsidRPr="00A47FDE">
        <w:rPr>
          <w:rFonts w:ascii="Times New Roman" w:hAnsi="Times New Roman"/>
          <w:sz w:val="24"/>
          <w:szCs w:val="24"/>
        </w:rPr>
        <w:t xml:space="preserve"> played any role in his termination. </w:t>
      </w:r>
      <w:hyperlink r:id="rId2095" w:history="1">
        <w:r w:rsidRPr="00A47FDE">
          <w:rPr>
            <w:rStyle w:val="Hyperlink"/>
            <w:rFonts w:ascii="Times New Roman" w:hAnsi="Times New Roman"/>
            <w:sz w:val="24"/>
            <w:szCs w:val="24"/>
          </w:rPr>
          <w:t>https://www4.courts.ca.gov/opinions/nonpub/B334048.PDF</w:t>
        </w:r>
      </w:hyperlink>
      <w:r w:rsidRPr="00A47FDE">
        <w:rPr>
          <w:rFonts w:ascii="Times New Roman" w:hAnsi="Times New Roman"/>
          <w:sz w:val="24"/>
          <w:szCs w:val="24"/>
        </w:rPr>
        <w:t xml:space="preserve"> </w:t>
      </w:r>
    </w:p>
    <w:p w14:paraId="27ED7EEA" w14:textId="77777777" w:rsidR="00A47FDE" w:rsidRPr="00A47FDE" w:rsidRDefault="00A47FDE" w:rsidP="00A47FDE">
      <w:pPr>
        <w:pStyle w:val="NoSpacing"/>
        <w:rPr>
          <w:rFonts w:ascii="Times New Roman" w:hAnsi="Times New Roman"/>
          <w:sz w:val="24"/>
          <w:szCs w:val="24"/>
        </w:rPr>
      </w:pPr>
    </w:p>
    <w:p w14:paraId="5D2A9054" w14:textId="77777777" w:rsidR="00A47FDE" w:rsidRPr="00A47FDE" w:rsidRDefault="00A47FDE" w:rsidP="00A47FDE">
      <w:pPr>
        <w:pStyle w:val="NoSpacing"/>
        <w:rPr>
          <w:rFonts w:ascii="Times New Roman" w:hAnsi="Times New Roman"/>
          <w:sz w:val="24"/>
          <w:szCs w:val="24"/>
        </w:rPr>
      </w:pPr>
      <w:r w:rsidRPr="00A47FDE">
        <w:rPr>
          <w:rFonts w:ascii="Times New Roman" w:hAnsi="Times New Roman"/>
          <w:sz w:val="24"/>
          <w:szCs w:val="24"/>
        </w:rPr>
        <w:t xml:space="preserve">The Court wrote:  </w:t>
      </w:r>
    </w:p>
    <w:p w14:paraId="44EFBEA2" w14:textId="77777777" w:rsidR="00A47FDE" w:rsidRPr="00A47FDE" w:rsidRDefault="00A47FDE" w:rsidP="00A47FDE">
      <w:pPr>
        <w:pStyle w:val="NoSpacing"/>
        <w:rPr>
          <w:rFonts w:ascii="Times New Roman" w:hAnsi="Times New Roman"/>
          <w:sz w:val="24"/>
          <w:szCs w:val="24"/>
        </w:rPr>
      </w:pPr>
    </w:p>
    <w:p w14:paraId="3C7117B5" w14:textId="77777777" w:rsidR="00A47FDE" w:rsidRPr="00A47FDE" w:rsidRDefault="00A47FDE" w:rsidP="00A47FDE">
      <w:pPr>
        <w:pStyle w:val="NoSpacing"/>
        <w:ind w:left="720"/>
        <w:rPr>
          <w:rFonts w:ascii="Times New Roman" w:hAnsi="Times New Roman"/>
          <w:sz w:val="24"/>
          <w:szCs w:val="24"/>
        </w:rPr>
      </w:pPr>
      <w:r w:rsidRPr="00A47FDE">
        <w:rPr>
          <w:rFonts w:ascii="Times New Roman" w:hAnsi="Times New Roman"/>
          <w:sz w:val="24"/>
          <w:szCs w:val="24"/>
        </w:rPr>
        <w:t>“An employee’s inability to perform the essential tasks of his or her job is a legitimate, nondiscriminatory reason to terminate the employee.</w:t>
      </w:r>
    </w:p>
    <w:p w14:paraId="59A73FD6" w14:textId="77777777" w:rsidR="00A47FDE" w:rsidRPr="00A47FDE" w:rsidRDefault="00A47FDE" w:rsidP="00A47FDE">
      <w:pPr>
        <w:pStyle w:val="NoSpacing"/>
        <w:ind w:left="720"/>
        <w:rPr>
          <w:rFonts w:ascii="Times New Roman" w:hAnsi="Times New Roman"/>
          <w:sz w:val="24"/>
          <w:szCs w:val="24"/>
        </w:rPr>
      </w:pPr>
    </w:p>
    <w:p w14:paraId="0048E0B8" w14:textId="77777777" w:rsidR="00A47FDE" w:rsidRPr="00A47FDE" w:rsidRDefault="00A47FDE" w:rsidP="00A47FDE">
      <w:pPr>
        <w:pStyle w:val="NoSpacing"/>
        <w:ind w:left="720"/>
        <w:rPr>
          <w:rFonts w:ascii="Times New Roman" w:hAnsi="Times New Roman"/>
          <w:sz w:val="24"/>
          <w:szCs w:val="24"/>
        </w:rPr>
      </w:pPr>
      <w:r w:rsidRPr="00A47FDE">
        <w:rPr>
          <w:rFonts w:ascii="Times New Roman" w:hAnsi="Times New Roman"/>
          <w:sz w:val="24"/>
          <w:szCs w:val="24"/>
        </w:rPr>
        <w:t>***</w:t>
      </w:r>
    </w:p>
    <w:p w14:paraId="06E19C82" w14:textId="77777777" w:rsidR="00A47FDE" w:rsidRPr="00A47FDE" w:rsidRDefault="00A47FDE" w:rsidP="00A47FDE">
      <w:pPr>
        <w:pStyle w:val="NoSpacing"/>
        <w:ind w:left="720"/>
        <w:rPr>
          <w:rFonts w:ascii="Times New Roman" w:hAnsi="Times New Roman"/>
          <w:sz w:val="24"/>
          <w:szCs w:val="24"/>
        </w:rPr>
      </w:pPr>
      <w:r w:rsidRPr="00A47FDE">
        <w:rPr>
          <w:rFonts w:ascii="Times New Roman" w:hAnsi="Times New Roman"/>
          <w:sz w:val="24"/>
          <w:szCs w:val="24"/>
        </w:rPr>
        <w:t xml:space="preserve">On September 28, 29, and 30, 2021, the city’s human resources director, Shelley Ovrom, met individually with each of the firefighters, including appellant, to determine which of the firefighters were eligible for </w:t>
      </w:r>
      <w:proofErr w:type="gramStart"/>
      <w:r w:rsidRPr="00A47FDE">
        <w:rPr>
          <w:rFonts w:ascii="Times New Roman" w:hAnsi="Times New Roman"/>
          <w:sz w:val="24"/>
          <w:szCs w:val="24"/>
        </w:rPr>
        <w:t>a religious</w:t>
      </w:r>
      <w:proofErr w:type="gramEnd"/>
      <w:r w:rsidRPr="00A47FDE">
        <w:rPr>
          <w:rFonts w:ascii="Times New Roman" w:hAnsi="Times New Roman"/>
          <w:sz w:val="24"/>
          <w:szCs w:val="24"/>
        </w:rPr>
        <w:t xml:space="preserve"> accommodation. Fourteen firefighters were granted </w:t>
      </w:r>
      <w:proofErr w:type="gramStart"/>
      <w:r w:rsidRPr="00A47FDE">
        <w:rPr>
          <w:rFonts w:ascii="Times New Roman" w:hAnsi="Times New Roman"/>
          <w:sz w:val="24"/>
          <w:szCs w:val="24"/>
        </w:rPr>
        <w:t>an accommodation</w:t>
      </w:r>
      <w:proofErr w:type="gramEnd"/>
      <w:r w:rsidRPr="00A47FDE">
        <w:rPr>
          <w:rFonts w:ascii="Times New Roman" w:hAnsi="Times New Roman"/>
          <w:sz w:val="24"/>
          <w:szCs w:val="24"/>
        </w:rPr>
        <w:t xml:space="preserve">, four withdrew their requests, and six firefighters’ requests were denied. Of the six firefighters whose requests were denied, all except Sattley later submitted proof of vaccination. Because Sattley did not have an approved </w:t>
      </w:r>
      <w:proofErr w:type="spellStart"/>
      <w:r w:rsidRPr="00A47FDE">
        <w:rPr>
          <w:rFonts w:ascii="Times New Roman" w:hAnsi="Times New Roman"/>
          <w:sz w:val="24"/>
          <w:szCs w:val="24"/>
        </w:rPr>
        <w:t>ccommodation</w:t>
      </w:r>
      <w:proofErr w:type="spellEnd"/>
      <w:r w:rsidRPr="00A47FDE">
        <w:rPr>
          <w:rFonts w:ascii="Times New Roman" w:hAnsi="Times New Roman"/>
          <w:sz w:val="24"/>
          <w:szCs w:val="24"/>
        </w:rPr>
        <w:t xml:space="preserve"> or exemption, he was placed on administrative leave on October 1, 2021. </w:t>
      </w:r>
      <w:proofErr w:type="spellStart"/>
      <w:r w:rsidRPr="00A47FDE">
        <w:rPr>
          <w:rFonts w:ascii="Times New Roman" w:hAnsi="Times New Roman"/>
          <w:sz w:val="24"/>
          <w:szCs w:val="24"/>
        </w:rPr>
        <w:t>Ovrom</w:t>
      </w:r>
      <w:proofErr w:type="spellEnd"/>
      <w:r w:rsidRPr="00A47FDE">
        <w:rPr>
          <w:rFonts w:ascii="Times New Roman" w:hAnsi="Times New Roman"/>
          <w:sz w:val="24"/>
          <w:szCs w:val="24"/>
        </w:rPr>
        <w:t xml:space="preserve"> and Chief Barton decided to place Sattley on leave because he was no longer qualified to perform his job under the health order…. Sattley received a due process (Skelly) hearing, and the hearing officer  recommended Chief Barton proceed with termination of Sattley’s employment. On March 9, 2022, Chief Barton terminated Sattley, effective March 11, 2022.</w:t>
      </w:r>
    </w:p>
    <w:p w14:paraId="183DDA68" w14:textId="77777777" w:rsidR="00A47FDE" w:rsidRPr="00A47FDE" w:rsidRDefault="00A47FDE" w:rsidP="00A47FDE">
      <w:pPr>
        <w:pStyle w:val="NoSpacing"/>
        <w:rPr>
          <w:rFonts w:ascii="Times New Roman" w:hAnsi="Times New Roman"/>
          <w:sz w:val="24"/>
          <w:szCs w:val="24"/>
        </w:rPr>
      </w:pPr>
    </w:p>
    <w:p w14:paraId="17F08BF6" w14:textId="77777777" w:rsidR="00A47FDE" w:rsidRPr="00A47FDE" w:rsidRDefault="00A47FDE" w:rsidP="00A47FDE">
      <w:pPr>
        <w:pStyle w:val="NoSpacing"/>
        <w:ind w:firstLine="720"/>
        <w:rPr>
          <w:rFonts w:ascii="Times New Roman" w:hAnsi="Times New Roman"/>
          <w:sz w:val="24"/>
          <w:szCs w:val="24"/>
        </w:rPr>
      </w:pPr>
      <w:r w:rsidRPr="00A47FDE">
        <w:rPr>
          <w:rFonts w:ascii="Times New Roman" w:hAnsi="Times New Roman"/>
          <w:sz w:val="24"/>
          <w:szCs w:val="24"/>
        </w:rPr>
        <w:t>***</w:t>
      </w:r>
    </w:p>
    <w:p w14:paraId="02360BD7" w14:textId="77777777" w:rsidR="00A47FDE" w:rsidRPr="00A47FDE" w:rsidRDefault="00A47FDE" w:rsidP="00A47FDE">
      <w:pPr>
        <w:pStyle w:val="NoSpacing"/>
        <w:ind w:left="720"/>
        <w:rPr>
          <w:rFonts w:ascii="Times New Roman" w:hAnsi="Times New Roman"/>
          <w:sz w:val="24"/>
          <w:szCs w:val="24"/>
        </w:rPr>
      </w:pPr>
      <w:r w:rsidRPr="00A47FDE">
        <w:rPr>
          <w:rFonts w:ascii="Times New Roman" w:hAnsi="Times New Roman"/>
          <w:sz w:val="24"/>
          <w:szCs w:val="24"/>
        </w:rPr>
        <w:t>Sattley’s allegations of his alleged bona fide religious belief consisted of one sentence: ‘He had a sincerely held religious belief or practices that conflicted with a stated job requirement (mandatory Covid vaccination).’ … Because Sattley failed to adequately plead a bona fide religious belief that conflicted with the health order, the trial court properly sustained the city’s demurrer to this cause of action…. Sattley’s addition [in reply brief] of the denomination of ‘Christian’ does not clarify his religious objection, as he had already described his religion as “Mormon/Christian” in his November 2021 DFEH charge.</w:t>
      </w:r>
    </w:p>
    <w:p w14:paraId="6E70DA0F" w14:textId="77777777" w:rsidR="00A47FDE" w:rsidRPr="00A47FDE" w:rsidRDefault="00A47FDE" w:rsidP="00A47FDE">
      <w:pPr>
        <w:pStyle w:val="NoSpacing"/>
        <w:rPr>
          <w:rFonts w:ascii="Times New Roman" w:hAnsi="Times New Roman"/>
          <w:sz w:val="24"/>
          <w:szCs w:val="24"/>
        </w:rPr>
      </w:pPr>
    </w:p>
    <w:p w14:paraId="7A6A5451" w14:textId="77777777" w:rsidR="00A47FDE" w:rsidRPr="00A47FDE" w:rsidRDefault="00A47FDE" w:rsidP="00A47FDE">
      <w:pPr>
        <w:pStyle w:val="NoSpacing"/>
        <w:ind w:firstLine="720"/>
        <w:rPr>
          <w:rFonts w:ascii="Times New Roman" w:hAnsi="Times New Roman"/>
          <w:sz w:val="24"/>
          <w:szCs w:val="24"/>
        </w:rPr>
      </w:pPr>
      <w:r w:rsidRPr="00A47FDE">
        <w:rPr>
          <w:rFonts w:ascii="Times New Roman" w:hAnsi="Times New Roman"/>
          <w:sz w:val="24"/>
          <w:szCs w:val="24"/>
        </w:rPr>
        <w:t>***</w:t>
      </w:r>
    </w:p>
    <w:p w14:paraId="5C319F16" w14:textId="77777777" w:rsidR="00A47FDE" w:rsidRPr="00A47FDE" w:rsidRDefault="00A47FDE" w:rsidP="00A47FDE">
      <w:pPr>
        <w:pStyle w:val="NoSpacing"/>
        <w:ind w:left="720"/>
        <w:rPr>
          <w:rFonts w:ascii="Times New Roman" w:hAnsi="Times New Roman"/>
          <w:sz w:val="24"/>
          <w:szCs w:val="24"/>
        </w:rPr>
      </w:pPr>
      <w:r w:rsidRPr="00A47FDE">
        <w:rPr>
          <w:rFonts w:ascii="Times New Roman" w:hAnsi="Times New Roman"/>
          <w:sz w:val="24"/>
          <w:szCs w:val="24"/>
        </w:rPr>
        <w:t xml:space="preserve">Sattley argues he engaged in protected activity during the fall of 2021 when he criticized the city’s COVID personnel policies on social media and filed this lawsuit…. Sattley fails to point to a specific social media post that he believed was the basis for his </w:t>
      </w:r>
      <w:proofErr w:type="gramStart"/>
      <w:r w:rsidRPr="00A47FDE">
        <w:rPr>
          <w:rFonts w:ascii="Times New Roman" w:hAnsi="Times New Roman"/>
          <w:sz w:val="24"/>
          <w:szCs w:val="24"/>
        </w:rPr>
        <w:t>termination.”</w:t>
      </w:r>
      <w:proofErr w:type="gramEnd"/>
    </w:p>
    <w:p w14:paraId="76B0EBFA" w14:textId="77777777" w:rsidR="00A47FDE" w:rsidRPr="00A47FDE" w:rsidRDefault="00A47FDE" w:rsidP="00A47FDE">
      <w:pPr>
        <w:pStyle w:val="NoSpacing"/>
        <w:ind w:left="720"/>
        <w:rPr>
          <w:rFonts w:ascii="Times New Roman" w:hAnsi="Times New Roman"/>
          <w:sz w:val="24"/>
          <w:szCs w:val="24"/>
        </w:rPr>
      </w:pPr>
    </w:p>
    <w:p w14:paraId="7C59BF9E" w14:textId="77777777" w:rsidR="00A47FDE" w:rsidRPr="00A47FDE" w:rsidRDefault="00A47FDE" w:rsidP="00A47FDE">
      <w:pPr>
        <w:pStyle w:val="NoSpacing"/>
        <w:rPr>
          <w:rFonts w:ascii="Times New Roman" w:hAnsi="Times New Roman"/>
          <w:b/>
          <w:bCs/>
          <w:sz w:val="24"/>
          <w:szCs w:val="24"/>
        </w:rPr>
      </w:pPr>
      <w:r w:rsidRPr="00A47FDE">
        <w:rPr>
          <w:rFonts w:ascii="Times New Roman" w:hAnsi="Times New Roman"/>
          <w:b/>
          <w:sz w:val="24"/>
          <w:szCs w:val="24"/>
        </w:rPr>
        <w:t>Legal Lesson Learned:  If you are seeking religious accommodation, need to provide details about your faith and your history of objection to vaccinations.</w:t>
      </w:r>
    </w:p>
    <w:p w14:paraId="1A18FC86" w14:textId="77777777" w:rsidR="00A47FDE" w:rsidRDefault="00A47FDE" w:rsidP="00A47FDE">
      <w:pPr>
        <w:pStyle w:val="NoSpacing"/>
      </w:pPr>
    </w:p>
    <w:p w14:paraId="4CC87C09" w14:textId="77777777" w:rsidR="00A47FDE" w:rsidRDefault="00A47FDE" w:rsidP="002B1283">
      <w:pPr>
        <w:rPr>
          <w:rFonts w:ascii="Arial Black" w:hAnsi="Arial Black"/>
          <w:b/>
          <w:bCs/>
          <w:sz w:val="28"/>
          <w:szCs w:val="28"/>
        </w:rPr>
      </w:pPr>
    </w:p>
    <w:p w14:paraId="6EED563B" w14:textId="496F4575" w:rsidR="00816951" w:rsidRDefault="00816951" w:rsidP="002B1283">
      <w:pPr>
        <w:rPr>
          <w:rFonts w:ascii="Arial Black" w:hAnsi="Arial Black"/>
          <w:b/>
          <w:bCs/>
          <w:sz w:val="28"/>
          <w:szCs w:val="28"/>
        </w:rPr>
      </w:pPr>
      <w:r>
        <w:rPr>
          <w:rFonts w:ascii="Arial Black" w:hAnsi="Arial Black"/>
          <w:b/>
          <w:bCs/>
          <w:sz w:val="28"/>
          <w:szCs w:val="28"/>
        </w:rPr>
        <w:t>13-202</w:t>
      </w:r>
    </w:p>
    <w:p w14:paraId="4638FDC4" w14:textId="79CB78E9" w:rsidR="00C20E41" w:rsidRPr="00DD6EF6" w:rsidRDefault="00C20E41" w:rsidP="00C20E41">
      <w:pPr>
        <w:rPr>
          <w:rFonts w:ascii="Arial Black" w:hAnsi="Arial Black"/>
          <w:b/>
          <w:sz w:val="28"/>
          <w:szCs w:val="28"/>
        </w:rPr>
      </w:pPr>
      <w:r>
        <w:rPr>
          <w:rFonts w:ascii="Arial Black" w:hAnsi="Arial Black"/>
          <w:b/>
          <w:sz w:val="28"/>
          <w:szCs w:val="28"/>
        </w:rPr>
        <w:t xml:space="preserve">CA: COVID-19 – </w:t>
      </w:r>
      <w:r w:rsidR="00D32102">
        <w:rPr>
          <w:rFonts w:ascii="Arial Black" w:hAnsi="Arial Black"/>
          <w:b/>
          <w:sz w:val="28"/>
          <w:szCs w:val="28"/>
        </w:rPr>
        <w:t>FF ALL</w:t>
      </w:r>
      <w:r w:rsidR="00310992">
        <w:rPr>
          <w:rFonts w:ascii="Arial Black" w:hAnsi="Arial Black"/>
          <w:b/>
          <w:sz w:val="28"/>
          <w:szCs w:val="28"/>
        </w:rPr>
        <w:t xml:space="preserve">OWED WK FROM HOME - </w:t>
      </w:r>
      <w:r>
        <w:rPr>
          <w:rFonts w:ascii="Arial Black" w:hAnsi="Arial Black"/>
          <w:b/>
          <w:sz w:val="28"/>
          <w:szCs w:val="28"/>
        </w:rPr>
        <w:t xml:space="preserve">VOL. RETIRED </w:t>
      </w:r>
    </w:p>
    <w:p w14:paraId="136C21BF" w14:textId="77777777" w:rsidR="00C20E41" w:rsidRPr="004441B2" w:rsidRDefault="00C20E41" w:rsidP="00C20E41">
      <w:pPr>
        <w:rPr>
          <w:rFonts w:ascii="Times New Roman" w:hAnsi="Times New Roman"/>
          <w:sz w:val="24"/>
          <w:szCs w:val="24"/>
        </w:rPr>
      </w:pPr>
      <w:r w:rsidRPr="004441B2">
        <w:rPr>
          <w:rFonts w:ascii="Times New Roman" w:hAnsi="Times New Roman"/>
          <w:sz w:val="24"/>
          <w:szCs w:val="24"/>
        </w:rPr>
        <w:t>On Jan. 22, 2025,</w:t>
      </w:r>
      <w:r w:rsidRPr="004441B2">
        <w:rPr>
          <w:rFonts w:ascii="Times New Roman" w:hAnsi="Times New Roman"/>
          <w:b/>
          <w:sz w:val="24"/>
          <w:szCs w:val="24"/>
        </w:rPr>
        <w:t xml:space="preserve"> </w:t>
      </w:r>
      <w:r w:rsidRPr="004441B2">
        <w:rPr>
          <w:rFonts w:ascii="Times New Roman" w:hAnsi="Times New Roman"/>
          <w:sz w:val="24"/>
          <w:szCs w:val="24"/>
        </w:rPr>
        <w:t>in</w:t>
      </w:r>
      <w:r w:rsidRPr="004441B2">
        <w:rPr>
          <w:rFonts w:ascii="Times New Roman" w:hAnsi="Times New Roman"/>
          <w:b/>
          <w:sz w:val="24"/>
          <w:szCs w:val="24"/>
        </w:rPr>
        <w:t xml:space="preserve"> </w:t>
      </w:r>
      <w:r w:rsidRPr="004441B2">
        <w:rPr>
          <w:rFonts w:ascii="Times New Roman" w:hAnsi="Times New Roman"/>
          <w:sz w:val="24"/>
          <w:szCs w:val="24"/>
          <w:u w:val="single"/>
        </w:rPr>
        <w:t>Mark Alan Clark v. City of Los Angeles</w:t>
      </w:r>
      <w:r w:rsidRPr="004441B2">
        <w:rPr>
          <w:rFonts w:ascii="Times New Roman" w:hAnsi="Times New Roman"/>
          <w:sz w:val="24"/>
          <w:szCs w:val="24"/>
        </w:rPr>
        <w:t xml:space="preserve">, the California Court of Appeals, Second District, Second Division held (3 to 0; unpublished decision) held he was not “constructively discharged.”  He was permitted to work from home as the FD’s equipment superintendent and voluntarily retired prior to finding out if his religious accommodation was granted. “Given the city’s indefinite excusal of Clark from working in </w:t>
      </w:r>
      <w:r w:rsidRPr="004441B2">
        <w:rPr>
          <w:rFonts w:ascii="Times New Roman" w:hAnsi="Times New Roman"/>
          <w:sz w:val="24"/>
          <w:szCs w:val="24"/>
        </w:rPr>
        <w:lastRenderedPageBreak/>
        <w:t xml:space="preserve">person, receiving a vaccine, and getting tested for COVID-19, no reasonable employer would have felt resignation was Clark’s only option.”  He retired on March 31, 2022, at age 55, while his request for religious accommodation was pending. After Clark voluntarily retired the city granted all pending exemption requests. </w:t>
      </w:r>
      <w:hyperlink r:id="rId2096" w:history="1">
        <w:r w:rsidRPr="004441B2">
          <w:rPr>
            <w:rStyle w:val="Hyperlink"/>
            <w:rFonts w:ascii="Times New Roman" w:hAnsi="Times New Roman"/>
            <w:sz w:val="24"/>
            <w:szCs w:val="24"/>
          </w:rPr>
          <w:t>https://www4.courts.ca.gov/opinions/nonpub/B335656.PDF</w:t>
        </w:r>
      </w:hyperlink>
      <w:r w:rsidRPr="004441B2">
        <w:rPr>
          <w:rFonts w:ascii="Times New Roman" w:hAnsi="Times New Roman"/>
          <w:sz w:val="24"/>
          <w:szCs w:val="24"/>
        </w:rPr>
        <w:t xml:space="preserve"> </w:t>
      </w:r>
    </w:p>
    <w:p w14:paraId="36575230" w14:textId="77777777" w:rsidR="00C20E41" w:rsidRPr="004441B2" w:rsidRDefault="00C20E41" w:rsidP="00C20E41">
      <w:pPr>
        <w:rPr>
          <w:rFonts w:ascii="Times New Roman" w:hAnsi="Times New Roman"/>
          <w:bCs/>
          <w:sz w:val="24"/>
          <w:szCs w:val="24"/>
        </w:rPr>
      </w:pPr>
      <w:r w:rsidRPr="004441B2">
        <w:rPr>
          <w:rFonts w:ascii="Times New Roman" w:hAnsi="Times New Roman"/>
          <w:sz w:val="24"/>
          <w:szCs w:val="24"/>
        </w:rPr>
        <w:t>The Court wrote:</w:t>
      </w:r>
    </w:p>
    <w:p w14:paraId="4EF8BEF3" w14:textId="77777777" w:rsidR="00C20E41" w:rsidRPr="004441B2" w:rsidRDefault="00C20E41" w:rsidP="00C20E41">
      <w:pPr>
        <w:pStyle w:val="NoSpacing"/>
        <w:ind w:left="720"/>
        <w:rPr>
          <w:rFonts w:ascii="Times New Roman" w:hAnsi="Times New Roman"/>
          <w:bCs/>
          <w:sz w:val="24"/>
          <w:szCs w:val="24"/>
        </w:rPr>
      </w:pPr>
      <w:r w:rsidRPr="004441B2">
        <w:rPr>
          <w:rFonts w:ascii="Times New Roman" w:hAnsi="Times New Roman"/>
          <w:sz w:val="24"/>
          <w:szCs w:val="24"/>
        </w:rPr>
        <w:t>“Clark worked remotely from home starting in June 2021 due to his wife’s medical condition. He applied for and was granted modified intermittent family medical leave. Clark had a telephone conversation with Assistant Chief Richard Fields on December 1, 2021, in which Fields personally permitted Clark to continue to work remotely until March 2022. After that time, Clark would have to take early retirement or return to working in person. Fields told Clark that his religious exemption request was still under review. Clark was also informed that if his request for exemption was denied, it could be appealed to the Fire Chief.</w:t>
      </w:r>
    </w:p>
    <w:p w14:paraId="37C23D01" w14:textId="77777777" w:rsidR="00C20E41" w:rsidRPr="004441B2" w:rsidRDefault="00C20E41" w:rsidP="00C20E41">
      <w:pPr>
        <w:pStyle w:val="NoSpacing"/>
        <w:ind w:left="720"/>
        <w:rPr>
          <w:rFonts w:ascii="Times New Roman" w:hAnsi="Times New Roman"/>
          <w:bCs/>
          <w:sz w:val="24"/>
          <w:szCs w:val="24"/>
        </w:rPr>
      </w:pPr>
    </w:p>
    <w:p w14:paraId="31AB2934" w14:textId="77777777" w:rsidR="00C20E41" w:rsidRPr="004441B2" w:rsidRDefault="00C20E41" w:rsidP="00C20E41">
      <w:pPr>
        <w:pStyle w:val="NoSpacing"/>
        <w:ind w:left="720"/>
        <w:rPr>
          <w:rFonts w:ascii="Times New Roman" w:hAnsi="Times New Roman"/>
          <w:bCs/>
          <w:sz w:val="24"/>
          <w:szCs w:val="24"/>
        </w:rPr>
      </w:pPr>
      <w:r w:rsidRPr="004441B2">
        <w:rPr>
          <w:rFonts w:ascii="Times New Roman" w:hAnsi="Times New Roman"/>
          <w:sz w:val="24"/>
          <w:szCs w:val="24"/>
        </w:rPr>
        <w:t>***</w:t>
      </w:r>
    </w:p>
    <w:p w14:paraId="0E588191" w14:textId="77777777" w:rsidR="00C20E41" w:rsidRPr="004441B2" w:rsidRDefault="00C20E41" w:rsidP="00C20E41">
      <w:pPr>
        <w:pStyle w:val="NoSpacing"/>
        <w:ind w:firstLine="720"/>
        <w:rPr>
          <w:rFonts w:ascii="Times New Roman" w:hAnsi="Times New Roman"/>
          <w:sz w:val="24"/>
          <w:szCs w:val="24"/>
        </w:rPr>
      </w:pPr>
    </w:p>
    <w:p w14:paraId="746F4AB3" w14:textId="77777777" w:rsidR="00C20E41" w:rsidRPr="004441B2" w:rsidRDefault="00C20E41" w:rsidP="00C20E41">
      <w:pPr>
        <w:pStyle w:val="NoSpacing"/>
        <w:ind w:left="720"/>
        <w:rPr>
          <w:rFonts w:ascii="Times New Roman" w:hAnsi="Times New Roman"/>
          <w:sz w:val="24"/>
          <w:szCs w:val="24"/>
        </w:rPr>
      </w:pPr>
      <w:r w:rsidRPr="004441B2">
        <w:rPr>
          <w:rFonts w:ascii="Times New Roman" w:hAnsi="Times New Roman"/>
          <w:sz w:val="24"/>
          <w:szCs w:val="24"/>
        </w:rPr>
        <w:t>The city’s formal approval of Clark’s request for accommodation during the time of his employment was not necessary for the city to reasonably accommodate Clark, who was</w:t>
      </w:r>
    </w:p>
    <w:p w14:paraId="6C91A99D" w14:textId="77777777" w:rsidR="00C20E41" w:rsidRPr="004441B2" w:rsidRDefault="00C20E41" w:rsidP="00C20E41">
      <w:pPr>
        <w:pStyle w:val="NoSpacing"/>
        <w:ind w:left="720"/>
        <w:rPr>
          <w:rFonts w:ascii="Times New Roman" w:hAnsi="Times New Roman"/>
          <w:sz w:val="24"/>
          <w:szCs w:val="24"/>
        </w:rPr>
      </w:pPr>
      <w:r w:rsidRPr="004441B2">
        <w:rPr>
          <w:rFonts w:ascii="Times New Roman" w:hAnsi="Times New Roman"/>
          <w:sz w:val="24"/>
          <w:szCs w:val="24"/>
        </w:rPr>
        <w:t xml:space="preserve">permitted to work from home from March 2020 through March 2021 and from June 2021 through March 2022. He attended work in person for one day on March 30, 2022, the day before his retirement. Clark did not allege he was ever required to test for COVID-19 or receive a vaccine…. The city was not required to rapidly implement Clark’s preferred solution. Its decision to permit him to work from </w:t>
      </w:r>
      <w:proofErr w:type="gramStart"/>
      <w:r w:rsidRPr="004441B2">
        <w:rPr>
          <w:rFonts w:ascii="Times New Roman" w:hAnsi="Times New Roman"/>
          <w:sz w:val="24"/>
          <w:szCs w:val="24"/>
        </w:rPr>
        <w:t>home, and</w:t>
      </w:r>
      <w:proofErr w:type="gramEnd"/>
      <w:r w:rsidRPr="004441B2">
        <w:rPr>
          <w:rFonts w:ascii="Times New Roman" w:hAnsi="Times New Roman"/>
          <w:sz w:val="24"/>
          <w:szCs w:val="24"/>
        </w:rPr>
        <w:t xml:space="preserve"> not require him to get vaccinated or test for COVID-19 during the pendency of his accommodation request, was reasonable.”</w:t>
      </w:r>
    </w:p>
    <w:p w14:paraId="2B24DE27" w14:textId="77777777" w:rsidR="00C20E41" w:rsidRPr="004441B2" w:rsidRDefault="00C20E41" w:rsidP="00C20E41">
      <w:pPr>
        <w:pStyle w:val="NoSpacing"/>
        <w:rPr>
          <w:rFonts w:ascii="Times New Roman" w:hAnsi="Times New Roman"/>
          <w:b/>
          <w:bCs/>
          <w:sz w:val="24"/>
          <w:szCs w:val="24"/>
        </w:rPr>
      </w:pPr>
    </w:p>
    <w:p w14:paraId="406B4A38" w14:textId="77777777" w:rsidR="00C20E41" w:rsidRPr="004441B2" w:rsidRDefault="00C20E41" w:rsidP="00C20E41">
      <w:pPr>
        <w:pStyle w:val="NoSpacing"/>
        <w:rPr>
          <w:rFonts w:ascii="Times New Roman" w:hAnsi="Times New Roman"/>
          <w:b/>
          <w:bCs/>
          <w:sz w:val="24"/>
          <w:szCs w:val="24"/>
        </w:rPr>
      </w:pPr>
      <w:r w:rsidRPr="004441B2">
        <w:rPr>
          <w:rFonts w:ascii="Times New Roman" w:hAnsi="Times New Roman"/>
          <w:b/>
          <w:sz w:val="24"/>
          <w:szCs w:val="24"/>
        </w:rPr>
        <w:t xml:space="preserve">Legal Lesson Learned:  The firefighter’s voluntary retirement ended any need to accommodate him. </w:t>
      </w:r>
    </w:p>
    <w:p w14:paraId="26D58E01" w14:textId="77777777" w:rsidR="00816951" w:rsidRDefault="00816951" w:rsidP="002B1283">
      <w:pPr>
        <w:rPr>
          <w:rFonts w:ascii="Arial Black" w:hAnsi="Arial Black"/>
          <w:b/>
          <w:bCs/>
          <w:sz w:val="28"/>
          <w:szCs w:val="28"/>
        </w:rPr>
      </w:pPr>
    </w:p>
    <w:p w14:paraId="7EBA556C" w14:textId="77777777" w:rsidR="00C20E41" w:rsidRDefault="00C20E41" w:rsidP="002B1283">
      <w:pPr>
        <w:rPr>
          <w:rFonts w:ascii="Arial Black" w:hAnsi="Arial Black"/>
          <w:b/>
          <w:bCs/>
          <w:sz w:val="28"/>
          <w:szCs w:val="28"/>
        </w:rPr>
      </w:pPr>
    </w:p>
    <w:p w14:paraId="42C2CCD6" w14:textId="77777777" w:rsidR="00C20E41" w:rsidRDefault="00C20E41" w:rsidP="002B1283">
      <w:pPr>
        <w:rPr>
          <w:rFonts w:ascii="Arial Black" w:hAnsi="Arial Black"/>
          <w:b/>
          <w:bCs/>
          <w:sz w:val="28"/>
          <w:szCs w:val="28"/>
        </w:rPr>
      </w:pPr>
    </w:p>
    <w:p w14:paraId="593FB3CC" w14:textId="2211FAF7" w:rsidR="00B068BE" w:rsidRDefault="00D0461C" w:rsidP="002B1283">
      <w:pPr>
        <w:rPr>
          <w:rFonts w:ascii="Arial Black" w:hAnsi="Arial Black"/>
          <w:b/>
          <w:bCs/>
          <w:sz w:val="28"/>
          <w:szCs w:val="28"/>
        </w:rPr>
      </w:pPr>
      <w:r>
        <w:rPr>
          <w:rFonts w:ascii="Arial Black" w:hAnsi="Arial Black"/>
          <w:b/>
          <w:bCs/>
          <w:sz w:val="28"/>
          <w:szCs w:val="28"/>
        </w:rPr>
        <w:t>13-201</w:t>
      </w:r>
    </w:p>
    <w:p w14:paraId="500DE5E1" w14:textId="72D41B40" w:rsidR="00D0461C" w:rsidRDefault="00D0461C" w:rsidP="00D0461C">
      <w:pPr>
        <w:pStyle w:val="NoSpacing"/>
        <w:rPr>
          <w:rFonts w:ascii="Arial Black" w:hAnsi="Arial Black"/>
          <w:b/>
          <w:sz w:val="28"/>
          <w:szCs w:val="28"/>
        </w:rPr>
      </w:pPr>
      <w:r>
        <w:rPr>
          <w:rFonts w:ascii="Arial Black" w:hAnsi="Arial Black"/>
          <w:b/>
          <w:sz w:val="28"/>
          <w:szCs w:val="28"/>
        </w:rPr>
        <w:t xml:space="preserve">CA: COVID-19 – BC </w:t>
      </w:r>
      <w:r w:rsidR="007D512D">
        <w:rPr>
          <w:rFonts w:ascii="Arial Black" w:hAnsi="Arial Black"/>
          <w:b/>
          <w:sz w:val="28"/>
          <w:szCs w:val="28"/>
        </w:rPr>
        <w:t>SUSP</w:t>
      </w:r>
      <w:r>
        <w:rPr>
          <w:rFonts w:ascii="Arial Black" w:hAnsi="Arial Black"/>
          <w:b/>
          <w:sz w:val="28"/>
          <w:szCs w:val="28"/>
        </w:rPr>
        <w:t>–</w:t>
      </w:r>
      <w:r w:rsidR="007D512D">
        <w:rPr>
          <w:rFonts w:ascii="Arial Black" w:hAnsi="Arial Black"/>
          <w:b/>
          <w:sz w:val="28"/>
          <w:szCs w:val="28"/>
        </w:rPr>
        <w:t xml:space="preserve"> </w:t>
      </w:r>
      <w:r w:rsidR="00817397">
        <w:rPr>
          <w:rFonts w:ascii="Arial Black" w:hAnsi="Arial Black"/>
          <w:b/>
          <w:sz w:val="28"/>
          <w:szCs w:val="28"/>
        </w:rPr>
        <w:t xml:space="preserve">NO </w:t>
      </w:r>
      <w:r w:rsidR="007D512D">
        <w:rPr>
          <w:rFonts w:ascii="Arial Black" w:hAnsi="Arial Black"/>
          <w:b/>
          <w:sz w:val="28"/>
          <w:szCs w:val="28"/>
        </w:rPr>
        <w:t xml:space="preserve">PRE-DISCIPLINARY HEARING REQ. </w:t>
      </w:r>
    </w:p>
    <w:p w14:paraId="4038BDC8" w14:textId="77777777" w:rsidR="00D0461C" w:rsidRDefault="00D0461C" w:rsidP="00D0461C">
      <w:pPr>
        <w:pStyle w:val="NoSpacing"/>
        <w:rPr>
          <w:rFonts w:ascii="Arial Black" w:hAnsi="Arial Black"/>
          <w:b/>
          <w:sz w:val="28"/>
          <w:szCs w:val="28"/>
        </w:rPr>
      </w:pPr>
    </w:p>
    <w:p w14:paraId="5BD581B7" w14:textId="77777777" w:rsidR="00D0461C" w:rsidRPr="00D0461C" w:rsidRDefault="00D0461C" w:rsidP="00D0461C">
      <w:pPr>
        <w:pStyle w:val="NoSpacing"/>
        <w:rPr>
          <w:rStyle w:val="Hyperlink"/>
          <w:rFonts w:ascii="Times New Roman" w:hAnsi="Times New Roman"/>
          <w:sz w:val="24"/>
          <w:szCs w:val="24"/>
        </w:rPr>
      </w:pPr>
      <w:r w:rsidRPr="00D0461C">
        <w:rPr>
          <w:rFonts w:ascii="Times New Roman" w:hAnsi="Times New Roman"/>
          <w:sz w:val="24"/>
          <w:szCs w:val="24"/>
        </w:rPr>
        <w:t xml:space="preserve">On Dec. 10, 2024, in </w:t>
      </w:r>
      <w:r w:rsidRPr="00D0461C">
        <w:rPr>
          <w:rFonts w:ascii="Times New Roman" w:hAnsi="Times New Roman"/>
          <w:sz w:val="24"/>
          <w:szCs w:val="24"/>
          <w:u w:val="single"/>
        </w:rPr>
        <w:t>Robert L. Kilpatrick v. City of Los Angeles</w:t>
      </w:r>
      <w:r w:rsidRPr="00D0461C">
        <w:rPr>
          <w:rFonts w:ascii="Times New Roman" w:hAnsi="Times New Roman"/>
          <w:sz w:val="24"/>
          <w:szCs w:val="24"/>
        </w:rPr>
        <w:t xml:space="preserve">, the Court of Appeals, Second District, Third Division, held that the Battalion Chief with 34 years of service was not entitled to a pre-disciplinary hearing prior to suspension, thereby overturning a Superior Court judge that held the City Charter required a hearing and decision by the City Board of Rights.  On Nov. 9, </w:t>
      </w:r>
      <w:proofErr w:type="gramStart"/>
      <w:r w:rsidRPr="00D0461C">
        <w:rPr>
          <w:rFonts w:ascii="Times New Roman" w:hAnsi="Times New Roman"/>
          <w:sz w:val="24"/>
          <w:szCs w:val="24"/>
        </w:rPr>
        <w:t>2021</w:t>
      </w:r>
      <w:proofErr w:type="gramEnd"/>
      <w:r w:rsidRPr="00D0461C">
        <w:rPr>
          <w:rFonts w:ascii="Times New Roman" w:hAnsi="Times New Roman"/>
          <w:sz w:val="24"/>
          <w:szCs w:val="24"/>
        </w:rPr>
        <w:t xml:space="preserve"> he was given Notice of  Charges for not getting a COVID vaccination; the Notice provided Kilpatrick at least 48 hours to either confirm he had complied with the vaccine mandate, or agreed that he would comply by December 18, 2021, and signing an agreement.  Kilpatrick did not sign. On November 12, 2021, the </w:t>
      </w:r>
      <w:proofErr w:type="gramStart"/>
      <w:r w:rsidRPr="00D0461C">
        <w:rPr>
          <w:rFonts w:ascii="Times New Roman" w:hAnsi="Times New Roman"/>
          <w:sz w:val="24"/>
          <w:szCs w:val="24"/>
        </w:rPr>
        <w:t>City</w:t>
      </w:r>
      <w:proofErr w:type="gramEnd"/>
      <w:r w:rsidRPr="00D0461C">
        <w:rPr>
          <w:rFonts w:ascii="Times New Roman" w:hAnsi="Times New Roman"/>
          <w:sz w:val="24"/>
          <w:szCs w:val="24"/>
        </w:rPr>
        <w:t xml:space="preserve"> placed him off duty without pay . A virtual hearing took place on December 21, 2021, and Kilpatrick left the hearing after the </w:t>
      </w:r>
      <w:proofErr w:type="gramStart"/>
      <w:r w:rsidRPr="00D0461C">
        <w:rPr>
          <w:rFonts w:ascii="Times New Roman" w:hAnsi="Times New Roman"/>
          <w:sz w:val="24"/>
          <w:szCs w:val="24"/>
        </w:rPr>
        <w:t>City</w:t>
      </w:r>
      <w:proofErr w:type="gramEnd"/>
      <w:r w:rsidRPr="00D0461C">
        <w:rPr>
          <w:rFonts w:ascii="Times New Roman" w:hAnsi="Times New Roman"/>
          <w:sz w:val="24"/>
          <w:szCs w:val="24"/>
        </w:rPr>
        <w:t xml:space="preserve"> refused to produce materials he requested. </w:t>
      </w:r>
      <w:hyperlink r:id="rId2097" w:history="1">
        <w:r w:rsidRPr="00D0461C">
          <w:rPr>
            <w:rStyle w:val="Hyperlink"/>
            <w:rFonts w:ascii="Times New Roman" w:hAnsi="Times New Roman"/>
            <w:sz w:val="24"/>
            <w:szCs w:val="24"/>
          </w:rPr>
          <w:t>https://casetext.com/case/kilpatrick-v-city-of-l-a</w:t>
        </w:r>
      </w:hyperlink>
    </w:p>
    <w:p w14:paraId="7F6490A4" w14:textId="77777777" w:rsidR="00D0461C" w:rsidRDefault="00D0461C" w:rsidP="002B1283">
      <w:pPr>
        <w:rPr>
          <w:rFonts w:ascii="Arial Black" w:hAnsi="Arial Black"/>
          <w:b/>
          <w:bCs/>
          <w:sz w:val="28"/>
          <w:szCs w:val="28"/>
        </w:rPr>
      </w:pPr>
    </w:p>
    <w:p w14:paraId="011FFA4D" w14:textId="77777777" w:rsidR="00264893" w:rsidRPr="00264893" w:rsidRDefault="00264893" w:rsidP="00264893">
      <w:pPr>
        <w:pStyle w:val="NoSpacing"/>
        <w:rPr>
          <w:rFonts w:ascii="Times New Roman" w:hAnsi="Times New Roman"/>
          <w:sz w:val="24"/>
          <w:szCs w:val="24"/>
        </w:rPr>
      </w:pPr>
      <w:r w:rsidRPr="00264893">
        <w:rPr>
          <w:rFonts w:ascii="Times New Roman" w:hAnsi="Times New Roman"/>
          <w:sz w:val="24"/>
          <w:szCs w:val="24"/>
        </w:rPr>
        <w:t xml:space="preserve">The Court wrote: </w:t>
      </w:r>
    </w:p>
    <w:p w14:paraId="42D20495" w14:textId="77777777" w:rsidR="00264893" w:rsidRPr="00264893" w:rsidRDefault="00264893" w:rsidP="00264893">
      <w:pPr>
        <w:pStyle w:val="NoSpacing"/>
        <w:rPr>
          <w:rFonts w:ascii="Times New Roman" w:hAnsi="Times New Roman"/>
          <w:sz w:val="24"/>
          <w:szCs w:val="24"/>
        </w:rPr>
      </w:pPr>
    </w:p>
    <w:p w14:paraId="0E06B335" w14:textId="61DC4BEA" w:rsidR="00264893" w:rsidRPr="00264893" w:rsidRDefault="00264893" w:rsidP="00264893">
      <w:pPr>
        <w:pStyle w:val="NoSpacing"/>
        <w:ind w:left="720"/>
        <w:rPr>
          <w:rFonts w:ascii="Times New Roman" w:hAnsi="Times New Roman"/>
          <w:sz w:val="24"/>
          <w:szCs w:val="24"/>
        </w:rPr>
      </w:pPr>
      <w:r w:rsidRPr="00264893">
        <w:rPr>
          <w:rFonts w:ascii="Times New Roman" w:hAnsi="Times New Roman"/>
          <w:sz w:val="24"/>
          <w:szCs w:val="24"/>
        </w:rPr>
        <w:t xml:space="preserve">“Kilpatrick received notice of the charges against him and had a short period to respond prior to being temporarily removed from duty. He received further post-suspension notice and the opportunity to be heard and respond in real time less than six weeks later. Under the circumstances of this </w:t>
      </w:r>
      <w:proofErr w:type="gramStart"/>
      <w:r w:rsidRPr="00264893">
        <w:rPr>
          <w:rFonts w:ascii="Times New Roman" w:hAnsi="Times New Roman"/>
          <w:sz w:val="24"/>
          <w:szCs w:val="24"/>
        </w:rPr>
        <w:t>case, and</w:t>
      </w:r>
      <w:proofErr w:type="gramEnd"/>
      <w:r w:rsidRPr="00264893">
        <w:rPr>
          <w:rFonts w:ascii="Times New Roman" w:hAnsi="Times New Roman"/>
          <w:sz w:val="24"/>
          <w:szCs w:val="24"/>
        </w:rPr>
        <w:t xml:space="preserve"> considering the three distinct factors necessary to determine what process was constitutionally due, we conclude the City's procedure was constitutionally sufficient. Kilpatrick received the ‘</w:t>
      </w:r>
      <w:proofErr w:type="spellStart"/>
      <w:r w:rsidRPr="00264893">
        <w:rPr>
          <w:rFonts w:ascii="Times New Roman" w:hAnsi="Times New Roman"/>
          <w:sz w:val="24"/>
          <w:szCs w:val="24"/>
        </w:rPr>
        <w:t>predisciplinary</w:t>
      </w:r>
      <w:proofErr w:type="spellEnd"/>
      <w:r w:rsidRPr="00264893">
        <w:rPr>
          <w:rFonts w:ascii="Times New Roman" w:hAnsi="Times New Roman"/>
          <w:sz w:val="24"/>
          <w:szCs w:val="24"/>
        </w:rPr>
        <w:t xml:space="preserve"> procedures otherwise required by law’….” </w:t>
      </w:r>
    </w:p>
    <w:p w14:paraId="3215A67C" w14:textId="77777777" w:rsidR="00264893" w:rsidRPr="00264893" w:rsidRDefault="00264893" w:rsidP="00264893">
      <w:pPr>
        <w:pStyle w:val="NoSpacing"/>
        <w:rPr>
          <w:rFonts w:ascii="Times New Roman" w:hAnsi="Times New Roman"/>
          <w:sz w:val="24"/>
          <w:szCs w:val="24"/>
        </w:rPr>
      </w:pPr>
    </w:p>
    <w:p w14:paraId="02D94DC9" w14:textId="77777777" w:rsidR="00264893" w:rsidRPr="00264893" w:rsidRDefault="00264893" w:rsidP="00264893">
      <w:pPr>
        <w:pStyle w:val="NoSpacing"/>
        <w:rPr>
          <w:rFonts w:ascii="Times New Roman" w:hAnsi="Times New Roman"/>
          <w:sz w:val="24"/>
          <w:szCs w:val="24"/>
        </w:rPr>
      </w:pPr>
      <w:r w:rsidRPr="00264893">
        <w:rPr>
          <w:rFonts w:ascii="Times New Roman" w:hAnsi="Times New Roman"/>
          <w:sz w:val="24"/>
          <w:szCs w:val="24"/>
        </w:rPr>
        <w:t>HOLDING:</w:t>
      </w:r>
    </w:p>
    <w:p w14:paraId="6589C4F9" w14:textId="77777777" w:rsidR="00264893" w:rsidRPr="00264893" w:rsidRDefault="00264893" w:rsidP="00264893">
      <w:pPr>
        <w:pStyle w:val="NoSpacing"/>
        <w:rPr>
          <w:rFonts w:ascii="Times New Roman" w:hAnsi="Times New Roman"/>
          <w:sz w:val="24"/>
          <w:szCs w:val="24"/>
        </w:rPr>
      </w:pPr>
    </w:p>
    <w:p w14:paraId="7156840F" w14:textId="77777777" w:rsidR="00264893" w:rsidRPr="00264893" w:rsidRDefault="00264893" w:rsidP="00264893">
      <w:pPr>
        <w:pStyle w:val="NoSpacing"/>
        <w:ind w:left="720"/>
        <w:rPr>
          <w:rFonts w:ascii="Times New Roman" w:hAnsi="Times New Roman"/>
          <w:sz w:val="24"/>
          <w:szCs w:val="24"/>
        </w:rPr>
      </w:pPr>
      <w:r w:rsidRPr="00264893">
        <w:rPr>
          <w:rFonts w:ascii="Times New Roman" w:hAnsi="Times New Roman"/>
          <w:sz w:val="24"/>
          <w:szCs w:val="24"/>
        </w:rPr>
        <w:t xml:space="preserve">“Under the circumstances of this </w:t>
      </w:r>
      <w:proofErr w:type="gramStart"/>
      <w:r w:rsidRPr="00264893">
        <w:rPr>
          <w:rFonts w:ascii="Times New Roman" w:hAnsi="Times New Roman"/>
          <w:sz w:val="24"/>
          <w:szCs w:val="24"/>
        </w:rPr>
        <w:t>case, and</w:t>
      </w:r>
      <w:proofErr w:type="gramEnd"/>
      <w:r w:rsidRPr="00264893">
        <w:rPr>
          <w:rFonts w:ascii="Times New Roman" w:hAnsi="Times New Roman"/>
          <w:sz w:val="24"/>
          <w:szCs w:val="24"/>
        </w:rPr>
        <w:t xml:space="preserve"> considering the three distinct factors necessary to determine what process was constitutionally due, we conclude the City's procedure was constitutionally sufficient. Kilpatrick received the ‘pre-disciplinary procedures otherwise required by law’ pursuant to [City Charter] section 1060(b).”</w:t>
      </w:r>
    </w:p>
    <w:p w14:paraId="1F15311B" w14:textId="77777777" w:rsidR="00264893" w:rsidRPr="00264893" w:rsidRDefault="00264893" w:rsidP="00264893">
      <w:pPr>
        <w:pStyle w:val="NoSpacing"/>
        <w:ind w:left="720"/>
        <w:rPr>
          <w:rFonts w:ascii="Times New Roman" w:hAnsi="Times New Roman"/>
          <w:sz w:val="24"/>
          <w:szCs w:val="24"/>
        </w:rPr>
      </w:pPr>
    </w:p>
    <w:p w14:paraId="0B09A3D1" w14:textId="77777777" w:rsidR="00264893" w:rsidRPr="005E03F7" w:rsidRDefault="00264893" w:rsidP="00264893">
      <w:pPr>
        <w:pStyle w:val="NoSpacing"/>
        <w:rPr>
          <w:b/>
        </w:rPr>
      </w:pPr>
      <w:r w:rsidRPr="00264893">
        <w:rPr>
          <w:rFonts w:ascii="Times New Roman" w:hAnsi="Times New Roman"/>
          <w:b/>
          <w:sz w:val="24"/>
          <w:szCs w:val="24"/>
        </w:rPr>
        <w:t xml:space="preserve">Legal Lesson Learned: COVID-19 concerns required prompt decision making; a virtual hearing after suspension was adequate due process. </w:t>
      </w:r>
      <w:r>
        <w:rPr>
          <w:b/>
        </w:rPr>
        <w:t xml:space="preserve"> </w:t>
      </w:r>
    </w:p>
    <w:p w14:paraId="37422F5E" w14:textId="77777777" w:rsidR="00264893" w:rsidRDefault="00264893" w:rsidP="002B1283">
      <w:pPr>
        <w:rPr>
          <w:rFonts w:ascii="Arial Black" w:hAnsi="Arial Black"/>
          <w:b/>
          <w:bCs/>
          <w:sz w:val="28"/>
          <w:szCs w:val="28"/>
        </w:rPr>
      </w:pPr>
    </w:p>
    <w:p w14:paraId="5EA2F476" w14:textId="77777777" w:rsidR="002D13B2" w:rsidRDefault="002D13B2" w:rsidP="002B1283">
      <w:pPr>
        <w:rPr>
          <w:rFonts w:ascii="Arial Black" w:hAnsi="Arial Black"/>
          <w:b/>
          <w:bCs/>
          <w:sz w:val="28"/>
          <w:szCs w:val="28"/>
        </w:rPr>
      </w:pPr>
    </w:p>
    <w:p w14:paraId="267382B2" w14:textId="77777777" w:rsidR="002D13B2" w:rsidRDefault="002D13B2" w:rsidP="002B1283">
      <w:pPr>
        <w:rPr>
          <w:rFonts w:ascii="Arial Black" w:hAnsi="Arial Black"/>
          <w:b/>
          <w:bCs/>
          <w:sz w:val="28"/>
          <w:szCs w:val="28"/>
        </w:rPr>
      </w:pPr>
    </w:p>
    <w:p w14:paraId="13822043" w14:textId="77777777" w:rsidR="00B068BE" w:rsidRDefault="00B068BE" w:rsidP="002B1283">
      <w:pPr>
        <w:rPr>
          <w:rFonts w:ascii="Arial Black" w:hAnsi="Arial Black"/>
          <w:b/>
          <w:bCs/>
          <w:sz w:val="28"/>
          <w:szCs w:val="28"/>
        </w:rPr>
      </w:pPr>
    </w:p>
    <w:p w14:paraId="16CEDB03" w14:textId="77777777" w:rsidR="00B068BE" w:rsidRDefault="00B068BE" w:rsidP="002B1283">
      <w:pPr>
        <w:rPr>
          <w:rFonts w:ascii="Arial Black" w:hAnsi="Arial Black"/>
          <w:b/>
          <w:bCs/>
          <w:sz w:val="28"/>
          <w:szCs w:val="28"/>
        </w:rPr>
      </w:pPr>
    </w:p>
    <w:p w14:paraId="0BA76DB0" w14:textId="021C6803" w:rsidR="00FE343A" w:rsidRDefault="00FE343A" w:rsidP="002B1283">
      <w:pPr>
        <w:rPr>
          <w:rFonts w:ascii="Arial Black" w:hAnsi="Arial Black"/>
          <w:b/>
          <w:bCs/>
          <w:sz w:val="28"/>
          <w:szCs w:val="28"/>
        </w:rPr>
      </w:pPr>
      <w:r>
        <w:rPr>
          <w:rFonts w:ascii="Arial Black" w:hAnsi="Arial Black"/>
          <w:b/>
          <w:bCs/>
          <w:sz w:val="28"/>
          <w:szCs w:val="28"/>
        </w:rPr>
        <w:t>13-20</w:t>
      </w:r>
      <w:r w:rsidR="0026657A">
        <w:rPr>
          <w:rFonts w:ascii="Arial Black" w:hAnsi="Arial Black"/>
          <w:b/>
          <w:bCs/>
          <w:sz w:val="28"/>
          <w:szCs w:val="28"/>
        </w:rPr>
        <w:t>0</w:t>
      </w:r>
    </w:p>
    <w:p w14:paraId="4E942143" w14:textId="4BDCC04C" w:rsidR="0026657A" w:rsidRPr="00F71BFB" w:rsidRDefault="00BD7394" w:rsidP="0026657A">
      <w:pPr>
        <w:pStyle w:val="NoSpacing"/>
        <w:rPr>
          <w:rFonts w:ascii="Arial Black" w:hAnsi="Arial Black"/>
          <w:bCs/>
          <w:sz w:val="28"/>
          <w:szCs w:val="28"/>
        </w:rPr>
      </w:pPr>
      <w:r>
        <w:rPr>
          <w:rFonts w:ascii="Arial Black" w:hAnsi="Arial Black"/>
          <w:sz w:val="28"/>
          <w:szCs w:val="28"/>
        </w:rPr>
        <w:t xml:space="preserve">U.S. DEPT. </w:t>
      </w:r>
      <w:r w:rsidR="0026657A">
        <w:rPr>
          <w:rFonts w:ascii="Arial Black" w:hAnsi="Arial Black"/>
          <w:sz w:val="28"/>
          <w:szCs w:val="28"/>
        </w:rPr>
        <w:t>V</w:t>
      </w:r>
      <w:r w:rsidR="00A95D36">
        <w:rPr>
          <w:rFonts w:ascii="Arial Black" w:hAnsi="Arial Black"/>
          <w:sz w:val="28"/>
          <w:szCs w:val="28"/>
        </w:rPr>
        <w:t xml:space="preserve">ETERANS AFFAIR - </w:t>
      </w:r>
      <w:r w:rsidR="002470FD">
        <w:rPr>
          <w:rFonts w:ascii="Arial Black" w:hAnsi="Arial Black"/>
          <w:sz w:val="28"/>
          <w:szCs w:val="28"/>
        </w:rPr>
        <w:t xml:space="preserve">CANNOT </w:t>
      </w:r>
      <w:r w:rsidR="00A95D36">
        <w:rPr>
          <w:rFonts w:ascii="Arial Black" w:hAnsi="Arial Black"/>
          <w:sz w:val="28"/>
          <w:szCs w:val="28"/>
        </w:rPr>
        <w:t>L</w:t>
      </w:r>
      <w:r w:rsidR="0026657A">
        <w:rPr>
          <w:rFonts w:ascii="Arial Black" w:hAnsi="Arial Black"/>
          <w:sz w:val="28"/>
          <w:szCs w:val="28"/>
        </w:rPr>
        <w:t xml:space="preserve">OWER TRAVEL RATE </w:t>
      </w:r>
    </w:p>
    <w:p w14:paraId="23CCE8D3" w14:textId="77777777" w:rsidR="0026657A" w:rsidRDefault="0026657A" w:rsidP="0026657A">
      <w:pPr>
        <w:pStyle w:val="NoSpacing"/>
        <w:rPr>
          <w:bCs/>
        </w:rPr>
      </w:pPr>
    </w:p>
    <w:p w14:paraId="68D8B8DF" w14:textId="77777777" w:rsidR="00B15FBB" w:rsidRPr="00B00E74" w:rsidRDefault="00B15FBB" w:rsidP="00B00E74">
      <w:pPr>
        <w:pStyle w:val="NoSpacing"/>
        <w:rPr>
          <w:rFonts w:ascii="Times New Roman" w:hAnsi="Times New Roman"/>
          <w:bCs/>
          <w:sz w:val="24"/>
          <w:szCs w:val="24"/>
        </w:rPr>
      </w:pPr>
      <w:r w:rsidRPr="00B00E74">
        <w:rPr>
          <w:rFonts w:ascii="Times New Roman" w:hAnsi="Times New Roman"/>
          <w:sz w:val="24"/>
          <w:szCs w:val="24"/>
        </w:rPr>
        <w:t xml:space="preserve">On Dec. 9, 2024, in </w:t>
      </w:r>
      <w:r w:rsidRPr="00B00E74">
        <w:rPr>
          <w:rFonts w:ascii="Times New Roman" w:hAnsi="Times New Roman"/>
          <w:sz w:val="24"/>
          <w:szCs w:val="24"/>
          <w:u w:val="single"/>
        </w:rPr>
        <w:t>Metropolitan Area EMS Authority, et al. v. Secretary of Veteran Affairs</w:t>
      </w:r>
      <w:r w:rsidRPr="00B00E74">
        <w:rPr>
          <w:rFonts w:ascii="Times New Roman" w:hAnsi="Times New Roman"/>
          <w:sz w:val="24"/>
          <w:szCs w:val="24"/>
        </w:rPr>
        <w:t xml:space="preserve">, the United States Court of Appeals for the Federal Circuit (D.C.) held (3 to 0) that Congress did not authorize VA to implement reduced ambulance travel reimbursement using Medicare rate for transports that are to “other places” instead of to or from a VA facility (for example, to a nursing home).  The Court relied on U.S. Supreme Court’s landmark June 28, </w:t>
      </w:r>
      <w:proofErr w:type="gramStart"/>
      <w:r w:rsidRPr="00B00E74">
        <w:rPr>
          <w:rFonts w:ascii="Times New Roman" w:hAnsi="Times New Roman"/>
          <w:sz w:val="24"/>
          <w:szCs w:val="24"/>
        </w:rPr>
        <w:t>2024</w:t>
      </w:r>
      <w:proofErr w:type="gramEnd"/>
      <w:r w:rsidRPr="00B00E74">
        <w:rPr>
          <w:rFonts w:ascii="Times New Roman" w:hAnsi="Times New Roman"/>
          <w:sz w:val="24"/>
          <w:szCs w:val="24"/>
        </w:rPr>
        <w:t xml:space="preserve"> decision, setting aside the “Chevron doctrine” where federal courts normally followed Agency interpretation of Congressional statutes. </w:t>
      </w:r>
      <w:hyperlink r:id="rId2098" w:history="1">
        <w:r w:rsidRPr="00B00E74">
          <w:rPr>
            <w:rStyle w:val="Hyperlink"/>
            <w:rFonts w:ascii="Times New Roman" w:hAnsi="Times New Roman"/>
            <w:sz w:val="24"/>
            <w:szCs w:val="24"/>
          </w:rPr>
          <w:t>https://cafc.uscourts.gov/opinions-orders/24-1104.OPINION.12-9-2024_2432337.pdf</w:t>
        </w:r>
      </w:hyperlink>
      <w:r w:rsidRPr="00B00E74">
        <w:rPr>
          <w:rFonts w:ascii="Times New Roman" w:hAnsi="Times New Roman"/>
          <w:sz w:val="24"/>
          <w:szCs w:val="24"/>
        </w:rPr>
        <w:t xml:space="preserve"> </w:t>
      </w:r>
    </w:p>
    <w:p w14:paraId="5D3920BF" w14:textId="77777777" w:rsidR="00B15FBB" w:rsidRDefault="00B15FBB" w:rsidP="00B15FBB">
      <w:pPr>
        <w:pStyle w:val="NoSpacing"/>
        <w:ind w:left="720"/>
        <w:rPr>
          <w:bCs/>
        </w:rPr>
      </w:pPr>
    </w:p>
    <w:p w14:paraId="0B5080D8" w14:textId="0064CB66" w:rsidR="0026657A" w:rsidRPr="0026657A" w:rsidRDefault="0026657A" w:rsidP="0026657A">
      <w:pPr>
        <w:pStyle w:val="NoSpacing"/>
        <w:rPr>
          <w:rFonts w:ascii="Times New Roman" w:hAnsi="Times New Roman"/>
          <w:bCs/>
          <w:sz w:val="24"/>
          <w:szCs w:val="24"/>
        </w:rPr>
      </w:pPr>
      <w:r w:rsidRPr="0026657A">
        <w:rPr>
          <w:rFonts w:ascii="Times New Roman" w:hAnsi="Times New Roman"/>
          <w:sz w:val="24"/>
          <w:szCs w:val="24"/>
        </w:rPr>
        <w:t>The Court of Appeals wrote:</w:t>
      </w:r>
    </w:p>
    <w:p w14:paraId="2A6B862F" w14:textId="77777777" w:rsidR="0026657A" w:rsidRPr="0026657A" w:rsidRDefault="0026657A" w:rsidP="0026657A">
      <w:pPr>
        <w:pStyle w:val="NoSpacing"/>
        <w:rPr>
          <w:rFonts w:ascii="Times New Roman" w:hAnsi="Times New Roman"/>
          <w:bCs/>
          <w:sz w:val="24"/>
          <w:szCs w:val="24"/>
        </w:rPr>
      </w:pPr>
    </w:p>
    <w:p w14:paraId="7A0776E3" w14:textId="77777777" w:rsidR="0026657A" w:rsidRPr="0026657A" w:rsidRDefault="0026657A" w:rsidP="0026657A">
      <w:pPr>
        <w:pStyle w:val="NoSpacing"/>
        <w:ind w:left="720"/>
        <w:rPr>
          <w:rFonts w:ascii="Times New Roman" w:hAnsi="Times New Roman"/>
          <w:bCs/>
          <w:sz w:val="24"/>
          <w:szCs w:val="24"/>
        </w:rPr>
      </w:pPr>
      <w:r w:rsidRPr="0026657A">
        <w:rPr>
          <w:rFonts w:ascii="Times New Roman" w:hAnsi="Times New Roman"/>
          <w:sz w:val="24"/>
          <w:szCs w:val="24"/>
        </w:rPr>
        <w:t>“In 2018, the VA Office of Inspector General (OIG) faulted the VA for failing to realize $11 million in savings for ambulance services between October 2012 and December 2015 due to the VA’s failure to exercise its discretionary authority under § 111(b)(3)(C) to pay ‘the lesser of the actual charge for the transportation or the [Medicare fee schedule (MFS)] amount” for noncontract ambulance services.</w:t>
      </w:r>
    </w:p>
    <w:p w14:paraId="0B68DD0D" w14:textId="77777777" w:rsidR="0026657A" w:rsidRPr="0026657A" w:rsidRDefault="0026657A" w:rsidP="0026657A">
      <w:pPr>
        <w:pStyle w:val="NoSpacing"/>
        <w:ind w:left="720"/>
        <w:rPr>
          <w:rFonts w:ascii="Times New Roman" w:hAnsi="Times New Roman"/>
          <w:bCs/>
          <w:sz w:val="24"/>
          <w:szCs w:val="24"/>
        </w:rPr>
      </w:pPr>
    </w:p>
    <w:p w14:paraId="50F4F57E" w14:textId="77777777" w:rsidR="0026657A" w:rsidRPr="0026657A" w:rsidRDefault="0026657A" w:rsidP="0026657A">
      <w:pPr>
        <w:pStyle w:val="NoSpacing"/>
        <w:ind w:left="720"/>
        <w:rPr>
          <w:rFonts w:ascii="Times New Roman" w:hAnsi="Times New Roman"/>
          <w:bCs/>
          <w:sz w:val="24"/>
          <w:szCs w:val="24"/>
        </w:rPr>
      </w:pPr>
      <w:r w:rsidRPr="0026657A">
        <w:rPr>
          <w:rFonts w:ascii="Times New Roman" w:hAnsi="Times New Roman"/>
          <w:sz w:val="24"/>
          <w:szCs w:val="24"/>
        </w:rPr>
        <w:t>***</w:t>
      </w:r>
    </w:p>
    <w:p w14:paraId="607ABE56" w14:textId="77777777" w:rsidR="0026657A" w:rsidRPr="0026657A" w:rsidRDefault="0026657A" w:rsidP="0026657A">
      <w:pPr>
        <w:pStyle w:val="NoSpacing"/>
        <w:ind w:left="720"/>
        <w:rPr>
          <w:rFonts w:ascii="Times New Roman" w:hAnsi="Times New Roman"/>
          <w:bCs/>
          <w:sz w:val="24"/>
          <w:szCs w:val="24"/>
        </w:rPr>
      </w:pPr>
      <w:r w:rsidRPr="0026657A">
        <w:rPr>
          <w:rFonts w:ascii="Times New Roman" w:hAnsi="Times New Roman"/>
          <w:sz w:val="24"/>
          <w:szCs w:val="24"/>
        </w:rPr>
        <w:t xml:space="preserve">Thus, while in § 111(a) Congress authorized the Secretary to ‘pay the actual necessary expense’ for travel ‘to or from a </w:t>
      </w:r>
      <w:proofErr w:type="gramStart"/>
      <w:r w:rsidRPr="0026657A">
        <w:rPr>
          <w:rFonts w:ascii="Times New Roman" w:hAnsi="Times New Roman"/>
          <w:sz w:val="24"/>
          <w:szCs w:val="24"/>
        </w:rPr>
        <w:t>Department</w:t>
      </w:r>
      <w:proofErr w:type="gramEnd"/>
      <w:r w:rsidRPr="0026657A">
        <w:rPr>
          <w:rFonts w:ascii="Times New Roman" w:hAnsi="Times New Roman"/>
          <w:sz w:val="24"/>
          <w:szCs w:val="24"/>
        </w:rPr>
        <w:t xml:space="preserve"> facility or other place,’ Congress only</w:t>
      </w:r>
    </w:p>
    <w:p w14:paraId="32576A7E" w14:textId="06176095" w:rsidR="0026657A" w:rsidRDefault="0026657A" w:rsidP="00B00E74">
      <w:pPr>
        <w:pStyle w:val="NoSpacing"/>
        <w:ind w:left="720"/>
        <w:rPr>
          <w:rFonts w:ascii="Arial Black" w:hAnsi="Arial Black"/>
          <w:b/>
          <w:bCs/>
          <w:sz w:val="28"/>
          <w:szCs w:val="28"/>
        </w:rPr>
      </w:pPr>
      <w:r w:rsidRPr="0026657A">
        <w:rPr>
          <w:rFonts w:ascii="Times New Roman" w:hAnsi="Times New Roman"/>
          <w:sz w:val="24"/>
          <w:szCs w:val="24"/>
        </w:rPr>
        <w:lastRenderedPageBreak/>
        <w:t xml:space="preserve">authorized the Secretary in § 111(b)(3)(C) to apply the ‘lessor of’ payment methodology for transports ‘to or from a </w:t>
      </w:r>
      <w:proofErr w:type="gramStart"/>
      <w:r w:rsidRPr="0026657A">
        <w:rPr>
          <w:rFonts w:ascii="Times New Roman" w:hAnsi="Times New Roman"/>
          <w:sz w:val="24"/>
          <w:szCs w:val="24"/>
        </w:rPr>
        <w:t>Department</w:t>
      </w:r>
      <w:proofErr w:type="gramEnd"/>
      <w:r w:rsidRPr="0026657A">
        <w:rPr>
          <w:rFonts w:ascii="Times New Roman" w:hAnsi="Times New Roman"/>
          <w:sz w:val="24"/>
          <w:szCs w:val="24"/>
        </w:rPr>
        <w:t xml:space="preserve"> facility by ambulance.’ Conspicuously missing from § 111(b)(3)(C) is the ‘or other place’ language that Congress expressly stated in the earlier subsection.”   </w:t>
      </w:r>
    </w:p>
    <w:p w14:paraId="289D7B05" w14:textId="77777777" w:rsidR="00B00E74" w:rsidRDefault="00B00E74" w:rsidP="00F34D2E">
      <w:pPr>
        <w:pStyle w:val="NoSpacing"/>
        <w:rPr>
          <w:rFonts w:ascii="Times New Roman" w:hAnsi="Times New Roman"/>
          <w:sz w:val="24"/>
          <w:szCs w:val="24"/>
        </w:rPr>
      </w:pPr>
    </w:p>
    <w:p w14:paraId="03EDED95" w14:textId="52086F2A" w:rsidR="00F34D2E" w:rsidRPr="00F34D2E" w:rsidRDefault="00F34D2E" w:rsidP="00F34D2E">
      <w:pPr>
        <w:pStyle w:val="NoSpacing"/>
        <w:rPr>
          <w:rFonts w:ascii="Times New Roman" w:hAnsi="Times New Roman"/>
          <w:bCs/>
          <w:sz w:val="24"/>
          <w:szCs w:val="24"/>
        </w:rPr>
      </w:pPr>
      <w:r w:rsidRPr="00F34D2E">
        <w:rPr>
          <w:rFonts w:ascii="Times New Roman" w:hAnsi="Times New Roman"/>
          <w:sz w:val="24"/>
          <w:szCs w:val="24"/>
        </w:rPr>
        <w:t>HOLDING:</w:t>
      </w:r>
    </w:p>
    <w:p w14:paraId="59C015BD" w14:textId="77777777" w:rsidR="00F34D2E" w:rsidRPr="00F34D2E" w:rsidRDefault="00F34D2E" w:rsidP="00F34D2E">
      <w:pPr>
        <w:pStyle w:val="NoSpacing"/>
        <w:rPr>
          <w:rFonts w:ascii="Times New Roman" w:hAnsi="Times New Roman"/>
          <w:bCs/>
          <w:sz w:val="24"/>
          <w:szCs w:val="24"/>
        </w:rPr>
      </w:pPr>
    </w:p>
    <w:p w14:paraId="390EDEBC" w14:textId="77777777" w:rsidR="00F34D2E" w:rsidRPr="00F34D2E" w:rsidRDefault="00F34D2E" w:rsidP="00F34D2E">
      <w:pPr>
        <w:pStyle w:val="NoSpacing"/>
        <w:ind w:left="720"/>
        <w:rPr>
          <w:rFonts w:ascii="Times New Roman" w:hAnsi="Times New Roman"/>
          <w:bCs/>
          <w:sz w:val="24"/>
          <w:szCs w:val="24"/>
        </w:rPr>
      </w:pPr>
      <w:r w:rsidRPr="00F34D2E">
        <w:rPr>
          <w:rFonts w:ascii="Times New Roman" w:hAnsi="Times New Roman"/>
          <w:sz w:val="24"/>
          <w:szCs w:val="24"/>
        </w:rPr>
        <w:t>”In overturning Chevron, the Supreme Court in Loper Bright held that Chevron’s step-two requirement that a reviewing court defer to an agency’s reasonable statutory</w:t>
      </w:r>
    </w:p>
    <w:p w14:paraId="0A839B6E" w14:textId="77777777" w:rsidR="00F34D2E" w:rsidRPr="00F34D2E" w:rsidRDefault="00F34D2E" w:rsidP="00F34D2E">
      <w:pPr>
        <w:pStyle w:val="NoSpacing"/>
        <w:ind w:left="720"/>
        <w:rPr>
          <w:rFonts w:ascii="Times New Roman" w:hAnsi="Times New Roman"/>
          <w:bCs/>
          <w:sz w:val="24"/>
          <w:szCs w:val="24"/>
        </w:rPr>
      </w:pPr>
      <w:r w:rsidRPr="00F34D2E">
        <w:rPr>
          <w:rFonts w:ascii="Times New Roman" w:hAnsi="Times New Roman"/>
          <w:sz w:val="24"/>
          <w:szCs w:val="24"/>
        </w:rPr>
        <w:t xml:space="preserve">interpretation could not be squared with the reviewing court’s duty under the APA…. </w:t>
      </w:r>
    </w:p>
    <w:p w14:paraId="75EE8939" w14:textId="77777777" w:rsidR="00F34D2E" w:rsidRPr="00F34D2E" w:rsidRDefault="00F34D2E" w:rsidP="00F34D2E">
      <w:pPr>
        <w:pStyle w:val="NoSpacing"/>
        <w:ind w:left="720"/>
        <w:rPr>
          <w:rFonts w:ascii="Times New Roman" w:hAnsi="Times New Roman"/>
          <w:bCs/>
          <w:sz w:val="24"/>
          <w:szCs w:val="24"/>
        </w:rPr>
      </w:pPr>
      <w:r w:rsidRPr="00F34D2E">
        <w:rPr>
          <w:rFonts w:ascii="Times New Roman" w:hAnsi="Times New Roman"/>
          <w:sz w:val="24"/>
          <w:szCs w:val="24"/>
        </w:rPr>
        <w:t>The Supreme Court explained that “[c]</w:t>
      </w:r>
      <w:proofErr w:type="spellStart"/>
      <w:r w:rsidRPr="00F34D2E">
        <w:rPr>
          <w:rFonts w:ascii="Times New Roman" w:hAnsi="Times New Roman"/>
          <w:sz w:val="24"/>
          <w:szCs w:val="24"/>
        </w:rPr>
        <w:t>ourts</w:t>
      </w:r>
      <w:proofErr w:type="spellEnd"/>
      <w:r w:rsidRPr="00F34D2E">
        <w:rPr>
          <w:rFonts w:ascii="Times New Roman" w:hAnsi="Times New Roman"/>
          <w:sz w:val="24"/>
          <w:szCs w:val="24"/>
        </w:rPr>
        <w:t xml:space="preserve"> must exercise their independent judgment in deciding whether an agency has acted within its statutory authority, as the APA requires.” Id. at 2273. [See June 28, </w:t>
      </w:r>
      <w:proofErr w:type="gramStart"/>
      <w:r w:rsidRPr="00F34D2E">
        <w:rPr>
          <w:rFonts w:ascii="Times New Roman" w:hAnsi="Times New Roman"/>
          <w:sz w:val="24"/>
          <w:szCs w:val="24"/>
        </w:rPr>
        <w:t>2024</w:t>
      </w:r>
      <w:proofErr w:type="gramEnd"/>
      <w:r w:rsidRPr="00F34D2E">
        <w:rPr>
          <w:rFonts w:ascii="Times New Roman" w:hAnsi="Times New Roman"/>
          <w:sz w:val="24"/>
          <w:szCs w:val="24"/>
        </w:rPr>
        <w:t xml:space="preserve"> landmark decision: </w:t>
      </w:r>
      <w:hyperlink r:id="rId2099" w:history="1">
        <w:r w:rsidRPr="00F34D2E">
          <w:rPr>
            <w:rStyle w:val="Hyperlink"/>
            <w:rFonts w:ascii="Times New Roman" w:hAnsi="Times New Roman"/>
            <w:sz w:val="24"/>
            <w:szCs w:val="24"/>
          </w:rPr>
          <w:t>https://www.supremecourt.gov/opinions/23pdf/22-451_7m58.pdf</w:t>
        </w:r>
      </w:hyperlink>
      <w:r w:rsidRPr="00F34D2E">
        <w:rPr>
          <w:rFonts w:ascii="Times New Roman" w:hAnsi="Times New Roman"/>
          <w:sz w:val="24"/>
          <w:szCs w:val="24"/>
        </w:rPr>
        <w:t xml:space="preserve"> ]</w:t>
      </w:r>
    </w:p>
    <w:p w14:paraId="5B134DBC" w14:textId="77777777" w:rsidR="00F34D2E" w:rsidRPr="00F34D2E" w:rsidRDefault="00F34D2E" w:rsidP="00F34D2E">
      <w:pPr>
        <w:pStyle w:val="NoSpacing"/>
        <w:rPr>
          <w:rFonts w:ascii="Times New Roman" w:hAnsi="Times New Roman"/>
          <w:bCs/>
          <w:sz w:val="24"/>
          <w:szCs w:val="24"/>
        </w:rPr>
      </w:pPr>
    </w:p>
    <w:p w14:paraId="0E9A1338" w14:textId="77777777" w:rsidR="00F34D2E" w:rsidRPr="00F34D2E" w:rsidRDefault="00F34D2E" w:rsidP="00F34D2E">
      <w:pPr>
        <w:pStyle w:val="NoSpacing"/>
        <w:ind w:left="720"/>
        <w:rPr>
          <w:rFonts w:ascii="Times New Roman" w:hAnsi="Times New Roman"/>
          <w:bCs/>
          <w:sz w:val="24"/>
          <w:szCs w:val="24"/>
        </w:rPr>
      </w:pPr>
      <w:r w:rsidRPr="00F34D2E">
        <w:rPr>
          <w:rFonts w:ascii="Times New Roman" w:hAnsi="Times New Roman"/>
          <w:sz w:val="24"/>
          <w:szCs w:val="24"/>
        </w:rPr>
        <w:t xml:space="preserve">Thus, while in § 111(a) Congress authorized the Secretary to ‘pay the actual necessary expense’ for travel ‘to or from a </w:t>
      </w:r>
      <w:proofErr w:type="gramStart"/>
      <w:r w:rsidRPr="00F34D2E">
        <w:rPr>
          <w:rFonts w:ascii="Times New Roman" w:hAnsi="Times New Roman"/>
          <w:sz w:val="24"/>
          <w:szCs w:val="24"/>
        </w:rPr>
        <w:t>Department</w:t>
      </w:r>
      <w:proofErr w:type="gramEnd"/>
      <w:r w:rsidRPr="00F34D2E">
        <w:rPr>
          <w:rFonts w:ascii="Times New Roman" w:hAnsi="Times New Roman"/>
          <w:sz w:val="24"/>
          <w:szCs w:val="24"/>
        </w:rPr>
        <w:t xml:space="preserve"> facility or other place,’ Congress only</w:t>
      </w:r>
    </w:p>
    <w:p w14:paraId="47E010BA" w14:textId="77777777" w:rsidR="00F34D2E" w:rsidRPr="00F34D2E" w:rsidRDefault="00F34D2E" w:rsidP="00F34D2E">
      <w:pPr>
        <w:pStyle w:val="NoSpacing"/>
        <w:ind w:left="720"/>
        <w:rPr>
          <w:rFonts w:ascii="Times New Roman" w:hAnsi="Times New Roman"/>
          <w:bCs/>
          <w:sz w:val="24"/>
          <w:szCs w:val="24"/>
        </w:rPr>
      </w:pPr>
      <w:r w:rsidRPr="00F34D2E">
        <w:rPr>
          <w:rFonts w:ascii="Times New Roman" w:hAnsi="Times New Roman"/>
          <w:sz w:val="24"/>
          <w:szCs w:val="24"/>
        </w:rPr>
        <w:t xml:space="preserve">authorized the Secretary in § 111(b)(3)(C) to apply the ‘lessor of’ payment methodology for transports ‘to or from a </w:t>
      </w:r>
      <w:proofErr w:type="gramStart"/>
      <w:r w:rsidRPr="00F34D2E">
        <w:rPr>
          <w:rFonts w:ascii="Times New Roman" w:hAnsi="Times New Roman"/>
          <w:sz w:val="24"/>
          <w:szCs w:val="24"/>
        </w:rPr>
        <w:t>Department</w:t>
      </w:r>
      <w:proofErr w:type="gramEnd"/>
      <w:r w:rsidRPr="00F34D2E">
        <w:rPr>
          <w:rFonts w:ascii="Times New Roman" w:hAnsi="Times New Roman"/>
          <w:sz w:val="24"/>
          <w:szCs w:val="24"/>
        </w:rPr>
        <w:t xml:space="preserve"> facility by ambulance.’ Conspicuously missing from § 111(b)(3)(C) is the ‘or other place’ language that Congress expressly stated in the earlier subsection. ‘We assume Congress means what it says and says what it means.’ Sanho Corp. v. </w:t>
      </w:r>
      <w:proofErr w:type="spellStart"/>
      <w:r w:rsidRPr="00F34D2E">
        <w:rPr>
          <w:rFonts w:ascii="Times New Roman" w:hAnsi="Times New Roman"/>
          <w:sz w:val="24"/>
          <w:szCs w:val="24"/>
        </w:rPr>
        <w:t>Kaijet</w:t>
      </w:r>
      <w:proofErr w:type="spellEnd"/>
      <w:r w:rsidRPr="00F34D2E">
        <w:rPr>
          <w:rFonts w:ascii="Times New Roman" w:hAnsi="Times New Roman"/>
          <w:sz w:val="24"/>
          <w:szCs w:val="24"/>
        </w:rPr>
        <w:t xml:space="preserve"> Tech. Int’l Ltd., Inc., 108 F.4th 1376, 1382 (Fed. Cir. 2024)….</w:t>
      </w:r>
    </w:p>
    <w:p w14:paraId="79EE910C" w14:textId="77777777" w:rsidR="00F34D2E" w:rsidRPr="00F34D2E" w:rsidRDefault="00F34D2E" w:rsidP="00F34D2E">
      <w:pPr>
        <w:pStyle w:val="NoSpacing"/>
        <w:ind w:left="720"/>
        <w:rPr>
          <w:rFonts w:ascii="Times New Roman" w:hAnsi="Times New Roman"/>
          <w:bCs/>
          <w:sz w:val="24"/>
          <w:szCs w:val="24"/>
        </w:rPr>
      </w:pPr>
    </w:p>
    <w:p w14:paraId="503F85A0" w14:textId="77777777" w:rsidR="00F34D2E" w:rsidRPr="00F34D2E" w:rsidRDefault="00F34D2E" w:rsidP="00F34D2E">
      <w:pPr>
        <w:pStyle w:val="NoSpacing"/>
        <w:ind w:left="720"/>
        <w:rPr>
          <w:rFonts w:ascii="Times New Roman" w:hAnsi="Times New Roman"/>
          <w:bCs/>
          <w:sz w:val="24"/>
          <w:szCs w:val="24"/>
        </w:rPr>
      </w:pPr>
      <w:r w:rsidRPr="00F34D2E">
        <w:rPr>
          <w:rFonts w:ascii="Times New Roman" w:hAnsi="Times New Roman"/>
          <w:sz w:val="24"/>
          <w:szCs w:val="24"/>
        </w:rPr>
        <w:t>***</w:t>
      </w:r>
    </w:p>
    <w:p w14:paraId="2FF6262A" w14:textId="77777777" w:rsidR="00F34D2E" w:rsidRPr="00F34D2E" w:rsidRDefault="00F34D2E" w:rsidP="00F34D2E">
      <w:pPr>
        <w:pStyle w:val="NoSpacing"/>
        <w:ind w:left="720"/>
        <w:rPr>
          <w:rFonts w:ascii="Times New Roman" w:hAnsi="Times New Roman"/>
          <w:bCs/>
          <w:sz w:val="24"/>
          <w:szCs w:val="24"/>
        </w:rPr>
      </w:pPr>
      <w:r w:rsidRPr="00F34D2E">
        <w:rPr>
          <w:rFonts w:ascii="Times New Roman" w:hAnsi="Times New Roman"/>
          <w:sz w:val="24"/>
          <w:szCs w:val="24"/>
        </w:rPr>
        <w:t>For the foregoing reasons, we grant the petition and set aside the final promulgated rule Change in Rates VA Pays for Special Modes of Transportation, 88 Fed. Reg. 10,032 (Feb. 16, 2023).”</w:t>
      </w:r>
    </w:p>
    <w:p w14:paraId="1122E756" w14:textId="77777777" w:rsidR="00F34D2E" w:rsidRPr="00F34D2E" w:rsidRDefault="00F34D2E" w:rsidP="00F34D2E">
      <w:pPr>
        <w:pStyle w:val="NoSpacing"/>
        <w:ind w:left="720"/>
        <w:rPr>
          <w:rFonts w:ascii="Times New Roman" w:hAnsi="Times New Roman"/>
          <w:bCs/>
          <w:sz w:val="24"/>
          <w:szCs w:val="24"/>
        </w:rPr>
      </w:pPr>
    </w:p>
    <w:p w14:paraId="03118C10" w14:textId="29E3ADC6" w:rsidR="00F34D2E" w:rsidRPr="00F34D2E" w:rsidRDefault="00F34D2E" w:rsidP="00F34D2E">
      <w:pPr>
        <w:pStyle w:val="NoSpacing"/>
        <w:rPr>
          <w:rFonts w:ascii="Times New Roman" w:hAnsi="Times New Roman"/>
          <w:b/>
          <w:sz w:val="24"/>
          <w:szCs w:val="24"/>
        </w:rPr>
      </w:pPr>
      <w:r w:rsidRPr="00F34D2E">
        <w:rPr>
          <w:rFonts w:ascii="Times New Roman" w:hAnsi="Times New Roman"/>
          <w:b/>
          <w:sz w:val="24"/>
          <w:szCs w:val="24"/>
        </w:rPr>
        <w:t xml:space="preserve">Legal Lesson Learned: EMS transport companies nationwide will benefit from this decision.  It </w:t>
      </w:r>
      <w:r>
        <w:rPr>
          <w:rFonts w:ascii="Times New Roman" w:hAnsi="Times New Roman"/>
          <w:b/>
          <w:sz w:val="24"/>
          <w:szCs w:val="24"/>
        </w:rPr>
        <w:t xml:space="preserve">is </w:t>
      </w:r>
      <w:r w:rsidRPr="00F34D2E">
        <w:rPr>
          <w:rFonts w:ascii="Times New Roman" w:hAnsi="Times New Roman"/>
          <w:b/>
          <w:sz w:val="24"/>
          <w:szCs w:val="24"/>
        </w:rPr>
        <w:t>one of the first cases overturning a federal agency regulation since the U.S. Supreme Court set aside the “Chevron doctrine.”</w:t>
      </w:r>
    </w:p>
    <w:p w14:paraId="5336EFAB" w14:textId="77777777" w:rsidR="00F34D2E" w:rsidRPr="00F34D2E" w:rsidRDefault="00F34D2E" w:rsidP="00F34D2E">
      <w:pPr>
        <w:pStyle w:val="NoSpacing"/>
        <w:ind w:left="720"/>
        <w:rPr>
          <w:rFonts w:ascii="Times New Roman" w:hAnsi="Times New Roman"/>
          <w:bCs/>
          <w:sz w:val="24"/>
          <w:szCs w:val="24"/>
        </w:rPr>
      </w:pPr>
    </w:p>
    <w:p w14:paraId="7D955341" w14:textId="77777777" w:rsidR="00F34D2E" w:rsidRPr="00F34D2E" w:rsidRDefault="00F34D2E" w:rsidP="00F34D2E">
      <w:pPr>
        <w:pStyle w:val="NoSpacing"/>
        <w:ind w:left="720"/>
        <w:rPr>
          <w:rFonts w:ascii="Times New Roman" w:hAnsi="Times New Roman"/>
          <w:bCs/>
          <w:sz w:val="24"/>
          <w:szCs w:val="24"/>
        </w:rPr>
      </w:pPr>
      <w:r w:rsidRPr="00F34D2E">
        <w:rPr>
          <w:rFonts w:ascii="Times New Roman" w:hAnsi="Times New Roman"/>
          <w:sz w:val="24"/>
          <w:szCs w:val="24"/>
        </w:rPr>
        <w:t xml:space="preserve">Note: See Dec. 9, </w:t>
      </w:r>
      <w:proofErr w:type="gramStart"/>
      <w:r w:rsidRPr="00F34D2E">
        <w:rPr>
          <w:rFonts w:ascii="Times New Roman" w:hAnsi="Times New Roman"/>
          <w:sz w:val="24"/>
          <w:szCs w:val="24"/>
        </w:rPr>
        <w:t>2024</w:t>
      </w:r>
      <w:proofErr w:type="gramEnd"/>
      <w:r w:rsidRPr="00F34D2E">
        <w:rPr>
          <w:rFonts w:ascii="Times New Roman" w:hAnsi="Times New Roman"/>
          <w:sz w:val="24"/>
          <w:szCs w:val="24"/>
        </w:rPr>
        <w:t xml:space="preserve"> article, “Federal court vacates VA rule reducing ambulance payments.” The regulation aimed to tie reimbursement rates for ambulance services to the lesser of a provider’s actual charges or the Medicare Fee Schedule rate, even for </w:t>
      </w:r>
      <w:proofErr w:type="gramStart"/>
      <w:r w:rsidRPr="00F34D2E">
        <w:rPr>
          <w:rFonts w:ascii="Times New Roman" w:hAnsi="Times New Roman"/>
          <w:sz w:val="24"/>
          <w:szCs w:val="24"/>
        </w:rPr>
        <w:t>transports</w:t>
      </w:r>
      <w:proofErr w:type="gramEnd"/>
      <w:r w:rsidRPr="00F34D2E">
        <w:rPr>
          <w:rFonts w:ascii="Times New Roman" w:hAnsi="Times New Roman"/>
          <w:sz w:val="24"/>
          <w:szCs w:val="24"/>
        </w:rPr>
        <w:t xml:space="preserve"> unrelated to VA facilities. </w:t>
      </w:r>
    </w:p>
    <w:p w14:paraId="5BA92B45" w14:textId="64A7D72D" w:rsidR="00F34D2E" w:rsidRDefault="00F34D2E" w:rsidP="00F34D2E">
      <w:pPr>
        <w:rPr>
          <w:rFonts w:ascii="Arial Black" w:hAnsi="Arial Black"/>
          <w:b/>
          <w:bCs/>
          <w:sz w:val="28"/>
          <w:szCs w:val="28"/>
        </w:rPr>
      </w:pPr>
      <w:hyperlink r:id="rId2100" w:history="1">
        <w:r w:rsidRPr="00F34D2E">
          <w:rPr>
            <w:rStyle w:val="Hyperlink"/>
            <w:rFonts w:ascii="Times New Roman" w:hAnsi="Times New Roman"/>
            <w:sz w:val="24"/>
            <w:szCs w:val="24"/>
          </w:rPr>
          <w:t>https://www.ems1.com/legal/federal-court-overturns-va-rule-reducing-ambulance-payments</w:t>
        </w:r>
      </w:hyperlink>
    </w:p>
    <w:p w14:paraId="5A5BCCB0" w14:textId="77777777" w:rsidR="00FE343A" w:rsidRDefault="00FE343A" w:rsidP="002B1283">
      <w:pPr>
        <w:rPr>
          <w:rFonts w:ascii="Arial Black" w:hAnsi="Arial Black"/>
          <w:b/>
          <w:bCs/>
          <w:sz w:val="28"/>
          <w:szCs w:val="28"/>
        </w:rPr>
      </w:pPr>
    </w:p>
    <w:p w14:paraId="3710DF25" w14:textId="77777777" w:rsidR="00FE343A" w:rsidRDefault="00FE343A" w:rsidP="002B1283">
      <w:pPr>
        <w:rPr>
          <w:rFonts w:ascii="Arial Black" w:hAnsi="Arial Black"/>
          <w:b/>
          <w:bCs/>
          <w:sz w:val="28"/>
          <w:szCs w:val="28"/>
        </w:rPr>
      </w:pPr>
    </w:p>
    <w:p w14:paraId="6E56A7F9" w14:textId="0EC85927" w:rsidR="00AE7F1F" w:rsidRDefault="00AE7F1F" w:rsidP="002B1283">
      <w:pPr>
        <w:rPr>
          <w:rFonts w:ascii="Arial Black" w:hAnsi="Arial Black"/>
          <w:b/>
          <w:bCs/>
          <w:sz w:val="28"/>
          <w:szCs w:val="28"/>
        </w:rPr>
      </w:pPr>
      <w:r>
        <w:rPr>
          <w:rFonts w:ascii="Arial Black" w:hAnsi="Arial Black"/>
          <w:b/>
          <w:bCs/>
          <w:sz w:val="28"/>
          <w:szCs w:val="28"/>
        </w:rPr>
        <w:t>13-199</w:t>
      </w:r>
    </w:p>
    <w:p w14:paraId="60F8DCA2" w14:textId="77777777" w:rsidR="009438F6" w:rsidRPr="00E363AD" w:rsidRDefault="009438F6" w:rsidP="009438F6">
      <w:pPr>
        <w:pStyle w:val="NoSpacing"/>
        <w:rPr>
          <w:rFonts w:ascii="Arial Black" w:hAnsi="Arial Black"/>
          <w:b/>
          <w:sz w:val="28"/>
          <w:szCs w:val="28"/>
        </w:rPr>
      </w:pPr>
      <w:r>
        <w:rPr>
          <w:rFonts w:ascii="Arial Black" w:hAnsi="Arial Black"/>
          <w:b/>
          <w:sz w:val="28"/>
          <w:szCs w:val="28"/>
        </w:rPr>
        <w:t>CA: HEAD-ON MVA – PT REFUSED TREATMENT – LATER HAD A STROKE – MEDICS IMMUNITY / NO REQ. TO TAKE VITALS</w:t>
      </w:r>
    </w:p>
    <w:p w14:paraId="6BAA5AA5" w14:textId="77777777" w:rsidR="00EE5426" w:rsidRDefault="00EE5426" w:rsidP="00EE5426">
      <w:pPr>
        <w:pStyle w:val="NoSpacing"/>
        <w:ind w:firstLine="720"/>
        <w:rPr>
          <w:b/>
        </w:rPr>
      </w:pPr>
    </w:p>
    <w:p w14:paraId="01644B54" w14:textId="77777777" w:rsidR="00EE5426" w:rsidRPr="00F12753" w:rsidRDefault="00EE5426" w:rsidP="00EE5426">
      <w:pPr>
        <w:pStyle w:val="NoSpacing"/>
        <w:rPr>
          <w:rFonts w:ascii="Times New Roman" w:hAnsi="Times New Roman"/>
          <w:sz w:val="24"/>
          <w:szCs w:val="24"/>
        </w:rPr>
      </w:pPr>
      <w:r w:rsidRPr="00F12753">
        <w:rPr>
          <w:rFonts w:ascii="Times New Roman" w:hAnsi="Times New Roman"/>
          <w:sz w:val="24"/>
          <w:szCs w:val="24"/>
        </w:rPr>
        <w:t xml:space="preserve">On Nov. 25, 2024, in </w:t>
      </w:r>
      <w:r w:rsidRPr="00F12753">
        <w:rPr>
          <w:rFonts w:ascii="Times New Roman" w:hAnsi="Times New Roman"/>
          <w:sz w:val="24"/>
          <w:szCs w:val="24"/>
          <w:u w:val="single"/>
        </w:rPr>
        <w:t>Marites Murphy v. City of Petaluma, et al</w:t>
      </w:r>
      <w:r w:rsidRPr="00F12753">
        <w:rPr>
          <w:rFonts w:ascii="Times New Roman" w:hAnsi="Times New Roman"/>
          <w:sz w:val="24"/>
          <w:szCs w:val="24"/>
        </w:rPr>
        <w:t xml:space="preserve">., the California Court of Appeal, First District, Division 1 held (3 to 0) that the trial court judge properly granted summary judgment to the City and the medics.  The Court wrote: “The paramedics did not make Murphy any promises with respect to medical assistance, let alone fail to follow through on such promises. They did not ignore any requests for such assistance. </w:t>
      </w:r>
      <w:proofErr w:type="gramStart"/>
      <w:r w:rsidRPr="00F12753">
        <w:rPr>
          <w:rFonts w:ascii="Times New Roman" w:hAnsi="Times New Roman"/>
          <w:sz w:val="24"/>
          <w:szCs w:val="24"/>
        </w:rPr>
        <w:t>To</w:t>
      </w:r>
      <w:proofErr w:type="gramEnd"/>
      <w:r w:rsidRPr="00F12753">
        <w:rPr>
          <w:rFonts w:ascii="Times New Roman" w:hAnsi="Times New Roman"/>
          <w:sz w:val="24"/>
          <w:szCs w:val="24"/>
        </w:rPr>
        <w:t xml:space="preserve"> the contrary, they urged her to let them provide medical assistance and warned her that symptoms of a serious, even life threatening, injury could be delayed. She nevertheless reiterated she did not want medical assistance or transport to a hospital for examination. And while Murphy claims the paramedics failed to conduct </w:t>
      </w:r>
      <w:r w:rsidRPr="00F12753">
        <w:rPr>
          <w:rFonts w:ascii="Times New Roman" w:hAnsi="Times New Roman"/>
          <w:sz w:val="24"/>
          <w:szCs w:val="24"/>
        </w:rPr>
        <w:lastRenderedPageBreak/>
        <w:t xml:space="preserve">a medical assessment sufficient to detect a potential brain injury or hypertensive crisis, the crisis she subsequently experienced was caused by the collision…. We therefore conclude, given the undisputed facts in this case, the trial court correctly ruled the paramedics did not, under the negligent undertaking doctrine, have a duty to render medical assistance to Murphy in accordance with the standard of care applicable such </w:t>
      </w:r>
      <w:proofErr w:type="gramStart"/>
      <w:r w:rsidRPr="00F12753">
        <w:rPr>
          <w:rFonts w:ascii="Times New Roman" w:hAnsi="Times New Roman"/>
          <w:sz w:val="24"/>
          <w:szCs w:val="24"/>
        </w:rPr>
        <w:t>assistance.”</w:t>
      </w:r>
      <w:proofErr w:type="gramEnd"/>
      <w:r w:rsidRPr="00F12753">
        <w:rPr>
          <w:rFonts w:ascii="Times New Roman" w:hAnsi="Times New Roman"/>
          <w:sz w:val="24"/>
          <w:szCs w:val="24"/>
        </w:rPr>
        <w:t xml:space="preserve"> </w:t>
      </w:r>
      <w:hyperlink r:id="rId2101" w:history="1">
        <w:r w:rsidRPr="00F12753">
          <w:rPr>
            <w:rStyle w:val="Hyperlink"/>
            <w:rFonts w:ascii="Times New Roman" w:hAnsi="Times New Roman"/>
            <w:sz w:val="24"/>
            <w:szCs w:val="24"/>
          </w:rPr>
          <w:t>https://caselaw.findlaw.com/court/ca-court-of-appeal/116718051.html</w:t>
        </w:r>
      </w:hyperlink>
      <w:r w:rsidRPr="00F12753">
        <w:rPr>
          <w:rFonts w:ascii="Times New Roman" w:hAnsi="Times New Roman"/>
          <w:sz w:val="24"/>
          <w:szCs w:val="24"/>
        </w:rPr>
        <w:t xml:space="preserve"> </w:t>
      </w:r>
    </w:p>
    <w:p w14:paraId="7FAA91D4" w14:textId="77777777" w:rsidR="00EE5426" w:rsidRPr="00F12753" w:rsidRDefault="00EE5426" w:rsidP="00EE5426">
      <w:pPr>
        <w:pStyle w:val="NoSpacing"/>
        <w:rPr>
          <w:rFonts w:ascii="Times New Roman" w:hAnsi="Times New Roman"/>
          <w:bCs/>
          <w:sz w:val="24"/>
          <w:szCs w:val="24"/>
        </w:rPr>
      </w:pPr>
    </w:p>
    <w:p w14:paraId="459398AA" w14:textId="77777777" w:rsidR="007C3144" w:rsidRPr="00F12753" w:rsidRDefault="007C3144" w:rsidP="007C3144">
      <w:pPr>
        <w:pStyle w:val="NoSpacing"/>
        <w:rPr>
          <w:rFonts w:ascii="Times New Roman" w:hAnsi="Times New Roman"/>
          <w:b/>
          <w:bCs/>
          <w:sz w:val="24"/>
          <w:szCs w:val="24"/>
        </w:rPr>
      </w:pPr>
      <w:r w:rsidRPr="00F12753">
        <w:rPr>
          <w:rFonts w:ascii="Times New Roman" w:hAnsi="Times New Roman"/>
          <w:b/>
          <w:sz w:val="24"/>
          <w:szCs w:val="24"/>
        </w:rPr>
        <w:t xml:space="preserve">Legal Lesson Learned: Plaintiff refused treatment; no obligation of medics to take vitals.  Best practice – have individual sign a Refusal of Care form. </w:t>
      </w:r>
    </w:p>
    <w:p w14:paraId="4A5483CE" w14:textId="77777777" w:rsidR="007C3144" w:rsidRPr="00102ABD" w:rsidRDefault="007C3144" w:rsidP="007C3144">
      <w:pPr>
        <w:pStyle w:val="NoSpacing"/>
        <w:ind w:left="720"/>
        <w:rPr>
          <w:bCs/>
        </w:rPr>
      </w:pPr>
    </w:p>
    <w:p w14:paraId="2E95722D" w14:textId="77777777" w:rsidR="00AE7F1F" w:rsidRDefault="00AE7F1F" w:rsidP="002B1283">
      <w:pPr>
        <w:rPr>
          <w:rFonts w:ascii="Arial Black" w:hAnsi="Arial Black"/>
          <w:b/>
          <w:bCs/>
          <w:sz w:val="28"/>
          <w:szCs w:val="28"/>
        </w:rPr>
      </w:pPr>
    </w:p>
    <w:p w14:paraId="268AAC33" w14:textId="77777777" w:rsidR="00AE7F1F" w:rsidRDefault="00AE7F1F" w:rsidP="002B1283">
      <w:pPr>
        <w:rPr>
          <w:rFonts w:ascii="Arial Black" w:hAnsi="Arial Black"/>
          <w:b/>
          <w:bCs/>
          <w:sz w:val="28"/>
          <w:szCs w:val="28"/>
        </w:rPr>
      </w:pPr>
    </w:p>
    <w:p w14:paraId="0FE38748" w14:textId="0D76EDBA" w:rsidR="00533809" w:rsidRDefault="00896019" w:rsidP="002B1283">
      <w:pPr>
        <w:rPr>
          <w:rFonts w:ascii="Arial Black" w:hAnsi="Arial Black"/>
          <w:b/>
          <w:bCs/>
          <w:sz w:val="28"/>
          <w:szCs w:val="28"/>
        </w:rPr>
      </w:pPr>
      <w:r>
        <w:rPr>
          <w:rFonts w:ascii="Arial Black" w:hAnsi="Arial Black"/>
          <w:b/>
          <w:bCs/>
          <w:sz w:val="28"/>
          <w:szCs w:val="28"/>
        </w:rPr>
        <w:t>13-198</w:t>
      </w:r>
    </w:p>
    <w:p w14:paraId="3A5CB115" w14:textId="77777777" w:rsidR="00E97069" w:rsidRPr="005121C3" w:rsidRDefault="00E97069" w:rsidP="00E97069">
      <w:pPr>
        <w:pStyle w:val="NoSpacing"/>
        <w:rPr>
          <w:rFonts w:ascii="Arial Black" w:hAnsi="Arial Black"/>
          <w:sz w:val="28"/>
          <w:szCs w:val="28"/>
        </w:rPr>
      </w:pPr>
      <w:r>
        <w:rPr>
          <w:rFonts w:ascii="Arial Black" w:hAnsi="Arial Black"/>
          <w:sz w:val="28"/>
          <w:szCs w:val="28"/>
        </w:rPr>
        <w:t>NJ: INTUBATION 21-MONTH-OLD TODDLER – 3</w:t>
      </w:r>
      <w:r w:rsidRPr="00DD0BBB">
        <w:rPr>
          <w:rFonts w:ascii="Arial Black" w:hAnsi="Arial Black"/>
          <w:sz w:val="28"/>
          <w:szCs w:val="28"/>
          <w:vertAlign w:val="superscript"/>
        </w:rPr>
        <w:t>rd</w:t>
      </w:r>
      <w:r>
        <w:rPr>
          <w:rFonts w:ascii="Arial Black" w:hAnsi="Arial Black"/>
          <w:sz w:val="28"/>
          <w:szCs w:val="28"/>
        </w:rPr>
        <w:t xml:space="preserve"> ATTEMPT</w:t>
      </w:r>
      <w:r>
        <w:rPr>
          <w:rFonts w:ascii="Arial Black" w:hAnsi="Arial Black"/>
          <w:sz w:val="28"/>
          <w:szCs w:val="28"/>
          <w:vertAlign w:val="superscript"/>
        </w:rPr>
        <w:t xml:space="preserve"> </w:t>
      </w:r>
      <w:r>
        <w:rPr>
          <w:rFonts w:ascii="Arial Black" w:hAnsi="Arial Black"/>
          <w:sz w:val="28"/>
          <w:szCs w:val="28"/>
        </w:rPr>
        <w:t xml:space="preserve"> IN TRACHEA – NO GROSS NEGLIGENCE - QUALIFIED IMMUNITY</w:t>
      </w:r>
    </w:p>
    <w:p w14:paraId="11023EFC" w14:textId="77777777" w:rsidR="00E97069" w:rsidRDefault="00E97069" w:rsidP="00E97069">
      <w:pPr>
        <w:pStyle w:val="NoSpacing"/>
      </w:pPr>
    </w:p>
    <w:p w14:paraId="1E37008C" w14:textId="77777777" w:rsidR="00E97069" w:rsidRPr="00AE7F1F" w:rsidRDefault="00E97069" w:rsidP="00E97069">
      <w:pPr>
        <w:pStyle w:val="NoSpacing"/>
        <w:rPr>
          <w:rFonts w:ascii="Times New Roman" w:hAnsi="Times New Roman"/>
          <w:sz w:val="24"/>
          <w:szCs w:val="24"/>
        </w:rPr>
      </w:pPr>
      <w:r w:rsidRPr="00AE7F1F">
        <w:rPr>
          <w:rFonts w:ascii="Times New Roman" w:hAnsi="Times New Roman"/>
          <w:sz w:val="24"/>
          <w:szCs w:val="24"/>
        </w:rPr>
        <w:t xml:space="preserve">On Nov. 18, 2024, in </w:t>
      </w:r>
      <w:r w:rsidRPr="00AE7F1F">
        <w:rPr>
          <w:rFonts w:ascii="Times New Roman" w:hAnsi="Times New Roman"/>
          <w:sz w:val="24"/>
          <w:szCs w:val="24"/>
          <w:u w:val="single"/>
        </w:rPr>
        <w:t>Jari Almonte and Yahaira Almanzar, parents of Jeremt Almonte v. Township of Union, et al</w:t>
      </w:r>
      <w:r w:rsidRPr="00AE7F1F">
        <w:rPr>
          <w:rFonts w:ascii="Times New Roman" w:hAnsi="Times New Roman"/>
          <w:sz w:val="24"/>
          <w:szCs w:val="24"/>
        </w:rPr>
        <w:t xml:space="preserve">., the Superior Court of New Jersey held (3 to 0; unpublished decision) that trial court properly concluded there was no gross negligence and therefore the medic enjoyed qualified immunity. The Court wrote: “Here, the extensive record, viewed in the light most favorable to plaintiffs, does not support a finding of gross negligence.” </w:t>
      </w:r>
      <w:hyperlink r:id="rId2102" w:history="1">
        <w:r w:rsidRPr="00AE7F1F">
          <w:rPr>
            <w:rStyle w:val="Hyperlink"/>
            <w:rFonts w:ascii="Times New Roman" w:hAnsi="Times New Roman"/>
            <w:sz w:val="24"/>
            <w:szCs w:val="24"/>
          </w:rPr>
          <w:t>https://www.njcourts.gov/system/files/court-opinions/2024/a2968-22.pdf</w:t>
        </w:r>
      </w:hyperlink>
      <w:r w:rsidRPr="00AE7F1F">
        <w:rPr>
          <w:rFonts w:ascii="Times New Roman" w:hAnsi="Times New Roman"/>
          <w:sz w:val="24"/>
          <w:szCs w:val="24"/>
        </w:rPr>
        <w:t xml:space="preserve"> </w:t>
      </w:r>
    </w:p>
    <w:p w14:paraId="3F1CBAC6" w14:textId="77777777" w:rsidR="00E97069" w:rsidRPr="00AE7F1F" w:rsidRDefault="00E97069" w:rsidP="00E97069">
      <w:pPr>
        <w:pStyle w:val="NoSpacing"/>
        <w:rPr>
          <w:rFonts w:ascii="Times New Roman" w:hAnsi="Times New Roman"/>
          <w:sz w:val="24"/>
          <w:szCs w:val="24"/>
        </w:rPr>
      </w:pPr>
    </w:p>
    <w:p w14:paraId="03E27C0E" w14:textId="77777777" w:rsidR="00AE7F1F" w:rsidRPr="00AE7F1F" w:rsidRDefault="00AE7F1F" w:rsidP="00AE7F1F">
      <w:pPr>
        <w:pStyle w:val="NoSpacing"/>
        <w:rPr>
          <w:rFonts w:ascii="Times New Roman" w:hAnsi="Times New Roman"/>
          <w:b/>
          <w:bCs/>
          <w:sz w:val="24"/>
          <w:szCs w:val="24"/>
        </w:rPr>
      </w:pPr>
      <w:r w:rsidRPr="00AE7F1F">
        <w:rPr>
          <w:rFonts w:ascii="Times New Roman" w:hAnsi="Times New Roman"/>
          <w:b/>
          <w:sz w:val="24"/>
          <w:szCs w:val="24"/>
        </w:rPr>
        <w:t xml:space="preserve">Legal Lesson Learned: </w:t>
      </w:r>
      <w:r w:rsidRPr="00AE7F1F">
        <w:rPr>
          <w:rFonts w:ascii="Times New Roman" w:hAnsi="Times New Roman"/>
          <w:b/>
          <w:bCs/>
          <w:sz w:val="24"/>
          <w:szCs w:val="24"/>
        </w:rPr>
        <w:t xml:space="preserve">Failed intubation attempts </w:t>
      </w:r>
      <w:proofErr w:type="gramStart"/>
      <w:r w:rsidRPr="00AE7F1F">
        <w:rPr>
          <w:rFonts w:ascii="Times New Roman" w:hAnsi="Times New Roman"/>
          <w:b/>
          <w:bCs/>
          <w:sz w:val="24"/>
          <w:szCs w:val="24"/>
        </w:rPr>
        <w:t>is</w:t>
      </w:r>
      <w:proofErr w:type="gramEnd"/>
      <w:r w:rsidRPr="00AE7F1F">
        <w:rPr>
          <w:rFonts w:ascii="Times New Roman" w:hAnsi="Times New Roman"/>
          <w:b/>
          <w:bCs/>
          <w:sz w:val="24"/>
          <w:szCs w:val="24"/>
        </w:rPr>
        <w:t xml:space="preserve"> not </w:t>
      </w:r>
      <w:r w:rsidRPr="00AE7F1F">
        <w:rPr>
          <w:rFonts w:ascii="Times New Roman" w:hAnsi="Times New Roman"/>
          <w:b/>
          <w:sz w:val="24"/>
          <w:szCs w:val="24"/>
        </w:rPr>
        <w:t xml:space="preserve">proof of gross negligence.  </w:t>
      </w:r>
    </w:p>
    <w:p w14:paraId="22BDEA06" w14:textId="77777777" w:rsidR="00AE7F1F" w:rsidRPr="00AE7F1F" w:rsidRDefault="00AE7F1F" w:rsidP="00AE7F1F">
      <w:pPr>
        <w:pStyle w:val="NoSpacing"/>
        <w:ind w:left="720"/>
        <w:rPr>
          <w:rFonts w:ascii="Times New Roman" w:hAnsi="Times New Roman"/>
          <w:sz w:val="24"/>
          <w:szCs w:val="24"/>
        </w:rPr>
      </w:pPr>
    </w:p>
    <w:p w14:paraId="111E3978" w14:textId="77777777" w:rsidR="00896019" w:rsidRDefault="00896019" w:rsidP="002B1283">
      <w:pPr>
        <w:rPr>
          <w:rFonts w:ascii="Arial Black" w:hAnsi="Arial Black"/>
          <w:b/>
          <w:bCs/>
          <w:sz w:val="28"/>
          <w:szCs w:val="28"/>
        </w:rPr>
      </w:pPr>
    </w:p>
    <w:p w14:paraId="202916E2" w14:textId="4C936CDC" w:rsidR="00533809" w:rsidRDefault="00533809" w:rsidP="002B1283">
      <w:pPr>
        <w:rPr>
          <w:rFonts w:ascii="Arial Black" w:hAnsi="Arial Black"/>
          <w:b/>
          <w:bCs/>
          <w:sz w:val="28"/>
          <w:szCs w:val="28"/>
        </w:rPr>
      </w:pPr>
      <w:r>
        <w:rPr>
          <w:rFonts w:ascii="Arial Black" w:hAnsi="Arial Black"/>
          <w:b/>
          <w:bCs/>
          <w:sz w:val="28"/>
          <w:szCs w:val="28"/>
        </w:rPr>
        <w:t>13-197</w:t>
      </w:r>
    </w:p>
    <w:p w14:paraId="1CE997CC" w14:textId="01DCAC67" w:rsidR="00533809" w:rsidRPr="00B41C31" w:rsidRDefault="00533809" w:rsidP="00533809">
      <w:pPr>
        <w:pStyle w:val="NoSpacing"/>
        <w:rPr>
          <w:rFonts w:ascii="Arial Black" w:hAnsi="Arial Black"/>
          <w:b/>
          <w:sz w:val="28"/>
          <w:szCs w:val="28"/>
        </w:rPr>
      </w:pPr>
      <w:r>
        <w:rPr>
          <w:rFonts w:ascii="Arial Black" w:hAnsi="Arial Black"/>
          <w:b/>
          <w:sz w:val="28"/>
          <w:szCs w:val="28"/>
        </w:rPr>
        <w:t xml:space="preserve">ID: MEDICAL AMNESTY LAW - UNCONSCIOUS DRIVER – FD FORCED ENTRY – DRUGS FOUND – NO </w:t>
      </w:r>
      <w:r w:rsidR="00FE4FB4">
        <w:rPr>
          <w:rFonts w:ascii="Arial Black" w:hAnsi="Arial Black"/>
          <w:b/>
          <w:sz w:val="28"/>
          <w:szCs w:val="28"/>
        </w:rPr>
        <w:t xml:space="preserve">CRIMINAL </w:t>
      </w:r>
      <w:r>
        <w:rPr>
          <w:rFonts w:ascii="Arial Black" w:hAnsi="Arial Black"/>
          <w:b/>
          <w:sz w:val="28"/>
          <w:szCs w:val="28"/>
        </w:rPr>
        <w:t xml:space="preserve">IMMUNITY </w:t>
      </w:r>
    </w:p>
    <w:p w14:paraId="48711C77" w14:textId="77777777" w:rsidR="00533809" w:rsidRDefault="00533809" w:rsidP="00533809">
      <w:pPr>
        <w:pStyle w:val="NoSpacing"/>
        <w:ind w:firstLine="720"/>
        <w:rPr>
          <w:b/>
        </w:rPr>
      </w:pPr>
    </w:p>
    <w:p w14:paraId="365DD347" w14:textId="77777777" w:rsidR="00533809" w:rsidRPr="001C1F8D" w:rsidRDefault="00533809" w:rsidP="00533809">
      <w:pPr>
        <w:pStyle w:val="NoSpacing"/>
        <w:rPr>
          <w:rFonts w:ascii="Times New Roman" w:hAnsi="Times New Roman"/>
          <w:sz w:val="24"/>
          <w:szCs w:val="24"/>
        </w:rPr>
      </w:pPr>
      <w:r w:rsidRPr="001C1F8D">
        <w:rPr>
          <w:rFonts w:ascii="Times New Roman" w:hAnsi="Times New Roman"/>
          <w:sz w:val="24"/>
          <w:szCs w:val="24"/>
        </w:rPr>
        <w:t xml:space="preserve">On Nov. 4, 2024, in </w:t>
      </w:r>
      <w:r w:rsidRPr="001C1F8D">
        <w:rPr>
          <w:rFonts w:ascii="Times New Roman" w:hAnsi="Times New Roman"/>
          <w:sz w:val="24"/>
          <w:szCs w:val="24"/>
          <w:u w:val="single"/>
        </w:rPr>
        <w:t>State of Ohio v. Adrian Renee Soliz</w:t>
      </w:r>
      <w:r w:rsidRPr="001C1F8D">
        <w:rPr>
          <w:rFonts w:ascii="Times New Roman" w:hAnsi="Times New Roman"/>
          <w:sz w:val="24"/>
          <w:szCs w:val="24"/>
        </w:rPr>
        <w:t xml:space="preserve">, the Idaho Supreme Court held (4 to 1) that the “medical amnesty law” does not apply to protect the defendant from prosecution.  The Court wrote: “The legislature's careful consideration of potential abuse scenarios indicates that the legislature was concerned that the bill would grant expansive immunity. The overall tenor of the Senate committee minutes supports an interpretation of the statute that requires the drug-related medical emergency and the need for medical assistance to be the sole cause of the discovery of evidence to prevent misuse of the statute. This interpretation ensures that immunity is granted only when the drug-related medical emergency and the need for medical assistance </w:t>
      </w:r>
      <w:proofErr w:type="gramStart"/>
      <w:r w:rsidRPr="001C1F8D">
        <w:rPr>
          <w:rFonts w:ascii="Times New Roman" w:hAnsi="Times New Roman"/>
          <w:sz w:val="24"/>
          <w:szCs w:val="24"/>
        </w:rPr>
        <w:t>produce</w:t>
      </w:r>
      <w:proofErr w:type="gramEnd"/>
      <w:r w:rsidRPr="001C1F8D">
        <w:rPr>
          <w:rFonts w:ascii="Times New Roman" w:hAnsi="Times New Roman"/>
          <w:sz w:val="24"/>
          <w:szCs w:val="24"/>
        </w:rPr>
        <w:t xml:space="preserve"> the discovery of evidence. This interpretation aligns with the statute's protective purpose while also preventing potential abuse.” </w:t>
      </w:r>
      <w:hyperlink r:id="rId2103" w:history="1">
        <w:r w:rsidRPr="001C1F8D">
          <w:rPr>
            <w:rStyle w:val="Hyperlink"/>
            <w:rFonts w:ascii="Times New Roman" w:hAnsi="Times New Roman"/>
            <w:sz w:val="24"/>
            <w:szCs w:val="24"/>
          </w:rPr>
          <w:t>https://casetext.com/case/state-v-soliz-24</w:t>
        </w:r>
      </w:hyperlink>
      <w:r w:rsidRPr="001C1F8D">
        <w:rPr>
          <w:rFonts w:ascii="Times New Roman" w:hAnsi="Times New Roman"/>
          <w:sz w:val="24"/>
          <w:szCs w:val="24"/>
        </w:rPr>
        <w:t xml:space="preserve"> </w:t>
      </w:r>
    </w:p>
    <w:p w14:paraId="4A8ED28D" w14:textId="77777777" w:rsidR="00E5379E" w:rsidRDefault="00E5379E" w:rsidP="001C1F8D">
      <w:pPr>
        <w:pStyle w:val="NoSpacing"/>
        <w:rPr>
          <w:rFonts w:ascii="Times New Roman" w:hAnsi="Times New Roman"/>
          <w:b/>
          <w:sz w:val="24"/>
          <w:szCs w:val="24"/>
        </w:rPr>
      </w:pPr>
    </w:p>
    <w:p w14:paraId="269DC108" w14:textId="653C04BE" w:rsidR="001C1F8D" w:rsidRPr="001C1F8D" w:rsidRDefault="001C1F8D" w:rsidP="001C1F8D">
      <w:pPr>
        <w:pStyle w:val="NoSpacing"/>
        <w:rPr>
          <w:rFonts w:ascii="Times New Roman" w:hAnsi="Times New Roman"/>
          <w:b/>
          <w:bCs/>
          <w:sz w:val="24"/>
          <w:szCs w:val="24"/>
        </w:rPr>
      </w:pPr>
      <w:r w:rsidRPr="001C1F8D">
        <w:rPr>
          <w:rFonts w:ascii="Times New Roman" w:hAnsi="Times New Roman"/>
          <w:b/>
          <w:sz w:val="24"/>
          <w:szCs w:val="24"/>
        </w:rPr>
        <w:t xml:space="preserve">Legal Lesson Learned: Many states have enacted “Good Samaritan” statutes designed to encourage 911 call when you or an associate is overdosing; this case does not fit that scenario. </w:t>
      </w:r>
    </w:p>
    <w:p w14:paraId="54BE610B" w14:textId="77777777" w:rsidR="001C1F8D" w:rsidRPr="001C1F8D" w:rsidRDefault="001C1F8D" w:rsidP="002B1283">
      <w:pPr>
        <w:rPr>
          <w:rFonts w:ascii="Times New Roman" w:hAnsi="Times New Roman"/>
          <w:b/>
          <w:bCs/>
          <w:sz w:val="24"/>
          <w:szCs w:val="24"/>
        </w:rPr>
      </w:pPr>
    </w:p>
    <w:p w14:paraId="665E580E" w14:textId="77777777" w:rsidR="00533809" w:rsidRDefault="00533809" w:rsidP="002B1283">
      <w:pPr>
        <w:rPr>
          <w:rFonts w:ascii="Arial Black" w:hAnsi="Arial Black"/>
          <w:b/>
          <w:bCs/>
          <w:sz w:val="28"/>
          <w:szCs w:val="28"/>
        </w:rPr>
      </w:pPr>
    </w:p>
    <w:p w14:paraId="69739103" w14:textId="635F9EDC" w:rsidR="00B96918" w:rsidRDefault="00B96918" w:rsidP="002B1283">
      <w:pPr>
        <w:rPr>
          <w:rFonts w:ascii="Arial Black" w:hAnsi="Arial Black"/>
          <w:b/>
          <w:bCs/>
          <w:sz w:val="28"/>
          <w:szCs w:val="28"/>
        </w:rPr>
      </w:pPr>
      <w:r>
        <w:rPr>
          <w:rFonts w:ascii="Arial Black" w:hAnsi="Arial Black"/>
          <w:b/>
          <w:bCs/>
          <w:sz w:val="28"/>
          <w:szCs w:val="28"/>
        </w:rPr>
        <w:lastRenderedPageBreak/>
        <w:t>13-196</w:t>
      </w:r>
    </w:p>
    <w:p w14:paraId="7BE054D7" w14:textId="77777777" w:rsidR="005B3FFE" w:rsidRPr="008519D7" w:rsidRDefault="005B3FFE" w:rsidP="005B3FFE">
      <w:pPr>
        <w:rPr>
          <w:rFonts w:ascii="Arial Black" w:hAnsi="Arial Black"/>
          <w:b/>
          <w:bCs/>
          <w:sz w:val="28"/>
          <w:szCs w:val="28"/>
        </w:rPr>
      </w:pPr>
      <w:r w:rsidRPr="008519D7">
        <w:rPr>
          <w:rFonts w:ascii="Arial Black" w:hAnsi="Arial Black"/>
          <w:b/>
          <w:bCs/>
          <w:sz w:val="28"/>
          <w:szCs w:val="28"/>
        </w:rPr>
        <w:t xml:space="preserve">NY:  DIFFICULTY BREATHING – DISPATCH SENT BLS – EMTS ON SCENE 12 MIN. FOR ALS – DISCRETIONARY – IMMUNITY </w:t>
      </w:r>
    </w:p>
    <w:p w14:paraId="6823B530" w14:textId="77777777" w:rsidR="005B3FFE" w:rsidRPr="004C62A0" w:rsidRDefault="005B3FFE" w:rsidP="005B3FFE">
      <w:pPr>
        <w:rPr>
          <w:rFonts w:ascii="Times New Roman" w:hAnsi="Times New Roman"/>
          <w:sz w:val="24"/>
          <w:szCs w:val="24"/>
        </w:rPr>
      </w:pPr>
      <w:r w:rsidRPr="004C62A0">
        <w:rPr>
          <w:rFonts w:ascii="Times New Roman" w:hAnsi="Times New Roman"/>
          <w:sz w:val="24"/>
          <w:szCs w:val="24"/>
        </w:rPr>
        <w:t xml:space="preserve">On Oct. 23, 2024, in </w:t>
      </w:r>
      <w:r w:rsidRPr="004C62A0">
        <w:rPr>
          <w:rFonts w:ascii="Times New Roman" w:hAnsi="Times New Roman"/>
          <w:sz w:val="24"/>
          <w:szCs w:val="24"/>
          <w:u w:val="single"/>
        </w:rPr>
        <w:t>Anita Walker-Rodriquez v. City of New York, et al</w:t>
      </w:r>
      <w:r w:rsidRPr="004C62A0">
        <w:rPr>
          <w:rFonts w:ascii="Times New Roman" w:hAnsi="Times New Roman"/>
          <w:sz w:val="24"/>
          <w:szCs w:val="24"/>
        </w:rPr>
        <w:t xml:space="preserve">., the New York Appellate Division, Second Judicial District, held (5 to 0): “In an action, inter alia, to recover damages for personal injuries, etc., the defendants City of New York, New York City Police Department, and New York City Fire Department Emergency Medical Services appeal from an order of the Supreme Court, Kings County (Marsha L. Steinhardt, J.), dated August 22, 2019. The order denied those defendants' motion pursuant to CPLR 3211(a)(7) to dismiss the complaint insofar as asserted against them or, in the alternative, for summary judgment dismissing the complaint insofar as asserted against them. *** Accordingly, the Supreme Court should have granted that branch of the defendants' motion which was for summary judgment dismissing the complaint insofar as asserted against them.” </w:t>
      </w:r>
      <w:hyperlink r:id="rId2104" w:history="1">
        <w:r w:rsidRPr="004C62A0">
          <w:rPr>
            <w:rStyle w:val="Hyperlink"/>
            <w:rFonts w:ascii="Times New Roman" w:hAnsi="Times New Roman"/>
            <w:sz w:val="24"/>
            <w:szCs w:val="24"/>
          </w:rPr>
          <w:t>https://law.justia.com/cases/new-york/appellate-division-second-department/2024/2019-11168.html</w:t>
        </w:r>
      </w:hyperlink>
      <w:r w:rsidRPr="004C62A0">
        <w:rPr>
          <w:rFonts w:ascii="Times New Roman" w:hAnsi="Times New Roman"/>
          <w:sz w:val="24"/>
          <w:szCs w:val="24"/>
        </w:rPr>
        <w:t xml:space="preserve"> </w:t>
      </w:r>
    </w:p>
    <w:p w14:paraId="31B92E54" w14:textId="77777777" w:rsidR="004C62A0" w:rsidRPr="004C62A0" w:rsidRDefault="004C62A0" w:rsidP="004C62A0">
      <w:pPr>
        <w:rPr>
          <w:rFonts w:ascii="Times New Roman" w:hAnsi="Times New Roman"/>
          <w:b/>
          <w:bCs/>
          <w:sz w:val="24"/>
          <w:szCs w:val="24"/>
        </w:rPr>
      </w:pPr>
      <w:r w:rsidRPr="004C62A0">
        <w:rPr>
          <w:rFonts w:ascii="Times New Roman" w:hAnsi="Times New Roman"/>
          <w:b/>
          <w:sz w:val="24"/>
          <w:szCs w:val="24"/>
        </w:rPr>
        <w:t>Legal Lesson Learned: Dispatch and EMS immunity for discretionary decisions.</w:t>
      </w:r>
    </w:p>
    <w:p w14:paraId="6500947B" w14:textId="77777777" w:rsidR="00B96918" w:rsidRDefault="00B96918" w:rsidP="002B1283">
      <w:pPr>
        <w:rPr>
          <w:rFonts w:ascii="Arial Black" w:hAnsi="Arial Black"/>
          <w:b/>
          <w:bCs/>
          <w:sz w:val="28"/>
          <w:szCs w:val="28"/>
        </w:rPr>
      </w:pPr>
    </w:p>
    <w:p w14:paraId="35EE876F" w14:textId="77777777" w:rsidR="00B96918" w:rsidRDefault="00B96918" w:rsidP="002B1283">
      <w:pPr>
        <w:rPr>
          <w:rFonts w:ascii="Arial Black" w:hAnsi="Arial Black"/>
          <w:b/>
          <w:bCs/>
          <w:sz w:val="28"/>
          <w:szCs w:val="28"/>
        </w:rPr>
      </w:pPr>
    </w:p>
    <w:p w14:paraId="74E29349" w14:textId="118EFF8D" w:rsidR="009C5942" w:rsidRDefault="009C5942" w:rsidP="002B1283">
      <w:pPr>
        <w:rPr>
          <w:rFonts w:ascii="Arial Black" w:hAnsi="Arial Black"/>
          <w:b/>
          <w:bCs/>
          <w:sz w:val="28"/>
          <w:szCs w:val="28"/>
        </w:rPr>
      </w:pPr>
      <w:r>
        <w:rPr>
          <w:rFonts w:ascii="Arial Black" w:hAnsi="Arial Black"/>
          <w:b/>
          <w:bCs/>
          <w:sz w:val="28"/>
          <w:szCs w:val="28"/>
        </w:rPr>
        <w:t>13-195</w:t>
      </w:r>
    </w:p>
    <w:p w14:paraId="74C88005" w14:textId="321EA269" w:rsidR="007A1954" w:rsidRPr="0019310D" w:rsidRDefault="007A1954" w:rsidP="007A1954">
      <w:pPr>
        <w:pStyle w:val="NoSpacing"/>
        <w:rPr>
          <w:rFonts w:ascii="Arial Black" w:hAnsi="Arial Black"/>
          <w:sz w:val="28"/>
        </w:rPr>
      </w:pPr>
      <w:r>
        <w:rPr>
          <w:rFonts w:ascii="Arial Black" w:hAnsi="Arial Black"/>
          <w:sz w:val="28"/>
        </w:rPr>
        <w:t xml:space="preserve">KY: CITY’S DONUT EATING CONTEST – CHOKING / DIED - CASE PROCEED - “WILLFUL OR WANTON” </w:t>
      </w:r>
      <w:r w:rsidR="006F0C54">
        <w:rPr>
          <w:rFonts w:ascii="Arial Black" w:hAnsi="Arial Black"/>
          <w:sz w:val="28"/>
        </w:rPr>
        <w:t xml:space="preserve">MISCONDUCT </w:t>
      </w:r>
      <w:r>
        <w:rPr>
          <w:rFonts w:ascii="Arial Black" w:hAnsi="Arial Black"/>
          <w:sz w:val="28"/>
        </w:rPr>
        <w:t xml:space="preserve">NOT IN WAIVER </w:t>
      </w:r>
    </w:p>
    <w:p w14:paraId="7A4644C0" w14:textId="77777777" w:rsidR="007A1954" w:rsidRDefault="007A1954" w:rsidP="009E4718">
      <w:pPr>
        <w:pStyle w:val="NoSpacing"/>
        <w:rPr>
          <w:rFonts w:ascii="Times New Roman" w:hAnsi="Times New Roman"/>
          <w:sz w:val="24"/>
          <w:szCs w:val="24"/>
        </w:rPr>
      </w:pPr>
    </w:p>
    <w:p w14:paraId="36B32D93" w14:textId="220A2550" w:rsidR="009E4718" w:rsidRPr="00D7210B" w:rsidRDefault="009E4718" w:rsidP="009E4718">
      <w:pPr>
        <w:pStyle w:val="NoSpacing"/>
        <w:rPr>
          <w:rFonts w:ascii="Times New Roman" w:hAnsi="Times New Roman"/>
          <w:sz w:val="24"/>
          <w:szCs w:val="24"/>
        </w:rPr>
      </w:pPr>
      <w:r w:rsidRPr="00D7210B">
        <w:rPr>
          <w:rFonts w:ascii="Times New Roman" w:hAnsi="Times New Roman"/>
          <w:sz w:val="24"/>
          <w:szCs w:val="24"/>
        </w:rPr>
        <w:t xml:space="preserve">On Sept. 27, 2024, in </w:t>
      </w:r>
      <w:r w:rsidRPr="00D7210B">
        <w:rPr>
          <w:rFonts w:ascii="Times New Roman" w:hAnsi="Times New Roman"/>
          <w:sz w:val="24"/>
          <w:szCs w:val="24"/>
          <w:u w:val="single"/>
        </w:rPr>
        <w:t>Laura Helmbrecht, in her individual capacity and as administrator of the estate of Cesar E. Marquez Chavez v. Baley Jayne Bakery and Café LLC and the City of Walton</w:t>
      </w:r>
      <w:r w:rsidRPr="00D7210B">
        <w:rPr>
          <w:rFonts w:ascii="Times New Roman" w:hAnsi="Times New Roman"/>
          <w:sz w:val="24"/>
          <w:szCs w:val="24"/>
        </w:rPr>
        <w:t xml:space="preserve">, the Court of Appeals of Kentucky held (3 to 0) that trial court improperly granted summary judgment to the City, holding that claims of “willful or wanton” negligence were never in the waiver document signed by the release.  The Court wrote: “Because Chavez did not waive his estate’s claim of willful or wanton negligence, that tort claim remains viable.” </w:t>
      </w:r>
      <w:hyperlink r:id="rId2105" w:history="1">
        <w:r w:rsidRPr="00D7210B">
          <w:rPr>
            <w:rStyle w:val="Hyperlink"/>
            <w:rFonts w:ascii="Times New Roman" w:hAnsi="Times New Roman"/>
            <w:sz w:val="24"/>
            <w:szCs w:val="24"/>
          </w:rPr>
          <w:t>https://cases.justia.com/kentucky/court-of-appeals/2024-2023-ca-1033-mr.pdf?ts=1727446176</w:t>
        </w:r>
      </w:hyperlink>
      <w:r w:rsidRPr="00D7210B">
        <w:rPr>
          <w:rFonts w:ascii="Times New Roman" w:hAnsi="Times New Roman"/>
          <w:sz w:val="24"/>
          <w:szCs w:val="24"/>
        </w:rPr>
        <w:t xml:space="preserve"> </w:t>
      </w:r>
    </w:p>
    <w:p w14:paraId="12E8440F" w14:textId="77777777" w:rsidR="009E4718" w:rsidRPr="00D7210B" w:rsidRDefault="009E4718" w:rsidP="009E4718">
      <w:pPr>
        <w:pStyle w:val="NoSpacing"/>
        <w:rPr>
          <w:rFonts w:ascii="Times New Roman" w:hAnsi="Times New Roman"/>
          <w:sz w:val="24"/>
          <w:szCs w:val="24"/>
        </w:rPr>
      </w:pPr>
    </w:p>
    <w:p w14:paraId="7387BD40" w14:textId="77777777" w:rsidR="009E4718" w:rsidRPr="00D7210B" w:rsidRDefault="009E4718" w:rsidP="009E4718">
      <w:pPr>
        <w:pStyle w:val="NoSpacing"/>
        <w:rPr>
          <w:rFonts w:ascii="Times New Roman" w:hAnsi="Times New Roman"/>
          <w:sz w:val="24"/>
          <w:szCs w:val="24"/>
        </w:rPr>
      </w:pPr>
      <w:r w:rsidRPr="00D7210B">
        <w:rPr>
          <w:rFonts w:ascii="Times New Roman" w:hAnsi="Times New Roman"/>
          <w:sz w:val="24"/>
          <w:szCs w:val="24"/>
        </w:rPr>
        <w:t>THE COURT HELD:</w:t>
      </w:r>
    </w:p>
    <w:p w14:paraId="39743D3B" w14:textId="77777777" w:rsidR="009E4718" w:rsidRPr="00D7210B" w:rsidRDefault="009E4718" w:rsidP="009E4718">
      <w:pPr>
        <w:pStyle w:val="NoSpacing"/>
        <w:rPr>
          <w:rFonts w:ascii="Times New Roman" w:hAnsi="Times New Roman"/>
          <w:sz w:val="24"/>
          <w:szCs w:val="24"/>
        </w:rPr>
      </w:pPr>
    </w:p>
    <w:p w14:paraId="3B5DD960" w14:textId="77777777" w:rsidR="009E4718" w:rsidRPr="00D7210B" w:rsidRDefault="009E4718" w:rsidP="009E4718">
      <w:pPr>
        <w:pStyle w:val="NoSpacing"/>
        <w:ind w:left="720"/>
        <w:rPr>
          <w:rFonts w:ascii="Times New Roman" w:hAnsi="Times New Roman"/>
          <w:sz w:val="24"/>
          <w:szCs w:val="24"/>
        </w:rPr>
      </w:pPr>
      <w:r w:rsidRPr="00D7210B">
        <w:rPr>
          <w:rFonts w:ascii="Times New Roman" w:hAnsi="Times New Roman"/>
          <w:sz w:val="24"/>
          <w:szCs w:val="24"/>
        </w:rPr>
        <w:t>“Helmbrecht alleges that during the contest, Chavez began choking, lost consciousness, and went into cardiac arrest. She further alleges that because the ‘Appellees failed to organize and provide any emergency medical services at the contest, he received untimely medical treatment for his airway obstruction.’ Appellant’s Br. at 3. Helmbrecht alleges that when paramedics finally arrived, Chavez was unresponsive, and he was transported to St. Elizabeth Edgewood Hospital, where he died from ‘asphyxia due to food bolus.’ Ibid. The Appellees affirm these basic facts, but contest there is any support in the record as to Chavez’s cause of death.</w:t>
      </w:r>
    </w:p>
    <w:p w14:paraId="1A6902A8" w14:textId="77777777" w:rsidR="009E4718" w:rsidRPr="00D7210B" w:rsidRDefault="009E4718" w:rsidP="009E4718">
      <w:pPr>
        <w:pStyle w:val="NoSpacing"/>
        <w:ind w:left="720"/>
        <w:rPr>
          <w:rFonts w:ascii="Times New Roman" w:hAnsi="Times New Roman"/>
          <w:sz w:val="24"/>
          <w:szCs w:val="24"/>
        </w:rPr>
      </w:pPr>
    </w:p>
    <w:p w14:paraId="4997A526" w14:textId="77777777" w:rsidR="009E4718" w:rsidRPr="00D7210B" w:rsidRDefault="009E4718" w:rsidP="009E4718">
      <w:pPr>
        <w:pStyle w:val="NoSpacing"/>
        <w:ind w:left="720"/>
        <w:rPr>
          <w:rFonts w:ascii="Times New Roman" w:hAnsi="Times New Roman"/>
          <w:sz w:val="24"/>
          <w:szCs w:val="24"/>
        </w:rPr>
      </w:pPr>
      <w:r w:rsidRPr="00D7210B">
        <w:rPr>
          <w:rFonts w:ascii="Times New Roman" w:hAnsi="Times New Roman"/>
          <w:sz w:val="24"/>
          <w:szCs w:val="24"/>
        </w:rPr>
        <w:t>***</w:t>
      </w:r>
    </w:p>
    <w:p w14:paraId="59A76C88" w14:textId="77777777" w:rsidR="009E4718" w:rsidRPr="00D7210B" w:rsidRDefault="009E4718" w:rsidP="009E4718">
      <w:pPr>
        <w:pStyle w:val="NoSpacing"/>
        <w:rPr>
          <w:rFonts w:ascii="Times New Roman" w:hAnsi="Times New Roman"/>
          <w:sz w:val="24"/>
          <w:szCs w:val="24"/>
        </w:rPr>
      </w:pPr>
    </w:p>
    <w:p w14:paraId="06FB936C" w14:textId="77777777" w:rsidR="009E4718" w:rsidRPr="00D7210B" w:rsidRDefault="009E4718" w:rsidP="009E4718">
      <w:pPr>
        <w:pStyle w:val="NoSpacing"/>
        <w:ind w:left="720"/>
        <w:rPr>
          <w:rFonts w:ascii="Times New Roman" w:hAnsi="Times New Roman"/>
          <w:sz w:val="24"/>
          <w:szCs w:val="24"/>
        </w:rPr>
      </w:pPr>
      <w:r w:rsidRPr="00D7210B">
        <w:rPr>
          <w:rFonts w:ascii="Times New Roman" w:hAnsi="Times New Roman"/>
          <w:sz w:val="24"/>
          <w:szCs w:val="24"/>
        </w:rPr>
        <w:lastRenderedPageBreak/>
        <w:t>With respect to whether the waiver bars Helmbrecht’s claim of negligence, the waiver is enforceable….  As we conclude the waiver’s employment of ‘negligence’ encompassed both ordinary and gross negligence, for the same reasons discussed above in addressing Helmbrecht’s claim of negligence, the waiver is enforceable as a bar to her claim of gross negligence.</w:t>
      </w:r>
    </w:p>
    <w:p w14:paraId="7C534CEE" w14:textId="77777777" w:rsidR="009E4718" w:rsidRPr="00D7210B" w:rsidRDefault="009E4718" w:rsidP="009E4718">
      <w:pPr>
        <w:pStyle w:val="NoSpacing"/>
        <w:ind w:left="720"/>
        <w:rPr>
          <w:rFonts w:ascii="Times New Roman" w:hAnsi="Times New Roman"/>
          <w:sz w:val="24"/>
          <w:szCs w:val="24"/>
        </w:rPr>
      </w:pPr>
    </w:p>
    <w:p w14:paraId="22BB373B" w14:textId="77777777" w:rsidR="009E4718" w:rsidRPr="00D7210B" w:rsidRDefault="009E4718" w:rsidP="009E4718">
      <w:pPr>
        <w:pStyle w:val="NoSpacing"/>
        <w:ind w:left="720"/>
        <w:rPr>
          <w:rFonts w:ascii="Times New Roman" w:hAnsi="Times New Roman"/>
          <w:sz w:val="24"/>
          <w:szCs w:val="24"/>
        </w:rPr>
      </w:pPr>
      <w:r w:rsidRPr="00D7210B">
        <w:rPr>
          <w:rFonts w:ascii="Times New Roman" w:hAnsi="Times New Roman"/>
          <w:sz w:val="24"/>
          <w:szCs w:val="24"/>
        </w:rPr>
        <w:t>***</w:t>
      </w:r>
    </w:p>
    <w:p w14:paraId="03429426" w14:textId="77777777" w:rsidR="009E4718" w:rsidRPr="00D7210B" w:rsidRDefault="009E4718" w:rsidP="009E4718">
      <w:pPr>
        <w:pStyle w:val="NoSpacing"/>
        <w:rPr>
          <w:rFonts w:ascii="Times New Roman" w:hAnsi="Times New Roman"/>
          <w:sz w:val="24"/>
          <w:szCs w:val="24"/>
        </w:rPr>
      </w:pPr>
    </w:p>
    <w:p w14:paraId="2C3A34BF" w14:textId="77777777" w:rsidR="009E4718" w:rsidRPr="00D7210B" w:rsidRDefault="009E4718" w:rsidP="009E4718">
      <w:pPr>
        <w:pStyle w:val="NoSpacing"/>
        <w:ind w:left="720"/>
        <w:rPr>
          <w:rFonts w:ascii="Times New Roman" w:hAnsi="Times New Roman"/>
          <w:sz w:val="24"/>
          <w:szCs w:val="24"/>
        </w:rPr>
      </w:pPr>
      <w:r w:rsidRPr="00D7210B">
        <w:rPr>
          <w:rFonts w:ascii="Times New Roman" w:hAnsi="Times New Roman"/>
          <w:sz w:val="24"/>
          <w:szCs w:val="24"/>
        </w:rPr>
        <w:t xml:space="preserve">By its nature, such a waiver </w:t>
      </w:r>
      <w:proofErr w:type="gramStart"/>
      <w:r w:rsidRPr="00D7210B">
        <w:rPr>
          <w:rFonts w:ascii="Times New Roman" w:hAnsi="Times New Roman"/>
          <w:sz w:val="24"/>
          <w:szCs w:val="24"/>
        </w:rPr>
        <w:t>benefits</w:t>
      </w:r>
      <w:proofErr w:type="gramEnd"/>
      <w:r w:rsidRPr="00D7210B">
        <w:rPr>
          <w:rFonts w:ascii="Times New Roman" w:hAnsi="Times New Roman"/>
          <w:sz w:val="24"/>
          <w:szCs w:val="24"/>
        </w:rPr>
        <w:t xml:space="preserve"> only the releasee. The releasor gains nothing from the waiver itself; </w:t>
      </w:r>
      <w:proofErr w:type="gramStart"/>
      <w:r w:rsidRPr="00D7210B">
        <w:rPr>
          <w:rFonts w:ascii="Times New Roman" w:hAnsi="Times New Roman"/>
          <w:sz w:val="24"/>
          <w:szCs w:val="24"/>
        </w:rPr>
        <w:t>his</w:t>
      </w:r>
      <w:proofErr w:type="gramEnd"/>
      <w:r w:rsidRPr="00D7210B">
        <w:rPr>
          <w:rFonts w:ascii="Times New Roman" w:hAnsi="Times New Roman"/>
          <w:sz w:val="24"/>
          <w:szCs w:val="24"/>
        </w:rPr>
        <w:t xml:space="preserve"> benefit is the privilege of participating in the risked activity. Consequently, the waiver itself cannot logically serve as evidence of care toward the releasor; it is quite the opposite. Finding otherwise, as the circuit court did here, is effectively abolishing the Supreme Court’s holding that exculpatory contracts are unenforceable as to claims of willful or wanton negligence. Id. at 654. Finding otherwise is equivalent to saying, ‘You cannot sue the releasee because he warned you that he might harm you willfully or wantonly – that is, intentionally or with utter indifference to your safety or life.’ Poindexter v. Commonwealth, 389 S.W.3d 112, 117 (Ky. 2012</w:t>
      </w:r>
      <w:proofErr w:type="gramStart"/>
      <w:r w:rsidRPr="00D7210B">
        <w:rPr>
          <w:rFonts w:ascii="Times New Roman" w:hAnsi="Times New Roman"/>
          <w:sz w:val="24"/>
          <w:szCs w:val="24"/>
        </w:rPr>
        <w:t>) (‘</w:t>
      </w:r>
      <w:proofErr w:type="gramEnd"/>
      <w:r w:rsidRPr="00D7210B">
        <w:rPr>
          <w:rFonts w:ascii="Times New Roman" w:hAnsi="Times New Roman"/>
          <w:sz w:val="24"/>
          <w:szCs w:val="24"/>
        </w:rPr>
        <w:t>[</w:t>
      </w:r>
      <w:proofErr w:type="gramStart"/>
      <w:r w:rsidRPr="00D7210B">
        <w:rPr>
          <w:rFonts w:ascii="Times New Roman" w:hAnsi="Times New Roman"/>
          <w:sz w:val="24"/>
          <w:szCs w:val="24"/>
        </w:rPr>
        <w:t>Willfulness] ‘</w:t>
      </w:r>
      <w:proofErr w:type="gramEnd"/>
      <w:r w:rsidRPr="00D7210B">
        <w:rPr>
          <w:rFonts w:ascii="Times New Roman" w:hAnsi="Times New Roman"/>
          <w:sz w:val="24"/>
          <w:szCs w:val="24"/>
        </w:rPr>
        <w:t>means with intent or intention.’) (internal quotation marks and citations omitted); Holbrook v. Ky. Unemployment Ins. Comm’n, 290 S.W.3d 81, 87 (Ky. App. 2009) (defining wanton conduct as ‘[u]</w:t>
      </w:r>
      <w:proofErr w:type="spellStart"/>
      <w:r w:rsidRPr="00D7210B">
        <w:rPr>
          <w:rFonts w:ascii="Times New Roman" w:hAnsi="Times New Roman"/>
          <w:sz w:val="24"/>
          <w:szCs w:val="24"/>
        </w:rPr>
        <w:t>nreasonably</w:t>
      </w:r>
      <w:proofErr w:type="spellEnd"/>
      <w:r w:rsidRPr="00D7210B">
        <w:rPr>
          <w:rFonts w:ascii="Times New Roman" w:hAnsi="Times New Roman"/>
          <w:sz w:val="24"/>
          <w:szCs w:val="24"/>
        </w:rPr>
        <w:t xml:space="preserve"> or maliciously risking harm while</w:t>
      </w:r>
    </w:p>
    <w:p w14:paraId="50064D0B" w14:textId="77777777" w:rsidR="009E4718" w:rsidRPr="00D7210B" w:rsidRDefault="009E4718" w:rsidP="009E4718">
      <w:pPr>
        <w:pStyle w:val="NoSpacing"/>
        <w:ind w:firstLine="720"/>
        <w:rPr>
          <w:rFonts w:ascii="Times New Roman" w:hAnsi="Times New Roman"/>
          <w:sz w:val="24"/>
          <w:szCs w:val="24"/>
        </w:rPr>
      </w:pPr>
      <w:r w:rsidRPr="00D7210B">
        <w:rPr>
          <w:rFonts w:ascii="Times New Roman" w:hAnsi="Times New Roman"/>
          <w:sz w:val="24"/>
          <w:szCs w:val="24"/>
        </w:rPr>
        <w:t>being utterly indifferent to the consequences’).</w:t>
      </w:r>
    </w:p>
    <w:p w14:paraId="1CC67EAF" w14:textId="77777777" w:rsidR="009E4718" w:rsidRPr="00D7210B" w:rsidRDefault="009E4718" w:rsidP="009E4718">
      <w:pPr>
        <w:pStyle w:val="NoSpacing"/>
        <w:ind w:firstLine="720"/>
        <w:rPr>
          <w:rFonts w:ascii="Times New Roman" w:hAnsi="Times New Roman"/>
          <w:sz w:val="24"/>
          <w:szCs w:val="24"/>
        </w:rPr>
      </w:pPr>
    </w:p>
    <w:p w14:paraId="05F6B155" w14:textId="77777777" w:rsidR="009E4718" w:rsidRPr="00D7210B" w:rsidRDefault="009E4718" w:rsidP="009E4718">
      <w:pPr>
        <w:pStyle w:val="NoSpacing"/>
        <w:ind w:firstLine="720"/>
        <w:rPr>
          <w:rFonts w:ascii="Times New Roman" w:hAnsi="Times New Roman"/>
          <w:sz w:val="24"/>
          <w:szCs w:val="24"/>
        </w:rPr>
      </w:pPr>
      <w:r w:rsidRPr="00D7210B">
        <w:rPr>
          <w:rFonts w:ascii="Times New Roman" w:hAnsi="Times New Roman"/>
          <w:sz w:val="24"/>
          <w:szCs w:val="24"/>
        </w:rPr>
        <w:t>***</w:t>
      </w:r>
    </w:p>
    <w:p w14:paraId="63FDAE5E" w14:textId="77777777" w:rsidR="009E4718" w:rsidRPr="00D7210B" w:rsidRDefault="009E4718" w:rsidP="009E4718">
      <w:pPr>
        <w:pStyle w:val="NoSpacing"/>
        <w:rPr>
          <w:rFonts w:ascii="Times New Roman" w:hAnsi="Times New Roman"/>
          <w:sz w:val="24"/>
          <w:szCs w:val="24"/>
        </w:rPr>
      </w:pPr>
      <w:r w:rsidRPr="00D7210B">
        <w:rPr>
          <w:rFonts w:ascii="Times New Roman" w:hAnsi="Times New Roman"/>
          <w:noProof/>
          <w:sz w:val="24"/>
          <w:szCs w:val="24"/>
        </w:rPr>
        <w:drawing>
          <wp:inline distT="0" distB="0" distL="0" distR="0" wp14:anchorId="39731B17" wp14:editId="0FE3131B">
            <wp:extent cx="57158" cy="47632"/>
            <wp:effectExtent l="0" t="0" r="0" b="9525"/>
            <wp:docPr id="18960073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007320" name=""/>
                    <pic:cNvPicPr/>
                  </pic:nvPicPr>
                  <pic:blipFill>
                    <a:blip r:embed="rId2106"/>
                    <a:stretch>
                      <a:fillRect/>
                    </a:stretch>
                  </pic:blipFill>
                  <pic:spPr>
                    <a:xfrm>
                      <a:off x="0" y="0"/>
                      <a:ext cx="57158" cy="47632"/>
                    </a:xfrm>
                    <a:prstGeom prst="rect">
                      <a:avLst/>
                    </a:prstGeom>
                  </pic:spPr>
                </pic:pic>
              </a:graphicData>
            </a:graphic>
          </wp:inline>
        </w:drawing>
      </w:r>
    </w:p>
    <w:p w14:paraId="16173799" w14:textId="6719E310" w:rsidR="009E4718" w:rsidRDefault="009E4718" w:rsidP="009E4718">
      <w:pPr>
        <w:pStyle w:val="NoSpacing"/>
        <w:ind w:left="720"/>
        <w:rPr>
          <w:rFonts w:ascii="Times New Roman" w:hAnsi="Times New Roman"/>
          <w:sz w:val="24"/>
          <w:szCs w:val="24"/>
        </w:rPr>
      </w:pPr>
      <w:r w:rsidRPr="00D7210B">
        <w:rPr>
          <w:rFonts w:ascii="Times New Roman" w:hAnsi="Times New Roman"/>
          <w:sz w:val="24"/>
          <w:szCs w:val="24"/>
        </w:rPr>
        <w:t>Because Chavez did not waive his estate’s claim of willful or wanton negligence, that tort claim remains viable.</w:t>
      </w:r>
    </w:p>
    <w:p w14:paraId="228638BA" w14:textId="77777777" w:rsidR="00532D2D" w:rsidRDefault="00532D2D" w:rsidP="009E4718">
      <w:pPr>
        <w:pStyle w:val="NoSpacing"/>
        <w:ind w:left="720"/>
        <w:rPr>
          <w:rFonts w:ascii="Times New Roman" w:hAnsi="Times New Roman"/>
          <w:sz w:val="24"/>
          <w:szCs w:val="24"/>
        </w:rPr>
      </w:pPr>
    </w:p>
    <w:p w14:paraId="7B94034B" w14:textId="658771FF" w:rsidR="00532D2D" w:rsidRPr="00D7210B" w:rsidRDefault="00532D2D" w:rsidP="009E4718">
      <w:pPr>
        <w:pStyle w:val="NoSpacing"/>
        <w:ind w:left="720"/>
        <w:rPr>
          <w:rFonts w:ascii="Times New Roman" w:hAnsi="Times New Roman"/>
          <w:sz w:val="24"/>
          <w:szCs w:val="24"/>
        </w:rPr>
      </w:pPr>
      <w:r>
        <w:rPr>
          <w:rFonts w:ascii="Times New Roman" w:hAnsi="Times New Roman"/>
          <w:sz w:val="24"/>
          <w:szCs w:val="24"/>
        </w:rPr>
        <w:t>***</w:t>
      </w:r>
    </w:p>
    <w:p w14:paraId="0548D0F7" w14:textId="182D415F" w:rsidR="009E4718" w:rsidRPr="00D7210B" w:rsidRDefault="009E4718" w:rsidP="00532D2D">
      <w:pPr>
        <w:pStyle w:val="NoSpacing"/>
        <w:ind w:left="720"/>
        <w:rPr>
          <w:rFonts w:ascii="Times New Roman" w:hAnsi="Times New Roman"/>
          <w:sz w:val="24"/>
          <w:szCs w:val="24"/>
        </w:rPr>
      </w:pPr>
      <w:r w:rsidRPr="00D7210B">
        <w:rPr>
          <w:rFonts w:ascii="Times New Roman" w:hAnsi="Times New Roman"/>
          <w:sz w:val="24"/>
          <w:szCs w:val="24"/>
        </w:rPr>
        <w:t>In September of 2021, Appellant City of Walton held its annual ‘Old Fashion Day’ festival. Helmbrecht and her husband, decedent Chavez, were in attendance, and Chavez entered the donut eating contest. Chavez was required to sign a waiver to participate.”</w:t>
      </w:r>
    </w:p>
    <w:p w14:paraId="5585573D" w14:textId="77777777" w:rsidR="009E4718" w:rsidRPr="00D7210B" w:rsidRDefault="009E4718" w:rsidP="009E4718">
      <w:pPr>
        <w:pStyle w:val="NoSpacing"/>
        <w:ind w:left="720"/>
        <w:rPr>
          <w:rFonts w:ascii="Times New Roman" w:hAnsi="Times New Roman"/>
          <w:sz w:val="24"/>
          <w:szCs w:val="24"/>
        </w:rPr>
      </w:pPr>
    </w:p>
    <w:p w14:paraId="7770B23F" w14:textId="77777777" w:rsidR="009E4718" w:rsidRPr="00D7210B" w:rsidRDefault="009E4718" w:rsidP="009E4718">
      <w:pPr>
        <w:pStyle w:val="NoSpacing"/>
        <w:rPr>
          <w:rFonts w:ascii="Times New Roman" w:hAnsi="Times New Roman"/>
          <w:b/>
          <w:bCs/>
          <w:sz w:val="24"/>
          <w:szCs w:val="24"/>
        </w:rPr>
      </w:pPr>
      <w:r w:rsidRPr="00D7210B">
        <w:rPr>
          <w:rFonts w:ascii="Times New Roman" w:hAnsi="Times New Roman"/>
          <w:b/>
          <w:bCs/>
          <w:sz w:val="24"/>
          <w:szCs w:val="24"/>
        </w:rPr>
        <w:t xml:space="preserve">Legal Lesson Learned:  If City is holding a donut or other “eating contest” should include in waiver “willful or wanton” negligence and have EMS standing nearby. </w:t>
      </w:r>
    </w:p>
    <w:p w14:paraId="0B93B2D6" w14:textId="77777777" w:rsidR="009C5942" w:rsidRDefault="009C5942" w:rsidP="002B1283">
      <w:pPr>
        <w:rPr>
          <w:rFonts w:ascii="Arial Black" w:hAnsi="Arial Black"/>
          <w:b/>
          <w:bCs/>
          <w:sz w:val="28"/>
          <w:szCs w:val="28"/>
        </w:rPr>
      </w:pPr>
    </w:p>
    <w:p w14:paraId="3749642A" w14:textId="77777777" w:rsidR="009C5942" w:rsidRDefault="009C5942" w:rsidP="002B1283">
      <w:pPr>
        <w:rPr>
          <w:rFonts w:ascii="Arial Black" w:hAnsi="Arial Black"/>
          <w:b/>
          <w:bCs/>
          <w:sz w:val="28"/>
          <w:szCs w:val="28"/>
        </w:rPr>
      </w:pPr>
    </w:p>
    <w:p w14:paraId="38C313FC" w14:textId="33394644" w:rsidR="009665CE" w:rsidRDefault="001C18B0" w:rsidP="002B1283">
      <w:pPr>
        <w:rPr>
          <w:rFonts w:ascii="Arial Black" w:hAnsi="Arial Black"/>
          <w:b/>
          <w:bCs/>
          <w:sz w:val="28"/>
          <w:szCs w:val="28"/>
        </w:rPr>
      </w:pPr>
      <w:r>
        <w:rPr>
          <w:rFonts w:ascii="Arial Black" w:hAnsi="Arial Black"/>
          <w:b/>
          <w:bCs/>
          <w:sz w:val="28"/>
          <w:szCs w:val="28"/>
        </w:rPr>
        <w:t>13-194</w:t>
      </w:r>
    </w:p>
    <w:p w14:paraId="0F9ECAC2" w14:textId="77777777" w:rsidR="009C5942" w:rsidRPr="0068578A" w:rsidRDefault="009C5942" w:rsidP="009C5942">
      <w:pPr>
        <w:pStyle w:val="NoSpacing"/>
        <w:rPr>
          <w:rFonts w:ascii="Arial Black" w:hAnsi="Arial Black"/>
          <w:sz w:val="28"/>
        </w:rPr>
      </w:pPr>
      <w:r>
        <w:rPr>
          <w:rFonts w:ascii="Arial Black" w:hAnsi="Arial Black"/>
          <w:sz w:val="28"/>
        </w:rPr>
        <w:t>NJ: CARDIAC – QUICK RESPONSE VEHICLE NOT ALS - MEDIC STUDENT TRIED TO INTUBATE – IMMUNITY</w:t>
      </w:r>
    </w:p>
    <w:p w14:paraId="59D54121" w14:textId="77777777" w:rsidR="009C5942" w:rsidRDefault="009C5942" w:rsidP="009C5942">
      <w:pPr>
        <w:pStyle w:val="NoSpacing"/>
      </w:pPr>
    </w:p>
    <w:p w14:paraId="653061DB" w14:textId="77777777" w:rsidR="009C5942" w:rsidRPr="009C5942" w:rsidRDefault="009C5942" w:rsidP="009C5942">
      <w:pPr>
        <w:pStyle w:val="NoSpacing"/>
        <w:rPr>
          <w:rFonts w:ascii="Times New Roman" w:hAnsi="Times New Roman"/>
          <w:sz w:val="24"/>
          <w:szCs w:val="24"/>
        </w:rPr>
      </w:pPr>
      <w:r w:rsidRPr="009C5942">
        <w:rPr>
          <w:rFonts w:ascii="Times New Roman" w:hAnsi="Times New Roman"/>
          <w:sz w:val="24"/>
          <w:szCs w:val="24"/>
        </w:rPr>
        <w:t xml:space="preserve">On October 1, 2024, in </w:t>
      </w:r>
      <w:proofErr w:type="spellStart"/>
      <w:r w:rsidRPr="009C5942">
        <w:rPr>
          <w:rFonts w:ascii="Times New Roman" w:hAnsi="Times New Roman"/>
          <w:sz w:val="24"/>
          <w:szCs w:val="24"/>
          <w:u w:val="single"/>
        </w:rPr>
        <w:t>Onyelle</w:t>
      </w:r>
      <w:proofErr w:type="spellEnd"/>
      <w:r w:rsidRPr="009C5942">
        <w:rPr>
          <w:rFonts w:ascii="Times New Roman" w:hAnsi="Times New Roman"/>
          <w:sz w:val="24"/>
          <w:szCs w:val="24"/>
          <w:u w:val="single"/>
        </w:rPr>
        <w:t xml:space="preserve"> R. Jamison, administrator of the estate of Ruby Nell King v. Jersey City Medical Center, et al</w:t>
      </w:r>
      <w:r w:rsidRPr="009C5942">
        <w:rPr>
          <w:rFonts w:ascii="Times New Roman" w:hAnsi="Times New Roman"/>
          <w:sz w:val="24"/>
          <w:szCs w:val="24"/>
        </w:rPr>
        <w:t xml:space="preserve">., the Superior Court of New Jersey, Appellate Division, held (unpublished decision) that trial court properly granted summary judgement to the Medical Center and all the EMS.  The Court wrote: “The [trial] court rejected plaintiff's claim that failing to equip the QRV with ALS supplies was a deviation from the applicable standard of care because dispatching ‘a single BLS and a single ALS unit on the scene would have met the standard of care.’ Because ‘the BLS unit and ALS unit were dispatched along with [Isidro's] unit and dispatching [Isidro's] unit did not affect the arrival of the other units, [Isidro's] attendance was not required at the scene.’ *** Specifically, plaintiff contends, given King's unstable condition, it was not appropriate to permit Molineros to attempt the intubation, and DiMarco took too long to intubate King after the initial unsuccessful </w:t>
      </w:r>
      <w:r w:rsidRPr="009C5942">
        <w:rPr>
          <w:rFonts w:ascii="Times New Roman" w:hAnsi="Times New Roman"/>
          <w:sz w:val="24"/>
          <w:szCs w:val="24"/>
        </w:rPr>
        <w:lastRenderedPageBreak/>
        <w:t xml:space="preserve">attempt. We are not persuaded. Here, plaintiff's claim is based solely on Dr. Brown's opinion that it was ‘horrible’ judgment and ‘reckless and dangerous’ for DiMarco and Valles to permit Molineros to attempt the intubation. Dr. Brown, however, conceded at his deposition Molineros was, as a paramedic student, expressly permitted pursuant to N.J.A.C. 8:41-12.1(c)(7), to intubate patients in the field. In addition, Dr. Brown did not know how many times Molineros intubated patients before March 30, 2018. Dr. Brown testified he did not know why her intubation attempt failed and did not believe Molineros ‘deviated from what a student would do.’” </w:t>
      </w:r>
      <w:hyperlink r:id="rId2107" w:history="1">
        <w:r w:rsidRPr="009C5942">
          <w:rPr>
            <w:rStyle w:val="Hyperlink"/>
            <w:rFonts w:ascii="Times New Roman" w:hAnsi="Times New Roman"/>
            <w:sz w:val="24"/>
            <w:szCs w:val="24"/>
          </w:rPr>
          <w:t>https://www.njcourts.gov/system/files/court-opinions/2024/a1893-22.pdf</w:t>
        </w:r>
      </w:hyperlink>
      <w:r w:rsidRPr="009C5942">
        <w:rPr>
          <w:rFonts w:ascii="Times New Roman" w:hAnsi="Times New Roman"/>
          <w:sz w:val="24"/>
          <w:szCs w:val="24"/>
        </w:rPr>
        <w:t xml:space="preserve"> </w:t>
      </w:r>
    </w:p>
    <w:p w14:paraId="0C270AB8" w14:textId="77777777" w:rsidR="009C5942" w:rsidRPr="009C5942" w:rsidRDefault="009C5942" w:rsidP="009C5942">
      <w:pPr>
        <w:pStyle w:val="NoSpacing"/>
        <w:rPr>
          <w:rFonts w:ascii="Times New Roman" w:hAnsi="Times New Roman"/>
          <w:sz w:val="24"/>
          <w:szCs w:val="24"/>
        </w:rPr>
      </w:pPr>
    </w:p>
    <w:p w14:paraId="50D2E77F" w14:textId="77777777" w:rsidR="009C5942" w:rsidRPr="009C5942" w:rsidRDefault="009C5942" w:rsidP="009C5942">
      <w:pPr>
        <w:pStyle w:val="NoSpacing"/>
        <w:rPr>
          <w:rFonts w:ascii="Times New Roman" w:hAnsi="Times New Roman"/>
          <w:sz w:val="24"/>
          <w:szCs w:val="24"/>
        </w:rPr>
      </w:pPr>
      <w:r w:rsidRPr="009C5942">
        <w:rPr>
          <w:rFonts w:ascii="Times New Roman" w:hAnsi="Times New Roman"/>
          <w:sz w:val="24"/>
          <w:szCs w:val="24"/>
        </w:rPr>
        <w:t>THE COURT HELD:</w:t>
      </w:r>
    </w:p>
    <w:p w14:paraId="4607C4E2" w14:textId="77777777" w:rsidR="009C5942" w:rsidRPr="009C5942" w:rsidRDefault="009C5942" w:rsidP="009C5942">
      <w:pPr>
        <w:pStyle w:val="NoSpacing"/>
        <w:rPr>
          <w:rFonts w:ascii="Times New Roman" w:hAnsi="Times New Roman"/>
          <w:sz w:val="24"/>
          <w:szCs w:val="24"/>
        </w:rPr>
      </w:pPr>
    </w:p>
    <w:p w14:paraId="3318F276" w14:textId="77777777" w:rsidR="009C5942" w:rsidRPr="009C5942" w:rsidRDefault="009C5942" w:rsidP="009C5942">
      <w:pPr>
        <w:pStyle w:val="NoSpacing"/>
        <w:ind w:left="720"/>
        <w:rPr>
          <w:rFonts w:ascii="Times New Roman" w:hAnsi="Times New Roman"/>
          <w:sz w:val="24"/>
          <w:szCs w:val="24"/>
        </w:rPr>
      </w:pPr>
      <w:r w:rsidRPr="009C5942">
        <w:rPr>
          <w:rFonts w:ascii="Times New Roman" w:hAnsi="Times New Roman"/>
          <w:sz w:val="24"/>
          <w:szCs w:val="24"/>
        </w:rPr>
        <w:t xml:space="preserve">“At best, plaintiff sets forth a viable claim of negligence. Plaintiff does not offer any evidence to support </w:t>
      </w:r>
      <w:proofErr w:type="gramStart"/>
      <w:r w:rsidRPr="009C5942">
        <w:rPr>
          <w:rFonts w:ascii="Times New Roman" w:hAnsi="Times New Roman"/>
          <w:sz w:val="24"/>
          <w:szCs w:val="24"/>
        </w:rPr>
        <w:t>a finding</w:t>
      </w:r>
      <w:proofErr w:type="gramEnd"/>
      <w:r w:rsidRPr="009C5942">
        <w:rPr>
          <w:rFonts w:ascii="Times New Roman" w:hAnsi="Times New Roman"/>
          <w:sz w:val="24"/>
          <w:szCs w:val="24"/>
        </w:rPr>
        <w:t xml:space="preserve"> that DiMarco and Valles did not act in good faith. We are satisfied, based on the facts and circumstances of this case, the court correctly determined DiMarco and Valles demonstrated their actions "were objectively reasonable or that they performed them with subjective good faith." </w:t>
      </w:r>
      <w:proofErr w:type="spellStart"/>
      <w:r w:rsidRPr="009C5942">
        <w:rPr>
          <w:rFonts w:ascii="Times New Roman" w:hAnsi="Times New Roman"/>
          <w:sz w:val="24"/>
          <w:szCs w:val="24"/>
        </w:rPr>
        <w:t>Canico</w:t>
      </w:r>
      <w:proofErr w:type="spellEnd"/>
      <w:r w:rsidRPr="009C5942">
        <w:rPr>
          <w:rFonts w:ascii="Times New Roman" w:hAnsi="Times New Roman"/>
          <w:sz w:val="24"/>
          <w:szCs w:val="24"/>
        </w:rPr>
        <w:t>, 144 N.J. at 365. Summary judgment, therefore, was properly granted on the issue of good faith.</w:t>
      </w:r>
    </w:p>
    <w:p w14:paraId="5F1A62F8" w14:textId="77777777" w:rsidR="009C5942" w:rsidRPr="009C5942" w:rsidRDefault="009C5942" w:rsidP="009C5942">
      <w:pPr>
        <w:pStyle w:val="NoSpacing"/>
        <w:ind w:left="720"/>
        <w:rPr>
          <w:rFonts w:ascii="Times New Roman" w:hAnsi="Times New Roman"/>
          <w:sz w:val="24"/>
          <w:szCs w:val="24"/>
        </w:rPr>
      </w:pPr>
    </w:p>
    <w:p w14:paraId="1253B696" w14:textId="77777777" w:rsidR="009C5942" w:rsidRPr="009C5942" w:rsidRDefault="009C5942" w:rsidP="009C5942">
      <w:pPr>
        <w:pStyle w:val="NoSpacing"/>
        <w:ind w:left="720"/>
        <w:rPr>
          <w:rFonts w:ascii="Times New Roman" w:hAnsi="Times New Roman"/>
          <w:sz w:val="24"/>
          <w:szCs w:val="24"/>
        </w:rPr>
      </w:pPr>
      <w:r w:rsidRPr="009C5942">
        <w:rPr>
          <w:rFonts w:ascii="Times New Roman" w:hAnsi="Times New Roman"/>
          <w:sz w:val="24"/>
          <w:szCs w:val="24"/>
        </w:rPr>
        <w:t>***</w:t>
      </w:r>
    </w:p>
    <w:p w14:paraId="309060F3" w14:textId="77777777" w:rsidR="009C5942" w:rsidRPr="009C5942" w:rsidRDefault="009C5942" w:rsidP="009C5942">
      <w:pPr>
        <w:pStyle w:val="NoSpacing"/>
        <w:rPr>
          <w:rFonts w:ascii="Times New Roman" w:hAnsi="Times New Roman"/>
          <w:sz w:val="24"/>
          <w:szCs w:val="24"/>
        </w:rPr>
      </w:pPr>
    </w:p>
    <w:p w14:paraId="2DE4168E" w14:textId="77777777" w:rsidR="009C5942" w:rsidRPr="009C5942" w:rsidRDefault="009C5942" w:rsidP="009C5942">
      <w:pPr>
        <w:pStyle w:val="NoSpacing"/>
        <w:ind w:left="720"/>
        <w:rPr>
          <w:rFonts w:ascii="Times New Roman" w:hAnsi="Times New Roman"/>
          <w:sz w:val="24"/>
          <w:szCs w:val="24"/>
        </w:rPr>
      </w:pPr>
      <w:r w:rsidRPr="009C5942">
        <w:rPr>
          <w:rFonts w:ascii="Times New Roman" w:hAnsi="Times New Roman"/>
          <w:sz w:val="24"/>
          <w:szCs w:val="24"/>
        </w:rPr>
        <w:t>We are satisfied the court correctly determined defendants are entitled to immunity pursuant to N.J.S.A. 26:2K-14, which provides, in relevant part:</w:t>
      </w:r>
    </w:p>
    <w:p w14:paraId="22421BFB" w14:textId="77777777" w:rsidR="009C5942" w:rsidRPr="009C5942" w:rsidRDefault="009C5942" w:rsidP="009C5942">
      <w:pPr>
        <w:pStyle w:val="NoSpacing"/>
        <w:ind w:left="1440"/>
        <w:rPr>
          <w:rFonts w:ascii="Times New Roman" w:hAnsi="Times New Roman"/>
          <w:sz w:val="24"/>
          <w:szCs w:val="24"/>
        </w:rPr>
      </w:pPr>
      <w:r w:rsidRPr="009C5942">
        <w:rPr>
          <w:rFonts w:ascii="Times New Roman" w:hAnsi="Times New Roman"/>
          <w:sz w:val="24"/>
          <w:szCs w:val="24"/>
        </w:rPr>
        <w:t>No mobile intensive care paramedic, . . . hospital . . . first aid, ambulance or rescue squad, … shall be liable for any civil damages as the result of an act or the omission of an act committed while in training for or in the rendering of . . . advanced life support services in good faith and in accordance with this act.”</w:t>
      </w:r>
    </w:p>
    <w:p w14:paraId="5D383038" w14:textId="77777777" w:rsidR="009C5942" w:rsidRPr="009C5942" w:rsidRDefault="009C5942" w:rsidP="009C5942">
      <w:pPr>
        <w:pStyle w:val="NoSpacing"/>
        <w:rPr>
          <w:rFonts w:ascii="Times New Roman" w:hAnsi="Times New Roman"/>
          <w:sz w:val="24"/>
          <w:szCs w:val="24"/>
        </w:rPr>
      </w:pPr>
    </w:p>
    <w:p w14:paraId="506AD569" w14:textId="77777777" w:rsidR="009C5942" w:rsidRPr="009C5942" w:rsidRDefault="009C5942" w:rsidP="009C5942">
      <w:pPr>
        <w:pStyle w:val="NoSpacing"/>
        <w:rPr>
          <w:rFonts w:ascii="Times New Roman" w:hAnsi="Times New Roman"/>
          <w:sz w:val="24"/>
          <w:szCs w:val="24"/>
        </w:rPr>
      </w:pPr>
    </w:p>
    <w:p w14:paraId="2D8A07EB" w14:textId="77777777" w:rsidR="009C5942" w:rsidRPr="009C5942" w:rsidRDefault="009C5942" w:rsidP="009C5942">
      <w:pPr>
        <w:rPr>
          <w:rFonts w:ascii="Times New Roman" w:hAnsi="Times New Roman"/>
          <w:b/>
          <w:bCs/>
          <w:sz w:val="24"/>
          <w:szCs w:val="24"/>
        </w:rPr>
      </w:pPr>
      <w:r w:rsidRPr="009C5942">
        <w:rPr>
          <w:rFonts w:ascii="Times New Roman" w:hAnsi="Times New Roman"/>
          <w:b/>
          <w:bCs/>
          <w:sz w:val="24"/>
          <w:szCs w:val="24"/>
        </w:rPr>
        <w:t xml:space="preserve">Legal Lesson Learned:  Statutory immunity protects both Paramedics and EMS students trained in intubation from liability.  </w:t>
      </w:r>
    </w:p>
    <w:p w14:paraId="317A2DB8" w14:textId="77777777" w:rsidR="001C18B0" w:rsidRDefault="001C18B0" w:rsidP="002B1283">
      <w:pPr>
        <w:rPr>
          <w:rFonts w:ascii="Arial Black" w:hAnsi="Arial Black"/>
          <w:b/>
          <w:bCs/>
          <w:sz w:val="28"/>
          <w:szCs w:val="28"/>
        </w:rPr>
      </w:pPr>
    </w:p>
    <w:p w14:paraId="18AE349E" w14:textId="77777777" w:rsidR="001C18B0" w:rsidRDefault="001C18B0" w:rsidP="002B1283">
      <w:pPr>
        <w:rPr>
          <w:rFonts w:ascii="Arial Black" w:hAnsi="Arial Black"/>
          <w:b/>
          <w:bCs/>
          <w:sz w:val="28"/>
          <w:szCs w:val="28"/>
        </w:rPr>
      </w:pPr>
    </w:p>
    <w:p w14:paraId="447D5A69" w14:textId="17DA2199" w:rsidR="009665CE" w:rsidRDefault="009665CE" w:rsidP="002B1283">
      <w:pPr>
        <w:rPr>
          <w:rFonts w:ascii="Arial Black" w:hAnsi="Arial Black"/>
          <w:b/>
          <w:bCs/>
          <w:sz w:val="28"/>
          <w:szCs w:val="28"/>
        </w:rPr>
      </w:pPr>
      <w:r>
        <w:rPr>
          <w:rFonts w:ascii="Arial Black" w:hAnsi="Arial Black"/>
          <w:b/>
          <w:bCs/>
          <w:sz w:val="28"/>
          <w:szCs w:val="28"/>
        </w:rPr>
        <w:t>13-193</w:t>
      </w:r>
    </w:p>
    <w:p w14:paraId="32C725D5" w14:textId="764D79CD" w:rsidR="009665CE" w:rsidRPr="00546EED" w:rsidRDefault="009665CE" w:rsidP="009665CE">
      <w:pPr>
        <w:pStyle w:val="NoSpacing"/>
        <w:rPr>
          <w:rFonts w:ascii="Arial Black" w:hAnsi="Arial Black"/>
          <w:sz w:val="28"/>
        </w:rPr>
      </w:pPr>
      <w:r>
        <w:rPr>
          <w:rFonts w:ascii="Arial Black" w:hAnsi="Arial Black"/>
          <w:sz w:val="28"/>
        </w:rPr>
        <w:t>NM:  FLIGHT PARAMEDIC TERMINATED – “ABANDONED” OB PATIENT - FETAL MONITOR REMOVED, PILOT RETURN</w:t>
      </w:r>
      <w:r w:rsidR="00D4774D">
        <w:rPr>
          <w:rFonts w:ascii="Arial Black" w:hAnsi="Arial Black"/>
          <w:sz w:val="28"/>
        </w:rPr>
        <w:t>ED TO</w:t>
      </w:r>
      <w:r>
        <w:rPr>
          <w:rFonts w:ascii="Arial Black" w:hAnsi="Arial Black"/>
          <w:sz w:val="28"/>
        </w:rPr>
        <w:t xml:space="preserve"> BASE</w:t>
      </w:r>
    </w:p>
    <w:p w14:paraId="1D031AF2" w14:textId="77777777" w:rsidR="009665CE" w:rsidRDefault="009665CE" w:rsidP="009665CE">
      <w:pPr>
        <w:pStyle w:val="NoSpacing"/>
      </w:pPr>
    </w:p>
    <w:p w14:paraId="1B2D8318" w14:textId="77777777" w:rsidR="009665CE" w:rsidRPr="009665CE" w:rsidRDefault="009665CE" w:rsidP="009665CE">
      <w:pPr>
        <w:pStyle w:val="NoSpacing"/>
        <w:rPr>
          <w:rFonts w:ascii="Times New Roman" w:hAnsi="Times New Roman"/>
          <w:sz w:val="24"/>
          <w:szCs w:val="24"/>
        </w:rPr>
      </w:pPr>
      <w:r w:rsidRPr="009665CE">
        <w:rPr>
          <w:rFonts w:ascii="Times New Roman" w:hAnsi="Times New Roman"/>
          <w:sz w:val="24"/>
          <w:szCs w:val="24"/>
        </w:rPr>
        <w:t xml:space="preserve">On September 3, 2024, in </w:t>
      </w:r>
      <w:r w:rsidRPr="009665CE">
        <w:rPr>
          <w:rFonts w:ascii="Times New Roman" w:hAnsi="Times New Roman"/>
          <w:sz w:val="24"/>
          <w:szCs w:val="24"/>
          <w:u w:val="single"/>
        </w:rPr>
        <w:t>Daniel Kuhler v. PHI Health, LLC d/b/a Phi Air Medical</w:t>
      </w:r>
      <w:r w:rsidRPr="009665CE">
        <w:rPr>
          <w:rFonts w:ascii="Times New Roman" w:hAnsi="Times New Roman"/>
          <w:sz w:val="24"/>
          <w:szCs w:val="24"/>
        </w:rPr>
        <w:t xml:space="preserve">, United States District Court Chief Judge William P. Johnson, U.S. District Court, District of New Mexico, granted summary judgment to the employer, Phi Air Medical; there was no proof of employer making termination decision as a failure to accommodate his request for leave for ear surgery. Regarding the medical flight on Oct. 10, 2019, the Court wrote: “Disconnecting the equipment from the patient, leaving her with the ground ambulance crew, and flying back to base is why he was terminated. *** Here, the undisputed facts show that: (1) Kuhler was dispatched on October 10, 2019, for a high-risk OB patient; (2) the flight crew ‘interacted with, assessed and placed a PHI-owned fetal monitor on the patient’; (3) Kuhler did not call PHI personnel or any physician; (4) Kuhler then left the scene…. This constitutes abandonment-or is at least close enough that the Court will not play the role of a Monday morning quarterback and second-guess this decision.” </w:t>
      </w:r>
      <w:hyperlink r:id="rId2108" w:history="1">
        <w:r w:rsidRPr="009665CE">
          <w:rPr>
            <w:rStyle w:val="Hyperlink"/>
            <w:rFonts w:ascii="Times New Roman" w:hAnsi="Times New Roman"/>
            <w:sz w:val="24"/>
            <w:szCs w:val="24"/>
          </w:rPr>
          <w:t>https://casetext.com/case/kuhler-v-phi-health-llc</w:t>
        </w:r>
      </w:hyperlink>
      <w:r w:rsidRPr="009665CE">
        <w:rPr>
          <w:rFonts w:ascii="Times New Roman" w:hAnsi="Times New Roman"/>
          <w:sz w:val="24"/>
          <w:szCs w:val="24"/>
        </w:rPr>
        <w:t xml:space="preserve"> </w:t>
      </w:r>
    </w:p>
    <w:p w14:paraId="3C0AE6A4" w14:textId="77777777" w:rsidR="009665CE" w:rsidRPr="009665CE" w:rsidRDefault="009665CE" w:rsidP="009665CE">
      <w:pPr>
        <w:pStyle w:val="NoSpacing"/>
        <w:rPr>
          <w:rFonts w:ascii="Times New Roman" w:hAnsi="Times New Roman"/>
          <w:sz w:val="24"/>
          <w:szCs w:val="24"/>
        </w:rPr>
      </w:pPr>
    </w:p>
    <w:p w14:paraId="093F00E4" w14:textId="77777777" w:rsidR="009665CE" w:rsidRPr="009665CE" w:rsidRDefault="009665CE" w:rsidP="009665CE">
      <w:pPr>
        <w:pStyle w:val="NoSpacing"/>
        <w:rPr>
          <w:rFonts w:ascii="Times New Roman" w:hAnsi="Times New Roman"/>
          <w:sz w:val="24"/>
          <w:szCs w:val="24"/>
        </w:rPr>
      </w:pPr>
      <w:r w:rsidRPr="009665CE">
        <w:rPr>
          <w:rFonts w:ascii="Times New Roman" w:hAnsi="Times New Roman"/>
          <w:sz w:val="24"/>
          <w:szCs w:val="24"/>
        </w:rPr>
        <w:t>THE COURT HELD:</w:t>
      </w:r>
    </w:p>
    <w:p w14:paraId="5111E01A" w14:textId="77777777" w:rsidR="009665CE" w:rsidRPr="009665CE" w:rsidRDefault="009665CE" w:rsidP="009665CE">
      <w:pPr>
        <w:pStyle w:val="NoSpacing"/>
        <w:rPr>
          <w:rFonts w:ascii="Times New Roman" w:hAnsi="Times New Roman"/>
          <w:sz w:val="24"/>
          <w:szCs w:val="24"/>
        </w:rPr>
      </w:pPr>
    </w:p>
    <w:p w14:paraId="35CF24E8" w14:textId="77777777" w:rsidR="009665CE" w:rsidRPr="009665CE" w:rsidRDefault="009665CE" w:rsidP="009665CE">
      <w:pPr>
        <w:pStyle w:val="NoSpacing"/>
        <w:ind w:left="720"/>
        <w:rPr>
          <w:rFonts w:ascii="Times New Roman" w:hAnsi="Times New Roman"/>
          <w:sz w:val="24"/>
          <w:szCs w:val="24"/>
        </w:rPr>
      </w:pPr>
      <w:r w:rsidRPr="009665CE">
        <w:rPr>
          <w:rFonts w:ascii="Times New Roman" w:hAnsi="Times New Roman"/>
          <w:sz w:val="24"/>
          <w:szCs w:val="24"/>
        </w:rPr>
        <w:t xml:space="preserve">“After the internal investigation was completed, the Yslas Report found that Kuhler (and the flight nurse) had abandoned a patient and were dishonest in their statements…. Based on these findings, the Yslas Report recommended termination of both employees. </w:t>
      </w:r>
      <w:r w:rsidRPr="009665CE">
        <w:rPr>
          <w:rFonts w:ascii="Times New Roman" w:hAnsi="Times New Roman"/>
          <w:i/>
          <w:iCs/>
          <w:sz w:val="24"/>
          <w:szCs w:val="24"/>
        </w:rPr>
        <w:t>Id.</w:t>
      </w:r>
      <w:r w:rsidRPr="009665CE">
        <w:rPr>
          <w:rFonts w:ascii="Times New Roman" w:hAnsi="Times New Roman"/>
          <w:sz w:val="24"/>
          <w:szCs w:val="24"/>
        </w:rPr>
        <w:t xml:space="preserve"> Yslas presented the report to PHI's Chief Human Resources Officer (“CHRO”)…. After reviewing the Yslas Report, and accompanying PHI policies, the CHRO accepted the recommendation-and approved the termination of Kuhler and the flight nurse…. </w:t>
      </w:r>
    </w:p>
    <w:p w14:paraId="66C79B7D" w14:textId="77777777" w:rsidR="009665CE" w:rsidRPr="009665CE" w:rsidRDefault="009665CE" w:rsidP="009665CE">
      <w:pPr>
        <w:pStyle w:val="NoSpacing"/>
        <w:ind w:left="720"/>
        <w:rPr>
          <w:rFonts w:ascii="Times New Roman" w:hAnsi="Times New Roman"/>
          <w:b/>
          <w:bCs/>
          <w:sz w:val="24"/>
          <w:szCs w:val="24"/>
        </w:rPr>
      </w:pPr>
    </w:p>
    <w:p w14:paraId="12A507FE" w14:textId="77777777" w:rsidR="009665CE" w:rsidRPr="009665CE" w:rsidRDefault="009665CE" w:rsidP="009665CE">
      <w:pPr>
        <w:pStyle w:val="NoSpacing"/>
        <w:ind w:firstLine="720"/>
        <w:rPr>
          <w:rFonts w:ascii="Times New Roman" w:hAnsi="Times New Roman"/>
          <w:sz w:val="24"/>
          <w:szCs w:val="24"/>
        </w:rPr>
      </w:pPr>
      <w:r w:rsidRPr="009665CE">
        <w:rPr>
          <w:rFonts w:ascii="Times New Roman" w:hAnsi="Times New Roman"/>
          <w:sz w:val="24"/>
          <w:szCs w:val="24"/>
        </w:rPr>
        <w:t xml:space="preserve">Neither Yslas nor the CHRO knew of Kuhler's request for an accommodation…. </w:t>
      </w:r>
    </w:p>
    <w:p w14:paraId="60305F3B" w14:textId="77777777" w:rsidR="009665CE" w:rsidRPr="009665CE" w:rsidRDefault="009665CE" w:rsidP="009665CE">
      <w:pPr>
        <w:pStyle w:val="NoSpacing"/>
        <w:ind w:firstLine="720"/>
        <w:rPr>
          <w:rFonts w:ascii="Times New Roman" w:hAnsi="Times New Roman"/>
          <w:sz w:val="24"/>
          <w:szCs w:val="24"/>
        </w:rPr>
      </w:pPr>
    </w:p>
    <w:p w14:paraId="3AC250F9" w14:textId="77777777" w:rsidR="009665CE" w:rsidRPr="009665CE" w:rsidRDefault="009665CE" w:rsidP="009665CE">
      <w:pPr>
        <w:pStyle w:val="NoSpacing"/>
        <w:ind w:firstLine="720"/>
        <w:rPr>
          <w:rFonts w:ascii="Times New Roman" w:hAnsi="Times New Roman"/>
          <w:sz w:val="24"/>
          <w:szCs w:val="24"/>
        </w:rPr>
      </w:pPr>
      <w:r w:rsidRPr="009665CE">
        <w:rPr>
          <w:rFonts w:ascii="Times New Roman" w:hAnsi="Times New Roman"/>
          <w:sz w:val="24"/>
          <w:szCs w:val="24"/>
        </w:rPr>
        <w:t>***</w:t>
      </w:r>
    </w:p>
    <w:p w14:paraId="4BA92192" w14:textId="77777777" w:rsidR="009665CE" w:rsidRPr="009665CE" w:rsidRDefault="009665CE" w:rsidP="009665CE">
      <w:pPr>
        <w:pStyle w:val="NoSpacing"/>
        <w:rPr>
          <w:rFonts w:ascii="Times New Roman" w:hAnsi="Times New Roman"/>
          <w:sz w:val="24"/>
          <w:szCs w:val="24"/>
        </w:rPr>
      </w:pPr>
    </w:p>
    <w:p w14:paraId="3279B1F6" w14:textId="77777777" w:rsidR="009665CE" w:rsidRPr="009665CE" w:rsidRDefault="009665CE" w:rsidP="009665CE">
      <w:pPr>
        <w:pStyle w:val="NoSpacing"/>
        <w:ind w:left="720"/>
        <w:rPr>
          <w:rFonts w:ascii="Times New Roman" w:hAnsi="Times New Roman"/>
          <w:sz w:val="24"/>
          <w:szCs w:val="24"/>
        </w:rPr>
      </w:pPr>
      <w:r w:rsidRPr="009665CE">
        <w:rPr>
          <w:rFonts w:ascii="Times New Roman" w:hAnsi="Times New Roman"/>
          <w:sz w:val="24"/>
          <w:szCs w:val="24"/>
        </w:rPr>
        <w:t xml:space="preserve">In January 2019, Kuhler requested (and PHI granted) leave under the Family and Medical Leave </w:t>
      </w:r>
      <w:proofErr w:type="gramStart"/>
      <w:r w:rsidRPr="009665CE">
        <w:rPr>
          <w:rFonts w:ascii="Times New Roman" w:hAnsi="Times New Roman"/>
          <w:sz w:val="24"/>
          <w:szCs w:val="24"/>
        </w:rPr>
        <w:t>Act (‘</w:t>
      </w:r>
      <w:proofErr w:type="gramEnd"/>
      <w:r w:rsidRPr="009665CE">
        <w:rPr>
          <w:rFonts w:ascii="Times New Roman" w:hAnsi="Times New Roman"/>
          <w:sz w:val="24"/>
          <w:szCs w:val="24"/>
        </w:rPr>
        <w:t xml:space="preserve">FMLA’) for an eye </w:t>
      </w:r>
      <w:proofErr w:type="gramStart"/>
      <w:r w:rsidRPr="009665CE">
        <w:rPr>
          <w:rFonts w:ascii="Times New Roman" w:hAnsi="Times New Roman"/>
          <w:sz w:val="24"/>
          <w:szCs w:val="24"/>
        </w:rPr>
        <w:t>condition,,,,</w:t>
      </w:r>
      <w:proofErr w:type="gramEnd"/>
      <w:r w:rsidRPr="009665CE">
        <w:rPr>
          <w:rFonts w:ascii="Times New Roman" w:hAnsi="Times New Roman"/>
          <w:sz w:val="24"/>
          <w:szCs w:val="24"/>
        </w:rPr>
        <w:t xml:space="preserve">  Specifically, Kuhler received treatment for optic neuritis. </w:t>
      </w:r>
      <w:r w:rsidRPr="009665CE">
        <w:rPr>
          <w:rFonts w:ascii="Times New Roman" w:hAnsi="Times New Roman"/>
          <w:i/>
          <w:iCs/>
          <w:sz w:val="24"/>
          <w:szCs w:val="24"/>
        </w:rPr>
        <w:t>Ibid.</w:t>
      </w:r>
      <w:r w:rsidRPr="009665CE">
        <w:rPr>
          <w:rFonts w:ascii="Times New Roman" w:hAnsi="Times New Roman"/>
          <w:sz w:val="24"/>
          <w:szCs w:val="24"/>
        </w:rPr>
        <w:t xml:space="preserve"> By the end of the month, Kuhler returned to work at ‘full-duty status….’ A few months later, in early October 2019, Kuhler informed his supervisor that he would need time off for an ear surgery….  The supervisor told Kuhler to contact PHI's occupational health nurse to discuss the leave associated with the surgery. </w:t>
      </w:r>
      <w:r w:rsidRPr="009665CE">
        <w:rPr>
          <w:rFonts w:ascii="Times New Roman" w:hAnsi="Times New Roman"/>
          <w:i/>
          <w:iCs/>
          <w:sz w:val="24"/>
          <w:szCs w:val="24"/>
        </w:rPr>
        <w:t>Ibid.</w:t>
      </w:r>
      <w:r w:rsidRPr="009665CE">
        <w:rPr>
          <w:rFonts w:ascii="Times New Roman" w:hAnsi="Times New Roman"/>
          <w:sz w:val="24"/>
          <w:szCs w:val="24"/>
        </w:rPr>
        <w:t xml:space="preserve"> Specifically, PHI needed more information to determine ‘the type’ of leave…. But, for one reason or another, Kuhler did not “contact” the occupational health nurse once the surgery was scheduled. Nor did he ‘submit any paperwork’ requesting time off for the surgery…  And this ear surgery is the only ‘accommodation’ at issue in this lawsuit.”</w:t>
      </w:r>
    </w:p>
    <w:p w14:paraId="01ACEEA2" w14:textId="77777777" w:rsidR="009665CE" w:rsidRPr="009665CE" w:rsidRDefault="009665CE" w:rsidP="009665CE">
      <w:pPr>
        <w:pStyle w:val="NoSpacing"/>
        <w:ind w:left="720"/>
        <w:rPr>
          <w:rFonts w:ascii="Times New Roman" w:hAnsi="Times New Roman"/>
          <w:sz w:val="24"/>
          <w:szCs w:val="24"/>
        </w:rPr>
      </w:pPr>
    </w:p>
    <w:p w14:paraId="5D17443A" w14:textId="77777777" w:rsidR="009665CE" w:rsidRPr="009665CE" w:rsidRDefault="009665CE" w:rsidP="009665CE">
      <w:pPr>
        <w:pStyle w:val="NoSpacing"/>
        <w:ind w:left="720"/>
        <w:rPr>
          <w:rFonts w:ascii="Times New Roman" w:hAnsi="Times New Roman"/>
          <w:sz w:val="24"/>
          <w:szCs w:val="24"/>
        </w:rPr>
      </w:pPr>
    </w:p>
    <w:p w14:paraId="60A14055" w14:textId="77777777" w:rsidR="009665CE" w:rsidRPr="009665CE" w:rsidRDefault="009665CE" w:rsidP="009665CE">
      <w:pPr>
        <w:pStyle w:val="NoSpacing"/>
        <w:rPr>
          <w:rFonts w:ascii="Times New Roman" w:hAnsi="Times New Roman"/>
          <w:b/>
          <w:bCs/>
          <w:sz w:val="24"/>
          <w:szCs w:val="24"/>
        </w:rPr>
      </w:pPr>
      <w:r w:rsidRPr="009665CE">
        <w:rPr>
          <w:rFonts w:ascii="Times New Roman" w:hAnsi="Times New Roman"/>
          <w:b/>
          <w:bCs/>
          <w:sz w:val="24"/>
          <w:szCs w:val="24"/>
        </w:rPr>
        <w:t xml:space="preserve">Legal Lesson Learned:  Follow your protocol on passing care of patient to others. </w:t>
      </w:r>
    </w:p>
    <w:p w14:paraId="265C020B" w14:textId="77777777" w:rsidR="009665CE" w:rsidRPr="009665CE" w:rsidRDefault="009665CE" w:rsidP="002B1283">
      <w:pPr>
        <w:rPr>
          <w:rFonts w:ascii="Times New Roman" w:hAnsi="Times New Roman"/>
          <w:b/>
          <w:bCs/>
          <w:sz w:val="24"/>
          <w:szCs w:val="24"/>
        </w:rPr>
      </w:pPr>
    </w:p>
    <w:p w14:paraId="290F318D" w14:textId="77777777" w:rsidR="009665CE" w:rsidRDefault="009665CE" w:rsidP="002B1283">
      <w:pPr>
        <w:rPr>
          <w:rFonts w:ascii="Arial Black" w:hAnsi="Arial Black"/>
          <w:b/>
          <w:bCs/>
          <w:sz w:val="28"/>
          <w:szCs w:val="28"/>
        </w:rPr>
      </w:pPr>
    </w:p>
    <w:p w14:paraId="529DB9AE" w14:textId="18023DF2" w:rsidR="00EC1348" w:rsidRDefault="00EC1348" w:rsidP="002B1283">
      <w:pPr>
        <w:rPr>
          <w:rFonts w:ascii="Arial Black" w:hAnsi="Arial Black"/>
          <w:b/>
          <w:bCs/>
          <w:sz w:val="28"/>
          <w:szCs w:val="28"/>
        </w:rPr>
      </w:pPr>
      <w:r>
        <w:rPr>
          <w:rFonts w:ascii="Arial Black" w:hAnsi="Arial Black"/>
          <w:b/>
          <w:bCs/>
          <w:sz w:val="28"/>
          <w:szCs w:val="28"/>
        </w:rPr>
        <w:t>13-192</w:t>
      </w:r>
    </w:p>
    <w:p w14:paraId="383F07A6" w14:textId="2FE5D792" w:rsidR="00915BCF" w:rsidRPr="002346D4" w:rsidRDefault="00915BCF" w:rsidP="00915BCF">
      <w:pPr>
        <w:pStyle w:val="NoSpacing"/>
        <w:rPr>
          <w:rFonts w:ascii="Aptos Black" w:hAnsi="Aptos Black"/>
          <w:sz w:val="28"/>
        </w:rPr>
      </w:pPr>
      <w:r>
        <w:rPr>
          <w:rFonts w:ascii="Arial Black" w:hAnsi="Arial Black"/>
          <w:sz w:val="28"/>
        </w:rPr>
        <w:t xml:space="preserve">OH: FAMILY CLAIMS PT FELL OFF COT – EMTs DENY – NO LIABLITY – NOT WILLFUL </w:t>
      </w:r>
      <w:r w:rsidR="003A037C">
        <w:rPr>
          <w:rFonts w:ascii="Arial Black" w:hAnsi="Arial Black"/>
          <w:sz w:val="28"/>
        </w:rPr>
        <w:t xml:space="preserve">OR </w:t>
      </w:r>
      <w:r>
        <w:rPr>
          <w:rFonts w:ascii="Arial Black" w:hAnsi="Arial Black"/>
          <w:sz w:val="28"/>
        </w:rPr>
        <w:t xml:space="preserve">WANTON MISCONDUCT </w:t>
      </w:r>
    </w:p>
    <w:p w14:paraId="0DE9691D" w14:textId="77777777" w:rsidR="006878FB" w:rsidRPr="006878FB" w:rsidRDefault="006878FB" w:rsidP="006878FB">
      <w:pPr>
        <w:pStyle w:val="NoSpacing"/>
        <w:rPr>
          <w:rFonts w:ascii="Times New Roman" w:hAnsi="Times New Roman"/>
          <w:sz w:val="24"/>
          <w:szCs w:val="24"/>
        </w:rPr>
      </w:pPr>
    </w:p>
    <w:p w14:paraId="4E723774" w14:textId="77777777" w:rsidR="006878FB" w:rsidRPr="006878FB" w:rsidRDefault="006878FB" w:rsidP="006878FB">
      <w:pPr>
        <w:pStyle w:val="NoSpacing"/>
        <w:rPr>
          <w:rFonts w:ascii="Times New Roman" w:hAnsi="Times New Roman"/>
          <w:sz w:val="24"/>
          <w:szCs w:val="24"/>
        </w:rPr>
      </w:pPr>
      <w:r w:rsidRPr="006878FB">
        <w:rPr>
          <w:rFonts w:ascii="Times New Roman" w:hAnsi="Times New Roman"/>
          <w:sz w:val="24"/>
          <w:szCs w:val="24"/>
        </w:rPr>
        <w:t xml:space="preserve">On Aug. 30, 2024, in </w:t>
      </w:r>
      <w:proofErr w:type="spellStart"/>
      <w:r w:rsidRPr="006878FB">
        <w:rPr>
          <w:rFonts w:ascii="Times New Roman" w:hAnsi="Times New Roman"/>
          <w:sz w:val="24"/>
          <w:szCs w:val="24"/>
          <w:u w:val="single"/>
        </w:rPr>
        <w:t>Carthagenia</w:t>
      </w:r>
      <w:proofErr w:type="spellEnd"/>
      <w:r w:rsidRPr="006878FB">
        <w:rPr>
          <w:rFonts w:ascii="Times New Roman" w:hAnsi="Times New Roman"/>
          <w:sz w:val="24"/>
          <w:szCs w:val="24"/>
          <w:u w:val="single"/>
        </w:rPr>
        <w:t xml:space="preserve"> Wyatt, as Administrator of the Estate of Deltina Graves v. City of Springfield, Ohio, et al.</w:t>
      </w:r>
      <w:r w:rsidRPr="006878FB">
        <w:rPr>
          <w:rFonts w:ascii="Times New Roman" w:hAnsi="Times New Roman"/>
          <w:sz w:val="24"/>
          <w:szCs w:val="24"/>
        </w:rPr>
        <w:t xml:space="preserve">, the Ohio Court of Appeals of Second District (Clark County) held (3 to 0) that trial court granted summary judgment to two EMTs and the City. Autopsy showed patient died of “acute atraumatic intracranial hemorrhage,” meaning that the hemorrhage was not caused by any head trauma.  The cot was equipped with two straps – one across the patient’s waist and one across legs [not third over shoulders].  A neighbor believed she saw the patient </w:t>
      </w:r>
      <w:proofErr w:type="gramStart"/>
      <w:r w:rsidRPr="006878FB">
        <w:rPr>
          <w:rFonts w:ascii="Times New Roman" w:hAnsi="Times New Roman"/>
          <w:sz w:val="24"/>
          <w:szCs w:val="24"/>
        </w:rPr>
        <w:t>dropped</w:t>
      </w:r>
      <w:proofErr w:type="gramEnd"/>
      <w:r w:rsidRPr="006878FB">
        <w:rPr>
          <w:rFonts w:ascii="Times New Roman" w:hAnsi="Times New Roman"/>
          <w:sz w:val="24"/>
          <w:szCs w:val="24"/>
        </w:rPr>
        <w:t xml:space="preserve"> on her head.  The Court wrote: “We see nothing from which a trier of fact reasonably could have concluded that Kaufman or Scanlan acted recklessly. The appellants complain about Graves not being strapped above the waist, but nothing in the record suggests the availability of additional straps. We note too that the EMTs provided uncontroverted testimony about the cot’s partial side rails being up. </w:t>
      </w:r>
      <w:proofErr w:type="gramStart"/>
      <w:r w:rsidRPr="006878FB">
        <w:rPr>
          <w:rFonts w:ascii="Times New Roman" w:hAnsi="Times New Roman"/>
          <w:sz w:val="24"/>
          <w:szCs w:val="24"/>
        </w:rPr>
        <w:t>he</w:t>
      </w:r>
      <w:proofErr w:type="gramEnd"/>
      <w:r w:rsidRPr="006878FB">
        <w:rPr>
          <w:rFonts w:ascii="Times New Roman" w:hAnsi="Times New Roman"/>
          <w:sz w:val="24"/>
          <w:szCs w:val="24"/>
        </w:rPr>
        <w:t xml:space="preserve"> appellants also complain about the EMTs not mentioning Graves’ fall to the emergency-room physician after the fact. But the physician, Dr. Guest, promptly had been made aware of the allegation by Graves’ mother. At most, the record suggests that Kaufman and Scanlan were inattentive when Graves unexpectedly slid from her </w:t>
      </w:r>
      <w:proofErr w:type="gramStart"/>
      <w:r w:rsidRPr="006878FB">
        <w:rPr>
          <w:rFonts w:ascii="Times New Roman" w:hAnsi="Times New Roman"/>
          <w:sz w:val="24"/>
          <w:szCs w:val="24"/>
        </w:rPr>
        <w:t>cot</w:t>
      </w:r>
      <w:proofErr w:type="gramEnd"/>
      <w:r w:rsidRPr="006878FB">
        <w:rPr>
          <w:rFonts w:ascii="Times New Roman" w:hAnsi="Times New Roman"/>
          <w:sz w:val="24"/>
          <w:szCs w:val="24"/>
        </w:rPr>
        <w:t xml:space="preserve">. As a matter of law, this conduct could not have constituted more than negligence.” </w:t>
      </w:r>
      <w:hyperlink r:id="rId2109" w:history="1">
        <w:r w:rsidRPr="006878FB">
          <w:rPr>
            <w:rStyle w:val="Hyperlink"/>
            <w:rFonts w:ascii="Times New Roman" w:hAnsi="Times New Roman"/>
            <w:sz w:val="24"/>
            <w:szCs w:val="24"/>
          </w:rPr>
          <w:t>https://cases.justia.com/ohio/second-district-court-of-appeals/2024-2024-ca-3-0.pdf?ts=1725029311</w:t>
        </w:r>
      </w:hyperlink>
      <w:r w:rsidRPr="006878FB">
        <w:rPr>
          <w:rFonts w:ascii="Times New Roman" w:hAnsi="Times New Roman"/>
          <w:sz w:val="24"/>
          <w:szCs w:val="24"/>
        </w:rPr>
        <w:t xml:space="preserve"> </w:t>
      </w:r>
    </w:p>
    <w:p w14:paraId="0EC646A5" w14:textId="77777777" w:rsidR="006878FB" w:rsidRPr="006878FB" w:rsidRDefault="006878FB" w:rsidP="006878FB">
      <w:pPr>
        <w:pStyle w:val="NoSpacing"/>
        <w:rPr>
          <w:rFonts w:ascii="Times New Roman" w:hAnsi="Times New Roman"/>
          <w:sz w:val="24"/>
          <w:szCs w:val="24"/>
        </w:rPr>
      </w:pPr>
    </w:p>
    <w:p w14:paraId="6790D1D3" w14:textId="77777777" w:rsidR="006878FB" w:rsidRPr="006878FB" w:rsidRDefault="006878FB" w:rsidP="006878FB">
      <w:pPr>
        <w:pStyle w:val="NoSpacing"/>
        <w:rPr>
          <w:rFonts w:ascii="Times New Roman" w:hAnsi="Times New Roman"/>
          <w:sz w:val="24"/>
          <w:szCs w:val="24"/>
        </w:rPr>
      </w:pPr>
      <w:r w:rsidRPr="006878FB">
        <w:rPr>
          <w:rFonts w:ascii="Times New Roman" w:hAnsi="Times New Roman"/>
          <w:sz w:val="24"/>
          <w:szCs w:val="24"/>
        </w:rPr>
        <w:t>THE COURT HELD:</w:t>
      </w:r>
    </w:p>
    <w:p w14:paraId="39CE7A19" w14:textId="77777777" w:rsidR="006878FB" w:rsidRPr="006878FB" w:rsidRDefault="006878FB" w:rsidP="006878FB">
      <w:pPr>
        <w:pStyle w:val="NoSpacing"/>
        <w:ind w:left="720"/>
        <w:rPr>
          <w:rFonts w:ascii="Times New Roman" w:hAnsi="Times New Roman"/>
          <w:sz w:val="24"/>
          <w:szCs w:val="24"/>
        </w:rPr>
      </w:pPr>
      <w:r w:rsidRPr="006878FB">
        <w:rPr>
          <w:rFonts w:ascii="Times New Roman" w:hAnsi="Times New Roman"/>
          <w:sz w:val="24"/>
          <w:szCs w:val="24"/>
        </w:rPr>
        <w:lastRenderedPageBreak/>
        <w:t>“With regard to the EMTs, the trial court correctly looked to R.C. 4765.49(A), which provides: ‘A first responder, emergency medical technician-basic, emergency medical technician-intermediate, or emergency medical technician-paramedic is not liable in damages in a civil action for injury, death, or loss to person or property resulting from the individual’s administration of emergency medical services, unless the services are administered in a manner that constitutes willful or wanton misconduct.’</w:t>
      </w:r>
    </w:p>
    <w:p w14:paraId="47405BE6" w14:textId="77777777" w:rsidR="009E033B" w:rsidRDefault="009E033B" w:rsidP="006878FB">
      <w:pPr>
        <w:pStyle w:val="NoSpacing"/>
        <w:rPr>
          <w:rFonts w:ascii="Times New Roman" w:hAnsi="Times New Roman"/>
          <w:b/>
          <w:bCs/>
          <w:sz w:val="24"/>
          <w:szCs w:val="24"/>
        </w:rPr>
      </w:pPr>
    </w:p>
    <w:p w14:paraId="6EE8EFB1" w14:textId="3F7D5C07" w:rsidR="006878FB" w:rsidRPr="006878FB" w:rsidRDefault="006878FB" w:rsidP="006878FB">
      <w:pPr>
        <w:pStyle w:val="NoSpacing"/>
        <w:rPr>
          <w:rFonts w:ascii="Times New Roman" w:hAnsi="Times New Roman"/>
          <w:b/>
          <w:bCs/>
          <w:sz w:val="24"/>
          <w:szCs w:val="24"/>
        </w:rPr>
      </w:pPr>
      <w:r w:rsidRPr="006878FB">
        <w:rPr>
          <w:rFonts w:ascii="Times New Roman" w:hAnsi="Times New Roman"/>
          <w:b/>
          <w:bCs/>
          <w:sz w:val="24"/>
          <w:szCs w:val="24"/>
        </w:rPr>
        <w:t xml:space="preserve">Legal Lesson Learned: Securely strap the patient to the cot; if there is partial slippage off the cot, document it in the EMS run report. </w:t>
      </w:r>
    </w:p>
    <w:p w14:paraId="23445648" w14:textId="77777777" w:rsidR="00EC1348" w:rsidRDefault="00EC1348" w:rsidP="002B1283">
      <w:pPr>
        <w:rPr>
          <w:rFonts w:ascii="Arial Black" w:hAnsi="Arial Black"/>
          <w:b/>
          <w:bCs/>
          <w:sz w:val="28"/>
          <w:szCs w:val="28"/>
        </w:rPr>
      </w:pPr>
    </w:p>
    <w:p w14:paraId="1542249B" w14:textId="77777777" w:rsidR="00EC1348" w:rsidRDefault="00EC1348" w:rsidP="002B1283">
      <w:pPr>
        <w:rPr>
          <w:rFonts w:ascii="Arial Black" w:hAnsi="Arial Black"/>
          <w:b/>
          <w:bCs/>
          <w:sz w:val="28"/>
          <w:szCs w:val="28"/>
        </w:rPr>
      </w:pPr>
    </w:p>
    <w:p w14:paraId="732F86AC" w14:textId="07E91E75" w:rsidR="00AC1F80" w:rsidRDefault="00AC1F80" w:rsidP="002B1283">
      <w:pPr>
        <w:rPr>
          <w:rFonts w:ascii="Arial Black" w:hAnsi="Arial Black"/>
          <w:b/>
          <w:bCs/>
          <w:sz w:val="28"/>
          <w:szCs w:val="28"/>
        </w:rPr>
      </w:pPr>
      <w:r>
        <w:rPr>
          <w:rFonts w:ascii="Arial Black" w:hAnsi="Arial Black"/>
          <w:b/>
          <w:bCs/>
          <w:sz w:val="28"/>
          <w:szCs w:val="28"/>
        </w:rPr>
        <w:t>13-191</w:t>
      </w:r>
    </w:p>
    <w:p w14:paraId="2707F131" w14:textId="435F5D57" w:rsidR="00EC1348" w:rsidRPr="00954F7D" w:rsidRDefault="00EC1348" w:rsidP="00EC1348">
      <w:pPr>
        <w:pStyle w:val="NoSpacing"/>
        <w:rPr>
          <w:rFonts w:ascii="Aptos Black" w:hAnsi="Aptos Black"/>
          <w:sz w:val="28"/>
        </w:rPr>
      </w:pPr>
      <w:r>
        <w:rPr>
          <w:rFonts w:ascii="Arial Black" w:hAnsi="Arial Black"/>
          <w:sz w:val="28"/>
        </w:rPr>
        <w:t xml:space="preserve">MO: </w:t>
      </w:r>
      <w:r w:rsidR="008C18A2">
        <w:rPr>
          <w:rFonts w:ascii="Arial Black" w:hAnsi="Arial Black"/>
          <w:sz w:val="28"/>
        </w:rPr>
        <w:t xml:space="preserve">CRIMINAL IMMUNITY </w:t>
      </w:r>
      <w:r>
        <w:rPr>
          <w:rFonts w:ascii="Arial Black" w:hAnsi="Arial Black"/>
          <w:sz w:val="28"/>
        </w:rPr>
        <w:t xml:space="preserve">LAW NOT APPLY – PT REFUSED MEDICAL CARE – CONSENTED PD SEARCH </w:t>
      </w:r>
      <w:r w:rsidR="00F642D1">
        <w:rPr>
          <w:rFonts w:ascii="Arial Black" w:hAnsi="Arial Black"/>
          <w:sz w:val="28"/>
        </w:rPr>
        <w:t>–</w:t>
      </w:r>
      <w:r>
        <w:rPr>
          <w:rFonts w:ascii="Arial Black" w:hAnsi="Arial Black"/>
          <w:sz w:val="28"/>
        </w:rPr>
        <w:t xml:space="preserve"> </w:t>
      </w:r>
      <w:r w:rsidR="00F642D1">
        <w:rPr>
          <w:rFonts w:ascii="Arial Black" w:hAnsi="Arial Black"/>
          <w:sz w:val="28"/>
        </w:rPr>
        <w:t xml:space="preserve">MAY BE CHARGED </w:t>
      </w:r>
      <w:r>
        <w:rPr>
          <w:rFonts w:ascii="Arial Black" w:hAnsi="Arial Black"/>
          <w:sz w:val="28"/>
        </w:rPr>
        <w:t>DRUGS</w:t>
      </w:r>
    </w:p>
    <w:p w14:paraId="76BCBA37" w14:textId="77777777" w:rsidR="00EC1348" w:rsidRDefault="00EC1348" w:rsidP="00EC1348">
      <w:pPr>
        <w:pStyle w:val="NoSpacing"/>
      </w:pPr>
    </w:p>
    <w:p w14:paraId="4140D2E1" w14:textId="77777777" w:rsidR="00EC1348" w:rsidRPr="00EC1348" w:rsidRDefault="00EC1348" w:rsidP="00EC1348">
      <w:pPr>
        <w:pStyle w:val="NoSpacing"/>
        <w:rPr>
          <w:rFonts w:ascii="Times New Roman" w:hAnsi="Times New Roman"/>
          <w:sz w:val="24"/>
          <w:szCs w:val="24"/>
        </w:rPr>
      </w:pPr>
      <w:r w:rsidRPr="00EC1348">
        <w:rPr>
          <w:rFonts w:ascii="Times New Roman" w:hAnsi="Times New Roman"/>
          <w:sz w:val="24"/>
          <w:szCs w:val="24"/>
        </w:rPr>
        <w:t xml:space="preserve">On August 28, 2024, in </w:t>
      </w:r>
      <w:r w:rsidRPr="00EC1348">
        <w:rPr>
          <w:rFonts w:ascii="Times New Roman" w:hAnsi="Times New Roman"/>
          <w:sz w:val="24"/>
          <w:szCs w:val="24"/>
          <w:u w:val="single"/>
        </w:rPr>
        <w:t>State of Missouri v. Timothy Louis Smith</w:t>
      </w:r>
      <w:r w:rsidRPr="00EC1348">
        <w:rPr>
          <w:rFonts w:ascii="Times New Roman" w:hAnsi="Times New Roman"/>
          <w:sz w:val="24"/>
          <w:szCs w:val="24"/>
        </w:rPr>
        <w:t xml:space="preserve">, the Missouri Court of Appeals, Southern District, held (3 to 0) that trial court properly denied his motion to suppress the evidence and found him guilty of possession of plastic bag with white residue and a syringe cap with methamphetamine. The Court wrote: “Smith appeals his convictions in a single point, arguing the trial court erred in denying his motion to dismiss because section 195.205 applied since the evidence would not have been discovered but for his call for medical assistance. Smith's argument ignores the plain language of the statute. Because the plain language of the statute requires the evidence </w:t>
      </w:r>
      <w:proofErr w:type="gramStart"/>
      <w:r w:rsidRPr="00EC1348">
        <w:rPr>
          <w:rFonts w:ascii="Times New Roman" w:hAnsi="Times New Roman"/>
          <w:sz w:val="24"/>
          <w:szCs w:val="24"/>
        </w:rPr>
        <w:t>be</w:t>
      </w:r>
      <w:proofErr w:type="gramEnd"/>
      <w:r w:rsidRPr="00EC1348">
        <w:rPr>
          <w:rFonts w:ascii="Times New Roman" w:hAnsi="Times New Roman"/>
          <w:sz w:val="24"/>
          <w:szCs w:val="24"/>
        </w:rPr>
        <w:t xml:space="preserve"> gained </w:t>
      </w:r>
      <w:proofErr w:type="gramStart"/>
      <w:r w:rsidRPr="00EC1348">
        <w:rPr>
          <w:rFonts w:ascii="Times New Roman" w:hAnsi="Times New Roman"/>
          <w:sz w:val="24"/>
          <w:szCs w:val="24"/>
        </w:rPr>
        <w:t>as a result of</w:t>
      </w:r>
      <w:proofErr w:type="gramEnd"/>
      <w:r w:rsidRPr="00EC1348">
        <w:rPr>
          <w:rFonts w:ascii="Times New Roman" w:hAnsi="Times New Roman"/>
          <w:sz w:val="24"/>
          <w:szCs w:val="24"/>
        </w:rPr>
        <w:t xml:space="preserve"> seeking or obtaining medical assistance, it does not apply where there is a break in the causal chain between the request for medical assistance and the discovery of the evidence. In Smith's case, the evidence was found </w:t>
      </w:r>
      <w:proofErr w:type="gramStart"/>
      <w:r w:rsidRPr="00EC1348">
        <w:rPr>
          <w:rFonts w:ascii="Times New Roman" w:hAnsi="Times New Roman"/>
          <w:sz w:val="24"/>
          <w:szCs w:val="24"/>
        </w:rPr>
        <w:t>as a result of</w:t>
      </w:r>
      <w:proofErr w:type="gramEnd"/>
      <w:r w:rsidRPr="00EC1348">
        <w:rPr>
          <w:rFonts w:ascii="Times New Roman" w:hAnsi="Times New Roman"/>
          <w:sz w:val="24"/>
          <w:szCs w:val="24"/>
        </w:rPr>
        <w:t xml:space="preserve"> his consent to a search, not because he called for medical assistance.” </w:t>
      </w:r>
      <w:hyperlink r:id="rId2110" w:history="1">
        <w:r w:rsidRPr="00EC1348">
          <w:rPr>
            <w:rStyle w:val="Hyperlink"/>
            <w:rFonts w:ascii="Times New Roman" w:hAnsi="Times New Roman"/>
            <w:sz w:val="24"/>
            <w:szCs w:val="24"/>
          </w:rPr>
          <w:t>https://cases.justia.com/missouri/court-of-appeals/2024-sd38313.pdf?ts=1724895006</w:t>
        </w:r>
      </w:hyperlink>
      <w:r w:rsidRPr="00EC1348">
        <w:rPr>
          <w:rFonts w:ascii="Times New Roman" w:hAnsi="Times New Roman"/>
          <w:sz w:val="24"/>
          <w:szCs w:val="24"/>
        </w:rPr>
        <w:t xml:space="preserve"> </w:t>
      </w:r>
    </w:p>
    <w:p w14:paraId="6EE6E82A" w14:textId="77777777" w:rsidR="00EC1348" w:rsidRPr="00EC1348" w:rsidRDefault="00EC1348" w:rsidP="00EC1348">
      <w:pPr>
        <w:pStyle w:val="NoSpacing"/>
        <w:rPr>
          <w:rFonts w:ascii="Times New Roman" w:hAnsi="Times New Roman"/>
          <w:sz w:val="24"/>
          <w:szCs w:val="24"/>
        </w:rPr>
      </w:pPr>
    </w:p>
    <w:p w14:paraId="2B6578B6" w14:textId="77777777" w:rsidR="00EC1348" w:rsidRPr="00EC1348" w:rsidRDefault="00EC1348" w:rsidP="00EC1348">
      <w:pPr>
        <w:pStyle w:val="NoSpacing"/>
        <w:rPr>
          <w:rFonts w:ascii="Times New Roman" w:hAnsi="Times New Roman"/>
          <w:sz w:val="24"/>
          <w:szCs w:val="24"/>
        </w:rPr>
      </w:pPr>
      <w:r w:rsidRPr="00EC1348">
        <w:rPr>
          <w:rFonts w:ascii="Times New Roman" w:hAnsi="Times New Roman"/>
          <w:sz w:val="24"/>
          <w:szCs w:val="24"/>
        </w:rPr>
        <w:t>THE COURT HELD:</w:t>
      </w:r>
    </w:p>
    <w:p w14:paraId="6ED4B5DB" w14:textId="77777777" w:rsidR="00EC1348" w:rsidRPr="00EC1348" w:rsidRDefault="00EC1348" w:rsidP="00EC1348">
      <w:pPr>
        <w:pStyle w:val="NoSpacing"/>
        <w:rPr>
          <w:rFonts w:ascii="Times New Roman" w:hAnsi="Times New Roman"/>
          <w:sz w:val="24"/>
          <w:szCs w:val="24"/>
        </w:rPr>
      </w:pPr>
    </w:p>
    <w:p w14:paraId="7151874B" w14:textId="77777777" w:rsidR="00EC1348" w:rsidRPr="00EC1348" w:rsidRDefault="00EC1348" w:rsidP="00EC1348">
      <w:pPr>
        <w:pStyle w:val="NoSpacing"/>
        <w:ind w:firstLine="720"/>
        <w:rPr>
          <w:rFonts w:ascii="Times New Roman" w:hAnsi="Times New Roman"/>
          <w:sz w:val="24"/>
          <w:szCs w:val="24"/>
        </w:rPr>
      </w:pPr>
      <w:r w:rsidRPr="00EC1348">
        <w:rPr>
          <w:rFonts w:ascii="Times New Roman" w:hAnsi="Times New Roman"/>
          <w:sz w:val="24"/>
          <w:szCs w:val="24"/>
        </w:rPr>
        <w:t>“In Smith's case, the evidence was found not because Smith called for</w:t>
      </w:r>
    </w:p>
    <w:p w14:paraId="5FC04872" w14:textId="77777777" w:rsidR="00EC1348" w:rsidRPr="00EC1348" w:rsidRDefault="00EC1348" w:rsidP="00EC1348">
      <w:pPr>
        <w:pStyle w:val="NoSpacing"/>
        <w:ind w:firstLine="720"/>
        <w:rPr>
          <w:rFonts w:ascii="Times New Roman" w:hAnsi="Times New Roman"/>
          <w:sz w:val="24"/>
          <w:szCs w:val="24"/>
        </w:rPr>
      </w:pPr>
      <w:r w:rsidRPr="00EC1348">
        <w:rPr>
          <w:rFonts w:ascii="Times New Roman" w:hAnsi="Times New Roman"/>
          <w:sz w:val="24"/>
          <w:szCs w:val="24"/>
        </w:rPr>
        <w:t>medical assistance but because he consented to a search after asking the officer</w:t>
      </w:r>
    </w:p>
    <w:p w14:paraId="6EA83586" w14:textId="77777777" w:rsidR="00EC1348" w:rsidRPr="00EC1348" w:rsidRDefault="00EC1348" w:rsidP="00EC1348">
      <w:pPr>
        <w:pStyle w:val="NoSpacing"/>
        <w:ind w:firstLine="720"/>
        <w:rPr>
          <w:rFonts w:ascii="Times New Roman" w:hAnsi="Times New Roman"/>
          <w:sz w:val="24"/>
          <w:szCs w:val="24"/>
        </w:rPr>
      </w:pPr>
      <w:r w:rsidRPr="00EC1348">
        <w:rPr>
          <w:rFonts w:ascii="Times New Roman" w:hAnsi="Times New Roman"/>
          <w:sz w:val="24"/>
          <w:szCs w:val="24"/>
        </w:rPr>
        <w:t>for a ride. Applying section 195.205 to Smith's case would not further the</w:t>
      </w:r>
    </w:p>
    <w:p w14:paraId="461A360A" w14:textId="77777777" w:rsidR="00EC1348" w:rsidRPr="00EC1348" w:rsidRDefault="00EC1348" w:rsidP="00EC1348">
      <w:pPr>
        <w:pStyle w:val="NoSpacing"/>
        <w:ind w:firstLine="720"/>
        <w:rPr>
          <w:rFonts w:ascii="Times New Roman" w:hAnsi="Times New Roman"/>
          <w:sz w:val="24"/>
          <w:szCs w:val="24"/>
        </w:rPr>
      </w:pPr>
      <w:r w:rsidRPr="00EC1348">
        <w:rPr>
          <w:rFonts w:ascii="Times New Roman" w:hAnsi="Times New Roman"/>
          <w:sz w:val="24"/>
          <w:szCs w:val="24"/>
        </w:rPr>
        <w:t>purpose of the statute since, by the time the evidence was discovered, he was no</w:t>
      </w:r>
    </w:p>
    <w:p w14:paraId="7697E7E2" w14:textId="77777777" w:rsidR="00EC1348" w:rsidRPr="00EC1348" w:rsidRDefault="00EC1348" w:rsidP="00EC1348">
      <w:pPr>
        <w:pStyle w:val="NoSpacing"/>
        <w:ind w:firstLine="720"/>
        <w:rPr>
          <w:rFonts w:ascii="Times New Roman" w:hAnsi="Times New Roman"/>
          <w:sz w:val="24"/>
          <w:szCs w:val="24"/>
        </w:rPr>
      </w:pPr>
      <w:r w:rsidRPr="00EC1348">
        <w:rPr>
          <w:rFonts w:ascii="Times New Roman" w:hAnsi="Times New Roman"/>
          <w:sz w:val="24"/>
          <w:szCs w:val="24"/>
        </w:rPr>
        <w:t>longer in need of medical assistance or seeking medical assistance. The trial</w:t>
      </w:r>
    </w:p>
    <w:p w14:paraId="3CA7C987" w14:textId="77777777" w:rsidR="00EC1348" w:rsidRPr="00EC1348" w:rsidRDefault="00EC1348" w:rsidP="00EC1348">
      <w:pPr>
        <w:pStyle w:val="NoSpacing"/>
        <w:ind w:firstLine="720"/>
        <w:rPr>
          <w:rFonts w:ascii="Times New Roman" w:hAnsi="Times New Roman"/>
          <w:sz w:val="24"/>
          <w:szCs w:val="24"/>
        </w:rPr>
      </w:pPr>
      <w:r w:rsidRPr="00EC1348">
        <w:rPr>
          <w:rFonts w:ascii="Times New Roman" w:hAnsi="Times New Roman"/>
          <w:sz w:val="24"/>
          <w:szCs w:val="24"/>
        </w:rPr>
        <w:t xml:space="preserve">court did not err in denying Smith's motion to dismiss and </w:t>
      </w:r>
      <w:proofErr w:type="gramStart"/>
      <w:r w:rsidRPr="00EC1348">
        <w:rPr>
          <w:rFonts w:ascii="Times New Roman" w:hAnsi="Times New Roman"/>
          <w:sz w:val="24"/>
          <w:szCs w:val="24"/>
        </w:rPr>
        <w:t>entering</w:t>
      </w:r>
      <w:proofErr w:type="gramEnd"/>
      <w:r w:rsidRPr="00EC1348">
        <w:rPr>
          <w:rFonts w:ascii="Times New Roman" w:hAnsi="Times New Roman"/>
          <w:sz w:val="24"/>
          <w:szCs w:val="24"/>
        </w:rPr>
        <w:t xml:space="preserve"> a judgment</w:t>
      </w:r>
    </w:p>
    <w:p w14:paraId="0BEB26C6" w14:textId="77777777" w:rsidR="00EC1348" w:rsidRPr="00EC1348" w:rsidRDefault="00EC1348" w:rsidP="00EC1348">
      <w:pPr>
        <w:pStyle w:val="NoSpacing"/>
        <w:ind w:firstLine="720"/>
        <w:rPr>
          <w:rFonts w:ascii="Times New Roman" w:hAnsi="Times New Roman"/>
          <w:sz w:val="24"/>
          <w:szCs w:val="24"/>
        </w:rPr>
      </w:pPr>
      <w:r w:rsidRPr="00EC1348">
        <w:rPr>
          <w:rFonts w:ascii="Times New Roman" w:hAnsi="Times New Roman"/>
          <w:sz w:val="24"/>
          <w:szCs w:val="24"/>
        </w:rPr>
        <w:t>of conviction. Smith's point is denied.”</w:t>
      </w:r>
    </w:p>
    <w:p w14:paraId="43286F58" w14:textId="77777777" w:rsidR="00EC1348" w:rsidRPr="00EC1348" w:rsidRDefault="00EC1348" w:rsidP="00EC1348">
      <w:pPr>
        <w:pStyle w:val="NoSpacing"/>
        <w:ind w:left="720"/>
        <w:rPr>
          <w:rFonts w:ascii="Times New Roman" w:hAnsi="Times New Roman"/>
          <w:sz w:val="24"/>
          <w:szCs w:val="24"/>
        </w:rPr>
      </w:pPr>
    </w:p>
    <w:p w14:paraId="01445C83" w14:textId="77777777" w:rsidR="00EC1348" w:rsidRPr="00EC1348" w:rsidRDefault="00EC1348" w:rsidP="00EC1348">
      <w:pPr>
        <w:pStyle w:val="NoSpacing"/>
        <w:rPr>
          <w:rFonts w:ascii="Times New Roman" w:hAnsi="Times New Roman"/>
          <w:b/>
          <w:bCs/>
          <w:sz w:val="24"/>
          <w:szCs w:val="24"/>
        </w:rPr>
      </w:pPr>
      <w:r w:rsidRPr="00EC1348">
        <w:rPr>
          <w:rFonts w:ascii="Times New Roman" w:hAnsi="Times New Roman"/>
          <w:b/>
          <w:bCs/>
          <w:sz w:val="24"/>
          <w:szCs w:val="24"/>
        </w:rPr>
        <w:t xml:space="preserve">Legal Lesson Learned: The Good Samaritan Law only protects individuals receiving medical care, not those stupidly asking PD for a ride while in possession of drugs. </w:t>
      </w:r>
    </w:p>
    <w:p w14:paraId="369DC364" w14:textId="77777777" w:rsidR="00EC1348" w:rsidRPr="00EC1348" w:rsidRDefault="00EC1348" w:rsidP="00EC1348">
      <w:pPr>
        <w:pStyle w:val="NoSpacing"/>
        <w:rPr>
          <w:rFonts w:ascii="Times New Roman" w:hAnsi="Times New Roman"/>
          <w:sz w:val="24"/>
          <w:szCs w:val="24"/>
        </w:rPr>
      </w:pPr>
    </w:p>
    <w:p w14:paraId="5D5D96D7" w14:textId="77777777" w:rsidR="00EC1348" w:rsidRPr="00EC1348" w:rsidRDefault="00EC1348" w:rsidP="00EC1348">
      <w:pPr>
        <w:ind w:left="720"/>
        <w:rPr>
          <w:rFonts w:ascii="Times New Roman" w:hAnsi="Times New Roman"/>
          <w:sz w:val="24"/>
          <w:szCs w:val="24"/>
        </w:rPr>
      </w:pPr>
      <w:r w:rsidRPr="00EC1348">
        <w:rPr>
          <w:rFonts w:ascii="Times New Roman" w:hAnsi="Times New Roman"/>
          <w:sz w:val="24"/>
          <w:szCs w:val="24"/>
        </w:rPr>
        <w:t xml:space="preserve">Note: See “Missouri’s Good Samaritan Law and Drug Charges” </w:t>
      </w:r>
      <w:hyperlink r:id="rId2111" w:history="1">
        <w:r w:rsidRPr="00EC1348">
          <w:rPr>
            <w:rStyle w:val="Hyperlink"/>
            <w:rFonts w:ascii="Times New Roman" w:hAnsi="Times New Roman"/>
            <w:sz w:val="24"/>
            <w:szCs w:val="24"/>
          </w:rPr>
          <w:t>https://stlouiscriminaldefense.com/missouri-good-samaritan-law/</w:t>
        </w:r>
      </w:hyperlink>
      <w:r w:rsidRPr="00EC1348">
        <w:rPr>
          <w:rFonts w:ascii="Times New Roman" w:hAnsi="Times New Roman"/>
          <w:sz w:val="24"/>
          <w:szCs w:val="24"/>
        </w:rPr>
        <w:t xml:space="preserve"> </w:t>
      </w:r>
    </w:p>
    <w:p w14:paraId="6A708E4B" w14:textId="77777777" w:rsidR="00EC1348" w:rsidRPr="00EC1348" w:rsidRDefault="00EC1348" w:rsidP="00EC1348">
      <w:pPr>
        <w:ind w:left="720"/>
        <w:rPr>
          <w:rFonts w:ascii="Times New Roman" w:hAnsi="Times New Roman"/>
          <w:sz w:val="24"/>
          <w:szCs w:val="24"/>
        </w:rPr>
      </w:pPr>
      <w:r w:rsidRPr="00EC1348">
        <w:rPr>
          <w:rFonts w:ascii="Times New Roman" w:hAnsi="Times New Roman"/>
          <w:sz w:val="24"/>
          <w:szCs w:val="24"/>
        </w:rPr>
        <w:t xml:space="preserve">“In 2017, the Missouri Legislature passed </w:t>
      </w:r>
      <w:hyperlink r:id="rId2112" w:tgtFrame="_blank" w:history="1">
        <w:proofErr w:type="spellStart"/>
        <w:r w:rsidRPr="00EC1348">
          <w:rPr>
            <w:rStyle w:val="Hyperlink"/>
            <w:rFonts w:ascii="Times New Roman" w:hAnsi="Times New Roman"/>
            <w:sz w:val="24"/>
            <w:szCs w:val="24"/>
          </w:rPr>
          <w:t>RSMo</w:t>
        </w:r>
        <w:proofErr w:type="spellEnd"/>
        <w:r w:rsidRPr="00EC1348">
          <w:rPr>
            <w:rStyle w:val="Hyperlink"/>
            <w:rFonts w:ascii="Times New Roman" w:hAnsi="Times New Roman"/>
            <w:sz w:val="24"/>
            <w:szCs w:val="24"/>
          </w:rPr>
          <w:t xml:space="preserve"> Section 195.205</w:t>
        </w:r>
      </w:hyperlink>
      <w:r w:rsidRPr="00EC1348">
        <w:rPr>
          <w:rFonts w:ascii="Times New Roman" w:hAnsi="Times New Roman"/>
          <w:sz w:val="24"/>
          <w:szCs w:val="24"/>
        </w:rPr>
        <w:t xml:space="preserve">,  the ” Missouri’s Good Samaritan Law” to provide immunity to those seeking assistance with a drug overdose or medical emergency. The rationale behind the law is that drug users might avoid seeking help for a drug overdose because they feared prosecution. The law has </w:t>
      </w:r>
      <w:proofErr w:type="spellStart"/>
      <w:r w:rsidRPr="00EC1348">
        <w:rPr>
          <w:rFonts w:ascii="Times New Roman" w:hAnsi="Times New Roman"/>
          <w:sz w:val="24"/>
          <w:szCs w:val="24"/>
        </w:rPr>
        <w:t>undoubetedly</w:t>
      </w:r>
      <w:proofErr w:type="spellEnd"/>
      <w:r w:rsidRPr="00EC1348">
        <w:rPr>
          <w:rFonts w:ascii="Times New Roman" w:hAnsi="Times New Roman"/>
          <w:sz w:val="24"/>
          <w:szCs w:val="24"/>
        </w:rPr>
        <w:t xml:space="preserve"> saved </w:t>
      </w:r>
      <w:proofErr w:type="gramStart"/>
      <w:r w:rsidRPr="00EC1348">
        <w:rPr>
          <w:rFonts w:ascii="Times New Roman" w:hAnsi="Times New Roman"/>
          <w:sz w:val="24"/>
          <w:szCs w:val="24"/>
        </w:rPr>
        <w:t>a number of</w:t>
      </w:r>
      <w:proofErr w:type="gramEnd"/>
      <w:r w:rsidRPr="00EC1348">
        <w:rPr>
          <w:rFonts w:ascii="Times New Roman" w:hAnsi="Times New Roman"/>
          <w:sz w:val="24"/>
          <w:szCs w:val="24"/>
        </w:rPr>
        <w:t xml:space="preserve"> lives and provides a complete defense to a possession charge. Our </w:t>
      </w:r>
      <w:hyperlink r:id="rId2113" w:history="1">
        <w:r w:rsidRPr="00EC1348">
          <w:rPr>
            <w:rStyle w:val="Hyperlink"/>
            <w:rFonts w:ascii="Times New Roman" w:hAnsi="Times New Roman"/>
            <w:sz w:val="24"/>
            <w:szCs w:val="24"/>
          </w:rPr>
          <w:t>St. Louis Criminal Defense lawyer</w:t>
        </w:r>
      </w:hyperlink>
      <w:r w:rsidRPr="00EC1348">
        <w:rPr>
          <w:rFonts w:ascii="Times New Roman" w:hAnsi="Times New Roman"/>
          <w:sz w:val="24"/>
          <w:szCs w:val="24"/>
        </w:rPr>
        <w:t xml:space="preserve"> has used the good </w:t>
      </w:r>
      <w:proofErr w:type="spellStart"/>
      <w:r w:rsidRPr="00EC1348">
        <w:rPr>
          <w:rFonts w:ascii="Times New Roman" w:hAnsi="Times New Roman"/>
          <w:sz w:val="24"/>
          <w:szCs w:val="24"/>
        </w:rPr>
        <w:t>samaritan</w:t>
      </w:r>
      <w:proofErr w:type="spellEnd"/>
      <w:r w:rsidRPr="00EC1348">
        <w:rPr>
          <w:rFonts w:ascii="Times New Roman" w:hAnsi="Times New Roman"/>
          <w:sz w:val="24"/>
          <w:szCs w:val="24"/>
        </w:rPr>
        <w:t xml:space="preserve"> law to </w:t>
      </w:r>
      <w:r w:rsidRPr="00EC1348">
        <w:rPr>
          <w:rFonts w:ascii="Times New Roman" w:hAnsi="Times New Roman"/>
          <w:sz w:val="24"/>
          <w:szCs w:val="24"/>
        </w:rPr>
        <w:lastRenderedPageBreak/>
        <w:t xml:space="preserve">obtain complete dismissals on </w:t>
      </w:r>
      <w:proofErr w:type="gramStart"/>
      <w:r w:rsidRPr="00EC1348">
        <w:rPr>
          <w:rFonts w:ascii="Times New Roman" w:hAnsi="Times New Roman"/>
          <w:sz w:val="24"/>
          <w:szCs w:val="24"/>
        </w:rPr>
        <w:t>a number of</w:t>
      </w:r>
      <w:proofErr w:type="gramEnd"/>
      <w:r w:rsidRPr="00EC1348">
        <w:rPr>
          <w:rFonts w:ascii="Times New Roman" w:hAnsi="Times New Roman"/>
          <w:sz w:val="24"/>
          <w:szCs w:val="24"/>
        </w:rPr>
        <w:t xml:space="preserve"> </w:t>
      </w:r>
      <w:hyperlink r:id="rId2114" w:anchor=":~:text=The%20offense%20of%20possession%20of%20any%20controlled%20substance%20except%20thirty,4." w:tgtFrame="_blank" w:history="1">
        <w:r w:rsidRPr="00EC1348">
          <w:rPr>
            <w:rStyle w:val="Hyperlink"/>
            <w:rFonts w:ascii="Times New Roman" w:hAnsi="Times New Roman"/>
            <w:sz w:val="24"/>
            <w:szCs w:val="24"/>
          </w:rPr>
          <w:t>drug possession cases</w:t>
        </w:r>
      </w:hyperlink>
      <w:r w:rsidRPr="00EC1348">
        <w:rPr>
          <w:rFonts w:ascii="Times New Roman" w:hAnsi="Times New Roman"/>
          <w:sz w:val="24"/>
          <w:szCs w:val="24"/>
        </w:rPr>
        <w:t xml:space="preserve">. If you or a loved one </w:t>
      </w:r>
      <w:proofErr w:type="gramStart"/>
      <w:r w:rsidRPr="00EC1348">
        <w:rPr>
          <w:rFonts w:ascii="Times New Roman" w:hAnsi="Times New Roman"/>
          <w:sz w:val="24"/>
          <w:szCs w:val="24"/>
        </w:rPr>
        <w:t>have</w:t>
      </w:r>
      <w:proofErr w:type="gramEnd"/>
      <w:r w:rsidRPr="00EC1348">
        <w:rPr>
          <w:rFonts w:ascii="Times New Roman" w:hAnsi="Times New Roman"/>
          <w:sz w:val="24"/>
          <w:szCs w:val="24"/>
        </w:rPr>
        <w:t xml:space="preserve"> questions about </w:t>
      </w:r>
      <w:proofErr w:type="gramStart"/>
      <w:r w:rsidRPr="00EC1348">
        <w:rPr>
          <w:rFonts w:ascii="Times New Roman" w:hAnsi="Times New Roman"/>
          <w:sz w:val="24"/>
          <w:szCs w:val="24"/>
        </w:rPr>
        <w:t>whether or not</w:t>
      </w:r>
      <w:proofErr w:type="gramEnd"/>
      <w:r w:rsidRPr="00EC1348">
        <w:rPr>
          <w:rFonts w:ascii="Times New Roman" w:hAnsi="Times New Roman"/>
          <w:sz w:val="24"/>
          <w:szCs w:val="24"/>
        </w:rPr>
        <w:t xml:space="preserve"> the Good Samaritan Law applies to your case, please do not hesitate to contact our St. Louis criminal defense attorney today for a free case evaluation.</w:t>
      </w:r>
    </w:p>
    <w:p w14:paraId="7B0FCB6E" w14:textId="77777777" w:rsidR="00EC1348" w:rsidRPr="00EC1348" w:rsidRDefault="00EC1348" w:rsidP="00EC1348">
      <w:pPr>
        <w:ind w:firstLine="720"/>
        <w:rPr>
          <w:rFonts w:ascii="Times New Roman" w:hAnsi="Times New Roman"/>
          <w:sz w:val="24"/>
          <w:szCs w:val="24"/>
        </w:rPr>
      </w:pPr>
      <w:r w:rsidRPr="00EC1348">
        <w:rPr>
          <w:rFonts w:ascii="Times New Roman" w:hAnsi="Times New Roman"/>
          <w:sz w:val="24"/>
          <w:szCs w:val="24"/>
        </w:rPr>
        <w:t>When does the Good Samaritan Law apply?</w:t>
      </w:r>
    </w:p>
    <w:p w14:paraId="27FC224A" w14:textId="77777777" w:rsidR="00EC1348" w:rsidRPr="00EC1348" w:rsidRDefault="00EC1348" w:rsidP="00EC1348">
      <w:pPr>
        <w:ind w:left="720"/>
        <w:rPr>
          <w:rFonts w:ascii="Times New Roman" w:hAnsi="Times New Roman"/>
          <w:sz w:val="24"/>
          <w:szCs w:val="24"/>
        </w:rPr>
      </w:pPr>
      <w:r w:rsidRPr="00EC1348">
        <w:rPr>
          <w:rFonts w:ascii="Times New Roman" w:hAnsi="Times New Roman"/>
          <w:sz w:val="24"/>
          <w:szCs w:val="24"/>
        </w:rPr>
        <w:t xml:space="preserve">The good </w:t>
      </w:r>
      <w:proofErr w:type="spellStart"/>
      <w:r w:rsidRPr="00EC1348">
        <w:rPr>
          <w:rFonts w:ascii="Times New Roman" w:hAnsi="Times New Roman"/>
          <w:sz w:val="24"/>
          <w:szCs w:val="24"/>
        </w:rPr>
        <w:t>samaritan</w:t>
      </w:r>
      <w:proofErr w:type="spellEnd"/>
      <w:r w:rsidRPr="00EC1348">
        <w:rPr>
          <w:rFonts w:ascii="Times New Roman" w:hAnsi="Times New Roman"/>
          <w:sz w:val="24"/>
          <w:szCs w:val="24"/>
        </w:rPr>
        <w:t xml:space="preserve"> law applies to a person who is seeking medical assistance for a drug overdose or other medical emergency.  It applies to both the person who seeks help and to the </w:t>
      </w:r>
      <w:proofErr w:type="gramStart"/>
      <w:r w:rsidRPr="00EC1348">
        <w:rPr>
          <w:rFonts w:ascii="Times New Roman" w:hAnsi="Times New Roman"/>
          <w:sz w:val="24"/>
          <w:szCs w:val="24"/>
        </w:rPr>
        <w:t>person</w:t>
      </w:r>
      <w:proofErr w:type="gramEnd"/>
      <w:r w:rsidRPr="00EC1348">
        <w:rPr>
          <w:rFonts w:ascii="Times New Roman" w:hAnsi="Times New Roman"/>
          <w:sz w:val="24"/>
          <w:szCs w:val="24"/>
        </w:rPr>
        <w:t xml:space="preserve"> is experiencing </w:t>
      </w:r>
      <w:proofErr w:type="gramStart"/>
      <w:r w:rsidRPr="00EC1348">
        <w:rPr>
          <w:rFonts w:ascii="Times New Roman" w:hAnsi="Times New Roman"/>
          <w:sz w:val="24"/>
          <w:szCs w:val="24"/>
        </w:rPr>
        <w:t>the</w:t>
      </w:r>
      <w:proofErr w:type="gramEnd"/>
      <w:r w:rsidRPr="00EC1348">
        <w:rPr>
          <w:rFonts w:ascii="Times New Roman" w:hAnsi="Times New Roman"/>
          <w:sz w:val="24"/>
          <w:szCs w:val="24"/>
        </w:rPr>
        <w:t xml:space="preserve"> medical emergency or drug overdose. Under the good </w:t>
      </w:r>
      <w:proofErr w:type="spellStart"/>
      <w:r w:rsidRPr="00EC1348">
        <w:rPr>
          <w:rFonts w:ascii="Times New Roman" w:hAnsi="Times New Roman"/>
          <w:sz w:val="24"/>
          <w:szCs w:val="24"/>
        </w:rPr>
        <w:t>samaritan</w:t>
      </w:r>
      <w:proofErr w:type="spellEnd"/>
      <w:r w:rsidRPr="00EC1348">
        <w:rPr>
          <w:rFonts w:ascii="Times New Roman" w:hAnsi="Times New Roman"/>
          <w:sz w:val="24"/>
          <w:szCs w:val="24"/>
        </w:rPr>
        <w:t xml:space="preserve"> law, a drug overdose is defined as “a condition including, but not limited to, extreme physical illness, decreased level of consciousness, respiratory depression, coma, mania, or death which is the result of consumption or use of a controlled substance or alcohol or a substance with which the controlled substance or alcohol was combined, or that a person would reasonably believe to be a drug or alcohol overdose that requires medical assistance”. “Medical Assistance” is defined as, “includes, but is not limited to, reporting a drug or alcohol overdose or other medical emergency to law enforcement, the 911 system, a poison control center, or a medical provider; assisting someone so reporting; or providing care to someone who is experiencing a drug or alcohol overdose or other medical emergency while awaiting the arrival of medical assistance.” It is important to note, that medical assistance must be sought in “good faith”. In other words, you can’t just say you’re having a drug overdose after the police find drugs in your car to get out of being arrested.</w:t>
      </w:r>
    </w:p>
    <w:p w14:paraId="0EBC36F2" w14:textId="77777777" w:rsidR="00EC1348" w:rsidRPr="00EC1348" w:rsidRDefault="00EC1348" w:rsidP="00EC1348">
      <w:pPr>
        <w:ind w:left="720"/>
        <w:rPr>
          <w:rFonts w:ascii="Times New Roman" w:hAnsi="Times New Roman"/>
          <w:sz w:val="24"/>
          <w:szCs w:val="24"/>
        </w:rPr>
      </w:pPr>
      <w:r w:rsidRPr="00EC1348">
        <w:rPr>
          <w:rFonts w:ascii="Times New Roman" w:hAnsi="Times New Roman"/>
          <w:i/>
          <w:iCs/>
          <w:sz w:val="24"/>
          <w:szCs w:val="24"/>
        </w:rPr>
        <w:t>Example: </w:t>
      </w:r>
      <w:r w:rsidRPr="00EC1348">
        <w:rPr>
          <w:rFonts w:ascii="Times New Roman" w:hAnsi="Times New Roman"/>
          <w:sz w:val="24"/>
          <w:szCs w:val="24"/>
        </w:rPr>
        <w:t>John and John are using drugs at John’s house and Jane overdoses. John calls 911 to seek help for Jane. The police come and find drugs in the house. Under Missouri’s Good Samaritan Law, John cannot be prosecuted because he was seeking medical assistance in good faith for Jane.</w:t>
      </w:r>
    </w:p>
    <w:p w14:paraId="65948F05" w14:textId="77777777" w:rsidR="00EC1348" w:rsidRPr="00EC1348" w:rsidRDefault="00EC1348" w:rsidP="00EC1348">
      <w:pPr>
        <w:ind w:firstLine="720"/>
        <w:rPr>
          <w:rFonts w:ascii="Times New Roman" w:hAnsi="Times New Roman"/>
          <w:sz w:val="24"/>
          <w:szCs w:val="24"/>
        </w:rPr>
      </w:pPr>
      <w:r w:rsidRPr="00EC1348">
        <w:rPr>
          <w:rFonts w:ascii="Times New Roman" w:hAnsi="Times New Roman"/>
          <w:sz w:val="24"/>
          <w:szCs w:val="24"/>
        </w:rPr>
        <w:t>What charges does the Good Samaritan Law protect against?</w:t>
      </w:r>
    </w:p>
    <w:p w14:paraId="0F3F99FF" w14:textId="77777777" w:rsidR="00EC1348" w:rsidRPr="00EC1348" w:rsidRDefault="00EC1348" w:rsidP="00EC1348">
      <w:pPr>
        <w:ind w:left="720"/>
        <w:rPr>
          <w:rFonts w:ascii="Times New Roman" w:hAnsi="Times New Roman"/>
          <w:sz w:val="24"/>
          <w:szCs w:val="24"/>
        </w:rPr>
      </w:pPr>
      <w:r w:rsidRPr="00EC1348">
        <w:rPr>
          <w:rFonts w:ascii="Times New Roman" w:hAnsi="Times New Roman"/>
          <w:sz w:val="24"/>
          <w:szCs w:val="24"/>
        </w:rPr>
        <w:t>The good Samaritan Law protects against prosecution from the following Missouri criminal charges:</w:t>
      </w:r>
    </w:p>
    <w:p w14:paraId="160383B0" w14:textId="77777777" w:rsidR="00EC1348" w:rsidRPr="00EC1348" w:rsidRDefault="00EC1348" w:rsidP="00EC1348">
      <w:pPr>
        <w:numPr>
          <w:ilvl w:val="0"/>
          <w:numId w:val="23"/>
        </w:numPr>
        <w:tabs>
          <w:tab w:val="num" w:pos="720"/>
        </w:tabs>
        <w:spacing w:after="160" w:line="259" w:lineRule="auto"/>
        <w:rPr>
          <w:rFonts w:ascii="Times New Roman" w:hAnsi="Times New Roman"/>
          <w:sz w:val="24"/>
          <w:szCs w:val="24"/>
        </w:rPr>
      </w:pPr>
      <w:r w:rsidRPr="00EC1348">
        <w:rPr>
          <w:rFonts w:ascii="Times New Roman" w:hAnsi="Times New Roman"/>
          <w:sz w:val="24"/>
          <w:szCs w:val="24"/>
        </w:rPr>
        <w:t>Possession of a Controlled Substance</w:t>
      </w:r>
    </w:p>
    <w:p w14:paraId="1FDFA552" w14:textId="77777777" w:rsidR="00EC1348" w:rsidRPr="00EC1348" w:rsidRDefault="00EC1348" w:rsidP="00EC1348">
      <w:pPr>
        <w:numPr>
          <w:ilvl w:val="0"/>
          <w:numId w:val="23"/>
        </w:numPr>
        <w:tabs>
          <w:tab w:val="num" w:pos="720"/>
        </w:tabs>
        <w:spacing w:after="160" w:line="259" w:lineRule="auto"/>
        <w:rPr>
          <w:rFonts w:ascii="Times New Roman" w:hAnsi="Times New Roman"/>
          <w:sz w:val="24"/>
          <w:szCs w:val="24"/>
        </w:rPr>
      </w:pPr>
      <w:r w:rsidRPr="00EC1348">
        <w:rPr>
          <w:rFonts w:ascii="Times New Roman" w:hAnsi="Times New Roman"/>
          <w:sz w:val="24"/>
          <w:szCs w:val="24"/>
        </w:rPr>
        <w:t>Possession of Drug Paraphernalia</w:t>
      </w:r>
    </w:p>
    <w:p w14:paraId="61D5FEF9" w14:textId="77777777" w:rsidR="00EC1348" w:rsidRPr="00EC1348" w:rsidRDefault="00EC1348" w:rsidP="00EC1348">
      <w:pPr>
        <w:numPr>
          <w:ilvl w:val="0"/>
          <w:numId w:val="23"/>
        </w:numPr>
        <w:tabs>
          <w:tab w:val="num" w:pos="720"/>
        </w:tabs>
        <w:spacing w:after="160" w:line="259" w:lineRule="auto"/>
        <w:rPr>
          <w:rFonts w:ascii="Times New Roman" w:hAnsi="Times New Roman"/>
          <w:sz w:val="24"/>
          <w:szCs w:val="24"/>
        </w:rPr>
      </w:pPr>
      <w:r w:rsidRPr="00EC1348">
        <w:rPr>
          <w:rFonts w:ascii="Times New Roman" w:hAnsi="Times New Roman"/>
          <w:sz w:val="24"/>
          <w:szCs w:val="24"/>
        </w:rPr>
        <w:t>Possession of an Imitation Controlled Substance</w:t>
      </w:r>
    </w:p>
    <w:p w14:paraId="69A37B88" w14:textId="77777777" w:rsidR="00EC1348" w:rsidRPr="00EC1348" w:rsidRDefault="00EC1348" w:rsidP="00EC1348">
      <w:pPr>
        <w:numPr>
          <w:ilvl w:val="0"/>
          <w:numId w:val="23"/>
        </w:numPr>
        <w:tabs>
          <w:tab w:val="num" w:pos="720"/>
        </w:tabs>
        <w:spacing w:after="160" w:line="259" w:lineRule="auto"/>
        <w:rPr>
          <w:rFonts w:ascii="Times New Roman" w:hAnsi="Times New Roman"/>
          <w:sz w:val="24"/>
          <w:szCs w:val="24"/>
        </w:rPr>
      </w:pPr>
      <w:r w:rsidRPr="00EC1348">
        <w:rPr>
          <w:rFonts w:ascii="Times New Roman" w:hAnsi="Times New Roman"/>
          <w:sz w:val="24"/>
          <w:szCs w:val="24"/>
        </w:rPr>
        <w:t xml:space="preserve">Keeping or maintaining </w:t>
      </w:r>
      <w:proofErr w:type="gramStart"/>
      <w:r w:rsidRPr="00EC1348">
        <w:rPr>
          <w:rFonts w:ascii="Times New Roman" w:hAnsi="Times New Roman"/>
          <w:sz w:val="24"/>
          <w:szCs w:val="24"/>
        </w:rPr>
        <w:t>a Public</w:t>
      </w:r>
      <w:proofErr w:type="gramEnd"/>
      <w:r w:rsidRPr="00EC1348">
        <w:rPr>
          <w:rFonts w:ascii="Times New Roman" w:hAnsi="Times New Roman"/>
          <w:sz w:val="24"/>
          <w:szCs w:val="24"/>
        </w:rPr>
        <w:t xml:space="preserve"> Nuisance</w:t>
      </w:r>
    </w:p>
    <w:p w14:paraId="3FC711E2" w14:textId="77777777" w:rsidR="00EC1348" w:rsidRPr="00EC1348" w:rsidRDefault="00EC1348" w:rsidP="00EC1348">
      <w:pPr>
        <w:numPr>
          <w:ilvl w:val="0"/>
          <w:numId w:val="23"/>
        </w:numPr>
        <w:tabs>
          <w:tab w:val="num" w:pos="720"/>
        </w:tabs>
        <w:spacing w:after="160" w:line="259" w:lineRule="auto"/>
        <w:rPr>
          <w:rFonts w:ascii="Times New Roman" w:hAnsi="Times New Roman"/>
          <w:sz w:val="24"/>
          <w:szCs w:val="24"/>
        </w:rPr>
      </w:pPr>
      <w:r w:rsidRPr="00EC1348">
        <w:rPr>
          <w:rFonts w:ascii="Times New Roman" w:hAnsi="Times New Roman"/>
          <w:sz w:val="24"/>
          <w:szCs w:val="24"/>
        </w:rPr>
        <w:t>Sale of Alcohol to Minor</w:t>
      </w:r>
    </w:p>
    <w:p w14:paraId="5305E025" w14:textId="77777777" w:rsidR="00EC1348" w:rsidRPr="00EC1348" w:rsidRDefault="00EC1348" w:rsidP="00EC1348">
      <w:pPr>
        <w:numPr>
          <w:ilvl w:val="0"/>
          <w:numId w:val="23"/>
        </w:numPr>
        <w:tabs>
          <w:tab w:val="num" w:pos="720"/>
        </w:tabs>
        <w:spacing w:after="160" w:line="259" w:lineRule="auto"/>
        <w:rPr>
          <w:rFonts w:ascii="Times New Roman" w:hAnsi="Times New Roman"/>
          <w:sz w:val="24"/>
          <w:szCs w:val="24"/>
        </w:rPr>
      </w:pPr>
      <w:r w:rsidRPr="00EC1348">
        <w:rPr>
          <w:rFonts w:ascii="Times New Roman" w:hAnsi="Times New Roman"/>
          <w:sz w:val="24"/>
          <w:szCs w:val="24"/>
        </w:rPr>
        <w:t>Minor in Possession of Alcohol</w:t>
      </w:r>
    </w:p>
    <w:p w14:paraId="2374CB80" w14:textId="77777777" w:rsidR="00EC1348" w:rsidRPr="00EC1348" w:rsidRDefault="00EC1348" w:rsidP="00EC1348">
      <w:pPr>
        <w:numPr>
          <w:ilvl w:val="0"/>
          <w:numId w:val="23"/>
        </w:numPr>
        <w:tabs>
          <w:tab w:val="num" w:pos="720"/>
        </w:tabs>
        <w:spacing w:after="160" w:line="259" w:lineRule="auto"/>
        <w:rPr>
          <w:rFonts w:ascii="Times New Roman" w:hAnsi="Times New Roman"/>
          <w:sz w:val="24"/>
          <w:szCs w:val="24"/>
        </w:rPr>
      </w:pPr>
      <w:r w:rsidRPr="00EC1348">
        <w:rPr>
          <w:rFonts w:ascii="Times New Roman" w:hAnsi="Times New Roman"/>
          <w:sz w:val="24"/>
          <w:szCs w:val="24"/>
        </w:rPr>
        <w:t>Misrepresentation of  Age by a Minor to obtain alcohol</w:t>
      </w:r>
    </w:p>
    <w:p w14:paraId="52AFC218" w14:textId="77777777" w:rsidR="00EC1348" w:rsidRPr="00EC1348" w:rsidRDefault="00EC1348" w:rsidP="00EC1348">
      <w:pPr>
        <w:numPr>
          <w:ilvl w:val="0"/>
          <w:numId w:val="23"/>
        </w:numPr>
        <w:tabs>
          <w:tab w:val="num" w:pos="720"/>
        </w:tabs>
        <w:spacing w:after="160" w:line="259" w:lineRule="auto"/>
        <w:rPr>
          <w:rFonts w:ascii="Times New Roman" w:hAnsi="Times New Roman"/>
          <w:sz w:val="24"/>
          <w:szCs w:val="24"/>
        </w:rPr>
      </w:pPr>
      <w:r w:rsidRPr="00EC1348">
        <w:rPr>
          <w:rFonts w:ascii="Times New Roman" w:hAnsi="Times New Roman"/>
          <w:sz w:val="24"/>
          <w:szCs w:val="24"/>
        </w:rPr>
        <w:t>Violation of a restraining order</w:t>
      </w:r>
    </w:p>
    <w:p w14:paraId="3BB5EF55" w14:textId="77777777" w:rsidR="00EC1348" w:rsidRPr="00EC1348" w:rsidRDefault="00EC1348" w:rsidP="00EC1348">
      <w:pPr>
        <w:numPr>
          <w:ilvl w:val="0"/>
          <w:numId w:val="23"/>
        </w:numPr>
        <w:tabs>
          <w:tab w:val="num" w:pos="720"/>
        </w:tabs>
        <w:spacing w:after="160" w:line="259" w:lineRule="auto"/>
        <w:rPr>
          <w:rFonts w:ascii="Times New Roman" w:hAnsi="Times New Roman"/>
          <w:sz w:val="24"/>
          <w:szCs w:val="24"/>
        </w:rPr>
      </w:pPr>
      <w:r w:rsidRPr="00EC1348">
        <w:rPr>
          <w:rFonts w:ascii="Times New Roman" w:hAnsi="Times New Roman"/>
          <w:sz w:val="24"/>
          <w:szCs w:val="24"/>
        </w:rPr>
        <w:t>Violating probation or parole</w:t>
      </w:r>
    </w:p>
    <w:p w14:paraId="4DAB56D6" w14:textId="77777777" w:rsidR="00EC1348" w:rsidRPr="00EC1348" w:rsidRDefault="00EC1348" w:rsidP="00EC1348">
      <w:pPr>
        <w:ind w:left="720"/>
        <w:rPr>
          <w:rFonts w:ascii="Times New Roman" w:hAnsi="Times New Roman"/>
          <w:sz w:val="24"/>
          <w:szCs w:val="24"/>
        </w:rPr>
      </w:pPr>
      <w:r w:rsidRPr="00EC1348">
        <w:rPr>
          <w:rFonts w:ascii="Times New Roman" w:hAnsi="Times New Roman"/>
          <w:sz w:val="24"/>
          <w:szCs w:val="24"/>
        </w:rPr>
        <w:t xml:space="preserve">However, the law does not protect against other charges, such as </w:t>
      </w:r>
      <w:hyperlink r:id="rId2115" w:tgtFrame="_blank" w:history="1">
        <w:r w:rsidRPr="00EC1348">
          <w:rPr>
            <w:rStyle w:val="Hyperlink"/>
            <w:rFonts w:ascii="Times New Roman" w:hAnsi="Times New Roman"/>
            <w:sz w:val="24"/>
            <w:szCs w:val="24"/>
          </w:rPr>
          <w:t>distribution of a controlled substance</w:t>
        </w:r>
      </w:hyperlink>
      <w:r w:rsidRPr="00EC1348">
        <w:rPr>
          <w:rFonts w:ascii="Times New Roman" w:hAnsi="Times New Roman"/>
          <w:sz w:val="24"/>
          <w:szCs w:val="24"/>
        </w:rPr>
        <w:t xml:space="preserve"> or </w:t>
      </w:r>
      <w:hyperlink r:id="rId2116" w:history="1">
        <w:r w:rsidRPr="00EC1348">
          <w:rPr>
            <w:rStyle w:val="Hyperlink"/>
            <w:rFonts w:ascii="Times New Roman" w:hAnsi="Times New Roman"/>
            <w:sz w:val="24"/>
            <w:szCs w:val="24"/>
          </w:rPr>
          <w:t>manslaughter</w:t>
        </w:r>
      </w:hyperlink>
      <w:r w:rsidRPr="00EC1348">
        <w:rPr>
          <w:rFonts w:ascii="Times New Roman" w:hAnsi="Times New Roman"/>
          <w:sz w:val="24"/>
          <w:szCs w:val="24"/>
        </w:rPr>
        <w:t>. If for instance, you provide drugs to someone who overdoses and dies you could still be charged with those offenses. Moreover, the statute only applies to state charges and is not a defense to federal drug charges.”</w:t>
      </w:r>
    </w:p>
    <w:p w14:paraId="382A6958" w14:textId="77777777" w:rsidR="00AC1F80" w:rsidRDefault="00AC1F80" w:rsidP="002B1283">
      <w:pPr>
        <w:rPr>
          <w:rFonts w:ascii="Arial Black" w:hAnsi="Arial Black"/>
          <w:b/>
          <w:bCs/>
          <w:sz w:val="28"/>
          <w:szCs w:val="28"/>
        </w:rPr>
      </w:pPr>
    </w:p>
    <w:p w14:paraId="0DE5D993" w14:textId="77777777" w:rsidR="00AC1F80" w:rsidRDefault="00AC1F80" w:rsidP="002B1283">
      <w:pPr>
        <w:rPr>
          <w:rFonts w:ascii="Arial Black" w:hAnsi="Arial Black"/>
          <w:b/>
          <w:bCs/>
          <w:sz w:val="28"/>
          <w:szCs w:val="28"/>
        </w:rPr>
      </w:pPr>
    </w:p>
    <w:p w14:paraId="2BC14452" w14:textId="4E181B8D" w:rsidR="00824D3D" w:rsidRDefault="00824D3D" w:rsidP="002B1283">
      <w:pPr>
        <w:rPr>
          <w:rFonts w:ascii="Arial Black" w:hAnsi="Arial Black"/>
          <w:b/>
          <w:bCs/>
          <w:sz w:val="28"/>
          <w:szCs w:val="28"/>
        </w:rPr>
      </w:pPr>
      <w:r>
        <w:rPr>
          <w:rFonts w:ascii="Arial Black" w:hAnsi="Arial Black"/>
          <w:b/>
          <w:bCs/>
          <w:sz w:val="28"/>
          <w:szCs w:val="28"/>
        </w:rPr>
        <w:t>13-190</w:t>
      </w:r>
    </w:p>
    <w:p w14:paraId="40373838" w14:textId="2B26DF98" w:rsidR="00AC1F80" w:rsidRDefault="00AC1F80" w:rsidP="00AC1F80">
      <w:pPr>
        <w:pStyle w:val="NoSpacing"/>
        <w:rPr>
          <w:szCs w:val="24"/>
        </w:rPr>
      </w:pPr>
      <w:r>
        <w:rPr>
          <w:rFonts w:ascii="Arial Black" w:hAnsi="Arial Black"/>
          <w:sz w:val="28"/>
        </w:rPr>
        <w:t xml:space="preserve">CA: PT CLAIMED SEX. ASSAULT BY MEDIC – FD DAILY ROSTER ID HIM - CLAIM FD DEFAMED HIM FILED </w:t>
      </w:r>
      <w:r w:rsidR="00EA2F62">
        <w:rPr>
          <w:rFonts w:ascii="Arial Black" w:hAnsi="Arial Black"/>
          <w:sz w:val="28"/>
        </w:rPr>
        <w:t xml:space="preserve">TOO </w:t>
      </w:r>
      <w:r>
        <w:rPr>
          <w:rFonts w:ascii="Arial Black" w:hAnsi="Arial Black"/>
          <w:sz w:val="28"/>
        </w:rPr>
        <w:t>LATE</w:t>
      </w:r>
    </w:p>
    <w:p w14:paraId="217499C8" w14:textId="77777777" w:rsidR="00AC1F80" w:rsidRDefault="00AC1F80" w:rsidP="00AC1F80">
      <w:pPr>
        <w:pStyle w:val="NoSpacing"/>
        <w:rPr>
          <w:szCs w:val="24"/>
        </w:rPr>
      </w:pPr>
    </w:p>
    <w:p w14:paraId="113C548B" w14:textId="77777777" w:rsidR="00AC1F80" w:rsidRPr="00AC1F80" w:rsidRDefault="00AC1F80" w:rsidP="00AC1F80">
      <w:pPr>
        <w:pStyle w:val="NoSpacing"/>
        <w:rPr>
          <w:rFonts w:ascii="Times New Roman" w:hAnsi="Times New Roman"/>
          <w:sz w:val="24"/>
          <w:szCs w:val="24"/>
        </w:rPr>
      </w:pPr>
      <w:r w:rsidRPr="00AC1F80">
        <w:rPr>
          <w:rFonts w:ascii="Times New Roman" w:hAnsi="Times New Roman"/>
          <w:sz w:val="24"/>
          <w:szCs w:val="24"/>
        </w:rPr>
        <w:t xml:space="preserve">On August 16, 2024, in </w:t>
      </w:r>
      <w:r w:rsidRPr="00AC1F80">
        <w:rPr>
          <w:rFonts w:ascii="Times New Roman" w:hAnsi="Times New Roman"/>
          <w:sz w:val="24"/>
          <w:szCs w:val="24"/>
          <w:u w:val="single"/>
        </w:rPr>
        <w:t>Louis Cerda v. City of Los Angeles</w:t>
      </w:r>
      <w:r w:rsidRPr="00AC1F80">
        <w:rPr>
          <w:rFonts w:ascii="Times New Roman" w:hAnsi="Times New Roman"/>
          <w:sz w:val="24"/>
          <w:szCs w:val="24"/>
        </w:rPr>
        <w:t xml:space="preserve">, the California Court of Appeals, Second District, Third Division, held (3 to 0; unpublished opinion) that the trial court properly dismissed his lawsuit against the City, claiming FD defamed him by sending out internal notices of his suspension on the FD daily staffing roster, since a claim for defamation must be presented within six months of accrual (he was late by one month).  The Court wrote: “The City asserts that the defamation cause of action accrued on October 19, 2017, the last date the alleged defamatory statement was published in the roster according to Cerda’s opposition to judgment on the pleadings. Given the </w:t>
      </w:r>
      <w:proofErr w:type="gramStart"/>
      <w:r w:rsidRPr="00AC1F80">
        <w:rPr>
          <w:rFonts w:ascii="Times New Roman" w:hAnsi="Times New Roman"/>
          <w:sz w:val="24"/>
          <w:szCs w:val="24"/>
        </w:rPr>
        <w:t>six month</w:t>
      </w:r>
      <w:proofErr w:type="gramEnd"/>
      <w:r w:rsidRPr="00AC1F80">
        <w:rPr>
          <w:rFonts w:ascii="Times New Roman" w:hAnsi="Times New Roman"/>
          <w:sz w:val="24"/>
          <w:szCs w:val="24"/>
        </w:rPr>
        <w:t xml:space="preserve"> presentation deadline, Cerda’s government claim was due April 19, 2018. However, Cerda did not file his government claim until May 14, 2018. We agree with the </w:t>
      </w:r>
      <w:proofErr w:type="gramStart"/>
      <w:r w:rsidRPr="00AC1F80">
        <w:rPr>
          <w:rFonts w:ascii="Times New Roman" w:hAnsi="Times New Roman"/>
          <w:sz w:val="24"/>
          <w:szCs w:val="24"/>
        </w:rPr>
        <w:t>City</w:t>
      </w:r>
      <w:proofErr w:type="gramEnd"/>
      <w:r w:rsidRPr="00AC1F80">
        <w:rPr>
          <w:rFonts w:ascii="Times New Roman" w:hAnsi="Times New Roman"/>
          <w:sz w:val="24"/>
          <w:szCs w:val="24"/>
        </w:rPr>
        <w:t xml:space="preserve"> that the government claim for the defamation cause of action was untimely.”  </w:t>
      </w:r>
      <w:hyperlink r:id="rId2117" w:history="1">
        <w:r w:rsidRPr="00AC1F80">
          <w:rPr>
            <w:rStyle w:val="Hyperlink"/>
            <w:rFonts w:ascii="Times New Roman" w:hAnsi="Times New Roman"/>
            <w:sz w:val="24"/>
            <w:szCs w:val="24"/>
          </w:rPr>
          <w:t>https://www.courts.ca.gov/opinions/nonpub/B322004.PDF</w:t>
        </w:r>
      </w:hyperlink>
      <w:r w:rsidRPr="00AC1F80">
        <w:rPr>
          <w:rFonts w:ascii="Times New Roman" w:hAnsi="Times New Roman"/>
          <w:sz w:val="24"/>
          <w:szCs w:val="24"/>
        </w:rPr>
        <w:t xml:space="preserve"> </w:t>
      </w:r>
    </w:p>
    <w:p w14:paraId="52840587" w14:textId="77777777" w:rsidR="00AC1F80" w:rsidRPr="00AC1F80" w:rsidRDefault="00AC1F80" w:rsidP="00AC1F80">
      <w:pPr>
        <w:pStyle w:val="NoSpacing"/>
        <w:rPr>
          <w:rFonts w:ascii="Times New Roman" w:hAnsi="Times New Roman"/>
          <w:sz w:val="24"/>
          <w:szCs w:val="24"/>
        </w:rPr>
      </w:pPr>
    </w:p>
    <w:p w14:paraId="2DD4EC41" w14:textId="77777777" w:rsidR="00AC1F80" w:rsidRPr="00AC1F80" w:rsidRDefault="00AC1F80" w:rsidP="00AC1F80">
      <w:pPr>
        <w:pStyle w:val="NoSpacing"/>
        <w:rPr>
          <w:rFonts w:ascii="Times New Roman" w:hAnsi="Times New Roman"/>
          <w:sz w:val="24"/>
          <w:szCs w:val="24"/>
        </w:rPr>
      </w:pPr>
      <w:r w:rsidRPr="00AC1F80">
        <w:rPr>
          <w:rFonts w:ascii="Times New Roman" w:hAnsi="Times New Roman"/>
          <w:sz w:val="24"/>
          <w:szCs w:val="24"/>
        </w:rPr>
        <w:t>THE COURT HELD:</w:t>
      </w:r>
    </w:p>
    <w:p w14:paraId="5C7835C7" w14:textId="77777777" w:rsidR="00AC1F80" w:rsidRPr="00AC1F80" w:rsidRDefault="00AC1F80" w:rsidP="00AC1F80">
      <w:pPr>
        <w:pStyle w:val="NoSpacing"/>
        <w:rPr>
          <w:rFonts w:ascii="Times New Roman" w:hAnsi="Times New Roman"/>
          <w:sz w:val="24"/>
          <w:szCs w:val="24"/>
        </w:rPr>
      </w:pPr>
    </w:p>
    <w:p w14:paraId="0AB40E07" w14:textId="77777777" w:rsidR="00AC1F80" w:rsidRPr="00AC1F80" w:rsidRDefault="00AC1F80" w:rsidP="00AC1F80">
      <w:pPr>
        <w:pStyle w:val="NoSpacing"/>
        <w:ind w:left="720"/>
        <w:rPr>
          <w:rFonts w:ascii="Times New Roman" w:hAnsi="Times New Roman"/>
          <w:sz w:val="24"/>
          <w:szCs w:val="24"/>
        </w:rPr>
      </w:pPr>
      <w:r w:rsidRPr="00AC1F80">
        <w:rPr>
          <w:rFonts w:ascii="Times New Roman" w:hAnsi="Times New Roman"/>
          <w:sz w:val="24"/>
          <w:szCs w:val="24"/>
        </w:rPr>
        <w:t>“Moreover, as we explain below, Cerda’s failure to file a timely government claim regarding his defamation claim was fatal to his case.</w:t>
      </w:r>
    </w:p>
    <w:p w14:paraId="388AEA40" w14:textId="77777777" w:rsidR="00AC1F80" w:rsidRPr="00AC1F80" w:rsidRDefault="00AC1F80" w:rsidP="00AC1F80">
      <w:pPr>
        <w:pStyle w:val="NoSpacing"/>
        <w:ind w:left="720"/>
        <w:rPr>
          <w:rFonts w:ascii="Times New Roman" w:hAnsi="Times New Roman"/>
          <w:sz w:val="24"/>
          <w:szCs w:val="24"/>
        </w:rPr>
      </w:pPr>
    </w:p>
    <w:p w14:paraId="44496C92" w14:textId="77777777" w:rsidR="00AC1F80" w:rsidRPr="00AC1F80" w:rsidRDefault="00AC1F80" w:rsidP="00AC1F80">
      <w:pPr>
        <w:pStyle w:val="NoSpacing"/>
        <w:ind w:left="720"/>
        <w:rPr>
          <w:rFonts w:ascii="Times New Roman" w:hAnsi="Times New Roman"/>
          <w:sz w:val="24"/>
          <w:szCs w:val="24"/>
        </w:rPr>
      </w:pPr>
      <w:r w:rsidRPr="00AC1F80">
        <w:rPr>
          <w:rFonts w:ascii="Times New Roman" w:hAnsi="Times New Roman"/>
          <w:sz w:val="24"/>
          <w:szCs w:val="24"/>
        </w:rPr>
        <w:t>***</w:t>
      </w:r>
    </w:p>
    <w:p w14:paraId="4FD6F647" w14:textId="77777777" w:rsidR="00AC1F80" w:rsidRPr="00AC1F80" w:rsidRDefault="00AC1F80" w:rsidP="00AC1F80">
      <w:pPr>
        <w:pStyle w:val="NoSpacing"/>
        <w:rPr>
          <w:rFonts w:ascii="Times New Roman" w:hAnsi="Times New Roman"/>
          <w:sz w:val="24"/>
          <w:szCs w:val="24"/>
        </w:rPr>
      </w:pPr>
    </w:p>
    <w:p w14:paraId="04B2E873" w14:textId="77777777" w:rsidR="00AC1F80" w:rsidRPr="00AC1F80" w:rsidRDefault="00AC1F80" w:rsidP="00AC1F80">
      <w:pPr>
        <w:pStyle w:val="NoSpacing"/>
        <w:ind w:left="720"/>
        <w:rPr>
          <w:rFonts w:ascii="Times New Roman" w:hAnsi="Times New Roman"/>
          <w:sz w:val="24"/>
          <w:szCs w:val="24"/>
        </w:rPr>
      </w:pPr>
      <w:r w:rsidRPr="00AC1F80">
        <w:rPr>
          <w:rFonts w:ascii="Times New Roman" w:hAnsi="Times New Roman"/>
          <w:sz w:val="24"/>
          <w:szCs w:val="24"/>
        </w:rPr>
        <w:t xml:space="preserve">We agree with the </w:t>
      </w:r>
      <w:proofErr w:type="gramStart"/>
      <w:r w:rsidRPr="00AC1F80">
        <w:rPr>
          <w:rFonts w:ascii="Times New Roman" w:hAnsi="Times New Roman"/>
          <w:sz w:val="24"/>
          <w:szCs w:val="24"/>
        </w:rPr>
        <w:t>City</w:t>
      </w:r>
      <w:proofErr w:type="gramEnd"/>
      <w:r w:rsidRPr="00AC1F80">
        <w:rPr>
          <w:rFonts w:ascii="Times New Roman" w:hAnsi="Times New Roman"/>
          <w:sz w:val="24"/>
          <w:szCs w:val="24"/>
        </w:rPr>
        <w:t xml:space="preserve"> that the government claim for the defamation cause of action was untimely. We also note that in denying his government claim on June 28, 2018, the City specifically warned Cerda that some of his claims were late and that his ‘recourse at this time in regard to the untimely claim(s) is to apply without delay to the Los Angeles City Clerk for leave to present a late claim.’ *** Cerda never applied to present a late claim.”</w:t>
      </w:r>
    </w:p>
    <w:p w14:paraId="5E8C3168" w14:textId="77777777" w:rsidR="00AC1F80" w:rsidRPr="00AC1F80" w:rsidRDefault="00AC1F80" w:rsidP="00AC1F80">
      <w:pPr>
        <w:pStyle w:val="NoSpacing"/>
        <w:ind w:left="720"/>
        <w:rPr>
          <w:rFonts w:ascii="Times New Roman" w:hAnsi="Times New Roman"/>
          <w:sz w:val="24"/>
          <w:szCs w:val="24"/>
        </w:rPr>
      </w:pPr>
    </w:p>
    <w:p w14:paraId="504780F5" w14:textId="77777777" w:rsidR="00AC1F80" w:rsidRPr="00AC1F80" w:rsidRDefault="00AC1F80" w:rsidP="00AC1F80">
      <w:pPr>
        <w:pStyle w:val="NoSpacing"/>
        <w:ind w:left="720"/>
        <w:rPr>
          <w:rFonts w:ascii="Times New Roman" w:hAnsi="Times New Roman"/>
          <w:sz w:val="24"/>
          <w:szCs w:val="24"/>
        </w:rPr>
      </w:pPr>
    </w:p>
    <w:p w14:paraId="622B0467" w14:textId="77777777" w:rsidR="00AC1F80" w:rsidRPr="00AC1F80" w:rsidRDefault="00AC1F80" w:rsidP="00AC1F80">
      <w:pPr>
        <w:pStyle w:val="NoSpacing"/>
        <w:rPr>
          <w:rFonts w:ascii="Times New Roman" w:hAnsi="Times New Roman"/>
          <w:b/>
          <w:bCs/>
          <w:sz w:val="24"/>
          <w:szCs w:val="24"/>
        </w:rPr>
      </w:pPr>
      <w:r w:rsidRPr="00AC1F80">
        <w:rPr>
          <w:rFonts w:ascii="Times New Roman" w:hAnsi="Times New Roman"/>
          <w:b/>
          <w:bCs/>
          <w:sz w:val="24"/>
          <w:szCs w:val="24"/>
        </w:rPr>
        <w:t xml:space="preserve">Legal Lesson Learned: The defamation claim was filed late.  When a suspended FD employee is reinstated after an investigation is completed, brief the employee about conclusions. </w:t>
      </w:r>
    </w:p>
    <w:p w14:paraId="505E206F" w14:textId="77777777" w:rsidR="00824D3D" w:rsidRDefault="00824D3D" w:rsidP="002B1283">
      <w:pPr>
        <w:rPr>
          <w:rFonts w:ascii="Arial Black" w:hAnsi="Arial Black"/>
          <w:b/>
          <w:bCs/>
          <w:sz w:val="28"/>
          <w:szCs w:val="28"/>
        </w:rPr>
      </w:pPr>
    </w:p>
    <w:p w14:paraId="73D2B403" w14:textId="77777777" w:rsidR="00824D3D" w:rsidRDefault="00824D3D" w:rsidP="002B1283">
      <w:pPr>
        <w:rPr>
          <w:rFonts w:ascii="Arial Black" w:hAnsi="Arial Black"/>
          <w:b/>
          <w:bCs/>
          <w:sz w:val="28"/>
          <w:szCs w:val="28"/>
        </w:rPr>
      </w:pPr>
    </w:p>
    <w:p w14:paraId="134C43BB" w14:textId="375A55DA" w:rsidR="0089006F" w:rsidRPr="0011264F" w:rsidRDefault="0089006F" w:rsidP="002B1283">
      <w:pPr>
        <w:rPr>
          <w:rFonts w:ascii="Times New Roman" w:hAnsi="Times New Roman"/>
          <w:sz w:val="24"/>
          <w:szCs w:val="24"/>
        </w:rPr>
      </w:pPr>
      <w:r>
        <w:rPr>
          <w:rFonts w:ascii="Arial Black" w:hAnsi="Arial Black"/>
          <w:b/>
          <w:bCs/>
          <w:sz w:val="28"/>
          <w:szCs w:val="28"/>
        </w:rPr>
        <w:t>13-189</w:t>
      </w:r>
      <w:r w:rsidR="005B3758">
        <w:rPr>
          <w:rFonts w:ascii="Arial Black" w:hAnsi="Arial Black"/>
          <w:b/>
          <w:bCs/>
          <w:sz w:val="28"/>
          <w:szCs w:val="28"/>
        </w:rPr>
        <w:t xml:space="preserve">  </w:t>
      </w:r>
      <w:r w:rsidR="005B3758" w:rsidRPr="0011264F">
        <w:rPr>
          <w:rFonts w:ascii="Times New Roman" w:hAnsi="Times New Roman"/>
          <w:sz w:val="24"/>
          <w:szCs w:val="24"/>
        </w:rPr>
        <w:t xml:space="preserve">[see </w:t>
      </w:r>
      <w:r w:rsidR="0011264F" w:rsidRPr="0011264F">
        <w:rPr>
          <w:rFonts w:ascii="Times New Roman" w:hAnsi="Times New Roman"/>
          <w:sz w:val="24"/>
          <w:szCs w:val="24"/>
        </w:rPr>
        <w:t>Jan. 2026 case]</w:t>
      </w:r>
    </w:p>
    <w:p w14:paraId="04B43DBF" w14:textId="231227B6" w:rsidR="0089006F" w:rsidRPr="00C3434D" w:rsidRDefault="0089006F" w:rsidP="0089006F">
      <w:pPr>
        <w:pStyle w:val="NormalWeb"/>
        <w:rPr>
          <w:rFonts w:ascii="Arial Black" w:hAnsi="Arial Black"/>
          <w:b/>
          <w:bCs/>
          <w:color w:val="454545"/>
          <w:sz w:val="28"/>
          <w:szCs w:val="28"/>
          <w:shd w:val="clear" w:color="auto" w:fill="FFFFFF"/>
        </w:rPr>
      </w:pPr>
      <w:r>
        <w:rPr>
          <w:rFonts w:ascii="Arial Black" w:hAnsi="Arial Black"/>
          <w:b/>
          <w:bCs/>
          <w:color w:val="454545"/>
          <w:sz w:val="28"/>
          <w:szCs w:val="28"/>
          <w:shd w:val="clear" w:color="auto" w:fill="FFFFFF"/>
        </w:rPr>
        <w:t>FL: CAPTAIN FIRED - REFUSED ISSUE COVID REPRIMANDS – CASE REINSTATED - U.S. SUP. CT. “SOME INJURY” TEST</w:t>
      </w:r>
    </w:p>
    <w:p w14:paraId="11B170C7" w14:textId="77777777" w:rsidR="0089006F" w:rsidRPr="00610F47" w:rsidRDefault="0089006F" w:rsidP="0089006F">
      <w:pPr>
        <w:pStyle w:val="NoSpacing"/>
        <w:rPr>
          <w:rFonts w:ascii="Times New Roman" w:hAnsi="Times New Roman"/>
          <w:sz w:val="24"/>
          <w:szCs w:val="24"/>
          <w:shd w:val="clear" w:color="auto" w:fill="FFFFFF"/>
        </w:rPr>
      </w:pPr>
      <w:r>
        <w:rPr>
          <w:rFonts w:ascii="Times New Roman" w:hAnsi="Times New Roman"/>
          <w:sz w:val="24"/>
          <w:szCs w:val="24"/>
          <w:shd w:val="clear" w:color="auto" w:fill="FFFFFF"/>
        </w:rPr>
        <w:t xml:space="preserve">On July 23, 2024, in </w:t>
      </w:r>
      <w:r w:rsidRPr="004C6D8E">
        <w:rPr>
          <w:rFonts w:ascii="Times New Roman" w:hAnsi="Times New Roman"/>
          <w:sz w:val="24"/>
          <w:szCs w:val="24"/>
          <w:u w:val="single"/>
          <w:shd w:val="clear" w:color="auto" w:fill="FFFFFF"/>
        </w:rPr>
        <w:t>Stephen M. Davis v. Orange County</w:t>
      </w:r>
      <w:r>
        <w:rPr>
          <w:rFonts w:ascii="Times New Roman" w:hAnsi="Times New Roman"/>
          <w:sz w:val="24"/>
          <w:szCs w:val="24"/>
          <w:shd w:val="clear" w:color="auto" w:fill="FFFFFF"/>
        </w:rPr>
        <w:t>, the U.S. Court of Appeals for the 11</w:t>
      </w:r>
      <w:r w:rsidRPr="004C6D8E">
        <w:rPr>
          <w:rFonts w:ascii="Times New Roman" w:hAnsi="Times New Roman"/>
          <w:sz w:val="24"/>
          <w:szCs w:val="24"/>
          <w:shd w:val="clear" w:color="auto" w:fill="FFFFFF"/>
          <w:vertAlign w:val="superscript"/>
        </w:rPr>
        <w:t>th</w:t>
      </w:r>
      <w:r>
        <w:rPr>
          <w:rFonts w:ascii="Times New Roman" w:hAnsi="Times New Roman"/>
          <w:sz w:val="24"/>
          <w:szCs w:val="24"/>
          <w:shd w:val="clear" w:color="auto" w:fill="FFFFFF"/>
        </w:rPr>
        <w:t xml:space="preserve"> Circuit (Atlanta) held (3 to 0) that the fired Captain’s lawsuit will be remanded to U.S. District Court Judge in Florida, </w:t>
      </w:r>
      <w:r>
        <w:rPr>
          <w:rFonts w:ascii="Times New Roman" w:hAnsi="Times New Roman"/>
          <w:sz w:val="24"/>
          <w:szCs w:val="24"/>
          <w:shd w:val="clear" w:color="auto" w:fill="FFFFFF"/>
        </w:rPr>
        <w:lastRenderedPageBreak/>
        <w:t xml:space="preserve">who had dismissed “retaliation” claims because the order to issue written reprimands did not amount  to </w:t>
      </w:r>
      <w:r w:rsidRPr="00667DF3">
        <w:rPr>
          <w:rFonts w:ascii="Times New Roman" w:hAnsi="Times New Roman"/>
          <w:sz w:val="24"/>
          <w:szCs w:val="24"/>
          <w:shd w:val="clear" w:color="auto" w:fill="FFFFFF"/>
        </w:rPr>
        <w:t xml:space="preserve">a </w:t>
      </w:r>
      <w:r>
        <w:rPr>
          <w:rFonts w:ascii="Times New Roman" w:hAnsi="Times New Roman"/>
          <w:sz w:val="24"/>
          <w:szCs w:val="24"/>
          <w:shd w:val="clear" w:color="auto" w:fill="FFFFFF"/>
        </w:rPr>
        <w:t>“</w:t>
      </w:r>
      <w:r w:rsidRPr="00667DF3">
        <w:rPr>
          <w:rFonts w:ascii="Times New Roman" w:hAnsi="Times New Roman"/>
          <w:sz w:val="24"/>
          <w:szCs w:val="24"/>
          <w:shd w:val="clear" w:color="auto" w:fill="FFFFFF"/>
        </w:rPr>
        <w:t>serious and material change in the employees’ terms, conditions, and</w:t>
      </w:r>
      <w:r>
        <w:rPr>
          <w:rFonts w:ascii="Times New Roman" w:hAnsi="Times New Roman"/>
          <w:sz w:val="24"/>
          <w:szCs w:val="24"/>
          <w:shd w:val="clear" w:color="auto" w:fill="FFFFFF"/>
        </w:rPr>
        <w:t xml:space="preserve"> </w:t>
      </w:r>
      <w:r w:rsidRPr="00667DF3">
        <w:rPr>
          <w:rFonts w:ascii="Times New Roman" w:hAnsi="Times New Roman"/>
          <w:sz w:val="24"/>
          <w:szCs w:val="24"/>
          <w:shd w:val="clear" w:color="auto" w:fill="FFFFFF"/>
        </w:rPr>
        <w:t>privileges of employment.</w:t>
      </w:r>
      <w:r>
        <w:rPr>
          <w:rFonts w:ascii="Times New Roman" w:hAnsi="Times New Roman"/>
          <w:sz w:val="24"/>
          <w:szCs w:val="24"/>
          <w:shd w:val="clear" w:color="auto" w:fill="FFFFFF"/>
        </w:rPr>
        <w:t xml:space="preserve">”  However, on April 17, 2024, the U.S. Supreme Court issued the “landmark” decision in </w:t>
      </w:r>
      <w:r w:rsidRPr="0069068E">
        <w:rPr>
          <w:rFonts w:ascii="Times New Roman" w:hAnsi="Times New Roman"/>
          <w:sz w:val="24"/>
          <w:szCs w:val="24"/>
          <w:shd w:val="clear" w:color="auto" w:fill="FFFFFF"/>
        </w:rPr>
        <w:t>Muldrow v. City of St. Louis</w:t>
      </w:r>
      <w:r>
        <w:rPr>
          <w:rFonts w:ascii="Times New Roman" w:hAnsi="Times New Roman"/>
          <w:sz w:val="24"/>
          <w:szCs w:val="24"/>
          <w:shd w:val="clear" w:color="auto" w:fill="FFFFFF"/>
        </w:rPr>
        <w:t xml:space="preserve">, which held that a female Saint Louis police officer may sue for her job transfer from Intelligence Division back to patrol duties.  </w:t>
      </w:r>
      <w:hyperlink r:id="rId2118" w:history="1">
        <w:r w:rsidRPr="0013187C">
          <w:rPr>
            <w:rStyle w:val="Hyperlink"/>
            <w:rFonts w:ascii="Times New Roman" w:hAnsi="Times New Roman"/>
            <w:sz w:val="24"/>
            <w:szCs w:val="24"/>
            <w:shd w:val="clear" w:color="auto" w:fill="FFFFFF"/>
          </w:rPr>
          <w:t>https://www.supremecourt.gov/opinions/23pdf/22-193_q86b.pdf</w:t>
        </w:r>
      </w:hyperlink>
      <w:r>
        <w:rPr>
          <w:rFonts w:ascii="Times New Roman" w:hAnsi="Times New Roman"/>
          <w:sz w:val="24"/>
          <w:szCs w:val="24"/>
          <w:shd w:val="clear" w:color="auto" w:fill="FFFFFF"/>
        </w:rPr>
        <w:t xml:space="preserve"> </w:t>
      </w:r>
    </w:p>
    <w:p w14:paraId="5F403218" w14:textId="77777777" w:rsidR="0089006F" w:rsidRDefault="0089006F" w:rsidP="0089006F">
      <w:pPr>
        <w:pStyle w:val="NoSpacing"/>
        <w:rPr>
          <w:rFonts w:ascii="Times New Roman" w:hAnsi="Times New Roman"/>
          <w:sz w:val="24"/>
          <w:szCs w:val="24"/>
          <w:shd w:val="clear" w:color="auto" w:fill="FFFFFF"/>
        </w:rPr>
      </w:pPr>
    </w:p>
    <w:p w14:paraId="3CCEBE93" w14:textId="77777777" w:rsidR="0089006F" w:rsidRDefault="0089006F" w:rsidP="0089006F">
      <w:pPr>
        <w:pStyle w:val="NoSpacing"/>
        <w:rPr>
          <w:rFonts w:ascii="Times New Roman" w:hAnsi="Times New Roman"/>
          <w:sz w:val="24"/>
          <w:szCs w:val="24"/>
          <w:shd w:val="clear" w:color="auto" w:fill="FFFFFF"/>
        </w:rPr>
      </w:pPr>
      <w:r>
        <w:rPr>
          <w:rFonts w:ascii="Times New Roman" w:hAnsi="Times New Roman"/>
          <w:sz w:val="24"/>
          <w:szCs w:val="24"/>
          <w:shd w:val="clear" w:color="auto" w:fill="FFFFFF"/>
        </w:rPr>
        <w:t xml:space="preserve">Captain Davis gets the benefit of the new standard requiring only proof of “some injury.” </w:t>
      </w:r>
      <w:hyperlink r:id="rId2119" w:history="1">
        <w:r w:rsidRPr="0013187C">
          <w:rPr>
            <w:rStyle w:val="Hyperlink"/>
            <w:rFonts w:ascii="Times New Roman" w:hAnsi="Times New Roman"/>
            <w:sz w:val="24"/>
            <w:szCs w:val="24"/>
            <w:shd w:val="clear" w:color="auto" w:fill="FFFFFF"/>
          </w:rPr>
          <w:t>https://cases.justia.com/federal/appellate-courts/ca11/23-12759/23-12759-2024-07-23.pdf?ts=1721745066</w:t>
        </w:r>
      </w:hyperlink>
      <w:r>
        <w:rPr>
          <w:rFonts w:ascii="Times New Roman" w:hAnsi="Times New Roman"/>
          <w:sz w:val="24"/>
          <w:szCs w:val="24"/>
          <w:shd w:val="clear" w:color="auto" w:fill="FFFFFF"/>
        </w:rPr>
        <w:t xml:space="preserve"> </w:t>
      </w:r>
    </w:p>
    <w:p w14:paraId="6271F0E8" w14:textId="77777777" w:rsidR="0089006F" w:rsidRDefault="0089006F" w:rsidP="0089006F">
      <w:pPr>
        <w:pStyle w:val="NoSpacing"/>
        <w:rPr>
          <w:rFonts w:ascii="Times New Roman" w:hAnsi="Times New Roman"/>
          <w:sz w:val="24"/>
          <w:szCs w:val="24"/>
          <w:shd w:val="clear" w:color="auto" w:fill="FFFFFF"/>
        </w:rPr>
      </w:pPr>
    </w:p>
    <w:p w14:paraId="4833D683" w14:textId="77777777" w:rsidR="0089006F" w:rsidRDefault="0089006F" w:rsidP="0089006F">
      <w:pPr>
        <w:pStyle w:val="NoSpacing"/>
        <w:rPr>
          <w:rFonts w:ascii="Times New Roman" w:hAnsi="Times New Roman"/>
          <w:sz w:val="24"/>
          <w:szCs w:val="24"/>
          <w:shd w:val="clear" w:color="auto" w:fill="FFFFFF"/>
        </w:rPr>
      </w:pPr>
      <w:r>
        <w:rPr>
          <w:rFonts w:ascii="Times New Roman" w:hAnsi="Times New Roman"/>
          <w:sz w:val="24"/>
          <w:szCs w:val="24"/>
          <w:shd w:val="clear" w:color="auto" w:fill="FFFFFF"/>
        </w:rPr>
        <w:t>THE COURT HELD:</w:t>
      </w:r>
    </w:p>
    <w:p w14:paraId="07B93E74" w14:textId="77777777" w:rsidR="0089006F" w:rsidRDefault="0089006F" w:rsidP="0089006F">
      <w:pPr>
        <w:pStyle w:val="NoSpacing"/>
        <w:rPr>
          <w:rFonts w:ascii="Times New Roman" w:hAnsi="Times New Roman"/>
          <w:sz w:val="24"/>
          <w:szCs w:val="24"/>
          <w:shd w:val="clear" w:color="auto" w:fill="FFFFFF"/>
        </w:rPr>
      </w:pPr>
    </w:p>
    <w:p w14:paraId="689D99F7" w14:textId="2E2048A0" w:rsidR="0089006F" w:rsidRDefault="0089006F" w:rsidP="0089006F">
      <w:pPr>
        <w:pStyle w:val="NoSpacing"/>
        <w:ind w:left="720"/>
        <w:rPr>
          <w:rFonts w:ascii="Times New Roman" w:hAnsi="Times New Roman"/>
          <w:sz w:val="24"/>
          <w:szCs w:val="24"/>
          <w:shd w:val="clear" w:color="auto" w:fill="FFFFFF"/>
        </w:rPr>
      </w:pPr>
      <w:r>
        <w:rPr>
          <w:rFonts w:ascii="Times New Roman" w:hAnsi="Times New Roman"/>
          <w:sz w:val="24"/>
          <w:szCs w:val="24"/>
          <w:shd w:val="clear" w:color="auto" w:fill="FFFFFF"/>
        </w:rPr>
        <w:t>“</w:t>
      </w:r>
      <w:r w:rsidRPr="0069068E">
        <w:rPr>
          <w:rFonts w:ascii="Times New Roman" w:hAnsi="Times New Roman"/>
          <w:sz w:val="24"/>
          <w:szCs w:val="24"/>
          <w:shd w:val="clear" w:color="auto" w:fill="FFFFFF"/>
        </w:rPr>
        <w:t>But during the pendency of this appeal, the Supreme Court</w:t>
      </w:r>
      <w:r>
        <w:rPr>
          <w:rFonts w:ascii="Times New Roman" w:hAnsi="Times New Roman"/>
          <w:sz w:val="24"/>
          <w:szCs w:val="24"/>
          <w:shd w:val="clear" w:color="auto" w:fill="FFFFFF"/>
        </w:rPr>
        <w:t xml:space="preserve"> </w:t>
      </w:r>
      <w:r w:rsidRPr="0069068E">
        <w:rPr>
          <w:rFonts w:ascii="Times New Roman" w:hAnsi="Times New Roman"/>
          <w:sz w:val="24"/>
          <w:szCs w:val="24"/>
          <w:shd w:val="clear" w:color="auto" w:fill="FFFFFF"/>
        </w:rPr>
        <w:t>decided Muldrow v. City of St. Louis, 144 S. Ct. 967 (</w:t>
      </w:r>
      <w:r w:rsidR="006A6D1D">
        <w:rPr>
          <w:rFonts w:ascii="Times New Roman" w:hAnsi="Times New Roman"/>
          <w:sz w:val="24"/>
          <w:szCs w:val="24"/>
          <w:shd w:val="clear" w:color="auto" w:fill="FFFFFF"/>
        </w:rPr>
        <w:t xml:space="preserve">April 17, </w:t>
      </w:r>
      <w:r w:rsidRPr="0069068E">
        <w:rPr>
          <w:rFonts w:ascii="Times New Roman" w:hAnsi="Times New Roman"/>
          <w:sz w:val="24"/>
          <w:szCs w:val="24"/>
          <w:shd w:val="clear" w:color="auto" w:fill="FFFFFF"/>
        </w:rPr>
        <w:t>2024), in which</w:t>
      </w:r>
      <w:r>
        <w:rPr>
          <w:rFonts w:ascii="Times New Roman" w:hAnsi="Times New Roman"/>
          <w:sz w:val="24"/>
          <w:szCs w:val="24"/>
          <w:shd w:val="clear" w:color="auto" w:fill="FFFFFF"/>
        </w:rPr>
        <w:t xml:space="preserve"> </w:t>
      </w:r>
      <w:r w:rsidRPr="0069068E">
        <w:rPr>
          <w:rFonts w:ascii="Times New Roman" w:hAnsi="Times New Roman"/>
          <w:sz w:val="24"/>
          <w:szCs w:val="24"/>
          <w:shd w:val="clear" w:color="auto" w:fill="FFFFFF"/>
        </w:rPr>
        <w:t>it clarified a plaintiff’s required showing for an adverse employment action under the anti-discrimination provision of Title VII.</w:t>
      </w:r>
      <w:r>
        <w:rPr>
          <w:rFonts w:ascii="Times New Roman" w:hAnsi="Times New Roman"/>
          <w:sz w:val="24"/>
          <w:szCs w:val="24"/>
          <w:shd w:val="clear" w:color="auto" w:fill="FFFFFF"/>
        </w:rPr>
        <w:t xml:space="preserve"> </w:t>
      </w:r>
      <w:r w:rsidRPr="0069068E">
        <w:rPr>
          <w:rFonts w:ascii="Times New Roman" w:hAnsi="Times New Roman"/>
          <w:sz w:val="24"/>
          <w:szCs w:val="24"/>
          <w:shd w:val="clear" w:color="auto" w:fill="FFFFFF"/>
        </w:rPr>
        <w:t xml:space="preserve">The Supreme Court explained that a plaintiff </w:t>
      </w:r>
      <w:r>
        <w:rPr>
          <w:rFonts w:ascii="Times New Roman" w:hAnsi="Times New Roman"/>
          <w:sz w:val="24"/>
          <w:szCs w:val="24"/>
          <w:shd w:val="clear" w:color="auto" w:fill="FFFFFF"/>
        </w:rPr>
        <w:t>‘</w:t>
      </w:r>
      <w:r w:rsidRPr="0069068E">
        <w:rPr>
          <w:rFonts w:ascii="Times New Roman" w:hAnsi="Times New Roman"/>
          <w:sz w:val="24"/>
          <w:szCs w:val="24"/>
          <w:shd w:val="clear" w:color="auto" w:fill="FFFFFF"/>
        </w:rPr>
        <w:t xml:space="preserve">need </w:t>
      </w:r>
      <w:proofErr w:type="gramStart"/>
      <w:r w:rsidRPr="0069068E">
        <w:rPr>
          <w:rFonts w:ascii="Times New Roman" w:hAnsi="Times New Roman"/>
          <w:sz w:val="24"/>
          <w:szCs w:val="24"/>
          <w:shd w:val="clear" w:color="auto" w:fill="FFFFFF"/>
        </w:rPr>
        <w:t>show</w:t>
      </w:r>
      <w:proofErr w:type="gramEnd"/>
      <w:r w:rsidRPr="0069068E">
        <w:rPr>
          <w:rFonts w:ascii="Times New Roman" w:hAnsi="Times New Roman"/>
          <w:sz w:val="24"/>
          <w:szCs w:val="24"/>
          <w:shd w:val="clear" w:color="auto" w:fill="FFFFFF"/>
        </w:rPr>
        <w:t xml:space="preserve"> only</w:t>
      </w:r>
      <w:r>
        <w:rPr>
          <w:rFonts w:ascii="Times New Roman" w:hAnsi="Times New Roman"/>
          <w:sz w:val="24"/>
          <w:szCs w:val="24"/>
          <w:shd w:val="clear" w:color="auto" w:fill="FFFFFF"/>
        </w:rPr>
        <w:t xml:space="preserve"> </w:t>
      </w:r>
      <w:r w:rsidRPr="0069068E">
        <w:rPr>
          <w:rFonts w:ascii="Times New Roman" w:hAnsi="Times New Roman"/>
          <w:sz w:val="24"/>
          <w:szCs w:val="24"/>
          <w:shd w:val="clear" w:color="auto" w:fill="FFFFFF"/>
        </w:rPr>
        <w:t>some injury respecting her employment terms or conditions,</w:t>
      </w:r>
      <w:r>
        <w:rPr>
          <w:rFonts w:ascii="Times New Roman" w:hAnsi="Times New Roman"/>
          <w:sz w:val="24"/>
          <w:szCs w:val="24"/>
          <w:shd w:val="clear" w:color="auto" w:fill="FFFFFF"/>
        </w:rPr>
        <w:t>’</w:t>
      </w:r>
      <w:r w:rsidRPr="0069068E">
        <w:rPr>
          <w:rFonts w:ascii="Times New Roman" w:hAnsi="Times New Roman"/>
          <w:sz w:val="24"/>
          <w:szCs w:val="24"/>
          <w:shd w:val="clear" w:color="auto" w:fill="FFFFFF"/>
        </w:rPr>
        <w:t xml:space="preserve"> or</w:t>
      </w:r>
      <w:r>
        <w:rPr>
          <w:rFonts w:ascii="Times New Roman" w:hAnsi="Times New Roman"/>
          <w:sz w:val="24"/>
          <w:szCs w:val="24"/>
          <w:shd w:val="clear" w:color="auto" w:fill="FFFFFF"/>
        </w:rPr>
        <w:t xml:space="preserve"> </w:t>
      </w:r>
      <w:r w:rsidRPr="0069068E">
        <w:rPr>
          <w:rFonts w:ascii="Times New Roman" w:hAnsi="Times New Roman"/>
          <w:sz w:val="24"/>
          <w:szCs w:val="24"/>
          <w:shd w:val="clear" w:color="auto" w:fill="FFFFFF"/>
        </w:rPr>
        <w:t xml:space="preserve">in other words, a </w:t>
      </w:r>
      <w:r>
        <w:rPr>
          <w:rFonts w:ascii="Times New Roman" w:hAnsi="Times New Roman"/>
          <w:sz w:val="24"/>
          <w:szCs w:val="24"/>
          <w:shd w:val="clear" w:color="auto" w:fill="FFFFFF"/>
        </w:rPr>
        <w:t>‘</w:t>
      </w:r>
      <w:r w:rsidRPr="0069068E">
        <w:rPr>
          <w:rFonts w:ascii="Times New Roman" w:hAnsi="Times New Roman"/>
          <w:sz w:val="24"/>
          <w:szCs w:val="24"/>
          <w:shd w:val="clear" w:color="auto" w:fill="FFFFFF"/>
        </w:rPr>
        <w:t>disadvantageous change in an employment term</w:t>
      </w:r>
      <w:r>
        <w:rPr>
          <w:rFonts w:ascii="Times New Roman" w:hAnsi="Times New Roman"/>
          <w:sz w:val="24"/>
          <w:szCs w:val="24"/>
          <w:shd w:val="clear" w:color="auto" w:fill="FFFFFF"/>
        </w:rPr>
        <w:t xml:space="preserve"> </w:t>
      </w:r>
      <w:r w:rsidRPr="0069068E">
        <w:rPr>
          <w:rFonts w:ascii="Times New Roman" w:hAnsi="Times New Roman"/>
          <w:sz w:val="24"/>
          <w:szCs w:val="24"/>
          <w:shd w:val="clear" w:color="auto" w:fill="FFFFFF"/>
        </w:rPr>
        <w:t xml:space="preserve">or </w:t>
      </w:r>
      <w:proofErr w:type="gramStart"/>
      <w:r w:rsidRPr="0069068E">
        <w:rPr>
          <w:rFonts w:ascii="Times New Roman" w:hAnsi="Times New Roman"/>
          <w:sz w:val="24"/>
          <w:szCs w:val="24"/>
          <w:shd w:val="clear" w:color="auto" w:fill="FFFFFF"/>
        </w:rPr>
        <w:t>condition.”</w:t>
      </w:r>
      <w:proofErr w:type="gramEnd"/>
      <w:r w:rsidRPr="0069068E">
        <w:rPr>
          <w:rFonts w:ascii="Times New Roman" w:hAnsi="Times New Roman"/>
          <w:sz w:val="24"/>
          <w:szCs w:val="24"/>
          <w:shd w:val="clear" w:color="auto" w:fill="FFFFFF"/>
        </w:rPr>
        <w:t xml:space="preserve"> Id. at 974, 977 (internal quotation marks omitted).</w:t>
      </w:r>
      <w:r>
        <w:rPr>
          <w:rFonts w:ascii="Times New Roman" w:hAnsi="Times New Roman"/>
          <w:sz w:val="24"/>
          <w:szCs w:val="24"/>
          <w:shd w:val="clear" w:color="auto" w:fill="FFFFFF"/>
        </w:rPr>
        <w:t xml:space="preserve"> </w:t>
      </w:r>
      <w:r w:rsidRPr="0069068E">
        <w:rPr>
          <w:rFonts w:ascii="Times New Roman" w:hAnsi="Times New Roman"/>
          <w:sz w:val="24"/>
          <w:szCs w:val="24"/>
          <w:shd w:val="clear" w:color="auto" w:fill="FFFFFF"/>
        </w:rPr>
        <w:t>But an injury need not constitute significant, serious, or substantial</w:t>
      </w:r>
      <w:r>
        <w:rPr>
          <w:rFonts w:ascii="Times New Roman" w:hAnsi="Times New Roman"/>
          <w:sz w:val="24"/>
          <w:szCs w:val="24"/>
          <w:shd w:val="clear" w:color="auto" w:fill="FFFFFF"/>
        </w:rPr>
        <w:t xml:space="preserve"> </w:t>
      </w:r>
      <w:r w:rsidRPr="0069068E">
        <w:rPr>
          <w:rFonts w:ascii="Times New Roman" w:hAnsi="Times New Roman"/>
          <w:sz w:val="24"/>
          <w:szCs w:val="24"/>
          <w:shd w:val="clear" w:color="auto" w:fill="FFFFFF"/>
        </w:rPr>
        <w:t>harm to suffice under the statute. Id. at 974. Thus, Davis does not</w:t>
      </w:r>
      <w:r>
        <w:rPr>
          <w:rFonts w:ascii="Times New Roman" w:hAnsi="Times New Roman"/>
          <w:sz w:val="24"/>
          <w:szCs w:val="24"/>
          <w:shd w:val="clear" w:color="auto" w:fill="FFFFFF"/>
        </w:rPr>
        <w:t xml:space="preserve"> </w:t>
      </w:r>
      <w:r w:rsidRPr="0069068E">
        <w:rPr>
          <w:rFonts w:ascii="Times New Roman" w:hAnsi="Times New Roman"/>
          <w:sz w:val="24"/>
          <w:szCs w:val="24"/>
          <w:shd w:val="clear" w:color="auto" w:fill="FFFFFF"/>
        </w:rPr>
        <w:t>need to meet our higher pre-Muldrow standard to make out a claim</w:t>
      </w:r>
      <w:r>
        <w:rPr>
          <w:rFonts w:ascii="Times New Roman" w:hAnsi="Times New Roman"/>
          <w:sz w:val="24"/>
          <w:szCs w:val="24"/>
          <w:shd w:val="clear" w:color="auto" w:fill="FFFFFF"/>
        </w:rPr>
        <w:t xml:space="preserve"> </w:t>
      </w:r>
      <w:r w:rsidRPr="0069068E">
        <w:rPr>
          <w:rFonts w:ascii="Times New Roman" w:hAnsi="Times New Roman"/>
          <w:sz w:val="24"/>
          <w:szCs w:val="24"/>
          <w:shd w:val="clear" w:color="auto" w:fill="FFFFFF"/>
        </w:rPr>
        <w:t>for retaliation under Title VII.</w:t>
      </w:r>
      <w:r>
        <w:rPr>
          <w:rFonts w:ascii="Times New Roman" w:hAnsi="Times New Roman"/>
          <w:sz w:val="24"/>
          <w:szCs w:val="24"/>
          <w:shd w:val="clear" w:color="auto" w:fill="FFFFFF"/>
        </w:rPr>
        <w:t>”</w:t>
      </w:r>
    </w:p>
    <w:p w14:paraId="78F7E399" w14:textId="77777777" w:rsidR="004F2EB6" w:rsidRDefault="004F2EB6" w:rsidP="004F2EB6">
      <w:pPr>
        <w:pStyle w:val="NoSpacing"/>
        <w:jc w:val="both"/>
        <w:rPr>
          <w:rFonts w:ascii="Times New Roman" w:hAnsi="Times New Roman"/>
          <w:b/>
          <w:bCs/>
          <w:sz w:val="24"/>
          <w:szCs w:val="24"/>
          <w:shd w:val="clear" w:color="auto" w:fill="FFFFFF"/>
        </w:rPr>
      </w:pPr>
    </w:p>
    <w:p w14:paraId="39A67C11" w14:textId="12AFAFCC" w:rsidR="004F2EB6" w:rsidRPr="004200F9" w:rsidRDefault="004F2EB6" w:rsidP="004F2EB6">
      <w:pPr>
        <w:pStyle w:val="NoSpacing"/>
        <w:jc w:val="both"/>
        <w:rPr>
          <w:rFonts w:ascii="Times New Roman" w:hAnsi="Times New Roman"/>
          <w:b/>
          <w:bCs/>
          <w:sz w:val="24"/>
          <w:szCs w:val="24"/>
          <w:shd w:val="clear" w:color="auto" w:fill="FFFFFF"/>
        </w:rPr>
      </w:pPr>
      <w:r>
        <w:rPr>
          <w:rFonts w:ascii="Times New Roman" w:hAnsi="Times New Roman"/>
          <w:b/>
          <w:bCs/>
          <w:sz w:val="24"/>
          <w:szCs w:val="24"/>
          <w:shd w:val="clear" w:color="auto" w:fill="FFFFFF"/>
        </w:rPr>
        <w:t xml:space="preserve">Legal Lesson Learned: Under the U.S. Supreme Court’s new “some injury” standard, many more discrimination and retaliation cases will now proceed to pre-trial discovery and trial. </w:t>
      </w:r>
    </w:p>
    <w:p w14:paraId="42F26BB9" w14:textId="77777777" w:rsidR="004F2EB6" w:rsidRPr="009D70F9" w:rsidRDefault="004F2EB6" w:rsidP="004F2EB6">
      <w:pPr>
        <w:pStyle w:val="NormalWeb"/>
        <w:ind w:left="720"/>
        <w:rPr>
          <w:color w:val="454545"/>
          <w:shd w:val="clear" w:color="auto" w:fill="FFFFFF"/>
        </w:rPr>
      </w:pPr>
      <w:r w:rsidRPr="009D70F9">
        <w:rPr>
          <w:color w:val="454545"/>
          <w:shd w:val="clear" w:color="auto" w:fill="FFFFFF"/>
        </w:rPr>
        <w:t xml:space="preserve">Note: See this June 15, </w:t>
      </w:r>
      <w:proofErr w:type="gramStart"/>
      <w:r w:rsidRPr="009D70F9">
        <w:rPr>
          <w:color w:val="454545"/>
          <w:shd w:val="clear" w:color="auto" w:fill="FFFFFF"/>
        </w:rPr>
        <w:t>2024</w:t>
      </w:r>
      <w:proofErr w:type="gramEnd"/>
      <w:r w:rsidRPr="009D70F9">
        <w:rPr>
          <w:color w:val="454545"/>
          <w:shd w:val="clear" w:color="auto" w:fill="FFFFFF"/>
        </w:rPr>
        <w:t xml:space="preserve"> article: </w:t>
      </w:r>
      <w:hyperlink r:id="rId2120" w:history="1">
        <w:r w:rsidRPr="009D70F9">
          <w:rPr>
            <w:rStyle w:val="Hyperlink"/>
            <w:shd w:val="clear" w:color="auto" w:fill="FFFFFF"/>
          </w:rPr>
          <w:t>https://www.orangeobserver.com/news/2024/jun/15/breaking-former-orange-county-fire-rescue-battalion-chief-announces-candidacy-for-county-commission-district-1/</w:t>
        </w:r>
      </w:hyperlink>
      <w:r w:rsidRPr="009D70F9">
        <w:rPr>
          <w:color w:val="454545"/>
          <w:shd w:val="clear" w:color="auto" w:fill="FFFFFF"/>
        </w:rPr>
        <w:t xml:space="preserve"> “BREAKING: Former Orange County Fire Rescue battalion chief announces candidacy for County Commission District 1. Stephen Davis in 2021 was fired from the department after he did not reprimand personnel who refused to take the COVID-19 vaccine.” </w:t>
      </w:r>
    </w:p>
    <w:p w14:paraId="761452AA" w14:textId="77777777" w:rsidR="0089006F" w:rsidRDefault="0089006F" w:rsidP="002B1283">
      <w:pPr>
        <w:rPr>
          <w:rFonts w:ascii="Arial Black" w:hAnsi="Arial Black"/>
          <w:b/>
          <w:bCs/>
          <w:sz w:val="28"/>
          <w:szCs w:val="28"/>
        </w:rPr>
      </w:pPr>
    </w:p>
    <w:p w14:paraId="764AD717" w14:textId="77777777" w:rsidR="0089006F" w:rsidRDefault="0089006F" w:rsidP="002B1283">
      <w:pPr>
        <w:rPr>
          <w:rFonts w:ascii="Arial Black" w:hAnsi="Arial Black"/>
          <w:b/>
          <w:bCs/>
          <w:sz w:val="28"/>
          <w:szCs w:val="28"/>
        </w:rPr>
      </w:pPr>
    </w:p>
    <w:p w14:paraId="78D29AF4" w14:textId="6FCF144E" w:rsidR="003C2A76" w:rsidRDefault="003C2A76" w:rsidP="002B1283">
      <w:pPr>
        <w:rPr>
          <w:rFonts w:ascii="Arial Black" w:hAnsi="Arial Black"/>
          <w:b/>
          <w:bCs/>
          <w:sz w:val="28"/>
          <w:szCs w:val="28"/>
        </w:rPr>
      </w:pPr>
      <w:r>
        <w:rPr>
          <w:rFonts w:ascii="Arial Black" w:hAnsi="Arial Black"/>
          <w:b/>
          <w:bCs/>
          <w:sz w:val="28"/>
          <w:szCs w:val="28"/>
        </w:rPr>
        <w:t>13-188</w:t>
      </w:r>
    </w:p>
    <w:p w14:paraId="09F6F2F9" w14:textId="77777777" w:rsidR="003C2A76" w:rsidRPr="0009763F" w:rsidRDefault="003C2A76" w:rsidP="003C2A76">
      <w:pPr>
        <w:pStyle w:val="NormalWeb"/>
        <w:spacing w:before="0" w:beforeAutospacing="0"/>
        <w:rPr>
          <w:rFonts w:ascii="Arial Black" w:hAnsi="Arial Black"/>
          <w:b/>
          <w:bCs/>
          <w:color w:val="454545"/>
          <w:sz w:val="28"/>
          <w:szCs w:val="28"/>
          <w:shd w:val="clear" w:color="auto" w:fill="FFFFFF"/>
        </w:rPr>
      </w:pPr>
      <w:r>
        <w:rPr>
          <w:rFonts w:ascii="Arial Black" w:hAnsi="Arial Black"/>
          <w:b/>
          <w:bCs/>
          <w:color w:val="454545"/>
          <w:sz w:val="28"/>
          <w:szCs w:val="28"/>
          <w:shd w:val="clear" w:color="auto" w:fill="FFFFFF"/>
        </w:rPr>
        <w:t xml:space="preserve">DC: ELDERLY WAITED 5 MIN. CALL 911 – DIED UNRELATED ILLNESS – NOT ADMISSIBLE TRIAL - “EXCITED UTTERANCE” </w:t>
      </w:r>
    </w:p>
    <w:p w14:paraId="61D3F653" w14:textId="77777777" w:rsidR="003C2A76" w:rsidRDefault="003C2A76" w:rsidP="003C2A76">
      <w:pPr>
        <w:pStyle w:val="NormalWeb"/>
        <w:rPr>
          <w:color w:val="454545"/>
          <w:shd w:val="clear" w:color="auto" w:fill="FFFFFF"/>
        </w:rPr>
      </w:pPr>
      <w:r w:rsidRPr="009253E0">
        <w:rPr>
          <w:color w:val="454545"/>
          <w:shd w:val="clear" w:color="auto" w:fill="FFFFFF"/>
        </w:rPr>
        <w:t xml:space="preserve">On May 23, 2024, in </w:t>
      </w:r>
      <w:r w:rsidRPr="00F018C0">
        <w:rPr>
          <w:color w:val="454545"/>
          <w:u w:val="single"/>
          <w:shd w:val="clear" w:color="auto" w:fill="FFFFFF"/>
        </w:rPr>
        <w:t>Joshua C. Austin v. United States</w:t>
      </w:r>
      <w:r w:rsidRPr="009253E0">
        <w:rPr>
          <w:color w:val="454545"/>
          <w:shd w:val="clear" w:color="auto" w:fill="FFFFFF"/>
        </w:rPr>
        <w:t xml:space="preserve">, the D.C. Court of Appeals held (3 to 0) </w:t>
      </w:r>
      <w:r>
        <w:rPr>
          <w:color w:val="454545"/>
          <w:shd w:val="clear" w:color="auto" w:fill="FFFFFF"/>
        </w:rPr>
        <w:t xml:space="preserve">that robbery jury conviction should be reversed; but burglary and assault convictions upheld.  He followed </w:t>
      </w:r>
      <w:proofErr w:type="gramStart"/>
      <w:r>
        <w:rPr>
          <w:color w:val="454545"/>
          <w:shd w:val="clear" w:color="auto" w:fill="FFFFFF"/>
        </w:rPr>
        <w:t>68-year old</w:t>
      </w:r>
      <w:proofErr w:type="gramEnd"/>
      <w:r>
        <w:rPr>
          <w:color w:val="454545"/>
          <w:shd w:val="clear" w:color="auto" w:fill="FFFFFF"/>
        </w:rPr>
        <w:t xml:space="preserve"> woman from grocery store to her apartment, threw her down steps and stole $60.  She called 911 about 5 minutes after the incident and gave a good description of the assailant. Prior to trial, the victim died from long illness unrelated to the assault.  The Court held:</w:t>
      </w:r>
    </w:p>
    <w:p w14:paraId="1B9DAD04" w14:textId="77777777" w:rsidR="003C2A76" w:rsidRPr="009253E0" w:rsidRDefault="003C2A76" w:rsidP="003C2A76">
      <w:pPr>
        <w:pStyle w:val="NormalWeb"/>
        <w:ind w:left="720" w:firstLine="60"/>
        <w:rPr>
          <w:color w:val="454545"/>
          <w:shd w:val="clear" w:color="auto" w:fill="FFFFFF"/>
        </w:rPr>
      </w:pPr>
      <w:r>
        <w:rPr>
          <w:color w:val="454545"/>
          <w:shd w:val="clear" w:color="auto" w:fill="FFFFFF"/>
        </w:rPr>
        <w:t>“</w:t>
      </w:r>
      <w:r w:rsidRPr="00875420">
        <w:rPr>
          <w:color w:val="454545"/>
          <w:shd w:val="clear" w:color="auto" w:fill="FFFFFF"/>
        </w:rPr>
        <w:t>Here, a reasonable person—from the perspective of either Ms. Marvil or the</w:t>
      </w:r>
      <w:r>
        <w:rPr>
          <w:color w:val="454545"/>
          <w:shd w:val="clear" w:color="auto" w:fill="FFFFFF"/>
        </w:rPr>
        <w:t xml:space="preserve"> </w:t>
      </w:r>
      <w:r w:rsidRPr="00875420">
        <w:rPr>
          <w:color w:val="454545"/>
          <w:shd w:val="clear" w:color="auto" w:fill="FFFFFF"/>
        </w:rPr>
        <w:t>911 operator—would not have believed that there was an ongoing emergency at the</w:t>
      </w:r>
      <w:r>
        <w:rPr>
          <w:color w:val="454545"/>
          <w:shd w:val="clear" w:color="auto" w:fill="FFFFFF"/>
        </w:rPr>
        <w:t xml:space="preserve"> </w:t>
      </w:r>
      <w:r w:rsidRPr="00875420">
        <w:rPr>
          <w:color w:val="454545"/>
          <w:shd w:val="clear" w:color="auto" w:fill="FFFFFF"/>
        </w:rPr>
        <w:t>time of the 911 call.</w:t>
      </w:r>
      <w:r>
        <w:rPr>
          <w:color w:val="454545"/>
          <w:shd w:val="clear" w:color="auto" w:fill="FFFFFF"/>
        </w:rPr>
        <w:t xml:space="preserve"> *** </w:t>
      </w:r>
      <w:r w:rsidRPr="00E35A07">
        <w:rPr>
          <w:color w:val="454545"/>
          <w:shd w:val="clear" w:color="auto" w:fill="FFFFFF"/>
        </w:rPr>
        <w:t xml:space="preserve">Considering the factors </w:t>
      </w:r>
      <w:proofErr w:type="gramStart"/>
      <w:r w:rsidRPr="00E35A07">
        <w:rPr>
          <w:color w:val="454545"/>
          <w:shd w:val="clear" w:color="auto" w:fill="FFFFFF"/>
        </w:rPr>
        <w:t>on the whole</w:t>
      </w:r>
      <w:proofErr w:type="gramEnd"/>
      <w:r w:rsidRPr="00E35A07">
        <w:rPr>
          <w:color w:val="454545"/>
          <w:shd w:val="clear" w:color="auto" w:fill="FFFFFF"/>
        </w:rPr>
        <w:t>, we conclude that the emergency had</w:t>
      </w:r>
      <w:r>
        <w:rPr>
          <w:color w:val="454545"/>
          <w:shd w:val="clear" w:color="auto" w:fill="FFFFFF"/>
        </w:rPr>
        <w:t xml:space="preserve"> </w:t>
      </w:r>
      <w:r w:rsidRPr="00E35A07">
        <w:rPr>
          <w:color w:val="454545"/>
          <w:shd w:val="clear" w:color="auto" w:fill="FFFFFF"/>
        </w:rPr>
        <w:t>subsided by the time Ms. Marvil called 911.</w:t>
      </w:r>
      <w:r>
        <w:rPr>
          <w:color w:val="454545"/>
          <w:shd w:val="clear" w:color="auto" w:fill="FFFFFF"/>
        </w:rPr>
        <w:t xml:space="preserve">” </w:t>
      </w:r>
      <w:hyperlink r:id="rId2121" w:history="1">
        <w:r w:rsidRPr="00F80308">
          <w:rPr>
            <w:rStyle w:val="Hyperlink"/>
            <w:shd w:val="clear" w:color="auto" w:fill="FFFFFF"/>
          </w:rPr>
          <w:t>https://www.dccourts.gov/sites/default/files/2024-05/Austin%20v.%20US%2022-CF-0085.pdf</w:t>
        </w:r>
      </w:hyperlink>
      <w:r>
        <w:rPr>
          <w:color w:val="454545"/>
          <w:shd w:val="clear" w:color="auto" w:fill="FFFFFF"/>
        </w:rPr>
        <w:t xml:space="preserve"> </w:t>
      </w:r>
    </w:p>
    <w:p w14:paraId="16288BBD" w14:textId="77777777" w:rsidR="00C825BD" w:rsidRDefault="00C825BD" w:rsidP="00C825BD">
      <w:pPr>
        <w:pStyle w:val="NoSpacing"/>
        <w:rPr>
          <w:rFonts w:ascii="Times New Roman" w:hAnsi="Times New Roman"/>
          <w:b/>
          <w:bCs/>
          <w:sz w:val="24"/>
          <w:szCs w:val="24"/>
          <w:shd w:val="clear" w:color="auto" w:fill="FFFFFF"/>
        </w:rPr>
      </w:pPr>
      <w:r w:rsidRPr="000349F6">
        <w:rPr>
          <w:rFonts w:ascii="Times New Roman" w:hAnsi="Times New Roman"/>
          <w:b/>
          <w:bCs/>
          <w:sz w:val="24"/>
          <w:szCs w:val="24"/>
          <w:shd w:val="clear" w:color="auto" w:fill="FFFFFF"/>
        </w:rPr>
        <w:lastRenderedPageBreak/>
        <w:t xml:space="preserve">Legal Lesson Learned: </w:t>
      </w:r>
      <w:r>
        <w:rPr>
          <w:rFonts w:ascii="Times New Roman" w:hAnsi="Times New Roman"/>
          <w:b/>
          <w:bCs/>
          <w:sz w:val="24"/>
          <w:szCs w:val="24"/>
          <w:shd w:val="clear" w:color="auto" w:fill="FFFFFF"/>
        </w:rPr>
        <w:t xml:space="preserve"> The “excited utterance” exception is well established in numerous court decisions – admissible if the declarant is still under stress from a startling event; the trial court judge made a well-reasoned decision. </w:t>
      </w:r>
    </w:p>
    <w:p w14:paraId="2C858A88" w14:textId="77777777" w:rsidR="00C825BD" w:rsidRDefault="00C825BD" w:rsidP="00C825BD">
      <w:pPr>
        <w:pStyle w:val="NoSpacing"/>
        <w:ind w:left="720"/>
        <w:rPr>
          <w:rFonts w:ascii="Times New Roman" w:hAnsi="Times New Roman"/>
          <w:sz w:val="24"/>
          <w:szCs w:val="24"/>
          <w:shd w:val="clear" w:color="auto" w:fill="FFFFFF"/>
        </w:rPr>
      </w:pPr>
    </w:p>
    <w:p w14:paraId="1A205814" w14:textId="77777777" w:rsidR="00C825BD" w:rsidRDefault="00C825BD" w:rsidP="00C825BD">
      <w:pPr>
        <w:pStyle w:val="NoSpacing"/>
        <w:ind w:left="720"/>
        <w:rPr>
          <w:rFonts w:ascii="Times New Roman" w:hAnsi="Times New Roman"/>
          <w:sz w:val="24"/>
          <w:szCs w:val="24"/>
          <w:shd w:val="clear" w:color="auto" w:fill="FFFFFF"/>
        </w:rPr>
      </w:pPr>
      <w:r>
        <w:rPr>
          <w:rFonts w:ascii="Times New Roman" w:hAnsi="Times New Roman"/>
          <w:sz w:val="24"/>
          <w:szCs w:val="24"/>
          <w:shd w:val="clear" w:color="auto" w:fill="FFFFFF"/>
        </w:rPr>
        <w:t xml:space="preserve">Note: </w:t>
      </w:r>
    </w:p>
    <w:p w14:paraId="65DFB47B" w14:textId="77777777" w:rsidR="00C825BD" w:rsidRDefault="00C825BD" w:rsidP="00C825BD">
      <w:pPr>
        <w:pStyle w:val="NoSpacing"/>
        <w:ind w:left="720"/>
        <w:rPr>
          <w:rFonts w:ascii="Times New Roman" w:hAnsi="Times New Roman"/>
          <w:sz w:val="24"/>
          <w:szCs w:val="24"/>
          <w:shd w:val="clear" w:color="auto" w:fill="FFFFFF"/>
        </w:rPr>
      </w:pPr>
    </w:p>
    <w:p w14:paraId="521BBBE2" w14:textId="77777777" w:rsidR="00C825BD" w:rsidRPr="00E62F56" w:rsidRDefault="00C825BD" w:rsidP="00C825BD">
      <w:pPr>
        <w:pStyle w:val="NoSpacing"/>
        <w:ind w:left="720"/>
        <w:rPr>
          <w:rFonts w:ascii="Times New Roman" w:hAnsi="Times New Roman"/>
          <w:b/>
          <w:bCs/>
          <w:sz w:val="24"/>
          <w:szCs w:val="24"/>
          <w:shd w:val="clear" w:color="auto" w:fill="FFFFFF"/>
        </w:rPr>
      </w:pPr>
      <w:r w:rsidRPr="00C1174E">
        <w:rPr>
          <w:rFonts w:ascii="Times New Roman" w:hAnsi="Times New Roman"/>
          <w:b/>
          <w:bCs/>
          <w:sz w:val="24"/>
          <w:szCs w:val="24"/>
          <w:shd w:val="clear" w:color="auto" w:fill="FFFFFF"/>
        </w:rPr>
        <w:t>“</w:t>
      </w:r>
      <w:r w:rsidRPr="00C1174E">
        <w:rPr>
          <w:rFonts w:ascii="Times New Roman" w:hAnsi="Times New Roman"/>
          <w:sz w:val="24"/>
          <w:szCs w:val="24"/>
        </w:rPr>
        <w:t>Excited utterance, under the</w:t>
      </w:r>
      <w:hyperlink r:id="rId2122" w:history="1">
        <w:r w:rsidRPr="00C1174E">
          <w:rPr>
            <w:rStyle w:val="Hyperlink"/>
            <w:rFonts w:ascii="Times New Roman" w:hAnsi="Times New Roman"/>
            <w:color w:val="auto"/>
            <w:sz w:val="24"/>
            <w:szCs w:val="24"/>
          </w:rPr>
          <w:t xml:space="preserve"> Federal Rules of Evidence</w:t>
        </w:r>
      </w:hyperlink>
      <w:r w:rsidRPr="00C1174E">
        <w:rPr>
          <w:rFonts w:ascii="Times New Roman" w:hAnsi="Times New Roman"/>
          <w:sz w:val="24"/>
          <w:szCs w:val="24"/>
        </w:rPr>
        <w:t xml:space="preserve">, is defined as a statement that concerns a startling event, made by the </w:t>
      </w:r>
      <w:hyperlink r:id="rId2123" w:history="1">
        <w:r w:rsidRPr="00C1174E">
          <w:rPr>
            <w:rStyle w:val="Hyperlink"/>
            <w:rFonts w:ascii="Times New Roman" w:hAnsi="Times New Roman"/>
            <w:color w:val="auto"/>
            <w:sz w:val="24"/>
            <w:szCs w:val="24"/>
          </w:rPr>
          <w:t>declarant</w:t>
        </w:r>
      </w:hyperlink>
      <w:r w:rsidRPr="00C1174E">
        <w:rPr>
          <w:rFonts w:ascii="Times New Roman" w:hAnsi="Times New Roman"/>
          <w:sz w:val="24"/>
          <w:szCs w:val="24"/>
        </w:rPr>
        <w:t xml:space="preserve"> when the declarant is still under stress from the startling event. Excited utterance is an exception to the</w:t>
      </w:r>
      <w:hyperlink r:id="rId2124" w:history="1">
        <w:r w:rsidRPr="00C1174E">
          <w:rPr>
            <w:rStyle w:val="Hyperlink"/>
            <w:rFonts w:ascii="Times New Roman" w:hAnsi="Times New Roman"/>
            <w:color w:val="auto"/>
            <w:sz w:val="24"/>
            <w:szCs w:val="24"/>
          </w:rPr>
          <w:t xml:space="preserve"> hearsay</w:t>
        </w:r>
      </w:hyperlink>
      <w:r w:rsidRPr="00C1174E">
        <w:rPr>
          <w:rFonts w:ascii="Times New Roman" w:hAnsi="Times New Roman"/>
          <w:sz w:val="24"/>
          <w:szCs w:val="24"/>
        </w:rPr>
        <w:t xml:space="preserve"> rule.” </w:t>
      </w:r>
      <w:hyperlink r:id="rId2125" w:history="1">
        <w:r w:rsidRPr="00F80308">
          <w:rPr>
            <w:rStyle w:val="Hyperlink"/>
            <w:rFonts w:ascii="Times New Roman" w:hAnsi="Times New Roman"/>
            <w:sz w:val="24"/>
            <w:szCs w:val="24"/>
          </w:rPr>
          <w:t>https://www.law.cornell.edu/wex/excited_utterance</w:t>
        </w:r>
      </w:hyperlink>
      <w:r>
        <w:rPr>
          <w:rFonts w:ascii="Times New Roman" w:hAnsi="Times New Roman"/>
          <w:sz w:val="24"/>
          <w:szCs w:val="24"/>
        </w:rPr>
        <w:t xml:space="preserve"> </w:t>
      </w:r>
    </w:p>
    <w:p w14:paraId="0D03A7D8" w14:textId="77777777" w:rsidR="00C825BD" w:rsidRDefault="00C825BD" w:rsidP="00C825BD">
      <w:pPr>
        <w:pStyle w:val="NoSpacing"/>
        <w:ind w:left="720"/>
        <w:rPr>
          <w:rFonts w:ascii="Times New Roman" w:hAnsi="Times New Roman"/>
          <w:sz w:val="24"/>
          <w:szCs w:val="24"/>
          <w:shd w:val="clear" w:color="auto" w:fill="FFFFFF"/>
        </w:rPr>
      </w:pPr>
    </w:p>
    <w:p w14:paraId="604ABBAB" w14:textId="77777777" w:rsidR="00C825BD" w:rsidRDefault="00C825BD" w:rsidP="00C825BD">
      <w:pPr>
        <w:pStyle w:val="NoSpacing"/>
        <w:ind w:left="720"/>
        <w:rPr>
          <w:rFonts w:ascii="Times New Roman" w:hAnsi="Times New Roman"/>
          <w:sz w:val="24"/>
          <w:szCs w:val="24"/>
          <w:shd w:val="clear" w:color="auto" w:fill="FFFFFF"/>
        </w:rPr>
      </w:pPr>
      <w:r>
        <w:rPr>
          <w:rFonts w:ascii="Times New Roman" w:hAnsi="Times New Roman"/>
          <w:sz w:val="24"/>
          <w:szCs w:val="24"/>
          <w:shd w:val="clear" w:color="auto" w:fill="FFFFFF"/>
        </w:rPr>
        <w:t>The defendant will be resentenced; he was originally sentenced to 24 years in prison. The Court wrote:</w:t>
      </w:r>
    </w:p>
    <w:p w14:paraId="2E0E83C9" w14:textId="77777777" w:rsidR="00C825BD" w:rsidRDefault="00C825BD" w:rsidP="00C825BD">
      <w:pPr>
        <w:pStyle w:val="NoSpacing"/>
        <w:ind w:firstLine="720"/>
        <w:rPr>
          <w:rFonts w:ascii="Times New Roman" w:hAnsi="Times New Roman"/>
          <w:sz w:val="24"/>
          <w:szCs w:val="24"/>
          <w:shd w:val="clear" w:color="auto" w:fill="FFFFFF"/>
        </w:rPr>
      </w:pPr>
    </w:p>
    <w:p w14:paraId="7DE288BD" w14:textId="77777777" w:rsidR="00C825BD" w:rsidRDefault="00C825BD" w:rsidP="00C825BD">
      <w:pPr>
        <w:pStyle w:val="NoSpacing"/>
        <w:ind w:left="1440"/>
        <w:rPr>
          <w:rFonts w:ascii="Times New Roman" w:hAnsi="Times New Roman"/>
          <w:sz w:val="24"/>
          <w:szCs w:val="24"/>
          <w:shd w:val="clear" w:color="auto" w:fill="FFFFFF"/>
        </w:rPr>
      </w:pPr>
      <w:r>
        <w:rPr>
          <w:rFonts w:ascii="Times New Roman" w:hAnsi="Times New Roman"/>
          <w:sz w:val="24"/>
          <w:szCs w:val="24"/>
          <w:shd w:val="clear" w:color="auto" w:fill="FFFFFF"/>
        </w:rPr>
        <w:t>“</w:t>
      </w:r>
      <w:r w:rsidRPr="0009763F">
        <w:rPr>
          <w:rFonts w:ascii="Times New Roman" w:hAnsi="Times New Roman"/>
          <w:sz w:val="24"/>
          <w:szCs w:val="24"/>
          <w:shd w:val="clear" w:color="auto" w:fill="FFFFFF"/>
        </w:rPr>
        <w:t>We further</w:t>
      </w:r>
      <w:r>
        <w:rPr>
          <w:rFonts w:ascii="Times New Roman" w:hAnsi="Times New Roman"/>
          <w:sz w:val="24"/>
          <w:szCs w:val="24"/>
          <w:shd w:val="clear" w:color="auto" w:fill="FFFFFF"/>
        </w:rPr>
        <w:t xml:space="preserve"> </w:t>
      </w:r>
      <w:r w:rsidRPr="0009763F">
        <w:rPr>
          <w:rFonts w:ascii="Times New Roman" w:hAnsi="Times New Roman"/>
          <w:sz w:val="24"/>
          <w:szCs w:val="24"/>
          <w:shd w:val="clear" w:color="auto" w:fill="FFFFFF"/>
        </w:rPr>
        <w:t>conclude that the government has failed to demonstrate that the error was harmless</w:t>
      </w:r>
      <w:r>
        <w:rPr>
          <w:rFonts w:ascii="Times New Roman" w:hAnsi="Times New Roman"/>
          <w:sz w:val="24"/>
          <w:szCs w:val="24"/>
          <w:shd w:val="clear" w:color="auto" w:fill="FFFFFF"/>
        </w:rPr>
        <w:t xml:space="preserve"> </w:t>
      </w:r>
      <w:r w:rsidRPr="0009763F">
        <w:rPr>
          <w:rFonts w:ascii="Times New Roman" w:hAnsi="Times New Roman"/>
          <w:sz w:val="24"/>
          <w:szCs w:val="24"/>
          <w:shd w:val="clear" w:color="auto" w:fill="FFFFFF"/>
        </w:rPr>
        <w:t>beyond a reasonable doubt as to Mr. Austin’s robbery conviction and his assault-with-intent-to-rob conviction. We are satisfied beyond a reasonable doubt, however,</w:t>
      </w:r>
      <w:r>
        <w:rPr>
          <w:rFonts w:ascii="Times New Roman" w:hAnsi="Times New Roman"/>
          <w:sz w:val="24"/>
          <w:szCs w:val="24"/>
          <w:shd w:val="clear" w:color="auto" w:fill="FFFFFF"/>
        </w:rPr>
        <w:t xml:space="preserve"> </w:t>
      </w:r>
      <w:r w:rsidRPr="0009763F">
        <w:rPr>
          <w:rFonts w:ascii="Times New Roman" w:hAnsi="Times New Roman"/>
          <w:sz w:val="24"/>
          <w:szCs w:val="24"/>
          <w:shd w:val="clear" w:color="auto" w:fill="FFFFFF"/>
        </w:rPr>
        <w:t>that, even without the erroneous admission of the 911 call, a rational jury would have</w:t>
      </w:r>
      <w:r>
        <w:rPr>
          <w:rFonts w:ascii="Times New Roman" w:hAnsi="Times New Roman"/>
          <w:sz w:val="24"/>
          <w:szCs w:val="24"/>
          <w:shd w:val="clear" w:color="auto" w:fill="FFFFFF"/>
        </w:rPr>
        <w:t xml:space="preserve"> </w:t>
      </w:r>
      <w:r w:rsidRPr="0009763F">
        <w:rPr>
          <w:rFonts w:ascii="Times New Roman" w:hAnsi="Times New Roman"/>
          <w:sz w:val="24"/>
          <w:szCs w:val="24"/>
          <w:shd w:val="clear" w:color="auto" w:fill="FFFFFF"/>
        </w:rPr>
        <w:t>found Mr. Austin guilty of burglary and simple assault as a lesser-included offense</w:t>
      </w:r>
      <w:r>
        <w:rPr>
          <w:rFonts w:ascii="Times New Roman" w:hAnsi="Times New Roman"/>
          <w:sz w:val="24"/>
          <w:szCs w:val="24"/>
          <w:shd w:val="clear" w:color="auto" w:fill="FFFFFF"/>
        </w:rPr>
        <w:t xml:space="preserve"> </w:t>
      </w:r>
      <w:r w:rsidRPr="0009763F">
        <w:rPr>
          <w:rFonts w:ascii="Times New Roman" w:hAnsi="Times New Roman"/>
          <w:sz w:val="24"/>
          <w:szCs w:val="24"/>
          <w:shd w:val="clear" w:color="auto" w:fill="FFFFFF"/>
        </w:rPr>
        <w:t>of assault with intent to rob. We therefore reverse Mr. Austin’s robbery and assault-with-intent-to-rob convictions, affirm Mr. Austin’s burglary conviction, and remand</w:t>
      </w:r>
      <w:r>
        <w:rPr>
          <w:rFonts w:ascii="Times New Roman" w:hAnsi="Times New Roman"/>
          <w:sz w:val="24"/>
          <w:szCs w:val="24"/>
          <w:shd w:val="clear" w:color="auto" w:fill="FFFFFF"/>
        </w:rPr>
        <w:t xml:space="preserve"> </w:t>
      </w:r>
      <w:r w:rsidRPr="0009763F">
        <w:rPr>
          <w:rFonts w:ascii="Times New Roman" w:hAnsi="Times New Roman"/>
          <w:sz w:val="24"/>
          <w:szCs w:val="24"/>
          <w:shd w:val="clear" w:color="auto" w:fill="FFFFFF"/>
        </w:rPr>
        <w:t>for entry of a conviction for assault and resentencing.</w:t>
      </w:r>
      <w:r>
        <w:rPr>
          <w:rFonts w:ascii="Times New Roman" w:hAnsi="Times New Roman"/>
          <w:sz w:val="24"/>
          <w:szCs w:val="24"/>
          <w:shd w:val="clear" w:color="auto" w:fill="FFFFFF"/>
        </w:rPr>
        <w:t>”</w:t>
      </w:r>
    </w:p>
    <w:p w14:paraId="61F187E3" w14:textId="77777777" w:rsidR="003C2A76" w:rsidRDefault="003C2A76" w:rsidP="002B1283">
      <w:pPr>
        <w:rPr>
          <w:rFonts w:ascii="Arial Black" w:hAnsi="Arial Black"/>
          <w:b/>
          <w:bCs/>
          <w:sz w:val="28"/>
          <w:szCs w:val="28"/>
        </w:rPr>
      </w:pPr>
    </w:p>
    <w:p w14:paraId="761515CC" w14:textId="77777777" w:rsidR="00E84210" w:rsidRDefault="00E84210" w:rsidP="002B1283">
      <w:pPr>
        <w:rPr>
          <w:rFonts w:ascii="Arial Black" w:hAnsi="Arial Black"/>
          <w:b/>
          <w:bCs/>
          <w:sz w:val="28"/>
          <w:szCs w:val="28"/>
        </w:rPr>
      </w:pPr>
    </w:p>
    <w:p w14:paraId="637F179E" w14:textId="2A42CF44" w:rsidR="00E84210" w:rsidRDefault="00E84210" w:rsidP="002B1283">
      <w:pPr>
        <w:rPr>
          <w:rFonts w:ascii="Arial Black" w:hAnsi="Arial Black"/>
          <w:b/>
          <w:bCs/>
          <w:sz w:val="28"/>
          <w:szCs w:val="28"/>
        </w:rPr>
      </w:pPr>
      <w:r>
        <w:rPr>
          <w:rFonts w:ascii="Arial Black" w:hAnsi="Arial Black"/>
          <w:b/>
          <w:bCs/>
          <w:sz w:val="28"/>
          <w:szCs w:val="28"/>
        </w:rPr>
        <w:t>13-187</w:t>
      </w:r>
    </w:p>
    <w:p w14:paraId="48CE8FED" w14:textId="77777777" w:rsidR="00595A8A" w:rsidRDefault="00595A8A" w:rsidP="00595A8A">
      <w:pPr>
        <w:pStyle w:val="NormalWeb"/>
        <w:rPr>
          <w:rFonts w:ascii="Arial Black" w:hAnsi="Arial Black"/>
          <w:sz w:val="28"/>
          <w:szCs w:val="28"/>
        </w:rPr>
      </w:pPr>
      <w:r>
        <w:rPr>
          <w:rFonts w:ascii="Arial Black" w:hAnsi="Arial Black"/>
          <w:sz w:val="28"/>
          <w:szCs w:val="28"/>
        </w:rPr>
        <w:t>AR:  PATIENT CONV. ASSAULT 2 PHOENIX FF -  PT THEN  SUES 5 PHOENIX FF EXCESSIVE FORCE – CASE PROCEED</w:t>
      </w:r>
    </w:p>
    <w:p w14:paraId="37744F70" w14:textId="77777777" w:rsidR="00595A8A" w:rsidRDefault="00595A8A" w:rsidP="00595A8A">
      <w:pPr>
        <w:pStyle w:val="NormalWeb"/>
      </w:pPr>
      <w:r>
        <w:t xml:space="preserve">On May 30, 2024, in </w:t>
      </w:r>
      <w:r w:rsidRPr="00504191">
        <w:rPr>
          <w:u w:val="single"/>
        </w:rPr>
        <w:t>Alan Troy Nimer v. Justin Broek, et al</w:t>
      </w:r>
      <w:r>
        <w:t>., the U.S. Court of Appeals for the 9</w:t>
      </w:r>
      <w:r w:rsidRPr="00504191">
        <w:rPr>
          <w:vertAlign w:val="superscript"/>
        </w:rPr>
        <w:t>th</w:t>
      </w:r>
      <w:r>
        <w:t xml:space="preserve"> Circuit, held (3 to 0; unpublished decision) that trial court improperly granted defense motion to dismiss.  The patient was convicted in state court of two counts of aggravated assault against two EMS – injuring two firefighters.  The Court held:</w:t>
      </w:r>
    </w:p>
    <w:p w14:paraId="04185B73" w14:textId="77777777" w:rsidR="00595A8A" w:rsidRDefault="00595A8A" w:rsidP="00595A8A">
      <w:pPr>
        <w:pStyle w:val="NormalWeb"/>
        <w:ind w:left="720"/>
      </w:pPr>
      <w:r>
        <w:t xml:space="preserve">“Hence, Nimer's claims are not </w:t>
      </w:r>
      <w:r>
        <w:rPr>
          <w:rStyle w:val="Emphasis"/>
          <w:rFonts w:eastAsiaTheme="majorEastAsia"/>
        </w:rPr>
        <w:t>Heck</w:t>
      </w:r>
      <w:r>
        <w:t xml:space="preserve">-barred because Nimer's success in this action would not </w:t>
      </w:r>
      <w:r>
        <w:rPr>
          <w:rStyle w:val="Emphasis"/>
          <w:rFonts w:eastAsiaTheme="majorEastAsia"/>
        </w:rPr>
        <w:t>necessarily</w:t>
      </w:r>
      <w:r>
        <w:t xml:space="preserve"> contradict his conviction. To the contrary, viewing the evidence in the light most favorable to Nimer, there is a genuine dispute of fact as to whether Defendants engaged in excessive force after Nimer completed the aggravated assault. </w:t>
      </w:r>
      <w:r>
        <w:rPr>
          <w:rStyle w:val="Emphasis"/>
          <w:rFonts w:eastAsiaTheme="majorEastAsia"/>
        </w:rPr>
        <w:t>See Smith</w:t>
      </w:r>
      <w:r>
        <w:t xml:space="preserve">, 394 F.3d at 699. We therefore reverse the district court's grant of summary judgment in favor of Defendants with respect to Nimer's excessive force and unconstitutional seizure claims. We remand for the district court to consider the merits of those claims in the first </w:t>
      </w:r>
      <w:proofErr w:type="gramStart"/>
      <w:r>
        <w:t>instance.”</w:t>
      </w:r>
      <w:proofErr w:type="gramEnd"/>
      <w:r>
        <w:t xml:space="preserve"> </w:t>
      </w:r>
      <w:hyperlink r:id="rId2126" w:history="1">
        <w:r w:rsidRPr="005176E1">
          <w:rPr>
            <w:rStyle w:val="Hyperlink"/>
          </w:rPr>
          <w:t>https://cases.justia.com/federal/appellate-courts/ca9/21-15252/21-15252-2024-05-20.pdf?ts=1716226339</w:t>
        </w:r>
      </w:hyperlink>
      <w:r>
        <w:t xml:space="preserve"> </w:t>
      </w:r>
    </w:p>
    <w:p w14:paraId="07D09180" w14:textId="77777777" w:rsidR="00F039A1" w:rsidRPr="00E62A89" w:rsidRDefault="00F039A1" w:rsidP="00F039A1">
      <w:pPr>
        <w:pStyle w:val="NormalWeb"/>
        <w:rPr>
          <w:b/>
          <w:bCs/>
        </w:rPr>
      </w:pPr>
      <w:r w:rsidRPr="00E62A89">
        <w:rPr>
          <w:b/>
          <w:bCs/>
        </w:rPr>
        <w:t>Legal Lesson Learned:</w:t>
      </w:r>
      <w:r>
        <w:rPr>
          <w:b/>
          <w:bCs/>
        </w:rPr>
        <w:t xml:space="preserve"> Patients assaulting EMS are unfortunately quite common, but a decision allowing a lawsuit to proceed against EMS by a patient convicted for assaulting the EMS is quite rare.  Body cameras could hopefully avoid similar cases. </w:t>
      </w:r>
    </w:p>
    <w:p w14:paraId="4BA94431" w14:textId="77777777" w:rsidR="00E84210" w:rsidRDefault="00E84210" w:rsidP="002B1283">
      <w:pPr>
        <w:rPr>
          <w:rFonts w:ascii="Arial Black" w:hAnsi="Arial Black"/>
          <w:b/>
          <w:bCs/>
          <w:sz w:val="28"/>
          <w:szCs w:val="28"/>
        </w:rPr>
      </w:pPr>
    </w:p>
    <w:p w14:paraId="0308C338" w14:textId="77777777" w:rsidR="00E84210" w:rsidRDefault="00E84210" w:rsidP="002B1283">
      <w:pPr>
        <w:rPr>
          <w:rFonts w:ascii="Arial Black" w:hAnsi="Arial Black"/>
          <w:b/>
          <w:bCs/>
          <w:sz w:val="28"/>
          <w:szCs w:val="28"/>
        </w:rPr>
      </w:pPr>
    </w:p>
    <w:p w14:paraId="66A1EEE4" w14:textId="1DB9FC17" w:rsidR="00D430E2" w:rsidRDefault="00D430E2" w:rsidP="002B1283">
      <w:pPr>
        <w:rPr>
          <w:rFonts w:ascii="Arial Black" w:hAnsi="Arial Black"/>
          <w:b/>
          <w:bCs/>
          <w:sz w:val="28"/>
          <w:szCs w:val="28"/>
        </w:rPr>
      </w:pPr>
      <w:r>
        <w:rPr>
          <w:rFonts w:ascii="Arial Black" w:hAnsi="Arial Black"/>
          <w:b/>
          <w:bCs/>
          <w:sz w:val="28"/>
          <w:szCs w:val="28"/>
        </w:rPr>
        <w:t>13-186</w:t>
      </w:r>
    </w:p>
    <w:p w14:paraId="55E3E808" w14:textId="7F7E572F" w:rsidR="006309AC" w:rsidRPr="0014478E" w:rsidRDefault="006309AC" w:rsidP="006309AC">
      <w:pPr>
        <w:pStyle w:val="NormalWeb"/>
        <w:spacing w:before="0" w:beforeAutospacing="0"/>
        <w:rPr>
          <w:rFonts w:ascii="Arial Black" w:hAnsi="Arial Black"/>
          <w:b/>
          <w:bCs/>
          <w:color w:val="454545"/>
          <w:sz w:val="28"/>
          <w:szCs w:val="28"/>
          <w:shd w:val="clear" w:color="auto" w:fill="FFFFFF"/>
        </w:rPr>
      </w:pPr>
      <w:r>
        <w:rPr>
          <w:rFonts w:ascii="Arial Black" w:hAnsi="Arial Black"/>
          <w:b/>
          <w:bCs/>
          <w:color w:val="454545"/>
          <w:sz w:val="28"/>
          <w:szCs w:val="28"/>
          <w:shd w:val="clear" w:color="auto" w:fill="FFFFFF"/>
        </w:rPr>
        <w:t>NC: P</w:t>
      </w:r>
      <w:r w:rsidR="00C760FE">
        <w:rPr>
          <w:rFonts w:ascii="Arial Black" w:hAnsi="Arial Black"/>
          <w:b/>
          <w:bCs/>
          <w:color w:val="454545"/>
          <w:sz w:val="28"/>
          <w:szCs w:val="28"/>
          <w:shd w:val="clear" w:color="auto" w:fill="FFFFFF"/>
        </w:rPr>
        <w:t>T</w:t>
      </w:r>
      <w:r>
        <w:rPr>
          <w:rFonts w:ascii="Arial Black" w:hAnsi="Arial Black"/>
          <w:b/>
          <w:bCs/>
          <w:color w:val="454545"/>
          <w:sz w:val="28"/>
          <w:szCs w:val="28"/>
          <w:shd w:val="clear" w:color="auto" w:fill="FFFFFF"/>
        </w:rPr>
        <w:t xml:space="preserve"> CONVICTED ASSAULTING “EMT” DURING TRANSPORT –ASSAULT ON “PARAMEDIC”</w:t>
      </w:r>
      <w:r w:rsidR="00C760FE">
        <w:rPr>
          <w:rFonts w:ascii="Arial Black" w:hAnsi="Arial Black"/>
          <w:b/>
          <w:bCs/>
          <w:color w:val="454545"/>
          <w:sz w:val="28"/>
          <w:szCs w:val="28"/>
          <w:shd w:val="clear" w:color="auto" w:fill="FFFFFF"/>
        </w:rPr>
        <w:t xml:space="preserve"> INCLUDES EMT</w:t>
      </w:r>
    </w:p>
    <w:p w14:paraId="23494D8E" w14:textId="77777777" w:rsidR="006309AC" w:rsidRDefault="006309AC" w:rsidP="006309AC">
      <w:pPr>
        <w:pStyle w:val="NormalWeb"/>
        <w:spacing w:before="0" w:beforeAutospacing="0"/>
      </w:pPr>
      <w:r>
        <w:t xml:space="preserve">On May 21, 2024, in </w:t>
      </w:r>
      <w:r w:rsidRPr="00782B8A">
        <w:rPr>
          <w:u w:val="single"/>
        </w:rPr>
        <w:t>State of North Carolina v. Rachel Shalom Juran</w:t>
      </w:r>
      <w:r>
        <w:t>, the Court of Appeals of North Carolina held (3 to 0) that under N.C. statutes, assault on a paramedic is considered an assault on an EMT.  During transport, the defendant became agitated and forcefully grabbed and squeezed the paramedic’s hand, and the ambulance driver had to pull over to assist the medic.  The EMS Supervisor came to scene along with PD and rode in ambulance to hospital.  When the patient was released from hospital she was arrested.  Jury convicted but Judge only sentenced her to 6 to 17 months' imprisonment suspended for 24 months' supervised probation The Court held:</w:t>
      </w:r>
    </w:p>
    <w:p w14:paraId="4E310179" w14:textId="77777777" w:rsidR="006309AC" w:rsidRDefault="006309AC" w:rsidP="006309AC">
      <w:pPr>
        <w:pStyle w:val="NormalWeb"/>
        <w:spacing w:before="0" w:beforeAutospacing="0"/>
        <w:ind w:left="720"/>
      </w:pPr>
      <w:r>
        <w:t xml:space="preserve">“Here, Defendant was charged with assault on an EMT as the indictment stated, in relevant part, Defendant "unlawfully, willfully and feloniously did assault [Lueth], an emergency medical technician[.]"  Notably, although N.C. Gen. Stat. § 14-34.6 does not specifically define emergency medical technician, other statutes within this same chapter define ‘emergency medical technician’ to include a paramedic. </w:t>
      </w:r>
      <w:r>
        <w:rPr>
          <w:rStyle w:val="Emphasis"/>
          <w:rFonts w:eastAsiaTheme="majorEastAsia"/>
        </w:rPr>
        <w:t>See</w:t>
      </w:r>
      <w:r>
        <w:t xml:space="preserve"> N.C. Gen. Stat. § 14-69.3(a)(1) (2023). Nonetheless, even if ‘emergency medical technician’ as applied under N.C. Gen. Stat. § 14-34.6 was not intended to include paramedics, whether the victim was an emergency medical technician or paramedic is a distinction without difference for the purpose of the charging statute. While we recognize the credentials of a paramedic differ from those of an EMT, the gist of the offense at issue remains the same notwithstanding the victim's credentials. </w:t>
      </w:r>
      <w:r>
        <w:rPr>
          <w:rStyle w:val="Emphasis"/>
          <w:rFonts w:eastAsiaTheme="majorEastAsia"/>
        </w:rPr>
        <w:t>See</w:t>
      </w:r>
      <w:r>
        <w:t xml:space="preserve"> N.C. Gen. Stat. § 131E-155(10), (15a) (2023). Moreover, Defendant would be charged under the same statute regardless of whether she assaulted a paramedic or an EMT.” </w:t>
      </w:r>
      <w:hyperlink r:id="rId2127" w:history="1">
        <w:r w:rsidRPr="004F7BC4">
          <w:rPr>
            <w:rStyle w:val="Hyperlink"/>
          </w:rPr>
          <w:t>https://cases.justia.com/north-carolina/court-of-appeals/2024-23-881.pdf?ts=1716294565</w:t>
        </w:r>
      </w:hyperlink>
      <w:r>
        <w:t xml:space="preserve"> </w:t>
      </w:r>
    </w:p>
    <w:p w14:paraId="1060F4F2" w14:textId="77777777" w:rsidR="00E84210" w:rsidRPr="00CD320B" w:rsidRDefault="00E84210" w:rsidP="00E84210">
      <w:pPr>
        <w:spacing w:after="100" w:line="240" w:lineRule="auto"/>
        <w:rPr>
          <w:rFonts w:ascii="Times New Roman" w:eastAsia="Times New Roman" w:hAnsi="Times New Roman"/>
          <w:b/>
          <w:bCs/>
          <w:sz w:val="24"/>
          <w:szCs w:val="24"/>
        </w:rPr>
      </w:pPr>
      <w:r w:rsidRPr="0090745C">
        <w:rPr>
          <w:rFonts w:ascii="Times New Roman" w:hAnsi="Times New Roman"/>
          <w:b/>
          <w:bCs/>
          <w:sz w:val="24"/>
          <w:szCs w:val="24"/>
        </w:rPr>
        <w:t>Legal Lesson Learned:</w:t>
      </w:r>
      <w:r>
        <w:rPr>
          <w:rFonts w:ascii="Times New Roman" w:hAnsi="Times New Roman"/>
          <w:b/>
          <w:bCs/>
          <w:sz w:val="24"/>
          <w:szCs w:val="24"/>
        </w:rPr>
        <w:t xml:space="preserve"> </w:t>
      </w:r>
      <w:r w:rsidRPr="00CD320B">
        <w:rPr>
          <w:rFonts w:ascii="Times New Roman" w:hAnsi="Times New Roman"/>
          <w:b/>
          <w:bCs/>
          <w:sz w:val="24"/>
          <w:szCs w:val="24"/>
        </w:rPr>
        <w:t>Strange appeal the NC statute clearly applies to “</w:t>
      </w:r>
      <w:r w:rsidRPr="00CD320B">
        <w:rPr>
          <w:rFonts w:ascii="Times New Roman" w:eastAsia="Times New Roman" w:hAnsi="Times New Roman"/>
          <w:b/>
          <w:bCs/>
          <w:sz w:val="24"/>
          <w:szCs w:val="24"/>
        </w:rPr>
        <w:t>An emergency medical technician or other emergency health care provider.”</w:t>
      </w:r>
    </w:p>
    <w:p w14:paraId="14447272" w14:textId="77777777" w:rsidR="00D430E2" w:rsidRDefault="00D430E2" w:rsidP="002B1283">
      <w:pPr>
        <w:rPr>
          <w:rFonts w:ascii="Arial Black" w:hAnsi="Arial Black"/>
          <w:b/>
          <w:bCs/>
          <w:sz w:val="28"/>
          <w:szCs w:val="28"/>
        </w:rPr>
      </w:pPr>
    </w:p>
    <w:p w14:paraId="5BB736C3" w14:textId="173E6478" w:rsidR="00766805" w:rsidRDefault="00766805" w:rsidP="001C2F88">
      <w:pPr>
        <w:rPr>
          <w:rFonts w:ascii="Arial Black" w:hAnsi="Arial Black"/>
          <w:sz w:val="28"/>
          <w:szCs w:val="28"/>
        </w:rPr>
      </w:pPr>
      <w:r>
        <w:rPr>
          <w:rFonts w:ascii="Arial Black" w:hAnsi="Arial Black"/>
          <w:sz w:val="28"/>
          <w:szCs w:val="28"/>
        </w:rPr>
        <w:t>13</w:t>
      </w:r>
      <w:r w:rsidR="00ED5101">
        <w:rPr>
          <w:rFonts w:ascii="Arial Black" w:hAnsi="Arial Black"/>
          <w:sz w:val="28"/>
          <w:szCs w:val="28"/>
        </w:rPr>
        <w:t>-185</w:t>
      </w:r>
    </w:p>
    <w:p w14:paraId="50D1284C" w14:textId="77777777" w:rsidR="003358D9" w:rsidRDefault="003358D9" w:rsidP="003358D9">
      <w:pPr>
        <w:pStyle w:val="NormalWeb"/>
        <w:spacing w:before="0" w:beforeAutospacing="0"/>
        <w:rPr>
          <w:rFonts w:ascii="Arial Black" w:hAnsi="Arial Black"/>
          <w:b/>
          <w:bCs/>
          <w:color w:val="454545"/>
          <w:sz w:val="28"/>
          <w:szCs w:val="28"/>
          <w:shd w:val="clear" w:color="auto" w:fill="FFFFFF"/>
        </w:rPr>
      </w:pPr>
      <w:r>
        <w:rPr>
          <w:rFonts w:ascii="Arial Black" w:hAnsi="Arial Black"/>
          <w:b/>
          <w:bCs/>
          <w:color w:val="454545"/>
          <w:sz w:val="28"/>
          <w:szCs w:val="28"/>
          <w:shd w:val="clear" w:color="auto" w:fill="FFFFFF"/>
        </w:rPr>
        <w:t>PA: DISPATCHER SENT WRONG AMBULANCE – 1 HOUR AWAY – PREGANT PATIENT LOST BABY – NOT FED. CASE</w:t>
      </w:r>
    </w:p>
    <w:p w14:paraId="0303BB56" w14:textId="77777777" w:rsidR="003358D9" w:rsidRDefault="003358D9" w:rsidP="003358D9">
      <w:pPr>
        <w:pStyle w:val="NormalWeb"/>
        <w:spacing w:before="0" w:beforeAutospacing="0"/>
      </w:pPr>
      <w:r>
        <w:rPr>
          <w:color w:val="454545"/>
          <w:shd w:val="clear" w:color="auto" w:fill="FFFFFF"/>
        </w:rPr>
        <w:t xml:space="preserve">On May 15, 2024, in </w:t>
      </w:r>
      <w:r w:rsidRPr="005F31AE">
        <w:rPr>
          <w:color w:val="454545"/>
          <w:u w:val="single"/>
          <w:shd w:val="clear" w:color="auto" w:fill="FFFFFF"/>
        </w:rPr>
        <w:t>Chad Reiner and Stephanie Reiner v. Northumberland County, et al</w:t>
      </w:r>
      <w:r>
        <w:rPr>
          <w:color w:val="454545"/>
          <w:shd w:val="clear" w:color="auto" w:fill="FFFFFF"/>
        </w:rPr>
        <w:t xml:space="preserve">., Chief United States District Court Judge </w:t>
      </w:r>
      <w:r>
        <w:t>Matthew W. Brann dismissed the lawsuit, which can now be filed in state court.  The dispatcher failed to notify the closest ambulance (10 miles) or the second ambulance (24 miles</w:t>
      </w:r>
      <w:proofErr w:type="gramStart"/>
      <w:r>
        <w:t>), but</w:t>
      </w:r>
      <w:proofErr w:type="gramEnd"/>
      <w:r>
        <w:t xml:space="preserve"> instead toned out ambulance in Harrisburg that took one hour to arrive.  The patient was bleeding out and repeatedly called 911, but dispatcher refused to advise location of responding ambulance.  The Court held:</w:t>
      </w:r>
    </w:p>
    <w:p w14:paraId="41368FE9" w14:textId="77777777" w:rsidR="003358D9" w:rsidRDefault="003358D9" w:rsidP="003358D9">
      <w:pPr>
        <w:pStyle w:val="NormalWeb"/>
        <w:spacing w:before="0" w:beforeAutospacing="0"/>
        <w:ind w:left="720"/>
      </w:pPr>
      <w:r>
        <w:t xml:space="preserve">“The law does not always align with what one may believe is right, just, or fair. This painful fact is the necessary reality of a well-ordered legal system. In this case, the careless conduct of a 911 dispatcher led to </w:t>
      </w:r>
      <w:proofErr w:type="gramStart"/>
      <w:r>
        <w:t>a terrible tragedy</w:t>
      </w:r>
      <w:proofErr w:type="gramEnd"/>
      <w:r>
        <w:t xml:space="preserve">. But for the individual citizen, the United States Constitution is mainly a charter of negative liberties. It provides no remedy for this harm. Nor is federal court an appropriate forum to talk through </w:t>
      </w:r>
      <w:proofErr w:type="gramStart"/>
      <w:r>
        <w:t>questions of state</w:t>
      </w:r>
      <w:proofErr w:type="gramEnd"/>
      <w:r>
        <w:t xml:space="preserve"> law. </w:t>
      </w:r>
      <w:proofErr w:type="gramStart"/>
      <w:r>
        <w:t>So</w:t>
      </w:r>
      <w:proofErr w:type="gramEnd"/>
      <w:r>
        <w:t xml:space="preserve"> this lawsuit is dismissed with prejudice.</w:t>
      </w:r>
    </w:p>
    <w:p w14:paraId="653BA3ED" w14:textId="77777777" w:rsidR="003358D9" w:rsidRDefault="003358D9" w:rsidP="003358D9">
      <w:pPr>
        <w:pStyle w:val="NormalWeb"/>
        <w:spacing w:before="0" w:beforeAutospacing="0"/>
        <w:ind w:left="720"/>
      </w:pPr>
      <w:r>
        <w:lastRenderedPageBreak/>
        <w:t>***</w:t>
      </w:r>
    </w:p>
    <w:p w14:paraId="3C0CBA7A" w14:textId="77777777" w:rsidR="003358D9" w:rsidRDefault="003358D9" w:rsidP="003358D9">
      <w:pPr>
        <w:pStyle w:val="NormalWeb"/>
        <w:spacing w:before="0" w:beforeAutospacing="0"/>
        <w:ind w:left="720"/>
      </w:pPr>
      <w:r>
        <w:t>Plaintiffs' Section 1983 claims fail because they have alleged no violation of their federal constitutional rights. Because there are no surviving federal claims, the Court declines to exercise supplemental jurisdiction over Plaintiffs' state law claims.</w:t>
      </w:r>
    </w:p>
    <w:p w14:paraId="4F5AAC11" w14:textId="77777777" w:rsidR="003358D9" w:rsidRDefault="003358D9" w:rsidP="003358D9">
      <w:pPr>
        <w:pStyle w:val="NormalWeb"/>
        <w:spacing w:before="0" w:beforeAutospacing="0"/>
        <w:ind w:left="720"/>
      </w:pPr>
      <w:r>
        <w:t>***</w:t>
      </w:r>
    </w:p>
    <w:p w14:paraId="6487E888" w14:textId="77777777" w:rsidR="003358D9" w:rsidRDefault="003358D9" w:rsidP="003358D9">
      <w:pPr>
        <w:pStyle w:val="NormalWeb"/>
        <w:ind w:left="720"/>
      </w:pPr>
      <w:r>
        <w:t xml:space="preserve">The Third Circuit has long-standing precedent that there is no constitutional right to receive emergency ambulance services, nor is there ‘an affirmative obligation on the State to provide competent rescue services if it chooses to provide them.’  </w:t>
      </w:r>
      <w:proofErr w:type="gramStart"/>
      <w:r>
        <w:t>So</w:t>
      </w:r>
      <w:proofErr w:type="gramEnd"/>
      <w:r>
        <w:t xml:space="preserve"> any injuries resulting from flawed or incompetent emergency rescue services are not constitutional injuries, and hence not actionable under Section 1983. Plaintiffs' argument that they only waited an hour for the ambulance because they did not know it would take so long requires a closer analysis of this Circuit's ‘state-created danger’ theory of liability. </w:t>
      </w:r>
    </w:p>
    <w:p w14:paraId="4CF099E0" w14:textId="77777777" w:rsidR="003358D9" w:rsidRDefault="003358D9" w:rsidP="003358D9">
      <w:pPr>
        <w:pStyle w:val="NormalWeb"/>
        <w:ind w:left="720"/>
      </w:pPr>
      <w:r>
        <w:t>***</w:t>
      </w:r>
    </w:p>
    <w:p w14:paraId="454BF281" w14:textId="77777777" w:rsidR="003358D9" w:rsidRDefault="003358D9" w:rsidP="003358D9">
      <w:pPr>
        <w:pStyle w:val="NormalWeb"/>
        <w:ind w:left="720"/>
      </w:pPr>
      <w:r>
        <w:t xml:space="preserve">Nothing of </w:t>
      </w:r>
      <w:proofErr w:type="gramStart"/>
      <w:r>
        <w:t>the</w:t>
      </w:r>
      <w:proofErr w:type="gramEnd"/>
      <w:r>
        <w:t xml:space="preserve"> kind is alleged here. Stephanie Reiner was not such a vulnerable person even while injured, the state does not assume responsibility over injured </w:t>
      </w:r>
      <w:proofErr w:type="gramStart"/>
      <w:r>
        <w:t>persons</w:t>
      </w:r>
      <w:proofErr w:type="gramEnd"/>
      <w:r>
        <w:t xml:space="preserve"> by offering assurances, and no would-be protector was displaced. Accordingly, Plaintiffs' Section 1983 claim fails under the state-created danger theory of liability. </w:t>
      </w:r>
    </w:p>
    <w:p w14:paraId="0DA30753" w14:textId="77777777" w:rsidR="003358D9" w:rsidRDefault="003358D9" w:rsidP="003358D9">
      <w:pPr>
        <w:pStyle w:val="NormalWeb"/>
        <w:ind w:left="720"/>
      </w:pPr>
      <w:r>
        <w:t>***</w:t>
      </w:r>
    </w:p>
    <w:p w14:paraId="6DBAC9D2" w14:textId="425CA111" w:rsidR="00ED5101" w:rsidRDefault="003358D9" w:rsidP="003358D9">
      <w:pPr>
        <w:ind w:left="720"/>
        <w:rPr>
          <w:rStyle w:val="Hyperlink"/>
          <w:rFonts w:ascii="Times New Roman" w:hAnsi="Times New Roman"/>
          <w:sz w:val="24"/>
          <w:szCs w:val="24"/>
        </w:rPr>
      </w:pPr>
      <w:r w:rsidRPr="003358D9">
        <w:rPr>
          <w:rFonts w:ascii="Times New Roman" w:hAnsi="Times New Roman"/>
          <w:sz w:val="24"/>
          <w:szCs w:val="24"/>
        </w:rPr>
        <w:t xml:space="preserve">The Court has great sympathy for the hardship Plaintiffs have suffered, but their case does not belong in federal court because they have not plausibly alleged any violation of the United States Constitution.” </w:t>
      </w:r>
      <w:hyperlink r:id="rId2128" w:history="1">
        <w:r w:rsidRPr="003358D9">
          <w:rPr>
            <w:rStyle w:val="Hyperlink"/>
            <w:rFonts w:ascii="Times New Roman" w:hAnsi="Times New Roman"/>
            <w:sz w:val="24"/>
            <w:szCs w:val="24"/>
          </w:rPr>
          <w:t>https://webservices.courthousenews.com/sites/Data/AppellateOpinionUploads/2024-17-5--13-46-27-048b5eb5-2700-4a37-ac11-5deaa284f5ce.pdf</w:t>
        </w:r>
      </w:hyperlink>
    </w:p>
    <w:p w14:paraId="18DC104C" w14:textId="77777777" w:rsidR="00D430E2" w:rsidRDefault="00D430E2" w:rsidP="00D430E2">
      <w:pPr>
        <w:pStyle w:val="NormalWeb"/>
        <w:rPr>
          <w:b/>
          <w:bCs/>
        </w:rPr>
      </w:pPr>
      <w:r>
        <w:rPr>
          <w:b/>
          <w:bCs/>
        </w:rPr>
        <w:t>Legal Lesson Learned: Dispatch protocol should require nearest ambulance be called [10 miles in this case], and if not available, then next nearest ambulance [24 miles].</w:t>
      </w:r>
    </w:p>
    <w:p w14:paraId="4D6A0356" w14:textId="77777777" w:rsidR="00D430E2" w:rsidRDefault="00D430E2" w:rsidP="00D430E2">
      <w:pPr>
        <w:pStyle w:val="NormalWeb"/>
        <w:ind w:left="720"/>
      </w:pPr>
      <w:r>
        <w:t>Note: Dispatch protocol was corrected after this run, and a change in management. The Court wrote:</w:t>
      </w:r>
    </w:p>
    <w:p w14:paraId="770ECEE8" w14:textId="77777777" w:rsidR="00D430E2" w:rsidRPr="00126FA6" w:rsidRDefault="00D430E2" w:rsidP="00D430E2">
      <w:pPr>
        <w:pStyle w:val="NormalWeb"/>
        <w:ind w:left="1440"/>
        <w:rPr>
          <w:vertAlign w:val="superscript"/>
        </w:rPr>
      </w:pPr>
      <w:r>
        <w:t>“The Northumberland County District Attorney's Office investigated the incident. In October 2022, the Northumberland County Fire Chiefs Association's vice president claimed that mismanagement of the 911 Center had placed the public in danger; another fire chief expressed concern that mismanagement of the 911 Center would result in civilian death. At this same meeting, fire officials aired grievances concerning prolonged dispatch times and significant dispatcher turnover, and called for Fellman's termination [Russell Fellman, the 911 Coordinator in charge of the Northumberland County 911 Center]. Fellman resigned as 911 Coordinator in December 2022.”</w:t>
      </w:r>
    </w:p>
    <w:p w14:paraId="02E4A6B5" w14:textId="77777777" w:rsidR="00D430E2" w:rsidRPr="003358D9" w:rsidRDefault="00D430E2" w:rsidP="003358D9">
      <w:pPr>
        <w:ind w:left="720"/>
        <w:rPr>
          <w:rFonts w:ascii="Times New Roman" w:hAnsi="Times New Roman"/>
          <w:sz w:val="24"/>
          <w:szCs w:val="24"/>
        </w:rPr>
      </w:pPr>
    </w:p>
    <w:p w14:paraId="4814F1E8" w14:textId="77777777" w:rsidR="00766805" w:rsidRDefault="00766805" w:rsidP="001C2F88">
      <w:pPr>
        <w:rPr>
          <w:rFonts w:ascii="Arial Black" w:hAnsi="Arial Black"/>
          <w:sz w:val="28"/>
          <w:szCs w:val="28"/>
        </w:rPr>
      </w:pPr>
    </w:p>
    <w:p w14:paraId="6D29D3A9" w14:textId="77777777" w:rsidR="00766805" w:rsidRDefault="00766805" w:rsidP="001C2F88">
      <w:pPr>
        <w:rPr>
          <w:rFonts w:ascii="Arial Black" w:hAnsi="Arial Black"/>
          <w:sz w:val="28"/>
          <w:szCs w:val="28"/>
        </w:rPr>
      </w:pPr>
    </w:p>
    <w:p w14:paraId="6615AD5E" w14:textId="66913EF9" w:rsidR="001C2F88" w:rsidRPr="001C2F88" w:rsidRDefault="001C2F88" w:rsidP="001C2F88">
      <w:pPr>
        <w:rPr>
          <w:rFonts w:ascii="Arial Black" w:hAnsi="Arial Black"/>
          <w:sz w:val="28"/>
          <w:szCs w:val="28"/>
        </w:rPr>
      </w:pPr>
      <w:r w:rsidRPr="001C2F88">
        <w:rPr>
          <w:rFonts w:ascii="Arial Black" w:hAnsi="Arial Black"/>
          <w:sz w:val="28"/>
          <w:szCs w:val="28"/>
        </w:rPr>
        <w:t>13-184</w:t>
      </w:r>
    </w:p>
    <w:p w14:paraId="635A756C" w14:textId="68A8E3F6" w:rsidR="001C2F88" w:rsidRPr="00C82AB6" w:rsidRDefault="001C2F88" w:rsidP="001C2F88">
      <w:pPr>
        <w:rPr>
          <w:rFonts w:ascii="Arial Black" w:hAnsi="Arial Black"/>
          <w:sz w:val="28"/>
          <w:szCs w:val="28"/>
        </w:rPr>
      </w:pPr>
      <w:r>
        <w:rPr>
          <w:rFonts w:ascii="Arial Black" w:hAnsi="Arial Black"/>
          <w:sz w:val="28"/>
          <w:szCs w:val="28"/>
        </w:rPr>
        <w:lastRenderedPageBreak/>
        <w:t xml:space="preserve">OH: COLUMBUS PD - NO FIRST AID AFTER SHOOTING SUICIDE MAN 5 TIMES  / NO IMMUN. - WHITLE CASTLE CASE </w:t>
      </w:r>
    </w:p>
    <w:p w14:paraId="20578C2C" w14:textId="77777777" w:rsidR="001C2F88" w:rsidRPr="009B4A97" w:rsidRDefault="001C2F88" w:rsidP="001C2F88">
      <w:pPr>
        <w:rPr>
          <w:rFonts w:ascii="Times New Roman" w:hAnsi="Times New Roman"/>
          <w:color w:val="454545"/>
          <w:sz w:val="24"/>
          <w:szCs w:val="24"/>
          <w:shd w:val="clear" w:color="auto" w:fill="FFFFFF"/>
        </w:rPr>
      </w:pPr>
      <w:r w:rsidRPr="009B4A97">
        <w:rPr>
          <w:rFonts w:ascii="Times New Roman" w:hAnsi="Times New Roman"/>
          <w:sz w:val="24"/>
          <w:szCs w:val="24"/>
        </w:rPr>
        <w:t xml:space="preserve">On April 29, 2024, in </w:t>
      </w:r>
      <w:r w:rsidRPr="00C275FC">
        <w:rPr>
          <w:rFonts w:ascii="Times New Roman" w:hAnsi="Times New Roman"/>
          <w:sz w:val="24"/>
          <w:szCs w:val="24"/>
          <w:u w:val="single"/>
        </w:rPr>
        <w:t xml:space="preserve">Ken Heeter, </w:t>
      </w:r>
      <w:r>
        <w:rPr>
          <w:rFonts w:ascii="Times New Roman" w:hAnsi="Times New Roman"/>
          <w:sz w:val="24"/>
          <w:szCs w:val="24"/>
          <w:u w:val="single"/>
        </w:rPr>
        <w:t>a</w:t>
      </w:r>
      <w:r w:rsidRPr="00C275FC">
        <w:rPr>
          <w:rFonts w:ascii="Times New Roman" w:hAnsi="Times New Roman"/>
          <w:sz w:val="24"/>
          <w:szCs w:val="24"/>
          <w:u w:val="single"/>
        </w:rPr>
        <w:t xml:space="preserve">s Administrator </w:t>
      </w:r>
      <w:r>
        <w:rPr>
          <w:rFonts w:ascii="Times New Roman" w:hAnsi="Times New Roman"/>
          <w:sz w:val="24"/>
          <w:szCs w:val="24"/>
          <w:u w:val="single"/>
        </w:rPr>
        <w:t>o</w:t>
      </w:r>
      <w:r w:rsidRPr="00C275FC">
        <w:rPr>
          <w:rFonts w:ascii="Times New Roman" w:hAnsi="Times New Roman"/>
          <w:sz w:val="24"/>
          <w:szCs w:val="24"/>
          <w:u w:val="single"/>
        </w:rPr>
        <w:t xml:space="preserve">f </w:t>
      </w:r>
      <w:r>
        <w:rPr>
          <w:rFonts w:ascii="Times New Roman" w:hAnsi="Times New Roman"/>
          <w:sz w:val="24"/>
          <w:szCs w:val="24"/>
          <w:u w:val="single"/>
        </w:rPr>
        <w:t>t</w:t>
      </w:r>
      <w:r w:rsidRPr="00C275FC">
        <w:rPr>
          <w:rFonts w:ascii="Times New Roman" w:hAnsi="Times New Roman"/>
          <w:sz w:val="24"/>
          <w:szCs w:val="24"/>
          <w:u w:val="single"/>
        </w:rPr>
        <w:t>he estate of Bill G. Heeter, et al. v. Kenneth Bowers, individually and in his capacity as an employee of the City of Columbus, Ohio; Columbus Police Department</w:t>
      </w:r>
      <w:r w:rsidRPr="009B4A97">
        <w:rPr>
          <w:rFonts w:ascii="Times New Roman" w:hAnsi="Times New Roman"/>
          <w:sz w:val="24"/>
          <w:szCs w:val="24"/>
        </w:rPr>
        <w:t>, the U.S. Court of Appeals for the 6</w:t>
      </w:r>
      <w:r w:rsidRPr="009B4A97">
        <w:rPr>
          <w:rFonts w:ascii="Times New Roman" w:hAnsi="Times New Roman"/>
          <w:sz w:val="24"/>
          <w:szCs w:val="24"/>
          <w:vertAlign w:val="superscript"/>
        </w:rPr>
        <w:t>th</w:t>
      </w:r>
      <w:r w:rsidRPr="009B4A97">
        <w:rPr>
          <w:rFonts w:ascii="Times New Roman" w:hAnsi="Times New Roman"/>
          <w:sz w:val="24"/>
          <w:szCs w:val="24"/>
        </w:rPr>
        <w:t xml:space="preserve"> Circuit (Cincinnati), held </w:t>
      </w:r>
      <w:r>
        <w:rPr>
          <w:rFonts w:ascii="Times New Roman" w:hAnsi="Times New Roman"/>
          <w:sz w:val="24"/>
          <w:szCs w:val="24"/>
        </w:rPr>
        <w:t>(</w:t>
      </w:r>
      <w:r w:rsidRPr="009B4A97">
        <w:rPr>
          <w:rFonts w:ascii="Times New Roman" w:hAnsi="Times New Roman"/>
          <w:sz w:val="24"/>
          <w:szCs w:val="24"/>
        </w:rPr>
        <w:t>2 to 1</w:t>
      </w:r>
      <w:r>
        <w:rPr>
          <w:rFonts w:ascii="Times New Roman" w:hAnsi="Times New Roman"/>
          <w:sz w:val="24"/>
          <w:szCs w:val="24"/>
        </w:rPr>
        <w:t xml:space="preserve">) that trial court judge properly denied officer’s motion for summary judgment who shot the man five times with M-16 service rifle; jury will decide if officer used excessive force, and whether he should have rendered basic first aid.  The City of Columbus was dismissed from case based on municipal immunity. </w:t>
      </w:r>
      <w:hyperlink r:id="rId2129" w:history="1">
        <w:r w:rsidRPr="007C1F1F">
          <w:rPr>
            <w:rStyle w:val="Hyperlink"/>
            <w:rFonts w:ascii="Times New Roman" w:hAnsi="Times New Roman"/>
            <w:sz w:val="24"/>
            <w:szCs w:val="24"/>
            <w:shd w:val="clear" w:color="auto" w:fill="FFFFFF"/>
          </w:rPr>
          <w:t>https://www.opn.ca6.uscourts.gov/opinions.pdf/24a0095p-06.pdf</w:t>
        </w:r>
      </w:hyperlink>
      <w:r w:rsidRPr="009B4A97">
        <w:rPr>
          <w:rFonts w:ascii="Times New Roman" w:hAnsi="Times New Roman"/>
          <w:color w:val="454545"/>
          <w:sz w:val="24"/>
          <w:szCs w:val="24"/>
          <w:shd w:val="clear" w:color="auto" w:fill="FFFFFF"/>
        </w:rPr>
        <w:t xml:space="preserve"> </w:t>
      </w:r>
    </w:p>
    <w:p w14:paraId="59A948F4" w14:textId="77777777" w:rsidR="001C2F88" w:rsidRDefault="001C2F88" w:rsidP="001C2F88">
      <w:pPr>
        <w:pStyle w:val="NormalWeb"/>
        <w:ind w:left="720"/>
      </w:pPr>
      <w:r w:rsidRPr="00B12AE6">
        <w:t xml:space="preserve">The Court referenced the infamous case where Cincinnati PD </w:t>
      </w:r>
      <w:r>
        <w:t xml:space="preserve">on Nov. 30, </w:t>
      </w:r>
      <w:proofErr w:type="gramStart"/>
      <w:r>
        <w:t>2003</w:t>
      </w:r>
      <w:proofErr w:type="gramEnd"/>
      <w:r>
        <w:t xml:space="preserve"> responded </w:t>
      </w:r>
      <w:proofErr w:type="gramStart"/>
      <w:r>
        <w:t>at</w:t>
      </w:r>
      <w:proofErr w:type="gramEnd"/>
      <w:r>
        <w:t xml:space="preserve"> FD request to White Castle where 350-pound Nataniel Jones was acting erratically. The violent struggle resulting in his death was recorded and video shown nationwide by many news outlets. </w:t>
      </w:r>
      <w:hyperlink r:id="rId2130" w:history="1">
        <w:r w:rsidRPr="00466FE4">
          <w:rPr>
            <w:rStyle w:val="Hyperlink"/>
          </w:rPr>
          <w:t>https://www.youtube.com/watch?v=o3-MrFOLXFs</w:t>
        </w:r>
      </w:hyperlink>
      <w:r>
        <w:t xml:space="preserve">.  The Fire Engine that had arrived first left the scene and returned to quarters.  </w:t>
      </w:r>
    </w:p>
    <w:p w14:paraId="4E6091BB" w14:textId="77777777" w:rsidR="001C2F88" w:rsidRPr="0019507E" w:rsidRDefault="001C2F88" w:rsidP="001C2F88">
      <w:pPr>
        <w:pStyle w:val="NoSpacing"/>
        <w:ind w:firstLine="720"/>
        <w:rPr>
          <w:rFonts w:ascii="Times New Roman" w:hAnsi="Times New Roman"/>
          <w:sz w:val="24"/>
          <w:szCs w:val="24"/>
        </w:rPr>
      </w:pPr>
      <w:r>
        <w:rPr>
          <w:rFonts w:ascii="Times New Roman" w:hAnsi="Times New Roman"/>
          <w:sz w:val="24"/>
          <w:szCs w:val="24"/>
        </w:rPr>
        <w:t>“</w:t>
      </w:r>
      <w:r w:rsidRPr="0019507E">
        <w:rPr>
          <w:rFonts w:ascii="Times New Roman" w:hAnsi="Times New Roman"/>
          <w:sz w:val="24"/>
          <w:szCs w:val="24"/>
        </w:rPr>
        <w:t>Officers Pike and Slade sprayed chemical irritant in Jones’s face while he was prone in</w:t>
      </w:r>
    </w:p>
    <w:p w14:paraId="69C38BA5" w14:textId="77777777" w:rsidR="001C2F88" w:rsidRPr="0019507E" w:rsidRDefault="001C2F88" w:rsidP="001C2F88">
      <w:pPr>
        <w:pStyle w:val="NoSpacing"/>
        <w:ind w:left="720"/>
        <w:rPr>
          <w:rFonts w:ascii="Times New Roman" w:hAnsi="Times New Roman"/>
          <w:sz w:val="24"/>
          <w:szCs w:val="24"/>
        </w:rPr>
      </w:pPr>
      <w:proofErr w:type="gramStart"/>
      <w:r w:rsidRPr="0019507E">
        <w:rPr>
          <w:rFonts w:ascii="Times New Roman" w:hAnsi="Times New Roman"/>
          <w:sz w:val="24"/>
          <w:szCs w:val="24"/>
        </w:rPr>
        <w:t>handcuffs and while</w:t>
      </w:r>
      <w:proofErr w:type="gramEnd"/>
      <w:r w:rsidRPr="0019507E">
        <w:rPr>
          <w:rFonts w:ascii="Times New Roman" w:hAnsi="Times New Roman"/>
          <w:sz w:val="24"/>
          <w:szCs w:val="24"/>
        </w:rPr>
        <w:t xml:space="preserve"> officers Pike, Osterman, Abrams, Reese, Slade, and Jay Johnstone used their</w:t>
      </w:r>
      <w:r>
        <w:rPr>
          <w:rFonts w:ascii="Times New Roman" w:hAnsi="Times New Roman"/>
          <w:sz w:val="24"/>
          <w:szCs w:val="24"/>
        </w:rPr>
        <w:t xml:space="preserve"> </w:t>
      </w:r>
      <w:r w:rsidRPr="0019507E">
        <w:rPr>
          <w:rFonts w:ascii="Times New Roman" w:hAnsi="Times New Roman"/>
          <w:sz w:val="24"/>
          <w:szCs w:val="24"/>
        </w:rPr>
        <w:t>combined weight to hold him down. Their weight restricted the movement of Jones’s diaphragm</w:t>
      </w:r>
      <w:r>
        <w:rPr>
          <w:rFonts w:ascii="Times New Roman" w:hAnsi="Times New Roman"/>
          <w:sz w:val="24"/>
          <w:szCs w:val="24"/>
        </w:rPr>
        <w:t xml:space="preserve"> </w:t>
      </w:r>
      <w:r w:rsidRPr="0019507E">
        <w:rPr>
          <w:rFonts w:ascii="Times New Roman" w:hAnsi="Times New Roman"/>
          <w:sz w:val="24"/>
          <w:szCs w:val="24"/>
        </w:rPr>
        <w:t xml:space="preserve">and made it difficult for him to breathe. Jones struggled to twist his body under the officers </w:t>
      </w:r>
      <w:proofErr w:type="gramStart"/>
      <w:r w:rsidRPr="0019507E">
        <w:rPr>
          <w:rFonts w:ascii="Times New Roman" w:hAnsi="Times New Roman"/>
          <w:sz w:val="24"/>
          <w:szCs w:val="24"/>
        </w:rPr>
        <w:t>in an</w:t>
      </w:r>
      <w:r>
        <w:rPr>
          <w:rFonts w:ascii="Times New Roman" w:hAnsi="Times New Roman"/>
          <w:sz w:val="24"/>
          <w:szCs w:val="24"/>
        </w:rPr>
        <w:t xml:space="preserve"> </w:t>
      </w:r>
      <w:r w:rsidRPr="0019507E">
        <w:rPr>
          <w:rFonts w:ascii="Times New Roman" w:hAnsi="Times New Roman"/>
          <w:sz w:val="24"/>
          <w:szCs w:val="24"/>
        </w:rPr>
        <w:t>attempt to</w:t>
      </w:r>
      <w:proofErr w:type="gramEnd"/>
      <w:r w:rsidRPr="0019507E">
        <w:rPr>
          <w:rFonts w:ascii="Times New Roman" w:hAnsi="Times New Roman"/>
          <w:sz w:val="24"/>
          <w:szCs w:val="24"/>
        </w:rPr>
        <w:t xml:space="preserve"> breathe. In response, the officers pressed down on him even harder. Once they had</w:t>
      </w:r>
      <w:r>
        <w:rPr>
          <w:rFonts w:ascii="Times New Roman" w:hAnsi="Times New Roman"/>
          <w:sz w:val="24"/>
          <w:szCs w:val="24"/>
        </w:rPr>
        <w:t xml:space="preserve"> </w:t>
      </w:r>
      <w:r w:rsidRPr="0019507E">
        <w:rPr>
          <w:rFonts w:ascii="Times New Roman" w:hAnsi="Times New Roman"/>
          <w:sz w:val="24"/>
          <w:szCs w:val="24"/>
        </w:rPr>
        <w:t>subdued Jones, they left him face down on the ground handcuffed behind his back for a prolonged</w:t>
      </w:r>
      <w:r>
        <w:rPr>
          <w:rFonts w:ascii="Times New Roman" w:hAnsi="Times New Roman"/>
          <w:sz w:val="24"/>
          <w:szCs w:val="24"/>
        </w:rPr>
        <w:t xml:space="preserve"> </w:t>
      </w:r>
      <w:proofErr w:type="gramStart"/>
      <w:r w:rsidRPr="0019507E">
        <w:rPr>
          <w:rFonts w:ascii="Times New Roman" w:hAnsi="Times New Roman"/>
          <w:sz w:val="24"/>
          <w:szCs w:val="24"/>
        </w:rPr>
        <w:t>period of time</w:t>
      </w:r>
      <w:proofErr w:type="gramEnd"/>
      <w:r w:rsidRPr="0019507E">
        <w:rPr>
          <w:rFonts w:ascii="Times New Roman" w:hAnsi="Times New Roman"/>
          <w:sz w:val="24"/>
          <w:szCs w:val="24"/>
        </w:rPr>
        <w:t>. During this time, Jones stopped breathing; all the officers knew it. Reese saw Jones</w:t>
      </w:r>
      <w:r>
        <w:rPr>
          <w:rFonts w:ascii="Times New Roman" w:hAnsi="Times New Roman"/>
          <w:sz w:val="24"/>
          <w:szCs w:val="24"/>
        </w:rPr>
        <w:t xml:space="preserve"> </w:t>
      </w:r>
      <w:r w:rsidRPr="0019507E">
        <w:rPr>
          <w:rFonts w:ascii="Times New Roman" w:hAnsi="Times New Roman"/>
          <w:sz w:val="24"/>
          <w:szCs w:val="24"/>
        </w:rPr>
        <w:t>changing color. Johnstone, Reese, and Abrams knew that a suspect lying face down risked</w:t>
      </w:r>
      <w:r>
        <w:rPr>
          <w:rFonts w:ascii="Times New Roman" w:hAnsi="Times New Roman"/>
          <w:sz w:val="24"/>
          <w:szCs w:val="24"/>
        </w:rPr>
        <w:t xml:space="preserve"> </w:t>
      </w:r>
      <w:r w:rsidRPr="0019507E">
        <w:rPr>
          <w:rFonts w:ascii="Times New Roman" w:hAnsi="Times New Roman"/>
          <w:sz w:val="24"/>
          <w:szCs w:val="24"/>
        </w:rPr>
        <w:t>positional asphyxia (difficulty breathing due to one’s posture or position). None of the officers</w:t>
      </w:r>
      <w:r>
        <w:rPr>
          <w:rFonts w:ascii="Times New Roman" w:hAnsi="Times New Roman"/>
          <w:sz w:val="24"/>
          <w:szCs w:val="24"/>
        </w:rPr>
        <w:t xml:space="preserve"> </w:t>
      </w:r>
      <w:r w:rsidRPr="0019507E">
        <w:rPr>
          <w:rFonts w:ascii="Times New Roman" w:hAnsi="Times New Roman"/>
          <w:sz w:val="24"/>
          <w:szCs w:val="24"/>
        </w:rPr>
        <w:t>provided mouth-to-mouth resuscitation or other respiratory aid. Instead, they stood there and</w:t>
      </w:r>
    </w:p>
    <w:p w14:paraId="0DD13B8B" w14:textId="77777777" w:rsidR="001C2F88" w:rsidRPr="0019507E" w:rsidRDefault="001C2F88" w:rsidP="001C2F88">
      <w:pPr>
        <w:pStyle w:val="NoSpacing"/>
        <w:ind w:left="720"/>
        <w:rPr>
          <w:rFonts w:ascii="Times New Roman" w:hAnsi="Times New Roman"/>
          <w:sz w:val="24"/>
          <w:szCs w:val="24"/>
        </w:rPr>
      </w:pPr>
      <w:r w:rsidRPr="0019507E">
        <w:rPr>
          <w:rFonts w:ascii="Times New Roman" w:hAnsi="Times New Roman"/>
          <w:sz w:val="24"/>
          <w:szCs w:val="24"/>
        </w:rPr>
        <w:t>discussed the absence of fire personnel.</w:t>
      </w:r>
      <w:r>
        <w:rPr>
          <w:rFonts w:ascii="Times New Roman" w:hAnsi="Times New Roman"/>
          <w:sz w:val="24"/>
          <w:szCs w:val="24"/>
        </w:rPr>
        <w:t xml:space="preserve">” </w:t>
      </w:r>
      <w:r>
        <w:t xml:space="preserve">   </w:t>
      </w:r>
      <w:r w:rsidRPr="000A46A1">
        <w:rPr>
          <w:rFonts w:ascii="Times New Roman" w:hAnsi="Times New Roman"/>
          <w:sz w:val="24"/>
          <w:szCs w:val="24"/>
          <w:u w:val="single"/>
        </w:rPr>
        <w:t>Jones v. City of Cincinnati</w:t>
      </w:r>
      <w:r w:rsidRPr="000A46A1">
        <w:rPr>
          <w:rFonts w:ascii="Times New Roman" w:hAnsi="Times New Roman"/>
          <w:sz w:val="24"/>
          <w:szCs w:val="24"/>
        </w:rPr>
        <w:t xml:space="preserve">,  </w:t>
      </w:r>
      <w:r w:rsidRPr="000A46A1">
        <w:rPr>
          <w:rFonts w:ascii="Times New Roman" w:hAnsi="Times New Roman"/>
          <w:color w:val="454545"/>
          <w:sz w:val="24"/>
          <w:szCs w:val="24"/>
        </w:rPr>
        <w:t>521 F.3d 555, 558 (6th Cir. 2008)</w:t>
      </w:r>
      <w:r>
        <w:rPr>
          <w:rFonts w:ascii="Times New Roman" w:hAnsi="Times New Roman"/>
          <w:color w:val="454545"/>
          <w:sz w:val="24"/>
          <w:szCs w:val="24"/>
        </w:rPr>
        <w:t xml:space="preserve">; </w:t>
      </w:r>
      <w:hyperlink r:id="rId2131" w:history="1">
        <w:r w:rsidRPr="007C1F1F">
          <w:rPr>
            <w:rStyle w:val="Hyperlink"/>
            <w:rFonts w:ascii="Times New Roman" w:hAnsi="Times New Roman"/>
            <w:sz w:val="24"/>
            <w:szCs w:val="24"/>
          </w:rPr>
          <w:t>http://www.opn.ca6.uscourts.gov/opinions.pdf/08a0140p-06.pdf</w:t>
        </w:r>
      </w:hyperlink>
      <w:r w:rsidRPr="0019507E">
        <w:rPr>
          <w:rFonts w:ascii="Times New Roman" w:hAnsi="Times New Roman"/>
          <w:sz w:val="24"/>
          <w:szCs w:val="24"/>
        </w:rPr>
        <w:t xml:space="preserve"> . </w:t>
      </w:r>
    </w:p>
    <w:p w14:paraId="2EE60DFA" w14:textId="77777777" w:rsidR="001C2F88" w:rsidRDefault="001C2F88" w:rsidP="001C2F88">
      <w:pPr>
        <w:pStyle w:val="NoSpacing"/>
        <w:rPr>
          <w:rFonts w:ascii="Times New Roman" w:hAnsi="Times New Roman"/>
          <w:sz w:val="24"/>
          <w:szCs w:val="24"/>
        </w:rPr>
      </w:pPr>
    </w:p>
    <w:p w14:paraId="4AB2F86D" w14:textId="77777777" w:rsidR="001C2F88" w:rsidRPr="0019507E" w:rsidRDefault="001C2F88" w:rsidP="001C2F88">
      <w:pPr>
        <w:pStyle w:val="NoSpacing"/>
        <w:ind w:left="720"/>
        <w:rPr>
          <w:rFonts w:ascii="Times New Roman" w:hAnsi="Times New Roman"/>
          <w:sz w:val="24"/>
          <w:szCs w:val="24"/>
        </w:rPr>
      </w:pPr>
      <w:r w:rsidRPr="0019507E">
        <w:rPr>
          <w:rFonts w:ascii="Times New Roman" w:hAnsi="Times New Roman"/>
          <w:sz w:val="24"/>
          <w:szCs w:val="24"/>
        </w:rPr>
        <w:t xml:space="preserve">See also:  “Coroner: Man had enlarged heart, drugs in system.” </w:t>
      </w:r>
      <w:hyperlink r:id="rId2132" w:history="1">
        <w:r w:rsidRPr="007C1F1F">
          <w:rPr>
            <w:rStyle w:val="Hyperlink"/>
            <w:rFonts w:ascii="Times New Roman" w:hAnsi="Times New Roman"/>
            <w:sz w:val="24"/>
            <w:szCs w:val="24"/>
          </w:rPr>
          <w:t>https://www.cnn.com/2003/US/Midwest/12/01/died.in.custody/index.html</w:t>
        </w:r>
      </w:hyperlink>
      <w:r w:rsidRPr="0019507E">
        <w:rPr>
          <w:rFonts w:ascii="Times New Roman" w:hAnsi="Times New Roman"/>
          <w:sz w:val="24"/>
          <w:szCs w:val="24"/>
        </w:rPr>
        <w:t xml:space="preserve"> </w:t>
      </w:r>
    </w:p>
    <w:p w14:paraId="4EF147D0" w14:textId="77777777" w:rsidR="001C2F88" w:rsidRDefault="001C2F88" w:rsidP="001C2F88">
      <w:pPr>
        <w:pStyle w:val="NormalWeb"/>
      </w:pPr>
      <w:r>
        <w:t>COURT HELD IN COLUMBUS CASE:</w:t>
      </w:r>
    </w:p>
    <w:p w14:paraId="195CC4B7" w14:textId="77777777" w:rsidR="001C2F88" w:rsidRDefault="001C2F88" w:rsidP="001C2F88">
      <w:pPr>
        <w:pStyle w:val="NoSpacing"/>
        <w:ind w:left="720"/>
        <w:rPr>
          <w:rFonts w:ascii="Times New Roman" w:hAnsi="Times New Roman"/>
          <w:sz w:val="24"/>
          <w:szCs w:val="24"/>
        </w:rPr>
      </w:pPr>
      <w:r>
        <w:rPr>
          <w:rFonts w:ascii="Times New Roman" w:hAnsi="Times New Roman"/>
          <w:sz w:val="24"/>
          <w:szCs w:val="24"/>
        </w:rPr>
        <w:t>[EXCESSIVE FORCE CLAIM.] “</w:t>
      </w:r>
      <w:r w:rsidRPr="001E1BB7">
        <w:rPr>
          <w:rFonts w:ascii="Times New Roman" w:hAnsi="Times New Roman"/>
          <w:sz w:val="24"/>
          <w:szCs w:val="24"/>
        </w:rPr>
        <w:t>First, Officer Bowers asks us</w:t>
      </w:r>
      <w:r>
        <w:rPr>
          <w:rFonts w:ascii="Times New Roman" w:hAnsi="Times New Roman"/>
          <w:sz w:val="24"/>
          <w:szCs w:val="24"/>
        </w:rPr>
        <w:t xml:space="preserve"> </w:t>
      </w:r>
      <w:r w:rsidRPr="001E1BB7">
        <w:rPr>
          <w:rFonts w:ascii="Times New Roman" w:hAnsi="Times New Roman"/>
          <w:sz w:val="24"/>
          <w:szCs w:val="24"/>
        </w:rPr>
        <w:t>to focus on the parts of the video which show Mr. Heeter was not following the officers’</w:t>
      </w:r>
      <w:r>
        <w:rPr>
          <w:rFonts w:ascii="Times New Roman" w:hAnsi="Times New Roman"/>
          <w:sz w:val="24"/>
          <w:szCs w:val="24"/>
        </w:rPr>
        <w:t xml:space="preserve"> </w:t>
      </w:r>
      <w:r w:rsidRPr="001E1BB7">
        <w:rPr>
          <w:rFonts w:ascii="Times New Roman" w:hAnsi="Times New Roman"/>
          <w:sz w:val="24"/>
          <w:szCs w:val="24"/>
        </w:rPr>
        <w:t>commands to exit the house, to put his gun down, or to raise his hands. Mr. Heeter’s</w:t>
      </w:r>
      <w:r>
        <w:rPr>
          <w:rFonts w:ascii="Times New Roman" w:hAnsi="Times New Roman"/>
          <w:sz w:val="24"/>
          <w:szCs w:val="24"/>
        </w:rPr>
        <w:t xml:space="preserve"> </w:t>
      </w:r>
      <w:r w:rsidRPr="001E1BB7">
        <w:rPr>
          <w:rFonts w:ascii="Times New Roman" w:hAnsi="Times New Roman"/>
          <w:sz w:val="24"/>
          <w:szCs w:val="24"/>
        </w:rPr>
        <w:t xml:space="preserve">disobedience and words of frustration that the group of armed officers in his home were </w:t>
      </w:r>
      <w:r>
        <w:rPr>
          <w:rFonts w:ascii="Times New Roman" w:hAnsi="Times New Roman"/>
          <w:sz w:val="24"/>
          <w:szCs w:val="24"/>
        </w:rPr>
        <w:t>‘</w:t>
      </w:r>
      <w:r w:rsidRPr="001E1BB7">
        <w:rPr>
          <w:rFonts w:ascii="Times New Roman" w:hAnsi="Times New Roman"/>
          <w:sz w:val="24"/>
          <w:szCs w:val="24"/>
        </w:rPr>
        <w:t>really</w:t>
      </w:r>
      <w:r>
        <w:rPr>
          <w:rFonts w:ascii="Times New Roman" w:hAnsi="Times New Roman"/>
          <w:sz w:val="24"/>
          <w:szCs w:val="24"/>
        </w:rPr>
        <w:t xml:space="preserve"> </w:t>
      </w:r>
      <w:r w:rsidRPr="001E1BB7">
        <w:rPr>
          <w:rFonts w:ascii="Times New Roman" w:hAnsi="Times New Roman"/>
          <w:sz w:val="24"/>
          <w:szCs w:val="24"/>
        </w:rPr>
        <w:t>starting to piss [him] off</w:t>
      </w:r>
      <w:r>
        <w:rPr>
          <w:rFonts w:ascii="Times New Roman" w:hAnsi="Times New Roman"/>
          <w:sz w:val="24"/>
          <w:szCs w:val="24"/>
        </w:rPr>
        <w:t>’</w:t>
      </w:r>
      <w:r w:rsidRPr="001E1BB7">
        <w:rPr>
          <w:rFonts w:ascii="Times New Roman" w:hAnsi="Times New Roman"/>
          <w:sz w:val="24"/>
          <w:szCs w:val="24"/>
        </w:rPr>
        <w:t xml:space="preserve"> indicated that the situation was tense. Redding Footage at 10:45–10:50. But </w:t>
      </w:r>
      <w:r>
        <w:rPr>
          <w:rFonts w:ascii="Times New Roman" w:hAnsi="Times New Roman"/>
          <w:sz w:val="24"/>
          <w:szCs w:val="24"/>
        </w:rPr>
        <w:t>‘</w:t>
      </w:r>
      <w:r w:rsidRPr="001E1BB7">
        <w:rPr>
          <w:rFonts w:ascii="Times New Roman" w:hAnsi="Times New Roman"/>
          <w:sz w:val="24"/>
          <w:szCs w:val="24"/>
        </w:rPr>
        <w:t>the mere failure of a citizen—not arrested for any crime—to follow the officer’s</w:t>
      </w:r>
      <w:r>
        <w:rPr>
          <w:rFonts w:ascii="Times New Roman" w:hAnsi="Times New Roman"/>
          <w:sz w:val="24"/>
          <w:szCs w:val="24"/>
        </w:rPr>
        <w:t xml:space="preserve"> </w:t>
      </w:r>
      <w:r w:rsidRPr="001E1BB7">
        <w:rPr>
          <w:rFonts w:ascii="Times New Roman" w:hAnsi="Times New Roman"/>
          <w:sz w:val="24"/>
          <w:szCs w:val="24"/>
        </w:rPr>
        <w:t>commands</w:t>
      </w:r>
      <w:r>
        <w:rPr>
          <w:rFonts w:ascii="Times New Roman" w:hAnsi="Times New Roman"/>
          <w:sz w:val="24"/>
          <w:szCs w:val="24"/>
        </w:rPr>
        <w:t>’</w:t>
      </w:r>
      <w:r w:rsidRPr="001E1BB7">
        <w:rPr>
          <w:rFonts w:ascii="Times New Roman" w:hAnsi="Times New Roman"/>
          <w:sz w:val="24"/>
          <w:szCs w:val="24"/>
        </w:rPr>
        <w:t xml:space="preserve"> does not give the officer probable cause to use deadly force against him. </w:t>
      </w:r>
    </w:p>
    <w:p w14:paraId="16F36544" w14:textId="77777777" w:rsidR="001C2F88" w:rsidRDefault="001C2F88" w:rsidP="001C2F88">
      <w:pPr>
        <w:pStyle w:val="NoSpacing"/>
        <w:ind w:left="720"/>
        <w:rPr>
          <w:rFonts w:ascii="Times New Roman" w:hAnsi="Times New Roman"/>
          <w:sz w:val="24"/>
          <w:szCs w:val="24"/>
        </w:rPr>
      </w:pPr>
      <w:r>
        <w:rPr>
          <w:rFonts w:ascii="Times New Roman" w:hAnsi="Times New Roman"/>
          <w:sz w:val="24"/>
          <w:szCs w:val="24"/>
        </w:rPr>
        <w:t>***</w:t>
      </w:r>
    </w:p>
    <w:p w14:paraId="1280B1CE" w14:textId="77777777" w:rsidR="001C2F88" w:rsidRDefault="001C2F88" w:rsidP="001C2F88">
      <w:pPr>
        <w:pStyle w:val="NoSpacing"/>
        <w:ind w:firstLine="720"/>
        <w:rPr>
          <w:rFonts w:ascii="Times New Roman" w:hAnsi="Times New Roman"/>
          <w:sz w:val="24"/>
          <w:szCs w:val="24"/>
        </w:rPr>
      </w:pPr>
    </w:p>
    <w:p w14:paraId="6E31E5FA" w14:textId="77777777" w:rsidR="001C2F88" w:rsidRDefault="001C2F88" w:rsidP="001C2F88">
      <w:pPr>
        <w:pStyle w:val="NoSpacing"/>
        <w:ind w:firstLine="720"/>
        <w:rPr>
          <w:rFonts w:ascii="Times New Roman" w:hAnsi="Times New Roman"/>
          <w:sz w:val="24"/>
          <w:szCs w:val="24"/>
        </w:rPr>
      </w:pPr>
    </w:p>
    <w:p w14:paraId="0B50A63A" w14:textId="77777777" w:rsidR="001C2F88" w:rsidRDefault="001C2F88" w:rsidP="001C2F88">
      <w:pPr>
        <w:pStyle w:val="NoSpacing"/>
        <w:ind w:left="720"/>
        <w:rPr>
          <w:rFonts w:ascii="Times New Roman" w:hAnsi="Times New Roman"/>
          <w:sz w:val="24"/>
          <w:szCs w:val="24"/>
        </w:rPr>
      </w:pPr>
      <w:r>
        <w:rPr>
          <w:rFonts w:ascii="Times New Roman" w:hAnsi="Times New Roman"/>
          <w:sz w:val="24"/>
          <w:szCs w:val="24"/>
        </w:rPr>
        <w:t>[FAILURE TO PROVIDE FIRST AID CLAIM.] “</w:t>
      </w:r>
      <w:r w:rsidRPr="005124E7">
        <w:rPr>
          <w:rFonts w:ascii="Times New Roman" w:hAnsi="Times New Roman"/>
          <w:sz w:val="24"/>
          <w:szCs w:val="24"/>
        </w:rPr>
        <w:t>To summarize, it is undisputed that Officer Bowers focused on ordering an officer to</w:t>
      </w:r>
      <w:r>
        <w:rPr>
          <w:rFonts w:ascii="Times New Roman" w:hAnsi="Times New Roman"/>
          <w:sz w:val="24"/>
          <w:szCs w:val="24"/>
        </w:rPr>
        <w:t xml:space="preserve"> </w:t>
      </w:r>
      <w:r w:rsidRPr="005124E7">
        <w:rPr>
          <w:rFonts w:ascii="Times New Roman" w:hAnsi="Times New Roman"/>
          <w:sz w:val="24"/>
          <w:szCs w:val="24"/>
        </w:rPr>
        <w:t>handcuff Mr. Heeter, then stood idle as Mr. Heeter bled out, moaned, and struggled to breathe.</w:t>
      </w:r>
      <w:r>
        <w:rPr>
          <w:rFonts w:ascii="Times New Roman" w:hAnsi="Times New Roman"/>
          <w:sz w:val="24"/>
          <w:szCs w:val="24"/>
        </w:rPr>
        <w:t xml:space="preserve"> </w:t>
      </w:r>
      <w:r w:rsidRPr="005124E7">
        <w:rPr>
          <w:rFonts w:ascii="Times New Roman" w:hAnsi="Times New Roman"/>
          <w:sz w:val="24"/>
          <w:szCs w:val="24"/>
        </w:rPr>
        <w:t>A reasonable jury could find that Mr. Heeter’s critical injury called for immediate first aid before</w:t>
      </w:r>
      <w:r>
        <w:rPr>
          <w:rFonts w:ascii="Times New Roman" w:hAnsi="Times New Roman"/>
          <w:sz w:val="24"/>
          <w:szCs w:val="24"/>
        </w:rPr>
        <w:t xml:space="preserve"> </w:t>
      </w:r>
      <w:r w:rsidRPr="005124E7">
        <w:rPr>
          <w:rFonts w:ascii="Times New Roman" w:hAnsi="Times New Roman"/>
          <w:sz w:val="24"/>
          <w:szCs w:val="24"/>
        </w:rPr>
        <w:t>professional paramedics arrived, and that Officer Bowers—trained in first aid and unoccupied by</w:t>
      </w:r>
      <w:r>
        <w:rPr>
          <w:rFonts w:ascii="Times New Roman" w:hAnsi="Times New Roman"/>
          <w:sz w:val="24"/>
          <w:szCs w:val="24"/>
        </w:rPr>
        <w:t xml:space="preserve"> </w:t>
      </w:r>
      <w:r w:rsidRPr="005124E7">
        <w:rPr>
          <w:rFonts w:ascii="Times New Roman" w:hAnsi="Times New Roman"/>
          <w:sz w:val="24"/>
          <w:szCs w:val="24"/>
        </w:rPr>
        <w:t xml:space="preserve">police duties—could and should have rendered that care. Therefore, a reasonable </w:t>
      </w:r>
      <w:r w:rsidRPr="005124E7">
        <w:rPr>
          <w:rFonts w:ascii="Times New Roman" w:hAnsi="Times New Roman"/>
          <w:sz w:val="24"/>
          <w:szCs w:val="24"/>
        </w:rPr>
        <w:lastRenderedPageBreak/>
        <w:t>jury could find</w:t>
      </w:r>
      <w:r>
        <w:rPr>
          <w:rFonts w:ascii="Times New Roman" w:hAnsi="Times New Roman"/>
          <w:sz w:val="24"/>
          <w:szCs w:val="24"/>
        </w:rPr>
        <w:t xml:space="preserve"> </w:t>
      </w:r>
      <w:r w:rsidRPr="005124E7">
        <w:rPr>
          <w:rFonts w:ascii="Times New Roman" w:hAnsi="Times New Roman"/>
          <w:sz w:val="24"/>
          <w:szCs w:val="24"/>
        </w:rPr>
        <w:t xml:space="preserve">Officer Bowers violated Mr. Heeter’s Fourteenth Amendment right to adequate medical </w:t>
      </w:r>
      <w:proofErr w:type="gramStart"/>
      <w:r w:rsidRPr="005124E7">
        <w:rPr>
          <w:rFonts w:ascii="Times New Roman" w:hAnsi="Times New Roman"/>
          <w:sz w:val="24"/>
          <w:szCs w:val="24"/>
        </w:rPr>
        <w:t>care.</w:t>
      </w:r>
      <w:r>
        <w:rPr>
          <w:rFonts w:ascii="Times New Roman" w:hAnsi="Times New Roman"/>
          <w:sz w:val="24"/>
          <w:szCs w:val="24"/>
        </w:rPr>
        <w:t>”</w:t>
      </w:r>
      <w:proofErr w:type="gramEnd"/>
    </w:p>
    <w:p w14:paraId="3005C308" w14:textId="77777777" w:rsidR="001C2F88" w:rsidRDefault="001C2F88" w:rsidP="001C2F88">
      <w:pPr>
        <w:pStyle w:val="NoSpacing"/>
        <w:ind w:left="720"/>
        <w:rPr>
          <w:rFonts w:ascii="Times New Roman" w:hAnsi="Times New Roman"/>
          <w:sz w:val="24"/>
          <w:szCs w:val="24"/>
        </w:rPr>
      </w:pPr>
    </w:p>
    <w:p w14:paraId="6817DA14" w14:textId="77777777" w:rsidR="001C2F88" w:rsidRDefault="001C2F88" w:rsidP="001C2F88">
      <w:pPr>
        <w:pStyle w:val="NoSpacing"/>
        <w:ind w:left="720"/>
        <w:rPr>
          <w:rFonts w:ascii="Times New Roman" w:hAnsi="Times New Roman"/>
          <w:sz w:val="24"/>
          <w:szCs w:val="24"/>
        </w:rPr>
      </w:pPr>
      <w:r>
        <w:rPr>
          <w:rFonts w:ascii="Times New Roman" w:hAnsi="Times New Roman"/>
          <w:sz w:val="24"/>
          <w:szCs w:val="24"/>
        </w:rPr>
        <w:t>***</w:t>
      </w:r>
    </w:p>
    <w:p w14:paraId="761618BD" w14:textId="77777777" w:rsidR="001C2F88" w:rsidRDefault="001C2F88" w:rsidP="001C2F88">
      <w:pPr>
        <w:pStyle w:val="NoSpacing"/>
        <w:ind w:firstLine="720"/>
        <w:rPr>
          <w:rFonts w:ascii="Times New Roman" w:hAnsi="Times New Roman"/>
          <w:sz w:val="24"/>
          <w:szCs w:val="24"/>
        </w:rPr>
      </w:pPr>
    </w:p>
    <w:p w14:paraId="48C004F1" w14:textId="77777777" w:rsidR="001C2F88" w:rsidRDefault="001C2F88" w:rsidP="001C2F88">
      <w:pPr>
        <w:pStyle w:val="NoSpacing"/>
        <w:ind w:left="720"/>
        <w:rPr>
          <w:rStyle w:val="Hyperlink"/>
          <w:rFonts w:ascii="Times New Roman" w:hAnsi="Times New Roman"/>
          <w:sz w:val="24"/>
          <w:szCs w:val="24"/>
        </w:rPr>
      </w:pPr>
      <w:r w:rsidRPr="009B0945">
        <w:rPr>
          <w:rFonts w:ascii="Times New Roman" w:hAnsi="Times New Roman"/>
          <w:color w:val="454545"/>
          <w:sz w:val="24"/>
          <w:szCs w:val="24"/>
        </w:rPr>
        <w:t>In </w:t>
      </w:r>
      <w:r w:rsidRPr="009B0945">
        <w:rPr>
          <w:rStyle w:val="Emphasis"/>
          <w:rFonts w:ascii="Times New Roman" w:eastAsiaTheme="majorEastAsia" w:hAnsi="Times New Roman"/>
          <w:color w:val="454545"/>
          <w:sz w:val="24"/>
          <w:szCs w:val="24"/>
        </w:rPr>
        <w:t>Jones v. City of Cincinnati</w:t>
      </w:r>
      <w:r w:rsidRPr="009B0945">
        <w:rPr>
          <w:rFonts w:ascii="Times New Roman" w:hAnsi="Times New Roman"/>
          <w:color w:val="454545"/>
          <w:sz w:val="24"/>
          <w:szCs w:val="24"/>
        </w:rPr>
        <w:t>, a police sergeant arrived at a scene to find a detainee lying face down and not breathing; other responding officers had subdued and asphyxiated him. 521 F.3d 555, 558 (6th Cir. 2008).</w:t>
      </w:r>
      <w:r>
        <w:rPr>
          <w:rFonts w:ascii="Times New Roman" w:hAnsi="Times New Roman"/>
          <w:color w:val="454545"/>
          <w:sz w:val="24"/>
          <w:szCs w:val="24"/>
        </w:rPr>
        <w:t xml:space="preserve">” </w:t>
      </w:r>
      <w:hyperlink r:id="rId2133" w:history="1">
        <w:r w:rsidRPr="00891F87">
          <w:rPr>
            <w:rStyle w:val="Hyperlink"/>
            <w:rFonts w:ascii="Times New Roman" w:hAnsi="Times New Roman"/>
            <w:sz w:val="24"/>
            <w:szCs w:val="24"/>
          </w:rPr>
          <w:t>http://www.opn.ca6.uscourts.gov/opinions.pdf/08a0140p-06.pdf</w:t>
        </w:r>
      </w:hyperlink>
    </w:p>
    <w:p w14:paraId="098A7C2D" w14:textId="77777777" w:rsidR="001C2F88" w:rsidRDefault="001C2F88" w:rsidP="001C2F88">
      <w:pPr>
        <w:pStyle w:val="NoSpacing"/>
        <w:ind w:left="720"/>
        <w:rPr>
          <w:rFonts w:ascii="Times New Roman" w:hAnsi="Times New Roman"/>
          <w:color w:val="454545"/>
          <w:sz w:val="24"/>
          <w:szCs w:val="24"/>
        </w:rPr>
      </w:pPr>
    </w:p>
    <w:p w14:paraId="20CA9008" w14:textId="77777777" w:rsidR="001C2F88" w:rsidRDefault="001C2F88" w:rsidP="001C2F88">
      <w:pPr>
        <w:pStyle w:val="NoSpacing"/>
        <w:ind w:left="720"/>
        <w:rPr>
          <w:rFonts w:ascii="Times New Roman" w:hAnsi="Times New Roman"/>
          <w:color w:val="454545"/>
          <w:sz w:val="24"/>
          <w:szCs w:val="24"/>
        </w:rPr>
      </w:pPr>
      <w:r>
        <w:rPr>
          <w:rFonts w:ascii="Times New Roman" w:hAnsi="Times New Roman"/>
          <w:color w:val="454545"/>
          <w:sz w:val="24"/>
          <w:szCs w:val="24"/>
        </w:rPr>
        <w:t>***</w:t>
      </w:r>
    </w:p>
    <w:p w14:paraId="160459E7" w14:textId="77777777" w:rsidR="001C2F88" w:rsidRDefault="001C2F88" w:rsidP="001C2F88">
      <w:pPr>
        <w:pStyle w:val="NoSpacing"/>
        <w:ind w:left="720"/>
        <w:rPr>
          <w:rFonts w:ascii="Times New Roman" w:hAnsi="Times New Roman"/>
          <w:color w:val="454545"/>
          <w:sz w:val="24"/>
          <w:szCs w:val="24"/>
        </w:rPr>
      </w:pPr>
    </w:p>
    <w:p w14:paraId="3FF9A1F9" w14:textId="77777777" w:rsidR="001C2F88" w:rsidRPr="00C6276E" w:rsidRDefault="001C2F88" w:rsidP="001C2F88">
      <w:pPr>
        <w:pStyle w:val="NoSpacing"/>
        <w:ind w:left="720"/>
        <w:rPr>
          <w:rFonts w:ascii="Times New Roman" w:hAnsi="Times New Roman"/>
          <w:color w:val="454545"/>
          <w:sz w:val="24"/>
          <w:szCs w:val="24"/>
        </w:rPr>
      </w:pPr>
      <w:r w:rsidRPr="00C6276E">
        <w:rPr>
          <w:rFonts w:ascii="Times New Roman" w:hAnsi="Times New Roman"/>
          <w:color w:val="454545"/>
          <w:sz w:val="24"/>
          <w:szCs w:val="24"/>
        </w:rPr>
        <w:t>The Supreme Court established in 1983 that an officer has an obligation under the Due</w:t>
      </w:r>
    </w:p>
    <w:p w14:paraId="66C7A9FE" w14:textId="77777777" w:rsidR="001C2F88" w:rsidRDefault="001C2F88" w:rsidP="001C2F88">
      <w:pPr>
        <w:pStyle w:val="NoSpacing"/>
        <w:ind w:left="720"/>
        <w:rPr>
          <w:rFonts w:ascii="Times New Roman" w:hAnsi="Times New Roman"/>
          <w:color w:val="454545"/>
          <w:sz w:val="24"/>
          <w:szCs w:val="24"/>
        </w:rPr>
      </w:pPr>
      <w:r w:rsidRPr="00C6276E">
        <w:rPr>
          <w:rFonts w:ascii="Times New Roman" w:hAnsi="Times New Roman"/>
          <w:color w:val="454545"/>
          <w:sz w:val="24"/>
          <w:szCs w:val="24"/>
        </w:rPr>
        <w:t xml:space="preserve">Process Clause to provide adequate medical care </w:t>
      </w:r>
      <w:proofErr w:type="gramStart"/>
      <w:r w:rsidRPr="00C6276E">
        <w:rPr>
          <w:rFonts w:ascii="Times New Roman" w:hAnsi="Times New Roman"/>
          <w:color w:val="454545"/>
          <w:sz w:val="24"/>
          <w:szCs w:val="24"/>
        </w:rPr>
        <w:t>to</w:t>
      </w:r>
      <w:proofErr w:type="gramEnd"/>
      <w:r w:rsidRPr="00C6276E">
        <w:rPr>
          <w:rFonts w:ascii="Times New Roman" w:hAnsi="Times New Roman"/>
          <w:color w:val="454545"/>
          <w:sz w:val="24"/>
          <w:szCs w:val="24"/>
        </w:rPr>
        <w:t xml:space="preserve"> suspects shot during apprehension. City of</w:t>
      </w:r>
      <w:r>
        <w:rPr>
          <w:rFonts w:ascii="Times New Roman" w:hAnsi="Times New Roman"/>
          <w:color w:val="454545"/>
          <w:sz w:val="24"/>
          <w:szCs w:val="24"/>
        </w:rPr>
        <w:t xml:space="preserve"> </w:t>
      </w:r>
      <w:r w:rsidRPr="00C6276E">
        <w:rPr>
          <w:rFonts w:ascii="Times New Roman" w:hAnsi="Times New Roman"/>
          <w:color w:val="454545"/>
          <w:sz w:val="24"/>
          <w:szCs w:val="24"/>
        </w:rPr>
        <w:t>Revere, 463 U.S. at 244. As discussed above, the standard applicable in November 2018</w:t>
      </w:r>
      <w:r>
        <w:rPr>
          <w:rFonts w:ascii="Times New Roman" w:hAnsi="Times New Roman"/>
          <w:color w:val="454545"/>
          <w:sz w:val="24"/>
          <w:szCs w:val="24"/>
        </w:rPr>
        <w:t xml:space="preserve"> [Jones v. City of Cincinnati case] </w:t>
      </w:r>
      <w:r w:rsidRPr="00C6276E">
        <w:rPr>
          <w:rFonts w:ascii="Times New Roman" w:hAnsi="Times New Roman"/>
          <w:color w:val="454545"/>
          <w:sz w:val="24"/>
          <w:szCs w:val="24"/>
        </w:rPr>
        <w:t>required a plaintiff to show an officer knowingly and deliberately disregarded a detainee’s risk of</w:t>
      </w:r>
      <w:r>
        <w:rPr>
          <w:rFonts w:ascii="Times New Roman" w:hAnsi="Times New Roman"/>
          <w:color w:val="454545"/>
          <w:sz w:val="24"/>
          <w:szCs w:val="24"/>
        </w:rPr>
        <w:t xml:space="preserve"> </w:t>
      </w:r>
      <w:r w:rsidRPr="00C6276E">
        <w:rPr>
          <w:rFonts w:ascii="Times New Roman" w:hAnsi="Times New Roman"/>
          <w:color w:val="454545"/>
          <w:sz w:val="24"/>
          <w:szCs w:val="24"/>
        </w:rPr>
        <w:t xml:space="preserve">harm </w:t>
      </w:r>
      <w:proofErr w:type="gramStart"/>
      <w:r w:rsidRPr="00C6276E">
        <w:rPr>
          <w:rFonts w:ascii="Times New Roman" w:hAnsi="Times New Roman"/>
          <w:color w:val="454545"/>
          <w:sz w:val="24"/>
          <w:szCs w:val="24"/>
        </w:rPr>
        <w:t>in order to</w:t>
      </w:r>
      <w:proofErr w:type="gramEnd"/>
      <w:r w:rsidRPr="00C6276E">
        <w:rPr>
          <w:rFonts w:ascii="Times New Roman" w:hAnsi="Times New Roman"/>
          <w:color w:val="454545"/>
          <w:sz w:val="24"/>
          <w:szCs w:val="24"/>
        </w:rPr>
        <w:t xml:space="preserve"> prevail on an adequate medical care claim.</w:t>
      </w:r>
      <w:r>
        <w:rPr>
          <w:rFonts w:ascii="Times New Roman" w:hAnsi="Times New Roman"/>
          <w:color w:val="454545"/>
          <w:sz w:val="24"/>
          <w:szCs w:val="24"/>
        </w:rPr>
        <w:t>”</w:t>
      </w:r>
    </w:p>
    <w:p w14:paraId="14D15BA1" w14:textId="77777777" w:rsidR="001C2F88" w:rsidRDefault="001C2F88" w:rsidP="001C2F88">
      <w:pPr>
        <w:pStyle w:val="NoSpacing"/>
        <w:ind w:left="720"/>
        <w:rPr>
          <w:rFonts w:ascii="Times New Roman" w:hAnsi="Times New Roman"/>
          <w:color w:val="454545"/>
          <w:sz w:val="24"/>
          <w:szCs w:val="24"/>
        </w:rPr>
      </w:pPr>
    </w:p>
    <w:p w14:paraId="3EB4E79C" w14:textId="77777777" w:rsidR="001C2F88" w:rsidRDefault="001C2F88" w:rsidP="001C2F88">
      <w:pPr>
        <w:pStyle w:val="NormalWeb"/>
      </w:pPr>
      <w:r>
        <w:t xml:space="preserve">FACTS: </w:t>
      </w:r>
    </w:p>
    <w:p w14:paraId="3D262762" w14:textId="77777777" w:rsidR="001C2F88" w:rsidRPr="00A94EA2" w:rsidRDefault="001C2F88" w:rsidP="001C2F88">
      <w:pPr>
        <w:pStyle w:val="NoSpacing"/>
        <w:ind w:left="720"/>
        <w:rPr>
          <w:rFonts w:ascii="Times New Roman" w:hAnsi="Times New Roman"/>
          <w:sz w:val="24"/>
          <w:szCs w:val="24"/>
        </w:rPr>
      </w:pPr>
      <w:r>
        <w:rPr>
          <w:rFonts w:ascii="Times New Roman" w:hAnsi="Times New Roman"/>
          <w:sz w:val="24"/>
          <w:szCs w:val="24"/>
        </w:rPr>
        <w:t>“</w:t>
      </w:r>
      <w:r w:rsidRPr="00A94EA2">
        <w:rPr>
          <w:rFonts w:ascii="Times New Roman" w:hAnsi="Times New Roman"/>
          <w:sz w:val="24"/>
          <w:szCs w:val="24"/>
        </w:rPr>
        <w:t>On the morning of November 21, 2018, the day before</w:t>
      </w:r>
      <w:r>
        <w:rPr>
          <w:rFonts w:ascii="Times New Roman" w:hAnsi="Times New Roman"/>
          <w:sz w:val="24"/>
          <w:szCs w:val="24"/>
        </w:rPr>
        <w:t xml:space="preserve"> </w:t>
      </w:r>
      <w:r w:rsidRPr="00A94EA2">
        <w:rPr>
          <w:rFonts w:ascii="Times New Roman" w:hAnsi="Times New Roman"/>
          <w:sz w:val="24"/>
          <w:szCs w:val="24"/>
        </w:rPr>
        <w:t>Thanksgiving, Bill Heeter told his wife Karen he was about to commit suicide. Mr. Heeter’s</w:t>
      </w:r>
      <w:r>
        <w:rPr>
          <w:rFonts w:ascii="Times New Roman" w:hAnsi="Times New Roman"/>
          <w:sz w:val="24"/>
          <w:szCs w:val="24"/>
        </w:rPr>
        <w:t xml:space="preserve"> </w:t>
      </w:r>
      <w:r w:rsidRPr="00A94EA2">
        <w:rPr>
          <w:rFonts w:ascii="Times New Roman" w:hAnsi="Times New Roman"/>
          <w:sz w:val="24"/>
          <w:szCs w:val="24"/>
        </w:rPr>
        <w:t>brother called the police to stop him. At about 10:05 a.m., officers began to arrive at the family’s</w:t>
      </w:r>
      <w:r>
        <w:rPr>
          <w:rFonts w:ascii="Times New Roman" w:hAnsi="Times New Roman"/>
          <w:sz w:val="24"/>
          <w:szCs w:val="24"/>
        </w:rPr>
        <w:t xml:space="preserve"> </w:t>
      </w:r>
      <w:r w:rsidRPr="00A94EA2">
        <w:rPr>
          <w:rFonts w:ascii="Times New Roman" w:hAnsi="Times New Roman"/>
          <w:sz w:val="24"/>
          <w:szCs w:val="24"/>
        </w:rPr>
        <w:t>Columbus, Ohio home. They spotted Mr. Heeter through his kitchen window—he was sitting at</w:t>
      </w:r>
      <w:r>
        <w:rPr>
          <w:rFonts w:ascii="Times New Roman" w:hAnsi="Times New Roman"/>
          <w:sz w:val="24"/>
          <w:szCs w:val="24"/>
        </w:rPr>
        <w:t xml:space="preserve"> </w:t>
      </w:r>
      <w:r w:rsidRPr="00A94EA2">
        <w:rPr>
          <w:rFonts w:ascii="Times New Roman" w:hAnsi="Times New Roman"/>
          <w:sz w:val="24"/>
          <w:szCs w:val="24"/>
        </w:rPr>
        <w:t xml:space="preserve">a table smoking a cigarette, with one hand on his pistol. He told the officers he’d put his </w:t>
      </w:r>
      <w:proofErr w:type="gramStart"/>
      <w:r w:rsidRPr="00A94EA2">
        <w:rPr>
          <w:rFonts w:ascii="Times New Roman" w:hAnsi="Times New Roman"/>
          <w:sz w:val="24"/>
          <w:szCs w:val="24"/>
        </w:rPr>
        <w:t>gun</w:t>
      </w:r>
      <w:proofErr w:type="gramEnd"/>
    </w:p>
    <w:p w14:paraId="7BC1C106" w14:textId="77777777" w:rsidR="001C2F88" w:rsidRDefault="001C2F88" w:rsidP="001C2F88">
      <w:pPr>
        <w:pStyle w:val="NoSpacing"/>
        <w:ind w:left="720"/>
        <w:rPr>
          <w:rFonts w:ascii="Times New Roman" w:hAnsi="Times New Roman"/>
          <w:sz w:val="24"/>
          <w:szCs w:val="24"/>
        </w:rPr>
      </w:pPr>
      <w:r w:rsidRPr="00A94EA2">
        <w:rPr>
          <w:rFonts w:ascii="Times New Roman" w:hAnsi="Times New Roman"/>
          <w:sz w:val="24"/>
          <w:szCs w:val="24"/>
        </w:rPr>
        <w:t>away if they left. At approximately 10:15 a.m., a group of officers entered the house with their</w:t>
      </w:r>
      <w:r>
        <w:rPr>
          <w:rFonts w:ascii="Times New Roman" w:hAnsi="Times New Roman"/>
          <w:sz w:val="24"/>
          <w:szCs w:val="24"/>
        </w:rPr>
        <w:t xml:space="preserve"> </w:t>
      </w:r>
      <w:r w:rsidRPr="00A94EA2">
        <w:rPr>
          <w:rFonts w:ascii="Times New Roman" w:hAnsi="Times New Roman"/>
          <w:sz w:val="24"/>
          <w:szCs w:val="24"/>
        </w:rPr>
        <w:t>weapons drawn. At 10:17 a.m., Officer Kenneth Bowers fired five rounds from his M16 service</w:t>
      </w:r>
      <w:r>
        <w:rPr>
          <w:rFonts w:ascii="Times New Roman" w:hAnsi="Times New Roman"/>
          <w:sz w:val="24"/>
          <w:szCs w:val="24"/>
        </w:rPr>
        <w:t xml:space="preserve"> </w:t>
      </w:r>
      <w:r w:rsidRPr="00A94EA2">
        <w:rPr>
          <w:rFonts w:ascii="Times New Roman" w:hAnsi="Times New Roman"/>
          <w:sz w:val="24"/>
          <w:szCs w:val="24"/>
        </w:rPr>
        <w:t>rifle into Mr. Heeter’s chest. At 10:57 a.m., Mr. Heeter was pronounced dead at the hospital.</w:t>
      </w:r>
      <w:r>
        <w:rPr>
          <w:rFonts w:ascii="Times New Roman" w:hAnsi="Times New Roman"/>
          <w:sz w:val="24"/>
          <w:szCs w:val="24"/>
        </w:rPr>
        <w:t xml:space="preserve"> </w:t>
      </w:r>
      <w:r w:rsidRPr="00A94EA2">
        <w:rPr>
          <w:rFonts w:ascii="Times New Roman" w:hAnsi="Times New Roman"/>
          <w:sz w:val="24"/>
          <w:szCs w:val="24"/>
        </w:rPr>
        <w:t>Police bodycam footage captured almost everything that happened. It shows that a police</w:t>
      </w:r>
      <w:r>
        <w:rPr>
          <w:rFonts w:ascii="Times New Roman" w:hAnsi="Times New Roman"/>
          <w:sz w:val="24"/>
          <w:szCs w:val="24"/>
        </w:rPr>
        <w:t xml:space="preserve"> </w:t>
      </w:r>
      <w:r w:rsidRPr="00A94EA2">
        <w:rPr>
          <w:rFonts w:ascii="Times New Roman" w:hAnsi="Times New Roman"/>
          <w:sz w:val="24"/>
          <w:szCs w:val="24"/>
        </w:rPr>
        <w:t>sergeant called the paramedics. It also shows that Officer Bowers did not administer first aid or</w:t>
      </w:r>
      <w:r>
        <w:rPr>
          <w:rFonts w:ascii="Times New Roman" w:hAnsi="Times New Roman"/>
          <w:sz w:val="24"/>
          <w:szCs w:val="24"/>
        </w:rPr>
        <w:t xml:space="preserve"> </w:t>
      </w:r>
      <w:r w:rsidRPr="00A94EA2">
        <w:rPr>
          <w:rFonts w:ascii="Times New Roman" w:hAnsi="Times New Roman"/>
          <w:sz w:val="24"/>
          <w:szCs w:val="24"/>
        </w:rPr>
        <w:t>otherwise try to help Mr. Heeter while waiting for the paramedics to arrive, even though Mr.</w:t>
      </w:r>
      <w:r>
        <w:rPr>
          <w:rFonts w:ascii="Times New Roman" w:hAnsi="Times New Roman"/>
          <w:sz w:val="24"/>
          <w:szCs w:val="24"/>
        </w:rPr>
        <w:t xml:space="preserve"> </w:t>
      </w:r>
      <w:r w:rsidRPr="00A94EA2">
        <w:rPr>
          <w:rFonts w:ascii="Times New Roman" w:hAnsi="Times New Roman"/>
          <w:sz w:val="24"/>
          <w:szCs w:val="24"/>
        </w:rPr>
        <w:t>Heeter was audibly and visibly alive, hemorrhaging blood, and struggling to breathe</w:t>
      </w:r>
      <w:r>
        <w:rPr>
          <w:rFonts w:ascii="Times New Roman" w:hAnsi="Times New Roman"/>
          <w:sz w:val="24"/>
          <w:szCs w:val="24"/>
        </w:rPr>
        <w:t>.”</w:t>
      </w:r>
    </w:p>
    <w:p w14:paraId="53170EFF" w14:textId="77777777" w:rsidR="001C2F88" w:rsidRDefault="001C2F88" w:rsidP="001C2F88">
      <w:pPr>
        <w:pStyle w:val="NoSpacing"/>
        <w:ind w:left="720"/>
        <w:rPr>
          <w:rFonts w:ascii="Times New Roman" w:hAnsi="Times New Roman"/>
          <w:sz w:val="24"/>
          <w:szCs w:val="24"/>
        </w:rPr>
      </w:pPr>
    </w:p>
    <w:p w14:paraId="36A72461" w14:textId="77777777" w:rsidR="001C2F88" w:rsidRDefault="001C2F88" w:rsidP="001C2F88">
      <w:pPr>
        <w:pStyle w:val="NormalWeb"/>
      </w:pPr>
      <w:r>
        <w:t>DISSENT:</w:t>
      </w:r>
    </w:p>
    <w:p w14:paraId="452B6B9D" w14:textId="77777777" w:rsidR="001C2F88" w:rsidRPr="00B91070" w:rsidRDefault="001C2F88" w:rsidP="001C2F88">
      <w:pPr>
        <w:pStyle w:val="NoSpacing"/>
        <w:ind w:left="720"/>
        <w:rPr>
          <w:rFonts w:ascii="Times New Roman" w:hAnsi="Times New Roman"/>
          <w:sz w:val="24"/>
          <w:szCs w:val="24"/>
        </w:rPr>
      </w:pPr>
      <w:r>
        <w:rPr>
          <w:rFonts w:ascii="Times New Roman" w:hAnsi="Times New Roman"/>
          <w:sz w:val="24"/>
          <w:szCs w:val="24"/>
        </w:rPr>
        <w:t xml:space="preserve">“The majority [opinion} acknowledges that </w:t>
      </w:r>
      <w:r w:rsidRPr="00B91070">
        <w:rPr>
          <w:rFonts w:ascii="Times New Roman" w:hAnsi="Times New Roman"/>
          <w:sz w:val="24"/>
          <w:szCs w:val="24"/>
        </w:rPr>
        <w:t>if Officer Bowers had reasonably believed that personal intervention would</w:t>
      </w:r>
      <w:r>
        <w:rPr>
          <w:rFonts w:ascii="Times New Roman" w:hAnsi="Times New Roman"/>
          <w:sz w:val="24"/>
          <w:szCs w:val="24"/>
        </w:rPr>
        <w:t xml:space="preserve"> </w:t>
      </w:r>
      <w:r w:rsidRPr="00B91070">
        <w:rPr>
          <w:rFonts w:ascii="Times New Roman" w:hAnsi="Times New Roman"/>
          <w:sz w:val="24"/>
          <w:szCs w:val="24"/>
        </w:rPr>
        <w:t>not have helped Mr. Heeter, he would not have been deliberately indifferent in failing to render</w:t>
      </w:r>
      <w:r>
        <w:rPr>
          <w:rFonts w:ascii="Times New Roman" w:hAnsi="Times New Roman"/>
          <w:sz w:val="24"/>
          <w:szCs w:val="24"/>
        </w:rPr>
        <w:t xml:space="preserve"> </w:t>
      </w:r>
      <w:r w:rsidRPr="00B91070">
        <w:rPr>
          <w:rFonts w:ascii="Times New Roman" w:hAnsi="Times New Roman"/>
          <w:sz w:val="24"/>
          <w:szCs w:val="24"/>
        </w:rPr>
        <w:t>any basic first aid under our precedent.</w:t>
      </w:r>
      <w:r>
        <w:rPr>
          <w:rFonts w:ascii="Times New Roman" w:hAnsi="Times New Roman"/>
          <w:sz w:val="24"/>
          <w:szCs w:val="24"/>
        </w:rPr>
        <w:t xml:space="preserve"> *** </w:t>
      </w:r>
      <w:r w:rsidRPr="004D46F5">
        <w:rPr>
          <w:rFonts w:ascii="Times New Roman" w:hAnsi="Times New Roman"/>
          <w:sz w:val="24"/>
          <w:szCs w:val="24"/>
        </w:rPr>
        <w:t>Because we do not have jurisdiction to review the factual disputes</w:t>
      </w:r>
      <w:r>
        <w:rPr>
          <w:rFonts w:ascii="Times New Roman" w:hAnsi="Times New Roman"/>
          <w:sz w:val="24"/>
          <w:szCs w:val="24"/>
        </w:rPr>
        <w:t xml:space="preserve"> </w:t>
      </w:r>
      <w:r w:rsidRPr="004D46F5">
        <w:rPr>
          <w:rFonts w:ascii="Times New Roman" w:hAnsi="Times New Roman"/>
          <w:sz w:val="24"/>
          <w:szCs w:val="24"/>
        </w:rPr>
        <w:t>Defendants present, I respectfully dissent from the majority’s choice to find jurisdiction in this</w:t>
      </w:r>
      <w:r>
        <w:rPr>
          <w:rFonts w:ascii="Times New Roman" w:hAnsi="Times New Roman"/>
          <w:sz w:val="24"/>
          <w:szCs w:val="24"/>
        </w:rPr>
        <w:t xml:space="preserve"> </w:t>
      </w:r>
      <w:r w:rsidRPr="004D46F5">
        <w:rPr>
          <w:rFonts w:ascii="Times New Roman" w:hAnsi="Times New Roman"/>
          <w:sz w:val="24"/>
          <w:szCs w:val="24"/>
        </w:rPr>
        <w:t>case. We should dismiss this qualified immunity appeal for lack of jurisdiction.</w:t>
      </w:r>
    </w:p>
    <w:p w14:paraId="2DCC3FBA" w14:textId="77777777" w:rsidR="001C2F88" w:rsidRPr="00A94EA2" w:rsidRDefault="001C2F88" w:rsidP="001C2F88">
      <w:pPr>
        <w:pStyle w:val="NoSpacing"/>
        <w:ind w:left="720"/>
        <w:rPr>
          <w:rFonts w:ascii="Times New Roman" w:hAnsi="Times New Roman"/>
          <w:sz w:val="24"/>
          <w:szCs w:val="24"/>
        </w:rPr>
      </w:pPr>
    </w:p>
    <w:p w14:paraId="0FB5864F" w14:textId="77777777" w:rsidR="001C2F88" w:rsidRPr="00A94EA2" w:rsidRDefault="001C2F88" w:rsidP="001C2F88">
      <w:pPr>
        <w:pStyle w:val="NoSpacing"/>
        <w:rPr>
          <w:rFonts w:ascii="Times New Roman" w:hAnsi="Times New Roman"/>
          <w:sz w:val="24"/>
          <w:szCs w:val="24"/>
        </w:rPr>
      </w:pPr>
    </w:p>
    <w:p w14:paraId="41EE3FF8" w14:textId="77777777" w:rsidR="001C2F88" w:rsidRPr="00C52C47" w:rsidRDefault="001C2F88" w:rsidP="001C2F88">
      <w:pPr>
        <w:pStyle w:val="NoSpacing"/>
        <w:rPr>
          <w:rFonts w:ascii="Times New Roman" w:hAnsi="Times New Roman"/>
          <w:b/>
          <w:bCs/>
          <w:sz w:val="24"/>
          <w:szCs w:val="24"/>
        </w:rPr>
      </w:pPr>
      <w:r w:rsidRPr="00C52C47">
        <w:rPr>
          <w:rFonts w:ascii="Times New Roman" w:hAnsi="Times New Roman"/>
          <w:b/>
          <w:bCs/>
          <w:sz w:val="24"/>
          <w:szCs w:val="24"/>
        </w:rPr>
        <w:t xml:space="preserve">Legal Lesson Learned: </w:t>
      </w:r>
      <w:r>
        <w:rPr>
          <w:rFonts w:ascii="Times New Roman" w:hAnsi="Times New Roman"/>
          <w:b/>
          <w:bCs/>
          <w:sz w:val="24"/>
          <w:szCs w:val="24"/>
        </w:rPr>
        <w:t>Under the 6</w:t>
      </w:r>
      <w:r w:rsidRPr="00C64006">
        <w:rPr>
          <w:rFonts w:ascii="Times New Roman" w:hAnsi="Times New Roman"/>
          <w:b/>
          <w:bCs/>
          <w:sz w:val="24"/>
          <w:szCs w:val="24"/>
          <w:vertAlign w:val="superscript"/>
        </w:rPr>
        <w:t>th</w:t>
      </w:r>
      <w:r>
        <w:rPr>
          <w:rFonts w:ascii="Times New Roman" w:hAnsi="Times New Roman"/>
          <w:b/>
          <w:bCs/>
          <w:sz w:val="24"/>
          <w:szCs w:val="24"/>
        </w:rPr>
        <w:t xml:space="preserve"> Circuit’s 2008 Jones v. City of Cincinnati case, police officers in 6</w:t>
      </w:r>
      <w:r w:rsidRPr="00C64006">
        <w:rPr>
          <w:rFonts w:ascii="Times New Roman" w:hAnsi="Times New Roman"/>
          <w:b/>
          <w:bCs/>
          <w:sz w:val="24"/>
          <w:szCs w:val="24"/>
          <w:vertAlign w:val="superscript"/>
        </w:rPr>
        <w:t>th</w:t>
      </w:r>
      <w:r>
        <w:rPr>
          <w:rFonts w:ascii="Times New Roman" w:hAnsi="Times New Roman"/>
          <w:b/>
          <w:bCs/>
          <w:sz w:val="24"/>
          <w:szCs w:val="24"/>
        </w:rPr>
        <w:t xml:space="preserve"> Circuit states [Ohio, Michigan, Kentucky, Tennessee] must render first aid to person in their custody.  Fire &amp; EMS when calling PD to scene of violent person should stage nearby. </w:t>
      </w:r>
    </w:p>
    <w:p w14:paraId="6C18DA91" w14:textId="77777777" w:rsidR="001C2F88" w:rsidRPr="00C52C47" w:rsidRDefault="001C2F88" w:rsidP="001C2F88">
      <w:pPr>
        <w:pStyle w:val="NoSpacing"/>
        <w:rPr>
          <w:rFonts w:ascii="Times New Roman" w:hAnsi="Times New Roman"/>
          <w:b/>
          <w:bCs/>
          <w:sz w:val="24"/>
          <w:szCs w:val="24"/>
        </w:rPr>
      </w:pPr>
    </w:p>
    <w:p w14:paraId="1085E5D7" w14:textId="77777777" w:rsidR="001C2F88" w:rsidRPr="004913F6" w:rsidRDefault="001C2F88" w:rsidP="001C2F88">
      <w:pPr>
        <w:pStyle w:val="NormalWeb"/>
        <w:spacing w:before="0" w:beforeAutospacing="0"/>
        <w:ind w:left="1440"/>
      </w:pPr>
      <w:r>
        <w:rPr>
          <w:color w:val="454545"/>
          <w:shd w:val="clear" w:color="auto" w:fill="FFFFFF"/>
        </w:rPr>
        <w:t xml:space="preserve">Note:  EMS agencies using body cameras. See this May 2, </w:t>
      </w:r>
      <w:proofErr w:type="gramStart"/>
      <w:r>
        <w:rPr>
          <w:color w:val="454545"/>
          <w:shd w:val="clear" w:color="auto" w:fill="FFFFFF"/>
        </w:rPr>
        <w:t>2024</w:t>
      </w:r>
      <w:proofErr w:type="gramEnd"/>
      <w:r>
        <w:rPr>
          <w:color w:val="454545"/>
          <w:shd w:val="clear" w:color="auto" w:fill="FFFFFF"/>
        </w:rPr>
        <w:t xml:space="preserve"> article: “</w:t>
      </w:r>
      <w:r w:rsidRPr="004913F6">
        <w:rPr>
          <w:rStyle w:val="title-main"/>
          <w:rFonts w:eastAsiaTheme="majorEastAsia"/>
          <w:color w:val="212529"/>
        </w:rPr>
        <w:t>Body Cams Help New Orleans EMS Protect Providers While Prioritizing Patient Safety</w:t>
      </w:r>
      <w:r>
        <w:rPr>
          <w:rStyle w:val="title-main"/>
          <w:rFonts w:eastAsiaTheme="majorEastAsia"/>
          <w:color w:val="212529"/>
        </w:rPr>
        <w:t xml:space="preserve">.” </w:t>
      </w:r>
      <w:hyperlink r:id="rId2134" w:history="1">
        <w:r w:rsidRPr="004913F6">
          <w:rPr>
            <w:rStyle w:val="Hyperlink"/>
          </w:rPr>
          <w:t>https://www.hmpgloballearningnetwork.com/site/emsworld/feature-story/body-cams-help-new-orleans-ems-protect-providers-while-prioritizing</w:t>
        </w:r>
      </w:hyperlink>
      <w:r>
        <w:t xml:space="preserve"> </w:t>
      </w:r>
    </w:p>
    <w:p w14:paraId="7BCF11A3" w14:textId="77777777" w:rsidR="001C2F88" w:rsidRDefault="001C2F88" w:rsidP="001C2F88">
      <w:pPr>
        <w:pStyle w:val="NormalWeb"/>
        <w:spacing w:before="0" w:beforeAutospacing="0"/>
        <w:ind w:left="1440"/>
        <w:rPr>
          <w:color w:val="454545"/>
          <w:shd w:val="clear" w:color="auto" w:fill="FFFFFF"/>
        </w:rPr>
      </w:pPr>
      <w:r>
        <w:rPr>
          <w:rFonts w:ascii="acumin-pro" w:hAnsi="acumin-pro"/>
          <w:color w:val="212529"/>
          <w:shd w:val="clear" w:color="auto" w:fill="FFFFFF"/>
        </w:rPr>
        <w:lastRenderedPageBreak/>
        <w:t>“New Orleans EMS embarked on a soft launch of body cameras in late 2022 to determine if staff wanted them and to calculate costs. The first deployment was 15 cameras, which recently increased to 30 more.”</w:t>
      </w:r>
    </w:p>
    <w:p w14:paraId="51E4A4AE" w14:textId="77777777" w:rsidR="001C2F88" w:rsidRDefault="001C2F88" w:rsidP="001C2F88">
      <w:pPr>
        <w:pStyle w:val="NormalWeb"/>
        <w:spacing w:before="0" w:beforeAutospacing="0"/>
        <w:rPr>
          <w:color w:val="454545"/>
          <w:shd w:val="clear" w:color="auto" w:fill="FFFFFF"/>
        </w:rPr>
      </w:pPr>
    </w:p>
    <w:p w14:paraId="7F460D65" w14:textId="77777777" w:rsidR="001C2F88" w:rsidRPr="001C2F88" w:rsidRDefault="001C2F88" w:rsidP="001C2F88">
      <w:pPr>
        <w:pStyle w:val="NormalWeb"/>
        <w:shd w:val="clear" w:color="auto" w:fill="FFFFFF"/>
        <w:spacing w:before="0" w:beforeAutospacing="0"/>
        <w:rPr>
          <w:rFonts w:ascii="Arial Black" w:hAnsi="Arial Black"/>
          <w:color w:val="454545"/>
          <w:sz w:val="28"/>
          <w:szCs w:val="28"/>
          <w:shd w:val="clear" w:color="auto" w:fill="FFFFFF"/>
        </w:rPr>
      </w:pPr>
      <w:r w:rsidRPr="001C2F88">
        <w:rPr>
          <w:rFonts w:ascii="Arial Black" w:hAnsi="Arial Black"/>
          <w:color w:val="454545"/>
          <w:sz w:val="28"/>
          <w:szCs w:val="28"/>
          <w:shd w:val="clear" w:color="auto" w:fill="FFFFFF"/>
        </w:rPr>
        <w:t>13-183</w:t>
      </w:r>
    </w:p>
    <w:p w14:paraId="38D674E8" w14:textId="7FA1DA71" w:rsidR="001C2F88" w:rsidRPr="006F4104" w:rsidRDefault="001C2F88" w:rsidP="001C2F88">
      <w:pPr>
        <w:pStyle w:val="NormalWeb"/>
        <w:shd w:val="clear" w:color="auto" w:fill="FFFFFF"/>
        <w:spacing w:before="0" w:beforeAutospacing="0"/>
        <w:rPr>
          <w:rFonts w:ascii="Arial Black" w:hAnsi="Arial Black"/>
          <w:b/>
          <w:bCs/>
          <w:color w:val="454545"/>
          <w:sz w:val="28"/>
          <w:szCs w:val="28"/>
        </w:rPr>
      </w:pPr>
      <w:r>
        <w:rPr>
          <w:rFonts w:ascii="Arial Black" w:hAnsi="Arial Black"/>
          <w:b/>
          <w:bCs/>
          <w:color w:val="454545"/>
          <w:sz w:val="28"/>
          <w:szCs w:val="28"/>
        </w:rPr>
        <w:t xml:space="preserve">ME: COVID VACCINATIONS  – 17 EMS SUED - STATE EMS HAD THE STATUTORY AUTHORITY REQ. EMS VACCINATED </w:t>
      </w:r>
    </w:p>
    <w:p w14:paraId="164FC379" w14:textId="77777777" w:rsidR="001C2F88" w:rsidRDefault="001C2F88" w:rsidP="001C2F88">
      <w:pPr>
        <w:pStyle w:val="NormalWeb"/>
        <w:shd w:val="clear" w:color="auto" w:fill="FFFFFF"/>
        <w:spacing w:before="0" w:beforeAutospacing="0"/>
      </w:pPr>
      <w:r>
        <w:rPr>
          <w:color w:val="454545"/>
        </w:rPr>
        <w:t xml:space="preserve">On April 25, 2024, in </w:t>
      </w:r>
      <w:r w:rsidRPr="0065594D">
        <w:rPr>
          <w:color w:val="454545"/>
          <w:u w:val="single"/>
        </w:rPr>
        <w:t>Chris Calnan, et al. v. San Hurley</w:t>
      </w:r>
      <w:r>
        <w:rPr>
          <w:color w:val="454545"/>
        </w:rPr>
        <w:t xml:space="preserve">, [Director of </w:t>
      </w:r>
      <w:r>
        <w:t xml:space="preserve">Maine Emergency Medical Services], the Supreme Court of Maine held (6 to 0) that trial court properly dismissed the plaintiffs’ complaint for a declaratory judgment, and EMS lost wages for failure to get vaccinated. </w:t>
      </w:r>
      <w:hyperlink r:id="rId2135" w:history="1">
        <w:r w:rsidRPr="007C1F1F">
          <w:rPr>
            <w:rStyle w:val="Hyperlink"/>
          </w:rPr>
          <w:t>https://www.courts.maine.gov/courts/sjc/lawcourt/2024/24me030.pdf</w:t>
        </w:r>
      </w:hyperlink>
      <w:r>
        <w:t xml:space="preserve"> </w:t>
      </w:r>
    </w:p>
    <w:p w14:paraId="0D0AAE9C" w14:textId="77777777" w:rsidR="001C2F88" w:rsidRDefault="001C2F88" w:rsidP="001C2F88">
      <w:pPr>
        <w:pStyle w:val="NormalWeb"/>
        <w:shd w:val="clear" w:color="auto" w:fill="FFFFFF"/>
        <w:spacing w:before="0" w:beforeAutospacing="0"/>
      </w:pPr>
      <w:r>
        <w:t>COURT HELD:</w:t>
      </w:r>
    </w:p>
    <w:p w14:paraId="6DD94C3E" w14:textId="77777777" w:rsidR="001C2F88" w:rsidRDefault="001C2F88" w:rsidP="001C2F88">
      <w:pPr>
        <w:pStyle w:val="NormalWeb"/>
        <w:shd w:val="clear" w:color="auto" w:fill="FFFFFF"/>
        <w:spacing w:before="0" w:beforeAutospacing="0"/>
        <w:ind w:left="720"/>
      </w:pPr>
      <w:r>
        <w:t xml:space="preserve">“The Maine Emergency Medical Services Act of 1982 (EMS Act) provides for the EMS system in Maine. </w:t>
      </w:r>
      <w:r>
        <w:rPr>
          <w:rStyle w:val="Emphasis"/>
          <w:rFonts w:eastAsiaTheme="majorEastAsia"/>
        </w:rPr>
        <w:t>See</w:t>
      </w:r>
      <w:r>
        <w:t xml:space="preserve"> 32 M.R.S. §§ 81-98 (2024).</w:t>
      </w:r>
    </w:p>
    <w:p w14:paraId="444EE1DB" w14:textId="77777777" w:rsidR="001C2F88" w:rsidRDefault="001C2F88" w:rsidP="001C2F88">
      <w:pPr>
        <w:pStyle w:val="NormalWeb"/>
        <w:shd w:val="clear" w:color="auto" w:fill="FFFFFF"/>
        <w:spacing w:before="0" w:beforeAutospacing="0"/>
        <w:ind w:left="720"/>
      </w:pPr>
      <w:r>
        <w:t>***</w:t>
      </w:r>
    </w:p>
    <w:p w14:paraId="213B67CD" w14:textId="77777777" w:rsidR="001C2F88" w:rsidRDefault="001C2F88" w:rsidP="001C2F88">
      <w:pPr>
        <w:pStyle w:val="NormalWeb"/>
        <w:ind w:left="720"/>
      </w:pPr>
      <w:r>
        <w:t xml:space="preserve">The statute unambiguously delegates to the EMS Board rulemaking authority regarding qualifications of EMS personnel, and its statutory purpose clearly vests the EMS Board with the responsibility of creating standards and qualifications for such personnel. </w:t>
      </w:r>
    </w:p>
    <w:p w14:paraId="7F09E3C2" w14:textId="77777777" w:rsidR="001C2F88" w:rsidRDefault="001C2F88" w:rsidP="001C2F88">
      <w:pPr>
        <w:pStyle w:val="NormalWeb"/>
        <w:ind w:left="720"/>
      </w:pPr>
      <w:r>
        <w:t xml:space="preserve">Calnan argues that unlike in the chapter relating to the Department of Health and Human Services, </w:t>
      </w:r>
      <w:r>
        <w:rPr>
          <w:rStyle w:val="Emphasis"/>
          <w:rFonts w:eastAsiaTheme="majorEastAsia"/>
        </w:rPr>
        <w:t>see</w:t>
      </w:r>
      <w:r>
        <w:t xml:space="preserve"> 22 M.R.S. § 802 (2024), which gives the Department of Health and Human Services express authority to promulgate immunization rules for healthcare workers, Section 81-A does not specifically confer such authority on the EMS Board. Thus, he maintains, it is beyond the power of the EMS Board to address immunization in its rules. We disagree.”</w:t>
      </w:r>
    </w:p>
    <w:p w14:paraId="4391B8E4" w14:textId="77777777" w:rsidR="001C2F88" w:rsidRPr="00897F33" w:rsidRDefault="001C2F88" w:rsidP="001C2F88">
      <w:pPr>
        <w:pStyle w:val="NormalWeb"/>
        <w:shd w:val="clear" w:color="auto" w:fill="FFFFFF"/>
        <w:spacing w:before="0" w:beforeAutospacing="0"/>
        <w:rPr>
          <w:b/>
          <w:bCs/>
        </w:rPr>
      </w:pPr>
      <w:r w:rsidRPr="00897F33">
        <w:rPr>
          <w:b/>
          <w:bCs/>
        </w:rPr>
        <w:t xml:space="preserve">Legal Lesson Learned: </w:t>
      </w:r>
      <w:r>
        <w:rPr>
          <w:b/>
          <w:bCs/>
        </w:rPr>
        <w:t xml:space="preserve">This is another case upholding State EMS agencies authority to require COVID vaccination. </w:t>
      </w:r>
    </w:p>
    <w:p w14:paraId="486ED613" w14:textId="77777777" w:rsidR="001C2F88" w:rsidRDefault="001C2F88" w:rsidP="001C2F88">
      <w:pPr>
        <w:pStyle w:val="NormalWeb"/>
        <w:shd w:val="clear" w:color="auto" w:fill="FFFFFF"/>
        <w:spacing w:before="0" w:beforeAutospacing="0"/>
        <w:ind w:left="720"/>
        <w:rPr>
          <w:color w:val="454545"/>
        </w:rPr>
      </w:pPr>
      <w:r>
        <w:rPr>
          <w:color w:val="454545"/>
        </w:rPr>
        <w:t>Note: The Court referenced other similar court decisions.</w:t>
      </w:r>
    </w:p>
    <w:p w14:paraId="5F17692C" w14:textId="77777777" w:rsidR="001C2F88" w:rsidRDefault="001C2F88" w:rsidP="001C2F88">
      <w:pPr>
        <w:pStyle w:val="NormalWeb"/>
        <w:ind w:left="720"/>
      </w:pPr>
      <w:r>
        <w:t xml:space="preserve">“Although Calnan challenges the EMS Board's overall authority </w:t>
      </w:r>
      <w:proofErr w:type="gramStart"/>
      <w:r>
        <w:t>with regard to</w:t>
      </w:r>
      <w:proofErr w:type="gramEnd"/>
      <w:r>
        <w:t xml:space="preserve"> immunization, when the EMS Board initially promulgated the rule in 2021, public policy supported requirements that certain people, especially healthcare workers such as EMS personnel, be vaccinated. </w:t>
      </w:r>
      <w:r>
        <w:rPr>
          <w:rStyle w:val="Emphasis"/>
          <w:rFonts w:eastAsiaTheme="majorEastAsia"/>
        </w:rPr>
        <w:t>See In re City of Newark</w:t>
      </w:r>
      <w:r>
        <w:t xml:space="preserve">, 264 A.3d at 327 ("Th[e] right ['to hire or direct its workforce',] coupled with the clear national and state public policy to combat the health threats posed by COVID-19, supports the City's authority to implement a vaccination mandate."); </w:t>
      </w:r>
      <w:r>
        <w:rPr>
          <w:rStyle w:val="Emphasis"/>
          <w:rFonts w:eastAsiaTheme="majorEastAsia"/>
        </w:rPr>
        <w:t>Boston Firefighters Union, Loc. 718 v. City of Boston</w:t>
      </w:r>
      <w:r>
        <w:t>, 205 N.E.3d 282, 294-95 (Mass. 2023) (‘[V]</w:t>
      </w:r>
      <w:proofErr w:type="spellStart"/>
      <w:r>
        <w:t>accination</w:t>
      </w:r>
      <w:proofErr w:type="spellEnd"/>
      <w:r>
        <w:t xml:space="preserve"> against COVID-19 not only protected the health of the city residents, but also protected the [City's] ability to continue to maintain a sufficiently healthy workforce during the Omicron surge, as would be needed to deliver emergency public safety services to the residents of the city.’). We conclude that the EMS Board did not exceed its statutory authority in issuing the EMS immunization rule.”</w:t>
      </w:r>
    </w:p>
    <w:p w14:paraId="202AA7C2" w14:textId="77777777" w:rsidR="001C2F88" w:rsidRDefault="001C2F88" w:rsidP="001C2F88">
      <w:pPr>
        <w:pStyle w:val="NormalWeb"/>
        <w:shd w:val="clear" w:color="auto" w:fill="FFFFFF"/>
        <w:spacing w:before="0" w:beforeAutospacing="0"/>
        <w:ind w:left="720"/>
        <w:rPr>
          <w:color w:val="454545"/>
        </w:rPr>
      </w:pPr>
    </w:p>
    <w:p w14:paraId="44693D4A" w14:textId="77777777" w:rsidR="001C2F88" w:rsidRPr="001C2F88" w:rsidRDefault="001C2F88" w:rsidP="001C2F88">
      <w:pPr>
        <w:pStyle w:val="NormalWeb"/>
        <w:rPr>
          <w:rFonts w:ascii="Arial Black" w:hAnsi="Arial Black"/>
          <w:sz w:val="28"/>
          <w:szCs w:val="28"/>
        </w:rPr>
      </w:pPr>
      <w:r w:rsidRPr="001C2F88">
        <w:rPr>
          <w:rFonts w:ascii="Arial Black" w:hAnsi="Arial Black"/>
          <w:sz w:val="28"/>
          <w:szCs w:val="28"/>
        </w:rPr>
        <w:t>13-182</w:t>
      </w:r>
    </w:p>
    <w:p w14:paraId="09353AD6" w14:textId="1C24A20B" w:rsidR="001C2F88" w:rsidRPr="008205D8" w:rsidRDefault="001C2F88" w:rsidP="001C2F88">
      <w:pPr>
        <w:pStyle w:val="NormalWeb"/>
        <w:rPr>
          <w:rFonts w:ascii="Arial Black" w:hAnsi="Arial Black"/>
          <w:sz w:val="28"/>
          <w:szCs w:val="28"/>
        </w:rPr>
      </w:pPr>
      <w:r>
        <w:rPr>
          <w:rFonts w:ascii="Arial Black" w:hAnsi="Arial Black"/>
          <w:sz w:val="28"/>
          <w:szCs w:val="28"/>
        </w:rPr>
        <w:t>NJ: UNCONSCIOUS DIABETIC – IV SITE ADVERSE REACTION TO DEXTROSE – MEDICS ACTED GOOD FAITH - IMMUNITY</w:t>
      </w:r>
    </w:p>
    <w:p w14:paraId="5A1ED38C" w14:textId="77777777" w:rsidR="001C2F88" w:rsidRDefault="001C2F88" w:rsidP="001C2F88">
      <w:pPr>
        <w:pStyle w:val="NormalWeb"/>
      </w:pPr>
      <w:r>
        <w:t xml:space="preserve">On April 24, 2024, in </w:t>
      </w:r>
      <w:r w:rsidRPr="00C71E18">
        <w:rPr>
          <w:u w:val="single"/>
        </w:rPr>
        <w:t>Robin Newsome v. Inspira Health Network, Inc, and Gloucester County Emergency Medical Service</w:t>
      </w:r>
      <w:r>
        <w:t xml:space="preserve">, the Superior Court of New Jersey, Appellate Division, held (3 to 0) that trial court properly granted summary judgment for the defense since the two medics acted in good faith. Four years prior, one of medics </w:t>
      </w:r>
      <w:proofErr w:type="gramStart"/>
      <w:r>
        <w:t>had transported</w:t>
      </w:r>
      <w:proofErr w:type="gramEnd"/>
      <w:r>
        <w:t xml:space="preserve"> the patient and did not use dextrose when husband told him about her adverse reaction (used glucagon instead); husband claims that he again warned the medic.  The patient when transported to hospital recovered but needed emergency “compartment syndrome” surgery to repair IV site. </w:t>
      </w:r>
      <w:hyperlink r:id="rId2136" w:history="1">
        <w:r w:rsidRPr="007C1F1F">
          <w:rPr>
            <w:rStyle w:val="Hyperlink"/>
          </w:rPr>
          <w:t>https://casetext.com/case/newsome-v-inspira-health-network-inc</w:t>
        </w:r>
      </w:hyperlink>
      <w:r>
        <w:t xml:space="preserve"> </w:t>
      </w:r>
    </w:p>
    <w:p w14:paraId="6BA6775A" w14:textId="77777777" w:rsidR="001C2F88" w:rsidRDefault="001C2F88" w:rsidP="001C2F88">
      <w:pPr>
        <w:pStyle w:val="NormalWeb"/>
      </w:pPr>
      <w:r>
        <w:t>COURT HELD:</w:t>
      </w:r>
    </w:p>
    <w:p w14:paraId="6C3D9B33" w14:textId="77777777" w:rsidR="001C2F88" w:rsidRDefault="001C2F88" w:rsidP="001C2F88">
      <w:pPr>
        <w:pStyle w:val="NormalWeb"/>
        <w:ind w:left="720"/>
      </w:pPr>
      <w:r>
        <w:t xml:space="preserve">“Therefore, we agree with the trial court's determination the initial communication, or miscommunication, was in the scope of rendering life support services, and thus conduct the Legislature intended to afford the shield of immunity. </w:t>
      </w:r>
    </w:p>
    <w:p w14:paraId="1277D5C3" w14:textId="77777777" w:rsidR="001C2F88" w:rsidRDefault="001C2F88" w:rsidP="001C2F88">
      <w:pPr>
        <w:pStyle w:val="NormalWeb"/>
        <w:ind w:left="720"/>
      </w:pPr>
      <w:r>
        <w:t xml:space="preserve">The paramedics' conduct must then be measured against the good faith standard, not negligence. </w:t>
      </w:r>
      <w:proofErr w:type="gramStart"/>
      <w:r>
        <w:t>Generally, ‘</w:t>
      </w:r>
      <w:proofErr w:type="gramEnd"/>
      <w:r>
        <w:t xml:space="preserve">good faith’ exists where there is ‘honesty of purpose and integrity of conduct without knowledge, either actual or sufficient to demand inquiry, that the conduct is wrong.’ </w:t>
      </w:r>
      <w:r>
        <w:rPr>
          <w:rStyle w:val="Emphasis"/>
          <w:rFonts w:eastAsiaTheme="majorEastAsia"/>
        </w:rPr>
        <w:t>Frields v. St. Joseph's Hosp.</w:t>
      </w:r>
      <w:r>
        <w:t xml:space="preserve">, 305 </w:t>
      </w:r>
      <w:proofErr w:type="spellStart"/>
      <w:r>
        <w:t>N.J.Super</w:t>
      </w:r>
      <w:proofErr w:type="spellEnd"/>
      <w:r>
        <w:t xml:space="preserve">. 244, 248 (App. Div. 1997) (quoting </w:t>
      </w:r>
      <w:r>
        <w:rPr>
          <w:rStyle w:val="Emphasis"/>
          <w:rFonts w:eastAsiaTheme="majorEastAsia"/>
        </w:rPr>
        <w:t>Marley v. Borough of Palmyra</w:t>
      </w:r>
      <w:r>
        <w:t xml:space="preserve">, 193 </w:t>
      </w:r>
      <w:proofErr w:type="spellStart"/>
      <w:r>
        <w:t>N.J.Super</w:t>
      </w:r>
      <w:proofErr w:type="spellEnd"/>
      <w:r>
        <w:t xml:space="preserve">. 271, 294 (Law Div. </w:t>
      </w:r>
      <w:proofErr w:type="gramStart"/>
      <w:r>
        <w:t>1983))</w:t>
      </w:r>
      <w:proofErr w:type="gramEnd"/>
      <w:r>
        <w:t xml:space="preserve">. While the issue of good faith is often determined in a plenary hearing, summary judgment is proper where the defendant demonstrates that the actions ‘were objectively reasonable or that they performed them with subjective good faith.’ </w:t>
      </w:r>
      <w:proofErr w:type="spellStart"/>
      <w:r>
        <w:rPr>
          <w:rStyle w:val="Emphasis"/>
          <w:rFonts w:eastAsiaTheme="majorEastAsia"/>
        </w:rPr>
        <w:t>Canico</w:t>
      </w:r>
      <w:proofErr w:type="spellEnd"/>
      <w:r>
        <w:rPr>
          <w:rStyle w:val="Emphasis"/>
          <w:rFonts w:eastAsiaTheme="majorEastAsia"/>
        </w:rPr>
        <w:t xml:space="preserve"> v. Hurtado</w:t>
      </w:r>
      <w:r>
        <w:t xml:space="preserve">, 144 N.J. 361, 365 (1996). ‘This test recognizes that even a person who acted negligently is entitled to a qualified immunity, if he acted in an objectively reasonable manner.’ </w:t>
      </w:r>
      <w:r>
        <w:rPr>
          <w:rStyle w:val="Emphasis"/>
          <w:rFonts w:eastAsiaTheme="majorEastAsia"/>
        </w:rPr>
        <w:t>Frields</w:t>
      </w:r>
      <w:r>
        <w:t xml:space="preserve">, 305 </w:t>
      </w:r>
      <w:proofErr w:type="spellStart"/>
      <w:r>
        <w:t>N.J.Super</w:t>
      </w:r>
      <w:proofErr w:type="spellEnd"/>
      <w:r>
        <w:t xml:space="preserve">. at 248 (citing </w:t>
      </w:r>
      <w:r>
        <w:rPr>
          <w:rStyle w:val="Emphasis"/>
          <w:rFonts w:eastAsiaTheme="majorEastAsia"/>
        </w:rPr>
        <w:t>id.</w:t>
      </w:r>
      <w:r>
        <w:t xml:space="preserve"> at 366).”</w:t>
      </w:r>
    </w:p>
    <w:p w14:paraId="5371A139" w14:textId="55B897E3" w:rsidR="001C2F88" w:rsidRPr="00833362" w:rsidRDefault="001C2F88" w:rsidP="001C2F88">
      <w:pPr>
        <w:pStyle w:val="paragraph"/>
        <w:rPr>
          <w:b/>
          <w:bCs/>
        </w:rPr>
      </w:pPr>
      <w:r w:rsidRPr="00833362">
        <w:rPr>
          <w:b/>
          <w:bCs/>
        </w:rPr>
        <w:t>Legal Lesson Learned:</w:t>
      </w:r>
      <w:r>
        <w:rPr>
          <w:b/>
          <w:bCs/>
        </w:rPr>
        <w:t xml:space="preserve"> Medics acted in good faith, so they have immunity</w:t>
      </w:r>
      <w:r w:rsidR="00E237FA">
        <w:rPr>
          <w:b/>
          <w:bCs/>
        </w:rPr>
        <w:t xml:space="preserve">, </w:t>
      </w:r>
      <w:proofErr w:type="gramStart"/>
      <w:r w:rsidR="00E237FA">
        <w:rPr>
          <w:b/>
          <w:bCs/>
        </w:rPr>
        <w:t>and also</w:t>
      </w:r>
      <w:proofErr w:type="gramEnd"/>
      <w:r w:rsidR="00E237FA">
        <w:rPr>
          <w:b/>
          <w:bCs/>
        </w:rPr>
        <w:t xml:space="preserve"> </w:t>
      </w:r>
      <w:r w:rsidR="001B219E">
        <w:rPr>
          <w:b/>
          <w:bCs/>
        </w:rPr>
        <w:t xml:space="preserve">the employer. </w:t>
      </w:r>
    </w:p>
    <w:p w14:paraId="4942D841" w14:textId="77777777" w:rsidR="001C2F88" w:rsidRDefault="001C2F88" w:rsidP="001C2F88">
      <w:pPr>
        <w:pStyle w:val="paragraph"/>
        <w:ind w:left="720"/>
      </w:pPr>
    </w:p>
    <w:p w14:paraId="6B70A525" w14:textId="77777777" w:rsidR="001C2F88" w:rsidRPr="001C2F88" w:rsidRDefault="001C2F88" w:rsidP="001C2F88">
      <w:pPr>
        <w:pStyle w:val="NormalWeb"/>
        <w:rPr>
          <w:rFonts w:ascii="Arial Black" w:hAnsi="Arial Black"/>
          <w:sz w:val="28"/>
          <w:szCs w:val="28"/>
        </w:rPr>
      </w:pPr>
      <w:r w:rsidRPr="001C2F88">
        <w:rPr>
          <w:rFonts w:ascii="Arial Black" w:hAnsi="Arial Black"/>
          <w:sz w:val="28"/>
          <w:szCs w:val="28"/>
        </w:rPr>
        <w:t>13-181</w:t>
      </w:r>
    </w:p>
    <w:p w14:paraId="5534B55A" w14:textId="3E098940" w:rsidR="001C2F88" w:rsidRPr="00E664B1" w:rsidRDefault="001C2F88" w:rsidP="001C2F88">
      <w:pPr>
        <w:pStyle w:val="NormalWeb"/>
        <w:rPr>
          <w:rFonts w:ascii="Arial Black" w:hAnsi="Arial Black"/>
          <w:sz w:val="28"/>
          <w:szCs w:val="28"/>
        </w:rPr>
      </w:pPr>
      <w:r>
        <w:rPr>
          <w:rFonts w:ascii="Arial Black" w:hAnsi="Arial Black"/>
          <w:sz w:val="28"/>
          <w:szCs w:val="28"/>
        </w:rPr>
        <w:t>MN: MENTAL – POLICE TACKLED - MEDIC INJECTS KETAMINE – NO CASE</w:t>
      </w:r>
      <w:r w:rsidR="00395EA8">
        <w:rPr>
          <w:rFonts w:ascii="Arial Black" w:hAnsi="Arial Black"/>
          <w:sz w:val="28"/>
          <w:szCs w:val="28"/>
        </w:rPr>
        <w:t xml:space="preserve"> - </w:t>
      </w:r>
      <w:r>
        <w:rPr>
          <w:rFonts w:ascii="Arial Black" w:hAnsi="Arial Black"/>
          <w:sz w:val="28"/>
          <w:szCs w:val="28"/>
        </w:rPr>
        <w:t xml:space="preserve">BUT </w:t>
      </w:r>
      <w:r w:rsidR="0072252E">
        <w:rPr>
          <w:rFonts w:ascii="Arial Black" w:hAnsi="Arial Black"/>
          <w:sz w:val="28"/>
          <w:szCs w:val="28"/>
        </w:rPr>
        <w:t xml:space="preserve">AGENCY </w:t>
      </w:r>
      <w:r>
        <w:rPr>
          <w:rFonts w:ascii="Arial Black" w:hAnsi="Arial Black"/>
          <w:sz w:val="28"/>
          <w:szCs w:val="28"/>
        </w:rPr>
        <w:t>CAN’T RECOVER $4,690 COSTS</w:t>
      </w:r>
    </w:p>
    <w:p w14:paraId="621E2A31" w14:textId="77777777" w:rsidR="001C2F88" w:rsidRDefault="001C2F88" w:rsidP="001C2F88">
      <w:pPr>
        <w:pStyle w:val="NormalWeb"/>
      </w:pPr>
      <w:r>
        <w:t xml:space="preserve">On April 22, 2024, in </w:t>
      </w:r>
      <w:r w:rsidRPr="008F6E23">
        <w:rPr>
          <w:u w:val="single"/>
        </w:rPr>
        <w:t>Brandon Currie v. Clayton Aswegan, et al</w:t>
      </w:r>
      <w:r>
        <w:t xml:space="preserve">., United States District Court Judge Eric C. </w:t>
      </w:r>
      <w:proofErr w:type="spellStart"/>
      <w:r>
        <w:t>Tostrud</w:t>
      </w:r>
      <w:proofErr w:type="spellEnd"/>
      <w:r>
        <w:t xml:space="preserve">, U.S. District Court for District of Minnesota, held that even though he granted summary judgment for the defense, the EMS agency is denied court order to recover their costs in defending the litigation brought by homeless man living in tent in the woods, since the complaint did adequately allege a medical malpractice claim, supported by affidavit from medical expert.  </w:t>
      </w:r>
      <w:hyperlink r:id="rId2137" w:history="1">
        <w:r w:rsidRPr="007C1F1F">
          <w:rPr>
            <w:rStyle w:val="Hyperlink"/>
          </w:rPr>
          <w:t>https://casetext.com/case/currie-v-aswegan-1</w:t>
        </w:r>
      </w:hyperlink>
      <w:r>
        <w:t xml:space="preserve"> </w:t>
      </w:r>
    </w:p>
    <w:p w14:paraId="3A45743D" w14:textId="77777777" w:rsidR="001C2F88" w:rsidRDefault="001C2F88" w:rsidP="001C2F88">
      <w:pPr>
        <w:pStyle w:val="NormalWeb"/>
      </w:pPr>
      <w:r>
        <w:t xml:space="preserve">COURT HELD: </w:t>
      </w:r>
    </w:p>
    <w:p w14:paraId="15892B38" w14:textId="77777777" w:rsidR="001C2F88" w:rsidRDefault="001C2F88" w:rsidP="001C2F88">
      <w:pPr>
        <w:pStyle w:val="NormalWeb"/>
        <w:ind w:left="720"/>
      </w:pPr>
      <w:r>
        <w:lastRenderedPageBreak/>
        <w:t xml:space="preserve">“Allina Health Emergency Medical Services and paramedic Lawrence seek to recoup taxable costs under </w:t>
      </w:r>
      <w:hyperlink r:id="rId2138" w:history="1">
        <w:r>
          <w:rPr>
            <w:rStyle w:val="Hyperlink"/>
            <w:rFonts w:eastAsiaTheme="majorEastAsia"/>
          </w:rPr>
          <w:t>28 U.S.C. § 1920</w:t>
        </w:r>
      </w:hyperlink>
      <w:r>
        <w:t xml:space="preserve">. ECF No. 86. They seek to recover deposition transcript costs of $2,535.86 and copying costs of $2,154.92, for a total of $4,690.78. </w:t>
      </w:r>
      <w:r>
        <w:rPr>
          <w:i/>
          <w:iCs/>
        </w:rPr>
        <w:t>Id.</w:t>
      </w:r>
      <w:r>
        <w:t xml:space="preserve"> Mr. Currie objects. ECF No. 87. Because the record shows that Mr. Currie's financial circumstances are grim and his medical malpractice claim was not frivolous, the better answer is that it would be inequitable to allow costs. Therefore, Allina and Mr. Lawrence's bill of costs will not be allowed.”</w:t>
      </w:r>
    </w:p>
    <w:p w14:paraId="513E8B15" w14:textId="77777777" w:rsidR="001C2F88" w:rsidRDefault="001C2F88" w:rsidP="001C2F88">
      <w:pPr>
        <w:pStyle w:val="NormalWeb"/>
        <w:rPr>
          <w:b/>
          <w:bCs/>
        </w:rPr>
      </w:pPr>
      <w:r w:rsidRPr="00E47F73">
        <w:rPr>
          <w:b/>
          <w:bCs/>
        </w:rPr>
        <w:t>Legal Lesson Learned:</w:t>
      </w:r>
      <w:r>
        <w:rPr>
          <w:b/>
          <w:bCs/>
        </w:rPr>
        <w:t xml:space="preserve"> EMS use of ketamine in police incidents has been hot topic, including criminal prosecution of two Colorado medics and civil litigation around nation. </w:t>
      </w:r>
    </w:p>
    <w:p w14:paraId="676A947F" w14:textId="77777777" w:rsidR="001C2F88" w:rsidRDefault="001C2F88" w:rsidP="001C2F88">
      <w:pPr>
        <w:pStyle w:val="NormalWeb"/>
        <w:ind w:left="720"/>
      </w:pPr>
      <w:r w:rsidRPr="00CA4063">
        <w:t xml:space="preserve">Note: </w:t>
      </w:r>
    </w:p>
    <w:p w14:paraId="7ECFBAE1" w14:textId="77777777" w:rsidR="001C2F88" w:rsidRDefault="001C2F88" w:rsidP="001C2F88">
      <w:pPr>
        <w:pStyle w:val="Heading1"/>
        <w:ind w:left="720"/>
        <w:rPr>
          <w:sz w:val="24"/>
          <w:szCs w:val="24"/>
        </w:rPr>
      </w:pPr>
      <w:r>
        <w:rPr>
          <w:sz w:val="24"/>
          <w:szCs w:val="24"/>
        </w:rPr>
        <w:t>April 26, 2024, “</w:t>
      </w:r>
      <w:r w:rsidRPr="0005513B">
        <w:rPr>
          <w:sz w:val="24"/>
          <w:szCs w:val="24"/>
        </w:rPr>
        <w:t>Former Colorado paramedic Jeremy Cooper sentenced to probation, work release after conviction in death of Elijah McClain</w:t>
      </w:r>
      <w:r>
        <w:rPr>
          <w:sz w:val="24"/>
          <w:szCs w:val="24"/>
        </w:rPr>
        <w:t xml:space="preserve">,” </w:t>
      </w:r>
      <w:hyperlink r:id="rId2139" w:history="1">
        <w:r w:rsidRPr="007C1F1F">
          <w:rPr>
            <w:rStyle w:val="Hyperlink"/>
            <w:sz w:val="24"/>
            <w:szCs w:val="24"/>
          </w:rPr>
          <w:t>https://www.cbsnews.com/colorado/news/former-colorado-paramedic-jeremy-cooper-sentenced-conviction-death-elijah-mcclain/</w:t>
        </w:r>
      </w:hyperlink>
      <w:r>
        <w:rPr>
          <w:sz w:val="24"/>
          <w:szCs w:val="24"/>
        </w:rPr>
        <w:t xml:space="preserve"> </w:t>
      </w:r>
    </w:p>
    <w:p w14:paraId="0241356A" w14:textId="77777777" w:rsidR="001C2F88" w:rsidRPr="00A04715" w:rsidRDefault="001C2F88" w:rsidP="001C2F88">
      <w:pPr>
        <w:pStyle w:val="Heading1"/>
        <w:ind w:left="720"/>
        <w:rPr>
          <w:sz w:val="24"/>
          <w:szCs w:val="24"/>
        </w:rPr>
      </w:pPr>
      <w:r w:rsidRPr="00A04715">
        <w:rPr>
          <w:sz w:val="24"/>
          <w:szCs w:val="24"/>
        </w:rPr>
        <w:t xml:space="preserve">March 1, 2024, </w:t>
      </w:r>
      <w:r>
        <w:rPr>
          <w:sz w:val="24"/>
          <w:szCs w:val="24"/>
        </w:rPr>
        <w:t>“</w:t>
      </w:r>
      <w:r w:rsidRPr="00A04715">
        <w:rPr>
          <w:sz w:val="24"/>
          <w:szCs w:val="24"/>
        </w:rPr>
        <w:t>Former Colorado paramedic sentenced to 5 years after conviction in death of Elijah McClain</w:t>
      </w:r>
      <w:r>
        <w:rPr>
          <w:sz w:val="24"/>
          <w:szCs w:val="24"/>
        </w:rPr>
        <w:t xml:space="preserve">.” </w:t>
      </w:r>
      <w:hyperlink r:id="rId2140" w:history="1">
        <w:r w:rsidRPr="007C1F1F">
          <w:rPr>
            <w:rStyle w:val="Hyperlink"/>
            <w:sz w:val="24"/>
            <w:szCs w:val="24"/>
          </w:rPr>
          <w:t>https://www.cbsnews.com/colorado/news/aurora-colorado-paramedic-peter-cichuniec-sentenced-elijah-mcclain/</w:t>
        </w:r>
      </w:hyperlink>
      <w:r>
        <w:rPr>
          <w:sz w:val="24"/>
          <w:szCs w:val="24"/>
        </w:rPr>
        <w:t xml:space="preserve"> </w:t>
      </w:r>
    </w:p>
    <w:p w14:paraId="1AAAD7BC" w14:textId="77777777" w:rsidR="001C2F88" w:rsidRDefault="001C2F88" w:rsidP="001C2F88">
      <w:pPr>
        <w:pStyle w:val="Heading1"/>
        <w:ind w:left="720"/>
        <w:rPr>
          <w:sz w:val="24"/>
          <w:szCs w:val="24"/>
        </w:rPr>
      </w:pPr>
      <w:r w:rsidRPr="00EE4E88">
        <w:rPr>
          <w:sz w:val="24"/>
          <w:szCs w:val="24"/>
        </w:rPr>
        <w:t xml:space="preserve">Jan. 31, 2024, “Burlington </w:t>
      </w:r>
      <w:r>
        <w:rPr>
          <w:sz w:val="24"/>
          <w:szCs w:val="24"/>
        </w:rPr>
        <w:t xml:space="preserve">[Vermont] </w:t>
      </w:r>
      <w:r w:rsidRPr="00EE4E88">
        <w:rPr>
          <w:sz w:val="24"/>
          <w:szCs w:val="24"/>
        </w:rPr>
        <w:t xml:space="preserve">sued over claims of excessive force and inappropriate ketamine use on 14-year-old.” </w:t>
      </w:r>
      <w:hyperlink r:id="rId2141" w:history="1">
        <w:r w:rsidRPr="007C1F1F">
          <w:rPr>
            <w:rStyle w:val="Hyperlink"/>
            <w:sz w:val="24"/>
            <w:szCs w:val="24"/>
          </w:rPr>
          <w:t>https://www.vermontpublic.org/local-news/2024-01-31/burlington-sued-over-claims-of-excessive-force-and-inappropriate-ketamine-use-on-14-year-old</w:t>
        </w:r>
      </w:hyperlink>
      <w:r>
        <w:rPr>
          <w:sz w:val="24"/>
          <w:szCs w:val="24"/>
        </w:rPr>
        <w:t xml:space="preserve"> </w:t>
      </w:r>
    </w:p>
    <w:p w14:paraId="272311EE" w14:textId="77777777" w:rsidR="001C2F88" w:rsidRPr="00976E41" w:rsidRDefault="001C2F88" w:rsidP="001C2F88">
      <w:pPr>
        <w:pStyle w:val="NormalWeb"/>
        <w:ind w:left="720"/>
      </w:pPr>
      <w:r w:rsidRPr="0072252E">
        <w:rPr>
          <w:b/>
          <w:bCs/>
        </w:rPr>
        <w:t>Oct. 18, 2023, “Charleston County EMS under fire for using ketamine as lawsuits, settlements mount</w:t>
      </w:r>
      <w:r w:rsidRPr="00976E41">
        <w:t>.</w:t>
      </w:r>
      <w:r>
        <w:t xml:space="preserve">” </w:t>
      </w:r>
      <w:hyperlink r:id="rId2142" w:history="1">
        <w:r w:rsidRPr="007C1F1F">
          <w:rPr>
            <w:rStyle w:val="Hyperlink"/>
          </w:rPr>
          <w:t>https://www.postandcourier.com/news/charleston-county-ems-ketamine-lawsuit-settlement/article_682c754c-6d10-11ee-ac1b-ef7daf1ea208.html</w:t>
        </w:r>
      </w:hyperlink>
      <w:r>
        <w:t xml:space="preserve"> </w:t>
      </w:r>
      <w:r w:rsidRPr="00976E41">
        <w:t xml:space="preserve"> </w:t>
      </w:r>
    </w:p>
    <w:p w14:paraId="07739EA6" w14:textId="77777777" w:rsidR="001C2F88" w:rsidRDefault="001C2F88" w:rsidP="001C2F88">
      <w:pPr>
        <w:pStyle w:val="NormalWeb"/>
        <w:ind w:left="720"/>
      </w:pPr>
      <w:r w:rsidRPr="0072252E">
        <w:rPr>
          <w:b/>
          <w:bCs/>
        </w:rPr>
        <w:t>April 12, 2023, “Suit claims Utah providers fatally injected teen with large ketamine dose after car crash</w:t>
      </w:r>
      <w:r>
        <w:t xml:space="preserve">.” </w:t>
      </w:r>
      <w:hyperlink r:id="rId2143" w:history="1">
        <w:r w:rsidRPr="007C1F1F">
          <w:rPr>
            <w:rStyle w:val="Hyperlink"/>
          </w:rPr>
          <w:t>https://www.ems1.com/lawsuit/articles/suit-claims-utah-providers-fatally-injected-teen-with-large-ketamine-dose-after-car-crash-nkmBexayJBAx5TCo/</w:t>
        </w:r>
      </w:hyperlink>
      <w:r>
        <w:t xml:space="preserve"> </w:t>
      </w:r>
    </w:p>
    <w:p w14:paraId="7999E8D8" w14:textId="77777777" w:rsidR="001C2F88" w:rsidRDefault="001C2F88" w:rsidP="001C2F88">
      <w:pPr>
        <w:rPr>
          <w:rFonts w:ascii="Times New Roman" w:hAnsi="Times New Roman"/>
          <w:sz w:val="24"/>
          <w:szCs w:val="24"/>
        </w:rPr>
      </w:pPr>
    </w:p>
    <w:p w14:paraId="316336FC" w14:textId="77777777" w:rsidR="001C2F88" w:rsidRPr="001C2F88" w:rsidRDefault="001C2F88" w:rsidP="001C2F88">
      <w:pPr>
        <w:pStyle w:val="NormalWeb"/>
        <w:rPr>
          <w:rFonts w:ascii="Arial Black" w:hAnsi="Arial Black"/>
          <w:sz w:val="28"/>
          <w:szCs w:val="28"/>
        </w:rPr>
      </w:pPr>
      <w:r w:rsidRPr="001C2F88">
        <w:rPr>
          <w:rFonts w:ascii="Arial Black" w:hAnsi="Arial Black"/>
          <w:sz w:val="28"/>
          <w:szCs w:val="28"/>
        </w:rPr>
        <w:t>13-180</w:t>
      </w:r>
    </w:p>
    <w:p w14:paraId="6730D79D" w14:textId="235C923F" w:rsidR="001C2F88" w:rsidRPr="00323D7F" w:rsidRDefault="001C2F88" w:rsidP="001C2F88">
      <w:pPr>
        <w:pStyle w:val="NormalWeb"/>
        <w:rPr>
          <w:rFonts w:ascii="Arial Black" w:hAnsi="Arial Black"/>
          <w:sz w:val="28"/>
          <w:szCs w:val="28"/>
        </w:rPr>
      </w:pPr>
      <w:r>
        <w:rPr>
          <w:rFonts w:ascii="Arial Black" w:hAnsi="Arial Black"/>
          <w:sz w:val="28"/>
          <w:szCs w:val="28"/>
        </w:rPr>
        <w:t>OR: COVID – EMS URGED ROOMMATE DRIVE PT HOSPITAL – NO REFUSAL SIGNED / CARDIAC ARREST – CASE PROCEED</w:t>
      </w:r>
    </w:p>
    <w:p w14:paraId="57CC8EAE" w14:textId="77777777" w:rsidR="001C2F88" w:rsidRPr="006437DB" w:rsidRDefault="001C2F88" w:rsidP="001C2F88">
      <w:pPr>
        <w:pStyle w:val="NormalWeb"/>
        <w:rPr>
          <w:rStyle w:val="Strong"/>
          <w:rFonts w:eastAsiaTheme="majorEastAsia"/>
          <w:b w:val="0"/>
          <w:bCs w:val="0"/>
        </w:rPr>
      </w:pPr>
      <w:r w:rsidRPr="001C2F88">
        <w:rPr>
          <w:rStyle w:val="Strong"/>
          <w:rFonts w:eastAsiaTheme="majorEastAsia"/>
          <w:b w:val="0"/>
          <w:bCs w:val="0"/>
        </w:rPr>
        <w:t xml:space="preserve">On April 19, 2024, in </w:t>
      </w:r>
      <w:r w:rsidRPr="001C2F88">
        <w:rPr>
          <w:rStyle w:val="Strong"/>
          <w:rFonts w:eastAsiaTheme="majorEastAsia"/>
          <w:b w:val="0"/>
          <w:bCs w:val="0"/>
          <w:u w:val="single"/>
        </w:rPr>
        <w:t>Richard Vaughn, Jr., individually and as personal representative for the estate of Teresa Vaugh, et al. v. Klamath County Fire District No. 1, et al.</w:t>
      </w:r>
      <w:r w:rsidRPr="001C2F88">
        <w:rPr>
          <w:rStyle w:val="Strong"/>
          <w:rFonts w:eastAsiaTheme="majorEastAsia"/>
          <w:b w:val="0"/>
          <w:bCs w:val="0"/>
        </w:rPr>
        <w:t xml:space="preserve">, United States Magistrate Judge Mark D. Clarke, U.S. District Court of Oregon (Medford Division) denied defense motion for summary judgment. The actions of the two medics may be viewed by a jury as “state-created danger.” No patient refusal was ever signed, no vitals taken, and the patient’s roommate, </w:t>
      </w:r>
      <w:r w:rsidRPr="001C2F88">
        <w:t xml:space="preserve">Ms. </w:t>
      </w:r>
      <w:proofErr w:type="spellStart"/>
      <w:r w:rsidRPr="001C2F88">
        <w:t>Kimbol</w:t>
      </w:r>
      <w:proofErr w:type="spellEnd"/>
      <w:r w:rsidRPr="001C2F88">
        <w:t xml:space="preserve"> contends she responded: “Isn't that your fucking job? I wouldn't have called you.”</w:t>
      </w:r>
      <w:r>
        <w:t xml:space="preserve"> </w:t>
      </w:r>
      <w:hyperlink r:id="rId2144" w:history="1">
        <w:r w:rsidRPr="00E2199F">
          <w:rPr>
            <w:rStyle w:val="Hyperlink"/>
            <w:rFonts w:eastAsiaTheme="majorEastAsia"/>
          </w:rPr>
          <w:t>https://casetext.com/case/vaughn-v-klamath-cnty-fire-dist-no1-1</w:t>
        </w:r>
      </w:hyperlink>
      <w:r>
        <w:rPr>
          <w:rStyle w:val="Strong"/>
          <w:rFonts w:eastAsiaTheme="majorEastAsia"/>
        </w:rPr>
        <w:t xml:space="preserve"> </w:t>
      </w:r>
    </w:p>
    <w:p w14:paraId="5D8A9196" w14:textId="77777777" w:rsidR="001C2F88" w:rsidRDefault="001C2F88" w:rsidP="001C2F88">
      <w:pPr>
        <w:pStyle w:val="NormalWeb"/>
        <w:rPr>
          <w:rStyle w:val="Strong"/>
          <w:rFonts w:eastAsiaTheme="majorEastAsia"/>
        </w:rPr>
      </w:pPr>
      <w:r>
        <w:rPr>
          <w:rStyle w:val="Strong"/>
          <w:rFonts w:eastAsiaTheme="majorEastAsia"/>
        </w:rPr>
        <w:t>COURT HELD:</w:t>
      </w:r>
    </w:p>
    <w:p w14:paraId="2800024F" w14:textId="77777777" w:rsidR="001C2F88" w:rsidRDefault="001C2F88" w:rsidP="001C2F88">
      <w:pPr>
        <w:pStyle w:val="NormalWeb"/>
        <w:ind w:left="720"/>
      </w:pPr>
      <w:r>
        <w:lastRenderedPageBreak/>
        <w:t>“In light of such dispute, the Court finds that Plaintiffs have raised a genuine question as to whether Engler and Dustin's conduct crossed from mere inaction into affirmative action that placed Ms. Vaughn in a worse circumstance than she otherwise would have found herself in.</w:t>
      </w:r>
    </w:p>
    <w:p w14:paraId="236549DF" w14:textId="77777777" w:rsidR="001C2F88" w:rsidRDefault="001C2F88" w:rsidP="001C2F88">
      <w:pPr>
        <w:pStyle w:val="NormalWeb"/>
        <w:ind w:left="720"/>
      </w:pPr>
      <w:r>
        <w:t>***</w:t>
      </w:r>
    </w:p>
    <w:p w14:paraId="7FCFBA30" w14:textId="77777777" w:rsidR="001C2F88" w:rsidRDefault="001C2F88" w:rsidP="001C2F88">
      <w:pPr>
        <w:pStyle w:val="NormalWeb"/>
        <w:ind w:left="720"/>
      </w:pPr>
      <w:r>
        <w:t xml:space="preserve">Plaintiffs here have presented evidence that Engler and Dustin knew of Ms. Vaughn's Covid-19 diagnosis, were responding to her 911 call requesting urgent assistance, saw her in a state where she could barely </w:t>
      </w:r>
      <w:proofErr w:type="gramStart"/>
      <w:r>
        <w:t>breath</w:t>
      </w:r>
      <w:proofErr w:type="gramEnd"/>
      <w:r>
        <w:t xml:space="preserve"> or walk on her own, and still, they chose to cut off further aid . and abandon Ms. Vaughn and Ms. </w:t>
      </w:r>
      <w:proofErr w:type="spellStart"/>
      <w:r>
        <w:t>Kimbol</w:t>
      </w:r>
      <w:proofErr w:type="spellEnd"/>
      <w:r>
        <w:t xml:space="preserve">. Drawing all inferences in Plaintiffs' favor, reasonable minds could differ regarding whether </w:t>
      </w:r>
      <w:proofErr w:type="gramStart"/>
      <w:r>
        <w:t>Defendants</w:t>
      </w:r>
      <w:proofErr w:type="gramEnd"/>
      <w:r>
        <w:t xml:space="preserve"> actions rose beyond mere' negligence to deliberate indifference to the known danger presented by Ms. Vaughn's condition. The Court is further mindful that the danger and uncertainty surrounding Covid-19 in December 2020 was significantly heightened compared to our current understanding in 2024.</w:t>
      </w:r>
    </w:p>
    <w:p w14:paraId="5F26BCE5" w14:textId="77777777" w:rsidR="001C2F88" w:rsidRDefault="001C2F88" w:rsidP="001C2F88">
      <w:pPr>
        <w:pStyle w:val="NormalWeb"/>
        <w:rPr>
          <w:rStyle w:val="Strong"/>
          <w:rFonts w:eastAsiaTheme="majorEastAsia"/>
        </w:rPr>
      </w:pPr>
      <w:r>
        <w:tab/>
        <w:t>***</w:t>
      </w:r>
    </w:p>
    <w:p w14:paraId="6C2987F6" w14:textId="77777777" w:rsidR="001C2F88" w:rsidRDefault="001C2F88" w:rsidP="001C2F88">
      <w:pPr>
        <w:pStyle w:val="NormalWeb"/>
        <w:ind w:left="720"/>
      </w:pPr>
      <w:r>
        <w:t xml:space="preserve">While the particular facts of this case present a somewhat novel application of the state-created danger exception, the right to be free from state-created danger is, and has been, a clearly established constitutional right. Given the possibility of conflicting inferences, the Court declines to grant Defendants qualified immunity as a matter of law. Moreover, significant </w:t>
      </w:r>
      <w:proofErr w:type="gramStart"/>
      <w:r>
        <w:t>disputes of fact</w:t>
      </w:r>
      <w:proofErr w:type="gramEnd"/>
      <w:r>
        <w:t xml:space="preserve"> exist in this </w:t>
      </w:r>
      <w:proofErr w:type="gramStart"/>
      <w:r>
        <w:t>case</w:t>
      </w:r>
      <w:proofErr w:type="gramEnd"/>
      <w:r>
        <w:t xml:space="preserve"> creating uncertainty as to whether Engler and Dustin knew of the danger they were creating with their actions. If appropriate, Defendants are entitled to move for directed verdict at the close of </w:t>
      </w:r>
      <w:proofErr w:type="gramStart"/>
      <w:r>
        <w:t>trial.”</w:t>
      </w:r>
      <w:proofErr w:type="gramEnd"/>
    </w:p>
    <w:p w14:paraId="4C0FCAEF" w14:textId="77777777" w:rsidR="001C2F88" w:rsidRDefault="001C2F88" w:rsidP="001C2F88">
      <w:pPr>
        <w:pStyle w:val="NormalWeb"/>
        <w:spacing w:before="0" w:beforeAutospacing="0"/>
        <w:rPr>
          <w:b/>
          <w:bCs/>
          <w:color w:val="454545"/>
          <w:shd w:val="clear" w:color="auto" w:fill="FFFFFF"/>
        </w:rPr>
      </w:pPr>
      <w:r>
        <w:rPr>
          <w:b/>
          <w:bCs/>
          <w:color w:val="454545"/>
          <w:shd w:val="clear" w:color="auto" w:fill="FFFFFF"/>
        </w:rPr>
        <w:t xml:space="preserve">Legal Lesson Learned: Get patient to sign a refusal if not going to transport. </w:t>
      </w:r>
    </w:p>
    <w:p w14:paraId="14E911B0" w14:textId="77777777" w:rsidR="001C2F88" w:rsidRDefault="001C2F88" w:rsidP="001C2F88">
      <w:pPr>
        <w:rPr>
          <w:rFonts w:ascii="Times New Roman" w:hAnsi="Times New Roman"/>
          <w:sz w:val="24"/>
          <w:szCs w:val="24"/>
        </w:rPr>
      </w:pPr>
    </w:p>
    <w:p w14:paraId="4C583EC4" w14:textId="77777777" w:rsidR="001C2F88" w:rsidRPr="001C2F88" w:rsidRDefault="001C2F88" w:rsidP="001C2F88">
      <w:pPr>
        <w:rPr>
          <w:rFonts w:ascii="Times New Roman" w:hAnsi="Times New Roman"/>
          <w:sz w:val="28"/>
          <w:szCs w:val="28"/>
        </w:rPr>
      </w:pPr>
    </w:p>
    <w:p w14:paraId="706CB706" w14:textId="77777777" w:rsidR="001C2F88" w:rsidRDefault="001C2F88" w:rsidP="001C2F88">
      <w:pPr>
        <w:rPr>
          <w:rFonts w:ascii="Times New Roman" w:hAnsi="Times New Roman"/>
          <w:sz w:val="24"/>
          <w:szCs w:val="24"/>
        </w:rPr>
      </w:pPr>
    </w:p>
    <w:p w14:paraId="58041D45" w14:textId="77777777" w:rsidR="001C2F88" w:rsidRPr="001C2F88" w:rsidRDefault="001C2F88" w:rsidP="001C2F88">
      <w:pPr>
        <w:rPr>
          <w:rFonts w:ascii="Arial Black" w:hAnsi="Arial Black"/>
          <w:sz w:val="28"/>
          <w:szCs w:val="28"/>
        </w:rPr>
      </w:pPr>
      <w:r w:rsidRPr="001C2F88">
        <w:rPr>
          <w:rFonts w:ascii="Arial Black" w:hAnsi="Arial Black"/>
          <w:sz w:val="28"/>
          <w:szCs w:val="28"/>
        </w:rPr>
        <w:t>13-179</w:t>
      </w:r>
    </w:p>
    <w:p w14:paraId="0D08694A" w14:textId="32FA1529" w:rsidR="001C2F88" w:rsidRPr="00272032" w:rsidRDefault="001C2F88" w:rsidP="001C2F88">
      <w:pPr>
        <w:rPr>
          <w:rFonts w:ascii="Arial Black" w:hAnsi="Arial Black"/>
          <w:sz w:val="28"/>
          <w:szCs w:val="28"/>
        </w:rPr>
      </w:pPr>
      <w:r>
        <w:rPr>
          <w:rFonts w:ascii="Arial Black" w:hAnsi="Arial Black"/>
          <w:sz w:val="28"/>
          <w:szCs w:val="28"/>
        </w:rPr>
        <w:t>CA: METH - PD STRUGGLE - ON BACKBOARD FACE DOWN, EMT TOLD PD SIT ON HIM – D</w:t>
      </w:r>
      <w:r w:rsidR="00A304E4">
        <w:rPr>
          <w:rFonts w:ascii="Arial Black" w:hAnsi="Arial Black"/>
          <w:sz w:val="28"/>
          <w:szCs w:val="28"/>
        </w:rPr>
        <w:t xml:space="preserve">IED </w:t>
      </w:r>
      <w:r w:rsidR="00AF46AA">
        <w:rPr>
          <w:rFonts w:ascii="Arial Black" w:hAnsi="Arial Black"/>
          <w:sz w:val="28"/>
          <w:szCs w:val="28"/>
        </w:rPr>
        <w:t>-</w:t>
      </w:r>
      <w:r>
        <w:rPr>
          <w:rFonts w:ascii="Arial Black" w:hAnsi="Arial Black"/>
          <w:sz w:val="28"/>
          <w:szCs w:val="28"/>
        </w:rPr>
        <w:t xml:space="preserve"> QUAL. IMMUNITY</w:t>
      </w:r>
    </w:p>
    <w:p w14:paraId="16BBE8FE" w14:textId="6D23BB2C" w:rsidR="001C2F88" w:rsidRDefault="001C2F88" w:rsidP="001C2F88">
      <w:pPr>
        <w:pStyle w:val="NormalWeb"/>
        <w:spacing w:before="0" w:beforeAutospacing="0"/>
      </w:pPr>
      <w:r>
        <w:t xml:space="preserve">On April 15, 2024, in </w:t>
      </w:r>
      <w:r w:rsidRPr="001F5B9B">
        <w:rPr>
          <w:u w:val="single"/>
        </w:rPr>
        <w:t>Anthony Perez, et al., individually and as successor in interest to Joseph Perez v. City of Fresno</w:t>
      </w:r>
      <w:r>
        <w:t>,  the U.S. Court of Appeals for 9</w:t>
      </w:r>
      <w:r w:rsidRPr="00A9612E">
        <w:rPr>
          <w:vertAlign w:val="superscript"/>
        </w:rPr>
        <w:t>th</w:t>
      </w:r>
      <w:r>
        <w:t xml:space="preserve"> Circuit (San Francisco) held (2 to 1) that trial court properly granted summary judgment to the defense on basis of qualified immunity. Police had Perez on the ground</w:t>
      </w:r>
      <w:r w:rsidR="00A304E4">
        <w:t xml:space="preserve"> </w:t>
      </w:r>
      <w:r>
        <w:t>and then put him on backboard. As this was happening, Perez yelled that he could not breathe. “Paramedic Morgan Anderson nevertheless told one of the officers to sit on the backboard. The officer complied and sat on the board for one minute and thirteen seconds while other officers applied pressure and worked with Anderson to secure the backboard. After the seated officer stood up, the paramedics continued securing Perez to the backboard for another two minutes before turning him over. Once Perez was placed on his back, the paramedics discovered that he did not have a pulse.</w:t>
      </w:r>
      <w:r>
        <w:rPr>
          <w:rFonts w:ascii="Arial" w:hAnsi="Arial" w:cs="Arial"/>
        </w:rPr>
        <w:t xml:space="preserve">” </w:t>
      </w:r>
      <w:r>
        <w:t xml:space="preserve">According to the coroner, the average lethal dose of methamphetamine is 200 nanograms per milliliter. Perez had ten times that amount in his bloodstream. </w:t>
      </w:r>
      <w:hyperlink r:id="rId2145" w:history="1">
        <w:r w:rsidRPr="00E2199F">
          <w:rPr>
            <w:rStyle w:val="Hyperlink"/>
          </w:rPr>
          <w:t>https://cdn.ca9.uscourts.gov/datastore/opinions/2024/04/15/22-15546.pdf</w:t>
        </w:r>
      </w:hyperlink>
      <w:r>
        <w:t xml:space="preserve"> </w:t>
      </w:r>
    </w:p>
    <w:p w14:paraId="41E61916" w14:textId="77777777" w:rsidR="001C2F88" w:rsidRDefault="001C2F88" w:rsidP="001C2F88">
      <w:pPr>
        <w:pStyle w:val="NormalWeb"/>
        <w:spacing w:before="0" w:beforeAutospacing="0"/>
      </w:pPr>
      <w:r>
        <w:t xml:space="preserve">COURT HELD: </w:t>
      </w:r>
    </w:p>
    <w:p w14:paraId="335D3F67" w14:textId="77777777" w:rsidR="001C2F88" w:rsidRDefault="001C2F88" w:rsidP="001C2F88">
      <w:pPr>
        <w:pStyle w:val="NormalWeb"/>
        <w:spacing w:before="0" w:beforeAutospacing="0"/>
        <w:ind w:left="720"/>
      </w:pPr>
      <w:r>
        <w:lastRenderedPageBreak/>
        <w:t xml:space="preserve">“Because the law-enforcement officers' actions that Plaintiffs contend led to Perez asphyxiating were taken at the direction of a medical professional who was trying to provide medical care, both the officers and the paramedic are entitled to qualified immunity. The district court also properly granted summary judgment against Plaintiffs' Monell claims because Plaintiffs presented insufficient evidence that the </w:t>
      </w:r>
      <w:proofErr w:type="gramStart"/>
      <w:r>
        <w:t>City</w:t>
      </w:r>
      <w:proofErr w:type="gramEnd"/>
      <w:r>
        <w:t xml:space="preserve"> and the County were deliberately indifferent to their duty to properly train their law-enforcement officers.</w:t>
      </w:r>
    </w:p>
    <w:p w14:paraId="1B56272A" w14:textId="77777777" w:rsidR="001C2F88" w:rsidRDefault="001C2F88" w:rsidP="001C2F88">
      <w:pPr>
        <w:pStyle w:val="NormalWeb"/>
        <w:spacing w:before="0" w:beforeAutospacing="0"/>
        <w:ind w:left="720"/>
      </w:pPr>
      <w:r>
        <w:t>***</w:t>
      </w:r>
    </w:p>
    <w:p w14:paraId="53293A71" w14:textId="77777777" w:rsidR="001C2F88" w:rsidRDefault="001C2F88" w:rsidP="001C2F88">
      <w:pPr>
        <w:pStyle w:val="NormalWeb"/>
        <w:spacing w:before="0" w:beforeAutospacing="0"/>
        <w:ind w:left="720"/>
      </w:pPr>
      <w:r>
        <w:t xml:space="preserve">At the time of Perez's death, the law did not clearly establish, nor was it otherwise obvious, that the officers' actions, directed by medical personnel, would violate Perez's constitutional rights. Likewise, the paramedic involved was acting in a medical capacity during the incident, and the law did not clearly establish that medical personnel are liable for constitutional torts for actions taken to provide medical care or medical transport. Thus, the officers and the paramedic are entitled to qualified immunity. We also conclude that Plaintiffs produced insufficient evidence to support their </w:t>
      </w:r>
      <w:proofErr w:type="gramStart"/>
      <w:r>
        <w:t>municipal-liability</w:t>
      </w:r>
      <w:proofErr w:type="gramEnd"/>
      <w:r>
        <w:t xml:space="preserve"> claim against the City and the County based on a failure-to-train theory.</w:t>
      </w:r>
    </w:p>
    <w:p w14:paraId="6FB3E620" w14:textId="77777777" w:rsidR="001C2F88" w:rsidRDefault="001C2F88" w:rsidP="001C2F88">
      <w:pPr>
        <w:pStyle w:val="NormalWeb"/>
        <w:spacing w:before="0" w:beforeAutospacing="0"/>
        <w:ind w:left="720"/>
      </w:pPr>
      <w:r>
        <w:t>***</w:t>
      </w:r>
    </w:p>
    <w:p w14:paraId="63905B19" w14:textId="77777777" w:rsidR="001C2F88" w:rsidRDefault="001C2F88" w:rsidP="001C2F88">
      <w:pPr>
        <w:pStyle w:val="NormalWeb"/>
        <w:spacing w:before="0" w:beforeAutospacing="0"/>
        <w:ind w:left="720"/>
      </w:pPr>
      <w:r>
        <w:t xml:space="preserve">Because we conclude that the law did not clearly establish at the time of the events at issue that a paramedic restraining a person in order to secure the person for medical transport could be held liable for a constitutional violation under either the Fourth or Fourteenth Amendment, we conclude that Anderson is entitled to qualified immunity. See Wesby, 583 U.S. at 63–64, 138 </w:t>
      </w:r>
      <w:proofErr w:type="spellStart"/>
      <w:r>
        <w:t>S.Ct</w:t>
      </w:r>
      <w:proofErr w:type="spellEnd"/>
      <w:r>
        <w:t>. 577 (clearly established question must be specific to the context of the case).”</w:t>
      </w:r>
    </w:p>
    <w:p w14:paraId="6A8D535C" w14:textId="77777777" w:rsidR="001C2F88" w:rsidRDefault="001C2F88" w:rsidP="001C2F88">
      <w:pPr>
        <w:pStyle w:val="NormalWeb"/>
        <w:spacing w:before="0" w:beforeAutospacing="0"/>
      </w:pPr>
      <w:r>
        <w:t>DISSENT:</w:t>
      </w:r>
    </w:p>
    <w:p w14:paraId="4AC3CF5B" w14:textId="77777777" w:rsidR="001C2F88" w:rsidRDefault="001C2F88" w:rsidP="001C2F88">
      <w:pPr>
        <w:pStyle w:val="NormalWeb"/>
        <w:spacing w:before="0" w:beforeAutospacing="0"/>
        <w:ind w:left="720"/>
      </w:pPr>
      <w:r>
        <w:t xml:space="preserve">“However, I respectfully disagree with the conclusion that the law governing the conduct of the individual officer defendants (‘Officers’) was not ‘clearly established’ in 2017. Extensive federal case law, departmental guidance, and common sense gave Officers fair warning that applying continuous force to the back of a prone person who claims he cannot breathe is constitutionally excessive. Any argument that Officers' continued force was nonetheless ‘reasonable’ under the circumstances turns on disputed issues of material fact—not confusion about ‘what the law requires.’ Saucier v. Katz, 533 U.S. 194, 205, 121 </w:t>
      </w:r>
      <w:proofErr w:type="spellStart"/>
      <w:r>
        <w:t>S.Ct</w:t>
      </w:r>
      <w:proofErr w:type="spellEnd"/>
      <w:r>
        <w:t>. 2151, 150 L.Ed.2d 272 (2001). Therefore, I respectfully dissent in part.</w:t>
      </w:r>
    </w:p>
    <w:p w14:paraId="54F6B537" w14:textId="77777777" w:rsidR="001C2F88" w:rsidRDefault="001C2F88" w:rsidP="001C2F88">
      <w:pPr>
        <w:pStyle w:val="NormalWeb"/>
        <w:spacing w:before="0" w:beforeAutospacing="0"/>
        <w:ind w:left="720"/>
      </w:pPr>
      <w:r>
        <w:t>***</w:t>
      </w:r>
    </w:p>
    <w:p w14:paraId="1792F30C" w14:textId="77777777" w:rsidR="001C2F88" w:rsidRDefault="001C2F88" w:rsidP="001C2F88">
      <w:pPr>
        <w:pStyle w:val="NormalWeb"/>
        <w:spacing w:before="0" w:beforeAutospacing="0"/>
        <w:ind w:left="720"/>
      </w:pPr>
      <w:r>
        <w:t>The officers—indeed, any reasonable person—should have known that squeezing the breath from a compliant, prone, and handcuffed individual despite his pleas for air involves a degree of force that is greater than reasonable.”</w:t>
      </w:r>
    </w:p>
    <w:p w14:paraId="7B82D4B2" w14:textId="77777777" w:rsidR="001C2F88" w:rsidRDefault="001C2F88" w:rsidP="001C2F88">
      <w:pPr>
        <w:pStyle w:val="NormalWeb"/>
        <w:spacing w:before="0" w:beforeAutospacing="0"/>
        <w:rPr>
          <w:b/>
          <w:bCs/>
        </w:rPr>
      </w:pPr>
      <w:r w:rsidRPr="006B17EB">
        <w:rPr>
          <w:b/>
          <w:bCs/>
        </w:rPr>
        <w:t>Legal Lesson Learned:</w:t>
      </w:r>
      <w:r>
        <w:rPr>
          <w:b/>
          <w:bCs/>
        </w:rPr>
        <w:t xml:space="preserve"> EMS must be extremely cautious of backboard asphyxiation.  This can lead to denial of qualified immunity </w:t>
      </w:r>
      <w:proofErr w:type="gramStart"/>
      <w:r>
        <w:rPr>
          <w:b/>
          <w:bCs/>
        </w:rPr>
        <w:t>for</w:t>
      </w:r>
      <w:proofErr w:type="gramEnd"/>
      <w:r>
        <w:rPr>
          <w:b/>
          <w:bCs/>
        </w:rPr>
        <w:t xml:space="preserve"> EMS and has </w:t>
      </w:r>
      <w:proofErr w:type="gramStart"/>
      <w:r>
        <w:rPr>
          <w:b/>
          <w:bCs/>
        </w:rPr>
        <w:t>also has</w:t>
      </w:r>
      <w:proofErr w:type="gramEnd"/>
      <w:r>
        <w:rPr>
          <w:b/>
          <w:bCs/>
        </w:rPr>
        <w:t xml:space="preserve"> recently led to two EMTs being charged with first degree murder. </w:t>
      </w:r>
    </w:p>
    <w:p w14:paraId="6526997D" w14:textId="77777777" w:rsidR="001C2F88" w:rsidRPr="00507580" w:rsidRDefault="001C2F88" w:rsidP="001C2F88">
      <w:pPr>
        <w:pStyle w:val="Heading1"/>
        <w:ind w:left="720"/>
        <w:rPr>
          <w:b w:val="0"/>
          <w:bCs w:val="0"/>
          <w:sz w:val="24"/>
          <w:szCs w:val="24"/>
        </w:rPr>
      </w:pPr>
      <w:r w:rsidRPr="00507580">
        <w:rPr>
          <w:b w:val="0"/>
          <w:bCs w:val="0"/>
          <w:sz w:val="24"/>
          <w:szCs w:val="24"/>
        </w:rPr>
        <w:t xml:space="preserve">Note: See article, Jan. 15, 2023, “Paramedics charged with murder after patient who was in stretcher face-down dies.” </w:t>
      </w:r>
      <w:hyperlink r:id="rId2146" w:history="1">
        <w:r w:rsidRPr="00507580">
          <w:rPr>
            <w:rStyle w:val="Hyperlink"/>
            <w:b w:val="0"/>
            <w:bCs w:val="0"/>
            <w:sz w:val="24"/>
            <w:szCs w:val="24"/>
          </w:rPr>
          <w:t>https://www.woodtv.com/news/nexstar-media-wire/paramedics-charged-with-murder-after-patient-who-was-in-stretcher-face-down-dies/</w:t>
        </w:r>
      </w:hyperlink>
      <w:r w:rsidRPr="00507580">
        <w:rPr>
          <w:b w:val="0"/>
          <w:bCs w:val="0"/>
          <w:sz w:val="24"/>
          <w:szCs w:val="24"/>
        </w:rPr>
        <w:t xml:space="preserve"> </w:t>
      </w:r>
    </w:p>
    <w:p w14:paraId="14DB2EBF" w14:textId="77777777" w:rsidR="001C2F88" w:rsidRPr="00507580" w:rsidRDefault="001C2F88" w:rsidP="001C2F88">
      <w:pPr>
        <w:pStyle w:val="Heading1"/>
        <w:ind w:left="720"/>
        <w:rPr>
          <w:b w:val="0"/>
          <w:bCs w:val="0"/>
          <w:sz w:val="24"/>
          <w:szCs w:val="24"/>
        </w:rPr>
      </w:pPr>
      <w:r w:rsidRPr="00507580">
        <w:rPr>
          <w:b w:val="0"/>
          <w:bCs w:val="0"/>
          <w:sz w:val="24"/>
          <w:szCs w:val="24"/>
        </w:rPr>
        <w:t xml:space="preserve">March 21, 2023, “2 Ill. EMTs charged with murder appear in court.” </w:t>
      </w:r>
      <w:hyperlink r:id="rId2147" w:history="1">
        <w:r w:rsidRPr="00507580">
          <w:rPr>
            <w:rStyle w:val="Hyperlink"/>
            <w:b w:val="0"/>
            <w:bCs w:val="0"/>
            <w:sz w:val="24"/>
            <w:szCs w:val="24"/>
          </w:rPr>
          <w:t>https://www.ems1.com/ill-emts-charged-murder-patients-death/articles/2-ill-emts-charged-with-murder-appear-in-court-lMnB5h9BN09tUYGl/</w:t>
        </w:r>
      </w:hyperlink>
      <w:r w:rsidRPr="00507580">
        <w:rPr>
          <w:b w:val="0"/>
          <w:bCs w:val="0"/>
          <w:sz w:val="24"/>
          <w:szCs w:val="24"/>
        </w:rPr>
        <w:t xml:space="preserve"> </w:t>
      </w:r>
    </w:p>
    <w:p w14:paraId="379D232A" w14:textId="77777777" w:rsidR="001C2F88" w:rsidRPr="00B416C6" w:rsidRDefault="001C2F88" w:rsidP="001C2F88"/>
    <w:p w14:paraId="5322FA44" w14:textId="718FE341" w:rsidR="004705C6" w:rsidRDefault="004705C6" w:rsidP="004705C6">
      <w:pPr>
        <w:rPr>
          <w:rFonts w:ascii="Arial Black" w:hAnsi="Arial Black"/>
          <w:sz w:val="28"/>
          <w:szCs w:val="28"/>
        </w:rPr>
      </w:pPr>
      <w:r>
        <w:rPr>
          <w:rFonts w:ascii="Arial Black" w:hAnsi="Arial Black"/>
          <w:sz w:val="28"/>
          <w:szCs w:val="28"/>
        </w:rPr>
        <w:t>13-178</w:t>
      </w:r>
    </w:p>
    <w:p w14:paraId="159C3E5F" w14:textId="3CE25D52" w:rsidR="004705C6" w:rsidRDefault="004705C6" w:rsidP="004705C6">
      <w:pPr>
        <w:rPr>
          <w:rFonts w:ascii="Arial Black" w:hAnsi="Arial Black"/>
          <w:sz w:val="28"/>
          <w:szCs w:val="28"/>
        </w:rPr>
      </w:pPr>
      <w:r>
        <w:rPr>
          <w:rFonts w:ascii="Arial Black" w:hAnsi="Arial Black"/>
          <w:sz w:val="28"/>
          <w:szCs w:val="28"/>
        </w:rPr>
        <w:t xml:space="preserve">PA: VA PATIENT REFUSES TRANSPORT – CLINIC ADVISES NEEDS GO – SEDATED BY EMS – NOT FALSE IMPRISONMENT </w:t>
      </w:r>
    </w:p>
    <w:p w14:paraId="261171CB" w14:textId="77777777" w:rsidR="004705C6" w:rsidRDefault="004705C6" w:rsidP="004705C6">
      <w:pPr>
        <w:rPr>
          <w:rFonts w:ascii="Times New Roman" w:hAnsi="Times New Roman"/>
          <w:sz w:val="24"/>
          <w:szCs w:val="24"/>
        </w:rPr>
      </w:pPr>
      <w:r>
        <w:rPr>
          <w:rFonts w:ascii="Times New Roman" w:hAnsi="Times New Roman"/>
          <w:sz w:val="24"/>
          <w:szCs w:val="24"/>
        </w:rPr>
        <w:t xml:space="preserve">On March 26, 2024, in </w:t>
      </w:r>
      <w:r w:rsidRPr="00E34548">
        <w:rPr>
          <w:rFonts w:ascii="Times New Roman" w:hAnsi="Times New Roman"/>
          <w:sz w:val="24"/>
          <w:szCs w:val="24"/>
          <w:u w:val="single"/>
        </w:rPr>
        <w:t>Thomas Sutton v. Secretary, U.S. Department of Veterans Affairs, et al</w:t>
      </w:r>
      <w:r>
        <w:rPr>
          <w:rFonts w:ascii="Times New Roman" w:hAnsi="Times New Roman"/>
          <w:sz w:val="24"/>
          <w:szCs w:val="24"/>
          <w:u w:val="single"/>
        </w:rPr>
        <w:t>.</w:t>
      </w:r>
      <w:r>
        <w:rPr>
          <w:rFonts w:ascii="Times New Roman" w:hAnsi="Times New Roman"/>
          <w:sz w:val="24"/>
          <w:szCs w:val="24"/>
        </w:rPr>
        <w:t>, the U.S. Court of Appeals for Third Circuit (Philadelphia) held (2 to 1) that trial court properly dismissed the plaintiff’s lawsuit against two EMT for “</w:t>
      </w:r>
      <w:r w:rsidRPr="001E5D96">
        <w:rPr>
          <w:rFonts w:ascii="Times New Roman" w:hAnsi="Times New Roman"/>
          <w:sz w:val="24"/>
          <w:szCs w:val="24"/>
        </w:rPr>
        <w:t>allegedly falsely imprisoning, and assaulting and battering him while transporting him from a local clinic where he sought medical care to a nearby hospital for higher level care.</w:t>
      </w:r>
      <w:r>
        <w:rPr>
          <w:rFonts w:ascii="Times New Roman" w:hAnsi="Times New Roman"/>
          <w:sz w:val="24"/>
          <w:szCs w:val="24"/>
        </w:rPr>
        <w:t xml:space="preserve">”  In medical malpractice cases, the lawsuit must include an affidavit from an MD with certificate of merit. </w:t>
      </w:r>
    </w:p>
    <w:p w14:paraId="670A4388" w14:textId="77777777" w:rsidR="00D90293" w:rsidRPr="004C0299" w:rsidRDefault="00D90293" w:rsidP="00D90293">
      <w:pPr>
        <w:pStyle w:val="NoSpacing"/>
        <w:rPr>
          <w:rFonts w:ascii="Times New Roman" w:hAnsi="Times New Roman"/>
          <w:sz w:val="24"/>
          <w:szCs w:val="24"/>
        </w:rPr>
      </w:pPr>
      <w:r>
        <w:rPr>
          <w:rFonts w:ascii="Times New Roman" w:hAnsi="Times New Roman"/>
          <w:sz w:val="24"/>
          <w:szCs w:val="24"/>
          <w:shd w:val="clear" w:color="auto" w:fill="FFFFFF"/>
        </w:rPr>
        <w:t>THE COURT HELD:</w:t>
      </w:r>
    </w:p>
    <w:p w14:paraId="064743D4" w14:textId="78633EEC" w:rsidR="004705C6" w:rsidRPr="0046151D" w:rsidRDefault="004705C6" w:rsidP="004705C6">
      <w:pPr>
        <w:ind w:left="720"/>
        <w:rPr>
          <w:rFonts w:ascii="Times New Roman" w:hAnsi="Times New Roman"/>
          <w:sz w:val="24"/>
          <w:szCs w:val="24"/>
        </w:rPr>
      </w:pPr>
      <w:r>
        <w:rPr>
          <w:rFonts w:ascii="Times New Roman" w:hAnsi="Times New Roman"/>
          <w:sz w:val="24"/>
          <w:szCs w:val="24"/>
        </w:rPr>
        <w:t>“</w:t>
      </w:r>
      <w:r w:rsidRPr="0046151D">
        <w:rPr>
          <w:rFonts w:ascii="Times New Roman" w:hAnsi="Times New Roman"/>
          <w:sz w:val="24"/>
          <w:szCs w:val="24"/>
        </w:rPr>
        <w:t xml:space="preserve">In the course of transporting Sutton to the hospital, the technicians allegedly </w:t>
      </w:r>
      <w:r>
        <w:rPr>
          <w:rFonts w:ascii="Times New Roman" w:hAnsi="Times New Roman"/>
          <w:sz w:val="24"/>
          <w:szCs w:val="24"/>
        </w:rPr>
        <w:t>‘</w:t>
      </w:r>
      <w:r w:rsidRPr="0046151D">
        <w:rPr>
          <w:rFonts w:ascii="Times New Roman" w:hAnsi="Times New Roman"/>
          <w:sz w:val="24"/>
          <w:szCs w:val="24"/>
        </w:rPr>
        <w:t>restrained [Sutton] and forcefully sedated him.</w:t>
      </w:r>
      <w:r>
        <w:rPr>
          <w:rFonts w:ascii="Times New Roman" w:hAnsi="Times New Roman"/>
          <w:sz w:val="24"/>
          <w:szCs w:val="24"/>
        </w:rPr>
        <w:t xml:space="preserve">’ </w:t>
      </w:r>
      <w:r w:rsidRPr="0046151D">
        <w:rPr>
          <w:rFonts w:ascii="Times New Roman" w:hAnsi="Times New Roman"/>
          <w:sz w:val="24"/>
          <w:szCs w:val="24"/>
        </w:rPr>
        <w:t xml:space="preserve"> It is undisputed that these actions, whether medically justified or not, occurred </w:t>
      </w:r>
      <w:proofErr w:type="gramStart"/>
      <w:r w:rsidRPr="0046151D">
        <w:rPr>
          <w:rFonts w:ascii="Times New Roman" w:hAnsi="Times New Roman"/>
          <w:sz w:val="24"/>
          <w:szCs w:val="24"/>
        </w:rPr>
        <w:t>in the course of</w:t>
      </w:r>
      <w:proofErr w:type="gramEnd"/>
      <w:r w:rsidRPr="0046151D">
        <w:rPr>
          <w:rFonts w:ascii="Times New Roman" w:hAnsi="Times New Roman"/>
          <w:sz w:val="24"/>
          <w:szCs w:val="24"/>
        </w:rPr>
        <w:t xml:space="preserve"> the technicians' professional relationship with Sutton. And as Sutton himself </w:t>
      </w:r>
      <w:proofErr w:type="gramStart"/>
      <w:r w:rsidRPr="0046151D">
        <w:rPr>
          <w:rFonts w:ascii="Times New Roman" w:hAnsi="Times New Roman"/>
          <w:sz w:val="24"/>
          <w:szCs w:val="24"/>
        </w:rPr>
        <w:t xml:space="preserve">observed, </w:t>
      </w:r>
      <w:r>
        <w:rPr>
          <w:rFonts w:ascii="Times New Roman" w:hAnsi="Times New Roman"/>
          <w:sz w:val="24"/>
          <w:szCs w:val="24"/>
        </w:rPr>
        <w:t>‘</w:t>
      </w:r>
      <w:proofErr w:type="gramEnd"/>
      <w:r w:rsidRPr="0046151D">
        <w:rPr>
          <w:rFonts w:ascii="Times New Roman" w:hAnsi="Times New Roman"/>
          <w:sz w:val="24"/>
          <w:szCs w:val="24"/>
        </w:rPr>
        <w:t>[m]</w:t>
      </w:r>
      <w:proofErr w:type="spellStart"/>
      <w:r w:rsidRPr="0046151D">
        <w:rPr>
          <w:rFonts w:ascii="Times New Roman" w:hAnsi="Times New Roman"/>
          <w:sz w:val="24"/>
          <w:szCs w:val="24"/>
        </w:rPr>
        <w:t>edical</w:t>
      </w:r>
      <w:proofErr w:type="spellEnd"/>
      <w:r w:rsidRPr="0046151D">
        <w:rPr>
          <w:rFonts w:ascii="Times New Roman" w:hAnsi="Times New Roman"/>
          <w:sz w:val="24"/>
          <w:szCs w:val="24"/>
        </w:rPr>
        <w:t xml:space="preserve"> malpractice is defined as the unwarranted departure from the generally accepted standards of medical practice resulting in injury to a patient, including </w:t>
      </w:r>
      <w:r w:rsidRPr="0046151D">
        <w:rPr>
          <w:rStyle w:val="Emphasis"/>
          <w:rFonts w:ascii="Times New Roman" w:hAnsi="Times New Roman"/>
          <w:sz w:val="24"/>
          <w:szCs w:val="24"/>
        </w:rPr>
        <w:t>all liability-producing conduct arising from the rendition of professional medical services</w:t>
      </w:r>
      <w:r w:rsidRPr="0046151D">
        <w:rPr>
          <w:rFonts w:ascii="Times New Roman" w:hAnsi="Times New Roman"/>
          <w:sz w:val="24"/>
          <w:szCs w:val="24"/>
        </w:rPr>
        <w:t>.</w:t>
      </w:r>
      <w:r>
        <w:rPr>
          <w:rFonts w:ascii="Times New Roman" w:hAnsi="Times New Roman"/>
          <w:sz w:val="24"/>
          <w:szCs w:val="24"/>
        </w:rPr>
        <w:t xml:space="preserve">’ </w:t>
      </w:r>
      <w:r w:rsidRPr="0046151D">
        <w:rPr>
          <w:rFonts w:ascii="Times New Roman" w:hAnsi="Times New Roman"/>
          <w:sz w:val="24"/>
          <w:szCs w:val="24"/>
        </w:rPr>
        <w:t xml:space="preserve"> </w:t>
      </w:r>
    </w:p>
    <w:p w14:paraId="7701CFA3" w14:textId="77777777" w:rsidR="004705C6" w:rsidRDefault="004705C6" w:rsidP="004705C6">
      <w:pPr>
        <w:pStyle w:val="NormalWeb"/>
        <w:ind w:left="720"/>
      </w:pPr>
      <w:r w:rsidRPr="0046151D">
        <w:t xml:space="preserve">Although the Dissent observes that Sutton averred certain </w:t>
      </w:r>
      <w:r>
        <w:t>‘</w:t>
      </w:r>
      <w:r w:rsidRPr="0046151D">
        <w:t>intentional</w:t>
      </w:r>
      <w:r>
        <w:t>’</w:t>
      </w:r>
      <w:r w:rsidRPr="0046151D">
        <w:t xml:space="preserve"> actions these actions sounded in medical malpractice and, thus, he was required to file a certificate of merit to </w:t>
      </w:r>
      <w:r>
        <w:t>‘</w:t>
      </w:r>
      <w:r w:rsidRPr="0046151D">
        <w:t>signal[] to the parties and the trial court that . . . he [</w:t>
      </w:r>
      <w:proofErr w:type="spellStart"/>
      <w:r w:rsidRPr="0046151D">
        <w:t>wa</w:t>
      </w:r>
      <w:proofErr w:type="spellEnd"/>
      <w:r w:rsidRPr="0046151D">
        <w:t>]s in a position to support [his] allegations . . . and that resources w[</w:t>
      </w:r>
      <w:proofErr w:type="spellStart"/>
      <w:r w:rsidRPr="0046151D">
        <w:t>ould</w:t>
      </w:r>
      <w:proofErr w:type="spellEnd"/>
      <w:r w:rsidRPr="0046151D">
        <w:t>] not be wasted if additional pleading and discovery [were to] take place.</w:t>
      </w:r>
      <w:r>
        <w:t>’</w:t>
      </w:r>
      <w:r w:rsidRPr="0046151D">
        <w:t xml:space="preserve"> </w:t>
      </w:r>
      <w:r w:rsidRPr="0046151D">
        <w:rPr>
          <w:rStyle w:val="Emphasis"/>
          <w:rFonts w:eastAsiaTheme="majorEastAsia"/>
        </w:rPr>
        <w:t>Bisher</w:t>
      </w:r>
      <w:r w:rsidRPr="0046151D">
        <w:t>, 265 A.3d at 3690 (internal quotation marks and citation omitted)</w:t>
      </w:r>
      <w:r>
        <w:t xml:space="preserve">.” </w:t>
      </w:r>
    </w:p>
    <w:p w14:paraId="1B87A630" w14:textId="77777777" w:rsidR="004705C6" w:rsidRDefault="004705C6" w:rsidP="004705C6">
      <w:pPr>
        <w:pStyle w:val="NormalWeb"/>
      </w:pPr>
      <w:r>
        <w:t xml:space="preserve">DISSENT – Circuit Judge Thomas Hardiman:   </w:t>
      </w:r>
    </w:p>
    <w:p w14:paraId="3DFF5096" w14:textId="77777777" w:rsidR="004705C6" w:rsidRPr="0046151D" w:rsidRDefault="004705C6" w:rsidP="004705C6">
      <w:pPr>
        <w:pStyle w:val="NormalWeb"/>
        <w:ind w:left="720"/>
      </w:pPr>
      <w:r>
        <w:t xml:space="preserve">“Sutton alleges intentional torts, not mere negligence. He accuses Fayette EMS of sedating him and transporting him to a hospital without his consent. Such claims do not require a certificate of merit. </w:t>
      </w:r>
      <w:r>
        <w:rPr>
          <w:rStyle w:val="Emphasis"/>
          <w:rFonts w:eastAsiaTheme="majorEastAsia"/>
        </w:rPr>
        <w:t>See</w:t>
      </w:r>
      <w:r>
        <w:t xml:space="preserve"> Pa. R. Civ. P. 1042.3(a); </w:t>
      </w:r>
      <w:r>
        <w:rPr>
          <w:rStyle w:val="Emphasis"/>
          <w:rFonts w:eastAsiaTheme="majorEastAsia"/>
        </w:rPr>
        <w:t>Montgomery</w:t>
      </w:r>
      <w:r>
        <w:t>, 798 A.2d at 749. These claims also fall outside the ambit of immunity under Pennsylvania's Emergency Medical Services Act and could support punitive damages.”</w:t>
      </w:r>
    </w:p>
    <w:p w14:paraId="74DA1A77" w14:textId="77777777" w:rsidR="004705C6" w:rsidRPr="00347278" w:rsidRDefault="004705C6" w:rsidP="004705C6">
      <w:pPr>
        <w:pStyle w:val="NormalWeb"/>
        <w:rPr>
          <w:b/>
          <w:bCs/>
        </w:rPr>
      </w:pPr>
      <w:r w:rsidRPr="00347278">
        <w:rPr>
          <w:b/>
          <w:bCs/>
        </w:rPr>
        <w:t xml:space="preserve">Legal Lesson Learned: </w:t>
      </w:r>
      <w:r>
        <w:rPr>
          <w:b/>
          <w:bCs/>
        </w:rPr>
        <w:t xml:space="preserve">Medical practice cases require a “certificate of merit” by an MD to proceed. </w:t>
      </w:r>
    </w:p>
    <w:p w14:paraId="6E362BDB" w14:textId="77777777" w:rsidR="004705C6" w:rsidRDefault="004705C6" w:rsidP="004705C6">
      <w:pPr>
        <w:pStyle w:val="NormalWeb"/>
        <w:ind w:left="720"/>
        <w:jc w:val="both"/>
      </w:pPr>
    </w:p>
    <w:p w14:paraId="2F3D6EAA" w14:textId="77777777" w:rsidR="004705C6" w:rsidRDefault="004705C6" w:rsidP="004705C6">
      <w:pPr>
        <w:pStyle w:val="NormalWeb"/>
        <w:ind w:left="720"/>
        <w:jc w:val="both"/>
      </w:pPr>
    </w:p>
    <w:p w14:paraId="7AB05BE1" w14:textId="77777777" w:rsidR="004705C6" w:rsidRDefault="004705C6" w:rsidP="004705C6">
      <w:pPr>
        <w:pStyle w:val="NormalWeb"/>
        <w:spacing w:before="0" w:beforeAutospacing="0"/>
        <w:rPr>
          <w:color w:val="454545"/>
          <w:shd w:val="clear" w:color="auto" w:fill="FFFFFF"/>
        </w:rPr>
      </w:pPr>
    </w:p>
    <w:p w14:paraId="618F67B5" w14:textId="77777777" w:rsidR="004705C6" w:rsidRPr="004705C6" w:rsidRDefault="004705C6" w:rsidP="004705C6">
      <w:pPr>
        <w:pStyle w:val="NormalWeb"/>
        <w:spacing w:before="0" w:beforeAutospacing="0"/>
        <w:rPr>
          <w:rFonts w:ascii="Arial Black" w:hAnsi="Arial Black"/>
          <w:color w:val="454545"/>
          <w:sz w:val="28"/>
          <w:szCs w:val="28"/>
          <w:shd w:val="clear" w:color="auto" w:fill="FFFFFF"/>
        </w:rPr>
      </w:pPr>
      <w:r w:rsidRPr="004705C6">
        <w:rPr>
          <w:rFonts w:ascii="Arial Black" w:hAnsi="Arial Black"/>
          <w:color w:val="454545"/>
          <w:sz w:val="28"/>
          <w:szCs w:val="28"/>
          <w:shd w:val="clear" w:color="auto" w:fill="FFFFFF"/>
        </w:rPr>
        <w:t>13-177</w:t>
      </w:r>
    </w:p>
    <w:p w14:paraId="691F6B9F" w14:textId="0065EF06" w:rsidR="004705C6" w:rsidRDefault="004705C6" w:rsidP="004705C6">
      <w:pPr>
        <w:pStyle w:val="NormalWeb"/>
        <w:spacing w:before="0" w:beforeAutospacing="0"/>
        <w:rPr>
          <w:rFonts w:ascii="Arial Black" w:hAnsi="Arial Black"/>
          <w:b/>
          <w:bCs/>
          <w:color w:val="454545"/>
          <w:sz w:val="28"/>
          <w:szCs w:val="28"/>
          <w:shd w:val="clear" w:color="auto" w:fill="FFFFFF"/>
        </w:rPr>
      </w:pPr>
      <w:r>
        <w:rPr>
          <w:rFonts w:ascii="Arial Black" w:hAnsi="Arial Black"/>
          <w:b/>
          <w:bCs/>
          <w:color w:val="454545"/>
          <w:sz w:val="28"/>
          <w:szCs w:val="28"/>
          <w:shd w:val="clear" w:color="auto" w:fill="FFFFFF"/>
        </w:rPr>
        <w:t>OK: EMT HELPING PD - GRAB ARM / LEG - TRANSPORTED IN HANCUFFS / CPR / DIED – QUALIFIED IMMUNITY</w:t>
      </w:r>
    </w:p>
    <w:p w14:paraId="34DC18FB" w14:textId="77777777" w:rsidR="00784981" w:rsidRDefault="004705C6" w:rsidP="00784981">
      <w:pPr>
        <w:pStyle w:val="NormalWeb"/>
        <w:spacing w:before="0" w:beforeAutospacing="0"/>
      </w:pPr>
      <w:r>
        <w:rPr>
          <w:color w:val="454545"/>
          <w:shd w:val="clear" w:color="auto" w:fill="FFFFFF"/>
        </w:rPr>
        <w:lastRenderedPageBreak/>
        <w:t xml:space="preserve">On March 26, 2024, in </w:t>
      </w:r>
      <w:r w:rsidRPr="000A5E66">
        <w:rPr>
          <w:color w:val="454545"/>
          <w:u w:val="single"/>
          <w:shd w:val="clear" w:color="auto" w:fill="FFFFFF"/>
        </w:rPr>
        <w:t xml:space="preserve">John Kruer, individually and as Co-Administrator of Estate of </w:t>
      </w:r>
      <w:proofErr w:type="spellStart"/>
      <w:r w:rsidRPr="000A5E66">
        <w:rPr>
          <w:color w:val="454545"/>
          <w:u w:val="single"/>
          <w:shd w:val="clear" w:color="auto" w:fill="FFFFFF"/>
        </w:rPr>
        <w:t>Jeffret</w:t>
      </w:r>
      <w:proofErr w:type="spellEnd"/>
      <w:r w:rsidRPr="000A5E66">
        <w:rPr>
          <w:color w:val="454545"/>
          <w:u w:val="single"/>
          <w:shd w:val="clear" w:color="auto" w:fill="FFFFFF"/>
        </w:rPr>
        <w:t xml:space="preserve"> Krueger v. Sheriff Chris Elliott, et al.</w:t>
      </w:r>
      <w:r>
        <w:rPr>
          <w:color w:val="454545"/>
          <w:shd w:val="clear" w:color="auto" w:fill="FFFFFF"/>
        </w:rPr>
        <w:t>, United States District Court Judge Ronald A. White, U.S. District Court for Eastern District of Oklahoma, granted the EMT’s motion for summary judgment – qualified immunity.</w:t>
      </w:r>
      <w:r w:rsidR="00086D22">
        <w:rPr>
          <w:color w:val="454545"/>
          <w:shd w:val="clear" w:color="auto" w:fill="FFFFFF"/>
        </w:rPr>
        <w:t xml:space="preserve">  </w:t>
      </w:r>
      <w:r w:rsidR="00D90293">
        <w:rPr>
          <w:shd w:val="clear" w:color="auto" w:fill="FFFFFF"/>
        </w:rPr>
        <w:t xml:space="preserve">THE COURT </w:t>
      </w:r>
      <w:proofErr w:type="spellStart"/>
      <w:r w:rsidR="00D90293">
        <w:rPr>
          <w:shd w:val="clear" w:color="auto" w:fill="FFFFFF"/>
        </w:rPr>
        <w:t>HELD:</w:t>
      </w:r>
      <w:r>
        <w:rPr>
          <w:color w:val="454545"/>
          <w:shd w:val="clear" w:color="auto" w:fill="FFFFFF"/>
        </w:rPr>
        <w:t>“</w:t>
      </w:r>
      <w:r>
        <w:t>Plaintiffs</w:t>
      </w:r>
      <w:proofErr w:type="spellEnd"/>
      <w:r>
        <w:t xml:space="preserve"> have not identified any cases holding that an EMT violates an individual's Fourth Amendment right to be free from excessive force by briefly assisting officers in cuffing that individual, especially when that individual is struggling with officers in the middle of a busy highway where he stopped his car. As Plaintiffs have not satisfied their “burden of identifying cases that constitute clearly established law on these facts,” </w:t>
      </w:r>
      <w:r>
        <w:rPr>
          <w:rStyle w:val="Emphasis"/>
          <w:rFonts w:eastAsiaTheme="majorEastAsia"/>
        </w:rPr>
        <w:t>Id.</w:t>
      </w:r>
      <w:r>
        <w:t xml:space="preserve"> (citing </w:t>
      </w:r>
      <w:r>
        <w:rPr>
          <w:rStyle w:val="Emphasis"/>
          <w:rFonts w:eastAsiaTheme="majorEastAsia"/>
        </w:rPr>
        <w:t>Quinn v. Young</w:t>
      </w:r>
      <w:r>
        <w:t xml:space="preserve">, 780 F.3d 998, 1015 (10th Cir. 2015)), Smith and Patterson are entitled to qualified immunity on Plaintiffs' Fourth Amendment claims of excessive force. The motion for summary judgment motion is granted as to the excessive force claims against Smith and Patterson.”  </w:t>
      </w:r>
      <w:hyperlink r:id="rId2148" w:history="1">
        <w:r w:rsidRPr="006F5A98">
          <w:rPr>
            <w:rStyle w:val="Hyperlink"/>
          </w:rPr>
          <w:t>https://public.fastcase.com/H1P9uiW3J20SFp%2BGCG%2BxLfXb%2FP0Zem%2FZVE%2B6Qs7i4IO1WpaqZWLhEbCf1wzASLCeHTBrNzAeMbTpuOI06nFKgtuOqPD57vVcxacgyHv1UJc%3D?utm_medium=email&amp;_hsmi=226712652&amp;_hsenc=p2ANqtz-8wnxBiWrzuFD2HrdDPkM1g9CGhbZuaZGzbWbXmLdA56OF31_PY2JQBf09BSmDMlHEKBQ_DWKjsPmFM9QlP1xX06T0eGA&amp;utm_content=226712652&amp;utm_source=hs_email</w:t>
        </w:r>
      </w:hyperlink>
      <w:r>
        <w:t xml:space="preserve"> </w:t>
      </w:r>
    </w:p>
    <w:p w14:paraId="7B081384" w14:textId="5E9E8AED" w:rsidR="004705C6" w:rsidRDefault="00784981" w:rsidP="00784981">
      <w:pPr>
        <w:pStyle w:val="NormalWeb"/>
        <w:spacing w:before="0" w:beforeAutospacing="0"/>
        <w:ind w:left="720"/>
        <w:rPr>
          <w:rFonts w:ascii="Arial Black" w:hAnsi="Arial Black"/>
          <w:b/>
          <w:bCs/>
          <w:color w:val="454545"/>
          <w:sz w:val="28"/>
          <w:szCs w:val="28"/>
          <w:shd w:val="clear" w:color="auto" w:fill="FFFFFF"/>
        </w:rPr>
      </w:pPr>
      <w:r>
        <w:t xml:space="preserve">Note: </w:t>
      </w:r>
      <w:r w:rsidR="001E28A4">
        <w:rPr>
          <w:color w:val="454545"/>
          <w:shd w:val="clear" w:color="auto" w:fill="FFFFFF"/>
        </w:rPr>
        <w:t>Aug. 22, 2025, 10</w:t>
      </w:r>
      <w:r w:rsidR="001E28A4" w:rsidRPr="00086D22">
        <w:rPr>
          <w:color w:val="454545"/>
          <w:shd w:val="clear" w:color="auto" w:fill="FFFFFF"/>
          <w:vertAlign w:val="superscript"/>
        </w:rPr>
        <w:t>th</w:t>
      </w:r>
      <w:r w:rsidR="001E28A4">
        <w:rPr>
          <w:color w:val="454545"/>
          <w:shd w:val="clear" w:color="auto" w:fill="FFFFFF"/>
        </w:rPr>
        <w:t xml:space="preserve"> Circuit agreed: “</w:t>
      </w:r>
      <w:r w:rsidR="001E28A4" w:rsidRPr="00DE14B4">
        <w:rPr>
          <w:shd w:val="clear" w:color="auto" w:fill="FFFFFF"/>
        </w:rPr>
        <w:t>We agree with the district court that the Defendants are not entitled to</w:t>
      </w:r>
      <w:r w:rsidR="001E28A4">
        <w:rPr>
          <w:shd w:val="clear" w:color="auto" w:fill="FFFFFF"/>
        </w:rPr>
        <w:t xml:space="preserve"> </w:t>
      </w:r>
      <w:r w:rsidR="001E28A4" w:rsidRPr="00DE14B4">
        <w:rPr>
          <w:shd w:val="clear" w:color="auto" w:fill="FFFFFF"/>
        </w:rPr>
        <w:t>qualified immunity on the excessive force and failure to intervene claims.</w:t>
      </w:r>
      <w:r w:rsidR="001E28A4">
        <w:rPr>
          <w:shd w:val="clear" w:color="auto" w:fill="FFFFFF"/>
        </w:rPr>
        <w:t xml:space="preserve"> </w:t>
      </w:r>
      <w:r w:rsidR="001E28A4" w:rsidRPr="00DE14B4">
        <w:rPr>
          <w:shd w:val="clear" w:color="auto" w:fill="FFFFFF"/>
        </w:rPr>
        <w:t>Accordingly, we affirm the district court’s orders denying summary judgment.</w:t>
      </w:r>
      <w:r w:rsidR="001E28A4">
        <w:rPr>
          <w:shd w:val="clear" w:color="auto" w:fill="FFFFFF"/>
        </w:rPr>
        <w:t>”</w:t>
      </w:r>
      <w:r w:rsidR="001E28A4" w:rsidRPr="005E2E1A">
        <w:t xml:space="preserve"> </w:t>
      </w:r>
      <w:hyperlink r:id="rId2149" w:history="1">
        <w:r w:rsidR="001E28A4" w:rsidRPr="005B4041">
          <w:rPr>
            <w:rStyle w:val="Hyperlink"/>
            <w:shd w:val="clear" w:color="auto" w:fill="FFFFFF"/>
          </w:rPr>
          <w:t>https://cases.justia.com/federal/appellate-courts/ca10/24-7035/24-7035-2025-08-22.pdf?ts=1755880380</w:t>
        </w:r>
      </w:hyperlink>
    </w:p>
    <w:p w14:paraId="74CD2BBF" w14:textId="77777777" w:rsidR="004705C6" w:rsidRPr="00534353" w:rsidRDefault="004705C6" w:rsidP="004705C6">
      <w:pPr>
        <w:pStyle w:val="NormalWeb"/>
        <w:rPr>
          <w:b/>
          <w:bCs/>
        </w:rPr>
      </w:pPr>
      <w:r w:rsidRPr="00534353">
        <w:rPr>
          <w:b/>
          <w:bCs/>
        </w:rPr>
        <w:t>Legal Lesson Learned:</w:t>
      </w:r>
      <w:r>
        <w:rPr>
          <w:b/>
          <w:bCs/>
        </w:rPr>
        <w:t xml:space="preserve">  EMS may assist police in restraining a prisoner. </w:t>
      </w:r>
    </w:p>
    <w:p w14:paraId="7E143C7D" w14:textId="77777777" w:rsidR="004705C6" w:rsidRDefault="004705C6" w:rsidP="004705C6">
      <w:pPr>
        <w:pStyle w:val="NormalWeb"/>
      </w:pPr>
    </w:p>
    <w:p w14:paraId="59DDF0A2" w14:textId="77777777" w:rsidR="004705C6" w:rsidRDefault="004705C6" w:rsidP="004705C6">
      <w:pPr>
        <w:pStyle w:val="NormalWeb"/>
      </w:pPr>
    </w:p>
    <w:p w14:paraId="63DBB2AA" w14:textId="77777777" w:rsidR="004705C6" w:rsidRDefault="004705C6" w:rsidP="004705C6">
      <w:pPr>
        <w:rPr>
          <w:rFonts w:ascii="Arial Black" w:hAnsi="Arial Black"/>
          <w:sz w:val="28"/>
          <w:szCs w:val="28"/>
        </w:rPr>
      </w:pPr>
      <w:r>
        <w:rPr>
          <w:rFonts w:ascii="Arial Black" w:hAnsi="Arial Black"/>
          <w:sz w:val="28"/>
          <w:szCs w:val="28"/>
        </w:rPr>
        <w:t>13-176</w:t>
      </w:r>
    </w:p>
    <w:p w14:paraId="7470A0FC" w14:textId="78AEC580" w:rsidR="004705C6" w:rsidRPr="00EB612F" w:rsidRDefault="004705C6" w:rsidP="004705C6">
      <w:pPr>
        <w:rPr>
          <w:rFonts w:ascii="Arial Black" w:hAnsi="Arial Black"/>
          <w:sz w:val="28"/>
          <w:szCs w:val="28"/>
        </w:rPr>
      </w:pPr>
      <w:r>
        <w:rPr>
          <w:rFonts w:ascii="Arial Black" w:hAnsi="Arial Black"/>
          <w:sz w:val="28"/>
          <w:szCs w:val="28"/>
        </w:rPr>
        <w:t>CA: PD HANCUFFED MENTAL – STOPPED RESISTING, BUT MEDIC INJECTED VERSED / DIED – CASE PROCEED</w:t>
      </w:r>
    </w:p>
    <w:p w14:paraId="1FDCEAF2" w14:textId="51AE1E7F" w:rsidR="004705C6" w:rsidRDefault="004705C6" w:rsidP="004705C6">
      <w:pPr>
        <w:pStyle w:val="NormalWeb"/>
      </w:pPr>
      <w:r>
        <w:t xml:space="preserve">On March 15, 2024, in </w:t>
      </w:r>
      <w:r w:rsidRPr="008058CA">
        <w:rPr>
          <w:u w:val="single"/>
        </w:rPr>
        <w:t>Ivan Gutzalenko, et al. v. City of Richmond, et al</w:t>
      </w:r>
      <w:r>
        <w:t xml:space="preserve">., United States District Court Judge Edward M. Chen, U.S. District Court for Northern District of California, denied the motion to dismiss by AMR and paramedic Damon Richardson, who had administered 5 milligrams of Versed into his left bicep, and the detainee stopped breathing.  </w:t>
      </w:r>
      <w:r w:rsidRPr="00A77F9B">
        <w:t xml:space="preserve">Plaintiffs claim Mr. Richardson did not </w:t>
      </w:r>
      <w:r>
        <w:t>‘</w:t>
      </w:r>
      <w:r w:rsidRPr="00A77F9B">
        <w:t>aspirate</w:t>
      </w:r>
      <w:r>
        <w:t>’</w:t>
      </w:r>
      <w:r w:rsidRPr="00A77F9B">
        <w:t xml:space="preserve"> the syringe when he administered the Versed to ensure it was not in the vein. Plaintiffs allege that the decedent stopped breathing within 90 seconds of the Versed administration and that he was pronounced dead after he was taken to Summit Hospital in Oakland.</w:t>
      </w:r>
      <w:r w:rsidR="00F733DE">
        <w:t xml:space="preserve"> </w:t>
      </w:r>
      <w:hyperlink r:id="rId2150" w:history="1">
        <w:r w:rsidR="00F733DE" w:rsidRPr="0026472A">
          <w:rPr>
            <w:rStyle w:val="Hyperlink"/>
          </w:rPr>
          <w:t>https://richmondside.org/2025/09/11/civil-rights-trial-forced-sedation-richmond-death/</w:t>
        </w:r>
      </w:hyperlink>
      <w:r w:rsidR="00F733DE">
        <w:t xml:space="preserve"> </w:t>
      </w:r>
    </w:p>
    <w:p w14:paraId="13295A4C" w14:textId="77777777" w:rsidR="00D90293" w:rsidRPr="004C0299" w:rsidRDefault="00D90293" w:rsidP="00D90293">
      <w:pPr>
        <w:pStyle w:val="NoSpacing"/>
        <w:rPr>
          <w:rFonts w:ascii="Times New Roman" w:hAnsi="Times New Roman"/>
          <w:sz w:val="24"/>
          <w:szCs w:val="24"/>
        </w:rPr>
      </w:pPr>
      <w:r>
        <w:rPr>
          <w:rFonts w:ascii="Times New Roman" w:hAnsi="Times New Roman"/>
          <w:sz w:val="24"/>
          <w:szCs w:val="24"/>
          <w:shd w:val="clear" w:color="auto" w:fill="FFFFFF"/>
        </w:rPr>
        <w:t>THE COURT HELD:</w:t>
      </w:r>
    </w:p>
    <w:p w14:paraId="721A4182" w14:textId="77777777" w:rsidR="004504A6" w:rsidRDefault="004504A6" w:rsidP="004705C6">
      <w:pPr>
        <w:pStyle w:val="NoSpacing"/>
        <w:ind w:left="720"/>
        <w:rPr>
          <w:rFonts w:ascii="Times New Roman" w:hAnsi="Times New Roman"/>
          <w:sz w:val="24"/>
          <w:szCs w:val="24"/>
        </w:rPr>
      </w:pPr>
    </w:p>
    <w:p w14:paraId="792E0214" w14:textId="30E23BBB" w:rsidR="004705C6" w:rsidRDefault="004705C6" w:rsidP="004705C6">
      <w:pPr>
        <w:pStyle w:val="NoSpacing"/>
        <w:ind w:left="720"/>
        <w:rPr>
          <w:rFonts w:ascii="Times New Roman" w:hAnsi="Times New Roman"/>
          <w:sz w:val="24"/>
          <w:szCs w:val="24"/>
        </w:rPr>
      </w:pPr>
      <w:r>
        <w:rPr>
          <w:rFonts w:ascii="Times New Roman" w:hAnsi="Times New Roman"/>
          <w:sz w:val="24"/>
          <w:szCs w:val="24"/>
        </w:rPr>
        <w:t>“</w:t>
      </w:r>
      <w:r w:rsidRPr="0068190E">
        <w:rPr>
          <w:rFonts w:ascii="Times New Roman" w:hAnsi="Times New Roman"/>
          <w:sz w:val="24"/>
          <w:szCs w:val="24"/>
        </w:rPr>
        <w:t>Taking the allegations as true, if Mr. Richardson administered Versed into the decedent's body even though the decedent was not resisting arrest and could not consent, thus resulting in the decedent's death, these facts could constitute battery.</w:t>
      </w:r>
    </w:p>
    <w:p w14:paraId="7512B3FF" w14:textId="77777777" w:rsidR="004705C6" w:rsidRDefault="004705C6" w:rsidP="004705C6">
      <w:pPr>
        <w:pStyle w:val="NoSpacing"/>
        <w:rPr>
          <w:rFonts w:ascii="Times New Roman" w:hAnsi="Times New Roman"/>
          <w:sz w:val="24"/>
          <w:szCs w:val="24"/>
        </w:rPr>
      </w:pPr>
    </w:p>
    <w:p w14:paraId="69902BDB" w14:textId="77777777" w:rsidR="004705C6" w:rsidRDefault="004705C6" w:rsidP="004705C6">
      <w:pPr>
        <w:pStyle w:val="NoSpacing"/>
        <w:ind w:firstLine="720"/>
        <w:rPr>
          <w:rFonts w:ascii="Times New Roman" w:hAnsi="Times New Roman"/>
          <w:sz w:val="24"/>
          <w:szCs w:val="24"/>
        </w:rPr>
      </w:pPr>
      <w:r>
        <w:rPr>
          <w:rFonts w:ascii="Times New Roman" w:hAnsi="Times New Roman"/>
          <w:sz w:val="24"/>
          <w:szCs w:val="24"/>
        </w:rPr>
        <w:t>***</w:t>
      </w:r>
    </w:p>
    <w:p w14:paraId="5AEF51E4" w14:textId="77777777" w:rsidR="004705C6" w:rsidRDefault="004705C6" w:rsidP="004705C6">
      <w:pPr>
        <w:pStyle w:val="NoSpacing"/>
        <w:rPr>
          <w:rFonts w:ascii="Times New Roman" w:hAnsi="Times New Roman"/>
          <w:sz w:val="24"/>
          <w:szCs w:val="24"/>
        </w:rPr>
      </w:pPr>
    </w:p>
    <w:p w14:paraId="2A256FCC" w14:textId="77777777" w:rsidR="004705C6" w:rsidRDefault="004705C6" w:rsidP="004705C6">
      <w:pPr>
        <w:pStyle w:val="NoSpacing"/>
        <w:ind w:left="720"/>
        <w:rPr>
          <w:rFonts w:ascii="Times New Roman" w:hAnsi="Times New Roman"/>
          <w:sz w:val="24"/>
          <w:szCs w:val="24"/>
        </w:rPr>
      </w:pPr>
      <w:r w:rsidRPr="00F63C8E">
        <w:rPr>
          <w:rFonts w:ascii="Times New Roman" w:hAnsi="Times New Roman"/>
          <w:sz w:val="24"/>
          <w:szCs w:val="24"/>
        </w:rPr>
        <w:lastRenderedPageBreak/>
        <w:t>But whether there was a medical emergency here that warranted the injection of Versed is at least a factual question inappropriate for resolution on a motion to dismiss. The Court denies summary judgment and thus cannot dismiss Plaintiff's claim for assault and battery because factual issues remain.</w:t>
      </w:r>
    </w:p>
    <w:p w14:paraId="793EA206" w14:textId="77777777" w:rsidR="004705C6" w:rsidRDefault="004705C6" w:rsidP="004705C6">
      <w:pPr>
        <w:pStyle w:val="NoSpacing"/>
        <w:rPr>
          <w:rFonts w:ascii="Times New Roman" w:hAnsi="Times New Roman"/>
          <w:sz w:val="24"/>
          <w:szCs w:val="24"/>
        </w:rPr>
      </w:pPr>
      <w:r>
        <w:rPr>
          <w:rFonts w:ascii="Times New Roman" w:hAnsi="Times New Roman"/>
          <w:sz w:val="24"/>
          <w:szCs w:val="24"/>
        </w:rPr>
        <w:tab/>
      </w:r>
    </w:p>
    <w:p w14:paraId="72DAB3DE" w14:textId="77777777" w:rsidR="004705C6" w:rsidRDefault="004705C6" w:rsidP="004705C6">
      <w:pPr>
        <w:pStyle w:val="NoSpacing"/>
        <w:ind w:firstLine="720"/>
        <w:rPr>
          <w:rFonts w:ascii="Times New Roman" w:hAnsi="Times New Roman"/>
          <w:sz w:val="24"/>
          <w:szCs w:val="24"/>
        </w:rPr>
      </w:pPr>
      <w:r>
        <w:rPr>
          <w:rFonts w:ascii="Times New Roman" w:hAnsi="Times New Roman"/>
          <w:sz w:val="24"/>
          <w:szCs w:val="24"/>
        </w:rPr>
        <w:t>***</w:t>
      </w:r>
    </w:p>
    <w:p w14:paraId="4B3336DF" w14:textId="77777777" w:rsidR="004705C6" w:rsidRPr="009A0D07" w:rsidRDefault="004705C6" w:rsidP="004705C6">
      <w:pPr>
        <w:pStyle w:val="NoSpacing"/>
        <w:ind w:left="720"/>
        <w:rPr>
          <w:rFonts w:ascii="Times New Roman" w:hAnsi="Times New Roman"/>
          <w:sz w:val="24"/>
          <w:szCs w:val="24"/>
        </w:rPr>
      </w:pPr>
      <w:r w:rsidRPr="009A0D07">
        <w:rPr>
          <w:rFonts w:ascii="Times New Roman" w:hAnsi="Times New Roman"/>
          <w:sz w:val="24"/>
          <w:szCs w:val="24"/>
        </w:rPr>
        <w:t>Because the Court finds that Plaintiffs sufficiently alleged that Mr. Richardson assisted police officers in detaining and arresting the decedent, Mr. Richardson could be liable for the false arrest claim if he acted in a law enforcement rather than medical capacity.</w:t>
      </w:r>
      <w:r>
        <w:rPr>
          <w:rFonts w:ascii="Times New Roman" w:hAnsi="Times New Roman"/>
          <w:sz w:val="24"/>
          <w:szCs w:val="24"/>
        </w:rPr>
        <w:t xml:space="preserve">” </w:t>
      </w:r>
      <w:hyperlink r:id="rId2151" w:history="1">
        <w:r w:rsidRPr="00571E72">
          <w:rPr>
            <w:rStyle w:val="Hyperlink"/>
            <w:rFonts w:ascii="Times New Roman" w:hAnsi="Times New Roman"/>
            <w:sz w:val="24"/>
            <w:szCs w:val="24"/>
          </w:rPr>
          <w:t>https://casetext.com/case/gutzalenko-v-city-of-richmond</w:t>
        </w:r>
      </w:hyperlink>
      <w:r>
        <w:rPr>
          <w:rFonts w:ascii="Times New Roman" w:hAnsi="Times New Roman"/>
          <w:sz w:val="24"/>
          <w:szCs w:val="24"/>
        </w:rPr>
        <w:t xml:space="preserve"> </w:t>
      </w:r>
    </w:p>
    <w:p w14:paraId="06CCE028" w14:textId="77777777" w:rsidR="004705C6" w:rsidRPr="0068190E" w:rsidRDefault="004705C6" w:rsidP="004705C6">
      <w:pPr>
        <w:pStyle w:val="NoSpacing"/>
        <w:rPr>
          <w:rFonts w:ascii="Times New Roman" w:hAnsi="Times New Roman"/>
          <w:sz w:val="24"/>
          <w:szCs w:val="24"/>
        </w:rPr>
      </w:pPr>
    </w:p>
    <w:p w14:paraId="69B5F1F4" w14:textId="77777777" w:rsidR="004705C6" w:rsidRPr="001F7017" w:rsidRDefault="004705C6" w:rsidP="004705C6">
      <w:pPr>
        <w:pStyle w:val="NormalWeb"/>
        <w:rPr>
          <w:b/>
          <w:bCs/>
        </w:rPr>
      </w:pPr>
      <w:r>
        <w:rPr>
          <w:b/>
          <w:bCs/>
        </w:rPr>
        <w:t xml:space="preserve">Legal Lesson Learned:  If detainee is not struggling, carefully follow protocol about when to administer a sedative. </w:t>
      </w:r>
    </w:p>
    <w:p w14:paraId="04100412" w14:textId="77777777" w:rsidR="004705C6" w:rsidRPr="005E33AC" w:rsidRDefault="004705C6" w:rsidP="004705C6">
      <w:pPr>
        <w:pStyle w:val="NoSpacing"/>
        <w:ind w:left="720"/>
        <w:rPr>
          <w:rFonts w:ascii="Times New Roman" w:hAnsi="Times New Roman"/>
          <w:sz w:val="24"/>
          <w:szCs w:val="24"/>
        </w:rPr>
      </w:pPr>
      <w:r w:rsidRPr="005E33AC">
        <w:rPr>
          <w:rFonts w:ascii="Times New Roman" w:hAnsi="Times New Roman"/>
          <w:sz w:val="24"/>
          <w:szCs w:val="24"/>
        </w:rPr>
        <w:t>Note: See County Prosecutor’s investigation report, including interview of Medic Richardson (page 19)</w:t>
      </w:r>
      <w:r>
        <w:rPr>
          <w:rFonts w:ascii="Times New Roman" w:hAnsi="Times New Roman"/>
          <w:sz w:val="24"/>
          <w:szCs w:val="24"/>
        </w:rPr>
        <w:t xml:space="preserve">: </w:t>
      </w:r>
      <w:hyperlink r:id="rId2152" w:history="1">
        <w:r w:rsidRPr="00AA5DF9">
          <w:rPr>
            <w:rStyle w:val="Hyperlink"/>
            <w:rFonts w:ascii="Times New Roman" w:hAnsi="Times New Roman"/>
            <w:sz w:val="24"/>
            <w:szCs w:val="24"/>
          </w:rPr>
          <w:t>https://www.contracosta.ca.gov/DocumentCenter/View/79107/Final-LEIFI-Ivan-Gutzalenko--2021</w:t>
        </w:r>
      </w:hyperlink>
      <w:r>
        <w:rPr>
          <w:rFonts w:ascii="Times New Roman" w:hAnsi="Times New Roman"/>
          <w:sz w:val="24"/>
          <w:szCs w:val="24"/>
        </w:rPr>
        <w:t xml:space="preserve"> </w:t>
      </w:r>
    </w:p>
    <w:p w14:paraId="7578E5A0" w14:textId="77777777" w:rsidR="004705C6" w:rsidRPr="005E33AC" w:rsidRDefault="004705C6" w:rsidP="004705C6">
      <w:pPr>
        <w:pStyle w:val="NoSpacing"/>
        <w:rPr>
          <w:rFonts w:ascii="Times New Roman" w:hAnsi="Times New Roman"/>
          <w:sz w:val="24"/>
          <w:szCs w:val="24"/>
        </w:rPr>
      </w:pPr>
    </w:p>
    <w:p w14:paraId="3A0E2915" w14:textId="77777777" w:rsidR="004705C6" w:rsidRDefault="004705C6" w:rsidP="004705C6">
      <w:pPr>
        <w:pStyle w:val="NoSpacing"/>
        <w:rPr>
          <w:rFonts w:ascii="Times New Roman" w:hAnsi="Times New Roman"/>
          <w:sz w:val="24"/>
          <w:szCs w:val="24"/>
        </w:rPr>
      </w:pPr>
    </w:p>
    <w:p w14:paraId="4C4ACB24" w14:textId="77777777" w:rsidR="004705C6" w:rsidRPr="00A77F9B" w:rsidRDefault="004705C6" w:rsidP="004705C6">
      <w:pPr>
        <w:pStyle w:val="NoSpacing"/>
        <w:rPr>
          <w:rFonts w:ascii="Times New Roman" w:hAnsi="Times New Roman"/>
          <w:sz w:val="24"/>
          <w:szCs w:val="24"/>
        </w:rPr>
      </w:pPr>
    </w:p>
    <w:p w14:paraId="788E51A9" w14:textId="77777777" w:rsidR="004705C6" w:rsidRPr="004705C6" w:rsidRDefault="004705C6" w:rsidP="004705C6">
      <w:pPr>
        <w:pStyle w:val="NormalWeb"/>
        <w:spacing w:before="0" w:beforeAutospacing="0"/>
        <w:rPr>
          <w:rFonts w:ascii="Arial Black" w:hAnsi="Arial Black"/>
          <w:color w:val="454545"/>
          <w:sz w:val="28"/>
          <w:szCs w:val="28"/>
          <w:shd w:val="clear" w:color="auto" w:fill="FFFFFF"/>
        </w:rPr>
      </w:pPr>
      <w:r w:rsidRPr="004705C6">
        <w:rPr>
          <w:rFonts w:ascii="Arial Black" w:hAnsi="Arial Black"/>
          <w:color w:val="454545"/>
          <w:sz w:val="28"/>
          <w:szCs w:val="28"/>
          <w:shd w:val="clear" w:color="auto" w:fill="FFFFFF"/>
        </w:rPr>
        <w:t>13-175</w:t>
      </w:r>
    </w:p>
    <w:p w14:paraId="3BDEB80D" w14:textId="16D15A9F" w:rsidR="004705C6" w:rsidRPr="00BF0450" w:rsidRDefault="004705C6" w:rsidP="004705C6">
      <w:pPr>
        <w:pStyle w:val="NormalWeb"/>
        <w:spacing w:before="0" w:beforeAutospacing="0"/>
        <w:rPr>
          <w:rFonts w:ascii="Arial Black" w:hAnsi="Arial Black"/>
          <w:b/>
          <w:bCs/>
          <w:color w:val="454545"/>
          <w:sz w:val="28"/>
          <w:szCs w:val="28"/>
          <w:shd w:val="clear" w:color="auto" w:fill="FFFFFF"/>
        </w:rPr>
      </w:pPr>
      <w:r>
        <w:rPr>
          <w:rFonts w:ascii="Arial Black" w:hAnsi="Arial Black"/>
          <w:b/>
          <w:bCs/>
          <w:color w:val="454545"/>
          <w:sz w:val="28"/>
          <w:szCs w:val="28"/>
          <w:shd w:val="clear" w:color="auto" w:fill="FFFFFF"/>
        </w:rPr>
        <w:t>SC: COMBATIVE PT IN AMBULANCE – GIVEN 2</w:t>
      </w:r>
      <w:r w:rsidRPr="00C50832">
        <w:rPr>
          <w:rFonts w:ascii="Arial Black" w:hAnsi="Arial Black"/>
          <w:b/>
          <w:bCs/>
          <w:color w:val="454545"/>
          <w:sz w:val="28"/>
          <w:szCs w:val="28"/>
          <w:shd w:val="clear" w:color="auto" w:fill="FFFFFF"/>
          <w:vertAlign w:val="superscript"/>
        </w:rPr>
        <w:t>nd</w:t>
      </w:r>
      <w:r>
        <w:rPr>
          <w:rFonts w:ascii="Arial Black" w:hAnsi="Arial Black"/>
          <w:b/>
          <w:bCs/>
          <w:color w:val="454545"/>
          <w:sz w:val="28"/>
          <w:szCs w:val="28"/>
          <w:shd w:val="clear" w:color="auto" w:fill="FFFFFF"/>
        </w:rPr>
        <w:t xml:space="preserve"> KETAMINE – LIVED - NOT “SHOCK THE CONSCIOUS” - NO FED. CASE</w:t>
      </w:r>
    </w:p>
    <w:p w14:paraId="6A478D7B" w14:textId="77777777" w:rsidR="004705C6" w:rsidRDefault="004705C6" w:rsidP="004705C6">
      <w:pPr>
        <w:pStyle w:val="NormalWeb"/>
        <w:spacing w:before="0" w:beforeAutospacing="0"/>
      </w:pPr>
      <w:r w:rsidRPr="003E0A9D">
        <w:rPr>
          <w:color w:val="454545"/>
          <w:shd w:val="clear" w:color="auto" w:fill="FFFFFF"/>
        </w:rPr>
        <w:t>On March 14, 2024</w:t>
      </w:r>
      <w:r>
        <w:rPr>
          <w:color w:val="454545"/>
          <w:shd w:val="clear" w:color="auto" w:fill="FFFFFF"/>
        </w:rPr>
        <w:t xml:space="preserve">, in </w:t>
      </w:r>
      <w:r w:rsidRPr="00EB2849">
        <w:rPr>
          <w:color w:val="454545"/>
          <w:u w:val="single"/>
          <w:shd w:val="clear" w:color="auto" w:fill="FFFFFF"/>
        </w:rPr>
        <w:t>Randy Botten v. Charleton County EMS and Christopher Cox</w:t>
      </w:r>
      <w:r>
        <w:rPr>
          <w:color w:val="454545"/>
          <w:shd w:val="clear" w:color="auto" w:fill="FFFFFF"/>
        </w:rPr>
        <w:t xml:space="preserve">, United States District Court Judge David C. Norton, U.S. District Court for South Carolina (Charleston Division) granted defense motion to dismiss; plaintiff alleges he suffered </w:t>
      </w:r>
      <w:r>
        <w:t xml:space="preserve">acute respiratory failure because of second injection of ketamine, but he was so combative in back of the ambulance they had to pull over to control him. </w:t>
      </w:r>
    </w:p>
    <w:p w14:paraId="0BACE187" w14:textId="77777777" w:rsidR="004504A6" w:rsidRPr="004C0299" w:rsidRDefault="004504A6" w:rsidP="004504A6">
      <w:pPr>
        <w:pStyle w:val="NoSpacing"/>
        <w:rPr>
          <w:rFonts w:ascii="Times New Roman" w:hAnsi="Times New Roman"/>
          <w:sz w:val="24"/>
          <w:szCs w:val="24"/>
        </w:rPr>
      </w:pPr>
      <w:r>
        <w:rPr>
          <w:rFonts w:ascii="Times New Roman" w:hAnsi="Times New Roman"/>
          <w:sz w:val="24"/>
          <w:szCs w:val="24"/>
          <w:shd w:val="clear" w:color="auto" w:fill="FFFFFF"/>
        </w:rPr>
        <w:t>THE COURT HELD:</w:t>
      </w:r>
    </w:p>
    <w:p w14:paraId="560BA1D1" w14:textId="77777777" w:rsidR="004705C6" w:rsidRDefault="004705C6" w:rsidP="004705C6">
      <w:pPr>
        <w:pStyle w:val="NormalWeb"/>
        <w:ind w:left="720"/>
      </w:pPr>
      <w:r>
        <w:t>“The heart of Botten's allegations in this lawsuit is that these two ketamine injections were done without his consent and in a dangerous manner. He says that EMS employees determine how much ketamine to administer by ‘looking at the person and guessing their weight.’ Botten claims that injecting an intoxicated person with 500 milligrams of ketamine is extremely dangerous and can result in that person's death, and he says that the defendants had been told he was drunk prior to their injecting him.  He further states that Cox did not consult with medical control prior to administering the second ketamine dose, which violated EMS's protocol. Botten believes the defendants did not have a legitimate medical purpose for injecting him with ketamine and instead administered the drug ‘solely for the purpose of behavioral control.</w:t>
      </w:r>
    </w:p>
    <w:p w14:paraId="174BAB9D" w14:textId="77777777" w:rsidR="004705C6" w:rsidRDefault="004705C6" w:rsidP="004705C6">
      <w:pPr>
        <w:pStyle w:val="NormalWeb"/>
        <w:ind w:left="720"/>
      </w:pPr>
      <w:r>
        <w:t>***</w:t>
      </w:r>
    </w:p>
    <w:p w14:paraId="4D0373F6" w14:textId="77777777" w:rsidR="004705C6" w:rsidRDefault="004705C6" w:rsidP="004705C6">
      <w:pPr>
        <w:pStyle w:val="NormalWeb"/>
        <w:ind w:left="720"/>
      </w:pPr>
      <w:r>
        <w:t xml:space="preserve">The court finds that Botten's § 1983 claim must be dismissed because Botten's allegations do not give rise to a constitutional violation. The Fourth Circuit recently outlined what is necessary for a plaintiff to assert a due process violation based on an invasion of bodily integrity. </w:t>
      </w:r>
      <w:r>
        <w:rPr>
          <w:rStyle w:val="Emphasis"/>
          <w:rFonts w:eastAsiaTheme="majorEastAsia"/>
        </w:rPr>
        <w:t xml:space="preserve">See Washington v. </w:t>
      </w:r>
      <w:proofErr w:type="spellStart"/>
      <w:r>
        <w:rPr>
          <w:rStyle w:val="Emphasis"/>
          <w:rFonts w:eastAsiaTheme="majorEastAsia"/>
        </w:rPr>
        <w:t>Hous</w:t>
      </w:r>
      <w:proofErr w:type="spellEnd"/>
      <w:r>
        <w:rPr>
          <w:rStyle w:val="Emphasis"/>
          <w:rFonts w:eastAsiaTheme="majorEastAsia"/>
        </w:rPr>
        <w:t>. Auth.,</w:t>
      </w:r>
      <w:r>
        <w:t xml:space="preserve"> 58 F.4th 170, 177 (4th Cir. 2023). Namely, the plaintiff must show that the ‘defendant's behavior was ‘so egregious, so outrageous, that it may fairly be said to shock the contemporary conscience.' To be conscience shocking, a defendant's behavior must lack ‘any reasonable justification in the service of a legitimate governmental objective.' </w:t>
      </w:r>
      <w:r>
        <w:rPr>
          <w:rStyle w:val="Emphasis"/>
          <w:rFonts w:eastAsiaTheme="majorEastAsia"/>
        </w:rPr>
        <w:t>Id.</w:t>
      </w:r>
      <w:r>
        <w:t xml:space="preserve"> (citation omitted) (first quoting </w:t>
      </w:r>
      <w:r>
        <w:rPr>
          <w:rStyle w:val="Emphasis"/>
          <w:rFonts w:eastAsiaTheme="majorEastAsia"/>
        </w:rPr>
        <w:t xml:space="preserve">Dean ex rel. Harkness v. </w:t>
      </w:r>
      <w:r>
        <w:rPr>
          <w:rStyle w:val="Emphasis"/>
          <w:rFonts w:eastAsiaTheme="majorEastAsia"/>
        </w:rPr>
        <w:lastRenderedPageBreak/>
        <w:t>McKinney,</w:t>
      </w:r>
      <w:r>
        <w:t xml:space="preserve"> 976 F.3d 407, 413 (4th Cir. 2020); and then quoting </w:t>
      </w:r>
      <w:proofErr w:type="spellStart"/>
      <w:r>
        <w:rPr>
          <w:rStyle w:val="Emphasis"/>
          <w:rFonts w:eastAsiaTheme="majorEastAsia"/>
        </w:rPr>
        <w:t>Cnty</w:t>
      </w:r>
      <w:proofErr w:type="spellEnd"/>
      <w:r>
        <w:rPr>
          <w:rStyle w:val="Emphasis"/>
          <w:rFonts w:eastAsiaTheme="majorEastAsia"/>
        </w:rPr>
        <w:t>. of Sacramento v. Lewis,</w:t>
      </w:r>
      <w:r>
        <w:t xml:space="preserve"> 523 U.S. 833, 846 (1998)).” </w:t>
      </w:r>
      <w:hyperlink r:id="rId2153" w:history="1">
        <w:r w:rsidRPr="00AA5DF9">
          <w:rPr>
            <w:rStyle w:val="Hyperlink"/>
          </w:rPr>
          <w:t>https://public.fastcase.com/H1P9uiW3J20SFp%2BGCG%2BxLaemfayQbOUv%2BEh6FB5s8DQhIQ87YMziPJITlyqe%2FhSH?utm_medium=email&amp;_hsmi=226712652&amp;_hsenc=p2ANqtz-8exNZIeYxIQOzMK262tD3IHaMXGJDKKAxfpMPtjNaE7kcerp9c9vm-ypoKl8zd2ZG1HbM5kXW5cAGwdVsTDfl2ZJRdHw&amp;utm_content=226712652&amp;utm_source=hs_email</w:t>
        </w:r>
      </w:hyperlink>
      <w:r>
        <w:t xml:space="preserve"> </w:t>
      </w:r>
    </w:p>
    <w:p w14:paraId="0E3E4942" w14:textId="77777777" w:rsidR="004705C6" w:rsidRPr="00931393" w:rsidRDefault="004705C6" w:rsidP="004705C6">
      <w:pPr>
        <w:pStyle w:val="NormalWeb"/>
        <w:rPr>
          <w:b/>
          <w:bCs/>
        </w:rPr>
      </w:pPr>
      <w:r>
        <w:rPr>
          <w:b/>
          <w:bCs/>
        </w:rPr>
        <w:t xml:space="preserve">Legal Lesson Learned: Follow your protocol on administering second injection of ketamine. </w:t>
      </w:r>
    </w:p>
    <w:p w14:paraId="0215BAFE" w14:textId="77777777" w:rsidR="004705C6" w:rsidRDefault="004705C6" w:rsidP="004705C6">
      <w:pPr>
        <w:pStyle w:val="NoSpacing"/>
        <w:rPr>
          <w:rFonts w:ascii="Arial Black" w:hAnsi="Arial Black"/>
          <w:sz w:val="28"/>
          <w:szCs w:val="28"/>
        </w:rPr>
      </w:pPr>
    </w:p>
    <w:p w14:paraId="2A9D8362" w14:textId="63A9BF1E" w:rsidR="004705C6" w:rsidRDefault="004705C6" w:rsidP="004705C6">
      <w:pPr>
        <w:pStyle w:val="NoSpacing"/>
        <w:rPr>
          <w:rFonts w:ascii="Arial Black" w:hAnsi="Arial Black"/>
          <w:sz w:val="28"/>
          <w:szCs w:val="28"/>
        </w:rPr>
      </w:pPr>
      <w:r>
        <w:rPr>
          <w:rFonts w:ascii="Arial Black" w:hAnsi="Arial Black"/>
          <w:sz w:val="28"/>
          <w:szCs w:val="28"/>
        </w:rPr>
        <w:t>13-174</w:t>
      </w:r>
    </w:p>
    <w:p w14:paraId="03D50363" w14:textId="77777777" w:rsidR="004705C6" w:rsidRDefault="004705C6" w:rsidP="004705C6">
      <w:pPr>
        <w:pStyle w:val="NoSpacing"/>
        <w:rPr>
          <w:rFonts w:ascii="Arial Black" w:hAnsi="Arial Black"/>
          <w:sz w:val="28"/>
          <w:szCs w:val="28"/>
        </w:rPr>
      </w:pPr>
    </w:p>
    <w:p w14:paraId="44507672" w14:textId="77C60C5B" w:rsidR="004705C6" w:rsidRPr="008B6200" w:rsidRDefault="004705C6" w:rsidP="004705C6">
      <w:pPr>
        <w:pStyle w:val="NoSpacing"/>
        <w:rPr>
          <w:rFonts w:ascii="Arial Black" w:hAnsi="Arial Black"/>
          <w:sz w:val="28"/>
          <w:szCs w:val="28"/>
        </w:rPr>
      </w:pPr>
      <w:r>
        <w:rPr>
          <w:rFonts w:ascii="Arial Black" w:hAnsi="Arial Black"/>
          <w:sz w:val="28"/>
          <w:szCs w:val="28"/>
        </w:rPr>
        <w:t>TX: BLS TRANSPORT AFTER MVA – BILLED $1,830.50 – NO MEDICAL EXPERT FRAUD - CASE PROPERLY DISMISSED</w:t>
      </w:r>
    </w:p>
    <w:p w14:paraId="5DDCC576" w14:textId="77777777" w:rsidR="004705C6" w:rsidRDefault="004705C6" w:rsidP="004705C6">
      <w:pPr>
        <w:pStyle w:val="NoSpacing"/>
        <w:rPr>
          <w:rFonts w:ascii="Times New Roman" w:hAnsi="Times New Roman"/>
          <w:sz w:val="24"/>
          <w:szCs w:val="24"/>
        </w:rPr>
      </w:pPr>
    </w:p>
    <w:p w14:paraId="799015BB" w14:textId="77777777" w:rsidR="004705C6" w:rsidRDefault="004705C6" w:rsidP="004705C6">
      <w:pPr>
        <w:pStyle w:val="NoSpacing"/>
        <w:rPr>
          <w:rFonts w:ascii="Times New Roman" w:hAnsi="Times New Roman"/>
          <w:sz w:val="24"/>
          <w:szCs w:val="24"/>
        </w:rPr>
      </w:pPr>
      <w:r>
        <w:rPr>
          <w:rFonts w:ascii="Times New Roman" w:hAnsi="Times New Roman"/>
          <w:sz w:val="24"/>
          <w:szCs w:val="24"/>
        </w:rPr>
        <w:t xml:space="preserve">On March 14, 2024, in </w:t>
      </w:r>
      <w:proofErr w:type="spellStart"/>
      <w:r w:rsidRPr="00F1279A">
        <w:rPr>
          <w:rFonts w:ascii="Times New Roman" w:hAnsi="Times New Roman"/>
          <w:sz w:val="24"/>
          <w:szCs w:val="24"/>
          <w:u w:val="single"/>
        </w:rPr>
        <w:t>Alstonia</w:t>
      </w:r>
      <w:proofErr w:type="spellEnd"/>
      <w:r w:rsidRPr="00F1279A">
        <w:rPr>
          <w:rFonts w:ascii="Times New Roman" w:hAnsi="Times New Roman"/>
          <w:sz w:val="24"/>
          <w:szCs w:val="24"/>
          <w:u w:val="single"/>
        </w:rPr>
        <w:t xml:space="preserve"> Louis v. Liberty County Emergency Medical Service, Inc</w:t>
      </w:r>
      <w:r>
        <w:rPr>
          <w:rFonts w:ascii="Times New Roman" w:hAnsi="Times New Roman"/>
          <w:sz w:val="24"/>
          <w:szCs w:val="24"/>
        </w:rPr>
        <w:t xml:space="preserve">., the </w:t>
      </w:r>
    </w:p>
    <w:p w14:paraId="279EAD48" w14:textId="77777777" w:rsidR="004705C6" w:rsidRDefault="004705C6" w:rsidP="004705C6">
      <w:pPr>
        <w:pStyle w:val="NoSpacing"/>
        <w:rPr>
          <w:rFonts w:ascii="Times New Roman" w:hAnsi="Times New Roman"/>
          <w:sz w:val="24"/>
          <w:szCs w:val="24"/>
        </w:rPr>
      </w:pPr>
      <w:r w:rsidRPr="00C312AE">
        <w:rPr>
          <w:rFonts w:ascii="Times New Roman" w:hAnsi="Times New Roman"/>
          <w:sz w:val="24"/>
          <w:szCs w:val="24"/>
        </w:rPr>
        <w:t>Court of Appeals of Texas, Fourteenth District</w:t>
      </w:r>
      <w:r>
        <w:rPr>
          <w:rFonts w:ascii="Times New Roman" w:hAnsi="Times New Roman"/>
          <w:sz w:val="24"/>
          <w:szCs w:val="24"/>
        </w:rPr>
        <w:t xml:space="preserve"> held (3 to 0) that trial court properly granted defense motion to dismiss since this is in effect a medical malpractice claim that under Texas law must be supported by affidavit from medical expert.  </w:t>
      </w:r>
    </w:p>
    <w:p w14:paraId="53D766B2" w14:textId="77777777" w:rsidR="004504A6" w:rsidRDefault="004504A6" w:rsidP="004504A6">
      <w:pPr>
        <w:pStyle w:val="NoSpacing"/>
        <w:rPr>
          <w:rFonts w:ascii="Times New Roman" w:hAnsi="Times New Roman"/>
          <w:sz w:val="24"/>
          <w:szCs w:val="24"/>
          <w:shd w:val="clear" w:color="auto" w:fill="FFFFFF"/>
        </w:rPr>
      </w:pPr>
    </w:p>
    <w:p w14:paraId="005E6815" w14:textId="7BB1174A" w:rsidR="004504A6" w:rsidRPr="004C0299" w:rsidRDefault="004504A6" w:rsidP="004504A6">
      <w:pPr>
        <w:pStyle w:val="NoSpacing"/>
        <w:rPr>
          <w:rFonts w:ascii="Times New Roman" w:hAnsi="Times New Roman"/>
          <w:sz w:val="24"/>
          <w:szCs w:val="24"/>
        </w:rPr>
      </w:pPr>
      <w:r>
        <w:rPr>
          <w:rFonts w:ascii="Times New Roman" w:hAnsi="Times New Roman"/>
          <w:sz w:val="24"/>
          <w:szCs w:val="24"/>
          <w:shd w:val="clear" w:color="auto" w:fill="FFFFFF"/>
        </w:rPr>
        <w:t>THE COURT HELD:</w:t>
      </w:r>
    </w:p>
    <w:p w14:paraId="0D6A70DC" w14:textId="77777777" w:rsidR="004705C6" w:rsidRDefault="004705C6" w:rsidP="004705C6">
      <w:pPr>
        <w:pStyle w:val="NoSpacing"/>
      </w:pPr>
    </w:p>
    <w:p w14:paraId="47786942" w14:textId="77777777" w:rsidR="004705C6" w:rsidRDefault="004705C6" w:rsidP="004705C6">
      <w:pPr>
        <w:pStyle w:val="NoSpacing"/>
        <w:ind w:left="720"/>
        <w:rPr>
          <w:rFonts w:ascii="Times New Roman" w:hAnsi="Times New Roman"/>
          <w:sz w:val="24"/>
          <w:szCs w:val="24"/>
        </w:rPr>
      </w:pPr>
      <w:r>
        <w:rPr>
          <w:rFonts w:ascii="Times New Roman" w:hAnsi="Times New Roman"/>
          <w:sz w:val="24"/>
          <w:szCs w:val="24"/>
        </w:rPr>
        <w:t>“</w:t>
      </w:r>
      <w:r w:rsidRPr="00BE1DE1">
        <w:rPr>
          <w:rFonts w:ascii="Times New Roman" w:hAnsi="Times New Roman"/>
          <w:sz w:val="24"/>
          <w:szCs w:val="24"/>
        </w:rPr>
        <w:t xml:space="preserve">Both Louis's pleadings and affidavit establish that he was transported by ambulance and received health care from Liberty County EMS. For example, Louis acknowledged that Liberty County EMS checked his vital signs. Therefore, we are confronted with another situation in which the conduct of the health-care provider and the determination of the care provided </w:t>
      </w:r>
      <w:proofErr w:type="gramStart"/>
      <w:r w:rsidRPr="00BE1DE1">
        <w:rPr>
          <w:rFonts w:ascii="Times New Roman" w:hAnsi="Times New Roman"/>
          <w:sz w:val="24"/>
          <w:szCs w:val="24"/>
        </w:rPr>
        <w:t>is at issue</w:t>
      </w:r>
      <w:proofErr w:type="gramEnd"/>
      <w:r w:rsidRPr="00BE1DE1">
        <w:rPr>
          <w:rFonts w:ascii="Times New Roman" w:hAnsi="Times New Roman"/>
          <w:sz w:val="24"/>
          <w:szCs w:val="24"/>
        </w:rPr>
        <w:t xml:space="preserve">. The resolution of Louis's challenge to the level of care provided to him and appropriate commensurate billing for those services is not within lay knowledge. Therefore, the </w:t>
      </w:r>
      <w:proofErr w:type="gramStart"/>
      <w:r w:rsidRPr="00BE1DE1">
        <w:rPr>
          <w:rFonts w:ascii="Times New Roman" w:hAnsi="Times New Roman"/>
          <w:sz w:val="24"/>
          <w:szCs w:val="24"/>
        </w:rPr>
        <w:t>fact-finder</w:t>
      </w:r>
      <w:proofErr w:type="gramEnd"/>
      <w:r w:rsidRPr="00BE1DE1">
        <w:rPr>
          <w:rFonts w:ascii="Times New Roman" w:hAnsi="Times New Roman"/>
          <w:sz w:val="24"/>
          <w:szCs w:val="24"/>
        </w:rPr>
        <w:t xml:space="preserve"> would need expert medical testimony to confirm whether (1) the care received by Louis was </w:t>
      </w:r>
      <w:r>
        <w:rPr>
          <w:rFonts w:ascii="Times New Roman" w:hAnsi="Times New Roman"/>
          <w:sz w:val="24"/>
          <w:szCs w:val="24"/>
        </w:rPr>
        <w:t>‘</w:t>
      </w:r>
      <w:r w:rsidRPr="00BE1DE1">
        <w:rPr>
          <w:rFonts w:ascii="Times New Roman" w:hAnsi="Times New Roman"/>
          <w:sz w:val="24"/>
          <w:szCs w:val="24"/>
        </w:rPr>
        <w:t>basic-life support</w:t>
      </w:r>
      <w:r>
        <w:rPr>
          <w:rFonts w:ascii="Times New Roman" w:hAnsi="Times New Roman"/>
          <w:sz w:val="24"/>
          <w:szCs w:val="24"/>
        </w:rPr>
        <w:t>’</w:t>
      </w:r>
      <w:r w:rsidRPr="00BE1DE1">
        <w:rPr>
          <w:rFonts w:ascii="Times New Roman" w:hAnsi="Times New Roman"/>
          <w:sz w:val="24"/>
          <w:szCs w:val="24"/>
        </w:rPr>
        <w:t xml:space="preserve"> as he was billed for and (2) the amount Louis was charged was appropriate for the services provided.</w:t>
      </w:r>
    </w:p>
    <w:p w14:paraId="716AF1CC" w14:textId="77777777" w:rsidR="004705C6" w:rsidRDefault="004705C6" w:rsidP="004705C6">
      <w:pPr>
        <w:pStyle w:val="NoSpacing"/>
        <w:rPr>
          <w:rFonts w:ascii="Times New Roman" w:hAnsi="Times New Roman"/>
          <w:sz w:val="24"/>
          <w:szCs w:val="24"/>
        </w:rPr>
      </w:pPr>
    </w:p>
    <w:p w14:paraId="2ECB23BC" w14:textId="77777777" w:rsidR="004705C6" w:rsidRDefault="004705C6" w:rsidP="004705C6">
      <w:pPr>
        <w:pStyle w:val="NoSpacing"/>
        <w:ind w:firstLine="720"/>
        <w:rPr>
          <w:rFonts w:ascii="Times New Roman" w:hAnsi="Times New Roman"/>
          <w:sz w:val="24"/>
          <w:szCs w:val="24"/>
        </w:rPr>
      </w:pPr>
      <w:r>
        <w:rPr>
          <w:rFonts w:ascii="Times New Roman" w:hAnsi="Times New Roman"/>
          <w:sz w:val="24"/>
          <w:szCs w:val="24"/>
        </w:rPr>
        <w:t>***</w:t>
      </w:r>
    </w:p>
    <w:p w14:paraId="4226AA41" w14:textId="77777777" w:rsidR="004705C6" w:rsidRDefault="004705C6" w:rsidP="004705C6">
      <w:pPr>
        <w:pStyle w:val="NoSpacing"/>
        <w:rPr>
          <w:rFonts w:ascii="Times New Roman" w:hAnsi="Times New Roman"/>
          <w:sz w:val="24"/>
          <w:szCs w:val="24"/>
        </w:rPr>
      </w:pPr>
    </w:p>
    <w:p w14:paraId="605E59FA" w14:textId="77777777" w:rsidR="004705C6" w:rsidRDefault="004705C6" w:rsidP="004705C6">
      <w:pPr>
        <w:pStyle w:val="NoSpacing"/>
        <w:ind w:left="720"/>
        <w:rPr>
          <w:rFonts w:ascii="Times New Roman" w:hAnsi="Times New Roman"/>
          <w:sz w:val="24"/>
          <w:szCs w:val="24"/>
        </w:rPr>
      </w:pPr>
      <w:r w:rsidRPr="00B350FE">
        <w:rPr>
          <w:rFonts w:ascii="Times New Roman" w:hAnsi="Times New Roman"/>
          <w:sz w:val="24"/>
          <w:szCs w:val="24"/>
        </w:rPr>
        <w:t>Following this court's precedent and the statutory directives of chapter 74, we conclude the trial court did not err in determining that Louis brought a healthcare-liability claim and for dismissing the claim due to lack of compliance with the expert-report requirements.</w:t>
      </w:r>
      <w:r>
        <w:rPr>
          <w:rFonts w:ascii="Times New Roman" w:hAnsi="Times New Roman"/>
          <w:sz w:val="24"/>
          <w:szCs w:val="24"/>
        </w:rPr>
        <w:t xml:space="preserve">” </w:t>
      </w:r>
      <w:hyperlink r:id="rId2154" w:history="1">
        <w:r w:rsidRPr="00AA5DF9">
          <w:rPr>
            <w:rStyle w:val="Hyperlink"/>
            <w:rFonts w:ascii="Times New Roman" w:hAnsi="Times New Roman"/>
            <w:sz w:val="24"/>
            <w:szCs w:val="24"/>
          </w:rPr>
          <w:t>https://casetext.com/case/louis-v-liberty-cnty-emergency-med-servs-3</w:t>
        </w:r>
      </w:hyperlink>
      <w:r>
        <w:rPr>
          <w:rFonts w:ascii="Times New Roman" w:hAnsi="Times New Roman"/>
          <w:sz w:val="24"/>
          <w:szCs w:val="24"/>
        </w:rPr>
        <w:t xml:space="preserve"> </w:t>
      </w:r>
    </w:p>
    <w:p w14:paraId="1EAEA7E9" w14:textId="77777777" w:rsidR="004705C6" w:rsidRDefault="004705C6" w:rsidP="004705C6">
      <w:pPr>
        <w:pStyle w:val="NoSpacing"/>
        <w:ind w:left="720"/>
        <w:rPr>
          <w:rFonts w:ascii="Times New Roman" w:hAnsi="Times New Roman"/>
          <w:sz w:val="24"/>
          <w:szCs w:val="24"/>
        </w:rPr>
      </w:pPr>
    </w:p>
    <w:p w14:paraId="1A09C9BE" w14:textId="77777777" w:rsidR="004705C6" w:rsidRDefault="004705C6" w:rsidP="004705C6">
      <w:pPr>
        <w:pStyle w:val="paragraph"/>
        <w:rPr>
          <w:b/>
          <w:bCs/>
        </w:rPr>
      </w:pPr>
      <w:r w:rsidRPr="005417E2">
        <w:rPr>
          <w:b/>
          <w:bCs/>
        </w:rPr>
        <w:t xml:space="preserve">Legal Lesson Learned: </w:t>
      </w:r>
      <w:r>
        <w:rPr>
          <w:b/>
          <w:bCs/>
        </w:rPr>
        <w:t xml:space="preserve">The plaintiff needed an affidavit from a medical expert to support his claim of fraudulent billing. </w:t>
      </w:r>
    </w:p>
    <w:p w14:paraId="048D45A9" w14:textId="77777777" w:rsidR="004705C6" w:rsidRDefault="004705C6" w:rsidP="004705C6">
      <w:pPr>
        <w:pStyle w:val="paragraph"/>
        <w:rPr>
          <w:b/>
          <w:bCs/>
        </w:rPr>
      </w:pPr>
    </w:p>
    <w:p w14:paraId="3AB60A62" w14:textId="77777777" w:rsidR="004705C6" w:rsidRPr="004705C6" w:rsidRDefault="004705C6" w:rsidP="004705C6">
      <w:pPr>
        <w:pStyle w:val="NormalWeb"/>
        <w:rPr>
          <w:sz w:val="28"/>
          <w:szCs w:val="28"/>
        </w:rPr>
      </w:pPr>
    </w:p>
    <w:p w14:paraId="11631F1F" w14:textId="77777777" w:rsidR="004705C6" w:rsidRPr="004705C6" w:rsidRDefault="004705C6" w:rsidP="004705C6">
      <w:pPr>
        <w:rPr>
          <w:rFonts w:ascii="Arial Black" w:hAnsi="Arial Black"/>
          <w:sz w:val="28"/>
          <w:szCs w:val="28"/>
          <w:shd w:val="clear" w:color="auto" w:fill="FFFFFF"/>
        </w:rPr>
      </w:pPr>
      <w:r w:rsidRPr="004705C6">
        <w:rPr>
          <w:rFonts w:ascii="Arial Black" w:hAnsi="Arial Black"/>
          <w:sz w:val="28"/>
          <w:szCs w:val="28"/>
          <w:shd w:val="clear" w:color="auto" w:fill="FFFFFF"/>
        </w:rPr>
        <w:t>13-173</w:t>
      </w:r>
    </w:p>
    <w:p w14:paraId="5E200646" w14:textId="77777777" w:rsidR="00B85B57" w:rsidRPr="006316A3" w:rsidRDefault="00B85B57" w:rsidP="00B85B57">
      <w:pPr>
        <w:rPr>
          <w:rFonts w:ascii="Arial Black" w:hAnsi="Arial Black"/>
          <w:sz w:val="28"/>
          <w:szCs w:val="28"/>
          <w:shd w:val="clear" w:color="auto" w:fill="FFFFFF"/>
        </w:rPr>
      </w:pPr>
      <w:r>
        <w:rPr>
          <w:rFonts w:ascii="Arial Black" w:hAnsi="Arial Black"/>
          <w:sz w:val="28"/>
          <w:szCs w:val="28"/>
          <w:shd w:val="clear" w:color="auto" w:fill="FFFFFF"/>
        </w:rPr>
        <w:lastRenderedPageBreak/>
        <w:t xml:space="preserve">IN: PT STROKE CO. BREAK ROOM – CO. MEDICS RAPID RESPONSE – 8 MIN -  WIFE FALSELY TOLD “ONE HOUR” – NO CASE </w:t>
      </w:r>
    </w:p>
    <w:p w14:paraId="0D9D8CB1" w14:textId="77777777" w:rsidR="00B85B57" w:rsidRDefault="00B85B57" w:rsidP="00B85B57">
      <w:pPr>
        <w:pStyle w:val="NoSpacing"/>
        <w:rPr>
          <w:rFonts w:ascii="Times New Roman" w:hAnsi="Times New Roman"/>
          <w:sz w:val="24"/>
          <w:szCs w:val="24"/>
          <w:shd w:val="clear" w:color="auto" w:fill="FFFFFF"/>
        </w:rPr>
      </w:pPr>
      <w:r>
        <w:rPr>
          <w:rFonts w:ascii="Times New Roman" w:hAnsi="Times New Roman"/>
          <w:sz w:val="24"/>
          <w:szCs w:val="24"/>
          <w:shd w:val="clear" w:color="auto" w:fill="FFFFFF"/>
        </w:rPr>
        <w:t xml:space="preserve">On March 14, 2024, in </w:t>
      </w:r>
      <w:r w:rsidRPr="00B967DB">
        <w:rPr>
          <w:rFonts w:ascii="Times New Roman" w:hAnsi="Times New Roman"/>
          <w:sz w:val="24"/>
          <w:szCs w:val="24"/>
          <w:u w:val="single"/>
          <w:shd w:val="clear" w:color="auto" w:fill="FFFFFF"/>
        </w:rPr>
        <w:t>Estate of Keith J. Hopkins v. Cleveland-Cliffs Steel, LLC</w:t>
      </w:r>
      <w:r>
        <w:rPr>
          <w:rFonts w:ascii="Times New Roman" w:hAnsi="Times New Roman"/>
          <w:sz w:val="24"/>
          <w:szCs w:val="24"/>
          <w:shd w:val="clear" w:color="auto" w:fill="FFFFFF"/>
        </w:rPr>
        <w:t>, United States Magistrate Judge Andrew P. Rodovich, U.S. District Court for Northern District of Indiana (Hammond Division) granted the company’s motion to dismiss.  The widow was told by two co-workers at the wake that medics took “one hour” to respond, but EMS report (</w:t>
      </w:r>
      <w:proofErr w:type="gramStart"/>
      <w:r>
        <w:rPr>
          <w:rFonts w:ascii="Times New Roman" w:hAnsi="Times New Roman"/>
          <w:sz w:val="24"/>
          <w:szCs w:val="24"/>
          <w:shd w:val="clear" w:color="auto" w:fill="FFFFFF"/>
        </w:rPr>
        <w:t>8 minute</w:t>
      </w:r>
      <w:proofErr w:type="gramEnd"/>
      <w:r>
        <w:rPr>
          <w:rFonts w:ascii="Times New Roman" w:hAnsi="Times New Roman"/>
          <w:sz w:val="24"/>
          <w:szCs w:val="24"/>
          <w:shd w:val="clear" w:color="auto" w:fill="FFFFFF"/>
        </w:rPr>
        <w:t xml:space="preserve"> response time) and hospital records showed prompt response and transport (arrived 27 minutes after medic on scene). </w:t>
      </w:r>
    </w:p>
    <w:p w14:paraId="702B0CEF" w14:textId="77777777" w:rsidR="00B85B57" w:rsidRDefault="00B85B57" w:rsidP="00B85B57">
      <w:pPr>
        <w:pStyle w:val="NoSpacing"/>
        <w:rPr>
          <w:rFonts w:ascii="Times New Roman" w:hAnsi="Times New Roman"/>
          <w:sz w:val="24"/>
          <w:szCs w:val="24"/>
          <w:shd w:val="clear" w:color="auto" w:fill="FFFFFF"/>
        </w:rPr>
      </w:pPr>
    </w:p>
    <w:p w14:paraId="3E9C143A" w14:textId="77777777" w:rsidR="00B85B57" w:rsidRPr="004C0299" w:rsidRDefault="00B85B57" w:rsidP="00B85B57">
      <w:pPr>
        <w:pStyle w:val="NoSpacing"/>
        <w:rPr>
          <w:rFonts w:ascii="Times New Roman" w:hAnsi="Times New Roman"/>
          <w:sz w:val="24"/>
          <w:szCs w:val="24"/>
        </w:rPr>
      </w:pPr>
      <w:r>
        <w:rPr>
          <w:rFonts w:ascii="Times New Roman" w:hAnsi="Times New Roman"/>
          <w:sz w:val="24"/>
          <w:szCs w:val="24"/>
          <w:shd w:val="clear" w:color="auto" w:fill="FFFFFF"/>
        </w:rPr>
        <w:t>THE COURT HELD:</w:t>
      </w:r>
    </w:p>
    <w:p w14:paraId="04C0C207" w14:textId="77777777" w:rsidR="00B85B57" w:rsidRDefault="00B85B57" w:rsidP="00B85B57">
      <w:pPr>
        <w:pStyle w:val="NormalWeb"/>
        <w:ind w:left="720"/>
      </w:pPr>
      <w:r>
        <w:t xml:space="preserve">“The parties dispute the facts surrounding the emergency care that the paramedics provided to Hopkins. Paramedic William Webb stated the call for help was made at 6:59 p.m., and that he arrived with another paramedic at 7:07 p.m. Webb suspected that Hopkins was having a stroke, because his face was drooping and the right side of his body was flaccid. The paramedics assessed Hopkins, checked his blood sugar and vital signs, gave him intravenous fluids and oxygen, and prepared him for transportation by ambulance. The ambulance left for St. Catherine Hospital, in East Chicago, at 7:25 p.m., and arrived at 7:34 p.m. This timeline was recorded in an “Ambulance Report,” which was prepared by ArcelorMittal dispatch personnel based on information reported by the paramedics. [Webb Decl. ¶¶ 12-13]. </w:t>
      </w:r>
    </w:p>
    <w:p w14:paraId="71E0288F" w14:textId="77777777" w:rsidR="00B85B57" w:rsidRDefault="00B85B57" w:rsidP="00B85B57">
      <w:pPr>
        <w:ind w:left="720"/>
        <w:rPr>
          <w:rFonts w:ascii="Times New Roman" w:hAnsi="Times New Roman"/>
          <w:sz w:val="24"/>
          <w:szCs w:val="24"/>
        </w:rPr>
      </w:pPr>
      <w:r>
        <w:rPr>
          <w:rFonts w:ascii="Times New Roman" w:hAnsi="Times New Roman"/>
          <w:sz w:val="24"/>
          <w:szCs w:val="24"/>
        </w:rPr>
        <w:t>***</w:t>
      </w:r>
    </w:p>
    <w:p w14:paraId="3F80E19F" w14:textId="77777777" w:rsidR="00B85B57" w:rsidRDefault="00B85B57" w:rsidP="00B85B57">
      <w:pPr>
        <w:ind w:left="720"/>
        <w:rPr>
          <w:rFonts w:ascii="Times New Roman" w:hAnsi="Times New Roman"/>
          <w:sz w:val="24"/>
          <w:szCs w:val="24"/>
          <w:vertAlign w:val="superscript"/>
        </w:rPr>
      </w:pPr>
      <w:r w:rsidRPr="002750CB">
        <w:rPr>
          <w:rFonts w:ascii="Times New Roman" w:hAnsi="Times New Roman"/>
          <w:sz w:val="24"/>
          <w:szCs w:val="24"/>
        </w:rPr>
        <w:t xml:space="preserve">The court infers from the briefing that the Estate believes the paramedics did not </w:t>
      </w:r>
      <w:proofErr w:type="gramStart"/>
      <w:r w:rsidRPr="002750CB">
        <w:rPr>
          <w:rFonts w:ascii="Times New Roman" w:hAnsi="Times New Roman"/>
          <w:sz w:val="24"/>
          <w:szCs w:val="24"/>
        </w:rPr>
        <w:t>attend to</w:t>
      </w:r>
      <w:proofErr w:type="gramEnd"/>
      <w:r w:rsidRPr="002750CB">
        <w:rPr>
          <w:rFonts w:ascii="Times New Roman" w:hAnsi="Times New Roman"/>
          <w:sz w:val="24"/>
          <w:szCs w:val="24"/>
        </w:rPr>
        <w:t xml:space="preserve"> Hopkins until at least an hour after they were called. Felita Hopkins, Hopkins's widow, testified that at his wake two of his co-workers told her that </w:t>
      </w:r>
      <w:r>
        <w:rPr>
          <w:rFonts w:ascii="Times New Roman" w:hAnsi="Times New Roman"/>
          <w:sz w:val="24"/>
          <w:szCs w:val="24"/>
        </w:rPr>
        <w:t>‘</w:t>
      </w:r>
      <w:r w:rsidRPr="002750CB">
        <w:rPr>
          <w:rFonts w:ascii="Times New Roman" w:hAnsi="Times New Roman"/>
          <w:sz w:val="24"/>
          <w:szCs w:val="24"/>
        </w:rPr>
        <w:t>it took over an hour</w:t>
      </w:r>
      <w:r>
        <w:rPr>
          <w:rFonts w:ascii="Times New Roman" w:hAnsi="Times New Roman"/>
          <w:sz w:val="24"/>
          <w:szCs w:val="24"/>
        </w:rPr>
        <w:t>’</w:t>
      </w:r>
      <w:r w:rsidRPr="002750CB">
        <w:rPr>
          <w:rFonts w:ascii="Times New Roman" w:hAnsi="Times New Roman"/>
          <w:sz w:val="24"/>
          <w:szCs w:val="24"/>
        </w:rPr>
        <w:t xml:space="preserve"> for the paramedics to arrive and that ArcelorMittal's report was changed to say that they responded within three</w:t>
      </w:r>
      <w:r w:rsidRPr="002750CB">
        <w:rPr>
          <w:rFonts w:ascii="Times New Roman" w:hAnsi="Times New Roman"/>
          <w:sz w:val="24"/>
          <w:szCs w:val="24"/>
          <w:vertAlign w:val="superscript"/>
        </w:rPr>
        <w:t>[</w:t>
      </w:r>
      <w:hyperlink r:id="rId2155" w:anchor="ftn.FN3" w:history="1">
        <w:r w:rsidRPr="002750CB">
          <w:rPr>
            <w:rStyle w:val="Hyperlink"/>
            <w:rFonts w:ascii="Times New Roman" w:hAnsi="Times New Roman"/>
            <w:sz w:val="24"/>
            <w:szCs w:val="24"/>
            <w:vertAlign w:val="superscript"/>
          </w:rPr>
          <w:t>3</w:t>
        </w:r>
      </w:hyperlink>
      <w:r w:rsidRPr="002750CB">
        <w:rPr>
          <w:rFonts w:ascii="Times New Roman" w:hAnsi="Times New Roman"/>
          <w:sz w:val="24"/>
          <w:szCs w:val="24"/>
          <w:vertAlign w:val="superscript"/>
        </w:rPr>
        <w:t>]</w:t>
      </w:r>
      <w:r w:rsidRPr="002750CB">
        <w:rPr>
          <w:rFonts w:ascii="Times New Roman" w:hAnsi="Times New Roman"/>
          <w:sz w:val="24"/>
          <w:szCs w:val="24"/>
        </w:rPr>
        <w:t xml:space="preserve"> minutes. [Hopkins Dep. 39:1-6, 39:22-40:21]. Although this fact is not properly alleged, </w:t>
      </w:r>
      <w:r w:rsidRPr="002750CB">
        <w:rPr>
          <w:rStyle w:val="Emphasis"/>
          <w:rFonts w:ascii="Times New Roman" w:hAnsi="Times New Roman"/>
          <w:sz w:val="24"/>
          <w:szCs w:val="24"/>
        </w:rPr>
        <w:t>see</w:t>
      </w:r>
      <w:r w:rsidRPr="002750CB">
        <w:rPr>
          <w:rFonts w:ascii="Times New Roman" w:hAnsi="Times New Roman"/>
          <w:sz w:val="24"/>
          <w:szCs w:val="24"/>
        </w:rPr>
        <w:t xml:space="preserve"> N. D. Ind. L. R. 56-1(b)(2)(D), the court will consider the Estate as having made that allegation based on Hopkins's deposition testimony.</w:t>
      </w:r>
    </w:p>
    <w:p w14:paraId="4E5C6B59" w14:textId="77777777" w:rsidR="00B85B57" w:rsidRDefault="00B85B57" w:rsidP="00B85B57">
      <w:pPr>
        <w:rPr>
          <w:rFonts w:ascii="Times New Roman" w:hAnsi="Times New Roman"/>
          <w:sz w:val="24"/>
          <w:szCs w:val="24"/>
        </w:rPr>
      </w:pPr>
      <w:r w:rsidRPr="002750CB">
        <w:rPr>
          <w:rFonts w:ascii="Times New Roman" w:hAnsi="Times New Roman"/>
          <w:sz w:val="24"/>
          <w:szCs w:val="24"/>
        </w:rPr>
        <w:t xml:space="preserve"> </w:t>
      </w:r>
      <w:r>
        <w:rPr>
          <w:rFonts w:ascii="Times New Roman" w:hAnsi="Times New Roman"/>
          <w:sz w:val="24"/>
          <w:szCs w:val="24"/>
        </w:rPr>
        <w:tab/>
        <w:t>***</w:t>
      </w:r>
    </w:p>
    <w:p w14:paraId="4A8F2653" w14:textId="77777777" w:rsidR="00B85B57" w:rsidRPr="00D97522" w:rsidRDefault="00B85B57" w:rsidP="00B85B57">
      <w:pPr>
        <w:ind w:left="720"/>
        <w:rPr>
          <w:rFonts w:ascii="Times New Roman" w:hAnsi="Times New Roman"/>
          <w:b/>
          <w:bCs/>
          <w:color w:val="454545"/>
          <w:sz w:val="24"/>
          <w:szCs w:val="24"/>
          <w:shd w:val="clear" w:color="auto" w:fill="FFFFFF"/>
        </w:rPr>
      </w:pPr>
      <w:r w:rsidRPr="00D97522">
        <w:rPr>
          <w:rFonts w:ascii="Times New Roman" w:hAnsi="Times New Roman"/>
          <w:sz w:val="24"/>
          <w:szCs w:val="24"/>
        </w:rPr>
        <w:t xml:space="preserve">Therefore, the injury for which the Estate seeks compensation arose out of and in the course of employment, and the IWCA </w:t>
      </w:r>
      <w:r>
        <w:rPr>
          <w:rFonts w:ascii="Times New Roman" w:hAnsi="Times New Roman"/>
          <w:sz w:val="24"/>
          <w:szCs w:val="24"/>
        </w:rPr>
        <w:t>[</w:t>
      </w:r>
      <w:r w:rsidRPr="004E1487">
        <w:rPr>
          <w:rFonts w:ascii="Times New Roman" w:hAnsi="Times New Roman"/>
          <w:sz w:val="24"/>
          <w:szCs w:val="24"/>
        </w:rPr>
        <w:t>Indiana Wrongful Death Act</w:t>
      </w:r>
      <w:r>
        <w:rPr>
          <w:rFonts w:ascii="Times New Roman" w:hAnsi="Times New Roman"/>
          <w:sz w:val="24"/>
          <w:szCs w:val="24"/>
        </w:rPr>
        <w:t xml:space="preserve">] </w:t>
      </w:r>
      <w:r w:rsidRPr="00D97522">
        <w:rPr>
          <w:rFonts w:ascii="Times New Roman" w:hAnsi="Times New Roman"/>
          <w:sz w:val="24"/>
          <w:szCs w:val="24"/>
        </w:rPr>
        <w:t>provides the exclusive remedy.</w:t>
      </w:r>
      <w:r>
        <w:rPr>
          <w:rFonts w:ascii="Times New Roman" w:hAnsi="Times New Roman"/>
          <w:sz w:val="24"/>
          <w:szCs w:val="24"/>
        </w:rPr>
        <w:t xml:space="preserve">” </w:t>
      </w:r>
      <w:hyperlink r:id="rId2156" w:history="1">
        <w:r w:rsidRPr="00793584">
          <w:rPr>
            <w:rStyle w:val="Hyperlink"/>
            <w:rFonts w:ascii="Times New Roman" w:hAnsi="Times New Roman"/>
            <w:sz w:val="24"/>
            <w:szCs w:val="24"/>
          </w:rPr>
          <w:t>https://public.fastcase.com/H1P9uiW3J20SFp%2BGCG%2BxLWaE5rZYr2H4Ujam%2BycZ4mpAt0doHRie9oUlcl2qsPlk?utm_medium=email&amp;_hsmi=226712652&amp;_hsenc=p2ANqtz-_AW42DW2ZKsbYvGhsf40qi8tEpXVEeEydLzmuxudQnQi0lg_TvDjKAtr1z0dXm_j1xtTRfnovBA_RTcYhjFA_6sdUkCw&amp;utm_content=226712652&amp;utm_source=hs_email</w:t>
        </w:r>
      </w:hyperlink>
      <w:r>
        <w:rPr>
          <w:rFonts w:ascii="Times New Roman" w:hAnsi="Times New Roman"/>
          <w:sz w:val="24"/>
          <w:szCs w:val="24"/>
        </w:rPr>
        <w:t xml:space="preserve"> </w:t>
      </w:r>
    </w:p>
    <w:p w14:paraId="70BE14B1" w14:textId="77777777" w:rsidR="00B85B57" w:rsidRPr="00496174" w:rsidRDefault="00B85B57" w:rsidP="00B85B57">
      <w:pPr>
        <w:pStyle w:val="NormalWeb"/>
        <w:rPr>
          <w:b/>
          <w:bCs/>
        </w:rPr>
      </w:pPr>
      <w:r w:rsidRPr="00496174">
        <w:rPr>
          <w:b/>
          <w:bCs/>
        </w:rPr>
        <w:t>Legal Lesson Learned:</w:t>
      </w:r>
      <w:r>
        <w:rPr>
          <w:b/>
          <w:bCs/>
        </w:rPr>
        <w:t xml:space="preserve"> The estate’s only remedy is under Indiana Wrongful Death Act (worker’s comp).  It is a shame that co-workers told widow that response time was one hour. </w:t>
      </w:r>
    </w:p>
    <w:p w14:paraId="17D341BF" w14:textId="77777777" w:rsidR="004705C6" w:rsidRDefault="004705C6" w:rsidP="004705C6">
      <w:pPr>
        <w:pStyle w:val="NormalWeb"/>
        <w:ind w:left="720"/>
      </w:pPr>
    </w:p>
    <w:p w14:paraId="1E8E0BAA" w14:textId="77777777" w:rsidR="004705C6" w:rsidRDefault="004705C6" w:rsidP="004705C6">
      <w:pPr>
        <w:pStyle w:val="NormalWeb"/>
      </w:pPr>
    </w:p>
    <w:p w14:paraId="4A6232FA" w14:textId="73ED64B6" w:rsidR="004705C6" w:rsidRPr="004705C6" w:rsidRDefault="004705C6" w:rsidP="004705C6">
      <w:pPr>
        <w:pStyle w:val="NormalWeb"/>
        <w:rPr>
          <w:rFonts w:ascii="Arial Black" w:hAnsi="Arial Black"/>
          <w:sz w:val="28"/>
          <w:szCs w:val="28"/>
        </w:rPr>
      </w:pPr>
      <w:r w:rsidRPr="004705C6">
        <w:rPr>
          <w:rFonts w:ascii="Arial Black" w:hAnsi="Arial Black"/>
          <w:sz w:val="28"/>
          <w:szCs w:val="28"/>
        </w:rPr>
        <w:t>13-172</w:t>
      </w:r>
    </w:p>
    <w:p w14:paraId="2916CE25" w14:textId="432D0233" w:rsidR="004705C6" w:rsidRDefault="004705C6" w:rsidP="004705C6">
      <w:pPr>
        <w:pStyle w:val="NormalWeb"/>
        <w:rPr>
          <w:rFonts w:ascii="Arial Black" w:hAnsi="Arial Black"/>
          <w:sz w:val="28"/>
          <w:szCs w:val="28"/>
        </w:rPr>
      </w:pPr>
      <w:r>
        <w:rPr>
          <w:rFonts w:ascii="Arial Black" w:hAnsi="Arial Black"/>
          <w:sz w:val="28"/>
          <w:szCs w:val="28"/>
        </w:rPr>
        <w:lastRenderedPageBreak/>
        <w:t xml:space="preserve">MN: COMBATIVE PATIENT - MEDIC </w:t>
      </w:r>
      <w:r w:rsidR="00311BBE">
        <w:rPr>
          <w:rFonts w:ascii="Arial Black" w:hAnsi="Arial Black"/>
          <w:sz w:val="28"/>
          <w:szCs w:val="28"/>
        </w:rPr>
        <w:t xml:space="preserve">WITH </w:t>
      </w:r>
      <w:r>
        <w:rPr>
          <w:rFonts w:ascii="Arial Black" w:hAnsi="Arial Black"/>
          <w:sz w:val="28"/>
          <w:szCs w:val="28"/>
        </w:rPr>
        <w:t xml:space="preserve">MILITARY TRAINING – PRESSURE ON CAROTID ARTERY </w:t>
      </w:r>
      <w:r w:rsidR="0057595C">
        <w:rPr>
          <w:rFonts w:ascii="Arial Black" w:hAnsi="Arial Black"/>
          <w:sz w:val="28"/>
          <w:szCs w:val="28"/>
        </w:rPr>
        <w:t>–</w:t>
      </w:r>
      <w:r>
        <w:rPr>
          <w:rFonts w:ascii="Arial Black" w:hAnsi="Arial Black"/>
          <w:sz w:val="28"/>
          <w:szCs w:val="28"/>
        </w:rPr>
        <w:t xml:space="preserve"> </w:t>
      </w:r>
      <w:r w:rsidR="0057595C">
        <w:rPr>
          <w:rFonts w:ascii="Arial Black" w:hAnsi="Arial Black"/>
          <w:sz w:val="28"/>
          <w:szCs w:val="28"/>
        </w:rPr>
        <w:t xml:space="preserve">MEDIC </w:t>
      </w:r>
      <w:r>
        <w:rPr>
          <w:rFonts w:ascii="Arial Black" w:hAnsi="Arial Black"/>
          <w:sz w:val="28"/>
          <w:szCs w:val="28"/>
        </w:rPr>
        <w:t>FIRING UPHELD</w:t>
      </w:r>
    </w:p>
    <w:p w14:paraId="6AEF2B05" w14:textId="77777777" w:rsidR="004705C6" w:rsidRDefault="004705C6" w:rsidP="004705C6">
      <w:pPr>
        <w:pStyle w:val="NormalWeb"/>
        <w:rPr>
          <w:color w:val="454545"/>
          <w:shd w:val="clear" w:color="auto" w:fill="FFFFFF"/>
        </w:rPr>
      </w:pPr>
      <w:r>
        <w:rPr>
          <w:color w:val="454545"/>
          <w:shd w:val="clear" w:color="auto" w:fill="FFFFFF"/>
        </w:rPr>
        <w:t xml:space="preserve">On March 11, 2024, in </w:t>
      </w:r>
      <w:r w:rsidRPr="009D1F77">
        <w:rPr>
          <w:color w:val="454545"/>
          <w:u w:val="single"/>
          <w:shd w:val="clear" w:color="auto" w:fill="FFFFFF"/>
        </w:rPr>
        <w:t>Kenneth Zepeda v. City of Sant Paul</w:t>
      </w:r>
      <w:r>
        <w:rPr>
          <w:color w:val="454545"/>
          <w:shd w:val="clear" w:color="auto" w:fill="FFFFFF"/>
        </w:rPr>
        <w:t xml:space="preserve">, the Minnesota Court of Appeals held (3 to 0) that </w:t>
      </w:r>
      <w:r w:rsidRPr="001E20BB">
        <w:rPr>
          <w:color w:val="454545"/>
          <w:shd w:val="clear" w:color="auto" w:fill="FFFFFF"/>
        </w:rPr>
        <w:t>the arbitrator</w:t>
      </w:r>
      <w:r>
        <w:rPr>
          <w:color w:val="454545"/>
          <w:shd w:val="clear" w:color="auto" w:fill="FFFFFF"/>
        </w:rPr>
        <w:t xml:space="preserve"> properly determined </w:t>
      </w:r>
      <w:r w:rsidRPr="001E20BB">
        <w:rPr>
          <w:color w:val="454545"/>
          <w:shd w:val="clear" w:color="auto" w:fill="FFFFFF"/>
        </w:rPr>
        <w:t>that the city had just cause to terminate Zepeda’s</w:t>
      </w:r>
      <w:r>
        <w:rPr>
          <w:color w:val="454545"/>
          <w:shd w:val="clear" w:color="auto" w:fill="FFFFFF"/>
        </w:rPr>
        <w:t xml:space="preserve"> </w:t>
      </w:r>
      <w:r w:rsidRPr="001E20BB">
        <w:rPr>
          <w:color w:val="454545"/>
          <w:shd w:val="clear" w:color="auto" w:fill="FFFFFF"/>
        </w:rPr>
        <w:t>employment.</w:t>
      </w:r>
    </w:p>
    <w:p w14:paraId="5DCE851A" w14:textId="77777777" w:rsidR="00D83012" w:rsidRPr="004C0299" w:rsidRDefault="00D83012" w:rsidP="00D83012">
      <w:pPr>
        <w:pStyle w:val="NoSpacing"/>
        <w:rPr>
          <w:rFonts w:ascii="Times New Roman" w:hAnsi="Times New Roman"/>
          <w:sz w:val="24"/>
          <w:szCs w:val="24"/>
        </w:rPr>
      </w:pPr>
      <w:r>
        <w:rPr>
          <w:rFonts w:ascii="Times New Roman" w:hAnsi="Times New Roman"/>
          <w:sz w:val="24"/>
          <w:szCs w:val="24"/>
          <w:shd w:val="clear" w:color="auto" w:fill="FFFFFF"/>
        </w:rPr>
        <w:t>THE COURT HELD:</w:t>
      </w:r>
    </w:p>
    <w:p w14:paraId="3EA9210D" w14:textId="77777777" w:rsidR="00D83012" w:rsidRDefault="00D83012" w:rsidP="004705C6">
      <w:pPr>
        <w:pStyle w:val="NoSpacing"/>
        <w:ind w:left="720"/>
        <w:rPr>
          <w:rFonts w:ascii="Times New Roman" w:hAnsi="Times New Roman"/>
          <w:sz w:val="24"/>
          <w:szCs w:val="24"/>
          <w:shd w:val="clear" w:color="auto" w:fill="FFFFFF"/>
        </w:rPr>
      </w:pPr>
    </w:p>
    <w:p w14:paraId="745246E4" w14:textId="1D46C2BA" w:rsidR="004705C6" w:rsidRDefault="004705C6" w:rsidP="004705C6">
      <w:pPr>
        <w:pStyle w:val="NoSpacing"/>
        <w:ind w:left="720"/>
        <w:rPr>
          <w:rFonts w:ascii="Times New Roman" w:hAnsi="Times New Roman"/>
          <w:sz w:val="24"/>
          <w:szCs w:val="24"/>
          <w:shd w:val="clear" w:color="auto" w:fill="FFFFFF"/>
        </w:rPr>
      </w:pPr>
      <w:r>
        <w:rPr>
          <w:rFonts w:ascii="Times New Roman" w:hAnsi="Times New Roman"/>
          <w:sz w:val="24"/>
          <w:szCs w:val="24"/>
          <w:shd w:val="clear" w:color="auto" w:fill="FFFFFF"/>
        </w:rPr>
        <w:t>“</w:t>
      </w:r>
      <w:r w:rsidRPr="00A1737F">
        <w:rPr>
          <w:rFonts w:ascii="Times New Roman" w:hAnsi="Times New Roman"/>
          <w:sz w:val="24"/>
          <w:szCs w:val="24"/>
          <w:shd w:val="clear" w:color="auto" w:fill="FFFFFF"/>
        </w:rPr>
        <w:t>Despite the</w:t>
      </w:r>
      <w:r>
        <w:rPr>
          <w:rFonts w:ascii="Times New Roman" w:hAnsi="Times New Roman"/>
          <w:sz w:val="24"/>
          <w:szCs w:val="24"/>
          <w:shd w:val="clear" w:color="auto" w:fill="FFFFFF"/>
        </w:rPr>
        <w:t xml:space="preserve"> </w:t>
      </w:r>
      <w:r w:rsidRPr="00A1737F">
        <w:rPr>
          <w:rFonts w:ascii="Times New Roman" w:hAnsi="Times New Roman"/>
          <w:sz w:val="24"/>
          <w:szCs w:val="24"/>
          <w:shd w:val="clear" w:color="auto" w:fill="FFFFFF"/>
        </w:rPr>
        <w:t>patient’s physically combative behavior in the ambulance, the video supports the</w:t>
      </w:r>
      <w:r>
        <w:rPr>
          <w:rFonts w:ascii="Times New Roman" w:hAnsi="Times New Roman"/>
          <w:sz w:val="24"/>
          <w:szCs w:val="24"/>
          <w:shd w:val="clear" w:color="auto" w:fill="FFFFFF"/>
        </w:rPr>
        <w:t xml:space="preserve"> </w:t>
      </w:r>
      <w:r w:rsidRPr="00A1737F">
        <w:rPr>
          <w:rFonts w:ascii="Times New Roman" w:hAnsi="Times New Roman"/>
          <w:sz w:val="24"/>
          <w:szCs w:val="24"/>
          <w:shd w:val="clear" w:color="auto" w:fill="FFFFFF"/>
        </w:rPr>
        <w:t>arbitrator’s statement that the patient was, nonetheless, not in a position to inflict harm on</w:t>
      </w:r>
      <w:r>
        <w:rPr>
          <w:rFonts w:ascii="Times New Roman" w:hAnsi="Times New Roman"/>
          <w:sz w:val="24"/>
          <w:szCs w:val="24"/>
          <w:shd w:val="clear" w:color="auto" w:fill="FFFFFF"/>
        </w:rPr>
        <w:t xml:space="preserve"> </w:t>
      </w:r>
      <w:r w:rsidRPr="00A1737F">
        <w:rPr>
          <w:rFonts w:ascii="Times New Roman" w:hAnsi="Times New Roman"/>
          <w:sz w:val="24"/>
          <w:szCs w:val="24"/>
          <w:shd w:val="clear" w:color="auto" w:fill="FFFFFF"/>
        </w:rPr>
        <w:t>the responders at that point.</w:t>
      </w:r>
    </w:p>
    <w:p w14:paraId="13767E36" w14:textId="77777777" w:rsidR="004705C6" w:rsidRDefault="004705C6" w:rsidP="004705C6">
      <w:pPr>
        <w:pStyle w:val="NoSpacing"/>
        <w:ind w:left="720"/>
        <w:rPr>
          <w:rFonts w:ascii="Times New Roman" w:hAnsi="Times New Roman"/>
          <w:sz w:val="24"/>
          <w:szCs w:val="24"/>
          <w:shd w:val="clear" w:color="auto" w:fill="FFFFFF"/>
        </w:rPr>
      </w:pPr>
    </w:p>
    <w:p w14:paraId="43D487F4" w14:textId="77777777" w:rsidR="004705C6" w:rsidRDefault="004705C6" w:rsidP="004705C6">
      <w:pPr>
        <w:pStyle w:val="NoSpacing"/>
        <w:ind w:left="720"/>
        <w:rPr>
          <w:rFonts w:ascii="Times New Roman" w:hAnsi="Times New Roman"/>
          <w:sz w:val="24"/>
          <w:szCs w:val="24"/>
          <w:shd w:val="clear" w:color="auto" w:fill="FFFFFF"/>
        </w:rPr>
      </w:pPr>
      <w:r>
        <w:rPr>
          <w:rFonts w:ascii="Times New Roman" w:hAnsi="Times New Roman"/>
          <w:sz w:val="24"/>
          <w:szCs w:val="24"/>
          <w:shd w:val="clear" w:color="auto" w:fill="FFFFFF"/>
        </w:rPr>
        <w:t>***</w:t>
      </w:r>
    </w:p>
    <w:p w14:paraId="4B70672B" w14:textId="77777777" w:rsidR="004705C6" w:rsidRDefault="004705C6" w:rsidP="004705C6">
      <w:pPr>
        <w:pStyle w:val="NoSpacing"/>
        <w:ind w:left="720"/>
        <w:rPr>
          <w:rFonts w:ascii="Times New Roman" w:hAnsi="Times New Roman"/>
          <w:sz w:val="24"/>
          <w:szCs w:val="24"/>
          <w:shd w:val="clear" w:color="auto" w:fill="FFFFFF"/>
        </w:rPr>
      </w:pPr>
      <w:r w:rsidRPr="00325B49">
        <w:rPr>
          <w:rFonts w:ascii="Times New Roman" w:hAnsi="Times New Roman"/>
          <w:sz w:val="24"/>
          <w:szCs w:val="24"/>
          <w:shd w:val="clear" w:color="auto" w:fill="FFFFFF"/>
        </w:rPr>
        <w:t xml:space="preserve">The arbitrator reasoned that </w:t>
      </w:r>
      <w:r>
        <w:rPr>
          <w:rFonts w:ascii="Times New Roman" w:hAnsi="Times New Roman"/>
          <w:sz w:val="24"/>
          <w:szCs w:val="24"/>
          <w:shd w:val="clear" w:color="auto" w:fill="FFFFFF"/>
        </w:rPr>
        <w:t>‘</w:t>
      </w:r>
      <w:r w:rsidRPr="00325B49">
        <w:rPr>
          <w:rFonts w:ascii="Times New Roman" w:hAnsi="Times New Roman"/>
          <w:sz w:val="24"/>
          <w:szCs w:val="24"/>
          <w:shd w:val="clear" w:color="auto" w:fill="FFFFFF"/>
        </w:rPr>
        <w:t>the rest of the crew,</w:t>
      </w:r>
      <w:r>
        <w:rPr>
          <w:rFonts w:ascii="Times New Roman" w:hAnsi="Times New Roman"/>
          <w:sz w:val="24"/>
          <w:szCs w:val="24"/>
          <w:shd w:val="clear" w:color="auto" w:fill="FFFFFF"/>
        </w:rPr>
        <w:t xml:space="preserve"> </w:t>
      </w:r>
      <w:r w:rsidRPr="00325B49">
        <w:rPr>
          <w:rFonts w:ascii="Times New Roman" w:hAnsi="Times New Roman"/>
          <w:sz w:val="24"/>
          <w:szCs w:val="24"/>
          <w:shd w:val="clear" w:color="auto" w:fill="FFFFFF"/>
        </w:rPr>
        <w:t>having received the same level of training, knew not to interact with the patient as Zepeda</w:t>
      </w:r>
      <w:r>
        <w:rPr>
          <w:rFonts w:ascii="Times New Roman" w:hAnsi="Times New Roman"/>
          <w:sz w:val="24"/>
          <w:szCs w:val="24"/>
          <w:shd w:val="clear" w:color="auto" w:fill="FFFFFF"/>
        </w:rPr>
        <w:t xml:space="preserve"> </w:t>
      </w:r>
      <w:r w:rsidRPr="00325B49">
        <w:rPr>
          <w:rFonts w:ascii="Times New Roman" w:hAnsi="Times New Roman"/>
          <w:sz w:val="24"/>
          <w:szCs w:val="24"/>
          <w:shd w:val="clear" w:color="auto" w:fill="FFFFFF"/>
        </w:rPr>
        <w:t>did,</w:t>
      </w:r>
      <w:r>
        <w:rPr>
          <w:rFonts w:ascii="Times New Roman" w:hAnsi="Times New Roman"/>
          <w:sz w:val="24"/>
          <w:szCs w:val="24"/>
          <w:shd w:val="clear" w:color="auto" w:fill="FFFFFF"/>
        </w:rPr>
        <w:t>’</w:t>
      </w:r>
      <w:r w:rsidRPr="00325B49">
        <w:rPr>
          <w:rFonts w:ascii="Times New Roman" w:hAnsi="Times New Roman"/>
          <w:sz w:val="24"/>
          <w:szCs w:val="24"/>
          <w:shd w:val="clear" w:color="auto" w:fill="FFFFFF"/>
        </w:rPr>
        <w:t xml:space="preserve"> that Zepeda’s behavior on the video </w:t>
      </w:r>
      <w:r>
        <w:rPr>
          <w:rFonts w:ascii="Times New Roman" w:hAnsi="Times New Roman"/>
          <w:sz w:val="24"/>
          <w:szCs w:val="24"/>
          <w:shd w:val="clear" w:color="auto" w:fill="FFFFFF"/>
        </w:rPr>
        <w:t>‘</w:t>
      </w:r>
      <w:r w:rsidRPr="00325B49">
        <w:rPr>
          <w:rFonts w:ascii="Times New Roman" w:hAnsi="Times New Roman"/>
          <w:sz w:val="24"/>
          <w:szCs w:val="24"/>
          <w:shd w:val="clear" w:color="auto" w:fill="FFFFFF"/>
        </w:rPr>
        <w:t>reflects someone who did not control their anger</w:t>
      </w:r>
      <w:r>
        <w:rPr>
          <w:rFonts w:ascii="Times New Roman" w:hAnsi="Times New Roman"/>
          <w:sz w:val="24"/>
          <w:szCs w:val="24"/>
          <w:shd w:val="clear" w:color="auto" w:fill="FFFFFF"/>
        </w:rPr>
        <w:t xml:space="preserve"> </w:t>
      </w:r>
      <w:r w:rsidRPr="00325B49">
        <w:rPr>
          <w:rFonts w:ascii="Times New Roman" w:hAnsi="Times New Roman"/>
          <w:sz w:val="24"/>
          <w:szCs w:val="24"/>
          <w:shd w:val="clear" w:color="auto" w:fill="FFFFFF"/>
        </w:rPr>
        <w:t>rather than someone who did not know better,</w:t>
      </w:r>
      <w:r>
        <w:rPr>
          <w:rFonts w:ascii="Times New Roman" w:hAnsi="Times New Roman"/>
          <w:sz w:val="24"/>
          <w:szCs w:val="24"/>
          <w:shd w:val="clear" w:color="auto" w:fill="FFFFFF"/>
        </w:rPr>
        <w:t>’</w:t>
      </w:r>
      <w:r w:rsidRPr="00325B49">
        <w:rPr>
          <w:rFonts w:ascii="Times New Roman" w:hAnsi="Times New Roman"/>
          <w:sz w:val="24"/>
          <w:szCs w:val="24"/>
          <w:shd w:val="clear" w:color="auto" w:fill="FFFFFF"/>
        </w:rPr>
        <w:t xml:space="preserve"> and that </w:t>
      </w:r>
      <w:r>
        <w:rPr>
          <w:rFonts w:ascii="Times New Roman" w:hAnsi="Times New Roman"/>
          <w:sz w:val="24"/>
          <w:szCs w:val="24"/>
          <w:shd w:val="clear" w:color="auto" w:fill="FFFFFF"/>
        </w:rPr>
        <w:t>‘</w:t>
      </w:r>
      <w:r w:rsidRPr="00325B49">
        <w:rPr>
          <w:rFonts w:ascii="Times New Roman" w:hAnsi="Times New Roman"/>
          <w:sz w:val="24"/>
          <w:szCs w:val="24"/>
          <w:shd w:val="clear" w:color="auto" w:fill="FFFFFF"/>
        </w:rPr>
        <w:t>supporting documentation</w:t>
      </w:r>
      <w:r>
        <w:rPr>
          <w:rFonts w:ascii="Times New Roman" w:hAnsi="Times New Roman"/>
          <w:sz w:val="24"/>
          <w:szCs w:val="24"/>
          <w:shd w:val="clear" w:color="auto" w:fill="FFFFFF"/>
        </w:rPr>
        <w:t>’</w:t>
      </w:r>
      <w:r w:rsidRPr="00325B49">
        <w:rPr>
          <w:rFonts w:ascii="Times New Roman" w:hAnsi="Times New Roman"/>
          <w:sz w:val="24"/>
          <w:szCs w:val="24"/>
          <w:shd w:val="clear" w:color="auto" w:fill="FFFFFF"/>
        </w:rPr>
        <w:t xml:space="preserve"> is not</w:t>
      </w:r>
      <w:r>
        <w:rPr>
          <w:rFonts w:ascii="Times New Roman" w:hAnsi="Times New Roman"/>
          <w:sz w:val="24"/>
          <w:szCs w:val="24"/>
          <w:shd w:val="clear" w:color="auto" w:fill="FFFFFF"/>
        </w:rPr>
        <w:t xml:space="preserve">  </w:t>
      </w:r>
      <w:r w:rsidRPr="00A461D9">
        <w:rPr>
          <w:rFonts w:ascii="Times New Roman" w:hAnsi="Times New Roman"/>
          <w:sz w:val="24"/>
          <w:szCs w:val="24"/>
          <w:shd w:val="clear" w:color="auto" w:fill="FFFFFF"/>
        </w:rPr>
        <w:t xml:space="preserve">necessary to establish that behaviors such as </w:t>
      </w:r>
      <w:r>
        <w:rPr>
          <w:rFonts w:ascii="Times New Roman" w:hAnsi="Times New Roman"/>
          <w:sz w:val="24"/>
          <w:szCs w:val="24"/>
          <w:shd w:val="clear" w:color="auto" w:fill="FFFFFF"/>
        </w:rPr>
        <w:t>‘</w:t>
      </w:r>
      <w:r w:rsidRPr="00A461D9">
        <w:rPr>
          <w:rFonts w:ascii="Times New Roman" w:hAnsi="Times New Roman"/>
          <w:sz w:val="24"/>
          <w:szCs w:val="24"/>
          <w:shd w:val="clear" w:color="auto" w:fill="FFFFFF"/>
        </w:rPr>
        <w:t>yelling, taunting, belittling and physically</w:t>
      </w:r>
      <w:r>
        <w:rPr>
          <w:rFonts w:ascii="Times New Roman" w:hAnsi="Times New Roman"/>
          <w:sz w:val="24"/>
          <w:szCs w:val="24"/>
          <w:shd w:val="clear" w:color="auto" w:fill="FFFFFF"/>
        </w:rPr>
        <w:t xml:space="preserve"> </w:t>
      </w:r>
      <w:r w:rsidRPr="00A461D9">
        <w:rPr>
          <w:rFonts w:ascii="Times New Roman" w:hAnsi="Times New Roman"/>
          <w:sz w:val="24"/>
          <w:szCs w:val="24"/>
          <w:shd w:val="clear" w:color="auto" w:fill="FFFFFF"/>
        </w:rPr>
        <w:t>abusing a patient</w:t>
      </w:r>
      <w:r>
        <w:rPr>
          <w:rFonts w:ascii="Times New Roman" w:hAnsi="Times New Roman"/>
          <w:sz w:val="24"/>
          <w:szCs w:val="24"/>
          <w:shd w:val="clear" w:color="auto" w:fill="FFFFFF"/>
        </w:rPr>
        <w:t>’</w:t>
      </w:r>
      <w:r w:rsidRPr="00A461D9">
        <w:rPr>
          <w:rFonts w:ascii="Times New Roman" w:hAnsi="Times New Roman"/>
          <w:sz w:val="24"/>
          <w:szCs w:val="24"/>
          <w:shd w:val="clear" w:color="auto" w:fill="FFFFFF"/>
        </w:rPr>
        <w:t xml:space="preserve"> are prohibited and could be considered misconduct.</w:t>
      </w:r>
      <w:r>
        <w:rPr>
          <w:rFonts w:ascii="Times New Roman" w:hAnsi="Times New Roman"/>
          <w:sz w:val="24"/>
          <w:szCs w:val="24"/>
          <w:shd w:val="clear" w:color="auto" w:fill="FFFFFF"/>
        </w:rPr>
        <w:t xml:space="preserve">” </w:t>
      </w:r>
      <w:hyperlink r:id="rId2157" w:history="1">
        <w:r w:rsidRPr="0090149E">
          <w:rPr>
            <w:rStyle w:val="Hyperlink"/>
            <w:rFonts w:ascii="Times New Roman" w:hAnsi="Times New Roman"/>
            <w:sz w:val="24"/>
            <w:szCs w:val="24"/>
            <w:shd w:val="clear" w:color="auto" w:fill="FFFFFF"/>
          </w:rPr>
          <w:t>https://cases.justia.com/minnesota/court-of-appeals/2024-a23-1210.pdf?ts=1710536669</w:t>
        </w:r>
      </w:hyperlink>
      <w:r>
        <w:rPr>
          <w:rFonts w:ascii="Times New Roman" w:hAnsi="Times New Roman"/>
          <w:sz w:val="24"/>
          <w:szCs w:val="24"/>
          <w:shd w:val="clear" w:color="auto" w:fill="FFFFFF"/>
        </w:rPr>
        <w:t xml:space="preserve"> </w:t>
      </w:r>
    </w:p>
    <w:p w14:paraId="3232BA0F" w14:textId="77777777" w:rsidR="004705C6" w:rsidRDefault="004705C6" w:rsidP="004705C6">
      <w:pPr>
        <w:pStyle w:val="NoSpacing"/>
        <w:rPr>
          <w:rFonts w:ascii="Times New Roman" w:hAnsi="Times New Roman"/>
          <w:sz w:val="24"/>
          <w:szCs w:val="24"/>
          <w:shd w:val="clear" w:color="auto" w:fill="FFFFFF"/>
        </w:rPr>
      </w:pPr>
    </w:p>
    <w:p w14:paraId="219899B5" w14:textId="77777777" w:rsidR="004705C6" w:rsidRDefault="004705C6" w:rsidP="004705C6">
      <w:pPr>
        <w:pStyle w:val="NoSpacing"/>
        <w:ind w:left="720"/>
        <w:rPr>
          <w:rFonts w:ascii="Times New Roman" w:hAnsi="Times New Roman"/>
          <w:sz w:val="24"/>
          <w:szCs w:val="24"/>
          <w:shd w:val="clear" w:color="auto" w:fill="FFFFFF"/>
        </w:rPr>
      </w:pPr>
    </w:p>
    <w:p w14:paraId="764D68C0" w14:textId="77777777" w:rsidR="004705C6" w:rsidRPr="00F03F0B" w:rsidRDefault="004705C6" w:rsidP="004705C6">
      <w:pPr>
        <w:pStyle w:val="NoSpacing"/>
        <w:rPr>
          <w:rFonts w:ascii="Times New Roman" w:hAnsi="Times New Roman"/>
          <w:b/>
          <w:bCs/>
          <w:sz w:val="24"/>
          <w:szCs w:val="24"/>
          <w:shd w:val="clear" w:color="auto" w:fill="FFFFFF"/>
        </w:rPr>
      </w:pPr>
      <w:r w:rsidRPr="00F03F0B">
        <w:rPr>
          <w:rFonts w:ascii="Times New Roman" w:hAnsi="Times New Roman"/>
          <w:b/>
          <w:bCs/>
          <w:sz w:val="24"/>
          <w:szCs w:val="24"/>
          <w:shd w:val="clear" w:color="auto" w:fill="FFFFFF"/>
        </w:rPr>
        <w:t>Legal Lesson Learned:</w:t>
      </w:r>
      <w:r>
        <w:rPr>
          <w:rFonts w:ascii="Times New Roman" w:hAnsi="Times New Roman"/>
          <w:b/>
          <w:bCs/>
          <w:sz w:val="24"/>
          <w:szCs w:val="24"/>
          <w:shd w:val="clear" w:color="auto" w:fill="FFFFFF"/>
        </w:rPr>
        <w:t xml:space="preserve">  Follow your protocol in restraining combative patients. </w:t>
      </w:r>
    </w:p>
    <w:p w14:paraId="12B89034" w14:textId="77777777" w:rsidR="004705C6" w:rsidRDefault="004705C6" w:rsidP="004705C6">
      <w:pPr>
        <w:spacing w:before="100" w:beforeAutospacing="1" w:after="100" w:afterAutospacing="1" w:line="240" w:lineRule="auto"/>
        <w:rPr>
          <w:rFonts w:ascii="Times New Roman" w:eastAsia="Times New Roman" w:hAnsi="Times New Roman"/>
          <w:sz w:val="24"/>
          <w:szCs w:val="24"/>
        </w:rPr>
      </w:pPr>
    </w:p>
    <w:p w14:paraId="62D86E0A" w14:textId="1AA7C881" w:rsidR="004705C6" w:rsidRPr="004705C6" w:rsidRDefault="004705C6" w:rsidP="004705C6">
      <w:pPr>
        <w:pStyle w:val="NoSpacing"/>
        <w:rPr>
          <w:rFonts w:ascii="Arial Black" w:hAnsi="Arial Black"/>
          <w:sz w:val="24"/>
          <w:szCs w:val="24"/>
          <w:shd w:val="clear" w:color="auto" w:fill="FFFFFF"/>
        </w:rPr>
      </w:pPr>
      <w:r w:rsidRPr="004705C6">
        <w:rPr>
          <w:rFonts w:ascii="Arial Black" w:hAnsi="Arial Black"/>
          <w:sz w:val="24"/>
          <w:szCs w:val="24"/>
          <w:shd w:val="clear" w:color="auto" w:fill="FFFFFF"/>
        </w:rPr>
        <w:t>13-171</w:t>
      </w:r>
    </w:p>
    <w:p w14:paraId="3BD50554" w14:textId="77777777" w:rsidR="004705C6" w:rsidRDefault="004705C6" w:rsidP="004705C6">
      <w:pPr>
        <w:pStyle w:val="NoSpacing"/>
        <w:rPr>
          <w:rFonts w:ascii="Arial Black" w:hAnsi="Arial Black"/>
          <w:sz w:val="28"/>
          <w:szCs w:val="28"/>
          <w:shd w:val="clear" w:color="auto" w:fill="FFFFFF"/>
        </w:rPr>
      </w:pPr>
    </w:p>
    <w:p w14:paraId="24027157" w14:textId="4FC1E871" w:rsidR="004705C6" w:rsidRDefault="004705C6" w:rsidP="004705C6">
      <w:pPr>
        <w:pStyle w:val="NoSpacing"/>
        <w:rPr>
          <w:rFonts w:ascii="Arial Black" w:hAnsi="Arial Black"/>
          <w:sz w:val="28"/>
          <w:szCs w:val="28"/>
          <w:shd w:val="clear" w:color="auto" w:fill="FFFFFF"/>
        </w:rPr>
      </w:pPr>
      <w:r>
        <w:rPr>
          <w:rFonts w:ascii="Arial Black" w:hAnsi="Arial Black"/>
          <w:sz w:val="28"/>
          <w:szCs w:val="28"/>
          <w:shd w:val="clear" w:color="auto" w:fill="FFFFFF"/>
        </w:rPr>
        <w:t xml:space="preserve">MN: PD TRYING TO HANDCUT MAN - MEDIC 350 MIL KETAMINE – NO PROOF </w:t>
      </w:r>
      <w:r w:rsidR="003271B7">
        <w:rPr>
          <w:rFonts w:ascii="Arial Black" w:hAnsi="Arial Black"/>
          <w:sz w:val="28"/>
          <w:szCs w:val="28"/>
          <w:shd w:val="clear" w:color="auto" w:fill="FFFFFF"/>
        </w:rPr>
        <w:t xml:space="preserve">BY </w:t>
      </w:r>
      <w:r>
        <w:rPr>
          <w:rFonts w:ascii="Arial Black" w:hAnsi="Arial Black"/>
          <w:sz w:val="28"/>
          <w:szCs w:val="28"/>
          <w:shd w:val="clear" w:color="auto" w:fill="FFFFFF"/>
        </w:rPr>
        <w:t xml:space="preserve">EXPERT </w:t>
      </w:r>
      <w:r w:rsidR="003271B7">
        <w:rPr>
          <w:rFonts w:ascii="Arial Black" w:hAnsi="Arial Black"/>
          <w:sz w:val="28"/>
          <w:szCs w:val="28"/>
          <w:shd w:val="clear" w:color="auto" w:fill="FFFFFF"/>
        </w:rPr>
        <w:t xml:space="preserve">THAT </w:t>
      </w:r>
      <w:r>
        <w:rPr>
          <w:rFonts w:ascii="Arial Black" w:hAnsi="Arial Black"/>
          <w:sz w:val="28"/>
          <w:szCs w:val="28"/>
          <w:shd w:val="clear" w:color="auto" w:fill="FFFFFF"/>
        </w:rPr>
        <w:t xml:space="preserve">MEDIC CAUSED INJURIES </w:t>
      </w:r>
    </w:p>
    <w:p w14:paraId="0CC2EC2D" w14:textId="77777777" w:rsidR="004705C6" w:rsidRDefault="004705C6" w:rsidP="004705C6">
      <w:pPr>
        <w:pStyle w:val="NormalWeb"/>
      </w:pPr>
      <w:r>
        <w:t xml:space="preserve">On March 11, 2024, in </w:t>
      </w:r>
      <w:r w:rsidRPr="0036667F">
        <w:rPr>
          <w:u w:val="single"/>
        </w:rPr>
        <w:t>Brandon Currie v. Clayton Aswegan, Elk Rive Police Officer, Brandin Martin, Elk River Police Officer, and Ronnie Lawrence, Paramedic</w:t>
      </w:r>
      <w:r>
        <w:t xml:space="preserve">, United States District Court Judge Eric C. </w:t>
      </w:r>
      <w:proofErr w:type="spellStart"/>
      <w:r>
        <w:t>Tostrud</w:t>
      </w:r>
      <w:proofErr w:type="spellEnd"/>
      <w:r>
        <w:t>, U.S. District Court for District of Minnesota, granted the motion to dismiss all defendants.  Plaintiff’s expert, Dr. A. Keith Wesley, M.D.,</w:t>
      </w:r>
      <w:r w:rsidRPr="001E71E3">
        <w:t xml:space="preserve"> </w:t>
      </w:r>
      <w:r>
        <w:t>Medical Director of United Emergency Medical Response in Wisconsin Rapids, in his affidavit fails to describe how the Paramedic and police “share responsibility” for patient’s alleged injuries.</w:t>
      </w:r>
    </w:p>
    <w:p w14:paraId="632782F9" w14:textId="77777777" w:rsidR="00D83012" w:rsidRPr="004C0299" w:rsidRDefault="00D83012" w:rsidP="00D83012">
      <w:pPr>
        <w:pStyle w:val="NoSpacing"/>
        <w:rPr>
          <w:rFonts w:ascii="Times New Roman" w:hAnsi="Times New Roman"/>
          <w:sz w:val="24"/>
          <w:szCs w:val="24"/>
        </w:rPr>
      </w:pPr>
      <w:r>
        <w:rPr>
          <w:rFonts w:ascii="Times New Roman" w:hAnsi="Times New Roman"/>
          <w:sz w:val="24"/>
          <w:szCs w:val="24"/>
          <w:shd w:val="clear" w:color="auto" w:fill="FFFFFF"/>
        </w:rPr>
        <w:t>THE COURT HELD:</w:t>
      </w:r>
    </w:p>
    <w:p w14:paraId="2CEB3E75" w14:textId="77777777" w:rsidR="004705C6" w:rsidRDefault="004705C6" w:rsidP="004705C6">
      <w:pPr>
        <w:pStyle w:val="NormalWeb"/>
        <w:ind w:left="720"/>
      </w:pPr>
      <w:r>
        <w:t xml:space="preserve">“After Mr. Currie repeatedly denied being on substances, officers requested an ambulance.  When the ambulance arrived, Mr. Currie got up from the ground. Several times, the officers directed Mr. Currie to ‘get down,’  ‘stay down,’ and ‘sit on the curb,’ and the officers threatened that if Mr. Currie did not sit down, they would ‘make [him] sit down.’ Instead of complying with the officers' commands, Mr. Currie fled. The officers chased and tackled Mr. Currie. After being tackled, Mr. Currie kicked, flailed, and resisted arrest. The officers attempted to handcuff Mr. Currie but struggled to get control of his second hand. </w:t>
      </w:r>
    </w:p>
    <w:p w14:paraId="57C7EC9D" w14:textId="77777777" w:rsidR="004705C6" w:rsidRDefault="004705C6" w:rsidP="004705C6">
      <w:pPr>
        <w:pStyle w:val="NormalWeb"/>
        <w:ind w:left="720"/>
      </w:pPr>
      <w:r>
        <w:t xml:space="preserve">Paramedic Lawrence, who by that time had arrived in the ambulance, administered 350 milligrams of ketamine intramuscularly to Mr. Currie to sedate him. Mr. Lawrence decided to administer ketamine based on his independent medical judgment; he was not influenced by the officers to do so. The officers </w:t>
      </w:r>
      <w:r>
        <w:lastRenderedPageBreak/>
        <w:t>first learned that Mr. Lawrence had administered ketamine to Mr. Currie only after Mr. Currie was handcuffed. Mr. Currie was arrested; he was later charged with and pleaded guilty to obstruction of legal process, a gross misdemeanor.</w:t>
      </w:r>
    </w:p>
    <w:p w14:paraId="2BCD2245" w14:textId="77777777" w:rsidR="004705C6" w:rsidRDefault="004705C6" w:rsidP="004705C6">
      <w:pPr>
        <w:pStyle w:val="NormalWeb"/>
        <w:ind w:left="720"/>
      </w:pPr>
      <w:r>
        <w:t>***</w:t>
      </w:r>
    </w:p>
    <w:p w14:paraId="77A885BB" w14:textId="77777777" w:rsidR="004705C6" w:rsidRDefault="004705C6" w:rsidP="004705C6">
      <w:pPr>
        <w:pStyle w:val="NormalWeb"/>
        <w:ind w:left="720"/>
      </w:pPr>
      <w:r>
        <w:t xml:space="preserve">[Plaintiff’s expert, Dr. Wesley] attributed ‘likely’ causation to persons other than Mr. Lawrence, but the lack of any apportionment opinion means the affidavit fails to describe what negligence on Mr. Lawrence's part caused Mr. Currie's injuries. To put it another way, Dr. Wesley does not ‘set out how’ he will use this case's facts ‘to arrive at’ a causation opinion as to Mr. Lawrence. </w:t>
      </w:r>
      <w:r>
        <w:rPr>
          <w:rStyle w:val="Emphasis"/>
          <w:rFonts w:eastAsiaTheme="majorEastAsia"/>
        </w:rPr>
        <w:t>Sorenson,</w:t>
      </w:r>
      <w:r>
        <w:t xml:space="preserve"> 457 N.W.2d at 192-93. </w:t>
      </w:r>
    </w:p>
    <w:p w14:paraId="171F60E1" w14:textId="746C9AC9" w:rsidR="004705C6" w:rsidRDefault="004705C6" w:rsidP="004705C6">
      <w:pPr>
        <w:pStyle w:val="NormalWeb"/>
        <w:ind w:left="720" w:firstLine="60"/>
      </w:pPr>
      <w:r>
        <w:t xml:space="preserve">Dr. Wesley's affidavit fails to comply with Minn. Stat. § 145.682, </w:t>
      </w:r>
      <w:proofErr w:type="spellStart"/>
      <w:r>
        <w:t>subdiv</w:t>
      </w:r>
      <w:proofErr w:type="spellEnd"/>
      <w:r>
        <w:t xml:space="preserve">. 4(a), as the Minnesota Supreme Court has construed the statute. For that reason, and because Dr. Wesley's testimony is essential to Mr. Currie's medical malpractice claim (Dr. Wesley is Mr. Currie's only expert), the claim must be dismissed pursuant to § 145.682, </w:t>
      </w:r>
      <w:proofErr w:type="spellStart"/>
      <w:r>
        <w:t>subdiv</w:t>
      </w:r>
      <w:proofErr w:type="spellEnd"/>
      <w:r>
        <w:t xml:space="preserve">. 6(c).” </w:t>
      </w:r>
      <w:hyperlink r:id="rId2158" w:history="1">
        <w:r w:rsidR="0091463E" w:rsidRPr="0026472A">
          <w:rPr>
            <w:rStyle w:val="Hyperlink"/>
          </w:rPr>
          <w:t>https://cases.justia.com/federal/district-courts/minnesota/mndce/0:2022cv00839/199889/89/0.pdf?ts=1714059506</w:t>
        </w:r>
      </w:hyperlink>
      <w:r w:rsidR="0091463E">
        <w:t xml:space="preserve"> </w:t>
      </w:r>
    </w:p>
    <w:p w14:paraId="30F0B070" w14:textId="77777777" w:rsidR="004705C6" w:rsidRPr="003C32ED" w:rsidRDefault="004705C6" w:rsidP="004705C6">
      <w:pPr>
        <w:pStyle w:val="NormalWeb"/>
        <w:rPr>
          <w:b/>
          <w:bCs/>
        </w:rPr>
      </w:pPr>
      <w:r w:rsidRPr="003C32ED">
        <w:rPr>
          <w:b/>
          <w:bCs/>
        </w:rPr>
        <w:t>Legal Lesson Learned:</w:t>
      </w:r>
      <w:r>
        <w:rPr>
          <w:b/>
          <w:bCs/>
        </w:rPr>
        <w:t xml:space="preserve"> Follow your protocols, including carefully evaluating the person before administering ketamine. </w:t>
      </w:r>
    </w:p>
    <w:p w14:paraId="1CAD7814" w14:textId="77777777" w:rsidR="004705C6" w:rsidRPr="00FE7997" w:rsidRDefault="004705C6" w:rsidP="004705C6">
      <w:pPr>
        <w:pStyle w:val="NormalWeb"/>
        <w:rPr>
          <w:rStyle w:val="Emphasis"/>
          <w:rFonts w:eastAsiaTheme="majorEastAsia"/>
          <w:i w:val="0"/>
          <w:iCs w:val="0"/>
        </w:rPr>
      </w:pPr>
    </w:p>
    <w:p w14:paraId="45E4645E" w14:textId="77777777" w:rsidR="004705C6" w:rsidRDefault="004705C6" w:rsidP="004705C6">
      <w:pPr>
        <w:pStyle w:val="NormalWeb"/>
        <w:spacing w:before="0" w:beforeAutospacing="0"/>
        <w:rPr>
          <w:rFonts w:ascii="Arial Black" w:hAnsi="Arial Black"/>
          <w:sz w:val="28"/>
          <w:szCs w:val="28"/>
        </w:rPr>
      </w:pPr>
    </w:p>
    <w:p w14:paraId="65EB4077" w14:textId="1E7EA010" w:rsidR="004705C6" w:rsidRDefault="004705C6" w:rsidP="004705C6">
      <w:pPr>
        <w:rPr>
          <w:rFonts w:ascii="Times New Roman" w:eastAsia="Times New Roman" w:hAnsi="Times New Roman"/>
          <w:sz w:val="24"/>
          <w:szCs w:val="24"/>
        </w:rPr>
      </w:pPr>
      <w:r>
        <w:rPr>
          <w:rFonts w:ascii="Arial Black" w:hAnsi="Arial Black"/>
          <w:b/>
          <w:bCs/>
          <w:sz w:val="28"/>
          <w:szCs w:val="28"/>
        </w:rPr>
        <w:t>13-170</w:t>
      </w:r>
    </w:p>
    <w:p w14:paraId="789446A7" w14:textId="77777777" w:rsidR="004705C6" w:rsidRPr="00423774" w:rsidRDefault="004705C6" w:rsidP="004705C6">
      <w:pPr>
        <w:spacing w:before="100" w:beforeAutospacing="1" w:after="100" w:afterAutospacing="1" w:line="240" w:lineRule="auto"/>
        <w:rPr>
          <w:rFonts w:ascii="Arial Black" w:eastAsia="Times New Roman" w:hAnsi="Arial Black"/>
          <w:sz w:val="28"/>
          <w:szCs w:val="28"/>
        </w:rPr>
      </w:pPr>
      <w:r>
        <w:rPr>
          <w:rFonts w:ascii="Arial Black" w:eastAsia="Times New Roman" w:hAnsi="Arial Black"/>
          <w:sz w:val="28"/>
          <w:szCs w:val="28"/>
        </w:rPr>
        <w:t xml:space="preserve">KY: EMS NO QUAL. IMMUNITY - DEFIBRILLATOR NOT CHECKED / “ACTIVE 911” APP – HUNG JURY / RETRIAL </w:t>
      </w:r>
    </w:p>
    <w:p w14:paraId="6B677E02" w14:textId="0D957EC3" w:rsidR="004705C6" w:rsidRDefault="004705C6" w:rsidP="004705C6">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On March 8, 2024, in </w:t>
      </w:r>
      <w:r w:rsidRPr="002778D0">
        <w:rPr>
          <w:rFonts w:ascii="Times New Roman" w:eastAsia="Times New Roman" w:hAnsi="Times New Roman"/>
          <w:sz w:val="24"/>
          <w:szCs w:val="24"/>
          <w:u w:val="single"/>
        </w:rPr>
        <w:t>Kristian Brock and Christopher Stone v. Colton T. Hinkel, individually and as administrator of the estate of Charles L, Hinkel, III</w:t>
      </w:r>
      <w:r>
        <w:rPr>
          <w:rFonts w:ascii="Times New Roman" w:eastAsia="Times New Roman" w:hAnsi="Times New Roman"/>
          <w:sz w:val="24"/>
          <w:szCs w:val="24"/>
        </w:rPr>
        <w:t xml:space="preserve">, the Court of Appeals of Kentucky held (3 to 0; unpublished opinion) that the trial court properly denied qualified immunity for the EMS; the case must therefore be re-tried to Jury after the first civil jury failed to reach a decision. </w:t>
      </w:r>
    </w:p>
    <w:p w14:paraId="12EE44B2" w14:textId="77777777" w:rsidR="00D83012" w:rsidRPr="004C0299" w:rsidRDefault="00D83012" w:rsidP="00D83012">
      <w:pPr>
        <w:pStyle w:val="NoSpacing"/>
        <w:rPr>
          <w:rFonts w:ascii="Times New Roman" w:hAnsi="Times New Roman"/>
          <w:sz w:val="24"/>
          <w:szCs w:val="24"/>
        </w:rPr>
      </w:pPr>
      <w:r>
        <w:rPr>
          <w:rFonts w:ascii="Times New Roman" w:hAnsi="Times New Roman"/>
          <w:sz w:val="24"/>
          <w:szCs w:val="24"/>
          <w:shd w:val="clear" w:color="auto" w:fill="FFFFFF"/>
        </w:rPr>
        <w:t>THE COURT HELD:</w:t>
      </w:r>
    </w:p>
    <w:p w14:paraId="7C5A10FA" w14:textId="77777777" w:rsidR="004705C6" w:rsidRDefault="004705C6" w:rsidP="004705C6">
      <w:pPr>
        <w:spacing w:before="100" w:beforeAutospacing="1" w:after="100" w:afterAutospacing="1" w:line="240" w:lineRule="auto"/>
        <w:ind w:left="720"/>
        <w:rPr>
          <w:rFonts w:ascii="Times New Roman" w:hAnsi="Times New Roman"/>
          <w:sz w:val="24"/>
          <w:szCs w:val="24"/>
        </w:rPr>
      </w:pPr>
      <w:r>
        <w:rPr>
          <w:rFonts w:ascii="Times New Roman" w:eastAsia="Times New Roman" w:hAnsi="Times New Roman"/>
          <w:sz w:val="24"/>
          <w:szCs w:val="24"/>
        </w:rPr>
        <w:t>“</w:t>
      </w:r>
      <w:r w:rsidRPr="002D1156">
        <w:rPr>
          <w:rFonts w:ascii="Times New Roman" w:hAnsi="Times New Roman"/>
          <w:sz w:val="24"/>
          <w:szCs w:val="24"/>
        </w:rPr>
        <w:t>Factual issues remain for the jury to</w:t>
      </w:r>
      <w:r>
        <w:rPr>
          <w:rFonts w:ascii="Times New Roman" w:hAnsi="Times New Roman"/>
          <w:sz w:val="24"/>
          <w:szCs w:val="24"/>
        </w:rPr>
        <w:t xml:space="preserve"> </w:t>
      </w:r>
      <w:r w:rsidRPr="002D1156">
        <w:rPr>
          <w:rFonts w:ascii="Times New Roman" w:hAnsi="Times New Roman"/>
          <w:sz w:val="24"/>
          <w:szCs w:val="24"/>
        </w:rPr>
        <w:t>determine whether they were negligent in not complying with written policy and</w:t>
      </w:r>
      <w:r>
        <w:rPr>
          <w:rFonts w:ascii="Times New Roman" w:hAnsi="Times New Roman"/>
          <w:sz w:val="24"/>
          <w:szCs w:val="24"/>
        </w:rPr>
        <w:t xml:space="preserve"> </w:t>
      </w:r>
      <w:r w:rsidRPr="002D1156">
        <w:rPr>
          <w:rFonts w:ascii="Times New Roman" w:hAnsi="Times New Roman"/>
          <w:sz w:val="24"/>
          <w:szCs w:val="24"/>
        </w:rPr>
        <w:t>procedure by using the app rather than the ambulance GPS and paper maps, or</w:t>
      </w:r>
      <w:r>
        <w:rPr>
          <w:rFonts w:ascii="Times New Roman" w:hAnsi="Times New Roman"/>
          <w:sz w:val="24"/>
          <w:szCs w:val="24"/>
        </w:rPr>
        <w:t xml:space="preserve"> </w:t>
      </w:r>
      <w:r w:rsidRPr="002D1156">
        <w:rPr>
          <w:rFonts w:ascii="Times New Roman" w:hAnsi="Times New Roman"/>
          <w:sz w:val="24"/>
          <w:szCs w:val="24"/>
        </w:rPr>
        <w:t>whether it was acceptable to use the app in light of the testimony from their</w:t>
      </w:r>
      <w:r>
        <w:rPr>
          <w:rFonts w:ascii="Times New Roman" w:hAnsi="Times New Roman"/>
          <w:sz w:val="24"/>
          <w:szCs w:val="24"/>
        </w:rPr>
        <w:t xml:space="preserve"> </w:t>
      </w:r>
      <w:r w:rsidRPr="002D1156">
        <w:rPr>
          <w:rFonts w:ascii="Times New Roman" w:hAnsi="Times New Roman"/>
          <w:sz w:val="24"/>
          <w:szCs w:val="24"/>
        </w:rPr>
        <w:t>supervisor, or whether they were negligent in not consulting the paper maps in</w:t>
      </w:r>
      <w:r>
        <w:rPr>
          <w:rFonts w:ascii="Times New Roman" w:hAnsi="Times New Roman"/>
          <w:sz w:val="24"/>
          <w:szCs w:val="24"/>
        </w:rPr>
        <w:t xml:space="preserve"> </w:t>
      </w:r>
      <w:r w:rsidRPr="002D1156">
        <w:rPr>
          <w:rFonts w:ascii="Times New Roman" w:hAnsi="Times New Roman"/>
          <w:sz w:val="24"/>
          <w:szCs w:val="24"/>
        </w:rPr>
        <w:t>conjunction with the app.</w:t>
      </w:r>
    </w:p>
    <w:p w14:paraId="264A4992" w14:textId="77777777" w:rsidR="004705C6" w:rsidRPr="004D7DFD" w:rsidRDefault="004705C6" w:rsidP="004705C6">
      <w:pPr>
        <w:pStyle w:val="NoSpacing"/>
        <w:ind w:left="720"/>
        <w:rPr>
          <w:rFonts w:ascii="Times New Roman" w:hAnsi="Times New Roman"/>
          <w:sz w:val="24"/>
          <w:szCs w:val="24"/>
        </w:rPr>
      </w:pPr>
      <w:r w:rsidRPr="004D7DFD">
        <w:rPr>
          <w:rFonts w:ascii="Times New Roman" w:hAnsi="Times New Roman"/>
          <w:sz w:val="24"/>
          <w:szCs w:val="24"/>
        </w:rPr>
        <w:t>Brock and Stone do not challenge the trial court’s holding that their</w:t>
      </w:r>
      <w:r>
        <w:rPr>
          <w:rFonts w:ascii="Times New Roman" w:hAnsi="Times New Roman"/>
          <w:sz w:val="24"/>
          <w:szCs w:val="24"/>
        </w:rPr>
        <w:t xml:space="preserve"> </w:t>
      </w:r>
      <w:r w:rsidRPr="004D7DFD">
        <w:rPr>
          <w:rFonts w:ascii="Times New Roman" w:hAnsi="Times New Roman"/>
          <w:sz w:val="24"/>
          <w:szCs w:val="24"/>
        </w:rPr>
        <w:t>duty to check the defibrillator was ministerial and consequently this ruling will not</w:t>
      </w:r>
      <w:r>
        <w:rPr>
          <w:rFonts w:ascii="Times New Roman" w:hAnsi="Times New Roman"/>
          <w:sz w:val="24"/>
          <w:szCs w:val="24"/>
        </w:rPr>
        <w:t xml:space="preserve"> </w:t>
      </w:r>
      <w:r w:rsidRPr="004D7DFD">
        <w:rPr>
          <w:rFonts w:ascii="Times New Roman" w:hAnsi="Times New Roman"/>
          <w:sz w:val="24"/>
          <w:szCs w:val="24"/>
        </w:rPr>
        <w:t>be reviewed here.</w:t>
      </w:r>
    </w:p>
    <w:p w14:paraId="0AF53E88" w14:textId="77777777" w:rsidR="004705C6" w:rsidRDefault="004705C6" w:rsidP="004705C6">
      <w:pPr>
        <w:pStyle w:val="NoSpacing"/>
        <w:rPr>
          <w:rFonts w:ascii="Times New Roman" w:hAnsi="Times New Roman"/>
          <w:sz w:val="24"/>
          <w:szCs w:val="24"/>
        </w:rPr>
      </w:pPr>
    </w:p>
    <w:p w14:paraId="7D6CAEBC" w14:textId="77777777" w:rsidR="004705C6" w:rsidRPr="004D7DFD" w:rsidRDefault="004705C6" w:rsidP="004705C6">
      <w:pPr>
        <w:pStyle w:val="NoSpacing"/>
        <w:ind w:firstLine="720"/>
        <w:rPr>
          <w:rFonts w:ascii="Times New Roman" w:hAnsi="Times New Roman"/>
          <w:sz w:val="24"/>
          <w:szCs w:val="24"/>
        </w:rPr>
      </w:pPr>
      <w:r w:rsidRPr="004D7DFD">
        <w:rPr>
          <w:rFonts w:ascii="Times New Roman" w:hAnsi="Times New Roman"/>
          <w:sz w:val="24"/>
          <w:szCs w:val="24"/>
        </w:rPr>
        <w:t>CONCLUSION</w:t>
      </w:r>
    </w:p>
    <w:p w14:paraId="4D785F80" w14:textId="77777777" w:rsidR="004705C6" w:rsidRDefault="004705C6" w:rsidP="004705C6">
      <w:pPr>
        <w:pStyle w:val="NoSpacing"/>
        <w:rPr>
          <w:rFonts w:ascii="Times New Roman" w:hAnsi="Times New Roman"/>
          <w:sz w:val="24"/>
          <w:szCs w:val="24"/>
        </w:rPr>
      </w:pPr>
    </w:p>
    <w:p w14:paraId="1DF49F6C" w14:textId="77777777" w:rsidR="004705C6" w:rsidRPr="002D1156" w:rsidRDefault="004705C6" w:rsidP="004705C6">
      <w:pPr>
        <w:pStyle w:val="NoSpacing"/>
        <w:ind w:left="720"/>
        <w:rPr>
          <w:rFonts w:ascii="Times New Roman" w:hAnsi="Times New Roman"/>
          <w:sz w:val="24"/>
          <w:szCs w:val="24"/>
        </w:rPr>
      </w:pPr>
      <w:r w:rsidRPr="004D7DFD">
        <w:rPr>
          <w:rFonts w:ascii="Times New Roman" w:hAnsi="Times New Roman"/>
          <w:sz w:val="24"/>
          <w:szCs w:val="24"/>
        </w:rPr>
        <w:t>For the foregoing reasons, the trial court’s order is affirmed insofar as</w:t>
      </w:r>
      <w:r>
        <w:rPr>
          <w:rFonts w:ascii="Times New Roman" w:hAnsi="Times New Roman"/>
          <w:sz w:val="24"/>
          <w:szCs w:val="24"/>
        </w:rPr>
        <w:t xml:space="preserve"> </w:t>
      </w:r>
      <w:r w:rsidRPr="004D7DFD">
        <w:rPr>
          <w:rFonts w:ascii="Times New Roman" w:hAnsi="Times New Roman"/>
          <w:sz w:val="24"/>
          <w:szCs w:val="24"/>
        </w:rPr>
        <w:t>Brock and Stone are not entitled to qualified official immunity for the claims that</w:t>
      </w:r>
      <w:r>
        <w:rPr>
          <w:rFonts w:ascii="Times New Roman" w:hAnsi="Times New Roman"/>
          <w:sz w:val="24"/>
          <w:szCs w:val="24"/>
        </w:rPr>
        <w:t xml:space="preserve"> </w:t>
      </w:r>
      <w:r w:rsidRPr="004D7DFD">
        <w:rPr>
          <w:rFonts w:ascii="Times New Roman" w:hAnsi="Times New Roman"/>
          <w:sz w:val="24"/>
          <w:szCs w:val="24"/>
        </w:rPr>
        <w:t>they were negligent in using the Active 911 app to navigate to Hinkel’s residence</w:t>
      </w:r>
      <w:r>
        <w:rPr>
          <w:rFonts w:ascii="Times New Roman" w:hAnsi="Times New Roman"/>
          <w:sz w:val="24"/>
          <w:szCs w:val="24"/>
        </w:rPr>
        <w:t xml:space="preserve"> </w:t>
      </w:r>
      <w:r w:rsidRPr="004D7DFD">
        <w:rPr>
          <w:rFonts w:ascii="Times New Roman" w:hAnsi="Times New Roman"/>
          <w:sz w:val="24"/>
          <w:szCs w:val="24"/>
        </w:rPr>
        <w:t xml:space="preserve">and in allegedly failing to perform the routine check of the </w:t>
      </w:r>
      <w:proofErr w:type="spellStart"/>
      <w:r w:rsidRPr="004D7DFD">
        <w:rPr>
          <w:rFonts w:ascii="Times New Roman" w:hAnsi="Times New Roman"/>
          <w:sz w:val="24"/>
          <w:szCs w:val="24"/>
        </w:rPr>
        <w:t>LifePak</w:t>
      </w:r>
      <w:proofErr w:type="spellEnd"/>
      <w:r w:rsidRPr="004D7DFD">
        <w:rPr>
          <w:rFonts w:ascii="Times New Roman" w:hAnsi="Times New Roman"/>
          <w:sz w:val="24"/>
          <w:szCs w:val="24"/>
        </w:rPr>
        <w:t xml:space="preserve"> </w:t>
      </w:r>
      <w:r w:rsidRPr="004D7DFD">
        <w:rPr>
          <w:rFonts w:ascii="Times New Roman" w:hAnsi="Times New Roman"/>
          <w:sz w:val="24"/>
          <w:szCs w:val="24"/>
        </w:rPr>
        <w:lastRenderedPageBreak/>
        <w:t>defibrillator</w:t>
      </w:r>
      <w:r>
        <w:rPr>
          <w:rFonts w:ascii="Times New Roman" w:hAnsi="Times New Roman"/>
          <w:sz w:val="24"/>
          <w:szCs w:val="24"/>
        </w:rPr>
        <w:t xml:space="preserve">.” </w:t>
      </w:r>
      <w:hyperlink r:id="rId2159" w:history="1">
        <w:r w:rsidRPr="0090149E">
          <w:rPr>
            <w:rStyle w:val="Hyperlink"/>
            <w:rFonts w:ascii="Times New Roman" w:hAnsi="Times New Roman"/>
            <w:sz w:val="24"/>
            <w:szCs w:val="24"/>
          </w:rPr>
          <w:t>https://cases.justia.com/kentucky/court-of-appeals/2024-2022-ca-1330-mr.pdf?ts=1709910288</w:t>
        </w:r>
      </w:hyperlink>
      <w:r>
        <w:rPr>
          <w:rFonts w:ascii="Times New Roman" w:hAnsi="Times New Roman"/>
          <w:sz w:val="24"/>
          <w:szCs w:val="24"/>
        </w:rPr>
        <w:t xml:space="preserve"> </w:t>
      </w:r>
    </w:p>
    <w:p w14:paraId="4C94B79E" w14:textId="77777777" w:rsidR="004705C6" w:rsidRPr="002D1156" w:rsidRDefault="004705C6" w:rsidP="004705C6">
      <w:pPr>
        <w:pStyle w:val="NoSpacing"/>
        <w:rPr>
          <w:rFonts w:ascii="Times New Roman" w:hAnsi="Times New Roman"/>
          <w:sz w:val="24"/>
          <w:szCs w:val="24"/>
        </w:rPr>
      </w:pPr>
    </w:p>
    <w:p w14:paraId="2D291CB7" w14:textId="77777777" w:rsidR="004705C6" w:rsidRDefault="004705C6" w:rsidP="004705C6">
      <w:pPr>
        <w:pStyle w:val="NoSpacing"/>
        <w:ind w:left="720"/>
        <w:rPr>
          <w:rFonts w:ascii="Times New Roman" w:hAnsi="Times New Roman"/>
          <w:sz w:val="24"/>
          <w:szCs w:val="24"/>
        </w:rPr>
      </w:pPr>
    </w:p>
    <w:p w14:paraId="1D3F521A" w14:textId="77777777" w:rsidR="004705C6" w:rsidRPr="001C64D7" w:rsidRDefault="004705C6" w:rsidP="004705C6">
      <w:pPr>
        <w:pStyle w:val="NoSpacing"/>
        <w:rPr>
          <w:rFonts w:ascii="Times New Roman" w:hAnsi="Times New Roman"/>
          <w:b/>
          <w:bCs/>
          <w:sz w:val="24"/>
          <w:szCs w:val="24"/>
        </w:rPr>
      </w:pPr>
      <w:r w:rsidRPr="001C64D7">
        <w:rPr>
          <w:rFonts w:ascii="Times New Roman" w:hAnsi="Times New Roman"/>
          <w:b/>
          <w:bCs/>
          <w:sz w:val="24"/>
          <w:szCs w:val="24"/>
        </w:rPr>
        <w:t>Legal Lesson Learned:</w:t>
      </w:r>
      <w:r>
        <w:rPr>
          <w:rFonts w:ascii="Times New Roman" w:hAnsi="Times New Roman"/>
          <w:b/>
          <w:bCs/>
          <w:sz w:val="24"/>
          <w:szCs w:val="24"/>
        </w:rPr>
        <w:t xml:space="preserve"> Follow your </w:t>
      </w:r>
      <w:proofErr w:type="gramStart"/>
      <w:r>
        <w:rPr>
          <w:rFonts w:ascii="Times New Roman" w:hAnsi="Times New Roman"/>
          <w:b/>
          <w:bCs/>
          <w:sz w:val="24"/>
          <w:szCs w:val="24"/>
        </w:rPr>
        <w:t>equipment</w:t>
      </w:r>
      <w:proofErr w:type="gramEnd"/>
      <w:r>
        <w:rPr>
          <w:rFonts w:ascii="Times New Roman" w:hAnsi="Times New Roman"/>
          <w:b/>
          <w:bCs/>
          <w:sz w:val="24"/>
          <w:szCs w:val="24"/>
        </w:rPr>
        <w:t xml:space="preserve"> check protocols, including documentation; know your addresses or confirm with GPS or map.</w:t>
      </w:r>
    </w:p>
    <w:p w14:paraId="213D7D13" w14:textId="77777777" w:rsidR="004705C6" w:rsidRDefault="004705C6" w:rsidP="004705C6">
      <w:pPr>
        <w:pStyle w:val="NormalWeb"/>
        <w:spacing w:before="0" w:beforeAutospacing="0"/>
        <w:rPr>
          <w:color w:val="454545"/>
        </w:rPr>
      </w:pPr>
    </w:p>
    <w:p w14:paraId="542D8F54" w14:textId="77777777" w:rsidR="005677A6" w:rsidRDefault="005677A6" w:rsidP="006A02A4">
      <w:pPr>
        <w:rPr>
          <w:rFonts w:ascii="Arial Black" w:hAnsi="Arial Black"/>
          <w:b/>
          <w:bCs/>
          <w:sz w:val="28"/>
          <w:szCs w:val="28"/>
        </w:rPr>
      </w:pPr>
    </w:p>
    <w:p w14:paraId="5EF0F1F0" w14:textId="6EC69ACD" w:rsidR="00A77ADF" w:rsidRDefault="00A77ADF" w:rsidP="006A02A4">
      <w:pPr>
        <w:rPr>
          <w:rFonts w:ascii="Arial Black" w:hAnsi="Arial Black"/>
          <w:b/>
          <w:bCs/>
          <w:sz w:val="28"/>
          <w:szCs w:val="28"/>
        </w:rPr>
      </w:pPr>
      <w:r>
        <w:rPr>
          <w:rFonts w:ascii="Arial Black" w:hAnsi="Arial Black"/>
          <w:b/>
          <w:bCs/>
          <w:sz w:val="28"/>
          <w:szCs w:val="28"/>
        </w:rPr>
        <w:t>13-169</w:t>
      </w:r>
    </w:p>
    <w:p w14:paraId="0A6CE871" w14:textId="77777777" w:rsidR="006F1059" w:rsidRDefault="006F1059" w:rsidP="006F1059">
      <w:pPr>
        <w:pStyle w:val="NormalWeb"/>
        <w:rPr>
          <w:rFonts w:ascii="Arial Black" w:hAnsi="Arial Black"/>
          <w:sz w:val="28"/>
          <w:szCs w:val="28"/>
        </w:rPr>
      </w:pPr>
      <w:r>
        <w:rPr>
          <w:rFonts w:ascii="Arial Black" w:hAnsi="Arial Black"/>
          <w:sz w:val="28"/>
          <w:szCs w:val="28"/>
        </w:rPr>
        <w:t>TX: NO “STATE-CREATED DANGER” - 14-YR OLD, CEREBRAL PALSY – EMS NO “DELIBERATE INDIFFERENCE” - IMMUNITY</w:t>
      </w:r>
    </w:p>
    <w:p w14:paraId="0F1DF180" w14:textId="77777777" w:rsidR="006F1059" w:rsidRDefault="006F1059" w:rsidP="006F1059">
      <w:pPr>
        <w:pStyle w:val="NormalWeb"/>
      </w:pPr>
      <w:r>
        <w:t xml:space="preserve">On Feb. 27, 2024, in </w:t>
      </w:r>
      <w:r w:rsidRPr="00D05974">
        <w:rPr>
          <w:u w:val="single"/>
        </w:rPr>
        <w:t>Stacey Williams, on behalf of her minor grandson, J.J. v. Andrew Williams and Joe Spradlin</w:t>
      </w:r>
      <w:r>
        <w:t>, the U.S. Court of Appeals for Fifth Circuit (New Orleans) held (3 to 0) that trial court properly dismissed the lawsuit.</w:t>
      </w:r>
    </w:p>
    <w:p w14:paraId="155B6029" w14:textId="77777777" w:rsidR="00F86334" w:rsidRPr="004C0299" w:rsidRDefault="00F86334" w:rsidP="00F86334">
      <w:pPr>
        <w:pStyle w:val="NoSpacing"/>
        <w:rPr>
          <w:rFonts w:ascii="Times New Roman" w:hAnsi="Times New Roman"/>
          <w:sz w:val="24"/>
          <w:szCs w:val="24"/>
        </w:rPr>
      </w:pPr>
      <w:r>
        <w:rPr>
          <w:rFonts w:ascii="Times New Roman" w:hAnsi="Times New Roman"/>
          <w:sz w:val="24"/>
          <w:szCs w:val="24"/>
          <w:shd w:val="clear" w:color="auto" w:fill="FFFFFF"/>
        </w:rPr>
        <w:t>THE COURT HELD:</w:t>
      </w:r>
    </w:p>
    <w:p w14:paraId="4C739182" w14:textId="77777777" w:rsidR="00F86334" w:rsidRDefault="00F86334" w:rsidP="006F1059">
      <w:pPr>
        <w:pStyle w:val="NoSpacing"/>
      </w:pPr>
    </w:p>
    <w:p w14:paraId="0AC662B1" w14:textId="3CBA26E9" w:rsidR="006F1059" w:rsidRPr="00B65994" w:rsidRDefault="006F1059" w:rsidP="006F1059">
      <w:pPr>
        <w:pStyle w:val="NoSpacing"/>
        <w:rPr>
          <w:rFonts w:ascii="Times New Roman" w:hAnsi="Times New Roman"/>
          <w:sz w:val="24"/>
          <w:szCs w:val="24"/>
        </w:rPr>
      </w:pPr>
      <w:r>
        <w:tab/>
      </w:r>
      <w:r w:rsidRPr="00330249">
        <w:rPr>
          <w:rFonts w:ascii="Times New Roman" w:hAnsi="Times New Roman"/>
          <w:sz w:val="24"/>
          <w:szCs w:val="24"/>
        </w:rPr>
        <w:t>The Court held:</w:t>
      </w:r>
      <w:r>
        <w:t xml:space="preserve"> “</w:t>
      </w:r>
      <w:r w:rsidRPr="00B65994">
        <w:rPr>
          <w:rFonts w:ascii="Times New Roman" w:hAnsi="Times New Roman"/>
          <w:sz w:val="24"/>
          <w:szCs w:val="24"/>
        </w:rPr>
        <w:t>The appellant recognizes that she cannot prevail under this court’s</w:t>
      </w:r>
    </w:p>
    <w:p w14:paraId="77C4D3B3" w14:textId="77777777" w:rsidR="006F1059" w:rsidRPr="00B65994" w:rsidRDefault="006F1059" w:rsidP="006F1059">
      <w:pPr>
        <w:pStyle w:val="NoSpacing"/>
        <w:ind w:left="720"/>
        <w:rPr>
          <w:rFonts w:ascii="Times New Roman" w:hAnsi="Times New Roman"/>
          <w:sz w:val="24"/>
          <w:szCs w:val="24"/>
        </w:rPr>
      </w:pPr>
      <w:r w:rsidRPr="00B65994">
        <w:rPr>
          <w:rFonts w:ascii="Times New Roman" w:hAnsi="Times New Roman"/>
          <w:sz w:val="24"/>
          <w:szCs w:val="24"/>
        </w:rPr>
        <w:t xml:space="preserve">longstanding jurisprudence whereunder we do not recognize </w:t>
      </w:r>
      <w:r>
        <w:rPr>
          <w:rFonts w:ascii="Times New Roman" w:hAnsi="Times New Roman"/>
          <w:sz w:val="24"/>
          <w:szCs w:val="24"/>
        </w:rPr>
        <w:t>‘</w:t>
      </w:r>
      <w:r w:rsidRPr="00B65994">
        <w:rPr>
          <w:rFonts w:ascii="Times New Roman" w:hAnsi="Times New Roman"/>
          <w:sz w:val="24"/>
          <w:szCs w:val="24"/>
        </w:rPr>
        <w:t>state-created</w:t>
      </w:r>
      <w:r>
        <w:rPr>
          <w:rFonts w:ascii="Times New Roman" w:hAnsi="Times New Roman"/>
          <w:sz w:val="24"/>
          <w:szCs w:val="24"/>
        </w:rPr>
        <w:t xml:space="preserve"> </w:t>
      </w:r>
      <w:r w:rsidRPr="00B65994">
        <w:rPr>
          <w:rFonts w:ascii="Times New Roman" w:hAnsi="Times New Roman"/>
          <w:sz w:val="24"/>
          <w:szCs w:val="24"/>
        </w:rPr>
        <w:t>danger</w:t>
      </w:r>
      <w:r>
        <w:rPr>
          <w:rFonts w:ascii="Times New Roman" w:hAnsi="Times New Roman"/>
          <w:sz w:val="24"/>
          <w:szCs w:val="24"/>
        </w:rPr>
        <w:t>’</w:t>
      </w:r>
      <w:r w:rsidRPr="00B65994">
        <w:rPr>
          <w:rFonts w:ascii="Times New Roman" w:hAnsi="Times New Roman"/>
          <w:sz w:val="24"/>
          <w:szCs w:val="24"/>
        </w:rPr>
        <w:t xml:space="preserve"> as a theory of liability for a claimed constitutional violation. Appellant asks the court to use this case as a vehicle to adopt, for the first time, that</w:t>
      </w:r>
      <w:r>
        <w:rPr>
          <w:rFonts w:ascii="Times New Roman" w:hAnsi="Times New Roman"/>
          <w:sz w:val="24"/>
          <w:szCs w:val="24"/>
        </w:rPr>
        <w:t xml:space="preserve"> </w:t>
      </w:r>
      <w:r w:rsidRPr="00B65994">
        <w:rPr>
          <w:rFonts w:ascii="Times New Roman" w:hAnsi="Times New Roman"/>
          <w:sz w:val="24"/>
          <w:szCs w:val="24"/>
        </w:rPr>
        <w:t>theory.</w:t>
      </w:r>
      <w:r>
        <w:rPr>
          <w:rFonts w:ascii="Times New Roman" w:hAnsi="Times New Roman"/>
          <w:sz w:val="24"/>
          <w:szCs w:val="24"/>
        </w:rPr>
        <w:t xml:space="preserve"> </w:t>
      </w:r>
      <w:r w:rsidRPr="00B65994">
        <w:rPr>
          <w:rFonts w:ascii="Times New Roman" w:hAnsi="Times New Roman"/>
          <w:sz w:val="24"/>
          <w:szCs w:val="24"/>
        </w:rPr>
        <w:t>We decline the invitation. It is a stretch to say that state actors</w:t>
      </w:r>
      <w:r>
        <w:rPr>
          <w:rFonts w:ascii="Times New Roman" w:hAnsi="Times New Roman"/>
          <w:sz w:val="24"/>
          <w:szCs w:val="24"/>
        </w:rPr>
        <w:t xml:space="preserve"> </w:t>
      </w:r>
      <w:r w:rsidRPr="00B65994">
        <w:rPr>
          <w:rFonts w:ascii="Times New Roman" w:hAnsi="Times New Roman"/>
          <w:sz w:val="24"/>
          <w:szCs w:val="24"/>
        </w:rPr>
        <w:t>“created” the danger, given that the appellant’s grandson was in medical</w:t>
      </w:r>
      <w:r>
        <w:rPr>
          <w:rFonts w:ascii="Times New Roman" w:hAnsi="Times New Roman"/>
          <w:sz w:val="24"/>
          <w:szCs w:val="24"/>
        </w:rPr>
        <w:t xml:space="preserve"> </w:t>
      </w:r>
      <w:r w:rsidRPr="00B65994">
        <w:rPr>
          <w:rFonts w:ascii="Times New Roman" w:hAnsi="Times New Roman"/>
          <w:sz w:val="24"/>
          <w:szCs w:val="24"/>
        </w:rPr>
        <w:t>distress, not caused by them, when they arrived. As alleged, any failure to</w:t>
      </w:r>
      <w:r>
        <w:rPr>
          <w:rFonts w:ascii="Times New Roman" w:hAnsi="Times New Roman"/>
          <w:sz w:val="24"/>
          <w:szCs w:val="24"/>
        </w:rPr>
        <w:t xml:space="preserve"> </w:t>
      </w:r>
      <w:r w:rsidRPr="00B65994">
        <w:rPr>
          <w:rFonts w:ascii="Times New Roman" w:hAnsi="Times New Roman"/>
          <w:sz w:val="24"/>
          <w:szCs w:val="24"/>
        </w:rPr>
        <w:t>act sounds more in medical malpractice or negligence than in deliberate</w:t>
      </w:r>
    </w:p>
    <w:p w14:paraId="54FA6B18" w14:textId="77777777" w:rsidR="006F1059" w:rsidRPr="00127FA3" w:rsidRDefault="006F1059" w:rsidP="006F1059">
      <w:pPr>
        <w:pStyle w:val="NoSpacing"/>
        <w:ind w:firstLine="720"/>
        <w:rPr>
          <w:rFonts w:ascii="Times New Roman" w:hAnsi="Times New Roman"/>
          <w:sz w:val="24"/>
          <w:szCs w:val="24"/>
        </w:rPr>
      </w:pPr>
      <w:r w:rsidRPr="00B65994">
        <w:rPr>
          <w:rFonts w:ascii="Times New Roman" w:hAnsi="Times New Roman"/>
          <w:sz w:val="24"/>
          <w:szCs w:val="24"/>
        </w:rPr>
        <w:t>indifference.</w:t>
      </w:r>
      <w:r>
        <w:rPr>
          <w:rFonts w:ascii="Times New Roman" w:hAnsi="Times New Roman"/>
          <w:sz w:val="24"/>
          <w:szCs w:val="24"/>
        </w:rPr>
        <w:t xml:space="preserve">” </w:t>
      </w:r>
      <w:hyperlink r:id="rId2160" w:history="1">
        <w:r w:rsidRPr="00E64ED3">
          <w:rPr>
            <w:rStyle w:val="Hyperlink"/>
            <w:rFonts w:ascii="Times New Roman" w:hAnsi="Times New Roman"/>
            <w:sz w:val="24"/>
            <w:szCs w:val="24"/>
          </w:rPr>
          <w:t>https://www.ca5.uscourts.gov/opinions/unpub/23/23-20375.0.pdf</w:t>
        </w:r>
      </w:hyperlink>
      <w:r>
        <w:rPr>
          <w:rFonts w:ascii="Times New Roman" w:hAnsi="Times New Roman"/>
          <w:sz w:val="24"/>
          <w:szCs w:val="24"/>
        </w:rPr>
        <w:t xml:space="preserve"> </w:t>
      </w:r>
    </w:p>
    <w:p w14:paraId="33485358" w14:textId="77777777" w:rsidR="006F1059" w:rsidRDefault="006F1059" w:rsidP="006F1059">
      <w:pPr>
        <w:pStyle w:val="NoSpacing"/>
        <w:ind w:firstLine="720"/>
        <w:rPr>
          <w:rFonts w:ascii="Times New Roman" w:hAnsi="Times New Roman"/>
          <w:sz w:val="24"/>
          <w:szCs w:val="24"/>
        </w:rPr>
      </w:pPr>
    </w:p>
    <w:p w14:paraId="78B226D7" w14:textId="77777777" w:rsidR="006F1059" w:rsidRPr="001F3724" w:rsidRDefault="006F1059" w:rsidP="006F1059">
      <w:pPr>
        <w:pStyle w:val="NoSpacing"/>
        <w:rPr>
          <w:rFonts w:ascii="Times New Roman" w:hAnsi="Times New Roman"/>
          <w:b/>
          <w:bCs/>
          <w:sz w:val="24"/>
          <w:szCs w:val="24"/>
        </w:rPr>
      </w:pPr>
      <w:r w:rsidRPr="001F3724">
        <w:rPr>
          <w:rFonts w:ascii="Times New Roman" w:hAnsi="Times New Roman"/>
          <w:b/>
          <w:bCs/>
          <w:sz w:val="24"/>
          <w:szCs w:val="24"/>
        </w:rPr>
        <w:t>Legal Lesson Learned:</w:t>
      </w:r>
      <w:r>
        <w:rPr>
          <w:rFonts w:ascii="Times New Roman" w:hAnsi="Times New Roman"/>
          <w:b/>
          <w:bCs/>
          <w:sz w:val="24"/>
          <w:szCs w:val="24"/>
        </w:rPr>
        <w:t xml:space="preserve"> There was no proof of deliberate indifference; medics therefore enjoy qualified immunity. </w:t>
      </w:r>
    </w:p>
    <w:p w14:paraId="6588F812" w14:textId="77777777" w:rsidR="006F1059" w:rsidRDefault="006F1059" w:rsidP="006F1059">
      <w:pPr>
        <w:pStyle w:val="NoSpacing"/>
        <w:rPr>
          <w:sz w:val="24"/>
          <w:szCs w:val="24"/>
        </w:rPr>
      </w:pPr>
    </w:p>
    <w:p w14:paraId="52A1AF04" w14:textId="77777777" w:rsidR="006F1059" w:rsidRPr="00486412" w:rsidRDefault="006F1059" w:rsidP="006F1059">
      <w:pPr>
        <w:pStyle w:val="NoSpacing"/>
        <w:ind w:left="720"/>
        <w:rPr>
          <w:rFonts w:ascii="Times New Roman" w:hAnsi="Times New Roman"/>
          <w:sz w:val="24"/>
          <w:szCs w:val="24"/>
        </w:rPr>
      </w:pPr>
      <w:r w:rsidRPr="00486412">
        <w:rPr>
          <w:rFonts w:ascii="Times New Roman" w:hAnsi="Times New Roman"/>
          <w:sz w:val="24"/>
          <w:szCs w:val="24"/>
        </w:rPr>
        <w:t xml:space="preserve">Note: See allegations by plaintiff’s law firm.  “Attorney Ben Crump Files Personal Injury Lawsuit Against Paramedics Who Refused to Provide Emergency Care to Disabled Teen.” </w:t>
      </w:r>
      <w:hyperlink r:id="rId2161" w:history="1">
        <w:r w:rsidRPr="00486412">
          <w:rPr>
            <w:rStyle w:val="Hyperlink"/>
            <w:rFonts w:ascii="Times New Roman" w:hAnsi="Times New Roman"/>
            <w:sz w:val="24"/>
            <w:szCs w:val="24"/>
          </w:rPr>
          <w:t>https://bencrump.com/press/attorney-ben-crump-files-personal-injury-lawsuit-against-paramedics-who-refused-to-provide-emergency-care-to-disabled-teen/</w:t>
        </w:r>
      </w:hyperlink>
    </w:p>
    <w:p w14:paraId="53269796" w14:textId="77777777" w:rsidR="00A77ADF" w:rsidRDefault="00A77ADF" w:rsidP="006A02A4">
      <w:pPr>
        <w:rPr>
          <w:rFonts w:ascii="Arial Black" w:hAnsi="Arial Black"/>
          <w:b/>
          <w:bCs/>
          <w:sz w:val="28"/>
          <w:szCs w:val="28"/>
        </w:rPr>
      </w:pPr>
    </w:p>
    <w:p w14:paraId="78BE8F22" w14:textId="77777777" w:rsidR="00A77ADF" w:rsidRDefault="00A77ADF" w:rsidP="006A02A4">
      <w:pPr>
        <w:rPr>
          <w:rFonts w:ascii="Arial Black" w:hAnsi="Arial Black"/>
          <w:b/>
          <w:bCs/>
          <w:sz w:val="28"/>
          <w:szCs w:val="28"/>
        </w:rPr>
      </w:pPr>
    </w:p>
    <w:p w14:paraId="0A582832" w14:textId="5C7E6A3D" w:rsidR="00741889" w:rsidRDefault="00741889" w:rsidP="006A02A4">
      <w:pPr>
        <w:rPr>
          <w:rFonts w:ascii="Arial Black" w:hAnsi="Arial Black"/>
          <w:b/>
          <w:bCs/>
          <w:sz w:val="28"/>
          <w:szCs w:val="28"/>
        </w:rPr>
      </w:pPr>
      <w:r>
        <w:rPr>
          <w:rFonts w:ascii="Arial Black" w:hAnsi="Arial Black"/>
          <w:b/>
          <w:bCs/>
          <w:sz w:val="28"/>
          <w:szCs w:val="28"/>
        </w:rPr>
        <w:t>13-168</w:t>
      </w:r>
    </w:p>
    <w:p w14:paraId="0F38657E" w14:textId="31E7800A" w:rsidR="00741889" w:rsidRDefault="00741889" w:rsidP="00741889">
      <w:pPr>
        <w:pStyle w:val="NoSpacing"/>
        <w:rPr>
          <w:rFonts w:ascii="Arial Black" w:hAnsi="Arial Black"/>
          <w:sz w:val="28"/>
          <w:szCs w:val="28"/>
        </w:rPr>
      </w:pPr>
      <w:r>
        <w:rPr>
          <w:rFonts w:ascii="Arial Black" w:hAnsi="Arial Black"/>
          <w:sz w:val="28"/>
          <w:szCs w:val="28"/>
        </w:rPr>
        <w:t xml:space="preserve">ME: PERSON DEAD OVERDOSE UNDER SINK –  RESIDENT REFUSED TALK TO MEDICS – </w:t>
      </w:r>
      <w:r w:rsidR="003E7DB8">
        <w:rPr>
          <w:rFonts w:ascii="Arial Black" w:hAnsi="Arial Black"/>
          <w:sz w:val="28"/>
          <w:szCs w:val="28"/>
        </w:rPr>
        <w:t xml:space="preserve">PROSECUTOR </w:t>
      </w:r>
      <w:r>
        <w:rPr>
          <w:rFonts w:ascii="Arial Black" w:hAnsi="Arial Black"/>
          <w:sz w:val="28"/>
          <w:szCs w:val="28"/>
        </w:rPr>
        <w:t>TOLD JURY</w:t>
      </w:r>
      <w:r w:rsidR="00E9297E">
        <w:rPr>
          <w:rFonts w:ascii="Arial Black" w:hAnsi="Arial Black"/>
          <w:sz w:val="28"/>
          <w:szCs w:val="28"/>
        </w:rPr>
        <w:t xml:space="preserve"> </w:t>
      </w:r>
    </w:p>
    <w:p w14:paraId="019A5C82" w14:textId="77777777" w:rsidR="00741889" w:rsidRDefault="00741889" w:rsidP="00741889">
      <w:pPr>
        <w:pStyle w:val="NoSpacing"/>
        <w:rPr>
          <w:rFonts w:ascii="Times New Roman" w:hAnsi="Times New Roman"/>
          <w:sz w:val="24"/>
          <w:szCs w:val="24"/>
        </w:rPr>
      </w:pPr>
    </w:p>
    <w:p w14:paraId="19DB9084" w14:textId="77777777" w:rsidR="00741889" w:rsidRDefault="00741889" w:rsidP="00741889">
      <w:pPr>
        <w:pStyle w:val="NoSpacing"/>
        <w:rPr>
          <w:rFonts w:ascii="Times New Roman" w:hAnsi="Times New Roman"/>
          <w:sz w:val="24"/>
          <w:szCs w:val="24"/>
        </w:rPr>
      </w:pPr>
      <w:r>
        <w:rPr>
          <w:rFonts w:ascii="Times New Roman" w:hAnsi="Times New Roman"/>
          <w:sz w:val="24"/>
          <w:szCs w:val="24"/>
        </w:rPr>
        <w:t xml:space="preserve">On Jan. 30, 2024, in </w:t>
      </w:r>
      <w:r w:rsidRPr="008149F4">
        <w:rPr>
          <w:rFonts w:ascii="Times New Roman" w:hAnsi="Times New Roman"/>
          <w:sz w:val="24"/>
          <w:szCs w:val="24"/>
          <w:u w:val="single"/>
        </w:rPr>
        <w:t>State of Maine v. Ralph A. Trip, Jr</w:t>
      </w:r>
      <w:r>
        <w:rPr>
          <w:rFonts w:ascii="Times New Roman" w:hAnsi="Times New Roman"/>
          <w:sz w:val="24"/>
          <w:szCs w:val="24"/>
        </w:rPr>
        <w:t xml:space="preserve">., the Maine Supreme Judicial Court held (7 to 0) that trial court judge properly allowed jury to hear testimony of the paramedics from Bangor Fire Department that </w:t>
      </w:r>
      <w:r>
        <w:rPr>
          <w:rFonts w:ascii="Times New Roman" w:hAnsi="Times New Roman"/>
          <w:sz w:val="24"/>
          <w:szCs w:val="24"/>
        </w:rPr>
        <w:lastRenderedPageBreak/>
        <w:t xml:space="preserve">the defendant along with his wife called 911 on April 17, 2021, and they both refused to tell the medics anything about the person dead under the sink in their apartment.  The jury convicted the defendant of </w:t>
      </w:r>
      <w:r w:rsidRPr="00E67AD9">
        <w:rPr>
          <w:rFonts w:ascii="Times New Roman" w:hAnsi="Times New Roman"/>
          <w:sz w:val="24"/>
          <w:szCs w:val="24"/>
        </w:rPr>
        <w:t>aggravated trafficking of a scheduled drug that in fact caused the death of a</w:t>
      </w:r>
      <w:r>
        <w:rPr>
          <w:rFonts w:ascii="Times New Roman" w:hAnsi="Times New Roman"/>
          <w:sz w:val="24"/>
          <w:szCs w:val="24"/>
        </w:rPr>
        <w:t xml:space="preserve"> </w:t>
      </w:r>
      <w:r w:rsidRPr="00E67AD9">
        <w:rPr>
          <w:rFonts w:ascii="Times New Roman" w:hAnsi="Times New Roman"/>
          <w:sz w:val="24"/>
          <w:szCs w:val="24"/>
        </w:rPr>
        <w:t>person</w:t>
      </w:r>
      <w:r>
        <w:rPr>
          <w:rFonts w:ascii="Times New Roman" w:hAnsi="Times New Roman"/>
          <w:sz w:val="24"/>
          <w:szCs w:val="24"/>
        </w:rPr>
        <w:t xml:space="preserve">, </w:t>
      </w:r>
      <w:r w:rsidRPr="00E67AD9">
        <w:rPr>
          <w:rFonts w:ascii="Times New Roman" w:hAnsi="Times New Roman"/>
          <w:sz w:val="24"/>
          <w:szCs w:val="24"/>
        </w:rPr>
        <w:t xml:space="preserve"> three counts of</w:t>
      </w:r>
      <w:r>
        <w:rPr>
          <w:rFonts w:ascii="Times New Roman" w:hAnsi="Times New Roman"/>
          <w:sz w:val="24"/>
          <w:szCs w:val="24"/>
        </w:rPr>
        <w:t xml:space="preserve"> </w:t>
      </w:r>
      <w:r w:rsidRPr="00E67AD9">
        <w:rPr>
          <w:rFonts w:ascii="Times New Roman" w:hAnsi="Times New Roman"/>
          <w:sz w:val="24"/>
          <w:szCs w:val="24"/>
        </w:rPr>
        <w:t>aggravated trafficking of scheduled drugs: fentanyl powder, cocaine, and</w:t>
      </w:r>
      <w:r>
        <w:rPr>
          <w:rFonts w:ascii="Times New Roman" w:hAnsi="Times New Roman"/>
          <w:sz w:val="24"/>
          <w:szCs w:val="24"/>
        </w:rPr>
        <w:t xml:space="preserve"> m</w:t>
      </w:r>
      <w:r w:rsidRPr="00E67AD9">
        <w:rPr>
          <w:rFonts w:ascii="Times New Roman" w:hAnsi="Times New Roman"/>
          <w:sz w:val="24"/>
          <w:szCs w:val="24"/>
        </w:rPr>
        <w:t>ethamphetamine</w:t>
      </w:r>
      <w:r>
        <w:rPr>
          <w:rFonts w:ascii="Times New Roman" w:hAnsi="Times New Roman"/>
          <w:sz w:val="24"/>
          <w:szCs w:val="24"/>
        </w:rPr>
        <w:t xml:space="preserve">, </w:t>
      </w:r>
      <w:r w:rsidRPr="00E67AD9">
        <w:rPr>
          <w:rFonts w:ascii="Times New Roman" w:hAnsi="Times New Roman"/>
          <w:sz w:val="24"/>
          <w:szCs w:val="24"/>
        </w:rPr>
        <w:t>one</w:t>
      </w:r>
      <w:r>
        <w:rPr>
          <w:rFonts w:ascii="Times New Roman" w:hAnsi="Times New Roman"/>
          <w:sz w:val="24"/>
          <w:szCs w:val="24"/>
        </w:rPr>
        <w:t xml:space="preserve"> </w:t>
      </w:r>
      <w:r w:rsidRPr="00E67AD9">
        <w:rPr>
          <w:rFonts w:ascii="Times New Roman" w:hAnsi="Times New Roman"/>
          <w:sz w:val="24"/>
          <w:szCs w:val="24"/>
        </w:rPr>
        <w:t>count of possession of a firearm by a prohibited person</w:t>
      </w:r>
      <w:r w:rsidRPr="008734D5">
        <w:rPr>
          <w:rFonts w:ascii="Times New Roman" w:hAnsi="Times New Roman"/>
          <w:sz w:val="24"/>
          <w:szCs w:val="24"/>
        </w:rPr>
        <w:t>); and two counts of criminal forfeiture</w:t>
      </w:r>
      <w:r>
        <w:rPr>
          <w:rFonts w:ascii="Times New Roman" w:hAnsi="Times New Roman"/>
          <w:sz w:val="24"/>
          <w:szCs w:val="24"/>
        </w:rPr>
        <w:t xml:space="preserve">. </w:t>
      </w:r>
    </w:p>
    <w:p w14:paraId="1743CEA8" w14:textId="77777777" w:rsidR="00741889" w:rsidRDefault="00741889" w:rsidP="00741889">
      <w:pPr>
        <w:pStyle w:val="NoSpacing"/>
        <w:rPr>
          <w:rFonts w:ascii="Times New Roman" w:hAnsi="Times New Roman"/>
          <w:sz w:val="24"/>
          <w:szCs w:val="24"/>
        </w:rPr>
      </w:pPr>
    </w:p>
    <w:p w14:paraId="1F5BB293" w14:textId="77777777" w:rsidR="00741889" w:rsidRDefault="00741889" w:rsidP="00741889">
      <w:pPr>
        <w:pStyle w:val="NoSpacing"/>
        <w:ind w:left="720"/>
        <w:rPr>
          <w:rFonts w:ascii="Times New Roman" w:hAnsi="Times New Roman"/>
          <w:sz w:val="24"/>
          <w:szCs w:val="24"/>
        </w:rPr>
      </w:pPr>
      <w:r>
        <w:rPr>
          <w:rFonts w:ascii="Times New Roman" w:hAnsi="Times New Roman"/>
          <w:sz w:val="24"/>
          <w:szCs w:val="24"/>
        </w:rPr>
        <w:t>“</w:t>
      </w:r>
      <w:r w:rsidRPr="00866A39">
        <w:rPr>
          <w:rFonts w:ascii="Times New Roman" w:hAnsi="Times New Roman"/>
          <w:sz w:val="24"/>
          <w:szCs w:val="24"/>
        </w:rPr>
        <w:t>Even if the right to remain silent extends to a paramedic’s</w:t>
      </w:r>
      <w:r>
        <w:rPr>
          <w:rFonts w:ascii="Times New Roman" w:hAnsi="Times New Roman"/>
          <w:sz w:val="24"/>
          <w:szCs w:val="24"/>
        </w:rPr>
        <w:t xml:space="preserve"> </w:t>
      </w:r>
      <w:r w:rsidRPr="003509D7">
        <w:rPr>
          <w:rFonts w:ascii="Times New Roman" w:hAnsi="Times New Roman"/>
          <w:sz w:val="24"/>
          <w:szCs w:val="24"/>
        </w:rPr>
        <w:t>questioning, we conclude that Tripp failed to demonstrate that he invoked his</w:t>
      </w:r>
      <w:r>
        <w:rPr>
          <w:rFonts w:ascii="Times New Roman" w:hAnsi="Times New Roman"/>
          <w:sz w:val="24"/>
          <w:szCs w:val="24"/>
        </w:rPr>
        <w:t xml:space="preserve"> </w:t>
      </w:r>
      <w:r w:rsidRPr="003509D7">
        <w:rPr>
          <w:rFonts w:ascii="Times New Roman" w:hAnsi="Times New Roman"/>
          <w:sz w:val="24"/>
          <w:szCs w:val="24"/>
        </w:rPr>
        <w:t>right to remain silent in this non-custodial context.</w:t>
      </w:r>
    </w:p>
    <w:p w14:paraId="1BDE81B1" w14:textId="77777777" w:rsidR="00741889" w:rsidRDefault="00741889" w:rsidP="00741889">
      <w:pPr>
        <w:pStyle w:val="NoSpacing"/>
        <w:rPr>
          <w:rFonts w:ascii="Times New Roman" w:hAnsi="Times New Roman"/>
          <w:sz w:val="24"/>
          <w:szCs w:val="24"/>
        </w:rPr>
      </w:pPr>
    </w:p>
    <w:p w14:paraId="42221BAF" w14:textId="77777777" w:rsidR="00741889" w:rsidRDefault="00741889" w:rsidP="00741889">
      <w:pPr>
        <w:pStyle w:val="NoSpacing"/>
        <w:ind w:firstLine="720"/>
        <w:rPr>
          <w:rFonts w:ascii="Times New Roman" w:hAnsi="Times New Roman"/>
          <w:sz w:val="24"/>
          <w:szCs w:val="24"/>
        </w:rPr>
      </w:pPr>
      <w:r>
        <w:rPr>
          <w:rFonts w:ascii="Times New Roman" w:hAnsi="Times New Roman"/>
          <w:sz w:val="24"/>
          <w:szCs w:val="24"/>
        </w:rPr>
        <w:t>***</w:t>
      </w:r>
    </w:p>
    <w:p w14:paraId="318CE97F" w14:textId="77777777" w:rsidR="00741889" w:rsidRDefault="00741889" w:rsidP="00741889">
      <w:pPr>
        <w:pStyle w:val="NoSpacing"/>
        <w:ind w:left="720"/>
        <w:rPr>
          <w:rFonts w:ascii="Times New Roman" w:hAnsi="Times New Roman"/>
          <w:sz w:val="24"/>
          <w:szCs w:val="24"/>
        </w:rPr>
      </w:pPr>
      <w:r w:rsidRPr="00174E38">
        <w:rPr>
          <w:rFonts w:ascii="Times New Roman" w:hAnsi="Times New Roman"/>
          <w:sz w:val="24"/>
          <w:szCs w:val="24"/>
        </w:rPr>
        <w:t>Here, after Tripp let the paramedics</w:t>
      </w:r>
      <w:r>
        <w:rPr>
          <w:rFonts w:ascii="Times New Roman" w:hAnsi="Times New Roman"/>
          <w:sz w:val="24"/>
          <w:szCs w:val="24"/>
        </w:rPr>
        <w:t xml:space="preserve"> </w:t>
      </w:r>
      <w:r w:rsidRPr="00174E38">
        <w:rPr>
          <w:rFonts w:ascii="Times New Roman" w:hAnsi="Times New Roman"/>
          <w:sz w:val="24"/>
          <w:szCs w:val="24"/>
        </w:rPr>
        <w:t>into the rooming house and directed them upstairs to the unconscious person,</w:t>
      </w:r>
      <w:r>
        <w:rPr>
          <w:rFonts w:ascii="Times New Roman" w:hAnsi="Times New Roman"/>
          <w:sz w:val="24"/>
          <w:szCs w:val="24"/>
        </w:rPr>
        <w:t xml:space="preserve"> </w:t>
      </w:r>
      <w:r w:rsidRPr="00174E38">
        <w:rPr>
          <w:rFonts w:ascii="Times New Roman" w:hAnsi="Times New Roman"/>
          <w:sz w:val="24"/>
          <w:szCs w:val="24"/>
        </w:rPr>
        <w:t>he went into his room, denied knowing the person, and refused to answer the</w:t>
      </w:r>
      <w:r>
        <w:rPr>
          <w:rFonts w:ascii="Times New Roman" w:hAnsi="Times New Roman"/>
          <w:sz w:val="24"/>
          <w:szCs w:val="24"/>
        </w:rPr>
        <w:t xml:space="preserve"> </w:t>
      </w:r>
      <w:r w:rsidRPr="00174E38">
        <w:rPr>
          <w:rFonts w:ascii="Times New Roman" w:hAnsi="Times New Roman"/>
          <w:sz w:val="24"/>
          <w:szCs w:val="24"/>
        </w:rPr>
        <w:t>paramedic’s questions about the person. He was not in custody, and beyond</w:t>
      </w:r>
      <w:r>
        <w:rPr>
          <w:rFonts w:ascii="Times New Roman" w:hAnsi="Times New Roman"/>
          <w:sz w:val="24"/>
          <w:szCs w:val="24"/>
        </w:rPr>
        <w:t xml:space="preserve"> </w:t>
      </w:r>
      <w:r w:rsidRPr="00174E38">
        <w:rPr>
          <w:rFonts w:ascii="Times New Roman" w:hAnsi="Times New Roman"/>
          <w:sz w:val="24"/>
          <w:szCs w:val="24"/>
        </w:rPr>
        <w:t>remaining silent, Tripp did not expressly state nor otherwise manifest his</w:t>
      </w:r>
      <w:r>
        <w:rPr>
          <w:rFonts w:ascii="Times New Roman" w:hAnsi="Times New Roman"/>
          <w:sz w:val="24"/>
          <w:szCs w:val="24"/>
        </w:rPr>
        <w:t xml:space="preserve"> </w:t>
      </w:r>
      <w:r w:rsidRPr="009D716B">
        <w:rPr>
          <w:rFonts w:ascii="Times New Roman" w:hAnsi="Times New Roman"/>
          <w:sz w:val="24"/>
          <w:szCs w:val="24"/>
        </w:rPr>
        <w:t>intention to exercise the constitutional right against self-incrimination. These</w:t>
      </w:r>
      <w:r>
        <w:rPr>
          <w:rFonts w:ascii="Times New Roman" w:hAnsi="Times New Roman"/>
          <w:sz w:val="24"/>
          <w:szCs w:val="24"/>
        </w:rPr>
        <w:t xml:space="preserve"> </w:t>
      </w:r>
      <w:r w:rsidRPr="009D716B">
        <w:rPr>
          <w:rFonts w:ascii="Times New Roman" w:hAnsi="Times New Roman"/>
          <w:sz w:val="24"/>
          <w:szCs w:val="24"/>
        </w:rPr>
        <w:t>facts are not sufficient to demonstrate Tripp’s invocation of his Fifth</w:t>
      </w:r>
      <w:r>
        <w:rPr>
          <w:rFonts w:ascii="Times New Roman" w:hAnsi="Times New Roman"/>
          <w:sz w:val="24"/>
          <w:szCs w:val="24"/>
        </w:rPr>
        <w:t xml:space="preserve"> </w:t>
      </w:r>
      <w:r w:rsidRPr="009D716B">
        <w:rPr>
          <w:rFonts w:ascii="Times New Roman" w:hAnsi="Times New Roman"/>
          <w:sz w:val="24"/>
          <w:szCs w:val="24"/>
        </w:rPr>
        <w:t>Amendment right against self-incrimination.</w:t>
      </w:r>
      <w:r>
        <w:rPr>
          <w:rFonts w:ascii="Times New Roman" w:hAnsi="Times New Roman"/>
          <w:sz w:val="24"/>
          <w:szCs w:val="24"/>
        </w:rPr>
        <w:t xml:space="preserve">” </w:t>
      </w:r>
      <w:hyperlink r:id="rId2162" w:history="1">
        <w:r w:rsidRPr="00D10854">
          <w:rPr>
            <w:rStyle w:val="Hyperlink"/>
            <w:rFonts w:ascii="Times New Roman" w:hAnsi="Times New Roman"/>
            <w:sz w:val="24"/>
            <w:szCs w:val="24"/>
          </w:rPr>
          <w:t>https://www.courts.maine.gov/courts/sjc/lawcourt/2024/24me012.pdf</w:t>
        </w:r>
      </w:hyperlink>
      <w:r>
        <w:rPr>
          <w:rFonts w:ascii="Times New Roman" w:hAnsi="Times New Roman"/>
          <w:sz w:val="24"/>
          <w:szCs w:val="24"/>
        </w:rPr>
        <w:t xml:space="preserve"> </w:t>
      </w:r>
    </w:p>
    <w:p w14:paraId="18A50EE0" w14:textId="77777777" w:rsidR="00741889" w:rsidRDefault="00741889" w:rsidP="006A02A4">
      <w:pPr>
        <w:rPr>
          <w:rFonts w:ascii="Arial Black" w:hAnsi="Arial Black"/>
          <w:b/>
          <w:bCs/>
          <w:sz w:val="28"/>
          <w:szCs w:val="28"/>
        </w:rPr>
      </w:pPr>
    </w:p>
    <w:p w14:paraId="7E5707F3" w14:textId="77777777" w:rsidR="003E7DB8" w:rsidRDefault="003E7DB8" w:rsidP="003E7DB8">
      <w:pPr>
        <w:pStyle w:val="NoSpacing"/>
        <w:rPr>
          <w:rFonts w:ascii="Times New Roman" w:hAnsi="Times New Roman"/>
          <w:b/>
          <w:bCs/>
          <w:sz w:val="24"/>
          <w:szCs w:val="24"/>
        </w:rPr>
      </w:pPr>
      <w:r w:rsidRPr="006D521E">
        <w:rPr>
          <w:rFonts w:ascii="Times New Roman" w:hAnsi="Times New Roman"/>
          <w:b/>
          <w:bCs/>
          <w:sz w:val="24"/>
          <w:szCs w:val="24"/>
        </w:rPr>
        <w:t xml:space="preserve">Legal Lesson Learned: </w:t>
      </w:r>
      <w:r>
        <w:rPr>
          <w:rFonts w:ascii="Times New Roman" w:hAnsi="Times New Roman"/>
          <w:b/>
          <w:bCs/>
          <w:sz w:val="24"/>
          <w:szCs w:val="24"/>
        </w:rPr>
        <w:t xml:space="preserve">The defendant was not in custody, so there was no need to warn him of his Miranda rights. </w:t>
      </w:r>
    </w:p>
    <w:p w14:paraId="6BD8F780" w14:textId="77777777" w:rsidR="003E7DB8" w:rsidRDefault="003E7DB8" w:rsidP="003E7DB8">
      <w:pPr>
        <w:pStyle w:val="NoSpacing"/>
        <w:rPr>
          <w:rFonts w:ascii="Times New Roman" w:hAnsi="Times New Roman"/>
          <w:b/>
          <w:bCs/>
          <w:sz w:val="24"/>
          <w:szCs w:val="24"/>
        </w:rPr>
      </w:pPr>
    </w:p>
    <w:p w14:paraId="7D9BDE03" w14:textId="77777777" w:rsidR="003E7DB8" w:rsidRDefault="003E7DB8" w:rsidP="003E7DB8">
      <w:pPr>
        <w:pStyle w:val="NoSpacing"/>
        <w:ind w:left="720"/>
        <w:rPr>
          <w:rFonts w:ascii="Times New Roman" w:hAnsi="Times New Roman"/>
          <w:sz w:val="24"/>
          <w:szCs w:val="24"/>
        </w:rPr>
      </w:pPr>
      <w:r w:rsidRPr="005134A8">
        <w:rPr>
          <w:rFonts w:ascii="Times New Roman" w:hAnsi="Times New Roman"/>
          <w:sz w:val="24"/>
          <w:szCs w:val="24"/>
        </w:rPr>
        <w:t xml:space="preserve">Note: </w:t>
      </w:r>
      <w:r>
        <w:rPr>
          <w:rFonts w:ascii="Times New Roman" w:hAnsi="Times New Roman"/>
          <w:sz w:val="24"/>
          <w:szCs w:val="24"/>
        </w:rPr>
        <w:t xml:space="preserve">Many states, including Maine, have adopted laws to protect individual using drugs to call 911 to get help for overdose of another.  The Maine Supreme Court in this case agreed with trial court judge – the immunity statute does not protect a drug dealer who calls 911. </w:t>
      </w:r>
    </w:p>
    <w:p w14:paraId="5FA10450" w14:textId="77777777" w:rsidR="003E7DB8" w:rsidRDefault="003E7DB8" w:rsidP="003E7DB8">
      <w:pPr>
        <w:pStyle w:val="NoSpacing"/>
        <w:ind w:left="720"/>
        <w:rPr>
          <w:rFonts w:ascii="Times New Roman" w:hAnsi="Times New Roman"/>
          <w:sz w:val="24"/>
          <w:szCs w:val="24"/>
        </w:rPr>
      </w:pPr>
    </w:p>
    <w:p w14:paraId="3F2F4834" w14:textId="77777777" w:rsidR="003E7DB8" w:rsidRPr="005134A8" w:rsidRDefault="003E7DB8" w:rsidP="003E7DB8">
      <w:pPr>
        <w:pStyle w:val="NoSpacing"/>
        <w:ind w:left="720"/>
        <w:rPr>
          <w:rFonts w:ascii="Times New Roman" w:hAnsi="Times New Roman"/>
          <w:sz w:val="24"/>
          <w:szCs w:val="24"/>
        </w:rPr>
      </w:pPr>
      <w:r>
        <w:rPr>
          <w:rFonts w:ascii="Times New Roman" w:hAnsi="Times New Roman"/>
          <w:sz w:val="24"/>
          <w:szCs w:val="24"/>
        </w:rPr>
        <w:t>“</w:t>
      </w:r>
      <w:r w:rsidRPr="004C6F13">
        <w:rPr>
          <w:rFonts w:ascii="Times New Roman" w:hAnsi="Times New Roman"/>
          <w:sz w:val="24"/>
          <w:szCs w:val="24"/>
        </w:rPr>
        <w:t>If the accused, in good faith, either sought</w:t>
      </w:r>
      <w:r>
        <w:rPr>
          <w:rFonts w:ascii="Times New Roman" w:hAnsi="Times New Roman"/>
          <w:sz w:val="24"/>
          <w:szCs w:val="24"/>
        </w:rPr>
        <w:t xml:space="preserve"> </w:t>
      </w:r>
      <w:r w:rsidRPr="004C6F13">
        <w:rPr>
          <w:rFonts w:ascii="Times New Roman" w:hAnsi="Times New Roman"/>
          <w:sz w:val="24"/>
          <w:szCs w:val="24"/>
        </w:rPr>
        <w:t>medical assistance or administered naloxone for another person while that</w:t>
      </w:r>
      <w:r>
        <w:rPr>
          <w:rFonts w:ascii="Times New Roman" w:hAnsi="Times New Roman"/>
          <w:sz w:val="24"/>
          <w:szCs w:val="24"/>
        </w:rPr>
        <w:t xml:space="preserve"> </w:t>
      </w:r>
      <w:r w:rsidRPr="004C6F13">
        <w:rPr>
          <w:rFonts w:ascii="Times New Roman" w:hAnsi="Times New Roman"/>
          <w:sz w:val="24"/>
          <w:szCs w:val="24"/>
        </w:rPr>
        <w:t>person was experiencing a drug-related overdose, the accused can seek</w:t>
      </w:r>
      <w:r>
        <w:rPr>
          <w:rFonts w:ascii="Times New Roman" w:hAnsi="Times New Roman"/>
          <w:sz w:val="24"/>
          <w:szCs w:val="24"/>
        </w:rPr>
        <w:t xml:space="preserve"> </w:t>
      </w:r>
      <w:r w:rsidRPr="004C6F13">
        <w:rPr>
          <w:rFonts w:ascii="Times New Roman" w:hAnsi="Times New Roman"/>
          <w:sz w:val="24"/>
          <w:szCs w:val="24"/>
        </w:rPr>
        <w:t>immunity from arrest or prosecution only for the four enumerated crimes within</w:t>
      </w:r>
      <w:r>
        <w:rPr>
          <w:rFonts w:ascii="Times New Roman" w:hAnsi="Times New Roman"/>
          <w:sz w:val="24"/>
          <w:szCs w:val="24"/>
        </w:rPr>
        <w:t xml:space="preserve"> </w:t>
      </w:r>
      <w:r w:rsidRPr="004C6F13">
        <w:rPr>
          <w:rFonts w:ascii="Times New Roman" w:hAnsi="Times New Roman"/>
          <w:sz w:val="24"/>
          <w:szCs w:val="24"/>
        </w:rPr>
        <w:t>the statute.</w:t>
      </w:r>
      <w:r>
        <w:rPr>
          <w:rFonts w:ascii="Times New Roman" w:hAnsi="Times New Roman"/>
          <w:sz w:val="24"/>
          <w:szCs w:val="24"/>
        </w:rPr>
        <w:t xml:space="preserve"> </w:t>
      </w:r>
      <w:r w:rsidRPr="006F3039">
        <w:rPr>
          <w:rFonts w:ascii="Times New Roman" w:hAnsi="Times New Roman"/>
          <w:sz w:val="24"/>
          <w:szCs w:val="24"/>
        </w:rPr>
        <w:t>Our conclusion is further supported by considering the statute in</w:t>
      </w:r>
      <w:r>
        <w:rPr>
          <w:rFonts w:ascii="Times New Roman" w:hAnsi="Times New Roman"/>
          <w:sz w:val="24"/>
          <w:szCs w:val="24"/>
        </w:rPr>
        <w:t xml:space="preserve"> </w:t>
      </w:r>
      <w:r w:rsidRPr="006F3039">
        <w:rPr>
          <w:rFonts w:ascii="Times New Roman" w:hAnsi="Times New Roman"/>
          <w:sz w:val="24"/>
          <w:szCs w:val="24"/>
        </w:rPr>
        <w:t>the context of the statutory scheme of Chapter 45 (Drugs), which demonstrates</w:t>
      </w:r>
      <w:r>
        <w:rPr>
          <w:rFonts w:ascii="Times New Roman" w:hAnsi="Times New Roman"/>
          <w:sz w:val="24"/>
          <w:szCs w:val="24"/>
        </w:rPr>
        <w:t xml:space="preserve"> </w:t>
      </w:r>
      <w:r w:rsidRPr="006F3039">
        <w:rPr>
          <w:rFonts w:ascii="Times New Roman" w:hAnsi="Times New Roman"/>
          <w:sz w:val="24"/>
          <w:szCs w:val="24"/>
        </w:rPr>
        <w:t>that the Legislature intended to bar prosecution for crimes that are associated</w:t>
      </w:r>
      <w:r>
        <w:rPr>
          <w:rFonts w:ascii="Times New Roman" w:hAnsi="Times New Roman"/>
          <w:sz w:val="24"/>
          <w:szCs w:val="24"/>
        </w:rPr>
        <w:t xml:space="preserve"> </w:t>
      </w:r>
      <w:r w:rsidRPr="006F3039">
        <w:rPr>
          <w:rFonts w:ascii="Times New Roman" w:hAnsi="Times New Roman"/>
          <w:sz w:val="24"/>
          <w:szCs w:val="24"/>
        </w:rPr>
        <w:t>with drug use while still permitting prosecution for crimes that involve</w:t>
      </w:r>
      <w:r>
        <w:rPr>
          <w:rFonts w:ascii="Times New Roman" w:hAnsi="Times New Roman"/>
          <w:sz w:val="24"/>
          <w:szCs w:val="24"/>
        </w:rPr>
        <w:t xml:space="preserve"> </w:t>
      </w:r>
      <w:r w:rsidRPr="006F3039">
        <w:rPr>
          <w:rFonts w:ascii="Times New Roman" w:hAnsi="Times New Roman"/>
          <w:sz w:val="24"/>
          <w:szCs w:val="24"/>
        </w:rPr>
        <w:t>trafficking, furnishing, cultivating or fabricating, or importing drugs.</w:t>
      </w:r>
      <w:r>
        <w:rPr>
          <w:rFonts w:ascii="Times New Roman" w:hAnsi="Times New Roman"/>
          <w:sz w:val="24"/>
          <w:szCs w:val="24"/>
        </w:rPr>
        <w:t>”</w:t>
      </w:r>
    </w:p>
    <w:p w14:paraId="13F1D640" w14:textId="77777777" w:rsidR="003E7DB8" w:rsidRDefault="003E7DB8" w:rsidP="003E7DB8">
      <w:pPr>
        <w:spacing w:before="100" w:beforeAutospacing="1" w:after="100" w:afterAutospacing="1" w:line="240" w:lineRule="auto"/>
        <w:outlineLvl w:val="0"/>
        <w:rPr>
          <w:rFonts w:ascii="Times New Roman" w:eastAsia="Times New Roman" w:hAnsi="Times New Roman"/>
          <w:kern w:val="36"/>
          <w:sz w:val="24"/>
          <w:szCs w:val="24"/>
        </w:rPr>
      </w:pPr>
    </w:p>
    <w:p w14:paraId="2C9229B6" w14:textId="77777777" w:rsidR="003E7DB8" w:rsidRDefault="003E7DB8" w:rsidP="006A02A4">
      <w:pPr>
        <w:rPr>
          <w:rFonts w:ascii="Arial Black" w:hAnsi="Arial Black"/>
          <w:b/>
          <w:bCs/>
          <w:sz w:val="28"/>
          <w:szCs w:val="28"/>
        </w:rPr>
      </w:pPr>
    </w:p>
    <w:p w14:paraId="000FFCC5" w14:textId="77777777" w:rsidR="00741889" w:rsidRDefault="00741889" w:rsidP="006A02A4">
      <w:pPr>
        <w:rPr>
          <w:rFonts w:ascii="Arial Black" w:hAnsi="Arial Black"/>
          <w:b/>
          <w:bCs/>
          <w:sz w:val="28"/>
          <w:szCs w:val="28"/>
        </w:rPr>
      </w:pPr>
    </w:p>
    <w:p w14:paraId="1B7D8B2E" w14:textId="730ACAB8" w:rsidR="00336B00" w:rsidRDefault="00336B00" w:rsidP="006A02A4">
      <w:pPr>
        <w:rPr>
          <w:rFonts w:ascii="Arial Black" w:hAnsi="Arial Black"/>
          <w:b/>
          <w:bCs/>
          <w:sz w:val="28"/>
          <w:szCs w:val="28"/>
        </w:rPr>
      </w:pPr>
      <w:r>
        <w:rPr>
          <w:rFonts w:ascii="Arial Black" w:hAnsi="Arial Black"/>
          <w:b/>
          <w:bCs/>
          <w:sz w:val="28"/>
          <w:szCs w:val="28"/>
        </w:rPr>
        <w:t>13-167</w:t>
      </w:r>
    </w:p>
    <w:p w14:paraId="38C14EDF" w14:textId="77777777" w:rsidR="00563D38" w:rsidRDefault="00563D38" w:rsidP="00563D38">
      <w:pPr>
        <w:pStyle w:val="NormalWeb"/>
        <w:rPr>
          <w:rFonts w:ascii="Arial Black" w:hAnsi="Arial Black"/>
          <w:sz w:val="28"/>
          <w:szCs w:val="28"/>
        </w:rPr>
      </w:pPr>
      <w:r>
        <w:rPr>
          <w:rFonts w:ascii="Arial Black" w:hAnsi="Arial Black"/>
          <w:sz w:val="28"/>
          <w:szCs w:val="28"/>
        </w:rPr>
        <w:t>WA: COVID-19 – VACCINATIONS - 46 OF 192 FF REQUESTED RELIGIOUS ACCOMODATIONS – UNDUE HARDSHIP FOR FD</w:t>
      </w:r>
    </w:p>
    <w:p w14:paraId="6AFB9C7F" w14:textId="2EF868E4" w:rsidR="00563D38" w:rsidRPr="00563D38" w:rsidRDefault="00563D38" w:rsidP="00563D38">
      <w:pPr>
        <w:rPr>
          <w:rStyle w:val="Emphasis"/>
          <w:rFonts w:ascii="Times New Roman" w:hAnsi="Times New Roman"/>
          <w:i w:val="0"/>
          <w:iCs w:val="0"/>
          <w:sz w:val="24"/>
          <w:szCs w:val="24"/>
        </w:rPr>
      </w:pPr>
      <w:r w:rsidRPr="00563D38">
        <w:rPr>
          <w:rFonts w:ascii="Times New Roman" w:hAnsi="Times New Roman"/>
          <w:sz w:val="24"/>
          <w:szCs w:val="24"/>
        </w:rPr>
        <w:t>On Jan. 25, 20</w:t>
      </w:r>
      <w:r w:rsidR="00781D35">
        <w:rPr>
          <w:rFonts w:ascii="Times New Roman" w:hAnsi="Times New Roman"/>
          <w:sz w:val="24"/>
          <w:szCs w:val="24"/>
        </w:rPr>
        <w:t>2</w:t>
      </w:r>
      <w:r w:rsidRPr="00563D38">
        <w:rPr>
          <w:rFonts w:ascii="Times New Roman" w:hAnsi="Times New Roman"/>
          <w:sz w:val="24"/>
          <w:szCs w:val="24"/>
        </w:rPr>
        <w:t xml:space="preserve">4, in </w:t>
      </w:r>
      <w:r w:rsidRPr="00563D38">
        <w:rPr>
          <w:rFonts w:ascii="Times New Roman" w:hAnsi="Times New Roman"/>
          <w:sz w:val="24"/>
          <w:szCs w:val="24"/>
          <w:u w:val="single"/>
        </w:rPr>
        <w:t>David Petersen, et al. v. Snohomish Regional Fire &amp; Rescue, et al.</w:t>
      </w:r>
      <w:r w:rsidRPr="00563D38">
        <w:rPr>
          <w:rFonts w:ascii="Times New Roman" w:hAnsi="Times New Roman"/>
          <w:sz w:val="24"/>
          <w:szCs w:val="24"/>
        </w:rPr>
        <w:t xml:space="preserve">, U.S. District Court Judge Thomas S. Zilly, U.S. District Court, Western District of Washington (Seattle) granted the FD’s motion for summary judgment.  </w:t>
      </w:r>
      <w:r w:rsidRPr="00563D38">
        <w:rPr>
          <w:rStyle w:val="Emphasis"/>
          <w:rFonts w:ascii="Times New Roman" w:hAnsi="Times New Roman"/>
          <w:i w:val="0"/>
          <w:iCs w:val="0"/>
          <w:sz w:val="24"/>
          <w:szCs w:val="24"/>
        </w:rPr>
        <w:t xml:space="preserve">Employers do not need to accommodate an employee if this would create an undue </w:t>
      </w:r>
      <w:r w:rsidRPr="00563D38">
        <w:rPr>
          <w:rStyle w:val="Emphasis"/>
          <w:rFonts w:ascii="Times New Roman" w:hAnsi="Times New Roman"/>
          <w:i w:val="0"/>
          <w:iCs w:val="0"/>
          <w:sz w:val="24"/>
          <w:szCs w:val="24"/>
        </w:rPr>
        <w:lastRenderedPageBreak/>
        <w:t xml:space="preserve">hardship – with 11 stations and 192 firefighters providing fire &amp; EMS services, the FD could not safely place 46 unvaccinated firefighters in these stations. </w:t>
      </w:r>
    </w:p>
    <w:p w14:paraId="51AFAC05" w14:textId="77777777" w:rsidR="00563D38" w:rsidRPr="00563D38" w:rsidRDefault="00563D38" w:rsidP="00563D38">
      <w:pPr>
        <w:pStyle w:val="NormalWeb"/>
        <w:ind w:left="720"/>
      </w:pPr>
      <w:r w:rsidRPr="00563D38">
        <w:t>“Plaintiffs argue that masking, PPE, testing, and social distancing are accommodations that would have allowed them to continue working from October 18, 2021, to the end of April 2022, without imposing an undue hardship on Snohomish Fire. Snohomish Fire counters that allowing Plaintiffs to work while unvaccinated would have been an undue hardship even with masking, testing, PPE, and social distancing measures in place.</w:t>
      </w:r>
    </w:p>
    <w:p w14:paraId="5B672DA2" w14:textId="77777777" w:rsidR="00563D38" w:rsidRPr="00563D38" w:rsidRDefault="00563D38" w:rsidP="00563D38">
      <w:pPr>
        <w:pStyle w:val="NormalWeb"/>
        <w:ind w:left="720"/>
      </w:pPr>
      <w:r w:rsidRPr="00563D38">
        <w:t>***</w:t>
      </w:r>
    </w:p>
    <w:p w14:paraId="27DE9C1B" w14:textId="204E7652" w:rsidR="00336B00" w:rsidRPr="00563D38" w:rsidRDefault="00563D38" w:rsidP="00563D38">
      <w:pPr>
        <w:rPr>
          <w:rFonts w:ascii="Times New Roman" w:hAnsi="Times New Roman"/>
          <w:b/>
          <w:bCs/>
          <w:sz w:val="24"/>
          <w:szCs w:val="24"/>
        </w:rPr>
      </w:pPr>
      <w:r w:rsidRPr="00563D38">
        <w:rPr>
          <w:rFonts w:ascii="Times New Roman" w:hAnsi="Times New Roman"/>
          <w:sz w:val="24"/>
          <w:szCs w:val="24"/>
        </w:rPr>
        <w:t xml:space="preserve">In sum, the uncontroverted evidence in this case demonstrates that unvaccinated firefighters were at a higher risk of contracting and transmitting COVID-19 even with the use of masks, PPE, testing, and social distancing. </w:t>
      </w:r>
      <w:r w:rsidRPr="00563D38">
        <w:rPr>
          <w:rStyle w:val="Emphasis"/>
          <w:rFonts w:ascii="Times New Roman" w:hAnsi="Times New Roman"/>
          <w:sz w:val="24"/>
          <w:szCs w:val="24"/>
        </w:rPr>
        <w:t>See</w:t>
      </w:r>
      <w:r w:rsidRPr="00563D38">
        <w:rPr>
          <w:rFonts w:ascii="Times New Roman" w:hAnsi="Times New Roman"/>
          <w:sz w:val="24"/>
          <w:szCs w:val="24"/>
        </w:rPr>
        <w:t xml:space="preserve"> Lynch Decl. at ¶¶ 41, 44. Snohomish Fire informed Plaintiffs it could not accommodate their vaccination exemption requests because of the increased health risks of working as unvaccinated firefighters.” </w:t>
      </w:r>
      <w:hyperlink r:id="rId2163" w:history="1">
        <w:r w:rsidRPr="00563D38">
          <w:rPr>
            <w:rStyle w:val="Hyperlink"/>
            <w:rFonts w:ascii="Times New Roman" w:hAnsi="Times New Roman"/>
            <w:sz w:val="24"/>
            <w:szCs w:val="24"/>
          </w:rPr>
          <w:t>https://public.fastcase.com/ZZhmr5v9wN%2FXOe5IsQ%2FqDx0vrICWCRjPwrPkFejRzcL5IKaE8Rtd1E1QUMzNRkuXg4QLEVUEQQe1JZ8q921vtt1B6ovVwHeC3EtpH3EMOZQ%3D?utm_medium=email&amp;_hsmi=226712652&amp;_hsenc=p2ANqtz-</w:t>
        </w:r>
      </w:hyperlink>
    </w:p>
    <w:p w14:paraId="589F284F" w14:textId="77777777" w:rsidR="00336B00" w:rsidRDefault="00336B00" w:rsidP="006A02A4">
      <w:pPr>
        <w:rPr>
          <w:rFonts w:ascii="Arial Black" w:hAnsi="Arial Black"/>
          <w:b/>
          <w:bCs/>
          <w:sz w:val="28"/>
          <w:szCs w:val="28"/>
        </w:rPr>
      </w:pPr>
    </w:p>
    <w:p w14:paraId="0BD59D39" w14:textId="3A51365C" w:rsidR="00FC76E4" w:rsidRDefault="009F41E7" w:rsidP="006A02A4">
      <w:pPr>
        <w:rPr>
          <w:rFonts w:ascii="Arial Black" w:hAnsi="Arial Black"/>
          <w:b/>
          <w:bCs/>
          <w:sz w:val="28"/>
          <w:szCs w:val="28"/>
        </w:rPr>
      </w:pPr>
      <w:r>
        <w:rPr>
          <w:rFonts w:ascii="Arial Black" w:hAnsi="Arial Black"/>
          <w:b/>
          <w:bCs/>
          <w:sz w:val="28"/>
          <w:szCs w:val="28"/>
        </w:rPr>
        <w:t>13-166</w:t>
      </w:r>
    </w:p>
    <w:p w14:paraId="6CEC6990" w14:textId="77777777" w:rsidR="00FA2662" w:rsidRDefault="00FA2662" w:rsidP="00FA2662">
      <w:pPr>
        <w:pStyle w:val="NormalWeb"/>
        <w:rPr>
          <w:rFonts w:ascii="Arial Black" w:hAnsi="Arial Black"/>
          <w:b/>
          <w:bCs/>
          <w:sz w:val="28"/>
          <w:szCs w:val="28"/>
        </w:rPr>
      </w:pPr>
      <w:r>
        <w:rPr>
          <w:rFonts w:ascii="Arial Black" w:hAnsi="Arial Black"/>
          <w:b/>
          <w:bCs/>
          <w:sz w:val="28"/>
          <w:szCs w:val="28"/>
        </w:rPr>
        <w:t>NY: COVID-19 – FDNY - REQUEST RELIGIOUS ACCOMODATION - DENIED, HE RETIRED – CASE DISMISSED</w:t>
      </w:r>
    </w:p>
    <w:p w14:paraId="449AAAFB" w14:textId="77777777" w:rsidR="00FA2662" w:rsidRDefault="00FA2662" w:rsidP="00FA2662">
      <w:pPr>
        <w:pStyle w:val="NormalWeb"/>
      </w:pPr>
      <w:r w:rsidRPr="00CB5FAD">
        <w:t>On</w:t>
      </w:r>
      <w:r>
        <w:t xml:space="preserve"> Jan. 9, 2024, in </w:t>
      </w:r>
      <w:r w:rsidRPr="00EE2924">
        <w:rPr>
          <w:u w:val="single"/>
        </w:rPr>
        <w:t>Michael Currid v. The City of New York, et al</w:t>
      </w:r>
      <w:r>
        <w:t xml:space="preserve">., Judge Gina Abadi, New York Supreme Court, Kings County, granted the City’s motion to dismiss (unpublished decision).  The plaintiff served with the FDNY from about 1998 through April 19, 2022. On or around October 27. 2021, following the issuance of the COVID-19 vaccine mandate for City employees, plaintiff applied for a religious accommodation, which was denied by the FD </w:t>
      </w:r>
      <w:r w:rsidRPr="00941E84">
        <w:t>(January 6, 2022)</w:t>
      </w:r>
      <w:r>
        <w:rPr>
          <w:b/>
          <w:bCs/>
        </w:rPr>
        <w:t xml:space="preserve"> </w:t>
      </w:r>
      <w:r>
        <w:t xml:space="preserve">and his appeal to the City was also denied (March 17, 2022). The Court rejected his claim that he was “constructively discharged” because of intolerable working conditions. </w:t>
      </w:r>
    </w:p>
    <w:p w14:paraId="7C9E27C9" w14:textId="77777777" w:rsidR="00FA2662" w:rsidRPr="00C72E80" w:rsidRDefault="00FA2662" w:rsidP="00FA2662">
      <w:pPr>
        <w:pStyle w:val="NoSpacing"/>
        <w:ind w:left="720"/>
        <w:rPr>
          <w:rFonts w:ascii="Times New Roman" w:hAnsi="Times New Roman"/>
          <w:sz w:val="24"/>
          <w:szCs w:val="24"/>
        </w:rPr>
      </w:pPr>
      <w:r>
        <w:rPr>
          <w:rFonts w:ascii="Times New Roman" w:hAnsi="Times New Roman"/>
          <w:sz w:val="24"/>
          <w:szCs w:val="24"/>
        </w:rPr>
        <w:t>“</w:t>
      </w:r>
      <w:r w:rsidRPr="00C72E80">
        <w:rPr>
          <w:rFonts w:ascii="Times New Roman" w:hAnsi="Times New Roman"/>
          <w:sz w:val="24"/>
          <w:szCs w:val="24"/>
        </w:rPr>
        <w:t xml:space="preserve">In his verified complaint, plaintiff does not set factual allegations regarding a conflict between the vaccine mandate and his bona fide religious beliefs. Further, while plaintiff alleges that he was threatened with termination in the event he failed to receive the vaccine, there is no allegation that plaintiff was </w:t>
      </w:r>
      <w:proofErr w:type="gramStart"/>
      <w:r w:rsidRPr="00C72E80">
        <w:rPr>
          <w:rFonts w:ascii="Times New Roman" w:hAnsi="Times New Roman"/>
          <w:sz w:val="24"/>
          <w:szCs w:val="24"/>
        </w:rPr>
        <w:t>actually terminated</w:t>
      </w:r>
      <w:proofErr w:type="gramEnd"/>
      <w:r w:rsidRPr="00C72E80">
        <w:rPr>
          <w:rFonts w:ascii="Times New Roman" w:hAnsi="Times New Roman"/>
          <w:sz w:val="24"/>
          <w:szCs w:val="24"/>
        </w:rPr>
        <w:t xml:space="preserve"> or otherwise disciplined. Rather, it is not in dispute that plaintiff retired from service. </w:t>
      </w:r>
      <w:proofErr w:type="gramStart"/>
      <w:r w:rsidRPr="00C72E80">
        <w:rPr>
          <w:rFonts w:ascii="Times New Roman" w:hAnsi="Times New Roman"/>
          <w:sz w:val="24"/>
          <w:szCs w:val="24"/>
        </w:rPr>
        <w:t>Plaintiffs</w:t>
      </w:r>
      <w:proofErr w:type="gramEnd"/>
      <w:r w:rsidRPr="00C72E80">
        <w:rPr>
          <w:rFonts w:ascii="Times New Roman" w:hAnsi="Times New Roman"/>
          <w:sz w:val="24"/>
          <w:szCs w:val="24"/>
        </w:rPr>
        <w:t xml:space="preserve"> contention that his retirement amounts to a </w:t>
      </w:r>
      <w:r>
        <w:rPr>
          <w:rFonts w:ascii="Times New Roman" w:hAnsi="Times New Roman"/>
          <w:sz w:val="24"/>
          <w:szCs w:val="24"/>
        </w:rPr>
        <w:t>c</w:t>
      </w:r>
      <w:r w:rsidRPr="00C72E80">
        <w:rPr>
          <w:rFonts w:ascii="Times New Roman" w:hAnsi="Times New Roman"/>
          <w:sz w:val="24"/>
          <w:szCs w:val="24"/>
        </w:rPr>
        <w:t xml:space="preserve">onstructive </w:t>
      </w:r>
      <w:proofErr w:type="gramStart"/>
      <w:r w:rsidRPr="00C72E80">
        <w:rPr>
          <w:rFonts w:ascii="Times New Roman" w:hAnsi="Times New Roman"/>
          <w:sz w:val="24"/>
          <w:szCs w:val="24"/>
        </w:rPr>
        <w:t>discharge</w:t>
      </w:r>
      <w:proofErr w:type="gramEnd"/>
      <w:r w:rsidRPr="00C72E80">
        <w:rPr>
          <w:rFonts w:ascii="Times New Roman" w:hAnsi="Times New Roman"/>
          <w:sz w:val="24"/>
          <w:szCs w:val="24"/>
        </w:rPr>
        <w:t xml:space="preserve"> or termination is unavailing since plaintiff does not allege facts showing that the FDNY </w:t>
      </w:r>
      <w:r>
        <w:rPr>
          <w:rFonts w:ascii="Times New Roman" w:hAnsi="Times New Roman"/>
          <w:sz w:val="24"/>
          <w:szCs w:val="24"/>
        </w:rPr>
        <w:t>‘</w:t>
      </w:r>
      <w:r w:rsidRPr="00C72E80">
        <w:rPr>
          <w:rFonts w:ascii="Times New Roman" w:hAnsi="Times New Roman"/>
          <w:sz w:val="24"/>
          <w:szCs w:val="24"/>
        </w:rPr>
        <w:t>deliberately created working conditions so intolerable, difficult or unpleasant that a reasonable person would have felt compelled to resign.</w:t>
      </w:r>
      <w:r>
        <w:rPr>
          <w:rFonts w:ascii="Times New Roman" w:hAnsi="Times New Roman"/>
          <w:sz w:val="24"/>
          <w:szCs w:val="24"/>
        </w:rPr>
        <w:t>’</w:t>
      </w:r>
      <w:r w:rsidRPr="00C72E80">
        <w:rPr>
          <w:rFonts w:ascii="Times New Roman" w:hAnsi="Times New Roman"/>
          <w:sz w:val="24"/>
          <w:szCs w:val="24"/>
        </w:rPr>
        <w:t xml:space="preserve"> </w:t>
      </w:r>
      <w:r w:rsidRPr="00C72E80">
        <w:rPr>
          <w:rStyle w:val="Emphasis"/>
          <w:sz w:val="24"/>
          <w:szCs w:val="24"/>
        </w:rPr>
        <w:t>Mascola v City Univ, of N.Y,</w:t>
      </w:r>
      <w:r w:rsidRPr="00C72E80">
        <w:rPr>
          <w:rFonts w:ascii="Times New Roman" w:hAnsi="Times New Roman"/>
          <w:sz w:val="24"/>
          <w:szCs w:val="24"/>
        </w:rPr>
        <w:t xml:space="preserve"> 14 A.D.3d 409, 410 (1st Dept 2010).</w:t>
      </w:r>
      <w:r>
        <w:rPr>
          <w:rFonts w:ascii="Times New Roman" w:hAnsi="Times New Roman"/>
          <w:sz w:val="24"/>
          <w:szCs w:val="24"/>
        </w:rPr>
        <w:t xml:space="preserve">” </w:t>
      </w:r>
      <w:hyperlink r:id="rId2164" w:history="1">
        <w:r w:rsidRPr="00665549">
          <w:rPr>
            <w:rStyle w:val="Hyperlink"/>
            <w:rFonts w:ascii="Times New Roman" w:hAnsi="Times New Roman"/>
            <w:sz w:val="24"/>
            <w:szCs w:val="24"/>
          </w:rPr>
          <w:t>https://casetext.com/case/currid-v-the-city-of-new-york</w:t>
        </w:r>
      </w:hyperlink>
      <w:r>
        <w:rPr>
          <w:rFonts w:ascii="Times New Roman" w:hAnsi="Times New Roman"/>
          <w:sz w:val="24"/>
          <w:szCs w:val="24"/>
        </w:rPr>
        <w:t xml:space="preserve"> </w:t>
      </w:r>
    </w:p>
    <w:p w14:paraId="37AEB9C2" w14:textId="77777777" w:rsidR="00295D7B" w:rsidRPr="005F3052" w:rsidRDefault="00295D7B" w:rsidP="00295D7B">
      <w:pPr>
        <w:pStyle w:val="Heading1"/>
        <w:rPr>
          <w:sz w:val="24"/>
          <w:szCs w:val="24"/>
        </w:rPr>
      </w:pPr>
      <w:r w:rsidRPr="005F3052">
        <w:rPr>
          <w:sz w:val="24"/>
          <w:szCs w:val="24"/>
        </w:rPr>
        <w:t xml:space="preserve">Legal Lesson Learned: FDNY set up a COVID-19 religious accommodation appeal process that was fair. </w:t>
      </w:r>
    </w:p>
    <w:p w14:paraId="2FE4D4F5" w14:textId="77777777" w:rsidR="009F41E7" w:rsidRDefault="009F41E7" w:rsidP="006A02A4">
      <w:pPr>
        <w:rPr>
          <w:rFonts w:ascii="Arial Black" w:hAnsi="Arial Black"/>
          <w:b/>
          <w:bCs/>
          <w:sz w:val="28"/>
          <w:szCs w:val="28"/>
        </w:rPr>
      </w:pPr>
    </w:p>
    <w:p w14:paraId="0CD16A42" w14:textId="77777777" w:rsidR="009F41E7" w:rsidRDefault="009F41E7" w:rsidP="006A02A4">
      <w:pPr>
        <w:rPr>
          <w:rFonts w:ascii="Arial Black" w:hAnsi="Arial Black"/>
          <w:b/>
          <w:bCs/>
          <w:sz w:val="28"/>
          <w:szCs w:val="28"/>
        </w:rPr>
      </w:pPr>
    </w:p>
    <w:p w14:paraId="107C3105" w14:textId="77777777" w:rsidR="009F41E7" w:rsidRDefault="009F41E7" w:rsidP="006A02A4">
      <w:pPr>
        <w:rPr>
          <w:rFonts w:ascii="Arial Black" w:hAnsi="Arial Black"/>
          <w:b/>
          <w:bCs/>
          <w:sz w:val="28"/>
          <w:szCs w:val="28"/>
        </w:rPr>
      </w:pPr>
    </w:p>
    <w:p w14:paraId="3BF403FF" w14:textId="3139286A" w:rsidR="00FC76E4" w:rsidRDefault="00FC76E4" w:rsidP="006A02A4">
      <w:pPr>
        <w:rPr>
          <w:rFonts w:ascii="Arial Black" w:hAnsi="Arial Black"/>
          <w:b/>
          <w:bCs/>
          <w:sz w:val="28"/>
          <w:szCs w:val="28"/>
        </w:rPr>
      </w:pPr>
      <w:r>
        <w:rPr>
          <w:rFonts w:ascii="Arial Black" w:hAnsi="Arial Black"/>
          <w:b/>
          <w:bCs/>
          <w:sz w:val="28"/>
          <w:szCs w:val="28"/>
        </w:rPr>
        <w:t>13-165</w:t>
      </w:r>
    </w:p>
    <w:p w14:paraId="5B9F5446" w14:textId="77777777" w:rsidR="00DB4BC6" w:rsidRPr="00AF3602" w:rsidRDefault="00DB4BC6" w:rsidP="00DB4BC6">
      <w:pPr>
        <w:spacing w:before="100" w:beforeAutospacing="1" w:after="100" w:afterAutospacing="1" w:line="240" w:lineRule="auto"/>
        <w:rPr>
          <w:rFonts w:ascii="Arial Black" w:hAnsi="Arial Black"/>
          <w:sz w:val="28"/>
          <w:szCs w:val="28"/>
        </w:rPr>
      </w:pPr>
      <w:r>
        <w:rPr>
          <w:rFonts w:ascii="Arial Black" w:hAnsi="Arial Black"/>
          <w:sz w:val="28"/>
          <w:szCs w:val="28"/>
        </w:rPr>
        <w:t xml:space="preserve">MA: EMT - BACKGROUND CHECK – HIRED, 1 YR. RESIGNED – NO ACTUAL DAMAGES - CAN SUE BACKGROUND CHECK CO. </w:t>
      </w:r>
    </w:p>
    <w:p w14:paraId="0A70FB57" w14:textId="77777777" w:rsidR="00DB4BC6" w:rsidRPr="004766E1" w:rsidRDefault="00DB4BC6" w:rsidP="00DB4BC6">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On Jan. 8, 2024, in </w:t>
      </w:r>
      <w:r w:rsidRPr="00B71A45">
        <w:rPr>
          <w:rFonts w:ascii="Times New Roman" w:hAnsi="Times New Roman"/>
          <w:sz w:val="24"/>
          <w:szCs w:val="24"/>
          <w:u w:val="single"/>
        </w:rPr>
        <w:t xml:space="preserve">Nicole Kenn v. </w:t>
      </w:r>
      <w:proofErr w:type="spellStart"/>
      <w:r w:rsidRPr="00B71A45">
        <w:rPr>
          <w:rFonts w:ascii="Times New Roman" w:hAnsi="Times New Roman"/>
          <w:sz w:val="24"/>
          <w:szCs w:val="24"/>
          <w:u w:val="single"/>
        </w:rPr>
        <w:t>Eascare</w:t>
      </w:r>
      <w:proofErr w:type="spellEnd"/>
      <w:r w:rsidRPr="00B71A45">
        <w:rPr>
          <w:rFonts w:ascii="Times New Roman" w:hAnsi="Times New Roman"/>
          <w:sz w:val="24"/>
          <w:szCs w:val="24"/>
          <w:u w:val="single"/>
        </w:rPr>
        <w:t>, LLC</w:t>
      </w:r>
      <w:r>
        <w:rPr>
          <w:rFonts w:ascii="Times New Roman" w:hAnsi="Times New Roman"/>
          <w:sz w:val="24"/>
          <w:szCs w:val="24"/>
        </w:rPr>
        <w:t xml:space="preserve">., the Appeals Court of Massachusetts (Norfolk) held (3 to 0) that even if the EMT has not suffered any actual damages (she was hired as an EMT), she still has standing to sue the background check company in state court for nominal damages, between $100 and $100 under the federal </w:t>
      </w:r>
      <w:r w:rsidRPr="000B6CE8">
        <w:rPr>
          <w:rFonts w:ascii="Times New Roman" w:hAnsi="Times New Roman"/>
          <w:sz w:val="24"/>
          <w:szCs w:val="24"/>
        </w:rPr>
        <w:t>Fair Credit Reporting Act, 15 U.S.C. §§ 1681-1681w (FCRA)</w:t>
      </w:r>
      <w:r>
        <w:rPr>
          <w:rFonts w:ascii="Times New Roman" w:hAnsi="Times New Roman"/>
          <w:sz w:val="24"/>
          <w:szCs w:val="24"/>
        </w:rPr>
        <w:t>.  The EMT signed an authorization form entitled “</w:t>
      </w:r>
      <w:r w:rsidRPr="004766E1">
        <w:rPr>
          <w:rFonts w:ascii="Times New Roman" w:hAnsi="Times New Roman"/>
          <w:sz w:val="24"/>
          <w:szCs w:val="24"/>
        </w:rPr>
        <w:t>Consumer Report</w:t>
      </w:r>
      <w:r>
        <w:rPr>
          <w:rFonts w:ascii="Times New Roman" w:hAnsi="Times New Roman"/>
          <w:sz w:val="24"/>
          <w:szCs w:val="24"/>
        </w:rPr>
        <w:t xml:space="preserve"> </w:t>
      </w:r>
      <w:r w:rsidRPr="004766E1">
        <w:rPr>
          <w:rFonts w:ascii="Times New Roman" w:hAnsi="Times New Roman"/>
          <w:sz w:val="24"/>
          <w:szCs w:val="24"/>
        </w:rPr>
        <w:t>/</w:t>
      </w:r>
      <w:r>
        <w:rPr>
          <w:rFonts w:ascii="Times New Roman" w:hAnsi="Times New Roman"/>
          <w:sz w:val="24"/>
          <w:szCs w:val="24"/>
        </w:rPr>
        <w:t xml:space="preserve"> </w:t>
      </w:r>
      <w:r w:rsidRPr="004766E1">
        <w:rPr>
          <w:rFonts w:ascii="Times New Roman" w:hAnsi="Times New Roman"/>
          <w:sz w:val="24"/>
          <w:szCs w:val="24"/>
        </w:rPr>
        <w:t>Investigative Consumer Report Disclosure and Release of Information Authorization</w:t>
      </w:r>
      <w:proofErr w:type="gramStart"/>
      <w:r>
        <w:rPr>
          <w:rFonts w:ascii="Times New Roman" w:hAnsi="Times New Roman"/>
          <w:sz w:val="24"/>
          <w:szCs w:val="24"/>
        </w:rPr>
        <w:t>”</w:t>
      </w:r>
      <w:proofErr w:type="gramEnd"/>
      <w:r>
        <w:rPr>
          <w:rFonts w:ascii="Times New Roman" w:hAnsi="Times New Roman"/>
          <w:sz w:val="24"/>
          <w:szCs w:val="24"/>
        </w:rPr>
        <w:t xml:space="preserve"> but she is now claiming that in the form there was no clear listing that a consumer report was to be obtained. </w:t>
      </w:r>
    </w:p>
    <w:p w14:paraId="2B670063" w14:textId="77777777" w:rsidR="00DB4BC6" w:rsidRDefault="00DB4BC6" w:rsidP="00DB4BC6">
      <w:pPr>
        <w:pStyle w:val="NormalWeb"/>
        <w:ind w:left="720"/>
      </w:pPr>
      <w:r>
        <w:t xml:space="preserve">“Although the plaintiff may not be able to articulate concrete, actual damages arising from </w:t>
      </w:r>
      <w:proofErr w:type="spellStart"/>
      <w:r>
        <w:t>Eascare</w:t>
      </w:r>
      <w:proofErr w:type="spellEnd"/>
      <w:r>
        <w:t xml:space="preserve"> obtaining her consumer report by using a noncompliant disclosure form and requiring her to agree to a release of liability in addition to a background check, the FCRA liability provision recognizes that the injury to the consumer may not be measurable. Thus, in an action for a willful violation, the statute provides for the option of the plaintiff recovering actual </w:t>
      </w:r>
      <w:proofErr w:type="gramStart"/>
      <w:r>
        <w:t>damages</w:t>
      </w:r>
      <w:proofErr w:type="gramEnd"/>
      <w:r>
        <w:t xml:space="preserve"> caused by the FCRA violation or, if the plaintiff cannot prove actual damages, nominal damages between $100 and $1,000. See 15 U.S.C. § 1681n(a)(1)(A). In this regard, the plaintiff's allegation of </w:t>
      </w:r>
      <w:proofErr w:type="spellStart"/>
      <w:r>
        <w:t>Eascare's</w:t>
      </w:r>
      <w:proofErr w:type="spellEnd"/>
      <w:r>
        <w:t xml:space="preserve"> willfulness is critical, as the cause of action for a negligent violation, by contrast, does require a showing of actual damages. See 15 U.S.C. § 1681o(a)(1).” </w:t>
      </w:r>
    </w:p>
    <w:p w14:paraId="2986B041" w14:textId="77777777" w:rsidR="00DB4BC6" w:rsidRDefault="00DB4BC6" w:rsidP="00DB4BC6">
      <w:pPr>
        <w:pStyle w:val="NormalWeb"/>
        <w:ind w:firstLine="720"/>
      </w:pPr>
      <w:r>
        <w:t>***</w:t>
      </w:r>
    </w:p>
    <w:p w14:paraId="2F2482BC" w14:textId="77777777" w:rsidR="00DB4BC6" w:rsidRDefault="00DB4BC6" w:rsidP="00DB4BC6">
      <w:pPr>
        <w:pStyle w:val="NormalWeb"/>
        <w:ind w:left="720"/>
        <w:rPr>
          <w:vertAlign w:val="superscript"/>
        </w:rPr>
      </w:pPr>
      <w:r>
        <w:t xml:space="preserve">Here, the plaintiff has plausibly alleged liability </w:t>
      </w:r>
      <w:proofErr w:type="gramStart"/>
      <w:r>
        <w:t>of</w:t>
      </w:r>
      <w:proofErr w:type="gramEnd"/>
      <w:r>
        <w:t xml:space="preserve"> </w:t>
      </w:r>
      <w:proofErr w:type="spellStart"/>
      <w:r>
        <w:t>Eascare</w:t>
      </w:r>
      <w:proofErr w:type="spellEnd"/>
      <w:r>
        <w:t xml:space="preserve"> for FCRA violations and an entitlement to damages if she prevails. The judgment dismissing the plaintiff's FCRA claims for lack of standing is vacated, and the plaintiff may proceed on her claims in the Superior Court.” </w:t>
      </w:r>
      <w:hyperlink r:id="rId2165" w:history="1">
        <w:r w:rsidRPr="00A46316">
          <w:rPr>
            <w:rStyle w:val="Hyperlink"/>
          </w:rPr>
          <w:t>https://casetext.com/case/kenn-v-eascare-llc-1</w:t>
        </w:r>
      </w:hyperlink>
      <w:r>
        <w:t xml:space="preserve"> </w:t>
      </w:r>
    </w:p>
    <w:p w14:paraId="595C6165" w14:textId="77777777" w:rsidR="009F41E7" w:rsidRDefault="009F41E7" w:rsidP="009F41E7">
      <w:pPr>
        <w:pStyle w:val="NormalWeb"/>
        <w:rPr>
          <w:b/>
          <w:bCs/>
        </w:rPr>
      </w:pPr>
      <w:r w:rsidRPr="008035CB">
        <w:rPr>
          <w:b/>
          <w:bCs/>
        </w:rPr>
        <w:t>Legal Lesson Learned:</w:t>
      </w:r>
      <w:r>
        <w:rPr>
          <w:b/>
          <w:bCs/>
        </w:rPr>
        <w:t xml:space="preserve">  The EMS agency in this case was not sued.  EMS and Fire agencies that use background check companies should require the company to defend and indemnify the agency for any alleged violations of the FCRA. </w:t>
      </w:r>
    </w:p>
    <w:p w14:paraId="48115494" w14:textId="77777777" w:rsidR="009F41E7" w:rsidRPr="008035CB" w:rsidRDefault="009F41E7" w:rsidP="009F41E7">
      <w:pPr>
        <w:pStyle w:val="NormalWeb"/>
        <w:ind w:left="720"/>
        <w:rPr>
          <w:b/>
          <w:bCs/>
        </w:rPr>
      </w:pPr>
      <w:r w:rsidRPr="00AE333A">
        <w:t xml:space="preserve">Note: In Ohio, Fire Chiefs of township or fire district can have state conduct criminal history </w:t>
      </w:r>
      <w:proofErr w:type="gramStart"/>
      <w:r w:rsidRPr="00AE333A">
        <w:t>check</w:t>
      </w:r>
      <w:proofErr w:type="gramEnd"/>
      <w:r w:rsidRPr="00AE333A">
        <w:t xml:space="preserve">. </w:t>
      </w:r>
      <w:r>
        <w:t xml:space="preserve">See </w:t>
      </w:r>
      <w:hyperlink r:id="rId2166" w:history="1">
        <w:r w:rsidRPr="00A46316">
          <w:rPr>
            <w:rStyle w:val="Hyperlink"/>
          </w:rPr>
          <w:t>https://codes.ohio.gov/ohio-revised-code/section-505.381</w:t>
        </w:r>
      </w:hyperlink>
      <w:r>
        <w:t xml:space="preserve"> “(A) The fire chief of a township or fire district may request the superintendent of BCII to conduct a criminal records check with respect to any person who is under consideration for appointment or employment as a permanent, full-time paid firefighter or any person who is under consideration for appointment as a volunteer firefighter.”</w:t>
      </w:r>
    </w:p>
    <w:p w14:paraId="692598A4" w14:textId="77777777" w:rsidR="00FC76E4" w:rsidRDefault="00FC76E4" w:rsidP="006A02A4">
      <w:pPr>
        <w:rPr>
          <w:rFonts w:ascii="Arial Black" w:hAnsi="Arial Black"/>
          <w:b/>
          <w:bCs/>
          <w:sz w:val="28"/>
          <w:szCs w:val="28"/>
        </w:rPr>
      </w:pPr>
    </w:p>
    <w:p w14:paraId="061E6D67" w14:textId="77777777" w:rsidR="00FC76E4" w:rsidRDefault="00FC76E4" w:rsidP="006A02A4">
      <w:pPr>
        <w:rPr>
          <w:rFonts w:ascii="Arial Black" w:hAnsi="Arial Black"/>
          <w:b/>
          <w:bCs/>
          <w:sz w:val="28"/>
          <w:szCs w:val="28"/>
        </w:rPr>
      </w:pPr>
    </w:p>
    <w:p w14:paraId="5B0653D8" w14:textId="1B4A229C" w:rsidR="009B2B57" w:rsidRDefault="009B2B57" w:rsidP="006A02A4">
      <w:pPr>
        <w:rPr>
          <w:rFonts w:ascii="Arial Black" w:hAnsi="Arial Black"/>
          <w:b/>
          <w:bCs/>
          <w:sz w:val="28"/>
          <w:szCs w:val="28"/>
        </w:rPr>
      </w:pPr>
      <w:r>
        <w:rPr>
          <w:rFonts w:ascii="Arial Black" w:hAnsi="Arial Black"/>
          <w:b/>
          <w:bCs/>
          <w:sz w:val="28"/>
          <w:szCs w:val="28"/>
        </w:rPr>
        <w:t>13-164</w:t>
      </w:r>
    </w:p>
    <w:p w14:paraId="4FE0F1CE" w14:textId="77777777" w:rsidR="00715650" w:rsidRPr="002436E5" w:rsidRDefault="00715650" w:rsidP="00715650">
      <w:pPr>
        <w:pStyle w:val="NormalWeb"/>
        <w:rPr>
          <w:rFonts w:ascii="Arial Black" w:hAnsi="Arial Black"/>
          <w:b/>
          <w:bCs/>
          <w:sz w:val="28"/>
          <w:szCs w:val="28"/>
        </w:rPr>
      </w:pPr>
      <w:r w:rsidRPr="002436E5">
        <w:rPr>
          <w:rFonts w:ascii="Arial Black" w:hAnsi="Arial Black"/>
          <w:b/>
          <w:bCs/>
          <w:sz w:val="28"/>
          <w:szCs w:val="28"/>
        </w:rPr>
        <w:lastRenderedPageBreak/>
        <w:t>NY</w:t>
      </w:r>
      <w:r>
        <w:rPr>
          <w:rFonts w:ascii="Arial Black" w:hAnsi="Arial Black"/>
          <w:b/>
          <w:bCs/>
          <w:sz w:val="28"/>
          <w:szCs w:val="28"/>
        </w:rPr>
        <w:t xml:space="preserve">: </w:t>
      </w:r>
      <w:r w:rsidRPr="002436E5">
        <w:rPr>
          <w:rFonts w:ascii="Arial Black" w:hAnsi="Arial Black"/>
          <w:b/>
          <w:bCs/>
          <w:sz w:val="28"/>
          <w:szCs w:val="28"/>
        </w:rPr>
        <w:t xml:space="preserve">TOWN </w:t>
      </w:r>
      <w:r>
        <w:rPr>
          <w:rFonts w:ascii="Arial Black" w:hAnsi="Arial Black"/>
          <w:b/>
          <w:bCs/>
          <w:sz w:val="28"/>
          <w:szCs w:val="28"/>
        </w:rPr>
        <w:t xml:space="preserve">DIDN’T RENEW </w:t>
      </w:r>
      <w:r w:rsidRPr="002436E5">
        <w:rPr>
          <w:rFonts w:ascii="Arial Black" w:hAnsi="Arial Black"/>
          <w:b/>
          <w:bCs/>
          <w:sz w:val="28"/>
          <w:szCs w:val="28"/>
        </w:rPr>
        <w:t xml:space="preserve"> </w:t>
      </w:r>
      <w:r>
        <w:rPr>
          <w:rFonts w:ascii="Arial Black" w:hAnsi="Arial Black"/>
          <w:b/>
          <w:bCs/>
          <w:sz w:val="28"/>
          <w:szCs w:val="28"/>
        </w:rPr>
        <w:t xml:space="preserve">VOL. </w:t>
      </w:r>
      <w:r w:rsidRPr="002436E5">
        <w:rPr>
          <w:rFonts w:ascii="Arial Black" w:hAnsi="Arial Black"/>
          <w:b/>
          <w:bCs/>
          <w:sz w:val="28"/>
          <w:szCs w:val="28"/>
        </w:rPr>
        <w:t>AMBUL</w:t>
      </w:r>
      <w:r>
        <w:rPr>
          <w:rFonts w:ascii="Arial Black" w:hAnsi="Arial Black"/>
          <w:b/>
          <w:bCs/>
          <w:sz w:val="28"/>
          <w:szCs w:val="28"/>
        </w:rPr>
        <w:t xml:space="preserve">. CO. – SLOW RESPONSE TIMES / NO PAID CREWS - </w:t>
      </w:r>
      <w:r w:rsidRPr="002436E5">
        <w:rPr>
          <w:rFonts w:ascii="Arial Black" w:hAnsi="Arial Black"/>
          <w:b/>
          <w:bCs/>
          <w:sz w:val="28"/>
          <w:szCs w:val="28"/>
        </w:rPr>
        <w:t>60 DAYS NOTICE</w:t>
      </w:r>
    </w:p>
    <w:p w14:paraId="03A954E4" w14:textId="66DEB331" w:rsidR="00715650" w:rsidRPr="00030936" w:rsidRDefault="00715650" w:rsidP="00715650">
      <w:pPr>
        <w:pStyle w:val="NoSpacing"/>
        <w:rPr>
          <w:rFonts w:ascii="Times New Roman" w:hAnsi="Times New Roman"/>
          <w:sz w:val="24"/>
          <w:szCs w:val="24"/>
        </w:rPr>
      </w:pPr>
      <w:r w:rsidRPr="00030936">
        <w:rPr>
          <w:rFonts w:ascii="Times New Roman" w:hAnsi="Times New Roman"/>
          <w:sz w:val="24"/>
          <w:szCs w:val="24"/>
        </w:rPr>
        <w:t xml:space="preserve">On Dec. 28, 2023, in </w:t>
      </w:r>
      <w:r w:rsidRPr="00030936">
        <w:rPr>
          <w:rFonts w:ascii="Times New Roman" w:hAnsi="Times New Roman"/>
          <w:sz w:val="24"/>
          <w:szCs w:val="24"/>
          <w:u w:val="single"/>
        </w:rPr>
        <w:t>Rampo Valley Ambulance Corps, Inc., et al. v. Town of Rampo, et al</w:t>
      </w:r>
      <w:r w:rsidRPr="00030936">
        <w:rPr>
          <w:rFonts w:ascii="Times New Roman" w:hAnsi="Times New Roman"/>
          <w:sz w:val="24"/>
          <w:szCs w:val="24"/>
        </w:rPr>
        <w:t xml:space="preserve">., United States District Court Judge Phillip M. Haper, Southern District of New York, granted the Town’s motion to dismiss the May 11, </w:t>
      </w:r>
      <w:proofErr w:type="gramStart"/>
      <w:r w:rsidRPr="00030936">
        <w:rPr>
          <w:rFonts w:ascii="Times New Roman" w:hAnsi="Times New Roman"/>
          <w:sz w:val="24"/>
          <w:szCs w:val="24"/>
        </w:rPr>
        <w:t>2022</w:t>
      </w:r>
      <w:proofErr w:type="gramEnd"/>
      <w:r w:rsidRPr="00030936">
        <w:rPr>
          <w:rFonts w:ascii="Times New Roman" w:hAnsi="Times New Roman"/>
          <w:sz w:val="24"/>
          <w:szCs w:val="24"/>
        </w:rPr>
        <w:t xml:space="preserve"> lawsuit. The Court wrote: “The Agreement did not protect RVAC from the Town's revocation of a status. *** However, the Court has already found in the procedural due process context that RVAC does not have a constitutionally protected property interest derived from the Agreement. *** Here, RVAC alleges that the Town “controlled the billing, dispatching, payments, and staffing of RVAC, and</w:t>
      </w:r>
      <w:r w:rsidR="00780354">
        <w:rPr>
          <w:rFonts w:ascii="Times New Roman" w:hAnsi="Times New Roman"/>
          <w:sz w:val="24"/>
          <w:szCs w:val="24"/>
        </w:rPr>
        <w:t xml:space="preserve"> </w:t>
      </w:r>
      <w:r w:rsidRPr="00030936">
        <w:rPr>
          <w:rFonts w:ascii="Times New Roman" w:hAnsi="Times New Roman"/>
          <w:sz w:val="24"/>
          <w:szCs w:val="24"/>
        </w:rPr>
        <w:t xml:space="preserve">did so in a wholly different and in a discriminatory manner than the way the Town executed its contracts and requirements, as well as, managing relationships with and for the other ambulance corporations servicing the people of Ramapo.” (Opp. at 21). This conduct, even in the context of  providing emergency medical services, does not amount to conduct that is so ‘truly brutal and offensive to human dignity’ as to shock the </w:t>
      </w:r>
      <w:proofErr w:type="gramStart"/>
      <w:r w:rsidRPr="00030936">
        <w:rPr>
          <w:rFonts w:ascii="Times New Roman" w:hAnsi="Times New Roman"/>
          <w:sz w:val="24"/>
          <w:szCs w:val="24"/>
        </w:rPr>
        <w:t>conscience.”</w:t>
      </w:r>
      <w:proofErr w:type="gramEnd"/>
      <w:r w:rsidRPr="00030936">
        <w:rPr>
          <w:rFonts w:ascii="Times New Roman" w:hAnsi="Times New Roman"/>
          <w:sz w:val="24"/>
          <w:szCs w:val="24"/>
        </w:rPr>
        <w:t xml:space="preserve"> </w:t>
      </w:r>
      <w:hyperlink r:id="rId2167" w:history="1">
        <w:r w:rsidRPr="00030936">
          <w:rPr>
            <w:rStyle w:val="Hyperlink"/>
            <w:rFonts w:ascii="Times New Roman" w:hAnsi="Times New Roman"/>
            <w:sz w:val="24"/>
            <w:szCs w:val="24"/>
          </w:rPr>
          <w:t>https://cases.justia.com/federal/district-courts/new-york/nysdce/7:2022cv04047/580058/37/0.pdf?ts=1703868116</w:t>
        </w:r>
      </w:hyperlink>
      <w:r w:rsidRPr="00030936">
        <w:rPr>
          <w:rFonts w:ascii="Times New Roman" w:hAnsi="Times New Roman"/>
          <w:sz w:val="24"/>
          <w:szCs w:val="24"/>
        </w:rPr>
        <w:t xml:space="preserve"> </w:t>
      </w:r>
    </w:p>
    <w:p w14:paraId="7A2D51A3" w14:textId="77777777" w:rsidR="007C5017" w:rsidRPr="009715E3" w:rsidRDefault="007C5017" w:rsidP="007C5017">
      <w:pPr>
        <w:pStyle w:val="NormalWeb"/>
        <w:rPr>
          <w:b/>
          <w:bCs/>
        </w:rPr>
      </w:pPr>
      <w:r w:rsidRPr="009715E3">
        <w:rPr>
          <w:b/>
          <w:bCs/>
        </w:rPr>
        <w:t>Legal Lesson Learned:</w:t>
      </w:r>
      <w:r>
        <w:rPr>
          <w:b/>
          <w:bCs/>
        </w:rPr>
        <w:t xml:space="preserve">  The volunteer ambulance company did not have a “constitutionally protected interest” in the agreement with the Town; if feel being mistreated, bring it to attention of elected officials. </w:t>
      </w:r>
    </w:p>
    <w:p w14:paraId="37A1C0F1" w14:textId="77777777" w:rsidR="007C5017" w:rsidRPr="006569AE" w:rsidRDefault="007C5017" w:rsidP="007C5017">
      <w:pPr>
        <w:pStyle w:val="NormalWeb"/>
        <w:ind w:left="720"/>
        <w:rPr>
          <w:color w:val="0563C1" w:themeColor="hyperlink"/>
          <w:u w:val="single"/>
        </w:rPr>
      </w:pPr>
      <w:r>
        <w:t xml:space="preserve">Note: </w:t>
      </w:r>
      <w:r w:rsidRPr="00DA3539">
        <w:t xml:space="preserve">See </w:t>
      </w:r>
      <w:r>
        <w:t>this article.</w:t>
      </w:r>
      <w:r w:rsidRPr="00DA3539">
        <w:t xml:space="preserve">  Aug. 16, 2022:</w:t>
      </w:r>
      <w:r>
        <w:rPr>
          <w:b/>
          <w:bCs/>
        </w:rPr>
        <w:t xml:space="preserve">  “</w:t>
      </w:r>
      <w:r>
        <w:t xml:space="preserve">Ramapo Valley Ambulance Corps defunded after disputes; see why, town's plan for service.” </w:t>
      </w:r>
      <w:hyperlink r:id="rId2168" w:history="1">
        <w:r w:rsidRPr="00AB6C1F">
          <w:rPr>
            <w:rStyle w:val="Hyperlink"/>
          </w:rPr>
          <w:t>https://www.lohud.com/story/news/local/rockland/2022/08/16/ramapo-valley-ambulance-corps-defunded/65406353007/</w:t>
        </w:r>
      </w:hyperlink>
      <w:r>
        <w:rPr>
          <w:rStyle w:val="Hyperlink"/>
        </w:rPr>
        <w:t xml:space="preserve"> </w:t>
      </w:r>
      <w:r>
        <w:t>“Recently there has been a range of serious issues involving Ramapo Valley Ambulance Corps (RVAC), including missed dispatch calls, delayed response times, and poor response rate,” Specht said in statement. “Despite the town’s best efforts to urge RVAC to rectify what regrettably became a critical and unacceptable situation, the RVAC leadership, unfortunately, failed to do so, thereby compelling the town to take action to best protect Ramapo families.”</w:t>
      </w:r>
    </w:p>
    <w:p w14:paraId="18589CAD" w14:textId="77777777" w:rsidR="009B2B57" w:rsidRDefault="009B2B57" w:rsidP="006A02A4">
      <w:pPr>
        <w:rPr>
          <w:rFonts w:ascii="Arial Black" w:hAnsi="Arial Black"/>
          <w:b/>
          <w:bCs/>
          <w:sz w:val="28"/>
          <w:szCs w:val="28"/>
        </w:rPr>
      </w:pPr>
    </w:p>
    <w:p w14:paraId="40BB0F61" w14:textId="77777777" w:rsidR="009B2B57" w:rsidRDefault="009B2B57" w:rsidP="006A02A4">
      <w:pPr>
        <w:rPr>
          <w:rFonts w:ascii="Arial Black" w:hAnsi="Arial Black"/>
          <w:b/>
          <w:bCs/>
          <w:sz w:val="28"/>
          <w:szCs w:val="28"/>
        </w:rPr>
      </w:pPr>
    </w:p>
    <w:p w14:paraId="247B19DC" w14:textId="77777777" w:rsidR="009B2B57" w:rsidRDefault="009B2B57" w:rsidP="006A02A4">
      <w:pPr>
        <w:rPr>
          <w:rFonts w:ascii="Arial Black" w:hAnsi="Arial Black"/>
          <w:b/>
          <w:bCs/>
          <w:sz w:val="28"/>
          <w:szCs w:val="28"/>
        </w:rPr>
      </w:pPr>
    </w:p>
    <w:p w14:paraId="2192E90D" w14:textId="6349E24A" w:rsidR="006E6416" w:rsidRDefault="006E6416" w:rsidP="006A02A4">
      <w:pPr>
        <w:rPr>
          <w:rFonts w:ascii="Arial Black" w:hAnsi="Arial Black"/>
          <w:b/>
          <w:bCs/>
          <w:sz w:val="28"/>
          <w:szCs w:val="28"/>
        </w:rPr>
      </w:pPr>
      <w:r>
        <w:rPr>
          <w:rFonts w:ascii="Arial Black" w:hAnsi="Arial Black"/>
          <w:b/>
          <w:bCs/>
          <w:sz w:val="28"/>
          <w:szCs w:val="28"/>
        </w:rPr>
        <w:t>13-163</w:t>
      </w:r>
    </w:p>
    <w:p w14:paraId="5ED20E59" w14:textId="77777777" w:rsidR="0025382C" w:rsidRPr="00EA0B46" w:rsidRDefault="0025382C" w:rsidP="0025382C">
      <w:pPr>
        <w:pStyle w:val="NormalWeb"/>
        <w:rPr>
          <w:rFonts w:ascii="Arial Black" w:hAnsi="Arial Black"/>
          <w:b/>
          <w:bCs/>
          <w:sz w:val="28"/>
          <w:szCs w:val="28"/>
        </w:rPr>
      </w:pPr>
      <w:r>
        <w:rPr>
          <w:rFonts w:ascii="Arial Black" w:hAnsi="Arial Black"/>
          <w:b/>
          <w:bCs/>
          <w:sz w:val="28"/>
          <w:szCs w:val="28"/>
        </w:rPr>
        <w:t xml:space="preserve">KY: HIPAA – NO PRIVATE RIGHT TO SUE - HOSPITAL REPORTED PRISONER TRYING “DRINK HIMSELF TO DEATH” </w:t>
      </w:r>
    </w:p>
    <w:p w14:paraId="3B7D4B0B" w14:textId="77777777" w:rsidR="0025382C" w:rsidRDefault="0025382C" w:rsidP="0025382C">
      <w:pPr>
        <w:pStyle w:val="NormalWeb"/>
      </w:pPr>
      <w:r>
        <w:t xml:space="preserve">On Dec. 21, 2023, in </w:t>
      </w:r>
      <w:r w:rsidRPr="00C47073">
        <w:rPr>
          <w:u w:val="single"/>
        </w:rPr>
        <w:t>Michael Shane Reid v. Med Center Health / EMS</w:t>
      </w:r>
      <w:r>
        <w:t xml:space="preserve">, Senior U.S. District Court Judge Joseph H. McKinnley, Jr., U.S. District Court for Westen District of Kentucky, Bowling Green Division, dismissed a lawsuit against a hospital brought by a prisoner filing lawsuit pro se [no attorney]. The Court held: “Plaintiff's only claim in this action is based upon HIPAA. Title II of HIPAA, codified at </w:t>
      </w:r>
      <w:hyperlink r:id="rId2169" w:history="1">
        <w:r>
          <w:rPr>
            <w:rStyle w:val="Hyperlink"/>
          </w:rPr>
          <w:t>42 U.S.C. § 1320a</w:t>
        </w:r>
      </w:hyperlink>
      <w:r>
        <w:t xml:space="preserve"> </w:t>
      </w:r>
      <w:r>
        <w:rPr>
          <w:i/>
          <w:iCs/>
        </w:rPr>
        <w:t>et seq.</w:t>
      </w:r>
      <w:r>
        <w:t xml:space="preserve">, was created to protect against the unauthorized disclosure of health records and information by a medical provider. However, only the Secretary of the Department of Health and Human Services may file suit to enforce its provisions… Private citizens have no standing to sue for a violation of HIPAA because HIPAA does not authorize a private cause of action.” </w:t>
      </w:r>
      <w:hyperlink r:id="rId2170" w:history="1">
        <w:r w:rsidRPr="003C47C7">
          <w:rPr>
            <w:rStyle w:val="Hyperlink"/>
          </w:rPr>
          <w:t>https://casetext.com/case/reid-v-med-ctr-healthems</w:t>
        </w:r>
      </w:hyperlink>
      <w:r>
        <w:t xml:space="preserve"> </w:t>
      </w:r>
    </w:p>
    <w:p w14:paraId="5E610E5F" w14:textId="77777777" w:rsidR="009B2B57" w:rsidRDefault="009B2B57" w:rsidP="009B2B57">
      <w:pPr>
        <w:pStyle w:val="NormalWeb"/>
        <w:rPr>
          <w:b/>
          <w:bCs/>
        </w:rPr>
      </w:pPr>
      <w:r w:rsidRPr="00AA30DE">
        <w:rPr>
          <w:b/>
          <w:bCs/>
        </w:rPr>
        <w:lastRenderedPageBreak/>
        <w:t>Legal Lesson Learned:</w:t>
      </w:r>
      <w:r>
        <w:rPr>
          <w:b/>
          <w:bCs/>
        </w:rPr>
        <w:t xml:space="preserve"> HIPAA does not authorize citizen lawsuits. </w:t>
      </w:r>
    </w:p>
    <w:p w14:paraId="4C712C6D" w14:textId="77777777" w:rsidR="009B2B57" w:rsidRPr="009B2B57" w:rsidRDefault="009B2B57" w:rsidP="009B2B57">
      <w:pPr>
        <w:pStyle w:val="Heading2"/>
        <w:ind w:left="720"/>
        <w:rPr>
          <w:rFonts w:ascii="Times New Roman" w:hAnsi="Times New Roman"/>
          <w:b w:val="0"/>
          <w:bCs w:val="0"/>
          <w:i w:val="0"/>
          <w:iCs w:val="0"/>
          <w:sz w:val="24"/>
          <w:szCs w:val="24"/>
        </w:rPr>
      </w:pPr>
      <w:r w:rsidRPr="009B2B57">
        <w:rPr>
          <w:rFonts w:ascii="Times New Roman" w:hAnsi="Times New Roman"/>
          <w:b w:val="0"/>
          <w:bCs w:val="0"/>
          <w:i w:val="0"/>
          <w:iCs w:val="0"/>
          <w:color w:val="000000" w:themeColor="text1"/>
          <w:sz w:val="24"/>
          <w:szCs w:val="24"/>
        </w:rPr>
        <w:t xml:space="preserve">Note: See HIPAA Enforcement Actions. Enforcement Results as of October 31, 2023. </w:t>
      </w:r>
      <w:hyperlink r:id="rId2171" w:history="1">
        <w:r w:rsidRPr="009B2B57">
          <w:rPr>
            <w:rStyle w:val="Hyperlink"/>
            <w:rFonts w:ascii="Times New Roman" w:hAnsi="Times New Roman"/>
            <w:b w:val="0"/>
            <w:bCs w:val="0"/>
            <w:i w:val="0"/>
            <w:iCs w:val="0"/>
            <w:sz w:val="24"/>
            <w:szCs w:val="24"/>
          </w:rPr>
          <w:t>https://www.hhs.gov/hipaa/for-professionals/compliance-enforcement/data/enforcement-highlights/index.html</w:t>
        </w:r>
      </w:hyperlink>
      <w:r w:rsidRPr="009B2B57">
        <w:rPr>
          <w:rFonts w:ascii="Times New Roman" w:hAnsi="Times New Roman"/>
          <w:b w:val="0"/>
          <w:bCs w:val="0"/>
          <w:i w:val="0"/>
          <w:iCs w:val="0"/>
          <w:color w:val="000000" w:themeColor="text1"/>
          <w:sz w:val="24"/>
          <w:szCs w:val="24"/>
        </w:rPr>
        <w:t xml:space="preserve">. </w:t>
      </w:r>
      <w:r w:rsidRPr="009B2B57">
        <w:rPr>
          <w:rFonts w:ascii="Times New Roman" w:hAnsi="Times New Roman"/>
          <w:b w:val="0"/>
          <w:bCs w:val="0"/>
          <w:i w:val="0"/>
          <w:iCs w:val="0"/>
          <w:sz w:val="24"/>
          <w:szCs w:val="24"/>
        </w:rPr>
        <w:t>“Since the compliance date of the Privacy Rule in April 2003, OCR has received over 344,607 HIPAA complaints and has initiated over 1,179 compliance reviews.  We have resolved ninety-nine percent of these cases (341,304).”</w:t>
      </w:r>
    </w:p>
    <w:p w14:paraId="2CC235B4" w14:textId="77777777" w:rsidR="009B2B57" w:rsidRPr="00C13067" w:rsidRDefault="009B2B57" w:rsidP="009B2B57">
      <w:pPr>
        <w:pStyle w:val="Heading1"/>
        <w:ind w:left="720"/>
        <w:rPr>
          <w:sz w:val="24"/>
          <w:szCs w:val="24"/>
        </w:rPr>
      </w:pPr>
      <w:r w:rsidRPr="00C13067">
        <w:rPr>
          <w:b w:val="0"/>
          <w:bCs w:val="0"/>
          <w:sz w:val="24"/>
          <w:szCs w:val="24"/>
        </w:rPr>
        <w:t>For example:</w:t>
      </w:r>
      <w:r>
        <w:t xml:space="preserve"> </w:t>
      </w:r>
      <w:r w:rsidRPr="00C13067">
        <w:rPr>
          <w:b w:val="0"/>
          <w:bCs w:val="0"/>
          <w:sz w:val="24"/>
          <w:szCs w:val="24"/>
        </w:rPr>
        <w:t xml:space="preserve">Dec. 30, 2019: </w:t>
      </w:r>
      <w:r>
        <w:rPr>
          <w:b w:val="0"/>
          <w:bCs w:val="0"/>
          <w:sz w:val="24"/>
          <w:szCs w:val="24"/>
        </w:rPr>
        <w:t>“</w:t>
      </w:r>
      <w:r w:rsidRPr="00C13067">
        <w:rPr>
          <w:b w:val="0"/>
          <w:bCs w:val="0"/>
          <w:sz w:val="24"/>
          <w:szCs w:val="24"/>
        </w:rPr>
        <w:t>Ambulance Company Pays $65,000 to Settle Allegations of Longstanding HIPAA Noncompliance</w:t>
      </w:r>
      <w:r>
        <w:rPr>
          <w:b w:val="0"/>
          <w:bCs w:val="0"/>
          <w:sz w:val="24"/>
          <w:szCs w:val="24"/>
        </w:rPr>
        <w:t xml:space="preserve">.” </w:t>
      </w:r>
      <w:hyperlink r:id="rId2172" w:history="1">
        <w:r w:rsidRPr="003C47C7">
          <w:rPr>
            <w:rStyle w:val="Hyperlink"/>
            <w:b w:val="0"/>
            <w:bCs w:val="0"/>
            <w:sz w:val="24"/>
            <w:szCs w:val="24"/>
          </w:rPr>
          <w:t>https://public3.pagefreezer.com/browse/HHS.gov/31-12-2020T08:51/https://www.hhs.gov/about/news/2019/12/30/ambulance-company-pays-65000-settle-allegations-longstanding-hipaa-noncompliance.html</w:t>
        </w:r>
      </w:hyperlink>
      <w:r>
        <w:rPr>
          <w:b w:val="0"/>
          <w:bCs w:val="0"/>
          <w:sz w:val="24"/>
          <w:szCs w:val="24"/>
        </w:rPr>
        <w:t xml:space="preserve">. </w:t>
      </w:r>
    </w:p>
    <w:p w14:paraId="319307A5" w14:textId="77777777" w:rsidR="009B2B57" w:rsidRPr="00C13067" w:rsidRDefault="009B2B57" w:rsidP="009B2B57">
      <w:pPr>
        <w:pStyle w:val="NormalWeb"/>
        <w:ind w:left="720"/>
      </w:pPr>
      <w:r>
        <w:t>“</w:t>
      </w:r>
      <w:r w:rsidRPr="00C13067">
        <w:t>West Georgia Ambulance, Inc. (West Georgia), has agreed to pay $65,000 to the Office for Civil Rights (OCR) at the U.S. Department of Health and Human Services (HHS) and to adopt a corrective action plan to settle potential violations of the Health Insurance Portability and Accountability Act (HIPAA) Security Rule. West Georgia is an ambulance company that provides emergency and non-emergency ambulance services in Carroll County, Georgia.</w:t>
      </w:r>
    </w:p>
    <w:p w14:paraId="709902D4" w14:textId="77777777" w:rsidR="009B2B57" w:rsidRPr="00C13067" w:rsidRDefault="009B2B57" w:rsidP="009B2B57">
      <w:pPr>
        <w:pStyle w:val="NormalWeb"/>
        <w:ind w:left="720"/>
      </w:pPr>
      <w:r w:rsidRPr="00C13067">
        <w:t xml:space="preserve">OCR began its investigation after West Georgia filed a breach report in 2013 concerning the loss of an unencrypted laptop containing the protected health information (PHI) of 500 individuals. OCR’s investigation uncovered long-standing noncompliance with the HIPAA Rules, including failures to conduct a risk analysis, </w:t>
      </w:r>
      <w:proofErr w:type="gramStart"/>
      <w:r w:rsidRPr="00C13067">
        <w:t>provide</w:t>
      </w:r>
      <w:proofErr w:type="gramEnd"/>
      <w:r w:rsidRPr="00C13067">
        <w:t xml:space="preserve"> a security awareness and training program, and </w:t>
      </w:r>
      <w:proofErr w:type="gramStart"/>
      <w:r w:rsidRPr="00C13067">
        <w:t>implement</w:t>
      </w:r>
      <w:proofErr w:type="gramEnd"/>
      <w:r w:rsidRPr="00C13067">
        <w:t xml:space="preserve"> HIPAA Security Rule policies and procedures. Despite OCR’s investigation and technical assistance, West Georgia did not take meaningful steps to address their systemic failures.</w:t>
      </w:r>
      <w:r>
        <w:t>”</w:t>
      </w:r>
    </w:p>
    <w:p w14:paraId="390E8091" w14:textId="77777777" w:rsidR="009B2B57" w:rsidRPr="006455BA" w:rsidRDefault="009B2B57" w:rsidP="009B2B57">
      <w:pPr>
        <w:pStyle w:val="NormalWeb"/>
        <w:ind w:left="720"/>
      </w:pPr>
      <w:r>
        <w:t>Other e</w:t>
      </w:r>
      <w:r w:rsidRPr="006455BA">
        <w:t xml:space="preserve">xamples of HIPAA </w:t>
      </w:r>
      <w:r>
        <w:t xml:space="preserve">enforcement actions: </w:t>
      </w:r>
      <w:hyperlink r:id="rId2173" w:anchor="case5" w:history="1">
        <w:r w:rsidRPr="003C47C7">
          <w:rPr>
            <w:rStyle w:val="Hyperlink"/>
          </w:rPr>
          <w:t>https://www.hhs.gov/hipaa/for-professionals/compliance-enforcement/examples/all-cases/index.html#case5</w:t>
        </w:r>
      </w:hyperlink>
      <w:r w:rsidRPr="006455BA">
        <w:t xml:space="preserve"> </w:t>
      </w:r>
    </w:p>
    <w:p w14:paraId="175D82BA" w14:textId="77777777" w:rsidR="006E6416" w:rsidRDefault="006E6416" w:rsidP="006A02A4">
      <w:pPr>
        <w:rPr>
          <w:rFonts w:ascii="Arial Black" w:hAnsi="Arial Black"/>
          <w:b/>
          <w:bCs/>
          <w:sz w:val="28"/>
          <w:szCs w:val="28"/>
        </w:rPr>
      </w:pPr>
    </w:p>
    <w:p w14:paraId="4A7BFABE" w14:textId="77777777" w:rsidR="006E6416" w:rsidRDefault="006E6416" w:rsidP="006A02A4">
      <w:pPr>
        <w:rPr>
          <w:rFonts w:ascii="Arial Black" w:hAnsi="Arial Black"/>
          <w:b/>
          <w:bCs/>
          <w:sz w:val="28"/>
          <w:szCs w:val="28"/>
        </w:rPr>
      </w:pPr>
    </w:p>
    <w:p w14:paraId="26C42740" w14:textId="77777777" w:rsidR="006E6416" w:rsidRDefault="006E6416" w:rsidP="006A02A4">
      <w:pPr>
        <w:rPr>
          <w:rFonts w:ascii="Arial Black" w:hAnsi="Arial Black"/>
          <w:b/>
          <w:bCs/>
          <w:sz w:val="28"/>
          <w:szCs w:val="28"/>
        </w:rPr>
      </w:pPr>
    </w:p>
    <w:p w14:paraId="3BA1217D" w14:textId="114F3580" w:rsidR="00592CB5" w:rsidRDefault="00592CB5" w:rsidP="006A02A4">
      <w:pPr>
        <w:rPr>
          <w:rFonts w:ascii="Arial Black" w:hAnsi="Arial Black"/>
          <w:b/>
          <w:bCs/>
          <w:sz w:val="28"/>
          <w:szCs w:val="28"/>
        </w:rPr>
      </w:pPr>
      <w:r>
        <w:rPr>
          <w:rFonts w:ascii="Arial Black" w:hAnsi="Arial Black"/>
          <w:b/>
          <w:bCs/>
          <w:sz w:val="28"/>
          <w:szCs w:val="28"/>
        </w:rPr>
        <w:t>13-162</w:t>
      </w:r>
    </w:p>
    <w:p w14:paraId="06753EE1" w14:textId="77777777" w:rsidR="00C7649B" w:rsidRDefault="00C7649B" w:rsidP="00C7649B">
      <w:pPr>
        <w:pStyle w:val="NormalWeb"/>
        <w:rPr>
          <w:rFonts w:ascii="Arial Black" w:hAnsi="Arial Black"/>
          <w:sz w:val="28"/>
          <w:szCs w:val="28"/>
        </w:rPr>
      </w:pPr>
      <w:r>
        <w:rPr>
          <w:rFonts w:ascii="Arial Black" w:hAnsi="Arial Black"/>
          <w:sz w:val="28"/>
          <w:szCs w:val="28"/>
        </w:rPr>
        <w:t xml:space="preserve">PA: HOSPITAL AMBUL. EMS “GOOD SAMARITAN” IMMUNITY - NON-EMERG. </w:t>
      </w:r>
      <w:proofErr w:type="gramStart"/>
      <w:r>
        <w:rPr>
          <w:rFonts w:ascii="Arial Black" w:hAnsi="Arial Black"/>
          <w:sz w:val="28"/>
          <w:szCs w:val="28"/>
        </w:rPr>
        <w:t>TRANSPORT,</w:t>
      </w:r>
      <w:proofErr w:type="gramEnd"/>
      <w:r>
        <w:rPr>
          <w:rFonts w:ascii="Arial Black" w:hAnsi="Arial Black"/>
          <w:sz w:val="28"/>
          <w:szCs w:val="28"/>
        </w:rPr>
        <w:t xml:space="preserve"> STOPPED TO PERFORM CPR</w:t>
      </w:r>
    </w:p>
    <w:p w14:paraId="5AF9F4CF" w14:textId="77777777" w:rsidR="00C7649B" w:rsidRDefault="00C7649B" w:rsidP="00C7649B">
      <w:pPr>
        <w:pStyle w:val="NormalWeb"/>
      </w:pPr>
      <w:r>
        <w:t xml:space="preserve">On Dec. 20, 2023, in </w:t>
      </w:r>
      <w:r w:rsidRPr="003E5ADD">
        <w:rPr>
          <w:u w:val="single"/>
        </w:rPr>
        <w:t xml:space="preserve">Desiree Lamarr-Murphy. Individually and as Administratrix of the Estate of Christopher B. Murphy, deceased, and Briannah </w:t>
      </w:r>
      <w:proofErr w:type="spellStart"/>
      <w:r w:rsidRPr="003E5ADD">
        <w:rPr>
          <w:u w:val="single"/>
        </w:rPr>
        <w:t>Lahmarr</w:t>
      </w:r>
      <w:proofErr w:type="spellEnd"/>
      <w:r w:rsidRPr="003E5ADD">
        <w:rPr>
          <w:u w:val="single"/>
        </w:rPr>
        <w:t xml:space="preserve"> v. Delaware County Memorial Hospital, et al.</w:t>
      </w:r>
      <w:r>
        <w:t>, the Superior Court of Pennsylvania held (3 to 0; non-presidential decision) that trial court properly entered judgment for two EMS and hospital. “</w:t>
      </w:r>
      <w:r w:rsidRPr="005F5B35">
        <w:t>Thus, DCMH, acting in its limited role as a provider of emergency</w:t>
      </w:r>
      <w:r>
        <w:t xml:space="preserve"> ambulatory services, and its emergency responder employees, DCMH EMS, were protected under the Good Samaritan Act.”  After an 8-day jury trial, the jury found 39-year-old patient with history of blood clots in his legs was 51% contributory negligent for not seeking medical </w:t>
      </w:r>
      <w:proofErr w:type="gramStart"/>
      <w:r>
        <w:t xml:space="preserve">attentions </w:t>
      </w:r>
      <w:proofErr w:type="gramEnd"/>
      <w:r>
        <w:t xml:space="preserve">large blood </w:t>
      </w:r>
      <w:proofErr w:type="gramStart"/>
      <w:r>
        <w:t>clot</w:t>
      </w:r>
      <w:proofErr w:type="gramEnd"/>
      <w:r>
        <w:t xml:space="preserve"> led to cardiac arrest in ambulance.  </w:t>
      </w:r>
      <w:hyperlink r:id="rId2174" w:history="1">
        <w:r w:rsidRPr="00601FD5">
          <w:rPr>
            <w:rStyle w:val="Hyperlink"/>
          </w:rPr>
          <w:t>https://cases.justia.com/pennsylvania/superior-court/2023-1846-eda-2021.pdf?ts=1703100172</w:t>
        </w:r>
      </w:hyperlink>
      <w:r>
        <w:t xml:space="preserve"> </w:t>
      </w:r>
    </w:p>
    <w:p w14:paraId="431797A9" w14:textId="77777777" w:rsidR="006E6416" w:rsidRDefault="006E6416" w:rsidP="006E6416">
      <w:pPr>
        <w:pStyle w:val="NormalWeb"/>
        <w:rPr>
          <w:b/>
          <w:bCs/>
        </w:rPr>
      </w:pPr>
      <w:r w:rsidRPr="0070397E">
        <w:rPr>
          <w:b/>
          <w:bCs/>
        </w:rPr>
        <w:lastRenderedPageBreak/>
        <w:t>Legal Lesson Learned:</w:t>
      </w:r>
      <w:r>
        <w:rPr>
          <w:b/>
          <w:bCs/>
        </w:rPr>
        <w:t xml:space="preserve"> Expert witnesses confirmed non-emergency transport was consistent with PA protocols; PA “Good Samaritan” statute provides immunity for EMS, unless acting with gross negligence, including </w:t>
      </w:r>
      <w:proofErr w:type="gramStart"/>
      <w:r>
        <w:rPr>
          <w:b/>
          <w:bCs/>
        </w:rPr>
        <w:t>hospital based</w:t>
      </w:r>
      <w:proofErr w:type="gramEnd"/>
      <w:r>
        <w:rPr>
          <w:b/>
          <w:bCs/>
        </w:rPr>
        <w:t xml:space="preserve"> EMS. </w:t>
      </w:r>
    </w:p>
    <w:p w14:paraId="7B2203BC" w14:textId="77777777" w:rsidR="006E6416" w:rsidRDefault="006E6416" w:rsidP="006E6416">
      <w:pPr>
        <w:pStyle w:val="NormalWeb"/>
      </w:pPr>
      <w:r>
        <w:rPr>
          <w:b/>
          <w:bCs/>
        </w:rPr>
        <w:tab/>
      </w:r>
      <w:r w:rsidRPr="00D35C79">
        <w:t>Note:</w:t>
      </w:r>
      <w:r>
        <w:rPr>
          <w:b/>
          <w:bCs/>
        </w:rPr>
        <w:t xml:space="preserve">  </w:t>
      </w:r>
      <w:r w:rsidRPr="00165EB6">
        <w:t>The</w:t>
      </w:r>
      <w:r>
        <w:t xml:space="preserve"> PA</w:t>
      </w:r>
      <w:r w:rsidRPr="00165EB6">
        <w:t xml:space="preserve"> Good Samaritan Act provides, in pertinent part: </w:t>
      </w:r>
    </w:p>
    <w:p w14:paraId="62F63F3A" w14:textId="77777777" w:rsidR="006E6416" w:rsidRPr="00165EB6" w:rsidRDefault="006E6416" w:rsidP="006E6416">
      <w:pPr>
        <w:pStyle w:val="NormalWeb"/>
        <w:ind w:left="1440"/>
      </w:pPr>
      <w:r w:rsidRPr="00165EB6">
        <w:t>(a) General rule</w:t>
      </w:r>
      <w:r w:rsidRPr="00165EB6">
        <w:rPr>
          <w:i/>
          <w:iCs/>
        </w:rPr>
        <w:t>.</w:t>
      </w:r>
      <w:r w:rsidRPr="00165EB6">
        <w:t xml:space="preserve"> - Any person, including an emergency response provider, whether or not trained to practice medicine, who in good faith renders emergency care, treatment, first aid or rescue at the scene of an emergency event or crime, or who moves the person receiving such care, first aid or rescue to a hospital or other place of medical care, shall not be liable for any civil damages as a result of rendering such care, except in any act or omission intentionally designed to harm or any grossly negligent acts or omissions which result in harm to the person receiving emergency care or being moved to a hospital or other place of medical care. </w:t>
      </w:r>
    </w:p>
    <w:p w14:paraId="0B037922" w14:textId="77777777" w:rsidR="00592CB5" w:rsidRDefault="00592CB5" w:rsidP="006A02A4">
      <w:pPr>
        <w:rPr>
          <w:rFonts w:ascii="Arial Black" w:hAnsi="Arial Black"/>
          <w:b/>
          <w:bCs/>
          <w:sz w:val="28"/>
          <w:szCs w:val="28"/>
        </w:rPr>
      </w:pPr>
    </w:p>
    <w:p w14:paraId="12A90D1F" w14:textId="77777777" w:rsidR="00592CB5" w:rsidRDefault="00592CB5" w:rsidP="006A02A4">
      <w:pPr>
        <w:rPr>
          <w:rFonts w:ascii="Arial Black" w:hAnsi="Arial Black"/>
          <w:b/>
          <w:bCs/>
          <w:sz w:val="28"/>
          <w:szCs w:val="28"/>
        </w:rPr>
      </w:pPr>
    </w:p>
    <w:p w14:paraId="72E0E53B" w14:textId="1F4AC660" w:rsidR="003D5ECA" w:rsidRDefault="003D5ECA" w:rsidP="006A02A4">
      <w:pPr>
        <w:rPr>
          <w:rFonts w:ascii="Arial Black" w:hAnsi="Arial Black"/>
          <w:b/>
          <w:bCs/>
          <w:sz w:val="28"/>
          <w:szCs w:val="28"/>
        </w:rPr>
      </w:pPr>
      <w:r>
        <w:rPr>
          <w:rFonts w:ascii="Arial Black" w:hAnsi="Arial Black"/>
          <w:b/>
          <w:bCs/>
          <w:sz w:val="28"/>
          <w:szCs w:val="28"/>
        </w:rPr>
        <w:t>13-161</w:t>
      </w:r>
    </w:p>
    <w:p w14:paraId="050C1C7F" w14:textId="77777777" w:rsidR="003D5ECA" w:rsidRDefault="003D5ECA" w:rsidP="003D5ECA">
      <w:pPr>
        <w:pStyle w:val="NormalWeb"/>
      </w:pPr>
      <w:r>
        <w:rPr>
          <w:rFonts w:ascii="Arial Black" w:hAnsi="Arial Black"/>
          <w:sz w:val="28"/>
          <w:szCs w:val="28"/>
        </w:rPr>
        <w:t>MN: MEDIC RESIGNED AFTER PUT ON PIP – NO 1</w:t>
      </w:r>
      <w:r w:rsidRPr="006A5EC7">
        <w:rPr>
          <w:rFonts w:ascii="Arial Black" w:hAnsi="Arial Black"/>
          <w:sz w:val="28"/>
          <w:szCs w:val="28"/>
          <w:vertAlign w:val="superscript"/>
        </w:rPr>
        <w:t>st</w:t>
      </w:r>
      <w:r>
        <w:rPr>
          <w:rFonts w:ascii="Arial Black" w:hAnsi="Arial Black"/>
          <w:sz w:val="28"/>
          <w:szCs w:val="28"/>
        </w:rPr>
        <w:t xml:space="preserve"> AMEND. SPEECH CASE - SPOKE ABOUT EMS TRAINING RECORDS</w:t>
      </w:r>
    </w:p>
    <w:p w14:paraId="3CADE404" w14:textId="77777777" w:rsidR="003D5ECA" w:rsidRDefault="003D5ECA" w:rsidP="003D5ECA">
      <w:pPr>
        <w:pStyle w:val="NormalWeb"/>
      </w:pPr>
      <w:r>
        <w:t xml:space="preserve">On Dec. 20, 2023, in </w:t>
      </w:r>
      <w:r w:rsidRPr="00926837">
        <w:rPr>
          <w:u w:val="single"/>
        </w:rPr>
        <w:t>Joseph Paul Baker v. The City of Woodbury, et al</w:t>
      </w:r>
      <w:r>
        <w:t xml:space="preserve">., U.S. District Court Judge David S. Doty, U.S. District Court for District of Minnesota granted the City’s motion for summary judgement. The Court wrote: “Baker claims that defendants Wallgren, Klein, and Guiton retaliated against him for questioning the EMS training records and complaining about Ehrenberg's request to prepare ketamine by placing him on a PIP, in violation of his right to free speech under the First Amendment. *** To determine whether the employee engaged in speech protected by the First Amendment, the court must first consider whether ‘the employee spoke as a citizen on a matter of public concern.’ </w:t>
      </w:r>
      <w:r>
        <w:rPr>
          <w:i/>
          <w:iCs/>
        </w:rPr>
        <w:t>Garcetti v. Ceballos</w:t>
      </w:r>
      <w:r>
        <w:t xml:space="preserve">, 54 7 U.S. 410, 418 (2014). ‘If the answer is no, the employee has no First Amendment cause of action based on his ... employer's reaction to the speech.*** When Baker made statements about the training records, the undisputed facts show that he did so within the scope of his duties as a member of the education group. In that role, Baker was responsible for, among other things, assessing and maintaining training documentation for submission to the EMSRB. Baker discovered the alleged deficiencies when carrying out those duties. He would not have been able to make such a discovery without access to the training records of each paramedic, along with their corresponding certifications. It is undisputed that those detailed records are not available to the </w:t>
      </w:r>
      <w:proofErr w:type="gramStart"/>
      <w:r>
        <w:t>general public</w:t>
      </w:r>
      <w:proofErr w:type="gramEnd"/>
      <w:r>
        <w:t xml:space="preserve">. Further, Baker reported the alleged deficiencies to his superiors after first discussing </w:t>
      </w:r>
      <w:proofErr w:type="gramStart"/>
      <w:r>
        <w:t>it</w:t>
      </w:r>
      <w:proofErr w:type="gramEnd"/>
      <w:r>
        <w:t xml:space="preserve"> with his fellow education group members, thus tying his concerns directly to his role in the education group rather than merely as a concerned citizen. Under these circumstances, there is no serious debate that Baker's speech owes its existence to his professional responsibilities and therefore is not protected by the First Amendment.” </w:t>
      </w:r>
      <w:hyperlink r:id="rId2175" w:history="1">
        <w:r w:rsidRPr="0044657D">
          <w:rPr>
            <w:rStyle w:val="Hyperlink"/>
          </w:rPr>
          <w:t>https://casetext.com/case/baker-v-city-of-woodbury</w:t>
        </w:r>
      </w:hyperlink>
      <w:r>
        <w:t xml:space="preserve"> </w:t>
      </w:r>
    </w:p>
    <w:p w14:paraId="45186F9A" w14:textId="77777777" w:rsidR="00592CB5" w:rsidRPr="00E57DEF" w:rsidRDefault="00592CB5" w:rsidP="00592CB5">
      <w:pPr>
        <w:pStyle w:val="NormalWeb"/>
        <w:rPr>
          <w:b/>
          <w:bCs/>
        </w:rPr>
      </w:pPr>
      <w:r w:rsidRPr="00E57DEF">
        <w:rPr>
          <w:b/>
          <w:bCs/>
        </w:rPr>
        <w:t xml:space="preserve">Legal Lesson Learned: </w:t>
      </w:r>
      <w:r>
        <w:rPr>
          <w:b/>
          <w:bCs/>
        </w:rPr>
        <w:t xml:space="preserve">PIP can be an effective management tool, either to get </w:t>
      </w:r>
      <w:proofErr w:type="gramStart"/>
      <w:r>
        <w:rPr>
          <w:b/>
          <w:bCs/>
        </w:rPr>
        <w:t>employee</w:t>
      </w:r>
      <w:proofErr w:type="gramEnd"/>
      <w:r>
        <w:rPr>
          <w:b/>
          <w:bCs/>
        </w:rPr>
        <w:t xml:space="preserve"> to improve or to look for another job.</w:t>
      </w:r>
    </w:p>
    <w:p w14:paraId="689A5DC4" w14:textId="77777777" w:rsidR="003D5ECA" w:rsidRDefault="003D5ECA" w:rsidP="006A02A4">
      <w:pPr>
        <w:rPr>
          <w:rFonts w:ascii="Arial Black" w:hAnsi="Arial Black"/>
          <w:b/>
          <w:bCs/>
          <w:sz w:val="28"/>
          <w:szCs w:val="28"/>
        </w:rPr>
      </w:pPr>
    </w:p>
    <w:p w14:paraId="4566F530" w14:textId="77777777" w:rsidR="003D5ECA" w:rsidRDefault="003D5ECA" w:rsidP="006A02A4">
      <w:pPr>
        <w:rPr>
          <w:rFonts w:ascii="Arial Black" w:hAnsi="Arial Black"/>
          <w:b/>
          <w:bCs/>
          <w:sz w:val="28"/>
          <w:szCs w:val="28"/>
        </w:rPr>
      </w:pPr>
    </w:p>
    <w:p w14:paraId="2FF3E591" w14:textId="38C70065" w:rsidR="002D6690" w:rsidRDefault="002D6690" w:rsidP="006A02A4">
      <w:pPr>
        <w:rPr>
          <w:rFonts w:ascii="Arial Black" w:hAnsi="Arial Black"/>
          <w:b/>
          <w:bCs/>
          <w:sz w:val="28"/>
          <w:szCs w:val="28"/>
        </w:rPr>
      </w:pPr>
      <w:r>
        <w:rPr>
          <w:rFonts w:ascii="Arial Black" w:hAnsi="Arial Black"/>
          <w:b/>
          <w:bCs/>
          <w:sz w:val="28"/>
          <w:szCs w:val="28"/>
        </w:rPr>
        <w:lastRenderedPageBreak/>
        <w:t>13-</w:t>
      </w:r>
      <w:r w:rsidR="002410DA">
        <w:rPr>
          <w:rFonts w:ascii="Arial Black" w:hAnsi="Arial Black"/>
          <w:b/>
          <w:bCs/>
          <w:sz w:val="28"/>
          <w:szCs w:val="28"/>
        </w:rPr>
        <w:t>160</w:t>
      </w:r>
    </w:p>
    <w:p w14:paraId="10B2F53E" w14:textId="77777777" w:rsidR="002410DA" w:rsidRPr="001F329A" w:rsidRDefault="002410DA" w:rsidP="002410DA">
      <w:pPr>
        <w:pStyle w:val="NormalWeb"/>
        <w:rPr>
          <w:rFonts w:ascii="Arial Black" w:hAnsi="Arial Black"/>
          <w:sz w:val="28"/>
          <w:szCs w:val="28"/>
        </w:rPr>
      </w:pPr>
      <w:r>
        <w:rPr>
          <w:rFonts w:ascii="Arial Black" w:hAnsi="Arial Black"/>
          <w:sz w:val="28"/>
          <w:szCs w:val="28"/>
        </w:rPr>
        <w:t>CO: HOSPITAL PARAMEDIC FIRED – EPINEPHRINE TO WOMAN PARKING LOT – QR FILES CONFIDENTIAL</w:t>
      </w:r>
    </w:p>
    <w:p w14:paraId="30ED0A5A" w14:textId="3C770E23" w:rsidR="002410DA" w:rsidRDefault="002410DA" w:rsidP="002410DA">
      <w:pPr>
        <w:rPr>
          <w:rStyle w:val="Hyperlink"/>
          <w:rFonts w:ascii="Times New Roman" w:hAnsi="Times New Roman"/>
          <w:sz w:val="24"/>
          <w:szCs w:val="24"/>
        </w:rPr>
      </w:pPr>
      <w:r w:rsidRPr="002410DA">
        <w:rPr>
          <w:rFonts w:ascii="Times New Roman" w:hAnsi="Times New Roman"/>
          <w:sz w:val="24"/>
          <w:szCs w:val="24"/>
        </w:rPr>
        <w:t xml:space="preserve">On Nov. 14, 2023, in </w:t>
      </w:r>
      <w:r w:rsidRPr="002410DA">
        <w:rPr>
          <w:rFonts w:ascii="Times New Roman" w:hAnsi="Times New Roman"/>
          <w:sz w:val="24"/>
          <w:szCs w:val="24"/>
          <w:u w:val="single"/>
        </w:rPr>
        <w:t xml:space="preserve">Jordan Christensen v. Denver Health </w:t>
      </w:r>
      <w:proofErr w:type="gramStart"/>
      <w:r w:rsidRPr="002410DA">
        <w:rPr>
          <w:rFonts w:ascii="Times New Roman" w:hAnsi="Times New Roman"/>
          <w:sz w:val="24"/>
          <w:szCs w:val="24"/>
          <w:u w:val="single"/>
        </w:rPr>
        <w:t>And</w:t>
      </w:r>
      <w:proofErr w:type="gramEnd"/>
      <w:r w:rsidRPr="002410DA">
        <w:rPr>
          <w:rFonts w:ascii="Times New Roman" w:hAnsi="Times New Roman"/>
          <w:sz w:val="24"/>
          <w:szCs w:val="24"/>
          <w:u w:val="single"/>
        </w:rPr>
        <w:t xml:space="preserve"> Hospital Authority, doing business as Denver Heath Paramedic Division</w:t>
      </w:r>
      <w:r w:rsidRPr="002410DA">
        <w:rPr>
          <w:rFonts w:ascii="Times New Roman" w:hAnsi="Times New Roman"/>
          <w:sz w:val="24"/>
          <w:szCs w:val="24"/>
        </w:rPr>
        <w:t xml:space="preserve">, U.S. Magistrate Judge Kathryn A. </w:t>
      </w:r>
      <w:proofErr w:type="spellStart"/>
      <w:r w:rsidRPr="002410DA">
        <w:rPr>
          <w:rFonts w:ascii="Times New Roman" w:hAnsi="Times New Roman"/>
          <w:sz w:val="24"/>
          <w:szCs w:val="24"/>
        </w:rPr>
        <w:t>Starnella</w:t>
      </w:r>
      <w:proofErr w:type="spellEnd"/>
      <w:r w:rsidRPr="002410DA">
        <w:rPr>
          <w:rFonts w:ascii="Times New Roman" w:hAnsi="Times New Roman"/>
          <w:sz w:val="24"/>
          <w:szCs w:val="24"/>
        </w:rPr>
        <w:t xml:space="preserve">, U.S. District Cort for District of Colorado, denied Plaintiff's Motion to Compel Production of the Quality Review File.  The termination decision was made by the Medical Director of the Paramedic Division, not on the hospital’s Quality Review Committee; the QR file is confidential under Federal and State statutes.  </w:t>
      </w:r>
      <w:hyperlink r:id="rId2176" w:history="1">
        <w:r w:rsidRPr="002410DA">
          <w:rPr>
            <w:rStyle w:val="Hyperlink"/>
            <w:rFonts w:ascii="Times New Roman" w:hAnsi="Times New Roman"/>
            <w:sz w:val="24"/>
            <w:szCs w:val="24"/>
          </w:rPr>
          <w:t>https://public.fastcase.com/ZZhmr5v9wN%2FXOe5IsQ%2FqD%2B1qjdbNtrbKnJG3uP2WWVmhlF8pu7dlSanIpJbUEtpE?utm_medium=email&amp;_hsmi=226712652&amp;_hsenc=p2ANqtz-_3swjkE_U3wk1h5U8jVat2QL8kZwPHoy86W6A4pHNVHtwV__0ZHK6m0x71w6miyP2O__WwBW9V-f993pnbFbogevKSBQ&amp;utm_content=226712652&amp;utm_source=hs_email</w:t>
        </w:r>
      </w:hyperlink>
    </w:p>
    <w:p w14:paraId="5E4AF293" w14:textId="77777777" w:rsidR="00BC2A27" w:rsidRDefault="00BC2A27" w:rsidP="00BC2A27">
      <w:pPr>
        <w:pStyle w:val="NormalWeb"/>
        <w:rPr>
          <w:b/>
          <w:bCs/>
        </w:rPr>
      </w:pPr>
      <w:r w:rsidRPr="007F3790">
        <w:rPr>
          <w:b/>
          <w:bCs/>
        </w:rPr>
        <w:t>Legal Lesson Learned:</w:t>
      </w:r>
      <w:r>
        <w:rPr>
          <w:b/>
          <w:bCs/>
        </w:rPr>
        <w:t xml:space="preserve"> Hospital QR reviews, and Fire &amp; EMS QRs are confidential in many states. </w:t>
      </w:r>
    </w:p>
    <w:p w14:paraId="7C48D26E" w14:textId="77777777" w:rsidR="00BC2A27" w:rsidRPr="008D2F39" w:rsidRDefault="00BC2A27" w:rsidP="00BC2A27">
      <w:pPr>
        <w:pStyle w:val="Heading1"/>
        <w:ind w:left="720"/>
        <w:rPr>
          <w:b w:val="0"/>
          <w:bCs w:val="0"/>
          <w:sz w:val="24"/>
          <w:szCs w:val="24"/>
        </w:rPr>
      </w:pPr>
      <w:r w:rsidRPr="008D2F39">
        <w:rPr>
          <w:b w:val="0"/>
          <w:bCs w:val="0"/>
          <w:sz w:val="24"/>
          <w:szCs w:val="24"/>
        </w:rPr>
        <w:t xml:space="preserve">Note: See Ohio Revised Code: </w:t>
      </w:r>
      <w:r>
        <w:rPr>
          <w:b w:val="0"/>
          <w:bCs w:val="0"/>
          <w:sz w:val="24"/>
          <w:szCs w:val="24"/>
        </w:rPr>
        <w:t>“</w:t>
      </w:r>
      <w:r w:rsidRPr="008D2F39">
        <w:rPr>
          <w:b w:val="0"/>
          <w:bCs w:val="0"/>
          <w:sz w:val="24"/>
          <w:szCs w:val="24"/>
        </w:rPr>
        <w:t xml:space="preserve">Section 4765.12 </w:t>
      </w:r>
      <w:r w:rsidRPr="008D2F39">
        <w:rPr>
          <w:rStyle w:val="codes-separator"/>
          <w:rFonts w:eastAsiaTheme="majorEastAsia"/>
          <w:b w:val="0"/>
          <w:bCs w:val="0"/>
          <w:sz w:val="24"/>
          <w:szCs w:val="24"/>
        </w:rPr>
        <w:t>|</w:t>
      </w:r>
      <w:r w:rsidRPr="008D2F39">
        <w:rPr>
          <w:b w:val="0"/>
          <w:bCs w:val="0"/>
          <w:sz w:val="24"/>
          <w:szCs w:val="24"/>
        </w:rPr>
        <w:t xml:space="preserve"> Guidelines for care of trauma victims by emergency medical service personnel - conduct of peer review and quality assurance programs by emergency medical service organizations</w:t>
      </w:r>
      <w:r>
        <w:rPr>
          <w:b w:val="0"/>
          <w:bCs w:val="0"/>
          <w:sz w:val="24"/>
          <w:szCs w:val="24"/>
        </w:rPr>
        <w:t xml:space="preserve">.” </w:t>
      </w:r>
      <w:hyperlink r:id="rId2177" w:history="1">
        <w:r w:rsidRPr="00D270AC">
          <w:rPr>
            <w:rStyle w:val="Hyperlink"/>
            <w:b w:val="0"/>
            <w:bCs w:val="0"/>
            <w:sz w:val="24"/>
            <w:szCs w:val="24"/>
          </w:rPr>
          <w:t>https://codes.ohio.gov/ohio-revised-code/section-4765.12</w:t>
        </w:r>
      </w:hyperlink>
      <w:r>
        <w:rPr>
          <w:b w:val="0"/>
          <w:bCs w:val="0"/>
          <w:sz w:val="24"/>
          <w:szCs w:val="24"/>
        </w:rPr>
        <w:t xml:space="preserve"> </w:t>
      </w:r>
    </w:p>
    <w:p w14:paraId="10BDCEC9" w14:textId="77777777" w:rsidR="00BC2A27" w:rsidRDefault="00BC2A27" w:rsidP="00BC2A27">
      <w:pPr>
        <w:pStyle w:val="NormalWeb"/>
        <w:ind w:left="720"/>
        <w:rPr>
          <w:b/>
          <w:bCs/>
        </w:rPr>
      </w:pPr>
      <w:r>
        <w:t xml:space="preserve">“Information generated solely for use in a peer review or quality assurance program conducted on behalf of an emergency medical service organization is not a public record under section </w:t>
      </w:r>
      <w:hyperlink r:id="rId2178" w:history="1">
        <w:r>
          <w:rPr>
            <w:rStyle w:val="Hyperlink"/>
            <w:rFonts w:eastAsiaTheme="majorEastAsia"/>
          </w:rPr>
          <w:t>149.43</w:t>
        </w:r>
      </w:hyperlink>
      <w:r>
        <w:t xml:space="preserve"> of the Revised Code. Such information, and any discussion conducted in the course of a peer review or quality assurance program conducted on behalf of an emergency medical service organization, is not subject to discovery in a civil action and shall not be introduced into evidence in a civil action against the emergency medical service organization on whose behalf the information was generated or the discussion occurred.</w:t>
      </w:r>
      <w:r>
        <w:rPr>
          <w:b/>
          <w:bCs/>
        </w:rPr>
        <w:t>”</w:t>
      </w:r>
    </w:p>
    <w:p w14:paraId="5F106965" w14:textId="77777777" w:rsidR="008578DE" w:rsidRDefault="008578DE" w:rsidP="00BC2A27">
      <w:pPr>
        <w:rPr>
          <w:rFonts w:ascii="Arial Black" w:hAnsi="Arial Black"/>
          <w:b/>
          <w:bCs/>
          <w:sz w:val="28"/>
          <w:szCs w:val="28"/>
        </w:rPr>
      </w:pPr>
    </w:p>
    <w:p w14:paraId="43923D7C" w14:textId="300C3315" w:rsidR="00BC2A27" w:rsidRDefault="00BC2A27" w:rsidP="00BC2A27">
      <w:pPr>
        <w:rPr>
          <w:rFonts w:ascii="Arial Black" w:hAnsi="Arial Black"/>
          <w:b/>
          <w:bCs/>
          <w:sz w:val="28"/>
          <w:szCs w:val="28"/>
        </w:rPr>
      </w:pPr>
      <w:r>
        <w:rPr>
          <w:rFonts w:ascii="Arial Black" w:hAnsi="Arial Black"/>
          <w:b/>
          <w:bCs/>
          <w:sz w:val="28"/>
          <w:szCs w:val="28"/>
        </w:rPr>
        <w:t>13-159</w:t>
      </w:r>
    </w:p>
    <w:p w14:paraId="3D7E88B8" w14:textId="77777777" w:rsidR="0061348F" w:rsidRPr="00171AD5" w:rsidRDefault="0061348F" w:rsidP="0061348F">
      <w:pPr>
        <w:pStyle w:val="NoSpacing"/>
        <w:rPr>
          <w:rFonts w:ascii="Arial Black" w:hAnsi="Arial Black"/>
          <w:b/>
          <w:sz w:val="28"/>
          <w:szCs w:val="28"/>
        </w:rPr>
      </w:pPr>
      <w:r>
        <w:rPr>
          <w:rFonts w:ascii="Arial Black" w:hAnsi="Arial Black"/>
          <w:b/>
          <w:sz w:val="28"/>
          <w:szCs w:val="28"/>
        </w:rPr>
        <w:t>WV:  911 DISPATCH NO CPR INSTRUCTIONS – PARENTS TOLD DRIVE TO HOSP – EMS CANCELLED - CASE PROCEED</w:t>
      </w:r>
    </w:p>
    <w:p w14:paraId="3A4FC938" w14:textId="77777777" w:rsidR="0061348F" w:rsidRDefault="0061348F" w:rsidP="0061348F">
      <w:pPr>
        <w:pStyle w:val="NoSpacing"/>
        <w:rPr>
          <w:rFonts w:ascii="Times New Roman" w:hAnsi="Times New Roman"/>
          <w:b/>
          <w:sz w:val="24"/>
          <w:szCs w:val="24"/>
        </w:rPr>
      </w:pPr>
    </w:p>
    <w:p w14:paraId="21E74309" w14:textId="77777777" w:rsidR="0061348F" w:rsidRDefault="0061348F" w:rsidP="0061348F">
      <w:pPr>
        <w:pStyle w:val="NoSpacing"/>
        <w:rPr>
          <w:rFonts w:ascii="Times New Roman" w:hAnsi="Times New Roman"/>
          <w:bCs/>
          <w:sz w:val="24"/>
          <w:szCs w:val="24"/>
        </w:rPr>
      </w:pPr>
      <w:r>
        <w:rPr>
          <w:rFonts w:ascii="Times New Roman" w:hAnsi="Times New Roman"/>
          <w:bCs/>
          <w:sz w:val="24"/>
          <w:szCs w:val="24"/>
        </w:rPr>
        <w:t xml:space="preserve">On Nov. 8, 2023, in </w:t>
      </w:r>
      <w:r w:rsidRPr="00832890">
        <w:rPr>
          <w:rFonts w:ascii="Times New Roman" w:hAnsi="Times New Roman"/>
          <w:bCs/>
          <w:sz w:val="24"/>
          <w:szCs w:val="24"/>
          <w:u w:val="single"/>
        </w:rPr>
        <w:t>Barabara Stine Trivett, Administratrix of the Estate of Jasper Trivett v. Summer County Commission d/b/a Summers County Office of Emergency Management and Carmen Cales</w:t>
      </w:r>
      <w:r>
        <w:rPr>
          <w:rFonts w:ascii="Times New Roman" w:hAnsi="Times New Roman"/>
          <w:bCs/>
          <w:sz w:val="24"/>
          <w:szCs w:val="24"/>
        </w:rPr>
        <w:t xml:space="preserve">, Supreme Court of Appeals of West Virginia, held (3 to 2) that the lawsuit was timely filed and should not have been dismissed by trial judge and remanded case for discovery. </w:t>
      </w:r>
      <w:hyperlink r:id="rId2179" w:history="1">
        <w:r w:rsidRPr="006F62A4">
          <w:rPr>
            <w:rStyle w:val="Hyperlink"/>
            <w:rFonts w:ascii="Times New Roman" w:hAnsi="Times New Roman"/>
            <w:bCs/>
            <w:sz w:val="24"/>
            <w:szCs w:val="24"/>
          </w:rPr>
          <w:t>http://www.courtswv.gov/supreme-court/docs/fall2023/22-0202-wooton-p.pdf</w:t>
        </w:r>
      </w:hyperlink>
      <w:r>
        <w:rPr>
          <w:rFonts w:ascii="Times New Roman" w:hAnsi="Times New Roman"/>
          <w:bCs/>
          <w:sz w:val="24"/>
          <w:szCs w:val="24"/>
        </w:rPr>
        <w:t xml:space="preserve"> </w:t>
      </w:r>
    </w:p>
    <w:p w14:paraId="5C475FA2" w14:textId="77777777" w:rsidR="00A126EB" w:rsidRDefault="00A126EB" w:rsidP="00A126EB">
      <w:pPr>
        <w:pStyle w:val="NoSpacing"/>
        <w:rPr>
          <w:rFonts w:ascii="Times New Roman" w:hAnsi="Times New Roman"/>
          <w:b/>
          <w:sz w:val="24"/>
          <w:szCs w:val="24"/>
        </w:rPr>
      </w:pPr>
    </w:p>
    <w:p w14:paraId="173FC03E" w14:textId="19EE0BCC" w:rsidR="00A126EB" w:rsidRPr="00925161" w:rsidRDefault="00A126EB" w:rsidP="00A126EB">
      <w:pPr>
        <w:pStyle w:val="NoSpacing"/>
        <w:rPr>
          <w:rFonts w:ascii="Times New Roman" w:hAnsi="Times New Roman"/>
          <w:b/>
          <w:sz w:val="24"/>
          <w:szCs w:val="24"/>
        </w:rPr>
      </w:pPr>
      <w:r w:rsidRPr="00925161">
        <w:rPr>
          <w:rFonts w:ascii="Times New Roman" w:hAnsi="Times New Roman"/>
          <w:b/>
          <w:sz w:val="24"/>
          <w:szCs w:val="24"/>
        </w:rPr>
        <w:t>Legal Lesson Learned:</w:t>
      </w:r>
      <w:r>
        <w:rPr>
          <w:rFonts w:ascii="Times New Roman" w:hAnsi="Times New Roman"/>
          <w:b/>
          <w:sz w:val="24"/>
          <w:szCs w:val="24"/>
        </w:rPr>
        <w:t xml:space="preserve"> Dispatchers should all be trained in giving CPR instructions.</w:t>
      </w:r>
    </w:p>
    <w:p w14:paraId="6BEA5159" w14:textId="77777777" w:rsidR="00A126EB" w:rsidRDefault="00A126EB" w:rsidP="00BC2A27">
      <w:pPr>
        <w:rPr>
          <w:rFonts w:ascii="Arial Black" w:hAnsi="Arial Black"/>
          <w:b/>
          <w:bCs/>
          <w:sz w:val="28"/>
          <w:szCs w:val="28"/>
        </w:rPr>
      </w:pPr>
    </w:p>
    <w:p w14:paraId="0CAB5A2C" w14:textId="0BE59538" w:rsidR="00A126EB" w:rsidRDefault="00A126EB" w:rsidP="00A126EB">
      <w:pPr>
        <w:rPr>
          <w:rFonts w:ascii="Arial Black" w:hAnsi="Arial Black"/>
          <w:b/>
          <w:bCs/>
          <w:sz w:val="28"/>
          <w:szCs w:val="28"/>
        </w:rPr>
      </w:pPr>
      <w:r>
        <w:rPr>
          <w:rFonts w:ascii="Arial Black" w:hAnsi="Arial Black"/>
          <w:b/>
          <w:bCs/>
          <w:sz w:val="28"/>
          <w:szCs w:val="28"/>
        </w:rPr>
        <w:t>13-158</w:t>
      </w:r>
    </w:p>
    <w:p w14:paraId="19120DFC" w14:textId="77777777" w:rsidR="00C02A64" w:rsidRDefault="00C02A64" w:rsidP="00C02A64">
      <w:pPr>
        <w:rPr>
          <w:rFonts w:ascii="Arial Black" w:hAnsi="Arial Black"/>
          <w:b/>
          <w:bCs/>
          <w:sz w:val="28"/>
          <w:szCs w:val="28"/>
        </w:rPr>
      </w:pPr>
      <w:r>
        <w:rPr>
          <w:rFonts w:ascii="Arial Black" w:hAnsi="Arial Black"/>
          <w:b/>
          <w:bCs/>
          <w:sz w:val="28"/>
          <w:szCs w:val="28"/>
        </w:rPr>
        <w:lastRenderedPageBreak/>
        <w:t>NC: PATIENT REFUSED TRANSPORT – 94-YR MENTALY SOUND – DAUGHTER POWER OF ATTY CAN’T OVERRULE</w:t>
      </w:r>
    </w:p>
    <w:p w14:paraId="64AF3651" w14:textId="77777777" w:rsidR="00C02A64" w:rsidRDefault="00C02A64" w:rsidP="00C02A64">
      <w:pPr>
        <w:rPr>
          <w:rFonts w:ascii="Times New Roman" w:hAnsi="Times New Roman"/>
          <w:sz w:val="24"/>
          <w:szCs w:val="24"/>
        </w:rPr>
      </w:pPr>
      <w:r>
        <w:rPr>
          <w:rFonts w:ascii="Times New Roman" w:hAnsi="Times New Roman"/>
          <w:sz w:val="24"/>
          <w:szCs w:val="24"/>
        </w:rPr>
        <w:t xml:space="preserve">On Nov. 6, 2023, in </w:t>
      </w:r>
      <w:r w:rsidRPr="00DA7B1E">
        <w:rPr>
          <w:rFonts w:ascii="Times New Roman" w:hAnsi="Times New Roman"/>
          <w:sz w:val="24"/>
          <w:szCs w:val="24"/>
          <w:u w:val="single"/>
        </w:rPr>
        <w:t>Justin L. Sutton, as Personal Representative of the Estate of Hartwell Lanier King, Sr. and Betty K. Sutton v. Rockingham County, et al</w:t>
      </w:r>
      <w:r>
        <w:rPr>
          <w:rFonts w:ascii="Times New Roman" w:hAnsi="Times New Roman"/>
          <w:sz w:val="24"/>
          <w:szCs w:val="24"/>
        </w:rPr>
        <w:t xml:space="preserve">., U.S. District Court Judge Loretta C. Briggs, U.S. District Court for the Middle District of North Carolina, granted the defendants motion for summary judgment.  The EMS followed the protocol, conducted several “capacity assessments” of the patient and found him to be capable of making his own decision about transport.  The daughter’s Power of Attorney could not overrule the patient’s decision. </w:t>
      </w:r>
      <w:hyperlink r:id="rId2180" w:history="1">
        <w:r w:rsidRPr="009F1DF3">
          <w:rPr>
            <w:rStyle w:val="Hyperlink"/>
            <w:rFonts w:ascii="Times New Roman" w:hAnsi="Times New Roman"/>
            <w:sz w:val="24"/>
            <w:szCs w:val="24"/>
          </w:rPr>
          <w:t>https://casetext.com/case/sutton-v-rockingham-cnty-1</w:t>
        </w:r>
      </w:hyperlink>
      <w:r>
        <w:rPr>
          <w:rStyle w:val="Hyperlink"/>
          <w:rFonts w:ascii="Times New Roman" w:hAnsi="Times New Roman"/>
          <w:sz w:val="24"/>
          <w:szCs w:val="24"/>
        </w:rPr>
        <w:t xml:space="preserve"> </w:t>
      </w:r>
    </w:p>
    <w:p w14:paraId="327D5B11" w14:textId="77777777" w:rsidR="0042334A" w:rsidRDefault="0042334A" w:rsidP="0042334A">
      <w:pPr>
        <w:rPr>
          <w:rFonts w:ascii="Times New Roman" w:hAnsi="Times New Roman"/>
          <w:b/>
          <w:bCs/>
          <w:sz w:val="24"/>
          <w:szCs w:val="24"/>
        </w:rPr>
      </w:pPr>
      <w:r w:rsidRPr="005F2AA0">
        <w:rPr>
          <w:rFonts w:ascii="Times New Roman" w:hAnsi="Times New Roman"/>
          <w:b/>
          <w:bCs/>
          <w:sz w:val="24"/>
          <w:szCs w:val="24"/>
        </w:rPr>
        <w:t>Legal Lesson Learned:</w:t>
      </w:r>
      <w:r>
        <w:rPr>
          <w:rFonts w:ascii="Times New Roman" w:hAnsi="Times New Roman"/>
          <w:b/>
          <w:bCs/>
          <w:sz w:val="24"/>
          <w:szCs w:val="24"/>
        </w:rPr>
        <w:t xml:space="preserve"> The EMS personnel followed their protocol and properly declined the daughter’s Power of Attorney.</w:t>
      </w:r>
    </w:p>
    <w:p w14:paraId="7816ADAF" w14:textId="77777777" w:rsidR="00C02A64" w:rsidRDefault="00C02A64" w:rsidP="00A126EB">
      <w:pPr>
        <w:rPr>
          <w:rFonts w:ascii="Arial Black" w:hAnsi="Arial Black"/>
          <w:b/>
          <w:bCs/>
          <w:sz w:val="28"/>
          <w:szCs w:val="28"/>
        </w:rPr>
      </w:pPr>
    </w:p>
    <w:p w14:paraId="422D1673" w14:textId="321E2FB3" w:rsidR="002410DA" w:rsidRPr="002410DA" w:rsidRDefault="002410DA" w:rsidP="00A126EB">
      <w:pPr>
        <w:pStyle w:val="NormalWeb"/>
        <w:rPr>
          <w:b/>
          <w:bCs/>
        </w:rPr>
      </w:pPr>
    </w:p>
    <w:p w14:paraId="25BA5E5B" w14:textId="77777777" w:rsidR="002D6690" w:rsidRDefault="002D6690" w:rsidP="006A02A4">
      <w:pPr>
        <w:rPr>
          <w:rFonts w:ascii="Arial Black" w:hAnsi="Arial Black"/>
          <w:b/>
          <w:bCs/>
          <w:sz w:val="28"/>
          <w:szCs w:val="28"/>
        </w:rPr>
      </w:pPr>
    </w:p>
    <w:p w14:paraId="7FFCC54D" w14:textId="3ABAA78B" w:rsidR="00832745" w:rsidRDefault="00832745" w:rsidP="006A02A4">
      <w:pPr>
        <w:rPr>
          <w:rFonts w:ascii="Arial Black" w:hAnsi="Arial Black"/>
          <w:b/>
          <w:bCs/>
          <w:sz w:val="28"/>
          <w:szCs w:val="28"/>
        </w:rPr>
      </w:pPr>
      <w:r>
        <w:rPr>
          <w:rFonts w:ascii="Arial Black" w:hAnsi="Arial Black"/>
          <w:b/>
          <w:bCs/>
          <w:sz w:val="28"/>
          <w:szCs w:val="28"/>
        </w:rPr>
        <w:t>13-157</w:t>
      </w:r>
    </w:p>
    <w:p w14:paraId="0B17FF35" w14:textId="77777777" w:rsidR="00832745" w:rsidRDefault="00832745" w:rsidP="00832745">
      <w:pPr>
        <w:pStyle w:val="paragraph"/>
        <w:rPr>
          <w:rFonts w:ascii="Arial Black" w:hAnsi="Arial Black"/>
          <w:sz w:val="28"/>
          <w:szCs w:val="28"/>
        </w:rPr>
      </w:pPr>
      <w:r>
        <w:rPr>
          <w:rFonts w:ascii="Arial Black" w:hAnsi="Arial Black"/>
          <w:sz w:val="28"/>
          <w:szCs w:val="28"/>
        </w:rPr>
        <w:t>KY: JAIL NURSE / GUARDS - “DELIBERATELY INDIFFERENT” INMATE OVERDOSING METH – DIED – NO QUAL. IMMUNITY</w:t>
      </w:r>
    </w:p>
    <w:p w14:paraId="32A63872" w14:textId="77777777" w:rsidR="00832745" w:rsidRDefault="00832745" w:rsidP="00832745">
      <w:pPr>
        <w:pStyle w:val="paragraph"/>
      </w:pPr>
      <w:r>
        <w:t xml:space="preserve">On Oct. 26, 2023, </w:t>
      </w:r>
      <w:r w:rsidRPr="003268E4">
        <w:rPr>
          <w:u w:val="single"/>
        </w:rPr>
        <w:t>in Luanna Grote, Administrator of the Estate of Bradley Grote v. Kenton County, et al.</w:t>
      </w:r>
      <w:r>
        <w:t>, the U.S. Court of Appeals for 6</w:t>
      </w:r>
      <w:r w:rsidRPr="003268E4">
        <w:rPr>
          <w:vertAlign w:val="superscript"/>
        </w:rPr>
        <w:t>th</w:t>
      </w:r>
      <w:r>
        <w:t xml:space="preserve"> Circuit (Cincinnati) held (3 to 0) that trial court improperly granted defense motion for summary judgment.  Bradley Grote died of acute methamphetamine intoxication three days after his arrest and detention at the Kenton County Detention Center in Covington, Kentucky. The Court held: “Although Grote was visibly in distress when put in a booking cell at the jail, the jail’s [nurse] failed to render any treatment at all or seek further medical attention from a doctor on call or emergency medical services. Grote’s case exposes myriad failures by county and jail officials, including a lack of basic knowledge concerning overdoses and how to respond to them. Under the facts of this case, we hold that a jury could find that the medical provider was deliberately indifferent to Grote’s need for medical attention, but not that the jail deputies acted unconstitutionally.” </w:t>
      </w:r>
      <w:hyperlink r:id="rId2181" w:history="1">
        <w:r w:rsidRPr="0097451D">
          <w:rPr>
            <w:rStyle w:val="Hyperlink"/>
            <w:rFonts w:eastAsiaTheme="majorEastAsia"/>
          </w:rPr>
          <w:t>https://www.opn.ca6.uscourts.gov/opinions.pdf/23a0237p-06.pdf</w:t>
        </w:r>
      </w:hyperlink>
      <w:r>
        <w:t xml:space="preserve"> </w:t>
      </w:r>
    </w:p>
    <w:p w14:paraId="345587A9" w14:textId="77777777" w:rsidR="00832745" w:rsidRPr="00445048" w:rsidRDefault="00832745" w:rsidP="00832745">
      <w:pPr>
        <w:pStyle w:val="paragraph"/>
        <w:rPr>
          <w:b/>
          <w:bCs/>
        </w:rPr>
      </w:pPr>
      <w:r w:rsidRPr="00445048">
        <w:rPr>
          <w:b/>
          <w:bCs/>
        </w:rPr>
        <w:t xml:space="preserve">Legal Lesson Learned: </w:t>
      </w:r>
      <w:r>
        <w:rPr>
          <w:b/>
          <w:bCs/>
        </w:rPr>
        <w:t xml:space="preserve">Failure to take full set of vitals is example of “deliberately indifferent” to the inmate’s immediate need for medical attention. </w:t>
      </w:r>
    </w:p>
    <w:p w14:paraId="6D3D12A0" w14:textId="77777777" w:rsidR="00832745" w:rsidRDefault="00832745" w:rsidP="006A02A4">
      <w:pPr>
        <w:rPr>
          <w:rFonts w:ascii="Arial Black" w:hAnsi="Arial Black"/>
          <w:b/>
          <w:bCs/>
          <w:sz w:val="28"/>
          <w:szCs w:val="28"/>
        </w:rPr>
      </w:pPr>
    </w:p>
    <w:p w14:paraId="2C8F889D" w14:textId="67DB9056" w:rsidR="00832745" w:rsidRDefault="00832745" w:rsidP="006A02A4">
      <w:pPr>
        <w:rPr>
          <w:rFonts w:ascii="Arial Black" w:hAnsi="Arial Black"/>
          <w:b/>
          <w:bCs/>
          <w:sz w:val="28"/>
          <w:szCs w:val="28"/>
        </w:rPr>
      </w:pPr>
      <w:r>
        <w:rPr>
          <w:rFonts w:ascii="Arial Black" w:hAnsi="Arial Black"/>
          <w:b/>
          <w:bCs/>
          <w:sz w:val="28"/>
          <w:szCs w:val="28"/>
        </w:rPr>
        <w:t>13-156</w:t>
      </w:r>
    </w:p>
    <w:p w14:paraId="102859EC" w14:textId="77777777" w:rsidR="00832745" w:rsidRDefault="00832745" w:rsidP="00832745">
      <w:pPr>
        <w:pStyle w:val="NormalWeb"/>
        <w:rPr>
          <w:rFonts w:ascii="Arial Black" w:hAnsi="Arial Black"/>
          <w:sz w:val="28"/>
          <w:szCs w:val="28"/>
        </w:rPr>
      </w:pPr>
      <w:r>
        <w:rPr>
          <w:rFonts w:ascii="Arial Black" w:hAnsi="Arial Black"/>
          <w:sz w:val="28"/>
          <w:szCs w:val="28"/>
        </w:rPr>
        <w:t>KY: ALLERGIC REACTION SHELLFISH – 911 SENT EMS TO RESTAURANT BUT NOT HIS VEHICLE – DIED – NO LIABILITY</w:t>
      </w:r>
    </w:p>
    <w:p w14:paraId="770E7A5D" w14:textId="77777777" w:rsidR="00832745" w:rsidRDefault="00832745" w:rsidP="00832745">
      <w:pPr>
        <w:pStyle w:val="NormalWeb"/>
      </w:pPr>
      <w:r>
        <w:lastRenderedPageBreak/>
        <w:t xml:space="preserve">On Oct. 13, 2023, in </w:t>
      </w:r>
      <w:r>
        <w:rPr>
          <w:u w:val="single"/>
        </w:rPr>
        <w:t>Carrie Johnson, individually and as Administratrix of the estate of Denver Stephen Johnson v. Dawn Henry, et al</w:t>
      </w:r>
      <w:r>
        <w:t xml:space="preserve">., the Commonwealth of Kentucky Court of Appeals, held (3 to 0; unpublished) that the dispatcher cannot be held liable under the “Public Duty Doctrine.” The Court held: “Henry did nothing beyond her responsibility as a 911 operator that would create a special relationship with Mr. Johnson. She answered the 911 call and sent help, as she would for any other citizen. She also did not create a connection with Mr. Johnson and repeatedly </w:t>
      </w:r>
      <w:proofErr w:type="gramStart"/>
      <w:r>
        <w:t>foster</w:t>
      </w:r>
      <w:proofErr w:type="gramEnd"/>
      <w:r>
        <w:t xml:space="preserve"> the continuation of that relationship, like the officers in Gaither. Simply put, the Estate has not shown Henry owed any special duty to Mr. Johnson, beyond the duty owed by a 911 operator to the public at large. Without a special relationship, Henry owed no duty to protect Mr. Johnson from harm or accident. While Mr. Johnson’s death is tragic, Henry cannot be held liable under the public duty doctrine. *** It is not enough to allege ineptitude, even shameful and inexcusable ineptitude, by a municipal agency in failing to respond adequately to a call for help. To give rise to a special relationship, the agency’s response to the private party must in some demonstrable way exceed the response generally made to other members of the public.”); Koher v. Dial, 653 N.E.2d 524, 526 (Ind. Ct. App. 1995) (‘Standing alone, a governmental entity’s dispatch of emergency services does not create a private duty.’) </w:t>
      </w:r>
      <w:hyperlink r:id="rId2182" w:history="1">
        <w:r>
          <w:rPr>
            <w:rStyle w:val="Hyperlink"/>
          </w:rPr>
          <w:t>https://cases.justia.com/kentucky/court-of-appeals/2023-2022-ca-1113-mr.pdf?ts=1697205894</w:t>
        </w:r>
      </w:hyperlink>
      <w:r>
        <w:t xml:space="preserve"> </w:t>
      </w:r>
    </w:p>
    <w:p w14:paraId="4FE21997" w14:textId="77777777" w:rsidR="00832745" w:rsidRDefault="00832745" w:rsidP="00832745">
      <w:pPr>
        <w:pStyle w:val="NormalWeb"/>
        <w:rPr>
          <w:b/>
          <w:bCs/>
        </w:rPr>
      </w:pPr>
      <w:r>
        <w:rPr>
          <w:b/>
          <w:bCs/>
        </w:rPr>
        <w:t xml:space="preserve">Legal Lesson Learned: The Public Duty Doctrine protects dispatchers, and their employers, from liability. </w:t>
      </w:r>
    </w:p>
    <w:p w14:paraId="7150E088" w14:textId="77777777" w:rsidR="00832745" w:rsidRDefault="00832745" w:rsidP="006A02A4">
      <w:pPr>
        <w:rPr>
          <w:rFonts w:ascii="Arial Black" w:hAnsi="Arial Black"/>
          <w:b/>
          <w:bCs/>
          <w:sz w:val="28"/>
          <w:szCs w:val="28"/>
        </w:rPr>
      </w:pPr>
    </w:p>
    <w:p w14:paraId="35937190" w14:textId="77777777" w:rsidR="00832745" w:rsidRDefault="00832745" w:rsidP="006A02A4">
      <w:pPr>
        <w:rPr>
          <w:rFonts w:ascii="Arial Black" w:hAnsi="Arial Black"/>
          <w:b/>
          <w:bCs/>
          <w:sz w:val="28"/>
          <w:szCs w:val="28"/>
        </w:rPr>
      </w:pPr>
    </w:p>
    <w:p w14:paraId="7676E372" w14:textId="1F2A15B5" w:rsidR="00AC3E10" w:rsidRDefault="00AC3E10" w:rsidP="006A02A4">
      <w:pPr>
        <w:rPr>
          <w:rFonts w:ascii="Arial Black" w:hAnsi="Arial Black"/>
          <w:b/>
          <w:bCs/>
          <w:sz w:val="28"/>
          <w:szCs w:val="28"/>
        </w:rPr>
      </w:pPr>
      <w:r>
        <w:rPr>
          <w:rFonts w:ascii="Arial Black" w:hAnsi="Arial Black"/>
          <w:b/>
          <w:bCs/>
          <w:sz w:val="28"/>
          <w:szCs w:val="28"/>
        </w:rPr>
        <w:t>13-15</w:t>
      </w:r>
      <w:r w:rsidR="008F7EBA">
        <w:rPr>
          <w:rFonts w:ascii="Arial Black" w:hAnsi="Arial Black"/>
          <w:b/>
          <w:bCs/>
          <w:sz w:val="28"/>
          <w:szCs w:val="28"/>
        </w:rPr>
        <w:t>5</w:t>
      </w:r>
    </w:p>
    <w:p w14:paraId="4734A7E5" w14:textId="77777777" w:rsidR="00AC3E10" w:rsidRPr="00D41A7C" w:rsidRDefault="00AC3E10" w:rsidP="00AC3E10">
      <w:pPr>
        <w:pStyle w:val="NoSpacing"/>
        <w:rPr>
          <w:rFonts w:ascii="Arial Black" w:hAnsi="Arial Black"/>
          <w:b/>
          <w:bCs/>
          <w:sz w:val="28"/>
          <w:szCs w:val="28"/>
        </w:rPr>
      </w:pPr>
      <w:r>
        <w:rPr>
          <w:rFonts w:ascii="Arial Black" w:hAnsi="Arial Black"/>
          <w:b/>
          <w:bCs/>
          <w:sz w:val="28"/>
          <w:szCs w:val="28"/>
        </w:rPr>
        <w:t>OH: EMS TREATING HEAD INJURY OF DRUNK FEMALE – SHE RESISTED ARREST DRUNK BOYFRIEND – PATIENT CONV.</w:t>
      </w:r>
    </w:p>
    <w:p w14:paraId="4A19D415" w14:textId="77777777" w:rsidR="00AC3E10" w:rsidRPr="00E460C5" w:rsidRDefault="00AC3E10" w:rsidP="00AC3E10">
      <w:pPr>
        <w:pStyle w:val="NoSpacing"/>
        <w:rPr>
          <w:rFonts w:ascii="Times New Roman" w:hAnsi="Times New Roman"/>
          <w:sz w:val="24"/>
          <w:szCs w:val="24"/>
        </w:rPr>
      </w:pPr>
    </w:p>
    <w:p w14:paraId="5BEA05F0" w14:textId="77777777" w:rsidR="00AC3E10" w:rsidRDefault="00AC3E10" w:rsidP="00AC3E10">
      <w:pPr>
        <w:pStyle w:val="NoSpacing"/>
        <w:rPr>
          <w:rFonts w:ascii="Times New Roman" w:hAnsi="Times New Roman"/>
          <w:sz w:val="24"/>
          <w:szCs w:val="24"/>
        </w:rPr>
      </w:pPr>
      <w:r>
        <w:rPr>
          <w:rFonts w:ascii="Times New Roman" w:hAnsi="Times New Roman"/>
          <w:sz w:val="24"/>
          <w:szCs w:val="24"/>
        </w:rPr>
        <w:t xml:space="preserve">On Sept. 25, 2023, in </w:t>
      </w:r>
      <w:r w:rsidRPr="008B3A9C">
        <w:rPr>
          <w:rFonts w:ascii="Times New Roman" w:hAnsi="Times New Roman"/>
          <w:sz w:val="24"/>
          <w:szCs w:val="24"/>
          <w:u w:val="single"/>
        </w:rPr>
        <w:t>State of Ohio v. Veronica Sepulveda</w:t>
      </w:r>
      <w:r>
        <w:rPr>
          <w:rFonts w:ascii="Times New Roman" w:hAnsi="Times New Roman"/>
          <w:sz w:val="24"/>
          <w:szCs w:val="24"/>
        </w:rPr>
        <w:t xml:space="preserve">, the Court of Appeals of Ohio, Third Appellate District, Auglaize County, held (3 to 0) that jury properly found her guilty of Resisting Arrest (sentenced 30 days in jail); jury found her not guilty of </w:t>
      </w:r>
      <w:r w:rsidRPr="008B3A9C">
        <w:rPr>
          <w:rFonts w:ascii="Times New Roman" w:hAnsi="Times New Roman"/>
          <w:sz w:val="24"/>
          <w:szCs w:val="24"/>
        </w:rPr>
        <w:t>Obstructing Official Business.</w:t>
      </w:r>
      <w:r>
        <w:rPr>
          <w:rFonts w:ascii="Times New Roman" w:hAnsi="Times New Roman"/>
          <w:sz w:val="24"/>
          <w:szCs w:val="24"/>
        </w:rPr>
        <w:t xml:space="preserve">  Police officer told boyfriend to allow medics to treat her; when he refused, she interfered with arrest of her boyfriend. </w:t>
      </w:r>
    </w:p>
    <w:p w14:paraId="3BF2C000" w14:textId="77777777" w:rsidR="00AC3E10" w:rsidRDefault="00AC3E10" w:rsidP="00AC3E10">
      <w:pPr>
        <w:pStyle w:val="NoSpacing"/>
        <w:rPr>
          <w:rFonts w:ascii="Times New Roman" w:hAnsi="Times New Roman"/>
          <w:sz w:val="24"/>
          <w:szCs w:val="24"/>
        </w:rPr>
      </w:pPr>
    </w:p>
    <w:p w14:paraId="6ABC847B" w14:textId="77777777" w:rsidR="00AC3E10" w:rsidRDefault="00AC3E10" w:rsidP="00AC3E10">
      <w:pPr>
        <w:pStyle w:val="NoSpacing"/>
        <w:ind w:left="720"/>
        <w:rPr>
          <w:rFonts w:ascii="Times New Roman" w:hAnsi="Times New Roman"/>
          <w:sz w:val="24"/>
          <w:szCs w:val="24"/>
        </w:rPr>
      </w:pPr>
      <w:r>
        <w:rPr>
          <w:rFonts w:ascii="Times New Roman" w:hAnsi="Times New Roman"/>
          <w:sz w:val="24"/>
          <w:szCs w:val="24"/>
        </w:rPr>
        <w:t>“</w:t>
      </w:r>
      <w:r w:rsidRPr="00DA08AA">
        <w:rPr>
          <w:rFonts w:ascii="Times New Roman" w:hAnsi="Times New Roman"/>
          <w:sz w:val="24"/>
          <w:szCs w:val="24"/>
        </w:rPr>
        <w:t>Sepulveda was convicted of Resisting Arrest in violation of R.C.</w:t>
      </w:r>
      <w:r>
        <w:rPr>
          <w:rFonts w:ascii="Times New Roman" w:hAnsi="Times New Roman"/>
          <w:sz w:val="24"/>
          <w:szCs w:val="24"/>
        </w:rPr>
        <w:t xml:space="preserve"> </w:t>
      </w:r>
      <w:r w:rsidRPr="00DA08AA">
        <w:rPr>
          <w:rFonts w:ascii="Times New Roman" w:hAnsi="Times New Roman"/>
          <w:sz w:val="24"/>
          <w:szCs w:val="24"/>
        </w:rPr>
        <w:t xml:space="preserve">2921.33(A), which reads, </w:t>
      </w:r>
      <w:r>
        <w:rPr>
          <w:rFonts w:ascii="Times New Roman" w:hAnsi="Times New Roman"/>
          <w:sz w:val="24"/>
          <w:szCs w:val="24"/>
        </w:rPr>
        <w:t>‘</w:t>
      </w:r>
      <w:r w:rsidRPr="00DA08AA">
        <w:rPr>
          <w:rFonts w:ascii="Times New Roman" w:hAnsi="Times New Roman"/>
          <w:sz w:val="24"/>
          <w:szCs w:val="24"/>
        </w:rPr>
        <w:t>No person, recklessly or by force, shall resist or interfere</w:t>
      </w:r>
      <w:r>
        <w:rPr>
          <w:rFonts w:ascii="Times New Roman" w:hAnsi="Times New Roman"/>
          <w:sz w:val="24"/>
          <w:szCs w:val="24"/>
        </w:rPr>
        <w:t xml:space="preserve"> </w:t>
      </w:r>
      <w:r w:rsidRPr="00DA08AA">
        <w:rPr>
          <w:rFonts w:ascii="Times New Roman" w:hAnsi="Times New Roman"/>
          <w:sz w:val="24"/>
          <w:szCs w:val="24"/>
        </w:rPr>
        <w:t>with a lawful arrest of the person or another.</w:t>
      </w:r>
      <w:r>
        <w:rPr>
          <w:rFonts w:ascii="Times New Roman" w:hAnsi="Times New Roman"/>
          <w:sz w:val="24"/>
          <w:szCs w:val="24"/>
        </w:rPr>
        <w:t>’</w:t>
      </w:r>
    </w:p>
    <w:p w14:paraId="5D3363A2" w14:textId="77777777" w:rsidR="00AC3E10" w:rsidRDefault="00AC3E10" w:rsidP="00AC3E10">
      <w:pPr>
        <w:pStyle w:val="NoSpacing"/>
        <w:ind w:left="720"/>
        <w:rPr>
          <w:rFonts w:ascii="Times New Roman" w:hAnsi="Times New Roman"/>
          <w:sz w:val="24"/>
          <w:szCs w:val="24"/>
        </w:rPr>
      </w:pPr>
    </w:p>
    <w:p w14:paraId="17822ED9" w14:textId="77777777" w:rsidR="00AC3E10" w:rsidRPr="00E460C5" w:rsidRDefault="00AC3E10" w:rsidP="00AC3E10">
      <w:pPr>
        <w:pStyle w:val="NoSpacing"/>
        <w:ind w:left="720"/>
        <w:rPr>
          <w:rFonts w:ascii="Times New Roman" w:hAnsi="Times New Roman"/>
          <w:sz w:val="24"/>
          <w:szCs w:val="24"/>
        </w:rPr>
      </w:pPr>
      <w:r>
        <w:rPr>
          <w:rFonts w:ascii="Times New Roman" w:hAnsi="Times New Roman"/>
          <w:sz w:val="24"/>
          <w:szCs w:val="24"/>
        </w:rPr>
        <w:t>[W]</w:t>
      </w:r>
      <w:proofErr w:type="spellStart"/>
      <w:r w:rsidRPr="00D16E8F">
        <w:rPr>
          <w:rFonts w:ascii="Times New Roman" w:hAnsi="Times New Roman"/>
          <w:sz w:val="24"/>
          <w:szCs w:val="24"/>
        </w:rPr>
        <w:t>hile</w:t>
      </w:r>
      <w:proofErr w:type="spellEnd"/>
      <w:r w:rsidRPr="00D16E8F">
        <w:rPr>
          <w:rFonts w:ascii="Times New Roman" w:hAnsi="Times New Roman"/>
          <w:sz w:val="24"/>
          <w:szCs w:val="24"/>
        </w:rPr>
        <w:t xml:space="preserve"> Sepulveda may have encouraged </w:t>
      </w:r>
      <w:r>
        <w:rPr>
          <w:rFonts w:ascii="Times New Roman" w:hAnsi="Times New Roman"/>
          <w:sz w:val="24"/>
          <w:szCs w:val="24"/>
        </w:rPr>
        <w:t xml:space="preserve">[her boyfriend, Tyler] </w:t>
      </w:r>
      <w:r w:rsidRPr="00D16E8F">
        <w:rPr>
          <w:rFonts w:ascii="Times New Roman" w:hAnsi="Times New Roman"/>
          <w:sz w:val="24"/>
          <w:szCs w:val="24"/>
        </w:rPr>
        <w:t>Dunlap to comply</w:t>
      </w:r>
      <w:r>
        <w:rPr>
          <w:rFonts w:ascii="Times New Roman" w:hAnsi="Times New Roman"/>
          <w:sz w:val="24"/>
          <w:szCs w:val="24"/>
        </w:rPr>
        <w:t xml:space="preserve"> </w:t>
      </w:r>
      <w:r w:rsidRPr="00D16E8F">
        <w:rPr>
          <w:rFonts w:ascii="Times New Roman" w:hAnsi="Times New Roman"/>
          <w:sz w:val="24"/>
          <w:szCs w:val="24"/>
        </w:rPr>
        <w:t>with Lt. Place’s orders when Dunlap refused to move away from Sepulveda on the</w:t>
      </w:r>
      <w:r>
        <w:rPr>
          <w:rFonts w:ascii="Times New Roman" w:hAnsi="Times New Roman"/>
          <w:sz w:val="24"/>
          <w:szCs w:val="24"/>
        </w:rPr>
        <w:t xml:space="preserve"> </w:t>
      </w:r>
      <w:r w:rsidRPr="00D16E8F">
        <w:rPr>
          <w:rFonts w:ascii="Times New Roman" w:hAnsi="Times New Roman"/>
          <w:sz w:val="24"/>
          <w:szCs w:val="24"/>
        </w:rPr>
        <w:t>ground, this did not stop Sepulveda from getting between Dunlap and Lt. Place</w:t>
      </w:r>
      <w:r>
        <w:rPr>
          <w:rFonts w:ascii="Times New Roman" w:hAnsi="Times New Roman"/>
          <w:sz w:val="24"/>
          <w:szCs w:val="24"/>
        </w:rPr>
        <w:t xml:space="preserve"> </w:t>
      </w:r>
      <w:r w:rsidRPr="00D16E8F">
        <w:rPr>
          <w:rFonts w:ascii="Times New Roman" w:hAnsi="Times New Roman"/>
          <w:sz w:val="24"/>
          <w:szCs w:val="24"/>
        </w:rPr>
        <w:t>when the arrest was taking place shortly thereafter. Sepulveda’s action in getting</w:t>
      </w:r>
      <w:r>
        <w:rPr>
          <w:rFonts w:ascii="Times New Roman" w:hAnsi="Times New Roman"/>
          <w:sz w:val="24"/>
          <w:szCs w:val="24"/>
        </w:rPr>
        <w:t xml:space="preserve"> </w:t>
      </w:r>
      <w:r w:rsidRPr="00D16E8F">
        <w:rPr>
          <w:rFonts w:ascii="Times New Roman" w:hAnsi="Times New Roman"/>
          <w:sz w:val="24"/>
          <w:szCs w:val="24"/>
        </w:rPr>
        <w:t>between Lt. Place and Dunlap, combined with her action moving Lt. Place’s Taser,</w:t>
      </w:r>
      <w:r>
        <w:rPr>
          <w:rFonts w:ascii="Times New Roman" w:hAnsi="Times New Roman"/>
          <w:sz w:val="24"/>
          <w:szCs w:val="24"/>
        </w:rPr>
        <w:t xml:space="preserve"> </w:t>
      </w:r>
      <w:r w:rsidRPr="00D16E8F">
        <w:rPr>
          <w:rFonts w:ascii="Times New Roman" w:hAnsi="Times New Roman"/>
          <w:sz w:val="24"/>
          <w:szCs w:val="24"/>
        </w:rPr>
        <w:t>led to her charges in this case.</w:t>
      </w:r>
      <w:r>
        <w:rPr>
          <w:rFonts w:ascii="Times New Roman" w:hAnsi="Times New Roman"/>
          <w:sz w:val="24"/>
          <w:szCs w:val="24"/>
        </w:rPr>
        <w:t xml:space="preserve">” </w:t>
      </w:r>
      <w:hyperlink r:id="rId2183" w:history="1">
        <w:r w:rsidRPr="00633022">
          <w:rPr>
            <w:rStyle w:val="Hyperlink"/>
            <w:rFonts w:ascii="Times New Roman" w:hAnsi="Times New Roman"/>
            <w:sz w:val="24"/>
            <w:szCs w:val="24"/>
          </w:rPr>
          <w:t>https://www.supremecourt.ohio.gov/rod/docs/pdf/3/2023/2023-Ohio-3429.pdf</w:t>
        </w:r>
      </w:hyperlink>
      <w:r>
        <w:rPr>
          <w:rFonts w:ascii="Times New Roman" w:hAnsi="Times New Roman"/>
          <w:sz w:val="24"/>
          <w:szCs w:val="24"/>
        </w:rPr>
        <w:t xml:space="preserve"> </w:t>
      </w:r>
    </w:p>
    <w:p w14:paraId="55E1510F" w14:textId="77777777" w:rsidR="00AC3E10" w:rsidRDefault="00AC3E10" w:rsidP="00AC3E10">
      <w:pPr>
        <w:pStyle w:val="NoSpacing"/>
        <w:rPr>
          <w:rFonts w:ascii="Times New Roman" w:hAnsi="Times New Roman"/>
          <w:b/>
          <w:bCs/>
          <w:sz w:val="24"/>
          <w:szCs w:val="24"/>
        </w:rPr>
      </w:pPr>
    </w:p>
    <w:p w14:paraId="0F02E092" w14:textId="7CB8BAC0" w:rsidR="00AC3E10" w:rsidRDefault="00AC3E10" w:rsidP="00AC3E10">
      <w:pPr>
        <w:pStyle w:val="NoSpacing"/>
        <w:rPr>
          <w:rFonts w:ascii="Times New Roman" w:hAnsi="Times New Roman"/>
          <w:b/>
          <w:bCs/>
          <w:sz w:val="24"/>
          <w:szCs w:val="24"/>
        </w:rPr>
      </w:pPr>
      <w:r w:rsidRPr="00A44D24">
        <w:rPr>
          <w:rFonts w:ascii="Times New Roman" w:hAnsi="Times New Roman"/>
          <w:b/>
          <w:bCs/>
          <w:sz w:val="24"/>
          <w:szCs w:val="24"/>
        </w:rPr>
        <w:t>Legal Lesson Learned:</w:t>
      </w:r>
      <w:r>
        <w:rPr>
          <w:rFonts w:ascii="Times New Roman" w:hAnsi="Times New Roman"/>
          <w:b/>
          <w:bCs/>
          <w:sz w:val="24"/>
          <w:szCs w:val="24"/>
        </w:rPr>
        <w:t xml:space="preserve"> Intoxicated patient, intoxicated boyfriend, injured police officer – 30 days in jail seems like a light sentence. </w:t>
      </w:r>
    </w:p>
    <w:p w14:paraId="29E166E2" w14:textId="77777777" w:rsidR="00AC3E10" w:rsidRDefault="00AC3E10" w:rsidP="006A02A4">
      <w:pPr>
        <w:rPr>
          <w:rFonts w:ascii="Arial Black" w:hAnsi="Arial Black"/>
          <w:b/>
          <w:bCs/>
          <w:sz w:val="28"/>
          <w:szCs w:val="28"/>
        </w:rPr>
      </w:pPr>
    </w:p>
    <w:p w14:paraId="0E25C8EE" w14:textId="4BF5E621" w:rsidR="00AC3E10" w:rsidRDefault="008F7EBA" w:rsidP="006A02A4">
      <w:pPr>
        <w:rPr>
          <w:rFonts w:ascii="Arial Black" w:hAnsi="Arial Black"/>
          <w:b/>
          <w:bCs/>
          <w:sz w:val="28"/>
          <w:szCs w:val="28"/>
        </w:rPr>
      </w:pPr>
      <w:r>
        <w:rPr>
          <w:rFonts w:ascii="Arial Black" w:hAnsi="Arial Black"/>
          <w:b/>
          <w:bCs/>
          <w:sz w:val="28"/>
          <w:szCs w:val="28"/>
        </w:rPr>
        <w:t>13-154</w:t>
      </w:r>
    </w:p>
    <w:p w14:paraId="3E33E6D2" w14:textId="338A5855" w:rsidR="008F7EBA" w:rsidRDefault="008F7EBA" w:rsidP="008F7EBA">
      <w:pPr>
        <w:pStyle w:val="NormalWeb"/>
        <w:rPr>
          <w:rFonts w:ascii="Arial Black" w:hAnsi="Arial Black"/>
          <w:b/>
          <w:bCs/>
          <w:sz w:val="28"/>
          <w:szCs w:val="28"/>
        </w:rPr>
      </w:pPr>
      <w:bookmarkStart w:id="435" w:name="_Hlk147080981"/>
      <w:r>
        <w:rPr>
          <w:rFonts w:ascii="Arial Black" w:hAnsi="Arial Black"/>
          <w:b/>
          <w:bCs/>
          <w:sz w:val="28"/>
          <w:szCs w:val="28"/>
        </w:rPr>
        <w:lastRenderedPageBreak/>
        <w:t>MI: POLICE – HANDCUFFED, FACE DOWN PRISONER – DIED ASPHYXIA – EMS IN 3 MIN - NO PD QUAL. IMMUNITY</w:t>
      </w:r>
    </w:p>
    <w:bookmarkEnd w:id="435"/>
    <w:p w14:paraId="682AD423" w14:textId="77777777" w:rsidR="008F7EBA" w:rsidRDefault="008F7EBA" w:rsidP="008F7EBA">
      <w:pPr>
        <w:pStyle w:val="NormalWeb"/>
      </w:pPr>
      <w:r w:rsidRPr="009B2552">
        <w:t xml:space="preserve">On </w:t>
      </w:r>
      <w:r>
        <w:t xml:space="preserve">Sept. 21, 2023, in Thomas E. </w:t>
      </w:r>
      <w:proofErr w:type="spellStart"/>
      <w:r>
        <w:t>Lunneen</w:t>
      </w:r>
      <w:proofErr w:type="spellEnd"/>
      <w:r>
        <w:t xml:space="preserve">, personal representative of the estate of </w:t>
      </w:r>
      <w:r w:rsidRPr="009B2552">
        <w:rPr>
          <w:u w:val="single"/>
        </w:rPr>
        <w:t xml:space="preserve">Jack C. </w:t>
      </w:r>
      <w:proofErr w:type="spellStart"/>
      <w:r w:rsidRPr="009B2552">
        <w:rPr>
          <w:u w:val="single"/>
        </w:rPr>
        <w:t>Lunneen</w:t>
      </w:r>
      <w:proofErr w:type="spellEnd"/>
      <w:r w:rsidRPr="009B2552">
        <w:rPr>
          <w:u w:val="single"/>
        </w:rPr>
        <w:t xml:space="preserve"> v. Village of Berrien Springs, Michigan, et al.</w:t>
      </w:r>
      <w:r>
        <w:t xml:space="preserve">, the U.S. Court of Appeals for the Sixth Circuit (Cincinnati) held (2 to 1) that the trial court judge properly denied qualified immunity to the arresting police officers and the village.  A jury will now decide if police </w:t>
      </w:r>
      <w:proofErr w:type="gramStart"/>
      <w:r>
        <w:t>used</w:t>
      </w:r>
      <w:proofErr w:type="gramEnd"/>
      <w:r>
        <w:t xml:space="preserve"> substantial force on the back of the handcuffed prisoner. EMS arrived three minutes after the arrest and will likely be called as witnesses for the plaintiff. </w:t>
      </w:r>
    </w:p>
    <w:p w14:paraId="7FAA2AAB" w14:textId="4E19385A" w:rsidR="008F7EBA" w:rsidRDefault="008F7EBA" w:rsidP="008F7EBA">
      <w:pPr>
        <w:ind w:left="720"/>
        <w:rPr>
          <w:rFonts w:ascii="Arial Black" w:hAnsi="Arial Black"/>
          <w:b/>
          <w:bCs/>
          <w:sz w:val="28"/>
          <w:szCs w:val="28"/>
        </w:rPr>
      </w:pPr>
      <w:r>
        <w:rPr>
          <w:rFonts w:ascii="Times New Roman" w:eastAsia="Times New Roman" w:hAnsi="Times New Roman"/>
          <w:sz w:val="24"/>
          <w:szCs w:val="24"/>
        </w:rPr>
        <w:t>“</w:t>
      </w:r>
      <w:r w:rsidRPr="00A35759">
        <w:rPr>
          <w:rFonts w:ascii="Times New Roman" w:eastAsia="Times New Roman" w:hAnsi="Times New Roman"/>
          <w:sz w:val="24"/>
          <w:szCs w:val="24"/>
        </w:rPr>
        <w:t>Wyss [</w:t>
      </w:r>
      <w:r w:rsidRPr="00A35759">
        <w:rPr>
          <w:rFonts w:ascii="Times New Roman" w:hAnsi="Times New Roman"/>
          <w:sz w:val="24"/>
          <w:szCs w:val="24"/>
        </w:rPr>
        <w:t xml:space="preserve">Officer James Wyss of the Village of Berrien Springs-Oronoko Township Police Department] </w:t>
      </w:r>
      <w:r w:rsidRPr="00A35759">
        <w:rPr>
          <w:rFonts w:ascii="Times New Roman" w:eastAsia="Times New Roman" w:hAnsi="Times New Roman"/>
          <w:sz w:val="24"/>
          <w:szCs w:val="24"/>
        </w:rPr>
        <w:t>argues</w:t>
      </w:r>
      <w:r w:rsidRPr="00646482">
        <w:rPr>
          <w:rFonts w:ascii="Times New Roman" w:eastAsia="Times New Roman" w:hAnsi="Times New Roman"/>
          <w:sz w:val="24"/>
          <w:szCs w:val="24"/>
        </w:rPr>
        <w:t xml:space="preserve"> that the district court erred because </w:t>
      </w:r>
      <w:r>
        <w:rPr>
          <w:rFonts w:ascii="Times New Roman" w:eastAsia="Times New Roman" w:hAnsi="Times New Roman"/>
          <w:sz w:val="24"/>
          <w:szCs w:val="24"/>
        </w:rPr>
        <w:t>‘</w:t>
      </w:r>
      <w:r w:rsidRPr="00646482">
        <w:rPr>
          <w:rFonts w:ascii="Times New Roman" w:eastAsia="Times New Roman" w:hAnsi="Times New Roman"/>
          <w:sz w:val="24"/>
          <w:szCs w:val="24"/>
        </w:rPr>
        <w:t xml:space="preserve">[t]here is nothing unreasonable and unconstitutional about </w:t>
      </w:r>
      <w:r w:rsidRPr="00646482">
        <w:rPr>
          <w:rFonts w:ascii="Times New Roman" w:eastAsia="Times New Roman" w:hAnsi="Times New Roman"/>
          <w:i/>
          <w:iCs/>
          <w:sz w:val="24"/>
          <w:szCs w:val="24"/>
        </w:rPr>
        <w:t>merely holding onto the handcuffs</w:t>
      </w:r>
      <w:r w:rsidRPr="00646482">
        <w:rPr>
          <w:rFonts w:ascii="Times New Roman" w:eastAsia="Times New Roman" w:hAnsi="Times New Roman"/>
          <w:sz w:val="24"/>
          <w:szCs w:val="24"/>
        </w:rPr>
        <w:t xml:space="preserve"> following the erratic behavior and extensive resistance displayed by </w:t>
      </w:r>
      <w:proofErr w:type="spellStart"/>
      <w:r w:rsidRPr="00646482">
        <w:rPr>
          <w:rFonts w:ascii="Times New Roman" w:eastAsia="Times New Roman" w:hAnsi="Times New Roman"/>
          <w:sz w:val="24"/>
          <w:szCs w:val="24"/>
        </w:rPr>
        <w:t>Lunneen</w:t>
      </w:r>
      <w:proofErr w:type="spellEnd"/>
      <w:r w:rsidRPr="00646482">
        <w:rPr>
          <w:rFonts w:ascii="Times New Roman" w:eastAsia="Times New Roman" w:hAnsi="Times New Roman"/>
          <w:sz w:val="24"/>
          <w:szCs w:val="24"/>
        </w:rPr>
        <w:t xml:space="preserve"> before he was detained.</w:t>
      </w:r>
      <w:r>
        <w:rPr>
          <w:rFonts w:ascii="Times New Roman" w:eastAsia="Times New Roman" w:hAnsi="Times New Roman"/>
          <w:sz w:val="24"/>
          <w:szCs w:val="24"/>
        </w:rPr>
        <w:t>’</w:t>
      </w:r>
      <w:r w:rsidRPr="00646482">
        <w:rPr>
          <w:rFonts w:ascii="Times New Roman" w:eastAsia="Times New Roman" w:hAnsi="Times New Roman"/>
          <w:sz w:val="24"/>
          <w:szCs w:val="24"/>
        </w:rPr>
        <w:t xml:space="preserve"> Wyss Opening Br. at 33 (emphasis added). But Wyss's argument is based on his own version of the facts-that he was </w:t>
      </w:r>
      <w:r>
        <w:rPr>
          <w:rFonts w:ascii="Times New Roman" w:eastAsia="Times New Roman" w:hAnsi="Times New Roman"/>
          <w:sz w:val="24"/>
          <w:szCs w:val="24"/>
        </w:rPr>
        <w:t>‘</w:t>
      </w:r>
      <w:r w:rsidRPr="00646482">
        <w:rPr>
          <w:rFonts w:ascii="Times New Roman" w:eastAsia="Times New Roman" w:hAnsi="Times New Roman"/>
          <w:sz w:val="24"/>
          <w:szCs w:val="24"/>
        </w:rPr>
        <w:t>merely holding onto the handcuffs.</w:t>
      </w:r>
      <w:r>
        <w:rPr>
          <w:rFonts w:ascii="Times New Roman" w:eastAsia="Times New Roman" w:hAnsi="Times New Roman"/>
          <w:sz w:val="24"/>
          <w:szCs w:val="24"/>
        </w:rPr>
        <w:t>’</w:t>
      </w:r>
      <w:r w:rsidRPr="00646482">
        <w:rPr>
          <w:rFonts w:ascii="Times New Roman" w:eastAsia="Times New Roman" w:hAnsi="Times New Roman"/>
          <w:sz w:val="24"/>
          <w:szCs w:val="24"/>
        </w:rPr>
        <w:t xml:space="preserve"> The video footage does not indisputably demonstrate this; Wyss's hand often appears to be in contact with </w:t>
      </w:r>
      <w:proofErr w:type="spellStart"/>
      <w:r w:rsidRPr="00646482">
        <w:rPr>
          <w:rFonts w:ascii="Times New Roman" w:eastAsia="Times New Roman" w:hAnsi="Times New Roman"/>
          <w:sz w:val="24"/>
          <w:szCs w:val="24"/>
        </w:rPr>
        <w:t>Lunneen's</w:t>
      </w:r>
      <w:proofErr w:type="spellEnd"/>
      <w:r w:rsidRPr="00646482">
        <w:rPr>
          <w:rFonts w:ascii="Times New Roman" w:eastAsia="Times New Roman" w:hAnsi="Times New Roman"/>
          <w:sz w:val="24"/>
          <w:szCs w:val="24"/>
        </w:rPr>
        <w:t xml:space="preserve"> back during this time and the amount of pressure he applies is not clear. And, as discussed above, Plaintiff's expert opined that </w:t>
      </w:r>
      <w:proofErr w:type="spellStart"/>
      <w:r w:rsidRPr="00646482">
        <w:rPr>
          <w:rFonts w:ascii="Times New Roman" w:eastAsia="Times New Roman" w:hAnsi="Times New Roman"/>
          <w:sz w:val="24"/>
          <w:szCs w:val="24"/>
        </w:rPr>
        <w:t>Lunneen's</w:t>
      </w:r>
      <w:proofErr w:type="spellEnd"/>
      <w:r w:rsidRPr="00646482">
        <w:rPr>
          <w:rFonts w:ascii="Times New Roman" w:eastAsia="Times New Roman" w:hAnsi="Times New Roman"/>
          <w:sz w:val="24"/>
          <w:szCs w:val="24"/>
        </w:rPr>
        <w:t xml:space="preserve"> autopsy revealed </w:t>
      </w:r>
      <w:r>
        <w:rPr>
          <w:rFonts w:ascii="Times New Roman" w:eastAsia="Times New Roman" w:hAnsi="Times New Roman"/>
          <w:sz w:val="24"/>
          <w:szCs w:val="24"/>
        </w:rPr>
        <w:t>‘</w:t>
      </w:r>
      <w:r w:rsidRPr="00646482">
        <w:rPr>
          <w:rFonts w:ascii="Times New Roman" w:eastAsia="Times New Roman" w:hAnsi="Times New Roman"/>
          <w:sz w:val="24"/>
          <w:szCs w:val="24"/>
        </w:rPr>
        <w:t>large areas of hemorrhage in the soft tissues and deep muscles of the mid and lower back bilaterally, evidence of severe prone back pressure.</w:t>
      </w:r>
      <w:r>
        <w:rPr>
          <w:rFonts w:ascii="Times New Roman" w:eastAsia="Times New Roman" w:hAnsi="Times New Roman"/>
          <w:sz w:val="24"/>
          <w:szCs w:val="24"/>
        </w:rPr>
        <w:t>’</w:t>
      </w:r>
      <w:r w:rsidRPr="00646482">
        <w:rPr>
          <w:rFonts w:ascii="Times New Roman" w:eastAsia="Times New Roman" w:hAnsi="Times New Roman"/>
          <w:sz w:val="24"/>
          <w:szCs w:val="24"/>
        </w:rPr>
        <w:t xml:space="preserve"> R. 57-3, PID # 389; </w:t>
      </w:r>
      <w:r w:rsidRPr="00646482">
        <w:rPr>
          <w:rFonts w:ascii="Times New Roman" w:eastAsia="Times New Roman" w:hAnsi="Times New Roman"/>
          <w:i/>
          <w:iCs/>
          <w:sz w:val="24"/>
          <w:szCs w:val="24"/>
        </w:rPr>
        <w:t>see also</w:t>
      </w:r>
      <w:r w:rsidRPr="00646482">
        <w:rPr>
          <w:rFonts w:ascii="Times New Roman" w:eastAsia="Times New Roman" w:hAnsi="Times New Roman"/>
          <w:sz w:val="24"/>
          <w:szCs w:val="24"/>
        </w:rPr>
        <w:t xml:space="preserve"> R. 57-11 (report by Dr. </w:t>
      </w:r>
      <w:proofErr w:type="spellStart"/>
      <w:r w:rsidRPr="00646482">
        <w:rPr>
          <w:rFonts w:ascii="Times New Roman" w:eastAsia="Times New Roman" w:hAnsi="Times New Roman"/>
          <w:sz w:val="24"/>
          <w:szCs w:val="24"/>
        </w:rPr>
        <w:t>Wohlgelernter</w:t>
      </w:r>
      <w:proofErr w:type="spellEnd"/>
      <w:r w:rsidRPr="00646482">
        <w:rPr>
          <w:rFonts w:ascii="Times New Roman" w:eastAsia="Times New Roman" w:hAnsi="Times New Roman"/>
          <w:sz w:val="24"/>
          <w:szCs w:val="24"/>
        </w:rPr>
        <w:t xml:space="preserve">, who concluded that </w:t>
      </w:r>
      <w:proofErr w:type="spellStart"/>
      <w:r w:rsidRPr="00646482">
        <w:rPr>
          <w:rFonts w:ascii="Times New Roman" w:eastAsia="Times New Roman" w:hAnsi="Times New Roman"/>
          <w:sz w:val="24"/>
          <w:szCs w:val="24"/>
        </w:rPr>
        <w:t>Lunneen</w:t>
      </w:r>
      <w:proofErr w:type="spellEnd"/>
      <w:r w:rsidRPr="00646482">
        <w:rPr>
          <w:rFonts w:ascii="Times New Roman" w:eastAsia="Times New Roman" w:hAnsi="Times New Roman"/>
          <w:sz w:val="24"/>
          <w:szCs w:val="24"/>
        </w:rPr>
        <w:t xml:space="preserve"> died from </w:t>
      </w:r>
      <w:r>
        <w:rPr>
          <w:rFonts w:ascii="Times New Roman" w:eastAsia="Times New Roman" w:hAnsi="Times New Roman"/>
          <w:sz w:val="24"/>
          <w:szCs w:val="24"/>
        </w:rPr>
        <w:t>‘</w:t>
      </w:r>
      <w:r w:rsidRPr="00646482">
        <w:rPr>
          <w:rFonts w:ascii="Times New Roman" w:eastAsia="Times New Roman" w:hAnsi="Times New Roman"/>
          <w:sz w:val="24"/>
          <w:szCs w:val="24"/>
        </w:rPr>
        <w:t>restraint/compressive asphyxia with mechanical obstruction of respiration, secondary to compressive force applied to his torso by the police officers with resultant respiratory compromise and subsequent development of hypoxia/hypoxemia causing asystole and PEA cardiac arrest).</w:t>
      </w:r>
      <w:r>
        <w:rPr>
          <w:rFonts w:ascii="Times New Roman" w:eastAsia="Times New Roman" w:hAnsi="Times New Roman"/>
          <w:sz w:val="24"/>
          <w:szCs w:val="24"/>
        </w:rPr>
        <w:t xml:space="preserve">” </w:t>
      </w:r>
      <w:hyperlink r:id="rId2184" w:history="1">
        <w:r w:rsidRPr="00D01575">
          <w:rPr>
            <w:rStyle w:val="Hyperlink"/>
            <w:rFonts w:ascii="Times New Roman" w:eastAsia="Times New Roman" w:hAnsi="Times New Roman"/>
            <w:sz w:val="24"/>
            <w:szCs w:val="24"/>
          </w:rPr>
          <w:t>https://public.fastcase.com/ZZhmr5v9wN%2FXOe5IsQ%2FqDwASFNWp2rhZooTaAZ4JTmSP%2Ba577zfXOKFdhmxj2NNxZ%2BfUfh8HTXLnmAlto%2FfEgpJtIv6O1WLjBzQZiKVSV8A%3D?utm_medium=email&amp;_hsmi=226712652&amp;_hsenc=p2ANqtz-9KUYaeGFguXeYoSZu4M54zm4xcFhouQPplq1qZXjy7nqatE34VLjsx4SN3mygo2_n2CHhg7EjDYW1VqsMoJq110-zPJg&amp;utm_content=226712652&amp;utm_source=hs_email</w:t>
        </w:r>
      </w:hyperlink>
    </w:p>
    <w:p w14:paraId="39441514" w14:textId="77777777" w:rsidR="008F7EBA" w:rsidRPr="007C2BBC" w:rsidRDefault="008F7EBA" w:rsidP="008F7EBA">
      <w:pPr>
        <w:pStyle w:val="NormalWeb"/>
        <w:rPr>
          <w:b/>
          <w:bCs/>
        </w:rPr>
      </w:pPr>
      <w:r w:rsidRPr="007C2BBC">
        <w:rPr>
          <w:b/>
          <w:bCs/>
        </w:rPr>
        <w:t xml:space="preserve">Legal Lesson Learned: </w:t>
      </w:r>
      <w:r>
        <w:rPr>
          <w:b/>
          <w:bCs/>
        </w:rPr>
        <w:t xml:space="preserve">EMS who observe police holding face down a handcuffed prisoner can expect to testify if the prisoner dies or is seriously injured. </w:t>
      </w:r>
    </w:p>
    <w:p w14:paraId="6304ECCC" w14:textId="77777777" w:rsidR="00AC3E10" w:rsidRDefault="00AC3E10" w:rsidP="006A02A4">
      <w:pPr>
        <w:rPr>
          <w:rFonts w:ascii="Arial Black" w:hAnsi="Arial Black"/>
          <w:b/>
          <w:bCs/>
          <w:sz w:val="28"/>
          <w:szCs w:val="28"/>
        </w:rPr>
      </w:pPr>
    </w:p>
    <w:p w14:paraId="104E8460" w14:textId="77777777" w:rsidR="008F7EBA" w:rsidRDefault="008F7EBA" w:rsidP="006A02A4">
      <w:pPr>
        <w:rPr>
          <w:rFonts w:ascii="Arial Black" w:hAnsi="Arial Black"/>
          <w:b/>
          <w:bCs/>
          <w:sz w:val="28"/>
          <w:szCs w:val="28"/>
        </w:rPr>
      </w:pPr>
    </w:p>
    <w:p w14:paraId="6809C985" w14:textId="5A9A0D81" w:rsidR="00DA3CAA" w:rsidRDefault="00DA3CAA" w:rsidP="006A02A4">
      <w:pPr>
        <w:rPr>
          <w:rFonts w:ascii="Arial Black" w:hAnsi="Arial Black"/>
          <w:b/>
          <w:bCs/>
          <w:sz w:val="28"/>
          <w:szCs w:val="28"/>
        </w:rPr>
      </w:pPr>
      <w:r>
        <w:rPr>
          <w:rFonts w:ascii="Arial Black" w:hAnsi="Arial Black"/>
          <w:b/>
          <w:bCs/>
          <w:sz w:val="28"/>
          <w:szCs w:val="28"/>
        </w:rPr>
        <w:t>13-153</w:t>
      </w:r>
    </w:p>
    <w:p w14:paraId="6EA7B7A2" w14:textId="77777777" w:rsidR="00DA3CAA" w:rsidRDefault="00DA3CAA" w:rsidP="00DA3CAA">
      <w:pPr>
        <w:pStyle w:val="NormalWeb"/>
        <w:rPr>
          <w:rFonts w:ascii="Arial Black" w:hAnsi="Arial Black"/>
          <w:sz w:val="28"/>
          <w:szCs w:val="28"/>
        </w:rPr>
      </w:pPr>
      <w:r>
        <w:rPr>
          <w:rFonts w:ascii="Arial Black" w:hAnsi="Arial Black"/>
          <w:sz w:val="28"/>
          <w:szCs w:val="28"/>
        </w:rPr>
        <w:t>PA: DIZZINESS / LIFT ASSIST – DIDN’T BRING IN MONITOR – REFUSED TRANSPORT, CARDIAC ARREST – NO GROSS NEG.</w:t>
      </w:r>
    </w:p>
    <w:p w14:paraId="333CC0EE" w14:textId="77777777" w:rsidR="00DA3CAA" w:rsidRPr="00DA3CAA" w:rsidRDefault="00DA3CAA" w:rsidP="00DA3CAA">
      <w:pPr>
        <w:spacing w:after="100" w:line="240" w:lineRule="auto"/>
        <w:rPr>
          <w:rFonts w:ascii="Times New Roman" w:eastAsia="Times New Roman" w:hAnsi="Times New Roman"/>
          <w:sz w:val="24"/>
          <w:szCs w:val="24"/>
        </w:rPr>
      </w:pPr>
      <w:r w:rsidRPr="00DA3CAA">
        <w:rPr>
          <w:rFonts w:ascii="Times New Roman" w:hAnsi="Times New Roman"/>
          <w:sz w:val="24"/>
          <w:szCs w:val="24"/>
        </w:rPr>
        <w:t xml:space="preserve">On July 28, 2023, in </w:t>
      </w:r>
      <w:r w:rsidRPr="00DA3CAA">
        <w:rPr>
          <w:rFonts w:ascii="Times New Roman" w:hAnsi="Times New Roman"/>
          <w:sz w:val="24"/>
          <w:szCs w:val="24"/>
          <w:u w:val="single"/>
        </w:rPr>
        <w:t>Frederick T. Fry. Administrator of Estate of Jean Ann Fry v. Montrose Minute Men, Inc</w:t>
      </w:r>
      <w:r w:rsidRPr="00DA3CAA">
        <w:rPr>
          <w:rFonts w:ascii="Times New Roman" w:hAnsi="Times New Roman"/>
          <w:sz w:val="24"/>
          <w:szCs w:val="24"/>
        </w:rPr>
        <w:t xml:space="preserve">., the Superior Court of Pennsylvania, held (3 to 0; non-precedential decision) that the trial court properly granted EMS summary judgment.  There may have been negligence regarding not bringing in monitor, and subsequent actions at the scene (plaintiff’s two expert witness medical doctors submitted reports finding breaches of protocol), but there was no proof of gross negligence.  The expert witness for EMS, another medical doctor, in </w:t>
      </w:r>
      <w:r w:rsidRPr="00DA3CAA">
        <w:rPr>
          <w:rFonts w:ascii="Times New Roman" w:hAnsi="Times New Roman"/>
          <w:sz w:val="24"/>
          <w:szCs w:val="24"/>
        </w:rPr>
        <w:lastRenderedPageBreak/>
        <w:t>his report disagree and concluded, “T</w:t>
      </w:r>
      <w:r w:rsidRPr="00DA3CAA">
        <w:rPr>
          <w:rFonts w:ascii="Times New Roman" w:eastAsia="Times New Roman" w:hAnsi="Times New Roman"/>
          <w:sz w:val="24"/>
          <w:szCs w:val="24"/>
        </w:rPr>
        <w:t xml:space="preserve">he EMS providers on the scene responded admirably to a very difficult situation.” </w:t>
      </w:r>
    </w:p>
    <w:p w14:paraId="3CC246B3" w14:textId="77777777" w:rsidR="00DA3CAA" w:rsidRPr="00DA3CAA" w:rsidRDefault="00DA3CAA" w:rsidP="00DA3CAA">
      <w:pPr>
        <w:spacing w:after="100" w:line="240" w:lineRule="auto"/>
        <w:rPr>
          <w:rFonts w:ascii="Times New Roman" w:eastAsia="Times New Roman" w:hAnsi="Times New Roman"/>
          <w:sz w:val="24"/>
          <w:szCs w:val="24"/>
        </w:rPr>
      </w:pPr>
    </w:p>
    <w:p w14:paraId="041F0B83" w14:textId="77777777" w:rsidR="00DA3CAA" w:rsidRPr="00DA3CAA" w:rsidRDefault="00DA3CAA" w:rsidP="00DA3CAA">
      <w:pPr>
        <w:spacing w:after="100" w:line="240" w:lineRule="auto"/>
        <w:rPr>
          <w:rFonts w:ascii="Times New Roman" w:eastAsia="Times New Roman" w:hAnsi="Times New Roman"/>
          <w:sz w:val="24"/>
          <w:szCs w:val="24"/>
        </w:rPr>
      </w:pPr>
      <w:r w:rsidRPr="00DA3CAA">
        <w:rPr>
          <w:rFonts w:ascii="Times New Roman" w:eastAsia="Times New Roman" w:hAnsi="Times New Roman"/>
          <w:sz w:val="24"/>
          <w:szCs w:val="24"/>
        </w:rPr>
        <w:t xml:space="preserve">The Court held: </w:t>
      </w:r>
    </w:p>
    <w:p w14:paraId="360942D5" w14:textId="77777777" w:rsidR="00DA3CAA" w:rsidRPr="00DA3CAA" w:rsidRDefault="00DA3CAA" w:rsidP="00DA3CAA">
      <w:pPr>
        <w:spacing w:after="100" w:line="240" w:lineRule="auto"/>
        <w:rPr>
          <w:rFonts w:ascii="Times New Roman" w:hAnsi="Times New Roman"/>
          <w:sz w:val="24"/>
          <w:szCs w:val="24"/>
        </w:rPr>
      </w:pPr>
      <w:r w:rsidRPr="00DA3CAA">
        <w:rPr>
          <w:rFonts w:ascii="Times New Roman" w:hAnsi="Times New Roman"/>
          <w:sz w:val="24"/>
          <w:szCs w:val="24"/>
        </w:rPr>
        <w:t>“The crew's failure to bring in diagnostic equipment when they arrived at the Fry residence hardly rises to an extreme departure from the standard of care or shows a conscious, voluntary omission in reckless disregard of a legal duty. At most, the failure of the crew to bring equipment when they first arrived at the Fry home may - or may not - rise to a level of ordinary negligence.</w:t>
      </w:r>
    </w:p>
    <w:p w14:paraId="1C55BF98" w14:textId="77777777" w:rsidR="00DA3CAA" w:rsidRPr="00DA3CAA" w:rsidRDefault="00DA3CAA" w:rsidP="00DA3CAA">
      <w:pPr>
        <w:spacing w:after="100" w:line="240" w:lineRule="auto"/>
        <w:rPr>
          <w:rFonts w:ascii="Times New Roman" w:eastAsia="Times New Roman" w:hAnsi="Times New Roman"/>
          <w:sz w:val="24"/>
          <w:szCs w:val="24"/>
        </w:rPr>
      </w:pPr>
      <w:r w:rsidRPr="00DA3CAA">
        <w:rPr>
          <w:rFonts w:ascii="Times New Roman" w:hAnsi="Times New Roman"/>
          <w:sz w:val="24"/>
          <w:szCs w:val="24"/>
        </w:rPr>
        <w:t>***</w:t>
      </w:r>
    </w:p>
    <w:p w14:paraId="47FEE111" w14:textId="20A3F85F" w:rsidR="00DA3CAA" w:rsidRDefault="00DA3CAA" w:rsidP="00DA3CAA">
      <w:pPr>
        <w:rPr>
          <w:rFonts w:ascii="Arial Black" w:hAnsi="Arial Black"/>
          <w:b/>
          <w:bCs/>
          <w:sz w:val="28"/>
          <w:szCs w:val="28"/>
        </w:rPr>
      </w:pPr>
      <w:r w:rsidRPr="00DA3CAA">
        <w:rPr>
          <w:rFonts w:ascii="Times New Roman" w:hAnsi="Times New Roman"/>
          <w:sz w:val="24"/>
          <w:szCs w:val="24"/>
        </w:rPr>
        <w:t xml:space="preserve">Distilled down, Fry argues that his expert reports, by themselves, create inherent issues of fact that are necessary for jury adjudication. However, other than citing two pieces of ‘authority,’ one from this Court and another from a trial-court level decision, even accepting everything contained within his expert reports as true, Fry has failed to show that the Minute Men, or its agents, engaged in any kind of behavior that could be considered grossly negligent or willful misconduct.” </w:t>
      </w:r>
      <w:hyperlink r:id="rId2185" w:history="1">
        <w:r w:rsidRPr="00DA3CAA">
          <w:rPr>
            <w:rStyle w:val="Hyperlink"/>
            <w:rFonts w:ascii="Times New Roman" w:eastAsiaTheme="majorEastAsia" w:hAnsi="Times New Roman"/>
            <w:sz w:val="24"/>
            <w:szCs w:val="24"/>
          </w:rPr>
          <w:t>https://public.fastcase.com/ZZhmr5v9wN%2FXOe5IsQ%2FqD%2FMrsYybnhzToDs3pNIz1%2FKuVE%2FXrNjXuEwJjzIPMf50bv4pQ7cB9hbsaZ7iWrESGuHFIj%2FFdpWNLAaphAA7k6c%3D?utm_medium=email&amp;_hsmi=226712652&amp;_hsenc=p2ANqtz-_5oWIy3JVMzQhw9Nc4Op3ZwRC559261JhKrpKmwZ_i9sOC_6POwqnLW9vjaTKG4YfwH8U6J7L56i3T2Eyz1DW0ZK0ATw&amp;utm_content=226712652&amp;utm_source=hs_email</w:t>
        </w:r>
      </w:hyperlink>
    </w:p>
    <w:p w14:paraId="176A673A" w14:textId="77777777" w:rsidR="00DA3CAA" w:rsidRPr="00A95A76" w:rsidRDefault="00DA3CAA" w:rsidP="00DA3CAA">
      <w:pPr>
        <w:pStyle w:val="NormalWeb"/>
        <w:rPr>
          <w:b/>
          <w:bCs/>
        </w:rPr>
      </w:pPr>
      <w:r w:rsidRPr="00A95A76">
        <w:rPr>
          <w:b/>
          <w:bCs/>
        </w:rPr>
        <w:t xml:space="preserve">Legal Lesson Learned: </w:t>
      </w:r>
      <w:r>
        <w:rPr>
          <w:b/>
          <w:bCs/>
        </w:rPr>
        <w:t xml:space="preserve">Bring </w:t>
      </w:r>
      <w:proofErr w:type="gramStart"/>
      <w:r>
        <w:rPr>
          <w:b/>
          <w:bCs/>
        </w:rPr>
        <w:t>in</w:t>
      </w:r>
      <w:proofErr w:type="gramEnd"/>
      <w:r>
        <w:rPr>
          <w:b/>
          <w:bCs/>
        </w:rPr>
        <w:t xml:space="preserve"> Monitor even if call is for lift assist. </w:t>
      </w:r>
    </w:p>
    <w:p w14:paraId="35D5F126" w14:textId="77777777" w:rsidR="00DA3CAA" w:rsidRDefault="00DA3CAA" w:rsidP="006A02A4">
      <w:pPr>
        <w:rPr>
          <w:rFonts w:ascii="Arial Black" w:hAnsi="Arial Black"/>
          <w:b/>
          <w:bCs/>
          <w:sz w:val="28"/>
          <w:szCs w:val="28"/>
        </w:rPr>
      </w:pPr>
    </w:p>
    <w:p w14:paraId="3876C319" w14:textId="77777777" w:rsidR="00DA3CAA" w:rsidRDefault="00DA3CAA" w:rsidP="006A02A4">
      <w:pPr>
        <w:rPr>
          <w:rFonts w:ascii="Arial Black" w:hAnsi="Arial Black"/>
          <w:b/>
          <w:bCs/>
          <w:sz w:val="28"/>
          <w:szCs w:val="28"/>
        </w:rPr>
      </w:pPr>
    </w:p>
    <w:p w14:paraId="47119F22" w14:textId="6B9118F1" w:rsidR="00DA3CAA" w:rsidRDefault="00DA3CAA" w:rsidP="006A02A4">
      <w:pPr>
        <w:rPr>
          <w:rFonts w:ascii="Arial Black" w:hAnsi="Arial Black"/>
          <w:b/>
          <w:bCs/>
          <w:sz w:val="28"/>
          <w:szCs w:val="28"/>
        </w:rPr>
      </w:pPr>
      <w:r>
        <w:rPr>
          <w:rFonts w:ascii="Arial Black" w:hAnsi="Arial Black"/>
          <w:b/>
          <w:bCs/>
          <w:sz w:val="28"/>
          <w:szCs w:val="28"/>
        </w:rPr>
        <w:t>13-152</w:t>
      </w:r>
    </w:p>
    <w:p w14:paraId="6EF7D0FD" w14:textId="176F347C" w:rsidR="00DA3CAA" w:rsidRPr="00C03DA4" w:rsidRDefault="00DA3CAA" w:rsidP="00DA3CAA">
      <w:pPr>
        <w:pStyle w:val="NormalWeb"/>
        <w:rPr>
          <w:rFonts w:ascii="Arial Black" w:hAnsi="Arial Black"/>
          <w:b/>
          <w:bCs/>
          <w:sz w:val="28"/>
          <w:szCs w:val="28"/>
        </w:rPr>
      </w:pPr>
      <w:r>
        <w:rPr>
          <w:rFonts w:ascii="Arial Black" w:hAnsi="Arial Black"/>
          <w:b/>
          <w:bCs/>
          <w:sz w:val="28"/>
          <w:szCs w:val="28"/>
        </w:rPr>
        <w:t>MI: CEREBAL PALSY PATIENT – FAMILY SAID SHE STILL BREATHING - ALIVE FUNERAL HOME - EMS QUAL. IMMUN.</w:t>
      </w:r>
    </w:p>
    <w:p w14:paraId="341962BC" w14:textId="77777777" w:rsidR="00DA3CAA" w:rsidRDefault="00DA3CAA" w:rsidP="00DA3CAA">
      <w:pPr>
        <w:pStyle w:val="NormalWeb"/>
      </w:pPr>
      <w:r>
        <w:t xml:space="preserve">On July 26, 2023, in </w:t>
      </w:r>
      <w:r w:rsidRPr="00C03DA4">
        <w:rPr>
          <w:u w:val="single"/>
        </w:rPr>
        <w:t>Howard T. Linden, as Personal Representative of the Estate of Timesha Beauchamp v</w:t>
      </w:r>
      <w:r>
        <w:rPr>
          <w:u w:val="single"/>
        </w:rPr>
        <w:t>.</w:t>
      </w:r>
      <w:r w:rsidRPr="00C03DA4">
        <w:rPr>
          <w:u w:val="single"/>
        </w:rPr>
        <w:t xml:space="preserve"> City of Southfield, Michigan, et al</w:t>
      </w:r>
      <w:r>
        <w:t>., the U.S. Court of Appeals for 6</w:t>
      </w:r>
      <w:r w:rsidRPr="00C03DA4">
        <w:rPr>
          <w:vertAlign w:val="superscript"/>
        </w:rPr>
        <w:t>th</w:t>
      </w:r>
      <w:r>
        <w:t xml:space="preserve"> Circuit (Cincinnati) held (3 to 0) that the trial court judge properly dismissed the lawsuit, holding that that the paramedics enjoyed qualified immunity, and therefore the City is also not liable. On Aug. 23, 2020, EMS were called to home of a 20-year-old woman with cerebral palsy who was unresponsive. After CPR and ventilation with a bag valve mask, the family was told she had died.  However, on three occasions family members said she appeared to still be </w:t>
      </w:r>
      <w:proofErr w:type="gramStart"/>
      <w:r>
        <w:t>breathing</w:t>
      </w:r>
      <w:proofErr w:type="gramEnd"/>
      <w:r>
        <w:t xml:space="preserve"> and the monitor showed electrical activity.  When at funeral home, the embalmer saw her chest rising; she died six weeks later. The Court rejected plaintiff’s “state-created danger” theory since EMS did not expose the patient to “private acts of violence.” The Court also rejected the “failure to train” liability for the City, since the lawsuit complaint contained no factual allegations about their EMS training. </w:t>
      </w:r>
    </w:p>
    <w:p w14:paraId="4CEDA4A2" w14:textId="77777777" w:rsidR="00DA3CAA" w:rsidRDefault="00DA3CAA" w:rsidP="00DA3CAA">
      <w:pPr>
        <w:pStyle w:val="NormalWeb"/>
      </w:pPr>
      <w:r>
        <w:t>The Court held:</w:t>
      </w:r>
    </w:p>
    <w:p w14:paraId="53D1A8A0" w14:textId="77777777" w:rsidR="00DA3CAA" w:rsidRDefault="00DA3CAA" w:rsidP="00DA3CAA">
      <w:pPr>
        <w:pStyle w:val="NormalWeb"/>
      </w:pPr>
      <w:r>
        <w:t xml:space="preserve">Generally, there is no constitutional right to adequate medical care for individuals who are not in </w:t>
      </w:r>
      <w:proofErr w:type="gramStart"/>
      <w:r>
        <w:t>the custody</w:t>
      </w:r>
      <w:proofErr w:type="gramEnd"/>
      <w:r>
        <w:t xml:space="preserve"> of the state. See Jackson v. Schultz, 429 F.3d 586, 590 (6th Cir. 2005) (‘It is not a constitutional violation for a </w:t>
      </w:r>
      <w:r>
        <w:lastRenderedPageBreak/>
        <w:t>state actor to render incompetent medical assistance or fail to rescue those in need.” (</w:t>
      </w:r>
      <w:proofErr w:type="gramStart"/>
      <w:r>
        <w:t>citing</w:t>
      </w:r>
      <w:proofErr w:type="gramEnd"/>
      <w:r>
        <w:t xml:space="preserve"> </w:t>
      </w:r>
      <w:proofErr w:type="spellStart"/>
      <w:r>
        <w:t>DeShaney</w:t>
      </w:r>
      <w:proofErr w:type="spellEnd"/>
      <w:r>
        <w:t xml:space="preserve"> v. Winnebago </w:t>
      </w:r>
      <w:proofErr w:type="spellStart"/>
      <w:r>
        <w:t>Cnty</w:t>
      </w:r>
      <w:proofErr w:type="spellEnd"/>
      <w:r>
        <w:t xml:space="preserve">. </w:t>
      </w:r>
      <w:proofErr w:type="spellStart"/>
      <w:r>
        <w:t>Dep’t</w:t>
      </w:r>
      <w:proofErr w:type="spellEnd"/>
      <w:r>
        <w:t xml:space="preserve"> of Soc. Servs., 489 U.S. 189, 196 (1989))). However, there is an exception to that general principle where a state actor’s ‘affirmative act’ either ‘creates or increases a risk that the decedent would be exposed to ‘private acts of violence…’ </w:t>
      </w:r>
    </w:p>
    <w:p w14:paraId="2D3EF0CC" w14:textId="77777777" w:rsidR="00DA3CAA" w:rsidRDefault="00DA3CAA" w:rsidP="00DA3CAA">
      <w:pPr>
        <w:pStyle w:val="NormalWeb"/>
      </w:pPr>
      <w:r>
        <w:t>***</w:t>
      </w:r>
    </w:p>
    <w:p w14:paraId="62A88073" w14:textId="77777777" w:rsidR="00DA3CAA" w:rsidRDefault="00DA3CAA" w:rsidP="00DA3CAA">
      <w:pPr>
        <w:pStyle w:val="NormalWeb"/>
      </w:pPr>
      <w:r>
        <w:t xml:space="preserve">Qualified immunity “shields governmental officials from monetary damages </w:t>
      </w:r>
      <w:proofErr w:type="gramStart"/>
      <w:r>
        <w:t>as long as</w:t>
      </w:r>
      <w:proofErr w:type="gramEnd"/>
      <w:r>
        <w:t xml:space="preserve"> ‘their actions did not violate clearly established statutory or constitutional rights of which a reasonable person would have known.’” Sumpter v. Wayne Cnty., 868 F.3d 473, 480 (6th Cir.  2017) (quoting Chappell v. City of Cleveland, 585 F.3d 901, 907 (6th Cir. 2009))…. So it is hard to see how it could be ‘clearly established” that the First Responders exposed Beauchamp to a private act of violence when they mistakenly believed she was dead and left her in her family’s care to be processed for routine funeral proceedings, which included the Funeral Home employee’s act of putting Beauchamp’s presumed-dead body into a body bag to transport her to a funeral home.” </w:t>
      </w:r>
      <w:hyperlink r:id="rId2186" w:history="1">
        <w:r w:rsidRPr="00833D9A">
          <w:rPr>
            <w:rStyle w:val="Hyperlink"/>
            <w:rFonts w:eastAsiaTheme="majorEastAsia"/>
          </w:rPr>
          <w:t>https://www.opn.ca6.uscourts.gov/opinions.pdf/23a0156p-06.pdf</w:t>
        </w:r>
      </w:hyperlink>
      <w:r>
        <w:t xml:space="preserve"> </w:t>
      </w:r>
    </w:p>
    <w:p w14:paraId="35ED38F8" w14:textId="77777777" w:rsidR="00DA3CAA" w:rsidRPr="00CF63FC" w:rsidRDefault="00DA3CAA" w:rsidP="00DA3CAA">
      <w:pPr>
        <w:pStyle w:val="NormalWeb"/>
        <w:rPr>
          <w:b/>
          <w:bCs/>
        </w:rPr>
      </w:pPr>
      <w:r w:rsidRPr="00CF63FC">
        <w:rPr>
          <w:b/>
          <w:bCs/>
        </w:rPr>
        <w:t xml:space="preserve">Legal Lesson Learned: </w:t>
      </w:r>
      <w:r>
        <w:rPr>
          <w:b/>
          <w:bCs/>
        </w:rPr>
        <w:t xml:space="preserve">Terrible set of facts; review this case and your protocol on declaration of death with EMS personnel. </w:t>
      </w:r>
    </w:p>
    <w:p w14:paraId="68AF52B7" w14:textId="77777777" w:rsidR="00DA3CAA" w:rsidRDefault="00DA3CAA" w:rsidP="00DA3CAA">
      <w:pPr>
        <w:pStyle w:val="Heading1"/>
        <w:ind w:left="720"/>
        <w:rPr>
          <w:b w:val="0"/>
          <w:bCs w:val="0"/>
          <w:sz w:val="24"/>
          <w:szCs w:val="24"/>
        </w:rPr>
      </w:pPr>
      <w:r w:rsidRPr="00D87DB0">
        <w:rPr>
          <w:b w:val="0"/>
          <w:bCs w:val="0"/>
          <w:sz w:val="24"/>
          <w:szCs w:val="24"/>
        </w:rPr>
        <w:t xml:space="preserve">Note: See July 27, </w:t>
      </w:r>
      <w:proofErr w:type="gramStart"/>
      <w:r w:rsidRPr="00D87DB0">
        <w:rPr>
          <w:b w:val="0"/>
          <w:bCs w:val="0"/>
          <w:sz w:val="24"/>
          <w:szCs w:val="24"/>
        </w:rPr>
        <w:t>2023</w:t>
      </w:r>
      <w:proofErr w:type="gramEnd"/>
      <w:r w:rsidRPr="00D87DB0">
        <w:rPr>
          <w:b w:val="0"/>
          <w:bCs w:val="0"/>
          <w:sz w:val="24"/>
          <w:szCs w:val="24"/>
        </w:rPr>
        <w:t xml:space="preserve"> article, “Court rules first responders who wrongfully declared Michigan woman dead cannot be sued.” </w:t>
      </w:r>
      <w:hyperlink r:id="rId2187" w:history="1">
        <w:r w:rsidRPr="00D87DB0">
          <w:rPr>
            <w:rStyle w:val="Hyperlink"/>
            <w:rFonts w:eastAsiaTheme="majorEastAsia"/>
            <w:b w:val="0"/>
            <w:bCs w:val="0"/>
            <w:sz w:val="24"/>
            <w:szCs w:val="24"/>
          </w:rPr>
          <w:t>https://www.foxnews.com/us/court-rules-first-responders-wrongfully-declared-michigan-woman-dead-cannot-be-sued</w:t>
        </w:r>
      </w:hyperlink>
      <w:r w:rsidRPr="00D87DB0">
        <w:rPr>
          <w:b w:val="0"/>
          <w:bCs w:val="0"/>
          <w:sz w:val="24"/>
          <w:szCs w:val="24"/>
        </w:rPr>
        <w:t xml:space="preserve"> </w:t>
      </w:r>
    </w:p>
    <w:p w14:paraId="748A1ABF" w14:textId="29052168" w:rsidR="00DA3CAA" w:rsidRPr="00DA3CAA" w:rsidRDefault="00DA3CAA" w:rsidP="00DA3CAA">
      <w:pPr>
        <w:ind w:left="720"/>
        <w:rPr>
          <w:rFonts w:ascii="Times New Roman" w:hAnsi="Times New Roman"/>
          <w:b/>
          <w:bCs/>
          <w:sz w:val="24"/>
          <w:szCs w:val="24"/>
        </w:rPr>
      </w:pPr>
      <w:r w:rsidRPr="00DA3CAA">
        <w:rPr>
          <w:rFonts w:ascii="Times New Roman" w:hAnsi="Times New Roman"/>
          <w:sz w:val="24"/>
          <w:szCs w:val="24"/>
        </w:rPr>
        <w:t xml:space="preserve">Dec. 10, </w:t>
      </w:r>
      <w:proofErr w:type="gramStart"/>
      <w:r w:rsidRPr="00DA3CAA">
        <w:rPr>
          <w:rFonts w:ascii="Times New Roman" w:hAnsi="Times New Roman"/>
          <w:sz w:val="24"/>
          <w:szCs w:val="24"/>
        </w:rPr>
        <w:t>2020</w:t>
      </w:r>
      <w:proofErr w:type="gramEnd"/>
      <w:r w:rsidRPr="00DA3CAA">
        <w:rPr>
          <w:rFonts w:ascii="Times New Roman" w:hAnsi="Times New Roman"/>
          <w:sz w:val="24"/>
          <w:szCs w:val="24"/>
        </w:rPr>
        <w:t xml:space="preserve"> article: “Paramedics in case of ‘dead’ woman alive can regain licenses.” “The state health department recently reached agreements with the men to drop the license suspensions. They will have multiple chances to pass written and practical exams for paramedics. Storms has additional work: He must write a paper on the protocols for determination of death and cardiac arrest. Storms must read a book, ‘People Care: Perspective and Practices for Professional Caregivers,’ and write a three-page paper. He will have three chances to achieve a passing grade on the papers.” </w:t>
      </w:r>
      <w:hyperlink r:id="rId2188" w:history="1">
        <w:r w:rsidRPr="00DA3CAA">
          <w:rPr>
            <w:rStyle w:val="Hyperlink"/>
            <w:rFonts w:ascii="Times New Roman" w:eastAsiaTheme="majorEastAsia" w:hAnsi="Times New Roman"/>
            <w:sz w:val="24"/>
            <w:szCs w:val="24"/>
          </w:rPr>
          <w:t>https://www.detroitnews.com/story/news/local/oakland-county/2020/12/10/paramedics-case-dead-woman-alive-can-regain-licenses/3883292001/</w:t>
        </w:r>
      </w:hyperlink>
    </w:p>
    <w:p w14:paraId="0AACAB41" w14:textId="77777777" w:rsidR="00DA3CAA" w:rsidRDefault="00DA3CAA" w:rsidP="006A02A4">
      <w:pPr>
        <w:rPr>
          <w:rFonts w:ascii="Arial Black" w:hAnsi="Arial Black"/>
          <w:b/>
          <w:bCs/>
          <w:sz w:val="28"/>
          <w:szCs w:val="28"/>
        </w:rPr>
      </w:pPr>
    </w:p>
    <w:p w14:paraId="3F8294E7" w14:textId="0A12B4BF" w:rsidR="000644B6" w:rsidRDefault="00DA3CAA" w:rsidP="006A02A4">
      <w:pPr>
        <w:rPr>
          <w:rFonts w:ascii="Arial Black" w:hAnsi="Arial Black"/>
          <w:b/>
          <w:bCs/>
          <w:sz w:val="28"/>
          <w:szCs w:val="28"/>
        </w:rPr>
      </w:pPr>
      <w:r>
        <w:rPr>
          <w:rFonts w:ascii="Arial Black" w:hAnsi="Arial Black"/>
          <w:b/>
          <w:bCs/>
          <w:sz w:val="28"/>
          <w:szCs w:val="28"/>
        </w:rPr>
        <w:t>13-151</w:t>
      </w:r>
    </w:p>
    <w:p w14:paraId="772CC63A" w14:textId="77777777" w:rsidR="00DA3CAA" w:rsidRPr="00F900CB" w:rsidRDefault="00DA3CAA" w:rsidP="00DA3CAA">
      <w:pPr>
        <w:pStyle w:val="NormalWeb"/>
        <w:rPr>
          <w:rFonts w:ascii="Arial Black" w:hAnsi="Arial Black"/>
          <w:b/>
          <w:bCs/>
          <w:sz w:val="28"/>
          <w:szCs w:val="28"/>
        </w:rPr>
      </w:pPr>
      <w:r>
        <w:rPr>
          <w:rFonts w:ascii="Arial Black" w:hAnsi="Arial Black"/>
          <w:b/>
          <w:bCs/>
          <w:sz w:val="28"/>
          <w:szCs w:val="28"/>
        </w:rPr>
        <w:t>LA: TRIAGE NURSE GRABBED GURNEY – EMT SHOULDER INJURY - HOSPITAL LIABLE, JUDGE OVERTURNED JURY</w:t>
      </w:r>
    </w:p>
    <w:p w14:paraId="0BBD9815" w14:textId="77777777" w:rsidR="00DA3CAA" w:rsidRPr="00DA3CAA" w:rsidRDefault="00DA3CAA" w:rsidP="00DA3CAA">
      <w:pPr>
        <w:pStyle w:val="NormalWeb"/>
      </w:pPr>
      <w:r w:rsidRPr="00DA3CAA">
        <w:t xml:space="preserve">On July 26, 2023, in </w:t>
      </w:r>
      <w:r w:rsidRPr="00DA3CAA">
        <w:rPr>
          <w:u w:val="single"/>
        </w:rPr>
        <w:t>Jenna Rougeau v. Hospital Service District No. 2 of Beauregard Parish, et al.</w:t>
      </w:r>
      <w:r w:rsidRPr="00DA3CAA">
        <w:t xml:space="preserve">, the Court of Appeals of Louisiana, Third Circuit, held (3 to 0) that while the jury correctly found that Triage Nurse on June 25, 2016 was negligent in grabbing the gurney, as EMT was pulling a patient into ER and passed Room No. 6. However, the trial judge correctly overturned jury verdict that the </w:t>
      </w:r>
      <w:proofErr w:type="gramStart"/>
      <w:r w:rsidRPr="00DA3CAA">
        <w:t>nurses</w:t>
      </w:r>
      <w:proofErr w:type="gramEnd"/>
      <w:r w:rsidRPr="00DA3CAA">
        <w:t xml:space="preserve"> negligence did not cause EMT’s injury to her shoulder and loss of work for two years.  The EMT had arthroscopic surgery to repair her tom labrum and rotator </w:t>
      </w:r>
      <w:proofErr w:type="gramStart"/>
      <w:r w:rsidRPr="00DA3CAA">
        <w:t>cuff, but</w:t>
      </w:r>
      <w:proofErr w:type="gramEnd"/>
      <w:r w:rsidRPr="00DA3CAA">
        <w:t xml:space="preserve"> clearly could not pass Arcadia Ambulance requirement to </w:t>
      </w:r>
      <w:proofErr w:type="gramStart"/>
      <w:r w:rsidRPr="00DA3CAA">
        <w:t>dead lift</w:t>
      </w:r>
      <w:proofErr w:type="gramEnd"/>
      <w:r w:rsidRPr="00DA3CAA">
        <w:t xml:space="preserve"> 175 pounds, cany a large medic bag and monitor up a flight of stairs, and perform CPR for approximately one minute while maintaining a certain heart rate. The trial court properly awarded the EMT $42,626.48 in past medical expenses, $60,000.00 in past lost wages; and $261,000.00 in general damages ($160,000.00 in past pain and suffering; $25,000.00 in future pain and suffering; $40,000.00 in past mental anguish; and $36,000.00 in loss of enjoyment of life). </w:t>
      </w:r>
    </w:p>
    <w:p w14:paraId="03801E99" w14:textId="77777777" w:rsidR="00DA3CAA" w:rsidRPr="00DA3CAA" w:rsidRDefault="00DA3CAA" w:rsidP="00DA3CAA">
      <w:pPr>
        <w:pStyle w:val="NormalWeb"/>
      </w:pPr>
      <w:r w:rsidRPr="00DA3CAA">
        <w:lastRenderedPageBreak/>
        <w:t xml:space="preserve">The Court held: </w:t>
      </w:r>
    </w:p>
    <w:p w14:paraId="65227333" w14:textId="77777777" w:rsidR="00DA3CAA" w:rsidRPr="00DA3CAA" w:rsidRDefault="00DA3CAA" w:rsidP="00DA3CAA">
      <w:pPr>
        <w:pStyle w:val="NormalWeb"/>
      </w:pPr>
      <w:r w:rsidRPr="00DA3CAA">
        <w:t xml:space="preserve">“Thus, under the facts at issue, we find that Nurse Harless had a duty to exercise reasonable care in the performance of his emergency room duties </w:t>
      </w:r>
      <w:proofErr w:type="gramStart"/>
      <w:r w:rsidRPr="00DA3CAA">
        <w:t>in order to</w:t>
      </w:r>
      <w:proofErr w:type="gramEnd"/>
      <w:r w:rsidRPr="00DA3CAA">
        <w:t xml:space="preserve"> avoid causing injury to others, including to EMTs acting in the performance of their duties…. Based on the video, Nurse Harless saw the EMTs walking towards him with the stretcher as he was getting linen from a blanket warmer located in the hallway. Instead of communicating the room assignment when he first saw them, he waited until Plaintiff had taken approximately twelve steps and the stretcher had passed him before grabbing the rear of the stretcher and pulling it to a stop.</w:t>
      </w:r>
    </w:p>
    <w:p w14:paraId="75AA5E64" w14:textId="77777777" w:rsidR="00DA3CAA" w:rsidRPr="00DA3CAA" w:rsidRDefault="00DA3CAA" w:rsidP="00DA3CAA">
      <w:pPr>
        <w:pStyle w:val="NormalWeb"/>
      </w:pPr>
      <w:r w:rsidRPr="00DA3CAA">
        <w:t>***</w:t>
      </w:r>
    </w:p>
    <w:p w14:paraId="096F8BBA" w14:textId="23F40DA1" w:rsidR="00DA3CAA" w:rsidRPr="00DA3CAA" w:rsidRDefault="00DA3CAA" w:rsidP="00DA3CAA">
      <w:pPr>
        <w:rPr>
          <w:rFonts w:ascii="Times New Roman" w:hAnsi="Times New Roman"/>
          <w:b/>
          <w:bCs/>
          <w:sz w:val="24"/>
          <w:szCs w:val="24"/>
        </w:rPr>
      </w:pPr>
      <w:r w:rsidRPr="00DA3CAA">
        <w:rPr>
          <w:rFonts w:ascii="Times New Roman" w:hAnsi="Times New Roman"/>
          <w:sz w:val="24"/>
          <w:szCs w:val="24"/>
        </w:rPr>
        <w:t xml:space="preserve">Thus, we find that the </w:t>
      </w:r>
      <w:proofErr w:type="spellStart"/>
      <w:r w:rsidRPr="00DA3CAA">
        <w:rPr>
          <w:rFonts w:ascii="Times New Roman" w:hAnsi="Times New Roman"/>
          <w:sz w:val="24"/>
          <w:szCs w:val="24"/>
        </w:rPr>
        <w:t>juiy</w:t>
      </w:r>
      <w:proofErr w:type="spellEnd"/>
      <w:r w:rsidRPr="00DA3CAA">
        <w:rPr>
          <w:rFonts w:ascii="Times New Roman" w:hAnsi="Times New Roman"/>
          <w:sz w:val="24"/>
          <w:szCs w:val="24"/>
        </w:rPr>
        <w:t xml:space="preserve"> was manifestly erroneous in finding that this incident was not the cause-in-fact and legal cause of her shoulder </w:t>
      </w:r>
      <w:proofErr w:type="gramStart"/>
      <w:r w:rsidRPr="00DA3CAA">
        <w:rPr>
          <w:rFonts w:ascii="Times New Roman" w:hAnsi="Times New Roman"/>
          <w:sz w:val="24"/>
          <w:szCs w:val="24"/>
        </w:rPr>
        <w:t>injury.”</w:t>
      </w:r>
      <w:proofErr w:type="gramEnd"/>
      <w:r w:rsidRPr="00DA3CAA">
        <w:rPr>
          <w:rFonts w:ascii="Times New Roman" w:hAnsi="Times New Roman"/>
          <w:sz w:val="24"/>
          <w:szCs w:val="24"/>
        </w:rPr>
        <w:t xml:space="preserve">  </w:t>
      </w:r>
      <w:hyperlink r:id="rId2189" w:history="1">
        <w:r w:rsidRPr="00DA3CAA">
          <w:rPr>
            <w:rStyle w:val="Hyperlink"/>
            <w:rFonts w:ascii="Times New Roman" w:eastAsiaTheme="majorEastAsia" w:hAnsi="Times New Roman"/>
            <w:sz w:val="24"/>
            <w:szCs w:val="24"/>
          </w:rPr>
          <w:t>https://public.fastcase.com/ZZhmr5v9wN%2FXOe5IsQ%2FqD7GCKb2IB3J54e7ItSmUYP%2BWMLglINdF7XSY%2Fk9VEPoTx4QWBItn6mQ9CDY1KKV2Qj7lzwy8FX40VrBADcTdOUs%3D?utm_medium=email&amp;_hsmi=226712652&amp;_hsenc=p2ANqtz-_DK7zem2LwgE_Zwv-o_RP9UByjQ85WHbLNpM1Ddz9HLFMrLo4_e5BuKmezeF9cnjUjmpRGuKlpbVs2F5114RUdRnDuAQ&amp;utm_content=226712652&amp;utm_source=hs_email</w:t>
        </w:r>
      </w:hyperlink>
    </w:p>
    <w:p w14:paraId="4A907F21" w14:textId="77777777" w:rsidR="00DA3CAA" w:rsidRDefault="00DA3CAA" w:rsidP="00DA3CAA">
      <w:pPr>
        <w:pStyle w:val="NormalWeb"/>
        <w:rPr>
          <w:b/>
          <w:bCs/>
        </w:rPr>
      </w:pPr>
      <w:r w:rsidRPr="00621639">
        <w:rPr>
          <w:b/>
          <w:bCs/>
        </w:rPr>
        <w:t xml:space="preserve">Legal Lesson Learned: </w:t>
      </w:r>
      <w:r>
        <w:rPr>
          <w:b/>
          <w:bCs/>
        </w:rPr>
        <w:t>Trial judge may set aside an erroneous jury verdict and award damages to injured EMT.</w:t>
      </w:r>
    </w:p>
    <w:p w14:paraId="246A0455" w14:textId="77777777" w:rsidR="00DA3CAA" w:rsidRPr="00212639" w:rsidRDefault="00DA3CAA" w:rsidP="00DA3CAA">
      <w:pPr>
        <w:pStyle w:val="NormalWeb"/>
        <w:ind w:left="720"/>
      </w:pPr>
      <w:r w:rsidRPr="00212639">
        <w:t xml:space="preserve">Note: The worker’s comp. insurance provider for Arcadia Ambulance may then recover their expenses from the </w:t>
      </w:r>
      <w:proofErr w:type="gramStart"/>
      <w:r w:rsidRPr="00212639">
        <w:t>damage award</w:t>
      </w:r>
      <w:proofErr w:type="gramEnd"/>
      <w:r w:rsidRPr="00212639">
        <w:t xml:space="preserve">. </w:t>
      </w:r>
    </w:p>
    <w:p w14:paraId="77F34F75" w14:textId="77777777" w:rsidR="00DA3CAA" w:rsidRDefault="00DA3CAA" w:rsidP="006A02A4">
      <w:pPr>
        <w:rPr>
          <w:rFonts w:ascii="Arial Black" w:hAnsi="Arial Black"/>
          <w:b/>
          <w:bCs/>
          <w:sz w:val="28"/>
          <w:szCs w:val="28"/>
        </w:rPr>
      </w:pPr>
    </w:p>
    <w:p w14:paraId="3815D090" w14:textId="7873ABE8" w:rsidR="000644B6" w:rsidRDefault="000644B6" w:rsidP="006A02A4">
      <w:pPr>
        <w:rPr>
          <w:rFonts w:ascii="Arial Black" w:hAnsi="Arial Black"/>
          <w:b/>
          <w:bCs/>
          <w:sz w:val="28"/>
          <w:szCs w:val="28"/>
        </w:rPr>
      </w:pPr>
      <w:r>
        <w:rPr>
          <w:rFonts w:ascii="Arial Black" w:hAnsi="Arial Black"/>
          <w:b/>
          <w:bCs/>
          <w:sz w:val="28"/>
          <w:szCs w:val="28"/>
        </w:rPr>
        <w:t>13-150</w:t>
      </w:r>
    </w:p>
    <w:p w14:paraId="63D2C3F9" w14:textId="77777777" w:rsidR="000644B6" w:rsidRPr="00F43F3E" w:rsidRDefault="000644B6" w:rsidP="000644B6">
      <w:pPr>
        <w:pStyle w:val="NormalWeb"/>
        <w:rPr>
          <w:rFonts w:ascii="Arial Black" w:hAnsi="Arial Black"/>
          <w:sz w:val="28"/>
          <w:szCs w:val="28"/>
        </w:rPr>
      </w:pPr>
      <w:r>
        <w:rPr>
          <w:rFonts w:ascii="Arial Black" w:hAnsi="Arial Black"/>
          <w:sz w:val="28"/>
          <w:szCs w:val="28"/>
        </w:rPr>
        <w:t xml:space="preserve">NV: COMBATIVE PATIENT – PD TAKEDOWN, EMS GAVE KETAMINE FOR 175 POUND (ONLY 155) - QUAL. IMMUNITY </w:t>
      </w:r>
    </w:p>
    <w:p w14:paraId="27B50F62" w14:textId="77777777" w:rsidR="000644B6" w:rsidRPr="00DA3CAA" w:rsidRDefault="000644B6" w:rsidP="000644B6">
      <w:pPr>
        <w:pStyle w:val="NormalWeb"/>
      </w:pPr>
      <w:r w:rsidRPr="00DA3CAA">
        <w:t xml:space="preserve">On July 19, 2023, in </w:t>
      </w:r>
      <w:r w:rsidRPr="00DA3CAA">
        <w:rPr>
          <w:u w:val="single"/>
        </w:rPr>
        <w:t>Marc Galli v. Anthony Rush, et al</w:t>
      </w:r>
      <w:r w:rsidRPr="00DA3CAA">
        <w:t xml:space="preserve">., U.S. District Court Judge Andrew P. Gordon, U.S. District Court for District of Nevada, granted summary judgment to City of Henderson paramedics Anthony Rush and Edward Pickup, as well as two police officers who tackled the patient who had fled from the back of the ambulance.  Paramedics administered 320 milligrams of ketamine based on patient’s estimated weight of 175; his actual weight (155 pounds) </w:t>
      </w:r>
      <w:proofErr w:type="gramStart"/>
      <w:r w:rsidRPr="00DA3CAA">
        <w:t>called for</w:t>
      </w:r>
      <w:proofErr w:type="gramEnd"/>
      <w:r w:rsidRPr="00DA3CAA">
        <w:t xml:space="preserve"> 280 milligrams.  At hospital he was intubated because of his altered mental state and intermittent combative behavior and was released six days later.</w:t>
      </w:r>
    </w:p>
    <w:p w14:paraId="203D2DBE" w14:textId="681BF9F7" w:rsidR="000644B6" w:rsidRPr="00DA3CAA" w:rsidRDefault="000644B6" w:rsidP="000644B6">
      <w:pPr>
        <w:rPr>
          <w:rFonts w:ascii="Times New Roman" w:hAnsi="Times New Roman"/>
          <w:b/>
          <w:bCs/>
          <w:sz w:val="24"/>
          <w:szCs w:val="24"/>
        </w:rPr>
      </w:pPr>
      <w:r w:rsidRPr="00DA3CAA">
        <w:rPr>
          <w:rFonts w:ascii="Times New Roman" w:hAnsi="Times New Roman"/>
          <w:sz w:val="24"/>
          <w:szCs w:val="24"/>
        </w:rPr>
        <w:t xml:space="preserve">The Court held: “Regardless of their subjective motivation, Rush and Pickup were confronted with a patient who was crying, retching, claiming poisoning, and running away in the dark. From the perspective of a reasonable paramedic confronting the objective circumstances, they had at least a moderate interest in sedating Galli to ensure he received emergency medical care and caused no harm to himself or others. Weighing the significant application of force against the moderate government interest, a reasonable jury could find sedating Galli to be an excessive use of force. But Rush and Pickup are shielded by qualified immunity. First, Galli does not point to any authority for the proposition that as a paramedic, Pickup had a clearly established duty to intervene in Rush's purported constitutional violation. And more importantly, Galli points to no binding </w:t>
      </w:r>
      <w:r w:rsidRPr="00DA3CAA">
        <w:rPr>
          <w:rFonts w:ascii="Times New Roman" w:hAnsi="Times New Roman"/>
          <w:sz w:val="24"/>
          <w:szCs w:val="24"/>
        </w:rPr>
        <w:lastRenderedPageBreak/>
        <w:t xml:space="preserve">authority, nor have I found any, clearly establishing that a paramedic's administration of a sedative under comparable circumstances constitutes excessive force under the Fourth Amendment.” </w:t>
      </w:r>
      <w:hyperlink r:id="rId2190" w:history="1">
        <w:r w:rsidRPr="00DA3CAA">
          <w:rPr>
            <w:rStyle w:val="Hyperlink"/>
            <w:rFonts w:ascii="Times New Roman" w:eastAsiaTheme="majorEastAsia" w:hAnsi="Times New Roman"/>
            <w:sz w:val="24"/>
            <w:szCs w:val="24"/>
          </w:rPr>
          <w:t>https://public.fastcase.com/ZZhmr5v9wN%2FXOe5IsQ%2FqD3dz3eOW5zFOFbDDQpgyn5N1g%2BDYcYq%2BQq5MnHYcUlJvjXUWh8aXMHicyBCjMoSMvWkOcK9%2F08vlf7VzRHHVD0g%3D?utm_medium=email&amp;_hsmi=226712652&amp;_hsenc=p2ANqtz-8FJSrnDbpE5SBLnbpgOtm8bsro6mydF1tKlBKSrXXB7U0G_KpVHeRpWqi1b6f_lyKuKYe1ibmLo31OO_-xt7H5dW8mOA&amp;utm_content=226712652&amp;utm_source=hs_email</w:t>
        </w:r>
      </w:hyperlink>
    </w:p>
    <w:p w14:paraId="08831C8B" w14:textId="77777777" w:rsidR="00DA3CAA" w:rsidRPr="00E12FD2" w:rsidRDefault="00DA3CAA" w:rsidP="00DA3CAA">
      <w:pPr>
        <w:pStyle w:val="NormalWeb"/>
        <w:rPr>
          <w:b/>
          <w:bCs/>
        </w:rPr>
      </w:pPr>
      <w:r w:rsidRPr="00E12FD2">
        <w:rPr>
          <w:b/>
          <w:bCs/>
        </w:rPr>
        <w:t>Legal Lesson Learned:  Paramedics were shielded by qualified immunity; make sure you follow protocol for administering ketamine.</w:t>
      </w:r>
    </w:p>
    <w:p w14:paraId="65AD3A71" w14:textId="77777777" w:rsidR="000644B6" w:rsidRDefault="000644B6" w:rsidP="006A02A4">
      <w:pPr>
        <w:rPr>
          <w:rFonts w:ascii="Arial Black" w:hAnsi="Arial Black"/>
          <w:b/>
          <w:bCs/>
          <w:sz w:val="28"/>
          <w:szCs w:val="28"/>
        </w:rPr>
      </w:pPr>
    </w:p>
    <w:p w14:paraId="73A458AB" w14:textId="37EEF802" w:rsidR="00D33F96" w:rsidRDefault="00D33F96" w:rsidP="006A02A4">
      <w:pPr>
        <w:rPr>
          <w:rFonts w:ascii="Arial Black" w:hAnsi="Arial Black"/>
          <w:b/>
          <w:bCs/>
          <w:sz w:val="28"/>
          <w:szCs w:val="28"/>
        </w:rPr>
      </w:pPr>
      <w:r>
        <w:rPr>
          <w:rFonts w:ascii="Arial Black" w:hAnsi="Arial Black"/>
          <w:b/>
          <w:bCs/>
          <w:sz w:val="28"/>
          <w:szCs w:val="28"/>
        </w:rPr>
        <w:t>13-149</w:t>
      </w:r>
    </w:p>
    <w:p w14:paraId="7271AE2D" w14:textId="77777777" w:rsidR="00D33F96" w:rsidRPr="00641877" w:rsidRDefault="00D33F96" w:rsidP="00D33F96">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 xml:space="preserve">AL: BYSTANDER CPR – TOLD STOP BY VOL. FF – FIRE DEPT.  IMMUNITY, BUT NO APPEAL BY PLAINTIFF UNTIL FF TRIAL </w:t>
      </w:r>
    </w:p>
    <w:p w14:paraId="0E33EFE8" w14:textId="77777777" w:rsidR="00D33F96" w:rsidRDefault="00D33F96" w:rsidP="00D33F96">
      <w:pPr>
        <w:spacing w:before="100" w:beforeAutospacing="1" w:after="100" w:afterAutospacing="1" w:line="240" w:lineRule="auto"/>
        <w:rPr>
          <w:rFonts w:ascii="Times New Roman" w:hAnsi="Times New Roman"/>
          <w:sz w:val="24"/>
          <w:szCs w:val="24"/>
        </w:rPr>
      </w:pPr>
      <w:r w:rsidRPr="001A5B61">
        <w:rPr>
          <w:rFonts w:ascii="Times New Roman" w:eastAsia="Times New Roman" w:hAnsi="Times New Roman"/>
          <w:sz w:val="24"/>
          <w:szCs w:val="24"/>
        </w:rPr>
        <w:t xml:space="preserve">On June 30, 2023, in </w:t>
      </w:r>
      <w:r w:rsidRPr="001A5B61">
        <w:rPr>
          <w:rFonts w:ascii="Times New Roman" w:eastAsia="Times New Roman" w:hAnsi="Times New Roman"/>
          <w:sz w:val="24"/>
          <w:szCs w:val="24"/>
          <w:u w:val="single"/>
        </w:rPr>
        <w:t>Carol Rogers, as administratrix of Estate of Susan Bonner v. Cedar Bluff Volunteer Fire Department and Cherokee County Association of Volunteer Fire Department, Inc</w:t>
      </w:r>
      <w:r>
        <w:rPr>
          <w:rFonts w:ascii="Times New Roman" w:eastAsia="Times New Roman" w:hAnsi="Times New Roman"/>
          <w:sz w:val="24"/>
          <w:szCs w:val="24"/>
        </w:rPr>
        <w:t xml:space="preserve">., the Supreme Court of Alabama hold (8 to 1) that they will not decide Carol Rogers appeal from Court’s grant of summary judgment to Volunteer FD and its Association, since the lawsuit against the volunteer firefighter </w:t>
      </w:r>
      <w:r w:rsidRPr="001A5B61">
        <w:rPr>
          <w:rFonts w:ascii="Times New Roman" w:eastAsia="Times New Roman" w:hAnsi="Times New Roman"/>
          <w:sz w:val="24"/>
          <w:szCs w:val="24"/>
        </w:rPr>
        <w:t>(</w:t>
      </w:r>
      <w:r w:rsidRPr="001A5B61">
        <w:rPr>
          <w:rFonts w:ascii="Times New Roman" w:hAnsi="Times New Roman"/>
          <w:sz w:val="24"/>
          <w:szCs w:val="24"/>
        </w:rPr>
        <w:t>Guice)</w:t>
      </w:r>
      <w:r>
        <w:rPr>
          <w:rFonts w:ascii="Times New Roman" w:hAnsi="Times New Roman"/>
          <w:sz w:val="24"/>
          <w:szCs w:val="24"/>
        </w:rPr>
        <w:t xml:space="preserve"> is still awaiting trial. </w:t>
      </w:r>
    </w:p>
    <w:p w14:paraId="4DAC9F8C" w14:textId="79875EFC" w:rsidR="00D33F96" w:rsidRDefault="00D33F96" w:rsidP="00D33F96">
      <w:pPr>
        <w:rPr>
          <w:rFonts w:ascii="Arial Black" w:hAnsi="Arial Black"/>
          <w:b/>
          <w:bCs/>
          <w:sz w:val="28"/>
          <w:szCs w:val="28"/>
        </w:rPr>
      </w:pPr>
      <w:r>
        <w:rPr>
          <w:rFonts w:ascii="Times New Roman" w:hAnsi="Times New Roman"/>
          <w:sz w:val="24"/>
          <w:szCs w:val="24"/>
        </w:rPr>
        <w:t>The Court held: “</w:t>
      </w:r>
      <w:r w:rsidRPr="001A5B61">
        <w:rPr>
          <w:rFonts w:ascii="Times New Roman" w:hAnsi="Times New Roman"/>
          <w:sz w:val="24"/>
          <w:szCs w:val="24"/>
        </w:rPr>
        <w:t>In the present case, it is undisputed that the viability of Rogers's wrongful-death claim against either Cedar Bluff or the Association is entirely dependent on her still-pending claim against Guice. The bottom line is that if Guice is found not liable, then there would be no need for us to review the trial court's summary judgment in favor of Cedar Bluff or the Association in almost any scenario. For example, if a jury decides that Guice acted reasonably, or breached no duty, or was not the proximate cause of Bonner's death, then this appeal would be mooted. Likewise, even if a jury finds none of those things, but finds that Guice "was acting in good faith and within the scope of [his] official functions and duties for a ... governmental entity," then pursuant to § 6-5-336(d)(1) of the VSA, Guice would be immune from liability and Cedar Bluff could not be held vicariously liable for his conduct.</w:t>
      </w:r>
      <w:r>
        <w:rPr>
          <w:rFonts w:ascii="Times New Roman" w:hAnsi="Times New Roman"/>
          <w:sz w:val="24"/>
          <w:szCs w:val="24"/>
          <w:vertAlign w:val="superscript"/>
        </w:rPr>
        <w:t xml:space="preserve">” </w:t>
      </w:r>
      <w:hyperlink r:id="rId2191" w:history="1">
        <w:r w:rsidRPr="001A5B61">
          <w:rPr>
            <w:rStyle w:val="Hyperlink"/>
            <w:sz w:val="24"/>
            <w:szCs w:val="24"/>
          </w:rPr>
          <w:t>https://public.fastcase.com/ZZhmr5v9wN%2FXOe5IsQ%2FqD48qScyjnns4BvOFYThqD1VKn2oC3YL9HIinTf%2Fp30r2wBlFtUUFvRMyBphGDo8K28IC4vVctJZhhayY6V%2Bfn28%3D?utm_medium=email&amp;_hsmi=226712652&amp;_hsenc=p2ANqtz--TIjwUVFjOo5damiP3K6KiM86Ts0N1olRqZ_ArClgxTthTEvnZAd5hvf4I6P2KEFN6nH9cQVmvAvnMp9eheEIqoLW5ew&amp;utm_content=226712652&amp;utm_source=hs_email</w:t>
        </w:r>
      </w:hyperlink>
    </w:p>
    <w:p w14:paraId="5116D6D8" w14:textId="77777777" w:rsidR="00D33F96" w:rsidRPr="00364596" w:rsidRDefault="00D33F96" w:rsidP="00D33F96">
      <w:pPr>
        <w:spacing w:before="100" w:beforeAutospacing="1" w:after="100" w:afterAutospacing="1" w:line="240" w:lineRule="auto"/>
        <w:rPr>
          <w:rFonts w:ascii="Times New Roman" w:eastAsia="Times New Roman" w:hAnsi="Times New Roman"/>
          <w:b/>
          <w:bCs/>
          <w:sz w:val="24"/>
          <w:szCs w:val="24"/>
        </w:rPr>
      </w:pPr>
      <w:r w:rsidRPr="00364596">
        <w:rPr>
          <w:rFonts w:ascii="Times New Roman" w:eastAsia="Times New Roman" w:hAnsi="Times New Roman"/>
          <w:b/>
          <w:bCs/>
          <w:sz w:val="24"/>
          <w:szCs w:val="24"/>
        </w:rPr>
        <w:t xml:space="preserve">Legal Lesson Learned: </w:t>
      </w:r>
      <w:r>
        <w:rPr>
          <w:rFonts w:ascii="Times New Roman" w:eastAsia="Times New Roman" w:hAnsi="Times New Roman"/>
          <w:b/>
          <w:bCs/>
          <w:sz w:val="24"/>
          <w:szCs w:val="24"/>
        </w:rPr>
        <w:t>Do not direct others to stop CPR unless patient is clearly dead.  Know your local EMS protocols on when a patient is deceased.</w:t>
      </w:r>
    </w:p>
    <w:p w14:paraId="7D66B3F2" w14:textId="77777777" w:rsidR="00D33F96" w:rsidRDefault="00D33F96" w:rsidP="006A02A4">
      <w:pPr>
        <w:rPr>
          <w:rFonts w:ascii="Arial Black" w:hAnsi="Arial Black"/>
          <w:b/>
          <w:bCs/>
          <w:sz w:val="28"/>
          <w:szCs w:val="28"/>
        </w:rPr>
      </w:pPr>
    </w:p>
    <w:p w14:paraId="34327A3A" w14:textId="7829C64B" w:rsidR="00D33F96" w:rsidRDefault="00D33F96" w:rsidP="006A02A4">
      <w:pPr>
        <w:rPr>
          <w:rFonts w:ascii="Arial Black" w:hAnsi="Arial Black"/>
          <w:b/>
          <w:bCs/>
          <w:sz w:val="28"/>
          <w:szCs w:val="28"/>
        </w:rPr>
      </w:pPr>
      <w:r>
        <w:rPr>
          <w:rFonts w:ascii="Arial Black" w:hAnsi="Arial Black"/>
          <w:b/>
          <w:bCs/>
          <w:sz w:val="28"/>
          <w:szCs w:val="28"/>
        </w:rPr>
        <w:t>13-148</w:t>
      </w:r>
    </w:p>
    <w:p w14:paraId="70E06592" w14:textId="77777777" w:rsidR="00D33F96" w:rsidRPr="004507F9" w:rsidRDefault="00D33F96" w:rsidP="00D33F96">
      <w:pPr>
        <w:spacing w:before="100" w:beforeAutospacing="1" w:after="100" w:afterAutospacing="1" w:line="240" w:lineRule="auto"/>
        <w:rPr>
          <w:rFonts w:ascii="Arial Black" w:hAnsi="Arial Black"/>
          <w:sz w:val="28"/>
          <w:szCs w:val="28"/>
        </w:rPr>
      </w:pPr>
      <w:r>
        <w:rPr>
          <w:rFonts w:ascii="Arial Black" w:hAnsi="Arial Black"/>
          <w:sz w:val="28"/>
          <w:szCs w:val="28"/>
        </w:rPr>
        <w:lastRenderedPageBreak/>
        <w:t xml:space="preserve">IL: TWO MEDICS CHARGED WITH MURDER – STRAPPED PT FACE DOWN / DIED – BOND A MEDIC REDUCED TO $600,000 </w:t>
      </w:r>
    </w:p>
    <w:p w14:paraId="6BA58D85" w14:textId="77777777" w:rsidR="00D33F96" w:rsidRDefault="00D33F96" w:rsidP="00D33F96">
      <w:pPr>
        <w:pStyle w:val="NormalWeb"/>
      </w:pPr>
      <w:r w:rsidRPr="004507F9">
        <w:t xml:space="preserve">On June 16, 2023, in </w:t>
      </w:r>
      <w:r w:rsidRPr="004507F9">
        <w:rPr>
          <w:u w:val="single"/>
        </w:rPr>
        <w:t>The People of the State of Illinois v. Peggy J. Finle</w:t>
      </w:r>
      <w:r>
        <w:t xml:space="preserve">y, the Court of Appeals of Illinois, Fourth District, held (3 to 0) that the trial court </w:t>
      </w:r>
      <w:proofErr w:type="gramStart"/>
      <w:r>
        <w:t>should have lowered</w:t>
      </w:r>
      <w:proofErr w:type="gramEnd"/>
      <w:r>
        <w:t xml:space="preserve"> the paramedic’s bond from $1 million to $600,000 (she must post 10%).  </w:t>
      </w:r>
    </w:p>
    <w:p w14:paraId="49330E58" w14:textId="77777777" w:rsidR="00D33F96" w:rsidRPr="008420C5" w:rsidRDefault="00D33F96" w:rsidP="00D33F96">
      <w:pPr>
        <w:pStyle w:val="NormalWeb"/>
      </w:pPr>
      <w:r>
        <w:t>The Court held: “</w:t>
      </w:r>
      <w:r w:rsidRPr="004507F9">
        <w:t xml:space="preserve">Defendant, a 45-year-old paramedic, was on duty and working with Peter Cadigan, when they responded to a call for the transportation of Earl Moore, Jr., to the hospital for medical treatment. Shortly after his arrival at the hospital, Moore died. Asserting Moore died of positional asphyxiation and compressional asphyxiation after being strapped face down on a gurney, the State charged defendant and Cadigan with first-degree murder. </w:t>
      </w:r>
      <w:r>
        <w:t xml:space="preserve">*** </w:t>
      </w:r>
      <w:r w:rsidRPr="008420C5">
        <w:t xml:space="preserve">Here, </w:t>
      </w:r>
      <w:proofErr w:type="gramStart"/>
      <w:r w:rsidRPr="008420C5">
        <w:t>defendant's</w:t>
      </w:r>
      <w:proofErr w:type="gramEnd"/>
      <w:r w:rsidRPr="008420C5">
        <w:t xml:space="preserve"> ties to central Illinois are strong, indicating a low risk of flight. Except for a relatively brief time when her work addressed COVID-19-related staffing issues in Kentucky, Oregon, and St. Croix, defendant has resided in central Illinois her entire life. Her adult children reside there, as do her grandchildren. She is in what appears to be a romantic relationship with someone in central Illinois. Defendant also maintained gainful employment in the area. </w:t>
      </w:r>
      <w:r>
        <w:t>D</w:t>
      </w:r>
      <w:r w:rsidRPr="008420C5">
        <w:t xml:space="preserve">efendant's financial condition further makes it unlikely she will flee. The circuit court found her to be indigent. </w:t>
      </w:r>
      <w:proofErr w:type="gramStart"/>
      <w:r w:rsidRPr="008420C5">
        <w:t>Defendant is</w:t>
      </w:r>
      <w:proofErr w:type="gramEnd"/>
      <w:r w:rsidRPr="008420C5">
        <w:t xml:space="preserve"> relying on the financial support of family, friends, and acquaintances to receive bail money. Nothing on the record from her background indicates defendant has the ability or desire to flee and deprive those individuals of reimbursement of those funds.</w:t>
      </w:r>
      <w:r>
        <w:t xml:space="preserve">” </w:t>
      </w:r>
      <w:hyperlink r:id="rId2192" w:history="1">
        <w:r w:rsidRPr="00812663">
          <w:rPr>
            <w:rStyle w:val="Hyperlink"/>
          </w:rPr>
          <w:t>https://casetext.com/case/people-v-finley-127</w:t>
        </w:r>
      </w:hyperlink>
      <w:r>
        <w:t xml:space="preserve"> </w:t>
      </w:r>
    </w:p>
    <w:p w14:paraId="0CCB4711" w14:textId="38882FD7" w:rsidR="00D33F96" w:rsidRDefault="00D33F96" w:rsidP="00D33F96">
      <w:pPr>
        <w:spacing w:before="100" w:beforeAutospacing="1" w:after="100" w:afterAutospacing="1" w:line="240" w:lineRule="auto"/>
        <w:rPr>
          <w:rFonts w:ascii="Times New Roman" w:eastAsia="Times New Roman" w:hAnsi="Times New Roman"/>
          <w:b/>
          <w:bCs/>
          <w:sz w:val="24"/>
          <w:szCs w:val="24"/>
        </w:rPr>
      </w:pPr>
      <w:r w:rsidRPr="008420C5">
        <w:rPr>
          <w:rFonts w:ascii="Times New Roman" w:eastAsia="Times New Roman" w:hAnsi="Times New Roman"/>
          <w:b/>
          <w:bCs/>
          <w:sz w:val="24"/>
          <w:szCs w:val="24"/>
        </w:rPr>
        <w:t xml:space="preserve">Legal Lesson Learned: </w:t>
      </w:r>
      <w:r>
        <w:rPr>
          <w:rFonts w:ascii="Times New Roman" w:eastAsia="Times New Roman" w:hAnsi="Times New Roman"/>
          <w:b/>
          <w:bCs/>
          <w:sz w:val="24"/>
          <w:szCs w:val="24"/>
        </w:rPr>
        <w:t xml:space="preserve">A jury of 12 will ultimately decide if State has proven these charges beyond a reasonable doubt. </w:t>
      </w:r>
    </w:p>
    <w:p w14:paraId="6D721B6F" w14:textId="77777777" w:rsidR="00D33F96" w:rsidRDefault="00D33F96" w:rsidP="00D33F96">
      <w:pPr>
        <w:spacing w:before="100" w:beforeAutospacing="1" w:after="100" w:afterAutospacing="1" w:line="240" w:lineRule="auto"/>
        <w:ind w:left="720"/>
        <w:rPr>
          <w:rFonts w:ascii="Times New Roman" w:hAnsi="Times New Roman"/>
          <w:sz w:val="24"/>
          <w:szCs w:val="24"/>
        </w:rPr>
      </w:pPr>
      <w:r w:rsidRPr="00860A69">
        <w:rPr>
          <w:rFonts w:ascii="Times New Roman" w:eastAsia="Times New Roman" w:hAnsi="Times New Roman"/>
          <w:sz w:val="24"/>
          <w:szCs w:val="24"/>
        </w:rPr>
        <w:t xml:space="preserve">Note: Watch this TV video, including PD body camera. </w:t>
      </w:r>
      <w:hyperlink r:id="rId2193" w:history="1">
        <w:r w:rsidRPr="001055F4">
          <w:rPr>
            <w:rStyle w:val="Hyperlink"/>
            <w:sz w:val="24"/>
            <w:szCs w:val="24"/>
          </w:rPr>
          <w:t>https://www.youtube.com/watch?v=GHO2Qjk4XIo</w:t>
        </w:r>
      </w:hyperlink>
    </w:p>
    <w:p w14:paraId="74C11A49" w14:textId="77777777" w:rsidR="00D33F96" w:rsidRDefault="00D33F96" w:rsidP="006A02A4">
      <w:pPr>
        <w:rPr>
          <w:rFonts w:ascii="Arial Black" w:hAnsi="Arial Black"/>
          <w:b/>
          <w:bCs/>
          <w:sz w:val="28"/>
          <w:szCs w:val="28"/>
        </w:rPr>
      </w:pPr>
    </w:p>
    <w:p w14:paraId="2228F785" w14:textId="77777777" w:rsidR="00D33F96" w:rsidRDefault="00D33F96" w:rsidP="006A02A4">
      <w:pPr>
        <w:rPr>
          <w:rFonts w:ascii="Arial Black" w:hAnsi="Arial Black"/>
          <w:b/>
          <w:bCs/>
          <w:sz w:val="28"/>
          <w:szCs w:val="28"/>
        </w:rPr>
      </w:pPr>
    </w:p>
    <w:p w14:paraId="6221755B" w14:textId="681253E2" w:rsidR="00237599" w:rsidRDefault="00237599" w:rsidP="006A02A4">
      <w:pPr>
        <w:rPr>
          <w:rFonts w:ascii="Arial Black" w:hAnsi="Arial Black"/>
          <w:b/>
          <w:bCs/>
          <w:sz w:val="28"/>
          <w:szCs w:val="28"/>
        </w:rPr>
      </w:pPr>
      <w:r>
        <w:rPr>
          <w:rFonts w:ascii="Arial Black" w:hAnsi="Arial Black"/>
          <w:b/>
          <w:bCs/>
          <w:sz w:val="28"/>
          <w:szCs w:val="28"/>
        </w:rPr>
        <w:t>13-147</w:t>
      </w:r>
    </w:p>
    <w:p w14:paraId="50D90B26" w14:textId="77777777" w:rsidR="00237599" w:rsidRPr="008D1A6E" w:rsidRDefault="00237599" w:rsidP="00237599">
      <w:pPr>
        <w:pStyle w:val="NormalWeb"/>
        <w:rPr>
          <w:rFonts w:ascii="Arial Black" w:hAnsi="Arial Black"/>
          <w:sz w:val="28"/>
          <w:szCs w:val="28"/>
        </w:rPr>
      </w:pPr>
      <w:bookmarkStart w:id="436" w:name="_Hlk136860551"/>
      <w:r>
        <w:rPr>
          <w:rFonts w:ascii="Arial Black" w:hAnsi="Arial Black"/>
          <w:sz w:val="28"/>
          <w:szCs w:val="28"/>
        </w:rPr>
        <w:t>OK: COMBATIVE PT - MEDICS CALL HELP – 4 FF PIN HIM FACE DOWN, PD HANDCUFFS - DIES – FF QUAL. IMMUNITY</w:t>
      </w:r>
    </w:p>
    <w:bookmarkEnd w:id="436"/>
    <w:p w14:paraId="61E6084B" w14:textId="318D8BD8" w:rsidR="00237599" w:rsidRDefault="00237599" w:rsidP="00237599">
      <w:pPr>
        <w:rPr>
          <w:rStyle w:val="Hyperlink"/>
          <w:rFonts w:ascii="Times New Roman" w:eastAsiaTheme="majorEastAsia" w:hAnsi="Times New Roman"/>
          <w:sz w:val="24"/>
          <w:szCs w:val="24"/>
        </w:rPr>
      </w:pPr>
      <w:r w:rsidRPr="00237599">
        <w:rPr>
          <w:rFonts w:ascii="Times New Roman" w:hAnsi="Times New Roman"/>
          <w:sz w:val="24"/>
          <w:szCs w:val="24"/>
        </w:rPr>
        <w:t xml:space="preserve">On May 19, 2023, in </w:t>
      </w:r>
      <w:r w:rsidRPr="00237599">
        <w:rPr>
          <w:rFonts w:ascii="Times New Roman" w:hAnsi="Times New Roman"/>
          <w:sz w:val="24"/>
          <w:szCs w:val="24"/>
          <w:u w:val="single"/>
        </w:rPr>
        <w:t>Charles Kaleb Vanlandingham, Administrator for the Estate of Charles Lamar Vanlandingham v. City of Oklahoma City</w:t>
      </w:r>
      <w:r w:rsidRPr="00237599">
        <w:rPr>
          <w:rFonts w:ascii="Times New Roman" w:hAnsi="Times New Roman"/>
          <w:sz w:val="24"/>
          <w:szCs w:val="24"/>
        </w:rPr>
        <w:t xml:space="preserve">, Chief U.S. District Court Judge Timothy D. </w:t>
      </w:r>
      <w:proofErr w:type="spellStart"/>
      <w:r w:rsidRPr="00237599">
        <w:rPr>
          <w:rFonts w:ascii="Times New Roman" w:hAnsi="Times New Roman"/>
          <w:sz w:val="24"/>
          <w:szCs w:val="24"/>
        </w:rPr>
        <w:t>DeGisti</w:t>
      </w:r>
      <w:proofErr w:type="spellEnd"/>
      <w:r w:rsidRPr="00237599">
        <w:rPr>
          <w:rFonts w:ascii="Times New Roman" w:hAnsi="Times New Roman"/>
          <w:sz w:val="24"/>
          <w:szCs w:val="24"/>
        </w:rPr>
        <w:t xml:space="preserve">, U.S. District Court, Western District of Oklahoma, dismissed the four firefighters from the lawsuit; they enjoy qualified immunity even if performing law enforcement type duties of subduing the patient.  The lawsuit may, however, proceed against the police officer on alleged excessive force. </w:t>
      </w:r>
      <w:hyperlink r:id="rId2194" w:history="1">
        <w:r w:rsidRPr="00237599">
          <w:rPr>
            <w:rStyle w:val="Hyperlink"/>
            <w:rFonts w:ascii="Times New Roman" w:eastAsiaTheme="majorEastAsia" w:hAnsi="Times New Roman"/>
            <w:sz w:val="24"/>
            <w:szCs w:val="24"/>
          </w:rPr>
          <w:t>https://public.fastcase.com/ZZhmr5v9wN%2FXOe5IsQ%2FqD1tuyppLBnLrMmR86JNFVAlEsCewO4n%2BqmcnLV2ysm6tZCnkIxWDhw4CT9a2YbHZsY59KqRUUsvnj3oq0k4kZUY%3D?utm_medium=email&amp;_hsmi=226712652&amp;_hsenc=p2ANqtz-_TDFfv4pLQcLfqFCn8pFSxh77smp5fK7rovyeiHf7hqXQSyFbPSdIcgszVq5PNSPeSOT64f2E-JPGn2x6-fH_4dd4mvg&amp;utm_content=226712652&amp;utm_source=hs_email</w:t>
        </w:r>
      </w:hyperlink>
    </w:p>
    <w:p w14:paraId="50A5F754" w14:textId="77777777" w:rsidR="00237599" w:rsidRDefault="00237599" w:rsidP="00237599">
      <w:pPr>
        <w:pStyle w:val="NormalWeb"/>
        <w:ind w:left="720"/>
      </w:pPr>
      <w:r>
        <w:lastRenderedPageBreak/>
        <w:t xml:space="preserve">“The Court recognizes that Plaintiff alleges the paramedics called for assistance in handling a combative patient, and case law supports the view that restraints imposed for this purpose do not constitute a ‘seizure’ under the Fourth Amendment….  In response to Firefighters' Motion, Plaintiff identifies no Supreme Court, Tenth Circuit, or other published appellate decision that would have made clear to a reasonable person in Firefighters' position that their alleged conduct toward Mr. Vanlandingham was governed by the Fourth Amendment. *** The Court therefore finds that Plaintiff has not met his burden to overcome Firefighters' qualified immunity from suit on his § 1983 claims for unlawful detention of, or use of unreasonable force against, Mr. Vanlandingham.” </w:t>
      </w:r>
    </w:p>
    <w:p w14:paraId="6ADDE945" w14:textId="77777777" w:rsidR="00237599" w:rsidRPr="002966A6" w:rsidRDefault="00237599" w:rsidP="00237599">
      <w:pPr>
        <w:pStyle w:val="NormalWeb"/>
        <w:rPr>
          <w:b/>
          <w:bCs/>
        </w:rPr>
      </w:pPr>
      <w:r w:rsidRPr="002966A6">
        <w:rPr>
          <w:b/>
          <w:bCs/>
        </w:rPr>
        <w:t xml:space="preserve">Legal Lesson Learned: </w:t>
      </w:r>
      <w:r>
        <w:rPr>
          <w:b/>
          <w:bCs/>
        </w:rPr>
        <w:t xml:space="preserve">Firefighters enjoy qualified immunity; </w:t>
      </w:r>
      <w:r w:rsidRPr="002966A6">
        <w:rPr>
          <w:b/>
          <w:bCs/>
        </w:rPr>
        <w:t>restrain</w:t>
      </w:r>
      <w:r>
        <w:rPr>
          <w:b/>
          <w:bCs/>
        </w:rPr>
        <w:t xml:space="preserve">ing </w:t>
      </w:r>
      <w:r w:rsidRPr="002966A6">
        <w:rPr>
          <w:b/>
          <w:bCs/>
        </w:rPr>
        <w:t>a combative patient does not constitute a ‘seizure’ under the Fourth Amendment</w:t>
      </w:r>
    </w:p>
    <w:p w14:paraId="379B01EF" w14:textId="77777777" w:rsidR="00237599" w:rsidRDefault="00237599" w:rsidP="00237599">
      <w:pPr>
        <w:rPr>
          <w:rFonts w:ascii="Times New Roman" w:hAnsi="Times New Roman"/>
          <w:b/>
          <w:bCs/>
          <w:sz w:val="24"/>
          <w:szCs w:val="24"/>
        </w:rPr>
      </w:pPr>
    </w:p>
    <w:p w14:paraId="75B2502A" w14:textId="3781CB33" w:rsidR="00237599" w:rsidRDefault="00237599" w:rsidP="00237599">
      <w:pPr>
        <w:rPr>
          <w:rFonts w:ascii="Arial Black" w:hAnsi="Arial Black"/>
          <w:b/>
          <w:bCs/>
          <w:sz w:val="28"/>
          <w:szCs w:val="28"/>
        </w:rPr>
      </w:pPr>
      <w:r>
        <w:rPr>
          <w:rFonts w:ascii="Arial Black" w:hAnsi="Arial Black"/>
          <w:b/>
          <w:bCs/>
          <w:sz w:val="28"/>
          <w:szCs w:val="28"/>
        </w:rPr>
        <w:t>13-146</w:t>
      </w:r>
    </w:p>
    <w:p w14:paraId="4ED9453E" w14:textId="77777777" w:rsidR="00237599" w:rsidRPr="00FB5B17" w:rsidRDefault="00237599" w:rsidP="00237599">
      <w:pPr>
        <w:pStyle w:val="NormalWeb"/>
        <w:rPr>
          <w:rFonts w:ascii="Arial Black" w:hAnsi="Arial Black"/>
          <w:sz w:val="28"/>
          <w:szCs w:val="28"/>
        </w:rPr>
      </w:pPr>
      <w:bookmarkStart w:id="437" w:name="_Hlk136860623"/>
      <w:r>
        <w:rPr>
          <w:rFonts w:ascii="Arial Black" w:hAnsi="Arial Black"/>
          <w:sz w:val="28"/>
          <w:szCs w:val="28"/>
        </w:rPr>
        <w:t xml:space="preserve">KY: FIRE CHIEF HELPED 3 PD HANDCUFF NAKED MAN – “BAD METH” - DIED – QUALIFIED OFFICIAL IMMUNITY </w:t>
      </w:r>
    </w:p>
    <w:bookmarkEnd w:id="437"/>
    <w:p w14:paraId="0042390A" w14:textId="77777777" w:rsidR="00237599" w:rsidRDefault="00237599" w:rsidP="00237599">
      <w:pPr>
        <w:pStyle w:val="NormalWeb"/>
      </w:pPr>
      <w:r>
        <w:t xml:space="preserve">On May 19, 2023, in </w:t>
      </w:r>
      <w:r w:rsidRPr="00FB5B17">
        <w:rPr>
          <w:u w:val="single"/>
        </w:rPr>
        <w:t>Paula M. Haney, as Personal Representative of Estate of Donald Prater, Jr., v. City of Painesville, et al</w:t>
      </w:r>
      <w:r>
        <w:t xml:space="preserve">.,  the Court of Appeals of Kentucky held (3 to 0: unpublished opinion) that Fire Chief Rick Ratliff, Paintsville Fire Department was properly dismissed from the lawsuit. The case against police officers was remanded to trial court to make a finding on whether the patient was in their custody and owed him duties due to this “special relationship.” </w:t>
      </w:r>
      <w:hyperlink r:id="rId2195" w:history="1">
        <w:r w:rsidRPr="009F744A">
          <w:rPr>
            <w:rStyle w:val="Hyperlink"/>
            <w:rFonts w:eastAsiaTheme="majorEastAsia"/>
          </w:rPr>
          <w:t>https://public.fastcase.com/ZZhmr5v9wN%2FXOe5IsQ%2FqD3yVZPtM4gE5qxUG0JmvBs4KZKL0kykfWRWAFzVzGOUSCymfVjFMg8ksTGDwIJSWELTF6XkccOjxJx4J8ta6mPQ%3D?utm_medium=email&amp;_hsmi=226712652&amp;_hsenc=p2ANqtz-91z17HDQg9Q71tjjdfZzo5M0dPvb4mrX2MWXe9g7uh0-gjm69ERrplNGPGusNDxTqNwPz_oB2Mm624G4BOe4pHJTgwVA&amp;utm_content=226712652&amp;utm_source=hs_email</w:t>
        </w:r>
      </w:hyperlink>
      <w:r>
        <w:t xml:space="preserve"> </w:t>
      </w:r>
    </w:p>
    <w:p w14:paraId="0792DC20" w14:textId="77777777" w:rsidR="00237599" w:rsidRDefault="00237599" w:rsidP="00237599">
      <w:pPr>
        <w:pStyle w:val="NormalWeb"/>
        <w:ind w:left="720"/>
      </w:pPr>
      <w:r>
        <w:t xml:space="preserve">“Instead, all three officers, along with Fire Department Chief Ratliff who had arrived on the scene to respond as a medical responder, worked together to handcuff Prater. *** Notably, Kentucky has a longstanding tradition of treating firefighting as a governmental function and thereby cloaking it in immunity. *** The trial court's determination as to whether the Paintsville Fire Department is entitled to governmental immunity was correct. Turning to the determination </w:t>
      </w:r>
      <w:proofErr w:type="gramStart"/>
      <w:r>
        <w:t>as to</w:t>
      </w:r>
      <w:proofErr w:type="gramEnd"/>
      <w:r>
        <w:t xml:space="preserve"> Chief Ratliff personally, the trial court determined that his actions on that day were discretionary. We agree. As Chief Ratliff is a firefighter and emergency medical responder, he is not ordinarily engaged in participating in the arrest of citizens. He made a judgment that his assistance was needed to place Prater in handcuffs. The exercise of judgment is the gravamen of the exercise of discretion.” </w:t>
      </w:r>
    </w:p>
    <w:p w14:paraId="14F09820" w14:textId="77777777" w:rsidR="00237599" w:rsidRPr="00D717AB" w:rsidRDefault="00237599" w:rsidP="00237599">
      <w:pPr>
        <w:pStyle w:val="NormalWeb"/>
        <w:rPr>
          <w:b/>
          <w:bCs/>
        </w:rPr>
      </w:pPr>
      <w:r w:rsidRPr="00D717AB">
        <w:rPr>
          <w:b/>
          <w:bCs/>
        </w:rPr>
        <w:t>Legal Lesson Learned:</w:t>
      </w:r>
      <w:r>
        <w:rPr>
          <w:b/>
          <w:bCs/>
        </w:rPr>
        <w:t xml:space="preserve"> Helpful decision confirming “official qualified immunity” for firefighters in Kentucky. </w:t>
      </w:r>
    </w:p>
    <w:p w14:paraId="09C46813" w14:textId="77777777" w:rsidR="00237599" w:rsidRDefault="00237599" w:rsidP="00237599">
      <w:pPr>
        <w:rPr>
          <w:rFonts w:ascii="Arial Black" w:hAnsi="Arial Black"/>
          <w:b/>
          <w:bCs/>
          <w:sz w:val="28"/>
          <w:szCs w:val="28"/>
        </w:rPr>
      </w:pPr>
    </w:p>
    <w:p w14:paraId="5619D293" w14:textId="7717BEF7" w:rsidR="00237599" w:rsidRDefault="00237599" w:rsidP="00237599">
      <w:pPr>
        <w:rPr>
          <w:rFonts w:ascii="Arial Black" w:hAnsi="Arial Black"/>
          <w:b/>
          <w:bCs/>
          <w:sz w:val="28"/>
          <w:szCs w:val="28"/>
        </w:rPr>
      </w:pPr>
      <w:r>
        <w:rPr>
          <w:rFonts w:ascii="Arial Black" w:hAnsi="Arial Black"/>
          <w:b/>
          <w:bCs/>
          <w:sz w:val="28"/>
          <w:szCs w:val="28"/>
        </w:rPr>
        <w:t>13-145</w:t>
      </w:r>
    </w:p>
    <w:p w14:paraId="6B59900E" w14:textId="77777777" w:rsidR="00A01262" w:rsidRPr="00374572" w:rsidRDefault="00A01262" w:rsidP="00A01262">
      <w:pPr>
        <w:pStyle w:val="NormalWeb"/>
        <w:rPr>
          <w:rFonts w:ascii="Arial Black" w:hAnsi="Arial Black"/>
          <w:b/>
          <w:bCs/>
          <w:sz w:val="28"/>
          <w:szCs w:val="28"/>
        </w:rPr>
      </w:pPr>
      <w:bookmarkStart w:id="438" w:name="_Hlk136860693"/>
      <w:r>
        <w:rPr>
          <w:rFonts w:ascii="Arial Black" w:hAnsi="Arial Black"/>
          <w:b/>
          <w:bCs/>
          <w:sz w:val="28"/>
          <w:szCs w:val="28"/>
        </w:rPr>
        <w:lastRenderedPageBreak/>
        <w:t>KY: HOSPITAL ON DIVERSION – DIDN’T TELL EMS – STEMI PATIENT TURNED AWAY– JURY $1.8 MILLION PUNITIVE</w:t>
      </w:r>
    </w:p>
    <w:bookmarkEnd w:id="438"/>
    <w:p w14:paraId="65F8537B" w14:textId="77777777" w:rsidR="00A01262" w:rsidRDefault="00A01262" w:rsidP="00A01262">
      <w:pPr>
        <w:pStyle w:val="NormalWeb"/>
      </w:pPr>
      <w:r>
        <w:t xml:space="preserve">On May 8, 2023, in </w:t>
      </w:r>
      <w:r w:rsidRPr="00287FCD">
        <w:rPr>
          <w:u w:val="single"/>
        </w:rPr>
        <w:t>William H. Williams v. Baptist Healthcare System, Inc.</w:t>
      </w:r>
      <w:r>
        <w:t>, U.S. District Court Judge Clair H. Boom, U.S. District Court for Western District of Kentucky, Louisville Division, refused the hospital’s post-trial motion to set aside the verdict.  The hospital admitted it had breached EMTALA [</w:t>
      </w:r>
      <w:r w:rsidRPr="00287FCD">
        <w:t>Emergency Medical Treatment and Labor Act]</w:t>
      </w:r>
      <w:r>
        <w:t xml:space="preserve">; the jury awarded Plaintiff compensatory damages in the amount of $545,000 and punitive damages in the amount of $1,850,000. The hospital asked trial judge to set aside the verdict, claiming no proof of gross negligence. </w:t>
      </w:r>
      <w:hyperlink r:id="rId2196" w:history="1">
        <w:r w:rsidRPr="008E5D86">
          <w:rPr>
            <w:rStyle w:val="Hyperlink"/>
            <w:rFonts w:eastAsiaTheme="majorEastAsia"/>
          </w:rPr>
          <w:t>https://public.fastcase.com/ZZhmr5v9wN%2FXOe5IsQ%2FqD6Xk9Se1JBeTiY14mFqaZIC5zf3duAqu51qE94mXCojrTIXHUx6W2UZ5EsVNrKWWswbYRHUo1KFYOQ9M2ppF1oA%3D?utm_medium=email&amp;_hsmi=226712652&amp;_hsenc=p2ANqtz-9aFlMC5FDCM2U0K8x384sblH4I0CGG1sOM-rog5fs89w4bS-qizqdVKzMegY3x51ZczlJkgb2TT7R5d8mF-dWwXy7XkA&amp;utm_content=226712652&amp;utm_source=hs_email</w:t>
        </w:r>
      </w:hyperlink>
      <w:r>
        <w:t xml:space="preserve"> </w:t>
      </w:r>
    </w:p>
    <w:p w14:paraId="02A79331" w14:textId="77777777" w:rsidR="00A01262" w:rsidRDefault="00A01262" w:rsidP="00A01262">
      <w:pPr>
        <w:pStyle w:val="NormalWeb"/>
        <w:ind w:left="720"/>
      </w:pPr>
      <w:r>
        <w:t xml:space="preserve">“First, with respect to Nurse Blankenship, the Court finds that the jury could find her actions sufficiently egregious to amount to gross negligence…. The evidence also showed that, prior to </w:t>
      </w:r>
      <w:proofErr w:type="gramStart"/>
      <w:r>
        <w:t>the night of April</w:t>
      </w:r>
      <w:proofErr w:type="gramEnd"/>
      <w:r>
        <w:t xml:space="preserve"> 4, 2015, Nurse Blankenship had only received ‘about five minutes’ of EMTALA training. </w:t>
      </w:r>
    </w:p>
    <w:p w14:paraId="71C67BCA" w14:textId="77777777" w:rsidR="00A01262" w:rsidRDefault="00A01262" w:rsidP="00A01262">
      <w:pPr>
        <w:pStyle w:val="NormalWeb"/>
        <w:ind w:firstLine="720"/>
      </w:pPr>
      <w:r>
        <w:t>***</w:t>
      </w:r>
    </w:p>
    <w:p w14:paraId="6687EF0A" w14:textId="77777777" w:rsidR="00A01262" w:rsidRDefault="00A01262" w:rsidP="00A01262">
      <w:pPr>
        <w:pStyle w:val="NormalWeb"/>
        <w:ind w:left="720"/>
      </w:pPr>
      <w:r>
        <w:t xml:space="preserve">The failure of Baptist to activate the STEMI protocol, failure to alert local EMS of the diversion every three hours, and failure to call UK when Mr. Williams was actually sent to the University of Kentucky, and also failure to contact EMS per their policy after Mr. Williams showed up and was sent to UK so that it wouldn't happen again later that weekend, failure to disclose in the OIG report that this was a diversion for inbound STEMIs - now, you might view that in a different way, but the language of the OIG report just says “transfers to another hospital” - the fact that Nurse Blankenship didn't - the failure of Nurse Blankenship to write down who the EMS was that called and to take their telephone number; the testimony that Nurse Blankenship told EMS that they should go to Good Samaritan Hospital even though Good Samaritan did not have a </w:t>
      </w:r>
      <w:proofErr w:type="spellStart"/>
      <w:r>
        <w:t>cath</w:t>
      </w:r>
      <w:proofErr w:type="spellEnd"/>
      <w:r>
        <w:t xml:space="preserve"> lab.” </w:t>
      </w:r>
    </w:p>
    <w:p w14:paraId="766BD7FF" w14:textId="77777777" w:rsidR="00A01262" w:rsidRPr="003C5C00" w:rsidRDefault="00A01262" w:rsidP="00A01262">
      <w:pPr>
        <w:pStyle w:val="NormalWeb"/>
        <w:rPr>
          <w:b/>
          <w:bCs/>
        </w:rPr>
      </w:pPr>
      <w:r w:rsidRPr="003C5C00">
        <w:rPr>
          <w:b/>
          <w:bCs/>
        </w:rPr>
        <w:t>Legal Lesson Learned:</w:t>
      </w:r>
      <w:r>
        <w:rPr>
          <w:b/>
          <w:bCs/>
        </w:rPr>
        <w:t xml:space="preserve"> The jury awarded punitive damages to “punish” the hospital for causing delay to patient with STEMI. </w:t>
      </w:r>
    </w:p>
    <w:p w14:paraId="71657DFA" w14:textId="77777777" w:rsidR="00237599" w:rsidRDefault="00237599" w:rsidP="006A02A4">
      <w:pPr>
        <w:rPr>
          <w:rFonts w:ascii="Arial Black" w:hAnsi="Arial Black"/>
          <w:b/>
          <w:bCs/>
          <w:sz w:val="28"/>
          <w:szCs w:val="28"/>
        </w:rPr>
      </w:pPr>
    </w:p>
    <w:p w14:paraId="2499F44B" w14:textId="38A01C2B" w:rsidR="006A02A4" w:rsidRDefault="00227BDE" w:rsidP="006A02A4">
      <w:pPr>
        <w:rPr>
          <w:rFonts w:ascii="Arial Black" w:hAnsi="Arial Black"/>
          <w:b/>
          <w:bCs/>
          <w:sz w:val="28"/>
          <w:szCs w:val="28"/>
        </w:rPr>
      </w:pPr>
      <w:r>
        <w:rPr>
          <w:rFonts w:ascii="Arial Black" w:hAnsi="Arial Black"/>
          <w:b/>
          <w:bCs/>
          <w:sz w:val="28"/>
          <w:szCs w:val="28"/>
        </w:rPr>
        <w:t>13-14</w:t>
      </w:r>
      <w:r w:rsidR="006A02A4">
        <w:rPr>
          <w:rFonts w:ascii="Arial Black" w:hAnsi="Arial Black"/>
          <w:b/>
          <w:bCs/>
          <w:sz w:val="28"/>
          <w:szCs w:val="28"/>
        </w:rPr>
        <w:t>4</w:t>
      </w:r>
    </w:p>
    <w:p w14:paraId="368BC478" w14:textId="14B5FC3A" w:rsidR="00227BDE" w:rsidRPr="00F44C22" w:rsidRDefault="00227BDE" w:rsidP="006A02A4">
      <w:pPr>
        <w:rPr>
          <w:rFonts w:ascii="Arial Black" w:hAnsi="Arial Black"/>
          <w:sz w:val="28"/>
          <w:szCs w:val="28"/>
        </w:rPr>
      </w:pPr>
      <w:r w:rsidRPr="00F44C22">
        <w:rPr>
          <w:rFonts w:ascii="Arial Black" w:hAnsi="Arial Black"/>
          <w:b/>
          <w:bCs/>
          <w:sz w:val="28"/>
          <w:szCs w:val="28"/>
        </w:rPr>
        <w:t xml:space="preserve">KY </w:t>
      </w:r>
      <w:r>
        <w:rPr>
          <w:rFonts w:ascii="Arial Black" w:hAnsi="Arial Black"/>
          <w:b/>
          <w:bCs/>
          <w:sz w:val="28"/>
          <w:szCs w:val="28"/>
        </w:rPr>
        <w:t xml:space="preserve">(4/27/2023): EMS TOOK ASSAULT VICTIM </w:t>
      </w:r>
      <w:r w:rsidRPr="00F44C22">
        <w:rPr>
          <w:rFonts w:ascii="Arial Black" w:hAnsi="Arial Black"/>
          <w:b/>
          <w:bCs/>
          <w:sz w:val="28"/>
          <w:szCs w:val="28"/>
        </w:rPr>
        <w:t xml:space="preserve">TRAUMA </w:t>
      </w:r>
      <w:r>
        <w:rPr>
          <w:rFonts w:ascii="Arial Black" w:hAnsi="Arial Black"/>
          <w:b/>
          <w:bCs/>
          <w:sz w:val="28"/>
          <w:szCs w:val="28"/>
        </w:rPr>
        <w:t xml:space="preserve">HOSP - CRIM. TRIAL ED DOC TESTIFIED </w:t>
      </w:r>
      <w:r w:rsidRPr="00F44C22">
        <w:rPr>
          <w:rFonts w:ascii="Arial Black" w:hAnsi="Arial Black"/>
          <w:b/>
          <w:bCs/>
          <w:sz w:val="28"/>
          <w:szCs w:val="28"/>
        </w:rPr>
        <w:t xml:space="preserve">VIA ZOOM </w:t>
      </w:r>
      <w:r>
        <w:rPr>
          <w:rFonts w:ascii="Arial Black" w:hAnsi="Arial Black"/>
          <w:b/>
          <w:bCs/>
          <w:sz w:val="28"/>
          <w:szCs w:val="28"/>
        </w:rPr>
        <w:t xml:space="preserve">– CONV. REV. </w:t>
      </w:r>
    </w:p>
    <w:p w14:paraId="2AFCF940" w14:textId="77777777" w:rsidR="00227BDE" w:rsidRDefault="00227BDE" w:rsidP="00227BDE">
      <w:pPr>
        <w:pStyle w:val="NoSpacing"/>
      </w:pPr>
    </w:p>
    <w:p w14:paraId="45F2D4EE" w14:textId="77777777" w:rsidR="00227BDE" w:rsidRPr="003C1643" w:rsidRDefault="00227BDE" w:rsidP="00227BDE">
      <w:pPr>
        <w:pStyle w:val="NoSpacing"/>
        <w:rPr>
          <w:rFonts w:ascii="Times New Roman" w:hAnsi="Times New Roman"/>
          <w:sz w:val="24"/>
          <w:szCs w:val="24"/>
        </w:rPr>
      </w:pPr>
      <w:r w:rsidRPr="003C1643">
        <w:rPr>
          <w:rFonts w:ascii="Times New Roman" w:hAnsi="Times New Roman"/>
          <w:sz w:val="24"/>
          <w:szCs w:val="24"/>
          <w:u w:val="single"/>
        </w:rPr>
        <w:t>Donnie Campbell v. Commonwealth of Kentucky</w:t>
      </w:r>
      <w:r w:rsidRPr="003C1643">
        <w:rPr>
          <w:rFonts w:ascii="Times New Roman" w:hAnsi="Times New Roman"/>
          <w:sz w:val="24"/>
          <w:szCs w:val="24"/>
        </w:rPr>
        <w:t xml:space="preserve">, Supreme Court of Kentucky. </w:t>
      </w:r>
      <w:hyperlink r:id="rId2197" w:history="1">
        <w:r w:rsidRPr="003C1643">
          <w:rPr>
            <w:rStyle w:val="Hyperlink"/>
            <w:rFonts w:ascii="Times New Roman" w:hAnsi="Times New Roman"/>
            <w:sz w:val="24"/>
            <w:szCs w:val="24"/>
          </w:rPr>
          <w:t>https://law.justia.com/cases/kentucky/supreme-court/2023/2021-sc-0479-mr.html</w:t>
        </w:r>
      </w:hyperlink>
      <w:r w:rsidRPr="003C1643">
        <w:rPr>
          <w:rFonts w:ascii="Times New Roman" w:hAnsi="Times New Roman"/>
          <w:sz w:val="24"/>
          <w:szCs w:val="24"/>
        </w:rPr>
        <w:t xml:space="preserve"> </w:t>
      </w:r>
    </w:p>
    <w:p w14:paraId="7BB36B32" w14:textId="77777777" w:rsidR="00227BDE" w:rsidRPr="003C1643" w:rsidRDefault="00227BDE" w:rsidP="00227BDE">
      <w:pPr>
        <w:pStyle w:val="NormalWeb"/>
        <w:rPr>
          <w:b/>
          <w:bCs/>
        </w:rPr>
      </w:pPr>
      <w:r w:rsidRPr="003C1643">
        <w:rPr>
          <w:b/>
          <w:bCs/>
        </w:rPr>
        <w:t xml:space="preserve">Legal Lesson Learned: Timely subpoena ED doctor and other key witnesses to appear in person for criminal trials. </w:t>
      </w:r>
    </w:p>
    <w:p w14:paraId="6F8EE4B6" w14:textId="77777777" w:rsidR="00227BDE" w:rsidRDefault="00227BDE" w:rsidP="002B1283">
      <w:pPr>
        <w:rPr>
          <w:rFonts w:ascii="Arial Black" w:hAnsi="Arial Black"/>
          <w:b/>
          <w:bCs/>
          <w:sz w:val="28"/>
          <w:szCs w:val="28"/>
        </w:rPr>
      </w:pPr>
      <w:r>
        <w:rPr>
          <w:rFonts w:ascii="Arial Black" w:hAnsi="Arial Black"/>
          <w:b/>
          <w:bCs/>
          <w:sz w:val="28"/>
          <w:szCs w:val="28"/>
        </w:rPr>
        <w:t xml:space="preserve"> </w:t>
      </w:r>
    </w:p>
    <w:p w14:paraId="7FDD1EC0" w14:textId="37C82A65" w:rsidR="006A02A4" w:rsidRDefault="006A02A4" w:rsidP="002B1283">
      <w:pPr>
        <w:rPr>
          <w:rFonts w:ascii="Arial Black" w:hAnsi="Arial Black"/>
          <w:b/>
          <w:bCs/>
          <w:sz w:val="28"/>
          <w:szCs w:val="28"/>
        </w:rPr>
      </w:pPr>
      <w:r>
        <w:rPr>
          <w:rFonts w:ascii="Arial Black" w:hAnsi="Arial Black"/>
          <w:b/>
          <w:bCs/>
          <w:sz w:val="28"/>
          <w:szCs w:val="28"/>
        </w:rPr>
        <w:lastRenderedPageBreak/>
        <w:t>13-143</w:t>
      </w:r>
    </w:p>
    <w:p w14:paraId="7D78F9A7" w14:textId="77777777" w:rsidR="00227BDE" w:rsidRPr="003515EA" w:rsidRDefault="00227BDE" w:rsidP="00227BDE">
      <w:pPr>
        <w:pStyle w:val="NoSpacing"/>
        <w:rPr>
          <w:rFonts w:ascii="Arial Black" w:hAnsi="Arial Black"/>
          <w:sz w:val="28"/>
          <w:szCs w:val="28"/>
        </w:rPr>
      </w:pPr>
      <w:r w:rsidRPr="003515EA">
        <w:rPr>
          <w:rFonts w:ascii="Arial Black" w:hAnsi="Arial Black"/>
          <w:sz w:val="28"/>
          <w:szCs w:val="28"/>
        </w:rPr>
        <w:t xml:space="preserve">IL (4/19/2023) – COVID 19 - CHICAGO MUST REHIRE EMPLOYEES </w:t>
      </w:r>
      <w:r>
        <w:rPr>
          <w:rFonts w:ascii="Arial Black" w:hAnsi="Arial Black"/>
          <w:sz w:val="28"/>
          <w:szCs w:val="28"/>
        </w:rPr>
        <w:t>–</w:t>
      </w:r>
      <w:r w:rsidRPr="003515EA">
        <w:rPr>
          <w:rFonts w:ascii="Arial Black" w:hAnsi="Arial Black"/>
          <w:sz w:val="28"/>
          <w:szCs w:val="28"/>
        </w:rPr>
        <w:t xml:space="preserve"> </w:t>
      </w:r>
      <w:r>
        <w:rPr>
          <w:rFonts w:ascii="Arial Black" w:hAnsi="Arial Black"/>
          <w:sz w:val="28"/>
          <w:szCs w:val="28"/>
        </w:rPr>
        <w:t xml:space="preserve">ALJ - </w:t>
      </w:r>
      <w:r w:rsidRPr="003515EA">
        <w:rPr>
          <w:rFonts w:ascii="Arial Black" w:hAnsi="Arial Black"/>
          <w:sz w:val="28"/>
          <w:szCs w:val="28"/>
        </w:rPr>
        <w:t xml:space="preserve">ILLINOIS LABOR RELATIONS BOARD </w:t>
      </w:r>
    </w:p>
    <w:p w14:paraId="250E779A" w14:textId="77777777" w:rsidR="00227BDE" w:rsidRDefault="00227BDE" w:rsidP="00227BDE">
      <w:pPr>
        <w:pStyle w:val="NoSpacing"/>
      </w:pPr>
    </w:p>
    <w:p w14:paraId="370F1335" w14:textId="77777777" w:rsidR="00227BDE" w:rsidRDefault="00227BDE" w:rsidP="00227BDE">
      <w:pPr>
        <w:pStyle w:val="NoSpacing"/>
        <w:rPr>
          <w:rStyle w:val="markedcontent"/>
          <w:rFonts w:ascii="Times New Roman" w:hAnsi="Times New Roman"/>
          <w:sz w:val="24"/>
          <w:szCs w:val="24"/>
        </w:rPr>
      </w:pPr>
      <w:r w:rsidRPr="003C1643">
        <w:rPr>
          <w:rStyle w:val="markedcontent"/>
          <w:rFonts w:ascii="Times New Roman" w:hAnsi="Times New Roman"/>
          <w:sz w:val="24"/>
          <w:szCs w:val="24"/>
          <w:u w:val="single"/>
        </w:rPr>
        <w:t>Coalition of Unionized Public Employees and American Federation of State, County and Municipal Employees, Council 31 v. City of Chicago</w:t>
      </w:r>
      <w:r w:rsidRPr="003C1643">
        <w:rPr>
          <w:rStyle w:val="markedcontent"/>
          <w:rFonts w:ascii="Times New Roman" w:hAnsi="Times New Roman"/>
          <w:sz w:val="24"/>
          <w:szCs w:val="24"/>
        </w:rPr>
        <w:t xml:space="preserve">.  </w:t>
      </w:r>
      <w:hyperlink r:id="rId2198" w:history="1">
        <w:r w:rsidRPr="003C1643">
          <w:rPr>
            <w:rStyle w:val="Hyperlink"/>
            <w:rFonts w:ascii="Times New Roman" w:hAnsi="Times New Roman"/>
            <w:sz w:val="24"/>
            <w:szCs w:val="24"/>
          </w:rPr>
          <w:t>https://s3.amazonaws.com/jnswire/jns-media/e9/3e/12863006/unions_v_chicago_vax_ilrb_alj.pdf</w:t>
        </w:r>
      </w:hyperlink>
      <w:r w:rsidRPr="003C1643">
        <w:rPr>
          <w:rStyle w:val="markedcontent"/>
          <w:rFonts w:ascii="Times New Roman" w:hAnsi="Times New Roman"/>
          <w:sz w:val="24"/>
          <w:szCs w:val="24"/>
        </w:rPr>
        <w:t xml:space="preserve"> </w:t>
      </w:r>
    </w:p>
    <w:p w14:paraId="586E16A0" w14:textId="77777777" w:rsidR="006A02A4" w:rsidRDefault="006A02A4" w:rsidP="00227BDE">
      <w:pPr>
        <w:pStyle w:val="NoSpacing"/>
        <w:rPr>
          <w:rStyle w:val="markedcontent"/>
          <w:rFonts w:ascii="Times New Roman" w:hAnsi="Times New Roman"/>
          <w:sz w:val="24"/>
          <w:szCs w:val="24"/>
        </w:rPr>
      </w:pPr>
    </w:p>
    <w:p w14:paraId="2B9D8898" w14:textId="77777777" w:rsidR="006A02A4" w:rsidRPr="006A02A4" w:rsidRDefault="006A02A4" w:rsidP="006A02A4">
      <w:pPr>
        <w:pStyle w:val="Heading2"/>
        <w:rPr>
          <w:rFonts w:ascii="Times New Roman" w:hAnsi="Times New Roman"/>
          <w:b w:val="0"/>
          <w:bCs w:val="0"/>
          <w:i w:val="0"/>
          <w:iCs w:val="0"/>
          <w:color w:val="000000" w:themeColor="text1"/>
          <w:sz w:val="24"/>
          <w:szCs w:val="24"/>
        </w:rPr>
      </w:pPr>
      <w:r w:rsidRPr="006A02A4">
        <w:rPr>
          <w:rFonts w:ascii="Times New Roman" w:hAnsi="Times New Roman"/>
          <w:i w:val="0"/>
          <w:iCs w:val="0"/>
          <w:color w:val="000000" w:themeColor="text1"/>
          <w:sz w:val="24"/>
          <w:szCs w:val="24"/>
        </w:rPr>
        <w:t xml:space="preserve">Legal Lesson Learned: The City of Chicago must bargain over the effects of the vaccination mandate. </w:t>
      </w:r>
    </w:p>
    <w:p w14:paraId="44CD7852" w14:textId="77777777" w:rsidR="006A02A4" w:rsidRPr="006A02A4" w:rsidRDefault="006A02A4" w:rsidP="006A02A4">
      <w:pPr>
        <w:pStyle w:val="Heading2"/>
        <w:ind w:left="720"/>
        <w:rPr>
          <w:rFonts w:ascii="Times New Roman" w:hAnsi="Times New Roman"/>
          <w:b w:val="0"/>
          <w:bCs w:val="0"/>
          <w:color w:val="000000" w:themeColor="text1"/>
          <w:sz w:val="24"/>
          <w:szCs w:val="24"/>
        </w:rPr>
      </w:pPr>
      <w:r w:rsidRPr="006A02A4">
        <w:rPr>
          <w:rFonts w:ascii="Times New Roman" w:hAnsi="Times New Roman"/>
          <w:b w:val="0"/>
          <w:bCs w:val="0"/>
          <w:i w:val="0"/>
          <w:iCs w:val="0"/>
          <w:color w:val="000000" w:themeColor="text1"/>
          <w:sz w:val="24"/>
          <w:szCs w:val="24"/>
        </w:rPr>
        <w:t xml:space="preserve">Note: See also April 20, </w:t>
      </w:r>
      <w:proofErr w:type="gramStart"/>
      <w:r w:rsidRPr="006A02A4">
        <w:rPr>
          <w:rFonts w:ascii="Times New Roman" w:hAnsi="Times New Roman"/>
          <w:b w:val="0"/>
          <w:bCs w:val="0"/>
          <w:i w:val="0"/>
          <w:iCs w:val="0"/>
          <w:color w:val="000000" w:themeColor="text1"/>
          <w:sz w:val="24"/>
          <w:szCs w:val="24"/>
        </w:rPr>
        <w:t>2023</w:t>
      </w:r>
      <w:proofErr w:type="gramEnd"/>
      <w:r w:rsidRPr="006A02A4">
        <w:rPr>
          <w:rFonts w:ascii="Times New Roman" w:hAnsi="Times New Roman"/>
          <w:b w:val="0"/>
          <w:bCs w:val="0"/>
          <w:i w:val="0"/>
          <w:iCs w:val="0"/>
          <w:color w:val="000000" w:themeColor="text1"/>
          <w:sz w:val="24"/>
          <w:szCs w:val="24"/>
        </w:rPr>
        <w:t xml:space="preserve"> article, “Labor board judge: Chicago trampled union bargaining rights by firing workers who refused Covid vax.” </w:t>
      </w:r>
      <w:hyperlink r:id="rId2199" w:history="1">
        <w:r w:rsidRPr="006A02A4">
          <w:rPr>
            <w:rStyle w:val="Hyperlink"/>
            <w:rFonts w:ascii="Times New Roman" w:hAnsi="Times New Roman"/>
            <w:b w:val="0"/>
            <w:bCs w:val="0"/>
            <w:i w:val="0"/>
            <w:iCs w:val="0"/>
            <w:sz w:val="24"/>
            <w:szCs w:val="24"/>
          </w:rPr>
          <w:t>https://cookcountyrecord.com/stories/641740005-labor-board-judge-chicago-trampled-union-bargaining-rights-by-firing-workers-who-refused-covid-vax</w:t>
        </w:r>
      </w:hyperlink>
      <w:r w:rsidRPr="006A02A4">
        <w:rPr>
          <w:rFonts w:ascii="Times New Roman" w:hAnsi="Times New Roman"/>
          <w:b w:val="0"/>
          <w:bCs w:val="0"/>
          <w:color w:val="000000" w:themeColor="text1"/>
          <w:sz w:val="24"/>
          <w:szCs w:val="24"/>
        </w:rPr>
        <w:t xml:space="preserve"> </w:t>
      </w:r>
    </w:p>
    <w:p w14:paraId="0F077198" w14:textId="77777777" w:rsidR="006A02A4" w:rsidRPr="003C1643" w:rsidRDefault="006A02A4" w:rsidP="00227BDE">
      <w:pPr>
        <w:pStyle w:val="NoSpacing"/>
        <w:rPr>
          <w:rFonts w:ascii="Times New Roman" w:hAnsi="Times New Roman"/>
          <w:sz w:val="24"/>
          <w:szCs w:val="24"/>
        </w:rPr>
      </w:pPr>
    </w:p>
    <w:p w14:paraId="6727D08F" w14:textId="77777777" w:rsidR="00227BDE" w:rsidRDefault="00227BDE" w:rsidP="002B1283">
      <w:pPr>
        <w:rPr>
          <w:rFonts w:ascii="Arial Black" w:hAnsi="Arial Black"/>
          <w:b/>
          <w:bCs/>
          <w:sz w:val="28"/>
          <w:szCs w:val="28"/>
        </w:rPr>
      </w:pPr>
    </w:p>
    <w:p w14:paraId="552A7A95" w14:textId="675E7682" w:rsidR="00227BDE" w:rsidRDefault="006A02A4" w:rsidP="002B1283">
      <w:pPr>
        <w:rPr>
          <w:rFonts w:ascii="Arial Black" w:hAnsi="Arial Black"/>
          <w:b/>
          <w:bCs/>
          <w:sz w:val="28"/>
          <w:szCs w:val="28"/>
        </w:rPr>
      </w:pPr>
      <w:r>
        <w:rPr>
          <w:rFonts w:ascii="Arial Black" w:hAnsi="Arial Black"/>
          <w:b/>
          <w:bCs/>
          <w:sz w:val="28"/>
          <w:szCs w:val="28"/>
        </w:rPr>
        <w:t>13-142</w:t>
      </w:r>
    </w:p>
    <w:p w14:paraId="7DE32538" w14:textId="77777777" w:rsidR="006A02A4" w:rsidRPr="00CC53E3" w:rsidRDefault="006A02A4" w:rsidP="006A02A4">
      <w:pPr>
        <w:pStyle w:val="NoSpacing"/>
        <w:rPr>
          <w:rFonts w:ascii="Arial Black" w:hAnsi="Arial Black"/>
          <w:sz w:val="28"/>
          <w:szCs w:val="28"/>
        </w:rPr>
      </w:pPr>
      <w:r w:rsidRPr="00CC53E3">
        <w:rPr>
          <w:rFonts w:ascii="Arial Black" w:hAnsi="Arial Black"/>
          <w:sz w:val="28"/>
          <w:szCs w:val="28"/>
        </w:rPr>
        <w:t xml:space="preserve">IL (4/17/2023) – </w:t>
      </w:r>
      <w:r>
        <w:rPr>
          <w:rFonts w:ascii="Arial Black" w:hAnsi="Arial Black"/>
          <w:sz w:val="28"/>
          <w:szCs w:val="28"/>
        </w:rPr>
        <w:t xml:space="preserve">MENTAL TRANSPORT - BRUTALY </w:t>
      </w:r>
      <w:r w:rsidRPr="00CC53E3">
        <w:rPr>
          <w:rFonts w:ascii="Arial Black" w:hAnsi="Arial Black"/>
          <w:sz w:val="28"/>
          <w:szCs w:val="28"/>
        </w:rPr>
        <w:t>ASSAULTED EMT</w:t>
      </w:r>
      <w:r>
        <w:rPr>
          <w:rFonts w:ascii="Arial Black" w:hAnsi="Arial Black"/>
          <w:sz w:val="28"/>
          <w:szCs w:val="28"/>
        </w:rPr>
        <w:t xml:space="preserve"> IN AMBULANCE – 7 YRS PRISON </w:t>
      </w:r>
      <w:r w:rsidRPr="00CC53E3">
        <w:rPr>
          <w:rFonts w:ascii="Arial Black" w:hAnsi="Arial Black"/>
          <w:sz w:val="28"/>
          <w:szCs w:val="28"/>
        </w:rPr>
        <w:t xml:space="preserve"> </w:t>
      </w:r>
    </w:p>
    <w:p w14:paraId="0E17CB82" w14:textId="77777777" w:rsidR="006A02A4" w:rsidRDefault="006A02A4" w:rsidP="006A02A4">
      <w:pPr>
        <w:pStyle w:val="NoSpacing"/>
      </w:pPr>
    </w:p>
    <w:p w14:paraId="41E6FEF0" w14:textId="77777777" w:rsidR="006A02A4" w:rsidRPr="003C1643" w:rsidRDefault="006A02A4" w:rsidP="006A02A4">
      <w:pPr>
        <w:pStyle w:val="NoSpacing"/>
        <w:rPr>
          <w:rFonts w:ascii="Times New Roman" w:hAnsi="Times New Roman"/>
          <w:sz w:val="24"/>
          <w:szCs w:val="24"/>
        </w:rPr>
      </w:pPr>
      <w:r w:rsidRPr="003C1643">
        <w:rPr>
          <w:rFonts w:ascii="Times New Roman" w:hAnsi="Times New Roman"/>
          <w:sz w:val="24"/>
          <w:szCs w:val="24"/>
          <w:u w:val="single"/>
        </w:rPr>
        <w:t>The People of the State of Illinois v. Cortez Peters</w:t>
      </w:r>
      <w:r w:rsidRPr="003C1643">
        <w:rPr>
          <w:rFonts w:ascii="Times New Roman" w:hAnsi="Times New Roman"/>
          <w:sz w:val="24"/>
          <w:szCs w:val="24"/>
        </w:rPr>
        <w:t xml:space="preserve">, Court of Appeals of Illinois, First District, First Division. </w:t>
      </w:r>
      <w:hyperlink r:id="rId2200" w:history="1">
        <w:r w:rsidRPr="003C1643">
          <w:rPr>
            <w:rStyle w:val="Hyperlink"/>
            <w:rFonts w:ascii="Times New Roman" w:hAnsi="Times New Roman"/>
            <w:sz w:val="24"/>
            <w:szCs w:val="24"/>
          </w:rPr>
          <w:t>https://ilcourtsaudio.blob.core.windows.net/antilles-resources/resources/d0a50835-8b8c-4e4e-96d4-c3b209eadd34/People%20v.%20Peters,%202023%20IL%20App%20(1st)%20211591-U.pdf</w:t>
        </w:r>
      </w:hyperlink>
      <w:r w:rsidRPr="003C1643">
        <w:rPr>
          <w:rFonts w:ascii="Times New Roman" w:hAnsi="Times New Roman"/>
          <w:sz w:val="24"/>
          <w:szCs w:val="24"/>
        </w:rPr>
        <w:t xml:space="preserve"> </w:t>
      </w:r>
    </w:p>
    <w:p w14:paraId="55CF0651" w14:textId="77777777" w:rsidR="006A02A4" w:rsidRPr="003C1643" w:rsidRDefault="006A02A4" w:rsidP="006A02A4">
      <w:pPr>
        <w:pStyle w:val="NoSpacing"/>
        <w:rPr>
          <w:rFonts w:ascii="Times New Roman" w:hAnsi="Times New Roman"/>
          <w:sz w:val="24"/>
          <w:szCs w:val="24"/>
        </w:rPr>
      </w:pPr>
    </w:p>
    <w:p w14:paraId="297B15EF" w14:textId="77777777" w:rsidR="006A02A4" w:rsidRPr="003C1643" w:rsidRDefault="006A02A4" w:rsidP="006A02A4">
      <w:pPr>
        <w:pStyle w:val="NormalWeb"/>
        <w:rPr>
          <w:b/>
          <w:bCs/>
        </w:rPr>
      </w:pPr>
      <w:r w:rsidRPr="003C1643">
        <w:rPr>
          <w:b/>
          <w:bCs/>
        </w:rPr>
        <w:t xml:space="preserve">Legal Lesson Learned: Transporting mentally ill patient can be high risk; adopt a protocol on securing such patients. </w:t>
      </w:r>
    </w:p>
    <w:p w14:paraId="2E333774" w14:textId="77777777" w:rsidR="006A02A4" w:rsidRDefault="006A02A4" w:rsidP="002B1283">
      <w:pPr>
        <w:rPr>
          <w:rFonts w:ascii="Arial Black" w:hAnsi="Arial Black"/>
          <w:b/>
          <w:bCs/>
          <w:sz w:val="28"/>
          <w:szCs w:val="28"/>
        </w:rPr>
      </w:pPr>
    </w:p>
    <w:p w14:paraId="4D07DF78" w14:textId="77777777" w:rsidR="006A02A4" w:rsidRDefault="006A02A4" w:rsidP="002B1283">
      <w:pPr>
        <w:rPr>
          <w:rFonts w:ascii="Arial Black" w:hAnsi="Arial Black"/>
          <w:b/>
          <w:bCs/>
          <w:sz w:val="28"/>
          <w:szCs w:val="28"/>
        </w:rPr>
      </w:pPr>
    </w:p>
    <w:p w14:paraId="3663991E" w14:textId="01E0CE5D" w:rsidR="006A02A4" w:rsidRDefault="006A02A4" w:rsidP="002B1283">
      <w:pPr>
        <w:rPr>
          <w:rFonts w:ascii="Arial Black" w:hAnsi="Arial Black"/>
          <w:b/>
          <w:bCs/>
          <w:sz w:val="28"/>
          <w:szCs w:val="28"/>
        </w:rPr>
      </w:pPr>
      <w:r>
        <w:rPr>
          <w:rFonts w:ascii="Arial Black" w:hAnsi="Arial Black"/>
          <w:b/>
          <w:bCs/>
          <w:sz w:val="28"/>
          <w:szCs w:val="28"/>
        </w:rPr>
        <w:t>13-141</w:t>
      </w:r>
    </w:p>
    <w:p w14:paraId="2E99BF77" w14:textId="19C228B1" w:rsidR="006A02A4" w:rsidRPr="009F5DBC" w:rsidRDefault="006A02A4" w:rsidP="006A02A4">
      <w:pPr>
        <w:pStyle w:val="NoSpacing"/>
        <w:rPr>
          <w:rFonts w:ascii="Arial Black" w:hAnsi="Arial Black"/>
          <w:sz w:val="28"/>
          <w:szCs w:val="28"/>
        </w:rPr>
      </w:pPr>
      <w:r w:rsidRPr="009F5DBC">
        <w:rPr>
          <w:rFonts w:ascii="Arial Black" w:hAnsi="Arial Black"/>
          <w:sz w:val="28"/>
          <w:szCs w:val="28"/>
        </w:rPr>
        <w:t>NY (4/14/2023) – RESPIR</w:t>
      </w:r>
      <w:r>
        <w:rPr>
          <w:rFonts w:ascii="Arial Black" w:hAnsi="Arial Black"/>
          <w:sz w:val="28"/>
          <w:szCs w:val="28"/>
        </w:rPr>
        <w:t>. A</w:t>
      </w:r>
      <w:r w:rsidRPr="009F5DBC">
        <w:rPr>
          <w:rFonts w:ascii="Arial Black" w:hAnsi="Arial Black"/>
          <w:sz w:val="28"/>
          <w:szCs w:val="28"/>
        </w:rPr>
        <w:t xml:space="preserve">RREST – INTUBATION </w:t>
      </w:r>
      <w:r>
        <w:rPr>
          <w:rFonts w:ascii="Arial Black" w:hAnsi="Arial Black"/>
          <w:sz w:val="28"/>
          <w:szCs w:val="28"/>
        </w:rPr>
        <w:t xml:space="preserve">IN </w:t>
      </w:r>
      <w:r w:rsidRPr="009F5DBC">
        <w:rPr>
          <w:rFonts w:ascii="Arial Black" w:hAnsi="Arial Black"/>
          <w:sz w:val="28"/>
          <w:szCs w:val="28"/>
        </w:rPr>
        <w:t>ESOPHAGUS –</w:t>
      </w:r>
      <w:r>
        <w:rPr>
          <w:rFonts w:ascii="Arial Black" w:hAnsi="Arial Black"/>
          <w:sz w:val="28"/>
          <w:szCs w:val="28"/>
        </w:rPr>
        <w:t xml:space="preserve"> HOSP. ED - NO EXPERT PROOF CAUSED DEATH</w:t>
      </w:r>
    </w:p>
    <w:p w14:paraId="5B530D93" w14:textId="77777777" w:rsidR="006A02A4" w:rsidRDefault="006A02A4" w:rsidP="006A02A4">
      <w:pPr>
        <w:pStyle w:val="NoSpacing"/>
      </w:pPr>
    </w:p>
    <w:p w14:paraId="1C3C95F9" w14:textId="77777777" w:rsidR="006A02A4" w:rsidRPr="003C1643" w:rsidRDefault="006A02A4" w:rsidP="006A02A4">
      <w:pPr>
        <w:pStyle w:val="NoSpacing"/>
        <w:rPr>
          <w:rFonts w:ascii="Times New Roman" w:hAnsi="Times New Roman"/>
          <w:sz w:val="24"/>
          <w:szCs w:val="24"/>
        </w:rPr>
      </w:pPr>
      <w:r w:rsidRPr="003C1643">
        <w:rPr>
          <w:rFonts w:ascii="Times New Roman" w:hAnsi="Times New Roman"/>
          <w:sz w:val="24"/>
          <w:szCs w:val="24"/>
          <w:u w:val="single"/>
        </w:rPr>
        <w:t>Shaquia Simmons, Administrator of the estate of Judith Prescott v. Elizabeth Rubano, M.D. et al.</w:t>
      </w:r>
      <w:r w:rsidRPr="003C1643">
        <w:rPr>
          <w:rFonts w:ascii="Times New Roman" w:hAnsi="Times New Roman"/>
          <w:sz w:val="24"/>
          <w:szCs w:val="24"/>
        </w:rPr>
        <w:t>, Supreme Court, Kings County. [Unpublished Decision.]</w:t>
      </w:r>
    </w:p>
    <w:p w14:paraId="0B73F22E" w14:textId="5B523591" w:rsidR="006A02A4" w:rsidRDefault="006A02A4" w:rsidP="006A02A4">
      <w:pPr>
        <w:rPr>
          <w:rFonts w:ascii="Arial Black" w:hAnsi="Arial Black"/>
          <w:b/>
          <w:bCs/>
          <w:sz w:val="28"/>
          <w:szCs w:val="28"/>
        </w:rPr>
      </w:pPr>
      <w:hyperlink r:id="rId2201" w:history="1">
        <w:r w:rsidRPr="003C1643">
          <w:rPr>
            <w:rStyle w:val="Hyperlink"/>
            <w:rFonts w:ascii="Times New Roman" w:hAnsi="Times New Roman"/>
            <w:sz w:val="24"/>
            <w:szCs w:val="24"/>
          </w:rPr>
          <w:t>https://law.justia.com/cases/new-york/other-courts/2023/2023-ny-slip-op-31298-u.html</w:t>
        </w:r>
      </w:hyperlink>
    </w:p>
    <w:p w14:paraId="1BBCC23C" w14:textId="77777777" w:rsidR="006A02A4" w:rsidRPr="003C1643" w:rsidRDefault="006A02A4" w:rsidP="006A02A4">
      <w:pPr>
        <w:pStyle w:val="NormalWeb"/>
        <w:rPr>
          <w:b/>
          <w:bCs/>
        </w:rPr>
      </w:pPr>
      <w:r w:rsidRPr="003C1643">
        <w:rPr>
          <w:b/>
          <w:bCs/>
        </w:rPr>
        <w:t xml:space="preserve">Legal Lesson Learned: EMS should confirm proper placement of ET Tube. </w:t>
      </w:r>
    </w:p>
    <w:p w14:paraId="7CA52EEC" w14:textId="77777777" w:rsidR="00227BDE" w:rsidRDefault="00227BDE" w:rsidP="002B1283">
      <w:pPr>
        <w:rPr>
          <w:rFonts w:ascii="Arial Black" w:hAnsi="Arial Black"/>
          <w:b/>
          <w:bCs/>
          <w:sz w:val="28"/>
          <w:szCs w:val="28"/>
        </w:rPr>
      </w:pPr>
    </w:p>
    <w:p w14:paraId="4AF5BE6B" w14:textId="77777777" w:rsidR="00227BDE" w:rsidRDefault="00227BDE" w:rsidP="002B1283">
      <w:pPr>
        <w:rPr>
          <w:rFonts w:ascii="Arial Black" w:hAnsi="Arial Black"/>
          <w:b/>
          <w:bCs/>
          <w:sz w:val="28"/>
          <w:szCs w:val="28"/>
        </w:rPr>
      </w:pPr>
    </w:p>
    <w:p w14:paraId="59CA279A" w14:textId="68060B8B" w:rsidR="00D66BAA" w:rsidRDefault="00D66BAA" w:rsidP="002B1283">
      <w:pPr>
        <w:rPr>
          <w:rFonts w:ascii="Arial Black" w:hAnsi="Arial Black"/>
          <w:b/>
          <w:bCs/>
          <w:sz w:val="28"/>
          <w:szCs w:val="28"/>
        </w:rPr>
      </w:pPr>
      <w:r>
        <w:rPr>
          <w:rFonts w:ascii="Arial Black" w:hAnsi="Arial Black"/>
          <w:b/>
          <w:bCs/>
          <w:sz w:val="28"/>
          <w:szCs w:val="28"/>
        </w:rPr>
        <w:t>13-140</w:t>
      </w:r>
    </w:p>
    <w:p w14:paraId="3CC7D588" w14:textId="77777777" w:rsidR="00D66BAA" w:rsidRDefault="00D66BAA" w:rsidP="00D66BAA">
      <w:pPr>
        <w:pStyle w:val="NormalWeb"/>
        <w:rPr>
          <w:rFonts w:ascii="Arial Black" w:hAnsi="Arial Black"/>
          <w:sz w:val="28"/>
          <w:szCs w:val="28"/>
        </w:rPr>
      </w:pPr>
      <w:r>
        <w:t> </w:t>
      </w:r>
      <w:r>
        <w:rPr>
          <w:rFonts w:ascii="Arial Black" w:hAnsi="Arial Black"/>
          <w:sz w:val="28"/>
          <w:szCs w:val="28"/>
        </w:rPr>
        <w:t xml:space="preserve">NY: COVID-19 – EMS LAWSUIT AGAINST UNION DISMISSED – CITY BARGAINED WITH DC37 – NO RATIFICATION REQ. </w:t>
      </w:r>
    </w:p>
    <w:p w14:paraId="5957852B" w14:textId="77777777" w:rsidR="00D66BAA" w:rsidRDefault="00D66BAA" w:rsidP="00D66BAA">
      <w:pPr>
        <w:pStyle w:val="NormalWeb"/>
      </w:pPr>
      <w:r>
        <w:t xml:space="preserve">On March 29, 2023, in </w:t>
      </w:r>
      <w:r>
        <w:rPr>
          <w:u w:val="single"/>
        </w:rPr>
        <w:t>John Garland v. City of New York, et al</w:t>
      </w:r>
      <w:r>
        <w:t>., U.S. District Court Judge Kiyo A. Matsumoto, U.S. District Court for Eastern District of New York, granted the City’s motion to dismiss.  The Judge in December, 2021 had dismissed firefighters’ lawsuit seeking reinstatement and back pay, noting: “Indeed, any FDNY employees who challenged whether the Vaccine Mandate should apply to them not only ‘had the opportunity to seek a religious or medical accommodation,’ they also ‘remain[ed] on pay status pending the decision on their request or appeal, so long as their accommodation requests were submitted prior to October 27, 2021.”  On Jan. 5, 2022, the EMS plaintiffs then filed an Amended Complaint against their Union - District Council 37, AFSCME AFL-</w:t>
      </w:r>
      <w:proofErr w:type="gramStart"/>
      <w:r>
        <w:t>CIO (‘</w:t>
      </w:r>
      <w:proofErr w:type="gramEnd"/>
      <w:r>
        <w:t xml:space="preserve">DC37’) - and Harry Garrido, DC37's Executive Director.  </w:t>
      </w:r>
    </w:p>
    <w:p w14:paraId="0D9C9665" w14:textId="77777777" w:rsidR="00D66BAA" w:rsidRDefault="00D66BAA" w:rsidP="00D66BAA">
      <w:pPr>
        <w:pStyle w:val="NormalWeb"/>
        <w:ind w:left="720"/>
      </w:pPr>
      <w:r>
        <w:t xml:space="preserve">The Judge held: “Plaintiffs also argue that, even though the FDNY </w:t>
      </w:r>
      <w:r>
        <w:rPr>
          <w:rStyle w:val="Emphasis"/>
        </w:rPr>
        <w:t>did</w:t>
      </w:r>
      <w:r>
        <w:t xml:space="preserve"> bargain and negotiate with DC37 concerning the Vaccine Mandate, the resulting DC37 Agreement was never ratified by DC37's union members ….Plaintiffs assert that under New York City Admin. Code Section 12-307(a)(4), the DC37 Agreement could not amend the existing procedures of DC37's collective bargaining agreement without ratification by its members….  As the Court has repeatedly stated, however, ‘the Court looks to federal constitutional standards rather than state statutes to define the requirements of procedural due process…. Courts repeatedly have held that state statutes do not determine constitutional due process requirements.” </w:t>
      </w:r>
      <w:hyperlink r:id="rId2202" w:history="1">
        <w:r>
          <w:rPr>
            <w:rStyle w:val="Hyperlink"/>
          </w:rPr>
          <w:t>https://public.fastcase.com/J%2FJP6pdidelsXxEE4k%2BLMmkKAOu2og4RFw84MS%2B8ggk3sjpW8vutPxLex2RgGn%2Bt2Jik%2FeX8PJts3C%2F6Q%2Fo%2BG%2BiayCxJf82VEENSX79a%2FfU%3D?utm_medium=email&amp;_hsmi=226712652&amp;_hsenc=p2ANqtz-9IQANQQw8c4G50juoB1YOeI9PRU9K182hoTYcfz0uXjPfI5SdzNRjzRb60ER6nqwMSPaZSSyOzlxBsxtCZ7kFqJFFA4g&amp;utm_content=226712652&amp;utm_source=hs_email</w:t>
        </w:r>
      </w:hyperlink>
      <w:r>
        <w:t xml:space="preserve"> </w:t>
      </w:r>
    </w:p>
    <w:p w14:paraId="4B425704" w14:textId="77777777" w:rsidR="00D66BAA" w:rsidRDefault="00D66BAA" w:rsidP="00D66BAA">
      <w:pPr>
        <w:pStyle w:val="NormalWeb"/>
        <w:ind w:left="720"/>
      </w:pPr>
      <w:r>
        <w:t>“Plaintiffs allege in the Amended Complaint that seventy-seven out of the eighty-six total Plaintiffs have requested a medical or religious accommodation to be exempt from the Vaccine Mandate; seventy-one Plaintiffs have been denied and six were awaiting an initial determination; thirty-seven Plaintiffs have appealed the denial of their request for a reasonable accommodation; and one Plaintiff's appeal has been denied, while thirty-six are awaiting a decision.</w:t>
      </w:r>
    </w:p>
    <w:p w14:paraId="4B110261" w14:textId="77777777" w:rsidR="00D66BAA" w:rsidRDefault="00D66BAA" w:rsidP="00D66BAA">
      <w:pPr>
        <w:pStyle w:val="NormalWeb"/>
        <w:ind w:left="720"/>
      </w:pPr>
      <w:r>
        <w:t>***</w:t>
      </w:r>
    </w:p>
    <w:p w14:paraId="6695197B" w14:textId="77777777" w:rsidR="00D66BAA" w:rsidRDefault="00D66BAA" w:rsidP="00D66BAA">
      <w:pPr>
        <w:pStyle w:val="NormalWeb"/>
        <w:ind w:left="720"/>
      </w:pPr>
      <w:r>
        <w:t xml:space="preserve">The Vaccine Mandate was revoked by the City on February 10, </w:t>
      </w:r>
      <w:proofErr w:type="gramStart"/>
      <w:r>
        <w:t>2023</w:t>
      </w:r>
      <w:proofErr w:type="gramEnd"/>
      <w:r>
        <w:t xml:space="preserve"> and is no longer in effect.”</w:t>
      </w:r>
    </w:p>
    <w:p w14:paraId="00FF6026" w14:textId="77777777" w:rsidR="00D66BAA" w:rsidRDefault="00D66BAA" w:rsidP="00D66BAA">
      <w:pPr>
        <w:pStyle w:val="NormalWeb"/>
        <w:rPr>
          <w:b/>
          <w:bCs/>
        </w:rPr>
      </w:pPr>
      <w:r>
        <w:rPr>
          <w:b/>
          <w:bCs/>
        </w:rPr>
        <w:t xml:space="preserve">Legal Lesson Learned: Hopefully litigation over Covid-12 vaccinations will soon be over. </w:t>
      </w:r>
    </w:p>
    <w:p w14:paraId="60184AD3" w14:textId="77777777" w:rsidR="00D66BAA" w:rsidRDefault="00D66BAA" w:rsidP="00D66BAA">
      <w:pPr>
        <w:pStyle w:val="Heading1"/>
        <w:ind w:left="720"/>
        <w:rPr>
          <w:b w:val="0"/>
          <w:bCs w:val="0"/>
          <w:sz w:val="24"/>
          <w:szCs w:val="24"/>
        </w:rPr>
      </w:pPr>
      <w:r>
        <w:rPr>
          <w:b w:val="0"/>
          <w:bCs w:val="0"/>
          <w:sz w:val="24"/>
          <w:szCs w:val="24"/>
        </w:rPr>
        <w:t xml:space="preserve">Note: </w:t>
      </w:r>
    </w:p>
    <w:p w14:paraId="1EFB6343" w14:textId="77777777" w:rsidR="00D66BAA" w:rsidRDefault="00D66BAA" w:rsidP="00D66BAA">
      <w:pPr>
        <w:pStyle w:val="Heading1"/>
        <w:ind w:left="720"/>
        <w:rPr>
          <w:rStyle w:val="markedcontent"/>
        </w:rPr>
      </w:pPr>
      <w:r>
        <w:rPr>
          <w:b w:val="0"/>
          <w:bCs w:val="0"/>
          <w:sz w:val="24"/>
          <w:szCs w:val="24"/>
        </w:rPr>
        <w:t xml:space="preserve">See March 10, </w:t>
      </w:r>
      <w:proofErr w:type="gramStart"/>
      <w:r>
        <w:rPr>
          <w:b w:val="0"/>
          <w:bCs w:val="0"/>
          <w:sz w:val="24"/>
          <w:szCs w:val="24"/>
        </w:rPr>
        <w:t>2023</w:t>
      </w:r>
      <w:proofErr w:type="gramEnd"/>
      <w:r>
        <w:rPr>
          <w:b w:val="0"/>
          <w:bCs w:val="0"/>
          <w:sz w:val="24"/>
          <w:szCs w:val="24"/>
        </w:rPr>
        <w:t xml:space="preserve"> City Re-Hiring Memo: </w:t>
      </w:r>
      <w:r>
        <w:rPr>
          <w:rStyle w:val="markedcontent"/>
          <w:b w:val="0"/>
          <w:bCs w:val="0"/>
          <w:sz w:val="24"/>
          <w:szCs w:val="24"/>
        </w:rPr>
        <w:t xml:space="preserve">“Are employees who were terminated for failure to comply with the vaccine mandate eligible for rehire? Yes, employees who were terminated due to the vaccine mandate are eligible for rehire by any City agency, with the understanding they meet all conditions for </w:t>
      </w:r>
      <w:r>
        <w:rPr>
          <w:rStyle w:val="markedcontent"/>
          <w:b w:val="0"/>
          <w:bCs w:val="0"/>
          <w:sz w:val="24"/>
          <w:szCs w:val="24"/>
        </w:rPr>
        <w:lastRenderedPageBreak/>
        <w:t>employment in the rehire position and haven’t otherwise signed a waiver indicating they will not return.”</w:t>
      </w:r>
      <w:r>
        <w:t xml:space="preserve"> </w:t>
      </w:r>
      <w:hyperlink r:id="rId2203" w:history="1">
        <w:r>
          <w:rPr>
            <w:rStyle w:val="Hyperlink"/>
            <w:b w:val="0"/>
            <w:bCs w:val="0"/>
            <w:sz w:val="24"/>
            <w:szCs w:val="24"/>
          </w:rPr>
          <w:t>https://www.nyc.gov/assets/dcas/downloads/pdf/guidelines/faq-vaccine-mandate.pdf</w:t>
        </w:r>
      </w:hyperlink>
      <w:r>
        <w:rPr>
          <w:rStyle w:val="markedcontent"/>
          <w:b w:val="0"/>
          <w:bCs w:val="0"/>
          <w:sz w:val="24"/>
          <w:szCs w:val="24"/>
        </w:rPr>
        <w:t xml:space="preserve"> </w:t>
      </w:r>
    </w:p>
    <w:p w14:paraId="2D1BC1C8" w14:textId="77777777" w:rsidR="00D66BAA" w:rsidRDefault="00D66BAA" w:rsidP="00D66BAA">
      <w:pPr>
        <w:pStyle w:val="Heading1"/>
        <w:ind w:left="720"/>
      </w:pPr>
      <w:r>
        <w:rPr>
          <w:b w:val="0"/>
          <w:bCs w:val="0"/>
          <w:sz w:val="24"/>
          <w:szCs w:val="24"/>
        </w:rPr>
        <w:t xml:space="preserve">See Oct. 26, </w:t>
      </w:r>
      <w:proofErr w:type="gramStart"/>
      <w:r>
        <w:rPr>
          <w:b w:val="0"/>
          <w:bCs w:val="0"/>
          <w:sz w:val="24"/>
          <w:szCs w:val="24"/>
        </w:rPr>
        <w:t>2022</w:t>
      </w:r>
      <w:proofErr w:type="gramEnd"/>
      <w:r>
        <w:rPr>
          <w:b w:val="0"/>
          <w:bCs w:val="0"/>
          <w:sz w:val="24"/>
          <w:szCs w:val="24"/>
        </w:rPr>
        <w:t xml:space="preserve"> article, “Judge: NYC must rehire and pay back workers who violated vaccine mandate.” A judge with the New York State Supreme Court on Tuesday ruled that New York City Mayor Eric Adams' October 2021 mandate requiring all municipal workers to receive a Covid-19 vaccine was unlawful and ordered the city to rehire and provide back pay to all sanitation workers who lost their jobs for violating the mandate. </w:t>
      </w:r>
      <w:hyperlink r:id="rId2204" w:history="1">
        <w:r>
          <w:rPr>
            <w:rStyle w:val="Hyperlink"/>
            <w:b w:val="0"/>
            <w:bCs w:val="0"/>
            <w:sz w:val="24"/>
            <w:szCs w:val="24"/>
          </w:rPr>
          <w:t>https://www.advisory.com/daily-briefing/2022/10/26/vaccine-mandate</w:t>
        </w:r>
      </w:hyperlink>
      <w:r>
        <w:rPr>
          <w:b w:val="0"/>
          <w:bCs w:val="0"/>
          <w:sz w:val="24"/>
          <w:szCs w:val="24"/>
        </w:rPr>
        <w:t xml:space="preserve">  </w:t>
      </w:r>
    </w:p>
    <w:p w14:paraId="7731639F" w14:textId="1CE5D13A" w:rsidR="00D66BAA" w:rsidRPr="00D66BAA" w:rsidRDefault="00D66BAA" w:rsidP="00D66BAA">
      <w:pPr>
        <w:ind w:left="720"/>
        <w:rPr>
          <w:rFonts w:ascii="Times New Roman" w:hAnsi="Times New Roman"/>
          <w:b/>
          <w:bCs/>
          <w:sz w:val="24"/>
          <w:szCs w:val="24"/>
        </w:rPr>
      </w:pPr>
      <w:r w:rsidRPr="00D66BAA">
        <w:rPr>
          <w:rFonts w:ascii="Times New Roman" w:hAnsi="Times New Roman"/>
          <w:sz w:val="24"/>
          <w:szCs w:val="24"/>
        </w:rPr>
        <w:t xml:space="preserve">See Sept. 23, </w:t>
      </w:r>
      <w:proofErr w:type="gramStart"/>
      <w:r w:rsidRPr="00D66BAA">
        <w:rPr>
          <w:rFonts w:ascii="Times New Roman" w:hAnsi="Times New Roman"/>
          <w:sz w:val="24"/>
          <w:szCs w:val="24"/>
        </w:rPr>
        <w:t>2022</w:t>
      </w:r>
      <w:proofErr w:type="gramEnd"/>
      <w:r w:rsidRPr="00D66BAA">
        <w:rPr>
          <w:rFonts w:ascii="Times New Roman" w:hAnsi="Times New Roman"/>
          <w:sz w:val="24"/>
          <w:szCs w:val="24"/>
        </w:rPr>
        <w:t xml:space="preserve"> article, </w:t>
      </w:r>
      <w:r w:rsidRPr="00D66BAA">
        <w:rPr>
          <w:rFonts w:ascii="Times New Roman" w:hAnsi="Times New Roman"/>
          <w:b/>
          <w:bCs/>
          <w:sz w:val="24"/>
          <w:szCs w:val="24"/>
        </w:rPr>
        <w:t>“</w:t>
      </w:r>
      <w:r w:rsidRPr="00D66BAA">
        <w:rPr>
          <w:rFonts w:ascii="Times New Roman" w:hAnsi="Times New Roman"/>
          <w:sz w:val="24"/>
          <w:szCs w:val="24"/>
        </w:rPr>
        <w:t xml:space="preserve">Judge strikes down COVID vaccine mandate for PBA, orders New York City to reinstate unvaccinated police officers.” A Manhattan Supreme Court judge on Friday overturned the city's vaccine mandate for the New York Police Benevolent Association and said members who lost their jobs for being unvaccinated should be reinstated. </w:t>
      </w:r>
      <w:hyperlink r:id="rId2205" w:history="1">
        <w:r w:rsidRPr="00D66BAA">
          <w:rPr>
            <w:rStyle w:val="Hyperlink"/>
            <w:rFonts w:ascii="Times New Roman" w:hAnsi="Times New Roman"/>
            <w:sz w:val="24"/>
            <w:szCs w:val="24"/>
          </w:rPr>
          <w:t>https://www.cbsnews.com/newyork/news/judge-strikes-down-pba-vaccine-mandate-orders-new-york-city-to-reinstate-unvaccinated-members/</w:t>
        </w:r>
      </w:hyperlink>
    </w:p>
    <w:p w14:paraId="286A54D5" w14:textId="77777777" w:rsidR="00D66BAA" w:rsidRDefault="00D66BAA" w:rsidP="002B1283">
      <w:pPr>
        <w:rPr>
          <w:rFonts w:ascii="Arial Black" w:hAnsi="Arial Black"/>
          <w:b/>
          <w:bCs/>
          <w:sz w:val="28"/>
          <w:szCs w:val="28"/>
        </w:rPr>
      </w:pPr>
    </w:p>
    <w:p w14:paraId="069560D7" w14:textId="27C1C948" w:rsidR="00D66BAA" w:rsidRDefault="00D66BAA" w:rsidP="002B1283">
      <w:pPr>
        <w:rPr>
          <w:rFonts w:ascii="Arial Black" w:hAnsi="Arial Black"/>
          <w:b/>
          <w:bCs/>
          <w:sz w:val="28"/>
          <w:szCs w:val="28"/>
        </w:rPr>
      </w:pPr>
      <w:r>
        <w:rPr>
          <w:rFonts w:ascii="Arial Black" w:hAnsi="Arial Black"/>
          <w:b/>
          <w:bCs/>
          <w:sz w:val="28"/>
          <w:szCs w:val="28"/>
        </w:rPr>
        <w:t>13-139</w:t>
      </w:r>
    </w:p>
    <w:p w14:paraId="4C95A36F" w14:textId="77777777" w:rsidR="00D66BAA" w:rsidRDefault="00D66BAA" w:rsidP="00D66BAA">
      <w:pPr>
        <w:pStyle w:val="NormalWeb"/>
        <w:rPr>
          <w:rFonts w:ascii="Arial Black" w:hAnsi="Arial Black"/>
          <w:sz w:val="28"/>
          <w:szCs w:val="28"/>
        </w:rPr>
      </w:pPr>
      <w:r>
        <w:rPr>
          <w:rFonts w:ascii="Arial Black" w:hAnsi="Arial Black"/>
          <w:sz w:val="28"/>
          <w:szCs w:val="28"/>
        </w:rPr>
        <w:t>NY: COVID-19 VACCINATION - FDNY CLAIMED “RELIGIOUS EXEMPTION” AS A CATHOLIC – FIRED - CASE DISMISSED</w:t>
      </w:r>
    </w:p>
    <w:p w14:paraId="23ABBFAE" w14:textId="77777777" w:rsidR="00D66BAA" w:rsidRDefault="00D66BAA" w:rsidP="00D66BAA">
      <w:pPr>
        <w:pStyle w:val="NormalWeb"/>
      </w:pPr>
      <w:r>
        <w:t xml:space="preserve">On March 24, 2023, in </w:t>
      </w:r>
      <w:r>
        <w:rPr>
          <w:u w:val="single"/>
        </w:rPr>
        <w:t>Jude Pierre v. Fire Department of the City of New York, City of New York</w:t>
      </w:r>
      <w:r>
        <w:t xml:space="preserve">, Judge Lori S. Sattler, Supreme Court, New York County (unpublished decision) held that the FDNY properly fired him on September 7, 2022, after his administrative appeal to City of New York Reasonable Accommodation Appeals Panel was rejected on December 21, 2021, and he was put on unpaid leave.  </w:t>
      </w:r>
    </w:p>
    <w:p w14:paraId="0EE52E56" w14:textId="77777777" w:rsidR="00D66BAA" w:rsidRDefault="00D66BAA" w:rsidP="00D66BAA">
      <w:pPr>
        <w:pStyle w:val="NormalWeb"/>
        <w:ind w:left="720"/>
      </w:pPr>
      <w:r>
        <w:t xml:space="preserve">The Court held: “Petitioner fails to demonstrate how his religious beliefs conflict with [the City’s] vaccine requirement notwithstanding that he designates his religion as Catholic on the religious exemption request form. His assertion that he is ‘not comfortable using a vaccine that has used stem cells from fetuses’ is presented without any connection to a sincerely held religious belief and does not set forth an actual religious request for accommodation. Similarly, the language in the remainder of this section of the Accommodation Request - that he is concerned about the ‘manufacturers, government and department’ not being held liable for adverse long-term side effects, sees no reason to take the risk of ‘taking an expedited treatment,’ and that he will be solely responsible for dealing with ‘unforeseen consequences’ - indicate that Petitioner's request was based on his personal preferences.” </w:t>
      </w:r>
      <w:hyperlink r:id="rId2206" w:history="1">
        <w:r>
          <w:rPr>
            <w:rStyle w:val="Hyperlink"/>
          </w:rPr>
          <w:t>https://casetext.com/case/pierre-v-fire-dept-of-the-city-of-ny</w:t>
        </w:r>
      </w:hyperlink>
      <w:r>
        <w:t xml:space="preserve"> </w:t>
      </w:r>
    </w:p>
    <w:p w14:paraId="092F4E98" w14:textId="77777777" w:rsidR="00D66BAA" w:rsidRDefault="00D66BAA" w:rsidP="00D66BAA">
      <w:pPr>
        <w:pStyle w:val="NormalWeb"/>
        <w:ind w:left="720"/>
      </w:pPr>
      <w:r>
        <w:t xml:space="preserve">“A New York City vaccine mandate was issued on October 20, </w:t>
      </w:r>
      <w:proofErr w:type="gramStart"/>
      <w:r>
        <w:t>2021</w:t>
      </w:r>
      <w:proofErr w:type="gramEnd"/>
      <w:r>
        <w:t xml:space="preserve"> requiring that all employees of the City of New York verify vaccination against COVID-19 by October 29, 2021.  </w:t>
      </w:r>
    </w:p>
    <w:p w14:paraId="76E6DD48" w14:textId="77777777" w:rsidR="00D66BAA" w:rsidRDefault="00D66BAA" w:rsidP="00D66BAA">
      <w:pPr>
        <w:pStyle w:val="NormalWeb"/>
        <w:ind w:left="720"/>
      </w:pPr>
      <w:r>
        <w:t>***</w:t>
      </w:r>
    </w:p>
    <w:p w14:paraId="11C3F89D" w14:textId="77777777" w:rsidR="00D66BAA" w:rsidRDefault="00D66BAA" w:rsidP="00D66BAA">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 xml:space="preserve">Petitioner, a New York City Firefighter, filed a Form EEO-7 ‘REQUEST FOR A REASONABLE ACCOMODATION FOR RELIGIOUS OBSERVANCES, PRACTICES OR BELIEFS’ on November 21, </w:t>
      </w:r>
      <w:proofErr w:type="gramStart"/>
      <w:r>
        <w:rPr>
          <w:rFonts w:ascii="Times New Roman" w:eastAsia="Times New Roman" w:hAnsi="Times New Roman"/>
          <w:sz w:val="24"/>
          <w:szCs w:val="24"/>
        </w:rPr>
        <w:t>2021</w:t>
      </w:r>
      <w:proofErr w:type="gramEnd"/>
      <w:r>
        <w:rPr>
          <w:rFonts w:ascii="Times New Roman" w:eastAsia="Times New Roman" w:hAnsi="Times New Roman"/>
          <w:sz w:val="24"/>
          <w:szCs w:val="24"/>
        </w:rPr>
        <w:t xml:space="preserve"> … ‘Accommodation Request’). Under the section ‘Identify Religion/creed’ he specified Catholic. The form further asks the applicant to ‘Describe the religious practice(s) in conflict with the work rule(s) or requirement(s).’ He stated: </w:t>
      </w:r>
    </w:p>
    <w:p w14:paraId="2625506A" w14:textId="77777777" w:rsidR="00D66BAA" w:rsidRDefault="00D66BAA" w:rsidP="00D66BAA">
      <w:pPr>
        <w:spacing w:after="100" w:line="240" w:lineRule="auto"/>
        <w:ind w:left="1440"/>
        <w:rPr>
          <w:rFonts w:ascii="Times New Roman" w:eastAsia="Times New Roman" w:hAnsi="Times New Roman"/>
          <w:sz w:val="24"/>
          <w:szCs w:val="24"/>
        </w:rPr>
      </w:pPr>
      <w:r>
        <w:rPr>
          <w:rFonts w:ascii="Times New Roman" w:eastAsia="Times New Roman" w:hAnsi="Times New Roman"/>
          <w:sz w:val="24"/>
          <w:szCs w:val="24"/>
        </w:rPr>
        <w:lastRenderedPageBreak/>
        <w:t xml:space="preserve">I am not comfortable using a vaccine that has used stem cells from fetuses in </w:t>
      </w:r>
      <w:proofErr w:type="spellStart"/>
      <w:proofErr w:type="gramStart"/>
      <w:r>
        <w:rPr>
          <w:rFonts w:ascii="Times New Roman" w:eastAsia="Times New Roman" w:hAnsi="Times New Roman"/>
          <w:sz w:val="24"/>
          <w:szCs w:val="24"/>
        </w:rPr>
        <w:t>it's</w:t>
      </w:r>
      <w:proofErr w:type="spellEnd"/>
      <w:proofErr w:type="gramEnd"/>
      <w:r>
        <w:rPr>
          <w:rFonts w:ascii="Times New Roman" w:eastAsia="Times New Roman" w:hAnsi="Times New Roman"/>
          <w:sz w:val="24"/>
          <w:szCs w:val="24"/>
        </w:rPr>
        <w:t xml:space="preserve"> [sic] development. I am also cautious in the fact that manufacturers, government, and department are not liable for any adverse long-term side effects. Why shall I take the risk of taking </w:t>
      </w:r>
      <w:proofErr w:type="gramStart"/>
      <w:r>
        <w:rPr>
          <w:rFonts w:ascii="Times New Roman" w:eastAsia="Times New Roman" w:hAnsi="Times New Roman"/>
          <w:sz w:val="24"/>
          <w:szCs w:val="24"/>
        </w:rPr>
        <w:t>an expedited</w:t>
      </w:r>
      <w:proofErr w:type="gramEnd"/>
      <w:r>
        <w:rPr>
          <w:rFonts w:ascii="Times New Roman" w:eastAsia="Times New Roman" w:hAnsi="Times New Roman"/>
          <w:sz w:val="24"/>
          <w:szCs w:val="24"/>
        </w:rPr>
        <w:t xml:space="preserve"> treatment if something were to happen and I'm will [sic] solely to be responsible </w:t>
      </w:r>
      <w:proofErr w:type="gramStart"/>
      <w:r>
        <w:rPr>
          <w:rFonts w:ascii="Times New Roman" w:eastAsia="Times New Roman" w:hAnsi="Times New Roman"/>
          <w:sz w:val="24"/>
          <w:szCs w:val="24"/>
        </w:rPr>
        <w:t>with</w:t>
      </w:r>
      <w:proofErr w:type="gramEnd"/>
      <w:r>
        <w:rPr>
          <w:rFonts w:ascii="Times New Roman" w:eastAsia="Times New Roman" w:hAnsi="Times New Roman"/>
          <w:sz w:val="24"/>
          <w:szCs w:val="24"/>
        </w:rPr>
        <w:t xml:space="preserve"> dealing with any unforeseen consequences? </w:t>
      </w:r>
    </w:p>
    <w:p w14:paraId="008AC0E3" w14:textId="77777777" w:rsidR="00D66BAA" w:rsidRDefault="00D66BAA" w:rsidP="00D66BAA">
      <w:pPr>
        <w:spacing w:after="100" w:line="240" w:lineRule="auto"/>
        <w:ind w:firstLine="720"/>
        <w:rPr>
          <w:rFonts w:ascii="Times New Roman" w:eastAsia="Times New Roman" w:hAnsi="Times New Roman"/>
          <w:sz w:val="24"/>
          <w:szCs w:val="24"/>
        </w:rPr>
      </w:pPr>
      <w:r>
        <w:rPr>
          <w:rFonts w:ascii="Times New Roman" w:eastAsia="Times New Roman" w:hAnsi="Times New Roman"/>
          <w:sz w:val="24"/>
          <w:szCs w:val="24"/>
        </w:rPr>
        <w:t>***</w:t>
      </w:r>
    </w:p>
    <w:p w14:paraId="661677CA" w14:textId="77777777" w:rsidR="00D66BAA" w:rsidRDefault="00D66BAA" w:rsidP="00D66BAA">
      <w:pPr>
        <w:spacing w:after="100" w:line="240" w:lineRule="auto"/>
        <w:ind w:left="720"/>
        <w:rPr>
          <w:rFonts w:ascii="Times New Roman" w:hAnsi="Times New Roman"/>
          <w:sz w:val="24"/>
          <w:szCs w:val="24"/>
        </w:rPr>
      </w:pPr>
      <w:r>
        <w:rPr>
          <w:rFonts w:ascii="Times New Roman" w:hAnsi="Times New Roman"/>
          <w:sz w:val="24"/>
          <w:szCs w:val="24"/>
        </w:rPr>
        <w:t>Here, the Court finds that Respondents' decision was not arbitrary and capricious and that there was a rational basis to support its determination. Although Petitioner points to other decisions regarding the use of "form" denials of religious accommodation requests by the FDNY, in this instance, Petitioner's application does not set forth a request for accommodation based on his religious beliefs but rather states his personal preferences regarding the vaccine….”</w:t>
      </w:r>
    </w:p>
    <w:p w14:paraId="06FE6A7C" w14:textId="77777777" w:rsidR="00D66BAA" w:rsidRDefault="00D66BAA" w:rsidP="00D66BAA">
      <w:pPr>
        <w:spacing w:after="100" w:line="240" w:lineRule="auto"/>
        <w:ind w:left="720"/>
        <w:rPr>
          <w:rFonts w:ascii="Times New Roman" w:hAnsi="Times New Roman"/>
          <w:sz w:val="24"/>
          <w:szCs w:val="24"/>
        </w:rPr>
      </w:pPr>
    </w:p>
    <w:p w14:paraId="6947DDC7" w14:textId="77777777" w:rsidR="00D66BAA" w:rsidRDefault="00D66BAA" w:rsidP="00D66BAA">
      <w:pPr>
        <w:spacing w:after="100" w:line="240" w:lineRule="auto"/>
        <w:rPr>
          <w:rFonts w:ascii="Times New Roman" w:eastAsia="Times New Roman" w:hAnsi="Times New Roman"/>
          <w:b/>
          <w:bCs/>
          <w:sz w:val="24"/>
          <w:szCs w:val="24"/>
        </w:rPr>
      </w:pPr>
      <w:r>
        <w:rPr>
          <w:rFonts w:ascii="Times New Roman" w:hAnsi="Times New Roman"/>
          <w:b/>
          <w:bCs/>
          <w:sz w:val="24"/>
          <w:szCs w:val="24"/>
        </w:rPr>
        <w:t xml:space="preserve">Legal Lesson Learned: The firefighter failed to show a basis for religious accommodation. </w:t>
      </w:r>
    </w:p>
    <w:p w14:paraId="0514071E" w14:textId="77777777" w:rsidR="00D66BAA" w:rsidRDefault="00D66BAA" w:rsidP="00D66BAA">
      <w:pPr>
        <w:pStyle w:val="NormalWeb"/>
        <w:ind w:left="720"/>
      </w:pPr>
    </w:p>
    <w:p w14:paraId="50538853" w14:textId="61ED40EC" w:rsidR="00D66BAA" w:rsidRDefault="00D66BAA" w:rsidP="002B1283">
      <w:pPr>
        <w:rPr>
          <w:rFonts w:ascii="Arial Black" w:hAnsi="Arial Black"/>
          <w:b/>
          <w:bCs/>
          <w:sz w:val="28"/>
          <w:szCs w:val="28"/>
        </w:rPr>
      </w:pPr>
      <w:r>
        <w:rPr>
          <w:rFonts w:ascii="Arial Black" w:hAnsi="Arial Black"/>
          <w:b/>
          <w:bCs/>
          <w:sz w:val="28"/>
          <w:szCs w:val="28"/>
        </w:rPr>
        <w:t>13-138</w:t>
      </w:r>
    </w:p>
    <w:p w14:paraId="00C36EE7" w14:textId="77777777" w:rsidR="00D66BAA" w:rsidRDefault="00D66BAA" w:rsidP="00D66BAA">
      <w:pPr>
        <w:pStyle w:val="NormalWeb"/>
        <w:rPr>
          <w:rFonts w:ascii="Arial Black" w:hAnsi="Arial Black"/>
          <w:sz w:val="28"/>
          <w:szCs w:val="28"/>
        </w:rPr>
      </w:pPr>
      <w:r>
        <w:rPr>
          <w:rFonts w:ascii="Arial Black" w:hAnsi="Arial Black"/>
          <w:sz w:val="28"/>
          <w:szCs w:val="28"/>
        </w:rPr>
        <w:t xml:space="preserve">NY: HOSP. BASED EMT PUNCHED MENTAL PT – FF HOLDING PATIENT FELL &amp; INJURED - CAN’T SUE HOSPITAL </w:t>
      </w:r>
    </w:p>
    <w:p w14:paraId="648241C6" w14:textId="77777777" w:rsidR="00D66BAA" w:rsidRDefault="00D66BAA" w:rsidP="00D66BAA">
      <w:pPr>
        <w:pStyle w:val="NormalWeb"/>
      </w:pPr>
      <w:r>
        <w:t>On March 23, 2023</w:t>
      </w:r>
      <w:proofErr w:type="gramStart"/>
      <w:r>
        <w:t>, in</w:t>
      </w:r>
      <w:proofErr w:type="gramEnd"/>
      <w:r>
        <w:t xml:space="preserve"> </w:t>
      </w:r>
      <w:r>
        <w:rPr>
          <w:u w:val="single"/>
        </w:rPr>
        <w:t>Michael McGovern and Laura McGovern v. The St. Luke’s-Roosevelt Hospital, et al</w:t>
      </w:r>
      <w:r>
        <w:t xml:space="preserve">., Justice Lyle E. Frank, Supreme Court, New York County (unpublished decision), granted the hospital motion for summary judgment.  Fire &amp; EMS responded for unconscious person; EMT gave sternum rub and patient became agitated and aggressive (“emotionally disturbed person”).  Video shows an EMT throwing a punch at the patient, as the firefighter was restraining the patient and both the firefighter and patient fell to the ground. </w:t>
      </w:r>
    </w:p>
    <w:p w14:paraId="7422348F" w14:textId="77777777" w:rsidR="00D66BAA" w:rsidRDefault="00D66BAA" w:rsidP="00D66BAA">
      <w:pPr>
        <w:pStyle w:val="NormalWeb"/>
        <w:ind w:left="720" w:firstLine="60"/>
      </w:pPr>
      <w:r>
        <w:t xml:space="preserve">“The Court finds that whether the non-party EMT was in fact negligent in failing to follow the proper protocols, that conduct was not the proximate cause of plaintiff's injuries. The Court finds the non-party EMT's conduct to be intentional, therefore not in the purview of negligence…. The law is well established that there cannot be vicarious liability for the intentional tort of an employee when the underlying act is outside of the scope of employment….”  </w:t>
      </w:r>
      <w:hyperlink r:id="rId2207" w:history="1">
        <w:r>
          <w:rPr>
            <w:rStyle w:val="Hyperlink"/>
          </w:rPr>
          <w:t>https://public.fastcase.com/J%2FJP6pdidelsXxEE4k%2BLMjJGU1N13mSM0FXq6MPMgI9LSFCmdWs1UmdxMrMk65JbGuZGkm2byIyaUDFttOOFNnpFfmnrOgyejNkkQ3Wd5bI%3D?utm_medium=email&amp;_hsmi=226712652&amp;_hsenc=p2ANqtz--0Qd6DUvdEJ2RTs9adtgmCzU05IEXqUBeE6HSsIcsSfVoNrdaOOcnlphoE_fH7sdYgnejI_LAktN6WZtOuiqSz8dg1eg&amp;utm_content=226712652&amp;utm_source=hs_email</w:t>
        </w:r>
      </w:hyperlink>
      <w:r>
        <w:t xml:space="preserve"> </w:t>
      </w:r>
    </w:p>
    <w:p w14:paraId="5F474B8E" w14:textId="77777777" w:rsidR="00D66BAA" w:rsidRDefault="00D66BAA" w:rsidP="00D66BAA">
      <w:pPr>
        <w:pStyle w:val="NormalWeb"/>
        <w:ind w:left="720"/>
      </w:pPr>
      <w:r>
        <w:t>“[T]here are two videos of the incident that have been provided by the parties and reviewed by the Court. Both are extremely short in duration, but both clearly show one of the EMT's shoving the non-party patient, the plaintiff retraining the [patient],  the same EMT throwing a punch in the direction of the … patient and the plaintiff, causing the plaintiff and the … patient to fall to the ground.</w:t>
      </w:r>
    </w:p>
    <w:p w14:paraId="4D2A7F4C" w14:textId="77777777" w:rsidR="00D66BAA" w:rsidRDefault="00D66BAA" w:rsidP="00D66BAA">
      <w:pPr>
        <w:pStyle w:val="NormalWeb"/>
        <w:ind w:left="720"/>
      </w:pPr>
      <w:r>
        <w:t>***</w:t>
      </w:r>
    </w:p>
    <w:p w14:paraId="726251FC" w14:textId="77777777" w:rsidR="00D66BAA" w:rsidRDefault="00D66BAA" w:rsidP="00D66BAA">
      <w:pPr>
        <w:pStyle w:val="NormalWeb"/>
        <w:ind w:left="720"/>
      </w:pPr>
      <w:r>
        <w:t xml:space="preserve">The crux of plaintiff’s position is that defendants' employees were negligent in following protocol by not creating a safe zone and not calling the police, with these failures causing plaintiff to intervene in a physical altercation between the non-party patient and the [EMT]. However, the Court finds that, </w:t>
      </w:r>
      <w:r>
        <w:lastRenderedPageBreak/>
        <w:t xml:space="preserve">consistent with the defendants' position, the ensuing physical altercation and the intervention by plaintiff does not impute vicarious liability onto the defendants. </w:t>
      </w:r>
    </w:p>
    <w:p w14:paraId="40F02669" w14:textId="77777777" w:rsidR="00D66BAA" w:rsidRDefault="00D66BAA" w:rsidP="00D66BAA">
      <w:pPr>
        <w:pStyle w:val="NormalWeb"/>
        <w:ind w:left="720"/>
      </w:pPr>
      <w:r>
        <w:t xml:space="preserve">The Court finds that whether the [paramedic] was in fact negligent in failing to follow the proper protocols, that conduct was not the proximate cause of plaintiff's injuries. The Court finds the non-party EMT's conduct to be intentional, therefore not in the purview of </w:t>
      </w:r>
      <w:proofErr w:type="gramStart"/>
      <w:r>
        <w:t>negligence.”</w:t>
      </w:r>
      <w:proofErr w:type="gramEnd"/>
    </w:p>
    <w:p w14:paraId="57FE5958" w14:textId="77777777" w:rsidR="00D66BAA" w:rsidRDefault="00D66BAA" w:rsidP="00D66BAA">
      <w:pPr>
        <w:pStyle w:val="NormalWeb"/>
        <w:rPr>
          <w:b/>
          <w:bCs/>
        </w:rPr>
      </w:pPr>
      <w:r>
        <w:rPr>
          <w:b/>
          <w:bCs/>
        </w:rPr>
        <w:t xml:space="preserve">Legal Lesson Learned: Hospital employer not liable for intentional misconduct of their EMT.  Also, don’t throw punches at patients; can hurt </w:t>
      </w:r>
      <w:proofErr w:type="gramStart"/>
      <w:r>
        <w:rPr>
          <w:b/>
          <w:bCs/>
        </w:rPr>
        <w:t>patient</w:t>
      </w:r>
      <w:proofErr w:type="gramEnd"/>
      <w:r>
        <w:rPr>
          <w:b/>
          <w:bCs/>
        </w:rPr>
        <w:t xml:space="preserve"> and those trying to restrain the patient. </w:t>
      </w:r>
    </w:p>
    <w:p w14:paraId="53B65E95" w14:textId="77777777" w:rsidR="00D66BAA" w:rsidRDefault="00D66BAA" w:rsidP="00D66BAA">
      <w:pPr>
        <w:pStyle w:val="NormalWeb"/>
      </w:pPr>
    </w:p>
    <w:p w14:paraId="6C9D27C2" w14:textId="77777777" w:rsidR="00D66BAA" w:rsidRPr="00832745" w:rsidRDefault="00D66BAA" w:rsidP="002B1283">
      <w:pPr>
        <w:rPr>
          <w:rFonts w:ascii="Times New Roman" w:hAnsi="Times New Roman"/>
          <w:b/>
          <w:bCs/>
          <w:sz w:val="24"/>
          <w:szCs w:val="24"/>
        </w:rPr>
      </w:pPr>
    </w:p>
    <w:p w14:paraId="2B8AC223" w14:textId="124545D9" w:rsidR="00F55395" w:rsidRDefault="00F55395" w:rsidP="002B1283">
      <w:pPr>
        <w:rPr>
          <w:rFonts w:ascii="Arial Black" w:hAnsi="Arial Black"/>
          <w:b/>
          <w:bCs/>
          <w:sz w:val="28"/>
          <w:szCs w:val="28"/>
        </w:rPr>
      </w:pPr>
      <w:r>
        <w:rPr>
          <w:rFonts w:ascii="Arial Black" w:hAnsi="Arial Black"/>
          <w:b/>
          <w:bCs/>
          <w:sz w:val="28"/>
          <w:szCs w:val="28"/>
        </w:rPr>
        <w:t>13-137</w:t>
      </w:r>
    </w:p>
    <w:p w14:paraId="1901D9F0" w14:textId="77777777" w:rsidR="00F55395" w:rsidRDefault="00F55395" w:rsidP="00F55395">
      <w:pPr>
        <w:pStyle w:val="NormalWeb"/>
        <w:rPr>
          <w:b/>
          <w:bCs/>
        </w:rPr>
      </w:pPr>
      <w:r>
        <w:rPr>
          <w:rFonts w:ascii="Arial Black" w:hAnsi="Arial Black"/>
          <w:b/>
          <w:bCs/>
          <w:sz w:val="28"/>
          <w:szCs w:val="28"/>
        </w:rPr>
        <w:t xml:space="preserve">MS: EMS WORKED GUN SHOT PATIENT AT SCENE 16 MIN –– PLAINTIFF’S MD NOT QUALIFIED AS “EXPERT” IN EMS </w:t>
      </w:r>
    </w:p>
    <w:p w14:paraId="77129025" w14:textId="77777777" w:rsidR="00F55395" w:rsidRDefault="00F55395" w:rsidP="00F55395">
      <w:pPr>
        <w:pStyle w:val="NormalWeb"/>
      </w:pPr>
      <w:r>
        <w:t xml:space="preserve">On March 9, 2023, </w:t>
      </w:r>
      <w:r w:rsidRPr="00470CD5">
        <w:rPr>
          <w:u w:val="single"/>
        </w:rPr>
        <w:t xml:space="preserve">in Marcus Walker, on behalf of beneficiaries of </w:t>
      </w:r>
      <w:proofErr w:type="spellStart"/>
      <w:r w:rsidRPr="00470CD5">
        <w:rPr>
          <w:u w:val="single"/>
        </w:rPr>
        <w:t>De’Aubrey</w:t>
      </w:r>
      <w:proofErr w:type="spellEnd"/>
      <w:r w:rsidRPr="00470CD5">
        <w:rPr>
          <w:u w:val="single"/>
        </w:rPr>
        <w:t xml:space="preserve"> </w:t>
      </w:r>
      <w:proofErr w:type="spellStart"/>
      <w:r w:rsidRPr="00470CD5">
        <w:rPr>
          <w:u w:val="single"/>
        </w:rPr>
        <w:t>Rajheem</w:t>
      </w:r>
      <w:proofErr w:type="spellEnd"/>
      <w:r w:rsidRPr="00470CD5">
        <w:rPr>
          <w:u w:val="single"/>
        </w:rPr>
        <w:t xml:space="preserve"> Roscoe, Deceased v. Jonathan </w:t>
      </w:r>
      <w:proofErr w:type="spellStart"/>
      <w:r w:rsidRPr="00470CD5">
        <w:rPr>
          <w:u w:val="single"/>
        </w:rPr>
        <w:t>Upp</w:t>
      </w:r>
      <w:proofErr w:type="spellEnd"/>
      <w:r w:rsidRPr="00470CD5">
        <w:rPr>
          <w:u w:val="single"/>
        </w:rPr>
        <w:t xml:space="preserve">, </w:t>
      </w:r>
      <w:proofErr w:type="spellStart"/>
      <w:r w:rsidRPr="00470CD5">
        <w:rPr>
          <w:u w:val="single"/>
        </w:rPr>
        <w:t>Medstat</w:t>
      </w:r>
      <w:proofErr w:type="spellEnd"/>
      <w:r w:rsidRPr="00470CD5">
        <w:rPr>
          <w:u w:val="single"/>
        </w:rPr>
        <w:t xml:space="preserve"> EMS, et al</w:t>
      </w:r>
      <w:r>
        <w:t xml:space="preserve">., the U.S. Court of Appeals for Fifth Circuit (New Orleans) held (2 to 0), unpublished decision, that the trial court judge properly found the plaintiff’s expert witness unqualified because he had no experience in emergency medicine.  Court of Appeals held: “As the district court noted, however, Dr. McNair conceded in his deposition ‘that the standard of care for pulmonology and internal medicine-the disciplines in which he does possess specialized knowledge, experience, and training-is different from the standard of care for paramedicine.’ At the same time, Dr. McNair unequivocally stated that he had no experience or education in paramedicine. Additionally, he failed to cite to any literature or published works pertaining to paramedicine that he might have relied on in formulating his opinions….  We conclude that the district court did not abuse its discretion in determining that Dr. McNair was not qualified by his ‘knowledge, skill, experience, training, or education’ to testify as an expert in this case. </w:t>
      </w:r>
      <w:hyperlink r:id="rId2208" w:history="1">
        <w:r w:rsidRPr="00317BE5">
          <w:rPr>
            <w:rStyle w:val="Hyperlink"/>
            <w:rFonts w:eastAsiaTheme="majorEastAsia"/>
          </w:rPr>
          <w:t>http://www.ca5.uscourts.gov/opinions/unpub/22/22-60374.0.pdf</w:t>
        </w:r>
      </w:hyperlink>
      <w:r>
        <w:t xml:space="preserve"> </w:t>
      </w:r>
    </w:p>
    <w:p w14:paraId="1E30D1FB" w14:textId="77777777" w:rsidR="00F55395" w:rsidRDefault="00F55395" w:rsidP="00F55395">
      <w:pPr>
        <w:pStyle w:val="NormalWeb"/>
        <w:ind w:left="720"/>
      </w:pPr>
      <w:r>
        <w:t>“After local law enforcement officers</w:t>
      </w:r>
      <w:r>
        <w:rPr>
          <w:vertAlign w:val="superscript"/>
        </w:rPr>
        <w:t xml:space="preserve"> </w:t>
      </w:r>
      <w:r>
        <w:t xml:space="preserve">secured the scene, the </w:t>
      </w:r>
      <w:proofErr w:type="spellStart"/>
      <w:r>
        <w:t>MedStat</w:t>
      </w:r>
      <w:proofErr w:type="spellEnd"/>
      <w:r>
        <w:t xml:space="preserve"> crew </w:t>
      </w:r>
      <w:proofErr w:type="gramStart"/>
      <w:r>
        <w:t>made contact with</w:t>
      </w:r>
      <w:proofErr w:type="gramEnd"/>
      <w:r>
        <w:t xml:space="preserve"> Roscoe between 8:12 P.M. and 8:16 P.M. They found him lying in the yard of his girlfriend's house, awake, alert, and oriented, with no active bleeding. [Paramedic Jonathan] </w:t>
      </w:r>
      <w:proofErr w:type="spellStart"/>
      <w:r>
        <w:t>Upp</w:t>
      </w:r>
      <w:proofErr w:type="spellEnd"/>
      <w:r>
        <w:t xml:space="preserve"> noted a gunshot wound to the right side of Roscoe's back near the axillary space and two wounds to the posterior of his right upper arm. At 8:20 P.M., Roscoe was in the ambulance. </w:t>
      </w:r>
      <w:proofErr w:type="spellStart"/>
      <w:r>
        <w:t>Upp</w:t>
      </w:r>
      <w:proofErr w:type="spellEnd"/>
      <w:r>
        <w:t xml:space="preserve"> administered oxygen via a non-rebreather mask and then attempted unsuccessfully to gain vascular access. He next attempted to gain peripheral access via an intraosseous device, but both attempts failed because the catheters bent.  </w:t>
      </w:r>
      <w:proofErr w:type="spellStart"/>
      <w:r>
        <w:t>Upp</w:t>
      </w:r>
      <w:proofErr w:type="spellEnd"/>
      <w:r>
        <w:t xml:space="preserve"> then observed that Roscoe was becoming short of breath and that the right side of his chest was moving less than the left. He suspected that air present in Roscoe's chest cavity was putting pressure on his lung. </w:t>
      </w:r>
      <w:proofErr w:type="spellStart"/>
      <w:r>
        <w:t>Upp</w:t>
      </w:r>
      <w:proofErr w:type="spellEnd"/>
      <w:r>
        <w:t xml:space="preserve"> successfully performed a needle decompression which allowed the air to escape the chest cavity. But then at 8:24 P.M., </w:t>
      </w:r>
      <w:proofErr w:type="spellStart"/>
      <w:r>
        <w:t>Upp</w:t>
      </w:r>
      <w:proofErr w:type="spellEnd"/>
      <w:r>
        <w:t xml:space="preserve"> noted that Roscoe was in respiratory distress and attempted to intubate </w:t>
      </w:r>
      <w:proofErr w:type="gramStart"/>
      <w:r>
        <w:t>him, but</w:t>
      </w:r>
      <w:proofErr w:type="gramEnd"/>
      <w:r>
        <w:t xml:space="preserve"> could not because Roscoe had lockjaw. After </w:t>
      </w:r>
      <w:proofErr w:type="spellStart"/>
      <w:r>
        <w:t>Upp</w:t>
      </w:r>
      <w:proofErr w:type="spellEnd"/>
      <w:r>
        <w:t xml:space="preserve"> and Walda administered medical care to Roscoe at the scene for approximately sixteen minutes, they began transporting him to the hospital at 8:27 P.M. and arrived four minutes later at 8:31 P.M. Roscoe was pronounced dead twenty-five minutes later at 8:56 P.M. The hospital listed Roscoe's cause of death as cardiac arrest due to gunshot wounds.”</w:t>
      </w:r>
    </w:p>
    <w:p w14:paraId="51F44B72" w14:textId="77777777" w:rsidR="00F55395" w:rsidRPr="00FC6E96" w:rsidRDefault="00F55395" w:rsidP="00F55395">
      <w:pPr>
        <w:pStyle w:val="NormalWeb"/>
        <w:rPr>
          <w:b/>
          <w:bCs/>
        </w:rPr>
      </w:pPr>
      <w:r w:rsidRPr="00FC6E96">
        <w:rPr>
          <w:b/>
          <w:bCs/>
        </w:rPr>
        <w:t>Legal Lesson Learned:</w:t>
      </w:r>
      <w:r>
        <w:rPr>
          <w:b/>
          <w:bCs/>
        </w:rPr>
        <w:t xml:space="preserve"> An “expert witness” must have experience directly related to skills required of paramedics.</w:t>
      </w:r>
    </w:p>
    <w:p w14:paraId="23FF3646" w14:textId="77777777" w:rsidR="00F55395" w:rsidRDefault="00F55395" w:rsidP="00F55395">
      <w:pPr>
        <w:pStyle w:val="NormalWeb"/>
      </w:pPr>
    </w:p>
    <w:p w14:paraId="1A8C7219" w14:textId="701DD993" w:rsidR="00F55395" w:rsidRDefault="00F55395" w:rsidP="002B1283">
      <w:pPr>
        <w:rPr>
          <w:rFonts w:ascii="Arial Black" w:hAnsi="Arial Black"/>
          <w:b/>
          <w:bCs/>
          <w:sz w:val="28"/>
          <w:szCs w:val="28"/>
        </w:rPr>
      </w:pPr>
      <w:r>
        <w:rPr>
          <w:rFonts w:ascii="Arial Black" w:hAnsi="Arial Black"/>
          <w:b/>
          <w:bCs/>
          <w:sz w:val="28"/>
          <w:szCs w:val="28"/>
        </w:rPr>
        <w:t>13-136</w:t>
      </w:r>
    </w:p>
    <w:p w14:paraId="214CBAE7" w14:textId="77777777" w:rsidR="00F55395" w:rsidRPr="00024F5F" w:rsidRDefault="00F55395" w:rsidP="00F55395">
      <w:pPr>
        <w:pStyle w:val="NormalWeb"/>
        <w:rPr>
          <w:rFonts w:ascii="Arial Black" w:hAnsi="Arial Black"/>
          <w:b/>
          <w:bCs/>
          <w:sz w:val="28"/>
          <w:szCs w:val="28"/>
        </w:rPr>
      </w:pPr>
      <w:r>
        <w:rPr>
          <w:rFonts w:ascii="Arial Black" w:hAnsi="Arial Black"/>
          <w:b/>
          <w:bCs/>
          <w:sz w:val="28"/>
          <w:szCs w:val="28"/>
        </w:rPr>
        <w:t xml:space="preserve">WV: PIPELINE EMPLOYEE BROKE ANKLE – CAN’T SUE CO. EMT OR CO. FOR NOT PROMPTLY CALLING AMBULANCE </w:t>
      </w:r>
    </w:p>
    <w:p w14:paraId="17AAF7DA" w14:textId="77777777" w:rsidR="00F55395" w:rsidRDefault="00F55395" w:rsidP="00F55395">
      <w:pPr>
        <w:pStyle w:val="NormalWeb"/>
        <w:rPr>
          <w:b/>
          <w:bCs/>
        </w:rPr>
      </w:pPr>
      <w:r>
        <w:t xml:space="preserve">On March 6, 2023, in </w:t>
      </w:r>
      <w:r w:rsidRPr="00024F5F">
        <w:rPr>
          <w:u w:val="single"/>
        </w:rPr>
        <w:t>Precision Pipeline, LLC, et al. v. Mark Weese</w:t>
      </w:r>
      <w:r>
        <w:t xml:space="preserve">, the Supreme Court of Appeals of West Virginia held (5 to 0) that a pipeline work, who suffered a broken ankle and a torn Achilles tendon, and received workers comp coverage, cannot sue the company or the company’s EMT, even if he was not taken directly to a hospital.  The Court reversed the trial court judge that had denied the employer and EMT’s motion to dismiss. Court held:  “Though respondent claims that Precision's negligence in hiring, retaining, and supervising Petitioner Vanessa Stromberg as an EMT is not the type of employer negligence contemplated by our workers' compensation law such that immunity should bar his claim, he cites to no supporting legal authority for this proposition and, indeed, ignores the clear and unambiguous language of West Virginia Code § 23-2-6, which dictates that immunity does apply to respondent's claim. *** As such, Stromberg and her fellow employees are immune from suit.” </w:t>
      </w:r>
      <w:hyperlink r:id="rId2209" w:history="1">
        <w:r w:rsidRPr="00764765">
          <w:rPr>
            <w:rStyle w:val="Hyperlink"/>
            <w:rFonts w:eastAsiaTheme="majorEastAsia"/>
          </w:rPr>
          <w:t>https://law.justia.com/cases/west-virginia/supreme-court/2023/21-0841.html</w:t>
        </w:r>
      </w:hyperlink>
      <w:r>
        <w:t xml:space="preserve"> </w:t>
      </w:r>
    </w:p>
    <w:p w14:paraId="14F3280F" w14:textId="77777777" w:rsidR="00F55395" w:rsidRDefault="00F55395" w:rsidP="00F55395">
      <w:pPr>
        <w:pStyle w:val="NormalWeb"/>
        <w:ind w:left="720"/>
      </w:pPr>
      <w:r>
        <w:t xml:space="preserve">“Respondent was employed by Precision at a pipeline construction project in Marshall County on April 12, 2019, when he severely injured his left leg while dragging a fuel hose. Witnesses to respondent's injury called for assistance and Petitioner Vanessa Stromberg, the site Emergency Medical Technician (EMT) and a Precision employee, responded. Respondent alleges that, despite her title, Ms. Stromberg is not a licensed EMT; that she ‘provided no actual medical assistance or intervention on </w:t>
      </w:r>
      <w:proofErr w:type="gramStart"/>
      <w:r>
        <w:t>site;’</w:t>
      </w:r>
      <w:proofErr w:type="gramEnd"/>
      <w:r>
        <w:t xml:space="preserve"> and that ‘no ambulance or outside medical assistance’ was summoned. According to </w:t>
      </w:r>
      <w:proofErr w:type="gramStart"/>
      <w:r>
        <w:t>respondent, ‘</w:t>
      </w:r>
      <w:proofErr w:type="gramEnd"/>
      <w:r>
        <w:t xml:space="preserve">worksite directives, plans to address injuries, public policy to treat medical emergencies, and West Virginia Code § 21-3-1’ required that </w:t>
      </w:r>
      <w:proofErr w:type="gramStart"/>
      <w:r>
        <w:t>respondent ‘</w:t>
      </w:r>
      <w:proofErr w:type="gramEnd"/>
      <w:r>
        <w:t xml:space="preserve">be taken to the nearest medical facility for immediate care.’ Although respondent was placed ‘into a pickup truck for transportation to a medical facility,’ he was taken, instead, to Precision's ‘yard’ or ‘office’ located in </w:t>
      </w:r>
      <w:proofErr w:type="spellStart"/>
      <w:r>
        <w:t>McMechen</w:t>
      </w:r>
      <w:proofErr w:type="spellEnd"/>
      <w:r>
        <w:t xml:space="preserve">, West Virginia, where he was transferred to another vehicle driven by a Precision employee and ultimately transported to a MedExpress urgent care </w:t>
      </w:r>
      <w:proofErr w:type="gramStart"/>
      <w:r>
        <w:t>facility.”</w:t>
      </w:r>
      <w:proofErr w:type="gramEnd"/>
    </w:p>
    <w:p w14:paraId="4F549453" w14:textId="77777777" w:rsidR="00F55395" w:rsidRPr="00935A96" w:rsidRDefault="00F55395" w:rsidP="00F55395">
      <w:pPr>
        <w:pStyle w:val="NormalWeb"/>
        <w:rPr>
          <w:b/>
          <w:bCs/>
        </w:rPr>
      </w:pPr>
      <w:r w:rsidRPr="00935A96">
        <w:rPr>
          <w:b/>
          <w:bCs/>
        </w:rPr>
        <w:t xml:space="preserve">Legal Lesson Learned: </w:t>
      </w:r>
      <w:proofErr w:type="gramStart"/>
      <w:r>
        <w:rPr>
          <w:b/>
          <w:bCs/>
        </w:rPr>
        <w:t>Workers</w:t>
      </w:r>
      <w:proofErr w:type="gramEnd"/>
      <w:r>
        <w:rPr>
          <w:b/>
          <w:bCs/>
        </w:rPr>
        <w:t xml:space="preserve"> comp is sole remedy for injured employee in most jurisdictions, unless prove an “intentional tort.” </w:t>
      </w:r>
    </w:p>
    <w:p w14:paraId="7ACB1BED" w14:textId="77777777" w:rsidR="00F55395" w:rsidRDefault="00F55395" w:rsidP="00F55395">
      <w:pPr>
        <w:pStyle w:val="NormalWeb"/>
        <w:ind w:left="720"/>
      </w:pPr>
      <w:r w:rsidRPr="00D23010">
        <w:t>Note: In Ohio, for example</w:t>
      </w:r>
      <w:r>
        <w:t>, Ohio Revised Code 2745.01 provides.</w:t>
      </w:r>
      <w:r w:rsidRPr="00D23010">
        <w:t xml:space="preserve"> </w:t>
      </w:r>
      <w:hyperlink r:id="rId2210" w:history="1">
        <w:r w:rsidRPr="00764765">
          <w:rPr>
            <w:rStyle w:val="Hyperlink"/>
            <w:rFonts w:eastAsiaTheme="majorEastAsia"/>
          </w:rPr>
          <w:t>https://codes.ohio.gov/ohio-revised-code/section-2745.01</w:t>
        </w:r>
      </w:hyperlink>
      <w:r>
        <w:t xml:space="preserve"> </w:t>
      </w:r>
    </w:p>
    <w:p w14:paraId="5CFB42E4" w14:textId="77777777" w:rsidR="00F55395" w:rsidRPr="00D23010" w:rsidRDefault="00F55395" w:rsidP="00F55395">
      <w:pPr>
        <w:pStyle w:val="NormalWeb"/>
        <w:ind w:left="720"/>
      </w:pPr>
      <w:r>
        <w:t>“</w:t>
      </w:r>
      <w:r w:rsidRPr="00D23010">
        <w:t>(A) In an action brought against an employer by an employee, or by the dependent survivors of a deceased employee, for damages resulting from an intentional tort committed by the employer during the course of employment, the employer shall not be liable unless the plaintiff proves that the employer committed the tortious act with the intent to injure another or with the belief that the injury was substantially certain to occur.</w:t>
      </w:r>
      <w:r>
        <w:t xml:space="preserve">” </w:t>
      </w:r>
    </w:p>
    <w:p w14:paraId="4430DAF5" w14:textId="77777777" w:rsidR="00F55395" w:rsidRDefault="00F55395" w:rsidP="002B1283">
      <w:pPr>
        <w:rPr>
          <w:rFonts w:ascii="Arial Black" w:hAnsi="Arial Black"/>
          <w:b/>
          <w:bCs/>
          <w:sz w:val="28"/>
          <w:szCs w:val="28"/>
        </w:rPr>
      </w:pPr>
    </w:p>
    <w:p w14:paraId="7B85F064" w14:textId="77777777" w:rsidR="00F55395" w:rsidRDefault="00F55395" w:rsidP="002B1283">
      <w:pPr>
        <w:rPr>
          <w:rFonts w:ascii="Arial Black" w:hAnsi="Arial Black"/>
          <w:b/>
          <w:bCs/>
          <w:sz w:val="28"/>
          <w:szCs w:val="28"/>
        </w:rPr>
      </w:pPr>
    </w:p>
    <w:p w14:paraId="353197B3" w14:textId="05467868" w:rsidR="008A4533" w:rsidRDefault="008A4533" w:rsidP="002B1283">
      <w:pPr>
        <w:rPr>
          <w:rFonts w:ascii="Arial Black" w:hAnsi="Arial Black"/>
          <w:b/>
          <w:bCs/>
          <w:sz w:val="28"/>
          <w:szCs w:val="28"/>
        </w:rPr>
      </w:pPr>
      <w:r>
        <w:rPr>
          <w:rFonts w:ascii="Arial Black" w:hAnsi="Arial Black"/>
          <w:b/>
          <w:bCs/>
          <w:sz w:val="28"/>
          <w:szCs w:val="28"/>
        </w:rPr>
        <w:t>13-13</w:t>
      </w:r>
      <w:r w:rsidR="005C3F7B">
        <w:rPr>
          <w:rFonts w:ascii="Arial Black" w:hAnsi="Arial Black"/>
          <w:b/>
          <w:bCs/>
          <w:sz w:val="28"/>
          <w:szCs w:val="28"/>
        </w:rPr>
        <w:t>5</w:t>
      </w:r>
    </w:p>
    <w:p w14:paraId="0C66003A" w14:textId="77777777" w:rsidR="008A4533" w:rsidRDefault="008A4533" w:rsidP="008A4533">
      <w:pPr>
        <w:pStyle w:val="NormalWeb"/>
        <w:rPr>
          <w:rFonts w:ascii="Arial Black" w:hAnsi="Arial Black"/>
          <w:sz w:val="28"/>
          <w:szCs w:val="28"/>
        </w:rPr>
      </w:pPr>
      <w:r>
        <w:rPr>
          <w:rFonts w:ascii="Arial Black" w:hAnsi="Arial Black"/>
          <w:sz w:val="28"/>
          <w:szCs w:val="28"/>
        </w:rPr>
        <w:lastRenderedPageBreak/>
        <w:t>WA: FD WENT WRONG ADDRESS – 16 MIN. DELAY, BRAIN INJURY– CITY NO “PUBLIC DUTY DOCTRINE” IMMUNITY</w:t>
      </w:r>
    </w:p>
    <w:p w14:paraId="40236572" w14:textId="77777777" w:rsidR="008A4533" w:rsidRDefault="008A4533" w:rsidP="008A4533">
      <w:pPr>
        <w:pStyle w:val="NormalWeb"/>
      </w:pPr>
      <w:r>
        <w:t xml:space="preserve">On Jan. 12, 2023, in </w:t>
      </w:r>
      <w:r w:rsidRPr="00031673">
        <w:rPr>
          <w:u w:val="single"/>
        </w:rPr>
        <w:t>Delaura Norg, as Litigation Guardian ad Litem for her husband, Fred B. Norg v. City of Seattle</w:t>
      </w:r>
      <w:r>
        <w:t xml:space="preserve">, the Supreme Court of Washington, held (5 to 4; </w:t>
      </w:r>
      <w:proofErr w:type="spellStart"/>
      <w:r>
        <w:t>en</w:t>
      </w:r>
      <w:proofErr w:type="spellEnd"/>
      <w:r>
        <w:t xml:space="preserve"> banc – all the Justices) that the City does not have immunity under the “public duty doctrine” because the City had an “individualized, actionable duty of reasonable care when it undertook to respond to their 911 call.” On Feb. 7, 2017, Mrs. Norg called 911 at 4:42 am and reported husband was making loud sounds, and eyes were wide open and glassy.  Dispatch notified Seattle FD and units went in serve at 4:44 from one station, and 4:46 at another – but mistakenly went to a nursing home near the Norg residence.  They ultimately arrived at correct address 16 minutes after the initial call to 911. Fred Norg was transported to the hospital, where he was diagnosed with a heart attack. He survived but allegedly suffered "severe and permanent injuries," including brain damage due to a lack of oxygen, resulting in "cognitive deficits and impaired vision, balance[,] and ambulation.” The Court held: “</w:t>
      </w:r>
      <w:r>
        <w:rPr>
          <w:rStyle w:val="markedcontent"/>
          <w:rFonts w:eastAsiaTheme="majorEastAsia"/>
        </w:rPr>
        <w:t xml:space="preserve">The </w:t>
      </w:r>
      <w:proofErr w:type="spellStart"/>
      <w:r>
        <w:rPr>
          <w:rStyle w:val="markedcontent"/>
          <w:rFonts w:eastAsiaTheme="majorEastAsia"/>
        </w:rPr>
        <w:t>Norgs</w:t>
      </w:r>
      <w:proofErr w:type="spellEnd"/>
      <w:r>
        <w:rPr>
          <w:rStyle w:val="markedcontent"/>
          <w:rFonts w:eastAsiaTheme="majorEastAsia"/>
        </w:rPr>
        <w:t xml:space="preserve"> have established that the City owed them an individualized, actionable duty of reasonable care when it undertook to respond to their 911 call. The </w:t>
      </w:r>
      <w:proofErr w:type="spellStart"/>
      <w:r>
        <w:rPr>
          <w:rStyle w:val="markedcontent"/>
          <w:rFonts w:eastAsiaTheme="majorEastAsia"/>
        </w:rPr>
        <w:t>Norgs</w:t>
      </w:r>
      <w:proofErr w:type="spellEnd"/>
      <w:r>
        <w:rPr>
          <w:rStyle w:val="markedcontent"/>
          <w:rFonts w:eastAsiaTheme="majorEastAsia"/>
        </w:rPr>
        <w:t>’ negligence claim is based solely on the City’s alleged breach of this</w:t>
      </w:r>
      <w:r>
        <w:br/>
      </w:r>
      <w:r>
        <w:rPr>
          <w:rStyle w:val="markedcontent"/>
          <w:rFonts w:eastAsiaTheme="majorEastAsia"/>
        </w:rPr>
        <w:t>common law duty. Therefore, although we express no opinion as to whether the</w:t>
      </w:r>
      <w:r>
        <w:br/>
      </w:r>
      <w:proofErr w:type="spellStart"/>
      <w:r>
        <w:rPr>
          <w:rStyle w:val="markedcontent"/>
          <w:rFonts w:eastAsiaTheme="majorEastAsia"/>
        </w:rPr>
        <w:t>Norgs</w:t>
      </w:r>
      <w:proofErr w:type="spellEnd"/>
      <w:r>
        <w:rPr>
          <w:rStyle w:val="markedcontent"/>
          <w:rFonts w:eastAsiaTheme="majorEastAsia"/>
        </w:rPr>
        <w:t xml:space="preserve"> </w:t>
      </w:r>
      <w:proofErr w:type="gramStart"/>
      <w:r>
        <w:rPr>
          <w:rStyle w:val="markedcontent"/>
          <w:rFonts w:eastAsiaTheme="majorEastAsia"/>
        </w:rPr>
        <w:t>will be ultimately be</w:t>
      </w:r>
      <w:proofErr w:type="gramEnd"/>
      <w:r>
        <w:rPr>
          <w:rStyle w:val="markedcontent"/>
          <w:rFonts w:eastAsiaTheme="majorEastAsia"/>
        </w:rPr>
        <w:t xml:space="preserve"> able to prevail on their claim, we hold that the public</w:t>
      </w:r>
      <w:r>
        <w:br/>
      </w:r>
      <w:r>
        <w:rPr>
          <w:rStyle w:val="markedcontent"/>
          <w:rFonts w:eastAsiaTheme="majorEastAsia"/>
        </w:rPr>
        <w:t>duty doctrine does not apply.”</w:t>
      </w:r>
      <w:r>
        <w:t xml:space="preserve"> </w:t>
      </w:r>
      <w:hyperlink r:id="rId2211" w:history="1">
        <w:r w:rsidRPr="00E03083">
          <w:rPr>
            <w:rStyle w:val="Hyperlink"/>
          </w:rPr>
          <w:t>https://www.courts.wa.gov/opinions/pdf/1001002.pdf</w:t>
        </w:r>
      </w:hyperlink>
      <w:r>
        <w:t xml:space="preserve"> </w:t>
      </w:r>
    </w:p>
    <w:p w14:paraId="28F79EFB" w14:textId="77777777" w:rsidR="008A4533" w:rsidRDefault="008A4533" w:rsidP="008A4533">
      <w:pPr>
        <w:pStyle w:val="NormalWeb"/>
        <w:ind w:left="720"/>
      </w:pPr>
      <w:r>
        <w:t xml:space="preserve">“As discussed above, to determine whether the public duty doctrine applies to this case, we must determine what duty the </w:t>
      </w:r>
      <w:proofErr w:type="gramStart"/>
      <w:r>
        <w:t>City</w:t>
      </w:r>
      <w:proofErr w:type="gramEnd"/>
      <w:r>
        <w:t xml:space="preserve"> allegedly breached and whether that duty was owed to the </w:t>
      </w:r>
      <w:proofErr w:type="spellStart"/>
      <w:r>
        <w:t>Norgs</w:t>
      </w:r>
      <w:proofErr w:type="spellEnd"/>
      <w:r>
        <w:t xml:space="preserve"> individually or to the </w:t>
      </w:r>
      <w:proofErr w:type="gramStart"/>
      <w:r>
        <w:t>general public</w:t>
      </w:r>
      <w:proofErr w:type="gramEnd"/>
      <w:r>
        <w:t xml:space="preserve">. It is clear from the nature of the </w:t>
      </w:r>
      <w:proofErr w:type="spellStart"/>
      <w:r>
        <w:t>Norgs</w:t>
      </w:r>
      <w:proofErr w:type="spellEnd"/>
      <w:r>
        <w:t xml:space="preserve">' claim that it is based on an alleged breach of the City's common law duty to use reasonable care, which was owed to the </w:t>
      </w:r>
      <w:proofErr w:type="spellStart"/>
      <w:r>
        <w:t>Norgs</w:t>
      </w:r>
      <w:proofErr w:type="spellEnd"/>
      <w:r>
        <w:t xml:space="preserve"> individually. Therefore, the public duty doctrine does not apply as a matter of law.”</w:t>
      </w:r>
    </w:p>
    <w:p w14:paraId="3E9AD17C" w14:textId="77777777" w:rsidR="008A4533" w:rsidRDefault="008A4533" w:rsidP="008A4533">
      <w:pPr>
        <w:pStyle w:val="NormalWeb"/>
      </w:pPr>
      <w:r>
        <w:t xml:space="preserve">Dissent [Justice Barbara Madsen, joined by 3 other Justices]: </w:t>
      </w:r>
    </w:p>
    <w:p w14:paraId="546354C4" w14:textId="77777777" w:rsidR="008A4533" w:rsidRDefault="008A4533" w:rsidP="008A4533">
      <w:pPr>
        <w:pStyle w:val="NormalWeb"/>
        <w:ind w:left="720"/>
        <w:rPr>
          <w:rStyle w:val="markedcontent"/>
          <w:rFonts w:eastAsiaTheme="majorEastAsia"/>
        </w:rPr>
      </w:pPr>
      <w:r>
        <w:t>“</w:t>
      </w:r>
      <w:r>
        <w:rPr>
          <w:rStyle w:val="markedcontent"/>
          <w:rFonts w:eastAsiaTheme="majorEastAsia"/>
        </w:rPr>
        <w:t xml:space="preserve">Rather than straightforwardly applying precedent, the majority relies on pronouncements made in concurrences from past cases and accepts them as settled law, rewriting the public duty doctrine to apply only when duties are imposed on government entities by statute or ordinance—creating virtually limitless liability. *** The </w:t>
      </w:r>
      <w:proofErr w:type="spellStart"/>
      <w:r>
        <w:rPr>
          <w:rStyle w:val="markedcontent"/>
          <w:rFonts w:eastAsiaTheme="majorEastAsia"/>
        </w:rPr>
        <w:t>Norgs</w:t>
      </w:r>
      <w:proofErr w:type="spellEnd"/>
      <w:r>
        <w:rPr>
          <w:rStyle w:val="markedcontent"/>
          <w:rFonts w:eastAsiaTheme="majorEastAsia"/>
        </w:rPr>
        <w:t xml:space="preserve"> have not shown that any duty was owed to them as individuals….  A broad and general responsibility to the public rather than to individual members of the public does not create a duty of care…. I would hold that the public duty doctrine is available to the city of Seattle…. The public duty doctrine applies when a public entity is performing a governmental function.”</w:t>
      </w:r>
    </w:p>
    <w:p w14:paraId="01B7D16D" w14:textId="77777777" w:rsidR="008A4533" w:rsidRDefault="008A4533" w:rsidP="008A4533">
      <w:pPr>
        <w:pStyle w:val="NormalWeb"/>
        <w:rPr>
          <w:b/>
          <w:bCs/>
        </w:rPr>
      </w:pPr>
      <w:r w:rsidRPr="00777A43">
        <w:rPr>
          <w:b/>
          <w:bCs/>
        </w:rPr>
        <w:t>Legal Lesson Learned:</w:t>
      </w:r>
      <w:r>
        <w:rPr>
          <w:b/>
          <w:bCs/>
        </w:rPr>
        <w:t xml:space="preserve"> “Public duty doctrine” has generally been a strong defense for public employers. </w:t>
      </w:r>
    </w:p>
    <w:p w14:paraId="640216C1" w14:textId="3F2FDB1B" w:rsidR="008A4533" w:rsidRDefault="008A4533" w:rsidP="002B1283">
      <w:pPr>
        <w:rPr>
          <w:rFonts w:ascii="Arial Black" w:hAnsi="Arial Black"/>
          <w:b/>
          <w:bCs/>
          <w:sz w:val="28"/>
          <w:szCs w:val="28"/>
        </w:rPr>
      </w:pPr>
    </w:p>
    <w:p w14:paraId="29F5715A" w14:textId="3B7F00DC" w:rsidR="008A4533" w:rsidRDefault="008A4533" w:rsidP="002B1283">
      <w:pPr>
        <w:rPr>
          <w:rFonts w:ascii="Arial Black" w:hAnsi="Arial Black"/>
          <w:b/>
          <w:bCs/>
          <w:sz w:val="28"/>
          <w:szCs w:val="28"/>
        </w:rPr>
      </w:pPr>
      <w:r>
        <w:rPr>
          <w:rFonts w:ascii="Arial Black" w:hAnsi="Arial Black"/>
          <w:b/>
          <w:bCs/>
          <w:sz w:val="28"/>
          <w:szCs w:val="28"/>
        </w:rPr>
        <w:t>13-13</w:t>
      </w:r>
      <w:r w:rsidR="005C3F7B">
        <w:rPr>
          <w:rFonts w:ascii="Arial Black" w:hAnsi="Arial Black"/>
          <w:b/>
          <w:bCs/>
          <w:sz w:val="28"/>
          <w:szCs w:val="28"/>
        </w:rPr>
        <w:t>4</w:t>
      </w:r>
    </w:p>
    <w:p w14:paraId="6298455E" w14:textId="77777777" w:rsidR="008A4533" w:rsidRDefault="008A4533" w:rsidP="008A4533">
      <w:pPr>
        <w:pStyle w:val="NormalWeb"/>
        <w:rPr>
          <w:rFonts w:ascii="Arial Black" w:hAnsi="Arial Black"/>
          <w:b/>
          <w:bCs/>
          <w:sz w:val="28"/>
          <w:szCs w:val="28"/>
        </w:rPr>
      </w:pPr>
      <w:r>
        <w:rPr>
          <w:rFonts w:ascii="Arial Black" w:hAnsi="Arial Black"/>
          <w:b/>
          <w:bCs/>
          <w:sz w:val="28"/>
          <w:szCs w:val="28"/>
        </w:rPr>
        <w:t>IA: EMS - SPIT HOOD ON MAN ARRESTED DOMESTIC VIOLENCE – PROPERLY USED SENTENCING - 2-YRS JAIL</w:t>
      </w:r>
    </w:p>
    <w:p w14:paraId="06AA1CCA" w14:textId="77777777" w:rsidR="008A4533" w:rsidRPr="003E7D5E" w:rsidRDefault="008A4533" w:rsidP="008A4533">
      <w:pPr>
        <w:pStyle w:val="NormalWeb"/>
        <w:rPr>
          <w:b/>
          <w:bCs/>
        </w:rPr>
      </w:pPr>
      <w:r w:rsidRPr="003D19B9">
        <w:t xml:space="preserve">On </w:t>
      </w:r>
      <w:r>
        <w:t xml:space="preserve">Jan. 11, 2023, in </w:t>
      </w:r>
      <w:r w:rsidRPr="003D19B9">
        <w:rPr>
          <w:u w:val="single"/>
        </w:rPr>
        <w:t>State of Iowa v. Spencer Jerrick Carter</w:t>
      </w:r>
      <w:r>
        <w:t xml:space="preserve">, the Court of Appeals of Iowa held (3 to 0) that the Prosecutor at time of sentencing properly advised the trial court judge that two EMS had to use a spit hood when transporting the defendant.  The defendant had pled guilty to assaulting two police officers, and two firefighters on Oct. 14, 2021.  On appeal, Carter contends the prosecutor's relaying of information about use of </w:t>
      </w:r>
      <w:r>
        <w:lastRenderedPageBreak/>
        <w:t xml:space="preserve">spit hood constituted improper victim statements and he is entitled to resentencing. The Court of Appeals disagreed, finding “there is nothing in the court's reasons to indicate it considered improper factors.” </w:t>
      </w:r>
      <w:hyperlink r:id="rId2212" w:history="1">
        <w:r w:rsidRPr="00912476">
          <w:rPr>
            <w:rStyle w:val="Hyperlink"/>
          </w:rPr>
          <w:t>https://law.justia.com/cases/iowa/court-of-appeals/2023/22-0302.html</w:t>
        </w:r>
      </w:hyperlink>
    </w:p>
    <w:p w14:paraId="471F2B9A" w14:textId="77777777" w:rsidR="008A4533" w:rsidRPr="003E7D5E" w:rsidRDefault="008A4533" w:rsidP="008A4533">
      <w:pPr>
        <w:pStyle w:val="NormalWeb"/>
        <w:ind w:left="720"/>
        <w:rPr>
          <w:b/>
          <w:bCs/>
        </w:rPr>
      </w:pPr>
      <w:r>
        <w:t xml:space="preserve">“Officers restrained the defendant, including by using personal defense spray, and the defendant continued to refuse to cooperate with police attempts to move him. Officers requested assistance from the Dubuque Fire Department, and as the defendant was strapped to a cot and prepared to </w:t>
      </w:r>
      <w:proofErr w:type="gramStart"/>
      <w:r>
        <w:t>move</w:t>
      </w:r>
      <w:proofErr w:type="gramEnd"/>
      <w:r>
        <w:t xml:space="preserve"> he told Officer Warner, "I will kill you and your family." The defendant proceeded to spit on two different firefighters as he was being carried away, Firefighters </w:t>
      </w:r>
      <w:r w:rsidRPr="003E7D5E">
        <w:rPr>
          <w:rStyle w:val="Strong"/>
        </w:rPr>
        <w:t>Todd Sieverding and Steve Haupert.</w:t>
      </w:r>
    </w:p>
    <w:p w14:paraId="11D891F5" w14:textId="77777777" w:rsidR="008A4533" w:rsidRDefault="008A4533" w:rsidP="008A4533">
      <w:pPr>
        <w:pStyle w:val="NormalWeb"/>
      </w:pPr>
      <w:r>
        <w:t>The prosecutor at sentencing hearing told the Court:</w:t>
      </w:r>
    </w:p>
    <w:p w14:paraId="3C6423C5" w14:textId="77777777" w:rsidR="008A4533" w:rsidRDefault="008A4533" w:rsidP="008A4533">
      <w:pPr>
        <w:spacing w:after="100" w:line="240" w:lineRule="auto"/>
        <w:ind w:left="720"/>
        <w:rPr>
          <w:rFonts w:ascii="Times New Roman" w:eastAsia="Times New Roman" w:hAnsi="Times New Roman"/>
          <w:sz w:val="24"/>
          <w:szCs w:val="24"/>
        </w:rPr>
      </w:pPr>
      <w:r>
        <w:rPr>
          <w:rFonts w:ascii="Times New Roman" w:eastAsia="Times New Roman" w:hAnsi="Times New Roman"/>
          <w:sz w:val="24"/>
          <w:szCs w:val="24"/>
        </w:rPr>
        <w:t>“</w:t>
      </w:r>
      <w:r w:rsidRPr="000B135C">
        <w:rPr>
          <w:rFonts w:ascii="Times New Roman" w:eastAsia="Times New Roman" w:hAnsi="Times New Roman"/>
          <w:sz w:val="24"/>
          <w:szCs w:val="24"/>
        </w:rPr>
        <w:t xml:space="preserve">Firefighter Todd Sieverding did say that he wanted to relay that placing a spit hood on a subject is sort of the last resort for what they do. It's demeaning, not only for the subject, but for the firefighters to do that, and if they can avoid using a spit hood, in any, in any sort of way, they would avoid doing so, but they weren't able to do that here because the Defendant continued to resist, even as they were trying to help him. Their hands were tied up holding the cot and the patient, but </w:t>
      </w:r>
      <w:proofErr w:type="gramStart"/>
      <w:r w:rsidRPr="000B135C">
        <w:rPr>
          <w:rFonts w:ascii="Times New Roman" w:eastAsia="Times New Roman" w:hAnsi="Times New Roman"/>
          <w:sz w:val="24"/>
          <w:szCs w:val="24"/>
        </w:rPr>
        <w:t>in order to</w:t>
      </w:r>
      <w:proofErr w:type="gramEnd"/>
      <w:r w:rsidRPr="000B135C">
        <w:rPr>
          <w:rFonts w:ascii="Times New Roman" w:eastAsia="Times New Roman" w:hAnsi="Times New Roman"/>
          <w:sz w:val="24"/>
          <w:szCs w:val="24"/>
        </w:rPr>
        <w:t xml:space="preserve"> make sure he caused no harm to himself or to us, we used the spit </w:t>
      </w:r>
      <w:proofErr w:type="gramStart"/>
      <w:r w:rsidRPr="000B135C">
        <w:rPr>
          <w:rFonts w:ascii="Times New Roman" w:eastAsia="Times New Roman" w:hAnsi="Times New Roman"/>
          <w:sz w:val="24"/>
          <w:szCs w:val="24"/>
        </w:rPr>
        <w:t>hood.</w:t>
      </w:r>
      <w:r>
        <w:rPr>
          <w:rFonts w:ascii="Times New Roman" w:eastAsia="Times New Roman" w:hAnsi="Times New Roman"/>
          <w:sz w:val="24"/>
          <w:szCs w:val="24"/>
        </w:rPr>
        <w:t>”</w:t>
      </w:r>
      <w:proofErr w:type="gramEnd"/>
    </w:p>
    <w:p w14:paraId="68BD0625" w14:textId="77777777" w:rsidR="008A4533" w:rsidRPr="003E7D5E" w:rsidRDefault="008A4533" w:rsidP="008A4533">
      <w:pPr>
        <w:pStyle w:val="NormalWeb"/>
        <w:rPr>
          <w:b/>
          <w:bCs/>
        </w:rPr>
      </w:pPr>
      <w:r w:rsidRPr="003E7D5E">
        <w:rPr>
          <w:b/>
          <w:bCs/>
        </w:rPr>
        <w:t>Legal Lesson Learned:</w:t>
      </w:r>
      <w:r>
        <w:rPr>
          <w:b/>
          <w:bCs/>
        </w:rPr>
        <w:t xml:space="preserve"> Spitting on fire / EMS is an assault. </w:t>
      </w:r>
    </w:p>
    <w:p w14:paraId="36A1A185" w14:textId="77777777" w:rsidR="008A4533" w:rsidRDefault="008A4533" w:rsidP="008A4533">
      <w:pPr>
        <w:pStyle w:val="NormalWeb"/>
      </w:pPr>
    </w:p>
    <w:p w14:paraId="5E4044B2" w14:textId="7D224836" w:rsidR="008A4533" w:rsidRDefault="005C3F7B" w:rsidP="002B1283">
      <w:pPr>
        <w:rPr>
          <w:rFonts w:ascii="Arial Black" w:hAnsi="Arial Black"/>
          <w:b/>
          <w:bCs/>
          <w:sz w:val="28"/>
          <w:szCs w:val="28"/>
        </w:rPr>
      </w:pPr>
      <w:r>
        <w:rPr>
          <w:rFonts w:ascii="Arial Black" w:hAnsi="Arial Black"/>
          <w:b/>
          <w:bCs/>
          <w:sz w:val="28"/>
          <w:szCs w:val="28"/>
        </w:rPr>
        <w:t>13-133</w:t>
      </w:r>
    </w:p>
    <w:p w14:paraId="5A80E359" w14:textId="63882BA3" w:rsidR="005C3F7B" w:rsidRDefault="005C3F7B" w:rsidP="005C3F7B">
      <w:pPr>
        <w:pStyle w:val="NormalWeb"/>
        <w:rPr>
          <w:rFonts w:ascii="Arial Black" w:hAnsi="Arial Black"/>
          <w:sz w:val="28"/>
          <w:szCs w:val="28"/>
        </w:rPr>
      </w:pPr>
      <w:r>
        <w:rPr>
          <w:rFonts w:ascii="Arial Black" w:hAnsi="Arial Black"/>
          <w:sz w:val="28"/>
          <w:szCs w:val="28"/>
        </w:rPr>
        <w:t>NY: PATIENT FE</w:t>
      </w:r>
      <w:r w:rsidR="0004072E">
        <w:rPr>
          <w:rFonts w:ascii="Arial Black" w:hAnsi="Arial Black"/>
          <w:sz w:val="28"/>
          <w:szCs w:val="28"/>
        </w:rPr>
        <w:t>L</w:t>
      </w:r>
      <w:r>
        <w:rPr>
          <w:rFonts w:ascii="Arial Black" w:hAnsi="Arial Black"/>
          <w:sz w:val="28"/>
          <w:szCs w:val="28"/>
        </w:rPr>
        <w:t>L OFF STRETCHER – NO SHOULDER STRAPS - DIED – EMS FIRED FALSE INFORMATION</w:t>
      </w:r>
    </w:p>
    <w:p w14:paraId="1D9EA586" w14:textId="77777777" w:rsidR="005C3F7B" w:rsidRDefault="005C3F7B" w:rsidP="005C3F7B">
      <w:pPr>
        <w:pStyle w:val="NormalWeb"/>
        <w:rPr>
          <w:b/>
          <w:bCs/>
        </w:rPr>
      </w:pPr>
      <w:r>
        <w:t xml:space="preserve">On Jan. 5, 2023, </w:t>
      </w:r>
      <w:r>
        <w:rPr>
          <w:u w:val="single"/>
        </w:rPr>
        <w:t xml:space="preserve">In </w:t>
      </w:r>
      <w:proofErr w:type="gramStart"/>
      <w:r>
        <w:rPr>
          <w:u w:val="single"/>
        </w:rPr>
        <w:t>The</w:t>
      </w:r>
      <w:proofErr w:type="gramEnd"/>
      <w:r>
        <w:rPr>
          <w:u w:val="single"/>
        </w:rPr>
        <w:t xml:space="preserve"> Matter of Nicholas A. Walker v. City of Plattsburg, et al</w:t>
      </w:r>
      <w:r>
        <w:t xml:space="preserve">., the Supreme Court of New York, Third Department. Held (3 to 0) that the </w:t>
      </w:r>
      <w:proofErr w:type="gramStart"/>
      <w:r>
        <w:t>Mayor</w:t>
      </w:r>
      <w:proofErr w:type="gramEnd"/>
      <w:r>
        <w:t xml:space="preserve"> had authority to fire the medic in Jan. 2021, since video of the scene Nov. 21, </w:t>
      </w:r>
      <w:proofErr w:type="gramStart"/>
      <w:r>
        <w:t>2018</w:t>
      </w:r>
      <w:proofErr w:type="gramEnd"/>
      <w:r>
        <w:t xml:space="preserve"> showed he lied to police investigating the incident, </w:t>
      </w:r>
      <w:proofErr w:type="gramStart"/>
      <w:r>
        <w:t>and also</w:t>
      </w:r>
      <w:proofErr w:type="gramEnd"/>
      <w:r>
        <w:t xml:space="preserve"> submitted a false EMS run report.  “On November 30, </w:t>
      </w:r>
      <w:proofErr w:type="gramStart"/>
      <w:r>
        <w:t>2018</w:t>
      </w:r>
      <w:proofErr w:type="gramEnd"/>
      <w:r>
        <w:t xml:space="preserve"> at an apartment complex in the City of Plattsburgh, Clinton County, petitioner, a firefighter and emergency medical technician, responded with his partner to a 911 call regarding a man lying in a fifth-floor hallway requesting medical assistance. When petitioner reached the patient, he was responsive and communicative, asking for help. Petitioner and his partner put the patient on a stretcher, securing him with the stretcher's leg and waist straps but not its shoulder straps. They wheeled the stretcher to the elevator and transported the patient down to the first floor, through the building's lobby and outside to where an ambulance was waiting. As they were leaving the building, the patient's arm went limp and dropped down to the side of the stretcher, causing petitioner to lift the patient's arm and place it across his chest. While petitioner and his partner were attempting to transfer the patient into the ambulance, the patient's upper body slipped off the </w:t>
      </w:r>
      <w:proofErr w:type="gramStart"/>
      <w:r>
        <w:t>stretcher</w:t>
      </w:r>
      <w:proofErr w:type="gramEnd"/>
      <w:r>
        <w:t xml:space="preserve"> and his head hit the back of the </w:t>
      </w:r>
      <w:proofErr w:type="gramStart"/>
      <w:r>
        <w:t>ambulance.”</w:t>
      </w:r>
      <w:proofErr w:type="gramEnd"/>
      <w:r>
        <w:t xml:space="preserve">   The Court held: Petitioner concedes that he provided false information in the incident report, patient care report and statement to the police. Thus, as the parties agree, the only issue before this Court is whether the hearing evidence sufficiently established that he did so knowingly. The false statements, which are not in dispute, can be described as follows: petitioner indicated that the patient became unresponsive and was not breathing adequately while in the hallway or elevator, but video evidence and hearing testimony revealed that the patient was alert and responsive as he was transported through the hallway, elevator, building lobby and exterior doors; petitioner claimed that he radioed for assistance when the patient became unresponsive in the hallway or elevator, but the hearing evidence showed that he did not call for backup until after the patient fell off the stretcher and struck his head on the ambulance; petitioner asserted that he assessed the patient and took his pulse in the lobby, yet surveillance video reflected that petitioner did </w:t>
      </w:r>
      <w:r>
        <w:lastRenderedPageBreak/>
        <w:t xml:space="preserve">not take these actions at that time; and petitioner indicated that CPR was performed continuously after the patient fell, but video evidence showed that CPR was not begun until several minutes after the patient's fall, and was only conducted for a short time.” </w:t>
      </w:r>
      <w:hyperlink r:id="rId2213" w:history="1">
        <w:r>
          <w:rPr>
            <w:rStyle w:val="Hyperlink"/>
          </w:rPr>
          <w:t>https://caselaw.findlaw.com/ny-supreme-court/2147274.html</w:t>
        </w:r>
      </w:hyperlink>
      <w:r>
        <w:t xml:space="preserve"> </w:t>
      </w:r>
    </w:p>
    <w:p w14:paraId="6A40D780" w14:textId="77777777" w:rsidR="005C3F7B" w:rsidRDefault="005C3F7B" w:rsidP="005C3F7B">
      <w:pPr>
        <w:pStyle w:val="NormalWeb"/>
        <w:ind w:left="720"/>
      </w:pPr>
      <w:r>
        <w:t xml:space="preserve">“Within hours of the incident, petitioner filled out an incident report and a patient care form describing what had happened and filed these documents with the City of Plattsburgh Fire Department. The following day, petitioner was interviewed by the City of Plattsburgh Police Department regarding the incident and gave a sworn written statement to a detective. Moving forward, </w:t>
      </w:r>
      <w:proofErr w:type="gramStart"/>
      <w:r>
        <w:t>petitioner</w:t>
      </w:r>
      <w:proofErr w:type="gramEnd"/>
      <w:r>
        <w:t xml:space="preserve"> continued to work as a firefighter and emergency medical technician for over two years. During this time, the State Department of Health </w:t>
      </w:r>
      <w:proofErr w:type="gramStart"/>
      <w:r>
        <w:t>conducted an investigation</w:t>
      </w:r>
      <w:proofErr w:type="gramEnd"/>
      <w:r>
        <w:t xml:space="preserve"> of the incident, the result of which was petitioner agreeing to pay a $5,000 fine and complete additional training, and respondent City of Plattsburgh settled a wrongful death claim brought by the patient's family.</w:t>
      </w:r>
    </w:p>
    <w:p w14:paraId="549830D3" w14:textId="77777777" w:rsidR="005C3F7B" w:rsidRDefault="005C3F7B" w:rsidP="005C3F7B">
      <w:pPr>
        <w:pStyle w:val="NormalWeb"/>
        <w:ind w:left="720"/>
      </w:pPr>
      <w:r>
        <w:t>***</w:t>
      </w:r>
    </w:p>
    <w:p w14:paraId="6D95FAFF" w14:textId="77777777" w:rsidR="005C3F7B" w:rsidRDefault="005C3F7B" w:rsidP="005C3F7B">
      <w:pPr>
        <w:pStyle w:val="NormalWeb"/>
        <w:ind w:left="720"/>
        <w:rPr>
          <w:b/>
          <w:bCs/>
        </w:rPr>
      </w:pPr>
      <w:r>
        <w:t xml:space="preserve">As to the penalty imposed, we find that the </w:t>
      </w:r>
      <w:proofErr w:type="gramStart"/>
      <w:r>
        <w:t>Mayor's</w:t>
      </w:r>
      <w:proofErr w:type="gramEnd"/>
      <w:r>
        <w:t xml:space="preserve"> decision to terminate petitioner's employment was not "so disproportionate to the offenses as to be shocking to one's sense of fairness…. We see no reason to disturb the penalty imposed by the Mayor, who found, notwithstanding petitioner's positive accomplishments, that he had inhibited the investigation into the patient's untimely death and, seeking to avoid personal responsibility, placed his own interests above those of the City of Plattsburgh Fire Department, the patient's family and the public at large.”</w:t>
      </w:r>
    </w:p>
    <w:p w14:paraId="2DCAFB81" w14:textId="77777777" w:rsidR="005C3F7B" w:rsidRDefault="005C3F7B" w:rsidP="005C3F7B">
      <w:pPr>
        <w:pStyle w:val="NormalWeb"/>
        <w:rPr>
          <w:b/>
          <w:bCs/>
        </w:rPr>
      </w:pPr>
      <w:r>
        <w:rPr>
          <w:b/>
          <w:bCs/>
        </w:rPr>
        <w:t xml:space="preserve">Legal Lesson Learned: Properly restrain </w:t>
      </w:r>
      <w:proofErr w:type="gramStart"/>
      <w:r>
        <w:rPr>
          <w:b/>
          <w:bCs/>
        </w:rPr>
        <w:t>patient</w:t>
      </w:r>
      <w:proofErr w:type="gramEnd"/>
      <w:r>
        <w:rPr>
          <w:b/>
          <w:bCs/>
        </w:rPr>
        <w:t xml:space="preserve"> on the stretcher; don’t file false reports or lie to investigators. Not clear why took two years to discipline. </w:t>
      </w:r>
    </w:p>
    <w:p w14:paraId="273929DE" w14:textId="77777777" w:rsidR="005C3F7B" w:rsidRDefault="005C3F7B" w:rsidP="002B1283">
      <w:pPr>
        <w:rPr>
          <w:rFonts w:ascii="Arial Black" w:hAnsi="Arial Black"/>
          <w:b/>
          <w:bCs/>
          <w:sz w:val="28"/>
          <w:szCs w:val="28"/>
        </w:rPr>
      </w:pPr>
    </w:p>
    <w:p w14:paraId="6660D211" w14:textId="77777777" w:rsidR="008A4533" w:rsidRDefault="008A4533" w:rsidP="002B1283">
      <w:pPr>
        <w:rPr>
          <w:rFonts w:ascii="Arial Black" w:hAnsi="Arial Black"/>
          <w:b/>
          <w:bCs/>
          <w:sz w:val="28"/>
          <w:szCs w:val="28"/>
        </w:rPr>
      </w:pPr>
    </w:p>
    <w:p w14:paraId="3797E15C" w14:textId="2EE37088" w:rsidR="00BA3CDE" w:rsidRDefault="00BA3CDE" w:rsidP="002B1283">
      <w:pPr>
        <w:rPr>
          <w:rFonts w:ascii="Arial Black" w:hAnsi="Arial Black"/>
          <w:b/>
          <w:bCs/>
          <w:sz w:val="28"/>
          <w:szCs w:val="28"/>
        </w:rPr>
      </w:pPr>
      <w:r>
        <w:rPr>
          <w:rFonts w:ascii="Arial Black" w:hAnsi="Arial Black"/>
          <w:b/>
          <w:bCs/>
          <w:sz w:val="28"/>
          <w:szCs w:val="28"/>
        </w:rPr>
        <w:t>13-132</w:t>
      </w:r>
    </w:p>
    <w:p w14:paraId="52316E04" w14:textId="77777777" w:rsidR="00BA3CDE" w:rsidRDefault="00BA3CDE" w:rsidP="00BA3CDE">
      <w:pPr>
        <w:pStyle w:val="NormalWeb"/>
        <w:rPr>
          <w:b/>
          <w:bCs/>
        </w:rPr>
      </w:pPr>
      <w:r>
        <w:rPr>
          <w:rFonts w:ascii="Arial Black" w:hAnsi="Arial Black"/>
          <w:b/>
          <w:bCs/>
          <w:sz w:val="28"/>
          <w:szCs w:val="28"/>
        </w:rPr>
        <w:t xml:space="preserve">CA: BAT. CHIEF – TERMINATION UPHELD - NOT REPORTING MEDIC HITTING PATIENT – ALSO DENIED KNOWLEDGE  </w:t>
      </w:r>
    </w:p>
    <w:p w14:paraId="4D5665D8" w14:textId="77777777" w:rsidR="00BA3CDE" w:rsidRDefault="00BA3CDE" w:rsidP="00BA3CDE">
      <w:pPr>
        <w:pStyle w:val="NormalWeb"/>
      </w:pPr>
      <w:r>
        <w:t xml:space="preserve">On Dec. 22, 2022, in </w:t>
      </w:r>
      <w:r w:rsidRPr="00464F2D">
        <w:rPr>
          <w:u w:val="single"/>
        </w:rPr>
        <w:t>Steve Jones v. City of Loma Linda, et al</w:t>
      </w:r>
      <w:r>
        <w:t xml:space="preserve">., the California Court of Appeals, Fourth District (Second Division) held (3 to 0) that the City Council was authorized to reject a hearing officer’s recommendation that the Battalion Chief, with 26 years with the Fire Department, be reinstated with a letter of reprimand.  The Court found that City Council could reasonably conclude that the harm to the public service was so great that terminating his employment was the “only reasonable option.”  The incident involved a Medic who slapped a mental patient; during the transport the patient had freed his right arm from soft restraints and was spitting at the crew [see below note]. </w:t>
      </w:r>
    </w:p>
    <w:p w14:paraId="068DF9DF" w14:textId="77777777" w:rsidR="00BA3CDE" w:rsidRDefault="00BA3CDE" w:rsidP="00BA3CDE">
      <w:pPr>
        <w:pStyle w:val="NormalWeb"/>
        <w:ind w:left="720"/>
      </w:pPr>
      <w:r>
        <w:t>“Jones asserts that he had an ‘unblemished 26-year career,’ so terminating his employment was an abuse of discretion. Jones's long and mostly untarnished career indicates that it is less likely his dishonesty will be repeated, which is a relevant factor. (</w:t>
      </w:r>
      <w:r>
        <w:rPr>
          <w:rStyle w:val="Emphasis"/>
        </w:rPr>
        <w:t>Skelly v. State Personnel Bd.</w:t>
      </w:r>
      <w:r>
        <w:t xml:space="preserve">, </w:t>
      </w:r>
      <w:r>
        <w:rPr>
          <w:rStyle w:val="Emphasis"/>
        </w:rPr>
        <w:t>supra</w:t>
      </w:r>
      <w:r>
        <w:t xml:space="preserve">, 15 Cal.3d at p. 218.) </w:t>
      </w:r>
      <w:proofErr w:type="gramStart"/>
      <w:r>
        <w:t>However, ‘</w:t>
      </w:r>
      <w:proofErr w:type="gramEnd"/>
      <w:r>
        <w:t>the overriding consideration in these cases is the extent to which the employee's conduct resulted in . . . '[h]arm to the public service.' (</w:t>
      </w:r>
      <w:r>
        <w:rPr>
          <w:rStyle w:val="Emphasis"/>
        </w:rPr>
        <w:t>Ibid.</w:t>
      </w:r>
      <w:r>
        <w:t xml:space="preserve">) The City Council could reasonably conclude that the harm to the public service was great because Jones repeatedly had such poor judgment in this serious situation that his decision making could no longer be relied upon, which meant terminating his </w:t>
      </w:r>
      <w:r>
        <w:lastRenderedPageBreak/>
        <w:t xml:space="preserve">employment was the only reasonable option.” </w:t>
      </w:r>
      <w:hyperlink r:id="rId2214" w:history="1">
        <w:r w:rsidRPr="00075859">
          <w:rPr>
            <w:rStyle w:val="Hyperlink"/>
            <w:rFonts w:eastAsiaTheme="majorEastAsia"/>
          </w:rPr>
          <w:t>https://public.fastcase.com/J%2FJP6pdidelsXxEE4k%2BLMhEAWViZoZCNNVQqGGOJQe0x0uZjPj6basWGo2LdR7ZdZ7mXMibE%2B6q63t6QJEFPzY8xsgWYqrexPGowqeVKLtU%3D?utm_medium=email&amp;_hsmi=226712652&amp;_hsenc=p2ANqtz-_6354qi3IFHsOx1ZsytROIPRrzR7P7WEO-</w:t>
        </w:r>
      </w:hyperlink>
      <w:r>
        <w:t xml:space="preserve"> </w:t>
      </w:r>
    </w:p>
    <w:p w14:paraId="0FB790CB" w14:textId="77777777" w:rsidR="00BA3CDE" w:rsidRPr="00625D3A" w:rsidRDefault="00BA3CDE" w:rsidP="00BA3CDE">
      <w:pPr>
        <w:pStyle w:val="NormalWeb"/>
        <w:rPr>
          <w:b/>
          <w:bCs/>
        </w:rPr>
      </w:pPr>
      <w:r w:rsidRPr="00625D3A">
        <w:rPr>
          <w:b/>
          <w:bCs/>
        </w:rPr>
        <w:t>Legal Lesson Learned:</w:t>
      </w:r>
      <w:r>
        <w:rPr>
          <w:b/>
          <w:bCs/>
        </w:rPr>
        <w:t xml:space="preserve"> If there is a report of assault on a patient, promptly inform Senior Management and have entire crew write reports.</w:t>
      </w:r>
    </w:p>
    <w:p w14:paraId="103A78BE" w14:textId="77777777" w:rsidR="00BA3CDE" w:rsidRDefault="00BA3CDE" w:rsidP="00BA3CDE">
      <w:pPr>
        <w:pStyle w:val="NormalWeb"/>
        <w:ind w:left="720"/>
      </w:pPr>
      <w:r>
        <w:t xml:space="preserve">Note: In a Feb. 13, 2019. In an unpublished decision, a judge described the Medic’s actions.  </w:t>
      </w:r>
    </w:p>
    <w:p w14:paraId="2E36BEF5" w14:textId="77777777" w:rsidR="00BA3CDE" w:rsidRDefault="00BA3CDE" w:rsidP="00BA3CDE">
      <w:pPr>
        <w:pStyle w:val="NormalWeb"/>
        <w:ind w:left="720"/>
      </w:pPr>
      <w:r>
        <w:t xml:space="preserve"> “Toppo placed his left hand on the patient's forehead, and cupped his right hand under the patient's chin, </w:t>
      </w:r>
      <w:proofErr w:type="gramStart"/>
      <w:r>
        <w:t>so as to</w:t>
      </w:r>
      <w:proofErr w:type="gramEnd"/>
      <w:r>
        <w:t xml:space="preserve"> keep the patient's mouth closed to prevent the patient from spitting on the firefighters and the medics. Toppo had seen patients spit on personnel in other situations. There was a harness on the patient attaching him to the gurney, but the straps were not tight. Toppo's hand placement on the patient's face lasted five to 10 seconds, then Toppo focused on tightening the straps of the patient's harness, leaving his left hand on the patient's forehead. *** Toppo's striking of his own hand made a slapping sound. Toppo believed his left hand was slightly raised from the patient's forehead, so when his right hand struck his left hand, his left hand made a slapping noise as it </w:t>
      </w:r>
      <w:proofErr w:type="gramStart"/>
      <w:r>
        <w:t>came in contact with</w:t>
      </w:r>
      <w:proofErr w:type="gramEnd"/>
      <w:r>
        <w:t xml:space="preserve"> the patient. After Toppo struck his hand, "[t]he ambulance went silent," and the personnel were able to restrain the patient. Toppo believed the ambulance went silent "because of the slap." </w:t>
      </w:r>
    </w:p>
    <w:p w14:paraId="0FCB4B13" w14:textId="77777777" w:rsidR="00BA3CDE" w:rsidRDefault="00BA3CDE" w:rsidP="002B1283">
      <w:pPr>
        <w:rPr>
          <w:rFonts w:ascii="Arial Black" w:hAnsi="Arial Black"/>
          <w:b/>
          <w:bCs/>
          <w:sz w:val="28"/>
          <w:szCs w:val="28"/>
        </w:rPr>
      </w:pPr>
    </w:p>
    <w:p w14:paraId="249ED34D" w14:textId="58AD6A13" w:rsidR="00BA3CDE" w:rsidRDefault="00BA3CDE" w:rsidP="002B1283">
      <w:pPr>
        <w:rPr>
          <w:rFonts w:ascii="Arial Black" w:hAnsi="Arial Black"/>
          <w:b/>
          <w:bCs/>
          <w:sz w:val="28"/>
          <w:szCs w:val="28"/>
        </w:rPr>
      </w:pPr>
      <w:r>
        <w:rPr>
          <w:rFonts w:ascii="Arial Black" w:hAnsi="Arial Black"/>
          <w:b/>
          <w:bCs/>
          <w:sz w:val="28"/>
          <w:szCs w:val="28"/>
        </w:rPr>
        <w:t>13-131</w:t>
      </w:r>
    </w:p>
    <w:p w14:paraId="601FF0CD" w14:textId="77777777" w:rsidR="00BA3CDE" w:rsidRDefault="00BA3CDE" w:rsidP="00BA3CDE">
      <w:pPr>
        <w:rPr>
          <w:rFonts w:ascii="Arial Black" w:hAnsi="Arial Black"/>
          <w:sz w:val="28"/>
          <w:szCs w:val="28"/>
        </w:rPr>
      </w:pPr>
      <w:r>
        <w:rPr>
          <w:rFonts w:ascii="Arial Black" w:hAnsi="Arial Black"/>
          <w:sz w:val="28"/>
          <w:szCs w:val="28"/>
        </w:rPr>
        <w:t>NY:</w:t>
      </w:r>
      <w:r w:rsidRPr="002E745F">
        <w:rPr>
          <w:rFonts w:ascii="Arial Black" w:hAnsi="Arial Black"/>
          <w:sz w:val="28"/>
          <w:szCs w:val="28"/>
        </w:rPr>
        <w:t xml:space="preserve"> </w:t>
      </w:r>
      <w:r w:rsidRPr="00787655">
        <w:rPr>
          <w:rFonts w:ascii="Arial Black" w:hAnsi="Arial Black"/>
          <w:sz w:val="28"/>
          <w:szCs w:val="28"/>
        </w:rPr>
        <w:t>EMTALA</w:t>
      </w:r>
      <w:r>
        <w:rPr>
          <w:rFonts w:ascii="Arial Black" w:hAnsi="Arial Black"/>
          <w:sz w:val="28"/>
          <w:szCs w:val="28"/>
        </w:rPr>
        <w:t xml:space="preserve"> - PSYCH RUN – ER DOC MET PARENTS, IN HOSPITAL 3 DAYS – CASE NOT FILED 2-YR STATUTE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19"/>
        <w:gridCol w:w="81"/>
      </w:tblGrid>
      <w:tr w:rsidR="00BA3CDE" w14:paraId="41ABDE90" w14:textId="77777777" w:rsidTr="006901FD">
        <w:trPr>
          <w:tblCellSpacing w:w="15" w:type="dxa"/>
        </w:trPr>
        <w:tc>
          <w:tcPr>
            <w:tcW w:w="0" w:type="auto"/>
            <w:vAlign w:val="center"/>
          </w:tcPr>
          <w:p w14:paraId="4465C1B6" w14:textId="77777777" w:rsidR="00BA3CDE" w:rsidRDefault="00BA3CDE" w:rsidP="006901FD">
            <w:r w:rsidRPr="005F4B3D">
              <w:rPr>
                <w:rFonts w:ascii="Times New Roman" w:hAnsi="Times New Roman"/>
                <w:sz w:val="24"/>
                <w:szCs w:val="24"/>
              </w:rPr>
              <w:t xml:space="preserve">On Nov. 30, 2022, in </w:t>
            </w:r>
            <w:r w:rsidRPr="005F4B3D">
              <w:rPr>
                <w:rFonts w:ascii="Times New Roman" w:hAnsi="Times New Roman"/>
                <w:sz w:val="24"/>
                <w:szCs w:val="24"/>
                <w:u w:val="single"/>
              </w:rPr>
              <w:t>Lanit Amira v. Maimonides Hospital, et al.</w:t>
            </w:r>
            <w:r w:rsidRPr="005F4B3D">
              <w:rPr>
                <w:rFonts w:ascii="Times New Roman" w:hAnsi="Times New Roman"/>
                <w:sz w:val="24"/>
                <w:szCs w:val="24"/>
              </w:rPr>
              <w:t>, U.S. Magistrate Judge Taryn A. Merkl, U.S. District Court for Eastern District of New York, issued a Report and Recommendation that the psychiatric patient</w:t>
            </w:r>
            <w:r>
              <w:rPr>
                <w:rFonts w:ascii="Times New Roman" w:hAnsi="Times New Roman"/>
                <w:sz w:val="24"/>
                <w:szCs w:val="24"/>
              </w:rPr>
              <w:t>’</w:t>
            </w:r>
            <w:r w:rsidRPr="005F4B3D">
              <w:rPr>
                <w:rFonts w:ascii="Times New Roman" w:hAnsi="Times New Roman"/>
                <w:sz w:val="24"/>
                <w:szCs w:val="24"/>
              </w:rPr>
              <w:t xml:space="preserve">s lawsuit hospital failed to </w:t>
            </w:r>
            <w:r>
              <w:rPr>
                <w:rFonts w:ascii="Times New Roman" w:hAnsi="Times New Roman"/>
                <w:sz w:val="24"/>
                <w:szCs w:val="24"/>
              </w:rPr>
              <w:t xml:space="preserve">provide adequate medical screening before admitting her </w:t>
            </w:r>
            <w:r w:rsidRPr="005F4B3D">
              <w:rPr>
                <w:rFonts w:ascii="Times New Roman" w:hAnsi="Times New Roman"/>
                <w:sz w:val="24"/>
                <w:szCs w:val="24"/>
              </w:rPr>
              <w:t xml:space="preserve">must be dismissed since not filed within two years required by the 1986 </w:t>
            </w:r>
            <w:r w:rsidRPr="005F4B3D">
              <w:rPr>
                <w:rStyle w:val="field"/>
                <w:rFonts w:ascii="Times New Roman" w:hAnsi="Times New Roman"/>
                <w:sz w:val="24"/>
                <w:szCs w:val="24"/>
              </w:rPr>
              <w:t>Emergency Medical Treatment &amp; Labor Act (</w:t>
            </w:r>
            <w:r w:rsidRPr="005F4B3D">
              <w:rPr>
                <w:rFonts w:ascii="Times New Roman" w:hAnsi="Times New Roman"/>
                <w:sz w:val="24"/>
                <w:szCs w:val="24"/>
              </w:rPr>
              <w:t xml:space="preserve">EMTALA).  Plaintiff was at home on Dec. 10, </w:t>
            </w:r>
            <w:proofErr w:type="gramStart"/>
            <w:r w:rsidRPr="005F4B3D">
              <w:rPr>
                <w:rFonts w:ascii="Times New Roman" w:hAnsi="Times New Roman"/>
                <w:sz w:val="24"/>
                <w:szCs w:val="24"/>
              </w:rPr>
              <w:t>2018</w:t>
            </w:r>
            <w:proofErr w:type="gramEnd"/>
            <w:r w:rsidRPr="005F4B3D">
              <w:rPr>
                <w:rFonts w:ascii="Times New Roman" w:hAnsi="Times New Roman"/>
                <w:sz w:val="24"/>
                <w:szCs w:val="24"/>
              </w:rPr>
              <w:t xml:space="preserve"> when her mother called Hatzalah medics [Jewish based service]for medical assistance; her daughter had recently gone through a divorce and was concerned about her behavior “over the last few months.”  </w:t>
            </w:r>
            <w:r w:rsidRPr="002E745F">
              <w:rPr>
                <w:rFonts w:ascii="Times New Roman" w:eastAsia="Times New Roman" w:hAnsi="Times New Roman"/>
                <w:sz w:val="24"/>
                <w:szCs w:val="24"/>
              </w:rPr>
              <w:t>Hatzalah's medics</w:t>
            </w:r>
            <w:r w:rsidRPr="005F4B3D">
              <w:rPr>
                <w:rFonts w:ascii="Times New Roman" w:hAnsi="Times New Roman"/>
                <w:sz w:val="24"/>
                <w:szCs w:val="24"/>
              </w:rPr>
              <w:t xml:space="preserve"> at the Brooklyn home for two </w:t>
            </w:r>
            <w:proofErr w:type="gramStart"/>
            <w:r w:rsidRPr="005F4B3D">
              <w:rPr>
                <w:rFonts w:ascii="Times New Roman" w:hAnsi="Times New Roman"/>
                <w:sz w:val="24"/>
                <w:szCs w:val="24"/>
              </w:rPr>
              <w:t>hours, and</w:t>
            </w:r>
            <w:proofErr w:type="gramEnd"/>
            <w:r w:rsidRPr="005F4B3D">
              <w:rPr>
                <w:rFonts w:ascii="Times New Roman" w:hAnsi="Times New Roman"/>
                <w:sz w:val="24"/>
                <w:szCs w:val="24"/>
              </w:rPr>
              <w:t xml:space="preserve"> then called for back-up from Maimonides Hospital medics and NYPD. They eventually persuaded her to go to hospital ER in their ambulance. </w:t>
            </w:r>
            <w:r w:rsidRPr="002E745F">
              <w:rPr>
                <w:rFonts w:ascii="Times New Roman" w:eastAsia="Times New Roman" w:hAnsi="Times New Roman"/>
                <w:sz w:val="24"/>
                <w:szCs w:val="24"/>
              </w:rPr>
              <w:t xml:space="preserve">Plaintiff arrived at the emergency room around 5:00 p.m., at which point a nurse instructed her to change into a hospital robe and to place her belongings in a plastic </w:t>
            </w:r>
            <w:r>
              <w:rPr>
                <w:rFonts w:ascii="Times New Roman" w:eastAsia="Times New Roman" w:hAnsi="Times New Roman"/>
                <w:sz w:val="24"/>
                <w:szCs w:val="24"/>
              </w:rPr>
              <w:t>bag; a doctor spoke to her parents at the ER and admitted her (allegedly “without first speaking to” the plaintiff).  Plaintiff remained at hospital for three days, was administered medication, and discharged on Dec. 13, 2018.  She filed this lawsuit on July 6, 2021.  On Dec. 29, 2022, U.S. District Court Judge Rachel P. Kovner dismissed the case.</w:t>
            </w:r>
          </w:p>
        </w:tc>
        <w:tc>
          <w:tcPr>
            <w:tcW w:w="0" w:type="auto"/>
            <w:vAlign w:val="center"/>
          </w:tcPr>
          <w:p w14:paraId="0EC549C6" w14:textId="77777777" w:rsidR="00BA3CDE" w:rsidRDefault="00BA3CDE" w:rsidP="006901FD">
            <w:pPr>
              <w:rPr>
                <w:sz w:val="24"/>
                <w:szCs w:val="24"/>
              </w:rPr>
            </w:pPr>
          </w:p>
        </w:tc>
      </w:tr>
    </w:tbl>
    <w:p w14:paraId="7986058A" w14:textId="77777777" w:rsidR="00BA3CDE" w:rsidRDefault="00BA3CDE" w:rsidP="00BA3CDE">
      <w:pPr>
        <w:pStyle w:val="NormalWeb"/>
        <w:ind w:left="720" w:firstLine="60"/>
      </w:pPr>
      <w:r>
        <w:t xml:space="preserve">“With EMTALA, Congress created a federal cause of </w:t>
      </w:r>
      <w:proofErr w:type="gramStart"/>
      <w:r>
        <w:t>action, but</w:t>
      </w:r>
      <w:proofErr w:type="gramEnd"/>
      <w:r>
        <w:t xml:space="preserve"> also placed a strict limit on the </w:t>
      </w:r>
      <w:proofErr w:type="gramStart"/>
      <w:r>
        <w:t>time period</w:t>
      </w:r>
      <w:proofErr w:type="gramEnd"/>
      <w:r>
        <w:t xml:space="preserve"> under which medical providers could be held liable under its provisions. </w:t>
      </w:r>
      <w:proofErr w:type="gramStart"/>
      <w:r>
        <w:t>As a consequence</w:t>
      </w:r>
      <w:proofErr w:type="gramEnd"/>
      <w:r>
        <w:t>, Plaintiff's EMTALA claim was barred as of December 10, 2020, two years from the date of the alleged violation of the law's screening requirement, i.e., Maimonides's failure ‘to evaluate [Plaintiff] in the emergency room, prior to placing [her] under observation.’</w:t>
      </w:r>
    </w:p>
    <w:p w14:paraId="258F670F" w14:textId="77777777" w:rsidR="00BA3CDE" w:rsidRPr="00BA50D7" w:rsidRDefault="00BA3CDE" w:rsidP="00BA3CDE">
      <w:pPr>
        <w:pStyle w:val="NormalWeb"/>
        <w:ind w:firstLine="720"/>
      </w:pPr>
      <w:r w:rsidRPr="00BA50D7">
        <w:lastRenderedPageBreak/>
        <w:t>Footnote 11</w:t>
      </w:r>
    </w:p>
    <w:p w14:paraId="097181E5" w14:textId="77777777" w:rsidR="00BA3CDE" w:rsidRDefault="00BA3CDE" w:rsidP="00BA3CDE">
      <w:pPr>
        <w:pStyle w:val="NormalWeb"/>
        <w:ind w:left="720"/>
        <w:rPr>
          <w:vertAlign w:val="superscript"/>
        </w:rPr>
      </w:pPr>
      <w:r w:rsidRPr="00BA50D7">
        <w:t xml:space="preserve">To establish her EMTALA claim based on Maimonides's violation of the screening requirement, Plaintiff needed only to establish that she </w:t>
      </w:r>
      <w:r>
        <w:t>‘</w:t>
      </w:r>
      <w:r w:rsidRPr="00BA50D7">
        <w:t>show[ed] up for treatment at a hospital's emergency room</w:t>
      </w:r>
      <w:r>
        <w:t>’</w:t>
      </w:r>
      <w:r w:rsidRPr="00BA50D7">
        <w:t xml:space="preserve"> and that the hospital failed to </w:t>
      </w:r>
      <w:r>
        <w:t>‘</w:t>
      </w:r>
      <w:r w:rsidRPr="00BA50D7">
        <w:t>provide for an appropriate medical screening examination . . . to determine whether or not an emergency medical condition</w:t>
      </w:r>
      <w:r>
        <w:t>’</w:t>
      </w:r>
      <w:r w:rsidRPr="00BA50D7">
        <w:t xml:space="preserve"> existed. </w:t>
      </w:r>
      <w:r w:rsidRPr="00BA50D7">
        <w:rPr>
          <w:rStyle w:val="Emphasis"/>
        </w:rPr>
        <w:t>Hardy v. N.Y.C. Health &amp; Hosp. Corp.</w:t>
      </w:r>
      <w:r w:rsidRPr="00BA50D7">
        <w:t xml:space="preserve">, 164 F.3d 789, 792 (2d Cir. 1999). Since Plaintiff's allegations are that Maimonides failed to provide an examination at the emergency room </w:t>
      </w:r>
      <w:r w:rsidRPr="00BA50D7">
        <w:rPr>
          <w:rStyle w:val="Emphasis"/>
        </w:rPr>
        <w:t>whatsoever</w:t>
      </w:r>
      <w:r w:rsidRPr="00BA50D7">
        <w:t xml:space="preserve">, she necessarily knew the </w:t>
      </w:r>
      <w:r>
        <w:t>‘</w:t>
      </w:r>
      <w:r w:rsidRPr="00BA50D7">
        <w:t>critical facts of injury and causation</w:t>
      </w:r>
      <w:r>
        <w:t>’</w:t>
      </w:r>
      <w:r w:rsidRPr="00BA50D7">
        <w:t xml:space="preserve"> at such time. </w:t>
      </w:r>
      <w:r w:rsidRPr="00BA50D7">
        <w:rPr>
          <w:rStyle w:val="Emphasis"/>
        </w:rPr>
        <w:t>Kronisch</w:t>
      </w:r>
      <w:r w:rsidRPr="00BA50D7">
        <w:t xml:space="preserve">, 150 F.3d at 121. Accordingly, even if the discovery rule applies, Plaintiff's two-year clock began to run from the date of Maimonides's alleged EMTALA violation. The date Plaintiff </w:t>
      </w:r>
      <w:r>
        <w:t>‘</w:t>
      </w:r>
      <w:r w:rsidRPr="00BA50D7">
        <w:t>discovered</w:t>
      </w:r>
      <w:r>
        <w:t>’</w:t>
      </w:r>
      <w:r w:rsidRPr="00BA50D7">
        <w:t xml:space="preserve"> that there might be a federal claim on this basis is irrelevant.</w:t>
      </w:r>
      <w:r>
        <w:t xml:space="preserve">” </w:t>
      </w:r>
      <w:hyperlink r:id="rId2215" w:history="1">
        <w:r w:rsidRPr="00617AE0">
          <w:rPr>
            <w:rStyle w:val="Hyperlink"/>
            <w:rFonts w:eastAsiaTheme="majorEastAsia"/>
          </w:rPr>
          <w:t>https://public.fastcase.com/J%2FJP6pdidelsXxEE4k%2BLMmal3pmqwL2M3IcdBRYRq7H5oV2dmSosFOkL4d7k98jG9SuahbInE3n2tMql6kX0QUzRKtcMn83zHZ%2BG%2BG9ZYZQ%3D?utm_medium=email&amp;_hsmi=226712652&amp;_hsenc=p2ANqtz-9uf78hORTgLHe72Nq9qJz-C27iwk_m4r2mdnHF-ngJMSp_ULhMnmBHzq8bpBh7J7k34w9BngwpJd6Z97DDjhMn2bZMQA&amp;utm_content=226712652&amp;utm_source=hs_email</w:t>
        </w:r>
      </w:hyperlink>
      <w:r>
        <w:t xml:space="preserve"> </w:t>
      </w:r>
    </w:p>
    <w:p w14:paraId="6290E0B1" w14:textId="77777777" w:rsidR="00BA3CDE" w:rsidRDefault="00BA3CDE" w:rsidP="00BA3CDE">
      <w:pPr>
        <w:pStyle w:val="NormalWeb"/>
        <w:rPr>
          <w:sz w:val="20"/>
          <w:szCs w:val="20"/>
        </w:rPr>
      </w:pPr>
      <w:r w:rsidRPr="00453D7F">
        <w:rPr>
          <w:b/>
          <w:bCs/>
        </w:rPr>
        <w:t xml:space="preserve">Legal Lesson Learned: </w:t>
      </w:r>
      <w:r>
        <w:rPr>
          <w:b/>
          <w:bCs/>
        </w:rPr>
        <w:t xml:space="preserve"> Congress included </w:t>
      </w:r>
      <w:proofErr w:type="gramStart"/>
      <w:r>
        <w:rPr>
          <w:b/>
          <w:bCs/>
        </w:rPr>
        <w:t>two year</w:t>
      </w:r>
      <w:proofErr w:type="gramEnd"/>
      <w:r>
        <w:rPr>
          <w:b/>
          <w:bCs/>
        </w:rPr>
        <w:t xml:space="preserve"> statute of limitations in EMTALA so that hospitals can have timely notice to investigate and respond to patient allegations. </w:t>
      </w:r>
    </w:p>
    <w:p w14:paraId="6B08D079" w14:textId="77777777" w:rsidR="00BA3CDE" w:rsidRPr="00453D7F" w:rsidRDefault="00BA3CDE" w:rsidP="00BA3CDE">
      <w:pPr>
        <w:pStyle w:val="NormalWeb"/>
        <w:ind w:left="720"/>
      </w:pPr>
      <w:r w:rsidRPr="00453D7F">
        <w:t xml:space="preserve">Note: EMTALA also imposes a </w:t>
      </w:r>
      <w:r>
        <w:t xml:space="preserve">medical screening </w:t>
      </w:r>
      <w:r w:rsidRPr="00453D7F">
        <w:t xml:space="preserve">requirement. </w:t>
      </w:r>
      <w:r w:rsidRPr="00453D7F">
        <w:rPr>
          <w:rStyle w:val="Emphasis"/>
        </w:rPr>
        <w:t>See</w:t>
      </w:r>
      <w:r w:rsidRPr="00453D7F">
        <w:t xml:space="preserve"> 42 U.S.C. § 1395dd(b)</w:t>
      </w:r>
      <w:r>
        <w:t xml:space="preserve">. </w:t>
      </w:r>
      <w:hyperlink r:id="rId2216" w:history="1">
        <w:r w:rsidRPr="00617AE0">
          <w:rPr>
            <w:rStyle w:val="Hyperlink"/>
            <w:rFonts w:eastAsiaTheme="majorEastAsia"/>
          </w:rPr>
          <w:t>https://www.law.cornell.edu/uscode/text/42/1395dd</w:t>
        </w:r>
      </w:hyperlink>
      <w:r>
        <w:t xml:space="preserve"> </w:t>
      </w:r>
    </w:p>
    <w:p w14:paraId="4C329A8E" w14:textId="77777777" w:rsidR="00BA3CDE" w:rsidRPr="00453D7F" w:rsidRDefault="00BA3CDE" w:rsidP="00BA3CDE">
      <w:pPr>
        <w:ind w:left="720" w:firstLine="720"/>
        <w:rPr>
          <w:rFonts w:ascii="Times New Roman" w:hAnsi="Times New Roman"/>
          <w:sz w:val="24"/>
          <w:szCs w:val="24"/>
        </w:rPr>
      </w:pPr>
      <w:r w:rsidRPr="00453D7F">
        <w:rPr>
          <w:rStyle w:val="num"/>
          <w:rFonts w:ascii="Times New Roman" w:hAnsi="Times New Roman"/>
          <w:sz w:val="24"/>
          <w:szCs w:val="24"/>
        </w:rPr>
        <w:t>(a)</w:t>
      </w:r>
      <w:r w:rsidRPr="00453D7F">
        <w:rPr>
          <w:rStyle w:val="heading"/>
          <w:rFonts w:ascii="Times New Roman" w:hAnsi="Times New Roman"/>
          <w:sz w:val="24"/>
          <w:szCs w:val="24"/>
        </w:rPr>
        <w:t xml:space="preserve"> Medical screening requirement</w:t>
      </w:r>
      <w:r w:rsidRPr="00453D7F">
        <w:rPr>
          <w:rFonts w:ascii="Times New Roman" w:hAnsi="Times New Roman"/>
          <w:sz w:val="24"/>
          <w:szCs w:val="24"/>
        </w:rPr>
        <w:t xml:space="preserve"> </w:t>
      </w:r>
    </w:p>
    <w:p w14:paraId="4C60294E" w14:textId="77777777" w:rsidR="00BA3CDE" w:rsidRPr="00453D7F" w:rsidRDefault="00BA3CDE" w:rsidP="00BA3CDE">
      <w:pPr>
        <w:pStyle w:val="NormalWeb"/>
        <w:ind w:left="1440"/>
      </w:pPr>
      <w:r w:rsidRPr="00453D7F">
        <w:t xml:space="preserve">In the case of a </w:t>
      </w:r>
      <w:hyperlink r:id="rId2217" w:history="1">
        <w:r w:rsidRPr="00453D7F">
          <w:rPr>
            <w:rStyle w:val="Hyperlink"/>
            <w:rFonts w:eastAsiaTheme="majorEastAsia"/>
          </w:rPr>
          <w:t>hospital</w:t>
        </w:r>
      </w:hyperlink>
      <w:r w:rsidRPr="00453D7F">
        <w:t xml:space="preserve"> that has a </w:t>
      </w:r>
      <w:hyperlink r:id="rId2218" w:history="1">
        <w:r w:rsidRPr="00453D7F">
          <w:rPr>
            <w:rStyle w:val="Hyperlink"/>
            <w:rFonts w:eastAsiaTheme="majorEastAsia"/>
          </w:rPr>
          <w:t>hospital</w:t>
        </w:r>
      </w:hyperlink>
      <w:r w:rsidRPr="00453D7F">
        <w:t xml:space="preserve"> emergency department, if any individual (whether or not eligible for benefits under this subchapter) comes to the emergency department and a request is made on the individual’s behalf for examination or treatment for a medical condition, the </w:t>
      </w:r>
      <w:hyperlink r:id="rId2219" w:history="1">
        <w:r w:rsidRPr="00453D7F">
          <w:rPr>
            <w:rStyle w:val="Hyperlink"/>
            <w:rFonts w:eastAsiaTheme="majorEastAsia"/>
          </w:rPr>
          <w:t>hospital</w:t>
        </w:r>
      </w:hyperlink>
      <w:r w:rsidRPr="00453D7F">
        <w:t xml:space="preserve"> must provide for an</w:t>
      </w:r>
      <w:hyperlink r:id="rId2220" w:history="1">
        <w:r w:rsidRPr="00453D7F">
          <w:rPr>
            <w:rStyle w:val="Hyperlink"/>
            <w:rFonts w:eastAsiaTheme="majorEastAsia"/>
          </w:rPr>
          <w:t xml:space="preserve"> appropriate </w:t>
        </w:r>
      </w:hyperlink>
      <w:r w:rsidRPr="00453D7F">
        <w:t xml:space="preserve">medical screening examination within the capability of the </w:t>
      </w:r>
      <w:hyperlink r:id="rId2221" w:history="1">
        <w:r w:rsidRPr="00453D7F">
          <w:rPr>
            <w:rStyle w:val="Hyperlink"/>
            <w:rFonts w:eastAsiaTheme="majorEastAsia"/>
          </w:rPr>
          <w:t>hospital</w:t>
        </w:r>
      </w:hyperlink>
      <w:r w:rsidRPr="00453D7F">
        <w:t xml:space="preserve">’s emergency department, including ancillary services routinely available to the emergency department, to determine whether or not an </w:t>
      </w:r>
      <w:hyperlink r:id="rId2222" w:history="1">
        <w:r w:rsidRPr="00453D7F">
          <w:rPr>
            <w:rStyle w:val="Hyperlink"/>
            <w:rFonts w:eastAsiaTheme="majorEastAsia"/>
          </w:rPr>
          <w:t>emergency medical condition</w:t>
        </w:r>
      </w:hyperlink>
      <w:r w:rsidRPr="00453D7F">
        <w:t xml:space="preserve"> (within the meaning of subsection (e)(1)) exists.</w:t>
      </w:r>
    </w:p>
    <w:p w14:paraId="65D965B6" w14:textId="77777777" w:rsidR="00BA3CDE" w:rsidRDefault="00BA3CDE" w:rsidP="002B1283">
      <w:pPr>
        <w:rPr>
          <w:rFonts w:ascii="Arial Black" w:hAnsi="Arial Black"/>
          <w:b/>
          <w:bCs/>
          <w:sz w:val="28"/>
          <w:szCs w:val="28"/>
        </w:rPr>
      </w:pPr>
    </w:p>
    <w:p w14:paraId="7DCAC68C" w14:textId="77777777" w:rsidR="00BA3CDE" w:rsidRDefault="00BA3CDE" w:rsidP="002B1283">
      <w:pPr>
        <w:rPr>
          <w:rFonts w:ascii="Arial Black" w:hAnsi="Arial Black"/>
          <w:b/>
          <w:bCs/>
          <w:sz w:val="28"/>
          <w:szCs w:val="28"/>
        </w:rPr>
      </w:pPr>
    </w:p>
    <w:p w14:paraId="2980B602" w14:textId="7C1CF408" w:rsidR="00804F3A" w:rsidRDefault="00D47B53" w:rsidP="002B1283">
      <w:pPr>
        <w:rPr>
          <w:rFonts w:ascii="Arial Black" w:hAnsi="Arial Black"/>
          <w:b/>
          <w:bCs/>
          <w:sz w:val="28"/>
          <w:szCs w:val="28"/>
        </w:rPr>
      </w:pPr>
      <w:r>
        <w:rPr>
          <w:rFonts w:ascii="Arial Black" w:hAnsi="Arial Black"/>
          <w:b/>
          <w:bCs/>
          <w:sz w:val="28"/>
          <w:szCs w:val="28"/>
        </w:rPr>
        <w:t>13-130</w:t>
      </w:r>
    </w:p>
    <w:p w14:paraId="4E111451" w14:textId="77777777" w:rsidR="00D47B53" w:rsidRPr="00C5273B" w:rsidRDefault="00D47B53" w:rsidP="00D47B53">
      <w:pPr>
        <w:pStyle w:val="NormalWeb"/>
        <w:rPr>
          <w:rFonts w:ascii="Arial Black" w:hAnsi="Arial Black"/>
          <w:b/>
          <w:bCs/>
          <w:sz w:val="28"/>
          <w:szCs w:val="28"/>
        </w:rPr>
      </w:pPr>
      <w:r w:rsidRPr="00C5273B">
        <w:rPr>
          <w:rFonts w:ascii="Arial Black" w:hAnsi="Arial Black"/>
          <w:b/>
          <w:bCs/>
          <w:sz w:val="28"/>
          <w:szCs w:val="28"/>
        </w:rPr>
        <w:t>M</w:t>
      </w:r>
      <w:r>
        <w:rPr>
          <w:rFonts w:ascii="Arial Black" w:hAnsi="Arial Black"/>
          <w:b/>
          <w:bCs/>
          <w:sz w:val="28"/>
          <w:szCs w:val="28"/>
        </w:rPr>
        <w:t>I: INTOXICATED PERSON GUILTY ASSAULT MEDIC &amp; PD - EMS CAN DISREGARD DRUNK PATIENTS “REFUSAL” HELP</w:t>
      </w:r>
    </w:p>
    <w:p w14:paraId="00453954" w14:textId="77777777" w:rsidR="00D47B53" w:rsidRDefault="00D47B53" w:rsidP="00D47B53">
      <w:pPr>
        <w:pStyle w:val="NormalWeb"/>
      </w:pPr>
      <w:r>
        <w:t xml:space="preserve">On Nov. 17, 2022, in </w:t>
      </w:r>
      <w:r w:rsidRPr="00FF2F49">
        <w:rPr>
          <w:u w:val="single"/>
        </w:rPr>
        <w:t>People of the State of Michigan v. Sean Michael Pach</w:t>
      </w:r>
      <w:r>
        <w:t xml:space="preserve">, the Court of Appeals of Michigan held 3 to 0 (unpublished opinion) that jury properly found defendant guilty of assaulting both of police officer and a paramedic. Under Michigan statute, the medic lawfully determined that Pach would not be safe on his own and could therefore restrain him. </w:t>
      </w:r>
    </w:p>
    <w:p w14:paraId="7AB4ED15" w14:textId="77777777" w:rsidR="00D47B53" w:rsidRDefault="00D47B53" w:rsidP="00D47B53">
      <w:pPr>
        <w:pStyle w:val="NormalWeb"/>
        <w:ind w:left="720"/>
      </w:pPr>
      <w:r>
        <w:t>[T]</w:t>
      </w:r>
      <w:proofErr w:type="gramStart"/>
      <w:r>
        <w:t>he</w:t>
      </w:r>
      <w:proofErr w:type="gramEnd"/>
      <w:r>
        <w:t xml:space="preserve"> paramedic was acting in his capacity as a paramedic. He responded to the scene to aid Pach. The paramedic testified that if someone does not want his assistance, the person must answer his questions </w:t>
      </w:r>
      <w:r>
        <w:lastRenderedPageBreak/>
        <w:t xml:space="preserve">appropriately and sign a refusal form. Pach, however, failed to answer the questions and kept saying that he wanted to go home. Instead, as noted above, he was unable to take more than two steps before falling. The paramedic was not acting unlawfully when he helped stop Pach from hitting the ground and when he tried to convince him to sit down so he would not hurt himself. Moreover, viewed in the light most favorable to the jury verdict, there was sufficient evidence to find that the paramedic, exercising his professional judgment, lawfully determined that Pach would not be safe on his own. See MCL 333.20969 (providing that emergency medical services personnel must abide by the decision of the patient to refuse treatment or transportation unless ‘emergency medical services personnel, exercising professional judgment, determine that the individual's condition makes the individual incapable of competently objecting to treatment or transportation ....’). </w:t>
      </w:r>
    </w:p>
    <w:p w14:paraId="09F826DC" w14:textId="77777777" w:rsidR="00D47B53" w:rsidRDefault="00D47B53" w:rsidP="00D47B53">
      <w:pPr>
        <w:pStyle w:val="NormalWeb"/>
        <w:ind w:left="720"/>
      </w:pPr>
      <w:r>
        <w:t>***</w:t>
      </w:r>
    </w:p>
    <w:p w14:paraId="0FF77AE6" w14:textId="77777777" w:rsidR="00D47B53" w:rsidRPr="004203D5" w:rsidRDefault="00D47B53" w:rsidP="00D47B53">
      <w:pPr>
        <w:pStyle w:val="NormalWeb"/>
        <w:ind w:left="720"/>
      </w:pPr>
      <w:r>
        <w:t xml:space="preserve">In sum, there was sufficient evidence to support both convictions.”     </w:t>
      </w:r>
      <w:hyperlink r:id="rId2223" w:history="1">
        <w:r w:rsidRPr="002B6F66">
          <w:rPr>
            <w:rStyle w:val="Hyperlink"/>
            <w:rFonts w:eastAsiaTheme="majorEastAsia"/>
          </w:rPr>
          <w:t>https://law.justia.com/cases/michigan/court-of-appeals-unpublished/2022/359110.html</w:t>
        </w:r>
      </w:hyperlink>
      <w:r>
        <w:t xml:space="preserve"> </w:t>
      </w:r>
    </w:p>
    <w:p w14:paraId="6525C13D" w14:textId="77777777" w:rsidR="00D47B53" w:rsidRPr="004203D5" w:rsidRDefault="00D47B53" w:rsidP="00D47B53">
      <w:pPr>
        <w:pStyle w:val="NormalWeb"/>
        <w:rPr>
          <w:b/>
          <w:bCs/>
        </w:rPr>
      </w:pPr>
      <w:r w:rsidRPr="004203D5">
        <w:rPr>
          <w:b/>
          <w:bCs/>
        </w:rPr>
        <w:t xml:space="preserve">Legal Lesson Learned: Under Michigan law, </w:t>
      </w:r>
      <w:proofErr w:type="gramStart"/>
      <w:r w:rsidRPr="004203D5">
        <w:rPr>
          <w:b/>
          <w:bCs/>
        </w:rPr>
        <w:t>paramedic</w:t>
      </w:r>
      <w:proofErr w:type="gramEnd"/>
      <w:r w:rsidRPr="004203D5">
        <w:rPr>
          <w:b/>
          <w:bCs/>
        </w:rPr>
        <w:t xml:space="preserve"> had authority to disregard patient’s refusal of treatment if individual's condition makes the individual incapable of competently objecting to treatment or transportation.</w:t>
      </w:r>
    </w:p>
    <w:p w14:paraId="506202B9" w14:textId="55CD2987" w:rsidR="00D47B53" w:rsidRDefault="00D47B53" w:rsidP="002B1283">
      <w:pPr>
        <w:rPr>
          <w:rFonts w:ascii="Arial Black" w:hAnsi="Arial Black"/>
          <w:b/>
          <w:bCs/>
          <w:sz w:val="28"/>
          <w:szCs w:val="28"/>
        </w:rPr>
      </w:pPr>
      <w:r>
        <w:rPr>
          <w:rFonts w:ascii="Arial Black" w:hAnsi="Arial Black"/>
          <w:b/>
          <w:bCs/>
          <w:sz w:val="28"/>
          <w:szCs w:val="28"/>
        </w:rPr>
        <w:t>13-129</w:t>
      </w:r>
    </w:p>
    <w:p w14:paraId="39AC4F2E" w14:textId="77777777" w:rsidR="00D47B53" w:rsidRPr="00FA386C" w:rsidRDefault="00D47B53" w:rsidP="00D47B53">
      <w:pPr>
        <w:pStyle w:val="NormalWeb"/>
        <w:rPr>
          <w:rFonts w:ascii="Arial Black" w:hAnsi="Arial Black"/>
          <w:sz w:val="28"/>
          <w:szCs w:val="28"/>
        </w:rPr>
      </w:pPr>
      <w:r>
        <w:rPr>
          <w:rFonts w:ascii="Arial Black" w:hAnsi="Arial Black"/>
          <w:sz w:val="28"/>
          <w:szCs w:val="28"/>
        </w:rPr>
        <w:t>AR: KETAMINE, PATIENT DIED – NO PUNITIVE DAMAGES – NO EVIL INTENT BY MEDIC - EMERGENCY DECISION</w:t>
      </w:r>
    </w:p>
    <w:p w14:paraId="22667706" w14:textId="77777777" w:rsidR="00D47B53" w:rsidRDefault="00D47B53" w:rsidP="00D47B53">
      <w:pPr>
        <w:pStyle w:val="NormalWeb"/>
      </w:pPr>
      <w:r>
        <w:t xml:space="preserve">On Nov. 17, 2022, in </w:t>
      </w:r>
      <w:r w:rsidRPr="00FA386C">
        <w:rPr>
          <w:u w:val="single"/>
        </w:rPr>
        <w:t>Robert Steven Carter v. County of Pima, et al</w:t>
      </w:r>
      <w:r>
        <w:t>., U.S. District Court Judge John C. Hinderaker, United States District Court for District of Arizona, denied plaintiff’s request to add a claim for punitive damages.  Deceased David Cutler had been wandering in desert for over two hours, naked and covered in abrasions, when discovered by County Sheriff deputies, who resisted efforts to bring him down the hill.  Paramedic Reed administered ketamine.  “Here, Reed's alleged breach of Ketamine protocol, even when combined with other evidence and viewed most charitably for Plaintiffs, may establish gross negligence, but cannot establish that Reed acted with an ‘evil mind.’”</w:t>
      </w:r>
    </w:p>
    <w:p w14:paraId="4FF0D674" w14:textId="77777777" w:rsidR="00D47B53" w:rsidRDefault="00D47B53" w:rsidP="00D47B53">
      <w:pPr>
        <w:pStyle w:val="NormalWeb"/>
        <w:ind w:left="720"/>
      </w:pPr>
      <w:r>
        <w:t>“[P]</w:t>
      </w:r>
      <w:proofErr w:type="spellStart"/>
      <w:r>
        <w:t>laintiffs</w:t>
      </w:r>
      <w:proofErr w:type="spellEnd"/>
      <w:r>
        <w:t xml:space="preserve"> allege Reed went up the hill to David Cutler with a syringe of Ketamine, having decided in advance its use was warranted…. Plaintiffs also allege David Cutler's appearance when Reed arrived indicated hyperthermia rather than a need for Ketamine, but Reed nevertheless ignored the hyperthermia and proceeded to administer Ketamine…. Plaintiffs also allege Reed administered Ketamine without certain required resuscitative </w:t>
      </w:r>
      <w:proofErr w:type="gramStart"/>
      <w:r>
        <w:t>equipment, and</w:t>
      </w:r>
      <w:proofErr w:type="gramEnd"/>
      <w:r>
        <w:t xml:space="preserve"> may have injected more than the established limit…. Plaintiffs also allege David Cutler's respiratory arrest was ‘the exact risk identified’ for Ketamine administration, and Reed could not adequately treat it for lack of proper equipment on hand…. Finally, Plaintiffs allege that Reed's statement that he ‘would do it the exact same </w:t>
      </w:r>
      <w:proofErr w:type="spellStart"/>
      <w:r>
        <w:t>way’again</w:t>
      </w:r>
      <w:proofErr w:type="spellEnd"/>
      <w:r>
        <w:t xml:space="preserve"> indicates Reed ‘has not learned his lesson,’ and poses a threat to future patients. </w:t>
      </w:r>
    </w:p>
    <w:p w14:paraId="655FFF99" w14:textId="77777777" w:rsidR="00D47B53" w:rsidRDefault="00D47B53" w:rsidP="00D47B53">
      <w:pPr>
        <w:pStyle w:val="NormalWeb"/>
      </w:pPr>
      <w:r>
        <w:tab/>
        <w:t>***</w:t>
      </w:r>
    </w:p>
    <w:p w14:paraId="74595F0C" w14:textId="2EDD7A28" w:rsidR="00D47B53" w:rsidRPr="00D47B53" w:rsidRDefault="00D47B53" w:rsidP="00D47B53">
      <w:pPr>
        <w:ind w:left="720"/>
        <w:rPr>
          <w:rFonts w:ascii="Times New Roman" w:hAnsi="Times New Roman"/>
          <w:b/>
          <w:bCs/>
          <w:sz w:val="24"/>
          <w:szCs w:val="24"/>
        </w:rPr>
      </w:pPr>
      <w:r w:rsidRPr="00D47B53">
        <w:rPr>
          <w:rFonts w:ascii="Times New Roman" w:hAnsi="Times New Roman"/>
          <w:sz w:val="24"/>
          <w:szCs w:val="24"/>
        </w:rPr>
        <w:t xml:space="preserve">These allegations do not amount to ‘outrageous’ conduct for several reasons. First, Plaintiffs' evidence, even if proved, likely establishes Reed's behavior created only a risk of harm, not a" </w:t>
      </w:r>
      <w:r w:rsidRPr="00D47B53">
        <w:rPr>
          <w:rStyle w:val="Emphasis"/>
          <w:rFonts w:ascii="Times New Roman" w:hAnsi="Times New Roman"/>
          <w:sz w:val="24"/>
          <w:szCs w:val="24"/>
        </w:rPr>
        <w:t>substantial</w:t>
      </w:r>
      <w:r w:rsidRPr="00D47B53">
        <w:rPr>
          <w:rFonts w:ascii="Times New Roman" w:hAnsi="Times New Roman"/>
          <w:sz w:val="24"/>
          <w:szCs w:val="24"/>
        </w:rPr>
        <w:t xml:space="preserve">" risk of harm. Plaintiffs refer to respiratory depression as "an adverse effect" of Ketamine, and to excessive salivation as "a potential adverse effect" of Ketamine, but do not allege these effects are highly likely or </w:t>
      </w:r>
      <w:r w:rsidRPr="00D47B53">
        <w:rPr>
          <w:rFonts w:ascii="Times New Roman" w:hAnsi="Times New Roman"/>
          <w:sz w:val="24"/>
          <w:szCs w:val="24"/>
        </w:rPr>
        <w:lastRenderedPageBreak/>
        <w:t>substantially certain. (</w:t>
      </w:r>
      <w:r w:rsidRPr="00D47B53">
        <w:rPr>
          <w:rStyle w:val="Emphasis"/>
          <w:rFonts w:ascii="Times New Roman" w:hAnsi="Times New Roman"/>
          <w:sz w:val="24"/>
          <w:szCs w:val="24"/>
        </w:rPr>
        <w:t>See</w:t>
      </w:r>
      <w:r w:rsidRPr="00D47B53">
        <w:rPr>
          <w:rFonts w:ascii="Times New Roman" w:hAnsi="Times New Roman"/>
          <w:sz w:val="24"/>
          <w:szCs w:val="24"/>
        </w:rPr>
        <w:t xml:space="preserve"> Doc. 256 at 1-2.) Second, Plaintiffs' evidence, even if proved, cannot establish" </w:t>
      </w:r>
      <w:r w:rsidRPr="00D47B53">
        <w:rPr>
          <w:rStyle w:val="Emphasis"/>
          <w:rFonts w:ascii="Times New Roman" w:hAnsi="Times New Roman"/>
          <w:sz w:val="24"/>
          <w:szCs w:val="24"/>
        </w:rPr>
        <w:t>conscious</w:t>
      </w:r>
      <w:r w:rsidRPr="00D47B53">
        <w:rPr>
          <w:rFonts w:ascii="Times New Roman" w:hAnsi="Times New Roman"/>
          <w:sz w:val="24"/>
          <w:szCs w:val="24"/>
        </w:rPr>
        <w:t xml:space="preserve">" and" </w:t>
      </w:r>
      <w:r w:rsidRPr="00D47B53">
        <w:rPr>
          <w:rStyle w:val="Emphasis"/>
          <w:rFonts w:ascii="Times New Roman" w:hAnsi="Times New Roman"/>
          <w:sz w:val="24"/>
          <w:szCs w:val="24"/>
        </w:rPr>
        <w:t>deliberate</w:t>
      </w:r>
      <w:r w:rsidRPr="00D47B53">
        <w:rPr>
          <w:rFonts w:ascii="Times New Roman" w:hAnsi="Times New Roman"/>
          <w:sz w:val="24"/>
          <w:szCs w:val="24"/>
        </w:rPr>
        <w:t xml:space="preserve">" disregard of David Cutler's interests. Any course of emergency treatment involves risk. Healthcare providers must act with incomplete information in highly uncertain environments. They do not disregard a person's interests merely by making a judgment call under difficult, emergency circumstances. Failing to act or </w:t>
      </w:r>
      <w:proofErr w:type="gramStart"/>
      <w:r w:rsidRPr="00D47B53">
        <w:rPr>
          <w:rFonts w:ascii="Times New Roman" w:hAnsi="Times New Roman"/>
          <w:sz w:val="24"/>
          <w:szCs w:val="24"/>
        </w:rPr>
        <w:t>acting</w:t>
      </w:r>
      <w:proofErr w:type="gramEnd"/>
      <w:r w:rsidRPr="00D47B53">
        <w:rPr>
          <w:rFonts w:ascii="Times New Roman" w:hAnsi="Times New Roman"/>
          <w:sz w:val="24"/>
          <w:szCs w:val="24"/>
        </w:rPr>
        <w:t xml:space="preserve"> differently would involve other risks. In hindsight, the balance may be clearer. But liability does not follow armchair clarity. Plaintiffs' evidence arguably tends to show that Reed consciously chose a course of treatment with certain risks over other courses of treatment with other risks. That is not enough for conscious or deliberate disregard. Third, Plaintiffs' evidence does not establish "something more" than gross negligence….  </w:t>
      </w:r>
      <w:hyperlink r:id="rId2224" w:history="1">
        <w:r w:rsidRPr="00D47B53">
          <w:rPr>
            <w:rStyle w:val="Hyperlink"/>
            <w:rFonts w:ascii="Times New Roman" w:eastAsiaTheme="majorEastAsia" w:hAnsi="Times New Roman"/>
            <w:sz w:val="24"/>
            <w:szCs w:val="24"/>
          </w:rPr>
          <w:t>https://public.fastcase.com/J%2FJP6pdidelsXxEE4k%2BLMqK%2F7dEyjXc%2F7MSStJKYdkuUI2%2BsluBCAbCgNdX488UO%2BveqO8oLQ0RNBWqaiEFfWGkDgcs9M5oh9hj%2FtPj21RY%3D?utm_medium=email&amp;_hsmi=226712652&amp;_hsenc=p2ANqtz-9TZeiC7Qp2HA_ZU4GxpYYZhIBONOkNnO3yTlBCsoF00PWMECQ5punx4hjGs90LCim5ScH4TNtnDpd9JYQeMwpFQeZwiA&amp;utm_content=226712652&amp;utm_source=hs_email</w:t>
        </w:r>
      </w:hyperlink>
    </w:p>
    <w:p w14:paraId="46B2D21C" w14:textId="77777777" w:rsidR="00D47B53" w:rsidRPr="00C5273B" w:rsidRDefault="00D47B53" w:rsidP="00D47B53">
      <w:pPr>
        <w:pStyle w:val="paragraph"/>
        <w:rPr>
          <w:b/>
          <w:bCs/>
        </w:rPr>
      </w:pPr>
      <w:r w:rsidRPr="00C5273B">
        <w:rPr>
          <w:b/>
          <w:bCs/>
        </w:rPr>
        <w:t>Legal Lesson Learned:</w:t>
      </w:r>
      <w:r>
        <w:rPr>
          <w:b/>
          <w:bCs/>
        </w:rPr>
        <w:t xml:space="preserve"> No evil intent by the paramedic; no punitive damages claim.</w:t>
      </w:r>
    </w:p>
    <w:p w14:paraId="65880C0A" w14:textId="77777777" w:rsidR="00D47B53" w:rsidRDefault="00D47B53" w:rsidP="002B1283">
      <w:pPr>
        <w:rPr>
          <w:rFonts w:ascii="Arial Black" w:hAnsi="Arial Black"/>
          <w:b/>
          <w:bCs/>
          <w:sz w:val="28"/>
          <w:szCs w:val="28"/>
        </w:rPr>
      </w:pPr>
    </w:p>
    <w:p w14:paraId="3268B8E2" w14:textId="77777777" w:rsidR="00D47B53" w:rsidRDefault="00D47B53" w:rsidP="002B1283">
      <w:pPr>
        <w:rPr>
          <w:rFonts w:ascii="Arial Black" w:hAnsi="Arial Black"/>
          <w:b/>
          <w:bCs/>
          <w:sz w:val="28"/>
          <w:szCs w:val="28"/>
        </w:rPr>
      </w:pPr>
    </w:p>
    <w:p w14:paraId="12B50CA5" w14:textId="77777777" w:rsidR="00D47B53" w:rsidRDefault="00D47B53" w:rsidP="002B1283">
      <w:pPr>
        <w:rPr>
          <w:rFonts w:ascii="Arial Black" w:hAnsi="Arial Black"/>
          <w:b/>
          <w:bCs/>
          <w:sz w:val="28"/>
          <w:szCs w:val="28"/>
        </w:rPr>
      </w:pPr>
    </w:p>
    <w:p w14:paraId="47E64CC3" w14:textId="7689775C" w:rsidR="00804F3A" w:rsidRDefault="00804F3A" w:rsidP="002B1283">
      <w:pPr>
        <w:rPr>
          <w:rFonts w:ascii="Arial Black" w:hAnsi="Arial Black"/>
          <w:b/>
          <w:bCs/>
          <w:sz w:val="28"/>
          <w:szCs w:val="28"/>
        </w:rPr>
      </w:pPr>
      <w:r>
        <w:rPr>
          <w:rFonts w:ascii="Arial Black" w:hAnsi="Arial Black"/>
          <w:b/>
          <w:bCs/>
          <w:sz w:val="28"/>
          <w:szCs w:val="28"/>
        </w:rPr>
        <w:t>13-128</w:t>
      </w:r>
    </w:p>
    <w:p w14:paraId="714CF55A" w14:textId="77777777" w:rsidR="00804F3A" w:rsidRPr="009B2CF3" w:rsidRDefault="00804F3A" w:rsidP="00804F3A">
      <w:pPr>
        <w:pStyle w:val="NormalWeb"/>
        <w:rPr>
          <w:rFonts w:ascii="Arial Black" w:hAnsi="Arial Black"/>
          <w:sz w:val="28"/>
          <w:szCs w:val="28"/>
        </w:rPr>
      </w:pPr>
      <w:r w:rsidRPr="009B2CF3">
        <w:rPr>
          <w:rFonts w:ascii="Arial Black" w:hAnsi="Arial Black"/>
          <w:sz w:val="28"/>
          <w:szCs w:val="28"/>
        </w:rPr>
        <w:t>OK</w:t>
      </w:r>
      <w:r>
        <w:rPr>
          <w:rFonts w:ascii="Arial Black" w:hAnsi="Arial Black"/>
          <w:sz w:val="28"/>
          <w:szCs w:val="28"/>
        </w:rPr>
        <w:t>: SEIZURE PATIENT RESTRAINED – ASKED PD TO HANDCUFF – DIED AT SCENE – NO 4</w:t>
      </w:r>
      <w:r w:rsidRPr="00E13796">
        <w:rPr>
          <w:rFonts w:ascii="Arial Black" w:hAnsi="Arial Black"/>
          <w:sz w:val="28"/>
          <w:szCs w:val="28"/>
          <w:vertAlign w:val="superscript"/>
        </w:rPr>
        <w:t>th</w:t>
      </w:r>
      <w:r>
        <w:rPr>
          <w:rFonts w:ascii="Arial Black" w:hAnsi="Arial Black"/>
          <w:sz w:val="28"/>
          <w:szCs w:val="28"/>
        </w:rPr>
        <w:t xml:space="preserve"> AMEND VIOL. </w:t>
      </w:r>
    </w:p>
    <w:p w14:paraId="306D5EBB" w14:textId="77777777" w:rsidR="00804F3A" w:rsidRDefault="00804F3A" w:rsidP="00804F3A">
      <w:pPr>
        <w:spacing w:before="100" w:beforeAutospacing="1" w:after="100" w:afterAutospacing="1" w:line="240" w:lineRule="auto"/>
        <w:outlineLvl w:val="0"/>
        <w:rPr>
          <w:rFonts w:ascii="Times New Roman" w:hAnsi="Times New Roman"/>
          <w:sz w:val="24"/>
          <w:szCs w:val="24"/>
        </w:rPr>
      </w:pPr>
      <w:r w:rsidRPr="00E13796">
        <w:rPr>
          <w:rFonts w:ascii="Times New Roman" w:hAnsi="Times New Roman"/>
          <w:sz w:val="24"/>
          <w:szCs w:val="24"/>
        </w:rPr>
        <w:t xml:space="preserve">On Oct. 28, 2022, in </w:t>
      </w:r>
      <w:r w:rsidRPr="00E13796">
        <w:rPr>
          <w:rFonts w:ascii="Times New Roman" w:hAnsi="Times New Roman"/>
          <w:sz w:val="24"/>
          <w:szCs w:val="24"/>
          <w:u w:val="single"/>
        </w:rPr>
        <w:t>Charles Kaleb Vanlandingham, Administrator for the Estate of Charles Lamar Vanlandingham v, City of Oklahoma City</w:t>
      </w:r>
      <w:r w:rsidRPr="00E13796">
        <w:rPr>
          <w:rFonts w:ascii="Times New Roman" w:hAnsi="Times New Roman"/>
          <w:sz w:val="24"/>
          <w:szCs w:val="24"/>
        </w:rPr>
        <w:t xml:space="preserve">, U.S. District Court Chief Judge Timothy D. </w:t>
      </w:r>
      <w:proofErr w:type="spellStart"/>
      <w:r w:rsidRPr="00E13796">
        <w:rPr>
          <w:rFonts w:ascii="Times New Roman" w:hAnsi="Times New Roman"/>
          <w:sz w:val="24"/>
          <w:szCs w:val="24"/>
        </w:rPr>
        <w:t>Degiusti</w:t>
      </w:r>
      <w:proofErr w:type="spellEnd"/>
      <w:r w:rsidRPr="00E13796">
        <w:rPr>
          <w:rFonts w:ascii="Times New Roman" w:hAnsi="Times New Roman"/>
          <w:sz w:val="24"/>
          <w:szCs w:val="24"/>
        </w:rPr>
        <w:t xml:space="preserve">, Western District of Oklahoma, granted the EMS and firefighters motion to dismiss; they enjoy qualified immunity. </w:t>
      </w:r>
    </w:p>
    <w:p w14:paraId="32D35ABE" w14:textId="6ED7E819" w:rsidR="00804F3A" w:rsidRDefault="00804F3A" w:rsidP="00804F3A">
      <w:pPr>
        <w:rPr>
          <w:rFonts w:ascii="Arial Black" w:hAnsi="Arial Black"/>
          <w:b/>
          <w:bCs/>
          <w:sz w:val="28"/>
          <w:szCs w:val="28"/>
        </w:rPr>
      </w:pPr>
      <w:r>
        <w:rPr>
          <w:rFonts w:ascii="Times New Roman" w:eastAsia="Times New Roman" w:hAnsi="Times New Roman"/>
          <w:sz w:val="24"/>
          <w:szCs w:val="24"/>
        </w:rPr>
        <w:t>“</w:t>
      </w:r>
      <w:r w:rsidRPr="00E13796">
        <w:rPr>
          <w:rFonts w:ascii="Times New Roman" w:eastAsia="Times New Roman" w:hAnsi="Times New Roman"/>
          <w:sz w:val="24"/>
          <w:szCs w:val="24"/>
        </w:rPr>
        <w:t>Accepting the factual allegations of the Second Amended Complaint and viewing them in the light most favorable to Plaintiff, the Court finds that Plaintiff has failed to allege sufficient facts to show a Fourth Amendment violation by Firefighters. Therefore, the Court finds that the Second Amended Complaint fails to state a plausible § 1983 claim of unlawful seizure or excessive force against Firefighters.</w:t>
      </w:r>
      <w:r>
        <w:rPr>
          <w:rFonts w:ascii="Times New Roman" w:eastAsia="Times New Roman" w:hAnsi="Times New Roman"/>
          <w:sz w:val="24"/>
          <w:szCs w:val="24"/>
        </w:rPr>
        <w:t xml:space="preserve">” </w:t>
      </w:r>
      <w:hyperlink r:id="rId2225" w:history="1">
        <w:r w:rsidRPr="007662E8">
          <w:rPr>
            <w:rStyle w:val="Hyperlink"/>
            <w:rFonts w:ascii="Times New Roman" w:eastAsia="Times New Roman" w:hAnsi="Times New Roman"/>
            <w:kern w:val="36"/>
          </w:rPr>
          <w:t>https://public.fastcase.com/J%2FJP6pdidelsXxEE4k%2BLMv5wihlcRVj4L9YHbnV6MVAF3KBJWQtSNgsG4EjgakbdHjeAvtzGQxxiofGv8pQP2WzdDBJrvHehgIHwsEqWl4I%3D?utm_medium=email&amp;_hsmi=226712652&amp;_hsenc=p2ANqtz-8bxe8uEVUAEFxEuakn9lUGLQUwlcgKmV3pJL4LaqF4K3hrnG0m_YdcBfrpGQgthbsaGFQPAZbt-ltRFFMr5oynBxpKXA&amp;utm_content=226712652&amp;utm_source=hs_email</w:t>
        </w:r>
      </w:hyperlink>
    </w:p>
    <w:p w14:paraId="4BF1746E" w14:textId="77777777" w:rsidR="00804F3A" w:rsidRPr="00E13796" w:rsidRDefault="00804F3A" w:rsidP="00804F3A">
      <w:pPr>
        <w:pStyle w:val="NormalWeb"/>
        <w:rPr>
          <w:b/>
          <w:bCs/>
        </w:rPr>
      </w:pPr>
      <w:r w:rsidRPr="00E13796">
        <w:rPr>
          <w:b/>
          <w:bCs/>
        </w:rPr>
        <w:t>Legal Lesson Learned: EMS patient restraint protocols</w:t>
      </w:r>
      <w:r>
        <w:rPr>
          <w:b/>
          <w:bCs/>
        </w:rPr>
        <w:t xml:space="preserve"> may include requesting law enforcement assistance. </w:t>
      </w:r>
    </w:p>
    <w:p w14:paraId="67C3C6F7" w14:textId="3824DFC7" w:rsidR="00804F3A" w:rsidRDefault="00804F3A" w:rsidP="002B1283">
      <w:pPr>
        <w:rPr>
          <w:rFonts w:ascii="Arial Black" w:hAnsi="Arial Black"/>
          <w:b/>
          <w:bCs/>
          <w:sz w:val="28"/>
          <w:szCs w:val="28"/>
        </w:rPr>
      </w:pPr>
    </w:p>
    <w:p w14:paraId="79A9AAC8" w14:textId="2B8D6D1E" w:rsidR="00804F3A" w:rsidRDefault="00804F3A" w:rsidP="002B1283">
      <w:pPr>
        <w:rPr>
          <w:rFonts w:ascii="Arial Black" w:hAnsi="Arial Black"/>
          <w:b/>
          <w:bCs/>
          <w:sz w:val="28"/>
          <w:szCs w:val="28"/>
        </w:rPr>
      </w:pPr>
      <w:r>
        <w:rPr>
          <w:rFonts w:ascii="Arial Black" w:hAnsi="Arial Black"/>
          <w:b/>
          <w:bCs/>
          <w:sz w:val="28"/>
          <w:szCs w:val="28"/>
        </w:rPr>
        <w:lastRenderedPageBreak/>
        <w:t>13-125</w:t>
      </w:r>
    </w:p>
    <w:p w14:paraId="723A8F21" w14:textId="77777777" w:rsidR="00804F3A" w:rsidRPr="00E869A2" w:rsidRDefault="00804F3A" w:rsidP="00804F3A">
      <w:pPr>
        <w:pStyle w:val="NormalWeb"/>
        <w:rPr>
          <w:rFonts w:ascii="Arial Black" w:hAnsi="Arial Black"/>
          <w:sz w:val="28"/>
          <w:szCs w:val="28"/>
        </w:rPr>
      </w:pPr>
      <w:r>
        <w:rPr>
          <w:rFonts w:ascii="Arial Black" w:hAnsi="Arial Black"/>
          <w:sz w:val="28"/>
          <w:szCs w:val="28"/>
        </w:rPr>
        <w:t>MI: CPD PATIENT REFUSED TRANSPORT - NO REFUSAL FORM SIGNED – 2</w:t>
      </w:r>
      <w:r w:rsidRPr="002F1DB2">
        <w:rPr>
          <w:rFonts w:ascii="Arial Black" w:hAnsi="Arial Black"/>
          <w:sz w:val="28"/>
          <w:szCs w:val="28"/>
          <w:vertAlign w:val="superscript"/>
        </w:rPr>
        <w:t>nd</w:t>
      </w:r>
      <w:r>
        <w:rPr>
          <w:rFonts w:ascii="Arial Black" w:hAnsi="Arial Black"/>
          <w:sz w:val="28"/>
          <w:szCs w:val="28"/>
        </w:rPr>
        <w:t xml:space="preserve"> CALL, DIED CARDIAC - EMS IMMUNITY </w:t>
      </w:r>
    </w:p>
    <w:p w14:paraId="4B91EB7C" w14:textId="77777777" w:rsidR="00804F3A" w:rsidRDefault="00804F3A" w:rsidP="00804F3A">
      <w:pPr>
        <w:pStyle w:val="NormalWeb"/>
      </w:pPr>
      <w:r w:rsidRPr="00E869A2">
        <w:t xml:space="preserve">On Oct. 27, 2022, in </w:t>
      </w:r>
      <w:r w:rsidRPr="00815A5D">
        <w:rPr>
          <w:u w:val="single"/>
        </w:rPr>
        <w:t>Myra Buffington, Personal Representative of the Estate of Maurice Freeman v, Alic Layne, Ryan Cook and City of Detroit</w:t>
      </w:r>
      <w:r w:rsidRPr="00E869A2">
        <w:t>, the C</w:t>
      </w:r>
      <w:r>
        <w:t xml:space="preserve">ourt of Appeals of Michigan held (3 to 0), unpublished opinion, that trial court properly granted summary judgment to the defendants, since there was no evidence of gross negligence, even if the Medics didn’t get a signed refusal form. </w:t>
      </w:r>
    </w:p>
    <w:p w14:paraId="3803CFAF" w14:textId="77777777" w:rsidR="00804F3A" w:rsidRDefault="00804F3A" w:rsidP="00804F3A">
      <w:pPr>
        <w:spacing w:after="100" w:line="240" w:lineRule="auto"/>
        <w:ind w:left="720"/>
      </w:pPr>
      <w:r>
        <w:rPr>
          <w:rFonts w:ascii="Times New Roman" w:eastAsia="Times New Roman" w:hAnsi="Times New Roman"/>
          <w:sz w:val="24"/>
          <w:szCs w:val="24"/>
        </w:rPr>
        <w:t>“</w:t>
      </w:r>
      <w:r w:rsidRPr="006F70A6">
        <w:rPr>
          <w:rFonts w:ascii="Times New Roman" w:eastAsia="Times New Roman" w:hAnsi="Times New Roman"/>
          <w:sz w:val="24"/>
          <w:szCs w:val="24"/>
        </w:rPr>
        <w:t>Bad things happen in the world. In a world of accountability, everybody likes to point fingers and sit in judgment. The real world is a different place than the comfort of an office sitting behind a computer. Fault by which humans can be held legally liable does not always flow from bad things happening in the real world. While Mr. Freeman's death is tragic, an even greater tragedy is pinning blame (gross negligence/willful misconduct) on EMS techs doing a difficult job under trying circumstances. Those of us fortunate to sit in the relative comfort and safety of offices on our computers using big fancy words like gross negligence, should keep in mind, as we are tasked with determining legal liability for folks in the real world, that tragic results are not always avoidable and don't always equate with the high bar of gross negligence.</w:t>
      </w:r>
      <w:r>
        <w:rPr>
          <w:rFonts w:ascii="Times New Roman" w:eastAsia="Times New Roman" w:hAnsi="Times New Roman"/>
          <w:sz w:val="24"/>
          <w:szCs w:val="24"/>
        </w:rPr>
        <w:t xml:space="preserve">” </w:t>
      </w:r>
      <w:r>
        <w:t xml:space="preserve"> </w:t>
      </w:r>
      <w:hyperlink r:id="rId2226" w:history="1">
        <w:r w:rsidRPr="00A7079D">
          <w:rPr>
            <w:rStyle w:val="Hyperlink"/>
            <w:rFonts w:eastAsiaTheme="majorEastAsia"/>
          </w:rPr>
          <w:t>https://law.justia.com/cases/michigan/court-of-appeals-unpublished/2022/357887.html</w:t>
        </w:r>
      </w:hyperlink>
      <w:r>
        <w:t xml:space="preserve"> </w:t>
      </w:r>
    </w:p>
    <w:p w14:paraId="453249F9" w14:textId="77777777" w:rsidR="00804F3A" w:rsidRPr="00815A5D" w:rsidRDefault="00804F3A" w:rsidP="00804F3A">
      <w:pPr>
        <w:pStyle w:val="NormalWeb"/>
        <w:rPr>
          <w:b/>
          <w:bCs/>
        </w:rPr>
      </w:pPr>
      <w:r w:rsidRPr="00815A5D">
        <w:rPr>
          <w:b/>
          <w:bCs/>
        </w:rPr>
        <w:t>Legal Lesson Learned:</w:t>
      </w:r>
      <w:r>
        <w:rPr>
          <w:b/>
          <w:bCs/>
        </w:rPr>
        <w:t xml:space="preserve"> Use the Refusal Form or document why patient would not sign; reduce risk of litigation. </w:t>
      </w:r>
    </w:p>
    <w:p w14:paraId="6B9FF302" w14:textId="77777777" w:rsidR="00804F3A" w:rsidRDefault="00804F3A" w:rsidP="002B1283">
      <w:pPr>
        <w:rPr>
          <w:rFonts w:ascii="Arial Black" w:hAnsi="Arial Black"/>
          <w:b/>
          <w:bCs/>
          <w:sz w:val="28"/>
          <w:szCs w:val="28"/>
        </w:rPr>
      </w:pPr>
    </w:p>
    <w:p w14:paraId="4D45F257" w14:textId="77777777" w:rsidR="00804F3A" w:rsidRDefault="00804F3A" w:rsidP="002B1283">
      <w:pPr>
        <w:rPr>
          <w:rFonts w:ascii="Arial Black" w:hAnsi="Arial Black"/>
          <w:b/>
          <w:bCs/>
          <w:sz w:val="28"/>
          <w:szCs w:val="28"/>
        </w:rPr>
      </w:pPr>
    </w:p>
    <w:p w14:paraId="3449B5A5" w14:textId="691BBA37" w:rsidR="00AC5FED" w:rsidRDefault="00755E16" w:rsidP="002B1283">
      <w:pPr>
        <w:rPr>
          <w:rFonts w:ascii="Arial Black" w:hAnsi="Arial Black"/>
          <w:b/>
          <w:bCs/>
          <w:sz w:val="28"/>
          <w:szCs w:val="28"/>
        </w:rPr>
      </w:pPr>
      <w:r>
        <w:rPr>
          <w:rFonts w:ascii="Arial Black" w:hAnsi="Arial Black"/>
          <w:b/>
          <w:bCs/>
          <w:sz w:val="28"/>
          <w:szCs w:val="28"/>
        </w:rPr>
        <w:t>13-126</w:t>
      </w:r>
    </w:p>
    <w:p w14:paraId="3B78DAF4" w14:textId="77777777" w:rsidR="00755E16" w:rsidRDefault="00755E16" w:rsidP="00755E16">
      <w:pPr>
        <w:pStyle w:val="NormalWeb"/>
        <w:rPr>
          <w:rFonts w:ascii="Arial Black" w:hAnsi="Arial Black"/>
          <w:sz w:val="28"/>
          <w:szCs w:val="28"/>
        </w:rPr>
      </w:pPr>
      <w:bookmarkStart w:id="439" w:name="_Hlk115616390"/>
      <w:r>
        <w:rPr>
          <w:rFonts w:ascii="Arial Black" w:hAnsi="Arial Black"/>
          <w:sz w:val="28"/>
          <w:szCs w:val="28"/>
        </w:rPr>
        <w:t>CA: MENTAL PATIENT JUMPS OUT MOVING AMBUL. - NO SHOULDER HARNESS, DOORS UNLOCKED – CASE PROCEED</w:t>
      </w:r>
    </w:p>
    <w:p w14:paraId="267487CD" w14:textId="77777777" w:rsidR="00755E16" w:rsidRDefault="00755E16" w:rsidP="00755E16">
      <w:pPr>
        <w:pStyle w:val="NormalWeb"/>
      </w:pPr>
      <w:r>
        <w:t xml:space="preserve">On Sept. 29, 2022, in </w:t>
      </w:r>
      <w:r>
        <w:rPr>
          <w:u w:val="single"/>
        </w:rPr>
        <w:t>T.L., a Minor v. City Ambulance of Eureka, Inc</w:t>
      </w:r>
      <w:r>
        <w:t xml:space="preserve">., the California Court of Appeals, First District (First Division), held (3 to 0) that the trial court should not have granted summary judgment to the ambulance company and two EMS; lawsuit to proceed.   </w:t>
      </w:r>
    </w:p>
    <w:p w14:paraId="5F8A900C" w14:textId="77777777" w:rsidR="00755E16" w:rsidRDefault="00755E16" w:rsidP="00755E16">
      <w:pPr>
        <w:pStyle w:val="NormalWeb"/>
        <w:ind w:left="720"/>
      </w:pPr>
      <w:r>
        <w:t xml:space="preserve">“In short, as plaintiff has argued the case on appeal, and in light of the record on appeal, the only claims plaintiff has advanced that have any conceivable traction are that the gurney should have had shoulder harnesses which should have been used, and the rear door of the ambulance should have been locked. As we have </w:t>
      </w:r>
      <w:proofErr w:type="gramStart"/>
      <w:r>
        <w:t>observed,</w:t>
      </w:r>
      <w:proofErr w:type="gramEnd"/>
      <w:r>
        <w:t xml:space="preserve"> whether these claims have any merit was not addressed by the summary judgment motion.” </w:t>
      </w:r>
      <w:hyperlink r:id="rId2227" w:history="1">
        <w:r>
          <w:rPr>
            <w:rStyle w:val="Hyperlink"/>
          </w:rPr>
          <w:t>https://law.justia.com/cases/california/court-of-appeal/2022/a162508.html</w:t>
        </w:r>
      </w:hyperlink>
      <w:r>
        <w:t xml:space="preserve"> </w:t>
      </w:r>
    </w:p>
    <w:bookmarkEnd w:id="439"/>
    <w:p w14:paraId="7733D457" w14:textId="77777777" w:rsidR="00755E16" w:rsidRDefault="00755E16" w:rsidP="00755E16">
      <w:pPr>
        <w:spacing w:before="100" w:beforeAutospacing="1" w:after="100" w:afterAutospacing="1" w:line="240" w:lineRule="auto"/>
        <w:rPr>
          <w:rFonts w:ascii="Times New Roman" w:eastAsia="Times New Roman" w:hAnsi="Times New Roman"/>
          <w:b/>
          <w:bCs/>
          <w:sz w:val="24"/>
          <w:szCs w:val="24"/>
        </w:rPr>
      </w:pPr>
      <w:r>
        <w:rPr>
          <w:rFonts w:ascii="Times New Roman" w:eastAsia="Times New Roman" w:hAnsi="Times New Roman"/>
          <w:b/>
          <w:bCs/>
          <w:sz w:val="24"/>
          <w:szCs w:val="24"/>
        </w:rPr>
        <w:t>Legal Lesson Learned: When transporting a psych patient, use shoulder harness and consider other restraints; lock back door of the ambulance.</w:t>
      </w:r>
    </w:p>
    <w:p w14:paraId="499243AA" w14:textId="77777777" w:rsidR="00755E16" w:rsidRDefault="00755E16" w:rsidP="002B1283">
      <w:pPr>
        <w:rPr>
          <w:rFonts w:ascii="Arial Black" w:hAnsi="Arial Black"/>
          <w:b/>
          <w:bCs/>
          <w:sz w:val="28"/>
          <w:szCs w:val="28"/>
        </w:rPr>
      </w:pPr>
    </w:p>
    <w:p w14:paraId="650E5CFC" w14:textId="77777777" w:rsidR="00755E16" w:rsidRDefault="00755E16" w:rsidP="002B1283">
      <w:pPr>
        <w:rPr>
          <w:rFonts w:ascii="Arial Black" w:hAnsi="Arial Black"/>
          <w:b/>
          <w:bCs/>
          <w:sz w:val="28"/>
          <w:szCs w:val="28"/>
        </w:rPr>
      </w:pPr>
    </w:p>
    <w:p w14:paraId="0CC4C99F" w14:textId="0B3AAD13" w:rsidR="00AC5FED" w:rsidRDefault="00AC5FED" w:rsidP="002B1283">
      <w:pPr>
        <w:rPr>
          <w:rFonts w:ascii="Arial Black" w:hAnsi="Arial Black"/>
          <w:b/>
          <w:bCs/>
          <w:sz w:val="28"/>
          <w:szCs w:val="28"/>
        </w:rPr>
      </w:pPr>
      <w:r>
        <w:rPr>
          <w:rFonts w:ascii="Arial Black" w:hAnsi="Arial Black"/>
          <w:b/>
          <w:bCs/>
          <w:sz w:val="28"/>
          <w:szCs w:val="28"/>
        </w:rPr>
        <w:t>13-125</w:t>
      </w:r>
    </w:p>
    <w:p w14:paraId="48D95C3E" w14:textId="77777777" w:rsidR="00755E16" w:rsidRDefault="00755E16" w:rsidP="00755E16">
      <w:pPr>
        <w:pStyle w:val="NormalWeb"/>
        <w:rPr>
          <w:rFonts w:ascii="Arial Black" w:hAnsi="Arial Black"/>
          <w:b/>
          <w:bCs/>
          <w:sz w:val="28"/>
          <w:szCs w:val="28"/>
        </w:rPr>
      </w:pPr>
      <w:r>
        <w:rPr>
          <w:rFonts w:ascii="Arial Black" w:hAnsi="Arial Black"/>
          <w:b/>
          <w:bCs/>
          <w:sz w:val="28"/>
          <w:szCs w:val="28"/>
        </w:rPr>
        <w:t>GA:  EMS CALLED BY PD – DEFENDANT FOAMING MOUTH, UNRESPONSIVE – NO TRANSPORT / DIED – CASE PROCEED</w:t>
      </w:r>
    </w:p>
    <w:p w14:paraId="55B4A0D8" w14:textId="77777777" w:rsidR="00755E16" w:rsidRDefault="00755E16" w:rsidP="00755E16">
      <w:pPr>
        <w:pStyle w:val="NormalWeb"/>
      </w:pPr>
      <w:r>
        <w:t xml:space="preserve">On Sept. 27, 2022, in </w:t>
      </w:r>
      <w:r>
        <w:rPr>
          <w:u w:val="single"/>
        </w:rPr>
        <w:t>Anthony Wilson, Kimberly Wilson, the parents of Martez Wilson,  et al. v. EMT Sean Flack; Brian Porterfield, Paramedic; City of Douglasville, GA, et al</w:t>
      </w:r>
      <w:r>
        <w:t>., the U.S. Court of Appeals for the 11</w:t>
      </w:r>
      <w:r>
        <w:rPr>
          <w:vertAlign w:val="superscript"/>
        </w:rPr>
        <w:t>th</w:t>
      </w:r>
      <w:r>
        <w:t xml:space="preserve"> Circuit (Atlanta), held (3 to 0)(unpublished decision) that the lawsuit shall be reinstated against the two EMS personnel. </w:t>
      </w:r>
    </w:p>
    <w:p w14:paraId="0D8B7502" w14:textId="77777777" w:rsidR="00755E16" w:rsidRDefault="00755E16" w:rsidP="00755E16">
      <w:pPr>
        <w:pStyle w:val="NormalWeb"/>
        <w:ind w:left="720"/>
      </w:pPr>
      <w:r>
        <w:t xml:space="preserve">“It is undisputed that Defendants conducted a medical assessment of Wilson when they were called to the scene of his arrest. Specifically, they felt Wilson's skin, visually assessed his breathing by watching his chest movements, and used a ZOLL monitor to determine his pulse and oxygen levels. Based on their assessment, Defendants determined that no further assessment or treatment of Wilson was necessary. As discussed above, a jury might reasonably infer that this determination was so reckless that it amounted to a deliberate indifference to Wilson's obvious medical needs, particularly given the additional information Defendants received at the end of their assessment that Wilson was foaming at the mouth.” </w:t>
      </w:r>
      <w:hyperlink r:id="rId2228" w:history="1">
        <w:r>
          <w:rPr>
            <w:rStyle w:val="Hyperlink"/>
          </w:rPr>
          <w:t>https://media.ca11.uscourts.gov/opinions/unpub/files/201914294.pdf</w:t>
        </w:r>
      </w:hyperlink>
      <w:r>
        <w:t xml:space="preserve"> </w:t>
      </w:r>
    </w:p>
    <w:p w14:paraId="4CDB86C7" w14:textId="77777777" w:rsidR="00755E16" w:rsidRDefault="00755E16" w:rsidP="00755E16">
      <w:pPr>
        <w:pStyle w:val="NormalWeb"/>
        <w:rPr>
          <w:b/>
          <w:bCs/>
        </w:rPr>
      </w:pPr>
      <w:r>
        <w:rPr>
          <w:b/>
          <w:bCs/>
        </w:rPr>
        <w:t xml:space="preserve">Legal Lesson Learned: If a patient is unresponsive, transport to a hospital. </w:t>
      </w:r>
    </w:p>
    <w:p w14:paraId="5138533C" w14:textId="77777777" w:rsidR="00AC5FED" w:rsidRDefault="00AC5FED" w:rsidP="002B1283">
      <w:pPr>
        <w:rPr>
          <w:rFonts w:ascii="Arial Black" w:hAnsi="Arial Black"/>
          <w:b/>
          <w:bCs/>
          <w:sz w:val="28"/>
          <w:szCs w:val="28"/>
        </w:rPr>
      </w:pPr>
    </w:p>
    <w:p w14:paraId="274F08B9" w14:textId="77777777" w:rsidR="00AC5FED" w:rsidRDefault="00AC5FED" w:rsidP="002B1283">
      <w:pPr>
        <w:rPr>
          <w:rFonts w:ascii="Arial Black" w:hAnsi="Arial Black"/>
          <w:b/>
          <w:bCs/>
          <w:sz w:val="28"/>
          <w:szCs w:val="28"/>
        </w:rPr>
      </w:pPr>
    </w:p>
    <w:p w14:paraId="11CC5DEF" w14:textId="74777EF9" w:rsidR="00AC5FED" w:rsidRDefault="00AC5FED" w:rsidP="002B1283">
      <w:pPr>
        <w:rPr>
          <w:rFonts w:ascii="Arial Black" w:hAnsi="Arial Black"/>
          <w:b/>
          <w:bCs/>
          <w:sz w:val="28"/>
          <w:szCs w:val="28"/>
        </w:rPr>
      </w:pPr>
      <w:r>
        <w:rPr>
          <w:rFonts w:ascii="Arial Black" w:hAnsi="Arial Black"/>
          <w:b/>
          <w:bCs/>
          <w:sz w:val="28"/>
          <w:szCs w:val="28"/>
        </w:rPr>
        <w:t>13-124</w:t>
      </w:r>
    </w:p>
    <w:p w14:paraId="0FB6D7C4" w14:textId="77777777" w:rsidR="00AC5FED" w:rsidRDefault="00AC5FED" w:rsidP="00AC5FED">
      <w:pPr>
        <w:pStyle w:val="NormalWeb"/>
        <w:rPr>
          <w:rFonts w:ascii="Arial Black" w:hAnsi="Arial Black"/>
          <w:b/>
          <w:bCs/>
          <w:sz w:val="28"/>
          <w:szCs w:val="28"/>
        </w:rPr>
      </w:pPr>
      <w:r>
        <w:rPr>
          <w:rFonts w:ascii="Arial Black" w:hAnsi="Arial Black"/>
          <w:b/>
          <w:bCs/>
          <w:sz w:val="28"/>
          <w:szCs w:val="28"/>
        </w:rPr>
        <w:t>AR: WHEELCHAIR PATIENT – ASKED NOT USE SHOULDER HARNESS – FELL OUT, LATER DIED - 75% LIABILITY</w:t>
      </w:r>
    </w:p>
    <w:p w14:paraId="74802F79" w14:textId="77777777" w:rsidR="00AC5FED" w:rsidRPr="00AC5FED" w:rsidRDefault="00AC5FED" w:rsidP="00AC5FED">
      <w:pPr>
        <w:pStyle w:val="NormalWeb"/>
      </w:pPr>
      <w:r w:rsidRPr="00AC5FED">
        <w:t xml:space="preserve">On Sept. 16, 2022, in </w:t>
      </w:r>
      <w:r w:rsidRPr="00AC5FED">
        <w:rPr>
          <w:u w:val="single"/>
        </w:rPr>
        <w:t>Clementine Thomas v. United States of America</w:t>
      </w:r>
      <w:r w:rsidRPr="00AC5FED">
        <w:t xml:space="preserve">, U.S. District Court Judge Dominie W. Lanza, U.S. District of Arizona, held that the Federal government, which had contracted with private ambulance company, is 75% liable in damages, not 100% since the patient was 25% at fault. </w:t>
      </w:r>
    </w:p>
    <w:p w14:paraId="54525857" w14:textId="74AA3AC7" w:rsidR="00AC5FED" w:rsidRPr="00AC5FED" w:rsidRDefault="00AC5FED" w:rsidP="00AC5FED">
      <w:pPr>
        <w:ind w:left="720"/>
        <w:rPr>
          <w:rFonts w:ascii="Times New Roman" w:hAnsi="Times New Roman"/>
          <w:b/>
          <w:bCs/>
          <w:sz w:val="24"/>
          <w:szCs w:val="24"/>
        </w:rPr>
      </w:pPr>
      <w:r w:rsidRPr="00AC5FED">
        <w:rPr>
          <w:rFonts w:ascii="Times New Roman" w:hAnsi="Times New Roman"/>
          <w:sz w:val="24"/>
          <w:szCs w:val="24"/>
        </w:rPr>
        <w:t xml:space="preserve">“Here, [Veronica] Stevens bears 25% of the fault </w:t>
      </w:r>
      <w:proofErr w:type="gramStart"/>
      <w:r w:rsidRPr="00AC5FED">
        <w:rPr>
          <w:rFonts w:ascii="Times New Roman" w:hAnsi="Times New Roman"/>
          <w:sz w:val="24"/>
          <w:szCs w:val="24"/>
        </w:rPr>
        <w:t>in light of the fact that</w:t>
      </w:r>
      <w:proofErr w:type="gramEnd"/>
      <w:r w:rsidRPr="00AC5FED">
        <w:rPr>
          <w:rFonts w:ascii="Times New Roman" w:hAnsi="Times New Roman"/>
          <w:sz w:val="24"/>
          <w:szCs w:val="24"/>
        </w:rPr>
        <w:t xml:space="preserve"> Parker failed to secure the shoulder belt at her request. None of the other passengers in the van suffered injury from the braking incident, which suggests that if Stevens had simply allowed Parker to belt her into place (as had been his practice until she instructed him to stop), she would have avoided injury, </w:t>
      </w:r>
      <w:proofErr w:type="gramStart"/>
      <w:r w:rsidRPr="00AC5FED">
        <w:rPr>
          <w:rFonts w:ascii="Times New Roman" w:hAnsi="Times New Roman"/>
          <w:sz w:val="24"/>
          <w:szCs w:val="24"/>
        </w:rPr>
        <w:t>too.”</w:t>
      </w:r>
      <w:proofErr w:type="gramEnd"/>
      <w:r w:rsidRPr="00AC5FED">
        <w:rPr>
          <w:rFonts w:ascii="Times New Roman" w:hAnsi="Times New Roman"/>
          <w:sz w:val="24"/>
          <w:szCs w:val="24"/>
        </w:rPr>
        <w:t xml:space="preserve"> </w:t>
      </w:r>
      <w:hyperlink r:id="rId2229" w:history="1">
        <w:r w:rsidRPr="00AC5FED">
          <w:rPr>
            <w:rStyle w:val="Hyperlink"/>
            <w:rFonts w:ascii="Times New Roman" w:hAnsi="Times New Roman"/>
            <w:sz w:val="24"/>
            <w:szCs w:val="24"/>
          </w:rPr>
          <w:t>https://public.fastcase.com/J%2FJP6pdidelsXxEE4k%2BLMs47M8bX1jWCTU1t0SYWR19Iu9IUPatjWgRJl3RKX2DrLTQazC1ae%2FBWEsyi8L93eaS1AKPtR90SvCK0pYsfZI4%3D</w:t>
        </w:r>
      </w:hyperlink>
    </w:p>
    <w:p w14:paraId="32A8DB4C" w14:textId="77777777" w:rsidR="00AC5FED" w:rsidRDefault="00AC5FED" w:rsidP="00AC5FED">
      <w:pPr>
        <w:pStyle w:val="NormalWeb"/>
        <w:rPr>
          <w:b/>
          <w:bCs/>
        </w:rPr>
      </w:pPr>
      <w:r>
        <w:rPr>
          <w:b/>
          <w:bCs/>
        </w:rPr>
        <w:t xml:space="preserve">Legal Lesson Learned: When transporting </w:t>
      </w:r>
      <w:proofErr w:type="gramStart"/>
      <w:r>
        <w:rPr>
          <w:b/>
          <w:bCs/>
        </w:rPr>
        <w:t>patient</w:t>
      </w:r>
      <w:proofErr w:type="gramEnd"/>
      <w:r>
        <w:rPr>
          <w:b/>
          <w:bCs/>
        </w:rPr>
        <w:t xml:space="preserve">, use all the seat and harness belts, even if </w:t>
      </w:r>
      <w:proofErr w:type="gramStart"/>
      <w:r>
        <w:rPr>
          <w:b/>
          <w:bCs/>
        </w:rPr>
        <w:t>patient</w:t>
      </w:r>
      <w:proofErr w:type="gramEnd"/>
      <w:r>
        <w:rPr>
          <w:b/>
          <w:bCs/>
        </w:rPr>
        <w:t xml:space="preserve"> </w:t>
      </w:r>
      <w:proofErr w:type="gramStart"/>
      <w:r>
        <w:rPr>
          <w:b/>
          <w:bCs/>
        </w:rPr>
        <w:t>requests</w:t>
      </w:r>
      <w:proofErr w:type="gramEnd"/>
      <w:r>
        <w:rPr>
          <w:b/>
          <w:bCs/>
        </w:rPr>
        <w:t xml:space="preserve"> not use harness belts.  </w:t>
      </w:r>
    </w:p>
    <w:p w14:paraId="12AA5471" w14:textId="77777777" w:rsidR="00AC5FED" w:rsidRDefault="00AC5FED" w:rsidP="002B1283">
      <w:pPr>
        <w:rPr>
          <w:rFonts w:ascii="Arial Black" w:hAnsi="Arial Black"/>
          <w:b/>
          <w:bCs/>
          <w:sz w:val="28"/>
          <w:szCs w:val="28"/>
        </w:rPr>
      </w:pPr>
    </w:p>
    <w:p w14:paraId="70EFC0D9" w14:textId="2300735D" w:rsidR="00AC5FED" w:rsidRDefault="00AC5FED" w:rsidP="002B1283">
      <w:pPr>
        <w:rPr>
          <w:rFonts w:ascii="Arial Black" w:hAnsi="Arial Black"/>
          <w:b/>
          <w:bCs/>
          <w:sz w:val="28"/>
          <w:szCs w:val="28"/>
        </w:rPr>
      </w:pPr>
      <w:r>
        <w:rPr>
          <w:rFonts w:ascii="Arial Black" w:hAnsi="Arial Black"/>
          <w:b/>
          <w:bCs/>
          <w:sz w:val="28"/>
          <w:szCs w:val="28"/>
        </w:rPr>
        <w:t>13-123</w:t>
      </w:r>
    </w:p>
    <w:p w14:paraId="78CACB3C" w14:textId="77777777" w:rsidR="00AC5FED" w:rsidRDefault="00AC5FED" w:rsidP="00AC5FED">
      <w:pPr>
        <w:pStyle w:val="NormalWeb"/>
        <w:rPr>
          <w:rFonts w:ascii="Arial Black" w:hAnsi="Arial Black"/>
          <w:b/>
          <w:bCs/>
          <w:sz w:val="28"/>
          <w:szCs w:val="28"/>
        </w:rPr>
      </w:pPr>
      <w:r>
        <w:rPr>
          <w:rFonts w:ascii="Arial Black" w:hAnsi="Arial Black"/>
          <w:b/>
          <w:bCs/>
          <w:sz w:val="28"/>
          <w:szCs w:val="28"/>
        </w:rPr>
        <w:t>MD: PD ASSAULTED - DURING EMS TRANSPORT DEF. SAID “WENT FOR THAT WEAPON” – ADMISSIBLE IN CRIM. CASE</w:t>
      </w:r>
    </w:p>
    <w:p w14:paraId="16E3C1B9" w14:textId="77777777" w:rsidR="00AC5FED" w:rsidRDefault="00AC5FED" w:rsidP="00AC5FED">
      <w:pPr>
        <w:pStyle w:val="NormalWeb"/>
      </w:pPr>
      <w:r>
        <w:t xml:space="preserve">On Aug. 31, 2022, in </w:t>
      </w:r>
      <w:r>
        <w:rPr>
          <w:u w:val="single"/>
        </w:rPr>
        <w:t>Stanley C. Butler, Jr. v. State of Maryland</w:t>
      </w:r>
      <w:r>
        <w:t xml:space="preserve">, the Court of Appeal Appeals of Maryland held (3 to 0) that the defendant’s comments in the back of ambulance were admissible to the jury in his criminal trial for disarming a law-enforcement officer, assault on a law-enforcement officer, two counts of second-degree assault, and resisting arrest. </w:t>
      </w:r>
    </w:p>
    <w:p w14:paraId="3A8B92AD" w14:textId="77777777" w:rsidR="00AC5FED" w:rsidRDefault="00AC5FED" w:rsidP="00AC5FED">
      <w:pPr>
        <w:pStyle w:val="NormalWeb"/>
        <w:ind w:left="720"/>
      </w:pPr>
      <w:r>
        <w:t xml:space="preserve">“We reach the same conclusion as the circuit court in holding that [EMT] English was not a </w:t>
      </w:r>
      <w:proofErr w:type="gramStart"/>
      <w:r>
        <w:t>State</w:t>
      </w:r>
      <w:proofErr w:type="gramEnd"/>
      <w:r>
        <w:t xml:space="preserve"> agent. *** The [trial] court reasoned that EMTs are ‘civilians, they are not commissioned police officers . . . They are independent,’ and that Officer Kilgore did not ask Butler any questions or direct English to ask Butler any questions. </w:t>
      </w:r>
      <w:hyperlink r:id="rId2230" w:history="1">
        <w:r w:rsidRPr="0078619C">
          <w:rPr>
            <w:rStyle w:val="Hyperlink"/>
          </w:rPr>
          <w:t>https://mdcourts.gov/data/opinions/cosa/2022/1037s21.pdf</w:t>
        </w:r>
      </w:hyperlink>
      <w:r>
        <w:t xml:space="preserve"> </w:t>
      </w:r>
    </w:p>
    <w:p w14:paraId="4A0A030E" w14:textId="77777777" w:rsidR="00AC5FED" w:rsidRDefault="00AC5FED" w:rsidP="00AC5FED">
      <w:pPr>
        <w:pStyle w:val="NormalWeb"/>
        <w:rPr>
          <w:b/>
          <w:bCs/>
        </w:rPr>
      </w:pPr>
      <w:r>
        <w:rPr>
          <w:b/>
          <w:bCs/>
        </w:rPr>
        <w:t xml:space="preserve">Legal Lesson Learned: EMS may ask patient [defendant] questions related to his medical condition during transport with police on board; spontaneous confessions are generally admissible in criminal </w:t>
      </w:r>
      <w:proofErr w:type="gramStart"/>
      <w:r>
        <w:rPr>
          <w:b/>
          <w:bCs/>
        </w:rPr>
        <w:t>case</w:t>
      </w:r>
      <w:proofErr w:type="gramEnd"/>
      <w:r>
        <w:rPr>
          <w:b/>
          <w:bCs/>
        </w:rPr>
        <w:t xml:space="preserve">. </w:t>
      </w:r>
    </w:p>
    <w:p w14:paraId="63567E1D" w14:textId="77777777" w:rsidR="00AC5FED" w:rsidRDefault="00AC5FED" w:rsidP="002B1283">
      <w:pPr>
        <w:rPr>
          <w:rFonts w:ascii="Arial Black" w:hAnsi="Arial Black"/>
          <w:b/>
          <w:bCs/>
          <w:sz w:val="28"/>
          <w:szCs w:val="28"/>
        </w:rPr>
      </w:pPr>
    </w:p>
    <w:p w14:paraId="26791CDE" w14:textId="77777777" w:rsidR="00AC5FED" w:rsidRDefault="00AC5FED" w:rsidP="002B1283">
      <w:pPr>
        <w:rPr>
          <w:rFonts w:ascii="Arial Black" w:hAnsi="Arial Black"/>
          <w:b/>
          <w:bCs/>
          <w:sz w:val="28"/>
          <w:szCs w:val="28"/>
        </w:rPr>
      </w:pPr>
    </w:p>
    <w:p w14:paraId="43D22E55" w14:textId="38C63201" w:rsidR="006E70F8" w:rsidRDefault="006E70F8" w:rsidP="002B1283">
      <w:pPr>
        <w:rPr>
          <w:rFonts w:ascii="Arial Black" w:hAnsi="Arial Black"/>
          <w:b/>
          <w:bCs/>
          <w:sz w:val="28"/>
          <w:szCs w:val="28"/>
        </w:rPr>
      </w:pPr>
      <w:r>
        <w:rPr>
          <w:rFonts w:ascii="Arial Black" w:hAnsi="Arial Black"/>
          <w:b/>
          <w:bCs/>
          <w:sz w:val="28"/>
          <w:szCs w:val="28"/>
        </w:rPr>
        <w:t>13-122</w:t>
      </w:r>
    </w:p>
    <w:p w14:paraId="4DB3CA91" w14:textId="77777777" w:rsidR="006E70F8" w:rsidRDefault="006E70F8" w:rsidP="006E70F8">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WY: CAPTAIN FIRING UPHELD - FREQUENT 911 CALLER FOR LIFT ASSISTS – “KICK HER ASS” – PROVIDED DUE PROCESS</w:t>
      </w:r>
    </w:p>
    <w:p w14:paraId="056F03B5" w14:textId="66A63A04" w:rsidR="006E70F8" w:rsidRDefault="006E70F8" w:rsidP="006E70F8">
      <w:pPr>
        <w:spacing w:before="100" w:beforeAutospacing="1" w:after="100" w:afterAutospacing="1" w:line="240" w:lineRule="auto"/>
        <w:rPr>
          <w:rFonts w:ascii="Times New Roman" w:hAnsi="Times New Roman"/>
          <w:sz w:val="24"/>
          <w:szCs w:val="24"/>
        </w:rPr>
      </w:pPr>
      <w:bookmarkStart w:id="440" w:name="_Hlk112724120"/>
      <w:r w:rsidRPr="007E4B1C">
        <w:rPr>
          <w:rFonts w:ascii="Times New Roman" w:eastAsia="Times New Roman" w:hAnsi="Times New Roman"/>
          <w:sz w:val="24"/>
          <w:szCs w:val="24"/>
        </w:rPr>
        <w:t xml:space="preserve">On Aug. 24, 2022, in </w:t>
      </w:r>
      <w:r w:rsidRPr="007E4B1C">
        <w:rPr>
          <w:rFonts w:ascii="Times New Roman" w:eastAsia="Times New Roman" w:hAnsi="Times New Roman"/>
          <w:sz w:val="24"/>
          <w:szCs w:val="24"/>
          <w:u w:val="single"/>
        </w:rPr>
        <w:t>City of Rawlins v. Stephanie Schofield</w:t>
      </w:r>
      <w:r>
        <w:rPr>
          <w:rFonts w:ascii="Times New Roman" w:eastAsia="Times New Roman" w:hAnsi="Times New Roman"/>
          <w:sz w:val="24"/>
          <w:szCs w:val="24"/>
        </w:rPr>
        <w:t>, the Supreme Court of Wyoming held (5 to 0) that the trial court improperly overturned the Civil Service Commission</w:t>
      </w:r>
      <w:r w:rsidR="00B96B6D">
        <w:rPr>
          <w:rFonts w:ascii="Times New Roman" w:eastAsia="Times New Roman" w:hAnsi="Times New Roman"/>
          <w:sz w:val="24"/>
          <w:szCs w:val="24"/>
        </w:rPr>
        <w:t>; Supreme Court upheld the termination.</w:t>
      </w:r>
      <w:r>
        <w:rPr>
          <w:rFonts w:ascii="Times New Roman" w:eastAsia="Times New Roman" w:hAnsi="Times New Roman"/>
          <w:sz w:val="24"/>
          <w:szCs w:val="24"/>
        </w:rPr>
        <w:t xml:space="preserve">  Captain, while initially fired by the interim City Manager without </w:t>
      </w:r>
      <w:proofErr w:type="gramStart"/>
      <w:r>
        <w:rPr>
          <w:rFonts w:ascii="Times New Roman" w:eastAsia="Times New Roman" w:hAnsi="Times New Roman"/>
          <w:sz w:val="24"/>
          <w:szCs w:val="24"/>
        </w:rPr>
        <w:t>a hearing</w:t>
      </w:r>
      <w:proofErr w:type="gramEnd"/>
      <w:r>
        <w:rPr>
          <w:rFonts w:ascii="Times New Roman" w:eastAsia="Times New Roman" w:hAnsi="Times New Roman"/>
          <w:sz w:val="24"/>
          <w:szCs w:val="24"/>
        </w:rPr>
        <w:t>, was ultimately provided due process hearing by the Civil Service Commission. “</w:t>
      </w:r>
      <w:r w:rsidRPr="00E058A7">
        <w:rPr>
          <w:rFonts w:ascii="Times New Roman" w:hAnsi="Times New Roman"/>
          <w:sz w:val="24"/>
          <w:szCs w:val="24"/>
        </w:rPr>
        <w:t xml:space="preserve">The City's rescission of its original termination letter and reinstatement of Ms. Schofield with back pay rendered the initial due process violations moot. The City's June 8, </w:t>
      </w:r>
      <w:proofErr w:type="gramStart"/>
      <w:r w:rsidRPr="00E058A7">
        <w:rPr>
          <w:rFonts w:ascii="Times New Roman" w:hAnsi="Times New Roman"/>
          <w:sz w:val="24"/>
          <w:szCs w:val="24"/>
        </w:rPr>
        <w:t>2020</w:t>
      </w:r>
      <w:proofErr w:type="gramEnd"/>
      <w:r w:rsidRPr="00E058A7">
        <w:rPr>
          <w:rFonts w:ascii="Times New Roman" w:hAnsi="Times New Roman"/>
          <w:sz w:val="24"/>
          <w:szCs w:val="24"/>
        </w:rPr>
        <w:t xml:space="preserve"> notice of request for termination provided Ms. Schofield notice of the reasons it relied on in requesting her termination. The contested case hearing provided Ms. </w:t>
      </w:r>
      <w:proofErr w:type="gramStart"/>
      <w:r w:rsidRPr="00E058A7">
        <w:rPr>
          <w:rFonts w:ascii="Times New Roman" w:hAnsi="Times New Roman"/>
          <w:sz w:val="24"/>
          <w:szCs w:val="24"/>
        </w:rPr>
        <w:t>Schofield</w:t>
      </w:r>
      <w:proofErr w:type="gramEnd"/>
      <w:r w:rsidRPr="00E058A7">
        <w:rPr>
          <w:rFonts w:ascii="Times New Roman" w:hAnsi="Times New Roman"/>
          <w:sz w:val="24"/>
          <w:szCs w:val="24"/>
        </w:rPr>
        <w:t xml:space="preserve"> a full and fair opportunity to respond to the reasons underlying the request that her employment be terminated. The Commission's Findings of Fact, Conclusions of Law and Order was supported by substantial evidence and was not arbitrary and capricious, or otherwise not in accordance with law. We reverse the decision of the district court and affirm the Commission's order.</w:t>
      </w:r>
      <w:r>
        <w:rPr>
          <w:rFonts w:ascii="Times New Roman" w:hAnsi="Times New Roman"/>
          <w:sz w:val="24"/>
          <w:szCs w:val="24"/>
        </w:rPr>
        <w:t xml:space="preserve">”  </w:t>
      </w:r>
      <w:r>
        <w:rPr>
          <w:rFonts w:ascii="Times New Roman" w:eastAsia="Times New Roman" w:hAnsi="Times New Roman"/>
          <w:sz w:val="24"/>
          <w:szCs w:val="24"/>
        </w:rPr>
        <w:t xml:space="preserve"> </w:t>
      </w:r>
      <w:hyperlink r:id="rId2231" w:history="1">
        <w:r w:rsidRPr="00301464">
          <w:rPr>
            <w:rStyle w:val="Hyperlink"/>
            <w:rFonts w:ascii="Times New Roman" w:hAnsi="Times New Roman"/>
          </w:rPr>
          <w:t>https://law.justia.com/cases/wyoming/supreme-court/2022/s-21-0278.html</w:t>
        </w:r>
      </w:hyperlink>
      <w:r>
        <w:rPr>
          <w:rFonts w:ascii="Times New Roman" w:hAnsi="Times New Roman"/>
          <w:sz w:val="24"/>
          <w:szCs w:val="24"/>
        </w:rPr>
        <w:t xml:space="preserve"> </w:t>
      </w:r>
    </w:p>
    <w:bookmarkEnd w:id="440"/>
    <w:p w14:paraId="4C25FA77" w14:textId="77777777" w:rsidR="00B96B6D" w:rsidRPr="008F6CF7" w:rsidRDefault="00B96B6D" w:rsidP="00B96B6D">
      <w:pPr>
        <w:spacing w:before="100" w:beforeAutospacing="1" w:after="100" w:afterAutospacing="1" w:line="240" w:lineRule="auto"/>
        <w:rPr>
          <w:rFonts w:ascii="Times New Roman" w:hAnsi="Times New Roman"/>
          <w:b/>
          <w:bCs/>
          <w:sz w:val="24"/>
          <w:szCs w:val="24"/>
        </w:rPr>
      </w:pPr>
      <w:r w:rsidRPr="008F6CF7">
        <w:rPr>
          <w:rFonts w:ascii="Times New Roman" w:hAnsi="Times New Roman"/>
          <w:b/>
          <w:bCs/>
          <w:sz w:val="24"/>
          <w:szCs w:val="24"/>
        </w:rPr>
        <w:t>Legal Lesson Learned:</w:t>
      </w:r>
      <w:r>
        <w:rPr>
          <w:rFonts w:ascii="Times New Roman" w:hAnsi="Times New Roman"/>
          <w:b/>
          <w:bCs/>
          <w:sz w:val="24"/>
          <w:szCs w:val="24"/>
        </w:rPr>
        <w:t xml:space="preserve"> The City corrected its initial mistake of terminating the </w:t>
      </w:r>
      <w:proofErr w:type="gramStart"/>
      <w:r>
        <w:rPr>
          <w:rFonts w:ascii="Times New Roman" w:hAnsi="Times New Roman"/>
          <w:b/>
          <w:bCs/>
          <w:sz w:val="24"/>
          <w:szCs w:val="24"/>
        </w:rPr>
        <w:t>Captain</w:t>
      </w:r>
      <w:proofErr w:type="gramEnd"/>
      <w:r>
        <w:rPr>
          <w:rFonts w:ascii="Times New Roman" w:hAnsi="Times New Roman"/>
          <w:b/>
          <w:bCs/>
          <w:sz w:val="24"/>
          <w:szCs w:val="24"/>
        </w:rPr>
        <w:t xml:space="preserve"> without </w:t>
      </w:r>
      <w:proofErr w:type="gramStart"/>
      <w:r>
        <w:rPr>
          <w:rFonts w:ascii="Times New Roman" w:hAnsi="Times New Roman"/>
          <w:b/>
          <w:bCs/>
          <w:sz w:val="24"/>
          <w:szCs w:val="24"/>
        </w:rPr>
        <w:t>a due</w:t>
      </w:r>
      <w:proofErr w:type="gramEnd"/>
      <w:r>
        <w:rPr>
          <w:rFonts w:ascii="Times New Roman" w:hAnsi="Times New Roman"/>
          <w:b/>
          <w:bCs/>
          <w:sz w:val="24"/>
          <w:szCs w:val="24"/>
        </w:rPr>
        <w:t xml:space="preserve"> process hearing; wisely then provided hearing before the Civil Service Commission.</w:t>
      </w:r>
    </w:p>
    <w:p w14:paraId="2CCE1DE6" w14:textId="77777777" w:rsidR="006E70F8" w:rsidRDefault="006E70F8" w:rsidP="002B1283">
      <w:pPr>
        <w:rPr>
          <w:rFonts w:ascii="Arial Black" w:hAnsi="Arial Black"/>
          <w:b/>
          <w:bCs/>
          <w:sz w:val="28"/>
          <w:szCs w:val="28"/>
        </w:rPr>
      </w:pPr>
    </w:p>
    <w:p w14:paraId="7F940AEA" w14:textId="77777777" w:rsidR="006E70F8" w:rsidRDefault="006E70F8" w:rsidP="002B1283">
      <w:pPr>
        <w:rPr>
          <w:rFonts w:ascii="Arial Black" w:hAnsi="Arial Black"/>
          <w:b/>
          <w:bCs/>
          <w:sz w:val="28"/>
          <w:szCs w:val="28"/>
        </w:rPr>
      </w:pPr>
    </w:p>
    <w:p w14:paraId="7938F716" w14:textId="7148593A" w:rsidR="00282AF3" w:rsidRDefault="006E70F8" w:rsidP="002B1283">
      <w:pPr>
        <w:rPr>
          <w:rFonts w:ascii="Arial Black" w:hAnsi="Arial Black"/>
          <w:b/>
          <w:bCs/>
          <w:sz w:val="28"/>
          <w:szCs w:val="28"/>
        </w:rPr>
      </w:pPr>
      <w:r>
        <w:rPr>
          <w:rFonts w:ascii="Arial Black" w:hAnsi="Arial Black"/>
          <w:b/>
          <w:bCs/>
          <w:sz w:val="28"/>
          <w:szCs w:val="28"/>
        </w:rPr>
        <w:lastRenderedPageBreak/>
        <w:t>13-121</w:t>
      </w:r>
    </w:p>
    <w:p w14:paraId="3E4C331A" w14:textId="77777777" w:rsidR="006E70F8" w:rsidRPr="00757ECB" w:rsidRDefault="006E70F8" w:rsidP="006E70F8">
      <w:pPr>
        <w:spacing w:before="100" w:beforeAutospacing="1" w:after="100" w:afterAutospacing="1" w:line="240" w:lineRule="auto"/>
        <w:rPr>
          <w:rFonts w:ascii="Arial Black" w:hAnsi="Arial Black"/>
          <w:sz w:val="28"/>
          <w:szCs w:val="28"/>
        </w:rPr>
      </w:pPr>
      <w:bookmarkStart w:id="441" w:name="_Hlk112723764"/>
      <w:r>
        <w:rPr>
          <w:rFonts w:ascii="Arial Black" w:hAnsi="Arial Black"/>
          <w:sz w:val="28"/>
          <w:szCs w:val="28"/>
        </w:rPr>
        <w:t>TX: STRETCHER - 94-YR-OLD PATIENT - FELL ONTO SLOPED DRIVEWAY - HEAD INJURY, DIED 8 DAYS – GOV. IMMUNITY</w:t>
      </w:r>
    </w:p>
    <w:p w14:paraId="0C514DA1" w14:textId="77777777" w:rsidR="006E70F8" w:rsidRDefault="006E70F8" w:rsidP="006E70F8">
      <w:pPr>
        <w:spacing w:before="100" w:beforeAutospacing="1" w:after="100" w:afterAutospacing="1" w:line="240" w:lineRule="auto"/>
        <w:rPr>
          <w:rFonts w:ascii="Times New Roman" w:hAnsi="Times New Roman"/>
          <w:sz w:val="24"/>
          <w:szCs w:val="24"/>
        </w:rPr>
      </w:pPr>
      <w:r>
        <w:rPr>
          <w:rFonts w:ascii="Times New Roman" w:eastAsia="Times New Roman" w:hAnsi="Times New Roman"/>
          <w:sz w:val="24"/>
          <w:szCs w:val="24"/>
        </w:rPr>
        <w:t xml:space="preserve">On Aug. 23, 2022, in </w:t>
      </w:r>
      <w:r w:rsidRPr="00D72934">
        <w:rPr>
          <w:rFonts w:ascii="Times New Roman" w:eastAsia="Times New Roman" w:hAnsi="Times New Roman"/>
          <w:sz w:val="24"/>
          <w:szCs w:val="24"/>
          <w:u w:val="single"/>
        </w:rPr>
        <w:t>City of Houston v. Kathy Denby</w:t>
      </w:r>
      <w:r>
        <w:rPr>
          <w:rFonts w:ascii="Times New Roman" w:eastAsia="Times New Roman" w:hAnsi="Times New Roman"/>
          <w:sz w:val="24"/>
          <w:szCs w:val="24"/>
        </w:rPr>
        <w:t xml:space="preserve">, Court of Appeals of Texas, First District, held (3 to 0) that the trial judge’s decision denying the City’s motion for summary judgment is reversed; </w:t>
      </w:r>
      <w:r w:rsidRPr="002F4B1C">
        <w:rPr>
          <w:rFonts w:ascii="Times New Roman" w:eastAsia="Times New Roman" w:hAnsi="Times New Roman"/>
          <w:sz w:val="24"/>
          <w:szCs w:val="24"/>
        </w:rPr>
        <w:t xml:space="preserve">the City </w:t>
      </w:r>
      <w:r w:rsidRPr="002F4B1C">
        <w:rPr>
          <w:rFonts w:ascii="Times New Roman" w:hAnsi="Times New Roman"/>
          <w:sz w:val="24"/>
          <w:szCs w:val="24"/>
        </w:rPr>
        <w:t>“here retains its immunity under the 9-1-1 Emergency Services exception to the TTCA [Texas Tort Claims Act.</w:t>
      </w:r>
      <w:r>
        <w:rPr>
          <w:rFonts w:ascii="Times New Roman" w:hAnsi="Times New Roman"/>
          <w:sz w:val="24"/>
          <w:szCs w:val="24"/>
        </w:rPr>
        <w:t xml:space="preserve"> *** </w:t>
      </w:r>
      <w:r w:rsidRPr="007D078B">
        <w:rPr>
          <w:rFonts w:ascii="Times New Roman" w:hAnsi="Times New Roman"/>
          <w:sz w:val="24"/>
          <w:szCs w:val="24"/>
        </w:rPr>
        <w:t>Moreover, even if we concluded that the EMTs acted in a way that breached the standard of ordinary care, we could not say section 773.009 was violated."</w:t>
      </w:r>
      <w:r>
        <w:rPr>
          <w:rFonts w:ascii="Times New Roman" w:hAnsi="Times New Roman"/>
          <w:sz w:val="24"/>
          <w:szCs w:val="24"/>
        </w:rPr>
        <w:t xml:space="preserve"> </w:t>
      </w:r>
      <w:r w:rsidRPr="002F4B1C">
        <w:rPr>
          <w:rFonts w:ascii="Times New Roman" w:hAnsi="Times New Roman"/>
          <w:sz w:val="24"/>
          <w:szCs w:val="24"/>
        </w:rPr>
        <w:t xml:space="preserve"> </w:t>
      </w:r>
      <w:hyperlink r:id="rId2232" w:history="1">
        <w:r w:rsidRPr="002F4B1C">
          <w:rPr>
            <w:rStyle w:val="Hyperlink"/>
            <w:rFonts w:ascii="Times New Roman" w:hAnsi="Times New Roman"/>
          </w:rPr>
          <w:t>https://law.justia.com/cases/texas/first-court-of-appeals/2022/01-21-00422-cv.html</w:t>
        </w:r>
      </w:hyperlink>
    </w:p>
    <w:bookmarkEnd w:id="441"/>
    <w:p w14:paraId="32316C9D" w14:textId="77777777" w:rsidR="006E70F8" w:rsidRPr="0062341B" w:rsidRDefault="006E70F8" w:rsidP="006E70F8">
      <w:pPr>
        <w:spacing w:before="100" w:beforeAutospacing="1" w:after="100" w:afterAutospacing="1" w:line="240" w:lineRule="auto"/>
        <w:rPr>
          <w:rFonts w:ascii="Times New Roman" w:eastAsia="Times New Roman" w:hAnsi="Times New Roman"/>
          <w:b/>
          <w:bCs/>
          <w:sz w:val="24"/>
          <w:szCs w:val="24"/>
        </w:rPr>
      </w:pPr>
      <w:r w:rsidRPr="007D078B">
        <w:rPr>
          <w:rFonts w:ascii="Times New Roman" w:eastAsia="Times New Roman" w:hAnsi="Times New Roman"/>
          <w:b/>
          <w:bCs/>
          <w:sz w:val="24"/>
          <w:szCs w:val="24"/>
        </w:rPr>
        <w:t>Legal Lesson Learned:</w:t>
      </w:r>
      <w:r>
        <w:rPr>
          <w:rFonts w:ascii="Times New Roman" w:eastAsia="Times New Roman" w:hAnsi="Times New Roman"/>
          <w:b/>
          <w:bCs/>
          <w:sz w:val="24"/>
          <w:szCs w:val="24"/>
        </w:rPr>
        <w:t xml:space="preserve">  City is protected from liability by the immunity statute; EMS must use extreme care when moving a patient on a stretcher down a sloped driveway.  </w:t>
      </w:r>
    </w:p>
    <w:p w14:paraId="21E88F21" w14:textId="77777777" w:rsidR="006E70F8" w:rsidRDefault="006E70F8" w:rsidP="002B1283">
      <w:pPr>
        <w:rPr>
          <w:rFonts w:ascii="Arial Black" w:hAnsi="Arial Black"/>
          <w:b/>
          <w:bCs/>
          <w:sz w:val="28"/>
          <w:szCs w:val="28"/>
        </w:rPr>
      </w:pPr>
    </w:p>
    <w:p w14:paraId="5E8E0FCE" w14:textId="78E3534E" w:rsidR="00282AF3" w:rsidRDefault="00282AF3" w:rsidP="002B1283">
      <w:pPr>
        <w:rPr>
          <w:rFonts w:ascii="Arial Black" w:hAnsi="Arial Black"/>
          <w:b/>
          <w:bCs/>
          <w:sz w:val="28"/>
          <w:szCs w:val="28"/>
        </w:rPr>
      </w:pPr>
      <w:r>
        <w:rPr>
          <w:rFonts w:ascii="Arial Black" w:hAnsi="Arial Black"/>
          <w:b/>
          <w:bCs/>
          <w:sz w:val="28"/>
          <w:szCs w:val="28"/>
        </w:rPr>
        <w:t>13-120</w:t>
      </w:r>
    </w:p>
    <w:p w14:paraId="45AF80E7" w14:textId="77777777" w:rsidR="00282AF3" w:rsidRPr="00DF7237" w:rsidRDefault="00282AF3" w:rsidP="00282AF3">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TN: FEMALE PATIENT – EMT ALLEGEDLY “STROKED HER RING UP AND DOWN” ASKED MARRIED – CASE DISMISSED</w:t>
      </w:r>
    </w:p>
    <w:p w14:paraId="78F0EE3D" w14:textId="77777777" w:rsidR="00282AF3" w:rsidRDefault="00282AF3" w:rsidP="00282AF3">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On Aug. 22, 2022, in </w:t>
      </w:r>
      <w:r w:rsidRPr="00A95147">
        <w:rPr>
          <w:rFonts w:ascii="Times New Roman" w:hAnsi="Times New Roman"/>
          <w:sz w:val="24"/>
          <w:szCs w:val="24"/>
          <w:u w:val="single"/>
        </w:rPr>
        <w:t xml:space="preserve">Myca Holloway v. Memphis Fire Department and </w:t>
      </w:r>
      <w:proofErr w:type="spellStart"/>
      <w:r w:rsidRPr="00A95147">
        <w:rPr>
          <w:rFonts w:ascii="Times New Roman" w:hAnsi="Times New Roman"/>
          <w:sz w:val="24"/>
          <w:szCs w:val="24"/>
          <w:u w:val="single"/>
        </w:rPr>
        <w:t>Roddi</w:t>
      </w:r>
      <w:proofErr w:type="spellEnd"/>
      <w:r w:rsidRPr="00A95147">
        <w:rPr>
          <w:rFonts w:ascii="Times New Roman" w:hAnsi="Times New Roman"/>
          <w:sz w:val="24"/>
          <w:szCs w:val="24"/>
          <w:u w:val="single"/>
        </w:rPr>
        <w:t xml:space="preserve"> Hugard</w:t>
      </w:r>
      <w:r>
        <w:rPr>
          <w:rFonts w:ascii="Times New Roman" w:hAnsi="Times New Roman"/>
          <w:sz w:val="24"/>
          <w:szCs w:val="24"/>
        </w:rPr>
        <w:t xml:space="preserve">, U.S. District Judge John T. Fowles, Jr., U.S. District Court for Western District of Tennessee [Western Division] held that lawsuit is dismissed with prejudice. </w:t>
      </w:r>
    </w:p>
    <w:p w14:paraId="4DF08F93" w14:textId="77777777" w:rsidR="00282AF3" w:rsidRDefault="00282AF3" w:rsidP="00282AF3">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w:t>
      </w:r>
      <w:r w:rsidRPr="009C356B">
        <w:rPr>
          <w:rFonts w:ascii="Times New Roman" w:eastAsia="Times New Roman" w:hAnsi="Times New Roman"/>
          <w:sz w:val="24"/>
          <w:szCs w:val="24"/>
        </w:rPr>
        <w:t xml:space="preserve">On December 27, 2021, the Magistrate Judge entered an order granting Plaintiff leave to proceed </w:t>
      </w:r>
      <w:r w:rsidRPr="009C356B">
        <w:rPr>
          <w:rFonts w:ascii="Times New Roman" w:eastAsia="Times New Roman" w:hAnsi="Times New Roman"/>
          <w:i/>
          <w:iCs/>
          <w:sz w:val="24"/>
          <w:szCs w:val="24"/>
        </w:rPr>
        <w:t>in forma pauperis</w:t>
      </w:r>
      <w:r w:rsidRPr="009C356B">
        <w:rPr>
          <w:rFonts w:ascii="Times New Roman" w:eastAsia="Times New Roman" w:hAnsi="Times New Roman"/>
          <w:sz w:val="24"/>
          <w:szCs w:val="24"/>
        </w:rPr>
        <w:t xml:space="preserve"> and a report and recommendation that the § 1983 action should be dismissed with prejudice for failure to state a claim for which relief may be granted</w:t>
      </w:r>
      <w:r>
        <w:rPr>
          <w:rFonts w:ascii="Times New Roman" w:eastAsia="Times New Roman" w:hAnsi="Times New Roman"/>
          <w:sz w:val="24"/>
          <w:szCs w:val="24"/>
        </w:rPr>
        <w:t xml:space="preserve">…. </w:t>
      </w:r>
      <w:r w:rsidRPr="009C356B">
        <w:rPr>
          <w:rFonts w:ascii="Times New Roman" w:eastAsia="Times New Roman" w:hAnsi="Times New Roman"/>
          <w:sz w:val="24"/>
          <w:szCs w:val="24"/>
        </w:rPr>
        <w:t xml:space="preserve">The Magistrate Judge noted that Holloway alleged that </w:t>
      </w:r>
      <w:proofErr w:type="spellStart"/>
      <w:r w:rsidRPr="009C356B">
        <w:rPr>
          <w:rFonts w:ascii="Times New Roman" w:eastAsia="Times New Roman" w:hAnsi="Times New Roman"/>
          <w:sz w:val="24"/>
          <w:szCs w:val="24"/>
        </w:rPr>
        <w:t>Hugard</w:t>
      </w:r>
      <w:proofErr w:type="spellEnd"/>
      <w:r w:rsidRPr="009C356B">
        <w:rPr>
          <w:rFonts w:ascii="Times New Roman" w:eastAsia="Times New Roman" w:hAnsi="Times New Roman"/>
          <w:sz w:val="24"/>
          <w:szCs w:val="24"/>
        </w:rPr>
        <w:t xml:space="preserve"> grabbed her left hand with his blue latex glove, stroked her ring up and down, and inquired about her marital status.</w:t>
      </w:r>
    </w:p>
    <w:p w14:paraId="20C0C628" w14:textId="77777777" w:rsidR="00282AF3" w:rsidRDefault="00282AF3" w:rsidP="00282AF3">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w:t>
      </w:r>
    </w:p>
    <w:p w14:paraId="1E7EB883" w14:textId="77777777" w:rsidR="00282AF3" w:rsidRDefault="00282AF3" w:rsidP="00282AF3">
      <w:pPr>
        <w:spacing w:before="100" w:beforeAutospacing="1" w:after="100" w:afterAutospacing="1" w:line="240" w:lineRule="auto"/>
        <w:ind w:left="720"/>
        <w:rPr>
          <w:rFonts w:ascii="Times New Roman" w:hAnsi="Times New Roman"/>
          <w:sz w:val="24"/>
          <w:szCs w:val="24"/>
        </w:rPr>
      </w:pPr>
      <w:r w:rsidRPr="009C356B">
        <w:rPr>
          <w:rFonts w:ascii="Times New Roman" w:hAnsi="Times New Roman"/>
          <w:sz w:val="24"/>
          <w:szCs w:val="24"/>
        </w:rPr>
        <w:t xml:space="preserve">A plaintiff must allege (1) a deprivation of a right or rights secured by the Constitution and laws of the United States (2) that were committed by a defendant acting under color of state law. In the report and recommendation, the Magistrate Judge determined that Holloway specifically failed to state what actions were committed by the Memphis Fire Department or Firefighter </w:t>
      </w:r>
      <w:proofErr w:type="spellStart"/>
      <w:r w:rsidRPr="009C356B">
        <w:rPr>
          <w:rFonts w:ascii="Times New Roman" w:hAnsi="Times New Roman"/>
          <w:sz w:val="24"/>
          <w:szCs w:val="24"/>
        </w:rPr>
        <w:t>Roddi</w:t>
      </w:r>
      <w:proofErr w:type="spellEnd"/>
      <w:r w:rsidRPr="009C356B">
        <w:rPr>
          <w:rFonts w:ascii="Times New Roman" w:hAnsi="Times New Roman"/>
          <w:sz w:val="24"/>
          <w:szCs w:val="24"/>
        </w:rPr>
        <w:t xml:space="preserve"> </w:t>
      </w:r>
      <w:proofErr w:type="spellStart"/>
      <w:r w:rsidRPr="009C356B">
        <w:rPr>
          <w:rFonts w:ascii="Times New Roman" w:hAnsi="Times New Roman"/>
          <w:sz w:val="24"/>
          <w:szCs w:val="24"/>
        </w:rPr>
        <w:t>Hugard</w:t>
      </w:r>
      <w:proofErr w:type="spellEnd"/>
      <w:r w:rsidRPr="009C356B">
        <w:rPr>
          <w:rFonts w:ascii="Times New Roman" w:hAnsi="Times New Roman"/>
          <w:sz w:val="24"/>
          <w:szCs w:val="24"/>
        </w:rPr>
        <w:t xml:space="preserve"> that deprived her of her Constitutional rights.</w:t>
      </w:r>
      <w:r>
        <w:rPr>
          <w:rFonts w:ascii="Times New Roman" w:hAnsi="Times New Roman"/>
          <w:sz w:val="24"/>
          <w:szCs w:val="24"/>
        </w:rPr>
        <w:t xml:space="preserve">” </w:t>
      </w:r>
      <w:hyperlink r:id="rId2233" w:history="1">
        <w:r w:rsidRPr="002B54F8">
          <w:rPr>
            <w:rStyle w:val="Hyperlink"/>
            <w:rFonts w:ascii="Times New Roman" w:hAnsi="Times New Roman"/>
          </w:rPr>
          <w:t>https://public.fastcase.com/J%2FJP6pdidelsXxEE4k%2BLMlnZT9Hwtbb0RSX5AXtKQie%2FaJxcYuONay3v%2BauGycaLZPl2uZFZiVR3n7gLzEpChzWsXN2J3yktMkRz%2BOu%2BxAQ%3D</w:t>
        </w:r>
      </w:hyperlink>
      <w:r>
        <w:rPr>
          <w:rFonts w:ascii="Times New Roman" w:hAnsi="Times New Roman"/>
          <w:sz w:val="24"/>
          <w:szCs w:val="24"/>
        </w:rPr>
        <w:t xml:space="preserve"> </w:t>
      </w:r>
    </w:p>
    <w:p w14:paraId="5E01735F" w14:textId="4B26FEEF" w:rsidR="00282AF3" w:rsidRPr="006E70F8" w:rsidRDefault="00282AF3" w:rsidP="00282AF3">
      <w:pPr>
        <w:spacing w:before="100" w:beforeAutospacing="1" w:after="100" w:afterAutospacing="1" w:line="240" w:lineRule="auto"/>
        <w:rPr>
          <w:rFonts w:ascii="Times New Roman" w:eastAsia="Times New Roman" w:hAnsi="Times New Roman"/>
          <w:b/>
          <w:bCs/>
          <w:sz w:val="24"/>
          <w:szCs w:val="24"/>
        </w:rPr>
      </w:pPr>
      <w:bookmarkStart w:id="442" w:name="_Hlk112723729"/>
      <w:r w:rsidRPr="00757ECB">
        <w:rPr>
          <w:rFonts w:ascii="Times New Roman" w:eastAsia="Times New Roman" w:hAnsi="Times New Roman"/>
          <w:b/>
          <w:bCs/>
          <w:sz w:val="24"/>
          <w:szCs w:val="24"/>
        </w:rPr>
        <w:t xml:space="preserve">Legal Lesson Learned: </w:t>
      </w:r>
      <w:r w:rsidRPr="006E70F8">
        <w:rPr>
          <w:rFonts w:ascii="Times New Roman" w:eastAsia="Times New Roman" w:hAnsi="Times New Roman"/>
          <w:b/>
          <w:bCs/>
          <w:sz w:val="24"/>
          <w:szCs w:val="24"/>
        </w:rPr>
        <w:t xml:space="preserve">Strange case by </w:t>
      </w:r>
      <w:r w:rsidRPr="006E70F8">
        <w:rPr>
          <w:rFonts w:ascii="Times New Roman" w:eastAsia="Times New Roman" w:hAnsi="Times New Roman"/>
          <w:b/>
          <w:bCs/>
          <w:i/>
          <w:iCs/>
          <w:sz w:val="24"/>
          <w:szCs w:val="24"/>
        </w:rPr>
        <w:t xml:space="preserve">in </w:t>
      </w:r>
      <w:proofErr w:type="gramStart"/>
      <w:r w:rsidRPr="006E70F8">
        <w:rPr>
          <w:rFonts w:ascii="Times New Roman" w:eastAsia="Times New Roman" w:hAnsi="Times New Roman"/>
          <w:b/>
          <w:bCs/>
          <w:i/>
          <w:iCs/>
          <w:sz w:val="24"/>
          <w:szCs w:val="24"/>
        </w:rPr>
        <w:t>forma</w:t>
      </w:r>
      <w:proofErr w:type="gramEnd"/>
      <w:r w:rsidRPr="006E70F8">
        <w:rPr>
          <w:rFonts w:ascii="Times New Roman" w:eastAsia="Times New Roman" w:hAnsi="Times New Roman"/>
          <w:b/>
          <w:bCs/>
          <w:i/>
          <w:iCs/>
          <w:sz w:val="24"/>
          <w:szCs w:val="24"/>
        </w:rPr>
        <w:t xml:space="preserve"> pauperis</w:t>
      </w:r>
      <w:r w:rsidRPr="006E70F8">
        <w:rPr>
          <w:rFonts w:ascii="Times New Roman" w:eastAsia="Times New Roman" w:hAnsi="Times New Roman"/>
          <w:b/>
          <w:bCs/>
          <w:sz w:val="24"/>
          <w:szCs w:val="24"/>
        </w:rPr>
        <w:t xml:space="preserve"> [no money] patient with no money</w:t>
      </w:r>
      <w:r w:rsidR="006E70F8">
        <w:rPr>
          <w:rFonts w:ascii="Times New Roman" w:eastAsia="Times New Roman" w:hAnsi="Times New Roman"/>
          <w:b/>
          <w:bCs/>
          <w:sz w:val="24"/>
          <w:szCs w:val="24"/>
        </w:rPr>
        <w:t xml:space="preserve">. </w:t>
      </w:r>
      <w:r w:rsidRPr="006E70F8">
        <w:rPr>
          <w:rFonts w:ascii="Times New Roman" w:eastAsia="Times New Roman" w:hAnsi="Times New Roman"/>
          <w:b/>
          <w:bCs/>
          <w:sz w:val="24"/>
          <w:szCs w:val="24"/>
        </w:rPr>
        <w:t xml:space="preserve"> </w:t>
      </w:r>
    </w:p>
    <w:bookmarkEnd w:id="442"/>
    <w:p w14:paraId="43FFC182" w14:textId="77777777" w:rsidR="00282AF3" w:rsidRDefault="00282AF3" w:rsidP="002B1283">
      <w:pPr>
        <w:rPr>
          <w:rFonts w:ascii="Arial Black" w:hAnsi="Arial Black"/>
          <w:b/>
          <w:bCs/>
          <w:sz w:val="28"/>
          <w:szCs w:val="28"/>
        </w:rPr>
      </w:pPr>
    </w:p>
    <w:p w14:paraId="4AACD2B6" w14:textId="77777777" w:rsidR="00282AF3" w:rsidRDefault="00282AF3" w:rsidP="002B1283">
      <w:pPr>
        <w:rPr>
          <w:rFonts w:ascii="Arial Black" w:hAnsi="Arial Black"/>
          <w:b/>
          <w:bCs/>
          <w:sz w:val="28"/>
          <w:szCs w:val="28"/>
        </w:rPr>
      </w:pPr>
    </w:p>
    <w:p w14:paraId="6B72B646" w14:textId="0B01447B" w:rsidR="007051EE" w:rsidRDefault="007051EE" w:rsidP="002B1283">
      <w:pPr>
        <w:rPr>
          <w:rFonts w:ascii="Arial Black" w:hAnsi="Arial Black"/>
          <w:b/>
          <w:bCs/>
          <w:sz w:val="28"/>
          <w:szCs w:val="28"/>
        </w:rPr>
      </w:pPr>
      <w:r>
        <w:rPr>
          <w:rFonts w:ascii="Arial Black" w:hAnsi="Arial Black"/>
          <w:b/>
          <w:bCs/>
          <w:sz w:val="28"/>
          <w:szCs w:val="28"/>
        </w:rPr>
        <w:lastRenderedPageBreak/>
        <w:t>13-119</w:t>
      </w:r>
    </w:p>
    <w:p w14:paraId="61381B83" w14:textId="77777777" w:rsidR="007051EE" w:rsidRDefault="007051EE" w:rsidP="007051EE">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MN: MEDIC FIRED AFTER ER DOC REPORTED MISCONDUCT - NO MALICE BY MD – NO CASE – “VEXATIOUS LITIGANT”</w:t>
      </w:r>
    </w:p>
    <w:p w14:paraId="408450B9" w14:textId="77777777" w:rsidR="007051EE" w:rsidRPr="00133C50" w:rsidRDefault="007051EE" w:rsidP="007051EE">
      <w:pPr>
        <w:pStyle w:val="NormalWeb"/>
      </w:pPr>
      <w:r w:rsidRPr="00721460">
        <w:t xml:space="preserve">On </w:t>
      </w:r>
      <w:r>
        <w:t xml:space="preserve">July 26, 2022, in </w:t>
      </w:r>
      <w:r w:rsidRPr="00721460">
        <w:rPr>
          <w:u w:val="single"/>
        </w:rPr>
        <w:t>Peter Grigg v. Andy Coil</w:t>
      </w:r>
      <w:r>
        <w:t xml:space="preserve">, the Montana Supreme Court held (5 to 0), that lawsuit by Peter Grigg, who was fired by Eagle EMS after being informed of his misconduct by Dr. Andy Coil, emergency room physician, was properly dismissed. The lawsuit alleges: “[Dr.] Coil verbally abused, harassed, and threatened him in front of emergency room patients, family, and staff, as well as in Grigg's ambulance, and continued to harass and threaten him ‘throughout the month of May 2020.’ Grigg's Affidavit claimed he filed incident reports with [Doctor Coil’s] employer, St. Peter's Healthcare, and the Montana Board of Medical Examiners, to which [Dr.] Coil ‘retaliated by placing tort on my employer,’ causing Grigg to be terminated by his employer on June 2, 2020.” </w:t>
      </w:r>
      <w:hyperlink r:id="rId2234" w:history="1">
        <w:r w:rsidRPr="00001EDA">
          <w:rPr>
            <w:rStyle w:val="Hyperlink"/>
            <w:rFonts w:eastAsiaTheme="majorEastAsia"/>
          </w:rPr>
          <w:t>https://juddocumentservice.mt.gov/getDocByCTrackId?DocId=398159</w:t>
        </w:r>
      </w:hyperlink>
      <w:r>
        <w:t xml:space="preserve"> </w:t>
      </w:r>
    </w:p>
    <w:p w14:paraId="32B5E8F7" w14:textId="77777777" w:rsidR="007051EE" w:rsidRDefault="007051EE" w:rsidP="007051EE">
      <w:pPr>
        <w:spacing w:before="100" w:beforeAutospacing="1" w:after="100" w:afterAutospacing="1" w:line="240" w:lineRule="auto"/>
        <w:rPr>
          <w:rFonts w:ascii="Times New Roman" w:hAnsi="Times New Roman"/>
          <w:b/>
          <w:bCs/>
          <w:sz w:val="24"/>
          <w:szCs w:val="24"/>
        </w:rPr>
      </w:pPr>
      <w:r w:rsidRPr="00A75068">
        <w:rPr>
          <w:rFonts w:ascii="Times New Roman" w:eastAsia="Times New Roman" w:hAnsi="Times New Roman"/>
          <w:b/>
          <w:bCs/>
          <w:sz w:val="24"/>
          <w:szCs w:val="24"/>
        </w:rPr>
        <w:t xml:space="preserve">Legal Lesson Learned: </w:t>
      </w:r>
      <w:r>
        <w:rPr>
          <w:rFonts w:ascii="Times New Roman" w:eastAsia="Times New Roman" w:hAnsi="Times New Roman"/>
          <w:b/>
          <w:bCs/>
          <w:sz w:val="24"/>
          <w:szCs w:val="24"/>
        </w:rPr>
        <w:t xml:space="preserve"> Plaintiff is fortunate that in American legal system, “pro se” plaintiffs are not normally help liable for filing a meritless case.  </w:t>
      </w:r>
    </w:p>
    <w:p w14:paraId="7DE1F9C6" w14:textId="77777777" w:rsidR="007051EE" w:rsidRDefault="007051EE" w:rsidP="002B1283">
      <w:pPr>
        <w:rPr>
          <w:rFonts w:ascii="Arial Black" w:hAnsi="Arial Black"/>
          <w:b/>
          <w:bCs/>
          <w:sz w:val="28"/>
          <w:szCs w:val="28"/>
        </w:rPr>
      </w:pPr>
    </w:p>
    <w:p w14:paraId="45ECB022" w14:textId="77777777" w:rsidR="007051EE" w:rsidRDefault="007051EE" w:rsidP="002B1283">
      <w:pPr>
        <w:rPr>
          <w:rFonts w:ascii="Arial Black" w:hAnsi="Arial Black"/>
          <w:b/>
          <w:bCs/>
          <w:sz w:val="28"/>
          <w:szCs w:val="28"/>
        </w:rPr>
      </w:pPr>
    </w:p>
    <w:p w14:paraId="10C99247" w14:textId="77777777" w:rsidR="007051EE" w:rsidRDefault="007051EE" w:rsidP="002B1283">
      <w:pPr>
        <w:rPr>
          <w:rFonts w:ascii="Arial Black" w:hAnsi="Arial Black"/>
          <w:b/>
          <w:bCs/>
          <w:sz w:val="28"/>
          <w:szCs w:val="28"/>
        </w:rPr>
      </w:pPr>
    </w:p>
    <w:p w14:paraId="4634C33D" w14:textId="242DEC28" w:rsidR="00240D3F" w:rsidRDefault="00240D3F" w:rsidP="002B1283">
      <w:pPr>
        <w:rPr>
          <w:rFonts w:ascii="Arial Black" w:hAnsi="Arial Black"/>
          <w:b/>
          <w:bCs/>
          <w:sz w:val="28"/>
          <w:szCs w:val="28"/>
        </w:rPr>
      </w:pPr>
      <w:r>
        <w:rPr>
          <w:rFonts w:ascii="Arial Black" w:hAnsi="Arial Black"/>
          <w:b/>
          <w:bCs/>
          <w:sz w:val="28"/>
          <w:szCs w:val="28"/>
        </w:rPr>
        <w:t>13-118</w:t>
      </w:r>
    </w:p>
    <w:p w14:paraId="71531BF1" w14:textId="77777777" w:rsidR="00240D3F" w:rsidRPr="00C847A3" w:rsidRDefault="00240D3F" w:rsidP="00240D3F">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OH: MOTORCYCLE ACCIDENT – PATIENT FLOWN LEVEL 1 TRAUMA - NOT DRIVEN LEVEL III – FOLLOWED PROTOCOL</w:t>
      </w:r>
    </w:p>
    <w:p w14:paraId="1C63D1C8" w14:textId="77777777" w:rsidR="00240D3F" w:rsidRPr="0044296F" w:rsidRDefault="00240D3F" w:rsidP="00240D3F">
      <w:pPr>
        <w:pStyle w:val="NormalWeb"/>
      </w:pPr>
      <w:r>
        <w:t xml:space="preserve">On July 22, 2022, in </w:t>
      </w:r>
      <w:r w:rsidRPr="00BB5BE6">
        <w:rPr>
          <w:u w:val="single"/>
        </w:rPr>
        <w:t>Cynthia Tillman, Administrator of the Estate of Eric P. Tillman v. Kelly M. Mantz, et al.,</w:t>
      </w:r>
      <w:r>
        <w:t xml:space="preserve"> the Court of Appeals of Ohio, Sixth District (Erie), 2022-Ohio-2527, held 3 to 0 that the trial court properly granted summary judgment to the EMS personnel and </w:t>
      </w:r>
      <w:r w:rsidRPr="00526CF3">
        <w:t>to North Central EMS (NCEMS)</w:t>
      </w:r>
      <w:r>
        <w:t xml:space="preserve">.  The plaintiff in this case, was flown by a Life Flight ambulance to Level III trauma center in Toledo and survived.  Eric Tillman was flown by second Life Flight ambulance to the trauma center where he died. The plaintiff’s lawsuit includes affidavit </w:t>
      </w:r>
      <w:r w:rsidRPr="00F4263B">
        <w:rPr>
          <w:rStyle w:val="markedcontent"/>
        </w:rPr>
        <w:t>of Jeff Durgin,</w:t>
      </w:r>
      <w:r>
        <w:rPr>
          <w:rStyle w:val="markedcontent"/>
        </w:rPr>
        <w:t xml:space="preserve"> </w:t>
      </w:r>
      <w:r w:rsidRPr="00F4263B">
        <w:rPr>
          <w:rStyle w:val="markedcontent"/>
        </w:rPr>
        <w:t>M.D</w:t>
      </w:r>
      <w:r>
        <w:rPr>
          <w:rStyle w:val="markedcontent"/>
        </w:rPr>
        <w:t>, who criticized EMS for not transporting Eric Tillman by ambulance to a Level I trauma center 15 minutes away, and for not taking vitals every 15 minutes prior to transport. [EMS run report showed one set of vitals taken: 5</w:t>
      </w:r>
      <w:r w:rsidRPr="00E5099E">
        <w:rPr>
          <w:rStyle w:val="markedcontent"/>
        </w:rPr>
        <w:t>:25 p.m</w:t>
      </w:r>
      <w:r>
        <w:rPr>
          <w:rStyle w:val="markedcontent"/>
        </w:rPr>
        <w:t xml:space="preserve">. at scene; </w:t>
      </w:r>
      <w:r w:rsidRPr="00E5099E">
        <w:rPr>
          <w:rStyle w:val="markedcontent"/>
        </w:rPr>
        <w:t xml:space="preserve">two IVs </w:t>
      </w:r>
      <w:r>
        <w:rPr>
          <w:rStyle w:val="markedcontent"/>
        </w:rPr>
        <w:t xml:space="preserve">started </w:t>
      </w:r>
      <w:r w:rsidRPr="00E5099E">
        <w:rPr>
          <w:rStyle w:val="markedcontent"/>
        </w:rPr>
        <w:t>at 5:30 p.m</w:t>
      </w:r>
      <w:r>
        <w:rPr>
          <w:rStyle w:val="markedcontent"/>
        </w:rPr>
        <w:t xml:space="preserve">.; set of </w:t>
      </w:r>
      <w:r w:rsidRPr="00E5099E">
        <w:rPr>
          <w:rStyle w:val="markedcontent"/>
        </w:rPr>
        <w:t xml:space="preserve">vitals </w:t>
      </w:r>
      <w:r>
        <w:rPr>
          <w:rStyle w:val="markedcontent"/>
        </w:rPr>
        <w:t xml:space="preserve">recorded </w:t>
      </w:r>
      <w:r w:rsidRPr="00E5099E">
        <w:rPr>
          <w:rStyle w:val="markedcontent"/>
        </w:rPr>
        <w:t>5:34</w:t>
      </w:r>
      <w:r>
        <w:rPr>
          <w:rStyle w:val="markedcontent"/>
        </w:rPr>
        <w:t xml:space="preserve"> </w:t>
      </w:r>
      <w:r w:rsidRPr="00E5099E">
        <w:rPr>
          <w:rStyle w:val="markedcontent"/>
        </w:rPr>
        <w:t>p.m.</w:t>
      </w:r>
      <w:r>
        <w:rPr>
          <w:rStyle w:val="markedcontent"/>
        </w:rPr>
        <w:t xml:space="preserve">; transferred care to Life Flight </w:t>
      </w:r>
      <w:r w:rsidRPr="00E5099E">
        <w:rPr>
          <w:rStyle w:val="markedcontent"/>
        </w:rPr>
        <w:t>5:56 p.m.].</w:t>
      </w:r>
      <w:r>
        <w:rPr>
          <w:rStyle w:val="markedcontent"/>
        </w:rPr>
        <w:t xml:space="preserve"> </w:t>
      </w:r>
      <w:hyperlink r:id="rId2235" w:history="1">
        <w:r w:rsidRPr="00355029">
          <w:rPr>
            <w:rStyle w:val="Hyperlink"/>
            <w:rFonts w:eastAsiaTheme="majorEastAsia"/>
          </w:rPr>
          <w:t>http://lcapps.co.lucas.oh.us/Courts/Appeals/DecisionsPDF/10196.pdf</w:t>
        </w:r>
      </w:hyperlink>
      <w:r>
        <w:rPr>
          <w:rStyle w:val="markedcontent"/>
        </w:rPr>
        <w:t xml:space="preserve"> </w:t>
      </w:r>
    </w:p>
    <w:p w14:paraId="371E9975" w14:textId="77777777" w:rsidR="00240D3F" w:rsidRDefault="00240D3F" w:rsidP="00240D3F">
      <w:pPr>
        <w:spacing w:before="100" w:beforeAutospacing="1" w:after="100" w:afterAutospacing="1" w:line="240" w:lineRule="auto"/>
        <w:rPr>
          <w:rFonts w:ascii="Times New Roman" w:hAnsi="Times New Roman"/>
          <w:b/>
          <w:bCs/>
          <w:sz w:val="24"/>
          <w:szCs w:val="24"/>
        </w:rPr>
      </w:pPr>
      <w:r w:rsidRPr="00E91EB2">
        <w:rPr>
          <w:rFonts w:ascii="Times New Roman" w:hAnsi="Times New Roman"/>
          <w:b/>
          <w:bCs/>
          <w:sz w:val="24"/>
          <w:szCs w:val="24"/>
        </w:rPr>
        <w:t>Legal Lesson Learned:</w:t>
      </w:r>
      <w:r>
        <w:rPr>
          <w:rFonts w:ascii="Times New Roman" w:hAnsi="Times New Roman"/>
          <w:b/>
          <w:bCs/>
          <w:sz w:val="24"/>
          <w:szCs w:val="24"/>
        </w:rPr>
        <w:t xml:space="preserve"> Helpful decision on EMS following trauma protocol.</w:t>
      </w:r>
    </w:p>
    <w:p w14:paraId="2BF1E583" w14:textId="77777777" w:rsidR="00240D3F" w:rsidRPr="00615A59" w:rsidRDefault="00240D3F" w:rsidP="00240D3F">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rPr>
        <w:tab/>
      </w:r>
      <w:r w:rsidRPr="00615A59">
        <w:rPr>
          <w:rFonts w:ascii="Times New Roman" w:hAnsi="Times New Roman"/>
          <w:sz w:val="24"/>
          <w:szCs w:val="24"/>
        </w:rPr>
        <w:t>Note: See helpful resources on Ohio trauma protocol.</w:t>
      </w:r>
    </w:p>
    <w:p w14:paraId="79FE9B6B" w14:textId="77777777" w:rsidR="00240D3F" w:rsidRPr="00615A59" w:rsidRDefault="00240D3F" w:rsidP="00240D3F">
      <w:pPr>
        <w:pStyle w:val="Heading3"/>
        <w:ind w:left="1440"/>
        <w:rPr>
          <w:rFonts w:ascii="Times New Roman" w:hAnsi="Times New Roman" w:cs="Times New Roman"/>
          <w:color w:val="auto"/>
        </w:rPr>
      </w:pPr>
      <w:r>
        <w:rPr>
          <w:rFonts w:ascii="Times New Roman" w:hAnsi="Times New Roman" w:cs="Times New Roman"/>
          <w:color w:val="auto"/>
        </w:rPr>
        <w:t>“</w:t>
      </w:r>
      <w:r w:rsidRPr="004B5A02">
        <w:rPr>
          <w:rFonts w:ascii="Times New Roman" w:hAnsi="Times New Roman" w:cs="Times New Roman"/>
          <w:color w:val="auto"/>
        </w:rPr>
        <w:t>Trauma System Overview</w:t>
      </w:r>
      <w:r>
        <w:rPr>
          <w:rFonts w:ascii="Times New Roman" w:hAnsi="Times New Roman" w:cs="Times New Roman"/>
          <w:color w:val="auto"/>
        </w:rPr>
        <w:t xml:space="preserve">.” </w:t>
      </w:r>
      <w:r>
        <w:rPr>
          <w:rFonts w:ascii="Times New Roman" w:hAnsi="Times New Roman" w:cs="Times New Roman"/>
          <w:b/>
          <w:bCs/>
          <w:color w:val="auto"/>
        </w:rPr>
        <w:t xml:space="preserve"> </w:t>
      </w:r>
      <w:hyperlink r:id="rId2236" w:anchor="gsc.tab=0" w:history="1">
        <w:r w:rsidRPr="00615A59">
          <w:rPr>
            <w:rStyle w:val="Hyperlink"/>
            <w:rFonts w:ascii="Times New Roman" w:hAnsi="Times New Roman" w:cs="Times New Roman"/>
          </w:rPr>
          <w:t>https://www.ems.ohio.gov/trauma-system.aspx#gsc.tab=0</w:t>
        </w:r>
      </w:hyperlink>
      <w:r w:rsidRPr="00615A59">
        <w:rPr>
          <w:rFonts w:ascii="Times New Roman" w:hAnsi="Times New Roman" w:cs="Times New Roman"/>
          <w:color w:val="auto"/>
        </w:rPr>
        <w:t xml:space="preserve"> </w:t>
      </w:r>
    </w:p>
    <w:p w14:paraId="379D46FE" w14:textId="77777777" w:rsidR="00240D3F" w:rsidRDefault="00240D3F" w:rsidP="00240D3F">
      <w:pPr>
        <w:pStyle w:val="NormalWeb"/>
        <w:ind w:left="1440"/>
      </w:pPr>
      <w:r>
        <w:t xml:space="preserve">“The Ohio Trauma System is designed to get severely injured patients to the ‘right hospital, in the right manner, in the right amount of time.’ These three factors increase the patient’s chances of survival while minimizing chances of suffering severe disabilities and death. Trauma is </w:t>
      </w:r>
      <w:r>
        <w:rPr>
          <w:u w:val="single"/>
        </w:rPr>
        <w:t>the</w:t>
      </w:r>
      <w:r>
        <w:t xml:space="preserve"> </w:t>
      </w:r>
      <w:r>
        <w:lastRenderedPageBreak/>
        <w:t>leading cause of death for people between the ages of 1 and 44 years and is a leading cause of death and disability among all age groups. Research studies of other state trauma systems have shown a person’s chances of dying or suffering a severe disability drop sharply if they are injured in a state with an organized trauma system like the Ohio Trauma System.”</w:t>
      </w:r>
    </w:p>
    <w:p w14:paraId="772F5476" w14:textId="77777777" w:rsidR="00240D3F" w:rsidRDefault="00240D3F" w:rsidP="002B1283">
      <w:pPr>
        <w:rPr>
          <w:rFonts w:ascii="Arial Black" w:hAnsi="Arial Black"/>
          <w:b/>
          <w:bCs/>
          <w:sz w:val="28"/>
          <w:szCs w:val="28"/>
        </w:rPr>
      </w:pPr>
    </w:p>
    <w:p w14:paraId="44678697" w14:textId="77777777" w:rsidR="00240D3F" w:rsidRDefault="00240D3F" w:rsidP="002B1283">
      <w:pPr>
        <w:rPr>
          <w:rFonts w:ascii="Arial Black" w:hAnsi="Arial Black"/>
          <w:b/>
          <w:bCs/>
          <w:sz w:val="28"/>
          <w:szCs w:val="28"/>
        </w:rPr>
      </w:pPr>
    </w:p>
    <w:p w14:paraId="1CDAC8FB" w14:textId="7132C975" w:rsidR="00240D3F" w:rsidRDefault="00240D3F" w:rsidP="002B1283">
      <w:pPr>
        <w:rPr>
          <w:rFonts w:ascii="Arial Black" w:hAnsi="Arial Black"/>
          <w:b/>
          <w:bCs/>
          <w:sz w:val="28"/>
          <w:szCs w:val="28"/>
        </w:rPr>
      </w:pPr>
      <w:r>
        <w:rPr>
          <w:rFonts w:ascii="Arial Black" w:hAnsi="Arial Black"/>
          <w:b/>
          <w:bCs/>
          <w:sz w:val="28"/>
          <w:szCs w:val="28"/>
        </w:rPr>
        <w:t>13-117</w:t>
      </w:r>
    </w:p>
    <w:p w14:paraId="548F6621" w14:textId="77777777" w:rsidR="00240D3F" w:rsidRPr="0088768E" w:rsidRDefault="00240D3F" w:rsidP="00240D3F">
      <w:pPr>
        <w:spacing w:before="100" w:beforeAutospacing="1" w:after="100" w:afterAutospacing="1" w:line="240" w:lineRule="auto"/>
        <w:rPr>
          <w:rFonts w:ascii="Arial Black" w:hAnsi="Arial Black"/>
          <w:sz w:val="28"/>
          <w:szCs w:val="28"/>
        </w:rPr>
      </w:pPr>
      <w:r>
        <w:rPr>
          <w:rFonts w:ascii="Arial Black" w:hAnsi="Arial Black"/>
          <w:sz w:val="28"/>
          <w:szCs w:val="28"/>
        </w:rPr>
        <w:t>MI: CARDIAC - MONITOR CALLED FOR CPR – NO CPR GIVEN, PATIENT DIED – “GROSS NEGLIGENCE” CASE TO PROCEED</w:t>
      </w:r>
    </w:p>
    <w:p w14:paraId="1C4DDE67" w14:textId="77777777" w:rsidR="00240D3F" w:rsidRDefault="00240D3F" w:rsidP="00240D3F">
      <w:pPr>
        <w:spacing w:before="100" w:beforeAutospacing="1" w:after="100" w:afterAutospacing="1" w:line="240" w:lineRule="auto"/>
        <w:rPr>
          <w:rFonts w:ascii="Times New Roman" w:eastAsia="Times New Roman" w:hAnsi="Times New Roman"/>
          <w:sz w:val="24"/>
          <w:szCs w:val="24"/>
        </w:rPr>
      </w:pPr>
      <w:r>
        <w:rPr>
          <w:rFonts w:ascii="Times New Roman" w:hAnsi="Times New Roman"/>
          <w:sz w:val="24"/>
          <w:szCs w:val="24"/>
        </w:rPr>
        <w:t xml:space="preserve">On July 21, 2022, in </w:t>
      </w:r>
      <w:r w:rsidRPr="0088768E">
        <w:rPr>
          <w:rFonts w:ascii="Times New Roman" w:hAnsi="Times New Roman"/>
          <w:sz w:val="24"/>
          <w:szCs w:val="24"/>
          <w:u w:val="single"/>
        </w:rPr>
        <w:t>Angela Hodges, Personal Representative of the Estate of Patrick Antonio Clemons-Hodges</w:t>
      </w:r>
      <w:r>
        <w:rPr>
          <w:rFonts w:ascii="Times New Roman" w:hAnsi="Times New Roman"/>
          <w:sz w:val="24"/>
          <w:szCs w:val="24"/>
          <w:u w:val="single"/>
        </w:rPr>
        <w:t xml:space="preserve"> v. City of </w:t>
      </w:r>
      <w:proofErr w:type="spellStart"/>
      <w:r>
        <w:rPr>
          <w:rFonts w:ascii="Times New Roman" w:hAnsi="Times New Roman"/>
          <w:sz w:val="24"/>
          <w:szCs w:val="24"/>
          <w:u w:val="single"/>
        </w:rPr>
        <w:t>Detroir</w:t>
      </w:r>
      <w:proofErr w:type="spellEnd"/>
      <w:r>
        <w:rPr>
          <w:rFonts w:ascii="Times New Roman" w:hAnsi="Times New Roman"/>
          <w:sz w:val="24"/>
          <w:szCs w:val="24"/>
          <w:u w:val="single"/>
        </w:rPr>
        <w:t xml:space="preserve">, Julian Holts and Michael Morgan, et al., </w:t>
      </w:r>
      <w:r>
        <w:rPr>
          <w:rFonts w:ascii="Times New Roman" w:hAnsi="Times New Roman"/>
          <w:sz w:val="24"/>
          <w:szCs w:val="24"/>
        </w:rPr>
        <w:t xml:space="preserve">the Court of Appeals of Michigan, held (3 to 0; unpublished opinion) that the trial court properly denied the City’s motion for summary judgment. The City took an immediate appeal and asserted that the </w:t>
      </w:r>
      <w:r w:rsidRPr="00C5046C">
        <w:rPr>
          <w:rFonts w:ascii="Times New Roman" w:hAnsi="Times New Roman"/>
          <w:sz w:val="24"/>
          <w:szCs w:val="24"/>
        </w:rPr>
        <w:t xml:space="preserve">trial court erred when it refused to grant the City governmental immunity from claims arising from the gross negligence of paramedics it employs. </w:t>
      </w:r>
      <w:r>
        <w:rPr>
          <w:rFonts w:ascii="Times New Roman" w:hAnsi="Times New Roman"/>
          <w:sz w:val="24"/>
          <w:szCs w:val="24"/>
        </w:rPr>
        <w:t xml:space="preserve"> Court of Appeals held, “</w:t>
      </w:r>
      <w:r w:rsidRPr="00C5046C">
        <w:rPr>
          <w:rFonts w:ascii="Times New Roman" w:hAnsi="Times New Roman"/>
          <w:sz w:val="24"/>
          <w:szCs w:val="24"/>
        </w:rPr>
        <w:t>We disagree and affirm.</w:t>
      </w:r>
      <w:r>
        <w:rPr>
          <w:rFonts w:ascii="Times New Roman" w:hAnsi="Times New Roman"/>
          <w:sz w:val="24"/>
          <w:szCs w:val="24"/>
        </w:rPr>
        <w:t>”</w:t>
      </w:r>
      <w:r w:rsidRPr="00C5046C">
        <w:rPr>
          <w:rFonts w:ascii="Times New Roman" w:hAnsi="Times New Roman"/>
          <w:sz w:val="24"/>
          <w:szCs w:val="24"/>
        </w:rPr>
        <w:t xml:space="preserve"> </w:t>
      </w:r>
      <w:hyperlink r:id="rId2237" w:history="1">
        <w:r w:rsidRPr="00355029">
          <w:rPr>
            <w:rStyle w:val="Hyperlink"/>
            <w:rFonts w:ascii="Times New Roman" w:eastAsia="Times New Roman" w:hAnsi="Times New Roman"/>
            <w:sz w:val="24"/>
            <w:szCs w:val="24"/>
          </w:rPr>
          <w:t>https://public.fastcase.com/J%2FJP6pdidelsXxEE4k%2BLMlzK3ypZvc0Gn%2FjuZDkyq8MI5%2FfINcqrUtBut3YiWnMm%2B6u%2FYbxznYZMXvWFYa2uilbMm7X%2Bw%2FMZe4%2FFjNyk13o%3D</w:t>
        </w:r>
      </w:hyperlink>
      <w:r>
        <w:rPr>
          <w:rFonts w:ascii="Times New Roman" w:eastAsia="Times New Roman" w:hAnsi="Times New Roman"/>
          <w:sz w:val="24"/>
          <w:szCs w:val="24"/>
        </w:rPr>
        <w:t xml:space="preserve"> </w:t>
      </w:r>
    </w:p>
    <w:p w14:paraId="7F40346A" w14:textId="77777777" w:rsidR="00240D3F" w:rsidRPr="009E08A4" w:rsidRDefault="00240D3F" w:rsidP="00240D3F">
      <w:pPr>
        <w:spacing w:before="100" w:beforeAutospacing="1" w:after="100" w:afterAutospacing="1" w:line="240" w:lineRule="auto"/>
        <w:rPr>
          <w:rFonts w:ascii="Times New Roman" w:hAnsi="Times New Roman"/>
          <w:b/>
          <w:bCs/>
          <w:sz w:val="24"/>
          <w:szCs w:val="24"/>
        </w:rPr>
      </w:pPr>
      <w:r w:rsidRPr="009E08A4">
        <w:rPr>
          <w:rFonts w:ascii="Times New Roman" w:hAnsi="Times New Roman"/>
          <w:b/>
          <w:bCs/>
          <w:sz w:val="24"/>
          <w:szCs w:val="24"/>
        </w:rPr>
        <w:t>Legal Lesson Learned:</w:t>
      </w:r>
      <w:r>
        <w:rPr>
          <w:rFonts w:ascii="Times New Roman" w:hAnsi="Times New Roman"/>
          <w:b/>
          <w:bCs/>
          <w:sz w:val="24"/>
          <w:szCs w:val="24"/>
        </w:rPr>
        <w:t xml:space="preserve"> This lawsuit will now proceed to pre-trial discovery on </w:t>
      </w:r>
      <w:proofErr w:type="spellStart"/>
      <w:r>
        <w:rPr>
          <w:rFonts w:ascii="Times New Roman" w:hAnsi="Times New Roman"/>
          <w:b/>
          <w:bCs/>
          <w:sz w:val="24"/>
          <w:szCs w:val="24"/>
        </w:rPr>
        <w:t>thr</w:t>
      </w:r>
      <w:proofErr w:type="spellEnd"/>
      <w:r>
        <w:rPr>
          <w:rFonts w:ascii="Times New Roman" w:hAnsi="Times New Roman"/>
          <w:b/>
          <w:bCs/>
          <w:sz w:val="24"/>
          <w:szCs w:val="24"/>
        </w:rPr>
        <w:t xml:space="preserve"> allegation of “gross negligence.” </w:t>
      </w:r>
    </w:p>
    <w:p w14:paraId="5D27C549" w14:textId="77777777" w:rsidR="00240D3F" w:rsidRPr="009E08A4" w:rsidRDefault="00240D3F" w:rsidP="00240D3F">
      <w:pPr>
        <w:pStyle w:val="Heading1"/>
        <w:ind w:left="720"/>
        <w:rPr>
          <w:b w:val="0"/>
          <w:bCs w:val="0"/>
          <w:sz w:val="24"/>
          <w:szCs w:val="24"/>
        </w:rPr>
      </w:pPr>
      <w:r w:rsidRPr="009E08A4">
        <w:rPr>
          <w:b w:val="0"/>
          <w:bCs w:val="0"/>
          <w:sz w:val="24"/>
          <w:szCs w:val="24"/>
        </w:rPr>
        <w:t xml:space="preserve">Note: </w:t>
      </w:r>
      <w:r>
        <w:rPr>
          <w:b w:val="0"/>
          <w:bCs w:val="0"/>
          <w:sz w:val="24"/>
          <w:szCs w:val="24"/>
        </w:rPr>
        <w:t xml:space="preserve">Some states have “Willful or Wanton Misconduct” standard. </w:t>
      </w:r>
      <w:r w:rsidRPr="009E08A4">
        <w:rPr>
          <w:b w:val="0"/>
          <w:bCs w:val="0"/>
          <w:sz w:val="24"/>
          <w:szCs w:val="24"/>
        </w:rPr>
        <w:t xml:space="preserve">For example, Ohio Revised Code: Section 4765.49 </w:t>
      </w:r>
      <w:r w:rsidRPr="009E08A4">
        <w:rPr>
          <w:rStyle w:val="codes-separator"/>
          <w:b w:val="0"/>
          <w:bCs w:val="0"/>
          <w:sz w:val="24"/>
          <w:szCs w:val="24"/>
        </w:rPr>
        <w:t>|</w:t>
      </w:r>
      <w:r w:rsidRPr="009E08A4">
        <w:rPr>
          <w:b w:val="0"/>
          <w:bCs w:val="0"/>
          <w:sz w:val="24"/>
          <w:szCs w:val="24"/>
        </w:rPr>
        <w:t xml:space="preserve"> Emergency medical personnel and agencies </w:t>
      </w:r>
      <w:r>
        <w:rPr>
          <w:b w:val="0"/>
          <w:bCs w:val="0"/>
          <w:sz w:val="24"/>
          <w:szCs w:val="24"/>
        </w:rPr>
        <w:t>–</w:t>
      </w:r>
      <w:r w:rsidRPr="009E08A4">
        <w:rPr>
          <w:b w:val="0"/>
          <w:bCs w:val="0"/>
          <w:sz w:val="24"/>
          <w:szCs w:val="24"/>
        </w:rPr>
        <w:t xml:space="preserve"> immunity</w:t>
      </w:r>
      <w:r>
        <w:rPr>
          <w:b w:val="0"/>
          <w:bCs w:val="0"/>
          <w:sz w:val="24"/>
          <w:szCs w:val="24"/>
        </w:rPr>
        <w:t>.</w:t>
      </w:r>
      <w:r w:rsidRPr="009E08A4">
        <w:t xml:space="preserve"> </w:t>
      </w:r>
      <w:hyperlink r:id="rId2238" w:history="1">
        <w:r w:rsidRPr="00355029">
          <w:rPr>
            <w:rStyle w:val="Hyperlink"/>
            <w:rFonts w:eastAsiaTheme="majorEastAsia"/>
            <w:b w:val="0"/>
            <w:bCs w:val="0"/>
            <w:sz w:val="24"/>
            <w:szCs w:val="24"/>
          </w:rPr>
          <w:t>https://codes.ohio.gov/ohio-revised-code/section-4765.49</w:t>
        </w:r>
      </w:hyperlink>
      <w:r>
        <w:rPr>
          <w:b w:val="0"/>
          <w:bCs w:val="0"/>
          <w:sz w:val="24"/>
          <w:szCs w:val="24"/>
        </w:rPr>
        <w:t xml:space="preserve">  “</w:t>
      </w:r>
      <w:r w:rsidRPr="009E08A4">
        <w:rPr>
          <w:b w:val="0"/>
          <w:bCs w:val="0"/>
          <w:sz w:val="24"/>
          <w:szCs w:val="24"/>
        </w:rPr>
        <w:t>(A) A first responder, emergency medical technician-basic, emergency medical technician-intermediate, or emergency medical technician-paramedic is not liable in damages in a civil action for injury, death, or loss to person or property resulting from the individual's administration of emergency medical services, unless the services are administered in a manner that constitutes willful or wanton misconduct.</w:t>
      </w:r>
      <w:r>
        <w:rPr>
          <w:b w:val="0"/>
          <w:bCs w:val="0"/>
          <w:sz w:val="24"/>
          <w:szCs w:val="24"/>
        </w:rPr>
        <w:t>”</w:t>
      </w:r>
    </w:p>
    <w:p w14:paraId="2BC1ECF0" w14:textId="77777777" w:rsidR="00240D3F" w:rsidRDefault="00240D3F" w:rsidP="002B1283">
      <w:pPr>
        <w:rPr>
          <w:rFonts w:ascii="Arial Black" w:hAnsi="Arial Black"/>
          <w:b/>
          <w:bCs/>
          <w:sz w:val="28"/>
          <w:szCs w:val="28"/>
        </w:rPr>
      </w:pPr>
    </w:p>
    <w:p w14:paraId="5A7434CA" w14:textId="77777777" w:rsidR="00240D3F" w:rsidRDefault="00240D3F" w:rsidP="002B1283">
      <w:pPr>
        <w:rPr>
          <w:rFonts w:ascii="Arial Black" w:hAnsi="Arial Black"/>
          <w:b/>
          <w:bCs/>
          <w:sz w:val="28"/>
          <w:szCs w:val="28"/>
        </w:rPr>
      </w:pPr>
    </w:p>
    <w:p w14:paraId="4F64E208" w14:textId="105CFD75" w:rsidR="00240D3F" w:rsidRDefault="00240D3F" w:rsidP="002B1283">
      <w:pPr>
        <w:rPr>
          <w:rFonts w:ascii="Arial Black" w:hAnsi="Arial Black"/>
          <w:b/>
          <w:bCs/>
          <w:sz w:val="28"/>
          <w:szCs w:val="28"/>
        </w:rPr>
      </w:pPr>
      <w:r>
        <w:rPr>
          <w:rFonts w:ascii="Arial Black" w:hAnsi="Arial Black"/>
          <w:b/>
          <w:bCs/>
          <w:sz w:val="28"/>
          <w:szCs w:val="28"/>
        </w:rPr>
        <w:t>13-116</w:t>
      </w:r>
    </w:p>
    <w:p w14:paraId="7B9B33EE" w14:textId="77777777" w:rsidR="00240D3F" w:rsidRDefault="00240D3F" w:rsidP="00240D3F">
      <w:pPr>
        <w:spacing w:before="100" w:beforeAutospacing="1" w:after="100" w:afterAutospacing="1" w:line="240" w:lineRule="auto"/>
        <w:rPr>
          <w:rFonts w:ascii="Arial Black" w:hAnsi="Arial Black"/>
          <w:sz w:val="28"/>
          <w:szCs w:val="28"/>
        </w:rPr>
      </w:pPr>
      <w:r>
        <w:rPr>
          <w:rFonts w:ascii="Arial Black" w:hAnsi="Arial Black"/>
          <w:sz w:val="28"/>
          <w:szCs w:val="28"/>
        </w:rPr>
        <w:t>NY: FDNY MEDICS SUSP - AUSTRALIAN TV FILMED ON COVID EMS RUNS – 1</w:t>
      </w:r>
      <w:r w:rsidRPr="00922539">
        <w:rPr>
          <w:rFonts w:ascii="Arial Black" w:hAnsi="Arial Black"/>
          <w:sz w:val="28"/>
          <w:szCs w:val="28"/>
          <w:vertAlign w:val="superscript"/>
        </w:rPr>
        <w:t>st</w:t>
      </w:r>
      <w:r>
        <w:rPr>
          <w:rFonts w:ascii="Arial Black" w:hAnsi="Arial Black"/>
          <w:sz w:val="28"/>
          <w:szCs w:val="28"/>
        </w:rPr>
        <w:t xml:space="preserve"> AMEND. RETALIATION PROCEED</w:t>
      </w:r>
    </w:p>
    <w:p w14:paraId="0C2422FB" w14:textId="77777777" w:rsidR="00240D3F" w:rsidRDefault="00240D3F" w:rsidP="00240D3F">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On July 8, 2022, in </w:t>
      </w:r>
      <w:r w:rsidRPr="00922539">
        <w:rPr>
          <w:rFonts w:ascii="Times New Roman" w:hAnsi="Times New Roman"/>
          <w:sz w:val="24"/>
          <w:szCs w:val="24"/>
          <w:u w:val="single"/>
        </w:rPr>
        <w:t>President Oren Barzilay, President of Uniformed EMTs, Paramedics, and Fire Inspectors, Local 2507, et al. v. City of New York, et al.</w:t>
      </w:r>
      <w:r>
        <w:rPr>
          <w:rFonts w:ascii="Times New Roman" w:hAnsi="Times New Roman"/>
          <w:sz w:val="24"/>
          <w:szCs w:val="24"/>
        </w:rPr>
        <w:t>, U.S. District Court Judge Lewis J. Liman, U.S. District Court for Southern District of New York, held that “</w:t>
      </w:r>
      <w:r w:rsidRPr="00B47805">
        <w:rPr>
          <w:rFonts w:ascii="Times New Roman" w:hAnsi="Times New Roman"/>
          <w:sz w:val="24"/>
          <w:szCs w:val="24"/>
        </w:rPr>
        <w:t xml:space="preserve">Plaintiffs are entitled to a jury trial on their § 1983 claims for First Amendment retaliation against all Defendants and on their related free-speech claim under the New York State </w:t>
      </w:r>
      <w:r w:rsidRPr="00B47805">
        <w:rPr>
          <w:rFonts w:ascii="Times New Roman" w:hAnsi="Times New Roman"/>
          <w:sz w:val="24"/>
          <w:szCs w:val="24"/>
        </w:rPr>
        <w:lastRenderedPageBreak/>
        <w:t>Constitution against the City on a theory of respondeat superior.</w:t>
      </w:r>
      <w:r>
        <w:rPr>
          <w:rFonts w:ascii="Times New Roman" w:hAnsi="Times New Roman"/>
          <w:sz w:val="24"/>
          <w:szCs w:val="24"/>
        </w:rPr>
        <w:t xml:space="preserve"> *** </w:t>
      </w:r>
      <w:r w:rsidRPr="007604D6">
        <w:rPr>
          <w:rFonts w:ascii="Times New Roman" w:hAnsi="Times New Roman"/>
          <w:sz w:val="24"/>
          <w:szCs w:val="24"/>
        </w:rPr>
        <w:t>Here, there is credible evidence that suggests Defendants restricted or suspended the individual Plaintiffs for a permissible reason, but there is also evidence from which a reasonable jury could find that the Defendants did so simply because they were employees who engaged in protected speech. The role of the Court is not to weigh that evidence and determine which is the more likely scenario. That must be left to the jury.</w:t>
      </w:r>
      <w:r>
        <w:rPr>
          <w:rFonts w:ascii="Times New Roman" w:hAnsi="Times New Roman"/>
          <w:sz w:val="24"/>
          <w:szCs w:val="24"/>
        </w:rPr>
        <w:t xml:space="preserve"> *** </w:t>
      </w:r>
      <w:r w:rsidRPr="007604D6">
        <w:rPr>
          <w:rFonts w:ascii="Times New Roman" w:hAnsi="Times New Roman"/>
          <w:sz w:val="24"/>
          <w:szCs w:val="24"/>
        </w:rPr>
        <w:t>On the record before it, the Court cannot conclude as a matter of law that the FDNY was justified by the governmental interest it asserts in taking action against Bonilla, Nunez, or Pfeiffer based on these comments, which are the only parts of their protected speech that could even arguably give rise to a concern about revealing PHI, or based on the mere fact that they interacted with the media to make these comments.</w:t>
      </w:r>
      <w:r>
        <w:rPr>
          <w:rFonts w:ascii="Times New Roman" w:hAnsi="Times New Roman"/>
          <w:sz w:val="24"/>
          <w:szCs w:val="24"/>
        </w:rPr>
        <w:t xml:space="preserve">” </w:t>
      </w:r>
      <w:hyperlink r:id="rId2239" w:history="1">
        <w:r w:rsidRPr="00272AA8">
          <w:rPr>
            <w:rStyle w:val="Hyperlink"/>
            <w:rFonts w:ascii="Times New Roman" w:hAnsi="Times New Roman"/>
            <w:sz w:val="24"/>
            <w:szCs w:val="24"/>
          </w:rPr>
          <w:t>https://law.justia.com/cases/federal/district-courts/new-york/nysdce/1:2020cv04452/538491/83/</w:t>
        </w:r>
      </w:hyperlink>
      <w:r>
        <w:rPr>
          <w:rFonts w:ascii="Times New Roman" w:hAnsi="Times New Roman"/>
          <w:sz w:val="24"/>
          <w:szCs w:val="24"/>
        </w:rPr>
        <w:t xml:space="preserve"> </w:t>
      </w:r>
    </w:p>
    <w:p w14:paraId="28A60612" w14:textId="74BEF811" w:rsidR="00240D3F" w:rsidRPr="00B821BF" w:rsidRDefault="00240D3F" w:rsidP="00240D3F">
      <w:pPr>
        <w:spacing w:before="100" w:beforeAutospacing="1" w:after="100" w:afterAutospacing="1" w:line="240" w:lineRule="auto"/>
        <w:ind w:left="720" w:firstLine="60"/>
        <w:rPr>
          <w:rFonts w:ascii="Times New Roman" w:eastAsia="Times New Roman" w:hAnsi="Times New Roman"/>
          <w:sz w:val="24"/>
          <w:szCs w:val="24"/>
        </w:rPr>
      </w:pPr>
      <w:r w:rsidRPr="00B821BF">
        <w:rPr>
          <w:rFonts w:ascii="Times New Roman" w:hAnsi="Times New Roman"/>
          <w:sz w:val="24"/>
          <w:szCs w:val="24"/>
        </w:rPr>
        <w:t xml:space="preserve">[Watch the video: </w:t>
      </w:r>
      <w:hyperlink r:id="rId2240" w:history="1">
        <w:r w:rsidRPr="00B821BF">
          <w:rPr>
            <w:rStyle w:val="Hyperlink"/>
            <w:rFonts w:ascii="Times New Roman" w:eastAsia="Times New Roman" w:hAnsi="Times New Roman"/>
            <w:sz w:val="24"/>
            <w:szCs w:val="24"/>
          </w:rPr>
          <w:t>https://www.facebook.com/watch/?v=2586016544950280</w:t>
        </w:r>
      </w:hyperlink>
      <w:r w:rsidRPr="00B821BF">
        <w:rPr>
          <w:rFonts w:ascii="Times New Roman" w:eastAsia="Times New Roman" w:hAnsi="Times New Roman"/>
          <w:sz w:val="24"/>
          <w:szCs w:val="24"/>
        </w:rPr>
        <w:t xml:space="preserve"> .]</w:t>
      </w:r>
    </w:p>
    <w:p w14:paraId="2A38FEB2" w14:textId="77777777" w:rsidR="00240D3F" w:rsidRDefault="00240D3F" w:rsidP="00240D3F">
      <w:pPr>
        <w:spacing w:before="100" w:beforeAutospacing="1" w:after="100" w:afterAutospacing="1" w:line="240" w:lineRule="auto"/>
        <w:rPr>
          <w:rFonts w:ascii="Times New Roman" w:hAnsi="Times New Roman"/>
          <w:b/>
          <w:bCs/>
          <w:sz w:val="24"/>
          <w:szCs w:val="24"/>
        </w:rPr>
      </w:pPr>
      <w:r w:rsidRPr="0074449E">
        <w:rPr>
          <w:rFonts w:ascii="Times New Roman" w:hAnsi="Times New Roman"/>
          <w:b/>
          <w:bCs/>
          <w:sz w:val="24"/>
          <w:szCs w:val="24"/>
        </w:rPr>
        <w:t>Legal Lesson Learned:</w:t>
      </w:r>
      <w:r>
        <w:rPr>
          <w:rFonts w:ascii="Times New Roman" w:hAnsi="Times New Roman"/>
          <w:b/>
          <w:bCs/>
          <w:sz w:val="24"/>
          <w:szCs w:val="24"/>
        </w:rPr>
        <w:t xml:space="preserve"> The U.S. Supreme Court’s </w:t>
      </w:r>
      <w:r w:rsidRPr="0074449E">
        <w:rPr>
          <w:rFonts w:ascii="Times New Roman" w:hAnsi="Times New Roman"/>
          <w:b/>
          <w:bCs/>
          <w:i/>
          <w:iCs/>
          <w:sz w:val="24"/>
          <w:szCs w:val="24"/>
        </w:rPr>
        <w:t>Pickering</w:t>
      </w:r>
      <w:r>
        <w:rPr>
          <w:rFonts w:ascii="Times New Roman" w:hAnsi="Times New Roman"/>
          <w:b/>
          <w:bCs/>
          <w:sz w:val="24"/>
          <w:szCs w:val="24"/>
        </w:rPr>
        <w:t xml:space="preserve"> “balancing” decision has led to lots of litigation about right of EMS, fire and police officers to “go public” with concerns. </w:t>
      </w:r>
    </w:p>
    <w:p w14:paraId="678FB62C" w14:textId="77777777" w:rsidR="00240D3F" w:rsidRPr="0074449E" w:rsidRDefault="00240D3F" w:rsidP="00240D3F">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rPr>
        <w:tab/>
      </w:r>
      <w:r w:rsidRPr="0074449E">
        <w:rPr>
          <w:rFonts w:ascii="Times New Roman" w:hAnsi="Times New Roman"/>
          <w:sz w:val="24"/>
          <w:szCs w:val="24"/>
        </w:rPr>
        <w:t xml:space="preserve">Note: </w:t>
      </w:r>
      <w:r>
        <w:rPr>
          <w:rFonts w:ascii="Times New Roman" w:hAnsi="Times New Roman"/>
          <w:sz w:val="24"/>
          <w:szCs w:val="24"/>
        </w:rPr>
        <w:t>Court discussed this Fire Marshal decision.</w:t>
      </w:r>
    </w:p>
    <w:p w14:paraId="0F4CA914" w14:textId="77777777" w:rsidR="00240D3F" w:rsidRPr="00F07132" w:rsidRDefault="00240D3F" w:rsidP="00240D3F">
      <w:pPr>
        <w:pStyle w:val="Heading1"/>
        <w:ind w:left="720"/>
        <w:rPr>
          <w:b w:val="0"/>
          <w:bCs w:val="0"/>
          <w:sz w:val="24"/>
          <w:szCs w:val="24"/>
        </w:rPr>
      </w:pPr>
      <w:r>
        <w:rPr>
          <w:sz w:val="24"/>
          <w:szCs w:val="24"/>
        </w:rPr>
        <w:t>“</w:t>
      </w:r>
      <w:r w:rsidRPr="008A111F">
        <w:rPr>
          <w:b w:val="0"/>
          <w:bCs w:val="0"/>
          <w:sz w:val="24"/>
          <w:szCs w:val="24"/>
        </w:rPr>
        <w:t xml:space="preserve">In </w:t>
      </w:r>
      <w:r w:rsidRPr="008A111F">
        <w:rPr>
          <w:b w:val="0"/>
          <w:bCs w:val="0"/>
          <w:i/>
          <w:iCs/>
          <w:sz w:val="24"/>
          <w:szCs w:val="24"/>
        </w:rPr>
        <w:t>Specht</w:t>
      </w:r>
      <w:r w:rsidRPr="0074449E">
        <w:rPr>
          <w:b w:val="0"/>
          <w:bCs w:val="0"/>
          <w:i/>
          <w:iCs/>
          <w:sz w:val="24"/>
          <w:szCs w:val="24"/>
        </w:rPr>
        <w:t xml:space="preserve"> [</w:t>
      </w:r>
      <w:r w:rsidRPr="0074449E">
        <w:rPr>
          <w:b w:val="0"/>
          <w:bCs w:val="0"/>
          <w:sz w:val="24"/>
          <w:szCs w:val="24"/>
        </w:rPr>
        <w:t xml:space="preserve">Specht v. City of New York, No. 20-4211 (2d Cir. 2021), </w:t>
      </w:r>
      <w:hyperlink r:id="rId2241" w:history="1">
        <w:r w:rsidRPr="00272AA8">
          <w:rPr>
            <w:rStyle w:val="Hyperlink"/>
            <w:rFonts w:eastAsiaTheme="majorEastAsia"/>
            <w:b w:val="0"/>
            <w:bCs w:val="0"/>
            <w:sz w:val="24"/>
            <w:szCs w:val="24"/>
          </w:rPr>
          <w:t>https://law.justia.com/cases/federal/appellate-courts/ca2/20-4211/20-4211-2021-10-06.html</w:t>
        </w:r>
      </w:hyperlink>
      <w:r>
        <w:rPr>
          <w:b w:val="0"/>
          <w:bCs w:val="0"/>
          <w:sz w:val="24"/>
          <w:szCs w:val="24"/>
        </w:rPr>
        <w:t xml:space="preserve"> ] </w:t>
      </w:r>
      <w:r w:rsidRPr="008A111F">
        <w:rPr>
          <w:sz w:val="24"/>
          <w:szCs w:val="24"/>
        </w:rPr>
        <w:t xml:space="preserve"> </w:t>
      </w:r>
      <w:r w:rsidRPr="008A111F">
        <w:rPr>
          <w:b w:val="0"/>
          <w:bCs w:val="0"/>
          <w:sz w:val="24"/>
          <w:szCs w:val="24"/>
        </w:rPr>
        <w:t xml:space="preserve">the Second Circuit held that a fire marshal's internal email to other fire marshals concerning the course of a fire investigation and pressure from supervisors to prematurely terminate his work and file a false report regarding the cause for the fire constituted “internal workplace grievances, not matters of public concern.” 15 F.4th at 601. However, the Circuit held that the marshal's complaint to the New York City Department of Investigation, his Notice of Claim with the City, his meeting with representatives from the District Attorney's office, and his communications with the local press about his investigation and his supervisors' demands all touched on matters of public concern since his reports “to outside agencies . . . implicate[d] matters of public importance” and “relate to possible governmental malfeasance, public safety, as well as to the public fisc.” </w:t>
      </w:r>
      <w:r w:rsidRPr="008A111F">
        <w:rPr>
          <w:b w:val="0"/>
          <w:bCs w:val="0"/>
          <w:i/>
          <w:iCs/>
          <w:sz w:val="24"/>
          <w:szCs w:val="24"/>
        </w:rPr>
        <w:t>Id.</w:t>
      </w:r>
      <w:r w:rsidRPr="008A111F">
        <w:rPr>
          <w:b w:val="0"/>
          <w:bCs w:val="0"/>
          <w:sz w:val="24"/>
          <w:szCs w:val="24"/>
        </w:rPr>
        <w:t xml:space="preserve"> </w:t>
      </w:r>
      <w:proofErr w:type="gramStart"/>
      <w:r w:rsidRPr="008A111F">
        <w:rPr>
          <w:b w:val="0"/>
          <w:bCs w:val="0"/>
          <w:sz w:val="24"/>
          <w:szCs w:val="24"/>
        </w:rPr>
        <w:t>at</w:t>
      </w:r>
      <w:proofErr w:type="gramEnd"/>
      <w:r w:rsidRPr="008A111F">
        <w:rPr>
          <w:b w:val="0"/>
          <w:bCs w:val="0"/>
          <w:sz w:val="24"/>
          <w:szCs w:val="24"/>
        </w:rPr>
        <w:t xml:space="preserve"> 601-02. Further, the Circuit found that the fire marshal's refusal to file a false report touched on matters of public concern because, just like his reports to outside agencies, the action “pertain[ed] to . . . potentially serious governmental misconduct.” </w:t>
      </w:r>
      <w:r w:rsidRPr="008A111F">
        <w:rPr>
          <w:b w:val="0"/>
          <w:bCs w:val="0"/>
          <w:i/>
          <w:iCs/>
          <w:sz w:val="24"/>
          <w:szCs w:val="24"/>
        </w:rPr>
        <w:t>Id.</w:t>
      </w:r>
      <w:r w:rsidRPr="008A111F">
        <w:rPr>
          <w:b w:val="0"/>
          <w:bCs w:val="0"/>
          <w:sz w:val="24"/>
          <w:szCs w:val="24"/>
        </w:rPr>
        <w:t xml:space="preserve"> at 602. Finally, the Circuit held that the marshal's reports to outside agencies and refusal to file a false report did not occur in his capacity as an employee because neither was “part-and-parcel” of his duties, </w:t>
      </w:r>
      <w:r w:rsidRPr="008A111F">
        <w:rPr>
          <w:b w:val="0"/>
          <w:bCs w:val="0"/>
          <w:i/>
          <w:iCs/>
          <w:sz w:val="24"/>
          <w:szCs w:val="24"/>
        </w:rPr>
        <w:t>Id.</w:t>
      </w:r>
      <w:r w:rsidRPr="008A111F">
        <w:rPr>
          <w:b w:val="0"/>
          <w:bCs w:val="0"/>
          <w:sz w:val="24"/>
          <w:szCs w:val="24"/>
        </w:rPr>
        <w:t xml:space="preserve"> at 604 (internal quotation marks omitted); his actions more accurately described a citizen refusing to violate the law and reporting on government misconduct to the public, </w:t>
      </w:r>
      <w:r w:rsidRPr="008A111F">
        <w:rPr>
          <w:b w:val="0"/>
          <w:bCs w:val="0"/>
          <w:i/>
          <w:iCs/>
          <w:sz w:val="24"/>
          <w:szCs w:val="24"/>
        </w:rPr>
        <w:t>Id.</w:t>
      </w:r>
      <w:r w:rsidRPr="008A111F">
        <w:rPr>
          <w:b w:val="0"/>
          <w:bCs w:val="0"/>
          <w:sz w:val="24"/>
          <w:szCs w:val="24"/>
        </w:rPr>
        <w:t xml:space="preserve"> Thus, the fire marshal's speech constituted protected First Amendment activity.</w:t>
      </w:r>
      <w:r w:rsidRPr="00F07132">
        <w:rPr>
          <w:b w:val="0"/>
          <w:bCs w:val="0"/>
          <w:sz w:val="24"/>
          <w:szCs w:val="24"/>
        </w:rPr>
        <w:t xml:space="preserve">” </w:t>
      </w:r>
    </w:p>
    <w:p w14:paraId="72CAEE30" w14:textId="77777777" w:rsidR="00240D3F" w:rsidRDefault="00240D3F" w:rsidP="002B1283">
      <w:pPr>
        <w:rPr>
          <w:rFonts w:ascii="Arial Black" w:hAnsi="Arial Black"/>
          <w:b/>
          <w:bCs/>
          <w:sz w:val="28"/>
          <w:szCs w:val="28"/>
        </w:rPr>
      </w:pPr>
    </w:p>
    <w:p w14:paraId="73426D8D" w14:textId="77777777" w:rsidR="00240D3F" w:rsidRDefault="00240D3F" w:rsidP="002B1283">
      <w:pPr>
        <w:rPr>
          <w:rFonts w:ascii="Arial Black" w:hAnsi="Arial Black"/>
          <w:b/>
          <w:bCs/>
          <w:sz w:val="28"/>
          <w:szCs w:val="28"/>
        </w:rPr>
      </w:pPr>
    </w:p>
    <w:p w14:paraId="126E6BCE" w14:textId="6E2096B4" w:rsidR="009579EB" w:rsidRDefault="00936792" w:rsidP="002B1283">
      <w:pPr>
        <w:rPr>
          <w:rFonts w:ascii="Arial Black" w:hAnsi="Arial Black"/>
          <w:b/>
          <w:bCs/>
          <w:sz w:val="28"/>
          <w:szCs w:val="28"/>
        </w:rPr>
      </w:pPr>
      <w:r>
        <w:rPr>
          <w:rFonts w:ascii="Arial Black" w:hAnsi="Arial Black"/>
          <w:b/>
          <w:bCs/>
          <w:sz w:val="28"/>
          <w:szCs w:val="28"/>
        </w:rPr>
        <w:t>13-115</w:t>
      </w:r>
    </w:p>
    <w:p w14:paraId="3B64BDD2" w14:textId="77777777" w:rsidR="00936792" w:rsidRDefault="00936792" w:rsidP="00936792">
      <w:pPr>
        <w:spacing w:before="100" w:beforeAutospacing="1" w:after="100" w:afterAutospacing="1" w:line="240" w:lineRule="auto"/>
        <w:rPr>
          <w:rFonts w:ascii="Arial Black" w:hAnsi="Arial Black"/>
          <w:sz w:val="28"/>
          <w:szCs w:val="28"/>
        </w:rPr>
      </w:pPr>
      <w:r>
        <w:rPr>
          <w:rFonts w:ascii="Arial Black" w:hAnsi="Arial Black"/>
          <w:sz w:val="28"/>
          <w:szCs w:val="28"/>
        </w:rPr>
        <w:t>TX: MEDIC VIDEOED KICKING HOMELESS MAN – LAWSUIT PROCEED – ALLEGED FD POLICY NOT TERMINATING EMS</w:t>
      </w:r>
    </w:p>
    <w:p w14:paraId="22D2EBC5" w14:textId="77777777" w:rsidR="00936792" w:rsidRDefault="00936792" w:rsidP="00936792">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On June 23, 2022, in</w:t>
      </w:r>
      <w:r>
        <w:t xml:space="preserve"> </w:t>
      </w:r>
      <w:r>
        <w:rPr>
          <w:rFonts w:ascii="Times New Roman" w:hAnsi="Times New Roman"/>
          <w:sz w:val="24"/>
          <w:szCs w:val="24"/>
          <w:u w:val="single"/>
        </w:rPr>
        <w:t>Kyle Vess v. City of Dallas, a municipal corporation, and Brad Alan Cox</w:t>
      </w:r>
      <w:r>
        <w:t xml:space="preserve">, </w:t>
      </w:r>
      <w:r>
        <w:rPr>
          <w:rFonts w:ascii="Times New Roman" w:hAnsi="Times New Roman"/>
          <w:sz w:val="24"/>
          <w:szCs w:val="24"/>
        </w:rPr>
        <w:t xml:space="preserve">U.S. Senior District Court Judge Sidney A. Fitzwater, U.S. District Court for the Northern District of Texas, denied the City’s motion to dismiss, </w:t>
      </w:r>
      <w:proofErr w:type="gramStart"/>
      <w:r>
        <w:rPr>
          <w:rFonts w:ascii="Times New Roman" w:hAnsi="Times New Roman"/>
          <w:sz w:val="24"/>
          <w:szCs w:val="24"/>
        </w:rPr>
        <w:t>and also</w:t>
      </w:r>
      <w:proofErr w:type="gramEnd"/>
      <w:r>
        <w:rPr>
          <w:rFonts w:ascii="Times New Roman" w:hAnsi="Times New Roman"/>
          <w:sz w:val="24"/>
          <w:szCs w:val="24"/>
        </w:rPr>
        <w:t xml:space="preserve"> declined to dismiss all of claims against the paramedic.  “Taking the facts </w:t>
      </w:r>
      <w:r>
        <w:rPr>
          <w:rFonts w:ascii="Times New Roman" w:hAnsi="Times New Roman"/>
          <w:sz w:val="24"/>
          <w:szCs w:val="24"/>
        </w:rPr>
        <w:lastRenderedPageBreak/>
        <w:t xml:space="preserve">alleged in the SAC [Second Amended Complaint] as true, the court concludes that Vess has plausibly pleaded that this policy ‘of protection for previously disciplined personnel by refusing to terminate or separate from employment individuals unfit to serve as members of the Dallas Fire Department despite good cause for termination and the risk these individuals pose to the public,’ SAC ¶ 45(d), was the moving force behind Cox's actions.  The Court also noted that Vess alleges that [Dallas Police Investigations Unit] hampered the investigation because it did not turn over exculpatory evidence to Vess's criminal defense attorney until two years after the events in question and not until after this lawsuit was filed. Further, DPIU did not take statements from DFD personnel when it was investigating Vess and Cox's confrontation; it only took statements from police officers who were on the scene.” </w:t>
      </w:r>
      <w:hyperlink r:id="rId2242" w:history="1">
        <w:r>
          <w:rPr>
            <w:rStyle w:val="Hyperlink"/>
            <w:sz w:val="24"/>
            <w:szCs w:val="24"/>
          </w:rPr>
          <w:t>https://public.fastcase.com/waZtJvSA54UAurM2rmIZz2loI3SMK51lisNXjYZKph2xHHDuTcicSNaYOQdhESxu4yBG2%2FvlbYv%2BMp6LYbH6Xh9C0n%2BJCkyXjjUwyrGDKNg%3D</w:t>
        </w:r>
      </w:hyperlink>
      <w:r>
        <w:rPr>
          <w:rFonts w:ascii="Times New Roman" w:hAnsi="Times New Roman"/>
          <w:sz w:val="24"/>
          <w:szCs w:val="24"/>
        </w:rPr>
        <w:t xml:space="preserve"> </w:t>
      </w:r>
    </w:p>
    <w:p w14:paraId="531B5ABA" w14:textId="77777777" w:rsidR="00936792" w:rsidRDefault="00936792" w:rsidP="00936792">
      <w:pPr>
        <w:spacing w:before="100" w:beforeAutospacing="1" w:after="100" w:afterAutospacing="1" w:line="240" w:lineRule="auto"/>
        <w:rPr>
          <w:rFonts w:ascii="Times New Roman" w:hAnsi="Times New Roman"/>
          <w:b/>
          <w:bCs/>
          <w:sz w:val="24"/>
          <w:szCs w:val="24"/>
        </w:rPr>
      </w:pPr>
      <w:r>
        <w:rPr>
          <w:rFonts w:ascii="Times New Roman" w:hAnsi="Times New Roman"/>
          <w:b/>
          <w:bCs/>
          <w:sz w:val="24"/>
          <w:szCs w:val="24"/>
        </w:rPr>
        <w:t xml:space="preserve">Legal Lesson Learned: Serious allegations; case will now proceed to pre-trial discovery. </w:t>
      </w:r>
    </w:p>
    <w:p w14:paraId="5B746A5C" w14:textId="77777777" w:rsidR="00936792" w:rsidRDefault="00936792" w:rsidP="00936792">
      <w:pPr>
        <w:pStyle w:val="Heading1"/>
        <w:ind w:left="720"/>
        <w:rPr>
          <w:b w:val="0"/>
          <w:bCs w:val="0"/>
          <w:sz w:val="24"/>
          <w:szCs w:val="24"/>
        </w:rPr>
      </w:pPr>
      <w:r>
        <w:rPr>
          <w:b w:val="0"/>
          <w:bCs w:val="0"/>
          <w:sz w:val="24"/>
          <w:szCs w:val="24"/>
        </w:rPr>
        <w:t>Note: See articles:</w:t>
      </w:r>
    </w:p>
    <w:p w14:paraId="1C212EA1" w14:textId="77777777" w:rsidR="00936792" w:rsidRDefault="00936792" w:rsidP="00936792">
      <w:pPr>
        <w:pStyle w:val="Heading1"/>
        <w:ind w:left="720"/>
        <w:rPr>
          <w:b w:val="0"/>
          <w:bCs w:val="0"/>
          <w:sz w:val="24"/>
          <w:szCs w:val="24"/>
        </w:rPr>
      </w:pPr>
      <w:r>
        <w:rPr>
          <w:b w:val="0"/>
          <w:bCs w:val="0"/>
          <w:sz w:val="24"/>
          <w:szCs w:val="24"/>
        </w:rPr>
        <w:t xml:space="preserve">“Court Shoots Down Dallas' Request to Toss Out Lawsuit Over Paramedic Kicking Man in Head” (June 28, 2022): </w:t>
      </w:r>
      <w:hyperlink r:id="rId2243" w:history="1">
        <w:r>
          <w:rPr>
            <w:rStyle w:val="Hyperlink"/>
            <w:sz w:val="24"/>
            <w:szCs w:val="24"/>
          </w:rPr>
          <w:t>https://www.dallasobserver.com/news/kyle-vess-court-rules-lawsuit-against-city-and-former-paramedic-can-move-forward-14303422</w:t>
        </w:r>
      </w:hyperlink>
      <w:r>
        <w:rPr>
          <w:b w:val="0"/>
          <w:bCs w:val="0"/>
          <w:sz w:val="24"/>
          <w:szCs w:val="24"/>
        </w:rPr>
        <w:t xml:space="preserve"> </w:t>
      </w:r>
    </w:p>
    <w:p w14:paraId="40069CD9" w14:textId="77777777" w:rsidR="00936792" w:rsidRDefault="00936792" w:rsidP="00936792">
      <w:pPr>
        <w:pStyle w:val="Heading1"/>
        <w:ind w:left="720"/>
        <w:rPr>
          <w:b w:val="0"/>
          <w:bCs w:val="0"/>
          <w:sz w:val="24"/>
          <w:szCs w:val="24"/>
        </w:rPr>
      </w:pPr>
      <w:r>
        <w:rPr>
          <w:b w:val="0"/>
          <w:bCs w:val="0"/>
          <w:sz w:val="24"/>
          <w:szCs w:val="24"/>
        </w:rPr>
        <w:t xml:space="preserve">After Police Review, No Charges Filed Against Former Dallas Paramedic Who Kicked Mentally Ill Man (March 7, 2022): </w:t>
      </w:r>
      <w:hyperlink r:id="rId2244" w:history="1">
        <w:r>
          <w:rPr>
            <w:rStyle w:val="Hyperlink"/>
            <w:sz w:val="24"/>
            <w:szCs w:val="24"/>
          </w:rPr>
          <w:t>https://www.dallasobserver.com/news/after-dpd-review-no-charges-filed-against-former-paramedic-who-kicked-mentally-ill-man-13536919</w:t>
        </w:r>
      </w:hyperlink>
      <w:r>
        <w:rPr>
          <w:b w:val="0"/>
          <w:bCs w:val="0"/>
          <w:sz w:val="24"/>
          <w:szCs w:val="24"/>
        </w:rPr>
        <w:t xml:space="preserve"> </w:t>
      </w:r>
    </w:p>
    <w:p w14:paraId="64CD8499" w14:textId="58BBF9D0" w:rsidR="00936792" w:rsidRDefault="00936792" w:rsidP="00936792">
      <w:pPr>
        <w:ind w:left="720"/>
        <w:rPr>
          <w:rFonts w:ascii="Arial Black" w:hAnsi="Arial Black"/>
          <w:b/>
          <w:bCs/>
          <w:sz w:val="28"/>
          <w:szCs w:val="28"/>
        </w:rPr>
      </w:pPr>
      <w:r>
        <w:rPr>
          <w:sz w:val="24"/>
          <w:szCs w:val="24"/>
        </w:rPr>
        <w:t xml:space="preserve">New Video Shows Dallas Paramedic Repeatedly Kicking Mentally Ill Man Before Police Show Up (Oct. 19, 2021): </w:t>
      </w:r>
      <w:hyperlink r:id="rId2245" w:history="1">
        <w:r>
          <w:rPr>
            <w:rStyle w:val="Hyperlink"/>
            <w:sz w:val="24"/>
            <w:szCs w:val="24"/>
          </w:rPr>
          <w:t>https://www.dallasobserver.com/news/watch-dallas-paramedic-kicks-mentally-ill-man-several-times-before-police-arrive-on-scene-12638001</w:t>
        </w:r>
      </w:hyperlink>
    </w:p>
    <w:p w14:paraId="18A989C0" w14:textId="77777777" w:rsidR="00936792" w:rsidRDefault="00936792" w:rsidP="002B1283">
      <w:pPr>
        <w:rPr>
          <w:rFonts w:ascii="Arial Black" w:hAnsi="Arial Black"/>
          <w:b/>
          <w:bCs/>
          <w:sz w:val="28"/>
          <w:szCs w:val="28"/>
        </w:rPr>
      </w:pPr>
    </w:p>
    <w:p w14:paraId="5E41758B" w14:textId="77777777" w:rsidR="00936792" w:rsidRDefault="00936792" w:rsidP="002B1283">
      <w:pPr>
        <w:rPr>
          <w:rFonts w:ascii="Arial Black" w:hAnsi="Arial Black"/>
          <w:b/>
          <w:bCs/>
          <w:sz w:val="28"/>
          <w:szCs w:val="28"/>
        </w:rPr>
      </w:pPr>
    </w:p>
    <w:p w14:paraId="42DCCC29" w14:textId="3B1636CF" w:rsidR="009579EB" w:rsidRDefault="009579EB" w:rsidP="002B1283">
      <w:pPr>
        <w:rPr>
          <w:rFonts w:ascii="Arial Black" w:hAnsi="Arial Black"/>
          <w:b/>
          <w:bCs/>
          <w:sz w:val="28"/>
          <w:szCs w:val="28"/>
        </w:rPr>
      </w:pPr>
      <w:r>
        <w:rPr>
          <w:rFonts w:ascii="Arial Black" w:hAnsi="Arial Black"/>
          <w:b/>
          <w:bCs/>
          <w:sz w:val="28"/>
          <w:szCs w:val="28"/>
        </w:rPr>
        <w:t>13-114</w:t>
      </w:r>
    </w:p>
    <w:p w14:paraId="7F66F2F4" w14:textId="77777777" w:rsidR="009579EB" w:rsidRDefault="009579EB" w:rsidP="009579EB">
      <w:pPr>
        <w:spacing w:before="100" w:beforeAutospacing="1" w:after="100" w:afterAutospacing="1" w:line="240" w:lineRule="auto"/>
        <w:rPr>
          <w:rFonts w:ascii="Arial Black" w:hAnsi="Arial Black"/>
          <w:b/>
          <w:sz w:val="28"/>
          <w:szCs w:val="28"/>
        </w:rPr>
      </w:pPr>
      <w:r>
        <w:rPr>
          <w:rFonts w:ascii="Arial Black" w:hAnsi="Arial Black"/>
          <w:b/>
          <w:sz w:val="28"/>
          <w:szCs w:val="28"/>
        </w:rPr>
        <w:t>MS: EMS ON SCENE 16 MINUTES – VICTIM SHOT 3 TIMES –P’S MD EXPERT - NO EMER. MED. EXP. - DISQUALIFIED</w:t>
      </w:r>
    </w:p>
    <w:p w14:paraId="3EE7BB5C" w14:textId="63D216FC" w:rsidR="009579EB" w:rsidRDefault="009579EB" w:rsidP="009579EB">
      <w:pPr>
        <w:rPr>
          <w:rStyle w:val="Hyperlink"/>
          <w:rFonts w:ascii="Times New Roman" w:hAnsi="Times New Roman"/>
          <w:sz w:val="24"/>
          <w:szCs w:val="24"/>
        </w:rPr>
      </w:pPr>
      <w:r w:rsidRPr="00B60757">
        <w:rPr>
          <w:rFonts w:ascii="Times New Roman" w:hAnsi="Times New Roman"/>
          <w:bCs/>
          <w:sz w:val="24"/>
          <w:szCs w:val="24"/>
        </w:rPr>
        <w:t xml:space="preserve">On May 12, 2022, in </w:t>
      </w:r>
      <w:r w:rsidRPr="005F737D">
        <w:rPr>
          <w:rFonts w:ascii="Times New Roman" w:hAnsi="Times New Roman"/>
          <w:bCs/>
          <w:sz w:val="24"/>
          <w:szCs w:val="24"/>
          <w:u w:val="single"/>
        </w:rPr>
        <w:t xml:space="preserve">Marcus Walker, on behalf of the wrongful death beneficiaries of </w:t>
      </w:r>
      <w:proofErr w:type="spellStart"/>
      <w:r w:rsidRPr="005F737D">
        <w:rPr>
          <w:rFonts w:ascii="Times New Roman" w:hAnsi="Times New Roman"/>
          <w:bCs/>
          <w:sz w:val="24"/>
          <w:szCs w:val="24"/>
          <w:u w:val="single"/>
        </w:rPr>
        <w:t>De’Aubrey</w:t>
      </w:r>
      <w:proofErr w:type="spellEnd"/>
      <w:r w:rsidRPr="005F737D">
        <w:rPr>
          <w:rFonts w:ascii="Times New Roman" w:hAnsi="Times New Roman"/>
          <w:bCs/>
          <w:sz w:val="24"/>
          <w:szCs w:val="24"/>
          <w:u w:val="single"/>
        </w:rPr>
        <w:t xml:space="preserve"> </w:t>
      </w:r>
      <w:proofErr w:type="spellStart"/>
      <w:r w:rsidRPr="005F737D">
        <w:rPr>
          <w:rFonts w:ascii="Times New Roman" w:hAnsi="Times New Roman"/>
          <w:bCs/>
          <w:sz w:val="24"/>
          <w:szCs w:val="24"/>
          <w:u w:val="single"/>
        </w:rPr>
        <w:t>Rajheem</w:t>
      </w:r>
      <w:proofErr w:type="spellEnd"/>
      <w:r w:rsidRPr="005F737D">
        <w:rPr>
          <w:rFonts w:ascii="Times New Roman" w:hAnsi="Times New Roman"/>
          <w:bCs/>
          <w:sz w:val="24"/>
          <w:szCs w:val="24"/>
          <w:u w:val="single"/>
        </w:rPr>
        <w:t xml:space="preserve"> Roscoe v. City of Indianola,</w:t>
      </w:r>
      <w:r>
        <w:rPr>
          <w:rFonts w:ascii="Times New Roman" w:hAnsi="Times New Roman"/>
          <w:bCs/>
          <w:sz w:val="24"/>
          <w:szCs w:val="24"/>
          <w:u w:val="single"/>
        </w:rPr>
        <w:t xml:space="preserve"> </w:t>
      </w:r>
      <w:proofErr w:type="spellStart"/>
      <w:r>
        <w:rPr>
          <w:rFonts w:ascii="Times New Roman" w:hAnsi="Times New Roman"/>
          <w:bCs/>
          <w:sz w:val="24"/>
          <w:szCs w:val="24"/>
          <w:u w:val="single"/>
        </w:rPr>
        <w:t>Medstat</w:t>
      </w:r>
      <w:proofErr w:type="spellEnd"/>
      <w:r>
        <w:rPr>
          <w:rFonts w:ascii="Times New Roman" w:hAnsi="Times New Roman"/>
          <w:bCs/>
          <w:sz w:val="24"/>
          <w:szCs w:val="24"/>
          <w:u w:val="single"/>
        </w:rPr>
        <w:t xml:space="preserve"> EMS, Inc. </w:t>
      </w:r>
      <w:r w:rsidRPr="005F737D">
        <w:rPr>
          <w:rFonts w:ascii="Times New Roman" w:hAnsi="Times New Roman"/>
          <w:bCs/>
          <w:sz w:val="24"/>
          <w:szCs w:val="24"/>
          <w:u w:val="single"/>
        </w:rPr>
        <w:t xml:space="preserve"> et al.</w:t>
      </w:r>
      <w:r>
        <w:rPr>
          <w:rFonts w:ascii="Times New Roman" w:hAnsi="Times New Roman"/>
          <w:bCs/>
          <w:sz w:val="24"/>
          <w:szCs w:val="24"/>
        </w:rPr>
        <w:t xml:space="preserve">, U.S. District Court Judge for the Northern District of Mississippi granted </w:t>
      </w:r>
      <w:proofErr w:type="spellStart"/>
      <w:r>
        <w:rPr>
          <w:rFonts w:ascii="Times New Roman" w:hAnsi="Times New Roman"/>
          <w:bCs/>
          <w:sz w:val="24"/>
          <w:szCs w:val="24"/>
        </w:rPr>
        <w:t>Medstat’s</w:t>
      </w:r>
      <w:proofErr w:type="spellEnd"/>
      <w:r>
        <w:rPr>
          <w:rFonts w:ascii="Times New Roman" w:hAnsi="Times New Roman"/>
          <w:bCs/>
          <w:sz w:val="24"/>
          <w:szCs w:val="24"/>
        </w:rPr>
        <w:t xml:space="preserve"> motion to exclude plaintiff’s expert, Obie McNair, MD. </w:t>
      </w:r>
      <w:r w:rsidRPr="00DB3E42">
        <w:rPr>
          <w:rFonts w:ascii="Times New Roman" w:hAnsi="Times New Roman"/>
          <w:sz w:val="24"/>
          <w:szCs w:val="24"/>
        </w:rPr>
        <w:t>On April 24, 2019,</w:t>
      </w:r>
      <w:r>
        <w:rPr>
          <w:rFonts w:ascii="Times New Roman" w:hAnsi="Times New Roman"/>
          <w:sz w:val="24"/>
          <w:szCs w:val="24"/>
        </w:rPr>
        <w:t xml:space="preserve"> </w:t>
      </w:r>
      <w:r w:rsidRPr="00BF05FA">
        <w:rPr>
          <w:rFonts w:ascii="Times New Roman" w:hAnsi="Times New Roman"/>
          <w:sz w:val="24"/>
          <w:szCs w:val="24"/>
        </w:rPr>
        <w:t>Roscoe had been shot three times, and one of the bullets had perforated the deceased's liver and right lung, thereby causing a collapsed lung (</w:t>
      </w:r>
      <w:r>
        <w:rPr>
          <w:rFonts w:ascii="Times New Roman" w:hAnsi="Times New Roman"/>
          <w:sz w:val="24"/>
          <w:szCs w:val="24"/>
        </w:rPr>
        <w:t>‘</w:t>
      </w:r>
      <w:r w:rsidRPr="00BF05FA">
        <w:rPr>
          <w:rFonts w:ascii="Times New Roman" w:hAnsi="Times New Roman"/>
          <w:sz w:val="24"/>
          <w:szCs w:val="24"/>
        </w:rPr>
        <w:t>pneumothorax</w:t>
      </w:r>
      <w:r>
        <w:rPr>
          <w:rFonts w:ascii="Times New Roman" w:hAnsi="Times New Roman"/>
          <w:sz w:val="24"/>
          <w:szCs w:val="24"/>
        </w:rPr>
        <w:t>’</w:t>
      </w:r>
      <w:r w:rsidRPr="00BF05FA">
        <w:rPr>
          <w:rFonts w:ascii="Times New Roman" w:hAnsi="Times New Roman"/>
          <w:sz w:val="24"/>
          <w:szCs w:val="24"/>
        </w:rPr>
        <w:t xml:space="preserve"> in medical terms) and bleeding in the space between the lung and the chest cavity (a </w:t>
      </w:r>
      <w:r>
        <w:rPr>
          <w:rFonts w:ascii="Times New Roman" w:hAnsi="Times New Roman"/>
          <w:sz w:val="24"/>
          <w:szCs w:val="24"/>
        </w:rPr>
        <w:t>‘</w:t>
      </w:r>
      <w:r w:rsidRPr="00BF05FA">
        <w:rPr>
          <w:rFonts w:ascii="Times New Roman" w:hAnsi="Times New Roman"/>
          <w:sz w:val="24"/>
          <w:szCs w:val="24"/>
        </w:rPr>
        <w:t>hemothorax</w:t>
      </w:r>
      <w:r>
        <w:rPr>
          <w:rFonts w:ascii="Times New Roman" w:hAnsi="Times New Roman"/>
          <w:sz w:val="24"/>
          <w:szCs w:val="24"/>
        </w:rPr>
        <w:t>”</w:t>
      </w:r>
      <w:r w:rsidRPr="00BF05FA">
        <w:rPr>
          <w:rFonts w:ascii="Times New Roman" w:hAnsi="Times New Roman"/>
          <w:sz w:val="24"/>
          <w:szCs w:val="24"/>
        </w:rPr>
        <w:t>)</w:t>
      </w:r>
      <w:r>
        <w:rPr>
          <w:rFonts w:ascii="Times New Roman" w:hAnsi="Times New Roman"/>
          <w:sz w:val="24"/>
          <w:szCs w:val="24"/>
        </w:rPr>
        <w:t xml:space="preserve">. </w:t>
      </w:r>
      <w:r w:rsidRPr="00BF05FA">
        <w:rPr>
          <w:rFonts w:ascii="Times New Roman" w:hAnsi="Times New Roman"/>
          <w:sz w:val="24"/>
          <w:szCs w:val="24"/>
        </w:rPr>
        <w:t xml:space="preserve">Defendant </w:t>
      </w:r>
      <w:proofErr w:type="spellStart"/>
      <w:r w:rsidRPr="00BF05FA">
        <w:rPr>
          <w:rFonts w:ascii="Times New Roman" w:hAnsi="Times New Roman"/>
          <w:sz w:val="24"/>
          <w:szCs w:val="24"/>
        </w:rPr>
        <w:t>MedStat's</w:t>
      </w:r>
      <w:proofErr w:type="spellEnd"/>
      <w:r w:rsidRPr="00BF05FA">
        <w:rPr>
          <w:rFonts w:ascii="Times New Roman" w:hAnsi="Times New Roman"/>
          <w:sz w:val="24"/>
          <w:szCs w:val="24"/>
        </w:rPr>
        <w:t xml:space="preserve"> crew members treated Roscoe for sixteen minutes at the </w:t>
      </w:r>
      <w:proofErr w:type="gramStart"/>
      <w:r w:rsidRPr="00BF05FA">
        <w:rPr>
          <w:rFonts w:ascii="Times New Roman" w:hAnsi="Times New Roman"/>
          <w:sz w:val="24"/>
          <w:szCs w:val="24"/>
        </w:rPr>
        <w:t>scene, and</w:t>
      </w:r>
      <w:proofErr w:type="gramEnd"/>
      <w:r w:rsidRPr="00BF05FA">
        <w:rPr>
          <w:rFonts w:ascii="Times New Roman" w:hAnsi="Times New Roman"/>
          <w:sz w:val="24"/>
          <w:szCs w:val="24"/>
        </w:rPr>
        <w:t xml:space="preserve"> then left the scene in an ambulance heading toward the local hospital</w:t>
      </w:r>
      <w:r>
        <w:rPr>
          <w:rFonts w:ascii="Times New Roman" w:hAnsi="Times New Roman"/>
          <w:sz w:val="24"/>
          <w:szCs w:val="24"/>
        </w:rPr>
        <w:t xml:space="preserve">, where he died.  </w:t>
      </w:r>
      <w:r w:rsidRPr="00133A12">
        <w:rPr>
          <w:rFonts w:ascii="Times New Roman" w:hAnsi="Times New Roman"/>
          <w:sz w:val="24"/>
          <w:szCs w:val="24"/>
        </w:rPr>
        <w:t>Plaintiff’s expert is a physician who is board-certified in internal medicine and pulmonary medicine</w:t>
      </w:r>
      <w:r>
        <w:rPr>
          <w:rFonts w:ascii="Times New Roman" w:hAnsi="Times New Roman"/>
          <w:sz w:val="24"/>
          <w:szCs w:val="24"/>
        </w:rPr>
        <w:t xml:space="preserve">, but has no </w:t>
      </w:r>
      <w:r w:rsidRPr="00133A12">
        <w:rPr>
          <w:rFonts w:ascii="Times New Roman" w:hAnsi="Times New Roman"/>
          <w:sz w:val="24"/>
          <w:szCs w:val="24"/>
        </w:rPr>
        <w:t>experience, education, or background related to emergency medicine or the standards at play when treating patients in the field and on ambulances</w:t>
      </w:r>
      <w:r>
        <w:rPr>
          <w:rFonts w:ascii="Times New Roman" w:hAnsi="Times New Roman"/>
          <w:sz w:val="24"/>
          <w:szCs w:val="24"/>
        </w:rPr>
        <w:t xml:space="preserve">. </w:t>
      </w:r>
      <w:hyperlink r:id="rId2246" w:history="1">
        <w:r w:rsidRPr="00826068">
          <w:rPr>
            <w:rStyle w:val="Hyperlink"/>
            <w:rFonts w:ascii="Times New Roman" w:hAnsi="Times New Roman"/>
            <w:sz w:val="24"/>
            <w:szCs w:val="24"/>
          </w:rPr>
          <w:t>https://public.fastcase.com/waZtJvSA54UAurM2rmIZz3GImxM8vVu83JjC1hitqCF6J52x3NFj71FjQLuzCLQnmvBPUszpB78vzjnxu9to%2Fq0ClMx7mkWBtvY01d0uDxg%3D</w:t>
        </w:r>
      </w:hyperlink>
    </w:p>
    <w:p w14:paraId="68C95F6A" w14:textId="77777777" w:rsidR="009579EB" w:rsidRPr="00B97849" w:rsidRDefault="009579EB" w:rsidP="009579EB">
      <w:pPr>
        <w:spacing w:before="100" w:beforeAutospacing="1" w:after="100" w:afterAutospacing="1" w:line="240" w:lineRule="auto"/>
        <w:rPr>
          <w:rFonts w:ascii="Times New Roman" w:eastAsia="Times New Roman" w:hAnsi="Times New Roman"/>
          <w:b/>
          <w:bCs/>
          <w:sz w:val="24"/>
          <w:szCs w:val="24"/>
        </w:rPr>
      </w:pPr>
      <w:r w:rsidRPr="00133A12">
        <w:rPr>
          <w:rFonts w:ascii="Times New Roman" w:hAnsi="Times New Roman"/>
          <w:b/>
          <w:bCs/>
          <w:sz w:val="24"/>
          <w:szCs w:val="24"/>
        </w:rPr>
        <w:t>Legal Lesson Learned:</w:t>
      </w:r>
      <w:r>
        <w:rPr>
          <w:rFonts w:ascii="Times New Roman" w:hAnsi="Times New Roman"/>
          <w:b/>
          <w:bCs/>
          <w:sz w:val="24"/>
          <w:szCs w:val="24"/>
        </w:rPr>
        <w:t xml:space="preserve"> Plaintiff’s expert witness lacked knowledge of protocol of paramedics. </w:t>
      </w:r>
    </w:p>
    <w:p w14:paraId="0DC8BB62" w14:textId="77777777" w:rsidR="009579EB" w:rsidRDefault="009579EB" w:rsidP="009579EB">
      <w:pPr>
        <w:rPr>
          <w:rFonts w:ascii="Arial Black" w:hAnsi="Arial Black"/>
          <w:b/>
          <w:bCs/>
          <w:sz w:val="28"/>
          <w:szCs w:val="28"/>
        </w:rPr>
      </w:pPr>
    </w:p>
    <w:p w14:paraId="769C2869" w14:textId="77777777" w:rsidR="009579EB" w:rsidRDefault="009579EB" w:rsidP="002B1283">
      <w:pPr>
        <w:rPr>
          <w:rFonts w:ascii="Arial Black" w:hAnsi="Arial Black"/>
          <w:b/>
          <w:bCs/>
          <w:sz w:val="28"/>
          <w:szCs w:val="28"/>
        </w:rPr>
      </w:pPr>
    </w:p>
    <w:p w14:paraId="33A07AB7" w14:textId="2B910C93" w:rsidR="00BA51CC" w:rsidRDefault="00BA51CC" w:rsidP="002B1283">
      <w:pPr>
        <w:rPr>
          <w:rFonts w:ascii="Arial Black" w:hAnsi="Arial Black"/>
          <w:b/>
          <w:bCs/>
          <w:sz w:val="28"/>
          <w:szCs w:val="28"/>
        </w:rPr>
      </w:pPr>
      <w:r>
        <w:rPr>
          <w:rFonts w:ascii="Arial Black" w:hAnsi="Arial Black"/>
          <w:b/>
          <w:bCs/>
          <w:sz w:val="28"/>
          <w:szCs w:val="28"/>
        </w:rPr>
        <w:t>13-113</w:t>
      </w:r>
    </w:p>
    <w:p w14:paraId="77E8980D" w14:textId="77777777" w:rsidR="00BA51CC" w:rsidRDefault="00BA51CC" w:rsidP="00BA51CC">
      <w:pPr>
        <w:spacing w:before="100" w:beforeAutospacing="1" w:after="100" w:afterAutospacing="1" w:line="240" w:lineRule="auto"/>
        <w:rPr>
          <w:rFonts w:ascii="Arial Black" w:hAnsi="Arial Black"/>
          <w:sz w:val="28"/>
          <w:szCs w:val="28"/>
        </w:rPr>
      </w:pPr>
      <w:r w:rsidRPr="00A84EAB">
        <w:rPr>
          <w:rFonts w:ascii="Arial Black" w:hAnsi="Arial Black"/>
          <w:sz w:val="28"/>
          <w:szCs w:val="28"/>
        </w:rPr>
        <w:t xml:space="preserve">OH: </w:t>
      </w:r>
      <w:r>
        <w:rPr>
          <w:rFonts w:ascii="Arial Black" w:hAnsi="Arial Black"/>
          <w:sz w:val="28"/>
          <w:szCs w:val="28"/>
        </w:rPr>
        <w:t>SEVERE ASTHMA ATTACK – EMS WRONG ADDRESS, SLOOPY DISPATCH - “RECKLESSNESS” – CASE PROCEED</w:t>
      </w:r>
    </w:p>
    <w:p w14:paraId="2BB11396" w14:textId="311E1C64" w:rsidR="00BA51CC" w:rsidRDefault="00BA51CC" w:rsidP="00BA51CC">
      <w:pPr>
        <w:rPr>
          <w:rFonts w:ascii="Arial Black" w:hAnsi="Arial Black"/>
          <w:b/>
          <w:bCs/>
          <w:sz w:val="28"/>
          <w:szCs w:val="28"/>
        </w:rPr>
      </w:pPr>
      <w:r>
        <w:rPr>
          <w:rFonts w:ascii="Times New Roman" w:eastAsia="Times New Roman" w:hAnsi="Times New Roman"/>
          <w:sz w:val="24"/>
          <w:szCs w:val="24"/>
        </w:rPr>
        <w:t xml:space="preserve">On May 5, 2022, in </w:t>
      </w:r>
      <w:r w:rsidRPr="0013666F">
        <w:rPr>
          <w:rFonts w:ascii="Times New Roman" w:eastAsia="Times New Roman" w:hAnsi="Times New Roman"/>
          <w:sz w:val="24"/>
          <w:szCs w:val="24"/>
          <w:u w:val="single"/>
        </w:rPr>
        <w:t>Boris Morrison v. City of Warrensville Heights, et al</w:t>
      </w:r>
      <w:r>
        <w:rPr>
          <w:rFonts w:ascii="Times New Roman" w:eastAsia="Times New Roman" w:hAnsi="Times New Roman"/>
          <w:sz w:val="24"/>
          <w:szCs w:val="24"/>
        </w:rPr>
        <w:t xml:space="preserve">., the Court of Appeals of Ohio, Eighth District (Cuyahoga County), held (3 to 0), 2022-Ohio-1489, that the trial court properly denied summary judgment for dispatch and fire / EMS since there appears to be a history of “recklessness” in confirm addresses, and inaccurate arrival times on run reports.  Squad 1 responded to </w:t>
      </w:r>
      <w:r w:rsidRPr="00B93C27">
        <w:rPr>
          <w:rFonts w:ascii="Times New Roman" w:hAnsi="Times New Roman"/>
          <w:sz w:val="24"/>
          <w:szCs w:val="24"/>
        </w:rPr>
        <w:t xml:space="preserve">19419 </w:t>
      </w:r>
      <w:proofErr w:type="spellStart"/>
      <w:r w:rsidRPr="00B93C27">
        <w:rPr>
          <w:rFonts w:ascii="Times New Roman" w:hAnsi="Times New Roman"/>
          <w:sz w:val="24"/>
          <w:szCs w:val="24"/>
        </w:rPr>
        <w:t>Lanbury</w:t>
      </w:r>
      <w:proofErr w:type="spellEnd"/>
      <w:r w:rsidRPr="00B93C27">
        <w:rPr>
          <w:rFonts w:ascii="Times New Roman" w:hAnsi="Times New Roman"/>
          <w:sz w:val="24"/>
          <w:szCs w:val="24"/>
        </w:rPr>
        <w:t xml:space="preserve">, instead of 19219 </w:t>
      </w:r>
      <w:proofErr w:type="spellStart"/>
      <w:r w:rsidRPr="00B93C27">
        <w:rPr>
          <w:rFonts w:ascii="Times New Roman" w:hAnsi="Times New Roman"/>
          <w:sz w:val="24"/>
          <w:szCs w:val="24"/>
        </w:rPr>
        <w:t>Lanbury</w:t>
      </w:r>
      <w:proofErr w:type="spellEnd"/>
      <w:r>
        <w:rPr>
          <w:rFonts w:ascii="Times New Roman" w:hAnsi="Times New Roman"/>
          <w:sz w:val="24"/>
          <w:szCs w:val="24"/>
        </w:rPr>
        <w:t xml:space="preserve">, and when they eventually got the correct </w:t>
      </w:r>
      <w:proofErr w:type="gramStart"/>
      <w:r>
        <w:rPr>
          <w:rFonts w:ascii="Times New Roman" w:hAnsi="Times New Roman"/>
          <w:sz w:val="24"/>
          <w:szCs w:val="24"/>
        </w:rPr>
        <w:t>address</w:t>
      </w:r>
      <w:proofErr w:type="gramEnd"/>
      <w:r>
        <w:rPr>
          <w:rFonts w:ascii="Times New Roman" w:hAnsi="Times New Roman"/>
          <w:sz w:val="24"/>
          <w:szCs w:val="24"/>
        </w:rPr>
        <w:t xml:space="preserve"> the patient was in full cardiac arrest. </w:t>
      </w:r>
      <w:r>
        <w:rPr>
          <w:rFonts w:ascii="Times New Roman" w:eastAsia="Times New Roman" w:hAnsi="Times New Roman"/>
          <w:sz w:val="24"/>
          <w:szCs w:val="24"/>
        </w:rPr>
        <w:t xml:space="preserve">The </w:t>
      </w:r>
      <w:proofErr w:type="gramStart"/>
      <w:r>
        <w:rPr>
          <w:rFonts w:ascii="Times New Roman" w:eastAsia="Times New Roman" w:hAnsi="Times New Roman"/>
          <w:sz w:val="24"/>
          <w:szCs w:val="24"/>
        </w:rPr>
        <w:t>City</w:t>
      </w:r>
      <w:proofErr w:type="gramEnd"/>
      <w:r>
        <w:rPr>
          <w:rFonts w:ascii="Times New Roman" w:eastAsia="Times New Roman" w:hAnsi="Times New Roman"/>
          <w:sz w:val="24"/>
          <w:szCs w:val="24"/>
        </w:rPr>
        <w:t xml:space="preserve"> asked the County Sheriff’s office to investigate and their report reflected a history of sloppy procedures on confirming run addresses and inaccurate run times.  The Court of Appeals noted: </w:t>
      </w:r>
      <w:r>
        <w:rPr>
          <w:rFonts w:ascii="Times New Roman" w:hAnsi="Times New Roman"/>
          <w:sz w:val="24"/>
          <w:szCs w:val="24"/>
        </w:rPr>
        <w:t>“</w:t>
      </w:r>
      <w:r w:rsidRPr="00B4142C">
        <w:rPr>
          <w:rFonts w:ascii="Times New Roman" w:eastAsia="Times New Roman" w:hAnsi="Times New Roman"/>
          <w:sz w:val="24"/>
          <w:szCs w:val="24"/>
        </w:rPr>
        <w:t xml:space="preserve">Both the run report and the dispatch report show that Ms. Morrison's 911 call was received at 9:40 a.m. However, the 911 call was </w:t>
      </w:r>
      <w:proofErr w:type="gramStart"/>
      <w:r w:rsidRPr="00B4142C">
        <w:rPr>
          <w:rFonts w:ascii="Times New Roman" w:eastAsia="Times New Roman" w:hAnsi="Times New Roman"/>
          <w:sz w:val="24"/>
          <w:szCs w:val="24"/>
        </w:rPr>
        <w:t>actually received</w:t>
      </w:r>
      <w:proofErr w:type="gramEnd"/>
      <w:r w:rsidRPr="00B4142C">
        <w:rPr>
          <w:rFonts w:ascii="Times New Roman" w:eastAsia="Times New Roman" w:hAnsi="Times New Roman"/>
          <w:sz w:val="24"/>
          <w:szCs w:val="24"/>
        </w:rPr>
        <w:t xml:space="preserve"> at 9:37 a.m. This change makes it appear that EMS was dispatched as soon as the call was received. They both also show that EMS arrived at Ms. Morrison's home at 9:44 a.m. making it appear that Ms. Morrison received services three minutes earlier than she </w:t>
      </w:r>
      <w:proofErr w:type="gramStart"/>
      <w:r w:rsidRPr="00B4142C">
        <w:rPr>
          <w:rFonts w:ascii="Times New Roman" w:eastAsia="Times New Roman" w:hAnsi="Times New Roman"/>
          <w:sz w:val="24"/>
          <w:szCs w:val="24"/>
        </w:rPr>
        <w:t>actually did</w:t>
      </w:r>
      <w:proofErr w:type="gramEnd"/>
      <w:r w:rsidRPr="00B4142C">
        <w:rPr>
          <w:rFonts w:ascii="Times New Roman" w:eastAsia="Times New Roman" w:hAnsi="Times New Roman"/>
          <w:sz w:val="24"/>
          <w:szCs w:val="24"/>
        </w:rPr>
        <w:t>.</w:t>
      </w:r>
      <w:r>
        <w:rPr>
          <w:rFonts w:ascii="Times New Roman" w:eastAsia="Times New Roman" w:hAnsi="Times New Roman"/>
          <w:sz w:val="24"/>
          <w:szCs w:val="24"/>
        </w:rPr>
        <w:t xml:space="preserve">” </w:t>
      </w:r>
      <w:hyperlink r:id="rId2247" w:history="1">
        <w:r w:rsidRPr="00B7678D">
          <w:rPr>
            <w:rStyle w:val="Hyperlink"/>
            <w:rFonts w:ascii="Times New Roman" w:eastAsia="Times New Roman" w:hAnsi="Times New Roman"/>
            <w:sz w:val="24"/>
            <w:szCs w:val="24"/>
          </w:rPr>
          <w:t>https://www.supremecourt.ohio.gov/rod/docs/pdf/8/2022/2022-Ohio-1489.pdf</w:t>
        </w:r>
      </w:hyperlink>
    </w:p>
    <w:p w14:paraId="0F377C22" w14:textId="77777777" w:rsidR="00BA51CC" w:rsidRPr="00B4142C" w:rsidRDefault="00BA51CC" w:rsidP="00BA51CC">
      <w:pPr>
        <w:spacing w:before="100" w:beforeAutospacing="1" w:after="100" w:afterAutospacing="1" w:line="240" w:lineRule="auto"/>
        <w:rPr>
          <w:rFonts w:ascii="Times New Roman" w:eastAsia="Times New Roman" w:hAnsi="Times New Roman"/>
          <w:b/>
          <w:bCs/>
          <w:sz w:val="24"/>
          <w:szCs w:val="24"/>
        </w:rPr>
      </w:pPr>
      <w:r w:rsidRPr="00B438A6">
        <w:rPr>
          <w:rFonts w:ascii="Times New Roman" w:eastAsia="Times New Roman" w:hAnsi="Times New Roman"/>
          <w:b/>
          <w:bCs/>
          <w:sz w:val="24"/>
          <w:szCs w:val="24"/>
        </w:rPr>
        <w:t xml:space="preserve">Legal Lesson Learned: </w:t>
      </w:r>
      <w:r>
        <w:rPr>
          <w:rFonts w:ascii="Times New Roman" w:eastAsia="Times New Roman" w:hAnsi="Times New Roman"/>
          <w:b/>
          <w:bCs/>
          <w:sz w:val="24"/>
          <w:szCs w:val="24"/>
        </w:rPr>
        <w:t xml:space="preserve">The City would be wise to settle this </w:t>
      </w:r>
      <w:proofErr w:type="gramStart"/>
      <w:r>
        <w:rPr>
          <w:rFonts w:ascii="Times New Roman" w:eastAsia="Times New Roman" w:hAnsi="Times New Roman"/>
          <w:b/>
          <w:bCs/>
          <w:sz w:val="24"/>
          <w:szCs w:val="24"/>
        </w:rPr>
        <w:t>lawsuit, and</w:t>
      </w:r>
      <w:proofErr w:type="gramEnd"/>
      <w:r>
        <w:rPr>
          <w:rFonts w:ascii="Times New Roman" w:eastAsia="Times New Roman" w:hAnsi="Times New Roman"/>
          <w:b/>
          <w:bCs/>
          <w:sz w:val="24"/>
          <w:szCs w:val="24"/>
        </w:rPr>
        <w:t xml:space="preserve"> promptly correct these identified deficiencies in both dispatch and fire/EMS. </w:t>
      </w:r>
    </w:p>
    <w:p w14:paraId="7ABD8424" w14:textId="77777777" w:rsidR="00BA51CC" w:rsidRDefault="00BA51CC" w:rsidP="002B1283">
      <w:pPr>
        <w:rPr>
          <w:rFonts w:ascii="Arial Black" w:hAnsi="Arial Black"/>
          <w:b/>
          <w:bCs/>
          <w:sz w:val="28"/>
          <w:szCs w:val="28"/>
        </w:rPr>
      </w:pPr>
    </w:p>
    <w:p w14:paraId="7021DB0B" w14:textId="77777777" w:rsidR="00BA51CC" w:rsidRDefault="00BA51CC" w:rsidP="002B1283">
      <w:pPr>
        <w:rPr>
          <w:rFonts w:ascii="Arial Black" w:hAnsi="Arial Black"/>
          <w:b/>
          <w:bCs/>
          <w:sz w:val="28"/>
          <w:szCs w:val="28"/>
        </w:rPr>
      </w:pPr>
    </w:p>
    <w:p w14:paraId="3F02350E" w14:textId="5383535C" w:rsidR="00BA51CC" w:rsidRDefault="00BA51CC" w:rsidP="002B1283">
      <w:pPr>
        <w:rPr>
          <w:rFonts w:ascii="Arial Black" w:hAnsi="Arial Black"/>
          <w:b/>
          <w:bCs/>
          <w:sz w:val="28"/>
          <w:szCs w:val="28"/>
        </w:rPr>
      </w:pPr>
      <w:r>
        <w:rPr>
          <w:rFonts w:ascii="Arial Black" w:hAnsi="Arial Black"/>
          <w:b/>
          <w:bCs/>
          <w:sz w:val="28"/>
          <w:szCs w:val="28"/>
        </w:rPr>
        <w:t>13-112</w:t>
      </w:r>
    </w:p>
    <w:p w14:paraId="70567211" w14:textId="77777777" w:rsidR="00BA51CC" w:rsidRPr="00F7080A" w:rsidRDefault="00BA51CC" w:rsidP="00BA51CC">
      <w:pPr>
        <w:spacing w:before="100" w:beforeAutospacing="1" w:after="100" w:afterAutospacing="1" w:line="240" w:lineRule="auto"/>
        <w:rPr>
          <w:rFonts w:ascii="Arial Black" w:eastAsia="Times New Roman" w:hAnsi="Arial Black"/>
          <w:sz w:val="28"/>
          <w:szCs w:val="28"/>
        </w:rPr>
      </w:pPr>
      <w:r>
        <w:rPr>
          <w:rFonts w:ascii="Arial Black" w:eastAsia="Times New Roman" w:hAnsi="Arial Black"/>
          <w:sz w:val="28"/>
          <w:szCs w:val="28"/>
        </w:rPr>
        <w:t>NY: 350 POUND SEIZURE PATIENT - FLAILING AROUND – VERSED – DIED – PLAINTIFF 3 EXPERTS – CASE PROCEED</w:t>
      </w:r>
    </w:p>
    <w:p w14:paraId="3F62F9AD" w14:textId="77777777" w:rsidR="00BA51CC" w:rsidRDefault="00BA51CC" w:rsidP="00BA51CC">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On May 2, 2022, in </w:t>
      </w:r>
      <w:r w:rsidRPr="001710B6">
        <w:rPr>
          <w:rFonts w:ascii="Times New Roman" w:hAnsi="Times New Roman"/>
          <w:sz w:val="24"/>
          <w:szCs w:val="24"/>
          <w:u w:val="single"/>
        </w:rPr>
        <w:t xml:space="preserve">Linda Artemiou, Estate of Peter C. </w:t>
      </w:r>
      <w:proofErr w:type="spellStart"/>
      <w:r w:rsidRPr="001710B6">
        <w:rPr>
          <w:rFonts w:ascii="Times New Roman" w:hAnsi="Times New Roman"/>
          <w:sz w:val="24"/>
          <w:szCs w:val="24"/>
          <w:u w:val="single"/>
        </w:rPr>
        <w:t>Artemiou</w:t>
      </w:r>
      <w:proofErr w:type="spellEnd"/>
      <w:r w:rsidRPr="001710B6">
        <w:rPr>
          <w:rFonts w:ascii="Times New Roman" w:hAnsi="Times New Roman"/>
          <w:sz w:val="24"/>
          <w:szCs w:val="24"/>
          <w:u w:val="single"/>
        </w:rPr>
        <w:t>, Deceased v. City of New York, et al</w:t>
      </w:r>
      <w:r>
        <w:rPr>
          <w:rFonts w:ascii="Times New Roman" w:hAnsi="Times New Roman"/>
          <w:sz w:val="24"/>
          <w:szCs w:val="24"/>
        </w:rPr>
        <w:t xml:space="preserve">., the Supreme Court, New York County, held Justice Judith McMahon held that while the medical doctor on the NYC Telemetry Unit who authorized the Versed enjoys governmental immunity, as does the City of New York, the lawsuit against the medics, employed by New York-Presbyterian Hospital will not dismissed. Co-workers of the patient </w:t>
      </w:r>
      <w:r w:rsidRPr="00DD7BC1">
        <w:rPr>
          <w:rFonts w:ascii="Times New Roman" w:hAnsi="Times New Roman"/>
          <w:sz w:val="24"/>
          <w:szCs w:val="24"/>
        </w:rPr>
        <w:t xml:space="preserve">described the decedent on the morning of the emergency as "foaming at the mouth," speaking incoherently and calling for his mother, standing up, </w:t>
      </w:r>
      <w:proofErr w:type="gramStart"/>
      <w:r w:rsidRPr="00DD7BC1">
        <w:rPr>
          <w:rFonts w:ascii="Times New Roman" w:hAnsi="Times New Roman"/>
          <w:sz w:val="24"/>
          <w:szCs w:val="24"/>
        </w:rPr>
        <w:t>falling down</w:t>
      </w:r>
      <w:proofErr w:type="gramEnd"/>
      <w:r w:rsidRPr="00DD7BC1">
        <w:rPr>
          <w:rFonts w:ascii="Times New Roman" w:hAnsi="Times New Roman"/>
          <w:sz w:val="24"/>
          <w:szCs w:val="24"/>
        </w:rPr>
        <w:t xml:space="preserve">, flailing around the room and appearing </w:t>
      </w:r>
      <w:r>
        <w:rPr>
          <w:rFonts w:ascii="Times New Roman" w:hAnsi="Times New Roman"/>
          <w:sz w:val="24"/>
          <w:szCs w:val="24"/>
        </w:rPr>
        <w:t>‘</w:t>
      </w:r>
      <w:r w:rsidRPr="00DD7BC1">
        <w:rPr>
          <w:rFonts w:ascii="Times New Roman" w:hAnsi="Times New Roman"/>
          <w:sz w:val="24"/>
          <w:szCs w:val="24"/>
        </w:rPr>
        <w:t xml:space="preserve">very </w:t>
      </w:r>
      <w:r w:rsidRPr="00DD7BC1">
        <w:rPr>
          <w:rFonts w:ascii="Times New Roman" w:hAnsi="Times New Roman"/>
          <w:sz w:val="24"/>
          <w:szCs w:val="24"/>
        </w:rPr>
        <w:lastRenderedPageBreak/>
        <w:t>agitated.</w:t>
      </w:r>
      <w:r>
        <w:rPr>
          <w:rFonts w:ascii="Times New Roman" w:hAnsi="Times New Roman"/>
          <w:sz w:val="24"/>
          <w:szCs w:val="24"/>
        </w:rPr>
        <w:t xml:space="preserve"> </w:t>
      </w:r>
      <w:r w:rsidRPr="00DD7BC1">
        <w:rPr>
          <w:rFonts w:ascii="Times New Roman" w:hAnsi="Times New Roman"/>
          <w:sz w:val="24"/>
          <w:szCs w:val="24"/>
        </w:rPr>
        <w:t xml:space="preserve">Dr. Schneitzer, who was physically at an FDNY </w:t>
      </w:r>
      <w:r>
        <w:rPr>
          <w:rFonts w:ascii="Times New Roman" w:hAnsi="Times New Roman"/>
          <w:sz w:val="24"/>
          <w:szCs w:val="24"/>
        </w:rPr>
        <w:t>‘</w:t>
      </w:r>
      <w:r w:rsidRPr="00DD7BC1">
        <w:rPr>
          <w:rFonts w:ascii="Times New Roman" w:hAnsi="Times New Roman"/>
          <w:sz w:val="24"/>
          <w:szCs w:val="24"/>
        </w:rPr>
        <w:t>online medical control</w:t>
      </w:r>
      <w:r>
        <w:rPr>
          <w:rFonts w:ascii="Times New Roman" w:hAnsi="Times New Roman"/>
          <w:sz w:val="24"/>
          <w:szCs w:val="24"/>
        </w:rPr>
        <w:t>’</w:t>
      </w:r>
      <w:r w:rsidRPr="00DD7BC1">
        <w:rPr>
          <w:rFonts w:ascii="Times New Roman" w:hAnsi="Times New Roman"/>
          <w:sz w:val="24"/>
          <w:szCs w:val="24"/>
        </w:rPr>
        <w:t xml:space="preserve"> office in Maspeth, Queens when the paramedic's call was transferred to her, claims that she instructed the paramedics according to the information they provided her (</w:t>
      </w:r>
      <w:r w:rsidRPr="00DD7BC1">
        <w:rPr>
          <w:rStyle w:val="Emphasis"/>
          <w:rFonts w:ascii="Times New Roman" w:hAnsi="Times New Roman"/>
          <w:sz w:val="24"/>
          <w:szCs w:val="24"/>
        </w:rPr>
        <w:t>i.e.,</w:t>
      </w:r>
      <w:r w:rsidRPr="00DD7BC1">
        <w:rPr>
          <w:rFonts w:ascii="Times New Roman" w:hAnsi="Times New Roman"/>
          <w:sz w:val="24"/>
          <w:szCs w:val="24"/>
        </w:rPr>
        <w:t xml:space="preserve"> their inability to get close enough to decedent to obtain his vital signs, inability to ascertain decedent's medical history, </w:t>
      </w:r>
      <w:proofErr w:type="spellStart"/>
      <w:r w:rsidRPr="00DD7BC1">
        <w:rPr>
          <w:rFonts w:ascii="Times New Roman" w:hAnsi="Times New Roman"/>
          <w:sz w:val="24"/>
          <w:szCs w:val="24"/>
        </w:rPr>
        <w:t>etc</w:t>
      </w:r>
      <w:r>
        <w:rPr>
          <w:rFonts w:ascii="Times New Roman" w:hAnsi="Times New Roman"/>
          <w:sz w:val="24"/>
          <w:szCs w:val="24"/>
        </w:rPr>
        <w:t>.Court</w:t>
      </w:r>
      <w:proofErr w:type="spellEnd"/>
      <w:r>
        <w:rPr>
          <w:rFonts w:ascii="Times New Roman" w:hAnsi="Times New Roman"/>
          <w:sz w:val="24"/>
          <w:szCs w:val="24"/>
        </w:rPr>
        <w:t xml:space="preserve"> declined to dismiss the medics from the lawsuit, based on plaintiff’s three medical experts: (1) </w:t>
      </w:r>
      <w:r w:rsidRPr="00075CA3">
        <w:rPr>
          <w:rFonts w:ascii="Times New Roman" w:hAnsi="Times New Roman"/>
          <w:sz w:val="24"/>
          <w:szCs w:val="24"/>
        </w:rPr>
        <w:t>certified paramedic</w:t>
      </w:r>
      <w:r>
        <w:rPr>
          <w:rFonts w:ascii="Times New Roman" w:hAnsi="Times New Roman"/>
          <w:sz w:val="24"/>
          <w:szCs w:val="24"/>
        </w:rPr>
        <w:t xml:space="preserve">; (2) </w:t>
      </w:r>
      <w:r w:rsidRPr="00075CA3">
        <w:rPr>
          <w:rFonts w:ascii="Times New Roman" w:hAnsi="Times New Roman"/>
          <w:sz w:val="24"/>
          <w:szCs w:val="24"/>
        </w:rPr>
        <w:t>a critical care physician</w:t>
      </w:r>
      <w:r>
        <w:rPr>
          <w:rFonts w:ascii="Times New Roman" w:hAnsi="Times New Roman"/>
          <w:sz w:val="24"/>
          <w:szCs w:val="24"/>
        </w:rPr>
        <w:t xml:space="preserve">; and (3) </w:t>
      </w:r>
      <w:r w:rsidRPr="00075CA3">
        <w:rPr>
          <w:rFonts w:ascii="Times New Roman" w:hAnsi="Times New Roman"/>
          <w:sz w:val="24"/>
          <w:szCs w:val="24"/>
        </w:rPr>
        <w:t xml:space="preserve">and an internist with experience in the field of emergency medicine </w:t>
      </w:r>
      <w:r>
        <w:rPr>
          <w:rFonts w:ascii="Times New Roman" w:hAnsi="Times New Roman"/>
          <w:sz w:val="24"/>
          <w:szCs w:val="24"/>
        </w:rPr>
        <w:t xml:space="preserve">who claim the medics </w:t>
      </w:r>
      <w:r w:rsidRPr="00075CA3">
        <w:rPr>
          <w:rFonts w:ascii="Times New Roman" w:hAnsi="Times New Roman"/>
          <w:sz w:val="24"/>
          <w:szCs w:val="24"/>
        </w:rPr>
        <w:t>failed to recognize decedent's postictal state (</w:t>
      </w:r>
      <w:r w:rsidRPr="00075CA3">
        <w:rPr>
          <w:rStyle w:val="Emphasis"/>
          <w:rFonts w:ascii="Times New Roman" w:hAnsi="Times New Roman"/>
          <w:sz w:val="24"/>
          <w:szCs w:val="24"/>
        </w:rPr>
        <w:t>i.e.,</w:t>
      </w:r>
      <w:r w:rsidRPr="00075CA3">
        <w:rPr>
          <w:rFonts w:ascii="Times New Roman" w:hAnsi="Times New Roman"/>
          <w:sz w:val="24"/>
          <w:szCs w:val="24"/>
        </w:rPr>
        <w:t xml:space="preserve"> the state immediately following a seizure), which commonly involves medical risks including an impaired ability to oxygenate</w:t>
      </w:r>
      <w:r>
        <w:rPr>
          <w:rFonts w:ascii="Times New Roman" w:hAnsi="Times New Roman"/>
          <w:sz w:val="24"/>
          <w:szCs w:val="24"/>
        </w:rPr>
        <w:t xml:space="preserve">. </w:t>
      </w:r>
      <w:hyperlink r:id="rId2248" w:history="1">
        <w:r w:rsidRPr="00600142">
          <w:rPr>
            <w:rStyle w:val="Hyperlink"/>
            <w:rFonts w:ascii="Times New Roman" w:hAnsi="Times New Roman"/>
            <w:sz w:val="24"/>
            <w:szCs w:val="24"/>
          </w:rPr>
          <w:t>https://law.justia.com/cases/new-york/other-courts/2022/2022-ny-slip-op-22137.html</w:t>
        </w:r>
      </w:hyperlink>
      <w:r>
        <w:rPr>
          <w:rFonts w:ascii="Times New Roman" w:hAnsi="Times New Roman"/>
          <w:sz w:val="24"/>
          <w:szCs w:val="24"/>
        </w:rPr>
        <w:t xml:space="preserve"> </w:t>
      </w:r>
    </w:p>
    <w:p w14:paraId="49812C7F" w14:textId="77777777" w:rsidR="00BA51CC" w:rsidRPr="00BA4B0D" w:rsidRDefault="00BA51CC" w:rsidP="00BA51CC">
      <w:pPr>
        <w:spacing w:before="100" w:beforeAutospacing="1" w:after="100" w:afterAutospacing="1" w:line="240" w:lineRule="auto"/>
        <w:rPr>
          <w:rFonts w:ascii="Times New Roman" w:hAnsi="Times New Roman"/>
          <w:b/>
          <w:bCs/>
          <w:sz w:val="24"/>
          <w:szCs w:val="24"/>
        </w:rPr>
      </w:pPr>
      <w:r w:rsidRPr="00BA4B0D">
        <w:rPr>
          <w:rFonts w:ascii="Times New Roman" w:hAnsi="Times New Roman"/>
          <w:b/>
          <w:bCs/>
          <w:sz w:val="24"/>
          <w:szCs w:val="24"/>
        </w:rPr>
        <w:t xml:space="preserve">Legal Lesson Learned: </w:t>
      </w:r>
      <w:r>
        <w:rPr>
          <w:rFonts w:ascii="Times New Roman" w:hAnsi="Times New Roman"/>
          <w:b/>
          <w:bCs/>
          <w:sz w:val="24"/>
          <w:szCs w:val="24"/>
        </w:rPr>
        <w:t xml:space="preserve">The trial court judge has referenced three plaintiff experts in ordering the case to trial. </w:t>
      </w:r>
    </w:p>
    <w:p w14:paraId="18C59E4B" w14:textId="77777777" w:rsidR="00BA51CC" w:rsidRDefault="00BA51CC" w:rsidP="002B1283">
      <w:pPr>
        <w:rPr>
          <w:rFonts w:ascii="Arial Black" w:hAnsi="Arial Black"/>
          <w:b/>
          <w:bCs/>
          <w:sz w:val="28"/>
          <w:szCs w:val="28"/>
        </w:rPr>
      </w:pPr>
    </w:p>
    <w:p w14:paraId="4D836FF7" w14:textId="77777777" w:rsidR="00BA51CC" w:rsidRDefault="00BA51CC" w:rsidP="002B1283">
      <w:pPr>
        <w:rPr>
          <w:rFonts w:ascii="Arial Black" w:hAnsi="Arial Black"/>
          <w:b/>
          <w:bCs/>
          <w:sz w:val="28"/>
          <w:szCs w:val="28"/>
        </w:rPr>
      </w:pPr>
    </w:p>
    <w:p w14:paraId="1B3B6B4E" w14:textId="77777777" w:rsidR="00BA51CC" w:rsidRDefault="00BA51CC" w:rsidP="002B1283">
      <w:pPr>
        <w:rPr>
          <w:rFonts w:ascii="Arial Black" w:hAnsi="Arial Black"/>
          <w:b/>
          <w:bCs/>
          <w:sz w:val="28"/>
          <w:szCs w:val="28"/>
        </w:rPr>
      </w:pPr>
    </w:p>
    <w:p w14:paraId="7077C2BF" w14:textId="466B3E22" w:rsidR="00221640" w:rsidRDefault="00221640" w:rsidP="002B1283">
      <w:pPr>
        <w:rPr>
          <w:rFonts w:ascii="Arial Black" w:hAnsi="Arial Black"/>
          <w:b/>
          <w:bCs/>
          <w:sz w:val="28"/>
          <w:szCs w:val="28"/>
        </w:rPr>
      </w:pPr>
      <w:r>
        <w:rPr>
          <w:rFonts w:ascii="Arial Black" w:hAnsi="Arial Black"/>
          <w:b/>
          <w:bCs/>
          <w:sz w:val="28"/>
          <w:szCs w:val="28"/>
        </w:rPr>
        <w:t>13-111</w:t>
      </w:r>
    </w:p>
    <w:p w14:paraId="14B174D5" w14:textId="77777777" w:rsidR="00221640" w:rsidRPr="00877C6E" w:rsidRDefault="00221640" w:rsidP="00221640">
      <w:pPr>
        <w:spacing w:before="100" w:beforeAutospacing="1" w:after="100" w:afterAutospacing="1" w:line="240" w:lineRule="auto"/>
        <w:rPr>
          <w:rStyle w:val="Strong"/>
          <w:rFonts w:ascii="Arial Black" w:hAnsi="Arial Black"/>
          <w:sz w:val="28"/>
          <w:szCs w:val="28"/>
        </w:rPr>
      </w:pPr>
      <w:r>
        <w:rPr>
          <w:rStyle w:val="Strong"/>
          <w:rFonts w:ascii="Arial Black" w:hAnsi="Arial Black"/>
          <w:sz w:val="28"/>
          <w:szCs w:val="28"/>
        </w:rPr>
        <w:t>NC: QUADRIPEDIC – DAUGHTER POWER-OF-ATTORNEY – MEDICS / DEPUTY REFUSED TRANSPORT – NO IMMUNITY</w:t>
      </w:r>
    </w:p>
    <w:p w14:paraId="76DBC5C6" w14:textId="77777777" w:rsidR="00221640" w:rsidRPr="00221640" w:rsidRDefault="00221640" w:rsidP="00221640">
      <w:pPr>
        <w:spacing w:before="100" w:beforeAutospacing="1" w:after="100" w:afterAutospacing="1" w:line="240" w:lineRule="auto"/>
        <w:rPr>
          <w:rFonts w:ascii="Times New Roman" w:hAnsi="Times New Roman"/>
          <w:sz w:val="24"/>
          <w:szCs w:val="24"/>
        </w:rPr>
      </w:pPr>
      <w:r w:rsidRPr="00221640">
        <w:rPr>
          <w:rStyle w:val="Strong"/>
          <w:rFonts w:ascii="Times New Roman" w:hAnsi="Times New Roman"/>
          <w:b w:val="0"/>
          <w:bCs w:val="0"/>
          <w:sz w:val="24"/>
          <w:szCs w:val="24"/>
        </w:rPr>
        <w:t xml:space="preserve">On March 30, 2022, in </w:t>
      </w:r>
      <w:r w:rsidRPr="00221640">
        <w:rPr>
          <w:rStyle w:val="Strong"/>
          <w:rFonts w:ascii="Times New Roman" w:hAnsi="Times New Roman"/>
          <w:b w:val="0"/>
          <w:bCs w:val="0"/>
          <w:sz w:val="24"/>
          <w:szCs w:val="24"/>
          <w:u w:val="single"/>
        </w:rPr>
        <w:t>Justin L. Sutton, personal representative of the Estate of Hartwell Lanier King, Sr., et al. v. Rockingham County, et al</w:t>
      </w:r>
      <w:r w:rsidRPr="00221640">
        <w:rPr>
          <w:rStyle w:val="Strong"/>
          <w:rFonts w:ascii="Times New Roman" w:hAnsi="Times New Roman"/>
          <w:b w:val="0"/>
          <w:bCs w:val="0"/>
          <w:sz w:val="24"/>
          <w:szCs w:val="24"/>
        </w:rPr>
        <w:t xml:space="preserve">., U.S. District Court Judge Loretta C. Briggs, U.S. District Court for Middle District of North Carolina, held that while the County has governmental immunity and is dismissed from the case, the three paramedics and Deputy Sheriff remain defendants in the wrongful death claims for not transporting the elderly patient with </w:t>
      </w:r>
      <w:r w:rsidRPr="00221640">
        <w:rPr>
          <w:rFonts w:ascii="Times New Roman" w:hAnsi="Times New Roman"/>
          <w:sz w:val="24"/>
          <w:szCs w:val="24"/>
        </w:rPr>
        <w:t xml:space="preserve">severe respiratory distress and abnormal breathing, elevated heart rate, high grade fever, severe dehydration, and inability to consume solid foods and liquids.  He died the next morning. </w:t>
      </w:r>
      <w:r w:rsidRPr="00221640">
        <w:rPr>
          <w:rFonts w:ascii="Times New Roman" w:eastAsia="Times New Roman" w:hAnsi="Times New Roman"/>
          <w:sz w:val="24"/>
          <w:szCs w:val="24"/>
        </w:rPr>
        <w:t xml:space="preserve">The medics, despite </w:t>
      </w:r>
      <w:r w:rsidRPr="00221640">
        <w:rPr>
          <w:rStyle w:val="Strong"/>
          <w:rFonts w:ascii="Times New Roman" w:hAnsi="Times New Roman"/>
          <w:b w:val="0"/>
          <w:bCs w:val="0"/>
          <w:sz w:val="24"/>
          <w:szCs w:val="24"/>
        </w:rPr>
        <w:t>the daughter’s Power-Of-Attorney, allegedly</w:t>
      </w:r>
      <w:r w:rsidRPr="00221640">
        <w:rPr>
          <w:rStyle w:val="Strong"/>
          <w:rFonts w:ascii="Times New Roman" w:hAnsi="Times New Roman"/>
          <w:sz w:val="24"/>
          <w:szCs w:val="24"/>
        </w:rPr>
        <w:t xml:space="preserve"> </w:t>
      </w:r>
      <w:r w:rsidRPr="00221640">
        <w:rPr>
          <w:rFonts w:ascii="Times New Roman" w:hAnsi="Times New Roman"/>
          <w:sz w:val="24"/>
          <w:szCs w:val="24"/>
        </w:rPr>
        <w:t xml:space="preserve">“deemed Mr. King's transportation to the emergency room facility that day as tantamount to ‘kidnapping,' and thus refused to transfer Mr. King out of fear and reprisal that such action would result in the termination of their employment with Rockingham County.” </w:t>
      </w:r>
      <w:hyperlink r:id="rId2249" w:history="1">
        <w:r w:rsidRPr="00221640">
          <w:rPr>
            <w:rStyle w:val="Hyperlink"/>
            <w:rFonts w:ascii="Times New Roman" w:hAnsi="Times New Roman"/>
            <w:sz w:val="24"/>
            <w:szCs w:val="24"/>
          </w:rPr>
          <w:t>https://casetext.com/case/sutton-v-rockingham-cnty</w:t>
        </w:r>
      </w:hyperlink>
      <w:r w:rsidRPr="00221640">
        <w:rPr>
          <w:rFonts w:ascii="Times New Roman" w:hAnsi="Times New Roman"/>
          <w:sz w:val="24"/>
          <w:szCs w:val="24"/>
        </w:rPr>
        <w:t xml:space="preserve"> </w:t>
      </w:r>
    </w:p>
    <w:p w14:paraId="683F382F" w14:textId="77777777" w:rsidR="00221640" w:rsidRPr="00DD0155" w:rsidRDefault="00221640" w:rsidP="00221640">
      <w:pPr>
        <w:spacing w:before="100" w:beforeAutospacing="1" w:after="100" w:afterAutospacing="1" w:line="240" w:lineRule="auto"/>
        <w:ind w:left="720"/>
        <w:rPr>
          <w:rFonts w:ascii="Times New Roman" w:eastAsia="Times New Roman" w:hAnsi="Times New Roman"/>
          <w:sz w:val="24"/>
          <w:szCs w:val="24"/>
        </w:rPr>
      </w:pPr>
      <w:r>
        <w:rPr>
          <w:rFonts w:ascii="Times New Roman" w:hAnsi="Times New Roman"/>
          <w:sz w:val="24"/>
          <w:szCs w:val="24"/>
        </w:rPr>
        <w:t>“</w:t>
      </w:r>
      <w:r w:rsidRPr="00CB569D">
        <w:rPr>
          <w:rFonts w:ascii="Times New Roman" w:hAnsi="Times New Roman"/>
          <w:sz w:val="24"/>
          <w:szCs w:val="24"/>
        </w:rPr>
        <w:t>Here, Plaintiffs do not allege medical malpractice</w:t>
      </w:r>
      <w:r>
        <w:rPr>
          <w:rFonts w:ascii="Times New Roman" w:hAnsi="Times New Roman"/>
          <w:sz w:val="24"/>
          <w:szCs w:val="24"/>
        </w:rPr>
        <w:t xml:space="preserve"> [which would require affidavit from MD that medical standard of care were breached].  </w:t>
      </w:r>
      <w:r w:rsidRPr="00DD0155">
        <w:rPr>
          <w:rFonts w:ascii="Times New Roman" w:hAnsi="Times New Roman"/>
          <w:sz w:val="24"/>
          <w:szCs w:val="24"/>
        </w:rPr>
        <w:t xml:space="preserve">Taking all alleged facts in the light most favorable to Plaintiffs, Defendants' refusal to transport King to the hospital was not a medical decision based on the severity of his condition, but rather a legal decision based on their fear that transporting King would constitute </w:t>
      </w:r>
      <w:r>
        <w:rPr>
          <w:rFonts w:ascii="Times New Roman" w:hAnsi="Times New Roman"/>
          <w:sz w:val="24"/>
          <w:szCs w:val="24"/>
        </w:rPr>
        <w:t>‘</w:t>
      </w:r>
      <w:r w:rsidRPr="00DD0155">
        <w:rPr>
          <w:rFonts w:ascii="Times New Roman" w:hAnsi="Times New Roman"/>
          <w:sz w:val="24"/>
          <w:szCs w:val="24"/>
        </w:rPr>
        <w:t>kidnapping</w:t>
      </w:r>
      <w:r>
        <w:rPr>
          <w:rFonts w:ascii="Times New Roman" w:hAnsi="Times New Roman"/>
          <w:sz w:val="24"/>
          <w:szCs w:val="24"/>
        </w:rPr>
        <w:t>’</w:t>
      </w:r>
      <w:r w:rsidRPr="00DD0155">
        <w:rPr>
          <w:rFonts w:ascii="Times New Roman" w:hAnsi="Times New Roman"/>
          <w:sz w:val="24"/>
          <w:szCs w:val="24"/>
        </w:rPr>
        <w:t xml:space="preserve"> and would cause them to lose their employment</w:t>
      </w:r>
      <w:r>
        <w:rPr>
          <w:rFonts w:ascii="Times New Roman" w:hAnsi="Times New Roman"/>
          <w:sz w:val="24"/>
          <w:szCs w:val="24"/>
        </w:rPr>
        <w:t xml:space="preserve">…. </w:t>
      </w:r>
      <w:r w:rsidRPr="00DD0155">
        <w:rPr>
          <w:rFonts w:ascii="Times New Roman" w:hAnsi="Times New Roman"/>
          <w:sz w:val="24"/>
          <w:szCs w:val="24"/>
        </w:rPr>
        <w:t xml:space="preserve"> Moreover, Plaintiffs allege Defendants refused to recognize Becky Sutton's power of attorney-another administrative decision that required no medical expertise. These decisions are akin to the hospital's administrative policy in </w:t>
      </w:r>
      <w:r w:rsidRPr="00DD0155">
        <w:rPr>
          <w:rStyle w:val="Emphasis"/>
          <w:rFonts w:ascii="Times New Roman" w:hAnsi="Times New Roman"/>
          <w:sz w:val="24"/>
          <w:szCs w:val="24"/>
        </w:rPr>
        <w:t>Muse</w:t>
      </w:r>
      <w:r w:rsidRPr="00DD0155">
        <w:rPr>
          <w:rFonts w:ascii="Times New Roman" w:hAnsi="Times New Roman"/>
          <w:sz w:val="24"/>
          <w:szCs w:val="24"/>
        </w:rPr>
        <w:t xml:space="preserve"> of discharging patients based on the expiration of their insurance rather than their medical needs. </w:t>
      </w:r>
      <w:r w:rsidRPr="00DD0155">
        <w:rPr>
          <w:rStyle w:val="Emphasis"/>
          <w:rFonts w:ascii="Times New Roman" w:hAnsi="Times New Roman"/>
          <w:sz w:val="24"/>
          <w:szCs w:val="24"/>
        </w:rPr>
        <w:t>Muse</w:t>
      </w:r>
      <w:r w:rsidRPr="00DD0155">
        <w:rPr>
          <w:rFonts w:ascii="Times New Roman" w:hAnsi="Times New Roman"/>
          <w:sz w:val="24"/>
          <w:szCs w:val="24"/>
        </w:rPr>
        <w:t>, 452 S.E.2d at 593. In both cases, the allegations that health care providers refused medical treatment based on an administrative, not medical, decision.</w:t>
      </w:r>
      <w:r>
        <w:rPr>
          <w:rFonts w:ascii="Times New Roman" w:hAnsi="Times New Roman"/>
          <w:sz w:val="24"/>
          <w:szCs w:val="24"/>
        </w:rPr>
        <w:t xml:space="preserve">” </w:t>
      </w:r>
      <w:hyperlink r:id="rId2250" w:history="1">
        <w:r w:rsidRPr="00B25BE6">
          <w:rPr>
            <w:rStyle w:val="Hyperlink"/>
            <w:rFonts w:ascii="Times New Roman" w:hAnsi="Times New Roman"/>
            <w:sz w:val="24"/>
            <w:szCs w:val="24"/>
          </w:rPr>
          <w:t>https://casetext.com/case/sutton-v-rockingham-cnty</w:t>
        </w:r>
      </w:hyperlink>
      <w:r>
        <w:rPr>
          <w:rFonts w:ascii="Times New Roman" w:hAnsi="Times New Roman"/>
          <w:sz w:val="24"/>
          <w:szCs w:val="24"/>
        </w:rPr>
        <w:t xml:space="preserve"> </w:t>
      </w:r>
    </w:p>
    <w:p w14:paraId="63C8C2BB" w14:textId="77777777" w:rsidR="00221640" w:rsidRPr="00960536" w:rsidRDefault="00221640" w:rsidP="00221640">
      <w:pPr>
        <w:spacing w:before="100" w:beforeAutospacing="1" w:after="100" w:afterAutospacing="1" w:line="240" w:lineRule="auto"/>
        <w:rPr>
          <w:rFonts w:ascii="Times New Roman" w:eastAsia="Times New Roman" w:hAnsi="Times New Roman"/>
          <w:b/>
          <w:bCs/>
          <w:sz w:val="24"/>
          <w:szCs w:val="24"/>
        </w:rPr>
      </w:pPr>
      <w:r w:rsidRPr="00F4572D">
        <w:rPr>
          <w:rFonts w:ascii="Times New Roman" w:hAnsi="Times New Roman"/>
          <w:b/>
          <w:bCs/>
          <w:sz w:val="24"/>
          <w:szCs w:val="24"/>
        </w:rPr>
        <w:t xml:space="preserve">Legal Lesson Learned: </w:t>
      </w:r>
      <w:r>
        <w:rPr>
          <w:rFonts w:ascii="Times New Roman" w:hAnsi="Times New Roman"/>
          <w:b/>
          <w:bCs/>
          <w:sz w:val="24"/>
          <w:szCs w:val="24"/>
        </w:rPr>
        <w:t xml:space="preserve">If in doubt about Power-Of-Attorney, call Medical Control and discuss the patient’s vitals and get authorization to transport. </w:t>
      </w:r>
    </w:p>
    <w:p w14:paraId="17F1074B" w14:textId="77777777" w:rsidR="00221640" w:rsidRDefault="00221640" w:rsidP="002B1283">
      <w:pPr>
        <w:rPr>
          <w:rFonts w:ascii="Arial Black" w:hAnsi="Arial Black"/>
          <w:b/>
          <w:bCs/>
          <w:sz w:val="28"/>
          <w:szCs w:val="28"/>
        </w:rPr>
      </w:pPr>
    </w:p>
    <w:p w14:paraId="1CB04C85" w14:textId="77777777" w:rsidR="00221640" w:rsidRDefault="00221640" w:rsidP="002B1283">
      <w:pPr>
        <w:rPr>
          <w:rFonts w:ascii="Arial Black" w:hAnsi="Arial Black"/>
          <w:b/>
          <w:bCs/>
          <w:sz w:val="28"/>
          <w:szCs w:val="28"/>
        </w:rPr>
      </w:pPr>
    </w:p>
    <w:p w14:paraId="4384485B" w14:textId="3D7716BE" w:rsidR="00221640" w:rsidRDefault="00221640" w:rsidP="002B1283">
      <w:pPr>
        <w:rPr>
          <w:rFonts w:ascii="Arial Black" w:hAnsi="Arial Black"/>
          <w:b/>
          <w:bCs/>
          <w:sz w:val="28"/>
          <w:szCs w:val="28"/>
        </w:rPr>
      </w:pPr>
      <w:r>
        <w:rPr>
          <w:rFonts w:ascii="Arial Black" w:hAnsi="Arial Black"/>
          <w:b/>
          <w:bCs/>
          <w:sz w:val="28"/>
          <w:szCs w:val="28"/>
        </w:rPr>
        <w:t>13-110</w:t>
      </w:r>
    </w:p>
    <w:p w14:paraId="446FB795" w14:textId="77777777" w:rsidR="00221640" w:rsidRDefault="00221640" w:rsidP="00221640">
      <w:pPr>
        <w:spacing w:before="100" w:beforeAutospacing="1" w:after="100" w:afterAutospacing="1" w:line="240" w:lineRule="auto"/>
        <w:rPr>
          <w:rFonts w:ascii="Arial Black" w:hAnsi="Arial Black"/>
          <w:sz w:val="28"/>
          <w:szCs w:val="28"/>
        </w:rPr>
      </w:pPr>
      <w:r>
        <w:rPr>
          <w:rFonts w:ascii="Arial Black" w:hAnsi="Arial Black"/>
          <w:sz w:val="28"/>
          <w:szCs w:val="28"/>
        </w:rPr>
        <w:t xml:space="preserve">IL: PHOTO TAKEN OF PATIENT SHOT IN HEAD – LT. PUT ON  FACEBOOK - PUBLIC LOCATION - NOT CONSTIT. VIOL. </w:t>
      </w:r>
    </w:p>
    <w:p w14:paraId="0CE2B99B" w14:textId="77777777" w:rsidR="00221640" w:rsidRDefault="00221640" w:rsidP="00221640">
      <w:pPr>
        <w:spacing w:before="100" w:beforeAutospacing="1" w:after="100" w:afterAutospacing="1" w:line="240" w:lineRule="auto"/>
        <w:rPr>
          <w:rFonts w:ascii="Times New Roman" w:hAnsi="Times New Roman"/>
          <w:sz w:val="24"/>
          <w:szCs w:val="24"/>
        </w:rPr>
      </w:pPr>
      <w:r w:rsidRPr="00051733">
        <w:rPr>
          <w:rFonts w:ascii="Times New Roman" w:hAnsi="Times New Roman"/>
          <w:sz w:val="24"/>
          <w:szCs w:val="24"/>
        </w:rPr>
        <w:t xml:space="preserve">On March 24, 2022, in </w:t>
      </w:r>
      <w:r w:rsidRPr="00051733">
        <w:rPr>
          <w:rFonts w:ascii="Times New Roman" w:hAnsi="Times New Roman"/>
          <w:sz w:val="24"/>
          <w:szCs w:val="24"/>
          <w:u w:val="single"/>
        </w:rPr>
        <w:t xml:space="preserve">Adrian Cazares, Administrator of estate of Victor M. Cazares, Jr. </w:t>
      </w:r>
      <w:r>
        <w:rPr>
          <w:rFonts w:ascii="Times New Roman" w:hAnsi="Times New Roman"/>
          <w:sz w:val="24"/>
          <w:szCs w:val="24"/>
          <w:u w:val="single"/>
        </w:rPr>
        <w:t xml:space="preserve">and </w:t>
      </w:r>
      <w:r w:rsidRPr="00A573EA">
        <w:rPr>
          <w:rFonts w:ascii="Times New Roman" w:hAnsi="Times New Roman"/>
          <w:sz w:val="24"/>
          <w:szCs w:val="24"/>
          <w:u w:val="single"/>
        </w:rPr>
        <w:t xml:space="preserve">Michelle </w:t>
      </w:r>
      <w:r>
        <w:rPr>
          <w:rFonts w:ascii="Times New Roman" w:hAnsi="Times New Roman"/>
          <w:sz w:val="24"/>
          <w:szCs w:val="24"/>
          <w:u w:val="single"/>
        </w:rPr>
        <w:t xml:space="preserve">Cazares </w:t>
      </w:r>
      <w:r w:rsidRPr="00051733">
        <w:rPr>
          <w:rFonts w:ascii="Times New Roman" w:hAnsi="Times New Roman"/>
          <w:sz w:val="24"/>
          <w:szCs w:val="24"/>
          <w:u w:val="single"/>
        </w:rPr>
        <w:t xml:space="preserve">v. Frank R. Rand, Justin Zheng, Gene </w:t>
      </w:r>
      <w:proofErr w:type="spellStart"/>
      <w:r w:rsidRPr="00051733">
        <w:rPr>
          <w:rFonts w:ascii="Times New Roman" w:hAnsi="Times New Roman"/>
          <w:sz w:val="24"/>
          <w:szCs w:val="24"/>
          <w:u w:val="single"/>
        </w:rPr>
        <w:t>Lacano</w:t>
      </w:r>
      <w:proofErr w:type="spellEnd"/>
      <w:r w:rsidRPr="00051733">
        <w:rPr>
          <w:rFonts w:ascii="Times New Roman" w:hAnsi="Times New Roman"/>
          <w:sz w:val="24"/>
          <w:szCs w:val="24"/>
          <w:u w:val="single"/>
        </w:rPr>
        <w:t xml:space="preserve"> and Town of Cicero, Illinois</w:t>
      </w:r>
      <w:r w:rsidRPr="00051733">
        <w:rPr>
          <w:rFonts w:ascii="Times New Roman" w:hAnsi="Times New Roman"/>
          <w:sz w:val="24"/>
          <w:szCs w:val="24"/>
        </w:rPr>
        <w:t xml:space="preserve">, U.S. District Court Judge Robert M. Dow, Jr., </w:t>
      </w:r>
      <w:r>
        <w:rPr>
          <w:rFonts w:ascii="Times New Roman" w:hAnsi="Times New Roman"/>
          <w:sz w:val="24"/>
          <w:szCs w:val="24"/>
        </w:rPr>
        <w:t xml:space="preserve">Northern District of Illinois [Eastern District] </w:t>
      </w:r>
      <w:r w:rsidRPr="00051733">
        <w:rPr>
          <w:rFonts w:ascii="Times New Roman" w:hAnsi="Times New Roman"/>
          <w:sz w:val="24"/>
          <w:szCs w:val="24"/>
        </w:rPr>
        <w:t>granted the motion of two medics</w:t>
      </w:r>
      <w:r>
        <w:rPr>
          <w:rFonts w:ascii="Times New Roman" w:hAnsi="Times New Roman"/>
          <w:sz w:val="24"/>
          <w:szCs w:val="24"/>
        </w:rPr>
        <w:t xml:space="preserve"> </w:t>
      </w:r>
      <w:r w:rsidRPr="00051733">
        <w:rPr>
          <w:rFonts w:ascii="Times New Roman" w:hAnsi="Times New Roman"/>
          <w:sz w:val="24"/>
          <w:szCs w:val="24"/>
        </w:rPr>
        <w:t>and the Town to dismiss the federal lawsuit</w:t>
      </w:r>
      <w:r>
        <w:rPr>
          <w:rFonts w:ascii="Times New Roman" w:hAnsi="Times New Roman"/>
          <w:sz w:val="24"/>
          <w:szCs w:val="24"/>
        </w:rPr>
        <w:t>.  “</w:t>
      </w:r>
      <w:r w:rsidRPr="0001098C">
        <w:rPr>
          <w:rFonts w:ascii="Times New Roman" w:hAnsi="Times New Roman"/>
          <w:sz w:val="24"/>
          <w:szCs w:val="24"/>
        </w:rPr>
        <w:t xml:space="preserve">In this case, the Court agrees with Defendants that the Complaint does not allege a violation of Plaintiffs' fundamental rights or liberties because Defendants did not publicly disclose </w:t>
      </w:r>
      <w:r w:rsidRPr="0001098C">
        <w:rPr>
          <w:rStyle w:val="Emphasis"/>
          <w:rFonts w:ascii="Times New Roman" w:hAnsi="Times New Roman"/>
          <w:sz w:val="24"/>
          <w:szCs w:val="24"/>
        </w:rPr>
        <w:t>private</w:t>
      </w:r>
      <w:r w:rsidRPr="0001098C">
        <w:rPr>
          <w:rFonts w:ascii="Times New Roman" w:hAnsi="Times New Roman"/>
          <w:sz w:val="24"/>
          <w:szCs w:val="24"/>
        </w:rPr>
        <w:t xml:space="preserve"> medical information. The photo neither captured a private scene, nor medical information that was not already readily accessible to the naked eye.</w:t>
      </w:r>
      <w:r>
        <w:rPr>
          <w:rFonts w:ascii="Times New Roman" w:hAnsi="Times New Roman"/>
          <w:sz w:val="24"/>
          <w:szCs w:val="24"/>
        </w:rPr>
        <w:t xml:space="preserve">”  The lawsuit, however, may be refiled in state court, where a jury may find the comments on </w:t>
      </w:r>
      <w:proofErr w:type="gramStart"/>
      <w:r>
        <w:rPr>
          <w:rFonts w:ascii="Times New Roman" w:hAnsi="Times New Roman"/>
          <w:sz w:val="24"/>
          <w:szCs w:val="24"/>
        </w:rPr>
        <w:t>Facebook by</w:t>
      </w:r>
      <w:proofErr w:type="gramEnd"/>
      <w:r>
        <w:rPr>
          <w:rFonts w:ascii="Times New Roman" w:hAnsi="Times New Roman"/>
          <w:sz w:val="24"/>
          <w:szCs w:val="24"/>
        </w:rPr>
        <w:t xml:space="preserve"> to be particularly offensive. </w:t>
      </w:r>
      <w:hyperlink r:id="rId2251" w:history="1">
        <w:r w:rsidRPr="00641DD7">
          <w:rPr>
            <w:rStyle w:val="Hyperlink"/>
            <w:rFonts w:ascii="Times New Roman" w:hAnsi="Times New Roman"/>
            <w:sz w:val="24"/>
            <w:szCs w:val="24"/>
          </w:rPr>
          <w:t>https://casetext.com/case/cazares-v-rand</w:t>
        </w:r>
      </w:hyperlink>
      <w:r>
        <w:rPr>
          <w:rFonts w:ascii="Times New Roman" w:hAnsi="Times New Roman"/>
          <w:sz w:val="24"/>
          <w:szCs w:val="24"/>
        </w:rPr>
        <w:t xml:space="preserve"> </w:t>
      </w:r>
    </w:p>
    <w:p w14:paraId="6A43C1D3" w14:textId="70F7270D" w:rsidR="00221640" w:rsidRDefault="00221640" w:rsidP="00221640">
      <w:pPr>
        <w:rPr>
          <w:rFonts w:ascii="Arial Black" w:hAnsi="Arial Black"/>
          <w:b/>
          <w:bCs/>
          <w:sz w:val="28"/>
          <w:szCs w:val="28"/>
        </w:rPr>
      </w:pPr>
      <w:r>
        <w:rPr>
          <w:rFonts w:ascii="Times New Roman" w:hAnsi="Times New Roman"/>
          <w:sz w:val="24"/>
          <w:szCs w:val="24"/>
        </w:rPr>
        <w:t>“</w:t>
      </w:r>
      <w:r w:rsidRPr="00F36863">
        <w:rPr>
          <w:rFonts w:ascii="Times New Roman" w:hAnsi="Times New Roman"/>
          <w:sz w:val="24"/>
          <w:szCs w:val="24"/>
        </w:rPr>
        <w:t xml:space="preserve">Another individual, Defendant </w:t>
      </w:r>
      <w:r>
        <w:rPr>
          <w:rFonts w:ascii="Times New Roman" w:hAnsi="Times New Roman"/>
          <w:sz w:val="24"/>
          <w:szCs w:val="24"/>
        </w:rPr>
        <w:t xml:space="preserve">[Lieutenant] </w:t>
      </w:r>
      <w:r w:rsidRPr="00F36863">
        <w:rPr>
          <w:rFonts w:ascii="Times New Roman" w:hAnsi="Times New Roman"/>
          <w:sz w:val="24"/>
          <w:szCs w:val="24"/>
        </w:rPr>
        <w:t xml:space="preserve">Frank R. Rand, posted that photograph of Mr. Cazares to an 8, 000-member Facebook group </w:t>
      </w:r>
      <w:r>
        <w:rPr>
          <w:rFonts w:ascii="Times New Roman" w:hAnsi="Times New Roman"/>
          <w:sz w:val="24"/>
          <w:szCs w:val="24"/>
        </w:rPr>
        <w:t>‘</w:t>
      </w:r>
      <w:r w:rsidRPr="00F36863">
        <w:rPr>
          <w:rFonts w:ascii="Times New Roman" w:hAnsi="Times New Roman"/>
          <w:sz w:val="24"/>
          <w:szCs w:val="24"/>
        </w:rPr>
        <w:t>for people who grew up in Cicero, Illinois</w:t>
      </w:r>
      <w:r>
        <w:rPr>
          <w:rFonts w:ascii="Times New Roman" w:hAnsi="Times New Roman"/>
          <w:sz w:val="24"/>
          <w:szCs w:val="24"/>
        </w:rPr>
        <w:t>’</w:t>
      </w:r>
      <w:r w:rsidRPr="00F36863">
        <w:rPr>
          <w:rFonts w:ascii="Times New Roman" w:hAnsi="Times New Roman"/>
          <w:sz w:val="24"/>
          <w:szCs w:val="24"/>
        </w:rPr>
        <w:t xml:space="preserve"> at 6:25 p.m., </w:t>
      </w:r>
      <w:r w:rsidRPr="00F36863">
        <w:rPr>
          <w:rStyle w:val="Emphasis"/>
          <w:rFonts w:ascii="Times New Roman" w:hAnsi="Times New Roman"/>
          <w:sz w:val="24"/>
          <w:szCs w:val="24"/>
        </w:rPr>
        <w:t>i.e.</w:t>
      </w:r>
      <w:r w:rsidRPr="00F36863">
        <w:rPr>
          <w:rFonts w:ascii="Times New Roman" w:hAnsi="Times New Roman"/>
          <w:sz w:val="24"/>
          <w:szCs w:val="24"/>
        </w:rPr>
        <w:t>, within two minutes of the paramedics' arrival on the scene</w:t>
      </w:r>
      <w:r>
        <w:rPr>
          <w:rFonts w:ascii="Times New Roman" w:hAnsi="Times New Roman"/>
          <w:sz w:val="24"/>
          <w:szCs w:val="24"/>
        </w:rPr>
        <w:t>…</w:t>
      </w:r>
      <w:r w:rsidRPr="00F36863">
        <w:rPr>
          <w:rFonts w:ascii="Times New Roman" w:hAnsi="Times New Roman"/>
          <w:sz w:val="24"/>
          <w:szCs w:val="24"/>
        </w:rPr>
        <w:t xml:space="preserve">. Accompanying the photo is the message, </w:t>
      </w:r>
      <w:r>
        <w:rPr>
          <w:rFonts w:ascii="Times New Roman" w:hAnsi="Times New Roman"/>
          <w:sz w:val="24"/>
          <w:szCs w:val="24"/>
        </w:rPr>
        <w:t>‘</w:t>
      </w:r>
      <w:r w:rsidRPr="00F36863">
        <w:rPr>
          <w:rFonts w:ascii="Times New Roman" w:hAnsi="Times New Roman"/>
          <w:sz w:val="24"/>
          <w:szCs w:val="24"/>
        </w:rPr>
        <w:t>[c]</w:t>
      </w:r>
      <w:proofErr w:type="spellStart"/>
      <w:r w:rsidRPr="00F36863">
        <w:rPr>
          <w:rFonts w:ascii="Times New Roman" w:hAnsi="Times New Roman"/>
          <w:sz w:val="24"/>
          <w:szCs w:val="24"/>
        </w:rPr>
        <w:t>ome</w:t>
      </w:r>
      <w:proofErr w:type="spellEnd"/>
      <w:r w:rsidRPr="00F36863">
        <w:rPr>
          <w:rFonts w:ascii="Times New Roman" w:hAnsi="Times New Roman"/>
          <w:sz w:val="24"/>
          <w:szCs w:val="24"/>
        </w:rPr>
        <w:t xml:space="preserve"> to Cicero to loot and break shit</w:t>
      </w:r>
      <w:proofErr w:type="gramStart"/>
      <w:r w:rsidRPr="00F36863">
        <w:rPr>
          <w:rFonts w:ascii="Times New Roman" w:hAnsi="Times New Roman"/>
          <w:sz w:val="24"/>
          <w:szCs w:val="24"/>
        </w:rPr>
        <w:t>!</w:t>
      </w:r>
      <w:proofErr w:type="gramEnd"/>
      <w:r w:rsidRPr="00F36863">
        <w:rPr>
          <w:rFonts w:ascii="Times New Roman" w:hAnsi="Times New Roman"/>
          <w:sz w:val="24"/>
          <w:szCs w:val="24"/>
        </w:rPr>
        <w:t xml:space="preserve"> Get a free body bag!! Nice head shot!!</w:t>
      </w:r>
      <w:r>
        <w:rPr>
          <w:rFonts w:ascii="Times New Roman" w:hAnsi="Times New Roman"/>
          <w:sz w:val="24"/>
          <w:szCs w:val="24"/>
        </w:rPr>
        <w:t xml:space="preserve">’” </w:t>
      </w:r>
      <w:hyperlink r:id="rId2252" w:history="1">
        <w:r w:rsidRPr="00641DD7">
          <w:rPr>
            <w:rStyle w:val="Hyperlink"/>
            <w:rFonts w:ascii="Times New Roman" w:hAnsi="Times New Roman"/>
            <w:sz w:val="24"/>
            <w:szCs w:val="24"/>
          </w:rPr>
          <w:t>https://casetext.com/case/cazares-v-rand</w:t>
        </w:r>
      </w:hyperlink>
    </w:p>
    <w:p w14:paraId="30084743" w14:textId="77777777" w:rsidR="00221640" w:rsidRDefault="00221640" w:rsidP="00221640">
      <w:pPr>
        <w:spacing w:before="100" w:beforeAutospacing="1" w:after="100" w:afterAutospacing="1" w:line="240" w:lineRule="auto"/>
        <w:rPr>
          <w:rFonts w:ascii="Times New Roman" w:hAnsi="Times New Roman"/>
          <w:b/>
          <w:bCs/>
          <w:sz w:val="24"/>
          <w:szCs w:val="24"/>
        </w:rPr>
      </w:pPr>
      <w:r w:rsidRPr="0001098C">
        <w:rPr>
          <w:rFonts w:ascii="Times New Roman" w:hAnsi="Times New Roman"/>
          <w:b/>
          <w:bCs/>
          <w:sz w:val="24"/>
          <w:szCs w:val="24"/>
        </w:rPr>
        <w:t>Legal Lesson Learned:</w:t>
      </w:r>
      <w:r>
        <w:rPr>
          <w:rFonts w:ascii="Times New Roman" w:hAnsi="Times New Roman"/>
          <w:b/>
          <w:bCs/>
          <w:sz w:val="24"/>
          <w:szCs w:val="24"/>
        </w:rPr>
        <w:t xml:space="preserve"> Do not take photos of patients; don’t post them on Facebook or other social media. </w:t>
      </w:r>
    </w:p>
    <w:p w14:paraId="45970499" w14:textId="77777777" w:rsidR="00221640" w:rsidRDefault="00221640" w:rsidP="002B1283">
      <w:pPr>
        <w:rPr>
          <w:rFonts w:ascii="Arial Black" w:hAnsi="Arial Black"/>
          <w:b/>
          <w:bCs/>
          <w:sz w:val="28"/>
          <w:szCs w:val="28"/>
        </w:rPr>
      </w:pPr>
    </w:p>
    <w:p w14:paraId="6F9130C1" w14:textId="77777777" w:rsidR="00221640" w:rsidRDefault="00221640" w:rsidP="002B1283">
      <w:pPr>
        <w:rPr>
          <w:rFonts w:ascii="Arial Black" w:hAnsi="Arial Black"/>
          <w:b/>
          <w:bCs/>
          <w:sz w:val="28"/>
          <w:szCs w:val="28"/>
        </w:rPr>
      </w:pPr>
    </w:p>
    <w:p w14:paraId="7C76BB79" w14:textId="170D2D57" w:rsidR="00221640" w:rsidRDefault="00221640" w:rsidP="002B1283">
      <w:pPr>
        <w:rPr>
          <w:rFonts w:ascii="Arial Black" w:hAnsi="Arial Black"/>
          <w:b/>
          <w:bCs/>
          <w:sz w:val="28"/>
          <w:szCs w:val="28"/>
        </w:rPr>
      </w:pPr>
      <w:r>
        <w:rPr>
          <w:rFonts w:ascii="Arial Black" w:hAnsi="Arial Black"/>
          <w:b/>
          <w:bCs/>
          <w:sz w:val="28"/>
          <w:szCs w:val="28"/>
        </w:rPr>
        <w:t>13-109</w:t>
      </w:r>
    </w:p>
    <w:p w14:paraId="72B11E00" w14:textId="77777777" w:rsidR="00221640" w:rsidRPr="00D46D8F" w:rsidRDefault="00221640" w:rsidP="00221640">
      <w:pPr>
        <w:spacing w:before="100" w:beforeAutospacing="1" w:after="100" w:afterAutospacing="1" w:line="240" w:lineRule="auto"/>
        <w:rPr>
          <w:rFonts w:ascii="Arial Black" w:hAnsi="Arial Black"/>
          <w:b/>
          <w:bCs/>
          <w:sz w:val="28"/>
          <w:szCs w:val="28"/>
        </w:rPr>
      </w:pPr>
      <w:bookmarkStart w:id="443" w:name="_Hlk99460651"/>
      <w:r>
        <w:rPr>
          <w:rFonts w:ascii="Arial Black" w:hAnsi="Arial Black"/>
          <w:b/>
          <w:bCs/>
          <w:sz w:val="28"/>
          <w:szCs w:val="28"/>
        </w:rPr>
        <w:t>SC: EMS FAILURE TO TRANSPORT NAKED, MENTAL PATIENT HOSPITAL – KILLED I-95 – LAWSUIT TO PROCEED</w:t>
      </w:r>
    </w:p>
    <w:p w14:paraId="0FD8CE9A" w14:textId="77777777" w:rsidR="00221640" w:rsidRDefault="00221640" w:rsidP="00221640">
      <w:pPr>
        <w:spacing w:before="100" w:beforeAutospacing="1" w:after="100" w:afterAutospacing="1" w:line="240" w:lineRule="auto"/>
      </w:pPr>
      <w:r w:rsidRPr="00BA1FD0">
        <w:rPr>
          <w:rFonts w:ascii="Times New Roman" w:hAnsi="Times New Roman"/>
          <w:sz w:val="24"/>
          <w:szCs w:val="24"/>
        </w:rPr>
        <w:t xml:space="preserve">On </w:t>
      </w:r>
      <w:r>
        <w:rPr>
          <w:rFonts w:ascii="Times New Roman" w:hAnsi="Times New Roman"/>
          <w:sz w:val="24"/>
          <w:szCs w:val="24"/>
        </w:rPr>
        <w:t xml:space="preserve">March 23, 2022, in </w:t>
      </w:r>
      <w:r w:rsidRPr="00BA1FD0">
        <w:rPr>
          <w:rFonts w:ascii="Times New Roman" w:hAnsi="Times New Roman"/>
          <w:sz w:val="24"/>
          <w:szCs w:val="24"/>
          <w:u w:val="single"/>
        </w:rPr>
        <w:t>Paul Tarashuk v. Orangeburg County, Orangeburg County Emergency Medical Services, et al.</w:t>
      </w:r>
      <w:r>
        <w:rPr>
          <w:rFonts w:ascii="Times New Roman" w:hAnsi="Times New Roman"/>
          <w:sz w:val="24"/>
          <w:szCs w:val="24"/>
        </w:rPr>
        <w:t xml:space="preserve">, U.S. District Court judge J. Michelle Childs, U.S. District Court of South Carolina (Orangeburg Division) denied the defendants’ motion for summary judgment.   A truck driver called 911 to report that the man, later identified as Paul Tarashuk, was naked and climbed on the tractor trailer at an on-ramp for I-95, rode on the catwalk and detached air lines to the breaks. Police from three agencies responded and requested EMS.  He sat in ambulance for 12 minutes, head down, not responding to questions. A medic “pushed an ammonia inhalant up his nose” and took his vitals: </w:t>
      </w:r>
      <w:r w:rsidRPr="00EA5469">
        <w:rPr>
          <w:rFonts w:ascii="Times New Roman" w:hAnsi="Times New Roman"/>
          <w:sz w:val="24"/>
          <w:szCs w:val="24"/>
        </w:rPr>
        <w:t>blood pressure of 160/82 and pulse of 124</w:t>
      </w:r>
      <w:r>
        <w:rPr>
          <w:rFonts w:ascii="Times New Roman" w:hAnsi="Times New Roman"/>
          <w:sz w:val="24"/>
          <w:szCs w:val="24"/>
        </w:rPr>
        <w:t xml:space="preserve">.  </w:t>
      </w:r>
      <w:r w:rsidRPr="00005F9E">
        <w:rPr>
          <w:rFonts w:ascii="Times New Roman" w:hAnsi="Times New Roman"/>
          <w:sz w:val="24"/>
          <w:szCs w:val="24"/>
        </w:rPr>
        <w:t xml:space="preserve">Law enforcement and </w:t>
      </w:r>
      <w:r>
        <w:rPr>
          <w:rFonts w:ascii="Times New Roman" w:hAnsi="Times New Roman"/>
          <w:sz w:val="24"/>
          <w:szCs w:val="24"/>
        </w:rPr>
        <w:t>EMS w</w:t>
      </w:r>
      <w:r w:rsidRPr="00005F9E">
        <w:rPr>
          <w:rFonts w:ascii="Times New Roman" w:hAnsi="Times New Roman"/>
          <w:sz w:val="24"/>
          <w:szCs w:val="24"/>
        </w:rPr>
        <w:t>ere unaware of Plaintiff's identity throughout their interactions as he refused or was unable to state his full name and carried no identification.</w:t>
      </w:r>
      <w:r>
        <w:rPr>
          <w:rFonts w:ascii="Times New Roman" w:hAnsi="Times New Roman"/>
          <w:sz w:val="24"/>
          <w:szCs w:val="24"/>
        </w:rPr>
        <w:t xml:space="preserve"> A Deputy Sheriff, recording the event, then decided to drop him off at a closed gas station, telling him:</w:t>
      </w:r>
    </w:p>
    <w:p w14:paraId="0B7AB34E" w14:textId="77777777" w:rsidR="00221640" w:rsidRPr="00BB1B9E" w:rsidRDefault="00221640" w:rsidP="00221640">
      <w:pPr>
        <w:spacing w:before="100" w:beforeAutospacing="1" w:after="100" w:afterAutospacing="1" w:line="240" w:lineRule="auto"/>
        <w:ind w:left="720"/>
        <w:rPr>
          <w:rFonts w:ascii="Times New Roman" w:hAnsi="Times New Roman"/>
          <w:sz w:val="24"/>
          <w:szCs w:val="24"/>
        </w:rPr>
      </w:pPr>
      <w:r w:rsidRPr="00BB1B9E">
        <w:rPr>
          <w:rFonts w:ascii="Times New Roman" w:hAnsi="Times New Roman"/>
          <w:sz w:val="24"/>
          <w:szCs w:val="24"/>
        </w:rPr>
        <w:lastRenderedPageBreak/>
        <w:t xml:space="preserve">“You are not under arrest. I'm </w:t>
      </w:r>
      <w:proofErr w:type="spellStart"/>
      <w:r w:rsidRPr="00BB1B9E">
        <w:rPr>
          <w:rFonts w:ascii="Times New Roman" w:hAnsi="Times New Roman"/>
          <w:sz w:val="24"/>
          <w:szCs w:val="24"/>
        </w:rPr>
        <w:t>gonna</w:t>
      </w:r>
      <w:proofErr w:type="spellEnd"/>
      <w:r w:rsidRPr="00BB1B9E">
        <w:rPr>
          <w:rFonts w:ascii="Times New Roman" w:hAnsi="Times New Roman"/>
          <w:sz w:val="24"/>
          <w:szCs w:val="24"/>
        </w:rPr>
        <w:t xml:space="preserve"> give you a ride . . . . You're not going to jail, you're not under arrest, I'm going to give you a ride . . . . I'll figure out where you live. I'll give you a ride to a safe environment. That's all I want</w:t>
      </w:r>
      <w:r>
        <w:rPr>
          <w:rFonts w:ascii="Times New Roman" w:hAnsi="Times New Roman"/>
          <w:sz w:val="24"/>
          <w:szCs w:val="24"/>
        </w:rPr>
        <w:t>….</w:t>
      </w:r>
      <w:r w:rsidRPr="00BB1B9E">
        <w:rPr>
          <w:rFonts w:ascii="Times New Roman" w:hAnsi="Times New Roman"/>
          <w:sz w:val="24"/>
          <w:szCs w:val="24"/>
        </w:rPr>
        <w:t xml:space="preserve">” </w:t>
      </w:r>
      <w:r>
        <w:rPr>
          <w:rFonts w:ascii="Times New Roman" w:hAnsi="Times New Roman"/>
          <w:sz w:val="24"/>
          <w:szCs w:val="24"/>
        </w:rPr>
        <w:t xml:space="preserve">[Deputy] </w:t>
      </w:r>
      <w:r w:rsidRPr="00BB1B9E">
        <w:rPr>
          <w:rFonts w:ascii="Times New Roman" w:hAnsi="Times New Roman"/>
          <w:sz w:val="24"/>
          <w:szCs w:val="24"/>
        </w:rPr>
        <w:t xml:space="preserve">Doroski then told the other on-scene OCSO deputy that he was taking </w:t>
      </w:r>
      <w:proofErr w:type="spellStart"/>
      <w:r w:rsidRPr="00BB1B9E">
        <w:rPr>
          <w:rFonts w:ascii="Times New Roman" w:hAnsi="Times New Roman"/>
          <w:sz w:val="24"/>
          <w:szCs w:val="24"/>
        </w:rPr>
        <w:t>Tarashuk</w:t>
      </w:r>
      <w:proofErr w:type="spellEnd"/>
      <w:r w:rsidRPr="00BB1B9E">
        <w:rPr>
          <w:rFonts w:ascii="Times New Roman" w:hAnsi="Times New Roman"/>
          <w:sz w:val="24"/>
          <w:szCs w:val="24"/>
        </w:rPr>
        <w:t xml:space="preserve"> to Santee and ultimately dropped </w:t>
      </w:r>
      <w:proofErr w:type="spellStart"/>
      <w:r w:rsidRPr="00BB1B9E">
        <w:rPr>
          <w:rFonts w:ascii="Times New Roman" w:hAnsi="Times New Roman"/>
          <w:sz w:val="24"/>
          <w:szCs w:val="24"/>
        </w:rPr>
        <w:t>Tarashuk</w:t>
      </w:r>
      <w:proofErr w:type="spellEnd"/>
      <w:r w:rsidRPr="00BB1B9E">
        <w:rPr>
          <w:rFonts w:ascii="Times New Roman" w:hAnsi="Times New Roman"/>
          <w:sz w:val="24"/>
          <w:szCs w:val="24"/>
        </w:rPr>
        <w:t xml:space="preserve"> off at a closed gas station.</w:t>
      </w:r>
      <w:r>
        <w:rPr>
          <w:rFonts w:ascii="Times New Roman" w:hAnsi="Times New Roman"/>
          <w:sz w:val="24"/>
          <w:szCs w:val="24"/>
        </w:rPr>
        <w:t xml:space="preserve">” </w:t>
      </w:r>
    </w:p>
    <w:p w14:paraId="7D3D6424" w14:textId="77777777" w:rsidR="00221640" w:rsidRPr="008A6F7F" w:rsidRDefault="00221640" w:rsidP="00221640">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After being dopped off at the gas station, Mr. </w:t>
      </w:r>
      <w:proofErr w:type="spellStart"/>
      <w:r>
        <w:rPr>
          <w:rFonts w:ascii="Times New Roman" w:hAnsi="Times New Roman"/>
          <w:sz w:val="24"/>
          <w:szCs w:val="24"/>
        </w:rPr>
        <w:t>Tarashuk</w:t>
      </w:r>
      <w:proofErr w:type="spellEnd"/>
      <w:r>
        <w:rPr>
          <w:rFonts w:ascii="Times New Roman" w:hAnsi="Times New Roman"/>
          <w:sz w:val="24"/>
          <w:szCs w:val="24"/>
        </w:rPr>
        <w:t xml:space="preserve"> walked back to I-95 and was struck and killed a few hours later. Under these unfortunate facts, Judge Childs held that while the deceased’s family cannot sue the County for “failure to train” the Deputy and the medics, they can sue under the ADA [Americans with Disabilities Act] for failure to accommodate the patient by not taking him to the hospital. </w:t>
      </w:r>
      <w:hyperlink r:id="rId2253" w:history="1">
        <w:r w:rsidRPr="00E151A7">
          <w:rPr>
            <w:rStyle w:val="Hyperlink"/>
            <w:rFonts w:ascii="Times New Roman" w:hAnsi="Times New Roman"/>
            <w:sz w:val="24"/>
            <w:szCs w:val="24"/>
          </w:rPr>
          <w:t>https://www.leagle.com/decision/infdco20220324d64</w:t>
        </w:r>
      </w:hyperlink>
      <w:r w:rsidRPr="008A6F7F">
        <w:rPr>
          <w:rFonts w:ascii="Times New Roman" w:hAnsi="Times New Roman"/>
          <w:sz w:val="24"/>
          <w:szCs w:val="24"/>
        </w:rPr>
        <w:t xml:space="preserve"> </w:t>
      </w:r>
    </w:p>
    <w:p w14:paraId="3737AABF" w14:textId="77777777" w:rsidR="00221640" w:rsidRPr="008A6F7F" w:rsidRDefault="00221640" w:rsidP="00221640">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r w:rsidRPr="00107F61">
        <w:rPr>
          <w:rFonts w:ascii="Times New Roman" w:hAnsi="Times New Roman"/>
          <w:sz w:val="24"/>
          <w:szCs w:val="24"/>
        </w:rPr>
        <w:t xml:space="preserve">Plaintiff has alleged sufficient facts to indicate that two trained paramedics should have been able to gauge the specific accommodation required here and taken </w:t>
      </w:r>
      <w:proofErr w:type="spellStart"/>
      <w:r w:rsidRPr="00107F61">
        <w:rPr>
          <w:rFonts w:ascii="Times New Roman" w:hAnsi="Times New Roman"/>
          <w:sz w:val="24"/>
          <w:szCs w:val="24"/>
        </w:rPr>
        <w:t>Tarashuk</w:t>
      </w:r>
      <w:proofErr w:type="spellEnd"/>
      <w:r w:rsidRPr="00107F61">
        <w:rPr>
          <w:rFonts w:ascii="Times New Roman" w:hAnsi="Times New Roman"/>
          <w:sz w:val="24"/>
          <w:szCs w:val="24"/>
        </w:rPr>
        <w:t xml:space="preserve"> to the hospital. Ultimately, whether the circumstances alleged here are such that responding paramedics knew or should have known </w:t>
      </w:r>
      <w:proofErr w:type="spellStart"/>
      <w:r w:rsidRPr="00107F61">
        <w:rPr>
          <w:rFonts w:ascii="Times New Roman" w:hAnsi="Times New Roman"/>
          <w:sz w:val="24"/>
          <w:szCs w:val="24"/>
        </w:rPr>
        <w:t>Tarashuk</w:t>
      </w:r>
      <w:proofErr w:type="spellEnd"/>
      <w:r w:rsidRPr="00107F61">
        <w:rPr>
          <w:rFonts w:ascii="Times New Roman" w:hAnsi="Times New Roman"/>
          <w:sz w:val="24"/>
          <w:szCs w:val="24"/>
        </w:rPr>
        <w:t xml:space="preserve"> was obviously disabled presents a genuine question of material fact and precludes summary judgment.</w:t>
      </w:r>
      <w:r>
        <w:rPr>
          <w:rFonts w:ascii="Times New Roman" w:hAnsi="Times New Roman"/>
          <w:sz w:val="24"/>
          <w:szCs w:val="24"/>
        </w:rPr>
        <w:t xml:space="preserve">” </w:t>
      </w:r>
      <w:hyperlink r:id="rId2254" w:history="1">
        <w:r w:rsidRPr="00E151A7">
          <w:rPr>
            <w:rStyle w:val="Hyperlink"/>
            <w:rFonts w:ascii="Times New Roman" w:hAnsi="Times New Roman"/>
            <w:sz w:val="24"/>
            <w:szCs w:val="24"/>
          </w:rPr>
          <w:t>https://www.leagle.com/decision/infdco20220324d64</w:t>
        </w:r>
      </w:hyperlink>
      <w:r w:rsidRPr="008A6F7F">
        <w:rPr>
          <w:rFonts w:ascii="Times New Roman" w:hAnsi="Times New Roman"/>
          <w:sz w:val="24"/>
          <w:szCs w:val="24"/>
        </w:rPr>
        <w:t xml:space="preserve"> </w:t>
      </w:r>
    </w:p>
    <w:bookmarkEnd w:id="443"/>
    <w:p w14:paraId="4C7339FD" w14:textId="77777777" w:rsidR="00221640" w:rsidRDefault="00221640" w:rsidP="00221640">
      <w:pPr>
        <w:spacing w:before="100" w:beforeAutospacing="1" w:after="100" w:afterAutospacing="1" w:line="240" w:lineRule="auto"/>
        <w:rPr>
          <w:rFonts w:ascii="Times New Roman" w:eastAsia="Times New Roman" w:hAnsi="Times New Roman"/>
          <w:b/>
          <w:bCs/>
          <w:sz w:val="24"/>
          <w:szCs w:val="24"/>
        </w:rPr>
      </w:pPr>
      <w:r w:rsidRPr="008C4B8D">
        <w:rPr>
          <w:rFonts w:ascii="Times New Roman" w:eastAsia="Times New Roman" w:hAnsi="Times New Roman"/>
          <w:b/>
          <w:bCs/>
          <w:sz w:val="24"/>
          <w:szCs w:val="24"/>
        </w:rPr>
        <w:t>Legal Lesson Learned:</w:t>
      </w:r>
      <w:r>
        <w:rPr>
          <w:rFonts w:ascii="Times New Roman" w:eastAsia="Times New Roman" w:hAnsi="Times New Roman"/>
          <w:b/>
          <w:bCs/>
          <w:sz w:val="24"/>
          <w:szCs w:val="24"/>
        </w:rPr>
        <w:t xml:space="preserve"> EMS should know the law in their state, and local protocols, on when a patient should be taken to hospital for psychiatric evaluation. </w:t>
      </w:r>
    </w:p>
    <w:p w14:paraId="7B848D6D" w14:textId="77777777" w:rsidR="00221640" w:rsidRDefault="00221640" w:rsidP="00221640">
      <w:pPr>
        <w:spacing w:before="100" w:beforeAutospacing="1" w:after="100" w:afterAutospacing="1" w:line="240" w:lineRule="auto"/>
        <w:ind w:left="720"/>
        <w:rPr>
          <w:rFonts w:ascii="Times New Roman" w:eastAsia="Times New Roman" w:hAnsi="Times New Roman"/>
          <w:sz w:val="24"/>
          <w:szCs w:val="24"/>
        </w:rPr>
      </w:pPr>
      <w:r w:rsidRPr="00EB1873">
        <w:rPr>
          <w:rFonts w:ascii="Times New Roman" w:eastAsia="Times New Roman" w:hAnsi="Times New Roman"/>
          <w:sz w:val="24"/>
          <w:szCs w:val="24"/>
        </w:rPr>
        <w:t>Note:</w:t>
      </w:r>
      <w:r>
        <w:rPr>
          <w:rFonts w:ascii="Times New Roman" w:eastAsia="Times New Roman" w:hAnsi="Times New Roman"/>
          <w:sz w:val="24"/>
          <w:szCs w:val="24"/>
        </w:rPr>
        <w:t xml:space="preserve"> One of the medics on this run had a long history of drug addictions, and license suspension, prior to being hired by the County EMS.  The trial judge dismissed the claim of negligent hiring.</w:t>
      </w:r>
    </w:p>
    <w:p w14:paraId="27328BBB" w14:textId="77777777" w:rsidR="00221640" w:rsidRDefault="00221640" w:rsidP="00221640">
      <w:pPr>
        <w:spacing w:before="100" w:beforeAutospacing="1" w:after="100" w:afterAutospacing="1" w:line="240" w:lineRule="auto"/>
        <w:ind w:left="720"/>
        <w:rPr>
          <w:rFonts w:ascii="Times New Roman" w:eastAsia="Times New Roman" w:hAnsi="Times New Roman"/>
          <w:sz w:val="24"/>
          <w:szCs w:val="24"/>
        </w:rPr>
      </w:pPr>
      <w:r>
        <w:rPr>
          <w:rFonts w:ascii="Times New Roman" w:hAnsi="Times New Roman"/>
          <w:sz w:val="24"/>
          <w:szCs w:val="24"/>
        </w:rPr>
        <w:t>“</w:t>
      </w:r>
      <w:r w:rsidRPr="00EB1873">
        <w:rPr>
          <w:rFonts w:ascii="Times New Roman" w:hAnsi="Times New Roman"/>
          <w:sz w:val="24"/>
          <w:szCs w:val="24"/>
        </w:rPr>
        <w:t xml:space="preserve">Here, Plaintiff concedes Rivers contacted </w:t>
      </w:r>
      <w:r>
        <w:rPr>
          <w:rFonts w:ascii="Times New Roman" w:hAnsi="Times New Roman"/>
          <w:sz w:val="24"/>
          <w:szCs w:val="24"/>
        </w:rPr>
        <w:t xml:space="preserve">[the medic’s] </w:t>
      </w:r>
      <w:r w:rsidRPr="00EB1873">
        <w:rPr>
          <w:rFonts w:ascii="Times New Roman" w:hAnsi="Times New Roman"/>
          <w:sz w:val="24"/>
          <w:szCs w:val="24"/>
        </w:rPr>
        <w:t xml:space="preserve">longest-term employer who affirmed her competence as a paramedic. Rivers knew of </w:t>
      </w:r>
      <w:r>
        <w:rPr>
          <w:rFonts w:ascii="Times New Roman" w:hAnsi="Times New Roman"/>
          <w:sz w:val="24"/>
          <w:szCs w:val="24"/>
        </w:rPr>
        <w:t xml:space="preserve">[the medic’s] </w:t>
      </w:r>
      <w:r w:rsidRPr="00EB1873">
        <w:rPr>
          <w:rFonts w:ascii="Times New Roman" w:hAnsi="Times New Roman"/>
          <w:sz w:val="24"/>
          <w:szCs w:val="24"/>
        </w:rPr>
        <w:t xml:space="preserve">license suspension and contacted DHEC, the regulatory body in charge of her reinstatement, to ensure she had complied with its requirements. While certain red flags on </w:t>
      </w:r>
      <w:r>
        <w:rPr>
          <w:rFonts w:ascii="Times New Roman" w:hAnsi="Times New Roman"/>
          <w:sz w:val="24"/>
          <w:szCs w:val="24"/>
        </w:rPr>
        <w:t xml:space="preserve">[the medic’s] </w:t>
      </w:r>
      <w:r w:rsidRPr="00EB1873">
        <w:rPr>
          <w:rFonts w:ascii="Times New Roman" w:hAnsi="Times New Roman"/>
          <w:sz w:val="24"/>
          <w:szCs w:val="24"/>
        </w:rPr>
        <w:t xml:space="preserve">application, such as her relatively short tenure with subsequent employers and publicly available facts regarding her license suspension due to opioid addiction may have warranted further scrutiny, Rivers' failure to follow each thread in his investigation constitutes negligence at best. And in this context, negligence-based </w:t>
      </w:r>
      <w:r w:rsidRPr="00EB1873">
        <w:rPr>
          <w:rStyle w:val="Emphasis"/>
          <w:rFonts w:ascii="Times New Roman" w:hAnsi="Times New Roman"/>
          <w:sz w:val="24"/>
          <w:szCs w:val="24"/>
        </w:rPr>
        <w:t>respondeat superior</w:t>
      </w:r>
      <w:r w:rsidRPr="00EB1873">
        <w:rPr>
          <w:rFonts w:ascii="Times New Roman" w:hAnsi="Times New Roman"/>
          <w:sz w:val="24"/>
          <w:szCs w:val="24"/>
        </w:rPr>
        <w:t xml:space="preserve"> liability does not reach the substantial </w:t>
      </w:r>
      <w:r>
        <w:rPr>
          <w:rFonts w:ascii="Times New Roman" w:hAnsi="Times New Roman"/>
          <w:sz w:val="24"/>
          <w:szCs w:val="24"/>
        </w:rPr>
        <w:t>‘</w:t>
      </w:r>
      <w:r w:rsidRPr="00EB1873">
        <w:rPr>
          <w:rFonts w:ascii="Times New Roman" w:hAnsi="Times New Roman"/>
          <w:sz w:val="24"/>
          <w:szCs w:val="24"/>
        </w:rPr>
        <w:t>deliberate indifference</w:t>
      </w:r>
      <w:r>
        <w:rPr>
          <w:rFonts w:ascii="Times New Roman" w:hAnsi="Times New Roman"/>
          <w:sz w:val="24"/>
          <w:szCs w:val="24"/>
        </w:rPr>
        <w:t>’</w:t>
      </w:r>
      <w:r w:rsidRPr="00EB1873">
        <w:rPr>
          <w:rFonts w:ascii="Times New Roman" w:hAnsi="Times New Roman"/>
          <w:sz w:val="24"/>
          <w:szCs w:val="24"/>
        </w:rPr>
        <w:t xml:space="preserve"> </w:t>
      </w:r>
      <w:proofErr w:type="gramStart"/>
      <w:r w:rsidRPr="00EB1873">
        <w:rPr>
          <w:rFonts w:ascii="Times New Roman" w:hAnsi="Times New Roman"/>
          <w:sz w:val="24"/>
          <w:szCs w:val="24"/>
        </w:rPr>
        <w:t>threshold</w:t>
      </w:r>
      <w:r>
        <w:rPr>
          <w:rFonts w:ascii="Times New Roman" w:hAnsi="Times New Roman"/>
          <w:sz w:val="24"/>
          <w:szCs w:val="24"/>
        </w:rPr>
        <w:t>.”</w:t>
      </w:r>
      <w:proofErr w:type="gramEnd"/>
      <w:r>
        <w:rPr>
          <w:rFonts w:ascii="Times New Roman" w:hAnsi="Times New Roman"/>
          <w:sz w:val="24"/>
          <w:szCs w:val="24"/>
        </w:rPr>
        <w:t xml:space="preserve"> </w:t>
      </w:r>
      <w:r w:rsidRPr="008C4B8D">
        <w:rPr>
          <w:rFonts w:ascii="Times New Roman" w:eastAsia="Times New Roman" w:hAnsi="Times New Roman"/>
          <w:sz w:val="24"/>
          <w:szCs w:val="24"/>
        </w:rPr>
        <w:t xml:space="preserve"> </w:t>
      </w:r>
      <w:hyperlink r:id="rId2255" w:history="1">
        <w:r w:rsidRPr="00E151A7">
          <w:rPr>
            <w:rStyle w:val="Hyperlink"/>
            <w:rFonts w:ascii="Times New Roman" w:hAnsi="Times New Roman"/>
            <w:sz w:val="24"/>
            <w:szCs w:val="24"/>
          </w:rPr>
          <w:t>https://www.leagle.com/decision/infdco20220324d64</w:t>
        </w:r>
      </w:hyperlink>
    </w:p>
    <w:p w14:paraId="709985A3" w14:textId="77777777" w:rsidR="00221640" w:rsidRDefault="00221640" w:rsidP="002B1283">
      <w:pPr>
        <w:rPr>
          <w:rFonts w:ascii="Arial Black" w:hAnsi="Arial Black"/>
          <w:b/>
          <w:bCs/>
          <w:sz w:val="28"/>
          <w:szCs w:val="28"/>
        </w:rPr>
      </w:pPr>
    </w:p>
    <w:p w14:paraId="7B349DF3" w14:textId="77777777" w:rsidR="00221640" w:rsidRDefault="00221640" w:rsidP="002B1283">
      <w:pPr>
        <w:rPr>
          <w:rFonts w:ascii="Arial Black" w:hAnsi="Arial Black"/>
          <w:b/>
          <w:bCs/>
          <w:sz w:val="28"/>
          <w:szCs w:val="28"/>
        </w:rPr>
      </w:pPr>
    </w:p>
    <w:p w14:paraId="7047CC77" w14:textId="72031474" w:rsidR="00E3473F" w:rsidRDefault="00E3473F" w:rsidP="002B1283">
      <w:pPr>
        <w:rPr>
          <w:rFonts w:ascii="Arial Black" w:hAnsi="Arial Black"/>
          <w:b/>
          <w:bCs/>
          <w:sz w:val="28"/>
          <w:szCs w:val="28"/>
        </w:rPr>
      </w:pPr>
      <w:r>
        <w:rPr>
          <w:rFonts w:ascii="Arial Black" w:hAnsi="Arial Black"/>
          <w:b/>
          <w:bCs/>
          <w:sz w:val="28"/>
          <w:szCs w:val="28"/>
        </w:rPr>
        <w:t>13-108</w:t>
      </w:r>
    </w:p>
    <w:p w14:paraId="09D93EFC" w14:textId="77777777" w:rsidR="00E3473F" w:rsidRDefault="00E3473F" w:rsidP="00E3473F">
      <w:pPr>
        <w:spacing w:before="100" w:beforeAutospacing="1" w:after="100" w:afterAutospacing="1" w:line="240" w:lineRule="auto"/>
        <w:rPr>
          <w:rFonts w:ascii="Times New Roman" w:eastAsia="Times New Roman" w:hAnsi="Times New Roman"/>
          <w:b/>
          <w:bCs/>
          <w:sz w:val="24"/>
          <w:szCs w:val="24"/>
        </w:rPr>
      </w:pPr>
      <w:r>
        <w:rPr>
          <w:rFonts w:ascii="Arial Black" w:eastAsia="Times New Roman" w:hAnsi="Arial Black"/>
          <w:b/>
          <w:bCs/>
          <w:sz w:val="28"/>
          <w:szCs w:val="28"/>
        </w:rPr>
        <w:t>GA: PATIENT’S PUSH BUTTON DEVICE - ANSWERING SERVICE DIDN’T ASK DOORS LOCKED – FAMILY SUE CO.</w:t>
      </w:r>
    </w:p>
    <w:p w14:paraId="6E521080" w14:textId="77777777" w:rsidR="00E3473F" w:rsidRDefault="00E3473F" w:rsidP="00E3473F">
      <w:pPr>
        <w:spacing w:before="100" w:beforeAutospacing="1" w:after="100" w:afterAutospacing="1" w:line="240" w:lineRule="auto"/>
        <w:rPr>
          <w:rFonts w:ascii="Times New Roman" w:hAnsi="Times New Roman"/>
          <w:sz w:val="24"/>
          <w:szCs w:val="24"/>
        </w:rPr>
      </w:pPr>
      <w:r w:rsidRPr="00D82B8F">
        <w:rPr>
          <w:rFonts w:ascii="Times New Roman" w:eastAsia="Times New Roman" w:hAnsi="Times New Roman"/>
          <w:sz w:val="24"/>
          <w:szCs w:val="24"/>
        </w:rPr>
        <w:t xml:space="preserve">On March 17, 2022, in </w:t>
      </w:r>
      <w:r w:rsidRPr="00D82B8F">
        <w:rPr>
          <w:rFonts w:ascii="Times New Roman" w:eastAsia="Times New Roman" w:hAnsi="Times New Roman"/>
          <w:sz w:val="24"/>
          <w:szCs w:val="24"/>
          <w:u w:val="single"/>
        </w:rPr>
        <w:t xml:space="preserve">Eric Brown, Administrator of the Estate of Loretta Lewis v. </w:t>
      </w:r>
      <w:proofErr w:type="spellStart"/>
      <w:r w:rsidRPr="00D82B8F">
        <w:rPr>
          <w:rFonts w:ascii="Times New Roman" w:eastAsia="Times New Roman" w:hAnsi="Times New Roman"/>
          <w:sz w:val="24"/>
          <w:szCs w:val="24"/>
          <w:u w:val="single"/>
        </w:rPr>
        <w:t>Medscope</w:t>
      </w:r>
      <w:proofErr w:type="spellEnd"/>
      <w:r w:rsidRPr="00D82B8F">
        <w:rPr>
          <w:rFonts w:ascii="Times New Roman" w:eastAsia="Times New Roman" w:hAnsi="Times New Roman"/>
          <w:sz w:val="24"/>
          <w:szCs w:val="24"/>
          <w:u w:val="single"/>
        </w:rPr>
        <w:t xml:space="preserve"> America Corporation and </w:t>
      </w:r>
      <w:proofErr w:type="spellStart"/>
      <w:r w:rsidRPr="00D82B8F">
        <w:rPr>
          <w:rFonts w:ascii="Times New Roman" w:eastAsia="Times New Roman" w:hAnsi="Times New Roman"/>
          <w:sz w:val="24"/>
          <w:szCs w:val="24"/>
          <w:u w:val="single"/>
        </w:rPr>
        <w:t>Avant</w:t>
      </w:r>
      <w:r>
        <w:rPr>
          <w:rFonts w:ascii="Times New Roman" w:eastAsia="Times New Roman" w:hAnsi="Times New Roman"/>
          <w:sz w:val="24"/>
          <w:szCs w:val="24"/>
          <w:u w:val="single"/>
        </w:rPr>
        <w:t>G</w:t>
      </w:r>
      <w:r w:rsidRPr="00D82B8F">
        <w:rPr>
          <w:rFonts w:ascii="Times New Roman" w:eastAsia="Times New Roman" w:hAnsi="Times New Roman"/>
          <w:sz w:val="24"/>
          <w:szCs w:val="24"/>
          <w:u w:val="single"/>
        </w:rPr>
        <w:t>uard</w:t>
      </w:r>
      <w:proofErr w:type="spellEnd"/>
      <w:r w:rsidRPr="00D82B8F">
        <w:rPr>
          <w:rFonts w:ascii="Times New Roman" w:eastAsia="Times New Roman" w:hAnsi="Times New Roman"/>
          <w:sz w:val="24"/>
          <w:szCs w:val="24"/>
          <w:u w:val="single"/>
        </w:rPr>
        <w:t xml:space="preserve"> Monitoring Centers, LLC</w:t>
      </w:r>
      <w:r w:rsidRPr="00D82B8F">
        <w:rPr>
          <w:rFonts w:ascii="Times New Roman" w:eastAsia="Times New Roman" w:hAnsi="Times New Roman"/>
          <w:sz w:val="24"/>
          <w:szCs w:val="24"/>
        </w:rPr>
        <w:t xml:space="preserve">, U.S. District Court Judge Clay D. Land, </w:t>
      </w:r>
      <w:r>
        <w:rPr>
          <w:rFonts w:ascii="Times New Roman" w:eastAsia="Times New Roman" w:hAnsi="Times New Roman"/>
          <w:sz w:val="24"/>
          <w:szCs w:val="24"/>
        </w:rPr>
        <w:t xml:space="preserve">IU.S. District Court for the Middle District of George (Columbus Division), </w:t>
      </w:r>
      <w:r w:rsidRPr="00D82B8F">
        <w:rPr>
          <w:rFonts w:ascii="Times New Roman" w:eastAsia="Times New Roman" w:hAnsi="Times New Roman"/>
          <w:sz w:val="24"/>
          <w:szCs w:val="24"/>
        </w:rPr>
        <w:t>denied the defendants’ motion to dismiss</w:t>
      </w:r>
      <w:r>
        <w:rPr>
          <w:rFonts w:ascii="Times New Roman" w:eastAsia="Times New Roman" w:hAnsi="Times New Roman"/>
          <w:sz w:val="24"/>
          <w:szCs w:val="24"/>
        </w:rPr>
        <w:t xml:space="preserve"> in a lawsuit brought under </w:t>
      </w:r>
      <w:r w:rsidRPr="00C66418">
        <w:rPr>
          <w:rFonts w:ascii="Times New Roman" w:hAnsi="Times New Roman"/>
          <w:sz w:val="24"/>
          <w:szCs w:val="24"/>
        </w:rPr>
        <w:t>Georgia's Fair Business Practices Act and under general tort law.</w:t>
      </w:r>
      <w:r w:rsidRPr="00D82B8F">
        <w:rPr>
          <w:rFonts w:ascii="Times New Roman" w:eastAsia="Times New Roman" w:hAnsi="Times New Roman"/>
          <w:sz w:val="24"/>
          <w:szCs w:val="24"/>
        </w:rPr>
        <w:t xml:space="preserve">  </w:t>
      </w:r>
      <w:r>
        <w:rPr>
          <w:rFonts w:ascii="Times New Roman" w:eastAsia="Times New Roman" w:hAnsi="Times New Roman"/>
          <w:sz w:val="24"/>
          <w:szCs w:val="24"/>
        </w:rPr>
        <w:t xml:space="preserve">The COPD patient activated the push button medallion device she wore around her neck.  The answering service notified </w:t>
      </w:r>
      <w:proofErr w:type="gramStart"/>
      <w:r>
        <w:rPr>
          <w:rFonts w:ascii="Times New Roman" w:eastAsia="Times New Roman" w:hAnsi="Times New Roman"/>
          <w:sz w:val="24"/>
          <w:szCs w:val="24"/>
        </w:rPr>
        <w:t>911, but</w:t>
      </w:r>
      <w:proofErr w:type="gramEnd"/>
      <w:r>
        <w:rPr>
          <w:rFonts w:ascii="Times New Roman" w:eastAsia="Times New Roman" w:hAnsi="Times New Roman"/>
          <w:sz w:val="24"/>
          <w:szCs w:val="24"/>
        </w:rPr>
        <w:t xml:space="preserve"> never asked her if the doors were locked. </w:t>
      </w:r>
      <w:r w:rsidRPr="00D82B8F">
        <w:rPr>
          <w:rFonts w:ascii="Times New Roman" w:eastAsia="Times New Roman" w:hAnsi="Times New Roman"/>
          <w:sz w:val="24"/>
          <w:szCs w:val="24"/>
        </w:rPr>
        <w:t>When EMS arrived at the patient’s home, the doors were locked</w:t>
      </w:r>
      <w:r>
        <w:rPr>
          <w:rFonts w:ascii="Times New Roman" w:eastAsia="Times New Roman" w:hAnsi="Times New Roman"/>
          <w:sz w:val="24"/>
          <w:szCs w:val="24"/>
        </w:rPr>
        <w:t xml:space="preserve"> </w:t>
      </w:r>
      <w:r w:rsidRPr="00D82B8F">
        <w:rPr>
          <w:rFonts w:ascii="Times New Roman" w:eastAsia="Times New Roman" w:hAnsi="Times New Roman"/>
          <w:sz w:val="24"/>
          <w:szCs w:val="24"/>
        </w:rPr>
        <w:t>and they needed to wait for a fire engine to breach the door; patient s</w:t>
      </w:r>
      <w:r w:rsidRPr="00D82B8F">
        <w:rPr>
          <w:rFonts w:ascii="Times New Roman" w:hAnsi="Times New Roman"/>
          <w:sz w:val="24"/>
          <w:szCs w:val="24"/>
        </w:rPr>
        <w:t xml:space="preserve">uffered an extended hypoxic event leading to </w:t>
      </w:r>
      <w:r w:rsidRPr="00D82B8F">
        <w:rPr>
          <w:rFonts w:ascii="Times New Roman" w:hAnsi="Times New Roman"/>
          <w:sz w:val="24"/>
          <w:szCs w:val="24"/>
        </w:rPr>
        <w:lastRenderedPageBreak/>
        <w:t xml:space="preserve">serious brain injury that </w:t>
      </w:r>
      <w:r>
        <w:rPr>
          <w:rFonts w:ascii="Times New Roman" w:hAnsi="Times New Roman"/>
          <w:sz w:val="24"/>
          <w:szCs w:val="24"/>
        </w:rPr>
        <w:t xml:space="preserve">led to </w:t>
      </w:r>
      <w:r w:rsidRPr="00D82B8F">
        <w:rPr>
          <w:rFonts w:ascii="Times New Roman" w:hAnsi="Times New Roman"/>
          <w:sz w:val="24"/>
          <w:szCs w:val="24"/>
        </w:rPr>
        <w:t>her death three days later while in the hospital.</w:t>
      </w:r>
      <w:r>
        <w:rPr>
          <w:rFonts w:ascii="Times New Roman" w:hAnsi="Times New Roman"/>
          <w:sz w:val="24"/>
          <w:szCs w:val="24"/>
        </w:rPr>
        <w:t xml:space="preserve"> </w:t>
      </w:r>
      <w:hyperlink r:id="rId2256" w:history="1">
        <w:r w:rsidRPr="005A2A16">
          <w:rPr>
            <w:rStyle w:val="Hyperlink"/>
            <w:rFonts w:ascii="Times New Roman" w:hAnsi="Times New Roman"/>
            <w:sz w:val="24"/>
            <w:szCs w:val="24"/>
          </w:rPr>
          <w:t>https://casetext.com/case/brown-v-medscope-am-corp</w:t>
        </w:r>
      </w:hyperlink>
      <w:r>
        <w:rPr>
          <w:rFonts w:ascii="Times New Roman" w:hAnsi="Times New Roman"/>
          <w:sz w:val="24"/>
          <w:szCs w:val="24"/>
        </w:rPr>
        <w:t xml:space="preserve"> </w:t>
      </w:r>
    </w:p>
    <w:p w14:paraId="5D4FFF3A" w14:textId="77777777" w:rsidR="00E3473F" w:rsidRDefault="00E3473F" w:rsidP="00E3473F">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r w:rsidRPr="00D82B8F">
        <w:rPr>
          <w:rFonts w:ascii="Times New Roman" w:hAnsi="Times New Roman"/>
          <w:sz w:val="24"/>
          <w:szCs w:val="24"/>
        </w:rPr>
        <w:t xml:space="preserve">Specifically, Plaintiff alleges that, if Lewis had called 9-1-1 directly, 9-1-1 would have asked her if her doors were locked and would have sent a fire crew to Lewis's house upon learning that Lewis </w:t>
      </w:r>
      <w:r>
        <w:rPr>
          <w:rFonts w:ascii="Times New Roman" w:hAnsi="Times New Roman"/>
          <w:sz w:val="24"/>
          <w:szCs w:val="24"/>
        </w:rPr>
        <w:t>‘</w:t>
      </w:r>
      <w:r w:rsidRPr="00D82B8F">
        <w:rPr>
          <w:rFonts w:ascii="Times New Roman" w:hAnsi="Times New Roman"/>
          <w:sz w:val="24"/>
          <w:szCs w:val="24"/>
        </w:rPr>
        <w:t>couldn't breathe.</w:t>
      </w:r>
      <w:r>
        <w:rPr>
          <w:rFonts w:ascii="Times New Roman" w:hAnsi="Times New Roman"/>
          <w:sz w:val="24"/>
          <w:szCs w:val="24"/>
        </w:rPr>
        <w:t>’</w:t>
      </w:r>
      <w:r w:rsidRPr="00D82B8F">
        <w:rPr>
          <w:rFonts w:ascii="Times New Roman" w:hAnsi="Times New Roman"/>
          <w:sz w:val="24"/>
          <w:szCs w:val="24"/>
        </w:rPr>
        <w:t xml:space="preserve"> Plaintiff thus adequately alleges that Defendants owed a duty of care to Lewis by assuming responsibility for providing Lewis with necessary emergency services, Lewis relied on Defendants' assumption of that duty, and that Defendants breached that duty and harmed Lewis by negligently failing to act as a reasonable 9-1-1 operator would if Lewis called 9-1-1 directly. Defendants' motions to dismiss Plaintiff's negligence claim are denied.</w:t>
      </w:r>
      <w:r>
        <w:rPr>
          <w:rFonts w:ascii="Times New Roman" w:hAnsi="Times New Roman"/>
          <w:sz w:val="24"/>
          <w:szCs w:val="24"/>
        </w:rPr>
        <w:t xml:space="preserve">”  </w:t>
      </w:r>
      <w:hyperlink r:id="rId2257" w:history="1">
        <w:r w:rsidRPr="005A2A16">
          <w:rPr>
            <w:rStyle w:val="Hyperlink"/>
            <w:rFonts w:ascii="Times New Roman" w:hAnsi="Times New Roman"/>
            <w:sz w:val="24"/>
            <w:szCs w:val="24"/>
          </w:rPr>
          <w:t>https://casetext.com/case/brown-v-medscope-am-corp</w:t>
        </w:r>
      </w:hyperlink>
      <w:r>
        <w:rPr>
          <w:rFonts w:ascii="Times New Roman" w:hAnsi="Times New Roman"/>
          <w:sz w:val="24"/>
          <w:szCs w:val="24"/>
        </w:rPr>
        <w:t xml:space="preserve"> </w:t>
      </w:r>
    </w:p>
    <w:p w14:paraId="5A66A37A" w14:textId="77777777" w:rsidR="00221640" w:rsidRPr="00AF18D5" w:rsidRDefault="00221640" w:rsidP="00221640">
      <w:pPr>
        <w:spacing w:before="100" w:beforeAutospacing="1" w:after="100" w:afterAutospacing="1" w:line="240" w:lineRule="auto"/>
        <w:rPr>
          <w:rFonts w:ascii="Times New Roman" w:eastAsia="Times New Roman" w:hAnsi="Times New Roman"/>
          <w:b/>
          <w:bCs/>
          <w:sz w:val="24"/>
          <w:szCs w:val="24"/>
        </w:rPr>
      </w:pPr>
      <w:r w:rsidRPr="00665122">
        <w:rPr>
          <w:rFonts w:ascii="Times New Roman" w:eastAsia="Times New Roman" w:hAnsi="Times New Roman"/>
          <w:b/>
          <w:bCs/>
          <w:sz w:val="24"/>
          <w:szCs w:val="24"/>
        </w:rPr>
        <w:t>Legal Lesson Learned:</w:t>
      </w:r>
      <w:r>
        <w:rPr>
          <w:rFonts w:ascii="Times New Roman" w:eastAsia="Times New Roman" w:hAnsi="Times New Roman"/>
          <w:b/>
          <w:bCs/>
          <w:sz w:val="24"/>
          <w:szCs w:val="24"/>
        </w:rPr>
        <w:t xml:space="preserve">  Answering services have an obligation to inform 911 of critical facts, including whether patient is alone in her home with the doors locked. </w:t>
      </w:r>
    </w:p>
    <w:p w14:paraId="76B1460C" w14:textId="77777777" w:rsidR="00E3473F" w:rsidRDefault="00E3473F" w:rsidP="002B1283">
      <w:pPr>
        <w:rPr>
          <w:rFonts w:ascii="Arial Black" w:hAnsi="Arial Black"/>
          <w:b/>
          <w:bCs/>
          <w:sz w:val="28"/>
          <w:szCs w:val="28"/>
        </w:rPr>
      </w:pPr>
    </w:p>
    <w:p w14:paraId="62D96FE3" w14:textId="77777777" w:rsidR="00E3473F" w:rsidRDefault="00E3473F" w:rsidP="002B1283">
      <w:pPr>
        <w:rPr>
          <w:rFonts w:ascii="Arial Black" w:hAnsi="Arial Black"/>
          <w:b/>
          <w:bCs/>
          <w:sz w:val="28"/>
          <w:szCs w:val="28"/>
        </w:rPr>
      </w:pPr>
    </w:p>
    <w:p w14:paraId="6511AB41" w14:textId="77777777" w:rsidR="00E3473F" w:rsidRDefault="00E3473F" w:rsidP="002B1283">
      <w:pPr>
        <w:rPr>
          <w:rFonts w:ascii="Arial Black" w:hAnsi="Arial Black"/>
          <w:b/>
          <w:bCs/>
          <w:sz w:val="28"/>
          <w:szCs w:val="28"/>
        </w:rPr>
      </w:pPr>
    </w:p>
    <w:p w14:paraId="0060AD3F" w14:textId="4AA6337A" w:rsidR="00D55139" w:rsidRDefault="00E3473F" w:rsidP="002B1283">
      <w:pPr>
        <w:rPr>
          <w:rFonts w:ascii="Arial Black" w:hAnsi="Arial Black"/>
          <w:b/>
          <w:bCs/>
          <w:sz w:val="28"/>
          <w:szCs w:val="28"/>
        </w:rPr>
      </w:pPr>
      <w:r>
        <w:rPr>
          <w:rFonts w:ascii="Arial Black" w:hAnsi="Arial Black"/>
          <w:b/>
          <w:bCs/>
          <w:sz w:val="28"/>
          <w:szCs w:val="28"/>
        </w:rPr>
        <w:t>13-107</w:t>
      </w:r>
    </w:p>
    <w:p w14:paraId="10553ABD" w14:textId="77777777" w:rsidR="00E3473F" w:rsidRDefault="00E3473F" w:rsidP="00E3473F">
      <w:pPr>
        <w:pStyle w:val="NormalWeb"/>
        <w:rPr>
          <w:rFonts w:ascii="Arial Black" w:hAnsi="Arial Black"/>
          <w:sz w:val="28"/>
          <w:szCs w:val="28"/>
        </w:rPr>
      </w:pPr>
      <w:r w:rsidRPr="004604BC">
        <w:rPr>
          <w:rFonts w:ascii="Arial Black" w:hAnsi="Arial Black"/>
          <w:sz w:val="28"/>
          <w:szCs w:val="28"/>
        </w:rPr>
        <w:t>CA:</w:t>
      </w:r>
      <w:r>
        <w:rPr>
          <w:rFonts w:ascii="Arial Black" w:hAnsi="Arial Black"/>
          <w:sz w:val="28"/>
          <w:szCs w:val="28"/>
        </w:rPr>
        <w:t xml:space="preserve"> ASPHYXIATION - PD MAN FACE DOWN – EMS USED BACKBORD 4 MIN. PRONE – NOT UNCONSTIT. IN 2017</w:t>
      </w:r>
    </w:p>
    <w:p w14:paraId="30BB0CAC" w14:textId="77777777" w:rsidR="00E3473F" w:rsidRDefault="00E3473F" w:rsidP="00E3473F">
      <w:pPr>
        <w:pStyle w:val="NormalWeb"/>
      </w:pPr>
      <w:r>
        <w:t xml:space="preserve">On March 17, 2022, in </w:t>
      </w:r>
      <w:r w:rsidRPr="004604BC">
        <w:rPr>
          <w:u w:val="single"/>
        </w:rPr>
        <w:t>Anthony Perez, et al, v. City of Fresno, et al.</w:t>
      </w:r>
      <w:r>
        <w:t xml:space="preserve">, U.S. Senior District Court Judge Anthony W. Ishii, U.S. District Court for Eastern District of California, granted summary judgment for all the defendants, including the two medics, and the police officers, the </w:t>
      </w:r>
      <w:proofErr w:type="gramStart"/>
      <w:r>
        <w:t>City</w:t>
      </w:r>
      <w:proofErr w:type="gramEnd"/>
      <w:r>
        <w:t xml:space="preserve">, and the County. Based on case law in 2017, a “reasonable paramedic would have known that [paramedic] Anderson's conduct was unconstitutional” under 14 Amendment due process clause. </w:t>
      </w:r>
      <w:hyperlink r:id="rId2258" w:history="1">
        <w:r w:rsidRPr="005A0566">
          <w:rPr>
            <w:rStyle w:val="Hyperlink"/>
            <w:rFonts w:eastAsiaTheme="majorEastAsia"/>
          </w:rPr>
          <w:t>https://public.fastcase.com/waZtJvSA54UAurM2rmIZzwvOxdABv7XvwmmlDXNvdvn51CTV3NslG6Rw0yioxZXL%2BjJOhhNAJF%2FpIN8S52jcKAcJWCdsLYpOkU1PQ4W0%2BbA%3D</w:t>
        </w:r>
      </w:hyperlink>
      <w:r>
        <w:t xml:space="preserve"> </w:t>
      </w:r>
    </w:p>
    <w:p w14:paraId="12E1FC2D" w14:textId="77777777" w:rsidR="00E3473F" w:rsidRDefault="00E3473F" w:rsidP="00E3473F">
      <w:pPr>
        <w:pStyle w:val="NormalWeb"/>
        <w:ind w:left="720"/>
      </w:pPr>
      <w:r>
        <w:t xml:space="preserve">“After the backboard was attached to Perez, Perez was turned over…. [Officer] Martinez estimated that Perez had been under the backboard for about four minutes before being turned over…. Paramedic Dines observed that Perez was unconscious and blueish in the face…. [Paramedic] Anderson stated that it did not appear that Perez was breathing….  </w:t>
      </w:r>
      <w:r>
        <w:rPr>
          <w:rStyle w:val="Emphasis"/>
        </w:rPr>
        <w:t>[O]</w:t>
      </w:r>
      <w:proofErr w:type="spellStart"/>
      <w:r>
        <w:t>nce</w:t>
      </w:r>
      <w:proofErr w:type="spellEnd"/>
      <w:r>
        <w:t xml:space="preserve"> Anderson and Dines saw that Perez was unconscious, they both testified that Anderson checked Perez's pulse and was unable to detect one…. Because Perez was blueish in the face and had no pulse, the paramedics initiated a cardiac arrest protocol….   Perez was placed on a gurney, moved inside the ambulance, and CPR was initiated….  Ortiz hooked Perez up to a heart monitor in the ambulance and he was asystole, i.e. without a heartbeat.   </w:t>
      </w:r>
    </w:p>
    <w:p w14:paraId="02940E16" w14:textId="77777777" w:rsidR="00E3473F" w:rsidRDefault="00E3473F" w:rsidP="00E3473F">
      <w:pPr>
        <w:pStyle w:val="NormalWeb"/>
        <w:ind w:left="720"/>
      </w:pPr>
      <w:r>
        <w:t>***</w:t>
      </w:r>
    </w:p>
    <w:p w14:paraId="04ED1D44" w14:textId="77777777" w:rsidR="00E3473F" w:rsidRDefault="00E3473F" w:rsidP="00E3473F">
      <w:pPr>
        <w:pStyle w:val="NormalWeb"/>
        <w:ind w:left="720"/>
      </w:pPr>
      <w:r>
        <w:t xml:space="preserve">With respect to Plaintiffs' claims that Anderson's conduct was obviously unconstitutional, the Court cannot agree. It is true, as Plaintiffs point out, that none of the AA [American Ambulance] personnel, County Deputies, or City Officers had ever seen a backboard placed on the back of a prone person. It is also true that Anderson himself recognized that placing a backboard on a prone individual is generally not a good idea because one of the possible dangers of that practice appears to have manifested in this </w:t>
      </w:r>
      <w:r>
        <w:lastRenderedPageBreak/>
        <w:t xml:space="preserve">case - asphyxiation. Nevertheless, Anderson was confronted with a § 5150 situation in which the call had been elevated from a Code Two (straight § 5150 situation) to a Code Three with combative behavior reported. </w:t>
      </w:r>
    </w:p>
    <w:p w14:paraId="178860D2" w14:textId="77777777" w:rsidR="00E3473F" w:rsidRDefault="00E3473F" w:rsidP="00E3473F">
      <w:pPr>
        <w:pStyle w:val="NormalWeb"/>
        <w:ind w:left="720"/>
      </w:pPr>
      <w:r>
        <w:t>***</w:t>
      </w:r>
    </w:p>
    <w:p w14:paraId="65F71BB7" w14:textId="77777777" w:rsidR="00E3473F" w:rsidRDefault="00E3473F" w:rsidP="00E3473F">
      <w:pPr>
        <w:pStyle w:val="NormalWeb"/>
        <w:ind w:left="720"/>
      </w:pPr>
      <w:r>
        <w:t xml:space="preserve">In sum, particularly </w:t>
      </w:r>
      <w:proofErr w:type="gramStart"/>
      <w:r>
        <w:t>in light of</w:t>
      </w:r>
      <w:proofErr w:type="gramEnd"/>
      <w:r>
        <w:t xml:space="preserve"> [prior court decisions], the law as it existed in May 2017 was not so clear that a reasonable paramedic would have known that Anderson's conduct was unconstitutional, and this is not a rare case in which the Anderson's behavior was obviously unconstitutional….  Therefore, the Court holds that Anderson is entitled to qualified immunity.” </w:t>
      </w:r>
      <w:hyperlink r:id="rId2259" w:history="1">
        <w:r w:rsidRPr="005A0566">
          <w:rPr>
            <w:rStyle w:val="Hyperlink"/>
            <w:rFonts w:eastAsiaTheme="majorEastAsia"/>
          </w:rPr>
          <w:t>https://public.fastcase.com/waZtJvSA54UAurM2rmIZzwvOxdABv7XvwmmlDXNvdvn51CTV3NslG6Rw0yioxZXL%2BjJOhhNAJF%2FpIN8S52jcKAcJWCdsLYpOkU1PQ4W0%2BbA%3D</w:t>
        </w:r>
      </w:hyperlink>
      <w:r>
        <w:t xml:space="preserve"> </w:t>
      </w:r>
    </w:p>
    <w:p w14:paraId="1AE2DC40" w14:textId="77777777" w:rsidR="00E3473F" w:rsidRPr="001635AD" w:rsidRDefault="00E3473F" w:rsidP="00E3473F">
      <w:pPr>
        <w:pStyle w:val="NormalWeb"/>
        <w:rPr>
          <w:b/>
          <w:bCs/>
        </w:rPr>
      </w:pPr>
      <w:r w:rsidRPr="001635AD">
        <w:rPr>
          <w:b/>
          <w:bCs/>
        </w:rPr>
        <w:t>Legal Lesson Learned:</w:t>
      </w:r>
      <w:r>
        <w:rPr>
          <w:b/>
          <w:bCs/>
        </w:rPr>
        <w:t xml:space="preserve"> Asphyxiation from person being held by police face down on the ground is well known concern.  EMS protocol should address avoiding leaving patient prone on a backboard; similar conduct in 2022 may not lead to dismissal of Federal constitutional rights lawsuit. </w:t>
      </w:r>
    </w:p>
    <w:p w14:paraId="143BD369" w14:textId="77777777" w:rsidR="00E3473F" w:rsidRDefault="00E3473F" w:rsidP="002B1283">
      <w:pPr>
        <w:rPr>
          <w:rFonts w:ascii="Arial Black" w:hAnsi="Arial Black"/>
          <w:b/>
          <w:bCs/>
          <w:sz w:val="28"/>
          <w:szCs w:val="28"/>
        </w:rPr>
      </w:pPr>
    </w:p>
    <w:p w14:paraId="4EFA6EEB" w14:textId="77777777" w:rsidR="00E3473F" w:rsidRDefault="00E3473F" w:rsidP="002B1283">
      <w:pPr>
        <w:rPr>
          <w:rFonts w:ascii="Arial Black" w:hAnsi="Arial Black"/>
          <w:b/>
          <w:bCs/>
          <w:sz w:val="28"/>
          <w:szCs w:val="28"/>
        </w:rPr>
      </w:pPr>
    </w:p>
    <w:p w14:paraId="19206F2D" w14:textId="77777777" w:rsidR="00E3473F" w:rsidRDefault="00E3473F" w:rsidP="002B1283">
      <w:pPr>
        <w:rPr>
          <w:rFonts w:ascii="Arial Black" w:hAnsi="Arial Black"/>
          <w:b/>
          <w:bCs/>
          <w:sz w:val="28"/>
          <w:szCs w:val="28"/>
        </w:rPr>
      </w:pPr>
    </w:p>
    <w:p w14:paraId="57F4EAC0" w14:textId="787E1CB6" w:rsidR="00E3473F" w:rsidRDefault="00E3473F" w:rsidP="002B1283">
      <w:pPr>
        <w:rPr>
          <w:rFonts w:ascii="Arial Black" w:hAnsi="Arial Black"/>
          <w:b/>
          <w:bCs/>
          <w:sz w:val="28"/>
          <w:szCs w:val="28"/>
        </w:rPr>
      </w:pPr>
      <w:r>
        <w:rPr>
          <w:rFonts w:ascii="Arial Black" w:hAnsi="Arial Black"/>
          <w:b/>
          <w:bCs/>
          <w:sz w:val="28"/>
          <w:szCs w:val="28"/>
        </w:rPr>
        <w:t>13-106</w:t>
      </w:r>
    </w:p>
    <w:p w14:paraId="1E273322" w14:textId="77777777" w:rsidR="00E3473F" w:rsidRDefault="00E3473F" w:rsidP="00E3473F">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NJ: EMT FIRED AFTER COMPLAINED ABOUT PD FORCING PATIENT AMBULANCE – RETALIATION CASE REINSTATED</w:t>
      </w:r>
    </w:p>
    <w:p w14:paraId="60E14E7B" w14:textId="77777777" w:rsidR="00E3473F" w:rsidRPr="00DA11E3" w:rsidRDefault="00E3473F" w:rsidP="00E3473F">
      <w:pPr>
        <w:spacing w:before="100" w:beforeAutospacing="1" w:after="100" w:afterAutospacing="1" w:line="240" w:lineRule="auto"/>
        <w:rPr>
          <w:rFonts w:ascii="Times New Roman" w:hAnsi="Times New Roman"/>
          <w:sz w:val="24"/>
          <w:szCs w:val="24"/>
        </w:rPr>
      </w:pPr>
      <w:r w:rsidRPr="000A1E15">
        <w:rPr>
          <w:rFonts w:ascii="Times New Roman" w:eastAsia="Times New Roman" w:hAnsi="Times New Roman"/>
          <w:sz w:val="24"/>
          <w:szCs w:val="24"/>
        </w:rPr>
        <w:t xml:space="preserve">On </w:t>
      </w:r>
      <w:r>
        <w:rPr>
          <w:rFonts w:ascii="Times New Roman" w:eastAsia="Times New Roman" w:hAnsi="Times New Roman"/>
          <w:sz w:val="24"/>
          <w:szCs w:val="24"/>
        </w:rPr>
        <w:t xml:space="preserve">March 14, 2022, in </w:t>
      </w:r>
      <w:r w:rsidRPr="008C0733">
        <w:rPr>
          <w:rFonts w:ascii="Times New Roman" w:eastAsia="Times New Roman" w:hAnsi="Times New Roman"/>
          <w:sz w:val="24"/>
          <w:szCs w:val="24"/>
          <w:u w:val="single"/>
        </w:rPr>
        <w:t>Amara Sepulveda and Louis Deleon v, Township of North Bergen and Deputy Chief Prina</w:t>
      </w:r>
      <w:r>
        <w:rPr>
          <w:rFonts w:ascii="Times New Roman" w:eastAsia="Times New Roman" w:hAnsi="Times New Roman"/>
          <w:sz w:val="24"/>
          <w:szCs w:val="24"/>
        </w:rPr>
        <w:t xml:space="preserve">, the Superior Court of New Jersey, Appellate Division, held (3 to 0) in an unpublished decision that EMT Deleon’s complaint that he was fired in retaliation for reporting police misconduct in violation of the </w:t>
      </w:r>
      <w:r w:rsidRPr="008C0733">
        <w:rPr>
          <w:rFonts w:ascii="Times New Roman" w:hAnsi="Times New Roman"/>
          <w:sz w:val="24"/>
          <w:szCs w:val="24"/>
        </w:rPr>
        <w:t>Conscientious Employee Protection Act (CEPA</w:t>
      </w:r>
      <w:r>
        <w:rPr>
          <w:rFonts w:ascii="Times New Roman" w:hAnsi="Times New Roman"/>
          <w:sz w:val="24"/>
          <w:szCs w:val="24"/>
        </w:rPr>
        <w:t xml:space="preserve">) is reinstated.  EMT Sepulveda is dismissed from the lawsuit since she didn’t make </w:t>
      </w:r>
      <w:proofErr w:type="gramStart"/>
      <w:r>
        <w:rPr>
          <w:rFonts w:ascii="Times New Roman" w:hAnsi="Times New Roman"/>
          <w:sz w:val="24"/>
          <w:szCs w:val="24"/>
        </w:rPr>
        <w:t>report</w:t>
      </w:r>
      <w:proofErr w:type="gramEnd"/>
      <w:r>
        <w:rPr>
          <w:rFonts w:ascii="Times New Roman" w:hAnsi="Times New Roman"/>
          <w:sz w:val="24"/>
          <w:szCs w:val="24"/>
        </w:rPr>
        <w:t xml:space="preserve"> of police misconduct and then resigned from the Township EMS Department.  On remand, the trial court must provide EMT Deleon with a hearing. </w:t>
      </w:r>
      <w:hyperlink r:id="rId2260" w:history="1">
        <w:r w:rsidRPr="002477AB">
          <w:rPr>
            <w:rStyle w:val="Hyperlink"/>
            <w:rFonts w:ascii="Times New Roman" w:hAnsi="Times New Roman"/>
            <w:sz w:val="24"/>
            <w:szCs w:val="24"/>
          </w:rPr>
          <w:t>https://public.fastcase.com/waZtJvSA54UAurM2rmIZzwN7i243%2F%2BStZpHYDBkc8sGpJscx%2FQQ27pdU9Jjrp4oC%2BDoaG82WuBlPphdis3f1N3UPtlVqun2jEuCWxYyqQWw%3D</w:t>
        </w:r>
      </w:hyperlink>
      <w:r>
        <w:rPr>
          <w:rFonts w:ascii="Times New Roman" w:hAnsi="Times New Roman"/>
          <w:sz w:val="24"/>
          <w:szCs w:val="24"/>
        </w:rPr>
        <w:t xml:space="preserve"> </w:t>
      </w:r>
    </w:p>
    <w:p w14:paraId="3E8CA830" w14:textId="77777777" w:rsidR="00E3473F" w:rsidRDefault="00E3473F" w:rsidP="00E3473F">
      <w:pPr>
        <w:spacing w:before="100" w:beforeAutospacing="1" w:after="100" w:afterAutospacing="1" w:line="240" w:lineRule="auto"/>
        <w:ind w:left="720"/>
        <w:rPr>
          <w:rFonts w:ascii="Times New Roman" w:hAnsi="Times New Roman"/>
          <w:sz w:val="24"/>
          <w:szCs w:val="24"/>
        </w:rPr>
      </w:pPr>
      <w:r>
        <w:t>“</w:t>
      </w:r>
      <w:r w:rsidRPr="00DE51FF">
        <w:rPr>
          <w:rFonts w:ascii="Times New Roman" w:hAnsi="Times New Roman"/>
          <w:sz w:val="24"/>
          <w:szCs w:val="24"/>
        </w:rPr>
        <w:t xml:space="preserve">The </w:t>
      </w:r>
      <w:r>
        <w:rPr>
          <w:rFonts w:ascii="Times New Roman" w:hAnsi="Times New Roman"/>
          <w:sz w:val="24"/>
          <w:szCs w:val="24"/>
        </w:rPr>
        <w:t xml:space="preserve">[trial] </w:t>
      </w:r>
      <w:r w:rsidRPr="00DE51FF">
        <w:rPr>
          <w:rFonts w:ascii="Times New Roman" w:hAnsi="Times New Roman"/>
          <w:sz w:val="24"/>
          <w:szCs w:val="24"/>
        </w:rPr>
        <w:t xml:space="preserve">court granted defendants' motion without oral argument, despite plaintiffs' request. In a nine-page written opinion, the court explained that the motion record failed to create a genuine issue of material </w:t>
      </w:r>
      <w:proofErr w:type="gramStart"/>
      <w:r w:rsidRPr="00DE51FF">
        <w:rPr>
          <w:rFonts w:ascii="Times New Roman" w:hAnsi="Times New Roman"/>
          <w:sz w:val="24"/>
          <w:szCs w:val="24"/>
        </w:rPr>
        <w:t>fact</w:t>
      </w:r>
      <w:proofErr w:type="gramEnd"/>
      <w:r w:rsidRPr="00DE51FF">
        <w:rPr>
          <w:rFonts w:ascii="Times New Roman" w:hAnsi="Times New Roman"/>
          <w:sz w:val="24"/>
          <w:szCs w:val="24"/>
        </w:rPr>
        <w:t xml:space="preserve"> as to whether plaintiffs engaged in CEPA protected conduct. The court reasoned that the </w:t>
      </w:r>
      <w:r>
        <w:rPr>
          <w:rFonts w:ascii="Times New Roman" w:hAnsi="Times New Roman"/>
          <w:sz w:val="24"/>
          <w:szCs w:val="24"/>
        </w:rPr>
        <w:t>‘</w:t>
      </w:r>
      <w:r w:rsidRPr="00DE51FF">
        <w:rPr>
          <w:rFonts w:ascii="Times New Roman" w:hAnsi="Times New Roman"/>
          <w:sz w:val="24"/>
          <w:szCs w:val="24"/>
        </w:rPr>
        <w:t xml:space="preserve">broad stroke </w:t>
      </w:r>
      <w:proofErr w:type="gramStart"/>
      <w:r w:rsidRPr="00DE51FF">
        <w:rPr>
          <w:rFonts w:ascii="Times New Roman" w:hAnsi="Times New Roman"/>
          <w:sz w:val="24"/>
          <w:szCs w:val="24"/>
        </w:rPr>
        <w:t>claims</w:t>
      </w:r>
      <w:r>
        <w:rPr>
          <w:rFonts w:ascii="Times New Roman" w:hAnsi="Times New Roman"/>
          <w:sz w:val="24"/>
          <w:szCs w:val="24"/>
        </w:rPr>
        <w:t>’</w:t>
      </w:r>
      <w:proofErr w:type="gramEnd"/>
      <w:r w:rsidRPr="00DE51FF">
        <w:rPr>
          <w:rFonts w:ascii="Times New Roman" w:hAnsi="Times New Roman"/>
          <w:sz w:val="24"/>
          <w:szCs w:val="24"/>
        </w:rPr>
        <w:t xml:space="preserve"> of illegal conduct amounted to mere </w:t>
      </w:r>
      <w:r>
        <w:rPr>
          <w:rFonts w:ascii="Times New Roman" w:hAnsi="Times New Roman"/>
          <w:sz w:val="24"/>
          <w:szCs w:val="24"/>
        </w:rPr>
        <w:t>‘</w:t>
      </w:r>
      <w:r w:rsidRPr="00DE51FF">
        <w:rPr>
          <w:rFonts w:ascii="Times New Roman" w:hAnsi="Times New Roman"/>
          <w:sz w:val="24"/>
          <w:szCs w:val="24"/>
        </w:rPr>
        <w:t>disagreements</w:t>
      </w:r>
      <w:r>
        <w:rPr>
          <w:rFonts w:ascii="Times New Roman" w:hAnsi="Times New Roman"/>
          <w:sz w:val="24"/>
          <w:szCs w:val="24"/>
        </w:rPr>
        <w:t>’</w:t>
      </w:r>
      <w:r w:rsidRPr="00DE51FF">
        <w:rPr>
          <w:rFonts w:ascii="Times New Roman" w:hAnsi="Times New Roman"/>
          <w:sz w:val="24"/>
          <w:szCs w:val="24"/>
        </w:rPr>
        <w:t xml:space="preserve"> between the police and the EMTs </w:t>
      </w:r>
      <w:r>
        <w:rPr>
          <w:rFonts w:ascii="Times New Roman" w:hAnsi="Times New Roman"/>
          <w:sz w:val="24"/>
          <w:szCs w:val="24"/>
        </w:rPr>
        <w:t>‘</w:t>
      </w:r>
      <w:r w:rsidRPr="00DE51FF">
        <w:rPr>
          <w:rFonts w:ascii="Times New Roman" w:hAnsi="Times New Roman"/>
          <w:sz w:val="24"/>
          <w:szCs w:val="24"/>
        </w:rPr>
        <w:t>about whether F.A. required medical assistance,</w:t>
      </w:r>
      <w:r>
        <w:rPr>
          <w:rFonts w:ascii="Times New Roman" w:hAnsi="Times New Roman"/>
          <w:sz w:val="24"/>
          <w:szCs w:val="24"/>
        </w:rPr>
        <w:t xml:space="preserve">’ </w:t>
      </w:r>
      <w:r w:rsidRPr="00DE51FF">
        <w:rPr>
          <w:rFonts w:ascii="Times New Roman" w:hAnsi="Times New Roman"/>
          <w:sz w:val="24"/>
          <w:szCs w:val="24"/>
        </w:rPr>
        <w:t>which "is not protected activity within the meaning of CEPA.</w:t>
      </w:r>
      <w:r>
        <w:rPr>
          <w:rFonts w:ascii="Times New Roman" w:hAnsi="Times New Roman"/>
          <w:sz w:val="24"/>
          <w:szCs w:val="24"/>
        </w:rPr>
        <w:t>’</w:t>
      </w:r>
    </w:p>
    <w:p w14:paraId="351D1BAB" w14:textId="77777777" w:rsidR="00E3473F" w:rsidRDefault="00E3473F" w:rsidP="00E3473F">
      <w:pPr>
        <w:spacing w:before="100" w:beforeAutospacing="1" w:after="100" w:afterAutospacing="1" w:line="240" w:lineRule="auto"/>
        <w:ind w:left="720"/>
      </w:pPr>
      <w:r>
        <w:rPr>
          <w:rFonts w:ascii="Times New Roman" w:hAnsi="Times New Roman"/>
          <w:sz w:val="24"/>
          <w:szCs w:val="24"/>
        </w:rPr>
        <w:t>***</w:t>
      </w:r>
    </w:p>
    <w:p w14:paraId="38BB4DFB" w14:textId="77777777" w:rsidR="00E3473F" w:rsidRDefault="00E3473F" w:rsidP="00E3473F">
      <w:pPr>
        <w:spacing w:before="100" w:beforeAutospacing="1" w:after="100" w:afterAutospacing="1" w:line="240" w:lineRule="auto"/>
        <w:ind w:left="720"/>
        <w:rPr>
          <w:rFonts w:ascii="Times New Roman" w:hAnsi="Times New Roman"/>
          <w:sz w:val="24"/>
          <w:szCs w:val="24"/>
        </w:rPr>
      </w:pPr>
      <w:proofErr w:type="gramStart"/>
      <w:r w:rsidRPr="00F867E4">
        <w:rPr>
          <w:rFonts w:ascii="Times New Roman" w:hAnsi="Times New Roman"/>
          <w:sz w:val="24"/>
          <w:szCs w:val="24"/>
        </w:rPr>
        <w:t>For the reasons that</w:t>
      </w:r>
      <w:proofErr w:type="gramEnd"/>
      <w:r w:rsidRPr="00F867E4">
        <w:rPr>
          <w:rFonts w:ascii="Times New Roman" w:hAnsi="Times New Roman"/>
          <w:sz w:val="24"/>
          <w:szCs w:val="24"/>
        </w:rPr>
        <w:t xml:space="preserve"> follow, we are satisfied that the motion record contains disputed issues of material fact sufficient to establish a prima facie case of retaliation under CEPA as it related to DeLeon. We reach a contrary conclusion as to Sepulveda. As to her claim, it was undisputed that she never reported </w:t>
      </w:r>
      <w:r w:rsidRPr="00F867E4">
        <w:rPr>
          <w:rFonts w:ascii="Times New Roman" w:hAnsi="Times New Roman"/>
          <w:sz w:val="24"/>
          <w:szCs w:val="24"/>
        </w:rPr>
        <w:lastRenderedPageBreak/>
        <w:t>the incident to her superiors. We also note she resigned voluntarily, based upon speculative future conduct by the Township's police department.</w:t>
      </w:r>
    </w:p>
    <w:p w14:paraId="04AB6E61" w14:textId="77777777" w:rsidR="00E3473F" w:rsidRDefault="00E3473F" w:rsidP="00E3473F">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p>
    <w:p w14:paraId="4699224B" w14:textId="3FB62AB2" w:rsidR="00E3473F" w:rsidRDefault="00E3473F" w:rsidP="00E3473F">
      <w:pPr>
        <w:rPr>
          <w:rFonts w:ascii="Arial Black" w:hAnsi="Arial Black"/>
          <w:b/>
          <w:bCs/>
          <w:sz w:val="28"/>
          <w:szCs w:val="28"/>
        </w:rPr>
      </w:pPr>
      <w:r w:rsidRPr="00DA11E3">
        <w:rPr>
          <w:rFonts w:ascii="Times New Roman" w:hAnsi="Times New Roman"/>
          <w:sz w:val="24"/>
          <w:szCs w:val="24"/>
        </w:rPr>
        <w:t xml:space="preserve">Both plaintiffs testified at their depositions that they had learned </w:t>
      </w:r>
      <w:proofErr w:type="gramStart"/>
      <w:r w:rsidRPr="00DA11E3">
        <w:rPr>
          <w:rFonts w:ascii="Times New Roman" w:hAnsi="Times New Roman"/>
          <w:sz w:val="24"/>
          <w:szCs w:val="24"/>
        </w:rPr>
        <w:t>in the course of</w:t>
      </w:r>
      <w:proofErr w:type="gramEnd"/>
      <w:r w:rsidRPr="00DA11E3">
        <w:rPr>
          <w:rFonts w:ascii="Times New Roman" w:hAnsi="Times New Roman"/>
          <w:sz w:val="24"/>
          <w:szCs w:val="24"/>
        </w:rPr>
        <w:t xml:space="preserve"> their formal training that transporting a patient against his or her will is illegal and tantamount to kidnapping and or assault under New Jersey law. When the North Bergen police forced plaintiffs to ferry F.A. to the hospital against his wishes, plaintiffs allege they had a reasonable belief that such actions violated the false imprisonment statute as well as New Jersey's public policy protecting a competent patient's right to refuse medical treatment.</w:t>
      </w:r>
      <w:r>
        <w:rPr>
          <w:rFonts w:ascii="Times New Roman" w:hAnsi="Times New Roman"/>
          <w:sz w:val="24"/>
          <w:szCs w:val="24"/>
        </w:rPr>
        <w:t xml:space="preserve">” </w:t>
      </w:r>
      <w:hyperlink r:id="rId2261" w:history="1">
        <w:r w:rsidRPr="002477AB">
          <w:rPr>
            <w:rStyle w:val="Hyperlink"/>
            <w:rFonts w:ascii="Times New Roman" w:hAnsi="Times New Roman"/>
            <w:sz w:val="24"/>
            <w:szCs w:val="24"/>
          </w:rPr>
          <w:t>https://public.fastcase.com/waZtJvSA54UAurM2rmIZzwN7i243%2F%2BStZpHYDBkc8sGpJscx%2FQQ27pdU9Jjrp4oC%2BDoaG82WuBlPphdis3f1N3UPtlVqun2jEuCWxYyqQWw%3D</w:t>
        </w:r>
      </w:hyperlink>
    </w:p>
    <w:p w14:paraId="2212FCCC" w14:textId="77777777" w:rsidR="00E3473F" w:rsidRDefault="00E3473F" w:rsidP="00E3473F">
      <w:pPr>
        <w:spacing w:before="100" w:beforeAutospacing="1" w:after="100" w:afterAutospacing="1" w:line="240" w:lineRule="auto"/>
        <w:rPr>
          <w:rFonts w:ascii="Times New Roman" w:hAnsi="Times New Roman"/>
          <w:b/>
          <w:bCs/>
          <w:sz w:val="24"/>
          <w:szCs w:val="24"/>
        </w:rPr>
      </w:pPr>
      <w:r w:rsidRPr="0049327E">
        <w:rPr>
          <w:rFonts w:ascii="Times New Roman" w:hAnsi="Times New Roman"/>
          <w:b/>
          <w:bCs/>
          <w:sz w:val="24"/>
          <w:szCs w:val="24"/>
        </w:rPr>
        <w:t>Legal Lesson Learned:</w:t>
      </w:r>
      <w:r>
        <w:rPr>
          <w:rFonts w:ascii="Times New Roman" w:hAnsi="Times New Roman"/>
          <w:b/>
          <w:bCs/>
          <w:sz w:val="24"/>
          <w:szCs w:val="24"/>
        </w:rPr>
        <w:t xml:space="preserve"> Unfortunate dispute at the scene between police and EMS; time for PD and EMS management to jointly review patient transport protocols. </w:t>
      </w:r>
    </w:p>
    <w:p w14:paraId="4D78D8DA" w14:textId="77777777" w:rsidR="00E3473F" w:rsidRDefault="00E3473F" w:rsidP="00E3473F">
      <w:pPr>
        <w:pStyle w:val="Heading1"/>
        <w:ind w:left="720"/>
      </w:pPr>
      <w:r>
        <w:rPr>
          <w:b w:val="0"/>
          <w:bCs w:val="0"/>
          <w:sz w:val="24"/>
          <w:szCs w:val="24"/>
        </w:rPr>
        <w:t xml:space="preserve">Note: See the article when lawsuit </w:t>
      </w:r>
      <w:proofErr w:type="gramStart"/>
      <w:r>
        <w:rPr>
          <w:b w:val="0"/>
          <w:bCs w:val="0"/>
          <w:sz w:val="24"/>
          <w:szCs w:val="24"/>
        </w:rPr>
        <w:t>was</w:t>
      </w:r>
      <w:proofErr w:type="gramEnd"/>
      <w:r>
        <w:rPr>
          <w:b w:val="0"/>
          <w:bCs w:val="0"/>
          <w:sz w:val="24"/>
          <w:szCs w:val="24"/>
        </w:rPr>
        <w:t xml:space="preserve"> filed. Aug. 22, 2018, “</w:t>
      </w:r>
      <w:r w:rsidRPr="00DE51FF">
        <w:rPr>
          <w:b w:val="0"/>
          <w:bCs w:val="0"/>
          <w:sz w:val="24"/>
          <w:szCs w:val="24"/>
        </w:rPr>
        <w:t>2 ex-North Bergen EMS workers file wrongful termination suit against township, deputy EMS chief</w:t>
      </w:r>
      <w:r>
        <w:rPr>
          <w:b w:val="0"/>
          <w:bCs w:val="0"/>
          <w:sz w:val="24"/>
          <w:szCs w:val="24"/>
        </w:rPr>
        <w:t>.”</w:t>
      </w:r>
      <w:r>
        <w:t xml:space="preserve"> </w:t>
      </w:r>
      <w:hyperlink r:id="rId2262" w:history="1">
        <w:r w:rsidRPr="00DE51FF">
          <w:rPr>
            <w:rStyle w:val="Hyperlink"/>
            <w:rFonts w:eastAsiaTheme="majorEastAsia"/>
            <w:b w:val="0"/>
            <w:bCs w:val="0"/>
            <w:sz w:val="24"/>
            <w:szCs w:val="24"/>
          </w:rPr>
          <w:t>https://hudsoncountyview.com/2-ex-north-bergen-ems-workers-file-wrongful-termination-suit-against-township-deputy-ems-chief/</w:t>
        </w:r>
      </w:hyperlink>
      <w:r>
        <w:t xml:space="preserve"> </w:t>
      </w:r>
    </w:p>
    <w:p w14:paraId="1C82742F" w14:textId="77777777" w:rsidR="00E3473F" w:rsidRDefault="00E3473F" w:rsidP="002B1283">
      <w:pPr>
        <w:rPr>
          <w:rFonts w:ascii="Arial Black" w:hAnsi="Arial Black"/>
          <w:b/>
          <w:bCs/>
          <w:sz w:val="28"/>
          <w:szCs w:val="28"/>
        </w:rPr>
      </w:pPr>
    </w:p>
    <w:p w14:paraId="0A70D44A" w14:textId="77777777" w:rsidR="00E3473F" w:rsidRDefault="00E3473F" w:rsidP="002B1283">
      <w:pPr>
        <w:rPr>
          <w:rFonts w:ascii="Arial Black" w:hAnsi="Arial Black"/>
          <w:b/>
          <w:bCs/>
          <w:sz w:val="28"/>
          <w:szCs w:val="28"/>
        </w:rPr>
      </w:pPr>
    </w:p>
    <w:p w14:paraId="253FF7D2" w14:textId="77777777" w:rsidR="00E3473F" w:rsidRDefault="00E3473F" w:rsidP="002B1283">
      <w:pPr>
        <w:rPr>
          <w:rFonts w:ascii="Arial Black" w:hAnsi="Arial Black"/>
          <w:b/>
          <w:bCs/>
          <w:sz w:val="28"/>
          <w:szCs w:val="28"/>
        </w:rPr>
      </w:pPr>
    </w:p>
    <w:p w14:paraId="79D9AD8F" w14:textId="258CCA77" w:rsidR="00D55139" w:rsidRPr="00D55139" w:rsidRDefault="00D55139" w:rsidP="002B1283">
      <w:pPr>
        <w:rPr>
          <w:rFonts w:ascii="Times New Roman" w:hAnsi="Times New Roman"/>
          <w:sz w:val="24"/>
          <w:szCs w:val="24"/>
        </w:rPr>
      </w:pPr>
      <w:r>
        <w:rPr>
          <w:rFonts w:ascii="Arial Black" w:hAnsi="Arial Black"/>
          <w:b/>
          <w:bCs/>
          <w:sz w:val="28"/>
          <w:szCs w:val="28"/>
        </w:rPr>
        <w:t xml:space="preserve">13-105 </w:t>
      </w:r>
      <w:r>
        <w:rPr>
          <w:rFonts w:ascii="Times New Roman" w:hAnsi="Times New Roman"/>
          <w:sz w:val="24"/>
          <w:szCs w:val="24"/>
        </w:rPr>
        <w:t>[also filed Chap. 16]</w:t>
      </w:r>
    </w:p>
    <w:p w14:paraId="692CAE83" w14:textId="77777777" w:rsidR="00D55139" w:rsidRPr="006C2163" w:rsidRDefault="00D55139" w:rsidP="00D55139">
      <w:pPr>
        <w:spacing w:before="100" w:beforeAutospacing="1" w:after="100" w:afterAutospacing="1" w:line="240" w:lineRule="auto"/>
        <w:rPr>
          <w:rFonts w:ascii="Arial Black" w:eastAsia="Times New Roman" w:hAnsi="Arial Black"/>
          <w:b/>
          <w:bCs/>
          <w:sz w:val="28"/>
          <w:szCs w:val="28"/>
        </w:rPr>
      </w:pPr>
      <w:bookmarkStart w:id="444" w:name="_Hlk94625731"/>
      <w:r>
        <w:rPr>
          <w:rFonts w:ascii="Arial Black" w:eastAsia="Times New Roman" w:hAnsi="Arial Black"/>
          <w:b/>
          <w:bCs/>
          <w:sz w:val="28"/>
          <w:szCs w:val="28"/>
        </w:rPr>
        <w:t xml:space="preserve">DE: PARAMEDIC LICENSE SUSPENDED – PLED GUILTY - </w:t>
      </w:r>
      <w:r w:rsidRPr="006C2163">
        <w:rPr>
          <w:rFonts w:ascii="Arial Black" w:eastAsia="Times New Roman" w:hAnsi="Arial Black"/>
          <w:sz w:val="28"/>
          <w:szCs w:val="28"/>
        </w:rPr>
        <w:t>T</w:t>
      </w:r>
      <w:r>
        <w:rPr>
          <w:rFonts w:ascii="Arial Black" w:eastAsia="Times New Roman" w:hAnsi="Arial Black"/>
          <w:sz w:val="28"/>
          <w:szCs w:val="28"/>
        </w:rPr>
        <w:t xml:space="preserve">RESPASS INTENT PEER (PEERING ON SEPERATED WIFE) </w:t>
      </w:r>
    </w:p>
    <w:p w14:paraId="722FC91A" w14:textId="77777777" w:rsidR="00D55139" w:rsidRDefault="00D55139" w:rsidP="00D55139">
      <w:pPr>
        <w:spacing w:before="100" w:beforeAutospacing="1" w:after="100" w:afterAutospacing="1" w:line="240" w:lineRule="auto"/>
        <w:rPr>
          <w:rFonts w:ascii="Times New Roman" w:eastAsia="Times New Roman" w:hAnsi="Times New Roman"/>
          <w:sz w:val="24"/>
          <w:szCs w:val="24"/>
        </w:rPr>
      </w:pPr>
      <w:r w:rsidRPr="00280A60">
        <w:rPr>
          <w:rFonts w:ascii="Times New Roman" w:eastAsia="Times New Roman" w:hAnsi="Times New Roman"/>
          <w:sz w:val="24"/>
          <w:szCs w:val="24"/>
        </w:rPr>
        <w:t xml:space="preserve">On </w:t>
      </w:r>
      <w:r>
        <w:rPr>
          <w:rFonts w:ascii="Times New Roman" w:eastAsia="Times New Roman" w:hAnsi="Times New Roman"/>
          <w:sz w:val="24"/>
          <w:szCs w:val="24"/>
        </w:rPr>
        <w:t xml:space="preserve">Jan. 26, 2022, in </w:t>
      </w:r>
      <w:r w:rsidRPr="00280A60">
        <w:rPr>
          <w:rFonts w:ascii="Times New Roman" w:eastAsia="Times New Roman" w:hAnsi="Times New Roman"/>
          <w:sz w:val="24"/>
          <w:szCs w:val="24"/>
          <w:u w:val="single"/>
        </w:rPr>
        <w:t xml:space="preserve">Kevin Imhoff v. Delaware Board of Medical Licensure </w:t>
      </w:r>
      <w:r>
        <w:rPr>
          <w:rFonts w:ascii="Times New Roman" w:eastAsia="Times New Roman" w:hAnsi="Times New Roman"/>
          <w:sz w:val="24"/>
          <w:szCs w:val="24"/>
          <w:u w:val="single"/>
        </w:rPr>
        <w:t>a</w:t>
      </w:r>
      <w:r w:rsidRPr="00280A60">
        <w:rPr>
          <w:rFonts w:ascii="Times New Roman" w:eastAsia="Times New Roman" w:hAnsi="Times New Roman"/>
          <w:sz w:val="24"/>
          <w:szCs w:val="24"/>
          <w:u w:val="single"/>
        </w:rPr>
        <w:t>nd Discipline</w:t>
      </w:r>
      <w:r>
        <w:rPr>
          <w:rFonts w:ascii="Times New Roman" w:eastAsia="Times New Roman" w:hAnsi="Times New Roman"/>
          <w:sz w:val="24"/>
          <w:szCs w:val="24"/>
        </w:rPr>
        <w:t xml:space="preserve">, Judge Noel Primos of the he Superior Court of Delaware upheld the suspension of the paramedic’s license but remanded to case for Board to possibly reduce the 2-year suspension for failure to timely report his plea of guilty. In September 2019 he pled guilty to Criminal Mischief, Violation of Privacy, and Trespass with Intent to Peer or Peep, but didn’t report this within 30 days to the Board (apparently on bad advice of his criminal defense attorney).  In May 2020, when renewing his license, he reported the convictions. </w:t>
      </w:r>
      <w:hyperlink r:id="rId2263" w:history="1">
        <w:r w:rsidRPr="00A83547">
          <w:rPr>
            <w:rStyle w:val="Hyperlink"/>
            <w:rFonts w:ascii="Times New Roman" w:hAnsi="Times New Roman"/>
            <w:sz w:val="24"/>
            <w:szCs w:val="24"/>
          </w:rPr>
          <w:t>https://casetext.com/case/imhof-v-del-bd-of-med-licensure-discipline</w:t>
        </w:r>
      </w:hyperlink>
    </w:p>
    <w:p w14:paraId="757BE01D" w14:textId="77777777" w:rsidR="00D55139" w:rsidRPr="007B6144" w:rsidRDefault="00D55139" w:rsidP="00D55139">
      <w:pPr>
        <w:spacing w:before="100" w:beforeAutospacing="1" w:after="100" w:afterAutospacing="1" w:line="240" w:lineRule="auto"/>
        <w:jc w:val="both"/>
        <w:rPr>
          <w:rStyle w:val="markedcontent"/>
          <w:rFonts w:ascii="Times New Roman" w:hAnsi="Times New Roman"/>
          <w:b/>
          <w:bCs/>
          <w:sz w:val="24"/>
          <w:szCs w:val="24"/>
        </w:rPr>
      </w:pPr>
      <w:bookmarkStart w:id="445" w:name="_Hlk94625748"/>
      <w:bookmarkEnd w:id="444"/>
      <w:r w:rsidRPr="007B6144">
        <w:rPr>
          <w:rStyle w:val="markedcontent"/>
          <w:rFonts w:ascii="Times New Roman" w:hAnsi="Times New Roman"/>
          <w:b/>
          <w:bCs/>
          <w:sz w:val="24"/>
          <w:szCs w:val="24"/>
        </w:rPr>
        <w:t xml:space="preserve">Legal Lesson Learned: </w:t>
      </w:r>
      <w:r>
        <w:rPr>
          <w:rStyle w:val="markedcontent"/>
          <w:rFonts w:ascii="Times New Roman" w:hAnsi="Times New Roman"/>
          <w:b/>
          <w:bCs/>
          <w:sz w:val="24"/>
          <w:szCs w:val="24"/>
        </w:rPr>
        <w:t>Criminal misconduct can lead to suspension of EMS license.</w:t>
      </w:r>
    </w:p>
    <w:bookmarkEnd w:id="445"/>
    <w:p w14:paraId="063380C6" w14:textId="77777777" w:rsidR="00D55139" w:rsidRDefault="00D55139" w:rsidP="002B1283">
      <w:pPr>
        <w:rPr>
          <w:rFonts w:ascii="Arial Black" w:hAnsi="Arial Black"/>
          <w:b/>
          <w:bCs/>
          <w:sz w:val="28"/>
          <w:szCs w:val="28"/>
        </w:rPr>
      </w:pPr>
    </w:p>
    <w:p w14:paraId="33FC9217" w14:textId="2EE444E3" w:rsidR="009A3D9F" w:rsidRDefault="009A3D9F" w:rsidP="002B1283">
      <w:pPr>
        <w:rPr>
          <w:rFonts w:ascii="Arial Black" w:hAnsi="Arial Black"/>
          <w:b/>
          <w:bCs/>
          <w:sz w:val="28"/>
          <w:szCs w:val="28"/>
        </w:rPr>
      </w:pPr>
      <w:r>
        <w:rPr>
          <w:rFonts w:ascii="Arial Black" w:hAnsi="Arial Black"/>
          <w:b/>
          <w:bCs/>
          <w:sz w:val="28"/>
          <w:szCs w:val="28"/>
        </w:rPr>
        <w:t>13-104</w:t>
      </w:r>
    </w:p>
    <w:p w14:paraId="347378CC" w14:textId="77777777" w:rsidR="00BD3FE4" w:rsidRPr="006122C5" w:rsidRDefault="00BD3FE4" w:rsidP="00BD3FE4">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lastRenderedPageBreak/>
        <w:t>OH: AMBULANCE AIR HORN MISTAKENLY BLASTED – CIVILIAN HEARING LOSS - EMPLOYER MAY BE SUED</w:t>
      </w:r>
    </w:p>
    <w:p w14:paraId="4CEE036C" w14:textId="77777777" w:rsidR="00BD3FE4" w:rsidRDefault="00BD3FE4" w:rsidP="00BD3FE4">
      <w:pPr>
        <w:spacing w:before="100" w:beforeAutospacing="1" w:after="100" w:afterAutospacing="1" w:line="240" w:lineRule="auto"/>
        <w:rPr>
          <w:rFonts w:ascii="Times New Roman" w:eastAsia="Times New Roman" w:hAnsi="Times New Roman"/>
          <w:sz w:val="24"/>
          <w:szCs w:val="24"/>
        </w:rPr>
      </w:pPr>
      <w:r w:rsidRPr="00B12365">
        <w:rPr>
          <w:rFonts w:ascii="Times New Roman" w:eastAsia="Times New Roman" w:hAnsi="Times New Roman"/>
          <w:sz w:val="24"/>
          <w:szCs w:val="24"/>
        </w:rPr>
        <w:t xml:space="preserve">On </w:t>
      </w:r>
      <w:r>
        <w:rPr>
          <w:rFonts w:ascii="Times New Roman" w:eastAsia="Times New Roman" w:hAnsi="Times New Roman"/>
          <w:sz w:val="24"/>
          <w:szCs w:val="24"/>
        </w:rPr>
        <w:t xml:space="preserve">Jan. 19, 2022, in </w:t>
      </w:r>
      <w:r w:rsidRPr="00B12365">
        <w:rPr>
          <w:rFonts w:ascii="Times New Roman" w:eastAsia="Times New Roman" w:hAnsi="Times New Roman"/>
          <w:sz w:val="24"/>
          <w:szCs w:val="24"/>
          <w:u w:val="single"/>
        </w:rPr>
        <w:t>Stephanie M. King v. Emergency Medical Transport, Inc</w:t>
      </w:r>
      <w:r>
        <w:rPr>
          <w:rFonts w:ascii="Times New Roman" w:eastAsia="Times New Roman" w:hAnsi="Times New Roman"/>
          <w:sz w:val="24"/>
          <w:szCs w:val="24"/>
        </w:rPr>
        <w:t xml:space="preserve">., the Court of Appeals of Ohio, Fifth District (Stark County) held (3 to 0) that the trial court should not have dismissed the ambulance company (EMT Inc.) from this lawsuit. </w:t>
      </w:r>
      <w:r w:rsidRPr="00691012">
        <w:rPr>
          <w:rFonts w:ascii="Times New Roman" w:hAnsi="Times New Roman"/>
          <w:sz w:val="24"/>
          <w:szCs w:val="24"/>
        </w:rPr>
        <w:t>The trial court found the alleged incident did not occur within the scope of employment; therefore, EMT was not vicariously liable for the conduct of its employees</w:t>
      </w:r>
      <w:r>
        <w:rPr>
          <w:rFonts w:ascii="Times New Roman" w:hAnsi="Times New Roman"/>
          <w:sz w:val="24"/>
          <w:szCs w:val="24"/>
        </w:rPr>
        <w:t xml:space="preserve">.  The Court of Appeals disagreed, </w:t>
      </w:r>
      <w:r>
        <w:rPr>
          <w:rFonts w:ascii="Times New Roman" w:eastAsia="Times New Roman" w:hAnsi="Times New Roman"/>
          <w:sz w:val="24"/>
          <w:szCs w:val="24"/>
        </w:rPr>
        <w:t xml:space="preserve">finding that the paramedics worked 24-hour shift and were therefore on duty for the employer when the air horn was mistakenly activated. </w:t>
      </w:r>
      <w:hyperlink r:id="rId2264" w:history="1">
        <w:r w:rsidRPr="00A07B51">
          <w:rPr>
            <w:rStyle w:val="Hyperlink"/>
          </w:rPr>
          <w:t>https://cms7files1.revize.com/starkcountyoh/S21-57.pdf</w:t>
        </w:r>
      </w:hyperlink>
    </w:p>
    <w:p w14:paraId="49C159AE" w14:textId="77777777" w:rsidR="00BD3FE4" w:rsidRDefault="00BD3FE4" w:rsidP="00BD3FE4">
      <w:pPr>
        <w:spacing w:before="100" w:beforeAutospacing="1" w:after="100" w:afterAutospacing="1" w:line="240" w:lineRule="auto"/>
        <w:rPr>
          <w:rFonts w:ascii="Times New Roman" w:eastAsia="Times New Roman" w:hAnsi="Times New Roman"/>
          <w:b/>
          <w:bCs/>
          <w:sz w:val="24"/>
          <w:szCs w:val="24"/>
        </w:rPr>
      </w:pPr>
      <w:r>
        <w:rPr>
          <w:rFonts w:ascii="Times New Roman" w:eastAsia="Times New Roman" w:hAnsi="Times New Roman"/>
          <w:b/>
          <w:bCs/>
          <w:sz w:val="24"/>
          <w:szCs w:val="24"/>
        </w:rPr>
        <w:t xml:space="preserve">Legal Lesson Learned:  Employers may be liable for injuries caused by EMS personnel, including during their </w:t>
      </w:r>
      <w:proofErr w:type="gramStart"/>
      <w:r>
        <w:rPr>
          <w:rFonts w:ascii="Times New Roman" w:eastAsia="Times New Roman" w:hAnsi="Times New Roman"/>
          <w:b/>
          <w:bCs/>
          <w:sz w:val="24"/>
          <w:szCs w:val="24"/>
        </w:rPr>
        <w:t>on duty</w:t>
      </w:r>
      <w:proofErr w:type="gramEnd"/>
      <w:r>
        <w:rPr>
          <w:rFonts w:ascii="Times New Roman" w:eastAsia="Times New Roman" w:hAnsi="Times New Roman"/>
          <w:b/>
          <w:bCs/>
          <w:sz w:val="24"/>
          <w:szCs w:val="24"/>
        </w:rPr>
        <w:t xml:space="preserve"> lunch time. </w:t>
      </w:r>
    </w:p>
    <w:p w14:paraId="5915779F" w14:textId="77777777" w:rsidR="009A3D9F" w:rsidRDefault="009A3D9F" w:rsidP="002B1283">
      <w:pPr>
        <w:rPr>
          <w:rFonts w:ascii="Arial Black" w:hAnsi="Arial Black"/>
          <w:b/>
          <w:bCs/>
          <w:sz w:val="28"/>
          <w:szCs w:val="28"/>
        </w:rPr>
      </w:pPr>
    </w:p>
    <w:p w14:paraId="0DEE410D" w14:textId="72808258" w:rsidR="009A3D9F" w:rsidRDefault="009A3D9F" w:rsidP="002B1283">
      <w:pPr>
        <w:rPr>
          <w:rFonts w:ascii="Arial Black" w:hAnsi="Arial Black"/>
          <w:b/>
          <w:bCs/>
          <w:sz w:val="28"/>
          <w:szCs w:val="28"/>
        </w:rPr>
      </w:pPr>
      <w:r>
        <w:rPr>
          <w:rFonts w:ascii="Arial Black" w:hAnsi="Arial Black"/>
          <w:b/>
          <w:bCs/>
          <w:sz w:val="28"/>
          <w:szCs w:val="28"/>
        </w:rPr>
        <w:t>13-103</w:t>
      </w:r>
    </w:p>
    <w:p w14:paraId="1C4923B7" w14:textId="77777777" w:rsidR="009A3D9F" w:rsidRPr="000007E3" w:rsidRDefault="009A3D9F" w:rsidP="009A3D9F">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RI: PARAMEDIC FIRED – POOR SKILLS – UNION REFUSED PAY ATTY - NO BREACH DUTY OF FAIR REPRESENTATION</w:t>
      </w:r>
    </w:p>
    <w:p w14:paraId="47156ED1" w14:textId="3CEBEA83" w:rsidR="009A3D9F" w:rsidRDefault="009A3D9F" w:rsidP="009A3D9F">
      <w:pPr>
        <w:rPr>
          <w:rFonts w:ascii="Arial Black" w:hAnsi="Arial Black"/>
          <w:b/>
          <w:bCs/>
          <w:sz w:val="28"/>
          <w:szCs w:val="28"/>
        </w:rPr>
      </w:pPr>
      <w:r>
        <w:rPr>
          <w:rFonts w:ascii="Times New Roman" w:eastAsia="Times New Roman" w:hAnsi="Times New Roman"/>
          <w:sz w:val="24"/>
          <w:szCs w:val="24"/>
        </w:rPr>
        <w:t xml:space="preserve">On Jan. 14, 2022, in </w:t>
      </w:r>
      <w:r w:rsidRPr="009C3E71">
        <w:rPr>
          <w:rFonts w:ascii="Times New Roman" w:eastAsia="Times New Roman" w:hAnsi="Times New Roman"/>
          <w:sz w:val="24"/>
          <w:szCs w:val="24"/>
          <w:u w:val="single"/>
        </w:rPr>
        <w:t xml:space="preserve">Augustine Eddy v. Pascoag Fire District, </w:t>
      </w:r>
      <w:r w:rsidRPr="009C3E71">
        <w:rPr>
          <w:rFonts w:ascii="Times New Roman" w:hAnsi="Times New Roman"/>
          <w:sz w:val="24"/>
          <w:szCs w:val="24"/>
          <w:u w:val="single"/>
        </w:rPr>
        <w:t>Pascoag Fire and Rescue Association, and International Association of Firefighters, Local 4908</w:t>
      </w:r>
      <w:r>
        <w:rPr>
          <w:rFonts w:ascii="Times New Roman" w:hAnsi="Times New Roman"/>
          <w:sz w:val="24"/>
          <w:szCs w:val="24"/>
        </w:rPr>
        <w:t xml:space="preserve">, the Supreme Court of Rhode Island held (4 to 0) that the trial court properly dismissed the lawsuit against the Fire District and the union, since he never pursued arbitration. </w:t>
      </w:r>
      <w:r w:rsidRPr="00C11C1D">
        <w:rPr>
          <w:rFonts w:ascii="Times New Roman" w:hAnsi="Times New Roman"/>
          <w:sz w:val="24"/>
          <w:szCs w:val="24"/>
        </w:rPr>
        <w:t>The paramedic in Jan. 2016 was presented with a plan for remedial training to address complaints from his partner regarding his job performance</w:t>
      </w:r>
      <w:r>
        <w:rPr>
          <w:rFonts w:ascii="Times New Roman" w:hAnsi="Times New Roman"/>
          <w:sz w:val="24"/>
          <w:szCs w:val="24"/>
        </w:rPr>
        <w:t xml:space="preserve">, but on a transport March 27, </w:t>
      </w:r>
      <w:proofErr w:type="gramStart"/>
      <w:r>
        <w:rPr>
          <w:rFonts w:ascii="Times New Roman" w:hAnsi="Times New Roman"/>
          <w:sz w:val="24"/>
          <w:szCs w:val="24"/>
        </w:rPr>
        <w:t>2016</w:t>
      </w:r>
      <w:proofErr w:type="gramEnd"/>
      <w:r>
        <w:rPr>
          <w:rFonts w:ascii="Times New Roman" w:hAnsi="Times New Roman"/>
          <w:sz w:val="24"/>
          <w:szCs w:val="24"/>
        </w:rPr>
        <w:t xml:space="preserve"> he failed to start an IV.  He admitted in writing to Chief, “</w:t>
      </w:r>
      <w:r w:rsidRPr="00C11C1D">
        <w:rPr>
          <w:rFonts w:ascii="Times New Roman" w:hAnsi="Times New Roman"/>
          <w:sz w:val="24"/>
          <w:szCs w:val="24"/>
        </w:rPr>
        <w:t>I know, I know, my skills are not what they should be, I should of [</w:t>
      </w:r>
      <w:r w:rsidRPr="00C11C1D">
        <w:rPr>
          <w:rStyle w:val="Emphasis"/>
          <w:rFonts w:ascii="Times New Roman" w:hAnsi="Times New Roman"/>
          <w:sz w:val="24"/>
          <w:szCs w:val="24"/>
        </w:rPr>
        <w:t>sic</w:t>
      </w:r>
      <w:r w:rsidRPr="00C11C1D">
        <w:rPr>
          <w:rFonts w:ascii="Times New Roman" w:hAnsi="Times New Roman"/>
          <w:sz w:val="24"/>
          <w:szCs w:val="24"/>
        </w:rPr>
        <w:t>] started an IV</w:t>
      </w:r>
      <w:r>
        <w:rPr>
          <w:rFonts w:ascii="Times New Roman" w:hAnsi="Times New Roman"/>
          <w:sz w:val="24"/>
          <w:szCs w:val="24"/>
        </w:rPr>
        <w:t>.” The union did not breach its duty. “</w:t>
      </w:r>
      <w:r w:rsidRPr="00A11E8B">
        <w:rPr>
          <w:rFonts w:ascii="Times New Roman" w:hAnsi="Times New Roman"/>
          <w:sz w:val="24"/>
          <w:szCs w:val="24"/>
        </w:rPr>
        <w:t>Specifically, under the union's constitution and by-laws, plaintiff had the ability to appeal the union's decision not to pay for arbitration to the union's general president, but he failed to do so</w:t>
      </w:r>
      <w:r>
        <w:rPr>
          <w:rFonts w:ascii="Times New Roman" w:hAnsi="Times New Roman"/>
          <w:sz w:val="24"/>
          <w:szCs w:val="24"/>
        </w:rPr>
        <w:t xml:space="preserve">.” Lawsuit against Fire District </w:t>
      </w:r>
      <w:proofErr w:type="gramStart"/>
      <w:r>
        <w:rPr>
          <w:rFonts w:ascii="Times New Roman" w:hAnsi="Times New Roman"/>
          <w:sz w:val="24"/>
          <w:szCs w:val="24"/>
        </w:rPr>
        <w:t>properly</w:t>
      </w:r>
      <w:proofErr w:type="gramEnd"/>
      <w:r>
        <w:rPr>
          <w:rFonts w:ascii="Times New Roman" w:hAnsi="Times New Roman"/>
          <w:sz w:val="24"/>
          <w:szCs w:val="24"/>
        </w:rPr>
        <w:t xml:space="preserve"> dismissed since he didn’t pursue arbitration. </w:t>
      </w:r>
      <w:hyperlink r:id="rId2265" w:history="1">
        <w:r w:rsidRPr="00A83547">
          <w:rPr>
            <w:rStyle w:val="Hyperlink"/>
            <w:sz w:val="24"/>
            <w:szCs w:val="24"/>
          </w:rPr>
          <w:t>https://www.courts.ri.gov/Courts/SupremeCourt/SupremeOpinions/19-373.pdf?fbclid=IwAR381gBQH8M88N6_xqsP3bwAIxYvF38ngnKZywLKveA_XCbfEKJg9F5lDvI</w:t>
        </w:r>
      </w:hyperlink>
    </w:p>
    <w:p w14:paraId="15561868" w14:textId="77777777" w:rsidR="009A3D9F" w:rsidRDefault="009A3D9F" w:rsidP="009A3D9F">
      <w:pPr>
        <w:pStyle w:val="NormalWeb"/>
        <w:rPr>
          <w:b/>
          <w:bCs/>
        </w:rPr>
      </w:pPr>
      <w:r w:rsidRPr="00BD018A">
        <w:rPr>
          <w:b/>
          <w:bCs/>
        </w:rPr>
        <w:t>Legal Lesson Learned:</w:t>
      </w:r>
      <w:r>
        <w:rPr>
          <w:b/>
          <w:bCs/>
        </w:rPr>
        <w:t xml:space="preserve">  Under the CBA, the paramedic failed to exhaust his administrative remedy by pursuing arbitration.</w:t>
      </w:r>
    </w:p>
    <w:p w14:paraId="7426AA05" w14:textId="77777777" w:rsidR="009A3D9F" w:rsidRDefault="009A3D9F" w:rsidP="002B1283">
      <w:pPr>
        <w:rPr>
          <w:rFonts w:ascii="Arial Black" w:hAnsi="Arial Black"/>
          <w:b/>
          <w:bCs/>
          <w:sz w:val="28"/>
          <w:szCs w:val="28"/>
        </w:rPr>
      </w:pPr>
    </w:p>
    <w:p w14:paraId="7C15BA2E" w14:textId="476E6E0B" w:rsidR="00FF5FCF" w:rsidRDefault="00FF5FCF" w:rsidP="002B1283">
      <w:pPr>
        <w:rPr>
          <w:rFonts w:ascii="Arial Black" w:hAnsi="Arial Black"/>
          <w:b/>
          <w:bCs/>
          <w:sz w:val="28"/>
          <w:szCs w:val="28"/>
        </w:rPr>
      </w:pPr>
      <w:r>
        <w:rPr>
          <w:rFonts w:ascii="Arial Black" w:hAnsi="Arial Black"/>
          <w:b/>
          <w:bCs/>
          <w:sz w:val="28"/>
          <w:szCs w:val="28"/>
        </w:rPr>
        <w:t>13–102</w:t>
      </w:r>
    </w:p>
    <w:p w14:paraId="14BD5327" w14:textId="77777777" w:rsidR="00FF5FCF" w:rsidRPr="00FD1635" w:rsidRDefault="00FF5FCF" w:rsidP="00FF5FCF">
      <w:pPr>
        <w:spacing w:before="100" w:beforeAutospacing="1" w:after="100" w:afterAutospacing="1" w:line="240" w:lineRule="auto"/>
        <w:rPr>
          <w:rFonts w:ascii="Arial Black" w:hAnsi="Arial Black"/>
          <w:sz w:val="28"/>
          <w:szCs w:val="28"/>
        </w:rPr>
      </w:pPr>
      <w:r>
        <w:rPr>
          <w:rFonts w:ascii="Arial Black" w:hAnsi="Arial Black"/>
          <w:sz w:val="28"/>
          <w:szCs w:val="28"/>
        </w:rPr>
        <w:t>LA: CHILD STRUCK BY CAR – NO PULSE, PASSED LOCAL HOSPITAL TO TRAUMA CENTER – MUST SHOW PROTOCOLS</w:t>
      </w:r>
    </w:p>
    <w:p w14:paraId="3E2BBC03" w14:textId="77777777" w:rsidR="00FF5FCF" w:rsidRDefault="00FF5FCF" w:rsidP="00FF5FCF">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On Dec. 30, 2021, in </w:t>
      </w:r>
      <w:r w:rsidRPr="00484477">
        <w:rPr>
          <w:rFonts w:ascii="Times New Roman" w:hAnsi="Times New Roman"/>
          <w:sz w:val="24"/>
          <w:szCs w:val="24"/>
          <w:u w:val="single"/>
        </w:rPr>
        <w:t>Gauis Horton, individually and on behalf of Mary Horton v. St. Tammany Fire Protection District # 4</w:t>
      </w:r>
      <w:r>
        <w:rPr>
          <w:rFonts w:ascii="Times New Roman" w:hAnsi="Times New Roman"/>
          <w:sz w:val="24"/>
          <w:szCs w:val="24"/>
        </w:rPr>
        <w:t xml:space="preserve">, the Court of Appeals of Louisiana, First Circuit, held (3 to 0) that trial court should not have dismissed this lawsuit alleging gross negligence for </w:t>
      </w:r>
      <w:r>
        <w:rPr>
          <w:rFonts w:ascii="Times New Roman" w:eastAsia="Times New Roman" w:hAnsi="Times New Roman"/>
          <w:sz w:val="24"/>
          <w:szCs w:val="24"/>
        </w:rPr>
        <w:t>f</w:t>
      </w:r>
      <w:r w:rsidRPr="00C40368">
        <w:rPr>
          <w:rFonts w:ascii="Times New Roman" w:eastAsia="Times New Roman" w:hAnsi="Times New Roman"/>
          <w:sz w:val="24"/>
          <w:szCs w:val="24"/>
        </w:rPr>
        <w:t xml:space="preserve">ailing to timely depart the scene of the accident </w:t>
      </w:r>
      <w:r>
        <w:rPr>
          <w:rFonts w:ascii="Times New Roman" w:eastAsia="Times New Roman" w:hAnsi="Times New Roman"/>
          <w:sz w:val="24"/>
          <w:szCs w:val="24"/>
        </w:rPr>
        <w:t xml:space="preserve">(20 </w:t>
      </w:r>
      <w:r>
        <w:rPr>
          <w:rFonts w:ascii="Times New Roman" w:eastAsia="Times New Roman" w:hAnsi="Times New Roman"/>
          <w:sz w:val="24"/>
          <w:szCs w:val="24"/>
        </w:rPr>
        <w:lastRenderedPageBreak/>
        <w:t xml:space="preserve">minutes on scene) </w:t>
      </w:r>
      <w:r w:rsidRPr="00C40368">
        <w:rPr>
          <w:rFonts w:ascii="Times New Roman" w:eastAsia="Times New Roman" w:hAnsi="Times New Roman"/>
          <w:sz w:val="24"/>
          <w:szCs w:val="24"/>
        </w:rPr>
        <w:t xml:space="preserve">and failing to take </w:t>
      </w:r>
      <w:r>
        <w:rPr>
          <w:rFonts w:ascii="Times New Roman" w:eastAsia="Times New Roman" w:hAnsi="Times New Roman"/>
          <w:sz w:val="24"/>
          <w:szCs w:val="24"/>
        </w:rPr>
        <w:t>patient</w:t>
      </w:r>
      <w:r w:rsidRPr="00C40368">
        <w:rPr>
          <w:rFonts w:ascii="Times New Roman" w:eastAsia="Times New Roman" w:hAnsi="Times New Roman"/>
          <w:sz w:val="24"/>
          <w:szCs w:val="24"/>
        </w:rPr>
        <w:t xml:space="preserve"> to the nearest hospital</w:t>
      </w:r>
      <w:r>
        <w:rPr>
          <w:rFonts w:ascii="Times New Roman" w:eastAsia="Times New Roman" w:hAnsi="Times New Roman"/>
          <w:sz w:val="24"/>
          <w:szCs w:val="24"/>
        </w:rPr>
        <w:t xml:space="preserve"> (directed to Level II Trauma Center)</w:t>
      </w:r>
      <w:r w:rsidRPr="00C40368">
        <w:rPr>
          <w:rFonts w:ascii="Times New Roman" w:eastAsia="Times New Roman" w:hAnsi="Times New Roman"/>
          <w:sz w:val="24"/>
          <w:szCs w:val="24"/>
        </w:rPr>
        <w:t xml:space="preserve">. </w:t>
      </w:r>
      <w:r>
        <w:rPr>
          <w:rFonts w:ascii="Times New Roman" w:eastAsia="Times New Roman" w:hAnsi="Times New Roman"/>
          <w:sz w:val="24"/>
          <w:szCs w:val="24"/>
        </w:rPr>
        <w:t xml:space="preserve"> Court of Appeals remands case since </w:t>
      </w:r>
      <w:r>
        <w:rPr>
          <w:rFonts w:ascii="Times New Roman" w:hAnsi="Times New Roman"/>
          <w:sz w:val="24"/>
          <w:szCs w:val="24"/>
        </w:rPr>
        <w:t xml:space="preserve">the Fire District in its motion for summary judgment on basis of governmental immunity failed to attach current certificates of the paramedics and failed to attach the protocols for transporting patients to a trauma center.  </w:t>
      </w:r>
    </w:p>
    <w:p w14:paraId="523977BB" w14:textId="2ED88573" w:rsidR="00FF5FCF" w:rsidRDefault="00FF5FCF" w:rsidP="00FF5FCF">
      <w:pPr>
        <w:ind w:left="720"/>
        <w:rPr>
          <w:rFonts w:ascii="Arial Black" w:hAnsi="Arial Black"/>
          <w:b/>
          <w:bCs/>
          <w:sz w:val="28"/>
          <w:szCs w:val="28"/>
        </w:rPr>
      </w:pPr>
      <w:r>
        <w:rPr>
          <w:rFonts w:ascii="Times New Roman" w:hAnsi="Times New Roman"/>
          <w:sz w:val="24"/>
          <w:szCs w:val="24"/>
        </w:rPr>
        <w:t>“</w:t>
      </w:r>
      <w:r w:rsidRPr="00A03153">
        <w:rPr>
          <w:rFonts w:ascii="Times New Roman" w:hAnsi="Times New Roman"/>
          <w:sz w:val="24"/>
          <w:szCs w:val="24"/>
        </w:rPr>
        <w:t xml:space="preserve">Because we have found that the </w:t>
      </w:r>
      <w:r>
        <w:rPr>
          <w:rFonts w:ascii="Times New Roman" w:hAnsi="Times New Roman"/>
          <w:sz w:val="24"/>
          <w:szCs w:val="24"/>
        </w:rPr>
        <w:t xml:space="preserve">[Fire Protection] </w:t>
      </w:r>
      <w:r w:rsidRPr="00A03153">
        <w:rPr>
          <w:rFonts w:ascii="Times New Roman" w:hAnsi="Times New Roman"/>
          <w:sz w:val="24"/>
          <w:szCs w:val="24"/>
        </w:rPr>
        <w:t>District failed to establish that Lunn and Becerril were duly licensed or certified or that they acted in accordance with protocols adopted and promulgated by LERN [Louisiana Emergency Response Network]</w:t>
      </w:r>
      <w:r>
        <w:t xml:space="preserve"> </w:t>
      </w:r>
      <w:r w:rsidRPr="00A03153">
        <w:rPr>
          <w:rFonts w:ascii="Times New Roman" w:hAnsi="Times New Roman"/>
          <w:sz w:val="24"/>
          <w:szCs w:val="24"/>
        </w:rPr>
        <w:t>for the transport of trauma and time-sensitive ill patients, we likewise find that the District has failed to meet its burden in establishing that it is entitled to immunity pursuant to La. R.S. 9:2798.5.</w:t>
      </w:r>
      <w:r>
        <w:rPr>
          <w:rFonts w:ascii="Times New Roman" w:hAnsi="Times New Roman"/>
          <w:sz w:val="24"/>
          <w:szCs w:val="24"/>
        </w:rPr>
        <w:t xml:space="preserve">” </w:t>
      </w:r>
      <w:hyperlink r:id="rId2266" w:history="1">
        <w:r w:rsidRPr="00EC5853">
          <w:rPr>
            <w:rStyle w:val="Hyperlink"/>
            <w:rFonts w:ascii="Times New Roman" w:hAnsi="Times New Roman"/>
            <w:sz w:val="24"/>
            <w:szCs w:val="24"/>
          </w:rPr>
          <w:t>https://www.courtlistener.com/opinion/5313531/gauis-horton-individually-and-on-behalf-of-mary-horton-v-st-tammany-fire/</w:t>
        </w:r>
      </w:hyperlink>
    </w:p>
    <w:p w14:paraId="24185DAB" w14:textId="77777777" w:rsidR="00FF5FCF" w:rsidRPr="00EF39AB" w:rsidRDefault="00FF5FCF" w:rsidP="00FF5FCF">
      <w:pPr>
        <w:tabs>
          <w:tab w:val="left" w:pos="2760"/>
        </w:tabs>
        <w:spacing w:before="100" w:beforeAutospacing="1" w:after="100" w:afterAutospacing="1" w:line="240" w:lineRule="auto"/>
        <w:rPr>
          <w:rFonts w:ascii="Times New Roman" w:hAnsi="Times New Roman"/>
          <w:b/>
          <w:bCs/>
          <w:sz w:val="24"/>
          <w:szCs w:val="24"/>
        </w:rPr>
      </w:pPr>
      <w:r w:rsidRPr="00EF39AB">
        <w:rPr>
          <w:rFonts w:ascii="Times New Roman" w:hAnsi="Times New Roman"/>
          <w:b/>
          <w:bCs/>
          <w:sz w:val="24"/>
          <w:szCs w:val="24"/>
        </w:rPr>
        <w:t xml:space="preserve">Legal Lesson Learned: Follow your trauma protocols and submit copies of the protocols and EMS current licenses when filing motion for summary judgment.  </w:t>
      </w:r>
    </w:p>
    <w:p w14:paraId="21B9EB4F" w14:textId="77777777" w:rsidR="00FF5FCF" w:rsidRDefault="00FF5FCF" w:rsidP="002B1283">
      <w:pPr>
        <w:rPr>
          <w:rFonts w:ascii="Arial Black" w:hAnsi="Arial Black"/>
          <w:b/>
          <w:bCs/>
          <w:sz w:val="28"/>
          <w:szCs w:val="28"/>
        </w:rPr>
      </w:pPr>
    </w:p>
    <w:p w14:paraId="76FAAE70" w14:textId="689470D8" w:rsidR="00001D9A" w:rsidRDefault="00001D9A" w:rsidP="002B1283">
      <w:pPr>
        <w:rPr>
          <w:rFonts w:ascii="Arial Black" w:hAnsi="Arial Black"/>
          <w:b/>
          <w:bCs/>
          <w:sz w:val="28"/>
          <w:szCs w:val="28"/>
        </w:rPr>
      </w:pPr>
      <w:r>
        <w:rPr>
          <w:rFonts w:ascii="Arial Black" w:hAnsi="Arial Black"/>
          <w:b/>
          <w:bCs/>
          <w:sz w:val="28"/>
          <w:szCs w:val="28"/>
        </w:rPr>
        <w:t>13-101</w:t>
      </w:r>
    </w:p>
    <w:p w14:paraId="69E664CA" w14:textId="77777777" w:rsidR="00001D9A" w:rsidRPr="00C914C9" w:rsidRDefault="00001D9A" w:rsidP="00001D9A">
      <w:pPr>
        <w:spacing w:before="100" w:beforeAutospacing="1" w:after="100" w:afterAutospacing="1" w:line="240" w:lineRule="auto"/>
        <w:rPr>
          <w:rFonts w:ascii="Times New Roman" w:eastAsia="Times New Roman" w:hAnsi="Times New Roman"/>
          <w:sz w:val="24"/>
          <w:szCs w:val="24"/>
        </w:rPr>
      </w:pPr>
      <w:r>
        <w:rPr>
          <w:rFonts w:ascii="Arial Black" w:eastAsia="Times New Roman" w:hAnsi="Arial Black"/>
          <w:sz w:val="28"/>
          <w:szCs w:val="28"/>
        </w:rPr>
        <w:t>IL: COVID - FF INJUNCTION DENIED – VACCINATION OR WEEKLY NEG TEST - “NATURAL IMMUNITY” NOT ENOUGH</w:t>
      </w:r>
    </w:p>
    <w:p w14:paraId="46B58C8C" w14:textId="77777777" w:rsidR="00001D9A" w:rsidRDefault="00001D9A" w:rsidP="00001D9A">
      <w:pPr>
        <w:spacing w:before="100" w:beforeAutospacing="1" w:after="100" w:afterAutospacing="1" w:line="240" w:lineRule="auto"/>
        <w:rPr>
          <w:rFonts w:ascii="Times New Roman" w:hAnsi="Times New Roman"/>
          <w:sz w:val="24"/>
          <w:szCs w:val="24"/>
        </w:rPr>
      </w:pPr>
      <w:r>
        <w:rPr>
          <w:rFonts w:ascii="Times New Roman" w:eastAsia="Times New Roman" w:hAnsi="Times New Roman"/>
          <w:sz w:val="24"/>
          <w:szCs w:val="24"/>
        </w:rPr>
        <w:t xml:space="preserve">On Dec. 19, 2021, in </w:t>
      </w:r>
      <w:r w:rsidRPr="0000416A">
        <w:rPr>
          <w:rFonts w:ascii="Times New Roman" w:eastAsia="Times New Roman" w:hAnsi="Times New Roman"/>
          <w:sz w:val="24"/>
          <w:szCs w:val="24"/>
          <w:u w:val="single"/>
        </w:rPr>
        <w:t>John Halgren, et al. v. City of Naperville, et al</w:t>
      </w:r>
      <w:r>
        <w:rPr>
          <w:rFonts w:ascii="Times New Roman" w:eastAsia="Times New Roman" w:hAnsi="Times New Roman"/>
          <w:sz w:val="24"/>
          <w:szCs w:val="24"/>
        </w:rPr>
        <w:t xml:space="preserve">., U.S. District Court Judge </w:t>
      </w:r>
      <w:r w:rsidRPr="0073027C">
        <w:rPr>
          <w:rFonts w:ascii="Times New Roman" w:hAnsi="Times New Roman"/>
          <w:sz w:val="24"/>
          <w:szCs w:val="24"/>
        </w:rPr>
        <w:t>John Robert Blakey</w:t>
      </w:r>
      <w:r>
        <w:rPr>
          <w:rFonts w:ascii="Times New Roman" w:hAnsi="Times New Roman"/>
          <w:sz w:val="24"/>
          <w:szCs w:val="24"/>
        </w:rPr>
        <w:t xml:space="preserve"> denied the six Naperville Fire Department firefighters’ motion for preliminary injunction to bar enforcement of the State and City mandate, including those firefighters claiming “natural immunity” from a prior infection and recovery. </w:t>
      </w:r>
    </w:p>
    <w:p w14:paraId="6540E32D" w14:textId="3DDDB7AB" w:rsidR="00001D9A" w:rsidRDefault="00001D9A" w:rsidP="00001D9A">
      <w:pPr>
        <w:ind w:left="720"/>
        <w:rPr>
          <w:rFonts w:ascii="Arial Black" w:hAnsi="Arial Black"/>
          <w:b/>
          <w:bCs/>
          <w:sz w:val="28"/>
          <w:szCs w:val="28"/>
        </w:rPr>
      </w:pPr>
      <w:r w:rsidRPr="00E43604">
        <w:rPr>
          <w:rFonts w:ascii="Times New Roman" w:hAnsi="Times New Roman"/>
          <w:sz w:val="24"/>
          <w:szCs w:val="24"/>
        </w:rPr>
        <w:t xml:space="preserve">“Given the preliminary factual record, however, Plaintiffs have failed to show that the statements made by the Governor constitute sufficient evidence of animus and thus, absent more facts, traditional rational basis review governs their equal protection challenge. Cf. </w:t>
      </w:r>
      <w:proofErr w:type="spellStart"/>
      <w:r w:rsidRPr="00E43604">
        <w:rPr>
          <w:rFonts w:ascii="Times New Roman" w:hAnsi="Times New Roman"/>
          <w:sz w:val="24"/>
          <w:szCs w:val="24"/>
        </w:rPr>
        <w:t>Dr.A</w:t>
      </w:r>
      <w:proofErr w:type="spellEnd"/>
      <w:r w:rsidRPr="00E43604">
        <w:rPr>
          <w:rFonts w:ascii="Times New Roman" w:hAnsi="Times New Roman"/>
          <w:sz w:val="24"/>
          <w:szCs w:val="24"/>
        </w:rPr>
        <w:t xml:space="preserve"> v. Hochul, No. 21A145, --- </w:t>
      </w:r>
      <w:proofErr w:type="spellStart"/>
      <w:r w:rsidRPr="00E43604">
        <w:rPr>
          <w:rFonts w:ascii="Times New Roman" w:hAnsi="Times New Roman"/>
          <w:sz w:val="24"/>
          <w:szCs w:val="24"/>
        </w:rPr>
        <w:t>S.Ct</w:t>
      </w:r>
      <w:proofErr w:type="spellEnd"/>
      <w:r w:rsidRPr="00E43604">
        <w:rPr>
          <w:rFonts w:ascii="Times New Roman" w:hAnsi="Times New Roman"/>
          <w:sz w:val="24"/>
          <w:szCs w:val="24"/>
        </w:rPr>
        <w:t xml:space="preserve">. ----, 2021 WL 5873126, at *3 (U.S. Dec. 13, 2021) (Gorsuch, J. and Alito, J., dissenting) (discussing overt proof of a vaccine mandate's ‘animus’ as to those seeking religious exemptions under the first amendment)…. Under the rational basis test and factual record presented, Plaintiffs have also failed to show that the mandate's differential treatment of the vaccinated and unvaccinated violates equal protection. As explained during this Court's substantive due process analysis, a ‘conceivable’ rational basis supports the mandate's vaccine and testing provisions, as to persons with or without natural immunity.” </w:t>
      </w:r>
      <w:hyperlink r:id="rId2267" w:history="1">
        <w:r w:rsidRPr="00EC5853">
          <w:rPr>
            <w:rStyle w:val="Hyperlink"/>
            <w:rFonts w:ascii="Times New Roman" w:hAnsi="Times New Roman"/>
            <w:sz w:val="24"/>
            <w:szCs w:val="24"/>
          </w:rPr>
          <w:t>https://law.justia.com/cases/federal/district-courts/illinois/ilndce/1:2021cv05039/407354/52/</w:t>
        </w:r>
      </w:hyperlink>
    </w:p>
    <w:p w14:paraId="34FA0B1A" w14:textId="77777777" w:rsidR="00FF5FCF" w:rsidRPr="00E43604" w:rsidRDefault="00FF5FCF" w:rsidP="00FF5FCF">
      <w:pPr>
        <w:rPr>
          <w:rFonts w:ascii="Times New Roman" w:hAnsi="Times New Roman"/>
          <w:b/>
          <w:bCs/>
          <w:sz w:val="24"/>
          <w:szCs w:val="24"/>
        </w:rPr>
      </w:pPr>
      <w:r w:rsidRPr="00E43604">
        <w:rPr>
          <w:rFonts w:ascii="Times New Roman" w:hAnsi="Times New Roman"/>
          <w:b/>
          <w:bCs/>
          <w:sz w:val="24"/>
          <w:szCs w:val="24"/>
        </w:rPr>
        <w:t>Legal Lesson Learned:  Several Federal courts have denied injunction against vaccination requirement for Fire &amp; EMS and other health care workers.</w:t>
      </w:r>
    </w:p>
    <w:p w14:paraId="7788AA6D" w14:textId="77777777" w:rsidR="00FF5FCF" w:rsidRPr="00E43604" w:rsidRDefault="00FF5FCF" w:rsidP="00FF5FCF">
      <w:pPr>
        <w:ind w:left="720"/>
        <w:rPr>
          <w:rStyle w:val="markedcontent"/>
          <w:rFonts w:ascii="Times New Roman" w:hAnsi="Times New Roman"/>
          <w:sz w:val="24"/>
          <w:szCs w:val="24"/>
        </w:rPr>
      </w:pPr>
      <w:r w:rsidRPr="00E43604">
        <w:rPr>
          <w:rFonts w:ascii="Times New Roman" w:hAnsi="Times New Roman"/>
          <w:sz w:val="24"/>
          <w:szCs w:val="24"/>
        </w:rPr>
        <w:t xml:space="preserve">Note: </w:t>
      </w:r>
      <w:r w:rsidRPr="00E43604">
        <w:rPr>
          <w:rFonts w:ascii="Times New Roman" w:hAnsi="Times New Roman"/>
          <w:b/>
          <w:bCs/>
          <w:sz w:val="24"/>
          <w:szCs w:val="24"/>
        </w:rPr>
        <w:t xml:space="preserve">  </w:t>
      </w:r>
      <w:r w:rsidRPr="00E43604">
        <w:rPr>
          <w:rStyle w:val="markedcontent"/>
          <w:rFonts w:ascii="Times New Roman" w:hAnsi="Times New Roman"/>
          <w:sz w:val="24"/>
          <w:szCs w:val="24"/>
        </w:rPr>
        <w:t xml:space="preserve">On Jan. 7, 2021, the U.S. Supreme Court will hear oral arguments on the vaccination and mask requirements for both large employers, and for health care workers. </w:t>
      </w:r>
      <w:hyperlink r:id="rId2268" w:history="1">
        <w:r w:rsidRPr="004065C6">
          <w:rPr>
            <w:rStyle w:val="Hyperlink"/>
            <w:rFonts w:ascii="Times New Roman" w:hAnsi="Times New Roman"/>
            <w:sz w:val="24"/>
            <w:szCs w:val="24"/>
          </w:rPr>
          <w:t>https://www.nbcnews.com/news/us-news/u-s-supreme-court-hear-challenges-biden-s-vaccine-mandates-n1286536</w:t>
        </w:r>
      </w:hyperlink>
      <w:r>
        <w:rPr>
          <w:rStyle w:val="markedcontent"/>
          <w:rFonts w:ascii="Times New Roman" w:hAnsi="Times New Roman"/>
          <w:sz w:val="24"/>
          <w:szCs w:val="24"/>
        </w:rPr>
        <w:t xml:space="preserve"> </w:t>
      </w:r>
    </w:p>
    <w:p w14:paraId="50FF0A76" w14:textId="77777777" w:rsidR="00FF5FCF" w:rsidRPr="00E43604" w:rsidRDefault="00FF5FCF" w:rsidP="00FF5FCF">
      <w:pPr>
        <w:ind w:left="720"/>
        <w:rPr>
          <w:rStyle w:val="markedcontent"/>
          <w:rFonts w:ascii="Times New Roman" w:hAnsi="Times New Roman"/>
          <w:sz w:val="24"/>
          <w:szCs w:val="24"/>
        </w:rPr>
      </w:pPr>
      <w:r w:rsidRPr="00E43604">
        <w:rPr>
          <w:rStyle w:val="markedcontent"/>
          <w:rFonts w:ascii="Times New Roman" w:hAnsi="Times New Roman"/>
          <w:sz w:val="24"/>
          <w:szCs w:val="24"/>
        </w:rPr>
        <w:t xml:space="preserve">On Dec 30, 2021, U.S. District Court Judge in Indianapolis denied a preliminary injunction for a physician at Children’s Hospital. </w:t>
      </w:r>
    </w:p>
    <w:p w14:paraId="63413C3D" w14:textId="77777777" w:rsidR="00FF5FCF" w:rsidRPr="00E43604" w:rsidRDefault="00FF5FCF" w:rsidP="00FF5FCF">
      <w:pPr>
        <w:ind w:left="1440"/>
        <w:rPr>
          <w:rFonts w:ascii="Times New Roman" w:hAnsi="Times New Roman"/>
          <w:sz w:val="24"/>
          <w:szCs w:val="24"/>
        </w:rPr>
      </w:pPr>
      <w:r w:rsidRPr="00E43604">
        <w:rPr>
          <w:rFonts w:ascii="Times New Roman" w:hAnsi="Times New Roman"/>
          <w:sz w:val="24"/>
          <w:szCs w:val="24"/>
        </w:rPr>
        <w:lastRenderedPageBreak/>
        <w:t xml:space="preserve">“Under the totality of the circumstances, Dr. </w:t>
      </w:r>
      <w:proofErr w:type="spellStart"/>
      <w:r w:rsidRPr="00E43604">
        <w:rPr>
          <w:rFonts w:ascii="Times New Roman" w:hAnsi="Times New Roman"/>
          <w:sz w:val="24"/>
          <w:szCs w:val="24"/>
        </w:rPr>
        <w:t>Halczenko</w:t>
      </w:r>
      <w:proofErr w:type="spellEnd"/>
      <w:r w:rsidRPr="00E43604">
        <w:rPr>
          <w:rFonts w:ascii="Times New Roman" w:hAnsi="Times New Roman"/>
          <w:sz w:val="24"/>
          <w:szCs w:val="24"/>
        </w:rPr>
        <w:t xml:space="preserve"> has failed to make a ‘substantial showing’ of irreparable injury and insufficiency of remedies that would justify the extraordinary relief he seeks pending the outcome of this litigation-that is, reversing Ascension's decision to deny his exemption request and reinstating him to his position in the Pediatric Intensive Care Unit.” </w:t>
      </w:r>
      <w:hyperlink r:id="rId2269" w:history="1">
        <w:r w:rsidRPr="00EC5853">
          <w:rPr>
            <w:rStyle w:val="Hyperlink"/>
            <w:rFonts w:ascii="Times New Roman" w:hAnsi="Times New Roman"/>
            <w:sz w:val="24"/>
            <w:szCs w:val="24"/>
          </w:rPr>
          <w:t>https://public.fastcase.com/9SKwsfNqTc6OieYDhNMyMwDUrDTC81ScbwpTIsrYww9AFfazNo%2F2HwY6ziqtDhg0Y4a0WNWhiQuswT892BHbSQq1RuZX52VcSFrolfmFpsM%3D</w:t>
        </w:r>
      </w:hyperlink>
      <w:r>
        <w:rPr>
          <w:rFonts w:ascii="Times New Roman" w:hAnsi="Times New Roman"/>
          <w:sz w:val="24"/>
          <w:szCs w:val="24"/>
        </w:rPr>
        <w:t xml:space="preserve"> </w:t>
      </w:r>
    </w:p>
    <w:p w14:paraId="58B0D52A" w14:textId="77777777" w:rsidR="00FF5FCF" w:rsidRPr="00E43604" w:rsidRDefault="00FF5FCF" w:rsidP="00FF5FCF">
      <w:pPr>
        <w:ind w:left="720"/>
        <w:rPr>
          <w:rFonts w:ascii="Times New Roman" w:hAnsi="Times New Roman"/>
          <w:sz w:val="24"/>
          <w:szCs w:val="24"/>
        </w:rPr>
      </w:pPr>
      <w:r w:rsidRPr="00E43604">
        <w:rPr>
          <w:rFonts w:ascii="Times New Roman" w:hAnsi="Times New Roman"/>
          <w:sz w:val="24"/>
          <w:szCs w:val="24"/>
        </w:rPr>
        <w:t>On Dec. 17, 2021, the U.S. Court of Appeals for the 6</w:t>
      </w:r>
      <w:r w:rsidRPr="00E43604">
        <w:rPr>
          <w:rFonts w:ascii="Times New Roman" w:hAnsi="Times New Roman"/>
          <w:sz w:val="24"/>
          <w:szCs w:val="24"/>
          <w:vertAlign w:val="superscript"/>
        </w:rPr>
        <w:t>th</w:t>
      </w:r>
      <w:r w:rsidRPr="00E43604">
        <w:rPr>
          <w:rFonts w:ascii="Times New Roman" w:hAnsi="Times New Roman"/>
          <w:sz w:val="24"/>
          <w:szCs w:val="24"/>
        </w:rPr>
        <w:t xml:space="preserve"> Circuit (Cincinnati) upheld (3 to 0) the OSHA mandate for private employers with 100 or more employees. </w:t>
      </w:r>
    </w:p>
    <w:p w14:paraId="12EE8068" w14:textId="77777777" w:rsidR="00FF5FCF" w:rsidRPr="00E43604" w:rsidRDefault="00FF5FCF" w:rsidP="00FF5FCF">
      <w:pPr>
        <w:ind w:left="1440"/>
        <w:rPr>
          <w:rStyle w:val="markedcontent"/>
          <w:rFonts w:ascii="Times New Roman" w:hAnsi="Times New Roman"/>
          <w:sz w:val="24"/>
          <w:szCs w:val="24"/>
        </w:rPr>
      </w:pPr>
      <w:r w:rsidRPr="00E43604">
        <w:rPr>
          <w:rFonts w:ascii="Times New Roman" w:hAnsi="Times New Roman"/>
          <w:sz w:val="24"/>
          <w:szCs w:val="24"/>
        </w:rPr>
        <w:t>“</w:t>
      </w:r>
      <w:r w:rsidRPr="00E43604">
        <w:rPr>
          <w:rStyle w:val="markedcontent"/>
          <w:rFonts w:ascii="Times New Roman" w:hAnsi="Times New Roman"/>
          <w:sz w:val="24"/>
          <w:szCs w:val="24"/>
        </w:rPr>
        <w:t xml:space="preserve">Employers have the option to require unvaccinated workers to wear a mask on the job and test for COVID-19 weekly. *** Consistent with other OSHA standard penalties, employers who fail to follow the standard may be fined penalties up to $13,653 for each violation and up to $136,532 for each willful violation.” </w:t>
      </w:r>
      <w:hyperlink r:id="rId2270" w:history="1">
        <w:r w:rsidRPr="00EC5853">
          <w:rPr>
            <w:rStyle w:val="Hyperlink"/>
            <w:rFonts w:ascii="Times New Roman" w:hAnsi="Times New Roman"/>
            <w:sz w:val="24"/>
            <w:szCs w:val="24"/>
          </w:rPr>
          <w:t>https://www.opn.ca6.uscourts.gov/opinions.pdf/21a0287p-06.pdf</w:t>
        </w:r>
      </w:hyperlink>
      <w:r>
        <w:rPr>
          <w:rStyle w:val="markedcontent"/>
          <w:rFonts w:ascii="Times New Roman" w:hAnsi="Times New Roman"/>
          <w:sz w:val="24"/>
          <w:szCs w:val="24"/>
        </w:rPr>
        <w:t xml:space="preserve"> </w:t>
      </w:r>
    </w:p>
    <w:p w14:paraId="62C0C895" w14:textId="77777777" w:rsidR="00FF5FCF" w:rsidRPr="00E43604" w:rsidRDefault="00FF5FCF" w:rsidP="00FF5FCF">
      <w:pPr>
        <w:ind w:left="720"/>
        <w:rPr>
          <w:rStyle w:val="markedcontent"/>
          <w:rFonts w:ascii="Times New Roman" w:hAnsi="Times New Roman"/>
          <w:sz w:val="24"/>
          <w:szCs w:val="24"/>
        </w:rPr>
      </w:pPr>
      <w:r w:rsidRPr="00E43604">
        <w:rPr>
          <w:rStyle w:val="markedcontent"/>
          <w:rFonts w:ascii="Times New Roman" w:hAnsi="Times New Roman"/>
          <w:sz w:val="24"/>
          <w:szCs w:val="24"/>
        </w:rPr>
        <w:t xml:space="preserve">On Dec. 13, 2021, the U.S. Supreme Court majority denied an injunction for New York health care workers.  Justice Gorsuch and Justice Alito dissented about lack of an exemption based on sincere religious beliefs. </w:t>
      </w:r>
      <w:hyperlink r:id="rId2271" w:history="1">
        <w:r w:rsidRPr="00EC5853">
          <w:rPr>
            <w:rStyle w:val="Hyperlink"/>
            <w:rFonts w:ascii="Times New Roman" w:hAnsi="Times New Roman"/>
            <w:sz w:val="24"/>
            <w:szCs w:val="24"/>
          </w:rPr>
          <w:t>https://www.supremecourt.gov/opinions/21pdf/21a145_gfbi.pdf</w:t>
        </w:r>
      </w:hyperlink>
      <w:r>
        <w:rPr>
          <w:rStyle w:val="markedcontent"/>
          <w:rFonts w:ascii="Times New Roman" w:hAnsi="Times New Roman"/>
          <w:sz w:val="24"/>
          <w:szCs w:val="24"/>
        </w:rPr>
        <w:t xml:space="preserve"> </w:t>
      </w:r>
    </w:p>
    <w:p w14:paraId="18DBDBD1" w14:textId="77777777" w:rsidR="00FF5FCF" w:rsidRPr="00E43604" w:rsidRDefault="00FF5FCF" w:rsidP="00FF5FCF">
      <w:pPr>
        <w:ind w:left="1440"/>
        <w:rPr>
          <w:rStyle w:val="markedcontent"/>
          <w:rFonts w:ascii="Times New Roman" w:hAnsi="Times New Roman"/>
          <w:sz w:val="24"/>
          <w:szCs w:val="24"/>
        </w:rPr>
      </w:pPr>
      <w:r w:rsidRPr="00E43604">
        <w:rPr>
          <w:rStyle w:val="markedcontent"/>
          <w:rFonts w:ascii="Times New Roman" w:hAnsi="Times New Roman"/>
          <w:sz w:val="24"/>
          <w:szCs w:val="24"/>
        </w:rPr>
        <w:t>“New York recently issued a regulation requiring healthcare workers to receive a COVID–19 vaccine. Those who cite medical reasons are exempt. But no comparable exemption exists for individuals whose sincere religious beliefs prevent them from taking one of the currently available vaccines. It seems New York is one of just three States to have a scheme like this.”</w:t>
      </w:r>
    </w:p>
    <w:p w14:paraId="54AA55BA" w14:textId="0A02F18E" w:rsidR="00001D9A" w:rsidRDefault="00001D9A" w:rsidP="002B1283">
      <w:pPr>
        <w:rPr>
          <w:rFonts w:ascii="Arial Black" w:hAnsi="Arial Black"/>
          <w:b/>
          <w:bCs/>
          <w:sz w:val="28"/>
          <w:szCs w:val="28"/>
        </w:rPr>
      </w:pPr>
      <w:r>
        <w:rPr>
          <w:rFonts w:ascii="Arial Black" w:hAnsi="Arial Black"/>
          <w:b/>
          <w:bCs/>
          <w:sz w:val="28"/>
          <w:szCs w:val="28"/>
        </w:rPr>
        <w:t>13-100</w:t>
      </w:r>
    </w:p>
    <w:p w14:paraId="6D80E8B1" w14:textId="77777777" w:rsidR="00001D9A" w:rsidRDefault="00001D9A" w:rsidP="00001D9A">
      <w:pPr>
        <w:rPr>
          <w:rFonts w:ascii="Arial Black" w:hAnsi="Arial Black"/>
          <w:b/>
          <w:bCs/>
          <w:sz w:val="28"/>
          <w:szCs w:val="28"/>
        </w:rPr>
      </w:pPr>
      <w:r>
        <w:rPr>
          <w:rFonts w:ascii="Arial Black" w:hAnsi="Arial Black"/>
          <w:b/>
          <w:bCs/>
          <w:sz w:val="28"/>
          <w:szCs w:val="28"/>
        </w:rPr>
        <w:t xml:space="preserve">NM:  BLOOD DRAW – EMTs MAY DRAW IF EMPLOYED AT HOSPITAL &amp; TRAINED – NO REQ. BE “LAB TECHNICIAN” </w:t>
      </w:r>
    </w:p>
    <w:p w14:paraId="056BB3E8" w14:textId="77777777" w:rsidR="00001D9A" w:rsidRPr="002F595B" w:rsidRDefault="00001D9A" w:rsidP="00001D9A">
      <w:pPr>
        <w:rPr>
          <w:rFonts w:ascii="Times New Roman" w:hAnsi="Times New Roman"/>
          <w:sz w:val="24"/>
          <w:szCs w:val="24"/>
        </w:rPr>
      </w:pPr>
      <w:r w:rsidRPr="002F595B">
        <w:rPr>
          <w:rFonts w:ascii="Times New Roman" w:hAnsi="Times New Roman"/>
          <w:sz w:val="24"/>
          <w:szCs w:val="24"/>
        </w:rPr>
        <w:t xml:space="preserve">On Dec. 16, 2021, in </w:t>
      </w:r>
      <w:r w:rsidRPr="002F595B">
        <w:rPr>
          <w:rFonts w:ascii="Times New Roman" w:hAnsi="Times New Roman"/>
          <w:sz w:val="24"/>
          <w:szCs w:val="24"/>
          <w:u w:val="single"/>
        </w:rPr>
        <w:t>State of New Mexico v. Brian Adams</w:t>
      </w:r>
      <w:r w:rsidRPr="002F595B">
        <w:rPr>
          <w:rFonts w:ascii="Times New Roman" w:hAnsi="Times New Roman"/>
          <w:sz w:val="24"/>
          <w:szCs w:val="24"/>
        </w:rPr>
        <w:t xml:space="preserve">, the Supreme Court of New Mexico held (4 to 0) that EMTs may conduct blood draws, resolving 6 pending case appeals, but clarifying that the EMT “must be employed by a hospital or physician to perform blood draws, trained to perform legal blood draws, and have on-the-job experience in doing so.” </w:t>
      </w:r>
    </w:p>
    <w:p w14:paraId="0FE18A73" w14:textId="77777777" w:rsidR="00001D9A" w:rsidRPr="002F595B" w:rsidRDefault="00001D9A" w:rsidP="00001D9A">
      <w:pPr>
        <w:ind w:left="720"/>
        <w:rPr>
          <w:rFonts w:ascii="Times New Roman" w:hAnsi="Times New Roman"/>
          <w:sz w:val="24"/>
          <w:szCs w:val="24"/>
        </w:rPr>
      </w:pPr>
      <w:r w:rsidRPr="002F595B">
        <w:rPr>
          <w:rFonts w:ascii="Times New Roman" w:hAnsi="Times New Roman"/>
          <w:sz w:val="24"/>
          <w:szCs w:val="24"/>
        </w:rPr>
        <w:t xml:space="preserve"> “This case is one of six cases arising under very similar fact patterns. In each case, an ‘emergency department technician,’ also licensed as an emergency medical technician (EMT), performed a blood draw test at San Juan Regional Medical Center in Farmington for the purpose of a DWI investigation. The defendants in these cases argue that ‘emergency department </w:t>
      </w:r>
      <w:proofErr w:type="gramStart"/>
      <w:r w:rsidRPr="002F595B">
        <w:rPr>
          <w:rFonts w:ascii="Times New Roman" w:hAnsi="Times New Roman"/>
          <w:sz w:val="24"/>
          <w:szCs w:val="24"/>
        </w:rPr>
        <w:t>technicians’</w:t>
      </w:r>
      <w:proofErr w:type="gramEnd"/>
      <w:r w:rsidRPr="002F595B">
        <w:rPr>
          <w:rFonts w:ascii="Times New Roman" w:hAnsi="Times New Roman"/>
          <w:sz w:val="24"/>
          <w:szCs w:val="24"/>
        </w:rPr>
        <w:t xml:space="preserve"> are not qualified to draw blood under the Implied Consent Act, NMSA 1978, §§ </w:t>
      </w:r>
      <w:hyperlink r:id="rId2272" w:anchor="!b/66-8-105" w:tgtFrame="_parent" w:history="1">
        <w:r w:rsidRPr="002F595B">
          <w:rPr>
            <w:rFonts w:ascii="Times New Roman" w:hAnsi="Times New Roman"/>
            <w:sz w:val="24"/>
            <w:szCs w:val="24"/>
          </w:rPr>
          <w:t>66-8-105</w:t>
        </w:r>
      </w:hyperlink>
      <w:r w:rsidRPr="002F595B">
        <w:rPr>
          <w:rFonts w:ascii="Times New Roman" w:hAnsi="Times New Roman"/>
          <w:sz w:val="24"/>
          <w:szCs w:val="24"/>
        </w:rPr>
        <w:t xml:space="preserve"> to -112 (1978, as amended through 2019). Thus, this case presents an issue of statutory construction. Specifically, whether an emergency department technician, licensed as an EMT, with training and experience in drawing blood is authorized to perform legal blood draw tests as a ‘laboratory technician’ under NMSA 1978, Section </w:t>
      </w:r>
      <w:hyperlink r:id="rId2273" w:anchor="!b/66-8-103" w:tgtFrame="_parent" w:history="1">
        <w:r w:rsidRPr="002F595B">
          <w:rPr>
            <w:rFonts w:ascii="Times New Roman" w:hAnsi="Times New Roman"/>
            <w:sz w:val="24"/>
            <w:szCs w:val="24"/>
          </w:rPr>
          <w:t>66-8-103</w:t>
        </w:r>
      </w:hyperlink>
      <w:r w:rsidRPr="002F595B">
        <w:rPr>
          <w:rFonts w:ascii="Times New Roman" w:hAnsi="Times New Roman"/>
          <w:sz w:val="24"/>
          <w:szCs w:val="24"/>
        </w:rPr>
        <w:t xml:space="preserve"> (1978), which states, ‘[o]</w:t>
      </w:r>
      <w:proofErr w:type="spellStart"/>
      <w:r w:rsidRPr="002F595B">
        <w:rPr>
          <w:rFonts w:ascii="Times New Roman" w:hAnsi="Times New Roman"/>
          <w:sz w:val="24"/>
          <w:szCs w:val="24"/>
        </w:rPr>
        <w:t>nly</w:t>
      </w:r>
      <w:proofErr w:type="spellEnd"/>
      <w:r w:rsidRPr="002F595B">
        <w:rPr>
          <w:rFonts w:ascii="Times New Roman" w:hAnsi="Times New Roman"/>
          <w:sz w:val="24"/>
          <w:szCs w:val="24"/>
        </w:rPr>
        <w:t xml:space="preserve"> a physician, licensed professional or practical nurse or laboratory technician or technologist employed by a hospital or physician shall withdraw blood from any person in the performance of a blood-alcohol test.’ As explained herein, we conclude that such medical </w:t>
      </w:r>
      <w:r w:rsidRPr="002F595B">
        <w:rPr>
          <w:rFonts w:ascii="Times New Roman" w:hAnsi="Times New Roman"/>
          <w:sz w:val="24"/>
          <w:szCs w:val="24"/>
        </w:rPr>
        <w:lastRenderedPageBreak/>
        <w:t xml:space="preserve">professionals are qualified to draw blood under the statute so long as they were employed to do so by a hospital or physician and have adequate training and experience.” </w:t>
      </w:r>
      <w:hyperlink r:id="rId2274" w:history="1">
        <w:r w:rsidRPr="00EC5853">
          <w:rPr>
            <w:rStyle w:val="Hyperlink"/>
            <w:rFonts w:ascii="Times New Roman" w:hAnsi="Times New Roman"/>
            <w:sz w:val="24"/>
            <w:szCs w:val="24"/>
          </w:rPr>
          <w:t>https://nmonesource.com/nmos/nmsc/en/item/517877/index.do</w:t>
        </w:r>
      </w:hyperlink>
      <w:r>
        <w:rPr>
          <w:rFonts w:ascii="Times New Roman" w:hAnsi="Times New Roman"/>
          <w:sz w:val="24"/>
          <w:szCs w:val="24"/>
        </w:rPr>
        <w:t xml:space="preserve"> </w:t>
      </w:r>
    </w:p>
    <w:p w14:paraId="644A9EAD" w14:textId="77777777" w:rsidR="00001D9A" w:rsidRPr="002F595B" w:rsidRDefault="00001D9A" w:rsidP="00001D9A">
      <w:pPr>
        <w:rPr>
          <w:rFonts w:ascii="Times New Roman" w:hAnsi="Times New Roman"/>
          <w:b/>
          <w:bCs/>
          <w:sz w:val="24"/>
          <w:szCs w:val="24"/>
        </w:rPr>
      </w:pPr>
      <w:r w:rsidRPr="002F595B">
        <w:rPr>
          <w:rFonts w:ascii="Times New Roman" w:hAnsi="Times New Roman"/>
          <w:b/>
          <w:bCs/>
          <w:sz w:val="24"/>
          <w:szCs w:val="24"/>
        </w:rPr>
        <w:t xml:space="preserve">Legal Lesson Learned: EMTs not employed at a hospital or medical office cannot draw blood for police. </w:t>
      </w:r>
    </w:p>
    <w:p w14:paraId="1DB63F92" w14:textId="77777777" w:rsidR="00001D9A" w:rsidRPr="002F595B" w:rsidRDefault="00001D9A" w:rsidP="00001D9A">
      <w:pPr>
        <w:ind w:left="720"/>
        <w:rPr>
          <w:rFonts w:ascii="Times New Roman" w:hAnsi="Times New Roman"/>
          <w:sz w:val="24"/>
          <w:szCs w:val="24"/>
        </w:rPr>
      </w:pPr>
      <w:r w:rsidRPr="002F595B">
        <w:rPr>
          <w:rFonts w:ascii="Times New Roman" w:hAnsi="Times New Roman"/>
          <w:sz w:val="24"/>
          <w:szCs w:val="24"/>
        </w:rPr>
        <w:t xml:space="preserve">Note: See New Mexico </w:t>
      </w:r>
      <w:bookmarkStart w:id="446" w:name="_ftn3"/>
      <w:bookmarkStart w:id="447" w:name="66-8-107"/>
      <w:bookmarkEnd w:id="446"/>
      <w:proofErr w:type="gramStart"/>
      <w:r w:rsidRPr="002F595B">
        <w:rPr>
          <w:rFonts w:ascii="Times New Roman" w:hAnsi="Times New Roman"/>
          <w:color w:val="000000"/>
          <w:sz w:val="24"/>
          <w:szCs w:val="24"/>
        </w:rPr>
        <w:t>The</w:t>
      </w:r>
      <w:proofErr w:type="gramEnd"/>
      <w:r w:rsidRPr="002F595B">
        <w:rPr>
          <w:rFonts w:ascii="Times New Roman" w:hAnsi="Times New Roman"/>
          <w:color w:val="000000"/>
          <w:sz w:val="24"/>
          <w:szCs w:val="24"/>
        </w:rPr>
        <w:t xml:space="preserve"> Implied Consent Act: </w:t>
      </w:r>
      <w:bookmarkEnd w:id="447"/>
      <w:r>
        <w:rPr>
          <w:rFonts w:ascii="Times New Roman" w:hAnsi="Times New Roman"/>
          <w:color w:val="000000"/>
          <w:sz w:val="24"/>
          <w:szCs w:val="24"/>
        </w:rPr>
        <w:fldChar w:fldCharType="begin"/>
      </w:r>
      <w:r>
        <w:rPr>
          <w:rFonts w:ascii="Times New Roman" w:hAnsi="Times New Roman"/>
          <w:color w:val="000000"/>
          <w:sz w:val="24"/>
          <w:szCs w:val="24"/>
        </w:rPr>
        <w:instrText xml:space="preserve"> HYPERLINK "</w:instrText>
      </w:r>
      <w:r w:rsidRPr="00B50E0F">
        <w:rPr>
          <w:rFonts w:ascii="Times New Roman" w:hAnsi="Times New Roman"/>
          <w:color w:val="000000"/>
          <w:sz w:val="24"/>
          <w:szCs w:val="24"/>
        </w:rPr>
        <w:instrText>https://law.justia.com/codes/new-mexico/2009/chapter-66/article-8/section-66-8-107/</w:instrText>
      </w:r>
      <w:r>
        <w:rPr>
          <w:rFonts w:ascii="Times New Roman" w:hAnsi="Times New Roman"/>
          <w:color w:val="000000"/>
          <w:sz w:val="24"/>
          <w:szCs w:val="24"/>
        </w:rPr>
        <w:instrText xml:space="preserve">" </w:instrText>
      </w:r>
      <w:r>
        <w:rPr>
          <w:rFonts w:ascii="Times New Roman" w:hAnsi="Times New Roman"/>
          <w:color w:val="000000"/>
          <w:sz w:val="24"/>
          <w:szCs w:val="24"/>
        </w:rPr>
      </w:r>
      <w:r>
        <w:rPr>
          <w:rFonts w:ascii="Times New Roman" w:hAnsi="Times New Roman"/>
          <w:color w:val="000000"/>
          <w:sz w:val="24"/>
          <w:szCs w:val="24"/>
        </w:rPr>
        <w:fldChar w:fldCharType="separate"/>
      </w:r>
      <w:r w:rsidRPr="004065C6">
        <w:rPr>
          <w:rStyle w:val="Hyperlink"/>
          <w:rFonts w:ascii="Times New Roman" w:hAnsi="Times New Roman"/>
          <w:sz w:val="24"/>
          <w:szCs w:val="24"/>
        </w:rPr>
        <w:t>https://law.justia.com/codes/new-mexico/2009/chapter-66/article-8/section-66-8-107/</w:t>
      </w:r>
      <w:r>
        <w:rPr>
          <w:rFonts w:ascii="Times New Roman" w:hAnsi="Times New Roman"/>
          <w:color w:val="000000"/>
          <w:sz w:val="24"/>
          <w:szCs w:val="24"/>
        </w:rPr>
        <w:fldChar w:fldCharType="end"/>
      </w:r>
      <w:r>
        <w:rPr>
          <w:rFonts w:ascii="Times New Roman" w:hAnsi="Times New Roman"/>
          <w:color w:val="000000"/>
          <w:sz w:val="24"/>
          <w:szCs w:val="24"/>
        </w:rPr>
        <w:t xml:space="preserve"> </w:t>
      </w:r>
    </w:p>
    <w:p w14:paraId="73B18D04" w14:textId="77777777" w:rsidR="00001D9A" w:rsidRPr="002F595B" w:rsidRDefault="00001D9A" w:rsidP="00001D9A">
      <w:pPr>
        <w:spacing w:after="0" w:line="240" w:lineRule="auto"/>
        <w:ind w:left="1080" w:right="1080"/>
        <w:rPr>
          <w:rFonts w:ascii="Times New Roman" w:eastAsia="Times New Roman" w:hAnsi="Times New Roman"/>
          <w:sz w:val="24"/>
          <w:szCs w:val="24"/>
        </w:rPr>
      </w:pPr>
      <w:r w:rsidRPr="002F595B">
        <w:rPr>
          <w:rFonts w:ascii="Times New Roman" w:eastAsia="Times New Roman" w:hAnsi="Times New Roman"/>
          <w:sz w:val="24"/>
          <w:szCs w:val="24"/>
        </w:rPr>
        <w:t>“A</w:t>
      </w:r>
      <w:r w:rsidRPr="002F595B">
        <w:rPr>
          <w:rFonts w:ascii="Times New Roman" w:eastAsia="Times New Roman" w:hAnsi="Times New Roman"/>
          <w:color w:val="000000"/>
          <w:sz w:val="24"/>
          <w:szCs w:val="24"/>
        </w:rPr>
        <w:t>ny person who operates a motor vehicle within this state shall be deemed to have given consent, subject to the provisions of the Implied Consent Act . . . to chemical tests of his breath or blood or both . . . as determined by a law enforcement officer, or for the purpose of determining the drug or alcohol content of his blood if arrested for any offense arising out of the acts alleged to have been committed while the person was driving a motor vehicle while under the influence of an intoxicating liquor or drug.”</w:t>
      </w:r>
    </w:p>
    <w:p w14:paraId="7D7BCF81" w14:textId="77777777" w:rsidR="00001D9A" w:rsidRDefault="00001D9A" w:rsidP="00001D9A">
      <w:pPr>
        <w:ind w:left="720"/>
        <w:rPr>
          <w:rFonts w:ascii="Times New Roman" w:hAnsi="Times New Roman"/>
          <w:sz w:val="24"/>
          <w:szCs w:val="24"/>
        </w:rPr>
      </w:pPr>
    </w:p>
    <w:p w14:paraId="11D48E36" w14:textId="77777777" w:rsidR="00001D9A" w:rsidRPr="002F595B" w:rsidRDefault="00001D9A" w:rsidP="00001D9A">
      <w:pPr>
        <w:ind w:left="720"/>
        <w:rPr>
          <w:rFonts w:ascii="Times New Roman" w:hAnsi="Times New Roman"/>
          <w:sz w:val="24"/>
          <w:szCs w:val="24"/>
        </w:rPr>
      </w:pPr>
      <w:r w:rsidRPr="002F595B">
        <w:rPr>
          <w:rFonts w:ascii="Times New Roman" w:hAnsi="Times New Roman"/>
          <w:sz w:val="24"/>
          <w:szCs w:val="24"/>
        </w:rPr>
        <w:t>See Ohio statute, Section 4511.191:</w:t>
      </w:r>
      <w:r w:rsidRPr="009E51C8">
        <w:t xml:space="preserve"> </w:t>
      </w:r>
      <w:hyperlink r:id="rId2275" w:history="1">
        <w:r w:rsidRPr="00EC5853">
          <w:rPr>
            <w:rStyle w:val="Hyperlink"/>
            <w:rFonts w:ascii="Times New Roman" w:hAnsi="Times New Roman"/>
            <w:sz w:val="24"/>
            <w:szCs w:val="24"/>
          </w:rPr>
          <w:t>https://codes.ohio.gov/ohio-revised-code/section-4511.191</w:t>
        </w:r>
      </w:hyperlink>
      <w:r>
        <w:rPr>
          <w:rFonts w:ascii="Times New Roman" w:hAnsi="Times New Roman"/>
          <w:sz w:val="24"/>
          <w:szCs w:val="24"/>
        </w:rPr>
        <w:t xml:space="preserve"> </w:t>
      </w:r>
      <w:r w:rsidRPr="002F595B">
        <w:rPr>
          <w:rFonts w:ascii="Times New Roman" w:hAnsi="Times New Roman"/>
          <w:sz w:val="24"/>
          <w:szCs w:val="24"/>
        </w:rPr>
        <w:t xml:space="preserve">: </w:t>
      </w:r>
    </w:p>
    <w:p w14:paraId="22607B52" w14:textId="77777777" w:rsidR="00001D9A" w:rsidRPr="002F595B" w:rsidRDefault="00001D9A" w:rsidP="00001D9A">
      <w:pPr>
        <w:ind w:left="1080" w:hanging="90"/>
        <w:rPr>
          <w:rFonts w:ascii="Times New Roman" w:hAnsi="Times New Roman"/>
          <w:sz w:val="24"/>
          <w:szCs w:val="24"/>
        </w:rPr>
      </w:pPr>
      <w:r w:rsidRPr="002F595B">
        <w:rPr>
          <w:rFonts w:ascii="Times New Roman" w:hAnsi="Times New Roman"/>
          <w:sz w:val="24"/>
          <w:szCs w:val="24"/>
        </w:rPr>
        <w:t xml:space="preserve"> “(2) Any person who operates a vehicle, streetcar, or trackless trolley upon a highway or any public or private property used by the public for vehicular travel or parking within this state or who is in physical control of a vehicle, streetcar, or trackless trolley shall be deemed to have given consent to a chemical test or tests of the person's whole blood, blood serum or plasma, breath, or urine to determine the alcohol, drug of abuse, controlled substance, metabolite of a controlled substance, or combination content of the person's whole blood, blood serum or plasma, breath, or urine if arrested for a violation of division (A) or (B) of section </w:t>
      </w:r>
      <w:hyperlink r:id="rId2276" w:history="1">
        <w:r w:rsidRPr="002F595B">
          <w:rPr>
            <w:rFonts w:ascii="Times New Roman" w:hAnsi="Times New Roman"/>
            <w:sz w:val="24"/>
            <w:szCs w:val="24"/>
          </w:rPr>
          <w:t>4511.19</w:t>
        </w:r>
      </w:hyperlink>
      <w:r w:rsidRPr="002F595B">
        <w:rPr>
          <w:rFonts w:ascii="Times New Roman" w:hAnsi="Times New Roman"/>
          <w:sz w:val="24"/>
          <w:szCs w:val="24"/>
        </w:rPr>
        <w:t xml:space="preserve"> of the Revised Code, section </w:t>
      </w:r>
      <w:hyperlink r:id="rId2277" w:history="1">
        <w:r w:rsidRPr="002F595B">
          <w:rPr>
            <w:rFonts w:ascii="Times New Roman" w:hAnsi="Times New Roman"/>
            <w:sz w:val="24"/>
            <w:szCs w:val="24"/>
          </w:rPr>
          <w:t>4511.194</w:t>
        </w:r>
      </w:hyperlink>
      <w:r w:rsidRPr="002F595B">
        <w:rPr>
          <w:rFonts w:ascii="Times New Roman" w:hAnsi="Times New Roman"/>
          <w:sz w:val="24"/>
          <w:szCs w:val="24"/>
        </w:rPr>
        <w:t xml:space="preserve"> of the Revised Code or a substantially equivalent municipal ordinance, or a municipal OVI ordinance.”</w:t>
      </w:r>
    </w:p>
    <w:p w14:paraId="5F12C0F2" w14:textId="77777777" w:rsidR="00001D9A" w:rsidRDefault="00001D9A" w:rsidP="002B1283">
      <w:pPr>
        <w:rPr>
          <w:rFonts w:ascii="Arial Black" w:hAnsi="Arial Black"/>
          <w:b/>
          <w:bCs/>
          <w:sz w:val="28"/>
          <w:szCs w:val="28"/>
        </w:rPr>
      </w:pPr>
    </w:p>
    <w:p w14:paraId="2C652297" w14:textId="77777777" w:rsidR="00001D9A" w:rsidRDefault="00001D9A" w:rsidP="002B1283">
      <w:pPr>
        <w:rPr>
          <w:rFonts w:ascii="Arial Black" w:hAnsi="Arial Black"/>
          <w:b/>
          <w:bCs/>
          <w:sz w:val="28"/>
          <w:szCs w:val="28"/>
        </w:rPr>
      </w:pPr>
    </w:p>
    <w:p w14:paraId="1C75E29B" w14:textId="1A08C4AC" w:rsidR="00687C24" w:rsidRDefault="00687C24" w:rsidP="002B1283">
      <w:pPr>
        <w:rPr>
          <w:rFonts w:ascii="Arial Black" w:hAnsi="Arial Black"/>
          <w:b/>
          <w:bCs/>
          <w:sz w:val="28"/>
          <w:szCs w:val="28"/>
        </w:rPr>
      </w:pPr>
      <w:r>
        <w:rPr>
          <w:rFonts w:ascii="Arial Black" w:hAnsi="Arial Black"/>
          <w:b/>
          <w:bCs/>
          <w:sz w:val="28"/>
          <w:szCs w:val="28"/>
        </w:rPr>
        <w:t>13-99</w:t>
      </w:r>
    </w:p>
    <w:p w14:paraId="2BBA0A2B" w14:textId="77777777" w:rsidR="00506EE7" w:rsidRPr="00CE738F" w:rsidRDefault="00506EE7" w:rsidP="00506EE7">
      <w:pPr>
        <w:spacing w:before="100" w:beforeAutospacing="1" w:after="100" w:afterAutospacing="1" w:line="240" w:lineRule="auto"/>
        <w:rPr>
          <w:rFonts w:ascii="Arial Black" w:hAnsi="Arial Black"/>
          <w:sz w:val="28"/>
          <w:szCs w:val="28"/>
        </w:rPr>
      </w:pPr>
      <w:r>
        <w:rPr>
          <w:rFonts w:ascii="Arial Black" w:hAnsi="Arial Black"/>
          <w:sz w:val="28"/>
          <w:szCs w:val="28"/>
        </w:rPr>
        <w:t xml:space="preserve">VA: POLICE &amp; PARAMEDICS DENIED “GOOD FAITH IMMUNITY” – MENTAL – FORCE HEAD INTO PILLOW / DIED </w:t>
      </w:r>
    </w:p>
    <w:p w14:paraId="1B24CD9E" w14:textId="77777777" w:rsidR="00506EE7" w:rsidRDefault="00506EE7" w:rsidP="00506EE7">
      <w:pPr>
        <w:spacing w:before="100" w:beforeAutospacing="1" w:after="100" w:afterAutospacing="1" w:line="240" w:lineRule="auto"/>
        <w:rPr>
          <w:rFonts w:ascii="Times New Roman" w:hAnsi="Times New Roman"/>
          <w:sz w:val="24"/>
          <w:szCs w:val="24"/>
        </w:rPr>
      </w:pPr>
      <w:r w:rsidRPr="00CE738F">
        <w:rPr>
          <w:rFonts w:ascii="Times New Roman" w:hAnsi="Times New Roman"/>
          <w:sz w:val="24"/>
          <w:szCs w:val="24"/>
        </w:rPr>
        <w:t xml:space="preserve">On Nov. 15, 2021, </w:t>
      </w:r>
      <w:r>
        <w:rPr>
          <w:rFonts w:ascii="Times New Roman" w:hAnsi="Times New Roman"/>
          <w:sz w:val="24"/>
          <w:szCs w:val="24"/>
        </w:rPr>
        <w:t xml:space="preserve">in </w:t>
      </w:r>
      <w:r w:rsidRPr="003047ED">
        <w:rPr>
          <w:rFonts w:ascii="Times New Roman" w:hAnsi="Times New Roman"/>
          <w:sz w:val="24"/>
          <w:szCs w:val="24"/>
          <w:u w:val="single"/>
        </w:rPr>
        <w:t>Angela L. Lawhorn, Administrator of the Estate of Joshua L. Lawhorn v. Alexander Mayes, et al</w:t>
      </w:r>
      <w:r>
        <w:rPr>
          <w:rFonts w:ascii="Times New Roman" w:hAnsi="Times New Roman"/>
          <w:sz w:val="24"/>
          <w:szCs w:val="24"/>
        </w:rPr>
        <w:t xml:space="preserve">., the U.S. Court of Appeals for the Fourth Circuit (Richmond, VA) held that the paramedics, like the police officers in this case, are not entitled to good faith immunity and the lawsuit will proceed. </w:t>
      </w:r>
      <w:r>
        <w:rPr>
          <w:rFonts w:ascii="Times New Roman" w:hAnsi="Times New Roman"/>
          <w:sz w:val="24"/>
          <w:szCs w:val="24"/>
        </w:rPr>
        <w:tab/>
      </w:r>
    </w:p>
    <w:p w14:paraId="6DF0F080" w14:textId="77777777" w:rsidR="00506EE7" w:rsidRDefault="00506EE7" w:rsidP="00506EE7">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r w:rsidRPr="003047ED">
        <w:rPr>
          <w:rFonts w:ascii="Times New Roman" w:hAnsi="Times New Roman"/>
          <w:sz w:val="24"/>
          <w:szCs w:val="24"/>
        </w:rPr>
        <w:t xml:space="preserve">This appeal arises from a tragic incident that led to the death of Joshua Lawhon, an unarmed mentally ill man. Invoking 42 U.S.C. § 1983 and Virginia state law, Lawhon's mother, as administrator of his estate, brought this action against the police officers and paramedics whose assertedly improper actions cost her son his life. Defendants moved to dismiss the case on the grounds of qualified immunity and state law immunity. The district court refused to do so regarding Defendants' conduct after they secured Lawhon in handcuffs and the Defendants now appeal. We affirm </w:t>
      </w:r>
      <w:proofErr w:type="gramStart"/>
      <w:r w:rsidRPr="003047ED">
        <w:rPr>
          <w:rFonts w:ascii="Times New Roman" w:hAnsi="Times New Roman"/>
          <w:sz w:val="24"/>
          <w:szCs w:val="24"/>
        </w:rPr>
        <w:t>on the basis of</w:t>
      </w:r>
      <w:proofErr w:type="gramEnd"/>
      <w:r w:rsidRPr="003047ED">
        <w:rPr>
          <w:rFonts w:ascii="Times New Roman" w:hAnsi="Times New Roman"/>
          <w:sz w:val="24"/>
          <w:szCs w:val="24"/>
        </w:rPr>
        <w:t xml:space="preserve"> its well-reasoned opinion.</w:t>
      </w:r>
    </w:p>
    <w:p w14:paraId="4F4750FD" w14:textId="77777777" w:rsidR="00506EE7" w:rsidRDefault="00506EE7" w:rsidP="00506EE7">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lastRenderedPageBreak/>
        <w:t>***</w:t>
      </w:r>
    </w:p>
    <w:p w14:paraId="4A727FD4" w14:textId="1504CBF7" w:rsidR="00687C24" w:rsidRDefault="00506EE7" w:rsidP="00506EE7">
      <w:pPr>
        <w:rPr>
          <w:rStyle w:val="Hyperlink"/>
          <w:rFonts w:ascii="Times New Roman" w:eastAsia="Times New Roman" w:hAnsi="Times New Roman"/>
          <w:sz w:val="24"/>
          <w:szCs w:val="24"/>
        </w:rPr>
      </w:pPr>
      <w:r w:rsidRPr="003047ED">
        <w:rPr>
          <w:rFonts w:ascii="Times New Roman" w:eastAsia="Times New Roman" w:hAnsi="Times New Roman"/>
          <w:sz w:val="24"/>
          <w:szCs w:val="24"/>
        </w:rPr>
        <w:t xml:space="preserve">The paramedic-Defendants similarly raise a good faith immunity defense under Virginia's Good Samaritan statute. However, as the district court </w:t>
      </w:r>
      <w:proofErr w:type="gramStart"/>
      <w:r w:rsidRPr="003047ED">
        <w:rPr>
          <w:rFonts w:ascii="Times New Roman" w:eastAsia="Times New Roman" w:hAnsi="Times New Roman"/>
          <w:sz w:val="24"/>
          <w:szCs w:val="24"/>
        </w:rPr>
        <w:t xml:space="preserve">determined, </w:t>
      </w:r>
      <w:r>
        <w:rPr>
          <w:rFonts w:ascii="Times New Roman" w:eastAsia="Times New Roman" w:hAnsi="Times New Roman"/>
          <w:sz w:val="24"/>
          <w:szCs w:val="24"/>
        </w:rPr>
        <w:t>‘</w:t>
      </w:r>
      <w:proofErr w:type="gramEnd"/>
      <w:r w:rsidRPr="003047ED">
        <w:rPr>
          <w:rFonts w:ascii="Times New Roman" w:eastAsia="Times New Roman" w:hAnsi="Times New Roman"/>
          <w:sz w:val="24"/>
          <w:szCs w:val="24"/>
        </w:rPr>
        <w:t>this statute only shields those who</w:t>
      </w:r>
      <w:r>
        <w:rPr>
          <w:rFonts w:ascii="Times New Roman" w:eastAsia="Times New Roman" w:hAnsi="Times New Roman"/>
          <w:sz w:val="24"/>
          <w:szCs w:val="24"/>
        </w:rPr>
        <w:t xml:space="preserve"> ‘</w:t>
      </w:r>
      <w:r w:rsidRPr="003047ED">
        <w:rPr>
          <w:rFonts w:ascii="Times New Roman" w:eastAsia="Times New Roman" w:hAnsi="Times New Roman"/>
          <w:sz w:val="24"/>
          <w:szCs w:val="24"/>
        </w:rPr>
        <w:t>in good faith render[] emergency care or assistance.</w:t>
      </w:r>
      <w:r>
        <w:rPr>
          <w:rFonts w:ascii="Times New Roman" w:eastAsia="Times New Roman" w:hAnsi="Times New Roman"/>
          <w:sz w:val="24"/>
          <w:szCs w:val="24"/>
        </w:rPr>
        <w:t xml:space="preserve">’ </w:t>
      </w:r>
      <w:r w:rsidRPr="003047ED">
        <w:rPr>
          <w:rFonts w:ascii="Times New Roman" w:eastAsia="Times New Roman" w:hAnsi="Times New Roman"/>
          <w:i/>
          <w:iCs/>
          <w:sz w:val="24"/>
          <w:szCs w:val="24"/>
        </w:rPr>
        <w:t>Id</w:t>
      </w:r>
      <w:r w:rsidRPr="003047ED">
        <w:rPr>
          <w:rFonts w:ascii="Times New Roman" w:eastAsia="Times New Roman" w:hAnsi="Times New Roman"/>
          <w:sz w:val="24"/>
          <w:szCs w:val="24"/>
        </w:rPr>
        <w:t xml:space="preserve">. The complaint asserts that the paramedics </w:t>
      </w:r>
      <w:r>
        <w:rPr>
          <w:rFonts w:ascii="Times New Roman" w:eastAsia="Times New Roman" w:hAnsi="Times New Roman"/>
          <w:sz w:val="24"/>
          <w:szCs w:val="24"/>
        </w:rPr>
        <w:t>‘</w:t>
      </w:r>
      <w:r w:rsidRPr="003047ED">
        <w:rPr>
          <w:rFonts w:ascii="Times New Roman" w:eastAsia="Times New Roman" w:hAnsi="Times New Roman"/>
          <w:sz w:val="24"/>
          <w:szCs w:val="24"/>
        </w:rPr>
        <w:t>failed</w:t>
      </w:r>
      <w:r>
        <w:rPr>
          <w:rFonts w:ascii="Times New Roman" w:eastAsia="Times New Roman" w:hAnsi="Times New Roman"/>
          <w:sz w:val="24"/>
          <w:szCs w:val="24"/>
        </w:rPr>
        <w:t>’</w:t>
      </w:r>
      <w:r w:rsidRPr="003047ED">
        <w:rPr>
          <w:rFonts w:ascii="Times New Roman" w:eastAsia="Times New Roman" w:hAnsi="Times New Roman"/>
          <w:sz w:val="24"/>
          <w:szCs w:val="24"/>
        </w:rPr>
        <w:t xml:space="preserve"> to provide Lawhon with emergency care or assistance. Thus, the statute cannot immunize the paramedics at this stage of the litigation. </w:t>
      </w:r>
      <w:r>
        <w:rPr>
          <w:rFonts w:ascii="Times New Roman" w:eastAsia="Times New Roman" w:hAnsi="Times New Roman"/>
          <w:sz w:val="24"/>
          <w:szCs w:val="24"/>
        </w:rPr>
        <w:t>‘</w:t>
      </w:r>
      <w:r w:rsidRPr="003047ED">
        <w:rPr>
          <w:rFonts w:ascii="Times New Roman" w:eastAsia="Times New Roman" w:hAnsi="Times New Roman"/>
          <w:sz w:val="24"/>
          <w:szCs w:val="24"/>
        </w:rPr>
        <w:t>The parallel state law claim[s] of . . . battery [are] subsumed within the federal excessive force claim and so go[] forward as well.</w:t>
      </w:r>
      <w:r>
        <w:rPr>
          <w:rFonts w:ascii="Times New Roman" w:eastAsia="Times New Roman" w:hAnsi="Times New Roman"/>
          <w:sz w:val="24"/>
          <w:szCs w:val="24"/>
        </w:rPr>
        <w:t>’</w:t>
      </w:r>
      <w:r w:rsidRPr="003047ED">
        <w:rPr>
          <w:rFonts w:ascii="Times New Roman" w:eastAsia="Times New Roman" w:hAnsi="Times New Roman"/>
          <w:sz w:val="24"/>
          <w:szCs w:val="24"/>
        </w:rPr>
        <w:t xml:space="preserve"> </w:t>
      </w:r>
      <w:r w:rsidRPr="003047ED">
        <w:rPr>
          <w:rFonts w:ascii="Times New Roman" w:eastAsia="Times New Roman" w:hAnsi="Times New Roman"/>
          <w:i/>
          <w:iCs/>
          <w:sz w:val="24"/>
          <w:szCs w:val="24"/>
        </w:rPr>
        <w:t>Rowland v. Perry</w:t>
      </w:r>
      <w:r w:rsidRPr="003047ED">
        <w:rPr>
          <w:rFonts w:ascii="Times New Roman" w:eastAsia="Times New Roman" w:hAnsi="Times New Roman"/>
          <w:sz w:val="24"/>
          <w:szCs w:val="24"/>
        </w:rPr>
        <w:t>, 41 F.3d 167, 174 (4th Cir. 1994).</w:t>
      </w:r>
      <w:r>
        <w:rPr>
          <w:rFonts w:ascii="Times New Roman" w:eastAsia="Times New Roman" w:hAnsi="Times New Roman"/>
          <w:sz w:val="24"/>
          <w:szCs w:val="24"/>
        </w:rPr>
        <w:t xml:space="preserve">” </w:t>
      </w:r>
      <w:hyperlink r:id="rId2278" w:history="1">
        <w:r w:rsidRPr="00B5148B">
          <w:rPr>
            <w:rStyle w:val="Hyperlink"/>
            <w:rFonts w:ascii="Times New Roman" w:eastAsia="Times New Roman" w:hAnsi="Times New Roman"/>
            <w:sz w:val="24"/>
            <w:szCs w:val="24"/>
          </w:rPr>
          <w:t>https://www.ca4.uscourts.gov/Opinions/201906.U.pdf</w:t>
        </w:r>
      </w:hyperlink>
    </w:p>
    <w:p w14:paraId="415DD84B" w14:textId="77777777" w:rsidR="00506EE7" w:rsidRPr="00CE738F" w:rsidRDefault="00506EE7" w:rsidP="00506EE7">
      <w:pPr>
        <w:spacing w:before="100" w:beforeAutospacing="1" w:after="100" w:afterAutospacing="1" w:line="240" w:lineRule="auto"/>
        <w:rPr>
          <w:rFonts w:ascii="Times New Roman" w:eastAsia="Times New Roman" w:hAnsi="Times New Roman"/>
          <w:b/>
          <w:bCs/>
          <w:sz w:val="24"/>
          <w:szCs w:val="24"/>
        </w:rPr>
      </w:pPr>
      <w:r w:rsidRPr="00FE2276">
        <w:rPr>
          <w:rFonts w:ascii="Times New Roman" w:eastAsia="Times New Roman" w:hAnsi="Times New Roman"/>
          <w:b/>
          <w:bCs/>
          <w:sz w:val="24"/>
          <w:szCs w:val="24"/>
        </w:rPr>
        <w:t>Legal Lesson Learned:</w:t>
      </w:r>
      <w:r>
        <w:rPr>
          <w:rFonts w:ascii="Times New Roman" w:eastAsia="Times New Roman" w:hAnsi="Times New Roman"/>
          <w:b/>
          <w:bCs/>
          <w:sz w:val="24"/>
          <w:szCs w:val="24"/>
        </w:rPr>
        <w:t xml:space="preserve"> When police use force to restrain a patient, it is particularly important that EMS thoroughly document their actions at that scene, including </w:t>
      </w:r>
      <w:proofErr w:type="gramStart"/>
      <w:r>
        <w:rPr>
          <w:rFonts w:ascii="Times New Roman" w:eastAsia="Times New Roman" w:hAnsi="Times New Roman"/>
          <w:b/>
          <w:bCs/>
          <w:sz w:val="24"/>
          <w:szCs w:val="24"/>
        </w:rPr>
        <w:t>both in</w:t>
      </w:r>
      <w:proofErr w:type="gramEnd"/>
      <w:r>
        <w:rPr>
          <w:rFonts w:ascii="Times New Roman" w:eastAsia="Times New Roman" w:hAnsi="Times New Roman"/>
          <w:b/>
          <w:bCs/>
          <w:sz w:val="24"/>
          <w:szCs w:val="24"/>
        </w:rPr>
        <w:t xml:space="preserve"> assisting the patient and the police. </w:t>
      </w:r>
    </w:p>
    <w:p w14:paraId="44F8C806" w14:textId="171E7822" w:rsidR="00506EE7" w:rsidRDefault="00506EE7" w:rsidP="00506EE7">
      <w:pPr>
        <w:rPr>
          <w:rStyle w:val="Hyperlink"/>
          <w:rFonts w:ascii="Times New Roman" w:eastAsia="Times New Roman" w:hAnsi="Times New Roman"/>
          <w:sz w:val="24"/>
          <w:szCs w:val="24"/>
        </w:rPr>
      </w:pPr>
    </w:p>
    <w:p w14:paraId="06F35DB0" w14:textId="77777777" w:rsidR="00506EE7" w:rsidRDefault="00506EE7" w:rsidP="00506EE7">
      <w:pPr>
        <w:rPr>
          <w:rFonts w:ascii="Arial Black" w:hAnsi="Arial Black"/>
          <w:b/>
          <w:bCs/>
          <w:sz w:val="28"/>
          <w:szCs w:val="28"/>
        </w:rPr>
      </w:pPr>
    </w:p>
    <w:p w14:paraId="7DEEEB5C" w14:textId="71830562" w:rsidR="00687C24" w:rsidRDefault="00687C24" w:rsidP="002B1283">
      <w:pPr>
        <w:rPr>
          <w:rFonts w:ascii="Arial Black" w:hAnsi="Arial Black"/>
          <w:b/>
          <w:bCs/>
          <w:sz w:val="28"/>
          <w:szCs w:val="28"/>
        </w:rPr>
      </w:pPr>
      <w:r>
        <w:rPr>
          <w:rFonts w:ascii="Arial Black" w:hAnsi="Arial Black"/>
          <w:b/>
          <w:bCs/>
          <w:sz w:val="28"/>
          <w:szCs w:val="28"/>
        </w:rPr>
        <w:t>13-98</w:t>
      </w:r>
    </w:p>
    <w:p w14:paraId="575BCC8A" w14:textId="77777777" w:rsidR="00687C24" w:rsidRDefault="00687C24" w:rsidP="00687C24">
      <w:pPr>
        <w:spacing w:before="100" w:beforeAutospacing="1" w:after="100" w:afterAutospacing="1" w:line="240" w:lineRule="auto"/>
        <w:rPr>
          <w:rFonts w:ascii="Arial Black" w:eastAsia="Times New Roman" w:hAnsi="Arial Black"/>
          <w:sz w:val="28"/>
          <w:szCs w:val="28"/>
        </w:rPr>
      </w:pPr>
      <w:r>
        <w:rPr>
          <w:rFonts w:ascii="Arial Black" w:eastAsia="Times New Roman" w:hAnsi="Arial Black"/>
          <w:sz w:val="28"/>
          <w:szCs w:val="28"/>
        </w:rPr>
        <w:t xml:space="preserve">LA: OIL WELL EMPLOYEE – STROKE – TPA PROPERLY NOT GIVEN – “LAST KNOWN WELL TIME” BEYOND 4.5 HOURS </w:t>
      </w:r>
    </w:p>
    <w:p w14:paraId="77C2B92C" w14:textId="77777777" w:rsidR="00687C24" w:rsidRDefault="00687C24" w:rsidP="00687C24">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On Nov. 12, 2021, in </w:t>
      </w:r>
      <w:r w:rsidRPr="00B13AD4">
        <w:rPr>
          <w:rFonts w:ascii="Times New Roman" w:eastAsia="Times New Roman" w:hAnsi="Times New Roman"/>
          <w:sz w:val="24"/>
          <w:szCs w:val="24"/>
          <w:u w:val="single"/>
        </w:rPr>
        <w:t>Daniel Ramirez v. Talos Guld Coast Offshore LLC, et al.</w:t>
      </w:r>
      <w:r>
        <w:rPr>
          <w:rFonts w:ascii="Times New Roman" w:eastAsia="Times New Roman" w:hAnsi="Times New Roman"/>
          <w:sz w:val="24"/>
          <w:szCs w:val="24"/>
        </w:rPr>
        <w:t xml:space="preserve">, Chief U.S. District Court Judge Lee H. Rosenthal, U.S. District Court, Southern District of Texas (Houston Division) granted summary judgment to Talos, since there was no negligence by the Offshore Oil Company, the paramedic on the oil rig, the paramedic on the helicopter which flew him to the hospital, or the physicians who treated him.  </w:t>
      </w:r>
    </w:p>
    <w:p w14:paraId="0446D489" w14:textId="77777777" w:rsidR="00687C24" w:rsidRDefault="00687C24" w:rsidP="00687C24">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w:t>
      </w:r>
      <w:r w:rsidRPr="008C070A">
        <w:rPr>
          <w:rFonts w:ascii="Times New Roman" w:eastAsia="Times New Roman" w:hAnsi="Times New Roman"/>
          <w:sz w:val="24"/>
          <w:szCs w:val="24"/>
        </w:rPr>
        <w:t xml:space="preserve">Ramirez argues that Talos's negligent delay in sending him to the hospital precluded him from getting the tPA treatment, which would have avoided the permanent effects of his stroke. Talos argues that </w:t>
      </w:r>
      <w:r>
        <w:rPr>
          <w:rFonts w:ascii="Times New Roman" w:eastAsia="Times New Roman" w:hAnsi="Times New Roman"/>
          <w:sz w:val="24"/>
          <w:szCs w:val="24"/>
        </w:rPr>
        <w:t>‘</w:t>
      </w:r>
      <w:r w:rsidRPr="008C070A">
        <w:rPr>
          <w:rFonts w:ascii="Times New Roman" w:eastAsia="Times New Roman" w:hAnsi="Times New Roman"/>
          <w:sz w:val="24"/>
          <w:szCs w:val="24"/>
        </w:rPr>
        <w:t>the period to give tPA expired before [Ramirez] even woke up on the [platform]</w:t>
      </w:r>
      <w:r>
        <w:rPr>
          <w:rFonts w:ascii="Times New Roman" w:eastAsia="Times New Roman" w:hAnsi="Times New Roman"/>
          <w:sz w:val="24"/>
          <w:szCs w:val="24"/>
        </w:rPr>
        <w:t>….’ ‘</w:t>
      </w:r>
      <w:r w:rsidRPr="008C070A">
        <w:rPr>
          <w:rFonts w:ascii="Times New Roman" w:eastAsia="Times New Roman" w:hAnsi="Times New Roman"/>
          <w:sz w:val="24"/>
          <w:szCs w:val="24"/>
        </w:rPr>
        <w:t>[T]he treating physicians at WJMC . . . testified that they would never have administered a tPA to [Ramirez]</w:t>
      </w:r>
      <w:r>
        <w:rPr>
          <w:rFonts w:ascii="Times New Roman" w:eastAsia="Times New Roman" w:hAnsi="Times New Roman"/>
          <w:sz w:val="24"/>
          <w:szCs w:val="24"/>
        </w:rPr>
        <w:t>’</w:t>
      </w:r>
      <w:r w:rsidRPr="008C070A">
        <w:rPr>
          <w:rFonts w:ascii="Times New Roman" w:eastAsia="Times New Roman" w:hAnsi="Times New Roman"/>
          <w:sz w:val="24"/>
          <w:szCs w:val="24"/>
        </w:rPr>
        <w:t xml:space="preserve"> even if he somehow could have reached the hospital the </w:t>
      </w:r>
      <w:proofErr w:type="gramStart"/>
      <w:r w:rsidRPr="008C070A">
        <w:rPr>
          <w:rFonts w:ascii="Times New Roman" w:eastAsia="Times New Roman" w:hAnsi="Times New Roman"/>
          <w:sz w:val="24"/>
          <w:szCs w:val="24"/>
        </w:rPr>
        <w:t>minute</w:t>
      </w:r>
      <w:proofErr w:type="gramEnd"/>
      <w:r w:rsidRPr="008C070A">
        <w:rPr>
          <w:rFonts w:ascii="Times New Roman" w:eastAsia="Times New Roman" w:hAnsi="Times New Roman"/>
          <w:sz w:val="24"/>
          <w:szCs w:val="24"/>
        </w:rPr>
        <w:t xml:space="preserve"> he woke up</w:t>
      </w:r>
      <w:r>
        <w:rPr>
          <w:rFonts w:ascii="Times New Roman" w:eastAsia="Times New Roman" w:hAnsi="Times New Roman"/>
          <w:sz w:val="24"/>
          <w:szCs w:val="24"/>
        </w:rPr>
        <w:t xml:space="preserve">…. </w:t>
      </w:r>
      <w:r w:rsidRPr="008C070A">
        <w:rPr>
          <w:rFonts w:ascii="Times New Roman" w:eastAsia="Times New Roman" w:hAnsi="Times New Roman"/>
          <w:sz w:val="24"/>
          <w:szCs w:val="24"/>
        </w:rPr>
        <w:t xml:space="preserve">Talos's conduct had no bearing on whether Ramirez could receive tPA treatment. In short, Talos neither caused nor contributed to the reason Ramirez did not get tPA. </w:t>
      </w:r>
    </w:p>
    <w:p w14:paraId="2C542F83" w14:textId="77777777" w:rsidR="00687C24" w:rsidRDefault="00687C24" w:rsidP="00687C24">
      <w:pPr>
        <w:spacing w:before="100" w:beforeAutospacing="1" w:after="100" w:afterAutospacing="1" w:line="240" w:lineRule="auto"/>
        <w:ind w:firstLine="720"/>
        <w:rPr>
          <w:rFonts w:ascii="Times New Roman" w:eastAsia="Times New Roman" w:hAnsi="Times New Roman"/>
          <w:sz w:val="24"/>
          <w:szCs w:val="24"/>
        </w:rPr>
      </w:pPr>
      <w:r>
        <w:rPr>
          <w:rFonts w:ascii="Times New Roman" w:eastAsia="Times New Roman" w:hAnsi="Times New Roman"/>
          <w:sz w:val="24"/>
          <w:szCs w:val="24"/>
        </w:rPr>
        <w:t>***</w:t>
      </w:r>
    </w:p>
    <w:p w14:paraId="34AF80B8" w14:textId="77777777" w:rsidR="00687C24" w:rsidRDefault="00687C24" w:rsidP="00687C24">
      <w:pPr>
        <w:spacing w:before="100" w:beforeAutospacing="1" w:after="100" w:afterAutospacing="1" w:line="240" w:lineRule="auto"/>
        <w:ind w:left="720"/>
        <w:rPr>
          <w:rFonts w:ascii="Times New Roman" w:hAnsi="Times New Roman"/>
          <w:sz w:val="24"/>
          <w:szCs w:val="24"/>
        </w:rPr>
      </w:pPr>
      <w:r w:rsidRPr="0090643F">
        <w:rPr>
          <w:rFonts w:ascii="Times New Roman" w:hAnsi="Times New Roman"/>
          <w:sz w:val="24"/>
          <w:szCs w:val="24"/>
        </w:rPr>
        <w:t xml:space="preserve">Ramirez was not administered tPA on the helicopter or at the hospital, however, because everyone who treated Ramirez believed that his </w:t>
      </w:r>
      <w:r>
        <w:rPr>
          <w:rFonts w:ascii="Times New Roman" w:hAnsi="Times New Roman"/>
          <w:sz w:val="24"/>
          <w:szCs w:val="24"/>
        </w:rPr>
        <w:t>‘</w:t>
      </w:r>
      <w:r w:rsidRPr="0090643F">
        <w:rPr>
          <w:rFonts w:ascii="Times New Roman" w:hAnsi="Times New Roman"/>
          <w:sz w:val="24"/>
          <w:szCs w:val="24"/>
        </w:rPr>
        <w:t>last known well time</w:t>
      </w:r>
      <w:r>
        <w:rPr>
          <w:rFonts w:ascii="Times New Roman" w:hAnsi="Times New Roman"/>
          <w:sz w:val="24"/>
          <w:szCs w:val="24"/>
        </w:rPr>
        <w:t xml:space="preserve">’ </w:t>
      </w:r>
      <w:r w:rsidRPr="0090643F">
        <w:rPr>
          <w:rFonts w:ascii="Times New Roman" w:hAnsi="Times New Roman"/>
          <w:sz w:val="24"/>
          <w:szCs w:val="24"/>
        </w:rPr>
        <w:t>was around 7:00 p.m. to 7:30 p.m., when Ramirez went to sleep, and not 1:30 a.m., when Ramirez woke up. That put Ramirez over four and a half hours-outside the window to receive tPA.</w:t>
      </w:r>
      <w:r>
        <w:rPr>
          <w:rFonts w:ascii="Times New Roman" w:hAnsi="Times New Roman"/>
          <w:sz w:val="24"/>
          <w:szCs w:val="24"/>
        </w:rPr>
        <w:t xml:space="preserve">” </w:t>
      </w:r>
      <w:hyperlink r:id="rId2279" w:history="1">
        <w:r w:rsidRPr="00316766">
          <w:rPr>
            <w:rStyle w:val="Hyperlink"/>
            <w:rFonts w:ascii="Times New Roman" w:hAnsi="Times New Roman"/>
            <w:sz w:val="24"/>
            <w:szCs w:val="24"/>
          </w:rPr>
          <w:t>https://casetext.com/case/ramirez-v-talos-gulf-coast-offshore-llc</w:t>
        </w:r>
      </w:hyperlink>
      <w:r>
        <w:rPr>
          <w:rFonts w:ascii="Times New Roman" w:hAnsi="Times New Roman"/>
          <w:sz w:val="24"/>
          <w:szCs w:val="24"/>
        </w:rPr>
        <w:t xml:space="preserve"> </w:t>
      </w:r>
    </w:p>
    <w:p w14:paraId="5DBBE3FA" w14:textId="77777777" w:rsidR="00687C24" w:rsidRDefault="00687C24" w:rsidP="00687C24">
      <w:pPr>
        <w:spacing w:before="100" w:beforeAutospacing="1" w:after="100" w:afterAutospacing="1" w:line="240" w:lineRule="auto"/>
        <w:rPr>
          <w:rFonts w:ascii="Times New Roman" w:eastAsia="Times New Roman" w:hAnsi="Times New Roman"/>
          <w:b/>
          <w:bCs/>
          <w:sz w:val="24"/>
          <w:szCs w:val="24"/>
        </w:rPr>
      </w:pPr>
      <w:r w:rsidRPr="004341DD">
        <w:rPr>
          <w:rFonts w:ascii="Times New Roman" w:eastAsia="Times New Roman" w:hAnsi="Times New Roman"/>
          <w:b/>
          <w:bCs/>
          <w:sz w:val="24"/>
          <w:szCs w:val="24"/>
        </w:rPr>
        <w:t>Legal Lesson Learned:</w:t>
      </w:r>
      <w:r>
        <w:rPr>
          <w:rFonts w:ascii="Times New Roman" w:eastAsia="Times New Roman" w:hAnsi="Times New Roman"/>
          <w:b/>
          <w:bCs/>
          <w:sz w:val="24"/>
          <w:szCs w:val="24"/>
        </w:rPr>
        <w:t xml:space="preserve"> There was no negligence by the employer or anyone else in treatment of the patient. </w:t>
      </w:r>
    </w:p>
    <w:p w14:paraId="70D707FB" w14:textId="77777777" w:rsidR="00687C24" w:rsidRDefault="00687C24" w:rsidP="002B1283">
      <w:pPr>
        <w:rPr>
          <w:rFonts w:ascii="Arial Black" w:hAnsi="Arial Black"/>
          <w:b/>
          <w:bCs/>
          <w:sz w:val="28"/>
          <w:szCs w:val="28"/>
        </w:rPr>
      </w:pPr>
    </w:p>
    <w:p w14:paraId="08666175" w14:textId="77777777" w:rsidR="00687C24" w:rsidRDefault="00687C24" w:rsidP="002B1283">
      <w:pPr>
        <w:rPr>
          <w:rFonts w:ascii="Arial Black" w:hAnsi="Arial Black"/>
          <w:b/>
          <w:bCs/>
          <w:sz w:val="28"/>
          <w:szCs w:val="28"/>
        </w:rPr>
      </w:pPr>
    </w:p>
    <w:p w14:paraId="0A9B7F10" w14:textId="51C83357" w:rsidR="00687C24" w:rsidRDefault="00687C24" w:rsidP="002B1283">
      <w:pPr>
        <w:rPr>
          <w:rFonts w:ascii="Arial Black" w:hAnsi="Arial Black"/>
          <w:b/>
          <w:bCs/>
          <w:sz w:val="28"/>
          <w:szCs w:val="28"/>
        </w:rPr>
      </w:pPr>
      <w:r>
        <w:rPr>
          <w:rFonts w:ascii="Arial Black" w:hAnsi="Arial Black"/>
          <w:b/>
          <w:bCs/>
          <w:sz w:val="28"/>
          <w:szCs w:val="28"/>
        </w:rPr>
        <w:t>13-97</w:t>
      </w:r>
    </w:p>
    <w:p w14:paraId="2CB255B9" w14:textId="77777777" w:rsidR="00687C24" w:rsidRDefault="00687C24" w:rsidP="00687C24">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IL: EMS POSTED PHOTOS SNAPCHAT – PATIENT’S SEVERED HAND / ARM - FED. CASE DISMISSED, SUE IN STATE COURT</w:t>
      </w:r>
    </w:p>
    <w:p w14:paraId="508F6955" w14:textId="77777777" w:rsidR="00687C24" w:rsidRDefault="00687C24" w:rsidP="00687C24">
      <w:pPr>
        <w:spacing w:before="100" w:beforeAutospacing="1" w:after="100" w:afterAutospacing="1" w:line="240" w:lineRule="auto"/>
        <w:rPr>
          <w:rFonts w:ascii="Times New Roman" w:eastAsia="Times New Roman" w:hAnsi="Times New Roman"/>
          <w:sz w:val="24"/>
          <w:szCs w:val="24"/>
        </w:rPr>
      </w:pPr>
      <w:r w:rsidRPr="00E057FE">
        <w:rPr>
          <w:rFonts w:ascii="Times New Roman" w:eastAsia="Times New Roman" w:hAnsi="Times New Roman"/>
          <w:sz w:val="24"/>
          <w:szCs w:val="24"/>
        </w:rPr>
        <w:t xml:space="preserve">On </w:t>
      </w:r>
      <w:r>
        <w:rPr>
          <w:rFonts w:ascii="Times New Roman" w:eastAsia="Times New Roman" w:hAnsi="Times New Roman"/>
          <w:sz w:val="24"/>
          <w:szCs w:val="24"/>
        </w:rPr>
        <w:t xml:space="preserve">Nov. 2, 2021, in </w:t>
      </w:r>
      <w:r w:rsidRPr="00E057FE">
        <w:rPr>
          <w:rFonts w:ascii="Times New Roman" w:eastAsia="Times New Roman" w:hAnsi="Times New Roman"/>
          <w:sz w:val="24"/>
          <w:szCs w:val="24"/>
          <w:u w:val="single"/>
        </w:rPr>
        <w:t>Omero Ortiz v. Anthony Renteria, Christopher Calhoun, Town of Cicero, and Metro Paramedic Services, Inc</w:t>
      </w:r>
      <w:r>
        <w:rPr>
          <w:rFonts w:ascii="Times New Roman" w:eastAsia="Times New Roman" w:hAnsi="Times New Roman"/>
          <w:sz w:val="24"/>
          <w:szCs w:val="24"/>
        </w:rPr>
        <w:t>., U.S. District Court Judge Gary Feinerman, U.S. District Court for Northern District of Illinois (Eastern Division) granted the Town of Cicero’s motion to dismiss and also dismissed the paramedics and their employer from the Federal lawsuit.  Plaintiff sued for violation of Due Process under 14</w:t>
      </w:r>
      <w:r w:rsidRPr="00287339">
        <w:rPr>
          <w:rFonts w:ascii="Times New Roman" w:eastAsia="Times New Roman" w:hAnsi="Times New Roman"/>
          <w:sz w:val="24"/>
          <w:szCs w:val="24"/>
          <w:vertAlign w:val="superscript"/>
        </w:rPr>
        <w:t>th</w:t>
      </w:r>
      <w:r>
        <w:rPr>
          <w:rFonts w:ascii="Times New Roman" w:eastAsia="Times New Roman" w:hAnsi="Times New Roman"/>
          <w:sz w:val="24"/>
          <w:szCs w:val="24"/>
        </w:rPr>
        <w:t xml:space="preserve"> Amendment, alleging the paramedics </w:t>
      </w:r>
      <w:r w:rsidRPr="00287339">
        <w:rPr>
          <w:rFonts w:ascii="Times New Roman" w:hAnsi="Times New Roman"/>
          <w:sz w:val="24"/>
          <w:szCs w:val="24"/>
        </w:rPr>
        <w:t xml:space="preserve">violated his </w:t>
      </w:r>
      <w:r>
        <w:rPr>
          <w:rFonts w:ascii="Times New Roman" w:hAnsi="Times New Roman"/>
          <w:sz w:val="24"/>
          <w:szCs w:val="24"/>
        </w:rPr>
        <w:t>“</w:t>
      </w:r>
      <w:r w:rsidRPr="00287339">
        <w:rPr>
          <w:rFonts w:ascii="Times New Roman" w:hAnsi="Times New Roman"/>
          <w:sz w:val="24"/>
          <w:szCs w:val="24"/>
        </w:rPr>
        <w:t>right to medical privacy</w:t>
      </w:r>
      <w:r>
        <w:rPr>
          <w:rFonts w:ascii="Times New Roman" w:hAnsi="Times New Roman"/>
          <w:sz w:val="24"/>
          <w:szCs w:val="24"/>
        </w:rPr>
        <w:t xml:space="preserve">,” but they never disclosed the patient’s name.  When </w:t>
      </w:r>
      <w:r>
        <w:rPr>
          <w:rFonts w:ascii="Times New Roman" w:eastAsia="Times New Roman" w:hAnsi="Times New Roman"/>
          <w:sz w:val="24"/>
          <w:szCs w:val="24"/>
        </w:rPr>
        <w:t xml:space="preserve">the paramedics posted photos of the patient’s severed left hand and left arm on Snapchat, they included a comment, “Feeling Blessed” along with </w:t>
      </w:r>
      <w:r w:rsidRPr="00C747D8">
        <w:rPr>
          <w:rFonts w:ascii="Times New Roman" w:hAnsi="Times New Roman"/>
          <w:sz w:val="24"/>
          <w:szCs w:val="24"/>
        </w:rPr>
        <w:t>several emojis</w:t>
      </w:r>
      <w:r>
        <w:rPr>
          <w:rFonts w:ascii="Times New Roman" w:hAnsi="Times New Roman"/>
          <w:sz w:val="24"/>
          <w:szCs w:val="24"/>
        </w:rPr>
        <w:t xml:space="preserve">.  </w:t>
      </w:r>
      <w:r>
        <w:rPr>
          <w:rFonts w:ascii="Times New Roman" w:eastAsia="Times New Roman" w:hAnsi="Times New Roman"/>
          <w:sz w:val="24"/>
          <w:szCs w:val="24"/>
        </w:rPr>
        <w:t xml:space="preserve">The plaintiff now has one year to file lawsuit in State court. </w:t>
      </w:r>
    </w:p>
    <w:p w14:paraId="28C8B487" w14:textId="77777777" w:rsidR="00687C24" w:rsidRDefault="00687C24" w:rsidP="00687C24">
      <w:pPr>
        <w:spacing w:before="100" w:beforeAutospacing="1" w:after="100" w:afterAutospacing="1" w:line="240" w:lineRule="auto"/>
        <w:ind w:left="720"/>
        <w:rPr>
          <w:rFonts w:ascii="Times New Roman" w:hAnsi="Times New Roman"/>
          <w:sz w:val="24"/>
          <w:szCs w:val="24"/>
        </w:rPr>
      </w:pPr>
      <w:r w:rsidRPr="00D561C5">
        <w:rPr>
          <w:rFonts w:ascii="Times New Roman" w:hAnsi="Times New Roman"/>
          <w:sz w:val="24"/>
          <w:szCs w:val="24"/>
        </w:rPr>
        <w:t xml:space="preserve">“Cicero does not argue that the public interest justified Renteria and Calhoun's publication of the photographs of his injuries on Snapchat. Thus, the question whether Ortiz states a due process medical privacy claim turns on whether the photographs disclosed his private medical information. To support his view that they did, Ortiz observes </w:t>
      </w:r>
      <w:r>
        <w:rPr>
          <w:rFonts w:ascii="Times New Roman" w:hAnsi="Times New Roman"/>
          <w:sz w:val="24"/>
          <w:szCs w:val="24"/>
        </w:rPr>
        <w:t>‘</w:t>
      </w:r>
      <w:r w:rsidRPr="00D561C5">
        <w:rPr>
          <w:rFonts w:ascii="Times New Roman" w:hAnsi="Times New Roman"/>
          <w:sz w:val="24"/>
          <w:szCs w:val="24"/>
        </w:rPr>
        <w:t>that he suffered a horrific accident that caused him great bodily harm, in which his arm was amputated from his body,</w:t>
      </w:r>
      <w:r>
        <w:rPr>
          <w:rFonts w:ascii="Times New Roman" w:hAnsi="Times New Roman"/>
          <w:sz w:val="24"/>
          <w:szCs w:val="24"/>
        </w:rPr>
        <w:t xml:space="preserve">’ </w:t>
      </w:r>
      <w:r w:rsidRPr="00D561C5">
        <w:rPr>
          <w:rFonts w:ascii="Times New Roman" w:hAnsi="Times New Roman"/>
          <w:sz w:val="24"/>
          <w:szCs w:val="24"/>
        </w:rPr>
        <w:t xml:space="preserve">and contends that Renteria and Calhoun's posting of the photographs violated </w:t>
      </w:r>
      <w:r>
        <w:rPr>
          <w:rFonts w:ascii="Times New Roman" w:hAnsi="Times New Roman"/>
          <w:sz w:val="24"/>
          <w:szCs w:val="24"/>
        </w:rPr>
        <w:t>‘</w:t>
      </w:r>
      <w:r w:rsidRPr="00D561C5">
        <w:rPr>
          <w:rFonts w:ascii="Times New Roman" w:hAnsi="Times New Roman"/>
          <w:sz w:val="24"/>
          <w:szCs w:val="24"/>
        </w:rPr>
        <w:t>his fundamental right to privacy of his medical condition, i.e.[, ] the unintentional amputation of his arm</w:t>
      </w:r>
      <w:r>
        <w:rPr>
          <w:rFonts w:ascii="Times New Roman" w:hAnsi="Times New Roman"/>
          <w:sz w:val="24"/>
          <w:szCs w:val="24"/>
        </w:rPr>
        <w:t xml:space="preserve">….’ </w:t>
      </w:r>
      <w:r w:rsidRPr="00D561C5">
        <w:rPr>
          <w:rFonts w:ascii="Times New Roman" w:hAnsi="Times New Roman"/>
          <w:sz w:val="24"/>
          <w:szCs w:val="24"/>
        </w:rPr>
        <w:t>Ortiz's submission is unpersuasive.</w:t>
      </w:r>
    </w:p>
    <w:p w14:paraId="36C25FEF" w14:textId="77777777" w:rsidR="00687C24" w:rsidRDefault="00687C24" w:rsidP="00687C24">
      <w:pPr>
        <w:pStyle w:val="paragraph"/>
        <w:ind w:left="720"/>
      </w:pPr>
      <w:r>
        <w:t xml:space="preserve">First, the fact that Ortiz was harmed in a ‘horrific accident’ is not private medical information because it is not </w:t>
      </w:r>
      <w:r>
        <w:rPr>
          <w:i/>
          <w:iCs/>
        </w:rPr>
        <w:t>medical</w:t>
      </w:r>
      <w:r>
        <w:t xml:space="preserve">. Rather, it concerned a traumatic event-akin to a traffic accident, or a shooting-and the consequences of that event-akin to a broken arm caused by a traffic accident, or a bullet wound caused by a shooting. </w:t>
      </w:r>
    </w:p>
    <w:p w14:paraId="59E712D6" w14:textId="77777777" w:rsidR="00687C24" w:rsidRPr="00D561C5" w:rsidRDefault="00687C24" w:rsidP="00687C24">
      <w:pPr>
        <w:spacing w:before="100" w:beforeAutospacing="1" w:after="100" w:afterAutospacing="1" w:line="240" w:lineRule="auto"/>
        <w:ind w:left="720"/>
        <w:rPr>
          <w:rFonts w:ascii="Times New Roman" w:hAnsi="Times New Roman"/>
          <w:sz w:val="24"/>
          <w:szCs w:val="24"/>
        </w:rPr>
      </w:pPr>
      <w:r w:rsidRPr="00D561C5">
        <w:rPr>
          <w:rFonts w:ascii="Times New Roman" w:hAnsi="Times New Roman"/>
          <w:sz w:val="24"/>
          <w:szCs w:val="24"/>
        </w:rPr>
        <w:t xml:space="preserve">Second, at least on the facts alleged, the fact that Ortiz lost his left arm is not private medical information because it is not </w:t>
      </w:r>
      <w:r w:rsidRPr="00D561C5">
        <w:rPr>
          <w:rFonts w:ascii="Times New Roman" w:hAnsi="Times New Roman"/>
          <w:i/>
          <w:iCs/>
          <w:sz w:val="24"/>
          <w:szCs w:val="24"/>
        </w:rPr>
        <w:t>private</w:t>
      </w:r>
      <w:r w:rsidRPr="00D561C5">
        <w:rPr>
          <w:rFonts w:ascii="Times New Roman" w:hAnsi="Times New Roman"/>
          <w:sz w:val="24"/>
          <w:szCs w:val="24"/>
        </w:rPr>
        <w:t>. As the Seventh Circuit has explained, ‘the existence and extent of constitutional protection for confidential information [turns on] the type of information involved and the reasonable expectation that that information would remain confidential,’ and ‘medical information may be a form of protected confidential information because of its intimate and personal nature</w:t>
      </w:r>
      <w:r>
        <w:rPr>
          <w:rFonts w:ascii="Times New Roman" w:hAnsi="Times New Roman"/>
          <w:sz w:val="24"/>
          <w:szCs w:val="24"/>
        </w:rPr>
        <w:t>….’</w:t>
      </w:r>
      <w:r w:rsidRPr="00D561C5">
        <w:rPr>
          <w:rFonts w:ascii="Times New Roman" w:hAnsi="Times New Roman"/>
          <w:i/>
          <w:iCs/>
          <w:sz w:val="24"/>
          <w:szCs w:val="24"/>
        </w:rPr>
        <w:t xml:space="preserve"> </w:t>
      </w:r>
      <w:r w:rsidRPr="00D561C5">
        <w:rPr>
          <w:rFonts w:ascii="Times New Roman" w:hAnsi="Times New Roman"/>
          <w:sz w:val="24"/>
          <w:szCs w:val="24"/>
        </w:rPr>
        <w:t xml:space="preserve">That Ortiz lost his left arm may be medical information, but it is not private medical information, as it is a readily observable condition. Ortiz does not allege that he considers his lost arm </w:t>
      </w:r>
      <w:r w:rsidRPr="00D561C5">
        <w:rPr>
          <w:rFonts w:ascii="Times New Roman" w:hAnsi="Times New Roman"/>
          <w:i/>
          <w:iCs/>
          <w:sz w:val="24"/>
          <w:szCs w:val="24"/>
        </w:rPr>
        <w:t>itself</w:t>
      </w:r>
      <w:r w:rsidRPr="00D561C5">
        <w:rPr>
          <w:rFonts w:ascii="Times New Roman" w:hAnsi="Times New Roman"/>
          <w:sz w:val="24"/>
          <w:szCs w:val="24"/>
        </w:rPr>
        <w:t xml:space="preserve">-as opposed to the fact that he lost his arm in a fireworks accident-to be private, nor does he allege that he </w:t>
      </w:r>
      <w:r w:rsidRPr="00D561C5">
        <w:rPr>
          <w:rFonts w:ascii="Times New Roman" w:hAnsi="Times New Roman"/>
          <w:i/>
          <w:iCs/>
          <w:sz w:val="24"/>
          <w:szCs w:val="24"/>
        </w:rPr>
        <w:t>could</w:t>
      </w:r>
      <w:r w:rsidRPr="00D561C5">
        <w:rPr>
          <w:rFonts w:ascii="Times New Roman" w:hAnsi="Times New Roman"/>
          <w:sz w:val="24"/>
          <w:szCs w:val="24"/>
        </w:rPr>
        <w:t xml:space="preserve"> keep private the fact of his lost arm or even that he has any desire to do so.” </w:t>
      </w:r>
      <w:hyperlink r:id="rId2280" w:history="1">
        <w:r w:rsidRPr="00D561C5">
          <w:rPr>
            <w:rStyle w:val="Hyperlink"/>
            <w:rFonts w:ascii="Times New Roman" w:hAnsi="Times New Roman"/>
            <w:sz w:val="24"/>
            <w:szCs w:val="24"/>
          </w:rPr>
          <w:t>https://casetext.com/case/ortiz-v-renteria</w:t>
        </w:r>
      </w:hyperlink>
      <w:r w:rsidRPr="00D561C5">
        <w:rPr>
          <w:rFonts w:ascii="Times New Roman" w:hAnsi="Times New Roman"/>
          <w:sz w:val="24"/>
          <w:szCs w:val="24"/>
        </w:rPr>
        <w:t xml:space="preserve"> </w:t>
      </w:r>
    </w:p>
    <w:p w14:paraId="527482E2" w14:textId="77777777" w:rsidR="00687C24" w:rsidRDefault="00687C24" w:rsidP="00687C24">
      <w:pPr>
        <w:spacing w:before="100" w:beforeAutospacing="1" w:after="100" w:afterAutospacing="1" w:line="240" w:lineRule="auto"/>
        <w:rPr>
          <w:rFonts w:ascii="Times New Roman" w:eastAsia="Times New Roman" w:hAnsi="Times New Roman"/>
          <w:b/>
          <w:bCs/>
          <w:sz w:val="24"/>
          <w:szCs w:val="24"/>
        </w:rPr>
      </w:pPr>
      <w:r w:rsidRPr="00AE29EB">
        <w:rPr>
          <w:rFonts w:ascii="Times New Roman" w:eastAsia="Times New Roman" w:hAnsi="Times New Roman"/>
          <w:b/>
          <w:bCs/>
          <w:sz w:val="24"/>
          <w:szCs w:val="24"/>
        </w:rPr>
        <w:t xml:space="preserve">Legal Lesson Learned: </w:t>
      </w:r>
      <w:r>
        <w:rPr>
          <w:rFonts w:ascii="Times New Roman" w:eastAsia="Times New Roman" w:hAnsi="Times New Roman"/>
          <w:b/>
          <w:bCs/>
          <w:sz w:val="24"/>
          <w:szCs w:val="24"/>
        </w:rPr>
        <w:t xml:space="preserve">EMS departments should have a policy prohibiting photographs of patients except for </w:t>
      </w:r>
      <w:proofErr w:type="gramStart"/>
      <w:r>
        <w:rPr>
          <w:rFonts w:ascii="Times New Roman" w:eastAsia="Times New Roman" w:hAnsi="Times New Roman"/>
          <w:b/>
          <w:bCs/>
          <w:sz w:val="24"/>
          <w:szCs w:val="24"/>
        </w:rPr>
        <w:t>those</w:t>
      </w:r>
      <w:proofErr w:type="gramEnd"/>
      <w:r>
        <w:rPr>
          <w:rFonts w:ascii="Times New Roman" w:eastAsia="Times New Roman" w:hAnsi="Times New Roman"/>
          <w:b/>
          <w:bCs/>
          <w:sz w:val="24"/>
          <w:szCs w:val="24"/>
        </w:rPr>
        <w:t xml:space="preserve"> needed to show </w:t>
      </w:r>
      <w:proofErr w:type="gramStart"/>
      <w:r>
        <w:rPr>
          <w:rFonts w:ascii="Times New Roman" w:eastAsia="Times New Roman" w:hAnsi="Times New Roman"/>
          <w:b/>
          <w:bCs/>
          <w:sz w:val="24"/>
          <w:szCs w:val="24"/>
        </w:rPr>
        <w:t>mechanism of injury</w:t>
      </w:r>
      <w:proofErr w:type="gramEnd"/>
      <w:r>
        <w:rPr>
          <w:rFonts w:ascii="Times New Roman" w:eastAsia="Times New Roman" w:hAnsi="Times New Roman"/>
          <w:b/>
          <w:bCs/>
          <w:sz w:val="24"/>
          <w:szCs w:val="24"/>
        </w:rPr>
        <w:t xml:space="preserve"> or other medical </w:t>
      </w:r>
      <w:proofErr w:type="gramStart"/>
      <w:r>
        <w:rPr>
          <w:rFonts w:ascii="Times New Roman" w:eastAsia="Times New Roman" w:hAnsi="Times New Roman"/>
          <w:b/>
          <w:bCs/>
          <w:sz w:val="24"/>
          <w:szCs w:val="24"/>
        </w:rPr>
        <w:t>reason</w:t>
      </w:r>
      <w:proofErr w:type="gramEnd"/>
      <w:r>
        <w:rPr>
          <w:rFonts w:ascii="Times New Roman" w:eastAsia="Times New Roman" w:hAnsi="Times New Roman"/>
          <w:b/>
          <w:bCs/>
          <w:sz w:val="24"/>
          <w:szCs w:val="24"/>
        </w:rPr>
        <w:t>, with copy only provided to hospital and the department.</w:t>
      </w:r>
    </w:p>
    <w:p w14:paraId="5ACDE68D" w14:textId="77777777" w:rsidR="00687C24" w:rsidRPr="00FD4A5B" w:rsidRDefault="00687C24" w:rsidP="00687C24">
      <w:pPr>
        <w:spacing w:before="100" w:beforeAutospacing="1" w:after="100" w:afterAutospacing="1" w:line="240" w:lineRule="auto"/>
        <w:ind w:left="720"/>
        <w:rPr>
          <w:rFonts w:ascii="Times New Roman" w:eastAsia="Times New Roman" w:hAnsi="Times New Roman"/>
          <w:b/>
          <w:bCs/>
          <w:sz w:val="24"/>
          <w:szCs w:val="24"/>
        </w:rPr>
      </w:pPr>
      <w:r w:rsidRPr="00FD4A5B">
        <w:rPr>
          <w:rFonts w:ascii="Times New Roman" w:hAnsi="Times New Roman"/>
          <w:sz w:val="24"/>
          <w:szCs w:val="24"/>
        </w:rPr>
        <w:t xml:space="preserve">Note: Nov. 2, 2021: “Los Angeles County approves $2.5 million settlement for two families over Kobe Bryant crash photos.” </w:t>
      </w:r>
      <w:hyperlink r:id="rId2281" w:history="1">
        <w:r w:rsidRPr="00FD4A5B">
          <w:rPr>
            <w:rStyle w:val="Hyperlink"/>
            <w:rFonts w:ascii="Times New Roman" w:hAnsi="Times New Roman"/>
            <w:sz w:val="24"/>
            <w:szCs w:val="24"/>
          </w:rPr>
          <w:t>https://www.cbsnews.com/news/los-angeles-settlement-families-photos-kobe-bryant-helicopter-crash/</w:t>
        </w:r>
      </w:hyperlink>
    </w:p>
    <w:p w14:paraId="3B61A98D" w14:textId="77777777" w:rsidR="00687C24" w:rsidRDefault="00687C24" w:rsidP="002B1283">
      <w:pPr>
        <w:rPr>
          <w:rFonts w:ascii="Arial Black" w:hAnsi="Arial Black"/>
          <w:b/>
          <w:bCs/>
          <w:sz w:val="28"/>
          <w:szCs w:val="28"/>
        </w:rPr>
      </w:pPr>
    </w:p>
    <w:p w14:paraId="45B0DB2A" w14:textId="77777777" w:rsidR="00687C24" w:rsidRDefault="00687C24" w:rsidP="002B1283">
      <w:pPr>
        <w:rPr>
          <w:rFonts w:ascii="Arial Black" w:hAnsi="Arial Black"/>
          <w:b/>
          <w:bCs/>
          <w:sz w:val="28"/>
          <w:szCs w:val="28"/>
        </w:rPr>
      </w:pPr>
    </w:p>
    <w:p w14:paraId="119EF7FA" w14:textId="77777777" w:rsidR="00687C24" w:rsidRDefault="00687C24" w:rsidP="002B1283">
      <w:pPr>
        <w:rPr>
          <w:rFonts w:ascii="Arial Black" w:hAnsi="Arial Black"/>
          <w:b/>
          <w:bCs/>
          <w:sz w:val="28"/>
          <w:szCs w:val="28"/>
        </w:rPr>
      </w:pPr>
    </w:p>
    <w:p w14:paraId="272A8D44" w14:textId="121B0A66" w:rsidR="00885321" w:rsidRDefault="00885321" w:rsidP="002B1283">
      <w:pPr>
        <w:rPr>
          <w:rFonts w:ascii="Arial Black" w:hAnsi="Arial Black"/>
          <w:b/>
          <w:bCs/>
          <w:sz w:val="28"/>
          <w:szCs w:val="28"/>
        </w:rPr>
      </w:pPr>
      <w:r>
        <w:rPr>
          <w:rFonts w:ascii="Arial Black" w:hAnsi="Arial Black"/>
          <w:b/>
          <w:bCs/>
          <w:sz w:val="28"/>
          <w:szCs w:val="28"/>
        </w:rPr>
        <w:t>13-9</w:t>
      </w:r>
      <w:r w:rsidR="00687C24">
        <w:rPr>
          <w:rFonts w:ascii="Arial Black" w:hAnsi="Arial Black"/>
          <w:b/>
          <w:bCs/>
          <w:sz w:val="28"/>
          <w:szCs w:val="28"/>
        </w:rPr>
        <w:t>6</w:t>
      </w:r>
    </w:p>
    <w:p w14:paraId="0D8AB1B4" w14:textId="77777777" w:rsidR="00885321" w:rsidRPr="00C04A42" w:rsidRDefault="00885321" w:rsidP="00885321">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CA: PATIENTS CARDIAC / STROKE ISSUES – CANNOT FORCE EMS TAKE TO HOSP. WERE THEIR MDs HAVE PRIVILEGES</w:t>
      </w:r>
    </w:p>
    <w:p w14:paraId="1CD0039C" w14:textId="77777777" w:rsidR="00885321" w:rsidRPr="000D1A3B" w:rsidRDefault="00885321" w:rsidP="00885321">
      <w:pPr>
        <w:spacing w:before="100" w:beforeAutospacing="1" w:after="100" w:afterAutospacing="1" w:line="240" w:lineRule="auto"/>
        <w:rPr>
          <w:rFonts w:ascii="Times New Roman" w:eastAsia="Times New Roman" w:hAnsi="Times New Roman"/>
          <w:sz w:val="24"/>
          <w:szCs w:val="24"/>
        </w:rPr>
      </w:pPr>
      <w:r w:rsidRPr="00C04A42">
        <w:rPr>
          <w:rFonts w:ascii="Times New Roman" w:eastAsia="Times New Roman" w:hAnsi="Times New Roman"/>
          <w:sz w:val="24"/>
          <w:szCs w:val="24"/>
        </w:rPr>
        <w:t xml:space="preserve">On </w:t>
      </w:r>
      <w:r>
        <w:rPr>
          <w:rFonts w:ascii="Times New Roman" w:eastAsia="Times New Roman" w:hAnsi="Times New Roman"/>
          <w:sz w:val="24"/>
          <w:szCs w:val="24"/>
        </w:rPr>
        <w:t xml:space="preserve">Nov. 1, 2021, in </w:t>
      </w:r>
      <w:r w:rsidRPr="000D1A3B">
        <w:rPr>
          <w:rFonts w:ascii="Times New Roman" w:eastAsia="Times New Roman" w:hAnsi="Times New Roman"/>
          <w:sz w:val="24"/>
          <w:szCs w:val="24"/>
          <w:u w:val="single"/>
        </w:rPr>
        <w:t>Davin Warren, et al., v. County of Sacramento</w:t>
      </w:r>
      <w:r>
        <w:rPr>
          <w:rFonts w:ascii="Times New Roman" w:eastAsia="Times New Roman" w:hAnsi="Times New Roman"/>
          <w:sz w:val="24"/>
          <w:szCs w:val="24"/>
        </w:rPr>
        <w:t xml:space="preserve">, the California Court of Appeals, Third District (Sacramento) held (3 to 0; unpublished decision) that the trial court properly granted summary judgment to the County. While sympathetic that they have suffered numerous cardiac </w:t>
      </w:r>
      <w:proofErr w:type="gramStart"/>
      <w:r>
        <w:rPr>
          <w:rFonts w:ascii="Times New Roman" w:eastAsia="Times New Roman" w:hAnsi="Times New Roman"/>
          <w:sz w:val="24"/>
          <w:szCs w:val="24"/>
        </w:rPr>
        <w:t>incident</w:t>
      </w:r>
      <w:proofErr w:type="gramEnd"/>
      <w:r>
        <w:rPr>
          <w:rFonts w:ascii="Times New Roman" w:eastAsia="Times New Roman" w:hAnsi="Times New Roman"/>
          <w:sz w:val="24"/>
          <w:szCs w:val="24"/>
        </w:rPr>
        <w:t xml:space="preserve"> and are at significant risk of stroke, they had no right under California law to force the ambulance to take them only to </w:t>
      </w:r>
      <w:r w:rsidRPr="000D1A3B">
        <w:rPr>
          <w:rFonts w:ascii="Times New Roman" w:hAnsi="Times New Roman"/>
          <w:sz w:val="24"/>
          <w:szCs w:val="24"/>
        </w:rPr>
        <w:t>University of California Davis Medical Center</w:t>
      </w:r>
      <w:r>
        <w:rPr>
          <w:rFonts w:ascii="Times New Roman" w:hAnsi="Times New Roman"/>
          <w:sz w:val="24"/>
          <w:szCs w:val="24"/>
        </w:rPr>
        <w:t xml:space="preserve"> where their treating physicians had medical privileges.  The Medical Director of the County EMS determined that </w:t>
      </w:r>
      <w:r w:rsidRPr="00D7646F">
        <w:rPr>
          <w:rFonts w:ascii="Times New Roman" w:hAnsi="Times New Roman"/>
          <w:sz w:val="24"/>
          <w:szCs w:val="24"/>
        </w:rPr>
        <w:t xml:space="preserve">Mercy San Juan </w:t>
      </w:r>
      <w:r>
        <w:rPr>
          <w:rFonts w:ascii="Times New Roman" w:hAnsi="Times New Roman"/>
          <w:sz w:val="24"/>
          <w:szCs w:val="24"/>
        </w:rPr>
        <w:t xml:space="preserve">Hospital </w:t>
      </w:r>
      <w:r w:rsidRPr="00D7646F">
        <w:rPr>
          <w:rFonts w:ascii="Times New Roman" w:hAnsi="Times New Roman"/>
          <w:sz w:val="24"/>
          <w:szCs w:val="24"/>
        </w:rPr>
        <w:t>had a higher certification for stroke care than UC Davis</w:t>
      </w:r>
      <w:r>
        <w:rPr>
          <w:rFonts w:ascii="Times New Roman" w:hAnsi="Times New Roman"/>
          <w:sz w:val="24"/>
          <w:szCs w:val="24"/>
        </w:rPr>
        <w:t xml:space="preserve">, and they have been properly transported to Mercy San Juan last three emergency transports. They always have right to arrange their own transport to UC Davis. </w:t>
      </w:r>
    </w:p>
    <w:p w14:paraId="73273A81" w14:textId="77777777" w:rsidR="00885321" w:rsidRDefault="00885321" w:rsidP="00885321">
      <w:pPr>
        <w:pStyle w:val="NormalWeb"/>
        <w:ind w:left="720" w:firstLine="60"/>
      </w:pPr>
      <w:r>
        <w:t>“Does the right to privacy include the individual's right to determine which hospital emergency room an ambulance will take the person to during a medical emergency? The trial court in this case found no such right of privacy exists and entered a judgment against plaintiffs and appellants David Warren and Kathryn C. Warren.</w:t>
      </w:r>
    </w:p>
    <w:p w14:paraId="42FC67F7" w14:textId="77777777" w:rsidR="00885321" w:rsidRDefault="00885321" w:rsidP="00885321">
      <w:pPr>
        <w:pStyle w:val="NormalWeb"/>
        <w:ind w:left="720" w:firstLine="60"/>
        <w:rPr>
          <w:b/>
          <w:bCs/>
        </w:rPr>
      </w:pPr>
      <w:r>
        <w:t>***</w:t>
      </w:r>
    </w:p>
    <w:p w14:paraId="682D475E" w14:textId="77777777" w:rsidR="00885321" w:rsidRDefault="00885321" w:rsidP="00885321">
      <w:pPr>
        <w:pStyle w:val="NormalWeb"/>
        <w:ind w:left="720"/>
      </w:pPr>
      <w:r>
        <w:t xml:space="preserve">[W]e </w:t>
      </w:r>
      <w:proofErr w:type="gramStart"/>
      <w:r>
        <w:t>conclude</w:t>
      </w:r>
      <w:proofErr w:type="gramEnd"/>
      <w:r>
        <w:t xml:space="preserve"> that the right to privacy does not encompass </w:t>
      </w:r>
      <w:proofErr w:type="gramStart"/>
      <w:r>
        <w:t>a right</w:t>
      </w:r>
      <w:proofErr w:type="gramEnd"/>
      <w:r>
        <w:t xml:space="preserve"> to direct an ambulance to the emergency room of one's choice during a medical emergency. We shall affirm the judgment.” </w:t>
      </w:r>
      <w:hyperlink r:id="rId2282" w:history="1">
        <w:r w:rsidRPr="00F67801">
          <w:rPr>
            <w:rStyle w:val="Hyperlink"/>
          </w:rPr>
          <w:t>https://casetext.com/case/warren-v-cnty-of-sacramento</w:t>
        </w:r>
      </w:hyperlink>
      <w:r>
        <w:t xml:space="preserve"> </w:t>
      </w:r>
    </w:p>
    <w:p w14:paraId="5ECEFEFD" w14:textId="77777777" w:rsidR="00687C24" w:rsidRPr="00F8175A" w:rsidRDefault="00687C24" w:rsidP="00687C24">
      <w:pPr>
        <w:pStyle w:val="NormalWeb"/>
        <w:rPr>
          <w:b/>
          <w:bCs/>
        </w:rPr>
      </w:pPr>
      <w:r w:rsidRPr="00F8175A">
        <w:rPr>
          <w:b/>
          <w:bCs/>
        </w:rPr>
        <w:t>Legal Lesson Learned:</w:t>
      </w:r>
      <w:r>
        <w:rPr>
          <w:b/>
          <w:bCs/>
        </w:rPr>
        <w:t xml:space="preserve"> In a medical emergency, EMS have right to take a patient to the most appropriate hospital. </w:t>
      </w:r>
    </w:p>
    <w:p w14:paraId="164C70A9" w14:textId="77777777" w:rsidR="00885321" w:rsidRDefault="00885321" w:rsidP="002B1283">
      <w:pPr>
        <w:rPr>
          <w:rFonts w:ascii="Arial Black" w:hAnsi="Arial Black"/>
          <w:b/>
          <w:bCs/>
          <w:sz w:val="28"/>
          <w:szCs w:val="28"/>
        </w:rPr>
      </w:pPr>
    </w:p>
    <w:p w14:paraId="36B85422" w14:textId="77777777" w:rsidR="00885321" w:rsidRDefault="00885321" w:rsidP="002B1283">
      <w:pPr>
        <w:rPr>
          <w:rFonts w:ascii="Arial Black" w:hAnsi="Arial Black"/>
          <w:b/>
          <w:bCs/>
          <w:sz w:val="28"/>
          <w:szCs w:val="28"/>
        </w:rPr>
      </w:pPr>
    </w:p>
    <w:p w14:paraId="58362567" w14:textId="744FC24F" w:rsidR="00774A91" w:rsidRDefault="00774A91" w:rsidP="002B1283">
      <w:pPr>
        <w:rPr>
          <w:rFonts w:ascii="Arial Black" w:hAnsi="Arial Black"/>
          <w:b/>
          <w:bCs/>
          <w:sz w:val="28"/>
          <w:szCs w:val="28"/>
        </w:rPr>
      </w:pPr>
      <w:r>
        <w:rPr>
          <w:rFonts w:ascii="Arial Black" w:hAnsi="Arial Black"/>
          <w:b/>
          <w:bCs/>
          <w:sz w:val="28"/>
          <w:szCs w:val="28"/>
        </w:rPr>
        <w:t>13-9</w:t>
      </w:r>
      <w:r w:rsidR="00687C24">
        <w:rPr>
          <w:rFonts w:ascii="Arial Black" w:hAnsi="Arial Black"/>
          <w:b/>
          <w:bCs/>
          <w:sz w:val="28"/>
          <w:szCs w:val="28"/>
        </w:rPr>
        <w:t>5</w:t>
      </w:r>
    </w:p>
    <w:p w14:paraId="68F7BA5D" w14:textId="77777777" w:rsidR="00774A91" w:rsidRDefault="00774A91" w:rsidP="00774A91">
      <w:pPr>
        <w:spacing w:before="100" w:beforeAutospacing="1" w:after="100" w:afterAutospacing="1" w:line="240" w:lineRule="auto"/>
        <w:rPr>
          <w:rFonts w:ascii="Arial Black" w:eastAsia="Times New Roman" w:hAnsi="Arial Black"/>
          <w:sz w:val="28"/>
          <w:szCs w:val="28"/>
        </w:rPr>
      </w:pPr>
      <w:r>
        <w:rPr>
          <w:rFonts w:ascii="Arial Black" w:eastAsia="Times New Roman" w:hAnsi="Arial Black"/>
          <w:sz w:val="28"/>
          <w:szCs w:val="28"/>
        </w:rPr>
        <w:t xml:space="preserve">AL: EMT WITNESS FOR FED. GOVT – WAS CALLED TO COUNTY JAIL - POLICE LIEUTENANT CONVICTED </w:t>
      </w:r>
    </w:p>
    <w:p w14:paraId="02B5794D" w14:textId="77777777" w:rsidR="00774A91" w:rsidRPr="00E01A44" w:rsidRDefault="00774A91" w:rsidP="00774A91">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On Oct. 25, 2021, in </w:t>
      </w:r>
      <w:r w:rsidRPr="00092366">
        <w:rPr>
          <w:rFonts w:ascii="Times New Roman" w:eastAsia="Times New Roman" w:hAnsi="Times New Roman"/>
          <w:sz w:val="24"/>
          <w:szCs w:val="24"/>
          <w:u w:val="single"/>
        </w:rPr>
        <w:t>United States of America v. Alex Huntley</w:t>
      </w:r>
      <w:r>
        <w:rPr>
          <w:rFonts w:ascii="Times New Roman" w:eastAsia="Times New Roman" w:hAnsi="Times New Roman"/>
          <w:sz w:val="24"/>
          <w:szCs w:val="24"/>
        </w:rPr>
        <w:t>, the U.S. Court of Appeals for the 11</w:t>
      </w:r>
      <w:r w:rsidRPr="00092366">
        <w:rPr>
          <w:rFonts w:ascii="Times New Roman" w:eastAsia="Times New Roman" w:hAnsi="Times New Roman"/>
          <w:sz w:val="24"/>
          <w:szCs w:val="24"/>
          <w:vertAlign w:val="superscript"/>
        </w:rPr>
        <w:t>th</w:t>
      </w:r>
      <w:r>
        <w:rPr>
          <w:rFonts w:ascii="Times New Roman" w:eastAsia="Times New Roman" w:hAnsi="Times New Roman"/>
          <w:sz w:val="24"/>
          <w:szCs w:val="24"/>
        </w:rPr>
        <w:t xml:space="preserve"> Circuit (Atlanta, GA) held (3 to 0; unpublished opinion) that federal jury properly convicted former lieutenant of the Tuskegee, Alabama police department of </w:t>
      </w:r>
      <w:r w:rsidRPr="00092366">
        <w:rPr>
          <w:rFonts w:ascii="Times New Roman" w:hAnsi="Times New Roman"/>
          <w:sz w:val="24"/>
          <w:szCs w:val="24"/>
        </w:rPr>
        <w:t>deprivation of rights under color of law resulting in bodily injury, in violation of 18 U.S.C. § 242.</w:t>
      </w:r>
      <w:r>
        <w:rPr>
          <w:rFonts w:ascii="Times New Roman" w:hAnsi="Times New Roman"/>
          <w:sz w:val="24"/>
          <w:szCs w:val="24"/>
        </w:rPr>
        <w:t xml:space="preserve"> </w:t>
      </w:r>
      <w:r w:rsidRPr="00E01A44">
        <w:rPr>
          <w:rStyle w:val="markedcontent"/>
          <w:rFonts w:ascii="Times New Roman" w:hAnsi="Times New Roman"/>
          <w:sz w:val="24"/>
          <w:szCs w:val="24"/>
        </w:rPr>
        <w:t>Huntley was sentenced to 36 months’ imprisonment and three years’ supervised release.</w:t>
      </w:r>
      <w:r w:rsidRPr="00E01A44">
        <w:rPr>
          <w:rFonts w:ascii="Times New Roman" w:eastAsia="Times New Roman" w:hAnsi="Times New Roman"/>
          <w:sz w:val="24"/>
          <w:szCs w:val="24"/>
        </w:rPr>
        <w:tab/>
      </w:r>
      <w:r w:rsidRPr="00E01A44">
        <w:rPr>
          <w:rFonts w:ascii="Times New Roman" w:eastAsia="Times New Roman" w:hAnsi="Times New Roman"/>
          <w:sz w:val="24"/>
          <w:szCs w:val="24"/>
        </w:rPr>
        <w:tab/>
      </w:r>
      <w:r w:rsidRPr="00E01A44">
        <w:rPr>
          <w:rFonts w:ascii="Times New Roman" w:eastAsia="Times New Roman" w:hAnsi="Times New Roman"/>
          <w:sz w:val="24"/>
          <w:szCs w:val="24"/>
        </w:rPr>
        <w:tab/>
      </w:r>
      <w:r w:rsidRPr="00E01A44">
        <w:rPr>
          <w:rFonts w:ascii="Times New Roman" w:eastAsia="Times New Roman" w:hAnsi="Times New Roman"/>
          <w:sz w:val="24"/>
          <w:szCs w:val="24"/>
        </w:rPr>
        <w:tab/>
      </w:r>
    </w:p>
    <w:p w14:paraId="06FB2796" w14:textId="77777777" w:rsidR="00774A91" w:rsidRDefault="00774A91" w:rsidP="00774A91">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lastRenderedPageBreak/>
        <w:t>“</w:t>
      </w:r>
      <w:r w:rsidRPr="00092366">
        <w:rPr>
          <w:rFonts w:ascii="Times New Roman" w:eastAsia="Times New Roman" w:hAnsi="Times New Roman"/>
          <w:sz w:val="24"/>
          <w:szCs w:val="24"/>
        </w:rPr>
        <w:t>At trial, the government presented evidence of the facts recounted above, including, among other things, (1) testimony from Turk, EMT Peterson, Officer Echols, Officer Craig, and four Tuskegee Police Department trainees who were at the police station on December 24, 2014; (2) the pants Turk wore that day, which had blood stains on them; and (3) pictures of Turk taken by his mother soon after the incident, in which he had chipped teeth, cuts, scratches, swollen wrists, and bruises.</w:t>
      </w:r>
      <w:r>
        <w:rPr>
          <w:rFonts w:ascii="Times New Roman" w:eastAsia="Times New Roman" w:hAnsi="Times New Roman"/>
          <w:sz w:val="24"/>
          <w:szCs w:val="24"/>
        </w:rPr>
        <w:t>”</w:t>
      </w:r>
    </w:p>
    <w:p w14:paraId="6C2A6A34" w14:textId="77777777" w:rsidR="00774A91" w:rsidRDefault="00774A91" w:rsidP="00774A91">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w:t>
      </w:r>
    </w:p>
    <w:p w14:paraId="4FD2E714" w14:textId="32392D04" w:rsidR="00774A91" w:rsidRDefault="00774A91" w:rsidP="00774A91">
      <w:pPr>
        <w:rPr>
          <w:rFonts w:ascii="Arial Black" w:hAnsi="Arial Black"/>
          <w:b/>
          <w:bCs/>
          <w:sz w:val="28"/>
          <w:szCs w:val="28"/>
        </w:rPr>
      </w:pPr>
      <w:r w:rsidRPr="00E01A44">
        <w:rPr>
          <w:rFonts w:ascii="Times New Roman" w:hAnsi="Times New Roman"/>
          <w:sz w:val="24"/>
          <w:szCs w:val="24"/>
        </w:rPr>
        <w:t xml:space="preserve">Moreover, the trial testimony sufficiently showed that Huntley's actions leading into the police station and inside the building resulted in at least some bodily injury to Turk. Trial witnesses testified that Turk had blood in his mouth and on his face after the briefing room incident, indicating </w:t>
      </w:r>
      <w:proofErr w:type="gramStart"/>
      <w:r w:rsidRPr="00E01A44">
        <w:rPr>
          <w:rFonts w:ascii="Times New Roman" w:hAnsi="Times New Roman"/>
          <w:sz w:val="24"/>
          <w:szCs w:val="24"/>
        </w:rPr>
        <w:t>some kind of cut</w:t>
      </w:r>
      <w:proofErr w:type="gramEnd"/>
      <w:r w:rsidRPr="00E01A44">
        <w:rPr>
          <w:rFonts w:ascii="Times New Roman" w:hAnsi="Times New Roman"/>
          <w:sz w:val="24"/>
          <w:szCs w:val="24"/>
        </w:rPr>
        <w:t xml:space="preserve"> or abrasion occurred in the briefing room. The government </w:t>
      </w:r>
      <w:proofErr w:type="gramStart"/>
      <w:r w:rsidRPr="00E01A44">
        <w:rPr>
          <w:rFonts w:ascii="Times New Roman" w:hAnsi="Times New Roman"/>
          <w:sz w:val="24"/>
          <w:szCs w:val="24"/>
        </w:rPr>
        <w:t>entered into</w:t>
      </w:r>
      <w:proofErr w:type="gramEnd"/>
      <w:r w:rsidRPr="00E01A44">
        <w:rPr>
          <w:rFonts w:ascii="Times New Roman" w:hAnsi="Times New Roman"/>
          <w:sz w:val="24"/>
          <w:szCs w:val="24"/>
        </w:rPr>
        <w:t xml:space="preserve"> </w:t>
      </w:r>
      <w:proofErr w:type="gramStart"/>
      <w:r w:rsidRPr="00E01A44">
        <w:rPr>
          <w:rFonts w:ascii="Times New Roman" w:hAnsi="Times New Roman"/>
          <w:sz w:val="24"/>
          <w:szCs w:val="24"/>
        </w:rPr>
        <w:t>evidence</w:t>
      </w:r>
      <w:proofErr w:type="gramEnd"/>
      <w:r w:rsidRPr="00E01A44">
        <w:rPr>
          <w:rFonts w:ascii="Times New Roman" w:hAnsi="Times New Roman"/>
          <w:sz w:val="24"/>
          <w:szCs w:val="24"/>
        </w:rPr>
        <w:t xml:space="preserve"> a pair of bloodstained pants that Turk testified were stained </w:t>
      </w:r>
      <w:proofErr w:type="gramStart"/>
      <w:r w:rsidRPr="00E01A44">
        <w:rPr>
          <w:rFonts w:ascii="Times New Roman" w:hAnsi="Times New Roman"/>
          <w:sz w:val="24"/>
          <w:szCs w:val="24"/>
        </w:rPr>
        <w:t>as a result of</w:t>
      </w:r>
      <w:proofErr w:type="gramEnd"/>
      <w:r w:rsidRPr="00E01A44">
        <w:rPr>
          <w:rFonts w:ascii="Times New Roman" w:hAnsi="Times New Roman"/>
          <w:sz w:val="24"/>
          <w:szCs w:val="24"/>
        </w:rPr>
        <w:t xml:space="preserve"> his injuries from Huntley and pictures taken of Turk soon after the incident showing him with chipped teeth, cuts, and bruises. Peterson testified that Turk had a bloody lip, abrasions, and red eyes, and that Turk reported feeling pain all over his body. In addition, Turk himself testified that he was in pain because of the mace sprayed in his eyes and</w:t>
      </w:r>
      <w:r>
        <w:rPr>
          <w:rFonts w:ascii="Times New Roman" w:hAnsi="Times New Roman"/>
          <w:sz w:val="24"/>
          <w:szCs w:val="24"/>
        </w:rPr>
        <w:t xml:space="preserve"> </w:t>
      </w:r>
      <w:r w:rsidRPr="00E01A44">
        <w:rPr>
          <w:rFonts w:ascii="Times New Roman" w:hAnsi="Times New Roman"/>
          <w:sz w:val="24"/>
          <w:szCs w:val="24"/>
        </w:rPr>
        <w:t>the physical assaults that occurred inside the holding cell room and the briefing room.</w:t>
      </w:r>
      <w:r>
        <w:rPr>
          <w:rFonts w:ascii="Times New Roman" w:hAnsi="Times New Roman"/>
          <w:sz w:val="24"/>
          <w:szCs w:val="24"/>
        </w:rPr>
        <w:t xml:space="preserve">” </w:t>
      </w:r>
      <w:hyperlink r:id="rId2283" w:history="1">
        <w:r w:rsidRPr="00386EA0">
          <w:rPr>
            <w:rStyle w:val="Hyperlink"/>
            <w:sz w:val="24"/>
            <w:szCs w:val="24"/>
          </w:rPr>
          <w:t>https://media.ca11.uscourts.gov/opinions/unpub/files/201814119.pdf</w:t>
        </w:r>
      </w:hyperlink>
    </w:p>
    <w:p w14:paraId="1F75D683" w14:textId="77777777" w:rsidR="00774A91" w:rsidRDefault="00774A91" w:rsidP="00774A91">
      <w:pPr>
        <w:spacing w:before="100" w:beforeAutospacing="1" w:after="100" w:afterAutospacing="1" w:line="240" w:lineRule="auto"/>
        <w:rPr>
          <w:rFonts w:ascii="Times New Roman" w:eastAsia="Times New Roman" w:hAnsi="Times New Roman"/>
          <w:b/>
          <w:bCs/>
          <w:sz w:val="24"/>
          <w:szCs w:val="24"/>
        </w:rPr>
      </w:pPr>
      <w:r>
        <w:rPr>
          <w:rFonts w:ascii="Times New Roman" w:eastAsia="Times New Roman" w:hAnsi="Times New Roman"/>
          <w:b/>
          <w:bCs/>
          <w:sz w:val="24"/>
          <w:szCs w:val="24"/>
        </w:rPr>
        <w:t xml:space="preserve">Legal Lesson Learned:  EMS personnel may become witnesses to a police assault; fully document the patient’s injuries and our advice that prisoner be taken to hospital. </w:t>
      </w:r>
    </w:p>
    <w:p w14:paraId="5FB56446" w14:textId="77777777" w:rsidR="00774A91" w:rsidRDefault="00774A91" w:rsidP="002B1283">
      <w:pPr>
        <w:rPr>
          <w:rFonts w:ascii="Arial Black" w:hAnsi="Arial Black"/>
          <w:b/>
          <w:bCs/>
          <w:sz w:val="28"/>
          <w:szCs w:val="28"/>
        </w:rPr>
      </w:pPr>
    </w:p>
    <w:p w14:paraId="7FD612D3" w14:textId="366E40A6" w:rsidR="00774A91" w:rsidRDefault="00774A91" w:rsidP="002B1283">
      <w:pPr>
        <w:rPr>
          <w:rFonts w:ascii="Arial Black" w:hAnsi="Arial Black"/>
          <w:b/>
          <w:bCs/>
          <w:sz w:val="28"/>
          <w:szCs w:val="28"/>
        </w:rPr>
      </w:pPr>
      <w:r>
        <w:rPr>
          <w:rFonts w:ascii="Arial Black" w:hAnsi="Arial Black"/>
          <w:b/>
          <w:bCs/>
          <w:sz w:val="28"/>
          <w:szCs w:val="28"/>
        </w:rPr>
        <w:t>13-9</w:t>
      </w:r>
      <w:r w:rsidR="00687C24">
        <w:rPr>
          <w:rFonts w:ascii="Arial Black" w:hAnsi="Arial Black"/>
          <w:b/>
          <w:bCs/>
          <w:sz w:val="28"/>
          <w:szCs w:val="28"/>
        </w:rPr>
        <w:t>4</w:t>
      </w:r>
    </w:p>
    <w:p w14:paraId="1F3F1DAF" w14:textId="77777777" w:rsidR="00774A91" w:rsidRPr="00D3301A" w:rsidRDefault="00774A91" w:rsidP="00774A91">
      <w:pPr>
        <w:pStyle w:val="Heading1"/>
        <w:rPr>
          <w:rStyle w:val="Strong"/>
          <w:rFonts w:ascii="Arial Black" w:eastAsiaTheme="majorEastAsia" w:hAnsi="Arial Black"/>
          <w:sz w:val="28"/>
          <w:szCs w:val="28"/>
        </w:rPr>
      </w:pPr>
      <w:r>
        <w:rPr>
          <w:rStyle w:val="Strong"/>
          <w:rFonts w:ascii="Arial Black" w:eastAsiaTheme="majorEastAsia" w:hAnsi="Arial Black"/>
          <w:sz w:val="28"/>
          <w:szCs w:val="28"/>
        </w:rPr>
        <w:t>OH: AMBULANCE CO. SUED BY BILLING MGR., BILLER &amp; EMT - “UP CODE” BILLING – U.S. GOV’T HAS INTERVENED</w:t>
      </w:r>
    </w:p>
    <w:p w14:paraId="5362846F" w14:textId="77777777" w:rsidR="00774A91" w:rsidRDefault="00774A91" w:rsidP="00774A91">
      <w:pPr>
        <w:spacing w:before="100" w:beforeAutospacing="1" w:after="100" w:afterAutospacing="1" w:line="240" w:lineRule="auto"/>
        <w:rPr>
          <w:rFonts w:ascii="Times New Roman" w:eastAsia="Times New Roman" w:hAnsi="Times New Roman"/>
          <w:sz w:val="24"/>
          <w:szCs w:val="24"/>
        </w:rPr>
      </w:pPr>
      <w:r w:rsidRPr="005271C0">
        <w:rPr>
          <w:rFonts w:ascii="Times New Roman" w:eastAsia="Times New Roman" w:hAnsi="Times New Roman"/>
          <w:sz w:val="24"/>
          <w:szCs w:val="24"/>
        </w:rPr>
        <w:t xml:space="preserve">On </w:t>
      </w:r>
      <w:r>
        <w:rPr>
          <w:rFonts w:ascii="Times New Roman" w:eastAsia="Times New Roman" w:hAnsi="Times New Roman"/>
          <w:sz w:val="24"/>
          <w:szCs w:val="24"/>
        </w:rPr>
        <w:t xml:space="preserve">Oct. 18, 2021, in </w:t>
      </w:r>
      <w:r w:rsidRPr="005271C0">
        <w:rPr>
          <w:rFonts w:ascii="Times New Roman" w:eastAsia="Times New Roman" w:hAnsi="Times New Roman"/>
          <w:sz w:val="24"/>
          <w:szCs w:val="24"/>
          <w:u w:val="single"/>
        </w:rPr>
        <w:t>United States of America ex rel. Brandee White v. Mobile Care EMS &amp; Transport, Inc. et al.</w:t>
      </w:r>
      <w:r>
        <w:rPr>
          <w:rFonts w:ascii="Times New Roman" w:eastAsia="Times New Roman" w:hAnsi="Times New Roman"/>
          <w:sz w:val="24"/>
          <w:szCs w:val="24"/>
        </w:rPr>
        <w:t xml:space="preserve">, U.S. District Court Judge Douglas R. Cole, U.S. District Court, Southern District of Ohio (Western Division) denied Mobile Care’s motion to dismiss the lawsuit. </w:t>
      </w:r>
    </w:p>
    <w:p w14:paraId="057F8991" w14:textId="77777777" w:rsidR="00774A91" w:rsidRDefault="00774A91" w:rsidP="00774A91">
      <w:pPr>
        <w:spacing w:before="100" w:beforeAutospacing="1" w:after="100" w:afterAutospacing="1" w:line="240" w:lineRule="auto"/>
        <w:ind w:left="720"/>
        <w:rPr>
          <w:rFonts w:ascii="Times New Roman" w:hAnsi="Times New Roman"/>
          <w:sz w:val="24"/>
          <w:szCs w:val="24"/>
        </w:rPr>
      </w:pPr>
      <w:r>
        <w:rPr>
          <w:rFonts w:ascii="Times New Roman" w:eastAsia="Times New Roman" w:hAnsi="Times New Roman"/>
          <w:sz w:val="24"/>
          <w:szCs w:val="24"/>
        </w:rPr>
        <w:t>“</w:t>
      </w:r>
      <w:r w:rsidRPr="005271C0">
        <w:rPr>
          <w:rFonts w:ascii="Times New Roman" w:hAnsi="Times New Roman"/>
          <w:sz w:val="24"/>
          <w:szCs w:val="24"/>
        </w:rPr>
        <w:t>Relator White was a Mobile Care employee</w:t>
      </w:r>
      <w:r>
        <w:rPr>
          <w:rFonts w:ascii="Times New Roman" w:hAnsi="Times New Roman"/>
          <w:sz w:val="24"/>
          <w:szCs w:val="24"/>
        </w:rPr>
        <w:t xml:space="preserve">…. </w:t>
      </w:r>
      <w:r w:rsidRPr="005271C0">
        <w:rPr>
          <w:rFonts w:ascii="Times New Roman" w:hAnsi="Times New Roman"/>
          <w:sz w:val="24"/>
          <w:szCs w:val="24"/>
        </w:rPr>
        <w:t>The company hired her to oversee Mobile Care's billing practices</w:t>
      </w:r>
      <w:r>
        <w:rPr>
          <w:rFonts w:ascii="Times New Roman" w:hAnsi="Times New Roman"/>
          <w:sz w:val="24"/>
          <w:szCs w:val="24"/>
        </w:rPr>
        <w:t xml:space="preserve">…. </w:t>
      </w:r>
      <w:r w:rsidRPr="005271C0">
        <w:rPr>
          <w:rFonts w:ascii="Times New Roman" w:hAnsi="Times New Roman"/>
          <w:sz w:val="24"/>
          <w:szCs w:val="24"/>
        </w:rPr>
        <w:t xml:space="preserve">She claims that, beginning in December of 2009 and continuing at least through the date of the second amended complaint, Mobile Care had </w:t>
      </w:r>
      <w:r>
        <w:rPr>
          <w:rFonts w:ascii="Times New Roman" w:hAnsi="Times New Roman"/>
          <w:sz w:val="24"/>
          <w:szCs w:val="24"/>
        </w:rPr>
        <w:t>‘</w:t>
      </w:r>
      <w:r w:rsidRPr="005271C0">
        <w:rPr>
          <w:rFonts w:ascii="Times New Roman" w:hAnsi="Times New Roman"/>
          <w:sz w:val="24"/>
          <w:szCs w:val="24"/>
        </w:rPr>
        <w:t>knowingly … caused the submission of false or fraudulent claims to Government healthcare programs, and made or caused to be made false records and statements to get claims for ambulance services to Government healthcare programs paid</w:t>
      </w:r>
      <w:r>
        <w:rPr>
          <w:rFonts w:ascii="Times New Roman" w:hAnsi="Times New Roman"/>
          <w:sz w:val="24"/>
          <w:szCs w:val="24"/>
        </w:rPr>
        <w:t>….</w:t>
      </w:r>
      <w:r w:rsidRPr="005271C0">
        <w:rPr>
          <w:rFonts w:ascii="Times New Roman" w:hAnsi="Times New Roman"/>
          <w:sz w:val="24"/>
          <w:szCs w:val="24"/>
        </w:rPr>
        <w:t xml:space="preserve">” In particular, she alleges that Mobile Care was </w:t>
      </w:r>
      <w:r>
        <w:rPr>
          <w:rFonts w:ascii="Times New Roman" w:hAnsi="Times New Roman"/>
          <w:sz w:val="24"/>
          <w:szCs w:val="24"/>
        </w:rPr>
        <w:t>‘</w:t>
      </w:r>
      <w:r w:rsidRPr="005271C0">
        <w:rPr>
          <w:rFonts w:ascii="Times New Roman" w:hAnsi="Times New Roman"/>
          <w:sz w:val="24"/>
          <w:szCs w:val="24"/>
        </w:rPr>
        <w:t>pressuring its employees</w:t>
      </w:r>
      <w:r>
        <w:rPr>
          <w:rFonts w:ascii="Times New Roman" w:hAnsi="Times New Roman"/>
          <w:sz w:val="24"/>
          <w:szCs w:val="24"/>
        </w:rPr>
        <w:t>’</w:t>
      </w:r>
      <w:r w:rsidRPr="005271C0">
        <w:rPr>
          <w:rFonts w:ascii="Times New Roman" w:hAnsi="Times New Roman"/>
          <w:sz w:val="24"/>
          <w:szCs w:val="24"/>
        </w:rPr>
        <w:t xml:space="preserve"> to </w:t>
      </w:r>
      <w:r>
        <w:rPr>
          <w:rFonts w:ascii="Times New Roman" w:hAnsi="Times New Roman"/>
          <w:sz w:val="24"/>
          <w:szCs w:val="24"/>
        </w:rPr>
        <w:t>‘</w:t>
      </w:r>
      <w:proofErr w:type="spellStart"/>
      <w:r w:rsidRPr="005271C0">
        <w:rPr>
          <w:rFonts w:ascii="Times New Roman" w:hAnsi="Times New Roman"/>
          <w:sz w:val="24"/>
          <w:szCs w:val="24"/>
        </w:rPr>
        <w:t>upcode</w:t>
      </w:r>
      <w:proofErr w:type="spellEnd"/>
      <w:r>
        <w:rPr>
          <w:rFonts w:ascii="Times New Roman" w:hAnsi="Times New Roman"/>
          <w:sz w:val="24"/>
          <w:szCs w:val="24"/>
        </w:rPr>
        <w:t>’</w:t>
      </w:r>
      <w:r w:rsidRPr="005271C0">
        <w:rPr>
          <w:rFonts w:ascii="Times New Roman" w:hAnsi="Times New Roman"/>
          <w:sz w:val="24"/>
          <w:szCs w:val="24"/>
        </w:rPr>
        <w:t xml:space="preserve"> medical transport services to higher billing levels. </w:t>
      </w:r>
    </w:p>
    <w:p w14:paraId="08CD4118" w14:textId="77777777" w:rsidR="00774A91" w:rsidRPr="005271C0" w:rsidRDefault="00774A91" w:rsidP="00774A91">
      <w:pPr>
        <w:spacing w:before="100" w:beforeAutospacing="1" w:after="100" w:afterAutospacing="1" w:line="240" w:lineRule="auto"/>
        <w:ind w:left="720"/>
        <w:rPr>
          <w:rFonts w:ascii="Times New Roman" w:eastAsia="Times New Roman" w:hAnsi="Times New Roman"/>
          <w:sz w:val="24"/>
          <w:szCs w:val="24"/>
        </w:rPr>
      </w:pPr>
      <w:r>
        <w:rPr>
          <w:rFonts w:ascii="Times New Roman" w:hAnsi="Times New Roman"/>
          <w:sz w:val="24"/>
          <w:szCs w:val="24"/>
        </w:rPr>
        <w:t>***</w:t>
      </w:r>
    </w:p>
    <w:p w14:paraId="4546D8C9" w14:textId="77777777" w:rsidR="00774A91" w:rsidRDefault="00774A91" w:rsidP="00774A91">
      <w:pPr>
        <w:spacing w:before="100" w:beforeAutospacing="1" w:after="100" w:afterAutospacing="1" w:line="240" w:lineRule="auto"/>
        <w:ind w:left="720"/>
        <w:rPr>
          <w:rFonts w:ascii="Times New Roman" w:eastAsia="Times New Roman" w:hAnsi="Times New Roman"/>
          <w:sz w:val="24"/>
          <w:szCs w:val="24"/>
        </w:rPr>
      </w:pPr>
      <w:r w:rsidRPr="00E74680">
        <w:rPr>
          <w:rFonts w:ascii="Times New Roman" w:eastAsia="Times New Roman" w:hAnsi="Times New Roman"/>
          <w:sz w:val="24"/>
          <w:szCs w:val="24"/>
        </w:rPr>
        <w:t>The other two relators are likewise Mobile Care employees, one a biller and one a licensed EMT</w:t>
      </w:r>
      <w:r>
        <w:rPr>
          <w:rFonts w:ascii="Times New Roman" w:eastAsia="Times New Roman" w:hAnsi="Times New Roman"/>
          <w:sz w:val="24"/>
          <w:szCs w:val="24"/>
        </w:rPr>
        <w:t xml:space="preserve">…. </w:t>
      </w:r>
      <w:r w:rsidRPr="00E74680">
        <w:rPr>
          <w:rFonts w:ascii="Times New Roman" w:eastAsia="Times New Roman" w:hAnsi="Times New Roman"/>
          <w:sz w:val="24"/>
          <w:szCs w:val="24"/>
        </w:rPr>
        <w:t xml:space="preserve"> The former claims she “</w:t>
      </w:r>
      <w:proofErr w:type="spellStart"/>
      <w:r w:rsidRPr="00E74680">
        <w:rPr>
          <w:rFonts w:ascii="Times New Roman" w:eastAsia="Times New Roman" w:hAnsi="Times New Roman"/>
          <w:sz w:val="24"/>
          <w:szCs w:val="24"/>
        </w:rPr>
        <w:t>refus</w:t>
      </w:r>
      <w:proofErr w:type="spellEnd"/>
      <w:r w:rsidRPr="00E74680">
        <w:rPr>
          <w:rFonts w:ascii="Times New Roman" w:eastAsia="Times New Roman" w:hAnsi="Times New Roman"/>
          <w:sz w:val="24"/>
          <w:szCs w:val="24"/>
        </w:rPr>
        <w:t>[ed] to bill for services that were not supported by … records</w:t>
      </w:r>
      <w:r>
        <w:rPr>
          <w:rFonts w:ascii="Times New Roman" w:eastAsia="Times New Roman" w:hAnsi="Times New Roman"/>
          <w:sz w:val="24"/>
          <w:szCs w:val="24"/>
        </w:rPr>
        <w:t>….</w:t>
      </w:r>
      <w:r w:rsidRPr="00E74680">
        <w:rPr>
          <w:rFonts w:ascii="Times New Roman" w:eastAsia="Times New Roman" w:hAnsi="Times New Roman"/>
          <w:sz w:val="24"/>
          <w:szCs w:val="24"/>
        </w:rPr>
        <w:t xml:space="preserve">” The latter claims that he was instructed </w:t>
      </w:r>
      <w:r>
        <w:rPr>
          <w:rFonts w:ascii="Times New Roman" w:eastAsia="Times New Roman" w:hAnsi="Times New Roman"/>
          <w:sz w:val="24"/>
          <w:szCs w:val="24"/>
        </w:rPr>
        <w:t>‘</w:t>
      </w:r>
      <w:r w:rsidRPr="00E74680">
        <w:rPr>
          <w:rFonts w:ascii="Times New Roman" w:eastAsia="Times New Roman" w:hAnsi="Times New Roman"/>
          <w:sz w:val="24"/>
          <w:szCs w:val="24"/>
        </w:rPr>
        <w:t>to add specific statements and words to [his] Patient Care Reports in order to create the impression that the patients had a medically necessary reason requiring them to be transported</w:t>
      </w:r>
      <w:r>
        <w:rPr>
          <w:rFonts w:ascii="Times New Roman" w:eastAsia="Times New Roman" w:hAnsi="Times New Roman"/>
          <w:sz w:val="24"/>
          <w:szCs w:val="24"/>
        </w:rPr>
        <w:t>’</w:t>
      </w:r>
      <w:r w:rsidRPr="00E74680">
        <w:rPr>
          <w:rFonts w:ascii="Times New Roman" w:eastAsia="Times New Roman" w:hAnsi="Times New Roman"/>
          <w:sz w:val="24"/>
          <w:szCs w:val="24"/>
        </w:rPr>
        <w:t xml:space="preserve"> even if that was not the case</w:t>
      </w:r>
      <w:r>
        <w:rPr>
          <w:rFonts w:ascii="Times New Roman" w:eastAsia="Times New Roman" w:hAnsi="Times New Roman"/>
          <w:sz w:val="24"/>
          <w:szCs w:val="24"/>
        </w:rPr>
        <w:t>….</w:t>
      </w:r>
      <w:r w:rsidRPr="00E74680">
        <w:rPr>
          <w:rFonts w:ascii="Times New Roman" w:eastAsia="Times New Roman" w:hAnsi="Times New Roman"/>
          <w:sz w:val="24"/>
          <w:szCs w:val="24"/>
        </w:rPr>
        <w:t xml:space="preserve"> The Complaint also provides examples of meetings and </w:t>
      </w:r>
      <w:r w:rsidRPr="00E74680">
        <w:rPr>
          <w:rFonts w:ascii="Times New Roman" w:eastAsia="Times New Roman" w:hAnsi="Times New Roman"/>
          <w:sz w:val="24"/>
          <w:szCs w:val="24"/>
        </w:rPr>
        <w:lastRenderedPageBreak/>
        <w:t xml:space="preserve">other interactions in which Mobile Care allegedly applied pressure to EMTs and billers to assist in the fraudulent billing scheme. </w:t>
      </w:r>
    </w:p>
    <w:p w14:paraId="49F77128" w14:textId="77777777" w:rsidR="00774A91" w:rsidRDefault="00774A91" w:rsidP="00774A91">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w:t>
      </w:r>
    </w:p>
    <w:p w14:paraId="34BCF914" w14:textId="77777777" w:rsidR="00774A91" w:rsidRPr="001B3244" w:rsidRDefault="00774A91" w:rsidP="00774A91">
      <w:pPr>
        <w:spacing w:before="100" w:beforeAutospacing="1" w:after="100" w:afterAutospacing="1" w:line="240" w:lineRule="auto"/>
        <w:ind w:left="720"/>
        <w:rPr>
          <w:rFonts w:ascii="Times New Roman" w:eastAsia="Times New Roman" w:hAnsi="Times New Roman"/>
          <w:b/>
          <w:bCs/>
          <w:sz w:val="24"/>
          <w:szCs w:val="24"/>
        </w:rPr>
      </w:pPr>
      <w:r w:rsidRPr="00D3301A">
        <w:rPr>
          <w:rFonts w:ascii="Times New Roman" w:eastAsia="Times New Roman" w:hAnsi="Times New Roman"/>
          <w:sz w:val="24"/>
          <w:szCs w:val="24"/>
        </w:rPr>
        <w:t>If Mobile Care can show that it in fact did not make false claims, either as to the five specified examples, or others identified during discovery, Mobile Care will be entitled to prevail at trial, or perhaps even at summary judgment. But it is not entitled to dismissal of the complaint. Thus, the FCA claims can move forward.</w:t>
      </w:r>
      <w:r>
        <w:rPr>
          <w:rFonts w:ascii="Times New Roman" w:eastAsia="Times New Roman" w:hAnsi="Times New Roman"/>
          <w:sz w:val="24"/>
          <w:szCs w:val="24"/>
        </w:rPr>
        <w:t xml:space="preserve">” </w:t>
      </w:r>
      <w:hyperlink r:id="rId2284" w:history="1">
        <w:r w:rsidRPr="00BD2840">
          <w:rPr>
            <w:rStyle w:val="Hyperlink"/>
            <w:sz w:val="24"/>
            <w:szCs w:val="24"/>
          </w:rPr>
          <w:t>https://public.fastcase.com/9SKwsfNqTc6OieYDhNMyMyh4iKdUdl33yaqybd0RVUT7BGA%2FcA7dSWVys7nK48GqCBRY0Irwv50JDrMJhhTjndqcgsIMADMauCadEl5HS9U%3D</w:t>
        </w:r>
      </w:hyperlink>
    </w:p>
    <w:p w14:paraId="7F1E462D" w14:textId="77777777" w:rsidR="00774A91" w:rsidRPr="001B3244" w:rsidRDefault="00774A91" w:rsidP="00774A91">
      <w:pPr>
        <w:spacing w:before="100" w:beforeAutospacing="1" w:after="100" w:afterAutospacing="1" w:line="240" w:lineRule="auto"/>
        <w:rPr>
          <w:rFonts w:ascii="Times New Roman" w:eastAsia="Times New Roman" w:hAnsi="Times New Roman"/>
          <w:b/>
          <w:bCs/>
          <w:sz w:val="24"/>
          <w:szCs w:val="24"/>
        </w:rPr>
      </w:pPr>
      <w:r w:rsidRPr="001B3244">
        <w:rPr>
          <w:rFonts w:ascii="Times New Roman" w:eastAsia="Times New Roman" w:hAnsi="Times New Roman"/>
          <w:b/>
          <w:bCs/>
          <w:sz w:val="24"/>
          <w:szCs w:val="24"/>
        </w:rPr>
        <w:t>Legal Lesson Learned:</w:t>
      </w:r>
      <w:r>
        <w:rPr>
          <w:rFonts w:ascii="Times New Roman" w:eastAsia="Times New Roman" w:hAnsi="Times New Roman"/>
          <w:b/>
          <w:bCs/>
          <w:sz w:val="24"/>
          <w:szCs w:val="24"/>
        </w:rPr>
        <w:t xml:space="preserve"> The False Claims Act is designed to award whistleblowers who inform the U.S. Government of fraudulent claims. </w:t>
      </w:r>
    </w:p>
    <w:p w14:paraId="4777195E" w14:textId="77777777" w:rsidR="00774A91" w:rsidRPr="00E81972" w:rsidRDefault="00774A91" w:rsidP="00774A91">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 xml:space="preserve">Note: Relator’s awards. </w:t>
      </w:r>
      <w:hyperlink r:id="rId2285" w:history="1">
        <w:r w:rsidRPr="00BD2840">
          <w:rPr>
            <w:rStyle w:val="Hyperlink"/>
            <w:sz w:val="24"/>
            <w:szCs w:val="24"/>
          </w:rPr>
          <w:t>https://www.whistleblowerllc.com/resources/whistleblower-laws/the-federal-false-claims-act/</w:t>
        </w:r>
      </w:hyperlink>
      <w:r>
        <w:rPr>
          <w:rFonts w:ascii="Times New Roman" w:hAnsi="Times New Roman"/>
          <w:sz w:val="24"/>
          <w:szCs w:val="24"/>
        </w:rPr>
        <w:t xml:space="preserve"> </w:t>
      </w:r>
    </w:p>
    <w:p w14:paraId="3F151014" w14:textId="77777777" w:rsidR="00774A91" w:rsidRDefault="00774A91" w:rsidP="00774A91">
      <w:pPr>
        <w:spacing w:before="100" w:beforeAutospacing="1" w:after="100" w:afterAutospacing="1" w:line="240" w:lineRule="auto"/>
        <w:ind w:left="720"/>
        <w:rPr>
          <w:rFonts w:ascii="Times New Roman" w:hAnsi="Times New Roman"/>
          <w:sz w:val="24"/>
          <w:szCs w:val="24"/>
        </w:rPr>
      </w:pPr>
      <w:r>
        <w:rPr>
          <w:rStyle w:val="Strong"/>
          <w:rFonts w:ascii="Times New Roman" w:hAnsi="Times New Roman"/>
          <w:sz w:val="24"/>
          <w:szCs w:val="24"/>
        </w:rPr>
        <w:t>“</w:t>
      </w:r>
      <w:r w:rsidRPr="00E81972">
        <w:rPr>
          <w:rStyle w:val="Strong"/>
          <w:rFonts w:ascii="Times New Roman" w:hAnsi="Times New Roman"/>
          <w:sz w:val="24"/>
          <w:szCs w:val="24"/>
        </w:rPr>
        <w:t>Intervention</w:t>
      </w:r>
      <w:r w:rsidRPr="00E81972">
        <w:rPr>
          <w:rFonts w:ascii="Times New Roman" w:hAnsi="Times New Roman"/>
          <w:sz w:val="24"/>
          <w:szCs w:val="24"/>
        </w:rPr>
        <w:t xml:space="preserve">: the FCA provides for a relator share of 15%-25% of the proceeds collected by the United States </w:t>
      </w:r>
      <w:r>
        <w:rPr>
          <w:rFonts w:ascii="Times New Roman" w:hAnsi="Times New Roman"/>
          <w:sz w:val="24"/>
          <w:szCs w:val="24"/>
        </w:rPr>
        <w:t>‘</w:t>
      </w:r>
      <w:r w:rsidRPr="00E81972">
        <w:rPr>
          <w:rFonts w:ascii="Times New Roman" w:hAnsi="Times New Roman"/>
          <w:sz w:val="24"/>
          <w:szCs w:val="24"/>
        </w:rPr>
        <w:t>depending upon the extent to which the person substantially contributed to the prosecution of the action</w:t>
      </w:r>
      <w:r>
        <w:rPr>
          <w:rFonts w:ascii="Times New Roman" w:hAnsi="Times New Roman"/>
          <w:sz w:val="24"/>
          <w:szCs w:val="24"/>
        </w:rPr>
        <w:t>.’</w:t>
      </w:r>
    </w:p>
    <w:p w14:paraId="26169C72" w14:textId="77777777" w:rsidR="00774A91" w:rsidRPr="00E81972" w:rsidRDefault="00774A91" w:rsidP="00774A91">
      <w:pPr>
        <w:spacing w:before="100" w:beforeAutospacing="1" w:after="100" w:afterAutospacing="1" w:line="240" w:lineRule="auto"/>
        <w:ind w:left="720"/>
        <w:rPr>
          <w:rFonts w:ascii="Times New Roman" w:eastAsia="Times New Roman" w:hAnsi="Times New Roman"/>
          <w:sz w:val="24"/>
          <w:szCs w:val="24"/>
        </w:rPr>
      </w:pPr>
      <w:r w:rsidRPr="00E81972">
        <w:rPr>
          <w:rStyle w:val="Strong"/>
          <w:rFonts w:ascii="Times New Roman" w:hAnsi="Times New Roman"/>
          <w:sz w:val="24"/>
          <w:szCs w:val="24"/>
        </w:rPr>
        <w:t>Declination</w:t>
      </w:r>
      <w:r w:rsidRPr="00E81972">
        <w:rPr>
          <w:rFonts w:ascii="Times New Roman" w:hAnsi="Times New Roman"/>
          <w:sz w:val="24"/>
          <w:szCs w:val="24"/>
        </w:rPr>
        <w:t xml:space="preserve">: the FCA provides for a relator share of 25%-30% of the proceeds collected by the United States based on what the court finds </w:t>
      </w:r>
      <w:r>
        <w:rPr>
          <w:rFonts w:ascii="Times New Roman" w:hAnsi="Times New Roman"/>
          <w:sz w:val="24"/>
          <w:szCs w:val="24"/>
        </w:rPr>
        <w:t>‘</w:t>
      </w:r>
      <w:r w:rsidRPr="00E81972">
        <w:rPr>
          <w:rFonts w:ascii="Times New Roman" w:hAnsi="Times New Roman"/>
          <w:sz w:val="24"/>
          <w:szCs w:val="24"/>
        </w:rPr>
        <w:t>reasonable</w:t>
      </w:r>
      <w:r>
        <w:rPr>
          <w:rFonts w:ascii="Times New Roman" w:hAnsi="Times New Roman"/>
          <w:sz w:val="24"/>
          <w:szCs w:val="24"/>
        </w:rPr>
        <w:t>’</w:t>
      </w:r>
      <w:r w:rsidRPr="00E81972">
        <w:rPr>
          <w:rFonts w:ascii="Times New Roman" w:hAnsi="Times New Roman"/>
          <w:sz w:val="24"/>
          <w:szCs w:val="24"/>
        </w:rPr>
        <w:t xml:space="preserve"> for collecting the damages and penalties</w:t>
      </w:r>
      <w:r>
        <w:t>.</w:t>
      </w:r>
      <w:r>
        <w:rPr>
          <w:rFonts w:ascii="Times New Roman" w:hAnsi="Times New Roman"/>
          <w:sz w:val="24"/>
          <w:szCs w:val="24"/>
        </w:rPr>
        <w:t xml:space="preserve">” </w:t>
      </w:r>
    </w:p>
    <w:p w14:paraId="1D5E121B" w14:textId="77777777" w:rsidR="00774A91" w:rsidRDefault="00774A91" w:rsidP="002B1283">
      <w:pPr>
        <w:rPr>
          <w:rFonts w:ascii="Arial Black" w:hAnsi="Arial Black"/>
          <w:b/>
          <w:bCs/>
          <w:sz w:val="28"/>
          <w:szCs w:val="28"/>
        </w:rPr>
      </w:pPr>
    </w:p>
    <w:p w14:paraId="0F22B56B" w14:textId="3942DBE6" w:rsidR="00BD1702" w:rsidRDefault="00BD1702" w:rsidP="002B1283">
      <w:pPr>
        <w:rPr>
          <w:rFonts w:ascii="Arial Black" w:hAnsi="Arial Black"/>
          <w:b/>
          <w:bCs/>
          <w:sz w:val="28"/>
          <w:szCs w:val="28"/>
        </w:rPr>
      </w:pPr>
      <w:r>
        <w:rPr>
          <w:rFonts w:ascii="Arial Black" w:hAnsi="Arial Black"/>
          <w:b/>
          <w:bCs/>
          <w:sz w:val="28"/>
          <w:szCs w:val="28"/>
        </w:rPr>
        <w:t>13-9</w:t>
      </w:r>
      <w:r w:rsidR="00687C24">
        <w:rPr>
          <w:rFonts w:ascii="Arial Black" w:hAnsi="Arial Black"/>
          <w:b/>
          <w:bCs/>
          <w:sz w:val="28"/>
          <w:szCs w:val="28"/>
        </w:rPr>
        <w:t>3</w:t>
      </w:r>
    </w:p>
    <w:p w14:paraId="11AB1C5C" w14:textId="77777777" w:rsidR="00BD1702" w:rsidRDefault="00BD1702" w:rsidP="00BD1702">
      <w:pPr>
        <w:spacing w:before="100" w:beforeAutospacing="1" w:after="100" w:afterAutospacing="1" w:line="240" w:lineRule="auto"/>
        <w:rPr>
          <w:rFonts w:ascii="Arial Black" w:hAnsi="Arial Black"/>
          <w:sz w:val="28"/>
          <w:szCs w:val="28"/>
        </w:rPr>
      </w:pPr>
      <w:r>
        <w:rPr>
          <w:rFonts w:ascii="Arial Black" w:hAnsi="Arial Black"/>
          <w:sz w:val="28"/>
          <w:szCs w:val="28"/>
        </w:rPr>
        <w:t>NY: DEF. STRUCK EMT WITH CLOSED FIST – FELONY PLED DOWN DISORDERLY – DEF. MUST GET COVID VACCINATION</w:t>
      </w:r>
    </w:p>
    <w:p w14:paraId="6C6BA6B9" w14:textId="77777777" w:rsidR="00BD1702" w:rsidRDefault="00BD1702" w:rsidP="00BD1702">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On Oct. 6, 2021, in </w:t>
      </w:r>
      <w:r>
        <w:rPr>
          <w:rFonts w:ascii="Times New Roman" w:hAnsi="Times New Roman"/>
          <w:sz w:val="24"/>
          <w:szCs w:val="24"/>
          <w:u w:val="single"/>
        </w:rPr>
        <w:t>The People of State of New York v. D.R.</w:t>
      </w:r>
      <w:r>
        <w:rPr>
          <w:rFonts w:ascii="Times New Roman" w:hAnsi="Times New Roman"/>
          <w:sz w:val="24"/>
          <w:szCs w:val="24"/>
        </w:rPr>
        <w:t>, Criminal Court of the City of New York, Bronx County (Judge Jeffrey M. Zimmerman) issued a written opinion confirming his order that the defendant get a COVID vaccination as a condition of his accepting plea of guilty and conditional discharge from any imprisonment.  Defendant was originally charged with a Class C felony, then offered plea to lesser Class D felony, then offered plea to misdemeanor, and then finally to a non-criminal Disorderly Conduct [which he accepted]. Judge agreed, but only if he produced proof of COVID vaccination.</w:t>
      </w:r>
    </w:p>
    <w:p w14:paraId="78E7F4F9" w14:textId="77777777" w:rsidR="00BD1702" w:rsidRDefault="00BD1702" w:rsidP="00BD1702">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 xml:space="preserve">“The defendant was charged with assaulting an EMS worker, thus placing his own interests and aggressions above those of public safety employees and </w:t>
      </w:r>
      <w:proofErr w:type="gramStart"/>
      <w:r>
        <w:rPr>
          <w:rFonts w:ascii="Times New Roman" w:hAnsi="Times New Roman"/>
          <w:sz w:val="24"/>
          <w:szCs w:val="24"/>
        </w:rPr>
        <w:t>society as a whole</w:t>
      </w:r>
      <w:proofErr w:type="gramEnd"/>
      <w:r>
        <w:rPr>
          <w:rFonts w:ascii="Times New Roman" w:hAnsi="Times New Roman"/>
          <w:sz w:val="24"/>
          <w:szCs w:val="24"/>
        </w:rPr>
        <w:t xml:space="preserve">. As this Court made clear at sentencing, by mandating proof of vaccination, it was giving the defendant the opportunity to engage in an activity that would do exactly the opposite, allowing him to experience the sense of community and well-being that comes with doing something that benefits others (tr at 7). There is absolutely nothing punitive about the condition, since the vaccine has been demonstrated to be safe and effective by the FDA, and by the real-life trial of hundreds of millions of doses administered around the world….  Footnote 4: “It goes without saying that the Court would not have imposed this condition had the defendant pointed to any medical conditions he had that made the vaccine unsafe for him. He did not do so.”  </w:t>
      </w:r>
      <w:hyperlink r:id="rId2286" w:history="1">
        <w:r>
          <w:rPr>
            <w:rStyle w:val="Hyperlink"/>
            <w:sz w:val="24"/>
            <w:szCs w:val="24"/>
          </w:rPr>
          <w:t>https://public.fastcase.com/9SKwsfNqTc6OieYDhNMyMzpaZgjHFdPajpMUAUycVEOD1%2FIGYL0bkVi40opLVA3rHt12SE41wYoG8BLshtbo2LNVnd3RJLWIEJH0dBI9oDE%3D</w:t>
        </w:r>
      </w:hyperlink>
      <w:r>
        <w:rPr>
          <w:rFonts w:ascii="Times New Roman" w:hAnsi="Times New Roman"/>
          <w:sz w:val="24"/>
          <w:szCs w:val="24"/>
        </w:rPr>
        <w:t xml:space="preserve"> </w:t>
      </w:r>
    </w:p>
    <w:p w14:paraId="3D643F9D" w14:textId="77777777" w:rsidR="00BD1702" w:rsidRDefault="00BD1702" w:rsidP="00BD1702">
      <w:pPr>
        <w:spacing w:before="100" w:beforeAutospacing="1" w:after="100" w:afterAutospacing="1" w:line="240" w:lineRule="auto"/>
        <w:rPr>
          <w:rFonts w:ascii="Times New Roman" w:hAnsi="Times New Roman"/>
          <w:b/>
          <w:bCs/>
          <w:sz w:val="24"/>
          <w:szCs w:val="24"/>
        </w:rPr>
      </w:pPr>
      <w:r>
        <w:rPr>
          <w:rFonts w:ascii="Times New Roman" w:hAnsi="Times New Roman"/>
          <w:b/>
          <w:bCs/>
          <w:sz w:val="24"/>
          <w:szCs w:val="24"/>
        </w:rPr>
        <w:t xml:space="preserve">Legal Lesson Learned: The plea deal offered reflects the reality of how numerous criminal cases are handled in a very busy Bronx court.  Requiring a COVID vaccination is a novel way for a Court to accept a plea deal. </w:t>
      </w:r>
    </w:p>
    <w:p w14:paraId="57F687E4" w14:textId="57102208" w:rsidR="00BD1702" w:rsidRDefault="00BD1702" w:rsidP="002B1283">
      <w:pPr>
        <w:rPr>
          <w:rFonts w:ascii="Arial Black" w:hAnsi="Arial Black"/>
          <w:b/>
          <w:bCs/>
          <w:sz w:val="28"/>
          <w:szCs w:val="28"/>
        </w:rPr>
      </w:pPr>
    </w:p>
    <w:p w14:paraId="20F65E48" w14:textId="58706F71" w:rsidR="00687C24" w:rsidRDefault="00687C24" w:rsidP="002B1283">
      <w:pPr>
        <w:rPr>
          <w:rFonts w:ascii="Arial Black" w:hAnsi="Arial Black"/>
          <w:b/>
          <w:bCs/>
          <w:sz w:val="28"/>
          <w:szCs w:val="28"/>
        </w:rPr>
      </w:pPr>
      <w:r>
        <w:rPr>
          <w:rFonts w:ascii="Arial Black" w:hAnsi="Arial Black"/>
          <w:b/>
          <w:bCs/>
          <w:sz w:val="28"/>
          <w:szCs w:val="28"/>
        </w:rPr>
        <w:t>13-92</w:t>
      </w:r>
    </w:p>
    <w:p w14:paraId="28181B64" w14:textId="77777777" w:rsidR="00687C24" w:rsidRPr="00DC3453" w:rsidRDefault="00687C24" w:rsidP="00687C24">
      <w:pPr>
        <w:spacing w:before="100" w:beforeAutospacing="1" w:after="100" w:afterAutospacing="1" w:line="240" w:lineRule="auto"/>
        <w:rPr>
          <w:rFonts w:ascii="Arial Black" w:eastAsia="Times New Roman" w:hAnsi="Arial Black"/>
          <w:b/>
          <w:bCs/>
          <w:sz w:val="28"/>
          <w:szCs w:val="28"/>
        </w:rPr>
      </w:pPr>
      <w:r w:rsidRPr="00DC3453">
        <w:rPr>
          <w:rFonts w:ascii="Arial Black" w:eastAsia="Times New Roman" w:hAnsi="Arial Black"/>
          <w:b/>
          <w:bCs/>
          <w:sz w:val="28"/>
          <w:szCs w:val="28"/>
        </w:rPr>
        <w:t xml:space="preserve">MN: </w:t>
      </w:r>
      <w:r>
        <w:rPr>
          <w:rFonts w:ascii="Arial Black" w:eastAsia="Times New Roman" w:hAnsi="Arial Black"/>
          <w:b/>
          <w:bCs/>
          <w:sz w:val="28"/>
          <w:szCs w:val="28"/>
        </w:rPr>
        <w:t xml:space="preserve">PATIENT WITH GUN SHOT TO HOSPITAL - </w:t>
      </w:r>
      <w:r w:rsidRPr="00DC3453">
        <w:rPr>
          <w:rFonts w:ascii="Arial Black" w:eastAsia="Times New Roman" w:hAnsi="Arial Black"/>
          <w:b/>
          <w:bCs/>
          <w:sz w:val="28"/>
          <w:szCs w:val="28"/>
        </w:rPr>
        <w:t xml:space="preserve">PAT DOWN REVEALS </w:t>
      </w:r>
      <w:r>
        <w:rPr>
          <w:rFonts w:ascii="Arial Black" w:eastAsia="Times New Roman" w:hAnsi="Arial Black"/>
          <w:b/>
          <w:bCs/>
          <w:sz w:val="28"/>
          <w:szCs w:val="28"/>
        </w:rPr>
        <w:t>FIREARM – SEARCH LAWFUL “ADMIN. ACTION”</w:t>
      </w:r>
    </w:p>
    <w:p w14:paraId="3FDFA65E" w14:textId="77777777" w:rsidR="00687C24" w:rsidRDefault="00687C24" w:rsidP="00687C24">
      <w:pPr>
        <w:spacing w:before="100" w:beforeAutospacing="1" w:after="100" w:afterAutospacing="1" w:line="240" w:lineRule="auto"/>
        <w:rPr>
          <w:rFonts w:ascii="Times New Roman" w:eastAsia="Times New Roman" w:hAnsi="Times New Roman"/>
          <w:sz w:val="24"/>
          <w:szCs w:val="24"/>
        </w:rPr>
      </w:pPr>
      <w:r w:rsidRPr="00943820">
        <w:rPr>
          <w:rFonts w:ascii="Times New Roman" w:eastAsia="Times New Roman" w:hAnsi="Times New Roman"/>
          <w:sz w:val="24"/>
          <w:szCs w:val="24"/>
        </w:rPr>
        <w:t xml:space="preserve">On </w:t>
      </w:r>
      <w:r>
        <w:rPr>
          <w:rFonts w:ascii="Times New Roman" w:eastAsia="Times New Roman" w:hAnsi="Times New Roman"/>
          <w:sz w:val="24"/>
          <w:szCs w:val="24"/>
        </w:rPr>
        <w:t xml:space="preserve">Oct. 1, 2021, in </w:t>
      </w:r>
      <w:r w:rsidRPr="00943820">
        <w:rPr>
          <w:rFonts w:ascii="Times New Roman" w:eastAsia="Times New Roman" w:hAnsi="Times New Roman"/>
          <w:sz w:val="24"/>
          <w:szCs w:val="24"/>
          <w:u w:val="single"/>
        </w:rPr>
        <w:t>United States of America v. Dywan Lamar Conley</w:t>
      </w:r>
      <w:r>
        <w:rPr>
          <w:rFonts w:ascii="Times New Roman" w:eastAsia="Times New Roman" w:hAnsi="Times New Roman"/>
          <w:sz w:val="24"/>
          <w:szCs w:val="24"/>
        </w:rPr>
        <w:t xml:space="preserve">, U.S. Magistrate Judge Beck R. Thorson issued a Report </w:t>
      </w:r>
      <w:proofErr w:type="gramStart"/>
      <w:r>
        <w:rPr>
          <w:rFonts w:ascii="Times New Roman" w:eastAsia="Times New Roman" w:hAnsi="Times New Roman"/>
          <w:sz w:val="24"/>
          <w:szCs w:val="24"/>
        </w:rPr>
        <w:t>And</w:t>
      </w:r>
      <w:proofErr w:type="gramEnd"/>
      <w:r>
        <w:rPr>
          <w:rFonts w:ascii="Times New Roman" w:eastAsia="Times New Roman" w:hAnsi="Times New Roman"/>
          <w:sz w:val="24"/>
          <w:szCs w:val="24"/>
        </w:rPr>
        <w:t xml:space="preserve"> Recommendation to deny the defendant’s motion to suppress the firearm as evidence in his upcoming trial. </w:t>
      </w:r>
    </w:p>
    <w:p w14:paraId="01FE323A" w14:textId="77777777" w:rsidR="00687C24" w:rsidRPr="009719B6" w:rsidRDefault="00687C24" w:rsidP="00687C24">
      <w:pPr>
        <w:spacing w:before="100" w:beforeAutospacing="1" w:after="100" w:afterAutospacing="1" w:line="240" w:lineRule="auto"/>
        <w:ind w:left="720"/>
        <w:rPr>
          <w:rFonts w:ascii="Times New Roman" w:eastAsia="Times New Roman" w:hAnsi="Times New Roman"/>
          <w:sz w:val="24"/>
          <w:szCs w:val="24"/>
        </w:rPr>
      </w:pPr>
      <w:r>
        <w:rPr>
          <w:rFonts w:ascii="Times New Roman" w:hAnsi="Times New Roman"/>
          <w:sz w:val="24"/>
          <w:szCs w:val="24"/>
        </w:rPr>
        <w:t>“</w:t>
      </w:r>
      <w:r w:rsidRPr="00DC3453">
        <w:rPr>
          <w:rFonts w:ascii="Times New Roman" w:hAnsi="Times New Roman"/>
          <w:sz w:val="24"/>
          <w:szCs w:val="24"/>
        </w:rPr>
        <w:t>Therefore, this Court concludes that because the HCMC protection officers were working with an administrative purpose when they held Defendant down to assist medical personnel in administering treatment and to protect medical personnel, their actions are subject to the Fourth Amendment.</w:t>
      </w:r>
      <w:r>
        <w:rPr>
          <w:rFonts w:ascii="Times New Roman" w:hAnsi="Times New Roman"/>
          <w:sz w:val="24"/>
          <w:szCs w:val="24"/>
        </w:rPr>
        <w:t xml:space="preserve">” </w:t>
      </w:r>
      <w:hyperlink r:id="rId2287" w:history="1">
        <w:r w:rsidRPr="009719B6">
          <w:rPr>
            <w:rStyle w:val="Hyperlink"/>
            <w:rFonts w:ascii="Times New Roman" w:hAnsi="Times New Roman"/>
            <w:sz w:val="24"/>
            <w:szCs w:val="24"/>
          </w:rPr>
          <w:t>https://public.fastcase.com/9SKwsfNqTc6OieYDhNMyMwbSkTth7KSxZerJ72xuPASz0hfrLKBLsSHZ5wSTH5hTHTRhpFz%2FSUPG8m6eckQDfkjqtfnRAdXjc9mLaHWodGM%3D</w:t>
        </w:r>
      </w:hyperlink>
      <w:r w:rsidRPr="009719B6">
        <w:rPr>
          <w:rFonts w:ascii="Times New Roman" w:hAnsi="Times New Roman"/>
          <w:sz w:val="24"/>
          <w:szCs w:val="24"/>
        </w:rPr>
        <w:t xml:space="preserve"> </w:t>
      </w:r>
    </w:p>
    <w:p w14:paraId="29CB10B0" w14:textId="77777777" w:rsidR="00687C24" w:rsidRPr="00B20244" w:rsidRDefault="00687C24" w:rsidP="00687C24">
      <w:pPr>
        <w:pStyle w:val="NormalWeb"/>
        <w:rPr>
          <w:b/>
          <w:bCs/>
        </w:rPr>
      </w:pPr>
      <w:r w:rsidRPr="00B20244">
        <w:rPr>
          <w:b/>
          <w:bCs/>
        </w:rPr>
        <w:t>Legal Lesson Learned:</w:t>
      </w:r>
      <w:r>
        <w:rPr>
          <w:b/>
          <w:bCs/>
        </w:rPr>
        <w:t xml:space="preserve">  Hospital security personnel may search a patient for “administrative purpose.” </w:t>
      </w:r>
    </w:p>
    <w:p w14:paraId="6C7037C3" w14:textId="77777777" w:rsidR="00687C24" w:rsidRDefault="00687C24" w:rsidP="002B1283">
      <w:pPr>
        <w:rPr>
          <w:rFonts w:ascii="Arial Black" w:hAnsi="Arial Black"/>
          <w:b/>
          <w:bCs/>
          <w:sz w:val="28"/>
          <w:szCs w:val="28"/>
        </w:rPr>
      </w:pPr>
    </w:p>
    <w:p w14:paraId="48F6E71A" w14:textId="77777777" w:rsidR="00BD1702" w:rsidRDefault="00BD1702" w:rsidP="002B1283">
      <w:pPr>
        <w:rPr>
          <w:rFonts w:ascii="Arial Black" w:hAnsi="Arial Black"/>
          <w:b/>
          <w:bCs/>
          <w:sz w:val="28"/>
          <w:szCs w:val="28"/>
        </w:rPr>
      </w:pPr>
    </w:p>
    <w:p w14:paraId="75004D39" w14:textId="419695A0" w:rsidR="002F610D" w:rsidRDefault="002F610D" w:rsidP="002B1283">
      <w:pPr>
        <w:rPr>
          <w:rFonts w:ascii="Arial Black" w:hAnsi="Arial Black"/>
          <w:b/>
          <w:bCs/>
          <w:sz w:val="28"/>
          <w:szCs w:val="28"/>
        </w:rPr>
      </w:pPr>
      <w:r>
        <w:rPr>
          <w:rFonts w:ascii="Arial Black" w:hAnsi="Arial Black"/>
          <w:b/>
          <w:bCs/>
          <w:sz w:val="28"/>
          <w:szCs w:val="28"/>
        </w:rPr>
        <w:t>13-91</w:t>
      </w:r>
    </w:p>
    <w:p w14:paraId="71011B97" w14:textId="77777777" w:rsidR="002F610D" w:rsidRDefault="002F610D" w:rsidP="002F610D">
      <w:pPr>
        <w:rPr>
          <w:rFonts w:ascii="Arial Black" w:hAnsi="Arial Black"/>
          <w:sz w:val="28"/>
          <w:szCs w:val="28"/>
        </w:rPr>
      </w:pPr>
      <w:bookmarkStart w:id="448" w:name="_Hlk81842635"/>
      <w:r>
        <w:rPr>
          <w:rFonts w:ascii="Arial Black" w:hAnsi="Arial Black"/>
          <w:sz w:val="28"/>
          <w:szCs w:val="28"/>
        </w:rPr>
        <w:t>CO:  PARAMEDIC INJECTED KETAMINE - POLICE ARREST – PATIENT UNCONSCIOUS 3 DAYS – LAWSUIT PROCEED</w:t>
      </w:r>
    </w:p>
    <w:bookmarkEnd w:id="448"/>
    <w:p w14:paraId="528C59BA" w14:textId="77777777" w:rsidR="002F610D" w:rsidRDefault="002F610D" w:rsidP="002F610D">
      <w:pPr>
        <w:rPr>
          <w:rFonts w:ascii="Times New Roman" w:hAnsi="Times New Roman"/>
          <w:sz w:val="24"/>
          <w:szCs w:val="24"/>
        </w:rPr>
      </w:pPr>
      <w:r>
        <w:rPr>
          <w:rFonts w:ascii="Times New Roman" w:hAnsi="Times New Roman"/>
          <w:sz w:val="24"/>
          <w:szCs w:val="24"/>
        </w:rPr>
        <w:t xml:space="preserve">On Aug. 10, 2021, in </w:t>
      </w:r>
      <w:r w:rsidRPr="00A45113">
        <w:rPr>
          <w:rFonts w:ascii="Times New Roman" w:hAnsi="Times New Roman"/>
          <w:sz w:val="24"/>
          <w:szCs w:val="24"/>
          <w:u w:val="single"/>
        </w:rPr>
        <w:t>Elijah McKnight v. Sheriff Tyler Brown, et al</w:t>
      </w:r>
      <w:r>
        <w:rPr>
          <w:rFonts w:ascii="Times New Roman" w:hAnsi="Times New Roman"/>
          <w:sz w:val="24"/>
          <w:szCs w:val="24"/>
        </w:rPr>
        <w:t xml:space="preserve">., U.S. Magistrate Judge </w:t>
      </w:r>
      <w:r w:rsidRPr="00A45113">
        <w:rPr>
          <w:rFonts w:ascii="Times New Roman" w:hAnsi="Times New Roman"/>
          <w:sz w:val="24"/>
          <w:szCs w:val="24"/>
        </w:rPr>
        <w:t>S. Kato Crews</w:t>
      </w:r>
      <w:r>
        <w:rPr>
          <w:rFonts w:ascii="Times New Roman" w:hAnsi="Times New Roman"/>
          <w:sz w:val="24"/>
          <w:szCs w:val="24"/>
        </w:rPr>
        <w:t xml:space="preserve">, U.S. District Court for the District of Colorado, denied Paramedic Marshall Cloud and other defendants’ motion to stay all discovery, and dismiss the lawsuit </w:t>
      </w:r>
      <w:proofErr w:type="gramStart"/>
      <w:r>
        <w:rPr>
          <w:rFonts w:ascii="Times New Roman" w:hAnsi="Times New Roman"/>
          <w:sz w:val="24"/>
          <w:szCs w:val="24"/>
        </w:rPr>
        <w:t>on the basis of</w:t>
      </w:r>
      <w:proofErr w:type="gramEnd"/>
      <w:r>
        <w:rPr>
          <w:rFonts w:ascii="Times New Roman" w:hAnsi="Times New Roman"/>
          <w:sz w:val="24"/>
          <w:szCs w:val="24"/>
        </w:rPr>
        <w:t xml:space="preserve"> qualified immunity.  </w:t>
      </w:r>
    </w:p>
    <w:p w14:paraId="6D5B27BC" w14:textId="77777777" w:rsidR="002F610D" w:rsidRDefault="002F610D" w:rsidP="002F610D">
      <w:pPr>
        <w:ind w:left="720"/>
        <w:rPr>
          <w:rFonts w:ascii="Times New Roman" w:hAnsi="Times New Roman"/>
          <w:sz w:val="24"/>
          <w:szCs w:val="24"/>
        </w:rPr>
      </w:pPr>
      <w:r>
        <w:rPr>
          <w:rFonts w:ascii="Times New Roman" w:hAnsi="Times New Roman"/>
          <w:sz w:val="24"/>
          <w:szCs w:val="24"/>
        </w:rPr>
        <w:t>The Court wrote: “</w:t>
      </w:r>
      <w:r w:rsidRPr="00A837A2">
        <w:rPr>
          <w:rFonts w:ascii="Times New Roman" w:hAnsi="Times New Roman"/>
          <w:sz w:val="24"/>
          <w:szCs w:val="24"/>
        </w:rPr>
        <w:t xml:space="preserve">The Plaintiff in this case spent three days unconscious and required machine assistance to help him breathe. He </w:t>
      </w:r>
      <w:proofErr w:type="gramStart"/>
      <w:r w:rsidRPr="00A837A2">
        <w:rPr>
          <w:rFonts w:ascii="Times New Roman" w:hAnsi="Times New Roman"/>
          <w:sz w:val="24"/>
          <w:szCs w:val="24"/>
        </w:rPr>
        <w:t>is deserving of</w:t>
      </w:r>
      <w:proofErr w:type="gramEnd"/>
      <w:r w:rsidRPr="00A837A2">
        <w:rPr>
          <w:rFonts w:ascii="Times New Roman" w:hAnsi="Times New Roman"/>
          <w:sz w:val="24"/>
          <w:szCs w:val="24"/>
        </w:rPr>
        <w:t xml:space="preserve"> answers regarding why this happened and whether anyone is to be held responsible.</w:t>
      </w:r>
    </w:p>
    <w:p w14:paraId="5D10381A" w14:textId="77777777" w:rsidR="002F610D" w:rsidRPr="00A837A2" w:rsidRDefault="002F610D" w:rsidP="002F610D">
      <w:pPr>
        <w:ind w:left="720"/>
        <w:rPr>
          <w:rFonts w:ascii="Times New Roman" w:hAnsi="Times New Roman"/>
          <w:sz w:val="24"/>
          <w:szCs w:val="24"/>
        </w:rPr>
      </w:pPr>
      <w:r>
        <w:rPr>
          <w:rFonts w:ascii="Times New Roman" w:hAnsi="Times New Roman"/>
          <w:sz w:val="24"/>
          <w:szCs w:val="24"/>
        </w:rPr>
        <w:t>***</w:t>
      </w:r>
    </w:p>
    <w:p w14:paraId="5245315C" w14:textId="77777777" w:rsidR="002F610D" w:rsidRDefault="002F610D" w:rsidP="002F610D">
      <w:pPr>
        <w:ind w:left="720"/>
        <w:rPr>
          <w:rFonts w:ascii="Times New Roman" w:hAnsi="Times New Roman"/>
          <w:sz w:val="24"/>
          <w:szCs w:val="24"/>
        </w:rPr>
      </w:pPr>
      <w:r w:rsidRPr="00A45113">
        <w:rPr>
          <w:rFonts w:ascii="Times New Roman" w:hAnsi="Times New Roman"/>
          <w:sz w:val="24"/>
          <w:szCs w:val="24"/>
        </w:rPr>
        <w:t xml:space="preserve">Finally, although Defendants are dismissive of the </w:t>
      </w:r>
      <w:r>
        <w:rPr>
          <w:rFonts w:ascii="Times New Roman" w:hAnsi="Times New Roman"/>
          <w:sz w:val="24"/>
          <w:szCs w:val="24"/>
        </w:rPr>
        <w:t>‘</w:t>
      </w:r>
      <w:r w:rsidRPr="00A45113">
        <w:rPr>
          <w:rFonts w:ascii="Times New Roman" w:hAnsi="Times New Roman"/>
          <w:sz w:val="24"/>
          <w:szCs w:val="24"/>
        </w:rPr>
        <w:t>lofty</w:t>
      </w:r>
      <w:r>
        <w:rPr>
          <w:rFonts w:ascii="Times New Roman" w:hAnsi="Times New Roman"/>
          <w:sz w:val="24"/>
          <w:szCs w:val="24"/>
        </w:rPr>
        <w:t>’</w:t>
      </w:r>
      <w:r w:rsidRPr="00A45113">
        <w:rPr>
          <w:rFonts w:ascii="Times New Roman" w:hAnsi="Times New Roman"/>
          <w:sz w:val="24"/>
          <w:szCs w:val="24"/>
        </w:rPr>
        <w:t xml:space="preserve"> public interest in the prompt and efficient handling of litigation, they do not address Plaintiff's argument regarding the public's interest in the use </w:t>
      </w:r>
      <w:r w:rsidRPr="00A45113">
        <w:rPr>
          <w:rFonts w:ascii="Times New Roman" w:hAnsi="Times New Roman"/>
          <w:sz w:val="24"/>
          <w:szCs w:val="24"/>
        </w:rPr>
        <w:lastRenderedPageBreak/>
        <w:t xml:space="preserve">of Ketamine by first responders. The Court takes judicial notice of the local and national attention this issue has garnered. To be sure, this is not the only case in this district (involving the use of Ketamine) to arise during the week of August 18, 2019. The case of </w:t>
      </w:r>
      <w:r w:rsidRPr="00A45113">
        <w:rPr>
          <w:rStyle w:val="Emphasis"/>
          <w:rFonts w:ascii="Times New Roman" w:hAnsi="Times New Roman"/>
          <w:sz w:val="24"/>
          <w:szCs w:val="24"/>
        </w:rPr>
        <w:t>Estate of McClain by and through McClain v. City of Aurora, Colorado</w:t>
      </w:r>
      <w:r w:rsidRPr="00A45113">
        <w:rPr>
          <w:rFonts w:ascii="Times New Roman" w:hAnsi="Times New Roman"/>
          <w:sz w:val="24"/>
          <w:szCs w:val="24"/>
        </w:rPr>
        <w:t xml:space="preserve">, involves a similar fact pattern, albeit with the City of Aurora Police Department. This Court agrees with Magistrate Judge N. Reid </w:t>
      </w:r>
      <w:proofErr w:type="spellStart"/>
      <w:r w:rsidRPr="00A45113">
        <w:rPr>
          <w:rFonts w:ascii="Times New Roman" w:hAnsi="Times New Roman"/>
          <w:sz w:val="24"/>
          <w:szCs w:val="24"/>
        </w:rPr>
        <w:t>Neurieter</w:t>
      </w:r>
      <w:proofErr w:type="spellEnd"/>
      <w:r w:rsidRPr="00A45113">
        <w:rPr>
          <w:rFonts w:ascii="Times New Roman" w:hAnsi="Times New Roman"/>
          <w:sz w:val="24"/>
          <w:szCs w:val="24"/>
        </w:rPr>
        <w:t xml:space="preserve"> </w:t>
      </w:r>
      <w:proofErr w:type="gramStart"/>
      <w:r w:rsidRPr="00A45113">
        <w:rPr>
          <w:rFonts w:ascii="Times New Roman" w:hAnsi="Times New Roman"/>
          <w:sz w:val="24"/>
          <w:szCs w:val="24"/>
        </w:rPr>
        <w:t xml:space="preserve">that, </w:t>
      </w:r>
      <w:r>
        <w:rPr>
          <w:rFonts w:ascii="Times New Roman" w:hAnsi="Times New Roman"/>
          <w:sz w:val="24"/>
          <w:szCs w:val="24"/>
        </w:rPr>
        <w:t>‘</w:t>
      </w:r>
      <w:proofErr w:type="gramEnd"/>
      <w:r w:rsidRPr="00A45113">
        <w:rPr>
          <w:rFonts w:ascii="Times New Roman" w:hAnsi="Times New Roman"/>
          <w:sz w:val="24"/>
          <w:szCs w:val="24"/>
        </w:rPr>
        <w:t xml:space="preserve">it is not in the interest of the public or in the interest of justice to ‘put on the back </w:t>
      </w:r>
      <w:proofErr w:type="gramStart"/>
      <w:r w:rsidRPr="00A45113">
        <w:rPr>
          <w:rFonts w:ascii="Times New Roman" w:hAnsi="Times New Roman"/>
          <w:sz w:val="24"/>
          <w:szCs w:val="24"/>
        </w:rPr>
        <w:t>burner'</w:t>
      </w:r>
      <w:proofErr w:type="gramEnd"/>
      <w:r w:rsidRPr="00A45113">
        <w:rPr>
          <w:rFonts w:ascii="Times New Roman" w:hAnsi="Times New Roman"/>
          <w:sz w:val="24"/>
          <w:szCs w:val="24"/>
        </w:rPr>
        <w:t xml:space="preserve"> discovery in a case that raises significant questions about [Arapahoe County's] policing and paramedic practices.</w:t>
      </w:r>
      <w:r>
        <w:rPr>
          <w:rFonts w:ascii="Times New Roman" w:hAnsi="Times New Roman"/>
          <w:sz w:val="24"/>
          <w:szCs w:val="24"/>
        </w:rPr>
        <w:t>’</w:t>
      </w:r>
      <w:r w:rsidRPr="00A45113">
        <w:rPr>
          <w:rFonts w:ascii="Times New Roman" w:hAnsi="Times New Roman"/>
          <w:sz w:val="24"/>
          <w:szCs w:val="24"/>
        </w:rPr>
        <w:t xml:space="preserve"> </w:t>
      </w:r>
      <w:r w:rsidRPr="00A45113">
        <w:rPr>
          <w:rStyle w:val="Emphasis"/>
          <w:rFonts w:ascii="Times New Roman" w:hAnsi="Times New Roman"/>
          <w:sz w:val="24"/>
          <w:szCs w:val="24"/>
        </w:rPr>
        <w:t>Estate of McClain</w:t>
      </w:r>
      <w:r w:rsidRPr="00A45113">
        <w:rPr>
          <w:rFonts w:ascii="Times New Roman" w:hAnsi="Times New Roman"/>
          <w:sz w:val="24"/>
          <w:szCs w:val="24"/>
        </w:rPr>
        <w:t>, 2021 WL 307505, at *4.</w:t>
      </w:r>
      <w:r>
        <w:rPr>
          <w:rFonts w:ascii="Times New Roman" w:hAnsi="Times New Roman"/>
          <w:sz w:val="24"/>
          <w:szCs w:val="24"/>
        </w:rPr>
        <w:t xml:space="preserve">” </w:t>
      </w:r>
      <w:hyperlink r:id="rId2288" w:history="1">
        <w:r w:rsidRPr="004C287D">
          <w:rPr>
            <w:rStyle w:val="Hyperlink"/>
            <w:rFonts w:ascii="Times New Roman" w:hAnsi="Times New Roman"/>
            <w:sz w:val="24"/>
            <w:szCs w:val="24"/>
          </w:rPr>
          <w:t>https://www.leagle.com/decision/infdco20210811a71</w:t>
        </w:r>
      </w:hyperlink>
      <w:r>
        <w:rPr>
          <w:rFonts w:ascii="Times New Roman" w:hAnsi="Times New Roman"/>
          <w:sz w:val="24"/>
          <w:szCs w:val="24"/>
        </w:rPr>
        <w:t xml:space="preserve"> </w:t>
      </w:r>
    </w:p>
    <w:p w14:paraId="1530B6D8" w14:textId="77777777" w:rsidR="002F610D" w:rsidRDefault="002F610D" w:rsidP="002F610D">
      <w:pPr>
        <w:tabs>
          <w:tab w:val="left" w:pos="3100"/>
        </w:tabs>
        <w:rPr>
          <w:rFonts w:ascii="Times New Roman" w:hAnsi="Times New Roman"/>
          <w:b/>
          <w:bCs/>
          <w:sz w:val="24"/>
          <w:szCs w:val="24"/>
        </w:rPr>
      </w:pPr>
      <w:r w:rsidRPr="00A837A2">
        <w:rPr>
          <w:rFonts w:ascii="Times New Roman" w:hAnsi="Times New Roman"/>
          <w:b/>
          <w:bCs/>
          <w:sz w:val="24"/>
          <w:szCs w:val="24"/>
        </w:rPr>
        <w:t>Legal Lesson Learned:</w:t>
      </w:r>
      <w:r>
        <w:rPr>
          <w:rFonts w:ascii="Times New Roman" w:hAnsi="Times New Roman"/>
          <w:b/>
          <w:bCs/>
          <w:sz w:val="24"/>
          <w:szCs w:val="24"/>
        </w:rPr>
        <w:t xml:space="preserve"> Watch the video of Aug. 20, </w:t>
      </w:r>
      <w:proofErr w:type="gramStart"/>
      <w:r>
        <w:rPr>
          <w:rFonts w:ascii="Times New Roman" w:hAnsi="Times New Roman"/>
          <w:b/>
          <w:bCs/>
          <w:sz w:val="24"/>
          <w:szCs w:val="24"/>
        </w:rPr>
        <w:t>2019</w:t>
      </w:r>
      <w:proofErr w:type="gramEnd"/>
      <w:r>
        <w:rPr>
          <w:rFonts w:ascii="Times New Roman" w:hAnsi="Times New Roman"/>
          <w:b/>
          <w:bCs/>
          <w:sz w:val="24"/>
          <w:szCs w:val="24"/>
        </w:rPr>
        <w:t xml:space="preserve"> arrest of the plaintiff; would your EMS protocol allow Ketamine to be used? </w:t>
      </w:r>
    </w:p>
    <w:p w14:paraId="08E33365" w14:textId="77777777" w:rsidR="002F610D" w:rsidRDefault="002F610D" w:rsidP="002F610D">
      <w:pPr>
        <w:pStyle w:val="NoSpacing"/>
        <w:ind w:left="720"/>
        <w:rPr>
          <w:rStyle w:val="Hyperlink"/>
          <w:sz w:val="24"/>
          <w:szCs w:val="24"/>
        </w:rPr>
      </w:pPr>
      <w:r w:rsidRPr="00A837A2">
        <w:rPr>
          <w:rStyle w:val="style-scope"/>
          <w:rFonts w:ascii="Times New Roman" w:hAnsi="Times New Roman"/>
          <w:sz w:val="24"/>
          <w:szCs w:val="24"/>
        </w:rPr>
        <w:t xml:space="preserve">Note: This is bodycam footage from the Aug. 20, </w:t>
      </w:r>
      <w:proofErr w:type="gramStart"/>
      <w:r w:rsidRPr="00A837A2">
        <w:rPr>
          <w:rStyle w:val="style-scope"/>
          <w:rFonts w:ascii="Times New Roman" w:hAnsi="Times New Roman"/>
          <w:sz w:val="24"/>
          <w:szCs w:val="24"/>
        </w:rPr>
        <w:t>2019</w:t>
      </w:r>
      <w:proofErr w:type="gramEnd"/>
      <w:r w:rsidRPr="00A837A2">
        <w:rPr>
          <w:rStyle w:val="style-scope"/>
          <w:rFonts w:ascii="Times New Roman" w:hAnsi="Times New Roman"/>
          <w:sz w:val="24"/>
          <w:szCs w:val="24"/>
        </w:rPr>
        <w:t xml:space="preserve"> arrest of Elijah McKnight by Arapahoe County deputies, and South Metro Fire. </w:t>
      </w:r>
      <w:hyperlink r:id="rId2289" w:history="1">
        <w:r w:rsidRPr="00A837A2">
          <w:rPr>
            <w:rStyle w:val="Hyperlink"/>
            <w:sz w:val="24"/>
            <w:szCs w:val="24"/>
          </w:rPr>
          <w:t>https://www.youtube.com/watch?v=DDCANExSv1Q</w:t>
        </w:r>
      </w:hyperlink>
    </w:p>
    <w:p w14:paraId="0F3762A4" w14:textId="77777777" w:rsidR="002F610D" w:rsidRDefault="002F610D" w:rsidP="002F610D">
      <w:pPr>
        <w:pStyle w:val="NoSpacing"/>
        <w:ind w:left="720"/>
        <w:rPr>
          <w:rStyle w:val="Hyperlink"/>
          <w:sz w:val="24"/>
          <w:szCs w:val="24"/>
        </w:rPr>
      </w:pPr>
    </w:p>
    <w:p w14:paraId="5ACFE2DA" w14:textId="77777777" w:rsidR="002F610D" w:rsidRPr="00E145B7" w:rsidRDefault="002F610D" w:rsidP="002F610D">
      <w:pPr>
        <w:pStyle w:val="NoSpacing"/>
        <w:ind w:left="720"/>
        <w:rPr>
          <w:rFonts w:ascii="Times New Roman" w:hAnsi="Times New Roman"/>
          <w:b/>
          <w:bCs/>
          <w:sz w:val="24"/>
          <w:szCs w:val="24"/>
        </w:rPr>
      </w:pPr>
      <w:r w:rsidRPr="00E145B7">
        <w:rPr>
          <w:rFonts w:ascii="Times New Roman" w:hAnsi="Times New Roman"/>
          <w:sz w:val="24"/>
          <w:szCs w:val="24"/>
        </w:rPr>
        <w:t xml:space="preserve">See Sept. 2, </w:t>
      </w:r>
      <w:proofErr w:type="gramStart"/>
      <w:r w:rsidRPr="00E145B7">
        <w:rPr>
          <w:rFonts w:ascii="Times New Roman" w:hAnsi="Times New Roman"/>
          <w:sz w:val="24"/>
          <w:szCs w:val="24"/>
        </w:rPr>
        <w:t>2021</w:t>
      </w:r>
      <w:proofErr w:type="gramEnd"/>
      <w:r w:rsidRPr="00E145B7">
        <w:rPr>
          <w:rFonts w:ascii="Times New Roman" w:hAnsi="Times New Roman"/>
          <w:sz w:val="24"/>
          <w:szCs w:val="24"/>
        </w:rPr>
        <w:t xml:space="preserve"> article: “</w:t>
      </w:r>
      <w:r w:rsidRPr="00E145B7">
        <w:rPr>
          <w:rStyle w:val="dfm-title"/>
          <w:rFonts w:ascii="Times New Roman" w:hAnsi="Times New Roman"/>
          <w:sz w:val="24"/>
          <w:szCs w:val="24"/>
        </w:rPr>
        <w:t>Elijah McClain indictment: Case against Aurora police officers and paramedics comes down to intent, experts say.”</w:t>
      </w:r>
      <w:r w:rsidRPr="00E145B7">
        <w:rPr>
          <w:rFonts w:ascii="Times New Roman" w:hAnsi="Times New Roman"/>
          <w:sz w:val="24"/>
          <w:szCs w:val="24"/>
        </w:rPr>
        <w:t xml:space="preserve">  McClain was on his way to a convenience store on Aug. 24, 2019, when someone called 911 to report a suspicious person. When the 23-year-old refused to stop walking after being contacted by three Aurora police officers, they tackled him to the ground, threw on handcuffs and used a now-banned chokehold.</w:t>
      </w:r>
      <w:r>
        <w:rPr>
          <w:rFonts w:ascii="Times New Roman" w:hAnsi="Times New Roman"/>
          <w:sz w:val="24"/>
          <w:szCs w:val="24"/>
        </w:rPr>
        <w:t xml:space="preserve"> </w:t>
      </w:r>
      <w:r w:rsidRPr="00E145B7">
        <w:rPr>
          <w:rFonts w:ascii="Times New Roman" w:eastAsia="Times New Roman" w:hAnsi="Times New Roman"/>
          <w:sz w:val="24"/>
          <w:szCs w:val="24"/>
        </w:rPr>
        <w:t>Paramedics then injected him with far more ketamine than is required for a person of McClain’s size. The Aurora man suffered cardiac arrest on the way to the hospital, where he was later declared brain dead. He died Aug. 30, 2019, after being removed from life support.</w:t>
      </w:r>
      <w:r>
        <w:rPr>
          <w:rFonts w:ascii="Times New Roman" w:eastAsia="Times New Roman" w:hAnsi="Times New Roman"/>
          <w:sz w:val="24"/>
          <w:szCs w:val="24"/>
        </w:rPr>
        <w:t xml:space="preserve">” </w:t>
      </w:r>
      <w:hyperlink r:id="rId2290" w:history="1">
        <w:r w:rsidRPr="00E145B7">
          <w:rPr>
            <w:rStyle w:val="Hyperlink"/>
            <w:sz w:val="24"/>
            <w:szCs w:val="24"/>
          </w:rPr>
          <w:t>https://www.denverpost.com/2021/09/02/elijah-mclain-charges-manslaughter-negligent-homicide/</w:t>
        </w:r>
      </w:hyperlink>
      <w:r w:rsidRPr="00E145B7">
        <w:rPr>
          <w:rStyle w:val="dfm-title"/>
          <w:rFonts w:ascii="Times New Roman" w:hAnsi="Times New Roman"/>
          <w:b/>
          <w:bCs/>
          <w:sz w:val="24"/>
          <w:szCs w:val="24"/>
        </w:rPr>
        <w:t xml:space="preserve">  </w:t>
      </w:r>
    </w:p>
    <w:p w14:paraId="0730AA47" w14:textId="77777777" w:rsidR="002F610D" w:rsidRDefault="002F610D" w:rsidP="002B1283">
      <w:pPr>
        <w:rPr>
          <w:rFonts w:ascii="Arial Black" w:hAnsi="Arial Black"/>
          <w:b/>
          <w:bCs/>
          <w:sz w:val="28"/>
          <w:szCs w:val="28"/>
        </w:rPr>
      </w:pPr>
    </w:p>
    <w:p w14:paraId="2A5598D8" w14:textId="77777777" w:rsidR="002F610D" w:rsidRDefault="002F610D" w:rsidP="002B1283">
      <w:pPr>
        <w:rPr>
          <w:rFonts w:ascii="Arial Black" w:hAnsi="Arial Black"/>
          <w:b/>
          <w:bCs/>
          <w:sz w:val="28"/>
          <w:szCs w:val="28"/>
        </w:rPr>
      </w:pPr>
    </w:p>
    <w:p w14:paraId="02C3F112" w14:textId="279F6E42" w:rsidR="00A82898" w:rsidRDefault="00A82898" w:rsidP="002B1283">
      <w:pPr>
        <w:rPr>
          <w:rFonts w:ascii="Arial Black" w:hAnsi="Arial Black"/>
          <w:b/>
          <w:bCs/>
          <w:sz w:val="28"/>
          <w:szCs w:val="28"/>
        </w:rPr>
      </w:pPr>
      <w:r>
        <w:rPr>
          <w:rFonts w:ascii="Arial Black" w:hAnsi="Arial Black"/>
          <w:b/>
          <w:bCs/>
          <w:sz w:val="28"/>
          <w:szCs w:val="28"/>
        </w:rPr>
        <w:t>13-90</w:t>
      </w:r>
    </w:p>
    <w:p w14:paraId="7AEB7D3B" w14:textId="77777777" w:rsidR="00A82898" w:rsidRPr="00FE7B26" w:rsidRDefault="00A82898" w:rsidP="00A82898">
      <w:pPr>
        <w:pStyle w:val="Heading1"/>
        <w:rPr>
          <w:rFonts w:ascii="Arial Black" w:hAnsi="Arial Black"/>
          <w:sz w:val="28"/>
          <w:szCs w:val="28"/>
        </w:rPr>
      </w:pPr>
      <w:r>
        <w:rPr>
          <w:rFonts w:ascii="Arial Black" w:hAnsi="Arial Black"/>
          <w:sz w:val="28"/>
          <w:szCs w:val="28"/>
        </w:rPr>
        <w:t xml:space="preserve">CA: ENTERING HOME WITHOUT WARRANT – NOT FOR ARREST MINOR OFFENSE – OK FOR EMERGENGY MEDICAL </w:t>
      </w:r>
    </w:p>
    <w:p w14:paraId="37304D13" w14:textId="77777777" w:rsidR="00A82898" w:rsidRPr="00664561" w:rsidRDefault="00A82898" w:rsidP="00A82898">
      <w:pPr>
        <w:pStyle w:val="Heading1"/>
        <w:rPr>
          <w:rStyle w:val="markedcontent"/>
          <w:b w:val="0"/>
          <w:bCs w:val="0"/>
          <w:sz w:val="24"/>
          <w:szCs w:val="24"/>
        </w:rPr>
      </w:pPr>
      <w:r>
        <w:rPr>
          <w:rStyle w:val="markedcontent"/>
          <w:b w:val="0"/>
          <w:bCs w:val="0"/>
          <w:sz w:val="24"/>
          <w:szCs w:val="24"/>
        </w:rPr>
        <w:t xml:space="preserve">On June 23, 2021, in </w:t>
      </w:r>
      <w:r w:rsidRPr="00E64EE8">
        <w:rPr>
          <w:rStyle w:val="markedcontent"/>
          <w:b w:val="0"/>
          <w:bCs w:val="0"/>
          <w:sz w:val="24"/>
          <w:szCs w:val="24"/>
          <w:u w:val="single"/>
        </w:rPr>
        <w:t>Arthur Gregory Lane v. California</w:t>
      </w:r>
      <w:r>
        <w:rPr>
          <w:rStyle w:val="markedcontent"/>
          <w:b w:val="0"/>
          <w:bCs w:val="0"/>
          <w:sz w:val="24"/>
          <w:szCs w:val="24"/>
        </w:rPr>
        <w:t>, the U.S. Supreme Court held (9 to 0) in opinion by Justice Elena Kagan that t</w:t>
      </w:r>
      <w:r w:rsidRPr="00E64EE8">
        <w:rPr>
          <w:rStyle w:val="markedcontent"/>
          <w:b w:val="0"/>
          <w:bCs w:val="0"/>
          <w:sz w:val="24"/>
          <w:szCs w:val="24"/>
        </w:rPr>
        <w:t xml:space="preserve">he Fourth Amendment ordinarily requires that police officers get a warrant before entering a home without permission. But </w:t>
      </w:r>
      <w:r>
        <w:rPr>
          <w:rStyle w:val="markedcontent"/>
          <w:b w:val="0"/>
          <w:bCs w:val="0"/>
          <w:sz w:val="24"/>
          <w:szCs w:val="24"/>
        </w:rPr>
        <w:t xml:space="preserve">important to Fire &amp; EMS, </w:t>
      </w:r>
      <w:r w:rsidRPr="00E64EE8">
        <w:rPr>
          <w:rStyle w:val="markedcontent"/>
          <w:b w:val="0"/>
          <w:bCs w:val="0"/>
          <w:sz w:val="24"/>
          <w:szCs w:val="24"/>
        </w:rPr>
        <w:t>an officer may make a warrantless entry</w:t>
      </w:r>
      <w:r>
        <w:rPr>
          <w:rStyle w:val="markedcontent"/>
          <w:b w:val="0"/>
          <w:bCs w:val="0"/>
          <w:sz w:val="24"/>
          <w:szCs w:val="24"/>
        </w:rPr>
        <w:t xml:space="preserve"> </w:t>
      </w:r>
      <w:r w:rsidRPr="00E64EE8">
        <w:rPr>
          <w:rStyle w:val="markedcontent"/>
          <w:b w:val="0"/>
          <w:bCs w:val="0"/>
          <w:sz w:val="24"/>
          <w:szCs w:val="24"/>
        </w:rPr>
        <w:t>when “the exigencies of the situation” create a compelling law enforcement need.</w:t>
      </w:r>
      <w:r>
        <w:rPr>
          <w:rStyle w:val="markedcontent"/>
          <w:b w:val="0"/>
          <w:bCs w:val="0"/>
          <w:sz w:val="24"/>
          <w:szCs w:val="24"/>
        </w:rPr>
        <w:t xml:space="preserve">  In this case, Mr. Lane was driving his vehicle with loud noise, and when State Patrol tried to pull him over near his home, he drove into his garage – where he was arrested for driving under influence and failure to stop.  The Court rejected the State’s argument that </w:t>
      </w:r>
      <w:r w:rsidRPr="00664561">
        <w:rPr>
          <w:rStyle w:val="markedcontent"/>
          <w:b w:val="0"/>
          <w:bCs w:val="0"/>
          <w:sz w:val="24"/>
          <w:szCs w:val="24"/>
        </w:rPr>
        <w:t>the</w:t>
      </w:r>
      <w:r>
        <w:rPr>
          <w:rStyle w:val="markedcontent"/>
          <w:b w:val="0"/>
          <w:bCs w:val="0"/>
          <w:sz w:val="24"/>
          <w:szCs w:val="24"/>
        </w:rPr>
        <w:t xml:space="preserve"> </w:t>
      </w:r>
      <w:r w:rsidRPr="00664561">
        <w:rPr>
          <w:rStyle w:val="markedcontent"/>
          <w:b w:val="0"/>
          <w:bCs w:val="0"/>
          <w:sz w:val="24"/>
          <w:szCs w:val="24"/>
        </w:rPr>
        <w:t>pursuit of a suspected misdemeanant always qualifies as an</w:t>
      </w:r>
      <w:r>
        <w:rPr>
          <w:rStyle w:val="markedcontent"/>
          <w:b w:val="0"/>
          <w:bCs w:val="0"/>
          <w:sz w:val="24"/>
          <w:szCs w:val="24"/>
        </w:rPr>
        <w:t xml:space="preserve"> </w:t>
      </w:r>
      <w:r w:rsidRPr="00664561">
        <w:rPr>
          <w:rStyle w:val="markedcontent"/>
          <w:b w:val="0"/>
          <w:bCs w:val="0"/>
          <w:sz w:val="24"/>
          <w:szCs w:val="24"/>
        </w:rPr>
        <w:t>exigent circumstance authorizing a warrantless home entry</w:t>
      </w:r>
      <w:r>
        <w:rPr>
          <w:rStyle w:val="markedcontent"/>
          <w:b w:val="0"/>
          <w:bCs w:val="0"/>
          <w:sz w:val="24"/>
          <w:szCs w:val="24"/>
        </w:rPr>
        <w:t xml:space="preserve">.  The state trial court judge had denied defendant’s motion to suppress, and this was upheld by California Court of Appeal; now the case will be sent back to </w:t>
      </w:r>
      <w:proofErr w:type="gramStart"/>
      <w:r>
        <w:rPr>
          <w:rStyle w:val="markedcontent"/>
          <w:b w:val="0"/>
          <w:bCs w:val="0"/>
          <w:sz w:val="24"/>
          <w:szCs w:val="24"/>
        </w:rPr>
        <w:t>California</w:t>
      </w:r>
      <w:proofErr w:type="gramEnd"/>
      <w:r>
        <w:rPr>
          <w:rStyle w:val="markedcontent"/>
          <w:b w:val="0"/>
          <w:bCs w:val="0"/>
          <w:sz w:val="24"/>
          <w:szCs w:val="24"/>
        </w:rPr>
        <w:t xml:space="preserve"> and the prosecutor will likely dismiss all charges.  </w:t>
      </w:r>
    </w:p>
    <w:p w14:paraId="5309A97E" w14:textId="77777777" w:rsidR="00A82898" w:rsidRDefault="00A82898" w:rsidP="00A82898">
      <w:pPr>
        <w:pStyle w:val="Heading1"/>
        <w:ind w:left="720"/>
        <w:rPr>
          <w:rStyle w:val="markedcontent"/>
          <w:b w:val="0"/>
          <w:bCs w:val="0"/>
          <w:sz w:val="24"/>
          <w:szCs w:val="24"/>
        </w:rPr>
      </w:pPr>
      <w:r>
        <w:rPr>
          <w:rStyle w:val="markedcontent"/>
          <w:b w:val="0"/>
          <w:bCs w:val="0"/>
          <w:sz w:val="24"/>
          <w:szCs w:val="24"/>
        </w:rPr>
        <w:t>“</w:t>
      </w:r>
      <w:r w:rsidRPr="00E64EE8">
        <w:rPr>
          <w:rStyle w:val="markedcontent"/>
          <w:b w:val="0"/>
          <w:bCs w:val="0"/>
          <w:sz w:val="24"/>
          <w:szCs w:val="24"/>
        </w:rPr>
        <w:t>The flight of a suspected misdemeanant does not always</w:t>
      </w:r>
      <w:r>
        <w:rPr>
          <w:rStyle w:val="markedcontent"/>
          <w:b w:val="0"/>
          <w:bCs w:val="0"/>
          <w:sz w:val="24"/>
          <w:szCs w:val="24"/>
        </w:rPr>
        <w:t xml:space="preserve"> </w:t>
      </w:r>
      <w:r w:rsidRPr="00E64EE8">
        <w:rPr>
          <w:rStyle w:val="markedcontent"/>
          <w:b w:val="0"/>
          <w:bCs w:val="0"/>
          <w:sz w:val="24"/>
          <w:szCs w:val="24"/>
        </w:rPr>
        <w:t xml:space="preserve">justify a warrantless entry into a home. An officer must consider all the circumstances in a pursuit case to </w:t>
      </w:r>
      <w:proofErr w:type="gramStart"/>
      <w:r w:rsidRPr="00E64EE8">
        <w:rPr>
          <w:rStyle w:val="markedcontent"/>
          <w:b w:val="0"/>
          <w:bCs w:val="0"/>
          <w:sz w:val="24"/>
          <w:szCs w:val="24"/>
        </w:rPr>
        <w:t>deter-mine</w:t>
      </w:r>
      <w:proofErr w:type="gramEnd"/>
      <w:r w:rsidRPr="00E64EE8">
        <w:rPr>
          <w:rStyle w:val="markedcontent"/>
          <w:b w:val="0"/>
          <w:bCs w:val="0"/>
          <w:sz w:val="24"/>
          <w:szCs w:val="24"/>
        </w:rPr>
        <w:t xml:space="preserve"> whether there is a law enforcement emergency. On many occasions, the officer will have good reason to enter—to prevent </w:t>
      </w:r>
      <w:r w:rsidRPr="00E64EE8">
        <w:rPr>
          <w:rStyle w:val="markedcontent"/>
          <w:b w:val="0"/>
          <w:bCs w:val="0"/>
          <w:sz w:val="24"/>
          <w:szCs w:val="24"/>
        </w:rPr>
        <w:lastRenderedPageBreak/>
        <w:t>imminent harms of violence, destruction of evidence, or escape from the home. But when the officer has time to get a warrant, he must do so—even though the misdemeanant fled.</w:t>
      </w:r>
    </w:p>
    <w:p w14:paraId="34B82D93" w14:textId="77777777" w:rsidR="00A82898" w:rsidRPr="00E64EE8" w:rsidRDefault="00A82898" w:rsidP="00A82898">
      <w:pPr>
        <w:pStyle w:val="Heading1"/>
        <w:ind w:firstLine="720"/>
        <w:rPr>
          <w:rStyle w:val="markedcontent"/>
          <w:b w:val="0"/>
          <w:bCs w:val="0"/>
          <w:sz w:val="24"/>
          <w:szCs w:val="24"/>
        </w:rPr>
      </w:pPr>
      <w:r>
        <w:rPr>
          <w:rStyle w:val="markedcontent"/>
          <w:b w:val="0"/>
          <w:bCs w:val="0"/>
          <w:sz w:val="24"/>
          <w:szCs w:val="24"/>
        </w:rPr>
        <w:t>***</w:t>
      </w:r>
    </w:p>
    <w:p w14:paraId="7EEA18EF" w14:textId="18B94256" w:rsidR="00A82898" w:rsidRPr="00A82898" w:rsidRDefault="00A82898" w:rsidP="00A82898">
      <w:pPr>
        <w:rPr>
          <w:rFonts w:ascii="Times New Roman" w:hAnsi="Times New Roman"/>
          <w:sz w:val="24"/>
          <w:szCs w:val="24"/>
        </w:rPr>
      </w:pPr>
      <w:r w:rsidRPr="00A82898">
        <w:rPr>
          <w:rStyle w:val="markedcontent"/>
          <w:rFonts w:ascii="Times New Roman" w:hAnsi="Times New Roman"/>
          <w:sz w:val="24"/>
          <w:szCs w:val="24"/>
        </w:rPr>
        <w:t>One important exception is for exigent circumstances. It applies when ‘the exigencies of the situation make the needs of law enforcement so compelling that [a] warrantless search is objectively reasonable.’ King, 563 U. S., at 460 (internal quotation marks omitted). The exception enables law enforcement officers to handle ‘</w:t>
      </w:r>
      <w:proofErr w:type="spellStart"/>
      <w:r w:rsidRPr="00A82898">
        <w:rPr>
          <w:rStyle w:val="markedcontent"/>
          <w:rFonts w:ascii="Times New Roman" w:hAnsi="Times New Roman"/>
          <w:sz w:val="24"/>
          <w:szCs w:val="24"/>
        </w:rPr>
        <w:t>emergenc</w:t>
      </w:r>
      <w:proofErr w:type="spellEnd"/>
      <w:r w:rsidRPr="00A82898">
        <w:rPr>
          <w:rStyle w:val="markedcontent"/>
          <w:rFonts w:ascii="Times New Roman" w:hAnsi="Times New Roman"/>
          <w:sz w:val="24"/>
          <w:szCs w:val="24"/>
        </w:rPr>
        <w:t>[</w:t>
      </w:r>
      <w:proofErr w:type="spellStart"/>
      <w:r w:rsidRPr="00A82898">
        <w:rPr>
          <w:rStyle w:val="markedcontent"/>
          <w:rFonts w:ascii="Times New Roman" w:hAnsi="Times New Roman"/>
          <w:sz w:val="24"/>
          <w:szCs w:val="24"/>
        </w:rPr>
        <w:t>ies</w:t>
      </w:r>
      <w:proofErr w:type="spellEnd"/>
      <w:r w:rsidRPr="00A82898">
        <w:rPr>
          <w:rStyle w:val="markedcontent"/>
          <w:rFonts w:ascii="Times New Roman" w:hAnsi="Times New Roman"/>
          <w:sz w:val="24"/>
          <w:szCs w:val="24"/>
        </w:rPr>
        <w:t xml:space="preserve">]’—situations presenting a ‘compelling need for official action and no time to secure a warrant.’ Riley, 573 U. S., at 402; Missouri v. McNeely, 569 U. S. 141, 149 (2013). Over the years, this Court has identified several such exigencies. An officer, for example, may ‘enter a home without a warrant to render emergency assistance to an injured occupant[,] to protect an occupant from imminent injury,’ or to ensure his own safety.” </w:t>
      </w:r>
      <w:hyperlink r:id="rId2291" w:history="1">
        <w:r w:rsidRPr="00A82898">
          <w:rPr>
            <w:rStyle w:val="Hyperlink"/>
            <w:rFonts w:ascii="Times New Roman" w:hAnsi="Times New Roman"/>
            <w:sz w:val="24"/>
            <w:szCs w:val="24"/>
          </w:rPr>
          <w:t>https://www.supremecourt.gov/opinions/20pdf/20-18_cb7d.pdf</w:t>
        </w:r>
      </w:hyperlink>
    </w:p>
    <w:p w14:paraId="514B6465" w14:textId="77777777" w:rsidR="00A82898" w:rsidRPr="00B14793" w:rsidRDefault="00A82898" w:rsidP="00A82898">
      <w:pPr>
        <w:rPr>
          <w:rFonts w:ascii="Times New Roman" w:hAnsi="Times New Roman"/>
          <w:b/>
          <w:bCs/>
          <w:sz w:val="24"/>
          <w:szCs w:val="24"/>
        </w:rPr>
      </w:pPr>
      <w:r w:rsidRPr="00B14793">
        <w:rPr>
          <w:rFonts w:ascii="Times New Roman" w:hAnsi="Times New Roman"/>
          <w:b/>
          <w:bCs/>
          <w:sz w:val="24"/>
          <w:szCs w:val="24"/>
        </w:rPr>
        <w:t>Legal Lesson Learned:  Fire &amp; EMS may continue to request police assistance to make a warrantless entry where there is a medical emergency.</w:t>
      </w:r>
    </w:p>
    <w:p w14:paraId="17A28816" w14:textId="77777777" w:rsidR="00A82898" w:rsidRDefault="00A82898" w:rsidP="002B1283">
      <w:pPr>
        <w:rPr>
          <w:rFonts w:ascii="Arial Black" w:hAnsi="Arial Black"/>
          <w:b/>
          <w:bCs/>
          <w:sz w:val="28"/>
          <w:szCs w:val="28"/>
        </w:rPr>
      </w:pPr>
    </w:p>
    <w:p w14:paraId="70C97070" w14:textId="77777777" w:rsidR="00A82898" w:rsidRDefault="00A82898" w:rsidP="002B1283">
      <w:pPr>
        <w:rPr>
          <w:rFonts w:ascii="Arial Black" w:hAnsi="Arial Black"/>
          <w:b/>
          <w:bCs/>
          <w:sz w:val="28"/>
          <w:szCs w:val="28"/>
        </w:rPr>
      </w:pPr>
    </w:p>
    <w:p w14:paraId="7F474C82" w14:textId="09FE97F5" w:rsidR="00A82898" w:rsidRDefault="00A82898" w:rsidP="002B1283">
      <w:pPr>
        <w:rPr>
          <w:rFonts w:ascii="Arial Black" w:hAnsi="Arial Black"/>
          <w:b/>
          <w:bCs/>
          <w:sz w:val="28"/>
          <w:szCs w:val="28"/>
        </w:rPr>
      </w:pPr>
      <w:r>
        <w:rPr>
          <w:rFonts w:ascii="Arial Black" w:hAnsi="Arial Black"/>
          <w:b/>
          <w:bCs/>
          <w:sz w:val="28"/>
          <w:szCs w:val="28"/>
        </w:rPr>
        <w:t>13-89</w:t>
      </w:r>
    </w:p>
    <w:p w14:paraId="6B874C02" w14:textId="77777777" w:rsidR="00A82898" w:rsidRPr="00523D80" w:rsidRDefault="00A82898" w:rsidP="00A82898">
      <w:pPr>
        <w:pStyle w:val="Heading1"/>
        <w:rPr>
          <w:rFonts w:ascii="Arial Black" w:hAnsi="Arial Black"/>
          <w:sz w:val="28"/>
          <w:szCs w:val="28"/>
        </w:rPr>
      </w:pPr>
      <w:r>
        <w:rPr>
          <w:rFonts w:ascii="Arial Black" w:hAnsi="Arial Black"/>
          <w:sz w:val="28"/>
          <w:szCs w:val="28"/>
        </w:rPr>
        <w:t xml:space="preserve">GA: POSSIBLE BID RIGGING - EMS CONTRACT - WIRETAP / SEARCH WARRANT ON ATTY – DA QUALIFIED IMMUNITY </w:t>
      </w:r>
    </w:p>
    <w:p w14:paraId="407BE781" w14:textId="77777777" w:rsidR="00A82898" w:rsidRDefault="00A82898" w:rsidP="00A82898">
      <w:pPr>
        <w:pStyle w:val="Heading1"/>
        <w:rPr>
          <w:b w:val="0"/>
          <w:bCs w:val="0"/>
          <w:sz w:val="24"/>
          <w:szCs w:val="24"/>
        </w:rPr>
      </w:pPr>
      <w:r>
        <w:rPr>
          <w:b w:val="0"/>
          <w:bCs w:val="0"/>
          <w:sz w:val="24"/>
          <w:szCs w:val="24"/>
        </w:rPr>
        <w:t xml:space="preserve">On June 22, 2021, in </w:t>
      </w:r>
      <w:r w:rsidRPr="00523D80">
        <w:rPr>
          <w:b w:val="0"/>
          <w:bCs w:val="0"/>
          <w:sz w:val="24"/>
          <w:szCs w:val="24"/>
          <w:u w:val="single"/>
        </w:rPr>
        <w:t>Kevin A. Ross, Esq.</w:t>
      </w:r>
      <w:r>
        <w:rPr>
          <w:b w:val="0"/>
          <w:bCs w:val="0"/>
          <w:sz w:val="24"/>
          <w:szCs w:val="24"/>
          <w:u w:val="single"/>
        </w:rPr>
        <w:t>, Kevin Ross Public Affairs, LLC, The Law Practice of Kevin . Ross, LLC</w:t>
      </w:r>
      <w:r w:rsidRPr="00523D80">
        <w:rPr>
          <w:b w:val="0"/>
          <w:bCs w:val="0"/>
          <w:sz w:val="24"/>
          <w:szCs w:val="24"/>
          <w:u w:val="single"/>
        </w:rPr>
        <w:t xml:space="preserve"> v. Robert James, Dekalb County District Attorney and William C. Nix</w:t>
      </w:r>
      <w:r>
        <w:rPr>
          <w:b w:val="0"/>
          <w:bCs w:val="0"/>
          <w:sz w:val="24"/>
          <w:szCs w:val="24"/>
        </w:rPr>
        <w:t>, the U.S. Court of Appeals for 11</w:t>
      </w:r>
      <w:r w:rsidRPr="00523D80">
        <w:rPr>
          <w:b w:val="0"/>
          <w:bCs w:val="0"/>
          <w:sz w:val="24"/>
          <w:szCs w:val="24"/>
          <w:vertAlign w:val="superscript"/>
        </w:rPr>
        <w:t>th</w:t>
      </w:r>
      <w:r>
        <w:rPr>
          <w:b w:val="0"/>
          <w:bCs w:val="0"/>
          <w:sz w:val="24"/>
          <w:szCs w:val="24"/>
        </w:rPr>
        <w:t xml:space="preserve"> Circuit (Atlanta), held 3 to 0 (unpublished decision) that the trial court properly granted summary judgment to the DA and the DA’s investigator in lawsuit by Ross alleging violation of his 4</w:t>
      </w:r>
      <w:r w:rsidRPr="007C1575">
        <w:rPr>
          <w:b w:val="0"/>
          <w:bCs w:val="0"/>
          <w:sz w:val="24"/>
          <w:szCs w:val="24"/>
          <w:vertAlign w:val="superscript"/>
        </w:rPr>
        <w:t>th</w:t>
      </w:r>
      <w:r>
        <w:rPr>
          <w:b w:val="0"/>
          <w:bCs w:val="0"/>
          <w:sz w:val="24"/>
          <w:szCs w:val="24"/>
        </w:rPr>
        <w:t xml:space="preserve"> Amendment rights (42 U.S.C. 1983). since they were both entitled to qualified immunity. </w:t>
      </w:r>
    </w:p>
    <w:p w14:paraId="6C6D2696" w14:textId="77777777" w:rsidR="00A82898" w:rsidRDefault="00A82898" w:rsidP="00A82898">
      <w:pPr>
        <w:pStyle w:val="NormalWeb"/>
        <w:ind w:left="720"/>
      </w:pPr>
      <w:r>
        <w:t>“Kevin Ross is an attorney and political consultant who has managed several political campaigns, including Burrell Ellis's 2008 campaign for DeKalb County Chief Executive Office (‘CEO’).</w:t>
      </w:r>
      <w:hyperlink r:id="rId2292" w:anchor="fr2" w:history="1">
        <w:r w:rsidR="00814FB6">
          <w:rPr>
            <w:rStyle w:val="Hyperlink"/>
            <w:rFonts w:ascii="Calibri" w:eastAsia="Calibri" w:hAnsi="Calibri"/>
            <w:sz w:val="22"/>
            <w:szCs w:val="22"/>
          </w:rPr>
          <w:t>https://public.fastcase.com/ - fr2</w:t>
        </w:r>
      </w:hyperlink>
      <w:r>
        <w:rPr>
          <w:sz w:val="20"/>
          <w:szCs w:val="20"/>
          <w:vertAlign w:val="superscript"/>
        </w:rPr>
        <w:t xml:space="preserve"> </w:t>
      </w:r>
      <w:r>
        <w:t xml:space="preserve"> Robert James, then the District Attorney for DeKalb County, Georgia, applied for and obtained a wiretap authorization to intercept and record Ross's telephone communications on the basis that there was probable cause to believe that Ross; Ellis, then CEO for DeKalb County; and others were committing 11 criminal offenses, including extortion, bribery, and ‘[c]</w:t>
      </w:r>
      <w:proofErr w:type="spellStart"/>
      <w:r>
        <w:t>onspiracy</w:t>
      </w:r>
      <w:proofErr w:type="spellEnd"/>
      <w:r>
        <w:t xml:space="preserve"> in restraint of free and open competition in transactions with state or political subdivision," i.e., bid rigging. Doc. 111-1 at 3.</w:t>
      </w:r>
      <w:bookmarkStart w:id="449" w:name="fn4"/>
      <w:r>
        <w:rPr>
          <w:sz w:val="20"/>
          <w:szCs w:val="20"/>
          <w:vertAlign w:val="superscript"/>
        </w:rPr>
        <w:fldChar w:fldCharType="begin"/>
      </w:r>
      <w:r>
        <w:rPr>
          <w:sz w:val="20"/>
          <w:szCs w:val="20"/>
          <w:vertAlign w:val="superscript"/>
        </w:rPr>
        <w:instrText xml:space="preserve"> HYPERLINK "https://public.fastcase.com/" \l "fr4" </w:instrText>
      </w:r>
      <w:r>
        <w:rPr>
          <w:sz w:val="20"/>
          <w:szCs w:val="20"/>
          <w:vertAlign w:val="superscript"/>
        </w:rPr>
      </w:r>
      <w:r>
        <w:rPr>
          <w:sz w:val="20"/>
          <w:szCs w:val="20"/>
          <w:vertAlign w:val="superscript"/>
        </w:rPr>
        <w:fldChar w:fldCharType="separate"/>
      </w:r>
      <w:r w:rsidR="00814FB6">
        <w:rPr>
          <w:rStyle w:val="Hyperlink"/>
          <w:rFonts w:ascii="Calibri" w:eastAsia="Calibri" w:hAnsi="Calibri"/>
          <w:sz w:val="22"/>
          <w:szCs w:val="22"/>
        </w:rPr>
        <w:t>https://public.fastcase.com/ - fr4</w:t>
      </w:r>
      <w:r>
        <w:rPr>
          <w:sz w:val="20"/>
          <w:szCs w:val="20"/>
          <w:vertAlign w:val="superscript"/>
        </w:rPr>
        <w:fldChar w:fldCharType="end"/>
      </w:r>
      <w:bookmarkEnd w:id="449"/>
      <w:r>
        <w:rPr>
          <w:sz w:val="20"/>
          <w:szCs w:val="20"/>
          <w:vertAlign w:val="superscript"/>
        </w:rPr>
        <w:t xml:space="preserve"> </w:t>
      </w:r>
      <w:r>
        <w:t xml:space="preserve">The application included an affidavit by William Nix, an investigator for the DeKalb County District Attorney's </w:t>
      </w:r>
      <w:proofErr w:type="gramStart"/>
      <w:r>
        <w:t>Office (‘</w:t>
      </w:r>
      <w:proofErr w:type="gramEnd"/>
      <w:r>
        <w:t>DA's Office’), setting forth factual allegations supporting the request for a wiretap.</w:t>
      </w:r>
    </w:p>
    <w:p w14:paraId="326E49D2" w14:textId="77777777" w:rsidR="00A82898" w:rsidRDefault="00A82898" w:rsidP="00A82898">
      <w:pPr>
        <w:pStyle w:val="NormalWeb"/>
        <w:ind w:left="720"/>
      </w:pPr>
      <w:r>
        <w:t>***</w:t>
      </w:r>
    </w:p>
    <w:p w14:paraId="4C12C48C" w14:textId="77777777" w:rsidR="00A82898" w:rsidRDefault="00A82898" w:rsidP="00A82898">
      <w:pPr>
        <w:pStyle w:val="Heading1"/>
        <w:ind w:left="720"/>
        <w:rPr>
          <w:b w:val="0"/>
          <w:bCs w:val="0"/>
          <w:sz w:val="24"/>
          <w:szCs w:val="24"/>
        </w:rPr>
      </w:pPr>
      <w:r w:rsidRPr="00523D80">
        <w:rPr>
          <w:b w:val="0"/>
          <w:bCs w:val="0"/>
          <w:sz w:val="24"/>
          <w:szCs w:val="24"/>
        </w:rPr>
        <w:t xml:space="preserve">About a month after the DA's Office received the wiretap authorization, it applied for and obtained a search warrant for Ross's home and office. The application included a supporting affidavit, also by Nix. </w:t>
      </w:r>
      <w:r w:rsidRPr="00523D80">
        <w:rPr>
          <w:b w:val="0"/>
          <w:bCs w:val="0"/>
          <w:sz w:val="24"/>
          <w:szCs w:val="24"/>
        </w:rPr>
        <w:lastRenderedPageBreak/>
        <w:t>The search warrant affidavit was largely identical to the wiretap affidavit, except it also included information obtained from the wiretap.</w:t>
      </w:r>
    </w:p>
    <w:p w14:paraId="070AFEBD" w14:textId="77777777" w:rsidR="00A82898" w:rsidRDefault="00A82898" w:rsidP="00A82898">
      <w:pPr>
        <w:pStyle w:val="Heading1"/>
        <w:ind w:left="720"/>
        <w:rPr>
          <w:b w:val="0"/>
          <w:bCs w:val="0"/>
          <w:sz w:val="24"/>
          <w:szCs w:val="24"/>
        </w:rPr>
      </w:pPr>
      <w:r>
        <w:rPr>
          <w:b w:val="0"/>
          <w:bCs w:val="0"/>
          <w:sz w:val="24"/>
          <w:szCs w:val="24"/>
        </w:rPr>
        <w:t>***</w:t>
      </w:r>
    </w:p>
    <w:p w14:paraId="4BDB3DE6" w14:textId="77777777" w:rsidR="00A82898" w:rsidRDefault="00A82898" w:rsidP="00A82898">
      <w:pPr>
        <w:pStyle w:val="Heading1"/>
        <w:ind w:firstLine="720"/>
        <w:rPr>
          <w:b w:val="0"/>
          <w:bCs w:val="0"/>
          <w:sz w:val="24"/>
          <w:szCs w:val="24"/>
        </w:rPr>
      </w:pPr>
      <w:r w:rsidRPr="00523D80">
        <w:rPr>
          <w:b w:val="0"/>
          <w:bCs w:val="0"/>
          <w:sz w:val="24"/>
          <w:szCs w:val="24"/>
        </w:rPr>
        <w:t>Ultimately, the investigation resulted in no charges against Ross.</w:t>
      </w:r>
    </w:p>
    <w:p w14:paraId="34E284F6" w14:textId="77777777" w:rsidR="00A82898" w:rsidRDefault="00A82898" w:rsidP="00A82898">
      <w:pPr>
        <w:pStyle w:val="Heading1"/>
        <w:ind w:firstLine="720"/>
        <w:rPr>
          <w:b w:val="0"/>
          <w:bCs w:val="0"/>
          <w:sz w:val="24"/>
          <w:szCs w:val="24"/>
        </w:rPr>
      </w:pPr>
      <w:r>
        <w:rPr>
          <w:b w:val="0"/>
          <w:bCs w:val="0"/>
          <w:sz w:val="24"/>
          <w:szCs w:val="24"/>
        </w:rPr>
        <w:t>***</w:t>
      </w:r>
    </w:p>
    <w:p w14:paraId="71139420" w14:textId="77777777" w:rsidR="00A82898" w:rsidRDefault="00A82898" w:rsidP="00A82898">
      <w:pPr>
        <w:spacing w:before="100" w:beforeAutospacing="1" w:after="100" w:afterAutospacing="1" w:line="240" w:lineRule="auto"/>
        <w:ind w:left="720"/>
        <w:rPr>
          <w:rFonts w:ascii="Times New Roman" w:eastAsia="Times New Roman" w:hAnsi="Times New Roman"/>
          <w:sz w:val="24"/>
          <w:szCs w:val="24"/>
        </w:rPr>
      </w:pPr>
      <w:r w:rsidRPr="007C1575">
        <w:rPr>
          <w:rFonts w:ascii="Times New Roman" w:eastAsia="Times New Roman" w:hAnsi="Times New Roman"/>
          <w:sz w:val="24"/>
          <w:szCs w:val="24"/>
        </w:rPr>
        <w:t>A reasonable officer could conclude that these multiple conversations between Ross, Ellis, and Walton, the confidential source, indicated a tacit agreement to influence the bidding process for the EMS and PM Contracts. And Ellis made overt acts to further that goal by attempting to persuade the EMS Contract selection committee to permit exceptions sought by Ross's client and placing two members, Alvarado and Saunders, on the selection committee for the</w:t>
      </w:r>
      <w:r>
        <w:rPr>
          <w:rFonts w:ascii="Times New Roman" w:eastAsia="Times New Roman" w:hAnsi="Times New Roman"/>
          <w:sz w:val="24"/>
          <w:szCs w:val="24"/>
        </w:rPr>
        <w:t xml:space="preserve"> </w:t>
      </w:r>
      <w:r w:rsidRPr="007C1575">
        <w:rPr>
          <w:rFonts w:ascii="Times New Roman" w:eastAsia="Times New Roman" w:hAnsi="Times New Roman"/>
          <w:sz w:val="24"/>
          <w:szCs w:val="24"/>
        </w:rPr>
        <w:t>PM Contract. This, among other information set out in the affidavits, could lead a reasonable officer to believe that Ross was engaged in a conspiracy to restrain free and open competition in violation of Ga. Code Ann. § 16-10-22(b).</w:t>
      </w:r>
    </w:p>
    <w:p w14:paraId="172689C3" w14:textId="77777777" w:rsidR="00A82898" w:rsidRDefault="00A82898" w:rsidP="00A82898">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w:t>
      </w:r>
    </w:p>
    <w:p w14:paraId="3C7FB450" w14:textId="77777777" w:rsidR="00A82898" w:rsidRPr="00B14793" w:rsidRDefault="00A82898" w:rsidP="00A82898">
      <w:pPr>
        <w:spacing w:before="100" w:beforeAutospacing="1" w:after="100" w:afterAutospacing="1" w:line="240" w:lineRule="auto"/>
        <w:ind w:left="720"/>
        <w:rPr>
          <w:rFonts w:ascii="Times New Roman" w:eastAsia="Times New Roman" w:hAnsi="Times New Roman"/>
          <w:sz w:val="24"/>
          <w:szCs w:val="24"/>
        </w:rPr>
      </w:pPr>
      <w:r w:rsidRPr="007C1575">
        <w:rPr>
          <w:rFonts w:ascii="Times New Roman" w:hAnsi="Times New Roman"/>
          <w:sz w:val="24"/>
          <w:szCs w:val="24"/>
        </w:rPr>
        <w:t>For the foregoing reasons, we conclude that James and Nix are entitled to qualified immunity from Ross's § 1983 suit. Thus, we affirm the district court's judgment.</w:t>
      </w:r>
      <w:r>
        <w:rPr>
          <w:rFonts w:ascii="Times New Roman" w:hAnsi="Times New Roman"/>
          <w:sz w:val="24"/>
          <w:szCs w:val="24"/>
        </w:rPr>
        <w:t>”</w:t>
      </w:r>
      <w:r w:rsidRPr="007C1575">
        <w:t xml:space="preserve"> </w:t>
      </w:r>
      <w:hyperlink r:id="rId2293" w:history="1">
        <w:r w:rsidRPr="00B14793">
          <w:rPr>
            <w:rStyle w:val="Hyperlink"/>
            <w:sz w:val="24"/>
            <w:szCs w:val="24"/>
          </w:rPr>
          <w:t>https://public.fastcase.com/9SKwsfNqTc6OieYDhNMyM83%2FYLJrcCtVmui0iqpJLDORGkxVmnXPTmwbGH4uC0ci</w:t>
        </w:r>
      </w:hyperlink>
      <w:r w:rsidRPr="00B14793">
        <w:rPr>
          <w:rFonts w:ascii="Times New Roman" w:hAnsi="Times New Roman"/>
          <w:sz w:val="24"/>
          <w:szCs w:val="24"/>
        </w:rPr>
        <w:t xml:space="preserve"> </w:t>
      </w:r>
    </w:p>
    <w:p w14:paraId="0A353CEE" w14:textId="48AA03FB" w:rsidR="00A82898" w:rsidRDefault="00A82898" w:rsidP="00A82898">
      <w:pPr>
        <w:pStyle w:val="Heading1"/>
        <w:rPr>
          <w:sz w:val="24"/>
          <w:szCs w:val="24"/>
        </w:rPr>
      </w:pPr>
      <w:r w:rsidRPr="003B7948">
        <w:rPr>
          <w:sz w:val="24"/>
          <w:szCs w:val="24"/>
        </w:rPr>
        <w:t xml:space="preserve">Legal Lesson Learned: </w:t>
      </w:r>
      <w:r>
        <w:rPr>
          <w:sz w:val="24"/>
          <w:szCs w:val="24"/>
        </w:rPr>
        <w:t xml:space="preserve"> District attorneys and their investigators enjoy “qualified immunity” when </w:t>
      </w:r>
      <w:proofErr w:type="gramStart"/>
      <w:r>
        <w:rPr>
          <w:sz w:val="24"/>
          <w:szCs w:val="24"/>
        </w:rPr>
        <w:t>conducting an investigation</w:t>
      </w:r>
      <w:proofErr w:type="gramEnd"/>
      <w:r>
        <w:rPr>
          <w:sz w:val="24"/>
          <w:szCs w:val="24"/>
        </w:rPr>
        <w:t>, even if no criminal charges are brought.  Fire &amp; EMS likewise enjoy qualified immunity when conducting their official duties in most states, unless the</w:t>
      </w:r>
      <w:r w:rsidR="008A0333">
        <w:rPr>
          <w:sz w:val="24"/>
          <w:szCs w:val="24"/>
        </w:rPr>
        <w:t>ir actions constitute willful or wanton misconduct.</w:t>
      </w:r>
      <w:r>
        <w:rPr>
          <w:sz w:val="24"/>
          <w:szCs w:val="24"/>
        </w:rPr>
        <w:t xml:space="preserve"> </w:t>
      </w:r>
    </w:p>
    <w:p w14:paraId="376F1E19" w14:textId="77777777" w:rsidR="00A82898" w:rsidRDefault="00A82898" w:rsidP="00A82898">
      <w:pPr>
        <w:pStyle w:val="Heading1"/>
        <w:ind w:left="720"/>
        <w:rPr>
          <w:b w:val="0"/>
          <w:bCs w:val="0"/>
          <w:sz w:val="24"/>
          <w:szCs w:val="24"/>
        </w:rPr>
      </w:pPr>
      <w:r w:rsidRPr="003B7948">
        <w:rPr>
          <w:b w:val="0"/>
          <w:bCs w:val="0"/>
          <w:sz w:val="24"/>
          <w:szCs w:val="24"/>
        </w:rPr>
        <w:t>For example, see</w:t>
      </w:r>
      <w:r>
        <w:rPr>
          <w:b w:val="0"/>
          <w:bCs w:val="0"/>
          <w:sz w:val="24"/>
          <w:szCs w:val="24"/>
        </w:rPr>
        <w:t xml:space="preserve"> Ohio Revised Code</w:t>
      </w:r>
      <w:r w:rsidRPr="003B7948">
        <w:rPr>
          <w:b w:val="0"/>
          <w:bCs w:val="0"/>
          <w:sz w:val="24"/>
          <w:szCs w:val="24"/>
        </w:rPr>
        <w:t xml:space="preserve">: Section 4765.49 </w:t>
      </w:r>
      <w:r w:rsidRPr="003B7948">
        <w:rPr>
          <w:rStyle w:val="codes-separator"/>
          <w:b w:val="0"/>
          <w:bCs w:val="0"/>
          <w:sz w:val="24"/>
          <w:szCs w:val="24"/>
        </w:rPr>
        <w:t>|</w:t>
      </w:r>
      <w:r w:rsidRPr="003B7948">
        <w:rPr>
          <w:b w:val="0"/>
          <w:bCs w:val="0"/>
          <w:sz w:val="24"/>
          <w:szCs w:val="24"/>
        </w:rPr>
        <w:t xml:space="preserve"> Emergency medical personnel and agencies - immunity.</w:t>
      </w:r>
    </w:p>
    <w:p w14:paraId="3CE2824B" w14:textId="77777777" w:rsidR="00A82898" w:rsidRPr="00B14793" w:rsidRDefault="00A82898" w:rsidP="00A82898">
      <w:pPr>
        <w:pStyle w:val="Heading1"/>
        <w:ind w:left="720"/>
        <w:rPr>
          <w:b w:val="0"/>
          <w:bCs w:val="0"/>
          <w:sz w:val="24"/>
          <w:szCs w:val="24"/>
        </w:rPr>
      </w:pPr>
      <w:r w:rsidRPr="003B7948">
        <w:rPr>
          <w:b w:val="0"/>
          <w:bCs w:val="0"/>
          <w:sz w:val="24"/>
          <w:szCs w:val="24"/>
        </w:rPr>
        <w:t>(A) A first responder, emergency medical technician-basic, emergency medical technician-intermediate, or emergency medical technician-paramedic is not liable in damages in a civil action for injury, death, or loss to person or property resulting from the individual's administration of emergency medical services, unless the services are administered in a manner that constitutes willful or wanton misconduct.</w:t>
      </w:r>
      <w:r>
        <w:rPr>
          <w:b w:val="0"/>
          <w:bCs w:val="0"/>
          <w:sz w:val="24"/>
          <w:szCs w:val="24"/>
        </w:rPr>
        <w:t xml:space="preserve"> </w:t>
      </w:r>
      <w:hyperlink r:id="rId2294" w:history="1">
        <w:r w:rsidRPr="00B14793">
          <w:rPr>
            <w:rStyle w:val="Hyperlink"/>
            <w:sz w:val="24"/>
            <w:szCs w:val="24"/>
          </w:rPr>
          <w:t>https://codes.ohio.gov/ohio-revised-code/section-4765.49</w:t>
        </w:r>
      </w:hyperlink>
      <w:r w:rsidRPr="00B14793">
        <w:rPr>
          <w:b w:val="0"/>
          <w:bCs w:val="0"/>
          <w:sz w:val="24"/>
          <w:szCs w:val="24"/>
        </w:rPr>
        <w:t xml:space="preserve"> </w:t>
      </w:r>
    </w:p>
    <w:p w14:paraId="07184ACE" w14:textId="77777777" w:rsidR="00A82898" w:rsidRDefault="00A82898" w:rsidP="002B1283">
      <w:pPr>
        <w:rPr>
          <w:rFonts w:ascii="Arial Black" w:hAnsi="Arial Black"/>
          <w:b/>
          <w:bCs/>
          <w:sz w:val="28"/>
          <w:szCs w:val="28"/>
        </w:rPr>
      </w:pPr>
    </w:p>
    <w:p w14:paraId="0FAFB85D" w14:textId="77777777" w:rsidR="00A82898" w:rsidRDefault="00A82898" w:rsidP="002B1283">
      <w:pPr>
        <w:rPr>
          <w:rFonts w:ascii="Arial Black" w:hAnsi="Arial Black"/>
          <w:b/>
          <w:bCs/>
          <w:sz w:val="28"/>
          <w:szCs w:val="28"/>
        </w:rPr>
      </w:pPr>
    </w:p>
    <w:p w14:paraId="5F2C8AFD" w14:textId="6D4F20F1" w:rsidR="00A82898" w:rsidRDefault="00A82898" w:rsidP="002B1283">
      <w:pPr>
        <w:rPr>
          <w:rFonts w:ascii="Arial Black" w:hAnsi="Arial Black"/>
          <w:b/>
          <w:bCs/>
          <w:sz w:val="28"/>
          <w:szCs w:val="28"/>
        </w:rPr>
      </w:pPr>
      <w:r>
        <w:rPr>
          <w:rFonts w:ascii="Arial Black" w:hAnsi="Arial Black"/>
          <w:b/>
          <w:bCs/>
          <w:sz w:val="28"/>
          <w:szCs w:val="28"/>
        </w:rPr>
        <w:t>13-88</w:t>
      </w:r>
    </w:p>
    <w:p w14:paraId="5DBE92D6" w14:textId="77777777" w:rsidR="00A82898" w:rsidRDefault="00A82898" w:rsidP="00A82898">
      <w:pPr>
        <w:rPr>
          <w:rFonts w:ascii="Arial Black" w:hAnsi="Arial Black"/>
          <w:bCs/>
          <w:sz w:val="28"/>
          <w:szCs w:val="28"/>
        </w:rPr>
      </w:pPr>
      <w:r>
        <w:rPr>
          <w:rFonts w:ascii="Arial Black" w:hAnsi="Arial Black"/>
          <w:bCs/>
          <w:sz w:val="28"/>
          <w:szCs w:val="28"/>
        </w:rPr>
        <w:t xml:space="preserve">TX: COVID-19 VACCINATION – FEDERAL JUDGE: HOSPITAL NURSES IN TEXAS CAN BE REQUIRED TO GET THE SHOTS  </w:t>
      </w:r>
    </w:p>
    <w:p w14:paraId="7313F43B" w14:textId="77777777" w:rsidR="00A82898" w:rsidRDefault="00A82898" w:rsidP="00A82898">
      <w:pPr>
        <w:pStyle w:val="NoSpacing"/>
        <w:rPr>
          <w:rFonts w:ascii="Times New Roman" w:hAnsi="Times New Roman"/>
          <w:bCs/>
          <w:sz w:val="24"/>
          <w:szCs w:val="24"/>
        </w:rPr>
      </w:pPr>
      <w:r>
        <w:rPr>
          <w:rFonts w:ascii="Times New Roman" w:hAnsi="Times New Roman"/>
          <w:sz w:val="24"/>
          <w:szCs w:val="24"/>
        </w:rPr>
        <w:t xml:space="preserve">On June 12, 2021, in </w:t>
      </w:r>
      <w:r w:rsidRPr="006F29EF">
        <w:rPr>
          <w:rFonts w:ascii="Times New Roman" w:hAnsi="Times New Roman"/>
          <w:sz w:val="24"/>
          <w:szCs w:val="24"/>
          <w:u w:val="single"/>
        </w:rPr>
        <w:t>Jennifer Bridges, et al. v. Houston Methodist Hospital</w:t>
      </w:r>
      <w:r>
        <w:rPr>
          <w:rFonts w:ascii="Times New Roman" w:hAnsi="Times New Roman"/>
          <w:sz w:val="24"/>
          <w:szCs w:val="24"/>
        </w:rPr>
        <w:t xml:space="preserve">, U.S. District Court Judge Lynn N. Hughes, dismissed a lawsuit filed by 100 nurses and others, challenging the </w:t>
      </w:r>
      <w:r w:rsidRPr="009D5173">
        <w:rPr>
          <w:rFonts w:ascii="Times New Roman" w:hAnsi="Times New Roman"/>
          <w:bCs/>
          <w:sz w:val="24"/>
          <w:szCs w:val="24"/>
        </w:rPr>
        <w:t>Texas hospital system</w:t>
      </w:r>
      <w:r>
        <w:rPr>
          <w:rFonts w:ascii="Times New Roman" w:hAnsi="Times New Roman"/>
          <w:bCs/>
          <w:sz w:val="24"/>
          <w:szCs w:val="24"/>
        </w:rPr>
        <w:t xml:space="preserve">’s </w:t>
      </w:r>
      <w:r>
        <w:rPr>
          <w:rFonts w:ascii="Times New Roman" w:hAnsi="Times New Roman"/>
          <w:bCs/>
          <w:sz w:val="24"/>
          <w:szCs w:val="24"/>
        </w:rPr>
        <w:lastRenderedPageBreak/>
        <w:t xml:space="preserve">requirement that </w:t>
      </w:r>
      <w:r w:rsidRPr="009D5173">
        <w:rPr>
          <w:rFonts w:ascii="Times New Roman" w:hAnsi="Times New Roman"/>
          <w:bCs/>
          <w:sz w:val="24"/>
          <w:szCs w:val="24"/>
        </w:rPr>
        <w:t>26,000 employees all needed to receive a COVID-19 vaccine as a condition of staying employed</w:t>
      </w:r>
      <w:r>
        <w:rPr>
          <w:rFonts w:ascii="Times New Roman" w:hAnsi="Times New Roman"/>
          <w:bCs/>
          <w:sz w:val="24"/>
          <w:szCs w:val="24"/>
        </w:rPr>
        <w:t xml:space="preserve">, with only a couple </w:t>
      </w:r>
      <w:r w:rsidRPr="009D5173">
        <w:rPr>
          <w:rFonts w:ascii="Times New Roman" w:hAnsi="Times New Roman"/>
          <w:bCs/>
          <w:sz w:val="24"/>
          <w:szCs w:val="24"/>
        </w:rPr>
        <w:t>of narrow exemptions—based on a medical condition or a sincerely held religious belief</w:t>
      </w:r>
      <w:r>
        <w:rPr>
          <w:rFonts w:ascii="Times New Roman" w:hAnsi="Times New Roman"/>
          <w:bCs/>
          <w:sz w:val="24"/>
          <w:szCs w:val="24"/>
        </w:rPr>
        <w:t xml:space="preserve">. </w:t>
      </w:r>
    </w:p>
    <w:p w14:paraId="5F8D6921" w14:textId="77777777" w:rsidR="00A82898" w:rsidRDefault="00A82898" w:rsidP="00A82898">
      <w:pPr>
        <w:pStyle w:val="NoSpacing"/>
        <w:rPr>
          <w:rFonts w:ascii="Times New Roman" w:hAnsi="Times New Roman"/>
          <w:bCs/>
          <w:sz w:val="24"/>
          <w:szCs w:val="24"/>
        </w:rPr>
      </w:pPr>
    </w:p>
    <w:p w14:paraId="4F06EDD4" w14:textId="77777777" w:rsidR="00A82898" w:rsidRPr="003D5D8C" w:rsidRDefault="00A82898" w:rsidP="00A82898">
      <w:pPr>
        <w:pStyle w:val="NoSpacing"/>
        <w:ind w:left="720"/>
        <w:rPr>
          <w:rFonts w:ascii="Times New Roman" w:hAnsi="Times New Roman"/>
          <w:sz w:val="24"/>
          <w:szCs w:val="24"/>
        </w:rPr>
      </w:pPr>
      <w:r>
        <w:rPr>
          <w:rFonts w:ascii="Times New Roman" w:hAnsi="Times New Roman"/>
          <w:bCs/>
          <w:sz w:val="24"/>
          <w:szCs w:val="24"/>
        </w:rPr>
        <w:t xml:space="preserve">“Texas law only protects employees from being terminated for refusing to commit an act carrying criminal penalties to the worker….  Receiving a COVID-19 vaccination is not an illegal act, and it carries no criminal penalties.  [Bridges] is refusing to accept inoculation that, in the hospital’s judgment, will make it safer for their workers and the patients in Methodist’s care.” </w:t>
      </w:r>
      <w:hyperlink r:id="rId2295" w:history="1">
        <w:r w:rsidRPr="003D5D8C">
          <w:rPr>
            <w:rStyle w:val="Hyperlink"/>
            <w:sz w:val="24"/>
            <w:szCs w:val="24"/>
          </w:rPr>
          <w:t>https://www.documentcloud.org/documents/20860669-houston-methodist-lawsuit-order-of-dismissal</w:t>
        </w:r>
      </w:hyperlink>
      <w:r w:rsidRPr="003D5D8C">
        <w:rPr>
          <w:rFonts w:ascii="Times New Roman" w:hAnsi="Times New Roman"/>
          <w:bCs/>
          <w:sz w:val="24"/>
          <w:szCs w:val="24"/>
        </w:rPr>
        <w:t xml:space="preserve"> </w:t>
      </w:r>
    </w:p>
    <w:p w14:paraId="57DECBDC" w14:textId="77777777" w:rsidR="00A82898" w:rsidRDefault="00A82898" w:rsidP="00A82898">
      <w:pPr>
        <w:rPr>
          <w:rFonts w:ascii="Times New Roman" w:hAnsi="Times New Roman"/>
          <w:bCs/>
          <w:sz w:val="24"/>
          <w:szCs w:val="24"/>
        </w:rPr>
      </w:pPr>
    </w:p>
    <w:p w14:paraId="193F9BB4" w14:textId="77777777" w:rsidR="00A82898" w:rsidRPr="00BC7ABC" w:rsidRDefault="00A82898" w:rsidP="00A82898">
      <w:pPr>
        <w:rPr>
          <w:rFonts w:ascii="Times New Roman" w:hAnsi="Times New Roman"/>
          <w:b/>
          <w:sz w:val="24"/>
          <w:szCs w:val="24"/>
        </w:rPr>
      </w:pPr>
      <w:r w:rsidRPr="00BC7ABC">
        <w:rPr>
          <w:rFonts w:ascii="Times New Roman" w:hAnsi="Times New Roman"/>
          <w:b/>
          <w:sz w:val="24"/>
          <w:szCs w:val="24"/>
        </w:rPr>
        <w:t xml:space="preserve">Legal Lesson Learned: </w:t>
      </w:r>
      <w:r>
        <w:rPr>
          <w:rFonts w:ascii="Times New Roman" w:hAnsi="Times New Roman"/>
          <w:b/>
          <w:sz w:val="24"/>
          <w:szCs w:val="24"/>
        </w:rPr>
        <w:t xml:space="preserve">Fire &amp; EMS departments should consult with legal counsel regarding the law in your state. </w:t>
      </w:r>
    </w:p>
    <w:p w14:paraId="384507A2" w14:textId="77777777" w:rsidR="00A82898" w:rsidRPr="009D5173" w:rsidRDefault="00A82898" w:rsidP="00A82898">
      <w:pPr>
        <w:ind w:left="720"/>
        <w:rPr>
          <w:rFonts w:ascii="Times New Roman" w:hAnsi="Times New Roman"/>
          <w:bCs/>
          <w:sz w:val="24"/>
          <w:szCs w:val="24"/>
        </w:rPr>
      </w:pPr>
      <w:r>
        <w:rPr>
          <w:rFonts w:ascii="Times New Roman" w:hAnsi="Times New Roman"/>
          <w:sz w:val="24"/>
          <w:szCs w:val="24"/>
        </w:rPr>
        <w:t xml:space="preserve">See this June 15, </w:t>
      </w:r>
      <w:proofErr w:type="gramStart"/>
      <w:r>
        <w:rPr>
          <w:rFonts w:ascii="Times New Roman" w:hAnsi="Times New Roman"/>
          <w:sz w:val="24"/>
          <w:szCs w:val="24"/>
        </w:rPr>
        <w:t>2021</w:t>
      </w:r>
      <w:proofErr w:type="gramEnd"/>
      <w:r>
        <w:rPr>
          <w:rFonts w:ascii="Times New Roman" w:hAnsi="Times New Roman"/>
          <w:sz w:val="24"/>
          <w:szCs w:val="24"/>
        </w:rPr>
        <w:t xml:space="preserve"> article, “</w:t>
      </w:r>
      <w:r w:rsidRPr="009D5173">
        <w:rPr>
          <w:rFonts w:ascii="Times New Roman" w:hAnsi="Times New Roman"/>
          <w:bCs/>
          <w:sz w:val="24"/>
          <w:szCs w:val="24"/>
        </w:rPr>
        <w:t>Mandatory Vaccination Policy Lawsuit Update: Nurses Take a Shot Against Hospital, But Judge Jabs Back.</w:t>
      </w:r>
      <w:r>
        <w:rPr>
          <w:rFonts w:ascii="Times New Roman" w:hAnsi="Times New Roman"/>
          <w:bCs/>
          <w:sz w:val="24"/>
          <w:szCs w:val="24"/>
        </w:rPr>
        <w:t>”</w:t>
      </w:r>
      <w:r w:rsidRPr="009D5173">
        <w:rPr>
          <w:rFonts w:ascii="Times New Roman" w:hAnsi="Times New Roman"/>
          <w:bCs/>
          <w:sz w:val="24"/>
          <w:szCs w:val="24"/>
        </w:rPr>
        <w:t xml:space="preserve"> </w:t>
      </w:r>
      <w:r>
        <w:rPr>
          <w:rFonts w:ascii="Times New Roman" w:hAnsi="Times New Roman"/>
          <w:bCs/>
          <w:sz w:val="24"/>
          <w:szCs w:val="24"/>
        </w:rPr>
        <w:t xml:space="preserve"> </w:t>
      </w:r>
      <w:hyperlink r:id="rId2296" w:history="1">
        <w:r w:rsidRPr="00B14793">
          <w:rPr>
            <w:rStyle w:val="Hyperlink"/>
            <w:sz w:val="24"/>
            <w:szCs w:val="24"/>
          </w:rPr>
          <w:t>https://www.natlawreview.com/article/mandatory-vaccination-policy-lawsuit-update-nurses-take-shot-against-hospital-judge</w:t>
        </w:r>
      </w:hyperlink>
      <w:r w:rsidRPr="00B14793">
        <w:rPr>
          <w:rFonts w:ascii="Times New Roman" w:hAnsi="Times New Roman"/>
          <w:bCs/>
          <w:sz w:val="24"/>
          <w:szCs w:val="24"/>
        </w:rPr>
        <w:t xml:space="preserve"> </w:t>
      </w:r>
    </w:p>
    <w:p w14:paraId="4B429104" w14:textId="77777777" w:rsidR="00A82898" w:rsidRPr="00B14793" w:rsidRDefault="00A82898" w:rsidP="00A82898">
      <w:pPr>
        <w:pStyle w:val="NoSpacing"/>
        <w:ind w:left="720"/>
        <w:rPr>
          <w:rFonts w:ascii="Times New Roman" w:hAnsi="Times New Roman"/>
          <w:sz w:val="24"/>
          <w:szCs w:val="24"/>
        </w:rPr>
      </w:pPr>
      <w:r w:rsidRPr="00BC7ABC">
        <w:rPr>
          <w:rFonts w:ascii="Times New Roman" w:hAnsi="Times New Roman"/>
          <w:sz w:val="24"/>
          <w:szCs w:val="24"/>
        </w:rPr>
        <w:t xml:space="preserve">Note: In Ohio, there is a “public policy exception” where an employer can be held liable for terminating an “at will” employee in violation of a clear public policy protected by federal or state law [such as firing employee who contacted OSHA, or for filing a workers comp claim].   </w:t>
      </w:r>
      <w:r>
        <w:rPr>
          <w:rFonts w:ascii="Times New Roman" w:hAnsi="Times New Roman"/>
          <w:sz w:val="24"/>
          <w:szCs w:val="24"/>
        </w:rPr>
        <w:t>On June 22, 2021, a</w:t>
      </w:r>
      <w:r w:rsidRPr="00BC7ABC">
        <w:rPr>
          <w:rFonts w:ascii="Times New Roman" w:hAnsi="Times New Roman"/>
          <w:sz w:val="24"/>
          <w:szCs w:val="24"/>
        </w:rPr>
        <w:t>n Ohio law firm recently wrote: “</w:t>
      </w:r>
      <w:r w:rsidRPr="00BC7ABC">
        <w:rPr>
          <w:rFonts w:ascii="Times New Roman" w:eastAsia="Times New Roman" w:hAnsi="Times New Roman"/>
          <w:sz w:val="24"/>
          <w:szCs w:val="24"/>
        </w:rPr>
        <w:t>It is unlikely based on current law that mandating COVID-19 vaccinations violates public policy in Ohio. But that is only under current law.  As of this newsletter, pending Ohio legislation would ban vaccine requirements not just for COVID-19, but all vaccines</w:t>
      </w:r>
      <w:r w:rsidRPr="00BC7ABC">
        <w:rPr>
          <w:rFonts w:ascii="Times New Roman" w:eastAsia="Times New Roman" w:hAnsi="Times New Roman"/>
          <w:b/>
          <w:sz w:val="24"/>
          <w:szCs w:val="24"/>
        </w:rPr>
        <w:t xml:space="preserve">.” </w:t>
      </w:r>
      <w:hyperlink r:id="rId2297" w:history="1">
        <w:r w:rsidRPr="00B14793">
          <w:rPr>
            <w:rStyle w:val="Hyperlink"/>
            <w:sz w:val="24"/>
            <w:szCs w:val="24"/>
          </w:rPr>
          <w:t>https://fisheldowney.com/texas-federal-court-permits-employer-vaccine-mandates-mean-ohio-employers/</w:t>
        </w:r>
      </w:hyperlink>
    </w:p>
    <w:p w14:paraId="53C22503" w14:textId="77777777" w:rsidR="00A82898" w:rsidRDefault="00A82898" w:rsidP="00A82898">
      <w:pPr>
        <w:pStyle w:val="NoSpacing"/>
        <w:rPr>
          <w:rFonts w:ascii="Times New Roman" w:hAnsi="Times New Roman"/>
          <w:sz w:val="24"/>
          <w:szCs w:val="24"/>
        </w:rPr>
      </w:pPr>
    </w:p>
    <w:p w14:paraId="05D1D3FF" w14:textId="77777777" w:rsidR="00A82898" w:rsidRDefault="00A82898" w:rsidP="002B1283">
      <w:pPr>
        <w:rPr>
          <w:rFonts w:ascii="Arial Black" w:hAnsi="Arial Black"/>
          <w:b/>
          <w:bCs/>
          <w:sz w:val="28"/>
          <w:szCs w:val="28"/>
        </w:rPr>
      </w:pPr>
    </w:p>
    <w:p w14:paraId="1A6925C4" w14:textId="77777777" w:rsidR="00A82898" w:rsidRDefault="00A82898" w:rsidP="002B1283">
      <w:pPr>
        <w:rPr>
          <w:rFonts w:ascii="Arial Black" w:hAnsi="Arial Black"/>
          <w:b/>
          <w:bCs/>
          <w:sz w:val="28"/>
          <w:szCs w:val="28"/>
        </w:rPr>
      </w:pPr>
    </w:p>
    <w:p w14:paraId="438D926C" w14:textId="4ADCF9D4" w:rsidR="00B03268" w:rsidRPr="00BC5936" w:rsidRDefault="00B03268" w:rsidP="002B1283">
      <w:pPr>
        <w:rPr>
          <w:rFonts w:ascii="Times New Roman" w:hAnsi="Times New Roman"/>
          <w:sz w:val="24"/>
          <w:szCs w:val="24"/>
        </w:rPr>
      </w:pPr>
      <w:r>
        <w:rPr>
          <w:rFonts w:ascii="Arial Black" w:hAnsi="Arial Black"/>
          <w:b/>
          <w:bCs/>
          <w:sz w:val="28"/>
          <w:szCs w:val="28"/>
        </w:rPr>
        <w:t>13-87</w:t>
      </w:r>
      <w:r w:rsidR="00BC5936">
        <w:rPr>
          <w:rFonts w:ascii="Arial Black" w:hAnsi="Arial Black"/>
          <w:b/>
          <w:bCs/>
          <w:sz w:val="28"/>
          <w:szCs w:val="28"/>
        </w:rPr>
        <w:t xml:space="preserve"> </w:t>
      </w:r>
      <w:r w:rsidR="00BC5936">
        <w:rPr>
          <w:rFonts w:ascii="Times New Roman" w:hAnsi="Times New Roman"/>
          <w:sz w:val="24"/>
          <w:szCs w:val="24"/>
        </w:rPr>
        <w:t xml:space="preserve">[also filed, Chap. 5] </w:t>
      </w:r>
    </w:p>
    <w:p w14:paraId="1D453DB1" w14:textId="77777777" w:rsidR="00B03268" w:rsidRPr="002F193B" w:rsidRDefault="00B03268" w:rsidP="00B03268">
      <w:pPr>
        <w:pStyle w:val="NoSpacing"/>
        <w:rPr>
          <w:rFonts w:ascii="Arial Black" w:hAnsi="Arial Black"/>
          <w:sz w:val="28"/>
          <w:szCs w:val="28"/>
        </w:rPr>
      </w:pPr>
      <w:r>
        <w:rPr>
          <w:rFonts w:ascii="Arial Black" w:hAnsi="Arial Black"/>
          <w:sz w:val="28"/>
          <w:szCs w:val="28"/>
        </w:rPr>
        <w:t>WV: AMBULANCE ROLL OVER - 2 KILLED, EMT’S LAWSUIT HOSP. DISMISSED – MEDICAL CERT. OF MERIT REQUIRED</w:t>
      </w:r>
    </w:p>
    <w:p w14:paraId="045C8313" w14:textId="77777777" w:rsidR="00B03268" w:rsidRDefault="00B03268" w:rsidP="00B03268">
      <w:pPr>
        <w:pStyle w:val="NoSpacing"/>
      </w:pPr>
    </w:p>
    <w:p w14:paraId="6C1D2639" w14:textId="77777777" w:rsidR="00B03268" w:rsidRDefault="00B03268" w:rsidP="00B03268">
      <w:pPr>
        <w:pStyle w:val="NoSpacing"/>
        <w:rPr>
          <w:rFonts w:ascii="Times New Roman" w:hAnsi="Times New Roman"/>
          <w:sz w:val="24"/>
          <w:szCs w:val="24"/>
        </w:rPr>
      </w:pPr>
      <w:r w:rsidRPr="00397962">
        <w:rPr>
          <w:rFonts w:ascii="Times New Roman" w:hAnsi="Times New Roman"/>
          <w:sz w:val="24"/>
          <w:szCs w:val="24"/>
        </w:rPr>
        <w:t xml:space="preserve">On May 20, 2021, in </w:t>
      </w:r>
      <w:r w:rsidRPr="00397962">
        <w:rPr>
          <w:rFonts w:ascii="Times New Roman" w:hAnsi="Times New Roman"/>
          <w:sz w:val="24"/>
          <w:szCs w:val="24"/>
          <w:u w:val="single"/>
        </w:rPr>
        <w:t>Crystal G. Brown and Tri-State Ambulance, Inc. v. Ohio Valley Health Services &amp; Education Corporation; Ohio Valley Medical Center; et al</w:t>
      </w:r>
      <w:r>
        <w:rPr>
          <w:rFonts w:ascii="Times New Roman" w:hAnsi="Times New Roman"/>
          <w:sz w:val="24"/>
          <w:szCs w:val="24"/>
        </w:rPr>
        <w:t xml:space="preserve">., the State of West Virginia Supreme Court of Appeals, </w:t>
      </w:r>
      <w:r w:rsidRPr="00FD6489">
        <w:rPr>
          <w:rStyle w:val="font-weight-bold"/>
          <w:rFonts w:ascii="Times New Roman" w:hAnsi="Times New Roman"/>
          <w:sz w:val="24"/>
          <w:szCs w:val="24"/>
        </w:rPr>
        <w:t>Brown v. Ohio Valley Health Servs. &amp; Educ. Corp. (W. Va. 202</w:t>
      </w:r>
      <w:r>
        <w:rPr>
          <w:rFonts w:ascii="Times New Roman" w:hAnsi="Times New Roman"/>
          <w:sz w:val="24"/>
          <w:szCs w:val="24"/>
        </w:rPr>
        <w:t xml:space="preserve">1, held (3 to 0) that the lawsuit was properly dismissed since the West Virginia code of medical professional liability requires both patients and others suing a health care provider 30 days </w:t>
      </w:r>
      <w:proofErr w:type="gramStart"/>
      <w:r>
        <w:rPr>
          <w:rFonts w:ascii="Times New Roman" w:hAnsi="Times New Roman"/>
          <w:sz w:val="24"/>
          <w:szCs w:val="24"/>
        </w:rPr>
        <w:t>prior</w:t>
      </w:r>
      <w:proofErr w:type="gramEnd"/>
      <w:r>
        <w:rPr>
          <w:rFonts w:ascii="Times New Roman" w:hAnsi="Times New Roman"/>
          <w:sz w:val="24"/>
          <w:szCs w:val="24"/>
        </w:rPr>
        <w:t xml:space="preserve"> written notice, and a certificate of merit by a qualified health care provider.  The EMT in her lawsuit claimed the hospital knew but failed to disclose that transporting the patient to a Columbus, OH hospital was not medically necessary to save his life and that dangerous weather was approaching; the Ambulance company’s insurance provider sought reimbursement for its settlement costs.</w:t>
      </w:r>
    </w:p>
    <w:p w14:paraId="35504CFF" w14:textId="77777777" w:rsidR="00B03268" w:rsidRPr="00FD6489" w:rsidRDefault="00B03268" w:rsidP="00B03268">
      <w:pPr>
        <w:spacing w:before="100" w:beforeAutospacing="1" w:after="100" w:afterAutospacing="1"/>
        <w:ind w:left="720"/>
        <w:rPr>
          <w:rFonts w:ascii="Times New Roman" w:hAnsi="Times New Roman"/>
          <w:sz w:val="24"/>
          <w:szCs w:val="24"/>
        </w:rPr>
      </w:pPr>
      <w:r>
        <w:rPr>
          <w:rFonts w:ascii="Times New Roman" w:hAnsi="Times New Roman"/>
          <w:sz w:val="24"/>
          <w:szCs w:val="24"/>
        </w:rPr>
        <w:t>“</w:t>
      </w:r>
      <w:r w:rsidRPr="00FD6489">
        <w:rPr>
          <w:rFonts w:ascii="Times New Roman" w:hAnsi="Times New Roman"/>
          <w:sz w:val="24"/>
          <w:szCs w:val="24"/>
        </w:rPr>
        <w:t xml:space="preserve">That Petitioner Brown was not the patient does not preclude application of the MPLA. [Medical Professional Liability Act].  In syllabus point 5 of </w:t>
      </w:r>
      <w:r w:rsidRPr="00FD6489">
        <w:rPr>
          <w:rFonts w:ascii="Times New Roman" w:hAnsi="Times New Roman"/>
          <w:i/>
          <w:iCs/>
          <w:sz w:val="24"/>
          <w:szCs w:val="24"/>
        </w:rPr>
        <w:t>Osbourne v</w:t>
      </w:r>
      <w:r w:rsidRPr="00FD6489">
        <w:rPr>
          <w:rFonts w:ascii="Times New Roman" w:hAnsi="Times New Roman"/>
          <w:sz w:val="24"/>
          <w:szCs w:val="24"/>
        </w:rPr>
        <w:t xml:space="preserve">. </w:t>
      </w:r>
      <w:r w:rsidRPr="00FD6489">
        <w:rPr>
          <w:rFonts w:ascii="Times New Roman" w:hAnsi="Times New Roman"/>
          <w:i/>
          <w:iCs/>
          <w:sz w:val="24"/>
          <w:szCs w:val="24"/>
        </w:rPr>
        <w:t>United States</w:t>
      </w:r>
      <w:r w:rsidRPr="00FD6489">
        <w:rPr>
          <w:rFonts w:ascii="Times New Roman" w:hAnsi="Times New Roman"/>
          <w:sz w:val="24"/>
          <w:szCs w:val="24"/>
        </w:rPr>
        <w:t xml:space="preserve">, 211 W. Va. 667, 567 S.E.2d 677 (2002), we held that the Act </w:t>
      </w:r>
      <w:r>
        <w:rPr>
          <w:rFonts w:ascii="Times New Roman" w:hAnsi="Times New Roman"/>
          <w:sz w:val="24"/>
          <w:szCs w:val="24"/>
        </w:rPr>
        <w:t>‘</w:t>
      </w:r>
      <w:r w:rsidRPr="00FD6489">
        <w:rPr>
          <w:rFonts w:ascii="Times New Roman" w:hAnsi="Times New Roman"/>
          <w:sz w:val="24"/>
          <w:szCs w:val="24"/>
        </w:rPr>
        <w:t xml:space="preserve">permits a third party to bring a cause of action against a health care provider for foreseeable injuries that were proximately caused by the health care provider's </w:t>
      </w:r>
      <w:r w:rsidRPr="00FD6489">
        <w:rPr>
          <w:rFonts w:ascii="Times New Roman" w:hAnsi="Times New Roman"/>
          <w:sz w:val="24"/>
          <w:szCs w:val="24"/>
        </w:rPr>
        <w:lastRenderedPageBreak/>
        <w:t>negligent treatment of a tortfeasor patient.</w:t>
      </w:r>
      <w:r>
        <w:rPr>
          <w:rFonts w:ascii="Times New Roman" w:hAnsi="Times New Roman"/>
          <w:sz w:val="24"/>
          <w:szCs w:val="24"/>
        </w:rPr>
        <w:t>’</w:t>
      </w:r>
      <w:r w:rsidRPr="00FD6489">
        <w:rPr>
          <w:rFonts w:ascii="Times New Roman" w:hAnsi="Times New Roman"/>
          <w:sz w:val="24"/>
          <w:szCs w:val="24"/>
        </w:rPr>
        <w:t xml:space="preserve"> In reaching this holding, we observed that, in defining </w:t>
      </w:r>
      <w:r>
        <w:rPr>
          <w:rFonts w:ascii="Times New Roman" w:hAnsi="Times New Roman"/>
          <w:sz w:val="24"/>
          <w:szCs w:val="24"/>
        </w:rPr>
        <w:t>‘</w:t>
      </w:r>
      <w:r w:rsidRPr="00FD6489">
        <w:rPr>
          <w:rFonts w:ascii="Times New Roman" w:hAnsi="Times New Roman"/>
          <w:sz w:val="24"/>
          <w:szCs w:val="24"/>
        </w:rPr>
        <w:t>medical professional liability</w:t>
      </w:r>
      <w:r>
        <w:rPr>
          <w:rFonts w:ascii="Times New Roman" w:hAnsi="Times New Roman"/>
          <w:sz w:val="24"/>
          <w:szCs w:val="24"/>
        </w:rPr>
        <w:t xml:space="preserve">.’” </w:t>
      </w:r>
      <w:hyperlink r:id="rId2298" w:history="1">
        <w:r w:rsidRPr="007344F4">
          <w:rPr>
            <w:rStyle w:val="Hyperlink"/>
            <w:sz w:val="24"/>
            <w:szCs w:val="24"/>
          </w:rPr>
          <w:t>https://casetext.com/case/brown-v-ohio-valley-health-servs-educ-corp</w:t>
        </w:r>
      </w:hyperlink>
      <w:r>
        <w:rPr>
          <w:rFonts w:ascii="Times New Roman" w:hAnsi="Times New Roman"/>
          <w:sz w:val="24"/>
          <w:szCs w:val="24"/>
        </w:rPr>
        <w:t xml:space="preserve"> </w:t>
      </w:r>
    </w:p>
    <w:p w14:paraId="3ADAE79C" w14:textId="77777777" w:rsidR="00B03268" w:rsidRPr="006723F9" w:rsidRDefault="00B03268" w:rsidP="00B03268">
      <w:pPr>
        <w:spacing w:before="100" w:beforeAutospacing="1" w:after="100" w:afterAutospacing="1"/>
        <w:rPr>
          <w:rFonts w:ascii="Times New Roman" w:eastAsia="Times New Roman" w:hAnsi="Times New Roman"/>
          <w:b/>
          <w:bCs/>
          <w:sz w:val="24"/>
          <w:szCs w:val="24"/>
        </w:rPr>
      </w:pPr>
      <w:r w:rsidRPr="006723F9">
        <w:rPr>
          <w:rFonts w:ascii="Times New Roman" w:hAnsi="Times New Roman"/>
          <w:b/>
          <w:bCs/>
          <w:sz w:val="24"/>
          <w:szCs w:val="24"/>
        </w:rPr>
        <w:t xml:space="preserve">Legal Lesson Learned:  </w:t>
      </w:r>
      <w:r>
        <w:rPr>
          <w:rFonts w:ascii="Times New Roman" w:hAnsi="Times New Roman"/>
          <w:b/>
          <w:bCs/>
          <w:sz w:val="24"/>
          <w:szCs w:val="24"/>
        </w:rPr>
        <w:t xml:space="preserve">Lawsuit dismissed since EMT and her attorney </w:t>
      </w:r>
      <w:r w:rsidRPr="006723F9">
        <w:rPr>
          <w:rFonts w:ascii="Times New Roman" w:hAnsi="Times New Roman"/>
          <w:b/>
          <w:bCs/>
          <w:sz w:val="24"/>
          <w:szCs w:val="24"/>
        </w:rPr>
        <w:t xml:space="preserve">didn’t </w:t>
      </w:r>
      <w:r>
        <w:rPr>
          <w:rFonts w:ascii="Times New Roman" w:hAnsi="Times New Roman"/>
          <w:b/>
          <w:bCs/>
          <w:sz w:val="24"/>
          <w:szCs w:val="24"/>
        </w:rPr>
        <w:t xml:space="preserve">provide the Certificate of Merit required by the Medical Professional Liability </w:t>
      </w:r>
      <w:r w:rsidRPr="006723F9">
        <w:rPr>
          <w:rFonts w:ascii="Times New Roman" w:hAnsi="Times New Roman"/>
          <w:b/>
          <w:bCs/>
          <w:sz w:val="24"/>
          <w:szCs w:val="24"/>
        </w:rPr>
        <w:t xml:space="preserve">statute. </w:t>
      </w:r>
      <w:r>
        <w:rPr>
          <w:rFonts w:ascii="Times New Roman" w:hAnsi="Times New Roman"/>
          <w:b/>
          <w:bCs/>
          <w:sz w:val="24"/>
          <w:szCs w:val="24"/>
        </w:rPr>
        <w:t xml:space="preserve"> Similar statutes can be found throughout U.S. </w:t>
      </w:r>
    </w:p>
    <w:p w14:paraId="7AF41074" w14:textId="77777777" w:rsidR="00B03268" w:rsidRDefault="00B03268" w:rsidP="00B03268">
      <w:pPr>
        <w:spacing w:before="100" w:beforeAutospacing="1" w:after="100" w:afterAutospacing="1"/>
        <w:ind w:left="720"/>
        <w:rPr>
          <w:rFonts w:ascii="Times New Roman" w:hAnsi="Times New Roman"/>
          <w:sz w:val="24"/>
          <w:szCs w:val="24"/>
        </w:rPr>
      </w:pPr>
      <w:r>
        <w:rPr>
          <w:rFonts w:ascii="Times New Roman" w:eastAsia="Times New Roman" w:hAnsi="Times New Roman"/>
          <w:sz w:val="24"/>
          <w:szCs w:val="24"/>
        </w:rPr>
        <w:t>Note: See this article on the roll over.</w:t>
      </w:r>
    </w:p>
    <w:p w14:paraId="0028289B" w14:textId="77777777" w:rsidR="00B03268" w:rsidRPr="006C56B5" w:rsidRDefault="00B03268" w:rsidP="00B03268">
      <w:pPr>
        <w:ind w:left="720"/>
        <w:rPr>
          <w:rFonts w:ascii="Times New Roman" w:hAnsi="Times New Roman"/>
          <w:sz w:val="24"/>
          <w:szCs w:val="24"/>
        </w:rPr>
      </w:pPr>
      <w:r w:rsidRPr="006C56B5">
        <w:rPr>
          <w:rFonts w:ascii="Times New Roman" w:hAnsi="Times New Roman"/>
          <w:b/>
          <w:bCs/>
          <w:sz w:val="24"/>
          <w:szCs w:val="24"/>
        </w:rPr>
        <w:t>Two Dead After Ambulance Rollover</w:t>
      </w:r>
      <w:r>
        <w:rPr>
          <w:rFonts w:ascii="Times New Roman" w:hAnsi="Times New Roman"/>
          <w:sz w:val="24"/>
          <w:szCs w:val="24"/>
        </w:rPr>
        <w:t xml:space="preserve"> (Dec. 17, 2016): </w:t>
      </w:r>
      <w:hyperlink r:id="rId2299" w:history="1">
        <w:r w:rsidRPr="006C56B5">
          <w:rPr>
            <w:rStyle w:val="Hyperlink"/>
            <w:sz w:val="24"/>
            <w:szCs w:val="24"/>
          </w:rPr>
          <w:t>https://www.zanesvilletimesrecorder.com/story/news/local/2016/12/17/two-dead-after-ambulance-rollover/95557626/</w:t>
        </w:r>
      </w:hyperlink>
      <w:r w:rsidRPr="006C56B5">
        <w:rPr>
          <w:rFonts w:ascii="Times New Roman" w:hAnsi="Times New Roman"/>
          <w:sz w:val="24"/>
          <w:szCs w:val="24"/>
        </w:rPr>
        <w:t xml:space="preserve"> </w:t>
      </w:r>
    </w:p>
    <w:p w14:paraId="1FAA7C88" w14:textId="77777777" w:rsidR="00B03268" w:rsidRPr="006C56B5" w:rsidRDefault="00B03268" w:rsidP="00B03268">
      <w:pPr>
        <w:ind w:left="1440"/>
        <w:rPr>
          <w:rFonts w:ascii="Times New Roman" w:hAnsi="Times New Roman"/>
          <w:sz w:val="24"/>
          <w:szCs w:val="24"/>
        </w:rPr>
      </w:pPr>
      <w:r w:rsidRPr="006C56B5">
        <w:rPr>
          <w:rFonts w:ascii="Times New Roman" w:hAnsi="Times New Roman"/>
          <w:sz w:val="24"/>
          <w:szCs w:val="24"/>
        </w:rPr>
        <w:t>CAMBRIDGE, OH- Two people died early Saturday morning after an ambulance lost control and overturned several times, according to a release from the Cambridge Post of the Ohio Highway Patrol.</w:t>
      </w:r>
    </w:p>
    <w:p w14:paraId="6A78260D" w14:textId="77777777" w:rsidR="00B03268" w:rsidRDefault="00B03268" w:rsidP="00B03268">
      <w:pPr>
        <w:pStyle w:val="gntarbp"/>
        <w:ind w:left="1440"/>
      </w:pPr>
      <w:r>
        <w:t>According to the release, shortly after 2 a.m. an ambulance, registered to Tri State Ambulance, was transporting a patient on I-70 westbound near milepost 176 when it lost control, drove off the left edge of the interstate and overturned multiple times.</w:t>
      </w:r>
    </w:p>
    <w:p w14:paraId="1E58B53D" w14:textId="77777777" w:rsidR="00B03268" w:rsidRDefault="00B03268" w:rsidP="00B03268">
      <w:pPr>
        <w:pStyle w:val="gntarbp"/>
        <w:ind w:left="1440"/>
      </w:pPr>
      <w:r>
        <w:t>At the time of the crash, a patient and four emergency medical personnel were in the ambulance. A patient and one of the emergency personnel, both in the patient care area of the ambulance, were killed in the crash. The three other emergency personnel sustained minor injuries, which were treated at Southeastern Medical Center.</w:t>
      </w:r>
    </w:p>
    <w:p w14:paraId="4C2DA9F2" w14:textId="77777777" w:rsidR="00B03268" w:rsidRPr="006C56B5" w:rsidRDefault="00B03268" w:rsidP="00B03268">
      <w:pPr>
        <w:pStyle w:val="gntarbp"/>
        <w:ind w:left="1440"/>
      </w:pPr>
      <w:r>
        <w:t xml:space="preserve">Killed in the crash were the patient, Dennis Calvert, 64, of Wheeling West Virginia, and emergency personnel Charles McMahan, 39, of New Matamoras. Injured in the crash </w:t>
      </w:r>
      <w:proofErr w:type="gramStart"/>
      <w:r>
        <w:t>were the driver,</w:t>
      </w:r>
      <w:proofErr w:type="gramEnd"/>
      <w:r>
        <w:t xml:space="preserve"> Crystal Brown, 33</w:t>
      </w:r>
      <w:proofErr w:type="gramStart"/>
      <w:r>
        <w:t>, of</w:t>
      </w:r>
      <w:proofErr w:type="gramEnd"/>
      <w:r>
        <w:t xml:space="preserve"> Proctor, West Virginia, passengers Jennifer Rothwell, 32, of Wheeling, West Virginia, and Randi Watson, 37, of Glen Easton, West Virginia.</w:t>
      </w:r>
    </w:p>
    <w:p w14:paraId="0EDD7904" w14:textId="77777777" w:rsidR="00B03268" w:rsidRPr="00D1078B" w:rsidRDefault="00B03268" w:rsidP="00B03268">
      <w:pPr>
        <w:spacing w:before="100" w:beforeAutospacing="1" w:after="100" w:afterAutospacing="1"/>
        <w:ind w:left="720"/>
        <w:rPr>
          <w:rFonts w:ascii="Times New Roman" w:hAnsi="Times New Roman"/>
          <w:sz w:val="24"/>
          <w:szCs w:val="24"/>
        </w:rPr>
      </w:pPr>
      <w:r w:rsidRPr="00D1078B">
        <w:rPr>
          <w:rFonts w:ascii="Times New Roman" w:hAnsi="Times New Roman"/>
          <w:sz w:val="24"/>
          <w:szCs w:val="24"/>
        </w:rPr>
        <w:t xml:space="preserve">The West Virginia </w:t>
      </w:r>
      <w:r w:rsidRPr="00FD6489">
        <w:rPr>
          <w:rFonts w:ascii="Times New Roman" w:hAnsi="Times New Roman"/>
          <w:sz w:val="24"/>
          <w:szCs w:val="24"/>
        </w:rPr>
        <w:t>Medical Professional Liability Act</w:t>
      </w:r>
      <w:r>
        <w:rPr>
          <w:rFonts w:ascii="Times New Roman" w:hAnsi="Times New Roman"/>
          <w:sz w:val="24"/>
          <w:szCs w:val="24"/>
        </w:rPr>
        <w:t xml:space="preserve"> provides: </w:t>
      </w:r>
      <w:hyperlink r:id="rId2300" w:history="1">
        <w:r w:rsidRPr="00C15479">
          <w:rPr>
            <w:rStyle w:val="Hyperlink"/>
            <w:sz w:val="24"/>
            <w:szCs w:val="24"/>
          </w:rPr>
          <w:t>https://law.justia.com/codes/west-virginia/2017/chapter-55/article-7b/section-55-7b-6/</w:t>
        </w:r>
      </w:hyperlink>
    </w:p>
    <w:p w14:paraId="61784899" w14:textId="77777777" w:rsidR="00B03268" w:rsidRPr="002F193B" w:rsidRDefault="00B03268" w:rsidP="00B03268">
      <w:pPr>
        <w:spacing w:before="100" w:beforeAutospacing="1" w:after="100" w:afterAutospacing="1"/>
        <w:ind w:left="1440"/>
        <w:rPr>
          <w:rFonts w:ascii="Times New Roman" w:eastAsia="Times New Roman" w:hAnsi="Times New Roman"/>
          <w:sz w:val="24"/>
          <w:szCs w:val="24"/>
        </w:rPr>
      </w:pPr>
      <w:r>
        <w:rPr>
          <w:rFonts w:ascii="Times New Roman" w:hAnsi="Times New Roman"/>
          <w:sz w:val="24"/>
          <w:szCs w:val="24"/>
        </w:rPr>
        <w:t>“</w:t>
      </w:r>
      <w:r w:rsidRPr="00D1078B">
        <w:rPr>
          <w:rFonts w:ascii="Times New Roman" w:hAnsi="Times New Roman"/>
          <w:sz w:val="24"/>
          <w:szCs w:val="24"/>
        </w:rPr>
        <w:t xml:space="preserve">(b) At least thirty days prior to the filing of a medical professional liability action against a health care provider, the claimant shall serve by certified mail, return receipt requested, a notice of claim on each health care provider the claimant will join in litigation. The notice of claim shall include a statement of the theory or theories of liability upon which a cause of action may be based, and a list of all health care providers and health care facilities to whom notices of claim are being sent, together with a screening certificate of merit. The screening certificate of merit shall be executed under oath by a health care provider qualified as an expert under the West Virginia rules of evidence and shall state with particularity: (1) The expert’s familiarity with the applicable standard of care in issue; (2) the expert’s qualifications; (3) the expert’s opinion as to how the applicable standard of care was breached; and (4) the expert’s opinion as to how the breach of the applicable standard of care resulted in injury or death. A separate screening certificate of merit must be provided for each health care provider against whom a claim is </w:t>
      </w:r>
      <w:r w:rsidRPr="00D1078B">
        <w:rPr>
          <w:rFonts w:ascii="Times New Roman" w:hAnsi="Times New Roman"/>
          <w:sz w:val="24"/>
          <w:szCs w:val="24"/>
        </w:rPr>
        <w:lastRenderedPageBreak/>
        <w:t xml:space="preserve">asserted. The person signing the screening certificate of merit shall have no financial interest in the underlying </w:t>
      </w:r>
      <w:proofErr w:type="gramStart"/>
      <w:r w:rsidRPr="00D1078B">
        <w:rPr>
          <w:rFonts w:ascii="Times New Roman" w:hAnsi="Times New Roman"/>
          <w:sz w:val="24"/>
          <w:szCs w:val="24"/>
        </w:rPr>
        <w:t>claim, but</w:t>
      </w:r>
      <w:proofErr w:type="gramEnd"/>
      <w:r w:rsidRPr="00D1078B">
        <w:rPr>
          <w:rFonts w:ascii="Times New Roman" w:hAnsi="Times New Roman"/>
          <w:sz w:val="24"/>
          <w:szCs w:val="24"/>
        </w:rPr>
        <w:t xml:space="preserve"> may participate as an expert witness in any judicial proceeding. Nothing in this subsection may be construed to limit the application of Rule 15 of the Rules of Civil Procedure.</w:t>
      </w:r>
    </w:p>
    <w:p w14:paraId="175B1BC6" w14:textId="77777777" w:rsidR="00B03268" w:rsidRDefault="00B03268" w:rsidP="002B1283">
      <w:pPr>
        <w:rPr>
          <w:rFonts w:ascii="Arial Black" w:hAnsi="Arial Black"/>
          <w:b/>
          <w:bCs/>
          <w:sz w:val="28"/>
          <w:szCs w:val="28"/>
        </w:rPr>
      </w:pPr>
    </w:p>
    <w:p w14:paraId="3FDDFD58" w14:textId="77777777" w:rsidR="00B03268" w:rsidRDefault="00B03268" w:rsidP="002B1283">
      <w:pPr>
        <w:rPr>
          <w:rFonts w:ascii="Arial Black" w:hAnsi="Arial Black"/>
          <w:b/>
          <w:bCs/>
          <w:sz w:val="28"/>
          <w:szCs w:val="28"/>
        </w:rPr>
      </w:pPr>
    </w:p>
    <w:p w14:paraId="57C217F0" w14:textId="29370C42" w:rsidR="00274525" w:rsidRDefault="00EC1BFB" w:rsidP="002B1283">
      <w:pPr>
        <w:rPr>
          <w:rFonts w:ascii="Arial Black" w:hAnsi="Arial Black"/>
          <w:b/>
          <w:bCs/>
          <w:sz w:val="28"/>
          <w:szCs w:val="28"/>
        </w:rPr>
      </w:pPr>
      <w:r>
        <w:rPr>
          <w:rFonts w:ascii="Arial Black" w:hAnsi="Arial Black"/>
          <w:b/>
          <w:bCs/>
          <w:sz w:val="28"/>
          <w:szCs w:val="28"/>
        </w:rPr>
        <w:t>13-86</w:t>
      </w:r>
    </w:p>
    <w:p w14:paraId="2278C146" w14:textId="77777777" w:rsidR="00EC1BFB" w:rsidRDefault="00EC1BFB" w:rsidP="00EC1BFB">
      <w:pPr>
        <w:pStyle w:val="NoSpacing"/>
        <w:rPr>
          <w:rFonts w:ascii="Arial Black" w:hAnsi="Arial Black"/>
          <w:sz w:val="28"/>
          <w:szCs w:val="28"/>
        </w:rPr>
      </w:pPr>
      <w:r>
        <w:rPr>
          <w:rFonts w:ascii="Arial Black" w:hAnsi="Arial Black"/>
          <w:sz w:val="28"/>
          <w:szCs w:val="28"/>
        </w:rPr>
        <w:t>OH: BATTALION CHIEF FAILED TO REPORT THAT EMT-B STARTED “IO” ON PATIENT – 60-DAY SUSPENSION UPHELD</w:t>
      </w:r>
    </w:p>
    <w:p w14:paraId="0D9B5C72" w14:textId="77777777" w:rsidR="00EC1BFB" w:rsidRPr="006E0916" w:rsidRDefault="00EC1BFB" w:rsidP="00EC1BFB">
      <w:pPr>
        <w:pStyle w:val="NoSpacing"/>
        <w:rPr>
          <w:rFonts w:ascii="Arial Black" w:hAnsi="Arial Black"/>
          <w:sz w:val="28"/>
          <w:szCs w:val="28"/>
        </w:rPr>
      </w:pPr>
    </w:p>
    <w:p w14:paraId="1C3635DE" w14:textId="77777777" w:rsidR="00EC1BFB" w:rsidRPr="00121F16" w:rsidRDefault="00EC1BFB" w:rsidP="00EC1BFB">
      <w:pPr>
        <w:pStyle w:val="NoSpacing"/>
        <w:rPr>
          <w:rFonts w:ascii="Times New Roman" w:hAnsi="Times New Roman"/>
          <w:sz w:val="24"/>
          <w:szCs w:val="24"/>
        </w:rPr>
      </w:pPr>
      <w:r>
        <w:rPr>
          <w:rFonts w:ascii="Times New Roman" w:hAnsi="Times New Roman"/>
          <w:sz w:val="24"/>
          <w:szCs w:val="24"/>
        </w:rPr>
        <w:t xml:space="preserve">On March 26, 2021, in </w:t>
      </w:r>
      <w:r w:rsidRPr="006E0916">
        <w:rPr>
          <w:rFonts w:ascii="Times New Roman" w:hAnsi="Times New Roman"/>
          <w:sz w:val="24"/>
          <w:szCs w:val="24"/>
          <w:u w:val="single"/>
        </w:rPr>
        <w:t>Mark W. Stahl v. Allen-Clay Joint Fire District</w:t>
      </w:r>
      <w:r>
        <w:rPr>
          <w:rFonts w:ascii="Times New Roman" w:hAnsi="Times New Roman"/>
          <w:sz w:val="24"/>
          <w:szCs w:val="24"/>
        </w:rPr>
        <w:t xml:space="preserve">, the Court of Appeals of Ohio, Sixth Appellate District (Ottawa County), held (3 to 0), </w:t>
      </w:r>
      <w:r w:rsidRPr="00421215">
        <w:rPr>
          <w:rFonts w:ascii="Times New Roman" w:hAnsi="Times New Roman"/>
          <w:sz w:val="24"/>
          <w:szCs w:val="24"/>
        </w:rPr>
        <w:t xml:space="preserve">2021 Ohio 986, </w:t>
      </w:r>
      <w:r>
        <w:rPr>
          <w:rFonts w:ascii="Times New Roman" w:hAnsi="Times New Roman"/>
          <w:sz w:val="24"/>
          <w:szCs w:val="24"/>
        </w:rPr>
        <w:t xml:space="preserve">that the Fire District Board had sufficient evidence to impose the discipline on the Battalion Chief, for not reporting to the FD and </w:t>
      </w:r>
      <w:r w:rsidRPr="00121F16">
        <w:rPr>
          <w:rFonts w:ascii="Times New Roman" w:hAnsi="Times New Roman"/>
          <w:sz w:val="24"/>
          <w:szCs w:val="24"/>
        </w:rPr>
        <w:t xml:space="preserve">the Ohio Division of Emergency Medical Services </w:t>
      </w:r>
      <w:r>
        <w:rPr>
          <w:rFonts w:ascii="Times New Roman" w:hAnsi="Times New Roman"/>
          <w:sz w:val="24"/>
          <w:szCs w:val="24"/>
        </w:rPr>
        <w:t xml:space="preserve">that an EMT-B had exceeded his scope of practice by inserting an </w:t>
      </w:r>
      <w:r w:rsidRPr="00121F16">
        <w:rPr>
          <w:rFonts w:ascii="Times New Roman" w:hAnsi="Times New Roman"/>
          <w:sz w:val="24"/>
          <w:szCs w:val="24"/>
        </w:rPr>
        <w:t>intraosseous infusion ("IO")</w:t>
      </w:r>
      <w:r>
        <w:rPr>
          <w:rFonts w:ascii="Times New Roman" w:hAnsi="Times New Roman"/>
          <w:sz w:val="24"/>
          <w:szCs w:val="24"/>
        </w:rPr>
        <w:t xml:space="preserve"> into tibia bone of a cardiac patient.  Note: The EMS run report was completed by a Medic on the run; she incorrectly listed herself as inserting the IO.  </w:t>
      </w:r>
    </w:p>
    <w:p w14:paraId="66BD3ED1" w14:textId="77777777" w:rsidR="00EC1BFB" w:rsidRDefault="00EC1BFB" w:rsidP="00EC1BFB">
      <w:pPr>
        <w:pStyle w:val="NoSpacing"/>
        <w:rPr>
          <w:rFonts w:ascii="Times New Roman" w:hAnsi="Times New Roman"/>
          <w:sz w:val="24"/>
          <w:szCs w:val="24"/>
        </w:rPr>
      </w:pPr>
    </w:p>
    <w:p w14:paraId="051FC879" w14:textId="77777777" w:rsidR="00EC1BFB" w:rsidRDefault="00EC1BFB" w:rsidP="00EC1BFB">
      <w:pPr>
        <w:pStyle w:val="NoSpacing"/>
        <w:ind w:left="720"/>
        <w:rPr>
          <w:rFonts w:ascii="Times New Roman" w:hAnsi="Times New Roman"/>
          <w:sz w:val="24"/>
          <w:szCs w:val="24"/>
        </w:rPr>
      </w:pPr>
      <w:r>
        <w:rPr>
          <w:rFonts w:ascii="Times New Roman" w:hAnsi="Times New Roman"/>
          <w:sz w:val="24"/>
          <w:szCs w:val="24"/>
        </w:rPr>
        <w:t>“</w:t>
      </w:r>
      <w:r w:rsidRPr="006E0916">
        <w:rPr>
          <w:rFonts w:ascii="Times New Roman" w:hAnsi="Times New Roman"/>
          <w:sz w:val="24"/>
          <w:szCs w:val="24"/>
        </w:rPr>
        <w:t xml:space="preserve">The board had before it evidence that Stahl was obligated to supervise firefighters and EMTs at an emergency scene and that he was required to report improper conduct to his superior and to the State Board of Emergency Medical Services and the Northwest Ohio EMS Consortium. Although contested, there was reliable, probative, and substantial evidence that Stahl knew or should have known that improper conduct took place at the scene of an emergency, and he failed to report that conduct. We affirm the June 1, </w:t>
      </w:r>
      <w:proofErr w:type="gramStart"/>
      <w:r w:rsidRPr="006E0916">
        <w:rPr>
          <w:rFonts w:ascii="Times New Roman" w:hAnsi="Times New Roman"/>
          <w:sz w:val="24"/>
          <w:szCs w:val="24"/>
        </w:rPr>
        <w:t>2020</w:t>
      </w:r>
      <w:proofErr w:type="gramEnd"/>
      <w:r w:rsidRPr="006E0916">
        <w:rPr>
          <w:rFonts w:ascii="Times New Roman" w:hAnsi="Times New Roman"/>
          <w:sz w:val="24"/>
          <w:szCs w:val="24"/>
        </w:rPr>
        <w:t xml:space="preserve"> judgment of the Ottawa County Court of Common Pleas. Stahl is ordered to pay the costs of this appeal under </w:t>
      </w:r>
      <w:proofErr w:type="spellStart"/>
      <w:r w:rsidRPr="006E0916">
        <w:rPr>
          <w:rFonts w:ascii="Times New Roman" w:hAnsi="Times New Roman"/>
          <w:sz w:val="24"/>
          <w:szCs w:val="24"/>
        </w:rPr>
        <w:t>App.R</w:t>
      </w:r>
      <w:proofErr w:type="spellEnd"/>
      <w:r w:rsidRPr="006E0916">
        <w:rPr>
          <w:rFonts w:ascii="Times New Roman" w:hAnsi="Times New Roman"/>
          <w:sz w:val="24"/>
          <w:szCs w:val="24"/>
        </w:rPr>
        <w:t>. 24.</w:t>
      </w:r>
      <w:r>
        <w:rPr>
          <w:rFonts w:ascii="Times New Roman" w:hAnsi="Times New Roman"/>
          <w:sz w:val="24"/>
          <w:szCs w:val="24"/>
        </w:rPr>
        <w:t xml:space="preserve">” </w:t>
      </w:r>
    </w:p>
    <w:p w14:paraId="083A8B54" w14:textId="149D36E6" w:rsidR="00EC1BFB" w:rsidRDefault="00EC1BFB" w:rsidP="00EC1BFB">
      <w:pPr>
        <w:ind w:firstLine="720"/>
        <w:rPr>
          <w:rFonts w:ascii="Times New Roman" w:hAnsi="Times New Roman"/>
          <w:sz w:val="24"/>
          <w:szCs w:val="24"/>
        </w:rPr>
      </w:pPr>
      <w:hyperlink r:id="rId2301" w:history="1">
        <w:r w:rsidRPr="00B568EC">
          <w:rPr>
            <w:rStyle w:val="Hyperlink"/>
            <w:rFonts w:ascii="Times New Roman" w:hAnsi="Times New Roman"/>
            <w:sz w:val="24"/>
            <w:szCs w:val="24"/>
          </w:rPr>
          <w:t>http://lcapps.co.lucas.oh.us/Courts/Appeals/DecisionsPDF/9824.pdf</w:t>
        </w:r>
      </w:hyperlink>
    </w:p>
    <w:p w14:paraId="08302EF1" w14:textId="77777777" w:rsidR="00EC1BFB" w:rsidRDefault="00EC1BFB" w:rsidP="00EC1BFB">
      <w:pPr>
        <w:spacing w:before="100" w:beforeAutospacing="1" w:after="100" w:afterAutospacing="1" w:line="240" w:lineRule="auto"/>
        <w:rPr>
          <w:rFonts w:ascii="Times New Roman" w:hAnsi="Times New Roman"/>
          <w:b/>
          <w:bCs/>
          <w:sz w:val="24"/>
          <w:szCs w:val="24"/>
        </w:rPr>
      </w:pPr>
      <w:r w:rsidRPr="008A7E59">
        <w:rPr>
          <w:rFonts w:ascii="Times New Roman" w:hAnsi="Times New Roman"/>
          <w:b/>
          <w:bCs/>
          <w:sz w:val="24"/>
          <w:szCs w:val="24"/>
        </w:rPr>
        <w:t>Legal Lesson Learned:</w:t>
      </w:r>
      <w:r>
        <w:rPr>
          <w:rFonts w:ascii="Times New Roman" w:hAnsi="Times New Roman"/>
          <w:b/>
          <w:bCs/>
          <w:sz w:val="24"/>
          <w:szCs w:val="24"/>
        </w:rPr>
        <w:t xml:space="preserve"> The Officer-In-Charge on an EMS run should ensure that an apparent violation of EMS certificate of practice has been promptly reported to the FD, and to the State EMS Board.  The EMS Run Report should also be corrected to accurately report who started the IO. </w:t>
      </w:r>
    </w:p>
    <w:p w14:paraId="3B8581A2" w14:textId="77777777" w:rsidR="00EC1BFB" w:rsidRPr="00EC1BFB" w:rsidRDefault="00EC1BFB" w:rsidP="00EC1BFB">
      <w:pPr>
        <w:pStyle w:val="Heading2"/>
        <w:ind w:left="720"/>
        <w:rPr>
          <w:rFonts w:ascii="Times New Roman" w:hAnsi="Times New Roman"/>
          <w:b w:val="0"/>
          <w:bCs w:val="0"/>
          <w:i w:val="0"/>
          <w:iCs w:val="0"/>
          <w:sz w:val="24"/>
          <w:szCs w:val="24"/>
        </w:rPr>
      </w:pPr>
      <w:r w:rsidRPr="00EC1BFB">
        <w:rPr>
          <w:rFonts w:ascii="Times New Roman" w:hAnsi="Times New Roman"/>
          <w:b w:val="0"/>
          <w:bCs w:val="0"/>
          <w:i w:val="0"/>
          <w:iCs w:val="0"/>
          <w:sz w:val="24"/>
          <w:szCs w:val="24"/>
        </w:rPr>
        <w:t>Note: Ohio Administrative Code 4765-9-01, 4765-9-01, Professional standards of conduct for a holder of a certificate to practice.</w:t>
      </w:r>
    </w:p>
    <w:p w14:paraId="0BCAF288" w14:textId="77777777" w:rsidR="00EC1BFB" w:rsidRPr="008A7E59" w:rsidRDefault="00EC1BFB" w:rsidP="00EC1BFB">
      <w:pPr>
        <w:spacing w:before="100" w:beforeAutospacing="1" w:after="100" w:afterAutospacing="1" w:line="240" w:lineRule="auto"/>
        <w:ind w:left="1440"/>
        <w:rPr>
          <w:rFonts w:ascii="Times New Roman" w:eastAsia="Times New Roman" w:hAnsi="Times New Roman"/>
          <w:sz w:val="24"/>
          <w:szCs w:val="24"/>
        </w:rPr>
      </w:pPr>
      <w:r>
        <w:rPr>
          <w:rFonts w:ascii="Times New Roman" w:hAnsi="Times New Roman"/>
          <w:sz w:val="24"/>
          <w:szCs w:val="24"/>
        </w:rPr>
        <w:t>“</w:t>
      </w:r>
      <w:r w:rsidRPr="008A7E59">
        <w:rPr>
          <w:rFonts w:ascii="Times New Roman" w:hAnsi="Times New Roman"/>
          <w:sz w:val="24"/>
          <w:szCs w:val="24"/>
        </w:rPr>
        <w:t>(G) A person issued a certificate to practice shall report to the division as soon as practicable any knowledge of a violation of Chapter 4765. of the Revised Code or Chapters 4765-1 to 4765-10 or 4765-12 to 4765-19 of the Administrative Code.</w:t>
      </w:r>
      <w:r>
        <w:rPr>
          <w:rFonts w:ascii="Times New Roman" w:hAnsi="Times New Roman"/>
          <w:sz w:val="24"/>
          <w:szCs w:val="24"/>
        </w:rPr>
        <w:t>”</w:t>
      </w:r>
      <w:r w:rsidRPr="008A7E59">
        <w:t xml:space="preserve"> </w:t>
      </w:r>
      <w:hyperlink r:id="rId2302" w:history="1">
        <w:r w:rsidRPr="00AB20E4">
          <w:rPr>
            <w:rStyle w:val="Hyperlink"/>
            <w:sz w:val="24"/>
            <w:szCs w:val="24"/>
          </w:rPr>
          <w:t>http://codes.ohio.gov/oac/4765-9-01</w:t>
        </w:r>
      </w:hyperlink>
      <w:r>
        <w:rPr>
          <w:rFonts w:ascii="Times New Roman" w:hAnsi="Times New Roman"/>
          <w:sz w:val="24"/>
          <w:szCs w:val="24"/>
        </w:rPr>
        <w:t xml:space="preserve"> </w:t>
      </w:r>
    </w:p>
    <w:p w14:paraId="6E4FD877" w14:textId="77777777" w:rsidR="00EC1BFB" w:rsidRPr="00EC1BFB" w:rsidRDefault="00EC1BFB" w:rsidP="00EC1BFB">
      <w:pPr>
        <w:ind w:firstLine="720"/>
        <w:rPr>
          <w:rFonts w:ascii="Times New Roman" w:hAnsi="Times New Roman"/>
          <w:b/>
          <w:bCs/>
          <w:sz w:val="24"/>
          <w:szCs w:val="24"/>
        </w:rPr>
      </w:pPr>
    </w:p>
    <w:p w14:paraId="1932F9E9" w14:textId="77777777" w:rsidR="00EC1BFB" w:rsidRDefault="00EC1BFB" w:rsidP="002B1283">
      <w:pPr>
        <w:rPr>
          <w:rFonts w:ascii="Arial Black" w:hAnsi="Arial Black"/>
          <w:b/>
          <w:bCs/>
          <w:sz w:val="28"/>
          <w:szCs w:val="28"/>
        </w:rPr>
      </w:pPr>
    </w:p>
    <w:p w14:paraId="6CF266F3" w14:textId="48FFD248" w:rsidR="00EC1BFB" w:rsidRDefault="00EC1BFB" w:rsidP="002B1283">
      <w:pPr>
        <w:rPr>
          <w:rFonts w:ascii="Arial Black" w:hAnsi="Arial Black"/>
          <w:b/>
          <w:bCs/>
          <w:sz w:val="28"/>
          <w:szCs w:val="28"/>
        </w:rPr>
      </w:pPr>
      <w:r>
        <w:rPr>
          <w:rFonts w:ascii="Arial Black" w:hAnsi="Arial Black"/>
          <w:b/>
          <w:bCs/>
          <w:sz w:val="28"/>
          <w:szCs w:val="28"/>
        </w:rPr>
        <w:t>13-85</w:t>
      </w:r>
    </w:p>
    <w:p w14:paraId="41DCAA9D" w14:textId="6E66F5D1" w:rsidR="00EC1BFB" w:rsidRPr="00755CBD" w:rsidRDefault="00EC1BFB" w:rsidP="00EC1BFB">
      <w:pPr>
        <w:spacing w:before="100" w:beforeAutospacing="1" w:after="100" w:afterAutospacing="1" w:line="240" w:lineRule="auto"/>
        <w:rPr>
          <w:rFonts w:ascii="Arial Black" w:eastAsia="Times New Roman" w:hAnsi="Arial Black"/>
          <w:sz w:val="28"/>
          <w:szCs w:val="28"/>
        </w:rPr>
      </w:pPr>
      <w:r>
        <w:rPr>
          <w:rFonts w:ascii="Arial Black" w:eastAsia="Times New Roman" w:hAnsi="Arial Black"/>
          <w:sz w:val="28"/>
          <w:szCs w:val="28"/>
        </w:rPr>
        <w:lastRenderedPageBreak/>
        <w:t>WA: DEAD BODY BROUGHT TO FD - INTUBATION 15 TIMES – BROTHER HAS STANDING TO SUE IN FEDERAL COURT [AS DOES WIFE]</w:t>
      </w:r>
    </w:p>
    <w:p w14:paraId="498A251F" w14:textId="77777777" w:rsidR="00EC1BFB" w:rsidRDefault="00EC1BFB" w:rsidP="00EC1BFB">
      <w:pPr>
        <w:spacing w:before="100" w:beforeAutospacing="1" w:after="100" w:afterAutospacing="1" w:line="240" w:lineRule="auto"/>
        <w:rPr>
          <w:rFonts w:ascii="Times New Roman" w:hAnsi="Times New Roman"/>
          <w:sz w:val="24"/>
          <w:szCs w:val="24"/>
        </w:rPr>
      </w:pPr>
      <w:r>
        <w:rPr>
          <w:rFonts w:ascii="Times New Roman" w:eastAsia="Times New Roman" w:hAnsi="Times New Roman"/>
          <w:sz w:val="24"/>
          <w:szCs w:val="24"/>
        </w:rPr>
        <w:t xml:space="preserve">On March 18, 2021, in </w:t>
      </w:r>
      <w:r w:rsidRPr="00C778EF">
        <w:rPr>
          <w:rFonts w:ascii="Times New Roman" w:eastAsia="Times New Roman" w:hAnsi="Times New Roman"/>
          <w:sz w:val="24"/>
          <w:szCs w:val="24"/>
          <w:u w:val="single"/>
        </w:rPr>
        <w:t>Robert Fox v. City of Bellingham</w:t>
      </w:r>
      <w:r>
        <w:rPr>
          <w:rFonts w:ascii="Times New Roman" w:eastAsia="Times New Roman" w:hAnsi="Times New Roman"/>
          <w:sz w:val="24"/>
          <w:szCs w:val="24"/>
        </w:rPr>
        <w:t xml:space="preserve">, the Supreme Court of the State of Washington, held (6 to 3) in response to a question by U.S. District Court judge, that Washington Supreme Court advised the federal judge that under state law the brother of the deceased, who lives in California, does have standing to sue for tortious interference with a corpse.   The </w:t>
      </w:r>
      <w:proofErr w:type="gramStart"/>
      <w:r>
        <w:rPr>
          <w:rFonts w:ascii="Times New Roman" w:eastAsia="Times New Roman" w:hAnsi="Times New Roman"/>
          <w:sz w:val="24"/>
          <w:szCs w:val="24"/>
        </w:rPr>
        <w:t>City</w:t>
      </w:r>
      <w:proofErr w:type="gramEnd"/>
      <w:r>
        <w:rPr>
          <w:rFonts w:ascii="Times New Roman" w:eastAsia="Times New Roman" w:hAnsi="Times New Roman"/>
          <w:sz w:val="24"/>
          <w:szCs w:val="24"/>
        </w:rPr>
        <w:t xml:space="preserve"> has already paid $75,000 to the two adult children of the </w:t>
      </w:r>
      <w:proofErr w:type="gramStart"/>
      <w:r>
        <w:rPr>
          <w:rFonts w:ascii="Times New Roman" w:eastAsia="Times New Roman" w:hAnsi="Times New Roman"/>
          <w:sz w:val="24"/>
          <w:szCs w:val="24"/>
        </w:rPr>
        <w:t>deceased, and</w:t>
      </w:r>
      <w:proofErr w:type="gramEnd"/>
      <w:r>
        <w:rPr>
          <w:rFonts w:ascii="Times New Roman" w:eastAsia="Times New Roman" w:hAnsi="Times New Roman"/>
          <w:sz w:val="24"/>
          <w:szCs w:val="24"/>
        </w:rPr>
        <w:t xml:space="preserve"> is being sued by the wife of the deceased.  The Washington Supreme Court rejected the </w:t>
      </w:r>
      <w:r w:rsidRPr="002C32C5">
        <w:rPr>
          <w:rFonts w:ascii="Times New Roman" w:hAnsi="Times New Roman"/>
          <w:sz w:val="24"/>
          <w:szCs w:val="24"/>
        </w:rPr>
        <w:t>City</w:t>
      </w:r>
      <w:r>
        <w:rPr>
          <w:rFonts w:ascii="Times New Roman" w:hAnsi="Times New Roman"/>
          <w:sz w:val="24"/>
          <w:szCs w:val="24"/>
        </w:rPr>
        <w:t>’s</w:t>
      </w:r>
      <w:r w:rsidRPr="002C32C5">
        <w:rPr>
          <w:rFonts w:ascii="Times New Roman" w:hAnsi="Times New Roman"/>
          <w:sz w:val="24"/>
          <w:szCs w:val="24"/>
        </w:rPr>
        <w:t xml:space="preserve"> moved for summary judgment</w:t>
      </w:r>
      <w:r>
        <w:rPr>
          <w:rFonts w:ascii="Times New Roman" w:hAnsi="Times New Roman"/>
          <w:sz w:val="24"/>
          <w:szCs w:val="24"/>
        </w:rPr>
        <w:t xml:space="preserve"> </w:t>
      </w:r>
      <w:r w:rsidRPr="002C32C5">
        <w:rPr>
          <w:rFonts w:ascii="Times New Roman" w:hAnsi="Times New Roman"/>
          <w:sz w:val="24"/>
          <w:szCs w:val="24"/>
        </w:rPr>
        <w:t xml:space="preserve">asserting that </w:t>
      </w:r>
      <w:r>
        <w:rPr>
          <w:rFonts w:ascii="Times New Roman" w:hAnsi="Times New Roman"/>
          <w:sz w:val="24"/>
          <w:szCs w:val="24"/>
        </w:rPr>
        <w:t>Robert</w:t>
      </w:r>
      <w:r w:rsidRPr="002C32C5">
        <w:rPr>
          <w:rFonts w:ascii="Times New Roman" w:hAnsi="Times New Roman"/>
          <w:sz w:val="24"/>
          <w:szCs w:val="24"/>
        </w:rPr>
        <w:t xml:space="preserve"> Fox lacks standing because he is not the designated custodian of his brother's remains under </w:t>
      </w:r>
      <w:hyperlink r:id="rId2303" w:history="1">
        <w:r w:rsidRPr="002C32C5">
          <w:rPr>
            <w:rStyle w:val="Hyperlink"/>
            <w:sz w:val="24"/>
            <w:szCs w:val="24"/>
          </w:rPr>
          <w:t>RCW 68.50.160</w:t>
        </w:r>
      </w:hyperlink>
      <w:r>
        <w:rPr>
          <w:rStyle w:val="Hyperlink"/>
          <w:sz w:val="24"/>
          <w:szCs w:val="24"/>
        </w:rPr>
        <w:t xml:space="preserve"> </w:t>
      </w:r>
      <w:r>
        <w:rPr>
          <w:rFonts w:ascii="Times New Roman" w:hAnsi="Times New Roman"/>
          <w:sz w:val="24"/>
          <w:szCs w:val="24"/>
        </w:rPr>
        <w:t xml:space="preserve">(the deceased’s wife has </w:t>
      </w:r>
      <w:r w:rsidRPr="002C32C5">
        <w:rPr>
          <w:rFonts w:ascii="Times New Roman" w:hAnsi="Times New Roman"/>
          <w:sz w:val="24"/>
          <w:szCs w:val="24"/>
        </w:rPr>
        <w:t xml:space="preserve">care of </w:t>
      </w:r>
      <w:r>
        <w:rPr>
          <w:rFonts w:ascii="Times New Roman" w:hAnsi="Times New Roman"/>
          <w:sz w:val="24"/>
          <w:szCs w:val="24"/>
        </w:rPr>
        <w:t xml:space="preserve">her husband’s </w:t>
      </w:r>
      <w:r w:rsidRPr="002C32C5">
        <w:rPr>
          <w:rFonts w:ascii="Times New Roman" w:hAnsi="Times New Roman"/>
          <w:sz w:val="24"/>
          <w:szCs w:val="24"/>
        </w:rPr>
        <w:t>remains</w:t>
      </w:r>
      <w:r>
        <w:rPr>
          <w:rFonts w:ascii="Times New Roman" w:hAnsi="Times New Roman"/>
          <w:sz w:val="24"/>
          <w:szCs w:val="24"/>
        </w:rPr>
        <w:t>)</w:t>
      </w:r>
      <w:r w:rsidRPr="002C32C5">
        <w:rPr>
          <w:rFonts w:ascii="Times New Roman" w:hAnsi="Times New Roman"/>
          <w:sz w:val="24"/>
          <w:szCs w:val="24"/>
        </w:rPr>
        <w:t>.</w:t>
      </w:r>
      <w:r>
        <w:rPr>
          <w:rFonts w:ascii="Times New Roman" w:hAnsi="Times New Roman"/>
          <w:sz w:val="24"/>
          <w:szCs w:val="24"/>
        </w:rPr>
        <w:t xml:space="preserve">  </w:t>
      </w:r>
      <w:r>
        <w:rPr>
          <w:rFonts w:ascii="Times New Roman" w:eastAsia="Times New Roman" w:hAnsi="Times New Roman"/>
          <w:sz w:val="24"/>
          <w:szCs w:val="24"/>
        </w:rPr>
        <w:t>[Note: Court didn’t explain why different last names of two brothers.]</w:t>
      </w:r>
    </w:p>
    <w:p w14:paraId="53BEF92B" w14:textId="77777777" w:rsidR="00EC1BFB" w:rsidRDefault="00EC1BFB" w:rsidP="00EC1BFB">
      <w:pPr>
        <w:pStyle w:val="NormalWeb"/>
        <w:ind w:left="720"/>
      </w:pPr>
      <w:r>
        <w:t xml:space="preserve">“Mr. Fox lived with his brother during his adult life, and the two spoke to each other weekly. Mr. Fox took part in preparing his brother's </w:t>
      </w:r>
      <w:proofErr w:type="gramStart"/>
      <w:r>
        <w:t>end of life</w:t>
      </w:r>
      <w:proofErr w:type="gramEnd"/>
      <w:r>
        <w:t xml:space="preserve"> celebration. Based on these facts, Mr. Fox has put forth sufficient evidence that he is a ‘close relative’ of his brother and, therefore, has standing to bring suit.”   </w:t>
      </w:r>
      <w:hyperlink r:id="rId2304" w:history="1">
        <w:r w:rsidRPr="001363A6">
          <w:rPr>
            <w:rStyle w:val="Hyperlink"/>
          </w:rPr>
          <w:t>https://casetext.com/case/certification-from-us-dist-court-for-w-dist-of-wash-v-city-of-bellingham</w:t>
        </w:r>
      </w:hyperlink>
      <w:r>
        <w:t xml:space="preserve"> </w:t>
      </w:r>
    </w:p>
    <w:p w14:paraId="2D53ADF1" w14:textId="77777777" w:rsidR="00EC1BFB" w:rsidRDefault="00EC1BFB" w:rsidP="00EC1BFB">
      <w:pPr>
        <w:pStyle w:val="NormalWeb"/>
        <w:rPr>
          <w:b/>
          <w:bCs/>
        </w:rPr>
      </w:pPr>
      <w:r w:rsidRPr="00321C47">
        <w:rPr>
          <w:b/>
          <w:bCs/>
        </w:rPr>
        <w:t xml:space="preserve">Legal Lesson Learned: </w:t>
      </w:r>
      <w:r>
        <w:rPr>
          <w:b/>
          <w:bCs/>
        </w:rPr>
        <w:t xml:space="preserve">Do not use bodies for training without written permission of spouse or other immediate family members. </w:t>
      </w:r>
    </w:p>
    <w:p w14:paraId="7E44CE23" w14:textId="77777777" w:rsidR="00EC1BFB" w:rsidRDefault="00EC1BFB" w:rsidP="00EC1BFB">
      <w:pPr>
        <w:pStyle w:val="NormalWeb"/>
      </w:pPr>
      <w:r>
        <w:rPr>
          <w:b/>
          <w:bCs/>
        </w:rPr>
        <w:tab/>
      </w:r>
      <w:r w:rsidRPr="00321C47">
        <w:t>Note:</w:t>
      </w:r>
      <w:r>
        <w:t xml:space="preserve">  This incident has been in the press. </w:t>
      </w:r>
    </w:p>
    <w:p w14:paraId="30A521E2" w14:textId="77777777" w:rsidR="00EC1BFB" w:rsidRPr="000318D2" w:rsidRDefault="00EC1BFB" w:rsidP="00EC1BFB">
      <w:pPr>
        <w:pStyle w:val="Heading1"/>
        <w:ind w:left="720"/>
        <w:rPr>
          <w:b w:val="0"/>
          <w:bCs w:val="0"/>
          <w:sz w:val="24"/>
          <w:szCs w:val="24"/>
        </w:rPr>
      </w:pPr>
      <w:r>
        <w:rPr>
          <w:rStyle w:val="field"/>
          <w:b w:val="0"/>
          <w:bCs w:val="0"/>
          <w:sz w:val="24"/>
          <w:szCs w:val="24"/>
        </w:rPr>
        <w:t>“</w:t>
      </w:r>
      <w:r w:rsidRPr="00321C47">
        <w:rPr>
          <w:rStyle w:val="field"/>
          <w:b w:val="0"/>
          <w:bCs w:val="0"/>
          <w:sz w:val="24"/>
          <w:szCs w:val="24"/>
        </w:rPr>
        <w:t>Wash. Fire Dept. Faces Fourth Lawsuit for Intubating Dead Patient</w:t>
      </w:r>
      <w:r>
        <w:rPr>
          <w:rStyle w:val="field"/>
          <w:b w:val="0"/>
          <w:bCs w:val="0"/>
          <w:sz w:val="24"/>
          <w:szCs w:val="24"/>
        </w:rPr>
        <w:t>,” July 17, 2019:</w:t>
      </w:r>
      <w:r w:rsidRPr="00321C47">
        <w:rPr>
          <w:rStyle w:val="field"/>
          <w:b w:val="0"/>
          <w:bCs w:val="0"/>
          <w:sz w:val="24"/>
          <w:szCs w:val="24"/>
        </w:rPr>
        <w:t xml:space="preserve"> </w:t>
      </w:r>
      <w:r>
        <w:rPr>
          <w:b w:val="0"/>
          <w:bCs w:val="0"/>
          <w:sz w:val="24"/>
          <w:szCs w:val="24"/>
        </w:rPr>
        <w:t>“</w:t>
      </w:r>
      <w:r w:rsidRPr="000318D2">
        <w:rPr>
          <w:b w:val="0"/>
          <w:bCs w:val="0"/>
          <w:sz w:val="24"/>
          <w:szCs w:val="24"/>
        </w:rPr>
        <w:t xml:space="preserve">The city already has paid $75,000 each to two adult children of Bradley Ginn </w:t>
      </w:r>
      <w:proofErr w:type="gramStart"/>
      <w:r w:rsidRPr="000318D2">
        <w:rPr>
          <w:b w:val="0"/>
          <w:bCs w:val="0"/>
          <w:sz w:val="24"/>
          <w:szCs w:val="24"/>
        </w:rPr>
        <w:t>Sr., and</w:t>
      </w:r>
      <w:proofErr w:type="gramEnd"/>
      <w:r w:rsidRPr="000318D2">
        <w:rPr>
          <w:b w:val="0"/>
          <w:bCs w:val="0"/>
          <w:sz w:val="24"/>
          <w:szCs w:val="24"/>
        </w:rPr>
        <w:t xml:space="preserve"> is facing a $15 million claim filed by Ginn’s widow, Jai Ginn, according to the city attorney’s office. Now, his brother, Robert Fox, who lives in California, has filed a federal lawsuit against the city alleging </w:t>
      </w:r>
      <w:r>
        <w:rPr>
          <w:b w:val="0"/>
          <w:bCs w:val="0"/>
          <w:sz w:val="24"/>
          <w:szCs w:val="24"/>
        </w:rPr>
        <w:t>‘</w:t>
      </w:r>
      <w:r w:rsidRPr="000318D2">
        <w:rPr>
          <w:b w:val="0"/>
          <w:bCs w:val="0"/>
          <w:sz w:val="24"/>
          <w:szCs w:val="24"/>
        </w:rPr>
        <w:t>tortuous interference with a corpse</w:t>
      </w:r>
      <w:r>
        <w:rPr>
          <w:b w:val="0"/>
          <w:bCs w:val="0"/>
          <w:sz w:val="24"/>
          <w:szCs w:val="24"/>
        </w:rPr>
        <w:t xml:space="preserve">’ </w:t>
      </w:r>
      <w:r w:rsidRPr="000318D2">
        <w:rPr>
          <w:b w:val="0"/>
          <w:bCs w:val="0"/>
          <w:sz w:val="24"/>
          <w:szCs w:val="24"/>
        </w:rPr>
        <w:t>after 11 Bellingham Fire Department employees, including an account manager and an office secretary, practiced inserting endotracheal tubes into the body 15 times after placing Ginn’s corpse in a body bag on the floor of a firehouse.</w:t>
      </w:r>
      <w:r>
        <w:rPr>
          <w:b w:val="0"/>
          <w:bCs w:val="0"/>
          <w:sz w:val="24"/>
          <w:szCs w:val="24"/>
        </w:rPr>
        <w:t xml:space="preserve">” </w:t>
      </w:r>
      <w:hyperlink r:id="rId2305" w:history="1">
        <w:r w:rsidRPr="00321C47">
          <w:rPr>
            <w:rStyle w:val="Hyperlink"/>
            <w:b w:val="0"/>
            <w:bCs w:val="0"/>
            <w:sz w:val="24"/>
            <w:szCs w:val="24"/>
          </w:rPr>
          <w:t>https://www.emsworld.com/news/1223006/wash-fire-dept-faces-fourth-lawsuit-intubating-dead-patient</w:t>
        </w:r>
      </w:hyperlink>
      <w:r>
        <w:rPr>
          <w:rStyle w:val="field"/>
          <w:b w:val="0"/>
          <w:bCs w:val="0"/>
          <w:sz w:val="24"/>
          <w:szCs w:val="24"/>
        </w:rPr>
        <w:t xml:space="preserve"> </w:t>
      </w:r>
    </w:p>
    <w:p w14:paraId="4A1196AB" w14:textId="77777777" w:rsidR="00EC1BFB" w:rsidRPr="000318D2" w:rsidRDefault="00EC1BFB" w:rsidP="00EC1BFB">
      <w:pPr>
        <w:pStyle w:val="Heading1"/>
        <w:ind w:left="720"/>
        <w:rPr>
          <w:b w:val="0"/>
          <w:bCs w:val="0"/>
          <w:sz w:val="24"/>
          <w:szCs w:val="24"/>
        </w:rPr>
      </w:pPr>
      <w:r>
        <w:rPr>
          <w:b w:val="0"/>
          <w:bCs w:val="0"/>
          <w:sz w:val="24"/>
          <w:szCs w:val="24"/>
        </w:rPr>
        <w:t>“</w:t>
      </w:r>
      <w:r w:rsidRPr="000318D2">
        <w:rPr>
          <w:b w:val="0"/>
          <w:bCs w:val="0"/>
          <w:sz w:val="24"/>
          <w:szCs w:val="24"/>
        </w:rPr>
        <w:t>WA 'Intubation' Probe Targets Nine FFs,</w:t>
      </w:r>
      <w:r>
        <w:rPr>
          <w:b w:val="0"/>
          <w:bCs w:val="0"/>
          <w:sz w:val="24"/>
          <w:szCs w:val="24"/>
        </w:rPr>
        <w:t>”</w:t>
      </w:r>
      <w:r w:rsidRPr="000318D2">
        <w:rPr>
          <w:b w:val="0"/>
          <w:bCs w:val="0"/>
          <w:sz w:val="24"/>
          <w:szCs w:val="24"/>
        </w:rPr>
        <w:t xml:space="preserve"> Oct. 4, 2018 </w:t>
      </w:r>
      <w:r>
        <w:rPr>
          <w:b w:val="0"/>
          <w:bCs w:val="0"/>
          <w:sz w:val="24"/>
          <w:szCs w:val="24"/>
        </w:rPr>
        <w:t>–</w:t>
      </w:r>
      <w:r w:rsidRPr="000318D2">
        <w:rPr>
          <w:b w:val="0"/>
          <w:bCs w:val="0"/>
          <w:sz w:val="24"/>
          <w:szCs w:val="24"/>
        </w:rPr>
        <w:t xml:space="preserve"> </w:t>
      </w:r>
      <w:r>
        <w:rPr>
          <w:b w:val="0"/>
          <w:bCs w:val="0"/>
          <w:sz w:val="24"/>
          <w:szCs w:val="24"/>
        </w:rPr>
        <w:t>“</w:t>
      </w:r>
      <w:r w:rsidRPr="000318D2">
        <w:rPr>
          <w:b w:val="0"/>
          <w:bCs w:val="0"/>
          <w:sz w:val="24"/>
          <w:szCs w:val="24"/>
        </w:rPr>
        <w:t xml:space="preserve">Washington's Department of Health is investigating nine Bellingham firefighters after it was revealed that intubations were performed on a dead man. </w:t>
      </w:r>
      <w:hyperlink r:id="rId2306" w:history="1">
        <w:r w:rsidRPr="000318D2">
          <w:rPr>
            <w:rStyle w:val="Hyperlink"/>
            <w:b w:val="0"/>
            <w:bCs w:val="0"/>
            <w:sz w:val="24"/>
            <w:szCs w:val="24"/>
          </w:rPr>
          <w:t>https://www.firehouse.com/ems/news/21025612/bellingham-wa-investigation-probe-firefighters-intubation-dead-body</w:t>
        </w:r>
      </w:hyperlink>
      <w:r w:rsidRPr="000318D2">
        <w:rPr>
          <w:b w:val="0"/>
          <w:bCs w:val="0"/>
          <w:sz w:val="24"/>
          <w:szCs w:val="24"/>
        </w:rPr>
        <w:t xml:space="preserve"> </w:t>
      </w:r>
    </w:p>
    <w:p w14:paraId="1FCE0779" w14:textId="77777777" w:rsidR="00EC1BFB" w:rsidRDefault="00EC1BFB" w:rsidP="00EC1BFB">
      <w:pPr>
        <w:pStyle w:val="NormalWeb"/>
      </w:pPr>
    </w:p>
    <w:p w14:paraId="2DD98662" w14:textId="77777777" w:rsidR="00EC1BFB" w:rsidRDefault="00EC1BFB" w:rsidP="002B1283">
      <w:pPr>
        <w:rPr>
          <w:rFonts w:ascii="Arial Black" w:hAnsi="Arial Black"/>
          <w:b/>
          <w:bCs/>
          <w:sz w:val="28"/>
          <w:szCs w:val="28"/>
        </w:rPr>
      </w:pPr>
    </w:p>
    <w:p w14:paraId="6A7A837F" w14:textId="77777777" w:rsidR="00EC1BFB" w:rsidRDefault="00EC1BFB" w:rsidP="002B1283">
      <w:pPr>
        <w:rPr>
          <w:rFonts w:ascii="Arial Black" w:hAnsi="Arial Black"/>
          <w:b/>
          <w:bCs/>
          <w:sz w:val="28"/>
          <w:szCs w:val="28"/>
        </w:rPr>
      </w:pPr>
    </w:p>
    <w:p w14:paraId="5DF01CFD" w14:textId="2A64721D" w:rsidR="00EC1BFB" w:rsidRDefault="00EC1BFB" w:rsidP="002B1283">
      <w:pPr>
        <w:rPr>
          <w:rFonts w:ascii="Arial Black" w:hAnsi="Arial Black"/>
          <w:b/>
          <w:bCs/>
          <w:sz w:val="28"/>
          <w:szCs w:val="28"/>
        </w:rPr>
      </w:pPr>
      <w:r>
        <w:rPr>
          <w:rFonts w:ascii="Arial Black" w:hAnsi="Arial Black"/>
          <w:b/>
          <w:bCs/>
          <w:sz w:val="28"/>
          <w:szCs w:val="28"/>
        </w:rPr>
        <w:t>13-84</w:t>
      </w:r>
    </w:p>
    <w:p w14:paraId="096F135A" w14:textId="77777777" w:rsidR="00EC1BFB" w:rsidRPr="005C57DC" w:rsidRDefault="00EC1BFB" w:rsidP="00EC1BFB">
      <w:pPr>
        <w:spacing w:before="100" w:beforeAutospacing="1" w:after="100" w:afterAutospacing="1" w:line="240" w:lineRule="auto"/>
        <w:rPr>
          <w:rFonts w:ascii="Arial Black" w:hAnsi="Arial Black"/>
          <w:b/>
          <w:bCs/>
          <w:sz w:val="28"/>
          <w:szCs w:val="28"/>
        </w:rPr>
      </w:pPr>
      <w:r w:rsidRPr="005C57DC">
        <w:rPr>
          <w:rFonts w:ascii="Arial Black" w:hAnsi="Arial Black"/>
          <w:b/>
          <w:bCs/>
          <w:sz w:val="28"/>
          <w:szCs w:val="28"/>
        </w:rPr>
        <w:t>ND: AIR AMBULANCES – FED. STATUTE PROHIBITS STATE FROM REGULATING PRICE</w:t>
      </w:r>
      <w:r>
        <w:rPr>
          <w:rFonts w:ascii="Arial Black" w:hAnsi="Arial Black"/>
          <w:b/>
          <w:bCs/>
          <w:sz w:val="28"/>
          <w:szCs w:val="28"/>
        </w:rPr>
        <w:t>S O</w:t>
      </w:r>
      <w:r w:rsidRPr="005C57DC">
        <w:rPr>
          <w:rFonts w:ascii="Arial Black" w:hAnsi="Arial Black"/>
          <w:b/>
          <w:bCs/>
          <w:sz w:val="28"/>
          <w:szCs w:val="28"/>
        </w:rPr>
        <w:t>R SELLING SUBSCRIPTIONS</w:t>
      </w:r>
    </w:p>
    <w:p w14:paraId="0546202B" w14:textId="77777777" w:rsidR="00EC1BFB" w:rsidRPr="000911B4" w:rsidRDefault="00EC1BFB" w:rsidP="00EC1BFB">
      <w:pPr>
        <w:spacing w:before="100" w:beforeAutospacing="1" w:after="100" w:afterAutospacing="1" w:line="240" w:lineRule="auto"/>
        <w:rPr>
          <w:rFonts w:ascii="Times New Roman" w:hAnsi="Times New Roman"/>
          <w:sz w:val="24"/>
          <w:szCs w:val="24"/>
        </w:rPr>
      </w:pPr>
      <w:r>
        <w:rPr>
          <w:rFonts w:ascii="Times New Roman" w:hAnsi="Times New Roman"/>
          <w:sz w:val="24"/>
          <w:szCs w:val="24"/>
        </w:rPr>
        <w:lastRenderedPageBreak/>
        <w:t xml:space="preserve">On March 17, 2021, in </w:t>
      </w:r>
      <w:r w:rsidRPr="00BB67DD">
        <w:rPr>
          <w:rFonts w:ascii="Times New Roman" w:hAnsi="Times New Roman"/>
          <w:sz w:val="24"/>
          <w:szCs w:val="24"/>
          <w:u w:val="single"/>
        </w:rPr>
        <w:t xml:space="preserve">Guardian Flight LLC v. Jon Godfread, </w:t>
      </w:r>
      <w:r>
        <w:rPr>
          <w:rFonts w:ascii="Times New Roman" w:hAnsi="Times New Roman"/>
          <w:sz w:val="24"/>
          <w:szCs w:val="24"/>
          <w:u w:val="single"/>
        </w:rPr>
        <w:t xml:space="preserve">in his capacity as </w:t>
      </w:r>
      <w:r w:rsidRPr="00BB67DD">
        <w:rPr>
          <w:rFonts w:ascii="Times New Roman" w:hAnsi="Times New Roman"/>
          <w:sz w:val="24"/>
          <w:szCs w:val="24"/>
          <w:u w:val="single"/>
        </w:rPr>
        <w:t xml:space="preserve">North Dakota Insurance Commissioner, </w:t>
      </w:r>
      <w:r>
        <w:rPr>
          <w:rFonts w:ascii="Times New Roman" w:hAnsi="Times New Roman"/>
          <w:sz w:val="24"/>
          <w:szCs w:val="24"/>
          <w:u w:val="single"/>
        </w:rPr>
        <w:t xml:space="preserve">and Wayne Stenehjem, in his capacity as North Dakota Attorney General, </w:t>
      </w:r>
      <w:r w:rsidRPr="00BB67DD">
        <w:rPr>
          <w:rFonts w:ascii="Times New Roman" w:hAnsi="Times New Roman"/>
          <w:sz w:val="24"/>
          <w:szCs w:val="24"/>
          <w:u w:val="single"/>
        </w:rPr>
        <w:t>et al</w:t>
      </w:r>
      <w:r>
        <w:rPr>
          <w:rFonts w:ascii="Times New Roman" w:hAnsi="Times New Roman"/>
          <w:sz w:val="24"/>
          <w:szCs w:val="24"/>
        </w:rPr>
        <w:t>., the U.S. Court of Appeals for the 8</w:t>
      </w:r>
      <w:r w:rsidRPr="00BB67DD">
        <w:rPr>
          <w:rFonts w:ascii="Times New Roman" w:hAnsi="Times New Roman"/>
          <w:sz w:val="24"/>
          <w:szCs w:val="24"/>
          <w:vertAlign w:val="superscript"/>
        </w:rPr>
        <w:t>th</w:t>
      </w:r>
      <w:r>
        <w:rPr>
          <w:rFonts w:ascii="Times New Roman" w:hAnsi="Times New Roman"/>
          <w:sz w:val="24"/>
          <w:szCs w:val="24"/>
        </w:rPr>
        <w:t xml:space="preserve"> Circuit (St. Louis, MO) held (3 to 0) in favor of Guardian Flight, holding that Nebraska’s 2017 statute seeking to control the price of air ambulance transports, and lawsuits to collect those bills, violates Federal Airlines Deregulation Act.  The federal statute preempts the State of </w:t>
      </w:r>
      <w:r w:rsidRPr="000911B4">
        <w:rPr>
          <w:rFonts w:ascii="Times New Roman" w:hAnsi="Times New Roman"/>
          <w:sz w:val="24"/>
          <w:szCs w:val="24"/>
        </w:rPr>
        <w:t>Nebraska</w:t>
      </w:r>
      <w:r>
        <w:rPr>
          <w:rFonts w:ascii="Times New Roman" w:hAnsi="Times New Roman"/>
          <w:sz w:val="24"/>
          <w:szCs w:val="24"/>
        </w:rPr>
        <w:t xml:space="preserve">’s attempt to control pricing, in response to </w:t>
      </w:r>
      <w:r w:rsidRPr="000911B4">
        <w:rPr>
          <w:rFonts w:ascii="Times New Roman" w:hAnsi="Times New Roman"/>
          <w:sz w:val="24"/>
          <w:szCs w:val="24"/>
        </w:rPr>
        <w:t xml:space="preserve">about 40 complaints </w:t>
      </w:r>
      <w:r>
        <w:rPr>
          <w:rFonts w:ascii="Times New Roman" w:hAnsi="Times New Roman"/>
          <w:sz w:val="24"/>
          <w:szCs w:val="24"/>
        </w:rPr>
        <w:t>(</w:t>
      </w:r>
      <w:r w:rsidRPr="000911B4">
        <w:rPr>
          <w:rFonts w:ascii="Times New Roman" w:hAnsi="Times New Roman"/>
          <w:sz w:val="24"/>
          <w:szCs w:val="24"/>
        </w:rPr>
        <w:t>2014 and early 2018</w:t>
      </w:r>
      <w:r>
        <w:rPr>
          <w:rFonts w:ascii="Times New Roman" w:hAnsi="Times New Roman"/>
          <w:sz w:val="24"/>
          <w:szCs w:val="24"/>
        </w:rPr>
        <w:t>)</w:t>
      </w:r>
      <w:r w:rsidRPr="000911B4">
        <w:rPr>
          <w:rFonts w:ascii="Times New Roman" w:hAnsi="Times New Roman"/>
          <w:sz w:val="24"/>
          <w:szCs w:val="24"/>
        </w:rPr>
        <w:t xml:space="preserve">, </w:t>
      </w:r>
      <w:r>
        <w:rPr>
          <w:rFonts w:ascii="Times New Roman" w:hAnsi="Times New Roman"/>
          <w:sz w:val="24"/>
          <w:szCs w:val="24"/>
        </w:rPr>
        <w:t xml:space="preserve">where privately </w:t>
      </w:r>
      <w:r w:rsidRPr="000911B4">
        <w:rPr>
          <w:rFonts w:ascii="Times New Roman" w:hAnsi="Times New Roman"/>
          <w:sz w:val="24"/>
          <w:szCs w:val="24"/>
        </w:rPr>
        <w:t>insured</w:t>
      </w:r>
      <w:r>
        <w:rPr>
          <w:rFonts w:ascii="Times New Roman" w:hAnsi="Times New Roman"/>
          <w:sz w:val="24"/>
          <w:szCs w:val="24"/>
        </w:rPr>
        <w:t xml:space="preserve"> patients</w:t>
      </w:r>
      <w:r w:rsidRPr="000911B4">
        <w:rPr>
          <w:rFonts w:ascii="Times New Roman" w:hAnsi="Times New Roman"/>
          <w:sz w:val="24"/>
          <w:szCs w:val="24"/>
        </w:rPr>
        <w:t xml:space="preserve"> often were billed more than $20,000 for air ambulance transport—and sometimes more than $40,000—which represented the balances remaining after the insurers paid their portions</w:t>
      </w:r>
      <w:r>
        <w:rPr>
          <w:rFonts w:ascii="Times New Roman" w:hAnsi="Times New Roman"/>
          <w:sz w:val="24"/>
          <w:szCs w:val="24"/>
        </w:rPr>
        <w:t xml:space="preserve">. </w:t>
      </w:r>
    </w:p>
    <w:p w14:paraId="6E4CB522" w14:textId="77777777" w:rsidR="00EC1BFB" w:rsidRPr="00BB67DD" w:rsidRDefault="00EC1BFB" w:rsidP="00EC1BFB">
      <w:pPr>
        <w:spacing w:before="100" w:beforeAutospacing="1" w:after="100" w:afterAutospacing="1" w:line="240" w:lineRule="auto"/>
        <w:ind w:left="720"/>
        <w:rPr>
          <w:rFonts w:ascii="Times New Roman" w:eastAsia="Times New Roman" w:hAnsi="Times New Roman"/>
          <w:sz w:val="24"/>
          <w:szCs w:val="24"/>
        </w:rPr>
      </w:pPr>
      <w:r>
        <w:rPr>
          <w:rFonts w:ascii="Times New Roman" w:hAnsi="Times New Roman"/>
          <w:sz w:val="24"/>
          <w:szCs w:val="24"/>
        </w:rPr>
        <w:t>“</w:t>
      </w:r>
      <w:r w:rsidRPr="00BB67DD">
        <w:rPr>
          <w:rFonts w:ascii="Times New Roman" w:hAnsi="Times New Roman"/>
          <w:sz w:val="24"/>
          <w:szCs w:val="24"/>
        </w:rPr>
        <w:t>The ADA [Airlines Deregulation Act]</w:t>
      </w:r>
      <w:r>
        <w:t xml:space="preserve"> </w:t>
      </w:r>
      <w:r w:rsidRPr="00BB67DD">
        <w:rPr>
          <w:rFonts w:ascii="Times New Roman" w:hAnsi="Times New Roman"/>
          <w:sz w:val="24"/>
          <w:szCs w:val="24"/>
        </w:rPr>
        <w:t xml:space="preserve">expressly preempts states from </w:t>
      </w:r>
      <w:r>
        <w:rPr>
          <w:rFonts w:ascii="Times New Roman" w:hAnsi="Times New Roman"/>
          <w:sz w:val="24"/>
          <w:szCs w:val="24"/>
        </w:rPr>
        <w:t>‘</w:t>
      </w:r>
      <w:r w:rsidRPr="00BB67DD">
        <w:rPr>
          <w:rFonts w:ascii="Times New Roman" w:hAnsi="Times New Roman"/>
          <w:sz w:val="24"/>
          <w:szCs w:val="24"/>
        </w:rPr>
        <w:t>enact[</w:t>
      </w:r>
      <w:proofErr w:type="spellStart"/>
      <w:r w:rsidRPr="00BB67DD">
        <w:rPr>
          <w:rFonts w:ascii="Times New Roman" w:hAnsi="Times New Roman"/>
          <w:sz w:val="24"/>
          <w:szCs w:val="24"/>
        </w:rPr>
        <w:t>ing</w:t>
      </w:r>
      <w:proofErr w:type="spellEnd"/>
      <w:r w:rsidRPr="00BB67DD">
        <w:rPr>
          <w:rFonts w:ascii="Times New Roman" w:hAnsi="Times New Roman"/>
          <w:sz w:val="24"/>
          <w:szCs w:val="24"/>
        </w:rPr>
        <w:t xml:space="preserve">] or </w:t>
      </w:r>
      <w:r>
        <w:rPr>
          <w:rFonts w:ascii="Times New Roman" w:hAnsi="Times New Roman"/>
          <w:sz w:val="24"/>
          <w:szCs w:val="24"/>
        </w:rPr>
        <w:t>enforce[</w:t>
      </w:r>
      <w:proofErr w:type="spellStart"/>
      <w:r w:rsidRPr="00BB67DD">
        <w:rPr>
          <w:rFonts w:ascii="Times New Roman" w:hAnsi="Times New Roman"/>
          <w:sz w:val="24"/>
          <w:szCs w:val="24"/>
        </w:rPr>
        <w:t>ing</w:t>
      </w:r>
      <w:proofErr w:type="spellEnd"/>
      <w:r w:rsidRPr="00BB67DD">
        <w:rPr>
          <w:rFonts w:ascii="Times New Roman" w:hAnsi="Times New Roman"/>
          <w:sz w:val="24"/>
          <w:szCs w:val="24"/>
        </w:rPr>
        <w:t>] a law, regulation, or other provision having the force and effect of law related to a price, route, or service of an air carrier.</w:t>
      </w:r>
      <w:r>
        <w:rPr>
          <w:rFonts w:ascii="Times New Roman" w:hAnsi="Times New Roman"/>
          <w:sz w:val="24"/>
          <w:szCs w:val="24"/>
        </w:rPr>
        <w:t>’</w:t>
      </w:r>
      <w:r w:rsidRPr="00BB67DD">
        <w:rPr>
          <w:rFonts w:ascii="Times New Roman" w:hAnsi="Times New Roman"/>
          <w:sz w:val="24"/>
          <w:szCs w:val="24"/>
        </w:rPr>
        <w:t xml:space="preserve"> 49 U.S.C. § 41713(b).</w:t>
      </w:r>
    </w:p>
    <w:p w14:paraId="0FCDDD4E" w14:textId="77777777" w:rsidR="00EC1BFB" w:rsidRDefault="00EC1BFB" w:rsidP="00EC1BFB">
      <w:pPr>
        <w:pStyle w:val="NormalWeb"/>
        <w:ind w:firstLine="720"/>
      </w:pPr>
      <w:r>
        <w:t>***</w:t>
      </w:r>
    </w:p>
    <w:p w14:paraId="67AFA7DD" w14:textId="77777777" w:rsidR="00EC1BFB" w:rsidRDefault="00EC1BFB" w:rsidP="00EC1BFB">
      <w:pPr>
        <w:pStyle w:val="NormalWeb"/>
        <w:ind w:left="720"/>
      </w:pPr>
      <w:r>
        <w:t xml:space="preserve">We thus conclude that the ADA … preempts both the payment provision and the subscription provision. </w:t>
      </w:r>
      <w:r>
        <w:rPr>
          <w:u w:val="single"/>
        </w:rPr>
        <w:t>See</w:t>
      </w:r>
      <w:r>
        <w:t xml:space="preserve"> </w:t>
      </w:r>
      <w:r>
        <w:rPr>
          <w:u w:val="single"/>
        </w:rPr>
        <w:t>id.</w:t>
      </w:r>
      <w:r>
        <w:t xml:space="preserve"> at 769-70; </w:t>
      </w:r>
      <w:r>
        <w:rPr>
          <w:u w:val="single"/>
        </w:rPr>
        <w:t>Bailey v. Rocky Mountain Holdings, LLC</w:t>
      </w:r>
      <w:r>
        <w:t xml:space="preserve">, 889 F.3d 1259, 1272 (11th Cir. 2018) (holding that the ADA preempts the enforcement of a state statute prohibiting an air ambulance provider's balance billing); </w:t>
      </w:r>
      <w:proofErr w:type="spellStart"/>
      <w:r>
        <w:rPr>
          <w:u w:val="single"/>
        </w:rPr>
        <w:t>EagleMed</w:t>
      </w:r>
      <w:proofErr w:type="spellEnd"/>
      <w:r>
        <w:rPr>
          <w:u w:val="single"/>
        </w:rPr>
        <w:t xml:space="preserve"> LLC v. Cox</w:t>
      </w:r>
      <w:r>
        <w:t>, 868 F.3d 893, 902-04 (10th Cir. 2017) (holding that the ADA preempted a state statute that ‘expressly establish[ed] a mandatory fixed maximum rate that [would] be paid by the State for air-ambulance services provided to injured workers covered by the Worker's Compensation Act’).</w:t>
      </w:r>
    </w:p>
    <w:p w14:paraId="58C7C1C5" w14:textId="77777777" w:rsidR="00EC1BFB" w:rsidRPr="000911B4" w:rsidRDefault="00EC1BFB" w:rsidP="00EC1BFB">
      <w:pPr>
        <w:spacing w:before="100" w:beforeAutospacing="1" w:after="100" w:afterAutospacing="1" w:line="240" w:lineRule="auto"/>
        <w:ind w:left="720"/>
        <w:rPr>
          <w:rFonts w:ascii="Times New Roman" w:hAnsi="Times New Roman"/>
          <w:sz w:val="24"/>
          <w:szCs w:val="24"/>
        </w:rPr>
      </w:pPr>
      <w:r w:rsidRPr="000911B4">
        <w:rPr>
          <w:rFonts w:ascii="Times New Roman" w:hAnsi="Times New Roman"/>
          <w:sz w:val="24"/>
          <w:szCs w:val="24"/>
        </w:rPr>
        <w:t xml:space="preserve">Because North Dakota's subscription provision seeks to regulate the relationship between only a consumer and an air ambulance company, it cannot be said that it was enacted for the purpose of regulating the business of insurance. </w:t>
      </w:r>
      <w:r w:rsidRPr="000911B4">
        <w:rPr>
          <w:rFonts w:ascii="Times New Roman" w:hAnsi="Times New Roman"/>
          <w:sz w:val="24"/>
          <w:szCs w:val="24"/>
          <w:u w:val="single"/>
        </w:rPr>
        <w:t>See</w:t>
      </w:r>
      <w:r w:rsidRPr="000911B4">
        <w:rPr>
          <w:rFonts w:ascii="Times New Roman" w:hAnsi="Times New Roman"/>
          <w:sz w:val="24"/>
          <w:szCs w:val="24"/>
        </w:rPr>
        <w:t xml:space="preserve"> </w:t>
      </w:r>
      <w:proofErr w:type="spellStart"/>
      <w:r w:rsidRPr="000911B4">
        <w:rPr>
          <w:rFonts w:ascii="Times New Roman" w:hAnsi="Times New Roman"/>
          <w:sz w:val="24"/>
          <w:szCs w:val="24"/>
          <w:u w:val="single"/>
        </w:rPr>
        <w:t>Nat'l</w:t>
      </w:r>
      <w:proofErr w:type="spellEnd"/>
      <w:r w:rsidRPr="000911B4">
        <w:rPr>
          <w:rFonts w:ascii="Times New Roman" w:hAnsi="Times New Roman"/>
          <w:sz w:val="24"/>
          <w:szCs w:val="24"/>
          <w:u w:val="single"/>
        </w:rPr>
        <w:t xml:space="preserve"> Sec., Inc.</w:t>
      </w:r>
      <w:r w:rsidRPr="000911B4">
        <w:rPr>
          <w:rFonts w:ascii="Times New Roman" w:hAnsi="Times New Roman"/>
          <w:sz w:val="24"/>
          <w:szCs w:val="24"/>
        </w:rPr>
        <w:t xml:space="preserve">, 393 U.S. at 460; </w:t>
      </w:r>
      <w:r w:rsidRPr="000911B4">
        <w:rPr>
          <w:rFonts w:ascii="Times New Roman" w:hAnsi="Times New Roman"/>
          <w:sz w:val="24"/>
          <w:szCs w:val="24"/>
          <w:u w:val="single"/>
        </w:rPr>
        <w:t>Fabe</w:t>
      </w:r>
      <w:r w:rsidRPr="000911B4">
        <w:rPr>
          <w:rFonts w:ascii="Times New Roman" w:hAnsi="Times New Roman"/>
          <w:sz w:val="24"/>
          <w:szCs w:val="24"/>
        </w:rPr>
        <w:t xml:space="preserve">, 508 U.S. at 505; </w:t>
      </w:r>
      <w:r w:rsidRPr="000911B4">
        <w:rPr>
          <w:rFonts w:ascii="Times New Roman" w:hAnsi="Times New Roman"/>
          <w:sz w:val="24"/>
          <w:szCs w:val="24"/>
          <w:u w:val="single"/>
        </w:rPr>
        <w:t>Taylor</w:t>
      </w:r>
      <w:r w:rsidRPr="000911B4">
        <w:rPr>
          <w:rFonts w:ascii="Times New Roman" w:hAnsi="Times New Roman"/>
          <w:sz w:val="24"/>
          <w:szCs w:val="24"/>
        </w:rPr>
        <w:t xml:space="preserve">, 907 F.2d at 779-80. The McCarran-Ferguson Act thus does not save the subscription agreement from ADA preemption.”  </w:t>
      </w:r>
      <w:hyperlink r:id="rId2307" w:history="1">
        <w:r w:rsidRPr="000911B4">
          <w:rPr>
            <w:rStyle w:val="Hyperlink"/>
            <w:sz w:val="24"/>
            <w:szCs w:val="24"/>
          </w:rPr>
          <w:t>https://www.ca8.uscourts.gov/sites/ca8/files/opinions/191343P.pdf</w:t>
        </w:r>
      </w:hyperlink>
      <w:r w:rsidRPr="000911B4">
        <w:rPr>
          <w:rFonts w:ascii="Times New Roman" w:hAnsi="Times New Roman"/>
          <w:sz w:val="24"/>
          <w:szCs w:val="24"/>
        </w:rPr>
        <w:t xml:space="preserve"> </w:t>
      </w:r>
    </w:p>
    <w:p w14:paraId="1BE4DB4D" w14:textId="77777777" w:rsidR="00EC1BFB" w:rsidRPr="00DD7541" w:rsidRDefault="00EC1BFB" w:rsidP="00EC1BFB">
      <w:pPr>
        <w:spacing w:before="100" w:beforeAutospacing="1" w:after="100" w:afterAutospacing="1" w:line="240" w:lineRule="auto"/>
        <w:rPr>
          <w:rFonts w:ascii="Times New Roman" w:eastAsia="Times New Roman" w:hAnsi="Times New Roman"/>
          <w:sz w:val="24"/>
          <w:szCs w:val="24"/>
        </w:rPr>
      </w:pPr>
      <w:r w:rsidRPr="00C11389">
        <w:rPr>
          <w:rFonts w:ascii="Times New Roman" w:hAnsi="Times New Roman"/>
          <w:b/>
          <w:bCs/>
          <w:sz w:val="24"/>
          <w:szCs w:val="24"/>
        </w:rPr>
        <w:t>Legal Lesson Learned:</w:t>
      </w:r>
      <w:r>
        <w:rPr>
          <w:rFonts w:ascii="Times New Roman" w:hAnsi="Times New Roman"/>
          <w:b/>
          <w:bCs/>
          <w:sz w:val="24"/>
          <w:szCs w:val="24"/>
        </w:rPr>
        <w:t xml:space="preserve">  Air care ambulances, and the airline industry, has strong Federal statutory protection from regulation by States </w:t>
      </w:r>
      <w:r w:rsidRPr="00C11389">
        <w:rPr>
          <w:rFonts w:ascii="Times New Roman" w:hAnsi="Times New Roman"/>
          <w:b/>
          <w:bCs/>
          <w:sz w:val="24"/>
          <w:szCs w:val="24"/>
        </w:rPr>
        <w:t xml:space="preserve">concerning </w:t>
      </w:r>
      <w:r>
        <w:rPr>
          <w:rFonts w:ascii="Times New Roman" w:hAnsi="Times New Roman"/>
          <w:b/>
          <w:bCs/>
          <w:sz w:val="24"/>
          <w:szCs w:val="24"/>
        </w:rPr>
        <w:t>“</w:t>
      </w:r>
      <w:r w:rsidRPr="00DD7541">
        <w:rPr>
          <w:rFonts w:ascii="Times New Roman" w:eastAsia="Times New Roman" w:hAnsi="Times New Roman"/>
          <w:b/>
          <w:bCs/>
          <w:sz w:val="24"/>
          <w:szCs w:val="24"/>
        </w:rPr>
        <w:t>price, route, or service</w:t>
      </w:r>
      <w:r>
        <w:rPr>
          <w:rFonts w:ascii="Times New Roman" w:eastAsia="Times New Roman" w:hAnsi="Times New Roman"/>
          <w:b/>
          <w:bCs/>
          <w:sz w:val="24"/>
          <w:szCs w:val="24"/>
        </w:rPr>
        <w:t>.”</w:t>
      </w:r>
      <w:r>
        <w:rPr>
          <w:rFonts w:ascii="Times New Roman" w:hAnsi="Times New Roman"/>
          <w:b/>
          <w:bCs/>
          <w:sz w:val="24"/>
          <w:szCs w:val="24"/>
        </w:rPr>
        <w:t xml:space="preserve"> </w:t>
      </w:r>
    </w:p>
    <w:p w14:paraId="72388287" w14:textId="77777777" w:rsidR="00EC1BFB" w:rsidRDefault="00EC1BFB" w:rsidP="002B1283">
      <w:pPr>
        <w:rPr>
          <w:rFonts w:ascii="Arial Black" w:hAnsi="Arial Black"/>
          <w:b/>
          <w:bCs/>
          <w:sz w:val="28"/>
          <w:szCs w:val="28"/>
        </w:rPr>
      </w:pPr>
    </w:p>
    <w:p w14:paraId="7419B83E" w14:textId="77777777" w:rsidR="00EC1BFB" w:rsidRDefault="00EC1BFB" w:rsidP="002B1283">
      <w:pPr>
        <w:rPr>
          <w:rFonts w:ascii="Arial Black" w:hAnsi="Arial Black"/>
          <w:b/>
          <w:bCs/>
          <w:sz w:val="28"/>
          <w:szCs w:val="28"/>
        </w:rPr>
      </w:pPr>
    </w:p>
    <w:p w14:paraId="1A3C8B88" w14:textId="5F950CD2" w:rsidR="00274525" w:rsidRDefault="00274525" w:rsidP="002B1283">
      <w:pPr>
        <w:rPr>
          <w:rFonts w:ascii="Arial Black" w:hAnsi="Arial Black"/>
          <w:b/>
          <w:bCs/>
          <w:sz w:val="28"/>
          <w:szCs w:val="28"/>
        </w:rPr>
      </w:pPr>
      <w:r>
        <w:rPr>
          <w:rFonts w:ascii="Arial Black" w:hAnsi="Arial Black"/>
          <w:b/>
          <w:bCs/>
          <w:sz w:val="28"/>
          <w:szCs w:val="28"/>
        </w:rPr>
        <w:t>13-83</w:t>
      </w:r>
    </w:p>
    <w:p w14:paraId="63D542B2" w14:textId="77777777" w:rsidR="00EC1BFB" w:rsidRPr="00891C10" w:rsidRDefault="00EC1BFB" w:rsidP="00EC1BFB">
      <w:pPr>
        <w:pStyle w:val="NoSpacing"/>
        <w:rPr>
          <w:rFonts w:ascii="Arial Black" w:hAnsi="Arial Black"/>
          <w:sz w:val="28"/>
          <w:szCs w:val="28"/>
        </w:rPr>
      </w:pPr>
      <w:r>
        <w:rPr>
          <w:rFonts w:ascii="Arial Black" w:hAnsi="Arial Black"/>
          <w:sz w:val="28"/>
          <w:szCs w:val="28"/>
        </w:rPr>
        <w:t xml:space="preserve">NM: PREGNANT / INMATE - 30 HRS IN LABOR, CHILD DIED – JAIL EMS NOT GOV’T EMPLOYEES, NO GOV’T IMMUNITY </w:t>
      </w:r>
    </w:p>
    <w:p w14:paraId="076C9FFA" w14:textId="77777777" w:rsidR="00EC1BFB" w:rsidRDefault="00EC1BFB" w:rsidP="00EC1BFB">
      <w:pPr>
        <w:pStyle w:val="NoSpacing"/>
      </w:pPr>
    </w:p>
    <w:p w14:paraId="6D41F037" w14:textId="77777777" w:rsidR="00EC1BFB" w:rsidRPr="00B0543C" w:rsidRDefault="00EC1BFB" w:rsidP="00EC1BFB">
      <w:pPr>
        <w:pStyle w:val="NoSpacing"/>
        <w:rPr>
          <w:rFonts w:ascii="Times New Roman" w:hAnsi="Times New Roman"/>
          <w:sz w:val="24"/>
          <w:szCs w:val="24"/>
        </w:rPr>
      </w:pPr>
      <w:r>
        <w:rPr>
          <w:rFonts w:ascii="Times New Roman" w:hAnsi="Times New Roman"/>
          <w:sz w:val="24"/>
          <w:szCs w:val="24"/>
        </w:rPr>
        <w:t xml:space="preserve">On March 2, 2021, in </w:t>
      </w:r>
      <w:r w:rsidRPr="00B0543C">
        <w:rPr>
          <w:rFonts w:ascii="Times New Roman" w:hAnsi="Times New Roman"/>
          <w:sz w:val="24"/>
          <w:szCs w:val="24"/>
          <w:u w:val="single"/>
        </w:rPr>
        <w:t>Shawna Tanner, et al., v, Timothy I. McMurray, et al</w:t>
      </w:r>
      <w:r>
        <w:rPr>
          <w:rFonts w:ascii="Times New Roman" w:hAnsi="Times New Roman"/>
          <w:sz w:val="24"/>
          <w:szCs w:val="24"/>
        </w:rPr>
        <w:t>, the U.S. Court of Appeals for the 10</w:t>
      </w:r>
      <w:r w:rsidRPr="00B0543C">
        <w:rPr>
          <w:rFonts w:ascii="Times New Roman" w:hAnsi="Times New Roman"/>
          <w:sz w:val="24"/>
          <w:szCs w:val="24"/>
          <w:vertAlign w:val="superscript"/>
        </w:rPr>
        <w:t>th</w:t>
      </w:r>
      <w:r>
        <w:rPr>
          <w:rFonts w:ascii="Times New Roman" w:hAnsi="Times New Roman"/>
          <w:sz w:val="24"/>
          <w:szCs w:val="24"/>
        </w:rPr>
        <w:t xml:space="preserve"> Circuit (Denver, CO) held (3 to 0) that the Medical Doctor and RNs are employed full time with Correct Care Solutions, LLC, which provides medical care in 200 jails in 38 states, do not enjoy governmental immunity; case remanded to U.S. District Court judge in New Mexico for trial.  </w:t>
      </w:r>
    </w:p>
    <w:p w14:paraId="15A9693E" w14:textId="77777777" w:rsidR="00EC1BFB" w:rsidRPr="00B0543C" w:rsidRDefault="00EC1BFB" w:rsidP="00EC1BFB">
      <w:pPr>
        <w:spacing w:before="100" w:beforeAutospacing="1" w:after="100" w:afterAutospacing="1" w:line="240" w:lineRule="auto"/>
        <w:ind w:left="720"/>
        <w:rPr>
          <w:rFonts w:ascii="Times New Roman" w:hAnsi="Times New Roman"/>
          <w:sz w:val="24"/>
          <w:szCs w:val="24"/>
        </w:rPr>
      </w:pPr>
      <w:r w:rsidRPr="00B0543C">
        <w:rPr>
          <w:rFonts w:ascii="Times New Roman" w:hAnsi="Times New Roman"/>
          <w:sz w:val="24"/>
          <w:szCs w:val="24"/>
        </w:rPr>
        <w:t>“Tanner was approximately 35 weeks pregnant and in custody at the Metropolitan Detention Center in Bernalillo County, New Mexico.</w:t>
      </w:r>
    </w:p>
    <w:p w14:paraId="1F371B5C" w14:textId="77777777" w:rsidR="00EC1BFB" w:rsidRPr="00B0543C" w:rsidRDefault="00EC1BFB" w:rsidP="00EC1BFB">
      <w:pPr>
        <w:spacing w:before="100" w:beforeAutospacing="1" w:after="100" w:afterAutospacing="1" w:line="240" w:lineRule="auto"/>
        <w:ind w:left="720"/>
        <w:rPr>
          <w:rFonts w:ascii="Times New Roman" w:eastAsia="Times New Roman" w:hAnsi="Times New Roman"/>
          <w:kern w:val="36"/>
          <w:sz w:val="24"/>
          <w:szCs w:val="24"/>
        </w:rPr>
      </w:pPr>
      <w:r w:rsidRPr="00B0543C">
        <w:rPr>
          <w:rFonts w:ascii="Times New Roman" w:hAnsi="Times New Roman"/>
          <w:sz w:val="24"/>
          <w:szCs w:val="24"/>
        </w:rPr>
        <w:t>***</w:t>
      </w:r>
    </w:p>
    <w:p w14:paraId="202155DE" w14:textId="77777777" w:rsidR="00EC1BFB" w:rsidRDefault="00EC1BFB" w:rsidP="00EC1BFB">
      <w:pPr>
        <w:spacing w:before="100" w:beforeAutospacing="1" w:after="100" w:afterAutospacing="1" w:line="240" w:lineRule="auto"/>
        <w:ind w:left="720"/>
        <w:rPr>
          <w:rFonts w:ascii="Times New Roman" w:hAnsi="Times New Roman"/>
          <w:sz w:val="24"/>
          <w:szCs w:val="24"/>
        </w:rPr>
      </w:pPr>
      <w:r w:rsidRPr="00B0543C">
        <w:rPr>
          <w:rFonts w:ascii="Times New Roman" w:hAnsi="Times New Roman"/>
          <w:sz w:val="24"/>
          <w:szCs w:val="24"/>
        </w:rPr>
        <w:lastRenderedPageBreak/>
        <w:t xml:space="preserve">When paramedics arrived, they found Tanner in clear pain, </w:t>
      </w:r>
      <w:proofErr w:type="gramStart"/>
      <w:r w:rsidRPr="00B0543C">
        <w:rPr>
          <w:rFonts w:ascii="Times New Roman" w:hAnsi="Times New Roman"/>
          <w:sz w:val="24"/>
          <w:szCs w:val="24"/>
        </w:rPr>
        <w:t>laying</w:t>
      </w:r>
      <w:proofErr w:type="gramEnd"/>
      <w:r w:rsidRPr="00B0543C">
        <w:rPr>
          <w:rFonts w:ascii="Times New Roman" w:hAnsi="Times New Roman"/>
          <w:sz w:val="24"/>
          <w:szCs w:val="24"/>
        </w:rPr>
        <w:t xml:space="preserve"> on a table in the medical unit, appearing to be in labor. Tanner was "obviously having contractions." Several medical personnel were around Tanner when the paramedics arrived. McMurray was standing alone in the back of the room. When it was suggested that it was McMurray's responsibility to deliver the baby, the doctor shook his head in the negative, threw up his hands, and did not move from the corner. Instead, the paramedics delivered Tanner's child. He was born with his umbilical cord wrapped around his neck. There was no pulse. He was not breathing. McMurray remained silent in the back of the room as a paramedic used a bulb syringe to clear the baby's airway. It was too late. The thirty-hour childbirth ordeal was over. The baby was dead.</w:t>
      </w:r>
    </w:p>
    <w:p w14:paraId="39E7D707" w14:textId="77777777" w:rsidR="00EC1BFB" w:rsidRDefault="00EC1BFB" w:rsidP="00EC1BFB">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p>
    <w:p w14:paraId="0E30F5EC" w14:textId="77777777" w:rsidR="00EC1BFB" w:rsidRPr="00B0543C" w:rsidRDefault="00EC1BFB" w:rsidP="00EC1BFB">
      <w:pPr>
        <w:spacing w:before="100" w:beforeAutospacing="1" w:after="100" w:afterAutospacing="1" w:line="240" w:lineRule="auto"/>
        <w:ind w:left="720"/>
        <w:rPr>
          <w:rFonts w:ascii="Times New Roman" w:hAnsi="Times New Roman"/>
          <w:sz w:val="24"/>
          <w:szCs w:val="24"/>
        </w:rPr>
      </w:pPr>
      <w:r w:rsidRPr="00B0543C">
        <w:rPr>
          <w:rFonts w:ascii="Times New Roman" w:hAnsi="Times New Roman"/>
          <w:sz w:val="24"/>
          <w:szCs w:val="24"/>
        </w:rPr>
        <w:t>Neither historical justifications of special government immunity nor modern policy considerations support the extension of a qualified immunity defense to Appellees—private medical professionals employed full-time by a multi-state, for-profit corporation systematically organized to provide medical care in correctional facilities.</w:t>
      </w:r>
      <w:r>
        <w:rPr>
          <w:rFonts w:ascii="Times New Roman" w:hAnsi="Times New Roman"/>
          <w:sz w:val="24"/>
          <w:szCs w:val="24"/>
        </w:rPr>
        <w:t xml:space="preserve">” </w:t>
      </w:r>
      <w:hyperlink r:id="rId2308" w:history="1">
        <w:r w:rsidRPr="00E277E9">
          <w:rPr>
            <w:rStyle w:val="Hyperlink"/>
            <w:sz w:val="24"/>
            <w:szCs w:val="24"/>
          </w:rPr>
          <w:t>https://www.ca10.uscourts.gov/opinions/19/19-2166.pdf</w:t>
        </w:r>
      </w:hyperlink>
      <w:r>
        <w:rPr>
          <w:rFonts w:ascii="Times New Roman" w:hAnsi="Times New Roman"/>
          <w:sz w:val="24"/>
          <w:szCs w:val="24"/>
        </w:rPr>
        <w:t xml:space="preserve"> </w:t>
      </w:r>
    </w:p>
    <w:p w14:paraId="73D1D987" w14:textId="77777777" w:rsidR="00EC1BFB" w:rsidRPr="00F22EDC" w:rsidRDefault="00EC1BFB" w:rsidP="00EC1BFB">
      <w:pPr>
        <w:pStyle w:val="NoSpacing"/>
        <w:rPr>
          <w:rFonts w:ascii="Times New Roman" w:hAnsi="Times New Roman"/>
          <w:b/>
          <w:bCs/>
          <w:sz w:val="24"/>
          <w:szCs w:val="24"/>
        </w:rPr>
      </w:pPr>
      <w:r w:rsidRPr="00F22EDC">
        <w:rPr>
          <w:rFonts w:ascii="Times New Roman" w:hAnsi="Times New Roman"/>
          <w:b/>
          <w:bCs/>
          <w:sz w:val="24"/>
          <w:szCs w:val="24"/>
        </w:rPr>
        <w:t xml:space="preserve">Legal Lesson Learned: </w:t>
      </w:r>
      <w:r>
        <w:rPr>
          <w:rFonts w:ascii="Times New Roman" w:hAnsi="Times New Roman"/>
          <w:b/>
          <w:bCs/>
          <w:sz w:val="24"/>
          <w:szCs w:val="24"/>
        </w:rPr>
        <w:t xml:space="preserve">EMS working for private </w:t>
      </w:r>
      <w:proofErr w:type="gramStart"/>
      <w:r>
        <w:rPr>
          <w:rFonts w:ascii="Times New Roman" w:hAnsi="Times New Roman"/>
          <w:b/>
          <w:bCs/>
          <w:sz w:val="24"/>
          <w:szCs w:val="24"/>
        </w:rPr>
        <w:t>ambulance</w:t>
      </w:r>
      <w:proofErr w:type="gramEnd"/>
      <w:r>
        <w:rPr>
          <w:rFonts w:ascii="Times New Roman" w:hAnsi="Times New Roman"/>
          <w:b/>
          <w:bCs/>
          <w:sz w:val="24"/>
          <w:szCs w:val="24"/>
        </w:rPr>
        <w:t xml:space="preserve"> or other private </w:t>
      </w:r>
      <w:proofErr w:type="gramStart"/>
      <w:r>
        <w:rPr>
          <w:rFonts w:ascii="Times New Roman" w:hAnsi="Times New Roman"/>
          <w:b/>
          <w:bCs/>
          <w:sz w:val="24"/>
          <w:szCs w:val="24"/>
        </w:rPr>
        <w:t>employer</w:t>
      </w:r>
      <w:proofErr w:type="gramEnd"/>
      <w:r>
        <w:rPr>
          <w:rFonts w:ascii="Times New Roman" w:hAnsi="Times New Roman"/>
          <w:b/>
          <w:bCs/>
          <w:sz w:val="24"/>
          <w:szCs w:val="24"/>
        </w:rPr>
        <w:t xml:space="preserve"> must confirm the employer has insurance to defend and indemnify EMS employees.</w:t>
      </w:r>
    </w:p>
    <w:p w14:paraId="54930528" w14:textId="77777777" w:rsidR="00EC1BFB" w:rsidRPr="00C379C5" w:rsidRDefault="00EC1BFB" w:rsidP="00EC1BFB">
      <w:pPr>
        <w:pStyle w:val="NoSpacing"/>
        <w:ind w:left="720"/>
        <w:rPr>
          <w:rFonts w:ascii="Times New Roman" w:hAnsi="Times New Roman"/>
          <w:sz w:val="24"/>
          <w:szCs w:val="24"/>
        </w:rPr>
      </w:pPr>
    </w:p>
    <w:p w14:paraId="2739A5C7" w14:textId="77777777" w:rsidR="00EC1BFB" w:rsidRPr="00CE063B" w:rsidRDefault="00EC1BFB" w:rsidP="00EC1BFB">
      <w:pPr>
        <w:pStyle w:val="NoSpacing"/>
        <w:ind w:left="1440"/>
        <w:rPr>
          <w:rFonts w:ascii="Times New Roman" w:eastAsia="Times New Roman" w:hAnsi="Times New Roman"/>
          <w:b/>
          <w:bCs/>
          <w:sz w:val="24"/>
          <w:szCs w:val="24"/>
        </w:rPr>
      </w:pPr>
      <w:r>
        <w:rPr>
          <w:rFonts w:ascii="Times New Roman" w:hAnsi="Times New Roman"/>
          <w:sz w:val="24"/>
          <w:szCs w:val="24"/>
        </w:rPr>
        <w:t xml:space="preserve">Note:  Part-time or contract personnel performing services for a </w:t>
      </w:r>
      <w:proofErr w:type="gramStart"/>
      <w:r>
        <w:rPr>
          <w:rFonts w:ascii="Times New Roman" w:hAnsi="Times New Roman"/>
          <w:sz w:val="24"/>
          <w:szCs w:val="24"/>
        </w:rPr>
        <w:t>Government</w:t>
      </w:r>
      <w:proofErr w:type="gramEnd"/>
      <w:r>
        <w:rPr>
          <w:rFonts w:ascii="Times New Roman" w:hAnsi="Times New Roman"/>
          <w:sz w:val="24"/>
          <w:szCs w:val="24"/>
        </w:rPr>
        <w:t xml:space="preserve"> employer may enjoy governmental immunity.  The U.S. Supreme Court is </w:t>
      </w:r>
      <w:proofErr w:type="spellStart"/>
      <w:r w:rsidRPr="002934BB">
        <w:rPr>
          <w:rFonts w:ascii="Times New Roman" w:hAnsi="Times New Roman"/>
          <w:sz w:val="24"/>
          <w:szCs w:val="24"/>
          <w:u w:val="single"/>
        </w:rPr>
        <w:t>Filarsky</w:t>
      </w:r>
      <w:proofErr w:type="spellEnd"/>
      <w:r w:rsidRPr="002934BB">
        <w:rPr>
          <w:rFonts w:ascii="Times New Roman" w:hAnsi="Times New Roman"/>
          <w:sz w:val="24"/>
          <w:szCs w:val="24"/>
          <w:u w:val="single"/>
        </w:rPr>
        <w:t xml:space="preserve"> v. Delia</w:t>
      </w:r>
      <w:r w:rsidRPr="002934BB">
        <w:rPr>
          <w:rFonts w:ascii="Times New Roman" w:hAnsi="Times New Roman"/>
          <w:sz w:val="24"/>
          <w:szCs w:val="24"/>
        </w:rPr>
        <w:t>, 566 U.S. 377 (2012</w:t>
      </w:r>
      <w:r>
        <w:rPr>
          <w:rFonts w:ascii="Times New Roman" w:hAnsi="Times New Roman"/>
          <w:sz w:val="24"/>
          <w:szCs w:val="24"/>
        </w:rPr>
        <w:t>), held (9 to 0) that an attorney retained by a Fire Department to conduct an investigation of a firefighter off work on injury leave while allegedly doing heavy repairs of on his home [he brought out to his front lawn four rolls of insulation] has governmental immunity.  “[I]</w:t>
      </w:r>
      <w:proofErr w:type="spellStart"/>
      <w:r w:rsidRPr="00CE063B">
        <w:rPr>
          <w:rFonts w:ascii="Times New Roman" w:hAnsi="Times New Roman"/>
          <w:sz w:val="24"/>
          <w:szCs w:val="24"/>
        </w:rPr>
        <w:t>mmunity</w:t>
      </w:r>
      <w:proofErr w:type="spellEnd"/>
      <w:r w:rsidRPr="00CE063B">
        <w:rPr>
          <w:rFonts w:ascii="Times New Roman" w:hAnsi="Times New Roman"/>
          <w:sz w:val="24"/>
          <w:szCs w:val="24"/>
        </w:rPr>
        <w:t xml:space="preserve"> under §1983 should not vary depending on whether an individual working for the government does so as a</w:t>
      </w:r>
      <w:r>
        <w:rPr>
          <w:rFonts w:ascii="Times New Roman" w:hAnsi="Times New Roman"/>
          <w:sz w:val="24"/>
          <w:szCs w:val="24"/>
        </w:rPr>
        <w:t xml:space="preserve"> </w:t>
      </w:r>
      <w:r w:rsidRPr="00CE063B">
        <w:rPr>
          <w:rFonts w:ascii="Times New Roman" w:hAnsi="Times New Roman"/>
          <w:sz w:val="24"/>
          <w:szCs w:val="24"/>
        </w:rPr>
        <w:t>full-time employee, or on some other basis.</w:t>
      </w:r>
      <w:r>
        <w:rPr>
          <w:rFonts w:ascii="Times New Roman" w:hAnsi="Times New Roman"/>
          <w:sz w:val="24"/>
          <w:szCs w:val="24"/>
        </w:rPr>
        <w:t xml:space="preserve">” </w:t>
      </w:r>
      <w:hyperlink r:id="rId2309" w:history="1">
        <w:r w:rsidRPr="00E277E9">
          <w:rPr>
            <w:rStyle w:val="Hyperlink"/>
            <w:sz w:val="24"/>
            <w:szCs w:val="24"/>
          </w:rPr>
          <w:t>https://www.supremecourt.gov/opinions/11pdf/10-1018.pdf</w:t>
        </w:r>
      </w:hyperlink>
      <w:r>
        <w:rPr>
          <w:rFonts w:ascii="Times New Roman" w:hAnsi="Times New Roman"/>
          <w:sz w:val="24"/>
          <w:szCs w:val="24"/>
        </w:rPr>
        <w:t xml:space="preserve"> </w:t>
      </w:r>
    </w:p>
    <w:p w14:paraId="69997964" w14:textId="77777777" w:rsidR="00EC1BFB" w:rsidRDefault="00EC1BFB" w:rsidP="00EC1BFB">
      <w:pPr>
        <w:pStyle w:val="NoSpacing"/>
        <w:ind w:left="720"/>
        <w:rPr>
          <w:rFonts w:ascii="Times New Roman" w:hAnsi="Times New Roman"/>
          <w:sz w:val="24"/>
          <w:szCs w:val="24"/>
        </w:rPr>
      </w:pPr>
    </w:p>
    <w:p w14:paraId="3FD2D0B6" w14:textId="77777777" w:rsidR="00EC1BFB" w:rsidRDefault="00EC1BFB" w:rsidP="00EC1BFB">
      <w:pPr>
        <w:pStyle w:val="NoSpacing"/>
        <w:ind w:left="720" w:firstLine="720"/>
        <w:rPr>
          <w:rFonts w:ascii="Times New Roman" w:hAnsi="Times New Roman"/>
          <w:sz w:val="24"/>
          <w:szCs w:val="24"/>
        </w:rPr>
      </w:pPr>
      <w:r>
        <w:rPr>
          <w:rFonts w:ascii="Times New Roman" w:hAnsi="Times New Roman"/>
          <w:sz w:val="24"/>
          <w:szCs w:val="24"/>
        </w:rPr>
        <w:t>In Ohio, Medical Directors also enjoy immunity:</w:t>
      </w:r>
    </w:p>
    <w:p w14:paraId="159DB8BA" w14:textId="77777777" w:rsidR="00EC1BFB" w:rsidRDefault="00EC1BFB" w:rsidP="00EC1BFB">
      <w:pPr>
        <w:pStyle w:val="NoSpacing"/>
        <w:ind w:left="720" w:firstLine="720"/>
        <w:rPr>
          <w:rFonts w:ascii="Times New Roman" w:hAnsi="Times New Roman"/>
          <w:sz w:val="24"/>
          <w:szCs w:val="24"/>
        </w:rPr>
      </w:pPr>
      <w:hyperlink r:id="rId2310" w:history="1">
        <w:r w:rsidRPr="00D60E44">
          <w:rPr>
            <w:rStyle w:val="Hyperlink"/>
            <w:sz w:val="24"/>
            <w:szCs w:val="24"/>
          </w:rPr>
          <w:t>https://codes.ohio.gov/ohio-revised-code/section-4765.49</w:t>
        </w:r>
      </w:hyperlink>
      <w:r>
        <w:rPr>
          <w:rFonts w:ascii="Times New Roman" w:hAnsi="Times New Roman"/>
          <w:sz w:val="24"/>
          <w:szCs w:val="24"/>
        </w:rPr>
        <w:t xml:space="preserve"> </w:t>
      </w:r>
    </w:p>
    <w:p w14:paraId="5EC46C8B" w14:textId="77777777" w:rsidR="00EC1BFB" w:rsidRDefault="00EC1BFB" w:rsidP="00EC1BFB">
      <w:pPr>
        <w:pStyle w:val="NoSpacing"/>
        <w:ind w:left="1440"/>
        <w:rPr>
          <w:rFonts w:ascii="Times New Roman" w:hAnsi="Times New Roman"/>
          <w:sz w:val="24"/>
          <w:szCs w:val="24"/>
        </w:rPr>
      </w:pPr>
      <w:r>
        <w:rPr>
          <w:rFonts w:ascii="Times New Roman" w:hAnsi="Times New Roman"/>
          <w:sz w:val="24"/>
          <w:szCs w:val="24"/>
        </w:rPr>
        <w:t>4765.49 (A): “</w:t>
      </w:r>
      <w:r w:rsidRPr="00F22EDC">
        <w:rPr>
          <w:rFonts w:ascii="Times New Roman" w:hAnsi="Times New Roman"/>
          <w:sz w:val="24"/>
          <w:szCs w:val="24"/>
        </w:rPr>
        <w:t>Medical directors and members of cooperating physician advisory boards of emergency medical service organizations are not liable in damages in a civil action for injury, death, or loss to person or property resulting from their acts or omissions in the performance of their duties, unless the act or omission constitutes willful or wanton misconduct.</w:t>
      </w:r>
      <w:r>
        <w:rPr>
          <w:rFonts w:ascii="Times New Roman" w:hAnsi="Times New Roman"/>
          <w:sz w:val="24"/>
          <w:szCs w:val="24"/>
        </w:rPr>
        <w:t>”</w:t>
      </w:r>
    </w:p>
    <w:p w14:paraId="3084FA72" w14:textId="77777777" w:rsidR="00EC1BFB" w:rsidRDefault="00EC1BFB" w:rsidP="00EC1BFB">
      <w:pPr>
        <w:pStyle w:val="NoSpacing"/>
        <w:ind w:left="720"/>
        <w:rPr>
          <w:rFonts w:ascii="Times New Roman" w:hAnsi="Times New Roman"/>
          <w:sz w:val="24"/>
          <w:szCs w:val="24"/>
        </w:rPr>
      </w:pPr>
    </w:p>
    <w:p w14:paraId="7888BB1B" w14:textId="77777777" w:rsidR="00EC1BFB" w:rsidRDefault="00EC1BFB" w:rsidP="00EC1BFB">
      <w:pPr>
        <w:pStyle w:val="NoSpacing"/>
        <w:ind w:left="1440"/>
        <w:rPr>
          <w:rFonts w:ascii="Times New Roman" w:hAnsi="Times New Roman"/>
          <w:sz w:val="24"/>
          <w:szCs w:val="24"/>
        </w:rPr>
      </w:pPr>
      <w:r>
        <w:rPr>
          <w:rFonts w:ascii="Times New Roman" w:hAnsi="Times New Roman"/>
          <w:sz w:val="24"/>
          <w:szCs w:val="24"/>
        </w:rPr>
        <w:t xml:space="preserve">In addition, in Ohio a private ambulance company rendering 911 services to the public under a contract with a government enjoy immunity: </w:t>
      </w:r>
      <w:hyperlink r:id="rId2311" w:history="1">
        <w:r w:rsidRPr="00E277E9">
          <w:rPr>
            <w:rStyle w:val="Hyperlink"/>
            <w:sz w:val="24"/>
            <w:szCs w:val="24"/>
          </w:rPr>
          <w:t>https://codes.ohio.gov/ohio-revised-code/section-4765.49</w:t>
        </w:r>
      </w:hyperlink>
      <w:r>
        <w:rPr>
          <w:rFonts w:ascii="Times New Roman" w:hAnsi="Times New Roman"/>
          <w:sz w:val="24"/>
          <w:szCs w:val="24"/>
        </w:rPr>
        <w:t xml:space="preserve"> </w:t>
      </w:r>
    </w:p>
    <w:p w14:paraId="307EF6E4" w14:textId="77777777" w:rsidR="00EC1BFB" w:rsidRPr="00CD0AF1" w:rsidRDefault="00EC1BFB" w:rsidP="00EC1BFB">
      <w:pPr>
        <w:pStyle w:val="NoSpacing"/>
        <w:ind w:left="1440"/>
        <w:rPr>
          <w:rFonts w:ascii="Times New Roman" w:hAnsi="Times New Roman"/>
          <w:sz w:val="24"/>
          <w:szCs w:val="24"/>
        </w:rPr>
      </w:pPr>
      <w:r w:rsidRPr="00CD0AF1">
        <w:rPr>
          <w:rFonts w:ascii="Times New Roman" w:hAnsi="Times New Roman"/>
          <w:sz w:val="24"/>
          <w:szCs w:val="24"/>
        </w:rPr>
        <w:t xml:space="preserve">4765.49(B):  </w:t>
      </w:r>
      <w:r>
        <w:rPr>
          <w:rFonts w:ascii="Times New Roman" w:hAnsi="Times New Roman"/>
          <w:sz w:val="24"/>
          <w:szCs w:val="24"/>
        </w:rPr>
        <w:t>“</w:t>
      </w:r>
      <w:r w:rsidRPr="00CD0AF1">
        <w:rPr>
          <w:rFonts w:ascii="Times New Roman" w:hAnsi="Times New Roman"/>
          <w:sz w:val="24"/>
          <w:szCs w:val="24"/>
        </w:rPr>
        <w:t>A political subdivision, joint ambulance district, joint emergency medical services district, or other public agency, and any officer or employee of a public agency or of a private organization operating under contract or in joint agreement with one or more political subdivisions, that provides emergency medical services, or that enters into a joint agreement or a contract with the state, any political subdivision, joint ambulance district, or joint emergency medical services district for the provision of emergency medical services, is not liable in damages in a civil action for injury, death, or loss to person or property arising out of any actions taken by a first responder, EMT-basic, EMT-I, or paramedic working under the officer's or employee's jurisdiction, or for injury, death, or loss to person or property arising out of any actions of licensed medical personnel advising or assisting the first responder, EMT-basic, EMT-I, or paramedic, unless the services are provided in a manner that constitutes willful or wanton misconduct.</w:t>
      </w:r>
      <w:r>
        <w:rPr>
          <w:rFonts w:ascii="Times New Roman" w:hAnsi="Times New Roman"/>
          <w:sz w:val="24"/>
          <w:szCs w:val="24"/>
        </w:rPr>
        <w:t>”</w:t>
      </w:r>
    </w:p>
    <w:p w14:paraId="11D25AE1" w14:textId="77777777" w:rsidR="00EC1BFB" w:rsidRDefault="00EC1BFB" w:rsidP="00EC1BFB">
      <w:pPr>
        <w:pStyle w:val="NoSpacing"/>
        <w:ind w:left="1440"/>
        <w:rPr>
          <w:rFonts w:ascii="Times New Roman" w:hAnsi="Times New Roman"/>
          <w:sz w:val="24"/>
          <w:szCs w:val="24"/>
        </w:rPr>
      </w:pPr>
    </w:p>
    <w:p w14:paraId="7D77466A" w14:textId="77777777" w:rsidR="00EC1BFB" w:rsidRDefault="00EC1BFB" w:rsidP="002B1283">
      <w:pPr>
        <w:rPr>
          <w:rFonts w:ascii="Arial Black" w:hAnsi="Arial Black"/>
          <w:b/>
          <w:bCs/>
          <w:sz w:val="28"/>
          <w:szCs w:val="28"/>
        </w:rPr>
      </w:pPr>
    </w:p>
    <w:p w14:paraId="6186A8EF" w14:textId="77777777" w:rsidR="00274525" w:rsidRDefault="00274525" w:rsidP="002B1283">
      <w:pPr>
        <w:rPr>
          <w:rFonts w:ascii="Arial Black" w:hAnsi="Arial Black"/>
          <w:b/>
          <w:bCs/>
          <w:sz w:val="28"/>
          <w:szCs w:val="28"/>
        </w:rPr>
      </w:pPr>
    </w:p>
    <w:p w14:paraId="1F70E9CD" w14:textId="1FC19BE7" w:rsidR="00EB2493" w:rsidRDefault="00EB2493" w:rsidP="002B1283">
      <w:pPr>
        <w:rPr>
          <w:rFonts w:ascii="Arial Black" w:hAnsi="Arial Black"/>
          <w:b/>
          <w:bCs/>
          <w:sz w:val="28"/>
          <w:szCs w:val="28"/>
        </w:rPr>
      </w:pPr>
      <w:r>
        <w:rPr>
          <w:rFonts w:ascii="Arial Black" w:hAnsi="Arial Black"/>
          <w:b/>
          <w:bCs/>
          <w:sz w:val="28"/>
          <w:szCs w:val="28"/>
        </w:rPr>
        <w:t>13-82</w:t>
      </w:r>
    </w:p>
    <w:p w14:paraId="4580C346" w14:textId="77777777" w:rsidR="00EB2493" w:rsidRPr="00350A69" w:rsidRDefault="00EB2493" w:rsidP="00EB2493">
      <w:pPr>
        <w:spacing w:after="100" w:line="240" w:lineRule="auto"/>
        <w:rPr>
          <w:rFonts w:ascii="Arial Black" w:hAnsi="Arial Black"/>
          <w:sz w:val="28"/>
          <w:szCs w:val="28"/>
        </w:rPr>
      </w:pPr>
      <w:r>
        <w:rPr>
          <w:rFonts w:ascii="Arial Black" w:hAnsi="Arial Black"/>
          <w:sz w:val="28"/>
          <w:szCs w:val="28"/>
        </w:rPr>
        <w:t xml:space="preserve">MD: GOOD SAMARITAN IMMUNITY – DRUG USERS PASSED OUT IN VEHICLE - 911 CALLED, REFUSED EMS </w:t>
      </w:r>
    </w:p>
    <w:p w14:paraId="77D03C0D" w14:textId="77777777" w:rsidR="00EB2493" w:rsidRDefault="00EB2493" w:rsidP="00EB2493">
      <w:pPr>
        <w:spacing w:after="100" w:line="240" w:lineRule="auto"/>
        <w:rPr>
          <w:rFonts w:ascii="Times New Roman" w:hAnsi="Times New Roman"/>
          <w:sz w:val="24"/>
          <w:szCs w:val="24"/>
        </w:rPr>
      </w:pPr>
      <w:r>
        <w:rPr>
          <w:rFonts w:ascii="Times New Roman" w:hAnsi="Times New Roman"/>
          <w:sz w:val="24"/>
          <w:szCs w:val="24"/>
        </w:rPr>
        <w:t xml:space="preserve">On Feb. 24, 2021, in </w:t>
      </w:r>
      <w:r w:rsidRPr="00350A69">
        <w:rPr>
          <w:rFonts w:ascii="Times New Roman" w:hAnsi="Times New Roman"/>
          <w:sz w:val="24"/>
          <w:szCs w:val="24"/>
          <w:u w:val="single"/>
        </w:rPr>
        <w:t>Damian Gerety and Brian Antkowiak v. State of Maryland</w:t>
      </w:r>
      <w:r>
        <w:rPr>
          <w:rFonts w:ascii="Times New Roman" w:hAnsi="Times New Roman"/>
          <w:sz w:val="24"/>
          <w:szCs w:val="24"/>
        </w:rPr>
        <w:t xml:space="preserve">, the Court of Special Appeals of the State of Maryland, held 3 to 0 that the convictions for possession of heroin are reversed, based on the state’s Good Samaritan immunity statute. </w:t>
      </w:r>
    </w:p>
    <w:p w14:paraId="0A9CC6F2" w14:textId="77777777" w:rsidR="00EB2493" w:rsidRDefault="00EB2493" w:rsidP="00EB2493">
      <w:pPr>
        <w:spacing w:after="100" w:line="240" w:lineRule="auto"/>
        <w:ind w:left="720"/>
        <w:rPr>
          <w:rFonts w:ascii="Times New Roman" w:hAnsi="Times New Roman"/>
          <w:sz w:val="24"/>
          <w:szCs w:val="24"/>
        </w:rPr>
      </w:pPr>
      <w:r w:rsidRPr="0027492D">
        <w:rPr>
          <w:rFonts w:ascii="Times New Roman" w:hAnsi="Times New Roman"/>
          <w:sz w:val="24"/>
          <w:szCs w:val="24"/>
        </w:rPr>
        <w:t>“We hold that because the police were present at the scene and discovered the evidence supporting the charges "solely as a result" of a call for medical assistance, Mr. Gerety and Ms. Antkowiak were immune from prosecution, and we reverse the convictions.</w:t>
      </w:r>
    </w:p>
    <w:p w14:paraId="3B88EE15" w14:textId="77777777" w:rsidR="00EB2493" w:rsidRDefault="00EB2493" w:rsidP="00EB2493">
      <w:pPr>
        <w:spacing w:after="100" w:line="240" w:lineRule="auto"/>
        <w:ind w:left="720"/>
        <w:rPr>
          <w:rFonts w:ascii="Times New Roman" w:hAnsi="Times New Roman"/>
          <w:sz w:val="24"/>
          <w:szCs w:val="24"/>
        </w:rPr>
      </w:pPr>
      <w:r>
        <w:rPr>
          <w:rFonts w:ascii="Times New Roman" w:hAnsi="Times New Roman"/>
          <w:sz w:val="24"/>
          <w:szCs w:val="24"/>
        </w:rPr>
        <w:t>***</w:t>
      </w:r>
    </w:p>
    <w:p w14:paraId="0F227000" w14:textId="77777777" w:rsidR="00EB2493" w:rsidRDefault="00EB2493" w:rsidP="00EB2493">
      <w:pPr>
        <w:spacing w:after="100" w:line="240" w:lineRule="auto"/>
        <w:ind w:left="720"/>
        <w:rPr>
          <w:rFonts w:ascii="Times New Roman" w:hAnsi="Times New Roman"/>
          <w:sz w:val="24"/>
          <w:szCs w:val="24"/>
        </w:rPr>
      </w:pPr>
      <w:r w:rsidRPr="0027492D">
        <w:rPr>
          <w:rFonts w:ascii="Times New Roman" w:hAnsi="Times New Roman"/>
          <w:sz w:val="24"/>
          <w:szCs w:val="24"/>
        </w:rPr>
        <w:t xml:space="preserve">Put another way, § 1-210 asks a different question: why were officers at the scene in the first place? If they were there solely </w:t>
      </w:r>
      <w:proofErr w:type="gramStart"/>
      <w:r w:rsidRPr="0027492D">
        <w:rPr>
          <w:rFonts w:ascii="Times New Roman" w:hAnsi="Times New Roman"/>
          <w:sz w:val="24"/>
          <w:szCs w:val="24"/>
        </w:rPr>
        <w:t>as a result of</w:t>
      </w:r>
      <w:proofErr w:type="gramEnd"/>
      <w:r w:rsidRPr="0027492D">
        <w:rPr>
          <w:rFonts w:ascii="Times New Roman" w:hAnsi="Times New Roman"/>
          <w:sz w:val="24"/>
          <w:szCs w:val="24"/>
        </w:rPr>
        <w:t xml:space="preserve"> a call for emergency medical assistance, the caller and recipient(s) of assistance are immune from prosecution for the listed charges, whatever evidence might properly have been seized.</w:t>
      </w:r>
      <w:r>
        <w:rPr>
          <w:rFonts w:ascii="Times New Roman" w:hAnsi="Times New Roman"/>
          <w:sz w:val="24"/>
          <w:szCs w:val="24"/>
        </w:rPr>
        <w:t xml:space="preserve">”  </w:t>
      </w:r>
      <w:hyperlink r:id="rId2312" w:history="1">
        <w:r w:rsidRPr="00800310">
          <w:rPr>
            <w:rStyle w:val="Hyperlink"/>
            <w:rFonts w:ascii="Times New Roman" w:hAnsi="Times New Roman"/>
            <w:sz w:val="24"/>
            <w:szCs w:val="24"/>
          </w:rPr>
          <w:t>https://law.justia.com/cases/maryland/court-of-special-appeals/2021/2349-19.html</w:t>
        </w:r>
      </w:hyperlink>
      <w:r>
        <w:rPr>
          <w:rFonts w:ascii="Times New Roman" w:hAnsi="Times New Roman"/>
          <w:sz w:val="24"/>
          <w:szCs w:val="24"/>
        </w:rPr>
        <w:t xml:space="preserve"> </w:t>
      </w:r>
    </w:p>
    <w:p w14:paraId="58EDC0ED" w14:textId="77777777" w:rsidR="00EB2493" w:rsidRDefault="00EB2493" w:rsidP="00EB2493">
      <w:pPr>
        <w:pStyle w:val="NormalWeb"/>
        <w:rPr>
          <w:b/>
          <w:bCs/>
        </w:rPr>
      </w:pPr>
      <w:r w:rsidRPr="0023546F">
        <w:rPr>
          <w:b/>
          <w:bCs/>
        </w:rPr>
        <w:t>Legal Lesson Learned:</w:t>
      </w:r>
      <w:r>
        <w:rPr>
          <w:b/>
          <w:bCs/>
        </w:rPr>
        <w:t xml:space="preserve">  Many states have enacted Good Samaritan statutes to encourage drug users and others to call 911.</w:t>
      </w:r>
    </w:p>
    <w:p w14:paraId="340F35B1" w14:textId="77777777" w:rsidR="00EB2493" w:rsidRPr="00B07A9F" w:rsidRDefault="00EB2493" w:rsidP="00EB2493">
      <w:pPr>
        <w:pStyle w:val="NormalWeb"/>
        <w:ind w:left="720"/>
      </w:pPr>
      <w:r w:rsidRPr="00B07A9F">
        <w:t xml:space="preserve">Note: “Although the Minnesota statute was enacted the same year as CP § 1-210 and the Pennsylvania statute followed passage of the Maryland bill, the Illinois and Vermont statutes preceded our Good Samaritan.   Virginia makes explicit in its Good Samaritan statute that if the request for medical assistance is made during the execution of a search warrant or during an arrest, the immunity provisions don't apply. </w:t>
      </w:r>
      <w:r w:rsidRPr="00B07A9F">
        <w:rPr>
          <w:i/>
          <w:iCs/>
        </w:rPr>
        <w:t>See</w:t>
      </w:r>
      <w:r w:rsidRPr="00B07A9F">
        <w:t xml:space="preserve"> Va. Code Ann. § 18.2-251.03.C (immunity protections do not apply ‘to any person who seeks or obtains emergency medical attention for himself or another individual, or to a person experiencing an overdose when another individual seeks or obtains emergency medical attention for him, </w:t>
      </w:r>
      <w:r w:rsidRPr="00B07A9F">
        <w:rPr>
          <w:i/>
          <w:iCs/>
        </w:rPr>
        <w:t>during the execution of a search warrant or during the conduct of a lawful search or a lawful arrest</w:t>
      </w:r>
      <w:r w:rsidRPr="00B07A9F">
        <w:t>) (emphasis added).”</w:t>
      </w:r>
    </w:p>
    <w:p w14:paraId="6D50959C" w14:textId="77777777" w:rsidR="00EB2493" w:rsidRDefault="00EB2493" w:rsidP="002B1283">
      <w:pPr>
        <w:rPr>
          <w:rFonts w:ascii="Arial Black" w:hAnsi="Arial Black"/>
          <w:b/>
          <w:bCs/>
          <w:sz w:val="28"/>
          <w:szCs w:val="28"/>
        </w:rPr>
      </w:pPr>
    </w:p>
    <w:p w14:paraId="12A9A9A8" w14:textId="0D66C61F" w:rsidR="00EB2493" w:rsidRDefault="00EB2493" w:rsidP="002B1283">
      <w:pPr>
        <w:rPr>
          <w:rFonts w:ascii="Arial Black" w:hAnsi="Arial Black"/>
          <w:b/>
          <w:bCs/>
          <w:sz w:val="28"/>
          <w:szCs w:val="28"/>
        </w:rPr>
      </w:pPr>
      <w:r>
        <w:rPr>
          <w:rFonts w:ascii="Arial Black" w:hAnsi="Arial Black"/>
          <w:b/>
          <w:bCs/>
          <w:sz w:val="28"/>
          <w:szCs w:val="28"/>
        </w:rPr>
        <w:t>13-81</w:t>
      </w:r>
    </w:p>
    <w:p w14:paraId="22EFB7A3" w14:textId="77777777" w:rsidR="00EB2493" w:rsidRPr="006B7CE6" w:rsidRDefault="00EB2493" w:rsidP="00EB2493">
      <w:pPr>
        <w:rPr>
          <w:rFonts w:ascii="Arial Black" w:hAnsi="Arial Black"/>
          <w:sz w:val="28"/>
          <w:szCs w:val="28"/>
        </w:rPr>
      </w:pPr>
      <w:bookmarkStart w:id="450" w:name="_Hlk66949400"/>
      <w:r>
        <w:rPr>
          <w:rFonts w:ascii="Arial Black" w:hAnsi="Arial Black"/>
          <w:sz w:val="28"/>
          <w:szCs w:val="28"/>
        </w:rPr>
        <w:t xml:space="preserve">MD: SWAT TRAINING IN POOL – CPR - BAG VALUE MASK MISSING, PD DIED – NOT FED. CASE – DIDN’T “SHOCK CONSCIOUS” </w:t>
      </w:r>
    </w:p>
    <w:p w14:paraId="6164AAC0" w14:textId="77777777" w:rsidR="00EB2493" w:rsidRDefault="00EB2493" w:rsidP="00EB2493">
      <w:pPr>
        <w:spacing w:before="100" w:beforeAutospacing="1" w:after="100" w:afterAutospacing="1" w:line="240" w:lineRule="auto"/>
        <w:rPr>
          <w:rFonts w:ascii="Times New Roman" w:hAnsi="Times New Roman"/>
          <w:sz w:val="24"/>
          <w:szCs w:val="24"/>
        </w:rPr>
      </w:pPr>
      <w:r w:rsidRPr="006B7CE6">
        <w:rPr>
          <w:rFonts w:ascii="Times New Roman" w:hAnsi="Times New Roman"/>
          <w:sz w:val="24"/>
          <w:szCs w:val="24"/>
        </w:rPr>
        <w:t xml:space="preserve">On Feb. 22, 2021, in </w:t>
      </w:r>
      <w:r w:rsidRPr="006B7CE6">
        <w:rPr>
          <w:rFonts w:ascii="Times New Roman" w:hAnsi="Times New Roman"/>
          <w:sz w:val="24"/>
          <w:szCs w:val="24"/>
          <w:u w:val="single"/>
        </w:rPr>
        <w:t>Rebeca Sable v. Baltimore County Government, et al.</w:t>
      </w:r>
      <w:r w:rsidRPr="006B7CE6">
        <w:rPr>
          <w:rFonts w:ascii="Times New Roman" w:hAnsi="Times New Roman"/>
          <w:sz w:val="24"/>
          <w:szCs w:val="24"/>
        </w:rPr>
        <w:t xml:space="preserve">, </w:t>
      </w:r>
      <w:r>
        <w:rPr>
          <w:rFonts w:ascii="Times New Roman" w:hAnsi="Times New Roman"/>
          <w:sz w:val="24"/>
          <w:szCs w:val="24"/>
        </w:rPr>
        <w:t>United States Magistrate Judge J. Mark Coulson granted the defendants’ motion to dismiss the County and two Medics since facts alleged in their complaint, while possibly showing negligence, did not meet the U.S. Supreme Court’s “shock the conscious” test for alleged Federal violations of the Due Process Clause of 14</w:t>
      </w:r>
      <w:r w:rsidRPr="00B32F68">
        <w:rPr>
          <w:rFonts w:ascii="Times New Roman" w:hAnsi="Times New Roman"/>
          <w:sz w:val="24"/>
          <w:szCs w:val="24"/>
          <w:vertAlign w:val="superscript"/>
        </w:rPr>
        <w:t>th</w:t>
      </w:r>
      <w:r>
        <w:rPr>
          <w:rFonts w:ascii="Times New Roman" w:hAnsi="Times New Roman"/>
          <w:sz w:val="24"/>
          <w:szCs w:val="24"/>
        </w:rPr>
        <w:t xml:space="preserve"> Amendment, as required by U.S. Supreme Court in </w:t>
      </w:r>
      <w:r w:rsidRPr="003A213C">
        <w:rPr>
          <w:rFonts w:ascii="Times New Roman" w:hAnsi="Times New Roman"/>
          <w:i/>
          <w:iCs/>
          <w:sz w:val="24"/>
          <w:szCs w:val="24"/>
        </w:rPr>
        <w:t>County of Sacramento v</w:t>
      </w:r>
      <w:r w:rsidRPr="003A213C">
        <w:rPr>
          <w:rFonts w:ascii="Times New Roman" w:hAnsi="Times New Roman"/>
          <w:sz w:val="24"/>
          <w:szCs w:val="24"/>
        </w:rPr>
        <w:t xml:space="preserve">. </w:t>
      </w:r>
      <w:r w:rsidRPr="003A213C">
        <w:rPr>
          <w:rFonts w:ascii="Times New Roman" w:hAnsi="Times New Roman"/>
          <w:i/>
          <w:iCs/>
          <w:sz w:val="24"/>
          <w:szCs w:val="24"/>
        </w:rPr>
        <w:t>Lewis</w:t>
      </w:r>
      <w:r w:rsidRPr="003A213C">
        <w:rPr>
          <w:rFonts w:ascii="Times New Roman" w:hAnsi="Times New Roman"/>
          <w:sz w:val="24"/>
          <w:szCs w:val="24"/>
        </w:rPr>
        <w:t xml:space="preserve">, </w:t>
      </w:r>
      <w:hyperlink r:id="rId2313" w:anchor="p848" w:history="1">
        <w:r w:rsidRPr="003A213C">
          <w:rPr>
            <w:rStyle w:val="Hyperlink"/>
            <w:rFonts w:ascii="Times New Roman" w:hAnsi="Times New Roman"/>
            <w:sz w:val="24"/>
            <w:szCs w:val="24"/>
          </w:rPr>
          <w:t>523 U.S. 833, 848</w:t>
        </w:r>
      </w:hyperlink>
      <w:r w:rsidRPr="003A213C">
        <w:rPr>
          <w:rFonts w:ascii="Times New Roman" w:hAnsi="Times New Roman"/>
          <w:sz w:val="24"/>
          <w:szCs w:val="24"/>
        </w:rPr>
        <w:t xml:space="preserve"> (1998)</w:t>
      </w:r>
      <w:r>
        <w:rPr>
          <w:rFonts w:ascii="Times New Roman" w:hAnsi="Times New Roman"/>
          <w:sz w:val="24"/>
          <w:szCs w:val="24"/>
        </w:rPr>
        <w:t>.</w:t>
      </w:r>
      <w:r w:rsidRPr="003A213C">
        <w:rPr>
          <w:rFonts w:ascii="Times New Roman" w:hAnsi="Times New Roman"/>
          <w:sz w:val="24"/>
          <w:szCs w:val="24"/>
        </w:rPr>
        <w:t xml:space="preserve"> </w:t>
      </w:r>
      <w:r>
        <w:rPr>
          <w:rFonts w:ascii="Times New Roman" w:hAnsi="Times New Roman"/>
          <w:sz w:val="24"/>
          <w:szCs w:val="24"/>
        </w:rPr>
        <w:t xml:space="preserve"> The Magistrate Judge, however, will give </w:t>
      </w:r>
      <w:r>
        <w:rPr>
          <w:rFonts w:ascii="Times New Roman" w:hAnsi="Times New Roman"/>
          <w:sz w:val="24"/>
          <w:szCs w:val="24"/>
        </w:rPr>
        <w:lastRenderedPageBreak/>
        <w:t xml:space="preserve">plaintiffs one last opportunity to file an amended complaint with additional facts, noting that the Medics enjoy qualified immunity under Maryland statute for mere negligence.    </w:t>
      </w:r>
    </w:p>
    <w:bookmarkEnd w:id="450"/>
    <w:p w14:paraId="0C9486F7" w14:textId="24386584" w:rsidR="00EB2493" w:rsidRDefault="00EB2493" w:rsidP="00EB2493">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r w:rsidRPr="00700CC5">
        <w:rPr>
          <w:rFonts w:ascii="Times New Roman" w:hAnsi="Times New Roman"/>
          <w:sz w:val="24"/>
          <w:szCs w:val="24"/>
        </w:rPr>
        <w:t xml:space="preserve">As the training neared its conclusion, program facilitators instructed the participants to tread water for ten minutes. </w:t>
      </w:r>
      <w:r w:rsidRPr="00700CC5">
        <w:rPr>
          <w:rFonts w:ascii="Times New Roman" w:hAnsi="Times New Roman"/>
          <w:i/>
          <w:iCs/>
          <w:sz w:val="24"/>
          <w:szCs w:val="24"/>
        </w:rPr>
        <w:t>Id</w:t>
      </w:r>
      <w:r w:rsidRPr="00700CC5">
        <w:rPr>
          <w:rFonts w:ascii="Times New Roman" w:hAnsi="Times New Roman"/>
          <w:sz w:val="24"/>
          <w:szCs w:val="24"/>
        </w:rPr>
        <w:t xml:space="preserve">. During this exercise, Mr. Sable went underwater and remained there for approximately ten seconds before being removed from the pool. </w:t>
      </w:r>
      <w:r w:rsidRPr="00700CC5">
        <w:rPr>
          <w:rFonts w:ascii="Times New Roman" w:hAnsi="Times New Roman"/>
          <w:i/>
          <w:iCs/>
          <w:sz w:val="24"/>
          <w:szCs w:val="24"/>
        </w:rPr>
        <w:t>Id</w:t>
      </w:r>
      <w:r w:rsidRPr="00700CC5">
        <w:rPr>
          <w:rFonts w:ascii="Times New Roman" w:hAnsi="Times New Roman"/>
          <w:sz w:val="24"/>
          <w:szCs w:val="24"/>
        </w:rPr>
        <w:t xml:space="preserve">. Once on the pool deck, BCPD Officer Sean </w:t>
      </w:r>
      <w:proofErr w:type="gramStart"/>
      <w:r w:rsidRPr="00700CC5">
        <w:rPr>
          <w:rFonts w:ascii="Times New Roman" w:hAnsi="Times New Roman"/>
          <w:sz w:val="24"/>
          <w:szCs w:val="24"/>
        </w:rPr>
        <w:t>Dietz (</w:t>
      </w:r>
      <w:r>
        <w:rPr>
          <w:rFonts w:ascii="Times New Roman" w:hAnsi="Times New Roman"/>
          <w:sz w:val="24"/>
          <w:szCs w:val="24"/>
        </w:rPr>
        <w:t>‘</w:t>
      </w:r>
      <w:proofErr w:type="gramEnd"/>
      <w:r w:rsidRPr="00700CC5">
        <w:rPr>
          <w:rFonts w:ascii="Times New Roman" w:hAnsi="Times New Roman"/>
          <w:sz w:val="24"/>
          <w:szCs w:val="24"/>
        </w:rPr>
        <w:t xml:space="preserve">Officer </w:t>
      </w:r>
      <w:proofErr w:type="gramStart"/>
      <w:r w:rsidRPr="00700CC5">
        <w:rPr>
          <w:rFonts w:ascii="Times New Roman" w:hAnsi="Times New Roman"/>
          <w:sz w:val="24"/>
          <w:szCs w:val="24"/>
        </w:rPr>
        <w:t>Dietz</w:t>
      </w:r>
      <w:r>
        <w:rPr>
          <w:rFonts w:ascii="Times New Roman" w:hAnsi="Times New Roman"/>
          <w:sz w:val="24"/>
          <w:szCs w:val="24"/>
        </w:rPr>
        <w:t>’</w:t>
      </w:r>
      <w:r w:rsidRPr="00700CC5">
        <w:rPr>
          <w:rFonts w:ascii="Times New Roman" w:hAnsi="Times New Roman"/>
          <w:sz w:val="24"/>
          <w:szCs w:val="24"/>
        </w:rPr>
        <w:t>)</w:t>
      </w:r>
      <w:proofErr w:type="gramEnd"/>
      <w:r w:rsidRPr="00700CC5">
        <w:rPr>
          <w:rFonts w:ascii="Times New Roman" w:hAnsi="Times New Roman"/>
          <w:sz w:val="24"/>
          <w:szCs w:val="24"/>
        </w:rPr>
        <w:t xml:space="preserve">, another medic, rendered assistance by patting Mr. Sable on the back and instructing him to </w:t>
      </w:r>
      <w:r>
        <w:rPr>
          <w:rFonts w:ascii="Times New Roman" w:hAnsi="Times New Roman"/>
          <w:sz w:val="24"/>
          <w:szCs w:val="24"/>
        </w:rPr>
        <w:t>‘</w:t>
      </w:r>
      <w:r w:rsidRPr="00700CC5">
        <w:rPr>
          <w:rFonts w:ascii="Times New Roman" w:hAnsi="Times New Roman"/>
          <w:sz w:val="24"/>
          <w:szCs w:val="24"/>
        </w:rPr>
        <w:t>cough it up.</w:t>
      </w:r>
      <w:r>
        <w:rPr>
          <w:rFonts w:ascii="Times New Roman" w:hAnsi="Times New Roman"/>
          <w:sz w:val="24"/>
          <w:szCs w:val="24"/>
        </w:rPr>
        <w:t>’</w:t>
      </w:r>
      <w:r w:rsidRPr="00700CC5">
        <w:rPr>
          <w:rFonts w:ascii="Times New Roman" w:hAnsi="Times New Roman"/>
          <w:sz w:val="24"/>
          <w:szCs w:val="24"/>
        </w:rPr>
        <w:t xml:space="preserve"> </w:t>
      </w:r>
      <w:r w:rsidRPr="00700CC5">
        <w:rPr>
          <w:rFonts w:ascii="Times New Roman" w:hAnsi="Times New Roman"/>
          <w:i/>
          <w:iCs/>
          <w:sz w:val="24"/>
          <w:szCs w:val="24"/>
        </w:rPr>
        <w:t>Id</w:t>
      </w:r>
      <w:r w:rsidRPr="00700CC5">
        <w:rPr>
          <w:rFonts w:ascii="Times New Roman" w:hAnsi="Times New Roman"/>
          <w:sz w:val="24"/>
          <w:szCs w:val="24"/>
        </w:rPr>
        <w:t xml:space="preserve">. Medic Sloman </w:t>
      </w:r>
      <w:r>
        <w:rPr>
          <w:rFonts w:ascii="Times New Roman" w:hAnsi="Times New Roman"/>
          <w:sz w:val="24"/>
          <w:szCs w:val="24"/>
        </w:rPr>
        <w:t>‘</w:t>
      </w:r>
      <w:r w:rsidRPr="00700CC5">
        <w:rPr>
          <w:rFonts w:ascii="Times New Roman" w:hAnsi="Times New Roman"/>
          <w:sz w:val="24"/>
          <w:szCs w:val="24"/>
        </w:rPr>
        <w:t xml:space="preserve">observed Mr. Sable to be cyanotic in the face, with fluid coming from his mouth, without a pulse, and apneic." </w:t>
      </w:r>
      <w:r w:rsidRPr="00700CC5">
        <w:rPr>
          <w:rFonts w:ascii="Times New Roman" w:hAnsi="Times New Roman"/>
          <w:i/>
          <w:iCs/>
          <w:sz w:val="24"/>
          <w:szCs w:val="24"/>
        </w:rPr>
        <w:t>Id</w:t>
      </w:r>
      <w:r w:rsidRPr="00700CC5">
        <w:rPr>
          <w:rFonts w:ascii="Times New Roman" w:hAnsi="Times New Roman"/>
          <w:sz w:val="24"/>
          <w:szCs w:val="24"/>
        </w:rPr>
        <w:t xml:space="preserve">. BCPD medics provided Medic Sloman with a bag valve </w:t>
      </w:r>
      <w:proofErr w:type="gramStart"/>
      <w:r w:rsidRPr="00700CC5">
        <w:rPr>
          <w:rFonts w:ascii="Times New Roman" w:hAnsi="Times New Roman"/>
          <w:sz w:val="24"/>
          <w:szCs w:val="24"/>
        </w:rPr>
        <w:t>mask</w:t>
      </w:r>
      <w:proofErr w:type="gramEnd"/>
      <w:r w:rsidRPr="00700CC5">
        <w:rPr>
          <w:rFonts w:ascii="Times New Roman" w:hAnsi="Times New Roman"/>
          <w:sz w:val="24"/>
          <w:szCs w:val="24"/>
        </w:rPr>
        <w:t xml:space="preserve"> manual resuscitator and O2 bottle to begin treating Mr. Sable, </w:t>
      </w:r>
      <w:r w:rsidRPr="001D0DEE">
        <w:rPr>
          <w:rFonts w:ascii="Times New Roman" w:hAnsi="Times New Roman"/>
          <w:b/>
          <w:bCs/>
          <w:sz w:val="24"/>
          <w:szCs w:val="24"/>
        </w:rPr>
        <w:t>but the mask was missing from the unit</w:t>
      </w:r>
      <w:r w:rsidRPr="00700CC5">
        <w:rPr>
          <w:rFonts w:ascii="Times New Roman" w:hAnsi="Times New Roman"/>
          <w:sz w:val="24"/>
          <w:szCs w:val="24"/>
        </w:rPr>
        <w:t xml:space="preserve">. </w:t>
      </w:r>
      <w:r>
        <w:rPr>
          <w:rFonts w:ascii="Times New Roman" w:hAnsi="Times New Roman"/>
          <w:sz w:val="24"/>
          <w:szCs w:val="24"/>
        </w:rPr>
        <w:t>[Emphasis added.]</w:t>
      </w:r>
    </w:p>
    <w:p w14:paraId="390A7A1D" w14:textId="77777777" w:rsidR="00EB2493" w:rsidRDefault="00EB2493" w:rsidP="00EB2493">
      <w:pPr>
        <w:spacing w:before="100" w:beforeAutospacing="1" w:after="100" w:afterAutospacing="1" w:line="240" w:lineRule="auto"/>
        <w:ind w:left="720"/>
        <w:rPr>
          <w:rFonts w:ascii="Times New Roman" w:hAnsi="Times New Roman"/>
          <w:sz w:val="24"/>
          <w:szCs w:val="24"/>
        </w:rPr>
      </w:pPr>
      <w:r w:rsidRPr="00700CC5">
        <w:rPr>
          <w:rFonts w:ascii="Times New Roman" w:hAnsi="Times New Roman"/>
          <w:sz w:val="24"/>
          <w:szCs w:val="24"/>
        </w:rPr>
        <w:t xml:space="preserve">For this reason, the manual resuscitator was inoperable for several additional minutes while medics searched for, and eventually obtained, a mask. </w:t>
      </w:r>
      <w:r w:rsidRPr="00700CC5">
        <w:rPr>
          <w:rFonts w:ascii="Times New Roman" w:hAnsi="Times New Roman"/>
          <w:i/>
          <w:iCs/>
          <w:sz w:val="24"/>
          <w:szCs w:val="24"/>
        </w:rPr>
        <w:t>Id</w:t>
      </w:r>
      <w:r w:rsidRPr="00700CC5">
        <w:rPr>
          <w:rFonts w:ascii="Times New Roman" w:hAnsi="Times New Roman"/>
          <w:sz w:val="24"/>
          <w:szCs w:val="24"/>
        </w:rPr>
        <w:t xml:space="preserve">. at 5. BCPD medics provided Mr. Sable with additional medical treatment, including the administration of five milligrams of epinephrine. </w:t>
      </w:r>
      <w:r w:rsidRPr="00700CC5">
        <w:rPr>
          <w:rFonts w:ascii="Times New Roman" w:hAnsi="Times New Roman"/>
          <w:i/>
          <w:iCs/>
          <w:sz w:val="24"/>
          <w:szCs w:val="24"/>
        </w:rPr>
        <w:t>Id</w:t>
      </w:r>
      <w:r w:rsidRPr="00700CC5">
        <w:rPr>
          <w:rFonts w:ascii="Times New Roman" w:hAnsi="Times New Roman"/>
          <w:sz w:val="24"/>
          <w:szCs w:val="24"/>
        </w:rPr>
        <w:t>.</w:t>
      </w:r>
    </w:p>
    <w:p w14:paraId="61FB6FD8" w14:textId="77777777" w:rsidR="00EB2493" w:rsidRDefault="00EB2493" w:rsidP="00EB2493">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p>
    <w:p w14:paraId="05FE8BFC" w14:textId="77777777" w:rsidR="00EB2493" w:rsidRPr="00700CC5" w:rsidRDefault="00EB2493" w:rsidP="00EB2493">
      <w:pPr>
        <w:spacing w:before="100" w:beforeAutospacing="1" w:after="100" w:afterAutospacing="1" w:line="240" w:lineRule="auto"/>
        <w:ind w:left="720"/>
        <w:rPr>
          <w:rFonts w:ascii="Times New Roman" w:hAnsi="Times New Roman"/>
          <w:sz w:val="24"/>
          <w:szCs w:val="24"/>
        </w:rPr>
      </w:pPr>
      <w:r w:rsidRPr="00700CC5">
        <w:rPr>
          <w:rFonts w:ascii="Times New Roman" w:hAnsi="Times New Roman"/>
          <w:sz w:val="24"/>
          <w:szCs w:val="24"/>
        </w:rPr>
        <w:t>There is no dispute that Officers Dietz and Luck are public officials</w:t>
      </w:r>
      <w:r>
        <w:rPr>
          <w:rFonts w:ascii="Times New Roman" w:hAnsi="Times New Roman"/>
          <w:sz w:val="24"/>
          <w:szCs w:val="24"/>
        </w:rPr>
        <w:t xml:space="preserve">…. </w:t>
      </w:r>
      <w:r w:rsidRPr="00700CC5">
        <w:rPr>
          <w:rFonts w:ascii="Times New Roman" w:hAnsi="Times New Roman"/>
          <w:sz w:val="24"/>
          <w:szCs w:val="24"/>
        </w:rPr>
        <w:t xml:space="preserve">While Plaintiffs contend </w:t>
      </w:r>
      <w:proofErr w:type="gramStart"/>
      <w:r w:rsidRPr="00700CC5">
        <w:rPr>
          <w:rFonts w:ascii="Times New Roman" w:hAnsi="Times New Roman"/>
          <w:sz w:val="24"/>
          <w:szCs w:val="24"/>
        </w:rPr>
        <w:t>Defendants</w:t>
      </w:r>
      <w:proofErr w:type="gramEnd"/>
      <w:r w:rsidRPr="00700CC5">
        <w:rPr>
          <w:rFonts w:ascii="Times New Roman" w:hAnsi="Times New Roman"/>
          <w:sz w:val="24"/>
          <w:szCs w:val="24"/>
        </w:rPr>
        <w:t xml:space="preserve"> actions constitute ministerial acts, this Court finds that the Officer </w:t>
      </w:r>
      <w:proofErr w:type="gramStart"/>
      <w:r w:rsidRPr="00700CC5">
        <w:rPr>
          <w:rFonts w:ascii="Times New Roman" w:hAnsi="Times New Roman"/>
          <w:sz w:val="24"/>
          <w:szCs w:val="24"/>
        </w:rPr>
        <w:t>Defendants</w:t>
      </w:r>
      <w:proofErr w:type="gramEnd"/>
      <w:r w:rsidRPr="00700CC5">
        <w:rPr>
          <w:rFonts w:ascii="Times New Roman" w:hAnsi="Times New Roman"/>
          <w:sz w:val="24"/>
          <w:szCs w:val="24"/>
        </w:rPr>
        <w:t xml:space="preserve"> actions as alleged are clearly discretionary. The Officer Defendants exercised </w:t>
      </w:r>
      <w:r>
        <w:rPr>
          <w:rFonts w:ascii="Times New Roman" w:hAnsi="Times New Roman"/>
          <w:sz w:val="24"/>
          <w:szCs w:val="24"/>
        </w:rPr>
        <w:t>‘</w:t>
      </w:r>
      <w:r w:rsidRPr="00700CC5">
        <w:rPr>
          <w:rFonts w:ascii="Times New Roman" w:hAnsi="Times New Roman"/>
          <w:sz w:val="24"/>
          <w:szCs w:val="24"/>
        </w:rPr>
        <w:t>judgment in the absence of a hard and fast rule</w:t>
      </w:r>
      <w:r>
        <w:rPr>
          <w:rFonts w:ascii="Times New Roman" w:hAnsi="Times New Roman"/>
          <w:sz w:val="24"/>
          <w:szCs w:val="24"/>
        </w:rPr>
        <w:t>’</w:t>
      </w:r>
      <w:r w:rsidRPr="00700CC5">
        <w:rPr>
          <w:rFonts w:ascii="Times New Roman" w:hAnsi="Times New Roman"/>
          <w:sz w:val="24"/>
          <w:szCs w:val="24"/>
        </w:rPr>
        <w:t xml:space="preserve"> in supervising, implementing, and responding to the events that unfolded at the SWAT aquatic training exercise</w:t>
      </w:r>
      <w:r>
        <w:rPr>
          <w:rFonts w:ascii="Times New Roman" w:hAnsi="Times New Roman"/>
          <w:sz w:val="24"/>
          <w:szCs w:val="24"/>
        </w:rPr>
        <w:t xml:space="preserve">…. </w:t>
      </w:r>
      <w:r w:rsidRPr="00700CC5">
        <w:rPr>
          <w:rFonts w:ascii="Times New Roman" w:hAnsi="Times New Roman"/>
          <w:sz w:val="24"/>
          <w:szCs w:val="24"/>
        </w:rPr>
        <w:t>Accordingly, the Court agrees with the Officer Defendants that they are immune from liability for state common law torts</w:t>
      </w:r>
      <w:r>
        <w:rPr>
          <w:rFonts w:ascii="Times New Roman" w:hAnsi="Times New Roman"/>
          <w:sz w:val="24"/>
          <w:szCs w:val="24"/>
        </w:rPr>
        <w:t xml:space="preserve">.” </w:t>
      </w:r>
      <w:bookmarkStart w:id="451" w:name="_Hlk66949432"/>
      <w:r w:rsidR="00F00958">
        <w:fldChar w:fldCharType="begin"/>
      </w:r>
      <w:r w:rsidR="00F00958">
        <w:instrText xml:space="preserve"> HYPERLINK "https://casetext.com/case/sable-v-balt-cnty-govt" </w:instrText>
      </w:r>
      <w:r w:rsidR="00F00958">
        <w:fldChar w:fldCharType="separate"/>
      </w:r>
      <w:r w:rsidRPr="005672FA">
        <w:rPr>
          <w:rStyle w:val="Hyperlink"/>
          <w:rFonts w:ascii="Times New Roman" w:hAnsi="Times New Roman"/>
          <w:sz w:val="24"/>
          <w:szCs w:val="24"/>
        </w:rPr>
        <w:t>https://casetext.com/case/sable-v-balt-cnty-govt</w:t>
      </w:r>
      <w:r w:rsidR="00F00958">
        <w:rPr>
          <w:rStyle w:val="Hyperlink"/>
          <w:rFonts w:ascii="Times New Roman" w:hAnsi="Times New Roman"/>
          <w:sz w:val="24"/>
          <w:szCs w:val="24"/>
        </w:rPr>
        <w:fldChar w:fldCharType="end"/>
      </w:r>
      <w:r>
        <w:rPr>
          <w:rFonts w:ascii="Times New Roman" w:hAnsi="Times New Roman"/>
          <w:sz w:val="24"/>
          <w:szCs w:val="24"/>
        </w:rPr>
        <w:t xml:space="preserve">   </w:t>
      </w:r>
    </w:p>
    <w:p w14:paraId="0F7E7288" w14:textId="77777777" w:rsidR="00EB2493" w:rsidRDefault="00EB2493" w:rsidP="00EB2493">
      <w:pPr>
        <w:spacing w:before="100" w:beforeAutospacing="1" w:after="100" w:afterAutospacing="1" w:line="240" w:lineRule="auto"/>
        <w:rPr>
          <w:rFonts w:ascii="Times New Roman" w:eastAsia="Times New Roman" w:hAnsi="Times New Roman"/>
          <w:b/>
          <w:bCs/>
          <w:sz w:val="24"/>
          <w:szCs w:val="24"/>
        </w:rPr>
      </w:pPr>
      <w:r w:rsidRPr="00D821D6">
        <w:rPr>
          <w:rFonts w:ascii="Times New Roman" w:eastAsia="Times New Roman" w:hAnsi="Times New Roman"/>
          <w:b/>
          <w:bCs/>
          <w:sz w:val="24"/>
          <w:szCs w:val="24"/>
        </w:rPr>
        <w:t xml:space="preserve">Legal Lesson Learned:  </w:t>
      </w:r>
      <w:r>
        <w:rPr>
          <w:rFonts w:ascii="Times New Roman" w:eastAsia="Times New Roman" w:hAnsi="Times New Roman"/>
          <w:b/>
          <w:bCs/>
          <w:sz w:val="24"/>
          <w:szCs w:val="24"/>
        </w:rPr>
        <w:t>The U.S. Supreme Court’s “shock the conscious” standard for Federal constitutional claims has greatly limited plaintiffs’ attempts to shirt the qualified immunity defense in state courts.</w:t>
      </w:r>
    </w:p>
    <w:p w14:paraId="00FC8C4C" w14:textId="77777777" w:rsidR="00EB2493" w:rsidRDefault="00EB2493" w:rsidP="00EB2493">
      <w:pPr>
        <w:spacing w:before="100" w:beforeAutospacing="1" w:after="100" w:afterAutospacing="1" w:line="240" w:lineRule="auto"/>
        <w:ind w:left="720"/>
        <w:rPr>
          <w:rFonts w:ascii="Times New Roman" w:hAnsi="Times New Roman"/>
          <w:b/>
          <w:bCs/>
          <w:sz w:val="24"/>
          <w:szCs w:val="24"/>
        </w:rPr>
      </w:pPr>
      <w:r w:rsidRPr="003A213C">
        <w:rPr>
          <w:rFonts w:ascii="Times New Roman" w:eastAsia="Times New Roman" w:hAnsi="Times New Roman"/>
          <w:sz w:val="24"/>
          <w:szCs w:val="24"/>
        </w:rPr>
        <w:t xml:space="preserve">Note: Other Federal cases involving training deaths have similarly applied the “shock the conscious” standard. </w:t>
      </w:r>
      <w:r>
        <w:rPr>
          <w:rFonts w:ascii="Times New Roman" w:eastAsia="Times New Roman" w:hAnsi="Times New Roman"/>
          <w:sz w:val="24"/>
          <w:szCs w:val="24"/>
        </w:rPr>
        <w:t xml:space="preserve"> See </w:t>
      </w:r>
      <w:r w:rsidRPr="00784B7D">
        <w:rPr>
          <w:rFonts w:ascii="Times New Roman" w:hAnsi="Times New Roman"/>
          <w:i/>
          <w:iCs/>
          <w:sz w:val="24"/>
          <w:szCs w:val="24"/>
        </w:rPr>
        <w:t>Waybright v. Frederick County</w:t>
      </w:r>
      <w:r w:rsidRPr="003A213C">
        <w:rPr>
          <w:rFonts w:ascii="Times New Roman" w:hAnsi="Times New Roman"/>
          <w:sz w:val="24"/>
          <w:szCs w:val="24"/>
        </w:rPr>
        <w:t>, 528 F.3</w:t>
      </w:r>
      <w:r w:rsidRPr="003A213C">
        <w:rPr>
          <w:rFonts w:ascii="Times New Roman" w:hAnsi="Times New Roman"/>
          <w:sz w:val="24"/>
          <w:szCs w:val="24"/>
          <w:vertAlign w:val="superscript"/>
        </w:rPr>
        <w:t>rd</w:t>
      </w:r>
      <w:r w:rsidRPr="003A213C">
        <w:rPr>
          <w:rFonts w:ascii="Times New Roman" w:hAnsi="Times New Roman"/>
          <w:sz w:val="24"/>
          <w:szCs w:val="24"/>
        </w:rPr>
        <w:t xml:space="preserve"> 199 (4th Cir. 2008), </w:t>
      </w:r>
      <w:hyperlink r:id="rId2314" w:history="1">
        <w:r w:rsidRPr="00784B7D">
          <w:rPr>
            <w:rStyle w:val="Hyperlink"/>
            <w:rFonts w:ascii="Times New Roman" w:hAnsi="Times New Roman"/>
            <w:sz w:val="24"/>
            <w:szCs w:val="24"/>
          </w:rPr>
          <w:t>https://casetext.com/case/waybright-v-frederick-county-2</w:t>
        </w:r>
      </w:hyperlink>
      <w:r w:rsidRPr="00784B7D">
        <w:rPr>
          <w:rFonts w:ascii="Times New Roman" w:hAnsi="Times New Roman"/>
          <w:sz w:val="24"/>
          <w:szCs w:val="24"/>
        </w:rPr>
        <w:t xml:space="preserve"> ,</w:t>
      </w:r>
      <w:r>
        <w:rPr>
          <w:rFonts w:ascii="Times New Roman" w:hAnsi="Times New Roman"/>
          <w:b/>
          <w:bCs/>
          <w:sz w:val="24"/>
          <w:szCs w:val="24"/>
        </w:rPr>
        <w:t xml:space="preserve"> </w:t>
      </w:r>
      <w:r w:rsidRPr="003A213C">
        <w:rPr>
          <w:rFonts w:ascii="Times New Roman" w:hAnsi="Times New Roman"/>
          <w:sz w:val="24"/>
          <w:szCs w:val="24"/>
        </w:rPr>
        <w:t>where recruit died in training on very hot day</w:t>
      </w:r>
      <w:r>
        <w:rPr>
          <w:rFonts w:ascii="Times New Roman" w:hAnsi="Times New Roman"/>
          <w:sz w:val="24"/>
          <w:szCs w:val="24"/>
        </w:rPr>
        <w:t xml:space="preserve"> and call to 911 was delayed. </w:t>
      </w:r>
      <w:r w:rsidRPr="003A213C">
        <w:rPr>
          <w:rFonts w:ascii="Times New Roman" w:hAnsi="Times New Roman"/>
          <w:sz w:val="24"/>
          <w:szCs w:val="24"/>
        </w:rPr>
        <w:t xml:space="preserve"> </w:t>
      </w:r>
      <w:r>
        <w:rPr>
          <w:rFonts w:ascii="Times New Roman" w:hAnsi="Times New Roman"/>
          <w:b/>
          <w:bCs/>
          <w:sz w:val="24"/>
          <w:szCs w:val="24"/>
        </w:rPr>
        <w:t>“</w:t>
      </w:r>
      <w:r w:rsidRPr="00FA2431">
        <w:rPr>
          <w:rFonts w:ascii="Times New Roman" w:hAnsi="Times New Roman"/>
          <w:sz w:val="24"/>
          <w:szCs w:val="24"/>
        </w:rPr>
        <w:t>This conduct is a far cry from shocking the conscience. It was, rather, as the Board of Inquiry concluded, an under-</w:t>
      </w:r>
      <w:proofErr w:type="gramStart"/>
      <w:r w:rsidRPr="00FA2431">
        <w:rPr>
          <w:rFonts w:ascii="Times New Roman" w:hAnsi="Times New Roman"/>
          <w:sz w:val="24"/>
          <w:szCs w:val="24"/>
        </w:rPr>
        <w:t>reaction —</w:t>
      </w:r>
      <w:proofErr w:type="gramEnd"/>
      <w:r w:rsidRPr="00FA2431">
        <w:rPr>
          <w:rFonts w:ascii="Times New Roman" w:hAnsi="Times New Roman"/>
          <w:sz w:val="24"/>
          <w:szCs w:val="24"/>
        </w:rPr>
        <w:t xml:space="preserve"> that is, a misjudgment. Whether it was a negligent misjudgment is not for us to say, but misjudgments such as these are "categorically beneath the threshold of constitutional due process." </w:t>
      </w:r>
      <w:r w:rsidRPr="00FA2431">
        <w:rPr>
          <w:rFonts w:ascii="Times New Roman" w:hAnsi="Times New Roman"/>
          <w:i/>
          <w:iCs/>
          <w:sz w:val="24"/>
          <w:szCs w:val="24"/>
        </w:rPr>
        <w:t>County of Sacramento</w:t>
      </w:r>
      <w:r>
        <w:rPr>
          <w:rFonts w:ascii="Times New Roman" w:hAnsi="Times New Roman"/>
          <w:i/>
          <w:iCs/>
          <w:sz w:val="24"/>
          <w:szCs w:val="24"/>
        </w:rPr>
        <w:t xml:space="preserve"> [v. Lewis]</w:t>
      </w:r>
      <w:r w:rsidRPr="00FA2431">
        <w:rPr>
          <w:rFonts w:ascii="Times New Roman" w:hAnsi="Times New Roman"/>
          <w:sz w:val="24"/>
          <w:szCs w:val="24"/>
        </w:rPr>
        <w:t xml:space="preserve">, </w:t>
      </w:r>
      <w:hyperlink r:id="rId2315" w:anchor="p849" w:history="1">
        <w:r w:rsidRPr="00FA2431">
          <w:rPr>
            <w:rStyle w:val="Hyperlink"/>
            <w:rFonts w:ascii="Times New Roman" w:hAnsi="Times New Roman"/>
            <w:sz w:val="24"/>
            <w:szCs w:val="24"/>
          </w:rPr>
          <w:t>523 U.S. at 849</w:t>
        </w:r>
      </w:hyperlink>
      <w:r w:rsidRPr="00FA2431">
        <w:rPr>
          <w:rFonts w:ascii="Times New Roman" w:hAnsi="Times New Roman"/>
          <w:sz w:val="24"/>
          <w:szCs w:val="24"/>
        </w:rPr>
        <w:t xml:space="preserve">, </w:t>
      </w:r>
      <w:hyperlink r:id="rId2316" w:history="1">
        <w:r w:rsidRPr="00FA2431">
          <w:rPr>
            <w:rStyle w:val="Hyperlink"/>
            <w:rFonts w:ascii="Times New Roman" w:hAnsi="Times New Roman"/>
            <w:sz w:val="24"/>
            <w:szCs w:val="24"/>
          </w:rPr>
          <w:t xml:space="preserve">118 </w:t>
        </w:r>
        <w:proofErr w:type="spellStart"/>
        <w:r w:rsidRPr="00FA2431">
          <w:rPr>
            <w:rStyle w:val="Hyperlink"/>
            <w:rFonts w:ascii="Times New Roman" w:hAnsi="Times New Roman"/>
            <w:sz w:val="24"/>
            <w:szCs w:val="24"/>
          </w:rPr>
          <w:t>S.Ct</w:t>
        </w:r>
        <w:proofErr w:type="spellEnd"/>
        <w:r w:rsidRPr="00FA2431">
          <w:rPr>
            <w:rStyle w:val="Hyperlink"/>
            <w:rFonts w:ascii="Times New Roman" w:hAnsi="Times New Roman"/>
            <w:sz w:val="24"/>
            <w:szCs w:val="24"/>
          </w:rPr>
          <w:t>. 1708</w:t>
        </w:r>
      </w:hyperlink>
      <w:r w:rsidRPr="00FA2431">
        <w:rPr>
          <w:rFonts w:ascii="Times New Roman" w:hAnsi="Times New Roman"/>
          <w:sz w:val="24"/>
          <w:szCs w:val="24"/>
        </w:rPr>
        <w:t>.</w:t>
      </w:r>
      <w:r>
        <w:rPr>
          <w:rFonts w:ascii="Times New Roman" w:hAnsi="Times New Roman"/>
          <w:sz w:val="24"/>
          <w:szCs w:val="24"/>
        </w:rPr>
        <w:t xml:space="preserve"> </w:t>
      </w:r>
    </w:p>
    <w:p w14:paraId="739EFE9F" w14:textId="77777777" w:rsidR="00EB2493" w:rsidRPr="00784B7D" w:rsidRDefault="00EB2493" w:rsidP="00EB2493">
      <w:pPr>
        <w:spacing w:before="100" w:beforeAutospacing="1" w:after="100" w:afterAutospacing="1" w:line="240" w:lineRule="auto"/>
        <w:ind w:left="720"/>
        <w:rPr>
          <w:rFonts w:ascii="Times New Roman" w:hAnsi="Times New Roman"/>
          <w:sz w:val="24"/>
          <w:szCs w:val="24"/>
        </w:rPr>
      </w:pPr>
      <w:r w:rsidRPr="006D1C6E">
        <w:rPr>
          <w:rFonts w:ascii="Times New Roman" w:eastAsia="Times New Roman" w:hAnsi="Times New Roman"/>
          <w:sz w:val="24"/>
          <w:szCs w:val="24"/>
        </w:rPr>
        <w:t xml:space="preserve">See also </w:t>
      </w:r>
      <w:r>
        <w:rPr>
          <w:rFonts w:ascii="Times New Roman" w:eastAsia="Times New Roman" w:hAnsi="Times New Roman"/>
          <w:sz w:val="24"/>
          <w:szCs w:val="24"/>
        </w:rPr>
        <w:t xml:space="preserve">training </w:t>
      </w:r>
      <w:r w:rsidRPr="006D1C6E">
        <w:rPr>
          <w:rFonts w:ascii="Times New Roman" w:eastAsia="Times New Roman" w:hAnsi="Times New Roman"/>
          <w:sz w:val="24"/>
          <w:szCs w:val="24"/>
        </w:rPr>
        <w:t xml:space="preserve">death of Baltimore recruit </w:t>
      </w:r>
      <w:r>
        <w:rPr>
          <w:rFonts w:ascii="Times New Roman" w:eastAsia="Times New Roman" w:hAnsi="Times New Roman"/>
          <w:sz w:val="24"/>
          <w:szCs w:val="24"/>
        </w:rPr>
        <w:t xml:space="preserve">Racheal Wilson </w:t>
      </w:r>
      <w:r w:rsidRPr="006D1C6E">
        <w:rPr>
          <w:rFonts w:ascii="Times New Roman" w:eastAsia="Times New Roman" w:hAnsi="Times New Roman"/>
          <w:sz w:val="24"/>
          <w:szCs w:val="24"/>
        </w:rPr>
        <w:t xml:space="preserve">in a townhouse live burn: </w:t>
      </w:r>
      <w:r w:rsidRPr="006D1C6E">
        <w:rPr>
          <w:rFonts w:ascii="Times New Roman" w:eastAsia="Times New Roman" w:hAnsi="Times New Roman"/>
          <w:sz w:val="24"/>
          <w:szCs w:val="24"/>
          <w:u w:val="single"/>
        </w:rPr>
        <w:t>Virginia Dean Slaughter v. City of Baltimore</w:t>
      </w:r>
      <w:r>
        <w:rPr>
          <w:rFonts w:ascii="Times New Roman" w:eastAsia="Times New Roman" w:hAnsi="Times New Roman"/>
          <w:sz w:val="24"/>
          <w:szCs w:val="24"/>
        </w:rPr>
        <w:t xml:space="preserve"> (4</w:t>
      </w:r>
      <w:r w:rsidRPr="00784B7D">
        <w:rPr>
          <w:rFonts w:ascii="Times New Roman" w:eastAsia="Times New Roman" w:hAnsi="Times New Roman"/>
          <w:sz w:val="24"/>
          <w:szCs w:val="24"/>
          <w:vertAlign w:val="superscript"/>
        </w:rPr>
        <w:t>th</w:t>
      </w:r>
      <w:r>
        <w:rPr>
          <w:rFonts w:ascii="Times New Roman" w:eastAsia="Times New Roman" w:hAnsi="Times New Roman"/>
          <w:sz w:val="24"/>
          <w:szCs w:val="24"/>
        </w:rPr>
        <w:t xml:space="preserve"> Circuit, 2012), </w:t>
      </w:r>
      <w:hyperlink r:id="rId2317" w:history="1">
        <w:r w:rsidRPr="002A3A0C">
          <w:rPr>
            <w:rStyle w:val="Hyperlink"/>
            <w:rFonts w:ascii="Times New Roman" w:eastAsia="Times New Roman" w:hAnsi="Times New Roman"/>
            <w:sz w:val="24"/>
            <w:szCs w:val="24"/>
          </w:rPr>
          <w:t>https://caselaw.findlaw.com/us-4th-circuit/1602456.html</w:t>
        </w:r>
      </w:hyperlink>
      <w:r>
        <w:rPr>
          <w:rFonts w:ascii="Times New Roman" w:eastAsia="Times New Roman" w:hAnsi="Times New Roman"/>
          <w:sz w:val="24"/>
          <w:szCs w:val="24"/>
        </w:rPr>
        <w:t xml:space="preserve">. </w:t>
      </w:r>
      <w:r w:rsidRPr="00784B7D">
        <w:rPr>
          <w:rFonts w:ascii="Times New Roman" w:eastAsia="Times New Roman" w:hAnsi="Times New Roman"/>
          <w:sz w:val="24"/>
          <w:szCs w:val="24"/>
        </w:rPr>
        <w:t>“</w:t>
      </w:r>
      <w:r w:rsidRPr="00784B7D">
        <w:rPr>
          <w:rFonts w:ascii="Times New Roman" w:hAnsi="Times New Roman"/>
          <w:sz w:val="24"/>
          <w:szCs w:val="24"/>
        </w:rPr>
        <w:t xml:space="preserve">The facts alleged in this case reveal a sad story that might well support state tort claims or other state law claims. </w:t>
      </w:r>
      <w:r w:rsidRPr="00784B7D">
        <w:rPr>
          <w:rFonts w:ascii="Times New Roman" w:hAnsi="Times New Roman"/>
          <w:sz w:val="24"/>
          <w:szCs w:val="24"/>
        </w:rPr>
        <w:t> </w:t>
      </w:r>
      <w:r w:rsidRPr="00784B7D">
        <w:rPr>
          <w:rFonts w:ascii="Times New Roman" w:hAnsi="Times New Roman"/>
          <w:sz w:val="24"/>
          <w:szCs w:val="24"/>
        </w:rPr>
        <w:t xml:space="preserve"> But </w:t>
      </w:r>
      <w:proofErr w:type="gramStart"/>
      <w:r w:rsidRPr="00784B7D">
        <w:rPr>
          <w:rFonts w:ascii="Times New Roman" w:hAnsi="Times New Roman"/>
          <w:sz w:val="24"/>
          <w:szCs w:val="24"/>
        </w:rPr>
        <w:t>to treat</w:t>
      </w:r>
      <w:proofErr w:type="gramEnd"/>
      <w:r w:rsidRPr="00784B7D">
        <w:rPr>
          <w:rFonts w:ascii="Times New Roman" w:hAnsi="Times New Roman"/>
          <w:sz w:val="24"/>
          <w:szCs w:val="24"/>
        </w:rPr>
        <w:t xml:space="preserve"> the Fire Department's conduct as a substantive due process violation would be to constitutionalize a state tort claim, which must only be done in the rarest of cases. </w:t>
      </w:r>
      <w:r w:rsidRPr="00784B7D">
        <w:rPr>
          <w:rFonts w:ascii="Times New Roman" w:hAnsi="Times New Roman"/>
          <w:sz w:val="24"/>
          <w:szCs w:val="24"/>
        </w:rPr>
        <w:t> </w:t>
      </w:r>
      <w:r w:rsidRPr="00784B7D">
        <w:rPr>
          <w:rFonts w:ascii="Times New Roman" w:hAnsi="Times New Roman"/>
          <w:sz w:val="24"/>
          <w:szCs w:val="24"/>
        </w:rPr>
        <w:t xml:space="preserve"> As we observed in </w:t>
      </w:r>
      <w:proofErr w:type="gramStart"/>
      <w:r w:rsidRPr="00784B7D">
        <w:rPr>
          <w:rFonts w:ascii="Times New Roman" w:hAnsi="Times New Roman"/>
          <w:i/>
          <w:iCs/>
          <w:sz w:val="24"/>
          <w:szCs w:val="24"/>
        </w:rPr>
        <w:t>Waybright</w:t>
      </w:r>
      <w:r w:rsidRPr="00784B7D">
        <w:rPr>
          <w:rFonts w:ascii="Times New Roman" w:hAnsi="Times New Roman"/>
          <w:sz w:val="24"/>
          <w:szCs w:val="24"/>
        </w:rPr>
        <w:t xml:space="preserve">, </w:t>
      </w:r>
      <w:r>
        <w:rPr>
          <w:rFonts w:ascii="Times New Roman" w:hAnsi="Times New Roman"/>
          <w:sz w:val="24"/>
          <w:szCs w:val="24"/>
        </w:rPr>
        <w:t>‘</w:t>
      </w:r>
      <w:proofErr w:type="gramEnd"/>
      <w:r w:rsidRPr="00784B7D">
        <w:rPr>
          <w:rFonts w:ascii="Times New Roman" w:hAnsi="Times New Roman"/>
          <w:sz w:val="24"/>
          <w:szCs w:val="24"/>
        </w:rPr>
        <w:t xml:space="preserve">where a claim sounds both in state tort law and substantive due process, state tort law is the rule and due process </w:t>
      </w:r>
      <w:proofErr w:type="gramStart"/>
      <w:r w:rsidRPr="00784B7D">
        <w:rPr>
          <w:rFonts w:ascii="Times New Roman" w:hAnsi="Times New Roman"/>
          <w:sz w:val="24"/>
          <w:szCs w:val="24"/>
        </w:rPr>
        <w:t>the</w:t>
      </w:r>
      <w:proofErr w:type="gramEnd"/>
      <w:r w:rsidRPr="00784B7D">
        <w:rPr>
          <w:rFonts w:ascii="Times New Roman" w:hAnsi="Times New Roman"/>
          <w:sz w:val="24"/>
          <w:szCs w:val="24"/>
        </w:rPr>
        <w:t xml:space="preserve"> distinct exception.</w:t>
      </w:r>
      <w:r>
        <w:rPr>
          <w:rFonts w:ascii="Times New Roman" w:hAnsi="Times New Roman"/>
          <w:sz w:val="24"/>
          <w:szCs w:val="24"/>
        </w:rPr>
        <w:t>’</w:t>
      </w:r>
      <w:r w:rsidRPr="00784B7D">
        <w:rPr>
          <w:rFonts w:ascii="Times New Roman" w:hAnsi="Times New Roman"/>
          <w:sz w:val="24"/>
          <w:szCs w:val="24"/>
        </w:rPr>
        <w:t xml:space="preserve"> </w:t>
      </w:r>
      <w:r w:rsidRPr="00784B7D">
        <w:rPr>
          <w:rFonts w:ascii="Times New Roman" w:hAnsi="Times New Roman"/>
          <w:sz w:val="24"/>
          <w:szCs w:val="24"/>
        </w:rPr>
        <w:t> </w:t>
      </w:r>
      <w:r w:rsidRPr="00784B7D">
        <w:rPr>
          <w:rFonts w:ascii="Times New Roman" w:hAnsi="Times New Roman"/>
          <w:sz w:val="24"/>
          <w:szCs w:val="24"/>
        </w:rPr>
        <w:t>528 F.3d at 205.</w:t>
      </w:r>
      <w:r>
        <w:rPr>
          <w:rFonts w:ascii="Times New Roman" w:hAnsi="Times New Roman"/>
          <w:sz w:val="24"/>
          <w:szCs w:val="24"/>
        </w:rPr>
        <w:t xml:space="preserve">” </w:t>
      </w:r>
    </w:p>
    <w:p w14:paraId="359B10C0" w14:textId="77777777" w:rsidR="00EB2493" w:rsidRPr="006D1C6E" w:rsidRDefault="00EB2493" w:rsidP="00EB2493">
      <w:pPr>
        <w:pStyle w:val="Heading1"/>
        <w:ind w:left="720"/>
        <w:rPr>
          <w:b w:val="0"/>
          <w:bCs w:val="0"/>
          <w:sz w:val="24"/>
          <w:szCs w:val="24"/>
        </w:rPr>
      </w:pPr>
      <w:bookmarkStart w:id="452" w:name="_Hlk66949488"/>
      <w:bookmarkEnd w:id="451"/>
      <w:r w:rsidRPr="006D1C6E">
        <w:rPr>
          <w:b w:val="0"/>
          <w:bCs w:val="0"/>
          <w:sz w:val="24"/>
          <w:szCs w:val="24"/>
        </w:rPr>
        <w:t>See also NIOSH Fire Fighter Fatality Report F2007-09</w:t>
      </w:r>
      <w:r>
        <w:rPr>
          <w:b w:val="0"/>
          <w:bCs w:val="0"/>
          <w:sz w:val="24"/>
          <w:szCs w:val="24"/>
        </w:rPr>
        <w:t xml:space="preserve"> on death of </w:t>
      </w:r>
      <w:r w:rsidRPr="00784B7D">
        <w:rPr>
          <w:b w:val="0"/>
          <w:bCs w:val="0"/>
          <w:sz w:val="24"/>
          <w:szCs w:val="24"/>
        </w:rPr>
        <w:t>Racheal Wilson:</w:t>
      </w:r>
      <w:r w:rsidRPr="006D1C6E">
        <w:rPr>
          <w:b w:val="0"/>
          <w:bCs w:val="0"/>
          <w:sz w:val="24"/>
          <w:szCs w:val="24"/>
        </w:rPr>
        <w:t xml:space="preserve"> </w:t>
      </w:r>
      <w:r>
        <w:rPr>
          <w:b w:val="0"/>
          <w:bCs w:val="0"/>
          <w:sz w:val="24"/>
          <w:szCs w:val="24"/>
        </w:rPr>
        <w:t>“</w:t>
      </w:r>
      <w:r w:rsidRPr="006D1C6E">
        <w:rPr>
          <w:b w:val="0"/>
          <w:bCs w:val="0"/>
          <w:sz w:val="24"/>
          <w:szCs w:val="24"/>
        </w:rPr>
        <w:t>Career Probationary Fire Fighter Dies While Participating in a Live-Fire Training Evolution at an Acquired Structure – Maryland</w:t>
      </w:r>
      <w:r>
        <w:rPr>
          <w:b w:val="0"/>
          <w:bCs w:val="0"/>
          <w:sz w:val="24"/>
          <w:szCs w:val="24"/>
        </w:rPr>
        <w:t xml:space="preserve">.” </w:t>
      </w:r>
      <w:r w:rsidRPr="006D1C6E">
        <w:rPr>
          <w:b w:val="0"/>
          <w:bCs w:val="0"/>
        </w:rPr>
        <w:t xml:space="preserve"> </w:t>
      </w:r>
      <w:hyperlink r:id="rId2318" w:history="1">
        <w:r w:rsidRPr="006D1C6E">
          <w:rPr>
            <w:rStyle w:val="Hyperlink"/>
            <w:b w:val="0"/>
            <w:bCs w:val="0"/>
            <w:sz w:val="24"/>
            <w:szCs w:val="24"/>
          </w:rPr>
          <w:t>https://www.cdc.gov/niosh/fire/reports/face200709.html</w:t>
        </w:r>
      </w:hyperlink>
      <w:bookmarkEnd w:id="452"/>
      <w:r w:rsidRPr="006D1C6E">
        <w:rPr>
          <w:b w:val="0"/>
          <w:bCs w:val="0"/>
          <w:sz w:val="24"/>
          <w:szCs w:val="24"/>
        </w:rPr>
        <w:t xml:space="preserve"> </w:t>
      </w:r>
    </w:p>
    <w:p w14:paraId="3ACB43AB" w14:textId="77777777" w:rsidR="00EB2493" w:rsidRDefault="00EB2493" w:rsidP="002B1283">
      <w:pPr>
        <w:rPr>
          <w:rFonts w:ascii="Arial Black" w:hAnsi="Arial Black"/>
          <w:b/>
          <w:bCs/>
          <w:sz w:val="28"/>
          <w:szCs w:val="28"/>
        </w:rPr>
      </w:pPr>
    </w:p>
    <w:p w14:paraId="7028E879" w14:textId="4D674C3F" w:rsidR="00EB2493" w:rsidRDefault="00EB2493" w:rsidP="002B1283">
      <w:pPr>
        <w:rPr>
          <w:rFonts w:ascii="Arial Black" w:hAnsi="Arial Black"/>
          <w:b/>
          <w:bCs/>
          <w:sz w:val="28"/>
          <w:szCs w:val="28"/>
        </w:rPr>
      </w:pPr>
      <w:r>
        <w:rPr>
          <w:rFonts w:ascii="Arial Black" w:hAnsi="Arial Black"/>
          <w:b/>
          <w:bCs/>
          <w:sz w:val="28"/>
          <w:szCs w:val="28"/>
        </w:rPr>
        <w:lastRenderedPageBreak/>
        <w:t>13-80</w:t>
      </w:r>
    </w:p>
    <w:p w14:paraId="7FFE0D85" w14:textId="77777777" w:rsidR="00EB2493" w:rsidRDefault="00EB2493" w:rsidP="00EB2493">
      <w:pPr>
        <w:rPr>
          <w:rFonts w:ascii="Arial Black" w:hAnsi="Arial Black"/>
          <w:sz w:val="28"/>
          <w:szCs w:val="28"/>
        </w:rPr>
      </w:pPr>
      <w:bookmarkStart w:id="453" w:name="_Hlk66949641"/>
      <w:r w:rsidRPr="00BC494E">
        <w:rPr>
          <w:rFonts w:ascii="Arial Black" w:hAnsi="Arial Black"/>
          <w:sz w:val="28"/>
          <w:szCs w:val="28"/>
        </w:rPr>
        <w:t>DE</w:t>
      </w:r>
      <w:r>
        <w:rPr>
          <w:rFonts w:ascii="Arial Black" w:hAnsi="Arial Black"/>
          <w:sz w:val="28"/>
          <w:szCs w:val="28"/>
        </w:rPr>
        <w:t xml:space="preserve">: EMT SLIP &amp; FALL IN PARKING LOT – “FIREMAN’S RULE” DOES NOT APPLY - CAN SUE PARKING LOT OWNER  </w:t>
      </w:r>
    </w:p>
    <w:p w14:paraId="5059B1EF" w14:textId="77777777" w:rsidR="00EB2493" w:rsidRDefault="00EB2493" w:rsidP="00EB2493">
      <w:pPr>
        <w:rPr>
          <w:rFonts w:ascii="Times New Roman" w:hAnsi="Times New Roman"/>
          <w:sz w:val="24"/>
          <w:szCs w:val="24"/>
        </w:rPr>
      </w:pPr>
      <w:r>
        <w:rPr>
          <w:rFonts w:ascii="Times New Roman" w:hAnsi="Times New Roman"/>
          <w:sz w:val="24"/>
          <w:szCs w:val="24"/>
        </w:rPr>
        <w:t xml:space="preserve">On Feb. 2, 2021, in </w:t>
      </w:r>
      <w:r w:rsidRPr="00BC494E">
        <w:rPr>
          <w:rFonts w:ascii="Times New Roman" w:hAnsi="Times New Roman"/>
          <w:sz w:val="24"/>
          <w:szCs w:val="24"/>
          <w:u w:val="single"/>
        </w:rPr>
        <w:t xml:space="preserve">Brandilyn Biggs v. </w:t>
      </w:r>
      <w:r w:rsidRPr="00CB5F0E">
        <w:rPr>
          <w:rFonts w:ascii="Times New Roman" w:hAnsi="Times New Roman"/>
          <w:sz w:val="24"/>
          <w:szCs w:val="24"/>
          <w:u w:val="single"/>
        </w:rPr>
        <w:t>Roberta C. Hall and B Merion II 1303 Wilmington, LLC</w:t>
      </w:r>
      <w:r w:rsidRPr="00BC494E">
        <w:rPr>
          <w:rFonts w:ascii="Times New Roman" w:hAnsi="Times New Roman"/>
          <w:sz w:val="24"/>
          <w:szCs w:val="24"/>
        </w:rPr>
        <w:t>,</w:t>
      </w:r>
      <w:r>
        <w:rPr>
          <w:rFonts w:ascii="Times New Roman" w:hAnsi="Times New Roman"/>
          <w:sz w:val="24"/>
          <w:szCs w:val="24"/>
        </w:rPr>
        <w:t xml:space="preserve"> J</w:t>
      </w:r>
      <w:r w:rsidRPr="00BC494E">
        <w:rPr>
          <w:rFonts w:ascii="Times New Roman" w:hAnsi="Times New Roman"/>
          <w:sz w:val="24"/>
          <w:szCs w:val="24"/>
        </w:rPr>
        <w:t>udge</w:t>
      </w:r>
      <w:r>
        <w:rPr>
          <w:rFonts w:ascii="Times New Roman" w:hAnsi="Times New Roman"/>
          <w:sz w:val="24"/>
          <w:szCs w:val="24"/>
        </w:rPr>
        <w:t xml:space="preserve"> Andrea L. Rocanelli, Superior Court of the State of Delaware, denied the defense motion for summary judgment, holding that the Fireman’s Rule does not apply to the EMT and she may sue parking lot owner for damages (including pain &amp; suffering).  </w:t>
      </w:r>
    </w:p>
    <w:p w14:paraId="1C0BF92A" w14:textId="77777777" w:rsidR="00EB2493" w:rsidRDefault="00EB2493" w:rsidP="00EB2493">
      <w:pPr>
        <w:ind w:left="720"/>
        <w:rPr>
          <w:rFonts w:ascii="Times New Roman" w:hAnsi="Times New Roman"/>
          <w:sz w:val="24"/>
          <w:szCs w:val="24"/>
        </w:rPr>
      </w:pPr>
      <w:r>
        <w:rPr>
          <w:rFonts w:ascii="Times New Roman" w:hAnsi="Times New Roman"/>
          <w:sz w:val="24"/>
          <w:szCs w:val="24"/>
        </w:rPr>
        <w:t>“</w:t>
      </w:r>
      <w:r w:rsidRPr="00BC494E">
        <w:rPr>
          <w:rFonts w:ascii="Times New Roman" w:hAnsi="Times New Roman"/>
          <w:sz w:val="24"/>
          <w:szCs w:val="24"/>
        </w:rPr>
        <w:t>The Firefighter's Rule shall not be extended to EMTs under the circumstances of this case. Biggs was owed the duty of reasonable care. Viewing the facts in the light most favorable to Biggs, there is a genuine issue of material fact regarding whether AB Merion was negligent in its duty to maintain the Parking Lot. Therefore, AB Merion is not entitled to summary judgment.</w:t>
      </w:r>
      <w:r>
        <w:rPr>
          <w:rFonts w:ascii="Times New Roman" w:hAnsi="Times New Roman"/>
          <w:sz w:val="24"/>
          <w:szCs w:val="24"/>
        </w:rPr>
        <w:t xml:space="preserve">” </w:t>
      </w:r>
      <w:hyperlink r:id="rId2319" w:history="1">
        <w:r w:rsidRPr="005D199E">
          <w:rPr>
            <w:rStyle w:val="Hyperlink"/>
            <w:rFonts w:ascii="Times New Roman" w:hAnsi="Times New Roman"/>
            <w:sz w:val="24"/>
            <w:szCs w:val="24"/>
          </w:rPr>
          <w:t>https://law.justia.com/cases/delaware/superior-court/2021/n17c-10-149-alr.html</w:t>
        </w:r>
      </w:hyperlink>
      <w:r>
        <w:rPr>
          <w:rFonts w:ascii="Times New Roman" w:hAnsi="Times New Roman"/>
          <w:sz w:val="24"/>
          <w:szCs w:val="24"/>
        </w:rPr>
        <w:t xml:space="preserve"> </w:t>
      </w:r>
    </w:p>
    <w:p w14:paraId="41E4EA4C" w14:textId="77777777" w:rsidR="00EB2493" w:rsidRDefault="00EB2493" w:rsidP="00EB2493">
      <w:pPr>
        <w:pStyle w:val="NormalWeb"/>
        <w:rPr>
          <w:b/>
          <w:bCs/>
        </w:rPr>
      </w:pPr>
      <w:r w:rsidRPr="003F0CA5">
        <w:rPr>
          <w:b/>
          <w:bCs/>
        </w:rPr>
        <w:t xml:space="preserve">Legal Lesson Learned:  In many states, including Ohio, the Fireman’s Rule normally would not allow fire, EMS or police to sue property </w:t>
      </w:r>
      <w:proofErr w:type="gramStart"/>
      <w:r w:rsidRPr="003F0CA5">
        <w:rPr>
          <w:b/>
          <w:bCs/>
        </w:rPr>
        <w:t>owner</w:t>
      </w:r>
      <w:proofErr w:type="gramEnd"/>
      <w:r w:rsidRPr="003F0CA5">
        <w:rPr>
          <w:b/>
          <w:bCs/>
        </w:rPr>
        <w:t xml:space="preserve"> for injuries; their sole remedy is workers comp. </w:t>
      </w:r>
    </w:p>
    <w:p w14:paraId="05FD2C32" w14:textId="77777777" w:rsidR="00EB2493" w:rsidRDefault="00EB2493" w:rsidP="00EB2493">
      <w:pPr>
        <w:pStyle w:val="NormalWeb"/>
        <w:ind w:left="720"/>
        <w:rPr>
          <w:b/>
          <w:bCs/>
        </w:rPr>
      </w:pPr>
      <w:r w:rsidRPr="003F0CA5">
        <w:t xml:space="preserve">Note: The Ohio Supreme Court in </w:t>
      </w:r>
      <w:proofErr w:type="spellStart"/>
      <w:r w:rsidRPr="003F0CA5">
        <w:rPr>
          <w:i/>
          <w:iCs/>
        </w:rPr>
        <w:t>Torchik</w:t>
      </w:r>
      <w:proofErr w:type="spellEnd"/>
      <w:r w:rsidRPr="003F0CA5">
        <w:rPr>
          <w:i/>
          <w:iCs/>
        </w:rPr>
        <w:t xml:space="preserve"> v. Boyce</w:t>
      </w:r>
      <w:r w:rsidRPr="003F0CA5">
        <w:t>, 121 Ohio St.3d 440, 2009-Ohio-1248 (March 25, 2009)</w:t>
      </w:r>
      <w:r>
        <w:t xml:space="preserve"> </w:t>
      </w:r>
      <w:r w:rsidRPr="003F0CA5">
        <w:t>did allow a deputy sheriff to sue the contractor who built the deck on a house and the steps collapsed as the deputy investigated a burglar alarm.  “Firefighters and police do not assume a special risk of injury from the work of independent contractors when the risk of being injured by the contractor’s negligence applies equally to all. It would be illogical to insulate an independent contractor from a negligence claim simply because the person injured happened to be a police officer or firefighter acting in the scope of his or her official duties.</w:t>
      </w:r>
      <w:r>
        <w:t xml:space="preserve">” </w:t>
      </w:r>
      <w:hyperlink r:id="rId2320" w:history="1">
        <w:r w:rsidRPr="002A3A0C">
          <w:rPr>
            <w:rStyle w:val="Hyperlink"/>
            <w:sz w:val="25"/>
            <w:szCs w:val="25"/>
          </w:rPr>
          <w:t>https://www.supremecourt.ohio.gov/rod/docs/pdf/0/2009/2009-Ohio-1248.pdf</w:t>
        </w:r>
      </w:hyperlink>
      <w:r>
        <w:rPr>
          <w:sz w:val="25"/>
          <w:szCs w:val="25"/>
        </w:rPr>
        <w:t xml:space="preserve">, </w:t>
      </w:r>
    </w:p>
    <w:p w14:paraId="5C9531AF" w14:textId="77777777" w:rsidR="00EB2493" w:rsidRDefault="00EB2493" w:rsidP="00EB2493">
      <w:pPr>
        <w:pStyle w:val="NormalWeb"/>
        <w:ind w:left="720"/>
      </w:pPr>
      <w:r w:rsidRPr="0069017C">
        <w:t xml:space="preserve">Some states have abolished the Fireman’s Rule. </w:t>
      </w:r>
      <w:r>
        <w:t xml:space="preserve">For example, see </w:t>
      </w:r>
      <w:proofErr w:type="spellStart"/>
      <w:r>
        <w:t>Florida:Section</w:t>
      </w:r>
      <w:proofErr w:type="spellEnd"/>
      <w:r>
        <w:t xml:space="preserve"> 112.182 - "Firefighter rule" abolished. </w:t>
      </w:r>
      <w:hyperlink r:id="rId2321" w:history="1">
        <w:r w:rsidRPr="005D199E">
          <w:rPr>
            <w:rStyle w:val="Hyperlink"/>
          </w:rPr>
          <w:t>https://flsenate.gov/Laws/Statutes/2011/112.182</w:t>
        </w:r>
      </w:hyperlink>
      <w:bookmarkEnd w:id="453"/>
      <w:r>
        <w:t xml:space="preserve"> </w:t>
      </w:r>
    </w:p>
    <w:p w14:paraId="629FF744" w14:textId="77777777" w:rsidR="00EB2493" w:rsidRDefault="00EB2493" w:rsidP="00EB2493">
      <w:pPr>
        <w:spacing w:after="0" w:line="240" w:lineRule="auto"/>
        <w:ind w:left="1440"/>
        <w:rPr>
          <w:rFonts w:ascii="Times New Roman" w:eastAsia="Times New Roman" w:hAnsi="Times New Roman"/>
          <w:sz w:val="24"/>
          <w:szCs w:val="24"/>
        </w:rPr>
      </w:pPr>
      <w:r w:rsidRPr="0069017C">
        <w:rPr>
          <w:rFonts w:ascii="Times New Roman" w:eastAsia="Times New Roman" w:hAnsi="Times New Roman"/>
          <w:sz w:val="24"/>
          <w:szCs w:val="24"/>
        </w:rPr>
        <w:t>(1) A firefighter or properly identified law enforcement officer who lawfully enters upon the premises of another in the discharge of his or her duty occupies the status of an invitee. The common-law rule that such a firefighter or law enforcement officer occupies the status of a licensee is hereby abolished.</w:t>
      </w:r>
      <w:r>
        <w:rPr>
          <w:rFonts w:ascii="Times New Roman" w:eastAsia="Times New Roman" w:hAnsi="Times New Roman"/>
          <w:sz w:val="24"/>
          <w:szCs w:val="24"/>
        </w:rPr>
        <w:t xml:space="preserve"> </w:t>
      </w:r>
      <w:r w:rsidRPr="0069017C">
        <w:rPr>
          <w:rFonts w:ascii="Times New Roman" w:eastAsia="Times New Roman" w:hAnsi="Times New Roman"/>
          <w:sz w:val="24"/>
          <w:szCs w:val="24"/>
        </w:rPr>
        <w:t xml:space="preserve">(2) It is not the intent of this section to increase or diminish the duty of care owed by property owners to </w:t>
      </w:r>
      <w:proofErr w:type="gramStart"/>
      <w:r w:rsidRPr="0069017C">
        <w:rPr>
          <w:rFonts w:ascii="Times New Roman" w:eastAsia="Times New Roman" w:hAnsi="Times New Roman"/>
          <w:sz w:val="24"/>
          <w:szCs w:val="24"/>
        </w:rPr>
        <w:t>invitees</w:t>
      </w:r>
      <w:proofErr w:type="gramEnd"/>
      <w:r w:rsidRPr="0069017C">
        <w:rPr>
          <w:rFonts w:ascii="Times New Roman" w:eastAsia="Times New Roman" w:hAnsi="Times New Roman"/>
          <w:sz w:val="24"/>
          <w:szCs w:val="24"/>
        </w:rPr>
        <w:t>. Property owners shall be liable to invitees pursuant to this section only when the property owner negligently fails to maintain the premises in a reasonably safe condition or negligently fails to correct a dangerous condition of which the property owner either knew or should have known by the use of reasonable care or negligently fails to warn the invitee of a dangerous condition about which the property owner had, or should have had, knowledge greater than that of the invitee.</w:t>
      </w:r>
      <w:r>
        <w:rPr>
          <w:rFonts w:ascii="Times New Roman" w:eastAsia="Times New Roman" w:hAnsi="Times New Roman"/>
          <w:sz w:val="24"/>
          <w:szCs w:val="24"/>
        </w:rPr>
        <w:t xml:space="preserve"> </w:t>
      </w:r>
      <w:r w:rsidRPr="0069017C">
        <w:rPr>
          <w:rFonts w:ascii="Times New Roman" w:eastAsia="Times New Roman" w:hAnsi="Times New Roman"/>
          <w:sz w:val="24"/>
          <w:szCs w:val="24"/>
        </w:rPr>
        <w:t>Fla. Stat. § 112.182</w:t>
      </w:r>
    </w:p>
    <w:p w14:paraId="2DDDCCBD" w14:textId="77777777" w:rsidR="00EB2493" w:rsidRDefault="00EB2493" w:rsidP="00EB2493">
      <w:pPr>
        <w:spacing w:before="100" w:beforeAutospacing="1" w:after="100" w:afterAutospacing="1" w:line="240" w:lineRule="auto"/>
        <w:ind w:left="720"/>
      </w:pPr>
      <w:r>
        <w:rPr>
          <w:rFonts w:ascii="Times New Roman" w:eastAsia="Times New Roman" w:hAnsi="Times New Roman"/>
          <w:sz w:val="24"/>
          <w:szCs w:val="24"/>
        </w:rPr>
        <w:t xml:space="preserve">Some states, like New York, have modified the Fireman’s Rule to allow lawsuits for violations of building and fire codes.  See summary of law enforcement cases:  </w:t>
      </w:r>
      <w:hyperlink r:id="rId2322" w:history="1">
        <w:r w:rsidRPr="002A3A0C">
          <w:rPr>
            <w:rStyle w:val="Hyperlink"/>
            <w:rFonts w:ascii="Times New Roman" w:eastAsia="Times New Roman" w:hAnsi="Times New Roman"/>
            <w:sz w:val="24"/>
            <w:szCs w:val="24"/>
          </w:rPr>
          <w:t>https://www.aele.org/law/Digests/civil168b.html</w:t>
        </w:r>
      </w:hyperlink>
      <w:r>
        <w:rPr>
          <w:rFonts w:ascii="Times New Roman" w:eastAsia="Times New Roman" w:hAnsi="Times New Roman"/>
          <w:sz w:val="24"/>
          <w:szCs w:val="24"/>
        </w:rPr>
        <w:t xml:space="preserve"> </w:t>
      </w:r>
    </w:p>
    <w:p w14:paraId="0EE4F0FF" w14:textId="77777777" w:rsidR="00EB2493" w:rsidRDefault="00EB2493" w:rsidP="002B1283">
      <w:pPr>
        <w:rPr>
          <w:rFonts w:ascii="Arial Black" w:hAnsi="Arial Black"/>
          <w:b/>
          <w:bCs/>
          <w:sz w:val="28"/>
          <w:szCs w:val="28"/>
        </w:rPr>
      </w:pPr>
    </w:p>
    <w:p w14:paraId="4E7F4C35" w14:textId="77777777" w:rsidR="00EB2493" w:rsidRDefault="00EB2493" w:rsidP="002B1283">
      <w:pPr>
        <w:rPr>
          <w:rFonts w:ascii="Arial Black" w:hAnsi="Arial Black"/>
          <w:b/>
          <w:bCs/>
          <w:sz w:val="28"/>
          <w:szCs w:val="28"/>
        </w:rPr>
      </w:pPr>
    </w:p>
    <w:p w14:paraId="269A948E" w14:textId="49C610CC" w:rsidR="00AD5461" w:rsidRDefault="00AD5461" w:rsidP="002B1283">
      <w:pPr>
        <w:rPr>
          <w:rFonts w:ascii="Arial Black" w:hAnsi="Arial Black"/>
          <w:b/>
          <w:bCs/>
          <w:sz w:val="28"/>
          <w:szCs w:val="28"/>
        </w:rPr>
      </w:pPr>
      <w:r>
        <w:rPr>
          <w:rFonts w:ascii="Arial Black" w:hAnsi="Arial Black"/>
          <w:b/>
          <w:bCs/>
          <w:sz w:val="28"/>
          <w:szCs w:val="28"/>
        </w:rPr>
        <w:t>13-79</w:t>
      </w:r>
    </w:p>
    <w:p w14:paraId="73E9E960" w14:textId="77777777" w:rsidR="00AD5461" w:rsidRPr="00AA5E13" w:rsidRDefault="00AD5461" w:rsidP="00AD5461">
      <w:pPr>
        <w:rPr>
          <w:rFonts w:ascii="Arial Black" w:hAnsi="Arial Black"/>
          <w:b/>
          <w:bCs/>
          <w:sz w:val="28"/>
          <w:szCs w:val="28"/>
        </w:rPr>
      </w:pPr>
      <w:r>
        <w:rPr>
          <w:rFonts w:ascii="Arial Black" w:hAnsi="Arial Black"/>
          <w:b/>
          <w:bCs/>
          <w:sz w:val="28"/>
          <w:szCs w:val="28"/>
        </w:rPr>
        <w:t xml:space="preserve">CO:  EMS USED KETAMINE - 500 MILLIGRAMS – POLICE PRISONER WHO DIED – LAWSUIT PROCEED – GRAND JURY </w:t>
      </w:r>
    </w:p>
    <w:p w14:paraId="6FAB0EAB" w14:textId="77777777" w:rsidR="00AD5461" w:rsidRDefault="00AD5461" w:rsidP="00AD5461">
      <w:pPr>
        <w:rPr>
          <w:rFonts w:ascii="Times New Roman" w:hAnsi="Times New Roman"/>
          <w:sz w:val="24"/>
          <w:szCs w:val="24"/>
        </w:rPr>
      </w:pPr>
      <w:r w:rsidRPr="00416A48">
        <w:rPr>
          <w:rFonts w:ascii="Times New Roman" w:hAnsi="Times New Roman"/>
          <w:sz w:val="24"/>
          <w:szCs w:val="24"/>
        </w:rPr>
        <w:t xml:space="preserve">On Jan. 29, 2021, </w:t>
      </w:r>
      <w:r>
        <w:rPr>
          <w:rFonts w:ascii="Times New Roman" w:hAnsi="Times New Roman"/>
          <w:sz w:val="24"/>
          <w:szCs w:val="24"/>
        </w:rPr>
        <w:t xml:space="preserve">in </w:t>
      </w:r>
      <w:r w:rsidRPr="00416A48">
        <w:rPr>
          <w:rFonts w:ascii="Times New Roman" w:hAnsi="Times New Roman"/>
          <w:sz w:val="24"/>
          <w:szCs w:val="24"/>
          <w:u w:val="single"/>
        </w:rPr>
        <w:t>Estate of Elijah Javon McClain v. City of Aurora, Colorado</w:t>
      </w:r>
      <w:r>
        <w:rPr>
          <w:rFonts w:ascii="Times New Roman" w:hAnsi="Times New Roman"/>
          <w:sz w:val="24"/>
          <w:szCs w:val="24"/>
        </w:rPr>
        <w:t xml:space="preserve">, U.S. Magistrate Judge N. Reid </w:t>
      </w:r>
      <w:proofErr w:type="spellStart"/>
      <w:r>
        <w:rPr>
          <w:rFonts w:ascii="Times New Roman" w:hAnsi="Times New Roman"/>
          <w:sz w:val="24"/>
          <w:szCs w:val="24"/>
        </w:rPr>
        <w:t>Neureiter</w:t>
      </w:r>
      <w:proofErr w:type="spellEnd"/>
      <w:r>
        <w:rPr>
          <w:rFonts w:ascii="Times New Roman" w:hAnsi="Times New Roman"/>
          <w:sz w:val="24"/>
          <w:szCs w:val="24"/>
        </w:rPr>
        <w:t xml:space="preserve"> denied the defense motion to delay discovery in this civil lawsuit, even though the State Attorney General has publicly announced that he will be presenting evidence to a grand jury regarding possible criminal misconduct of police and EMS involving the death of 23-year old Elijah McClain during an arrest walking home from convenience store, and put into a choke hold.  The Colorado Department of Public Health and Environment has also publicly confirmed they are examining the conduct of the EMS. </w:t>
      </w:r>
    </w:p>
    <w:p w14:paraId="4BD4DF98" w14:textId="19547758" w:rsidR="00AD5461" w:rsidRPr="000410C9" w:rsidRDefault="00AD5461" w:rsidP="00AD5461">
      <w:pPr>
        <w:ind w:left="720"/>
        <w:rPr>
          <w:rFonts w:ascii="Times New Roman" w:hAnsi="Times New Roman"/>
          <w:sz w:val="24"/>
          <w:szCs w:val="24"/>
        </w:rPr>
      </w:pPr>
      <w:r>
        <w:rPr>
          <w:rFonts w:ascii="Times New Roman" w:hAnsi="Times New Roman"/>
          <w:sz w:val="24"/>
          <w:szCs w:val="24"/>
        </w:rPr>
        <w:t>“</w:t>
      </w:r>
      <w:r w:rsidRPr="000410C9">
        <w:rPr>
          <w:rFonts w:ascii="Times New Roman" w:hAnsi="Times New Roman"/>
          <w:sz w:val="24"/>
          <w:szCs w:val="24"/>
        </w:rPr>
        <w:t xml:space="preserve">It is not in the interest of the public or in the interest of justice to </w:t>
      </w:r>
      <w:r>
        <w:rPr>
          <w:rFonts w:ascii="Times New Roman" w:hAnsi="Times New Roman"/>
          <w:sz w:val="24"/>
          <w:szCs w:val="24"/>
        </w:rPr>
        <w:t>‘</w:t>
      </w:r>
      <w:r w:rsidRPr="000410C9">
        <w:rPr>
          <w:rFonts w:ascii="Times New Roman" w:hAnsi="Times New Roman"/>
          <w:sz w:val="24"/>
          <w:szCs w:val="24"/>
        </w:rPr>
        <w:t>put on the back burner</w:t>
      </w:r>
      <w:r>
        <w:rPr>
          <w:rFonts w:ascii="Times New Roman" w:hAnsi="Times New Roman"/>
          <w:sz w:val="24"/>
          <w:szCs w:val="24"/>
        </w:rPr>
        <w:t>’</w:t>
      </w:r>
      <w:r w:rsidRPr="000410C9">
        <w:rPr>
          <w:rFonts w:ascii="Times New Roman" w:hAnsi="Times New Roman"/>
          <w:sz w:val="24"/>
          <w:szCs w:val="24"/>
        </w:rPr>
        <w:t xml:space="preserve"> discovery in a case that raises significant questions about the City of Aurora's policing and paramedic practices. It may be that there is nothing constitutionally wrong with the conduct that eventually led to Mr. McClain's death. If so, then the public will be better served by knowing that hard reality, as fairly determined by the judicial process, sooner rather than later. In short, a stay of discovery is not appropriate in this case.</w:t>
      </w:r>
      <w:r>
        <w:rPr>
          <w:rFonts w:ascii="Times New Roman" w:hAnsi="Times New Roman"/>
          <w:sz w:val="24"/>
          <w:szCs w:val="24"/>
        </w:rPr>
        <w:t xml:space="preserve">” </w:t>
      </w:r>
      <w:hyperlink r:id="rId2323" w:history="1">
        <w:r w:rsidRPr="002D36F9">
          <w:rPr>
            <w:rStyle w:val="Hyperlink"/>
            <w:rFonts w:ascii="Times New Roman" w:hAnsi="Times New Roman"/>
            <w:sz w:val="24"/>
            <w:szCs w:val="24"/>
          </w:rPr>
          <w:t>https://public.fastcase.com/Wl%2B2t%2BeVuI35%2FN70vAMFZhZJi56QhK5aeAu9BSRcXQy3N2tA%2FHS1iSBZTTlZLCgr</w:t>
        </w:r>
      </w:hyperlink>
      <w:r>
        <w:rPr>
          <w:rFonts w:ascii="Times New Roman" w:hAnsi="Times New Roman"/>
          <w:sz w:val="24"/>
          <w:szCs w:val="24"/>
        </w:rPr>
        <w:t xml:space="preserve"> </w:t>
      </w:r>
    </w:p>
    <w:p w14:paraId="5033E1DA" w14:textId="77777777" w:rsidR="00AD5461" w:rsidRPr="000314A1" w:rsidRDefault="00AD5461" w:rsidP="00AD5461">
      <w:pPr>
        <w:pStyle w:val="Heading1"/>
        <w:tabs>
          <w:tab w:val="left" w:pos="2810"/>
        </w:tabs>
        <w:rPr>
          <w:sz w:val="24"/>
          <w:szCs w:val="24"/>
        </w:rPr>
      </w:pPr>
      <w:r w:rsidRPr="000314A1">
        <w:rPr>
          <w:sz w:val="24"/>
          <w:szCs w:val="24"/>
        </w:rPr>
        <w:t>Legal Lesson Learned</w:t>
      </w:r>
      <w:r>
        <w:rPr>
          <w:sz w:val="24"/>
          <w:szCs w:val="24"/>
        </w:rPr>
        <w:t>: Pre-trial discovery in the civil suit may now process, including depositions of police officers and EMS; these emergency responders may decide to refuse to testify under 5</w:t>
      </w:r>
      <w:r w:rsidRPr="000314A1">
        <w:rPr>
          <w:sz w:val="24"/>
          <w:szCs w:val="24"/>
          <w:vertAlign w:val="superscript"/>
        </w:rPr>
        <w:t>th</w:t>
      </w:r>
      <w:r>
        <w:rPr>
          <w:sz w:val="24"/>
          <w:szCs w:val="24"/>
        </w:rPr>
        <w:t xml:space="preserve"> Amendment protection against self-incrimination until the criminal investigation is resolved. </w:t>
      </w:r>
    </w:p>
    <w:p w14:paraId="716C53A4" w14:textId="77777777" w:rsidR="00AD5461" w:rsidRPr="000410C9" w:rsidRDefault="00AD5461" w:rsidP="00AD5461">
      <w:pPr>
        <w:pStyle w:val="Heading1"/>
        <w:ind w:left="720"/>
        <w:rPr>
          <w:b w:val="0"/>
          <w:bCs w:val="0"/>
          <w:sz w:val="24"/>
          <w:szCs w:val="24"/>
        </w:rPr>
      </w:pPr>
      <w:r>
        <w:rPr>
          <w:b w:val="0"/>
          <w:bCs w:val="0"/>
          <w:sz w:val="24"/>
          <w:szCs w:val="24"/>
        </w:rPr>
        <w:t xml:space="preserve">Note: </w:t>
      </w:r>
      <w:r w:rsidRPr="000410C9">
        <w:rPr>
          <w:b w:val="0"/>
          <w:bCs w:val="0"/>
          <w:sz w:val="24"/>
          <w:szCs w:val="24"/>
        </w:rPr>
        <w:t xml:space="preserve">Read this </w:t>
      </w:r>
      <w:r>
        <w:rPr>
          <w:b w:val="0"/>
          <w:bCs w:val="0"/>
          <w:sz w:val="24"/>
          <w:szCs w:val="24"/>
        </w:rPr>
        <w:t>entire A</w:t>
      </w:r>
      <w:r w:rsidRPr="000410C9">
        <w:rPr>
          <w:b w:val="0"/>
          <w:bCs w:val="0"/>
          <w:sz w:val="24"/>
          <w:szCs w:val="24"/>
        </w:rPr>
        <w:t xml:space="preserve">ug. 11, </w:t>
      </w:r>
      <w:proofErr w:type="gramStart"/>
      <w:r w:rsidRPr="000410C9">
        <w:rPr>
          <w:b w:val="0"/>
          <w:bCs w:val="0"/>
          <w:sz w:val="24"/>
          <w:szCs w:val="24"/>
        </w:rPr>
        <w:t>2021</w:t>
      </w:r>
      <w:proofErr w:type="gramEnd"/>
      <w:r w:rsidRPr="000410C9">
        <w:rPr>
          <w:b w:val="0"/>
          <w:bCs w:val="0"/>
          <w:sz w:val="24"/>
          <w:szCs w:val="24"/>
        </w:rPr>
        <w:t xml:space="preserve"> article: </w:t>
      </w:r>
      <w:r>
        <w:rPr>
          <w:b w:val="0"/>
          <w:bCs w:val="0"/>
          <w:sz w:val="24"/>
          <w:szCs w:val="24"/>
        </w:rPr>
        <w:t>“</w:t>
      </w:r>
      <w:r w:rsidRPr="000410C9">
        <w:rPr>
          <w:b w:val="0"/>
          <w:bCs w:val="0"/>
          <w:sz w:val="24"/>
          <w:szCs w:val="24"/>
        </w:rPr>
        <w:t>What We Know About the Killing of Elijah McClain</w:t>
      </w:r>
      <w:r>
        <w:rPr>
          <w:b w:val="0"/>
          <w:bCs w:val="0"/>
          <w:sz w:val="24"/>
          <w:szCs w:val="24"/>
        </w:rPr>
        <w:t xml:space="preserve">.” </w:t>
      </w:r>
      <w:hyperlink r:id="rId2324" w:history="1">
        <w:r w:rsidRPr="002F4AC3">
          <w:rPr>
            <w:rStyle w:val="Hyperlink"/>
            <w:b w:val="0"/>
            <w:bCs w:val="0"/>
            <w:sz w:val="24"/>
            <w:szCs w:val="24"/>
          </w:rPr>
          <w:t>https://www.thecut.com/2020/08/the-killing-of-elijah-mcclain-everything-we-know.html</w:t>
        </w:r>
      </w:hyperlink>
      <w:r>
        <w:rPr>
          <w:b w:val="0"/>
          <w:bCs w:val="0"/>
          <w:sz w:val="24"/>
          <w:szCs w:val="24"/>
        </w:rPr>
        <w:t xml:space="preserve"> </w:t>
      </w:r>
    </w:p>
    <w:p w14:paraId="578A68F8" w14:textId="77777777" w:rsidR="00AD5461" w:rsidRDefault="00AD5461" w:rsidP="002B1283">
      <w:pPr>
        <w:rPr>
          <w:rFonts w:ascii="Arial Black" w:hAnsi="Arial Black"/>
          <w:b/>
          <w:bCs/>
          <w:sz w:val="28"/>
          <w:szCs w:val="28"/>
        </w:rPr>
      </w:pPr>
    </w:p>
    <w:p w14:paraId="61142EE4" w14:textId="77777777" w:rsidR="00AD5461" w:rsidRDefault="00AD5461" w:rsidP="002B1283">
      <w:pPr>
        <w:rPr>
          <w:rFonts w:ascii="Arial Black" w:hAnsi="Arial Black"/>
          <w:b/>
          <w:bCs/>
          <w:sz w:val="28"/>
          <w:szCs w:val="28"/>
        </w:rPr>
      </w:pPr>
    </w:p>
    <w:p w14:paraId="6A206B8B" w14:textId="77777777" w:rsidR="00AD5461" w:rsidRDefault="00AD5461" w:rsidP="002B1283">
      <w:pPr>
        <w:rPr>
          <w:rFonts w:ascii="Arial Black" w:hAnsi="Arial Black"/>
          <w:b/>
          <w:bCs/>
          <w:sz w:val="28"/>
          <w:szCs w:val="28"/>
        </w:rPr>
      </w:pPr>
    </w:p>
    <w:p w14:paraId="230D1CD9" w14:textId="5E57D201" w:rsidR="00F37F48" w:rsidRDefault="00F37F48" w:rsidP="002B1283">
      <w:pPr>
        <w:rPr>
          <w:rFonts w:ascii="Arial Black" w:hAnsi="Arial Black"/>
          <w:b/>
          <w:bCs/>
          <w:sz w:val="28"/>
          <w:szCs w:val="28"/>
        </w:rPr>
      </w:pPr>
      <w:r>
        <w:rPr>
          <w:rFonts w:ascii="Arial Black" w:hAnsi="Arial Black"/>
          <w:b/>
          <w:bCs/>
          <w:sz w:val="28"/>
          <w:szCs w:val="28"/>
        </w:rPr>
        <w:t>13-78</w:t>
      </w:r>
    </w:p>
    <w:p w14:paraId="311238AD" w14:textId="77777777" w:rsidR="00F37F48" w:rsidRDefault="00F37F48" w:rsidP="00F37F48">
      <w:pPr>
        <w:rPr>
          <w:rFonts w:ascii="Arial Black" w:hAnsi="Arial Black" w:cstheme="minorBidi"/>
          <w:sz w:val="28"/>
          <w:szCs w:val="28"/>
        </w:rPr>
      </w:pPr>
      <w:r>
        <w:rPr>
          <w:rFonts w:ascii="Arial Black" w:hAnsi="Arial Black"/>
          <w:sz w:val="28"/>
          <w:szCs w:val="28"/>
        </w:rPr>
        <w:t>MA: EMS RUN REPORT DOCUMENTED VICTIM’S “EXCITED UTTERANCES” – ADMISSIBLE IN HUSBAND’S ASSAULT TRIAL</w:t>
      </w:r>
    </w:p>
    <w:p w14:paraId="2315244F" w14:textId="77777777" w:rsidR="00F37F48" w:rsidRDefault="00F37F48" w:rsidP="00F37F48">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On Dec. 31, 2020, in </w:t>
      </w:r>
      <w:r>
        <w:rPr>
          <w:rFonts w:ascii="Times New Roman" w:eastAsia="Times New Roman" w:hAnsi="Times New Roman"/>
          <w:sz w:val="24"/>
          <w:szCs w:val="24"/>
          <w:u w:val="single"/>
        </w:rPr>
        <w:t>Commonwealth v. Chayanne Toledo</w:t>
      </w:r>
      <w:r>
        <w:rPr>
          <w:rFonts w:ascii="Times New Roman" w:eastAsia="Times New Roman" w:hAnsi="Times New Roman"/>
          <w:sz w:val="24"/>
          <w:szCs w:val="24"/>
        </w:rPr>
        <w:t xml:space="preserve">, the Commonwealth of Massachusetts Appeals Court held (3 to 0) that trial judge properly allowed EMS patient care report, quoting with wife’s comments at scene, allowed in evidence as record of her “excited utterances” even though she refused to testify at trial relying on the husband-wife privilege. </w:t>
      </w:r>
    </w:p>
    <w:p w14:paraId="7D1EADE8" w14:textId="77777777" w:rsidR="00F37F48" w:rsidRDefault="00F37F48" w:rsidP="00F37F48">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lastRenderedPageBreak/>
        <w:t xml:space="preserve">“First, in light of the evidence that Sally was crying, agitated, and in pain when she spoke with the EMTs, the judge’s ruling that her statements during the examination qualified as excited utterances was not an abuse of discretion.” </w:t>
      </w:r>
      <w:hyperlink r:id="rId2325" w:history="1">
        <w:r>
          <w:rPr>
            <w:rStyle w:val="Hyperlink"/>
          </w:rPr>
          <w:t>https://public.fastcase.com/Wl%2B2t%2BeVuI35%2FN70vAMFZswpqbyXpWGBMOIhfQ%2Fu%2FM0PzW3B3UkJbasWbumeQ3Ct</w:t>
        </w:r>
      </w:hyperlink>
      <w:r>
        <w:rPr>
          <w:rFonts w:ascii="Times New Roman" w:eastAsia="Times New Roman" w:hAnsi="Times New Roman"/>
          <w:sz w:val="24"/>
          <w:szCs w:val="24"/>
        </w:rPr>
        <w:t xml:space="preserve"> </w:t>
      </w:r>
    </w:p>
    <w:p w14:paraId="5EE839E8" w14:textId="77777777" w:rsidR="00F37F48" w:rsidRDefault="00F37F48" w:rsidP="00F37F48">
      <w:pPr>
        <w:spacing w:before="100" w:beforeAutospacing="1" w:after="100" w:afterAutospacing="1" w:line="240" w:lineRule="auto"/>
        <w:rPr>
          <w:rFonts w:ascii="Times New Roman" w:eastAsia="Times New Roman" w:hAnsi="Times New Roman"/>
          <w:b/>
          <w:bCs/>
          <w:sz w:val="24"/>
          <w:szCs w:val="24"/>
        </w:rPr>
      </w:pPr>
      <w:r>
        <w:rPr>
          <w:rFonts w:ascii="Times New Roman" w:eastAsia="Times New Roman" w:hAnsi="Times New Roman"/>
          <w:b/>
          <w:bCs/>
          <w:sz w:val="24"/>
          <w:szCs w:val="24"/>
        </w:rPr>
        <w:t xml:space="preserve">Legal Lesson Learned: Best practice to include in EMS Patient Care Report the actual words of the victim. </w:t>
      </w:r>
    </w:p>
    <w:p w14:paraId="383DAC92" w14:textId="77777777" w:rsidR="00F37F48" w:rsidRDefault="00F37F48" w:rsidP="002B1283">
      <w:pPr>
        <w:rPr>
          <w:rFonts w:ascii="Arial Black" w:hAnsi="Arial Black"/>
          <w:b/>
          <w:bCs/>
          <w:sz w:val="28"/>
          <w:szCs w:val="28"/>
        </w:rPr>
      </w:pPr>
    </w:p>
    <w:p w14:paraId="162EB13D" w14:textId="0A8708BC" w:rsidR="00F37F48" w:rsidRDefault="00F37F48" w:rsidP="002B1283">
      <w:pPr>
        <w:rPr>
          <w:rFonts w:ascii="Arial Black" w:hAnsi="Arial Black"/>
          <w:b/>
          <w:bCs/>
          <w:sz w:val="28"/>
          <w:szCs w:val="28"/>
        </w:rPr>
      </w:pPr>
      <w:r>
        <w:rPr>
          <w:rFonts w:ascii="Arial Black" w:hAnsi="Arial Black"/>
          <w:b/>
          <w:bCs/>
          <w:sz w:val="28"/>
          <w:szCs w:val="28"/>
        </w:rPr>
        <w:t>13-77</w:t>
      </w:r>
    </w:p>
    <w:p w14:paraId="701F0CFF" w14:textId="77777777" w:rsidR="00F37F48" w:rsidRDefault="00F37F48" w:rsidP="00F37F48">
      <w:pPr>
        <w:rPr>
          <w:rFonts w:ascii="Arial Black" w:eastAsia="Times New Roman" w:hAnsi="Arial Black"/>
          <w:b/>
          <w:bCs/>
          <w:sz w:val="28"/>
          <w:szCs w:val="28"/>
        </w:rPr>
      </w:pPr>
      <w:r>
        <w:rPr>
          <w:rFonts w:ascii="Arial Black" w:eastAsia="Times New Roman" w:hAnsi="Arial Black"/>
          <w:b/>
          <w:bCs/>
          <w:sz w:val="28"/>
          <w:szCs w:val="28"/>
        </w:rPr>
        <w:t>IL: ASTHMA PATIENT INTUBATED, BUT IN ESOPHAGUS –EMS FOLLOWED TRAINING ASSESSING PATIENT – CITY IMMUNITY</w:t>
      </w:r>
    </w:p>
    <w:p w14:paraId="7242892C" w14:textId="77777777" w:rsidR="00F37F48" w:rsidRDefault="00F37F48" w:rsidP="00F37F48">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On Dec. 28, 2020, in </w:t>
      </w:r>
      <w:r>
        <w:rPr>
          <w:rFonts w:ascii="Times New Roman" w:eastAsia="Times New Roman" w:hAnsi="Times New Roman"/>
          <w:sz w:val="24"/>
          <w:szCs w:val="24"/>
          <w:u w:val="single"/>
        </w:rPr>
        <w:t>Sally Gray, as Administrator of the Estate of Amanda Gary v. The City of Calumet City</w:t>
      </w:r>
      <w:r>
        <w:rPr>
          <w:rFonts w:ascii="Times New Roman" w:eastAsia="Times New Roman" w:hAnsi="Times New Roman"/>
          <w:b/>
          <w:bCs/>
          <w:sz w:val="24"/>
          <w:szCs w:val="24"/>
        </w:rPr>
        <w:t xml:space="preserve">, </w:t>
      </w:r>
      <w:r>
        <w:rPr>
          <w:rFonts w:ascii="Times New Roman" w:eastAsia="Times New Roman" w:hAnsi="Times New Roman"/>
          <w:sz w:val="24"/>
          <w:szCs w:val="24"/>
        </w:rPr>
        <w:t>the</w:t>
      </w:r>
      <w:r>
        <w:rPr>
          <w:rFonts w:ascii="Times New Roman" w:eastAsia="Times New Roman" w:hAnsi="Times New Roman"/>
          <w:b/>
          <w:bCs/>
          <w:sz w:val="24"/>
          <w:szCs w:val="24"/>
        </w:rPr>
        <w:t xml:space="preserve"> </w:t>
      </w:r>
      <w:r>
        <w:rPr>
          <w:rFonts w:ascii="Times New Roman" w:eastAsia="Times New Roman" w:hAnsi="Times New Roman"/>
          <w:sz w:val="24"/>
          <w:szCs w:val="24"/>
        </w:rPr>
        <w:t>Appellate Court of Illinois, First District (First Division), 2020 IL App (1</w:t>
      </w:r>
      <w:r>
        <w:rPr>
          <w:rFonts w:ascii="Times New Roman" w:eastAsia="Times New Roman" w:hAnsi="Times New Roman"/>
          <w:sz w:val="24"/>
          <w:szCs w:val="24"/>
          <w:vertAlign w:val="superscript"/>
        </w:rPr>
        <w:t>st</w:t>
      </w:r>
      <w:r>
        <w:rPr>
          <w:rFonts w:ascii="Times New Roman" w:eastAsia="Times New Roman" w:hAnsi="Times New Roman"/>
          <w:sz w:val="24"/>
          <w:szCs w:val="24"/>
        </w:rPr>
        <w:t xml:space="preserve">) 191812, held (4 to 0, unreported decision) that the trial court properly granted summary judgment to the City; plaintiff argued that in assessing intubation, medics did not document O2 SAT from pulse ox, but FD training officer confirmed better methods of assessing placement of ET tube.  </w:t>
      </w:r>
    </w:p>
    <w:p w14:paraId="7D95449B" w14:textId="77777777" w:rsidR="00F37F48" w:rsidRDefault="00F37F48" w:rsidP="00F37F48">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“[D]</w:t>
      </w:r>
      <w:proofErr w:type="spellStart"/>
      <w:r>
        <w:rPr>
          <w:rFonts w:ascii="Times New Roman" w:eastAsia="Times New Roman" w:hAnsi="Times New Roman"/>
          <w:sz w:val="24"/>
          <w:szCs w:val="24"/>
        </w:rPr>
        <w:t>eputy</w:t>
      </w:r>
      <w:proofErr w:type="spellEnd"/>
      <w:r>
        <w:rPr>
          <w:rFonts w:ascii="Times New Roman" w:eastAsia="Times New Roman" w:hAnsi="Times New Roman"/>
          <w:sz w:val="24"/>
          <w:szCs w:val="24"/>
        </w:rPr>
        <w:t xml:space="preserve"> fire chief Peter Bendinelli, who </w:t>
      </w:r>
      <w:proofErr w:type="gramStart"/>
      <w:r>
        <w:rPr>
          <w:rFonts w:ascii="Times New Roman" w:eastAsia="Times New Roman" w:hAnsi="Times New Roman"/>
          <w:sz w:val="24"/>
          <w:szCs w:val="24"/>
        </w:rPr>
        <w:t>was in charge of</w:t>
      </w:r>
      <w:proofErr w:type="gramEnd"/>
      <w:r>
        <w:rPr>
          <w:rFonts w:ascii="Times New Roman" w:eastAsia="Times New Roman" w:hAnsi="Times New Roman"/>
          <w:sz w:val="24"/>
          <w:szCs w:val="24"/>
        </w:rPr>
        <w:t xml:space="preserve"> the fire department’s emergency medical services training from 2009 to 2017, opined that pulse oximeter readings were not important in assessing an intubation. He gave two reasons: First, the </w:t>
      </w:r>
      <w:proofErr w:type="gramStart"/>
      <w:r>
        <w:rPr>
          <w:rFonts w:ascii="Times New Roman" w:eastAsia="Times New Roman" w:hAnsi="Times New Roman"/>
          <w:sz w:val="24"/>
          <w:szCs w:val="24"/>
        </w:rPr>
        <w:t>readings</w:t>
      </w:r>
      <w:proofErr w:type="gramEnd"/>
      <w:r>
        <w:rPr>
          <w:rFonts w:ascii="Times New Roman" w:eastAsia="Times New Roman" w:hAnsi="Times New Roman"/>
          <w:sz w:val="24"/>
          <w:szCs w:val="24"/>
        </w:rPr>
        <w:t xml:space="preserve"> might be inaccurate. Second, even if accurate, a drop in blood oxygen levels might be caused by patient heart failure rather than an error in intubation. Thus, rather than relying on a pulse oximeter, Bendinelli would consider lung and abdominal sounds, chest rise and fall, CO</w:t>
      </w:r>
      <w:r>
        <w:rPr>
          <w:rFonts w:ascii="Times New Roman" w:eastAsia="Times New Roman" w:hAnsi="Times New Roman"/>
          <w:sz w:val="24"/>
          <w:szCs w:val="24"/>
          <w:vertAlign w:val="subscript"/>
        </w:rPr>
        <w:t>2</w:t>
      </w:r>
      <w:r>
        <w:rPr>
          <w:rFonts w:ascii="Times New Roman" w:eastAsia="Times New Roman" w:hAnsi="Times New Roman"/>
          <w:sz w:val="24"/>
          <w:szCs w:val="24"/>
        </w:rPr>
        <w:t xml:space="preserve"> monitoring, the presence of condensation on the breathing tube, and the color of the patient’s skin. Bendinelli trained ambulance crews in accordance with this protocol.</w:t>
      </w:r>
    </w:p>
    <w:p w14:paraId="6275F69A" w14:textId="77777777" w:rsidR="00F37F48" w:rsidRDefault="00F37F48" w:rsidP="00F37F48">
      <w:pPr>
        <w:spacing w:before="100" w:beforeAutospacing="1" w:after="100" w:afterAutospacing="1" w:line="240" w:lineRule="auto"/>
        <w:ind w:left="720"/>
        <w:rPr>
          <w:rFonts w:ascii="Times New Roman" w:eastAsia="Times New Roman" w:hAnsi="Times New Roman"/>
          <w:b/>
          <w:bCs/>
          <w:sz w:val="24"/>
          <w:szCs w:val="24"/>
        </w:rPr>
      </w:pPr>
      <w:r>
        <w:rPr>
          <w:rFonts w:ascii="Times New Roman" w:hAnsi="Times New Roman"/>
          <w:sz w:val="24"/>
          <w:szCs w:val="24"/>
        </w:rPr>
        <w:t xml:space="preserve">To defeat summary judgment, plaintiff would have had to present evidence that the </w:t>
      </w:r>
      <w:proofErr w:type="gramStart"/>
      <w:r>
        <w:rPr>
          <w:rFonts w:ascii="Times New Roman" w:hAnsi="Times New Roman"/>
          <w:sz w:val="24"/>
          <w:szCs w:val="24"/>
        </w:rPr>
        <w:t>City</w:t>
      </w:r>
      <w:proofErr w:type="gramEnd"/>
      <w:r>
        <w:rPr>
          <w:rFonts w:ascii="Times New Roman" w:hAnsi="Times New Roman"/>
          <w:sz w:val="24"/>
          <w:szCs w:val="24"/>
        </w:rPr>
        <w:t xml:space="preserve"> either knew </w:t>
      </w:r>
      <w:r>
        <w:rPr>
          <w:rFonts w:ascii="Times New Roman" w:eastAsia="Times New Roman" w:hAnsi="Times New Roman"/>
          <w:sz w:val="24"/>
          <w:szCs w:val="24"/>
        </w:rPr>
        <w:t xml:space="preserve">[Deputy fire chief] </w:t>
      </w:r>
      <w:r>
        <w:rPr>
          <w:rFonts w:ascii="Times New Roman" w:hAnsi="Times New Roman"/>
          <w:sz w:val="24"/>
          <w:szCs w:val="24"/>
        </w:rPr>
        <w:t xml:space="preserve">Bendinelli’s training imperiled patients or that the </w:t>
      </w:r>
      <w:proofErr w:type="gramStart"/>
      <w:r>
        <w:rPr>
          <w:rFonts w:ascii="Times New Roman" w:hAnsi="Times New Roman"/>
          <w:sz w:val="24"/>
          <w:szCs w:val="24"/>
        </w:rPr>
        <w:t>City</w:t>
      </w:r>
      <w:proofErr w:type="gramEnd"/>
      <w:r>
        <w:rPr>
          <w:rFonts w:ascii="Times New Roman" w:hAnsi="Times New Roman"/>
          <w:sz w:val="24"/>
          <w:szCs w:val="24"/>
        </w:rPr>
        <w:t xml:space="preserve"> failed to recognize this danger through recklessness. </w:t>
      </w:r>
      <w:r>
        <w:rPr>
          <w:rFonts w:ascii="Times New Roman" w:hAnsi="Times New Roman"/>
          <w:i/>
          <w:iCs/>
          <w:sz w:val="24"/>
          <w:szCs w:val="24"/>
        </w:rPr>
        <w:t>Affatato v</w:t>
      </w:r>
      <w:r>
        <w:rPr>
          <w:rFonts w:ascii="Times New Roman" w:hAnsi="Times New Roman"/>
          <w:sz w:val="24"/>
          <w:szCs w:val="24"/>
        </w:rPr>
        <w:t xml:space="preserve">. </w:t>
      </w:r>
      <w:r>
        <w:rPr>
          <w:rFonts w:ascii="Times New Roman" w:hAnsi="Times New Roman"/>
          <w:i/>
          <w:iCs/>
          <w:sz w:val="24"/>
          <w:szCs w:val="24"/>
        </w:rPr>
        <w:t>Jewel Cos</w:t>
      </w:r>
      <w:r>
        <w:rPr>
          <w:rFonts w:ascii="Times New Roman" w:hAnsi="Times New Roman"/>
          <w:sz w:val="24"/>
          <w:szCs w:val="24"/>
        </w:rPr>
        <w:t xml:space="preserve">., 259 Ill. App. 3d 787, 800 (1994). Plaintiff presented no such evidence. On the contrary, all three of Amanda’s treating physicians corroborated Bendinelli’s statement that pulse oximeter readings can be inaccurate. </w:t>
      </w:r>
      <w:proofErr w:type="gramStart"/>
      <w:r>
        <w:rPr>
          <w:rFonts w:ascii="Times New Roman" w:hAnsi="Times New Roman"/>
          <w:sz w:val="24"/>
          <w:szCs w:val="24"/>
        </w:rPr>
        <w:t>In light of</w:t>
      </w:r>
      <w:proofErr w:type="gramEnd"/>
      <w:r>
        <w:rPr>
          <w:rFonts w:ascii="Times New Roman" w:hAnsi="Times New Roman"/>
          <w:sz w:val="24"/>
          <w:szCs w:val="24"/>
        </w:rPr>
        <w:t xml:space="preserve"> their testimony, plaintiff has not presented an issue of fact as to whether Bendinelli’s training reflects an utter indifference to patients’ safety. </w:t>
      </w:r>
      <w:hyperlink r:id="rId2326" w:history="1">
        <w:r>
          <w:rPr>
            <w:rStyle w:val="Hyperlink"/>
          </w:rPr>
          <w:t>https://public.fastcase.com/Wl%2B2t%2BeVuI35%2FN70vAMFZhgQRMSlTmc31zPzZvHhe6G3UFiDUpDiHM1BEG64P0h7</w:t>
        </w:r>
      </w:hyperlink>
      <w:r>
        <w:rPr>
          <w:rFonts w:ascii="Times New Roman" w:hAnsi="Times New Roman"/>
          <w:sz w:val="24"/>
          <w:szCs w:val="24"/>
        </w:rPr>
        <w:t xml:space="preserve"> </w:t>
      </w:r>
    </w:p>
    <w:p w14:paraId="4D7FE6E5" w14:textId="77777777" w:rsidR="00F37F48" w:rsidRDefault="00F37F48" w:rsidP="00F37F48">
      <w:pPr>
        <w:tabs>
          <w:tab w:val="left" w:pos="3060"/>
        </w:tabs>
        <w:spacing w:before="100" w:beforeAutospacing="1" w:after="100" w:afterAutospacing="1" w:line="240" w:lineRule="auto"/>
        <w:rPr>
          <w:rFonts w:ascii="Times New Roman" w:eastAsia="Times New Roman" w:hAnsi="Times New Roman"/>
          <w:b/>
          <w:bCs/>
          <w:sz w:val="24"/>
          <w:szCs w:val="24"/>
        </w:rPr>
      </w:pPr>
      <w:r>
        <w:rPr>
          <w:rFonts w:ascii="Times New Roman" w:hAnsi="Times New Roman"/>
          <w:b/>
          <w:bCs/>
          <w:sz w:val="24"/>
          <w:szCs w:val="24"/>
        </w:rPr>
        <w:t xml:space="preserve">Legal Lesson Learned: Follow EMS protocols when confirming intubation was properly placed, and document your confirmation. </w:t>
      </w:r>
    </w:p>
    <w:p w14:paraId="23578892" w14:textId="77777777" w:rsidR="00F37F48" w:rsidRDefault="00F37F48" w:rsidP="002B1283">
      <w:pPr>
        <w:rPr>
          <w:rFonts w:ascii="Arial Black" w:hAnsi="Arial Black"/>
          <w:b/>
          <w:bCs/>
          <w:sz w:val="28"/>
          <w:szCs w:val="28"/>
        </w:rPr>
      </w:pPr>
    </w:p>
    <w:p w14:paraId="38933239" w14:textId="4FBA4D31" w:rsidR="00F37F48" w:rsidRDefault="00F37F48" w:rsidP="002B1283">
      <w:pPr>
        <w:rPr>
          <w:rFonts w:ascii="Arial Black" w:hAnsi="Arial Black"/>
          <w:b/>
          <w:bCs/>
          <w:sz w:val="28"/>
          <w:szCs w:val="28"/>
        </w:rPr>
      </w:pPr>
      <w:r>
        <w:rPr>
          <w:rFonts w:ascii="Arial Black" w:hAnsi="Arial Black"/>
          <w:b/>
          <w:bCs/>
          <w:sz w:val="28"/>
          <w:szCs w:val="28"/>
        </w:rPr>
        <w:t>13-76</w:t>
      </w:r>
    </w:p>
    <w:p w14:paraId="0488F9DA" w14:textId="77777777" w:rsidR="00F37F48" w:rsidRDefault="00F37F48" w:rsidP="00F37F48">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lastRenderedPageBreak/>
        <w:t>DC: NEW FED. LAW - PATIENTS PROTECTED “SURPRISE MEDICAL BILLS” – INCLUDING AIR CARE, NEGOTIATE WITH INSURER</w:t>
      </w:r>
    </w:p>
    <w:p w14:paraId="15E5D0D4" w14:textId="77777777" w:rsidR="00F37F48" w:rsidRDefault="00F37F48" w:rsidP="00F37F48">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On Dec. 21, 2020, as part of the </w:t>
      </w:r>
      <w:proofErr w:type="gramStart"/>
      <w:r>
        <w:rPr>
          <w:rFonts w:ascii="Times New Roman" w:eastAsia="Times New Roman" w:hAnsi="Times New Roman"/>
          <w:sz w:val="24"/>
          <w:szCs w:val="24"/>
        </w:rPr>
        <w:t>5,500 page</w:t>
      </w:r>
      <w:proofErr w:type="gramEnd"/>
      <w:r>
        <w:rPr>
          <w:rFonts w:ascii="Times New Roman" w:eastAsia="Times New Roman" w:hAnsi="Times New Roman"/>
          <w:sz w:val="24"/>
          <w:szCs w:val="24"/>
        </w:rPr>
        <w:t xml:space="preserve"> COVID-19 relief bill, Congress also enacted a new statute to protect patients from “surprise medical bills.” </w:t>
      </w:r>
    </w:p>
    <w:p w14:paraId="2C890412" w14:textId="77777777" w:rsidR="00F37F48" w:rsidRDefault="00F37F48" w:rsidP="00F37F48">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The House Ways &amp; Means Committee described the protections in the House bill, </w:t>
      </w:r>
      <w:r>
        <w:rPr>
          <w:rFonts w:ascii="Times New Roman" w:hAnsi="Times New Roman"/>
          <w:sz w:val="24"/>
          <w:szCs w:val="24"/>
        </w:rPr>
        <w:t xml:space="preserve">“Consumer Protections Against Surprise Medical Bills Act of 2020 Summary.” </w:t>
      </w:r>
    </w:p>
    <w:p w14:paraId="1F6E0314" w14:textId="77777777" w:rsidR="00F37F48" w:rsidRDefault="00F37F48" w:rsidP="00F37F48">
      <w:pPr>
        <w:spacing w:before="100" w:beforeAutospacing="1" w:after="100" w:afterAutospacing="1" w:line="240" w:lineRule="auto"/>
        <w:ind w:left="360"/>
        <w:rPr>
          <w:rStyle w:val="Hyperlink"/>
          <w:rFonts w:asciiTheme="minorHAnsi" w:eastAsiaTheme="minorHAnsi" w:hAnsiTheme="minorHAnsi" w:cstheme="minorBidi"/>
        </w:rPr>
      </w:pPr>
      <w:r>
        <w:rPr>
          <w:rFonts w:ascii="Times New Roman" w:hAnsi="Times New Roman"/>
          <w:sz w:val="24"/>
          <w:szCs w:val="24"/>
        </w:rPr>
        <w:t xml:space="preserve">“The bill protects patients from surprise medical bills for out-of-network services. Providers (including facilities) will be prohibited from balance billing patients for surprise services. Patients cannot be charged more than the in-network cost-sharing amount.” </w:t>
      </w:r>
      <w:hyperlink r:id="rId2327" w:history="1">
        <w:r>
          <w:rPr>
            <w:rStyle w:val="Hyperlink"/>
          </w:rPr>
          <w:t>https://waysandmeans.house.gov/sites/democrats.waysandmeans.house.gov/files/documents/Ways%20and%20Means%20Surprise%20Billing%20Summary_02%2006%2020%20(final).pdf</w:t>
        </w:r>
      </w:hyperlink>
    </w:p>
    <w:p w14:paraId="5A78D641" w14:textId="77777777" w:rsidR="00F37F48" w:rsidRDefault="00F37F48" w:rsidP="00F37F48">
      <w:pPr>
        <w:pStyle w:val="NoSpacing"/>
        <w:jc w:val="both"/>
        <w:rPr>
          <w:rFonts w:ascii="Times New Roman" w:eastAsia="Times New Roman" w:hAnsi="Times New Roman"/>
          <w:sz w:val="24"/>
          <w:szCs w:val="24"/>
        </w:rPr>
      </w:pPr>
      <w:r>
        <w:rPr>
          <w:rFonts w:ascii="Times New Roman" w:eastAsia="Times New Roman" w:hAnsi="Times New Roman"/>
          <w:sz w:val="24"/>
          <w:szCs w:val="24"/>
        </w:rPr>
        <w:t>The Association of Air Medical Services described the new provisions:</w:t>
      </w:r>
    </w:p>
    <w:p w14:paraId="68C05A18" w14:textId="77777777" w:rsidR="00F37F48" w:rsidRDefault="00F37F48" w:rsidP="00F37F48">
      <w:pPr>
        <w:pStyle w:val="NormalWeb"/>
        <w:ind w:left="360"/>
      </w:pPr>
      <w:r>
        <w:t>“AAMS has learned that the year-end spending and COVID relief package includes the balance billing solution that has been under intense negotiation since Dec. 11</w:t>
      </w:r>
      <w:r>
        <w:rPr>
          <w:vertAlign w:val="superscript"/>
        </w:rPr>
        <w:t>th</w:t>
      </w:r>
      <w:r>
        <w:t xml:space="preserve">. An AAMS Statement on the legislation can be found </w:t>
      </w:r>
      <w:hyperlink r:id="rId2328" w:tgtFrame="_blank" w:history="1">
        <w:r>
          <w:rPr>
            <w:rStyle w:val="Hyperlink"/>
          </w:rPr>
          <w:t>here</w:t>
        </w:r>
      </w:hyperlink>
      <w:r>
        <w:t>. *</w:t>
      </w:r>
      <w:r>
        <w:br/>
      </w:r>
      <w:r>
        <w:br/>
        <w:t xml:space="preserve">The legislation includes air ambulance provisions and is expected to pass both House and Senate as the Congress makes its final votes </w:t>
      </w:r>
      <w:proofErr w:type="gramStart"/>
      <w:r>
        <w:t>of</w:t>
      </w:r>
      <w:proofErr w:type="gramEnd"/>
      <w:r>
        <w:t xml:space="preserve"> 2020. The provisions in the bill </w:t>
      </w:r>
      <w:proofErr w:type="gramStart"/>
      <w:r>
        <w:t>effecting</w:t>
      </w:r>
      <w:proofErr w:type="gramEnd"/>
      <w:r>
        <w:t xml:space="preserve"> air ambulances are as follows:</w:t>
      </w:r>
    </w:p>
    <w:p w14:paraId="364D4CCC" w14:textId="77777777" w:rsidR="00F37F48" w:rsidRPr="00034FEA" w:rsidRDefault="00F37F48" w:rsidP="00F37F48">
      <w:pPr>
        <w:numPr>
          <w:ilvl w:val="0"/>
          <w:numId w:val="9"/>
        </w:numPr>
        <w:spacing w:before="100" w:beforeAutospacing="1" w:after="100" w:afterAutospacing="1" w:line="240" w:lineRule="auto"/>
        <w:rPr>
          <w:rFonts w:ascii="Times New Roman" w:hAnsi="Times New Roman"/>
          <w:sz w:val="24"/>
          <w:szCs w:val="24"/>
        </w:rPr>
      </w:pPr>
      <w:r w:rsidRPr="00034FEA">
        <w:rPr>
          <w:rFonts w:ascii="Times New Roman" w:hAnsi="Times New Roman"/>
          <w:sz w:val="24"/>
          <w:szCs w:val="24"/>
        </w:rPr>
        <w:t>Prohibition on balance billing patients.</w:t>
      </w:r>
    </w:p>
    <w:p w14:paraId="4E87EE2C" w14:textId="77777777" w:rsidR="00F37F48" w:rsidRPr="00034FEA" w:rsidRDefault="00F37F48" w:rsidP="00F37F48">
      <w:pPr>
        <w:numPr>
          <w:ilvl w:val="0"/>
          <w:numId w:val="9"/>
        </w:numPr>
        <w:spacing w:before="100" w:beforeAutospacing="1" w:after="100" w:afterAutospacing="1" w:line="240" w:lineRule="auto"/>
        <w:rPr>
          <w:rFonts w:ascii="Times New Roman" w:hAnsi="Times New Roman"/>
          <w:sz w:val="24"/>
          <w:szCs w:val="24"/>
        </w:rPr>
      </w:pPr>
      <w:r w:rsidRPr="00034FEA">
        <w:rPr>
          <w:rFonts w:ascii="Times New Roman" w:hAnsi="Times New Roman"/>
          <w:sz w:val="24"/>
          <w:szCs w:val="24"/>
        </w:rPr>
        <w:t>Open negotiation process between insurer and provider.</w:t>
      </w:r>
    </w:p>
    <w:p w14:paraId="4FC8F370" w14:textId="77777777" w:rsidR="00F37F48" w:rsidRPr="00034FEA" w:rsidRDefault="00F37F48" w:rsidP="00F37F48">
      <w:pPr>
        <w:numPr>
          <w:ilvl w:val="0"/>
          <w:numId w:val="9"/>
        </w:numPr>
        <w:spacing w:before="100" w:beforeAutospacing="1" w:after="100" w:afterAutospacing="1" w:line="240" w:lineRule="auto"/>
        <w:rPr>
          <w:rFonts w:ascii="Times New Roman" w:hAnsi="Times New Roman"/>
          <w:sz w:val="24"/>
          <w:szCs w:val="24"/>
        </w:rPr>
      </w:pPr>
      <w:r w:rsidRPr="00034FEA">
        <w:rPr>
          <w:rFonts w:ascii="Times New Roman" w:hAnsi="Times New Roman"/>
          <w:sz w:val="24"/>
          <w:szCs w:val="24"/>
        </w:rPr>
        <w:t>Independent Dispute Resolution (IDR) process that still considers the insurers median-in-network rate; however, arbiters cannot consider non-negotiated rates, such as those set by Medicare.  </w:t>
      </w:r>
    </w:p>
    <w:p w14:paraId="6B2FE747" w14:textId="77777777" w:rsidR="00F37F48" w:rsidRPr="00034FEA" w:rsidRDefault="00F37F48" w:rsidP="00F37F48">
      <w:pPr>
        <w:numPr>
          <w:ilvl w:val="0"/>
          <w:numId w:val="9"/>
        </w:numPr>
        <w:spacing w:before="100" w:beforeAutospacing="1" w:after="100" w:afterAutospacing="1" w:line="240" w:lineRule="auto"/>
        <w:rPr>
          <w:rFonts w:ascii="Times New Roman" w:hAnsi="Times New Roman"/>
          <w:sz w:val="24"/>
          <w:szCs w:val="24"/>
        </w:rPr>
      </w:pPr>
      <w:r w:rsidRPr="00034FEA">
        <w:rPr>
          <w:rFonts w:ascii="Times New Roman" w:hAnsi="Times New Roman"/>
          <w:sz w:val="24"/>
          <w:szCs w:val="24"/>
        </w:rPr>
        <w:t>Data collection on the costs or providing air ambulance services as well as on air ambulance quality and claims data submitted by insurers.</w:t>
      </w:r>
    </w:p>
    <w:p w14:paraId="27C87599" w14:textId="77777777" w:rsidR="00F37F48" w:rsidRPr="00034FEA" w:rsidRDefault="00F37F48" w:rsidP="00F37F48">
      <w:pPr>
        <w:numPr>
          <w:ilvl w:val="0"/>
          <w:numId w:val="9"/>
        </w:numPr>
        <w:spacing w:before="100" w:beforeAutospacing="1" w:after="100" w:afterAutospacing="1" w:line="240" w:lineRule="auto"/>
        <w:rPr>
          <w:rFonts w:ascii="Times New Roman" w:hAnsi="Times New Roman"/>
          <w:sz w:val="24"/>
          <w:szCs w:val="24"/>
        </w:rPr>
      </w:pPr>
      <w:r w:rsidRPr="00034FEA">
        <w:rPr>
          <w:rFonts w:ascii="Times New Roman" w:hAnsi="Times New Roman"/>
          <w:sz w:val="24"/>
          <w:szCs w:val="24"/>
        </w:rPr>
        <w:t xml:space="preserve">The establishment of an air ambulance advisory committee through the Department of Health and Human Services and the Department of Transportation </w:t>
      </w:r>
      <w:proofErr w:type="gramStart"/>
      <w:r w:rsidRPr="00034FEA">
        <w:rPr>
          <w:rFonts w:ascii="Times New Roman" w:hAnsi="Times New Roman"/>
          <w:sz w:val="24"/>
          <w:szCs w:val="24"/>
        </w:rPr>
        <w:t>to examine</w:t>
      </w:r>
      <w:proofErr w:type="gramEnd"/>
      <w:r w:rsidRPr="00034FEA">
        <w:rPr>
          <w:rFonts w:ascii="Times New Roman" w:hAnsi="Times New Roman"/>
          <w:sz w:val="24"/>
          <w:szCs w:val="24"/>
        </w:rPr>
        <w:t xml:space="preserve"> issues related to air ambulance clinical capabilities, vehicle types, and triage criteria.</w:t>
      </w:r>
    </w:p>
    <w:p w14:paraId="50542A26" w14:textId="77777777" w:rsidR="00F37F48" w:rsidRPr="007B1325" w:rsidRDefault="00F37F48" w:rsidP="00F37F48">
      <w:pPr>
        <w:pStyle w:val="NormalWeb"/>
        <w:ind w:left="360"/>
        <w:rPr>
          <w:rStyle w:val="Emphasis"/>
        </w:rPr>
      </w:pPr>
      <w:r>
        <w:rPr>
          <w:rStyle w:val="Strong"/>
        </w:rPr>
        <w:t>A Congressional summary of the balance billing section describes it this way:</w:t>
      </w:r>
      <w:r>
        <w:br/>
      </w:r>
      <w:r w:rsidRPr="007B1325">
        <w:rPr>
          <w:rStyle w:val="Emphasis"/>
        </w:rPr>
        <w:t xml:space="preserve">Section 105. Ending surprise air ambulance bills. Section 105 states that patients are held harmless from surprise air ambulance medical bills. Patients are only required to pay the in-network cost-sharing amount for out-of-network air ambulances, and that cost-sharing amount is applied to their in-network deductible. Air ambulances are barred from sending patients surprise bills for more than the in-network cost-sharing amount. It also provides for a 30-day open negotiation period for air ambulance providers and payers to settle out-of-network claims. If the parties are unable to reach a negotiated agreement, they may access the binding arbitration, which is the same as outlined in Section 103, with additional factors to account for the cost of providing air ambulance service in rural and frontier areas.  </w:t>
      </w:r>
    </w:p>
    <w:p w14:paraId="47E1DD27" w14:textId="77777777" w:rsidR="00F37F48" w:rsidRDefault="00F37F48" w:rsidP="00F37F48">
      <w:pPr>
        <w:pStyle w:val="NormalWeb"/>
        <w:ind w:left="360"/>
      </w:pPr>
      <w:hyperlink r:id="rId2329" w:history="1">
        <w:r w:rsidRPr="009A2D81">
          <w:rPr>
            <w:rStyle w:val="Hyperlink"/>
          </w:rPr>
          <w:t>https://aams.org/aams-member-alert-negotiated-balance-billing-solution-included-in-legislation/</w:t>
        </w:r>
      </w:hyperlink>
      <w:r>
        <w:rPr>
          <w:rStyle w:val="Emphasis"/>
        </w:rPr>
        <w:t xml:space="preserve"> </w:t>
      </w:r>
    </w:p>
    <w:p w14:paraId="3EEE09D8" w14:textId="77777777" w:rsidR="00F37F48" w:rsidRDefault="00F37F48" w:rsidP="00F37F48">
      <w:pPr>
        <w:rPr>
          <w:rFonts w:ascii="Times New Roman" w:hAnsi="Times New Roman"/>
          <w:sz w:val="24"/>
          <w:szCs w:val="24"/>
        </w:rPr>
      </w:pPr>
      <w:r>
        <w:rPr>
          <w:rFonts w:ascii="Times New Roman" w:hAnsi="Times New Roman"/>
          <w:sz w:val="24"/>
          <w:szCs w:val="24"/>
        </w:rPr>
        <w:t>*AAMS Statement on Balance Billing Solution</w:t>
      </w:r>
    </w:p>
    <w:p w14:paraId="4CFC73CB" w14:textId="77777777" w:rsidR="00F37F48" w:rsidRDefault="00F37F48" w:rsidP="00F37F48">
      <w:pPr>
        <w:ind w:left="360"/>
        <w:rPr>
          <w:rFonts w:ascii="Times New Roman" w:hAnsi="Times New Roman"/>
          <w:sz w:val="24"/>
          <w:szCs w:val="24"/>
        </w:rPr>
      </w:pPr>
      <w:r>
        <w:rPr>
          <w:rFonts w:ascii="Times New Roman" w:hAnsi="Times New Roman"/>
          <w:sz w:val="24"/>
          <w:szCs w:val="24"/>
        </w:rPr>
        <w:t xml:space="preserve">“The Association of Air Medical Services, on behalf of its over 300 members operating over 1,400 helicopter and fixed-wing air ambulances nationwide, applauds the action taken by Congress today to remove patients from disputes between insurers and air ambulance providers. However, AAMS remains </w:t>
      </w:r>
      <w:r>
        <w:rPr>
          <w:rFonts w:ascii="Times New Roman" w:hAnsi="Times New Roman"/>
          <w:sz w:val="24"/>
          <w:szCs w:val="24"/>
        </w:rPr>
        <w:lastRenderedPageBreak/>
        <w:t xml:space="preserve">concerned that certain aspects of the independent dispute resolution process may favor </w:t>
      </w:r>
      <w:proofErr w:type="gramStart"/>
      <w:r>
        <w:rPr>
          <w:rFonts w:ascii="Times New Roman" w:hAnsi="Times New Roman"/>
          <w:sz w:val="24"/>
          <w:szCs w:val="24"/>
        </w:rPr>
        <w:t>insurers</w:t>
      </w:r>
      <w:proofErr w:type="gramEnd"/>
      <w:r>
        <w:rPr>
          <w:rFonts w:ascii="Times New Roman" w:hAnsi="Times New Roman"/>
          <w:sz w:val="24"/>
          <w:szCs w:val="24"/>
        </w:rPr>
        <w:t xml:space="preserve"> and we hope to work with Congress and the various federal agencies to implement a fair and equitable process for billing disputes. We also fully support the data collection and analysis requirements of the </w:t>
      </w:r>
      <w:proofErr w:type="gramStart"/>
      <w:r>
        <w:rPr>
          <w:rFonts w:ascii="Times New Roman" w:hAnsi="Times New Roman"/>
          <w:sz w:val="24"/>
          <w:szCs w:val="24"/>
        </w:rPr>
        <w:t>bill, and</w:t>
      </w:r>
      <w:proofErr w:type="gramEnd"/>
      <w:r>
        <w:rPr>
          <w:rFonts w:ascii="Times New Roman" w:hAnsi="Times New Roman"/>
          <w:sz w:val="24"/>
          <w:szCs w:val="24"/>
        </w:rPr>
        <w:t xml:space="preserve"> believe this additional level of transparency will inform future legislative and regulatory efforts as they relate to billing and reimbursement. AAMS will continue to work on behalf of its members and the patients they serve to ensure the best outcomes for both. We also continue to support the work of the Air Ambulance Patient Billing Advisory Committee and hope this process will strongly consider their recommendations.” </w:t>
      </w:r>
    </w:p>
    <w:p w14:paraId="0BF301CD" w14:textId="77777777" w:rsidR="00F37F48" w:rsidRDefault="00F37F48" w:rsidP="00F37F48">
      <w:pPr>
        <w:ind w:left="360"/>
        <w:rPr>
          <w:rFonts w:ascii="Times New Roman" w:hAnsi="Times New Roman"/>
          <w:sz w:val="24"/>
          <w:szCs w:val="24"/>
        </w:rPr>
      </w:pPr>
      <w:r>
        <w:rPr>
          <w:rFonts w:ascii="Times New Roman" w:hAnsi="Times New Roman"/>
          <w:sz w:val="24"/>
          <w:szCs w:val="24"/>
        </w:rPr>
        <w:t>Below is a statement from AAMS President and CEO Cameron Curtis:</w:t>
      </w:r>
    </w:p>
    <w:p w14:paraId="0498BACA" w14:textId="77777777" w:rsidR="00F37F48" w:rsidRDefault="00F37F48" w:rsidP="00F37F48">
      <w:pPr>
        <w:ind w:left="360"/>
        <w:rPr>
          <w:rFonts w:asciiTheme="minorHAnsi" w:hAnsiTheme="minorHAnsi" w:cstheme="minorBidi"/>
        </w:rPr>
      </w:pPr>
      <w:r>
        <w:rPr>
          <w:rFonts w:ascii="Times New Roman" w:hAnsi="Times New Roman"/>
          <w:sz w:val="24"/>
          <w:szCs w:val="24"/>
        </w:rPr>
        <w:t>“Air ambulances offer a lifeline, sometimes the only lifeline, to patients in need of critical care. While we remain concerned about certain aspects of this bill, now is the time to come together as a health care community and support the dedicated EMS professionals, both air and ground, that are serving on the front lines. As Americans face the ever-increasing severity of the COVID-19 pandemic and the ensuing public health emergency, air medical services have provided over 20,000 COVID-19 related transports to the most severely sick and injured patients, often from remote and rural areas to high levels of care.”</w:t>
      </w:r>
      <w:r>
        <w:t xml:space="preserve"> </w:t>
      </w:r>
      <w:hyperlink r:id="rId2330" w:history="1">
        <w:r>
          <w:rPr>
            <w:rStyle w:val="Hyperlink"/>
          </w:rPr>
          <w:t>https://cdn.ymaws.com/aams.site-ym.com/resource/resmgr/website_resources/aams_statements/aams_statementonbalancebilli.pdf</w:t>
        </w:r>
      </w:hyperlink>
      <w:r>
        <w:rPr>
          <w:rFonts w:ascii="Times New Roman" w:hAnsi="Times New Roman"/>
          <w:sz w:val="24"/>
          <w:szCs w:val="24"/>
        </w:rPr>
        <w:t xml:space="preserve"> </w:t>
      </w:r>
    </w:p>
    <w:p w14:paraId="72429C64" w14:textId="77777777" w:rsidR="00F37F48" w:rsidRDefault="00F37F48" w:rsidP="00F37F48">
      <w:pPr>
        <w:spacing w:before="100" w:beforeAutospacing="1" w:after="100" w:afterAutospacing="1" w:line="240" w:lineRule="auto"/>
        <w:rPr>
          <w:rFonts w:ascii="Times New Roman" w:eastAsia="Times New Roman" w:hAnsi="Times New Roman"/>
          <w:b/>
          <w:bCs/>
          <w:sz w:val="24"/>
          <w:szCs w:val="24"/>
        </w:rPr>
      </w:pPr>
      <w:r>
        <w:rPr>
          <w:rFonts w:ascii="Times New Roman" w:eastAsia="Times New Roman" w:hAnsi="Times New Roman"/>
          <w:b/>
          <w:bCs/>
          <w:sz w:val="24"/>
          <w:szCs w:val="24"/>
        </w:rPr>
        <w:t xml:space="preserve">Legal Lesson Learned: There has been litigation throughout the United States by patients who were “surprised” by Air Care billing and other “out of network” medical service providers.     Hopefully this new statute will eliminate these surprise bills. </w:t>
      </w:r>
    </w:p>
    <w:p w14:paraId="3DE5252F" w14:textId="77777777" w:rsidR="00F37F48" w:rsidRPr="007B1325" w:rsidRDefault="00F37F48" w:rsidP="00F37F48">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 xml:space="preserve">Note: </w:t>
      </w:r>
      <w:r>
        <w:rPr>
          <w:rFonts w:ascii="Times New Roman" w:hAnsi="Times New Roman"/>
          <w:sz w:val="24"/>
          <w:szCs w:val="24"/>
        </w:rPr>
        <w:t xml:space="preserve">You can read the NO SURPRISE ACT (starting page 1629); Air Ambulance provisions (starting at page 1836).   </w:t>
      </w:r>
      <w:hyperlink r:id="rId2331" w:history="1">
        <w:r w:rsidRPr="007B1325">
          <w:rPr>
            <w:rStyle w:val="Hyperlink"/>
            <w:rFonts w:ascii="Times New Roman" w:hAnsi="Times New Roman"/>
            <w:sz w:val="24"/>
            <w:szCs w:val="24"/>
          </w:rPr>
          <w:t>https://beta.documentcloud.org/documents/20433223-covid-19-relief-bill</w:t>
        </w:r>
      </w:hyperlink>
      <w:r w:rsidRPr="007B1325">
        <w:rPr>
          <w:rFonts w:ascii="Times New Roman" w:eastAsia="Times New Roman" w:hAnsi="Times New Roman"/>
          <w:sz w:val="24"/>
          <w:szCs w:val="24"/>
        </w:rPr>
        <w:t xml:space="preserve"> </w:t>
      </w:r>
    </w:p>
    <w:p w14:paraId="7C953E6E" w14:textId="77777777" w:rsidR="00F37F48" w:rsidRDefault="00F37F48" w:rsidP="002B1283">
      <w:pPr>
        <w:rPr>
          <w:rFonts w:ascii="Arial Black" w:hAnsi="Arial Black"/>
          <w:b/>
          <w:bCs/>
          <w:sz w:val="28"/>
          <w:szCs w:val="28"/>
        </w:rPr>
      </w:pPr>
    </w:p>
    <w:p w14:paraId="0CBA900B" w14:textId="6E9C2379" w:rsidR="00F37F48" w:rsidRDefault="00F37F48" w:rsidP="002B1283">
      <w:pPr>
        <w:rPr>
          <w:rFonts w:ascii="Arial Black" w:hAnsi="Arial Black"/>
          <w:b/>
          <w:bCs/>
          <w:sz w:val="28"/>
          <w:szCs w:val="28"/>
        </w:rPr>
      </w:pPr>
      <w:r>
        <w:rPr>
          <w:rFonts w:ascii="Arial Black" w:hAnsi="Arial Black"/>
          <w:b/>
          <w:bCs/>
          <w:sz w:val="28"/>
          <w:szCs w:val="28"/>
        </w:rPr>
        <w:t>13-75</w:t>
      </w:r>
    </w:p>
    <w:p w14:paraId="4AB639F7" w14:textId="77777777" w:rsidR="00F37F48" w:rsidRDefault="00F37F48" w:rsidP="00F37F48">
      <w:pPr>
        <w:pStyle w:val="NoSpacing"/>
        <w:rPr>
          <w:rFonts w:ascii="Arial Black" w:eastAsiaTheme="minorHAnsi" w:hAnsi="Arial Black" w:cstheme="minorBidi"/>
          <w:sz w:val="28"/>
          <w:szCs w:val="28"/>
        </w:rPr>
      </w:pPr>
      <w:r>
        <w:rPr>
          <w:rFonts w:ascii="Arial Black" w:hAnsi="Arial Black"/>
          <w:sz w:val="28"/>
          <w:szCs w:val="28"/>
        </w:rPr>
        <w:t xml:space="preserve">NY: EMT WINS SUMMARY JUDGMENT - BACK INJURY, SLIPPED ON ICE – RESTAURANT HOSED SIDEWALK COLD WINTER DAY </w:t>
      </w:r>
    </w:p>
    <w:p w14:paraId="4BDA84DB" w14:textId="77777777" w:rsidR="00F37F48" w:rsidRDefault="00F37F48" w:rsidP="00F37F48">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On Dec. 17, 2020, in </w:t>
      </w:r>
      <w:r>
        <w:rPr>
          <w:rFonts w:ascii="Times New Roman" w:hAnsi="Times New Roman"/>
          <w:sz w:val="24"/>
          <w:szCs w:val="24"/>
          <w:u w:val="single"/>
        </w:rPr>
        <w:t>Michael Benny v. Concord Partners 46</w:t>
      </w:r>
      <w:r>
        <w:rPr>
          <w:rFonts w:ascii="Times New Roman" w:hAnsi="Times New Roman"/>
          <w:sz w:val="24"/>
          <w:szCs w:val="24"/>
          <w:u w:val="single"/>
          <w:vertAlign w:val="superscript"/>
        </w:rPr>
        <w:t>th</w:t>
      </w:r>
      <w:r>
        <w:rPr>
          <w:rFonts w:ascii="Times New Roman" w:hAnsi="Times New Roman"/>
          <w:sz w:val="24"/>
          <w:szCs w:val="24"/>
          <w:u w:val="single"/>
        </w:rPr>
        <w:t xml:space="preserve"> Street LLC</w:t>
      </w:r>
      <w:r>
        <w:rPr>
          <w:rFonts w:ascii="Times New Roman" w:hAnsi="Times New Roman"/>
          <w:sz w:val="24"/>
          <w:szCs w:val="24"/>
        </w:rPr>
        <w:t xml:space="preserve">, </w:t>
      </w:r>
      <w:r>
        <w:rPr>
          <w:rFonts w:ascii="Times New Roman" w:eastAsia="Times New Roman" w:hAnsi="Times New Roman"/>
          <w:sz w:val="24"/>
          <w:szCs w:val="24"/>
        </w:rPr>
        <w:t xml:space="preserve">2020 NY Slip Op 07665, </w:t>
      </w:r>
      <w:r>
        <w:rPr>
          <w:rFonts w:ascii="Times New Roman" w:hAnsi="Times New Roman"/>
          <w:sz w:val="24"/>
          <w:szCs w:val="24"/>
        </w:rPr>
        <w:t xml:space="preserve">the Appellate Division of the Supreme Court of the State of New York, held (5 to 0) that the trial court improperly denied plaintiff’s motion for summary judgment.  The Court orders partial summary judgment in favor of the EMT; his degree of negligence in not avoiding the ice must next be determined. </w:t>
      </w:r>
    </w:p>
    <w:p w14:paraId="1927B461" w14:textId="77777777" w:rsidR="00F37F48" w:rsidRDefault="00F37F48" w:rsidP="00F37F48">
      <w:pPr>
        <w:pStyle w:val="NoSpacing"/>
        <w:ind w:left="720"/>
        <w:rPr>
          <w:rFonts w:ascii="Times New Roman" w:hAnsi="Times New Roman"/>
          <w:sz w:val="24"/>
          <w:szCs w:val="24"/>
        </w:rPr>
      </w:pPr>
      <w:r>
        <w:rPr>
          <w:rFonts w:ascii="Times New Roman" w:hAnsi="Times New Roman"/>
          <w:sz w:val="24"/>
          <w:szCs w:val="24"/>
        </w:rPr>
        <w:t xml:space="preserve">“The evidence plaintiff submitted in support of his motion shows that defendants-tenants Havana Central NY 2 LLC d/b/a Havana Central Restaurant &amp; </w:t>
      </w:r>
      <w:proofErr w:type="spellStart"/>
      <w:r>
        <w:rPr>
          <w:rFonts w:ascii="Times New Roman" w:hAnsi="Times New Roman"/>
          <w:sz w:val="24"/>
          <w:szCs w:val="24"/>
        </w:rPr>
        <w:t>CafÉ</w:t>
      </w:r>
      <w:proofErr w:type="spellEnd"/>
      <w:r>
        <w:rPr>
          <w:rFonts w:ascii="Times New Roman" w:hAnsi="Times New Roman"/>
          <w:sz w:val="24"/>
          <w:szCs w:val="24"/>
        </w:rPr>
        <w:t xml:space="preserve"> (Havana) and </w:t>
      </w:r>
      <w:proofErr w:type="spellStart"/>
      <w:r>
        <w:rPr>
          <w:rFonts w:ascii="Times New Roman" w:hAnsi="Times New Roman"/>
          <w:sz w:val="24"/>
          <w:szCs w:val="24"/>
        </w:rPr>
        <w:t>Tintol</w:t>
      </w:r>
      <w:proofErr w:type="spellEnd"/>
      <w:r>
        <w:rPr>
          <w:rFonts w:ascii="Times New Roman" w:hAnsi="Times New Roman"/>
          <w:sz w:val="24"/>
          <w:szCs w:val="24"/>
        </w:rPr>
        <w:t xml:space="preserve"> LLC d/b/a Clubhouse </w:t>
      </w:r>
      <w:proofErr w:type="spellStart"/>
      <w:r>
        <w:rPr>
          <w:rFonts w:ascii="Times New Roman" w:hAnsi="Times New Roman"/>
          <w:sz w:val="24"/>
          <w:szCs w:val="24"/>
        </w:rPr>
        <w:t>CafÉ</w:t>
      </w:r>
      <w:proofErr w:type="spellEnd"/>
      <w:r>
        <w:rPr>
          <w:rFonts w:ascii="Times New Roman" w:hAnsi="Times New Roman"/>
          <w:sz w:val="24"/>
          <w:szCs w:val="24"/>
        </w:rPr>
        <w:t xml:space="preserve"> (</w:t>
      </w:r>
      <w:proofErr w:type="spellStart"/>
      <w:r>
        <w:rPr>
          <w:rFonts w:ascii="Times New Roman" w:hAnsi="Times New Roman"/>
          <w:sz w:val="24"/>
          <w:szCs w:val="24"/>
        </w:rPr>
        <w:t>Tintol</w:t>
      </w:r>
      <w:proofErr w:type="spellEnd"/>
      <w:r>
        <w:rPr>
          <w:rFonts w:ascii="Times New Roman" w:hAnsi="Times New Roman"/>
          <w:sz w:val="24"/>
          <w:szCs w:val="24"/>
        </w:rPr>
        <w:t>) created the dangerous condition when their employees hosed the sidewalk on a cold winter day (</w:t>
      </w:r>
      <w:r>
        <w:rPr>
          <w:rFonts w:ascii="Times New Roman" w:hAnsi="Times New Roman"/>
          <w:i/>
          <w:iCs/>
          <w:sz w:val="24"/>
          <w:szCs w:val="24"/>
        </w:rPr>
        <w:t>see Mercer v City of New York</w:t>
      </w:r>
      <w:r>
        <w:rPr>
          <w:rFonts w:ascii="Times New Roman" w:hAnsi="Times New Roman"/>
          <w:sz w:val="24"/>
          <w:szCs w:val="24"/>
        </w:rPr>
        <w:t>, 88 NY2d 955, 956 [1996]). Defendants-owners Concord Partners 46</w:t>
      </w:r>
      <w:r>
        <w:rPr>
          <w:rFonts w:ascii="Times New Roman" w:hAnsi="Times New Roman"/>
          <w:sz w:val="24"/>
          <w:szCs w:val="24"/>
          <w:vertAlign w:val="superscript"/>
        </w:rPr>
        <w:t>th</w:t>
      </w:r>
      <w:r>
        <w:rPr>
          <w:rFonts w:ascii="Times New Roman" w:hAnsi="Times New Roman"/>
          <w:sz w:val="24"/>
          <w:szCs w:val="24"/>
        </w:rPr>
        <w:t xml:space="preserve"> Street LLC (Concord) and Elo Equity, LLC, had a </w:t>
      </w:r>
      <w:proofErr w:type="spellStart"/>
      <w:r>
        <w:rPr>
          <w:rFonts w:ascii="Times New Roman" w:hAnsi="Times New Roman"/>
          <w:sz w:val="24"/>
          <w:szCs w:val="24"/>
        </w:rPr>
        <w:t>non delegable</w:t>
      </w:r>
      <w:proofErr w:type="spellEnd"/>
      <w:r>
        <w:rPr>
          <w:rFonts w:ascii="Times New Roman" w:hAnsi="Times New Roman"/>
          <w:sz w:val="24"/>
          <w:szCs w:val="24"/>
        </w:rPr>
        <w:t xml:space="preserve"> duty to maintain the sidewalk and had notice that the restaurant employees had created a dangerous condition, because Concord’s property manager and Elo’s superintendent had observed the restaurants’ employees hosing the sidewalk.” </w:t>
      </w:r>
    </w:p>
    <w:p w14:paraId="233FB984" w14:textId="77777777" w:rsidR="00F37F48" w:rsidRDefault="00F37F48" w:rsidP="00F37F48">
      <w:pPr>
        <w:pStyle w:val="NoSpacing"/>
        <w:ind w:left="720"/>
        <w:rPr>
          <w:rFonts w:ascii="Times New Roman" w:hAnsi="Times New Roman"/>
          <w:sz w:val="24"/>
          <w:szCs w:val="24"/>
        </w:rPr>
      </w:pPr>
      <w:hyperlink r:id="rId2332" w:history="1">
        <w:r>
          <w:rPr>
            <w:rStyle w:val="Hyperlink"/>
          </w:rPr>
          <w:t>https://casetext.com/case/benny-v-concord-partners-46th-st-llc-2</w:t>
        </w:r>
      </w:hyperlink>
      <w:r>
        <w:rPr>
          <w:rFonts w:ascii="Times New Roman" w:hAnsi="Times New Roman"/>
          <w:sz w:val="24"/>
          <w:szCs w:val="24"/>
        </w:rPr>
        <w:t xml:space="preserve">  </w:t>
      </w:r>
    </w:p>
    <w:p w14:paraId="40BFCDC4" w14:textId="77777777" w:rsidR="00F37F48" w:rsidRDefault="00F37F48" w:rsidP="00F37F48">
      <w:pPr>
        <w:spacing w:before="100" w:beforeAutospacing="1" w:after="100" w:afterAutospacing="1" w:line="240" w:lineRule="auto"/>
        <w:rPr>
          <w:rFonts w:ascii="Times New Roman" w:eastAsia="Times New Roman" w:hAnsi="Times New Roman"/>
          <w:b/>
          <w:bCs/>
          <w:sz w:val="24"/>
          <w:szCs w:val="24"/>
        </w:rPr>
      </w:pPr>
      <w:r>
        <w:rPr>
          <w:rFonts w:ascii="Times New Roman" w:eastAsia="Times New Roman" w:hAnsi="Times New Roman"/>
          <w:b/>
          <w:bCs/>
          <w:sz w:val="24"/>
          <w:szCs w:val="24"/>
        </w:rPr>
        <w:lastRenderedPageBreak/>
        <w:t>Legal Lesson Learned:  Watering down sidewalk on cold winter day is “inviting litigation.”  Even if EMT is covered by workers comp, he is entitled to sue for pain and suffering.</w:t>
      </w:r>
    </w:p>
    <w:p w14:paraId="0714F98D" w14:textId="77777777" w:rsidR="00F37F48" w:rsidRDefault="00F37F48" w:rsidP="002B1283">
      <w:pPr>
        <w:rPr>
          <w:rFonts w:ascii="Arial Black" w:hAnsi="Arial Black"/>
          <w:b/>
          <w:bCs/>
          <w:sz w:val="28"/>
          <w:szCs w:val="28"/>
        </w:rPr>
      </w:pPr>
    </w:p>
    <w:p w14:paraId="3C44EDE5" w14:textId="77B4BC81" w:rsidR="00F37F48" w:rsidRDefault="00F37F48" w:rsidP="002B1283">
      <w:pPr>
        <w:rPr>
          <w:rFonts w:ascii="Arial Black" w:hAnsi="Arial Black"/>
          <w:b/>
          <w:bCs/>
          <w:sz w:val="28"/>
          <w:szCs w:val="28"/>
        </w:rPr>
      </w:pPr>
      <w:r>
        <w:rPr>
          <w:rFonts w:ascii="Arial Black" w:hAnsi="Arial Black"/>
          <w:b/>
          <w:bCs/>
          <w:sz w:val="28"/>
          <w:szCs w:val="28"/>
        </w:rPr>
        <w:t>13-74</w:t>
      </w:r>
    </w:p>
    <w:p w14:paraId="248C68A3" w14:textId="77777777" w:rsidR="00F37F48" w:rsidRDefault="00F37F48" w:rsidP="00F37F48">
      <w:pPr>
        <w:rPr>
          <w:rFonts w:ascii="Arial Black" w:eastAsiaTheme="minorHAnsi" w:hAnsi="Arial Black" w:cstheme="minorBidi"/>
          <w:sz w:val="28"/>
          <w:szCs w:val="28"/>
        </w:rPr>
      </w:pPr>
      <w:r>
        <w:rPr>
          <w:rFonts w:ascii="Arial Black" w:hAnsi="Arial Black"/>
          <w:sz w:val="28"/>
          <w:szCs w:val="28"/>
        </w:rPr>
        <w:t>PA:  HIPAA VOIOLATION - FD SHARED FF’S WORK. COMP BACK INJURY CLAIM – “PROTECTED HEALTH INFORMATION” (PHI)</w:t>
      </w:r>
    </w:p>
    <w:p w14:paraId="3996E911" w14:textId="77777777" w:rsidR="00F37F48" w:rsidRDefault="00F37F48" w:rsidP="00F37F48">
      <w:pPr>
        <w:rPr>
          <w:rFonts w:ascii="Times New Roman" w:hAnsi="Times New Roman"/>
          <w:sz w:val="24"/>
          <w:szCs w:val="24"/>
        </w:rPr>
      </w:pPr>
      <w:r>
        <w:rPr>
          <w:rFonts w:ascii="Times New Roman" w:hAnsi="Times New Roman"/>
          <w:sz w:val="24"/>
          <w:szCs w:val="24"/>
        </w:rPr>
        <w:t xml:space="preserve">On Dec. 15, 2020, in </w:t>
      </w:r>
      <w:r>
        <w:rPr>
          <w:rFonts w:ascii="Times New Roman" w:hAnsi="Times New Roman"/>
          <w:sz w:val="24"/>
          <w:szCs w:val="24"/>
          <w:u w:val="single"/>
        </w:rPr>
        <w:t>William Maude v. City of Philadelphia</w:t>
      </w:r>
      <w:r>
        <w:rPr>
          <w:rFonts w:ascii="Times New Roman" w:hAnsi="Times New Roman"/>
          <w:sz w:val="24"/>
          <w:szCs w:val="24"/>
        </w:rPr>
        <w:t xml:space="preserve">, U.S. Magistrate Judge Lynne A. Sitarski, U.S. District Court for Eastern District of Pennsylvania, ruled that the firefighter’s Expert [from University of Pittsburg Medical Center] may testify that the information shared meets definition of “protected health information,” but he cannot testify this was an actual violation of HIPAA – that’s up to the jury. </w:t>
      </w:r>
    </w:p>
    <w:p w14:paraId="6D77FF53" w14:textId="77777777" w:rsidR="00F37F48" w:rsidRDefault="00F37F48" w:rsidP="00F37F48">
      <w:pPr>
        <w:ind w:left="720"/>
        <w:rPr>
          <w:rFonts w:ascii="Times New Roman" w:eastAsia="Times New Roman" w:hAnsi="Times New Roman"/>
          <w:sz w:val="24"/>
          <w:szCs w:val="24"/>
        </w:rPr>
      </w:pPr>
      <w:r>
        <w:t>“</w:t>
      </w:r>
      <w:r>
        <w:rPr>
          <w:rFonts w:ascii="Times New Roman" w:eastAsia="Times New Roman" w:hAnsi="Times New Roman"/>
          <w:sz w:val="24"/>
          <w:szCs w:val="24"/>
        </w:rPr>
        <w:t>To allow Andrews to opine that Defendant violated its policies and HIPAA regulations incorporated in his employment agreement usurps the jury’s responsibility to determine whether a breach occurred.</w:t>
      </w:r>
    </w:p>
    <w:p w14:paraId="2F8AFE4D" w14:textId="77777777" w:rsidR="00F37F48" w:rsidRDefault="00F37F48" w:rsidP="00F37F48">
      <w:pPr>
        <w:spacing w:before="100" w:beforeAutospacing="1" w:after="100" w:afterAutospacing="1" w:line="240" w:lineRule="auto"/>
        <w:ind w:left="720" w:firstLine="60"/>
        <w:rPr>
          <w:rFonts w:ascii="Times New Roman" w:eastAsia="Times New Roman" w:hAnsi="Times New Roman"/>
          <w:sz w:val="24"/>
          <w:szCs w:val="24"/>
        </w:rPr>
      </w:pPr>
      <w:r>
        <w:rPr>
          <w:rFonts w:ascii="Times New Roman" w:eastAsia="Times New Roman" w:hAnsi="Times New Roman"/>
          <w:sz w:val="24"/>
          <w:szCs w:val="24"/>
        </w:rPr>
        <w:t xml:space="preserve">Andrews’ other HIPAA conclusions challenged by Defendant are permissible. Andrews opines that the information contained in Plaintiff’s workers’ compensation referral form meets HIPAA’s definition of ‘protected health information’ because it ‘is </w:t>
      </w:r>
      <w:proofErr w:type="gramStart"/>
      <w:r>
        <w:rPr>
          <w:rFonts w:ascii="Times New Roman" w:eastAsia="Times New Roman" w:hAnsi="Times New Roman"/>
          <w:sz w:val="24"/>
          <w:szCs w:val="24"/>
        </w:rPr>
        <w:t>individually-identifiable</w:t>
      </w:r>
      <w:proofErr w:type="gramEnd"/>
      <w:r>
        <w:rPr>
          <w:rFonts w:ascii="Times New Roman" w:eastAsia="Times New Roman" w:hAnsi="Times New Roman"/>
          <w:sz w:val="24"/>
          <w:szCs w:val="24"/>
        </w:rPr>
        <w:t xml:space="preserve"> and relates to </w:t>
      </w:r>
      <w:proofErr w:type="gramStart"/>
      <w:r>
        <w:rPr>
          <w:rFonts w:ascii="Times New Roman" w:eastAsia="Times New Roman" w:hAnsi="Times New Roman"/>
          <w:sz w:val="24"/>
          <w:szCs w:val="24"/>
        </w:rPr>
        <w:t>a medical</w:t>
      </w:r>
      <w:proofErr w:type="gramEnd"/>
      <w:r>
        <w:rPr>
          <w:rFonts w:ascii="Times New Roman" w:eastAsia="Times New Roman" w:hAnsi="Times New Roman"/>
          <w:sz w:val="24"/>
          <w:szCs w:val="24"/>
        </w:rPr>
        <w:t xml:space="preserve"> condition, treatment or payment for healthcare.’ (</w:t>
      </w:r>
      <w:proofErr w:type="spellStart"/>
      <w:r>
        <w:rPr>
          <w:rFonts w:ascii="Times New Roman" w:eastAsia="Times New Roman" w:hAnsi="Times New Roman"/>
          <w:sz w:val="24"/>
          <w:szCs w:val="24"/>
        </w:rPr>
        <w:t>Def.’s</w:t>
      </w:r>
      <w:proofErr w:type="spellEnd"/>
      <w:r>
        <w:rPr>
          <w:rFonts w:ascii="Times New Roman" w:eastAsia="Times New Roman" w:hAnsi="Times New Roman"/>
          <w:sz w:val="24"/>
          <w:szCs w:val="24"/>
        </w:rPr>
        <w:t xml:space="preserve"> Mot. To Exclude Ex. E 12). He notes that HIPAA covers ‘all protected health information,’ regardless of the form in which it is contained, and that at no time did Plaintiff authorize the dissemination of his information outside the necessary chain of command…. He also opines that there was no other basis for disclosure and that ‘HIPAA establish[es] a floor, not a ceiling for the applicable standard of care . . . .’”</w:t>
      </w:r>
      <w:r>
        <w:t xml:space="preserve"> </w:t>
      </w:r>
      <w:hyperlink r:id="rId2333" w:history="1">
        <w:r>
          <w:rPr>
            <w:rStyle w:val="Hyperlink"/>
          </w:rPr>
          <w:t>https://casetext.com/case/maude-v-city-of-phila</w:t>
        </w:r>
      </w:hyperlink>
      <w:r>
        <w:t xml:space="preserve"> </w:t>
      </w:r>
    </w:p>
    <w:p w14:paraId="050DD50F" w14:textId="77777777" w:rsidR="00F37F48" w:rsidRDefault="00F37F48" w:rsidP="00F37F48">
      <w:pPr>
        <w:spacing w:before="100" w:beforeAutospacing="1" w:after="100" w:afterAutospacing="1" w:line="240" w:lineRule="auto"/>
        <w:rPr>
          <w:rFonts w:ascii="Times New Roman" w:eastAsia="Times New Roman" w:hAnsi="Times New Roman"/>
          <w:b/>
          <w:bCs/>
          <w:sz w:val="24"/>
          <w:szCs w:val="24"/>
        </w:rPr>
      </w:pPr>
      <w:r>
        <w:rPr>
          <w:rFonts w:ascii="Times New Roman" w:hAnsi="Times New Roman"/>
          <w:b/>
          <w:bCs/>
          <w:sz w:val="24"/>
          <w:szCs w:val="24"/>
        </w:rPr>
        <w:t xml:space="preserve">Legal Lesson Learned: “Protected health information” under HIPAA is a broad term and Fire Departments and municipalities must carefully limit who reviews workers comp and other employee PHI.  </w:t>
      </w:r>
    </w:p>
    <w:p w14:paraId="65E28C98" w14:textId="77777777" w:rsidR="00F37F48" w:rsidRDefault="00F37F48" w:rsidP="002B1283">
      <w:pPr>
        <w:rPr>
          <w:rFonts w:ascii="Arial Black" w:hAnsi="Arial Black"/>
          <w:b/>
          <w:bCs/>
          <w:sz w:val="28"/>
          <w:szCs w:val="28"/>
        </w:rPr>
      </w:pPr>
    </w:p>
    <w:p w14:paraId="2F7131B3" w14:textId="35D5CB3C" w:rsidR="00F37F48" w:rsidRDefault="00F37F48" w:rsidP="002B1283">
      <w:pPr>
        <w:rPr>
          <w:rFonts w:ascii="Arial Black" w:hAnsi="Arial Black"/>
          <w:b/>
          <w:bCs/>
          <w:sz w:val="28"/>
          <w:szCs w:val="28"/>
        </w:rPr>
      </w:pPr>
      <w:r>
        <w:rPr>
          <w:rFonts w:ascii="Arial Black" w:hAnsi="Arial Black"/>
          <w:b/>
          <w:bCs/>
          <w:sz w:val="28"/>
          <w:szCs w:val="28"/>
        </w:rPr>
        <w:t>13-73</w:t>
      </w:r>
    </w:p>
    <w:p w14:paraId="513126CA" w14:textId="77777777" w:rsidR="00F37F48" w:rsidRDefault="00F37F48" w:rsidP="00F37F48">
      <w:pPr>
        <w:rPr>
          <w:rFonts w:ascii="Arial Black" w:hAnsi="Arial Black" w:cstheme="minorBidi"/>
          <w:sz w:val="28"/>
          <w:szCs w:val="28"/>
        </w:rPr>
      </w:pPr>
      <w:r>
        <w:rPr>
          <w:rFonts w:ascii="Arial Black" w:hAnsi="Arial Black"/>
          <w:sz w:val="28"/>
          <w:szCs w:val="28"/>
        </w:rPr>
        <w:t>NJ: 85-YR-OLD PATIENT – EMS LIFTED HER TO STRETCHER – DOC. PATIENT PAIN LEFT ARM – IMMUNITY, “GOOD FAITH”</w:t>
      </w:r>
    </w:p>
    <w:p w14:paraId="65A9EDE5" w14:textId="77777777" w:rsidR="00F37F48" w:rsidRDefault="00F37F48" w:rsidP="00F37F48">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On Dec. 11, 2020, in </w:t>
      </w:r>
      <w:r>
        <w:rPr>
          <w:rFonts w:ascii="Times New Roman" w:eastAsia="Times New Roman" w:hAnsi="Times New Roman"/>
          <w:sz w:val="24"/>
          <w:szCs w:val="24"/>
          <w:u w:val="single"/>
        </w:rPr>
        <w:t>Rose Bengel and Henry Bengel v. Holiday City At Berkley Fire Aid Squad, Inc., et al.</w:t>
      </w:r>
      <w:r>
        <w:rPr>
          <w:rFonts w:ascii="Times New Roman" w:eastAsia="Times New Roman" w:hAnsi="Times New Roman"/>
          <w:sz w:val="24"/>
          <w:szCs w:val="24"/>
        </w:rPr>
        <w:t xml:space="preserve">, the Superior Court of New Jersey, Appellative Division, held (2 to 0; unreported decision) that the trial court properly held the EMS personnel enjoyed immunity under state law, since they acted in “good faith.” </w:t>
      </w:r>
    </w:p>
    <w:p w14:paraId="43185437" w14:textId="77777777" w:rsidR="00F37F48" w:rsidRDefault="00F37F48" w:rsidP="00F37F48">
      <w:pPr>
        <w:pStyle w:val="NoSpacing"/>
        <w:ind w:left="720"/>
        <w:rPr>
          <w:rFonts w:ascii="Times New Roman" w:eastAsiaTheme="minorHAnsi" w:hAnsi="Times New Roman"/>
          <w:sz w:val="24"/>
          <w:szCs w:val="24"/>
        </w:rPr>
      </w:pPr>
      <w:r>
        <w:rPr>
          <w:rFonts w:ascii="Times New Roman" w:hAnsi="Times New Roman"/>
          <w:sz w:val="24"/>
          <w:szCs w:val="24"/>
        </w:rPr>
        <w:t>“Plaintiffs' assertion that defendants' paperwork containing a conflicting account of what occurred at the Bengel home bespeaks falsification and, in turn, the absence of good faith in providing first aid to Rose, constitutes rank speculation.</w:t>
      </w:r>
    </w:p>
    <w:p w14:paraId="17639CA6" w14:textId="77777777" w:rsidR="00F37F48" w:rsidRDefault="00F37F48" w:rsidP="00F37F48">
      <w:pPr>
        <w:pStyle w:val="NoSpacing"/>
        <w:rPr>
          <w:rFonts w:ascii="Times New Roman" w:hAnsi="Times New Roman"/>
          <w:sz w:val="24"/>
          <w:szCs w:val="24"/>
        </w:rPr>
      </w:pPr>
    </w:p>
    <w:p w14:paraId="637D3789" w14:textId="77777777" w:rsidR="00F37F48" w:rsidRDefault="00F37F48" w:rsidP="00F37F48">
      <w:pPr>
        <w:pStyle w:val="NoSpacing"/>
        <w:ind w:firstLine="720"/>
        <w:rPr>
          <w:rFonts w:ascii="Times New Roman" w:hAnsi="Times New Roman"/>
          <w:sz w:val="24"/>
          <w:szCs w:val="24"/>
        </w:rPr>
      </w:pPr>
      <w:r>
        <w:rPr>
          <w:rFonts w:ascii="Times New Roman" w:hAnsi="Times New Roman"/>
          <w:sz w:val="24"/>
          <w:szCs w:val="24"/>
        </w:rPr>
        <w:t>***</w:t>
      </w:r>
    </w:p>
    <w:p w14:paraId="55C87B8E" w14:textId="77777777" w:rsidR="00F37F48" w:rsidRDefault="00F37F48" w:rsidP="00F37F48">
      <w:pPr>
        <w:pStyle w:val="NormalWeb"/>
        <w:ind w:left="720"/>
      </w:pPr>
      <w:r>
        <w:lastRenderedPageBreak/>
        <w:t xml:space="preserve">Notably, contrary to plaintiffs' account, the judge found that in transferring Rose from her wheelchair to the stretcher, ‘Phillips . . . wrapped his arms around [Rose's] mid-section’ and Kobus and Phillips ‘gently placed [Rose] on the stretcher.’” </w:t>
      </w:r>
      <w:hyperlink r:id="rId2334" w:history="1">
        <w:r>
          <w:rPr>
            <w:rStyle w:val="Hyperlink"/>
          </w:rPr>
          <w:t>https://njcourts.gov/attorneys/assets/opinions/appellate/unpublished/a0530-19.pdf</w:t>
        </w:r>
      </w:hyperlink>
      <w:r>
        <w:t xml:space="preserve"> </w:t>
      </w:r>
    </w:p>
    <w:p w14:paraId="2516ACE9" w14:textId="77777777" w:rsidR="00F37F48" w:rsidRDefault="00F37F48" w:rsidP="00F37F48">
      <w:pPr>
        <w:spacing w:after="100" w:line="240" w:lineRule="auto"/>
        <w:rPr>
          <w:rFonts w:ascii="Times New Roman" w:eastAsia="Times New Roman" w:hAnsi="Times New Roman"/>
          <w:b/>
          <w:bCs/>
          <w:sz w:val="24"/>
          <w:szCs w:val="24"/>
        </w:rPr>
      </w:pPr>
      <w:r>
        <w:rPr>
          <w:rFonts w:ascii="Times New Roman" w:hAnsi="Times New Roman"/>
          <w:b/>
          <w:bCs/>
          <w:sz w:val="24"/>
          <w:szCs w:val="24"/>
        </w:rPr>
        <w:t xml:space="preserve">Legal Lesson Learned:  EMS properly documented in patient care report that patient reported pain in the left arm; showed they were acting in “good faith.” </w:t>
      </w:r>
    </w:p>
    <w:p w14:paraId="61A363A8" w14:textId="54331758" w:rsidR="00F37F48" w:rsidRDefault="00F37F48" w:rsidP="002B1283">
      <w:pPr>
        <w:rPr>
          <w:rFonts w:ascii="Arial Black" w:hAnsi="Arial Black"/>
          <w:b/>
          <w:bCs/>
          <w:sz w:val="28"/>
          <w:szCs w:val="28"/>
        </w:rPr>
      </w:pPr>
    </w:p>
    <w:p w14:paraId="471379B6" w14:textId="77777777" w:rsidR="00F37F48" w:rsidRDefault="00F37F48" w:rsidP="002B1283">
      <w:pPr>
        <w:rPr>
          <w:rFonts w:ascii="Arial Black" w:hAnsi="Arial Black"/>
          <w:b/>
          <w:bCs/>
          <w:sz w:val="28"/>
          <w:szCs w:val="28"/>
        </w:rPr>
      </w:pPr>
    </w:p>
    <w:p w14:paraId="5475C7C1" w14:textId="6C34AFB0" w:rsidR="00663A6A" w:rsidRDefault="00663A6A" w:rsidP="002B1283">
      <w:pPr>
        <w:rPr>
          <w:rFonts w:ascii="Arial Black" w:hAnsi="Arial Black"/>
          <w:b/>
          <w:bCs/>
          <w:sz w:val="28"/>
          <w:szCs w:val="28"/>
        </w:rPr>
      </w:pPr>
      <w:r>
        <w:rPr>
          <w:rFonts w:ascii="Arial Black" w:hAnsi="Arial Black"/>
          <w:b/>
          <w:bCs/>
          <w:sz w:val="28"/>
          <w:szCs w:val="28"/>
        </w:rPr>
        <w:t>13-72</w:t>
      </w:r>
    </w:p>
    <w:p w14:paraId="6393AA01" w14:textId="77777777" w:rsidR="00663A6A" w:rsidRDefault="00663A6A" w:rsidP="00663A6A">
      <w:pPr>
        <w:rPr>
          <w:rFonts w:ascii="Arial Black" w:hAnsi="Arial Black"/>
          <w:sz w:val="28"/>
          <w:szCs w:val="28"/>
        </w:rPr>
      </w:pPr>
      <w:r>
        <w:rPr>
          <w:rFonts w:ascii="Arial Black" w:hAnsi="Arial Black"/>
          <w:sz w:val="28"/>
          <w:szCs w:val="28"/>
        </w:rPr>
        <w:t>NY: COVID-19 – U.S. SUPREME COURT INJUNCTION [5 T0 4] - GOV. CUOMO’S LIMITS ON RELIGIOUS GATHERINGS</w:t>
      </w:r>
    </w:p>
    <w:p w14:paraId="32EDCE1E" w14:textId="77777777" w:rsidR="00663A6A" w:rsidRPr="00D04237" w:rsidRDefault="00663A6A" w:rsidP="00663A6A">
      <w:pPr>
        <w:rPr>
          <w:rFonts w:ascii="Times New Roman" w:hAnsi="Times New Roman"/>
          <w:sz w:val="24"/>
          <w:szCs w:val="24"/>
        </w:rPr>
      </w:pPr>
      <w:r>
        <w:rPr>
          <w:rFonts w:ascii="Times New Roman" w:hAnsi="Times New Roman"/>
          <w:sz w:val="24"/>
          <w:szCs w:val="24"/>
        </w:rPr>
        <w:t xml:space="preserve">On Nov. 25, 2020, in </w:t>
      </w:r>
      <w:r w:rsidRPr="00D04237">
        <w:rPr>
          <w:rFonts w:ascii="Times New Roman" w:hAnsi="Times New Roman"/>
          <w:sz w:val="24"/>
          <w:szCs w:val="24"/>
          <w:u w:val="single"/>
        </w:rPr>
        <w:t>Roman Catholic Diocese of Brooklyn v. Cuomo and Agudath Israel v. Cuomo</w:t>
      </w:r>
      <w:r>
        <w:rPr>
          <w:rFonts w:ascii="Times New Roman" w:hAnsi="Times New Roman"/>
          <w:sz w:val="24"/>
          <w:szCs w:val="24"/>
        </w:rPr>
        <w:t xml:space="preserve">, the U.S. Supreme Court (5 to 4) issued an emergency injunction on the Governor’s 10-person (“Red Zones”) and 25-person (“Orange Zones”) occupancy limits. </w:t>
      </w:r>
    </w:p>
    <w:p w14:paraId="680921FF" w14:textId="77777777" w:rsidR="00663A6A" w:rsidRDefault="00663A6A" w:rsidP="00663A6A">
      <w:pPr>
        <w:pStyle w:val="NoSpacing"/>
        <w:ind w:left="720"/>
        <w:rPr>
          <w:rFonts w:ascii="Times New Roman" w:hAnsi="Times New Roman"/>
          <w:sz w:val="24"/>
          <w:szCs w:val="24"/>
        </w:rPr>
      </w:pPr>
      <w:r>
        <w:rPr>
          <w:rFonts w:ascii="Times New Roman" w:hAnsi="Times New Roman"/>
          <w:sz w:val="24"/>
          <w:szCs w:val="24"/>
        </w:rPr>
        <w:t>“</w:t>
      </w:r>
      <w:r w:rsidRPr="00D04237">
        <w:rPr>
          <w:rFonts w:ascii="Times New Roman" w:hAnsi="Times New Roman"/>
          <w:sz w:val="24"/>
          <w:szCs w:val="24"/>
        </w:rPr>
        <w:t>Respondent is enjoined from enforcing Executive Order 202.68’s 10- and 25-person occupancy limits on applicant pending disposition of the appeal in the United States Court of Appeals for the Second Circuit and disposition of the petition for a writ of certiorari, if such writ is timely sought.</w:t>
      </w:r>
    </w:p>
    <w:p w14:paraId="416A3051" w14:textId="77777777" w:rsidR="00663A6A" w:rsidRDefault="00663A6A" w:rsidP="00663A6A">
      <w:pPr>
        <w:pStyle w:val="NoSpacing"/>
        <w:ind w:left="720"/>
        <w:rPr>
          <w:rFonts w:ascii="Times New Roman" w:hAnsi="Times New Roman"/>
          <w:sz w:val="24"/>
          <w:szCs w:val="24"/>
        </w:rPr>
      </w:pPr>
    </w:p>
    <w:p w14:paraId="21CC76DC" w14:textId="77777777" w:rsidR="00663A6A" w:rsidRDefault="00663A6A" w:rsidP="00663A6A">
      <w:pPr>
        <w:pStyle w:val="NoSpacing"/>
        <w:ind w:left="720"/>
        <w:rPr>
          <w:rFonts w:ascii="Times New Roman" w:hAnsi="Times New Roman"/>
          <w:sz w:val="24"/>
          <w:szCs w:val="24"/>
        </w:rPr>
      </w:pPr>
      <w:r w:rsidRPr="00D04237">
        <w:rPr>
          <w:rFonts w:ascii="Times New Roman" w:hAnsi="Times New Roman"/>
          <w:sz w:val="24"/>
          <w:szCs w:val="24"/>
        </w:rPr>
        <w:t xml:space="preserve">In a red zone, while a synagogue or church may not admit more than 10 persons, businesses categorized as </w:t>
      </w:r>
      <w:r>
        <w:rPr>
          <w:rFonts w:ascii="Times New Roman" w:hAnsi="Times New Roman"/>
          <w:sz w:val="24"/>
          <w:szCs w:val="24"/>
        </w:rPr>
        <w:t>‘</w:t>
      </w:r>
      <w:r w:rsidRPr="00D04237">
        <w:rPr>
          <w:rFonts w:ascii="Times New Roman" w:hAnsi="Times New Roman"/>
          <w:sz w:val="24"/>
          <w:szCs w:val="24"/>
        </w:rPr>
        <w:t>essential</w:t>
      </w:r>
      <w:r>
        <w:rPr>
          <w:rFonts w:ascii="Times New Roman" w:hAnsi="Times New Roman"/>
          <w:sz w:val="24"/>
          <w:szCs w:val="24"/>
        </w:rPr>
        <w:t xml:space="preserve">’ </w:t>
      </w:r>
      <w:r w:rsidRPr="00D04237">
        <w:rPr>
          <w:rFonts w:ascii="Times New Roman" w:hAnsi="Times New Roman"/>
          <w:sz w:val="24"/>
          <w:szCs w:val="24"/>
        </w:rPr>
        <w:t xml:space="preserve">may admit as many people as they wish. And the list of “essential” businesses includes things such as acupuncture facilities, </w:t>
      </w:r>
      <w:proofErr w:type="gramStart"/>
      <w:r w:rsidRPr="00D04237">
        <w:rPr>
          <w:rFonts w:ascii="Times New Roman" w:hAnsi="Times New Roman"/>
          <w:sz w:val="24"/>
          <w:szCs w:val="24"/>
        </w:rPr>
        <w:t>camp grounds</w:t>
      </w:r>
      <w:proofErr w:type="gramEnd"/>
      <w:r w:rsidRPr="00D04237">
        <w:rPr>
          <w:rFonts w:ascii="Times New Roman" w:hAnsi="Times New Roman"/>
          <w:sz w:val="24"/>
          <w:szCs w:val="24"/>
        </w:rPr>
        <w:t>, garages, as well as many whose services are not limited to those that can be regarded as essential, such as all plants manufacturing chemicals and mi</w:t>
      </w:r>
      <w:r>
        <w:rPr>
          <w:rFonts w:ascii="Times New Roman" w:hAnsi="Times New Roman"/>
          <w:sz w:val="24"/>
          <w:szCs w:val="24"/>
        </w:rPr>
        <w:t>c</w:t>
      </w:r>
      <w:r w:rsidRPr="00D04237">
        <w:rPr>
          <w:rFonts w:ascii="Times New Roman" w:hAnsi="Times New Roman"/>
          <w:sz w:val="24"/>
          <w:szCs w:val="24"/>
        </w:rPr>
        <w:t>roelectronics and all transportation facilities.</w:t>
      </w:r>
      <w:r>
        <w:rPr>
          <w:rFonts w:ascii="Times New Roman" w:hAnsi="Times New Roman"/>
          <w:sz w:val="24"/>
          <w:szCs w:val="24"/>
        </w:rPr>
        <w:t>”</w:t>
      </w:r>
    </w:p>
    <w:p w14:paraId="3BF88AD2" w14:textId="77777777" w:rsidR="00663A6A" w:rsidRPr="00D04237" w:rsidRDefault="00663A6A" w:rsidP="00663A6A">
      <w:pPr>
        <w:pStyle w:val="NoSpacing"/>
        <w:ind w:left="720"/>
        <w:rPr>
          <w:rFonts w:ascii="Times New Roman" w:hAnsi="Times New Roman"/>
          <w:sz w:val="24"/>
          <w:szCs w:val="24"/>
        </w:rPr>
      </w:pPr>
      <w:hyperlink r:id="rId2335" w:history="1">
        <w:r w:rsidRPr="003E3134">
          <w:rPr>
            <w:rStyle w:val="Hyperlink"/>
            <w:rFonts w:ascii="Times New Roman" w:hAnsi="Times New Roman"/>
            <w:sz w:val="24"/>
            <w:szCs w:val="24"/>
          </w:rPr>
          <w:t>https://www.supremecourt.gov/opinions/20pdf/20a87_4g15.pdf</w:t>
        </w:r>
      </w:hyperlink>
      <w:r w:rsidRPr="00D04237">
        <w:rPr>
          <w:rFonts w:ascii="Times New Roman" w:hAnsi="Times New Roman"/>
          <w:sz w:val="24"/>
          <w:szCs w:val="24"/>
        </w:rPr>
        <w:t xml:space="preserve"> </w:t>
      </w:r>
    </w:p>
    <w:p w14:paraId="48F27D45" w14:textId="77777777" w:rsidR="00663A6A" w:rsidRDefault="00663A6A" w:rsidP="00663A6A">
      <w:pPr>
        <w:pStyle w:val="NoSpacing"/>
      </w:pPr>
    </w:p>
    <w:p w14:paraId="19BC97E3" w14:textId="77777777" w:rsidR="00663A6A" w:rsidRDefault="00663A6A" w:rsidP="00663A6A">
      <w:pPr>
        <w:pStyle w:val="NoSpacing"/>
        <w:rPr>
          <w:rFonts w:ascii="Times New Roman" w:hAnsi="Times New Roman"/>
          <w:b/>
          <w:bCs/>
          <w:sz w:val="24"/>
          <w:szCs w:val="24"/>
        </w:rPr>
      </w:pPr>
      <w:r w:rsidRPr="007D031B">
        <w:rPr>
          <w:b/>
          <w:bCs/>
        </w:rPr>
        <w:t xml:space="preserve"> </w:t>
      </w:r>
      <w:r w:rsidRPr="007D031B">
        <w:rPr>
          <w:rFonts w:ascii="Times New Roman" w:hAnsi="Times New Roman"/>
          <w:b/>
          <w:bCs/>
          <w:sz w:val="24"/>
          <w:szCs w:val="24"/>
        </w:rPr>
        <w:t xml:space="preserve">Legal Lessons Learned: The 5 “conservative” members of the Court issued the injunction, over the dissent of 4 other Justices.  </w:t>
      </w:r>
    </w:p>
    <w:p w14:paraId="731B8E71" w14:textId="77777777" w:rsidR="00663A6A" w:rsidRDefault="00663A6A" w:rsidP="00663A6A">
      <w:pPr>
        <w:pStyle w:val="NoSpacing"/>
        <w:rPr>
          <w:rFonts w:ascii="Times New Roman" w:hAnsi="Times New Roman"/>
          <w:b/>
          <w:bCs/>
          <w:sz w:val="24"/>
          <w:szCs w:val="24"/>
        </w:rPr>
      </w:pPr>
    </w:p>
    <w:p w14:paraId="033480FC" w14:textId="77777777" w:rsidR="00663A6A" w:rsidRDefault="00663A6A" w:rsidP="00663A6A">
      <w:pPr>
        <w:pStyle w:val="NoSpacing"/>
        <w:ind w:left="720"/>
        <w:rPr>
          <w:rFonts w:ascii="Times New Roman" w:hAnsi="Times New Roman"/>
          <w:sz w:val="24"/>
          <w:szCs w:val="24"/>
        </w:rPr>
      </w:pPr>
      <w:r w:rsidRPr="007D031B">
        <w:rPr>
          <w:rFonts w:ascii="Times New Roman" w:hAnsi="Times New Roman"/>
          <w:sz w:val="24"/>
          <w:szCs w:val="24"/>
        </w:rPr>
        <w:t xml:space="preserve">Note: </w:t>
      </w:r>
      <w:r>
        <w:rPr>
          <w:rFonts w:ascii="Times New Roman" w:hAnsi="Times New Roman"/>
          <w:sz w:val="24"/>
          <w:szCs w:val="24"/>
        </w:rPr>
        <w:t xml:space="preserve"> Majority decision by Justices Samuel Alito; Amy Coney Barrett; Neil Gorsuch; Brett Kavanaugh; Clarence Thomas</w:t>
      </w:r>
    </w:p>
    <w:p w14:paraId="2D8BB461" w14:textId="104507CF" w:rsidR="00663A6A" w:rsidRDefault="00663A6A" w:rsidP="00663A6A">
      <w:pPr>
        <w:rPr>
          <w:rFonts w:ascii="Arial Black" w:hAnsi="Arial Black"/>
          <w:b/>
          <w:bCs/>
          <w:sz w:val="28"/>
          <w:szCs w:val="28"/>
        </w:rPr>
      </w:pPr>
      <w:r>
        <w:rPr>
          <w:rFonts w:ascii="Times New Roman" w:hAnsi="Times New Roman"/>
          <w:sz w:val="24"/>
          <w:szCs w:val="24"/>
        </w:rPr>
        <w:t>Dissenting: Chief Justice John Roberts; Justices Steve Breyer; Elana Kagan; Sonia Sotomayor</w:t>
      </w:r>
    </w:p>
    <w:p w14:paraId="6A8A2C1A" w14:textId="77777777" w:rsidR="00663A6A" w:rsidRDefault="00663A6A" w:rsidP="002B1283">
      <w:pPr>
        <w:rPr>
          <w:rFonts w:ascii="Arial Black" w:hAnsi="Arial Black"/>
          <w:b/>
          <w:bCs/>
          <w:sz w:val="28"/>
          <w:szCs w:val="28"/>
        </w:rPr>
      </w:pPr>
    </w:p>
    <w:p w14:paraId="344AEE7E" w14:textId="457D148D" w:rsidR="00663A6A" w:rsidRDefault="00663A6A" w:rsidP="002B1283">
      <w:pPr>
        <w:rPr>
          <w:rFonts w:ascii="Arial Black" w:hAnsi="Arial Black"/>
          <w:b/>
          <w:bCs/>
          <w:sz w:val="28"/>
          <w:szCs w:val="28"/>
        </w:rPr>
      </w:pPr>
      <w:r>
        <w:rPr>
          <w:rFonts w:ascii="Arial Black" w:hAnsi="Arial Black"/>
          <w:b/>
          <w:bCs/>
          <w:sz w:val="28"/>
          <w:szCs w:val="28"/>
        </w:rPr>
        <w:t>13-71</w:t>
      </w:r>
    </w:p>
    <w:p w14:paraId="5B075897" w14:textId="77777777" w:rsidR="00663A6A" w:rsidRPr="00E85284" w:rsidRDefault="00663A6A" w:rsidP="00663A6A">
      <w:pPr>
        <w:pStyle w:val="NoSpacing"/>
        <w:rPr>
          <w:rFonts w:ascii="Arial Black" w:hAnsi="Arial Black"/>
          <w:sz w:val="28"/>
          <w:szCs w:val="28"/>
        </w:rPr>
      </w:pPr>
      <w:r>
        <w:rPr>
          <w:rFonts w:ascii="Arial Black" w:hAnsi="Arial Black"/>
          <w:sz w:val="28"/>
          <w:szCs w:val="28"/>
        </w:rPr>
        <w:t>GA: ISLAND RESIDENTS SUE COUNTY – POOR EMS SERVICE – EXPERT’S REPORT ADMISSIBLE – RELIABLE / HELPFUL</w:t>
      </w:r>
    </w:p>
    <w:p w14:paraId="43DE7804" w14:textId="77777777" w:rsidR="00663A6A" w:rsidRPr="00E85284" w:rsidRDefault="00663A6A" w:rsidP="00663A6A">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On Nov. 23, 2020, in </w:t>
      </w:r>
      <w:r w:rsidRPr="00E85284">
        <w:rPr>
          <w:rFonts w:ascii="Times New Roman" w:hAnsi="Times New Roman"/>
          <w:sz w:val="24"/>
          <w:szCs w:val="24"/>
          <w:u w:val="single"/>
        </w:rPr>
        <w:t>Melvin Banks, Sr., et al. v. Mc</w:t>
      </w:r>
      <w:r>
        <w:rPr>
          <w:rFonts w:ascii="Times New Roman" w:hAnsi="Times New Roman"/>
          <w:sz w:val="24"/>
          <w:szCs w:val="24"/>
          <w:u w:val="single"/>
        </w:rPr>
        <w:t>I</w:t>
      </w:r>
      <w:r w:rsidRPr="00E85284">
        <w:rPr>
          <w:rFonts w:ascii="Times New Roman" w:hAnsi="Times New Roman"/>
          <w:sz w:val="24"/>
          <w:szCs w:val="24"/>
          <w:u w:val="single"/>
        </w:rPr>
        <w:t>ntosh County</w:t>
      </w:r>
      <w:r>
        <w:rPr>
          <w:rFonts w:ascii="Times New Roman" w:hAnsi="Times New Roman"/>
          <w:sz w:val="24"/>
          <w:szCs w:val="24"/>
        </w:rPr>
        <w:t xml:space="preserve">, U.S. Magistrate Judge Benjamin W. Cheesbro, U.S. District Court for South District of Georgie, denied the County’s motion to exclude </w:t>
      </w:r>
      <w:r w:rsidRPr="00F26776">
        <w:rPr>
          <w:rFonts w:ascii="Times New Roman" w:hAnsi="Times New Roman"/>
          <w:sz w:val="24"/>
          <w:szCs w:val="24"/>
        </w:rPr>
        <w:t xml:space="preserve">the expert testimony </w:t>
      </w:r>
      <w:r>
        <w:rPr>
          <w:rFonts w:ascii="Times New Roman" w:hAnsi="Times New Roman"/>
          <w:sz w:val="24"/>
          <w:szCs w:val="24"/>
        </w:rPr>
        <w:t xml:space="preserve">and report </w:t>
      </w:r>
      <w:r w:rsidRPr="00F26776">
        <w:rPr>
          <w:rFonts w:ascii="Times New Roman" w:hAnsi="Times New Roman"/>
          <w:sz w:val="24"/>
          <w:szCs w:val="24"/>
        </w:rPr>
        <w:t>of Dr. William Fales</w:t>
      </w:r>
      <w:r>
        <w:rPr>
          <w:rFonts w:ascii="Times New Roman" w:hAnsi="Times New Roman"/>
          <w:sz w:val="24"/>
          <w:szCs w:val="24"/>
        </w:rPr>
        <w:t xml:space="preserve">, since he has extensive experience in EMS.  </w:t>
      </w:r>
    </w:p>
    <w:p w14:paraId="48AEFF27" w14:textId="77777777" w:rsidR="00663A6A" w:rsidRDefault="00663A6A" w:rsidP="00663A6A">
      <w:pPr>
        <w:pStyle w:val="NoSpacing"/>
        <w:ind w:left="720"/>
        <w:rPr>
          <w:rFonts w:ascii="Times New Roman" w:hAnsi="Times New Roman"/>
          <w:sz w:val="24"/>
          <w:szCs w:val="24"/>
        </w:rPr>
      </w:pPr>
      <w:r>
        <w:rPr>
          <w:rFonts w:ascii="Times New Roman" w:hAnsi="Times New Roman"/>
          <w:sz w:val="24"/>
          <w:szCs w:val="24"/>
        </w:rPr>
        <w:lastRenderedPageBreak/>
        <w:t>“</w:t>
      </w:r>
      <w:r w:rsidRPr="00F26776">
        <w:rPr>
          <w:rFonts w:ascii="Times New Roman" w:hAnsi="Times New Roman"/>
          <w:sz w:val="24"/>
          <w:szCs w:val="24"/>
        </w:rPr>
        <w:t>In other words, Dr. Fales</w:t>
      </w:r>
      <w:r>
        <w:rPr>
          <w:rFonts w:ascii="Times New Roman" w:hAnsi="Times New Roman"/>
          <w:sz w:val="24"/>
          <w:szCs w:val="24"/>
        </w:rPr>
        <w:t>’</w:t>
      </w:r>
      <w:r w:rsidRPr="00F26776">
        <w:rPr>
          <w:rFonts w:ascii="Times New Roman" w:hAnsi="Times New Roman"/>
          <w:sz w:val="24"/>
          <w:szCs w:val="24"/>
        </w:rPr>
        <w:t xml:space="preserve"> opinions concern how and when various healthcare assets are deployed and utilized on a system-wide basis, not the adequacy of specific forms of medical care or treatment. Dr. Fales</w:t>
      </w:r>
      <w:r>
        <w:rPr>
          <w:rFonts w:ascii="Times New Roman" w:hAnsi="Times New Roman"/>
          <w:sz w:val="24"/>
          <w:szCs w:val="24"/>
        </w:rPr>
        <w:t>’</w:t>
      </w:r>
      <w:r w:rsidRPr="00F26776">
        <w:rPr>
          <w:rFonts w:ascii="Times New Roman" w:hAnsi="Times New Roman"/>
          <w:sz w:val="24"/>
          <w:szCs w:val="24"/>
        </w:rPr>
        <w:t xml:space="preserve"> recommendations highlight this distinction. For example, Dr. Fales recommends Sapelo Island First Responders should have a dedicated vehicle (Recommendation B7) and the fireboat used by McIntosh County EMS should be moved from one location to another (Recommendation C3). Doc. 273-1 at 50.</w:t>
      </w:r>
    </w:p>
    <w:p w14:paraId="7C7F62DE" w14:textId="77777777" w:rsidR="00663A6A" w:rsidRPr="00F26776" w:rsidRDefault="00663A6A" w:rsidP="00663A6A">
      <w:pPr>
        <w:pStyle w:val="NoSpacing"/>
        <w:rPr>
          <w:rFonts w:ascii="Times New Roman" w:hAnsi="Times New Roman"/>
          <w:sz w:val="24"/>
          <w:szCs w:val="24"/>
        </w:rPr>
      </w:pPr>
    </w:p>
    <w:p w14:paraId="3E00C779" w14:textId="77777777" w:rsidR="00663A6A" w:rsidRDefault="00663A6A" w:rsidP="00663A6A">
      <w:pPr>
        <w:pStyle w:val="NoSpacing"/>
        <w:ind w:left="720"/>
        <w:rPr>
          <w:rFonts w:ascii="Times New Roman" w:hAnsi="Times New Roman"/>
          <w:sz w:val="24"/>
          <w:szCs w:val="24"/>
        </w:rPr>
      </w:pPr>
      <w:r w:rsidRPr="00F26776">
        <w:rPr>
          <w:rFonts w:ascii="Times New Roman" w:hAnsi="Times New Roman"/>
          <w:sz w:val="24"/>
          <w:szCs w:val="24"/>
        </w:rPr>
        <w:t xml:space="preserve">Recommendation A3 provides that the McIntosh County EMS should use Wiregrass 911 to adopt a formal 911 system. Doc. 273-1 at 48. Recommendation A4 provides the County should adopt a tiered response plan for the Sapelo Island EMS Response Plan based on patient acuity. </w:t>
      </w:r>
      <w:r w:rsidRPr="00F26776">
        <w:rPr>
          <w:rFonts w:ascii="Times New Roman" w:hAnsi="Times New Roman"/>
          <w:sz w:val="24"/>
          <w:szCs w:val="24"/>
          <w:u w:val="single"/>
        </w:rPr>
        <w:t>Id.</w:t>
      </w:r>
      <w:r w:rsidRPr="00F26776">
        <w:rPr>
          <w:rFonts w:ascii="Times New Roman" w:hAnsi="Times New Roman"/>
          <w:sz w:val="24"/>
          <w:szCs w:val="24"/>
        </w:rPr>
        <w:t xml:space="preserve"> Recommendation C1 provides McIntosh County should develop a form EMS Response Plan for Sapelo Island. </w:t>
      </w:r>
      <w:r w:rsidRPr="00F26776">
        <w:rPr>
          <w:rFonts w:ascii="Times New Roman" w:hAnsi="Times New Roman"/>
          <w:sz w:val="24"/>
          <w:szCs w:val="24"/>
          <w:u w:val="single"/>
        </w:rPr>
        <w:t>Id.</w:t>
      </w:r>
      <w:r w:rsidRPr="00F26776">
        <w:rPr>
          <w:rFonts w:ascii="Times New Roman" w:hAnsi="Times New Roman"/>
          <w:sz w:val="24"/>
          <w:szCs w:val="24"/>
        </w:rPr>
        <w:t xml:space="preserve"> At 49. Recommendation C2 also provides McIntosh County EMS should work in collaboration with Wiregrass 911. </w:t>
      </w:r>
      <w:r w:rsidRPr="00F26776">
        <w:rPr>
          <w:rFonts w:ascii="Times New Roman" w:hAnsi="Times New Roman"/>
          <w:sz w:val="24"/>
          <w:szCs w:val="24"/>
          <w:u w:val="single"/>
        </w:rPr>
        <w:t>Id.</w:t>
      </w:r>
      <w:r w:rsidRPr="00F26776">
        <w:rPr>
          <w:rFonts w:ascii="Times New Roman" w:hAnsi="Times New Roman"/>
          <w:sz w:val="24"/>
          <w:szCs w:val="24"/>
        </w:rPr>
        <w:t xml:space="preserve"> Recommendation C6 provides McIntosh County should develop a training program for first responders serving Sapelo Island to ensure effective EMS. </w:t>
      </w:r>
      <w:r w:rsidRPr="00F26776">
        <w:rPr>
          <w:rFonts w:ascii="Times New Roman" w:hAnsi="Times New Roman"/>
          <w:sz w:val="24"/>
          <w:szCs w:val="24"/>
          <w:u w:val="single"/>
        </w:rPr>
        <w:t>Id.</w:t>
      </w:r>
      <w:r w:rsidRPr="00F26776">
        <w:rPr>
          <w:rFonts w:ascii="Times New Roman" w:hAnsi="Times New Roman"/>
          <w:sz w:val="24"/>
          <w:szCs w:val="24"/>
        </w:rPr>
        <w:t xml:space="preserve"> Recommendation C7 provides McIntosh County EMS should established a quality improvement program. </w:t>
      </w:r>
      <w:r w:rsidRPr="00F26776">
        <w:rPr>
          <w:rFonts w:ascii="Times New Roman" w:hAnsi="Times New Roman"/>
          <w:sz w:val="24"/>
          <w:szCs w:val="24"/>
          <w:u w:val="single"/>
        </w:rPr>
        <w:t>Id.</w:t>
      </w:r>
      <w:r w:rsidRPr="00F26776">
        <w:rPr>
          <w:rFonts w:ascii="Times New Roman" w:hAnsi="Times New Roman"/>
          <w:sz w:val="24"/>
          <w:szCs w:val="24"/>
        </w:rPr>
        <w:t xml:space="preserve"> At 50. Recommendation C9 provides McIntosh County EMS should apply for a federal grant to </w:t>
      </w:r>
      <w:proofErr w:type="gramStart"/>
      <w:r w:rsidRPr="00F26776">
        <w:rPr>
          <w:rFonts w:ascii="Times New Roman" w:hAnsi="Times New Roman"/>
          <w:sz w:val="24"/>
          <w:szCs w:val="24"/>
        </w:rPr>
        <w:t>help better</w:t>
      </w:r>
      <w:proofErr w:type="gramEnd"/>
      <w:r w:rsidRPr="00F26776">
        <w:rPr>
          <w:rFonts w:ascii="Times New Roman" w:hAnsi="Times New Roman"/>
          <w:sz w:val="24"/>
          <w:szCs w:val="24"/>
        </w:rPr>
        <w:t xml:space="preserve"> serve both the County as a whole and the Island. </w:t>
      </w:r>
      <w:r w:rsidRPr="00F26776">
        <w:rPr>
          <w:rFonts w:ascii="Times New Roman" w:hAnsi="Times New Roman"/>
          <w:sz w:val="24"/>
          <w:szCs w:val="24"/>
          <w:u w:val="single"/>
        </w:rPr>
        <w:t>Id</w:t>
      </w:r>
      <w:r>
        <w:rPr>
          <w:rFonts w:ascii="Times New Roman" w:hAnsi="Times New Roman"/>
          <w:sz w:val="24"/>
          <w:szCs w:val="24"/>
        </w:rPr>
        <w:t>.”</w:t>
      </w:r>
    </w:p>
    <w:p w14:paraId="3EF14B4B" w14:textId="77777777" w:rsidR="00663A6A" w:rsidRDefault="00663A6A" w:rsidP="00663A6A">
      <w:pPr>
        <w:pStyle w:val="NoSpacing"/>
        <w:ind w:left="720"/>
      </w:pPr>
      <w:hyperlink r:id="rId2336" w:history="1">
        <w:r w:rsidRPr="00AA126E">
          <w:rPr>
            <w:rStyle w:val="Hyperlink"/>
          </w:rPr>
          <w:t>https://public.fastcase.com/Wl%2B2t%2BeVuI35%2FN70vAMFZu2kCKVGtKJMtqi4A8YrO%2FA1C58cJM7PHa67poZD1rnP</w:t>
        </w:r>
      </w:hyperlink>
      <w:r>
        <w:t xml:space="preserve"> </w:t>
      </w:r>
    </w:p>
    <w:p w14:paraId="49E24A05" w14:textId="77777777" w:rsidR="00663A6A" w:rsidRDefault="00663A6A" w:rsidP="00663A6A">
      <w:pPr>
        <w:pStyle w:val="NoSpacing"/>
        <w:rPr>
          <w:rFonts w:ascii="Times New Roman" w:hAnsi="Times New Roman"/>
          <w:sz w:val="24"/>
          <w:szCs w:val="24"/>
        </w:rPr>
      </w:pPr>
    </w:p>
    <w:p w14:paraId="1C15A1C0" w14:textId="77777777" w:rsidR="00663A6A" w:rsidRPr="00F26776" w:rsidRDefault="00663A6A" w:rsidP="00663A6A">
      <w:pPr>
        <w:spacing w:before="100" w:beforeAutospacing="1" w:after="100" w:afterAutospacing="1" w:line="240" w:lineRule="auto"/>
        <w:rPr>
          <w:rFonts w:ascii="Times New Roman" w:eastAsia="Times New Roman" w:hAnsi="Times New Roman"/>
          <w:b/>
          <w:bCs/>
          <w:sz w:val="24"/>
          <w:szCs w:val="24"/>
        </w:rPr>
      </w:pPr>
      <w:r w:rsidRPr="00295761">
        <w:rPr>
          <w:rFonts w:ascii="Times New Roman" w:hAnsi="Times New Roman"/>
          <w:b/>
          <w:bCs/>
          <w:sz w:val="24"/>
          <w:szCs w:val="24"/>
        </w:rPr>
        <w:t>Legal Lessons Learned:</w:t>
      </w:r>
      <w:r>
        <w:rPr>
          <w:rFonts w:ascii="Times New Roman" w:hAnsi="Times New Roman"/>
          <w:b/>
          <w:bCs/>
          <w:sz w:val="24"/>
          <w:szCs w:val="24"/>
        </w:rPr>
        <w:t xml:space="preserve">  The case may now proceed to trial.   Dr. Fales has apparently never visited </w:t>
      </w:r>
      <w:r w:rsidRPr="00295761">
        <w:rPr>
          <w:rFonts w:ascii="Times New Roman" w:eastAsia="Times New Roman" w:hAnsi="Times New Roman"/>
          <w:b/>
          <w:bCs/>
          <w:sz w:val="24"/>
          <w:szCs w:val="24"/>
        </w:rPr>
        <w:t xml:space="preserve">Sapelo Island; hopefully he will prior to trial. </w:t>
      </w:r>
    </w:p>
    <w:p w14:paraId="04EB0CC8" w14:textId="77777777" w:rsidR="00663A6A" w:rsidRPr="00295761" w:rsidRDefault="00663A6A" w:rsidP="00663A6A">
      <w:pPr>
        <w:pStyle w:val="NormalWeb"/>
        <w:ind w:left="720"/>
      </w:pPr>
      <w:r>
        <w:t xml:space="preserve">Note: Sapelo Island looks like a lovely place. </w:t>
      </w:r>
      <w:hyperlink r:id="rId2337" w:history="1">
        <w:r w:rsidRPr="00AA126E">
          <w:rPr>
            <w:rStyle w:val="Hyperlink"/>
          </w:rPr>
          <w:t>https://www.exploregeorgia.org/city/sapelo-island</w:t>
        </w:r>
      </w:hyperlink>
      <w:r>
        <w:t xml:space="preserve"> </w:t>
      </w:r>
    </w:p>
    <w:p w14:paraId="485619D1" w14:textId="77777777" w:rsidR="00663A6A" w:rsidRPr="00295761" w:rsidRDefault="00663A6A" w:rsidP="00663A6A">
      <w:pPr>
        <w:pStyle w:val="NormalWeb"/>
        <w:ind w:left="1440"/>
      </w:pPr>
      <w:r>
        <w:t>“</w:t>
      </w:r>
      <w:r w:rsidRPr="00295761">
        <w:t xml:space="preserve">Sapelo is a state-managed barrier island, the fourth largest in the chain of coastal Georgia islands between the Savannah and St. </w:t>
      </w:r>
      <w:proofErr w:type="spellStart"/>
      <w:r w:rsidRPr="00295761">
        <w:t>Marys</w:t>
      </w:r>
      <w:proofErr w:type="spellEnd"/>
      <w:r w:rsidRPr="00295761">
        <w:t xml:space="preserve"> rivers. Accessible only by passenger ferry, Sapelo provides </w:t>
      </w:r>
      <w:proofErr w:type="gramStart"/>
      <w:r w:rsidRPr="00295761">
        <w:t>a number of</w:t>
      </w:r>
      <w:proofErr w:type="gramEnd"/>
      <w:r w:rsidRPr="00295761">
        <w:t xml:space="preserve"> public access recreational, educational and lodging opportunities.</w:t>
      </w:r>
      <w:r>
        <w:t xml:space="preserve"> </w:t>
      </w:r>
      <w:r w:rsidRPr="00295761">
        <w:t>The Georgia Department of Natural Resources (DNR) manages the island. DNR operates the ferry service and serves as state liaison for the Sapelo Island National Estuarine Research Reserve, the University of Georgia Marine Institute, and the civilian Hog Hammock community, permanent home to about 70 full-time residents, many of whom are descended from the antebellum slaves of Sapelo</w:t>
      </w:r>
      <w:r>
        <w:t>’</w:t>
      </w:r>
      <w:r w:rsidRPr="00295761">
        <w:t>s plantations.</w:t>
      </w:r>
      <w:r>
        <w:t xml:space="preserve">” </w:t>
      </w:r>
    </w:p>
    <w:p w14:paraId="1ABC4AF5" w14:textId="77777777" w:rsidR="00663A6A" w:rsidRDefault="00663A6A" w:rsidP="002B1283">
      <w:pPr>
        <w:rPr>
          <w:rFonts w:ascii="Arial Black" w:hAnsi="Arial Black"/>
          <w:b/>
          <w:bCs/>
          <w:sz w:val="28"/>
          <w:szCs w:val="28"/>
        </w:rPr>
      </w:pPr>
    </w:p>
    <w:p w14:paraId="07D9A146" w14:textId="77777777" w:rsidR="00663A6A" w:rsidRDefault="00663A6A" w:rsidP="002B1283">
      <w:pPr>
        <w:rPr>
          <w:rFonts w:ascii="Arial Black" w:hAnsi="Arial Black"/>
          <w:b/>
          <w:bCs/>
          <w:sz w:val="28"/>
          <w:szCs w:val="28"/>
        </w:rPr>
      </w:pPr>
    </w:p>
    <w:p w14:paraId="50909CCE" w14:textId="449449A2" w:rsidR="00663A6A" w:rsidRDefault="00663A6A" w:rsidP="002B1283">
      <w:pPr>
        <w:rPr>
          <w:rFonts w:ascii="Arial Black" w:hAnsi="Arial Black"/>
          <w:b/>
          <w:bCs/>
          <w:sz w:val="28"/>
          <w:szCs w:val="28"/>
        </w:rPr>
      </w:pPr>
      <w:r>
        <w:rPr>
          <w:rFonts w:ascii="Arial Black" w:hAnsi="Arial Black"/>
          <w:b/>
          <w:bCs/>
          <w:sz w:val="28"/>
          <w:szCs w:val="28"/>
        </w:rPr>
        <w:t>13-70</w:t>
      </w:r>
    </w:p>
    <w:p w14:paraId="2E0F17CB" w14:textId="77777777" w:rsidR="00663A6A" w:rsidRDefault="00663A6A" w:rsidP="00663A6A">
      <w:pPr>
        <w:rPr>
          <w:rFonts w:ascii="Arial Black" w:hAnsi="Arial Black"/>
          <w:sz w:val="28"/>
          <w:szCs w:val="28"/>
        </w:rPr>
      </w:pPr>
      <w:r>
        <w:rPr>
          <w:rFonts w:ascii="Arial Black" w:hAnsi="Arial Black"/>
          <w:sz w:val="28"/>
          <w:szCs w:val="28"/>
        </w:rPr>
        <w:t>OH:  COVID-19 TEMPORARY STATUTE – EMS AUTHORIZED WORK IN HOSPITAL ED AND IN OTHER HOSPITAL AREAS</w:t>
      </w:r>
    </w:p>
    <w:p w14:paraId="14109486" w14:textId="77777777" w:rsidR="00663A6A" w:rsidRPr="00304944" w:rsidRDefault="00663A6A" w:rsidP="00663A6A">
      <w:pPr>
        <w:rPr>
          <w:rFonts w:ascii="Times New Roman" w:hAnsi="Times New Roman"/>
          <w:sz w:val="24"/>
          <w:szCs w:val="24"/>
        </w:rPr>
      </w:pPr>
      <w:r>
        <w:rPr>
          <w:rFonts w:ascii="Times New Roman" w:hAnsi="Times New Roman"/>
          <w:sz w:val="24"/>
          <w:szCs w:val="24"/>
        </w:rPr>
        <w:t xml:space="preserve">On Nov. 23, 2021, the Governor of Ohio signed </w:t>
      </w:r>
      <w:proofErr w:type="gramStart"/>
      <w:r>
        <w:rPr>
          <w:rFonts w:ascii="Times New Roman" w:hAnsi="Times New Roman"/>
          <w:sz w:val="24"/>
          <w:szCs w:val="24"/>
        </w:rPr>
        <w:t>into law House Bill 151</w:t>
      </w:r>
      <w:proofErr w:type="gramEnd"/>
      <w:r>
        <w:rPr>
          <w:rFonts w:ascii="Times New Roman" w:hAnsi="Times New Roman"/>
          <w:sz w:val="24"/>
          <w:szCs w:val="24"/>
        </w:rPr>
        <w:t>, provides in part:</w:t>
      </w:r>
    </w:p>
    <w:p w14:paraId="5B1EA0FC" w14:textId="77777777" w:rsidR="00663A6A" w:rsidRDefault="00663A6A" w:rsidP="00663A6A">
      <w:pPr>
        <w:ind w:left="720"/>
        <w:rPr>
          <w:rFonts w:ascii="Times New Roman" w:hAnsi="Times New Roman"/>
          <w:sz w:val="24"/>
          <w:szCs w:val="24"/>
        </w:rPr>
      </w:pPr>
      <w:r>
        <w:rPr>
          <w:rFonts w:ascii="Times New Roman" w:hAnsi="Times New Roman"/>
          <w:sz w:val="24"/>
          <w:szCs w:val="24"/>
        </w:rPr>
        <w:t>“</w:t>
      </w:r>
      <w:r w:rsidRPr="00304944">
        <w:rPr>
          <w:rFonts w:ascii="Times New Roman" w:hAnsi="Times New Roman"/>
          <w:sz w:val="24"/>
          <w:szCs w:val="24"/>
        </w:rPr>
        <w:t>(B) Beginning on the effective date of this section and until July 1, 2021, and not</w:t>
      </w:r>
      <w:r>
        <w:rPr>
          <w:rFonts w:ascii="Times New Roman" w:hAnsi="Times New Roman"/>
          <w:sz w:val="24"/>
          <w:szCs w:val="24"/>
        </w:rPr>
        <w:t xml:space="preserve"> </w:t>
      </w:r>
      <w:r w:rsidRPr="00304944">
        <w:rPr>
          <w:rFonts w:ascii="Times New Roman" w:hAnsi="Times New Roman"/>
          <w:sz w:val="24"/>
          <w:szCs w:val="24"/>
        </w:rPr>
        <w:t>withstanding</w:t>
      </w:r>
      <w:r>
        <w:rPr>
          <w:rFonts w:ascii="Times New Roman" w:hAnsi="Times New Roman"/>
          <w:sz w:val="24"/>
          <w:szCs w:val="24"/>
        </w:rPr>
        <w:t xml:space="preserve"> </w:t>
      </w:r>
      <w:r w:rsidRPr="00304944">
        <w:rPr>
          <w:rFonts w:ascii="Times New Roman" w:hAnsi="Times New Roman"/>
          <w:sz w:val="24"/>
          <w:szCs w:val="24"/>
        </w:rPr>
        <w:t>any provision of the Revised Code, a first responder, emergency medical technician-basic,</w:t>
      </w:r>
      <w:r>
        <w:rPr>
          <w:rFonts w:ascii="Times New Roman" w:hAnsi="Times New Roman"/>
          <w:sz w:val="24"/>
          <w:szCs w:val="24"/>
        </w:rPr>
        <w:t xml:space="preserve"> </w:t>
      </w:r>
      <w:r w:rsidRPr="00304944">
        <w:rPr>
          <w:rFonts w:ascii="Times New Roman" w:hAnsi="Times New Roman"/>
          <w:sz w:val="24"/>
          <w:szCs w:val="24"/>
        </w:rPr>
        <w:t>emergency medical technician-intermediate, and emergency medical technician-paramedic may</w:t>
      </w:r>
      <w:r>
        <w:rPr>
          <w:rFonts w:ascii="Times New Roman" w:hAnsi="Times New Roman"/>
          <w:sz w:val="24"/>
          <w:szCs w:val="24"/>
        </w:rPr>
        <w:t xml:space="preserve"> </w:t>
      </w:r>
      <w:r w:rsidRPr="00304944">
        <w:rPr>
          <w:rFonts w:ascii="Times New Roman" w:hAnsi="Times New Roman"/>
          <w:sz w:val="24"/>
          <w:szCs w:val="24"/>
        </w:rPr>
        <w:t xml:space="preserve">perform emergency </w:t>
      </w:r>
      <w:r w:rsidRPr="00304944">
        <w:rPr>
          <w:rFonts w:ascii="Times New Roman" w:hAnsi="Times New Roman"/>
          <w:sz w:val="24"/>
          <w:szCs w:val="24"/>
        </w:rPr>
        <w:lastRenderedPageBreak/>
        <w:t>medical services in any setting, including in any area of a hospital, if the services</w:t>
      </w:r>
      <w:r>
        <w:rPr>
          <w:rFonts w:ascii="Times New Roman" w:hAnsi="Times New Roman"/>
          <w:sz w:val="24"/>
          <w:szCs w:val="24"/>
        </w:rPr>
        <w:t xml:space="preserve"> </w:t>
      </w:r>
      <w:r w:rsidRPr="00304944">
        <w:rPr>
          <w:rFonts w:ascii="Times New Roman" w:hAnsi="Times New Roman"/>
          <w:sz w:val="24"/>
          <w:szCs w:val="24"/>
        </w:rPr>
        <w:t>are performed under the direction and supervision of one of the following</w:t>
      </w:r>
      <w:r>
        <w:rPr>
          <w:rFonts w:ascii="Times New Roman" w:hAnsi="Times New Roman"/>
          <w:sz w:val="24"/>
          <w:szCs w:val="24"/>
        </w:rPr>
        <w:t>:</w:t>
      </w:r>
      <w:r w:rsidRPr="00304944">
        <w:rPr>
          <w:rFonts w:ascii="Times New Roman" w:hAnsi="Times New Roman"/>
          <w:sz w:val="24"/>
          <w:szCs w:val="24"/>
        </w:rPr>
        <w:t>1) A physician;(2) A physician assistant designated by a physician;(3) An advanced practice registered nurse designated by a physician.(C) A first responder, emergency medical technician-basic, emergency medical technician-intermediate, and emergency medical technician-paramedic is not liable in damages in a civil action</w:t>
      </w:r>
      <w:r>
        <w:rPr>
          <w:rFonts w:ascii="Times New Roman" w:hAnsi="Times New Roman"/>
          <w:sz w:val="24"/>
          <w:szCs w:val="24"/>
        </w:rPr>
        <w:t xml:space="preserve"> </w:t>
      </w:r>
      <w:r w:rsidRPr="00304944">
        <w:rPr>
          <w:rFonts w:ascii="Times New Roman" w:hAnsi="Times New Roman"/>
          <w:sz w:val="24"/>
          <w:szCs w:val="24"/>
        </w:rPr>
        <w:t>for injury, death, or loss to person or property resulting from the individual</w:t>
      </w:r>
      <w:r>
        <w:rPr>
          <w:rFonts w:ascii="Times New Roman" w:hAnsi="Times New Roman"/>
          <w:sz w:val="24"/>
          <w:szCs w:val="24"/>
        </w:rPr>
        <w:t>’</w:t>
      </w:r>
      <w:r w:rsidRPr="00304944">
        <w:rPr>
          <w:rFonts w:ascii="Times New Roman" w:hAnsi="Times New Roman"/>
          <w:sz w:val="24"/>
          <w:szCs w:val="24"/>
        </w:rPr>
        <w:t>s administration of</w:t>
      </w:r>
      <w:r>
        <w:rPr>
          <w:rFonts w:ascii="Times New Roman" w:hAnsi="Times New Roman"/>
          <w:sz w:val="24"/>
          <w:szCs w:val="24"/>
        </w:rPr>
        <w:t xml:space="preserve"> </w:t>
      </w:r>
      <w:r w:rsidRPr="00304944">
        <w:rPr>
          <w:rFonts w:ascii="Times New Roman" w:hAnsi="Times New Roman"/>
          <w:sz w:val="24"/>
          <w:szCs w:val="24"/>
        </w:rPr>
        <w:t>emergency medical services, unless the services are administered in a manner that constitutes willful</w:t>
      </w:r>
      <w:r>
        <w:rPr>
          <w:rFonts w:ascii="Times New Roman" w:hAnsi="Times New Roman"/>
          <w:sz w:val="24"/>
          <w:szCs w:val="24"/>
        </w:rPr>
        <w:t xml:space="preserve"> </w:t>
      </w:r>
      <w:r w:rsidRPr="00304944">
        <w:rPr>
          <w:rFonts w:ascii="Times New Roman" w:hAnsi="Times New Roman"/>
          <w:sz w:val="24"/>
          <w:szCs w:val="24"/>
        </w:rPr>
        <w:t>or wanton misconduct.</w:t>
      </w:r>
      <w:r>
        <w:rPr>
          <w:rFonts w:ascii="Times New Roman" w:hAnsi="Times New Roman"/>
          <w:sz w:val="24"/>
          <w:szCs w:val="24"/>
        </w:rPr>
        <w:t xml:space="preserve">” </w:t>
      </w:r>
      <w:hyperlink r:id="rId2338" w:history="1">
        <w:r w:rsidRPr="00695F3D">
          <w:rPr>
            <w:rStyle w:val="Hyperlink"/>
            <w:rFonts w:ascii="Times New Roman" w:hAnsi="Times New Roman"/>
            <w:sz w:val="24"/>
            <w:szCs w:val="24"/>
          </w:rPr>
          <w:t>file:///C:/Users/lawre/AppData/Local/Temp/hb151_05_EN.pdf</w:t>
        </w:r>
      </w:hyperlink>
      <w:r>
        <w:rPr>
          <w:rFonts w:ascii="Times New Roman" w:hAnsi="Times New Roman"/>
          <w:sz w:val="24"/>
          <w:szCs w:val="24"/>
        </w:rPr>
        <w:t xml:space="preserve"> [page 20].</w:t>
      </w:r>
    </w:p>
    <w:p w14:paraId="79E8B821" w14:textId="77777777" w:rsidR="00663A6A" w:rsidRDefault="00663A6A" w:rsidP="00663A6A">
      <w:pPr>
        <w:rPr>
          <w:rFonts w:ascii="Times New Roman" w:hAnsi="Times New Roman"/>
          <w:b/>
          <w:bCs/>
          <w:sz w:val="24"/>
          <w:szCs w:val="24"/>
        </w:rPr>
      </w:pPr>
      <w:r w:rsidRPr="00304944">
        <w:rPr>
          <w:rFonts w:ascii="Times New Roman" w:hAnsi="Times New Roman"/>
          <w:b/>
          <w:bCs/>
          <w:sz w:val="24"/>
          <w:szCs w:val="24"/>
        </w:rPr>
        <w:t xml:space="preserve">Legal Lesson Learned: </w:t>
      </w:r>
      <w:r>
        <w:rPr>
          <w:rFonts w:ascii="Times New Roman" w:hAnsi="Times New Roman"/>
          <w:b/>
          <w:bCs/>
          <w:sz w:val="24"/>
          <w:szCs w:val="24"/>
        </w:rPr>
        <w:t xml:space="preserve">The new law will be helpful to many hospitals; Ohio EMS should keep their FD Medical Director informed of duties performed outside the ED. </w:t>
      </w:r>
    </w:p>
    <w:p w14:paraId="6FECD26E" w14:textId="77777777" w:rsidR="00663A6A" w:rsidRDefault="00663A6A" w:rsidP="00663A6A">
      <w:pPr>
        <w:ind w:left="720"/>
        <w:rPr>
          <w:rFonts w:ascii="Times New Roman" w:hAnsi="Times New Roman"/>
          <w:sz w:val="24"/>
          <w:szCs w:val="24"/>
        </w:rPr>
      </w:pPr>
      <w:r>
        <w:rPr>
          <w:rFonts w:ascii="Times New Roman" w:hAnsi="Times New Roman"/>
          <w:sz w:val="24"/>
          <w:szCs w:val="24"/>
        </w:rPr>
        <w:t xml:space="preserve">Note:  See memo from State Medical Director: </w:t>
      </w:r>
      <w:hyperlink r:id="rId2339" w:history="1">
        <w:r w:rsidRPr="00D74D0C">
          <w:rPr>
            <w:rStyle w:val="Hyperlink"/>
            <w:rFonts w:ascii="Times New Roman" w:hAnsi="Times New Roman"/>
            <w:sz w:val="24"/>
            <w:szCs w:val="24"/>
          </w:rPr>
          <w:t>https://www.ems.ohio.gov/links/COVID-19/Legislated%20COVID-19%20Contingency%20Measures%20for%20Ohio%20EMS.pdf</w:t>
        </w:r>
      </w:hyperlink>
      <w:r>
        <w:rPr>
          <w:rFonts w:ascii="Times New Roman" w:hAnsi="Times New Roman"/>
          <w:sz w:val="24"/>
          <w:szCs w:val="24"/>
        </w:rPr>
        <w:t xml:space="preserve"> </w:t>
      </w:r>
    </w:p>
    <w:p w14:paraId="6B51BD52" w14:textId="77777777" w:rsidR="00663A6A" w:rsidRDefault="00663A6A" w:rsidP="00663A6A">
      <w:pPr>
        <w:ind w:left="1440"/>
        <w:rPr>
          <w:rFonts w:ascii="Times New Roman" w:hAnsi="Times New Roman"/>
          <w:sz w:val="24"/>
          <w:szCs w:val="24"/>
        </w:rPr>
      </w:pPr>
      <w:r>
        <w:rPr>
          <w:rFonts w:ascii="Times New Roman" w:hAnsi="Times New Roman"/>
          <w:sz w:val="24"/>
          <w:szCs w:val="24"/>
        </w:rPr>
        <w:t>“</w:t>
      </w:r>
      <w:r w:rsidRPr="00881C45">
        <w:rPr>
          <w:rFonts w:ascii="Times New Roman" w:hAnsi="Times New Roman"/>
          <w:sz w:val="24"/>
          <w:szCs w:val="24"/>
        </w:rPr>
        <w:t xml:space="preserve">Typically, EMS medical directors and most emergency physicians are well versed in the parameters within the Ohio EMS scope of practice.  However, this may not be the case with other healthcare providers or physicians who specialize in other medical specialties.  Each Ohio EMS provider is responsible for their individual Ohio EMS certification and to ensure that their actions are within the authorized Ohio EMS scope of practice for their respective level of certification.  </w:t>
      </w:r>
      <w:r w:rsidRPr="00881C45">
        <w:rPr>
          <w:rStyle w:val="Strong"/>
          <w:rFonts w:ascii="Times New Roman" w:hAnsi="Times New Roman"/>
          <w:sz w:val="24"/>
          <w:szCs w:val="24"/>
        </w:rPr>
        <w:t>If any healthcare provider requests the provision of emergency medical services that are beyond the Ohio EMS scope of practice, it is the responsibility of the Ohio EMS provider to decline to perform skills or provide services that are not authorized by the State Board of Emergency Medical, Fire, and Transportation Services.</w:t>
      </w:r>
      <w:r>
        <w:rPr>
          <w:rFonts w:ascii="Times New Roman" w:hAnsi="Times New Roman"/>
          <w:sz w:val="24"/>
          <w:szCs w:val="24"/>
        </w:rPr>
        <w:t>” [Emphasis in original.]</w:t>
      </w:r>
    </w:p>
    <w:p w14:paraId="59B53D66" w14:textId="77777777" w:rsidR="00663A6A" w:rsidRDefault="00663A6A" w:rsidP="002B1283">
      <w:pPr>
        <w:rPr>
          <w:rFonts w:ascii="Arial Black" w:hAnsi="Arial Black"/>
          <w:b/>
          <w:bCs/>
          <w:sz w:val="28"/>
          <w:szCs w:val="28"/>
        </w:rPr>
      </w:pPr>
    </w:p>
    <w:p w14:paraId="5F291CDD" w14:textId="77777777" w:rsidR="00663A6A" w:rsidRDefault="00663A6A" w:rsidP="002B1283">
      <w:pPr>
        <w:rPr>
          <w:rFonts w:ascii="Arial Black" w:hAnsi="Arial Black"/>
          <w:b/>
          <w:bCs/>
          <w:sz w:val="28"/>
          <w:szCs w:val="28"/>
        </w:rPr>
      </w:pPr>
    </w:p>
    <w:p w14:paraId="793864CE" w14:textId="56DC5EAE" w:rsidR="00663A6A" w:rsidRDefault="00663A6A" w:rsidP="002B1283">
      <w:pPr>
        <w:rPr>
          <w:rFonts w:ascii="Arial Black" w:hAnsi="Arial Black"/>
          <w:b/>
          <w:bCs/>
          <w:sz w:val="28"/>
          <w:szCs w:val="28"/>
        </w:rPr>
      </w:pPr>
      <w:r>
        <w:rPr>
          <w:rFonts w:ascii="Arial Black" w:hAnsi="Arial Black"/>
          <w:b/>
          <w:bCs/>
          <w:sz w:val="28"/>
          <w:szCs w:val="28"/>
        </w:rPr>
        <w:t>13-69</w:t>
      </w:r>
    </w:p>
    <w:p w14:paraId="53486EDD" w14:textId="77777777" w:rsidR="00663A6A" w:rsidRDefault="00663A6A" w:rsidP="00663A6A">
      <w:pPr>
        <w:pStyle w:val="NoSpacing"/>
        <w:rPr>
          <w:rFonts w:ascii="Arial Black" w:hAnsi="Arial Black"/>
          <w:sz w:val="28"/>
          <w:szCs w:val="28"/>
        </w:rPr>
      </w:pPr>
      <w:r>
        <w:rPr>
          <w:rFonts w:ascii="Arial Black" w:hAnsi="Arial Black"/>
          <w:sz w:val="28"/>
          <w:szCs w:val="28"/>
        </w:rPr>
        <w:t>NY: PLAINTIFF PASSED OUT AT CONCERT – REFUSES EMS HELP – ORIENTED TIMES 3 - FALLS ON HIS FACE – CASE DISMISSED</w:t>
      </w:r>
    </w:p>
    <w:p w14:paraId="1CD1F2D9" w14:textId="77777777" w:rsidR="00663A6A" w:rsidRDefault="00663A6A" w:rsidP="00663A6A">
      <w:pPr>
        <w:pStyle w:val="NoSpacing"/>
        <w:rPr>
          <w:rFonts w:ascii="Arial Black" w:hAnsi="Arial Black"/>
          <w:sz w:val="28"/>
          <w:szCs w:val="28"/>
        </w:rPr>
      </w:pPr>
    </w:p>
    <w:p w14:paraId="3D5E2B26" w14:textId="77777777" w:rsidR="00663A6A" w:rsidRDefault="00663A6A" w:rsidP="00663A6A">
      <w:pPr>
        <w:pStyle w:val="NoSpacing"/>
        <w:rPr>
          <w:rFonts w:ascii="Times New Roman" w:hAnsi="Times New Roman"/>
          <w:sz w:val="24"/>
          <w:szCs w:val="24"/>
        </w:rPr>
      </w:pPr>
      <w:r>
        <w:rPr>
          <w:rFonts w:ascii="Times New Roman" w:hAnsi="Times New Roman"/>
          <w:sz w:val="24"/>
          <w:szCs w:val="24"/>
        </w:rPr>
        <w:t xml:space="preserve">On Nov. 19, 2020, in </w:t>
      </w:r>
      <w:r w:rsidRPr="00DF070F">
        <w:rPr>
          <w:rFonts w:ascii="Times New Roman" w:hAnsi="Times New Roman"/>
          <w:sz w:val="24"/>
          <w:szCs w:val="24"/>
          <w:u w:val="single"/>
        </w:rPr>
        <w:t>Anthony Fornabaio, et a. v. Beacon Broadway Company, Inc.</w:t>
      </w:r>
      <w:r>
        <w:rPr>
          <w:rFonts w:ascii="Times New Roman" w:hAnsi="Times New Roman"/>
          <w:sz w:val="24"/>
          <w:szCs w:val="24"/>
          <w:u w:val="single"/>
        </w:rPr>
        <w:t xml:space="preserve">; </w:t>
      </w:r>
      <w:proofErr w:type="spellStart"/>
      <w:r>
        <w:rPr>
          <w:rFonts w:ascii="Times New Roman" w:hAnsi="Times New Roman"/>
          <w:sz w:val="24"/>
          <w:szCs w:val="24"/>
          <w:u w:val="single"/>
        </w:rPr>
        <w:t>Transcare</w:t>
      </w:r>
      <w:proofErr w:type="spellEnd"/>
      <w:r>
        <w:rPr>
          <w:rFonts w:ascii="Times New Roman" w:hAnsi="Times New Roman"/>
          <w:sz w:val="24"/>
          <w:szCs w:val="24"/>
          <w:u w:val="single"/>
        </w:rPr>
        <w:t xml:space="preserve"> Corporation,</w:t>
      </w:r>
      <w:r w:rsidRPr="00DF070F">
        <w:rPr>
          <w:rFonts w:ascii="Times New Roman" w:hAnsi="Times New Roman"/>
          <w:sz w:val="24"/>
          <w:szCs w:val="24"/>
          <w:u w:val="single"/>
        </w:rPr>
        <w:t xml:space="preserve"> et al</w:t>
      </w:r>
      <w:r>
        <w:rPr>
          <w:rFonts w:ascii="Times New Roman" w:hAnsi="Times New Roman"/>
          <w:sz w:val="24"/>
          <w:szCs w:val="24"/>
        </w:rPr>
        <w:t xml:space="preserve">., the Appellate Division of the Supreme Court of New York, held (3 to 0) that when a competent adult  patient refuses EMS help, his lawsuit against the concert provider and </w:t>
      </w:r>
      <w:proofErr w:type="spellStart"/>
      <w:r>
        <w:rPr>
          <w:rFonts w:ascii="Times New Roman" w:hAnsi="Times New Roman"/>
          <w:sz w:val="24"/>
          <w:szCs w:val="24"/>
        </w:rPr>
        <w:t>Transcare</w:t>
      </w:r>
      <w:proofErr w:type="spellEnd"/>
      <w:r>
        <w:rPr>
          <w:rFonts w:ascii="Times New Roman" w:hAnsi="Times New Roman"/>
          <w:sz w:val="24"/>
          <w:szCs w:val="24"/>
        </w:rPr>
        <w:t>, the EMS provider should be dismissed.</w:t>
      </w:r>
    </w:p>
    <w:p w14:paraId="60AA331C" w14:textId="77777777" w:rsidR="00663A6A" w:rsidRPr="00765480" w:rsidRDefault="00663A6A" w:rsidP="00663A6A">
      <w:pPr>
        <w:spacing w:before="100" w:beforeAutospacing="1" w:after="100" w:afterAutospacing="1" w:line="240" w:lineRule="auto"/>
        <w:ind w:left="720"/>
        <w:rPr>
          <w:rFonts w:ascii="Times New Roman" w:eastAsia="Times New Roman" w:hAnsi="Times New Roman"/>
          <w:b/>
          <w:bCs/>
          <w:sz w:val="24"/>
          <w:szCs w:val="24"/>
        </w:rPr>
      </w:pPr>
      <w:r>
        <w:rPr>
          <w:rFonts w:ascii="Times New Roman" w:hAnsi="Times New Roman"/>
          <w:sz w:val="24"/>
          <w:szCs w:val="24"/>
        </w:rPr>
        <w:t>“</w:t>
      </w:r>
      <w:r w:rsidRPr="00765480">
        <w:rPr>
          <w:rFonts w:ascii="Times New Roman" w:hAnsi="Times New Roman"/>
          <w:sz w:val="24"/>
          <w:szCs w:val="24"/>
        </w:rPr>
        <w:t xml:space="preserve">Any duty Beacon or </w:t>
      </w:r>
      <w:proofErr w:type="spellStart"/>
      <w:r w:rsidRPr="00765480">
        <w:rPr>
          <w:rFonts w:ascii="Times New Roman" w:hAnsi="Times New Roman"/>
          <w:sz w:val="24"/>
          <w:szCs w:val="24"/>
        </w:rPr>
        <w:t>Transcare</w:t>
      </w:r>
      <w:proofErr w:type="spellEnd"/>
      <w:r w:rsidRPr="00765480">
        <w:rPr>
          <w:rFonts w:ascii="Times New Roman" w:hAnsi="Times New Roman"/>
          <w:sz w:val="24"/>
          <w:szCs w:val="24"/>
        </w:rPr>
        <w:t xml:space="preserve"> owed to plaintiff to assist him in exiting the theater terminated when he refused such assistance. It is well settled that a competent adult has the right to determine the course of his or her own medical treatment, including declining treatment </w:t>
      </w:r>
      <w:r w:rsidRPr="00765480">
        <w:rPr>
          <w:rFonts w:ascii="Times New Roman" w:hAnsi="Times New Roman"/>
          <w:i/>
          <w:iCs/>
          <w:sz w:val="24"/>
          <w:szCs w:val="24"/>
        </w:rPr>
        <w:t>(Matter of Fosmire v Nicoleau</w:t>
      </w:r>
      <w:r w:rsidRPr="00765480">
        <w:rPr>
          <w:rFonts w:ascii="Times New Roman" w:hAnsi="Times New Roman"/>
          <w:sz w:val="24"/>
          <w:szCs w:val="24"/>
        </w:rPr>
        <w:t xml:space="preserve">, 75 NY2d 218, 226 [1990]). Plaintiff does not dispute that he refused assistance in standing or ambulating. Further, the testimony was that the EMT technician assessed plaintiff as alert and oriented as he left his seat to exit the theater. Given this, the complaint should have been dismissed in its entirety as to defendants Beacon and </w:t>
      </w:r>
      <w:proofErr w:type="spellStart"/>
      <w:r w:rsidRPr="00765480">
        <w:rPr>
          <w:rFonts w:ascii="Times New Roman" w:hAnsi="Times New Roman"/>
          <w:sz w:val="24"/>
          <w:szCs w:val="24"/>
        </w:rPr>
        <w:t>Transcare</w:t>
      </w:r>
      <w:proofErr w:type="spellEnd"/>
      <w:r w:rsidRPr="00765480">
        <w:rPr>
          <w:rFonts w:ascii="Times New Roman" w:hAnsi="Times New Roman"/>
          <w:sz w:val="24"/>
          <w:szCs w:val="24"/>
        </w:rPr>
        <w:t xml:space="preserve"> (</w:t>
      </w:r>
      <w:r w:rsidRPr="00765480">
        <w:rPr>
          <w:rFonts w:ascii="Times New Roman" w:hAnsi="Times New Roman"/>
          <w:i/>
          <w:iCs/>
          <w:sz w:val="24"/>
          <w:szCs w:val="24"/>
        </w:rPr>
        <w:t>see Branda v MV Pub</w:t>
      </w:r>
      <w:r w:rsidRPr="00765480">
        <w:rPr>
          <w:rFonts w:ascii="Times New Roman" w:hAnsi="Times New Roman"/>
          <w:sz w:val="24"/>
          <w:szCs w:val="24"/>
        </w:rPr>
        <w:t xml:space="preserve">. </w:t>
      </w:r>
      <w:r w:rsidRPr="00765480">
        <w:rPr>
          <w:rFonts w:ascii="Times New Roman" w:hAnsi="Times New Roman"/>
          <w:i/>
          <w:iCs/>
          <w:sz w:val="24"/>
          <w:szCs w:val="24"/>
        </w:rPr>
        <w:t>Transp</w:t>
      </w:r>
      <w:r w:rsidRPr="00765480">
        <w:rPr>
          <w:rFonts w:ascii="Times New Roman" w:hAnsi="Times New Roman"/>
          <w:sz w:val="24"/>
          <w:szCs w:val="24"/>
        </w:rPr>
        <w:t xml:space="preserve">., </w:t>
      </w:r>
      <w:r w:rsidRPr="00765480">
        <w:rPr>
          <w:rFonts w:ascii="Times New Roman" w:hAnsi="Times New Roman"/>
          <w:i/>
          <w:iCs/>
          <w:sz w:val="24"/>
          <w:szCs w:val="24"/>
        </w:rPr>
        <w:t>Inc</w:t>
      </w:r>
      <w:r w:rsidRPr="00765480">
        <w:rPr>
          <w:rFonts w:ascii="Times New Roman" w:hAnsi="Times New Roman"/>
          <w:sz w:val="24"/>
          <w:szCs w:val="24"/>
        </w:rPr>
        <w:t>., 139 AD3d 636, 637 [1</w:t>
      </w:r>
      <w:r w:rsidRPr="00753DA9">
        <w:rPr>
          <w:rFonts w:ascii="Times New Roman" w:hAnsi="Times New Roman"/>
          <w:sz w:val="24"/>
          <w:szCs w:val="24"/>
          <w:vertAlign w:val="superscript"/>
        </w:rPr>
        <w:t>st</w:t>
      </w:r>
      <w:r w:rsidRPr="00765480">
        <w:rPr>
          <w:rFonts w:ascii="Times New Roman" w:hAnsi="Times New Roman"/>
          <w:sz w:val="24"/>
          <w:szCs w:val="24"/>
        </w:rPr>
        <w:t xml:space="preserve"> Dept </w:t>
      </w:r>
      <w:r w:rsidRPr="00765480">
        <w:rPr>
          <w:rFonts w:ascii="Times New Roman" w:hAnsi="Times New Roman"/>
          <w:sz w:val="24"/>
          <w:szCs w:val="24"/>
        </w:rPr>
        <w:lastRenderedPageBreak/>
        <w:t>2016]).</w:t>
      </w:r>
      <w:r>
        <w:rPr>
          <w:rFonts w:ascii="Times New Roman" w:hAnsi="Times New Roman"/>
          <w:sz w:val="24"/>
          <w:szCs w:val="24"/>
        </w:rPr>
        <w:t xml:space="preserve">”  </w:t>
      </w:r>
      <w:hyperlink r:id="rId2340" w:history="1">
        <w:r w:rsidRPr="00D35A04">
          <w:rPr>
            <w:rStyle w:val="Hyperlink"/>
            <w:rFonts w:ascii="Times New Roman" w:hAnsi="Times New Roman"/>
            <w:sz w:val="24"/>
            <w:szCs w:val="24"/>
          </w:rPr>
          <w:t>https://public.fastcase.com/Wl%2B2t%2BeVuI35%2FN70vAMFZkrYpDR4hQ33Ax6oS1aJkCwq%2BUGCyTcW0uJ1XV2sRjwT</w:t>
        </w:r>
      </w:hyperlink>
      <w:r>
        <w:rPr>
          <w:rFonts w:ascii="Times New Roman" w:hAnsi="Times New Roman"/>
          <w:sz w:val="24"/>
          <w:szCs w:val="24"/>
        </w:rPr>
        <w:t xml:space="preserve"> </w:t>
      </w:r>
    </w:p>
    <w:p w14:paraId="736C0107" w14:textId="77777777" w:rsidR="00663A6A" w:rsidRPr="00765480" w:rsidRDefault="00663A6A" w:rsidP="00663A6A">
      <w:pPr>
        <w:pStyle w:val="NoSpacing"/>
        <w:rPr>
          <w:rFonts w:ascii="Times New Roman" w:hAnsi="Times New Roman"/>
          <w:b/>
          <w:bCs/>
          <w:sz w:val="24"/>
          <w:szCs w:val="24"/>
        </w:rPr>
      </w:pPr>
      <w:r w:rsidRPr="00765480">
        <w:rPr>
          <w:rFonts w:ascii="Times New Roman" w:hAnsi="Times New Roman"/>
          <w:b/>
          <w:bCs/>
          <w:sz w:val="24"/>
          <w:szCs w:val="24"/>
        </w:rPr>
        <w:t>Legal Lesson Learned:</w:t>
      </w:r>
      <w:r>
        <w:rPr>
          <w:rFonts w:ascii="Times New Roman" w:hAnsi="Times New Roman"/>
          <w:b/>
          <w:bCs/>
          <w:sz w:val="24"/>
          <w:szCs w:val="24"/>
        </w:rPr>
        <w:t xml:space="preserve">  Key facts – person was “alert” and “oriented times three” – led to dismissal of this case. </w:t>
      </w:r>
    </w:p>
    <w:p w14:paraId="1D3787DF" w14:textId="76643925" w:rsidR="00663A6A" w:rsidRDefault="00663A6A" w:rsidP="002B1283">
      <w:pPr>
        <w:rPr>
          <w:rFonts w:ascii="Arial Black" w:hAnsi="Arial Black"/>
          <w:b/>
          <w:bCs/>
          <w:sz w:val="28"/>
          <w:szCs w:val="28"/>
        </w:rPr>
      </w:pPr>
    </w:p>
    <w:p w14:paraId="7DF1370D" w14:textId="77777777" w:rsidR="00663A6A" w:rsidRDefault="00663A6A" w:rsidP="002B1283">
      <w:pPr>
        <w:rPr>
          <w:rFonts w:ascii="Arial Black" w:hAnsi="Arial Black"/>
          <w:b/>
          <w:bCs/>
          <w:sz w:val="28"/>
          <w:szCs w:val="28"/>
        </w:rPr>
      </w:pPr>
    </w:p>
    <w:p w14:paraId="67C87D3D" w14:textId="3A3A7E95" w:rsidR="00663A6A" w:rsidRDefault="00663A6A" w:rsidP="002B1283">
      <w:pPr>
        <w:rPr>
          <w:rFonts w:ascii="Arial Black" w:hAnsi="Arial Black"/>
          <w:b/>
          <w:bCs/>
          <w:sz w:val="28"/>
          <w:szCs w:val="28"/>
        </w:rPr>
      </w:pPr>
      <w:r>
        <w:rPr>
          <w:rFonts w:ascii="Arial Black" w:hAnsi="Arial Black"/>
          <w:b/>
          <w:bCs/>
          <w:sz w:val="28"/>
          <w:szCs w:val="28"/>
        </w:rPr>
        <w:t>13-68</w:t>
      </w:r>
    </w:p>
    <w:p w14:paraId="1A355046" w14:textId="77777777" w:rsidR="00663A6A" w:rsidRPr="005166FA" w:rsidRDefault="00663A6A" w:rsidP="00663A6A">
      <w:pPr>
        <w:pStyle w:val="NoSpacing"/>
        <w:rPr>
          <w:rFonts w:ascii="Arial Black" w:hAnsi="Arial Black"/>
          <w:sz w:val="28"/>
          <w:szCs w:val="28"/>
        </w:rPr>
      </w:pPr>
      <w:r>
        <w:rPr>
          <w:rFonts w:ascii="Arial Black" w:hAnsi="Arial Black"/>
          <w:sz w:val="28"/>
          <w:szCs w:val="28"/>
        </w:rPr>
        <w:t>MA: “EXCITED UTERANCE” - EMT ALLOWED TO TESTIFY IN CRIMINAL CASE ABOUT VICTIM’S COMMENTS IN AMBULANCE</w:t>
      </w:r>
    </w:p>
    <w:p w14:paraId="0A555909" w14:textId="77777777" w:rsidR="00663A6A" w:rsidRDefault="00663A6A" w:rsidP="00663A6A">
      <w:pPr>
        <w:spacing w:before="100" w:beforeAutospacing="1" w:after="100" w:afterAutospacing="1" w:line="240" w:lineRule="auto"/>
        <w:rPr>
          <w:rFonts w:ascii="Times New Roman" w:hAnsi="Times New Roman"/>
          <w:sz w:val="24"/>
          <w:szCs w:val="24"/>
        </w:rPr>
      </w:pPr>
      <w:r w:rsidRPr="005166FA">
        <w:rPr>
          <w:rFonts w:ascii="Times New Roman" w:eastAsia="Times New Roman" w:hAnsi="Times New Roman"/>
          <w:sz w:val="24"/>
          <w:szCs w:val="24"/>
        </w:rPr>
        <w:t xml:space="preserve">On </w:t>
      </w:r>
      <w:r>
        <w:rPr>
          <w:rFonts w:ascii="Times New Roman" w:eastAsia="Times New Roman" w:hAnsi="Times New Roman"/>
          <w:sz w:val="24"/>
          <w:szCs w:val="24"/>
        </w:rPr>
        <w:t xml:space="preserve">Oct. 29, 2020, in </w:t>
      </w:r>
      <w:r w:rsidRPr="005166FA">
        <w:rPr>
          <w:rFonts w:ascii="Times New Roman" w:eastAsia="Times New Roman" w:hAnsi="Times New Roman"/>
          <w:sz w:val="24"/>
          <w:szCs w:val="24"/>
          <w:u w:val="single"/>
        </w:rPr>
        <w:t>Commonwealth v. Antonio Marrero-Mipanda</w:t>
      </w:r>
      <w:r>
        <w:rPr>
          <w:rFonts w:ascii="Times New Roman" w:eastAsia="Times New Roman" w:hAnsi="Times New Roman"/>
          <w:sz w:val="24"/>
          <w:szCs w:val="24"/>
        </w:rPr>
        <w:t xml:space="preserve">, the Commonwealth of Massachusetts Appeals Court, held that the trial court properly allowed the EMT to testify at the defendant’s trial, along with the victim. Defendant’s conviction by jury was affirmed for </w:t>
      </w:r>
      <w:r w:rsidRPr="00F476E6">
        <w:rPr>
          <w:rFonts w:ascii="Times New Roman" w:hAnsi="Times New Roman"/>
          <w:sz w:val="24"/>
          <w:szCs w:val="24"/>
        </w:rPr>
        <w:t>assault with intent to rape and indecent assault and battery on a person fourteen years of age or older</w:t>
      </w:r>
      <w:r>
        <w:rPr>
          <w:rFonts w:ascii="Times New Roman" w:hAnsi="Times New Roman"/>
          <w:sz w:val="24"/>
          <w:szCs w:val="24"/>
        </w:rPr>
        <w:t xml:space="preserve">. </w:t>
      </w:r>
    </w:p>
    <w:p w14:paraId="07456C50" w14:textId="77777777" w:rsidR="00663A6A" w:rsidRDefault="00663A6A" w:rsidP="00663A6A">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r w:rsidRPr="005166FA">
        <w:rPr>
          <w:rFonts w:ascii="Times New Roman" w:eastAsia="Times New Roman" w:hAnsi="Times New Roman"/>
          <w:sz w:val="24"/>
          <w:szCs w:val="24"/>
        </w:rPr>
        <w:t xml:space="preserve">Under the excited utterance (or spontaneous utterance) exception to the rule against hearsay, </w:t>
      </w:r>
      <w:r>
        <w:rPr>
          <w:rFonts w:ascii="Times New Roman" w:eastAsia="Times New Roman" w:hAnsi="Times New Roman"/>
          <w:sz w:val="24"/>
          <w:szCs w:val="24"/>
        </w:rPr>
        <w:t>‘</w:t>
      </w:r>
      <w:r w:rsidRPr="005166FA">
        <w:rPr>
          <w:rFonts w:ascii="Times New Roman" w:eastAsia="Times New Roman" w:hAnsi="Times New Roman"/>
          <w:sz w:val="24"/>
          <w:szCs w:val="24"/>
        </w:rPr>
        <w:t>[a] spontaneous utterance will be admitted in evidence if (1) there is an occurrence or event 'sufficiently startling to render inoperative the normal reflective thought processes of the observer,' and (2) if the declarant's statement was a 'spontaneous reaction to the occurrence or event and not</w:t>
      </w:r>
      <w:r>
        <w:rPr>
          <w:rFonts w:ascii="Times New Roman" w:eastAsia="Times New Roman" w:hAnsi="Times New Roman"/>
          <w:sz w:val="24"/>
          <w:szCs w:val="24"/>
        </w:rPr>
        <w:t xml:space="preserve"> </w:t>
      </w:r>
      <w:r w:rsidRPr="005166FA">
        <w:rPr>
          <w:rFonts w:ascii="Times New Roman" w:eastAsia="Times New Roman" w:hAnsi="Times New Roman"/>
          <w:sz w:val="24"/>
          <w:szCs w:val="24"/>
        </w:rPr>
        <w:t xml:space="preserve">the result of reflective thought' (citation omitted). </w:t>
      </w:r>
      <w:r w:rsidRPr="005166FA">
        <w:rPr>
          <w:rFonts w:ascii="Times New Roman" w:eastAsia="Times New Roman" w:hAnsi="Times New Roman"/>
          <w:sz w:val="24"/>
          <w:szCs w:val="24"/>
          <w:u w:val="single"/>
        </w:rPr>
        <w:t>Commonwealth</w:t>
      </w:r>
      <w:r w:rsidRPr="005166FA">
        <w:rPr>
          <w:rFonts w:ascii="Times New Roman" w:eastAsia="Times New Roman" w:hAnsi="Times New Roman"/>
          <w:sz w:val="24"/>
          <w:szCs w:val="24"/>
        </w:rPr>
        <w:t xml:space="preserve"> v. </w:t>
      </w:r>
      <w:r w:rsidRPr="005166FA">
        <w:rPr>
          <w:rFonts w:ascii="Times New Roman" w:eastAsia="Times New Roman" w:hAnsi="Times New Roman"/>
          <w:sz w:val="24"/>
          <w:szCs w:val="24"/>
          <w:u w:val="single"/>
        </w:rPr>
        <w:t>Santiago</w:t>
      </w:r>
      <w:r w:rsidRPr="005166FA">
        <w:rPr>
          <w:rFonts w:ascii="Times New Roman" w:eastAsia="Times New Roman" w:hAnsi="Times New Roman"/>
          <w:sz w:val="24"/>
          <w:szCs w:val="24"/>
        </w:rPr>
        <w:t>, 437 Mass. 620, 623 (2002).</w:t>
      </w:r>
    </w:p>
    <w:p w14:paraId="0D58FBD4" w14:textId="77777777" w:rsidR="00663A6A" w:rsidRDefault="00663A6A" w:rsidP="00663A6A">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p>
    <w:p w14:paraId="29C1A16D" w14:textId="77777777" w:rsidR="00663A6A" w:rsidRPr="00F476E6" w:rsidRDefault="00663A6A" w:rsidP="00663A6A">
      <w:pPr>
        <w:spacing w:before="100" w:beforeAutospacing="1" w:after="100" w:afterAutospacing="1" w:line="240" w:lineRule="auto"/>
        <w:ind w:left="720"/>
        <w:rPr>
          <w:rFonts w:ascii="Times New Roman" w:eastAsia="Times New Roman" w:hAnsi="Times New Roman"/>
          <w:sz w:val="24"/>
          <w:szCs w:val="24"/>
        </w:rPr>
      </w:pPr>
      <w:r w:rsidRPr="00F476E6">
        <w:rPr>
          <w:rFonts w:ascii="Times New Roman" w:eastAsia="Times New Roman" w:hAnsi="Times New Roman"/>
          <w:sz w:val="24"/>
          <w:szCs w:val="24"/>
        </w:rPr>
        <w:t>Here, we have no difficulty concluding that the primary purpose of the victim's statement to the EMT was to assist the</w:t>
      </w:r>
      <w:r>
        <w:rPr>
          <w:rFonts w:ascii="Times New Roman" w:eastAsia="Times New Roman" w:hAnsi="Times New Roman"/>
          <w:sz w:val="24"/>
          <w:szCs w:val="24"/>
        </w:rPr>
        <w:t xml:space="preserve"> </w:t>
      </w:r>
      <w:r w:rsidRPr="00F476E6">
        <w:rPr>
          <w:rFonts w:ascii="Times New Roman" w:eastAsia="Times New Roman" w:hAnsi="Times New Roman"/>
          <w:sz w:val="24"/>
          <w:szCs w:val="24"/>
        </w:rPr>
        <w:t xml:space="preserve">EMT in assessing the victim's need for medical care. Each of the three parts of the victim's statement -- that she had been </w:t>
      </w:r>
      <w:r>
        <w:rPr>
          <w:rFonts w:ascii="Times New Roman" w:eastAsia="Times New Roman" w:hAnsi="Times New Roman"/>
          <w:sz w:val="24"/>
          <w:szCs w:val="24"/>
        </w:rPr>
        <w:t>‘</w:t>
      </w:r>
      <w:r w:rsidRPr="00F476E6">
        <w:rPr>
          <w:rFonts w:ascii="Times New Roman" w:eastAsia="Times New Roman" w:hAnsi="Times New Roman"/>
          <w:sz w:val="24"/>
          <w:szCs w:val="24"/>
        </w:rPr>
        <w:t>forced up against a wall,</w:t>
      </w:r>
      <w:r>
        <w:rPr>
          <w:rFonts w:ascii="Times New Roman" w:eastAsia="Times New Roman" w:hAnsi="Times New Roman"/>
          <w:sz w:val="24"/>
          <w:szCs w:val="24"/>
        </w:rPr>
        <w:t>’</w:t>
      </w:r>
      <w:r w:rsidRPr="00F476E6">
        <w:rPr>
          <w:rFonts w:ascii="Times New Roman" w:eastAsia="Times New Roman" w:hAnsi="Times New Roman"/>
          <w:sz w:val="24"/>
          <w:szCs w:val="24"/>
        </w:rPr>
        <w:t xml:space="preserve"> </w:t>
      </w:r>
      <w:r>
        <w:rPr>
          <w:rFonts w:ascii="Times New Roman" w:eastAsia="Times New Roman" w:hAnsi="Times New Roman"/>
          <w:sz w:val="24"/>
          <w:szCs w:val="24"/>
        </w:rPr>
        <w:t>‘</w:t>
      </w:r>
      <w:r w:rsidRPr="00F476E6">
        <w:rPr>
          <w:rFonts w:ascii="Times New Roman" w:eastAsia="Times New Roman" w:hAnsi="Times New Roman"/>
          <w:sz w:val="24"/>
          <w:szCs w:val="24"/>
        </w:rPr>
        <w:t>thrown to the ground,</w:t>
      </w:r>
      <w:r>
        <w:rPr>
          <w:rFonts w:ascii="Times New Roman" w:eastAsia="Times New Roman" w:hAnsi="Times New Roman"/>
          <w:sz w:val="24"/>
          <w:szCs w:val="24"/>
        </w:rPr>
        <w:t>’</w:t>
      </w:r>
      <w:r w:rsidRPr="00F476E6">
        <w:rPr>
          <w:rFonts w:ascii="Times New Roman" w:eastAsia="Times New Roman" w:hAnsi="Times New Roman"/>
          <w:sz w:val="24"/>
          <w:szCs w:val="24"/>
        </w:rPr>
        <w:t xml:space="preserve"> and </w:t>
      </w:r>
      <w:r>
        <w:rPr>
          <w:rFonts w:ascii="Times New Roman" w:eastAsia="Times New Roman" w:hAnsi="Times New Roman"/>
          <w:sz w:val="24"/>
          <w:szCs w:val="24"/>
        </w:rPr>
        <w:t>‘</w:t>
      </w:r>
      <w:r w:rsidRPr="00F476E6">
        <w:rPr>
          <w:rFonts w:ascii="Times New Roman" w:eastAsia="Times New Roman" w:hAnsi="Times New Roman"/>
          <w:sz w:val="24"/>
          <w:szCs w:val="24"/>
        </w:rPr>
        <w:t>the male's fingers penetrated her vagina</w:t>
      </w:r>
      <w:r>
        <w:rPr>
          <w:rFonts w:ascii="Times New Roman" w:eastAsia="Times New Roman" w:hAnsi="Times New Roman"/>
          <w:sz w:val="24"/>
          <w:szCs w:val="24"/>
        </w:rPr>
        <w:t>’</w:t>
      </w:r>
      <w:r w:rsidRPr="00F476E6">
        <w:rPr>
          <w:rFonts w:ascii="Times New Roman" w:eastAsia="Times New Roman" w:hAnsi="Times New Roman"/>
          <w:sz w:val="24"/>
          <w:szCs w:val="24"/>
        </w:rPr>
        <w:t xml:space="preserve"> -- described the application of force to her body in a manner that could have resulted in a need for medical treatment. That the victim herself had not reported or shown signs of vaginal pain or discomfort was beside the point. The EMT asked an open-ended question for the purpose of evaluating what the victim's medical needs might be, and the victim's answer was directly responsive to that question. That the victim might have observed the police handcuffing the defendant and placing him in a cruiser, and that she made the statement to the EMT while the police were still on the scene, did not require the conclusion that she made the statement for the primary purpose of creating an out-of-court substitute for trial testimony, or of otherwise aiding a police investigation</w:t>
      </w:r>
      <w:r>
        <w:rPr>
          <w:rFonts w:ascii="Times New Roman" w:eastAsia="Times New Roman" w:hAnsi="Times New Roman"/>
          <w:sz w:val="24"/>
          <w:szCs w:val="24"/>
        </w:rPr>
        <w:t xml:space="preserve">.” </w:t>
      </w:r>
      <w:hyperlink r:id="rId2341" w:history="1">
        <w:r w:rsidRPr="00BA14DC">
          <w:rPr>
            <w:rStyle w:val="Hyperlink"/>
            <w:rFonts w:ascii="Times New Roman" w:hAnsi="Times New Roman"/>
            <w:sz w:val="24"/>
            <w:szCs w:val="24"/>
          </w:rPr>
          <w:t>file:///C:/Users/lawre/AppData/Local/Temp/19P0716.pdf</w:t>
        </w:r>
      </w:hyperlink>
      <w:r>
        <w:rPr>
          <w:rFonts w:ascii="Times New Roman" w:eastAsia="Times New Roman" w:hAnsi="Times New Roman"/>
          <w:sz w:val="24"/>
          <w:szCs w:val="24"/>
        </w:rPr>
        <w:t xml:space="preserve"> </w:t>
      </w:r>
    </w:p>
    <w:p w14:paraId="7116FEAE" w14:textId="15E8FCA3" w:rsidR="00663A6A" w:rsidRDefault="00663A6A" w:rsidP="002B1283">
      <w:pPr>
        <w:rPr>
          <w:rFonts w:ascii="Arial Black" w:hAnsi="Arial Black"/>
          <w:b/>
          <w:bCs/>
          <w:sz w:val="28"/>
          <w:szCs w:val="28"/>
        </w:rPr>
      </w:pPr>
      <w:r w:rsidRPr="00F365E9">
        <w:rPr>
          <w:rFonts w:ascii="Times New Roman" w:eastAsia="Times New Roman" w:hAnsi="Times New Roman"/>
          <w:b/>
          <w:bCs/>
          <w:sz w:val="24"/>
          <w:szCs w:val="24"/>
        </w:rPr>
        <w:t>Legal Lesson Learned</w:t>
      </w:r>
      <w:r>
        <w:rPr>
          <w:rFonts w:ascii="Times New Roman" w:eastAsia="Times New Roman" w:hAnsi="Times New Roman"/>
          <w:b/>
          <w:bCs/>
          <w:sz w:val="24"/>
          <w:szCs w:val="24"/>
        </w:rPr>
        <w:t>: “Excited utterances” are admissible in trial; EMS should document on the EMS report the victim’s comments.</w:t>
      </w:r>
    </w:p>
    <w:p w14:paraId="7B514712" w14:textId="77777777" w:rsidR="00663A6A" w:rsidRDefault="00663A6A" w:rsidP="002B1283">
      <w:pPr>
        <w:rPr>
          <w:rFonts w:ascii="Arial Black" w:hAnsi="Arial Black"/>
          <w:b/>
          <w:bCs/>
          <w:sz w:val="28"/>
          <w:szCs w:val="28"/>
        </w:rPr>
      </w:pPr>
    </w:p>
    <w:p w14:paraId="1E1C6FC2" w14:textId="11797384" w:rsidR="00102FD0" w:rsidRDefault="00102FD0" w:rsidP="002B1283">
      <w:pPr>
        <w:rPr>
          <w:rFonts w:ascii="Arial Black" w:hAnsi="Arial Black"/>
          <w:b/>
          <w:bCs/>
          <w:sz w:val="28"/>
          <w:szCs w:val="28"/>
        </w:rPr>
      </w:pPr>
      <w:r>
        <w:rPr>
          <w:rFonts w:ascii="Arial Black" w:hAnsi="Arial Black"/>
          <w:b/>
          <w:bCs/>
          <w:sz w:val="28"/>
          <w:szCs w:val="28"/>
        </w:rPr>
        <w:t>13-67</w:t>
      </w:r>
    </w:p>
    <w:p w14:paraId="48223C97" w14:textId="77777777" w:rsidR="00102FD0" w:rsidRDefault="00102FD0" w:rsidP="00102FD0">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lastRenderedPageBreak/>
        <w:t>IL: ET TUBE IN ESOPHAGUS – PATIENT MONITORED DURING TRANSPORT, BUT NO PULSE OX – CASE DISMISSED</w:t>
      </w:r>
    </w:p>
    <w:p w14:paraId="647B577A" w14:textId="77777777" w:rsidR="00102FD0" w:rsidRDefault="00102FD0" w:rsidP="00102FD0">
      <w:pPr>
        <w:pStyle w:val="NoSpacing"/>
        <w:rPr>
          <w:rFonts w:ascii="Times New Roman" w:hAnsi="Times New Roman"/>
          <w:sz w:val="24"/>
          <w:szCs w:val="24"/>
        </w:rPr>
      </w:pPr>
      <w:r>
        <w:rPr>
          <w:rFonts w:ascii="Times New Roman" w:hAnsi="Times New Roman"/>
          <w:sz w:val="24"/>
          <w:szCs w:val="24"/>
        </w:rPr>
        <w:t xml:space="preserve">On Oct. 26, 2020, in Sally Grant, as </w:t>
      </w:r>
      <w:r w:rsidRPr="000A1B69">
        <w:rPr>
          <w:rFonts w:ascii="Times New Roman" w:hAnsi="Times New Roman"/>
          <w:sz w:val="24"/>
          <w:szCs w:val="24"/>
          <w:u w:val="single"/>
        </w:rPr>
        <w:t>Administrator of the Estate of Amanda Gary v. City of Calumet City</w:t>
      </w:r>
      <w:r>
        <w:rPr>
          <w:rFonts w:ascii="Times New Roman" w:hAnsi="Times New Roman"/>
          <w:sz w:val="24"/>
          <w:szCs w:val="24"/>
        </w:rPr>
        <w:t>, the Appellate Court of Illinois (First Judicial District / First Division), 2020 IL App (1</w:t>
      </w:r>
      <w:r w:rsidRPr="005B6AF8">
        <w:rPr>
          <w:rFonts w:ascii="Times New Roman" w:hAnsi="Times New Roman"/>
          <w:sz w:val="24"/>
          <w:szCs w:val="24"/>
          <w:vertAlign w:val="superscript"/>
        </w:rPr>
        <w:t>st</w:t>
      </w:r>
      <w:r>
        <w:rPr>
          <w:rFonts w:ascii="Times New Roman" w:hAnsi="Times New Roman"/>
          <w:sz w:val="24"/>
          <w:szCs w:val="24"/>
        </w:rPr>
        <w:t xml:space="preserve">) 191812-U,  held (3 to 0) that the trial court properly granted summary judgment to the </w:t>
      </w:r>
      <w:proofErr w:type="gramStart"/>
      <w:r>
        <w:rPr>
          <w:rFonts w:ascii="Times New Roman" w:hAnsi="Times New Roman"/>
          <w:sz w:val="24"/>
          <w:szCs w:val="24"/>
        </w:rPr>
        <w:t>City</w:t>
      </w:r>
      <w:proofErr w:type="gramEnd"/>
      <w:r>
        <w:rPr>
          <w:rFonts w:ascii="Times New Roman" w:hAnsi="Times New Roman"/>
          <w:sz w:val="24"/>
          <w:szCs w:val="24"/>
        </w:rPr>
        <w:t xml:space="preserve">.  Plaintiff alleged that the medics did not use a pulse oximeter to continuously monitor the patient’s blood oxygen levels after she was intubated, but their Training Officer testified this was not a required action. </w:t>
      </w:r>
    </w:p>
    <w:p w14:paraId="6AD7CF5D" w14:textId="77777777" w:rsidR="00102FD0" w:rsidRDefault="00102FD0" w:rsidP="00102FD0">
      <w:pPr>
        <w:pStyle w:val="NoSpacing"/>
        <w:rPr>
          <w:rFonts w:ascii="Times New Roman" w:hAnsi="Times New Roman"/>
          <w:sz w:val="24"/>
          <w:szCs w:val="24"/>
        </w:rPr>
      </w:pPr>
    </w:p>
    <w:p w14:paraId="743B2023" w14:textId="77777777" w:rsidR="00102FD0" w:rsidRDefault="00102FD0" w:rsidP="00102FD0">
      <w:pPr>
        <w:pStyle w:val="NoSpacing"/>
        <w:ind w:left="720"/>
        <w:rPr>
          <w:rFonts w:ascii="Times New Roman" w:hAnsi="Times New Roman"/>
          <w:sz w:val="24"/>
          <w:szCs w:val="24"/>
        </w:rPr>
      </w:pPr>
      <w:r>
        <w:rPr>
          <w:rFonts w:ascii="Times New Roman" w:hAnsi="Times New Roman"/>
          <w:sz w:val="24"/>
          <w:szCs w:val="24"/>
        </w:rPr>
        <w:t>“</w:t>
      </w:r>
      <w:r w:rsidRPr="005B6AF8">
        <w:rPr>
          <w:rFonts w:ascii="Times New Roman" w:hAnsi="Times New Roman"/>
          <w:sz w:val="24"/>
          <w:szCs w:val="24"/>
        </w:rPr>
        <w:t>Construing the record liberally in favor of plaintiff (</w:t>
      </w:r>
      <w:r w:rsidRPr="005B6AF8">
        <w:rPr>
          <w:rFonts w:ascii="Times New Roman" w:hAnsi="Times New Roman"/>
          <w:i/>
          <w:iCs/>
          <w:sz w:val="24"/>
          <w:szCs w:val="24"/>
        </w:rPr>
        <w:t>Williams</w:t>
      </w:r>
      <w:r w:rsidRPr="005B6AF8">
        <w:rPr>
          <w:rFonts w:ascii="Times New Roman" w:hAnsi="Times New Roman"/>
          <w:sz w:val="24"/>
          <w:szCs w:val="24"/>
        </w:rPr>
        <w:t xml:space="preserve">, 228 Ill. 2d at 417), a reasonable finder of fact could conclude that Pierce performed the intubation incorrectly by inserting the tube into Amanda's esophagus rather than her trachea. A </w:t>
      </w:r>
      <w:proofErr w:type="gramStart"/>
      <w:r w:rsidRPr="005B6AF8">
        <w:rPr>
          <w:rFonts w:ascii="Times New Roman" w:hAnsi="Times New Roman"/>
          <w:sz w:val="24"/>
          <w:szCs w:val="24"/>
        </w:rPr>
        <w:t>finder of fact</w:t>
      </w:r>
      <w:proofErr w:type="gramEnd"/>
      <w:r w:rsidRPr="005B6AF8">
        <w:rPr>
          <w:rFonts w:ascii="Times New Roman" w:hAnsi="Times New Roman"/>
          <w:sz w:val="24"/>
          <w:szCs w:val="24"/>
        </w:rPr>
        <w:t xml:space="preserve"> could also reasonably conclude that this error might have been discovered and fixed prior to Amanda's arrival at the hospital if the paramedics had used a pulse oximeter to continuously monitor Amanda's blood oxygen levels. But even taking these things as true, such errors do not reflect </w:t>
      </w:r>
      <w:r>
        <w:rPr>
          <w:rFonts w:ascii="Times New Roman" w:hAnsi="Times New Roman"/>
          <w:sz w:val="24"/>
          <w:szCs w:val="24"/>
        </w:rPr>
        <w:t>‘</w:t>
      </w:r>
      <w:r w:rsidRPr="005B6AF8">
        <w:rPr>
          <w:rFonts w:ascii="Times New Roman" w:hAnsi="Times New Roman"/>
          <w:sz w:val="24"/>
          <w:szCs w:val="24"/>
        </w:rPr>
        <w:t>an utter indifference to the decedent's safety</w:t>
      </w:r>
      <w:r>
        <w:rPr>
          <w:rFonts w:ascii="Times New Roman" w:hAnsi="Times New Roman"/>
          <w:sz w:val="24"/>
          <w:szCs w:val="24"/>
        </w:rPr>
        <w:t>’</w:t>
      </w:r>
      <w:r w:rsidRPr="005B6AF8">
        <w:rPr>
          <w:rFonts w:ascii="Times New Roman" w:hAnsi="Times New Roman"/>
          <w:sz w:val="24"/>
          <w:szCs w:val="24"/>
        </w:rPr>
        <w:t xml:space="preserve"> (</w:t>
      </w:r>
      <w:r w:rsidRPr="005B6AF8">
        <w:rPr>
          <w:rFonts w:ascii="Times New Roman" w:hAnsi="Times New Roman"/>
          <w:i/>
          <w:iCs/>
          <w:sz w:val="24"/>
          <w:szCs w:val="24"/>
        </w:rPr>
        <w:t>Bowden</w:t>
      </w:r>
      <w:r w:rsidRPr="005B6AF8">
        <w:rPr>
          <w:rFonts w:ascii="Times New Roman" w:hAnsi="Times New Roman"/>
          <w:sz w:val="24"/>
          <w:szCs w:val="24"/>
        </w:rPr>
        <w:t xml:space="preserve">, 304 Ill. App. 3d at 282) as required for a finding of willful and wanton misconduct. This is particularly true where, as here, the paramedics utilized multiple other methods to assess the intubation in a tense and time-sensitive </w:t>
      </w:r>
      <w:proofErr w:type="gramStart"/>
      <w:r w:rsidRPr="005B6AF8">
        <w:rPr>
          <w:rFonts w:ascii="Times New Roman" w:hAnsi="Times New Roman"/>
          <w:sz w:val="24"/>
          <w:szCs w:val="24"/>
        </w:rPr>
        <w:t>emergency situation</w:t>
      </w:r>
      <w:proofErr w:type="gramEnd"/>
      <w:r>
        <w:rPr>
          <w:rFonts w:ascii="Times New Roman" w:hAnsi="Times New Roman"/>
          <w:sz w:val="24"/>
          <w:szCs w:val="24"/>
        </w:rPr>
        <w:t>.</w:t>
      </w:r>
    </w:p>
    <w:p w14:paraId="1B4CDA93" w14:textId="77777777" w:rsidR="00102FD0" w:rsidRDefault="00102FD0" w:rsidP="00102FD0">
      <w:pPr>
        <w:pStyle w:val="NoSpacing"/>
        <w:ind w:left="720"/>
        <w:rPr>
          <w:rFonts w:ascii="Times New Roman" w:hAnsi="Times New Roman"/>
          <w:sz w:val="24"/>
          <w:szCs w:val="24"/>
        </w:rPr>
      </w:pPr>
    </w:p>
    <w:p w14:paraId="6E69F69E" w14:textId="77777777" w:rsidR="00102FD0" w:rsidRPr="005B6AF8" w:rsidRDefault="00102FD0" w:rsidP="00102FD0">
      <w:pPr>
        <w:pStyle w:val="NoSpacing"/>
        <w:ind w:left="720"/>
        <w:rPr>
          <w:rFonts w:ascii="Times New Roman" w:hAnsi="Times New Roman"/>
          <w:sz w:val="24"/>
          <w:szCs w:val="24"/>
        </w:rPr>
      </w:pPr>
      <w:r>
        <w:rPr>
          <w:rFonts w:ascii="Times New Roman" w:hAnsi="Times New Roman"/>
          <w:sz w:val="24"/>
          <w:szCs w:val="24"/>
        </w:rPr>
        <w:t>***</w:t>
      </w:r>
    </w:p>
    <w:p w14:paraId="74B98E7E" w14:textId="656D773A" w:rsidR="00102FD0" w:rsidRDefault="00102FD0" w:rsidP="00102FD0">
      <w:pPr>
        <w:rPr>
          <w:rStyle w:val="Hyperlink"/>
          <w:rFonts w:ascii="Times New Roman" w:hAnsi="Times New Roman"/>
          <w:sz w:val="24"/>
          <w:szCs w:val="24"/>
        </w:rPr>
      </w:pPr>
      <w:r w:rsidRPr="005B6AF8">
        <w:rPr>
          <w:rFonts w:ascii="Times New Roman" w:hAnsi="Times New Roman"/>
          <w:sz w:val="24"/>
          <w:szCs w:val="24"/>
        </w:rPr>
        <w:t xml:space="preserve">To defeat summary judgment, plaintiff would have had to present evidence that the </w:t>
      </w:r>
      <w:proofErr w:type="gramStart"/>
      <w:r w:rsidRPr="005B6AF8">
        <w:rPr>
          <w:rFonts w:ascii="Times New Roman" w:hAnsi="Times New Roman"/>
          <w:sz w:val="24"/>
          <w:szCs w:val="24"/>
        </w:rPr>
        <w:t>City</w:t>
      </w:r>
      <w:proofErr w:type="gramEnd"/>
      <w:r w:rsidRPr="005B6AF8">
        <w:rPr>
          <w:rFonts w:ascii="Times New Roman" w:hAnsi="Times New Roman"/>
          <w:sz w:val="24"/>
          <w:szCs w:val="24"/>
        </w:rPr>
        <w:t xml:space="preserve"> either knew </w:t>
      </w:r>
      <w:r>
        <w:rPr>
          <w:rFonts w:ascii="Times New Roman" w:hAnsi="Times New Roman"/>
          <w:sz w:val="24"/>
          <w:szCs w:val="24"/>
        </w:rPr>
        <w:t xml:space="preserve">[Deputy Fire Chief / EMS Training Officer Peter] </w:t>
      </w:r>
      <w:r w:rsidRPr="005B6AF8">
        <w:rPr>
          <w:rFonts w:ascii="Times New Roman" w:hAnsi="Times New Roman"/>
          <w:sz w:val="24"/>
          <w:szCs w:val="24"/>
        </w:rPr>
        <w:t xml:space="preserve">Bendinelli's training imperiled patients, or that the </w:t>
      </w:r>
      <w:proofErr w:type="gramStart"/>
      <w:r w:rsidRPr="005B6AF8">
        <w:rPr>
          <w:rFonts w:ascii="Times New Roman" w:hAnsi="Times New Roman"/>
          <w:sz w:val="24"/>
          <w:szCs w:val="24"/>
        </w:rPr>
        <w:t>City</w:t>
      </w:r>
      <w:proofErr w:type="gramEnd"/>
      <w:r w:rsidRPr="005B6AF8">
        <w:rPr>
          <w:rFonts w:ascii="Times New Roman" w:hAnsi="Times New Roman"/>
          <w:sz w:val="24"/>
          <w:szCs w:val="24"/>
        </w:rPr>
        <w:t xml:space="preserve"> failed to recognize this danger through recklessness. </w:t>
      </w:r>
      <w:r w:rsidRPr="005B6AF8">
        <w:rPr>
          <w:rFonts w:ascii="Times New Roman" w:hAnsi="Times New Roman"/>
          <w:i/>
          <w:iCs/>
          <w:sz w:val="24"/>
          <w:szCs w:val="24"/>
        </w:rPr>
        <w:t>Affatato v</w:t>
      </w:r>
      <w:r w:rsidRPr="005B6AF8">
        <w:rPr>
          <w:rFonts w:ascii="Times New Roman" w:hAnsi="Times New Roman"/>
          <w:sz w:val="24"/>
          <w:szCs w:val="24"/>
        </w:rPr>
        <w:t xml:space="preserve">. </w:t>
      </w:r>
      <w:r w:rsidRPr="005B6AF8">
        <w:rPr>
          <w:rFonts w:ascii="Times New Roman" w:hAnsi="Times New Roman"/>
          <w:i/>
          <w:iCs/>
          <w:sz w:val="24"/>
          <w:szCs w:val="24"/>
        </w:rPr>
        <w:t>Jewel Companies</w:t>
      </w:r>
      <w:r w:rsidRPr="005B6AF8">
        <w:rPr>
          <w:rFonts w:ascii="Times New Roman" w:hAnsi="Times New Roman"/>
          <w:sz w:val="24"/>
          <w:szCs w:val="24"/>
        </w:rPr>
        <w:t xml:space="preserve">, </w:t>
      </w:r>
      <w:r w:rsidRPr="005B6AF8">
        <w:rPr>
          <w:rFonts w:ascii="Times New Roman" w:hAnsi="Times New Roman"/>
          <w:i/>
          <w:iCs/>
          <w:sz w:val="24"/>
          <w:szCs w:val="24"/>
        </w:rPr>
        <w:t>Inc</w:t>
      </w:r>
      <w:r w:rsidRPr="005B6AF8">
        <w:rPr>
          <w:rFonts w:ascii="Times New Roman" w:hAnsi="Times New Roman"/>
          <w:sz w:val="24"/>
          <w:szCs w:val="24"/>
        </w:rPr>
        <w:t xml:space="preserve">., 259 Ill. App. 3d 787, 800 (1994). Plaintiff presented no such evidence. On the contrary, all three of Amanda's treating physicians corroborated Bendinelli's statement that pulse oximeter readings can be inaccurate. </w:t>
      </w:r>
      <w:proofErr w:type="gramStart"/>
      <w:r w:rsidRPr="005B6AF8">
        <w:rPr>
          <w:rFonts w:ascii="Times New Roman" w:hAnsi="Times New Roman"/>
          <w:sz w:val="24"/>
          <w:szCs w:val="24"/>
        </w:rPr>
        <w:t>In light of</w:t>
      </w:r>
      <w:proofErr w:type="gramEnd"/>
      <w:r w:rsidRPr="005B6AF8">
        <w:rPr>
          <w:rFonts w:ascii="Times New Roman" w:hAnsi="Times New Roman"/>
          <w:sz w:val="24"/>
          <w:szCs w:val="24"/>
        </w:rPr>
        <w:t xml:space="preserve"> their testimony, plaintiff has not presented an issue of fact as to whether Bendinelli's training reflects an utter indifference to patients' safety.</w:t>
      </w:r>
      <w:r>
        <w:rPr>
          <w:rFonts w:ascii="Times New Roman" w:hAnsi="Times New Roman"/>
          <w:sz w:val="24"/>
          <w:szCs w:val="24"/>
        </w:rPr>
        <w:t xml:space="preserve">” </w:t>
      </w:r>
      <w:hyperlink r:id="rId2342" w:history="1">
        <w:r w:rsidRPr="00EF3739">
          <w:rPr>
            <w:rStyle w:val="Hyperlink"/>
            <w:rFonts w:ascii="Times New Roman" w:hAnsi="Times New Roman"/>
            <w:sz w:val="24"/>
            <w:szCs w:val="24"/>
          </w:rPr>
          <w:t>https://public.fastcase.com/Wl%2B2t%2BeVuI35%2FN70vAMFZv50h%2Fykh7FShFoRYs3ZTa26w8rY%2BXvT1%2B6dqL4OkZlK</w:t>
        </w:r>
      </w:hyperlink>
    </w:p>
    <w:p w14:paraId="7F528A8C" w14:textId="77777777" w:rsidR="00102FD0" w:rsidRPr="00716D0B" w:rsidRDefault="00102FD0" w:rsidP="00102FD0">
      <w:pPr>
        <w:spacing w:before="100" w:beforeAutospacing="1" w:after="100" w:afterAutospacing="1" w:line="240" w:lineRule="auto"/>
        <w:rPr>
          <w:rFonts w:ascii="Times New Roman" w:hAnsi="Times New Roman"/>
          <w:b/>
          <w:bCs/>
          <w:sz w:val="24"/>
          <w:szCs w:val="24"/>
        </w:rPr>
      </w:pPr>
      <w:r w:rsidRPr="00716D0B">
        <w:rPr>
          <w:rFonts w:ascii="Times New Roman" w:hAnsi="Times New Roman"/>
          <w:b/>
          <w:bCs/>
          <w:sz w:val="24"/>
          <w:szCs w:val="24"/>
        </w:rPr>
        <w:t>Legal Lesson Learned:</w:t>
      </w:r>
      <w:r>
        <w:rPr>
          <w:rFonts w:ascii="Times New Roman" w:hAnsi="Times New Roman"/>
          <w:b/>
          <w:bCs/>
          <w:sz w:val="24"/>
          <w:szCs w:val="24"/>
        </w:rPr>
        <w:t xml:space="preserve"> Carefully follow your protocol after placement of ET Tube. </w:t>
      </w:r>
    </w:p>
    <w:p w14:paraId="3383E109" w14:textId="77777777" w:rsidR="00102FD0" w:rsidRDefault="00102FD0" w:rsidP="00102FD0">
      <w:pPr>
        <w:rPr>
          <w:rFonts w:ascii="Arial Black" w:hAnsi="Arial Black"/>
          <w:b/>
          <w:bCs/>
          <w:sz w:val="28"/>
          <w:szCs w:val="28"/>
        </w:rPr>
      </w:pPr>
    </w:p>
    <w:p w14:paraId="20FEAD83" w14:textId="15279DC2" w:rsidR="00102FD0" w:rsidRDefault="00102FD0" w:rsidP="002B1283">
      <w:pPr>
        <w:rPr>
          <w:rFonts w:ascii="Arial Black" w:hAnsi="Arial Black"/>
          <w:b/>
          <w:bCs/>
          <w:sz w:val="28"/>
          <w:szCs w:val="28"/>
        </w:rPr>
      </w:pPr>
      <w:r>
        <w:rPr>
          <w:rFonts w:ascii="Arial Black" w:hAnsi="Arial Black"/>
          <w:b/>
          <w:bCs/>
          <w:sz w:val="28"/>
          <w:szCs w:val="28"/>
        </w:rPr>
        <w:t>13-66</w:t>
      </w:r>
    </w:p>
    <w:p w14:paraId="4FBF2B97" w14:textId="77777777" w:rsidR="00102FD0" w:rsidRPr="00B85AFB" w:rsidRDefault="00102FD0" w:rsidP="00102FD0">
      <w:pPr>
        <w:pStyle w:val="NormalWeb"/>
        <w:rPr>
          <w:rFonts w:ascii="Arial Black" w:hAnsi="Arial Black"/>
          <w:b/>
          <w:bCs/>
          <w:sz w:val="28"/>
          <w:szCs w:val="28"/>
        </w:rPr>
      </w:pPr>
      <w:r>
        <w:rPr>
          <w:rFonts w:ascii="Arial Black" w:hAnsi="Arial Black"/>
          <w:b/>
          <w:bCs/>
          <w:sz w:val="28"/>
          <w:szCs w:val="28"/>
        </w:rPr>
        <w:t>OH: MVA - MEDIC FOUND NO PULSE – 1-HR LATER PATIENT COVERED BLANKET MOVED – NO PROOF “FAILURE TO TRAIN” - CASE DISMISSED</w:t>
      </w:r>
    </w:p>
    <w:p w14:paraId="73F817BE" w14:textId="77777777" w:rsidR="00102FD0" w:rsidRDefault="00102FD0" w:rsidP="00102FD0">
      <w:pPr>
        <w:pStyle w:val="NormalWeb"/>
      </w:pPr>
      <w:r>
        <w:t xml:space="preserve">On Oct. 20, 2020, in </w:t>
      </w:r>
      <w:r w:rsidRPr="00B85AFB">
        <w:rPr>
          <w:u w:val="single"/>
        </w:rPr>
        <w:t>Lynne Gooden, Individually and as Guardia of Terrell D. Gooden v. Chris Batz, Butler Township, et al.</w:t>
      </w:r>
      <w:r>
        <w:t xml:space="preserve">, Sharon L. Ovington, United States Magistrate Judge, U. S. District Court for Southern District of Ohio, issued a Report &amp; Recommendation to Federal District Judge that the lawsuit against Butler Township, and against City of Vandalia should be dismissed for alleged “failure to train.” There was no allegation that the Medic who first checked on the patient and found no pulse had a history of similar issues.  After an hour at the scene, the same Medic </w:t>
      </w:r>
      <w:r w:rsidRPr="00BA71B3">
        <w:t>saw Mr. Gooden spontaneously move and</w:t>
      </w:r>
      <w:r>
        <w:t xml:space="preserve"> </w:t>
      </w:r>
      <w:r w:rsidRPr="00BA71B3">
        <w:t>discovered he had a weak pulse</w:t>
      </w:r>
      <w:r>
        <w:t xml:space="preserve">; he survived with permanent brain damage and other long-term disabling health problems. </w:t>
      </w:r>
    </w:p>
    <w:p w14:paraId="0FB3D6B4" w14:textId="77777777" w:rsidR="00102FD0" w:rsidRDefault="00102FD0" w:rsidP="00102FD0">
      <w:pPr>
        <w:pStyle w:val="NormalWeb"/>
        <w:ind w:left="720"/>
      </w:pPr>
      <w:r>
        <w:lastRenderedPageBreak/>
        <w:t>“Life-threatening accidents are heartbreaking. Such an accident occurred to Plaintiff Terrell D. Gooden in 2016 when his vehicle collided with a tractor-trailer on Interstate 75. Plaintiffs allege that when Paramedic Chris Batz checked Mr. Gooden's pulse and respiration, he incorrectly concluded that Mr. Gooden had not survived the accident. Batz told other first responders that Mr. Gooden was not alive. And neither Batz nor other first responders immediately attempted to resuscitate Mr. Gooden or provide him with any emergency medical care.</w:t>
      </w:r>
    </w:p>
    <w:p w14:paraId="0140627B" w14:textId="77777777" w:rsidR="00102FD0" w:rsidRDefault="00102FD0" w:rsidP="00102FD0">
      <w:pPr>
        <w:pStyle w:val="NormalWeb"/>
        <w:ind w:left="720"/>
      </w:pPr>
      <w:r>
        <w:t>***</w:t>
      </w:r>
    </w:p>
    <w:p w14:paraId="45235C71" w14:textId="70774DAF" w:rsidR="00102FD0" w:rsidRDefault="00102FD0" w:rsidP="00102FD0">
      <w:pPr>
        <w:rPr>
          <w:rStyle w:val="Hyperlink"/>
          <w:rFonts w:ascii="Times New Roman" w:eastAsia="Times New Roman" w:hAnsi="Times New Roman"/>
          <w:sz w:val="24"/>
          <w:szCs w:val="24"/>
        </w:rPr>
      </w:pPr>
      <w:r w:rsidRPr="00B85AFB">
        <w:rPr>
          <w:rFonts w:ascii="Times New Roman" w:eastAsia="Times New Roman" w:hAnsi="Times New Roman"/>
          <w:sz w:val="24"/>
          <w:szCs w:val="24"/>
        </w:rPr>
        <w:t>The Complaint, for instance, does not allege that Batz made serious mistakes</w:t>
      </w:r>
      <w:r>
        <w:rPr>
          <w:rFonts w:ascii="Times New Roman" w:eastAsia="Times New Roman" w:hAnsi="Times New Roman"/>
          <w:sz w:val="24"/>
          <w:szCs w:val="24"/>
        </w:rPr>
        <w:t xml:space="preserve"> </w:t>
      </w:r>
      <w:r w:rsidRPr="00B85AFB">
        <w:rPr>
          <w:rFonts w:ascii="Times New Roman" w:eastAsia="Times New Roman" w:hAnsi="Times New Roman"/>
          <w:sz w:val="24"/>
          <w:szCs w:val="24"/>
        </w:rPr>
        <w:t xml:space="preserve">when examining victims of previous accidents that should have alerted Butler Township officials that his training was inadequate and likely to cause harm to </w:t>
      </w:r>
      <w:proofErr w:type="gramStart"/>
      <w:r w:rsidRPr="00B85AFB">
        <w:rPr>
          <w:rFonts w:ascii="Times New Roman" w:eastAsia="Times New Roman" w:hAnsi="Times New Roman"/>
          <w:sz w:val="24"/>
          <w:szCs w:val="24"/>
        </w:rPr>
        <w:t>accidents victims</w:t>
      </w:r>
      <w:proofErr w:type="gramEnd"/>
      <w:r w:rsidRPr="00B85AFB">
        <w:rPr>
          <w:rFonts w:ascii="Times New Roman" w:eastAsia="Times New Roman" w:hAnsi="Times New Roman"/>
          <w:sz w:val="24"/>
          <w:szCs w:val="24"/>
        </w:rPr>
        <w:t xml:space="preserve"> like Mr. Gooden. And, as to Defendants Gallup and Miller, Plaintiffs' Complaint contains no non-conclusory allegation indicating that they received inadequate training and that such training resulted in a violation of Mr. Gooden's constitutional rights.</w:t>
      </w:r>
      <w:r>
        <w:rPr>
          <w:rFonts w:ascii="Times New Roman" w:eastAsia="Times New Roman" w:hAnsi="Times New Roman"/>
          <w:sz w:val="24"/>
          <w:szCs w:val="24"/>
        </w:rPr>
        <w:t xml:space="preserve">” </w:t>
      </w:r>
      <w:hyperlink r:id="rId2343" w:history="1">
        <w:r w:rsidRPr="003B2E68">
          <w:rPr>
            <w:rStyle w:val="Hyperlink"/>
            <w:rFonts w:ascii="Times New Roman" w:eastAsia="Times New Roman" w:hAnsi="Times New Roman"/>
            <w:sz w:val="24"/>
            <w:szCs w:val="24"/>
          </w:rPr>
          <w:t>https://public.fastcase.com/Wl%2B2t%2BeVuI35%2FN70vAMFZoN7mlr4hHNtCTnayGEBC4RCM4jvijs5LLDyckRiAx%2Bw</w:t>
        </w:r>
      </w:hyperlink>
    </w:p>
    <w:p w14:paraId="2BEC2451" w14:textId="477F0E22" w:rsidR="00102FD0" w:rsidRDefault="00102FD0" w:rsidP="00102FD0">
      <w:pPr>
        <w:rPr>
          <w:rStyle w:val="Hyperlink"/>
          <w:rFonts w:ascii="Times New Roman" w:eastAsia="Times New Roman" w:hAnsi="Times New Roman"/>
          <w:sz w:val="24"/>
          <w:szCs w:val="24"/>
        </w:rPr>
      </w:pPr>
      <w:r w:rsidRPr="00545DAD">
        <w:rPr>
          <w:rFonts w:ascii="Times New Roman" w:eastAsia="Times New Roman" w:hAnsi="Times New Roman"/>
          <w:b/>
          <w:bCs/>
          <w:sz w:val="24"/>
          <w:szCs w:val="24"/>
        </w:rPr>
        <w:t>Legal Lesson Learned:</w:t>
      </w:r>
      <w:r>
        <w:rPr>
          <w:rFonts w:ascii="Times New Roman" w:eastAsia="Times New Roman" w:hAnsi="Times New Roman"/>
          <w:b/>
          <w:bCs/>
          <w:sz w:val="24"/>
          <w:szCs w:val="24"/>
        </w:rPr>
        <w:t xml:space="preserve">  Follow your protocols concerning determination of death; ask for a second opinion at the scene.</w:t>
      </w:r>
    </w:p>
    <w:p w14:paraId="562E40F6" w14:textId="77777777" w:rsidR="00102FD0" w:rsidRDefault="00102FD0" w:rsidP="00102FD0">
      <w:pPr>
        <w:rPr>
          <w:rFonts w:ascii="Arial Black" w:hAnsi="Arial Black"/>
          <w:b/>
          <w:bCs/>
          <w:sz w:val="28"/>
          <w:szCs w:val="28"/>
        </w:rPr>
      </w:pPr>
    </w:p>
    <w:p w14:paraId="6931AED6" w14:textId="7FF5FA3E" w:rsidR="00102FD0" w:rsidRDefault="00102FD0" w:rsidP="001C563D">
      <w:pPr>
        <w:rPr>
          <w:rFonts w:ascii="Arial Black" w:hAnsi="Arial Black"/>
          <w:b/>
          <w:bCs/>
          <w:sz w:val="28"/>
          <w:szCs w:val="28"/>
        </w:rPr>
      </w:pPr>
      <w:r>
        <w:rPr>
          <w:rFonts w:ascii="Arial Black" w:hAnsi="Arial Black"/>
          <w:b/>
          <w:bCs/>
          <w:sz w:val="28"/>
          <w:szCs w:val="28"/>
        </w:rPr>
        <w:t>13-65</w:t>
      </w:r>
    </w:p>
    <w:p w14:paraId="58E27E0A" w14:textId="77777777" w:rsidR="00102FD0" w:rsidRPr="00195883" w:rsidRDefault="00102FD0" w:rsidP="00102FD0">
      <w:pPr>
        <w:spacing w:before="100" w:beforeAutospacing="1" w:after="100" w:afterAutospacing="1" w:line="240" w:lineRule="auto"/>
        <w:rPr>
          <w:rFonts w:ascii="Arial Black" w:eastAsia="Times New Roman" w:hAnsi="Arial Black"/>
          <w:b/>
          <w:bCs/>
          <w:sz w:val="28"/>
          <w:szCs w:val="28"/>
        </w:rPr>
      </w:pPr>
      <w:r w:rsidRPr="00195883">
        <w:rPr>
          <w:rFonts w:ascii="Arial Black" w:eastAsia="Times New Roman" w:hAnsi="Arial Black"/>
          <w:b/>
          <w:bCs/>
          <w:sz w:val="28"/>
          <w:szCs w:val="28"/>
        </w:rPr>
        <w:t>MD:</w:t>
      </w:r>
      <w:r>
        <w:rPr>
          <w:rFonts w:ascii="Arial Black" w:eastAsia="Times New Roman" w:hAnsi="Arial Black"/>
          <w:b/>
          <w:bCs/>
          <w:sz w:val="28"/>
          <w:szCs w:val="28"/>
        </w:rPr>
        <w:t xml:space="preserve"> 21-YR OLD PATIENT IN BASEMENT, DIFFICULTY BREATHING – ARRIVED 6 MIN – ADMINISTERED NARCAN - IMMUNITY</w:t>
      </w:r>
    </w:p>
    <w:p w14:paraId="040A1B34" w14:textId="77777777" w:rsidR="00102FD0" w:rsidRDefault="00102FD0" w:rsidP="00102FD0">
      <w:pPr>
        <w:spacing w:before="100" w:beforeAutospacing="1" w:after="100" w:afterAutospacing="1" w:line="240" w:lineRule="auto"/>
        <w:rPr>
          <w:rFonts w:ascii="Times New Roman" w:eastAsia="Times New Roman" w:hAnsi="Times New Roman"/>
          <w:sz w:val="24"/>
          <w:szCs w:val="24"/>
        </w:rPr>
      </w:pPr>
      <w:r w:rsidRPr="00C43B83">
        <w:rPr>
          <w:rFonts w:ascii="Times New Roman" w:eastAsia="Times New Roman" w:hAnsi="Times New Roman"/>
          <w:sz w:val="24"/>
          <w:szCs w:val="24"/>
        </w:rPr>
        <w:t xml:space="preserve">On Oct. 1, 2020, in </w:t>
      </w:r>
      <w:r w:rsidRPr="00C43B83">
        <w:rPr>
          <w:rFonts w:ascii="Times New Roman" w:eastAsia="Times New Roman" w:hAnsi="Times New Roman"/>
          <w:sz w:val="24"/>
          <w:szCs w:val="24"/>
          <w:u w:val="single"/>
        </w:rPr>
        <w:t>Octavia T. Coit, et al. v. Nicole Nappi, et al</w:t>
      </w:r>
      <w:r>
        <w:rPr>
          <w:rFonts w:ascii="Times New Roman" w:eastAsia="Times New Roman" w:hAnsi="Times New Roman"/>
          <w:sz w:val="24"/>
          <w:szCs w:val="24"/>
        </w:rPr>
        <w:t xml:space="preserve">., the Court of Special Appeals of Maryland, held (4 to 0) that trial court properly dismissed the lawsuit.  The </w:t>
      </w:r>
      <w:proofErr w:type="gramStart"/>
      <w:r>
        <w:rPr>
          <w:rFonts w:ascii="Times New Roman" w:eastAsia="Times New Roman" w:hAnsi="Times New Roman"/>
          <w:sz w:val="24"/>
          <w:szCs w:val="24"/>
        </w:rPr>
        <w:t>21-year old</w:t>
      </w:r>
      <w:proofErr w:type="gramEnd"/>
      <w:r>
        <w:rPr>
          <w:rFonts w:ascii="Times New Roman" w:eastAsia="Times New Roman" w:hAnsi="Times New Roman"/>
          <w:sz w:val="24"/>
          <w:szCs w:val="24"/>
        </w:rPr>
        <w:t xml:space="preserve"> patient was at a friend’s house and was in the basement having difficulty breathing; history of asthma, died of cardiac arrest.  Administration of Narcan was not harmful and did not contribute to the patient’s death.  Plaintiffs also complained of a delayed response, but the CAD records show they arrived at scene within 6 minutes and 44 seconds of the 911 call. </w:t>
      </w:r>
    </w:p>
    <w:p w14:paraId="12C25E01" w14:textId="77777777" w:rsidR="00102FD0" w:rsidRDefault="00102FD0" w:rsidP="00102FD0">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“In</w:t>
      </w:r>
      <w:r w:rsidRPr="001E057A">
        <w:rPr>
          <w:rFonts w:ascii="Times New Roman" w:hAnsi="Times New Roman"/>
          <w:sz w:val="24"/>
          <w:szCs w:val="24"/>
        </w:rPr>
        <w:t xml:space="preserve"> the absence of willful or grossly negligent conduct, emergency responders covered under the Good Samaritan Act and/or the Fire &amp; Rescue Companies Act are immune from civil liability for any acts or omissions in </w:t>
      </w:r>
      <w:proofErr w:type="gramStart"/>
      <w:r w:rsidRPr="001E057A">
        <w:rPr>
          <w:rFonts w:ascii="Times New Roman" w:hAnsi="Times New Roman"/>
          <w:sz w:val="24"/>
          <w:szCs w:val="24"/>
        </w:rPr>
        <w:t>providing assistance</w:t>
      </w:r>
      <w:proofErr w:type="gramEnd"/>
      <w:r w:rsidRPr="001E057A">
        <w:rPr>
          <w:rFonts w:ascii="Times New Roman" w:hAnsi="Times New Roman"/>
          <w:sz w:val="24"/>
          <w:szCs w:val="24"/>
        </w:rPr>
        <w:t xml:space="preserve"> or in the performance of their duties.</w:t>
      </w:r>
    </w:p>
    <w:p w14:paraId="459D041C" w14:textId="77777777" w:rsidR="00102FD0" w:rsidRPr="001E057A" w:rsidRDefault="00102FD0" w:rsidP="00102FD0">
      <w:pPr>
        <w:spacing w:before="100" w:beforeAutospacing="1" w:after="100" w:afterAutospacing="1" w:line="240" w:lineRule="auto"/>
        <w:ind w:left="720"/>
        <w:rPr>
          <w:rFonts w:ascii="Times New Roman" w:eastAsia="Times New Roman" w:hAnsi="Times New Roman"/>
          <w:sz w:val="24"/>
          <w:szCs w:val="24"/>
        </w:rPr>
      </w:pPr>
      <w:r>
        <w:rPr>
          <w:rFonts w:ascii="Times New Roman" w:hAnsi="Times New Roman"/>
          <w:sz w:val="24"/>
          <w:szCs w:val="24"/>
        </w:rPr>
        <w:t>***</w:t>
      </w:r>
    </w:p>
    <w:p w14:paraId="33B38568" w14:textId="77777777" w:rsidR="00102FD0" w:rsidRDefault="00102FD0" w:rsidP="00102FD0">
      <w:pPr>
        <w:spacing w:after="100" w:line="240" w:lineRule="auto"/>
        <w:ind w:left="720"/>
        <w:rPr>
          <w:rFonts w:ascii="Times New Roman" w:eastAsia="Times New Roman" w:hAnsi="Times New Roman"/>
          <w:b/>
          <w:bCs/>
          <w:sz w:val="24"/>
          <w:szCs w:val="24"/>
        </w:rPr>
      </w:pPr>
      <w:r>
        <w:rPr>
          <w:rFonts w:ascii="Times New Roman" w:eastAsia="Times New Roman" w:hAnsi="Times New Roman"/>
          <w:sz w:val="24"/>
          <w:szCs w:val="24"/>
        </w:rPr>
        <w:t>[</w:t>
      </w:r>
      <w:r w:rsidRPr="00195883">
        <w:rPr>
          <w:rFonts w:ascii="Times New Roman" w:eastAsia="Times New Roman" w:hAnsi="Times New Roman"/>
          <w:sz w:val="24"/>
          <w:szCs w:val="24"/>
        </w:rPr>
        <w:t>Appellants] contend that the administration of Narcan was unnecessary because there was no specific indication that Mr. Coit was experiencing an opioid overdose. The Court understands and appreciates Mr. Coit's family's concern over a misperception that he was using drugs. The evidence demonstrates, however, that, regardless of how unnecessary the administration of Narcan may have been, there are no applicable contraindications for someone who did not overdose on opioids, and that</w:t>
      </w:r>
      <w:r>
        <w:rPr>
          <w:rFonts w:ascii="Times New Roman" w:eastAsia="Times New Roman" w:hAnsi="Times New Roman"/>
          <w:sz w:val="24"/>
          <w:szCs w:val="24"/>
        </w:rPr>
        <w:t xml:space="preserve"> </w:t>
      </w:r>
      <w:r w:rsidRPr="00195883">
        <w:rPr>
          <w:rFonts w:ascii="Times New Roman" w:eastAsia="Times New Roman" w:hAnsi="Times New Roman"/>
          <w:sz w:val="24"/>
          <w:szCs w:val="24"/>
        </w:rPr>
        <w:t>Narcan does not otherwise harm someone to whom it is administered. Even if Paramedic Nappi and EMT Jackson were, in some way, negligent in their assessment and treatment of Mr. Coit, which the Court is not suggesting, there is not sufficient evidence of gross negligence regarding their post-arrival conduct</w:t>
      </w:r>
      <w:r w:rsidRPr="001E057A">
        <w:rPr>
          <w:rFonts w:ascii="Times New Roman" w:eastAsia="Times New Roman" w:hAnsi="Times New Roman"/>
          <w:sz w:val="24"/>
          <w:szCs w:val="24"/>
        </w:rPr>
        <w:t xml:space="preserve">.”  </w:t>
      </w:r>
      <w:hyperlink r:id="rId2344" w:history="1">
        <w:r w:rsidRPr="001E057A">
          <w:rPr>
            <w:rStyle w:val="Hyperlink"/>
            <w:rFonts w:ascii="Times New Roman" w:eastAsia="Times New Roman" w:hAnsi="Times New Roman"/>
            <w:sz w:val="24"/>
            <w:szCs w:val="24"/>
          </w:rPr>
          <w:t>https://mdcourts.gov/data/opinions/cosa/2020/0318s19.pdf</w:t>
        </w:r>
      </w:hyperlink>
      <w:r>
        <w:rPr>
          <w:rFonts w:ascii="Times New Roman" w:eastAsia="Times New Roman" w:hAnsi="Times New Roman"/>
          <w:b/>
          <w:bCs/>
          <w:sz w:val="24"/>
          <w:szCs w:val="24"/>
        </w:rPr>
        <w:t xml:space="preserve"> </w:t>
      </w:r>
    </w:p>
    <w:p w14:paraId="357D98B7" w14:textId="77777777" w:rsidR="00102FD0" w:rsidRPr="0093728B" w:rsidRDefault="00102FD0" w:rsidP="00102FD0">
      <w:pPr>
        <w:spacing w:after="100" w:line="240" w:lineRule="auto"/>
        <w:rPr>
          <w:rFonts w:ascii="Times New Roman" w:hAnsi="Times New Roman"/>
          <w:b/>
          <w:bCs/>
          <w:sz w:val="24"/>
          <w:szCs w:val="24"/>
        </w:rPr>
      </w:pPr>
      <w:r w:rsidRPr="0093728B">
        <w:rPr>
          <w:rFonts w:ascii="Times New Roman" w:hAnsi="Times New Roman"/>
          <w:b/>
          <w:bCs/>
          <w:sz w:val="24"/>
          <w:szCs w:val="24"/>
        </w:rPr>
        <w:lastRenderedPageBreak/>
        <w:t>Legal Lesson Learned:</w:t>
      </w:r>
      <w:r>
        <w:rPr>
          <w:rFonts w:ascii="Times New Roman" w:hAnsi="Times New Roman"/>
          <w:b/>
          <w:bCs/>
          <w:sz w:val="24"/>
          <w:szCs w:val="24"/>
        </w:rPr>
        <w:t xml:space="preserve"> Immunity statutes like the Maryland statutes are designed to protect EMS and other emergency responders from civil liability; it is frankly hard to understand why this lawsuit </w:t>
      </w:r>
      <w:proofErr w:type="gramStart"/>
      <w:r>
        <w:rPr>
          <w:rFonts w:ascii="Times New Roman" w:hAnsi="Times New Roman"/>
          <w:b/>
          <w:bCs/>
          <w:sz w:val="24"/>
          <w:szCs w:val="24"/>
        </w:rPr>
        <w:t>were</w:t>
      </w:r>
      <w:proofErr w:type="gramEnd"/>
      <w:r>
        <w:rPr>
          <w:rFonts w:ascii="Times New Roman" w:hAnsi="Times New Roman"/>
          <w:b/>
          <w:bCs/>
          <w:sz w:val="24"/>
          <w:szCs w:val="24"/>
        </w:rPr>
        <w:t xml:space="preserve"> ever filed. </w:t>
      </w:r>
    </w:p>
    <w:p w14:paraId="1A8E1C5B" w14:textId="77777777" w:rsidR="00102FD0" w:rsidRDefault="00102FD0" w:rsidP="001C563D">
      <w:pPr>
        <w:rPr>
          <w:rFonts w:ascii="Arial Black" w:hAnsi="Arial Black"/>
          <w:b/>
          <w:bCs/>
          <w:sz w:val="28"/>
          <w:szCs w:val="28"/>
        </w:rPr>
      </w:pPr>
    </w:p>
    <w:p w14:paraId="3DBCB811" w14:textId="77777777" w:rsidR="00102FD0" w:rsidRDefault="00102FD0" w:rsidP="001C563D">
      <w:pPr>
        <w:rPr>
          <w:rFonts w:ascii="Arial Black" w:hAnsi="Arial Black"/>
          <w:b/>
          <w:bCs/>
          <w:sz w:val="28"/>
          <w:szCs w:val="28"/>
        </w:rPr>
      </w:pPr>
    </w:p>
    <w:p w14:paraId="55DC682F" w14:textId="320D27CD" w:rsidR="00B532F6" w:rsidRDefault="00B532F6" w:rsidP="001C563D">
      <w:pPr>
        <w:rPr>
          <w:rFonts w:ascii="Arial Black" w:hAnsi="Arial Black"/>
          <w:b/>
          <w:bCs/>
          <w:sz w:val="28"/>
          <w:szCs w:val="28"/>
        </w:rPr>
      </w:pPr>
      <w:r>
        <w:rPr>
          <w:rFonts w:ascii="Arial Black" w:hAnsi="Arial Black"/>
          <w:b/>
          <w:bCs/>
          <w:sz w:val="28"/>
          <w:szCs w:val="28"/>
        </w:rPr>
        <w:t>13-64</w:t>
      </w:r>
    </w:p>
    <w:p w14:paraId="46ED1E2D" w14:textId="77777777" w:rsidR="00B532F6" w:rsidRDefault="00B532F6" w:rsidP="00B532F6">
      <w:pPr>
        <w:spacing w:before="100" w:beforeAutospacing="1" w:after="100" w:afterAutospacing="1" w:line="240" w:lineRule="auto"/>
        <w:rPr>
          <w:rFonts w:ascii="Arial Black" w:eastAsia="Times New Roman" w:hAnsi="Arial Black"/>
          <w:sz w:val="28"/>
          <w:szCs w:val="28"/>
        </w:rPr>
      </w:pPr>
      <w:r>
        <w:rPr>
          <w:rFonts w:ascii="Arial Black" w:eastAsia="Times New Roman" w:hAnsi="Arial Black"/>
          <w:sz w:val="28"/>
          <w:szCs w:val="28"/>
        </w:rPr>
        <w:t xml:space="preserve">NY:  LAWSUIT AGAINST EMS – COURT OF APPEALS HOLDS “SPECIAL RELATIONSHIP” – NO GOV’T IMMUNITY </w:t>
      </w:r>
    </w:p>
    <w:p w14:paraId="11AB7892" w14:textId="77777777" w:rsidR="00B532F6" w:rsidRPr="006B5620" w:rsidRDefault="00B532F6" w:rsidP="00B532F6">
      <w:pPr>
        <w:rPr>
          <w:rFonts w:ascii="Times New Roman" w:hAnsi="Times New Roman"/>
          <w:sz w:val="24"/>
          <w:szCs w:val="24"/>
        </w:rPr>
      </w:pPr>
      <w:r w:rsidRPr="006B5620">
        <w:rPr>
          <w:rFonts w:ascii="Times New Roman" w:hAnsi="Times New Roman"/>
          <w:sz w:val="24"/>
          <w:szCs w:val="24"/>
        </w:rPr>
        <w:t xml:space="preserve">On Sept. 23, 2020, in </w:t>
      </w:r>
      <w:r w:rsidRPr="006B5620">
        <w:rPr>
          <w:rFonts w:ascii="Times New Roman" w:hAnsi="Times New Roman"/>
          <w:sz w:val="24"/>
          <w:szCs w:val="24"/>
          <w:u w:val="single"/>
        </w:rPr>
        <w:t>Rashawn Watts, et. al, v, City of New York</w:t>
      </w:r>
      <w:r w:rsidRPr="006B5620">
        <w:rPr>
          <w:rFonts w:ascii="Times New Roman" w:hAnsi="Times New Roman"/>
          <w:sz w:val="24"/>
          <w:szCs w:val="24"/>
        </w:rPr>
        <w:t xml:space="preserve">, 2020 NY Slip Op 05084, the Supreme Court of the State of New York, Appellate Division (Second Judicial Department) held (4 to 0) that the trial court judge properly denied the City’s motion to dismiss the case, taking the legal position that when EMS provides services to a patient, governmental immunity no longer applies since the City now has established a “special relationship.”  </w:t>
      </w:r>
      <w:r>
        <w:rPr>
          <w:rFonts w:ascii="Times New Roman" w:hAnsi="Times New Roman"/>
          <w:sz w:val="24"/>
          <w:szCs w:val="24"/>
        </w:rPr>
        <w:t>[Note: Courts in some other jurisdictions require proof of gross negligence for case to proceed.]</w:t>
      </w:r>
      <w:r w:rsidRPr="006B5620">
        <w:rPr>
          <w:rFonts w:ascii="Times New Roman" w:hAnsi="Times New Roman"/>
          <w:sz w:val="24"/>
          <w:szCs w:val="24"/>
        </w:rPr>
        <w:t xml:space="preserve"> </w:t>
      </w:r>
    </w:p>
    <w:p w14:paraId="7A3D32CE" w14:textId="77777777" w:rsidR="00B532F6" w:rsidRDefault="00B532F6" w:rsidP="00B532F6">
      <w:pPr>
        <w:ind w:left="720"/>
        <w:rPr>
          <w:rFonts w:ascii="Times New Roman" w:hAnsi="Times New Roman"/>
          <w:sz w:val="24"/>
          <w:szCs w:val="24"/>
        </w:rPr>
      </w:pPr>
      <w:r>
        <w:rPr>
          <w:rFonts w:ascii="Times New Roman" w:hAnsi="Times New Roman"/>
          <w:sz w:val="24"/>
          <w:szCs w:val="24"/>
        </w:rPr>
        <w:t>“</w:t>
      </w:r>
      <w:r w:rsidRPr="004C542C">
        <w:rPr>
          <w:rFonts w:ascii="Times New Roman" w:hAnsi="Times New Roman"/>
          <w:sz w:val="24"/>
          <w:szCs w:val="24"/>
        </w:rPr>
        <w:t>A municipality will be held to have voluntarily assumed a duty or special</w:t>
      </w:r>
      <w:r>
        <w:rPr>
          <w:rFonts w:ascii="Times New Roman" w:hAnsi="Times New Roman"/>
          <w:sz w:val="24"/>
          <w:szCs w:val="24"/>
        </w:rPr>
        <w:t xml:space="preserve"> </w:t>
      </w:r>
      <w:r w:rsidRPr="004C542C">
        <w:rPr>
          <w:rFonts w:ascii="Times New Roman" w:hAnsi="Times New Roman"/>
          <w:sz w:val="24"/>
          <w:szCs w:val="24"/>
        </w:rPr>
        <w:t xml:space="preserve">relationship with the plaintiff where there is: </w:t>
      </w:r>
      <w:r>
        <w:rPr>
          <w:rFonts w:ascii="Times New Roman" w:hAnsi="Times New Roman"/>
          <w:sz w:val="24"/>
          <w:szCs w:val="24"/>
        </w:rPr>
        <w:t>‘</w:t>
      </w:r>
      <w:r w:rsidRPr="004C542C">
        <w:rPr>
          <w:rFonts w:ascii="Times New Roman" w:hAnsi="Times New Roman"/>
          <w:sz w:val="24"/>
          <w:szCs w:val="24"/>
        </w:rPr>
        <w:t>(1) an assumption by the municipality, through promises or actions, of an affirmative duty to act on behalf of the party who was injured; (2) knowledge on the part of the municipality's agents that inaction could lead to harm; (3) some form of direct contact between the municipality's agents and the injured party; and (4) that party's justifiable reliance on the municipality's affirmative undertaking</w:t>
      </w:r>
      <w:r>
        <w:rPr>
          <w:rFonts w:ascii="Times New Roman" w:hAnsi="Times New Roman"/>
          <w:sz w:val="24"/>
          <w:szCs w:val="24"/>
        </w:rPr>
        <w:t>’</w:t>
      </w:r>
      <w:r w:rsidRPr="004C542C">
        <w:rPr>
          <w:rFonts w:ascii="Times New Roman" w:hAnsi="Times New Roman"/>
          <w:sz w:val="24"/>
          <w:szCs w:val="24"/>
        </w:rPr>
        <w:t xml:space="preserve"> (</w:t>
      </w:r>
      <w:r w:rsidRPr="004C542C">
        <w:rPr>
          <w:rFonts w:ascii="Times New Roman" w:hAnsi="Times New Roman"/>
          <w:i/>
          <w:iCs/>
          <w:sz w:val="24"/>
          <w:szCs w:val="24"/>
        </w:rPr>
        <w:t xml:space="preserve">Applewhite v </w:t>
      </w:r>
      <w:proofErr w:type="spellStart"/>
      <w:r w:rsidRPr="004C542C">
        <w:rPr>
          <w:rFonts w:ascii="Times New Roman" w:hAnsi="Times New Roman"/>
          <w:i/>
          <w:iCs/>
          <w:sz w:val="24"/>
          <w:szCs w:val="24"/>
        </w:rPr>
        <w:t>Accuhealth</w:t>
      </w:r>
      <w:proofErr w:type="spellEnd"/>
      <w:r w:rsidRPr="004C542C">
        <w:rPr>
          <w:rFonts w:ascii="Times New Roman" w:hAnsi="Times New Roman"/>
          <w:sz w:val="24"/>
          <w:szCs w:val="24"/>
        </w:rPr>
        <w:t xml:space="preserve">, </w:t>
      </w:r>
      <w:r w:rsidRPr="004C542C">
        <w:rPr>
          <w:rFonts w:ascii="Times New Roman" w:hAnsi="Times New Roman"/>
          <w:i/>
          <w:iCs/>
          <w:sz w:val="24"/>
          <w:szCs w:val="24"/>
        </w:rPr>
        <w:t>Inc</w:t>
      </w:r>
      <w:r w:rsidRPr="004C542C">
        <w:rPr>
          <w:rFonts w:ascii="Times New Roman" w:hAnsi="Times New Roman"/>
          <w:sz w:val="24"/>
          <w:szCs w:val="24"/>
        </w:rPr>
        <w:t xml:space="preserve">., 21 NY3d at 430-431; </w:t>
      </w:r>
      <w:r w:rsidRPr="004C542C">
        <w:rPr>
          <w:rFonts w:ascii="Times New Roman" w:hAnsi="Times New Roman"/>
          <w:i/>
          <w:iCs/>
          <w:sz w:val="24"/>
          <w:szCs w:val="24"/>
        </w:rPr>
        <w:t xml:space="preserve">see </w:t>
      </w:r>
      <w:proofErr w:type="spellStart"/>
      <w:r w:rsidRPr="004C542C">
        <w:rPr>
          <w:rFonts w:ascii="Times New Roman" w:hAnsi="Times New Roman"/>
          <w:i/>
          <w:iCs/>
          <w:sz w:val="24"/>
          <w:szCs w:val="24"/>
        </w:rPr>
        <w:t>Laratro</w:t>
      </w:r>
      <w:proofErr w:type="spellEnd"/>
      <w:r w:rsidRPr="004C542C">
        <w:rPr>
          <w:rFonts w:ascii="Times New Roman" w:hAnsi="Times New Roman"/>
          <w:i/>
          <w:iCs/>
          <w:sz w:val="24"/>
          <w:szCs w:val="24"/>
        </w:rPr>
        <w:t xml:space="preserve"> v City of New York</w:t>
      </w:r>
      <w:r w:rsidRPr="004C542C">
        <w:rPr>
          <w:rFonts w:ascii="Times New Roman" w:hAnsi="Times New Roman"/>
          <w:sz w:val="24"/>
          <w:szCs w:val="24"/>
        </w:rPr>
        <w:t xml:space="preserve">, 8 NY3d at 83; </w:t>
      </w:r>
      <w:r w:rsidRPr="004C542C">
        <w:rPr>
          <w:rFonts w:ascii="Times New Roman" w:hAnsi="Times New Roman"/>
          <w:i/>
          <w:iCs/>
          <w:sz w:val="24"/>
          <w:szCs w:val="24"/>
        </w:rPr>
        <w:t>Cuffy v City of New York</w:t>
      </w:r>
      <w:r w:rsidRPr="004C542C">
        <w:rPr>
          <w:rFonts w:ascii="Times New Roman" w:hAnsi="Times New Roman"/>
          <w:sz w:val="24"/>
          <w:szCs w:val="24"/>
        </w:rPr>
        <w:t>, 69 NY2d 255, 260).</w:t>
      </w:r>
      <w:r>
        <w:rPr>
          <w:rFonts w:ascii="Times New Roman" w:hAnsi="Times New Roman"/>
          <w:sz w:val="24"/>
          <w:szCs w:val="24"/>
        </w:rPr>
        <w:t>’</w:t>
      </w:r>
    </w:p>
    <w:p w14:paraId="18D30AC4" w14:textId="77777777" w:rsidR="00B532F6" w:rsidRDefault="00B532F6" w:rsidP="00B532F6">
      <w:pPr>
        <w:ind w:left="720"/>
        <w:rPr>
          <w:rFonts w:ascii="Times New Roman" w:hAnsi="Times New Roman"/>
          <w:sz w:val="24"/>
          <w:szCs w:val="24"/>
        </w:rPr>
      </w:pPr>
      <w:r>
        <w:rPr>
          <w:rFonts w:ascii="Times New Roman" w:hAnsi="Times New Roman"/>
          <w:sz w:val="24"/>
          <w:szCs w:val="24"/>
        </w:rPr>
        <w:t>***</w:t>
      </w:r>
    </w:p>
    <w:p w14:paraId="7350B37A" w14:textId="77777777" w:rsidR="00B532F6" w:rsidRPr="004C542C" w:rsidRDefault="00B532F6" w:rsidP="00B532F6">
      <w:pPr>
        <w:ind w:left="720"/>
        <w:rPr>
          <w:rFonts w:ascii="Times New Roman" w:eastAsia="Times New Roman" w:hAnsi="Times New Roman"/>
          <w:b/>
          <w:bCs/>
          <w:sz w:val="24"/>
          <w:szCs w:val="24"/>
        </w:rPr>
      </w:pPr>
      <w:r w:rsidRPr="004C542C">
        <w:rPr>
          <w:rFonts w:ascii="Times New Roman" w:hAnsi="Times New Roman"/>
          <w:sz w:val="24"/>
          <w:szCs w:val="24"/>
        </w:rPr>
        <w:t>The prehospital care report summaries and computerized automated dispatch report submitted in support of the City defendants' motion did not constitute documentary evidence within the intendment of CPLR 3211(a)(1) (</w:t>
      </w:r>
      <w:r w:rsidRPr="004C542C">
        <w:rPr>
          <w:rFonts w:ascii="Times New Roman" w:hAnsi="Times New Roman"/>
          <w:i/>
          <w:iCs/>
          <w:sz w:val="24"/>
          <w:szCs w:val="24"/>
        </w:rPr>
        <w:t xml:space="preserve">see </w:t>
      </w:r>
      <w:proofErr w:type="spellStart"/>
      <w:r w:rsidRPr="004C542C">
        <w:rPr>
          <w:rFonts w:ascii="Times New Roman" w:hAnsi="Times New Roman"/>
          <w:i/>
          <w:iCs/>
          <w:sz w:val="24"/>
          <w:szCs w:val="24"/>
        </w:rPr>
        <w:t>Santaiti</w:t>
      </w:r>
      <w:proofErr w:type="spellEnd"/>
      <w:r w:rsidRPr="004C542C">
        <w:rPr>
          <w:rFonts w:ascii="Times New Roman" w:hAnsi="Times New Roman"/>
          <w:i/>
          <w:iCs/>
          <w:sz w:val="24"/>
          <w:szCs w:val="24"/>
        </w:rPr>
        <w:t xml:space="preserve"> v Town of Ramapo</w:t>
      </w:r>
      <w:r w:rsidRPr="004C542C">
        <w:rPr>
          <w:rFonts w:ascii="Times New Roman" w:hAnsi="Times New Roman"/>
          <w:sz w:val="24"/>
          <w:szCs w:val="24"/>
        </w:rPr>
        <w:t xml:space="preserve">, 162 AD3d at 926; </w:t>
      </w:r>
      <w:r w:rsidRPr="004C542C">
        <w:rPr>
          <w:rFonts w:ascii="Times New Roman" w:hAnsi="Times New Roman"/>
          <w:i/>
          <w:iCs/>
          <w:sz w:val="24"/>
          <w:szCs w:val="24"/>
        </w:rPr>
        <w:t>Fontanetta v John Doe 1</w:t>
      </w:r>
      <w:r w:rsidRPr="004C542C">
        <w:rPr>
          <w:rFonts w:ascii="Times New Roman" w:hAnsi="Times New Roman"/>
          <w:sz w:val="24"/>
          <w:szCs w:val="24"/>
        </w:rPr>
        <w:t>, 73 AD3d 78, 87).</w:t>
      </w:r>
      <w:r>
        <w:rPr>
          <w:rFonts w:ascii="Times New Roman" w:hAnsi="Times New Roman"/>
          <w:sz w:val="24"/>
          <w:szCs w:val="24"/>
        </w:rPr>
        <w:t xml:space="preserve"> </w:t>
      </w:r>
      <w:hyperlink r:id="rId2345" w:history="1">
        <w:r w:rsidRPr="000929D2">
          <w:rPr>
            <w:rStyle w:val="Hyperlink"/>
            <w:rFonts w:ascii="Times New Roman" w:hAnsi="Times New Roman"/>
            <w:sz w:val="24"/>
            <w:szCs w:val="24"/>
          </w:rPr>
          <w:t>https://law.justia.com/cases/new-york/appellate-division-second-department/2020/2018-14386.html</w:t>
        </w:r>
      </w:hyperlink>
      <w:r>
        <w:rPr>
          <w:rFonts w:ascii="Times New Roman" w:hAnsi="Times New Roman"/>
          <w:sz w:val="24"/>
          <w:szCs w:val="24"/>
        </w:rPr>
        <w:t xml:space="preserve"> </w:t>
      </w:r>
    </w:p>
    <w:p w14:paraId="019BE7FC" w14:textId="77777777" w:rsidR="00B532F6" w:rsidRDefault="00B532F6" w:rsidP="00B532F6">
      <w:pPr>
        <w:rPr>
          <w:rFonts w:ascii="Times New Roman" w:hAnsi="Times New Roman"/>
          <w:b/>
          <w:bCs/>
          <w:sz w:val="24"/>
          <w:szCs w:val="24"/>
        </w:rPr>
      </w:pPr>
      <w:r w:rsidRPr="004C542C">
        <w:rPr>
          <w:rFonts w:ascii="Times New Roman" w:hAnsi="Times New Roman"/>
          <w:b/>
          <w:bCs/>
          <w:sz w:val="24"/>
          <w:szCs w:val="24"/>
        </w:rPr>
        <w:t xml:space="preserve">Legal Lessons Learned: </w:t>
      </w:r>
      <w:r>
        <w:rPr>
          <w:rFonts w:ascii="Times New Roman" w:hAnsi="Times New Roman"/>
          <w:b/>
          <w:bCs/>
          <w:sz w:val="24"/>
          <w:szCs w:val="24"/>
        </w:rPr>
        <w:t xml:space="preserve"> Governmental immunity normally protects the municipality from EMS liability unless proof of gross negligence or willful or wanton misconduct.  The case will now proceed to pre-trial discovery.  </w:t>
      </w:r>
    </w:p>
    <w:p w14:paraId="551F6971" w14:textId="77777777" w:rsidR="00B532F6" w:rsidRPr="000B00E6" w:rsidRDefault="00B532F6" w:rsidP="00B532F6">
      <w:pPr>
        <w:pStyle w:val="Heading2"/>
        <w:ind w:left="720"/>
        <w:rPr>
          <w:rFonts w:ascii="Times New Roman" w:hAnsi="Times New Roman"/>
          <w:b w:val="0"/>
          <w:bCs w:val="0"/>
          <w:i w:val="0"/>
          <w:iCs w:val="0"/>
          <w:sz w:val="24"/>
          <w:szCs w:val="24"/>
        </w:rPr>
      </w:pPr>
      <w:r w:rsidRPr="000B00E6">
        <w:rPr>
          <w:rFonts w:ascii="Times New Roman" w:hAnsi="Times New Roman"/>
          <w:b w:val="0"/>
          <w:bCs w:val="0"/>
          <w:i w:val="0"/>
          <w:iCs w:val="0"/>
          <w:sz w:val="24"/>
          <w:szCs w:val="24"/>
        </w:rPr>
        <w:t xml:space="preserve">Note: See Ohio Revised Code 4765.49, Emergency medical personnel and agencies - immunity. </w:t>
      </w:r>
      <w:hyperlink r:id="rId2346" w:history="1">
        <w:r w:rsidRPr="000B00E6">
          <w:rPr>
            <w:rStyle w:val="Hyperlink"/>
            <w:rFonts w:ascii="Times New Roman" w:hAnsi="Times New Roman"/>
            <w:b w:val="0"/>
            <w:bCs w:val="0"/>
            <w:i w:val="0"/>
            <w:iCs w:val="0"/>
            <w:sz w:val="24"/>
            <w:szCs w:val="24"/>
          </w:rPr>
          <w:t>https://codes.ohio.gov/orc/4765.49v1</w:t>
        </w:r>
      </w:hyperlink>
      <w:r w:rsidRPr="000B00E6">
        <w:rPr>
          <w:rFonts w:ascii="Times New Roman" w:hAnsi="Times New Roman"/>
          <w:b w:val="0"/>
          <w:bCs w:val="0"/>
          <w:i w:val="0"/>
          <w:iCs w:val="0"/>
          <w:sz w:val="24"/>
          <w:szCs w:val="24"/>
        </w:rPr>
        <w:t xml:space="preserve"> </w:t>
      </w:r>
    </w:p>
    <w:p w14:paraId="311CE50D" w14:textId="77777777" w:rsidR="00B532F6" w:rsidRDefault="00B532F6" w:rsidP="00B532F6">
      <w:pPr>
        <w:pStyle w:val="NormalWeb"/>
        <w:ind w:left="1440"/>
      </w:pPr>
      <w:r>
        <w:t xml:space="preserve">“(A) A first responder, emergency medical technician-basic, emergency medical technician-intermediate, or emergency medical technician-paramedic is not liable in damages in a civil action for injury, death, or loss to person or property resulting from the individual's administration of emergency medical services, unless the services are administered in a manner that constitutes willful or wanton misconduct. A physician, physician assistant designated by a physician, or registered nurse designated by a physician, any of whom is advising or assisting in the emergency medical services by means of any communication device or telemetering system, </w:t>
      </w:r>
      <w:r>
        <w:lastRenderedPageBreak/>
        <w:t xml:space="preserve">is not liable in damages in a civil action for injury, death, or loss to person or property resulting from the individual's advisory communication or assistance, unless the advisory communication or assistance is provided in a manner that constitutes willful or wanton misconduct. Medical directors and members of cooperating physician advisory boards of emergency medical service organizations are not liable in damages in a civil action for injury, death, or loss to person or property resulting from their acts or omissions in the performance of their duties, unless the act or omission constitutes willful or wanton misconduct. </w:t>
      </w:r>
    </w:p>
    <w:p w14:paraId="3C8BF03A" w14:textId="77777777" w:rsidR="00B532F6" w:rsidRDefault="00B532F6" w:rsidP="00B532F6">
      <w:pPr>
        <w:pStyle w:val="NormalWeb"/>
        <w:ind w:left="1440"/>
      </w:pPr>
      <w:r>
        <w:t>(B) A political subdivision, joint ambulance district, joint emergency medical services district, or other public agency, and any officer or employee of a public agency or of a private organization operating under contract or in joint agreement with one or more political subdivisions, that provides emergency medical services, or that enters into a joint agreement or a contract with the state, any political subdivision, joint ambulance district, or joint emergency medical services district for the provision of emergency medical services, is not liable in damages in a civil action for injury, death, or loss to person or property arising out of any actions taken by a first responder, EMT-basic, EMT-I, or paramedic working under the officer's or employee's jurisdiction, or for injury, death, or loss to person or property arising out of any actions of licensed medical personnel advising or assisting the first responder, EMT-basic, EMT-I, or paramedic, unless the services are provided in a manner that constitutes willful or wanton misconduct.”</w:t>
      </w:r>
    </w:p>
    <w:p w14:paraId="3664E206" w14:textId="77777777" w:rsidR="00B532F6" w:rsidRDefault="00B532F6" w:rsidP="001C563D">
      <w:pPr>
        <w:rPr>
          <w:rFonts w:ascii="Arial Black" w:hAnsi="Arial Black"/>
          <w:b/>
          <w:bCs/>
          <w:sz w:val="28"/>
          <w:szCs w:val="28"/>
        </w:rPr>
      </w:pPr>
    </w:p>
    <w:p w14:paraId="2386F71C" w14:textId="441FD9AC" w:rsidR="00B532F6" w:rsidRPr="00B532F6" w:rsidRDefault="00B532F6" w:rsidP="001C563D">
      <w:pPr>
        <w:rPr>
          <w:rFonts w:ascii="Times New Roman" w:hAnsi="Times New Roman"/>
          <w:sz w:val="24"/>
          <w:szCs w:val="24"/>
        </w:rPr>
      </w:pPr>
      <w:r>
        <w:rPr>
          <w:rFonts w:ascii="Arial Black" w:hAnsi="Arial Black"/>
          <w:b/>
          <w:bCs/>
          <w:sz w:val="28"/>
          <w:szCs w:val="28"/>
        </w:rPr>
        <w:t xml:space="preserve">13-63 </w:t>
      </w:r>
      <w:r w:rsidRPr="00B532F6">
        <w:rPr>
          <w:rFonts w:ascii="Times New Roman" w:hAnsi="Times New Roman"/>
          <w:sz w:val="24"/>
          <w:szCs w:val="24"/>
        </w:rPr>
        <w:t>[also filed, Chap. 18]</w:t>
      </w:r>
    </w:p>
    <w:p w14:paraId="2AF5AC26" w14:textId="77777777" w:rsidR="00B532F6" w:rsidRPr="004D5BFC" w:rsidRDefault="00B532F6" w:rsidP="00B532F6">
      <w:pPr>
        <w:rPr>
          <w:rFonts w:ascii="Arial Black" w:hAnsi="Arial Black"/>
          <w:sz w:val="28"/>
          <w:szCs w:val="28"/>
        </w:rPr>
      </w:pPr>
      <w:r>
        <w:rPr>
          <w:rFonts w:ascii="Arial Black" w:hAnsi="Arial Black"/>
          <w:sz w:val="28"/>
          <w:szCs w:val="28"/>
        </w:rPr>
        <w:t xml:space="preserve">OH:  TEMPORARY IMMUNITY DURING COVID-19 PANDEMIC – EMERGENCY RESPONDERS, SCHOOLS PROTECTED TORT LIABILITY  </w:t>
      </w:r>
    </w:p>
    <w:p w14:paraId="2DD9ED7F" w14:textId="77777777" w:rsidR="00B532F6" w:rsidRPr="00820E9C" w:rsidRDefault="00B532F6" w:rsidP="00B532F6">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On Sept. 14, 2020, Ohio Governor Mike DeWine signed House Bill 606 into law.  </w:t>
      </w:r>
      <w:r w:rsidRPr="00820E9C">
        <w:rPr>
          <w:rFonts w:ascii="Times New Roman" w:hAnsi="Times New Roman"/>
          <w:sz w:val="24"/>
          <w:szCs w:val="24"/>
        </w:rPr>
        <w:t xml:space="preserve">“The bill ensures civil immunity to individuals, schools, health care providers, businesses and other entities from lawsuits arising from exposure, transmission or contraction of COVID-19, or any mutation of the virus, </w:t>
      </w:r>
      <w:proofErr w:type="gramStart"/>
      <w:r w:rsidRPr="00820E9C">
        <w:rPr>
          <w:rFonts w:ascii="Times New Roman" w:hAnsi="Times New Roman"/>
          <w:sz w:val="24"/>
          <w:szCs w:val="24"/>
        </w:rPr>
        <w:t>as long as</w:t>
      </w:r>
      <w:proofErr w:type="gramEnd"/>
      <w:r w:rsidRPr="00820E9C">
        <w:rPr>
          <w:rFonts w:ascii="Times New Roman" w:hAnsi="Times New Roman"/>
          <w:sz w:val="24"/>
          <w:szCs w:val="24"/>
        </w:rPr>
        <w:t xml:space="preserve"> they were not showing reckless, intentional or willful misconduct. It also shields health care providers from liability in tort actions regarding the care and services they provide during this pandemic unless they were acting recklessly or displaying intentional </w:t>
      </w:r>
      <w:proofErr w:type="gramStart"/>
      <w:r w:rsidRPr="00820E9C">
        <w:rPr>
          <w:rFonts w:ascii="Times New Roman" w:hAnsi="Times New Roman"/>
          <w:sz w:val="24"/>
          <w:szCs w:val="24"/>
        </w:rPr>
        <w:t>misconduct.</w:t>
      </w:r>
      <w:r>
        <w:rPr>
          <w:rFonts w:ascii="Times New Roman" w:hAnsi="Times New Roman"/>
          <w:sz w:val="24"/>
          <w:szCs w:val="24"/>
        </w:rPr>
        <w:t>”</w:t>
      </w:r>
      <w:proofErr w:type="gramEnd"/>
      <w:r w:rsidRPr="00820E9C">
        <w:rPr>
          <w:rFonts w:ascii="Times New Roman" w:hAnsi="Times New Roman"/>
          <w:sz w:val="24"/>
          <w:szCs w:val="24"/>
        </w:rPr>
        <w:t xml:space="preserve"> </w:t>
      </w:r>
      <w:hyperlink r:id="rId2347" w:history="1">
        <w:r w:rsidRPr="00EA25E1">
          <w:rPr>
            <w:rStyle w:val="Hyperlink"/>
            <w:rFonts w:ascii="Times New Roman" w:hAnsi="Times New Roman"/>
            <w:sz w:val="24"/>
            <w:szCs w:val="24"/>
          </w:rPr>
          <w:t>https://www.wkbn.com/news/coronavirus/dewine-signs-law-giving-covid-19-lawsuit-immunity/</w:t>
        </w:r>
      </w:hyperlink>
      <w:r>
        <w:rPr>
          <w:rFonts w:ascii="Times New Roman" w:hAnsi="Times New Roman"/>
          <w:sz w:val="24"/>
          <w:szCs w:val="24"/>
        </w:rPr>
        <w:t xml:space="preserve">  This will be particularly helpful to FDs that host paramedic and EMS students needing “ride time” for their certifications. See the statute: </w:t>
      </w:r>
      <w:hyperlink r:id="rId2348" w:history="1">
        <w:r w:rsidRPr="00EA25E1">
          <w:rPr>
            <w:rStyle w:val="Hyperlink"/>
            <w:rFonts w:ascii="Times New Roman" w:hAnsi="Times New Roman"/>
            <w:sz w:val="24"/>
            <w:szCs w:val="24"/>
          </w:rPr>
          <w:t>https://www.hannah.com/ShowDocument.aspx?BTextID=219206</w:t>
        </w:r>
      </w:hyperlink>
      <w:r>
        <w:rPr>
          <w:rFonts w:ascii="Times New Roman" w:hAnsi="Times New Roman"/>
          <w:sz w:val="24"/>
          <w:szCs w:val="24"/>
        </w:rPr>
        <w:t xml:space="preserve"> </w:t>
      </w:r>
    </w:p>
    <w:p w14:paraId="7D943446" w14:textId="77777777" w:rsidR="00B532F6" w:rsidRDefault="00B532F6" w:rsidP="00B532F6">
      <w:pPr>
        <w:spacing w:before="100" w:beforeAutospacing="1" w:after="100" w:afterAutospacing="1" w:line="240" w:lineRule="auto"/>
        <w:rPr>
          <w:rFonts w:ascii="Times New Roman" w:eastAsia="Times New Roman" w:hAnsi="Times New Roman"/>
          <w:b/>
          <w:bCs/>
          <w:sz w:val="24"/>
          <w:szCs w:val="24"/>
        </w:rPr>
      </w:pPr>
      <w:r>
        <w:rPr>
          <w:rFonts w:ascii="Times New Roman" w:eastAsia="Times New Roman" w:hAnsi="Times New Roman"/>
          <w:b/>
          <w:bCs/>
          <w:sz w:val="24"/>
          <w:szCs w:val="24"/>
        </w:rPr>
        <w:t xml:space="preserve">Legal Lessons Learned: The statute is an excellent example of legislation providing immunity from tort liability during the pandemic for those serving others, including emergency responders.  </w:t>
      </w:r>
    </w:p>
    <w:p w14:paraId="39A64FF3" w14:textId="77777777" w:rsidR="00B532F6" w:rsidRPr="00E85202" w:rsidRDefault="00B532F6" w:rsidP="00B532F6">
      <w:pPr>
        <w:spacing w:before="100" w:beforeAutospacing="1" w:after="100" w:afterAutospacing="1" w:line="240" w:lineRule="auto"/>
        <w:ind w:left="720"/>
        <w:rPr>
          <w:rFonts w:ascii="Times New Roman" w:eastAsia="Times New Roman" w:hAnsi="Times New Roman"/>
          <w:sz w:val="24"/>
          <w:szCs w:val="24"/>
        </w:rPr>
      </w:pPr>
      <w:r w:rsidRPr="00E85202">
        <w:rPr>
          <w:rFonts w:ascii="Times New Roman" w:eastAsia="Times New Roman" w:hAnsi="Times New Roman"/>
          <w:sz w:val="24"/>
          <w:szCs w:val="24"/>
        </w:rPr>
        <w:t xml:space="preserve">Note: See legislative history: </w:t>
      </w:r>
      <w:hyperlink r:id="rId2349" w:history="1">
        <w:r w:rsidRPr="00EA25E1">
          <w:rPr>
            <w:rStyle w:val="Hyperlink"/>
            <w:rFonts w:ascii="Times New Roman" w:eastAsia="Times New Roman" w:hAnsi="Times New Roman"/>
            <w:sz w:val="24"/>
            <w:szCs w:val="24"/>
          </w:rPr>
          <w:t>https://www.legislature.ohio.gov/legislation/legislation-documents?id=GA133-HB-606</w:t>
        </w:r>
      </w:hyperlink>
      <w:r w:rsidRPr="00E85202">
        <w:rPr>
          <w:rFonts w:ascii="Times New Roman" w:eastAsia="Times New Roman" w:hAnsi="Times New Roman"/>
          <w:sz w:val="24"/>
          <w:szCs w:val="24"/>
        </w:rPr>
        <w:t xml:space="preserve"> </w:t>
      </w:r>
    </w:p>
    <w:p w14:paraId="347C9890" w14:textId="77777777" w:rsidR="00B532F6" w:rsidRDefault="00B532F6" w:rsidP="001C563D">
      <w:pPr>
        <w:rPr>
          <w:rFonts w:ascii="Arial Black" w:hAnsi="Arial Black"/>
          <w:b/>
          <w:bCs/>
          <w:sz w:val="28"/>
          <w:szCs w:val="28"/>
        </w:rPr>
      </w:pPr>
    </w:p>
    <w:p w14:paraId="45464A38" w14:textId="77777777" w:rsidR="00B532F6" w:rsidRDefault="00B532F6" w:rsidP="001C563D">
      <w:pPr>
        <w:rPr>
          <w:rFonts w:ascii="Arial Black" w:hAnsi="Arial Black"/>
          <w:b/>
          <w:bCs/>
          <w:sz w:val="28"/>
          <w:szCs w:val="28"/>
        </w:rPr>
      </w:pPr>
    </w:p>
    <w:p w14:paraId="6D00479F" w14:textId="0BC2A526" w:rsidR="00557CA2" w:rsidRDefault="00557CA2" w:rsidP="001C563D">
      <w:pPr>
        <w:rPr>
          <w:rFonts w:ascii="Arial Black" w:hAnsi="Arial Black"/>
          <w:b/>
          <w:bCs/>
          <w:sz w:val="28"/>
          <w:szCs w:val="28"/>
        </w:rPr>
      </w:pPr>
      <w:r>
        <w:rPr>
          <w:rFonts w:ascii="Arial Black" w:hAnsi="Arial Black"/>
          <w:b/>
          <w:bCs/>
          <w:sz w:val="28"/>
          <w:szCs w:val="28"/>
        </w:rPr>
        <w:lastRenderedPageBreak/>
        <w:t>13-62</w:t>
      </w:r>
    </w:p>
    <w:p w14:paraId="4016C6AA" w14:textId="77777777" w:rsidR="00557CA2" w:rsidRDefault="00557CA2" w:rsidP="00557CA2">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TX: “UNRESTRAINED” PATIENT DROPPED FROM STRETCHER – UNEVEN DRIVEWAY – NO EXPERT REPORT</w:t>
      </w:r>
    </w:p>
    <w:p w14:paraId="44D036CF" w14:textId="77777777" w:rsidR="00557CA2" w:rsidRDefault="00557CA2" w:rsidP="00557CA2">
      <w:pPr>
        <w:pStyle w:val="Heading1"/>
        <w:rPr>
          <w:b w:val="0"/>
          <w:bCs w:val="0"/>
          <w:sz w:val="24"/>
          <w:szCs w:val="24"/>
        </w:rPr>
      </w:pPr>
      <w:r>
        <w:rPr>
          <w:sz w:val="24"/>
          <w:szCs w:val="24"/>
        </w:rPr>
        <w:t xml:space="preserve"> </w:t>
      </w:r>
      <w:r>
        <w:rPr>
          <w:b w:val="0"/>
          <w:bCs w:val="0"/>
          <w:sz w:val="24"/>
          <w:szCs w:val="24"/>
        </w:rPr>
        <w:t xml:space="preserve">On Aug. 25, 2020, in City of </w:t>
      </w:r>
      <w:r>
        <w:rPr>
          <w:b w:val="0"/>
          <w:bCs w:val="0"/>
          <w:sz w:val="24"/>
          <w:szCs w:val="24"/>
          <w:u w:val="single"/>
        </w:rPr>
        <w:t>Houston v. Shirley Houston</w:t>
      </w:r>
      <w:r>
        <w:rPr>
          <w:b w:val="0"/>
          <w:bCs w:val="0"/>
          <w:sz w:val="24"/>
          <w:szCs w:val="24"/>
        </w:rPr>
        <w:t xml:space="preserve">, the Court of Appeals for the First District of Texas held (3 to 0) that the lawsuit should be dismissed, reversing a trial judge’s denial of City’s motion to dismiss. </w:t>
      </w:r>
    </w:p>
    <w:p w14:paraId="02D36EE1" w14:textId="77777777" w:rsidR="00557CA2" w:rsidRDefault="00557CA2" w:rsidP="00557CA2">
      <w:pPr>
        <w:pStyle w:val="Heading1"/>
        <w:ind w:left="720"/>
        <w:rPr>
          <w:b w:val="0"/>
          <w:bCs w:val="0"/>
          <w:sz w:val="24"/>
          <w:szCs w:val="24"/>
        </w:rPr>
      </w:pPr>
      <w:r>
        <w:rPr>
          <w:b w:val="0"/>
          <w:bCs w:val="0"/>
          <w:sz w:val="24"/>
          <w:szCs w:val="24"/>
        </w:rPr>
        <w:t>“In its sole issue, the City contends that the trial court erred in denying its motion to dismiss because Houston's claim constitutes a health care liability claim</w:t>
      </w:r>
      <w:bookmarkStart w:id="454" w:name="fn2"/>
      <w:r>
        <w:rPr>
          <w:b w:val="0"/>
          <w:bCs w:val="0"/>
          <w:sz w:val="24"/>
          <w:szCs w:val="24"/>
        </w:rPr>
        <w:fldChar w:fldCharType="begin"/>
      </w:r>
      <w:r>
        <w:rPr>
          <w:b w:val="0"/>
          <w:bCs w:val="0"/>
          <w:sz w:val="24"/>
          <w:szCs w:val="24"/>
        </w:rPr>
        <w:instrText xml:space="preserve"> HYPERLINK "https://public.fastcase.com/" \l "fr2" </w:instrText>
      </w:r>
      <w:r>
        <w:rPr>
          <w:b w:val="0"/>
          <w:bCs w:val="0"/>
          <w:sz w:val="24"/>
          <w:szCs w:val="24"/>
        </w:rPr>
      </w:r>
      <w:r>
        <w:rPr>
          <w:b w:val="0"/>
          <w:bCs w:val="0"/>
          <w:sz w:val="24"/>
          <w:szCs w:val="24"/>
        </w:rPr>
        <w:fldChar w:fldCharType="separate"/>
      </w:r>
      <w:r>
        <w:rPr>
          <w:rStyle w:val="Hyperlink"/>
          <w:rFonts w:eastAsiaTheme="majorEastAsia"/>
          <w:b w:val="0"/>
          <w:bCs w:val="0"/>
          <w:sz w:val="24"/>
          <w:szCs w:val="24"/>
          <w:vertAlign w:val="superscript"/>
        </w:rPr>
        <w:t>2</w:t>
      </w:r>
      <w:r>
        <w:rPr>
          <w:b w:val="0"/>
          <w:bCs w:val="0"/>
          <w:sz w:val="24"/>
          <w:szCs w:val="24"/>
        </w:rPr>
        <w:fldChar w:fldCharType="end"/>
      </w:r>
      <w:bookmarkEnd w:id="454"/>
      <w:r>
        <w:rPr>
          <w:b w:val="0"/>
          <w:bCs w:val="0"/>
          <w:sz w:val="24"/>
          <w:szCs w:val="24"/>
        </w:rPr>
        <w:t xml:space="preserve"> and she failed to serve it with a </w:t>
      </w:r>
      <w:proofErr w:type="gramStart"/>
      <w:r>
        <w:rPr>
          <w:b w:val="0"/>
          <w:bCs w:val="0"/>
          <w:sz w:val="24"/>
          <w:szCs w:val="24"/>
        </w:rPr>
        <w:t>statutorily-required</w:t>
      </w:r>
      <w:proofErr w:type="gramEnd"/>
      <w:r>
        <w:rPr>
          <w:b w:val="0"/>
          <w:bCs w:val="0"/>
          <w:sz w:val="24"/>
          <w:szCs w:val="24"/>
        </w:rPr>
        <w:t xml:space="preserve"> expert report.</w:t>
      </w:r>
      <w:r>
        <w:rPr>
          <w:b w:val="0"/>
          <w:bCs w:val="0"/>
          <w:sz w:val="24"/>
          <w:szCs w:val="24"/>
          <w:vertAlign w:val="superscript"/>
        </w:rPr>
        <w:t xml:space="preserve"> *** </w:t>
      </w:r>
      <w:r>
        <w:rPr>
          <w:b w:val="0"/>
          <w:bCs w:val="0"/>
          <w:sz w:val="24"/>
          <w:szCs w:val="24"/>
        </w:rPr>
        <w:t xml:space="preserve">Here, the allegations in Houston's first amended petition show that her claim is against a health care provider and is based on facts that implicate the defendant's conduct </w:t>
      </w:r>
      <w:proofErr w:type="gramStart"/>
      <w:r>
        <w:rPr>
          <w:b w:val="0"/>
          <w:bCs w:val="0"/>
          <w:sz w:val="24"/>
          <w:szCs w:val="24"/>
        </w:rPr>
        <w:t>during the course of</w:t>
      </w:r>
      <w:proofErr w:type="gramEnd"/>
      <w:r>
        <w:rPr>
          <w:b w:val="0"/>
          <w:bCs w:val="0"/>
          <w:sz w:val="24"/>
          <w:szCs w:val="24"/>
        </w:rPr>
        <w:t xml:space="preserve"> a patient's care, treatment, or confinement….  Thus, [the Plaintiff] bore the burden of rebutting the presumption that her claim against the City was a health care liability claim…. She has not done so.” </w:t>
      </w:r>
      <w:hyperlink r:id="rId2350" w:history="1">
        <w:r>
          <w:rPr>
            <w:rStyle w:val="Hyperlink"/>
            <w:rFonts w:eastAsiaTheme="majorEastAsia"/>
            <w:b w:val="0"/>
            <w:bCs w:val="0"/>
            <w:sz w:val="24"/>
            <w:szCs w:val="24"/>
          </w:rPr>
          <w:t>https://law.justia.com/cases/texas/first-court-of-appeals/2020/01-19-00255-cv.html</w:t>
        </w:r>
      </w:hyperlink>
      <w:r>
        <w:rPr>
          <w:b w:val="0"/>
          <w:bCs w:val="0"/>
          <w:sz w:val="24"/>
          <w:szCs w:val="24"/>
        </w:rPr>
        <w:t xml:space="preserve"> </w:t>
      </w:r>
    </w:p>
    <w:p w14:paraId="0E5BE7E5" w14:textId="77777777" w:rsidR="00CD02AE" w:rsidRDefault="00CD02AE" w:rsidP="00CD02AE">
      <w:pPr>
        <w:spacing w:before="100" w:beforeAutospacing="1" w:after="100" w:afterAutospacing="1" w:line="240" w:lineRule="auto"/>
        <w:rPr>
          <w:rFonts w:ascii="Times New Roman" w:eastAsia="Times New Roman" w:hAnsi="Times New Roman"/>
          <w:b/>
          <w:bCs/>
          <w:sz w:val="24"/>
          <w:szCs w:val="24"/>
        </w:rPr>
      </w:pPr>
      <w:r>
        <w:rPr>
          <w:rFonts w:ascii="Times New Roman" w:eastAsia="Times New Roman" w:hAnsi="Times New Roman"/>
          <w:b/>
          <w:bCs/>
          <w:sz w:val="24"/>
          <w:szCs w:val="24"/>
        </w:rPr>
        <w:t xml:space="preserve">Legal Lessons Learned:  When moving a patient on a stretcher from her home the patient must be “secured” to the stretcher and extreme caution must be exercised.  </w:t>
      </w:r>
    </w:p>
    <w:p w14:paraId="43A8DC43" w14:textId="77777777" w:rsidR="00557CA2" w:rsidRDefault="00557CA2" w:rsidP="001C563D">
      <w:pPr>
        <w:rPr>
          <w:rFonts w:ascii="Arial Black" w:hAnsi="Arial Black"/>
          <w:b/>
          <w:bCs/>
          <w:sz w:val="28"/>
          <w:szCs w:val="28"/>
        </w:rPr>
      </w:pPr>
    </w:p>
    <w:p w14:paraId="2ECCBAD4" w14:textId="77777777" w:rsidR="00557CA2" w:rsidRDefault="00557CA2" w:rsidP="001C563D">
      <w:pPr>
        <w:rPr>
          <w:rFonts w:ascii="Arial Black" w:hAnsi="Arial Black"/>
          <w:b/>
          <w:bCs/>
          <w:sz w:val="28"/>
          <w:szCs w:val="28"/>
        </w:rPr>
      </w:pPr>
    </w:p>
    <w:p w14:paraId="0497B739" w14:textId="3EC88CC2" w:rsidR="001C563D" w:rsidRPr="007105B3" w:rsidRDefault="007105B3" w:rsidP="001C563D">
      <w:pPr>
        <w:rPr>
          <w:rFonts w:ascii="Times New Roman" w:hAnsi="Times New Roman"/>
          <w:bCs/>
          <w:sz w:val="24"/>
          <w:szCs w:val="24"/>
        </w:rPr>
      </w:pPr>
      <w:r>
        <w:rPr>
          <w:rFonts w:ascii="Arial Black" w:hAnsi="Arial Black"/>
          <w:b/>
          <w:bCs/>
          <w:sz w:val="28"/>
          <w:szCs w:val="28"/>
        </w:rPr>
        <w:t>13-</w:t>
      </w:r>
      <w:r w:rsidR="001C563D">
        <w:rPr>
          <w:rFonts w:ascii="Arial Black" w:hAnsi="Arial Black"/>
          <w:b/>
          <w:bCs/>
          <w:sz w:val="28"/>
          <w:szCs w:val="28"/>
        </w:rPr>
        <w:t>6</w:t>
      </w:r>
      <w:r w:rsidR="001A653A">
        <w:rPr>
          <w:rFonts w:ascii="Arial Black" w:hAnsi="Arial Black"/>
          <w:b/>
          <w:bCs/>
          <w:sz w:val="28"/>
          <w:szCs w:val="28"/>
        </w:rPr>
        <w:t>1</w:t>
      </w:r>
      <w:r w:rsidR="001C563D">
        <w:rPr>
          <w:rFonts w:ascii="Arial Black" w:hAnsi="Arial Black"/>
          <w:b/>
          <w:bCs/>
          <w:sz w:val="28"/>
          <w:szCs w:val="28"/>
        </w:rPr>
        <w:t xml:space="preserve"> </w:t>
      </w:r>
      <w:r w:rsidR="001C563D" w:rsidRPr="007105B3">
        <w:rPr>
          <w:rFonts w:ascii="Times New Roman" w:hAnsi="Times New Roman"/>
          <w:bCs/>
          <w:sz w:val="24"/>
          <w:szCs w:val="24"/>
        </w:rPr>
        <w:t xml:space="preserve">[Also filed, Chap. </w:t>
      </w:r>
      <w:r w:rsidR="001C563D">
        <w:rPr>
          <w:rFonts w:ascii="Times New Roman" w:hAnsi="Times New Roman"/>
          <w:bCs/>
          <w:sz w:val="24"/>
          <w:szCs w:val="24"/>
        </w:rPr>
        <w:t>5</w:t>
      </w:r>
      <w:r w:rsidR="001C563D" w:rsidRPr="007105B3">
        <w:rPr>
          <w:rFonts w:ascii="Times New Roman" w:hAnsi="Times New Roman"/>
          <w:bCs/>
          <w:sz w:val="24"/>
          <w:szCs w:val="24"/>
        </w:rPr>
        <w:t>]</w:t>
      </w:r>
    </w:p>
    <w:p w14:paraId="7DE34904" w14:textId="77777777" w:rsidR="007105B3" w:rsidRDefault="007105B3" w:rsidP="007105B3">
      <w:pPr>
        <w:pStyle w:val="NoSpacing"/>
        <w:rPr>
          <w:rFonts w:ascii="Arial Black" w:hAnsi="Arial Black"/>
          <w:sz w:val="28"/>
          <w:szCs w:val="28"/>
        </w:rPr>
      </w:pPr>
      <w:r w:rsidRPr="00284D4F">
        <w:rPr>
          <w:rFonts w:ascii="Arial Black" w:hAnsi="Arial Black"/>
          <w:sz w:val="28"/>
          <w:szCs w:val="28"/>
        </w:rPr>
        <w:t xml:space="preserve">IL: </w:t>
      </w:r>
      <w:r>
        <w:rPr>
          <w:rFonts w:ascii="Arial Black" w:hAnsi="Arial Black"/>
          <w:sz w:val="28"/>
          <w:szCs w:val="28"/>
        </w:rPr>
        <w:t>PRIVATE AMBULANCE – RAN RED LIGHT WHEN DRIVING TO NON-EMERGENCY TRANSPORT - NO IMMUNITY</w:t>
      </w:r>
    </w:p>
    <w:p w14:paraId="1375197D" w14:textId="77777777" w:rsidR="007105B3" w:rsidRDefault="007105B3" w:rsidP="007105B3">
      <w:pPr>
        <w:pStyle w:val="NoSpacing"/>
        <w:rPr>
          <w:rFonts w:ascii="Arial Black" w:hAnsi="Arial Black"/>
          <w:sz w:val="28"/>
          <w:szCs w:val="28"/>
        </w:rPr>
      </w:pPr>
    </w:p>
    <w:p w14:paraId="0E5F8DC8" w14:textId="77777777" w:rsidR="007105B3" w:rsidRPr="00700A10" w:rsidRDefault="007105B3" w:rsidP="007105B3">
      <w:pPr>
        <w:pStyle w:val="NoSpacing"/>
        <w:rPr>
          <w:rFonts w:ascii="Times New Roman" w:hAnsi="Times New Roman"/>
          <w:sz w:val="24"/>
          <w:szCs w:val="24"/>
        </w:rPr>
      </w:pPr>
      <w:r w:rsidRPr="00284D4F">
        <w:rPr>
          <w:rFonts w:ascii="Times New Roman" w:hAnsi="Times New Roman"/>
          <w:sz w:val="24"/>
          <w:szCs w:val="24"/>
        </w:rPr>
        <w:t xml:space="preserve">On </w:t>
      </w:r>
      <w:r>
        <w:rPr>
          <w:rFonts w:ascii="Times New Roman" w:hAnsi="Times New Roman"/>
          <w:sz w:val="24"/>
          <w:szCs w:val="24"/>
        </w:rPr>
        <w:t xml:space="preserve">June 18, 2020, in </w:t>
      </w:r>
      <w:r w:rsidRPr="00284D4F">
        <w:rPr>
          <w:rFonts w:ascii="Times New Roman" w:hAnsi="Times New Roman"/>
          <w:sz w:val="24"/>
          <w:szCs w:val="24"/>
          <w:u w:val="single"/>
        </w:rPr>
        <w:t>Roberto Hernandez v. Lifeline Ambulance, LLC, et al</w:t>
      </w:r>
      <w:r>
        <w:rPr>
          <w:rFonts w:ascii="Times New Roman" w:hAnsi="Times New Roman"/>
          <w:sz w:val="24"/>
          <w:szCs w:val="24"/>
        </w:rPr>
        <w:t xml:space="preserve">., the Supreme Court of State of Illinois, held (4 to 3) that the private ambulance driver and his employer are not protected under the state’s EMS immunity statute when the ambulance driver, on a non-emergency run without lights or siren, ran a red light and injured the driver of another vehicle. The ambulance had been dispatched </w:t>
      </w:r>
      <w:r w:rsidRPr="00700A10">
        <w:rPr>
          <w:rFonts w:ascii="Times New Roman" w:hAnsi="Times New Roman"/>
          <w:sz w:val="24"/>
          <w:szCs w:val="24"/>
        </w:rPr>
        <w:t>to pick up a patient for nonemergency medical transport from Symphony at Aria Post Acute Care in Hillside to Villa Park Home Dialysis in Villa Park</w:t>
      </w:r>
      <w:r>
        <w:rPr>
          <w:rFonts w:ascii="Times New Roman" w:hAnsi="Times New Roman"/>
          <w:sz w:val="24"/>
          <w:szCs w:val="24"/>
        </w:rPr>
        <w:t>. The Court’s majority held: “</w:t>
      </w:r>
      <w:r w:rsidRPr="00700A10">
        <w:rPr>
          <w:rFonts w:ascii="Times New Roman" w:hAnsi="Times New Roman"/>
          <w:sz w:val="24"/>
          <w:szCs w:val="24"/>
        </w:rPr>
        <w:t xml:space="preserve">The issue presented is whether section 3.150 of the Emergency Medical Services Systems Act (EMS Act) (210 ILCS 50/3.150 (West 2016)) provides immunity from liability—to an ambulance owner and its driver—stemming from a motor-vehicle accident caused by the negligent operation of the ambulance while </w:t>
      </w:r>
      <w:proofErr w:type="spellStart"/>
      <w:r w:rsidRPr="00700A10">
        <w:rPr>
          <w:rFonts w:ascii="Times New Roman" w:hAnsi="Times New Roman"/>
          <w:sz w:val="24"/>
          <w:szCs w:val="24"/>
        </w:rPr>
        <w:t>en</w:t>
      </w:r>
      <w:proofErr w:type="spellEnd"/>
      <w:r w:rsidRPr="00700A10">
        <w:rPr>
          <w:rFonts w:ascii="Times New Roman" w:hAnsi="Times New Roman"/>
          <w:sz w:val="24"/>
          <w:szCs w:val="24"/>
        </w:rPr>
        <w:t xml:space="preserve"> route to pick up a patient for nonemergency transportation. We answer this question in the negative, holding that defendants are not immune from liability under the circumstances of this case.</w:t>
      </w:r>
      <w:r>
        <w:rPr>
          <w:rFonts w:ascii="Times New Roman" w:hAnsi="Times New Roman"/>
          <w:sz w:val="24"/>
          <w:szCs w:val="24"/>
        </w:rPr>
        <w:t xml:space="preserve">” </w:t>
      </w:r>
      <w:hyperlink r:id="rId2351" w:history="1">
        <w:r w:rsidRPr="005B0C9C">
          <w:rPr>
            <w:rStyle w:val="Hyperlink"/>
            <w:rFonts w:ascii="Times New Roman" w:hAnsi="Times New Roman"/>
            <w:sz w:val="24"/>
            <w:szCs w:val="24"/>
          </w:rPr>
          <w:t>https://courts.illinois.gov/Opinions/SupremeCourt/2020/124610.pdf</w:t>
        </w:r>
      </w:hyperlink>
      <w:r>
        <w:rPr>
          <w:rFonts w:ascii="Times New Roman" w:hAnsi="Times New Roman"/>
          <w:sz w:val="24"/>
          <w:szCs w:val="24"/>
        </w:rPr>
        <w:t xml:space="preserve"> </w:t>
      </w:r>
    </w:p>
    <w:p w14:paraId="02CEDC12" w14:textId="77777777" w:rsidR="007105B3" w:rsidRPr="00700A10" w:rsidRDefault="007105B3" w:rsidP="007105B3">
      <w:pPr>
        <w:pStyle w:val="NoSpacing"/>
        <w:rPr>
          <w:rFonts w:ascii="Times New Roman" w:hAnsi="Times New Roman"/>
          <w:sz w:val="24"/>
          <w:szCs w:val="24"/>
        </w:rPr>
      </w:pPr>
    </w:p>
    <w:p w14:paraId="54DD4AAC" w14:textId="77777777" w:rsidR="007105B3" w:rsidRPr="00700A10" w:rsidRDefault="007105B3" w:rsidP="007105B3">
      <w:pPr>
        <w:pStyle w:val="NoSpacing"/>
        <w:rPr>
          <w:rFonts w:ascii="Times New Roman" w:hAnsi="Times New Roman"/>
          <w:b/>
          <w:bCs/>
          <w:sz w:val="24"/>
          <w:szCs w:val="24"/>
        </w:rPr>
      </w:pPr>
      <w:r w:rsidRPr="00700A10">
        <w:rPr>
          <w:rFonts w:ascii="Times New Roman" w:hAnsi="Times New Roman"/>
          <w:b/>
          <w:bCs/>
          <w:sz w:val="24"/>
          <w:szCs w:val="24"/>
        </w:rPr>
        <w:t>Legal Lessons Learned:</w:t>
      </w:r>
      <w:r>
        <w:rPr>
          <w:rFonts w:ascii="Times New Roman" w:hAnsi="Times New Roman"/>
          <w:b/>
          <w:bCs/>
          <w:sz w:val="24"/>
          <w:szCs w:val="24"/>
        </w:rPr>
        <w:t xml:space="preserve"> EMS driving running a red light for a non-emergency transport should be held responsible, along with his company, for his negligent conduct. </w:t>
      </w:r>
    </w:p>
    <w:p w14:paraId="488681CD" w14:textId="77777777" w:rsidR="007105B3" w:rsidRDefault="007105B3" w:rsidP="007105B3">
      <w:pPr>
        <w:pStyle w:val="NoSpacing"/>
        <w:rPr>
          <w:rFonts w:ascii="Times New Roman" w:hAnsi="Times New Roman"/>
          <w:sz w:val="24"/>
          <w:szCs w:val="24"/>
        </w:rPr>
      </w:pPr>
    </w:p>
    <w:p w14:paraId="6B2E73BB" w14:textId="77777777" w:rsidR="007105B3" w:rsidRPr="005262A7" w:rsidRDefault="007105B3" w:rsidP="007105B3">
      <w:pPr>
        <w:pStyle w:val="NoSpacing"/>
        <w:ind w:firstLine="720"/>
        <w:rPr>
          <w:rFonts w:ascii="Times New Roman" w:hAnsi="Times New Roman"/>
          <w:sz w:val="24"/>
          <w:szCs w:val="24"/>
        </w:rPr>
      </w:pPr>
      <w:r w:rsidRPr="005262A7">
        <w:rPr>
          <w:rFonts w:ascii="Times New Roman" w:hAnsi="Times New Roman"/>
          <w:sz w:val="24"/>
          <w:szCs w:val="24"/>
        </w:rPr>
        <w:t xml:space="preserve">Note: Three dissenting Justices </w:t>
      </w:r>
      <w:r>
        <w:rPr>
          <w:rFonts w:ascii="Times New Roman" w:hAnsi="Times New Roman"/>
          <w:sz w:val="24"/>
          <w:szCs w:val="24"/>
        </w:rPr>
        <w:t>disagreed:</w:t>
      </w:r>
    </w:p>
    <w:p w14:paraId="701ABA1A" w14:textId="77777777" w:rsidR="007105B3" w:rsidRDefault="007105B3" w:rsidP="007105B3">
      <w:pPr>
        <w:pStyle w:val="NoSpacing"/>
        <w:ind w:left="720"/>
        <w:rPr>
          <w:rFonts w:ascii="Times New Roman" w:hAnsi="Times New Roman"/>
          <w:sz w:val="24"/>
          <w:szCs w:val="24"/>
        </w:rPr>
      </w:pPr>
    </w:p>
    <w:p w14:paraId="4C626A4F" w14:textId="77777777" w:rsidR="007105B3" w:rsidRDefault="007105B3" w:rsidP="007105B3">
      <w:pPr>
        <w:pStyle w:val="NoSpacing"/>
        <w:ind w:left="720"/>
      </w:pPr>
      <w:r>
        <w:rPr>
          <w:rFonts w:ascii="Times New Roman" w:hAnsi="Times New Roman"/>
          <w:sz w:val="24"/>
          <w:szCs w:val="24"/>
        </w:rPr>
        <w:t>“</w:t>
      </w:r>
      <w:r w:rsidRPr="005262A7">
        <w:rPr>
          <w:rFonts w:ascii="Times New Roman" w:hAnsi="Times New Roman"/>
          <w:sz w:val="24"/>
          <w:szCs w:val="24"/>
        </w:rPr>
        <w:t xml:space="preserve">In the case at bar, at the time of the accident, Nicholas was rendering nonemergency medical services in the normal course of conducting his duties. Nicholas was in the process of responding to a dispatch to transport a patient to a health care facility. Driving to the patient was preparatory for and integral to </w:t>
      </w:r>
      <w:r w:rsidRPr="005262A7">
        <w:rPr>
          <w:rFonts w:ascii="Times New Roman" w:hAnsi="Times New Roman"/>
          <w:sz w:val="24"/>
          <w:szCs w:val="24"/>
        </w:rPr>
        <w:lastRenderedPageBreak/>
        <w:t xml:space="preserve">delivering the medical service. Further, the accident occurred before transporting the patient to a health care facility and during defendant’s driving in response to the dispatch. Therefore, absent willful and wanton misconduct, section 3.150(a) of the EMS Act immunizes defendants for their alleged negligent acts or omissions while providing nonemergency medical </w:t>
      </w:r>
      <w:proofErr w:type="gramStart"/>
      <w:r w:rsidRPr="005262A7">
        <w:rPr>
          <w:rFonts w:ascii="Times New Roman" w:hAnsi="Times New Roman"/>
          <w:sz w:val="24"/>
          <w:szCs w:val="24"/>
        </w:rPr>
        <w:t>services</w:t>
      </w:r>
      <w:r>
        <w:t>.”</w:t>
      </w:r>
      <w:proofErr w:type="gramEnd"/>
    </w:p>
    <w:p w14:paraId="76954412" w14:textId="77777777" w:rsidR="007105B3" w:rsidRDefault="007105B3" w:rsidP="007105B3">
      <w:pPr>
        <w:pStyle w:val="NoSpacing"/>
        <w:ind w:left="720"/>
      </w:pPr>
    </w:p>
    <w:p w14:paraId="5ACF48C8" w14:textId="0412504F" w:rsidR="001C563D" w:rsidRDefault="001C563D" w:rsidP="002B1283">
      <w:pPr>
        <w:rPr>
          <w:rFonts w:ascii="Arial Black" w:hAnsi="Arial Black"/>
          <w:b/>
          <w:bCs/>
          <w:sz w:val="28"/>
          <w:szCs w:val="28"/>
        </w:rPr>
      </w:pPr>
      <w:r>
        <w:rPr>
          <w:rFonts w:ascii="Arial Black" w:hAnsi="Arial Black"/>
          <w:b/>
          <w:bCs/>
          <w:sz w:val="28"/>
          <w:szCs w:val="28"/>
        </w:rPr>
        <w:t>13-</w:t>
      </w:r>
      <w:r w:rsidR="001A653A">
        <w:rPr>
          <w:rFonts w:ascii="Arial Black" w:hAnsi="Arial Black"/>
          <w:b/>
          <w:bCs/>
          <w:sz w:val="28"/>
          <w:szCs w:val="28"/>
        </w:rPr>
        <w:t>60</w:t>
      </w:r>
    </w:p>
    <w:p w14:paraId="24AED9DB" w14:textId="77777777" w:rsidR="001C563D" w:rsidRDefault="001C563D" w:rsidP="001C563D">
      <w:pPr>
        <w:pStyle w:val="NoSpacing"/>
        <w:rPr>
          <w:rFonts w:ascii="Arial Black" w:hAnsi="Arial Black"/>
          <w:sz w:val="28"/>
          <w:szCs w:val="28"/>
        </w:rPr>
      </w:pPr>
      <w:r w:rsidRPr="00371841">
        <w:rPr>
          <w:rFonts w:ascii="Arial Black" w:hAnsi="Arial Black"/>
          <w:sz w:val="28"/>
          <w:szCs w:val="28"/>
        </w:rPr>
        <w:t xml:space="preserve">MD: </w:t>
      </w:r>
      <w:r>
        <w:rPr>
          <w:rFonts w:ascii="Arial Black" w:hAnsi="Arial Black"/>
          <w:sz w:val="28"/>
          <w:szCs w:val="28"/>
        </w:rPr>
        <w:t xml:space="preserve"> EMS GAVE NARCAN TO UNCONSCIOUS 21-YR-OLD –STAUTORY IMMUNITY, NO GROSS NEGLIGENCE – NO HARM</w:t>
      </w:r>
    </w:p>
    <w:p w14:paraId="62E863C6" w14:textId="77777777" w:rsidR="001C563D" w:rsidRDefault="001C563D" w:rsidP="001C563D">
      <w:pPr>
        <w:pStyle w:val="NoSpacing"/>
        <w:rPr>
          <w:rFonts w:ascii="Times New Roman" w:hAnsi="Times New Roman"/>
          <w:sz w:val="24"/>
          <w:szCs w:val="24"/>
        </w:rPr>
      </w:pPr>
    </w:p>
    <w:p w14:paraId="1939C023" w14:textId="20D05FBD" w:rsidR="001C563D" w:rsidRDefault="001C563D" w:rsidP="001C563D">
      <w:pPr>
        <w:pStyle w:val="NoSpacing"/>
        <w:rPr>
          <w:rFonts w:ascii="Times New Roman" w:hAnsi="Times New Roman"/>
          <w:sz w:val="24"/>
          <w:szCs w:val="24"/>
        </w:rPr>
      </w:pPr>
      <w:r w:rsidRPr="00E03396">
        <w:rPr>
          <w:rFonts w:ascii="Times New Roman" w:hAnsi="Times New Roman"/>
          <w:sz w:val="24"/>
          <w:szCs w:val="24"/>
        </w:rPr>
        <w:t xml:space="preserve">On </w:t>
      </w:r>
      <w:r>
        <w:rPr>
          <w:rFonts w:ascii="Times New Roman" w:hAnsi="Times New Roman"/>
          <w:sz w:val="24"/>
          <w:szCs w:val="24"/>
        </w:rPr>
        <w:t xml:space="preserve">June 16, 2020, in </w:t>
      </w:r>
      <w:r w:rsidRPr="00E03396">
        <w:rPr>
          <w:rFonts w:ascii="Times New Roman" w:hAnsi="Times New Roman"/>
          <w:sz w:val="24"/>
          <w:szCs w:val="24"/>
          <w:u w:val="single"/>
        </w:rPr>
        <w:t>Octavia T. Coit v. Nicole Nappi, et al</w:t>
      </w:r>
      <w:r>
        <w:rPr>
          <w:rFonts w:ascii="Times New Roman" w:hAnsi="Times New Roman"/>
          <w:sz w:val="24"/>
          <w:szCs w:val="24"/>
        </w:rPr>
        <w:t>., the Court of Special Appeals of Maryland (unreported decision), held that the Paramedic, the EMT, and Baltimore County were all properly dismissed from this lawsuit by the trial judge.  The Court ruled: “</w:t>
      </w:r>
      <w:r w:rsidRPr="00E03396">
        <w:rPr>
          <w:rFonts w:ascii="Times New Roman" w:hAnsi="Times New Roman"/>
          <w:sz w:val="24"/>
          <w:szCs w:val="24"/>
        </w:rPr>
        <w:t>Paramedic Nappi and EMT Jackson are entitled to statutory immunity based on</w:t>
      </w:r>
    </w:p>
    <w:p w14:paraId="578CCD04" w14:textId="77777777" w:rsidR="001C563D" w:rsidRPr="00E03396" w:rsidRDefault="001C563D" w:rsidP="001C563D">
      <w:pPr>
        <w:pStyle w:val="NoSpacing"/>
        <w:rPr>
          <w:rFonts w:ascii="Times New Roman" w:eastAsia="Times New Roman" w:hAnsi="Times New Roman"/>
          <w:b/>
          <w:bCs/>
          <w:sz w:val="24"/>
          <w:szCs w:val="24"/>
        </w:rPr>
      </w:pPr>
      <w:r w:rsidRPr="00E03396">
        <w:rPr>
          <w:rFonts w:ascii="Times New Roman" w:hAnsi="Times New Roman"/>
          <w:sz w:val="24"/>
          <w:szCs w:val="24"/>
        </w:rPr>
        <w:t>the Good Samaritan Act and the Fire &amp; Rescue Companies Act because their conduct was neither willful nor grossly negligent. Baltimore County is entitled to governmental immunity under the [LGTCA]because there is no basis for any direct claims against it.</w:t>
      </w:r>
      <w:r>
        <w:t xml:space="preserve"> *** </w:t>
      </w:r>
      <w:r w:rsidRPr="00E03396">
        <w:rPr>
          <w:rFonts w:ascii="Times New Roman" w:hAnsi="Times New Roman"/>
          <w:sz w:val="24"/>
          <w:szCs w:val="24"/>
        </w:rPr>
        <w:t>[</w:t>
      </w:r>
      <w:r>
        <w:rPr>
          <w:rFonts w:ascii="Times New Roman" w:hAnsi="Times New Roman"/>
          <w:sz w:val="24"/>
          <w:szCs w:val="24"/>
        </w:rPr>
        <w:t>Plaintiffs] c</w:t>
      </w:r>
      <w:r w:rsidRPr="00E03396">
        <w:rPr>
          <w:rFonts w:ascii="Times New Roman" w:hAnsi="Times New Roman"/>
          <w:sz w:val="24"/>
          <w:szCs w:val="24"/>
        </w:rPr>
        <w:t>ontend that the administration of Narcan was unnecessary because there was no specific indication that Mr. Coit was experiencing an opioid overdose. The Court understands and appreciates Mr. Coit’s family’s concern over a misperception that he was using drugs. The evidence demonstrates, however, that, regardless of how unnecessary the administration of Narcan may have been, there are no applicable contraindications for someone who did not overdose on opioids, and that Narcan does not otherwise harm someone to whom it is administered. Even if Paramedic Nappi and EMT Jackson were, in some way, negligent in their assessment and treatment of Mr. Coit, which the Court is not suggesting, there is not sufficient evidence of gross negligence regarding their post-arrival conduct.</w:t>
      </w:r>
      <w:r>
        <w:rPr>
          <w:rFonts w:ascii="Times New Roman" w:hAnsi="Times New Roman"/>
          <w:sz w:val="24"/>
          <w:szCs w:val="24"/>
        </w:rPr>
        <w:t>”</w:t>
      </w:r>
    </w:p>
    <w:p w14:paraId="4FA1E52C" w14:textId="77777777" w:rsidR="001C563D" w:rsidRPr="00E03396" w:rsidRDefault="001C563D" w:rsidP="001C563D">
      <w:pPr>
        <w:pStyle w:val="NoSpacing"/>
        <w:rPr>
          <w:rFonts w:ascii="Times New Roman" w:hAnsi="Times New Roman"/>
          <w:sz w:val="24"/>
          <w:szCs w:val="24"/>
        </w:rPr>
      </w:pPr>
      <w:r>
        <w:t xml:space="preserve"> </w:t>
      </w:r>
      <w:hyperlink r:id="rId2352" w:history="1">
        <w:r w:rsidRPr="00E03396">
          <w:rPr>
            <w:rStyle w:val="Hyperlink"/>
            <w:rFonts w:ascii="Times New Roman" w:hAnsi="Times New Roman"/>
            <w:sz w:val="24"/>
            <w:szCs w:val="24"/>
          </w:rPr>
          <w:t>https://www.courts.state.md.us/sites/default/files/unreported-opinions/0318s19.pdf</w:t>
        </w:r>
      </w:hyperlink>
      <w:r w:rsidRPr="00E03396">
        <w:rPr>
          <w:rFonts w:ascii="Times New Roman" w:hAnsi="Times New Roman"/>
          <w:sz w:val="24"/>
          <w:szCs w:val="24"/>
        </w:rPr>
        <w:t xml:space="preserve"> </w:t>
      </w:r>
      <w:hyperlink r:id="rId2353" w:history="1">
        <w:r w:rsidR="00814FB6">
          <w:rPr>
            <w:rStyle w:val="Hyperlink"/>
          </w:rPr>
          <w:t>https://www.courts.state.md.us/sites/default/files/unreported-opinions/0318s19.pdf</w:t>
        </w:r>
      </w:hyperlink>
      <w:r w:rsidRPr="00E03396">
        <w:rPr>
          <w:rFonts w:ascii="Times New Roman" w:hAnsi="Times New Roman"/>
          <w:sz w:val="24"/>
          <w:szCs w:val="24"/>
        </w:rPr>
        <w:t xml:space="preserve">  </w:t>
      </w:r>
    </w:p>
    <w:p w14:paraId="16D25F05" w14:textId="77777777" w:rsidR="001C563D" w:rsidRDefault="001C563D" w:rsidP="001C563D">
      <w:pPr>
        <w:pStyle w:val="NoSpacing"/>
        <w:rPr>
          <w:rFonts w:ascii="Times New Roman" w:hAnsi="Times New Roman"/>
          <w:b/>
          <w:bCs/>
          <w:sz w:val="24"/>
          <w:szCs w:val="24"/>
        </w:rPr>
      </w:pPr>
    </w:p>
    <w:p w14:paraId="5CE3BCE5" w14:textId="78635C21" w:rsidR="001C563D" w:rsidRPr="00E03396" w:rsidRDefault="001C563D" w:rsidP="001C563D">
      <w:pPr>
        <w:pStyle w:val="NoSpacing"/>
        <w:rPr>
          <w:rFonts w:ascii="Times New Roman" w:hAnsi="Times New Roman"/>
          <w:b/>
          <w:bCs/>
          <w:sz w:val="24"/>
          <w:szCs w:val="24"/>
        </w:rPr>
      </w:pPr>
      <w:r w:rsidRPr="00E03396">
        <w:rPr>
          <w:rFonts w:ascii="Times New Roman" w:hAnsi="Times New Roman"/>
          <w:b/>
          <w:bCs/>
          <w:sz w:val="24"/>
          <w:szCs w:val="24"/>
        </w:rPr>
        <w:t>Legal Lessons Learned:</w:t>
      </w:r>
      <w:r>
        <w:rPr>
          <w:rFonts w:ascii="Times New Roman" w:hAnsi="Times New Roman"/>
          <w:b/>
          <w:bCs/>
          <w:sz w:val="24"/>
          <w:szCs w:val="24"/>
        </w:rPr>
        <w:t xml:space="preserve"> Finding unconscious 21-year-old in basement, one can understand why EMS used Narcan. </w:t>
      </w:r>
    </w:p>
    <w:p w14:paraId="47D1F654" w14:textId="77777777" w:rsidR="001C563D" w:rsidRDefault="001C563D" w:rsidP="002B1283">
      <w:pPr>
        <w:rPr>
          <w:rFonts w:ascii="Arial Black" w:hAnsi="Arial Black"/>
          <w:b/>
          <w:bCs/>
          <w:sz w:val="28"/>
          <w:szCs w:val="28"/>
        </w:rPr>
      </w:pPr>
    </w:p>
    <w:p w14:paraId="6C68C17A" w14:textId="77777777" w:rsidR="001A653A" w:rsidRDefault="001A653A" w:rsidP="002B1283">
      <w:pPr>
        <w:rPr>
          <w:rFonts w:ascii="Arial Black" w:hAnsi="Arial Black"/>
          <w:b/>
          <w:bCs/>
          <w:sz w:val="28"/>
          <w:szCs w:val="28"/>
        </w:rPr>
      </w:pPr>
    </w:p>
    <w:p w14:paraId="0D71DCDD" w14:textId="0C2DDC67" w:rsidR="001A653A" w:rsidRDefault="001A653A" w:rsidP="002B1283">
      <w:pPr>
        <w:rPr>
          <w:rFonts w:ascii="Arial Black" w:hAnsi="Arial Black"/>
          <w:b/>
          <w:bCs/>
          <w:sz w:val="28"/>
          <w:szCs w:val="28"/>
        </w:rPr>
      </w:pPr>
      <w:r>
        <w:rPr>
          <w:rFonts w:ascii="Arial Black" w:hAnsi="Arial Black"/>
          <w:b/>
          <w:bCs/>
          <w:sz w:val="28"/>
          <w:szCs w:val="28"/>
        </w:rPr>
        <w:t>13-59</w:t>
      </w:r>
    </w:p>
    <w:p w14:paraId="3353DCAC" w14:textId="77777777" w:rsidR="001A653A" w:rsidRPr="00A32D63" w:rsidRDefault="001A653A" w:rsidP="001A653A">
      <w:pPr>
        <w:spacing w:before="100" w:beforeAutospacing="1" w:after="100" w:afterAutospacing="1" w:line="240" w:lineRule="auto"/>
        <w:rPr>
          <w:rFonts w:ascii="Arial Black" w:hAnsi="Arial Black" w:cs="Arial"/>
          <w:sz w:val="28"/>
          <w:szCs w:val="28"/>
        </w:rPr>
      </w:pPr>
      <w:r w:rsidRPr="00A32D63">
        <w:rPr>
          <w:rFonts w:ascii="Arial Black" w:hAnsi="Arial Black" w:cs="Arial"/>
          <w:sz w:val="28"/>
          <w:szCs w:val="28"/>
        </w:rPr>
        <w:t xml:space="preserve">TX: PARAMEDIC </w:t>
      </w:r>
      <w:r>
        <w:rPr>
          <w:rFonts w:ascii="Arial Black" w:hAnsi="Arial Black" w:cs="Arial"/>
          <w:sz w:val="28"/>
          <w:szCs w:val="28"/>
        </w:rPr>
        <w:t xml:space="preserve">IN </w:t>
      </w:r>
      <w:r w:rsidRPr="00A32D63">
        <w:rPr>
          <w:rFonts w:ascii="Arial Black" w:hAnsi="Arial Black" w:cs="Arial"/>
          <w:sz w:val="28"/>
          <w:szCs w:val="28"/>
        </w:rPr>
        <w:t xml:space="preserve">BACK </w:t>
      </w:r>
      <w:r>
        <w:rPr>
          <w:rFonts w:ascii="Arial Black" w:hAnsi="Arial Black" w:cs="Arial"/>
          <w:sz w:val="28"/>
          <w:szCs w:val="28"/>
        </w:rPr>
        <w:t xml:space="preserve">OF </w:t>
      </w:r>
      <w:r w:rsidRPr="00A32D63">
        <w:rPr>
          <w:rFonts w:ascii="Arial Black" w:hAnsi="Arial Black" w:cs="Arial"/>
          <w:sz w:val="28"/>
          <w:szCs w:val="28"/>
        </w:rPr>
        <w:t>AMBULANCE –</w:t>
      </w:r>
      <w:r>
        <w:rPr>
          <w:rFonts w:ascii="Arial Black" w:hAnsi="Arial Black" w:cs="Arial"/>
          <w:sz w:val="28"/>
          <w:szCs w:val="28"/>
        </w:rPr>
        <w:t xml:space="preserve"> SEVERELY INJURED - </w:t>
      </w:r>
      <w:r w:rsidRPr="00A32D63">
        <w:rPr>
          <w:rFonts w:ascii="Arial Black" w:hAnsi="Arial Black" w:cs="Arial"/>
          <w:sz w:val="28"/>
          <w:szCs w:val="28"/>
        </w:rPr>
        <w:t xml:space="preserve">OVERWEIGHT </w:t>
      </w:r>
      <w:r>
        <w:rPr>
          <w:rFonts w:ascii="Arial Black" w:hAnsi="Arial Black" w:cs="Arial"/>
          <w:sz w:val="28"/>
          <w:szCs w:val="28"/>
        </w:rPr>
        <w:t xml:space="preserve">TRUCK DUMPED LOAD </w:t>
      </w:r>
      <w:r w:rsidRPr="00A32D63">
        <w:rPr>
          <w:rFonts w:ascii="Arial Black" w:hAnsi="Arial Black" w:cs="Arial"/>
          <w:sz w:val="28"/>
          <w:szCs w:val="28"/>
        </w:rPr>
        <w:t>– MENTAL ANGUISH</w:t>
      </w:r>
    </w:p>
    <w:p w14:paraId="33457BD7" w14:textId="77777777" w:rsidR="001A653A" w:rsidRPr="00344E23" w:rsidRDefault="001A653A" w:rsidP="001A653A">
      <w:pPr>
        <w:spacing w:before="100" w:beforeAutospacing="1" w:after="100" w:afterAutospacing="1" w:line="240" w:lineRule="auto"/>
        <w:rPr>
          <w:rFonts w:ascii="Times New Roman" w:hAnsi="Times New Roman"/>
          <w:sz w:val="24"/>
          <w:szCs w:val="24"/>
        </w:rPr>
      </w:pPr>
      <w:r w:rsidRPr="00A32D63">
        <w:rPr>
          <w:rFonts w:ascii="Times New Roman" w:hAnsi="Times New Roman"/>
          <w:sz w:val="24"/>
          <w:szCs w:val="24"/>
        </w:rPr>
        <w:t xml:space="preserve">On </w:t>
      </w:r>
      <w:r>
        <w:rPr>
          <w:rFonts w:ascii="Times New Roman" w:hAnsi="Times New Roman"/>
          <w:sz w:val="24"/>
          <w:szCs w:val="24"/>
        </w:rPr>
        <w:t xml:space="preserve">June 4, 2020, in </w:t>
      </w:r>
      <w:r w:rsidRPr="00A32D63">
        <w:rPr>
          <w:rFonts w:ascii="Times New Roman" w:hAnsi="Times New Roman"/>
          <w:sz w:val="24"/>
          <w:szCs w:val="24"/>
          <w:u w:val="single"/>
        </w:rPr>
        <w:t>Julio Edwin Martinez; Lone Star Disposal (Texas), LLC; and Lone Star Disposal, L.P. v. Jennifer Kwas</w:t>
      </w:r>
      <w:r>
        <w:rPr>
          <w:rFonts w:ascii="Times New Roman" w:hAnsi="Times New Roman"/>
          <w:sz w:val="24"/>
          <w:szCs w:val="24"/>
        </w:rPr>
        <w:t xml:space="preserve">, the Court of Appeals for the First District of Texas held (3 to 0) that the civil jury verdict in favor of Paramedic Kwas is affirmed: $1.1 million, including $700,000 for future pain and mental anguish, and $250,000 in punitive damages for gross negligence of Lone Star.  A paramedic for 26 </w:t>
      </w:r>
      <w:proofErr w:type="gramStart"/>
      <w:r>
        <w:rPr>
          <w:rFonts w:ascii="Times New Roman" w:hAnsi="Times New Roman"/>
          <w:sz w:val="24"/>
          <w:szCs w:val="24"/>
        </w:rPr>
        <w:t>year</w:t>
      </w:r>
      <w:proofErr w:type="gramEnd"/>
      <w:r>
        <w:rPr>
          <w:rFonts w:ascii="Times New Roman" w:hAnsi="Times New Roman"/>
          <w:sz w:val="24"/>
          <w:szCs w:val="24"/>
        </w:rPr>
        <w:t xml:space="preserve">, the mental anguish led her to resign as a medic. The Court wrote: </w:t>
      </w:r>
      <w:r w:rsidRPr="00344E23">
        <w:rPr>
          <w:rFonts w:ascii="Times New Roman" w:hAnsi="Times New Roman"/>
          <w:sz w:val="24"/>
          <w:szCs w:val="24"/>
        </w:rPr>
        <w:t>We conclude that the evidence presented at trial supports a conclusion that the jury could have formed a firm belief or conviction that Lone Star was grossly negligent in its training and supervision of its drivers, including Martinez.</w:t>
      </w:r>
      <w:r>
        <w:rPr>
          <w:rFonts w:ascii="Times New Roman" w:hAnsi="Times New Roman"/>
          <w:sz w:val="24"/>
          <w:szCs w:val="24"/>
        </w:rPr>
        <w:t xml:space="preserve">”  </w:t>
      </w:r>
      <w:hyperlink r:id="rId2354" w:history="1">
        <w:r w:rsidRPr="000603D4">
          <w:rPr>
            <w:rStyle w:val="Hyperlink"/>
            <w:rFonts w:ascii="Times New Roman" w:hAnsi="Times New Roman"/>
            <w:sz w:val="24"/>
            <w:szCs w:val="24"/>
          </w:rPr>
          <w:t>https://www.txcourts.gov/media/1447243/181085f-1.pdf</w:t>
        </w:r>
      </w:hyperlink>
      <w:r>
        <w:rPr>
          <w:rFonts w:ascii="Times New Roman" w:hAnsi="Times New Roman"/>
          <w:sz w:val="24"/>
          <w:szCs w:val="24"/>
        </w:rPr>
        <w:t xml:space="preserve"> </w:t>
      </w:r>
    </w:p>
    <w:p w14:paraId="77F9B221" w14:textId="77777777" w:rsidR="001A653A" w:rsidRDefault="001A653A" w:rsidP="001A653A">
      <w:pPr>
        <w:pStyle w:val="NoSpacing"/>
        <w:rPr>
          <w:rFonts w:ascii="Times New Roman" w:hAnsi="Times New Roman"/>
          <w:b/>
          <w:bCs/>
          <w:sz w:val="24"/>
          <w:szCs w:val="24"/>
        </w:rPr>
      </w:pPr>
      <w:r w:rsidRPr="00384185">
        <w:rPr>
          <w:rFonts w:ascii="Times New Roman" w:hAnsi="Times New Roman"/>
          <w:b/>
          <w:bCs/>
          <w:sz w:val="24"/>
          <w:szCs w:val="24"/>
        </w:rPr>
        <w:lastRenderedPageBreak/>
        <w:t xml:space="preserve">Legal Lesson Learned: The unrestrained paramedic suffered terrible physical and mental injury; see article on restraint systems for EMS in the back of the box. </w:t>
      </w:r>
    </w:p>
    <w:p w14:paraId="4133911A" w14:textId="77777777" w:rsidR="001A653A" w:rsidRDefault="001A653A" w:rsidP="001A653A">
      <w:pPr>
        <w:pStyle w:val="NoSpacing"/>
        <w:rPr>
          <w:rFonts w:ascii="Times New Roman" w:hAnsi="Times New Roman"/>
          <w:b/>
          <w:bCs/>
          <w:sz w:val="24"/>
          <w:szCs w:val="24"/>
        </w:rPr>
      </w:pPr>
    </w:p>
    <w:p w14:paraId="725268AF" w14:textId="77777777" w:rsidR="001A653A" w:rsidRPr="00384185" w:rsidRDefault="001A653A" w:rsidP="001A653A">
      <w:pPr>
        <w:pStyle w:val="NoSpacing"/>
        <w:ind w:left="720"/>
        <w:rPr>
          <w:rFonts w:ascii="Times New Roman" w:hAnsi="Times New Roman"/>
          <w:sz w:val="24"/>
          <w:szCs w:val="24"/>
        </w:rPr>
      </w:pPr>
      <w:r w:rsidRPr="00384185">
        <w:rPr>
          <w:rFonts w:ascii="Times New Roman" w:hAnsi="Times New Roman"/>
          <w:sz w:val="24"/>
          <w:szCs w:val="24"/>
        </w:rPr>
        <w:t xml:space="preserve">Note:  </w:t>
      </w:r>
      <w:r>
        <w:rPr>
          <w:rFonts w:ascii="Times New Roman" w:hAnsi="Times New Roman"/>
          <w:sz w:val="24"/>
          <w:szCs w:val="24"/>
        </w:rPr>
        <w:t xml:space="preserve">Several new restraint products </w:t>
      </w:r>
      <w:proofErr w:type="gramStart"/>
      <w:r>
        <w:rPr>
          <w:rFonts w:ascii="Times New Roman" w:hAnsi="Times New Roman"/>
          <w:sz w:val="24"/>
          <w:szCs w:val="24"/>
        </w:rPr>
        <w:t>now</w:t>
      </w:r>
      <w:proofErr w:type="gramEnd"/>
      <w:r>
        <w:rPr>
          <w:rFonts w:ascii="Times New Roman" w:hAnsi="Times New Roman"/>
          <w:sz w:val="24"/>
          <w:szCs w:val="24"/>
        </w:rPr>
        <w:t xml:space="preserve"> on the market.  For example, see this: “</w:t>
      </w:r>
      <w:r w:rsidRPr="00384185">
        <w:rPr>
          <w:rStyle w:val="field"/>
          <w:rFonts w:ascii="Times New Roman" w:hAnsi="Times New Roman"/>
          <w:sz w:val="24"/>
          <w:szCs w:val="24"/>
        </w:rPr>
        <w:t xml:space="preserve">IMMI Launches Per4Max Restraint for EMS Providers (May 3, 2019): </w:t>
      </w:r>
      <w:r w:rsidRPr="00384185">
        <w:rPr>
          <w:rFonts w:ascii="Times New Roman" w:hAnsi="Times New Roman"/>
          <w:sz w:val="24"/>
          <w:szCs w:val="24"/>
        </w:rPr>
        <w:t xml:space="preserve">An estimated 4,500 ambulances are involved in accidents every year, but 84% of emergency medical technicians do not wear their seat belts because they restrict movement while treating a patient.* IMMI’s Per4Max allows them to reach, stretch, and even stand up in their restraint if necessary. Patient safety is also improved when EMTs buckle up. They remain restrained in an accident and not thrown around the interior of the vehicle, possibly injuring the patient further.” </w:t>
      </w:r>
      <w:hyperlink r:id="rId2355" w:history="1">
        <w:r w:rsidRPr="00384185">
          <w:rPr>
            <w:rStyle w:val="Hyperlink"/>
            <w:rFonts w:ascii="Times New Roman" w:hAnsi="Times New Roman"/>
            <w:sz w:val="24"/>
            <w:szCs w:val="24"/>
          </w:rPr>
          <w:t>https://www.emsworld.com/press-release/1222611/immi-launches-per4max-restraint-ems-providers</w:t>
        </w:r>
      </w:hyperlink>
      <w:r w:rsidRPr="00384185">
        <w:rPr>
          <w:rFonts w:ascii="Times New Roman" w:hAnsi="Times New Roman"/>
          <w:sz w:val="24"/>
          <w:szCs w:val="24"/>
        </w:rPr>
        <w:t xml:space="preserve"> </w:t>
      </w:r>
    </w:p>
    <w:p w14:paraId="5E870466" w14:textId="77777777" w:rsidR="001A653A" w:rsidRPr="00384185" w:rsidRDefault="001A653A" w:rsidP="001A653A">
      <w:pPr>
        <w:spacing w:before="100" w:beforeAutospacing="1" w:after="100" w:afterAutospacing="1" w:line="240" w:lineRule="auto"/>
        <w:rPr>
          <w:rFonts w:ascii="Times New Roman" w:hAnsi="Times New Roman"/>
          <w:sz w:val="24"/>
          <w:szCs w:val="24"/>
        </w:rPr>
      </w:pPr>
    </w:p>
    <w:p w14:paraId="566D1F3A" w14:textId="77777777" w:rsidR="001A653A" w:rsidRDefault="001A653A" w:rsidP="002B1283">
      <w:pPr>
        <w:rPr>
          <w:rFonts w:ascii="Arial Black" w:hAnsi="Arial Black"/>
          <w:b/>
          <w:bCs/>
          <w:sz w:val="28"/>
          <w:szCs w:val="28"/>
        </w:rPr>
      </w:pPr>
    </w:p>
    <w:p w14:paraId="07D22898" w14:textId="77777777" w:rsidR="001A653A" w:rsidRDefault="001A653A" w:rsidP="002B1283">
      <w:pPr>
        <w:rPr>
          <w:rFonts w:ascii="Arial Black" w:hAnsi="Arial Black"/>
          <w:b/>
          <w:bCs/>
          <w:sz w:val="28"/>
          <w:szCs w:val="28"/>
        </w:rPr>
      </w:pPr>
    </w:p>
    <w:p w14:paraId="552EC25D" w14:textId="6432B18C" w:rsidR="007105B3" w:rsidRDefault="001C563D" w:rsidP="002B1283">
      <w:pPr>
        <w:rPr>
          <w:rFonts w:ascii="Arial Black" w:hAnsi="Arial Black"/>
          <w:b/>
          <w:bCs/>
          <w:sz w:val="28"/>
          <w:szCs w:val="28"/>
        </w:rPr>
      </w:pPr>
      <w:r>
        <w:rPr>
          <w:rFonts w:ascii="Arial Black" w:hAnsi="Arial Black"/>
          <w:b/>
          <w:bCs/>
          <w:sz w:val="28"/>
          <w:szCs w:val="28"/>
        </w:rPr>
        <w:t>13-58</w:t>
      </w:r>
    </w:p>
    <w:p w14:paraId="426DF34E" w14:textId="77777777" w:rsidR="001C563D" w:rsidRPr="00D67C96" w:rsidRDefault="001C563D" w:rsidP="001C563D">
      <w:pPr>
        <w:pStyle w:val="NormalWeb"/>
        <w:rPr>
          <w:rFonts w:ascii="Arial Black" w:hAnsi="Arial Black"/>
          <w:sz w:val="28"/>
          <w:szCs w:val="28"/>
        </w:rPr>
      </w:pPr>
      <w:r w:rsidRPr="00D67C96">
        <w:rPr>
          <w:rFonts w:ascii="Arial Black" w:hAnsi="Arial Black"/>
          <w:sz w:val="28"/>
          <w:szCs w:val="28"/>
        </w:rPr>
        <w:t xml:space="preserve">NY: </w:t>
      </w:r>
      <w:r>
        <w:rPr>
          <w:rFonts w:ascii="Arial Black" w:hAnsi="Arial Black"/>
          <w:sz w:val="28"/>
          <w:szCs w:val="28"/>
        </w:rPr>
        <w:t>PROB. EMT FIRED BY HOSPITAL – POOR AMBUL. CHECKS, COMPLAINTS – APPENDICITIS NOT A “DISABILITY”</w:t>
      </w:r>
    </w:p>
    <w:p w14:paraId="0F1BC33E" w14:textId="4A76B4CD" w:rsidR="001C563D" w:rsidRPr="008E15F3" w:rsidRDefault="001C563D" w:rsidP="001C563D">
      <w:pPr>
        <w:pStyle w:val="NoSpacing"/>
        <w:rPr>
          <w:rFonts w:ascii="Times New Roman" w:eastAsia="Times New Roman" w:hAnsi="Times New Roman"/>
          <w:sz w:val="24"/>
          <w:szCs w:val="24"/>
        </w:rPr>
      </w:pPr>
      <w:r w:rsidRPr="008E15F3">
        <w:rPr>
          <w:rFonts w:ascii="Times New Roman" w:hAnsi="Times New Roman"/>
          <w:sz w:val="24"/>
          <w:szCs w:val="24"/>
        </w:rPr>
        <w:t xml:space="preserve">On June 1, 2020, in </w:t>
      </w:r>
      <w:r w:rsidRPr="008E15F3">
        <w:rPr>
          <w:rFonts w:ascii="Times New Roman" w:hAnsi="Times New Roman"/>
          <w:sz w:val="24"/>
          <w:szCs w:val="24"/>
          <w:u w:val="single"/>
        </w:rPr>
        <w:t>Christopher Vargas v. The St. Luke’s-Roosevelt Hospital Center</w:t>
      </w:r>
      <w:r w:rsidRPr="008E15F3">
        <w:rPr>
          <w:rFonts w:ascii="Times New Roman" w:hAnsi="Times New Roman"/>
          <w:sz w:val="24"/>
          <w:szCs w:val="24"/>
        </w:rPr>
        <w:t xml:space="preserve">, U.S. District Court Judge J. Pail Oetken, U.S. District Court for Southern District of New York, granted the Hospital’s motion for summary judgment; the hospital had fired the probationary </w:t>
      </w:r>
      <w:r>
        <w:rPr>
          <w:rFonts w:ascii="Times New Roman" w:hAnsi="Times New Roman"/>
          <w:sz w:val="24"/>
          <w:szCs w:val="24"/>
        </w:rPr>
        <w:t xml:space="preserve">part-time </w:t>
      </w:r>
      <w:r w:rsidRPr="008E15F3">
        <w:rPr>
          <w:rFonts w:ascii="Times New Roman" w:hAnsi="Times New Roman"/>
          <w:sz w:val="24"/>
          <w:szCs w:val="24"/>
        </w:rPr>
        <w:t xml:space="preserve">EMT for </w:t>
      </w:r>
      <w:r>
        <w:rPr>
          <w:rFonts w:ascii="Times New Roman" w:hAnsi="Times New Roman"/>
          <w:sz w:val="24"/>
          <w:szCs w:val="24"/>
        </w:rPr>
        <w:t xml:space="preserve">not completing ambulance equipment checks, and </w:t>
      </w:r>
      <w:r w:rsidRPr="008E15F3">
        <w:rPr>
          <w:rFonts w:ascii="Times New Roman" w:hAnsi="Times New Roman"/>
          <w:sz w:val="24"/>
          <w:szCs w:val="24"/>
        </w:rPr>
        <w:t>complaints from co-workers</w:t>
      </w:r>
      <w:r>
        <w:rPr>
          <w:rFonts w:ascii="Times New Roman" w:hAnsi="Times New Roman"/>
          <w:sz w:val="24"/>
          <w:szCs w:val="24"/>
        </w:rPr>
        <w:t xml:space="preserve">.  Prior to being fired to </w:t>
      </w:r>
      <w:proofErr w:type="gramStart"/>
      <w:r>
        <w:rPr>
          <w:rFonts w:ascii="Times New Roman" w:hAnsi="Times New Roman"/>
          <w:sz w:val="24"/>
          <w:szCs w:val="24"/>
        </w:rPr>
        <w:t>told</w:t>
      </w:r>
      <w:proofErr w:type="gramEnd"/>
      <w:r>
        <w:rPr>
          <w:rFonts w:ascii="Times New Roman" w:hAnsi="Times New Roman"/>
          <w:sz w:val="24"/>
          <w:szCs w:val="24"/>
        </w:rPr>
        <w:t xml:space="preserve"> his manager</w:t>
      </w:r>
      <w:r w:rsidRPr="008E15F3">
        <w:rPr>
          <w:rFonts w:ascii="Times New Roman" w:hAnsi="Times New Roman"/>
          <w:sz w:val="24"/>
          <w:szCs w:val="24"/>
        </w:rPr>
        <w:t xml:space="preserve"> </w:t>
      </w:r>
      <w:r>
        <w:rPr>
          <w:rFonts w:ascii="Times New Roman" w:hAnsi="Times New Roman"/>
          <w:sz w:val="24"/>
          <w:szCs w:val="24"/>
        </w:rPr>
        <w:t xml:space="preserve">he had recently had appendix removed; hospital had already </w:t>
      </w:r>
      <w:r w:rsidRPr="008E15F3">
        <w:rPr>
          <w:rFonts w:ascii="Times New Roman" w:hAnsi="Times New Roman"/>
          <w:sz w:val="24"/>
          <w:szCs w:val="24"/>
        </w:rPr>
        <w:t>made t</w:t>
      </w:r>
      <w:r>
        <w:rPr>
          <w:rFonts w:ascii="Times New Roman" w:hAnsi="Times New Roman"/>
          <w:sz w:val="24"/>
          <w:szCs w:val="24"/>
        </w:rPr>
        <w:t xml:space="preserve">ermination </w:t>
      </w:r>
      <w:r w:rsidRPr="008E15F3">
        <w:rPr>
          <w:rFonts w:ascii="Times New Roman" w:hAnsi="Times New Roman"/>
          <w:sz w:val="24"/>
          <w:szCs w:val="24"/>
        </w:rPr>
        <w:t>decision</w:t>
      </w:r>
      <w:r>
        <w:rPr>
          <w:rFonts w:ascii="Times New Roman" w:hAnsi="Times New Roman"/>
          <w:sz w:val="24"/>
          <w:szCs w:val="24"/>
        </w:rPr>
        <w:t>.</w:t>
      </w:r>
      <w:r w:rsidRPr="008E15F3">
        <w:rPr>
          <w:rFonts w:ascii="Times New Roman" w:hAnsi="Times New Roman"/>
          <w:sz w:val="24"/>
          <w:szCs w:val="24"/>
        </w:rPr>
        <w:t xml:space="preserve"> The Judge wrote: “Here, the parties agree that ‘[a]s a result of his appendicitis, [Vargas] was hospitalized for only one day, able to return to work after one week, and able to work at ‘full physical activity’ after two months.’ … Vargas's doctor further instructed him he could not engage in heavy lifting during the period in which he was to refrain from ‘full physical activity.’ … Such a short-term impairment, absent long-term impact, is insufficient to qualify as substantially limiting a major life activity, as required to qualify as a disability under the ADA. *** </w:t>
      </w:r>
      <w:r w:rsidRPr="008E15F3">
        <w:rPr>
          <w:rFonts w:ascii="Times New Roman" w:eastAsia="Times New Roman" w:hAnsi="Times New Roman"/>
          <w:sz w:val="24"/>
          <w:szCs w:val="24"/>
        </w:rPr>
        <w:t xml:space="preserve">Summary judgment is also warranted on </w:t>
      </w:r>
      <w:proofErr w:type="gramStart"/>
      <w:r w:rsidRPr="008E15F3">
        <w:rPr>
          <w:rFonts w:ascii="Times New Roman" w:eastAsia="Times New Roman" w:hAnsi="Times New Roman"/>
          <w:sz w:val="24"/>
          <w:szCs w:val="24"/>
        </w:rPr>
        <w:t>an independent ground</w:t>
      </w:r>
      <w:proofErr w:type="gramEnd"/>
      <w:r w:rsidRPr="008E15F3">
        <w:rPr>
          <w:rFonts w:ascii="Times New Roman" w:eastAsia="Times New Roman" w:hAnsi="Times New Roman"/>
          <w:sz w:val="24"/>
          <w:szCs w:val="24"/>
        </w:rPr>
        <w:t xml:space="preserve">: there is no genuine dispute that the decision to terminate Vargas was made before his employer was aware of his appendectomy. The parties agree that Mendoza decided to terminate Vargas in late May or the first few days of June due to his co-workers' complaints and his performance problems. Pl. 56.1 ¶ 59 (citing RM Tr. 27) ("At some point in late May or the first </w:t>
      </w:r>
      <w:proofErr w:type="gramStart"/>
      <w:r w:rsidRPr="008E15F3">
        <w:rPr>
          <w:rFonts w:ascii="Times New Roman" w:eastAsia="Times New Roman" w:hAnsi="Times New Roman"/>
          <w:sz w:val="24"/>
          <w:szCs w:val="24"/>
        </w:rPr>
        <w:t>few of</w:t>
      </w:r>
      <w:proofErr w:type="gramEnd"/>
      <w:r w:rsidRPr="008E15F3">
        <w:rPr>
          <w:rFonts w:ascii="Times New Roman" w:eastAsia="Times New Roman" w:hAnsi="Times New Roman"/>
          <w:sz w:val="24"/>
          <w:szCs w:val="24"/>
        </w:rPr>
        <w:t xml:space="preserve"> days of June 2015, Mendoza decided that Vargas should not pass probation and that he should be terminated because of the co-worker complaints and Vargas's poor performance."). The parties also agree that Defendants did not become aware of Vargas's appendectomy until June 5, 2015. </w:t>
      </w:r>
      <w:r w:rsidRPr="008E15F3">
        <w:rPr>
          <w:rFonts w:ascii="Times New Roman" w:eastAsia="Times New Roman" w:hAnsi="Times New Roman"/>
          <w:i/>
          <w:iCs/>
          <w:sz w:val="24"/>
          <w:szCs w:val="24"/>
        </w:rPr>
        <w:t>Id</w:t>
      </w:r>
      <w:r w:rsidRPr="008E15F3">
        <w:rPr>
          <w:rFonts w:ascii="Times New Roman" w:eastAsia="Times New Roman" w:hAnsi="Times New Roman"/>
          <w:sz w:val="24"/>
          <w:szCs w:val="24"/>
        </w:rPr>
        <w:t>. ¶ 68 (citing RM Tr. 27; Mendoza I Decl. ¶ 2(a)). Because the decision to terminate Vargas was made before Defendants were aware of his appendectomy, the evidence fails to support a causal relationship necessary to prevail on either a failure to accommodate or discrimination claim under the ADA.</w:t>
      </w:r>
    </w:p>
    <w:p w14:paraId="371DD513" w14:textId="77777777" w:rsidR="001C563D" w:rsidRPr="008E15F3" w:rsidRDefault="001C563D" w:rsidP="001C563D">
      <w:pPr>
        <w:pStyle w:val="NoSpacing"/>
        <w:rPr>
          <w:rFonts w:ascii="Times New Roman" w:hAnsi="Times New Roman"/>
          <w:sz w:val="24"/>
          <w:szCs w:val="24"/>
        </w:rPr>
      </w:pPr>
      <w:hyperlink r:id="rId2356" w:history="1">
        <w:r w:rsidRPr="008E15F3">
          <w:rPr>
            <w:rStyle w:val="Hyperlink"/>
            <w:rFonts w:ascii="Times New Roman" w:hAnsi="Times New Roman"/>
            <w:sz w:val="24"/>
            <w:szCs w:val="24"/>
          </w:rPr>
          <w:t>https://public.fastcase.com/Wl%2B2t%2BeVuI35%2FN70vAMFZpHUgoz3hp5Nx0V5b99AFirO%2BO19k2h0p4CgWny%2Fxn0a</w:t>
        </w:r>
      </w:hyperlink>
      <w:r w:rsidRPr="008E15F3">
        <w:rPr>
          <w:rFonts w:ascii="Times New Roman" w:hAnsi="Times New Roman"/>
          <w:sz w:val="24"/>
          <w:szCs w:val="24"/>
        </w:rPr>
        <w:t xml:space="preserve"> </w:t>
      </w:r>
    </w:p>
    <w:p w14:paraId="6356C0FF" w14:textId="77777777" w:rsidR="001C563D" w:rsidRDefault="001C563D" w:rsidP="001C563D">
      <w:pPr>
        <w:spacing w:before="100" w:beforeAutospacing="1" w:after="100" w:afterAutospacing="1" w:line="240" w:lineRule="auto"/>
        <w:rPr>
          <w:rFonts w:ascii="Times New Roman" w:eastAsia="Times New Roman" w:hAnsi="Times New Roman"/>
          <w:b/>
          <w:bCs/>
          <w:sz w:val="24"/>
          <w:szCs w:val="24"/>
        </w:rPr>
      </w:pPr>
      <w:r w:rsidRPr="00CD3D78">
        <w:rPr>
          <w:rFonts w:ascii="Times New Roman" w:eastAsia="Times New Roman" w:hAnsi="Times New Roman"/>
          <w:b/>
          <w:bCs/>
          <w:sz w:val="24"/>
          <w:szCs w:val="24"/>
        </w:rPr>
        <w:t>Legal Lessons Learned:</w:t>
      </w:r>
      <w:r>
        <w:rPr>
          <w:rFonts w:ascii="Times New Roman" w:eastAsia="Times New Roman" w:hAnsi="Times New Roman"/>
          <w:b/>
          <w:bCs/>
          <w:sz w:val="24"/>
          <w:szCs w:val="24"/>
        </w:rPr>
        <w:t xml:space="preserve"> Probationary employee not covered under the Collective Bargaining Agreement; ADA does not apply to short-term </w:t>
      </w:r>
      <w:proofErr w:type="gramStart"/>
      <w:r>
        <w:rPr>
          <w:rFonts w:ascii="Times New Roman" w:eastAsia="Times New Roman" w:hAnsi="Times New Roman"/>
          <w:b/>
          <w:bCs/>
          <w:sz w:val="24"/>
          <w:szCs w:val="24"/>
        </w:rPr>
        <w:t>illness</w:t>
      </w:r>
      <w:proofErr w:type="gramEnd"/>
      <w:r>
        <w:rPr>
          <w:rFonts w:ascii="Times New Roman" w:eastAsia="Times New Roman" w:hAnsi="Times New Roman"/>
          <w:b/>
          <w:bCs/>
          <w:sz w:val="24"/>
          <w:szCs w:val="24"/>
        </w:rPr>
        <w:t xml:space="preserve"> such as appendicitis. </w:t>
      </w:r>
    </w:p>
    <w:p w14:paraId="1236DA98" w14:textId="77777777" w:rsidR="001C563D" w:rsidRPr="008E15F3" w:rsidRDefault="001C563D" w:rsidP="001C563D">
      <w:pPr>
        <w:spacing w:before="100" w:beforeAutospacing="1" w:after="100" w:afterAutospacing="1" w:line="240" w:lineRule="auto"/>
        <w:ind w:left="720"/>
        <w:rPr>
          <w:rFonts w:ascii="Times New Roman" w:eastAsia="Times New Roman" w:hAnsi="Times New Roman"/>
          <w:sz w:val="24"/>
          <w:szCs w:val="24"/>
        </w:rPr>
      </w:pPr>
      <w:r w:rsidRPr="00CD3D78">
        <w:rPr>
          <w:rFonts w:ascii="Times New Roman" w:eastAsia="Times New Roman" w:hAnsi="Times New Roman"/>
          <w:sz w:val="24"/>
          <w:szCs w:val="24"/>
        </w:rPr>
        <w:lastRenderedPageBreak/>
        <w:t xml:space="preserve">Note: </w:t>
      </w:r>
      <w:r>
        <w:rPr>
          <w:rFonts w:ascii="Times New Roman" w:eastAsia="Times New Roman" w:hAnsi="Times New Roman"/>
          <w:sz w:val="24"/>
          <w:szCs w:val="24"/>
        </w:rPr>
        <w:t xml:space="preserve">Congress in 2008 broadened the coverage under Americans </w:t>
      </w:r>
      <w:proofErr w:type="gramStart"/>
      <w:r>
        <w:rPr>
          <w:rFonts w:ascii="Times New Roman" w:eastAsia="Times New Roman" w:hAnsi="Times New Roman"/>
          <w:sz w:val="24"/>
          <w:szCs w:val="24"/>
        </w:rPr>
        <w:t>With</w:t>
      </w:r>
      <w:proofErr w:type="gramEnd"/>
      <w:r>
        <w:rPr>
          <w:rFonts w:ascii="Times New Roman" w:eastAsia="Times New Roman" w:hAnsi="Times New Roman"/>
          <w:sz w:val="24"/>
          <w:szCs w:val="24"/>
        </w:rPr>
        <w:t xml:space="preserve"> Disabilities Act, overturning two U.S. Supreme Court decisions, </w:t>
      </w:r>
      <w:r w:rsidRPr="005C4230">
        <w:rPr>
          <w:rFonts w:ascii="Times New Roman" w:eastAsia="Times New Roman" w:hAnsi="Times New Roman"/>
          <w:sz w:val="24"/>
          <w:szCs w:val="24"/>
          <w:u w:val="single"/>
        </w:rPr>
        <w:t>Sutton v. United Air Lines, Inc</w:t>
      </w:r>
      <w:r>
        <w:rPr>
          <w:rFonts w:ascii="Times New Roman" w:eastAsia="Times New Roman" w:hAnsi="Times New Roman"/>
          <w:sz w:val="24"/>
          <w:szCs w:val="24"/>
        </w:rPr>
        <w:t xml:space="preserve">., 527 U.S. 471 (1999), and </w:t>
      </w:r>
      <w:r w:rsidRPr="005C4230">
        <w:rPr>
          <w:rFonts w:ascii="Times New Roman" w:eastAsia="Times New Roman" w:hAnsi="Times New Roman"/>
          <w:sz w:val="24"/>
          <w:szCs w:val="24"/>
          <w:u w:val="single"/>
        </w:rPr>
        <w:t>Toyota Motor Manufacturing, Kentucky, Inc. v. Williams</w:t>
      </w:r>
      <w:r>
        <w:rPr>
          <w:rFonts w:ascii="Times New Roman" w:eastAsia="Times New Roman" w:hAnsi="Times New Roman"/>
          <w:sz w:val="24"/>
          <w:szCs w:val="24"/>
        </w:rPr>
        <w:t xml:space="preserve">, 534 U.S. 184 (2002).  </w:t>
      </w:r>
      <w:r w:rsidRPr="005C4230">
        <w:rPr>
          <w:rFonts w:ascii="Times New Roman" w:hAnsi="Times New Roman"/>
          <w:sz w:val="24"/>
          <w:szCs w:val="24"/>
        </w:rPr>
        <w:t xml:space="preserve">The EEOC has promulgated administrative rules that guide the analysis of whether </w:t>
      </w:r>
      <w:proofErr w:type="gramStart"/>
      <w:r w:rsidRPr="005C4230">
        <w:rPr>
          <w:rFonts w:ascii="Times New Roman" w:hAnsi="Times New Roman"/>
          <w:sz w:val="24"/>
          <w:szCs w:val="24"/>
        </w:rPr>
        <w:t>a temporary</w:t>
      </w:r>
      <w:proofErr w:type="gramEnd"/>
      <w:r w:rsidRPr="005C4230">
        <w:rPr>
          <w:rFonts w:ascii="Times New Roman" w:hAnsi="Times New Roman"/>
          <w:sz w:val="24"/>
          <w:szCs w:val="24"/>
        </w:rPr>
        <w:t xml:space="preserve"> impairment is sufficiently severe to qualify as a disability under the ADA. 29 C.F.R. § 1630.2(j)(1)(ix) (app.). Those regulations state that </w:t>
      </w:r>
      <w:r>
        <w:rPr>
          <w:rFonts w:ascii="Times New Roman" w:hAnsi="Times New Roman"/>
          <w:sz w:val="24"/>
          <w:szCs w:val="24"/>
        </w:rPr>
        <w:t>“</w:t>
      </w:r>
      <w:r w:rsidRPr="005C4230">
        <w:rPr>
          <w:rFonts w:ascii="Times New Roman" w:hAnsi="Times New Roman"/>
          <w:sz w:val="24"/>
          <w:szCs w:val="24"/>
        </w:rPr>
        <w:t xml:space="preserve">if an individual has a back impairment that results in a 20-pound lifting restriction that lasts for several months, he is substantially limited in the major life activity of </w:t>
      </w:r>
      <w:proofErr w:type="gramStart"/>
      <w:r w:rsidRPr="005C4230">
        <w:rPr>
          <w:rFonts w:ascii="Times New Roman" w:hAnsi="Times New Roman"/>
          <w:sz w:val="24"/>
          <w:szCs w:val="24"/>
        </w:rPr>
        <w:t>lifting, and</w:t>
      </w:r>
      <w:proofErr w:type="gramEnd"/>
      <w:r w:rsidRPr="005C4230">
        <w:rPr>
          <w:rFonts w:ascii="Times New Roman" w:hAnsi="Times New Roman"/>
          <w:sz w:val="24"/>
          <w:szCs w:val="24"/>
        </w:rPr>
        <w:t xml:space="preserve"> therefore covered under the first prong of the definition of disability.</w:t>
      </w:r>
      <w:r>
        <w:rPr>
          <w:rFonts w:ascii="Times New Roman" w:hAnsi="Times New Roman"/>
          <w:sz w:val="24"/>
          <w:szCs w:val="24"/>
        </w:rPr>
        <w:t>”</w:t>
      </w:r>
    </w:p>
    <w:p w14:paraId="72FB9C46" w14:textId="77777777" w:rsidR="007105B3" w:rsidRDefault="007105B3" w:rsidP="002B1283">
      <w:pPr>
        <w:rPr>
          <w:rFonts w:ascii="Arial Black" w:hAnsi="Arial Black"/>
          <w:b/>
          <w:bCs/>
          <w:sz w:val="28"/>
          <w:szCs w:val="28"/>
        </w:rPr>
      </w:pPr>
    </w:p>
    <w:p w14:paraId="339F9EB2" w14:textId="09288825" w:rsidR="00FA7B26" w:rsidRDefault="00FA7B26" w:rsidP="002B1283">
      <w:pPr>
        <w:rPr>
          <w:rFonts w:ascii="Arial Black" w:hAnsi="Arial Black"/>
          <w:b/>
          <w:bCs/>
          <w:sz w:val="28"/>
          <w:szCs w:val="28"/>
        </w:rPr>
      </w:pPr>
      <w:r>
        <w:rPr>
          <w:rFonts w:ascii="Arial Black" w:hAnsi="Arial Black"/>
          <w:b/>
          <w:bCs/>
          <w:sz w:val="28"/>
          <w:szCs w:val="28"/>
        </w:rPr>
        <w:t>13-57</w:t>
      </w:r>
    </w:p>
    <w:p w14:paraId="6EBC5A96" w14:textId="77777777" w:rsidR="00FA7B26" w:rsidRDefault="00FA7B26" w:rsidP="00FA7B26">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U.S. SUPREME COURT – CARONA VIRUS – UPHOLDS CALIFORNIA RESTRICTIONS ON RELIGIOUS GATHERINGS</w:t>
      </w:r>
    </w:p>
    <w:p w14:paraId="4AEC2713" w14:textId="77777777" w:rsidR="00FA7B26" w:rsidRDefault="00FA7B26" w:rsidP="00FA7B26">
      <w:pPr>
        <w:spacing w:before="100" w:beforeAutospacing="1" w:after="100" w:afterAutospacing="1" w:line="240" w:lineRule="auto"/>
        <w:rPr>
          <w:rFonts w:ascii="Times New Roman" w:hAnsi="Times New Roman"/>
          <w:sz w:val="24"/>
          <w:szCs w:val="24"/>
        </w:rPr>
      </w:pPr>
      <w:r w:rsidRPr="00165D3F">
        <w:rPr>
          <w:rFonts w:ascii="Times New Roman" w:eastAsia="Times New Roman" w:hAnsi="Times New Roman"/>
          <w:sz w:val="24"/>
          <w:szCs w:val="24"/>
        </w:rPr>
        <w:t xml:space="preserve">On May 29, 2020, in </w:t>
      </w:r>
      <w:r w:rsidRPr="00165D3F">
        <w:rPr>
          <w:rFonts w:ascii="Times New Roman" w:eastAsia="Times New Roman" w:hAnsi="Times New Roman"/>
          <w:sz w:val="24"/>
          <w:szCs w:val="24"/>
          <w:u w:val="single"/>
        </w:rPr>
        <w:t>South Bay United Pentecostal Church, et a. v. Gavin Newsom, Governor of California,</w:t>
      </w:r>
      <w:r w:rsidRPr="00165D3F">
        <w:rPr>
          <w:rFonts w:ascii="Times New Roman" w:eastAsia="Times New Roman" w:hAnsi="Times New Roman"/>
          <w:sz w:val="24"/>
          <w:szCs w:val="24"/>
        </w:rPr>
        <w:t xml:space="preserve"> </w:t>
      </w:r>
      <w:r>
        <w:rPr>
          <w:rFonts w:ascii="Times New Roman" w:eastAsia="Times New Roman" w:hAnsi="Times New Roman"/>
          <w:sz w:val="24"/>
          <w:szCs w:val="24"/>
        </w:rPr>
        <w:t xml:space="preserve">the Court (5 to 4) denied the church’s request for an injunction, in a rare late-night ruling, and upheld the California restriction of attendance at places of worship to 25% of building capacity, or a maximum of 100 attendees.  The San Diego area church had lost before a U.S. District Court judge, </w:t>
      </w:r>
      <w:proofErr w:type="gramStart"/>
      <w:r>
        <w:rPr>
          <w:rFonts w:ascii="Times New Roman" w:eastAsia="Times New Roman" w:hAnsi="Times New Roman"/>
          <w:sz w:val="24"/>
          <w:szCs w:val="24"/>
        </w:rPr>
        <w:t>and also</w:t>
      </w:r>
      <w:proofErr w:type="gramEnd"/>
      <w:r>
        <w:rPr>
          <w:rFonts w:ascii="Times New Roman" w:eastAsia="Times New Roman" w:hAnsi="Times New Roman"/>
          <w:sz w:val="24"/>
          <w:szCs w:val="24"/>
        </w:rPr>
        <w:t xml:space="preserve"> the 9</w:t>
      </w:r>
      <w:r w:rsidRPr="0046707A">
        <w:rPr>
          <w:rFonts w:ascii="Times New Roman" w:eastAsia="Times New Roman" w:hAnsi="Times New Roman"/>
          <w:sz w:val="24"/>
          <w:szCs w:val="24"/>
          <w:vertAlign w:val="superscript"/>
        </w:rPr>
        <w:t>th</w:t>
      </w:r>
      <w:r>
        <w:rPr>
          <w:rFonts w:ascii="Times New Roman" w:eastAsia="Times New Roman" w:hAnsi="Times New Roman"/>
          <w:sz w:val="24"/>
          <w:szCs w:val="24"/>
        </w:rPr>
        <w:t xml:space="preserve"> Circuit.  </w:t>
      </w:r>
      <w:hyperlink r:id="rId2357" w:history="1">
        <w:r w:rsidRPr="003826A8">
          <w:rPr>
            <w:rStyle w:val="Hyperlink"/>
            <w:sz w:val="24"/>
            <w:szCs w:val="24"/>
          </w:rPr>
          <w:t>https://www.supremecourt.gov/opinions/19pdf/19a1044_pok0.pdf</w:t>
        </w:r>
      </w:hyperlink>
      <w:r>
        <w:rPr>
          <w:rFonts w:ascii="Times New Roman" w:hAnsi="Times New Roman"/>
          <w:sz w:val="24"/>
          <w:szCs w:val="24"/>
        </w:rPr>
        <w:t xml:space="preserve"> </w:t>
      </w:r>
    </w:p>
    <w:p w14:paraId="07DA73D0" w14:textId="77777777" w:rsidR="00FA7B26" w:rsidRPr="00575185" w:rsidRDefault="00FA7B26" w:rsidP="00FA7B26">
      <w:pPr>
        <w:pStyle w:val="Heading1"/>
        <w:jc w:val="both"/>
        <w:rPr>
          <w:sz w:val="24"/>
          <w:szCs w:val="24"/>
        </w:rPr>
      </w:pPr>
      <w:r w:rsidRPr="00575185">
        <w:rPr>
          <w:sz w:val="24"/>
          <w:szCs w:val="24"/>
        </w:rPr>
        <w:t xml:space="preserve">Legal Lessons Learned:  There has been litigation throughout the nation challenging corona virus restrictions; this is the first case to reach the U.S. Supreme Court.  </w:t>
      </w:r>
    </w:p>
    <w:p w14:paraId="2D6DF77E" w14:textId="6299BA1E" w:rsidR="00FA7B26" w:rsidRPr="00FA7B26" w:rsidRDefault="00FA7B26" w:rsidP="00FA7B26">
      <w:pPr>
        <w:ind w:left="720"/>
        <w:rPr>
          <w:rFonts w:ascii="Times New Roman" w:hAnsi="Times New Roman"/>
          <w:sz w:val="24"/>
          <w:szCs w:val="24"/>
        </w:rPr>
      </w:pPr>
      <w:r w:rsidRPr="00FA7B26">
        <w:rPr>
          <w:rFonts w:ascii="Times New Roman" w:hAnsi="Times New Roman"/>
          <w:sz w:val="24"/>
          <w:szCs w:val="24"/>
        </w:rPr>
        <w:t xml:space="preserve">Note: On May 6, 2020, the U.S. Supreme Court declined to hear an appeal by PA businesses seeking an injunction.  The Court will not hear an appeal unless at least 4 Justices agree to hear case.  See article: “U.S. Supreme Court rejects request to end Pennsylvania's coronavirus lockdown.” </w:t>
      </w:r>
      <w:hyperlink r:id="rId2358" w:history="1">
        <w:r w:rsidRPr="00FA7B26">
          <w:rPr>
            <w:rStyle w:val="Hyperlink"/>
            <w:rFonts w:ascii="Times New Roman" w:hAnsi="Times New Roman"/>
            <w:sz w:val="24"/>
            <w:szCs w:val="24"/>
          </w:rPr>
          <w:t>https://www.phillyvoice.com/us-supreme-court-denies-overturn-pennsylvania-non-essential-businesses-coronavirus-gov-wolf/</w:t>
        </w:r>
      </w:hyperlink>
    </w:p>
    <w:p w14:paraId="156AA44B" w14:textId="77777777" w:rsidR="00FA7B26" w:rsidRDefault="00FA7B26" w:rsidP="002B1283">
      <w:pPr>
        <w:rPr>
          <w:rFonts w:ascii="Arial Black" w:hAnsi="Arial Black"/>
          <w:b/>
          <w:bCs/>
          <w:sz w:val="28"/>
          <w:szCs w:val="28"/>
        </w:rPr>
      </w:pPr>
    </w:p>
    <w:p w14:paraId="4D710F36" w14:textId="0D97D8F3" w:rsidR="00FA7B26" w:rsidRDefault="00FA7B26" w:rsidP="002B1283">
      <w:pPr>
        <w:rPr>
          <w:rFonts w:ascii="Arial Black" w:hAnsi="Arial Black"/>
          <w:b/>
          <w:bCs/>
          <w:sz w:val="28"/>
          <w:szCs w:val="28"/>
        </w:rPr>
      </w:pPr>
      <w:r>
        <w:rPr>
          <w:rFonts w:ascii="Arial Black" w:hAnsi="Arial Black"/>
          <w:b/>
          <w:bCs/>
          <w:sz w:val="28"/>
          <w:szCs w:val="28"/>
        </w:rPr>
        <w:t>13-56</w:t>
      </w:r>
    </w:p>
    <w:p w14:paraId="7F8D274B" w14:textId="77777777" w:rsidR="00FA7B26" w:rsidRPr="00B46B8F" w:rsidRDefault="00FA7B26" w:rsidP="00FA7B26">
      <w:pPr>
        <w:spacing w:before="100" w:beforeAutospacing="1" w:after="100" w:afterAutospacing="1" w:line="240" w:lineRule="auto"/>
        <w:jc w:val="both"/>
        <w:rPr>
          <w:rFonts w:ascii="Arial Black" w:eastAsia="Times New Roman" w:hAnsi="Arial Black"/>
          <w:b/>
          <w:bCs/>
          <w:sz w:val="28"/>
          <w:szCs w:val="28"/>
        </w:rPr>
      </w:pPr>
      <w:r w:rsidRPr="00B46B8F">
        <w:rPr>
          <w:rFonts w:ascii="Arial Black" w:eastAsia="Times New Roman" w:hAnsi="Arial Black"/>
          <w:b/>
          <w:bCs/>
          <w:sz w:val="28"/>
          <w:szCs w:val="28"/>
        </w:rPr>
        <w:t>NJ:</w:t>
      </w:r>
      <w:r>
        <w:rPr>
          <w:rFonts w:ascii="Arial Black" w:eastAsia="Times New Roman" w:hAnsi="Arial Black"/>
          <w:b/>
          <w:bCs/>
          <w:sz w:val="28"/>
          <w:szCs w:val="28"/>
        </w:rPr>
        <w:t xml:space="preserve"> MAINTENANCE ISSUES OF EMS VEHICLES – STATE SUSPENDS LICENSE – INSTEAD OF ADMIN. APPEAL, WENT TO COURT – COURT OF APPEALS UPHOLDS SUSPENSION</w:t>
      </w:r>
    </w:p>
    <w:p w14:paraId="65296453" w14:textId="77777777" w:rsidR="00FA7B26" w:rsidRPr="00290F9C" w:rsidRDefault="00FA7B26" w:rsidP="00FA7B26">
      <w:pPr>
        <w:spacing w:before="100" w:beforeAutospacing="1" w:after="100" w:afterAutospacing="1" w:line="240" w:lineRule="auto"/>
        <w:rPr>
          <w:rFonts w:ascii="Times New Roman" w:hAnsi="Times New Roman"/>
          <w:sz w:val="24"/>
          <w:szCs w:val="24"/>
        </w:rPr>
      </w:pPr>
      <w:r w:rsidRPr="00290F9C">
        <w:rPr>
          <w:rFonts w:ascii="Times New Roman" w:hAnsi="Times New Roman"/>
          <w:sz w:val="24"/>
          <w:szCs w:val="24"/>
        </w:rPr>
        <w:t xml:space="preserve">On May 27, 2020, in </w:t>
      </w:r>
      <w:proofErr w:type="spellStart"/>
      <w:r w:rsidRPr="00290F9C">
        <w:rPr>
          <w:rFonts w:ascii="Times New Roman" w:hAnsi="Times New Roman"/>
          <w:sz w:val="24"/>
          <w:szCs w:val="24"/>
          <w:u w:val="single"/>
        </w:rPr>
        <w:t>Americare</w:t>
      </w:r>
      <w:proofErr w:type="spellEnd"/>
      <w:r w:rsidRPr="00290F9C">
        <w:rPr>
          <w:rFonts w:ascii="Times New Roman" w:hAnsi="Times New Roman"/>
          <w:sz w:val="24"/>
          <w:szCs w:val="24"/>
          <w:u w:val="single"/>
        </w:rPr>
        <w:t xml:space="preserve"> Emergency Medical Service, Inc. v. City of Orange Township; State of New Jersey Department of Health, Office of EMS, et al.</w:t>
      </w:r>
      <w:r w:rsidRPr="00290F9C">
        <w:rPr>
          <w:rFonts w:ascii="Times New Roman" w:hAnsi="Times New Roman"/>
          <w:sz w:val="24"/>
          <w:szCs w:val="24"/>
        </w:rPr>
        <w:t>, the Superior Court of New Jersey Appellate Division, held (3 to 0) in unpublished decision that the State’s suspension is reinstated</w:t>
      </w:r>
      <w:r>
        <w:rPr>
          <w:rFonts w:ascii="Times New Roman" w:hAnsi="Times New Roman"/>
          <w:sz w:val="24"/>
          <w:szCs w:val="24"/>
        </w:rPr>
        <w:t>; they must exhaust administrative appeal to Commissioner of Dept. of Health</w:t>
      </w:r>
      <w:r w:rsidRPr="00290F9C">
        <w:rPr>
          <w:rFonts w:ascii="Times New Roman" w:hAnsi="Times New Roman"/>
          <w:sz w:val="24"/>
          <w:szCs w:val="24"/>
        </w:rPr>
        <w:t xml:space="preserve">.  </w:t>
      </w:r>
      <w:hyperlink r:id="rId2359" w:history="1">
        <w:r w:rsidRPr="00290F9C">
          <w:rPr>
            <w:rStyle w:val="Hyperlink"/>
            <w:sz w:val="24"/>
            <w:szCs w:val="24"/>
          </w:rPr>
          <w:t>https://njcourts.gov/attorneys/assets/opinions/appellate/published/a0117-19.pdf?c=WwB</w:t>
        </w:r>
      </w:hyperlink>
      <w:r w:rsidRPr="00290F9C">
        <w:rPr>
          <w:rFonts w:ascii="Times New Roman" w:hAnsi="Times New Roman"/>
          <w:sz w:val="24"/>
          <w:szCs w:val="24"/>
        </w:rPr>
        <w:t xml:space="preserve"> </w:t>
      </w:r>
    </w:p>
    <w:p w14:paraId="6D248F8B" w14:textId="77777777" w:rsidR="00FA7B26" w:rsidRPr="00290F9C" w:rsidRDefault="00FA7B26" w:rsidP="00FA7B26">
      <w:pPr>
        <w:spacing w:after="0" w:line="240" w:lineRule="auto"/>
        <w:jc w:val="both"/>
        <w:rPr>
          <w:rFonts w:ascii="Times New Roman" w:hAnsi="Times New Roman"/>
          <w:b/>
          <w:bCs/>
          <w:sz w:val="24"/>
          <w:szCs w:val="24"/>
        </w:rPr>
      </w:pPr>
      <w:r w:rsidRPr="00290F9C">
        <w:rPr>
          <w:rFonts w:ascii="Times New Roman" w:hAnsi="Times New Roman"/>
          <w:b/>
          <w:bCs/>
          <w:sz w:val="24"/>
          <w:szCs w:val="24"/>
        </w:rPr>
        <w:t>Legal Lessons Learned:</w:t>
      </w:r>
      <w:r>
        <w:rPr>
          <w:rFonts w:ascii="Times New Roman" w:hAnsi="Times New Roman"/>
          <w:b/>
          <w:bCs/>
          <w:sz w:val="24"/>
          <w:szCs w:val="24"/>
        </w:rPr>
        <w:t xml:space="preserve"> Proper maintenance of EMS transport vehicles is extremely important; it is generally best to exhaust administrative appeals before going to Court.</w:t>
      </w:r>
    </w:p>
    <w:p w14:paraId="2EA3C321" w14:textId="77777777" w:rsidR="00FA7B26" w:rsidRDefault="00FA7B26" w:rsidP="00FA7B26">
      <w:pPr>
        <w:spacing w:before="100" w:beforeAutospacing="1" w:after="100" w:afterAutospacing="1" w:line="240" w:lineRule="auto"/>
        <w:rPr>
          <w:rFonts w:ascii="Times New Roman" w:eastAsia="Times New Roman" w:hAnsi="Times New Roman"/>
          <w:sz w:val="24"/>
          <w:szCs w:val="24"/>
        </w:rPr>
      </w:pPr>
    </w:p>
    <w:p w14:paraId="5F55F461" w14:textId="77777777" w:rsidR="00FA7B26" w:rsidRDefault="00FA7B26" w:rsidP="002B1283">
      <w:pPr>
        <w:rPr>
          <w:rFonts w:ascii="Arial Black" w:hAnsi="Arial Black"/>
          <w:b/>
          <w:bCs/>
          <w:sz w:val="28"/>
          <w:szCs w:val="28"/>
        </w:rPr>
      </w:pPr>
    </w:p>
    <w:p w14:paraId="036ED8A8" w14:textId="77777777" w:rsidR="00FA7B26" w:rsidRDefault="00FA7B26" w:rsidP="002B1283">
      <w:pPr>
        <w:rPr>
          <w:rFonts w:ascii="Arial Black" w:hAnsi="Arial Black"/>
          <w:b/>
          <w:bCs/>
          <w:sz w:val="28"/>
          <w:szCs w:val="28"/>
        </w:rPr>
      </w:pPr>
    </w:p>
    <w:p w14:paraId="00C93788" w14:textId="05615E64" w:rsidR="00FA7B26" w:rsidRDefault="00FA7B26" w:rsidP="002B1283">
      <w:pPr>
        <w:rPr>
          <w:rFonts w:ascii="Arial Black" w:hAnsi="Arial Black"/>
          <w:b/>
          <w:bCs/>
          <w:sz w:val="28"/>
          <w:szCs w:val="28"/>
        </w:rPr>
      </w:pPr>
      <w:r>
        <w:rPr>
          <w:rFonts w:ascii="Arial Black" w:hAnsi="Arial Black"/>
          <w:b/>
          <w:bCs/>
          <w:sz w:val="28"/>
          <w:szCs w:val="28"/>
        </w:rPr>
        <w:t>13-55</w:t>
      </w:r>
    </w:p>
    <w:p w14:paraId="44F0F00C" w14:textId="2E48C118" w:rsidR="00FA7B26" w:rsidRPr="00C42FC3" w:rsidRDefault="00FA7B26" w:rsidP="00FA7B26">
      <w:pPr>
        <w:spacing w:before="100" w:beforeAutospacing="1" w:after="100" w:afterAutospacing="1" w:line="240" w:lineRule="auto"/>
        <w:rPr>
          <w:rFonts w:ascii="Arial Black" w:eastAsia="Times New Roman" w:hAnsi="Arial Black"/>
          <w:sz w:val="24"/>
          <w:szCs w:val="24"/>
        </w:rPr>
      </w:pPr>
      <w:bookmarkStart w:id="455" w:name="_Hlk42171981"/>
      <w:r w:rsidRPr="000B01EB">
        <w:rPr>
          <w:rFonts w:ascii="Arial Black" w:eastAsia="Times New Roman" w:hAnsi="Arial Black"/>
          <w:sz w:val="28"/>
          <w:szCs w:val="28"/>
        </w:rPr>
        <w:t>NY:</w:t>
      </w:r>
      <w:r>
        <w:rPr>
          <w:rFonts w:ascii="Arial Black" w:eastAsia="Times New Roman" w:hAnsi="Arial Black"/>
          <w:sz w:val="28"/>
          <w:szCs w:val="28"/>
        </w:rPr>
        <w:t xml:space="preserve"> DIF</w:t>
      </w:r>
      <w:r w:rsidR="00DC0660">
        <w:rPr>
          <w:rFonts w:ascii="Arial Black" w:eastAsia="Times New Roman" w:hAnsi="Arial Black"/>
          <w:sz w:val="28"/>
          <w:szCs w:val="28"/>
        </w:rPr>
        <w:t>F</w:t>
      </w:r>
      <w:r>
        <w:rPr>
          <w:rFonts w:ascii="Arial Black" w:eastAsia="Times New Roman" w:hAnsi="Arial Black"/>
          <w:sz w:val="28"/>
          <w:szCs w:val="28"/>
        </w:rPr>
        <w:t xml:space="preserve">ICULTY BREATHING CALL - RAPID PD RESPONSE, BUT 20 MINUTES </w:t>
      </w:r>
      <w:r w:rsidRPr="00C42FC3">
        <w:rPr>
          <w:rFonts w:ascii="Arial Black" w:eastAsia="Times New Roman" w:hAnsi="Arial Black"/>
          <w:sz w:val="28"/>
          <w:szCs w:val="28"/>
        </w:rPr>
        <w:t>MUTUAL</w:t>
      </w:r>
      <w:r>
        <w:rPr>
          <w:rFonts w:ascii="Arial Black" w:eastAsia="Times New Roman" w:hAnsi="Arial Black"/>
          <w:sz w:val="28"/>
          <w:szCs w:val="28"/>
        </w:rPr>
        <w:t xml:space="preserve"> AID</w:t>
      </w:r>
      <w:r w:rsidRPr="00C42FC3">
        <w:rPr>
          <w:rFonts w:ascii="Arial Black" w:eastAsia="Times New Roman" w:hAnsi="Arial Black"/>
          <w:sz w:val="28"/>
          <w:szCs w:val="28"/>
        </w:rPr>
        <w:t xml:space="preserve"> AMBULANCE - GOVERNMENTAL IMMUNITY</w:t>
      </w:r>
      <w:r>
        <w:rPr>
          <w:rFonts w:ascii="Arial Black" w:eastAsia="Times New Roman" w:hAnsi="Arial Black"/>
          <w:sz w:val="28"/>
          <w:szCs w:val="28"/>
        </w:rPr>
        <w:t xml:space="preserve"> - NO</w:t>
      </w:r>
      <w:r w:rsidRPr="00C42FC3">
        <w:rPr>
          <w:rFonts w:ascii="Arial Black" w:eastAsia="Times New Roman" w:hAnsi="Arial Black"/>
          <w:sz w:val="28"/>
          <w:szCs w:val="28"/>
        </w:rPr>
        <w:t xml:space="preserve"> “SPECIAL DUTY” </w:t>
      </w:r>
      <w:r>
        <w:rPr>
          <w:rFonts w:ascii="Arial Black" w:eastAsia="Times New Roman" w:hAnsi="Arial Black"/>
          <w:sz w:val="28"/>
          <w:szCs w:val="28"/>
        </w:rPr>
        <w:t>OWED</w:t>
      </w:r>
    </w:p>
    <w:bookmarkEnd w:id="455"/>
    <w:p w14:paraId="45901E8D" w14:textId="6A35DA9E" w:rsidR="00FA7B26" w:rsidRDefault="00FA7B26" w:rsidP="00FA7B26">
      <w:pPr>
        <w:rPr>
          <w:rFonts w:ascii="Arial Black" w:hAnsi="Arial Black"/>
          <w:b/>
          <w:bCs/>
          <w:sz w:val="28"/>
          <w:szCs w:val="28"/>
        </w:rPr>
      </w:pPr>
      <w:r w:rsidRPr="00C42FC3">
        <w:rPr>
          <w:rFonts w:ascii="Times New Roman" w:eastAsia="Times New Roman" w:hAnsi="Times New Roman"/>
          <w:sz w:val="24"/>
          <w:szCs w:val="24"/>
        </w:rPr>
        <w:t xml:space="preserve">On May 27, 2020, in </w:t>
      </w:r>
      <w:r w:rsidRPr="00C42FC3">
        <w:rPr>
          <w:rFonts w:ascii="Times New Roman" w:eastAsia="Times New Roman" w:hAnsi="Times New Roman"/>
          <w:sz w:val="24"/>
          <w:szCs w:val="24"/>
          <w:u w:val="single"/>
        </w:rPr>
        <w:t>Kathlene Marks-Barcia v. Village of Sleepy Hollow Ambulance Corps, et al.</w:t>
      </w:r>
      <w:r w:rsidRPr="00C42FC3">
        <w:rPr>
          <w:rFonts w:ascii="Times New Roman" w:eastAsia="Times New Roman" w:hAnsi="Times New Roman"/>
          <w:sz w:val="24"/>
          <w:szCs w:val="24"/>
        </w:rPr>
        <w:t xml:space="preserve">, </w:t>
      </w:r>
      <w:r>
        <w:rPr>
          <w:rFonts w:ascii="Times New Roman" w:eastAsia="Times New Roman" w:hAnsi="Times New Roman"/>
          <w:sz w:val="24"/>
          <w:szCs w:val="24"/>
        </w:rPr>
        <w:t xml:space="preserve">the Supreme Court of New York, Appellate Division (Second Judicial Department), held (3 to 0) that the trial judge properly granted summary judgment to the Village since they owed no “special duty” to the 911 caller or her husband.  </w:t>
      </w:r>
      <w:hyperlink r:id="rId2360" w:history="1">
        <w:r w:rsidRPr="00082B39">
          <w:rPr>
            <w:rStyle w:val="Hyperlink"/>
            <w:sz w:val="24"/>
            <w:szCs w:val="24"/>
          </w:rPr>
          <w:t>https://iapps.courts.state.ny.us/search/wicket/page?2-IResourceListener-pnlResultContainer-pnlResult-2-lnkDocument</w:t>
        </w:r>
      </w:hyperlink>
    </w:p>
    <w:p w14:paraId="1365AC58" w14:textId="77777777" w:rsidR="00FA7B26" w:rsidRPr="00FA61E9" w:rsidRDefault="00FA7B26" w:rsidP="00FA7B26">
      <w:pPr>
        <w:spacing w:before="100" w:beforeAutospacing="1" w:after="100" w:afterAutospacing="1" w:line="240" w:lineRule="auto"/>
        <w:jc w:val="both"/>
        <w:rPr>
          <w:rFonts w:ascii="Times New Roman" w:eastAsia="Times New Roman" w:hAnsi="Times New Roman"/>
          <w:b/>
          <w:bCs/>
          <w:sz w:val="24"/>
          <w:szCs w:val="24"/>
        </w:rPr>
      </w:pPr>
      <w:r w:rsidRPr="00FA61E9">
        <w:rPr>
          <w:rFonts w:ascii="Times New Roman" w:eastAsia="Times New Roman" w:hAnsi="Times New Roman"/>
          <w:b/>
          <w:bCs/>
          <w:sz w:val="24"/>
          <w:szCs w:val="24"/>
        </w:rPr>
        <w:t>Legal Lessons Learned:</w:t>
      </w:r>
      <w:r>
        <w:rPr>
          <w:rFonts w:ascii="Times New Roman" w:eastAsia="Times New Roman" w:hAnsi="Times New Roman"/>
          <w:b/>
          <w:bCs/>
          <w:sz w:val="24"/>
          <w:szCs w:val="24"/>
        </w:rPr>
        <w:t xml:space="preserve"> Governmental immunity is an important protection against liability for EMS.</w:t>
      </w:r>
    </w:p>
    <w:p w14:paraId="128E909E" w14:textId="3E91570E" w:rsidR="00FA7B26" w:rsidRPr="00FA7B26" w:rsidRDefault="00FA7B26" w:rsidP="00FA7B26">
      <w:pPr>
        <w:ind w:left="720"/>
        <w:rPr>
          <w:rFonts w:ascii="Times New Roman" w:hAnsi="Times New Roman"/>
          <w:sz w:val="24"/>
          <w:szCs w:val="24"/>
        </w:rPr>
      </w:pPr>
      <w:r w:rsidRPr="00FA7B26">
        <w:rPr>
          <w:rFonts w:ascii="Times New Roman" w:hAnsi="Times New Roman"/>
          <w:sz w:val="24"/>
          <w:szCs w:val="24"/>
        </w:rPr>
        <w:t xml:space="preserve">Note:  Some states, such as Florida, have by statute abolished the “Professional Rescuer Rule” [also known as “Fireman’s Rule”]. See Florida 2019 statute: </w:t>
      </w:r>
      <w:hyperlink r:id="rId2361" w:history="1">
        <w:r w:rsidRPr="00FA7B26">
          <w:rPr>
            <w:rStyle w:val="Hyperlink"/>
            <w:rFonts w:ascii="Times New Roman" w:hAnsi="Times New Roman"/>
            <w:sz w:val="24"/>
            <w:szCs w:val="24"/>
          </w:rPr>
          <w:t>http://www.leg.state.fl.us/statutes/index.cfm?App_mode=Display_Statute&amp;Search_String=&amp;URL=0100-0199/0112/Sections/0112.182.html</w:t>
        </w:r>
      </w:hyperlink>
    </w:p>
    <w:p w14:paraId="42778FA6" w14:textId="426407DD" w:rsidR="00FA7B26" w:rsidRDefault="00FA7B26" w:rsidP="002B1283">
      <w:pPr>
        <w:rPr>
          <w:rFonts w:ascii="Arial Black" w:hAnsi="Arial Black"/>
          <w:b/>
          <w:bCs/>
          <w:sz w:val="28"/>
          <w:szCs w:val="28"/>
        </w:rPr>
      </w:pPr>
      <w:r>
        <w:rPr>
          <w:rFonts w:ascii="Arial Black" w:hAnsi="Arial Black"/>
          <w:b/>
          <w:bCs/>
          <w:sz w:val="28"/>
          <w:szCs w:val="28"/>
        </w:rPr>
        <w:t>13-54</w:t>
      </w:r>
    </w:p>
    <w:p w14:paraId="0D4867B0" w14:textId="77777777" w:rsidR="00FA7B26" w:rsidRPr="003E7024" w:rsidRDefault="00FA7B26" w:rsidP="00FA7B26">
      <w:pPr>
        <w:tabs>
          <w:tab w:val="left" w:pos="820"/>
        </w:tabs>
        <w:spacing w:before="100" w:beforeAutospacing="1" w:after="100" w:afterAutospacing="1" w:line="240" w:lineRule="auto"/>
        <w:rPr>
          <w:rFonts w:ascii="Arial Black" w:eastAsia="Times New Roman" w:hAnsi="Arial Black"/>
          <w:b/>
          <w:bCs/>
          <w:sz w:val="28"/>
          <w:szCs w:val="28"/>
        </w:rPr>
      </w:pPr>
      <w:bookmarkStart w:id="456" w:name="_Hlk42171919"/>
      <w:r w:rsidRPr="003E7024">
        <w:rPr>
          <w:rFonts w:ascii="Arial Black" w:eastAsia="Times New Roman" w:hAnsi="Arial Black"/>
          <w:b/>
          <w:bCs/>
          <w:sz w:val="28"/>
          <w:szCs w:val="28"/>
        </w:rPr>
        <w:t xml:space="preserve">IL: </w:t>
      </w:r>
      <w:r>
        <w:rPr>
          <w:rFonts w:ascii="Arial Black" w:eastAsia="Times New Roman" w:hAnsi="Arial Black"/>
          <w:b/>
          <w:bCs/>
          <w:sz w:val="28"/>
          <w:szCs w:val="28"/>
        </w:rPr>
        <w:t xml:space="preserve">TRANSP. FEMALE FROM PD TO HOSPITAL - KICKED PARAMEDIC IN NECK – CONVICTED BY JURY AGGRAVATED BATTERY – VIDEO FROM HOSPITAL / PHOTO OF MEDIC’S BRUISED NECK – SENTENCED </w:t>
      </w:r>
      <w:r w:rsidRPr="003E7024">
        <w:rPr>
          <w:rFonts w:ascii="Arial Black" w:eastAsia="Times New Roman" w:hAnsi="Arial Black"/>
          <w:b/>
          <w:bCs/>
          <w:sz w:val="28"/>
          <w:szCs w:val="28"/>
        </w:rPr>
        <w:t xml:space="preserve">2 YEARS </w:t>
      </w:r>
      <w:r>
        <w:rPr>
          <w:rFonts w:ascii="Arial Black" w:eastAsia="Times New Roman" w:hAnsi="Arial Black"/>
          <w:b/>
          <w:bCs/>
          <w:sz w:val="28"/>
          <w:szCs w:val="28"/>
        </w:rPr>
        <w:t xml:space="preserve">IN </w:t>
      </w:r>
      <w:r w:rsidRPr="003E7024">
        <w:rPr>
          <w:rFonts w:ascii="Arial Black" w:eastAsia="Times New Roman" w:hAnsi="Arial Black"/>
          <w:b/>
          <w:bCs/>
          <w:sz w:val="28"/>
          <w:szCs w:val="28"/>
        </w:rPr>
        <w:t>PRISON</w:t>
      </w:r>
    </w:p>
    <w:p w14:paraId="2DBE90D9" w14:textId="77777777" w:rsidR="00FA7B26" w:rsidRDefault="00FA7B26" w:rsidP="00FA7B26">
      <w:pPr>
        <w:spacing w:before="100" w:beforeAutospacing="1" w:after="100" w:afterAutospacing="1" w:line="240" w:lineRule="auto"/>
        <w:rPr>
          <w:rFonts w:ascii="Times New Roman" w:hAnsi="Times New Roman"/>
          <w:sz w:val="24"/>
          <w:szCs w:val="24"/>
        </w:rPr>
      </w:pPr>
      <w:r w:rsidRPr="003E7024">
        <w:rPr>
          <w:rFonts w:ascii="Times New Roman" w:hAnsi="Times New Roman"/>
          <w:sz w:val="24"/>
          <w:szCs w:val="24"/>
        </w:rPr>
        <w:t xml:space="preserve">On May 13, 2020, in </w:t>
      </w:r>
      <w:r w:rsidRPr="003E7024">
        <w:rPr>
          <w:rFonts w:ascii="Times New Roman" w:hAnsi="Times New Roman"/>
          <w:sz w:val="24"/>
          <w:szCs w:val="24"/>
          <w:u w:val="single"/>
        </w:rPr>
        <w:t>The People of State of Illinois v. Krystina Stoch</w:t>
      </w:r>
      <w:r>
        <w:rPr>
          <w:rFonts w:ascii="Times New Roman" w:hAnsi="Times New Roman"/>
          <w:sz w:val="24"/>
          <w:szCs w:val="24"/>
        </w:rPr>
        <w:t xml:space="preserve">, the Appellate Court of Illinois, First District, held (3 to 0) that conviction of aggravated battery was affirmed, and rejected the defense that she didn’t intend to hurt the paramedic when she kicked out at him when being moved from stretcher to a wheel chair at the hospital. </w:t>
      </w:r>
      <w:hyperlink r:id="rId2362" w:history="1">
        <w:r w:rsidRPr="00C46C1D">
          <w:rPr>
            <w:rStyle w:val="Hyperlink"/>
            <w:sz w:val="24"/>
            <w:szCs w:val="24"/>
          </w:rPr>
          <w:t>https://courts.illinois.gov/R23_Orders/AppellateCourt/2020/1stDistrict/1172189_R23.pdf</w:t>
        </w:r>
      </w:hyperlink>
      <w:r>
        <w:rPr>
          <w:rFonts w:ascii="Times New Roman" w:hAnsi="Times New Roman"/>
          <w:sz w:val="24"/>
          <w:szCs w:val="24"/>
        </w:rPr>
        <w:t xml:space="preserve"> </w:t>
      </w:r>
    </w:p>
    <w:p w14:paraId="6E853503" w14:textId="77777777" w:rsidR="00FA7B26" w:rsidRPr="005E414E" w:rsidRDefault="00FA7B26" w:rsidP="00FA7B26">
      <w:pPr>
        <w:spacing w:before="100" w:beforeAutospacing="1" w:after="100" w:afterAutospacing="1" w:line="240" w:lineRule="auto"/>
        <w:jc w:val="both"/>
        <w:rPr>
          <w:rFonts w:ascii="Times New Roman" w:eastAsia="Times New Roman" w:hAnsi="Times New Roman"/>
          <w:b/>
          <w:bCs/>
          <w:sz w:val="24"/>
          <w:szCs w:val="24"/>
        </w:rPr>
      </w:pPr>
      <w:r w:rsidRPr="005E414E">
        <w:rPr>
          <w:rFonts w:ascii="Times New Roman" w:hAnsi="Times New Roman"/>
          <w:b/>
          <w:bCs/>
          <w:sz w:val="24"/>
          <w:szCs w:val="24"/>
        </w:rPr>
        <w:t>Legal Lessons Learned:</w:t>
      </w:r>
      <w:r>
        <w:rPr>
          <w:rFonts w:ascii="Times New Roman" w:hAnsi="Times New Roman"/>
          <w:b/>
          <w:bCs/>
          <w:sz w:val="24"/>
          <w:szCs w:val="24"/>
        </w:rPr>
        <w:t xml:space="preserve"> The hospital video, and photo of the paramedic’s bruised neck, were shown to the jury. </w:t>
      </w:r>
    </w:p>
    <w:bookmarkEnd w:id="456"/>
    <w:p w14:paraId="4676AD53" w14:textId="77777777" w:rsidR="00FA7B26" w:rsidRDefault="00FA7B26" w:rsidP="002B1283">
      <w:pPr>
        <w:rPr>
          <w:rFonts w:ascii="Arial Black" w:hAnsi="Arial Black"/>
          <w:b/>
          <w:bCs/>
          <w:sz w:val="28"/>
          <w:szCs w:val="28"/>
        </w:rPr>
      </w:pPr>
    </w:p>
    <w:p w14:paraId="02620294" w14:textId="6F4508FC" w:rsidR="00FA7B26" w:rsidRDefault="00FA7B26" w:rsidP="002B1283">
      <w:pPr>
        <w:rPr>
          <w:rFonts w:ascii="Arial Black" w:hAnsi="Arial Black"/>
          <w:b/>
          <w:bCs/>
          <w:sz w:val="28"/>
          <w:szCs w:val="28"/>
        </w:rPr>
      </w:pPr>
      <w:r>
        <w:rPr>
          <w:rFonts w:ascii="Arial Black" w:hAnsi="Arial Black"/>
          <w:b/>
          <w:bCs/>
          <w:sz w:val="28"/>
          <w:szCs w:val="28"/>
        </w:rPr>
        <w:t>13-53</w:t>
      </w:r>
    </w:p>
    <w:p w14:paraId="69459F1D" w14:textId="77777777" w:rsidR="00FA7B26" w:rsidRDefault="00FA7B26" w:rsidP="00FA7B26">
      <w:pPr>
        <w:spacing w:before="100" w:beforeAutospacing="1" w:after="100" w:afterAutospacing="1" w:line="240" w:lineRule="auto"/>
        <w:rPr>
          <w:rFonts w:ascii="Arial Black" w:hAnsi="Arial Black"/>
          <w:sz w:val="28"/>
          <w:szCs w:val="28"/>
        </w:rPr>
      </w:pPr>
      <w:r w:rsidRPr="008324B8">
        <w:rPr>
          <w:rFonts w:ascii="Arial Black" w:hAnsi="Arial Black"/>
          <w:sz w:val="28"/>
          <w:szCs w:val="28"/>
        </w:rPr>
        <w:lastRenderedPageBreak/>
        <w:t xml:space="preserve">NY:  </w:t>
      </w:r>
      <w:r>
        <w:rPr>
          <w:rFonts w:ascii="Arial Black" w:hAnsi="Arial Black"/>
          <w:sz w:val="28"/>
          <w:szCs w:val="28"/>
        </w:rPr>
        <w:t xml:space="preserve">PATIENT LEG PAIN, FLUID – EMS ADVISED SEE HER DOCTOR IN MORNING – SIGNED “RMA” REFUSAL MEDICAL ASSISTANCE – DIED 6 DAYS LATER - IMMUNITY </w:t>
      </w:r>
    </w:p>
    <w:p w14:paraId="5E0B0EDA" w14:textId="2EF60BEE" w:rsidR="00FA7B26" w:rsidRDefault="00FA7B26" w:rsidP="00FA7B26">
      <w:pPr>
        <w:rPr>
          <w:rFonts w:ascii="Arial Black" w:hAnsi="Arial Black"/>
          <w:b/>
          <w:bCs/>
          <w:sz w:val="28"/>
          <w:szCs w:val="28"/>
        </w:rPr>
      </w:pPr>
      <w:r w:rsidRPr="008324B8">
        <w:rPr>
          <w:rFonts w:ascii="Times New Roman" w:hAnsi="Times New Roman"/>
          <w:sz w:val="24"/>
          <w:szCs w:val="24"/>
        </w:rPr>
        <w:t xml:space="preserve">On May 5, 2020, </w:t>
      </w:r>
      <w:r>
        <w:rPr>
          <w:rFonts w:ascii="Times New Roman" w:hAnsi="Times New Roman"/>
          <w:sz w:val="24"/>
          <w:szCs w:val="24"/>
        </w:rPr>
        <w:t xml:space="preserve">in </w:t>
      </w:r>
      <w:r w:rsidRPr="008324B8">
        <w:rPr>
          <w:rFonts w:ascii="Times New Roman" w:hAnsi="Times New Roman"/>
          <w:sz w:val="24"/>
          <w:szCs w:val="24"/>
          <w:u w:val="single"/>
        </w:rPr>
        <w:t>Anthony L. Pioli, Administrator Estate of Anna Pioli v. New York City Fire Department et al</w:t>
      </w:r>
      <w:r>
        <w:rPr>
          <w:rFonts w:ascii="Times New Roman" w:hAnsi="Times New Roman"/>
          <w:sz w:val="24"/>
          <w:szCs w:val="24"/>
        </w:rPr>
        <w:t>., Judge Rosemarie Montalbano, Supreme Court of the State of New York, County of Kings: Part 22, dismissed the lawsuit since the EMTs did not owe a “Special Duty” to the patient. In addition, “</w:t>
      </w:r>
      <w:r w:rsidRPr="008324B8">
        <w:rPr>
          <w:rFonts w:ascii="Times New Roman" w:hAnsi="Times New Roman"/>
          <w:sz w:val="24"/>
          <w:szCs w:val="24"/>
        </w:rPr>
        <w:t xml:space="preserve">The decedent signed the RMA </w:t>
      </w:r>
      <w:r>
        <w:rPr>
          <w:rFonts w:ascii="Times New Roman" w:hAnsi="Times New Roman"/>
          <w:sz w:val="24"/>
          <w:szCs w:val="24"/>
        </w:rPr>
        <w:t xml:space="preserve">[Refusal of Medical Assistance] </w:t>
      </w:r>
      <w:r w:rsidRPr="008324B8">
        <w:rPr>
          <w:rFonts w:ascii="Times New Roman" w:hAnsi="Times New Roman"/>
          <w:sz w:val="24"/>
          <w:szCs w:val="24"/>
        </w:rPr>
        <w:t>expressly stating that she did not want to be transported to the hospital.</w:t>
      </w:r>
      <w:r>
        <w:rPr>
          <w:rFonts w:ascii="Times New Roman" w:hAnsi="Times New Roman"/>
          <w:sz w:val="24"/>
          <w:szCs w:val="24"/>
        </w:rPr>
        <w:t xml:space="preserve">” </w:t>
      </w:r>
      <w:hyperlink r:id="rId2363" w:history="1">
        <w:r w:rsidRPr="00B56DB8">
          <w:rPr>
            <w:rStyle w:val="Hyperlink"/>
            <w:sz w:val="24"/>
            <w:szCs w:val="24"/>
          </w:rPr>
          <w:t>https://public.fastcase.com/Wl%2B2t%2BeVuI35%2FN70vAMFZmo%2BcULZ%2FcXakIqGXvRrcFYkKri8LBojVsP%2FOvCVPfk0</w:t>
        </w:r>
      </w:hyperlink>
    </w:p>
    <w:p w14:paraId="3EBF49B8" w14:textId="77777777" w:rsidR="00FA7B26" w:rsidRDefault="00FA7B26" w:rsidP="00FA7B26">
      <w:pPr>
        <w:spacing w:before="100" w:beforeAutospacing="1" w:after="100" w:afterAutospacing="1" w:line="240" w:lineRule="auto"/>
        <w:rPr>
          <w:b/>
          <w:bCs/>
        </w:rPr>
      </w:pPr>
      <w:r w:rsidRPr="0045403E">
        <w:rPr>
          <w:rFonts w:ascii="Times New Roman" w:eastAsia="Times New Roman" w:hAnsi="Times New Roman"/>
          <w:b/>
          <w:bCs/>
          <w:sz w:val="24"/>
          <w:szCs w:val="24"/>
        </w:rPr>
        <w:t>Legal Lessons Learned:</w:t>
      </w:r>
      <w:r>
        <w:rPr>
          <w:rFonts w:ascii="Times New Roman" w:eastAsia="Times New Roman" w:hAnsi="Times New Roman"/>
          <w:b/>
          <w:bCs/>
          <w:sz w:val="24"/>
          <w:szCs w:val="24"/>
        </w:rPr>
        <w:t xml:space="preserve"> The Special Duty doctrine helps protect EMS and their employers from liability.  If patient is complaining of leg pain and using fluid, consider a call to Medical Control at the hospital. </w:t>
      </w:r>
    </w:p>
    <w:p w14:paraId="5D72C13D" w14:textId="77777777" w:rsidR="00FA7B26" w:rsidRDefault="00FA7B26" w:rsidP="002B1283">
      <w:pPr>
        <w:rPr>
          <w:rFonts w:ascii="Arial Black" w:hAnsi="Arial Black"/>
          <w:b/>
          <w:bCs/>
          <w:sz w:val="28"/>
          <w:szCs w:val="28"/>
        </w:rPr>
      </w:pPr>
    </w:p>
    <w:p w14:paraId="2B5C6EF8" w14:textId="0509A104" w:rsidR="0012517E" w:rsidRDefault="0012517E" w:rsidP="002B1283">
      <w:pPr>
        <w:rPr>
          <w:rFonts w:ascii="Arial Black" w:hAnsi="Arial Black"/>
          <w:b/>
          <w:bCs/>
          <w:sz w:val="28"/>
          <w:szCs w:val="28"/>
        </w:rPr>
      </w:pPr>
      <w:r>
        <w:rPr>
          <w:rFonts w:ascii="Arial Black" w:hAnsi="Arial Black"/>
          <w:b/>
          <w:bCs/>
          <w:sz w:val="28"/>
          <w:szCs w:val="28"/>
        </w:rPr>
        <w:t>13-52</w:t>
      </w:r>
    </w:p>
    <w:p w14:paraId="423AADCC" w14:textId="77777777" w:rsidR="0012517E" w:rsidRDefault="0012517E" w:rsidP="0012517E">
      <w:pPr>
        <w:pStyle w:val="NoSpacing"/>
        <w:rPr>
          <w:rFonts w:ascii="Arial Black" w:hAnsi="Arial Black"/>
          <w:sz w:val="28"/>
          <w:szCs w:val="28"/>
        </w:rPr>
      </w:pPr>
      <w:bookmarkStart w:id="457" w:name="_Hlk38437817"/>
      <w:r>
        <w:rPr>
          <w:rFonts w:ascii="Arial Black" w:hAnsi="Arial Black"/>
          <w:sz w:val="28"/>
          <w:szCs w:val="28"/>
        </w:rPr>
        <w:t>NM: CORONA VIRUS – MEGA CHURCH CHALLENGED LIMIT OF 5 PEOPLE – DENIED TEMPORARY RESTRAINING ORDER</w:t>
      </w:r>
    </w:p>
    <w:p w14:paraId="602A3390" w14:textId="77777777" w:rsidR="0012517E" w:rsidRPr="00AE3A49" w:rsidRDefault="0012517E" w:rsidP="0012517E">
      <w:pPr>
        <w:pStyle w:val="NormalWeb"/>
      </w:pPr>
      <w:r w:rsidRPr="00AE3A49">
        <w:t xml:space="preserve">On </w:t>
      </w:r>
      <w:bookmarkStart w:id="458" w:name="_Hlk39849351"/>
      <w:r w:rsidRPr="00AE3A49">
        <w:t xml:space="preserve">April 17, 2020, </w:t>
      </w:r>
      <w:r w:rsidRPr="00AE3A49">
        <w:rPr>
          <w:u w:val="single"/>
        </w:rPr>
        <w:t>in Legacy Church, Inc. v. Kathyleen M. Kunkel and State of New Mexico</w:t>
      </w:r>
      <w:bookmarkEnd w:id="458"/>
      <w:r w:rsidRPr="00AE3A49">
        <w:t xml:space="preserve">, U.S. District Court Judge James O/ Browning denied the church’s motion for temporary restraining order. Legacy Church has nearly 20,000 members, with church services held in four locations in Albuquerque.  Kathyleen M. Kunkel is New Mexico’s Secretary of Health Department; on March 24, 2020, Secretary Kunkel issued the Public Health Order, which ordered all non-essential businesses to close, ordered all of the state's non-essential workforce to work from home, and ordered New Mexico citizens to ‘stay at home and undertake only those outings absolutely necessary for their health, safety, or welfare.’ </w:t>
      </w:r>
    </w:p>
    <w:bookmarkEnd w:id="457"/>
    <w:p w14:paraId="4E090DF4" w14:textId="77777777" w:rsidR="0012517E" w:rsidRDefault="0012517E" w:rsidP="0012517E">
      <w:pPr>
        <w:pStyle w:val="NoSpacing"/>
        <w:ind w:left="720"/>
        <w:rPr>
          <w:rFonts w:ascii="Times New Roman" w:hAnsi="Times New Roman"/>
          <w:bCs/>
          <w:sz w:val="24"/>
          <w:szCs w:val="24"/>
        </w:rPr>
      </w:pPr>
      <w:r w:rsidRPr="00AE3A49">
        <w:rPr>
          <w:rFonts w:ascii="Times New Roman" w:hAnsi="Times New Roman"/>
          <w:bCs/>
          <w:sz w:val="24"/>
          <w:szCs w:val="24"/>
        </w:rPr>
        <w:t xml:space="preserve">“The Court denies the Motion. The Court concludes, first, that the Eleventh Amendment prohibits Legacy Church's suit insofar as it seeks relief against the state of New Mexico. Second, the Court concludes that Legacy Church is not substantially likely to succeed on the merits of its Free Exercise claim. Specifically, the April 11 Order is both neutral and generally applicable, and there is no evidence of animus against Christianity </w:t>
      </w:r>
      <w:proofErr w:type="gramStart"/>
      <w:r w:rsidRPr="00AE3A49">
        <w:rPr>
          <w:rFonts w:ascii="Times New Roman" w:hAnsi="Times New Roman"/>
          <w:bCs/>
          <w:sz w:val="24"/>
          <w:szCs w:val="24"/>
        </w:rPr>
        <w:t>in particular or</w:t>
      </w:r>
      <w:proofErr w:type="gramEnd"/>
      <w:r w:rsidRPr="00AE3A49">
        <w:rPr>
          <w:rFonts w:ascii="Times New Roman" w:hAnsi="Times New Roman"/>
          <w:bCs/>
          <w:sz w:val="24"/>
          <w:szCs w:val="24"/>
        </w:rPr>
        <w:t xml:space="preserve"> against religion in general. Accordingly, the April 11 Order is subject to rational basis review, which it satisfies. Third, the Court concludes that Legacy Church is not likely to succeed on its assembly claim, because the April 11 Order </w:t>
      </w:r>
      <w:proofErr w:type="gramStart"/>
      <w:r w:rsidRPr="00AE3A49">
        <w:rPr>
          <w:rFonts w:ascii="Times New Roman" w:hAnsi="Times New Roman"/>
          <w:bCs/>
          <w:sz w:val="24"/>
          <w:szCs w:val="24"/>
        </w:rPr>
        <w:t>not only is</w:t>
      </w:r>
      <w:proofErr w:type="gramEnd"/>
      <w:r w:rsidRPr="00AE3A49">
        <w:rPr>
          <w:rFonts w:ascii="Times New Roman" w:hAnsi="Times New Roman"/>
          <w:bCs/>
          <w:sz w:val="24"/>
          <w:szCs w:val="24"/>
        </w:rPr>
        <w:t xml:space="preserve"> narrowly tailored with sufficient alternatives for Legacy Church to assemble and mitigating a state pandemic is a compelling interest. Fourth, the Court concludes that Legacy Church has not demonstrated that it will suffer irreparable harm in a TRO's absence, it has not demonstrated that the equities weigh in a TRO's favor, and it has not demonstrated that a TRO is in the public interest. Accordingly, the Court denies the TRO.</w:t>
      </w:r>
      <w:bookmarkStart w:id="459" w:name="_Hlk38437842"/>
      <w:r w:rsidRPr="00AE3A49">
        <w:rPr>
          <w:rFonts w:ascii="Times New Roman" w:hAnsi="Times New Roman"/>
          <w:bCs/>
          <w:sz w:val="24"/>
          <w:szCs w:val="24"/>
        </w:rPr>
        <w:t xml:space="preserve"> … </w:t>
      </w:r>
      <w:r w:rsidRPr="00AE3A49">
        <w:rPr>
          <w:rFonts w:ascii="Times New Roman" w:eastAsia="Times New Roman" w:hAnsi="Times New Roman"/>
          <w:bCs/>
          <w:sz w:val="24"/>
          <w:szCs w:val="24"/>
        </w:rPr>
        <w:t>Footnote 16:</w:t>
      </w:r>
      <w:r w:rsidRPr="00AE3A49">
        <w:rPr>
          <w:rFonts w:ascii="Times New Roman" w:hAnsi="Times New Roman"/>
          <w:bCs/>
          <w:sz w:val="24"/>
          <w:szCs w:val="24"/>
        </w:rPr>
        <w:t xml:space="preserve"> The Court does not want its Memorandum Opinion to be read to minimize the importance of faith in people's lives. </w:t>
      </w:r>
      <w:proofErr w:type="gramStart"/>
      <w:r w:rsidRPr="00AE3A49">
        <w:rPr>
          <w:rFonts w:ascii="Times New Roman" w:hAnsi="Times New Roman"/>
          <w:bCs/>
          <w:sz w:val="24"/>
          <w:szCs w:val="24"/>
        </w:rPr>
        <w:t>Certainly</w:t>
      </w:r>
      <w:proofErr w:type="gramEnd"/>
      <w:r w:rsidRPr="00AE3A49">
        <w:rPr>
          <w:rFonts w:ascii="Times New Roman" w:hAnsi="Times New Roman"/>
          <w:bCs/>
          <w:sz w:val="24"/>
          <w:szCs w:val="24"/>
        </w:rPr>
        <w:t xml:space="preserve"> religion is the centerpiece of many people's lives, and many individuals may feel as if religion saved their life. But </w:t>
      </w:r>
    </w:p>
    <w:p w14:paraId="4C692008" w14:textId="77777777" w:rsidR="0012517E" w:rsidRDefault="0012517E" w:rsidP="0012517E">
      <w:pPr>
        <w:pStyle w:val="NoSpacing"/>
        <w:ind w:left="720"/>
        <w:rPr>
          <w:rFonts w:ascii="Times New Roman" w:hAnsi="Times New Roman"/>
          <w:bCs/>
          <w:sz w:val="24"/>
          <w:szCs w:val="24"/>
        </w:rPr>
      </w:pPr>
    </w:p>
    <w:p w14:paraId="77FEBD4D" w14:textId="77777777" w:rsidR="0012517E" w:rsidRPr="00AE3A49" w:rsidRDefault="0012517E" w:rsidP="0012517E">
      <w:pPr>
        <w:pStyle w:val="NoSpacing"/>
        <w:ind w:left="720"/>
        <w:rPr>
          <w:rFonts w:ascii="Times New Roman" w:eastAsia="Times New Roman" w:hAnsi="Times New Roman"/>
          <w:b/>
          <w:bCs/>
          <w:sz w:val="24"/>
          <w:szCs w:val="24"/>
        </w:rPr>
      </w:pPr>
      <w:r w:rsidRPr="00AE3A49">
        <w:rPr>
          <w:rFonts w:ascii="Times New Roman" w:hAnsi="Times New Roman"/>
          <w:bCs/>
          <w:sz w:val="24"/>
          <w:szCs w:val="24"/>
        </w:rPr>
        <w:t xml:space="preserve">essential services focus on the public as a whole -- essential businesses are essential for the lives of everyone, because they are necessary to ensure public health and welfare.” </w:t>
      </w:r>
      <w:bookmarkStart w:id="460" w:name="_Hlk39849371"/>
      <w:bookmarkStart w:id="461" w:name="_Hlk42172466"/>
      <w:r w:rsidR="00BC38B6">
        <w:lastRenderedPageBreak/>
        <w:fldChar w:fldCharType="begin"/>
      </w:r>
      <w:r w:rsidR="00BC38B6">
        <w:instrText xml:space="preserve"> HYPERLINK "https://public.fastcase.com/Wl%2B2t%2BeVuI35%2FN70vAMFZh8%2BLXJi%2BseM2%2Fc2jHlkq%2FfbJ38UuR%2FQUxRgZcrAfdvd" </w:instrText>
      </w:r>
      <w:r w:rsidR="00BC38B6">
        <w:fldChar w:fldCharType="separate"/>
      </w:r>
      <w:r w:rsidRPr="00AE3A49">
        <w:rPr>
          <w:rStyle w:val="Hyperlink"/>
          <w:rFonts w:ascii="Times New Roman" w:hAnsi="Times New Roman"/>
          <w:b/>
          <w:sz w:val="24"/>
          <w:szCs w:val="24"/>
        </w:rPr>
        <w:t>https://public.fastcase.com/Wl%2B2t%2BeVuI35%2FN70vAMFZh8%2BLXJi%2BseM2%2Fc2jHlkq%2FfbJ38UuR%2FQUxRgZcrAfdvd</w:t>
      </w:r>
      <w:r w:rsidR="00BC38B6">
        <w:rPr>
          <w:rStyle w:val="Hyperlink"/>
          <w:rFonts w:ascii="Times New Roman" w:hAnsi="Times New Roman"/>
          <w:b/>
          <w:sz w:val="24"/>
          <w:szCs w:val="24"/>
        </w:rPr>
        <w:fldChar w:fldCharType="end"/>
      </w:r>
      <w:bookmarkEnd w:id="460"/>
      <w:r w:rsidRPr="00AE3A49">
        <w:rPr>
          <w:rFonts w:ascii="Times New Roman" w:hAnsi="Times New Roman"/>
          <w:bCs/>
          <w:sz w:val="24"/>
          <w:szCs w:val="24"/>
        </w:rPr>
        <w:t xml:space="preserve"> </w:t>
      </w:r>
    </w:p>
    <w:bookmarkEnd w:id="459"/>
    <w:p w14:paraId="02B1307B" w14:textId="77777777" w:rsidR="0012517E" w:rsidRPr="00AE3A49" w:rsidRDefault="0012517E" w:rsidP="0012517E">
      <w:pPr>
        <w:spacing w:before="100" w:beforeAutospacing="1" w:after="100" w:afterAutospacing="1" w:line="240" w:lineRule="auto"/>
        <w:rPr>
          <w:rFonts w:ascii="Times New Roman" w:eastAsia="Times New Roman" w:hAnsi="Times New Roman"/>
          <w:b/>
          <w:bCs/>
          <w:sz w:val="24"/>
          <w:szCs w:val="24"/>
        </w:rPr>
      </w:pPr>
      <w:r w:rsidRPr="00AE3A49">
        <w:rPr>
          <w:rFonts w:ascii="Times New Roman" w:eastAsia="Times New Roman" w:hAnsi="Times New Roman"/>
          <w:b/>
          <w:bCs/>
          <w:sz w:val="24"/>
          <w:szCs w:val="24"/>
        </w:rPr>
        <w:t xml:space="preserve">Legal Lessons Learned: Public health and welfare </w:t>
      </w:r>
      <w:proofErr w:type="gramStart"/>
      <w:r w:rsidRPr="00AE3A49">
        <w:rPr>
          <w:rFonts w:ascii="Times New Roman" w:eastAsia="Times New Roman" w:hAnsi="Times New Roman"/>
          <w:b/>
          <w:bCs/>
          <w:sz w:val="24"/>
          <w:szCs w:val="24"/>
        </w:rPr>
        <w:t>prevails</w:t>
      </w:r>
      <w:proofErr w:type="gramEnd"/>
      <w:r w:rsidRPr="00AE3A49">
        <w:rPr>
          <w:rFonts w:ascii="Times New Roman" w:eastAsia="Times New Roman" w:hAnsi="Times New Roman"/>
          <w:b/>
          <w:bCs/>
          <w:sz w:val="24"/>
          <w:szCs w:val="24"/>
        </w:rPr>
        <w:t xml:space="preserve"> over a church’s desire to hold large gatherings.   </w:t>
      </w:r>
    </w:p>
    <w:p w14:paraId="629D9BC0" w14:textId="77777777" w:rsidR="0012517E" w:rsidRPr="00AE3A49" w:rsidRDefault="0012517E" w:rsidP="0012517E">
      <w:pPr>
        <w:pStyle w:val="Heading2"/>
        <w:ind w:left="720"/>
        <w:rPr>
          <w:rFonts w:ascii="Times New Roman" w:hAnsi="Times New Roman"/>
          <w:sz w:val="24"/>
          <w:szCs w:val="24"/>
        </w:rPr>
      </w:pPr>
      <w:r w:rsidRPr="00AE3A49">
        <w:rPr>
          <w:rFonts w:ascii="Times New Roman" w:hAnsi="Times New Roman"/>
          <w:b w:val="0"/>
          <w:bCs w:val="0"/>
          <w:i w:val="0"/>
          <w:iCs w:val="0"/>
          <w:sz w:val="24"/>
          <w:szCs w:val="24"/>
        </w:rPr>
        <w:t xml:space="preserve">Note: See this April 26, </w:t>
      </w:r>
      <w:proofErr w:type="gramStart"/>
      <w:r w:rsidRPr="00AE3A49">
        <w:rPr>
          <w:rFonts w:ascii="Times New Roman" w:hAnsi="Times New Roman"/>
          <w:b w:val="0"/>
          <w:bCs w:val="0"/>
          <w:i w:val="0"/>
          <w:iCs w:val="0"/>
          <w:sz w:val="24"/>
          <w:szCs w:val="24"/>
        </w:rPr>
        <w:t>2020</w:t>
      </w:r>
      <w:proofErr w:type="gramEnd"/>
      <w:r w:rsidRPr="00AE3A49">
        <w:rPr>
          <w:rFonts w:ascii="Times New Roman" w:hAnsi="Times New Roman"/>
          <w:b w:val="0"/>
          <w:bCs w:val="0"/>
          <w:i w:val="0"/>
          <w:iCs w:val="0"/>
          <w:sz w:val="24"/>
          <w:szCs w:val="24"/>
        </w:rPr>
        <w:t xml:space="preserve"> article, “Breaking: Church, Louisville, KY Mayor Reach Agreement in Dispute Over Drive-in Church Services,” </w:t>
      </w:r>
      <w:hyperlink r:id="rId2364" w:history="1">
        <w:r w:rsidRPr="00AE3A49">
          <w:rPr>
            <w:rStyle w:val="Hyperlink"/>
            <w:rFonts w:ascii="Times New Roman" w:hAnsi="Times New Roman"/>
            <w:b w:val="0"/>
            <w:bCs w:val="0"/>
            <w:i w:val="0"/>
            <w:iCs w:val="0"/>
            <w:sz w:val="24"/>
            <w:szCs w:val="24"/>
          </w:rPr>
          <w:t>https://firstliberty.org/media/breaking-church-louisville-ky-mayor-reach-agreement-in-dispute-over-drive-in-church-services/</w:t>
        </w:r>
      </w:hyperlink>
      <w:r w:rsidRPr="00AE3A49">
        <w:rPr>
          <w:rFonts w:ascii="Times New Roman" w:hAnsi="Times New Roman"/>
          <w:sz w:val="24"/>
          <w:szCs w:val="24"/>
        </w:rPr>
        <w:t xml:space="preserve"> </w:t>
      </w:r>
    </w:p>
    <w:bookmarkEnd w:id="461"/>
    <w:p w14:paraId="536CF004" w14:textId="77777777" w:rsidR="0012517E" w:rsidRPr="00AE3A49" w:rsidRDefault="0012517E" w:rsidP="0012517E">
      <w:pPr>
        <w:pStyle w:val="NoSpacing"/>
        <w:rPr>
          <w:rStyle w:val="citation"/>
          <w:rFonts w:ascii="Times New Roman" w:hAnsi="Times New Roman"/>
          <w:b/>
          <w:bCs/>
          <w:sz w:val="24"/>
          <w:szCs w:val="24"/>
        </w:rPr>
      </w:pPr>
    </w:p>
    <w:p w14:paraId="40EFB604" w14:textId="77777777" w:rsidR="0012517E" w:rsidRDefault="0012517E" w:rsidP="002B1283">
      <w:pPr>
        <w:rPr>
          <w:rFonts w:ascii="Arial Black" w:hAnsi="Arial Black"/>
          <w:b/>
          <w:bCs/>
          <w:sz w:val="28"/>
          <w:szCs w:val="28"/>
        </w:rPr>
      </w:pPr>
    </w:p>
    <w:p w14:paraId="0EDEF8B8" w14:textId="1419E841" w:rsidR="0012517E" w:rsidRDefault="0012517E" w:rsidP="002B1283">
      <w:pPr>
        <w:rPr>
          <w:rFonts w:ascii="Arial Black" w:hAnsi="Arial Black"/>
          <w:b/>
          <w:bCs/>
          <w:sz w:val="28"/>
          <w:szCs w:val="28"/>
        </w:rPr>
      </w:pPr>
      <w:r>
        <w:rPr>
          <w:rFonts w:ascii="Arial Black" w:hAnsi="Arial Black"/>
          <w:b/>
          <w:bCs/>
          <w:sz w:val="28"/>
          <w:szCs w:val="28"/>
        </w:rPr>
        <w:t>13-51</w:t>
      </w:r>
    </w:p>
    <w:p w14:paraId="29C69799" w14:textId="77777777" w:rsidR="0012517E" w:rsidRDefault="0012517E" w:rsidP="0012517E">
      <w:pPr>
        <w:pStyle w:val="NoSpacing"/>
        <w:rPr>
          <w:rFonts w:ascii="Arial Black" w:hAnsi="Arial Black"/>
          <w:b/>
          <w:bCs/>
          <w:sz w:val="28"/>
          <w:szCs w:val="28"/>
        </w:rPr>
      </w:pPr>
      <w:bookmarkStart w:id="462" w:name="_Hlk39772248"/>
      <w:r w:rsidRPr="005635B3">
        <w:rPr>
          <w:rFonts w:ascii="Arial Black" w:hAnsi="Arial Black"/>
          <w:bCs/>
          <w:sz w:val="28"/>
          <w:szCs w:val="28"/>
        </w:rPr>
        <w:t xml:space="preserve">NJ: </w:t>
      </w:r>
      <w:r>
        <w:rPr>
          <w:rFonts w:ascii="Arial Black" w:hAnsi="Arial Black"/>
          <w:bCs/>
          <w:sz w:val="28"/>
          <w:szCs w:val="28"/>
        </w:rPr>
        <w:t xml:space="preserve">RETALIATION - EMS SUPERVISOR FIRED – WOULD NOT GIVE FALSE INFO ON EMT SUING HOSP. FOR SEX HAR.  </w:t>
      </w:r>
    </w:p>
    <w:p w14:paraId="42B29921" w14:textId="77777777" w:rsidR="0012517E" w:rsidRDefault="0012517E" w:rsidP="0012517E">
      <w:pPr>
        <w:pStyle w:val="NoSpacing"/>
        <w:rPr>
          <w:rFonts w:ascii="Arial Black" w:hAnsi="Arial Black"/>
          <w:b/>
          <w:bCs/>
          <w:sz w:val="28"/>
          <w:szCs w:val="28"/>
        </w:rPr>
      </w:pPr>
    </w:p>
    <w:p w14:paraId="58A96AF1" w14:textId="04B44F44" w:rsidR="0012517E" w:rsidRPr="00AE3A49" w:rsidRDefault="0012517E" w:rsidP="0012517E">
      <w:pPr>
        <w:pStyle w:val="NoSpacing"/>
        <w:rPr>
          <w:rFonts w:ascii="Times New Roman" w:hAnsi="Times New Roman"/>
          <w:b/>
          <w:bCs/>
          <w:sz w:val="24"/>
          <w:szCs w:val="24"/>
        </w:rPr>
      </w:pPr>
      <w:r w:rsidRPr="00AE3A49">
        <w:rPr>
          <w:rFonts w:ascii="Times New Roman" w:hAnsi="Times New Roman"/>
          <w:bCs/>
          <w:sz w:val="24"/>
          <w:szCs w:val="24"/>
        </w:rPr>
        <w:t xml:space="preserve">On April 14, 2020, in </w:t>
      </w:r>
      <w:r w:rsidRPr="00AE3A49">
        <w:rPr>
          <w:rFonts w:ascii="Times New Roman" w:hAnsi="Times New Roman"/>
          <w:bCs/>
          <w:sz w:val="24"/>
          <w:szCs w:val="24"/>
          <w:u w:val="single"/>
        </w:rPr>
        <w:t>Emiliano Rio v. Meadowlands Hospital Medical Center</w:t>
      </w:r>
      <w:r w:rsidRPr="00AE3A49">
        <w:rPr>
          <w:rFonts w:ascii="Times New Roman" w:hAnsi="Times New Roman"/>
          <w:bCs/>
          <w:sz w:val="24"/>
          <w:szCs w:val="24"/>
        </w:rPr>
        <w:t xml:space="preserve">, the Superior Court of New Jersey, Appellative Division, held (3 to 0) that the trial court judge improperly granted the hospital’s motion for summary judgement;  the EMS Supervisor’s retaliation lawsuit may now proceed to trial.  </w:t>
      </w:r>
    </w:p>
    <w:p w14:paraId="7678853A" w14:textId="77777777" w:rsidR="0012517E" w:rsidRPr="00AE3A49" w:rsidRDefault="0012517E" w:rsidP="0012517E">
      <w:pPr>
        <w:pStyle w:val="NoSpacing"/>
        <w:rPr>
          <w:rFonts w:ascii="Times New Roman" w:hAnsi="Times New Roman"/>
          <w:b/>
          <w:bCs/>
          <w:sz w:val="24"/>
          <w:szCs w:val="24"/>
        </w:rPr>
      </w:pPr>
    </w:p>
    <w:p w14:paraId="089BEE92" w14:textId="77777777" w:rsidR="0012517E" w:rsidRPr="00AE3A49" w:rsidRDefault="0012517E" w:rsidP="0012517E">
      <w:pPr>
        <w:pStyle w:val="NoSpacing"/>
        <w:ind w:left="720"/>
        <w:rPr>
          <w:rFonts w:ascii="Times New Roman" w:hAnsi="Times New Roman"/>
          <w:b/>
          <w:bCs/>
          <w:sz w:val="24"/>
          <w:szCs w:val="24"/>
        </w:rPr>
      </w:pPr>
      <w:r w:rsidRPr="00AE3A49">
        <w:rPr>
          <w:rFonts w:ascii="Times New Roman" w:hAnsi="Times New Roman"/>
          <w:bCs/>
          <w:sz w:val="24"/>
          <w:szCs w:val="24"/>
        </w:rPr>
        <w:t xml:space="preserve">“Based on our review of the record, we are convinced the motion court erred in its determination plaintiff did not present sufficient evidence establishing the good faith and reasonable basis prerequisite for a LAD retaliatory discharge claim established by our Supreme Court in Carmona v. Resorts International Hotel, Inc., 189 N.J. 354, 372 (2007), and we reverse and remand for further proceedings….The facts proffered by plaintiff, which we accept as true for our analysis of the court's disposition of the summary judgment motion, show defendant attempted to retaliate against Bailey for the filing of her LAD complaint. Following the filing of [Ms.] Bailey's [sexual harassment] complaint, defendant requested plaintiff file a baseless complaint for a restraining order against Bailey; conjure up false complaints about Bailey; and make false statements about her. Those requests constitute an attempt by defendant to commit ‘an unlawful employment practice’ in violation of N.J.S.A. 10:5-12(d)—retaliation against Bailey for her filing of a sexual harassment complaint.” </w:t>
      </w:r>
      <w:hyperlink r:id="rId2365" w:history="1">
        <w:r w:rsidRPr="00AE3A49">
          <w:rPr>
            <w:rStyle w:val="Hyperlink"/>
            <w:rFonts w:ascii="Times New Roman" w:hAnsi="Times New Roman"/>
            <w:b/>
            <w:sz w:val="24"/>
            <w:szCs w:val="24"/>
          </w:rPr>
          <w:t>https://njcourts.gov/attorneys/assets/opinions/appellate/published/a3846-18.pdf?c=Npo</w:t>
        </w:r>
      </w:hyperlink>
      <w:r w:rsidRPr="00AE3A49">
        <w:rPr>
          <w:rFonts w:ascii="Times New Roman" w:hAnsi="Times New Roman"/>
          <w:bCs/>
          <w:sz w:val="24"/>
          <w:szCs w:val="24"/>
        </w:rPr>
        <w:t xml:space="preserve"> </w:t>
      </w:r>
    </w:p>
    <w:p w14:paraId="611C0B1D" w14:textId="77777777" w:rsidR="0012517E" w:rsidRPr="00AE3A49" w:rsidRDefault="0012517E" w:rsidP="0012517E">
      <w:pPr>
        <w:pStyle w:val="NoSpacing"/>
        <w:ind w:left="720"/>
        <w:rPr>
          <w:rFonts w:ascii="Times New Roman" w:hAnsi="Times New Roman"/>
          <w:b/>
          <w:bCs/>
          <w:sz w:val="24"/>
          <w:szCs w:val="24"/>
        </w:rPr>
      </w:pPr>
    </w:p>
    <w:bookmarkEnd w:id="462"/>
    <w:p w14:paraId="1057EFD3" w14:textId="77777777" w:rsidR="0012517E" w:rsidRPr="00AE3A49" w:rsidRDefault="0012517E" w:rsidP="0012517E">
      <w:pPr>
        <w:pStyle w:val="NoSpacing"/>
        <w:rPr>
          <w:rFonts w:ascii="Times New Roman" w:hAnsi="Times New Roman"/>
          <w:b/>
          <w:bCs/>
          <w:sz w:val="24"/>
          <w:szCs w:val="24"/>
        </w:rPr>
      </w:pPr>
      <w:r w:rsidRPr="00AE3A49">
        <w:rPr>
          <w:rFonts w:ascii="Times New Roman" w:hAnsi="Times New Roman"/>
          <w:b/>
          <w:bCs/>
          <w:sz w:val="24"/>
          <w:szCs w:val="24"/>
        </w:rPr>
        <w:t xml:space="preserve">Legal Lessons Learned: Employers sued for sexual harassment must be extremely careful in discussions with employees about their dealings with the plaintiff.   It is often best to leave this to legal counsel. </w:t>
      </w:r>
    </w:p>
    <w:p w14:paraId="18983AEF" w14:textId="77777777" w:rsidR="0012517E" w:rsidRPr="00AE3A49" w:rsidRDefault="0012517E" w:rsidP="0012517E">
      <w:pPr>
        <w:pStyle w:val="NoSpacing"/>
        <w:ind w:left="720"/>
        <w:rPr>
          <w:rFonts w:ascii="Times New Roman" w:hAnsi="Times New Roman"/>
          <w:b/>
          <w:bCs/>
          <w:sz w:val="24"/>
          <w:szCs w:val="24"/>
        </w:rPr>
      </w:pPr>
    </w:p>
    <w:p w14:paraId="43D19246" w14:textId="77777777" w:rsidR="0012517E" w:rsidRDefault="0012517E" w:rsidP="002B1283">
      <w:pPr>
        <w:rPr>
          <w:rFonts w:ascii="Arial Black" w:hAnsi="Arial Black"/>
          <w:b/>
          <w:bCs/>
          <w:sz w:val="28"/>
          <w:szCs w:val="28"/>
        </w:rPr>
      </w:pPr>
    </w:p>
    <w:p w14:paraId="4D6EBAAE" w14:textId="1AF85495" w:rsidR="0012517E" w:rsidRDefault="0012517E" w:rsidP="002B1283">
      <w:pPr>
        <w:rPr>
          <w:rFonts w:ascii="Arial Black" w:hAnsi="Arial Black"/>
          <w:b/>
          <w:bCs/>
          <w:sz w:val="28"/>
          <w:szCs w:val="28"/>
        </w:rPr>
      </w:pPr>
      <w:r>
        <w:rPr>
          <w:rFonts w:ascii="Arial Black" w:hAnsi="Arial Black"/>
          <w:b/>
          <w:bCs/>
          <w:sz w:val="28"/>
          <w:szCs w:val="28"/>
        </w:rPr>
        <w:t>13-50</w:t>
      </w:r>
    </w:p>
    <w:p w14:paraId="41A015E7" w14:textId="77777777" w:rsidR="0012517E" w:rsidRPr="009F24CE" w:rsidRDefault="0012517E" w:rsidP="0012517E">
      <w:pPr>
        <w:pStyle w:val="NoSpacing"/>
        <w:rPr>
          <w:rFonts w:ascii="Arial Black" w:hAnsi="Arial Black"/>
          <w:sz w:val="28"/>
          <w:szCs w:val="28"/>
        </w:rPr>
      </w:pPr>
      <w:bookmarkStart w:id="463" w:name="_Hlk39772341"/>
      <w:r w:rsidRPr="009F24CE">
        <w:rPr>
          <w:rFonts w:ascii="Arial Black" w:hAnsi="Arial Black"/>
          <w:sz w:val="28"/>
          <w:szCs w:val="28"/>
        </w:rPr>
        <w:t xml:space="preserve">PA: </w:t>
      </w:r>
      <w:r>
        <w:rPr>
          <w:rFonts w:ascii="Arial Black" w:hAnsi="Arial Black"/>
          <w:sz w:val="28"/>
          <w:szCs w:val="28"/>
        </w:rPr>
        <w:t xml:space="preserve">CORONA VIRUS – POL. CANDIDATE, </w:t>
      </w:r>
      <w:r w:rsidRPr="009F24CE">
        <w:rPr>
          <w:rFonts w:ascii="Arial Black" w:hAnsi="Arial Black"/>
          <w:sz w:val="28"/>
          <w:szCs w:val="28"/>
        </w:rPr>
        <w:t>REAL ESTATE</w:t>
      </w:r>
      <w:r>
        <w:rPr>
          <w:rFonts w:ascii="Arial Black" w:hAnsi="Arial Black"/>
          <w:sz w:val="28"/>
          <w:szCs w:val="28"/>
        </w:rPr>
        <w:t xml:space="preserve"> AGENT</w:t>
      </w:r>
      <w:r w:rsidRPr="009F24CE">
        <w:rPr>
          <w:rFonts w:ascii="Arial Black" w:hAnsi="Arial Black"/>
          <w:sz w:val="28"/>
          <w:szCs w:val="28"/>
        </w:rPr>
        <w:t>, GOLF COURSE</w:t>
      </w:r>
      <w:r>
        <w:rPr>
          <w:rFonts w:ascii="Arial Black" w:hAnsi="Arial Black"/>
          <w:sz w:val="28"/>
          <w:szCs w:val="28"/>
        </w:rPr>
        <w:t xml:space="preserve"> SHUT DOWN - TRO DENIED</w:t>
      </w:r>
    </w:p>
    <w:p w14:paraId="35751ADB" w14:textId="77777777" w:rsidR="0012517E" w:rsidRDefault="0012517E" w:rsidP="0012517E">
      <w:pPr>
        <w:pStyle w:val="NoSpacing"/>
        <w:rPr>
          <w:b/>
          <w:bCs/>
          <w:sz w:val="24"/>
          <w:szCs w:val="24"/>
        </w:rPr>
      </w:pPr>
    </w:p>
    <w:p w14:paraId="68941886" w14:textId="77777777" w:rsidR="0012517E" w:rsidRPr="00AE3A49" w:rsidRDefault="0012517E" w:rsidP="0012517E">
      <w:pPr>
        <w:pStyle w:val="NoSpacing"/>
        <w:rPr>
          <w:rFonts w:ascii="Times New Roman" w:hAnsi="Times New Roman"/>
          <w:b/>
          <w:bCs/>
          <w:sz w:val="24"/>
          <w:szCs w:val="24"/>
        </w:rPr>
      </w:pPr>
      <w:r w:rsidRPr="00AE3A49">
        <w:rPr>
          <w:rFonts w:ascii="Times New Roman" w:hAnsi="Times New Roman"/>
          <w:bCs/>
          <w:sz w:val="24"/>
          <w:szCs w:val="24"/>
        </w:rPr>
        <w:t xml:space="preserve">On April 13, 2020, in </w:t>
      </w:r>
      <w:r w:rsidRPr="00AE3A49">
        <w:rPr>
          <w:rFonts w:ascii="Times New Roman" w:hAnsi="Times New Roman"/>
          <w:bCs/>
          <w:sz w:val="24"/>
          <w:szCs w:val="24"/>
          <w:u w:val="single"/>
        </w:rPr>
        <w:t>Friends of Danny Devito, et al. v. Tom Wolf, Governor</w:t>
      </w:r>
      <w:r w:rsidRPr="00AE3A49">
        <w:rPr>
          <w:rFonts w:ascii="Times New Roman" w:hAnsi="Times New Roman"/>
          <w:bCs/>
          <w:sz w:val="24"/>
          <w:szCs w:val="24"/>
        </w:rPr>
        <w:t xml:space="preserve">, Supreme Court of Pennsylvania, Middle District, the Court held (4 to 3), that Governor lawfully declared an Emergency, and he could shut down </w:t>
      </w:r>
      <w:r w:rsidRPr="00AE3A49">
        <w:rPr>
          <w:rFonts w:ascii="Times New Roman" w:hAnsi="Times New Roman"/>
          <w:bCs/>
          <w:sz w:val="24"/>
          <w:szCs w:val="24"/>
        </w:rPr>
        <w:lastRenderedPageBreak/>
        <w:t xml:space="preserve">their businesses: Candidate for PA House of Representatives; real estate agent; public golf course and restaurant. </w:t>
      </w:r>
    </w:p>
    <w:p w14:paraId="147DCC23" w14:textId="77777777" w:rsidR="0012517E" w:rsidRPr="00AE3A49" w:rsidRDefault="0012517E" w:rsidP="0012517E">
      <w:pPr>
        <w:pStyle w:val="NoSpacing"/>
        <w:rPr>
          <w:rFonts w:ascii="Times New Roman" w:hAnsi="Times New Roman"/>
          <w:b/>
          <w:bCs/>
          <w:sz w:val="24"/>
          <w:szCs w:val="24"/>
        </w:rPr>
      </w:pPr>
    </w:p>
    <w:p w14:paraId="44BB216A" w14:textId="14519AEE" w:rsidR="0012517E" w:rsidRDefault="0012517E" w:rsidP="0012517E">
      <w:pPr>
        <w:pStyle w:val="NoSpacing"/>
        <w:ind w:left="720"/>
        <w:rPr>
          <w:rFonts w:ascii="Times New Roman" w:hAnsi="Times New Roman"/>
          <w:bCs/>
          <w:sz w:val="24"/>
          <w:szCs w:val="24"/>
        </w:rPr>
      </w:pPr>
      <w:r w:rsidRPr="00AE3A49">
        <w:rPr>
          <w:rFonts w:ascii="Times New Roman" w:hAnsi="Times New Roman"/>
          <w:bCs/>
          <w:sz w:val="24"/>
          <w:szCs w:val="24"/>
        </w:rPr>
        <w:t xml:space="preserve">“Petitioners are four Pennsylvania businesses and one individual seeking extraordinary relief from Governor Wolf’s March 19, 2020 order (the ‘Executive Order’) compelling the closure of the physical operations of all non-life-sustaining business to reduce the spread of the novel coronavirus disease (‘COVID-19’).The businesses of the Petitioners were classified as non-life-sustaining…. Petitioners suggest that the public </w:t>
      </w:r>
    </w:p>
    <w:p w14:paraId="59FDA9FC" w14:textId="77777777" w:rsidR="0012517E" w:rsidRPr="00AE3A49" w:rsidRDefault="0012517E" w:rsidP="0012517E">
      <w:pPr>
        <w:pStyle w:val="NoSpacing"/>
        <w:ind w:left="720"/>
        <w:rPr>
          <w:rFonts w:ascii="Times New Roman" w:hAnsi="Times New Roman"/>
          <w:b/>
          <w:bCs/>
          <w:sz w:val="24"/>
          <w:szCs w:val="24"/>
        </w:rPr>
      </w:pPr>
      <w:r w:rsidRPr="00AE3A49">
        <w:rPr>
          <w:rFonts w:ascii="Times New Roman" w:hAnsi="Times New Roman"/>
          <w:bCs/>
          <w:sz w:val="24"/>
          <w:szCs w:val="24"/>
        </w:rPr>
        <w:t xml:space="preserve">interest would best be served by keeping businesses open to maintain the free flow of business. Although they cite to none, we are certain that there are some economists and social scientists who support that policy position. But the policy choice in this emergency was for the Governor and the Secretary to make and so long as the means chosen to meet the emergency are reasonably necessary for the purpose of combating the ravages of COVID-19, it is supported by the police power. The choice made by the Respondents was tailored to the nature of the emergency and utilized a recognized tool, business closures, to enforce social distancing to mitigate and suppress the continued spread of COVID-19. </w:t>
      </w:r>
      <w:hyperlink r:id="rId2366" w:history="1">
        <w:r w:rsidRPr="00AE3A49">
          <w:rPr>
            <w:rStyle w:val="Hyperlink"/>
            <w:rFonts w:ascii="Times New Roman" w:hAnsi="Times New Roman"/>
            <w:b/>
            <w:sz w:val="24"/>
            <w:szCs w:val="24"/>
          </w:rPr>
          <w:t>http://www.pacourts.us/assets/opinions/Supreme/out/68MM2020mo%20-%2010439399799476700.pdf?cb=1</w:t>
        </w:r>
      </w:hyperlink>
      <w:r w:rsidRPr="00AE3A49">
        <w:rPr>
          <w:rFonts w:ascii="Times New Roman" w:hAnsi="Times New Roman"/>
          <w:bCs/>
          <w:sz w:val="24"/>
          <w:szCs w:val="24"/>
        </w:rPr>
        <w:t xml:space="preserve"> </w:t>
      </w:r>
    </w:p>
    <w:bookmarkEnd w:id="463"/>
    <w:p w14:paraId="736F1783" w14:textId="77777777" w:rsidR="0012517E" w:rsidRPr="00AE3A49" w:rsidRDefault="0012517E" w:rsidP="0012517E">
      <w:pPr>
        <w:pStyle w:val="Heading1"/>
        <w:rPr>
          <w:bCs w:val="0"/>
          <w:sz w:val="24"/>
          <w:szCs w:val="24"/>
        </w:rPr>
      </w:pPr>
      <w:r w:rsidRPr="00AE3A49">
        <w:rPr>
          <w:bCs w:val="0"/>
          <w:sz w:val="24"/>
          <w:szCs w:val="24"/>
        </w:rPr>
        <w:t xml:space="preserve">Legal Lessons Learned:  Governor has broad emergency powers under State statutes. </w:t>
      </w:r>
    </w:p>
    <w:p w14:paraId="07E5FD2C" w14:textId="77777777" w:rsidR="0012517E" w:rsidRPr="00AE3A49" w:rsidRDefault="0012517E" w:rsidP="0012517E">
      <w:pPr>
        <w:pStyle w:val="Heading1"/>
        <w:ind w:left="720"/>
        <w:rPr>
          <w:b w:val="0"/>
          <w:bCs w:val="0"/>
          <w:sz w:val="24"/>
          <w:szCs w:val="24"/>
        </w:rPr>
      </w:pPr>
      <w:r w:rsidRPr="00AE3A49">
        <w:rPr>
          <w:b w:val="0"/>
          <w:sz w:val="24"/>
          <w:szCs w:val="24"/>
        </w:rPr>
        <w:t xml:space="preserve">Note: See newspaper article on the decision: “Split Pa. Supreme Court rejects latest challenge to Gov. Wolf’s coronavirus business shutdown order,” </w:t>
      </w:r>
      <w:hyperlink r:id="rId2367" w:history="1">
        <w:r w:rsidRPr="00AE3A49">
          <w:rPr>
            <w:rStyle w:val="Hyperlink"/>
            <w:sz w:val="24"/>
            <w:szCs w:val="24"/>
          </w:rPr>
          <w:t>https://www.pennlive.com/news/2020/04/split-pa-supreme-court-rejects-latest-challenge-to-gov-wolfs-coronavirus-business-shutdown-order.html</w:t>
        </w:r>
      </w:hyperlink>
      <w:r w:rsidRPr="00AE3A49">
        <w:rPr>
          <w:b w:val="0"/>
          <w:bCs w:val="0"/>
          <w:sz w:val="24"/>
          <w:szCs w:val="24"/>
        </w:rPr>
        <w:t xml:space="preserve"> </w:t>
      </w:r>
    </w:p>
    <w:p w14:paraId="12C7EEB2" w14:textId="77777777" w:rsidR="0012517E" w:rsidRDefault="0012517E" w:rsidP="002B1283">
      <w:pPr>
        <w:rPr>
          <w:rFonts w:ascii="Arial Black" w:hAnsi="Arial Black"/>
          <w:b/>
          <w:bCs/>
          <w:sz w:val="28"/>
          <w:szCs w:val="28"/>
        </w:rPr>
      </w:pPr>
    </w:p>
    <w:p w14:paraId="3BF8FAE3" w14:textId="2BFC8D5D" w:rsidR="0012517E" w:rsidRDefault="0012517E" w:rsidP="002B1283">
      <w:pPr>
        <w:rPr>
          <w:rFonts w:ascii="Arial Black" w:hAnsi="Arial Black"/>
          <w:b/>
          <w:bCs/>
          <w:sz w:val="28"/>
          <w:szCs w:val="28"/>
        </w:rPr>
      </w:pPr>
      <w:r>
        <w:rPr>
          <w:rFonts w:ascii="Arial Black" w:hAnsi="Arial Black"/>
          <w:b/>
          <w:bCs/>
          <w:sz w:val="28"/>
          <w:szCs w:val="28"/>
        </w:rPr>
        <w:t>13-49</w:t>
      </w:r>
    </w:p>
    <w:p w14:paraId="14C2C218" w14:textId="77777777" w:rsidR="0012517E" w:rsidRPr="009F24CE" w:rsidRDefault="0012517E" w:rsidP="0012517E">
      <w:pPr>
        <w:pStyle w:val="NoSpacing"/>
        <w:rPr>
          <w:rFonts w:ascii="Arial Black" w:hAnsi="Arial Black"/>
          <w:b/>
          <w:bCs/>
          <w:sz w:val="28"/>
          <w:szCs w:val="28"/>
        </w:rPr>
      </w:pPr>
      <w:bookmarkStart w:id="464" w:name="_Hlk38437864"/>
      <w:bookmarkStart w:id="465" w:name="_Hlk39772406"/>
      <w:r w:rsidRPr="009F24CE">
        <w:rPr>
          <w:rFonts w:ascii="Arial Black" w:hAnsi="Arial Black"/>
          <w:bCs/>
          <w:sz w:val="28"/>
          <w:szCs w:val="28"/>
        </w:rPr>
        <w:t xml:space="preserve">KS: </w:t>
      </w:r>
      <w:r>
        <w:rPr>
          <w:rFonts w:ascii="Arial Black" w:hAnsi="Arial Black"/>
          <w:bCs/>
          <w:sz w:val="28"/>
          <w:szCs w:val="28"/>
        </w:rPr>
        <w:t xml:space="preserve">CORONA VIRUS – STATE LEGISLATIVE COMMITTEE CAN’T OVERRULE GOVERNOR’S LIMITS 10 PEOPLE </w:t>
      </w:r>
    </w:p>
    <w:p w14:paraId="0E9CCFDD" w14:textId="77777777" w:rsidR="0012517E" w:rsidRDefault="0012517E" w:rsidP="0012517E">
      <w:pPr>
        <w:pStyle w:val="NoSpacing"/>
        <w:ind w:left="720"/>
        <w:rPr>
          <w:b/>
          <w:bCs/>
          <w:sz w:val="24"/>
          <w:szCs w:val="24"/>
        </w:rPr>
      </w:pPr>
    </w:p>
    <w:p w14:paraId="30DF0D27" w14:textId="77777777" w:rsidR="0012517E" w:rsidRPr="00D61723" w:rsidRDefault="0012517E" w:rsidP="0012517E">
      <w:pPr>
        <w:pStyle w:val="NoSpacing"/>
        <w:rPr>
          <w:rFonts w:ascii="Times New Roman" w:hAnsi="Times New Roman"/>
          <w:b/>
          <w:bCs/>
          <w:sz w:val="24"/>
          <w:szCs w:val="24"/>
        </w:rPr>
      </w:pPr>
      <w:r w:rsidRPr="00D61723">
        <w:rPr>
          <w:rFonts w:ascii="Times New Roman" w:hAnsi="Times New Roman"/>
          <w:bCs/>
          <w:sz w:val="24"/>
          <w:szCs w:val="24"/>
        </w:rPr>
        <w:t xml:space="preserve">On April 11, 2020, in </w:t>
      </w:r>
      <w:r w:rsidRPr="00D61723">
        <w:rPr>
          <w:rFonts w:ascii="Times New Roman" w:hAnsi="Times New Roman"/>
          <w:bCs/>
          <w:sz w:val="24"/>
          <w:szCs w:val="24"/>
          <w:u w:val="single"/>
        </w:rPr>
        <w:t>Governor Laura Kelly v. Legislative Coordinating Council, Kansas House of Representatives, and Kansas Senate</w:t>
      </w:r>
      <w:r w:rsidRPr="00D61723">
        <w:rPr>
          <w:rFonts w:ascii="Times New Roman" w:hAnsi="Times New Roman"/>
          <w:bCs/>
          <w:sz w:val="24"/>
          <w:szCs w:val="24"/>
        </w:rPr>
        <w:t>, the Kansas Supreme Court held (7 to 0) that the Legislative Council cannot revoke an Executive Order of the Governor.  On April 8, the LCC convened pursuant to HCR5025. By 5-to-2vote, it revoked Executive Order 20-18.</w:t>
      </w:r>
    </w:p>
    <w:bookmarkEnd w:id="464"/>
    <w:p w14:paraId="78087006" w14:textId="77777777" w:rsidR="0012517E" w:rsidRPr="00D61723" w:rsidRDefault="0012517E" w:rsidP="0012517E">
      <w:pPr>
        <w:pStyle w:val="NoSpacing"/>
        <w:ind w:left="720"/>
        <w:rPr>
          <w:rFonts w:ascii="Times New Roman" w:hAnsi="Times New Roman"/>
          <w:b/>
          <w:bCs/>
          <w:sz w:val="24"/>
          <w:szCs w:val="24"/>
        </w:rPr>
      </w:pPr>
    </w:p>
    <w:p w14:paraId="76BE94BB" w14:textId="77777777" w:rsidR="0012517E" w:rsidRPr="00D61723" w:rsidRDefault="0012517E" w:rsidP="0012517E">
      <w:pPr>
        <w:pStyle w:val="NoSpacing"/>
        <w:ind w:left="720"/>
        <w:rPr>
          <w:rFonts w:ascii="Times New Roman" w:hAnsi="Times New Roman"/>
          <w:b/>
          <w:bCs/>
          <w:sz w:val="24"/>
          <w:szCs w:val="24"/>
        </w:rPr>
      </w:pPr>
      <w:r w:rsidRPr="00D61723">
        <w:rPr>
          <w:rFonts w:ascii="Times New Roman" w:hAnsi="Times New Roman"/>
          <w:bCs/>
          <w:sz w:val="24"/>
          <w:szCs w:val="24"/>
        </w:rPr>
        <w:t>“On April 7, Governor Kelly used her K.S.A. 2019 Supp. 48-925(b) powers to issue Executive Order 20-18, relating to her March 12 emergency proclamation. Among other things, it temporarily prohibited, subject to several exemptions, ‘mass gatherings,’ defined as ‘any planned or spontaneous, public or private event[s] or convening[s] that will bring together or [are] likely to bring together more than 10 people in a confined or enclosed space at the same time.’ Executive Order 20-18 rescinded and replaced an earlier, substantially similar executive order. But Executive Order 20-18 differed in that it removed ‘[r]</w:t>
      </w:r>
      <w:proofErr w:type="spellStart"/>
      <w:r w:rsidRPr="00D61723">
        <w:rPr>
          <w:rFonts w:ascii="Times New Roman" w:hAnsi="Times New Roman"/>
          <w:bCs/>
          <w:sz w:val="24"/>
          <w:szCs w:val="24"/>
        </w:rPr>
        <w:t>eligious</w:t>
      </w:r>
      <w:proofErr w:type="spellEnd"/>
      <w:r w:rsidRPr="00D61723">
        <w:rPr>
          <w:rFonts w:ascii="Times New Roman" w:hAnsi="Times New Roman"/>
          <w:bCs/>
          <w:sz w:val="24"/>
          <w:szCs w:val="24"/>
        </w:rPr>
        <w:t xml:space="preserve"> gatherings’ and ‘[f]unreal or memorial services or ceremonies’ from the list of ‘activities or facilities’ exempt from the temporary prohibition of mass gatherings…. The Court has considered and grants in part the Governor's Petition in Quo Warranto. The LCC's purported revocation of Executive Order20-18 on April 8 was a nullity, because the LCC lacked authority do so under HCR5025's terms.” </w:t>
      </w:r>
      <w:bookmarkStart w:id="466" w:name="_Hlk38437889"/>
      <w:r w:rsidRPr="00D61723">
        <w:fldChar w:fldCharType="begin"/>
      </w:r>
      <w:r w:rsidRPr="00D61723">
        <w:rPr>
          <w:rFonts w:ascii="Times New Roman" w:hAnsi="Times New Roman"/>
          <w:sz w:val="24"/>
          <w:szCs w:val="24"/>
        </w:rPr>
        <w:instrText xml:space="preserve"> HYPERLINK "https://www.kscourts.org/KSCourts/media/KsCourts/Opinions/122765.pdf" </w:instrText>
      </w:r>
      <w:r w:rsidRPr="00D61723">
        <w:fldChar w:fldCharType="separate"/>
      </w:r>
      <w:r w:rsidRPr="00D61723">
        <w:rPr>
          <w:rStyle w:val="Hyperlink"/>
          <w:rFonts w:ascii="Times New Roman" w:hAnsi="Times New Roman"/>
          <w:b/>
          <w:sz w:val="24"/>
          <w:szCs w:val="24"/>
        </w:rPr>
        <w:t>https://www.kscourts.org/KSCourts/media/KsCourts/Opinions/122765.pdf</w:t>
      </w:r>
      <w:r w:rsidRPr="00D61723">
        <w:rPr>
          <w:rStyle w:val="Hyperlink"/>
          <w:rFonts w:ascii="Times New Roman" w:hAnsi="Times New Roman"/>
          <w:b/>
          <w:bCs/>
          <w:sz w:val="24"/>
          <w:szCs w:val="24"/>
        </w:rPr>
        <w:fldChar w:fldCharType="end"/>
      </w:r>
      <w:r w:rsidRPr="00D61723">
        <w:rPr>
          <w:rFonts w:ascii="Times New Roman" w:hAnsi="Times New Roman"/>
          <w:bCs/>
          <w:sz w:val="24"/>
          <w:szCs w:val="24"/>
        </w:rPr>
        <w:t xml:space="preserve"> </w:t>
      </w:r>
    </w:p>
    <w:bookmarkEnd w:id="465"/>
    <w:bookmarkEnd w:id="466"/>
    <w:p w14:paraId="085CC232" w14:textId="77777777" w:rsidR="0012517E" w:rsidRPr="00D61723" w:rsidRDefault="0012517E" w:rsidP="0012517E">
      <w:pPr>
        <w:spacing w:before="100" w:beforeAutospacing="1" w:after="100" w:afterAutospacing="1" w:line="240" w:lineRule="auto"/>
        <w:rPr>
          <w:rFonts w:ascii="Times New Roman" w:hAnsi="Times New Roman"/>
          <w:b/>
          <w:bCs/>
          <w:sz w:val="24"/>
          <w:szCs w:val="24"/>
        </w:rPr>
      </w:pPr>
      <w:r w:rsidRPr="00D61723">
        <w:rPr>
          <w:rFonts w:ascii="Times New Roman" w:hAnsi="Times New Roman"/>
          <w:b/>
          <w:bCs/>
          <w:sz w:val="24"/>
          <w:szCs w:val="24"/>
        </w:rPr>
        <w:t xml:space="preserve">Legal Lessons Learned:  A Legislative Committee does not have power to overturn Governor. </w:t>
      </w:r>
    </w:p>
    <w:p w14:paraId="6992C02B" w14:textId="77777777" w:rsidR="0012517E" w:rsidRPr="00D61723" w:rsidRDefault="0012517E" w:rsidP="0012517E">
      <w:pPr>
        <w:spacing w:before="100" w:beforeAutospacing="1" w:after="100" w:afterAutospacing="1" w:line="240" w:lineRule="auto"/>
        <w:ind w:left="720"/>
        <w:rPr>
          <w:rFonts w:ascii="Times New Roman" w:eastAsia="Times New Roman" w:hAnsi="Times New Roman"/>
          <w:sz w:val="24"/>
          <w:szCs w:val="24"/>
        </w:rPr>
      </w:pPr>
      <w:r w:rsidRPr="00D61723">
        <w:rPr>
          <w:rFonts w:ascii="Times New Roman" w:hAnsi="Times New Roman"/>
          <w:sz w:val="24"/>
          <w:szCs w:val="24"/>
        </w:rPr>
        <w:lastRenderedPageBreak/>
        <w:t>Note:</w:t>
      </w:r>
      <w:r w:rsidRPr="00D61723">
        <w:rPr>
          <w:rFonts w:ascii="Times New Roman" w:hAnsi="Times New Roman"/>
          <w:b/>
          <w:bCs/>
          <w:sz w:val="24"/>
          <w:szCs w:val="24"/>
        </w:rPr>
        <w:t xml:space="preserve"> </w:t>
      </w:r>
      <w:r w:rsidRPr="00D61723">
        <w:rPr>
          <w:rFonts w:ascii="Times New Roman" w:hAnsi="Times New Roman"/>
          <w:sz w:val="24"/>
          <w:szCs w:val="24"/>
        </w:rPr>
        <w:t xml:space="preserve">See the April 12, </w:t>
      </w:r>
      <w:proofErr w:type="gramStart"/>
      <w:r w:rsidRPr="00D61723">
        <w:rPr>
          <w:rFonts w:ascii="Times New Roman" w:hAnsi="Times New Roman"/>
          <w:sz w:val="24"/>
          <w:szCs w:val="24"/>
        </w:rPr>
        <w:t>2020</w:t>
      </w:r>
      <w:proofErr w:type="gramEnd"/>
      <w:r w:rsidRPr="00D61723">
        <w:rPr>
          <w:rFonts w:ascii="Times New Roman" w:hAnsi="Times New Roman"/>
          <w:sz w:val="24"/>
          <w:szCs w:val="24"/>
        </w:rPr>
        <w:t xml:space="preserve"> article about this decision:</w:t>
      </w:r>
      <w:r w:rsidRPr="00D61723">
        <w:rPr>
          <w:rFonts w:ascii="Times New Roman" w:hAnsi="Times New Roman"/>
          <w:b/>
          <w:bCs/>
          <w:sz w:val="24"/>
          <w:szCs w:val="24"/>
        </w:rPr>
        <w:t xml:space="preserve"> “</w:t>
      </w:r>
      <w:r w:rsidRPr="00D61723">
        <w:rPr>
          <w:rFonts w:ascii="Times New Roman" w:eastAsia="Times New Roman" w:hAnsi="Times New Roman"/>
          <w:kern w:val="36"/>
          <w:sz w:val="24"/>
          <w:szCs w:val="24"/>
        </w:rPr>
        <w:t xml:space="preserve">Kansas Supreme Court Upholds Governor's Order Limiting </w:t>
      </w:r>
      <w:proofErr w:type="gramStart"/>
      <w:r w:rsidRPr="00D61723">
        <w:rPr>
          <w:rFonts w:ascii="Times New Roman" w:eastAsia="Times New Roman" w:hAnsi="Times New Roman"/>
          <w:kern w:val="36"/>
          <w:sz w:val="24"/>
          <w:szCs w:val="24"/>
        </w:rPr>
        <w:t>The</w:t>
      </w:r>
      <w:proofErr w:type="gramEnd"/>
      <w:r w:rsidRPr="00D61723">
        <w:rPr>
          <w:rFonts w:ascii="Times New Roman" w:eastAsia="Times New Roman" w:hAnsi="Times New Roman"/>
          <w:kern w:val="36"/>
          <w:sz w:val="24"/>
          <w:szCs w:val="24"/>
        </w:rPr>
        <w:t xml:space="preserve"> Size </w:t>
      </w:r>
      <w:proofErr w:type="gramStart"/>
      <w:r w:rsidRPr="00D61723">
        <w:rPr>
          <w:rFonts w:ascii="Times New Roman" w:eastAsia="Times New Roman" w:hAnsi="Times New Roman"/>
          <w:kern w:val="36"/>
          <w:sz w:val="24"/>
          <w:szCs w:val="24"/>
        </w:rPr>
        <w:t>Of</w:t>
      </w:r>
      <w:proofErr w:type="gramEnd"/>
      <w:r w:rsidRPr="00D61723">
        <w:rPr>
          <w:rFonts w:ascii="Times New Roman" w:eastAsia="Times New Roman" w:hAnsi="Times New Roman"/>
          <w:kern w:val="36"/>
          <w:sz w:val="24"/>
          <w:szCs w:val="24"/>
        </w:rPr>
        <w:t xml:space="preserve"> Easter Services,”  </w:t>
      </w:r>
      <w:hyperlink r:id="rId2368" w:history="1">
        <w:r w:rsidRPr="00D61723">
          <w:rPr>
            <w:rStyle w:val="Hyperlink"/>
            <w:rFonts w:ascii="Times New Roman" w:hAnsi="Times New Roman"/>
            <w:sz w:val="24"/>
            <w:szCs w:val="24"/>
          </w:rPr>
          <w:t>https://www.npr.org/sections/coronavirus-live-updates/2020/04/12/832644243/kansas-supreme-court-upholds-governors-order-limiting-the-size-of-easter-service</w:t>
        </w:r>
      </w:hyperlink>
      <w:r w:rsidRPr="00D61723">
        <w:rPr>
          <w:rFonts w:ascii="Times New Roman" w:eastAsia="Times New Roman" w:hAnsi="Times New Roman"/>
          <w:sz w:val="24"/>
          <w:szCs w:val="24"/>
        </w:rPr>
        <w:t xml:space="preserve"> </w:t>
      </w:r>
    </w:p>
    <w:p w14:paraId="6A51E4A8" w14:textId="77777777" w:rsidR="0012517E" w:rsidRDefault="0012517E" w:rsidP="002B1283">
      <w:pPr>
        <w:rPr>
          <w:rFonts w:ascii="Arial Black" w:hAnsi="Arial Black"/>
          <w:b/>
          <w:bCs/>
          <w:sz w:val="28"/>
          <w:szCs w:val="28"/>
        </w:rPr>
      </w:pPr>
    </w:p>
    <w:p w14:paraId="02BAA80F" w14:textId="30E285CA" w:rsidR="0012517E" w:rsidRDefault="0012517E" w:rsidP="002B1283">
      <w:pPr>
        <w:rPr>
          <w:rFonts w:ascii="Arial Black" w:hAnsi="Arial Black"/>
          <w:b/>
          <w:bCs/>
          <w:sz w:val="28"/>
          <w:szCs w:val="28"/>
        </w:rPr>
      </w:pPr>
      <w:r>
        <w:rPr>
          <w:rFonts w:ascii="Arial Black" w:hAnsi="Arial Black"/>
          <w:b/>
          <w:bCs/>
          <w:sz w:val="28"/>
          <w:szCs w:val="28"/>
        </w:rPr>
        <w:t>13-48</w:t>
      </w:r>
    </w:p>
    <w:p w14:paraId="4E9F5E3B" w14:textId="77777777" w:rsidR="0012517E" w:rsidRDefault="0012517E" w:rsidP="0012517E">
      <w:pPr>
        <w:pStyle w:val="NoSpacing"/>
      </w:pPr>
      <w:bookmarkStart w:id="467" w:name="_Hlk39819679"/>
      <w:r>
        <w:rPr>
          <w:rFonts w:ascii="Arial Black" w:hAnsi="Arial Black"/>
          <w:sz w:val="28"/>
          <w:szCs w:val="28"/>
        </w:rPr>
        <w:t>TX: EMS CHECKED OUT OVERDOSE PATIENT AT SCENE – HIT HIS HEAD 40+ POLICE CRUISER GOING JAIL – DIED - EMS IMMUNITY, NOT PD</w:t>
      </w:r>
    </w:p>
    <w:p w14:paraId="52EED673" w14:textId="77777777" w:rsidR="0012517E" w:rsidRDefault="0012517E" w:rsidP="0012517E">
      <w:pPr>
        <w:pStyle w:val="NoSpacing"/>
        <w:rPr>
          <w:b/>
          <w:bCs/>
          <w:sz w:val="24"/>
          <w:szCs w:val="24"/>
        </w:rPr>
      </w:pPr>
    </w:p>
    <w:p w14:paraId="2FA5CB87" w14:textId="740F405A" w:rsidR="0012517E" w:rsidRPr="00D61723" w:rsidRDefault="0012517E" w:rsidP="0012517E">
      <w:pPr>
        <w:pStyle w:val="NoSpacing"/>
        <w:rPr>
          <w:rFonts w:ascii="Times New Roman" w:hAnsi="Times New Roman"/>
          <w:b/>
          <w:bCs/>
          <w:sz w:val="24"/>
          <w:szCs w:val="24"/>
        </w:rPr>
      </w:pPr>
      <w:r w:rsidRPr="00D61723">
        <w:rPr>
          <w:rFonts w:ascii="Times New Roman" w:hAnsi="Times New Roman"/>
          <w:bCs/>
          <w:sz w:val="24"/>
          <w:szCs w:val="24"/>
        </w:rPr>
        <w:t xml:space="preserve">On April 9, 2020, in </w:t>
      </w:r>
      <w:r w:rsidRPr="00D61723">
        <w:rPr>
          <w:rFonts w:ascii="Times New Roman" w:hAnsi="Times New Roman"/>
          <w:bCs/>
          <w:sz w:val="24"/>
          <w:szCs w:val="24"/>
          <w:u w:val="single"/>
        </w:rPr>
        <w:t>Kathy Dyer &amp; Robert Dyer  v. Richard Houston, et al.</w:t>
      </w:r>
      <w:r w:rsidRPr="00D61723">
        <w:rPr>
          <w:rFonts w:ascii="Times New Roman" w:hAnsi="Times New Roman"/>
          <w:bCs/>
          <w:sz w:val="24"/>
          <w:szCs w:val="24"/>
        </w:rPr>
        <w:t>, the U.S. Court of Appeals for the 5</w:t>
      </w:r>
      <w:r w:rsidRPr="00D61723">
        <w:rPr>
          <w:rFonts w:ascii="Times New Roman" w:hAnsi="Times New Roman"/>
          <w:bCs/>
          <w:sz w:val="24"/>
          <w:szCs w:val="24"/>
          <w:vertAlign w:val="superscript"/>
        </w:rPr>
        <w:t>th</w:t>
      </w:r>
      <w:r w:rsidRPr="00D61723">
        <w:rPr>
          <w:rFonts w:ascii="Times New Roman" w:hAnsi="Times New Roman"/>
          <w:bCs/>
          <w:sz w:val="24"/>
          <w:szCs w:val="24"/>
        </w:rPr>
        <w:t xml:space="preserve"> Circuit (New Orleans), held (3 to 0) that the U.S. District Court judge properly granted the paramedics’ motion to dismiss on the basis of qualified immunity; there was no proof of “deliberate indifference.”  Court, however, reinstated the lawsuit against the police officers since patient hit his head over 40 times in </w:t>
      </w:r>
      <w:r w:rsidR="0013686B">
        <w:rPr>
          <w:rFonts w:ascii="Times New Roman" w:hAnsi="Times New Roman"/>
          <w:bCs/>
          <w:sz w:val="24"/>
          <w:szCs w:val="24"/>
        </w:rPr>
        <w:t xml:space="preserve">the </w:t>
      </w:r>
      <w:r w:rsidRPr="00D61723">
        <w:rPr>
          <w:rFonts w:ascii="Times New Roman" w:hAnsi="Times New Roman"/>
          <w:bCs/>
          <w:sz w:val="24"/>
          <w:szCs w:val="24"/>
        </w:rPr>
        <w:t>back</w:t>
      </w:r>
      <w:r w:rsidR="0013686B">
        <w:rPr>
          <w:rFonts w:ascii="Times New Roman" w:hAnsi="Times New Roman"/>
          <w:bCs/>
          <w:sz w:val="24"/>
          <w:szCs w:val="24"/>
        </w:rPr>
        <w:t xml:space="preserve"> seat</w:t>
      </w:r>
      <w:r w:rsidRPr="00D61723">
        <w:rPr>
          <w:rFonts w:ascii="Times New Roman" w:hAnsi="Times New Roman"/>
          <w:bCs/>
          <w:sz w:val="24"/>
          <w:szCs w:val="24"/>
        </w:rPr>
        <w:t xml:space="preserve"> of </w:t>
      </w:r>
      <w:r w:rsidR="0013686B">
        <w:rPr>
          <w:rFonts w:ascii="Times New Roman" w:hAnsi="Times New Roman"/>
          <w:bCs/>
          <w:sz w:val="24"/>
          <w:szCs w:val="24"/>
        </w:rPr>
        <w:t xml:space="preserve">a </w:t>
      </w:r>
      <w:r w:rsidRPr="00D61723">
        <w:rPr>
          <w:rFonts w:ascii="Times New Roman" w:hAnsi="Times New Roman"/>
          <w:bCs/>
          <w:sz w:val="24"/>
          <w:szCs w:val="24"/>
        </w:rPr>
        <w:t xml:space="preserve">police cruiser. </w:t>
      </w:r>
    </w:p>
    <w:p w14:paraId="067DB40B" w14:textId="77777777" w:rsidR="0012517E" w:rsidRPr="00D61723" w:rsidRDefault="0012517E" w:rsidP="0012517E">
      <w:pPr>
        <w:pStyle w:val="NoSpacing"/>
        <w:rPr>
          <w:rFonts w:ascii="Times New Roman" w:hAnsi="Times New Roman"/>
          <w:b/>
          <w:bCs/>
          <w:sz w:val="24"/>
          <w:szCs w:val="24"/>
        </w:rPr>
      </w:pPr>
    </w:p>
    <w:p w14:paraId="7D336CD9" w14:textId="1F70ADBD" w:rsidR="0012517E" w:rsidRDefault="0012517E" w:rsidP="0012517E">
      <w:pPr>
        <w:ind w:left="720"/>
        <w:rPr>
          <w:rFonts w:ascii="Arial Black" w:hAnsi="Arial Black"/>
          <w:b/>
          <w:bCs/>
          <w:sz w:val="28"/>
          <w:szCs w:val="28"/>
        </w:rPr>
      </w:pPr>
      <w:r w:rsidRPr="00D61723">
        <w:rPr>
          <w:rFonts w:ascii="Times New Roman" w:hAnsi="Times New Roman"/>
          <w:bCs/>
          <w:sz w:val="24"/>
          <w:szCs w:val="24"/>
        </w:rPr>
        <w:t>“We agree with the district court that the Dyers’ complaint fails to allege facts that plausibly show the Paramedics’ deliberate indifference. The thrust of the complaint is that, after examining Graham [Dyer] and observing his head injury and drug-induced behavior, the Paramedics should have provided additional care—such as sending Graham to the hospital, accompanying him to jail, providing ‘further assessment or monitoring,’ or sedating him. At most, these are allegations that the Paramedics acted with negligence in not taking further steps to treat Graham after examining him. Our cases have consistently recognized, however, that ‘deliberate indifference cannot be inferred merely from a negligent or even a grossly negligent response to a substantial risk of serious harm.’”</w:t>
      </w:r>
      <w:r w:rsidRPr="00D61723">
        <w:rPr>
          <w:rFonts w:ascii="Times New Roman" w:hAnsi="Times New Roman"/>
          <w:sz w:val="24"/>
          <w:szCs w:val="24"/>
        </w:rPr>
        <w:t xml:space="preserve"> </w:t>
      </w:r>
      <w:hyperlink r:id="rId2369" w:history="1">
        <w:r w:rsidRPr="00D61723">
          <w:rPr>
            <w:rStyle w:val="Hyperlink"/>
            <w:rFonts w:ascii="Times New Roman" w:hAnsi="Times New Roman"/>
            <w:b/>
            <w:sz w:val="24"/>
            <w:szCs w:val="24"/>
          </w:rPr>
          <w:t>http://www.ca5.uscourts.gov/opinions/pub/19/19-10280-CV0.pdf</w:t>
        </w:r>
      </w:hyperlink>
    </w:p>
    <w:p w14:paraId="3C9F38A0" w14:textId="77777777" w:rsidR="0012517E" w:rsidRPr="00D61723" w:rsidRDefault="0012517E" w:rsidP="0012517E">
      <w:pPr>
        <w:pStyle w:val="NoSpacing"/>
        <w:rPr>
          <w:rFonts w:ascii="Times New Roman" w:hAnsi="Times New Roman"/>
          <w:b/>
          <w:bCs/>
          <w:sz w:val="24"/>
          <w:szCs w:val="24"/>
        </w:rPr>
      </w:pPr>
      <w:bookmarkStart w:id="468" w:name="_Hlk40514363"/>
      <w:bookmarkEnd w:id="467"/>
      <w:r w:rsidRPr="00D61723">
        <w:rPr>
          <w:rFonts w:ascii="Times New Roman" w:hAnsi="Times New Roman"/>
          <w:b/>
          <w:bCs/>
          <w:sz w:val="24"/>
          <w:szCs w:val="24"/>
        </w:rPr>
        <w:t>Legal Lessons Learned:  Qualified immunity is an important legal protection for emergency responders, but it is not “absolute” immunity.</w:t>
      </w:r>
    </w:p>
    <w:p w14:paraId="434C357B" w14:textId="77777777" w:rsidR="0012517E" w:rsidRPr="00D61723" w:rsidRDefault="0012517E" w:rsidP="0012517E">
      <w:pPr>
        <w:pStyle w:val="NoSpacing"/>
        <w:rPr>
          <w:rFonts w:ascii="Times New Roman" w:hAnsi="Times New Roman"/>
          <w:sz w:val="24"/>
          <w:szCs w:val="24"/>
        </w:rPr>
      </w:pPr>
    </w:p>
    <w:p w14:paraId="5DAC83FA" w14:textId="77777777" w:rsidR="0012517E" w:rsidRPr="00D61723" w:rsidRDefault="0012517E" w:rsidP="0012517E">
      <w:pPr>
        <w:pStyle w:val="NoSpacing"/>
        <w:ind w:left="720"/>
        <w:rPr>
          <w:rFonts w:ascii="Times New Roman" w:hAnsi="Times New Roman"/>
          <w:b/>
          <w:bCs/>
          <w:sz w:val="24"/>
          <w:szCs w:val="24"/>
        </w:rPr>
      </w:pPr>
      <w:r w:rsidRPr="00D61723">
        <w:rPr>
          <w:rFonts w:ascii="Times New Roman" w:hAnsi="Times New Roman"/>
          <w:bCs/>
          <w:sz w:val="24"/>
          <w:szCs w:val="24"/>
        </w:rPr>
        <w:t xml:space="preserve">Note: Lawsuit against police officers will proceed. </w:t>
      </w:r>
      <w:bookmarkEnd w:id="468"/>
      <w:r w:rsidRPr="00D61723">
        <w:rPr>
          <w:rFonts w:ascii="Times New Roman" w:hAnsi="Times New Roman"/>
          <w:bCs/>
          <w:sz w:val="24"/>
          <w:szCs w:val="24"/>
        </w:rPr>
        <w:t xml:space="preserve"> Court wrote: “By contrast, in this case a reasonable jury could find that (1) Graham violently bashed his head against the interior of Officer Heidelburg’s patrol car over 40 times while </w:t>
      </w:r>
      <w:proofErr w:type="spellStart"/>
      <w:r w:rsidRPr="00D61723">
        <w:rPr>
          <w:rFonts w:ascii="Times New Roman" w:hAnsi="Times New Roman"/>
          <w:bCs/>
          <w:sz w:val="24"/>
          <w:szCs w:val="24"/>
        </w:rPr>
        <w:t>en</w:t>
      </w:r>
      <w:proofErr w:type="spellEnd"/>
      <w:r w:rsidRPr="00D61723">
        <w:rPr>
          <w:rFonts w:ascii="Times New Roman" w:hAnsi="Times New Roman"/>
          <w:bCs/>
          <w:sz w:val="24"/>
          <w:szCs w:val="24"/>
        </w:rPr>
        <w:t xml:space="preserve"> route to jail; (2) Officers Heidelburg, Gafford, and Scott were fully aware of Graham’s actions and of their serious danger; (3) the Officers sought no medical attention for Graham; and (4) upon arriving at jail, the Officers failed to inform jail officials what Graham had done to himself, telling them only that Graham had been ‘medically cleared’ at the scene. From this evidence, a reasonable jury could conclude that the Officers ‘were either aware or should have been aware, because it was so obvious, of an unjustifiably high risk to [Graham’s] health,’ did nothing to seek medical attention, and even misstated the severity of Graham’s condition to those who could have sought help.”</w:t>
      </w:r>
    </w:p>
    <w:p w14:paraId="3E4FF4EC" w14:textId="77777777" w:rsidR="0012517E" w:rsidRPr="00D61723" w:rsidRDefault="0012517E" w:rsidP="0012517E">
      <w:pPr>
        <w:pStyle w:val="NoSpacing"/>
        <w:rPr>
          <w:rFonts w:ascii="Times New Roman" w:hAnsi="Times New Roman"/>
          <w:sz w:val="24"/>
          <w:szCs w:val="24"/>
        </w:rPr>
      </w:pPr>
    </w:p>
    <w:p w14:paraId="73735882" w14:textId="77777777" w:rsidR="0012517E" w:rsidRDefault="0012517E" w:rsidP="002B1283">
      <w:pPr>
        <w:rPr>
          <w:rFonts w:ascii="Arial Black" w:hAnsi="Arial Black"/>
          <w:b/>
          <w:bCs/>
          <w:sz w:val="28"/>
          <w:szCs w:val="28"/>
        </w:rPr>
      </w:pPr>
    </w:p>
    <w:p w14:paraId="5B07EA31" w14:textId="774431A3" w:rsidR="0012517E" w:rsidRDefault="0012517E" w:rsidP="002B1283">
      <w:pPr>
        <w:rPr>
          <w:rFonts w:ascii="Arial Black" w:hAnsi="Arial Black"/>
          <w:b/>
          <w:bCs/>
          <w:sz w:val="28"/>
          <w:szCs w:val="28"/>
        </w:rPr>
      </w:pPr>
      <w:r>
        <w:rPr>
          <w:rFonts w:ascii="Arial Black" w:hAnsi="Arial Black"/>
          <w:b/>
          <w:bCs/>
          <w:sz w:val="28"/>
          <w:szCs w:val="28"/>
        </w:rPr>
        <w:t>13-47</w:t>
      </w:r>
    </w:p>
    <w:p w14:paraId="20CD7806" w14:textId="77777777" w:rsidR="0012517E" w:rsidRDefault="0012517E" w:rsidP="0012517E">
      <w:pPr>
        <w:rPr>
          <w:rFonts w:ascii="Arial Black" w:hAnsi="Arial Black"/>
          <w:sz w:val="28"/>
          <w:szCs w:val="28"/>
        </w:rPr>
      </w:pPr>
      <w:r w:rsidRPr="009F24CE">
        <w:rPr>
          <w:rFonts w:ascii="Arial Black" w:hAnsi="Arial Black"/>
          <w:sz w:val="28"/>
          <w:szCs w:val="28"/>
        </w:rPr>
        <w:lastRenderedPageBreak/>
        <w:t xml:space="preserve">CA: </w:t>
      </w:r>
      <w:r>
        <w:rPr>
          <w:rFonts w:ascii="Arial Black" w:hAnsi="Arial Black"/>
          <w:b/>
          <w:bCs/>
          <w:sz w:val="28"/>
          <w:szCs w:val="28"/>
        </w:rPr>
        <w:t xml:space="preserve">CORONA VIRUS – </w:t>
      </w:r>
      <w:r>
        <w:rPr>
          <w:rFonts w:ascii="Arial Black" w:hAnsi="Arial Black"/>
          <w:sz w:val="28"/>
          <w:szCs w:val="28"/>
        </w:rPr>
        <w:t>LOS ANGELES MAYOR SHUTS DOWN GUN SHOPS – GOVERNOR / SHERIFF HAD NOT - TRO DENIED</w:t>
      </w:r>
    </w:p>
    <w:p w14:paraId="05824870" w14:textId="77777777" w:rsidR="0012517E" w:rsidRDefault="0012517E" w:rsidP="0012517E">
      <w:pPr>
        <w:rPr>
          <w:rFonts w:ascii="Times New Roman" w:hAnsi="Times New Roman"/>
          <w:sz w:val="24"/>
          <w:szCs w:val="24"/>
        </w:rPr>
      </w:pPr>
      <w:r w:rsidRPr="009F24CE">
        <w:rPr>
          <w:rFonts w:ascii="Times New Roman" w:hAnsi="Times New Roman"/>
          <w:sz w:val="24"/>
          <w:szCs w:val="24"/>
        </w:rPr>
        <w:t xml:space="preserve">On </w:t>
      </w:r>
      <w:bookmarkStart w:id="469" w:name="_Hlk39849537"/>
      <w:r>
        <w:rPr>
          <w:rFonts w:ascii="Times New Roman" w:hAnsi="Times New Roman"/>
          <w:sz w:val="24"/>
          <w:szCs w:val="24"/>
        </w:rPr>
        <w:t xml:space="preserve">April 6, 2020, in </w:t>
      </w:r>
      <w:r w:rsidRPr="009F24CE">
        <w:rPr>
          <w:rFonts w:ascii="Times New Roman" w:hAnsi="Times New Roman"/>
          <w:sz w:val="24"/>
          <w:szCs w:val="24"/>
          <w:u w:val="single"/>
        </w:rPr>
        <w:t>Adam Brandy v. Alex Villanueva</w:t>
      </w:r>
      <w:r>
        <w:rPr>
          <w:rFonts w:ascii="Times New Roman" w:hAnsi="Times New Roman"/>
          <w:sz w:val="24"/>
          <w:szCs w:val="24"/>
        </w:rPr>
        <w:t xml:space="preserve">, </w:t>
      </w:r>
      <w:r w:rsidRPr="00951840">
        <w:rPr>
          <w:rFonts w:ascii="Times New Roman" w:hAnsi="Times New Roman"/>
          <w:sz w:val="24"/>
          <w:szCs w:val="24"/>
          <w:u w:val="single"/>
        </w:rPr>
        <w:t>et al.,</w:t>
      </w:r>
      <w:r>
        <w:rPr>
          <w:rFonts w:ascii="Times New Roman" w:hAnsi="Times New Roman"/>
          <w:sz w:val="24"/>
          <w:szCs w:val="24"/>
        </w:rPr>
        <w:t xml:space="preserve">  </w:t>
      </w:r>
      <w:bookmarkEnd w:id="469"/>
      <w:r>
        <w:rPr>
          <w:rFonts w:ascii="Times New Roman" w:hAnsi="Times New Roman"/>
          <w:sz w:val="24"/>
          <w:szCs w:val="24"/>
        </w:rPr>
        <w:t xml:space="preserve">U.S. District Court Judge Andrew Birotte, Jr. held that Los Angeles Mayor Eric Garcetti has the power to shut down gun stores as non-essential businesses in the city. The Governor on March 19, </w:t>
      </w:r>
      <w:proofErr w:type="gramStart"/>
      <w:r>
        <w:rPr>
          <w:rFonts w:ascii="Times New Roman" w:hAnsi="Times New Roman"/>
          <w:sz w:val="24"/>
          <w:szCs w:val="24"/>
        </w:rPr>
        <w:t>2020</w:t>
      </w:r>
      <w:proofErr w:type="gramEnd"/>
      <w:r>
        <w:rPr>
          <w:rFonts w:ascii="Times New Roman" w:hAnsi="Times New Roman"/>
          <w:sz w:val="24"/>
          <w:szCs w:val="24"/>
        </w:rPr>
        <w:t xml:space="preserve"> had issued an order that left the decision on gun shops to County Sheriffs.  On March 24, 2020, Sheriff Villanueva of LA County ordered all gun shops closed, but he later changed his opinion and declared them an essential business. Federal judge denied gun shop owners’ motion for a Temporary Restraining Order.</w:t>
      </w:r>
    </w:p>
    <w:p w14:paraId="7221A463" w14:textId="77777777" w:rsidR="0012517E" w:rsidRDefault="0012517E" w:rsidP="0012517E">
      <w:pPr>
        <w:ind w:left="720"/>
        <w:rPr>
          <w:rStyle w:val="Hyperlink"/>
          <w:sz w:val="24"/>
          <w:szCs w:val="24"/>
        </w:rPr>
      </w:pPr>
      <w:r>
        <w:rPr>
          <w:rFonts w:ascii="Times New Roman" w:hAnsi="Times New Roman"/>
          <w:sz w:val="24"/>
          <w:szCs w:val="24"/>
        </w:rPr>
        <w:t xml:space="preserve">“Moreover, because this disease spreads ‘[a]n affects person coughs, sneezes or otherwise  expels aerosolized droplets containing the virus,’… the closure on non-essential businesses, including firearms and ammunition retailers, reasonably fits the City’s and County’s stated objective of reducing the spread of this disease.  Plaintiffs fail to demonstrate a likelihood of success on the merits of the Second Amendment claim against the County and City </w:t>
      </w:r>
      <w:proofErr w:type="gramStart"/>
      <w:r>
        <w:rPr>
          <w:rFonts w:ascii="Times New Roman" w:hAnsi="Times New Roman"/>
          <w:sz w:val="24"/>
          <w:szCs w:val="24"/>
        </w:rPr>
        <w:t>orders</w:t>
      </w:r>
      <w:bookmarkStart w:id="470" w:name="_Hlk39849553"/>
      <w:r>
        <w:rPr>
          <w:rFonts w:ascii="Times New Roman" w:hAnsi="Times New Roman"/>
          <w:sz w:val="24"/>
          <w:szCs w:val="24"/>
        </w:rPr>
        <w:t>.”</w:t>
      </w:r>
      <w:proofErr w:type="gramEnd"/>
      <w:r>
        <w:rPr>
          <w:rFonts w:ascii="Times New Roman" w:hAnsi="Times New Roman"/>
          <w:sz w:val="24"/>
          <w:szCs w:val="24"/>
        </w:rPr>
        <w:t xml:space="preserve"> </w:t>
      </w:r>
      <w:hyperlink r:id="rId2370" w:history="1">
        <w:r w:rsidRPr="00DE231C">
          <w:rPr>
            <w:rStyle w:val="Hyperlink"/>
            <w:sz w:val="24"/>
            <w:szCs w:val="24"/>
          </w:rPr>
          <w:t>https://brady-static.s3.amazonaws.com/2020-04-06-29-Order-Denying-TRO-App.pdf</w:t>
        </w:r>
      </w:hyperlink>
      <w:r>
        <w:rPr>
          <w:rStyle w:val="Hyperlink"/>
          <w:sz w:val="24"/>
          <w:szCs w:val="24"/>
        </w:rPr>
        <w:t xml:space="preserve"> </w:t>
      </w:r>
    </w:p>
    <w:bookmarkEnd w:id="470"/>
    <w:p w14:paraId="0FAC508C" w14:textId="77777777" w:rsidR="0012517E" w:rsidRDefault="0012517E" w:rsidP="0012517E">
      <w:pPr>
        <w:pStyle w:val="NoSpacing"/>
        <w:rPr>
          <w:sz w:val="24"/>
          <w:szCs w:val="24"/>
        </w:rPr>
      </w:pPr>
    </w:p>
    <w:p w14:paraId="609AB198" w14:textId="77777777" w:rsidR="0012517E" w:rsidRPr="0012517E" w:rsidRDefault="0012517E" w:rsidP="0012517E">
      <w:pPr>
        <w:pStyle w:val="NoSpacing"/>
        <w:rPr>
          <w:rFonts w:ascii="Times New Roman" w:hAnsi="Times New Roman"/>
          <w:b/>
          <w:bCs/>
          <w:sz w:val="24"/>
          <w:szCs w:val="24"/>
        </w:rPr>
      </w:pPr>
      <w:r w:rsidRPr="0012517E">
        <w:rPr>
          <w:rFonts w:ascii="Times New Roman" w:hAnsi="Times New Roman"/>
          <w:b/>
          <w:bCs/>
          <w:sz w:val="24"/>
          <w:szCs w:val="24"/>
        </w:rPr>
        <w:t xml:space="preserve">Legal Lessons Learned: TRO denied since Mayor’s orders are based on emergency.   </w:t>
      </w:r>
    </w:p>
    <w:p w14:paraId="299C10E7" w14:textId="77777777" w:rsidR="0012517E" w:rsidRPr="0012517E" w:rsidRDefault="0012517E" w:rsidP="0012517E">
      <w:pPr>
        <w:pStyle w:val="NoSpacing"/>
        <w:rPr>
          <w:rFonts w:ascii="Times New Roman" w:hAnsi="Times New Roman"/>
          <w:sz w:val="24"/>
          <w:szCs w:val="24"/>
        </w:rPr>
      </w:pPr>
    </w:p>
    <w:p w14:paraId="63412AFC" w14:textId="77777777" w:rsidR="0012517E" w:rsidRPr="002F12AE" w:rsidRDefault="0012517E" w:rsidP="0012517E">
      <w:pPr>
        <w:pStyle w:val="NoSpacing"/>
        <w:ind w:left="720"/>
        <w:rPr>
          <w:b/>
          <w:sz w:val="24"/>
          <w:szCs w:val="24"/>
        </w:rPr>
      </w:pPr>
      <w:r w:rsidRPr="0012517E">
        <w:rPr>
          <w:rFonts w:ascii="Times New Roman" w:hAnsi="Times New Roman"/>
          <w:bCs/>
          <w:sz w:val="24"/>
          <w:szCs w:val="24"/>
        </w:rPr>
        <w:t>Note:</w:t>
      </w:r>
      <w:r w:rsidRPr="0012517E">
        <w:rPr>
          <w:rFonts w:ascii="Times New Roman" w:hAnsi="Times New Roman"/>
          <w:sz w:val="24"/>
          <w:szCs w:val="24"/>
        </w:rPr>
        <w:t xml:space="preserve"> See </w:t>
      </w:r>
      <w:bookmarkStart w:id="471" w:name="_Hlk39849460"/>
      <w:r w:rsidRPr="0012517E">
        <w:rPr>
          <w:rFonts w:ascii="Times New Roman" w:hAnsi="Times New Roman"/>
          <w:sz w:val="24"/>
          <w:szCs w:val="24"/>
        </w:rPr>
        <w:t xml:space="preserve">April 14, </w:t>
      </w:r>
      <w:proofErr w:type="gramStart"/>
      <w:r w:rsidRPr="0012517E">
        <w:rPr>
          <w:rFonts w:ascii="Times New Roman" w:hAnsi="Times New Roman"/>
          <w:sz w:val="24"/>
          <w:szCs w:val="24"/>
        </w:rPr>
        <w:t>2020</w:t>
      </w:r>
      <w:proofErr w:type="gramEnd"/>
      <w:r w:rsidRPr="0012517E">
        <w:rPr>
          <w:rFonts w:ascii="Times New Roman" w:hAnsi="Times New Roman"/>
          <w:sz w:val="24"/>
          <w:szCs w:val="24"/>
        </w:rPr>
        <w:t xml:space="preserve"> article on LA Superior Court judge’s decision, forcing gun stores to remain closed, “</w:t>
      </w:r>
      <w:r w:rsidRPr="0012517E">
        <w:rPr>
          <w:rStyle w:val="dfm-title"/>
          <w:rFonts w:ascii="Times New Roman" w:hAnsi="Times New Roman"/>
          <w:sz w:val="24"/>
          <w:szCs w:val="24"/>
        </w:rPr>
        <w:t xml:space="preserve">Coronavirus: Judge upholds LA city order to close gun stores,” </w:t>
      </w:r>
      <w:hyperlink r:id="rId2371" w:history="1">
        <w:r w:rsidRPr="0012517E">
          <w:rPr>
            <w:rStyle w:val="Hyperlink"/>
            <w:rFonts w:ascii="Times New Roman" w:hAnsi="Times New Roman"/>
            <w:b/>
            <w:sz w:val="24"/>
            <w:szCs w:val="24"/>
          </w:rPr>
          <w:t>https://www.dailynews.com/2020/04/14/coronavirus-judge-upholds-l-a-city-order-to-close-gun-stores/</w:t>
        </w:r>
      </w:hyperlink>
      <w:bookmarkEnd w:id="471"/>
      <w:r w:rsidRPr="002F12AE">
        <w:rPr>
          <w:sz w:val="24"/>
          <w:szCs w:val="24"/>
        </w:rPr>
        <w:t xml:space="preserve"> </w:t>
      </w:r>
    </w:p>
    <w:p w14:paraId="561AE0CF" w14:textId="77777777" w:rsidR="0012517E" w:rsidRDefault="0012517E" w:rsidP="0012517E">
      <w:pPr>
        <w:pStyle w:val="NoSpacing"/>
        <w:rPr>
          <w:b/>
          <w:bCs/>
          <w:sz w:val="24"/>
          <w:szCs w:val="24"/>
        </w:rPr>
      </w:pPr>
      <w:r>
        <w:rPr>
          <w:bCs/>
          <w:sz w:val="24"/>
          <w:szCs w:val="24"/>
        </w:rPr>
        <w:t xml:space="preserve"> </w:t>
      </w:r>
    </w:p>
    <w:p w14:paraId="0E314117" w14:textId="77777777" w:rsidR="0012517E" w:rsidRDefault="0012517E" w:rsidP="002B1283">
      <w:pPr>
        <w:rPr>
          <w:rFonts w:ascii="Arial Black" w:hAnsi="Arial Black"/>
          <w:b/>
          <w:bCs/>
          <w:sz w:val="28"/>
          <w:szCs w:val="28"/>
        </w:rPr>
      </w:pPr>
    </w:p>
    <w:p w14:paraId="582A0735" w14:textId="77777777" w:rsidR="0012517E" w:rsidRDefault="0012517E" w:rsidP="002B1283">
      <w:pPr>
        <w:rPr>
          <w:rFonts w:ascii="Arial Black" w:hAnsi="Arial Black"/>
          <w:b/>
          <w:bCs/>
          <w:sz w:val="28"/>
          <w:szCs w:val="28"/>
        </w:rPr>
      </w:pPr>
    </w:p>
    <w:p w14:paraId="427194AE" w14:textId="59B03690" w:rsidR="0066298F" w:rsidRDefault="0066298F" w:rsidP="002B1283">
      <w:pPr>
        <w:rPr>
          <w:rFonts w:ascii="Arial Black" w:hAnsi="Arial Black"/>
          <w:b/>
          <w:bCs/>
          <w:sz w:val="28"/>
          <w:szCs w:val="28"/>
        </w:rPr>
      </w:pPr>
      <w:r>
        <w:rPr>
          <w:rFonts w:ascii="Arial Black" w:hAnsi="Arial Black"/>
          <w:b/>
          <w:bCs/>
          <w:sz w:val="28"/>
          <w:szCs w:val="28"/>
        </w:rPr>
        <w:t>13-46</w:t>
      </w:r>
    </w:p>
    <w:p w14:paraId="09B71252" w14:textId="0FB07371" w:rsidR="0066298F" w:rsidRPr="00F05611" w:rsidRDefault="0066298F" w:rsidP="0066298F">
      <w:pPr>
        <w:spacing w:before="100" w:beforeAutospacing="1" w:after="100" w:afterAutospacing="1" w:line="240" w:lineRule="auto"/>
        <w:rPr>
          <w:rFonts w:ascii="Arial Black" w:hAnsi="Arial Black"/>
          <w:b/>
          <w:bCs/>
          <w:sz w:val="28"/>
          <w:szCs w:val="28"/>
        </w:rPr>
      </w:pPr>
      <w:bookmarkStart w:id="472" w:name="_Hlk39819842"/>
      <w:r w:rsidRPr="00F05611">
        <w:rPr>
          <w:rFonts w:ascii="Arial Black" w:hAnsi="Arial Black"/>
          <w:b/>
          <w:bCs/>
          <w:sz w:val="28"/>
          <w:szCs w:val="28"/>
        </w:rPr>
        <w:t xml:space="preserve">FL: </w:t>
      </w:r>
      <w:r>
        <w:rPr>
          <w:rFonts w:ascii="Arial Black" w:hAnsi="Arial Black"/>
          <w:b/>
          <w:bCs/>
          <w:sz w:val="28"/>
          <w:szCs w:val="28"/>
        </w:rPr>
        <w:t xml:space="preserve"> </w:t>
      </w:r>
      <w:r w:rsidR="00F81147">
        <w:rPr>
          <w:rFonts w:ascii="Arial Black" w:hAnsi="Arial Black"/>
          <w:b/>
          <w:bCs/>
          <w:sz w:val="28"/>
          <w:szCs w:val="28"/>
        </w:rPr>
        <w:t xml:space="preserve">DEPUTY SHERIFF ORDERED CPR STOPPED – HANGING - LAWSUIT TO CONTINUE, NO QUALIFIED IMMUNITY                                                                                          </w:t>
      </w:r>
    </w:p>
    <w:p w14:paraId="4F46870A" w14:textId="77777777" w:rsidR="0066298F" w:rsidRDefault="0066298F" w:rsidP="0066298F">
      <w:pPr>
        <w:spacing w:before="100" w:beforeAutospacing="1" w:after="100" w:afterAutospacing="1" w:line="240" w:lineRule="auto"/>
        <w:rPr>
          <w:rFonts w:ascii="Times New Roman" w:hAnsi="Times New Roman"/>
          <w:sz w:val="24"/>
          <w:szCs w:val="24"/>
        </w:rPr>
      </w:pPr>
      <w:r w:rsidRPr="00F05611">
        <w:rPr>
          <w:rFonts w:ascii="Times New Roman" w:hAnsi="Times New Roman"/>
          <w:sz w:val="24"/>
          <w:szCs w:val="24"/>
        </w:rPr>
        <w:t xml:space="preserve">On </w:t>
      </w:r>
      <w:bookmarkStart w:id="473" w:name="_Hlk39849752"/>
      <w:r>
        <w:rPr>
          <w:rFonts w:ascii="Times New Roman" w:hAnsi="Times New Roman"/>
          <w:sz w:val="24"/>
          <w:szCs w:val="24"/>
        </w:rPr>
        <w:t xml:space="preserve">March 25, 2020, in </w:t>
      </w:r>
      <w:r w:rsidRPr="00F05611">
        <w:rPr>
          <w:rFonts w:ascii="Times New Roman" w:hAnsi="Times New Roman"/>
          <w:sz w:val="24"/>
          <w:szCs w:val="24"/>
          <w:u w:val="single"/>
        </w:rPr>
        <w:t>Jolene Waldron v. Gregory Spicher, Deputy</w:t>
      </w:r>
      <w:bookmarkEnd w:id="473"/>
      <w:r>
        <w:rPr>
          <w:rFonts w:ascii="Times New Roman" w:hAnsi="Times New Roman"/>
          <w:sz w:val="24"/>
          <w:szCs w:val="24"/>
        </w:rPr>
        <w:t xml:space="preserve">, the U.S. Court of Appeals for Eleventh Circuit (Atlanta), held (3 to 0) that the trial court properly denied Deputy Sheriff’s motion to dismiss the case based on qualified immunity.   The lawsuit may proceed, but mother of the deceased has very difficult burden to proving to a jury that the Deputy was not only reckless, but that he intended to cause death of her son.  </w:t>
      </w:r>
    </w:p>
    <w:p w14:paraId="5FB76DC3" w14:textId="77777777" w:rsidR="0066298F" w:rsidRPr="00665BD0" w:rsidRDefault="0066298F" w:rsidP="0066298F">
      <w:pPr>
        <w:pStyle w:val="NoSpacing"/>
        <w:ind w:left="720"/>
        <w:rPr>
          <w:rFonts w:ascii="Times New Roman" w:hAnsi="Times New Roman"/>
          <w:b/>
          <w:bCs/>
          <w:sz w:val="24"/>
          <w:szCs w:val="24"/>
        </w:rPr>
      </w:pPr>
      <w:r w:rsidRPr="00665BD0">
        <w:rPr>
          <w:rFonts w:ascii="Times New Roman" w:hAnsi="Times New Roman"/>
          <w:bCs/>
          <w:sz w:val="24"/>
          <w:szCs w:val="24"/>
        </w:rPr>
        <w:t xml:space="preserve">“Several minutes later, a fire truck and an ambulance arrived. Three paramedics—later identified as David Warren, Christensen, and Grisales—attempted to attend to Ybarra, but Spicher only allowed Warren to do so to ‘confirm the patient’s status.’ Warren testified that Spicher told him </w:t>
      </w:r>
      <w:proofErr w:type="gramStart"/>
      <w:r w:rsidRPr="00665BD0">
        <w:rPr>
          <w:rFonts w:ascii="Times New Roman" w:hAnsi="Times New Roman"/>
          <w:bCs/>
          <w:sz w:val="24"/>
          <w:szCs w:val="24"/>
        </w:rPr>
        <w:t>to ‘not</w:t>
      </w:r>
      <w:proofErr w:type="gramEnd"/>
      <w:r w:rsidRPr="00665BD0">
        <w:rPr>
          <w:rFonts w:ascii="Times New Roman" w:hAnsi="Times New Roman"/>
          <w:bCs/>
          <w:sz w:val="24"/>
          <w:szCs w:val="24"/>
        </w:rPr>
        <w:t xml:space="preserve"> touch the patient very much because this was . . . a crime </w:t>
      </w:r>
      <w:proofErr w:type="gramStart"/>
      <w:r w:rsidRPr="00665BD0">
        <w:rPr>
          <w:rFonts w:ascii="Times New Roman" w:hAnsi="Times New Roman"/>
          <w:bCs/>
          <w:sz w:val="24"/>
          <w:szCs w:val="24"/>
        </w:rPr>
        <w:t>scene.’</w:t>
      </w:r>
      <w:proofErr w:type="gramEnd"/>
      <w:r w:rsidRPr="00665BD0">
        <w:rPr>
          <w:rFonts w:ascii="Times New Roman" w:hAnsi="Times New Roman"/>
          <w:bCs/>
          <w:sz w:val="24"/>
          <w:szCs w:val="24"/>
        </w:rPr>
        <w:t xml:space="preserve">  Warren noted that Ybarra was ‘severely cyanotic and unresponsive’ and his neck was elongated. He assessed Ybarra with a Glasgow Coma Score of one in eyes, verbal, and motor, which was consistent with a deceased person’s score. Warren hooked up Ybarra to a heart monitor and noted a heart rate of 24 beats per minute, which he testified indicated organized electrical activity in the heart inconsistent with death. Warren called for Spicher to </w:t>
      </w:r>
      <w:r w:rsidRPr="00665BD0">
        <w:rPr>
          <w:rFonts w:ascii="Times New Roman" w:hAnsi="Times New Roman"/>
          <w:bCs/>
          <w:sz w:val="24"/>
          <w:szCs w:val="24"/>
        </w:rPr>
        <w:lastRenderedPageBreak/>
        <w:t>retrieve Lieutenant Christensen, but Spicher was on the phone and did not hear him, so Warren shouted louder, which finally brought Christiansen over. The two immediately recontinued CPR and began ‘manual C-spine immobilization,’ which was meant to hold Ybarra’s spine in line. Ybarra was then transported to the hospital, where he died a week later.</w:t>
      </w:r>
    </w:p>
    <w:p w14:paraId="1AFAB798" w14:textId="77777777" w:rsidR="0066298F" w:rsidRPr="00665BD0" w:rsidRDefault="0066298F" w:rsidP="0066298F">
      <w:pPr>
        <w:pStyle w:val="NoSpacing"/>
        <w:ind w:left="720"/>
        <w:rPr>
          <w:rFonts w:ascii="Times New Roman" w:hAnsi="Times New Roman"/>
          <w:b/>
          <w:bCs/>
          <w:sz w:val="24"/>
          <w:szCs w:val="24"/>
        </w:rPr>
      </w:pPr>
    </w:p>
    <w:p w14:paraId="1F620F53" w14:textId="77777777" w:rsidR="0066298F" w:rsidRPr="00665BD0" w:rsidRDefault="0066298F" w:rsidP="0066298F">
      <w:pPr>
        <w:pStyle w:val="NoSpacing"/>
        <w:ind w:left="720"/>
        <w:rPr>
          <w:rFonts w:ascii="Times New Roman" w:hAnsi="Times New Roman"/>
          <w:b/>
          <w:bCs/>
          <w:sz w:val="24"/>
          <w:szCs w:val="24"/>
        </w:rPr>
      </w:pPr>
      <w:r w:rsidRPr="00665BD0">
        <w:rPr>
          <w:rFonts w:ascii="Times New Roman" w:hAnsi="Times New Roman"/>
          <w:bCs/>
          <w:sz w:val="24"/>
          <w:szCs w:val="24"/>
        </w:rPr>
        <w:t>***</w:t>
      </w:r>
    </w:p>
    <w:p w14:paraId="0FF2931C" w14:textId="77777777" w:rsidR="0066298F" w:rsidRPr="00665BD0" w:rsidRDefault="0066298F" w:rsidP="0066298F">
      <w:pPr>
        <w:spacing w:before="100" w:beforeAutospacing="1" w:after="100" w:afterAutospacing="1" w:line="240" w:lineRule="auto"/>
        <w:ind w:left="720"/>
        <w:rPr>
          <w:rFonts w:ascii="Times New Roman" w:hAnsi="Times New Roman"/>
          <w:sz w:val="24"/>
          <w:szCs w:val="24"/>
        </w:rPr>
      </w:pPr>
      <w:r w:rsidRPr="00665BD0">
        <w:rPr>
          <w:rFonts w:ascii="Times New Roman" w:hAnsi="Times New Roman"/>
          <w:sz w:val="24"/>
          <w:szCs w:val="24"/>
        </w:rPr>
        <w:t xml:space="preserve">In this opinion, we have held that…Waldron cannot demonstrate that Spicher violated clearly established substantive due process rights without proving more than that Spicher acted with deliberate indifference or recklessness. But we have also held that, if the jury should find that Spicher acted for the purpose of causing harm to Ybarra, Waldron would have proved a violation of clearly established substantive due process rights.” </w:t>
      </w:r>
      <w:bookmarkStart w:id="474" w:name="_Hlk39849774"/>
      <w:r w:rsidR="00BC38B6">
        <w:fldChar w:fldCharType="begin"/>
      </w:r>
      <w:r w:rsidR="00BC38B6">
        <w:instrText xml:space="preserve"> HYPERLINK "http://media.ca11.uscourts.gov/opinions/pub/files/201814536.pdf" </w:instrText>
      </w:r>
      <w:r w:rsidR="00BC38B6">
        <w:fldChar w:fldCharType="separate"/>
      </w:r>
      <w:r w:rsidRPr="00665BD0">
        <w:rPr>
          <w:rStyle w:val="Hyperlink"/>
          <w:rFonts w:ascii="Times New Roman" w:hAnsi="Times New Roman"/>
          <w:sz w:val="24"/>
          <w:szCs w:val="24"/>
        </w:rPr>
        <w:t>http://media.ca11.uscourts.gov/opinions/pub/files/201814536.pdf</w:t>
      </w:r>
      <w:r w:rsidR="00BC38B6">
        <w:rPr>
          <w:rStyle w:val="Hyperlink"/>
          <w:rFonts w:ascii="Times New Roman" w:hAnsi="Times New Roman"/>
          <w:sz w:val="24"/>
          <w:szCs w:val="24"/>
        </w:rPr>
        <w:fldChar w:fldCharType="end"/>
      </w:r>
      <w:r w:rsidRPr="00665BD0">
        <w:rPr>
          <w:rFonts w:ascii="Times New Roman" w:hAnsi="Times New Roman"/>
          <w:sz w:val="24"/>
          <w:szCs w:val="24"/>
        </w:rPr>
        <w:t xml:space="preserve"> </w:t>
      </w:r>
    </w:p>
    <w:p w14:paraId="3CB33D6C" w14:textId="77777777" w:rsidR="0066298F" w:rsidRPr="00665BD0" w:rsidRDefault="0066298F" w:rsidP="0066298F">
      <w:pPr>
        <w:spacing w:before="100" w:beforeAutospacing="1" w:after="100" w:afterAutospacing="1" w:line="240" w:lineRule="auto"/>
        <w:rPr>
          <w:rFonts w:ascii="Times New Roman" w:hAnsi="Times New Roman"/>
          <w:b/>
          <w:bCs/>
          <w:sz w:val="24"/>
          <w:szCs w:val="24"/>
        </w:rPr>
      </w:pPr>
      <w:bookmarkStart w:id="475" w:name="_Hlk40514407"/>
      <w:bookmarkEnd w:id="472"/>
      <w:bookmarkEnd w:id="474"/>
      <w:r w:rsidRPr="00665BD0">
        <w:rPr>
          <w:rFonts w:ascii="Times New Roman" w:hAnsi="Times New Roman"/>
          <w:b/>
          <w:bCs/>
          <w:sz w:val="24"/>
          <w:szCs w:val="24"/>
        </w:rPr>
        <w:t xml:space="preserve">Legal Lessons Learned:  </w:t>
      </w:r>
      <w:r>
        <w:rPr>
          <w:rFonts w:ascii="Times New Roman" w:hAnsi="Times New Roman"/>
          <w:b/>
          <w:bCs/>
          <w:sz w:val="24"/>
          <w:szCs w:val="24"/>
        </w:rPr>
        <w:t xml:space="preserve">Terrible conduct by Deputy Sheriff, but </w:t>
      </w:r>
      <w:r w:rsidRPr="00665BD0">
        <w:rPr>
          <w:rFonts w:ascii="Times New Roman" w:hAnsi="Times New Roman"/>
          <w:b/>
          <w:bCs/>
          <w:sz w:val="24"/>
          <w:szCs w:val="24"/>
        </w:rPr>
        <w:t xml:space="preserve">plaintiff must </w:t>
      </w:r>
      <w:r>
        <w:rPr>
          <w:rFonts w:ascii="Times New Roman" w:hAnsi="Times New Roman"/>
          <w:b/>
          <w:bCs/>
          <w:sz w:val="24"/>
          <w:szCs w:val="24"/>
        </w:rPr>
        <w:t xml:space="preserve">now </w:t>
      </w:r>
      <w:r w:rsidRPr="00665BD0">
        <w:rPr>
          <w:rFonts w:ascii="Times New Roman" w:hAnsi="Times New Roman"/>
          <w:b/>
          <w:bCs/>
          <w:sz w:val="24"/>
          <w:szCs w:val="24"/>
        </w:rPr>
        <w:t xml:space="preserve">prove </w:t>
      </w:r>
      <w:r>
        <w:rPr>
          <w:rFonts w:ascii="Times New Roman" w:hAnsi="Times New Roman"/>
          <w:b/>
          <w:bCs/>
          <w:sz w:val="24"/>
          <w:szCs w:val="24"/>
        </w:rPr>
        <w:t xml:space="preserve">Deputy intended to harm the victim.  Hopefully this case settles prior to jury trial. </w:t>
      </w:r>
    </w:p>
    <w:bookmarkEnd w:id="475"/>
    <w:p w14:paraId="0D9D32BB" w14:textId="77777777" w:rsidR="0031119E" w:rsidRDefault="0031119E" w:rsidP="002B1283">
      <w:pPr>
        <w:rPr>
          <w:rFonts w:ascii="Arial Black" w:hAnsi="Arial Black"/>
          <w:b/>
          <w:bCs/>
          <w:sz w:val="28"/>
          <w:szCs w:val="28"/>
        </w:rPr>
      </w:pPr>
    </w:p>
    <w:p w14:paraId="6F780014" w14:textId="74F59D37" w:rsidR="007A1E7A" w:rsidRDefault="007A1E7A" w:rsidP="002B1283">
      <w:pPr>
        <w:rPr>
          <w:rFonts w:ascii="Arial Black" w:hAnsi="Arial Black"/>
          <w:b/>
          <w:bCs/>
          <w:sz w:val="28"/>
          <w:szCs w:val="28"/>
        </w:rPr>
      </w:pPr>
      <w:r>
        <w:rPr>
          <w:rFonts w:ascii="Arial Black" w:hAnsi="Arial Black"/>
          <w:b/>
          <w:bCs/>
          <w:sz w:val="28"/>
          <w:szCs w:val="28"/>
        </w:rPr>
        <w:t>13-45</w:t>
      </w:r>
    </w:p>
    <w:p w14:paraId="01BD9FEC" w14:textId="77777777" w:rsidR="007A1E7A" w:rsidRPr="00A514DF" w:rsidRDefault="007A1E7A" w:rsidP="007A1E7A">
      <w:pPr>
        <w:spacing w:before="100" w:beforeAutospacing="1" w:after="100" w:afterAutospacing="1" w:line="240" w:lineRule="auto"/>
        <w:rPr>
          <w:rFonts w:ascii="Arial Black" w:eastAsia="Times New Roman" w:hAnsi="Arial Black"/>
          <w:b/>
          <w:bCs/>
          <w:sz w:val="28"/>
          <w:szCs w:val="28"/>
        </w:rPr>
      </w:pPr>
      <w:r w:rsidRPr="00A514DF">
        <w:rPr>
          <w:rFonts w:ascii="Arial Black" w:eastAsia="Times New Roman" w:hAnsi="Arial Black"/>
          <w:b/>
          <w:bCs/>
          <w:sz w:val="28"/>
          <w:szCs w:val="28"/>
        </w:rPr>
        <w:t>IL</w:t>
      </w:r>
      <w:r>
        <w:rPr>
          <w:rFonts w:ascii="Arial Black" w:eastAsia="Times New Roman" w:hAnsi="Arial Black"/>
          <w:b/>
          <w:bCs/>
          <w:sz w:val="28"/>
          <w:szCs w:val="28"/>
        </w:rPr>
        <w:t>: OFF-DUTY PARAMEDIC - IN HOT TUB WITH FEMALE - SHE INJURED HEAD WHEN SLIPPED BATHROOM – CANNOT SUE CITY</w:t>
      </w:r>
    </w:p>
    <w:p w14:paraId="62ACCA3E" w14:textId="77777777" w:rsidR="007A1E7A" w:rsidRPr="00465FB3" w:rsidRDefault="007A1E7A" w:rsidP="007A1E7A">
      <w:pPr>
        <w:spacing w:before="100" w:beforeAutospacing="1" w:after="100" w:afterAutospacing="1" w:line="240" w:lineRule="auto"/>
        <w:rPr>
          <w:rFonts w:ascii="Times New Roman" w:hAnsi="Times New Roman"/>
          <w:sz w:val="24"/>
          <w:szCs w:val="24"/>
        </w:rPr>
      </w:pPr>
      <w:r w:rsidRPr="00465FB3">
        <w:rPr>
          <w:rFonts w:ascii="Times New Roman" w:eastAsia="Times New Roman" w:hAnsi="Times New Roman"/>
          <w:sz w:val="24"/>
          <w:szCs w:val="24"/>
        </w:rPr>
        <w:t xml:space="preserve">On Feb. 28, 2020, in </w:t>
      </w:r>
      <w:r w:rsidRPr="00465FB3">
        <w:rPr>
          <w:rFonts w:ascii="Times New Roman" w:eastAsia="Times New Roman" w:hAnsi="Times New Roman"/>
          <w:sz w:val="24"/>
          <w:szCs w:val="24"/>
          <w:u w:val="single"/>
        </w:rPr>
        <w:t xml:space="preserve">Kylie </w:t>
      </w:r>
      <w:proofErr w:type="spellStart"/>
      <w:r w:rsidRPr="00465FB3">
        <w:rPr>
          <w:rFonts w:ascii="Times New Roman" w:eastAsia="Times New Roman" w:hAnsi="Times New Roman"/>
          <w:sz w:val="24"/>
          <w:szCs w:val="24"/>
          <w:u w:val="single"/>
        </w:rPr>
        <w:t>Didonato</w:t>
      </w:r>
      <w:proofErr w:type="spellEnd"/>
      <w:r w:rsidRPr="00465FB3">
        <w:rPr>
          <w:rFonts w:ascii="Times New Roman" w:eastAsia="Times New Roman" w:hAnsi="Times New Roman"/>
          <w:sz w:val="24"/>
          <w:szCs w:val="24"/>
          <w:u w:val="single"/>
        </w:rPr>
        <w:t xml:space="preserve"> v. Tim Panatera and City of Chicago</w:t>
      </w:r>
      <w:r w:rsidRPr="00465FB3">
        <w:rPr>
          <w:rFonts w:ascii="Times New Roman" w:eastAsia="Times New Roman" w:hAnsi="Times New Roman"/>
          <w:sz w:val="24"/>
          <w:szCs w:val="24"/>
        </w:rPr>
        <w:t>, U.S. District Court Judge V</w:t>
      </w:r>
      <w:r w:rsidRPr="00465FB3">
        <w:rPr>
          <w:rFonts w:ascii="Times New Roman" w:hAnsi="Times New Roman"/>
          <w:sz w:val="24"/>
          <w:szCs w:val="24"/>
        </w:rPr>
        <w:t>irginia M. Kendall, Northern District of Illinois (Eastern Division), granted the motions to dismiss by the paramedic and the city.</w:t>
      </w:r>
    </w:p>
    <w:p w14:paraId="19D79E7F" w14:textId="77777777" w:rsidR="007A1E7A" w:rsidRPr="00465FB3" w:rsidRDefault="007A1E7A" w:rsidP="007A1E7A">
      <w:pPr>
        <w:spacing w:before="100" w:beforeAutospacing="1" w:after="100" w:afterAutospacing="1" w:line="240" w:lineRule="auto"/>
        <w:ind w:left="720"/>
        <w:rPr>
          <w:rFonts w:ascii="Times New Roman" w:hAnsi="Times New Roman"/>
          <w:sz w:val="24"/>
          <w:szCs w:val="24"/>
        </w:rPr>
      </w:pPr>
      <w:r w:rsidRPr="00465FB3">
        <w:rPr>
          <w:rFonts w:ascii="Times New Roman" w:hAnsi="Times New Roman"/>
          <w:sz w:val="24"/>
          <w:szCs w:val="24"/>
        </w:rPr>
        <w:t xml:space="preserve">“As this Court noted before, DiDonato's claim is that </w:t>
      </w:r>
      <w:proofErr w:type="spellStart"/>
      <w:r w:rsidRPr="00465FB3">
        <w:rPr>
          <w:rFonts w:ascii="Times New Roman" w:hAnsi="Times New Roman"/>
          <w:sz w:val="24"/>
          <w:szCs w:val="24"/>
        </w:rPr>
        <w:t>Panatera</w:t>
      </w:r>
      <w:proofErr w:type="spellEnd"/>
      <w:r w:rsidRPr="00465FB3">
        <w:rPr>
          <w:rFonts w:ascii="Times New Roman" w:hAnsi="Times New Roman"/>
          <w:sz w:val="24"/>
          <w:szCs w:val="24"/>
        </w:rPr>
        <w:t xml:space="preserve"> failed to do anything more than wrap her head in a towel and that he denied her proper medical care by failing to call 911 or taking her to a hospital for emergency care. (</w:t>
      </w:r>
      <w:proofErr w:type="spellStart"/>
      <w:r w:rsidRPr="00465FB3">
        <w:rPr>
          <w:rFonts w:ascii="Times New Roman" w:hAnsi="Times New Roman"/>
          <w:sz w:val="24"/>
          <w:szCs w:val="24"/>
        </w:rPr>
        <w:t>Dkt</w:t>
      </w:r>
      <w:proofErr w:type="spellEnd"/>
      <w:r w:rsidRPr="00465FB3">
        <w:rPr>
          <w:rFonts w:ascii="Times New Roman" w:hAnsi="Times New Roman"/>
          <w:sz w:val="24"/>
          <w:szCs w:val="24"/>
        </w:rPr>
        <w:t xml:space="preserve">. 37 at 10; </w:t>
      </w:r>
      <w:proofErr w:type="spellStart"/>
      <w:r w:rsidRPr="00465FB3">
        <w:rPr>
          <w:rFonts w:ascii="Times New Roman" w:hAnsi="Times New Roman"/>
          <w:sz w:val="24"/>
          <w:szCs w:val="24"/>
        </w:rPr>
        <w:t>Dkt</w:t>
      </w:r>
      <w:proofErr w:type="spellEnd"/>
      <w:r w:rsidRPr="00465FB3">
        <w:rPr>
          <w:rFonts w:ascii="Times New Roman" w:hAnsi="Times New Roman"/>
          <w:sz w:val="24"/>
          <w:szCs w:val="24"/>
        </w:rPr>
        <w:t xml:space="preserve">. 51 at 4; </w:t>
      </w:r>
      <w:proofErr w:type="spellStart"/>
      <w:r w:rsidRPr="00465FB3">
        <w:rPr>
          <w:rFonts w:ascii="Times New Roman" w:hAnsi="Times New Roman"/>
          <w:sz w:val="24"/>
          <w:szCs w:val="24"/>
        </w:rPr>
        <w:t>Dkt</w:t>
      </w:r>
      <w:proofErr w:type="spellEnd"/>
      <w:r w:rsidRPr="00465FB3">
        <w:rPr>
          <w:rFonts w:ascii="Times New Roman" w:hAnsi="Times New Roman"/>
          <w:sz w:val="24"/>
          <w:szCs w:val="24"/>
        </w:rPr>
        <w:t xml:space="preserve">. 52 at 3). This inaction, as DiDonato has alleged it, relates more to </w:t>
      </w:r>
      <w:proofErr w:type="spellStart"/>
      <w:r w:rsidRPr="00465FB3">
        <w:rPr>
          <w:rFonts w:ascii="Times New Roman" w:hAnsi="Times New Roman"/>
          <w:sz w:val="24"/>
          <w:szCs w:val="24"/>
        </w:rPr>
        <w:t>Panatera's</w:t>
      </w:r>
      <w:proofErr w:type="spellEnd"/>
      <w:r w:rsidRPr="00465FB3">
        <w:rPr>
          <w:rFonts w:ascii="Times New Roman" w:hAnsi="Times New Roman"/>
          <w:sz w:val="24"/>
          <w:szCs w:val="24"/>
        </w:rPr>
        <w:t xml:space="preserve"> role as a bystander than a paramedic, and actions unrelated to a state actor's official duties are not taken under color of </w:t>
      </w:r>
      <w:proofErr w:type="gramStart"/>
      <w:r w:rsidRPr="00465FB3">
        <w:rPr>
          <w:rFonts w:ascii="Times New Roman" w:hAnsi="Times New Roman"/>
          <w:sz w:val="24"/>
          <w:szCs w:val="24"/>
        </w:rPr>
        <w:t>law.”</w:t>
      </w:r>
      <w:proofErr w:type="gramEnd"/>
      <w:r w:rsidRPr="00465FB3">
        <w:rPr>
          <w:rFonts w:ascii="Times New Roman" w:hAnsi="Times New Roman"/>
          <w:sz w:val="24"/>
          <w:szCs w:val="24"/>
        </w:rPr>
        <w:t xml:space="preserve">  </w:t>
      </w:r>
      <w:hyperlink r:id="rId2372" w:history="1">
        <w:r w:rsidRPr="00465FB3">
          <w:rPr>
            <w:rStyle w:val="Hyperlink"/>
            <w:rFonts w:ascii="Times New Roman" w:hAnsi="Times New Roman"/>
            <w:sz w:val="24"/>
            <w:szCs w:val="24"/>
          </w:rPr>
          <w:t>https://public.fastcase.com/Wl%2B2t%2BeVuI35%2FN70vAMFZqKFItzKKJAOGXNCbwUcRCkzx%2FKqq12PgRkvPC2fj024</w:t>
        </w:r>
      </w:hyperlink>
      <w:r w:rsidRPr="00465FB3">
        <w:rPr>
          <w:rFonts w:ascii="Times New Roman" w:hAnsi="Times New Roman"/>
          <w:sz w:val="24"/>
          <w:szCs w:val="24"/>
        </w:rPr>
        <w:t xml:space="preserve"> </w:t>
      </w:r>
    </w:p>
    <w:p w14:paraId="06A65DFD" w14:textId="77777777" w:rsidR="007A1E7A" w:rsidRPr="00465FB3" w:rsidRDefault="007A1E7A" w:rsidP="007A1E7A">
      <w:pPr>
        <w:spacing w:before="100" w:beforeAutospacing="1" w:after="100" w:afterAutospacing="1" w:line="240" w:lineRule="auto"/>
        <w:rPr>
          <w:rFonts w:ascii="Times New Roman" w:hAnsi="Times New Roman"/>
          <w:b/>
          <w:bCs/>
          <w:sz w:val="24"/>
          <w:szCs w:val="24"/>
        </w:rPr>
      </w:pPr>
      <w:r w:rsidRPr="00465FB3">
        <w:rPr>
          <w:rFonts w:ascii="Times New Roman" w:eastAsia="Times New Roman" w:hAnsi="Times New Roman"/>
          <w:b/>
          <w:bCs/>
          <w:sz w:val="24"/>
          <w:szCs w:val="24"/>
        </w:rPr>
        <w:t xml:space="preserve">Legal Lessons Learned:  </w:t>
      </w:r>
      <w:r w:rsidRPr="00465FB3">
        <w:rPr>
          <w:rFonts w:ascii="Times New Roman" w:hAnsi="Times New Roman"/>
          <w:b/>
          <w:bCs/>
          <w:sz w:val="24"/>
          <w:szCs w:val="24"/>
        </w:rPr>
        <w:t xml:space="preserve">The Court had previously given plaintiff and opportunity to file an amended complaint: Aug. 20, 2019: </w:t>
      </w:r>
      <w:hyperlink r:id="rId2373" w:history="1">
        <w:r w:rsidRPr="00465FB3">
          <w:rPr>
            <w:rStyle w:val="Hyperlink"/>
            <w:rFonts w:ascii="Times New Roman" w:hAnsi="Times New Roman"/>
            <w:b/>
            <w:bCs/>
            <w:sz w:val="24"/>
            <w:szCs w:val="24"/>
          </w:rPr>
          <w:t>https://casetext.com/case/didonato-v-panatera</w:t>
        </w:r>
      </w:hyperlink>
      <w:r w:rsidRPr="00465FB3">
        <w:rPr>
          <w:rFonts w:ascii="Times New Roman" w:hAnsi="Times New Roman"/>
          <w:b/>
          <w:bCs/>
          <w:sz w:val="24"/>
          <w:szCs w:val="24"/>
        </w:rPr>
        <w:t xml:space="preserve"> . The case may now go back to State court on her claims against the paramedic (not the city) for negligence, assault, battery, and willful and wanton misconduct.</w:t>
      </w:r>
    </w:p>
    <w:p w14:paraId="29D23EBD" w14:textId="77777777" w:rsidR="007A1E7A" w:rsidRDefault="007A1E7A" w:rsidP="002B1283">
      <w:pPr>
        <w:rPr>
          <w:rFonts w:ascii="Arial Black" w:hAnsi="Arial Black"/>
          <w:b/>
          <w:bCs/>
          <w:sz w:val="28"/>
          <w:szCs w:val="28"/>
        </w:rPr>
      </w:pPr>
    </w:p>
    <w:p w14:paraId="2ECBFAAB" w14:textId="2BAC90B5" w:rsidR="007A1E7A" w:rsidRDefault="007A1E7A" w:rsidP="002B1283">
      <w:pPr>
        <w:rPr>
          <w:rFonts w:ascii="Arial Black" w:hAnsi="Arial Black"/>
          <w:b/>
          <w:bCs/>
          <w:sz w:val="28"/>
          <w:szCs w:val="28"/>
        </w:rPr>
      </w:pPr>
      <w:r>
        <w:rPr>
          <w:rFonts w:ascii="Arial Black" w:hAnsi="Arial Black"/>
          <w:b/>
          <w:bCs/>
          <w:sz w:val="28"/>
          <w:szCs w:val="28"/>
        </w:rPr>
        <w:t>13-44</w:t>
      </w:r>
    </w:p>
    <w:p w14:paraId="1C96A44A" w14:textId="77777777" w:rsidR="007A1E7A" w:rsidRPr="002C021D" w:rsidRDefault="007A1E7A" w:rsidP="007A1E7A">
      <w:pPr>
        <w:pStyle w:val="NoSpacing"/>
        <w:rPr>
          <w:rFonts w:ascii="Arial Black" w:hAnsi="Arial Black"/>
          <w:sz w:val="28"/>
          <w:szCs w:val="28"/>
        </w:rPr>
      </w:pPr>
      <w:r w:rsidRPr="002C021D">
        <w:rPr>
          <w:rFonts w:ascii="Arial Black" w:hAnsi="Arial Black"/>
          <w:sz w:val="28"/>
          <w:szCs w:val="28"/>
        </w:rPr>
        <w:t>NC</w:t>
      </w:r>
      <w:r>
        <w:rPr>
          <w:rFonts w:ascii="Arial Black" w:hAnsi="Arial Black"/>
          <w:sz w:val="28"/>
          <w:szCs w:val="28"/>
        </w:rPr>
        <w:t>: PARAMEDIC FIRED – ET TUBE PLACEMENT, MEDS – EMS BOARD REDUCED TO EMT-B – NOT RACE DISCRIMINATION</w:t>
      </w:r>
    </w:p>
    <w:p w14:paraId="5A2962DA" w14:textId="77777777" w:rsidR="007A1E7A" w:rsidRDefault="007A1E7A" w:rsidP="007A1E7A">
      <w:pPr>
        <w:pStyle w:val="NoSpacing"/>
        <w:rPr>
          <w:b/>
          <w:bCs/>
          <w:sz w:val="24"/>
          <w:szCs w:val="24"/>
        </w:rPr>
      </w:pPr>
    </w:p>
    <w:p w14:paraId="00C23957" w14:textId="77777777" w:rsidR="007A1E7A" w:rsidRPr="00465FB3" w:rsidRDefault="007A1E7A" w:rsidP="007A1E7A">
      <w:pPr>
        <w:pStyle w:val="NoSpacing"/>
        <w:rPr>
          <w:rFonts w:ascii="Times New Roman" w:hAnsi="Times New Roman"/>
          <w:b/>
          <w:bCs/>
          <w:sz w:val="24"/>
          <w:szCs w:val="24"/>
        </w:rPr>
      </w:pPr>
      <w:r w:rsidRPr="00465FB3">
        <w:rPr>
          <w:rFonts w:ascii="Times New Roman" w:hAnsi="Times New Roman"/>
          <w:bCs/>
          <w:sz w:val="24"/>
          <w:szCs w:val="24"/>
        </w:rPr>
        <w:lastRenderedPageBreak/>
        <w:t xml:space="preserve">On Feb. 11, 2020, in </w:t>
      </w:r>
      <w:r w:rsidRPr="00465FB3">
        <w:rPr>
          <w:rFonts w:ascii="Times New Roman" w:hAnsi="Times New Roman"/>
          <w:bCs/>
          <w:sz w:val="24"/>
          <w:szCs w:val="24"/>
          <w:u w:val="single"/>
        </w:rPr>
        <w:t>Danny Cade v. County of Bladen</w:t>
      </w:r>
      <w:r w:rsidRPr="00465FB3">
        <w:rPr>
          <w:rFonts w:ascii="Times New Roman" w:hAnsi="Times New Roman"/>
          <w:bCs/>
          <w:sz w:val="24"/>
          <w:szCs w:val="24"/>
        </w:rPr>
        <w:t xml:space="preserve">, U.S. District Court Judge Louise W. Flannigan, Eastern District of North Carolina (Western Division), granted the County’s motion for summary judgment, dismissing the race-discrimination lawsuit. </w:t>
      </w:r>
    </w:p>
    <w:p w14:paraId="361E608D" w14:textId="77777777" w:rsidR="007A1E7A" w:rsidRPr="00465FB3" w:rsidRDefault="007A1E7A" w:rsidP="007A1E7A">
      <w:pPr>
        <w:pStyle w:val="NoSpacing"/>
        <w:ind w:left="720"/>
        <w:rPr>
          <w:rFonts w:ascii="Times New Roman" w:hAnsi="Times New Roman"/>
          <w:b/>
          <w:bCs/>
          <w:sz w:val="24"/>
          <w:szCs w:val="24"/>
        </w:rPr>
      </w:pPr>
    </w:p>
    <w:p w14:paraId="466ABF90" w14:textId="77777777" w:rsidR="007A1E7A" w:rsidRDefault="007A1E7A" w:rsidP="007A1E7A">
      <w:pPr>
        <w:pStyle w:val="NoSpacing"/>
        <w:ind w:left="720"/>
        <w:rPr>
          <w:rFonts w:ascii="Times New Roman" w:hAnsi="Times New Roman"/>
          <w:bCs/>
          <w:sz w:val="24"/>
          <w:szCs w:val="24"/>
        </w:rPr>
      </w:pPr>
      <w:r w:rsidRPr="00465FB3">
        <w:rPr>
          <w:rFonts w:ascii="Times New Roman" w:hAnsi="Times New Roman"/>
          <w:bCs/>
          <w:sz w:val="24"/>
          <w:szCs w:val="24"/>
        </w:rPr>
        <w:t xml:space="preserve">“Defendant meets its burden by coming forward with legitimate nondiscriminatory reasons for plaintiff's suspension and termination. Bowman testified that, on January 27, 2017, plaintiff failed properly to use an endotracheal tube to help the patient breathe. (Bowman Dep. (DE 40-3, 43-3) 41:5-43:15, 48:16-49:10, 52:6-25). Bowman asked if any medication had been given, plaintiff responded he had administered two epinephrine pills, though all the epinephrine pills were still in the bag. (Bowman Dep. (DE 40-3, 43-3) </w:t>
      </w:r>
    </w:p>
    <w:p w14:paraId="0843E16A" w14:textId="77777777" w:rsidR="007A1E7A" w:rsidRDefault="007A1E7A" w:rsidP="007A1E7A">
      <w:pPr>
        <w:pStyle w:val="NoSpacing"/>
        <w:ind w:left="720"/>
        <w:rPr>
          <w:rFonts w:ascii="Times New Roman" w:hAnsi="Times New Roman"/>
          <w:bCs/>
          <w:sz w:val="24"/>
          <w:szCs w:val="24"/>
        </w:rPr>
      </w:pPr>
    </w:p>
    <w:p w14:paraId="2F2B5AC7" w14:textId="77777777" w:rsidR="007A1E7A" w:rsidRDefault="007A1E7A" w:rsidP="007A1E7A">
      <w:pPr>
        <w:pStyle w:val="NoSpacing"/>
        <w:ind w:left="720"/>
        <w:rPr>
          <w:rFonts w:ascii="Times New Roman" w:hAnsi="Times New Roman"/>
          <w:bCs/>
          <w:sz w:val="24"/>
          <w:szCs w:val="24"/>
        </w:rPr>
      </w:pPr>
    </w:p>
    <w:p w14:paraId="2D4651C5" w14:textId="77777777" w:rsidR="007A1E7A" w:rsidRPr="00465FB3" w:rsidRDefault="007A1E7A" w:rsidP="007A1E7A">
      <w:pPr>
        <w:pStyle w:val="NoSpacing"/>
        <w:ind w:left="720"/>
        <w:rPr>
          <w:rFonts w:ascii="Times New Roman" w:hAnsi="Times New Roman"/>
          <w:sz w:val="24"/>
          <w:szCs w:val="24"/>
        </w:rPr>
      </w:pPr>
      <w:r w:rsidRPr="00465FB3">
        <w:rPr>
          <w:rFonts w:ascii="Times New Roman" w:hAnsi="Times New Roman"/>
          <w:bCs/>
          <w:sz w:val="24"/>
          <w:szCs w:val="24"/>
        </w:rPr>
        <w:t xml:space="preserve">43:16-44:4, 48:9-15). Bowman testified that plaintiff failed properly to take a diagnostic of the patient's heart. (Bowman Dep. (DE 40-3, 43-3) 46:14-22, 59:1-11). Singletary, who was also on the call with plaintiff, and Bowman both filed reports identifying deficiencies in the care administered by plaintiff to the patient. (Cade Dep. (DE 40-2) Ex. 12, 13). *** A peer review committee was convened to review the call and determined that a state investigation was necessary regarding whether plaintiff failed to follow proper treatment protocol, negligently performed his duties, and falsified patient records. (Cade Dep. (DE 40-2) Ex. 15). Defendant suspended plaintiff without pay pending investigation of these issues by the state, and it explained that plaintiff's continued </w:t>
      </w:r>
      <w:proofErr w:type="gramStart"/>
      <w:r w:rsidRPr="00465FB3">
        <w:rPr>
          <w:rFonts w:ascii="Times New Roman" w:hAnsi="Times New Roman"/>
          <w:bCs/>
          <w:sz w:val="24"/>
          <w:szCs w:val="24"/>
        </w:rPr>
        <w:t>employed</w:t>
      </w:r>
      <w:proofErr w:type="gramEnd"/>
      <w:r w:rsidRPr="00465FB3">
        <w:rPr>
          <w:rFonts w:ascii="Times New Roman" w:hAnsi="Times New Roman"/>
          <w:bCs/>
          <w:sz w:val="24"/>
          <w:szCs w:val="24"/>
        </w:rPr>
        <w:t xml:space="preserve"> with the state would be contingent on the state findings of investigation. (Cade Dep. (DE 40-2) Ex. 15, 16). The state investigation </w:t>
      </w:r>
      <w:r w:rsidRPr="00465FB3">
        <w:rPr>
          <w:rFonts w:ascii="Times New Roman" w:eastAsia="Times New Roman" w:hAnsi="Times New Roman"/>
          <w:bCs/>
          <w:sz w:val="24"/>
          <w:szCs w:val="24"/>
        </w:rPr>
        <w:t xml:space="preserve">[by </w:t>
      </w:r>
      <w:r w:rsidRPr="00465FB3">
        <w:rPr>
          <w:rFonts w:ascii="Times New Roman" w:hAnsi="Times New Roman"/>
          <w:bCs/>
          <w:sz w:val="24"/>
          <w:szCs w:val="24"/>
        </w:rPr>
        <w:t>North Carolina Office of Emergency Medical Services]</w:t>
      </w:r>
      <w:r w:rsidRPr="00465FB3">
        <w:rPr>
          <w:rFonts w:ascii="Times New Roman" w:hAnsi="Times New Roman"/>
          <w:sz w:val="24"/>
          <w:szCs w:val="24"/>
        </w:rPr>
        <w:t xml:space="preserve"> </w:t>
      </w:r>
      <w:r w:rsidRPr="00465FB3">
        <w:rPr>
          <w:rFonts w:ascii="Times New Roman" w:hAnsi="Times New Roman"/>
          <w:bCs/>
          <w:sz w:val="24"/>
          <w:szCs w:val="24"/>
        </w:rPr>
        <w:t xml:space="preserve">found numerous deficiencies in plaintiff's performance on the job, determined that plaintiff falsified details of the call, and revoked plaintiff's EMT-P credential. (Cade Dep. (DE 40-2) Ex. 20). Relying on the same factual findings as the state, </w:t>
      </w:r>
      <w:proofErr w:type="gramStart"/>
      <w:r w:rsidRPr="00465FB3">
        <w:rPr>
          <w:rFonts w:ascii="Times New Roman" w:hAnsi="Times New Roman"/>
          <w:bCs/>
          <w:sz w:val="24"/>
          <w:szCs w:val="24"/>
        </w:rPr>
        <w:t>defendant</w:t>
      </w:r>
      <w:proofErr w:type="gramEnd"/>
      <w:r w:rsidRPr="00465FB3">
        <w:rPr>
          <w:rFonts w:ascii="Times New Roman" w:hAnsi="Times New Roman"/>
          <w:bCs/>
          <w:sz w:val="24"/>
          <w:szCs w:val="24"/>
        </w:rPr>
        <w:t xml:space="preserve"> terminated plaintiff's employment for violating county policy. (Cade Dep. (DE 40-2) Ex. 21, 22).”</w:t>
      </w:r>
      <w:r w:rsidRPr="00465FB3">
        <w:rPr>
          <w:rFonts w:ascii="Times New Roman" w:hAnsi="Times New Roman"/>
          <w:sz w:val="24"/>
          <w:szCs w:val="24"/>
        </w:rPr>
        <w:t xml:space="preserve"> </w:t>
      </w:r>
      <w:hyperlink r:id="rId2374" w:history="1">
        <w:r w:rsidRPr="00465FB3">
          <w:rPr>
            <w:rStyle w:val="Hyperlink"/>
            <w:rFonts w:ascii="Times New Roman" w:hAnsi="Times New Roman"/>
            <w:bCs/>
            <w:sz w:val="24"/>
            <w:szCs w:val="24"/>
          </w:rPr>
          <w:t>https://public.fastcase.com/Wl%2B2t%2BeVuI35%2FN70vAMFZiXFpIhEfmm%2F8CTY%2Fzzj67xZNFbM2CzcHQjFO%2Fg%2BhpjG</w:t>
        </w:r>
      </w:hyperlink>
      <w:r w:rsidRPr="00465FB3">
        <w:rPr>
          <w:rFonts w:ascii="Times New Roman" w:hAnsi="Times New Roman"/>
          <w:bCs/>
          <w:sz w:val="24"/>
          <w:szCs w:val="24"/>
        </w:rPr>
        <w:t xml:space="preserve"> </w:t>
      </w:r>
    </w:p>
    <w:p w14:paraId="263C0693" w14:textId="77777777" w:rsidR="007A1E7A" w:rsidRPr="00465FB3" w:rsidRDefault="007A1E7A" w:rsidP="007A1E7A">
      <w:pPr>
        <w:spacing w:before="100" w:beforeAutospacing="1" w:after="100" w:afterAutospacing="1" w:line="240" w:lineRule="auto"/>
        <w:rPr>
          <w:rFonts w:ascii="Times New Roman" w:eastAsia="Times New Roman" w:hAnsi="Times New Roman"/>
          <w:b/>
          <w:bCs/>
          <w:sz w:val="24"/>
          <w:szCs w:val="24"/>
        </w:rPr>
      </w:pPr>
      <w:r w:rsidRPr="00465FB3">
        <w:rPr>
          <w:rFonts w:ascii="Times New Roman" w:eastAsia="Times New Roman" w:hAnsi="Times New Roman"/>
          <w:b/>
          <w:bCs/>
          <w:sz w:val="24"/>
          <w:szCs w:val="24"/>
        </w:rPr>
        <w:t xml:space="preserve">Legal Lessons Learned: The EMS Department properly notified State EMS Board of serious violations of protocol; suspended Medic and awaited state investigation before terminating the Medic. </w:t>
      </w:r>
    </w:p>
    <w:p w14:paraId="659D2EA1" w14:textId="77777777" w:rsidR="007A1E7A" w:rsidRDefault="007A1E7A" w:rsidP="002B1283">
      <w:pPr>
        <w:rPr>
          <w:rFonts w:ascii="Arial Black" w:hAnsi="Arial Black"/>
          <w:b/>
          <w:bCs/>
          <w:sz w:val="28"/>
          <w:szCs w:val="28"/>
        </w:rPr>
      </w:pPr>
    </w:p>
    <w:p w14:paraId="5C29A0F3" w14:textId="11E6FDA4" w:rsidR="00021E64" w:rsidRDefault="00021E64" w:rsidP="002B1283">
      <w:pPr>
        <w:rPr>
          <w:rFonts w:ascii="Arial Black" w:hAnsi="Arial Black"/>
          <w:b/>
          <w:bCs/>
          <w:sz w:val="28"/>
          <w:szCs w:val="28"/>
        </w:rPr>
      </w:pPr>
      <w:r>
        <w:rPr>
          <w:rFonts w:ascii="Arial Black" w:hAnsi="Arial Black"/>
          <w:b/>
          <w:bCs/>
          <w:sz w:val="28"/>
          <w:szCs w:val="28"/>
        </w:rPr>
        <w:t>13-4</w:t>
      </w:r>
      <w:r w:rsidR="007A1E7A">
        <w:rPr>
          <w:rFonts w:ascii="Arial Black" w:hAnsi="Arial Black"/>
          <w:b/>
          <w:bCs/>
          <w:sz w:val="28"/>
          <w:szCs w:val="28"/>
        </w:rPr>
        <w:t>3</w:t>
      </w:r>
    </w:p>
    <w:p w14:paraId="20BAA0F2" w14:textId="77777777" w:rsidR="00021E64" w:rsidRPr="00E72B44" w:rsidRDefault="00021E64" w:rsidP="00021E64">
      <w:pPr>
        <w:pStyle w:val="NoSpacing"/>
        <w:rPr>
          <w:rFonts w:ascii="Arial Black" w:hAnsi="Arial Black"/>
          <w:b/>
          <w:bCs/>
          <w:sz w:val="28"/>
          <w:szCs w:val="28"/>
        </w:rPr>
      </w:pPr>
      <w:bookmarkStart w:id="476" w:name="_Hlk39819998"/>
      <w:r w:rsidRPr="00E72B44">
        <w:rPr>
          <w:rFonts w:ascii="Arial Black" w:hAnsi="Arial Black"/>
          <w:bCs/>
          <w:sz w:val="28"/>
          <w:szCs w:val="28"/>
        </w:rPr>
        <w:t xml:space="preserve">TN: </w:t>
      </w:r>
      <w:r>
        <w:rPr>
          <w:rFonts w:ascii="Arial Black" w:hAnsi="Arial Black"/>
          <w:bCs/>
          <w:sz w:val="28"/>
          <w:szCs w:val="28"/>
        </w:rPr>
        <w:t>COMBATIVE PATIENT – PD RESTRAINED PATIENT - EMS USED SUCCINYLCHOLINE – QUALIFIED IMMUNITY, FOLLOWED PROTOCOL</w:t>
      </w:r>
    </w:p>
    <w:p w14:paraId="32BD2361" w14:textId="77777777" w:rsidR="00021E64" w:rsidRDefault="00021E64" w:rsidP="00021E64">
      <w:pPr>
        <w:pStyle w:val="NoSpacing"/>
        <w:ind w:left="720"/>
        <w:rPr>
          <w:b/>
          <w:bCs/>
          <w:sz w:val="24"/>
          <w:szCs w:val="24"/>
        </w:rPr>
      </w:pPr>
    </w:p>
    <w:p w14:paraId="1D03144F" w14:textId="77777777" w:rsidR="00021E64" w:rsidRPr="004236BE" w:rsidRDefault="00021E64" w:rsidP="00021E64">
      <w:pPr>
        <w:pStyle w:val="NoSpacing"/>
        <w:rPr>
          <w:rFonts w:ascii="Times New Roman" w:hAnsi="Times New Roman"/>
          <w:b/>
          <w:bCs/>
          <w:sz w:val="24"/>
          <w:szCs w:val="24"/>
        </w:rPr>
      </w:pPr>
      <w:r w:rsidRPr="004236BE">
        <w:rPr>
          <w:rFonts w:ascii="Times New Roman" w:hAnsi="Times New Roman"/>
          <w:bCs/>
          <w:sz w:val="24"/>
          <w:szCs w:val="24"/>
        </w:rPr>
        <w:t xml:space="preserve">On Jan. 21, 2020, in </w:t>
      </w:r>
      <w:r w:rsidRPr="004236BE">
        <w:rPr>
          <w:rFonts w:ascii="Times New Roman" w:hAnsi="Times New Roman"/>
          <w:bCs/>
          <w:sz w:val="24"/>
          <w:szCs w:val="24"/>
          <w:u w:val="single"/>
        </w:rPr>
        <w:t>Estate of Dustin Barnwell v. Mitchell Grigsby, et al</w:t>
      </w:r>
      <w:r w:rsidRPr="004236BE">
        <w:rPr>
          <w:rFonts w:ascii="Times New Roman" w:hAnsi="Times New Roman"/>
          <w:bCs/>
          <w:sz w:val="24"/>
          <w:szCs w:val="24"/>
        </w:rPr>
        <w:t xml:space="preserve">., the U.S. Court of Appeals for the Sixth Circuit (Cincinnati, OH) held 3 to 0 that the U.S. District Court judge, after three days of trial before a jury, properly dismissed the lawsuit against police and paramedics. </w:t>
      </w:r>
    </w:p>
    <w:p w14:paraId="1A2EECE6" w14:textId="77777777" w:rsidR="00021E64" w:rsidRPr="004236BE" w:rsidRDefault="00021E64" w:rsidP="00021E64">
      <w:pPr>
        <w:pStyle w:val="NoSpacing"/>
        <w:ind w:left="720"/>
        <w:rPr>
          <w:rFonts w:ascii="Times New Roman" w:hAnsi="Times New Roman"/>
          <w:b/>
          <w:bCs/>
          <w:sz w:val="24"/>
          <w:szCs w:val="24"/>
        </w:rPr>
      </w:pPr>
    </w:p>
    <w:p w14:paraId="1542F100" w14:textId="77777777" w:rsidR="00021E64" w:rsidRPr="004236BE" w:rsidRDefault="00021E64" w:rsidP="00021E64">
      <w:pPr>
        <w:pStyle w:val="NoSpacing"/>
        <w:ind w:left="720"/>
        <w:rPr>
          <w:rFonts w:ascii="Times New Roman" w:hAnsi="Times New Roman"/>
          <w:b/>
          <w:bCs/>
          <w:sz w:val="24"/>
          <w:szCs w:val="24"/>
        </w:rPr>
      </w:pPr>
      <w:r w:rsidRPr="004236BE">
        <w:rPr>
          <w:rFonts w:ascii="Times New Roman" w:hAnsi="Times New Roman"/>
          <w:bCs/>
          <w:sz w:val="24"/>
          <w:szCs w:val="24"/>
        </w:rPr>
        <w:t xml:space="preserve">“After three days of trial, the district court found that the defendants’ entitlement to qualified immunity resolved the ultimate issue in the case: whether administration of succinylcholine to Barnwell constituted </w:t>
      </w:r>
      <w:proofErr w:type="gramStart"/>
      <w:r w:rsidRPr="004236BE">
        <w:rPr>
          <w:rFonts w:ascii="Times New Roman" w:hAnsi="Times New Roman"/>
          <w:bCs/>
          <w:sz w:val="24"/>
          <w:szCs w:val="24"/>
        </w:rPr>
        <w:t>constitutionally-impermissible</w:t>
      </w:r>
      <w:proofErr w:type="gramEnd"/>
      <w:r w:rsidRPr="004236BE">
        <w:rPr>
          <w:rFonts w:ascii="Times New Roman" w:hAnsi="Times New Roman"/>
          <w:bCs/>
          <w:sz w:val="24"/>
          <w:szCs w:val="24"/>
        </w:rPr>
        <w:t xml:space="preserve"> excessive force. The district court properly viewed the evidence in the light most favorable to Gilmore and found that there was no legally sufficient basis fora reasonable jury to find for Gilmore on the ultimate issue in the case.”</w:t>
      </w:r>
      <w:r w:rsidRPr="004236BE">
        <w:rPr>
          <w:rFonts w:ascii="Times New Roman" w:hAnsi="Times New Roman"/>
          <w:sz w:val="24"/>
          <w:szCs w:val="24"/>
        </w:rPr>
        <w:t xml:space="preserve"> </w:t>
      </w:r>
      <w:hyperlink r:id="rId2375" w:history="1">
        <w:r w:rsidRPr="004236BE">
          <w:rPr>
            <w:rStyle w:val="Hyperlink"/>
            <w:rFonts w:ascii="Times New Roman" w:hAnsi="Times New Roman"/>
            <w:b/>
            <w:sz w:val="24"/>
            <w:szCs w:val="24"/>
          </w:rPr>
          <w:t>https://cases.justia.com/federal/appellate-courts/ca6/18-5480/18-5480-2020-01-21.pdf?ts=1579627818</w:t>
        </w:r>
      </w:hyperlink>
      <w:r w:rsidRPr="004236BE">
        <w:rPr>
          <w:rFonts w:ascii="Times New Roman" w:hAnsi="Times New Roman"/>
          <w:bCs/>
          <w:sz w:val="24"/>
          <w:szCs w:val="24"/>
        </w:rPr>
        <w:t xml:space="preserve"> </w:t>
      </w:r>
    </w:p>
    <w:bookmarkEnd w:id="476"/>
    <w:p w14:paraId="7D77084D" w14:textId="77777777" w:rsidR="00021E64" w:rsidRDefault="00021E64" w:rsidP="00021E64">
      <w:pPr>
        <w:pStyle w:val="NoSpacing"/>
        <w:rPr>
          <w:rFonts w:ascii="Times New Roman" w:hAnsi="Times New Roman"/>
          <w:b/>
          <w:bCs/>
          <w:sz w:val="24"/>
          <w:szCs w:val="24"/>
        </w:rPr>
      </w:pPr>
    </w:p>
    <w:p w14:paraId="3D79DD9D" w14:textId="0737A9BA" w:rsidR="00021E64" w:rsidRPr="004236BE" w:rsidRDefault="00021E64" w:rsidP="00021E64">
      <w:pPr>
        <w:pStyle w:val="NoSpacing"/>
        <w:rPr>
          <w:rFonts w:ascii="Times New Roman" w:eastAsia="Times New Roman" w:hAnsi="Times New Roman"/>
          <w:b/>
          <w:bCs/>
          <w:sz w:val="24"/>
          <w:szCs w:val="24"/>
        </w:rPr>
      </w:pPr>
      <w:bookmarkStart w:id="477" w:name="_Hlk40514480"/>
      <w:r w:rsidRPr="004236BE">
        <w:rPr>
          <w:rFonts w:ascii="Times New Roman" w:hAnsi="Times New Roman"/>
          <w:b/>
          <w:bCs/>
          <w:sz w:val="24"/>
          <w:szCs w:val="24"/>
        </w:rPr>
        <w:lastRenderedPageBreak/>
        <w:t xml:space="preserve">Legal Lessons Learned: Thoroughly document details about the combative patient, and </w:t>
      </w:r>
      <w:r>
        <w:rPr>
          <w:rFonts w:ascii="Times New Roman" w:hAnsi="Times New Roman"/>
          <w:b/>
          <w:bCs/>
          <w:sz w:val="24"/>
          <w:szCs w:val="24"/>
        </w:rPr>
        <w:t xml:space="preserve">protocol on </w:t>
      </w:r>
      <w:r w:rsidRPr="004236BE">
        <w:rPr>
          <w:rFonts w:ascii="Times New Roman" w:hAnsi="Times New Roman"/>
          <w:b/>
          <w:bCs/>
          <w:sz w:val="24"/>
          <w:szCs w:val="24"/>
        </w:rPr>
        <w:t xml:space="preserve">meds administered </w:t>
      </w:r>
      <w:r>
        <w:rPr>
          <w:rFonts w:ascii="Times New Roman" w:hAnsi="Times New Roman"/>
          <w:b/>
          <w:bCs/>
          <w:sz w:val="24"/>
          <w:szCs w:val="24"/>
        </w:rPr>
        <w:t xml:space="preserve">was followed. </w:t>
      </w:r>
    </w:p>
    <w:p w14:paraId="531D28FF" w14:textId="77777777" w:rsidR="00021E64" w:rsidRDefault="00021E64" w:rsidP="002B1283">
      <w:pPr>
        <w:rPr>
          <w:rFonts w:ascii="Arial Black" w:hAnsi="Arial Black"/>
          <w:b/>
          <w:bCs/>
          <w:sz w:val="28"/>
          <w:szCs w:val="28"/>
        </w:rPr>
      </w:pPr>
    </w:p>
    <w:bookmarkEnd w:id="477"/>
    <w:p w14:paraId="305E8D18" w14:textId="77777777" w:rsidR="00021E64" w:rsidRDefault="00021E64" w:rsidP="00DE0F03">
      <w:pPr>
        <w:pStyle w:val="NoSpacing"/>
        <w:rPr>
          <w:rFonts w:ascii="Arial Black" w:hAnsi="Arial Black"/>
          <w:sz w:val="24"/>
          <w:szCs w:val="24"/>
        </w:rPr>
      </w:pPr>
    </w:p>
    <w:p w14:paraId="5269B26C" w14:textId="5A8944E7" w:rsidR="00420322" w:rsidRDefault="00420322" w:rsidP="00DE0F03">
      <w:pPr>
        <w:pStyle w:val="NoSpacing"/>
        <w:rPr>
          <w:rFonts w:ascii="Arial Black" w:hAnsi="Arial Black"/>
          <w:sz w:val="24"/>
          <w:szCs w:val="24"/>
        </w:rPr>
      </w:pPr>
      <w:r>
        <w:rPr>
          <w:rFonts w:ascii="Arial Black" w:hAnsi="Arial Black"/>
          <w:sz w:val="24"/>
          <w:szCs w:val="24"/>
        </w:rPr>
        <w:t>13-4</w:t>
      </w:r>
      <w:r w:rsidR="007A1E7A">
        <w:rPr>
          <w:rFonts w:ascii="Arial Black" w:hAnsi="Arial Black"/>
          <w:sz w:val="24"/>
          <w:szCs w:val="24"/>
        </w:rPr>
        <w:t>2</w:t>
      </w:r>
    </w:p>
    <w:p w14:paraId="03855AE1" w14:textId="2DFC2981" w:rsidR="00420322" w:rsidRDefault="00420322" w:rsidP="00DE0F03">
      <w:pPr>
        <w:pStyle w:val="NoSpacing"/>
        <w:rPr>
          <w:rFonts w:ascii="Arial Black" w:hAnsi="Arial Black"/>
          <w:sz w:val="24"/>
          <w:szCs w:val="24"/>
        </w:rPr>
      </w:pPr>
    </w:p>
    <w:p w14:paraId="5C0F8BD1" w14:textId="6EF9963B" w:rsidR="00420322" w:rsidRPr="00F81147" w:rsidRDefault="00420322" w:rsidP="00420322">
      <w:pPr>
        <w:rPr>
          <w:rFonts w:ascii="Arial Black" w:hAnsi="Arial Black"/>
          <w:sz w:val="28"/>
          <w:szCs w:val="28"/>
        </w:rPr>
      </w:pPr>
      <w:bookmarkStart w:id="478" w:name="_Hlk39820349"/>
      <w:bookmarkStart w:id="479" w:name="_Hlk41297971"/>
      <w:r w:rsidRPr="00AF53CE">
        <w:rPr>
          <w:rFonts w:ascii="Arial Black" w:hAnsi="Arial Black"/>
          <w:sz w:val="28"/>
          <w:szCs w:val="28"/>
        </w:rPr>
        <w:t xml:space="preserve">GA: </w:t>
      </w:r>
      <w:r>
        <w:rPr>
          <w:rFonts w:ascii="Arial Black" w:hAnsi="Arial Black"/>
          <w:sz w:val="28"/>
          <w:szCs w:val="28"/>
        </w:rPr>
        <w:t>EMT – OBJECTED WHEN TOLD TO FALSIFY PATIENTS CAN’T WALK – LATER FIRED, DIDN’T INFORM DIR. 2</w:t>
      </w:r>
      <w:r w:rsidRPr="00AC5D85">
        <w:rPr>
          <w:rFonts w:ascii="Arial Black" w:hAnsi="Arial Black"/>
          <w:sz w:val="28"/>
          <w:szCs w:val="28"/>
          <w:vertAlign w:val="superscript"/>
        </w:rPr>
        <w:t>nd</w:t>
      </w:r>
      <w:r>
        <w:rPr>
          <w:rFonts w:ascii="Arial Black" w:hAnsi="Arial Black"/>
          <w:sz w:val="28"/>
          <w:szCs w:val="28"/>
        </w:rPr>
        <w:t xml:space="preserve"> EMS JOB – NO RETALIATION </w:t>
      </w:r>
      <w:r w:rsidR="00F81147">
        <w:rPr>
          <w:rFonts w:ascii="Arial Black" w:hAnsi="Arial Black"/>
          <w:sz w:val="28"/>
          <w:szCs w:val="28"/>
        </w:rPr>
        <w:t xml:space="preserve">                                                                                              </w:t>
      </w:r>
      <w:r>
        <w:rPr>
          <w:rFonts w:ascii="Times New Roman" w:hAnsi="Times New Roman"/>
          <w:sz w:val="24"/>
          <w:szCs w:val="24"/>
        </w:rPr>
        <w:t xml:space="preserve">On Jan. 3, 2020, in </w:t>
      </w:r>
      <w:r w:rsidRPr="00AF53CE">
        <w:rPr>
          <w:rFonts w:ascii="Times New Roman" w:hAnsi="Times New Roman"/>
          <w:sz w:val="24"/>
          <w:szCs w:val="24"/>
          <w:u w:val="single"/>
        </w:rPr>
        <w:t>Jamie Nesbitt v. Chandler County, GA, d.b.a. Chandler County Ambulance Service</w:t>
      </w:r>
      <w:r>
        <w:rPr>
          <w:rFonts w:ascii="Times New Roman" w:hAnsi="Times New Roman"/>
          <w:sz w:val="24"/>
          <w:szCs w:val="24"/>
        </w:rPr>
        <w:t>, the U.S. Court of Appeals for the 11</w:t>
      </w:r>
      <w:r w:rsidRPr="00AF53CE">
        <w:rPr>
          <w:rFonts w:ascii="Times New Roman" w:hAnsi="Times New Roman"/>
          <w:sz w:val="24"/>
          <w:szCs w:val="24"/>
          <w:vertAlign w:val="superscript"/>
        </w:rPr>
        <w:t>th</w:t>
      </w:r>
      <w:r>
        <w:rPr>
          <w:rFonts w:ascii="Times New Roman" w:hAnsi="Times New Roman"/>
          <w:sz w:val="24"/>
          <w:szCs w:val="24"/>
        </w:rPr>
        <w:t xml:space="preserve"> Circuit (Atlanta) held 3 to 0 that the U.S. District Court judge properly dismissed the EMT’s False Claims Act lawsuit claiming retaliation.  He was fired for having an undisclosed second job working for a private ambulance company; no proof that “but for” his being a whistleblower he would have been fired. </w:t>
      </w:r>
    </w:p>
    <w:p w14:paraId="5B73BD32" w14:textId="77777777" w:rsidR="00420322" w:rsidRPr="00127858" w:rsidRDefault="00420322" w:rsidP="00420322">
      <w:pPr>
        <w:ind w:left="720"/>
        <w:rPr>
          <w:rFonts w:ascii="Times New Roman" w:hAnsi="Times New Roman"/>
          <w:sz w:val="24"/>
          <w:szCs w:val="24"/>
        </w:rPr>
      </w:pPr>
      <w:r>
        <w:rPr>
          <w:rFonts w:ascii="Times New Roman" w:hAnsi="Times New Roman"/>
          <w:sz w:val="24"/>
          <w:szCs w:val="24"/>
        </w:rPr>
        <w:t>“</w:t>
      </w:r>
      <w:r w:rsidRPr="00127858">
        <w:rPr>
          <w:rFonts w:ascii="Times New Roman" w:hAnsi="Times New Roman"/>
          <w:sz w:val="24"/>
          <w:szCs w:val="24"/>
        </w:rPr>
        <w:t xml:space="preserve">According to Nesbitt, when Greer became the deputy </w:t>
      </w:r>
      <w:proofErr w:type="gramStart"/>
      <w:r w:rsidRPr="00127858">
        <w:rPr>
          <w:rFonts w:ascii="Times New Roman" w:hAnsi="Times New Roman"/>
          <w:sz w:val="24"/>
          <w:szCs w:val="24"/>
        </w:rPr>
        <w:t>director</w:t>
      </w:r>
      <w:proofErr w:type="gramEnd"/>
      <w:r w:rsidRPr="00127858">
        <w:rPr>
          <w:rFonts w:ascii="Times New Roman" w:hAnsi="Times New Roman"/>
          <w:sz w:val="24"/>
          <w:szCs w:val="24"/>
        </w:rPr>
        <w:t xml:space="preserve"> he started pressuring the EMTs to write in their report narratives that patients were unable to walk, even if they could. That </w:t>
      </w:r>
      <w:proofErr w:type="gramStart"/>
      <w:r w:rsidRPr="00127858">
        <w:rPr>
          <w:rFonts w:ascii="Times New Roman" w:hAnsi="Times New Roman"/>
          <w:sz w:val="24"/>
          <w:szCs w:val="24"/>
        </w:rPr>
        <w:t>way</w:t>
      </w:r>
      <w:proofErr w:type="gramEnd"/>
      <w:r w:rsidRPr="00127858">
        <w:rPr>
          <w:rFonts w:ascii="Times New Roman" w:hAnsi="Times New Roman"/>
          <w:sz w:val="24"/>
          <w:szCs w:val="24"/>
        </w:rPr>
        <w:t xml:space="preserve"> Medicare would pay for more trips. Nesbitt believed that Greer was asking him to commit fraud, so he began complaining to Greer himself and other County officials.  *** The County had a policy prohibiting EMTs from working side jobs without the approval of the ambulance service director. Greer was not the director, David Moore was. Nesbitt assumed that Moore somehow knew about his other job, but there’s no evidence that Moore did know about it, much less that he approved it.</w:t>
      </w:r>
      <w:r>
        <w:rPr>
          <w:rFonts w:ascii="Times New Roman" w:hAnsi="Times New Roman"/>
          <w:sz w:val="24"/>
          <w:szCs w:val="24"/>
        </w:rPr>
        <w:t xml:space="preserve">” </w:t>
      </w:r>
      <w:bookmarkStart w:id="480" w:name="_Hlk41151938"/>
      <w:r w:rsidR="00F37A4B">
        <w:fldChar w:fldCharType="begin"/>
      </w:r>
      <w:r w:rsidR="00F37A4B">
        <w:instrText xml:space="preserve"> HYPERLINK "http://media.ca11.uscourts.gov/opinions/pub/files/201814484.pdf" </w:instrText>
      </w:r>
      <w:r w:rsidR="00F37A4B">
        <w:fldChar w:fldCharType="separate"/>
      </w:r>
      <w:r w:rsidRPr="00631896">
        <w:rPr>
          <w:rStyle w:val="Hyperlink"/>
          <w:rFonts w:ascii="Times New Roman" w:hAnsi="Times New Roman"/>
          <w:sz w:val="24"/>
          <w:szCs w:val="24"/>
        </w:rPr>
        <w:t>http://media.ca11.uscourts.gov/opinions/pub/files/201814484.pdf</w:t>
      </w:r>
      <w:r w:rsidR="00F37A4B">
        <w:rPr>
          <w:rStyle w:val="Hyperlink"/>
          <w:rFonts w:ascii="Times New Roman" w:hAnsi="Times New Roman"/>
          <w:sz w:val="24"/>
          <w:szCs w:val="24"/>
        </w:rPr>
        <w:fldChar w:fldCharType="end"/>
      </w:r>
      <w:r>
        <w:rPr>
          <w:rFonts w:ascii="Times New Roman" w:hAnsi="Times New Roman"/>
          <w:sz w:val="24"/>
          <w:szCs w:val="24"/>
        </w:rPr>
        <w:t xml:space="preserve"> </w:t>
      </w:r>
    </w:p>
    <w:bookmarkEnd w:id="478"/>
    <w:p w14:paraId="3DD10371" w14:textId="4B44F376" w:rsidR="00420322" w:rsidRPr="00F37A4B" w:rsidRDefault="00F37A4B" w:rsidP="00DE0F03">
      <w:pPr>
        <w:pStyle w:val="NoSpacing"/>
        <w:rPr>
          <w:rFonts w:ascii="Times New Roman" w:hAnsi="Times New Roman"/>
          <w:b/>
          <w:bCs/>
          <w:sz w:val="24"/>
          <w:szCs w:val="24"/>
        </w:rPr>
      </w:pPr>
      <w:r w:rsidRPr="00F37A4B">
        <w:rPr>
          <w:rFonts w:ascii="Times New Roman" w:hAnsi="Times New Roman"/>
          <w:b/>
          <w:bCs/>
          <w:sz w:val="24"/>
          <w:szCs w:val="24"/>
        </w:rPr>
        <w:t xml:space="preserve">Legal Lessons Learned: </w:t>
      </w:r>
      <w:r>
        <w:rPr>
          <w:rFonts w:ascii="Times New Roman" w:hAnsi="Times New Roman"/>
          <w:b/>
          <w:bCs/>
          <w:sz w:val="24"/>
          <w:szCs w:val="24"/>
        </w:rPr>
        <w:t xml:space="preserve"> Employer had basis for termination. </w:t>
      </w:r>
    </w:p>
    <w:bookmarkEnd w:id="480"/>
    <w:p w14:paraId="51A03752" w14:textId="77777777" w:rsidR="00420322" w:rsidRDefault="00420322" w:rsidP="00DE0F03">
      <w:pPr>
        <w:pStyle w:val="NoSpacing"/>
        <w:rPr>
          <w:rFonts w:ascii="Arial Black" w:hAnsi="Arial Black"/>
          <w:sz w:val="24"/>
          <w:szCs w:val="24"/>
        </w:rPr>
      </w:pPr>
    </w:p>
    <w:bookmarkEnd w:id="479"/>
    <w:p w14:paraId="17EA2C23" w14:textId="77777777" w:rsidR="00420322" w:rsidRDefault="00420322" w:rsidP="00DE0F03">
      <w:pPr>
        <w:pStyle w:val="NoSpacing"/>
        <w:rPr>
          <w:rFonts w:ascii="Arial Black" w:hAnsi="Arial Black"/>
          <w:sz w:val="24"/>
          <w:szCs w:val="24"/>
        </w:rPr>
      </w:pPr>
    </w:p>
    <w:p w14:paraId="373A5411" w14:textId="3FF15815" w:rsidR="00420322" w:rsidRDefault="00420322" w:rsidP="00DE0F03">
      <w:pPr>
        <w:pStyle w:val="NoSpacing"/>
        <w:rPr>
          <w:rFonts w:ascii="Arial Black" w:hAnsi="Arial Black"/>
          <w:sz w:val="24"/>
          <w:szCs w:val="24"/>
        </w:rPr>
      </w:pPr>
      <w:r>
        <w:rPr>
          <w:rFonts w:ascii="Arial Black" w:hAnsi="Arial Black"/>
          <w:sz w:val="24"/>
          <w:szCs w:val="24"/>
        </w:rPr>
        <w:t>13-4</w:t>
      </w:r>
      <w:r w:rsidR="007A1E7A">
        <w:rPr>
          <w:rFonts w:ascii="Arial Black" w:hAnsi="Arial Black"/>
          <w:sz w:val="24"/>
          <w:szCs w:val="24"/>
        </w:rPr>
        <w:t>1</w:t>
      </w:r>
    </w:p>
    <w:p w14:paraId="4AFBD5AD" w14:textId="7252AC36" w:rsidR="00420322" w:rsidRDefault="00420322" w:rsidP="00DE0F03">
      <w:pPr>
        <w:pStyle w:val="NoSpacing"/>
        <w:rPr>
          <w:rFonts w:ascii="Arial Black" w:hAnsi="Arial Black"/>
          <w:sz w:val="24"/>
          <w:szCs w:val="24"/>
        </w:rPr>
      </w:pPr>
    </w:p>
    <w:p w14:paraId="319522F0" w14:textId="77777777" w:rsidR="00420322" w:rsidRPr="00F02676" w:rsidRDefault="00420322" w:rsidP="00420322">
      <w:pPr>
        <w:rPr>
          <w:rFonts w:ascii="Arial Black" w:hAnsi="Arial Black"/>
          <w:sz w:val="28"/>
          <w:szCs w:val="28"/>
        </w:rPr>
      </w:pPr>
      <w:bookmarkStart w:id="481" w:name="_Hlk41152123"/>
      <w:r w:rsidRPr="00F02676">
        <w:rPr>
          <w:rFonts w:ascii="Arial Black" w:hAnsi="Arial Black"/>
          <w:sz w:val="28"/>
          <w:szCs w:val="28"/>
        </w:rPr>
        <w:t xml:space="preserve">FL: </w:t>
      </w:r>
      <w:r>
        <w:rPr>
          <w:rFonts w:ascii="Arial Black" w:hAnsi="Arial Black"/>
          <w:sz w:val="28"/>
          <w:szCs w:val="28"/>
        </w:rPr>
        <w:t>HIGH SCHOOL FOOTBALL – HEAT EXHAUSTION / DIED - COACH DELAYED CALLING 911 – NO LIABILITY, LACK REQUISITE CONTROL</w:t>
      </w:r>
    </w:p>
    <w:p w14:paraId="416A27F4" w14:textId="77777777" w:rsidR="00420322" w:rsidRDefault="00420322" w:rsidP="00420322">
      <w:pPr>
        <w:rPr>
          <w:rFonts w:ascii="Times New Roman" w:hAnsi="Times New Roman"/>
          <w:sz w:val="24"/>
          <w:szCs w:val="24"/>
        </w:rPr>
      </w:pPr>
      <w:r w:rsidRPr="00F02676">
        <w:rPr>
          <w:rFonts w:ascii="Times New Roman" w:hAnsi="Times New Roman"/>
          <w:sz w:val="24"/>
          <w:szCs w:val="24"/>
        </w:rPr>
        <w:t xml:space="preserve">On Jan. 2, 2019, in </w:t>
      </w:r>
      <w:r w:rsidRPr="00F02676">
        <w:rPr>
          <w:rFonts w:ascii="Times New Roman" w:hAnsi="Times New Roman"/>
          <w:sz w:val="24"/>
          <w:szCs w:val="24"/>
          <w:u w:val="single"/>
        </w:rPr>
        <w:t>Laurie Alice Giordano v. The School Board of Lee County, Florida and James Delgado</w:t>
      </w:r>
      <w:r>
        <w:rPr>
          <w:rFonts w:ascii="Times New Roman" w:hAnsi="Times New Roman"/>
          <w:sz w:val="24"/>
          <w:szCs w:val="24"/>
        </w:rPr>
        <w:t xml:space="preserve">, U.S. District Court Judge John E. Steele, U.S. District Court, Middle District of Florida (Fort Myers Division), granted defendants motion to dismiss. </w:t>
      </w:r>
    </w:p>
    <w:p w14:paraId="208BA285" w14:textId="77777777" w:rsidR="00420322" w:rsidRPr="00F02676" w:rsidRDefault="00420322" w:rsidP="00420322">
      <w:pPr>
        <w:ind w:left="720"/>
        <w:rPr>
          <w:rFonts w:ascii="Times New Roman" w:hAnsi="Times New Roman"/>
          <w:sz w:val="24"/>
          <w:szCs w:val="24"/>
        </w:rPr>
      </w:pPr>
      <w:r>
        <w:rPr>
          <w:rFonts w:ascii="Times New Roman" w:hAnsi="Times New Roman"/>
          <w:sz w:val="24"/>
          <w:szCs w:val="24"/>
        </w:rPr>
        <w:t>“</w:t>
      </w:r>
      <w:r w:rsidRPr="00F02676">
        <w:rPr>
          <w:rFonts w:ascii="Times New Roman" w:hAnsi="Times New Roman"/>
          <w:sz w:val="24"/>
          <w:szCs w:val="24"/>
        </w:rPr>
        <w:t>Mere compulsory attendance at a public school does not give rise to a constitutional duty of protection under the Due Process Clause because public schools generally lack the requisite control over children to impose such a duty of care upon these institutions.</w:t>
      </w:r>
      <w:r>
        <w:rPr>
          <w:rFonts w:ascii="Times New Roman" w:hAnsi="Times New Roman"/>
          <w:sz w:val="24"/>
          <w:szCs w:val="24"/>
        </w:rPr>
        <w:t xml:space="preserve">” </w:t>
      </w:r>
      <w:hyperlink r:id="rId2376" w:history="1">
        <w:r w:rsidRPr="006C1964">
          <w:rPr>
            <w:rStyle w:val="Hyperlink"/>
            <w:rFonts w:ascii="Times New Roman" w:hAnsi="Times New Roman"/>
            <w:sz w:val="24"/>
            <w:szCs w:val="24"/>
          </w:rPr>
          <w:t>https://ecf.flmd.uscourts.gov/cgi-bin/show_public_doc?2019-00439-60-2-cv</w:t>
        </w:r>
      </w:hyperlink>
      <w:r>
        <w:rPr>
          <w:rFonts w:ascii="Times New Roman" w:hAnsi="Times New Roman"/>
          <w:sz w:val="24"/>
          <w:szCs w:val="24"/>
        </w:rPr>
        <w:t xml:space="preserve"> </w:t>
      </w:r>
    </w:p>
    <w:p w14:paraId="68A58967" w14:textId="10725851" w:rsidR="00420322" w:rsidRPr="00E658E1" w:rsidRDefault="00E658E1" w:rsidP="00DE0F03">
      <w:pPr>
        <w:pStyle w:val="NoSpacing"/>
        <w:rPr>
          <w:rFonts w:ascii="Times New Roman" w:hAnsi="Times New Roman"/>
          <w:b/>
          <w:bCs/>
          <w:sz w:val="24"/>
          <w:szCs w:val="24"/>
        </w:rPr>
      </w:pPr>
      <w:r w:rsidRPr="00E658E1">
        <w:rPr>
          <w:rFonts w:ascii="Times New Roman" w:hAnsi="Times New Roman"/>
          <w:b/>
          <w:bCs/>
          <w:sz w:val="24"/>
          <w:szCs w:val="24"/>
        </w:rPr>
        <w:t>Legal Lesson Learned:</w:t>
      </w:r>
      <w:r>
        <w:rPr>
          <w:rFonts w:ascii="Times New Roman" w:hAnsi="Times New Roman"/>
          <w:b/>
          <w:bCs/>
          <w:sz w:val="24"/>
          <w:szCs w:val="24"/>
        </w:rPr>
        <w:t xml:space="preserve"> </w:t>
      </w:r>
      <w:r w:rsidRPr="00E658E1">
        <w:rPr>
          <w:rFonts w:ascii="Times New Roman" w:hAnsi="Times New Roman"/>
          <w:b/>
          <w:bCs/>
          <w:sz w:val="24"/>
          <w:szCs w:val="24"/>
        </w:rPr>
        <w:t xml:space="preserve">Football and other athletic coaches need training in signs of serious </w:t>
      </w:r>
      <w:proofErr w:type="gramStart"/>
      <w:r w:rsidRPr="00E658E1">
        <w:rPr>
          <w:rFonts w:ascii="Times New Roman" w:hAnsi="Times New Roman"/>
          <w:b/>
          <w:bCs/>
          <w:sz w:val="24"/>
          <w:szCs w:val="24"/>
        </w:rPr>
        <w:t>illness, and</w:t>
      </w:r>
      <w:proofErr w:type="gramEnd"/>
      <w:r w:rsidRPr="00E658E1">
        <w:rPr>
          <w:rFonts w:ascii="Times New Roman" w:hAnsi="Times New Roman"/>
          <w:b/>
          <w:bCs/>
          <w:sz w:val="24"/>
          <w:szCs w:val="24"/>
        </w:rPr>
        <w:t xml:space="preserve"> need to promptly call 911.</w:t>
      </w:r>
    </w:p>
    <w:bookmarkEnd w:id="481"/>
    <w:p w14:paraId="4DE7B7AC" w14:textId="77777777" w:rsidR="00420322" w:rsidRDefault="00420322" w:rsidP="00DE0F03">
      <w:pPr>
        <w:pStyle w:val="NoSpacing"/>
        <w:rPr>
          <w:rFonts w:ascii="Arial Black" w:hAnsi="Arial Black"/>
          <w:sz w:val="24"/>
          <w:szCs w:val="24"/>
        </w:rPr>
      </w:pPr>
    </w:p>
    <w:p w14:paraId="7BD0DAF7" w14:textId="77777777" w:rsidR="00420322" w:rsidRDefault="00420322" w:rsidP="00DE0F03">
      <w:pPr>
        <w:pStyle w:val="NoSpacing"/>
        <w:rPr>
          <w:rFonts w:ascii="Arial Black" w:hAnsi="Arial Black"/>
          <w:sz w:val="24"/>
          <w:szCs w:val="24"/>
        </w:rPr>
      </w:pPr>
    </w:p>
    <w:p w14:paraId="3CFF2485" w14:textId="47B5ECA6" w:rsidR="00420322" w:rsidRDefault="00420322" w:rsidP="00DE0F03">
      <w:pPr>
        <w:pStyle w:val="NoSpacing"/>
        <w:rPr>
          <w:rFonts w:ascii="Arial Black" w:hAnsi="Arial Black"/>
          <w:sz w:val="24"/>
          <w:szCs w:val="24"/>
        </w:rPr>
      </w:pPr>
      <w:r>
        <w:rPr>
          <w:rFonts w:ascii="Arial Black" w:hAnsi="Arial Black"/>
          <w:sz w:val="24"/>
          <w:szCs w:val="24"/>
        </w:rPr>
        <w:t>13-</w:t>
      </w:r>
      <w:r w:rsidR="007A1E7A">
        <w:rPr>
          <w:rFonts w:ascii="Arial Black" w:hAnsi="Arial Black"/>
          <w:sz w:val="24"/>
          <w:szCs w:val="24"/>
        </w:rPr>
        <w:t>40</w:t>
      </w:r>
    </w:p>
    <w:p w14:paraId="2543D7E4" w14:textId="36BE05AB" w:rsidR="00420322" w:rsidRDefault="00420322" w:rsidP="00DE0F03">
      <w:pPr>
        <w:pStyle w:val="NoSpacing"/>
        <w:rPr>
          <w:rFonts w:ascii="Arial Black" w:hAnsi="Arial Black"/>
          <w:sz w:val="24"/>
          <w:szCs w:val="24"/>
        </w:rPr>
      </w:pPr>
    </w:p>
    <w:p w14:paraId="60D59A59" w14:textId="77777777" w:rsidR="00420322" w:rsidRDefault="00420322" w:rsidP="00420322">
      <w:pPr>
        <w:rPr>
          <w:rFonts w:ascii="Arial Black" w:hAnsi="Arial Black"/>
          <w:sz w:val="28"/>
          <w:szCs w:val="28"/>
        </w:rPr>
      </w:pPr>
      <w:bookmarkStart w:id="482" w:name="_Hlk41152157"/>
      <w:r w:rsidRPr="00C44FF6">
        <w:rPr>
          <w:rFonts w:ascii="Arial Black" w:hAnsi="Arial Black"/>
          <w:sz w:val="28"/>
          <w:szCs w:val="28"/>
        </w:rPr>
        <w:t xml:space="preserve">TX: </w:t>
      </w:r>
      <w:r>
        <w:rPr>
          <w:rFonts w:ascii="Arial Black" w:hAnsi="Arial Black"/>
          <w:sz w:val="28"/>
          <w:szCs w:val="28"/>
        </w:rPr>
        <w:t>POTHOLE - MOTORCYCLIST INJURED – DIDN’T INFORM CITY OF POTHOLE - EMS RUN RPT. NOT “ACTUAL NOTICE” – CASE DISMISSED</w:t>
      </w:r>
    </w:p>
    <w:p w14:paraId="7D8F2743" w14:textId="77777777" w:rsidR="00420322" w:rsidRPr="00C44FF6" w:rsidRDefault="00420322" w:rsidP="00420322">
      <w:pPr>
        <w:rPr>
          <w:rFonts w:ascii="Times New Roman" w:hAnsi="Times New Roman"/>
          <w:sz w:val="24"/>
          <w:szCs w:val="24"/>
        </w:rPr>
      </w:pPr>
      <w:r w:rsidRPr="00C44FF6">
        <w:rPr>
          <w:rFonts w:ascii="Times New Roman" w:hAnsi="Times New Roman"/>
          <w:sz w:val="24"/>
          <w:szCs w:val="24"/>
        </w:rPr>
        <w:t xml:space="preserve">On </w:t>
      </w:r>
      <w:r>
        <w:rPr>
          <w:rFonts w:ascii="Times New Roman" w:hAnsi="Times New Roman"/>
          <w:sz w:val="24"/>
          <w:szCs w:val="24"/>
        </w:rPr>
        <w:t xml:space="preserve">Dec. 31, 2019, in </w:t>
      </w:r>
      <w:r w:rsidRPr="00C44FF6">
        <w:rPr>
          <w:rFonts w:ascii="Times New Roman" w:hAnsi="Times New Roman"/>
          <w:sz w:val="24"/>
          <w:szCs w:val="24"/>
          <w:u w:val="single"/>
        </w:rPr>
        <w:t>City of Houston v. Elvin D. Miller</w:t>
      </w:r>
      <w:r>
        <w:rPr>
          <w:rFonts w:ascii="Times New Roman" w:hAnsi="Times New Roman"/>
          <w:sz w:val="24"/>
          <w:szCs w:val="24"/>
        </w:rPr>
        <w:t xml:space="preserve">, the Court of Appeals for the First District of Texas, held (3 to 0) that the trial judge should have dismissed this lawsuit. </w:t>
      </w:r>
    </w:p>
    <w:p w14:paraId="77E23ADC" w14:textId="27A3D0C8" w:rsidR="00420322" w:rsidRDefault="00420322" w:rsidP="00420322">
      <w:pPr>
        <w:ind w:left="720"/>
        <w:rPr>
          <w:rFonts w:ascii="Times New Roman" w:hAnsi="Times New Roman"/>
          <w:sz w:val="24"/>
          <w:szCs w:val="24"/>
        </w:rPr>
      </w:pPr>
      <w:r>
        <w:rPr>
          <w:rFonts w:ascii="Times New Roman" w:hAnsi="Times New Roman"/>
          <w:sz w:val="24"/>
          <w:szCs w:val="24"/>
        </w:rPr>
        <w:t>“</w:t>
      </w:r>
      <w:r w:rsidRPr="00C44FF6">
        <w:rPr>
          <w:rFonts w:ascii="Times New Roman" w:hAnsi="Times New Roman"/>
          <w:sz w:val="24"/>
          <w:szCs w:val="24"/>
        </w:rPr>
        <w:t>Accordingly, we hold</w:t>
      </w:r>
      <w:r>
        <w:rPr>
          <w:rFonts w:ascii="Times New Roman" w:hAnsi="Times New Roman"/>
          <w:sz w:val="24"/>
          <w:szCs w:val="24"/>
        </w:rPr>
        <w:t xml:space="preserve"> </w:t>
      </w:r>
      <w:r w:rsidRPr="00C44FF6">
        <w:rPr>
          <w:rFonts w:ascii="Times New Roman" w:hAnsi="Times New Roman"/>
          <w:sz w:val="24"/>
          <w:szCs w:val="24"/>
        </w:rPr>
        <w:t>that Miller</w:t>
      </w:r>
      <w:r>
        <w:rPr>
          <w:rFonts w:ascii="Times New Roman" w:hAnsi="Times New Roman"/>
          <w:sz w:val="24"/>
          <w:szCs w:val="24"/>
        </w:rPr>
        <w:t xml:space="preserve"> </w:t>
      </w:r>
      <w:r w:rsidRPr="00C44FF6">
        <w:rPr>
          <w:rFonts w:ascii="Times New Roman" w:hAnsi="Times New Roman"/>
          <w:sz w:val="24"/>
          <w:szCs w:val="24"/>
        </w:rPr>
        <w:t>has not demonstrated</w:t>
      </w:r>
      <w:r>
        <w:rPr>
          <w:rFonts w:ascii="Times New Roman" w:hAnsi="Times New Roman"/>
          <w:sz w:val="24"/>
          <w:szCs w:val="24"/>
        </w:rPr>
        <w:t xml:space="preserve"> </w:t>
      </w:r>
      <w:r w:rsidRPr="00C44FF6">
        <w:rPr>
          <w:rFonts w:ascii="Times New Roman" w:hAnsi="Times New Roman"/>
          <w:sz w:val="24"/>
          <w:szCs w:val="24"/>
        </w:rPr>
        <w:t>that the City was subjectively aware</w:t>
      </w:r>
      <w:r>
        <w:rPr>
          <w:rFonts w:ascii="Times New Roman" w:hAnsi="Times New Roman"/>
          <w:sz w:val="24"/>
          <w:szCs w:val="24"/>
        </w:rPr>
        <w:t xml:space="preserve"> </w:t>
      </w:r>
      <w:r w:rsidRPr="00C44FF6">
        <w:rPr>
          <w:rFonts w:ascii="Times New Roman" w:hAnsi="Times New Roman"/>
          <w:sz w:val="24"/>
          <w:szCs w:val="24"/>
        </w:rPr>
        <w:t>of its fault in producing</w:t>
      </w:r>
      <w:r>
        <w:rPr>
          <w:rFonts w:ascii="Times New Roman" w:hAnsi="Times New Roman"/>
          <w:sz w:val="24"/>
          <w:szCs w:val="24"/>
        </w:rPr>
        <w:t xml:space="preserve"> </w:t>
      </w:r>
      <w:r w:rsidRPr="00C44FF6">
        <w:rPr>
          <w:rFonts w:ascii="Times New Roman" w:hAnsi="Times New Roman"/>
          <w:sz w:val="24"/>
          <w:szCs w:val="24"/>
        </w:rPr>
        <w:t>or causing his</w:t>
      </w:r>
      <w:r>
        <w:rPr>
          <w:rFonts w:ascii="Times New Roman" w:hAnsi="Times New Roman"/>
          <w:sz w:val="24"/>
          <w:szCs w:val="24"/>
        </w:rPr>
        <w:t xml:space="preserve"> </w:t>
      </w:r>
      <w:r w:rsidRPr="00C44FF6">
        <w:rPr>
          <w:rFonts w:ascii="Times New Roman" w:hAnsi="Times New Roman"/>
          <w:sz w:val="24"/>
          <w:szCs w:val="24"/>
        </w:rPr>
        <w:t>injuries</w:t>
      </w:r>
      <w:r>
        <w:rPr>
          <w:rFonts w:ascii="Times New Roman" w:hAnsi="Times New Roman"/>
          <w:sz w:val="24"/>
          <w:szCs w:val="24"/>
        </w:rPr>
        <w:t xml:space="preserve"> </w:t>
      </w:r>
      <w:r w:rsidRPr="00C44FF6">
        <w:rPr>
          <w:rFonts w:ascii="Times New Roman" w:hAnsi="Times New Roman"/>
          <w:sz w:val="24"/>
          <w:szCs w:val="24"/>
        </w:rPr>
        <w:t>such that it had actual notice of his claims</w:t>
      </w:r>
      <w:r>
        <w:rPr>
          <w:rFonts w:ascii="Times New Roman" w:hAnsi="Times New Roman"/>
          <w:sz w:val="24"/>
          <w:szCs w:val="24"/>
        </w:rPr>
        <w:t xml:space="preserve"> </w:t>
      </w:r>
      <w:r w:rsidRPr="00C44FF6">
        <w:rPr>
          <w:rFonts w:ascii="Times New Roman" w:hAnsi="Times New Roman"/>
          <w:sz w:val="24"/>
          <w:szCs w:val="24"/>
        </w:rPr>
        <w:t>prior to the jurisdictional deadline for giving notice of</w:t>
      </w:r>
      <w:r>
        <w:rPr>
          <w:rFonts w:ascii="Times New Roman" w:hAnsi="Times New Roman"/>
          <w:sz w:val="24"/>
          <w:szCs w:val="24"/>
        </w:rPr>
        <w:t xml:space="preserve"> </w:t>
      </w:r>
      <w:r w:rsidRPr="00C44FF6">
        <w:rPr>
          <w:rFonts w:ascii="Times New Roman" w:hAnsi="Times New Roman"/>
          <w:sz w:val="24"/>
          <w:szCs w:val="24"/>
        </w:rPr>
        <w:t>his claims.</w:t>
      </w:r>
      <w:r>
        <w:rPr>
          <w:rFonts w:ascii="Times New Roman" w:hAnsi="Times New Roman"/>
          <w:sz w:val="24"/>
          <w:szCs w:val="24"/>
        </w:rPr>
        <w:t xml:space="preserve">” </w:t>
      </w:r>
      <w:hyperlink r:id="rId2377" w:history="1">
        <w:r w:rsidRPr="006C1964">
          <w:rPr>
            <w:rStyle w:val="Hyperlink"/>
            <w:rFonts w:ascii="Times New Roman" w:hAnsi="Times New Roman"/>
            <w:sz w:val="24"/>
            <w:szCs w:val="24"/>
          </w:rPr>
          <w:t>https://cases.justia.com/texas/first-court-of-appeals/2019-01-19-00450-cv.pdf?ts=1577798110</w:t>
        </w:r>
      </w:hyperlink>
      <w:r>
        <w:rPr>
          <w:rFonts w:ascii="Times New Roman" w:hAnsi="Times New Roman"/>
          <w:sz w:val="24"/>
          <w:szCs w:val="24"/>
        </w:rPr>
        <w:t xml:space="preserve"> </w:t>
      </w:r>
    </w:p>
    <w:p w14:paraId="47935559" w14:textId="3D25BCD3" w:rsidR="00E658E1" w:rsidRPr="00E658E1" w:rsidRDefault="00E658E1" w:rsidP="00E658E1">
      <w:pPr>
        <w:rPr>
          <w:rFonts w:ascii="Times New Roman" w:hAnsi="Times New Roman"/>
          <w:b/>
          <w:bCs/>
          <w:sz w:val="24"/>
          <w:szCs w:val="24"/>
        </w:rPr>
      </w:pPr>
      <w:r w:rsidRPr="00E658E1">
        <w:rPr>
          <w:rFonts w:ascii="Times New Roman" w:hAnsi="Times New Roman"/>
          <w:b/>
          <w:bCs/>
          <w:sz w:val="24"/>
          <w:szCs w:val="24"/>
        </w:rPr>
        <w:t xml:space="preserve">Legal Lessons Learned: If EMS respond to serious </w:t>
      </w:r>
      <w:proofErr w:type="gramStart"/>
      <w:r w:rsidRPr="00E658E1">
        <w:rPr>
          <w:rFonts w:ascii="Times New Roman" w:hAnsi="Times New Roman"/>
          <w:b/>
          <w:bCs/>
          <w:sz w:val="24"/>
          <w:szCs w:val="24"/>
        </w:rPr>
        <w:t>accident</w:t>
      </w:r>
      <w:proofErr w:type="gramEnd"/>
      <w:r w:rsidRPr="00E658E1">
        <w:rPr>
          <w:rFonts w:ascii="Times New Roman" w:hAnsi="Times New Roman"/>
          <w:b/>
          <w:bCs/>
          <w:sz w:val="24"/>
          <w:szCs w:val="24"/>
        </w:rPr>
        <w:t xml:space="preserve"> and patient advises it was caused by pothole, notify the city immediately of the pothole so it can be filled and similar injuries avoided.</w:t>
      </w:r>
    </w:p>
    <w:bookmarkEnd w:id="482"/>
    <w:p w14:paraId="6FE38F99" w14:textId="77777777" w:rsidR="00420322" w:rsidRDefault="00420322" w:rsidP="00DE0F03">
      <w:pPr>
        <w:pStyle w:val="NoSpacing"/>
        <w:rPr>
          <w:rFonts w:ascii="Arial Black" w:hAnsi="Arial Black"/>
          <w:sz w:val="24"/>
          <w:szCs w:val="24"/>
        </w:rPr>
      </w:pPr>
    </w:p>
    <w:p w14:paraId="5839CA0A" w14:textId="31EE5DD4" w:rsidR="00420322" w:rsidRDefault="00420322" w:rsidP="00DE0F03">
      <w:pPr>
        <w:pStyle w:val="NoSpacing"/>
        <w:rPr>
          <w:rFonts w:ascii="Arial Black" w:hAnsi="Arial Black"/>
          <w:sz w:val="24"/>
          <w:szCs w:val="24"/>
        </w:rPr>
      </w:pPr>
      <w:r>
        <w:rPr>
          <w:rFonts w:ascii="Arial Black" w:hAnsi="Arial Black"/>
          <w:sz w:val="24"/>
          <w:szCs w:val="24"/>
        </w:rPr>
        <w:t>13-3</w:t>
      </w:r>
      <w:r w:rsidR="007A1E7A">
        <w:rPr>
          <w:rFonts w:ascii="Arial Black" w:hAnsi="Arial Black"/>
          <w:sz w:val="24"/>
          <w:szCs w:val="24"/>
        </w:rPr>
        <w:t>9</w:t>
      </w:r>
    </w:p>
    <w:p w14:paraId="39685BF6" w14:textId="77777777" w:rsidR="00420322" w:rsidRDefault="00420322" w:rsidP="00DE0F03">
      <w:pPr>
        <w:pStyle w:val="NoSpacing"/>
        <w:rPr>
          <w:rFonts w:ascii="Arial Black" w:hAnsi="Arial Black"/>
          <w:sz w:val="24"/>
          <w:szCs w:val="24"/>
        </w:rPr>
      </w:pPr>
    </w:p>
    <w:p w14:paraId="2C758E7E" w14:textId="77777777" w:rsidR="00420322" w:rsidRPr="00327BE0" w:rsidRDefault="00420322" w:rsidP="00420322">
      <w:pPr>
        <w:rPr>
          <w:rFonts w:ascii="Arial Black" w:hAnsi="Arial Black"/>
          <w:sz w:val="28"/>
          <w:szCs w:val="28"/>
        </w:rPr>
      </w:pPr>
      <w:bookmarkStart w:id="483" w:name="_Hlk41152252"/>
      <w:r>
        <w:rPr>
          <w:rFonts w:ascii="Arial Black" w:hAnsi="Arial Black"/>
          <w:sz w:val="28"/>
          <w:szCs w:val="28"/>
        </w:rPr>
        <w:t>L</w:t>
      </w:r>
      <w:r w:rsidRPr="00327BE0">
        <w:rPr>
          <w:rFonts w:ascii="Arial Black" w:hAnsi="Arial Black"/>
          <w:sz w:val="28"/>
          <w:szCs w:val="28"/>
        </w:rPr>
        <w:t>A</w:t>
      </w:r>
      <w:r>
        <w:rPr>
          <w:rFonts w:ascii="Arial Black" w:hAnsi="Arial Black"/>
          <w:sz w:val="28"/>
          <w:szCs w:val="28"/>
        </w:rPr>
        <w:t>: PARAMEDIC LETTER TO BOARD – NEED POLICY CHANGES – FIRED 19 MOS. LATER – FALSIFYING TRAINING RECORDS – NO RETALIATION</w:t>
      </w:r>
    </w:p>
    <w:p w14:paraId="34E848D9" w14:textId="37C2F112" w:rsidR="00420322" w:rsidRDefault="00420322" w:rsidP="00420322">
      <w:pPr>
        <w:pStyle w:val="NoSpacing"/>
        <w:rPr>
          <w:rFonts w:ascii="In" w:hAnsi="In"/>
          <w:sz w:val="24"/>
          <w:szCs w:val="24"/>
        </w:rPr>
      </w:pPr>
      <w:r>
        <w:rPr>
          <w:rFonts w:ascii="In" w:hAnsi="In"/>
          <w:sz w:val="24"/>
          <w:szCs w:val="24"/>
        </w:rPr>
        <w:t xml:space="preserve">On Dec. 17, 2019, in </w:t>
      </w:r>
      <w:r w:rsidRPr="009F6F16">
        <w:rPr>
          <w:rFonts w:ascii="Times New Roman" w:hAnsi="Times New Roman"/>
          <w:sz w:val="24"/>
          <w:szCs w:val="24"/>
          <w:u w:val="single"/>
        </w:rPr>
        <w:t>Patrick A. Benefield; Brian Scott Warren v. Joe D. Magee</w:t>
      </w:r>
      <w:r>
        <w:rPr>
          <w:rFonts w:ascii="In" w:hAnsi="In"/>
          <w:sz w:val="24"/>
          <w:szCs w:val="24"/>
        </w:rPr>
        <w:t>, the U.S. Court of Appeals for the 5</w:t>
      </w:r>
      <w:r w:rsidRPr="009F6F16">
        <w:rPr>
          <w:rFonts w:ascii="In" w:hAnsi="In"/>
          <w:sz w:val="24"/>
          <w:szCs w:val="24"/>
          <w:vertAlign w:val="superscript"/>
        </w:rPr>
        <w:t>th</w:t>
      </w:r>
      <w:r>
        <w:rPr>
          <w:rFonts w:ascii="In" w:hAnsi="In"/>
          <w:sz w:val="24"/>
          <w:szCs w:val="24"/>
        </w:rPr>
        <w:t xml:space="preserve"> Circuit (New Orleans) held (3 to 0) that </w:t>
      </w:r>
      <w:r w:rsidR="00BD7C29">
        <w:rPr>
          <w:rFonts w:ascii="In" w:hAnsi="In"/>
          <w:sz w:val="24"/>
          <w:szCs w:val="24"/>
        </w:rPr>
        <w:t xml:space="preserve">19-month gap too long; no retaliation. </w:t>
      </w:r>
    </w:p>
    <w:p w14:paraId="4E3F74D6" w14:textId="77777777" w:rsidR="00420322" w:rsidRDefault="00420322" w:rsidP="00420322">
      <w:pPr>
        <w:pStyle w:val="NoSpacing"/>
        <w:rPr>
          <w:rFonts w:ascii="In" w:hAnsi="In"/>
          <w:sz w:val="24"/>
          <w:szCs w:val="24"/>
        </w:rPr>
      </w:pPr>
    </w:p>
    <w:p w14:paraId="737224EF" w14:textId="77777777" w:rsidR="00420322" w:rsidRPr="00D16E0D" w:rsidRDefault="00420322" w:rsidP="00420322">
      <w:pPr>
        <w:pStyle w:val="NoSpacing"/>
        <w:ind w:left="720"/>
        <w:rPr>
          <w:rFonts w:ascii="Times New Roman" w:hAnsi="Times New Roman"/>
          <w:sz w:val="24"/>
          <w:szCs w:val="24"/>
        </w:rPr>
      </w:pPr>
      <w:r>
        <w:rPr>
          <w:rFonts w:ascii="Times New Roman" w:hAnsi="Times New Roman"/>
          <w:sz w:val="24"/>
          <w:szCs w:val="24"/>
        </w:rPr>
        <w:t>“</w:t>
      </w:r>
      <w:r w:rsidRPr="00D16E0D">
        <w:rPr>
          <w:rFonts w:ascii="Times New Roman" w:hAnsi="Times New Roman"/>
          <w:sz w:val="24"/>
          <w:szCs w:val="24"/>
        </w:rPr>
        <w:t xml:space="preserve">The issues, therefore, are (1) whether Warren’s speech was on a matter of public concern and (2) whether his June 2015 letter was a substantial or motivating factor for his firing. We agree with Magee </w:t>
      </w:r>
      <w:r>
        <w:rPr>
          <w:rFonts w:ascii="Times New Roman" w:hAnsi="Times New Roman"/>
          <w:sz w:val="24"/>
          <w:szCs w:val="24"/>
        </w:rPr>
        <w:t xml:space="preserve">[EMS Manager] </w:t>
      </w:r>
      <w:r w:rsidRPr="00D16E0D">
        <w:rPr>
          <w:rFonts w:ascii="Times New Roman" w:hAnsi="Times New Roman"/>
          <w:sz w:val="24"/>
          <w:szCs w:val="24"/>
        </w:rPr>
        <w:t>that Warren failed to allege a sufficient causal connection between his letter and his firing</w:t>
      </w:r>
      <w:r>
        <w:rPr>
          <w:rFonts w:ascii="Times New Roman" w:hAnsi="Times New Roman"/>
          <w:sz w:val="24"/>
          <w:szCs w:val="24"/>
        </w:rPr>
        <w:t xml:space="preserve">…. </w:t>
      </w:r>
      <w:r w:rsidRPr="00D16E0D">
        <w:rPr>
          <w:rFonts w:ascii="Times New Roman" w:hAnsi="Times New Roman"/>
          <w:sz w:val="24"/>
          <w:szCs w:val="24"/>
        </w:rPr>
        <w:t>Warren sent his letter in June 2015 and was fired in January 2017—a 19-month gap</w:t>
      </w:r>
      <w:r>
        <w:rPr>
          <w:rFonts w:ascii="Times New Roman" w:hAnsi="Times New Roman"/>
          <w:sz w:val="24"/>
          <w:szCs w:val="24"/>
        </w:rPr>
        <w:t xml:space="preserve">…. </w:t>
      </w:r>
      <w:r w:rsidRPr="00D16E0D">
        <w:rPr>
          <w:rFonts w:ascii="Times New Roman" w:hAnsi="Times New Roman"/>
          <w:sz w:val="24"/>
          <w:szCs w:val="24"/>
        </w:rPr>
        <w:t xml:space="preserve">Thus, the timing, by itself, between Warren’s speech and his firing is not close enough to permit a plausible inference that Warren’s firing was causally connected to his </w:t>
      </w:r>
      <w:proofErr w:type="gramStart"/>
      <w:r w:rsidRPr="00D16E0D">
        <w:rPr>
          <w:rFonts w:ascii="Times New Roman" w:hAnsi="Times New Roman"/>
          <w:sz w:val="24"/>
          <w:szCs w:val="24"/>
        </w:rPr>
        <w:t>speech.</w:t>
      </w:r>
      <w:r>
        <w:rPr>
          <w:rFonts w:ascii="Times New Roman" w:hAnsi="Times New Roman"/>
          <w:sz w:val="24"/>
          <w:szCs w:val="24"/>
        </w:rPr>
        <w:t>”</w:t>
      </w:r>
      <w:proofErr w:type="gramEnd"/>
    </w:p>
    <w:p w14:paraId="5FAC1997" w14:textId="2045E93B" w:rsidR="00420322" w:rsidRDefault="006114FF" w:rsidP="00E658E1">
      <w:pPr>
        <w:pStyle w:val="NoSpacing"/>
        <w:ind w:firstLine="720"/>
        <w:rPr>
          <w:rFonts w:ascii="Arial Black" w:hAnsi="Arial Black"/>
          <w:sz w:val="24"/>
          <w:szCs w:val="24"/>
        </w:rPr>
      </w:pPr>
      <w:hyperlink r:id="rId2378" w:history="1">
        <w:r w:rsidRPr="002F304C">
          <w:rPr>
            <w:rStyle w:val="Hyperlink"/>
            <w:rFonts w:ascii="Times New Roman" w:hAnsi="Times New Roman"/>
            <w:sz w:val="24"/>
            <w:szCs w:val="24"/>
          </w:rPr>
          <w:t>https://cases.justia.com/federal/appellate-courts/ca5/18-30932/18-30932-2019-12-17.pdf?ts=1576629071</w:t>
        </w:r>
      </w:hyperlink>
    </w:p>
    <w:p w14:paraId="0FCF64ED" w14:textId="35033C62" w:rsidR="00420322" w:rsidRDefault="00420322" w:rsidP="00DE0F03">
      <w:pPr>
        <w:pStyle w:val="NoSpacing"/>
        <w:rPr>
          <w:rFonts w:ascii="Arial Black" w:hAnsi="Arial Black"/>
          <w:sz w:val="24"/>
          <w:szCs w:val="24"/>
        </w:rPr>
      </w:pPr>
    </w:p>
    <w:p w14:paraId="58305BBC" w14:textId="4EA3755B" w:rsidR="003464C5" w:rsidRPr="006114FF" w:rsidRDefault="006114FF" w:rsidP="00DE0F03">
      <w:pPr>
        <w:pStyle w:val="NoSpacing"/>
        <w:rPr>
          <w:rFonts w:ascii="Times New Roman" w:hAnsi="Times New Roman"/>
          <w:b/>
          <w:bCs/>
          <w:sz w:val="24"/>
          <w:szCs w:val="24"/>
        </w:rPr>
      </w:pPr>
      <w:r w:rsidRPr="006114FF">
        <w:rPr>
          <w:rFonts w:ascii="Times New Roman" w:hAnsi="Times New Roman"/>
          <w:b/>
          <w:bCs/>
          <w:sz w:val="24"/>
          <w:szCs w:val="24"/>
        </w:rPr>
        <w:t>Legal Lessons Learned:</w:t>
      </w:r>
      <w:r>
        <w:rPr>
          <w:rFonts w:ascii="Times New Roman" w:hAnsi="Times New Roman"/>
          <w:b/>
          <w:bCs/>
          <w:sz w:val="24"/>
          <w:szCs w:val="24"/>
        </w:rPr>
        <w:t xml:space="preserve"> </w:t>
      </w:r>
      <w:r w:rsidR="00BD7C29">
        <w:rPr>
          <w:rFonts w:ascii="Times New Roman" w:hAnsi="Times New Roman"/>
          <w:b/>
          <w:bCs/>
          <w:sz w:val="24"/>
          <w:szCs w:val="24"/>
        </w:rPr>
        <w:t xml:space="preserve">The </w:t>
      </w:r>
      <w:r w:rsidRPr="006114FF">
        <w:rPr>
          <w:rFonts w:ascii="Times New Roman" w:hAnsi="Times New Roman"/>
          <w:b/>
          <w:bCs/>
          <w:sz w:val="24"/>
          <w:szCs w:val="24"/>
        </w:rPr>
        <w:t xml:space="preserve">EMS Manager won </w:t>
      </w:r>
      <w:proofErr w:type="gramStart"/>
      <w:r w:rsidRPr="006114FF">
        <w:rPr>
          <w:rFonts w:ascii="Times New Roman" w:hAnsi="Times New Roman"/>
          <w:b/>
          <w:bCs/>
          <w:sz w:val="24"/>
          <w:szCs w:val="24"/>
        </w:rPr>
        <w:t xml:space="preserve">his </w:t>
      </w:r>
      <w:r w:rsidR="00BD7C29">
        <w:rPr>
          <w:rFonts w:ascii="Times New Roman" w:hAnsi="Times New Roman"/>
          <w:b/>
          <w:bCs/>
          <w:sz w:val="24"/>
          <w:szCs w:val="24"/>
        </w:rPr>
        <w:t>interlocutory</w:t>
      </w:r>
      <w:proofErr w:type="gramEnd"/>
      <w:r w:rsidR="00BD7C29">
        <w:rPr>
          <w:rFonts w:ascii="Times New Roman" w:hAnsi="Times New Roman"/>
          <w:b/>
          <w:bCs/>
          <w:sz w:val="24"/>
          <w:szCs w:val="24"/>
        </w:rPr>
        <w:t xml:space="preserve"> </w:t>
      </w:r>
      <w:proofErr w:type="gramStart"/>
      <w:r w:rsidRPr="006114FF">
        <w:rPr>
          <w:rFonts w:ascii="Times New Roman" w:hAnsi="Times New Roman"/>
          <w:b/>
          <w:bCs/>
          <w:sz w:val="24"/>
          <w:szCs w:val="24"/>
        </w:rPr>
        <w:t>appeal</w:t>
      </w:r>
      <w:proofErr w:type="gramEnd"/>
      <w:r w:rsidRPr="006114FF">
        <w:rPr>
          <w:rFonts w:ascii="Times New Roman" w:hAnsi="Times New Roman"/>
          <w:b/>
          <w:bCs/>
          <w:sz w:val="24"/>
          <w:szCs w:val="24"/>
        </w:rPr>
        <w:t xml:space="preserve"> and he is now dismissed from the lawsuit.</w:t>
      </w:r>
    </w:p>
    <w:bookmarkEnd w:id="483"/>
    <w:p w14:paraId="449D2D8B" w14:textId="77777777" w:rsidR="00420322" w:rsidRDefault="00420322" w:rsidP="00DE0F03">
      <w:pPr>
        <w:pStyle w:val="NoSpacing"/>
        <w:rPr>
          <w:rFonts w:ascii="Arial Black" w:hAnsi="Arial Black"/>
          <w:sz w:val="24"/>
          <w:szCs w:val="24"/>
        </w:rPr>
      </w:pPr>
    </w:p>
    <w:p w14:paraId="1F0C7FD8" w14:textId="77777777" w:rsidR="003464C5" w:rsidRDefault="003464C5" w:rsidP="00DE0F03">
      <w:pPr>
        <w:pStyle w:val="NoSpacing"/>
        <w:rPr>
          <w:rFonts w:ascii="Arial Black" w:hAnsi="Arial Black"/>
          <w:sz w:val="24"/>
          <w:szCs w:val="24"/>
        </w:rPr>
      </w:pPr>
    </w:p>
    <w:p w14:paraId="0635FEC3" w14:textId="77777777" w:rsidR="003464C5" w:rsidRDefault="003464C5" w:rsidP="00DE0F03">
      <w:pPr>
        <w:pStyle w:val="NoSpacing"/>
        <w:rPr>
          <w:rFonts w:ascii="Arial Black" w:hAnsi="Arial Black"/>
          <w:sz w:val="24"/>
          <w:szCs w:val="24"/>
        </w:rPr>
      </w:pPr>
    </w:p>
    <w:p w14:paraId="1442EB00" w14:textId="45395C9D" w:rsidR="00420322" w:rsidRDefault="00420322" w:rsidP="00DE0F03">
      <w:pPr>
        <w:pStyle w:val="NoSpacing"/>
        <w:rPr>
          <w:rFonts w:ascii="Arial Black" w:hAnsi="Arial Black"/>
          <w:sz w:val="24"/>
          <w:szCs w:val="24"/>
        </w:rPr>
      </w:pPr>
      <w:r>
        <w:rPr>
          <w:rFonts w:ascii="Arial Black" w:hAnsi="Arial Black"/>
          <w:sz w:val="24"/>
          <w:szCs w:val="24"/>
        </w:rPr>
        <w:t>13-3</w:t>
      </w:r>
      <w:r w:rsidR="007A1E7A">
        <w:rPr>
          <w:rFonts w:ascii="Arial Black" w:hAnsi="Arial Black"/>
          <w:sz w:val="24"/>
          <w:szCs w:val="24"/>
        </w:rPr>
        <w:t>8</w:t>
      </w:r>
    </w:p>
    <w:p w14:paraId="45FDBC89" w14:textId="3236AB36" w:rsidR="00420322" w:rsidRDefault="00420322" w:rsidP="00DE0F03">
      <w:pPr>
        <w:pStyle w:val="NoSpacing"/>
        <w:rPr>
          <w:rFonts w:ascii="Arial Black" w:hAnsi="Arial Black"/>
          <w:sz w:val="24"/>
          <w:szCs w:val="24"/>
        </w:rPr>
      </w:pPr>
    </w:p>
    <w:p w14:paraId="49F7194F" w14:textId="77777777" w:rsidR="00420322" w:rsidRPr="00201158" w:rsidRDefault="00420322" w:rsidP="00420322">
      <w:pPr>
        <w:pStyle w:val="NormalWeb"/>
        <w:rPr>
          <w:rFonts w:ascii="Arial Black" w:hAnsi="Arial Black"/>
          <w:sz w:val="28"/>
          <w:szCs w:val="28"/>
        </w:rPr>
      </w:pPr>
      <w:bookmarkStart w:id="484" w:name="_Hlk41152380"/>
      <w:r w:rsidRPr="00201158">
        <w:rPr>
          <w:rFonts w:ascii="Arial Black" w:hAnsi="Arial Black"/>
          <w:sz w:val="28"/>
          <w:szCs w:val="28"/>
        </w:rPr>
        <w:lastRenderedPageBreak/>
        <w:t xml:space="preserve">WV: </w:t>
      </w:r>
      <w:r>
        <w:rPr>
          <w:rFonts w:ascii="Arial Black" w:hAnsi="Arial Black"/>
          <w:sz w:val="28"/>
          <w:szCs w:val="28"/>
        </w:rPr>
        <w:t xml:space="preserve"> DRAG RACING / SON EJECTED – MOTHER RN / FLIGHT NURSE - PD STOPS HER CARE SON; MEDICS DIDN’T TAKE PULSE – CASE PROCEED</w:t>
      </w:r>
    </w:p>
    <w:p w14:paraId="2792D427" w14:textId="77777777" w:rsidR="00420322" w:rsidRDefault="00420322" w:rsidP="00420322">
      <w:pPr>
        <w:pStyle w:val="NormalWeb"/>
      </w:pPr>
      <w:r>
        <w:t xml:space="preserve">On Dec. 5, 2019, in </w:t>
      </w:r>
      <w:r w:rsidRPr="00403915">
        <w:rPr>
          <w:u w:val="single"/>
        </w:rPr>
        <w:t>Amy Brown, individually and Administratrix of the Estate of James Brady Leonard v. Mason County Commission, Gallia County Board of Commissioners, et al.</w:t>
      </w:r>
      <w:r>
        <w:t xml:space="preserve">, U.S. District Court Judge Robert Chambers, Southern District of West Virginia (Huntington Division), the lawsuit against the Deputy Sheriff may proceed. </w:t>
      </w:r>
    </w:p>
    <w:bookmarkEnd w:id="484"/>
    <w:p w14:paraId="46E19796" w14:textId="77777777" w:rsidR="00420322" w:rsidRDefault="00420322" w:rsidP="00420322">
      <w:pPr>
        <w:pStyle w:val="NormalWeb"/>
        <w:ind w:left="720"/>
      </w:pPr>
      <w:r>
        <w:t xml:space="preserve">“Taken as true, the conduct [by County Deputy Sheriff] alleged here is certainly more than ‘merely annoying’ or ‘uncivil.’ A jury could very well determine that physically restraining a mother attempting to provide medical assistance to her son is utterly intolerable in a civilized community. </w:t>
      </w:r>
      <w:r>
        <w:rPr>
          <w:i/>
          <w:iCs/>
        </w:rPr>
        <w:t>See Travis</w:t>
      </w:r>
      <w:r>
        <w:t xml:space="preserve">, 504 S.E.2d at 425. It would be similarly reasonable for a jury to determine that Bryant acted recklessly, that his actions caused Plaintiff to suffer emotional distress, and that her distress was so severe that no reasonable person could be expected to endure it. It follows that Plaintiff has pleaded sufficient facts to state a claim for relief under </w:t>
      </w:r>
      <w:r w:rsidRPr="00F03088">
        <w:t>an [Intentional Infliction of Emotional Distress] theory.</w:t>
      </w:r>
    </w:p>
    <w:p w14:paraId="578130E7" w14:textId="77777777" w:rsidR="00420322" w:rsidRDefault="00420322" w:rsidP="00420322">
      <w:pPr>
        <w:pStyle w:val="NormalWeb"/>
        <w:ind w:left="720"/>
      </w:pPr>
      <w:r>
        <w:t>***</w:t>
      </w:r>
    </w:p>
    <w:p w14:paraId="123DFED7" w14:textId="77777777" w:rsidR="00420322" w:rsidRPr="000F68B0" w:rsidRDefault="00420322" w:rsidP="00420322">
      <w:pPr>
        <w:spacing w:before="100" w:beforeAutospacing="1" w:after="100" w:afterAutospacing="1" w:line="240" w:lineRule="auto"/>
        <w:ind w:left="720"/>
      </w:pPr>
      <w:r w:rsidRPr="00970678">
        <w:rPr>
          <w:rFonts w:ascii="Times New Roman" w:eastAsia="Times New Roman" w:hAnsi="Times New Roman"/>
          <w:sz w:val="24"/>
          <w:szCs w:val="24"/>
        </w:rPr>
        <w:t>Gallia County EMS is not entitled to dismissal. As discussed in the preceding section, Plaintiff alleges that Elliott and Turner—both Gallia County EMS responders—did not check Leonard's pulse, his breathing, or his body for injuries, and that they pronounced him dead without following proper procedures.</w:t>
      </w:r>
      <w:r>
        <w:rPr>
          <w:rFonts w:ascii="Times New Roman" w:eastAsia="Times New Roman" w:hAnsi="Times New Roman"/>
          <w:sz w:val="24"/>
          <w:szCs w:val="24"/>
        </w:rPr>
        <w:t xml:space="preserve">” </w:t>
      </w:r>
      <w:bookmarkStart w:id="485" w:name="_Hlk41152402"/>
      <w:r w:rsidR="00F37A4B">
        <w:fldChar w:fldCharType="begin"/>
      </w:r>
      <w:r w:rsidR="00F37A4B">
        <w:instrText xml:space="preserve"> HYPERLINK "https://public.fastcase.com/Wl%2B2t%2BeVuI35%2FN70vAMFZg2lBBReDY5nF88uy08v8DAnqlL%2F2Z9bDGzSJQpTYHOu" </w:instrText>
      </w:r>
      <w:r w:rsidR="00F37A4B">
        <w:fldChar w:fldCharType="separate"/>
      </w:r>
      <w:r w:rsidRPr="007A71AD">
        <w:rPr>
          <w:rStyle w:val="Hyperlink"/>
        </w:rPr>
        <w:t>https://public.fastcase.com/Wl%2B2t%2BeVuI35%2FN70vAMFZg2lBBReDY5nF88uy08v8DAnqlL%2F2Z9bDGzSJQpTYHOu</w:t>
      </w:r>
      <w:r w:rsidR="00F37A4B">
        <w:rPr>
          <w:rStyle w:val="Hyperlink"/>
        </w:rPr>
        <w:fldChar w:fldCharType="end"/>
      </w:r>
      <w:r>
        <w:t xml:space="preserve"> </w:t>
      </w:r>
    </w:p>
    <w:p w14:paraId="76530F7B" w14:textId="4E3CB12E" w:rsidR="00420322" w:rsidRPr="006114FF" w:rsidRDefault="006114FF" w:rsidP="00DE0F03">
      <w:pPr>
        <w:pStyle w:val="NoSpacing"/>
        <w:rPr>
          <w:rFonts w:ascii="Times New Roman" w:hAnsi="Times New Roman"/>
          <w:b/>
          <w:bCs/>
          <w:sz w:val="24"/>
          <w:szCs w:val="24"/>
        </w:rPr>
      </w:pPr>
      <w:r w:rsidRPr="006114FF">
        <w:rPr>
          <w:rFonts w:ascii="Times New Roman" w:hAnsi="Times New Roman"/>
          <w:b/>
          <w:bCs/>
          <w:sz w:val="24"/>
          <w:szCs w:val="24"/>
        </w:rPr>
        <w:t>Legal Lessons Learned:</w:t>
      </w:r>
      <w:r>
        <w:rPr>
          <w:rFonts w:ascii="Times New Roman" w:hAnsi="Times New Roman"/>
          <w:b/>
          <w:bCs/>
          <w:sz w:val="24"/>
          <w:szCs w:val="24"/>
        </w:rPr>
        <w:t xml:space="preserve"> </w:t>
      </w:r>
      <w:r w:rsidRPr="006114FF">
        <w:rPr>
          <w:rFonts w:ascii="Times New Roman" w:hAnsi="Times New Roman"/>
          <w:b/>
          <w:bCs/>
          <w:sz w:val="24"/>
          <w:szCs w:val="24"/>
        </w:rPr>
        <w:t>The</w:t>
      </w:r>
      <w:r>
        <w:rPr>
          <w:rFonts w:ascii="Times New Roman" w:hAnsi="Times New Roman"/>
          <w:b/>
          <w:bCs/>
          <w:sz w:val="24"/>
          <w:szCs w:val="24"/>
        </w:rPr>
        <w:t xml:space="preserve"> </w:t>
      </w:r>
      <w:r w:rsidRPr="006114FF">
        <w:rPr>
          <w:rFonts w:ascii="Times New Roman" w:hAnsi="Times New Roman"/>
          <w:b/>
          <w:bCs/>
          <w:sz w:val="24"/>
          <w:szCs w:val="24"/>
        </w:rPr>
        <w:t>lawsuit will now proceed; hopefully the EMS run report by</w:t>
      </w:r>
      <w:r>
        <w:rPr>
          <w:rFonts w:ascii="Times New Roman" w:hAnsi="Times New Roman"/>
          <w:b/>
          <w:bCs/>
          <w:sz w:val="24"/>
          <w:szCs w:val="24"/>
        </w:rPr>
        <w:t xml:space="preserve"> </w:t>
      </w:r>
      <w:r w:rsidRPr="006114FF">
        <w:rPr>
          <w:rFonts w:ascii="Times New Roman" w:hAnsi="Times New Roman"/>
          <w:b/>
          <w:bCs/>
          <w:sz w:val="24"/>
          <w:szCs w:val="24"/>
        </w:rPr>
        <w:t>the two Gallia County EMS reflects they followed their protocol prior to deciding the victim was dead at the scene</w:t>
      </w:r>
      <w:bookmarkEnd w:id="485"/>
      <w:r w:rsidRPr="006114FF">
        <w:rPr>
          <w:rFonts w:ascii="Times New Roman" w:hAnsi="Times New Roman"/>
          <w:b/>
          <w:bCs/>
          <w:sz w:val="24"/>
          <w:szCs w:val="24"/>
        </w:rPr>
        <w:t>.</w:t>
      </w:r>
    </w:p>
    <w:p w14:paraId="7A6B150B" w14:textId="77777777" w:rsidR="00420322" w:rsidRDefault="00420322" w:rsidP="00DE0F03">
      <w:pPr>
        <w:pStyle w:val="NoSpacing"/>
        <w:rPr>
          <w:rFonts w:ascii="Arial Black" w:hAnsi="Arial Black"/>
          <w:sz w:val="24"/>
          <w:szCs w:val="24"/>
        </w:rPr>
      </w:pPr>
    </w:p>
    <w:p w14:paraId="7396A196" w14:textId="77777777" w:rsidR="00420322" w:rsidRDefault="00420322" w:rsidP="00DE0F03">
      <w:pPr>
        <w:pStyle w:val="NoSpacing"/>
        <w:rPr>
          <w:rFonts w:ascii="Arial Black" w:hAnsi="Arial Black"/>
          <w:sz w:val="24"/>
          <w:szCs w:val="24"/>
        </w:rPr>
      </w:pPr>
    </w:p>
    <w:p w14:paraId="616E9133" w14:textId="32138EFF" w:rsidR="00297434" w:rsidRDefault="00297434" w:rsidP="00DE0F03">
      <w:pPr>
        <w:pStyle w:val="NoSpacing"/>
        <w:rPr>
          <w:rFonts w:ascii="Arial Black" w:hAnsi="Arial Black"/>
          <w:sz w:val="24"/>
          <w:szCs w:val="24"/>
        </w:rPr>
      </w:pPr>
      <w:r>
        <w:rPr>
          <w:rFonts w:ascii="Arial Black" w:hAnsi="Arial Black"/>
          <w:sz w:val="24"/>
          <w:szCs w:val="24"/>
        </w:rPr>
        <w:t>13-3</w:t>
      </w:r>
      <w:r w:rsidR="007A1E7A">
        <w:rPr>
          <w:rFonts w:ascii="Arial Black" w:hAnsi="Arial Black"/>
          <w:sz w:val="24"/>
          <w:szCs w:val="24"/>
        </w:rPr>
        <w:t>7</w:t>
      </w:r>
    </w:p>
    <w:p w14:paraId="27ACE6B3" w14:textId="77777777" w:rsidR="00297434" w:rsidRDefault="00297434" w:rsidP="00297434">
      <w:pPr>
        <w:spacing w:before="100" w:beforeAutospacing="1" w:after="100" w:afterAutospacing="1" w:line="240" w:lineRule="auto"/>
        <w:jc w:val="both"/>
        <w:rPr>
          <w:rFonts w:ascii="Arial Black" w:hAnsi="Arial Black"/>
          <w:sz w:val="28"/>
          <w:szCs w:val="28"/>
        </w:rPr>
      </w:pPr>
      <w:bookmarkStart w:id="486" w:name="_Hlk41152441"/>
      <w:r>
        <w:rPr>
          <w:rFonts w:ascii="Arial Black" w:hAnsi="Arial Black"/>
          <w:sz w:val="28"/>
          <w:szCs w:val="28"/>
        </w:rPr>
        <w:t>OH: EMS RUN REPORT – DRIVER ADMITTED DRINKING WINE – TWO MEDICS TESTIFIED IN VEHICULAR HOMICIDE TRIAL</w:t>
      </w:r>
    </w:p>
    <w:p w14:paraId="2F1B2237" w14:textId="77777777" w:rsidR="00297434" w:rsidRDefault="00297434" w:rsidP="00297434">
      <w:pPr>
        <w:pStyle w:val="NoSpacing"/>
        <w:rPr>
          <w:rFonts w:ascii="Times New Roman" w:hAnsi="Times New Roman"/>
          <w:sz w:val="24"/>
          <w:szCs w:val="24"/>
        </w:rPr>
      </w:pPr>
      <w:r>
        <w:rPr>
          <w:rFonts w:ascii="Times New Roman" w:hAnsi="Times New Roman"/>
          <w:sz w:val="24"/>
          <w:szCs w:val="24"/>
        </w:rPr>
        <w:t xml:space="preserve">On Nov. 15, 2019, in State of </w:t>
      </w:r>
      <w:r>
        <w:rPr>
          <w:rFonts w:ascii="Times New Roman" w:hAnsi="Times New Roman"/>
          <w:sz w:val="24"/>
          <w:szCs w:val="24"/>
          <w:u w:val="single"/>
        </w:rPr>
        <w:t>Ohio v. Kathy J. Smith</w:t>
      </w:r>
      <w:r>
        <w:rPr>
          <w:rFonts w:ascii="Times New Roman" w:hAnsi="Times New Roman"/>
          <w:sz w:val="24"/>
          <w:szCs w:val="24"/>
        </w:rPr>
        <w:t>, the Court of Appeals of Ohio, Second Appellate District (Greene County) held (3 to 0) that defendant’s appeal is denied, and she must continue to serve her seven-year sentence for aggravated vehicular homicide.</w:t>
      </w:r>
    </w:p>
    <w:p w14:paraId="3EFC72DE" w14:textId="77777777" w:rsidR="00297434" w:rsidRDefault="00297434" w:rsidP="00297434">
      <w:pPr>
        <w:pStyle w:val="NoSpacing"/>
        <w:rPr>
          <w:rFonts w:ascii="Times New Roman" w:hAnsi="Times New Roman"/>
          <w:sz w:val="24"/>
          <w:szCs w:val="24"/>
        </w:rPr>
      </w:pPr>
    </w:p>
    <w:p w14:paraId="75CF9526" w14:textId="77777777" w:rsidR="00297434" w:rsidRDefault="00297434" w:rsidP="00297434">
      <w:pPr>
        <w:pStyle w:val="NoSpacing"/>
        <w:ind w:left="720"/>
        <w:rPr>
          <w:rFonts w:ascii="Times New Roman" w:hAnsi="Times New Roman"/>
          <w:sz w:val="24"/>
          <w:szCs w:val="24"/>
        </w:rPr>
      </w:pPr>
      <w:r>
        <w:rPr>
          <w:rFonts w:ascii="Times New Roman" w:hAnsi="Times New Roman"/>
          <w:sz w:val="24"/>
          <w:szCs w:val="24"/>
        </w:rPr>
        <w:t xml:space="preserve">“On appeal, Smith argues that her statements to the paramedics about drinking were analogous to the written record of those statements in the EMS run sheet. But regardless of whether the run sheet itself might or might not qualify by statute as a ‘medical record,’ we are unpersuaded that the Fourth Amendment precluded Meadows from speaking to the paramedics without a </w:t>
      </w:r>
      <w:proofErr w:type="gramStart"/>
      <w:r>
        <w:rPr>
          <w:rFonts w:ascii="Times New Roman" w:hAnsi="Times New Roman"/>
          <w:sz w:val="24"/>
          <w:szCs w:val="24"/>
        </w:rPr>
        <w:t>warrant</w:t>
      </w:r>
      <w:proofErr w:type="gramEnd"/>
      <w:r>
        <w:rPr>
          <w:rFonts w:ascii="Times New Roman" w:hAnsi="Times New Roman"/>
          <w:sz w:val="24"/>
          <w:szCs w:val="24"/>
        </w:rPr>
        <w:t xml:space="preserve"> and hearing what Smith told them about consuming alcohol. The trial court correctly found that Smith was not in law-enforcement custody when she made her voluntary statements in response to the paramedics' questions. We note too that Smith's statements were not entitled to a statutory privilege.” </w:t>
      </w:r>
      <w:hyperlink r:id="rId2379" w:history="1">
        <w:r>
          <w:rPr>
            <w:rStyle w:val="Hyperlink"/>
            <w:rFonts w:ascii="Times New Roman" w:hAnsi="Times New Roman"/>
            <w:sz w:val="24"/>
            <w:szCs w:val="24"/>
          </w:rPr>
          <w:t>https://public.fastcase.com/Wl%2B2t%2BeVuI35%2FN70vAMFZmE2ukal8IvDC5BUTFBRpPNG0o0%2FGYOYjoFH9I91Iplb</w:t>
        </w:r>
      </w:hyperlink>
      <w:r>
        <w:rPr>
          <w:rFonts w:ascii="Times New Roman" w:hAnsi="Times New Roman"/>
          <w:sz w:val="24"/>
          <w:szCs w:val="24"/>
        </w:rPr>
        <w:t xml:space="preserve"> </w:t>
      </w:r>
    </w:p>
    <w:p w14:paraId="23419F00" w14:textId="77777777" w:rsidR="00297434" w:rsidRDefault="00297434" w:rsidP="00297434">
      <w:pPr>
        <w:spacing w:after="100" w:line="240" w:lineRule="auto"/>
        <w:rPr>
          <w:rFonts w:ascii="Times New Roman" w:eastAsia="Times New Roman" w:hAnsi="Times New Roman"/>
          <w:b/>
          <w:bCs/>
          <w:sz w:val="24"/>
          <w:szCs w:val="24"/>
        </w:rPr>
      </w:pPr>
    </w:p>
    <w:p w14:paraId="2049E79E" w14:textId="277D981F" w:rsidR="00297434" w:rsidRDefault="00297434" w:rsidP="00297434">
      <w:pPr>
        <w:spacing w:after="100" w:line="240" w:lineRule="auto"/>
        <w:rPr>
          <w:rFonts w:ascii="Times New Roman" w:eastAsia="Times New Roman" w:hAnsi="Times New Roman"/>
          <w:b/>
          <w:bCs/>
          <w:sz w:val="24"/>
          <w:szCs w:val="24"/>
        </w:rPr>
      </w:pPr>
      <w:r>
        <w:rPr>
          <w:rFonts w:ascii="Times New Roman" w:eastAsia="Times New Roman" w:hAnsi="Times New Roman"/>
          <w:b/>
          <w:bCs/>
          <w:sz w:val="24"/>
          <w:szCs w:val="24"/>
        </w:rPr>
        <w:lastRenderedPageBreak/>
        <w:t xml:space="preserve">Legal Lessons Learned: EMS should record on EMS Run Report comments by patients about drinking alcohol prior to the accident, and other culpable admissions. </w:t>
      </w:r>
    </w:p>
    <w:bookmarkEnd w:id="486"/>
    <w:p w14:paraId="47968706" w14:textId="096603FC" w:rsidR="00297434" w:rsidRPr="00297434" w:rsidRDefault="00297434" w:rsidP="00297434">
      <w:pPr>
        <w:spacing w:after="100" w:line="240" w:lineRule="auto"/>
        <w:rPr>
          <w:rFonts w:ascii="Times New Roman" w:eastAsia="Times New Roman" w:hAnsi="Times New Roman"/>
          <w:sz w:val="24"/>
          <w:szCs w:val="24"/>
        </w:rPr>
      </w:pPr>
    </w:p>
    <w:p w14:paraId="29972D2D" w14:textId="77777777" w:rsidR="00297434" w:rsidRDefault="00297434" w:rsidP="00DE0F03">
      <w:pPr>
        <w:pStyle w:val="NoSpacing"/>
        <w:rPr>
          <w:rFonts w:ascii="Arial Black" w:hAnsi="Arial Black"/>
          <w:sz w:val="24"/>
          <w:szCs w:val="24"/>
        </w:rPr>
      </w:pPr>
    </w:p>
    <w:p w14:paraId="4BECA905" w14:textId="77777777" w:rsidR="00297434" w:rsidRDefault="00297434" w:rsidP="00DE0F03">
      <w:pPr>
        <w:pStyle w:val="NoSpacing"/>
        <w:rPr>
          <w:rFonts w:ascii="Arial Black" w:hAnsi="Arial Black"/>
          <w:sz w:val="24"/>
          <w:szCs w:val="24"/>
        </w:rPr>
      </w:pPr>
    </w:p>
    <w:p w14:paraId="3E6A5B86" w14:textId="6AD45D7C" w:rsidR="00297434" w:rsidRDefault="00297434" w:rsidP="00DE0F03">
      <w:pPr>
        <w:pStyle w:val="NoSpacing"/>
        <w:rPr>
          <w:rFonts w:ascii="Arial Black" w:hAnsi="Arial Black"/>
          <w:sz w:val="24"/>
          <w:szCs w:val="24"/>
        </w:rPr>
      </w:pPr>
      <w:r>
        <w:rPr>
          <w:rFonts w:ascii="Arial Black" w:hAnsi="Arial Black"/>
          <w:sz w:val="24"/>
          <w:szCs w:val="24"/>
        </w:rPr>
        <w:t>13-3</w:t>
      </w:r>
      <w:r w:rsidR="007A1E7A">
        <w:rPr>
          <w:rFonts w:ascii="Arial Black" w:hAnsi="Arial Black"/>
          <w:sz w:val="24"/>
          <w:szCs w:val="24"/>
        </w:rPr>
        <w:t>6</w:t>
      </w:r>
    </w:p>
    <w:p w14:paraId="3F680522" w14:textId="1499BF39" w:rsidR="00297434" w:rsidRDefault="00297434" w:rsidP="00DE0F03">
      <w:pPr>
        <w:pStyle w:val="NoSpacing"/>
        <w:rPr>
          <w:rFonts w:ascii="Arial Black" w:hAnsi="Arial Black"/>
          <w:sz w:val="24"/>
          <w:szCs w:val="24"/>
        </w:rPr>
      </w:pPr>
    </w:p>
    <w:p w14:paraId="49A50F24" w14:textId="77777777" w:rsidR="00297434" w:rsidRDefault="00297434" w:rsidP="00297434">
      <w:pPr>
        <w:pStyle w:val="NoSpacing"/>
        <w:rPr>
          <w:rFonts w:ascii="Arial Black" w:eastAsiaTheme="minorHAnsi" w:hAnsi="Arial Black" w:cstheme="minorBidi"/>
          <w:sz w:val="28"/>
          <w:szCs w:val="28"/>
        </w:rPr>
      </w:pPr>
      <w:bookmarkStart w:id="487" w:name="_Hlk41152474"/>
      <w:r>
        <w:rPr>
          <w:rFonts w:ascii="Arial Black" w:hAnsi="Arial Black"/>
          <w:sz w:val="28"/>
          <w:szCs w:val="28"/>
        </w:rPr>
        <w:t xml:space="preserve">IN: OPERATOR PRIVATE AMBUL. CO. INDICTED – DIALYSIS PATIENT TRANSPORTS – IMPROPERLY BILLED MEDICARE </w:t>
      </w:r>
    </w:p>
    <w:p w14:paraId="5C42B8CF" w14:textId="77777777" w:rsidR="00297434" w:rsidRDefault="00297434" w:rsidP="00297434">
      <w:pPr>
        <w:pStyle w:val="NoSpacing"/>
        <w:rPr>
          <w:rFonts w:ascii="Arial Black" w:hAnsi="Arial Black"/>
          <w:sz w:val="28"/>
          <w:szCs w:val="28"/>
        </w:rPr>
      </w:pPr>
    </w:p>
    <w:p w14:paraId="16981FD9" w14:textId="6AE5F09F" w:rsidR="00297434" w:rsidRDefault="00297434" w:rsidP="006114FF">
      <w:pPr>
        <w:pStyle w:val="NoSpacing"/>
        <w:rPr>
          <w:rFonts w:ascii="Times New Roman" w:eastAsia="Times New Roman" w:hAnsi="Times New Roman"/>
          <w:sz w:val="24"/>
          <w:szCs w:val="24"/>
        </w:rPr>
      </w:pPr>
      <w:r>
        <w:rPr>
          <w:rFonts w:ascii="On Times New Roman" w:hAnsi="On Times New Roman"/>
          <w:sz w:val="24"/>
          <w:szCs w:val="24"/>
        </w:rPr>
        <w:t xml:space="preserve">On Nov. 15, 2019, in </w:t>
      </w:r>
      <w:r>
        <w:rPr>
          <w:rFonts w:ascii="On Times New Roman" w:hAnsi="On Times New Roman"/>
          <w:sz w:val="24"/>
          <w:szCs w:val="24"/>
          <w:u w:val="single"/>
        </w:rPr>
        <w:t>United States v. Basil Ubanwa</w:t>
      </w:r>
      <w:r>
        <w:rPr>
          <w:rFonts w:ascii="On Times New Roman" w:hAnsi="On Times New Roman"/>
          <w:sz w:val="24"/>
          <w:szCs w:val="24"/>
        </w:rPr>
        <w:t xml:space="preserve">, U.S. District Court of Northern District of Indiana,  Chief Judge Theresa L. Springmann denied defense motion to dismiss the indictment.  </w:t>
      </w:r>
    </w:p>
    <w:bookmarkEnd w:id="487"/>
    <w:p w14:paraId="650A8280" w14:textId="77777777" w:rsidR="00297434" w:rsidRDefault="00297434" w:rsidP="00297434">
      <w:pPr>
        <w:spacing w:before="100" w:beforeAutospacing="1" w:after="100" w:afterAutospacing="1" w:line="240" w:lineRule="auto"/>
        <w:ind w:left="720"/>
        <w:rPr>
          <w:rFonts w:ascii="Times New Roman" w:hAnsi="Times New Roman"/>
          <w:sz w:val="24"/>
          <w:szCs w:val="24"/>
        </w:rPr>
      </w:pPr>
      <w:r>
        <w:rPr>
          <w:rFonts w:ascii="Times New Roman" w:eastAsia="Times New Roman" w:hAnsi="Times New Roman"/>
          <w:sz w:val="24"/>
          <w:szCs w:val="24"/>
        </w:rPr>
        <w:t xml:space="preserve">“[FBI] Agent Pawelko testified as follows: Based on—based on the people we had spoken to and the things we've reviewed, it does appear that, number one, the majority of people that Northwest was transporting during the time of our investigation were patients being transported to and from dialysis, which is a form of - it's a nonemergency transportation. And so far, what we've seen does support the allegation that they are transporting patients who do not qualify for this type </w:t>
      </w:r>
      <w:r>
        <w:rPr>
          <w:rFonts w:ascii="Times New Roman" w:hAnsi="Times New Roman"/>
          <w:sz w:val="24"/>
          <w:szCs w:val="24"/>
        </w:rPr>
        <w:t xml:space="preserve">of transportation. </w:t>
      </w:r>
      <w:proofErr w:type="gramStart"/>
      <w:r>
        <w:rPr>
          <w:rFonts w:ascii="Times New Roman" w:hAnsi="Times New Roman"/>
          <w:sz w:val="24"/>
          <w:szCs w:val="24"/>
        </w:rPr>
        <w:t>There's</w:t>
      </w:r>
      <w:proofErr w:type="gramEnd"/>
      <w:r>
        <w:rPr>
          <w:rFonts w:ascii="Times New Roman" w:hAnsi="Times New Roman"/>
          <w:sz w:val="24"/>
          <w:szCs w:val="24"/>
        </w:rPr>
        <w:t xml:space="preserve"> many indicators that these patients are capable of being transported to dialysis and other places by different means.</w:t>
      </w:r>
    </w:p>
    <w:p w14:paraId="5F3D4AF4" w14:textId="77777777" w:rsidR="00297434" w:rsidRDefault="00297434" w:rsidP="00297434">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p>
    <w:p w14:paraId="4D716668" w14:textId="77777777" w:rsidR="00297434" w:rsidRDefault="00297434" w:rsidP="00297434">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 xml:space="preserve">Carlos Trevino, an Emergency Medical Technician and employee of Northwest Ambulance, was then called to testify before the Grand Jury. Ex. C, pp. 2, 5-6, ECF No. 25-3. In essence, Trevino testified that the Defendant directed his employees to alter and fabricate documents so that Medicare would reimburse Northwest Ambulance for transporting patients who did not qualify for ambulance transportation. </w:t>
      </w:r>
      <w:r>
        <w:rPr>
          <w:rFonts w:ascii="Times New Roman" w:hAnsi="Times New Roman"/>
          <w:i/>
          <w:iCs/>
          <w:sz w:val="24"/>
          <w:szCs w:val="24"/>
        </w:rPr>
        <w:t>See</w:t>
      </w:r>
      <w:r>
        <w:rPr>
          <w:rFonts w:ascii="Times New Roman" w:hAnsi="Times New Roman"/>
          <w:sz w:val="24"/>
          <w:szCs w:val="24"/>
        </w:rPr>
        <w:t xml:space="preserve">, </w:t>
      </w:r>
      <w:r>
        <w:rPr>
          <w:rFonts w:ascii="Times New Roman" w:hAnsi="Times New Roman"/>
          <w:i/>
          <w:iCs/>
          <w:sz w:val="24"/>
          <w:szCs w:val="24"/>
        </w:rPr>
        <w:t>e</w:t>
      </w:r>
      <w:r>
        <w:rPr>
          <w:rFonts w:ascii="Times New Roman" w:hAnsi="Times New Roman"/>
          <w:sz w:val="24"/>
          <w:szCs w:val="24"/>
        </w:rPr>
        <w:t>.</w:t>
      </w:r>
      <w:r>
        <w:rPr>
          <w:rFonts w:ascii="Times New Roman" w:hAnsi="Times New Roman"/>
          <w:i/>
          <w:iCs/>
          <w:sz w:val="24"/>
          <w:szCs w:val="24"/>
        </w:rPr>
        <w:t>g</w:t>
      </w:r>
      <w:r>
        <w:rPr>
          <w:rFonts w:ascii="Times New Roman" w:hAnsi="Times New Roman"/>
          <w:sz w:val="24"/>
          <w:szCs w:val="24"/>
        </w:rPr>
        <w:t xml:space="preserve">., </w:t>
      </w:r>
      <w:r>
        <w:rPr>
          <w:rFonts w:ascii="Times New Roman" w:hAnsi="Times New Roman"/>
          <w:i/>
          <w:iCs/>
          <w:sz w:val="24"/>
          <w:szCs w:val="24"/>
        </w:rPr>
        <w:t>id</w:t>
      </w:r>
      <w:r>
        <w:rPr>
          <w:rFonts w:ascii="Times New Roman" w:hAnsi="Times New Roman"/>
          <w:sz w:val="24"/>
          <w:szCs w:val="24"/>
        </w:rPr>
        <w:t xml:space="preserve">. </w:t>
      </w:r>
      <w:proofErr w:type="gramStart"/>
      <w:r>
        <w:rPr>
          <w:rFonts w:ascii="Times New Roman" w:hAnsi="Times New Roman"/>
          <w:sz w:val="24"/>
          <w:szCs w:val="24"/>
        </w:rPr>
        <w:t>at</w:t>
      </w:r>
      <w:proofErr w:type="gramEnd"/>
      <w:r>
        <w:rPr>
          <w:rFonts w:ascii="Times New Roman" w:hAnsi="Times New Roman"/>
          <w:sz w:val="24"/>
          <w:szCs w:val="24"/>
        </w:rPr>
        <w:t xml:space="preserve"> 12, 24-27, 44-45, 52. The Prosecutor also discussed various patients that Northwest Ambulance had transported, and Trevino offered his opinion on whether those patients qualified for transport under the applicable Medicare regulations. </w:t>
      </w:r>
      <w:r>
        <w:rPr>
          <w:rFonts w:ascii="Times New Roman" w:hAnsi="Times New Roman"/>
          <w:i/>
          <w:iCs/>
          <w:sz w:val="24"/>
          <w:szCs w:val="24"/>
        </w:rPr>
        <w:t>Id</w:t>
      </w:r>
      <w:r>
        <w:rPr>
          <w:rFonts w:ascii="Times New Roman" w:hAnsi="Times New Roman"/>
          <w:sz w:val="24"/>
          <w:szCs w:val="24"/>
        </w:rPr>
        <w:t xml:space="preserve">. </w:t>
      </w:r>
      <w:proofErr w:type="gramStart"/>
      <w:r>
        <w:rPr>
          <w:rFonts w:ascii="Times New Roman" w:hAnsi="Times New Roman"/>
          <w:sz w:val="24"/>
          <w:szCs w:val="24"/>
        </w:rPr>
        <w:t>at</w:t>
      </w:r>
      <w:proofErr w:type="gramEnd"/>
      <w:r>
        <w:rPr>
          <w:rFonts w:ascii="Times New Roman" w:hAnsi="Times New Roman"/>
          <w:sz w:val="24"/>
          <w:szCs w:val="24"/>
        </w:rPr>
        <w:t xml:space="preserve"> 29, 31, 34. The Prosecutor also asked Trevino the following question: "how many millions of dollars was paid out by Medicaid for the transportation of [the] patients?" </w:t>
      </w:r>
      <w:r>
        <w:rPr>
          <w:rFonts w:ascii="Times New Roman" w:hAnsi="Times New Roman"/>
          <w:i/>
          <w:iCs/>
          <w:sz w:val="24"/>
          <w:szCs w:val="24"/>
        </w:rPr>
        <w:t>Id</w:t>
      </w:r>
      <w:r>
        <w:rPr>
          <w:rFonts w:ascii="Times New Roman" w:hAnsi="Times New Roman"/>
          <w:sz w:val="24"/>
          <w:szCs w:val="24"/>
        </w:rPr>
        <w:t xml:space="preserve">. at 54. Trevino responded that he did not know. </w:t>
      </w:r>
      <w:r>
        <w:rPr>
          <w:rFonts w:ascii="Times New Roman" w:hAnsi="Times New Roman"/>
          <w:i/>
          <w:iCs/>
          <w:sz w:val="24"/>
          <w:szCs w:val="24"/>
        </w:rPr>
        <w:t>Id</w:t>
      </w:r>
      <w:r>
        <w:rPr>
          <w:rFonts w:ascii="Times New Roman" w:hAnsi="Times New Roman"/>
          <w:sz w:val="24"/>
          <w:szCs w:val="24"/>
        </w:rPr>
        <w:t xml:space="preserve">. The Prosecutor then asked a follow up question: "Would it surprise you to know it's 3 or 4 million dollars?" </w:t>
      </w:r>
      <w:r>
        <w:rPr>
          <w:rFonts w:ascii="Times New Roman" w:hAnsi="Times New Roman"/>
          <w:i/>
          <w:iCs/>
          <w:sz w:val="24"/>
          <w:szCs w:val="24"/>
        </w:rPr>
        <w:t>Id</w:t>
      </w:r>
      <w:r>
        <w:rPr>
          <w:rFonts w:ascii="Times New Roman" w:hAnsi="Times New Roman"/>
          <w:sz w:val="24"/>
          <w:szCs w:val="24"/>
        </w:rPr>
        <w:t xml:space="preserve">. Trevino answered, "That is surprising, yes." </w:t>
      </w:r>
      <w:r>
        <w:rPr>
          <w:rFonts w:ascii="Times New Roman" w:hAnsi="Times New Roman"/>
          <w:i/>
          <w:iCs/>
          <w:sz w:val="24"/>
          <w:szCs w:val="24"/>
        </w:rPr>
        <w:t>Id</w:t>
      </w:r>
      <w:r>
        <w:rPr>
          <w:rFonts w:ascii="Times New Roman" w:hAnsi="Times New Roman"/>
          <w:sz w:val="24"/>
          <w:szCs w:val="24"/>
        </w:rPr>
        <w:t xml:space="preserve">. </w:t>
      </w:r>
      <w:bookmarkStart w:id="488" w:name="_Hlk41152492"/>
      <w:r w:rsidR="00F37A4B">
        <w:fldChar w:fldCharType="begin"/>
      </w:r>
      <w:r w:rsidR="00F37A4B">
        <w:instrText xml:space="preserve"> HYPERLINK "https://public.fastcase.com/Wl%2B2t%2BeVuI35%2FN70vAMFZlf8DDiJ0IlZyenM%2FaRiHEaOXnxs5YVKmrc22QWJLh0q" </w:instrText>
      </w:r>
      <w:r w:rsidR="00F37A4B">
        <w:fldChar w:fldCharType="separate"/>
      </w:r>
      <w:r>
        <w:rPr>
          <w:rStyle w:val="Hyperlink"/>
          <w:rFonts w:ascii="Times New Roman" w:hAnsi="Times New Roman"/>
          <w:sz w:val="24"/>
          <w:szCs w:val="24"/>
        </w:rPr>
        <w:t>https://public.fastcase.com/Wl%2B2t%2BeVuI35%2FN70vAMFZlf8DDiJ0IlZyenM%2FaRiHEaOXnxs5YVKmrc22QWJLh0q</w:t>
      </w:r>
      <w:r w:rsidR="00F37A4B">
        <w:rPr>
          <w:rStyle w:val="Hyperlink"/>
          <w:rFonts w:ascii="Times New Roman" w:hAnsi="Times New Roman"/>
          <w:sz w:val="24"/>
          <w:szCs w:val="24"/>
        </w:rPr>
        <w:fldChar w:fldCharType="end"/>
      </w:r>
      <w:r>
        <w:rPr>
          <w:rFonts w:ascii="Times New Roman" w:hAnsi="Times New Roman"/>
          <w:sz w:val="24"/>
          <w:szCs w:val="24"/>
        </w:rPr>
        <w:t xml:space="preserve"> </w:t>
      </w:r>
    </w:p>
    <w:p w14:paraId="4B30869E" w14:textId="77777777" w:rsidR="00297434" w:rsidRDefault="00297434" w:rsidP="00297434">
      <w:pPr>
        <w:spacing w:before="100" w:beforeAutospacing="1" w:after="100" w:afterAutospacing="1" w:line="240" w:lineRule="auto"/>
        <w:rPr>
          <w:rFonts w:ascii="Times New Roman" w:hAnsi="Times New Roman"/>
          <w:b/>
          <w:bCs/>
          <w:sz w:val="24"/>
          <w:szCs w:val="24"/>
        </w:rPr>
      </w:pPr>
      <w:r>
        <w:rPr>
          <w:rFonts w:ascii="Times New Roman" w:hAnsi="Times New Roman"/>
          <w:b/>
          <w:bCs/>
          <w:sz w:val="24"/>
          <w:szCs w:val="24"/>
        </w:rPr>
        <w:t xml:space="preserve">Legal Lessons Learned: Federal government continues widespread investigation of Medicare fraud.  </w:t>
      </w:r>
      <w:hyperlink r:id="rId2380" w:history="1">
        <w:r>
          <w:rPr>
            <w:rStyle w:val="Hyperlink"/>
            <w:rFonts w:ascii="Times New Roman" w:hAnsi="Times New Roman"/>
            <w:b/>
            <w:bCs/>
            <w:sz w:val="24"/>
            <w:szCs w:val="24"/>
          </w:rPr>
          <w:t>https://oig.hhs.gov/fraud/strike-force/</w:t>
        </w:r>
      </w:hyperlink>
      <w:r>
        <w:rPr>
          <w:rFonts w:ascii="Times New Roman" w:hAnsi="Times New Roman"/>
          <w:b/>
          <w:bCs/>
          <w:sz w:val="24"/>
          <w:szCs w:val="24"/>
        </w:rPr>
        <w:t xml:space="preserve">  “First established in March 2007, Strike Force teams currently operate in the following areas: Miami, Florida; Los Angeles, California; Detroit, Michigan; Houston, Texas; Brooklyn, New York; Baton Rouge and New Orleans, Louisiana; Tampa and Orlando, Florida; Chicago, Illinois; Dallas, Texas; Washington, D.C.; Newark, New Jersey/Philadelphia, Pennsylvania; and the Appalachian Region.”</w:t>
      </w:r>
    </w:p>
    <w:bookmarkEnd w:id="488"/>
    <w:p w14:paraId="446F30BF" w14:textId="77777777" w:rsidR="00297434" w:rsidRDefault="00297434" w:rsidP="00DE0F03">
      <w:pPr>
        <w:pStyle w:val="NoSpacing"/>
        <w:rPr>
          <w:rFonts w:ascii="Arial Black" w:hAnsi="Arial Black"/>
          <w:sz w:val="24"/>
          <w:szCs w:val="24"/>
        </w:rPr>
      </w:pPr>
    </w:p>
    <w:p w14:paraId="3A7641FC" w14:textId="280F6F56" w:rsidR="00297434" w:rsidRDefault="00297434" w:rsidP="00DE0F03">
      <w:pPr>
        <w:pStyle w:val="NoSpacing"/>
        <w:rPr>
          <w:rFonts w:ascii="Arial Black" w:hAnsi="Arial Black"/>
          <w:sz w:val="24"/>
          <w:szCs w:val="24"/>
        </w:rPr>
      </w:pPr>
      <w:r>
        <w:rPr>
          <w:rFonts w:ascii="Arial Black" w:hAnsi="Arial Black"/>
          <w:sz w:val="24"/>
          <w:szCs w:val="24"/>
        </w:rPr>
        <w:t>13-3</w:t>
      </w:r>
      <w:r w:rsidR="007A1E7A">
        <w:rPr>
          <w:rFonts w:ascii="Arial Black" w:hAnsi="Arial Black"/>
          <w:sz w:val="24"/>
          <w:szCs w:val="24"/>
        </w:rPr>
        <w:t>5</w:t>
      </w:r>
    </w:p>
    <w:p w14:paraId="51CFF4A9" w14:textId="77777777" w:rsidR="00297434" w:rsidRDefault="00297434" w:rsidP="00297434">
      <w:pPr>
        <w:spacing w:before="100" w:beforeAutospacing="1" w:after="100" w:afterAutospacing="1" w:line="240" w:lineRule="auto"/>
        <w:rPr>
          <w:rFonts w:ascii="Arial Black" w:eastAsia="Times New Roman" w:hAnsi="Arial Black"/>
          <w:b/>
          <w:bCs/>
          <w:sz w:val="28"/>
          <w:szCs w:val="28"/>
        </w:rPr>
      </w:pPr>
      <w:bookmarkStart w:id="489" w:name="_Hlk41152552"/>
      <w:bookmarkStart w:id="490" w:name="_Hlk41293717"/>
      <w:r>
        <w:rPr>
          <w:rFonts w:ascii="Arial Black" w:hAnsi="Arial Black"/>
          <w:b/>
          <w:bCs/>
          <w:sz w:val="28"/>
          <w:szCs w:val="28"/>
        </w:rPr>
        <w:lastRenderedPageBreak/>
        <w:t>NY:  UNCONSCIOUS PATIENT – 37 MIN. DELAY - PD RE-DIRECTED TO ANOTHER PATIENT – PATIENT DIED - LAWSUIT MAY PROCEED</w:t>
      </w:r>
    </w:p>
    <w:p w14:paraId="31E9D7E7" w14:textId="77777777" w:rsidR="00297434" w:rsidRPr="00E265AB" w:rsidRDefault="00297434" w:rsidP="00297434">
      <w:pPr>
        <w:pStyle w:val="NoSpacing"/>
        <w:rPr>
          <w:rFonts w:ascii="Times New Roman" w:eastAsiaTheme="minorHAnsi" w:hAnsi="Times New Roman"/>
          <w:sz w:val="24"/>
          <w:szCs w:val="24"/>
        </w:rPr>
      </w:pPr>
      <w:r w:rsidRPr="00E265AB">
        <w:rPr>
          <w:rFonts w:ascii="Times New Roman" w:hAnsi="Times New Roman"/>
          <w:sz w:val="24"/>
          <w:szCs w:val="24"/>
        </w:rPr>
        <w:t xml:space="preserve">On Nov. 7, 2019, in </w:t>
      </w:r>
      <w:r w:rsidRPr="00E265AB">
        <w:rPr>
          <w:rFonts w:ascii="Times New Roman" w:hAnsi="Times New Roman"/>
          <w:sz w:val="24"/>
          <w:szCs w:val="24"/>
          <w:u w:val="single"/>
        </w:rPr>
        <w:t>Michael Mannino, as Administrator of the Estate of Carmen Mannino v. The City of New York</w:t>
      </w:r>
      <w:r w:rsidRPr="00E265AB">
        <w:rPr>
          <w:rFonts w:ascii="Times New Roman" w:hAnsi="Times New Roman"/>
          <w:sz w:val="24"/>
          <w:szCs w:val="24"/>
        </w:rPr>
        <w:t xml:space="preserve">, Supreme Court of New York, New York County (Part 5), Justice Verna L. Saunders, denied the City’s motion for summary judgment. </w:t>
      </w:r>
    </w:p>
    <w:p w14:paraId="730C90F5" w14:textId="77777777" w:rsidR="00297434" w:rsidRDefault="00297434" w:rsidP="00297434">
      <w:pPr>
        <w:pStyle w:val="NoSpacing"/>
        <w:rPr>
          <w:rFonts w:ascii="On Times New Roman" w:hAnsi="On Times New Roman"/>
          <w:sz w:val="24"/>
          <w:szCs w:val="24"/>
        </w:rPr>
      </w:pPr>
    </w:p>
    <w:bookmarkEnd w:id="489"/>
    <w:p w14:paraId="653113F7" w14:textId="0E2FE895" w:rsidR="00297434" w:rsidRDefault="00297434" w:rsidP="00297434">
      <w:pPr>
        <w:pStyle w:val="NoSpacing"/>
        <w:ind w:left="720"/>
        <w:rPr>
          <w:rFonts w:ascii="Times New Roman" w:hAnsi="Times New Roman"/>
          <w:sz w:val="24"/>
          <w:szCs w:val="24"/>
        </w:rPr>
      </w:pPr>
      <w:r>
        <w:rPr>
          <w:rFonts w:ascii="Times New Roman" w:hAnsi="Times New Roman"/>
          <w:sz w:val="24"/>
          <w:szCs w:val="24"/>
        </w:rPr>
        <w:t xml:space="preserve">“Moreover, it is clear from the facts presented that reasonable minds may differ as to whether the dispatcher made the appropriate inquires in order to dispatch the most suitable unit to plaintiff's home; whether the thirty-seven minutes that elapsed between Mr. Mannino's first 911 call and FDNY's ultimate arrival to his home constitutes a breach of duty where Mr. Mannino called 911 three times and was never informed that </w:t>
      </w:r>
    </w:p>
    <w:p w14:paraId="26D7E444" w14:textId="77777777" w:rsidR="00297434" w:rsidRDefault="00297434" w:rsidP="00297434">
      <w:pPr>
        <w:pStyle w:val="NoSpacing"/>
        <w:ind w:left="720"/>
        <w:rPr>
          <w:rFonts w:ascii="Times New Roman" w:hAnsi="Times New Roman"/>
          <w:sz w:val="24"/>
          <w:szCs w:val="24"/>
        </w:rPr>
      </w:pPr>
      <w:r>
        <w:rPr>
          <w:rFonts w:ascii="Times New Roman" w:hAnsi="Times New Roman"/>
          <w:sz w:val="24"/>
          <w:szCs w:val="24"/>
        </w:rPr>
        <w:t xml:space="preserve">there was a delay due to the initial ambulance being stopped by NYPD; and finally, whether plaintiff's reliance on the statements of the dispatcher was reasonable where on three separate occasions he informed the 911 of dispatch of his wife's condition and each time was told that ‘they will take care of it.’ The City's assertion in reply, that plaintiff did not report to the dispatcher his wife's "deteriorating" condition is without merit as it is the dispatcher who elicits relevant information through questioning. Furthermore, the information provided to the dispatcher over the course of the multiple 911 calls resulted in plaintiff's priority increasing with each call, with the final call being given top priority and an ALS unit assignment. </w:t>
      </w:r>
      <w:bookmarkStart w:id="491" w:name="_Hlk41152572"/>
      <w:r w:rsidR="00F37A4B">
        <w:fldChar w:fldCharType="begin"/>
      </w:r>
      <w:r w:rsidR="00F37A4B">
        <w:instrText xml:space="preserve"> HYPERLINK "https://public.fastcase.com/Wl%2B2t%2BeVuI35%2FN70vAMFZi1T3lhea37qRbZrbVg21pm1BEJfSmxcdX46bLXGGvU2" </w:instrText>
      </w:r>
      <w:r w:rsidR="00F37A4B">
        <w:fldChar w:fldCharType="separate"/>
      </w:r>
      <w:r>
        <w:rPr>
          <w:rStyle w:val="Hyperlink"/>
          <w:rFonts w:ascii="Times New Roman" w:hAnsi="Times New Roman"/>
          <w:sz w:val="24"/>
          <w:szCs w:val="24"/>
        </w:rPr>
        <w:t>https://public.fastcase.com/Wl%2B2t%2BeVuI35%2FN70vAMFZi1T3lhea37qRbZrbVg21pm1BEJfSmxcdX46bLXGGvU2</w:t>
      </w:r>
      <w:r w:rsidR="00F37A4B">
        <w:rPr>
          <w:rStyle w:val="Hyperlink"/>
          <w:rFonts w:ascii="Times New Roman" w:hAnsi="Times New Roman"/>
          <w:sz w:val="24"/>
          <w:szCs w:val="24"/>
        </w:rPr>
        <w:fldChar w:fldCharType="end"/>
      </w:r>
      <w:r>
        <w:rPr>
          <w:rFonts w:ascii="Times New Roman" w:hAnsi="Times New Roman"/>
          <w:sz w:val="24"/>
          <w:szCs w:val="24"/>
        </w:rPr>
        <w:t xml:space="preserve"> </w:t>
      </w:r>
    </w:p>
    <w:p w14:paraId="435CD002" w14:textId="77777777" w:rsidR="00297434" w:rsidRDefault="00297434" w:rsidP="00297434">
      <w:pPr>
        <w:pStyle w:val="NoSpacing"/>
        <w:ind w:left="720"/>
        <w:rPr>
          <w:rFonts w:ascii="Times New Roman" w:hAnsi="Times New Roman"/>
          <w:sz w:val="24"/>
          <w:szCs w:val="24"/>
        </w:rPr>
      </w:pPr>
    </w:p>
    <w:p w14:paraId="7964A838" w14:textId="77777777" w:rsidR="00297434" w:rsidRDefault="00297434" w:rsidP="00297434">
      <w:pPr>
        <w:pStyle w:val="NoSpacing"/>
        <w:rPr>
          <w:rFonts w:ascii="Times New Roman" w:hAnsi="Times New Roman"/>
          <w:b/>
          <w:bCs/>
          <w:sz w:val="24"/>
          <w:szCs w:val="24"/>
        </w:rPr>
      </w:pPr>
      <w:r>
        <w:rPr>
          <w:rFonts w:ascii="Times New Roman" w:hAnsi="Times New Roman"/>
          <w:b/>
          <w:bCs/>
          <w:sz w:val="24"/>
          <w:szCs w:val="24"/>
        </w:rPr>
        <w:t xml:space="preserve">Legal Lessons Learned: If an ambulance is re-directed on another run, dispatch should inform the 911 caller of the delay. </w:t>
      </w:r>
    </w:p>
    <w:bookmarkEnd w:id="490"/>
    <w:bookmarkEnd w:id="491"/>
    <w:p w14:paraId="31E24DD0" w14:textId="259664FB" w:rsidR="00297434" w:rsidRDefault="00297434" w:rsidP="00DE0F03">
      <w:pPr>
        <w:pStyle w:val="NoSpacing"/>
        <w:rPr>
          <w:rFonts w:ascii="Arial Black" w:hAnsi="Arial Black"/>
          <w:sz w:val="24"/>
          <w:szCs w:val="24"/>
        </w:rPr>
      </w:pPr>
    </w:p>
    <w:p w14:paraId="2DF47F9E" w14:textId="77777777" w:rsidR="006114FF" w:rsidRDefault="006114FF" w:rsidP="00DE0F03">
      <w:pPr>
        <w:pStyle w:val="NoSpacing"/>
        <w:rPr>
          <w:rFonts w:ascii="Arial Black" w:hAnsi="Arial Black"/>
          <w:sz w:val="24"/>
          <w:szCs w:val="24"/>
        </w:rPr>
      </w:pPr>
    </w:p>
    <w:p w14:paraId="3B84534E" w14:textId="77777777" w:rsidR="006114FF" w:rsidRDefault="006114FF" w:rsidP="00DE0F03">
      <w:pPr>
        <w:pStyle w:val="NoSpacing"/>
        <w:rPr>
          <w:rFonts w:ascii="Arial Black" w:hAnsi="Arial Black"/>
          <w:sz w:val="24"/>
          <w:szCs w:val="24"/>
        </w:rPr>
      </w:pPr>
    </w:p>
    <w:p w14:paraId="5129AE77" w14:textId="17D0ACDD" w:rsidR="007A1E7A" w:rsidRDefault="005C30A4" w:rsidP="00DE0F03">
      <w:pPr>
        <w:pStyle w:val="NoSpacing"/>
        <w:rPr>
          <w:rFonts w:ascii="Arial Black" w:hAnsi="Arial Black"/>
          <w:sz w:val="24"/>
          <w:szCs w:val="24"/>
        </w:rPr>
      </w:pPr>
      <w:r>
        <w:rPr>
          <w:rFonts w:ascii="Arial Black" w:hAnsi="Arial Black"/>
          <w:sz w:val="24"/>
          <w:szCs w:val="24"/>
        </w:rPr>
        <w:t>13-34</w:t>
      </w:r>
    </w:p>
    <w:p w14:paraId="1AB13479" w14:textId="77777777" w:rsidR="007A1E7A" w:rsidRPr="007D1530" w:rsidRDefault="007A1E7A" w:rsidP="007A1E7A">
      <w:pPr>
        <w:spacing w:before="100" w:beforeAutospacing="1" w:after="100" w:afterAutospacing="1" w:line="240" w:lineRule="auto"/>
        <w:rPr>
          <w:rFonts w:ascii="Arial Black" w:eastAsia="Times New Roman" w:hAnsi="Arial Black"/>
          <w:b/>
          <w:bCs/>
          <w:sz w:val="28"/>
          <w:szCs w:val="28"/>
        </w:rPr>
      </w:pPr>
      <w:bookmarkStart w:id="492" w:name="_Hlk34226456"/>
      <w:bookmarkStart w:id="493" w:name="_Hlk41152597"/>
      <w:r w:rsidRPr="007D1530">
        <w:rPr>
          <w:rFonts w:ascii="Arial Black" w:eastAsia="Times New Roman" w:hAnsi="Arial Black"/>
          <w:b/>
          <w:bCs/>
          <w:sz w:val="28"/>
          <w:szCs w:val="28"/>
        </w:rPr>
        <w:t>MD:</w:t>
      </w:r>
      <w:r>
        <w:rPr>
          <w:rFonts w:ascii="Arial Black" w:eastAsia="Times New Roman" w:hAnsi="Arial Black"/>
          <w:b/>
          <w:bCs/>
          <w:sz w:val="28"/>
          <w:szCs w:val="28"/>
        </w:rPr>
        <w:t xml:space="preserve">  CARDIAC RUN - PATIENT WALKED TO AMBULANCE, TO WHEELCHAIR - $3.7M JURY REVERSED - NOT “GROSS NEGLIENCE” </w:t>
      </w:r>
    </w:p>
    <w:bookmarkEnd w:id="492"/>
    <w:p w14:paraId="1B36C2A7" w14:textId="77777777" w:rsidR="007A1E7A" w:rsidRPr="004B30C8" w:rsidRDefault="007A1E7A" w:rsidP="007A1E7A">
      <w:pPr>
        <w:pStyle w:val="NoSpacing"/>
        <w:rPr>
          <w:rFonts w:ascii="Times New Roman" w:hAnsi="Times New Roman"/>
          <w:b/>
          <w:bCs/>
          <w:sz w:val="24"/>
          <w:szCs w:val="24"/>
        </w:rPr>
      </w:pPr>
      <w:r w:rsidRPr="004B30C8">
        <w:rPr>
          <w:rFonts w:ascii="Times New Roman" w:eastAsia="Times New Roman" w:hAnsi="Times New Roman"/>
          <w:bCs/>
          <w:sz w:val="24"/>
          <w:szCs w:val="24"/>
        </w:rPr>
        <w:t xml:space="preserve">On Aug. 16, 2019, in </w:t>
      </w:r>
      <w:r w:rsidRPr="004B30C8">
        <w:rPr>
          <w:rFonts w:ascii="Times New Roman" w:eastAsia="Times New Roman" w:hAnsi="Times New Roman"/>
          <w:bCs/>
          <w:sz w:val="24"/>
          <w:szCs w:val="24"/>
          <w:u w:val="single"/>
        </w:rPr>
        <w:t>Joseph Strackle, et al. v. Estate of Kerry Butler, Jr</w:t>
      </w:r>
      <w:r w:rsidRPr="004B30C8">
        <w:rPr>
          <w:rFonts w:ascii="Times New Roman" w:eastAsia="Times New Roman" w:hAnsi="Times New Roman"/>
          <w:bCs/>
          <w:sz w:val="24"/>
          <w:szCs w:val="24"/>
        </w:rPr>
        <w:t xml:space="preserve">., the Maryland Court of Appeals (4 to 3), reversed the Court of Special Appeals, and agreed with the trial judge that the paramedics were not grossly negligent.  Plaintiff alleged breach of City of Baltimore FD protocol when the patient walked from his home to the ambulance, and upon arrival at hospital walked from ambulance to wheelchair.  The jury verdict of </w:t>
      </w:r>
      <w:r w:rsidRPr="004B30C8">
        <w:rPr>
          <w:rFonts w:ascii="Times New Roman" w:hAnsi="Times New Roman"/>
          <w:bCs/>
          <w:sz w:val="24"/>
          <w:szCs w:val="24"/>
        </w:rPr>
        <w:t xml:space="preserve">$3,707,000 was set aside by the trial </w:t>
      </w:r>
      <w:proofErr w:type="gramStart"/>
      <w:r w:rsidRPr="004B30C8">
        <w:rPr>
          <w:rFonts w:ascii="Times New Roman" w:hAnsi="Times New Roman"/>
          <w:bCs/>
          <w:sz w:val="24"/>
          <w:szCs w:val="24"/>
        </w:rPr>
        <w:t>judge, but</w:t>
      </w:r>
      <w:proofErr w:type="gramEnd"/>
      <w:r w:rsidRPr="004B30C8">
        <w:rPr>
          <w:rFonts w:ascii="Times New Roman" w:hAnsi="Times New Roman"/>
          <w:bCs/>
          <w:sz w:val="24"/>
          <w:szCs w:val="24"/>
        </w:rPr>
        <w:t xml:space="preserve"> reinstated by the Special Court of Appeals; the paramedics appealed to Maryland Court of Appeals, which set aside the jury verdict. </w:t>
      </w:r>
    </w:p>
    <w:bookmarkEnd w:id="493"/>
    <w:p w14:paraId="1ED63917" w14:textId="77777777" w:rsidR="007A1E7A" w:rsidRPr="004B30C8" w:rsidRDefault="007A1E7A" w:rsidP="007A1E7A">
      <w:pPr>
        <w:pStyle w:val="NoSpacing"/>
        <w:rPr>
          <w:rFonts w:ascii="Times New Roman" w:hAnsi="Times New Roman"/>
          <w:b/>
          <w:bCs/>
          <w:sz w:val="24"/>
          <w:szCs w:val="24"/>
        </w:rPr>
      </w:pPr>
    </w:p>
    <w:p w14:paraId="1B58F895" w14:textId="77777777" w:rsidR="007A1E7A" w:rsidRPr="004B30C8" w:rsidRDefault="007A1E7A" w:rsidP="007A1E7A">
      <w:pPr>
        <w:pStyle w:val="NoSpacing"/>
        <w:ind w:left="720"/>
        <w:rPr>
          <w:rFonts w:ascii="Times New Roman" w:hAnsi="Times New Roman"/>
          <w:b/>
          <w:bCs/>
          <w:sz w:val="24"/>
          <w:szCs w:val="24"/>
        </w:rPr>
      </w:pPr>
      <w:r w:rsidRPr="004B30C8">
        <w:rPr>
          <w:rFonts w:ascii="Times New Roman" w:hAnsi="Times New Roman"/>
          <w:bCs/>
          <w:sz w:val="24"/>
          <w:szCs w:val="24"/>
        </w:rPr>
        <w:t xml:space="preserve">“Petitioners [paramedics] assessed the patient, took his vitals, and promptly transported him to the nearest hospital within approximately seven minutes of first arriving on the scene. Based on the evidence presented at trial, the jury could not have found that Petitioners were grossly negligent by a preponderance of the evidence. We further conclude that </w:t>
      </w:r>
      <w:proofErr w:type="spellStart"/>
      <w:r w:rsidRPr="004B30C8">
        <w:rPr>
          <w:rFonts w:ascii="Times New Roman" w:hAnsi="Times New Roman"/>
          <w:bCs/>
          <w:sz w:val="24"/>
          <w:szCs w:val="24"/>
        </w:rPr>
        <w:t>Cts</w:t>
      </w:r>
      <w:proofErr w:type="spellEnd"/>
      <w:r w:rsidRPr="004B30C8">
        <w:rPr>
          <w:rFonts w:ascii="Times New Roman" w:hAnsi="Times New Roman"/>
          <w:bCs/>
          <w:sz w:val="24"/>
          <w:szCs w:val="24"/>
        </w:rPr>
        <w:t xml:space="preserve">. &amp; Jud. Proc. § 5-604(a) unambiguously confers immunity upon municipal fire departments in simple negligence claims. *** Finally, the practical implications of holding otherwise cannot be overstated. Concluding that Petitioners were grossly negligent would have a negative impact on not only the number of individuals who seek employment as first responders in the </w:t>
      </w:r>
      <w:proofErr w:type="gramStart"/>
      <w:r w:rsidRPr="004B30C8">
        <w:rPr>
          <w:rFonts w:ascii="Times New Roman" w:hAnsi="Times New Roman"/>
          <w:bCs/>
          <w:sz w:val="24"/>
          <w:szCs w:val="24"/>
        </w:rPr>
        <w:t>future, but</w:t>
      </w:r>
      <w:proofErr w:type="gramEnd"/>
      <w:r w:rsidRPr="004B30C8">
        <w:rPr>
          <w:rFonts w:ascii="Times New Roman" w:hAnsi="Times New Roman"/>
          <w:bCs/>
          <w:sz w:val="24"/>
          <w:szCs w:val="24"/>
        </w:rPr>
        <w:t xml:space="preserve"> would create a chilling effect on their conduct. First responders must have broad discretion to proceed in their assessment and treatment of patients without </w:t>
      </w:r>
      <w:r w:rsidRPr="004B30C8">
        <w:rPr>
          <w:rFonts w:ascii="Times New Roman" w:hAnsi="Times New Roman"/>
          <w:bCs/>
          <w:sz w:val="24"/>
          <w:szCs w:val="24"/>
        </w:rPr>
        <w:lastRenderedPageBreak/>
        <w:t>the fear of liability. *** We conclude that there was not sufficient evidence to establish that Petitioners [paramedics] committed gross negligence. The mere fact that Petitioners inaccurately diagnosed and treated their patient does not elevate their conduct to gross negligence.</w:t>
      </w:r>
    </w:p>
    <w:bookmarkStart w:id="494" w:name="_Hlk41152616"/>
    <w:p w14:paraId="3F451BB5" w14:textId="77777777" w:rsidR="007A1E7A" w:rsidRPr="004B30C8" w:rsidRDefault="00F37A4B" w:rsidP="007A1E7A">
      <w:pPr>
        <w:pStyle w:val="NoSpacing"/>
        <w:ind w:left="720"/>
        <w:rPr>
          <w:rFonts w:ascii="Times New Roman" w:hAnsi="Times New Roman"/>
          <w:b/>
          <w:bCs/>
          <w:sz w:val="24"/>
          <w:szCs w:val="24"/>
        </w:rPr>
      </w:pPr>
      <w:r>
        <w:fldChar w:fldCharType="begin"/>
      </w:r>
      <w:r>
        <w:instrText xml:space="preserve"> HYPERLINK "https://mdcourts.gov/data/opinions/coa/2019/64a18.pdf" </w:instrText>
      </w:r>
      <w:r>
        <w:fldChar w:fldCharType="separate"/>
      </w:r>
      <w:r w:rsidR="007A1E7A" w:rsidRPr="004B30C8">
        <w:rPr>
          <w:rStyle w:val="Hyperlink"/>
          <w:rFonts w:ascii="Times New Roman" w:hAnsi="Times New Roman"/>
          <w:bCs/>
          <w:sz w:val="24"/>
          <w:szCs w:val="24"/>
        </w:rPr>
        <w:t>https://mdcourts.gov/data/opinions/coa/2019/64a18.pdf</w:t>
      </w:r>
      <w:r>
        <w:rPr>
          <w:rStyle w:val="Hyperlink"/>
          <w:rFonts w:ascii="Times New Roman" w:hAnsi="Times New Roman"/>
          <w:bCs/>
          <w:sz w:val="24"/>
          <w:szCs w:val="24"/>
        </w:rPr>
        <w:fldChar w:fldCharType="end"/>
      </w:r>
      <w:r w:rsidR="007A1E7A" w:rsidRPr="004B30C8">
        <w:rPr>
          <w:rFonts w:ascii="Times New Roman" w:hAnsi="Times New Roman"/>
          <w:bCs/>
          <w:sz w:val="24"/>
          <w:szCs w:val="24"/>
        </w:rPr>
        <w:t xml:space="preserve"> </w:t>
      </w:r>
    </w:p>
    <w:p w14:paraId="55222C6A" w14:textId="40C74A42" w:rsidR="007A1E7A" w:rsidRDefault="007A1E7A" w:rsidP="00DE0F03">
      <w:pPr>
        <w:pStyle w:val="NoSpacing"/>
        <w:rPr>
          <w:rFonts w:ascii="Arial Black" w:hAnsi="Arial Black"/>
          <w:sz w:val="24"/>
          <w:szCs w:val="24"/>
        </w:rPr>
      </w:pPr>
    </w:p>
    <w:p w14:paraId="72910659" w14:textId="77777777" w:rsidR="007A1E7A" w:rsidRDefault="007A1E7A" w:rsidP="007A1E7A">
      <w:pPr>
        <w:pStyle w:val="NoSpacing"/>
        <w:rPr>
          <w:rFonts w:ascii="Times New Roman" w:hAnsi="Times New Roman"/>
          <w:b/>
          <w:bCs/>
          <w:sz w:val="24"/>
          <w:szCs w:val="24"/>
        </w:rPr>
      </w:pPr>
    </w:p>
    <w:p w14:paraId="5A32BF6B" w14:textId="77777777" w:rsidR="007A1E7A" w:rsidRDefault="007A1E7A" w:rsidP="007A1E7A">
      <w:pPr>
        <w:pStyle w:val="NoSpacing"/>
        <w:rPr>
          <w:rFonts w:ascii="Times New Roman" w:hAnsi="Times New Roman"/>
          <w:b/>
          <w:bCs/>
          <w:sz w:val="24"/>
          <w:szCs w:val="24"/>
        </w:rPr>
      </w:pPr>
    </w:p>
    <w:p w14:paraId="07974E18" w14:textId="77777777" w:rsidR="007A1E7A" w:rsidRDefault="007A1E7A" w:rsidP="007A1E7A">
      <w:pPr>
        <w:pStyle w:val="NoSpacing"/>
        <w:rPr>
          <w:rFonts w:ascii="Times New Roman" w:hAnsi="Times New Roman"/>
          <w:b/>
          <w:bCs/>
          <w:sz w:val="24"/>
          <w:szCs w:val="24"/>
        </w:rPr>
      </w:pPr>
    </w:p>
    <w:p w14:paraId="07AEBA0F" w14:textId="67E642A3" w:rsidR="007A1E7A" w:rsidRPr="004B30C8" w:rsidRDefault="007A1E7A" w:rsidP="007A1E7A">
      <w:pPr>
        <w:pStyle w:val="NoSpacing"/>
        <w:rPr>
          <w:rFonts w:ascii="Times New Roman" w:hAnsi="Times New Roman"/>
          <w:b/>
          <w:bCs/>
          <w:sz w:val="24"/>
          <w:szCs w:val="24"/>
        </w:rPr>
      </w:pPr>
      <w:r w:rsidRPr="004B30C8">
        <w:rPr>
          <w:rFonts w:ascii="Times New Roman" w:hAnsi="Times New Roman"/>
          <w:b/>
          <w:bCs/>
          <w:sz w:val="24"/>
          <w:szCs w:val="24"/>
        </w:rPr>
        <w:t xml:space="preserve">Legal Lessons Learned: Follow your Protocols, and on cardiac run if the patient will not wait to get on the cot, or upon arrival at hospital insists on walking out of the ambulance to the wheelchair, thoroughly document the facts. </w:t>
      </w:r>
    </w:p>
    <w:bookmarkEnd w:id="494"/>
    <w:p w14:paraId="3878A716" w14:textId="77777777" w:rsidR="007A1E7A" w:rsidRDefault="007A1E7A" w:rsidP="00DE0F03">
      <w:pPr>
        <w:pStyle w:val="NoSpacing"/>
        <w:rPr>
          <w:rFonts w:ascii="Arial Black" w:hAnsi="Arial Black"/>
          <w:sz w:val="24"/>
          <w:szCs w:val="24"/>
        </w:rPr>
      </w:pPr>
    </w:p>
    <w:p w14:paraId="39482879" w14:textId="77777777" w:rsidR="005C30A4" w:rsidRDefault="005C30A4" w:rsidP="00DE0F03">
      <w:pPr>
        <w:pStyle w:val="NoSpacing"/>
        <w:rPr>
          <w:rFonts w:ascii="Arial Black" w:hAnsi="Arial Black"/>
          <w:sz w:val="24"/>
          <w:szCs w:val="24"/>
        </w:rPr>
      </w:pPr>
    </w:p>
    <w:p w14:paraId="23B333BE" w14:textId="77777777" w:rsidR="005C30A4" w:rsidRDefault="005C30A4" w:rsidP="00DE0F03">
      <w:pPr>
        <w:pStyle w:val="NoSpacing"/>
        <w:rPr>
          <w:rFonts w:ascii="Arial Black" w:hAnsi="Arial Black"/>
          <w:sz w:val="24"/>
          <w:szCs w:val="24"/>
        </w:rPr>
      </w:pPr>
    </w:p>
    <w:p w14:paraId="7B1BB773" w14:textId="77777777" w:rsidR="005C30A4" w:rsidRDefault="005C30A4" w:rsidP="00DE0F03">
      <w:pPr>
        <w:pStyle w:val="NoSpacing"/>
        <w:rPr>
          <w:rFonts w:ascii="Arial Black" w:hAnsi="Arial Black"/>
          <w:sz w:val="24"/>
          <w:szCs w:val="24"/>
        </w:rPr>
      </w:pPr>
    </w:p>
    <w:p w14:paraId="395E863D" w14:textId="2CD4CF26" w:rsidR="00853142" w:rsidRDefault="00853142" w:rsidP="00DE0F03">
      <w:pPr>
        <w:pStyle w:val="NoSpacing"/>
        <w:rPr>
          <w:rFonts w:ascii="Arial Black" w:hAnsi="Arial Black"/>
          <w:sz w:val="24"/>
          <w:szCs w:val="24"/>
        </w:rPr>
      </w:pPr>
      <w:r>
        <w:rPr>
          <w:rFonts w:ascii="Arial Black" w:hAnsi="Arial Black"/>
          <w:sz w:val="24"/>
          <w:szCs w:val="24"/>
        </w:rPr>
        <w:t>13-3</w:t>
      </w:r>
      <w:r w:rsidR="00C95AF6">
        <w:rPr>
          <w:rFonts w:ascii="Arial Black" w:hAnsi="Arial Black"/>
          <w:sz w:val="24"/>
          <w:szCs w:val="24"/>
        </w:rPr>
        <w:t>3</w:t>
      </w:r>
      <w:r w:rsidR="006508FC">
        <w:rPr>
          <w:rFonts w:ascii="Arial Black" w:hAnsi="Arial Black"/>
          <w:sz w:val="24"/>
          <w:szCs w:val="24"/>
        </w:rPr>
        <w:t xml:space="preserve"> </w:t>
      </w:r>
    </w:p>
    <w:p w14:paraId="51B9659A" w14:textId="507B96B1" w:rsidR="00853142" w:rsidRDefault="00853142" w:rsidP="00DE0F03">
      <w:pPr>
        <w:pStyle w:val="NoSpacing"/>
        <w:rPr>
          <w:rFonts w:ascii="Arial Black" w:hAnsi="Arial Black"/>
          <w:sz w:val="24"/>
          <w:szCs w:val="24"/>
        </w:rPr>
      </w:pPr>
    </w:p>
    <w:p w14:paraId="2A60F180" w14:textId="77777777" w:rsidR="00853142" w:rsidRDefault="00853142" w:rsidP="00853142">
      <w:pPr>
        <w:pStyle w:val="NoSpacing"/>
        <w:rPr>
          <w:rFonts w:ascii="Arial Black" w:hAnsi="Arial Black"/>
          <w:sz w:val="28"/>
          <w:szCs w:val="28"/>
        </w:rPr>
      </w:pPr>
      <w:bookmarkStart w:id="495" w:name="_Hlk41299121"/>
      <w:bookmarkStart w:id="496" w:name="_Hlk41152673"/>
      <w:r>
        <w:rPr>
          <w:rFonts w:ascii="Arial Black" w:hAnsi="Arial Black"/>
          <w:sz w:val="28"/>
          <w:szCs w:val="28"/>
        </w:rPr>
        <w:t xml:space="preserve">LA: BLACK EMS CAPT. – NITROGLYCERIN WAS FOR MOUTH, NOT CHEST – SUSPENSION / REMEDIATION PROPER - NOT RACE / GENDER </w:t>
      </w:r>
    </w:p>
    <w:p w14:paraId="641D87A0" w14:textId="77777777" w:rsidR="00853142" w:rsidRDefault="00853142" w:rsidP="00853142">
      <w:pPr>
        <w:pStyle w:val="NoSpacing"/>
      </w:pPr>
    </w:p>
    <w:p w14:paraId="5BE8F3F1" w14:textId="77777777" w:rsidR="00853142" w:rsidRDefault="00853142" w:rsidP="00853142">
      <w:pPr>
        <w:pStyle w:val="NoSpacing"/>
        <w:rPr>
          <w:rFonts w:ascii="Times New Roman" w:hAnsi="Times New Roman"/>
          <w:sz w:val="24"/>
          <w:szCs w:val="24"/>
        </w:rPr>
      </w:pPr>
      <w:r w:rsidRPr="008F2205">
        <w:rPr>
          <w:rFonts w:ascii="Times New Roman" w:hAnsi="Times New Roman"/>
          <w:sz w:val="24"/>
          <w:szCs w:val="24"/>
        </w:rPr>
        <w:t xml:space="preserve">On Sept. 17, 2019, in </w:t>
      </w:r>
      <w:r w:rsidRPr="008F2205">
        <w:rPr>
          <w:rFonts w:ascii="Times New Roman" w:hAnsi="Times New Roman"/>
          <w:sz w:val="24"/>
          <w:szCs w:val="24"/>
          <w:u w:val="single"/>
        </w:rPr>
        <w:t>Deborah Mills v. City of Shreveport</w:t>
      </w:r>
      <w:r w:rsidRPr="008F2205">
        <w:rPr>
          <w:rFonts w:ascii="Times New Roman" w:hAnsi="Times New Roman"/>
          <w:sz w:val="24"/>
          <w:szCs w:val="24"/>
        </w:rPr>
        <w:t xml:space="preserve">, </w:t>
      </w:r>
      <w:r>
        <w:rPr>
          <w:rFonts w:ascii="Times New Roman" w:hAnsi="Times New Roman"/>
          <w:sz w:val="24"/>
          <w:szCs w:val="24"/>
        </w:rPr>
        <w:t>U.S. District Court Judge Terry A. Doughty, U.S. District Court of Louisiana,  Western District</w:t>
      </w:r>
      <w:r w:rsidRPr="00D91FDE">
        <w:rPr>
          <w:rFonts w:ascii="Times New Roman" w:hAnsi="Times New Roman"/>
          <w:sz w:val="24"/>
          <w:szCs w:val="24"/>
        </w:rPr>
        <w:t>, Shreveport Division,</w:t>
      </w:r>
      <w:r>
        <w:rPr>
          <w:b/>
          <w:bCs/>
        </w:rPr>
        <w:t xml:space="preserve"> </w:t>
      </w:r>
      <w:r>
        <w:rPr>
          <w:rFonts w:ascii="Times New Roman" w:hAnsi="Times New Roman"/>
          <w:sz w:val="24"/>
          <w:szCs w:val="24"/>
        </w:rPr>
        <w:t xml:space="preserve">dismissed her claim of “hostile work atmosphere.”  He had previously dismissed her race and gender discrimination claims. </w:t>
      </w:r>
      <w:hyperlink r:id="rId2381" w:history="1">
        <w:r w:rsidRPr="00DB571D">
          <w:rPr>
            <w:rStyle w:val="Hyperlink"/>
            <w:rFonts w:ascii="Times New Roman" w:hAnsi="Times New Roman"/>
            <w:sz w:val="24"/>
            <w:szCs w:val="24"/>
          </w:rPr>
          <w:t>https://scholar.google.com/scholar_case?case=2959279778538737103&amp;hl=en&amp;as_sdt=6,36</w:t>
        </w:r>
      </w:hyperlink>
      <w:r>
        <w:rPr>
          <w:rFonts w:ascii="Times New Roman" w:hAnsi="Times New Roman"/>
          <w:sz w:val="24"/>
          <w:szCs w:val="24"/>
        </w:rPr>
        <w:t xml:space="preserve"> </w:t>
      </w:r>
    </w:p>
    <w:p w14:paraId="12E35732" w14:textId="77777777" w:rsidR="00853142" w:rsidRPr="008F2205" w:rsidRDefault="00853142" w:rsidP="00853142">
      <w:pPr>
        <w:pStyle w:val="NoSpacing"/>
        <w:rPr>
          <w:rFonts w:ascii="Times New Roman" w:hAnsi="Times New Roman"/>
          <w:sz w:val="24"/>
          <w:szCs w:val="24"/>
        </w:rPr>
      </w:pPr>
      <w:r>
        <w:rPr>
          <w:rFonts w:ascii="Times New Roman" w:hAnsi="Times New Roman"/>
          <w:sz w:val="24"/>
          <w:szCs w:val="24"/>
        </w:rPr>
        <w:t xml:space="preserve"> </w:t>
      </w:r>
    </w:p>
    <w:p w14:paraId="3694C932" w14:textId="77777777" w:rsidR="00853142" w:rsidRDefault="00853142" w:rsidP="00853142">
      <w:pPr>
        <w:pStyle w:val="NoSpacing"/>
        <w:ind w:left="720"/>
        <w:rPr>
          <w:rFonts w:ascii="Times New Roman" w:hAnsi="Times New Roman"/>
          <w:sz w:val="24"/>
          <w:szCs w:val="24"/>
        </w:rPr>
      </w:pPr>
      <w:r>
        <w:rPr>
          <w:rFonts w:ascii="Times New Roman" w:hAnsi="Times New Roman"/>
          <w:sz w:val="24"/>
          <w:szCs w:val="24"/>
        </w:rPr>
        <w:t>“</w:t>
      </w:r>
      <w:r w:rsidRPr="008F2205">
        <w:rPr>
          <w:rFonts w:ascii="Times New Roman" w:hAnsi="Times New Roman"/>
          <w:sz w:val="24"/>
          <w:szCs w:val="24"/>
        </w:rPr>
        <w:t xml:space="preserve">While Mills may subjectively believe that she has been treated differently and more harshly because of her race and/or gender, neither her subjective belief </w:t>
      </w:r>
      <w:proofErr w:type="gramStart"/>
      <w:r w:rsidRPr="008F2205">
        <w:rPr>
          <w:rFonts w:ascii="Times New Roman" w:hAnsi="Times New Roman"/>
          <w:sz w:val="24"/>
          <w:szCs w:val="24"/>
        </w:rPr>
        <w:t>or</w:t>
      </w:r>
      <w:proofErr w:type="gramEnd"/>
      <w:r w:rsidRPr="008F2205">
        <w:rPr>
          <w:rFonts w:ascii="Times New Roman" w:hAnsi="Times New Roman"/>
          <w:sz w:val="24"/>
          <w:szCs w:val="24"/>
        </w:rPr>
        <w:t xml:space="preserve"> that of others is enough to present this case to a jury. The Court finds that Mills has presented no genuine issue of material fact regarding whether she was subjected to harassment based on race or gender, and therefore she has failed to present a </w:t>
      </w:r>
      <w:r w:rsidRPr="008F2205">
        <w:rPr>
          <w:rFonts w:ascii="Times New Roman" w:hAnsi="Times New Roman"/>
          <w:i/>
          <w:iCs/>
          <w:sz w:val="24"/>
          <w:szCs w:val="24"/>
        </w:rPr>
        <w:t>prima facie</w:t>
      </w:r>
      <w:r w:rsidRPr="008F2205">
        <w:rPr>
          <w:rFonts w:ascii="Times New Roman" w:hAnsi="Times New Roman"/>
          <w:sz w:val="24"/>
          <w:szCs w:val="24"/>
        </w:rPr>
        <w:t xml:space="preserve"> case for a hostile work environment under Title VII. Therefore, the Court GRANTS the City's Motion for Summary Judgment on this remaining claim.</w:t>
      </w:r>
      <w:r>
        <w:rPr>
          <w:rFonts w:ascii="Times New Roman" w:hAnsi="Times New Roman"/>
          <w:sz w:val="24"/>
          <w:szCs w:val="24"/>
        </w:rPr>
        <w:t>”</w:t>
      </w:r>
    </w:p>
    <w:p w14:paraId="04F74734" w14:textId="77777777" w:rsidR="00853142" w:rsidRDefault="00853142" w:rsidP="00853142">
      <w:pPr>
        <w:pStyle w:val="NoSpacing"/>
        <w:ind w:left="720"/>
        <w:rPr>
          <w:rFonts w:ascii="Times New Roman" w:hAnsi="Times New Roman"/>
          <w:sz w:val="24"/>
          <w:szCs w:val="24"/>
        </w:rPr>
      </w:pPr>
    </w:p>
    <w:p w14:paraId="1D7346AC" w14:textId="77777777" w:rsidR="00853142" w:rsidRDefault="00853142" w:rsidP="00853142">
      <w:pPr>
        <w:pStyle w:val="NoSpacing"/>
      </w:pPr>
      <w:r>
        <w:rPr>
          <w:rFonts w:ascii="Times New Roman" w:hAnsi="Times New Roman"/>
          <w:sz w:val="24"/>
          <w:szCs w:val="24"/>
        </w:rPr>
        <w:t xml:space="preserve">On June 21, 2019, here other claims of race and gender discrimination were dismissed: </w:t>
      </w:r>
      <w:hyperlink r:id="rId2382" w:history="1">
        <w:r w:rsidRPr="00062632">
          <w:rPr>
            <w:rStyle w:val="Hyperlink"/>
            <w:rFonts w:ascii="Times New Roman" w:hAnsi="Times New Roman"/>
            <w:sz w:val="24"/>
            <w:szCs w:val="24"/>
          </w:rPr>
          <w:t>https://www.leagle.com/decision/infdco20190624a02</w:t>
        </w:r>
      </w:hyperlink>
      <w:r>
        <w:rPr>
          <w:rFonts w:ascii="Times New Roman" w:hAnsi="Times New Roman"/>
          <w:sz w:val="24"/>
          <w:szCs w:val="24"/>
        </w:rPr>
        <w:t xml:space="preserve">  </w:t>
      </w:r>
    </w:p>
    <w:p w14:paraId="6A6AF179" w14:textId="77777777" w:rsidR="00853142" w:rsidRDefault="00853142" w:rsidP="00853142">
      <w:pPr>
        <w:pStyle w:val="NoSpacing"/>
        <w:rPr>
          <w:rFonts w:ascii="Times New Roman" w:hAnsi="Times New Roman"/>
          <w:sz w:val="24"/>
          <w:szCs w:val="24"/>
        </w:rPr>
      </w:pPr>
    </w:p>
    <w:p w14:paraId="23BEA99E" w14:textId="1356E665" w:rsidR="00853142" w:rsidRDefault="00853142" w:rsidP="00853142">
      <w:pPr>
        <w:pStyle w:val="NoSpacing"/>
        <w:rPr>
          <w:rFonts w:ascii="Times New Roman" w:hAnsi="Times New Roman"/>
          <w:b/>
          <w:bCs/>
          <w:sz w:val="24"/>
          <w:szCs w:val="24"/>
        </w:rPr>
      </w:pPr>
      <w:r w:rsidRPr="009871EA">
        <w:rPr>
          <w:rFonts w:ascii="Times New Roman" w:hAnsi="Times New Roman"/>
          <w:b/>
          <w:bCs/>
          <w:sz w:val="24"/>
          <w:szCs w:val="24"/>
        </w:rPr>
        <w:t xml:space="preserve">Legal Lessons Learned:  </w:t>
      </w:r>
      <w:r>
        <w:rPr>
          <w:rFonts w:ascii="Times New Roman" w:hAnsi="Times New Roman"/>
          <w:b/>
          <w:bCs/>
          <w:sz w:val="24"/>
          <w:szCs w:val="24"/>
        </w:rPr>
        <w:t xml:space="preserve">EMS protocols must be followed, and suspension / remediation training is an appropriate corrective action.  </w:t>
      </w:r>
      <w:bookmarkEnd w:id="495"/>
      <w:r>
        <w:rPr>
          <w:rFonts w:ascii="Times New Roman" w:hAnsi="Times New Roman"/>
          <w:b/>
          <w:bCs/>
          <w:sz w:val="24"/>
          <w:szCs w:val="24"/>
        </w:rPr>
        <w:t xml:space="preserve">  </w:t>
      </w:r>
      <w:bookmarkEnd w:id="496"/>
      <w:r>
        <w:rPr>
          <w:rFonts w:ascii="Times New Roman" w:hAnsi="Times New Roman"/>
          <w:b/>
          <w:bCs/>
          <w:sz w:val="24"/>
          <w:szCs w:val="24"/>
        </w:rPr>
        <w:t>[Also filed, Chap. 8, Race Discrimination.]</w:t>
      </w:r>
    </w:p>
    <w:p w14:paraId="3050E4A9" w14:textId="77777777" w:rsidR="00853142" w:rsidRDefault="00853142" w:rsidP="00DE0F03">
      <w:pPr>
        <w:pStyle w:val="NoSpacing"/>
        <w:rPr>
          <w:rFonts w:ascii="Arial Black" w:hAnsi="Arial Black"/>
          <w:sz w:val="24"/>
          <w:szCs w:val="24"/>
        </w:rPr>
      </w:pPr>
    </w:p>
    <w:p w14:paraId="00F22F8F" w14:textId="77777777" w:rsidR="00853142" w:rsidRDefault="00853142" w:rsidP="00DE0F03">
      <w:pPr>
        <w:pStyle w:val="NoSpacing"/>
        <w:rPr>
          <w:rFonts w:ascii="Arial Black" w:hAnsi="Arial Black"/>
          <w:sz w:val="24"/>
          <w:szCs w:val="24"/>
        </w:rPr>
      </w:pPr>
    </w:p>
    <w:p w14:paraId="2406827B" w14:textId="77777777" w:rsidR="00853142" w:rsidRDefault="00853142" w:rsidP="00DE0F03">
      <w:pPr>
        <w:pStyle w:val="NoSpacing"/>
        <w:rPr>
          <w:rFonts w:ascii="Arial Black" w:hAnsi="Arial Black"/>
          <w:sz w:val="24"/>
          <w:szCs w:val="24"/>
        </w:rPr>
      </w:pPr>
    </w:p>
    <w:p w14:paraId="32CEF3DC" w14:textId="27E2754E" w:rsidR="009F0F05" w:rsidRDefault="00EE0562" w:rsidP="00DE0F03">
      <w:pPr>
        <w:pStyle w:val="NoSpacing"/>
        <w:rPr>
          <w:rFonts w:ascii="Arial Black" w:hAnsi="Arial Black"/>
          <w:sz w:val="24"/>
          <w:szCs w:val="24"/>
        </w:rPr>
      </w:pPr>
      <w:r>
        <w:rPr>
          <w:rFonts w:ascii="Arial Black" w:hAnsi="Arial Black"/>
          <w:sz w:val="24"/>
          <w:szCs w:val="24"/>
        </w:rPr>
        <w:t>13-3</w:t>
      </w:r>
      <w:r w:rsidR="00C95AF6">
        <w:rPr>
          <w:rFonts w:ascii="Arial Black" w:hAnsi="Arial Black"/>
          <w:sz w:val="24"/>
          <w:szCs w:val="24"/>
        </w:rPr>
        <w:t>2</w:t>
      </w:r>
      <w:r>
        <w:rPr>
          <w:rFonts w:ascii="Arial Black" w:hAnsi="Arial Black"/>
          <w:sz w:val="24"/>
          <w:szCs w:val="24"/>
        </w:rPr>
        <w:t xml:space="preserve"> </w:t>
      </w:r>
    </w:p>
    <w:p w14:paraId="5A6B044E" w14:textId="77777777" w:rsidR="00EE0562" w:rsidRDefault="00EE0562" w:rsidP="00DE0F03">
      <w:pPr>
        <w:pStyle w:val="NoSpacing"/>
        <w:rPr>
          <w:rFonts w:ascii="Arial Black" w:hAnsi="Arial Black"/>
          <w:sz w:val="24"/>
          <w:szCs w:val="24"/>
        </w:rPr>
      </w:pPr>
    </w:p>
    <w:p w14:paraId="2DAFD27D" w14:textId="77777777" w:rsidR="009F0F05" w:rsidRPr="003561BE" w:rsidRDefault="009F0F05" w:rsidP="009F0F05">
      <w:pPr>
        <w:rPr>
          <w:rFonts w:ascii="Arial Black" w:hAnsi="Arial Black"/>
          <w:sz w:val="28"/>
          <w:szCs w:val="28"/>
        </w:rPr>
      </w:pPr>
      <w:bookmarkStart w:id="497" w:name="_Hlk41152875"/>
      <w:bookmarkStart w:id="498" w:name="_Hlk41297020"/>
      <w:r w:rsidRPr="003561BE">
        <w:rPr>
          <w:rFonts w:ascii="Arial Black" w:hAnsi="Arial Black"/>
          <w:sz w:val="28"/>
          <w:szCs w:val="28"/>
        </w:rPr>
        <w:t xml:space="preserve">OK: </w:t>
      </w:r>
      <w:r>
        <w:rPr>
          <w:rFonts w:ascii="Arial Black" w:hAnsi="Arial Black"/>
          <w:sz w:val="28"/>
          <w:szCs w:val="28"/>
        </w:rPr>
        <w:t>EMS HELD BACK FROM PD SHOOTING FOR 12 MINUTES – CONFIRM SCENE SECURE - QUALIFIED IMMUNITY</w:t>
      </w:r>
    </w:p>
    <w:p w14:paraId="4D2AC446" w14:textId="77777777" w:rsidR="009F0F05" w:rsidRDefault="009F0F05" w:rsidP="009F0F05">
      <w:r w:rsidRPr="0025287C">
        <w:rPr>
          <w:rFonts w:ascii="Times New Roman" w:hAnsi="Times New Roman"/>
          <w:sz w:val="24"/>
          <w:szCs w:val="24"/>
        </w:rPr>
        <w:t xml:space="preserve">On Sept. 6, 2019, </w:t>
      </w:r>
      <w:r>
        <w:rPr>
          <w:rFonts w:ascii="Times New Roman" w:hAnsi="Times New Roman"/>
          <w:sz w:val="24"/>
          <w:szCs w:val="24"/>
        </w:rPr>
        <w:t xml:space="preserve">in </w:t>
      </w:r>
      <w:r w:rsidRPr="0088321C">
        <w:rPr>
          <w:rFonts w:ascii="Times New Roman" w:hAnsi="Times New Roman"/>
          <w:sz w:val="24"/>
          <w:szCs w:val="24"/>
          <w:u w:val="single"/>
        </w:rPr>
        <w:t>Briena Crittenden, as personal representative of estate of Joshua</w:t>
      </w:r>
      <w:r w:rsidRPr="005B29CF">
        <w:rPr>
          <w:rFonts w:ascii="Times New Roman" w:hAnsi="Times New Roman"/>
          <w:sz w:val="24"/>
          <w:szCs w:val="24"/>
          <w:u w:val="single"/>
        </w:rPr>
        <w:t xml:space="preserve"> P. Crittenden v. City of Tahlequah, Officer Randy Tanner, et al</w:t>
      </w:r>
      <w:r>
        <w:rPr>
          <w:rFonts w:ascii="Times New Roman" w:hAnsi="Times New Roman"/>
          <w:sz w:val="24"/>
          <w:szCs w:val="24"/>
        </w:rPr>
        <w:t>., the U.S. Court of Appeals for the 10</w:t>
      </w:r>
      <w:r w:rsidRPr="005B29CF">
        <w:rPr>
          <w:rFonts w:ascii="Times New Roman" w:hAnsi="Times New Roman"/>
          <w:sz w:val="24"/>
          <w:szCs w:val="24"/>
          <w:vertAlign w:val="superscript"/>
        </w:rPr>
        <w:t>th</w:t>
      </w:r>
      <w:r>
        <w:rPr>
          <w:rFonts w:ascii="Times New Roman" w:hAnsi="Times New Roman"/>
          <w:sz w:val="24"/>
          <w:szCs w:val="24"/>
        </w:rPr>
        <w:t xml:space="preserve"> District (Denver) held (3 to 0) </w:t>
      </w:r>
      <w:r>
        <w:rPr>
          <w:rFonts w:ascii="Times New Roman" w:hAnsi="Times New Roman"/>
          <w:sz w:val="24"/>
          <w:szCs w:val="24"/>
        </w:rPr>
        <w:lastRenderedPageBreak/>
        <w:t xml:space="preserve">that U.S. District Court judge properly granted summary judgment to the police officers and the City.  </w:t>
      </w:r>
      <w:hyperlink r:id="rId2383" w:history="1">
        <w:r w:rsidRPr="00586529">
          <w:rPr>
            <w:rStyle w:val="Hyperlink"/>
          </w:rPr>
          <w:t>https://law.justia.com/cases/federal/appellate-courts/ca10/18-7036/18-7036-2019-09-06.html</w:t>
        </w:r>
      </w:hyperlink>
      <w:r>
        <w:t xml:space="preserve"> </w:t>
      </w:r>
    </w:p>
    <w:bookmarkEnd w:id="497"/>
    <w:p w14:paraId="7CB89A7A" w14:textId="77777777" w:rsidR="009F0F05" w:rsidRPr="0025287C" w:rsidRDefault="009F0F05" w:rsidP="009F0F05">
      <w:pPr>
        <w:rPr>
          <w:rFonts w:ascii="Times New Roman" w:hAnsi="Times New Roman"/>
          <w:sz w:val="24"/>
          <w:szCs w:val="24"/>
        </w:rPr>
      </w:pPr>
      <w:r>
        <w:rPr>
          <w:rFonts w:ascii="Times New Roman" w:hAnsi="Times New Roman"/>
          <w:sz w:val="24"/>
          <w:szCs w:val="24"/>
        </w:rPr>
        <w:t xml:space="preserve"> Circuit Judge Michael R, Murphy wrote:</w:t>
      </w:r>
    </w:p>
    <w:p w14:paraId="510B2D7C" w14:textId="77777777" w:rsidR="009F0F05" w:rsidRPr="00DA74F4" w:rsidRDefault="009F0F05" w:rsidP="009F0F05">
      <w:pPr>
        <w:ind w:left="720"/>
        <w:rPr>
          <w:rFonts w:ascii="Times New Roman" w:hAnsi="Times New Roman"/>
          <w:sz w:val="24"/>
          <w:szCs w:val="24"/>
        </w:rPr>
      </w:pPr>
      <w:r>
        <w:rPr>
          <w:rFonts w:ascii="Times New Roman" w:hAnsi="Times New Roman"/>
          <w:sz w:val="24"/>
          <w:szCs w:val="24"/>
        </w:rPr>
        <w:t>“</w:t>
      </w:r>
      <w:r w:rsidRPr="00682A63">
        <w:rPr>
          <w:rFonts w:ascii="Times New Roman" w:hAnsi="Times New Roman"/>
          <w:sz w:val="24"/>
          <w:szCs w:val="24"/>
        </w:rPr>
        <w:t xml:space="preserve">There is no precedent supporting the notion that police officers have an affirmative duty to provide immediate medical care in situations such as the instant case. </w:t>
      </w:r>
      <w:r w:rsidRPr="00DA74F4">
        <w:rPr>
          <w:rFonts w:ascii="Times New Roman" w:hAnsi="Times New Roman"/>
          <w:sz w:val="24"/>
          <w:szCs w:val="24"/>
        </w:rPr>
        <w:t>See Wilson v.</w:t>
      </w:r>
      <w:r>
        <w:rPr>
          <w:rFonts w:ascii="Times New Roman" w:hAnsi="Times New Roman"/>
          <w:sz w:val="24"/>
          <w:szCs w:val="24"/>
        </w:rPr>
        <w:t xml:space="preserve"> </w:t>
      </w:r>
      <w:r w:rsidRPr="00DA74F4">
        <w:rPr>
          <w:rFonts w:ascii="Times New Roman" w:hAnsi="Times New Roman"/>
          <w:sz w:val="24"/>
          <w:szCs w:val="24"/>
        </w:rPr>
        <w:t>Meeks, 52</w:t>
      </w:r>
      <w:r>
        <w:rPr>
          <w:rFonts w:ascii="Times New Roman" w:hAnsi="Times New Roman"/>
          <w:sz w:val="24"/>
          <w:szCs w:val="24"/>
        </w:rPr>
        <w:t xml:space="preserve"> </w:t>
      </w:r>
      <w:r w:rsidRPr="00DA74F4">
        <w:rPr>
          <w:rFonts w:ascii="Times New Roman" w:hAnsi="Times New Roman"/>
          <w:sz w:val="24"/>
          <w:szCs w:val="24"/>
        </w:rPr>
        <w:t>F.3d1547, 1556</w:t>
      </w:r>
      <w:r>
        <w:rPr>
          <w:rFonts w:ascii="Times New Roman" w:hAnsi="Times New Roman"/>
          <w:sz w:val="24"/>
          <w:szCs w:val="24"/>
        </w:rPr>
        <w:t xml:space="preserve"> </w:t>
      </w:r>
      <w:r w:rsidRPr="00DA74F4">
        <w:rPr>
          <w:rFonts w:ascii="Times New Roman" w:hAnsi="Times New Roman"/>
          <w:sz w:val="24"/>
          <w:szCs w:val="24"/>
        </w:rPr>
        <w:t>(10thCir.1995), abrogated on other grounds by Saucier</w:t>
      </w:r>
      <w:r>
        <w:rPr>
          <w:rFonts w:ascii="Times New Roman" w:hAnsi="Times New Roman"/>
          <w:sz w:val="24"/>
          <w:szCs w:val="24"/>
        </w:rPr>
        <w:t xml:space="preserve"> </w:t>
      </w:r>
      <w:r w:rsidRPr="00DA74F4">
        <w:rPr>
          <w:rFonts w:ascii="Times New Roman" w:hAnsi="Times New Roman"/>
          <w:sz w:val="24"/>
          <w:szCs w:val="24"/>
        </w:rPr>
        <w:t>v.</w:t>
      </w:r>
      <w:r>
        <w:rPr>
          <w:rFonts w:ascii="Times New Roman" w:hAnsi="Times New Roman"/>
          <w:sz w:val="24"/>
          <w:szCs w:val="24"/>
        </w:rPr>
        <w:t xml:space="preserve"> </w:t>
      </w:r>
      <w:r w:rsidRPr="00DA74F4">
        <w:rPr>
          <w:rFonts w:ascii="Times New Roman" w:hAnsi="Times New Roman"/>
          <w:sz w:val="24"/>
          <w:szCs w:val="24"/>
        </w:rPr>
        <w:t>Katz,</w:t>
      </w:r>
      <w:r>
        <w:rPr>
          <w:rFonts w:ascii="Times New Roman" w:hAnsi="Times New Roman"/>
          <w:sz w:val="24"/>
          <w:szCs w:val="24"/>
        </w:rPr>
        <w:t xml:space="preserve"> </w:t>
      </w:r>
      <w:r w:rsidRPr="00DA74F4">
        <w:rPr>
          <w:rFonts w:ascii="Times New Roman" w:hAnsi="Times New Roman"/>
          <w:sz w:val="24"/>
          <w:szCs w:val="24"/>
        </w:rPr>
        <w:t>533</w:t>
      </w:r>
      <w:r>
        <w:rPr>
          <w:rFonts w:ascii="Times New Roman" w:hAnsi="Times New Roman"/>
          <w:sz w:val="24"/>
          <w:szCs w:val="24"/>
        </w:rPr>
        <w:t xml:space="preserve"> </w:t>
      </w:r>
      <w:r w:rsidRPr="00DA74F4">
        <w:rPr>
          <w:rFonts w:ascii="Times New Roman" w:hAnsi="Times New Roman"/>
          <w:sz w:val="24"/>
          <w:szCs w:val="24"/>
        </w:rPr>
        <w:t>U.S.194</w:t>
      </w:r>
      <w:r>
        <w:rPr>
          <w:rFonts w:ascii="Times New Roman" w:hAnsi="Times New Roman"/>
          <w:sz w:val="24"/>
          <w:szCs w:val="24"/>
        </w:rPr>
        <w:t xml:space="preserve"> </w:t>
      </w:r>
      <w:r w:rsidRPr="00DA74F4">
        <w:rPr>
          <w:rFonts w:ascii="Times New Roman" w:hAnsi="Times New Roman"/>
          <w:sz w:val="24"/>
          <w:szCs w:val="24"/>
        </w:rPr>
        <w:t>(2001).</w:t>
      </w:r>
      <w:r>
        <w:rPr>
          <w:rFonts w:ascii="Times New Roman" w:hAnsi="Times New Roman"/>
          <w:sz w:val="24"/>
          <w:szCs w:val="24"/>
        </w:rPr>
        <w:t xml:space="preserve"> I</w:t>
      </w:r>
      <w:r w:rsidRPr="00DA74F4">
        <w:rPr>
          <w:rFonts w:ascii="Times New Roman" w:hAnsi="Times New Roman"/>
          <w:sz w:val="24"/>
          <w:szCs w:val="24"/>
        </w:rPr>
        <w:t>n</w:t>
      </w:r>
      <w:r>
        <w:rPr>
          <w:rFonts w:ascii="Times New Roman" w:hAnsi="Times New Roman"/>
          <w:sz w:val="24"/>
          <w:szCs w:val="24"/>
        </w:rPr>
        <w:t xml:space="preserve"> </w:t>
      </w:r>
      <w:r w:rsidRPr="00DA74F4">
        <w:rPr>
          <w:rFonts w:ascii="Times New Roman" w:hAnsi="Times New Roman"/>
          <w:sz w:val="24"/>
          <w:szCs w:val="24"/>
        </w:rPr>
        <w:t>Wilson,</w:t>
      </w:r>
      <w:r>
        <w:rPr>
          <w:rFonts w:ascii="Times New Roman" w:hAnsi="Times New Roman"/>
          <w:sz w:val="24"/>
          <w:szCs w:val="24"/>
        </w:rPr>
        <w:t xml:space="preserve"> </w:t>
      </w:r>
      <w:r w:rsidRPr="00DA74F4">
        <w:rPr>
          <w:rFonts w:ascii="Times New Roman" w:hAnsi="Times New Roman"/>
          <w:sz w:val="24"/>
          <w:szCs w:val="24"/>
        </w:rPr>
        <w:t>after</w:t>
      </w:r>
      <w:r>
        <w:rPr>
          <w:rFonts w:ascii="Times New Roman" w:hAnsi="Times New Roman"/>
          <w:sz w:val="24"/>
          <w:szCs w:val="24"/>
        </w:rPr>
        <w:t xml:space="preserve"> </w:t>
      </w:r>
      <w:r w:rsidRPr="00DA74F4">
        <w:rPr>
          <w:rFonts w:ascii="Times New Roman" w:hAnsi="Times New Roman"/>
          <w:sz w:val="24"/>
          <w:szCs w:val="24"/>
        </w:rPr>
        <w:t>a</w:t>
      </w:r>
      <w:r>
        <w:rPr>
          <w:rFonts w:ascii="Times New Roman" w:hAnsi="Times New Roman"/>
          <w:sz w:val="24"/>
          <w:szCs w:val="24"/>
        </w:rPr>
        <w:t xml:space="preserve"> </w:t>
      </w:r>
      <w:r w:rsidRPr="00DA74F4">
        <w:rPr>
          <w:rFonts w:ascii="Times New Roman" w:hAnsi="Times New Roman"/>
          <w:sz w:val="24"/>
          <w:szCs w:val="24"/>
        </w:rPr>
        <w:t>police</w:t>
      </w:r>
      <w:r>
        <w:rPr>
          <w:rFonts w:ascii="Times New Roman" w:hAnsi="Times New Roman"/>
          <w:sz w:val="24"/>
          <w:szCs w:val="24"/>
        </w:rPr>
        <w:t xml:space="preserve"> </w:t>
      </w:r>
      <w:r w:rsidRPr="00DA74F4">
        <w:rPr>
          <w:rFonts w:ascii="Times New Roman" w:hAnsi="Times New Roman"/>
          <w:sz w:val="24"/>
          <w:szCs w:val="24"/>
        </w:rPr>
        <w:t>officer</w:t>
      </w:r>
      <w:r>
        <w:rPr>
          <w:rFonts w:ascii="Times New Roman" w:hAnsi="Times New Roman"/>
          <w:sz w:val="24"/>
          <w:szCs w:val="24"/>
        </w:rPr>
        <w:t xml:space="preserve"> </w:t>
      </w:r>
      <w:r w:rsidRPr="00DA74F4">
        <w:rPr>
          <w:rFonts w:ascii="Times New Roman" w:hAnsi="Times New Roman"/>
          <w:sz w:val="24"/>
          <w:szCs w:val="24"/>
        </w:rPr>
        <w:t>shot</w:t>
      </w:r>
      <w:r>
        <w:rPr>
          <w:rFonts w:ascii="Times New Roman" w:hAnsi="Times New Roman"/>
          <w:sz w:val="24"/>
          <w:szCs w:val="24"/>
        </w:rPr>
        <w:t xml:space="preserve"> </w:t>
      </w:r>
      <w:r w:rsidRPr="00DA74F4">
        <w:rPr>
          <w:rFonts w:ascii="Times New Roman" w:hAnsi="Times New Roman"/>
          <w:sz w:val="24"/>
          <w:szCs w:val="24"/>
        </w:rPr>
        <w:t>a</w:t>
      </w:r>
      <w:r>
        <w:rPr>
          <w:rFonts w:ascii="Times New Roman" w:hAnsi="Times New Roman"/>
          <w:sz w:val="24"/>
          <w:szCs w:val="24"/>
        </w:rPr>
        <w:t xml:space="preserve"> </w:t>
      </w:r>
      <w:r w:rsidRPr="00DA74F4">
        <w:rPr>
          <w:rFonts w:ascii="Times New Roman" w:hAnsi="Times New Roman"/>
          <w:sz w:val="24"/>
          <w:szCs w:val="24"/>
        </w:rPr>
        <w:t>man</w:t>
      </w:r>
      <w:r>
        <w:rPr>
          <w:rFonts w:ascii="Times New Roman" w:hAnsi="Times New Roman"/>
          <w:sz w:val="24"/>
          <w:szCs w:val="24"/>
        </w:rPr>
        <w:t xml:space="preserve"> </w:t>
      </w:r>
      <w:r w:rsidRPr="00DA74F4">
        <w:rPr>
          <w:rFonts w:ascii="Times New Roman" w:hAnsi="Times New Roman"/>
          <w:sz w:val="24"/>
          <w:szCs w:val="24"/>
        </w:rPr>
        <w:t>holding</w:t>
      </w:r>
      <w:r>
        <w:rPr>
          <w:rFonts w:ascii="Times New Roman" w:hAnsi="Times New Roman"/>
          <w:sz w:val="24"/>
          <w:szCs w:val="24"/>
        </w:rPr>
        <w:t xml:space="preserve"> </w:t>
      </w:r>
      <w:r w:rsidRPr="00DA74F4">
        <w:rPr>
          <w:rFonts w:ascii="Times New Roman" w:hAnsi="Times New Roman"/>
          <w:sz w:val="24"/>
          <w:szCs w:val="24"/>
        </w:rPr>
        <w:t>a</w:t>
      </w:r>
      <w:r>
        <w:rPr>
          <w:rFonts w:ascii="Times New Roman" w:hAnsi="Times New Roman"/>
          <w:sz w:val="24"/>
          <w:szCs w:val="24"/>
        </w:rPr>
        <w:t xml:space="preserve"> </w:t>
      </w:r>
      <w:r w:rsidRPr="00DA74F4">
        <w:rPr>
          <w:rFonts w:ascii="Times New Roman" w:hAnsi="Times New Roman"/>
          <w:sz w:val="24"/>
          <w:szCs w:val="24"/>
        </w:rPr>
        <w:t>gun,</w:t>
      </w:r>
      <w:r>
        <w:rPr>
          <w:rFonts w:ascii="Times New Roman" w:hAnsi="Times New Roman"/>
          <w:sz w:val="24"/>
          <w:szCs w:val="24"/>
        </w:rPr>
        <w:t xml:space="preserve"> </w:t>
      </w:r>
      <w:r w:rsidRPr="00DA74F4">
        <w:rPr>
          <w:rFonts w:ascii="Times New Roman" w:hAnsi="Times New Roman"/>
          <w:sz w:val="24"/>
          <w:szCs w:val="24"/>
        </w:rPr>
        <w:t>other</w:t>
      </w:r>
      <w:r>
        <w:rPr>
          <w:rFonts w:ascii="Times New Roman" w:hAnsi="Times New Roman"/>
          <w:sz w:val="24"/>
          <w:szCs w:val="24"/>
        </w:rPr>
        <w:t xml:space="preserve"> </w:t>
      </w:r>
      <w:r w:rsidRPr="00DA74F4">
        <w:rPr>
          <w:rFonts w:ascii="Times New Roman" w:hAnsi="Times New Roman"/>
          <w:sz w:val="24"/>
          <w:szCs w:val="24"/>
        </w:rPr>
        <w:t>officers</w:t>
      </w:r>
      <w:r>
        <w:rPr>
          <w:rFonts w:ascii="Times New Roman" w:hAnsi="Times New Roman"/>
          <w:sz w:val="24"/>
          <w:szCs w:val="24"/>
        </w:rPr>
        <w:t xml:space="preserve"> </w:t>
      </w:r>
      <w:r w:rsidRPr="00DA74F4">
        <w:rPr>
          <w:rFonts w:ascii="Times New Roman" w:hAnsi="Times New Roman"/>
          <w:sz w:val="24"/>
          <w:szCs w:val="24"/>
        </w:rPr>
        <w:t>handcuffed</w:t>
      </w:r>
      <w:r>
        <w:rPr>
          <w:rFonts w:ascii="Times New Roman" w:hAnsi="Times New Roman"/>
          <w:sz w:val="24"/>
          <w:szCs w:val="24"/>
        </w:rPr>
        <w:t xml:space="preserve"> </w:t>
      </w:r>
      <w:r w:rsidRPr="00DA74F4">
        <w:rPr>
          <w:rFonts w:ascii="Times New Roman" w:hAnsi="Times New Roman"/>
          <w:sz w:val="24"/>
          <w:szCs w:val="24"/>
        </w:rPr>
        <w:t>the</w:t>
      </w:r>
      <w:r>
        <w:rPr>
          <w:rFonts w:ascii="Times New Roman" w:hAnsi="Times New Roman"/>
          <w:sz w:val="24"/>
          <w:szCs w:val="24"/>
        </w:rPr>
        <w:t xml:space="preserve"> </w:t>
      </w:r>
      <w:r w:rsidRPr="00DA74F4">
        <w:rPr>
          <w:rFonts w:ascii="Times New Roman" w:hAnsi="Times New Roman"/>
          <w:sz w:val="24"/>
          <w:szCs w:val="24"/>
        </w:rPr>
        <w:t>victim</w:t>
      </w:r>
      <w:r>
        <w:rPr>
          <w:rFonts w:ascii="Times New Roman" w:hAnsi="Times New Roman"/>
          <w:sz w:val="24"/>
          <w:szCs w:val="24"/>
        </w:rPr>
        <w:t xml:space="preserve"> </w:t>
      </w:r>
      <w:r w:rsidRPr="00DA74F4">
        <w:rPr>
          <w:rFonts w:ascii="Times New Roman" w:hAnsi="Times New Roman"/>
          <w:sz w:val="24"/>
          <w:szCs w:val="24"/>
        </w:rPr>
        <w:t>before</w:t>
      </w:r>
      <w:r>
        <w:rPr>
          <w:rFonts w:ascii="Times New Roman" w:hAnsi="Times New Roman"/>
          <w:sz w:val="24"/>
          <w:szCs w:val="24"/>
        </w:rPr>
        <w:t xml:space="preserve"> </w:t>
      </w:r>
      <w:r w:rsidRPr="00DA74F4">
        <w:rPr>
          <w:rFonts w:ascii="Times New Roman" w:hAnsi="Times New Roman"/>
          <w:sz w:val="24"/>
          <w:szCs w:val="24"/>
        </w:rPr>
        <w:t>medical</w:t>
      </w:r>
      <w:r>
        <w:rPr>
          <w:rFonts w:ascii="Times New Roman" w:hAnsi="Times New Roman"/>
          <w:sz w:val="24"/>
          <w:szCs w:val="24"/>
        </w:rPr>
        <w:t xml:space="preserve"> </w:t>
      </w:r>
      <w:r w:rsidRPr="00DA74F4">
        <w:rPr>
          <w:rFonts w:ascii="Times New Roman" w:hAnsi="Times New Roman"/>
          <w:sz w:val="24"/>
          <w:szCs w:val="24"/>
        </w:rPr>
        <w:t>help</w:t>
      </w:r>
      <w:r>
        <w:rPr>
          <w:rFonts w:ascii="Times New Roman" w:hAnsi="Times New Roman"/>
          <w:sz w:val="24"/>
          <w:szCs w:val="24"/>
        </w:rPr>
        <w:t xml:space="preserve"> </w:t>
      </w:r>
      <w:r w:rsidRPr="00DA74F4">
        <w:rPr>
          <w:rFonts w:ascii="Times New Roman" w:hAnsi="Times New Roman"/>
          <w:sz w:val="24"/>
          <w:szCs w:val="24"/>
        </w:rPr>
        <w:t>arrived.</w:t>
      </w:r>
      <w:r>
        <w:rPr>
          <w:rFonts w:ascii="Times New Roman" w:hAnsi="Times New Roman"/>
          <w:sz w:val="24"/>
          <w:szCs w:val="24"/>
        </w:rPr>
        <w:t xml:space="preserve"> </w:t>
      </w:r>
      <w:r w:rsidRPr="00DA74F4">
        <w:rPr>
          <w:rFonts w:ascii="Times New Roman" w:hAnsi="Times New Roman"/>
          <w:sz w:val="24"/>
          <w:szCs w:val="24"/>
        </w:rPr>
        <w:t>Id.</w:t>
      </w:r>
      <w:r>
        <w:rPr>
          <w:rFonts w:ascii="Times New Roman" w:hAnsi="Times New Roman"/>
          <w:sz w:val="24"/>
          <w:szCs w:val="24"/>
        </w:rPr>
        <w:t xml:space="preserve"> </w:t>
      </w:r>
      <w:r w:rsidRPr="00DA74F4">
        <w:rPr>
          <w:rFonts w:ascii="Times New Roman" w:hAnsi="Times New Roman"/>
          <w:sz w:val="24"/>
          <w:szCs w:val="24"/>
        </w:rPr>
        <w:t>The</w:t>
      </w:r>
      <w:r>
        <w:rPr>
          <w:rFonts w:ascii="Times New Roman" w:hAnsi="Times New Roman"/>
          <w:sz w:val="24"/>
          <w:szCs w:val="24"/>
        </w:rPr>
        <w:t xml:space="preserve"> </w:t>
      </w:r>
      <w:r w:rsidRPr="00DA74F4">
        <w:rPr>
          <w:rFonts w:ascii="Times New Roman" w:hAnsi="Times New Roman"/>
          <w:sz w:val="24"/>
          <w:szCs w:val="24"/>
        </w:rPr>
        <w:t>officers</w:t>
      </w:r>
      <w:r>
        <w:rPr>
          <w:rFonts w:ascii="Times New Roman" w:hAnsi="Times New Roman"/>
          <w:sz w:val="24"/>
          <w:szCs w:val="24"/>
        </w:rPr>
        <w:t xml:space="preserve"> </w:t>
      </w:r>
      <w:r w:rsidRPr="00DA74F4">
        <w:rPr>
          <w:rFonts w:ascii="Times New Roman" w:hAnsi="Times New Roman"/>
          <w:sz w:val="24"/>
          <w:szCs w:val="24"/>
        </w:rPr>
        <w:t>did</w:t>
      </w:r>
      <w:r>
        <w:rPr>
          <w:rFonts w:ascii="Times New Roman" w:hAnsi="Times New Roman"/>
          <w:sz w:val="24"/>
          <w:szCs w:val="24"/>
        </w:rPr>
        <w:t xml:space="preserve"> </w:t>
      </w:r>
      <w:r w:rsidRPr="00DA74F4">
        <w:rPr>
          <w:rFonts w:ascii="Times New Roman" w:hAnsi="Times New Roman"/>
          <w:sz w:val="24"/>
          <w:szCs w:val="24"/>
        </w:rPr>
        <w:t>not</w:t>
      </w:r>
      <w:r>
        <w:rPr>
          <w:rFonts w:ascii="Times New Roman" w:hAnsi="Times New Roman"/>
          <w:sz w:val="24"/>
          <w:szCs w:val="24"/>
        </w:rPr>
        <w:t xml:space="preserve"> </w:t>
      </w:r>
      <w:r w:rsidRPr="00DA74F4">
        <w:rPr>
          <w:rFonts w:ascii="Times New Roman" w:hAnsi="Times New Roman"/>
          <w:sz w:val="24"/>
          <w:szCs w:val="24"/>
        </w:rPr>
        <w:t>provide</w:t>
      </w:r>
      <w:r>
        <w:rPr>
          <w:rFonts w:ascii="Times New Roman" w:hAnsi="Times New Roman"/>
          <w:sz w:val="24"/>
          <w:szCs w:val="24"/>
        </w:rPr>
        <w:t xml:space="preserve"> </w:t>
      </w:r>
      <w:r w:rsidRPr="00DA74F4">
        <w:rPr>
          <w:rFonts w:ascii="Times New Roman" w:hAnsi="Times New Roman"/>
          <w:sz w:val="24"/>
          <w:szCs w:val="24"/>
        </w:rPr>
        <w:t>medical</w:t>
      </w:r>
      <w:r>
        <w:rPr>
          <w:rFonts w:ascii="Times New Roman" w:hAnsi="Times New Roman"/>
          <w:sz w:val="24"/>
          <w:szCs w:val="24"/>
        </w:rPr>
        <w:t xml:space="preserve"> </w:t>
      </w:r>
      <w:r w:rsidRPr="00DA74F4">
        <w:rPr>
          <w:rFonts w:ascii="Times New Roman" w:hAnsi="Times New Roman"/>
          <w:sz w:val="24"/>
          <w:szCs w:val="24"/>
        </w:rPr>
        <w:t>care</w:t>
      </w:r>
      <w:r>
        <w:rPr>
          <w:rFonts w:ascii="Times New Roman" w:hAnsi="Times New Roman"/>
          <w:sz w:val="24"/>
          <w:szCs w:val="24"/>
        </w:rPr>
        <w:t xml:space="preserve"> </w:t>
      </w:r>
      <w:r w:rsidRPr="00DA74F4">
        <w:rPr>
          <w:rFonts w:ascii="Times New Roman" w:hAnsi="Times New Roman"/>
          <w:sz w:val="24"/>
          <w:szCs w:val="24"/>
        </w:rPr>
        <w:t>or</w:t>
      </w:r>
      <w:r>
        <w:rPr>
          <w:rFonts w:ascii="Times New Roman" w:hAnsi="Times New Roman"/>
          <w:sz w:val="24"/>
          <w:szCs w:val="24"/>
        </w:rPr>
        <w:t xml:space="preserve"> </w:t>
      </w:r>
      <w:r w:rsidRPr="00DA74F4">
        <w:rPr>
          <w:rFonts w:ascii="Times New Roman" w:hAnsi="Times New Roman"/>
          <w:sz w:val="24"/>
          <w:szCs w:val="24"/>
        </w:rPr>
        <w:t>first</w:t>
      </w:r>
      <w:r>
        <w:rPr>
          <w:rFonts w:ascii="Times New Roman" w:hAnsi="Times New Roman"/>
          <w:sz w:val="24"/>
          <w:szCs w:val="24"/>
        </w:rPr>
        <w:t xml:space="preserve"> </w:t>
      </w:r>
      <w:r w:rsidRPr="00DA74F4">
        <w:rPr>
          <w:rFonts w:ascii="Times New Roman" w:hAnsi="Times New Roman"/>
          <w:sz w:val="24"/>
          <w:szCs w:val="24"/>
        </w:rPr>
        <w:t>aid</w:t>
      </w:r>
      <w:r>
        <w:rPr>
          <w:rFonts w:ascii="Times New Roman" w:hAnsi="Times New Roman"/>
          <w:sz w:val="24"/>
          <w:szCs w:val="24"/>
        </w:rPr>
        <w:t xml:space="preserve"> </w:t>
      </w:r>
      <w:r w:rsidRPr="00DA74F4">
        <w:rPr>
          <w:rFonts w:ascii="Times New Roman" w:hAnsi="Times New Roman"/>
          <w:sz w:val="24"/>
          <w:szCs w:val="24"/>
        </w:rPr>
        <w:t>before</w:t>
      </w:r>
      <w:r>
        <w:rPr>
          <w:rFonts w:ascii="Times New Roman" w:hAnsi="Times New Roman"/>
          <w:sz w:val="24"/>
          <w:szCs w:val="24"/>
        </w:rPr>
        <w:t xml:space="preserve"> </w:t>
      </w:r>
      <w:r w:rsidRPr="00DA74F4">
        <w:rPr>
          <w:rFonts w:ascii="Times New Roman" w:hAnsi="Times New Roman"/>
          <w:sz w:val="24"/>
          <w:szCs w:val="24"/>
        </w:rPr>
        <w:t>EMS</w:t>
      </w:r>
      <w:r>
        <w:rPr>
          <w:rFonts w:ascii="Times New Roman" w:hAnsi="Times New Roman"/>
          <w:sz w:val="24"/>
          <w:szCs w:val="24"/>
        </w:rPr>
        <w:t xml:space="preserve"> </w:t>
      </w:r>
      <w:r w:rsidRPr="00DA74F4">
        <w:rPr>
          <w:rFonts w:ascii="Times New Roman" w:hAnsi="Times New Roman"/>
          <w:sz w:val="24"/>
          <w:szCs w:val="24"/>
        </w:rPr>
        <w:t>arrived.</w:t>
      </w:r>
      <w:r>
        <w:rPr>
          <w:rFonts w:ascii="Times New Roman" w:hAnsi="Times New Roman"/>
          <w:sz w:val="24"/>
          <w:szCs w:val="24"/>
        </w:rPr>
        <w:t xml:space="preserve"> </w:t>
      </w:r>
      <w:r w:rsidRPr="00DA74F4">
        <w:rPr>
          <w:rFonts w:ascii="Times New Roman" w:hAnsi="Times New Roman"/>
          <w:sz w:val="24"/>
          <w:szCs w:val="24"/>
        </w:rPr>
        <w:t>Id.</w:t>
      </w:r>
      <w:r>
        <w:rPr>
          <w:rFonts w:ascii="Times New Roman" w:hAnsi="Times New Roman"/>
          <w:sz w:val="24"/>
          <w:szCs w:val="24"/>
        </w:rPr>
        <w:t xml:space="preserve"> </w:t>
      </w:r>
      <w:r w:rsidRPr="00DA74F4">
        <w:rPr>
          <w:rFonts w:ascii="Times New Roman" w:hAnsi="Times New Roman"/>
          <w:sz w:val="24"/>
          <w:szCs w:val="24"/>
        </w:rPr>
        <w:t>The</w:t>
      </w:r>
      <w:r>
        <w:rPr>
          <w:rFonts w:ascii="Times New Roman" w:hAnsi="Times New Roman"/>
          <w:sz w:val="24"/>
          <w:szCs w:val="24"/>
        </w:rPr>
        <w:t xml:space="preserve"> </w:t>
      </w:r>
      <w:r w:rsidRPr="00DA74F4">
        <w:rPr>
          <w:rFonts w:ascii="Times New Roman" w:hAnsi="Times New Roman"/>
          <w:sz w:val="24"/>
          <w:szCs w:val="24"/>
        </w:rPr>
        <w:t>victim’s</w:t>
      </w:r>
      <w:r>
        <w:rPr>
          <w:rFonts w:ascii="Times New Roman" w:hAnsi="Times New Roman"/>
          <w:sz w:val="24"/>
          <w:szCs w:val="24"/>
        </w:rPr>
        <w:t xml:space="preserve"> </w:t>
      </w:r>
      <w:r w:rsidRPr="00DA74F4">
        <w:rPr>
          <w:rFonts w:ascii="Times New Roman" w:hAnsi="Times New Roman"/>
          <w:sz w:val="24"/>
          <w:szCs w:val="24"/>
        </w:rPr>
        <w:t>estate</w:t>
      </w:r>
      <w:r>
        <w:rPr>
          <w:rFonts w:ascii="Times New Roman" w:hAnsi="Times New Roman"/>
          <w:sz w:val="24"/>
          <w:szCs w:val="24"/>
        </w:rPr>
        <w:t xml:space="preserve"> </w:t>
      </w:r>
      <w:r w:rsidRPr="00DA74F4">
        <w:rPr>
          <w:rFonts w:ascii="Times New Roman" w:hAnsi="Times New Roman"/>
          <w:sz w:val="24"/>
          <w:szCs w:val="24"/>
        </w:rPr>
        <w:t>alleged</w:t>
      </w:r>
      <w:r>
        <w:rPr>
          <w:rFonts w:ascii="Times New Roman" w:hAnsi="Times New Roman"/>
          <w:sz w:val="24"/>
          <w:szCs w:val="24"/>
        </w:rPr>
        <w:t xml:space="preserve"> </w:t>
      </w:r>
      <w:r w:rsidRPr="00DA74F4">
        <w:rPr>
          <w:rFonts w:ascii="Times New Roman" w:hAnsi="Times New Roman"/>
          <w:sz w:val="24"/>
          <w:szCs w:val="24"/>
        </w:rPr>
        <w:t>the</w:t>
      </w:r>
      <w:r>
        <w:rPr>
          <w:rFonts w:ascii="Times New Roman" w:hAnsi="Times New Roman"/>
          <w:sz w:val="24"/>
          <w:szCs w:val="24"/>
        </w:rPr>
        <w:t xml:space="preserve"> </w:t>
      </w:r>
      <w:r w:rsidRPr="00DA74F4">
        <w:rPr>
          <w:rFonts w:ascii="Times New Roman" w:hAnsi="Times New Roman"/>
          <w:sz w:val="24"/>
          <w:szCs w:val="24"/>
        </w:rPr>
        <w:t>officers</w:t>
      </w:r>
      <w:r>
        <w:rPr>
          <w:rFonts w:ascii="Times New Roman" w:hAnsi="Times New Roman"/>
          <w:sz w:val="24"/>
          <w:szCs w:val="24"/>
        </w:rPr>
        <w:t xml:space="preserve"> </w:t>
      </w:r>
      <w:r w:rsidRPr="00DA74F4">
        <w:rPr>
          <w:rFonts w:ascii="Times New Roman" w:hAnsi="Times New Roman"/>
          <w:sz w:val="24"/>
          <w:szCs w:val="24"/>
        </w:rPr>
        <w:t>interfered</w:t>
      </w:r>
      <w:r>
        <w:rPr>
          <w:rFonts w:ascii="Times New Roman" w:hAnsi="Times New Roman"/>
          <w:sz w:val="24"/>
          <w:szCs w:val="24"/>
        </w:rPr>
        <w:t xml:space="preserve"> </w:t>
      </w:r>
      <w:r w:rsidRPr="00DA74F4">
        <w:rPr>
          <w:rFonts w:ascii="Times New Roman" w:hAnsi="Times New Roman"/>
          <w:sz w:val="24"/>
          <w:szCs w:val="24"/>
        </w:rPr>
        <w:t>with</w:t>
      </w:r>
      <w:r>
        <w:rPr>
          <w:rFonts w:ascii="Times New Roman" w:hAnsi="Times New Roman"/>
          <w:sz w:val="24"/>
          <w:szCs w:val="24"/>
        </w:rPr>
        <w:t xml:space="preserve"> </w:t>
      </w:r>
      <w:r w:rsidRPr="00DA74F4">
        <w:rPr>
          <w:rFonts w:ascii="Times New Roman" w:hAnsi="Times New Roman"/>
          <w:sz w:val="24"/>
          <w:szCs w:val="24"/>
        </w:rPr>
        <w:t>EMS</w:t>
      </w:r>
      <w:r>
        <w:rPr>
          <w:rFonts w:ascii="Times New Roman" w:hAnsi="Times New Roman"/>
          <w:sz w:val="24"/>
          <w:szCs w:val="24"/>
        </w:rPr>
        <w:t xml:space="preserve"> </w:t>
      </w:r>
      <w:r w:rsidRPr="00DA74F4">
        <w:rPr>
          <w:rFonts w:ascii="Times New Roman" w:hAnsi="Times New Roman"/>
          <w:sz w:val="24"/>
          <w:szCs w:val="24"/>
        </w:rPr>
        <w:t>by</w:t>
      </w:r>
      <w:r>
        <w:rPr>
          <w:rFonts w:ascii="Times New Roman" w:hAnsi="Times New Roman"/>
          <w:sz w:val="24"/>
          <w:szCs w:val="24"/>
        </w:rPr>
        <w:t xml:space="preserve"> </w:t>
      </w:r>
      <w:r w:rsidRPr="00DA74F4">
        <w:rPr>
          <w:rFonts w:ascii="Times New Roman" w:hAnsi="Times New Roman"/>
          <w:sz w:val="24"/>
          <w:szCs w:val="24"/>
        </w:rPr>
        <w:t>refusing</w:t>
      </w:r>
      <w:r>
        <w:rPr>
          <w:rFonts w:ascii="Times New Roman" w:hAnsi="Times New Roman"/>
          <w:sz w:val="24"/>
          <w:szCs w:val="24"/>
        </w:rPr>
        <w:t xml:space="preserve"> </w:t>
      </w:r>
      <w:r w:rsidRPr="00DA74F4">
        <w:rPr>
          <w:rFonts w:ascii="Times New Roman" w:hAnsi="Times New Roman"/>
          <w:sz w:val="24"/>
          <w:szCs w:val="24"/>
        </w:rPr>
        <w:t>to</w:t>
      </w:r>
      <w:r>
        <w:rPr>
          <w:rFonts w:ascii="Times New Roman" w:hAnsi="Times New Roman"/>
          <w:sz w:val="24"/>
          <w:szCs w:val="24"/>
        </w:rPr>
        <w:t xml:space="preserve"> </w:t>
      </w:r>
      <w:r w:rsidRPr="00DA74F4">
        <w:rPr>
          <w:rFonts w:ascii="Times New Roman" w:hAnsi="Times New Roman"/>
          <w:sz w:val="24"/>
          <w:szCs w:val="24"/>
        </w:rPr>
        <w:t>remove</w:t>
      </w:r>
      <w:r>
        <w:rPr>
          <w:rFonts w:ascii="Times New Roman" w:hAnsi="Times New Roman"/>
          <w:sz w:val="24"/>
          <w:szCs w:val="24"/>
        </w:rPr>
        <w:t xml:space="preserve"> </w:t>
      </w:r>
      <w:r w:rsidRPr="00DA74F4">
        <w:rPr>
          <w:rFonts w:ascii="Times New Roman" w:hAnsi="Times New Roman"/>
          <w:sz w:val="24"/>
          <w:szCs w:val="24"/>
        </w:rPr>
        <w:t>the</w:t>
      </w:r>
      <w:r>
        <w:rPr>
          <w:rFonts w:ascii="Times New Roman" w:hAnsi="Times New Roman"/>
          <w:sz w:val="24"/>
          <w:szCs w:val="24"/>
        </w:rPr>
        <w:t xml:space="preserve"> </w:t>
      </w:r>
      <w:r w:rsidRPr="00DA74F4">
        <w:rPr>
          <w:rFonts w:ascii="Times New Roman" w:hAnsi="Times New Roman"/>
          <w:sz w:val="24"/>
          <w:szCs w:val="24"/>
        </w:rPr>
        <w:t>handcuffs</w:t>
      </w:r>
      <w:r>
        <w:rPr>
          <w:rFonts w:ascii="Times New Roman" w:hAnsi="Times New Roman"/>
          <w:sz w:val="24"/>
          <w:szCs w:val="24"/>
        </w:rPr>
        <w:t xml:space="preserve"> </w:t>
      </w:r>
      <w:r w:rsidRPr="00DA74F4">
        <w:rPr>
          <w:rFonts w:ascii="Times New Roman" w:hAnsi="Times New Roman"/>
          <w:sz w:val="24"/>
          <w:szCs w:val="24"/>
        </w:rPr>
        <w:t>upon</w:t>
      </w:r>
      <w:r>
        <w:rPr>
          <w:rFonts w:ascii="Times New Roman" w:hAnsi="Times New Roman"/>
          <w:sz w:val="24"/>
          <w:szCs w:val="24"/>
        </w:rPr>
        <w:t xml:space="preserve"> </w:t>
      </w:r>
      <w:proofErr w:type="spellStart"/>
      <w:r w:rsidRPr="00DA74F4">
        <w:rPr>
          <w:rFonts w:ascii="Times New Roman" w:hAnsi="Times New Roman"/>
          <w:sz w:val="24"/>
          <w:szCs w:val="24"/>
        </w:rPr>
        <w:t>request.Id</w:t>
      </w:r>
      <w:proofErr w:type="spellEnd"/>
      <w:r w:rsidRPr="00DA74F4">
        <w:rPr>
          <w:rFonts w:ascii="Times New Roman" w:hAnsi="Times New Roman"/>
          <w:sz w:val="24"/>
          <w:szCs w:val="24"/>
        </w:rPr>
        <w:t>.</w:t>
      </w:r>
      <w:r>
        <w:rPr>
          <w:rFonts w:ascii="Times New Roman" w:hAnsi="Times New Roman"/>
          <w:sz w:val="24"/>
          <w:szCs w:val="24"/>
        </w:rPr>
        <w:t xml:space="preserve"> </w:t>
      </w:r>
      <w:r w:rsidRPr="00DA74F4">
        <w:rPr>
          <w:rFonts w:ascii="Times New Roman" w:hAnsi="Times New Roman"/>
          <w:sz w:val="24"/>
          <w:szCs w:val="24"/>
        </w:rPr>
        <w:t>This</w:t>
      </w:r>
      <w:r>
        <w:rPr>
          <w:rFonts w:ascii="Times New Roman" w:hAnsi="Times New Roman"/>
          <w:sz w:val="24"/>
          <w:szCs w:val="24"/>
        </w:rPr>
        <w:t xml:space="preserve"> </w:t>
      </w:r>
      <w:r w:rsidRPr="00DA74F4">
        <w:rPr>
          <w:rFonts w:ascii="Times New Roman" w:hAnsi="Times New Roman"/>
          <w:sz w:val="24"/>
          <w:szCs w:val="24"/>
        </w:rPr>
        <w:t>court,</w:t>
      </w:r>
      <w:r>
        <w:rPr>
          <w:rFonts w:ascii="Times New Roman" w:hAnsi="Times New Roman"/>
          <w:sz w:val="24"/>
          <w:szCs w:val="24"/>
        </w:rPr>
        <w:t xml:space="preserve"> </w:t>
      </w:r>
      <w:r w:rsidRPr="00DA74F4">
        <w:rPr>
          <w:rFonts w:ascii="Times New Roman" w:hAnsi="Times New Roman"/>
          <w:sz w:val="24"/>
          <w:szCs w:val="24"/>
        </w:rPr>
        <w:t>applying</w:t>
      </w:r>
      <w:r>
        <w:rPr>
          <w:rFonts w:ascii="Times New Roman" w:hAnsi="Times New Roman"/>
          <w:sz w:val="24"/>
          <w:szCs w:val="24"/>
        </w:rPr>
        <w:t xml:space="preserve"> </w:t>
      </w:r>
      <w:r w:rsidRPr="00DA74F4">
        <w:rPr>
          <w:rFonts w:ascii="Times New Roman" w:hAnsi="Times New Roman"/>
          <w:sz w:val="24"/>
          <w:szCs w:val="24"/>
        </w:rPr>
        <w:t>the</w:t>
      </w:r>
      <w:r>
        <w:rPr>
          <w:rFonts w:ascii="Times New Roman" w:hAnsi="Times New Roman"/>
          <w:sz w:val="24"/>
          <w:szCs w:val="24"/>
        </w:rPr>
        <w:t xml:space="preserve"> </w:t>
      </w:r>
      <w:r w:rsidRPr="00DA74F4">
        <w:rPr>
          <w:rFonts w:ascii="Times New Roman" w:hAnsi="Times New Roman"/>
          <w:sz w:val="24"/>
          <w:szCs w:val="24"/>
        </w:rPr>
        <w:t>Fourteenth</w:t>
      </w:r>
      <w:r>
        <w:rPr>
          <w:rFonts w:ascii="Times New Roman" w:hAnsi="Times New Roman"/>
          <w:sz w:val="24"/>
          <w:szCs w:val="24"/>
        </w:rPr>
        <w:t xml:space="preserve"> </w:t>
      </w:r>
      <w:r w:rsidRPr="00DA74F4">
        <w:rPr>
          <w:rFonts w:ascii="Times New Roman" w:hAnsi="Times New Roman"/>
          <w:sz w:val="24"/>
          <w:szCs w:val="24"/>
        </w:rPr>
        <w:t>Amendment</w:t>
      </w:r>
      <w:r>
        <w:rPr>
          <w:rFonts w:ascii="Times New Roman" w:hAnsi="Times New Roman"/>
          <w:sz w:val="24"/>
          <w:szCs w:val="24"/>
        </w:rPr>
        <w:t xml:space="preserve"> </w:t>
      </w:r>
      <w:r w:rsidRPr="00DA74F4">
        <w:rPr>
          <w:rFonts w:ascii="Times New Roman" w:hAnsi="Times New Roman"/>
          <w:sz w:val="24"/>
          <w:szCs w:val="24"/>
        </w:rPr>
        <w:t>deliberate</w:t>
      </w:r>
      <w:r>
        <w:rPr>
          <w:rFonts w:ascii="Times New Roman" w:hAnsi="Times New Roman"/>
          <w:sz w:val="24"/>
          <w:szCs w:val="24"/>
        </w:rPr>
        <w:t xml:space="preserve"> </w:t>
      </w:r>
      <w:r w:rsidRPr="00DA74F4">
        <w:rPr>
          <w:rFonts w:ascii="Times New Roman" w:hAnsi="Times New Roman"/>
          <w:sz w:val="24"/>
          <w:szCs w:val="24"/>
        </w:rPr>
        <w:t>indifference</w:t>
      </w:r>
      <w:r>
        <w:rPr>
          <w:rFonts w:ascii="Times New Roman" w:hAnsi="Times New Roman"/>
          <w:sz w:val="24"/>
          <w:szCs w:val="24"/>
        </w:rPr>
        <w:t xml:space="preserve"> </w:t>
      </w:r>
      <w:r w:rsidRPr="00DA74F4">
        <w:rPr>
          <w:rFonts w:ascii="Times New Roman" w:hAnsi="Times New Roman"/>
          <w:sz w:val="24"/>
          <w:szCs w:val="24"/>
        </w:rPr>
        <w:t>standard,</w:t>
      </w:r>
      <w:r>
        <w:rPr>
          <w:rFonts w:ascii="Times New Roman" w:hAnsi="Times New Roman"/>
          <w:sz w:val="24"/>
          <w:szCs w:val="24"/>
        </w:rPr>
        <w:t xml:space="preserve"> </w:t>
      </w:r>
      <w:r w:rsidRPr="00DA74F4">
        <w:rPr>
          <w:rFonts w:ascii="Times New Roman" w:hAnsi="Times New Roman"/>
          <w:sz w:val="24"/>
          <w:szCs w:val="24"/>
        </w:rPr>
        <w:t>held</w:t>
      </w:r>
      <w:r>
        <w:rPr>
          <w:rFonts w:ascii="Times New Roman" w:hAnsi="Times New Roman"/>
          <w:sz w:val="24"/>
          <w:szCs w:val="24"/>
        </w:rPr>
        <w:t xml:space="preserve"> </w:t>
      </w:r>
      <w:r w:rsidRPr="00DA74F4">
        <w:rPr>
          <w:rFonts w:ascii="Times New Roman" w:hAnsi="Times New Roman"/>
          <w:sz w:val="24"/>
          <w:szCs w:val="24"/>
        </w:rPr>
        <w:t>that</w:t>
      </w:r>
      <w:r>
        <w:rPr>
          <w:rFonts w:ascii="Times New Roman" w:hAnsi="Times New Roman"/>
          <w:sz w:val="24"/>
          <w:szCs w:val="24"/>
        </w:rPr>
        <w:t xml:space="preserve"> </w:t>
      </w:r>
      <w:r w:rsidRPr="00DA74F4">
        <w:rPr>
          <w:rFonts w:ascii="Times New Roman" w:hAnsi="Times New Roman"/>
          <w:sz w:val="24"/>
          <w:szCs w:val="24"/>
        </w:rPr>
        <w:t>neither</w:t>
      </w:r>
      <w:r>
        <w:rPr>
          <w:rFonts w:ascii="Times New Roman" w:hAnsi="Times New Roman"/>
          <w:sz w:val="24"/>
          <w:szCs w:val="24"/>
        </w:rPr>
        <w:t xml:space="preserve"> </w:t>
      </w:r>
      <w:r w:rsidRPr="00DA74F4">
        <w:rPr>
          <w:rFonts w:ascii="Times New Roman" w:hAnsi="Times New Roman"/>
          <w:sz w:val="24"/>
          <w:szCs w:val="24"/>
        </w:rPr>
        <w:t>the</w:t>
      </w:r>
      <w:r>
        <w:rPr>
          <w:rFonts w:ascii="Times New Roman" w:hAnsi="Times New Roman"/>
          <w:sz w:val="24"/>
          <w:szCs w:val="24"/>
        </w:rPr>
        <w:t xml:space="preserve"> </w:t>
      </w:r>
      <w:r w:rsidRPr="00DA74F4">
        <w:rPr>
          <w:rFonts w:ascii="Times New Roman" w:hAnsi="Times New Roman"/>
          <w:sz w:val="24"/>
          <w:szCs w:val="24"/>
        </w:rPr>
        <w:t>handcuffing</w:t>
      </w:r>
      <w:r>
        <w:rPr>
          <w:rFonts w:ascii="Times New Roman" w:hAnsi="Times New Roman"/>
          <w:sz w:val="24"/>
          <w:szCs w:val="24"/>
        </w:rPr>
        <w:t xml:space="preserve"> </w:t>
      </w:r>
      <w:r w:rsidRPr="00DA74F4">
        <w:rPr>
          <w:rFonts w:ascii="Times New Roman" w:hAnsi="Times New Roman"/>
          <w:sz w:val="24"/>
          <w:szCs w:val="24"/>
        </w:rPr>
        <w:t>nor</w:t>
      </w:r>
      <w:r>
        <w:rPr>
          <w:rFonts w:ascii="Times New Roman" w:hAnsi="Times New Roman"/>
          <w:sz w:val="24"/>
          <w:szCs w:val="24"/>
        </w:rPr>
        <w:t xml:space="preserve"> </w:t>
      </w:r>
      <w:r w:rsidRPr="00DA74F4">
        <w:rPr>
          <w:rFonts w:ascii="Times New Roman" w:hAnsi="Times New Roman"/>
          <w:sz w:val="24"/>
          <w:szCs w:val="24"/>
        </w:rPr>
        <w:t>the</w:t>
      </w:r>
      <w:r>
        <w:rPr>
          <w:rFonts w:ascii="Times New Roman" w:hAnsi="Times New Roman"/>
          <w:sz w:val="24"/>
          <w:szCs w:val="24"/>
        </w:rPr>
        <w:t xml:space="preserve"> </w:t>
      </w:r>
      <w:r w:rsidRPr="00DA74F4">
        <w:rPr>
          <w:rFonts w:ascii="Times New Roman" w:hAnsi="Times New Roman"/>
          <w:sz w:val="24"/>
          <w:szCs w:val="24"/>
        </w:rPr>
        <w:t>refusal</w:t>
      </w:r>
      <w:r>
        <w:rPr>
          <w:rFonts w:ascii="Times New Roman" w:hAnsi="Times New Roman"/>
          <w:sz w:val="24"/>
          <w:szCs w:val="24"/>
        </w:rPr>
        <w:t xml:space="preserve"> </w:t>
      </w:r>
      <w:r w:rsidRPr="00DA74F4">
        <w:rPr>
          <w:rFonts w:ascii="Times New Roman" w:hAnsi="Times New Roman"/>
          <w:sz w:val="24"/>
          <w:szCs w:val="24"/>
        </w:rPr>
        <w:t>to</w:t>
      </w:r>
      <w:r>
        <w:rPr>
          <w:rFonts w:ascii="Times New Roman" w:hAnsi="Times New Roman"/>
          <w:sz w:val="24"/>
          <w:szCs w:val="24"/>
        </w:rPr>
        <w:t xml:space="preserve"> </w:t>
      </w:r>
      <w:r w:rsidRPr="00DA74F4">
        <w:rPr>
          <w:rFonts w:ascii="Times New Roman" w:hAnsi="Times New Roman"/>
          <w:sz w:val="24"/>
          <w:szCs w:val="24"/>
        </w:rPr>
        <w:t>remove</w:t>
      </w:r>
      <w:r>
        <w:rPr>
          <w:rFonts w:ascii="Times New Roman" w:hAnsi="Times New Roman"/>
          <w:sz w:val="24"/>
          <w:szCs w:val="24"/>
        </w:rPr>
        <w:t xml:space="preserve"> </w:t>
      </w:r>
      <w:r w:rsidRPr="00DA74F4">
        <w:rPr>
          <w:rFonts w:ascii="Times New Roman" w:hAnsi="Times New Roman"/>
          <w:sz w:val="24"/>
          <w:szCs w:val="24"/>
        </w:rPr>
        <w:t>the</w:t>
      </w:r>
      <w:r>
        <w:rPr>
          <w:rFonts w:ascii="Times New Roman" w:hAnsi="Times New Roman"/>
          <w:sz w:val="24"/>
          <w:szCs w:val="24"/>
        </w:rPr>
        <w:t xml:space="preserve"> </w:t>
      </w:r>
      <w:r w:rsidRPr="00DA74F4">
        <w:rPr>
          <w:rFonts w:ascii="Times New Roman" w:hAnsi="Times New Roman"/>
          <w:sz w:val="24"/>
          <w:szCs w:val="24"/>
        </w:rPr>
        <w:t>handcuffs</w:t>
      </w:r>
      <w:r>
        <w:rPr>
          <w:rFonts w:ascii="Times New Roman" w:hAnsi="Times New Roman"/>
          <w:sz w:val="24"/>
          <w:szCs w:val="24"/>
        </w:rPr>
        <w:t xml:space="preserve"> </w:t>
      </w:r>
      <w:r w:rsidRPr="00DA74F4">
        <w:rPr>
          <w:rFonts w:ascii="Times New Roman" w:hAnsi="Times New Roman"/>
          <w:sz w:val="24"/>
          <w:szCs w:val="24"/>
        </w:rPr>
        <w:t>amounted</w:t>
      </w:r>
      <w:r>
        <w:rPr>
          <w:rFonts w:ascii="Times New Roman" w:hAnsi="Times New Roman"/>
          <w:sz w:val="24"/>
          <w:szCs w:val="24"/>
        </w:rPr>
        <w:t xml:space="preserve"> </w:t>
      </w:r>
      <w:r w:rsidRPr="00DA74F4">
        <w:rPr>
          <w:rFonts w:ascii="Times New Roman" w:hAnsi="Times New Roman"/>
          <w:sz w:val="24"/>
          <w:szCs w:val="24"/>
        </w:rPr>
        <w:t>to</w:t>
      </w:r>
      <w:r>
        <w:rPr>
          <w:rFonts w:ascii="Times New Roman" w:hAnsi="Times New Roman"/>
          <w:sz w:val="24"/>
          <w:szCs w:val="24"/>
        </w:rPr>
        <w:t xml:space="preserve"> </w:t>
      </w:r>
      <w:r w:rsidRPr="00DA74F4">
        <w:rPr>
          <w:rFonts w:ascii="Times New Roman" w:hAnsi="Times New Roman"/>
          <w:sz w:val="24"/>
          <w:szCs w:val="24"/>
        </w:rPr>
        <w:t>a</w:t>
      </w:r>
      <w:r>
        <w:rPr>
          <w:rFonts w:ascii="Times New Roman" w:hAnsi="Times New Roman"/>
          <w:sz w:val="24"/>
          <w:szCs w:val="24"/>
        </w:rPr>
        <w:t xml:space="preserve"> </w:t>
      </w:r>
      <w:r w:rsidRPr="00DA74F4">
        <w:rPr>
          <w:rFonts w:ascii="Times New Roman" w:hAnsi="Times New Roman"/>
          <w:sz w:val="24"/>
          <w:szCs w:val="24"/>
        </w:rPr>
        <w:t>constitutional</w:t>
      </w:r>
      <w:r>
        <w:rPr>
          <w:rFonts w:ascii="Times New Roman" w:hAnsi="Times New Roman"/>
          <w:sz w:val="24"/>
          <w:szCs w:val="24"/>
        </w:rPr>
        <w:t xml:space="preserve"> </w:t>
      </w:r>
      <w:r w:rsidRPr="00DA74F4">
        <w:rPr>
          <w:rFonts w:ascii="Times New Roman" w:hAnsi="Times New Roman"/>
          <w:sz w:val="24"/>
          <w:szCs w:val="24"/>
        </w:rPr>
        <w:t>violation.</w:t>
      </w:r>
      <w:r>
        <w:rPr>
          <w:rFonts w:ascii="Times New Roman" w:hAnsi="Times New Roman"/>
          <w:sz w:val="24"/>
          <w:szCs w:val="24"/>
        </w:rPr>
        <w:t xml:space="preserve"> </w:t>
      </w:r>
      <w:r w:rsidRPr="00DA74F4">
        <w:rPr>
          <w:rFonts w:ascii="Times New Roman" w:hAnsi="Times New Roman"/>
          <w:sz w:val="24"/>
          <w:szCs w:val="24"/>
        </w:rPr>
        <w:t>Id.</w:t>
      </w:r>
      <w:r>
        <w:rPr>
          <w:rFonts w:ascii="Times New Roman" w:hAnsi="Times New Roman"/>
          <w:sz w:val="24"/>
          <w:szCs w:val="24"/>
        </w:rPr>
        <w:t xml:space="preserve"> </w:t>
      </w:r>
      <w:r w:rsidRPr="00DA74F4">
        <w:rPr>
          <w:rFonts w:ascii="Times New Roman" w:hAnsi="Times New Roman"/>
          <w:sz w:val="24"/>
          <w:szCs w:val="24"/>
        </w:rPr>
        <w:t>Further,</w:t>
      </w:r>
      <w:r>
        <w:rPr>
          <w:rFonts w:ascii="Times New Roman" w:hAnsi="Times New Roman"/>
          <w:sz w:val="24"/>
          <w:szCs w:val="24"/>
        </w:rPr>
        <w:t xml:space="preserve"> </w:t>
      </w:r>
      <w:r w:rsidRPr="00DA74F4">
        <w:rPr>
          <w:rFonts w:ascii="Times New Roman" w:hAnsi="Times New Roman"/>
          <w:sz w:val="24"/>
          <w:szCs w:val="24"/>
        </w:rPr>
        <w:t>Wilson</w:t>
      </w:r>
      <w:r>
        <w:rPr>
          <w:rFonts w:ascii="Times New Roman" w:hAnsi="Times New Roman"/>
          <w:sz w:val="24"/>
          <w:szCs w:val="24"/>
        </w:rPr>
        <w:t xml:space="preserve"> </w:t>
      </w:r>
      <w:r w:rsidRPr="00DA74F4">
        <w:rPr>
          <w:rFonts w:ascii="Times New Roman" w:hAnsi="Times New Roman"/>
          <w:sz w:val="24"/>
          <w:szCs w:val="24"/>
        </w:rPr>
        <w:t>refused</w:t>
      </w:r>
      <w:r>
        <w:rPr>
          <w:rFonts w:ascii="Times New Roman" w:hAnsi="Times New Roman"/>
          <w:sz w:val="24"/>
          <w:szCs w:val="24"/>
        </w:rPr>
        <w:t xml:space="preserve"> </w:t>
      </w:r>
      <w:r w:rsidRPr="00DA74F4">
        <w:rPr>
          <w:rFonts w:ascii="Times New Roman" w:hAnsi="Times New Roman"/>
          <w:sz w:val="24"/>
          <w:szCs w:val="24"/>
        </w:rPr>
        <w:t>to</w:t>
      </w:r>
      <w:r>
        <w:rPr>
          <w:rFonts w:ascii="Times New Roman" w:hAnsi="Times New Roman"/>
          <w:sz w:val="24"/>
          <w:szCs w:val="24"/>
        </w:rPr>
        <w:t xml:space="preserve"> </w:t>
      </w:r>
      <w:r w:rsidRPr="00DA74F4">
        <w:rPr>
          <w:rFonts w:ascii="Times New Roman" w:hAnsi="Times New Roman"/>
          <w:sz w:val="24"/>
          <w:szCs w:val="24"/>
        </w:rPr>
        <w:t>hold</w:t>
      </w:r>
      <w:r>
        <w:rPr>
          <w:rFonts w:ascii="Times New Roman" w:hAnsi="Times New Roman"/>
          <w:sz w:val="24"/>
          <w:szCs w:val="24"/>
        </w:rPr>
        <w:t xml:space="preserve"> </w:t>
      </w:r>
      <w:r w:rsidRPr="00DA74F4">
        <w:rPr>
          <w:rFonts w:ascii="Times New Roman" w:hAnsi="Times New Roman"/>
          <w:sz w:val="24"/>
          <w:szCs w:val="24"/>
        </w:rPr>
        <w:t>that</w:t>
      </w:r>
      <w:r>
        <w:rPr>
          <w:rFonts w:ascii="Times New Roman" w:hAnsi="Times New Roman"/>
          <w:sz w:val="24"/>
          <w:szCs w:val="24"/>
        </w:rPr>
        <w:t xml:space="preserve"> </w:t>
      </w:r>
      <w:r w:rsidRPr="00DA74F4">
        <w:rPr>
          <w:rFonts w:ascii="Times New Roman" w:hAnsi="Times New Roman"/>
          <w:sz w:val="24"/>
          <w:szCs w:val="24"/>
        </w:rPr>
        <w:t>the</w:t>
      </w:r>
      <w:r>
        <w:rPr>
          <w:rFonts w:ascii="Times New Roman" w:hAnsi="Times New Roman"/>
          <w:sz w:val="24"/>
          <w:szCs w:val="24"/>
        </w:rPr>
        <w:t xml:space="preserve"> </w:t>
      </w:r>
      <w:r w:rsidRPr="00DA74F4">
        <w:rPr>
          <w:rFonts w:ascii="Times New Roman" w:hAnsi="Times New Roman"/>
          <w:sz w:val="24"/>
          <w:szCs w:val="24"/>
        </w:rPr>
        <w:t>Due</w:t>
      </w:r>
      <w:r>
        <w:rPr>
          <w:rFonts w:ascii="Times New Roman" w:hAnsi="Times New Roman"/>
          <w:sz w:val="24"/>
          <w:szCs w:val="24"/>
        </w:rPr>
        <w:t xml:space="preserve"> </w:t>
      </w:r>
      <w:r w:rsidRPr="00DA74F4">
        <w:rPr>
          <w:rFonts w:ascii="Times New Roman" w:hAnsi="Times New Roman"/>
          <w:sz w:val="24"/>
          <w:szCs w:val="24"/>
        </w:rPr>
        <w:t>Process</w:t>
      </w:r>
      <w:r>
        <w:rPr>
          <w:rFonts w:ascii="Times New Roman" w:hAnsi="Times New Roman"/>
          <w:sz w:val="24"/>
          <w:szCs w:val="24"/>
        </w:rPr>
        <w:t xml:space="preserve"> </w:t>
      </w:r>
      <w:r w:rsidRPr="00DA74F4">
        <w:rPr>
          <w:rFonts w:ascii="Times New Roman" w:hAnsi="Times New Roman"/>
          <w:sz w:val="24"/>
          <w:szCs w:val="24"/>
        </w:rPr>
        <w:t>Clause</w:t>
      </w:r>
      <w:r>
        <w:rPr>
          <w:rFonts w:ascii="Times New Roman" w:hAnsi="Times New Roman"/>
          <w:sz w:val="24"/>
          <w:szCs w:val="24"/>
        </w:rPr>
        <w:t xml:space="preserve"> </w:t>
      </w:r>
      <w:r w:rsidRPr="00DA74F4">
        <w:rPr>
          <w:rFonts w:ascii="Times New Roman" w:hAnsi="Times New Roman"/>
          <w:sz w:val="24"/>
          <w:szCs w:val="24"/>
        </w:rPr>
        <w:t>establishes</w:t>
      </w:r>
      <w:r>
        <w:rPr>
          <w:rFonts w:ascii="Times New Roman" w:hAnsi="Times New Roman"/>
          <w:sz w:val="24"/>
          <w:szCs w:val="24"/>
        </w:rPr>
        <w:t xml:space="preserve"> </w:t>
      </w:r>
      <w:r w:rsidRPr="00DA74F4">
        <w:rPr>
          <w:rFonts w:ascii="Times New Roman" w:hAnsi="Times New Roman"/>
          <w:sz w:val="24"/>
          <w:szCs w:val="24"/>
        </w:rPr>
        <w:t>an</w:t>
      </w:r>
      <w:r>
        <w:rPr>
          <w:rFonts w:ascii="Times New Roman" w:hAnsi="Times New Roman"/>
          <w:sz w:val="24"/>
          <w:szCs w:val="24"/>
        </w:rPr>
        <w:t xml:space="preserve"> </w:t>
      </w:r>
      <w:r w:rsidRPr="00DA74F4">
        <w:rPr>
          <w:rFonts w:ascii="Times New Roman" w:hAnsi="Times New Roman"/>
          <w:sz w:val="24"/>
          <w:szCs w:val="24"/>
        </w:rPr>
        <w:t>affirmative</w:t>
      </w:r>
      <w:r>
        <w:rPr>
          <w:rFonts w:ascii="Times New Roman" w:hAnsi="Times New Roman"/>
          <w:sz w:val="24"/>
          <w:szCs w:val="24"/>
        </w:rPr>
        <w:t xml:space="preserve"> </w:t>
      </w:r>
      <w:r w:rsidRPr="00DA74F4">
        <w:rPr>
          <w:rFonts w:ascii="Times New Roman" w:hAnsi="Times New Roman"/>
          <w:sz w:val="24"/>
          <w:szCs w:val="24"/>
        </w:rPr>
        <w:t>duty</w:t>
      </w:r>
      <w:r>
        <w:rPr>
          <w:rFonts w:ascii="Times New Roman" w:hAnsi="Times New Roman"/>
          <w:sz w:val="24"/>
          <w:szCs w:val="24"/>
        </w:rPr>
        <w:t xml:space="preserve"> </w:t>
      </w:r>
      <w:r w:rsidRPr="00DA74F4">
        <w:rPr>
          <w:rFonts w:ascii="Times New Roman" w:hAnsi="Times New Roman"/>
          <w:sz w:val="24"/>
          <w:szCs w:val="24"/>
        </w:rPr>
        <w:t>on</w:t>
      </w:r>
      <w:r>
        <w:rPr>
          <w:rFonts w:ascii="Times New Roman" w:hAnsi="Times New Roman"/>
          <w:sz w:val="24"/>
          <w:szCs w:val="24"/>
        </w:rPr>
        <w:t xml:space="preserve"> </w:t>
      </w:r>
      <w:r w:rsidRPr="00DA74F4">
        <w:rPr>
          <w:rFonts w:ascii="Times New Roman" w:hAnsi="Times New Roman"/>
          <w:sz w:val="24"/>
          <w:szCs w:val="24"/>
        </w:rPr>
        <w:t>police</w:t>
      </w:r>
      <w:r>
        <w:rPr>
          <w:rFonts w:ascii="Times New Roman" w:hAnsi="Times New Roman"/>
          <w:sz w:val="24"/>
          <w:szCs w:val="24"/>
        </w:rPr>
        <w:t xml:space="preserve"> </w:t>
      </w:r>
      <w:r w:rsidRPr="00DA74F4">
        <w:rPr>
          <w:rFonts w:ascii="Times New Roman" w:hAnsi="Times New Roman"/>
          <w:sz w:val="24"/>
          <w:szCs w:val="24"/>
        </w:rPr>
        <w:t>officers</w:t>
      </w:r>
      <w:r>
        <w:rPr>
          <w:rFonts w:ascii="Times New Roman" w:hAnsi="Times New Roman"/>
          <w:sz w:val="24"/>
          <w:szCs w:val="24"/>
        </w:rPr>
        <w:t xml:space="preserve"> </w:t>
      </w:r>
      <w:r w:rsidRPr="00DA74F4">
        <w:rPr>
          <w:rFonts w:ascii="Times New Roman" w:hAnsi="Times New Roman"/>
          <w:sz w:val="24"/>
          <w:szCs w:val="24"/>
        </w:rPr>
        <w:t>to</w:t>
      </w:r>
      <w:r>
        <w:rPr>
          <w:rFonts w:ascii="Times New Roman" w:hAnsi="Times New Roman"/>
          <w:sz w:val="24"/>
          <w:szCs w:val="24"/>
        </w:rPr>
        <w:t xml:space="preserve"> </w:t>
      </w:r>
      <w:r w:rsidRPr="00DA74F4">
        <w:rPr>
          <w:rFonts w:ascii="Times New Roman" w:hAnsi="Times New Roman"/>
          <w:sz w:val="24"/>
          <w:szCs w:val="24"/>
        </w:rPr>
        <w:t>provide</w:t>
      </w:r>
      <w:r>
        <w:rPr>
          <w:rFonts w:ascii="Times New Roman" w:hAnsi="Times New Roman"/>
          <w:sz w:val="24"/>
          <w:szCs w:val="24"/>
        </w:rPr>
        <w:t xml:space="preserve"> </w:t>
      </w:r>
      <w:r w:rsidRPr="00DA74F4">
        <w:rPr>
          <w:rFonts w:ascii="Times New Roman" w:hAnsi="Times New Roman"/>
          <w:sz w:val="24"/>
          <w:szCs w:val="24"/>
        </w:rPr>
        <w:t>medical</w:t>
      </w:r>
      <w:r>
        <w:rPr>
          <w:rFonts w:ascii="Times New Roman" w:hAnsi="Times New Roman"/>
          <w:sz w:val="24"/>
          <w:szCs w:val="24"/>
        </w:rPr>
        <w:t xml:space="preserve"> </w:t>
      </w:r>
      <w:r w:rsidRPr="00DA74F4">
        <w:rPr>
          <w:rFonts w:ascii="Times New Roman" w:hAnsi="Times New Roman"/>
          <w:sz w:val="24"/>
          <w:szCs w:val="24"/>
        </w:rPr>
        <w:t>care</w:t>
      </w:r>
      <w:r>
        <w:rPr>
          <w:rFonts w:ascii="Times New Roman" w:hAnsi="Times New Roman"/>
          <w:sz w:val="24"/>
          <w:szCs w:val="24"/>
        </w:rPr>
        <w:t xml:space="preserve"> </w:t>
      </w:r>
      <w:r w:rsidRPr="00DA74F4">
        <w:rPr>
          <w:rFonts w:ascii="Times New Roman" w:hAnsi="Times New Roman"/>
          <w:sz w:val="24"/>
          <w:szCs w:val="24"/>
        </w:rPr>
        <w:t>(even</w:t>
      </w:r>
      <w:r>
        <w:rPr>
          <w:rFonts w:ascii="Times New Roman" w:hAnsi="Times New Roman"/>
          <w:sz w:val="24"/>
          <w:szCs w:val="24"/>
        </w:rPr>
        <w:t xml:space="preserve"> </w:t>
      </w:r>
      <w:r w:rsidRPr="00DA74F4">
        <w:rPr>
          <w:rFonts w:ascii="Times New Roman" w:hAnsi="Times New Roman"/>
          <w:sz w:val="24"/>
          <w:szCs w:val="24"/>
        </w:rPr>
        <w:t>something</w:t>
      </w:r>
      <w:r>
        <w:rPr>
          <w:rFonts w:ascii="Times New Roman" w:hAnsi="Times New Roman"/>
          <w:sz w:val="24"/>
          <w:szCs w:val="24"/>
        </w:rPr>
        <w:t xml:space="preserve"> </w:t>
      </w:r>
      <w:r w:rsidRPr="00DA74F4">
        <w:rPr>
          <w:rFonts w:ascii="Times New Roman" w:hAnsi="Times New Roman"/>
          <w:sz w:val="24"/>
          <w:szCs w:val="24"/>
        </w:rPr>
        <w:t>as</w:t>
      </w:r>
      <w:r>
        <w:rPr>
          <w:rFonts w:ascii="Times New Roman" w:hAnsi="Times New Roman"/>
          <w:sz w:val="24"/>
          <w:szCs w:val="24"/>
        </w:rPr>
        <w:t xml:space="preserve"> </w:t>
      </w:r>
      <w:r w:rsidRPr="00DA74F4">
        <w:rPr>
          <w:rFonts w:ascii="Times New Roman" w:hAnsi="Times New Roman"/>
          <w:sz w:val="24"/>
          <w:szCs w:val="24"/>
        </w:rPr>
        <w:t>basic</w:t>
      </w:r>
      <w:r>
        <w:rPr>
          <w:rFonts w:ascii="Times New Roman" w:hAnsi="Times New Roman"/>
          <w:sz w:val="24"/>
          <w:szCs w:val="24"/>
        </w:rPr>
        <w:t xml:space="preserve"> </w:t>
      </w:r>
      <w:r w:rsidRPr="00DA74F4">
        <w:rPr>
          <w:rFonts w:ascii="Times New Roman" w:hAnsi="Times New Roman"/>
          <w:sz w:val="24"/>
          <w:szCs w:val="24"/>
        </w:rPr>
        <w:t>as</w:t>
      </w:r>
      <w:r>
        <w:rPr>
          <w:rFonts w:ascii="Times New Roman" w:hAnsi="Times New Roman"/>
          <w:sz w:val="24"/>
          <w:szCs w:val="24"/>
        </w:rPr>
        <w:t xml:space="preserve"> </w:t>
      </w:r>
      <w:r w:rsidRPr="00DA74F4">
        <w:rPr>
          <w:rFonts w:ascii="Times New Roman" w:hAnsi="Times New Roman"/>
          <w:sz w:val="24"/>
          <w:szCs w:val="24"/>
        </w:rPr>
        <w:t>CPR),</w:t>
      </w:r>
      <w:r>
        <w:rPr>
          <w:rFonts w:ascii="Times New Roman" w:hAnsi="Times New Roman"/>
          <w:sz w:val="24"/>
          <w:szCs w:val="24"/>
        </w:rPr>
        <w:t xml:space="preserve"> i</w:t>
      </w:r>
      <w:r w:rsidRPr="00DA74F4">
        <w:rPr>
          <w:rFonts w:ascii="Times New Roman" w:hAnsi="Times New Roman"/>
          <w:sz w:val="24"/>
          <w:szCs w:val="24"/>
        </w:rPr>
        <w:t>n</w:t>
      </w:r>
      <w:r>
        <w:rPr>
          <w:rFonts w:ascii="Times New Roman" w:hAnsi="Times New Roman"/>
          <w:sz w:val="24"/>
          <w:szCs w:val="24"/>
        </w:rPr>
        <w:t xml:space="preserve"> </w:t>
      </w:r>
      <w:proofErr w:type="gramStart"/>
      <w:r w:rsidRPr="00DA74F4">
        <w:rPr>
          <w:rFonts w:ascii="Times New Roman" w:hAnsi="Times New Roman"/>
          <w:sz w:val="24"/>
          <w:szCs w:val="24"/>
        </w:rPr>
        <w:t>any</w:t>
      </w:r>
      <w:r>
        <w:rPr>
          <w:rFonts w:ascii="Times New Roman" w:hAnsi="Times New Roman"/>
          <w:sz w:val="24"/>
          <w:szCs w:val="24"/>
        </w:rPr>
        <w:t xml:space="preserve"> </w:t>
      </w:r>
      <w:r w:rsidRPr="00DA74F4">
        <w:rPr>
          <w:rFonts w:ascii="Times New Roman" w:hAnsi="Times New Roman"/>
          <w:sz w:val="24"/>
          <w:szCs w:val="24"/>
        </w:rPr>
        <w:t>and</w:t>
      </w:r>
      <w:r>
        <w:rPr>
          <w:rFonts w:ascii="Times New Roman" w:hAnsi="Times New Roman"/>
          <w:sz w:val="24"/>
          <w:szCs w:val="24"/>
        </w:rPr>
        <w:t xml:space="preserve"> </w:t>
      </w:r>
      <w:r w:rsidRPr="00DA74F4">
        <w:rPr>
          <w:rFonts w:ascii="Times New Roman" w:hAnsi="Times New Roman"/>
          <w:sz w:val="24"/>
          <w:szCs w:val="24"/>
        </w:rPr>
        <w:t>all</w:t>
      </w:r>
      <w:proofErr w:type="gramEnd"/>
      <w:r>
        <w:rPr>
          <w:rFonts w:ascii="Times New Roman" w:hAnsi="Times New Roman"/>
          <w:sz w:val="24"/>
          <w:szCs w:val="24"/>
        </w:rPr>
        <w:t xml:space="preserve"> </w:t>
      </w:r>
      <w:r w:rsidRPr="00DA74F4">
        <w:rPr>
          <w:rFonts w:ascii="Times New Roman" w:hAnsi="Times New Roman"/>
          <w:sz w:val="24"/>
          <w:szCs w:val="24"/>
        </w:rPr>
        <w:t>circumstances,</w:t>
      </w:r>
      <w:r>
        <w:rPr>
          <w:rFonts w:ascii="Times New Roman" w:hAnsi="Times New Roman"/>
          <w:sz w:val="24"/>
          <w:szCs w:val="24"/>
        </w:rPr>
        <w:t xml:space="preserve"> </w:t>
      </w:r>
      <w:r w:rsidRPr="00DA74F4">
        <w:rPr>
          <w:rFonts w:ascii="Times New Roman" w:hAnsi="Times New Roman"/>
          <w:sz w:val="24"/>
          <w:szCs w:val="24"/>
        </w:rPr>
        <w:t>or</w:t>
      </w:r>
      <w:r>
        <w:rPr>
          <w:rFonts w:ascii="Times New Roman" w:hAnsi="Times New Roman"/>
          <w:sz w:val="24"/>
          <w:szCs w:val="24"/>
        </w:rPr>
        <w:t xml:space="preserve"> </w:t>
      </w:r>
      <w:r w:rsidRPr="00DA74F4">
        <w:rPr>
          <w:rFonts w:ascii="Times New Roman" w:hAnsi="Times New Roman"/>
          <w:sz w:val="24"/>
          <w:szCs w:val="24"/>
        </w:rPr>
        <w:t>to</w:t>
      </w:r>
      <w:r>
        <w:rPr>
          <w:rFonts w:ascii="Times New Roman" w:hAnsi="Times New Roman"/>
          <w:sz w:val="24"/>
          <w:szCs w:val="24"/>
        </w:rPr>
        <w:t xml:space="preserve"> </w:t>
      </w:r>
      <w:r w:rsidRPr="00DA74F4">
        <w:rPr>
          <w:rFonts w:ascii="Times New Roman" w:hAnsi="Times New Roman"/>
          <w:sz w:val="24"/>
          <w:szCs w:val="24"/>
        </w:rPr>
        <w:t>render</w:t>
      </w:r>
      <w:r>
        <w:rPr>
          <w:rFonts w:ascii="Times New Roman" w:hAnsi="Times New Roman"/>
          <w:sz w:val="24"/>
          <w:szCs w:val="24"/>
        </w:rPr>
        <w:t xml:space="preserve"> </w:t>
      </w:r>
      <w:r w:rsidRPr="00DA74F4">
        <w:rPr>
          <w:rFonts w:ascii="Times New Roman" w:hAnsi="Times New Roman"/>
          <w:sz w:val="24"/>
          <w:szCs w:val="24"/>
        </w:rPr>
        <w:t>first</w:t>
      </w:r>
      <w:r>
        <w:rPr>
          <w:rFonts w:ascii="Times New Roman" w:hAnsi="Times New Roman"/>
          <w:sz w:val="24"/>
          <w:szCs w:val="24"/>
        </w:rPr>
        <w:t xml:space="preserve"> </w:t>
      </w:r>
      <w:r w:rsidRPr="00DA74F4">
        <w:rPr>
          <w:rFonts w:ascii="Times New Roman" w:hAnsi="Times New Roman"/>
          <w:sz w:val="24"/>
          <w:szCs w:val="24"/>
        </w:rPr>
        <w:t>aid.</w:t>
      </w:r>
      <w:r>
        <w:rPr>
          <w:rFonts w:ascii="Times New Roman" w:hAnsi="Times New Roman"/>
          <w:sz w:val="24"/>
          <w:szCs w:val="24"/>
        </w:rPr>
        <w:t>”</w:t>
      </w:r>
    </w:p>
    <w:p w14:paraId="265B6BCE" w14:textId="77777777" w:rsidR="00EE0562" w:rsidRPr="0088321C" w:rsidRDefault="00EE0562" w:rsidP="00EE0562">
      <w:pPr>
        <w:pStyle w:val="NoSpacing"/>
        <w:rPr>
          <w:rFonts w:ascii="Arial Black" w:hAnsi="Arial Black"/>
          <w:sz w:val="24"/>
          <w:szCs w:val="24"/>
        </w:rPr>
      </w:pPr>
      <w:bookmarkStart w:id="499" w:name="_Hlk41152902"/>
      <w:r w:rsidRPr="0088321C">
        <w:rPr>
          <w:rFonts w:ascii="Arial Black" w:hAnsi="Arial Black"/>
          <w:sz w:val="24"/>
          <w:szCs w:val="24"/>
        </w:rPr>
        <w:t xml:space="preserve">Legal Lessons Learned: </w:t>
      </w:r>
      <w:r>
        <w:rPr>
          <w:rFonts w:ascii="Arial Black" w:hAnsi="Arial Black"/>
          <w:sz w:val="24"/>
          <w:szCs w:val="24"/>
        </w:rPr>
        <w:t xml:space="preserve">Police enjoy qualified immunity, particularly where EMS is held back while scene is secured.  EMS should document reasons for delay, and subsequent medical care provided. </w:t>
      </w:r>
    </w:p>
    <w:bookmarkEnd w:id="499"/>
    <w:p w14:paraId="6CFFCF31" w14:textId="0BA64685" w:rsidR="009F0F05" w:rsidRDefault="009F0F05" w:rsidP="00DE0F03">
      <w:pPr>
        <w:pStyle w:val="NoSpacing"/>
        <w:rPr>
          <w:rFonts w:ascii="Arial Black" w:hAnsi="Arial Black"/>
          <w:sz w:val="24"/>
          <w:szCs w:val="24"/>
        </w:rPr>
      </w:pPr>
    </w:p>
    <w:p w14:paraId="5A0E3FB1" w14:textId="77777777" w:rsidR="00E26EA8" w:rsidRDefault="00E26EA8" w:rsidP="00DE0F03">
      <w:pPr>
        <w:pStyle w:val="NoSpacing"/>
        <w:rPr>
          <w:rFonts w:ascii="Arial Black" w:hAnsi="Arial Black"/>
          <w:sz w:val="24"/>
          <w:szCs w:val="24"/>
        </w:rPr>
      </w:pPr>
    </w:p>
    <w:bookmarkEnd w:id="498"/>
    <w:p w14:paraId="200426E1" w14:textId="380443FE" w:rsidR="00EE0562" w:rsidRDefault="00EE0562" w:rsidP="00DE0F03">
      <w:pPr>
        <w:pStyle w:val="NoSpacing"/>
        <w:rPr>
          <w:rFonts w:ascii="Arial Black" w:hAnsi="Arial Black"/>
          <w:sz w:val="24"/>
          <w:szCs w:val="24"/>
        </w:rPr>
      </w:pPr>
      <w:r>
        <w:rPr>
          <w:rFonts w:ascii="Arial Black" w:hAnsi="Arial Black"/>
          <w:sz w:val="24"/>
          <w:szCs w:val="24"/>
        </w:rPr>
        <w:t>13-</w:t>
      </w:r>
      <w:r w:rsidR="009C7552">
        <w:rPr>
          <w:rFonts w:ascii="Arial Black" w:hAnsi="Arial Black"/>
          <w:sz w:val="24"/>
          <w:szCs w:val="24"/>
        </w:rPr>
        <w:t>3</w:t>
      </w:r>
      <w:r w:rsidR="00C95AF6">
        <w:rPr>
          <w:rFonts w:ascii="Arial Black" w:hAnsi="Arial Black"/>
          <w:sz w:val="24"/>
          <w:szCs w:val="24"/>
        </w:rPr>
        <w:t>1</w:t>
      </w:r>
    </w:p>
    <w:p w14:paraId="5252359C" w14:textId="77777777" w:rsidR="00EE0562" w:rsidRDefault="00EE0562" w:rsidP="00DE0F03">
      <w:pPr>
        <w:pStyle w:val="NoSpacing"/>
        <w:rPr>
          <w:rFonts w:ascii="Arial Black" w:hAnsi="Arial Black"/>
          <w:sz w:val="24"/>
          <w:szCs w:val="24"/>
        </w:rPr>
      </w:pPr>
    </w:p>
    <w:p w14:paraId="621898A8" w14:textId="77777777" w:rsidR="00EE0562" w:rsidRDefault="00EE0562" w:rsidP="00EE0562">
      <w:pPr>
        <w:rPr>
          <w:rFonts w:ascii="Arial Black" w:hAnsi="Arial Black"/>
          <w:sz w:val="28"/>
          <w:szCs w:val="28"/>
        </w:rPr>
      </w:pPr>
      <w:bookmarkStart w:id="500" w:name="_Hlk41152970"/>
      <w:bookmarkStart w:id="501" w:name="_Hlk41297079"/>
      <w:r w:rsidRPr="00576E46">
        <w:rPr>
          <w:rFonts w:ascii="Arial Black" w:hAnsi="Arial Black"/>
          <w:sz w:val="28"/>
          <w:szCs w:val="28"/>
        </w:rPr>
        <w:t xml:space="preserve">GA: </w:t>
      </w:r>
      <w:r>
        <w:rPr>
          <w:rFonts w:ascii="Arial Black" w:hAnsi="Arial Black"/>
          <w:sz w:val="28"/>
          <w:szCs w:val="28"/>
        </w:rPr>
        <w:t>SOFT RESTRAINTS - MANIC EPISODE - POLICE VIDEOS SHOW NEED FOR RESTRAINTS - QUALIFIED IMMUNITY</w:t>
      </w:r>
    </w:p>
    <w:p w14:paraId="64A55D24" w14:textId="77777777" w:rsidR="00EE0562" w:rsidRPr="008028C7" w:rsidRDefault="00EE0562" w:rsidP="00EE0562">
      <w:pPr>
        <w:rPr>
          <w:rFonts w:ascii="Times New Roman" w:hAnsi="Times New Roman"/>
          <w:sz w:val="24"/>
          <w:szCs w:val="24"/>
        </w:rPr>
      </w:pPr>
      <w:r w:rsidRPr="008028C7">
        <w:rPr>
          <w:rFonts w:ascii="Times New Roman" w:hAnsi="Times New Roman"/>
          <w:sz w:val="24"/>
          <w:szCs w:val="24"/>
        </w:rPr>
        <w:t xml:space="preserve">On Aug. 29, 2019, in </w:t>
      </w:r>
      <w:r w:rsidRPr="008028C7">
        <w:rPr>
          <w:rFonts w:ascii="Times New Roman" w:hAnsi="Times New Roman"/>
          <w:sz w:val="24"/>
          <w:szCs w:val="24"/>
          <w:u w:val="single"/>
        </w:rPr>
        <w:t>Kimberly Ellison v. Kenneth Hobbs, et al</w:t>
      </w:r>
      <w:r w:rsidRPr="008028C7">
        <w:rPr>
          <w:rFonts w:ascii="Times New Roman" w:hAnsi="Times New Roman"/>
          <w:sz w:val="24"/>
          <w:szCs w:val="24"/>
        </w:rPr>
        <w:t>., the U.S. Court of Appeals for the 11</w:t>
      </w:r>
      <w:r w:rsidRPr="008028C7">
        <w:rPr>
          <w:rFonts w:ascii="Times New Roman" w:hAnsi="Times New Roman"/>
          <w:sz w:val="24"/>
          <w:szCs w:val="24"/>
          <w:vertAlign w:val="superscript"/>
        </w:rPr>
        <w:t>th</w:t>
      </w:r>
      <w:r w:rsidRPr="008028C7">
        <w:rPr>
          <w:rFonts w:ascii="Times New Roman" w:hAnsi="Times New Roman"/>
          <w:sz w:val="24"/>
          <w:szCs w:val="24"/>
        </w:rPr>
        <w:t xml:space="preserve"> District (Atlanta), held (3 to 0) in an unpublished decision, that U.S. District Court judge had properly granted summary judgment to all EMS and Police.  </w:t>
      </w:r>
      <w:hyperlink r:id="rId2384" w:history="1">
        <w:r w:rsidRPr="008028C7">
          <w:rPr>
            <w:rStyle w:val="Hyperlink"/>
            <w:rFonts w:ascii="Times New Roman" w:hAnsi="Times New Roman"/>
            <w:sz w:val="24"/>
            <w:szCs w:val="24"/>
          </w:rPr>
          <w:t>http://media.ca11.uscourts.gov/opinions/unpub/files/201814142.pdf</w:t>
        </w:r>
      </w:hyperlink>
      <w:r w:rsidRPr="008028C7">
        <w:rPr>
          <w:rFonts w:ascii="Times New Roman" w:hAnsi="Times New Roman"/>
          <w:sz w:val="24"/>
          <w:szCs w:val="24"/>
        </w:rPr>
        <w:t xml:space="preserve"> </w:t>
      </w:r>
    </w:p>
    <w:bookmarkEnd w:id="500"/>
    <w:p w14:paraId="36F30E70" w14:textId="77777777" w:rsidR="00EE0562" w:rsidRDefault="00EE0562" w:rsidP="00EE0562">
      <w:pPr>
        <w:rPr>
          <w:rFonts w:ascii="On On" w:hAnsi="On On"/>
          <w:sz w:val="24"/>
          <w:szCs w:val="24"/>
        </w:rPr>
      </w:pPr>
      <w:r>
        <w:rPr>
          <w:rFonts w:ascii="On On" w:hAnsi="On On"/>
          <w:sz w:val="24"/>
          <w:szCs w:val="24"/>
        </w:rPr>
        <w:tab/>
        <w:t xml:space="preserve">The court held: </w:t>
      </w:r>
    </w:p>
    <w:p w14:paraId="257DA8CB" w14:textId="77777777" w:rsidR="00EE0562" w:rsidRDefault="00EE0562" w:rsidP="00EE0562">
      <w:pPr>
        <w:pStyle w:val="NoSpacing"/>
        <w:ind w:left="720"/>
        <w:rPr>
          <w:rFonts w:ascii="Times New Roman" w:hAnsi="Times New Roman"/>
          <w:sz w:val="24"/>
          <w:szCs w:val="24"/>
        </w:rPr>
      </w:pPr>
      <w:r>
        <w:rPr>
          <w:rFonts w:ascii="Times New Roman" w:hAnsi="Times New Roman"/>
          <w:sz w:val="24"/>
          <w:szCs w:val="24"/>
        </w:rPr>
        <w:t>“[C]</w:t>
      </w:r>
      <w:proofErr w:type="spellStart"/>
      <w:r w:rsidRPr="00741E0D">
        <w:rPr>
          <w:rFonts w:ascii="Times New Roman" w:hAnsi="Times New Roman"/>
          <w:sz w:val="24"/>
          <w:szCs w:val="24"/>
        </w:rPr>
        <w:t>ontrary</w:t>
      </w:r>
      <w:proofErr w:type="spellEnd"/>
      <w:r w:rsidRPr="00741E0D">
        <w:rPr>
          <w:rFonts w:ascii="Times New Roman" w:hAnsi="Times New Roman"/>
          <w:sz w:val="24"/>
          <w:szCs w:val="24"/>
        </w:rPr>
        <w:t xml:space="preserve"> to Ellison’s contentions, the use of soft restraints is a tool available to Paramedic Gasaway and EMT Howard in performing their job-related functions. See Davenport, 906 F.3d at 940. Thus, because Paramedic Gasaway’s and EMT Howard’s actions were not outside their </w:t>
      </w:r>
      <w:r>
        <w:rPr>
          <w:rFonts w:ascii="Times New Roman" w:hAnsi="Times New Roman"/>
          <w:sz w:val="24"/>
          <w:szCs w:val="24"/>
        </w:rPr>
        <w:t>‘</w:t>
      </w:r>
      <w:r w:rsidRPr="00741E0D">
        <w:rPr>
          <w:rFonts w:ascii="Times New Roman" w:hAnsi="Times New Roman"/>
          <w:sz w:val="24"/>
          <w:szCs w:val="24"/>
        </w:rPr>
        <w:t>arsenal</w:t>
      </w:r>
      <w:r>
        <w:rPr>
          <w:rFonts w:ascii="Times New Roman" w:hAnsi="Times New Roman"/>
          <w:sz w:val="24"/>
          <w:szCs w:val="24"/>
        </w:rPr>
        <w:t>’</w:t>
      </w:r>
      <w:r w:rsidRPr="00741E0D">
        <w:rPr>
          <w:rFonts w:ascii="Times New Roman" w:hAnsi="Times New Roman"/>
          <w:sz w:val="24"/>
          <w:szCs w:val="24"/>
        </w:rPr>
        <w:t xml:space="preserve"> of powers, they acted within their discretionary authority.</w:t>
      </w:r>
      <w:r>
        <w:rPr>
          <w:rFonts w:ascii="Times New Roman" w:hAnsi="Times New Roman"/>
          <w:sz w:val="24"/>
          <w:szCs w:val="24"/>
        </w:rPr>
        <w:t>”</w:t>
      </w:r>
    </w:p>
    <w:p w14:paraId="52B1FC3D" w14:textId="77777777" w:rsidR="00EE0562" w:rsidRDefault="00EE0562" w:rsidP="00EE0562">
      <w:pPr>
        <w:pStyle w:val="NoSpacing"/>
        <w:rPr>
          <w:rFonts w:ascii="Times New Roman" w:hAnsi="Times New Roman"/>
          <w:b/>
          <w:bCs/>
          <w:sz w:val="24"/>
          <w:szCs w:val="24"/>
        </w:rPr>
      </w:pPr>
    </w:p>
    <w:p w14:paraId="007683A9" w14:textId="11A1AD04" w:rsidR="00EE0562" w:rsidRPr="00E052A6" w:rsidRDefault="00EE0562" w:rsidP="00EE0562">
      <w:pPr>
        <w:pStyle w:val="NoSpacing"/>
        <w:rPr>
          <w:rFonts w:ascii="Times New Roman" w:hAnsi="Times New Roman"/>
          <w:b/>
          <w:bCs/>
          <w:sz w:val="24"/>
          <w:szCs w:val="24"/>
        </w:rPr>
      </w:pPr>
      <w:bookmarkStart w:id="502" w:name="_Hlk41152984"/>
      <w:r w:rsidRPr="00E052A6">
        <w:rPr>
          <w:rFonts w:ascii="Times New Roman" w:hAnsi="Times New Roman"/>
          <w:b/>
          <w:bCs/>
          <w:sz w:val="24"/>
          <w:szCs w:val="24"/>
        </w:rPr>
        <w:t xml:space="preserve">Legal Lessons Learned:  Thanks to officer’s video cameras, both the U.S. District Court judge, and the Court of Appeals, had a “minute by minute” view of what occurred in getting this patient [who is a practicing attorney] out of her apartment and to the hospital. </w:t>
      </w:r>
    </w:p>
    <w:bookmarkEnd w:id="501"/>
    <w:bookmarkEnd w:id="502"/>
    <w:p w14:paraId="027732E5" w14:textId="338EEE5F" w:rsidR="00EE0562" w:rsidRDefault="00EE0562" w:rsidP="00EE0562">
      <w:pPr>
        <w:pStyle w:val="NoSpacing"/>
        <w:rPr>
          <w:rFonts w:ascii="Arial Black" w:hAnsi="Arial Black"/>
          <w:b/>
          <w:bCs/>
          <w:sz w:val="24"/>
          <w:szCs w:val="24"/>
        </w:rPr>
      </w:pPr>
    </w:p>
    <w:p w14:paraId="0D5B8948" w14:textId="0C2D03ED" w:rsidR="00EE0562" w:rsidRDefault="00EE0562" w:rsidP="00EE0562">
      <w:pPr>
        <w:pStyle w:val="NoSpacing"/>
        <w:rPr>
          <w:rFonts w:ascii="Arial Black" w:hAnsi="Arial Black"/>
          <w:b/>
          <w:bCs/>
          <w:sz w:val="24"/>
          <w:szCs w:val="24"/>
        </w:rPr>
      </w:pPr>
    </w:p>
    <w:p w14:paraId="15695EEB" w14:textId="066B0AA2" w:rsidR="00E26EA8" w:rsidRDefault="00E26EA8" w:rsidP="00EE0562">
      <w:pPr>
        <w:pStyle w:val="NoSpacing"/>
        <w:rPr>
          <w:rFonts w:ascii="Arial Black" w:hAnsi="Arial Black"/>
          <w:b/>
          <w:bCs/>
          <w:sz w:val="24"/>
          <w:szCs w:val="24"/>
        </w:rPr>
      </w:pPr>
    </w:p>
    <w:p w14:paraId="5383913D" w14:textId="77777777" w:rsidR="00E26EA8" w:rsidRPr="00EE0562" w:rsidRDefault="00E26EA8" w:rsidP="00EE0562">
      <w:pPr>
        <w:pStyle w:val="NoSpacing"/>
        <w:rPr>
          <w:rFonts w:ascii="Arial Black" w:hAnsi="Arial Black"/>
          <w:b/>
          <w:bCs/>
          <w:sz w:val="24"/>
          <w:szCs w:val="24"/>
        </w:rPr>
      </w:pPr>
    </w:p>
    <w:p w14:paraId="348999D4" w14:textId="6BF8BE8E" w:rsidR="00EE0562" w:rsidRPr="00EE0562" w:rsidRDefault="00EE0562" w:rsidP="00EE0562">
      <w:pPr>
        <w:pStyle w:val="NoSpacing"/>
        <w:rPr>
          <w:rFonts w:ascii="Arial Black" w:hAnsi="Arial Black"/>
          <w:b/>
          <w:bCs/>
          <w:sz w:val="24"/>
          <w:szCs w:val="24"/>
        </w:rPr>
      </w:pPr>
      <w:r w:rsidRPr="00EE0562">
        <w:rPr>
          <w:rFonts w:ascii="Arial Black" w:hAnsi="Arial Black"/>
          <w:b/>
          <w:bCs/>
          <w:sz w:val="24"/>
          <w:szCs w:val="24"/>
        </w:rPr>
        <w:t>13-</w:t>
      </w:r>
      <w:r w:rsidR="00C95AF6">
        <w:rPr>
          <w:rFonts w:ascii="Arial Black" w:hAnsi="Arial Black"/>
          <w:b/>
          <w:bCs/>
          <w:sz w:val="24"/>
          <w:szCs w:val="24"/>
        </w:rPr>
        <w:t>30</w:t>
      </w:r>
    </w:p>
    <w:p w14:paraId="627225B0" w14:textId="77777777" w:rsidR="00EE0562" w:rsidRDefault="00EE0562" w:rsidP="00EE0562">
      <w:pPr>
        <w:pStyle w:val="NoSpacing"/>
        <w:rPr>
          <w:rFonts w:ascii="Times New Roman" w:hAnsi="Times New Roman"/>
          <w:b/>
          <w:bCs/>
          <w:sz w:val="24"/>
          <w:szCs w:val="24"/>
        </w:rPr>
      </w:pPr>
    </w:p>
    <w:p w14:paraId="06D50D98" w14:textId="77777777" w:rsidR="00EE0562" w:rsidRPr="00DC1D9B" w:rsidRDefault="00EE0562" w:rsidP="00EE0562">
      <w:pPr>
        <w:rPr>
          <w:rFonts w:ascii="Arial Black" w:hAnsi="Arial Black"/>
          <w:b/>
          <w:bCs/>
          <w:sz w:val="28"/>
          <w:szCs w:val="28"/>
        </w:rPr>
      </w:pPr>
      <w:bookmarkStart w:id="503" w:name="_Hlk41153061"/>
      <w:bookmarkStart w:id="504" w:name="_Hlk41296305"/>
      <w:r w:rsidRPr="00DC1D9B">
        <w:rPr>
          <w:rFonts w:ascii="Arial Black" w:hAnsi="Arial Black"/>
          <w:b/>
          <w:bCs/>
          <w:sz w:val="28"/>
          <w:szCs w:val="28"/>
        </w:rPr>
        <w:lastRenderedPageBreak/>
        <w:t xml:space="preserve">IL:  STROKE PATIENT </w:t>
      </w:r>
      <w:r>
        <w:rPr>
          <w:rFonts w:ascii="Arial Black" w:hAnsi="Arial Black"/>
          <w:b/>
          <w:bCs/>
          <w:sz w:val="28"/>
          <w:szCs w:val="28"/>
        </w:rPr>
        <w:t xml:space="preserve">WHO RAN OUT </w:t>
      </w:r>
      <w:r w:rsidRPr="00DC1D9B">
        <w:rPr>
          <w:rFonts w:ascii="Arial Black" w:hAnsi="Arial Black"/>
          <w:b/>
          <w:bCs/>
          <w:sz w:val="28"/>
          <w:szCs w:val="28"/>
        </w:rPr>
        <w:t xml:space="preserve">HOME – </w:t>
      </w:r>
      <w:r>
        <w:rPr>
          <w:rFonts w:ascii="Arial Black" w:hAnsi="Arial Black"/>
          <w:b/>
          <w:bCs/>
          <w:sz w:val="28"/>
          <w:szCs w:val="28"/>
        </w:rPr>
        <w:t>EMS TACKLED ON DRIVEWAY - LAWSUIT PROCEED, FACTS IN DISPUTE</w:t>
      </w:r>
    </w:p>
    <w:p w14:paraId="36772576" w14:textId="77777777" w:rsidR="00EE0562" w:rsidRDefault="00EE0562" w:rsidP="00EE0562">
      <w:pPr>
        <w:rPr>
          <w:rFonts w:ascii="Times New Roman" w:hAnsi="Times New Roman"/>
          <w:sz w:val="24"/>
          <w:szCs w:val="24"/>
        </w:rPr>
      </w:pPr>
      <w:r w:rsidRPr="004E2C24">
        <w:rPr>
          <w:rFonts w:ascii="Times New Roman" w:hAnsi="Times New Roman"/>
          <w:sz w:val="24"/>
          <w:szCs w:val="24"/>
        </w:rPr>
        <w:t xml:space="preserve">On Aug. 28, 2019, in </w:t>
      </w:r>
      <w:r w:rsidRPr="004E2C24">
        <w:rPr>
          <w:rFonts w:ascii="Times New Roman" w:hAnsi="Times New Roman"/>
          <w:sz w:val="24"/>
          <w:szCs w:val="24"/>
          <w:u w:val="single"/>
        </w:rPr>
        <w:t>Douglas Johnson v. City of East Peoria, et al</w:t>
      </w:r>
      <w:r w:rsidRPr="004E2C24">
        <w:rPr>
          <w:rFonts w:ascii="Times New Roman" w:hAnsi="Times New Roman"/>
          <w:sz w:val="24"/>
          <w:szCs w:val="24"/>
        </w:rPr>
        <w:t xml:space="preserve">., </w:t>
      </w:r>
      <w:r>
        <w:rPr>
          <w:rFonts w:ascii="Times New Roman" w:hAnsi="Times New Roman"/>
          <w:sz w:val="24"/>
          <w:szCs w:val="24"/>
        </w:rPr>
        <w:t xml:space="preserve">U.S. District Court </w:t>
      </w:r>
      <w:r w:rsidRPr="004E2C24">
        <w:rPr>
          <w:rFonts w:ascii="Times New Roman" w:hAnsi="Times New Roman"/>
          <w:sz w:val="24"/>
          <w:szCs w:val="24"/>
        </w:rPr>
        <w:t>judge James E. Shadid</w:t>
      </w:r>
      <w:r>
        <w:rPr>
          <w:rFonts w:ascii="Times New Roman" w:hAnsi="Times New Roman"/>
          <w:sz w:val="24"/>
          <w:szCs w:val="24"/>
        </w:rPr>
        <w:t xml:space="preserve">, </w:t>
      </w:r>
      <w:r w:rsidRPr="004E2C24">
        <w:rPr>
          <w:rFonts w:ascii="Times New Roman" w:hAnsi="Times New Roman"/>
          <w:sz w:val="24"/>
          <w:szCs w:val="24"/>
        </w:rPr>
        <w:t>Central District of Illinois, Case No. 17-cv-1212-JES-JEH,</w:t>
      </w:r>
      <w:r>
        <w:rPr>
          <w:rFonts w:ascii="Times New Roman" w:hAnsi="Times New Roman"/>
          <w:sz w:val="24"/>
          <w:szCs w:val="24"/>
        </w:rPr>
        <w:t xml:space="preserve"> denied motion for summary judgment by the City and several paramedics; pre-trial discovery may now proceed unless they take an immediate appeal.  </w:t>
      </w:r>
      <w:hyperlink r:id="rId2385" w:history="1">
        <w:r w:rsidRPr="0075063D">
          <w:rPr>
            <w:rStyle w:val="Hyperlink"/>
            <w:rFonts w:ascii="Times New Roman" w:hAnsi="Times New Roman"/>
            <w:sz w:val="24"/>
            <w:szCs w:val="24"/>
          </w:rPr>
          <w:t>https://cases.justia.com/federal/district-courts/illinois/ilcdce/1:2017cv01212/69571/44/0.pdf?ts=1567070402</w:t>
        </w:r>
      </w:hyperlink>
      <w:bookmarkEnd w:id="503"/>
      <w:r>
        <w:rPr>
          <w:rFonts w:ascii="Times New Roman" w:hAnsi="Times New Roman"/>
          <w:sz w:val="24"/>
          <w:szCs w:val="24"/>
        </w:rPr>
        <w:t xml:space="preserve"> </w:t>
      </w:r>
    </w:p>
    <w:p w14:paraId="215248E9" w14:textId="77777777" w:rsidR="00EE0562" w:rsidRDefault="00EE0562" w:rsidP="00EE0562">
      <w:pPr>
        <w:ind w:firstLine="720"/>
        <w:rPr>
          <w:rFonts w:ascii="Times New Roman" w:hAnsi="Times New Roman"/>
          <w:sz w:val="24"/>
          <w:szCs w:val="24"/>
        </w:rPr>
      </w:pPr>
      <w:r>
        <w:rPr>
          <w:rFonts w:ascii="Times New Roman" w:hAnsi="Times New Roman"/>
          <w:sz w:val="24"/>
          <w:szCs w:val="24"/>
        </w:rPr>
        <w:t xml:space="preserve">Judge Shadid wrote: </w:t>
      </w:r>
    </w:p>
    <w:p w14:paraId="6CC3E091" w14:textId="77777777" w:rsidR="00EE0562" w:rsidRDefault="00EE0562" w:rsidP="00EE0562">
      <w:pPr>
        <w:ind w:left="1440"/>
        <w:rPr>
          <w:rFonts w:ascii="Times New Roman" w:hAnsi="Times New Roman"/>
          <w:sz w:val="24"/>
          <w:szCs w:val="24"/>
        </w:rPr>
      </w:pPr>
      <w:r>
        <w:rPr>
          <w:rFonts w:ascii="Times New Roman" w:hAnsi="Times New Roman"/>
          <w:sz w:val="24"/>
          <w:szCs w:val="24"/>
        </w:rPr>
        <w:t>“</w:t>
      </w:r>
      <w:r w:rsidRPr="00282EEF">
        <w:rPr>
          <w:rFonts w:ascii="Times New Roman" w:hAnsi="Times New Roman"/>
          <w:sz w:val="24"/>
          <w:szCs w:val="24"/>
        </w:rPr>
        <w:t xml:space="preserve">Between the bottom of the stairs and the front door, Plaintiff’s pants began to fall </w:t>
      </w:r>
      <w:proofErr w:type="gramStart"/>
      <w:r w:rsidRPr="00282EEF">
        <w:rPr>
          <w:rFonts w:ascii="Times New Roman" w:hAnsi="Times New Roman"/>
          <w:sz w:val="24"/>
          <w:szCs w:val="24"/>
        </w:rPr>
        <w:t>down</w:t>
      </w:r>
      <w:proofErr w:type="gramEnd"/>
      <w:r w:rsidRPr="00282EEF">
        <w:rPr>
          <w:rFonts w:ascii="Times New Roman" w:hAnsi="Times New Roman"/>
          <w:sz w:val="24"/>
          <w:szCs w:val="24"/>
        </w:rPr>
        <w:t xml:space="preserve"> and Defendant Sauder attempted to pull them up. (Docs. 37 at 8, 42 at 10). Plaintiff turned at least the top half of his body in a manner Defendants Riggenbach and Sauder state they found aggressive. (Docs. 37 at 8, 42 at 10). He then ran out the front door, down the front steps, and into the driveway, falling three times as he ran.</w:t>
      </w:r>
      <w:r>
        <w:rPr>
          <w:rFonts w:ascii="Times New Roman" w:hAnsi="Times New Roman"/>
          <w:sz w:val="24"/>
          <w:szCs w:val="24"/>
        </w:rPr>
        <w:t xml:space="preserve"> </w:t>
      </w:r>
      <w:r w:rsidRPr="001272AF">
        <w:rPr>
          <w:rFonts w:ascii="Times New Roman" w:hAnsi="Times New Roman"/>
          <w:sz w:val="24"/>
          <w:szCs w:val="24"/>
        </w:rPr>
        <w:t>*** What happened next is disputed in large part, but the parties agree that Defendant Sauder bear-hugged Plaintiff, both Defendant Sauder and Plaintiff ended up on the ground, and Defendants Duckworth, Riggenbach,</w:t>
      </w:r>
      <w:r>
        <w:rPr>
          <w:rFonts w:ascii="Times New Roman" w:hAnsi="Times New Roman"/>
          <w:sz w:val="24"/>
          <w:szCs w:val="24"/>
        </w:rPr>
        <w:t xml:space="preserve"> </w:t>
      </w:r>
      <w:r w:rsidRPr="001272AF">
        <w:rPr>
          <w:rFonts w:ascii="Times New Roman" w:hAnsi="Times New Roman"/>
          <w:sz w:val="24"/>
          <w:szCs w:val="24"/>
        </w:rPr>
        <w:t xml:space="preserve">and Sauder, along with Knaus, restrained Plaintiff on the ground. </w:t>
      </w:r>
    </w:p>
    <w:p w14:paraId="318B1748" w14:textId="77777777" w:rsidR="00EE0562" w:rsidRDefault="00EE0562" w:rsidP="00EE0562">
      <w:pPr>
        <w:ind w:left="1440"/>
        <w:rPr>
          <w:rFonts w:ascii="Times New Roman" w:hAnsi="Times New Roman"/>
          <w:sz w:val="24"/>
          <w:szCs w:val="24"/>
        </w:rPr>
      </w:pPr>
      <w:r w:rsidRPr="001272AF">
        <w:rPr>
          <w:rFonts w:ascii="Times New Roman" w:hAnsi="Times New Roman"/>
          <w:sz w:val="24"/>
          <w:szCs w:val="24"/>
        </w:rPr>
        <w:t xml:space="preserve">*** </w:t>
      </w:r>
    </w:p>
    <w:p w14:paraId="400901B1" w14:textId="77777777" w:rsidR="00EE0562" w:rsidRPr="00D82446" w:rsidRDefault="00EE0562" w:rsidP="00EE0562">
      <w:pPr>
        <w:pStyle w:val="NoSpacing"/>
        <w:ind w:left="1440"/>
        <w:rPr>
          <w:rFonts w:ascii="Times New Roman" w:hAnsi="Times New Roman"/>
          <w:sz w:val="24"/>
          <w:szCs w:val="24"/>
        </w:rPr>
      </w:pPr>
      <w:r w:rsidRPr="00D82446">
        <w:rPr>
          <w:rFonts w:ascii="Times New Roman" w:hAnsi="Times New Roman"/>
          <w:sz w:val="24"/>
          <w:szCs w:val="24"/>
        </w:rPr>
        <w:t>However, Plaintiff is correct that the state-created danger theory is not duplicative of his other claims. See Monfils v. Taylor, 165 F.3d 511, 515–517 (7th Cir. 1998) (recognizing the existence of a substantive due process claim for a state-created danger)</w:t>
      </w:r>
      <w:r>
        <w:rPr>
          <w:rFonts w:ascii="Times New Roman" w:hAnsi="Times New Roman"/>
          <w:sz w:val="24"/>
          <w:szCs w:val="24"/>
        </w:rPr>
        <w:t>….</w:t>
      </w:r>
      <w:r w:rsidRPr="00D82446">
        <w:rPr>
          <w:rFonts w:ascii="Times New Roman" w:hAnsi="Times New Roman"/>
          <w:sz w:val="24"/>
          <w:szCs w:val="24"/>
        </w:rPr>
        <w:t>Therefore, Plaintiff’s due process claim survives summary judgment on the state-created danger theory alone.</w:t>
      </w:r>
      <w:r>
        <w:rPr>
          <w:rFonts w:ascii="Times New Roman" w:hAnsi="Times New Roman"/>
          <w:sz w:val="24"/>
          <w:szCs w:val="24"/>
        </w:rPr>
        <w:t>”</w:t>
      </w:r>
    </w:p>
    <w:p w14:paraId="16C10B23" w14:textId="77777777" w:rsidR="00EE0562" w:rsidRPr="005E68F9" w:rsidRDefault="00EE0562" w:rsidP="00EE0562">
      <w:pPr>
        <w:pStyle w:val="NoSpacing"/>
        <w:rPr>
          <w:rFonts w:ascii="Times New Roman" w:hAnsi="Times New Roman"/>
          <w:b/>
          <w:bCs/>
          <w:sz w:val="24"/>
          <w:szCs w:val="24"/>
        </w:rPr>
      </w:pPr>
    </w:p>
    <w:p w14:paraId="7E4EEA26" w14:textId="3479B5E2" w:rsidR="00EE0562" w:rsidRDefault="00EE0562" w:rsidP="00EE0562">
      <w:pPr>
        <w:rPr>
          <w:rFonts w:ascii="Times New Roman" w:hAnsi="Times New Roman"/>
          <w:b/>
          <w:bCs/>
          <w:sz w:val="24"/>
          <w:szCs w:val="24"/>
        </w:rPr>
      </w:pPr>
      <w:bookmarkStart w:id="505" w:name="_Hlk41153080"/>
      <w:r w:rsidRPr="00995498">
        <w:rPr>
          <w:rFonts w:ascii="Times New Roman" w:hAnsi="Times New Roman"/>
          <w:b/>
          <w:bCs/>
          <w:sz w:val="24"/>
          <w:szCs w:val="24"/>
        </w:rPr>
        <w:t xml:space="preserve">Legal Lessons Learned: </w:t>
      </w:r>
      <w:r>
        <w:rPr>
          <w:rFonts w:ascii="Times New Roman" w:hAnsi="Times New Roman"/>
          <w:b/>
          <w:bCs/>
          <w:sz w:val="24"/>
          <w:szCs w:val="24"/>
        </w:rPr>
        <w:t>On an EMS run where there is a struggle with the patient, thoroughly documents on EMS run report the actions taken by each medic.   This will help avoid “facts in dispute” in any subsequent civil lawsuit, and any prosecution for assault.</w:t>
      </w:r>
    </w:p>
    <w:bookmarkEnd w:id="504"/>
    <w:bookmarkEnd w:id="505"/>
    <w:p w14:paraId="49E1905B" w14:textId="5E7CB9F1" w:rsidR="00E052A6" w:rsidRPr="00715CF2" w:rsidRDefault="00E052A6" w:rsidP="00E052A6">
      <w:pPr>
        <w:rPr>
          <w:rFonts w:ascii="Times New Roman" w:hAnsi="Times New Roman"/>
          <w:bCs/>
          <w:sz w:val="24"/>
          <w:szCs w:val="24"/>
        </w:rPr>
      </w:pPr>
    </w:p>
    <w:p w14:paraId="2AFE8B4F" w14:textId="0FBCDDD5" w:rsidR="00E26EA8" w:rsidRDefault="00E26EA8" w:rsidP="00EE0562">
      <w:pPr>
        <w:rPr>
          <w:rFonts w:ascii="Arial Black" w:hAnsi="Arial Black"/>
          <w:b/>
          <w:bCs/>
          <w:sz w:val="24"/>
          <w:szCs w:val="24"/>
        </w:rPr>
      </w:pPr>
    </w:p>
    <w:p w14:paraId="5B96F929" w14:textId="77777777" w:rsidR="00E052A6" w:rsidRPr="00EE0562" w:rsidRDefault="00E052A6" w:rsidP="00EE0562">
      <w:pPr>
        <w:rPr>
          <w:rFonts w:ascii="Arial Black" w:hAnsi="Arial Black"/>
          <w:b/>
          <w:bCs/>
          <w:sz w:val="24"/>
          <w:szCs w:val="24"/>
        </w:rPr>
      </w:pPr>
    </w:p>
    <w:p w14:paraId="3C435F2A" w14:textId="3D823A2F" w:rsidR="00EE0562" w:rsidRPr="00EE0562" w:rsidRDefault="00EE0562" w:rsidP="00EE0562">
      <w:pPr>
        <w:rPr>
          <w:rFonts w:ascii="Arial Black" w:hAnsi="Arial Black"/>
          <w:b/>
          <w:bCs/>
          <w:sz w:val="24"/>
          <w:szCs w:val="24"/>
        </w:rPr>
      </w:pPr>
      <w:r w:rsidRPr="00EE0562">
        <w:rPr>
          <w:rFonts w:ascii="Arial Black" w:hAnsi="Arial Black"/>
          <w:b/>
          <w:bCs/>
          <w:sz w:val="24"/>
          <w:szCs w:val="24"/>
        </w:rPr>
        <w:t>13-2</w:t>
      </w:r>
      <w:r w:rsidR="00C95AF6">
        <w:rPr>
          <w:rFonts w:ascii="Arial Black" w:hAnsi="Arial Black"/>
          <w:b/>
          <w:bCs/>
          <w:sz w:val="24"/>
          <w:szCs w:val="24"/>
        </w:rPr>
        <w:t>9</w:t>
      </w:r>
    </w:p>
    <w:p w14:paraId="06B476F8" w14:textId="77777777" w:rsidR="00EE0562" w:rsidRPr="00812C5F" w:rsidRDefault="00EE0562" w:rsidP="00EE0562">
      <w:pPr>
        <w:rPr>
          <w:rFonts w:ascii="Arial Black" w:hAnsi="Arial Black"/>
          <w:sz w:val="28"/>
          <w:szCs w:val="28"/>
        </w:rPr>
      </w:pPr>
      <w:bookmarkStart w:id="506" w:name="_Hlk41153139"/>
      <w:r w:rsidRPr="00812C5F">
        <w:rPr>
          <w:rFonts w:ascii="Arial Black" w:hAnsi="Arial Black"/>
          <w:sz w:val="28"/>
          <w:szCs w:val="28"/>
        </w:rPr>
        <w:t xml:space="preserve">MI: </w:t>
      </w:r>
      <w:r>
        <w:rPr>
          <w:rFonts w:ascii="Arial Black" w:hAnsi="Arial Black"/>
          <w:sz w:val="28"/>
          <w:szCs w:val="28"/>
        </w:rPr>
        <w:t>GURNEY TIPPED – LAWSUIT TO PROCEED - EMS DIDN’T TELL HOSPITAL OR DOCUMENT – X-RAYS SHOWED NECK FRACTURES</w:t>
      </w:r>
    </w:p>
    <w:p w14:paraId="5444BB7E" w14:textId="77777777" w:rsidR="00EE0562" w:rsidRDefault="00EE0562" w:rsidP="00EE0562">
      <w:pPr>
        <w:rPr>
          <w:rFonts w:ascii="Times New Roman" w:hAnsi="Times New Roman"/>
          <w:sz w:val="24"/>
          <w:szCs w:val="24"/>
        </w:rPr>
      </w:pPr>
      <w:r w:rsidRPr="003C36A2">
        <w:rPr>
          <w:rFonts w:ascii="Times New Roman" w:hAnsi="Times New Roman"/>
          <w:sz w:val="24"/>
          <w:szCs w:val="24"/>
        </w:rPr>
        <w:t xml:space="preserve">On Aug. 27, 2019, in </w:t>
      </w:r>
      <w:r w:rsidRPr="00235BC8">
        <w:rPr>
          <w:rFonts w:ascii="Times New Roman" w:hAnsi="Times New Roman"/>
          <w:sz w:val="24"/>
          <w:szCs w:val="24"/>
          <w:u w:val="single"/>
        </w:rPr>
        <w:t>Estate of Ralph Brown, by Victoria Brown, Personal Representative v. Sean Wolan and Jeffrey Vescio</w:t>
      </w:r>
      <w:r>
        <w:rPr>
          <w:rFonts w:ascii="Times New Roman" w:hAnsi="Times New Roman"/>
          <w:sz w:val="24"/>
          <w:szCs w:val="24"/>
        </w:rPr>
        <w:t xml:space="preserve">, the Michigan Court of Appeals, held (2 to 1) in an unpublished opinion, that the trial court judge properly denied the two paramedics’ governmental immunity motion to dismiss. </w:t>
      </w:r>
    </w:p>
    <w:bookmarkEnd w:id="506"/>
    <w:p w14:paraId="6BD9C1D6" w14:textId="77777777" w:rsidR="00EE0562" w:rsidRDefault="00EE0562" w:rsidP="00EE0562">
      <w:pPr>
        <w:rPr>
          <w:rFonts w:ascii="Times New Roman" w:hAnsi="Times New Roman"/>
          <w:sz w:val="24"/>
          <w:szCs w:val="24"/>
        </w:rPr>
      </w:pPr>
      <w:r>
        <w:rPr>
          <w:rFonts w:ascii="Times New Roman" w:hAnsi="Times New Roman"/>
          <w:sz w:val="24"/>
          <w:szCs w:val="24"/>
        </w:rPr>
        <w:tab/>
        <w:t xml:space="preserve">The 2-judge majority held: </w:t>
      </w:r>
    </w:p>
    <w:p w14:paraId="78885785" w14:textId="67A8BE8A" w:rsidR="00EE0562" w:rsidRDefault="00EE0562" w:rsidP="00EE0562">
      <w:pPr>
        <w:ind w:left="720"/>
        <w:rPr>
          <w:rFonts w:ascii="Times New Roman" w:hAnsi="Times New Roman"/>
          <w:sz w:val="24"/>
          <w:szCs w:val="24"/>
        </w:rPr>
      </w:pPr>
      <w:r>
        <w:rPr>
          <w:rFonts w:ascii="Times New Roman" w:hAnsi="Times New Roman"/>
          <w:sz w:val="24"/>
          <w:szCs w:val="24"/>
        </w:rPr>
        <w:lastRenderedPageBreak/>
        <w:t>“</w:t>
      </w:r>
      <w:r w:rsidRPr="00AC20EB">
        <w:rPr>
          <w:rFonts w:ascii="Times New Roman" w:hAnsi="Times New Roman"/>
          <w:sz w:val="24"/>
          <w:szCs w:val="24"/>
        </w:rPr>
        <w:t>The failure to report the incident has additional import on the issue of whether the conduct of the defendants was grossly negligent. They had an undisputed duty to make such a report. Indeed, Vescio acknowledged in his deposition that the incident should have been reported. Vescio testified that Wolan was responsible for documenting the ambulance run and communicating information to the ER staff. Wolan explained that he did not report or document the incident because he did not believe the decedent had</w:t>
      </w:r>
      <w:r>
        <w:rPr>
          <w:rFonts w:ascii="Times New Roman" w:hAnsi="Times New Roman"/>
          <w:sz w:val="24"/>
          <w:szCs w:val="24"/>
        </w:rPr>
        <w:t xml:space="preserve"> </w:t>
      </w:r>
      <w:r w:rsidRPr="00AC20EB">
        <w:rPr>
          <w:rFonts w:ascii="Times New Roman" w:hAnsi="Times New Roman"/>
          <w:sz w:val="24"/>
          <w:szCs w:val="24"/>
        </w:rPr>
        <w:t xml:space="preserve">been injured. </w:t>
      </w:r>
      <w:proofErr w:type="gramStart"/>
      <w:r w:rsidRPr="00AC20EB">
        <w:rPr>
          <w:rFonts w:ascii="Times New Roman" w:hAnsi="Times New Roman"/>
          <w:sz w:val="24"/>
          <w:szCs w:val="24"/>
        </w:rPr>
        <w:t>To</w:t>
      </w:r>
      <w:proofErr w:type="gramEnd"/>
      <w:r w:rsidRPr="00AC20EB">
        <w:rPr>
          <w:rFonts w:ascii="Times New Roman" w:hAnsi="Times New Roman"/>
          <w:sz w:val="24"/>
          <w:szCs w:val="24"/>
        </w:rPr>
        <w:t xml:space="preserve"> the contrary, </w:t>
      </w:r>
      <w:proofErr w:type="spellStart"/>
      <w:r w:rsidRPr="00AC20EB">
        <w:rPr>
          <w:rFonts w:ascii="Times New Roman" w:hAnsi="Times New Roman"/>
          <w:sz w:val="24"/>
          <w:szCs w:val="24"/>
        </w:rPr>
        <w:t>Everlove</w:t>
      </w:r>
      <w:proofErr w:type="spellEnd"/>
      <w:r>
        <w:rPr>
          <w:rFonts w:ascii="Times New Roman" w:hAnsi="Times New Roman"/>
          <w:sz w:val="24"/>
          <w:szCs w:val="24"/>
        </w:rPr>
        <w:t xml:space="preserve"> [expert witness]</w:t>
      </w:r>
      <w:r w:rsidRPr="00AC20EB">
        <w:rPr>
          <w:rFonts w:ascii="Times New Roman" w:hAnsi="Times New Roman"/>
          <w:sz w:val="24"/>
          <w:szCs w:val="24"/>
        </w:rPr>
        <w:t xml:space="preserve"> testified that the reporting of the incident,</w:t>
      </w:r>
      <w:r>
        <w:rPr>
          <w:rFonts w:ascii="Times New Roman" w:hAnsi="Times New Roman"/>
          <w:sz w:val="24"/>
          <w:szCs w:val="24"/>
        </w:rPr>
        <w:t xml:space="preserve"> </w:t>
      </w:r>
      <w:r w:rsidRPr="00AC20EB">
        <w:rPr>
          <w:rFonts w:ascii="Times New Roman" w:hAnsi="Times New Roman"/>
          <w:sz w:val="24"/>
          <w:szCs w:val="24"/>
        </w:rPr>
        <w:t>regardless of the paramedics’</w:t>
      </w:r>
      <w:r>
        <w:rPr>
          <w:rFonts w:ascii="Times New Roman" w:hAnsi="Times New Roman"/>
          <w:sz w:val="24"/>
          <w:szCs w:val="24"/>
        </w:rPr>
        <w:t xml:space="preserve"> </w:t>
      </w:r>
      <w:r w:rsidRPr="00AC20EB">
        <w:rPr>
          <w:rFonts w:ascii="Times New Roman" w:hAnsi="Times New Roman"/>
          <w:sz w:val="24"/>
          <w:szCs w:val="24"/>
        </w:rPr>
        <w:t>assessment of injury,</w:t>
      </w:r>
      <w:r>
        <w:rPr>
          <w:rFonts w:ascii="Times New Roman" w:hAnsi="Times New Roman"/>
          <w:sz w:val="24"/>
          <w:szCs w:val="24"/>
        </w:rPr>
        <w:t xml:space="preserve"> </w:t>
      </w:r>
      <w:r w:rsidRPr="00AC20EB">
        <w:rPr>
          <w:rFonts w:ascii="Times New Roman" w:hAnsi="Times New Roman"/>
          <w:sz w:val="24"/>
          <w:szCs w:val="24"/>
        </w:rPr>
        <w:t>was crucial to patient care at the hospital. Additionally,</w:t>
      </w:r>
      <w:r>
        <w:rPr>
          <w:rFonts w:ascii="Times New Roman" w:hAnsi="Times New Roman"/>
          <w:sz w:val="24"/>
          <w:szCs w:val="24"/>
        </w:rPr>
        <w:t xml:space="preserve"> </w:t>
      </w:r>
      <w:r w:rsidRPr="00AC20EB">
        <w:rPr>
          <w:rFonts w:ascii="Times New Roman" w:hAnsi="Times New Roman"/>
          <w:sz w:val="24"/>
          <w:szCs w:val="24"/>
        </w:rPr>
        <w:t>the veracity of Wolan’s testimony regarding his belief that there was no injury is</w:t>
      </w:r>
      <w:r>
        <w:rPr>
          <w:rFonts w:ascii="Times New Roman" w:hAnsi="Times New Roman"/>
          <w:sz w:val="24"/>
          <w:szCs w:val="24"/>
        </w:rPr>
        <w:t xml:space="preserve"> </w:t>
      </w:r>
      <w:r w:rsidRPr="00AC20EB">
        <w:rPr>
          <w:rFonts w:ascii="Times New Roman" w:hAnsi="Times New Roman"/>
          <w:sz w:val="24"/>
          <w:szCs w:val="24"/>
        </w:rPr>
        <w:t xml:space="preserve">belied by his partner Vescio’s description of the incident in his e-mail to his supervisors where he reported </w:t>
      </w:r>
      <w:proofErr w:type="gramStart"/>
      <w:r w:rsidRPr="00AC20EB">
        <w:rPr>
          <w:rFonts w:ascii="Times New Roman" w:hAnsi="Times New Roman"/>
          <w:sz w:val="24"/>
          <w:szCs w:val="24"/>
        </w:rPr>
        <w:t>that,</w:t>
      </w:r>
      <w:r>
        <w:rPr>
          <w:rFonts w:ascii="Times New Roman" w:hAnsi="Times New Roman"/>
          <w:sz w:val="24"/>
          <w:szCs w:val="24"/>
        </w:rPr>
        <w:t xml:space="preserve"> ‘</w:t>
      </w:r>
      <w:proofErr w:type="gramEnd"/>
      <w:r w:rsidRPr="00AC20EB">
        <w:rPr>
          <w:rFonts w:ascii="Times New Roman" w:hAnsi="Times New Roman"/>
          <w:sz w:val="24"/>
          <w:szCs w:val="24"/>
        </w:rPr>
        <w:t>the patient [was] hanging sideways reaching out while remaining belted onto the stretcher.</w:t>
      </w:r>
      <w:r>
        <w:rPr>
          <w:rFonts w:ascii="Times New Roman" w:hAnsi="Times New Roman"/>
          <w:sz w:val="24"/>
          <w:szCs w:val="24"/>
        </w:rPr>
        <w:t>’</w:t>
      </w:r>
      <w:r w:rsidRPr="00AC20EB">
        <w:rPr>
          <w:rFonts w:ascii="Times New Roman" w:hAnsi="Times New Roman"/>
          <w:sz w:val="24"/>
          <w:szCs w:val="24"/>
        </w:rPr>
        <w:t xml:space="preserve"> A rational juror thus could believe that the EMTs did not assess the patient and failed to even report the indecent to those charged with the patient’s medical care or record the incident in the transport record that</w:t>
      </w:r>
      <w:r>
        <w:rPr>
          <w:rFonts w:ascii="Times New Roman" w:hAnsi="Times New Roman"/>
          <w:sz w:val="24"/>
          <w:szCs w:val="24"/>
        </w:rPr>
        <w:t xml:space="preserve"> </w:t>
      </w:r>
      <w:r w:rsidRPr="00AC20EB">
        <w:rPr>
          <w:rFonts w:ascii="Times New Roman" w:hAnsi="Times New Roman"/>
          <w:sz w:val="24"/>
          <w:szCs w:val="24"/>
        </w:rPr>
        <w:t>would have been used by the hospital staff to inform patient care decisions. On this record,</w:t>
      </w:r>
      <w:r>
        <w:rPr>
          <w:rFonts w:ascii="Times New Roman" w:hAnsi="Times New Roman"/>
          <w:sz w:val="24"/>
          <w:szCs w:val="24"/>
        </w:rPr>
        <w:t xml:space="preserve"> </w:t>
      </w:r>
      <w:r w:rsidRPr="00AC20EB">
        <w:rPr>
          <w:rFonts w:ascii="Times New Roman" w:hAnsi="Times New Roman"/>
          <w:sz w:val="24"/>
          <w:szCs w:val="24"/>
        </w:rPr>
        <w:t xml:space="preserve">a reasonable juror could determine that the EMTs showed </w:t>
      </w:r>
      <w:r>
        <w:rPr>
          <w:rFonts w:ascii="Times New Roman" w:hAnsi="Times New Roman"/>
          <w:sz w:val="24"/>
          <w:szCs w:val="24"/>
        </w:rPr>
        <w:t>‘</w:t>
      </w:r>
      <w:r w:rsidRPr="00AC20EB">
        <w:rPr>
          <w:rFonts w:ascii="Times New Roman" w:hAnsi="Times New Roman"/>
          <w:sz w:val="24"/>
          <w:szCs w:val="24"/>
        </w:rPr>
        <w:t>a substantial lack of concern for whether an injury results.</w:t>
      </w:r>
      <w:r>
        <w:rPr>
          <w:rFonts w:ascii="Times New Roman" w:hAnsi="Times New Roman"/>
          <w:sz w:val="24"/>
          <w:szCs w:val="24"/>
        </w:rPr>
        <w:t>’</w:t>
      </w:r>
      <w:r w:rsidRPr="00AC20EB">
        <w:rPr>
          <w:rFonts w:ascii="Times New Roman" w:hAnsi="Times New Roman"/>
          <w:sz w:val="24"/>
          <w:szCs w:val="24"/>
        </w:rPr>
        <w:t xml:space="preserve"> Defendants’ failure </w:t>
      </w:r>
      <w:proofErr w:type="gramStart"/>
      <w:r w:rsidRPr="00AC20EB">
        <w:rPr>
          <w:rFonts w:ascii="Times New Roman" w:hAnsi="Times New Roman"/>
          <w:sz w:val="24"/>
          <w:szCs w:val="24"/>
        </w:rPr>
        <w:t>in</w:t>
      </w:r>
      <w:r>
        <w:rPr>
          <w:rFonts w:ascii="Times New Roman" w:hAnsi="Times New Roman"/>
          <w:sz w:val="24"/>
          <w:szCs w:val="24"/>
        </w:rPr>
        <w:t xml:space="preserve"> </w:t>
      </w:r>
      <w:r w:rsidRPr="00AC20EB">
        <w:rPr>
          <w:rFonts w:ascii="Times New Roman" w:hAnsi="Times New Roman"/>
          <w:sz w:val="24"/>
          <w:szCs w:val="24"/>
        </w:rPr>
        <w:t>regards</w:t>
      </w:r>
      <w:r>
        <w:rPr>
          <w:rFonts w:ascii="Times New Roman" w:hAnsi="Times New Roman"/>
          <w:sz w:val="24"/>
          <w:szCs w:val="24"/>
        </w:rPr>
        <w:t xml:space="preserve"> </w:t>
      </w:r>
      <w:r w:rsidRPr="00AC20EB">
        <w:rPr>
          <w:rFonts w:ascii="Times New Roman" w:hAnsi="Times New Roman"/>
          <w:sz w:val="24"/>
          <w:szCs w:val="24"/>
        </w:rPr>
        <w:t>to</w:t>
      </w:r>
      <w:proofErr w:type="gramEnd"/>
      <w:r w:rsidRPr="00AC20EB">
        <w:rPr>
          <w:rFonts w:ascii="Times New Roman" w:hAnsi="Times New Roman"/>
          <w:sz w:val="24"/>
          <w:szCs w:val="24"/>
        </w:rPr>
        <w:t xml:space="preserve"> reporting cannot be considered accidental.</w:t>
      </w:r>
      <w:r>
        <w:rPr>
          <w:rFonts w:ascii="Times New Roman" w:hAnsi="Times New Roman"/>
          <w:sz w:val="24"/>
          <w:szCs w:val="24"/>
        </w:rPr>
        <w:t>”</w:t>
      </w:r>
      <w:r w:rsidR="006114FF">
        <w:rPr>
          <w:rFonts w:ascii="Times New Roman" w:hAnsi="Times New Roman"/>
          <w:sz w:val="24"/>
          <w:szCs w:val="24"/>
        </w:rPr>
        <w:t xml:space="preserve"> </w:t>
      </w:r>
      <w:bookmarkStart w:id="507" w:name="_Hlk41153167"/>
      <w:r w:rsidR="00F37A4B">
        <w:fldChar w:fldCharType="begin"/>
      </w:r>
      <w:r w:rsidR="00F37A4B">
        <w:instrText xml:space="preserve"> HYPERLINK "https://casetext.com/case/estate-of-brown-v-wolan-1" </w:instrText>
      </w:r>
      <w:r w:rsidR="00F37A4B">
        <w:fldChar w:fldCharType="separate"/>
      </w:r>
      <w:r w:rsidR="006114FF" w:rsidRPr="002F304C">
        <w:rPr>
          <w:rStyle w:val="Hyperlink"/>
          <w:rFonts w:ascii="Times New Roman" w:hAnsi="Times New Roman"/>
          <w:sz w:val="24"/>
          <w:szCs w:val="24"/>
        </w:rPr>
        <w:t>https://casetext.com/case/estate-of-brown-v-wolan-1</w:t>
      </w:r>
      <w:r w:rsidR="00F37A4B">
        <w:rPr>
          <w:rStyle w:val="Hyperlink"/>
          <w:rFonts w:ascii="Times New Roman" w:hAnsi="Times New Roman"/>
          <w:sz w:val="24"/>
          <w:szCs w:val="24"/>
        </w:rPr>
        <w:fldChar w:fldCharType="end"/>
      </w:r>
      <w:r w:rsidR="006114FF">
        <w:rPr>
          <w:rFonts w:ascii="Times New Roman" w:hAnsi="Times New Roman"/>
          <w:sz w:val="24"/>
          <w:szCs w:val="24"/>
        </w:rPr>
        <w:t xml:space="preserve"> </w:t>
      </w:r>
    </w:p>
    <w:p w14:paraId="0EB5396D" w14:textId="77777777" w:rsidR="00EE0562" w:rsidRPr="00B922AC" w:rsidRDefault="00EE0562" w:rsidP="00EE0562">
      <w:pPr>
        <w:rPr>
          <w:rFonts w:ascii="Times New Roman" w:hAnsi="Times New Roman"/>
          <w:b/>
          <w:bCs/>
          <w:sz w:val="24"/>
          <w:szCs w:val="24"/>
        </w:rPr>
      </w:pPr>
      <w:r w:rsidRPr="00B922AC">
        <w:rPr>
          <w:rStyle w:val="Hyperlink"/>
          <w:rFonts w:ascii="Times New Roman" w:hAnsi="Times New Roman"/>
          <w:b/>
          <w:bCs/>
          <w:color w:val="auto"/>
          <w:sz w:val="24"/>
          <w:szCs w:val="24"/>
          <w:u w:val="none"/>
        </w:rPr>
        <w:t xml:space="preserve">Legal Lessons Learned: </w:t>
      </w:r>
      <w:r w:rsidRPr="00B922AC">
        <w:rPr>
          <w:rFonts w:ascii="Times New Roman" w:hAnsi="Times New Roman"/>
          <w:b/>
          <w:bCs/>
          <w:sz w:val="24"/>
          <w:szCs w:val="24"/>
        </w:rPr>
        <w:t xml:space="preserve"> When “things go bad” on a run, inform hospital and supervisors and document on EMS run report.  </w:t>
      </w:r>
    </w:p>
    <w:bookmarkEnd w:id="507"/>
    <w:p w14:paraId="30B86A34" w14:textId="4FA29876" w:rsidR="00E052A6" w:rsidRPr="00715CF2" w:rsidRDefault="00E052A6" w:rsidP="00E052A6">
      <w:pPr>
        <w:rPr>
          <w:rFonts w:ascii="Times New Roman" w:hAnsi="Times New Roman"/>
          <w:bCs/>
          <w:sz w:val="24"/>
          <w:szCs w:val="24"/>
        </w:rPr>
      </w:pPr>
    </w:p>
    <w:p w14:paraId="56BD87AA" w14:textId="400A5B86" w:rsidR="009F0F05" w:rsidRDefault="009F0F05" w:rsidP="00DE0F03">
      <w:pPr>
        <w:pStyle w:val="NoSpacing"/>
        <w:rPr>
          <w:rFonts w:ascii="Arial Black" w:hAnsi="Arial Black"/>
          <w:sz w:val="24"/>
          <w:szCs w:val="24"/>
        </w:rPr>
      </w:pPr>
    </w:p>
    <w:p w14:paraId="5CA039B7" w14:textId="77777777" w:rsidR="00E052A6" w:rsidRDefault="00E052A6" w:rsidP="00DE0F03">
      <w:pPr>
        <w:pStyle w:val="NoSpacing"/>
        <w:rPr>
          <w:rFonts w:ascii="Arial Black" w:hAnsi="Arial Black"/>
          <w:sz w:val="24"/>
          <w:szCs w:val="24"/>
        </w:rPr>
      </w:pPr>
    </w:p>
    <w:p w14:paraId="0078AE03" w14:textId="77777777" w:rsidR="00E052A6" w:rsidRDefault="00E052A6" w:rsidP="00DE0F03">
      <w:pPr>
        <w:pStyle w:val="NoSpacing"/>
        <w:rPr>
          <w:rFonts w:ascii="Arial Black" w:hAnsi="Arial Black"/>
          <w:sz w:val="24"/>
          <w:szCs w:val="24"/>
        </w:rPr>
      </w:pPr>
    </w:p>
    <w:p w14:paraId="162195F8" w14:textId="09D30BCF" w:rsidR="00DE0F03" w:rsidRDefault="00DE0F03" w:rsidP="00DE0F03">
      <w:pPr>
        <w:pStyle w:val="NoSpacing"/>
        <w:rPr>
          <w:rFonts w:ascii="Arial Black" w:hAnsi="Arial Black"/>
          <w:sz w:val="24"/>
          <w:szCs w:val="24"/>
        </w:rPr>
      </w:pPr>
      <w:r>
        <w:rPr>
          <w:rFonts w:ascii="Arial Black" w:hAnsi="Arial Black"/>
          <w:sz w:val="24"/>
          <w:szCs w:val="24"/>
        </w:rPr>
        <w:t>13-2</w:t>
      </w:r>
      <w:r w:rsidR="00C95AF6">
        <w:rPr>
          <w:rFonts w:ascii="Arial Black" w:hAnsi="Arial Black"/>
          <w:sz w:val="24"/>
          <w:szCs w:val="24"/>
        </w:rPr>
        <w:t>8</w:t>
      </w:r>
    </w:p>
    <w:p w14:paraId="4380E4F3" w14:textId="77777777" w:rsidR="00DE0F03" w:rsidRDefault="00DE0F03" w:rsidP="00DE0F03">
      <w:pPr>
        <w:pStyle w:val="NoSpacing"/>
        <w:rPr>
          <w:rFonts w:ascii="Arial Black" w:hAnsi="Arial Black"/>
          <w:b/>
          <w:bCs/>
          <w:sz w:val="28"/>
          <w:szCs w:val="28"/>
        </w:rPr>
      </w:pPr>
    </w:p>
    <w:p w14:paraId="389C0B17" w14:textId="25AA6CED" w:rsidR="002B1283" w:rsidRPr="00D5555E" w:rsidRDefault="002B1283" w:rsidP="002B1283">
      <w:pPr>
        <w:rPr>
          <w:rFonts w:ascii="Arial Black" w:hAnsi="Arial Black"/>
          <w:b/>
          <w:bCs/>
          <w:sz w:val="28"/>
          <w:szCs w:val="28"/>
        </w:rPr>
      </w:pPr>
      <w:bookmarkStart w:id="508" w:name="_Hlk41153261"/>
      <w:r w:rsidRPr="00D5555E">
        <w:rPr>
          <w:rFonts w:ascii="Arial Black" w:hAnsi="Arial Black"/>
          <w:b/>
          <w:bCs/>
          <w:sz w:val="28"/>
          <w:szCs w:val="28"/>
        </w:rPr>
        <w:t xml:space="preserve">IN: </w:t>
      </w:r>
      <w:r>
        <w:rPr>
          <w:rFonts w:ascii="Arial Black" w:hAnsi="Arial Black"/>
          <w:b/>
          <w:bCs/>
          <w:sz w:val="28"/>
          <w:szCs w:val="28"/>
        </w:rPr>
        <w:t>UNRESP. DRIVER – DRIVES OFF WHEN MEDIC SEES REVOLVER – CONV. WITHOUT GUN FOUND – MEDIC’S FIREARM KNOWLEDGE</w:t>
      </w:r>
    </w:p>
    <w:p w14:paraId="55625648" w14:textId="77777777" w:rsidR="002B1283" w:rsidRDefault="002B1283" w:rsidP="002B1283">
      <w:pPr>
        <w:rPr>
          <w:rFonts w:ascii="Times New Roman" w:hAnsi="Times New Roman"/>
          <w:sz w:val="24"/>
          <w:szCs w:val="24"/>
        </w:rPr>
      </w:pPr>
      <w:r w:rsidRPr="00D5555E">
        <w:rPr>
          <w:rFonts w:ascii="Times New Roman" w:hAnsi="Times New Roman"/>
          <w:sz w:val="24"/>
          <w:szCs w:val="24"/>
        </w:rPr>
        <w:t xml:space="preserve">On July 15, 2019, in </w:t>
      </w:r>
      <w:r w:rsidRPr="00D5555E">
        <w:rPr>
          <w:rFonts w:ascii="Times New Roman" w:hAnsi="Times New Roman"/>
          <w:sz w:val="24"/>
          <w:szCs w:val="24"/>
          <w:u w:val="single"/>
        </w:rPr>
        <w:t>Evan Michael Sapp v. State of Indiana</w:t>
      </w:r>
      <w:r w:rsidRPr="00D5555E">
        <w:rPr>
          <w:rFonts w:ascii="Times New Roman" w:hAnsi="Times New Roman"/>
          <w:sz w:val="24"/>
          <w:szCs w:val="24"/>
        </w:rPr>
        <w:t xml:space="preserve">, </w:t>
      </w:r>
      <w:r>
        <w:rPr>
          <w:rFonts w:ascii="Times New Roman" w:hAnsi="Times New Roman"/>
          <w:sz w:val="24"/>
          <w:szCs w:val="24"/>
        </w:rPr>
        <w:t xml:space="preserve">the Court of Appeals (3 to 0) upheld the jury’s conviction, even though no firearm was ever recovered.  He received 12-year sentence as a serious violent felon, based on prior burglary conviction.  </w:t>
      </w:r>
    </w:p>
    <w:p w14:paraId="3894FBB2" w14:textId="77777777" w:rsidR="002B1283" w:rsidRPr="005A0B47" w:rsidRDefault="002B1283" w:rsidP="002B1283">
      <w:pPr>
        <w:pStyle w:val="NoSpacing"/>
        <w:ind w:left="720"/>
        <w:rPr>
          <w:rFonts w:ascii="Times New Roman" w:hAnsi="Times New Roman"/>
          <w:sz w:val="24"/>
          <w:szCs w:val="24"/>
        </w:rPr>
      </w:pPr>
      <w:r>
        <w:rPr>
          <w:rFonts w:ascii="Times New Roman" w:hAnsi="Times New Roman"/>
          <w:sz w:val="24"/>
          <w:szCs w:val="24"/>
        </w:rPr>
        <w:t>“</w:t>
      </w:r>
      <w:r w:rsidRPr="005A0B47">
        <w:rPr>
          <w:rFonts w:ascii="Times New Roman" w:hAnsi="Times New Roman"/>
          <w:sz w:val="24"/>
          <w:szCs w:val="24"/>
        </w:rPr>
        <w:t>We likewise reject Sapp’s broader argument that no reasonable trier of fact could have found from the evidence presented that what Osborne saw was a firearm (i.e., not a toy).</w:t>
      </w:r>
    </w:p>
    <w:p w14:paraId="4688B8F3" w14:textId="77777777" w:rsidR="002B1283" w:rsidRDefault="002B1283" w:rsidP="002B1283">
      <w:pPr>
        <w:pStyle w:val="NoSpacing"/>
        <w:ind w:left="720"/>
        <w:rPr>
          <w:rFonts w:ascii="Times New Roman" w:hAnsi="Times New Roman"/>
          <w:sz w:val="24"/>
          <w:szCs w:val="24"/>
        </w:rPr>
      </w:pPr>
      <w:r w:rsidRPr="005A0B47">
        <w:rPr>
          <w:rFonts w:ascii="Times New Roman" w:hAnsi="Times New Roman"/>
          <w:sz w:val="24"/>
          <w:szCs w:val="24"/>
        </w:rPr>
        <w:t>Osborne, who had decades of experience with guns,</w:t>
      </w:r>
      <w:r>
        <w:rPr>
          <w:rFonts w:ascii="Times New Roman" w:hAnsi="Times New Roman"/>
          <w:sz w:val="24"/>
          <w:szCs w:val="24"/>
        </w:rPr>
        <w:t xml:space="preserve"> </w:t>
      </w:r>
      <w:r w:rsidRPr="005A0B47">
        <w:rPr>
          <w:rFonts w:ascii="Times New Roman" w:hAnsi="Times New Roman"/>
          <w:sz w:val="24"/>
          <w:szCs w:val="24"/>
        </w:rPr>
        <w:t xml:space="preserve">testified in considerable detail about the gun that he saw, including its color, that it was a revolver, </w:t>
      </w:r>
      <w:proofErr w:type="gramStart"/>
      <w:r w:rsidRPr="005A0B47">
        <w:rPr>
          <w:rFonts w:ascii="Times New Roman" w:hAnsi="Times New Roman"/>
          <w:sz w:val="24"/>
          <w:szCs w:val="24"/>
        </w:rPr>
        <w:t>similar to</w:t>
      </w:r>
      <w:proofErr w:type="gramEnd"/>
      <w:r w:rsidRPr="005A0B47">
        <w:rPr>
          <w:rFonts w:ascii="Times New Roman" w:hAnsi="Times New Roman"/>
          <w:sz w:val="24"/>
          <w:szCs w:val="24"/>
        </w:rPr>
        <w:t xml:space="preserve"> one he owned, and had a </w:t>
      </w:r>
      <w:r>
        <w:rPr>
          <w:rFonts w:ascii="Times New Roman" w:hAnsi="Times New Roman"/>
          <w:sz w:val="24"/>
          <w:szCs w:val="24"/>
        </w:rPr>
        <w:t>‘</w:t>
      </w:r>
      <w:r w:rsidRPr="005A0B47">
        <w:rPr>
          <w:rFonts w:ascii="Times New Roman" w:hAnsi="Times New Roman"/>
          <w:sz w:val="24"/>
          <w:szCs w:val="24"/>
        </w:rPr>
        <w:t xml:space="preserve">trap </w:t>
      </w:r>
      <w:proofErr w:type="gramStart"/>
      <w:r w:rsidRPr="005A0B47">
        <w:rPr>
          <w:rFonts w:ascii="Times New Roman" w:hAnsi="Times New Roman"/>
          <w:sz w:val="24"/>
          <w:szCs w:val="24"/>
        </w:rPr>
        <w:t>door</w:t>
      </w:r>
      <w:r>
        <w:rPr>
          <w:rFonts w:ascii="Times New Roman" w:hAnsi="Times New Roman"/>
          <w:sz w:val="24"/>
          <w:szCs w:val="24"/>
        </w:rPr>
        <w:t>’</w:t>
      </w:r>
      <w:proofErr w:type="gramEnd"/>
      <w:r>
        <w:rPr>
          <w:rFonts w:ascii="Times New Roman" w:hAnsi="Times New Roman"/>
          <w:sz w:val="24"/>
          <w:szCs w:val="24"/>
        </w:rPr>
        <w:t xml:space="preserve"> </w:t>
      </w:r>
      <w:r w:rsidRPr="005A0B47">
        <w:rPr>
          <w:rFonts w:ascii="Times New Roman" w:hAnsi="Times New Roman"/>
          <w:sz w:val="24"/>
          <w:szCs w:val="24"/>
        </w:rPr>
        <w:t>feature consistent with small caliber pistols. Transcript Vol. II at 232, 235. He also said that, when he saw it, he did not think it was a toy and, in fact, was afraid for his safety when Sapp appeared to be reaching for it</w:t>
      </w:r>
      <w:r>
        <w:rPr>
          <w:rFonts w:ascii="Times New Roman" w:hAnsi="Times New Roman"/>
          <w:sz w:val="24"/>
          <w:szCs w:val="24"/>
        </w:rPr>
        <w:t>.”</w:t>
      </w:r>
    </w:p>
    <w:p w14:paraId="062C2197" w14:textId="77777777" w:rsidR="002B1283" w:rsidRPr="004F6070" w:rsidRDefault="002B1283" w:rsidP="002B1283">
      <w:pPr>
        <w:ind w:firstLine="720"/>
        <w:rPr>
          <w:rFonts w:ascii="Times New Roman" w:hAnsi="Times New Roman"/>
          <w:sz w:val="24"/>
          <w:szCs w:val="24"/>
        </w:rPr>
      </w:pPr>
      <w:hyperlink r:id="rId2386" w:history="1">
        <w:r w:rsidRPr="004F6070">
          <w:rPr>
            <w:rStyle w:val="Hyperlink"/>
            <w:rFonts w:ascii="Times New Roman" w:hAnsi="Times New Roman"/>
            <w:sz w:val="24"/>
            <w:szCs w:val="24"/>
          </w:rPr>
          <w:t>https://www.in.gov/judiciary/opinions/pdf/07151902rra.pdf</w:t>
        </w:r>
      </w:hyperlink>
      <w:r w:rsidRPr="004F6070">
        <w:rPr>
          <w:rFonts w:ascii="Times New Roman" w:hAnsi="Times New Roman"/>
          <w:sz w:val="24"/>
          <w:szCs w:val="24"/>
        </w:rPr>
        <w:t xml:space="preserve"> </w:t>
      </w:r>
    </w:p>
    <w:p w14:paraId="5ABAD75F" w14:textId="77777777" w:rsidR="002B1283" w:rsidRPr="00755833" w:rsidRDefault="002B1283" w:rsidP="002B1283">
      <w:pPr>
        <w:pStyle w:val="NoSpacing"/>
        <w:rPr>
          <w:rFonts w:ascii="Times New Roman" w:hAnsi="Times New Roman"/>
          <w:sz w:val="24"/>
          <w:szCs w:val="24"/>
        </w:rPr>
      </w:pPr>
    </w:p>
    <w:p w14:paraId="4CE535FF" w14:textId="77777777" w:rsidR="002B1283" w:rsidRDefault="002B1283" w:rsidP="002B1283">
      <w:pPr>
        <w:pStyle w:val="NoSpacing"/>
        <w:rPr>
          <w:rFonts w:ascii="Times New Roman" w:hAnsi="Times New Roman"/>
          <w:b/>
          <w:bCs/>
          <w:sz w:val="24"/>
          <w:szCs w:val="24"/>
        </w:rPr>
      </w:pPr>
      <w:r w:rsidRPr="00755833">
        <w:rPr>
          <w:rFonts w:ascii="Times New Roman" w:hAnsi="Times New Roman"/>
          <w:b/>
          <w:bCs/>
          <w:sz w:val="24"/>
          <w:szCs w:val="24"/>
        </w:rPr>
        <w:t xml:space="preserve">Legal Lessons Learned: </w:t>
      </w:r>
      <w:r>
        <w:rPr>
          <w:rFonts w:ascii="Times New Roman" w:hAnsi="Times New Roman"/>
          <w:b/>
          <w:bCs/>
          <w:sz w:val="24"/>
          <w:szCs w:val="24"/>
        </w:rPr>
        <w:t xml:space="preserve"> Paramedic’s long experience with firearms, and his written report to police shortly after the EMS run, were powerful evidence.</w:t>
      </w:r>
    </w:p>
    <w:p w14:paraId="1055535A" w14:textId="77777777" w:rsidR="002B1283" w:rsidRDefault="002B1283" w:rsidP="002B1283">
      <w:pPr>
        <w:pStyle w:val="NoSpacing"/>
        <w:rPr>
          <w:rFonts w:ascii="Times New Roman" w:hAnsi="Times New Roman"/>
          <w:b/>
          <w:bCs/>
          <w:sz w:val="24"/>
          <w:szCs w:val="24"/>
        </w:rPr>
      </w:pPr>
    </w:p>
    <w:p w14:paraId="346B63C3" w14:textId="77777777" w:rsidR="002B1283" w:rsidRDefault="002B1283" w:rsidP="002B1283">
      <w:pPr>
        <w:pStyle w:val="NoSpacing"/>
        <w:ind w:left="720"/>
        <w:rPr>
          <w:rFonts w:ascii="Times New Roman" w:hAnsi="Times New Roman"/>
          <w:sz w:val="24"/>
          <w:szCs w:val="24"/>
        </w:rPr>
      </w:pPr>
      <w:r w:rsidRPr="00F30DAD">
        <w:rPr>
          <w:rFonts w:ascii="Times New Roman" w:hAnsi="Times New Roman"/>
          <w:sz w:val="24"/>
          <w:szCs w:val="24"/>
        </w:rPr>
        <w:lastRenderedPageBreak/>
        <w:t>Note: Under prior Indiana case law, a firearm does not need to be recovered</w:t>
      </w:r>
      <w:r>
        <w:rPr>
          <w:rFonts w:ascii="Times New Roman" w:hAnsi="Times New Roman"/>
          <w:sz w:val="24"/>
          <w:szCs w:val="24"/>
        </w:rPr>
        <w:t xml:space="preserve"> to convict for unlawful possession</w:t>
      </w:r>
      <w:r w:rsidRPr="00F30DAD">
        <w:rPr>
          <w:rFonts w:ascii="Times New Roman" w:hAnsi="Times New Roman"/>
          <w:sz w:val="24"/>
          <w:szCs w:val="24"/>
        </w:rPr>
        <w:t xml:space="preserve">.  </w:t>
      </w:r>
    </w:p>
    <w:p w14:paraId="16DEEEEF" w14:textId="77777777" w:rsidR="002B1283" w:rsidRDefault="002B1283" w:rsidP="002B1283">
      <w:pPr>
        <w:pStyle w:val="NoSpacing"/>
        <w:ind w:left="720"/>
        <w:rPr>
          <w:rFonts w:ascii="Times New Roman" w:hAnsi="Times New Roman"/>
          <w:sz w:val="24"/>
          <w:szCs w:val="24"/>
        </w:rPr>
      </w:pPr>
    </w:p>
    <w:p w14:paraId="0180F80E" w14:textId="77777777" w:rsidR="002B1283" w:rsidRDefault="002B1283" w:rsidP="002B1283">
      <w:pPr>
        <w:pStyle w:val="NoSpacing"/>
        <w:ind w:left="1440"/>
        <w:rPr>
          <w:rFonts w:ascii="Times New Roman" w:hAnsi="Times New Roman"/>
          <w:sz w:val="24"/>
          <w:szCs w:val="24"/>
        </w:rPr>
      </w:pPr>
      <w:bookmarkStart w:id="509" w:name="_Hlk41153282"/>
      <w:bookmarkEnd w:id="508"/>
      <w:r>
        <w:rPr>
          <w:rFonts w:ascii="Times New Roman" w:hAnsi="Times New Roman"/>
          <w:sz w:val="24"/>
          <w:szCs w:val="24"/>
        </w:rPr>
        <w:t>“</w:t>
      </w:r>
      <w:r w:rsidRPr="005A0B47">
        <w:rPr>
          <w:rFonts w:ascii="Times New Roman" w:hAnsi="Times New Roman"/>
          <w:sz w:val="24"/>
          <w:szCs w:val="24"/>
        </w:rPr>
        <w:t>Sapp acknowledges that our courts have sustained a conviction in circumstances when the firearm was not located after the defendant’s arrest</w:t>
      </w:r>
      <w:r>
        <w:rPr>
          <w:rFonts w:ascii="Times New Roman" w:hAnsi="Times New Roman"/>
          <w:sz w:val="24"/>
          <w:szCs w:val="24"/>
        </w:rPr>
        <w:t xml:space="preserve"> </w:t>
      </w:r>
      <w:r w:rsidRPr="005A0B47">
        <w:rPr>
          <w:rFonts w:ascii="Times New Roman" w:hAnsi="Times New Roman"/>
          <w:sz w:val="24"/>
          <w:szCs w:val="24"/>
        </w:rPr>
        <w:t>but urges that, unlike where a defendant displayed or used a weapon, he did nothing “to signify or imply that the item [in his truck]was a ‘firearm.’” Id. at 5. We disagree</w:t>
      </w:r>
      <w:r>
        <w:rPr>
          <w:rFonts w:ascii="Times New Roman" w:hAnsi="Times New Roman"/>
          <w:sz w:val="24"/>
          <w:szCs w:val="24"/>
        </w:rPr>
        <w:t xml:space="preserve">… </w:t>
      </w:r>
      <w:r w:rsidRPr="005A0B47">
        <w:rPr>
          <w:rFonts w:ascii="Times New Roman" w:hAnsi="Times New Roman"/>
          <w:sz w:val="24"/>
          <w:szCs w:val="24"/>
        </w:rPr>
        <w:t xml:space="preserve">Footnote 1:  See e.g., </w:t>
      </w:r>
      <w:proofErr w:type="gramStart"/>
      <w:r w:rsidRPr="005A0B47">
        <w:rPr>
          <w:rFonts w:ascii="Times New Roman" w:hAnsi="Times New Roman"/>
          <w:sz w:val="24"/>
          <w:szCs w:val="24"/>
        </w:rPr>
        <w:t>Gray</w:t>
      </w:r>
      <w:proofErr w:type="gramEnd"/>
      <w:r w:rsidRPr="005A0B47">
        <w:rPr>
          <w:rFonts w:ascii="Times New Roman" w:hAnsi="Times New Roman"/>
          <w:sz w:val="24"/>
          <w:szCs w:val="24"/>
        </w:rPr>
        <w:t xml:space="preserve"> v. State, 903 N.E.2d 940, 943 (Ind. 2009)</w:t>
      </w:r>
      <w:r>
        <w:rPr>
          <w:rFonts w:ascii="Times New Roman" w:hAnsi="Times New Roman"/>
          <w:sz w:val="24"/>
          <w:szCs w:val="24"/>
        </w:rPr>
        <w:t xml:space="preserve">. </w:t>
      </w:r>
    </w:p>
    <w:p w14:paraId="0CA56E6E" w14:textId="77777777" w:rsidR="00AE0ACC" w:rsidRDefault="00AE0ACC" w:rsidP="00AE0ACC">
      <w:pPr>
        <w:pStyle w:val="NoSpacing"/>
        <w:rPr>
          <w:sz w:val="24"/>
          <w:szCs w:val="24"/>
        </w:rPr>
      </w:pPr>
    </w:p>
    <w:bookmarkEnd w:id="509"/>
    <w:p w14:paraId="58E5DFF2" w14:textId="77777777" w:rsidR="002B1283" w:rsidRDefault="002B1283" w:rsidP="00527EDF">
      <w:pPr>
        <w:pStyle w:val="NoSpacing"/>
        <w:rPr>
          <w:sz w:val="24"/>
          <w:szCs w:val="24"/>
        </w:rPr>
      </w:pPr>
    </w:p>
    <w:p w14:paraId="6DD9D18B" w14:textId="77777777" w:rsidR="002B1283" w:rsidRDefault="002B1283" w:rsidP="00527EDF">
      <w:pPr>
        <w:pStyle w:val="NoSpacing"/>
        <w:rPr>
          <w:sz w:val="24"/>
          <w:szCs w:val="24"/>
        </w:rPr>
      </w:pPr>
    </w:p>
    <w:p w14:paraId="4BFCFE08" w14:textId="2408E0FA" w:rsidR="00DE0F03" w:rsidRDefault="00DE0F03" w:rsidP="00DE0F03">
      <w:pPr>
        <w:pStyle w:val="NoSpacing"/>
        <w:rPr>
          <w:rFonts w:ascii="Arial Black" w:hAnsi="Arial Black"/>
          <w:sz w:val="24"/>
          <w:szCs w:val="24"/>
        </w:rPr>
      </w:pPr>
      <w:r>
        <w:rPr>
          <w:rFonts w:ascii="Arial Black" w:hAnsi="Arial Black"/>
          <w:sz w:val="24"/>
          <w:szCs w:val="24"/>
        </w:rPr>
        <w:t>13-2</w:t>
      </w:r>
      <w:r w:rsidR="00C95AF6">
        <w:rPr>
          <w:rFonts w:ascii="Arial Black" w:hAnsi="Arial Black"/>
          <w:sz w:val="24"/>
          <w:szCs w:val="24"/>
        </w:rPr>
        <w:t>7</w:t>
      </w:r>
    </w:p>
    <w:p w14:paraId="7795604B" w14:textId="77777777" w:rsidR="002B1283" w:rsidRDefault="002B1283" w:rsidP="00527EDF">
      <w:pPr>
        <w:pStyle w:val="NoSpacing"/>
        <w:rPr>
          <w:sz w:val="24"/>
          <w:szCs w:val="24"/>
        </w:rPr>
      </w:pPr>
    </w:p>
    <w:p w14:paraId="1E4A0418" w14:textId="5848B004" w:rsidR="00527EDF" w:rsidRDefault="00527EDF" w:rsidP="00527EDF">
      <w:pPr>
        <w:pStyle w:val="NoSpacing"/>
        <w:rPr>
          <w:rFonts w:ascii="Arial Black" w:hAnsi="Arial Black" w:cs="Arial"/>
          <w:sz w:val="28"/>
          <w:szCs w:val="28"/>
        </w:rPr>
      </w:pPr>
      <w:bookmarkStart w:id="510" w:name="_Hlk41153336"/>
      <w:r w:rsidRPr="00AF5E92">
        <w:rPr>
          <w:rFonts w:ascii="Arial Black" w:hAnsi="Arial Black" w:cs="Arial"/>
          <w:sz w:val="28"/>
          <w:szCs w:val="28"/>
        </w:rPr>
        <w:t>CA:</w:t>
      </w:r>
      <w:r>
        <w:rPr>
          <w:rFonts w:ascii="Arial Black" w:hAnsi="Arial Black" w:cs="Arial"/>
          <w:sz w:val="28"/>
          <w:szCs w:val="28"/>
        </w:rPr>
        <w:t xml:space="preserve"> FLIGHT PARAM. KILLED HELICOPTER CRASH – ONLY WORKERS COMP - CAN’T SUE HELICOPTER CO. - “SPECIAL EMPLOYEE”</w:t>
      </w:r>
    </w:p>
    <w:p w14:paraId="74502AEE" w14:textId="77777777" w:rsidR="00527EDF" w:rsidRDefault="00527EDF" w:rsidP="00527EDF">
      <w:pPr>
        <w:pStyle w:val="NoSpacing"/>
        <w:rPr>
          <w:rFonts w:ascii="Arial Black" w:hAnsi="Arial Black" w:cs="Arial"/>
          <w:sz w:val="28"/>
          <w:szCs w:val="28"/>
        </w:rPr>
      </w:pPr>
    </w:p>
    <w:p w14:paraId="456FE34B" w14:textId="1E210882" w:rsidR="00527EDF" w:rsidRDefault="00527EDF" w:rsidP="00527EDF">
      <w:pPr>
        <w:pStyle w:val="NoSpacing"/>
        <w:rPr>
          <w:rFonts w:ascii="Times New Roman" w:hAnsi="Times New Roman"/>
          <w:sz w:val="24"/>
          <w:szCs w:val="24"/>
        </w:rPr>
      </w:pPr>
      <w:r w:rsidRPr="003316F4">
        <w:rPr>
          <w:rFonts w:ascii="Times New Roman" w:hAnsi="Times New Roman"/>
          <w:sz w:val="24"/>
          <w:szCs w:val="24"/>
        </w:rPr>
        <w:t xml:space="preserve">On May 24, 2019, in </w:t>
      </w:r>
      <w:r w:rsidRPr="003316F4">
        <w:rPr>
          <w:rFonts w:ascii="Times New Roman" w:hAnsi="Times New Roman"/>
          <w:sz w:val="24"/>
          <w:szCs w:val="24"/>
          <w:u w:val="single"/>
        </w:rPr>
        <w:t>Brooke Juarez v. Rogers Helicopters, Inc.</w:t>
      </w:r>
      <w:r>
        <w:rPr>
          <w:rFonts w:ascii="Times New Roman" w:hAnsi="Times New Roman"/>
          <w:sz w:val="24"/>
          <w:szCs w:val="24"/>
          <w:u w:val="single"/>
        </w:rPr>
        <w:t>, et al.</w:t>
      </w:r>
      <w:r>
        <w:rPr>
          <w:rFonts w:ascii="Times New Roman" w:hAnsi="Times New Roman"/>
          <w:sz w:val="24"/>
          <w:szCs w:val="24"/>
        </w:rPr>
        <w:t xml:space="preserve">, the Court of Appeals for California, Fifth Appellate District, held (3 to 0) in an unpublished decision, the trial court properly granted summary judgment to the helicopter company; the deceased paramedic was a “general employee” of American Airborne company, and a “special employee” of Rogers Helicopter, and therefore workers compensation was the sole remedy for the wife of the deceased paramedic. </w:t>
      </w:r>
    </w:p>
    <w:p w14:paraId="706F7D86" w14:textId="77777777" w:rsidR="00527EDF" w:rsidRPr="003316F4" w:rsidRDefault="00527EDF" w:rsidP="00527EDF">
      <w:pPr>
        <w:pStyle w:val="NoSpacing"/>
        <w:rPr>
          <w:rFonts w:ascii="Times New Roman" w:hAnsi="Times New Roman"/>
          <w:sz w:val="24"/>
          <w:szCs w:val="24"/>
        </w:rPr>
      </w:pPr>
    </w:p>
    <w:p w14:paraId="60BEB463" w14:textId="77777777" w:rsidR="00527EDF" w:rsidRDefault="00527EDF" w:rsidP="00527EDF">
      <w:pPr>
        <w:pStyle w:val="NoSpacing"/>
        <w:ind w:left="720"/>
        <w:rPr>
          <w:rFonts w:ascii="Times New Roman" w:hAnsi="Times New Roman"/>
          <w:sz w:val="24"/>
          <w:szCs w:val="24"/>
        </w:rPr>
      </w:pPr>
      <w:r>
        <w:rPr>
          <w:rFonts w:ascii="Times New Roman" w:hAnsi="Times New Roman"/>
          <w:sz w:val="24"/>
          <w:szCs w:val="24"/>
        </w:rPr>
        <w:t>“</w:t>
      </w:r>
      <w:r w:rsidRPr="003316F4">
        <w:rPr>
          <w:rFonts w:ascii="Times New Roman" w:hAnsi="Times New Roman"/>
          <w:sz w:val="24"/>
          <w:szCs w:val="24"/>
        </w:rPr>
        <w:t xml:space="preserve">In sum, based on the facts and circumstances of this case, since </w:t>
      </w:r>
      <w:proofErr w:type="spellStart"/>
      <w:r w:rsidRPr="003316F4">
        <w:rPr>
          <w:rFonts w:ascii="Times New Roman" w:hAnsi="Times New Roman"/>
          <w:sz w:val="24"/>
          <w:szCs w:val="24"/>
        </w:rPr>
        <w:t>SkyLife</w:t>
      </w:r>
      <w:proofErr w:type="spellEnd"/>
      <w:r>
        <w:rPr>
          <w:rFonts w:ascii="Times New Roman" w:hAnsi="Times New Roman"/>
          <w:sz w:val="24"/>
          <w:szCs w:val="24"/>
        </w:rPr>
        <w:t xml:space="preserve"> </w:t>
      </w:r>
      <w:r w:rsidRPr="003316F4">
        <w:rPr>
          <w:rFonts w:ascii="Times New Roman" w:hAnsi="Times New Roman"/>
          <w:sz w:val="24"/>
          <w:szCs w:val="24"/>
        </w:rPr>
        <w:t xml:space="preserve">was Juarez’s special employer, </w:t>
      </w:r>
      <w:proofErr w:type="spellStart"/>
      <w:r w:rsidRPr="003316F4">
        <w:rPr>
          <w:rFonts w:ascii="Times New Roman" w:hAnsi="Times New Roman"/>
          <w:sz w:val="24"/>
          <w:szCs w:val="24"/>
        </w:rPr>
        <w:t>SkyLife’s</w:t>
      </w:r>
      <w:proofErr w:type="spellEnd"/>
      <w:r w:rsidRPr="003316F4">
        <w:rPr>
          <w:rFonts w:ascii="Times New Roman" w:hAnsi="Times New Roman"/>
          <w:sz w:val="24"/>
          <w:szCs w:val="24"/>
        </w:rPr>
        <w:t xml:space="preserve"> general partners, American Airborne and Rogers Helicopters, are also Juarez’s special employers. As such, respondents are all immune from tort </w:t>
      </w:r>
      <w:proofErr w:type="gramStart"/>
      <w:r w:rsidRPr="003316F4">
        <w:rPr>
          <w:rFonts w:ascii="Times New Roman" w:hAnsi="Times New Roman"/>
          <w:sz w:val="24"/>
          <w:szCs w:val="24"/>
        </w:rPr>
        <w:t>liability</w:t>
      </w:r>
      <w:proofErr w:type="gramEnd"/>
      <w:r w:rsidRPr="003316F4">
        <w:rPr>
          <w:rFonts w:ascii="Times New Roman" w:hAnsi="Times New Roman"/>
          <w:sz w:val="24"/>
          <w:szCs w:val="24"/>
        </w:rPr>
        <w:t xml:space="preserve"> and the trial court properly granted summary judgment in their favor</w:t>
      </w:r>
      <w:r>
        <w:rPr>
          <w:rFonts w:ascii="Times New Roman" w:hAnsi="Times New Roman"/>
          <w:sz w:val="24"/>
          <w:szCs w:val="24"/>
        </w:rPr>
        <w:t>.”</w:t>
      </w:r>
    </w:p>
    <w:p w14:paraId="0F1B1C80" w14:textId="41BCC0DA" w:rsidR="00527EDF" w:rsidRDefault="00527EDF" w:rsidP="00527EDF">
      <w:pPr>
        <w:pStyle w:val="NoSpacing"/>
        <w:ind w:left="720"/>
        <w:rPr>
          <w:rFonts w:ascii="Times New Roman" w:hAnsi="Times New Roman"/>
          <w:sz w:val="24"/>
          <w:szCs w:val="24"/>
        </w:rPr>
      </w:pPr>
      <w:hyperlink r:id="rId2387" w:history="1">
        <w:r w:rsidRPr="00821231">
          <w:rPr>
            <w:rStyle w:val="Hyperlink"/>
            <w:rFonts w:ascii="Times New Roman" w:hAnsi="Times New Roman"/>
            <w:sz w:val="24"/>
            <w:szCs w:val="24"/>
          </w:rPr>
          <w:t>https://www.courts.ca.gov/opinions/nonpub/F076225.PDF</w:t>
        </w:r>
      </w:hyperlink>
      <w:r>
        <w:rPr>
          <w:rFonts w:ascii="Times New Roman" w:hAnsi="Times New Roman"/>
          <w:sz w:val="24"/>
          <w:szCs w:val="24"/>
        </w:rPr>
        <w:t xml:space="preserve"> </w:t>
      </w:r>
    </w:p>
    <w:p w14:paraId="013F37C7" w14:textId="714B72D4" w:rsidR="00527EDF" w:rsidRDefault="00527EDF" w:rsidP="00527EDF">
      <w:pPr>
        <w:pStyle w:val="NoSpacing"/>
        <w:ind w:left="720"/>
        <w:rPr>
          <w:rFonts w:ascii="Times New Roman" w:hAnsi="Times New Roman"/>
          <w:sz w:val="24"/>
          <w:szCs w:val="24"/>
        </w:rPr>
      </w:pPr>
    </w:p>
    <w:p w14:paraId="5500346D" w14:textId="77777777" w:rsidR="00527EDF" w:rsidRPr="00842296" w:rsidRDefault="00527EDF" w:rsidP="00527EDF">
      <w:pPr>
        <w:pStyle w:val="NoSpacing"/>
        <w:rPr>
          <w:rFonts w:ascii="Times New Roman" w:hAnsi="Times New Roman"/>
          <w:b/>
          <w:sz w:val="24"/>
          <w:szCs w:val="24"/>
        </w:rPr>
      </w:pPr>
      <w:r w:rsidRPr="00842296">
        <w:rPr>
          <w:rFonts w:ascii="Times New Roman" w:hAnsi="Times New Roman"/>
          <w:b/>
          <w:sz w:val="24"/>
          <w:szCs w:val="24"/>
        </w:rPr>
        <w:t xml:space="preserve">Legal Lessons Learned: </w:t>
      </w:r>
      <w:r>
        <w:rPr>
          <w:rFonts w:ascii="Times New Roman" w:hAnsi="Times New Roman"/>
          <w:b/>
          <w:sz w:val="24"/>
          <w:szCs w:val="24"/>
        </w:rPr>
        <w:t xml:space="preserve"> Flight paramedics may be considered “dual employees” in many states; and workers comp. is their sole remedy for injury or death in those states.  </w:t>
      </w:r>
    </w:p>
    <w:p w14:paraId="03E80DE5" w14:textId="77777777" w:rsidR="00527EDF" w:rsidRPr="00842296" w:rsidRDefault="00527EDF" w:rsidP="00527EDF">
      <w:pPr>
        <w:pStyle w:val="NoSpacing"/>
        <w:ind w:firstLine="720"/>
        <w:rPr>
          <w:rFonts w:ascii="Times New Roman" w:hAnsi="Times New Roman"/>
          <w:sz w:val="24"/>
          <w:szCs w:val="24"/>
        </w:rPr>
      </w:pPr>
      <w:r w:rsidRPr="00842296">
        <w:rPr>
          <w:rFonts w:ascii="Times New Roman" w:hAnsi="Times New Roman"/>
          <w:sz w:val="24"/>
          <w:szCs w:val="24"/>
        </w:rPr>
        <w:t>See article on the crash:</w:t>
      </w:r>
    </w:p>
    <w:p w14:paraId="7869CAED" w14:textId="77777777" w:rsidR="00527EDF" w:rsidRDefault="00527EDF" w:rsidP="00527EDF">
      <w:pPr>
        <w:pStyle w:val="NoSpacing"/>
        <w:ind w:firstLine="720"/>
      </w:pPr>
      <w:hyperlink r:id="rId2388" w:history="1">
        <w:r w:rsidRPr="005B46AA">
          <w:rPr>
            <w:rStyle w:val="Hyperlink"/>
          </w:rPr>
          <w:t>https://www.fresnobee.com/news/local/article167656267.html</w:t>
        </w:r>
      </w:hyperlink>
      <w:r>
        <w:t xml:space="preserve"> </w:t>
      </w:r>
    </w:p>
    <w:p w14:paraId="0D9AE3E8" w14:textId="77777777" w:rsidR="00527EDF" w:rsidRPr="00DE64B9" w:rsidRDefault="00527EDF" w:rsidP="00527EDF">
      <w:pPr>
        <w:pStyle w:val="NoSpacing"/>
        <w:ind w:left="720"/>
        <w:rPr>
          <w:rFonts w:ascii="Times New Roman" w:hAnsi="Times New Roman"/>
          <w:sz w:val="24"/>
          <w:szCs w:val="24"/>
        </w:rPr>
      </w:pPr>
      <w:r w:rsidRPr="00DE64B9">
        <w:rPr>
          <w:rFonts w:ascii="Times New Roman" w:hAnsi="Times New Roman"/>
          <w:sz w:val="24"/>
          <w:szCs w:val="24"/>
        </w:rPr>
        <w:t xml:space="preserve">See trial court’s summary judgment decision: </w:t>
      </w:r>
      <w:hyperlink r:id="rId2389" w:history="1">
        <w:r w:rsidRPr="005B46AA">
          <w:rPr>
            <w:rStyle w:val="Hyperlink"/>
            <w:rFonts w:ascii="Times New Roman" w:hAnsi="Times New Roman"/>
            <w:sz w:val="24"/>
            <w:szCs w:val="24"/>
          </w:rPr>
          <w:t>https://assets.documentcloud.org/documents/3933644/Order-Granting-Summary-Judgment.pdf</w:t>
        </w:r>
      </w:hyperlink>
      <w:r w:rsidRPr="00DE64B9">
        <w:rPr>
          <w:rFonts w:ascii="Times New Roman" w:hAnsi="Times New Roman"/>
          <w:sz w:val="24"/>
          <w:szCs w:val="24"/>
        </w:rPr>
        <w:t xml:space="preserve"> </w:t>
      </w:r>
    </w:p>
    <w:p w14:paraId="0A25EDDD" w14:textId="77777777" w:rsidR="00527EDF" w:rsidRPr="00DE64B9" w:rsidRDefault="00527EDF" w:rsidP="00527EDF">
      <w:pPr>
        <w:pStyle w:val="NoSpacing"/>
        <w:ind w:left="720"/>
        <w:rPr>
          <w:rFonts w:ascii="Times New Roman" w:hAnsi="Times New Roman"/>
          <w:sz w:val="24"/>
          <w:szCs w:val="24"/>
        </w:rPr>
      </w:pPr>
      <w:r w:rsidRPr="00DE64B9">
        <w:rPr>
          <w:rFonts w:ascii="Times New Roman" w:hAnsi="Times New Roman"/>
          <w:sz w:val="24"/>
          <w:szCs w:val="24"/>
        </w:rPr>
        <w:t>See this article about air</w:t>
      </w:r>
      <w:r>
        <w:rPr>
          <w:rFonts w:ascii="Times New Roman" w:hAnsi="Times New Roman"/>
          <w:sz w:val="24"/>
          <w:szCs w:val="24"/>
        </w:rPr>
        <w:t xml:space="preserve"> </w:t>
      </w:r>
      <w:r w:rsidRPr="00DE64B9">
        <w:rPr>
          <w:rFonts w:ascii="Times New Roman" w:hAnsi="Times New Roman"/>
          <w:sz w:val="24"/>
          <w:szCs w:val="24"/>
        </w:rPr>
        <w:t xml:space="preserve">care helicopter crashes: </w:t>
      </w:r>
      <w:hyperlink r:id="rId2390" w:history="1">
        <w:r w:rsidRPr="005B46AA">
          <w:rPr>
            <w:rStyle w:val="Hyperlink"/>
            <w:rFonts w:ascii="Times New Roman" w:hAnsi="Times New Roman"/>
            <w:sz w:val="24"/>
            <w:szCs w:val="24"/>
          </w:rPr>
          <w:t>https://www.plaintiffmagazine.com/recent-issues/item/ems-helicopter-crashes-raise-complex-liability-issues</w:t>
        </w:r>
      </w:hyperlink>
      <w:r w:rsidRPr="00DE64B9">
        <w:rPr>
          <w:rFonts w:ascii="Times New Roman" w:hAnsi="Times New Roman"/>
          <w:sz w:val="24"/>
          <w:szCs w:val="24"/>
        </w:rPr>
        <w:t xml:space="preserve"> </w:t>
      </w:r>
    </w:p>
    <w:p w14:paraId="6C22DBB3" w14:textId="77777777" w:rsidR="00527EDF" w:rsidRPr="00DE64B9" w:rsidRDefault="00527EDF" w:rsidP="00527EDF">
      <w:pPr>
        <w:pStyle w:val="NoSpacing"/>
        <w:ind w:left="1440"/>
        <w:rPr>
          <w:rFonts w:ascii="Times New Roman" w:hAnsi="Times New Roman"/>
          <w:sz w:val="24"/>
          <w:szCs w:val="24"/>
        </w:rPr>
      </w:pPr>
      <w:r w:rsidRPr="00DE64B9">
        <w:rPr>
          <w:rFonts w:ascii="Times New Roman" w:hAnsi="Times New Roman"/>
          <w:sz w:val="24"/>
          <w:szCs w:val="24"/>
        </w:rPr>
        <w:t xml:space="preserve">“Of course, if the crash was caused by a defect in the helicopter, the crew case may proceed against the helicopter manufacturer. But there are legal challenges to be overcome there as well. A federal statute of repose known as the General Aviation Revitalization Act, or GARA, bars </w:t>
      </w:r>
      <w:proofErr w:type="gramStart"/>
      <w:r w:rsidRPr="00DE64B9">
        <w:rPr>
          <w:rFonts w:ascii="Times New Roman" w:hAnsi="Times New Roman"/>
          <w:sz w:val="24"/>
          <w:szCs w:val="24"/>
        </w:rPr>
        <w:t>claims</w:t>
      </w:r>
      <w:proofErr w:type="gramEnd"/>
      <w:r w:rsidRPr="00DE64B9">
        <w:rPr>
          <w:rFonts w:ascii="Times New Roman" w:hAnsi="Times New Roman"/>
          <w:sz w:val="24"/>
          <w:szCs w:val="24"/>
        </w:rPr>
        <w:t xml:space="preserve"> against the manufacturer if the helicopter is older than 18 years. And beneath their shiny paint, most of the helicopters now in service date back to the 1970s. (In case you’re wondering, GARA protects not just US helicopter manufacturers, but foreign helicopter manufacturers too.)”</w:t>
      </w:r>
    </w:p>
    <w:bookmarkEnd w:id="510"/>
    <w:p w14:paraId="76812F4B" w14:textId="74D719C3" w:rsidR="00527EDF" w:rsidRDefault="00527EDF" w:rsidP="00527EDF">
      <w:pPr>
        <w:pStyle w:val="NoSpacing"/>
        <w:ind w:left="720"/>
        <w:rPr>
          <w:rFonts w:ascii="Times New Roman" w:hAnsi="Times New Roman"/>
          <w:sz w:val="24"/>
          <w:szCs w:val="24"/>
        </w:rPr>
      </w:pPr>
    </w:p>
    <w:p w14:paraId="7B0443D9" w14:textId="6DABDF54" w:rsidR="00527EDF" w:rsidRDefault="00527EDF" w:rsidP="00527EDF">
      <w:pPr>
        <w:pStyle w:val="NoSpacing"/>
        <w:ind w:left="720"/>
        <w:rPr>
          <w:rFonts w:ascii="Times New Roman" w:hAnsi="Times New Roman"/>
          <w:sz w:val="24"/>
          <w:szCs w:val="24"/>
        </w:rPr>
      </w:pPr>
    </w:p>
    <w:p w14:paraId="7808354A" w14:textId="77777777" w:rsidR="0097592D" w:rsidRDefault="0097592D" w:rsidP="00DE0F03">
      <w:pPr>
        <w:pStyle w:val="NoSpacing"/>
        <w:rPr>
          <w:rFonts w:ascii="Arial Black" w:hAnsi="Arial Black"/>
          <w:sz w:val="24"/>
          <w:szCs w:val="24"/>
        </w:rPr>
      </w:pPr>
    </w:p>
    <w:p w14:paraId="5F00D369" w14:textId="77777777" w:rsidR="0097592D" w:rsidRDefault="0097592D" w:rsidP="00DE0F03">
      <w:pPr>
        <w:pStyle w:val="NoSpacing"/>
        <w:rPr>
          <w:rFonts w:ascii="Arial Black" w:hAnsi="Arial Black"/>
          <w:sz w:val="24"/>
          <w:szCs w:val="24"/>
        </w:rPr>
      </w:pPr>
    </w:p>
    <w:p w14:paraId="761B919D" w14:textId="6DF1596E" w:rsidR="00DE0F03" w:rsidRDefault="00DE0F03" w:rsidP="00DE0F03">
      <w:pPr>
        <w:pStyle w:val="NoSpacing"/>
        <w:rPr>
          <w:rFonts w:ascii="Arial Black" w:hAnsi="Arial Black"/>
          <w:sz w:val="24"/>
          <w:szCs w:val="24"/>
        </w:rPr>
      </w:pPr>
      <w:r>
        <w:rPr>
          <w:rFonts w:ascii="Arial Black" w:hAnsi="Arial Black"/>
          <w:sz w:val="24"/>
          <w:szCs w:val="24"/>
        </w:rPr>
        <w:t>13-2</w:t>
      </w:r>
      <w:r w:rsidR="00C95AF6">
        <w:rPr>
          <w:rFonts w:ascii="Arial Black" w:hAnsi="Arial Black"/>
          <w:sz w:val="24"/>
          <w:szCs w:val="24"/>
        </w:rPr>
        <w:t>6</w:t>
      </w:r>
    </w:p>
    <w:p w14:paraId="0C0D5250" w14:textId="77777777" w:rsidR="00DE0F03" w:rsidRDefault="00DE0F03" w:rsidP="00527EDF">
      <w:pPr>
        <w:pStyle w:val="NoSpacing"/>
        <w:rPr>
          <w:rFonts w:ascii="Arial Black" w:hAnsi="Arial Black"/>
          <w:sz w:val="28"/>
          <w:szCs w:val="28"/>
        </w:rPr>
      </w:pPr>
    </w:p>
    <w:p w14:paraId="09D32D39" w14:textId="56381EAD" w:rsidR="00527EDF" w:rsidRPr="00842470" w:rsidRDefault="00527EDF" w:rsidP="00527EDF">
      <w:pPr>
        <w:pStyle w:val="NoSpacing"/>
        <w:rPr>
          <w:rFonts w:ascii="Arial Black" w:hAnsi="Arial Black"/>
          <w:sz w:val="28"/>
          <w:szCs w:val="28"/>
        </w:rPr>
      </w:pPr>
      <w:bookmarkStart w:id="511" w:name="_Hlk41153395"/>
      <w:r w:rsidRPr="00842470">
        <w:rPr>
          <w:rFonts w:ascii="Arial Black" w:hAnsi="Arial Black"/>
          <w:sz w:val="28"/>
          <w:szCs w:val="28"/>
        </w:rPr>
        <w:lastRenderedPageBreak/>
        <w:t xml:space="preserve">KY: </w:t>
      </w:r>
      <w:r>
        <w:rPr>
          <w:rFonts w:ascii="Arial Black" w:hAnsi="Arial Black"/>
          <w:sz w:val="28"/>
          <w:szCs w:val="28"/>
        </w:rPr>
        <w:t xml:space="preserve">DRIVER / POSS. STROKE - REFUSED TREATMENT - PD TOOK </w:t>
      </w:r>
      <w:r w:rsidR="009C7552">
        <w:rPr>
          <w:rFonts w:ascii="Arial Black" w:hAnsi="Arial Black"/>
          <w:sz w:val="28"/>
          <w:szCs w:val="28"/>
        </w:rPr>
        <w:t>HIM TO McDonalds</w:t>
      </w:r>
      <w:r>
        <w:rPr>
          <w:rFonts w:ascii="Arial Black" w:hAnsi="Arial Black"/>
          <w:sz w:val="28"/>
          <w:szCs w:val="28"/>
        </w:rPr>
        <w:t xml:space="preserve"> – KILLED WALKING HWY – QUALIF. IMMUNITY</w:t>
      </w:r>
    </w:p>
    <w:p w14:paraId="057A9610" w14:textId="77777777" w:rsidR="00527EDF" w:rsidRPr="00842470" w:rsidRDefault="00527EDF" w:rsidP="00527EDF">
      <w:pPr>
        <w:pStyle w:val="NoSpacing"/>
        <w:rPr>
          <w:rFonts w:ascii="Times New Roman" w:hAnsi="Times New Roman"/>
          <w:sz w:val="24"/>
          <w:szCs w:val="24"/>
        </w:rPr>
      </w:pPr>
    </w:p>
    <w:p w14:paraId="4ADB99B0" w14:textId="77777777" w:rsidR="00527EDF" w:rsidRDefault="00527EDF" w:rsidP="00527EDF">
      <w:pPr>
        <w:pStyle w:val="NoSpacing"/>
        <w:rPr>
          <w:rFonts w:ascii="Times New Roman" w:hAnsi="Times New Roman"/>
          <w:sz w:val="24"/>
          <w:szCs w:val="24"/>
        </w:rPr>
      </w:pPr>
      <w:r>
        <w:rPr>
          <w:rFonts w:ascii="Times New Roman" w:hAnsi="Times New Roman"/>
          <w:sz w:val="24"/>
          <w:szCs w:val="24"/>
        </w:rPr>
        <w:t xml:space="preserve">On May 24, 2019, in </w:t>
      </w:r>
      <w:r w:rsidRPr="00842470">
        <w:rPr>
          <w:rFonts w:ascii="Times New Roman" w:hAnsi="Times New Roman"/>
          <w:sz w:val="24"/>
          <w:szCs w:val="24"/>
          <w:u w:val="single"/>
        </w:rPr>
        <w:t>Lisa K. Williams v. City of Georgetown, KY, et al</w:t>
      </w:r>
      <w:r>
        <w:rPr>
          <w:rFonts w:ascii="Times New Roman" w:hAnsi="Times New Roman"/>
          <w:sz w:val="24"/>
          <w:szCs w:val="24"/>
        </w:rPr>
        <w:t>., the U.S. Court of Appeals for 6</w:t>
      </w:r>
      <w:r w:rsidRPr="00842470">
        <w:rPr>
          <w:rFonts w:ascii="Times New Roman" w:hAnsi="Times New Roman"/>
          <w:sz w:val="24"/>
          <w:szCs w:val="24"/>
          <w:vertAlign w:val="superscript"/>
        </w:rPr>
        <w:t>th</w:t>
      </w:r>
      <w:r>
        <w:rPr>
          <w:rFonts w:ascii="Times New Roman" w:hAnsi="Times New Roman"/>
          <w:sz w:val="24"/>
          <w:szCs w:val="24"/>
        </w:rPr>
        <w:t xml:space="preserve"> Circuit, in an unpublished opinion, held (2 to 1). </w:t>
      </w:r>
    </w:p>
    <w:p w14:paraId="65A3BF6A" w14:textId="77777777" w:rsidR="00527EDF" w:rsidRDefault="00527EDF" w:rsidP="00527EDF">
      <w:pPr>
        <w:pStyle w:val="NoSpacing"/>
        <w:rPr>
          <w:rFonts w:ascii="Times New Roman" w:hAnsi="Times New Roman"/>
          <w:sz w:val="24"/>
          <w:szCs w:val="24"/>
        </w:rPr>
      </w:pPr>
    </w:p>
    <w:p w14:paraId="55F3347A" w14:textId="77777777" w:rsidR="00527EDF" w:rsidRPr="008D3A7A" w:rsidRDefault="00527EDF" w:rsidP="00527EDF">
      <w:pPr>
        <w:pStyle w:val="NoSpacing"/>
        <w:ind w:left="720"/>
        <w:rPr>
          <w:rFonts w:ascii="Times New Roman" w:hAnsi="Times New Roman"/>
          <w:sz w:val="24"/>
          <w:szCs w:val="24"/>
        </w:rPr>
      </w:pPr>
      <w:r w:rsidRPr="00BD2A4C">
        <w:rPr>
          <w:rFonts w:ascii="Times New Roman" w:hAnsi="Times New Roman"/>
          <w:sz w:val="24"/>
          <w:szCs w:val="24"/>
        </w:rPr>
        <w:t>“This case presents tragic facts without a legal remedy. ***</w:t>
      </w:r>
      <w:r>
        <w:rPr>
          <w:rFonts w:ascii="Times New Roman" w:hAnsi="Times New Roman"/>
          <w:sz w:val="24"/>
          <w:szCs w:val="24"/>
        </w:rPr>
        <w:t xml:space="preserve"> </w:t>
      </w:r>
      <w:r w:rsidRPr="008D3A7A">
        <w:rPr>
          <w:rFonts w:ascii="Times New Roman" w:hAnsi="Times New Roman"/>
          <w:sz w:val="24"/>
          <w:szCs w:val="24"/>
        </w:rPr>
        <w:t xml:space="preserve">Although it is true that </w:t>
      </w:r>
      <w:r>
        <w:rPr>
          <w:rFonts w:ascii="Times New Roman" w:hAnsi="Times New Roman"/>
          <w:sz w:val="24"/>
          <w:szCs w:val="24"/>
        </w:rPr>
        <w:t>‘</w:t>
      </w:r>
      <w:r w:rsidRPr="008D3A7A">
        <w:rPr>
          <w:rFonts w:ascii="Times New Roman" w:hAnsi="Times New Roman"/>
          <w:sz w:val="24"/>
          <w:szCs w:val="24"/>
        </w:rPr>
        <w:t>an officer’s duty exists even after the custodial relationship has ended,</w:t>
      </w:r>
      <w:r>
        <w:rPr>
          <w:rFonts w:ascii="Times New Roman" w:hAnsi="Times New Roman"/>
          <w:sz w:val="24"/>
          <w:szCs w:val="24"/>
        </w:rPr>
        <w:t>’</w:t>
      </w:r>
      <w:r w:rsidRPr="008D3A7A">
        <w:rPr>
          <w:rFonts w:ascii="Times New Roman" w:hAnsi="Times New Roman"/>
          <w:sz w:val="24"/>
          <w:szCs w:val="24"/>
        </w:rPr>
        <w:t xml:space="preserve"> Davis, 143 F.3d at1025, it does not extend in perpetuity. Plaintiff admits that the officers concluded Burns was not a danger to himself or others. Calling an ambulance and giving Burns a ride to McDonald’s does not strike us as the deliberate indifference described in Davis. 143 F.3d at1027; see also Salyers, 534 F. </w:t>
      </w:r>
      <w:proofErr w:type="spellStart"/>
      <w:r w:rsidRPr="008D3A7A">
        <w:rPr>
          <w:rFonts w:ascii="Times New Roman" w:hAnsi="Times New Roman"/>
          <w:sz w:val="24"/>
          <w:szCs w:val="24"/>
        </w:rPr>
        <w:t>App’x</w:t>
      </w:r>
      <w:proofErr w:type="spellEnd"/>
      <w:r w:rsidRPr="008D3A7A">
        <w:rPr>
          <w:rFonts w:ascii="Times New Roman" w:hAnsi="Times New Roman"/>
          <w:sz w:val="24"/>
          <w:szCs w:val="24"/>
        </w:rPr>
        <w:t xml:space="preserve"> at 460. There was no constitutional violation.</w:t>
      </w:r>
      <w:r>
        <w:rPr>
          <w:rFonts w:ascii="Times New Roman" w:hAnsi="Times New Roman"/>
          <w:sz w:val="24"/>
          <w:szCs w:val="24"/>
        </w:rPr>
        <w:t xml:space="preserve">” </w:t>
      </w:r>
      <w:hyperlink r:id="rId2391" w:history="1">
        <w:r w:rsidRPr="00821231">
          <w:rPr>
            <w:rStyle w:val="Hyperlink"/>
            <w:rFonts w:ascii="Times New Roman" w:hAnsi="Times New Roman"/>
            <w:sz w:val="24"/>
            <w:szCs w:val="24"/>
          </w:rPr>
          <w:t>http://www.opn.ca6.uscourts.gov/opinions.pdf/19a0272n-06.pdf</w:t>
        </w:r>
      </w:hyperlink>
      <w:r>
        <w:rPr>
          <w:rFonts w:ascii="Times New Roman" w:hAnsi="Times New Roman"/>
          <w:sz w:val="24"/>
          <w:szCs w:val="24"/>
        </w:rPr>
        <w:t xml:space="preserve"> </w:t>
      </w:r>
    </w:p>
    <w:p w14:paraId="6E310688" w14:textId="77777777" w:rsidR="00527EDF" w:rsidRDefault="00527EDF" w:rsidP="00527EDF">
      <w:pPr>
        <w:pStyle w:val="NoSpacing"/>
        <w:rPr>
          <w:rFonts w:ascii="Times New Roman" w:hAnsi="Times New Roman"/>
          <w:sz w:val="24"/>
          <w:szCs w:val="24"/>
        </w:rPr>
      </w:pPr>
    </w:p>
    <w:p w14:paraId="676E63B2" w14:textId="77777777" w:rsidR="00527EDF" w:rsidRDefault="00527EDF" w:rsidP="00527EDF">
      <w:pPr>
        <w:pStyle w:val="NoSpacing"/>
        <w:rPr>
          <w:rFonts w:ascii="Times New Roman" w:hAnsi="Times New Roman"/>
          <w:b/>
          <w:sz w:val="24"/>
          <w:szCs w:val="24"/>
        </w:rPr>
      </w:pPr>
      <w:r w:rsidRPr="00BD2A4C">
        <w:rPr>
          <w:rFonts w:ascii="Times New Roman" w:hAnsi="Times New Roman"/>
          <w:b/>
          <w:sz w:val="24"/>
          <w:szCs w:val="24"/>
        </w:rPr>
        <w:t xml:space="preserve">Legal Lessons Learned: </w:t>
      </w:r>
      <w:r>
        <w:rPr>
          <w:rFonts w:ascii="Times New Roman" w:hAnsi="Times New Roman"/>
          <w:b/>
          <w:sz w:val="24"/>
          <w:szCs w:val="24"/>
        </w:rPr>
        <w:t xml:space="preserve"> Fire &amp; EMS Departments should have a written policy about patient refusals that includes handling situations where the individual </w:t>
      </w:r>
      <w:proofErr w:type="spellStart"/>
      <w:proofErr w:type="gramStart"/>
      <w:r>
        <w:rPr>
          <w:rFonts w:ascii="Times New Roman" w:hAnsi="Times New Roman"/>
          <w:b/>
          <w:sz w:val="24"/>
          <w:szCs w:val="24"/>
        </w:rPr>
        <w:t>can not</w:t>
      </w:r>
      <w:proofErr w:type="spellEnd"/>
      <w:proofErr w:type="gramEnd"/>
      <w:r>
        <w:rPr>
          <w:rFonts w:ascii="Times New Roman" w:hAnsi="Times New Roman"/>
          <w:b/>
          <w:sz w:val="24"/>
          <w:szCs w:val="24"/>
        </w:rPr>
        <w:t xml:space="preserve"> be safely left at the scene (such as MVA, with no ride home).</w:t>
      </w:r>
    </w:p>
    <w:p w14:paraId="10F38A65" w14:textId="77777777" w:rsidR="00527EDF" w:rsidRDefault="00527EDF" w:rsidP="00527EDF">
      <w:pPr>
        <w:pStyle w:val="NoSpacing"/>
        <w:rPr>
          <w:rFonts w:ascii="Times New Roman" w:hAnsi="Times New Roman"/>
          <w:b/>
          <w:sz w:val="24"/>
          <w:szCs w:val="24"/>
        </w:rPr>
      </w:pPr>
    </w:p>
    <w:p w14:paraId="6A10F94A" w14:textId="77777777" w:rsidR="00527EDF" w:rsidRPr="000E62D4" w:rsidRDefault="00527EDF" w:rsidP="00527EDF">
      <w:pPr>
        <w:pStyle w:val="NoSpacing"/>
        <w:ind w:left="720"/>
        <w:rPr>
          <w:rFonts w:ascii="Times New Roman" w:hAnsi="Times New Roman"/>
          <w:sz w:val="24"/>
          <w:szCs w:val="24"/>
        </w:rPr>
      </w:pPr>
      <w:r w:rsidRPr="000E62D4">
        <w:rPr>
          <w:rFonts w:ascii="Times New Roman" w:hAnsi="Times New Roman"/>
          <w:sz w:val="24"/>
          <w:szCs w:val="24"/>
        </w:rPr>
        <w:t xml:space="preserve">See attached Policy on “High Risk” and “Low Risk” refusals. </w:t>
      </w:r>
      <w:hyperlink r:id="rId2392" w:history="1">
        <w:r w:rsidRPr="00D10EF5">
          <w:rPr>
            <w:rStyle w:val="Hyperlink"/>
            <w:rFonts w:ascii="Times New Roman" w:hAnsi="Times New Roman"/>
            <w:sz w:val="24"/>
            <w:szCs w:val="24"/>
          </w:rPr>
          <w:t>https://www.unitypoint.org/peoria/filesimages/Documents/EMS%20Documents/EMS%20Policies/PROCTOR%20Policy%20Dr.%20Huff%2032%20Patient%20Right%20of%20Refusal.pdf</w:t>
        </w:r>
      </w:hyperlink>
      <w:r>
        <w:rPr>
          <w:rFonts w:ascii="Times New Roman" w:hAnsi="Times New Roman"/>
          <w:sz w:val="24"/>
          <w:szCs w:val="24"/>
        </w:rPr>
        <w:t xml:space="preserve"> </w:t>
      </w:r>
    </w:p>
    <w:bookmarkEnd w:id="511"/>
    <w:p w14:paraId="2838795B" w14:textId="77777777" w:rsidR="00527EDF" w:rsidRDefault="00527EDF" w:rsidP="00527EDF">
      <w:pPr>
        <w:pStyle w:val="NoSpacing"/>
        <w:rPr>
          <w:rFonts w:ascii="Times New Roman" w:hAnsi="Times New Roman"/>
          <w:sz w:val="24"/>
          <w:szCs w:val="24"/>
        </w:rPr>
      </w:pPr>
    </w:p>
    <w:p w14:paraId="50C6F0D8" w14:textId="77777777" w:rsidR="00DE0F03" w:rsidRDefault="00DE0F03" w:rsidP="00DE0F03">
      <w:pPr>
        <w:pStyle w:val="NoSpacing"/>
        <w:rPr>
          <w:rFonts w:ascii="Arial Black" w:hAnsi="Arial Black"/>
          <w:sz w:val="24"/>
          <w:szCs w:val="24"/>
        </w:rPr>
      </w:pPr>
    </w:p>
    <w:p w14:paraId="036FF166" w14:textId="77777777" w:rsidR="0097592D" w:rsidRDefault="0097592D" w:rsidP="00DE0F03">
      <w:pPr>
        <w:pStyle w:val="NoSpacing"/>
        <w:rPr>
          <w:rFonts w:ascii="Arial Black" w:hAnsi="Arial Black"/>
          <w:sz w:val="24"/>
          <w:szCs w:val="24"/>
        </w:rPr>
      </w:pPr>
    </w:p>
    <w:p w14:paraId="41E11F73" w14:textId="77777777" w:rsidR="0097592D" w:rsidRDefault="0097592D" w:rsidP="00DE0F03">
      <w:pPr>
        <w:pStyle w:val="NoSpacing"/>
        <w:rPr>
          <w:rFonts w:ascii="Arial Black" w:hAnsi="Arial Black"/>
          <w:sz w:val="24"/>
          <w:szCs w:val="24"/>
        </w:rPr>
      </w:pPr>
    </w:p>
    <w:p w14:paraId="7B7B2F91" w14:textId="77777777" w:rsidR="0097592D" w:rsidRDefault="0097592D" w:rsidP="00DE0F03">
      <w:pPr>
        <w:pStyle w:val="NoSpacing"/>
        <w:rPr>
          <w:rFonts w:ascii="Arial Black" w:hAnsi="Arial Black"/>
          <w:sz w:val="24"/>
          <w:szCs w:val="24"/>
        </w:rPr>
      </w:pPr>
    </w:p>
    <w:p w14:paraId="74FCC083" w14:textId="74805CF6" w:rsidR="00DE0F03" w:rsidRDefault="00DE0F03" w:rsidP="00DE0F03">
      <w:pPr>
        <w:pStyle w:val="NoSpacing"/>
        <w:rPr>
          <w:rFonts w:ascii="Arial Black" w:hAnsi="Arial Black"/>
          <w:sz w:val="24"/>
          <w:szCs w:val="24"/>
        </w:rPr>
      </w:pPr>
      <w:r>
        <w:rPr>
          <w:rFonts w:ascii="Arial Black" w:hAnsi="Arial Black"/>
          <w:sz w:val="24"/>
          <w:szCs w:val="24"/>
        </w:rPr>
        <w:t>13-2</w:t>
      </w:r>
      <w:r w:rsidR="00C95AF6">
        <w:rPr>
          <w:rFonts w:ascii="Arial Black" w:hAnsi="Arial Black"/>
          <w:sz w:val="24"/>
          <w:szCs w:val="24"/>
        </w:rPr>
        <w:t>5</w:t>
      </w:r>
    </w:p>
    <w:p w14:paraId="75A39153" w14:textId="5E700095" w:rsidR="00527EDF" w:rsidRDefault="00527EDF" w:rsidP="00527EDF">
      <w:pPr>
        <w:pStyle w:val="NoSpacing"/>
        <w:ind w:left="720"/>
        <w:rPr>
          <w:rFonts w:ascii="Times New Roman" w:hAnsi="Times New Roman"/>
          <w:sz w:val="24"/>
          <w:szCs w:val="24"/>
        </w:rPr>
      </w:pPr>
    </w:p>
    <w:p w14:paraId="1444BE9E" w14:textId="3245901A" w:rsidR="00527EDF" w:rsidRDefault="00527EDF" w:rsidP="00F326E5">
      <w:pPr>
        <w:pStyle w:val="NoSpacing"/>
        <w:rPr>
          <w:sz w:val="24"/>
          <w:szCs w:val="24"/>
        </w:rPr>
      </w:pPr>
    </w:p>
    <w:p w14:paraId="5C916AF6" w14:textId="2F2A2FAC" w:rsidR="00527EDF" w:rsidRPr="00A67D90" w:rsidRDefault="00527EDF" w:rsidP="00527EDF">
      <w:pPr>
        <w:pStyle w:val="NoSpacing"/>
        <w:rPr>
          <w:rFonts w:ascii="Arial Black" w:hAnsi="Arial Black" w:cs="Arial"/>
          <w:sz w:val="28"/>
          <w:szCs w:val="28"/>
        </w:rPr>
      </w:pPr>
      <w:bookmarkStart w:id="512" w:name="_Hlk41153585"/>
      <w:r>
        <w:rPr>
          <w:rFonts w:ascii="Arial Black" w:hAnsi="Arial Black" w:cs="Arial"/>
          <w:sz w:val="28"/>
          <w:szCs w:val="28"/>
        </w:rPr>
        <w:t>CA:  CHILD CHOKING, MOTHER CALLED 911 - ONLY SPOKE SPANISH – IMMUNITY - NO REQ. THAT DISPATCHERS MUST SPEAK SPANISH</w:t>
      </w:r>
    </w:p>
    <w:p w14:paraId="51C14738" w14:textId="77777777" w:rsidR="00527EDF" w:rsidRDefault="00527EDF" w:rsidP="00527EDF">
      <w:pPr>
        <w:pStyle w:val="NoSpacing"/>
        <w:rPr>
          <w:rFonts w:ascii="Arial" w:hAnsi="Arial" w:cs="Arial"/>
          <w:sz w:val="32"/>
          <w:szCs w:val="32"/>
        </w:rPr>
      </w:pPr>
    </w:p>
    <w:p w14:paraId="7ED5FFBD" w14:textId="77777777" w:rsidR="00527EDF" w:rsidRDefault="00527EDF" w:rsidP="00527EDF">
      <w:pPr>
        <w:pStyle w:val="NoSpacing"/>
        <w:rPr>
          <w:rFonts w:ascii="Times New Roman" w:hAnsi="Times New Roman"/>
          <w:sz w:val="24"/>
          <w:szCs w:val="24"/>
        </w:rPr>
      </w:pPr>
      <w:r w:rsidRPr="00EC12DB">
        <w:rPr>
          <w:rFonts w:ascii="Times New Roman" w:hAnsi="Times New Roman"/>
          <w:sz w:val="24"/>
          <w:szCs w:val="24"/>
        </w:rPr>
        <w:t>On May 20, 2019</w:t>
      </w:r>
      <w:r>
        <w:rPr>
          <w:rFonts w:ascii="Times New Roman" w:hAnsi="Times New Roman"/>
          <w:sz w:val="24"/>
          <w:szCs w:val="24"/>
        </w:rPr>
        <w:t xml:space="preserve">, in </w:t>
      </w:r>
      <w:r w:rsidRPr="00EC12DB">
        <w:rPr>
          <w:rFonts w:ascii="Times New Roman" w:hAnsi="Times New Roman"/>
          <w:sz w:val="24"/>
          <w:szCs w:val="24"/>
          <w:u w:val="single"/>
        </w:rPr>
        <w:t>Dylan Tellez v. City of Pomona</w:t>
      </w:r>
      <w:r>
        <w:rPr>
          <w:rFonts w:ascii="Times New Roman" w:hAnsi="Times New Roman"/>
          <w:sz w:val="24"/>
          <w:szCs w:val="24"/>
        </w:rPr>
        <w:t xml:space="preserve">, the Court </w:t>
      </w:r>
      <w:proofErr w:type="gramStart"/>
      <w:r>
        <w:rPr>
          <w:rFonts w:ascii="Times New Roman" w:hAnsi="Times New Roman"/>
          <w:sz w:val="24"/>
          <w:szCs w:val="24"/>
        </w:rPr>
        <w:t>Of</w:t>
      </w:r>
      <w:proofErr w:type="gramEnd"/>
      <w:r>
        <w:rPr>
          <w:rFonts w:ascii="Times New Roman" w:hAnsi="Times New Roman"/>
          <w:sz w:val="24"/>
          <w:szCs w:val="24"/>
        </w:rPr>
        <w:t xml:space="preserve"> Appeal of California, Second Appellate District / Division One held (3 to 0) in an unpublished decision, that the lawsuit against the City of Pomona was properly dismissed by the trial court.</w:t>
      </w:r>
    </w:p>
    <w:p w14:paraId="72C0F20A" w14:textId="77777777" w:rsidR="00527EDF" w:rsidRPr="00EC12DB" w:rsidRDefault="00527EDF" w:rsidP="00527EDF">
      <w:pPr>
        <w:pStyle w:val="NoSpacing"/>
        <w:rPr>
          <w:rFonts w:ascii="Times New Roman" w:hAnsi="Times New Roman"/>
          <w:sz w:val="24"/>
          <w:szCs w:val="24"/>
        </w:rPr>
      </w:pPr>
    </w:p>
    <w:p w14:paraId="6F12578D" w14:textId="77777777" w:rsidR="00527EDF" w:rsidRDefault="00527EDF" w:rsidP="00527EDF">
      <w:pPr>
        <w:pStyle w:val="NoSpacing"/>
        <w:ind w:left="720"/>
        <w:rPr>
          <w:rFonts w:ascii="Times New Roman" w:hAnsi="Times New Roman"/>
          <w:sz w:val="24"/>
          <w:szCs w:val="24"/>
        </w:rPr>
      </w:pPr>
      <w:r>
        <w:rPr>
          <w:rFonts w:ascii="Times New Roman" w:hAnsi="Times New Roman"/>
          <w:sz w:val="24"/>
          <w:szCs w:val="24"/>
        </w:rPr>
        <w:t>“</w:t>
      </w:r>
      <w:r w:rsidRPr="00EC12DB">
        <w:rPr>
          <w:rFonts w:ascii="Times New Roman" w:hAnsi="Times New Roman"/>
          <w:sz w:val="24"/>
          <w:szCs w:val="24"/>
        </w:rPr>
        <w:t>That one person fails on an occasion to understand another is</w:t>
      </w:r>
      <w:r>
        <w:rPr>
          <w:rFonts w:ascii="Times New Roman" w:hAnsi="Times New Roman"/>
          <w:sz w:val="24"/>
          <w:szCs w:val="24"/>
        </w:rPr>
        <w:t xml:space="preserve"> </w:t>
      </w:r>
      <w:r w:rsidRPr="00EC12DB">
        <w:rPr>
          <w:rFonts w:ascii="Times New Roman" w:hAnsi="Times New Roman"/>
          <w:sz w:val="24"/>
          <w:szCs w:val="24"/>
        </w:rPr>
        <w:t>an everyday occurrence</w:t>
      </w:r>
      <w:r>
        <w:rPr>
          <w:rFonts w:ascii="Times New Roman" w:hAnsi="Times New Roman"/>
          <w:sz w:val="24"/>
          <w:szCs w:val="24"/>
        </w:rPr>
        <w:t xml:space="preserve"> </w:t>
      </w:r>
      <w:r w:rsidRPr="00EC12DB">
        <w:rPr>
          <w:rFonts w:ascii="Times New Roman" w:hAnsi="Times New Roman"/>
          <w:sz w:val="24"/>
          <w:szCs w:val="24"/>
        </w:rPr>
        <w:t>between</w:t>
      </w:r>
      <w:r>
        <w:rPr>
          <w:rFonts w:ascii="Times New Roman" w:hAnsi="Times New Roman"/>
          <w:sz w:val="24"/>
          <w:szCs w:val="24"/>
        </w:rPr>
        <w:t xml:space="preserve"> </w:t>
      </w:r>
      <w:r w:rsidRPr="00EC12DB">
        <w:rPr>
          <w:rFonts w:ascii="Times New Roman" w:hAnsi="Times New Roman"/>
          <w:sz w:val="24"/>
          <w:szCs w:val="24"/>
        </w:rPr>
        <w:t>even the best intentioned. And it appears from Dylan’s allegations that the police officers’ decision not to wait for an ambulance</w:t>
      </w:r>
      <w:r>
        <w:rPr>
          <w:rFonts w:ascii="Times New Roman" w:hAnsi="Times New Roman"/>
          <w:sz w:val="24"/>
          <w:szCs w:val="24"/>
        </w:rPr>
        <w:t xml:space="preserve"> </w:t>
      </w:r>
      <w:r w:rsidRPr="00EC12DB">
        <w:rPr>
          <w:rFonts w:ascii="Times New Roman" w:hAnsi="Times New Roman"/>
          <w:sz w:val="24"/>
          <w:szCs w:val="24"/>
        </w:rPr>
        <w:t>saved his life.</w:t>
      </w:r>
      <w:r>
        <w:rPr>
          <w:rFonts w:ascii="Times New Roman" w:hAnsi="Times New Roman"/>
          <w:sz w:val="24"/>
          <w:szCs w:val="24"/>
        </w:rPr>
        <w:t xml:space="preserve"> </w:t>
      </w:r>
      <w:r w:rsidRPr="00EC12DB">
        <w:rPr>
          <w:rFonts w:ascii="Times New Roman" w:hAnsi="Times New Roman"/>
          <w:sz w:val="24"/>
          <w:szCs w:val="24"/>
        </w:rPr>
        <w:t>A city</w:t>
      </w:r>
      <w:r>
        <w:rPr>
          <w:rFonts w:ascii="Times New Roman" w:hAnsi="Times New Roman"/>
          <w:sz w:val="24"/>
          <w:szCs w:val="24"/>
        </w:rPr>
        <w:t xml:space="preserve"> </w:t>
      </w:r>
      <w:r w:rsidRPr="00EC12DB">
        <w:rPr>
          <w:rFonts w:ascii="Times New Roman" w:hAnsi="Times New Roman"/>
          <w:sz w:val="24"/>
          <w:szCs w:val="24"/>
        </w:rPr>
        <w:t>cannot be held liable simply for failure to provide translators in its 911 call centers</w:t>
      </w:r>
      <w:r>
        <w:rPr>
          <w:rFonts w:ascii="Times New Roman" w:hAnsi="Times New Roman"/>
          <w:sz w:val="24"/>
          <w:szCs w:val="24"/>
        </w:rPr>
        <w:t>….”</w:t>
      </w:r>
    </w:p>
    <w:p w14:paraId="2DB5A80C" w14:textId="77777777" w:rsidR="00527EDF" w:rsidRDefault="00527EDF" w:rsidP="00527EDF">
      <w:pPr>
        <w:pStyle w:val="NoSpacing"/>
        <w:ind w:left="720"/>
        <w:rPr>
          <w:rFonts w:ascii="Times New Roman" w:hAnsi="Times New Roman"/>
          <w:sz w:val="24"/>
          <w:szCs w:val="24"/>
        </w:rPr>
      </w:pPr>
      <w:hyperlink r:id="rId2393" w:history="1">
        <w:r w:rsidRPr="000A6245">
          <w:rPr>
            <w:rStyle w:val="Hyperlink"/>
            <w:rFonts w:ascii="Times New Roman" w:hAnsi="Times New Roman"/>
            <w:sz w:val="24"/>
            <w:szCs w:val="24"/>
          </w:rPr>
          <w:t>https://www.courts.ca.gov/opinions/nonpub/B284099.PDF</w:t>
        </w:r>
      </w:hyperlink>
      <w:r>
        <w:rPr>
          <w:rFonts w:ascii="Times New Roman" w:hAnsi="Times New Roman"/>
          <w:sz w:val="24"/>
          <w:szCs w:val="24"/>
        </w:rPr>
        <w:t xml:space="preserve"> </w:t>
      </w:r>
    </w:p>
    <w:p w14:paraId="4CAE3F0D" w14:textId="77777777" w:rsidR="00527EDF" w:rsidRDefault="00527EDF" w:rsidP="00527EDF">
      <w:pPr>
        <w:pStyle w:val="NoSpacing"/>
        <w:rPr>
          <w:rFonts w:ascii="Times New Roman" w:hAnsi="Times New Roman"/>
          <w:b/>
          <w:sz w:val="24"/>
          <w:szCs w:val="24"/>
        </w:rPr>
      </w:pPr>
    </w:p>
    <w:p w14:paraId="7E0E1299" w14:textId="28367835" w:rsidR="00527EDF" w:rsidRDefault="00527EDF" w:rsidP="00527EDF">
      <w:pPr>
        <w:pStyle w:val="NoSpacing"/>
        <w:rPr>
          <w:rFonts w:ascii="Times New Roman" w:hAnsi="Times New Roman"/>
          <w:b/>
          <w:sz w:val="24"/>
          <w:szCs w:val="24"/>
        </w:rPr>
      </w:pPr>
      <w:r w:rsidRPr="00A301B0">
        <w:rPr>
          <w:rFonts w:ascii="Times New Roman" w:hAnsi="Times New Roman"/>
          <w:b/>
          <w:sz w:val="24"/>
          <w:szCs w:val="24"/>
        </w:rPr>
        <w:t xml:space="preserve">Legal Lessons Learned: </w:t>
      </w:r>
      <w:r>
        <w:rPr>
          <w:rFonts w:ascii="Times New Roman" w:hAnsi="Times New Roman"/>
          <w:b/>
          <w:sz w:val="24"/>
          <w:szCs w:val="24"/>
        </w:rPr>
        <w:t>911 Centers do not have to employee Spanish-speaking dispatchers.  There are translation services available for dispatch centers.</w:t>
      </w:r>
    </w:p>
    <w:p w14:paraId="7CEC81AC" w14:textId="46B7A107" w:rsidR="00527EDF" w:rsidRPr="00DE64B9" w:rsidRDefault="00527EDF" w:rsidP="00527EDF">
      <w:pPr>
        <w:pStyle w:val="Heading1"/>
        <w:ind w:left="720"/>
        <w:rPr>
          <w:b w:val="0"/>
          <w:sz w:val="24"/>
          <w:szCs w:val="24"/>
        </w:rPr>
      </w:pPr>
      <w:r w:rsidRPr="00DE64B9">
        <w:rPr>
          <w:b w:val="0"/>
          <w:sz w:val="24"/>
          <w:szCs w:val="24"/>
        </w:rPr>
        <w:t>Se</w:t>
      </w:r>
      <w:r>
        <w:rPr>
          <w:b w:val="0"/>
          <w:sz w:val="24"/>
          <w:szCs w:val="24"/>
        </w:rPr>
        <w:t xml:space="preserve">e </w:t>
      </w:r>
      <w:r w:rsidRPr="00DE64B9">
        <w:rPr>
          <w:b w:val="0"/>
          <w:sz w:val="24"/>
          <w:szCs w:val="24"/>
        </w:rPr>
        <w:t>for example:  “</w:t>
      </w:r>
      <w:r w:rsidRPr="00DE64B9">
        <w:rPr>
          <w:rStyle w:val="field"/>
          <w:b w:val="0"/>
          <w:sz w:val="24"/>
          <w:szCs w:val="24"/>
        </w:rPr>
        <w:t xml:space="preserve">How to Break the 9-1-1 Language Barrier,” </w:t>
      </w:r>
      <w:hyperlink r:id="rId2394" w:history="1">
        <w:r w:rsidRPr="00DE64B9">
          <w:rPr>
            <w:rStyle w:val="Hyperlink"/>
            <w:b w:val="0"/>
            <w:sz w:val="24"/>
            <w:szCs w:val="24"/>
          </w:rPr>
          <w:t>https://www.emsworld.com/article/12091816/language-translation-in-emergencies</w:t>
        </w:r>
      </w:hyperlink>
      <w:r w:rsidRPr="00DE64B9">
        <w:rPr>
          <w:rStyle w:val="field"/>
          <w:b w:val="0"/>
          <w:sz w:val="24"/>
          <w:szCs w:val="24"/>
        </w:rPr>
        <w:t xml:space="preserve"> “</w:t>
      </w:r>
      <w:r w:rsidRPr="00DE64B9">
        <w:rPr>
          <w:b w:val="0"/>
          <w:sz w:val="24"/>
          <w:szCs w:val="24"/>
        </w:rPr>
        <w:t xml:space="preserve">According to Gallegos, the </w:t>
      </w:r>
      <w:proofErr w:type="spellStart"/>
      <w:r w:rsidRPr="00DE64B9">
        <w:rPr>
          <w:b w:val="0"/>
          <w:sz w:val="24"/>
          <w:szCs w:val="24"/>
        </w:rPr>
        <w:t>LanguageLine</w:t>
      </w:r>
      <w:proofErr w:type="spellEnd"/>
      <w:r w:rsidRPr="00DE64B9">
        <w:rPr>
          <w:b w:val="0"/>
          <w:sz w:val="24"/>
          <w:szCs w:val="24"/>
        </w:rPr>
        <w:t xml:space="preserve"> system is built into the CAD system, so the ECO just </w:t>
      </w:r>
      <w:proofErr w:type="gramStart"/>
      <w:r w:rsidRPr="00DE64B9">
        <w:rPr>
          <w:b w:val="0"/>
          <w:sz w:val="24"/>
          <w:szCs w:val="24"/>
        </w:rPr>
        <w:t>has to</w:t>
      </w:r>
      <w:proofErr w:type="gramEnd"/>
      <w:r w:rsidRPr="00DE64B9">
        <w:rPr>
          <w:b w:val="0"/>
          <w:sz w:val="24"/>
          <w:szCs w:val="24"/>
        </w:rPr>
        <w:t xml:space="preserve"> push a button </w:t>
      </w:r>
      <w:r w:rsidRPr="00DE64B9">
        <w:rPr>
          <w:b w:val="0"/>
          <w:sz w:val="24"/>
          <w:szCs w:val="24"/>
        </w:rPr>
        <w:lastRenderedPageBreak/>
        <w:t xml:space="preserve">to be connected. The </w:t>
      </w:r>
      <w:proofErr w:type="spellStart"/>
      <w:r w:rsidRPr="00DE64B9">
        <w:rPr>
          <w:b w:val="0"/>
          <w:sz w:val="24"/>
          <w:szCs w:val="24"/>
        </w:rPr>
        <w:t>Language</w:t>
      </w:r>
      <w:r w:rsidR="00195FD1">
        <w:rPr>
          <w:b w:val="0"/>
          <w:sz w:val="24"/>
          <w:szCs w:val="24"/>
        </w:rPr>
        <w:t>L</w:t>
      </w:r>
      <w:r w:rsidRPr="00DE64B9">
        <w:rPr>
          <w:b w:val="0"/>
          <w:sz w:val="24"/>
          <w:szCs w:val="24"/>
        </w:rPr>
        <w:t>ine</w:t>
      </w:r>
      <w:proofErr w:type="spellEnd"/>
      <w:r w:rsidRPr="00DE64B9">
        <w:rPr>
          <w:b w:val="0"/>
          <w:sz w:val="24"/>
          <w:szCs w:val="24"/>
        </w:rPr>
        <w:t xml:space="preserve"> is used in call centers statewide and falls under the New Mexico Department of Finance and Administration.”</w:t>
      </w:r>
    </w:p>
    <w:bookmarkEnd w:id="512"/>
    <w:p w14:paraId="18379AB3" w14:textId="77777777" w:rsidR="00527EDF" w:rsidRDefault="00527EDF" w:rsidP="00527EDF">
      <w:pPr>
        <w:pStyle w:val="NoSpacing"/>
        <w:rPr>
          <w:rFonts w:ascii="Times New Roman" w:hAnsi="Times New Roman"/>
          <w:sz w:val="24"/>
          <w:szCs w:val="24"/>
        </w:rPr>
      </w:pPr>
    </w:p>
    <w:p w14:paraId="40D9D147" w14:textId="77777777" w:rsidR="00C95AF6" w:rsidRDefault="00C95AF6" w:rsidP="00DE0F03">
      <w:pPr>
        <w:pStyle w:val="NoSpacing"/>
        <w:rPr>
          <w:rFonts w:ascii="Arial Black" w:hAnsi="Arial Black"/>
          <w:sz w:val="24"/>
          <w:szCs w:val="24"/>
        </w:rPr>
      </w:pPr>
    </w:p>
    <w:p w14:paraId="17236AD2" w14:textId="156B5CF2" w:rsidR="00C95AF6" w:rsidRDefault="00C95AF6" w:rsidP="00DE0F03">
      <w:pPr>
        <w:pStyle w:val="NoSpacing"/>
        <w:rPr>
          <w:rFonts w:ascii="Arial Black" w:hAnsi="Arial Black"/>
          <w:sz w:val="24"/>
          <w:szCs w:val="24"/>
        </w:rPr>
      </w:pPr>
      <w:r>
        <w:rPr>
          <w:rFonts w:ascii="Arial Black" w:hAnsi="Arial Black"/>
          <w:sz w:val="24"/>
          <w:szCs w:val="24"/>
        </w:rPr>
        <w:t>13-24</w:t>
      </w:r>
    </w:p>
    <w:p w14:paraId="52D976CC" w14:textId="7BAF4380" w:rsidR="00C95AF6" w:rsidRDefault="00C95AF6" w:rsidP="00DE0F03">
      <w:pPr>
        <w:pStyle w:val="NoSpacing"/>
        <w:rPr>
          <w:rFonts w:ascii="Arial Black" w:hAnsi="Arial Black"/>
          <w:sz w:val="24"/>
          <w:szCs w:val="24"/>
        </w:rPr>
      </w:pPr>
    </w:p>
    <w:p w14:paraId="3528A4E2" w14:textId="77777777" w:rsidR="00C95AF6" w:rsidRPr="00C95AF6" w:rsidRDefault="00C95AF6" w:rsidP="00DE0F03">
      <w:pPr>
        <w:pStyle w:val="NoSpacing"/>
        <w:rPr>
          <w:rFonts w:ascii="Arial Black" w:hAnsi="Arial Black" w:cs="Arial"/>
          <w:sz w:val="28"/>
          <w:szCs w:val="28"/>
        </w:rPr>
      </w:pPr>
      <w:bookmarkStart w:id="513" w:name="_Hlk41153633"/>
      <w:r w:rsidRPr="00C95AF6">
        <w:rPr>
          <w:rFonts w:ascii="Arial Black" w:hAnsi="Arial Black" w:cs="Arial"/>
          <w:sz w:val="28"/>
          <w:szCs w:val="28"/>
        </w:rPr>
        <w:t xml:space="preserve">NY: EMT SUING RESTAURANT - SLIP &amp; FALL ICY SIDEWALK, HELPING PATIENT WHO FELL – MUST PROVE RESTAURANT KNEW ABOUT ICE </w:t>
      </w:r>
    </w:p>
    <w:p w14:paraId="04392F43" w14:textId="77777777" w:rsidR="00C95AF6" w:rsidRDefault="00C95AF6" w:rsidP="00DE0F03">
      <w:pPr>
        <w:pStyle w:val="NoSpacing"/>
        <w:rPr>
          <w:rFonts w:ascii="Arial" w:hAnsi="Arial" w:cs="Arial"/>
          <w:sz w:val="35"/>
          <w:szCs w:val="35"/>
        </w:rPr>
      </w:pPr>
    </w:p>
    <w:p w14:paraId="0DBD8C13" w14:textId="702ABB03" w:rsidR="00C95AF6" w:rsidRPr="0036327D" w:rsidRDefault="00C95AF6" w:rsidP="00DE0F03">
      <w:pPr>
        <w:pStyle w:val="NoSpacing"/>
        <w:rPr>
          <w:rFonts w:ascii="Times New Roman" w:hAnsi="Times New Roman"/>
          <w:sz w:val="24"/>
          <w:szCs w:val="24"/>
        </w:rPr>
      </w:pPr>
      <w:r w:rsidRPr="0036327D">
        <w:rPr>
          <w:rFonts w:ascii="Times New Roman" w:hAnsi="Times New Roman"/>
          <w:sz w:val="24"/>
          <w:szCs w:val="24"/>
        </w:rPr>
        <w:t xml:space="preserve">On April 5, 2019, in Michael Benny v. Concord Partners 46Stree LLC, Supreme Court of New York, Part 63, 2019 NY Slip Op 30983(U), Judge Tanya R. Kennedy denied the EMT’s motion for summary judgment. “Here, the testimony raises factual issues as to the length of time the alleged condition existed and whether the defendants knew about the condition in enough time to remedy the situation. Plaintiff testified that he did not observe any ice prior to his accident, and it is unknown whether the condition was visible and apparent to the defendants.” </w:t>
      </w:r>
      <w:hyperlink r:id="rId2395" w:history="1">
        <w:r w:rsidRPr="0036327D">
          <w:rPr>
            <w:rStyle w:val="Hyperlink"/>
            <w:rFonts w:ascii="Times New Roman" w:hAnsi="Times New Roman"/>
            <w:sz w:val="24"/>
            <w:szCs w:val="24"/>
          </w:rPr>
          <w:t>https://law.justia.com/cases/new-york/other-courts/2019/2019-ny-slip-op-30983-u.html</w:t>
        </w:r>
      </w:hyperlink>
      <w:r w:rsidRPr="0036327D">
        <w:rPr>
          <w:rFonts w:ascii="Times New Roman" w:hAnsi="Times New Roman"/>
          <w:sz w:val="24"/>
          <w:szCs w:val="24"/>
        </w:rPr>
        <w:t xml:space="preserve"> </w:t>
      </w:r>
    </w:p>
    <w:p w14:paraId="3255631E" w14:textId="10C847A6" w:rsidR="00C95AF6" w:rsidRPr="0036327D" w:rsidRDefault="00C95AF6" w:rsidP="00DE0F03">
      <w:pPr>
        <w:pStyle w:val="NoSpacing"/>
        <w:rPr>
          <w:rFonts w:ascii="Times New Roman" w:hAnsi="Times New Roman"/>
          <w:sz w:val="24"/>
          <w:szCs w:val="24"/>
        </w:rPr>
      </w:pPr>
    </w:p>
    <w:p w14:paraId="6E71654C" w14:textId="142270D1" w:rsidR="00C95AF6" w:rsidRPr="0036327D" w:rsidRDefault="00C95AF6" w:rsidP="00DE0F03">
      <w:pPr>
        <w:pStyle w:val="NoSpacing"/>
        <w:rPr>
          <w:rFonts w:ascii="Times New Roman" w:hAnsi="Times New Roman"/>
          <w:b/>
          <w:bCs/>
          <w:sz w:val="24"/>
          <w:szCs w:val="24"/>
        </w:rPr>
      </w:pPr>
      <w:r w:rsidRPr="0036327D">
        <w:rPr>
          <w:rFonts w:ascii="Times New Roman" w:hAnsi="Times New Roman"/>
          <w:b/>
          <w:bCs/>
          <w:sz w:val="24"/>
          <w:szCs w:val="24"/>
        </w:rPr>
        <w:t>Legal Lessons Learned: Lawsuit will now be tried. The “danger invites rescue” doctrine is applicable only in extreme emergency, helping another avoid serious injury or death.</w:t>
      </w:r>
    </w:p>
    <w:bookmarkEnd w:id="513"/>
    <w:p w14:paraId="71AA6737" w14:textId="77777777" w:rsidR="00C95AF6" w:rsidRPr="0036327D" w:rsidRDefault="00C95AF6" w:rsidP="00DE0F03">
      <w:pPr>
        <w:pStyle w:val="NoSpacing"/>
        <w:rPr>
          <w:rFonts w:ascii="Times New Roman" w:hAnsi="Times New Roman"/>
          <w:sz w:val="24"/>
          <w:szCs w:val="24"/>
        </w:rPr>
      </w:pPr>
    </w:p>
    <w:p w14:paraId="102279ED" w14:textId="2BBFC906" w:rsidR="00C95AF6" w:rsidRPr="0036327D" w:rsidRDefault="00C95AF6" w:rsidP="00DE0F03">
      <w:pPr>
        <w:pStyle w:val="NoSpacing"/>
        <w:rPr>
          <w:rFonts w:ascii="Times New Roman" w:hAnsi="Times New Roman"/>
          <w:sz w:val="24"/>
          <w:szCs w:val="24"/>
        </w:rPr>
      </w:pPr>
    </w:p>
    <w:p w14:paraId="08FA77CB" w14:textId="77777777" w:rsidR="00C95AF6" w:rsidRPr="0036327D" w:rsidRDefault="00C95AF6" w:rsidP="00DE0F03">
      <w:pPr>
        <w:pStyle w:val="NoSpacing"/>
        <w:rPr>
          <w:rFonts w:ascii="Times New Roman" w:hAnsi="Times New Roman"/>
          <w:sz w:val="24"/>
          <w:szCs w:val="24"/>
        </w:rPr>
      </w:pPr>
    </w:p>
    <w:p w14:paraId="3D9EAE1A" w14:textId="77777777" w:rsidR="0036327D" w:rsidRDefault="0036327D" w:rsidP="00DE0F03">
      <w:pPr>
        <w:pStyle w:val="NoSpacing"/>
        <w:rPr>
          <w:rFonts w:ascii="Arial Black" w:hAnsi="Arial Black"/>
          <w:sz w:val="24"/>
          <w:szCs w:val="24"/>
        </w:rPr>
      </w:pPr>
    </w:p>
    <w:p w14:paraId="4748DB0B" w14:textId="77777777" w:rsidR="0036327D" w:rsidRDefault="0036327D" w:rsidP="00DE0F03">
      <w:pPr>
        <w:pStyle w:val="NoSpacing"/>
        <w:rPr>
          <w:rFonts w:ascii="Arial Black" w:hAnsi="Arial Black"/>
          <w:sz w:val="24"/>
          <w:szCs w:val="24"/>
        </w:rPr>
      </w:pPr>
    </w:p>
    <w:p w14:paraId="690884DB" w14:textId="0B89FA02" w:rsidR="009C7552" w:rsidRDefault="009C7552" w:rsidP="00DE0F03">
      <w:pPr>
        <w:pStyle w:val="NoSpacing"/>
        <w:rPr>
          <w:rFonts w:ascii="Arial Black" w:hAnsi="Arial Black"/>
          <w:sz w:val="24"/>
          <w:szCs w:val="24"/>
        </w:rPr>
      </w:pPr>
      <w:r>
        <w:rPr>
          <w:rFonts w:ascii="Arial Black" w:hAnsi="Arial Black"/>
          <w:sz w:val="24"/>
          <w:szCs w:val="24"/>
        </w:rPr>
        <w:t>13-23</w:t>
      </w:r>
    </w:p>
    <w:p w14:paraId="451E750B" w14:textId="3C7CEE7A" w:rsidR="0036327D" w:rsidRDefault="0036327D" w:rsidP="00DE0F03">
      <w:pPr>
        <w:pStyle w:val="NoSpacing"/>
        <w:rPr>
          <w:rFonts w:ascii="Arial Black" w:hAnsi="Arial Black"/>
          <w:sz w:val="24"/>
          <w:szCs w:val="24"/>
        </w:rPr>
      </w:pPr>
    </w:p>
    <w:p w14:paraId="1FD5A31A" w14:textId="77777777" w:rsidR="0036327D" w:rsidRDefault="0036327D" w:rsidP="00DE0F03">
      <w:pPr>
        <w:pStyle w:val="NoSpacing"/>
        <w:rPr>
          <w:rFonts w:ascii="Arial Black" w:hAnsi="Arial Black"/>
          <w:sz w:val="24"/>
          <w:szCs w:val="24"/>
        </w:rPr>
      </w:pPr>
    </w:p>
    <w:p w14:paraId="0D199C5B" w14:textId="77777777" w:rsidR="009C7552" w:rsidRPr="009C7552" w:rsidRDefault="009C7552" w:rsidP="00DE0F03">
      <w:pPr>
        <w:pStyle w:val="NoSpacing"/>
        <w:rPr>
          <w:rFonts w:ascii="Arial Black" w:hAnsi="Arial Black" w:cs="Arial"/>
          <w:sz w:val="28"/>
          <w:szCs w:val="28"/>
        </w:rPr>
      </w:pPr>
      <w:bookmarkStart w:id="514" w:name="_Hlk41295871"/>
      <w:bookmarkStart w:id="515" w:name="_Hlk41153674"/>
      <w:r w:rsidRPr="009C7552">
        <w:rPr>
          <w:rFonts w:ascii="Arial Black" w:hAnsi="Arial Black" w:cs="Arial"/>
          <w:sz w:val="28"/>
          <w:szCs w:val="28"/>
        </w:rPr>
        <w:t>MI: PRIVATE AMBULANCES – COUNTY ORDINANCE THAT CO. MUST GET THEIR APPROVAL – FED. JUDGE WILL NOT DECLARE THIS LAWFUL</w:t>
      </w:r>
    </w:p>
    <w:p w14:paraId="19EACD07" w14:textId="3E75932B" w:rsidR="009C7552" w:rsidRPr="0036327D" w:rsidRDefault="009C7552" w:rsidP="00DE0F03">
      <w:pPr>
        <w:pStyle w:val="NoSpacing"/>
        <w:rPr>
          <w:rFonts w:ascii="Times New Roman" w:hAnsi="Times New Roman"/>
          <w:sz w:val="24"/>
          <w:szCs w:val="24"/>
        </w:rPr>
      </w:pPr>
      <w:r w:rsidRPr="0036327D">
        <w:rPr>
          <w:rFonts w:ascii="Times New Roman" w:hAnsi="Times New Roman"/>
          <w:sz w:val="24"/>
          <w:szCs w:val="24"/>
        </w:rPr>
        <w:t xml:space="preserve">On March 25, 2019, in Saginaw County v. State Emergency Medical Service, Inc., U.S. District Court Judge Terrence B. Berg, again denied the County’s request for a declaratory judgment that its ordinance is lawful and not a restraint of trade under Sherman Antitrust Act. “Plaintiff sought a declaration that their ambulance plan was legal and not in violation of the Sherman Act, among other statutes. But they did not plead adequate facts to show that this is true. The Court made no finding whatever on the question of whether Saginaw County’s plan ran afoul of the Sherman Act, it simply concluded that, on the facts as alleged, the Court could not declare as a matter of law that the plan does not violate the Act.” </w:t>
      </w:r>
      <w:hyperlink r:id="rId2396" w:history="1">
        <w:r w:rsidRPr="0036327D">
          <w:rPr>
            <w:rStyle w:val="Hyperlink"/>
            <w:rFonts w:ascii="Times New Roman" w:hAnsi="Times New Roman"/>
            <w:sz w:val="24"/>
            <w:szCs w:val="24"/>
          </w:rPr>
          <w:t>http://business.cch.com/ald/saginawVstat03262019.pdf</w:t>
        </w:r>
      </w:hyperlink>
      <w:r w:rsidRPr="0036327D">
        <w:rPr>
          <w:rFonts w:ascii="Times New Roman" w:hAnsi="Times New Roman"/>
          <w:sz w:val="24"/>
          <w:szCs w:val="24"/>
        </w:rPr>
        <w:t xml:space="preserve"> </w:t>
      </w:r>
    </w:p>
    <w:p w14:paraId="0A4032CA" w14:textId="77777777" w:rsidR="009C7552" w:rsidRPr="0036327D" w:rsidRDefault="009C7552" w:rsidP="00DE0F03">
      <w:pPr>
        <w:pStyle w:val="NoSpacing"/>
        <w:rPr>
          <w:rFonts w:ascii="Times New Roman" w:hAnsi="Times New Roman"/>
          <w:sz w:val="24"/>
          <w:szCs w:val="24"/>
        </w:rPr>
      </w:pPr>
    </w:p>
    <w:p w14:paraId="37BA3F7F" w14:textId="52118775" w:rsidR="009C7552" w:rsidRPr="0036327D" w:rsidRDefault="009C7552" w:rsidP="009C7552">
      <w:pPr>
        <w:pStyle w:val="NoSpacing"/>
        <w:ind w:left="720"/>
        <w:rPr>
          <w:rFonts w:ascii="Times New Roman" w:hAnsi="Times New Roman"/>
          <w:b/>
          <w:bCs/>
          <w:sz w:val="24"/>
          <w:szCs w:val="24"/>
        </w:rPr>
      </w:pPr>
      <w:r w:rsidRPr="0036327D">
        <w:rPr>
          <w:rFonts w:ascii="Times New Roman" w:hAnsi="Times New Roman"/>
          <w:sz w:val="24"/>
          <w:szCs w:val="24"/>
        </w:rPr>
        <w:t xml:space="preserve">See also article on this decision in Antitrust News: </w:t>
      </w:r>
      <w:hyperlink r:id="rId2397" w:history="1">
        <w:r w:rsidRPr="0036327D">
          <w:rPr>
            <w:rStyle w:val="Hyperlink"/>
            <w:rFonts w:ascii="Times New Roman" w:hAnsi="Times New Roman"/>
            <w:sz w:val="24"/>
            <w:szCs w:val="24"/>
          </w:rPr>
          <w:t>https://lrus.wolterskluwer.com/store/daily-reporting-suite/antitrust-law-daily/</w:t>
        </w:r>
      </w:hyperlink>
      <w:r w:rsidRPr="0036327D">
        <w:rPr>
          <w:rFonts w:ascii="Times New Roman" w:hAnsi="Times New Roman"/>
          <w:sz w:val="24"/>
          <w:szCs w:val="24"/>
        </w:rPr>
        <w:t xml:space="preserve"> </w:t>
      </w:r>
    </w:p>
    <w:p w14:paraId="708A436B" w14:textId="77777777" w:rsidR="009C7552" w:rsidRPr="0036327D" w:rsidRDefault="009C7552" w:rsidP="00DE0F03">
      <w:pPr>
        <w:pStyle w:val="NoSpacing"/>
        <w:rPr>
          <w:rFonts w:ascii="Times New Roman" w:hAnsi="Times New Roman"/>
          <w:b/>
          <w:bCs/>
          <w:sz w:val="24"/>
          <w:szCs w:val="24"/>
        </w:rPr>
      </w:pPr>
    </w:p>
    <w:p w14:paraId="3F9BBA7A" w14:textId="7F22AE6B" w:rsidR="009C7552" w:rsidRPr="0036327D" w:rsidRDefault="009C7552" w:rsidP="00DE0F03">
      <w:pPr>
        <w:pStyle w:val="NoSpacing"/>
        <w:rPr>
          <w:rFonts w:ascii="Times New Roman" w:hAnsi="Times New Roman"/>
          <w:b/>
          <w:bCs/>
          <w:sz w:val="24"/>
          <w:szCs w:val="24"/>
        </w:rPr>
      </w:pPr>
      <w:r w:rsidRPr="0036327D">
        <w:rPr>
          <w:rFonts w:ascii="Times New Roman" w:hAnsi="Times New Roman"/>
          <w:b/>
          <w:bCs/>
          <w:sz w:val="24"/>
          <w:szCs w:val="24"/>
        </w:rPr>
        <w:t xml:space="preserve">Legal Lessons Learned: Competition among private ambulance companies is generally good for patients. </w:t>
      </w:r>
    </w:p>
    <w:bookmarkEnd w:id="514"/>
    <w:p w14:paraId="04F5BBA5" w14:textId="77777777" w:rsidR="009C7552" w:rsidRPr="0036327D" w:rsidRDefault="009C7552" w:rsidP="00DE0F03">
      <w:pPr>
        <w:pStyle w:val="NoSpacing"/>
        <w:rPr>
          <w:rFonts w:ascii="Times New Roman" w:hAnsi="Times New Roman"/>
          <w:sz w:val="24"/>
          <w:szCs w:val="24"/>
        </w:rPr>
      </w:pPr>
    </w:p>
    <w:bookmarkEnd w:id="515"/>
    <w:p w14:paraId="5B6F2034" w14:textId="778FC311" w:rsidR="009C7552" w:rsidRPr="0036327D" w:rsidRDefault="009C7552" w:rsidP="00DE0F03">
      <w:pPr>
        <w:pStyle w:val="NoSpacing"/>
        <w:rPr>
          <w:rFonts w:ascii="Times New Roman" w:hAnsi="Times New Roman"/>
          <w:sz w:val="24"/>
          <w:szCs w:val="24"/>
        </w:rPr>
      </w:pPr>
    </w:p>
    <w:p w14:paraId="3B0AFBA0" w14:textId="77777777" w:rsidR="009C7552" w:rsidRPr="0036327D" w:rsidRDefault="009C7552" w:rsidP="00DE0F03">
      <w:pPr>
        <w:pStyle w:val="NoSpacing"/>
        <w:rPr>
          <w:rFonts w:ascii="Times New Roman" w:hAnsi="Times New Roman"/>
          <w:sz w:val="24"/>
          <w:szCs w:val="24"/>
        </w:rPr>
      </w:pPr>
    </w:p>
    <w:p w14:paraId="34BF321D" w14:textId="51336087" w:rsidR="00DE0F03" w:rsidRDefault="00DE0F03" w:rsidP="00DE0F03">
      <w:pPr>
        <w:pStyle w:val="NoSpacing"/>
        <w:rPr>
          <w:rFonts w:ascii="Arial Black" w:hAnsi="Arial Black"/>
          <w:sz w:val="24"/>
          <w:szCs w:val="24"/>
        </w:rPr>
      </w:pPr>
      <w:r>
        <w:rPr>
          <w:rFonts w:ascii="Arial Black" w:hAnsi="Arial Black"/>
          <w:sz w:val="24"/>
          <w:szCs w:val="24"/>
        </w:rPr>
        <w:t>13-22</w:t>
      </w:r>
    </w:p>
    <w:p w14:paraId="48C7DDDA" w14:textId="66E439FC" w:rsidR="00527EDF" w:rsidRDefault="00527EDF" w:rsidP="00F326E5">
      <w:pPr>
        <w:pStyle w:val="NoSpacing"/>
        <w:rPr>
          <w:sz w:val="24"/>
          <w:szCs w:val="24"/>
        </w:rPr>
      </w:pPr>
    </w:p>
    <w:p w14:paraId="504039E7" w14:textId="77777777" w:rsidR="00527EDF" w:rsidRDefault="00527EDF" w:rsidP="00F326E5">
      <w:pPr>
        <w:pStyle w:val="NoSpacing"/>
        <w:rPr>
          <w:sz w:val="24"/>
          <w:szCs w:val="24"/>
        </w:rPr>
      </w:pPr>
    </w:p>
    <w:p w14:paraId="040AAAA1" w14:textId="0073AC6F" w:rsidR="00F326E5" w:rsidRDefault="00F326E5" w:rsidP="00F326E5">
      <w:pPr>
        <w:pStyle w:val="NoSpacing"/>
        <w:rPr>
          <w:sz w:val="32"/>
        </w:rPr>
      </w:pPr>
      <w:bookmarkStart w:id="516" w:name="_Hlk41153721"/>
      <w:r>
        <w:rPr>
          <w:rFonts w:ascii="Arial Black" w:hAnsi="Arial Black"/>
          <w:sz w:val="28"/>
          <w:szCs w:val="28"/>
        </w:rPr>
        <w:t>HHS OPINION: CLINIC PROVIDE FREE HOME VISITS – CHF / COPD PATIENTS – NOT FED. ANTI-KICKBACK</w:t>
      </w:r>
    </w:p>
    <w:p w14:paraId="284093B8" w14:textId="77777777" w:rsidR="00F326E5" w:rsidRPr="006114FF" w:rsidRDefault="00F326E5" w:rsidP="00F326E5">
      <w:pPr>
        <w:pStyle w:val="NoSpacing"/>
        <w:rPr>
          <w:rFonts w:ascii="Times New Roman" w:hAnsi="Times New Roman"/>
          <w:sz w:val="24"/>
          <w:szCs w:val="24"/>
        </w:rPr>
      </w:pPr>
      <w:r w:rsidRPr="006114FF">
        <w:rPr>
          <w:rFonts w:ascii="Times New Roman" w:hAnsi="Times New Roman"/>
          <w:sz w:val="24"/>
          <w:szCs w:val="24"/>
        </w:rPr>
        <w:t xml:space="preserve">On March 6, 2019, the HHS Office of Inspector General issued Advisory Opinion No. 19-03. </w:t>
      </w:r>
      <w:hyperlink r:id="rId2398" w:history="1">
        <w:r w:rsidRPr="006114FF">
          <w:rPr>
            <w:rStyle w:val="Hyperlink"/>
            <w:rFonts w:ascii="Times New Roman" w:hAnsi="Times New Roman"/>
            <w:sz w:val="24"/>
            <w:szCs w:val="24"/>
          </w:rPr>
          <w:t>https://oig.hhs.gov/fraud/docs/advisoryopinions/2019/AdvOpn19-03.pdf</w:t>
        </w:r>
      </w:hyperlink>
      <w:r w:rsidRPr="006114FF">
        <w:rPr>
          <w:rFonts w:ascii="Times New Roman" w:hAnsi="Times New Roman"/>
          <w:sz w:val="24"/>
          <w:szCs w:val="24"/>
        </w:rPr>
        <w:t xml:space="preserve"> </w:t>
      </w:r>
    </w:p>
    <w:p w14:paraId="506FBA48" w14:textId="77777777" w:rsidR="00F326E5" w:rsidRPr="006114FF" w:rsidRDefault="00F326E5" w:rsidP="00F326E5">
      <w:pPr>
        <w:pStyle w:val="NoSpacing"/>
        <w:rPr>
          <w:rFonts w:ascii="Times New Roman" w:hAnsi="Times New Roman"/>
          <w:sz w:val="24"/>
          <w:szCs w:val="24"/>
        </w:rPr>
      </w:pPr>
    </w:p>
    <w:p w14:paraId="694A3E16" w14:textId="77777777" w:rsidR="00F326E5" w:rsidRPr="006114FF" w:rsidRDefault="00F326E5" w:rsidP="00F326E5">
      <w:pPr>
        <w:pStyle w:val="NoSpacing"/>
        <w:ind w:left="720"/>
        <w:rPr>
          <w:rFonts w:ascii="Times New Roman" w:hAnsi="Times New Roman"/>
          <w:sz w:val="24"/>
          <w:szCs w:val="24"/>
        </w:rPr>
      </w:pPr>
      <w:r w:rsidRPr="006114FF">
        <w:rPr>
          <w:rFonts w:ascii="Times New Roman" w:hAnsi="Times New Roman"/>
          <w:sz w:val="24"/>
          <w:szCs w:val="24"/>
        </w:rPr>
        <w:t xml:space="preserve">“Requestor [clinic] has developed a program to provide free, in-home follow-up care to certain patients who it certifies are at higher risk of admission or readmission to a hospital. Under the Current Arrangement, Requestor offers in-home care to patients with congestive heart </w:t>
      </w:r>
      <w:proofErr w:type="gramStart"/>
      <w:r w:rsidRPr="006114FF">
        <w:rPr>
          <w:rFonts w:ascii="Times New Roman" w:hAnsi="Times New Roman"/>
          <w:sz w:val="24"/>
          <w:szCs w:val="24"/>
        </w:rPr>
        <w:t>failure (‘</w:t>
      </w:r>
      <w:proofErr w:type="gramEnd"/>
      <w:r w:rsidRPr="006114FF">
        <w:rPr>
          <w:rFonts w:ascii="Times New Roman" w:hAnsi="Times New Roman"/>
          <w:sz w:val="24"/>
          <w:szCs w:val="24"/>
        </w:rPr>
        <w:t xml:space="preserve">CHF’) who qualify for participation, and under the Proposed Arrangement, Requestor would expand the program to qualifying patients with chronic obstructive pulmonary </w:t>
      </w:r>
      <w:proofErr w:type="gramStart"/>
      <w:r w:rsidRPr="006114FF">
        <w:rPr>
          <w:rFonts w:ascii="Times New Roman" w:hAnsi="Times New Roman"/>
          <w:sz w:val="24"/>
          <w:szCs w:val="24"/>
        </w:rPr>
        <w:t>disease (‘</w:t>
      </w:r>
      <w:proofErr w:type="gramEnd"/>
      <w:r w:rsidRPr="006114FF">
        <w:rPr>
          <w:rFonts w:ascii="Times New Roman" w:hAnsi="Times New Roman"/>
          <w:sz w:val="24"/>
          <w:szCs w:val="24"/>
        </w:rPr>
        <w:t>COPD’). According to Requestor, the goals of both Arrangements are to increase patient compliance with discharge plans, improve patient health, and reduce hospital inpatient admissions and readmissions.</w:t>
      </w:r>
    </w:p>
    <w:p w14:paraId="580B3669" w14:textId="77777777" w:rsidR="006114FF" w:rsidRDefault="006114FF" w:rsidP="00F326E5">
      <w:pPr>
        <w:pStyle w:val="NoSpacing"/>
        <w:rPr>
          <w:rFonts w:ascii="Times New Roman" w:hAnsi="Times New Roman"/>
          <w:b/>
          <w:sz w:val="24"/>
          <w:szCs w:val="24"/>
        </w:rPr>
      </w:pPr>
      <w:bookmarkStart w:id="517" w:name="_Hlk6756145"/>
    </w:p>
    <w:p w14:paraId="603CBB57" w14:textId="5B5E9F1E" w:rsidR="00F326E5" w:rsidRPr="006114FF" w:rsidRDefault="00F326E5" w:rsidP="00F326E5">
      <w:pPr>
        <w:pStyle w:val="NoSpacing"/>
        <w:rPr>
          <w:rFonts w:ascii="Times New Roman" w:hAnsi="Times New Roman"/>
          <w:b/>
          <w:sz w:val="24"/>
          <w:szCs w:val="24"/>
        </w:rPr>
      </w:pPr>
      <w:r w:rsidRPr="006114FF">
        <w:rPr>
          <w:rFonts w:ascii="Times New Roman" w:hAnsi="Times New Roman"/>
          <w:b/>
          <w:sz w:val="24"/>
          <w:szCs w:val="24"/>
        </w:rPr>
        <w:t xml:space="preserve">Legal Lessons Learned: Community Paramedicine programs are rapidly expanding throughout the Nation. </w:t>
      </w:r>
    </w:p>
    <w:bookmarkEnd w:id="433"/>
    <w:bookmarkEnd w:id="517"/>
    <w:p w14:paraId="2DC65B07" w14:textId="77777777" w:rsidR="00DE0F03" w:rsidRPr="006114FF" w:rsidRDefault="00DE0F03" w:rsidP="00DE0F03">
      <w:pPr>
        <w:pStyle w:val="NoSpacing"/>
        <w:rPr>
          <w:rFonts w:ascii="Times New Roman" w:hAnsi="Times New Roman"/>
          <w:sz w:val="24"/>
          <w:szCs w:val="24"/>
        </w:rPr>
      </w:pPr>
    </w:p>
    <w:bookmarkEnd w:id="516"/>
    <w:p w14:paraId="06C9AFBC" w14:textId="026779F8" w:rsidR="005F7D6B" w:rsidRPr="005F7D6B" w:rsidRDefault="005F7D6B" w:rsidP="00DE0F03">
      <w:pPr>
        <w:pStyle w:val="NoSpacing"/>
        <w:rPr>
          <w:rFonts w:ascii="Times New Roman" w:hAnsi="Times New Roman"/>
          <w:sz w:val="24"/>
          <w:szCs w:val="24"/>
        </w:rPr>
      </w:pPr>
    </w:p>
    <w:p w14:paraId="56BEDB2F" w14:textId="77777777" w:rsidR="005F7D6B" w:rsidRDefault="005F7D6B" w:rsidP="00DE0F03">
      <w:pPr>
        <w:pStyle w:val="NoSpacing"/>
        <w:rPr>
          <w:rFonts w:ascii="Arial Black" w:hAnsi="Arial Black"/>
          <w:sz w:val="24"/>
          <w:szCs w:val="24"/>
        </w:rPr>
      </w:pPr>
    </w:p>
    <w:p w14:paraId="482C3816" w14:textId="2D9EF36F" w:rsidR="00DE0F03" w:rsidRDefault="00DE0F03" w:rsidP="00DE0F03">
      <w:pPr>
        <w:pStyle w:val="NoSpacing"/>
        <w:rPr>
          <w:rFonts w:ascii="Arial Black" w:hAnsi="Arial Black"/>
          <w:sz w:val="24"/>
          <w:szCs w:val="24"/>
        </w:rPr>
      </w:pPr>
      <w:r>
        <w:rPr>
          <w:rFonts w:ascii="Arial Black" w:hAnsi="Arial Black"/>
          <w:sz w:val="24"/>
          <w:szCs w:val="24"/>
        </w:rPr>
        <w:t>13-21</w:t>
      </w:r>
    </w:p>
    <w:p w14:paraId="6C02713D" w14:textId="77777777" w:rsidR="00DE0F03" w:rsidRDefault="00DE0F03" w:rsidP="00F326E5">
      <w:pPr>
        <w:pStyle w:val="NoSpacing"/>
        <w:rPr>
          <w:rFonts w:ascii="Arial Black" w:hAnsi="Arial Black"/>
          <w:sz w:val="28"/>
          <w:szCs w:val="28"/>
        </w:rPr>
      </w:pPr>
      <w:bookmarkStart w:id="518" w:name="_Hlk7346249"/>
    </w:p>
    <w:p w14:paraId="542D6FF9" w14:textId="4DC3CFA9" w:rsidR="00F326E5" w:rsidRDefault="00F326E5" w:rsidP="00F326E5">
      <w:pPr>
        <w:pStyle w:val="NoSpacing"/>
        <w:rPr>
          <w:rFonts w:ascii="Arial Black" w:hAnsi="Arial Black"/>
          <w:sz w:val="28"/>
          <w:szCs w:val="28"/>
        </w:rPr>
      </w:pPr>
      <w:bookmarkStart w:id="519" w:name="_Hlk41295020"/>
      <w:bookmarkStart w:id="520" w:name="_Hlk41153758"/>
      <w:r>
        <w:rPr>
          <w:rFonts w:ascii="Arial Black" w:hAnsi="Arial Black"/>
          <w:sz w:val="28"/>
          <w:szCs w:val="28"/>
        </w:rPr>
        <w:t xml:space="preserve">PA: ATTEMPTED MURDER CONV. UPHELD - EMT TESTIFIED ABOUT VICTIM’S </w:t>
      </w:r>
      <w:r w:rsidR="000F0910">
        <w:rPr>
          <w:rFonts w:ascii="Arial Black" w:hAnsi="Arial Black"/>
          <w:sz w:val="28"/>
          <w:szCs w:val="28"/>
        </w:rPr>
        <w:t xml:space="preserve">COMMENTS ABOUT </w:t>
      </w:r>
      <w:r>
        <w:rPr>
          <w:rFonts w:ascii="Arial Black" w:hAnsi="Arial Black"/>
          <w:sz w:val="28"/>
          <w:szCs w:val="28"/>
        </w:rPr>
        <w:t xml:space="preserve">WHO SHOT HIM </w:t>
      </w:r>
    </w:p>
    <w:p w14:paraId="6E2D8ED4" w14:textId="77777777" w:rsidR="00F326E5" w:rsidRPr="006114FF" w:rsidRDefault="00F326E5" w:rsidP="006114FF">
      <w:pPr>
        <w:pStyle w:val="NoSpacing"/>
        <w:rPr>
          <w:rFonts w:ascii="Times New Roman" w:hAnsi="Times New Roman"/>
          <w:sz w:val="24"/>
          <w:szCs w:val="24"/>
        </w:rPr>
      </w:pPr>
      <w:r w:rsidRPr="006114FF">
        <w:rPr>
          <w:rFonts w:ascii="Times New Roman" w:hAnsi="Times New Roman"/>
          <w:sz w:val="24"/>
          <w:szCs w:val="24"/>
        </w:rPr>
        <w:t xml:space="preserve">On Feb. 22, 2019, in </w:t>
      </w:r>
      <w:r w:rsidRPr="006114FF">
        <w:rPr>
          <w:rFonts w:ascii="Times New Roman" w:hAnsi="Times New Roman"/>
          <w:sz w:val="24"/>
          <w:szCs w:val="24"/>
          <w:u w:val="single"/>
        </w:rPr>
        <w:t>Commonwealth of Pennsylvania v. Gregory Mack</w:t>
      </w:r>
      <w:r w:rsidRPr="006114FF">
        <w:rPr>
          <w:rFonts w:ascii="Times New Roman" w:hAnsi="Times New Roman"/>
          <w:sz w:val="24"/>
          <w:szCs w:val="24"/>
        </w:rPr>
        <w:t xml:space="preserve">, the Superior Court of PA held (3 to 0) that the jury conviction is affirmed.  One of the issues on appeal was veracity of the EMT who testified at the criminal trial: </w:t>
      </w:r>
    </w:p>
    <w:p w14:paraId="64CD4004" w14:textId="77777777" w:rsidR="00F326E5" w:rsidRPr="006114FF" w:rsidRDefault="00F326E5" w:rsidP="006114FF">
      <w:pPr>
        <w:pStyle w:val="NoSpacing"/>
        <w:ind w:left="720"/>
        <w:rPr>
          <w:rFonts w:ascii="Times New Roman" w:hAnsi="Times New Roman"/>
          <w:sz w:val="24"/>
          <w:szCs w:val="24"/>
        </w:rPr>
      </w:pPr>
      <w:r w:rsidRPr="006114FF">
        <w:rPr>
          <w:rFonts w:ascii="Times New Roman" w:hAnsi="Times New Roman"/>
          <w:sz w:val="24"/>
          <w:szCs w:val="24"/>
        </w:rPr>
        <w:t>“Moreover, at trial, the emergency medical technician (EMT) who transported the victim to the hospital testified that the victim told him that his friend shot him; on appeal, Appellant claims the testimony was invalid and lacked veracity because the EMT did not make a record of the conversation or subsequently inform the police of it.”</w:t>
      </w:r>
    </w:p>
    <w:p w14:paraId="311DD3F6" w14:textId="4497C144" w:rsidR="00F326E5" w:rsidRPr="006114FF" w:rsidRDefault="006114FF" w:rsidP="006114FF">
      <w:pPr>
        <w:pStyle w:val="NoSpacing"/>
        <w:ind w:left="720"/>
        <w:rPr>
          <w:rFonts w:ascii="Times New Roman" w:hAnsi="Times New Roman"/>
          <w:sz w:val="24"/>
          <w:szCs w:val="24"/>
        </w:rPr>
      </w:pPr>
      <w:hyperlink r:id="rId2399" w:anchor="search=%22GREGORY%20MACK%20%27Superior%2bCourt%27%22" w:history="1">
        <w:r w:rsidRPr="002F304C">
          <w:rPr>
            <w:rStyle w:val="Hyperlink"/>
            <w:rFonts w:ascii="Times New Roman" w:hAnsi="Times New Roman"/>
            <w:sz w:val="24"/>
            <w:szCs w:val="24"/>
          </w:rPr>
          <w:t>http://www.pacourts.us/assets/opinions/Superior/out/memorandum%20%20affirmed%20%2010388943251531544.pdf#search=%22GREGORY%20MACK%20%27Superior%2bCourt%27%22</w:t>
        </w:r>
      </w:hyperlink>
      <w:r w:rsidR="00F326E5" w:rsidRPr="006114FF">
        <w:rPr>
          <w:rFonts w:ascii="Times New Roman" w:hAnsi="Times New Roman"/>
          <w:sz w:val="24"/>
          <w:szCs w:val="24"/>
        </w:rPr>
        <w:t xml:space="preserve"> </w:t>
      </w:r>
    </w:p>
    <w:p w14:paraId="41E1EE32" w14:textId="77777777" w:rsidR="006114FF" w:rsidRDefault="006114FF" w:rsidP="006114FF">
      <w:pPr>
        <w:pStyle w:val="NoSpacing"/>
        <w:rPr>
          <w:rFonts w:ascii="Times New Roman" w:hAnsi="Times New Roman"/>
          <w:b/>
          <w:sz w:val="24"/>
          <w:szCs w:val="24"/>
        </w:rPr>
      </w:pPr>
    </w:p>
    <w:p w14:paraId="60595D88" w14:textId="0CDE2945" w:rsidR="00F326E5" w:rsidRPr="006114FF" w:rsidRDefault="00F326E5" w:rsidP="006114FF">
      <w:pPr>
        <w:pStyle w:val="NoSpacing"/>
        <w:rPr>
          <w:rFonts w:ascii="Times New Roman" w:hAnsi="Times New Roman"/>
          <w:b/>
          <w:sz w:val="24"/>
          <w:szCs w:val="24"/>
        </w:rPr>
      </w:pPr>
      <w:r w:rsidRPr="006114FF">
        <w:rPr>
          <w:rFonts w:ascii="Times New Roman" w:hAnsi="Times New Roman"/>
          <w:b/>
          <w:sz w:val="24"/>
          <w:szCs w:val="24"/>
        </w:rPr>
        <w:t>Legal Lessons Learned: EMS should document a victim’s statement concerning who shot him, either on the EMS run report or on a supplemental report. This helps avoid issues on appeal</w:t>
      </w:r>
      <w:bookmarkEnd w:id="519"/>
      <w:r w:rsidRPr="006114FF">
        <w:rPr>
          <w:rFonts w:ascii="Times New Roman" w:hAnsi="Times New Roman"/>
          <w:b/>
          <w:sz w:val="24"/>
          <w:szCs w:val="24"/>
        </w:rPr>
        <w:t xml:space="preserve">.  </w:t>
      </w:r>
    </w:p>
    <w:bookmarkEnd w:id="518"/>
    <w:bookmarkEnd w:id="520"/>
    <w:p w14:paraId="689DEC78" w14:textId="77777777" w:rsidR="00F326E5" w:rsidRDefault="00F326E5" w:rsidP="00F326E5">
      <w:pPr>
        <w:pStyle w:val="NoSpacing"/>
        <w:rPr>
          <w:b/>
          <w:sz w:val="24"/>
          <w:szCs w:val="24"/>
        </w:rPr>
      </w:pPr>
    </w:p>
    <w:p w14:paraId="0CD4CDFB" w14:textId="77777777" w:rsidR="006114FF" w:rsidRDefault="006114FF" w:rsidP="00F326E5">
      <w:pPr>
        <w:pStyle w:val="NoSpacing"/>
        <w:rPr>
          <w:rFonts w:ascii="Arial Black" w:hAnsi="Arial Black"/>
          <w:sz w:val="24"/>
          <w:szCs w:val="24"/>
        </w:rPr>
      </w:pPr>
    </w:p>
    <w:p w14:paraId="0D85A8D0" w14:textId="137BBB80" w:rsidR="00F326E5" w:rsidRDefault="00DE0F03" w:rsidP="00F326E5">
      <w:pPr>
        <w:pStyle w:val="NoSpacing"/>
        <w:rPr>
          <w:b/>
          <w:sz w:val="24"/>
          <w:szCs w:val="24"/>
        </w:rPr>
      </w:pPr>
      <w:r>
        <w:rPr>
          <w:rFonts w:ascii="Arial Black" w:hAnsi="Arial Black"/>
          <w:sz w:val="24"/>
          <w:szCs w:val="24"/>
        </w:rPr>
        <w:t>13-20</w:t>
      </w:r>
    </w:p>
    <w:p w14:paraId="3E74FF6C" w14:textId="77777777" w:rsidR="00DE0F03" w:rsidRDefault="00DE0F03" w:rsidP="00F326E5">
      <w:pPr>
        <w:pStyle w:val="NoSpacing"/>
        <w:rPr>
          <w:b/>
          <w:sz w:val="24"/>
          <w:szCs w:val="24"/>
        </w:rPr>
      </w:pPr>
    </w:p>
    <w:p w14:paraId="5BA9F8A5" w14:textId="64AF921A" w:rsidR="00F326E5" w:rsidRDefault="00F326E5" w:rsidP="00F326E5">
      <w:pPr>
        <w:pStyle w:val="NoSpacing"/>
        <w:rPr>
          <w:rFonts w:ascii="Arial Black" w:hAnsi="Arial Black"/>
          <w:sz w:val="28"/>
          <w:szCs w:val="28"/>
        </w:rPr>
      </w:pPr>
      <w:bookmarkStart w:id="521" w:name="_Hlk41153820"/>
      <w:bookmarkStart w:id="522" w:name="_Hlk7346323"/>
      <w:r w:rsidRPr="009D44BC">
        <w:rPr>
          <w:rFonts w:ascii="Arial Black" w:hAnsi="Arial Black"/>
          <w:sz w:val="28"/>
          <w:szCs w:val="28"/>
        </w:rPr>
        <w:t>OH</w:t>
      </w:r>
      <w:r>
        <w:rPr>
          <w:rFonts w:ascii="Arial Black" w:hAnsi="Arial Black"/>
          <w:sz w:val="28"/>
          <w:szCs w:val="28"/>
        </w:rPr>
        <w:t xml:space="preserve">: DUI - BLOOD DRAW BY NURSE UNCONSCIOUS DRIVER LAWFUL - PD NO TIME FOR SEARCH WARRANT </w:t>
      </w:r>
    </w:p>
    <w:p w14:paraId="334DFF26" w14:textId="77777777" w:rsidR="006114FF" w:rsidRDefault="00F326E5" w:rsidP="00F326E5">
      <w:pPr>
        <w:pStyle w:val="NoSpacing"/>
        <w:rPr>
          <w:rFonts w:ascii="Times New Roman" w:hAnsi="Times New Roman"/>
          <w:sz w:val="24"/>
          <w:szCs w:val="24"/>
        </w:rPr>
      </w:pPr>
      <w:r w:rsidRPr="006114FF">
        <w:rPr>
          <w:rFonts w:ascii="Times New Roman" w:hAnsi="Times New Roman"/>
          <w:sz w:val="24"/>
          <w:szCs w:val="24"/>
        </w:rPr>
        <w:t xml:space="preserve">On Feb. 12, </w:t>
      </w:r>
      <w:proofErr w:type="gramStart"/>
      <w:r w:rsidRPr="006114FF">
        <w:rPr>
          <w:rFonts w:ascii="Times New Roman" w:hAnsi="Times New Roman"/>
          <w:sz w:val="24"/>
          <w:szCs w:val="24"/>
        </w:rPr>
        <w:t>2019</w:t>
      </w:r>
      <w:proofErr w:type="gramEnd"/>
      <w:r w:rsidRPr="006114FF">
        <w:rPr>
          <w:rFonts w:ascii="Times New Roman" w:hAnsi="Times New Roman"/>
          <w:sz w:val="24"/>
          <w:szCs w:val="24"/>
        </w:rPr>
        <w:t xml:space="preserve"> in </w:t>
      </w:r>
      <w:r w:rsidRPr="006114FF">
        <w:rPr>
          <w:rFonts w:ascii="Times New Roman" w:hAnsi="Times New Roman"/>
          <w:sz w:val="24"/>
          <w:szCs w:val="24"/>
          <w:u w:val="single"/>
        </w:rPr>
        <w:t>State of Ohio v. Richard Barnhart, Jr.</w:t>
      </w:r>
      <w:r w:rsidRPr="006114FF">
        <w:rPr>
          <w:rFonts w:ascii="Times New Roman" w:hAnsi="Times New Roman"/>
          <w:sz w:val="24"/>
          <w:szCs w:val="24"/>
        </w:rPr>
        <w:t xml:space="preserve">, Court of Appeals of Ohio, Fourth Appellate District – Meigs County, held (3 to 0) that trial court properly allowed into evidence the results of the blood draw.  The Court </w:t>
      </w:r>
      <w:proofErr w:type="gramStart"/>
      <w:r w:rsidRPr="006114FF">
        <w:rPr>
          <w:rFonts w:ascii="Times New Roman" w:hAnsi="Times New Roman"/>
          <w:sz w:val="24"/>
          <w:szCs w:val="24"/>
        </w:rPr>
        <w:t>write</w:t>
      </w:r>
      <w:proofErr w:type="gramEnd"/>
      <w:r w:rsidRPr="006114FF">
        <w:rPr>
          <w:rFonts w:ascii="Times New Roman" w:hAnsi="Times New Roman"/>
          <w:sz w:val="24"/>
          <w:szCs w:val="24"/>
        </w:rPr>
        <w:t xml:space="preserve">: </w:t>
      </w:r>
    </w:p>
    <w:p w14:paraId="4DAE5C83" w14:textId="77777777" w:rsidR="006114FF" w:rsidRDefault="006114FF" w:rsidP="00F326E5">
      <w:pPr>
        <w:pStyle w:val="NoSpacing"/>
        <w:rPr>
          <w:rFonts w:ascii="Times New Roman" w:hAnsi="Times New Roman"/>
          <w:sz w:val="24"/>
          <w:szCs w:val="24"/>
        </w:rPr>
      </w:pPr>
    </w:p>
    <w:p w14:paraId="22B4BDEA" w14:textId="52421F0F" w:rsidR="00F326E5" w:rsidRPr="006114FF" w:rsidRDefault="00F326E5" w:rsidP="006114FF">
      <w:pPr>
        <w:pStyle w:val="NoSpacing"/>
        <w:ind w:left="720"/>
        <w:rPr>
          <w:rFonts w:ascii="Times New Roman" w:hAnsi="Times New Roman"/>
          <w:sz w:val="24"/>
          <w:szCs w:val="24"/>
        </w:rPr>
      </w:pPr>
      <w:r w:rsidRPr="006114FF">
        <w:rPr>
          <w:rFonts w:ascii="Times New Roman" w:hAnsi="Times New Roman"/>
          <w:sz w:val="24"/>
          <w:szCs w:val="24"/>
        </w:rPr>
        <w:t>“[B]</w:t>
      </w:r>
      <w:proofErr w:type="spellStart"/>
      <w:r w:rsidRPr="006114FF">
        <w:rPr>
          <w:rFonts w:ascii="Times New Roman" w:hAnsi="Times New Roman"/>
          <w:sz w:val="24"/>
          <w:szCs w:val="24"/>
        </w:rPr>
        <w:t>ased</w:t>
      </w:r>
      <w:proofErr w:type="spellEnd"/>
      <w:r w:rsidRPr="006114FF">
        <w:rPr>
          <w:rFonts w:ascii="Times New Roman" w:hAnsi="Times New Roman"/>
          <w:sz w:val="24"/>
          <w:szCs w:val="24"/>
        </w:rPr>
        <w:t xml:space="preserve"> upon the totality of the circumstances, we conclude that the blood sample obtained from Appellant, which was taken while he was unconscious at the hospital and being prepared for transfer to </w:t>
      </w:r>
      <w:r w:rsidRPr="006114FF">
        <w:rPr>
          <w:rFonts w:ascii="Times New Roman" w:hAnsi="Times New Roman"/>
          <w:sz w:val="24"/>
          <w:szCs w:val="24"/>
        </w:rPr>
        <w:lastRenderedPageBreak/>
        <w:t xml:space="preserve">another facility, was both lawful and constitutionally valid pursuant to Ohio’s Implied Consent statute, as well as both the consent and exigent circumstances exceptions to the warrant requirement.”   </w:t>
      </w:r>
    </w:p>
    <w:p w14:paraId="0AE68A09" w14:textId="19998A49" w:rsidR="00F326E5" w:rsidRPr="006114FF" w:rsidRDefault="006114FF" w:rsidP="006114FF">
      <w:pPr>
        <w:pStyle w:val="NoSpacing"/>
        <w:ind w:firstLine="720"/>
        <w:rPr>
          <w:rFonts w:ascii="Times New Roman" w:hAnsi="Times New Roman"/>
          <w:sz w:val="24"/>
          <w:szCs w:val="24"/>
        </w:rPr>
      </w:pPr>
      <w:hyperlink r:id="rId2400" w:history="1">
        <w:r w:rsidRPr="002F304C">
          <w:rPr>
            <w:rStyle w:val="Hyperlink"/>
            <w:rFonts w:ascii="Times New Roman" w:hAnsi="Times New Roman"/>
            <w:sz w:val="24"/>
            <w:szCs w:val="24"/>
          </w:rPr>
          <w:t>https://cases.justia.com/ohio/fourth-district-court-of-appeals/2019-18ca8-5.pdf?ts=1553894129</w:t>
        </w:r>
      </w:hyperlink>
      <w:r w:rsidR="00F326E5" w:rsidRPr="006114FF">
        <w:rPr>
          <w:rFonts w:ascii="Times New Roman" w:hAnsi="Times New Roman"/>
          <w:sz w:val="24"/>
          <w:szCs w:val="24"/>
        </w:rPr>
        <w:t xml:space="preserve"> </w:t>
      </w:r>
    </w:p>
    <w:p w14:paraId="1C3F419C" w14:textId="77777777" w:rsidR="006114FF" w:rsidRDefault="006114FF" w:rsidP="00F326E5">
      <w:pPr>
        <w:pStyle w:val="NoSpacing"/>
        <w:rPr>
          <w:rFonts w:ascii="Times New Roman" w:hAnsi="Times New Roman"/>
          <w:b/>
          <w:sz w:val="24"/>
          <w:szCs w:val="24"/>
        </w:rPr>
      </w:pPr>
      <w:bookmarkStart w:id="523" w:name="_Hlk7182059"/>
    </w:p>
    <w:p w14:paraId="494A2E72" w14:textId="48E5356C" w:rsidR="00F326E5" w:rsidRPr="006114FF" w:rsidRDefault="00F326E5" w:rsidP="00F326E5">
      <w:pPr>
        <w:pStyle w:val="NoSpacing"/>
        <w:rPr>
          <w:rFonts w:ascii="Times New Roman" w:hAnsi="Times New Roman"/>
          <w:b/>
          <w:sz w:val="24"/>
          <w:szCs w:val="24"/>
        </w:rPr>
      </w:pPr>
      <w:r w:rsidRPr="006114FF">
        <w:rPr>
          <w:rFonts w:ascii="Times New Roman" w:hAnsi="Times New Roman"/>
          <w:b/>
          <w:sz w:val="24"/>
          <w:szCs w:val="24"/>
        </w:rPr>
        <w:t xml:space="preserve">Legal Lessons Learned: Implied consent statutes are an important part of highway safety. </w:t>
      </w:r>
    </w:p>
    <w:p w14:paraId="47C1FCA3" w14:textId="6E020BB8" w:rsidR="009C7552" w:rsidRDefault="009C7552" w:rsidP="00F326E5">
      <w:pPr>
        <w:pStyle w:val="NoSpacing"/>
        <w:rPr>
          <w:b/>
          <w:sz w:val="24"/>
          <w:szCs w:val="24"/>
        </w:rPr>
      </w:pPr>
    </w:p>
    <w:bookmarkEnd w:id="521"/>
    <w:p w14:paraId="5F8888E7" w14:textId="77777777" w:rsidR="009C7552" w:rsidRPr="00747A23" w:rsidRDefault="009C7552" w:rsidP="00F326E5">
      <w:pPr>
        <w:pStyle w:val="NoSpacing"/>
        <w:rPr>
          <w:b/>
          <w:sz w:val="24"/>
          <w:szCs w:val="24"/>
        </w:rPr>
      </w:pPr>
    </w:p>
    <w:bookmarkEnd w:id="522"/>
    <w:bookmarkEnd w:id="523"/>
    <w:p w14:paraId="27611C85" w14:textId="77777777" w:rsidR="00F326E5" w:rsidRDefault="00F326E5" w:rsidP="00F326E5">
      <w:pPr>
        <w:rPr>
          <w:rFonts w:ascii="Arial Black" w:hAnsi="Arial Black"/>
          <w:sz w:val="40"/>
          <w:szCs w:val="40"/>
        </w:rPr>
      </w:pPr>
    </w:p>
    <w:p w14:paraId="22A0E706" w14:textId="2F51C807" w:rsidR="00DE0F03" w:rsidRDefault="00DE0F03" w:rsidP="00F326E5">
      <w:pPr>
        <w:pStyle w:val="NoSpacing"/>
        <w:rPr>
          <w:rFonts w:ascii="Arial Black" w:hAnsi="Arial Black"/>
          <w:b/>
          <w:sz w:val="28"/>
          <w:szCs w:val="28"/>
        </w:rPr>
      </w:pPr>
      <w:bookmarkStart w:id="524" w:name="_Hlk7346439"/>
      <w:r>
        <w:rPr>
          <w:rFonts w:ascii="Arial Black" w:hAnsi="Arial Black"/>
          <w:sz w:val="24"/>
          <w:szCs w:val="24"/>
        </w:rPr>
        <w:t>13-19</w:t>
      </w:r>
    </w:p>
    <w:p w14:paraId="4D27B397" w14:textId="77777777" w:rsidR="00DE0F03" w:rsidRDefault="00DE0F03" w:rsidP="00F326E5">
      <w:pPr>
        <w:pStyle w:val="NoSpacing"/>
        <w:rPr>
          <w:rFonts w:ascii="Arial Black" w:hAnsi="Arial Black"/>
          <w:b/>
          <w:sz w:val="28"/>
          <w:szCs w:val="28"/>
        </w:rPr>
      </w:pPr>
    </w:p>
    <w:p w14:paraId="538FF428" w14:textId="11CBA939" w:rsidR="00F326E5" w:rsidRDefault="00F326E5" w:rsidP="00F326E5">
      <w:pPr>
        <w:pStyle w:val="NoSpacing"/>
        <w:rPr>
          <w:rFonts w:ascii="Arial Black" w:hAnsi="Arial Black"/>
          <w:b/>
          <w:sz w:val="28"/>
          <w:szCs w:val="28"/>
        </w:rPr>
      </w:pPr>
      <w:bookmarkStart w:id="525" w:name="_Hlk41294907"/>
      <w:bookmarkStart w:id="526" w:name="_Hlk41153975"/>
      <w:r w:rsidRPr="00EA2DAF">
        <w:rPr>
          <w:rFonts w:ascii="Arial Black" w:hAnsi="Arial Black"/>
          <w:b/>
          <w:sz w:val="28"/>
          <w:szCs w:val="28"/>
        </w:rPr>
        <w:t>WA</w:t>
      </w:r>
      <w:r>
        <w:rPr>
          <w:rFonts w:ascii="Arial Black" w:hAnsi="Arial Black"/>
          <w:b/>
          <w:sz w:val="28"/>
          <w:szCs w:val="28"/>
        </w:rPr>
        <w:t xml:space="preserve">: </w:t>
      </w:r>
      <w:r w:rsidRPr="00EA2DAF">
        <w:rPr>
          <w:rFonts w:ascii="Arial Black" w:hAnsi="Arial Black"/>
          <w:b/>
          <w:sz w:val="28"/>
          <w:szCs w:val="28"/>
        </w:rPr>
        <w:t xml:space="preserve">PATIENT WITH CHEST PAIN </w:t>
      </w:r>
      <w:r>
        <w:rPr>
          <w:rFonts w:ascii="Arial Black" w:hAnsi="Arial Black"/>
          <w:b/>
          <w:sz w:val="28"/>
          <w:szCs w:val="28"/>
        </w:rPr>
        <w:t xml:space="preserve">REFUSED TRANSPORT - </w:t>
      </w:r>
      <w:r w:rsidRPr="00EA2DAF">
        <w:rPr>
          <w:rFonts w:ascii="Arial Black" w:hAnsi="Arial Black"/>
          <w:b/>
          <w:sz w:val="28"/>
          <w:szCs w:val="28"/>
        </w:rPr>
        <w:t xml:space="preserve">FORCIBLY TAKEN TO HOSPITAL </w:t>
      </w:r>
      <w:r w:rsidR="000F0910">
        <w:rPr>
          <w:rFonts w:ascii="Arial Black" w:hAnsi="Arial Black"/>
          <w:b/>
          <w:sz w:val="28"/>
          <w:szCs w:val="28"/>
        </w:rPr>
        <w:t>– NO QUALIFIED IMMUNITY</w:t>
      </w:r>
    </w:p>
    <w:p w14:paraId="54967434" w14:textId="77777777" w:rsidR="00F326E5" w:rsidRPr="006114FF" w:rsidRDefault="00F326E5" w:rsidP="006114FF">
      <w:pPr>
        <w:pStyle w:val="NoSpacing"/>
        <w:rPr>
          <w:rFonts w:ascii="Times New Roman" w:hAnsi="Times New Roman"/>
          <w:sz w:val="24"/>
          <w:szCs w:val="24"/>
        </w:rPr>
      </w:pPr>
      <w:r w:rsidRPr="006114FF">
        <w:rPr>
          <w:rFonts w:ascii="Times New Roman" w:hAnsi="Times New Roman"/>
          <w:sz w:val="24"/>
          <w:szCs w:val="24"/>
        </w:rPr>
        <w:t xml:space="preserve">On Jan. 11, 2019, in </w:t>
      </w:r>
      <w:r w:rsidRPr="006114FF">
        <w:rPr>
          <w:rFonts w:ascii="Times New Roman" w:hAnsi="Times New Roman"/>
          <w:sz w:val="24"/>
          <w:szCs w:val="24"/>
          <w:u w:val="single"/>
        </w:rPr>
        <w:t>El-Fatih P. Nowell v. Trimmed Ambulance, LLLC, et al</w:t>
      </w:r>
      <w:r w:rsidRPr="006114FF">
        <w:rPr>
          <w:rFonts w:ascii="Times New Roman" w:hAnsi="Times New Roman"/>
          <w:sz w:val="24"/>
          <w:szCs w:val="24"/>
        </w:rPr>
        <w:t xml:space="preserve">, U.S. District Court Judge Robert S. </w:t>
      </w:r>
      <w:proofErr w:type="spellStart"/>
      <w:r w:rsidRPr="006114FF">
        <w:rPr>
          <w:rFonts w:ascii="Times New Roman" w:hAnsi="Times New Roman"/>
          <w:sz w:val="24"/>
          <w:szCs w:val="24"/>
        </w:rPr>
        <w:t>Lasnik</w:t>
      </w:r>
      <w:proofErr w:type="spellEnd"/>
      <w:r w:rsidRPr="006114FF">
        <w:rPr>
          <w:rFonts w:ascii="Times New Roman" w:hAnsi="Times New Roman"/>
          <w:sz w:val="24"/>
          <w:szCs w:val="24"/>
        </w:rPr>
        <w:t xml:space="preserve"> (Seattle, WA), denied EMS defendants’ motion for summary judgments on most of the allegations of “involuntary detention and transport to a medical facility.” </w:t>
      </w:r>
      <w:hyperlink r:id="rId2401" w:history="1">
        <w:r w:rsidRPr="006114FF">
          <w:rPr>
            <w:rStyle w:val="Hyperlink"/>
            <w:rFonts w:ascii="Times New Roman" w:hAnsi="Times New Roman"/>
            <w:sz w:val="24"/>
            <w:szCs w:val="24"/>
          </w:rPr>
          <w:t>https://docs.justia.com/cases/federal/district-courts/washington/wawdce/2:2017cv01133/248111/33</w:t>
        </w:r>
      </w:hyperlink>
      <w:r w:rsidRPr="006114FF">
        <w:rPr>
          <w:rFonts w:ascii="Times New Roman" w:hAnsi="Times New Roman"/>
          <w:sz w:val="24"/>
          <w:szCs w:val="24"/>
        </w:rPr>
        <w:t xml:space="preserve"> </w:t>
      </w:r>
    </w:p>
    <w:p w14:paraId="7C381CFB" w14:textId="77777777" w:rsidR="006114FF" w:rsidRDefault="006114FF" w:rsidP="006114FF">
      <w:pPr>
        <w:pStyle w:val="NoSpacing"/>
        <w:rPr>
          <w:rFonts w:ascii="Times New Roman" w:eastAsia="Times New Roman" w:hAnsi="Times New Roman"/>
          <w:b/>
          <w:sz w:val="24"/>
          <w:szCs w:val="24"/>
        </w:rPr>
      </w:pPr>
    </w:p>
    <w:p w14:paraId="2AF4C848" w14:textId="4772050A" w:rsidR="00F326E5" w:rsidRPr="006114FF" w:rsidRDefault="00F326E5" w:rsidP="006114FF">
      <w:pPr>
        <w:pStyle w:val="NoSpacing"/>
        <w:rPr>
          <w:rFonts w:ascii="Times New Roman" w:eastAsia="Times New Roman" w:hAnsi="Times New Roman"/>
          <w:b/>
          <w:sz w:val="24"/>
          <w:szCs w:val="24"/>
        </w:rPr>
      </w:pPr>
      <w:r w:rsidRPr="006114FF">
        <w:rPr>
          <w:rFonts w:ascii="Times New Roman" w:eastAsia="Times New Roman" w:hAnsi="Times New Roman"/>
          <w:b/>
          <w:sz w:val="24"/>
          <w:szCs w:val="24"/>
        </w:rPr>
        <w:t>Legal Lessons Learned:  When EMS are faced with the difficult decision on whether to forcibly transport a patient, consider first calling the hospital emergency department and getting medical clearance to transport</w:t>
      </w:r>
      <w:bookmarkEnd w:id="525"/>
      <w:r w:rsidRPr="006114FF">
        <w:rPr>
          <w:rFonts w:ascii="Times New Roman" w:eastAsia="Times New Roman" w:hAnsi="Times New Roman"/>
          <w:b/>
          <w:sz w:val="24"/>
          <w:szCs w:val="24"/>
        </w:rPr>
        <w:t xml:space="preserve">. </w:t>
      </w:r>
    </w:p>
    <w:p w14:paraId="590DC6B5" w14:textId="77777777" w:rsidR="006114FF" w:rsidRDefault="006114FF" w:rsidP="00F326E5">
      <w:pPr>
        <w:pStyle w:val="NoSpacing"/>
        <w:rPr>
          <w:rFonts w:ascii="Arial Black" w:hAnsi="Arial Black"/>
          <w:sz w:val="24"/>
          <w:szCs w:val="24"/>
        </w:rPr>
      </w:pPr>
      <w:bookmarkStart w:id="527" w:name="_Hlk7346486"/>
      <w:bookmarkEnd w:id="524"/>
      <w:bookmarkEnd w:id="526"/>
    </w:p>
    <w:p w14:paraId="3A5B0FD9" w14:textId="77777777" w:rsidR="006114FF" w:rsidRDefault="006114FF" w:rsidP="00F326E5">
      <w:pPr>
        <w:pStyle w:val="NoSpacing"/>
        <w:rPr>
          <w:rFonts w:ascii="Arial Black" w:hAnsi="Arial Black"/>
          <w:sz w:val="24"/>
          <w:szCs w:val="24"/>
        </w:rPr>
      </w:pPr>
    </w:p>
    <w:p w14:paraId="579DAE40" w14:textId="008CF336" w:rsidR="00DE0F03" w:rsidRDefault="00DE0F03" w:rsidP="00F326E5">
      <w:pPr>
        <w:pStyle w:val="NoSpacing"/>
        <w:rPr>
          <w:rFonts w:ascii="Arial Black" w:hAnsi="Arial Black"/>
          <w:b/>
          <w:sz w:val="28"/>
          <w:szCs w:val="28"/>
        </w:rPr>
      </w:pPr>
      <w:r>
        <w:rPr>
          <w:rFonts w:ascii="Arial Black" w:hAnsi="Arial Black"/>
          <w:sz w:val="24"/>
          <w:szCs w:val="24"/>
        </w:rPr>
        <w:t>13-18</w:t>
      </w:r>
    </w:p>
    <w:p w14:paraId="4F5796F9" w14:textId="77777777" w:rsidR="00DE0F03" w:rsidRDefault="00DE0F03" w:rsidP="00F326E5">
      <w:pPr>
        <w:pStyle w:val="NoSpacing"/>
        <w:rPr>
          <w:rFonts w:ascii="Arial Black" w:hAnsi="Arial Black"/>
          <w:b/>
          <w:sz w:val="28"/>
          <w:szCs w:val="28"/>
        </w:rPr>
      </w:pPr>
    </w:p>
    <w:p w14:paraId="0C1E5E0A" w14:textId="57EF8A4A" w:rsidR="00F326E5" w:rsidRDefault="00F326E5" w:rsidP="00F326E5">
      <w:pPr>
        <w:pStyle w:val="NoSpacing"/>
        <w:rPr>
          <w:rFonts w:ascii="Arial Black" w:hAnsi="Arial Black"/>
          <w:b/>
          <w:sz w:val="28"/>
          <w:szCs w:val="28"/>
        </w:rPr>
      </w:pPr>
      <w:bookmarkStart w:id="528" w:name="_Hlk41154042"/>
      <w:r w:rsidRPr="00EA2DAF">
        <w:rPr>
          <w:rFonts w:ascii="Arial Black" w:hAnsi="Arial Black"/>
          <w:b/>
          <w:sz w:val="28"/>
          <w:szCs w:val="28"/>
        </w:rPr>
        <w:t>OH:  911 DISPATCHES FOR DRUG OVERDOSES –</w:t>
      </w:r>
      <w:r w:rsidR="00195FD1">
        <w:rPr>
          <w:rFonts w:ascii="Arial Black" w:hAnsi="Arial Black"/>
          <w:b/>
          <w:sz w:val="28"/>
          <w:szCs w:val="28"/>
        </w:rPr>
        <w:t xml:space="preserve"> </w:t>
      </w:r>
      <w:r w:rsidRPr="00EA2DAF">
        <w:rPr>
          <w:rFonts w:ascii="Arial Black" w:hAnsi="Arial Black"/>
          <w:b/>
          <w:sz w:val="28"/>
          <w:szCs w:val="28"/>
        </w:rPr>
        <w:t>NOT HIPPA PROTECTED UNLESS DISCLOSES PHI</w:t>
      </w:r>
      <w:r>
        <w:rPr>
          <w:rFonts w:ascii="Arial Black" w:hAnsi="Arial Black"/>
          <w:b/>
          <w:sz w:val="28"/>
          <w:szCs w:val="28"/>
        </w:rPr>
        <w:t xml:space="preserve"> </w:t>
      </w:r>
    </w:p>
    <w:p w14:paraId="040A6028" w14:textId="77777777" w:rsidR="00F326E5" w:rsidRPr="006114FF" w:rsidRDefault="00F326E5" w:rsidP="00F326E5">
      <w:pPr>
        <w:pStyle w:val="NoSpacing"/>
        <w:rPr>
          <w:rFonts w:ascii="Times New Roman" w:eastAsia="Times New Roman" w:hAnsi="Times New Roman"/>
          <w:sz w:val="24"/>
          <w:szCs w:val="24"/>
        </w:rPr>
      </w:pPr>
      <w:r w:rsidRPr="006114FF">
        <w:rPr>
          <w:rFonts w:ascii="Times New Roman" w:hAnsi="Times New Roman"/>
          <w:sz w:val="24"/>
          <w:szCs w:val="24"/>
        </w:rPr>
        <w:t xml:space="preserve">On Dec. 14, 2018, in </w:t>
      </w:r>
      <w:r w:rsidRPr="006114FF">
        <w:rPr>
          <w:rFonts w:ascii="Times New Roman" w:hAnsi="Times New Roman"/>
          <w:sz w:val="24"/>
          <w:szCs w:val="24"/>
          <w:u w:val="single"/>
        </w:rPr>
        <w:t>Rachel L. Dissell v. City of Cleveland</w:t>
      </w:r>
      <w:r w:rsidRPr="006114FF">
        <w:rPr>
          <w:rFonts w:ascii="Times New Roman" w:hAnsi="Times New Roman"/>
          <w:sz w:val="24"/>
          <w:szCs w:val="24"/>
        </w:rPr>
        <w:t xml:space="preserve">, the Ohio Court of Claims appointed a Special Master to advise the Court on request for records by a reporter for the </w:t>
      </w:r>
      <w:proofErr w:type="spellStart"/>
      <w:r w:rsidRPr="006114FF">
        <w:rPr>
          <w:rFonts w:ascii="Times New Roman" w:hAnsi="Times New Roman"/>
          <w:sz w:val="24"/>
          <w:szCs w:val="24"/>
        </w:rPr>
        <w:t>The</w:t>
      </w:r>
      <w:proofErr w:type="spellEnd"/>
      <w:r w:rsidRPr="006114FF">
        <w:rPr>
          <w:rFonts w:ascii="Times New Roman" w:hAnsi="Times New Roman"/>
          <w:sz w:val="24"/>
          <w:szCs w:val="24"/>
        </w:rPr>
        <w:t xml:space="preserve"> Plain Dealer newspaper.  The Special Master concluded that Computer Aided Dispatch records, including addresses where EMS responded, be released under Ohio Public Records Act.  “Upon consideration of the pleadings and attachments, I recommend that the court order respondent to provide requester with a copy of the EMS/Fire CAD event summary records, as submitted under seal.” </w:t>
      </w:r>
      <w:hyperlink r:id="rId2402" w:history="1">
        <w:r w:rsidRPr="006114FF">
          <w:rPr>
            <w:rStyle w:val="Hyperlink"/>
            <w:rFonts w:ascii="Times New Roman" w:hAnsi="Times New Roman"/>
            <w:sz w:val="24"/>
            <w:szCs w:val="24"/>
          </w:rPr>
          <w:t>https://scholar.google.com/scholar_case?case=16398402888190855228&amp;q=Dissell+v.+Cleveland&amp;hl=en&amp;as_sdt=6,36&amp;as_vis=1</w:t>
        </w:r>
      </w:hyperlink>
      <w:r w:rsidRPr="006114FF">
        <w:rPr>
          <w:rFonts w:ascii="Times New Roman" w:hAnsi="Times New Roman"/>
          <w:sz w:val="24"/>
          <w:szCs w:val="24"/>
        </w:rPr>
        <w:t xml:space="preserve"> </w:t>
      </w:r>
    </w:p>
    <w:p w14:paraId="4B35A819" w14:textId="77777777" w:rsidR="006114FF" w:rsidRDefault="006114FF" w:rsidP="00F326E5">
      <w:pPr>
        <w:rPr>
          <w:rFonts w:ascii="Times New Roman" w:hAnsi="Times New Roman"/>
          <w:b/>
          <w:sz w:val="24"/>
          <w:szCs w:val="24"/>
        </w:rPr>
      </w:pPr>
    </w:p>
    <w:p w14:paraId="1D178CB1" w14:textId="53750460" w:rsidR="00F326E5" w:rsidRPr="006114FF" w:rsidRDefault="00F326E5" w:rsidP="00F326E5">
      <w:pPr>
        <w:rPr>
          <w:rFonts w:ascii="Times New Roman" w:hAnsi="Times New Roman"/>
          <w:b/>
          <w:sz w:val="24"/>
          <w:szCs w:val="24"/>
        </w:rPr>
      </w:pPr>
      <w:r w:rsidRPr="006114FF">
        <w:rPr>
          <w:rFonts w:ascii="Times New Roman" w:hAnsi="Times New Roman"/>
          <w:b/>
          <w:sz w:val="24"/>
          <w:szCs w:val="24"/>
        </w:rPr>
        <w:t xml:space="preserve">Legal Lessons Learned:  In producing CAD or other records on EMS calls, be very careful to exclude any “Protected Health Information.”  If in doubt, advise requester that info is HIPAA protected and will only be revealed to Court under seal.   </w:t>
      </w:r>
    </w:p>
    <w:bookmarkEnd w:id="528"/>
    <w:p w14:paraId="3629CE52" w14:textId="77777777" w:rsidR="00DE0F03" w:rsidRDefault="00DE0F03" w:rsidP="00DE0F03">
      <w:pPr>
        <w:pStyle w:val="NoSpacing"/>
        <w:rPr>
          <w:rFonts w:ascii="Arial Black" w:hAnsi="Arial Black"/>
          <w:sz w:val="24"/>
          <w:szCs w:val="24"/>
        </w:rPr>
      </w:pPr>
    </w:p>
    <w:p w14:paraId="4330B4DE" w14:textId="77777777" w:rsidR="00DE0F03" w:rsidRDefault="00DE0F03" w:rsidP="00DE0F03">
      <w:pPr>
        <w:pStyle w:val="NoSpacing"/>
        <w:rPr>
          <w:rFonts w:ascii="Arial Black" w:hAnsi="Arial Black"/>
          <w:sz w:val="24"/>
          <w:szCs w:val="24"/>
        </w:rPr>
      </w:pPr>
    </w:p>
    <w:p w14:paraId="4017311B" w14:textId="7CDCF1AF" w:rsidR="00DE0F03" w:rsidRDefault="00DE0F03" w:rsidP="00DE0F03">
      <w:pPr>
        <w:pStyle w:val="NoSpacing"/>
        <w:rPr>
          <w:rFonts w:ascii="Arial Black" w:hAnsi="Arial Black"/>
          <w:sz w:val="24"/>
          <w:szCs w:val="24"/>
        </w:rPr>
      </w:pPr>
      <w:r>
        <w:rPr>
          <w:rFonts w:ascii="Arial Black" w:hAnsi="Arial Black"/>
          <w:sz w:val="24"/>
          <w:szCs w:val="24"/>
        </w:rPr>
        <w:t>13-17</w:t>
      </w:r>
    </w:p>
    <w:p w14:paraId="78184C34" w14:textId="77777777" w:rsidR="00F326E5" w:rsidRDefault="00F326E5" w:rsidP="00F326E5">
      <w:pPr>
        <w:pStyle w:val="NoSpacing"/>
        <w:rPr>
          <w:b/>
          <w:sz w:val="24"/>
          <w:szCs w:val="24"/>
        </w:rPr>
      </w:pPr>
    </w:p>
    <w:bookmarkEnd w:id="527"/>
    <w:p w14:paraId="5730673E" w14:textId="77777777" w:rsidR="00F326E5" w:rsidRDefault="00F326E5" w:rsidP="00F326E5">
      <w:pPr>
        <w:pStyle w:val="NoSpacing"/>
        <w:rPr>
          <w:b/>
          <w:sz w:val="24"/>
          <w:szCs w:val="24"/>
        </w:rPr>
      </w:pPr>
    </w:p>
    <w:p w14:paraId="76F59534" w14:textId="7575FE80" w:rsidR="00F326E5" w:rsidRPr="00CA3D6F" w:rsidRDefault="00F326E5" w:rsidP="00F326E5">
      <w:pPr>
        <w:pStyle w:val="NoSpacing"/>
        <w:rPr>
          <w:rStyle w:val="dfm-title"/>
          <w:b/>
          <w:sz w:val="24"/>
          <w:szCs w:val="24"/>
        </w:rPr>
      </w:pPr>
      <w:bookmarkStart w:id="529" w:name="_Hlk7346521"/>
      <w:r w:rsidRPr="00877AA6">
        <w:rPr>
          <w:rStyle w:val="dfm-title"/>
          <w:rFonts w:ascii="Arial Black" w:hAnsi="Arial Black"/>
          <w:b/>
          <w:sz w:val="28"/>
          <w:szCs w:val="28"/>
        </w:rPr>
        <w:lastRenderedPageBreak/>
        <w:t>PA: HOSPITAL EMPLOYEE RECORDS HACKED; EMPLOYEES MAY SUE HOSPITAL</w:t>
      </w:r>
      <w:r>
        <w:rPr>
          <w:rStyle w:val="dfm-title"/>
          <w:rFonts w:ascii="Arial Black" w:hAnsi="Arial Black"/>
          <w:b/>
          <w:sz w:val="24"/>
          <w:szCs w:val="24"/>
        </w:rPr>
        <w:t xml:space="preserve"> </w:t>
      </w:r>
      <w:r w:rsidRPr="00877AA6">
        <w:rPr>
          <w:rStyle w:val="dfm-title"/>
          <w:sz w:val="24"/>
          <w:szCs w:val="24"/>
        </w:rPr>
        <w:t>[also filed, Chap. 6]</w:t>
      </w:r>
    </w:p>
    <w:p w14:paraId="4669EA5F" w14:textId="227509D0" w:rsidR="00F326E5" w:rsidRPr="006114FF" w:rsidRDefault="00F326E5" w:rsidP="00F326E5">
      <w:pPr>
        <w:rPr>
          <w:rFonts w:ascii="Times New Roman" w:hAnsi="Times New Roman"/>
          <w:sz w:val="24"/>
          <w:szCs w:val="24"/>
        </w:rPr>
      </w:pPr>
      <w:r w:rsidRPr="006114FF">
        <w:rPr>
          <w:rFonts w:ascii="Times New Roman" w:hAnsi="Times New Roman"/>
          <w:sz w:val="24"/>
          <w:szCs w:val="24"/>
        </w:rPr>
        <w:t xml:space="preserve">On Nov. 21, 2018, in </w:t>
      </w:r>
      <w:r w:rsidRPr="006114FF">
        <w:rPr>
          <w:rFonts w:ascii="Times New Roman" w:hAnsi="Times New Roman"/>
          <w:sz w:val="24"/>
          <w:szCs w:val="24"/>
          <w:u w:val="single"/>
        </w:rPr>
        <w:t>Barbara A. Dittman, et al. v.</w:t>
      </w:r>
      <w:r w:rsidRPr="006114FF">
        <w:rPr>
          <w:rFonts w:ascii="Times New Roman" w:hAnsi="Times New Roman"/>
          <w:sz w:val="24"/>
          <w:szCs w:val="24"/>
        </w:rPr>
        <w:t xml:space="preserve"> </w:t>
      </w:r>
      <w:r w:rsidRPr="006114FF">
        <w:rPr>
          <w:rFonts w:ascii="Times New Roman" w:eastAsia="Times New Roman" w:hAnsi="Times New Roman"/>
          <w:sz w:val="24"/>
          <w:szCs w:val="24"/>
          <w:u w:val="single"/>
        </w:rPr>
        <w:t>UPMC d/b/a The University of Pittsburgh Medical Center, et al.</w:t>
      </w:r>
      <w:r w:rsidRPr="006114FF">
        <w:rPr>
          <w:rFonts w:ascii="Times New Roman" w:eastAsia="Times New Roman" w:hAnsi="Times New Roman"/>
          <w:sz w:val="24"/>
          <w:szCs w:val="24"/>
        </w:rPr>
        <w:t>, the PA Supreme Court ruled (4 to 3), the lawsuit was reinstated against the hospital. “We hold that an employer has a legal duty to exercise reasonable care to safeguard its employees’ sensitive personal information stored by the employer on an internet-</w:t>
      </w:r>
      <w:r w:rsidRPr="006114FF">
        <w:rPr>
          <w:rFonts w:ascii="Times New Roman" w:hAnsi="Times New Roman"/>
          <w:sz w:val="24"/>
          <w:szCs w:val="24"/>
        </w:rPr>
        <w:t xml:space="preserve">accessible computer system.” </w:t>
      </w:r>
      <w:hyperlink r:id="rId2403" w:history="1">
        <w:r w:rsidRPr="006114FF">
          <w:rPr>
            <w:rStyle w:val="Hyperlink"/>
            <w:rFonts w:ascii="Times New Roman" w:hAnsi="Times New Roman"/>
            <w:sz w:val="24"/>
            <w:szCs w:val="24"/>
          </w:rPr>
          <w:t>http://www.pacourts.us/assets/opinions/Supreme/out/Majority%20Opinion%20%20VacatedRemanded%20%2010378165044604409.pdf?cb=1</w:t>
        </w:r>
      </w:hyperlink>
      <w:r w:rsidRPr="006114FF">
        <w:rPr>
          <w:rFonts w:ascii="Times New Roman" w:hAnsi="Times New Roman"/>
          <w:sz w:val="24"/>
          <w:szCs w:val="24"/>
        </w:rPr>
        <w:t xml:space="preserve"> </w:t>
      </w:r>
    </w:p>
    <w:p w14:paraId="6851095D" w14:textId="77777777" w:rsidR="00F326E5" w:rsidRPr="006114FF" w:rsidRDefault="00F326E5" w:rsidP="00F326E5">
      <w:pPr>
        <w:pStyle w:val="Heading1"/>
        <w:rPr>
          <w:b w:val="0"/>
          <w:sz w:val="24"/>
          <w:szCs w:val="24"/>
        </w:rPr>
      </w:pPr>
      <w:r w:rsidRPr="006114FF">
        <w:rPr>
          <w:sz w:val="24"/>
          <w:szCs w:val="24"/>
        </w:rPr>
        <w:t xml:space="preserve">Legal Lessons Learned:  This is an important decision that will now proceed to trial or settlement. Hopefully this decision will prompt employers in PA, and other states, including Fire &amp; EMS agencies, to review their electronic data safeguards with IT experts.  </w:t>
      </w:r>
    </w:p>
    <w:p w14:paraId="07E1203C" w14:textId="77777777" w:rsidR="00F326E5" w:rsidRPr="006114FF" w:rsidRDefault="00F326E5" w:rsidP="00F326E5">
      <w:pPr>
        <w:pStyle w:val="NoSpacing"/>
        <w:ind w:left="720"/>
        <w:rPr>
          <w:rFonts w:ascii="Times New Roman" w:hAnsi="Times New Roman"/>
          <w:sz w:val="24"/>
          <w:szCs w:val="24"/>
        </w:rPr>
      </w:pPr>
      <w:r w:rsidRPr="006114FF">
        <w:rPr>
          <w:rFonts w:ascii="Times New Roman" w:hAnsi="Times New Roman"/>
          <w:sz w:val="24"/>
          <w:szCs w:val="24"/>
        </w:rPr>
        <w:t xml:space="preserve">Note:  Ohio has enacted the Ohio Data Protection Act, effective Nov. 2, 2018 (to be in Ohio Revised Code 1354.01-05), which provides companies with an affirmative defense to lawsuits involving release of personal information, if the company has a written cybersecurity program that conforms to the NIST Cybersecurity Framework. </w:t>
      </w:r>
      <w:hyperlink r:id="rId2404" w:history="1">
        <w:r w:rsidRPr="006114FF">
          <w:rPr>
            <w:rStyle w:val="Hyperlink"/>
            <w:rFonts w:ascii="Times New Roman" w:hAnsi="Times New Roman"/>
            <w:sz w:val="24"/>
            <w:szCs w:val="24"/>
          </w:rPr>
          <w:t>https://www.legislature.ohio.gov/legislation/legislation-summary?id=GA132-SB-220</w:t>
        </w:r>
      </w:hyperlink>
      <w:r w:rsidRPr="006114FF">
        <w:rPr>
          <w:rFonts w:ascii="Times New Roman" w:hAnsi="Times New Roman"/>
          <w:sz w:val="24"/>
          <w:szCs w:val="24"/>
        </w:rPr>
        <w:t xml:space="preserve">.  See Sept. 20, </w:t>
      </w:r>
      <w:proofErr w:type="gramStart"/>
      <w:r w:rsidRPr="006114FF">
        <w:rPr>
          <w:rFonts w:ascii="Times New Roman" w:hAnsi="Times New Roman"/>
          <w:sz w:val="24"/>
          <w:szCs w:val="24"/>
        </w:rPr>
        <w:t>2018</w:t>
      </w:r>
      <w:proofErr w:type="gramEnd"/>
      <w:r w:rsidRPr="006114FF">
        <w:rPr>
          <w:rFonts w:ascii="Times New Roman" w:hAnsi="Times New Roman"/>
          <w:sz w:val="24"/>
          <w:szCs w:val="24"/>
        </w:rPr>
        <w:t xml:space="preserve"> article, “New Ohio law incentivizes businesses that comply with cybersecurity programs,” </w:t>
      </w:r>
      <w:hyperlink r:id="rId2405" w:history="1">
        <w:r w:rsidRPr="006114FF">
          <w:rPr>
            <w:rStyle w:val="Hyperlink"/>
            <w:rFonts w:ascii="Times New Roman" w:hAnsi="Times New Roman"/>
            <w:sz w:val="24"/>
            <w:szCs w:val="24"/>
          </w:rPr>
          <w:t>https://www.bizjournals.com/columbus/news/2018/09/20/new-ohio-law-incentivizes-businesses-that-comply.html</w:t>
        </w:r>
      </w:hyperlink>
    </w:p>
    <w:bookmarkEnd w:id="529"/>
    <w:p w14:paraId="629E6367" w14:textId="77777777" w:rsidR="00F326E5" w:rsidRDefault="00F326E5" w:rsidP="00F326E5">
      <w:pPr>
        <w:pStyle w:val="NoSpacing"/>
        <w:rPr>
          <w:b/>
          <w:sz w:val="24"/>
          <w:szCs w:val="24"/>
        </w:rPr>
      </w:pPr>
    </w:p>
    <w:p w14:paraId="71585CCD" w14:textId="77777777" w:rsidR="00F326E5" w:rsidRDefault="00F326E5" w:rsidP="00F326E5">
      <w:pPr>
        <w:pStyle w:val="NoSpacing"/>
        <w:rPr>
          <w:b/>
          <w:sz w:val="24"/>
          <w:szCs w:val="24"/>
        </w:rPr>
      </w:pPr>
    </w:p>
    <w:p w14:paraId="2CFD1049" w14:textId="6992CEDF" w:rsidR="00DE0F03" w:rsidRDefault="00DE0F03" w:rsidP="00F326E5">
      <w:pPr>
        <w:pStyle w:val="NoSpacing"/>
        <w:rPr>
          <w:rFonts w:ascii="Arial Black" w:hAnsi="Arial Black"/>
          <w:b/>
          <w:sz w:val="28"/>
          <w:szCs w:val="28"/>
        </w:rPr>
      </w:pPr>
      <w:bookmarkStart w:id="530" w:name="_Hlk7346609"/>
      <w:r>
        <w:rPr>
          <w:rFonts w:ascii="Arial Black" w:hAnsi="Arial Black"/>
          <w:sz w:val="24"/>
          <w:szCs w:val="24"/>
        </w:rPr>
        <w:t>13-16</w:t>
      </w:r>
    </w:p>
    <w:p w14:paraId="11569771" w14:textId="77777777" w:rsidR="00DE0F03" w:rsidRDefault="00DE0F03" w:rsidP="00F326E5">
      <w:pPr>
        <w:pStyle w:val="NoSpacing"/>
        <w:rPr>
          <w:rFonts w:ascii="Arial Black" w:hAnsi="Arial Black"/>
          <w:b/>
          <w:sz w:val="28"/>
          <w:szCs w:val="28"/>
        </w:rPr>
      </w:pPr>
    </w:p>
    <w:p w14:paraId="65ED2460" w14:textId="0366945E" w:rsidR="00F326E5" w:rsidRPr="00877AA6" w:rsidRDefault="00F326E5" w:rsidP="00F326E5">
      <w:pPr>
        <w:pStyle w:val="NoSpacing"/>
        <w:rPr>
          <w:rFonts w:ascii="Arial Black" w:hAnsi="Arial Black"/>
          <w:b/>
          <w:sz w:val="28"/>
          <w:szCs w:val="28"/>
        </w:rPr>
      </w:pPr>
      <w:bookmarkStart w:id="531" w:name="_Hlk41154132"/>
      <w:r w:rsidRPr="00877AA6">
        <w:rPr>
          <w:rFonts w:ascii="Arial Black" w:hAnsi="Arial Black"/>
          <w:b/>
          <w:sz w:val="28"/>
          <w:szCs w:val="28"/>
        </w:rPr>
        <w:t xml:space="preserve">OH: </w:t>
      </w:r>
      <w:r>
        <w:rPr>
          <w:rFonts w:ascii="Arial Black" w:hAnsi="Arial Black"/>
          <w:b/>
          <w:sz w:val="28"/>
          <w:szCs w:val="28"/>
        </w:rPr>
        <w:t>PUBLIC RECORDS</w:t>
      </w:r>
      <w:r w:rsidR="00DA4990">
        <w:rPr>
          <w:rFonts w:ascii="Arial Black" w:hAnsi="Arial Black"/>
          <w:b/>
          <w:sz w:val="28"/>
          <w:szCs w:val="28"/>
        </w:rPr>
        <w:t xml:space="preserve"> REQUEST – INCLUDING </w:t>
      </w:r>
      <w:r>
        <w:rPr>
          <w:rFonts w:ascii="Arial Black" w:hAnsi="Arial Black"/>
          <w:b/>
          <w:sz w:val="28"/>
          <w:szCs w:val="28"/>
        </w:rPr>
        <w:t>EMS INJUR</w:t>
      </w:r>
      <w:r w:rsidR="00DA4990">
        <w:rPr>
          <w:rFonts w:ascii="Arial Black" w:hAnsi="Arial Black"/>
          <w:b/>
          <w:sz w:val="28"/>
          <w:szCs w:val="28"/>
        </w:rPr>
        <w:t xml:space="preserve">ED ON JOB </w:t>
      </w:r>
      <w:r>
        <w:rPr>
          <w:rFonts w:ascii="Arial Black" w:hAnsi="Arial Black"/>
          <w:b/>
          <w:sz w:val="28"/>
          <w:szCs w:val="28"/>
        </w:rPr>
        <w:t>– CITY’S DELAY UNREASONABLE, PAY $8,812 ATTORNEY FEES</w:t>
      </w:r>
    </w:p>
    <w:p w14:paraId="24E677F8" w14:textId="77777777" w:rsidR="006114FF" w:rsidRDefault="00F326E5" w:rsidP="00F326E5">
      <w:pPr>
        <w:rPr>
          <w:rFonts w:ascii="Times New Roman" w:eastAsia="Times New Roman" w:hAnsi="Times New Roman"/>
          <w:sz w:val="24"/>
          <w:szCs w:val="24"/>
        </w:rPr>
      </w:pPr>
      <w:r w:rsidRPr="006114FF">
        <w:rPr>
          <w:rFonts w:ascii="Times New Roman" w:eastAsia="Times New Roman" w:hAnsi="Times New Roman"/>
          <w:sz w:val="24"/>
          <w:szCs w:val="24"/>
        </w:rPr>
        <w:t xml:space="preserve">On Nov. 14, 2018, in </w:t>
      </w:r>
      <w:r w:rsidRPr="006114FF">
        <w:rPr>
          <w:rFonts w:ascii="Times New Roman" w:eastAsia="Times New Roman" w:hAnsi="Times New Roman"/>
          <w:sz w:val="24"/>
          <w:szCs w:val="24"/>
          <w:u w:val="single"/>
        </w:rPr>
        <w:t xml:space="preserve">Cleveland Association </w:t>
      </w:r>
      <w:proofErr w:type="gramStart"/>
      <w:r w:rsidRPr="006114FF">
        <w:rPr>
          <w:rFonts w:ascii="Times New Roman" w:eastAsia="Times New Roman" w:hAnsi="Times New Roman"/>
          <w:sz w:val="24"/>
          <w:szCs w:val="24"/>
          <w:u w:val="single"/>
        </w:rPr>
        <w:t>Of</w:t>
      </w:r>
      <w:proofErr w:type="gramEnd"/>
      <w:r w:rsidRPr="006114FF">
        <w:rPr>
          <w:rFonts w:ascii="Times New Roman" w:eastAsia="Times New Roman" w:hAnsi="Times New Roman"/>
          <w:sz w:val="24"/>
          <w:szCs w:val="24"/>
          <w:u w:val="single"/>
        </w:rPr>
        <w:t xml:space="preserve"> Rescue Employees – Local 1975 v. City of Cleveland</w:t>
      </w:r>
      <w:r w:rsidRPr="006114FF">
        <w:rPr>
          <w:rFonts w:ascii="Times New Roman" w:eastAsia="Times New Roman" w:hAnsi="Times New Roman"/>
          <w:sz w:val="24"/>
          <w:szCs w:val="24"/>
        </w:rPr>
        <w:t xml:space="preserve">, the Ohio Court of Appeals for Cuyahoga County, held (3 to 0) held that the City must reimburse CARE $8,812.50 in attorney fees.  </w:t>
      </w:r>
    </w:p>
    <w:p w14:paraId="76164A03" w14:textId="6ED60E10" w:rsidR="00F326E5" w:rsidRPr="006114FF" w:rsidRDefault="00F326E5" w:rsidP="006114FF">
      <w:pPr>
        <w:ind w:left="720"/>
        <w:rPr>
          <w:rStyle w:val="Hyperlink"/>
          <w:rFonts w:ascii="Times New Roman" w:hAnsi="Times New Roman"/>
          <w:sz w:val="24"/>
          <w:szCs w:val="24"/>
        </w:rPr>
      </w:pPr>
      <w:r w:rsidRPr="006114FF">
        <w:rPr>
          <w:rFonts w:ascii="Times New Roman" w:eastAsia="Times New Roman" w:hAnsi="Times New Roman"/>
          <w:sz w:val="24"/>
          <w:szCs w:val="24"/>
        </w:rPr>
        <w:t>“This court finds that the city’s failure to respond to the records request by releasing the requested records in this case was unreasonable. The city’s two-month delay in producing some of the records and more than five-month delay in producing all the requested records constitutes a failure to respond within a reasonable time.”</w:t>
      </w:r>
      <w:r w:rsidR="006114FF">
        <w:rPr>
          <w:rFonts w:ascii="Times New Roman" w:eastAsia="Times New Roman" w:hAnsi="Times New Roman"/>
          <w:sz w:val="24"/>
          <w:szCs w:val="24"/>
        </w:rPr>
        <w:t xml:space="preserve"> </w:t>
      </w:r>
      <w:hyperlink r:id="rId2406" w:history="1">
        <w:r w:rsidRPr="006114FF">
          <w:rPr>
            <w:rStyle w:val="Hyperlink"/>
            <w:rFonts w:ascii="Times New Roman" w:hAnsi="Times New Roman"/>
            <w:sz w:val="24"/>
            <w:szCs w:val="24"/>
          </w:rPr>
          <w:t>https://www.supremecourt.ohio.gov/rod/docs/pdf/8/2018/2018-Ohio-4602.pdf</w:t>
        </w:r>
      </w:hyperlink>
    </w:p>
    <w:p w14:paraId="5022440F" w14:textId="77777777" w:rsidR="00F326E5" w:rsidRPr="006114FF" w:rsidRDefault="00F326E5" w:rsidP="00F326E5">
      <w:pPr>
        <w:rPr>
          <w:rFonts w:ascii="Times New Roman" w:eastAsia="Times New Roman" w:hAnsi="Times New Roman"/>
          <w:b/>
          <w:sz w:val="24"/>
          <w:szCs w:val="24"/>
        </w:rPr>
      </w:pPr>
      <w:r w:rsidRPr="006114FF">
        <w:rPr>
          <w:rFonts w:ascii="Times New Roman" w:eastAsia="Times New Roman" w:hAnsi="Times New Roman"/>
          <w:b/>
          <w:sz w:val="24"/>
          <w:szCs w:val="24"/>
        </w:rPr>
        <w:t xml:space="preserve">Legal Lessons Learned:  Public records act statutes require prompt response; political subdivision should promptly produce readily available records, such Fire &amp; EMS job descriptions and certifications. </w:t>
      </w:r>
    </w:p>
    <w:bookmarkEnd w:id="530"/>
    <w:bookmarkEnd w:id="531"/>
    <w:p w14:paraId="2076A0C8" w14:textId="77777777" w:rsidR="00F326E5" w:rsidRPr="006114FF" w:rsidRDefault="00F326E5" w:rsidP="00F326E5">
      <w:pPr>
        <w:rPr>
          <w:rFonts w:ascii="Times New Roman" w:eastAsia="Times New Roman" w:hAnsi="Times New Roman"/>
          <w:sz w:val="24"/>
          <w:szCs w:val="24"/>
        </w:rPr>
      </w:pPr>
    </w:p>
    <w:p w14:paraId="3C1C841A" w14:textId="281F5A45" w:rsidR="00DE0F03" w:rsidRDefault="00DE0F03" w:rsidP="00DE0F03">
      <w:pPr>
        <w:pStyle w:val="NoSpacing"/>
        <w:rPr>
          <w:rFonts w:ascii="Arial Black" w:hAnsi="Arial Black"/>
          <w:sz w:val="24"/>
          <w:szCs w:val="24"/>
        </w:rPr>
      </w:pPr>
      <w:bookmarkStart w:id="532" w:name="_Hlk7346666"/>
      <w:r>
        <w:rPr>
          <w:rFonts w:ascii="Arial Black" w:hAnsi="Arial Black"/>
          <w:sz w:val="24"/>
          <w:szCs w:val="24"/>
        </w:rPr>
        <w:t>13-15</w:t>
      </w:r>
    </w:p>
    <w:p w14:paraId="649B7D23" w14:textId="77777777" w:rsidR="00DE0F03" w:rsidRDefault="00DE0F03" w:rsidP="00F326E5">
      <w:pPr>
        <w:pStyle w:val="NoSpacing"/>
        <w:rPr>
          <w:rFonts w:ascii="Arial Black" w:hAnsi="Arial Black"/>
          <w:sz w:val="28"/>
          <w:szCs w:val="28"/>
        </w:rPr>
      </w:pPr>
    </w:p>
    <w:p w14:paraId="0202D953" w14:textId="56B4793A" w:rsidR="00F326E5" w:rsidRDefault="00F326E5" w:rsidP="00F326E5">
      <w:pPr>
        <w:pStyle w:val="NoSpacing"/>
        <w:rPr>
          <w:rFonts w:ascii="Arial Black" w:hAnsi="Arial Black"/>
          <w:sz w:val="28"/>
          <w:szCs w:val="28"/>
        </w:rPr>
      </w:pPr>
      <w:bookmarkStart w:id="533" w:name="_Hlk41154233"/>
      <w:r>
        <w:rPr>
          <w:rFonts w:ascii="Arial Black" w:hAnsi="Arial Black"/>
          <w:sz w:val="28"/>
          <w:szCs w:val="28"/>
        </w:rPr>
        <w:t xml:space="preserve">KY:  STERNUM RUB ON PATIENT WHO HAD BECOME UNRESPONSIVE – CAN’T SUE </w:t>
      </w:r>
      <w:r w:rsidR="00DA4990">
        <w:rPr>
          <w:rFonts w:ascii="Arial Black" w:hAnsi="Arial Black"/>
          <w:sz w:val="28"/>
          <w:szCs w:val="28"/>
        </w:rPr>
        <w:t xml:space="preserve">EMS </w:t>
      </w:r>
      <w:r>
        <w:rPr>
          <w:rFonts w:ascii="Arial Black" w:hAnsi="Arial Black"/>
          <w:sz w:val="28"/>
          <w:szCs w:val="28"/>
        </w:rPr>
        <w:t>FOR ASSAULT</w:t>
      </w:r>
    </w:p>
    <w:p w14:paraId="6162907F" w14:textId="77777777" w:rsidR="006114FF" w:rsidRDefault="00F326E5" w:rsidP="006114FF">
      <w:pPr>
        <w:pStyle w:val="NoSpacing"/>
        <w:rPr>
          <w:rFonts w:ascii="Times New Roman" w:hAnsi="Times New Roman"/>
          <w:sz w:val="24"/>
          <w:szCs w:val="24"/>
        </w:rPr>
      </w:pPr>
      <w:r w:rsidRPr="006114FF">
        <w:rPr>
          <w:rFonts w:ascii="Times New Roman" w:hAnsi="Times New Roman"/>
          <w:sz w:val="24"/>
          <w:szCs w:val="24"/>
        </w:rPr>
        <w:lastRenderedPageBreak/>
        <w:t xml:space="preserve">On Oct. 9, 2018, in </w:t>
      </w:r>
      <w:r w:rsidRPr="006114FF">
        <w:rPr>
          <w:rFonts w:ascii="Times New Roman" w:hAnsi="Times New Roman"/>
          <w:sz w:val="24"/>
          <w:szCs w:val="24"/>
          <w:u w:val="single"/>
        </w:rPr>
        <w:t>Troy K. Scheffler v. Alex Lee, et al.</w:t>
      </w:r>
      <w:r w:rsidRPr="006114FF">
        <w:rPr>
          <w:rFonts w:ascii="Times New Roman" w:hAnsi="Times New Roman"/>
          <w:sz w:val="24"/>
          <w:szCs w:val="24"/>
        </w:rPr>
        <w:t xml:space="preserve">, the U.S. Court of Appeals </w:t>
      </w:r>
      <w:proofErr w:type="spellStart"/>
      <w:r w:rsidRPr="006114FF">
        <w:rPr>
          <w:rFonts w:ascii="Times New Roman" w:hAnsi="Times New Roman"/>
          <w:sz w:val="24"/>
          <w:szCs w:val="24"/>
        </w:rPr>
        <w:t>flor</w:t>
      </w:r>
      <w:proofErr w:type="spellEnd"/>
      <w:r w:rsidRPr="006114FF">
        <w:rPr>
          <w:rFonts w:ascii="Times New Roman" w:hAnsi="Times New Roman"/>
          <w:sz w:val="24"/>
          <w:szCs w:val="24"/>
        </w:rPr>
        <w:t xml:space="preserve"> 6</w:t>
      </w:r>
      <w:r w:rsidRPr="006114FF">
        <w:rPr>
          <w:rFonts w:ascii="Times New Roman" w:hAnsi="Times New Roman"/>
          <w:sz w:val="24"/>
          <w:szCs w:val="24"/>
          <w:vertAlign w:val="superscript"/>
        </w:rPr>
        <w:t>th</w:t>
      </w:r>
      <w:r w:rsidRPr="006114FF">
        <w:rPr>
          <w:rFonts w:ascii="Times New Roman" w:hAnsi="Times New Roman"/>
          <w:sz w:val="24"/>
          <w:szCs w:val="24"/>
        </w:rPr>
        <w:t xml:space="preserve"> Circuit (Cincinnati, OH) held (3 to 0) that the U.S. District Court had properly granted summary judgment and dismissed the lawsuit against EMT Michael Carroll.  </w:t>
      </w:r>
    </w:p>
    <w:p w14:paraId="5F584D87" w14:textId="77777777" w:rsidR="006114FF" w:rsidRDefault="006114FF" w:rsidP="006114FF">
      <w:pPr>
        <w:pStyle w:val="NoSpacing"/>
        <w:rPr>
          <w:rFonts w:ascii="Times New Roman" w:hAnsi="Times New Roman"/>
          <w:sz w:val="24"/>
          <w:szCs w:val="24"/>
        </w:rPr>
      </w:pPr>
    </w:p>
    <w:p w14:paraId="4257EF43" w14:textId="1D4E4922" w:rsidR="00F326E5" w:rsidRPr="006114FF" w:rsidRDefault="00F326E5" w:rsidP="006114FF">
      <w:pPr>
        <w:pStyle w:val="NoSpacing"/>
        <w:ind w:left="720"/>
        <w:rPr>
          <w:rFonts w:ascii="Times New Roman" w:eastAsia="Times New Roman" w:hAnsi="Times New Roman"/>
          <w:sz w:val="24"/>
          <w:szCs w:val="24"/>
        </w:rPr>
      </w:pPr>
      <w:r w:rsidRPr="006114FF">
        <w:rPr>
          <w:rFonts w:ascii="Times New Roman" w:hAnsi="Times New Roman"/>
          <w:sz w:val="24"/>
          <w:szCs w:val="24"/>
        </w:rPr>
        <w:t>“</w:t>
      </w:r>
      <w:r w:rsidRPr="006114FF">
        <w:rPr>
          <w:rFonts w:ascii="Times New Roman" w:eastAsia="Times New Roman" w:hAnsi="Times New Roman"/>
          <w:sz w:val="24"/>
          <w:szCs w:val="24"/>
        </w:rPr>
        <w:t xml:space="preserve">Scheffler consented to medical care by asking to be taken to the hospital and by willingly entering the ambulance with the EMTs, and there is no indication that Scheffler withdrew or limited that consent. Carroll performed the sternum rub as part of that care.” </w:t>
      </w:r>
      <w:hyperlink r:id="rId2407" w:history="1">
        <w:r w:rsidRPr="006114FF">
          <w:rPr>
            <w:rStyle w:val="Hyperlink"/>
            <w:rFonts w:ascii="Times New Roman" w:hAnsi="Times New Roman"/>
            <w:sz w:val="24"/>
            <w:szCs w:val="24"/>
          </w:rPr>
          <w:t>http://www.opn.ca6.uscourts.gov/opinions.pdf/18a0499n-06.pdf</w:t>
        </w:r>
      </w:hyperlink>
      <w:r w:rsidRPr="006114FF">
        <w:rPr>
          <w:rFonts w:ascii="Times New Roman" w:eastAsia="Times New Roman" w:hAnsi="Times New Roman"/>
          <w:sz w:val="24"/>
          <w:szCs w:val="24"/>
        </w:rPr>
        <w:t xml:space="preserve"> </w:t>
      </w:r>
    </w:p>
    <w:p w14:paraId="0D0CB075" w14:textId="77777777" w:rsidR="006114FF" w:rsidRDefault="006114FF" w:rsidP="006114FF">
      <w:pPr>
        <w:pStyle w:val="NoSpacing"/>
        <w:rPr>
          <w:rFonts w:ascii="Times New Roman" w:hAnsi="Times New Roman"/>
          <w:b/>
          <w:sz w:val="24"/>
          <w:szCs w:val="24"/>
        </w:rPr>
      </w:pPr>
    </w:p>
    <w:p w14:paraId="4282BA54" w14:textId="242726EA" w:rsidR="00F326E5" w:rsidRPr="006114FF" w:rsidRDefault="00F326E5" w:rsidP="006114FF">
      <w:pPr>
        <w:pStyle w:val="NoSpacing"/>
        <w:rPr>
          <w:rFonts w:ascii="Times New Roman" w:hAnsi="Times New Roman"/>
          <w:b/>
          <w:sz w:val="24"/>
          <w:szCs w:val="24"/>
        </w:rPr>
      </w:pPr>
      <w:r w:rsidRPr="006114FF">
        <w:rPr>
          <w:rFonts w:ascii="Times New Roman" w:hAnsi="Times New Roman"/>
          <w:b/>
          <w:sz w:val="24"/>
          <w:szCs w:val="24"/>
        </w:rPr>
        <w:t xml:space="preserve">Legal Lessons Learned:  Thoroughly document reasons for a sternum rub, or other medical procedures.  </w:t>
      </w:r>
    </w:p>
    <w:bookmarkEnd w:id="533"/>
    <w:p w14:paraId="2C3302F5" w14:textId="77777777" w:rsidR="00F326E5" w:rsidRPr="006114FF" w:rsidRDefault="00F326E5" w:rsidP="006114FF">
      <w:pPr>
        <w:pStyle w:val="NoSpacing"/>
        <w:rPr>
          <w:rFonts w:ascii="Times New Roman" w:eastAsia="Times New Roman" w:hAnsi="Times New Roman"/>
          <w:b/>
          <w:sz w:val="24"/>
          <w:szCs w:val="24"/>
        </w:rPr>
      </w:pPr>
    </w:p>
    <w:bookmarkEnd w:id="532"/>
    <w:p w14:paraId="3C052DB2" w14:textId="77777777" w:rsidR="00F326E5" w:rsidRDefault="00F326E5" w:rsidP="00F326E5">
      <w:pPr>
        <w:pStyle w:val="NoSpacing"/>
        <w:rPr>
          <w:rFonts w:ascii="Arial Black" w:hAnsi="Arial Black"/>
          <w:b/>
          <w:sz w:val="24"/>
          <w:szCs w:val="24"/>
        </w:rPr>
      </w:pPr>
    </w:p>
    <w:p w14:paraId="0CC0E30B" w14:textId="5ED2C3F5" w:rsidR="00DE0F03" w:rsidRDefault="00DE0F03" w:rsidP="00DE0F03">
      <w:pPr>
        <w:pStyle w:val="NoSpacing"/>
        <w:rPr>
          <w:rFonts w:ascii="Arial Black" w:hAnsi="Arial Black"/>
          <w:sz w:val="24"/>
          <w:szCs w:val="24"/>
        </w:rPr>
      </w:pPr>
      <w:r>
        <w:rPr>
          <w:rFonts w:ascii="Arial Black" w:hAnsi="Arial Black"/>
          <w:sz w:val="24"/>
          <w:szCs w:val="24"/>
        </w:rPr>
        <w:t>13-14</w:t>
      </w:r>
    </w:p>
    <w:p w14:paraId="2DB6E473" w14:textId="77777777" w:rsidR="00F326E5" w:rsidRDefault="00F326E5" w:rsidP="00F326E5">
      <w:pPr>
        <w:pStyle w:val="NoSpacing"/>
        <w:rPr>
          <w:b/>
          <w:sz w:val="24"/>
          <w:szCs w:val="24"/>
        </w:rPr>
      </w:pPr>
    </w:p>
    <w:p w14:paraId="71D292F1" w14:textId="538A478D" w:rsidR="00F326E5" w:rsidRPr="00877AA6" w:rsidRDefault="00F326E5" w:rsidP="00F326E5">
      <w:pPr>
        <w:rPr>
          <w:rFonts w:ascii="Times New Roman" w:hAnsi="Times New Roman"/>
          <w:sz w:val="24"/>
          <w:szCs w:val="24"/>
        </w:rPr>
      </w:pPr>
      <w:bookmarkStart w:id="534" w:name="_Hlk7346706"/>
      <w:r w:rsidRPr="00877AA6">
        <w:rPr>
          <w:rFonts w:ascii="Arial Black" w:hAnsi="Arial Black"/>
          <w:sz w:val="28"/>
          <w:szCs w:val="28"/>
        </w:rPr>
        <w:t xml:space="preserve">NY: FF </w:t>
      </w:r>
      <w:r>
        <w:rPr>
          <w:rFonts w:ascii="Arial Black" w:hAnsi="Arial Black"/>
          <w:sz w:val="28"/>
          <w:szCs w:val="28"/>
        </w:rPr>
        <w:t xml:space="preserve">FELL WHEN AMBUL. BACK STEP NOT LOWERED – ACCIDENTAL DISAB. CLAIM UPHELD </w:t>
      </w:r>
      <w:r w:rsidRPr="00877AA6">
        <w:rPr>
          <w:rFonts w:ascii="Times New Roman" w:hAnsi="Times New Roman"/>
          <w:sz w:val="24"/>
          <w:szCs w:val="24"/>
        </w:rPr>
        <w:t xml:space="preserve">[also filed, Chap. 6] </w:t>
      </w:r>
    </w:p>
    <w:p w14:paraId="365C0E81" w14:textId="77777777" w:rsidR="00F326E5" w:rsidRPr="006114FF" w:rsidRDefault="00F326E5" w:rsidP="00F326E5">
      <w:pPr>
        <w:rPr>
          <w:rFonts w:ascii="Times New Roman" w:hAnsi="Times New Roman"/>
          <w:b/>
          <w:sz w:val="24"/>
          <w:szCs w:val="24"/>
        </w:rPr>
      </w:pPr>
      <w:r w:rsidRPr="006114FF">
        <w:rPr>
          <w:rFonts w:ascii="Times New Roman" w:eastAsia="Times New Roman" w:hAnsi="Times New Roman"/>
          <w:sz w:val="24"/>
          <w:szCs w:val="24"/>
        </w:rPr>
        <w:t xml:space="preserve">On Sept. 6, 2018, </w:t>
      </w:r>
      <w:r w:rsidRPr="006114FF">
        <w:rPr>
          <w:rFonts w:ascii="Times New Roman" w:eastAsia="Times New Roman" w:hAnsi="Times New Roman"/>
          <w:sz w:val="24"/>
          <w:szCs w:val="24"/>
          <w:u w:val="single"/>
        </w:rPr>
        <w:t>In The Matter Of Gregg A. Loia v. Thomas P. Di Napoli, State Comptroller</w:t>
      </w:r>
      <w:r w:rsidRPr="006114FF">
        <w:rPr>
          <w:rFonts w:ascii="Times New Roman" w:eastAsia="Times New Roman" w:hAnsi="Times New Roman"/>
          <w:sz w:val="24"/>
          <w:szCs w:val="24"/>
        </w:rPr>
        <w:t xml:space="preserve">,  the NY Supreme Court, Appellate Division (Third Judicial Department) held (3 to 0) the injured firefighter is entitled to accidental retirement benefits since the back step of the ambulance had not been lowered by EMS personnel, and he suffered an “accident” on the “malfunctioning piece of equipment that was designed, under normal circumstances, to promote safety.” </w:t>
      </w:r>
      <w:hyperlink r:id="rId2408" w:history="1">
        <w:r w:rsidRPr="006114FF">
          <w:rPr>
            <w:rStyle w:val="Hyperlink"/>
            <w:rFonts w:ascii="Times New Roman" w:hAnsi="Times New Roman"/>
            <w:sz w:val="24"/>
            <w:szCs w:val="24"/>
          </w:rPr>
          <w:t>http://decisions.courts.state.ny.us/ad3/Decisions/2018/526165.pdf</w:t>
        </w:r>
      </w:hyperlink>
      <w:r w:rsidRPr="006114FF">
        <w:rPr>
          <w:rFonts w:ascii="Times New Roman" w:eastAsia="Times New Roman" w:hAnsi="Times New Roman"/>
          <w:sz w:val="24"/>
          <w:szCs w:val="24"/>
        </w:rPr>
        <w:t xml:space="preserve"> </w:t>
      </w:r>
    </w:p>
    <w:p w14:paraId="04A53486" w14:textId="77777777" w:rsidR="00F326E5" w:rsidRPr="006114FF" w:rsidRDefault="00F326E5" w:rsidP="00F326E5">
      <w:pPr>
        <w:rPr>
          <w:rFonts w:ascii="Times New Roman" w:eastAsia="Times New Roman" w:hAnsi="Times New Roman"/>
          <w:b/>
          <w:sz w:val="24"/>
          <w:szCs w:val="24"/>
        </w:rPr>
      </w:pPr>
      <w:r w:rsidRPr="006114FF">
        <w:rPr>
          <w:rFonts w:ascii="Times New Roman" w:eastAsia="Times New Roman" w:hAnsi="Times New Roman"/>
          <w:b/>
          <w:sz w:val="24"/>
          <w:szCs w:val="24"/>
        </w:rPr>
        <w:t xml:space="preserve">Legal Lessons Learned:  Fire &amp; EMS personnel should document any on the job injury (including, in this case, photos of the ambulance step) and obtain statements from others on the scene.  It is unfortunate that a dispute over disability retirement benefits has been in litigation since 2012.  </w:t>
      </w:r>
    </w:p>
    <w:bookmarkEnd w:id="534"/>
    <w:p w14:paraId="50DC9AFF" w14:textId="77777777" w:rsidR="00F326E5" w:rsidRDefault="00F326E5" w:rsidP="00F326E5">
      <w:pPr>
        <w:rPr>
          <w:rFonts w:eastAsia="Times New Roman"/>
          <w:b/>
          <w:sz w:val="24"/>
          <w:szCs w:val="24"/>
        </w:rPr>
      </w:pPr>
    </w:p>
    <w:p w14:paraId="50C60981" w14:textId="64903EAA" w:rsidR="00DE0F03" w:rsidRDefault="00DE0F03" w:rsidP="00DE0F03">
      <w:pPr>
        <w:pStyle w:val="NoSpacing"/>
        <w:rPr>
          <w:rFonts w:ascii="Arial Black" w:hAnsi="Arial Black"/>
          <w:sz w:val="24"/>
          <w:szCs w:val="24"/>
        </w:rPr>
      </w:pPr>
      <w:r>
        <w:rPr>
          <w:rFonts w:ascii="Arial Black" w:hAnsi="Arial Black"/>
          <w:sz w:val="24"/>
          <w:szCs w:val="24"/>
        </w:rPr>
        <w:t>13-13</w:t>
      </w:r>
    </w:p>
    <w:p w14:paraId="62EEFCB4" w14:textId="77777777" w:rsidR="00DA4990" w:rsidRDefault="00DA4990" w:rsidP="00F326E5">
      <w:pPr>
        <w:rPr>
          <w:sz w:val="24"/>
          <w:szCs w:val="24"/>
        </w:rPr>
      </w:pPr>
    </w:p>
    <w:p w14:paraId="3A3309D2" w14:textId="7AE7C010" w:rsidR="00F326E5" w:rsidRPr="00877AA6" w:rsidRDefault="00F326E5" w:rsidP="00F326E5">
      <w:pPr>
        <w:rPr>
          <w:rFonts w:ascii="Arial Black" w:hAnsi="Arial Black"/>
          <w:sz w:val="28"/>
          <w:szCs w:val="28"/>
        </w:rPr>
      </w:pPr>
      <w:bookmarkStart w:id="535" w:name="_Hlk7346756"/>
      <w:bookmarkStart w:id="536" w:name="_Hlk41154421"/>
      <w:r w:rsidRPr="00877AA6">
        <w:rPr>
          <w:rFonts w:ascii="Arial Black" w:hAnsi="Arial Black"/>
          <w:sz w:val="28"/>
          <w:szCs w:val="28"/>
        </w:rPr>
        <w:t>NJ: P</w:t>
      </w:r>
      <w:r>
        <w:rPr>
          <w:rFonts w:ascii="Arial Black" w:hAnsi="Arial Black"/>
          <w:sz w:val="28"/>
          <w:szCs w:val="28"/>
        </w:rPr>
        <w:t xml:space="preserve">ARAMEDIC STUDENT </w:t>
      </w:r>
      <w:r w:rsidR="00DA4990">
        <w:rPr>
          <w:rFonts w:ascii="Arial Black" w:hAnsi="Arial Black"/>
          <w:sz w:val="28"/>
          <w:szCs w:val="28"/>
        </w:rPr>
        <w:t xml:space="preserve">WAS </w:t>
      </w:r>
      <w:r>
        <w:rPr>
          <w:rFonts w:ascii="Arial Black" w:hAnsi="Arial Black"/>
          <w:sz w:val="28"/>
          <w:szCs w:val="28"/>
        </w:rPr>
        <w:t>GIVEN 6-MONTH EXTENSION TO COMPLETE CLINICALS – NO FURTHER</w:t>
      </w:r>
      <w:r w:rsidR="00DA4990">
        <w:rPr>
          <w:rFonts w:ascii="Arial Black" w:hAnsi="Arial Black"/>
          <w:sz w:val="28"/>
          <w:szCs w:val="28"/>
        </w:rPr>
        <w:t xml:space="preserve"> EXTENSIONS</w:t>
      </w:r>
    </w:p>
    <w:p w14:paraId="530C8751" w14:textId="77777777" w:rsidR="00F326E5" w:rsidRPr="006114FF" w:rsidRDefault="00F326E5" w:rsidP="006114FF">
      <w:pPr>
        <w:pStyle w:val="NoSpacing"/>
        <w:rPr>
          <w:rFonts w:ascii="Times New Roman" w:hAnsi="Times New Roman"/>
          <w:sz w:val="24"/>
          <w:szCs w:val="24"/>
        </w:rPr>
      </w:pPr>
      <w:r w:rsidRPr="006114FF">
        <w:rPr>
          <w:rFonts w:ascii="Times New Roman" w:hAnsi="Times New Roman"/>
          <w:sz w:val="24"/>
          <w:szCs w:val="24"/>
        </w:rPr>
        <w:t>On Sept. 4, 2018, in</w:t>
      </w:r>
      <w:r w:rsidRPr="006114FF">
        <w:rPr>
          <w:rFonts w:ascii="Times New Roman" w:hAnsi="Times New Roman"/>
          <w:sz w:val="24"/>
          <w:szCs w:val="24"/>
          <w:u w:val="single"/>
        </w:rPr>
        <w:t xml:space="preserve"> The Matter </w:t>
      </w:r>
      <w:proofErr w:type="gramStart"/>
      <w:r w:rsidRPr="006114FF">
        <w:rPr>
          <w:rFonts w:ascii="Times New Roman" w:hAnsi="Times New Roman"/>
          <w:sz w:val="24"/>
          <w:szCs w:val="24"/>
          <w:u w:val="single"/>
        </w:rPr>
        <w:t>Of</w:t>
      </w:r>
      <w:proofErr w:type="gramEnd"/>
      <w:r w:rsidRPr="006114FF">
        <w:rPr>
          <w:rFonts w:ascii="Times New Roman" w:hAnsi="Times New Roman"/>
          <w:sz w:val="24"/>
          <w:szCs w:val="24"/>
          <w:u w:val="single"/>
        </w:rPr>
        <w:t xml:space="preserve"> Denial </w:t>
      </w:r>
      <w:proofErr w:type="gramStart"/>
      <w:r w:rsidRPr="006114FF">
        <w:rPr>
          <w:rFonts w:ascii="Times New Roman" w:hAnsi="Times New Roman"/>
          <w:sz w:val="24"/>
          <w:szCs w:val="24"/>
          <w:u w:val="single"/>
        </w:rPr>
        <w:t>Of</w:t>
      </w:r>
      <w:proofErr w:type="gramEnd"/>
      <w:r w:rsidRPr="006114FF">
        <w:rPr>
          <w:rFonts w:ascii="Times New Roman" w:hAnsi="Times New Roman"/>
          <w:sz w:val="24"/>
          <w:szCs w:val="24"/>
          <w:u w:val="single"/>
        </w:rPr>
        <w:t xml:space="preserve"> Waiver </w:t>
      </w:r>
      <w:proofErr w:type="gramStart"/>
      <w:r w:rsidRPr="006114FF">
        <w:rPr>
          <w:rFonts w:ascii="Times New Roman" w:hAnsi="Times New Roman"/>
          <w:sz w:val="24"/>
          <w:szCs w:val="24"/>
          <w:u w:val="single"/>
        </w:rPr>
        <w:t>For</w:t>
      </w:r>
      <w:proofErr w:type="gramEnd"/>
      <w:r w:rsidRPr="006114FF">
        <w:rPr>
          <w:rFonts w:ascii="Times New Roman" w:hAnsi="Times New Roman"/>
          <w:sz w:val="24"/>
          <w:szCs w:val="24"/>
          <w:u w:val="single"/>
        </w:rPr>
        <w:t xml:space="preserve"> Alberto Sanchez</w:t>
      </w:r>
      <w:r w:rsidRPr="006114FF">
        <w:rPr>
          <w:rFonts w:ascii="Times New Roman" w:hAnsi="Times New Roman"/>
          <w:sz w:val="24"/>
          <w:szCs w:val="24"/>
        </w:rPr>
        <w:t xml:space="preserve">, the Superior Court of New Jersey, Appellate Division, held (2 to 0 in unpublished opinion) that State EMS Board properly refused to grant an extension of total training time. “Despite obtaining an extension [of six months to complete clinicals], Sanchez failed to timely complete his clinical training by not participating in at least five cardiac arrest resuscitations and not successfully performing at least five defibrillations and synchronized cardioversions. N.J.A.C. 8:41A-2.6(a)(9) and (10). He only participated in three cardiac </w:t>
      </w:r>
      <w:proofErr w:type="gramStart"/>
      <w:r w:rsidRPr="006114FF">
        <w:rPr>
          <w:rFonts w:ascii="Times New Roman" w:hAnsi="Times New Roman"/>
          <w:sz w:val="24"/>
          <w:szCs w:val="24"/>
        </w:rPr>
        <w:t>arrests, and</w:t>
      </w:r>
      <w:proofErr w:type="gramEnd"/>
      <w:r w:rsidRPr="006114FF">
        <w:rPr>
          <w:rFonts w:ascii="Times New Roman" w:hAnsi="Times New Roman"/>
          <w:sz w:val="24"/>
          <w:szCs w:val="24"/>
        </w:rPr>
        <w:t xml:space="preserve"> failed to complete any defibrillations or cardioversions. *** The OEMS denied the waiver [of 36-month total training time] request on March 6, 2017, because under N.J.A.C. 8:41A -2.4, his training could not be extended beyond February 6, 2017– thirty-six months of his starting date – and there were public health concerns if he was allowed more time.”</w:t>
      </w:r>
    </w:p>
    <w:p w14:paraId="22B019F3" w14:textId="77777777" w:rsidR="00F326E5" w:rsidRPr="006114FF" w:rsidRDefault="00F326E5" w:rsidP="006114FF">
      <w:pPr>
        <w:pStyle w:val="NoSpacing"/>
        <w:rPr>
          <w:rStyle w:val="Hyperlink"/>
          <w:rFonts w:ascii="Times New Roman" w:hAnsi="Times New Roman"/>
          <w:b/>
          <w:sz w:val="24"/>
          <w:szCs w:val="24"/>
        </w:rPr>
      </w:pPr>
      <w:hyperlink r:id="rId2409" w:history="1">
        <w:r w:rsidRPr="006114FF">
          <w:rPr>
            <w:rStyle w:val="Hyperlink"/>
            <w:rFonts w:ascii="Times New Roman" w:hAnsi="Times New Roman"/>
            <w:sz w:val="24"/>
            <w:szCs w:val="24"/>
          </w:rPr>
          <w:t>https://www.njcourts.gov/attorneys/assets/opinions/appellate/unpublished/a4258-16.pdf?cacheID=HAxjRbJ</w:t>
        </w:r>
      </w:hyperlink>
    </w:p>
    <w:p w14:paraId="60B2DA04" w14:textId="77777777" w:rsidR="006114FF" w:rsidRDefault="006114FF" w:rsidP="006114FF">
      <w:pPr>
        <w:pStyle w:val="NoSpacing"/>
        <w:rPr>
          <w:rFonts w:ascii="Times New Roman" w:hAnsi="Times New Roman"/>
          <w:b/>
          <w:sz w:val="24"/>
          <w:szCs w:val="24"/>
        </w:rPr>
      </w:pPr>
    </w:p>
    <w:p w14:paraId="58E04BDA" w14:textId="2AA03F8D" w:rsidR="00F326E5" w:rsidRPr="006114FF" w:rsidRDefault="00F326E5" w:rsidP="006114FF">
      <w:pPr>
        <w:pStyle w:val="NoSpacing"/>
        <w:rPr>
          <w:rFonts w:ascii="Times New Roman" w:hAnsi="Times New Roman"/>
          <w:b/>
          <w:sz w:val="24"/>
          <w:szCs w:val="24"/>
        </w:rPr>
      </w:pPr>
      <w:r w:rsidRPr="006114FF">
        <w:rPr>
          <w:rFonts w:ascii="Times New Roman" w:hAnsi="Times New Roman"/>
          <w:b/>
          <w:sz w:val="24"/>
          <w:szCs w:val="24"/>
        </w:rPr>
        <w:t>Legal Lesson Learned:  Courts are generally very reluctant to overturn decisions of State agencies, such as EMS Boards, regarding the protection of health of the public.</w:t>
      </w:r>
    </w:p>
    <w:p w14:paraId="2FCADC76" w14:textId="77777777" w:rsidR="00F326E5" w:rsidRPr="006114FF" w:rsidRDefault="00F326E5" w:rsidP="006114FF">
      <w:pPr>
        <w:pStyle w:val="NoSpacing"/>
        <w:rPr>
          <w:rFonts w:ascii="Times New Roman" w:hAnsi="Times New Roman"/>
          <w:b/>
          <w:sz w:val="24"/>
          <w:szCs w:val="24"/>
        </w:rPr>
      </w:pPr>
    </w:p>
    <w:bookmarkEnd w:id="535"/>
    <w:p w14:paraId="147874C9" w14:textId="77777777" w:rsidR="00F326E5" w:rsidRPr="006114FF" w:rsidRDefault="00F326E5" w:rsidP="006114FF">
      <w:pPr>
        <w:pStyle w:val="NoSpacing"/>
        <w:rPr>
          <w:rFonts w:ascii="Times New Roman" w:hAnsi="Times New Roman"/>
          <w:b/>
          <w:sz w:val="24"/>
          <w:szCs w:val="24"/>
        </w:rPr>
      </w:pPr>
    </w:p>
    <w:bookmarkEnd w:id="536"/>
    <w:p w14:paraId="6C24F54B" w14:textId="77777777" w:rsidR="00F326E5" w:rsidRDefault="00F326E5" w:rsidP="00F326E5">
      <w:pPr>
        <w:pStyle w:val="NoSpacing"/>
        <w:rPr>
          <w:rFonts w:eastAsia="Times New Roman"/>
          <w:b/>
          <w:sz w:val="24"/>
          <w:szCs w:val="24"/>
        </w:rPr>
      </w:pPr>
    </w:p>
    <w:p w14:paraId="6555DF9F" w14:textId="77777777" w:rsidR="0036327D" w:rsidRDefault="0036327D" w:rsidP="00DE0F03">
      <w:pPr>
        <w:pStyle w:val="NoSpacing"/>
        <w:rPr>
          <w:rFonts w:ascii="Arial Black" w:hAnsi="Arial Black"/>
          <w:sz w:val="24"/>
          <w:szCs w:val="24"/>
        </w:rPr>
      </w:pPr>
    </w:p>
    <w:p w14:paraId="40509453" w14:textId="77777777" w:rsidR="0036327D" w:rsidRDefault="0036327D" w:rsidP="00DE0F03">
      <w:pPr>
        <w:pStyle w:val="NoSpacing"/>
        <w:rPr>
          <w:rFonts w:ascii="Arial Black" w:hAnsi="Arial Black"/>
          <w:sz w:val="24"/>
          <w:szCs w:val="24"/>
        </w:rPr>
      </w:pPr>
    </w:p>
    <w:p w14:paraId="1C4220A3" w14:textId="77777777" w:rsidR="0036327D" w:rsidRDefault="0036327D" w:rsidP="00DE0F03">
      <w:pPr>
        <w:pStyle w:val="NoSpacing"/>
        <w:rPr>
          <w:rFonts w:ascii="Arial Black" w:hAnsi="Arial Black"/>
          <w:sz w:val="24"/>
          <w:szCs w:val="24"/>
        </w:rPr>
      </w:pPr>
    </w:p>
    <w:p w14:paraId="482BD327" w14:textId="6E570AB1" w:rsidR="00DE0F03" w:rsidRDefault="00DE0F03" w:rsidP="00DE0F03">
      <w:pPr>
        <w:pStyle w:val="NoSpacing"/>
        <w:rPr>
          <w:rFonts w:ascii="Arial Black" w:hAnsi="Arial Black"/>
          <w:sz w:val="24"/>
          <w:szCs w:val="24"/>
        </w:rPr>
      </w:pPr>
      <w:r>
        <w:rPr>
          <w:rFonts w:ascii="Arial Black" w:hAnsi="Arial Black"/>
          <w:sz w:val="24"/>
          <w:szCs w:val="24"/>
        </w:rPr>
        <w:t>13-12</w:t>
      </w:r>
    </w:p>
    <w:p w14:paraId="60E339E0" w14:textId="77777777" w:rsidR="00F326E5" w:rsidRDefault="00F326E5" w:rsidP="00F326E5">
      <w:pPr>
        <w:rPr>
          <w:sz w:val="24"/>
          <w:szCs w:val="24"/>
        </w:rPr>
      </w:pPr>
    </w:p>
    <w:p w14:paraId="08303B7E" w14:textId="27C02FD5" w:rsidR="00F326E5" w:rsidRPr="00877AA6" w:rsidRDefault="00F326E5" w:rsidP="00F326E5">
      <w:pPr>
        <w:rPr>
          <w:rFonts w:ascii="Arial Black" w:hAnsi="Arial Black"/>
          <w:sz w:val="28"/>
          <w:szCs w:val="28"/>
        </w:rPr>
      </w:pPr>
      <w:bookmarkStart w:id="537" w:name="_Hlk41154467"/>
      <w:bookmarkStart w:id="538" w:name="_Hlk7346790"/>
      <w:r w:rsidRPr="00877AA6">
        <w:rPr>
          <w:rFonts w:ascii="Arial Black" w:hAnsi="Arial Black"/>
          <w:sz w:val="28"/>
          <w:szCs w:val="28"/>
        </w:rPr>
        <w:t xml:space="preserve">OK: </w:t>
      </w:r>
      <w:r>
        <w:rPr>
          <w:rFonts w:ascii="Arial Black" w:hAnsi="Arial Black"/>
          <w:sz w:val="28"/>
          <w:szCs w:val="28"/>
        </w:rPr>
        <w:t>VERY EXPENSIVE TRANSPORT BY HELICOPTER – PATIENTS CAN’T SUE, FED. STATUTE</w:t>
      </w:r>
    </w:p>
    <w:p w14:paraId="795D8B48" w14:textId="77777777" w:rsidR="006114FF" w:rsidRDefault="00F326E5" w:rsidP="00F326E5">
      <w:pPr>
        <w:rPr>
          <w:rFonts w:ascii="Times New Roman" w:hAnsi="Times New Roman"/>
          <w:sz w:val="24"/>
          <w:szCs w:val="24"/>
        </w:rPr>
      </w:pPr>
      <w:r w:rsidRPr="006114FF">
        <w:rPr>
          <w:rFonts w:ascii="Times New Roman" w:hAnsi="Times New Roman"/>
          <w:sz w:val="24"/>
          <w:szCs w:val="24"/>
        </w:rPr>
        <w:t xml:space="preserve">On Aug. 31, 2018, in </w:t>
      </w:r>
      <w:r w:rsidRPr="006114FF">
        <w:rPr>
          <w:rFonts w:ascii="Times New Roman" w:hAnsi="Times New Roman"/>
          <w:sz w:val="24"/>
          <w:szCs w:val="24"/>
          <w:u w:val="single"/>
        </w:rPr>
        <w:t xml:space="preserve">Susan Schenberger, Lacy Stidman and Johnny Trent v. Air Evac EMS, </w:t>
      </w:r>
      <w:proofErr w:type="spellStart"/>
      <w:r w:rsidRPr="006114FF">
        <w:rPr>
          <w:rFonts w:ascii="Times New Roman" w:hAnsi="Times New Roman"/>
          <w:sz w:val="24"/>
          <w:szCs w:val="24"/>
          <w:u w:val="single"/>
        </w:rPr>
        <w:t>Inc.and</w:t>
      </w:r>
      <w:proofErr w:type="spellEnd"/>
      <w:r w:rsidRPr="006114FF">
        <w:rPr>
          <w:rFonts w:ascii="Times New Roman" w:hAnsi="Times New Roman"/>
          <w:sz w:val="24"/>
          <w:szCs w:val="24"/>
          <w:u w:val="single"/>
        </w:rPr>
        <w:t xml:space="preserve"> Air Evac EMS, Inc.</w:t>
      </w:r>
      <w:r w:rsidRPr="006114FF">
        <w:rPr>
          <w:rFonts w:ascii="Times New Roman" w:hAnsi="Times New Roman"/>
          <w:sz w:val="24"/>
          <w:szCs w:val="24"/>
        </w:rPr>
        <w:t>, the U.S. Court of Appeals for the 10</w:t>
      </w:r>
      <w:r w:rsidRPr="006114FF">
        <w:rPr>
          <w:rFonts w:ascii="Times New Roman" w:hAnsi="Times New Roman"/>
          <w:sz w:val="24"/>
          <w:szCs w:val="24"/>
          <w:vertAlign w:val="superscript"/>
        </w:rPr>
        <w:t>th</w:t>
      </w:r>
      <w:r w:rsidRPr="006114FF">
        <w:rPr>
          <w:rFonts w:ascii="Times New Roman" w:hAnsi="Times New Roman"/>
          <w:sz w:val="24"/>
          <w:szCs w:val="24"/>
        </w:rPr>
        <w:t xml:space="preserve"> Circuit, held (3 to 0) that the lawsuit was properly dismissed: </w:t>
      </w:r>
    </w:p>
    <w:p w14:paraId="3D670094" w14:textId="1C656843" w:rsidR="00F326E5" w:rsidRPr="006114FF" w:rsidRDefault="00F326E5" w:rsidP="006114FF">
      <w:pPr>
        <w:ind w:left="720"/>
        <w:rPr>
          <w:rFonts w:ascii="Times New Roman" w:hAnsi="Times New Roman"/>
          <w:sz w:val="24"/>
          <w:szCs w:val="24"/>
        </w:rPr>
      </w:pPr>
      <w:r w:rsidRPr="006114FF">
        <w:rPr>
          <w:rFonts w:ascii="Times New Roman" w:hAnsi="Times New Roman"/>
          <w:sz w:val="24"/>
          <w:szCs w:val="24"/>
        </w:rPr>
        <w:t xml:space="preserve">“Like the district court in this case, we have previously recognized that [Airline Deregulation Act] preemption may sometimes produce harsh results for potential plaintiffs seeking redress for perceived unfair treatment by air-ambulance carriers. </w:t>
      </w:r>
      <w:r w:rsidRPr="006114FF">
        <w:rPr>
          <w:rFonts w:ascii="Times New Roman" w:hAnsi="Times New Roman"/>
          <w:i/>
          <w:iCs/>
          <w:sz w:val="24"/>
          <w:szCs w:val="24"/>
        </w:rPr>
        <w:t>See Cox,</w:t>
      </w:r>
      <w:r w:rsidRPr="006114FF">
        <w:rPr>
          <w:rFonts w:ascii="Times New Roman" w:hAnsi="Times New Roman"/>
          <w:sz w:val="24"/>
          <w:szCs w:val="24"/>
        </w:rPr>
        <w:t xml:space="preserve"> 868 F.3d at 906-07. Yet, we felt constrained to observe that ‘[s]</w:t>
      </w:r>
      <w:proofErr w:type="spellStart"/>
      <w:r w:rsidRPr="006114FF">
        <w:rPr>
          <w:rFonts w:ascii="Times New Roman" w:hAnsi="Times New Roman"/>
          <w:sz w:val="24"/>
          <w:szCs w:val="24"/>
        </w:rPr>
        <w:t>uch</w:t>
      </w:r>
      <w:proofErr w:type="spellEnd"/>
      <w:r w:rsidRPr="006114FF">
        <w:rPr>
          <w:rFonts w:ascii="Times New Roman" w:hAnsi="Times New Roman"/>
          <w:sz w:val="24"/>
          <w:szCs w:val="24"/>
        </w:rPr>
        <w:t xml:space="preserve"> policy considerations . . . are beyond the purview of [the courts]’ and ‘must be addressed to Congress.’ </w:t>
      </w:r>
      <w:r w:rsidRPr="006114FF">
        <w:rPr>
          <w:rFonts w:ascii="Times New Roman" w:hAnsi="Times New Roman"/>
          <w:i/>
          <w:iCs/>
          <w:sz w:val="24"/>
          <w:szCs w:val="24"/>
        </w:rPr>
        <w:t>Id.</w:t>
      </w:r>
      <w:r w:rsidRPr="006114FF">
        <w:rPr>
          <w:rFonts w:ascii="Times New Roman" w:hAnsi="Times New Roman"/>
          <w:sz w:val="24"/>
          <w:szCs w:val="24"/>
        </w:rPr>
        <w:t xml:space="preserve">; </w:t>
      </w:r>
      <w:r w:rsidRPr="006114FF">
        <w:rPr>
          <w:rFonts w:ascii="Times New Roman" w:hAnsi="Times New Roman"/>
          <w:i/>
          <w:iCs/>
          <w:sz w:val="24"/>
          <w:szCs w:val="24"/>
        </w:rPr>
        <w:t>see also Ferrell v. Air EVAC EMS, Inc.,</w:t>
      </w:r>
      <w:r w:rsidRPr="006114FF">
        <w:rPr>
          <w:rFonts w:ascii="Times New Roman" w:hAnsi="Times New Roman"/>
          <w:sz w:val="24"/>
          <w:szCs w:val="24"/>
        </w:rPr>
        <w:t xml:space="preserve"> ___ F.3d ___, No. 17-2554, 2018 WL 3886688, at *3 (8th Cir. Aug. 16, 2018) (‘We may not refuse to apply ADA preemption merely because we do not believe it would be sound public policy to enforce the statute Congress enacted.’).” </w:t>
      </w:r>
      <w:hyperlink r:id="rId2410" w:history="1">
        <w:r w:rsidRPr="006114FF">
          <w:rPr>
            <w:rStyle w:val="Hyperlink"/>
            <w:rFonts w:ascii="Times New Roman" w:hAnsi="Times New Roman"/>
            <w:sz w:val="24"/>
            <w:szCs w:val="24"/>
          </w:rPr>
          <w:t>https://www.leagle.com/decision/infco20180831084</w:t>
        </w:r>
      </w:hyperlink>
      <w:r w:rsidRPr="006114FF">
        <w:rPr>
          <w:rFonts w:ascii="Times New Roman" w:hAnsi="Times New Roman"/>
          <w:sz w:val="24"/>
          <w:szCs w:val="24"/>
        </w:rPr>
        <w:t xml:space="preserve"> </w:t>
      </w:r>
    </w:p>
    <w:p w14:paraId="338E0343" w14:textId="77777777" w:rsidR="00F326E5" w:rsidRPr="006114FF" w:rsidRDefault="00F326E5" w:rsidP="00F326E5">
      <w:pPr>
        <w:rPr>
          <w:rFonts w:ascii="Times New Roman" w:hAnsi="Times New Roman"/>
          <w:b/>
          <w:sz w:val="24"/>
          <w:szCs w:val="24"/>
        </w:rPr>
      </w:pPr>
      <w:r w:rsidRPr="006114FF">
        <w:rPr>
          <w:rFonts w:ascii="Times New Roman" w:hAnsi="Times New Roman"/>
          <w:b/>
          <w:sz w:val="24"/>
          <w:szCs w:val="24"/>
        </w:rPr>
        <w:t xml:space="preserve">Legal Lessons Learned:  Air ambulance rates, like many other medical charges, can indeed be very expensive, but the remedy is with Congress.    </w:t>
      </w:r>
    </w:p>
    <w:bookmarkEnd w:id="537"/>
    <w:p w14:paraId="6A1FDE7B" w14:textId="77777777" w:rsidR="00F326E5" w:rsidRDefault="00F326E5" w:rsidP="00F326E5">
      <w:pPr>
        <w:rPr>
          <w:b/>
          <w:sz w:val="24"/>
          <w:szCs w:val="24"/>
        </w:rPr>
      </w:pPr>
    </w:p>
    <w:p w14:paraId="626EAFDF" w14:textId="0E86104B" w:rsidR="00DE0F03" w:rsidRDefault="00DE0F03" w:rsidP="00DE0F03">
      <w:pPr>
        <w:pStyle w:val="NoSpacing"/>
        <w:rPr>
          <w:rFonts w:ascii="Arial Black" w:hAnsi="Arial Black"/>
          <w:sz w:val="24"/>
          <w:szCs w:val="24"/>
        </w:rPr>
      </w:pPr>
      <w:r>
        <w:rPr>
          <w:rFonts w:ascii="Arial Black" w:hAnsi="Arial Black"/>
          <w:sz w:val="24"/>
          <w:szCs w:val="24"/>
        </w:rPr>
        <w:t>13-11</w:t>
      </w:r>
    </w:p>
    <w:p w14:paraId="63A6F6EA" w14:textId="77777777" w:rsidR="00F326E5" w:rsidRDefault="00F326E5" w:rsidP="00F326E5">
      <w:pPr>
        <w:rPr>
          <w:b/>
          <w:sz w:val="24"/>
          <w:szCs w:val="24"/>
        </w:rPr>
      </w:pPr>
    </w:p>
    <w:p w14:paraId="175B4DDF" w14:textId="036E2781" w:rsidR="00F326E5" w:rsidRPr="00C17E65" w:rsidRDefault="00F326E5" w:rsidP="00F326E5">
      <w:pPr>
        <w:rPr>
          <w:rFonts w:ascii="Arial Black" w:hAnsi="Arial Black"/>
          <w:sz w:val="28"/>
          <w:szCs w:val="28"/>
        </w:rPr>
      </w:pPr>
      <w:bookmarkStart w:id="539" w:name="_Hlk7346857"/>
      <w:bookmarkEnd w:id="538"/>
      <w:r>
        <w:rPr>
          <w:b/>
          <w:sz w:val="24"/>
          <w:szCs w:val="24"/>
        </w:rPr>
        <w:t xml:space="preserve"> </w:t>
      </w:r>
      <w:bookmarkStart w:id="540" w:name="_Hlk41154546"/>
      <w:r w:rsidRPr="00C17E65">
        <w:rPr>
          <w:rFonts w:ascii="Arial Black" w:hAnsi="Arial Black"/>
          <w:sz w:val="28"/>
          <w:szCs w:val="28"/>
        </w:rPr>
        <w:t xml:space="preserve">NY: ALLERGIC REACTION TO DOG BITE – PATIENT DIED – </w:t>
      </w:r>
      <w:r w:rsidR="00DA4990">
        <w:rPr>
          <w:rFonts w:ascii="Arial Black" w:hAnsi="Arial Black"/>
          <w:sz w:val="28"/>
          <w:szCs w:val="28"/>
        </w:rPr>
        <w:t>EM</w:t>
      </w:r>
      <w:r w:rsidR="00572A91">
        <w:rPr>
          <w:rFonts w:ascii="Arial Black" w:hAnsi="Arial Black"/>
          <w:sz w:val="28"/>
          <w:szCs w:val="28"/>
        </w:rPr>
        <w:t>S</w:t>
      </w:r>
      <w:r w:rsidR="00DA4990">
        <w:rPr>
          <w:rFonts w:ascii="Arial Black" w:hAnsi="Arial Black"/>
          <w:sz w:val="28"/>
          <w:szCs w:val="28"/>
        </w:rPr>
        <w:t xml:space="preserve"> </w:t>
      </w:r>
      <w:r>
        <w:rPr>
          <w:rFonts w:ascii="Arial Black" w:hAnsi="Arial Black"/>
          <w:sz w:val="28"/>
          <w:szCs w:val="28"/>
        </w:rPr>
        <w:t xml:space="preserve">PROTOCOL </w:t>
      </w:r>
      <w:r w:rsidR="00DA4990">
        <w:rPr>
          <w:rFonts w:ascii="Arial Black" w:hAnsi="Arial Black"/>
          <w:sz w:val="28"/>
          <w:szCs w:val="28"/>
        </w:rPr>
        <w:t xml:space="preserve">WAS </w:t>
      </w:r>
      <w:r>
        <w:rPr>
          <w:rFonts w:ascii="Arial Black" w:hAnsi="Arial Black"/>
          <w:sz w:val="28"/>
          <w:szCs w:val="28"/>
        </w:rPr>
        <w:t xml:space="preserve">NOT FOLLOWED, NO GOV’T </w:t>
      </w:r>
      <w:r w:rsidRPr="00C17E65">
        <w:rPr>
          <w:rFonts w:ascii="Arial Black" w:hAnsi="Arial Black"/>
          <w:sz w:val="28"/>
          <w:szCs w:val="28"/>
        </w:rPr>
        <w:t>IMMUNITY</w:t>
      </w:r>
      <w:r>
        <w:rPr>
          <w:rFonts w:ascii="Arial Black" w:hAnsi="Arial Black"/>
          <w:sz w:val="28"/>
          <w:szCs w:val="28"/>
        </w:rPr>
        <w:t xml:space="preserve"> </w:t>
      </w:r>
    </w:p>
    <w:p w14:paraId="6CB2C79E" w14:textId="77777777" w:rsidR="006114FF" w:rsidRDefault="00F326E5" w:rsidP="00F326E5">
      <w:pPr>
        <w:rPr>
          <w:rFonts w:ascii="Times New Roman" w:hAnsi="Times New Roman"/>
          <w:sz w:val="24"/>
          <w:szCs w:val="24"/>
        </w:rPr>
      </w:pPr>
      <w:r w:rsidRPr="006114FF">
        <w:rPr>
          <w:rFonts w:ascii="Times New Roman" w:hAnsi="Times New Roman"/>
          <w:sz w:val="24"/>
          <w:szCs w:val="24"/>
        </w:rPr>
        <w:t xml:space="preserve">On August 16, 2018, in </w:t>
      </w:r>
      <w:r w:rsidRPr="006114FF">
        <w:rPr>
          <w:rFonts w:ascii="Times New Roman" w:hAnsi="Times New Roman"/>
          <w:sz w:val="24"/>
          <w:szCs w:val="24"/>
          <w:u w:val="single"/>
        </w:rPr>
        <w:t>Christine Lynch v. Town of Greenburg and Greenburg Police Department Emergency Medical Service</w:t>
      </w:r>
      <w:r w:rsidRPr="006114FF">
        <w:rPr>
          <w:rFonts w:ascii="Times New Roman" w:hAnsi="Times New Roman"/>
          <w:sz w:val="24"/>
          <w:szCs w:val="24"/>
        </w:rPr>
        <w:t xml:space="preserve">, the NY Supreme Court, County of Westchester (Judge Lawrence E. Ecker), denied the defendants’ motion for summary judgment.  “In fact, despite being told that the decedent was having an allergic reaction to the dog, Marcello acknowledged that he did not consider whether the attack was an allergic attack, verses another form of asthma incident. He also specifically stated that he never considered giving the decedent any medication to address an allergic reaction.”   </w:t>
      </w:r>
      <w:bookmarkEnd w:id="540"/>
      <w:r w:rsidRPr="006114FF">
        <w:rPr>
          <w:rFonts w:ascii="Times New Roman" w:hAnsi="Times New Roman"/>
          <w:sz w:val="24"/>
          <w:szCs w:val="24"/>
        </w:rPr>
        <w:t xml:space="preserve">The Court also noted poor affidavit from EMS Supervisor: </w:t>
      </w:r>
    </w:p>
    <w:p w14:paraId="24C715D7" w14:textId="530E7531" w:rsidR="00F326E5" w:rsidRPr="006114FF" w:rsidRDefault="00F326E5" w:rsidP="006114FF">
      <w:pPr>
        <w:ind w:left="720"/>
        <w:rPr>
          <w:rFonts w:ascii="Times New Roman" w:hAnsi="Times New Roman"/>
          <w:sz w:val="24"/>
          <w:szCs w:val="24"/>
        </w:rPr>
      </w:pPr>
      <w:r w:rsidRPr="006114FF">
        <w:rPr>
          <w:rFonts w:ascii="Times New Roman" w:hAnsi="Times New Roman"/>
          <w:sz w:val="24"/>
          <w:szCs w:val="24"/>
        </w:rPr>
        <w:t xml:space="preserve">“Despite acknowledging that ‘this action sounds in medical malpractice’ …, defendants do not submit a physician's or EMT expert affirmation specifically addressing the precise medical treatment rendered to the decedent. Instead, defendants rely upon the affidavit of an EMT Supervisor who offers generalized, conclusory statements to the effect that EMS protocols permit EMTs to exercise discretion, without ever </w:t>
      </w:r>
      <w:r w:rsidRPr="006114FF">
        <w:rPr>
          <w:rFonts w:ascii="Times New Roman" w:hAnsi="Times New Roman"/>
          <w:sz w:val="24"/>
          <w:szCs w:val="24"/>
        </w:rPr>
        <w:lastRenderedPageBreak/>
        <w:t xml:space="preserve">addressing any of the specifics of defendants' actions in this case. In fact, the specific protocols are not discussed or explained, the actual medical actions taken by the first responders are not delineated or compared to protocols, specific examples of acts of discretion by the first responders are not provided, and there is no express support for the medical care that was given.” </w:t>
      </w:r>
      <w:bookmarkStart w:id="541" w:name="_Hlk41154578"/>
      <w:r w:rsidR="00F37A4B">
        <w:fldChar w:fldCharType="begin"/>
      </w:r>
      <w:r w:rsidR="00F37A4B">
        <w:instrText xml:space="preserve"> HYPERLINK "https://law.justia.com/cases/new-york/other-courts/2018/2018-ny-slip-op-28264.html" </w:instrText>
      </w:r>
      <w:r w:rsidR="00F37A4B">
        <w:fldChar w:fldCharType="separate"/>
      </w:r>
      <w:r w:rsidRPr="006114FF">
        <w:rPr>
          <w:rStyle w:val="Hyperlink"/>
          <w:rFonts w:ascii="Times New Roman" w:hAnsi="Times New Roman"/>
          <w:sz w:val="24"/>
          <w:szCs w:val="24"/>
        </w:rPr>
        <w:t>https://law.justia.com/cases/new-york/other-courts/2018/2018-ny-slip-op-28264.html</w:t>
      </w:r>
      <w:r w:rsidR="00F37A4B">
        <w:rPr>
          <w:rStyle w:val="Hyperlink"/>
          <w:rFonts w:ascii="Times New Roman" w:hAnsi="Times New Roman"/>
          <w:sz w:val="24"/>
          <w:szCs w:val="24"/>
        </w:rPr>
        <w:fldChar w:fldCharType="end"/>
      </w:r>
      <w:r w:rsidRPr="006114FF">
        <w:rPr>
          <w:rFonts w:ascii="Times New Roman" w:hAnsi="Times New Roman"/>
          <w:sz w:val="24"/>
          <w:szCs w:val="24"/>
        </w:rPr>
        <w:t xml:space="preserve"> </w:t>
      </w:r>
    </w:p>
    <w:p w14:paraId="049DAAEE" w14:textId="77777777" w:rsidR="00F326E5" w:rsidRPr="006114FF" w:rsidRDefault="00F326E5" w:rsidP="00F326E5">
      <w:pPr>
        <w:pStyle w:val="Heading1"/>
        <w:rPr>
          <w:b w:val="0"/>
          <w:sz w:val="24"/>
          <w:szCs w:val="24"/>
        </w:rPr>
      </w:pPr>
      <w:r w:rsidRPr="006114FF">
        <w:rPr>
          <w:sz w:val="24"/>
          <w:szCs w:val="24"/>
        </w:rPr>
        <w:t xml:space="preserve">Legal Lessons Learned: Follow EMS </w:t>
      </w:r>
      <w:proofErr w:type="gramStart"/>
      <w:r w:rsidRPr="006114FF">
        <w:rPr>
          <w:sz w:val="24"/>
          <w:szCs w:val="24"/>
        </w:rPr>
        <w:t>protocol, or</w:t>
      </w:r>
      <w:proofErr w:type="gramEnd"/>
      <w:r w:rsidRPr="006114FF">
        <w:rPr>
          <w:sz w:val="24"/>
          <w:szCs w:val="24"/>
        </w:rPr>
        <w:t xml:space="preserve"> explain on EMS run report why the protocol was not followed. </w:t>
      </w:r>
    </w:p>
    <w:bookmarkEnd w:id="539"/>
    <w:bookmarkEnd w:id="541"/>
    <w:p w14:paraId="2FB32D6D" w14:textId="77777777" w:rsidR="00F326E5" w:rsidRDefault="00F326E5" w:rsidP="00F326E5">
      <w:pPr>
        <w:pStyle w:val="NoSpacing"/>
        <w:rPr>
          <w:rFonts w:ascii="Arial Black" w:hAnsi="Arial Black"/>
          <w:b/>
          <w:sz w:val="24"/>
          <w:szCs w:val="24"/>
        </w:rPr>
      </w:pPr>
    </w:p>
    <w:p w14:paraId="07E27496" w14:textId="77777777" w:rsidR="00F326E5" w:rsidRPr="00BE5483" w:rsidRDefault="00F326E5" w:rsidP="00F326E5">
      <w:pPr>
        <w:rPr>
          <w:b/>
          <w:sz w:val="24"/>
          <w:szCs w:val="24"/>
        </w:rPr>
      </w:pPr>
    </w:p>
    <w:p w14:paraId="2055BCF2" w14:textId="71659E16" w:rsidR="00DE0F03" w:rsidRDefault="00DE0F03" w:rsidP="00DE0F03">
      <w:pPr>
        <w:pStyle w:val="NoSpacing"/>
        <w:rPr>
          <w:rFonts w:ascii="Arial Black" w:hAnsi="Arial Black"/>
          <w:sz w:val="24"/>
          <w:szCs w:val="24"/>
        </w:rPr>
      </w:pPr>
      <w:r>
        <w:rPr>
          <w:rFonts w:ascii="Arial Black" w:hAnsi="Arial Black"/>
          <w:sz w:val="24"/>
          <w:szCs w:val="24"/>
        </w:rPr>
        <w:t>13-10</w:t>
      </w:r>
    </w:p>
    <w:p w14:paraId="159F44A2" w14:textId="77777777" w:rsidR="00F326E5" w:rsidRDefault="00F326E5" w:rsidP="00F326E5">
      <w:pPr>
        <w:pStyle w:val="NoSpacing"/>
        <w:rPr>
          <w:rFonts w:ascii="Arial Black" w:hAnsi="Arial Black"/>
          <w:b/>
          <w:sz w:val="24"/>
          <w:szCs w:val="24"/>
        </w:rPr>
      </w:pPr>
    </w:p>
    <w:p w14:paraId="1A18BFCA" w14:textId="77777777" w:rsidR="00F326E5" w:rsidRPr="00BE5483" w:rsidRDefault="00F326E5" w:rsidP="00F326E5">
      <w:pPr>
        <w:pStyle w:val="NoSpacing"/>
        <w:rPr>
          <w:rFonts w:ascii="Arial Black" w:hAnsi="Arial Black"/>
          <w:b/>
          <w:sz w:val="24"/>
          <w:szCs w:val="24"/>
        </w:rPr>
      </w:pPr>
    </w:p>
    <w:p w14:paraId="4282600E" w14:textId="4C86F806" w:rsidR="00F326E5" w:rsidRPr="00CA2809" w:rsidRDefault="00F326E5" w:rsidP="00F326E5">
      <w:pPr>
        <w:rPr>
          <w:rFonts w:eastAsia="Times New Roman"/>
          <w:b/>
          <w:sz w:val="24"/>
          <w:szCs w:val="24"/>
        </w:rPr>
      </w:pPr>
      <w:bookmarkStart w:id="542" w:name="_Hlk41154622"/>
      <w:bookmarkStart w:id="543" w:name="_Hlk7346894"/>
      <w:r w:rsidRPr="00BE5483">
        <w:rPr>
          <w:rFonts w:ascii="Arial Black" w:eastAsia="Times New Roman" w:hAnsi="Arial Black"/>
          <w:b/>
          <w:sz w:val="28"/>
          <w:szCs w:val="28"/>
        </w:rPr>
        <w:t>IN:</w:t>
      </w:r>
      <w:r>
        <w:rPr>
          <w:rFonts w:eastAsia="Times New Roman"/>
          <w:b/>
          <w:sz w:val="24"/>
          <w:szCs w:val="24"/>
        </w:rPr>
        <w:t xml:space="preserve"> </w:t>
      </w:r>
      <w:r>
        <w:rPr>
          <w:rFonts w:ascii="Arial Black" w:eastAsia="Times New Roman" w:hAnsi="Arial Black"/>
          <w:b/>
          <w:sz w:val="28"/>
          <w:szCs w:val="28"/>
        </w:rPr>
        <w:t>SEDATIVE FOR NAKED PATIENT RUNNING IN STREET – DIED -QUALIFIED IMMUNITY FOR EMS</w:t>
      </w:r>
    </w:p>
    <w:p w14:paraId="3FB1D2F8" w14:textId="0048CABA" w:rsidR="006114FF" w:rsidRDefault="00F326E5" w:rsidP="00F326E5">
      <w:pPr>
        <w:rPr>
          <w:rFonts w:ascii="Times New Roman" w:eastAsia="Times New Roman" w:hAnsi="Times New Roman"/>
          <w:sz w:val="24"/>
          <w:szCs w:val="24"/>
        </w:rPr>
      </w:pPr>
      <w:r w:rsidRPr="006114FF">
        <w:rPr>
          <w:rFonts w:ascii="Times New Roman" w:eastAsia="Times New Roman" w:hAnsi="Times New Roman"/>
          <w:sz w:val="24"/>
          <w:szCs w:val="24"/>
        </w:rPr>
        <w:t xml:space="preserve">On Aug. 14, 2018, in </w:t>
      </w:r>
      <w:r w:rsidRPr="006114FF">
        <w:rPr>
          <w:rFonts w:ascii="Times New Roman" w:eastAsia="Times New Roman" w:hAnsi="Times New Roman"/>
          <w:sz w:val="24"/>
          <w:szCs w:val="24"/>
          <w:u w:val="single"/>
        </w:rPr>
        <w:t>Billie Thompson v. Lance Cope</w:t>
      </w:r>
      <w:r w:rsidRPr="006114FF">
        <w:rPr>
          <w:rFonts w:ascii="Times New Roman" w:eastAsia="Times New Roman" w:hAnsi="Times New Roman"/>
          <w:sz w:val="24"/>
          <w:szCs w:val="24"/>
        </w:rPr>
        <w:t xml:space="preserve"> , 7</w:t>
      </w:r>
      <w:r w:rsidRPr="006114FF">
        <w:rPr>
          <w:rFonts w:ascii="Times New Roman" w:eastAsia="Times New Roman" w:hAnsi="Times New Roman"/>
          <w:sz w:val="24"/>
          <w:szCs w:val="24"/>
          <w:vertAlign w:val="superscript"/>
        </w:rPr>
        <w:t>th</w:t>
      </w:r>
      <w:r w:rsidRPr="006114FF">
        <w:rPr>
          <w:rFonts w:ascii="Times New Roman" w:eastAsia="Times New Roman" w:hAnsi="Times New Roman"/>
          <w:sz w:val="24"/>
          <w:szCs w:val="24"/>
        </w:rPr>
        <w:t xml:space="preserve"> Circuit, the Court </w:t>
      </w:r>
      <w:proofErr w:type="gramStart"/>
      <w:r w:rsidRPr="006114FF">
        <w:rPr>
          <w:rFonts w:ascii="Times New Roman" w:eastAsia="Times New Roman" w:hAnsi="Times New Roman"/>
          <w:sz w:val="24"/>
          <w:szCs w:val="24"/>
        </w:rPr>
        <w:t>held</w:t>
      </w:r>
      <w:proofErr w:type="gramEnd"/>
      <w:r w:rsidRPr="006114FF">
        <w:rPr>
          <w:rFonts w:ascii="Times New Roman" w:eastAsia="Times New Roman" w:hAnsi="Times New Roman"/>
          <w:sz w:val="24"/>
          <w:szCs w:val="24"/>
        </w:rPr>
        <w:t xml:space="preserve"> (3 to 0), </w:t>
      </w:r>
    </w:p>
    <w:p w14:paraId="408B427C" w14:textId="51B59F6C" w:rsidR="00F326E5" w:rsidRPr="006114FF" w:rsidRDefault="00F326E5" w:rsidP="006114FF">
      <w:pPr>
        <w:ind w:left="720"/>
        <w:rPr>
          <w:rFonts w:ascii="Times New Roman" w:eastAsia="Times New Roman" w:hAnsi="Times New Roman"/>
          <w:b/>
          <w:sz w:val="24"/>
          <w:szCs w:val="24"/>
        </w:rPr>
      </w:pPr>
      <w:r w:rsidRPr="006114FF">
        <w:rPr>
          <w:rFonts w:ascii="Times New Roman" w:eastAsia="Times New Roman" w:hAnsi="Times New Roman"/>
          <w:sz w:val="24"/>
          <w:szCs w:val="24"/>
        </w:rPr>
        <w:t xml:space="preserve">“The paramedic is entitled to qualified immunity on the excessive force claim. Case law did not (and does not) clearly establish that a paramedic can violate a patient-arrestee’s Fourth Amendment rights by exercising medical judgment to administer a sedative in a medical </w:t>
      </w:r>
      <w:proofErr w:type="gramStart"/>
      <w:r w:rsidRPr="006114FF">
        <w:rPr>
          <w:rFonts w:ascii="Times New Roman" w:eastAsia="Times New Roman" w:hAnsi="Times New Roman"/>
          <w:sz w:val="24"/>
          <w:szCs w:val="24"/>
        </w:rPr>
        <w:t>emergency.”</w:t>
      </w:r>
      <w:proofErr w:type="gramEnd"/>
      <w:r w:rsidRPr="006114FF">
        <w:rPr>
          <w:rFonts w:ascii="Times New Roman" w:eastAsia="Times New Roman" w:hAnsi="Times New Roman"/>
          <w:sz w:val="24"/>
          <w:szCs w:val="24"/>
        </w:rPr>
        <w:t xml:space="preserve">  Indianapolis police called EMS to help with person found naked, running in street, high on amphetamines, and combative.  EMS administered a sedative; patient died 8-days later.  </w:t>
      </w:r>
      <w:hyperlink r:id="rId2411" w:history="1">
        <w:r w:rsidRPr="006114FF">
          <w:rPr>
            <w:rStyle w:val="Hyperlink"/>
            <w:rFonts w:ascii="Times New Roman" w:hAnsi="Times New Roman"/>
            <w:sz w:val="24"/>
            <w:szCs w:val="24"/>
          </w:rPr>
          <w:t>https://cases.justia.com/federal/appellate-courts/ca7/17-3060/17-3060-2018-08-14.pdf?ts=1534262420</w:t>
        </w:r>
      </w:hyperlink>
      <w:r w:rsidRPr="006114FF">
        <w:rPr>
          <w:rFonts w:ascii="Times New Roman" w:eastAsia="Times New Roman" w:hAnsi="Times New Roman"/>
          <w:b/>
          <w:sz w:val="24"/>
          <w:szCs w:val="24"/>
        </w:rPr>
        <w:t xml:space="preserve"> </w:t>
      </w:r>
    </w:p>
    <w:p w14:paraId="39827241" w14:textId="77777777" w:rsidR="00F326E5" w:rsidRPr="006114FF" w:rsidRDefault="00F326E5" w:rsidP="00F326E5">
      <w:pPr>
        <w:rPr>
          <w:rFonts w:ascii="Times New Roman" w:eastAsia="Times New Roman" w:hAnsi="Times New Roman"/>
          <w:b/>
          <w:sz w:val="24"/>
          <w:szCs w:val="24"/>
        </w:rPr>
      </w:pPr>
      <w:r w:rsidRPr="006114FF">
        <w:rPr>
          <w:rFonts w:ascii="Times New Roman" w:eastAsia="Times New Roman" w:hAnsi="Times New Roman"/>
          <w:b/>
          <w:sz w:val="24"/>
          <w:szCs w:val="24"/>
        </w:rPr>
        <w:t xml:space="preserve">Legal Lessons Learned: Qualified Immunity protects police, fire, EMS personnel from personal liability.   </w:t>
      </w:r>
    </w:p>
    <w:p w14:paraId="4D673270" w14:textId="66734710" w:rsidR="00F326E5" w:rsidRPr="006114FF" w:rsidRDefault="00F326E5" w:rsidP="00F326E5">
      <w:pPr>
        <w:ind w:left="720"/>
        <w:rPr>
          <w:rFonts w:ascii="Times New Roman" w:eastAsia="Times New Roman" w:hAnsi="Times New Roman"/>
          <w:sz w:val="24"/>
          <w:szCs w:val="24"/>
        </w:rPr>
      </w:pPr>
      <w:r w:rsidRPr="006114FF">
        <w:rPr>
          <w:rFonts w:ascii="Times New Roman" w:eastAsia="Times New Roman" w:hAnsi="Times New Roman"/>
          <w:sz w:val="24"/>
          <w:szCs w:val="24"/>
        </w:rPr>
        <w:t xml:space="preserve">See also U.S. Supreme Court’s </w:t>
      </w:r>
      <w:r w:rsidRPr="006114FF">
        <w:rPr>
          <w:rFonts w:ascii="Times New Roman" w:hAnsi="Times New Roman"/>
          <w:sz w:val="24"/>
          <w:szCs w:val="24"/>
        </w:rPr>
        <w:t xml:space="preserve">Jan. 7, </w:t>
      </w:r>
      <w:proofErr w:type="gramStart"/>
      <w:r w:rsidRPr="006114FF">
        <w:rPr>
          <w:rFonts w:ascii="Times New Roman" w:hAnsi="Times New Roman"/>
          <w:sz w:val="24"/>
          <w:szCs w:val="24"/>
        </w:rPr>
        <w:t>2019</w:t>
      </w:r>
      <w:proofErr w:type="gramEnd"/>
      <w:r w:rsidRPr="006114FF">
        <w:rPr>
          <w:rFonts w:ascii="Times New Roman" w:hAnsi="Times New Roman"/>
          <w:sz w:val="24"/>
          <w:szCs w:val="24"/>
        </w:rPr>
        <w:t xml:space="preserve"> decision, in </w:t>
      </w:r>
      <w:r w:rsidRPr="006114FF">
        <w:rPr>
          <w:rFonts w:ascii="Times New Roman" w:hAnsi="Times New Roman"/>
          <w:sz w:val="24"/>
          <w:szCs w:val="24"/>
          <w:u w:val="single"/>
        </w:rPr>
        <w:t>City of Escondido, California v. Mart Emmons</w:t>
      </w:r>
      <w:r w:rsidRPr="006114FF">
        <w:rPr>
          <w:rFonts w:ascii="Times New Roman" w:hAnsi="Times New Roman"/>
          <w:sz w:val="24"/>
          <w:szCs w:val="24"/>
        </w:rPr>
        <w:t>, (9 to 0), in a per curiam decision [not authored by a specific Justice], reversed the 9</w:t>
      </w:r>
      <w:r w:rsidRPr="006114FF">
        <w:rPr>
          <w:rFonts w:ascii="Times New Roman" w:hAnsi="Times New Roman"/>
          <w:sz w:val="24"/>
          <w:szCs w:val="24"/>
          <w:vertAlign w:val="superscript"/>
        </w:rPr>
        <w:t>th</w:t>
      </w:r>
      <w:r w:rsidRPr="006114FF">
        <w:rPr>
          <w:rFonts w:ascii="Times New Roman" w:hAnsi="Times New Roman"/>
          <w:sz w:val="24"/>
          <w:szCs w:val="24"/>
        </w:rPr>
        <w:t xml:space="preserve"> Circuit without the need to even hear oral argument.  The Court held: “</w:t>
      </w:r>
      <w:r w:rsidRPr="006114FF">
        <w:rPr>
          <w:rFonts w:ascii="Times New Roman" w:eastAsia="Times New Roman" w:hAnsi="Times New Roman"/>
          <w:sz w:val="24"/>
          <w:szCs w:val="24"/>
        </w:rPr>
        <w:t xml:space="preserve">As to Officer Craig, the Ninth Circuit also erred. As we have explained many times: ‘Qualified immunity attaches when an official’s conduct does not violate clearly established statutory or constitutional rights of which a reasonable person would have known.’” </w:t>
      </w:r>
      <w:hyperlink r:id="rId2412" w:history="1">
        <w:r w:rsidRPr="006114FF">
          <w:rPr>
            <w:rStyle w:val="Hyperlink"/>
            <w:rFonts w:ascii="Times New Roman" w:hAnsi="Times New Roman"/>
            <w:sz w:val="24"/>
            <w:szCs w:val="24"/>
          </w:rPr>
          <w:t>https://www.supremecourt.gov/opinions/18pdf/17-1660_5ifl.pdf</w:t>
        </w:r>
      </w:hyperlink>
      <w:r w:rsidRPr="006114FF">
        <w:rPr>
          <w:rFonts w:ascii="Times New Roman" w:eastAsia="Times New Roman" w:hAnsi="Times New Roman"/>
          <w:sz w:val="24"/>
          <w:szCs w:val="24"/>
        </w:rPr>
        <w:t xml:space="preserve"> </w:t>
      </w:r>
    </w:p>
    <w:bookmarkEnd w:id="542"/>
    <w:p w14:paraId="6F7A1A89" w14:textId="77777777" w:rsidR="00536545" w:rsidRPr="00BE5483" w:rsidRDefault="00536545" w:rsidP="00F326E5">
      <w:pPr>
        <w:ind w:left="720"/>
        <w:rPr>
          <w:rFonts w:eastAsia="Times New Roman"/>
          <w:sz w:val="24"/>
          <w:szCs w:val="24"/>
        </w:rPr>
      </w:pPr>
    </w:p>
    <w:p w14:paraId="0B06C962" w14:textId="77777777" w:rsidR="00F326E5" w:rsidRPr="00CA2809" w:rsidRDefault="00F326E5" w:rsidP="00F326E5">
      <w:pPr>
        <w:rPr>
          <w:b/>
          <w:sz w:val="24"/>
          <w:szCs w:val="24"/>
        </w:rPr>
      </w:pPr>
    </w:p>
    <w:bookmarkEnd w:id="543"/>
    <w:p w14:paraId="4C3FFA8B" w14:textId="15E8D590" w:rsidR="00DE0F03" w:rsidRDefault="00DE0F03" w:rsidP="00DE0F03">
      <w:pPr>
        <w:pStyle w:val="NoSpacing"/>
        <w:rPr>
          <w:rFonts w:ascii="Arial Black" w:hAnsi="Arial Black"/>
          <w:sz w:val="24"/>
          <w:szCs w:val="24"/>
        </w:rPr>
      </w:pPr>
      <w:r>
        <w:rPr>
          <w:rFonts w:ascii="Arial Black" w:hAnsi="Arial Black"/>
          <w:sz w:val="24"/>
          <w:szCs w:val="24"/>
        </w:rPr>
        <w:t>13-9</w:t>
      </w:r>
    </w:p>
    <w:p w14:paraId="1E686E26" w14:textId="77777777" w:rsidR="00F326E5" w:rsidRDefault="00F326E5" w:rsidP="00F326E5">
      <w:pPr>
        <w:pStyle w:val="NoSpacing"/>
        <w:rPr>
          <w:b/>
          <w:sz w:val="24"/>
          <w:szCs w:val="24"/>
        </w:rPr>
      </w:pPr>
    </w:p>
    <w:p w14:paraId="27566E77" w14:textId="70E5C9B4" w:rsidR="00F326E5" w:rsidRPr="0002048B" w:rsidRDefault="00F326E5" w:rsidP="00F326E5">
      <w:pPr>
        <w:pStyle w:val="NoSpacing"/>
        <w:rPr>
          <w:b/>
          <w:sz w:val="24"/>
          <w:szCs w:val="24"/>
        </w:rPr>
      </w:pPr>
      <w:bookmarkStart w:id="544" w:name="_Hlk41154698"/>
      <w:bookmarkStart w:id="545" w:name="_Hlk7346941"/>
      <w:r w:rsidRPr="00C17E65">
        <w:rPr>
          <w:rFonts w:ascii="Arial Black" w:hAnsi="Arial Black"/>
          <w:b/>
          <w:sz w:val="28"/>
          <w:szCs w:val="28"/>
        </w:rPr>
        <w:t xml:space="preserve">OH: DYING DECLARATION </w:t>
      </w:r>
      <w:r>
        <w:rPr>
          <w:rFonts w:ascii="Arial Black" w:hAnsi="Arial Black"/>
          <w:b/>
          <w:sz w:val="28"/>
          <w:szCs w:val="28"/>
        </w:rPr>
        <w:t xml:space="preserve">BY VICTIM </w:t>
      </w:r>
      <w:r w:rsidRPr="00C17E65">
        <w:rPr>
          <w:rFonts w:ascii="Arial Black" w:hAnsi="Arial Black"/>
          <w:b/>
          <w:sz w:val="28"/>
          <w:szCs w:val="28"/>
        </w:rPr>
        <w:t>IN BACK OF AMBULANCE ADMISSIBLE IN MURDER TRIAL</w:t>
      </w:r>
      <w:r>
        <w:rPr>
          <w:rFonts w:ascii="Arial Black" w:hAnsi="Arial Black"/>
          <w:b/>
          <w:sz w:val="24"/>
          <w:szCs w:val="24"/>
        </w:rPr>
        <w:t xml:space="preserve"> </w:t>
      </w:r>
      <w:r w:rsidRPr="00C17E65">
        <w:rPr>
          <w:sz w:val="24"/>
          <w:szCs w:val="24"/>
        </w:rPr>
        <w:t>[also filed Chap. 1]</w:t>
      </w:r>
    </w:p>
    <w:p w14:paraId="39D889B9" w14:textId="77777777" w:rsidR="00F326E5" w:rsidRPr="006114FF" w:rsidRDefault="00F326E5" w:rsidP="00F326E5">
      <w:pPr>
        <w:rPr>
          <w:rFonts w:ascii="Times New Roman" w:eastAsia="Times New Roman" w:hAnsi="Times New Roman"/>
          <w:sz w:val="24"/>
          <w:szCs w:val="24"/>
        </w:rPr>
      </w:pPr>
      <w:r w:rsidRPr="006114FF">
        <w:rPr>
          <w:rFonts w:ascii="Times New Roman" w:hAnsi="Times New Roman"/>
          <w:sz w:val="24"/>
          <w:szCs w:val="24"/>
        </w:rPr>
        <w:t xml:space="preserve">On July 25, 2018, in </w:t>
      </w:r>
      <w:r w:rsidRPr="006114FF">
        <w:rPr>
          <w:rFonts w:ascii="Times New Roman" w:eastAsia="Times New Roman" w:hAnsi="Times New Roman"/>
          <w:sz w:val="24"/>
          <w:szCs w:val="24"/>
          <w:u w:val="single"/>
        </w:rPr>
        <w:t>State v. Fred Taylor</w:t>
      </w:r>
      <w:r w:rsidRPr="006114FF">
        <w:rPr>
          <w:rFonts w:ascii="Times New Roman" w:eastAsia="Times New Roman" w:hAnsi="Times New Roman"/>
          <w:sz w:val="24"/>
          <w:szCs w:val="24"/>
        </w:rPr>
        <w:t xml:space="preserve">, 2018-Ohio-2921, the Ohio Court of Appeals for Summit County, upheld (3 to 0) his conviction of felony murder of Javon Knaff.   </w:t>
      </w:r>
    </w:p>
    <w:p w14:paraId="7AD577E9" w14:textId="648FE652" w:rsidR="00F326E5" w:rsidRPr="006114FF" w:rsidRDefault="00F326E5" w:rsidP="006114FF">
      <w:pPr>
        <w:ind w:left="720"/>
        <w:rPr>
          <w:rFonts w:ascii="Times New Roman" w:eastAsia="Times New Roman" w:hAnsi="Times New Roman"/>
          <w:sz w:val="24"/>
          <w:szCs w:val="24"/>
        </w:rPr>
      </w:pPr>
      <w:r w:rsidRPr="006114FF">
        <w:rPr>
          <w:rFonts w:ascii="Times New Roman" w:eastAsia="Times New Roman" w:hAnsi="Times New Roman"/>
          <w:sz w:val="24"/>
          <w:szCs w:val="24"/>
        </w:rPr>
        <w:lastRenderedPageBreak/>
        <w:t>“Mr. Knaff’s repeated statements concerning the fact that he was dying, coupled with the severity of his condition, demonstrate his awareness of his impending death at the time that he stated, ‘Fred shot [me].’ Consequently, this statement was admissible as a dying declaration.”</w:t>
      </w:r>
      <w:r w:rsidR="006114FF">
        <w:rPr>
          <w:rFonts w:ascii="Times New Roman" w:eastAsia="Times New Roman" w:hAnsi="Times New Roman"/>
          <w:sz w:val="24"/>
          <w:szCs w:val="24"/>
        </w:rPr>
        <w:t xml:space="preserve"> </w:t>
      </w:r>
      <w:hyperlink r:id="rId2413" w:history="1">
        <w:r w:rsidRPr="006114FF">
          <w:rPr>
            <w:rStyle w:val="Hyperlink"/>
            <w:rFonts w:ascii="Times New Roman" w:hAnsi="Times New Roman"/>
            <w:sz w:val="24"/>
            <w:szCs w:val="24"/>
          </w:rPr>
          <w:t>https://cases.justia.com/ohio/ninth-district-court-of-appeals/2018-28746.pdf?ts=1532525904</w:t>
        </w:r>
      </w:hyperlink>
      <w:r w:rsidRPr="006114FF">
        <w:rPr>
          <w:rFonts w:ascii="Times New Roman" w:eastAsia="Times New Roman" w:hAnsi="Times New Roman"/>
          <w:sz w:val="24"/>
          <w:szCs w:val="24"/>
        </w:rPr>
        <w:t xml:space="preserve"> </w:t>
      </w:r>
    </w:p>
    <w:p w14:paraId="6A662AF1" w14:textId="77777777" w:rsidR="00F326E5" w:rsidRPr="006114FF" w:rsidRDefault="00F326E5" w:rsidP="00F326E5">
      <w:pPr>
        <w:rPr>
          <w:rFonts w:ascii="Times New Roman" w:hAnsi="Times New Roman"/>
          <w:b/>
          <w:sz w:val="24"/>
          <w:szCs w:val="24"/>
        </w:rPr>
      </w:pPr>
      <w:r w:rsidRPr="006114FF">
        <w:rPr>
          <w:rFonts w:ascii="Times New Roman" w:hAnsi="Times New Roman"/>
          <w:b/>
          <w:sz w:val="24"/>
          <w:szCs w:val="24"/>
        </w:rPr>
        <w:t xml:space="preserve">Legal Lessons Learned:  Document on your EMS run report the actual words spoken by the patient; a “dying declaration” is admissible in evidence.   Recording the comments on your run report can help prosecution reach a plea agreement. </w:t>
      </w:r>
    </w:p>
    <w:bookmarkEnd w:id="544"/>
    <w:p w14:paraId="039DECD5" w14:textId="77777777" w:rsidR="00DE0F03" w:rsidRDefault="00DE0F03" w:rsidP="00DE0F03">
      <w:pPr>
        <w:pStyle w:val="NoSpacing"/>
        <w:rPr>
          <w:rFonts w:ascii="Arial Black" w:hAnsi="Arial Black"/>
          <w:sz w:val="24"/>
          <w:szCs w:val="24"/>
        </w:rPr>
      </w:pPr>
    </w:p>
    <w:p w14:paraId="1C67915A" w14:textId="77777777" w:rsidR="00DE0F03" w:rsidRDefault="00DE0F03" w:rsidP="00DE0F03">
      <w:pPr>
        <w:pStyle w:val="NoSpacing"/>
        <w:rPr>
          <w:rFonts w:ascii="Arial Black" w:hAnsi="Arial Black"/>
          <w:sz w:val="24"/>
          <w:szCs w:val="24"/>
        </w:rPr>
      </w:pPr>
    </w:p>
    <w:p w14:paraId="6C8A3EC8" w14:textId="5C935D1A" w:rsidR="00F326E5" w:rsidRDefault="00DE0F03" w:rsidP="00DE0F03">
      <w:pPr>
        <w:pStyle w:val="NoSpacing"/>
        <w:rPr>
          <w:rFonts w:ascii="Arial Black" w:hAnsi="Arial Black"/>
          <w:sz w:val="24"/>
          <w:szCs w:val="24"/>
        </w:rPr>
      </w:pPr>
      <w:r>
        <w:rPr>
          <w:rFonts w:ascii="Arial Black" w:hAnsi="Arial Black"/>
          <w:sz w:val="24"/>
          <w:szCs w:val="24"/>
        </w:rPr>
        <w:t>13-8</w:t>
      </w:r>
    </w:p>
    <w:p w14:paraId="42FCE522" w14:textId="77777777" w:rsidR="00DE0F03" w:rsidRDefault="00DE0F03" w:rsidP="00DE0F03">
      <w:pPr>
        <w:pStyle w:val="NoSpacing"/>
        <w:rPr>
          <w:rFonts w:eastAsia="Times New Roman"/>
          <w:sz w:val="25"/>
          <w:szCs w:val="25"/>
        </w:rPr>
      </w:pPr>
    </w:p>
    <w:p w14:paraId="56A2135A" w14:textId="3A780231" w:rsidR="00DA4990" w:rsidRPr="008A5B80" w:rsidRDefault="00DA4990" w:rsidP="00DA4990">
      <w:pPr>
        <w:pStyle w:val="NoSpacing"/>
        <w:rPr>
          <w:rFonts w:ascii="Arial Black" w:hAnsi="Arial Black"/>
          <w:sz w:val="24"/>
          <w:szCs w:val="24"/>
        </w:rPr>
      </w:pPr>
      <w:bookmarkStart w:id="546" w:name="_Hlk7347158"/>
      <w:bookmarkEnd w:id="545"/>
      <w:r w:rsidRPr="00732C84">
        <w:rPr>
          <w:rFonts w:ascii="Arial Black" w:hAnsi="Arial Black"/>
          <w:b/>
          <w:sz w:val="28"/>
          <w:szCs w:val="28"/>
        </w:rPr>
        <w:t xml:space="preserve">LA: </w:t>
      </w:r>
      <w:r>
        <w:rPr>
          <w:rFonts w:ascii="Arial Black" w:hAnsi="Arial Black"/>
          <w:b/>
          <w:sz w:val="28"/>
          <w:szCs w:val="28"/>
        </w:rPr>
        <w:t xml:space="preserve">FREE SPEECH CASE NOT DISMISSED - TWO PARAMEDICS FIRED AFTER LETTER TO BOARD ABOUT MGT </w:t>
      </w:r>
      <w:r w:rsidRPr="008A5B80">
        <w:rPr>
          <w:sz w:val="24"/>
          <w:szCs w:val="24"/>
        </w:rPr>
        <w:t xml:space="preserve">[also filed, Chap. </w:t>
      </w:r>
      <w:r>
        <w:rPr>
          <w:sz w:val="24"/>
          <w:szCs w:val="24"/>
        </w:rPr>
        <w:t>6</w:t>
      </w:r>
      <w:r w:rsidRPr="008A5B80">
        <w:rPr>
          <w:sz w:val="24"/>
          <w:szCs w:val="24"/>
        </w:rPr>
        <w:t>]</w:t>
      </w:r>
    </w:p>
    <w:p w14:paraId="22CD49E7" w14:textId="77777777" w:rsidR="00DA4990" w:rsidRDefault="00DA4990" w:rsidP="00DA4990">
      <w:pPr>
        <w:pStyle w:val="NoSpacing"/>
        <w:rPr>
          <w:b/>
          <w:sz w:val="24"/>
          <w:szCs w:val="24"/>
        </w:rPr>
      </w:pPr>
    </w:p>
    <w:p w14:paraId="1A052ED3" w14:textId="77777777" w:rsidR="006114FF" w:rsidRDefault="00DA4990" w:rsidP="006114FF">
      <w:pPr>
        <w:rPr>
          <w:rFonts w:ascii="Times New Roman" w:hAnsi="Times New Roman"/>
          <w:sz w:val="24"/>
          <w:szCs w:val="24"/>
        </w:rPr>
      </w:pPr>
      <w:r w:rsidRPr="006114FF">
        <w:rPr>
          <w:rFonts w:ascii="Times New Roman" w:hAnsi="Times New Roman"/>
          <w:sz w:val="24"/>
          <w:szCs w:val="24"/>
        </w:rPr>
        <w:t xml:space="preserve">On July 18, 2018, in </w:t>
      </w:r>
      <w:r w:rsidRPr="006114FF">
        <w:rPr>
          <w:rFonts w:ascii="Times New Roman" w:hAnsi="Times New Roman"/>
          <w:sz w:val="24"/>
          <w:szCs w:val="24"/>
          <w:u w:val="single"/>
        </w:rPr>
        <w:t>Patrick Alan Benfield &amp; Brian Warren v. Joe Magee, et al</w:t>
      </w:r>
      <w:r w:rsidRPr="006114FF">
        <w:rPr>
          <w:rFonts w:ascii="Times New Roman" w:hAnsi="Times New Roman"/>
          <w:sz w:val="24"/>
          <w:szCs w:val="24"/>
        </w:rPr>
        <w:t xml:space="preserve">., U.S. District Court Judge Elizabeth Foote, Western District of Louisiana, held that a lawsuit by two paramedics fired by Desoto Parish EMS may proceed to trial.  They were fired after Warren wrote a letter to a member of the Desoto Parish Police Jury (they </w:t>
      </w:r>
      <w:proofErr w:type="gramStart"/>
      <w:r w:rsidRPr="006114FF">
        <w:rPr>
          <w:rFonts w:ascii="Times New Roman" w:hAnsi="Times New Roman"/>
          <w:sz w:val="24"/>
          <w:szCs w:val="24"/>
        </w:rPr>
        <w:t>appoint</w:t>
      </w:r>
      <w:proofErr w:type="gramEnd"/>
      <w:r w:rsidRPr="006114FF">
        <w:rPr>
          <w:rFonts w:ascii="Times New Roman" w:hAnsi="Times New Roman"/>
          <w:sz w:val="24"/>
          <w:szCs w:val="24"/>
        </w:rPr>
        <w:t xml:space="preserve"> the Board of Commissioners of the Desoto Parish EMS).   The Judge ruled: </w:t>
      </w:r>
    </w:p>
    <w:p w14:paraId="08727202" w14:textId="00DA1F5E" w:rsidR="00DA4990" w:rsidRPr="006114FF" w:rsidRDefault="00DA4990" w:rsidP="00BC17B3">
      <w:pPr>
        <w:ind w:left="720"/>
        <w:rPr>
          <w:rFonts w:ascii="Times New Roman" w:hAnsi="Times New Roman"/>
          <w:sz w:val="24"/>
          <w:szCs w:val="24"/>
        </w:rPr>
      </w:pPr>
      <w:r w:rsidRPr="006114FF">
        <w:rPr>
          <w:rFonts w:ascii="Times New Roman" w:hAnsi="Times New Roman"/>
          <w:sz w:val="24"/>
          <w:szCs w:val="24"/>
        </w:rPr>
        <w:t xml:space="preserve">“The motion [to dismiss] is DENIED as to Warren’s free speech claim because the facts alleged establish that his letter was protected speech.”  </w:t>
      </w:r>
      <w:hyperlink r:id="rId2414" w:history="1">
        <w:r w:rsidRPr="006114FF">
          <w:rPr>
            <w:rStyle w:val="Hyperlink"/>
            <w:rFonts w:ascii="Times New Roman" w:hAnsi="Times New Roman"/>
            <w:sz w:val="24"/>
            <w:szCs w:val="24"/>
          </w:rPr>
          <w:t>https://cases.justia.com/federal/district-courts/louisiana/lawdce/5:2018cv00034/160852/18/0.pdf?ts=1532079100</w:t>
        </w:r>
      </w:hyperlink>
    </w:p>
    <w:p w14:paraId="298C6974" w14:textId="77777777" w:rsidR="00DA4990" w:rsidRPr="006114FF" w:rsidRDefault="00DA4990" w:rsidP="00DA4990">
      <w:pPr>
        <w:rPr>
          <w:rFonts w:ascii="Times New Roman" w:hAnsi="Times New Roman"/>
          <w:b/>
          <w:sz w:val="24"/>
          <w:szCs w:val="24"/>
        </w:rPr>
      </w:pPr>
      <w:r w:rsidRPr="006114FF">
        <w:rPr>
          <w:rFonts w:ascii="Times New Roman" w:hAnsi="Times New Roman"/>
          <w:b/>
          <w:sz w:val="24"/>
          <w:szCs w:val="24"/>
        </w:rPr>
        <w:t xml:space="preserve">Legal Lessons Learned: First Amendment </w:t>
      </w:r>
      <w:proofErr w:type="gramStart"/>
      <w:r w:rsidRPr="006114FF">
        <w:rPr>
          <w:rFonts w:ascii="Times New Roman" w:hAnsi="Times New Roman"/>
          <w:b/>
          <w:sz w:val="24"/>
          <w:szCs w:val="24"/>
        </w:rPr>
        <w:t>free speech</w:t>
      </w:r>
      <w:proofErr w:type="gramEnd"/>
      <w:r w:rsidRPr="006114FF">
        <w:rPr>
          <w:rFonts w:ascii="Times New Roman" w:hAnsi="Times New Roman"/>
          <w:b/>
          <w:sz w:val="24"/>
          <w:szCs w:val="24"/>
        </w:rPr>
        <w:t xml:space="preserve"> cases are </w:t>
      </w:r>
      <w:proofErr w:type="gramStart"/>
      <w:r w:rsidRPr="006114FF">
        <w:rPr>
          <w:rFonts w:ascii="Times New Roman" w:hAnsi="Times New Roman"/>
          <w:b/>
          <w:sz w:val="24"/>
          <w:szCs w:val="24"/>
        </w:rPr>
        <w:t>increasing</w:t>
      </w:r>
      <w:proofErr w:type="gramEnd"/>
      <w:r w:rsidRPr="006114FF">
        <w:rPr>
          <w:rFonts w:ascii="Times New Roman" w:hAnsi="Times New Roman"/>
          <w:b/>
          <w:sz w:val="24"/>
          <w:szCs w:val="24"/>
        </w:rPr>
        <w:t xml:space="preserve"> </w:t>
      </w:r>
      <w:proofErr w:type="gramStart"/>
      <w:r w:rsidRPr="006114FF">
        <w:rPr>
          <w:rFonts w:ascii="Times New Roman" w:hAnsi="Times New Roman"/>
          <w:b/>
          <w:sz w:val="24"/>
          <w:szCs w:val="24"/>
        </w:rPr>
        <w:t>being permitted</w:t>
      </w:r>
      <w:proofErr w:type="gramEnd"/>
      <w:r w:rsidRPr="006114FF">
        <w:rPr>
          <w:rFonts w:ascii="Times New Roman" w:hAnsi="Times New Roman"/>
          <w:b/>
          <w:sz w:val="24"/>
          <w:szCs w:val="24"/>
        </w:rPr>
        <w:t xml:space="preserve"> to go to the jury.  Fire &amp; EMS Departments should thoroughly document reasons for termination, including employees who serve “at will.”</w:t>
      </w:r>
    </w:p>
    <w:bookmarkEnd w:id="546"/>
    <w:p w14:paraId="04D8F5AE" w14:textId="77777777" w:rsidR="00BC17B3" w:rsidRDefault="00BC17B3" w:rsidP="00DE0F03">
      <w:pPr>
        <w:pStyle w:val="NoSpacing"/>
        <w:rPr>
          <w:rFonts w:ascii="Arial Black" w:hAnsi="Arial Black"/>
          <w:sz w:val="24"/>
          <w:szCs w:val="24"/>
        </w:rPr>
      </w:pPr>
    </w:p>
    <w:p w14:paraId="746CA2B1" w14:textId="4A60F662" w:rsidR="00DE0F03" w:rsidRDefault="00DE0F03" w:rsidP="00DE0F03">
      <w:pPr>
        <w:pStyle w:val="NoSpacing"/>
        <w:rPr>
          <w:rFonts w:ascii="Arial Black" w:hAnsi="Arial Black"/>
          <w:sz w:val="24"/>
          <w:szCs w:val="24"/>
        </w:rPr>
      </w:pPr>
      <w:r>
        <w:rPr>
          <w:rFonts w:ascii="Arial Black" w:hAnsi="Arial Black"/>
          <w:sz w:val="24"/>
          <w:szCs w:val="24"/>
        </w:rPr>
        <w:t>13-7</w:t>
      </w:r>
    </w:p>
    <w:p w14:paraId="3FDB1CEF" w14:textId="77777777" w:rsidR="00DA4990" w:rsidRDefault="00DA4990" w:rsidP="00F326E5">
      <w:pPr>
        <w:pStyle w:val="NoSpacing"/>
        <w:rPr>
          <w:sz w:val="24"/>
          <w:szCs w:val="24"/>
        </w:rPr>
      </w:pPr>
    </w:p>
    <w:p w14:paraId="31735E12" w14:textId="28F8D8C2" w:rsidR="00F326E5" w:rsidRDefault="00F326E5" w:rsidP="00F326E5">
      <w:pPr>
        <w:pStyle w:val="NoSpacing"/>
        <w:rPr>
          <w:rFonts w:ascii="Arial Black" w:hAnsi="Arial Black"/>
          <w:b/>
          <w:sz w:val="24"/>
          <w:szCs w:val="24"/>
        </w:rPr>
      </w:pPr>
      <w:bookmarkStart w:id="547" w:name="_Hlk7347202"/>
      <w:r w:rsidRPr="00C17E65">
        <w:rPr>
          <w:rFonts w:ascii="Arial Black" w:hAnsi="Arial Black"/>
          <w:b/>
          <w:sz w:val="28"/>
          <w:szCs w:val="28"/>
        </w:rPr>
        <w:t>KY: EMT WHISTLEBLOWER</w:t>
      </w:r>
      <w:r w:rsidR="00DA4990">
        <w:rPr>
          <w:rFonts w:ascii="Arial Black" w:hAnsi="Arial Black"/>
          <w:b/>
          <w:sz w:val="28"/>
          <w:szCs w:val="28"/>
        </w:rPr>
        <w:t xml:space="preserve"> – ALLEGED </w:t>
      </w:r>
      <w:r>
        <w:rPr>
          <w:rFonts w:ascii="Arial Black" w:hAnsi="Arial Black"/>
          <w:b/>
          <w:sz w:val="28"/>
          <w:szCs w:val="28"/>
        </w:rPr>
        <w:t xml:space="preserve">TRANSPORTS NOT MEDICALLY NECESSARY – BUT </w:t>
      </w:r>
      <w:r w:rsidR="00DA4990">
        <w:rPr>
          <w:rFonts w:ascii="Arial Black" w:hAnsi="Arial Black"/>
          <w:b/>
          <w:sz w:val="28"/>
          <w:szCs w:val="28"/>
        </w:rPr>
        <w:t xml:space="preserve">FAILED TO PROVIDE </w:t>
      </w:r>
      <w:r>
        <w:rPr>
          <w:rFonts w:ascii="Arial Black" w:hAnsi="Arial Black"/>
          <w:b/>
          <w:sz w:val="28"/>
          <w:szCs w:val="28"/>
        </w:rPr>
        <w:t>SPECIFIC</w:t>
      </w:r>
      <w:r w:rsidR="00DA4990">
        <w:rPr>
          <w:rFonts w:ascii="Arial Black" w:hAnsi="Arial Black"/>
          <w:b/>
          <w:sz w:val="28"/>
          <w:szCs w:val="28"/>
        </w:rPr>
        <w:t>S</w:t>
      </w:r>
      <w:r>
        <w:rPr>
          <w:rFonts w:ascii="Arial Black" w:hAnsi="Arial Black"/>
          <w:b/>
          <w:sz w:val="28"/>
          <w:szCs w:val="28"/>
        </w:rPr>
        <w:t xml:space="preserve"> </w:t>
      </w:r>
    </w:p>
    <w:p w14:paraId="31EC9695" w14:textId="77777777" w:rsidR="00F326E5" w:rsidRPr="00BC17B3" w:rsidRDefault="00F326E5" w:rsidP="00F326E5">
      <w:pPr>
        <w:rPr>
          <w:rFonts w:ascii="Times New Roman" w:eastAsia="Times New Roman" w:hAnsi="Times New Roman"/>
          <w:sz w:val="24"/>
          <w:szCs w:val="24"/>
        </w:rPr>
      </w:pPr>
      <w:r w:rsidRPr="00BC17B3">
        <w:rPr>
          <w:rFonts w:ascii="Times New Roman" w:eastAsia="Times New Roman" w:hAnsi="Times New Roman"/>
          <w:sz w:val="24"/>
          <w:szCs w:val="24"/>
        </w:rPr>
        <w:t xml:space="preserve">On June 21, </w:t>
      </w:r>
      <w:proofErr w:type="gramStart"/>
      <w:r w:rsidRPr="00BC17B3">
        <w:rPr>
          <w:rFonts w:ascii="Times New Roman" w:eastAsia="Times New Roman" w:hAnsi="Times New Roman"/>
          <w:sz w:val="24"/>
          <w:szCs w:val="24"/>
        </w:rPr>
        <w:t>2018</w:t>
      </w:r>
      <w:proofErr w:type="gramEnd"/>
      <w:r w:rsidRPr="00BC17B3">
        <w:rPr>
          <w:rFonts w:ascii="Times New Roman" w:eastAsia="Times New Roman" w:hAnsi="Times New Roman"/>
          <w:sz w:val="24"/>
          <w:szCs w:val="24"/>
        </w:rPr>
        <w:t xml:space="preserve"> in </w:t>
      </w:r>
      <w:r w:rsidRPr="00BC17B3">
        <w:rPr>
          <w:rFonts w:ascii="Times New Roman" w:eastAsia="Times New Roman" w:hAnsi="Times New Roman"/>
          <w:sz w:val="24"/>
          <w:szCs w:val="24"/>
          <w:u w:val="single"/>
        </w:rPr>
        <w:t>United States of America ex rel. Jessica N. Stripe v. Powell County Fiscal Court</w:t>
      </w:r>
      <w:r w:rsidRPr="00BC17B3">
        <w:rPr>
          <w:rFonts w:ascii="Times New Roman" w:eastAsia="Times New Roman" w:hAnsi="Times New Roman"/>
          <w:sz w:val="24"/>
          <w:szCs w:val="24"/>
        </w:rPr>
        <w:t xml:space="preserve">, U.S. District Court Judge Karen Caldwell, Lexington, Kentucky, dismissed a “whistleblower” lawsuit by an EMS employee.    </w:t>
      </w:r>
    </w:p>
    <w:p w14:paraId="5C5994E3" w14:textId="77777777" w:rsidR="00F326E5" w:rsidRPr="00BC17B3" w:rsidRDefault="00F326E5" w:rsidP="00F326E5">
      <w:pPr>
        <w:ind w:left="720"/>
        <w:rPr>
          <w:rFonts w:ascii="Times New Roman" w:eastAsia="Times New Roman" w:hAnsi="Times New Roman"/>
          <w:sz w:val="24"/>
          <w:szCs w:val="24"/>
        </w:rPr>
      </w:pPr>
      <w:r w:rsidRPr="00BC17B3">
        <w:rPr>
          <w:rFonts w:ascii="Times New Roman" w:eastAsia="Times New Roman" w:hAnsi="Times New Roman"/>
          <w:sz w:val="24"/>
          <w:szCs w:val="24"/>
        </w:rPr>
        <w:t xml:space="preserve">“Stipe was employed in a care provider role as an </w:t>
      </w:r>
      <w:proofErr w:type="gramStart"/>
      <w:r w:rsidRPr="00BC17B3">
        <w:rPr>
          <w:rFonts w:ascii="Times New Roman" w:eastAsia="Times New Roman" w:hAnsi="Times New Roman"/>
          <w:sz w:val="24"/>
          <w:szCs w:val="24"/>
        </w:rPr>
        <w:t>EMT</w:t>
      </w:r>
      <w:proofErr w:type="gramEnd"/>
      <w:r w:rsidRPr="00BC17B3">
        <w:rPr>
          <w:rFonts w:ascii="Times New Roman" w:eastAsia="Times New Roman" w:hAnsi="Times New Roman"/>
          <w:sz w:val="24"/>
          <w:szCs w:val="24"/>
        </w:rPr>
        <w:t xml:space="preserve"> and she does not allege that her job involved any work related to billing or that it gave her detailed or specialized knowledge of PCFC's billing practices…. Accordingly, Stipe lacks the specialized knowledge necessary to invoke the exception to Rule 9(b).”</w:t>
      </w:r>
    </w:p>
    <w:p w14:paraId="73B1C298" w14:textId="77777777" w:rsidR="00F326E5" w:rsidRPr="00BC17B3" w:rsidRDefault="00F326E5" w:rsidP="00F326E5">
      <w:pPr>
        <w:ind w:left="720"/>
        <w:rPr>
          <w:rFonts w:ascii="Times New Roman" w:eastAsia="Times New Roman" w:hAnsi="Times New Roman"/>
          <w:sz w:val="24"/>
          <w:szCs w:val="24"/>
        </w:rPr>
      </w:pPr>
      <w:hyperlink r:id="rId2415" w:history="1">
        <w:r w:rsidRPr="00BC17B3">
          <w:rPr>
            <w:rStyle w:val="Hyperlink"/>
            <w:rFonts w:ascii="Times New Roman" w:hAnsi="Times New Roman"/>
            <w:sz w:val="24"/>
            <w:szCs w:val="24"/>
          </w:rPr>
          <w:t>https://cases.justia.com/federal/district-courts/kentucky/kyedce/5:2016cv00446/81785/59/0.pdf?ts=1529661227</w:t>
        </w:r>
      </w:hyperlink>
      <w:r w:rsidRPr="00BC17B3">
        <w:rPr>
          <w:rFonts w:ascii="Times New Roman" w:eastAsia="Times New Roman" w:hAnsi="Times New Roman"/>
          <w:sz w:val="24"/>
          <w:szCs w:val="24"/>
        </w:rPr>
        <w:t xml:space="preserve"> </w:t>
      </w:r>
    </w:p>
    <w:p w14:paraId="05834446" w14:textId="77777777" w:rsidR="00F326E5" w:rsidRPr="00BC17B3" w:rsidRDefault="00F326E5" w:rsidP="00F326E5">
      <w:pPr>
        <w:pStyle w:val="NoSpacing"/>
        <w:rPr>
          <w:rFonts w:ascii="Times New Roman" w:hAnsi="Times New Roman"/>
          <w:b/>
          <w:sz w:val="24"/>
          <w:szCs w:val="24"/>
        </w:rPr>
      </w:pPr>
      <w:r w:rsidRPr="00BC17B3">
        <w:rPr>
          <w:rFonts w:ascii="Times New Roman" w:hAnsi="Times New Roman"/>
          <w:b/>
          <w:sz w:val="24"/>
          <w:szCs w:val="24"/>
        </w:rPr>
        <w:lastRenderedPageBreak/>
        <w:t xml:space="preserve">Legal Lessons Learned:  Whistleblowers alleging fraudulent “up charging” must include in their complaint specific information about </w:t>
      </w:r>
      <w:proofErr w:type="gramStart"/>
      <w:r w:rsidRPr="00BC17B3">
        <w:rPr>
          <w:rFonts w:ascii="Times New Roman" w:hAnsi="Times New Roman"/>
          <w:b/>
          <w:sz w:val="24"/>
          <w:szCs w:val="24"/>
        </w:rPr>
        <w:t>particular EMS</w:t>
      </w:r>
      <w:proofErr w:type="gramEnd"/>
      <w:r w:rsidRPr="00BC17B3">
        <w:rPr>
          <w:rFonts w:ascii="Times New Roman" w:hAnsi="Times New Roman"/>
          <w:b/>
          <w:sz w:val="24"/>
          <w:szCs w:val="24"/>
        </w:rPr>
        <w:t xml:space="preserve"> runs where Medicare was overbilled.  With specifics, the U.S. Attorney can launch an investigation of the complaint that has been filed under seal.  </w:t>
      </w:r>
    </w:p>
    <w:p w14:paraId="17DED912" w14:textId="77777777" w:rsidR="00F326E5" w:rsidRPr="00BC17B3" w:rsidRDefault="00F326E5" w:rsidP="00F326E5">
      <w:pPr>
        <w:pStyle w:val="NoSpacing"/>
        <w:ind w:left="720"/>
        <w:rPr>
          <w:rFonts w:ascii="Times New Roman" w:eastAsia="Times New Roman" w:hAnsi="Times New Roman"/>
          <w:sz w:val="24"/>
          <w:szCs w:val="24"/>
        </w:rPr>
      </w:pPr>
      <w:r w:rsidRPr="00BC17B3">
        <w:rPr>
          <w:rFonts w:ascii="Times New Roman" w:hAnsi="Times New Roman"/>
          <w:sz w:val="24"/>
          <w:szCs w:val="24"/>
        </w:rPr>
        <w:t xml:space="preserve">See U.S. Department of Justice report: </w:t>
      </w:r>
      <w:r w:rsidRPr="00BC17B3">
        <w:rPr>
          <w:rFonts w:ascii="Times New Roman" w:eastAsia="Times New Roman" w:hAnsi="Times New Roman"/>
          <w:sz w:val="24"/>
          <w:szCs w:val="24"/>
        </w:rPr>
        <w:t xml:space="preserve">“Of the $3.7 billion in settlements and judgments reported by the government in fiscal year 2017, $3.4 billion related to lawsuits filed under the qui tam provisions of the False Claims Act.  During the same period, the government paid out $392 million to the individuals who exposed fraud and false claims by filing a qui tam complaint.” </w:t>
      </w:r>
      <w:hyperlink r:id="rId2416" w:history="1">
        <w:r w:rsidRPr="00BC17B3">
          <w:rPr>
            <w:rStyle w:val="Hyperlink"/>
            <w:rFonts w:ascii="Times New Roman" w:hAnsi="Times New Roman"/>
            <w:sz w:val="24"/>
            <w:szCs w:val="24"/>
          </w:rPr>
          <w:t>https://www.justice.gov/opa/pr/justice-department-recovers-over-37-billion-false-claims-act-cases-fiscal-year-2017</w:t>
        </w:r>
      </w:hyperlink>
      <w:r w:rsidRPr="00BC17B3">
        <w:rPr>
          <w:rFonts w:ascii="Times New Roman" w:eastAsia="Times New Roman" w:hAnsi="Times New Roman"/>
          <w:sz w:val="24"/>
          <w:szCs w:val="24"/>
        </w:rPr>
        <w:t xml:space="preserve"> </w:t>
      </w:r>
    </w:p>
    <w:bookmarkEnd w:id="547"/>
    <w:p w14:paraId="5B3A3E63" w14:textId="77777777" w:rsidR="00F326E5" w:rsidRPr="00BC17B3" w:rsidRDefault="00F326E5" w:rsidP="00F326E5">
      <w:pPr>
        <w:ind w:left="720"/>
        <w:rPr>
          <w:rFonts w:ascii="Times New Roman" w:eastAsia="Times New Roman" w:hAnsi="Times New Roman"/>
          <w:sz w:val="24"/>
          <w:szCs w:val="24"/>
        </w:rPr>
      </w:pPr>
    </w:p>
    <w:p w14:paraId="1C21654E" w14:textId="2C4F2C8B" w:rsidR="00DE0F03" w:rsidRDefault="00DE0F03" w:rsidP="00DE0F03">
      <w:pPr>
        <w:pStyle w:val="NoSpacing"/>
        <w:rPr>
          <w:rFonts w:ascii="Arial Black" w:hAnsi="Arial Black"/>
          <w:sz w:val="24"/>
          <w:szCs w:val="24"/>
        </w:rPr>
      </w:pPr>
      <w:r>
        <w:rPr>
          <w:rFonts w:ascii="Arial Black" w:hAnsi="Arial Black"/>
          <w:sz w:val="24"/>
          <w:szCs w:val="24"/>
        </w:rPr>
        <w:t>13-6</w:t>
      </w:r>
    </w:p>
    <w:p w14:paraId="727B7417" w14:textId="77777777" w:rsidR="00F326E5" w:rsidRDefault="00F326E5" w:rsidP="00F326E5">
      <w:pPr>
        <w:pStyle w:val="NoSpacing"/>
        <w:rPr>
          <w:b/>
          <w:sz w:val="24"/>
          <w:szCs w:val="24"/>
        </w:rPr>
      </w:pPr>
    </w:p>
    <w:p w14:paraId="05219BCF" w14:textId="6DF89A59" w:rsidR="00F326E5" w:rsidRPr="00F65F37" w:rsidRDefault="00F326E5" w:rsidP="00F326E5">
      <w:pPr>
        <w:pStyle w:val="NoSpacing"/>
        <w:rPr>
          <w:b/>
          <w:sz w:val="28"/>
          <w:szCs w:val="28"/>
        </w:rPr>
      </w:pPr>
      <w:bookmarkStart w:id="548" w:name="_Hlk7347344"/>
      <w:r w:rsidRPr="00F65F37">
        <w:rPr>
          <w:rFonts w:ascii="Arial Black" w:hAnsi="Arial Black"/>
          <w:b/>
          <w:sz w:val="28"/>
          <w:szCs w:val="28"/>
        </w:rPr>
        <w:t xml:space="preserve">VA: </w:t>
      </w:r>
      <w:r>
        <w:rPr>
          <w:rFonts w:ascii="Arial Black" w:hAnsi="Arial Black"/>
          <w:b/>
          <w:sz w:val="28"/>
          <w:szCs w:val="28"/>
        </w:rPr>
        <w:t xml:space="preserve">AMMONIA CAPSULES FOUND IN NOSE OF </w:t>
      </w:r>
      <w:r w:rsidR="0048537E">
        <w:rPr>
          <w:rFonts w:ascii="Arial Black" w:hAnsi="Arial Black"/>
          <w:b/>
          <w:sz w:val="28"/>
          <w:szCs w:val="28"/>
        </w:rPr>
        <w:t xml:space="preserve">DECEASED </w:t>
      </w:r>
      <w:r>
        <w:rPr>
          <w:rFonts w:ascii="Arial Black" w:hAnsi="Arial Black"/>
          <w:b/>
          <w:sz w:val="28"/>
          <w:szCs w:val="28"/>
        </w:rPr>
        <w:t xml:space="preserve">JAIL INMATE - LAWSUIT AGAINST NURSE, OTHERS </w:t>
      </w:r>
      <w:r w:rsidR="0048537E">
        <w:rPr>
          <w:rFonts w:ascii="Arial Black" w:hAnsi="Arial Black"/>
          <w:b/>
          <w:sz w:val="28"/>
          <w:szCs w:val="28"/>
        </w:rPr>
        <w:t xml:space="preserve">MAY </w:t>
      </w:r>
      <w:r>
        <w:rPr>
          <w:rFonts w:ascii="Arial Black" w:hAnsi="Arial Black"/>
          <w:b/>
          <w:sz w:val="28"/>
          <w:szCs w:val="28"/>
        </w:rPr>
        <w:t>PROCEED</w:t>
      </w:r>
    </w:p>
    <w:p w14:paraId="7562F4A4" w14:textId="77777777" w:rsidR="00F326E5" w:rsidRPr="00BC17B3" w:rsidRDefault="00F326E5" w:rsidP="00F326E5">
      <w:pPr>
        <w:rPr>
          <w:rFonts w:ascii="Times New Roman" w:eastAsia="Times New Roman" w:hAnsi="Times New Roman"/>
          <w:sz w:val="24"/>
          <w:szCs w:val="24"/>
        </w:rPr>
      </w:pPr>
      <w:r w:rsidRPr="00BC17B3">
        <w:rPr>
          <w:rFonts w:ascii="Times New Roman" w:eastAsia="Times New Roman" w:hAnsi="Times New Roman"/>
          <w:sz w:val="24"/>
          <w:szCs w:val="24"/>
        </w:rPr>
        <w:t xml:space="preserve">On May 31, 2018, in </w:t>
      </w:r>
      <w:r w:rsidRPr="00BC17B3">
        <w:rPr>
          <w:rFonts w:ascii="Times New Roman" w:eastAsia="Times New Roman" w:hAnsi="Times New Roman"/>
          <w:sz w:val="24"/>
          <w:szCs w:val="24"/>
          <w:u w:val="single"/>
        </w:rPr>
        <w:t>Benjamin M. Andrews, Administrator of Estate of Zachary Tuggle v. Sheriff C.T. Woody, et al.</w:t>
      </w:r>
      <w:r w:rsidRPr="00BC17B3">
        <w:rPr>
          <w:rFonts w:ascii="Times New Roman" w:eastAsia="Times New Roman" w:hAnsi="Times New Roman"/>
          <w:sz w:val="24"/>
          <w:szCs w:val="24"/>
        </w:rPr>
        <w:t>, a U.S. District Court Judge for Eastern District of Virginia (Richmond Division), issued two memorandum, holding (1) jail nurse and other jail personnel will not be granted summary judgment; and (2) that defense expert report of Dr. William J. Brady will not be admitted.</w:t>
      </w:r>
    </w:p>
    <w:p w14:paraId="70502A5E" w14:textId="77777777" w:rsidR="00F326E5" w:rsidRPr="00BC17B3" w:rsidRDefault="00F326E5" w:rsidP="00F326E5">
      <w:pPr>
        <w:pStyle w:val="ListParagraph"/>
        <w:rPr>
          <w:rFonts w:ascii="Times New Roman" w:eastAsia="Times New Roman" w:hAnsi="Times New Roman" w:cs="Times New Roman"/>
          <w:sz w:val="24"/>
          <w:szCs w:val="24"/>
        </w:rPr>
      </w:pPr>
      <w:hyperlink r:id="rId2417" w:history="1">
        <w:r w:rsidRPr="00BC17B3">
          <w:rPr>
            <w:rStyle w:val="Hyperlink"/>
            <w:rFonts w:ascii="Times New Roman" w:hAnsi="Times New Roman" w:cs="Times New Roman"/>
            <w:sz w:val="24"/>
            <w:szCs w:val="24"/>
          </w:rPr>
          <w:t>https://cases.justia.com/federal/district-courts/virginia/vaedce/3:2017cv00167/360316/92/0.pdf?ts=1527856286</w:t>
        </w:r>
      </w:hyperlink>
      <w:r w:rsidRPr="00BC17B3">
        <w:rPr>
          <w:rFonts w:ascii="Times New Roman" w:eastAsia="Times New Roman" w:hAnsi="Times New Roman" w:cs="Times New Roman"/>
          <w:sz w:val="24"/>
          <w:szCs w:val="24"/>
        </w:rPr>
        <w:t xml:space="preserve"> </w:t>
      </w:r>
    </w:p>
    <w:p w14:paraId="28FAF68E" w14:textId="77777777" w:rsidR="00F326E5" w:rsidRPr="00BC17B3" w:rsidRDefault="00F326E5" w:rsidP="00F326E5">
      <w:pPr>
        <w:spacing w:before="100" w:beforeAutospacing="1" w:after="100" w:afterAutospacing="1"/>
        <w:rPr>
          <w:rFonts w:ascii="Times New Roman" w:eastAsia="Times New Roman" w:hAnsi="Times New Roman"/>
          <w:b/>
          <w:sz w:val="24"/>
          <w:szCs w:val="24"/>
        </w:rPr>
      </w:pPr>
      <w:r w:rsidRPr="00BC17B3">
        <w:rPr>
          <w:rFonts w:ascii="Times New Roman" w:eastAsia="Times New Roman" w:hAnsi="Times New Roman"/>
          <w:b/>
          <w:sz w:val="24"/>
          <w:szCs w:val="24"/>
        </w:rPr>
        <w:t xml:space="preserve">Legal Lessons Learned: EMS in this case properly documented to unusual conditions they observed.  </w:t>
      </w:r>
    </w:p>
    <w:p w14:paraId="3ED15E15" w14:textId="77777777" w:rsidR="00F326E5" w:rsidRPr="00BC17B3" w:rsidRDefault="00F326E5" w:rsidP="00F326E5">
      <w:pPr>
        <w:spacing w:before="100" w:beforeAutospacing="1" w:after="100" w:afterAutospacing="1"/>
        <w:ind w:left="720"/>
        <w:rPr>
          <w:rFonts w:ascii="Times New Roman" w:eastAsia="Times New Roman" w:hAnsi="Times New Roman"/>
          <w:b/>
          <w:sz w:val="24"/>
          <w:szCs w:val="24"/>
        </w:rPr>
      </w:pPr>
      <w:r w:rsidRPr="00BC17B3">
        <w:rPr>
          <w:rFonts w:ascii="Times New Roman" w:eastAsia="Times New Roman" w:hAnsi="Times New Roman"/>
          <w:sz w:val="24"/>
          <w:szCs w:val="24"/>
        </w:rPr>
        <w:t xml:space="preserve">The U.S. Supreme Court has instructed judges to carefully screen reports of proposed “experts.”  Daubert v. Merrell Dow Pharms., Inc., 509 U.S. 579 (1993); Kumho Tire Co. v. Carmichael, 526 U.S. 137 (1999).  Federal Rules of Evidence were adopted to further clarify review of proposed expert written reports: </w:t>
      </w:r>
      <w:hyperlink r:id="rId2418" w:history="1">
        <w:r w:rsidRPr="00BC17B3">
          <w:rPr>
            <w:rStyle w:val="Hyperlink"/>
            <w:rFonts w:ascii="Times New Roman" w:hAnsi="Times New Roman"/>
            <w:sz w:val="24"/>
            <w:szCs w:val="24"/>
          </w:rPr>
          <w:t>https://www.law.cornell.edu/rules/frcp/rule_26</w:t>
        </w:r>
      </w:hyperlink>
      <w:r w:rsidRPr="00BC17B3">
        <w:rPr>
          <w:rFonts w:ascii="Times New Roman" w:eastAsia="Times New Roman" w:hAnsi="Times New Roman"/>
          <w:sz w:val="24"/>
          <w:szCs w:val="24"/>
        </w:rPr>
        <w:t xml:space="preserve"> </w:t>
      </w:r>
    </w:p>
    <w:p w14:paraId="011323D3" w14:textId="77777777" w:rsidR="00F326E5" w:rsidRPr="00BC17B3" w:rsidRDefault="00F326E5" w:rsidP="00F326E5">
      <w:pPr>
        <w:pStyle w:val="statutory-body-2em"/>
        <w:ind w:left="720"/>
      </w:pPr>
      <w:r w:rsidRPr="00BC17B3">
        <w:t xml:space="preserve">(B) </w:t>
      </w:r>
      <w:r w:rsidRPr="00BC17B3">
        <w:rPr>
          <w:rStyle w:val="Emphasis"/>
        </w:rPr>
        <w:t>Witnesses Who Must Provide a</w:t>
      </w:r>
      <w:r w:rsidRPr="00BC17B3">
        <w:t xml:space="preserve"> </w:t>
      </w:r>
      <w:r w:rsidRPr="00BC17B3">
        <w:rPr>
          <w:rStyle w:val="Emphasis"/>
        </w:rPr>
        <w:t>Written Report.</w:t>
      </w:r>
      <w:r w:rsidRPr="00BC17B3">
        <w:t xml:space="preserve"> Unless otherwise stipulated or ordered by the court, this disclosure must be accompanied by a written report—prepared and signed by the witness—if the witness is one retained or specially employed to provide expert testimony in the case or one whose duties as the party's employee regularly involve giving expert testimony. The report must contain:</w:t>
      </w:r>
    </w:p>
    <w:p w14:paraId="5652011C" w14:textId="77777777" w:rsidR="00F326E5" w:rsidRPr="00BC17B3" w:rsidRDefault="00F326E5" w:rsidP="00F326E5">
      <w:pPr>
        <w:pStyle w:val="statutory-body-3em"/>
        <w:ind w:left="720"/>
      </w:pPr>
      <w:r w:rsidRPr="00BC17B3">
        <w:t>(</w:t>
      </w:r>
      <w:proofErr w:type="spellStart"/>
      <w:r w:rsidRPr="00BC17B3">
        <w:t>i</w:t>
      </w:r>
      <w:proofErr w:type="spellEnd"/>
      <w:r w:rsidRPr="00BC17B3">
        <w:t>) a complete statement of all opinions the witness will express and the basis and reasons for them;</w:t>
      </w:r>
    </w:p>
    <w:p w14:paraId="23017680" w14:textId="77777777" w:rsidR="00F326E5" w:rsidRPr="00BC17B3" w:rsidRDefault="00F326E5" w:rsidP="00F326E5">
      <w:pPr>
        <w:pStyle w:val="statutory-body-3em"/>
        <w:ind w:firstLine="720"/>
      </w:pPr>
      <w:r w:rsidRPr="00BC17B3">
        <w:t>(ii) the facts or data considered by the witness in forming them;</w:t>
      </w:r>
    </w:p>
    <w:p w14:paraId="0A2BDDF3" w14:textId="77777777" w:rsidR="00F326E5" w:rsidRPr="00BC17B3" w:rsidRDefault="00F326E5" w:rsidP="00F326E5">
      <w:pPr>
        <w:pStyle w:val="statutory-body-3em"/>
        <w:ind w:left="720"/>
      </w:pPr>
      <w:r w:rsidRPr="00BC17B3">
        <w:t>(iii) any exhibits that will be used to summarize or support them;(iv) the witness's qualifications, including a list of all publications authored in the previous 10 years;</w:t>
      </w:r>
    </w:p>
    <w:p w14:paraId="4FEE77C3" w14:textId="77777777" w:rsidR="00F326E5" w:rsidRPr="00BC17B3" w:rsidRDefault="00F326E5" w:rsidP="00F326E5">
      <w:pPr>
        <w:pStyle w:val="statutory-body-3em"/>
        <w:ind w:left="720"/>
      </w:pPr>
      <w:r w:rsidRPr="00BC17B3">
        <w:t>(v) a list of all other cases in which, during the previous 4 years, the witness testified as an expert at trial or by deposition; and</w:t>
      </w:r>
    </w:p>
    <w:p w14:paraId="0A754E6F" w14:textId="77777777" w:rsidR="00F326E5" w:rsidRPr="00BC17B3" w:rsidRDefault="00F326E5" w:rsidP="00F326E5">
      <w:pPr>
        <w:pStyle w:val="statutory-body-3em"/>
        <w:ind w:firstLine="720"/>
      </w:pPr>
      <w:r w:rsidRPr="00BC17B3">
        <w:t xml:space="preserve">(vi) a statement of </w:t>
      </w:r>
      <w:proofErr w:type="gramStart"/>
      <w:r w:rsidRPr="00BC17B3">
        <w:t>the compensation</w:t>
      </w:r>
      <w:proofErr w:type="gramEnd"/>
      <w:r w:rsidRPr="00BC17B3">
        <w:t xml:space="preserve"> to be paid for the study and testimony in the case.</w:t>
      </w:r>
    </w:p>
    <w:bookmarkEnd w:id="548"/>
    <w:p w14:paraId="514E9C97" w14:textId="77777777" w:rsidR="00F326E5" w:rsidRPr="00BE5483" w:rsidRDefault="00F326E5" w:rsidP="00F326E5">
      <w:pPr>
        <w:ind w:left="720"/>
        <w:rPr>
          <w:rFonts w:eastAsia="Times New Roman"/>
          <w:sz w:val="24"/>
          <w:szCs w:val="24"/>
        </w:rPr>
      </w:pPr>
    </w:p>
    <w:p w14:paraId="6B70332B" w14:textId="0CD6810C" w:rsidR="00DE0F03" w:rsidRDefault="00DE0F03" w:rsidP="00DE0F03">
      <w:pPr>
        <w:pStyle w:val="NoSpacing"/>
        <w:rPr>
          <w:rFonts w:ascii="Arial Black" w:hAnsi="Arial Black"/>
          <w:sz w:val="24"/>
          <w:szCs w:val="24"/>
        </w:rPr>
      </w:pPr>
      <w:r>
        <w:rPr>
          <w:rFonts w:ascii="Arial Black" w:hAnsi="Arial Black"/>
          <w:sz w:val="24"/>
          <w:szCs w:val="24"/>
        </w:rPr>
        <w:t>13-5</w:t>
      </w:r>
    </w:p>
    <w:p w14:paraId="34A0A897" w14:textId="77777777" w:rsidR="0048537E" w:rsidRDefault="0048537E" w:rsidP="00F326E5">
      <w:pPr>
        <w:rPr>
          <w:sz w:val="24"/>
          <w:szCs w:val="24"/>
        </w:rPr>
      </w:pPr>
    </w:p>
    <w:p w14:paraId="4FDA2366" w14:textId="3D496831" w:rsidR="00F326E5" w:rsidRPr="00F65F37" w:rsidRDefault="00F326E5" w:rsidP="00F326E5">
      <w:pPr>
        <w:rPr>
          <w:rFonts w:ascii="Arial Black" w:hAnsi="Arial Black"/>
          <w:sz w:val="24"/>
          <w:szCs w:val="24"/>
        </w:rPr>
      </w:pPr>
      <w:bookmarkStart w:id="549" w:name="_Hlk41154942"/>
      <w:bookmarkStart w:id="550" w:name="_Hlk7347398"/>
      <w:r w:rsidRPr="00F65F37">
        <w:rPr>
          <w:rFonts w:ascii="Arial Black" w:hAnsi="Arial Black"/>
          <w:sz w:val="28"/>
          <w:szCs w:val="28"/>
        </w:rPr>
        <w:t xml:space="preserve">OH: 911 </w:t>
      </w:r>
      <w:r>
        <w:rPr>
          <w:rFonts w:ascii="Arial Black" w:hAnsi="Arial Black"/>
          <w:sz w:val="28"/>
          <w:szCs w:val="28"/>
        </w:rPr>
        <w:t>“</w:t>
      </w:r>
      <w:r w:rsidRPr="00F65F37">
        <w:rPr>
          <w:rFonts w:ascii="Arial Black" w:hAnsi="Arial Black"/>
          <w:sz w:val="28"/>
          <w:szCs w:val="28"/>
        </w:rPr>
        <w:t>G</w:t>
      </w:r>
      <w:r>
        <w:rPr>
          <w:rFonts w:ascii="Arial Black" w:hAnsi="Arial Black"/>
          <w:sz w:val="28"/>
          <w:szCs w:val="28"/>
        </w:rPr>
        <w:t>OOD SAMARITAN” LAW – DRUG OVERDOSE, CAN AVOID PROSECUTION IF CALL 911</w:t>
      </w:r>
      <w:r w:rsidR="0048537E">
        <w:rPr>
          <w:rFonts w:ascii="Arial Black" w:hAnsi="Arial Black"/>
          <w:sz w:val="28"/>
          <w:szCs w:val="28"/>
        </w:rPr>
        <w:t>, GET TREATMENT</w:t>
      </w:r>
      <w:r>
        <w:rPr>
          <w:rFonts w:ascii="Arial Black" w:hAnsi="Arial Black"/>
          <w:sz w:val="28"/>
          <w:szCs w:val="28"/>
        </w:rPr>
        <w:t xml:space="preserve"> </w:t>
      </w:r>
      <w:r w:rsidRPr="00F65F37">
        <w:rPr>
          <w:sz w:val="24"/>
          <w:szCs w:val="24"/>
        </w:rPr>
        <w:t>[also filed, Chap. 18]</w:t>
      </w:r>
    </w:p>
    <w:p w14:paraId="7E8CD206" w14:textId="77777777" w:rsidR="00F326E5" w:rsidRPr="00BC17B3" w:rsidRDefault="00F326E5" w:rsidP="00F326E5">
      <w:pPr>
        <w:rPr>
          <w:rFonts w:ascii="Times New Roman" w:eastAsia="Times New Roman" w:hAnsi="Times New Roman"/>
          <w:sz w:val="24"/>
          <w:szCs w:val="24"/>
        </w:rPr>
      </w:pPr>
      <w:r w:rsidRPr="00BC17B3">
        <w:rPr>
          <w:rFonts w:ascii="Times New Roman" w:eastAsia="Times New Roman" w:hAnsi="Times New Roman"/>
          <w:sz w:val="24"/>
          <w:szCs w:val="24"/>
        </w:rPr>
        <w:t xml:space="preserve">On May 18, 2018, in </w:t>
      </w:r>
      <w:r w:rsidRPr="00BC17B3">
        <w:rPr>
          <w:rFonts w:ascii="Times New Roman" w:eastAsia="Times New Roman" w:hAnsi="Times New Roman"/>
          <w:sz w:val="24"/>
          <w:szCs w:val="24"/>
          <w:u w:val="single"/>
        </w:rPr>
        <w:t>State of Ohio v. Andrew Melms</w:t>
      </w:r>
      <w:r w:rsidRPr="00BC17B3">
        <w:rPr>
          <w:rFonts w:ascii="Times New Roman" w:eastAsia="Times New Roman" w:hAnsi="Times New Roman"/>
          <w:sz w:val="24"/>
          <w:szCs w:val="24"/>
        </w:rPr>
        <w:t xml:space="preserve">, the Court of Appeals For Second District (Montgomery County), held (3 to 0) that an overdose victim, arrested with </w:t>
      </w:r>
      <w:r w:rsidRPr="00BC17B3">
        <w:rPr>
          <w:rFonts w:ascii="Times New Roman" w:hAnsi="Times New Roman"/>
          <w:sz w:val="24"/>
          <w:szCs w:val="24"/>
        </w:rPr>
        <w:t>six gel caps of fentanyl, was not eligible for immunity; he was in jail and did not enroll in treatment within the 30-day limit set under the new Ohio statute enacted in 2016.  The Court urged the Ohio General Assembly to modify the law: “</w:t>
      </w:r>
      <w:r w:rsidRPr="00BC17B3">
        <w:rPr>
          <w:rFonts w:ascii="Times New Roman" w:eastAsia="Times New Roman" w:hAnsi="Times New Roman"/>
          <w:sz w:val="24"/>
          <w:szCs w:val="24"/>
        </w:rPr>
        <w:t xml:space="preserve">Granted Melms seemingly was an ideal candidate for immunity, but for the clear and unambiguous 30-day window set forth by the legislature. The remedy lies with the </w:t>
      </w:r>
      <w:proofErr w:type="gramStart"/>
      <w:r w:rsidRPr="00BC17B3">
        <w:rPr>
          <w:rFonts w:ascii="Times New Roman" w:eastAsia="Times New Roman" w:hAnsi="Times New Roman"/>
          <w:sz w:val="24"/>
          <w:szCs w:val="24"/>
        </w:rPr>
        <w:t>legislature to</w:t>
      </w:r>
      <w:proofErr w:type="gramEnd"/>
      <w:r w:rsidRPr="00BC17B3">
        <w:rPr>
          <w:rFonts w:ascii="Times New Roman" w:eastAsia="Times New Roman" w:hAnsi="Times New Roman"/>
          <w:sz w:val="24"/>
          <w:szCs w:val="24"/>
        </w:rPr>
        <w:t xml:space="preserve"> either eliminate the 30-day restriction or </w:t>
      </w:r>
      <w:proofErr w:type="gramStart"/>
      <w:r w:rsidRPr="00BC17B3">
        <w:rPr>
          <w:rFonts w:ascii="Times New Roman" w:eastAsia="Times New Roman" w:hAnsi="Times New Roman"/>
          <w:sz w:val="24"/>
          <w:szCs w:val="24"/>
        </w:rPr>
        <w:t>to provide</w:t>
      </w:r>
      <w:proofErr w:type="gramEnd"/>
      <w:r w:rsidRPr="00BC17B3">
        <w:rPr>
          <w:rFonts w:ascii="Times New Roman" w:eastAsia="Times New Roman" w:hAnsi="Times New Roman"/>
          <w:sz w:val="24"/>
          <w:szCs w:val="24"/>
        </w:rPr>
        <w:t xml:space="preserve"> for the exercise of judicial discretion, particularly in those cases of the most vulnerable, often indigent, incarcerated individuals who are unaware of the time limit until after counsel is appointed on the drug offense. In our view, an immediate legislative fix is warranted so that this legislation achieves its laudable </w:t>
      </w:r>
      <w:proofErr w:type="gramStart"/>
      <w:r w:rsidRPr="00BC17B3">
        <w:rPr>
          <w:rFonts w:ascii="Times New Roman" w:eastAsia="Times New Roman" w:hAnsi="Times New Roman"/>
          <w:sz w:val="24"/>
          <w:szCs w:val="24"/>
        </w:rPr>
        <w:t>goals.”</w:t>
      </w:r>
      <w:proofErr w:type="gramEnd"/>
    </w:p>
    <w:p w14:paraId="7B622570" w14:textId="77777777" w:rsidR="00F326E5" w:rsidRPr="00BC17B3" w:rsidRDefault="00F326E5" w:rsidP="00F326E5">
      <w:pPr>
        <w:rPr>
          <w:rStyle w:val="Hyperlink"/>
          <w:rFonts w:ascii="Times New Roman" w:hAnsi="Times New Roman"/>
          <w:b/>
          <w:sz w:val="24"/>
          <w:szCs w:val="24"/>
        </w:rPr>
      </w:pPr>
      <w:hyperlink r:id="rId2419" w:history="1">
        <w:r w:rsidRPr="00BC17B3">
          <w:rPr>
            <w:rStyle w:val="Hyperlink"/>
            <w:rFonts w:ascii="Times New Roman" w:hAnsi="Times New Roman"/>
            <w:sz w:val="24"/>
            <w:szCs w:val="24"/>
          </w:rPr>
          <w:t>https://cases.justia.com/ohio/second-district-court-of-appeals/2018-27685.pdf?ts=1526679598</w:t>
        </w:r>
      </w:hyperlink>
    </w:p>
    <w:p w14:paraId="7F43443A" w14:textId="77777777" w:rsidR="00F326E5" w:rsidRPr="00BC17B3" w:rsidRDefault="00F326E5" w:rsidP="00F326E5">
      <w:pPr>
        <w:rPr>
          <w:rFonts w:ascii="Times New Roman" w:eastAsia="Times New Roman" w:hAnsi="Times New Roman"/>
          <w:b/>
          <w:sz w:val="24"/>
          <w:szCs w:val="24"/>
        </w:rPr>
      </w:pPr>
      <w:r w:rsidRPr="00BC17B3">
        <w:rPr>
          <w:rFonts w:ascii="Times New Roman" w:eastAsia="Times New Roman" w:hAnsi="Times New Roman"/>
          <w:b/>
          <w:sz w:val="24"/>
          <w:szCs w:val="24"/>
        </w:rPr>
        <w:t xml:space="preserve">Legal Lessons Learned:  The “911 Good Samaritan” immunity statute is to encourage drug users and their associates to call 911 for an overdose, and to promptly seek treatment (can receive immunity only twice). </w:t>
      </w:r>
    </w:p>
    <w:p w14:paraId="529D5FBA" w14:textId="77777777" w:rsidR="00F326E5" w:rsidRPr="00BC17B3" w:rsidRDefault="00F326E5" w:rsidP="00F326E5">
      <w:pPr>
        <w:ind w:firstLine="720"/>
        <w:rPr>
          <w:rFonts w:ascii="Times New Roman" w:eastAsia="Times New Roman" w:hAnsi="Times New Roman"/>
          <w:sz w:val="24"/>
          <w:szCs w:val="24"/>
        </w:rPr>
      </w:pPr>
      <w:r w:rsidRPr="00BC17B3">
        <w:rPr>
          <w:rFonts w:ascii="Times New Roman" w:eastAsia="Times New Roman" w:hAnsi="Times New Roman"/>
          <w:sz w:val="24"/>
          <w:szCs w:val="24"/>
        </w:rPr>
        <w:t>Note: 911 Dispatchers ae required to inform overdose patients about the new law:</w:t>
      </w:r>
    </w:p>
    <w:p w14:paraId="7A6E49BE" w14:textId="77777777" w:rsidR="00F326E5" w:rsidRPr="00BC17B3" w:rsidRDefault="00F326E5" w:rsidP="00F326E5">
      <w:pPr>
        <w:pStyle w:val="NoSpacing"/>
        <w:ind w:firstLine="720"/>
        <w:rPr>
          <w:rFonts w:ascii="Times New Roman" w:hAnsi="Times New Roman"/>
          <w:sz w:val="24"/>
          <w:szCs w:val="24"/>
        </w:rPr>
      </w:pPr>
      <w:r w:rsidRPr="00BC17B3">
        <w:rPr>
          <w:rFonts w:ascii="Times New Roman" w:hAnsi="Times New Roman"/>
          <w:sz w:val="24"/>
          <w:szCs w:val="24"/>
        </w:rPr>
        <w:t xml:space="preserve">R.C. 128.04 provides as follows: </w:t>
      </w:r>
    </w:p>
    <w:p w14:paraId="741002CB" w14:textId="77777777" w:rsidR="00F326E5" w:rsidRPr="00BC17B3" w:rsidRDefault="00F326E5" w:rsidP="00F326E5">
      <w:pPr>
        <w:pStyle w:val="NoSpacing"/>
        <w:ind w:firstLine="720"/>
        <w:rPr>
          <w:rFonts w:ascii="Times New Roman" w:hAnsi="Times New Roman"/>
          <w:sz w:val="24"/>
          <w:szCs w:val="24"/>
        </w:rPr>
      </w:pPr>
      <w:r w:rsidRPr="00BC17B3">
        <w:rPr>
          <w:rFonts w:ascii="Times New Roman" w:hAnsi="Times New Roman"/>
          <w:sz w:val="24"/>
          <w:szCs w:val="24"/>
        </w:rPr>
        <w:t xml:space="preserve">(A) Public safety answering point personnel who are certified as emergency service </w:t>
      </w:r>
    </w:p>
    <w:p w14:paraId="254820DB" w14:textId="77777777" w:rsidR="00F326E5" w:rsidRPr="00BC17B3" w:rsidRDefault="00F326E5" w:rsidP="00F326E5">
      <w:pPr>
        <w:pStyle w:val="NoSpacing"/>
        <w:ind w:firstLine="720"/>
        <w:rPr>
          <w:rFonts w:ascii="Times New Roman" w:hAnsi="Times New Roman"/>
          <w:sz w:val="24"/>
          <w:szCs w:val="24"/>
        </w:rPr>
      </w:pPr>
      <w:r w:rsidRPr="00BC17B3">
        <w:rPr>
          <w:rFonts w:ascii="Times New Roman" w:hAnsi="Times New Roman"/>
          <w:sz w:val="24"/>
          <w:szCs w:val="24"/>
        </w:rPr>
        <w:t xml:space="preserve">telecommunicators under section 4742.03 of the Revised Code shall receive training in </w:t>
      </w:r>
    </w:p>
    <w:p w14:paraId="5B2135D1" w14:textId="77777777" w:rsidR="00F326E5" w:rsidRPr="00BC17B3" w:rsidRDefault="00F326E5" w:rsidP="00F326E5">
      <w:pPr>
        <w:pStyle w:val="NoSpacing"/>
        <w:ind w:left="720"/>
        <w:rPr>
          <w:rFonts w:ascii="Times New Roman" w:hAnsi="Times New Roman"/>
          <w:sz w:val="24"/>
          <w:szCs w:val="24"/>
        </w:rPr>
      </w:pPr>
      <w:proofErr w:type="gramStart"/>
      <w:r w:rsidRPr="00BC17B3">
        <w:rPr>
          <w:rFonts w:ascii="Times New Roman" w:hAnsi="Times New Roman"/>
          <w:sz w:val="24"/>
          <w:szCs w:val="24"/>
        </w:rPr>
        <w:t>informing</w:t>
      </w:r>
      <w:proofErr w:type="gramEnd"/>
      <w:r w:rsidRPr="00BC17B3">
        <w:rPr>
          <w:rFonts w:ascii="Times New Roman" w:hAnsi="Times New Roman"/>
          <w:sz w:val="24"/>
          <w:szCs w:val="24"/>
        </w:rPr>
        <w:t xml:space="preserve"> individuals who call about an apparent drug overdose about the immunity from prosecution for a minor drug possession offense created by section 2925.11 of the Revised Code. </w:t>
      </w:r>
    </w:p>
    <w:p w14:paraId="241A7EF9" w14:textId="77777777" w:rsidR="00F326E5" w:rsidRPr="00BC17B3" w:rsidRDefault="00F326E5" w:rsidP="00F326E5">
      <w:pPr>
        <w:pStyle w:val="NoSpacing"/>
        <w:ind w:firstLine="720"/>
        <w:rPr>
          <w:rFonts w:ascii="Times New Roman" w:hAnsi="Times New Roman"/>
          <w:sz w:val="24"/>
          <w:szCs w:val="24"/>
        </w:rPr>
      </w:pPr>
      <w:r w:rsidRPr="00BC17B3">
        <w:rPr>
          <w:rFonts w:ascii="Times New Roman" w:hAnsi="Times New Roman"/>
          <w:sz w:val="24"/>
          <w:szCs w:val="24"/>
        </w:rPr>
        <w:t xml:space="preserve">(B) Public safety answering point personnel who receive a call about an apparent drug </w:t>
      </w:r>
    </w:p>
    <w:p w14:paraId="2785ED73" w14:textId="77777777" w:rsidR="00F326E5" w:rsidRPr="00BC17B3" w:rsidRDefault="00F326E5" w:rsidP="00F326E5">
      <w:pPr>
        <w:pStyle w:val="NoSpacing"/>
        <w:ind w:firstLine="720"/>
        <w:rPr>
          <w:rFonts w:ascii="Times New Roman" w:hAnsi="Times New Roman"/>
          <w:sz w:val="24"/>
          <w:szCs w:val="24"/>
        </w:rPr>
      </w:pPr>
      <w:r w:rsidRPr="00BC17B3">
        <w:rPr>
          <w:rFonts w:ascii="Times New Roman" w:hAnsi="Times New Roman"/>
          <w:sz w:val="24"/>
          <w:szCs w:val="24"/>
        </w:rPr>
        <w:t xml:space="preserve">overdose shall make reasonable efforts, upon the caller's inquiry, to inform the caller </w:t>
      </w:r>
    </w:p>
    <w:p w14:paraId="57F32A32" w14:textId="77777777" w:rsidR="00F326E5" w:rsidRPr="00BC17B3" w:rsidRDefault="00F326E5" w:rsidP="00F326E5">
      <w:pPr>
        <w:pStyle w:val="NoSpacing"/>
        <w:ind w:firstLine="720"/>
        <w:rPr>
          <w:rFonts w:ascii="Times New Roman" w:hAnsi="Times New Roman"/>
          <w:sz w:val="24"/>
          <w:szCs w:val="24"/>
        </w:rPr>
      </w:pPr>
      <w:r w:rsidRPr="00BC17B3">
        <w:rPr>
          <w:rFonts w:ascii="Times New Roman" w:hAnsi="Times New Roman"/>
          <w:sz w:val="24"/>
          <w:szCs w:val="24"/>
        </w:rPr>
        <w:t xml:space="preserve">about the immunity from prosecution for a minor drug possession offense created </w:t>
      </w:r>
    </w:p>
    <w:p w14:paraId="26A69CB4" w14:textId="77777777" w:rsidR="00F326E5" w:rsidRPr="00BC17B3" w:rsidRDefault="00F326E5" w:rsidP="00F326E5">
      <w:pPr>
        <w:pStyle w:val="NoSpacing"/>
        <w:ind w:firstLine="720"/>
        <w:rPr>
          <w:rFonts w:ascii="Times New Roman" w:hAnsi="Times New Roman"/>
          <w:sz w:val="24"/>
          <w:szCs w:val="24"/>
        </w:rPr>
      </w:pPr>
      <w:r w:rsidRPr="00BC17B3">
        <w:rPr>
          <w:rFonts w:ascii="Times New Roman" w:hAnsi="Times New Roman"/>
          <w:sz w:val="24"/>
          <w:szCs w:val="24"/>
        </w:rPr>
        <w:t xml:space="preserve">by section 2925.11 of the Revised Code. </w:t>
      </w:r>
    </w:p>
    <w:p w14:paraId="60D66561" w14:textId="77777777" w:rsidR="00F326E5" w:rsidRPr="00BC17B3" w:rsidRDefault="00F326E5" w:rsidP="00F326E5">
      <w:pPr>
        <w:pStyle w:val="NoSpacing"/>
        <w:rPr>
          <w:rFonts w:ascii="Times New Roman" w:hAnsi="Times New Roman"/>
          <w:sz w:val="24"/>
          <w:szCs w:val="24"/>
        </w:rPr>
      </w:pPr>
    </w:p>
    <w:bookmarkEnd w:id="549"/>
    <w:p w14:paraId="00581AC2" w14:textId="77777777" w:rsidR="00BC17B3" w:rsidRDefault="00BC17B3" w:rsidP="00F326E5">
      <w:pPr>
        <w:pStyle w:val="NoSpacing"/>
        <w:rPr>
          <w:rFonts w:ascii="Arial Black" w:hAnsi="Arial Black"/>
          <w:sz w:val="24"/>
          <w:szCs w:val="24"/>
        </w:rPr>
      </w:pPr>
    </w:p>
    <w:p w14:paraId="1BFC18BA" w14:textId="5AC63124" w:rsidR="00F326E5" w:rsidRDefault="00DE0F03" w:rsidP="00F326E5">
      <w:pPr>
        <w:pStyle w:val="NoSpacing"/>
        <w:rPr>
          <w:rFonts w:ascii="Arial Black" w:hAnsi="Arial Black"/>
          <w:sz w:val="24"/>
          <w:szCs w:val="24"/>
        </w:rPr>
      </w:pPr>
      <w:r>
        <w:rPr>
          <w:rFonts w:ascii="Arial Black" w:hAnsi="Arial Black"/>
          <w:sz w:val="24"/>
          <w:szCs w:val="24"/>
        </w:rPr>
        <w:t>13-4</w:t>
      </w:r>
    </w:p>
    <w:p w14:paraId="4FF1041C" w14:textId="77777777" w:rsidR="00DE0F03" w:rsidRPr="00BE5483" w:rsidRDefault="00DE0F03" w:rsidP="00F326E5">
      <w:pPr>
        <w:pStyle w:val="NoSpacing"/>
        <w:rPr>
          <w:rFonts w:ascii="Arial Black" w:hAnsi="Arial Black"/>
          <w:sz w:val="24"/>
          <w:szCs w:val="24"/>
        </w:rPr>
      </w:pPr>
    </w:p>
    <w:p w14:paraId="314D4CEC" w14:textId="442F02C8" w:rsidR="00F326E5" w:rsidRPr="00F65F37" w:rsidRDefault="00F326E5" w:rsidP="00F326E5">
      <w:pPr>
        <w:pStyle w:val="NoSpacing"/>
        <w:rPr>
          <w:rFonts w:ascii="Arial Black" w:eastAsia="Times New Roman" w:hAnsi="Arial Black"/>
          <w:sz w:val="28"/>
          <w:szCs w:val="28"/>
        </w:rPr>
      </w:pPr>
      <w:bookmarkStart w:id="551" w:name="_Hlk515212934"/>
      <w:bookmarkStart w:id="552" w:name="_Hlk7347462"/>
      <w:bookmarkEnd w:id="550"/>
      <w:r w:rsidRPr="00F65F37">
        <w:rPr>
          <w:rFonts w:ascii="Arial Black" w:eastAsia="Times New Roman" w:hAnsi="Arial Black"/>
          <w:sz w:val="28"/>
          <w:szCs w:val="28"/>
        </w:rPr>
        <w:t xml:space="preserve">MI: DYING DECLARATION </w:t>
      </w:r>
      <w:r>
        <w:rPr>
          <w:rFonts w:ascii="Arial Black" w:eastAsia="Times New Roman" w:hAnsi="Arial Black"/>
          <w:sz w:val="28"/>
          <w:szCs w:val="28"/>
        </w:rPr>
        <w:t xml:space="preserve">BY VICTIM </w:t>
      </w:r>
      <w:r w:rsidRPr="00F65F37">
        <w:rPr>
          <w:rFonts w:ascii="Arial Black" w:eastAsia="Times New Roman" w:hAnsi="Arial Black"/>
          <w:sz w:val="28"/>
          <w:szCs w:val="28"/>
        </w:rPr>
        <w:t>TO PARAMEDIC – ADMISSIBLE IN MURDER TRIAL</w:t>
      </w:r>
    </w:p>
    <w:bookmarkEnd w:id="551"/>
    <w:p w14:paraId="7D8CB9CB" w14:textId="77777777" w:rsidR="00F326E5" w:rsidRPr="00BC17B3" w:rsidRDefault="00F326E5" w:rsidP="00F326E5">
      <w:pPr>
        <w:rPr>
          <w:rFonts w:ascii="Times New Roman" w:eastAsia="Times New Roman" w:hAnsi="Times New Roman"/>
          <w:sz w:val="24"/>
          <w:szCs w:val="24"/>
        </w:rPr>
      </w:pPr>
      <w:r w:rsidRPr="00BC17B3">
        <w:rPr>
          <w:rFonts w:ascii="Times New Roman" w:eastAsia="Times New Roman" w:hAnsi="Times New Roman"/>
          <w:sz w:val="24"/>
          <w:szCs w:val="24"/>
        </w:rPr>
        <w:t xml:space="preserve">On April 19, 2018, in </w:t>
      </w:r>
      <w:r w:rsidRPr="00BC17B3">
        <w:rPr>
          <w:rFonts w:ascii="Times New Roman" w:eastAsia="Times New Roman" w:hAnsi="Times New Roman"/>
          <w:sz w:val="24"/>
          <w:szCs w:val="24"/>
          <w:u w:val="single"/>
        </w:rPr>
        <w:t>State of Michigan v. Christopher Tank</w:t>
      </w:r>
      <w:r w:rsidRPr="00BC17B3">
        <w:rPr>
          <w:rFonts w:ascii="Times New Roman" w:eastAsia="Times New Roman" w:hAnsi="Times New Roman"/>
          <w:sz w:val="24"/>
          <w:szCs w:val="24"/>
        </w:rPr>
        <w:t xml:space="preserve">, the State of Michigan Court of Appeals, upheld the jury conviction (3 to 0), holding “there was no plain error in admitting the victim’s dying declaration identifying defendant as his assailant.”  </w:t>
      </w:r>
      <w:hyperlink r:id="rId2420" w:history="1">
        <w:r w:rsidRPr="00BC17B3">
          <w:rPr>
            <w:rStyle w:val="Hyperlink"/>
            <w:rFonts w:ascii="Times New Roman" w:hAnsi="Times New Roman"/>
            <w:sz w:val="24"/>
            <w:szCs w:val="24"/>
          </w:rPr>
          <w:t>https://cases.justia.com/michigan/court-of-appeals-unpublished/2018-335366.pdf?ts=1524229247</w:t>
        </w:r>
      </w:hyperlink>
      <w:r w:rsidRPr="00BC17B3">
        <w:rPr>
          <w:rFonts w:ascii="Times New Roman" w:eastAsia="Times New Roman" w:hAnsi="Times New Roman"/>
          <w:sz w:val="24"/>
          <w:szCs w:val="24"/>
        </w:rPr>
        <w:t xml:space="preserve"> </w:t>
      </w:r>
    </w:p>
    <w:p w14:paraId="1AC0AC91" w14:textId="77777777" w:rsidR="00F326E5" w:rsidRPr="00BC17B3" w:rsidRDefault="00F326E5" w:rsidP="00F326E5">
      <w:pPr>
        <w:rPr>
          <w:rFonts w:ascii="Times New Roman" w:eastAsia="Times New Roman" w:hAnsi="Times New Roman"/>
          <w:b/>
          <w:sz w:val="24"/>
          <w:szCs w:val="24"/>
        </w:rPr>
      </w:pPr>
      <w:r w:rsidRPr="00BC17B3">
        <w:rPr>
          <w:rFonts w:ascii="Times New Roman" w:eastAsia="Times New Roman" w:hAnsi="Times New Roman"/>
          <w:b/>
          <w:sz w:val="24"/>
          <w:szCs w:val="24"/>
        </w:rPr>
        <w:t>Legal Lessons Learned: Dying declarations are admissible; include victim’s exact words in “quotes” in the EMS run report.</w:t>
      </w:r>
    </w:p>
    <w:bookmarkEnd w:id="552"/>
    <w:p w14:paraId="6CA8E80D" w14:textId="77777777" w:rsidR="00F326E5" w:rsidRDefault="00F326E5" w:rsidP="00F326E5">
      <w:pPr>
        <w:rPr>
          <w:rFonts w:eastAsia="Times New Roman"/>
          <w:sz w:val="24"/>
          <w:szCs w:val="24"/>
        </w:rPr>
      </w:pPr>
    </w:p>
    <w:p w14:paraId="014DEED9" w14:textId="5179C159" w:rsidR="00DE0F03" w:rsidRDefault="00DE0F03" w:rsidP="00DE0F03">
      <w:pPr>
        <w:rPr>
          <w:b/>
          <w:szCs w:val="24"/>
        </w:rPr>
      </w:pPr>
      <w:bookmarkStart w:id="553" w:name="_Hlk7347500"/>
      <w:r>
        <w:rPr>
          <w:rFonts w:ascii="Arial Black" w:hAnsi="Arial Black"/>
          <w:b/>
          <w:sz w:val="24"/>
          <w:szCs w:val="24"/>
        </w:rPr>
        <w:lastRenderedPageBreak/>
        <w:t>13-3</w:t>
      </w:r>
    </w:p>
    <w:p w14:paraId="26DB2F76" w14:textId="4134DF2F" w:rsidR="00F326E5" w:rsidRPr="00F65F37" w:rsidRDefault="00F326E5" w:rsidP="00F326E5">
      <w:pPr>
        <w:rPr>
          <w:rFonts w:eastAsia="Times New Roman"/>
          <w:sz w:val="28"/>
          <w:szCs w:val="28"/>
        </w:rPr>
      </w:pPr>
      <w:bookmarkStart w:id="554" w:name="_Hlk41155031"/>
      <w:r w:rsidRPr="00F65F37">
        <w:rPr>
          <w:rFonts w:ascii="Arial Black" w:eastAsia="Times New Roman" w:hAnsi="Arial Black"/>
          <w:sz w:val="28"/>
          <w:szCs w:val="28"/>
        </w:rPr>
        <w:t xml:space="preserve">MI:  CPR – NO NEED TO PERFORM WHEN </w:t>
      </w:r>
      <w:r>
        <w:rPr>
          <w:rFonts w:ascii="Arial Black" w:eastAsia="Times New Roman" w:hAnsi="Arial Black"/>
          <w:sz w:val="28"/>
          <w:szCs w:val="28"/>
        </w:rPr>
        <w:t xml:space="preserve">PATIENT CLEARLY DEAD - </w:t>
      </w:r>
      <w:r w:rsidRPr="00F65F37">
        <w:rPr>
          <w:rFonts w:ascii="Arial Black" w:eastAsia="Times New Roman" w:hAnsi="Arial Black"/>
          <w:sz w:val="28"/>
          <w:szCs w:val="28"/>
        </w:rPr>
        <w:t>LIVIDITY, NO PULSE</w:t>
      </w:r>
    </w:p>
    <w:p w14:paraId="41B89BB5" w14:textId="77777777" w:rsidR="00F326E5" w:rsidRPr="00BC17B3" w:rsidRDefault="00F326E5" w:rsidP="00F326E5">
      <w:pPr>
        <w:rPr>
          <w:rFonts w:ascii="Times New Roman" w:hAnsi="Times New Roman"/>
          <w:sz w:val="24"/>
          <w:szCs w:val="24"/>
        </w:rPr>
      </w:pPr>
      <w:r w:rsidRPr="00BC17B3">
        <w:rPr>
          <w:rFonts w:ascii="Times New Roman" w:eastAsia="Times New Roman" w:hAnsi="Times New Roman"/>
          <w:sz w:val="24"/>
          <w:szCs w:val="24"/>
        </w:rPr>
        <w:t xml:space="preserve">On April 12, 2018, in </w:t>
      </w:r>
      <w:r w:rsidRPr="00BC17B3">
        <w:rPr>
          <w:rFonts w:ascii="Times New Roman" w:eastAsia="Times New Roman" w:hAnsi="Times New Roman"/>
          <w:sz w:val="24"/>
          <w:szCs w:val="24"/>
          <w:u w:val="single"/>
        </w:rPr>
        <w:t>Eusebio Saldana v. Nathan Smith and Sanilac County Sheriff’s Office</w:t>
      </w:r>
      <w:r w:rsidRPr="00BC17B3">
        <w:rPr>
          <w:rFonts w:ascii="Times New Roman" w:eastAsia="Times New Roman" w:hAnsi="Times New Roman"/>
          <w:sz w:val="24"/>
          <w:szCs w:val="24"/>
        </w:rPr>
        <w:t>, the State of Michigan Court of Appeals held (3 to 0; unpublished decision) that the police officer “</w:t>
      </w:r>
      <w:r w:rsidRPr="00BC17B3">
        <w:rPr>
          <w:rFonts w:ascii="Times New Roman" w:hAnsi="Times New Roman"/>
          <w:sz w:val="24"/>
          <w:szCs w:val="24"/>
        </w:rPr>
        <w:t xml:space="preserve">exercised his discretion based on his experience and training in identifying Michael's condition and acting according to those conclusions.”  </w:t>
      </w:r>
      <w:hyperlink r:id="rId2421" w:history="1">
        <w:r w:rsidRPr="00BC17B3">
          <w:rPr>
            <w:rStyle w:val="Hyperlink"/>
            <w:rFonts w:ascii="Times New Roman" w:hAnsi="Times New Roman"/>
            <w:sz w:val="24"/>
            <w:szCs w:val="24"/>
          </w:rPr>
          <w:t>https://scholar.google.com/scholar_case?case=10284773024569378667&amp;hl=en&amp;as_sdt=6&amp;as_vis=1&amp;oi=scholarr</w:t>
        </w:r>
      </w:hyperlink>
      <w:r w:rsidRPr="00BC17B3">
        <w:rPr>
          <w:rFonts w:ascii="Times New Roman" w:hAnsi="Times New Roman"/>
          <w:sz w:val="24"/>
          <w:szCs w:val="24"/>
        </w:rPr>
        <w:t xml:space="preserve"> </w:t>
      </w:r>
    </w:p>
    <w:p w14:paraId="623A406D" w14:textId="77777777" w:rsidR="00F326E5" w:rsidRPr="00BC17B3" w:rsidRDefault="00F326E5" w:rsidP="00F326E5">
      <w:pPr>
        <w:rPr>
          <w:rFonts w:ascii="Times New Roman" w:hAnsi="Times New Roman"/>
          <w:b/>
          <w:sz w:val="24"/>
          <w:szCs w:val="24"/>
        </w:rPr>
      </w:pPr>
      <w:r w:rsidRPr="00BC17B3">
        <w:rPr>
          <w:rFonts w:ascii="Times New Roman" w:hAnsi="Times New Roman"/>
          <w:b/>
          <w:sz w:val="24"/>
          <w:szCs w:val="24"/>
        </w:rPr>
        <w:t>Legal Lessons Learned:  Michigan statues protect police &amp; EMS from liability, unless proof of gross negligence.</w:t>
      </w:r>
    </w:p>
    <w:bookmarkEnd w:id="553"/>
    <w:bookmarkEnd w:id="554"/>
    <w:p w14:paraId="6FC66EFC" w14:textId="77777777" w:rsidR="00F326E5" w:rsidRDefault="00F326E5" w:rsidP="00F326E5">
      <w:pPr>
        <w:rPr>
          <w:rFonts w:eastAsia="Times New Roman"/>
          <w:sz w:val="24"/>
          <w:szCs w:val="24"/>
        </w:rPr>
      </w:pPr>
    </w:p>
    <w:p w14:paraId="30B2109F" w14:textId="07A43293" w:rsidR="00DE0F03" w:rsidRDefault="00DE0F03" w:rsidP="00DE0F03">
      <w:pPr>
        <w:rPr>
          <w:b/>
          <w:szCs w:val="24"/>
        </w:rPr>
      </w:pPr>
      <w:bookmarkStart w:id="555" w:name="_Hlk515213164"/>
      <w:r>
        <w:rPr>
          <w:rFonts w:ascii="Arial Black" w:hAnsi="Arial Black"/>
          <w:b/>
          <w:sz w:val="24"/>
          <w:szCs w:val="24"/>
        </w:rPr>
        <w:t>13-2</w:t>
      </w:r>
    </w:p>
    <w:p w14:paraId="57D14077" w14:textId="77777777" w:rsidR="00F326E5" w:rsidRDefault="00F326E5" w:rsidP="00F326E5">
      <w:pPr>
        <w:pStyle w:val="NoSpacing"/>
        <w:rPr>
          <w:sz w:val="24"/>
          <w:szCs w:val="24"/>
        </w:rPr>
      </w:pPr>
    </w:p>
    <w:p w14:paraId="11A30793" w14:textId="0FEF194E" w:rsidR="00F326E5" w:rsidRDefault="00F326E5" w:rsidP="00F326E5">
      <w:pPr>
        <w:pStyle w:val="NoSpacing"/>
        <w:rPr>
          <w:rFonts w:ascii="Arial Black" w:hAnsi="Arial Black"/>
          <w:b/>
          <w:sz w:val="28"/>
          <w:szCs w:val="28"/>
        </w:rPr>
      </w:pPr>
      <w:bookmarkStart w:id="556" w:name="_Hlk7347620"/>
      <w:r w:rsidRPr="00B018B0">
        <w:rPr>
          <w:rFonts w:ascii="Arial Black" w:hAnsi="Arial Black"/>
          <w:b/>
          <w:sz w:val="28"/>
          <w:szCs w:val="28"/>
        </w:rPr>
        <w:t>OH</w:t>
      </w:r>
      <w:r>
        <w:rPr>
          <w:rFonts w:ascii="Arial Black" w:hAnsi="Arial Black"/>
          <w:b/>
          <w:sz w:val="28"/>
          <w:szCs w:val="28"/>
        </w:rPr>
        <w:t xml:space="preserve">: </w:t>
      </w:r>
      <w:r w:rsidRPr="00B018B0">
        <w:rPr>
          <w:rFonts w:ascii="Arial Black" w:hAnsi="Arial Black"/>
          <w:b/>
          <w:sz w:val="28"/>
          <w:szCs w:val="28"/>
        </w:rPr>
        <w:t xml:space="preserve"> DRUNK DRIVER </w:t>
      </w:r>
      <w:r>
        <w:rPr>
          <w:rFonts w:ascii="Arial Black" w:hAnsi="Arial Black"/>
          <w:b/>
          <w:sz w:val="28"/>
          <w:szCs w:val="28"/>
        </w:rPr>
        <w:t xml:space="preserve">- </w:t>
      </w:r>
      <w:r w:rsidRPr="00B018B0">
        <w:rPr>
          <w:rFonts w:ascii="Arial Black" w:hAnsi="Arial Black"/>
          <w:b/>
          <w:sz w:val="28"/>
          <w:szCs w:val="28"/>
        </w:rPr>
        <w:t xml:space="preserve">URINE </w:t>
      </w:r>
      <w:r>
        <w:rPr>
          <w:rFonts w:ascii="Arial Black" w:hAnsi="Arial Black"/>
          <w:b/>
          <w:sz w:val="28"/>
          <w:szCs w:val="28"/>
        </w:rPr>
        <w:t xml:space="preserve">/ </w:t>
      </w:r>
      <w:r w:rsidRPr="00B018B0">
        <w:rPr>
          <w:rFonts w:ascii="Arial Black" w:hAnsi="Arial Black"/>
          <w:b/>
          <w:sz w:val="28"/>
          <w:szCs w:val="28"/>
        </w:rPr>
        <w:t xml:space="preserve">BLOOD TESTS </w:t>
      </w:r>
      <w:r>
        <w:rPr>
          <w:rFonts w:ascii="Arial Black" w:hAnsi="Arial Black"/>
          <w:b/>
          <w:sz w:val="28"/>
          <w:szCs w:val="28"/>
        </w:rPr>
        <w:t>IN E</w:t>
      </w:r>
      <w:r w:rsidR="0048537E">
        <w:rPr>
          <w:rFonts w:ascii="Arial Black" w:hAnsi="Arial Black"/>
          <w:b/>
          <w:sz w:val="28"/>
          <w:szCs w:val="28"/>
        </w:rPr>
        <w:t>MERGENCY ROOM BY ORDERS OF PHYSICIAN</w:t>
      </w:r>
      <w:r>
        <w:rPr>
          <w:rFonts w:ascii="Arial Black" w:hAnsi="Arial Black"/>
          <w:b/>
          <w:sz w:val="28"/>
          <w:szCs w:val="28"/>
        </w:rPr>
        <w:t xml:space="preserve"> - </w:t>
      </w:r>
      <w:r w:rsidRPr="00B018B0">
        <w:rPr>
          <w:rFonts w:ascii="Arial Black" w:hAnsi="Arial Black"/>
          <w:b/>
          <w:sz w:val="28"/>
          <w:szCs w:val="28"/>
        </w:rPr>
        <w:t>NO 4</w:t>
      </w:r>
      <w:r w:rsidRPr="00B018B0">
        <w:rPr>
          <w:rFonts w:ascii="Arial Black" w:hAnsi="Arial Black"/>
          <w:b/>
          <w:sz w:val="28"/>
          <w:szCs w:val="28"/>
          <w:vertAlign w:val="superscript"/>
        </w:rPr>
        <w:t>TH</w:t>
      </w:r>
      <w:r w:rsidRPr="00B018B0">
        <w:rPr>
          <w:rFonts w:ascii="Arial Black" w:hAnsi="Arial Black"/>
          <w:b/>
          <w:sz w:val="28"/>
          <w:szCs w:val="28"/>
        </w:rPr>
        <w:t xml:space="preserve"> AMENDMENT VIOL</w:t>
      </w:r>
      <w:r w:rsidR="0048537E">
        <w:rPr>
          <w:rFonts w:ascii="Arial Black" w:hAnsi="Arial Black"/>
          <w:b/>
          <w:sz w:val="28"/>
          <w:szCs w:val="28"/>
        </w:rPr>
        <w:t xml:space="preserve">. BY PD </w:t>
      </w:r>
    </w:p>
    <w:bookmarkEnd w:id="555"/>
    <w:p w14:paraId="36664CEC" w14:textId="77777777" w:rsidR="00F326E5" w:rsidRPr="00BC17B3" w:rsidRDefault="00F326E5" w:rsidP="00F326E5">
      <w:pPr>
        <w:rPr>
          <w:rFonts w:ascii="Times New Roman" w:hAnsi="Times New Roman"/>
          <w:b/>
          <w:sz w:val="24"/>
          <w:szCs w:val="24"/>
        </w:rPr>
      </w:pPr>
      <w:r w:rsidRPr="00BC17B3">
        <w:rPr>
          <w:rFonts w:ascii="Times New Roman" w:hAnsi="Times New Roman"/>
          <w:sz w:val="24"/>
          <w:szCs w:val="24"/>
        </w:rPr>
        <w:t xml:space="preserve">On March 26, 2018, in </w:t>
      </w:r>
      <w:r w:rsidRPr="00BC17B3">
        <w:rPr>
          <w:rFonts w:ascii="Times New Roman" w:hAnsi="Times New Roman"/>
          <w:sz w:val="24"/>
          <w:szCs w:val="24"/>
          <w:u w:val="single"/>
        </w:rPr>
        <w:t>John W. Gold v. City of Sandusky, et al</w:t>
      </w:r>
      <w:r w:rsidRPr="00BC17B3">
        <w:rPr>
          <w:rFonts w:ascii="Times New Roman" w:hAnsi="Times New Roman"/>
          <w:sz w:val="24"/>
          <w:szCs w:val="24"/>
        </w:rPr>
        <w:t xml:space="preserve">., U.S. Magistrate Judge for the U.S. District Court, Northern, OH, issued a Memorandum Opinion and Order dismissing the civil rights lawsuit filed against the City, police officers, and ER medical staff, holding: “To the extent Plaintiff argues the officers violated his Fourth Amendment rights in the insertion of the catheter or in taking his blood, such a claim fails for the reasons stated above. That is, there is no </w:t>
      </w:r>
      <w:proofErr w:type="gramStart"/>
      <w:r w:rsidRPr="00BC17B3">
        <w:rPr>
          <w:rFonts w:ascii="Times New Roman" w:hAnsi="Times New Roman"/>
          <w:sz w:val="24"/>
          <w:szCs w:val="24"/>
        </w:rPr>
        <w:t>evidence</w:t>
      </w:r>
      <w:proofErr w:type="gramEnd"/>
      <w:r w:rsidRPr="00BC17B3">
        <w:rPr>
          <w:rFonts w:ascii="Times New Roman" w:hAnsi="Times New Roman"/>
          <w:sz w:val="24"/>
          <w:szCs w:val="24"/>
        </w:rPr>
        <w:t xml:space="preserve"> the catheter was placed, or blood drawn, at the request of the police. Rather, it was medical personnel who made the decision and performed the action.”</w:t>
      </w:r>
      <w:r w:rsidRPr="00BC17B3">
        <w:rPr>
          <w:rFonts w:ascii="Times New Roman" w:hAnsi="Times New Roman"/>
          <w:b/>
          <w:sz w:val="24"/>
          <w:szCs w:val="24"/>
        </w:rPr>
        <w:t xml:space="preserve"> </w:t>
      </w:r>
      <w:hyperlink r:id="rId2422" w:history="1">
        <w:r w:rsidRPr="00BC17B3">
          <w:rPr>
            <w:rStyle w:val="Hyperlink"/>
            <w:rFonts w:ascii="Times New Roman" w:hAnsi="Times New Roman"/>
            <w:sz w:val="24"/>
            <w:szCs w:val="24"/>
          </w:rPr>
          <w:t>http://courtweb.pamd.uscourts.gov/courtwebsearch/ndoh/AlKFf0ZU_k.pdf</w:t>
        </w:r>
      </w:hyperlink>
      <w:r w:rsidRPr="00BC17B3">
        <w:rPr>
          <w:rFonts w:ascii="Times New Roman" w:hAnsi="Times New Roman"/>
          <w:b/>
          <w:sz w:val="24"/>
          <w:szCs w:val="24"/>
        </w:rPr>
        <w:t xml:space="preserve"> </w:t>
      </w:r>
    </w:p>
    <w:p w14:paraId="0DA1CE42" w14:textId="77777777" w:rsidR="00F326E5" w:rsidRPr="00BC17B3" w:rsidRDefault="00F326E5" w:rsidP="00F326E5">
      <w:pPr>
        <w:rPr>
          <w:rFonts w:ascii="Times New Roman" w:hAnsi="Times New Roman"/>
          <w:b/>
          <w:sz w:val="24"/>
          <w:szCs w:val="24"/>
        </w:rPr>
      </w:pPr>
      <w:r w:rsidRPr="00BC17B3">
        <w:rPr>
          <w:rFonts w:ascii="Times New Roman" w:hAnsi="Times New Roman"/>
          <w:b/>
          <w:sz w:val="24"/>
          <w:szCs w:val="24"/>
        </w:rPr>
        <w:t xml:space="preserve">LEGAL LESSONS LEARNED:  Blood and urine may be obtained in ER for medical reasons, without patient consent; police may obtain a search warrant for use in criminal </w:t>
      </w:r>
      <w:proofErr w:type="gramStart"/>
      <w:r w:rsidRPr="00BC17B3">
        <w:rPr>
          <w:rFonts w:ascii="Times New Roman" w:hAnsi="Times New Roman"/>
          <w:b/>
          <w:sz w:val="24"/>
          <w:szCs w:val="24"/>
        </w:rPr>
        <w:t>case</w:t>
      </w:r>
      <w:proofErr w:type="gramEnd"/>
      <w:r w:rsidRPr="00BC17B3">
        <w:rPr>
          <w:rFonts w:ascii="Times New Roman" w:hAnsi="Times New Roman"/>
          <w:b/>
          <w:sz w:val="24"/>
          <w:szCs w:val="24"/>
        </w:rPr>
        <w:t>.</w:t>
      </w:r>
    </w:p>
    <w:bookmarkEnd w:id="556"/>
    <w:p w14:paraId="51B12EA0" w14:textId="77777777" w:rsidR="0036327D" w:rsidRDefault="0036327D" w:rsidP="00DE0F03">
      <w:pPr>
        <w:rPr>
          <w:rFonts w:ascii="Arial Black" w:hAnsi="Arial Black"/>
          <w:b/>
          <w:sz w:val="24"/>
          <w:szCs w:val="24"/>
        </w:rPr>
      </w:pPr>
    </w:p>
    <w:p w14:paraId="639FF713" w14:textId="2C18E25F" w:rsidR="00F326E5" w:rsidRDefault="00DE0F03" w:rsidP="00DE0F03">
      <w:pPr>
        <w:rPr>
          <w:b/>
          <w:szCs w:val="24"/>
        </w:rPr>
      </w:pPr>
      <w:r>
        <w:rPr>
          <w:rFonts w:ascii="Arial Black" w:hAnsi="Arial Black"/>
          <w:b/>
          <w:sz w:val="24"/>
          <w:szCs w:val="24"/>
        </w:rPr>
        <w:t>13-1</w:t>
      </w:r>
    </w:p>
    <w:p w14:paraId="0AD67384" w14:textId="77777777" w:rsidR="00F326E5" w:rsidRDefault="00F326E5" w:rsidP="00F326E5">
      <w:pPr>
        <w:pStyle w:val="NoSpacing"/>
        <w:rPr>
          <w:b/>
          <w:szCs w:val="24"/>
        </w:rPr>
      </w:pPr>
    </w:p>
    <w:p w14:paraId="601A39BC" w14:textId="62AA748A" w:rsidR="00F326E5" w:rsidRPr="008D7D88" w:rsidRDefault="00F326E5" w:rsidP="00F326E5">
      <w:pPr>
        <w:pStyle w:val="NoSpacing"/>
        <w:rPr>
          <w:b/>
          <w:sz w:val="24"/>
          <w:szCs w:val="24"/>
        </w:rPr>
      </w:pPr>
      <w:bookmarkStart w:id="557" w:name="_Hlk7347790"/>
      <w:r w:rsidRPr="0066326F">
        <w:rPr>
          <w:rFonts w:ascii="Arial Black" w:hAnsi="Arial Black"/>
          <w:sz w:val="28"/>
          <w:szCs w:val="28"/>
        </w:rPr>
        <w:t xml:space="preserve">OH: </w:t>
      </w:r>
      <w:r w:rsidR="0048537E">
        <w:rPr>
          <w:rFonts w:ascii="Arial Black" w:hAnsi="Arial Black"/>
          <w:sz w:val="28"/>
          <w:szCs w:val="28"/>
        </w:rPr>
        <w:t xml:space="preserve">AMBULANCE IN MVA </w:t>
      </w:r>
      <w:r w:rsidR="00247719">
        <w:rPr>
          <w:rFonts w:ascii="Arial Black" w:hAnsi="Arial Black"/>
          <w:sz w:val="28"/>
          <w:szCs w:val="28"/>
        </w:rPr>
        <w:t>–</w:t>
      </w:r>
      <w:r w:rsidR="0048537E">
        <w:rPr>
          <w:rFonts w:ascii="Arial Black" w:hAnsi="Arial Black"/>
          <w:sz w:val="28"/>
          <w:szCs w:val="28"/>
        </w:rPr>
        <w:t xml:space="preserve"> </w:t>
      </w:r>
      <w:r w:rsidR="00247719">
        <w:rPr>
          <w:rFonts w:ascii="Arial Black" w:hAnsi="Arial Black"/>
          <w:sz w:val="28"/>
          <w:szCs w:val="28"/>
        </w:rPr>
        <w:t xml:space="preserve">EMT </w:t>
      </w:r>
      <w:r w:rsidRPr="0066326F">
        <w:rPr>
          <w:rFonts w:ascii="Arial Black" w:hAnsi="Arial Black"/>
          <w:sz w:val="28"/>
          <w:szCs w:val="28"/>
        </w:rPr>
        <w:t xml:space="preserve">DRIVER SPEEDING, </w:t>
      </w:r>
      <w:r w:rsidR="00247719">
        <w:rPr>
          <w:rFonts w:ascii="Arial Black" w:hAnsi="Arial Black"/>
          <w:sz w:val="28"/>
          <w:szCs w:val="28"/>
        </w:rPr>
        <w:t xml:space="preserve">PASSING </w:t>
      </w:r>
      <w:r w:rsidRPr="0066326F">
        <w:rPr>
          <w:rFonts w:ascii="Arial Black" w:hAnsi="Arial Black"/>
          <w:sz w:val="28"/>
          <w:szCs w:val="28"/>
        </w:rPr>
        <w:t>IN NO PASSING ZONE, NO LIGHTS &amp; SIREN</w:t>
      </w:r>
      <w:r>
        <w:rPr>
          <w:rFonts w:ascii="Arial Black" w:hAnsi="Arial Black"/>
          <w:sz w:val="28"/>
          <w:szCs w:val="28"/>
        </w:rPr>
        <w:t xml:space="preserve"> </w:t>
      </w:r>
      <w:r w:rsidRPr="008D7D88">
        <w:rPr>
          <w:b/>
          <w:sz w:val="24"/>
          <w:szCs w:val="24"/>
        </w:rPr>
        <w:t>[also filed, Chap. 5]</w:t>
      </w:r>
    </w:p>
    <w:p w14:paraId="492C1AF9" w14:textId="77777777" w:rsidR="0048537E" w:rsidRPr="00BC17B3" w:rsidRDefault="00F326E5" w:rsidP="00F326E5">
      <w:pPr>
        <w:pStyle w:val="NoSpacing"/>
        <w:rPr>
          <w:rFonts w:ascii="Times New Roman" w:hAnsi="Times New Roman"/>
          <w:b/>
          <w:sz w:val="24"/>
          <w:szCs w:val="24"/>
        </w:rPr>
      </w:pPr>
      <w:r w:rsidRPr="00BC17B3">
        <w:rPr>
          <w:rFonts w:ascii="Times New Roman" w:hAnsi="Times New Roman"/>
          <w:sz w:val="24"/>
          <w:szCs w:val="24"/>
        </w:rPr>
        <w:t xml:space="preserve">On Jan. 2, 2018, in </w:t>
      </w:r>
      <w:r w:rsidRPr="00BC17B3">
        <w:rPr>
          <w:rFonts w:ascii="Times New Roman" w:hAnsi="Times New Roman"/>
          <w:sz w:val="24"/>
          <w:szCs w:val="24"/>
          <w:u w:val="single"/>
        </w:rPr>
        <w:t>Folmer v. Meigs County Commissioners, et al.,</w:t>
      </w:r>
      <w:r w:rsidRPr="00BC17B3">
        <w:rPr>
          <w:rFonts w:ascii="Times New Roman" w:hAnsi="Times New Roman"/>
          <w:sz w:val="24"/>
          <w:szCs w:val="24"/>
        </w:rPr>
        <w:t xml:space="preserve"> 2018-Ohio- 31, 4th Appellate District (Meigs County), the Court held that the EMS driver may have been negligent when transporting a patient traveling over 20 mph above posted speed limit, with no lights or siren, and attempted to pass vehicle in no passing lane, hitting oncoming vehicle. While the lawsuit may proceed against Meigs County EMS, the EMS driver enjoys immunity from personal liability since plaintiff did not </w:t>
      </w:r>
      <w:proofErr w:type="gramStart"/>
      <w:r w:rsidRPr="00BC17B3">
        <w:rPr>
          <w:rFonts w:ascii="Times New Roman" w:hAnsi="Times New Roman"/>
          <w:sz w:val="24"/>
          <w:szCs w:val="24"/>
        </w:rPr>
        <w:t>alleged</w:t>
      </w:r>
      <w:proofErr w:type="gramEnd"/>
      <w:r w:rsidRPr="00BC17B3">
        <w:rPr>
          <w:rFonts w:ascii="Times New Roman" w:hAnsi="Times New Roman"/>
          <w:sz w:val="24"/>
          <w:szCs w:val="24"/>
        </w:rPr>
        <w:t xml:space="preserve"> he “acted with malicious purpose, bad faith, or recklessness under R.C. 2744.03(A)(6)(b).”</w:t>
      </w:r>
      <w:r w:rsidRPr="00BC17B3">
        <w:rPr>
          <w:rFonts w:ascii="Times New Roman" w:hAnsi="Times New Roman"/>
          <w:b/>
          <w:sz w:val="24"/>
          <w:szCs w:val="24"/>
        </w:rPr>
        <w:t xml:space="preserve"> </w:t>
      </w:r>
    </w:p>
    <w:p w14:paraId="6925D6A2" w14:textId="6D0861F7" w:rsidR="00F326E5" w:rsidRPr="00BC17B3" w:rsidRDefault="0048537E" w:rsidP="00F326E5">
      <w:pPr>
        <w:pStyle w:val="NoSpacing"/>
        <w:rPr>
          <w:rFonts w:ascii="Times New Roman" w:hAnsi="Times New Roman"/>
          <w:b/>
          <w:sz w:val="24"/>
          <w:szCs w:val="24"/>
        </w:rPr>
      </w:pPr>
      <w:hyperlink r:id="rId2423" w:history="1">
        <w:r w:rsidRPr="00BC17B3">
          <w:rPr>
            <w:rStyle w:val="Hyperlink"/>
            <w:rFonts w:ascii="Times New Roman" w:hAnsi="Times New Roman"/>
            <w:sz w:val="24"/>
            <w:szCs w:val="24"/>
          </w:rPr>
          <w:t>https://www.supremecourt.ohio.gov/rod/docs/pdf/4/2018/2018-Ohio-31.pdf</w:t>
        </w:r>
      </w:hyperlink>
      <w:r w:rsidR="00F326E5" w:rsidRPr="00BC17B3">
        <w:rPr>
          <w:rFonts w:ascii="Times New Roman" w:hAnsi="Times New Roman"/>
          <w:b/>
          <w:sz w:val="24"/>
          <w:szCs w:val="24"/>
        </w:rPr>
        <w:t xml:space="preserve"> </w:t>
      </w:r>
    </w:p>
    <w:p w14:paraId="093FD0A7" w14:textId="77777777" w:rsidR="00BC17B3" w:rsidRDefault="00BC17B3" w:rsidP="00F326E5">
      <w:pPr>
        <w:pStyle w:val="NoSpacing"/>
        <w:rPr>
          <w:rFonts w:ascii="Times New Roman" w:hAnsi="Times New Roman"/>
          <w:b/>
          <w:sz w:val="24"/>
          <w:szCs w:val="24"/>
        </w:rPr>
      </w:pPr>
    </w:p>
    <w:p w14:paraId="6BA7EFEC" w14:textId="79428D9E" w:rsidR="00F326E5" w:rsidRPr="00BC17B3" w:rsidRDefault="00F326E5" w:rsidP="00F326E5">
      <w:pPr>
        <w:pStyle w:val="NoSpacing"/>
        <w:rPr>
          <w:rFonts w:ascii="Times New Roman" w:hAnsi="Times New Roman"/>
          <w:b/>
          <w:sz w:val="24"/>
          <w:szCs w:val="24"/>
        </w:rPr>
      </w:pPr>
      <w:r w:rsidRPr="00BC17B3">
        <w:rPr>
          <w:rFonts w:ascii="Times New Roman" w:hAnsi="Times New Roman"/>
          <w:b/>
          <w:sz w:val="24"/>
          <w:szCs w:val="24"/>
        </w:rPr>
        <w:t>Legal Lessons Learned: If transporting without lights and siren, then EMS driver must obey speed limit and no passing zone. The EMS driver was fortunate the plaintiff did not allege he was driving in “wanton or reckless manner.</w:t>
      </w:r>
    </w:p>
    <w:bookmarkEnd w:id="557"/>
    <w:p w14:paraId="24AC203B" w14:textId="77777777" w:rsidR="00F326E5" w:rsidRPr="00952ED4" w:rsidRDefault="00F326E5" w:rsidP="00F326E5">
      <w:pPr>
        <w:rPr>
          <w:rFonts w:eastAsia="Times New Roman"/>
          <w:b/>
          <w:sz w:val="24"/>
          <w:szCs w:val="24"/>
        </w:rPr>
      </w:pPr>
    </w:p>
    <w:p w14:paraId="7A5D35B2" w14:textId="66A9C55B" w:rsidR="00247719" w:rsidRDefault="00247719">
      <w:pPr>
        <w:spacing w:after="0" w:line="240" w:lineRule="auto"/>
        <w:rPr>
          <w:b/>
          <w:sz w:val="24"/>
          <w:szCs w:val="24"/>
        </w:rPr>
      </w:pPr>
      <w:r>
        <w:rPr>
          <w:b/>
          <w:sz w:val="24"/>
          <w:szCs w:val="24"/>
        </w:rPr>
        <w:br w:type="page"/>
      </w:r>
    </w:p>
    <w:p w14:paraId="11C44DFC" w14:textId="77777777" w:rsidR="00F326E5" w:rsidRPr="00CA2809" w:rsidRDefault="00F326E5" w:rsidP="00F326E5">
      <w:pPr>
        <w:pStyle w:val="NoSpacing"/>
        <w:rPr>
          <w:b/>
          <w:sz w:val="24"/>
          <w:szCs w:val="24"/>
        </w:rPr>
      </w:pPr>
    </w:p>
    <w:p w14:paraId="4CA8BBA7" w14:textId="63043C04" w:rsidR="00F86334" w:rsidRDefault="00F86334">
      <w:pPr>
        <w:spacing w:after="0" w:line="240" w:lineRule="auto"/>
        <w:rPr>
          <w:rFonts w:ascii="Arial Black" w:hAnsi="Arial Black"/>
          <w:sz w:val="40"/>
          <w:szCs w:val="40"/>
        </w:rPr>
      </w:pPr>
      <w:r>
        <w:rPr>
          <w:rFonts w:ascii="Arial Black" w:hAnsi="Arial Black"/>
          <w:sz w:val="40"/>
          <w:szCs w:val="40"/>
        </w:rPr>
        <w:br w:type="page"/>
      </w:r>
    </w:p>
    <w:p w14:paraId="61F3DA22" w14:textId="77777777" w:rsidR="00F86334" w:rsidRDefault="00F86334" w:rsidP="00F326E5">
      <w:pPr>
        <w:pStyle w:val="NoSpacing"/>
        <w:rPr>
          <w:rFonts w:ascii="Arial Black" w:hAnsi="Arial Black"/>
          <w:sz w:val="40"/>
          <w:szCs w:val="40"/>
        </w:rPr>
      </w:pPr>
    </w:p>
    <w:p w14:paraId="32F06443" w14:textId="33D5CE78" w:rsidR="00F326E5" w:rsidRDefault="00F326E5" w:rsidP="00F326E5">
      <w:pPr>
        <w:pStyle w:val="NoSpacing"/>
        <w:rPr>
          <w:rFonts w:ascii="Arial Black" w:hAnsi="Arial Black"/>
          <w:sz w:val="40"/>
          <w:szCs w:val="40"/>
        </w:rPr>
      </w:pPr>
      <w:r w:rsidRPr="007732FA">
        <w:rPr>
          <w:rFonts w:ascii="Arial Black" w:hAnsi="Arial Black"/>
          <w:sz w:val="40"/>
          <w:szCs w:val="40"/>
        </w:rPr>
        <w:t>Chap. 14</w:t>
      </w:r>
      <w:r w:rsidRPr="007732FA">
        <w:rPr>
          <w:rFonts w:ascii="Arial Black" w:hAnsi="Arial Black"/>
          <w:sz w:val="40"/>
          <w:szCs w:val="40"/>
        </w:rPr>
        <w:tab/>
      </w:r>
      <w:r w:rsidRPr="007732FA">
        <w:rPr>
          <w:rFonts w:ascii="Arial Black" w:hAnsi="Arial Black"/>
          <w:sz w:val="40"/>
          <w:szCs w:val="40"/>
        </w:rPr>
        <w:tab/>
        <w:t>Physical Fitness</w:t>
      </w:r>
      <w:r w:rsidR="00344E40">
        <w:rPr>
          <w:rFonts w:ascii="Arial Black" w:hAnsi="Arial Black"/>
          <w:sz w:val="40"/>
          <w:szCs w:val="40"/>
        </w:rPr>
        <w:t xml:space="preserve"> and </w:t>
      </w:r>
      <w:r w:rsidR="00D5755F">
        <w:rPr>
          <w:rFonts w:ascii="Arial Black" w:hAnsi="Arial Black"/>
          <w:sz w:val="40"/>
          <w:szCs w:val="40"/>
        </w:rPr>
        <w:t xml:space="preserve">Light Duty </w:t>
      </w:r>
      <w:r w:rsidR="00344E40">
        <w:rPr>
          <w:rFonts w:ascii="Arial Black" w:hAnsi="Arial Black"/>
          <w:sz w:val="40"/>
          <w:szCs w:val="40"/>
        </w:rPr>
        <w:t xml:space="preserve"> </w:t>
      </w:r>
      <w:r w:rsidRPr="007732FA">
        <w:rPr>
          <w:rFonts w:ascii="Arial Black" w:hAnsi="Arial Black"/>
          <w:sz w:val="40"/>
          <w:szCs w:val="40"/>
        </w:rPr>
        <w:tab/>
      </w:r>
    </w:p>
    <w:p w14:paraId="3EC3C8EF" w14:textId="77777777" w:rsidR="00BC5936" w:rsidRDefault="00BC5936" w:rsidP="00F326E5">
      <w:pPr>
        <w:pStyle w:val="NoSpacing"/>
        <w:rPr>
          <w:rFonts w:ascii="Arial Black" w:hAnsi="Arial Black"/>
          <w:sz w:val="28"/>
          <w:szCs w:val="28"/>
        </w:rPr>
      </w:pPr>
    </w:p>
    <w:p w14:paraId="728415D3" w14:textId="1B4195BD" w:rsidR="00116265" w:rsidRDefault="00116265" w:rsidP="00116265">
      <w:pPr>
        <w:pStyle w:val="NoSpacing"/>
        <w:rPr>
          <w:rFonts w:ascii="Arial Black" w:hAnsi="Arial Black"/>
          <w:sz w:val="28"/>
          <w:szCs w:val="28"/>
        </w:rPr>
      </w:pPr>
      <w:r>
        <w:rPr>
          <w:rFonts w:ascii="Arial Black" w:hAnsi="Arial Black"/>
          <w:sz w:val="28"/>
          <w:szCs w:val="28"/>
        </w:rPr>
        <w:t>14-9</w:t>
      </w:r>
      <w:r w:rsidR="008C7243">
        <w:rPr>
          <w:rFonts w:ascii="Arial Black" w:hAnsi="Arial Black"/>
          <w:sz w:val="28"/>
          <w:szCs w:val="28"/>
        </w:rPr>
        <w:t xml:space="preserve"> [also filed, Chap. 9, ADA]</w:t>
      </w:r>
    </w:p>
    <w:p w14:paraId="67278772" w14:textId="77777777" w:rsidR="00116265" w:rsidRDefault="00116265" w:rsidP="00116265">
      <w:pPr>
        <w:pStyle w:val="NoSpacing"/>
        <w:rPr>
          <w:rFonts w:ascii="Arial Black" w:hAnsi="Arial Black"/>
          <w:sz w:val="28"/>
          <w:szCs w:val="28"/>
        </w:rPr>
      </w:pPr>
    </w:p>
    <w:p w14:paraId="1D69FC85" w14:textId="7273FFC1" w:rsidR="00116265" w:rsidRDefault="00116265" w:rsidP="00116265">
      <w:pPr>
        <w:pStyle w:val="NoSpacing"/>
        <w:rPr>
          <w:rFonts w:ascii="Arial Black" w:hAnsi="Arial Black"/>
          <w:bCs/>
          <w:sz w:val="28"/>
          <w:szCs w:val="28"/>
        </w:rPr>
      </w:pPr>
      <w:r>
        <w:rPr>
          <w:rFonts w:ascii="Arial Black" w:hAnsi="Arial Black"/>
          <w:sz w:val="28"/>
          <w:szCs w:val="28"/>
        </w:rPr>
        <w:t>MD: DEPRESSION – SLOWER STATION – CASE PROCEED</w:t>
      </w:r>
    </w:p>
    <w:p w14:paraId="06092CBF" w14:textId="77777777" w:rsidR="00116265" w:rsidRDefault="00116265" w:rsidP="00116265">
      <w:pPr>
        <w:pStyle w:val="NoSpacing"/>
        <w:rPr>
          <w:rFonts w:ascii="Arial Black" w:hAnsi="Arial Black"/>
          <w:bCs/>
          <w:sz w:val="28"/>
          <w:szCs w:val="28"/>
        </w:rPr>
      </w:pPr>
    </w:p>
    <w:p w14:paraId="2906583B" w14:textId="77777777" w:rsidR="00116265" w:rsidRDefault="00116265" w:rsidP="00116265">
      <w:pPr>
        <w:pStyle w:val="NoSpacing"/>
      </w:pPr>
      <w:r>
        <w:t xml:space="preserve">On April 28, 2025, in </w:t>
      </w:r>
      <w:r w:rsidRPr="00636B1D">
        <w:rPr>
          <w:u w:val="single"/>
        </w:rPr>
        <w:t xml:space="preserve">Mark R. Levy v. Howard County, Maryland and Howard County Fire </w:t>
      </w:r>
      <w:proofErr w:type="gramStart"/>
      <w:r w:rsidRPr="00636B1D">
        <w:rPr>
          <w:u w:val="single"/>
        </w:rPr>
        <w:t>And</w:t>
      </w:r>
      <w:proofErr w:type="gramEnd"/>
      <w:r w:rsidRPr="00636B1D">
        <w:rPr>
          <w:u w:val="single"/>
        </w:rPr>
        <w:t xml:space="preserve"> Rescue,</w:t>
      </w:r>
      <w:r>
        <w:t xml:space="preserve"> U.S. Senior District Court Judge </w:t>
      </w:r>
      <w:r w:rsidRPr="000725BC">
        <w:t>Richard D. Bennett</w:t>
      </w:r>
      <w:r>
        <w:t xml:space="preserve">, United States District Court for the District of Maryland, denied plaintiff’s motion for pre-trial </w:t>
      </w:r>
      <w:r w:rsidRPr="00467BB4">
        <w:t>declaratory</w:t>
      </w:r>
      <w:r>
        <w:t xml:space="preserve"> judgement; case will proceed with pre-trial discovery. The firefighter / paramedic has </w:t>
      </w:r>
      <w:r w:rsidRPr="004765D7">
        <w:t>been diagnosed with anxiety and depression since 2002</w:t>
      </w:r>
      <w:r>
        <w:t>; the case will proceed with pre-trial discovery.  The Court wrote: “</w:t>
      </w:r>
      <w:r w:rsidRPr="00832DBD">
        <w:t>To be clear, it is Levy's burden in this case of proving that he is a qualified individual with a disability and that, with a reasonable accommodation, he would be able to properly do the job of a Fire Fighter/Paramedic at Station 3.</w:t>
      </w:r>
      <w:r>
        <w:t xml:space="preserve">”  </w:t>
      </w:r>
      <w:hyperlink r:id="rId2424" w:history="1">
        <w:r w:rsidRPr="003A1948">
          <w:rPr>
            <w:rStyle w:val="Hyperlink"/>
          </w:rPr>
          <w:t>https://cases.justia.com/federal/district-courts/maryland/mddce/1:2024cv03580/573207/56/0.pdf?ts=1777474810</w:t>
        </w:r>
      </w:hyperlink>
      <w:r>
        <w:t xml:space="preserve"> </w:t>
      </w:r>
    </w:p>
    <w:p w14:paraId="737395CA" w14:textId="77777777" w:rsidR="00116265" w:rsidRDefault="00116265" w:rsidP="00116265">
      <w:pPr>
        <w:pStyle w:val="NoSpacing"/>
      </w:pPr>
    </w:p>
    <w:p w14:paraId="344655BA" w14:textId="77777777" w:rsidR="00116265" w:rsidRDefault="00116265" w:rsidP="00116265">
      <w:pPr>
        <w:pStyle w:val="NoSpacing"/>
      </w:pPr>
      <w:r>
        <w:t xml:space="preserve">THE COURT HELD: </w:t>
      </w:r>
    </w:p>
    <w:p w14:paraId="0953976A" w14:textId="77777777" w:rsidR="00116265" w:rsidRDefault="00116265" w:rsidP="00116265">
      <w:pPr>
        <w:pStyle w:val="NoSpacing"/>
      </w:pPr>
    </w:p>
    <w:p w14:paraId="66E484FD" w14:textId="77777777" w:rsidR="00116265" w:rsidRDefault="00116265" w:rsidP="00116265">
      <w:pPr>
        <w:pStyle w:val="NoSpacing"/>
        <w:ind w:left="720"/>
      </w:pPr>
      <w:r>
        <w:t>“</w:t>
      </w:r>
      <w:r w:rsidRPr="004765D7">
        <w:t>Plaintiff Mark R. Levy has been employed as a Fire Fighter/Paramedic with Defendant Howard County Department of Fire and Rescue Services since October 31, 2016</w:t>
      </w:r>
      <w:r>
        <w:t xml:space="preserve">…. </w:t>
      </w:r>
      <w:r w:rsidRPr="004765D7">
        <w:t>Levy alleges that he has been diagnosed with anxiety and depression since 2002</w:t>
      </w:r>
      <w:r>
        <w:t xml:space="preserve">…. </w:t>
      </w:r>
      <w:r w:rsidRPr="004765D7">
        <w:t>As of December 8, 2025, the date Levy filed his First Amended Complaint in this Court, he was assigned to B Shift at Station 3, which is within Battalion 3 of the Howard County Department of Fire and Rescue Services</w:t>
      </w:r>
      <w:r>
        <w:t xml:space="preserve">…. </w:t>
      </w:r>
      <w:r w:rsidRPr="0026656C">
        <w:t>Station 3 is located at 12535 Old Frederick Road in Sykesville, Maryland</w:t>
      </w:r>
      <w:r>
        <w:t xml:space="preserve">…. </w:t>
      </w:r>
      <w:r w:rsidRPr="004765D7">
        <w:t>He asserts that Station 3 has a lower call volume in comparison to other stations within the battalion</w:t>
      </w:r>
      <w:r>
        <w:t xml:space="preserve">…. </w:t>
      </w:r>
      <w:r w:rsidRPr="004765D7">
        <w:t xml:space="preserve">He claims that this lower call volume is the optimal assignment for him to be able to manage his mental health. </w:t>
      </w:r>
    </w:p>
    <w:p w14:paraId="67CEC2B0" w14:textId="77777777" w:rsidR="00116265" w:rsidRDefault="00116265" w:rsidP="00116265">
      <w:pPr>
        <w:pStyle w:val="NoSpacing"/>
        <w:ind w:left="720"/>
      </w:pPr>
    </w:p>
    <w:p w14:paraId="020FBF8B" w14:textId="77777777" w:rsidR="00116265" w:rsidRDefault="00116265" w:rsidP="00116265">
      <w:pPr>
        <w:pStyle w:val="NoSpacing"/>
        <w:ind w:left="720"/>
      </w:pPr>
      <w:r>
        <w:t>***</w:t>
      </w:r>
    </w:p>
    <w:p w14:paraId="3133F6A9" w14:textId="77777777" w:rsidR="00116265" w:rsidRDefault="00116265" w:rsidP="00116265">
      <w:pPr>
        <w:pStyle w:val="NoSpacing"/>
        <w:ind w:left="720"/>
      </w:pPr>
      <w:r w:rsidRPr="00A26479">
        <w:t>Levy alleges that, on multiple different occasions in 2022, he was reassigned from Station 3 to other stations within Battalion 3</w:t>
      </w:r>
      <w:r>
        <w:t xml:space="preserve">…. </w:t>
      </w:r>
      <w:r w:rsidRPr="00A26479">
        <w:t>Each time, the Department apparently denied his requests to remain at Station 3</w:t>
      </w:r>
      <w:r>
        <w:t xml:space="preserve">…. </w:t>
      </w:r>
      <w:r w:rsidRPr="00A26479">
        <w:t>Levy claims that the Department determined, without engaging in any interactive process, that he did not need a reasonable accommodation</w:t>
      </w:r>
      <w:r>
        <w:t>….</w:t>
      </w:r>
      <w:r w:rsidRPr="00A26479">
        <w:t xml:space="preserve"> Ultimately, after multiple reassignments, Levy was placed at Station 3 under a Temporary Hardship Request</w:t>
      </w:r>
      <w:r>
        <w:t xml:space="preserve">…. </w:t>
      </w:r>
      <w:r w:rsidRPr="00A26479">
        <w:t xml:space="preserve">He contends that the Temporary Hardship Request was </w:t>
      </w:r>
      <w:r>
        <w:t>‘</w:t>
      </w:r>
      <w:r w:rsidRPr="00A26479">
        <w:t>wholly improper and simply an attempt by Defendants to circumvent</w:t>
      </w:r>
      <w:r>
        <w:t xml:space="preserve">’ </w:t>
      </w:r>
      <w:r w:rsidRPr="00A26479">
        <w:t xml:space="preserve"> the ADA's accommodation obligations</w:t>
      </w:r>
      <w:r>
        <w:t xml:space="preserve">…. </w:t>
      </w:r>
      <w:r w:rsidRPr="00A26479">
        <w:t>From the face of the First Amended Complaint, Levy continues to work as a Fire Fighter/Paramedic for the Department.</w:t>
      </w:r>
    </w:p>
    <w:p w14:paraId="318A8FF5" w14:textId="77777777" w:rsidR="00116265" w:rsidRDefault="00116265" w:rsidP="00116265">
      <w:pPr>
        <w:pStyle w:val="NoSpacing"/>
        <w:ind w:left="720"/>
      </w:pPr>
    </w:p>
    <w:p w14:paraId="2BC17D53" w14:textId="77777777" w:rsidR="00116265" w:rsidRDefault="00116265" w:rsidP="00116265">
      <w:pPr>
        <w:pStyle w:val="NoSpacing"/>
        <w:ind w:left="720"/>
      </w:pPr>
      <w:r>
        <w:t>***</w:t>
      </w:r>
    </w:p>
    <w:p w14:paraId="38F1B265" w14:textId="77777777" w:rsidR="00116265" w:rsidRDefault="00116265" w:rsidP="00116265">
      <w:pPr>
        <w:pStyle w:val="NoSpacing"/>
        <w:ind w:left="720"/>
      </w:pPr>
      <w:r w:rsidRPr="00BA13D8">
        <w:t xml:space="preserve">As noted above, Levy seeks declarations in Count Four that (1) he is a qualified individual with a disability; (2) that he can perform the essential functions of his job with a reasonable accommodation; (3) that Defendants have an obligation to engage in the ADA's interactive process with him and explore reasonable alternatives; and (4) that Defendants have an obligation to grant him a reasonable accommodation. </w:t>
      </w:r>
    </w:p>
    <w:p w14:paraId="2B558CFB" w14:textId="77777777" w:rsidR="00116265" w:rsidRDefault="00116265" w:rsidP="00116265">
      <w:pPr>
        <w:pStyle w:val="NoSpacing"/>
        <w:ind w:left="720"/>
      </w:pPr>
    </w:p>
    <w:p w14:paraId="0C0E4D2F" w14:textId="77777777" w:rsidR="00116265" w:rsidRDefault="00116265" w:rsidP="00116265">
      <w:pPr>
        <w:pStyle w:val="NoSpacing"/>
        <w:ind w:left="720"/>
      </w:pPr>
      <w:r>
        <w:t>***</w:t>
      </w:r>
    </w:p>
    <w:p w14:paraId="1BB3A8F1" w14:textId="77777777" w:rsidR="00116265" w:rsidRDefault="00116265" w:rsidP="00116265">
      <w:pPr>
        <w:pStyle w:val="NoSpacing"/>
        <w:ind w:left="720"/>
      </w:pPr>
      <w:r w:rsidRPr="004A2357">
        <w:t xml:space="preserve">Again, it is Levy's burden to prove that he was entitled to the ADA's interactive process and, ultimately, </w:t>
      </w:r>
      <w:proofErr w:type="gramStart"/>
      <w:r w:rsidRPr="004A2357">
        <w:t>a reasonable</w:t>
      </w:r>
      <w:proofErr w:type="gramEnd"/>
      <w:r w:rsidRPr="004A2357">
        <w:t xml:space="preserve"> accommodation.</w:t>
      </w:r>
      <w:r>
        <w:rPr>
          <w:vertAlign w:val="superscript"/>
        </w:rPr>
        <w:t xml:space="preserve"> </w:t>
      </w:r>
      <w:r w:rsidRPr="004A2357">
        <w:t xml:space="preserve"> In sum, the four declarations that Levy requests in Count Four render that claim duplicative of Count One.</w:t>
      </w:r>
      <w:r>
        <w:t>”</w:t>
      </w:r>
    </w:p>
    <w:p w14:paraId="5664E71D" w14:textId="77777777" w:rsidR="00116265" w:rsidRDefault="00116265" w:rsidP="00116265">
      <w:pPr>
        <w:pStyle w:val="NoSpacing"/>
        <w:ind w:left="720"/>
      </w:pPr>
    </w:p>
    <w:p w14:paraId="78031AE6" w14:textId="77777777" w:rsidR="00116265" w:rsidRPr="004A2357" w:rsidRDefault="00116265" w:rsidP="00116265">
      <w:pPr>
        <w:rPr>
          <w:b/>
          <w:bCs/>
        </w:rPr>
      </w:pPr>
      <w:r>
        <w:rPr>
          <w:b/>
        </w:rPr>
        <w:t>Legal lesson learned: The firefighter has burden of proof in this ADA case; permanent assignment to a slower station is a unique request for “reasonable accommodation.”</w:t>
      </w:r>
    </w:p>
    <w:p w14:paraId="5891AC5A" w14:textId="77777777" w:rsidR="0091755D" w:rsidRDefault="0091755D" w:rsidP="00F326E5">
      <w:pPr>
        <w:pStyle w:val="NoSpacing"/>
        <w:rPr>
          <w:rFonts w:ascii="Arial Black" w:hAnsi="Arial Black"/>
          <w:sz w:val="28"/>
          <w:szCs w:val="28"/>
        </w:rPr>
      </w:pPr>
    </w:p>
    <w:p w14:paraId="4B42105B" w14:textId="77777777" w:rsidR="0091755D" w:rsidRDefault="0091755D" w:rsidP="00F326E5">
      <w:pPr>
        <w:pStyle w:val="NoSpacing"/>
        <w:rPr>
          <w:rFonts w:ascii="Arial Black" w:hAnsi="Arial Black"/>
          <w:sz w:val="28"/>
          <w:szCs w:val="28"/>
        </w:rPr>
      </w:pPr>
    </w:p>
    <w:p w14:paraId="3218205F" w14:textId="77777777" w:rsidR="0091755D" w:rsidRDefault="0091755D" w:rsidP="00F326E5">
      <w:pPr>
        <w:pStyle w:val="NoSpacing"/>
        <w:rPr>
          <w:rFonts w:ascii="Arial Black" w:hAnsi="Arial Black"/>
          <w:sz w:val="28"/>
          <w:szCs w:val="28"/>
        </w:rPr>
      </w:pPr>
    </w:p>
    <w:p w14:paraId="40116357" w14:textId="407A6241" w:rsidR="0026368F" w:rsidRDefault="0026368F" w:rsidP="00F326E5">
      <w:pPr>
        <w:pStyle w:val="NoSpacing"/>
        <w:rPr>
          <w:rFonts w:ascii="Arial Black" w:hAnsi="Arial Black"/>
          <w:sz w:val="28"/>
          <w:szCs w:val="28"/>
        </w:rPr>
      </w:pPr>
      <w:r>
        <w:rPr>
          <w:rFonts w:ascii="Arial Black" w:hAnsi="Arial Black"/>
          <w:sz w:val="28"/>
          <w:szCs w:val="28"/>
        </w:rPr>
        <w:t>14-9</w:t>
      </w:r>
    </w:p>
    <w:p w14:paraId="5AA0CFDE" w14:textId="77777777" w:rsidR="008F1833" w:rsidRDefault="008F1833" w:rsidP="0026368F">
      <w:pPr>
        <w:pStyle w:val="NoSpacing"/>
        <w:rPr>
          <w:rFonts w:ascii="Arial Black" w:hAnsi="Arial Black"/>
          <w:b/>
          <w:sz w:val="28"/>
          <w:szCs w:val="28"/>
        </w:rPr>
      </w:pPr>
    </w:p>
    <w:p w14:paraId="4791AD03" w14:textId="0F44BA03" w:rsidR="0026368F" w:rsidRPr="008F1833" w:rsidRDefault="0026368F" w:rsidP="0026368F">
      <w:pPr>
        <w:pStyle w:val="NoSpacing"/>
        <w:rPr>
          <w:rFonts w:ascii="Times New Roman" w:hAnsi="Times New Roman"/>
          <w:b/>
          <w:sz w:val="24"/>
          <w:szCs w:val="24"/>
        </w:rPr>
      </w:pPr>
      <w:r>
        <w:rPr>
          <w:rFonts w:ascii="Arial Black" w:hAnsi="Arial Black"/>
          <w:b/>
          <w:sz w:val="28"/>
          <w:szCs w:val="28"/>
        </w:rPr>
        <w:t>FL: FF FIRED – ANNUAL PHYSICAL – TRIED AVOID TB TEST</w:t>
      </w:r>
      <w:r w:rsidR="008F1833">
        <w:rPr>
          <w:rFonts w:ascii="Arial Black" w:hAnsi="Arial Black"/>
          <w:b/>
          <w:sz w:val="28"/>
          <w:szCs w:val="28"/>
        </w:rPr>
        <w:t xml:space="preserve"> </w:t>
      </w:r>
      <w:r w:rsidR="008F1833" w:rsidRPr="008F1833">
        <w:rPr>
          <w:rFonts w:ascii="Times New Roman" w:hAnsi="Times New Roman"/>
          <w:b/>
          <w:sz w:val="24"/>
          <w:szCs w:val="24"/>
        </w:rPr>
        <w:t>[also filed, Chap. 16]</w:t>
      </w:r>
    </w:p>
    <w:p w14:paraId="3AA73271" w14:textId="77777777" w:rsidR="0026368F" w:rsidRDefault="0026368F" w:rsidP="0026368F">
      <w:pPr>
        <w:pStyle w:val="NoSpacing"/>
        <w:rPr>
          <w:b/>
        </w:rPr>
      </w:pPr>
    </w:p>
    <w:p w14:paraId="3B46F789" w14:textId="77777777" w:rsidR="0026368F" w:rsidRPr="00FF0E3F" w:rsidRDefault="0026368F" w:rsidP="0026368F">
      <w:pPr>
        <w:pStyle w:val="NoSpacing"/>
        <w:rPr>
          <w:bCs/>
        </w:rPr>
      </w:pPr>
      <w:r w:rsidRPr="001D2253">
        <w:t xml:space="preserve">On February 6, 2026, in </w:t>
      </w:r>
      <w:r w:rsidRPr="001D2253">
        <w:rPr>
          <w:u w:val="single"/>
        </w:rPr>
        <w:t>Nathaniel Griffin v. City of South Pasadena and The St. Petersburg International Association of Fire Fighters, Local 747</w:t>
      </w:r>
      <w:r w:rsidRPr="001D2253">
        <w:t xml:space="preserve">, </w:t>
      </w:r>
      <w:r>
        <w:t xml:space="preserve">U.S. District Court Judge William F. Jung, </w:t>
      </w:r>
      <w:r w:rsidRPr="00FF0E3F">
        <w:t>United States District Court for the Middle District of Florida, Tampa Division</w:t>
      </w:r>
      <w:r>
        <w:t xml:space="preserve">, dismissed the lawsuit against both the </w:t>
      </w:r>
      <w:proofErr w:type="gramStart"/>
      <w:r>
        <w:t>City</w:t>
      </w:r>
      <w:proofErr w:type="gramEnd"/>
      <w:r>
        <w:t xml:space="preserve"> and the Local.  Firefighter, paramedic Griffin, on </w:t>
      </w:r>
      <w:r w:rsidRPr="00F470E1">
        <w:t xml:space="preserve">August 12, </w:t>
      </w:r>
      <w:proofErr w:type="gramStart"/>
      <w:r w:rsidRPr="00F470E1">
        <w:t>2022</w:t>
      </w:r>
      <w:proofErr w:type="gramEnd"/>
      <w:r w:rsidRPr="00F470E1">
        <w:t xml:space="preserve"> underwent his annual physical examination at Life Scan Wellness Center</w:t>
      </w:r>
      <w:r>
        <w:t xml:space="preserve">; he </w:t>
      </w:r>
      <w:r w:rsidRPr="00F470E1">
        <w:t>completed most of the medical examination without issue, except for the TB test</w:t>
      </w:r>
      <w:r>
        <w:t xml:space="preserve">, when asked </w:t>
      </w:r>
      <w:r w:rsidRPr="00F470E1">
        <w:t>the Life Scan technician to skip the TB test but fraudulently report that a test had been done.</w:t>
      </w:r>
      <w:r>
        <w:t xml:space="preserve">  The Fire Chief gave the plaintiff an opportunity to </w:t>
      </w:r>
      <w:proofErr w:type="gramStart"/>
      <w:r>
        <w:t>resigned</w:t>
      </w:r>
      <w:proofErr w:type="gramEnd"/>
      <w:r>
        <w:t xml:space="preserve">; he refused and was fired on September 13, 2022. </w:t>
      </w:r>
      <w:hyperlink r:id="rId2425" w:history="1">
        <w:r w:rsidRPr="00C72C21">
          <w:rPr>
            <w:rStyle w:val="Hyperlink"/>
          </w:rPr>
          <w:t>https://cases.justia.com/federal/district-courts/florida/flmdce/8:2025cv02787/448658/35/0.pdf</w:t>
        </w:r>
      </w:hyperlink>
      <w:r>
        <w:t xml:space="preserve"> </w:t>
      </w:r>
    </w:p>
    <w:p w14:paraId="2C931E7C" w14:textId="77777777" w:rsidR="0026368F" w:rsidRDefault="0026368F" w:rsidP="0026368F">
      <w:pPr>
        <w:pStyle w:val="NoSpacing"/>
        <w:rPr>
          <w:bCs/>
        </w:rPr>
      </w:pPr>
    </w:p>
    <w:p w14:paraId="23053B1D" w14:textId="77777777" w:rsidR="0026368F" w:rsidRDefault="0026368F" w:rsidP="0026368F">
      <w:pPr>
        <w:pStyle w:val="NoSpacing"/>
      </w:pPr>
      <w:r>
        <w:t>THE COURT HELD: “</w:t>
      </w:r>
      <w:r w:rsidRPr="005C306F">
        <w:t>When evaluating the results of the physical examination, the CBA requires the physician to follow the national guidelines set forth in the National Fire Protection Association (</w:t>
      </w:r>
      <w:r>
        <w:t>‘</w:t>
      </w:r>
      <w:r w:rsidRPr="005C306F">
        <w:t>NFPA</w:t>
      </w:r>
      <w:r>
        <w:t>’</w:t>
      </w:r>
      <w:r w:rsidRPr="005C306F">
        <w:t>) 1582, Chapter 9</w:t>
      </w:r>
      <w:r>
        <w:t xml:space="preserve">…. </w:t>
      </w:r>
      <w:r w:rsidRPr="005C306F">
        <w:t xml:space="preserve"> As relevant to this lawsuit, the annual physical examination includes tuberculosis (</w:t>
      </w:r>
      <w:r>
        <w:t>‘</w:t>
      </w:r>
      <w:r w:rsidRPr="005C306F">
        <w:t>TB</w:t>
      </w:r>
      <w:r>
        <w:t>’</w:t>
      </w:r>
      <w:r w:rsidRPr="005C306F">
        <w:t>) testing, which may require an additional chest X-ray if the TB test comes back positive</w:t>
      </w:r>
      <w:r>
        <w:t xml:space="preserve">…. </w:t>
      </w:r>
      <w:r w:rsidRPr="005C306F">
        <w:t xml:space="preserve">Plaintiff alleges that at some unspecified point during the CBA negotiations, he objected to the CBA agreement due </w:t>
      </w:r>
      <w:r>
        <w:t>‘</w:t>
      </w:r>
      <w:r w:rsidRPr="005C306F">
        <w:t>to the breath [sic] and intrusive nature of the mandatory medical examinations.</w:t>
      </w:r>
      <w:r>
        <w:t xml:space="preserve">’ … </w:t>
      </w:r>
      <w:r w:rsidRPr="005C306F">
        <w:t xml:space="preserve">Plaintiff further alleges that he continually voiced his objection to the CBA, even after the agreement was adopted on August 28, 2019. </w:t>
      </w:r>
      <w:r>
        <w:t xml:space="preserve">***  </w:t>
      </w:r>
      <w:r w:rsidRPr="00901B14">
        <w:t>Based on a careful review of the pleadings, the Court grants the City's motion to dismiss. As discussed below, Plaintiff has failed to state a claim under the ADA, GINA, Title VII, and Section 1983</w:t>
      </w:r>
      <w:r>
        <w:t xml:space="preserve">…. </w:t>
      </w:r>
      <w:r w:rsidRPr="003E7359">
        <w:t xml:space="preserve">Here, even when accepting the meager factual allegations as true, Plaintiff fails to allege any Fourth Amendment violation since the Complaint fails to allege that any private interests outweigh the City's interest in public safety. The Complaint vaguely asserts that the August 2022 physical examination violated </w:t>
      </w:r>
      <w:r>
        <w:t>‘</w:t>
      </w:r>
      <w:r w:rsidRPr="003E7359">
        <w:t xml:space="preserve">Plaintiff's personal privacy </w:t>
      </w:r>
      <w:proofErr w:type="gramStart"/>
      <w:r w:rsidRPr="003E7359">
        <w:t>rights</w:t>
      </w:r>
      <w:r>
        <w:t>’</w:t>
      </w:r>
      <w:proofErr w:type="gramEnd"/>
      <w:r w:rsidRPr="003E7359">
        <w:t xml:space="preserve"> due to the exam's </w:t>
      </w:r>
      <w:r>
        <w:t>‘</w:t>
      </w:r>
      <w:r w:rsidRPr="003E7359">
        <w:t>breadth and intrusive nature.</w:t>
      </w:r>
      <w:r>
        <w:t xml:space="preserve">’ … </w:t>
      </w:r>
      <w:r w:rsidRPr="003E7359">
        <w:t xml:space="preserve">But Plaintiff never specifies what aspect of the physical examination was so </w:t>
      </w:r>
      <w:r>
        <w:t>‘</w:t>
      </w:r>
      <w:proofErr w:type="spellStart"/>
      <w:r w:rsidRPr="003E7359">
        <w:t>intrusiv</w:t>
      </w:r>
      <w:proofErr w:type="spellEnd"/>
      <w:r>
        <w:t>’</w:t>
      </w:r>
      <w:r w:rsidRPr="003E7359">
        <w:t xml:space="preserve"> and overbroad that it violated Plaintiff's diminished expectation of privacy due to his job as a firefighter and paramedic. </w:t>
      </w:r>
      <w:r w:rsidRPr="003E7359">
        <w:rPr>
          <w:i/>
          <w:iCs/>
        </w:rPr>
        <w:t xml:space="preserve">See </w:t>
      </w:r>
      <w:proofErr w:type="spellStart"/>
      <w:r w:rsidRPr="003E7359">
        <w:rPr>
          <w:i/>
          <w:iCs/>
        </w:rPr>
        <w:t>Nat'l</w:t>
      </w:r>
      <w:proofErr w:type="spellEnd"/>
      <w:r w:rsidRPr="003E7359">
        <w:rPr>
          <w:i/>
          <w:iCs/>
        </w:rPr>
        <w:t xml:space="preserve"> Treasury Emps. Union v. Von Raab</w:t>
      </w:r>
      <w:r w:rsidRPr="003E7359">
        <w:t>, 489 U.S. 656, 671 (1989) (</w:t>
      </w:r>
      <w:r>
        <w:t>‘</w:t>
      </w:r>
      <w:r w:rsidRPr="003E7359">
        <w:t>[I]t is plain that certain forms of public employment may diminish privacy expectations even with respect to . . . personal searches.</w:t>
      </w:r>
      <w:r>
        <w:t>’</w:t>
      </w:r>
      <w:r w:rsidRPr="003E7359">
        <w:t xml:space="preserve">); </w:t>
      </w:r>
      <w:r w:rsidRPr="003E7359">
        <w:rPr>
          <w:i/>
          <w:iCs/>
        </w:rPr>
        <w:t>Scott</w:t>
      </w:r>
      <w:r w:rsidRPr="003E7359">
        <w:t>, 717 F.3d at 869 (</w:t>
      </w:r>
      <w:r>
        <w:t>‘</w:t>
      </w:r>
      <w:r w:rsidRPr="003E7359">
        <w:t xml:space="preserve">Another category-a natural extension of the Supreme Court's holding in </w:t>
      </w:r>
      <w:r w:rsidRPr="003E7359">
        <w:rPr>
          <w:i/>
          <w:iCs/>
        </w:rPr>
        <w:t>Von Raab</w:t>
      </w:r>
      <w:r w:rsidRPr="003E7359">
        <w:t>-encompasses . . . firefighters.</w:t>
      </w:r>
      <w:r>
        <w:t>’</w:t>
      </w:r>
      <w:r w:rsidRPr="003E7359">
        <w:t xml:space="preserve">); </w:t>
      </w:r>
      <w:r w:rsidRPr="003E7359">
        <w:rPr>
          <w:i/>
          <w:iCs/>
        </w:rPr>
        <w:t>Williams v. Bd. of Regents of Univ. Sys. of Georgia</w:t>
      </w:r>
      <w:r w:rsidRPr="003E7359">
        <w:t>, No. CV 120-100, 2021 WL 2827293, at *7 (S.D. Ga. July 7, 2021) (dismissing the plaintiff's Fourth Amendment search and seizure claim, as her employer's drug test fell under the special needs exception).</w:t>
      </w:r>
      <w:r>
        <w:t xml:space="preserve"> ***  Local 747’s motion seeks dismissal of the single ADA discrimination claim</w:t>
      </w:r>
    </w:p>
    <w:p w14:paraId="1AB986A1" w14:textId="77777777" w:rsidR="0026368F" w:rsidRDefault="0026368F" w:rsidP="0026368F">
      <w:pPr>
        <w:pStyle w:val="NoSpacing"/>
      </w:pPr>
      <w:r>
        <w:t xml:space="preserve">in Count IX. Local 747 asserts that the ADA claim is time-barred since Plaintiff ‘failed to file a charge against the Local challenging the medical exam requirement at issue within 300 days after Local 747 entered into the CBA on August 28, 2019.’ … Plaintiff’s discrimination charge must have been filed with the FCHR or the EEOC within 300 days—i.e., by June 23, 2020.” </w:t>
      </w:r>
    </w:p>
    <w:p w14:paraId="5A6E7FB7" w14:textId="77777777" w:rsidR="0026368F" w:rsidRDefault="0026368F" w:rsidP="0026368F">
      <w:pPr>
        <w:pStyle w:val="NoSpacing"/>
      </w:pPr>
    </w:p>
    <w:p w14:paraId="5C267648" w14:textId="77777777" w:rsidR="0026368F" w:rsidRDefault="0026368F" w:rsidP="0026368F">
      <w:pPr>
        <w:pStyle w:val="NoSpacing"/>
        <w:rPr>
          <w:b/>
          <w:bCs/>
        </w:rPr>
      </w:pPr>
      <w:r w:rsidRPr="00C65E3A">
        <w:rPr>
          <w:b/>
        </w:rPr>
        <w:t xml:space="preserve">Legal lesson learned: </w:t>
      </w:r>
      <w:r>
        <w:rPr>
          <w:b/>
        </w:rPr>
        <w:t xml:space="preserve">Very unusual to have a firefighter complain about annual physical. </w:t>
      </w:r>
    </w:p>
    <w:p w14:paraId="4A948A16" w14:textId="77777777" w:rsidR="0026368F" w:rsidRDefault="0026368F" w:rsidP="0026368F">
      <w:pPr>
        <w:pStyle w:val="NoSpacing"/>
        <w:rPr>
          <w:b/>
          <w:bCs/>
        </w:rPr>
      </w:pPr>
      <w:r>
        <w:rPr>
          <w:b/>
        </w:rPr>
        <w:tab/>
      </w:r>
      <w:r w:rsidRPr="00EA4E78">
        <w:t>Note: In Footnote 7, the Court wrote</w:t>
      </w:r>
      <w:r>
        <w:rPr>
          <w:b/>
        </w:rPr>
        <w:t xml:space="preserve">: </w:t>
      </w:r>
    </w:p>
    <w:p w14:paraId="3F825757" w14:textId="77777777" w:rsidR="0026368F" w:rsidRDefault="0026368F" w:rsidP="0026368F">
      <w:pPr>
        <w:pStyle w:val="NoSpacing"/>
        <w:ind w:left="720"/>
      </w:pPr>
      <w:r>
        <w:rPr>
          <w:b/>
        </w:rPr>
        <w:t>“</w:t>
      </w:r>
      <w:r w:rsidRPr="00975937">
        <w:t xml:space="preserve">Firefighters reside in close quarters. They must be strong and hale. They must be able to provide emergency lifesaving techniques in difficult circumstances to people of varying health. </w:t>
      </w:r>
      <w:r w:rsidRPr="00975937">
        <w:rPr>
          <w:i/>
          <w:iCs/>
        </w:rPr>
        <w:t>See Cremeens v. City of Montgomery, Ala.</w:t>
      </w:r>
      <w:r w:rsidRPr="00975937">
        <w:t xml:space="preserve">, 427 </w:t>
      </w:r>
      <w:proofErr w:type="spellStart"/>
      <w:r w:rsidRPr="00975937">
        <w:t>Fed.Appx</w:t>
      </w:r>
      <w:proofErr w:type="spellEnd"/>
      <w:r w:rsidRPr="00975937">
        <w:t>. 855, 858 (11th Cir. 2011) (</w:t>
      </w:r>
      <w:r>
        <w:t>‘</w:t>
      </w:r>
      <w:r w:rsidRPr="00975937">
        <w:t>The physical fitness requirements are directly related to a Fire Investigator's duty to fight fires, and they are necessary to ensure that Fire Investigators are able to perform that function when called upon to do so.).</w:t>
      </w:r>
      <w:r>
        <w:t>”</w:t>
      </w:r>
    </w:p>
    <w:p w14:paraId="065D8D49" w14:textId="77777777" w:rsidR="0026368F" w:rsidRPr="003E7359" w:rsidRDefault="0026368F" w:rsidP="0026368F">
      <w:pPr>
        <w:pStyle w:val="NoSpacing"/>
        <w:rPr>
          <w:b/>
          <w:bCs/>
        </w:rPr>
      </w:pPr>
    </w:p>
    <w:p w14:paraId="0C4ED6C3" w14:textId="77777777" w:rsidR="0026368F" w:rsidRDefault="0026368F" w:rsidP="00F326E5">
      <w:pPr>
        <w:pStyle w:val="NoSpacing"/>
        <w:rPr>
          <w:rFonts w:ascii="Arial Black" w:hAnsi="Arial Black"/>
          <w:sz w:val="28"/>
          <w:szCs w:val="28"/>
        </w:rPr>
      </w:pPr>
    </w:p>
    <w:p w14:paraId="4C3FD5B9" w14:textId="77777777" w:rsidR="0026368F" w:rsidRDefault="0026368F" w:rsidP="00F326E5">
      <w:pPr>
        <w:pStyle w:val="NoSpacing"/>
        <w:rPr>
          <w:rFonts w:ascii="Arial Black" w:hAnsi="Arial Black"/>
          <w:sz w:val="28"/>
          <w:szCs w:val="28"/>
        </w:rPr>
      </w:pPr>
    </w:p>
    <w:p w14:paraId="5F20C882" w14:textId="761CDC64" w:rsidR="006A02A4" w:rsidRDefault="009002CD" w:rsidP="00F326E5">
      <w:pPr>
        <w:pStyle w:val="NoSpacing"/>
        <w:rPr>
          <w:rFonts w:ascii="Arial Black" w:hAnsi="Arial Black"/>
          <w:sz w:val="28"/>
          <w:szCs w:val="28"/>
        </w:rPr>
      </w:pPr>
      <w:r>
        <w:rPr>
          <w:rFonts w:ascii="Arial Black" w:hAnsi="Arial Black"/>
          <w:sz w:val="28"/>
          <w:szCs w:val="28"/>
        </w:rPr>
        <w:t>14-8</w:t>
      </w:r>
    </w:p>
    <w:p w14:paraId="53F016D7" w14:textId="77777777" w:rsidR="0026368F" w:rsidRDefault="0026368F" w:rsidP="009002CD">
      <w:pPr>
        <w:rPr>
          <w:rFonts w:ascii="Arial Black" w:hAnsi="Arial Black"/>
          <w:sz w:val="28"/>
          <w:szCs w:val="28"/>
        </w:rPr>
      </w:pPr>
    </w:p>
    <w:p w14:paraId="0725B673" w14:textId="422D039B" w:rsidR="009002CD" w:rsidRDefault="009002CD" w:rsidP="009002CD">
      <w:pPr>
        <w:rPr>
          <w:rFonts w:ascii="Arial Black" w:hAnsi="Arial Black"/>
          <w:bCs/>
          <w:sz w:val="28"/>
          <w:szCs w:val="28"/>
        </w:rPr>
      </w:pPr>
      <w:r>
        <w:rPr>
          <w:rFonts w:ascii="Arial Black" w:hAnsi="Arial Black"/>
          <w:sz w:val="28"/>
          <w:szCs w:val="28"/>
        </w:rPr>
        <w:t>NY: VOL. FF - “PARTIALLY DISABLED” – DIDN’T TELL FD</w:t>
      </w:r>
    </w:p>
    <w:p w14:paraId="4CD507DC" w14:textId="77777777" w:rsidR="009002CD" w:rsidRPr="009002CD" w:rsidRDefault="009002CD" w:rsidP="009002CD">
      <w:pPr>
        <w:rPr>
          <w:rFonts w:ascii="Times New Roman" w:hAnsi="Times New Roman"/>
          <w:bCs/>
          <w:sz w:val="24"/>
          <w:szCs w:val="24"/>
        </w:rPr>
      </w:pPr>
      <w:r w:rsidRPr="009002CD">
        <w:rPr>
          <w:rFonts w:ascii="Times New Roman" w:hAnsi="Times New Roman"/>
          <w:sz w:val="24"/>
          <w:szCs w:val="24"/>
        </w:rPr>
        <w:t xml:space="preserve">On April 30, 2025, </w:t>
      </w:r>
      <w:r w:rsidRPr="009002CD">
        <w:rPr>
          <w:rFonts w:ascii="Times New Roman" w:hAnsi="Times New Roman"/>
          <w:sz w:val="24"/>
          <w:szCs w:val="24"/>
          <w:u w:val="single"/>
        </w:rPr>
        <w:t>In the Matter of Robert Correra v. Millwood Fire District, et al</w:t>
      </w:r>
      <w:r w:rsidRPr="009002CD">
        <w:rPr>
          <w:rFonts w:ascii="Times New Roman" w:hAnsi="Times New Roman"/>
          <w:sz w:val="24"/>
          <w:szCs w:val="24"/>
        </w:rPr>
        <w:t xml:space="preserve">., the Supreme Court of New York, Second Department, held (4 to 0) that the trial court properly adopted the report and recommendation of the Hearing Officer, which found the volunteer firefighter (volunteer since 2003; terminated Jan. 17, 2022) guilty of two charges: (1) provided false information regarding his failure to disclose his designation by the Workers' Compensation Board as ‘permanently, partially disabled’ on a form in connection with the 2020 physical examination; and (2) misconduct and insubordination, for improperly obtaining a physical examination while his operational privileges were suspended and for failing to provide a medical provider with the current job performance requirements for a firefighter. </w:t>
      </w:r>
      <w:hyperlink r:id="rId2426" w:history="1">
        <w:r w:rsidRPr="009002CD">
          <w:rPr>
            <w:rStyle w:val="Hyperlink"/>
            <w:rFonts w:ascii="Times New Roman" w:hAnsi="Times New Roman"/>
            <w:sz w:val="24"/>
            <w:szCs w:val="24"/>
          </w:rPr>
          <w:t>https://cdn.ca9.uscourts.gov/datastore/memoranda/2025/04/30/24-3195.pdf</w:t>
        </w:r>
      </w:hyperlink>
      <w:r w:rsidRPr="009002CD">
        <w:rPr>
          <w:rFonts w:ascii="Times New Roman" w:hAnsi="Times New Roman"/>
          <w:sz w:val="24"/>
          <w:szCs w:val="24"/>
        </w:rPr>
        <w:t xml:space="preserve"> </w:t>
      </w:r>
    </w:p>
    <w:p w14:paraId="41FF3899" w14:textId="77777777" w:rsidR="00AA11C3" w:rsidRPr="00AA11C3" w:rsidRDefault="00AA11C3" w:rsidP="00AA11C3">
      <w:pPr>
        <w:rPr>
          <w:rFonts w:ascii="Times New Roman" w:hAnsi="Times New Roman"/>
          <w:b/>
          <w:sz w:val="24"/>
          <w:szCs w:val="24"/>
        </w:rPr>
      </w:pPr>
      <w:r w:rsidRPr="00AA11C3">
        <w:rPr>
          <w:rFonts w:ascii="Times New Roman" w:hAnsi="Times New Roman"/>
          <w:b/>
          <w:sz w:val="24"/>
          <w:szCs w:val="24"/>
        </w:rPr>
        <w:t>Legal Lesson Learned: A firefighter’s failure to disclose that he is “permanently, partially disabled’ is threat to fellow firefighters and the public.</w:t>
      </w:r>
    </w:p>
    <w:p w14:paraId="2487C1E2" w14:textId="77777777" w:rsidR="009002CD" w:rsidRDefault="009002CD" w:rsidP="00F326E5">
      <w:pPr>
        <w:pStyle w:val="NoSpacing"/>
        <w:rPr>
          <w:rFonts w:ascii="Arial Black" w:hAnsi="Arial Black"/>
          <w:sz w:val="28"/>
          <w:szCs w:val="28"/>
        </w:rPr>
      </w:pPr>
    </w:p>
    <w:p w14:paraId="1E94C294" w14:textId="77777777" w:rsidR="009002CD" w:rsidRDefault="009002CD" w:rsidP="00F326E5">
      <w:pPr>
        <w:pStyle w:val="NoSpacing"/>
        <w:rPr>
          <w:rFonts w:ascii="Arial Black" w:hAnsi="Arial Black"/>
          <w:sz w:val="28"/>
          <w:szCs w:val="28"/>
        </w:rPr>
      </w:pPr>
    </w:p>
    <w:p w14:paraId="38E902CA" w14:textId="77777777" w:rsidR="009002CD" w:rsidRDefault="009002CD" w:rsidP="00F326E5">
      <w:pPr>
        <w:pStyle w:val="NoSpacing"/>
        <w:rPr>
          <w:rFonts w:ascii="Arial Black" w:hAnsi="Arial Black"/>
          <w:sz w:val="28"/>
          <w:szCs w:val="28"/>
        </w:rPr>
      </w:pPr>
    </w:p>
    <w:p w14:paraId="684E347A" w14:textId="4BF9601C" w:rsidR="004A59EC" w:rsidRDefault="004A59EC" w:rsidP="00F326E5">
      <w:pPr>
        <w:pStyle w:val="NoSpacing"/>
        <w:rPr>
          <w:rFonts w:ascii="Arial Black" w:hAnsi="Arial Black"/>
          <w:sz w:val="28"/>
          <w:szCs w:val="28"/>
        </w:rPr>
      </w:pPr>
      <w:r>
        <w:rPr>
          <w:rFonts w:ascii="Arial Black" w:hAnsi="Arial Black"/>
          <w:sz w:val="28"/>
          <w:szCs w:val="28"/>
        </w:rPr>
        <w:t>14-7</w:t>
      </w:r>
    </w:p>
    <w:p w14:paraId="30D15665" w14:textId="77777777" w:rsidR="004A59EC" w:rsidRDefault="004A59EC" w:rsidP="00F326E5">
      <w:pPr>
        <w:pStyle w:val="NoSpacing"/>
        <w:rPr>
          <w:rFonts w:ascii="Arial Black" w:hAnsi="Arial Black"/>
          <w:sz w:val="28"/>
          <w:szCs w:val="28"/>
        </w:rPr>
      </w:pPr>
    </w:p>
    <w:p w14:paraId="5B3DDF47" w14:textId="573E5642" w:rsidR="004A59EC" w:rsidRPr="00085C8F" w:rsidRDefault="004A59EC" w:rsidP="004A59EC">
      <w:pPr>
        <w:pStyle w:val="NoSpacing"/>
        <w:rPr>
          <w:rFonts w:ascii="Arial Black" w:hAnsi="Arial Black"/>
          <w:b/>
          <w:sz w:val="28"/>
          <w:szCs w:val="28"/>
        </w:rPr>
      </w:pPr>
      <w:r>
        <w:rPr>
          <w:rFonts w:ascii="Arial Black" w:hAnsi="Arial Black"/>
          <w:b/>
          <w:sz w:val="28"/>
          <w:szCs w:val="28"/>
        </w:rPr>
        <w:t xml:space="preserve">AR:  </w:t>
      </w:r>
      <w:r w:rsidR="00D87B7D">
        <w:rPr>
          <w:rFonts w:ascii="Arial Black" w:hAnsi="Arial Black"/>
          <w:b/>
          <w:sz w:val="28"/>
          <w:szCs w:val="28"/>
        </w:rPr>
        <w:t xml:space="preserve">WORKING OUT - </w:t>
      </w:r>
      <w:r>
        <w:rPr>
          <w:rFonts w:ascii="Arial Black" w:hAnsi="Arial Black"/>
          <w:b/>
          <w:sz w:val="28"/>
          <w:szCs w:val="28"/>
        </w:rPr>
        <w:t xml:space="preserve">INJURED LUMBAR – WORK COMP </w:t>
      </w:r>
    </w:p>
    <w:p w14:paraId="6FAB9F5A" w14:textId="77777777" w:rsidR="004A59EC" w:rsidRDefault="004A59EC" w:rsidP="004A59EC">
      <w:pPr>
        <w:pStyle w:val="NoSpacing"/>
        <w:rPr>
          <w:b/>
        </w:rPr>
      </w:pPr>
    </w:p>
    <w:p w14:paraId="0B65BC26" w14:textId="77777777" w:rsidR="00E077F6" w:rsidRPr="00932110" w:rsidRDefault="00E077F6" w:rsidP="00932110">
      <w:pPr>
        <w:pStyle w:val="NoSpacing"/>
        <w:rPr>
          <w:rFonts w:ascii="Times New Roman" w:hAnsi="Times New Roman"/>
          <w:bCs/>
          <w:sz w:val="24"/>
          <w:szCs w:val="24"/>
        </w:rPr>
      </w:pPr>
      <w:r w:rsidRPr="00932110">
        <w:rPr>
          <w:rFonts w:ascii="Times New Roman" w:hAnsi="Times New Roman"/>
          <w:sz w:val="24"/>
          <w:szCs w:val="24"/>
        </w:rPr>
        <w:t xml:space="preserve">On Dec. 13, 2024, in </w:t>
      </w:r>
      <w:r w:rsidRPr="00932110">
        <w:rPr>
          <w:rFonts w:ascii="Times New Roman" w:hAnsi="Times New Roman"/>
          <w:sz w:val="24"/>
          <w:szCs w:val="24"/>
          <w:u w:val="single"/>
        </w:rPr>
        <w:t>City of Tucson v. The Indus. Comm'n of Ariz</w:t>
      </w:r>
      <w:r w:rsidRPr="00932110">
        <w:rPr>
          <w:rFonts w:ascii="Times New Roman" w:hAnsi="Times New Roman"/>
          <w:sz w:val="24"/>
          <w:szCs w:val="24"/>
        </w:rPr>
        <w:t xml:space="preserve">., Court of Appeals of Arizona, Second Division held (3 to 0) that ALJ properly found Spitzer's lumbar surgery claim compensable.  The Court held: “The City contends Dr. Jeong's testimony was ‘foundationally deficient’ and should not have been used as competent medical evidence to support the ALJ's award of a compensable claim. We conclude otherwise. Jeong, Spitzer's surgeon, testified that the ‘deadlift episode’ was ‘more likely than not’ the cause of Spitzer's lumbar disk herniation. Dr. Eskay-Auerbach, the City's expert, opined that Spitzer's workout resulted in a 'lumbar sprain’ and noted that deadlifting is ‘not an activity that causes disk herniations.’ Eskay-Auerbach attributed Spitzer's disk herniation to ‘age related degenerative changes.’"  </w:t>
      </w:r>
      <w:hyperlink r:id="rId2427" w:history="1">
        <w:r w:rsidRPr="00932110">
          <w:rPr>
            <w:rStyle w:val="Hyperlink"/>
            <w:rFonts w:ascii="Times New Roman" w:hAnsi="Times New Roman"/>
            <w:sz w:val="24"/>
            <w:szCs w:val="24"/>
          </w:rPr>
          <w:t>https://casetext.com/case/city-of-tucson-v-the-indus-commn-of-ariz</w:t>
        </w:r>
      </w:hyperlink>
    </w:p>
    <w:p w14:paraId="58EFB061" w14:textId="77777777" w:rsidR="00E077F6" w:rsidRDefault="00E077F6" w:rsidP="00E077F6">
      <w:pPr>
        <w:ind w:left="720"/>
      </w:pPr>
    </w:p>
    <w:p w14:paraId="260D2380" w14:textId="38D0F8A9" w:rsidR="004A59EC" w:rsidRPr="004A59EC" w:rsidRDefault="004A59EC" w:rsidP="004A59EC">
      <w:pPr>
        <w:pStyle w:val="NoSpacing"/>
        <w:rPr>
          <w:rFonts w:ascii="Times New Roman" w:hAnsi="Times New Roman"/>
          <w:bCs/>
          <w:sz w:val="24"/>
          <w:szCs w:val="24"/>
        </w:rPr>
      </w:pPr>
      <w:r w:rsidRPr="004A59EC">
        <w:rPr>
          <w:rFonts w:ascii="Times New Roman" w:hAnsi="Times New Roman"/>
          <w:sz w:val="24"/>
          <w:szCs w:val="24"/>
        </w:rPr>
        <w:t>The Court held:</w:t>
      </w:r>
    </w:p>
    <w:p w14:paraId="6117BD3D" w14:textId="77777777" w:rsidR="004A59EC" w:rsidRPr="004A59EC" w:rsidRDefault="004A59EC" w:rsidP="004A59EC">
      <w:pPr>
        <w:pStyle w:val="NoSpacing"/>
        <w:ind w:left="720"/>
        <w:rPr>
          <w:rFonts w:ascii="Times New Roman" w:hAnsi="Times New Roman"/>
          <w:bCs/>
          <w:sz w:val="24"/>
          <w:szCs w:val="24"/>
        </w:rPr>
      </w:pPr>
    </w:p>
    <w:p w14:paraId="66C3C1E5" w14:textId="77777777" w:rsidR="004A59EC" w:rsidRPr="004A59EC" w:rsidRDefault="004A59EC" w:rsidP="004A59EC">
      <w:pPr>
        <w:pStyle w:val="NoSpacing"/>
        <w:ind w:left="720"/>
        <w:rPr>
          <w:rFonts w:ascii="Times New Roman" w:hAnsi="Times New Roman"/>
          <w:bCs/>
          <w:sz w:val="24"/>
          <w:szCs w:val="24"/>
        </w:rPr>
      </w:pPr>
      <w:r w:rsidRPr="004A59EC">
        <w:rPr>
          <w:rFonts w:ascii="Times New Roman" w:hAnsi="Times New Roman"/>
          <w:sz w:val="24"/>
          <w:szCs w:val="24"/>
        </w:rPr>
        <w:t xml:space="preserve">“The </w:t>
      </w:r>
      <w:proofErr w:type="gramStart"/>
      <w:r w:rsidRPr="004A59EC">
        <w:rPr>
          <w:rFonts w:ascii="Times New Roman" w:hAnsi="Times New Roman"/>
          <w:sz w:val="24"/>
          <w:szCs w:val="24"/>
        </w:rPr>
        <w:t>City</w:t>
      </w:r>
      <w:proofErr w:type="gramEnd"/>
      <w:r w:rsidRPr="004A59EC">
        <w:rPr>
          <w:rFonts w:ascii="Times New Roman" w:hAnsi="Times New Roman"/>
          <w:sz w:val="24"/>
          <w:szCs w:val="24"/>
        </w:rPr>
        <w:t xml:space="preserve"> contends Dr. Jeong's testimony was ‘foundationally deficient’ and should not have been used as competent medical evidence to support the ALJ's award of a compensable claim. We conclude otherwise. Jeong, Spitzer's surgeon, testified that the ‘deadlift episode’ was ‘more likely than not’ the cause of Spitzer's lumbar disk herniation. Dr. Eskay-Auerbach, the City's expert, opined that Spitzer's workout resulted in a 'lumbar sprain’ and noted that deadlifting is ‘not an activity that causes disk herniations.’ Eskay-Auerbach attributed Spitzer's disk herniation to ‘age related degenerative changes.’"  </w:t>
      </w:r>
      <w:hyperlink r:id="rId2428" w:history="1">
        <w:r w:rsidRPr="004A59EC">
          <w:rPr>
            <w:rStyle w:val="Hyperlink"/>
            <w:rFonts w:ascii="Times New Roman" w:hAnsi="Times New Roman"/>
            <w:sz w:val="24"/>
            <w:szCs w:val="24"/>
          </w:rPr>
          <w:t>https://casetext.com/case/city-of-tucson-v-the-indus-commn-of-ariz</w:t>
        </w:r>
      </w:hyperlink>
      <w:r w:rsidRPr="004A59EC">
        <w:rPr>
          <w:rFonts w:ascii="Times New Roman" w:hAnsi="Times New Roman"/>
          <w:sz w:val="24"/>
          <w:szCs w:val="24"/>
        </w:rPr>
        <w:t xml:space="preserve"> </w:t>
      </w:r>
    </w:p>
    <w:p w14:paraId="7EF26E3E" w14:textId="77777777" w:rsidR="004A59EC" w:rsidRPr="002A425F" w:rsidRDefault="004A59EC" w:rsidP="004A59EC">
      <w:pPr>
        <w:pStyle w:val="NoSpacing"/>
        <w:rPr>
          <w:bCs/>
        </w:rPr>
      </w:pPr>
    </w:p>
    <w:p w14:paraId="6113C16E" w14:textId="77777777" w:rsidR="00C0038F" w:rsidRPr="001B383B" w:rsidRDefault="00C0038F" w:rsidP="00C0038F">
      <w:pPr>
        <w:pStyle w:val="NoSpacing"/>
        <w:rPr>
          <w:rFonts w:ascii="Times New Roman" w:hAnsi="Times New Roman"/>
          <w:bCs/>
          <w:sz w:val="24"/>
          <w:szCs w:val="24"/>
        </w:rPr>
      </w:pPr>
      <w:r w:rsidRPr="001B383B">
        <w:rPr>
          <w:rFonts w:ascii="Times New Roman" w:hAnsi="Times New Roman"/>
          <w:sz w:val="24"/>
          <w:szCs w:val="24"/>
        </w:rPr>
        <w:lastRenderedPageBreak/>
        <w:t>HOLDING:</w:t>
      </w:r>
    </w:p>
    <w:p w14:paraId="4DF09664" w14:textId="77777777" w:rsidR="00C0038F" w:rsidRPr="001B383B" w:rsidRDefault="00C0038F" w:rsidP="00C0038F">
      <w:pPr>
        <w:pStyle w:val="NoSpacing"/>
        <w:rPr>
          <w:rFonts w:ascii="Times New Roman" w:hAnsi="Times New Roman"/>
          <w:bCs/>
          <w:sz w:val="24"/>
          <w:szCs w:val="24"/>
        </w:rPr>
      </w:pPr>
    </w:p>
    <w:p w14:paraId="21C656B8" w14:textId="77777777" w:rsidR="00C0038F" w:rsidRPr="001B383B" w:rsidRDefault="00C0038F" w:rsidP="00C0038F">
      <w:pPr>
        <w:pStyle w:val="NoSpacing"/>
        <w:ind w:left="720"/>
        <w:rPr>
          <w:rFonts w:ascii="Times New Roman" w:hAnsi="Times New Roman"/>
          <w:sz w:val="24"/>
          <w:szCs w:val="24"/>
        </w:rPr>
      </w:pPr>
      <w:r w:rsidRPr="001B383B">
        <w:rPr>
          <w:rFonts w:ascii="Times New Roman" w:hAnsi="Times New Roman"/>
          <w:sz w:val="24"/>
          <w:szCs w:val="24"/>
        </w:rPr>
        <w:t>“However, Spitzer consistently testified that his back was ‘sore’ leading up to January 27 and differentiated that soreness from it being painful or hurting. For example, Spitzer explained that he did not report his back injury on the date it occurred because it was ‘sore and not hurt’ and that the ‘soreness lined up with having done a workout.’ Therefore, the ALJ's follow-up accurately reflected the record. The ALJ did not err in finding Dr. Jeong's medical opinion more probably correct. Consequently, we conclude substantial evidence supports the ALJ's findings and award.”</w:t>
      </w:r>
    </w:p>
    <w:p w14:paraId="50F982E5" w14:textId="77777777" w:rsidR="00C0038F" w:rsidRPr="001B383B" w:rsidRDefault="00C0038F" w:rsidP="00C0038F">
      <w:pPr>
        <w:pStyle w:val="NoSpacing"/>
        <w:ind w:left="720"/>
        <w:rPr>
          <w:rFonts w:ascii="Times New Roman" w:hAnsi="Times New Roman"/>
          <w:sz w:val="24"/>
          <w:szCs w:val="24"/>
        </w:rPr>
      </w:pPr>
    </w:p>
    <w:p w14:paraId="0F1F71EC" w14:textId="77777777" w:rsidR="00C0038F" w:rsidRPr="001B383B" w:rsidRDefault="00C0038F" w:rsidP="00C0038F">
      <w:pPr>
        <w:pStyle w:val="NoSpacing"/>
        <w:rPr>
          <w:rFonts w:ascii="Times New Roman" w:hAnsi="Times New Roman"/>
          <w:b/>
          <w:bCs/>
          <w:sz w:val="24"/>
          <w:szCs w:val="24"/>
        </w:rPr>
      </w:pPr>
      <w:r w:rsidRPr="001B383B">
        <w:rPr>
          <w:rFonts w:ascii="Times New Roman" w:hAnsi="Times New Roman"/>
          <w:b/>
          <w:sz w:val="24"/>
          <w:szCs w:val="24"/>
        </w:rPr>
        <w:t xml:space="preserve">Legal Lesson Learned:  The firefighter presented expert testimony that persuaded the Administrative Law Judge. </w:t>
      </w:r>
    </w:p>
    <w:p w14:paraId="44621F56" w14:textId="77777777" w:rsidR="00C0038F" w:rsidRPr="001B383B" w:rsidRDefault="00C0038F" w:rsidP="00C0038F">
      <w:pPr>
        <w:pStyle w:val="NoSpacing"/>
        <w:rPr>
          <w:rFonts w:ascii="Times New Roman" w:hAnsi="Times New Roman"/>
          <w:b/>
          <w:bCs/>
          <w:sz w:val="24"/>
          <w:szCs w:val="24"/>
        </w:rPr>
      </w:pPr>
    </w:p>
    <w:p w14:paraId="221358AE" w14:textId="77777777" w:rsidR="004A59EC" w:rsidRDefault="004A59EC" w:rsidP="00F326E5">
      <w:pPr>
        <w:pStyle w:val="NoSpacing"/>
        <w:rPr>
          <w:rFonts w:ascii="Arial Black" w:hAnsi="Arial Black"/>
          <w:sz w:val="28"/>
          <w:szCs w:val="28"/>
        </w:rPr>
      </w:pPr>
    </w:p>
    <w:p w14:paraId="0532E24D" w14:textId="77777777" w:rsidR="004A59EC" w:rsidRDefault="004A59EC" w:rsidP="00F326E5">
      <w:pPr>
        <w:pStyle w:val="NoSpacing"/>
        <w:rPr>
          <w:rFonts w:ascii="Arial Black" w:hAnsi="Arial Black"/>
          <w:sz w:val="28"/>
          <w:szCs w:val="28"/>
        </w:rPr>
      </w:pPr>
    </w:p>
    <w:p w14:paraId="4423A638" w14:textId="1B401A05" w:rsidR="006C4BDE" w:rsidRDefault="006C4BDE" w:rsidP="00F326E5">
      <w:pPr>
        <w:pStyle w:val="NoSpacing"/>
        <w:rPr>
          <w:rFonts w:ascii="Arial Black" w:hAnsi="Arial Black"/>
          <w:sz w:val="28"/>
          <w:szCs w:val="28"/>
        </w:rPr>
      </w:pPr>
      <w:r>
        <w:rPr>
          <w:rFonts w:ascii="Arial Black" w:hAnsi="Arial Black"/>
          <w:sz w:val="28"/>
          <w:szCs w:val="28"/>
        </w:rPr>
        <w:t>14-6 [Also filed, Chap. 7]</w:t>
      </w:r>
    </w:p>
    <w:p w14:paraId="1D0DA59C" w14:textId="2488F8A5" w:rsidR="006C4BDE" w:rsidRPr="00F315B4" w:rsidRDefault="006C4BDE" w:rsidP="006C4BDE">
      <w:pPr>
        <w:spacing w:before="100" w:beforeAutospacing="1" w:after="100" w:afterAutospacing="1" w:line="240" w:lineRule="auto"/>
        <w:rPr>
          <w:rFonts w:ascii="Arial Black" w:hAnsi="Arial Black"/>
          <w:sz w:val="28"/>
          <w:szCs w:val="28"/>
        </w:rPr>
      </w:pPr>
      <w:r>
        <w:rPr>
          <w:rFonts w:ascii="Arial Black" w:hAnsi="Arial Black"/>
          <w:sz w:val="28"/>
          <w:szCs w:val="28"/>
        </w:rPr>
        <w:t>WI: FEMALE FAILS APPLICANT PHYSICAL FITNESS TEST –</w:t>
      </w:r>
      <w:r w:rsidR="006B7287">
        <w:rPr>
          <w:rFonts w:ascii="Arial Black" w:hAnsi="Arial Black"/>
          <w:sz w:val="28"/>
          <w:szCs w:val="28"/>
        </w:rPr>
        <w:t xml:space="preserve"> </w:t>
      </w:r>
      <w:r>
        <w:rPr>
          <w:rFonts w:ascii="Arial Black" w:hAnsi="Arial Black"/>
          <w:sz w:val="28"/>
          <w:szCs w:val="28"/>
        </w:rPr>
        <w:t>NOT CPAT, BUT MEETS EEOC GUIDELINES – TEST UPHELD</w:t>
      </w:r>
    </w:p>
    <w:p w14:paraId="6F425D2A" w14:textId="77777777" w:rsidR="00744AE5" w:rsidRDefault="006C4BDE" w:rsidP="006C4BDE">
      <w:pPr>
        <w:spacing w:before="100" w:beforeAutospacing="1" w:after="100" w:afterAutospacing="1" w:line="240" w:lineRule="auto"/>
        <w:rPr>
          <w:rFonts w:ascii="Times New Roman" w:eastAsia="Times New Roman" w:hAnsi="Times New Roman"/>
          <w:sz w:val="24"/>
          <w:szCs w:val="24"/>
        </w:rPr>
      </w:pPr>
      <w:r w:rsidRPr="00A4532F">
        <w:rPr>
          <w:rFonts w:ascii="Times New Roman" w:hAnsi="Times New Roman"/>
          <w:sz w:val="24"/>
          <w:szCs w:val="24"/>
        </w:rPr>
        <w:t xml:space="preserve">On July 20, 2022, in </w:t>
      </w:r>
      <w:r w:rsidRPr="00A4532F">
        <w:rPr>
          <w:rFonts w:ascii="Times New Roman" w:hAnsi="Times New Roman"/>
          <w:sz w:val="24"/>
          <w:szCs w:val="24"/>
          <w:u w:val="single"/>
        </w:rPr>
        <w:t>Catherine Erdman v. City of Madison</w:t>
      </w:r>
      <w:r>
        <w:rPr>
          <w:rFonts w:ascii="Times New Roman" w:hAnsi="Times New Roman"/>
          <w:sz w:val="24"/>
          <w:szCs w:val="24"/>
        </w:rPr>
        <w:t xml:space="preserve">, U.S. District Court Judge William M. Conley dismissed the lawsuit, findings that the Madison Fire Department in their 2014 applicant testing did not violate Title VII of the Civil Rights Act of 1964, even if more female failed compared to fire departments using the CPAT, since the tests were developed by consultants to assess actual job duties and meet the EEOC’s </w:t>
      </w:r>
      <w:r w:rsidRPr="005403E6">
        <w:rPr>
          <w:rFonts w:ascii="Times New Roman" w:eastAsia="Times New Roman" w:hAnsi="Times New Roman"/>
          <w:sz w:val="24"/>
          <w:szCs w:val="24"/>
        </w:rPr>
        <w:t>Uniform Guidelines on Employee Selection Procedures</w:t>
      </w:r>
      <w:r>
        <w:rPr>
          <w:rFonts w:ascii="Times New Roman" w:eastAsia="Times New Roman" w:hAnsi="Times New Roman"/>
          <w:sz w:val="24"/>
          <w:szCs w:val="24"/>
        </w:rPr>
        <w:t xml:space="preserve">. </w:t>
      </w:r>
    </w:p>
    <w:p w14:paraId="023A36A0" w14:textId="77777777" w:rsidR="00744AE5" w:rsidRPr="004C0299" w:rsidRDefault="00744AE5" w:rsidP="00744AE5">
      <w:pPr>
        <w:pStyle w:val="NoSpacing"/>
        <w:rPr>
          <w:rFonts w:ascii="Times New Roman" w:hAnsi="Times New Roman"/>
          <w:sz w:val="24"/>
          <w:szCs w:val="24"/>
        </w:rPr>
      </w:pPr>
      <w:r>
        <w:rPr>
          <w:rFonts w:ascii="Times New Roman" w:hAnsi="Times New Roman"/>
          <w:sz w:val="24"/>
          <w:szCs w:val="24"/>
          <w:shd w:val="clear" w:color="auto" w:fill="FFFFFF"/>
        </w:rPr>
        <w:t>THE COURT HELD:</w:t>
      </w:r>
    </w:p>
    <w:p w14:paraId="2F972285" w14:textId="5FFD10C9" w:rsidR="006C4BDE" w:rsidRPr="005403E6" w:rsidRDefault="006C4BDE" w:rsidP="006C4BDE">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Plaintiff’s lawsuit claimed that she would have passed CPAT [Madison FD’s pass rate for women was 14%; the pass rate for women taking CPAT at Austin, Teas FD was 48%].  </w:t>
      </w:r>
      <w:r>
        <w:rPr>
          <w:rFonts w:ascii="Times New Roman" w:hAnsi="Times New Roman"/>
          <w:sz w:val="24"/>
          <w:szCs w:val="24"/>
        </w:rPr>
        <w:t xml:space="preserve">Plaintiff failed the “pike pole” which required </w:t>
      </w:r>
      <w:r w:rsidRPr="005403E6">
        <w:rPr>
          <w:rFonts w:ascii="Times New Roman" w:eastAsia="Times New Roman" w:hAnsi="Times New Roman"/>
          <w:sz w:val="24"/>
          <w:szCs w:val="24"/>
        </w:rPr>
        <w:t>applicants to stand at least 18 inches back from the ceiling being pulled down with a pike pole to account for safety concerns with</w:t>
      </w:r>
      <w:r>
        <w:rPr>
          <w:rFonts w:ascii="Times New Roman" w:eastAsia="Times New Roman" w:hAnsi="Times New Roman"/>
          <w:sz w:val="24"/>
          <w:szCs w:val="24"/>
        </w:rPr>
        <w:t xml:space="preserve"> test takers </w:t>
      </w:r>
      <w:r w:rsidRPr="005403E6">
        <w:rPr>
          <w:rFonts w:ascii="Times New Roman" w:eastAsia="Times New Roman" w:hAnsi="Times New Roman"/>
          <w:sz w:val="24"/>
          <w:szCs w:val="24"/>
        </w:rPr>
        <w:t>standing directly under the ceiling</w:t>
      </w:r>
      <w:r>
        <w:rPr>
          <w:rFonts w:ascii="Times New Roman" w:eastAsia="Times New Roman" w:hAnsi="Times New Roman"/>
          <w:sz w:val="24"/>
          <w:szCs w:val="24"/>
        </w:rPr>
        <w:t xml:space="preserve">; </w:t>
      </w:r>
      <w:r w:rsidRPr="005403E6">
        <w:rPr>
          <w:rFonts w:ascii="Times New Roman" w:eastAsia="Times New Roman" w:hAnsi="Times New Roman"/>
          <w:sz w:val="24"/>
          <w:szCs w:val="24"/>
        </w:rPr>
        <w:t>the pole was long enough to allow applicants of different heights to adjust the hold to account for that differential.</w:t>
      </w:r>
      <w:r>
        <w:rPr>
          <w:rFonts w:ascii="Times New Roman" w:eastAsia="Times New Roman" w:hAnsi="Times New Roman"/>
          <w:sz w:val="24"/>
          <w:szCs w:val="24"/>
        </w:rPr>
        <w:t xml:space="preserve"> </w:t>
      </w:r>
      <w:hyperlink r:id="rId2429" w:history="1">
        <w:r w:rsidRPr="00355029">
          <w:rPr>
            <w:rStyle w:val="Hyperlink"/>
            <w:rFonts w:ascii="Times New Roman" w:hAnsi="Times New Roman"/>
            <w:sz w:val="24"/>
            <w:szCs w:val="24"/>
          </w:rPr>
          <w:t>https://public.fastcase.com/J%2FJP6pdidelsXxEE4k%2BLMiptlpkB0gZD0zq9ZoOKNJuhacmaRfGRvhQDw8Dzjp093sUgUkI4CwYYkhqoix%2B0P6g4YOgoDnx2kMnRYwj%2FWdA%3D</w:t>
        </w:r>
      </w:hyperlink>
      <w:r>
        <w:rPr>
          <w:rFonts w:ascii="Times New Roman" w:hAnsi="Times New Roman"/>
          <w:sz w:val="24"/>
          <w:szCs w:val="24"/>
        </w:rPr>
        <w:t xml:space="preserve"> </w:t>
      </w:r>
    </w:p>
    <w:p w14:paraId="7245A580" w14:textId="77777777" w:rsidR="006C4BDE" w:rsidRPr="006E479D" w:rsidRDefault="006C4BDE" w:rsidP="006C4BDE">
      <w:pPr>
        <w:spacing w:before="100" w:beforeAutospacing="1" w:after="100" w:afterAutospacing="1" w:line="240" w:lineRule="auto"/>
        <w:rPr>
          <w:rFonts w:ascii="Times New Roman" w:hAnsi="Times New Roman"/>
          <w:b/>
          <w:bCs/>
          <w:sz w:val="24"/>
          <w:szCs w:val="24"/>
        </w:rPr>
      </w:pPr>
      <w:r w:rsidRPr="00604285">
        <w:rPr>
          <w:rFonts w:ascii="Times New Roman" w:hAnsi="Times New Roman"/>
          <w:b/>
          <w:bCs/>
          <w:sz w:val="24"/>
          <w:szCs w:val="24"/>
        </w:rPr>
        <w:t>Legal Lesson Learned:</w:t>
      </w:r>
      <w:r>
        <w:rPr>
          <w:rFonts w:ascii="Times New Roman" w:hAnsi="Times New Roman"/>
          <w:b/>
          <w:bCs/>
          <w:sz w:val="24"/>
          <w:szCs w:val="24"/>
        </w:rPr>
        <w:t xml:space="preserve"> </w:t>
      </w:r>
      <w:r w:rsidRPr="006E479D">
        <w:rPr>
          <w:rFonts w:ascii="Times New Roman" w:hAnsi="Times New Roman"/>
          <w:b/>
          <w:bCs/>
          <w:sz w:val="24"/>
          <w:szCs w:val="24"/>
        </w:rPr>
        <w:t xml:space="preserve">This alternative test passed EEOC “Uniform Guidelines </w:t>
      </w:r>
      <w:r w:rsidRPr="006E479D">
        <w:rPr>
          <w:rFonts w:ascii="Times New Roman" w:eastAsia="Times New Roman" w:hAnsi="Times New Roman"/>
          <w:b/>
          <w:bCs/>
          <w:sz w:val="24"/>
          <w:szCs w:val="24"/>
        </w:rPr>
        <w:t xml:space="preserve">on Employee Selection Procedures (1978), 29 C.F.R. § 1607, </w:t>
      </w:r>
      <w:r w:rsidRPr="006E479D">
        <w:rPr>
          <w:rFonts w:ascii="Times New Roman" w:eastAsia="Times New Roman" w:hAnsi="Times New Roman"/>
          <w:b/>
          <w:bCs/>
          <w:i/>
          <w:iCs/>
          <w:sz w:val="24"/>
          <w:szCs w:val="24"/>
        </w:rPr>
        <w:t xml:space="preserve">et seq.” </w:t>
      </w:r>
      <w:r w:rsidRPr="006E479D">
        <w:rPr>
          <w:rFonts w:ascii="Times New Roman" w:hAnsi="Times New Roman"/>
          <w:b/>
          <w:bCs/>
          <w:sz w:val="24"/>
          <w:szCs w:val="24"/>
        </w:rPr>
        <w:t xml:space="preserve">  </w:t>
      </w:r>
    </w:p>
    <w:p w14:paraId="6BD9C955" w14:textId="77777777" w:rsidR="006C4BDE" w:rsidRDefault="006C4BDE" w:rsidP="00F326E5">
      <w:pPr>
        <w:pStyle w:val="NoSpacing"/>
        <w:rPr>
          <w:rFonts w:ascii="Arial Black" w:hAnsi="Arial Black"/>
          <w:sz w:val="28"/>
          <w:szCs w:val="28"/>
        </w:rPr>
      </w:pPr>
    </w:p>
    <w:p w14:paraId="42575218" w14:textId="77777777" w:rsidR="006C4BDE" w:rsidRDefault="006C4BDE" w:rsidP="00F326E5">
      <w:pPr>
        <w:pStyle w:val="NoSpacing"/>
        <w:rPr>
          <w:rFonts w:ascii="Arial Black" w:hAnsi="Arial Black"/>
          <w:sz w:val="28"/>
          <w:szCs w:val="28"/>
        </w:rPr>
      </w:pPr>
    </w:p>
    <w:p w14:paraId="3C49D17B" w14:textId="26AC7D80" w:rsidR="00506EE7" w:rsidRDefault="00506EE7" w:rsidP="00F326E5">
      <w:pPr>
        <w:pStyle w:val="NoSpacing"/>
        <w:rPr>
          <w:rFonts w:ascii="Arial Black" w:hAnsi="Arial Black"/>
          <w:sz w:val="28"/>
          <w:szCs w:val="28"/>
        </w:rPr>
      </w:pPr>
      <w:r>
        <w:rPr>
          <w:rFonts w:ascii="Arial Black" w:hAnsi="Arial Black"/>
          <w:sz w:val="28"/>
          <w:szCs w:val="28"/>
        </w:rPr>
        <w:t>14-5</w:t>
      </w:r>
    </w:p>
    <w:p w14:paraId="4F26E956" w14:textId="77777777" w:rsidR="00506EE7" w:rsidRPr="002D2746" w:rsidRDefault="00506EE7" w:rsidP="00506EE7">
      <w:pPr>
        <w:spacing w:before="100" w:beforeAutospacing="1" w:after="100" w:afterAutospacing="1" w:line="240" w:lineRule="auto"/>
        <w:rPr>
          <w:rFonts w:ascii="Arial Black" w:eastAsia="Times New Roman" w:hAnsi="Arial Black"/>
          <w:b/>
          <w:bCs/>
          <w:sz w:val="28"/>
          <w:szCs w:val="28"/>
        </w:rPr>
      </w:pPr>
      <w:bookmarkStart w:id="558" w:name="_Hlk89148163"/>
      <w:r w:rsidRPr="002D2746">
        <w:rPr>
          <w:rFonts w:ascii="Arial Black" w:eastAsia="Times New Roman" w:hAnsi="Arial Black"/>
          <w:b/>
          <w:bCs/>
          <w:sz w:val="28"/>
          <w:szCs w:val="28"/>
        </w:rPr>
        <w:t>VA: PSYCHIA</w:t>
      </w:r>
      <w:r>
        <w:rPr>
          <w:rFonts w:ascii="Arial Black" w:eastAsia="Times New Roman" w:hAnsi="Arial Black"/>
          <w:b/>
          <w:bCs/>
          <w:sz w:val="28"/>
          <w:szCs w:val="28"/>
        </w:rPr>
        <w:t>T</w:t>
      </w:r>
      <w:r w:rsidRPr="002D2746">
        <w:rPr>
          <w:rFonts w:ascii="Arial Black" w:eastAsia="Times New Roman" w:hAnsi="Arial Black"/>
          <w:b/>
          <w:bCs/>
          <w:sz w:val="28"/>
          <w:szCs w:val="28"/>
        </w:rPr>
        <w:t>RIST</w:t>
      </w:r>
      <w:r>
        <w:rPr>
          <w:rFonts w:ascii="Arial Black" w:eastAsia="Times New Roman" w:hAnsi="Arial Black"/>
          <w:b/>
          <w:bCs/>
          <w:sz w:val="28"/>
          <w:szCs w:val="28"/>
        </w:rPr>
        <w:t xml:space="preserve"> (AGE 67) COULD NOT PASS PHYSICAL AGILITY TEST - JOB IN FED. PRISON – CASE TO PROCEED</w:t>
      </w:r>
    </w:p>
    <w:p w14:paraId="22D26C6C" w14:textId="77777777" w:rsidR="00506EE7" w:rsidRDefault="00506EE7" w:rsidP="00506EE7">
      <w:pPr>
        <w:spacing w:before="100" w:beforeAutospacing="1" w:after="100" w:afterAutospacing="1" w:line="240" w:lineRule="auto"/>
        <w:rPr>
          <w:rFonts w:ascii="Times New Roman" w:hAnsi="Times New Roman"/>
          <w:sz w:val="24"/>
          <w:szCs w:val="24"/>
        </w:rPr>
      </w:pPr>
      <w:r w:rsidRPr="009366B6">
        <w:rPr>
          <w:rFonts w:ascii="Times New Roman" w:eastAsia="Times New Roman" w:hAnsi="Times New Roman"/>
          <w:sz w:val="24"/>
          <w:szCs w:val="24"/>
        </w:rPr>
        <w:t xml:space="preserve">On </w:t>
      </w:r>
      <w:r>
        <w:rPr>
          <w:rFonts w:ascii="Times New Roman" w:eastAsia="Times New Roman" w:hAnsi="Times New Roman"/>
          <w:sz w:val="24"/>
          <w:szCs w:val="24"/>
        </w:rPr>
        <w:t xml:space="preserve">Nov. 17, 2021, in </w:t>
      </w:r>
      <w:r w:rsidRPr="009366B6">
        <w:rPr>
          <w:rFonts w:ascii="Times New Roman" w:eastAsia="Times New Roman" w:hAnsi="Times New Roman"/>
          <w:sz w:val="24"/>
          <w:szCs w:val="24"/>
          <w:u w:val="single"/>
        </w:rPr>
        <w:t>Jane D. Dicocco, MD v. Merick B. Garland, Attorney General, U.S. Department of Justice</w:t>
      </w:r>
      <w:r>
        <w:rPr>
          <w:rFonts w:ascii="Times New Roman" w:eastAsia="Times New Roman" w:hAnsi="Times New Roman"/>
          <w:sz w:val="24"/>
          <w:szCs w:val="24"/>
        </w:rPr>
        <w:t>, the U.S. Court of Appeals for the 4</w:t>
      </w:r>
      <w:r w:rsidRPr="009366B6">
        <w:rPr>
          <w:rFonts w:ascii="Times New Roman" w:eastAsia="Times New Roman" w:hAnsi="Times New Roman"/>
          <w:sz w:val="24"/>
          <w:szCs w:val="24"/>
          <w:vertAlign w:val="superscript"/>
        </w:rPr>
        <w:t>th</w:t>
      </w:r>
      <w:r>
        <w:rPr>
          <w:rFonts w:ascii="Times New Roman" w:eastAsia="Times New Roman" w:hAnsi="Times New Roman"/>
          <w:sz w:val="24"/>
          <w:szCs w:val="24"/>
        </w:rPr>
        <w:t xml:space="preserve"> Circuit (Richmond, VA) holds (2 to 1) that the psychiatrist may </w:t>
      </w:r>
      <w:r>
        <w:rPr>
          <w:rFonts w:ascii="Times New Roman" w:eastAsia="Times New Roman" w:hAnsi="Times New Roman"/>
          <w:sz w:val="24"/>
          <w:szCs w:val="24"/>
        </w:rPr>
        <w:lastRenderedPageBreak/>
        <w:t xml:space="preserve">proceed with her case under Title VII of the Civil Rights Act, but </w:t>
      </w:r>
      <w:r>
        <w:rPr>
          <w:rStyle w:val="markedcontent"/>
          <w:rFonts w:ascii="Times New Roman" w:hAnsi="Times New Roman"/>
          <w:sz w:val="24"/>
          <w:szCs w:val="24"/>
        </w:rPr>
        <w:t>cannot sue Federal government under the A</w:t>
      </w:r>
      <w:r w:rsidRPr="00E84A85">
        <w:rPr>
          <w:rStyle w:val="markedcontent"/>
          <w:rFonts w:ascii="Times New Roman" w:hAnsi="Times New Roman"/>
          <w:sz w:val="24"/>
          <w:szCs w:val="24"/>
        </w:rPr>
        <w:t>ge Discrimination in Employment Act of 1967 (ADEA)</w:t>
      </w:r>
      <w:r>
        <w:rPr>
          <w:rStyle w:val="markedcontent"/>
          <w:rFonts w:ascii="Times New Roman" w:hAnsi="Times New Roman"/>
          <w:sz w:val="24"/>
          <w:szCs w:val="24"/>
        </w:rPr>
        <w:t xml:space="preserve">, because Congress never authorized Federal government to be sued for “adverse impact” on employees age 40 or older.  </w:t>
      </w:r>
      <w:r>
        <w:rPr>
          <w:rFonts w:ascii="Times New Roman" w:hAnsi="Times New Roman"/>
          <w:sz w:val="24"/>
          <w:szCs w:val="24"/>
        </w:rPr>
        <w:t xml:space="preserve">Note: </w:t>
      </w:r>
      <w:r>
        <w:rPr>
          <w:rFonts w:ascii="Times New Roman" w:eastAsia="Times New Roman" w:hAnsi="Times New Roman"/>
          <w:sz w:val="24"/>
          <w:szCs w:val="24"/>
        </w:rPr>
        <w:t>The Bureau of Prisons “Physical Abilities Test” includes: “</w:t>
      </w:r>
      <w:r w:rsidRPr="00CF5EED">
        <w:rPr>
          <w:rFonts w:ascii="Times New Roman" w:hAnsi="Times New Roman"/>
          <w:sz w:val="24"/>
          <w:szCs w:val="24"/>
        </w:rPr>
        <w:t>Employees taking the test must drag a seventy-five-pound dummy at least 694 feet for three minutes, climb a ladder to retrieve an object within seven seconds, complete an obstacle course in fifty-eight seconds, run a quarter mile and handcuff someone within two minutes and thirty-five seconds, and climb three flights of stairs in forty-five seconds while wearing a twenty-pound weight belt. Employees receive scores for the five components, which are aggregated and measured against a passing composite score.</w:t>
      </w:r>
      <w:r>
        <w:rPr>
          <w:rFonts w:ascii="Times New Roman" w:hAnsi="Times New Roman"/>
          <w:sz w:val="24"/>
          <w:szCs w:val="24"/>
        </w:rPr>
        <w:t xml:space="preserve">” </w:t>
      </w:r>
    </w:p>
    <w:p w14:paraId="7D963F73" w14:textId="77777777" w:rsidR="00506EE7" w:rsidRPr="001C3BEE" w:rsidRDefault="00506EE7" w:rsidP="00506EE7">
      <w:pPr>
        <w:spacing w:before="100" w:beforeAutospacing="1" w:after="100" w:afterAutospacing="1" w:line="240" w:lineRule="auto"/>
        <w:ind w:left="720"/>
        <w:rPr>
          <w:rStyle w:val="markedcontent"/>
          <w:rFonts w:ascii="Times New Roman" w:hAnsi="Times New Roman"/>
          <w:sz w:val="24"/>
          <w:szCs w:val="24"/>
        </w:rPr>
      </w:pPr>
      <w:r>
        <w:rPr>
          <w:rStyle w:val="markedcontent"/>
          <w:rFonts w:ascii="Times New Roman" w:hAnsi="Times New Roman"/>
          <w:sz w:val="24"/>
          <w:szCs w:val="24"/>
        </w:rPr>
        <w:t>“</w:t>
      </w:r>
      <w:r w:rsidRPr="001C3BEE">
        <w:rPr>
          <w:rStyle w:val="markedcontent"/>
          <w:rFonts w:ascii="Times New Roman" w:hAnsi="Times New Roman"/>
          <w:sz w:val="24"/>
          <w:szCs w:val="24"/>
        </w:rPr>
        <w:t xml:space="preserve">Dr. DiCocco alleged that she suffered financial and job-related injuries in fact that are </w:t>
      </w:r>
      <w:proofErr w:type="gramStart"/>
      <w:r w:rsidRPr="001C3BEE">
        <w:rPr>
          <w:rStyle w:val="markedcontent"/>
          <w:rFonts w:ascii="Times New Roman" w:hAnsi="Times New Roman"/>
          <w:sz w:val="24"/>
          <w:szCs w:val="24"/>
        </w:rPr>
        <w:t>fairly traceable</w:t>
      </w:r>
      <w:proofErr w:type="gramEnd"/>
      <w:r w:rsidRPr="001C3BEE">
        <w:rPr>
          <w:rStyle w:val="markedcontent"/>
          <w:rFonts w:ascii="Times New Roman" w:hAnsi="Times New Roman"/>
          <w:sz w:val="24"/>
          <w:szCs w:val="24"/>
        </w:rPr>
        <w:t xml:space="preserve"> to the government’s action and likely to be redressed by a favorable ruling</w:t>
      </w:r>
      <w:r>
        <w:rPr>
          <w:rStyle w:val="markedcontent"/>
          <w:rFonts w:ascii="Times New Roman" w:hAnsi="Times New Roman"/>
          <w:sz w:val="24"/>
          <w:szCs w:val="24"/>
        </w:rPr>
        <w:t xml:space="preserve">…. </w:t>
      </w:r>
      <w:r w:rsidRPr="001C3BEE">
        <w:rPr>
          <w:rStyle w:val="markedcontent"/>
          <w:rFonts w:ascii="Times New Roman" w:hAnsi="Times New Roman"/>
          <w:sz w:val="24"/>
          <w:szCs w:val="24"/>
        </w:rPr>
        <w:t xml:space="preserve"> </w:t>
      </w:r>
      <w:proofErr w:type="gramStart"/>
      <w:r w:rsidRPr="001C3BEE">
        <w:rPr>
          <w:rStyle w:val="markedcontent"/>
          <w:rFonts w:ascii="Times New Roman" w:hAnsi="Times New Roman"/>
          <w:sz w:val="24"/>
          <w:szCs w:val="24"/>
        </w:rPr>
        <w:t>So</w:t>
      </w:r>
      <w:proofErr w:type="gramEnd"/>
      <w:r w:rsidRPr="001C3BEE">
        <w:rPr>
          <w:rStyle w:val="markedcontent"/>
          <w:rFonts w:ascii="Times New Roman" w:hAnsi="Times New Roman"/>
          <w:sz w:val="24"/>
          <w:szCs w:val="24"/>
        </w:rPr>
        <w:t xml:space="preserve"> she has Article III standing. But we must still dismiss her ADEA claim because the ADEA provision applicable to federal-sector employees does not provide a disparate-impact cause of action. </w:t>
      </w:r>
      <w:proofErr w:type="gramStart"/>
      <w:r w:rsidRPr="001C3BEE">
        <w:rPr>
          <w:rStyle w:val="markedcontent"/>
          <w:rFonts w:ascii="Times New Roman" w:hAnsi="Times New Roman"/>
          <w:sz w:val="24"/>
          <w:szCs w:val="24"/>
        </w:rPr>
        <w:t>So</w:t>
      </w:r>
      <w:proofErr w:type="gramEnd"/>
      <w:r w:rsidRPr="001C3BEE">
        <w:rPr>
          <w:rStyle w:val="markedcontent"/>
          <w:rFonts w:ascii="Times New Roman" w:hAnsi="Times New Roman"/>
          <w:sz w:val="24"/>
          <w:szCs w:val="24"/>
        </w:rPr>
        <w:t xml:space="preserve"> her claim does not fall within the government’s waiver of sovereign immunity. We decline, however, to address arguments for rejecting her remaining Title VII claim under Rule 12(b)(6). We therefore affirm the district court’s dismissal of the ADEA claim but remand the Title VII claim for further proceedings.</w:t>
      </w:r>
      <w:r>
        <w:rPr>
          <w:rStyle w:val="markedcontent"/>
          <w:rFonts w:ascii="Times New Roman" w:hAnsi="Times New Roman"/>
          <w:sz w:val="24"/>
          <w:szCs w:val="24"/>
        </w:rPr>
        <w:t xml:space="preserve">” </w:t>
      </w:r>
      <w:hyperlink r:id="rId2430" w:history="1">
        <w:r w:rsidRPr="00C13A89">
          <w:rPr>
            <w:rStyle w:val="Hyperlink"/>
            <w:rFonts w:ascii="Times New Roman" w:hAnsi="Times New Roman"/>
            <w:sz w:val="24"/>
            <w:szCs w:val="24"/>
          </w:rPr>
          <w:t>https://www.ca4.uscourts.gov/Opinions/201342.P.pdf</w:t>
        </w:r>
      </w:hyperlink>
      <w:r>
        <w:rPr>
          <w:rStyle w:val="markedcontent"/>
          <w:rFonts w:ascii="Times New Roman" w:hAnsi="Times New Roman"/>
          <w:sz w:val="24"/>
          <w:szCs w:val="24"/>
        </w:rPr>
        <w:t xml:space="preserve"> </w:t>
      </w:r>
    </w:p>
    <w:p w14:paraId="0ED4A994" w14:textId="77777777" w:rsidR="00506EE7" w:rsidRDefault="00506EE7" w:rsidP="00506EE7">
      <w:pPr>
        <w:pStyle w:val="NormalWeb"/>
        <w:rPr>
          <w:b/>
          <w:bCs/>
        </w:rPr>
      </w:pPr>
      <w:r w:rsidRPr="006C5BC9">
        <w:rPr>
          <w:b/>
          <w:bCs/>
        </w:rPr>
        <w:t>Legal Lesson Learned:</w:t>
      </w:r>
      <w:r>
        <w:rPr>
          <w:b/>
          <w:bCs/>
        </w:rPr>
        <w:t xml:space="preserve">  Fire &amp; EMS Departments may impose physical fitness requirements as a condition of hire of emergency responders, such as passing CPAT test.  But requiring all employees, including secretaries and mechanics, to pass such a test would be a violation of Title VII. </w:t>
      </w:r>
    </w:p>
    <w:bookmarkEnd w:id="558"/>
    <w:p w14:paraId="1567EE1F" w14:textId="77777777" w:rsidR="00506EE7" w:rsidRDefault="00506EE7" w:rsidP="00F326E5">
      <w:pPr>
        <w:pStyle w:val="NoSpacing"/>
        <w:rPr>
          <w:rFonts w:ascii="Arial Black" w:hAnsi="Arial Black"/>
          <w:sz w:val="28"/>
          <w:szCs w:val="28"/>
        </w:rPr>
      </w:pPr>
    </w:p>
    <w:p w14:paraId="5E33CA11" w14:textId="77777777" w:rsidR="00506EE7" w:rsidRDefault="00506EE7" w:rsidP="00F326E5">
      <w:pPr>
        <w:pStyle w:val="NoSpacing"/>
        <w:rPr>
          <w:rFonts w:ascii="Arial Black" w:hAnsi="Arial Black"/>
          <w:sz w:val="28"/>
          <w:szCs w:val="28"/>
        </w:rPr>
      </w:pPr>
    </w:p>
    <w:p w14:paraId="4B431C28" w14:textId="76F633F2" w:rsidR="00F326E5" w:rsidRPr="00102FD0" w:rsidRDefault="00102FD0" w:rsidP="00F326E5">
      <w:pPr>
        <w:pStyle w:val="NoSpacing"/>
        <w:rPr>
          <w:rFonts w:ascii="Arial Black" w:hAnsi="Arial Black"/>
          <w:sz w:val="28"/>
          <w:szCs w:val="28"/>
        </w:rPr>
      </w:pPr>
      <w:r w:rsidRPr="00102FD0">
        <w:rPr>
          <w:rFonts w:ascii="Arial Black" w:hAnsi="Arial Black"/>
          <w:sz w:val="28"/>
          <w:szCs w:val="28"/>
        </w:rPr>
        <w:t>14-4</w:t>
      </w:r>
    </w:p>
    <w:p w14:paraId="3A655A75" w14:textId="77777777" w:rsidR="00102FD0" w:rsidRPr="00493410" w:rsidRDefault="00102FD0" w:rsidP="00102FD0">
      <w:pPr>
        <w:spacing w:before="100" w:beforeAutospacing="1" w:after="100" w:afterAutospacing="1" w:line="240" w:lineRule="auto"/>
        <w:rPr>
          <w:rFonts w:ascii="Arial Black" w:eastAsia="Times New Roman" w:hAnsi="Arial Black"/>
          <w:b/>
          <w:bCs/>
          <w:sz w:val="28"/>
          <w:szCs w:val="28"/>
        </w:rPr>
      </w:pPr>
      <w:bookmarkStart w:id="559" w:name="_Hlk66949804"/>
      <w:r w:rsidRPr="00493410">
        <w:rPr>
          <w:rFonts w:ascii="Arial Black" w:eastAsia="Times New Roman" w:hAnsi="Arial Black"/>
          <w:b/>
          <w:bCs/>
          <w:sz w:val="28"/>
          <w:szCs w:val="28"/>
        </w:rPr>
        <w:t xml:space="preserve">TX: </w:t>
      </w:r>
      <w:r>
        <w:rPr>
          <w:rFonts w:ascii="Arial Black" w:eastAsia="Times New Roman" w:hAnsi="Arial Black"/>
          <w:b/>
          <w:bCs/>
          <w:sz w:val="28"/>
          <w:szCs w:val="28"/>
        </w:rPr>
        <w:t>RECRUIT BROKE ANKLE TRAINING RUN, RESIGNED - CLAIMS HARASSED BY LIEUTENANT – AN “ISOLATED INCIDENT” - DISMISSED</w:t>
      </w:r>
    </w:p>
    <w:p w14:paraId="5D4BFDA3" w14:textId="77777777" w:rsidR="00102FD0" w:rsidRDefault="00102FD0" w:rsidP="00102FD0">
      <w:pPr>
        <w:spacing w:before="100" w:beforeAutospacing="1" w:after="100" w:afterAutospacing="1" w:line="240" w:lineRule="auto"/>
        <w:rPr>
          <w:rFonts w:ascii="Times New Roman" w:eastAsia="Times New Roman" w:hAnsi="Times New Roman"/>
          <w:sz w:val="24"/>
          <w:szCs w:val="24"/>
        </w:rPr>
      </w:pPr>
      <w:r w:rsidRPr="00493410">
        <w:rPr>
          <w:rFonts w:ascii="Times New Roman" w:eastAsia="Times New Roman" w:hAnsi="Times New Roman"/>
          <w:sz w:val="24"/>
          <w:szCs w:val="24"/>
        </w:rPr>
        <w:t xml:space="preserve">On Oct. 14, 2020, in </w:t>
      </w:r>
      <w:r w:rsidRPr="00493410">
        <w:rPr>
          <w:rFonts w:ascii="Times New Roman" w:eastAsia="Times New Roman" w:hAnsi="Times New Roman"/>
          <w:sz w:val="24"/>
          <w:szCs w:val="24"/>
          <w:u w:val="single"/>
        </w:rPr>
        <w:t>Bryce Baker v. City of Arlington</w:t>
      </w:r>
      <w:r>
        <w:rPr>
          <w:rFonts w:ascii="Times New Roman" w:eastAsia="Times New Roman" w:hAnsi="Times New Roman"/>
          <w:sz w:val="24"/>
          <w:szCs w:val="24"/>
        </w:rPr>
        <w:t xml:space="preserve">, U.S. District Court Judge Mark T. Pittman, Northern District of Texas, granted the City’s motion to dismiss.  The recruit broke his ankle during a training run and resigned; he claims that prior to injury, Training Lieutenant harassed him in front of recruit class about having joined in a class action lawsuit against </w:t>
      </w:r>
      <w:proofErr w:type="gramStart"/>
      <w:r>
        <w:rPr>
          <w:rFonts w:ascii="Times New Roman" w:eastAsia="Times New Roman" w:hAnsi="Times New Roman"/>
          <w:sz w:val="24"/>
          <w:szCs w:val="24"/>
        </w:rPr>
        <w:t>City, and</w:t>
      </w:r>
      <w:proofErr w:type="gramEnd"/>
      <w:r>
        <w:rPr>
          <w:rFonts w:ascii="Times New Roman" w:eastAsia="Times New Roman" w:hAnsi="Times New Roman"/>
          <w:sz w:val="24"/>
          <w:szCs w:val="24"/>
        </w:rPr>
        <w:t xml:space="preserve"> following the injury urging him to resign.  Case dismissed; isolated acts by training officer does not prove City endorses such conduct.   </w:t>
      </w:r>
    </w:p>
    <w:bookmarkEnd w:id="559"/>
    <w:p w14:paraId="474E4CD4" w14:textId="77777777" w:rsidR="00102FD0" w:rsidRDefault="00102FD0" w:rsidP="00102FD0">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r w:rsidRPr="00E40DB8">
        <w:rPr>
          <w:rFonts w:ascii="Times New Roman" w:hAnsi="Times New Roman"/>
          <w:sz w:val="24"/>
          <w:szCs w:val="24"/>
        </w:rPr>
        <w:t xml:space="preserve">Baker asserts a single claim against Arlington for First Amendment retaliation under 42 U.S.C. § 1983. </w:t>
      </w:r>
      <w:proofErr w:type="spellStart"/>
      <w:r w:rsidRPr="00E40DB8">
        <w:rPr>
          <w:rFonts w:ascii="Times New Roman" w:hAnsi="Times New Roman"/>
          <w:sz w:val="24"/>
          <w:szCs w:val="24"/>
        </w:rPr>
        <w:t>Compl</w:t>
      </w:r>
      <w:proofErr w:type="spellEnd"/>
      <w:r w:rsidRPr="00E40DB8">
        <w:rPr>
          <w:rFonts w:ascii="Times New Roman" w:hAnsi="Times New Roman"/>
          <w:sz w:val="24"/>
          <w:szCs w:val="24"/>
        </w:rPr>
        <w:t xml:space="preserve">. </w:t>
      </w:r>
      <w:proofErr w:type="gramStart"/>
      <w:r w:rsidRPr="00E40DB8">
        <w:rPr>
          <w:rFonts w:ascii="Times New Roman" w:hAnsi="Times New Roman"/>
          <w:sz w:val="24"/>
          <w:szCs w:val="24"/>
        </w:rPr>
        <w:t>at ¶¶</w:t>
      </w:r>
      <w:proofErr w:type="gramEnd"/>
      <w:r w:rsidRPr="00E40DB8">
        <w:rPr>
          <w:rFonts w:ascii="Times New Roman" w:hAnsi="Times New Roman"/>
          <w:sz w:val="24"/>
          <w:szCs w:val="24"/>
        </w:rPr>
        <w:t xml:space="preserve"> 20-24. However, as explained below, Arlington cannot be held liable under </w:t>
      </w:r>
      <w:r w:rsidRPr="00E40DB8">
        <w:rPr>
          <w:rFonts w:ascii="Times New Roman" w:hAnsi="Times New Roman"/>
          <w:i/>
          <w:iCs/>
          <w:sz w:val="24"/>
          <w:szCs w:val="24"/>
        </w:rPr>
        <w:t>Monell</w:t>
      </w:r>
      <w:r w:rsidRPr="00E40DB8">
        <w:rPr>
          <w:rFonts w:ascii="Times New Roman" w:hAnsi="Times New Roman"/>
          <w:sz w:val="24"/>
          <w:szCs w:val="24"/>
        </w:rPr>
        <w:t xml:space="preserve"> because Baker </w:t>
      </w:r>
      <w:proofErr w:type="gramStart"/>
      <w:r w:rsidRPr="00E40DB8">
        <w:rPr>
          <w:rFonts w:ascii="Times New Roman" w:hAnsi="Times New Roman"/>
          <w:sz w:val="24"/>
          <w:szCs w:val="24"/>
        </w:rPr>
        <w:t>actually pleaded</w:t>
      </w:r>
      <w:proofErr w:type="gramEnd"/>
      <w:r w:rsidRPr="00E40DB8">
        <w:rPr>
          <w:rFonts w:ascii="Times New Roman" w:hAnsi="Times New Roman"/>
          <w:sz w:val="24"/>
          <w:szCs w:val="24"/>
        </w:rPr>
        <w:t xml:space="preserve"> a policy </w:t>
      </w:r>
      <w:r w:rsidRPr="00E40DB8">
        <w:rPr>
          <w:rFonts w:ascii="Times New Roman" w:hAnsi="Times New Roman"/>
          <w:b/>
          <w:bCs/>
          <w:i/>
          <w:iCs/>
          <w:sz w:val="24"/>
          <w:szCs w:val="24"/>
        </w:rPr>
        <w:t>against</w:t>
      </w:r>
      <w:r w:rsidRPr="00E40DB8">
        <w:rPr>
          <w:rFonts w:ascii="Times New Roman" w:hAnsi="Times New Roman"/>
          <w:sz w:val="24"/>
          <w:szCs w:val="24"/>
        </w:rPr>
        <w:t xml:space="preserve"> the harassment Baker alleges. </w:t>
      </w:r>
      <w:r w:rsidRPr="00E40DB8">
        <w:rPr>
          <w:rFonts w:ascii="Times New Roman" w:hAnsi="Times New Roman"/>
          <w:i/>
          <w:iCs/>
          <w:sz w:val="24"/>
          <w:szCs w:val="24"/>
        </w:rPr>
        <w:t>Id</w:t>
      </w:r>
      <w:r w:rsidRPr="00E40DB8">
        <w:rPr>
          <w:rFonts w:ascii="Times New Roman" w:hAnsi="Times New Roman"/>
          <w:sz w:val="24"/>
          <w:szCs w:val="24"/>
        </w:rPr>
        <w:t>. at ¶ 18. Further, Baker's bare allegation that Lt. Price is a policymaker is conclusory and, as such, is insufficient to state a claim.</w:t>
      </w:r>
    </w:p>
    <w:p w14:paraId="21E62919" w14:textId="77777777" w:rsidR="00102FD0" w:rsidRPr="00E40DB8" w:rsidRDefault="00102FD0" w:rsidP="00102FD0">
      <w:pPr>
        <w:spacing w:before="100" w:beforeAutospacing="1" w:after="100" w:afterAutospacing="1" w:line="240" w:lineRule="auto"/>
        <w:ind w:left="720"/>
        <w:rPr>
          <w:rFonts w:ascii="Times New Roman" w:eastAsia="Times New Roman" w:hAnsi="Times New Roman"/>
          <w:b/>
          <w:bCs/>
          <w:sz w:val="24"/>
          <w:szCs w:val="24"/>
        </w:rPr>
      </w:pPr>
      <w:r>
        <w:rPr>
          <w:rFonts w:ascii="Times New Roman" w:hAnsi="Times New Roman"/>
          <w:sz w:val="24"/>
          <w:szCs w:val="24"/>
        </w:rPr>
        <w:t>***</w:t>
      </w:r>
    </w:p>
    <w:p w14:paraId="30329BAB" w14:textId="15C373E2" w:rsidR="00102FD0" w:rsidRDefault="00102FD0" w:rsidP="00102FD0">
      <w:pPr>
        <w:pStyle w:val="NoSpacing"/>
        <w:rPr>
          <w:sz w:val="24"/>
          <w:szCs w:val="24"/>
        </w:rPr>
      </w:pPr>
      <w:r w:rsidRPr="0037516D">
        <w:rPr>
          <w:rFonts w:ascii="Times New Roman" w:eastAsia="Times New Roman" w:hAnsi="Times New Roman"/>
          <w:sz w:val="24"/>
          <w:szCs w:val="24"/>
        </w:rPr>
        <w:t xml:space="preserve">Further, Arlington cannot be held liable under § 1983 for an isolated incident involving one of its employees. Under § 1983, "isolated unconstitutional actions by municipal employees will almost never trigger liability." </w:t>
      </w:r>
      <w:r w:rsidRPr="0037516D">
        <w:rPr>
          <w:rFonts w:ascii="Times New Roman" w:eastAsia="Times New Roman" w:hAnsi="Times New Roman"/>
          <w:i/>
          <w:iCs/>
          <w:sz w:val="24"/>
          <w:szCs w:val="24"/>
        </w:rPr>
        <w:t>Piotrowski</w:t>
      </w:r>
      <w:r w:rsidRPr="0037516D">
        <w:rPr>
          <w:rFonts w:ascii="Times New Roman" w:eastAsia="Times New Roman" w:hAnsi="Times New Roman"/>
          <w:sz w:val="24"/>
          <w:szCs w:val="24"/>
        </w:rPr>
        <w:t xml:space="preserve">, 237 F.3d at 578. Arlington makes this argument in its Motion to Dismiss when it states that Baker's claims are </w:t>
      </w:r>
      <w:r>
        <w:rPr>
          <w:rFonts w:ascii="Times New Roman" w:eastAsia="Times New Roman" w:hAnsi="Times New Roman"/>
          <w:sz w:val="24"/>
          <w:szCs w:val="24"/>
        </w:rPr>
        <w:t>‘</w:t>
      </w:r>
      <w:r w:rsidRPr="0037516D">
        <w:rPr>
          <w:rFonts w:ascii="Times New Roman" w:eastAsia="Times New Roman" w:hAnsi="Times New Roman"/>
          <w:sz w:val="24"/>
          <w:szCs w:val="24"/>
        </w:rPr>
        <w:t>directed at a single former Arlington employee—a fire department trainer.</w:t>
      </w:r>
      <w:r>
        <w:rPr>
          <w:rFonts w:ascii="Times New Roman" w:eastAsia="Times New Roman" w:hAnsi="Times New Roman"/>
          <w:sz w:val="24"/>
          <w:szCs w:val="24"/>
        </w:rPr>
        <w:t>’</w:t>
      </w:r>
      <w:r w:rsidRPr="0037516D">
        <w:rPr>
          <w:rFonts w:ascii="Times New Roman" w:eastAsia="Times New Roman" w:hAnsi="Times New Roman"/>
          <w:sz w:val="24"/>
          <w:szCs w:val="24"/>
        </w:rPr>
        <w:t xml:space="preserve"> MTD at ¶ 2.01. Baker fails to plead any facts that the alleged harassment and badgering were</w:t>
      </w:r>
      <w:r w:rsidRPr="00E911C8">
        <w:rPr>
          <w:rFonts w:ascii="Times New Roman" w:eastAsia="Times New Roman" w:hAnsi="Times New Roman"/>
          <w:sz w:val="24"/>
          <w:szCs w:val="24"/>
        </w:rPr>
        <w:t xml:space="preserve"> </w:t>
      </w:r>
      <w:r w:rsidRPr="0037516D">
        <w:rPr>
          <w:rFonts w:ascii="Times New Roman" w:eastAsia="Times New Roman" w:hAnsi="Times New Roman"/>
          <w:sz w:val="24"/>
          <w:szCs w:val="24"/>
        </w:rPr>
        <w:t xml:space="preserve">anything more than an isolated situation between one trainer and one employee. These isolated acts of one employee do not constitute </w:t>
      </w:r>
      <w:r>
        <w:rPr>
          <w:rFonts w:ascii="Times New Roman" w:eastAsia="Times New Roman" w:hAnsi="Times New Roman"/>
          <w:sz w:val="24"/>
          <w:szCs w:val="24"/>
        </w:rPr>
        <w:t>‘</w:t>
      </w:r>
      <w:r w:rsidRPr="0037516D">
        <w:rPr>
          <w:rFonts w:ascii="Times New Roman" w:eastAsia="Times New Roman" w:hAnsi="Times New Roman"/>
          <w:sz w:val="24"/>
          <w:szCs w:val="24"/>
        </w:rPr>
        <w:t>widespread practice</w:t>
      </w:r>
      <w:r>
        <w:rPr>
          <w:rFonts w:ascii="Times New Roman" w:eastAsia="Times New Roman" w:hAnsi="Times New Roman"/>
          <w:sz w:val="24"/>
          <w:szCs w:val="24"/>
        </w:rPr>
        <w:t>’</w:t>
      </w:r>
      <w:r w:rsidRPr="0037516D">
        <w:rPr>
          <w:rFonts w:ascii="Times New Roman" w:eastAsia="Times New Roman" w:hAnsi="Times New Roman"/>
          <w:sz w:val="24"/>
          <w:szCs w:val="24"/>
        </w:rPr>
        <w:t xml:space="preserve"> and thus cannot be said to qualify as a custom under </w:t>
      </w:r>
      <w:r w:rsidRPr="0037516D">
        <w:rPr>
          <w:rFonts w:ascii="Times New Roman" w:eastAsia="Times New Roman" w:hAnsi="Times New Roman"/>
          <w:i/>
          <w:iCs/>
          <w:sz w:val="24"/>
          <w:szCs w:val="24"/>
        </w:rPr>
        <w:t>Monell</w:t>
      </w:r>
      <w:r w:rsidRPr="0037516D">
        <w:rPr>
          <w:rFonts w:ascii="Times New Roman" w:eastAsia="Times New Roman" w:hAnsi="Times New Roman"/>
          <w:sz w:val="24"/>
          <w:szCs w:val="24"/>
        </w:rPr>
        <w:t xml:space="preserve">. </w:t>
      </w:r>
      <w:r w:rsidRPr="0037516D">
        <w:rPr>
          <w:rFonts w:ascii="Times New Roman" w:eastAsia="Times New Roman" w:hAnsi="Times New Roman"/>
          <w:i/>
          <w:iCs/>
          <w:sz w:val="24"/>
          <w:szCs w:val="24"/>
        </w:rPr>
        <w:t>See Peterson</w:t>
      </w:r>
      <w:r w:rsidRPr="0037516D">
        <w:rPr>
          <w:rFonts w:ascii="Times New Roman" w:eastAsia="Times New Roman" w:hAnsi="Times New Roman"/>
          <w:sz w:val="24"/>
          <w:szCs w:val="24"/>
        </w:rPr>
        <w:t xml:space="preserve">, 588 F.3d at 847. Therefore, </w:t>
      </w:r>
      <w:r w:rsidRPr="0037516D">
        <w:rPr>
          <w:rFonts w:ascii="Times New Roman" w:eastAsia="Times New Roman" w:hAnsi="Times New Roman"/>
          <w:sz w:val="24"/>
          <w:szCs w:val="24"/>
        </w:rPr>
        <w:lastRenderedPageBreak/>
        <w:t xml:space="preserve">the Court finds that Baker did not plead sufficient facts to identify any official Arlington policies or customs actionable under § 1983. Arlington's Motion to Dismiss should be and hereby is </w:t>
      </w:r>
      <w:r w:rsidRPr="0037516D">
        <w:rPr>
          <w:rFonts w:ascii="Times New Roman" w:eastAsia="Times New Roman" w:hAnsi="Times New Roman"/>
          <w:b/>
          <w:bCs/>
          <w:sz w:val="24"/>
          <w:szCs w:val="24"/>
        </w:rPr>
        <w:t>GRANTED.</w:t>
      </w:r>
      <w:r>
        <w:rPr>
          <w:rFonts w:ascii="Times New Roman" w:eastAsia="Times New Roman" w:hAnsi="Times New Roman"/>
          <w:b/>
          <w:bCs/>
          <w:sz w:val="24"/>
          <w:szCs w:val="24"/>
        </w:rPr>
        <w:t xml:space="preserve">” </w:t>
      </w:r>
      <w:bookmarkStart w:id="560" w:name="_Hlk66949840"/>
      <w:r w:rsidR="00F00958">
        <w:fldChar w:fldCharType="begin"/>
      </w:r>
      <w:r w:rsidR="00F00958">
        <w:instrText xml:space="preserve"> HYPERLINK "https://public.fastcase.com/Wl%2B2t%2BeVuI35%2FN70vAMFZnHSF8BEUL1CjKubfF2B3NrqkfafOcq09oBO0aW1DE51" </w:instrText>
      </w:r>
      <w:r w:rsidR="00F00958">
        <w:fldChar w:fldCharType="separate"/>
      </w:r>
      <w:r w:rsidRPr="00E911C8">
        <w:rPr>
          <w:rStyle w:val="Hyperlink"/>
          <w:rFonts w:ascii="Times New Roman" w:eastAsia="Times New Roman" w:hAnsi="Times New Roman"/>
          <w:sz w:val="24"/>
          <w:szCs w:val="24"/>
        </w:rPr>
        <w:t>https://public.fastcase.com/Wl%2B2t%2BeVuI35%2FN70vAMFZnHSF8BEUL1CjKubfF2B3NrqkfafOcq09oBO0aW1DE51</w:t>
      </w:r>
      <w:r w:rsidR="00F00958">
        <w:rPr>
          <w:rStyle w:val="Hyperlink"/>
          <w:rFonts w:ascii="Times New Roman" w:eastAsia="Times New Roman" w:hAnsi="Times New Roman"/>
          <w:sz w:val="24"/>
          <w:szCs w:val="24"/>
        </w:rPr>
        <w:fldChar w:fldCharType="end"/>
      </w:r>
    </w:p>
    <w:p w14:paraId="5F9BD153" w14:textId="77777777" w:rsidR="00102FD0" w:rsidRPr="00E40DB8" w:rsidRDefault="00102FD0" w:rsidP="00102FD0">
      <w:pPr>
        <w:spacing w:before="100" w:beforeAutospacing="1" w:after="100" w:afterAutospacing="1" w:line="240" w:lineRule="auto"/>
        <w:rPr>
          <w:rFonts w:ascii="Times New Roman" w:eastAsia="Times New Roman" w:hAnsi="Times New Roman"/>
          <w:b/>
          <w:bCs/>
          <w:sz w:val="24"/>
          <w:szCs w:val="24"/>
        </w:rPr>
      </w:pPr>
      <w:bookmarkStart w:id="561" w:name="_Hlk7348114"/>
      <w:r w:rsidRPr="00E40DB8">
        <w:rPr>
          <w:rFonts w:ascii="Times New Roman" w:eastAsia="Times New Roman" w:hAnsi="Times New Roman"/>
          <w:b/>
          <w:bCs/>
          <w:sz w:val="24"/>
          <w:szCs w:val="24"/>
        </w:rPr>
        <w:t>Legal Lesson Learned:</w:t>
      </w:r>
      <w:r>
        <w:rPr>
          <w:rFonts w:ascii="Times New Roman" w:eastAsia="Times New Roman" w:hAnsi="Times New Roman"/>
          <w:b/>
          <w:bCs/>
          <w:sz w:val="24"/>
          <w:szCs w:val="24"/>
        </w:rPr>
        <w:t xml:space="preserve"> Isolated acts by training lieutenant, while unfortunate, do not establish a basis for liability of the City.  </w:t>
      </w:r>
    </w:p>
    <w:bookmarkEnd w:id="560"/>
    <w:p w14:paraId="52238CA7" w14:textId="07C27398" w:rsidR="00102FD0" w:rsidRDefault="00102FD0" w:rsidP="00F326E5">
      <w:pPr>
        <w:pStyle w:val="NoSpacing"/>
        <w:rPr>
          <w:rFonts w:ascii="Arial Black" w:hAnsi="Arial Black"/>
          <w:sz w:val="24"/>
          <w:szCs w:val="24"/>
        </w:rPr>
      </w:pPr>
    </w:p>
    <w:p w14:paraId="49D933D5" w14:textId="77777777" w:rsidR="00102FD0" w:rsidRDefault="00102FD0" w:rsidP="00F326E5">
      <w:pPr>
        <w:pStyle w:val="NoSpacing"/>
        <w:rPr>
          <w:rFonts w:ascii="Arial Black" w:hAnsi="Arial Black"/>
          <w:sz w:val="24"/>
          <w:szCs w:val="24"/>
        </w:rPr>
      </w:pPr>
    </w:p>
    <w:p w14:paraId="48BDA982" w14:textId="77777777" w:rsidR="00102FD0" w:rsidRDefault="00102FD0" w:rsidP="00F326E5">
      <w:pPr>
        <w:pStyle w:val="NoSpacing"/>
        <w:rPr>
          <w:rFonts w:ascii="Arial Black" w:hAnsi="Arial Black"/>
          <w:sz w:val="24"/>
          <w:szCs w:val="24"/>
        </w:rPr>
      </w:pPr>
    </w:p>
    <w:p w14:paraId="1220EFA7" w14:textId="38D7C56D" w:rsidR="002147DA" w:rsidRDefault="002147DA" w:rsidP="00F326E5">
      <w:pPr>
        <w:pStyle w:val="NoSpacing"/>
        <w:rPr>
          <w:rFonts w:ascii="Arial Black" w:hAnsi="Arial Black"/>
          <w:sz w:val="24"/>
          <w:szCs w:val="24"/>
        </w:rPr>
      </w:pPr>
      <w:r>
        <w:rPr>
          <w:rFonts w:ascii="Arial Black" w:hAnsi="Arial Black"/>
          <w:sz w:val="24"/>
          <w:szCs w:val="24"/>
        </w:rPr>
        <w:t>14-3 [Also posted, Chap. 7]</w:t>
      </w:r>
    </w:p>
    <w:p w14:paraId="2FD32C62" w14:textId="535A793A" w:rsidR="002147DA" w:rsidRDefault="002147DA" w:rsidP="00F326E5">
      <w:pPr>
        <w:pStyle w:val="NoSpacing"/>
        <w:rPr>
          <w:rFonts w:ascii="Arial Black" w:hAnsi="Arial Black"/>
          <w:sz w:val="24"/>
          <w:szCs w:val="24"/>
        </w:rPr>
      </w:pPr>
    </w:p>
    <w:p w14:paraId="29E5536C" w14:textId="77777777" w:rsidR="002147DA" w:rsidRDefault="002147DA" w:rsidP="002147DA">
      <w:pPr>
        <w:pStyle w:val="NoSpacing"/>
        <w:rPr>
          <w:rFonts w:ascii="Arial Black" w:hAnsi="Arial Black"/>
          <w:sz w:val="28"/>
          <w:szCs w:val="28"/>
        </w:rPr>
      </w:pPr>
      <w:bookmarkStart w:id="562" w:name="_Hlk39772505"/>
      <w:r>
        <w:rPr>
          <w:rFonts w:ascii="Arial Black" w:hAnsi="Arial Black"/>
          <w:sz w:val="28"/>
          <w:szCs w:val="28"/>
        </w:rPr>
        <w:t xml:space="preserve">AL:  PREGNANT EMT – DENIED LIGHT DUTY – AMR CO. PROVIDES ONLY INJURED ON JOB - LAWSUIT REINSTATED </w:t>
      </w:r>
    </w:p>
    <w:p w14:paraId="5DBE0DC1" w14:textId="77777777" w:rsidR="002147DA" w:rsidRDefault="002147DA" w:rsidP="002147DA">
      <w:pPr>
        <w:pStyle w:val="NoSpacing"/>
        <w:rPr>
          <w:b/>
          <w:bCs/>
          <w:sz w:val="24"/>
          <w:szCs w:val="24"/>
        </w:rPr>
      </w:pPr>
    </w:p>
    <w:p w14:paraId="5F2295CE" w14:textId="77777777" w:rsidR="002147DA" w:rsidRPr="00AE3A49" w:rsidRDefault="002147DA" w:rsidP="002147DA">
      <w:pPr>
        <w:pStyle w:val="NoSpacing"/>
        <w:rPr>
          <w:rFonts w:ascii="Times New Roman" w:hAnsi="Times New Roman"/>
          <w:b/>
          <w:bCs/>
          <w:sz w:val="24"/>
          <w:szCs w:val="24"/>
        </w:rPr>
      </w:pPr>
      <w:r w:rsidRPr="00AE3A49">
        <w:rPr>
          <w:rFonts w:ascii="Times New Roman" w:hAnsi="Times New Roman"/>
          <w:bCs/>
          <w:sz w:val="24"/>
          <w:szCs w:val="24"/>
        </w:rPr>
        <w:t xml:space="preserve">On April 17, 2020, in </w:t>
      </w:r>
      <w:r w:rsidRPr="00AE3A49">
        <w:rPr>
          <w:rFonts w:ascii="Times New Roman" w:hAnsi="Times New Roman"/>
          <w:bCs/>
          <w:sz w:val="24"/>
          <w:szCs w:val="24"/>
          <w:u w:val="single"/>
        </w:rPr>
        <w:t>Kimberlie Michelle Durham v. Rural/Metro Corporation</w:t>
      </w:r>
      <w:r w:rsidRPr="00AE3A49">
        <w:rPr>
          <w:rFonts w:ascii="Times New Roman" w:hAnsi="Times New Roman"/>
          <w:bCs/>
          <w:sz w:val="24"/>
          <w:szCs w:val="24"/>
        </w:rPr>
        <w:t>, the U.S. Court of Appeals for the 11</w:t>
      </w:r>
      <w:r w:rsidRPr="00AE3A49">
        <w:rPr>
          <w:rFonts w:ascii="Times New Roman" w:hAnsi="Times New Roman"/>
          <w:bCs/>
          <w:sz w:val="24"/>
          <w:szCs w:val="24"/>
          <w:vertAlign w:val="superscript"/>
        </w:rPr>
        <w:t>th</w:t>
      </w:r>
      <w:r w:rsidRPr="00AE3A49">
        <w:rPr>
          <w:rFonts w:ascii="Times New Roman" w:hAnsi="Times New Roman"/>
          <w:bCs/>
          <w:sz w:val="24"/>
          <w:szCs w:val="24"/>
        </w:rPr>
        <w:t xml:space="preserve"> Circuit (Atlanta) held (3 to 0) that the U.S. District Court judge had improperly granted summary judgment to AMR.  </w:t>
      </w:r>
    </w:p>
    <w:p w14:paraId="4CD9E0DE" w14:textId="77777777" w:rsidR="002147DA" w:rsidRDefault="002147DA" w:rsidP="002147DA">
      <w:pPr>
        <w:pStyle w:val="NoSpacing"/>
        <w:ind w:left="720"/>
        <w:rPr>
          <w:rFonts w:ascii="Times New Roman" w:hAnsi="Times New Roman"/>
          <w:bCs/>
          <w:sz w:val="24"/>
          <w:szCs w:val="24"/>
        </w:rPr>
      </w:pPr>
    </w:p>
    <w:p w14:paraId="5D94871A" w14:textId="77777777" w:rsidR="002147DA" w:rsidRPr="00AE3A49" w:rsidRDefault="002147DA" w:rsidP="002147DA">
      <w:pPr>
        <w:pStyle w:val="NoSpacing"/>
        <w:ind w:left="720"/>
        <w:rPr>
          <w:rFonts w:ascii="Times New Roman" w:hAnsi="Times New Roman"/>
          <w:sz w:val="24"/>
          <w:szCs w:val="24"/>
        </w:rPr>
      </w:pPr>
      <w:r w:rsidRPr="00AE3A49">
        <w:rPr>
          <w:rFonts w:ascii="Times New Roman" w:hAnsi="Times New Roman"/>
          <w:bCs/>
          <w:sz w:val="24"/>
          <w:szCs w:val="24"/>
        </w:rPr>
        <w:t>“We therefore vacate the grant of summary judgment. Neither a non-pregnant EMT who is limited to lifting 10 or 20 pounds nor a pregnant EMT who is restricted to lifting 50 pounds or less can lift the required 100 pounds to serve as an EMT. Since neither can meet the lifting requirement, they are the same in their ‘inability to work’ as an EMT. And that satisfies the plaintiff’s prima facie requirement to establish that she was ‘similar [to other employees] in their ability or inability to work.’</w:t>
      </w:r>
      <w:r w:rsidRPr="00AE3A49">
        <w:rPr>
          <w:rFonts w:ascii="Times New Roman" w:hAnsi="Times New Roman"/>
          <w:sz w:val="24"/>
          <w:szCs w:val="24"/>
        </w:rPr>
        <w:t xml:space="preserve">” </w:t>
      </w:r>
      <w:hyperlink r:id="rId2431" w:history="1">
        <w:r w:rsidRPr="00AE3A49">
          <w:rPr>
            <w:rStyle w:val="Hyperlink"/>
            <w:rFonts w:ascii="Times New Roman" w:hAnsi="Times New Roman"/>
            <w:b/>
            <w:sz w:val="24"/>
            <w:szCs w:val="24"/>
          </w:rPr>
          <w:t>http://media.ca11.uscourts.gov/opinions/pub/files/201814687.pdf</w:t>
        </w:r>
      </w:hyperlink>
      <w:r w:rsidRPr="00AE3A49">
        <w:rPr>
          <w:rFonts w:ascii="Times New Roman" w:hAnsi="Times New Roman"/>
          <w:sz w:val="24"/>
          <w:szCs w:val="24"/>
        </w:rPr>
        <w:t xml:space="preserve"> </w:t>
      </w:r>
    </w:p>
    <w:bookmarkEnd w:id="562"/>
    <w:p w14:paraId="260FE436" w14:textId="77777777" w:rsidR="002147DA" w:rsidRDefault="002147DA" w:rsidP="002147DA">
      <w:pPr>
        <w:pStyle w:val="NoSpacing"/>
        <w:rPr>
          <w:rFonts w:ascii="Times New Roman" w:hAnsi="Times New Roman"/>
          <w:b/>
          <w:bCs/>
          <w:sz w:val="24"/>
          <w:szCs w:val="24"/>
        </w:rPr>
      </w:pPr>
    </w:p>
    <w:p w14:paraId="4AB2B772" w14:textId="77777777" w:rsidR="002147DA" w:rsidRPr="00AE3A49" w:rsidRDefault="002147DA" w:rsidP="002147DA">
      <w:pPr>
        <w:pStyle w:val="NoSpacing"/>
        <w:rPr>
          <w:rFonts w:ascii="Times New Roman" w:hAnsi="Times New Roman"/>
          <w:b/>
          <w:bCs/>
          <w:sz w:val="24"/>
          <w:szCs w:val="24"/>
        </w:rPr>
      </w:pPr>
      <w:r w:rsidRPr="00AE3A49">
        <w:rPr>
          <w:rFonts w:ascii="Times New Roman" w:hAnsi="Times New Roman"/>
          <w:b/>
          <w:bCs/>
          <w:sz w:val="24"/>
          <w:szCs w:val="24"/>
        </w:rPr>
        <w:t xml:space="preserve">Legal Lessons Learned: Congress in enacting the Pregnancy Discrimination Act did not specifically address the issue of light-duty; hopefully the U.S. Supreme Court will ultimately give clear direction on this issue.  </w:t>
      </w:r>
    </w:p>
    <w:p w14:paraId="4534635C" w14:textId="77777777" w:rsidR="002147DA" w:rsidRDefault="002147DA" w:rsidP="002147DA">
      <w:pPr>
        <w:rPr>
          <w:rFonts w:ascii="Arial Black" w:hAnsi="Arial Black"/>
          <w:b/>
          <w:sz w:val="24"/>
          <w:szCs w:val="24"/>
        </w:rPr>
      </w:pPr>
    </w:p>
    <w:p w14:paraId="50E986CD" w14:textId="77777777" w:rsidR="002147DA" w:rsidRDefault="002147DA" w:rsidP="00F326E5">
      <w:pPr>
        <w:pStyle w:val="NoSpacing"/>
        <w:rPr>
          <w:rFonts w:ascii="Arial Black" w:hAnsi="Arial Black"/>
          <w:sz w:val="24"/>
          <w:szCs w:val="24"/>
        </w:rPr>
      </w:pPr>
    </w:p>
    <w:p w14:paraId="6F163196" w14:textId="77777777" w:rsidR="002147DA" w:rsidRDefault="002147DA" w:rsidP="00F326E5">
      <w:pPr>
        <w:pStyle w:val="NoSpacing"/>
        <w:rPr>
          <w:rFonts w:ascii="Arial Black" w:hAnsi="Arial Black"/>
          <w:sz w:val="24"/>
          <w:szCs w:val="24"/>
        </w:rPr>
      </w:pPr>
    </w:p>
    <w:p w14:paraId="6050DC6B" w14:textId="77777777" w:rsidR="002147DA" w:rsidRDefault="002147DA" w:rsidP="00F326E5">
      <w:pPr>
        <w:pStyle w:val="NoSpacing"/>
        <w:rPr>
          <w:rFonts w:ascii="Arial Black" w:hAnsi="Arial Black"/>
          <w:sz w:val="24"/>
          <w:szCs w:val="24"/>
        </w:rPr>
      </w:pPr>
    </w:p>
    <w:p w14:paraId="4E9E9E58" w14:textId="41792A19" w:rsidR="00DE0F03" w:rsidRDefault="00DE0F03" w:rsidP="00F326E5">
      <w:pPr>
        <w:pStyle w:val="NoSpacing"/>
        <w:rPr>
          <w:rFonts w:ascii="Arial Black" w:hAnsi="Arial Black"/>
          <w:sz w:val="28"/>
          <w:szCs w:val="28"/>
        </w:rPr>
      </w:pPr>
      <w:r>
        <w:rPr>
          <w:rFonts w:ascii="Arial Black" w:hAnsi="Arial Black"/>
          <w:sz w:val="24"/>
          <w:szCs w:val="24"/>
        </w:rPr>
        <w:t>14-2</w:t>
      </w:r>
    </w:p>
    <w:p w14:paraId="0A3AF1F3" w14:textId="77777777" w:rsidR="00DE0F03" w:rsidRDefault="00DE0F03" w:rsidP="00F326E5">
      <w:pPr>
        <w:pStyle w:val="NoSpacing"/>
        <w:rPr>
          <w:rFonts w:ascii="Arial Black" w:hAnsi="Arial Black"/>
          <w:sz w:val="28"/>
          <w:szCs w:val="28"/>
        </w:rPr>
      </w:pPr>
    </w:p>
    <w:p w14:paraId="689BFEC0" w14:textId="6A722DB6" w:rsidR="00F326E5" w:rsidRDefault="00F326E5" w:rsidP="00F326E5">
      <w:pPr>
        <w:pStyle w:val="NoSpacing"/>
        <w:rPr>
          <w:rFonts w:ascii="Arial Black" w:hAnsi="Arial Black"/>
          <w:b/>
          <w:sz w:val="24"/>
          <w:szCs w:val="24"/>
        </w:rPr>
      </w:pPr>
      <w:bookmarkStart w:id="563" w:name="_Hlk39772584"/>
      <w:bookmarkStart w:id="564" w:name="_Hlk66949967"/>
      <w:r w:rsidRPr="0010462B">
        <w:rPr>
          <w:rFonts w:ascii="Arial Black" w:hAnsi="Arial Black"/>
          <w:sz w:val="28"/>
          <w:szCs w:val="28"/>
        </w:rPr>
        <w:t>NY</w:t>
      </w:r>
      <w:r>
        <w:rPr>
          <w:rFonts w:ascii="Arial Black" w:hAnsi="Arial Black"/>
          <w:sz w:val="28"/>
          <w:szCs w:val="28"/>
        </w:rPr>
        <w:t xml:space="preserve">: </w:t>
      </w:r>
      <w:r w:rsidRPr="0010462B">
        <w:rPr>
          <w:rFonts w:ascii="Arial Black" w:hAnsi="Arial Black"/>
          <w:sz w:val="28"/>
          <w:szCs w:val="28"/>
        </w:rPr>
        <w:t>FDNY RECRUIT DIED DURING PHYSICAL EXERCISES –</w:t>
      </w:r>
      <w:r>
        <w:rPr>
          <w:rFonts w:ascii="Arial Black" w:hAnsi="Arial Black"/>
          <w:sz w:val="28"/>
          <w:szCs w:val="28"/>
        </w:rPr>
        <w:t xml:space="preserve"> </w:t>
      </w:r>
      <w:r w:rsidRPr="0010462B">
        <w:rPr>
          <w:rFonts w:ascii="Arial Black" w:hAnsi="Arial Black"/>
          <w:sz w:val="28"/>
          <w:szCs w:val="28"/>
        </w:rPr>
        <w:t>HEART CONDITION</w:t>
      </w:r>
      <w:r w:rsidR="0016102B">
        <w:rPr>
          <w:rFonts w:ascii="Arial Black" w:hAnsi="Arial Black"/>
          <w:sz w:val="28"/>
          <w:szCs w:val="28"/>
        </w:rPr>
        <w:t xml:space="preserve"> – DEATH CLAIM DENIED </w:t>
      </w:r>
      <w:r w:rsidRPr="0010462B">
        <w:rPr>
          <w:rFonts w:ascii="Arial Black" w:hAnsi="Arial Black"/>
          <w:sz w:val="28"/>
          <w:szCs w:val="28"/>
        </w:rPr>
        <w:t xml:space="preserve"> </w:t>
      </w:r>
      <w:r w:rsidRPr="0010462B">
        <w:rPr>
          <w:b/>
          <w:sz w:val="24"/>
          <w:szCs w:val="24"/>
        </w:rPr>
        <w:t>[also filed, Chap. 2]</w:t>
      </w:r>
      <w:r>
        <w:rPr>
          <w:b/>
          <w:sz w:val="24"/>
          <w:szCs w:val="24"/>
        </w:rPr>
        <w:t xml:space="preserve">  </w:t>
      </w:r>
    </w:p>
    <w:p w14:paraId="47AFA6A8" w14:textId="77777777" w:rsidR="00BC17B3" w:rsidRDefault="00F326E5" w:rsidP="00F326E5">
      <w:pPr>
        <w:pStyle w:val="NoSpacing"/>
        <w:rPr>
          <w:rFonts w:ascii="Times New Roman" w:hAnsi="Times New Roman"/>
          <w:sz w:val="24"/>
          <w:szCs w:val="24"/>
        </w:rPr>
      </w:pPr>
      <w:r w:rsidRPr="00BC17B3">
        <w:rPr>
          <w:rFonts w:ascii="Times New Roman" w:hAnsi="Times New Roman"/>
          <w:sz w:val="24"/>
          <w:szCs w:val="24"/>
        </w:rPr>
        <w:t xml:space="preserve">On April 10, 2018, in </w:t>
      </w:r>
      <w:r w:rsidRPr="00BC17B3">
        <w:rPr>
          <w:rFonts w:ascii="Times New Roman" w:hAnsi="Times New Roman"/>
          <w:sz w:val="24"/>
          <w:szCs w:val="24"/>
          <w:u w:val="single"/>
        </w:rPr>
        <w:t>Sherita Sears v. The City of New York</w:t>
      </w:r>
      <w:r w:rsidRPr="00BC17B3">
        <w:rPr>
          <w:rFonts w:ascii="Times New Roman" w:hAnsi="Times New Roman"/>
          <w:sz w:val="24"/>
          <w:szCs w:val="24"/>
        </w:rPr>
        <w:t>, the Appellate Division of the Supreme Court of State of New York (5 to 0) denied the death claim, holding:</w:t>
      </w:r>
    </w:p>
    <w:p w14:paraId="6CB8C7EC" w14:textId="77777777" w:rsidR="00BC17B3" w:rsidRDefault="00BC17B3" w:rsidP="00F326E5">
      <w:pPr>
        <w:pStyle w:val="NoSpacing"/>
        <w:rPr>
          <w:rFonts w:ascii="Times New Roman" w:hAnsi="Times New Roman"/>
          <w:sz w:val="24"/>
          <w:szCs w:val="24"/>
        </w:rPr>
      </w:pPr>
    </w:p>
    <w:p w14:paraId="4388EBE2" w14:textId="07DAA917" w:rsidR="00F326E5" w:rsidRPr="00BC17B3" w:rsidRDefault="00F326E5" w:rsidP="00BC17B3">
      <w:pPr>
        <w:pStyle w:val="NoSpacing"/>
        <w:ind w:left="720"/>
        <w:rPr>
          <w:rFonts w:ascii="Times New Roman" w:hAnsi="Times New Roman"/>
          <w:sz w:val="24"/>
          <w:szCs w:val="24"/>
        </w:rPr>
      </w:pPr>
      <w:r w:rsidRPr="00BC17B3">
        <w:rPr>
          <w:rFonts w:ascii="Times New Roman" w:hAnsi="Times New Roman"/>
          <w:sz w:val="24"/>
          <w:szCs w:val="24"/>
        </w:rPr>
        <w:t>“Plaintiff is not entitled to recover under GML §</w:t>
      </w:r>
      <w:r w:rsidRPr="00BC17B3">
        <w:rPr>
          <w:rFonts w:ascii="Times New Roman" w:hAnsi="Times New Roman"/>
          <w:sz w:val="24"/>
          <w:szCs w:val="24"/>
        </w:rPr>
        <w:t> </w:t>
      </w:r>
      <w:r w:rsidRPr="00BC17B3">
        <w:rPr>
          <w:rFonts w:ascii="Times New Roman" w:hAnsi="Times New Roman"/>
          <w:sz w:val="24"/>
          <w:szCs w:val="24"/>
        </w:rPr>
        <w:t>205–a, as the injuries decedent sustained were not the type of occupational injury that Labor Law §</w:t>
      </w:r>
      <w:r w:rsidRPr="00BC17B3">
        <w:rPr>
          <w:rFonts w:ascii="Times New Roman" w:hAnsi="Times New Roman"/>
          <w:sz w:val="24"/>
          <w:szCs w:val="24"/>
        </w:rPr>
        <w:t> </w:t>
      </w:r>
      <w:r w:rsidRPr="00BC17B3">
        <w:rPr>
          <w:rFonts w:ascii="Times New Roman" w:hAnsi="Times New Roman"/>
          <w:sz w:val="24"/>
          <w:szCs w:val="24"/>
        </w:rPr>
        <w:t xml:space="preserve">27–a was designed to protect, but rather, arose from risks unique to firefighting work (Williams v. City of New York, 2 N.Y.3d 352, 368, 779 N.Y.S.2d 449, 811 N.E.2d 1103 [2004] ).”  </w:t>
      </w:r>
      <w:hyperlink r:id="rId2432" w:history="1">
        <w:r w:rsidRPr="00BC17B3">
          <w:rPr>
            <w:rStyle w:val="Hyperlink"/>
            <w:rFonts w:ascii="Times New Roman" w:hAnsi="Times New Roman"/>
            <w:sz w:val="24"/>
            <w:szCs w:val="24"/>
          </w:rPr>
          <w:t>https://caselaw.findlaw.com/ny-supreme-court-appellate-division/1893546.html</w:t>
        </w:r>
      </w:hyperlink>
      <w:bookmarkEnd w:id="563"/>
      <w:r w:rsidRPr="00BC17B3">
        <w:rPr>
          <w:rFonts w:ascii="Times New Roman" w:hAnsi="Times New Roman"/>
          <w:sz w:val="24"/>
          <w:szCs w:val="24"/>
        </w:rPr>
        <w:t xml:space="preserve"> </w:t>
      </w:r>
    </w:p>
    <w:bookmarkEnd w:id="564"/>
    <w:p w14:paraId="51234441" w14:textId="77777777" w:rsidR="00BC17B3" w:rsidRDefault="00BC17B3" w:rsidP="00F326E5">
      <w:pPr>
        <w:pStyle w:val="NoSpacing"/>
        <w:rPr>
          <w:rFonts w:ascii="Times New Roman" w:hAnsi="Times New Roman"/>
          <w:b/>
          <w:sz w:val="24"/>
          <w:szCs w:val="24"/>
        </w:rPr>
      </w:pPr>
    </w:p>
    <w:p w14:paraId="76CE18A9" w14:textId="64BD66F2" w:rsidR="00F326E5" w:rsidRPr="00BC17B3" w:rsidRDefault="00F326E5" w:rsidP="00F326E5">
      <w:pPr>
        <w:pStyle w:val="NoSpacing"/>
        <w:rPr>
          <w:rFonts w:ascii="Times New Roman" w:hAnsi="Times New Roman"/>
          <w:sz w:val="24"/>
          <w:szCs w:val="24"/>
        </w:rPr>
      </w:pPr>
      <w:bookmarkStart w:id="565" w:name="_Hlk66950038"/>
      <w:r w:rsidRPr="00BC17B3">
        <w:rPr>
          <w:rFonts w:ascii="Times New Roman" w:hAnsi="Times New Roman"/>
          <w:b/>
          <w:sz w:val="24"/>
          <w:szCs w:val="24"/>
        </w:rPr>
        <w:lastRenderedPageBreak/>
        <w:t>Legal Lessons Learned: The New York statute requires proof of “neglect, omission, willful or culpable negligence.”</w:t>
      </w:r>
      <w:r w:rsidRPr="00BC17B3">
        <w:rPr>
          <w:rFonts w:ascii="Times New Roman" w:hAnsi="Times New Roman"/>
          <w:sz w:val="24"/>
          <w:szCs w:val="24"/>
        </w:rPr>
        <w:t xml:space="preserve"> </w:t>
      </w:r>
    </w:p>
    <w:bookmarkEnd w:id="565"/>
    <w:p w14:paraId="058519D2" w14:textId="77777777" w:rsidR="0016102B" w:rsidRDefault="0016102B" w:rsidP="00F326E5">
      <w:pPr>
        <w:pStyle w:val="NoSpacing"/>
        <w:ind w:firstLine="720"/>
      </w:pPr>
    </w:p>
    <w:p w14:paraId="5B950A3F" w14:textId="4AF10FA7" w:rsidR="00F326E5" w:rsidRPr="00BC17B3" w:rsidRDefault="0016102B" w:rsidP="00F326E5">
      <w:pPr>
        <w:pStyle w:val="NoSpacing"/>
        <w:ind w:firstLine="720"/>
        <w:rPr>
          <w:rFonts w:ascii="Times New Roman" w:hAnsi="Times New Roman"/>
          <w:b/>
          <w:bCs/>
          <w:kern w:val="36"/>
          <w:sz w:val="24"/>
          <w:szCs w:val="24"/>
        </w:rPr>
      </w:pPr>
      <w:r w:rsidRPr="0016102B">
        <w:rPr>
          <w:rFonts w:ascii="Times New Roman" w:hAnsi="Times New Roman"/>
          <w:sz w:val="24"/>
          <w:szCs w:val="24"/>
        </w:rPr>
        <w:t>Note:</w:t>
      </w:r>
      <w:r>
        <w:t xml:space="preserve"> </w:t>
      </w:r>
      <w:hyperlink r:id="rId2433" w:history="1">
        <w:r w:rsidRPr="00AC42F8">
          <w:rPr>
            <w:rStyle w:val="Hyperlink"/>
            <w:rFonts w:ascii="Times New Roman" w:hAnsi="Times New Roman"/>
            <w:sz w:val="24"/>
            <w:szCs w:val="24"/>
          </w:rPr>
          <w:t>https://codes.findlaw.com/ny/general-municipal-law/gmu-sect-205-a.html</w:t>
        </w:r>
      </w:hyperlink>
      <w:r w:rsidR="00F326E5" w:rsidRPr="00BC17B3">
        <w:rPr>
          <w:rFonts w:ascii="Times New Roman" w:hAnsi="Times New Roman"/>
          <w:b/>
          <w:bCs/>
          <w:kern w:val="36"/>
          <w:sz w:val="24"/>
          <w:szCs w:val="24"/>
        </w:rPr>
        <w:t xml:space="preserve"> </w:t>
      </w:r>
    </w:p>
    <w:p w14:paraId="7FB700A7" w14:textId="77777777" w:rsidR="00F326E5" w:rsidRPr="00BC17B3" w:rsidRDefault="00F326E5" w:rsidP="00F326E5">
      <w:pPr>
        <w:pStyle w:val="NoSpacing"/>
        <w:ind w:left="720"/>
        <w:rPr>
          <w:rFonts w:ascii="Times New Roman" w:hAnsi="Times New Roman"/>
          <w:sz w:val="24"/>
          <w:szCs w:val="24"/>
        </w:rPr>
      </w:pPr>
      <w:r w:rsidRPr="00BC17B3">
        <w:rPr>
          <w:rFonts w:ascii="Times New Roman" w:eastAsia="Times New Roman" w:hAnsi="Times New Roman"/>
          <w:bCs/>
          <w:kern w:val="36"/>
          <w:sz w:val="24"/>
          <w:szCs w:val="24"/>
        </w:rPr>
        <w:t xml:space="preserve">New York Consolidated Laws, General Municipal Law - GMU § 205-a. Additional right of action to certain injured or representatives of certain deceased firefighters </w:t>
      </w:r>
      <w:r w:rsidRPr="00BC17B3">
        <w:rPr>
          <w:rFonts w:ascii="Times New Roman" w:hAnsi="Times New Roman"/>
          <w:sz w:val="24"/>
          <w:szCs w:val="24"/>
        </w:rPr>
        <w:t>“In addition to any other right of action or recovery under any other provision of law, in the event any accident, causing injury, death or a disease which results in death, occurs directly or indirectly as a result of any neglect, omission, willful or culpable negligence of any person or persons in failing to comply with the requirements of any of the statutes, ordinances, rules, orders and requirements of the federal, state, county, village, town or city governments or of any and all their departments, divisions and bureaus, the person or persons guilty of said neglect, omission, willful or culpable negligence at the time of such injury or death shall be liable to pay any officer, member, agent or employee of any fire department injured, or whose life may be lost while in the discharge or performance at any time or place of any duty imposed by the fire commissioner, fire chief or other superior officer of the fire department, or to pay to the wife and children, or to pay to the parents, or to pay to the brothers and sisters, being the surviving heirs-at-law of any deceased person thus having lost his life, a sum of money, in case of injury to person, not less than ten thousand dollars, and in case of death not less than forty thousand dollars, such liability to be determined and such sums recovered in an action to be instituted by any person injured or the family or relatives of any person killed as aforesaid.”</w:t>
      </w:r>
    </w:p>
    <w:bookmarkEnd w:id="561"/>
    <w:p w14:paraId="2AA10AD8" w14:textId="77777777" w:rsidR="00F326E5" w:rsidRPr="00BC17B3" w:rsidRDefault="00F326E5" w:rsidP="00F326E5">
      <w:pPr>
        <w:pStyle w:val="NoSpacing"/>
        <w:rPr>
          <w:rFonts w:ascii="Times New Roman" w:hAnsi="Times New Roman"/>
          <w:sz w:val="24"/>
          <w:szCs w:val="24"/>
        </w:rPr>
      </w:pPr>
    </w:p>
    <w:p w14:paraId="7F29C3D3" w14:textId="77777777" w:rsidR="00F326E5" w:rsidRDefault="00F326E5" w:rsidP="00F326E5">
      <w:pPr>
        <w:pStyle w:val="NoSpacing"/>
        <w:rPr>
          <w:sz w:val="24"/>
          <w:szCs w:val="24"/>
        </w:rPr>
      </w:pPr>
    </w:p>
    <w:p w14:paraId="3F3556C3" w14:textId="18997406" w:rsidR="00DE0F03" w:rsidRDefault="00DE0F03" w:rsidP="00DE0F03">
      <w:pPr>
        <w:pStyle w:val="NoSpacing"/>
        <w:rPr>
          <w:rFonts w:ascii="Arial Black" w:hAnsi="Arial Black"/>
          <w:sz w:val="24"/>
          <w:szCs w:val="24"/>
        </w:rPr>
      </w:pPr>
      <w:bookmarkStart w:id="566" w:name="_Hlk7348210"/>
      <w:r>
        <w:rPr>
          <w:rFonts w:ascii="Arial Black" w:hAnsi="Arial Black"/>
          <w:sz w:val="24"/>
          <w:szCs w:val="24"/>
        </w:rPr>
        <w:t>14-1</w:t>
      </w:r>
    </w:p>
    <w:p w14:paraId="11FD5868" w14:textId="77777777" w:rsidR="00DE0F03" w:rsidRDefault="00DE0F03" w:rsidP="00F326E5">
      <w:pPr>
        <w:pStyle w:val="NoSpacing"/>
        <w:rPr>
          <w:rFonts w:ascii="Arial Black" w:hAnsi="Arial Black"/>
          <w:sz w:val="28"/>
          <w:szCs w:val="28"/>
        </w:rPr>
      </w:pPr>
    </w:p>
    <w:p w14:paraId="004A812C" w14:textId="42DC217C" w:rsidR="00F326E5" w:rsidRPr="00247719" w:rsidRDefault="00F326E5" w:rsidP="00F326E5">
      <w:pPr>
        <w:pStyle w:val="NoSpacing"/>
        <w:rPr>
          <w:rFonts w:ascii="[Times New Roman" w:hAnsi="[Times New Roman"/>
          <w:b/>
          <w:sz w:val="24"/>
          <w:szCs w:val="24"/>
        </w:rPr>
      </w:pPr>
      <w:bookmarkStart w:id="567" w:name="_Hlk39772641"/>
      <w:r>
        <w:rPr>
          <w:rFonts w:ascii="Arial Black" w:hAnsi="Arial Black"/>
          <w:sz w:val="28"/>
          <w:szCs w:val="28"/>
        </w:rPr>
        <w:t xml:space="preserve">OH: DAYTON FD RECRUIT – REMOVED FROM CLASS AFTER KNEE INJURY </w:t>
      </w:r>
      <w:r w:rsidR="00247719">
        <w:rPr>
          <w:rFonts w:ascii="Arial Black" w:hAnsi="Arial Black"/>
          <w:sz w:val="28"/>
          <w:szCs w:val="28"/>
        </w:rPr>
        <w:t xml:space="preserve">– NO FMLA VIOLATION </w:t>
      </w:r>
      <w:r w:rsidR="00247719">
        <w:rPr>
          <w:rFonts w:ascii="[Times New Roman" w:hAnsi="[Times New Roman"/>
          <w:sz w:val="24"/>
          <w:szCs w:val="24"/>
        </w:rPr>
        <w:t>[also filed, Chap. 10]</w:t>
      </w:r>
    </w:p>
    <w:p w14:paraId="6D7A83C8" w14:textId="77777777" w:rsidR="00BC17B3" w:rsidRDefault="00F326E5" w:rsidP="00F326E5">
      <w:pPr>
        <w:rPr>
          <w:rFonts w:ascii="Times New Roman" w:hAnsi="Times New Roman"/>
          <w:sz w:val="24"/>
          <w:szCs w:val="24"/>
        </w:rPr>
      </w:pPr>
      <w:r w:rsidRPr="00BC17B3">
        <w:rPr>
          <w:rFonts w:ascii="Times New Roman" w:hAnsi="Times New Roman"/>
          <w:sz w:val="24"/>
          <w:szCs w:val="24"/>
        </w:rPr>
        <w:t xml:space="preserve">On Feb. 9, </w:t>
      </w:r>
      <w:proofErr w:type="gramStart"/>
      <w:r w:rsidRPr="00BC17B3">
        <w:rPr>
          <w:rFonts w:ascii="Times New Roman" w:hAnsi="Times New Roman"/>
          <w:sz w:val="24"/>
          <w:szCs w:val="24"/>
        </w:rPr>
        <w:t>2018</w:t>
      </w:r>
      <w:proofErr w:type="gramEnd"/>
      <w:r w:rsidRPr="00BC17B3">
        <w:rPr>
          <w:rFonts w:ascii="Times New Roman" w:hAnsi="Times New Roman"/>
          <w:sz w:val="24"/>
          <w:szCs w:val="24"/>
        </w:rPr>
        <w:t xml:space="preserve"> in </w:t>
      </w:r>
      <w:r w:rsidRPr="00BC17B3">
        <w:rPr>
          <w:rFonts w:ascii="Times New Roman" w:hAnsi="Times New Roman"/>
          <w:sz w:val="24"/>
          <w:szCs w:val="24"/>
          <w:u w:val="single"/>
        </w:rPr>
        <w:t>Shawn N. Geisel v. City of Dayton, et al</w:t>
      </w:r>
      <w:r w:rsidRPr="00BC17B3">
        <w:rPr>
          <w:rFonts w:ascii="Times New Roman" w:hAnsi="Times New Roman"/>
          <w:sz w:val="24"/>
          <w:szCs w:val="24"/>
        </w:rPr>
        <w:t xml:space="preserve">., Ohio Court of Appeals for Second Circuit (Montgomery County) held (3 to 0) that the FD had the authority to remove him from the recruit class and ‘demote’ him back to EMT.   </w:t>
      </w:r>
    </w:p>
    <w:p w14:paraId="454A30DA" w14:textId="3AF1E8BE" w:rsidR="00F326E5" w:rsidRPr="00BC17B3" w:rsidRDefault="00F326E5" w:rsidP="00BC17B3">
      <w:pPr>
        <w:ind w:left="720"/>
        <w:rPr>
          <w:rFonts w:ascii="Times New Roman" w:hAnsi="Times New Roman"/>
          <w:sz w:val="24"/>
          <w:szCs w:val="24"/>
        </w:rPr>
      </w:pPr>
      <w:r w:rsidRPr="00BC17B3">
        <w:rPr>
          <w:rFonts w:ascii="Times New Roman" w:hAnsi="Times New Roman"/>
          <w:sz w:val="24"/>
          <w:szCs w:val="24"/>
        </w:rPr>
        <w:t xml:space="preserve">“We do not mean to imply that Geisel could not reapply for the position, but only that his appointment to Firefighter Recruit was a self-contained opportunity that did not entail a right to be reappointed or to continue as a recruit until he could complete the training program.”  </w:t>
      </w:r>
      <w:hyperlink r:id="rId2434" w:history="1">
        <w:r w:rsidRPr="00BC17B3">
          <w:rPr>
            <w:rStyle w:val="Hyperlink"/>
            <w:rFonts w:ascii="Times New Roman" w:hAnsi="Times New Roman"/>
            <w:sz w:val="24"/>
            <w:szCs w:val="24"/>
          </w:rPr>
          <w:t>http://www.supremecourt.ohio.gov/rod/docs/pdf/2/2018/2018-ohio-512.pdf</w:t>
        </w:r>
      </w:hyperlink>
      <w:r w:rsidRPr="00BC17B3">
        <w:rPr>
          <w:rFonts w:ascii="Times New Roman" w:hAnsi="Times New Roman"/>
          <w:sz w:val="24"/>
          <w:szCs w:val="24"/>
        </w:rPr>
        <w:t xml:space="preserve"> </w:t>
      </w:r>
    </w:p>
    <w:p w14:paraId="4A40FA0E" w14:textId="5DA50009" w:rsidR="00F326E5" w:rsidRPr="00BC17B3" w:rsidRDefault="00F326E5" w:rsidP="00F326E5">
      <w:pPr>
        <w:rPr>
          <w:rFonts w:ascii="Times New Roman" w:hAnsi="Times New Roman"/>
          <w:b/>
          <w:sz w:val="24"/>
          <w:szCs w:val="24"/>
        </w:rPr>
      </w:pPr>
      <w:bookmarkStart w:id="568" w:name="_Hlk1066962"/>
      <w:bookmarkEnd w:id="567"/>
      <w:r w:rsidRPr="00BC17B3">
        <w:rPr>
          <w:rFonts w:ascii="Times New Roman" w:hAnsi="Times New Roman"/>
          <w:b/>
          <w:sz w:val="24"/>
          <w:szCs w:val="24"/>
        </w:rPr>
        <w:t xml:space="preserve">Legal Lessons Learned:  Dayton Civil Services rules treat </w:t>
      </w:r>
      <w:proofErr w:type="gramStart"/>
      <w:r w:rsidRPr="00BC17B3">
        <w:rPr>
          <w:rFonts w:ascii="Times New Roman" w:hAnsi="Times New Roman"/>
          <w:b/>
          <w:sz w:val="24"/>
          <w:szCs w:val="24"/>
        </w:rPr>
        <w:t>a</w:t>
      </w:r>
      <w:proofErr w:type="gramEnd"/>
      <w:r w:rsidRPr="00BC17B3">
        <w:rPr>
          <w:rFonts w:ascii="Times New Roman" w:hAnsi="Times New Roman"/>
          <w:b/>
          <w:sz w:val="24"/>
          <w:szCs w:val="24"/>
        </w:rPr>
        <w:t xml:space="preserve"> FF recruit as a probationary employee; when injured in recruit school, can be “demoted” back to EMT-B and placed on light duty.</w:t>
      </w:r>
    </w:p>
    <w:p w14:paraId="1DFF312A" w14:textId="78F4250F" w:rsidR="000C4DF5" w:rsidRDefault="000C4DF5">
      <w:pPr>
        <w:spacing w:after="0" w:line="240" w:lineRule="auto"/>
        <w:rPr>
          <w:b/>
          <w:sz w:val="24"/>
          <w:szCs w:val="24"/>
        </w:rPr>
      </w:pPr>
      <w:r>
        <w:rPr>
          <w:b/>
          <w:sz w:val="24"/>
          <w:szCs w:val="24"/>
        </w:rPr>
        <w:br w:type="page"/>
      </w:r>
    </w:p>
    <w:bookmarkEnd w:id="566"/>
    <w:bookmarkEnd w:id="568"/>
    <w:p w14:paraId="16EB49F9" w14:textId="77777777" w:rsidR="004378B8" w:rsidRDefault="004378B8" w:rsidP="00F326E5">
      <w:pPr>
        <w:rPr>
          <w:rFonts w:ascii="Arial Black" w:hAnsi="Arial Black"/>
          <w:sz w:val="40"/>
          <w:szCs w:val="40"/>
        </w:rPr>
      </w:pPr>
    </w:p>
    <w:p w14:paraId="178B1B2A" w14:textId="77777777" w:rsidR="004378B8" w:rsidRDefault="004378B8" w:rsidP="00F326E5">
      <w:pPr>
        <w:rPr>
          <w:rFonts w:ascii="Arial Black" w:hAnsi="Arial Black"/>
          <w:sz w:val="40"/>
          <w:szCs w:val="40"/>
        </w:rPr>
      </w:pPr>
    </w:p>
    <w:p w14:paraId="1AC74A7C" w14:textId="77777777" w:rsidR="004378B8" w:rsidRDefault="004378B8" w:rsidP="00F326E5">
      <w:pPr>
        <w:rPr>
          <w:rFonts w:ascii="Arial Black" w:hAnsi="Arial Black"/>
          <w:sz w:val="40"/>
          <w:szCs w:val="40"/>
        </w:rPr>
      </w:pPr>
    </w:p>
    <w:p w14:paraId="787CE605" w14:textId="77777777" w:rsidR="004378B8" w:rsidRDefault="004378B8" w:rsidP="00F326E5">
      <w:pPr>
        <w:rPr>
          <w:rFonts w:ascii="Arial Black" w:hAnsi="Arial Black"/>
          <w:sz w:val="40"/>
          <w:szCs w:val="40"/>
        </w:rPr>
      </w:pPr>
    </w:p>
    <w:p w14:paraId="63BB63F1" w14:textId="77777777" w:rsidR="004378B8" w:rsidRDefault="004378B8" w:rsidP="00F326E5">
      <w:pPr>
        <w:rPr>
          <w:rFonts w:ascii="Arial Black" w:hAnsi="Arial Black"/>
          <w:sz w:val="40"/>
          <w:szCs w:val="40"/>
        </w:rPr>
      </w:pPr>
    </w:p>
    <w:p w14:paraId="44B5D944" w14:textId="77777777" w:rsidR="004378B8" w:rsidRDefault="004378B8" w:rsidP="00F326E5">
      <w:pPr>
        <w:rPr>
          <w:rFonts w:ascii="Arial Black" w:hAnsi="Arial Black"/>
          <w:sz w:val="40"/>
          <w:szCs w:val="40"/>
        </w:rPr>
      </w:pPr>
    </w:p>
    <w:p w14:paraId="79630461" w14:textId="77777777" w:rsidR="004378B8" w:rsidRDefault="004378B8" w:rsidP="00F326E5">
      <w:pPr>
        <w:rPr>
          <w:rFonts w:ascii="Arial Black" w:hAnsi="Arial Black"/>
          <w:sz w:val="40"/>
          <w:szCs w:val="40"/>
        </w:rPr>
      </w:pPr>
    </w:p>
    <w:p w14:paraId="6F3AC8F7" w14:textId="77777777" w:rsidR="004378B8" w:rsidRDefault="004378B8" w:rsidP="00F326E5">
      <w:pPr>
        <w:rPr>
          <w:rFonts w:ascii="Arial Black" w:hAnsi="Arial Black"/>
          <w:sz w:val="40"/>
          <w:szCs w:val="40"/>
        </w:rPr>
      </w:pPr>
    </w:p>
    <w:p w14:paraId="594F7C28" w14:textId="77777777" w:rsidR="004378B8" w:rsidRDefault="004378B8" w:rsidP="00F326E5">
      <w:pPr>
        <w:rPr>
          <w:rFonts w:ascii="Arial Black" w:hAnsi="Arial Black"/>
          <w:sz w:val="40"/>
          <w:szCs w:val="40"/>
        </w:rPr>
      </w:pPr>
    </w:p>
    <w:p w14:paraId="111CE97C" w14:textId="77777777" w:rsidR="004378B8" w:rsidRDefault="004378B8" w:rsidP="00F326E5">
      <w:pPr>
        <w:rPr>
          <w:rFonts w:ascii="Arial Black" w:hAnsi="Arial Black"/>
          <w:sz w:val="40"/>
          <w:szCs w:val="40"/>
        </w:rPr>
      </w:pPr>
    </w:p>
    <w:p w14:paraId="3B9AC02F" w14:textId="77777777" w:rsidR="004378B8" w:rsidRDefault="004378B8" w:rsidP="00F326E5">
      <w:pPr>
        <w:rPr>
          <w:rFonts w:ascii="Arial Black" w:hAnsi="Arial Black"/>
          <w:sz w:val="40"/>
          <w:szCs w:val="40"/>
        </w:rPr>
      </w:pPr>
    </w:p>
    <w:p w14:paraId="32151016" w14:textId="77777777" w:rsidR="004378B8" w:rsidRDefault="004378B8" w:rsidP="00F326E5">
      <w:pPr>
        <w:rPr>
          <w:rFonts w:ascii="Arial Black" w:hAnsi="Arial Black"/>
          <w:sz w:val="40"/>
          <w:szCs w:val="40"/>
        </w:rPr>
      </w:pPr>
    </w:p>
    <w:p w14:paraId="22103E84" w14:textId="77777777" w:rsidR="004378B8" w:rsidRDefault="004378B8" w:rsidP="00F326E5">
      <w:pPr>
        <w:rPr>
          <w:rFonts w:ascii="Arial Black" w:hAnsi="Arial Black"/>
          <w:sz w:val="40"/>
          <w:szCs w:val="40"/>
        </w:rPr>
      </w:pPr>
    </w:p>
    <w:p w14:paraId="466DADBD" w14:textId="77777777" w:rsidR="004378B8" w:rsidRDefault="004378B8" w:rsidP="00F326E5">
      <w:pPr>
        <w:rPr>
          <w:rFonts w:ascii="Arial Black" w:hAnsi="Arial Black"/>
          <w:sz w:val="40"/>
          <w:szCs w:val="40"/>
        </w:rPr>
      </w:pPr>
    </w:p>
    <w:p w14:paraId="6AF4ADE1" w14:textId="77777777" w:rsidR="004378B8" w:rsidRDefault="004378B8" w:rsidP="00F326E5">
      <w:pPr>
        <w:rPr>
          <w:rFonts w:ascii="Arial Black" w:hAnsi="Arial Black"/>
          <w:sz w:val="40"/>
          <w:szCs w:val="40"/>
        </w:rPr>
      </w:pPr>
    </w:p>
    <w:p w14:paraId="1A36CA2A" w14:textId="77777777" w:rsidR="004378B8" w:rsidRDefault="004378B8" w:rsidP="00F326E5">
      <w:pPr>
        <w:rPr>
          <w:rFonts w:ascii="Arial Black" w:hAnsi="Arial Black"/>
          <w:sz w:val="40"/>
          <w:szCs w:val="40"/>
        </w:rPr>
      </w:pPr>
    </w:p>
    <w:p w14:paraId="0206712B" w14:textId="77777777" w:rsidR="004378B8" w:rsidRDefault="004378B8" w:rsidP="00F326E5">
      <w:pPr>
        <w:rPr>
          <w:rFonts w:ascii="Arial Black" w:hAnsi="Arial Black"/>
          <w:sz w:val="40"/>
          <w:szCs w:val="40"/>
        </w:rPr>
      </w:pPr>
    </w:p>
    <w:p w14:paraId="1E590846" w14:textId="05B8579E" w:rsidR="00F326E5" w:rsidRDefault="00F326E5" w:rsidP="00F326E5">
      <w:pPr>
        <w:rPr>
          <w:rFonts w:ascii="Arial Black" w:hAnsi="Arial Black"/>
          <w:sz w:val="40"/>
          <w:szCs w:val="40"/>
        </w:rPr>
      </w:pPr>
      <w:r w:rsidRPr="007732FA">
        <w:rPr>
          <w:rFonts w:ascii="Arial Black" w:hAnsi="Arial Black"/>
          <w:sz w:val="40"/>
          <w:szCs w:val="40"/>
        </w:rPr>
        <w:lastRenderedPageBreak/>
        <w:t>Chap. 15</w:t>
      </w:r>
      <w:r>
        <w:rPr>
          <w:rFonts w:ascii="Arial Black" w:hAnsi="Arial Black"/>
          <w:sz w:val="40"/>
          <w:szCs w:val="40"/>
        </w:rPr>
        <w:t xml:space="preserve"> </w:t>
      </w:r>
      <w:r w:rsidR="00CA57F1">
        <w:rPr>
          <w:rFonts w:ascii="Arial Black" w:hAnsi="Arial Black"/>
          <w:sz w:val="40"/>
          <w:szCs w:val="40"/>
        </w:rPr>
        <w:t xml:space="preserve"> </w:t>
      </w:r>
      <w:r w:rsidR="00EC5D4A">
        <w:rPr>
          <w:rFonts w:ascii="Arial Black" w:hAnsi="Arial Black"/>
          <w:sz w:val="40"/>
          <w:szCs w:val="40"/>
        </w:rPr>
        <w:t>Mental Health, incl.</w:t>
      </w:r>
      <w:r w:rsidR="00CA57F1">
        <w:rPr>
          <w:rFonts w:ascii="Arial Black" w:hAnsi="Arial Black"/>
          <w:sz w:val="40"/>
          <w:szCs w:val="40"/>
        </w:rPr>
        <w:t xml:space="preserve"> </w:t>
      </w:r>
      <w:r w:rsidRPr="007732FA">
        <w:rPr>
          <w:rFonts w:ascii="Arial Black" w:hAnsi="Arial Black"/>
          <w:sz w:val="40"/>
          <w:szCs w:val="40"/>
        </w:rPr>
        <w:t>C</w:t>
      </w:r>
      <w:r w:rsidR="006D5E9F">
        <w:rPr>
          <w:rFonts w:ascii="Arial Black" w:hAnsi="Arial Black"/>
          <w:sz w:val="40"/>
          <w:szCs w:val="40"/>
        </w:rPr>
        <w:t xml:space="preserve">ISM / </w:t>
      </w:r>
      <w:r w:rsidR="00636395">
        <w:rPr>
          <w:rFonts w:ascii="Arial Black" w:hAnsi="Arial Black"/>
          <w:sz w:val="40"/>
          <w:szCs w:val="40"/>
        </w:rPr>
        <w:t>Peer Support</w:t>
      </w:r>
      <w:r w:rsidR="006D5E9F">
        <w:rPr>
          <w:rFonts w:ascii="Arial Black" w:hAnsi="Arial Black"/>
          <w:sz w:val="40"/>
          <w:szCs w:val="40"/>
        </w:rPr>
        <w:t xml:space="preserve"> </w:t>
      </w:r>
    </w:p>
    <w:p w14:paraId="6890636C" w14:textId="361A6BD2" w:rsidR="00A971EA" w:rsidRDefault="005611CE" w:rsidP="004D70DC">
      <w:pPr>
        <w:pStyle w:val="NoSpacing"/>
        <w:rPr>
          <w:rFonts w:ascii="Arial Black" w:hAnsi="Arial Black"/>
          <w:sz w:val="24"/>
          <w:szCs w:val="24"/>
        </w:rPr>
      </w:pPr>
      <w:r>
        <w:rPr>
          <w:rFonts w:ascii="Arial Black" w:hAnsi="Arial Black"/>
          <w:sz w:val="24"/>
          <w:szCs w:val="24"/>
        </w:rPr>
        <w:t>15-55</w:t>
      </w:r>
    </w:p>
    <w:p w14:paraId="5F930AF8" w14:textId="77777777" w:rsidR="005611CE" w:rsidRDefault="005611CE" w:rsidP="004D70DC">
      <w:pPr>
        <w:pStyle w:val="NoSpacing"/>
        <w:rPr>
          <w:rFonts w:ascii="Arial Black" w:hAnsi="Arial Black"/>
          <w:sz w:val="24"/>
          <w:szCs w:val="24"/>
        </w:rPr>
      </w:pPr>
    </w:p>
    <w:p w14:paraId="3753DEB9" w14:textId="77777777" w:rsidR="005611CE" w:rsidRPr="0012386E" w:rsidRDefault="005611CE" w:rsidP="005611CE">
      <w:pPr>
        <w:pStyle w:val="NoSpacing"/>
        <w:rPr>
          <w:rFonts w:ascii="Arial Black" w:hAnsi="Arial Black"/>
          <w:sz w:val="28"/>
          <w:szCs w:val="28"/>
        </w:rPr>
      </w:pPr>
      <w:r w:rsidRPr="0012386E">
        <w:rPr>
          <w:rFonts w:ascii="Arial Black" w:hAnsi="Arial Black"/>
          <w:sz w:val="28"/>
          <w:szCs w:val="28"/>
        </w:rPr>
        <w:t xml:space="preserve">TX: PTSD – </w:t>
      </w:r>
      <w:r>
        <w:rPr>
          <w:rFonts w:ascii="Arial Black" w:hAnsi="Arial Black"/>
          <w:sz w:val="28"/>
          <w:szCs w:val="28"/>
        </w:rPr>
        <w:t xml:space="preserve">EXPLOSION - </w:t>
      </w:r>
      <w:r w:rsidRPr="0012386E">
        <w:rPr>
          <w:rFonts w:ascii="Arial Black" w:hAnsi="Arial Black"/>
          <w:sz w:val="28"/>
          <w:szCs w:val="28"/>
        </w:rPr>
        <w:t>OSHA REPORTING REG. SET ASIDE</w:t>
      </w:r>
    </w:p>
    <w:p w14:paraId="27941F7F" w14:textId="77777777" w:rsidR="005611CE" w:rsidRPr="0012386E" w:rsidRDefault="005611CE" w:rsidP="005611CE">
      <w:pPr>
        <w:pStyle w:val="NoSpacing"/>
      </w:pPr>
    </w:p>
    <w:p w14:paraId="78891F21" w14:textId="77777777" w:rsidR="005611CE" w:rsidRPr="0012386E" w:rsidRDefault="005611CE" w:rsidP="005611CE">
      <w:pPr>
        <w:pStyle w:val="NoSpacing"/>
        <w:rPr>
          <w:bCs/>
        </w:rPr>
      </w:pPr>
      <w:r w:rsidRPr="0012386E">
        <w:t xml:space="preserve">On July 21, 2026, in </w:t>
      </w:r>
      <w:r w:rsidRPr="0012386E">
        <w:rPr>
          <w:u w:val="single"/>
        </w:rPr>
        <w:t xml:space="preserve">Exxon Mobil Corporation v. Occupational Safety </w:t>
      </w:r>
      <w:proofErr w:type="gramStart"/>
      <w:r w:rsidRPr="0012386E">
        <w:rPr>
          <w:u w:val="single"/>
        </w:rPr>
        <w:t>And</w:t>
      </w:r>
      <w:proofErr w:type="gramEnd"/>
      <w:r w:rsidRPr="0012386E">
        <w:rPr>
          <w:u w:val="single"/>
        </w:rPr>
        <w:t xml:space="preserve"> Health Review Commission</w:t>
      </w:r>
      <w:r w:rsidRPr="0012386E">
        <w:t xml:space="preserve">, the United States Court of Appeals for the Fifth Circuit (New Orleans) held (3 to 0) that Exxon properly did not report on OSHE 300 /301 forms that an employee suffered PTSD after helping firefighters turn off fuel valves after massive explosion, setting aside the $691 citation.  “OSHA exceeded its statutory authority in promulgating 29 C.F.R. § 1904.5(b)(2)(ix) to require employers to record employee-reported work-related mental illnesses.” </w:t>
      </w:r>
    </w:p>
    <w:p w14:paraId="3F7C2694" w14:textId="77777777" w:rsidR="005611CE" w:rsidRPr="0012386E" w:rsidRDefault="005611CE" w:rsidP="005611CE">
      <w:pPr>
        <w:pStyle w:val="NoSpacing"/>
        <w:rPr>
          <w:bCs/>
        </w:rPr>
      </w:pPr>
      <w:hyperlink r:id="rId2435" w:history="1">
        <w:r w:rsidRPr="0012386E">
          <w:rPr>
            <w:rStyle w:val="Hyperlink"/>
            <w:b/>
          </w:rPr>
          <w:t>https://cases.justia.com/federal/appellate-courts/ca5/25-60108/25-60108-2026-07-21.pdf?ts=1784680232</w:t>
        </w:r>
      </w:hyperlink>
      <w:r w:rsidRPr="0012386E">
        <w:t xml:space="preserve"> </w:t>
      </w:r>
    </w:p>
    <w:p w14:paraId="18E0E3B2" w14:textId="77777777" w:rsidR="005611CE" w:rsidRPr="0012386E" w:rsidRDefault="005611CE" w:rsidP="005611CE">
      <w:pPr>
        <w:pStyle w:val="NoSpacing"/>
        <w:rPr>
          <w:bCs/>
        </w:rPr>
      </w:pPr>
    </w:p>
    <w:p w14:paraId="068BD4AC" w14:textId="77777777" w:rsidR="005611CE" w:rsidRPr="0012386E" w:rsidRDefault="005611CE" w:rsidP="005611CE">
      <w:pPr>
        <w:pStyle w:val="NoSpacing"/>
        <w:rPr>
          <w:bCs/>
        </w:rPr>
      </w:pPr>
      <w:r w:rsidRPr="0012386E">
        <w:t xml:space="preserve">OSHA Regulation. “You are not required to record injuries and illnesses if . . . </w:t>
      </w:r>
    </w:p>
    <w:p w14:paraId="3D6A7605" w14:textId="77777777" w:rsidR="005611CE" w:rsidRPr="0012386E" w:rsidRDefault="005611CE" w:rsidP="005611CE">
      <w:pPr>
        <w:pStyle w:val="NoSpacing"/>
        <w:rPr>
          <w:bCs/>
        </w:rPr>
      </w:pPr>
      <w:r w:rsidRPr="0012386E">
        <w:t xml:space="preserve">(ix) The illness is a mental illness. Mental illness will not be considered work-related unless the employee voluntarily provides the employer with an opinion from a physician or other licensed health care professional with appropriate training and experience (psychiatrist, psychologist, psychiatric nurse practitioner, etc.) stating that the employee has a mental illness that is work-related.” </w:t>
      </w:r>
      <w:hyperlink r:id="rId2436" w:history="1">
        <w:r w:rsidRPr="0012386E">
          <w:rPr>
            <w:rStyle w:val="Hyperlink"/>
            <w:b/>
          </w:rPr>
          <w:t>https://www.customsmobile.com/regulations/expand/title29_chapterXVII_part1904_subpartC_section1904.5</w:t>
        </w:r>
      </w:hyperlink>
      <w:r w:rsidRPr="0012386E">
        <w:t xml:space="preserve"> </w:t>
      </w:r>
    </w:p>
    <w:p w14:paraId="383E65C0" w14:textId="77777777" w:rsidR="005611CE" w:rsidRPr="0012386E" w:rsidRDefault="005611CE" w:rsidP="005611CE">
      <w:pPr>
        <w:pStyle w:val="NoSpacing"/>
        <w:rPr>
          <w:bCs/>
        </w:rPr>
      </w:pPr>
    </w:p>
    <w:p w14:paraId="4CD2389D" w14:textId="77777777" w:rsidR="005611CE" w:rsidRPr="0012386E" w:rsidRDefault="005611CE" w:rsidP="005611CE">
      <w:pPr>
        <w:pStyle w:val="NoSpacing"/>
        <w:rPr>
          <w:bCs/>
        </w:rPr>
      </w:pPr>
    </w:p>
    <w:p w14:paraId="37D2ABEA" w14:textId="77777777" w:rsidR="005611CE" w:rsidRPr="0012386E" w:rsidRDefault="005611CE" w:rsidP="005611CE">
      <w:pPr>
        <w:pStyle w:val="NoSpacing"/>
        <w:rPr>
          <w:bCs/>
        </w:rPr>
      </w:pPr>
      <w:r w:rsidRPr="0012386E">
        <w:t>THE COURT WROTE:</w:t>
      </w:r>
    </w:p>
    <w:p w14:paraId="2819F16C" w14:textId="77777777" w:rsidR="005611CE" w:rsidRPr="0012386E" w:rsidRDefault="005611CE" w:rsidP="005611CE">
      <w:pPr>
        <w:pStyle w:val="NoSpacing"/>
        <w:rPr>
          <w:bCs/>
        </w:rPr>
      </w:pPr>
    </w:p>
    <w:p w14:paraId="064F85AB" w14:textId="77777777" w:rsidR="005611CE" w:rsidRPr="0012386E" w:rsidRDefault="005611CE" w:rsidP="005611CE">
      <w:pPr>
        <w:pStyle w:val="NoSpacing"/>
        <w:rPr>
          <w:bCs/>
        </w:rPr>
      </w:pPr>
      <w:r w:rsidRPr="0012386E">
        <w:t>“ExxonMobil (Exxon) operates a large petroleum refinery in Baytown, Texas. The facility contains ‘27 distinct units, including the hydro-desulfurization unit (HDU), which mixes hydrogen, sulfur, and naphtha.’ During repairs to the HDU in December 2021, one of its component pipes ruptured. The subsequent hydrocarbon release caused a large explosion and</w:t>
      </w:r>
    </w:p>
    <w:p w14:paraId="33C7A4E6" w14:textId="77777777" w:rsidR="005611CE" w:rsidRPr="0012386E" w:rsidRDefault="005611CE" w:rsidP="005611CE">
      <w:pPr>
        <w:pStyle w:val="NoSpacing"/>
        <w:rPr>
          <w:bCs/>
        </w:rPr>
      </w:pPr>
      <w:r w:rsidRPr="0012386E">
        <w:t>major fire, which burned for eight hours. Multiple workers who were working on the HDU at the time of the explosion were injured. A significant emergency response was required to evacuate the injured, combat the blaze, and shut off fuel to the HDU. The destruction caused by the incident took Exxon five months to remediate….  Employee 2 was an Exxon process technician1 who responded to the explosion and ensuing fire to assist emergency response efforts…. Once there, though not a member of the facility’s emergency response team, Employee 2 volunteered to enter the burning HDU alongside Exxon firefighters and guide them to several valves which needed to be closed to shut off fuel to the fire. The firefighters helped Employee 2 don firefighting gear, and they entered the HDU. Inside, Employee 2 led the firefighters to</w:t>
      </w:r>
    </w:p>
    <w:p w14:paraId="0D0DD2BD" w14:textId="77777777" w:rsidR="005611CE" w:rsidRPr="0012386E" w:rsidRDefault="005611CE" w:rsidP="005611CE">
      <w:pPr>
        <w:pStyle w:val="NoSpacing"/>
        <w:rPr>
          <w:bCs/>
        </w:rPr>
      </w:pPr>
      <w:r w:rsidRPr="0012386E">
        <w:t>multiple valves, which they closed before exiting the inferno. While Employee 2 was recovering from this harrowing ordeal in the back of an ambulance, the emergency team was told that there was still at least one bypass open and feeding the fire. Employee 2 was asked to suit back up and</w:t>
      </w:r>
    </w:p>
    <w:p w14:paraId="665A6590" w14:textId="77777777" w:rsidR="005611CE" w:rsidRPr="0012386E" w:rsidRDefault="005611CE" w:rsidP="005611CE">
      <w:pPr>
        <w:pStyle w:val="NoSpacing"/>
        <w:rPr>
          <w:bCs/>
        </w:rPr>
      </w:pPr>
      <w:proofErr w:type="gramStart"/>
      <w:r w:rsidRPr="0012386E">
        <w:t>again</w:t>
      </w:r>
      <w:proofErr w:type="gramEnd"/>
      <w:r w:rsidRPr="0012386E">
        <w:t xml:space="preserve"> accompany the firefighters into the burning HDU to ‘ensure no bypasses were open or valves were open or leaking.’ He did so and helped the firefighters close several more valves. After surviving this second hellish trip into the HDU, Employee 2 left the facility, though the fire would continue to burn for hours. </w:t>
      </w:r>
    </w:p>
    <w:p w14:paraId="34F73B67" w14:textId="77777777" w:rsidR="005611CE" w:rsidRPr="0012386E" w:rsidRDefault="005611CE" w:rsidP="005611CE">
      <w:pPr>
        <w:pStyle w:val="NoSpacing"/>
        <w:rPr>
          <w:bCs/>
        </w:rPr>
      </w:pPr>
    </w:p>
    <w:p w14:paraId="0BAE9C16" w14:textId="77777777" w:rsidR="005611CE" w:rsidRPr="0012386E" w:rsidRDefault="005611CE" w:rsidP="005611CE">
      <w:pPr>
        <w:pStyle w:val="NoSpacing"/>
        <w:rPr>
          <w:bCs/>
        </w:rPr>
      </w:pPr>
      <w:r w:rsidRPr="0012386E">
        <w:t>***</w:t>
      </w:r>
    </w:p>
    <w:p w14:paraId="44A6BE46" w14:textId="77777777" w:rsidR="005611CE" w:rsidRPr="0012386E" w:rsidRDefault="005611CE" w:rsidP="005611CE">
      <w:pPr>
        <w:pStyle w:val="NoSpacing"/>
        <w:rPr>
          <w:bCs/>
        </w:rPr>
      </w:pPr>
      <w:r w:rsidRPr="0012386E">
        <w:t xml:space="preserve">Based on </w:t>
      </w:r>
      <w:proofErr w:type="spellStart"/>
      <w:r w:rsidRPr="0012386E">
        <w:t>Joppich’s</w:t>
      </w:r>
      <w:proofErr w:type="spellEnd"/>
      <w:r w:rsidRPr="0012386E">
        <w:t xml:space="preserve"> opinion [Dr. Heather Joppich, psychiatrist], Exxon concluded that Employee 2 did not have a recordable work-related mental </w:t>
      </w:r>
      <w:proofErr w:type="spellStart"/>
      <w:r w:rsidRPr="0012386E">
        <w:t>illness.The</w:t>
      </w:r>
      <w:proofErr w:type="spellEnd"/>
      <w:r w:rsidRPr="0012386E">
        <w:t xml:space="preserve"> union representing Exxon’s Baytown employees informed OSHA of Exxon’s decision. Following an investigation, OSHA issued a</w:t>
      </w:r>
    </w:p>
    <w:p w14:paraId="4BDE6BCE" w14:textId="77777777" w:rsidR="005611CE" w:rsidRPr="0012386E" w:rsidRDefault="005611CE" w:rsidP="005611CE">
      <w:pPr>
        <w:pStyle w:val="NoSpacing"/>
        <w:rPr>
          <w:bCs/>
        </w:rPr>
      </w:pPr>
      <w:r w:rsidRPr="0012386E">
        <w:t xml:space="preserve">Citation and Notification of Penalty to Exxon in June 2022. The citation ($691) alleged an ‘other-than-serious </w:t>
      </w:r>
      <w:r>
        <w:t>‘ v</w:t>
      </w:r>
      <w:r w:rsidRPr="0012386E">
        <w:t xml:space="preserve">iolation of the Act’s recordkeeping standard for failing to record Employee 2’s PTSD diagnosis as a work-related mental illness on Forms 300 and 301.” </w:t>
      </w:r>
    </w:p>
    <w:p w14:paraId="2EDA98A7" w14:textId="77777777" w:rsidR="005611CE" w:rsidRPr="00AB3A93" w:rsidRDefault="005611CE" w:rsidP="005611CE">
      <w:pPr>
        <w:pStyle w:val="NoSpacing"/>
        <w:rPr>
          <w:b/>
          <w:bCs/>
        </w:rPr>
      </w:pPr>
    </w:p>
    <w:p w14:paraId="131EF7D7" w14:textId="77777777" w:rsidR="005611CE" w:rsidRPr="00AB3A93" w:rsidRDefault="005611CE" w:rsidP="005611CE">
      <w:pPr>
        <w:pStyle w:val="NoSpacing"/>
        <w:rPr>
          <w:b/>
          <w:bCs/>
        </w:rPr>
      </w:pPr>
      <w:r w:rsidRPr="00AB3A93">
        <w:rPr>
          <w:b/>
        </w:rPr>
        <w:t>Legal lesson learned: Employer reporting on mental health of its employees needs clear regulations.</w:t>
      </w:r>
    </w:p>
    <w:p w14:paraId="2616BD49" w14:textId="77777777" w:rsidR="005611CE" w:rsidRPr="0012386E" w:rsidRDefault="005611CE" w:rsidP="005611CE">
      <w:pPr>
        <w:pStyle w:val="NoSpacing"/>
        <w:rPr>
          <w:bCs/>
        </w:rPr>
      </w:pPr>
      <w:r>
        <w:rPr>
          <w:rFonts w:ascii="Arial Black" w:hAnsi="Arial Black"/>
          <w:b/>
          <w:sz w:val="28"/>
          <w:szCs w:val="28"/>
        </w:rPr>
        <w:tab/>
      </w:r>
      <w:r w:rsidRPr="00E363A9">
        <w:t>Note:</w:t>
      </w:r>
      <w:r>
        <w:rPr>
          <w:rFonts w:ascii="Arial Black" w:hAnsi="Arial Black"/>
          <w:b/>
          <w:sz w:val="28"/>
          <w:szCs w:val="28"/>
        </w:rPr>
        <w:t xml:space="preserve"> </w:t>
      </w:r>
      <w:r w:rsidRPr="0012386E">
        <w:t xml:space="preserve">OSHA Regulation. “You are not required to record injuries and illnesses if . . . </w:t>
      </w:r>
    </w:p>
    <w:p w14:paraId="51686C9D" w14:textId="77777777" w:rsidR="005611CE" w:rsidRPr="0012386E" w:rsidRDefault="005611CE" w:rsidP="005611CE">
      <w:pPr>
        <w:pStyle w:val="NoSpacing"/>
        <w:ind w:left="720"/>
        <w:rPr>
          <w:bCs/>
        </w:rPr>
      </w:pPr>
      <w:r w:rsidRPr="0012386E">
        <w:t xml:space="preserve">(ix) The illness is a mental illness. Mental illness will not be considered work-related unless the employee voluntarily provides the employer with an opinion from a physician or other licensed health care professional with appropriate training and experience (psychiatrist, psychologist, psychiatric nurse practitioner, etc.) stating that the employee has a mental illness that is work-related.” </w:t>
      </w:r>
      <w:hyperlink r:id="rId2437" w:history="1">
        <w:r w:rsidRPr="0012386E">
          <w:rPr>
            <w:rStyle w:val="Hyperlink"/>
            <w:b/>
          </w:rPr>
          <w:t>https://www.customsmobile.com/regulations/expand/title29_chapterXVII_part1904_subpartC_section1904.5</w:t>
        </w:r>
      </w:hyperlink>
      <w:r w:rsidRPr="0012386E">
        <w:t xml:space="preserve"> </w:t>
      </w:r>
    </w:p>
    <w:p w14:paraId="2E1BADBC" w14:textId="77777777" w:rsidR="005611CE" w:rsidRPr="0088501B" w:rsidRDefault="005611CE" w:rsidP="005611CE">
      <w:pPr>
        <w:pStyle w:val="NoSpacing"/>
      </w:pPr>
    </w:p>
    <w:p w14:paraId="01F8C9C0" w14:textId="43263EB2" w:rsidR="005611CE" w:rsidRPr="005611CE" w:rsidRDefault="005611CE" w:rsidP="005611CE">
      <w:pPr>
        <w:pStyle w:val="NoSpacing"/>
        <w:rPr>
          <w:rFonts w:ascii="Arial Black" w:hAnsi="Arial Black"/>
          <w:b/>
          <w:sz w:val="24"/>
          <w:szCs w:val="24"/>
        </w:rPr>
      </w:pPr>
      <w:r w:rsidRPr="005611CE">
        <w:rPr>
          <w:rFonts w:ascii="Arial Black" w:hAnsi="Arial Black"/>
          <w:b/>
          <w:sz w:val="24"/>
          <w:szCs w:val="24"/>
        </w:rPr>
        <w:t>15-54</w:t>
      </w:r>
    </w:p>
    <w:p w14:paraId="0C970943" w14:textId="77777777" w:rsidR="005611CE" w:rsidRDefault="005611CE" w:rsidP="005611CE">
      <w:pPr>
        <w:pStyle w:val="NoSpacing"/>
        <w:rPr>
          <w:b/>
        </w:rPr>
      </w:pPr>
    </w:p>
    <w:p w14:paraId="40608B57" w14:textId="77777777" w:rsidR="005611CE" w:rsidRDefault="005611CE" w:rsidP="005611CE">
      <w:pPr>
        <w:pStyle w:val="NoSpacing"/>
        <w:rPr>
          <w:rFonts w:ascii="Arial Black" w:hAnsi="Arial Black"/>
          <w:b/>
          <w:sz w:val="28"/>
          <w:szCs w:val="28"/>
        </w:rPr>
      </w:pPr>
      <w:r>
        <w:rPr>
          <w:rFonts w:ascii="Arial Black" w:hAnsi="Arial Black"/>
          <w:b/>
          <w:sz w:val="28"/>
          <w:szCs w:val="28"/>
        </w:rPr>
        <w:t xml:space="preserve">NJ: PSYCH EXAM / ADHD - FAILED 1, PASSED 2 - APPROVED </w:t>
      </w:r>
    </w:p>
    <w:p w14:paraId="52CE521D" w14:textId="77777777" w:rsidR="005611CE" w:rsidRDefault="005611CE" w:rsidP="005611CE">
      <w:pPr>
        <w:pStyle w:val="NoSpacing"/>
        <w:rPr>
          <w:rFonts w:ascii="Arial Black" w:hAnsi="Arial Black"/>
          <w:b/>
          <w:sz w:val="28"/>
          <w:szCs w:val="28"/>
        </w:rPr>
      </w:pPr>
    </w:p>
    <w:p w14:paraId="5030F448" w14:textId="77777777" w:rsidR="005611CE" w:rsidRDefault="005611CE" w:rsidP="005611CE">
      <w:pPr>
        <w:pStyle w:val="NoSpacing"/>
      </w:pPr>
      <w:r>
        <w:t xml:space="preserve">On July 6, 2026, </w:t>
      </w:r>
      <w:r w:rsidRPr="00951593">
        <w:rPr>
          <w:u w:val="single"/>
        </w:rPr>
        <w:t xml:space="preserve">In </w:t>
      </w:r>
      <w:proofErr w:type="gramStart"/>
      <w:r w:rsidRPr="00951593">
        <w:rPr>
          <w:u w:val="single"/>
        </w:rPr>
        <w:t>The</w:t>
      </w:r>
      <w:proofErr w:type="gramEnd"/>
      <w:r w:rsidRPr="00951593">
        <w:rPr>
          <w:u w:val="single"/>
        </w:rPr>
        <w:t xml:space="preserve"> Matter </w:t>
      </w:r>
      <w:proofErr w:type="gramStart"/>
      <w:r w:rsidRPr="00951593">
        <w:rPr>
          <w:u w:val="single"/>
        </w:rPr>
        <w:t>Of</w:t>
      </w:r>
      <w:proofErr w:type="gramEnd"/>
      <w:r w:rsidRPr="00951593">
        <w:rPr>
          <w:u w:val="single"/>
        </w:rPr>
        <w:t xml:space="preserve"> T.T., Fire Fighter</w:t>
      </w:r>
      <w:r>
        <w:t xml:space="preserve">, the </w:t>
      </w:r>
      <w:r w:rsidRPr="00951593">
        <w:t>Superior Court of New Jersey, Appellate Division</w:t>
      </w:r>
      <w:r>
        <w:t xml:space="preserve"> held (2 to 0) that the </w:t>
      </w:r>
      <w:r w:rsidRPr="005A339F">
        <w:t>New Jersey Civil Service Commission</w:t>
      </w:r>
      <w:r>
        <w:t xml:space="preserve"> properly reinstated T.T. to the firefighter eligibility list, following a protracted dispute. The Court </w:t>
      </w:r>
      <w:r w:rsidRPr="007F6B5A">
        <w:t>use</w:t>
      </w:r>
      <w:r>
        <w:t xml:space="preserve">d his </w:t>
      </w:r>
      <w:r w:rsidRPr="007F6B5A">
        <w:t>initials to protect the confidentiality of the proceedings and the privacy interests of the party.</w:t>
      </w:r>
      <w:r>
        <w:t xml:space="preserve"> He undertook three psychiatric reviews – passing 2</w:t>
      </w:r>
      <w:r w:rsidRPr="00AB2647">
        <w:rPr>
          <w:vertAlign w:val="superscript"/>
        </w:rPr>
        <w:t>nd</w:t>
      </w:r>
      <w:r>
        <w:t xml:space="preserve"> and 3</w:t>
      </w:r>
      <w:r w:rsidRPr="00AB2647">
        <w:rPr>
          <w:vertAlign w:val="superscript"/>
        </w:rPr>
        <w:t>rd</w:t>
      </w:r>
      <w:r>
        <w:t xml:space="preserve"> after the first found him unsuited for fire service including ADHD history and “</w:t>
      </w:r>
      <w:r w:rsidRPr="00853CD0">
        <w:t>negative legal interactions, his motor vehicle accidents</w:t>
      </w:r>
      <w:r>
        <w:t xml:space="preserve"> [‘</w:t>
      </w:r>
      <w:r w:rsidRPr="00735E57">
        <w:t>several motor vehicle accidents</w:t>
      </w:r>
      <w:r>
        <w:t xml:space="preserve"> …</w:t>
      </w:r>
      <w:r w:rsidRPr="00735E57">
        <w:t xml:space="preserve"> two of which were his fault</w:t>
      </w:r>
      <w:r>
        <w:t>’]</w:t>
      </w:r>
      <w:r w:rsidRPr="00853CD0">
        <w:t xml:space="preserve"> as well as the negative background recommendations</w:t>
      </w:r>
      <w:r>
        <w:t xml:space="preserve"> [including ‘</w:t>
      </w:r>
      <w:r w:rsidRPr="00E56BD0">
        <w:t>past resignation in lieu of termination</w:t>
      </w:r>
      <w:r>
        <w:t xml:space="preserve">’].”  </w:t>
      </w:r>
      <w:hyperlink r:id="rId2438" w:history="1">
        <w:r w:rsidRPr="000F5D15">
          <w:rPr>
            <w:rStyle w:val="Hyperlink"/>
            <w:b/>
          </w:rPr>
          <w:t>https://www.njcourts.gov/system/files/court-opinions/2026/a0161-24.pdf</w:t>
        </w:r>
      </w:hyperlink>
    </w:p>
    <w:p w14:paraId="01184E85" w14:textId="77777777" w:rsidR="005611CE" w:rsidRDefault="005611CE" w:rsidP="005611CE">
      <w:pPr>
        <w:pStyle w:val="NoSpacing"/>
      </w:pPr>
    </w:p>
    <w:p w14:paraId="1C88E80F" w14:textId="77777777" w:rsidR="005611CE" w:rsidRDefault="005611CE" w:rsidP="005611CE">
      <w:pPr>
        <w:pStyle w:val="NoSpacing"/>
      </w:pPr>
      <w:r>
        <w:t>THE COURT WROTE:</w:t>
      </w:r>
    </w:p>
    <w:p w14:paraId="4B3B5394" w14:textId="77777777" w:rsidR="005611CE" w:rsidRDefault="005611CE" w:rsidP="005611CE">
      <w:pPr>
        <w:pStyle w:val="NoSpacing"/>
      </w:pPr>
    </w:p>
    <w:p w14:paraId="3E0228B9" w14:textId="77777777" w:rsidR="005611CE" w:rsidRPr="000A31CD" w:rsidRDefault="005611CE" w:rsidP="005611CE">
      <w:pPr>
        <w:pStyle w:val="NoSpacing"/>
      </w:pPr>
      <w:r>
        <w:t>‘</w:t>
      </w:r>
      <w:r w:rsidRPr="00D878F6">
        <w:t xml:space="preserve">T.T. applied to be a firefighter in the Township. In July 2022, T.T.'s name was included on the list of eligible candidates for the title of firefighter. After the list was certified, the Township extended a conditional offer of employment to T.T., subject to completion of medical and psychological evaluations and a background check. In December 2022, the Township </w:t>
      </w:r>
      <w:proofErr w:type="gramStart"/>
      <w:r w:rsidRPr="00D878F6">
        <w:t>referred</w:t>
      </w:r>
      <w:proofErr w:type="gramEnd"/>
      <w:r w:rsidRPr="00D878F6">
        <w:t xml:space="preserve"> T.T. for a psychological evaluation with Han Zhang Liang, Ph.D. Dr. Liang did not recommend T.T. for the firefighter position. He concluded that T.T. was not psychologically suited for the position and recommended that he be removed from the certified list of candidates.</w:t>
      </w:r>
      <w:r>
        <w:t xml:space="preserve"> </w:t>
      </w:r>
      <w:r w:rsidRPr="0010303D">
        <w:t xml:space="preserve">On March 16, 2023, the Township sent a notice to T.T. advising that he had been removed from the firefighter eligibility list for failing to meet psychological standards. T.T. requested an appeal before the Medical Review Panel (MRP) pursuant to N.J.A.C. 4A:4-6.5, which </w:t>
      </w:r>
      <w:proofErr w:type="gramStart"/>
      <w:r w:rsidRPr="0010303D">
        <w:t>the CSC</w:t>
      </w:r>
      <w:proofErr w:type="gramEnd"/>
      <w:r w:rsidRPr="0010303D">
        <w:t xml:space="preserve"> granted. He also requested the opportunity to undergo another psychological evaluation with </w:t>
      </w:r>
      <w:r>
        <w:t>‘</w:t>
      </w:r>
      <w:r w:rsidRPr="0010303D">
        <w:t>a different psychiatrist.</w:t>
      </w:r>
      <w:r>
        <w:t>’</w:t>
      </w:r>
      <w:r w:rsidRPr="0010303D">
        <w:t xml:space="preserve"> The CSC advised T.T. to provide any additional information he wished to have considered. On June 28, T.T. submitted to the MRP a psychological evaluation by Karin Gepp, Psy.D., who recommended him for the appointment of a firefighter</w:t>
      </w:r>
      <w:r>
        <w:t xml:space="preserve">…. </w:t>
      </w:r>
      <w:r w:rsidRPr="000A31CD">
        <w:t xml:space="preserve">The MRP concluded: </w:t>
      </w:r>
    </w:p>
    <w:p w14:paraId="73E11C2B" w14:textId="77777777" w:rsidR="005611CE" w:rsidRDefault="005611CE" w:rsidP="005611CE">
      <w:pPr>
        <w:pStyle w:val="NoSpacing"/>
      </w:pPr>
      <w:r w:rsidRPr="000A31CD">
        <w:t xml:space="preserve">Taking into consideration Dr. Liang's and Dr. </w:t>
      </w:r>
      <w:proofErr w:type="spellStart"/>
      <w:r w:rsidRPr="000A31CD">
        <w:t>Gepp's</w:t>
      </w:r>
      <w:proofErr w:type="spellEnd"/>
      <w:r w:rsidRPr="000A31CD">
        <w:t xml:space="preserve"> evaluations, [T.T.'s] presentation, the psychological test results, and the behavioral record when viewed in consideration of the job specifications for Fire Fighter it indicates that [T.T.] should have an independent evaluation to further explore the issues noted above by the MRP</w:t>
      </w:r>
      <w:r>
        <w:t xml:space="preserve">…. </w:t>
      </w:r>
      <w:r w:rsidRPr="00B37D7B">
        <w:t>T.T. and the Township objected to a third evaluation. On January 17, 2024, the CSC issued a decision, accepting the MRP's recommendation and ordering T.T. to undergo an independent psychological evaluation with Robert Kanen, Psy. D</w:t>
      </w:r>
      <w:r>
        <w:t xml:space="preserve">…. </w:t>
      </w:r>
      <w:r w:rsidRPr="00676822">
        <w:t xml:space="preserve">On February 12, 2024, Dr. Kanen issued a written report, finding T.T. to be </w:t>
      </w:r>
      <w:r>
        <w:t>‘</w:t>
      </w:r>
      <w:r w:rsidRPr="00676822">
        <w:t>functioning within normal ranges,</w:t>
      </w:r>
      <w:r>
        <w:t>’</w:t>
      </w:r>
      <w:r w:rsidRPr="00676822">
        <w:t xml:space="preserve"> and that </w:t>
      </w:r>
      <w:r>
        <w:t>‘</w:t>
      </w:r>
      <w:r w:rsidRPr="00676822">
        <w:t>no psychopathology or personality problems that would interfere with [his] work performance.</w:t>
      </w:r>
      <w:r>
        <w:t>’</w:t>
      </w:r>
      <w:r w:rsidRPr="00676822">
        <w:t xml:space="preserve"> According to the personality testing administered by Dr. Kanen, T.T. </w:t>
      </w:r>
      <w:r>
        <w:t>‘</w:t>
      </w:r>
      <w:r w:rsidRPr="00676822">
        <w:t>scored in the category of likely to be recommended for employment in a public safety/security position,</w:t>
      </w:r>
      <w:r>
        <w:t>’</w:t>
      </w:r>
      <w:r w:rsidRPr="00676822">
        <w:t xml:space="preserve"> and </w:t>
      </w:r>
      <w:r>
        <w:t>‘</w:t>
      </w:r>
      <w:r w:rsidRPr="00676822">
        <w:t>likely to meet expectations.</w:t>
      </w:r>
      <w:r>
        <w:t>’</w:t>
      </w:r>
      <w:r w:rsidRPr="00676822">
        <w:t xml:space="preserve"> Thus, Dr. Kanen concluded that T.</w:t>
      </w:r>
      <w:proofErr w:type="gramStart"/>
      <w:r w:rsidRPr="00676822">
        <w:t xml:space="preserve">T. </w:t>
      </w:r>
      <w:r>
        <w:t>‘</w:t>
      </w:r>
      <w:proofErr w:type="gramEnd"/>
      <w:r w:rsidRPr="00676822">
        <w:t>is psychologically suitable for employment as a firefighter for the Town[ship].</w:t>
      </w:r>
      <w:r>
        <w:t xml:space="preserve">’ </w:t>
      </w:r>
    </w:p>
    <w:p w14:paraId="1E028B18" w14:textId="77777777" w:rsidR="005611CE" w:rsidRDefault="005611CE" w:rsidP="005611CE">
      <w:pPr>
        <w:pStyle w:val="NoSpacing"/>
      </w:pPr>
    </w:p>
    <w:p w14:paraId="629ED9BB" w14:textId="77777777" w:rsidR="005611CE" w:rsidRDefault="005611CE" w:rsidP="005611CE">
      <w:pPr>
        <w:pStyle w:val="NoSpacing"/>
      </w:pPr>
      <w:r>
        <w:t>***</w:t>
      </w:r>
    </w:p>
    <w:p w14:paraId="0313B5C0" w14:textId="77777777" w:rsidR="005611CE" w:rsidRPr="00853CD0" w:rsidRDefault="005611CE" w:rsidP="005611CE">
      <w:pPr>
        <w:pStyle w:val="NoSpacing"/>
      </w:pPr>
      <w:r w:rsidRPr="00853CD0">
        <w:t xml:space="preserve">We reject the Township's assertion that Dr. Liang's report was adequate and that the CSC gave </w:t>
      </w:r>
      <w:r>
        <w:t>‘</w:t>
      </w:r>
      <w:r w:rsidRPr="00853CD0">
        <w:t>short shrift</w:t>
      </w:r>
      <w:r>
        <w:t>’</w:t>
      </w:r>
      <w:r w:rsidRPr="00853CD0">
        <w:t xml:space="preserve"> to the disqualifying factors noted in his report. The MRP recognized T.T.'s negative factors, including his negative legal interactions, his motor vehicle accidents as well as the negative background recommendations. The MRP considered all relevant factors and other relevant information, and concluded: </w:t>
      </w:r>
    </w:p>
    <w:p w14:paraId="26303FEC" w14:textId="77777777" w:rsidR="005611CE" w:rsidRDefault="005611CE" w:rsidP="005611CE">
      <w:pPr>
        <w:pStyle w:val="NoSpacing"/>
      </w:pPr>
    </w:p>
    <w:p w14:paraId="24110AEB" w14:textId="77777777" w:rsidR="005611CE" w:rsidRPr="00853CD0" w:rsidRDefault="005611CE" w:rsidP="005611CE">
      <w:pPr>
        <w:pStyle w:val="NoSpacing"/>
        <w:ind w:left="720"/>
      </w:pPr>
      <w:r w:rsidRPr="00853CD0">
        <w:lastRenderedPageBreak/>
        <w:t xml:space="preserve">Taking into consideration Dr. Liang's and Dr. </w:t>
      </w:r>
      <w:proofErr w:type="spellStart"/>
      <w:r w:rsidRPr="00853CD0">
        <w:t>Gepp's</w:t>
      </w:r>
      <w:proofErr w:type="spellEnd"/>
      <w:r w:rsidRPr="00853CD0">
        <w:t xml:space="preserve"> evaluations, [T.T.]'s presentation, the psychological test results, and the behavioral record when viewed in consideration of the jobs specifications for Fire Fighter, it indicates that the applicant should have an independent evaluation to further explore the issues noted above by the MRP. </w:t>
      </w:r>
    </w:p>
    <w:p w14:paraId="3CDC9D1B" w14:textId="77777777" w:rsidR="005611CE" w:rsidRPr="0010303D" w:rsidRDefault="005611CE" w:rsidP="005611CE">
      <w:pPr>
        <w:pStyle w:val="NoSpacing"/>
      </w:pPr>
    </w:p>
    <w:p w14:paraId="7683F670" w14:textId="77777777" w:rsidR="005611CE" w:rsidRPr="00E56BD0" w:rsidRDefault="005611CE" w:rsidP="005611CE">
      <w:pPr>
        <w:pStyle w:val="NoSpacing"/>
      </w:pPr>
      <w:r w:rsidRPr="00E56BD0">
        <w:t xml:space="preserve">Contrary to the Township's assertions, Dr. Kanen noted that T.T. had </w:t>
      </w:r>
      <w:r>
        <w:t>‘</w:t>
      </w:r>
      <w:r w:rsidRPr="00E56BD0">
        <w:t xml:space="preserve">been involved in several motor vehicle </w:t>
      </w:r>
      <w:proofErr w:type="gramStart"/>
      <w:r w:rsidRPr="00E56BD0">
        <w:t>accidents[,]</w:t>
      </w:r>
      <w:r>
        <w:t>’</w:t>
      </w:r>
      <w:proofErr w:type="gramEnd"/>
      <w:r w:rsidRPr="00E56BD0">
        <w:t xml:space="preserve"> two of which were his fault. He also noted that</w:t>
      </w:r>
      <w:r>
        <w:t xml:space="preserve"> ‘</w:t>
      </w:r>
      <w:r w:rsidRPr="00E56BD0">
        <w:t>[a]t present, there are no points on his license.</w:t>
      </w:r>
      <w:r>
        <w:t>’</w:t>
      </w:r>
      <w:r w:rsidRPr="00E56BD0">
        <w:t xml:space="preserve"> He also took note of T.T.'s ADHD history but concluded that T.T. had improved: his </w:t>
      </w:r>
      <w:r>
        <w:t>‘</w:t>
      </w:r>
      <w:r w:rsidRPr="00E56BD0">
        <w:t>[t]</w:t>
      </w:r>
      <w:proofErr w:type="spellStart"/>
      <w:r w:rsidRPr="00E56BD0">
        <w:t>hought</w:t>
      </w:r>
      <w:proofErr w:type="spellEnd"/>
      <w:r w:rsidRPr="00E56BD0">
        <w:t xml:space="preserve"> processes were logical and coherent. There was no evidence of </w:t>
      </w:r>
    </w:p>
    <w:p w14:paraId="3F921A87" w14:textId="77777777" w:rsidR="005611CE" w:rsidRDefault="005611CE" w:rsidP="005611CE">
      <w:pPr>
        <w:pStyle w:val="NoSpacing"/>
      </w:pPr>
      <w:r w:rsidRPr="00E56BD0">
        <w:t>mental illness[,] . . . [and] [h]e is not currently taking medication for mental health problems.</w:t>
      </w:r>
      <w:r>
        <w:t>’</w:t>
      </w:r>
      <w:r w:rsidRPr="00E56BD0">
        <w:t xml:space="preserve"> Dr. Kanen considered T.T.'s prior employment history, including his past resignation in lieu of termination, and his prior evaluations, noting that he "failed [a prior] psychological evaluation" in 2021. The Township's assertion that Dr. Kanen failed to address the </w:t>
      </w:r>
      <w:proofErr w:type="gramStart"/>
      <w:r w:rsidRPr="00E56BD0">
        <w:t>concerning factual issues</w:t>
      </w:r>
      <w:proofErr w:type="gramEnd"/>
      <w:r w:rsidRPr="00E56BD0">
        <w:t xml:space="preserve"> is not supported by the record.</w:t>
      </w:r>
      <w:r>
        <w:t>’</w:t>
      </w:r>
    </w:p>
    <w:p w14:paraId="63107FFD" w14:textId="77777777" w:rsidR="005611CE" w:rsidRDefault="005611CE" w:rsidP="005611CE">
      <w:pPr>
        <w:pStyle w:val="NoSpacing"/>
      </w:pPr>
    </w:p>
    <w:p w14:paraId="0B0AE9AD" w14:textId="77777777" w:rsidR="005611CE" w:rsidRPr="0002184A" w:rsidRDefault="005611CE" w:rsidP="005611CE">
      <w:pPr>
        <w:pStyle w:val="NoSpacing"/>
        <w:rPr>
          <w:b/>
          <w:bCs/>
        </w:rPr>
      </w:pPr>
      <w:r>
        <w:rPr>
          <w:b/>
        </w:rPr>
        <w:t xml:space="preserve">Legal lesson learned:  The applicants passed two </w:t>
      </w:r>
      <w:proofErr w:type="gramStart"/>
      <w:r>
        <w:rPr>
          <w:b/>
        </w:rPr>
        <w:t>out</w:t>
      </w:r>
      <w:proofErr w:type="gramEnd"/>
      <w:r>
        <w:rPr>
          <w:b/>
        </w:rPr>
        <w:t xml:space="preserve"> three psychological exams. </w:t>
      </w:r>
    </w:p>
    <w:p w14:paraId="3CB34061" w14:textId="77777777" w:rsidR="005611CE" w:rsidRDefault="005611CE" w:rsidP="005611CE">
      <w:pPr>
        <w:pStyle w:val="NoSpacing"/>
      </w:pPr>
    </w:p>
    <w:p w14:paraId="43B99B5C" w14:textId="77777777" w:rsidR="005611CE" w:rsidRDefault="005611CE" w:rsidP="005611CE">
      <w:pPr>
        <w:pStyle w:val="NoSpacing"/>
        <w:rPr>
          <w:b/>
          <w:sz w:val="20"/>
          <w:szCs w:val="20"/>
        </w:rPr>
      </w:pPr>
    </w:p>
    <w:p w14:paraId="4289F542" w14:textId="77777777" w:rsidR="005611CE" w:rsidRDefault="005611CE" w:rsidP="005611CE">
      <w:pPr>
        <w:pStyle w:val="NoSpacing"/>
        <w:rPr>
          <w:b/>
          <w:sz w:val="20"/>
          <w:szCs w:val="20"/>
        </w:rPr>
      </w:pPr>
    </w:p>
    <w:p w14:paraId="4192C0D7" w14:textId="77777777" w:rsidR="005611CE" w:rsidRDefault="005611CE" w:rsidP="005611CE">
      <w:pPr>
        <w:pStyle w:val="NoSpacing"/>
        <w:rPr>
          <w:b/>
          <w:sz w:val="20"/>
          <w:szCs w:val="20"/>
        </w:rPr>
      </w:pPr>
    </w:p>
    <w:p w14:paraId="592C2819" w14:textId="77777777" w:rsidR="00A971EA" w:rsidRDefault="00A971EA" w:rsidP="004D70DC">
      <w:pPr>
        <w:pStyle w:val="NoSpacing"/>
        <w:rPr>
          <w:rFonts w:ascii="Arial Black" w:hAnsi="Arial Black"/>
          <w:sz w:val="24"/>
          <w:szCs w:val="24"/>
        </w:rPr>
      </w:pPr>
    </w:p>
    <w:p w14:paraId="606D1C31" w14:textId="77777777" w:rsidR="00A971EA" w:rsidRDefault="00A971EA" w:rsidP="004D70DC">
      <w:pPr>
        <w:pStyle w:val="NoSpacing"/>
        <w:rPr>
          <w:rFonts w:ascii="Arial Black" w:hAnsi="Arial Black"/>
          <w:sz w:val="24"/>
          <w:szCs w:val="24"/>
        </w:rPr>
      </w:pPr>
    </w:p>
    <w:p w14:paraId="1AAD5082" w14:textId="77777777" w:rsidR="00A971EA" w:rsidRDefault="00A971EA" w:rsidP="004D70DC">
      <w:pPr>
        <w:pStyle w:val="NoSpacing"/>
        <w:rPr>
          <w:rFonts w:ascii="Arial Black" w:hAnsi="Arial Black"/>
          <w:sz w:val="24"/>
          <w:szCs w:val="24"/>
        </w:rPr>
      </w:pPr>
    </w:p>
    <w:p w14:paraId="624B6688" w14:textId="54DF6EDF" w:rsidR="009330C5" w:rsidRDefault="00AD7E21" w:rsidP="004D70DC">
      <w:pPr>
        <w:pStyle w:val="NoSpacing"/>
        <w:rPr>
          <w:rFonts w:ascii="Arial Black" w:hAnsi="Arial Black"/>
          <w:sz w:val="24"/>
          <w:szCs w:val="24"/>
        </w:rPr>
      </w:pPr>
      <w:r>
        <w:rPr>
          <w:rFonts w:ascii="Arial Black" w:hAnsi="Arial Black"/>
          <w:sz w:val="24"/>
          <w:szCs w:val="24"/>
        </w:rPr>
        <w:t>15-53</w:t>
      </w:r>
      <w:r w:rsidR="001C15DD">
        <w:rPr>
          <w:rFonts w:ascii="Arial Black" w:hAnsi="Arial Black"/>
          <w:sz w:val="24"/>
          <w:szCs w:val="24"/>
        </w:rPr>
        <w:t xml:space="preserve"> [also filed, Chap. 9, ADA]</w:t>
      </w:r>
    </w:p>
    <w:p w14:paraId="262428C6" w14:textId="77777777" w:rsidR="001C15DD" w:rsidRDefault="001C15DD" w:rsidP="004D70DC">
      <w:pPr>
        <w:pStyle w:val="NoSpacing"/>
        <w:rPr>
          <w:rFonts w:ascii="Arial Black" w:hAnsi="Arial Black"/>
          <w:sz w:val="24"/>
          <w:szCs w:val="24"/>
        </w:rPr>
      </w:pPr>
    </w:p>
    <w:p w14:paraId="053DF54B" w14:textId="77777777" w:rsidR="00AD7E21" w:rsidRPr="00E60E4B" w:rsidRDefault="00AD7E21" w:rsidP="00AD7E21">
      <w:pPr>
        <w:rPr>
          <w:rFonts w:ascii="Arial Black" w:hAnsi="Arial Black"/>
          <w:b/>
          <w:sz w:val="28"/>
          <w:szCs w:val="28"/>
        </w:rPr>
      </w:pPr>
      <w:r>
        <w:rPr>
          <w:rFonts w:ascii="Arial Black" w:hAnsi="Arial Black"/>
          <w:b/>
          <w:sz w:val="28"/>
          <w:szCs w:val="28"/>
        </w:rPr>
        <w:t xml:space="preserve">KY: FIRE MARSHAL – NO MJ - SUICIDE ATTEMPT ADDERALL </w:t>
      </w:r>
    </w:p>
    <w:p w14:paraId="34F7FC5D" w14:textId="77777777" w:rsidR="00AD7E21" w:rsidRDefault="00AD7E21" w:rsidP="00AD7E21">
      <w:pPr>
        <w:pStyle w:val="NoSpacing"/>
      </w:pPr>
      <w:r>
        <w:t xml:space="preserve">On May 5, 2026, in </w:t>
      </w:r>
      <w:r w:rsidRPr="00BE6F41">
        <w:rPr>
          <w:u w:val="single"/>
        </w:rPr>
        <w:t>Joseph Wheeling v. City of Winchester</w:t>
      </w:r>
      <w:r>
        <w:t xml:space="preserve">, U.S. District Court Judge </w:t>
      </w:r>
      <w:r w:rsidRPr="003F4A5C">
        <w:t>Karen K. Caldwel</w:t>
      </w:r>
      <w:r>
        <w:t xml:space="preserve">, United States District Court for Eastern District of Kentucky, Central Division, Lexington, granted the City’s motion for summary judgment on his May 16, </w:t>
      </w:r>
      <w:proofErr w:type="gramStart"/>
      <w:r>
        <w:t>2023</w:t>
      </w:r>
      <w:proofErr w:type="gramEnd"/>
      <w:r>
        <w:t xml:space="preserve"> termination for breach of city’s drug policy - abuse of proscribed medication.  The Fire Marshal had taken FMLA leave </w:t>
      </w:r>
      <w:r w:rsidRPr="00D73A56">
        <w:t>June 22</w:t>
      </w:r>
      <w:r>
        <w:t>-</w:t>
      </w:r>
      <w:r w:rsidRPr="00D73A56">
        <w:t xml:space="preserve">25, 2022, </w:t>
      </w:r>
      <w:r>
        <w:t xml:space="preserve">for </w:t>
      </w:r>
      <w:r w:rsidRPr="00D73A56">
        <w:t>in-patient treatment at the International Association of Fire Fighters Center for Excellence</w:t>
      </w:r>
      <w:r>
        <w:t xml:space="preserve">, and upon return he was receiving treatment </w:t>
      </w:r>
      <w:r w:rsidRPr="00216F9E">
        <w:t>Bluegrass Behavioral Health and Consulting Services</w:t>
      </w:r>
      <w:r>
        <w:t xml:space="preserve">.  After a second FMLA, the </w:t>
      </w:r>
      <w:proofErr w:type="gramStart"/>
      <w:r>
        <w:t>City</w:t>
      </w:r>
      <w:proofErr w:type="gramEnd"/>
      <w:r>
        <w:t xml:space="preserve"> declined his return to work using proscribed marijuana, so he was proscribed Adderall.  He r</w:t>
      </w:r>
      <w:r w:rsidRPr="00724F86">
        <w:t>eturned to work on March 14, 2023</w:t>
      </w:r>
      <w:r>
        <w:t xml:space="preserve">; but on </w:t>
      </w:r>
      <w:r w:rsidRPr="00147A46">
        <w:t xml:space="preserve">March 31, 2023, Wheeling attempted suicide while at work by </w:t>
      </w:r>
      <w:r w:rsidRPr="00D600CD">
        <w:t>ingesting about 9 or 11 Adderall pills.</w:t>
      </w:r>
      <w:r>
        <w:t xml:space="preserve"> THE COURT WROTE: “</w:t>
      </w:r>
      <w:r w:rsidRPr="00835EAE">
        <w:t xml:space="preserve">Because the record conclusively reveals a nondiscriminatory reason for the termination, the </w:t>
      </w:r>
      <w:proofErr w:type="gramStart"/>
      <w:r w:rsidRPr="00835EAE">
        <w:t>City</w:t>
      </w:r>
      <w:proofErr w:type="gramEnd"/>
      <w:r w:rsidRPr="00835EAE">
        <w:t xml:space="preserve"> is entitled to summary judgment on the disability discrimination claim</w:t>
      </w:r>
      <w:r>
        <w:t xml:space="preserve">…. </w:t>
      </w:r>
      <w:r w:rsidRPr="00E60E4B">
        <w:t xml:space="preserve"> Here, the written job requirements, the undisputed testimony from Wheeling and his supervisors, and the duties inherent in being a first responder indicate that field inspections and fire prevention </w:t>
      </w:r>
      <w:proofErr w:type="gramStart"/>
      <w:r w:rsidRPr="00E60E4B">
        <w:t>is</w:t>
      </w:r>
      <w:proofErr w:type="gramEnd"/>
      <w:r w:rsidRPr="00E60E4B">
        <w:t xml:space="preserve"> essential to performing the Fire Marshal role. The </w:t>
      </w:r>
      <w:proofErr w:type="gramStart"/>
      <w:r w:rsidRPr="00E60E4B">
        <w:t>City</w:t>
      </w:r>
      <w:proofErr w:type="gramEnd"/>
      <w:r w:rsidRPr="00E60E4B">
        <w:t xml:space="preserve"> was not required to reassign Wheeling's fire inspection and prevention responsibilities to other employees</w:t>
      </w:r>
      <w:r>
        <w:t xml:space="preserve">…. </w:t>
      </w:r>
      <w:r w:rsidRPr="00E60E4B">
        <w:t xml:space="preserve">Therefore, based on the record, Wheeling's request to have other employees help with </w:t>
      </w:r>
      <w:r>
        <w:t>‘</w:t>
      </w:r>
      <w:r w:rsidRPr="00E60E4B">
        <w:t xml:space="preserve">fire </w:t>
      </w:r>
      <w:proofErr w:type="gramStart"/>
      <w:r w:rsidRPr="00E60E4B">
        <w:t>inspections</w:t>
      </w:r>
      <w:r>
        <w:t>’</w:t>
      </w:r>
      <w:r w:rsidRPr="00E60E4B">
        <w:t xml:space="preserve"> and </w:t>
      </w:r>
      <w:r>
        <w:t>‘</w:t>
      </w:r>
      <w:proofErr w:type="gramEnd"/>
      <w:r w:rsidRPr="00E60E4B">
        <w:t>fire prevention</w:t>
      </w:r>
      <w:r>
        <w:t xml:space="preserve">’ </w:t>
      </w:r>
      <w:r w:rsidRPr="00E60E4B">
        <w:t xml:space="preserve">seeks </w:t>
      </w:r>
      <w:proofErr w:type="gramStart"/>
      <w:r w:rsidRPr="00E60E4B">
        <w:t>an accommodation</w:t>
      </w:r>
      <w:proofErr w:type="gramEnd"/>
      <w:r w:rsidRPr="00E60E4B">
        <w:t xml:space="preserve"> relating to the most fundamental aspects of the job. On this evidence, no reasonable jury could conclude that Wheeling's accommodation request would not eliminate or reallocate the most essential functions of his job</w:t>
      </w:r>
      <w:r>
        <w:t xml:space="preserve">…. </w:t>
      </w:r>
      <w:r w:rsidRPr="00E60E4B">
        <w:t xml:space="preserve">Because Wheeling failed to provide a reasonable accommodation request, his failure to accommodate claim fails as a matter of </w:t>
      </w:r>
      <w:proofErr w:type="gramStart"/>
      <w:r w:rsidRPr="00E60E4B">
        <w:t>law.</w:t>
      </w:r>
      <w:r>
        <w:t>”</w:t>
      </w:r>
      <w:proofErr w:type="gramEnd"/>
      <w:r>
        <w:t xml:space="preserve"> </w:t>
      </w:r>
      <w:hyperlink r:id="rId2439" w:history="1">
        <w:r w:rsidRPr="00BC462E">
          <w:rPr>
            <w:rStyle w:val="Hyperlink"/>
          </w:rPr>
          <w:t>https://cases.justia.com/federal/district-courts/kentucky/kyedce/5:2024cv00129/104855/29/0.pdf?ts=1778093974</w:t>
        </w:r>
      </w:hyperlink>
      <w:r>
        <w:t xml:space="preserve"> </w:t>
      </w:r>
    </w:p>
    <w:p w14:paraId="28994584" w14:textId="77777777" w:rsidR="00AD7E21" w:rsidRDefault="00AD7E21" w:rsidP="00AD7E21">
      <w:pPr>
        <w:pStyle w:val="NoSpacing"/>
      </w:pPr>
    </w:p>
    <w:p w14:paraId="1B0CA89B" w14:textId="77777777" w:rsidR="00AD7E21" w:rsidRDefault="00AD7E21" w:rsidP="00AD7E21">
      <w:pPr>
        <w:pStyle w:val="NoSpacing"/>
      </w:pPr>
      <w:r>
        <w:t xml:space="preserve">THE COURT HELD: </w:t>
      </w:r>
    </w:p>
    <w:p w14:paraId="4FACF901" w14:textId="77777777" w:rsidR="00AD7E21" w:rsidRDefault="00AD7E21" w:rsidP="00AD7E21">
      <w:pPr>
        <w:pStyle w:val="NoSpacing"/>
      </w:pPr>
    </w:p>
    <w:p w14:paraId="39D98C22" w14:textId="77777777" w:rsidR="00AD7E21" w:rsidRDefault="00AD7E21" w:rsidP="00AD7E21">
      <w:pPr>
        <w:pStyle w:val="NoSpacing"/>
        <w:ind w:left="720"/>
      </w:pPr>
      <w:r>
        <w:t>“</w:t>
      </w:r>
      <w:r w:rsidRPr="00CF2083">
        <w:t>Wheeling identifies two potential accommodations that could have aided him in his employment: using medical marijuana and additional personnel to assist him in the office</w:t>
      </w:r>
      <w:r>
        <w:t xml:space="preserve">…. </w:t>
      </w:r>
      <w:r w:rsidRPr="006A2B36">
        <w:t xml:space="preserve">The City's letter explained </w:t>
      </w:r>
      <w:proofErr w:type="gramStart"/>
      <w:r w:rsidRPr="006A2B36">
        <w:t>that,</w:t>
      </w:r>
      <w:proofErr w:type="gramEnd"/>
      <w:r w:rsidRPr="006A2B36">
        <w:t xml:space="preserve"> </w:t>
      </w:r>
      <w:r>
        <w:t>‘</w:t>
      </w:r>
      <w:r w:rsidRPr="006A2B36">
        <w:t xml:space="preserve">[Wheeling's] position of employment with the </w:t>
      </w:r>
      <w:proofErr w:type="gramStart"/>
      <w:r w:rsidRPr="006A2B36">
        <w:t>City</w:t>
      </w:r>
      <w:proofErr w:type="gramEnd"/>
      <w:r w:rsidRPr="006A2B36">
        <w:t xml:space="preserve"> is a heightened safety awareness level position (HSAL) that involves exceptional duties to the community citizens in the area of public safety.</w:t>
      </w:r>
      <w:r>
        <w:t xml:space="preserve">’ …. </w:t>
      </w:r>
      <w:r w:rsidRPr="006A2B36">
        <w:t xml:space="preserve">Because of the heightened safety level required of his position, the </w:t>
      </w:r>
      <w:proofErr w:type="gramStart"/>
      <w:r w:rsidRPr="006A2B36">
        <w:t>City</w:t>
      </w:r>
      <w:proofErr w:type="gramEnd"/>
      <w:r w:rsidRPr="006A2B36">
        <w:t xml:space="preserve"> explicitly prohibited his use of medical marijuana. </w:t>
      </w:r>
    </w:p>
    <w:p w14:paraId="69E1B5FD" w14:textId="77777777" w:rsidR="00AD7E21" w:rsidRDefault="00AD7E21" w:rsidP="00AD7E21">
      <w:pPr>
        <w:pStyle w:val="NoSpacing"/>
        <w:ind w:left="720"/>
      </w:pPr>
    </w:p>
    <w:p w14:paraId="130F893F" w14:textId="77777777" w:rsidR="00AD7E21" w:rsidRDefault="00AD7E21" w:rsidP="00AD7E21">
      <w:pPr>
        <w:pStyle w:val="NoSpacing"/>
        <w:ind w:left="720"/>
      </w:pPr>
      <w:r>
        <w:t>***</w:t>
      </w:r>
    </w:p>
    <w:p w14:paraId="561103A9" w14:textId="77777777" w:rsidR="00AD7E21" w:rsidRDefault="00AD7E21" w:rsidP="00AD7E21">
      <w:pPr>
        <w:pStyle w:val="NoSpacing"/>
        <w:ind w:left="720"/>
      </w:pPr>
    </w:p>
    <w:p w14:paraId="65C65910" w14:textId="77777777" w:rsidR="00AD7E21" w:rsidRPr="00A43D41" w:rsidRDefault="00AD7E21" w:rsidP="00AD7E21">
      <w:pPr>
        <w:pStyle w:val="NoSpacing"/>
        <w:ind w:left="720"/>
      </w:pPr>
      <w:r w:rsidRPr="00A43D41">
        <w:t xml:space="preserve">Wheeling's healthcare provider responded with a March 1, </w:t>
      </w:r>
      <w:proofErr w:type="gramStart"/>
      <w:r w:rsidRPr="00A43D41">
        <w:t>2023, letter</w:t>
      </w:r>
      <w:proofErr w:type="gramEnd"/>
      <w:r w:rsidRPr="00A43D41">
        <w:t xml:space="preserve">: </w:t>
      </w:r>
    </w:p>
    <w:p w14:paraId="05539F85" w14:textId="77777777" w:rsidR="00AD7E21" w:rsidRDefault="00AD7E21" w:rsidP="00AD7E21">
      <w:pPr>
        <w:pStyle w:val="NoSpacing"/>
        <w:ind w:left="720" w:firstLine="720"/>
      </w:pPr>
    </w:p>
    <w:p w14:paraId="741B6996" w14:textId="77777777" w:rsidR="00AD7E21" w:rsidRPr="00A43D41" w:rsidRDefault="00AD7E21" w:rsidP="00AD7E21">
      <w:pPr>
        <w:pStyle w:val="NoSpacing"/>
        <w:ind w:left="1440"/>
      </w:pPr>
      <w:r w:rsidRPr="00A43D41">
        <w:t xml:space="preserve">This letter is to certify that Joseph Wheeling has been released to return to work effective immediately with the following accommodation(s): </w:t>
      </w:r>
    </w:p>
    <w:p w14:paraId="5AAE8924" w14:textId="77777777" w:rsidR="00AD7E21" w:rsidRPr="00A43D41" w:rsidRDefault="00AD7E21" w:rsidP="00AD7E21">
      <w:pPr>
        <w:pStyle w:val="NoSpacing"/>
        <w:ind w:left="1440"/>
      </w:pPr>
      <w:r w:rsidRPr="00A43D41">
        <w:t xml:space="preserve">• Scheduling flexibility to allow him to continue his medical treatment which includes weekly </w:t>
      </w:r>
      <w:proofErr w:type="spellStart"/>
      <w:r w:rsidRPr="00A43D41">
        <w:t>Spravato</w:t>
      </w:r>
      <w:proofErr w:type="spellEnd"/>
      <w:r w:rsidRPr="00A43D41">
        <w:t xml:space="preserve"> treatment and therapy. </w:t>
      </w:r>
    </w:p>
    <w:p w14:paraId="74D00869" w14:textId="77777777" w:rsidR="00AD7E21" w:rsidRPr="00A43D41" w:rsidRDefault="00AD7E21" w:rsidP="00AD7E21">
      <w:pPr>
        <w:pStyle w:val="NoSpacing"/>
        <w:ind w:left="1440"/>
      </w:pPr>
      <w:r w:rsidRPr="00A43D41">
        <w:t xml:space="preserve">Please note that additional </w:t>
      </w:r>
      <w:proofErr w:type="gramStart"/>
      <w:r w:rsidRPr="00A43D41">
        <w:t>accommodations</w:t>
      </w:r>
      <w:proofErr w:type="gramEnd"/>
      <w:r w:rsidRPr="00A43D41">
        <w:t xml:space="preserve"> may be required in the future and are dependent on progress/status. </w:t>
      </w:r>
    </w:p>
    <w:p w14:paraId="6BDF9848" w14:textId="77777777" w:rsidR="00AD7E21" w:rsidRPr="00A43D41" w:rsidRDefault="00AD7E21" w:rsidP="00AD7E21">
      <w:pPr>
        <w:pStyle w:val="NoSpacing"/>
        <w:ind w:left="1440"/>
      </w:pPr>
      <w:r w:rsidRPr="00A43D41">
        <w:t xml:space="preserve">Please note that it is felt that the </w:t>
      </w:r>
      <w:proofErr w:type="gramStart"/>
      <w:r w:rsidRPr="00A43D41">
        <w:t>above mentioned</w:t>
      </w:r>
      <w:proofErr w:type="gramEnd"/>
      <w:r w:rsidRPr="00A43D41">
        <w:t xml:space="preserve"> is capable of safely performing the required functions of his job while taking his current prescribed medications: </w:t>
      </w:r>
      <w:proofErr w:type="spellStart"/>
      <w:r w:rsidRPr="00A43D41">
        <w:t>Spravato</w:t>
      </w:r>
      <w:proofErr w:type="spellEnd"/>
      <w:r w:rsidRPr="00A43D41">
        <w:t xml:space="preserve"> (administered in office, once weekly, and Clonazepam 0.5mg twice daily as needed. </w:t>
      </w:r>
    </w:p>
    <w:p w14:paraId="7BE1F0F9" w14:textId="77777777" w:rsidR="00AD7E21" w:rsidRDefault="00AD7E21" w:rsidP="00AD7E21">
      <w:pPr>
        <w:pStyle w:val="NoSpacing"/>
        <w:ind w:left="720"/>
      </w:pPr>
    </w:p>
    <w:p w14:paraId="25E6732D" w14:textId="77777777" w:rsidR="00AD7E21" w:rsidRDefault="00AD7E21" w:rsidP="00AD7E21">
      <w:pPr>
        <w:pStyle w:val="NoSpacing"/>
        <w:ind w:left="720"/>
      </w:pPr>
      <w:r w:rsidRPr="00077FEA">
        <w:t xml:space="preserve">After </w:t>
      </w:r>
      <w:proofErr w:type="gramStart"/>
      <w:r w:rsidRPr="00077FEA">
        <w:t>receipt of</w:t>
      </w:r>
      <w:proofErr w:type="gramEnd"/>
      <w:r w:rsidRPr="00077FEA">
        <w:t xml:space="preserve"> the letter, the City confirmed that the proposed treatment plan complied with its policies.</w:t>
      </w:r>
    </w:p>
    <w:p w14:paraId="14DD3C6C" w14:textId="77777777" w:rsidR="00AD7E21" w:rsidRDefault="00AD7E21" w:rsidP="00AD7E21">
      <w:pPr>
        <w:pStyle w:val="NoSpacing"/>
        <w:ind w:left="720"/>
      </w:pPr>
    </w:p>
    <w:p w14:paraId="0663C21F" w14:textId="77777777" w:rsidR="00AD7E21" w:rsidRDefault="00AD7E21" w:rsidP="00AD7E21">
      <w:pPr>
        <w:pStyle w:val="NoSpacing"/>
        <w:ind w:left="720"/>
      </w:pPr>
      <w:r>
        <w:t>***</w:t>
      </w:r>
    </w:p>
    <w:p w14:paraId="3C1ACC4B" w14:textId="77777777" w:rsidR="00AD7E21" w:rsidRDefault="00AD7E21" w:rsidP="00AD7E21">
      <w:pPr>
        <w:pStyle w:val="NoSpacing"/>
        <w:ind w:left="720"/>
      </w:pPr>
      <w:r w:rsidRPr="00746CE2">
        <w:t xml:space="preserve">The </w:t>
      </w:r>
      <w:proofErr w:type="gramStart"/>
      <w:r w:rsidRPr="00746CE2">
        <w:t>City</w:t>
      </w:r>
      <w:proofErr w:type="gramEnd"/>
      <w:r w:rsidRPr="00746CE2">
        <w:t xml:space="preserve"> was not required to reassign Wheeling's fire inspection and prevention responsibilities to other employees</w:t>
      </w:r>
      <w:r>
        <w:t xml:space="preserve">…. </w:t>
      </w:r>
      <w:r w:rsidRPr="00746CE2">
        <w:t xml:space="preserve">Therefore, based on the record, Wheeling's request to have other employees help with </w:t>
      </w:r>
      <w:r>
        <w:t>‘</w:t>
      </w:r>
      <w:r w:rsidRPr="00746CE2">
        <w:t xml:space="preserve">fire </w:t>
      </w:r>
      <w:proofErr w:type="gramStart"/>
      <w:r w:rsidRPr="00746CE2">
        <w:t>inspections</w:t>
      </w:r>
      <w:r>
        <w:t>’</w:t>
      </w:r>
      <w:r w:rsidRPr="00746CE2">
        <w:t xml:space="preserve"> and </w:t>
      </w:r>
      <w:r>
        <w:t>‘</w:t>
      </w:r>
      <w:proofErr w:type="gramEnd"/>
      <w:r w:rsidRPr="00746CE2">
        <w:t>fire prevention</w:t>
      </w:r>
      <w:r>
        <w:t>’</w:t>
      </w:r>
      <w:r w:rsidRPr="00746CE2">
        <w:t xml:space="preserve"> seeks </w:t>
      </w:r>
      <w:proofErr w:type="gramStart"/>
      <w:r w:rsidRPr="00746CE2">
        <w:t>an accommodation</w:t>
      </w:r>
      <w:proofErr w:type="gramEnd"/>
      <w:r w:rsidRPr="00746CE2">
        <w:t xml:space="preserve"> relating to the most fundamental aspects of the job. On this evidence, no reasonable jury could conclude that Wheeling's accommodation request would not eliminate or reallocate the most essential functions of his job</w:t>
      </w:r>
      <w:r>
        <w:t xml:space="preserve">…. </w:t>
      </w:r>
      <w:r w:rsidRPr="00746CE2">
        <w:t xml:space="preserve">Because Wheeling failed to provide a reasonable accommodation request, his failure to accommodate claim fails as a matter of </w:t>
      </w:r>
      <w:proofErr w:type="gramStart"/>
      <w:r w:rsidRPr="00746CE2">
        <w:t>law.</w:t>
      </w:r>
      <w:r>
        <w:t>”</w:t>
      </w:r>
      <w:proofErr w:type="gramEnd"/>
    </w:p>
    <w:p w14:paraId="6B1C3974" w14:textId="77777777" w:rsidR="00AD7E21" w:rsidRDefault="00AD7E21" w:rsidP="00AD7E21">
      <w:pPr>
        <w:pStyle w:val="NoSpacing"/>
        <w:ind w:left="720"/>
      </w:pPr>
    </w:p>
    <w:p w14:paraId="34D4F9AC" w14:textId="77777777" w:rsidR="00AD7E21" w:rsidRDefault="00AD7E21" w:rsidP="00AD7E21">
      <w:pPr>
        <w:pStyle w:val="NoSpacing"/>
        <w:rPr>
          <w:b/>
          <w:bCs/>
        </w:rPr>
      </w:pPr>
      <w:r>
        <w:rPr>
          <w:b/>
        </w:rPr>
        <w:t xml:space="preserve">Legal lesson learned: The ADA does not require an employer to allow use of proscribed marijuana for an emergency responder. </w:t>
      </w:r>
    </w:p>
    <w:p w14:paraId="697B0FED" w14:textId="77777777" w:rsidR="00AD7E21" w:rsidRDefault="00AD7E21" w:rsidP="00AD7E21">
      <w:pPr>
        <w:pStyle w:val="NoSpacing"/>
        <w:rPr>
          <w:b/>
          <w:bCs/>
        </w:rPr>
      </w:pPr>
    </w:p>
    <w:p w14:paraId="311EEC23" w14:textId="77777777" w:rsidR="00AD7E21" w:rsidRPr="00CC791A" w:rsidRDefault="00AD7E21" w:rsidP="00AD7E21">
      <w:pPr>
        <w:pStyle w:val="NoSpacing"/>
        <w:ind w:left="720"/>
      </w:pPr>
      <w:r w:rsidRPr="00CC791A">
        <w:t>Note: Good news. The Court wrote that “Wheeling is currently employed at the Clark County Fire Department, which is also where he began his career as a firefighter in 2008.”</w:t>
      </w:r>
    </w:p>
    <w:p w14:paraId="68E3C65E" w14:textId="77777777" w:rsidR="00AD7E21" w:rsidRDefault="00AD7E21" w:rsidP="004D70DC">
      <w:pPr>
        <w:pStyle w:val="NoSpacing"/>
        <w:rPr>
          <w:rFonts w:ascii="Arial Black" w:hAnsi="Arial Black"/>
          <w:sz w:val="24"/>
          <w:szCs w:val="24"/>
        </w:rPr>
      </w:pPr>
    </w:p>
    <w:p w14:paraId="58A20E15" w14:textId="77777777" w:rsidR="009330C5" w:rsidRDefault="009330C5" w:rsidP="004D70DC">
      <w:pPr>
        <w:pStyle w:val="NoSpacing"/>
        <w:rPr>
          <w:rFonts w:ascii="Arial Black" w:hAnsi="Arial Black"/>
          <w:sz w:val="24"/>
          <w:szCs w:val="24"/>
        </w:rPr>
      </w:pPr>
    </w:p>
    <w:p w14:paraId="7C5BA53C" w14:textId="77777777" w:rsidR="009330C5" w:rsidRDefault="009330C5" w:rsidP="004D70DC">
      <w:pPr>
        <w:pStyle w:val="NoSpacing"/>
        <w:rPr>
          <w:rFonts w:ascii="Arial Black" w:hAnsi="Arial Black"/>
          <w:sz w:val="24"/>
          <w:szCs w:val="24"/>
        </w:rPr>
      </w:pPr>
    </w:p>
    <w:p w14:paraId="164A4EB6" w14:textId="5C030ECD" w:rsidR="004D70DC" w:rsidRDefault="004D70DC" w:rsidP="004D70DC">
      <w:pPr>
        <w:pStyle w:val="NoSpacing"/>
        <w:rPr>
          <w:rFonts w:ascii="Arial Black" w:hAnsi="Arial Black"/>
          <w:sz w:val="24"/>
          <w:szCs w:val="24"/>
        </w:rPr>
      </w:pPr>
      <w:r>
        <w:rPr>
          <w:rFonts w:ascii="Arial Black" w:hAnsi="Arial Black"/>
          <w:sz w:val="24"/>
          <w:szCs w:val="24"/>
        </w:rPr>
        <w:t>15-52</w:t>
      </w:r>
      <w:r w:rsidR="003E35D8">
        <w:rPr>
          <w:rFonts w:ascii="Arial Black" w:hAnsi="Arial Black"/>
          <w:sz w:val="24"/>
          <w:szCs w:val="24"/>
        </w:rPr>
        <w:t xml:space="preserve"> [also filed, Chap. 9 – ADA]</w:t>
      </w:r>
    </w:p>
    <w:p w14:paraId="5566CD44" w14:textId="77777777" w:rsidR="004D70DC" w:rsidRDefault="004D70DC" w:rsidP="00073CC7">
      <w:pPr>
        <w:pStyle w:val="NoSpacing"/>
        <w:rPr>
          <w:rFonts w:ascii="Arial Black" w:hAnsi="Arial Black"/>
          <w:sz w:val="28"/>
          <w:szCs w:val="28"/>
        </w:rPr>
      </w:pPr>
    </w:p>
    <w:p w14:paraId="2F7BA50A" w14:textId="63DD979F" w:rsidR="00073CC7" w:rsidRDefault="00073CC7" w:rsidP="00073CC7">
      <w:pPr>
        <w:pStyle w:val="NoSpacing"/>
        <w:rPr>
          <w:rFonts w:ascii="Arial Black" w:hAnsi="Arial Black"/>
          <w:bCs/>
          <w:sz w:val="28"/>
          <w:szCs w:val="28"/>
        </w:rPr>
      </w:pPr>
      <w:r>
        <w:rPr>
          <w:rFonts w:ascii="Arial Black" w:hAnsi="Arial Black"/>
          <w:sz w:val="28"/>
          <w:szCs w:val="28"/>
        </w:rPr>
        <w:t>MD: DEPRESSION – SLOWER STATION – CASE PROCEED</w:t>
      </w:r>
    </w:p>
    <w:p w14:paraId="35772BD4" w14:textId="77777777" w:rsidR="00073CC7" w:rsidRDefault="00073CC7" w:rsidP="00073CC7">
      <w:pPr>
        <w:pStyle w:val="NoSpacing"/>
        <w:rPr>
          <w:rFonts w:ascii="Arial Black" w:hAnsi="Arial Black"/>
          <w:bCs/>
          <w:sz w:val="28"/>
          <w:szCs w:val="28"/>
        </w:rPr>
      </w:pPr>
    </w:p>
    <w:p w14:paraId="37D92A86" w14:textId="77777777" w:rsidR="00073CC7" w:rsidRDefault="00073CC7" w:rsidP="00073CC7">
      <w:pPr>
        <w:pStyle w:val="NoSpacing"/>
      </w:pPr>
      <w:r>
        <w:t xml:space="preserve">On April 28, 2025, in </w:t>
      </w:r>
      <w:r w:rsidRPr="00636B1D">
        <w:rPr>
          <w:u w:val="single"/>
        </w:rPr>
        <w:t xml:space="preserve">Mark R. Levy v. Howard County, Maryland and Howard County Fire </w:t>
      </w:r>
      <w:proofErr w:type="gramStart"/>
      <w:r w:rsidRPr="00636B1D">
        <w:rPr>
          <w:u w:val="single"/>
        </w:rPr>
        <w:t>And</w:t>
      </w:r>
      <w:proofErr w:type="gramEnd"/>
      <w:r w:rsidRPr="00636B1D">
        <w:rPr>
          <w:u w:val="single"/>
        </w:rPr>
        <w:t xml:space="preserve"> Rescue,</w:t>
      </w:r>
      <w:r>
        <w:t xml:space="preserve"> U.S. Senior District Court Judge </w:t>
      </w:r>
      <w:r w:rsidRPr="000725BC">
        <w:t>Richard D. Bennett</w:t>
      </w:r>
      <w:r>
        <w:t xml:space="preserve">, United States District Court for the District of Maryland, denied plaintiff’s motion for pre-trial </w:t>
      </w:r>
      <w:r w:rsidRPr="00467BB4">
        <w:t>declaratory</w:t>
      </w:r>
      <w:r>
        <w:t xml:space="preserve"> judgement; case will proceed with pre-trial discovery. The firefighter / paramedic has </w:t>
      </w:r>
      <w:r w:rsidRPr="004765D7">
        <w:t>been diagnosed with anxiety and depression since 2002</w:t>
      </w:r>
      <w:r>
        <w:t>; the case will proceed with pre-trial discovery.  The Court wrote: “</w:t>
      </w:r>
      <w:r w:rsidRPr="00832DBD">
        <w:t>To be clear, it is Levy's burden in this case of proving that he is a qualified individual with a disability and that, with a reasonable accommodation, he would be able to properly do the job of a Fire Fighter/Paramedic at Station 3.</w:t>
      </w:r>
      <w:r>
        <w:t xml:space="preserve">”  </w:t>
      </w:r>
      <w:hyperlink r:id="rId2440" w:history="1">
        <w:r w:rsidRPr="003A1948">
          <w:rPr>
            <w:rStyle w:val="Hyperlink"/>
          </w:rPr>
          <w:t>https://cases.justia.com/federal/district-courts/maryland/mddce/1:2024cv03580/573207/56/0.pdf?ts=1777474810</w:t>
        </w:r>
      </w:hyperlink>
      <w:r>
        <w:t xml:space="preserve"> </w:t>
      </w:r>
    </w:p>
    <w:p w14:paraId="21412D99" w14:textId="77777777" w:rsidR="00073CC7" w:rsidRDefault="00073CC7" w:rsidP="00073CC7">
      <w:pPr>
        <w:pStyle w:val="NoSpacing"/>
      </w:pPr>
    </w:p>
    <w:p w14:paraId="5C7F1508" w14:textId="77777777" w:rsidR="00073CC7" w:rsidRDefault="00073CC7" w:rsidP="00073CC7">
      <w:pPr>
        <w:pStyle w:val="NoSpacing"/>
      </w:pPr>
      <w:r>
        <w:t xml:space="preserve">THE COURT HELD: </w:t>
      </w:r>
    </w:p>
    <w:p w14:paraId="1256B491" w14:textId="77777777" w:rsidR="00073CC7" w:rsidRDefault="00073CC7" w:rsidP="00073CC7">
      <w:pPr>
        <w:pStyle w:val="NoSpacing"/>
      </w:pPr>
    </w:p>
    <w:p w14:paraId="2359DE4B" w14:textId="77777777" w:rsidR="00073CC7" w:rsidRDefault="00073CC7" w:rsidP="00073CC7">
      <w:pPr>
        <w:pStyle w:val="NoSpacing"/>
        <w:ind w:left="720"/>
      </w:pPr>
      <w:r>
        <w:t>“</w:t>
      </w:r>
      <w:r w:rsidRPr="004765D7">
        <w:t>Plaintiff Mark R. Levy has been employed as a Fire Fighter/Paramedic with Defendant Howard County Department of Fire and Rescue Services since October 31, 2016</w:t>
      </w:r>
      <w:r>
        <w:t xml:space="preserve">…. </w:t>
      </w:r>
      <w:r w:rsidRPr="004765D7">
        <w:t>Levy alleges that he has been diagnosed with anxiety and depression since 2002</w:t>
      </w:r>
      <w:r>
        <w:t xml:space="preserve">…. </w:t>
      </w:r>
      <w:r w:rsidRPr="004765D7">
        <w:t xml:space="preserve">As of December 8, 2025, the date Levy filed his First Amended Complaint in this Court, he was assigned to B Shift at Station 3, which is within Battalion 3 of the Howard County Department </w:t>
      </w:r>
      <w:r w:rsidRPr="004765D7">
        <w:lastRenderedPageBreak/>
        <w:t>of Fire and Rescue Services</w:t>
      </w:r>
      <w:r>
        <w:t xml:space="preserve">…. </w:t>
      </w:r>
      <w:r w:rsidRPr="0026656C">
        <w:t>Station 3 is located at 12535 Old Frederick Road in Sykesville, Maryland</w:t>
      </w:r>
      <w:r>
        <w:t xml:space="preserve">…. </w:t>
      </w:r>
      <w:r w:rsidRPr="004765D7">
        <w:t>He asserts that Station 3 has a lower call volume in comparison to other stations within the battalion</w:t>
      </w:r>
      <w:r>
        <w:t xml:space="preserve">…. </w:t>
      </w:r>
      <w:r w:rsidRPr="004765D7">
        <w:t xml:space="preserve">He claims that this lower call volume is the optimal assignment for him to be able to manage his mental health. </w:t>
      </w:r>
    </w:p>
    <w:p w14:paraId="49B19EE4" w14:textId="77777777" w:rsidR="00073CC7" w:rsidRDefault="00073CC7" w:rsidP="00073CC7">
      <w:pPr>
        <w:pStyle w:val="NoSpacing"/>
        <w:ind w:left="720"/>
      </w:pPr>
    </w:p>
    <w:p w14:paraId="3E295AC8" w14:textId="77777777" w:rsidR="00073CC7" w:rsidRDefault="00073CC7" w:rsidP="00073CC7">
      <w:pPr>
        <w:pStyle w:val="NoSpacing"/>
        <w:ind w:left="720"/>
      </w:pPr>
      <w:r>
        <w:t>***</w:t>
      </w:r>
    </w:p>
    <w:p w14:paraId="538C8F36" w14:textId="77777777" w:rsidR="00073CC7" w:rsidRDefault="00073CC7" w:rsidP="00073CC7">
      <w:pPr>
        <w:pStyle w:val="NoSpacing"/>
        <w:ind w:left="720"/>
      </w:pPr>
      <w:r w:rsidRPr="00A26479">
        <w:t>Levy alleges that, on multiple different occasions in 2022, he was reassigned from Station 3 to other stations within Battalion 3</w:t>
      </w:r>
      <w:r>
        <w:t xml:space="preserve">…. </w:t>
      </w:r>
      <w:r w:rsidRPr="00A26479">
        <w:t>Each time, the Department apparently denied his requests to remain at Station 3</w:t>
      </w:r>
      <w:r>
        <w:t xml:space="preserve">…. </w:t>
      </w:r>
      <w:r w:rsidRPr="00A26479">
        <w:t>Levy claims that the Department determined, without engaging in any interactive process, that he did not need a reasonable accommodation</w:t>
      </w:r>
      <w:r>
        <w:t>….</w:t>
      </w:r>
      <w:r w:rsidRPr="00A26479">
        <w:t xml:space="preserve"> Ultimately, after multiple reassignments, Levy was placed at Station 3 under a Temporary Hardship Request</w:t>
      </w:r>
      <w:r>
        <w:t xml:space="preserve">…. </w:t>
      </w:r>
      <w:r w:rsidRPr="00A26479">
        <w:t xml:space="preserve">He contends that the Temporary Hardship Request was </w:t>
      </w:r>
      <w:r>
        <w:t>‘</w:t>
      </w:r>
      <w:r w:rsidRPr="00A26479">
        <w:t>wholly improper and simply an attempt by Defendants to circumvent</w:t>
      </w:r>
      <w:r>
        <w:t xml:space="preserve">’ </w:t>
      </w:r>
      <w:r w:rsidRPr="00A26479">
        <w:t xml:space="preserve"> the ADA's accommodation obligations</w:t>
      </w:r>
      <w:r>
        <w:t xml:space="preserve">…. </w:t>
      </w:r>
      <w:r w:rsidRPr="00A26479">
        <w:t>From the face of the First Amended Complaint, Levy continues to work as a Fire Fighter/Paramedic for the Department.</w:t>
      </w:r>
    </w:p>
    <w:p w14:paraId="525EDB50" w14:textId="77777777" w:rsidR="00073CC7" w:rsidRDefault="00073CC7" w:rsidP="00073CC7">
      <w:pPr>
        <w:pStyle w:val="NoSpacing"/>
        <w:ind w:left="720"/>
      </w:pPr>
    </w:p>
    <w:p w14:paraId="1C107DF5" w14:textId="77777777" w:rsidR="00073CC7" w:rsidRDefault="00073CC7" w:rsidP="00073CC7">
      <w:pPr>
        <w:pStyle w:val="NoSpacing"/>
        <w:ind w:left="720"/>
      </w:pPr>
      <w:r>
        <w:t>***</w:t>
      </w:r>
    </w:p>
    <w:p w14:paraId="3FBCD714" w14:textId="77777777" w:rsidR="00073CC7" w:rsidRDefault="00073CC7" w:rsidP="00073CC7">
      <w:pPr>
        <w:pStyle w:val="NoSpacing"/>
        <w:ind w:left="720"/>
      </w:pPr>
      <w:r w:rsidRPr="00BA13D8">
        <w:t xml:space="preserve">As noted above, Levy seeks declarations in Count Four that (1) he is a qualified individual with a disability; (2) that he can perform the essential functions of his job with a reasonable accommodation; (3) that Defendants have an obligation to engage in the ADA's interactive process with him and explore reasonable alternatives; and (4) that Defendants have an obligation to grant him a reasonable accommodation. </w:t>
      </w:r>
    </w:p>
    <w:p w14:paraId="4A93E126" w14:textId="77777777" w:rsidR="00073CC7" w:rsidRDefault="00073CC7" w:rsidP="00073CC7">
      <w:pPr>
        <w:pStyle w:val="NoSpacing"/>
        <w:ind w:left="720"/>
      </w:pPr>
    </w:p>
    <w:p w14:paraId="26314234" w14:textId="77777777" w:rsidR="00073CC7" w:rsidRDefault="00073CC7" w:rsidP="00073CC7">
      <w:pPr>
        <w:pStyle w:val="NoSpacing"/>
        <w:ind w:left="720"/>
      </w:pPr>
      <w:r>
        <w:t>***</w:t>
      </w:r>
    </w:p>
    <w:p w14:paraId="4AC57EBC" w14:textId="77777777" w:rsidR="00073CC7" w:rsidRDefault="00073CC7" w:rsidP="00073CC7">
      <w:pPr>
        <w:pStyle w:val="NoSpacing"/>
        <w:ind w:left="720"/>
      </w:pPr>
      <w:r w:rsidRPr="004A2357">
        <w:t xml:space="preserve">Again, it is Levy's burden to prove that he was entitled to the ADA's interactive process and, ultimately, </w:t>
      </w:r>
      <w:proofErr w:type="gramStart"/>
      <w:r w:rsidRPr="004A2357">
        <w:t>a reasonable</w:t>
      </w:r>
      <w:proofErr w:type="gramEnd"/>
      <w:r w:rsidRPr="004A2357">
        <w:t xml:space="preserve"> accommodation.</w:t>
      </w:r>
      <w:r>
        <w:rPr>
          <w:vertAlign w:val="superscript"/>
        </w:rPr>
        <w:t xml:space="preserve"> </w:t>
      </w:r>
      <w:r w:rsidRPr="004A2357">
        <w:t xml:space="preserve"> In sum, the four declarations that Levy requests in Count Four render that claim duplicative of Count One.</w:t>
      </w:r>
      <w:r>
        <w:t>”</w:t>
      </w:r>
    </w:p>
    <w:p w14:paraId="159BD4D5" w14:textId="77777777" w:rsidR="00073CC7" w:rsidRDefault="00073CC7" w:rsidP="00073CC7">
      <w:pPr>
        <w:pStyle w:val="NoSpacing"/>
        <w:ind w:left="720"/>
      </w:pPr>
    </w:p>
    <w:p w14:paraId="16409D63" w14:textId="77777777" w:rsidR="00073CC7" w:rsidRPr="004A2357" w:rsidRDefault="00073CC7" w:rsidP="00073CC7">
      <w:pPr>
        <w:rPr>
          <w:b/>
          <w:bCs/>
        </w:rPr>
      </w:pPr>
      <w:r>
        <w:rPr>
          <w:b/>
        </w:rPr>
        <w:t>Legal lesson learned: The firefighter has burden of proof in this ADA case; permanent assignment to a slower station is a unique request for “reasonable accommodation.”</w:t>
      </w:r>
    </w:p>
    <w:p w14:paraId="00192D29" w14:textId="77777777" w:rsidR="00116265" w:rsidRDefault="00116265" w:rsidP="000C4DF5">
      <w:pPr>
        <w:pStyle w:val="NoSpacing"/>
        <w:rPr>
          <w:rFonts w:ascii="Arial Black" w:hAnsi="Arial Black"/>
          <w:sz w:val="24"/>
          <w:szCs w:val="24"/>
        </w:rPr>
      </w:pPr>
    </w:p>
    <w:p w14:paraId="614A862A" w14:textId="77777777" w:rsidR="00073CC7" w:rsidRDefault="00073CC7" w:rsidP="00C143F8">
      <w:pPr>
        <w:pStyle w:val="NoSpacing"/>
        <w:rPr>
          <w:rFonts w:ascii="Arial Black" w:hAnsi="Arial Black"/>
          <w:b/>
          <w:sz w:val="28"/>
          <w:szCs w:val="28"/>
        </w:rPr>
      </w:pPr>
    </w:p>
    <w:p w14:paraId="32235DA2" w14:textId="77777777" w:rsidR="004D70DC" w:rsidRDefault="004D70DC" w:rsidP="004D70DC">
      <w:pPr>
        <w:pStyle w:val="NoSpacing"/>
        <w:rPr>
          <w:rFonts w:ascii="Arial Black" w:hAnsi="Arial Black"/>
          <w:sz w:val="24"/>
          <w:szCs w:val="24"/>
        </w:rPr>
      </w:pPr>
    </w:p>
    <w:p w14:paraId="67DF0229" w14:textId="026BE2FD" w:rsidR="004D70DC" w:rsidRDefault="004D70DC" w:rsidP="004D70DC">
      <w:pPr>
        <w:pStyle w:val="NoSpacing"/>
        <w:rPr>
          <w:rFonts w:ascii="Arial Black" w:hAnsi="Arial Black"/>
          <w:sz w:val="24"/>
          <w:szCs w:val="24"/>
        </w:rPr>
      </w:pPr>
      <w:r>
        <w:rPr>
          <w:rFonts w:ascii="Arial Black" w:hAnsi="Arial Black"/>
          <w:sz w:val="24"/>
          <w:szCs w:val="24"/>
        </w:rPr>
        <w:t>15-51</w:t>
      </w:r>
      <w:r w:rsidR="00BC4752">
        <w:rPr>
          <w:rFonts w:ascii="Arial Black" w:hAnsi="Arial Black"/>
          <w:sz w:val="24"/>
          <w:szCs w:val="24"/>
        </w:rPr>
        <w:t xml:space="preserve">  [also filed, Chap. 9, ADA]</w:t>
      </w:r>
    </w:p>
    <w:p w14:paraId="3015DCA7" w14:textId="77777777" w:rsidR="00073CC7" w:rsidRDefault="00073CC7" w:rsidP="00C143F8">
      <w:pPr>
        <w:pStyle w:val="NoSpacing"/>
        <w:rPr>
          <w:rFonts w:ascii="Arial Black" w:hAnsi="Arial Black"/>
          <w:b/>
          <w:sz w:val="28"/>
          <w:szCs w:val="28"/>
        </w:rPr>
      </w:pPr>
    </w:p>
    <w:p w14:paraId="1F2026C2" w14:textId="77777777" w:rsidR="00073CC7" w:rsidRDefault="00073CC7" w:rsidP="00C143F8">
      <w:pPr>
        <w:pStyle w:val="NoSpacing"/>
        <w:rPr>
          <w:rFonts w:ascii="Arial Black" w:hAnsi="Arial Black"/>
          <w:b/>
          <w:sz w:val="28"/>
          <w:szCs w:val="28"/>
        </w:rPr>
      </w:pPr>
    </w:p>
    <w:p w14:paraId="3964AC7F" w14:textId="51BEC88A" w:rsidR="00C143F8" w:rsidRDefault="00C143F8" w:rsidP="00C143F8">
      <w:pPr>
        <w:pStyle w:val="NoSpacing"/>
        <w:rPr>
          <w:rFonts w:ascii="Arial Black" w:hAnsi="Arial Black"/>
          <w:b/>
          <w:sz w:val="28"/>
          <w:szCs w:val="28"/>
        </w:rPr>
      </w:pPr>
      <w:r>
        <w:rPr>
          <w:rFonts w:ascii="Arial Black" w:hAnsi="Arial Black"/>
          <w:b/>
          <w:sz w:val="28"/>
          <w:szCs w:val="28"/>
        </w:rPr>
        <w:t xml:space="preserve">TX: ASSISTANT CHIEF – PTSD – NOT RIGHT INDEF. LEAVE </w:t>
      </w:r>
    </w:p>
    <w:p w14:paraId="663A5AE7" w14:textId="77777777" w:rsidR="00C143F8" w:rsidRDefault="00C143F8" w:rsidP="00C143F8">
      <w:pPr>
        <w:pStyle w:val="NoSpacing"/>
        <w:rPr>
          <w:rFonts w:ascii="Arial Black" w:hAnsi="Arial Black"/>
          <w:b/>
          <w:sz w:val="28"/>
          <w:szCs w:val="28"/>
        </w:rPr>
      </w:pPr>
    </w:p>
    <w:p w14:paraId="67BE36CB" w14:textId="77777777" w:rsidR="00C143F8" w:rsidRDefault="00C143F8" w:rsidP="00C143F8">
      <w:pPr>
        <w:pStyle w:val="NoSpacing"/>
        <w:rPr>
          <w:b/>
        </w:rPr>
      </w:pPr>
      <w:r>
        <w:t xml:space="preserve">On April 8, 2026, in </w:t>
      </w:r>
      <w:r w:rsidRPr="003A1915">
        <w:rPr>
          <w:u w:val="single"/>
        </w:rPr>
        <w:t>Cameron Kramer v. City of Frisco, Texas</w:t>
      </w:r>
      <w:r>
        <w:t xml:space="preserve">, the </w:t>
      </w:r>
      <w:r w:rsidRPr="003A1915">
        <w:t>Court of Appeals of Texas, Twelfth District, Tyler</w:t>
      </w:r>
      <w:r>
        <w:t xml:space="preserve"> held (3 to 0) that trial court properly granted summary judgment to the City since the Assistant Chief never able to provide a </w:t>
      </w:r>
      <w:r w:rsidRPr="006D408F">
        <w:t xml:space="preserve">psychological </w:t>
      </w:r>
      <w:r w:rsidRPr="008C5C09">
        <w:t>clearance</w:t>
      </w:r>
      <w:r>
        <w:t xml:space="preserve"> to return to work and indefinite leave is not a reasonable accommodation.   </w:t>
      </w:r>
      <w:r w:rsidRPr="00AA4727">
        <w:t>On August 15, 2022</w:t>
      </w:r>
      <w:r>
        <w:t xml:space="preserve"> he took Family Medical Leave Act leave for PTSD until November 1, 2022; took another 90 days of leave under City’s policy; in January 31, 2023 the city approved additional unpaid leave until March 31 as an accommodation for his PTSD; o</w:t>
      </w:r>
      <w:r w:rsidRPr="00E87171">
        <w:t>n March 31, Kraemer requested additional unpaid leave through April 30, stating at the</w:t>
      </w:r>
      <w:r>
        <w:t xml:space="preserve"> </w:t>
      </w:r>
      <w:r w:rsidRPr="00E87171">
        <w:t xml:space="preserve">end of the leave period, he would </w:t>
      </w:r>
      <w:r>
        <w:t>‘</w:t>
      </w:r>
      <w:r w:rsidRPr="00E87171">
        <w:t>be re-evaluated</w:t>
      </w:r>
      <w:r>
        <w:t xml:space="preserve">” by his treating physician.  </w:t>
      </w:r>
      <w:r w:rsidRPr="00C4058E">
        <w:t>The City viewed this as a request for</w:t>
      </w:r>
      <w:r>
        <w:t xml:space="preserve"> </w:t>
      </w:r>
      <w:r w:rsidRPr="00C4058E">
        <w:t>indefinite unpaid leave and the City’s human resources director, Lauren Safranek, initially</w:t>
      </w:r>
      <w:r>
        <w:t xml:space="preserve"> </w:t>
      </w:r>
      <w:r w:rsidRPr="00C4058E">
        <w:t xml:space="preserve">informed Kraemer that the City could not grant such a </w:t>
      </w:r>
      <w:proofErr w:type="gramStart"/>
      <w:r w:rsidRPr="00C4058E">
        <w:t>reques</w:t>
      </w:r>
      <w:r>
        <w:t>t, but</w:t>
      </w:r>
      <w:proofErr w:type="gramEnd"/>
      <w:r>
        <w:t xml:space="preserve"> gave him until </w:t>
      </w:r>
      <w:r w:rsidRPr="008C5C09">
        <w:t>April 30 to allow him to</w:t>
      </w:r>
      <w:r>
        <w:t xml:space="preserve"> </w:t>
      </w:r>
      <w:r w:rsidRPr="008C5C09">
        <w:t xml:space="preserve">obtain the required </w:t>
      </w:r>
      <w:r w:rsidRPr="006D408F">
        <w:t xml:space="preserve">psychological </w:t>
      </w:r>
      <w:r w:rsidRPr="008C5C09">
        <w:t>clearance, which Kraemer did not submit.</w:t>
      </w:r>
      <w:r>
        <w:t xml:space="preserve"> </w:t>
      </w:r>
      <w:r w:rsidRPr="00FB0730">
        <w:t xml:space="preserve">On May 1, 2023, the </w:t>
      </w:r>
      <w:proofErr w:type="gramStart"/>
      <w:r w:rsidRPr="00FB0730">
        <w:t>City</w:t>
      </w:r>
      <w:proofErr w:type="gramEnd"/>
      <w:r w:rsidRPr="00FB0730">
        <w:t xml:space="preserve"> informed Kraemer via letter that his employment was</w:t>
      </w:r>
      <w:r>
        <w:t xml:space="preserve"> </w:t>
      </w:r>
      <w:r w:rsidRPr="00FB0730">
        <w:t>terminated because of his inability to return to work “with or without reasonable</w:t>
      </w:r>
      <w:r>
        <w:t xml:space="preserve"> </w:t>
      </w:r>
      <w:r w:rsidRPr="00FB0730">
        <w:t>accommodations” following the end of his leave period</w:t>
      </w:r>
      <w:r>
        <w:t xml:space="preserve">. The letter stated, in relevant part, that “the vacancy in the position of Assistant Fire Chief is compromising the operations of the City of Frisco Fire Department and granting continued accommodations of additional leave would cause an undue burden and hardship for the department and the City, placing the safety of the community and the department at risk.” </w:t>
      </w:r>
      <w:hyperlink r:id="rId2441" w:history="1">
        <w:r w:rsidRPr="00941A72">
          <w:rPr>
            <w:rStyle w:val="Hyperlink"/>
            <w:b/>
          </w:rPr>
          <w:t>https://cases.justia.com/texas/twelfth-court-of-appeals/2026-12-25-00273-cv.pdf?ts=1775749638</w:t>
        </w:r>
      </w:hyperlink>
      <w:r>
        <w:rPr>
          <w:b/>
        </w:rPr>
        <w:t xml:space="preserve"> </w:t>
      </w:r>
    </w:p>
    <w:p w14:paraId="0748F2A6" w14:textId="77777777" w:rsidR="00C143F8" w:rsidRDefault="00C143F8" w:rsidP="00C143F8">
      <w:pPr>
        <w:pStyle w:val="NoSpacing"/>
      </w:pPr>
      <w:r>
        <w:lastRenderedPageBreak/>
        <w:t xml:space="preserve"> </w:t>
      </w:r>
    </w:p>
    <w:p w14:paraId="1491892C" w14:textId="77777777" w:rsidR="00C143F8" w:rsidRDefault="00C143F8" w:rsidP="00C143F8">
      <w:pPr>
        <w:pStyle w:val="NoSpacing"/>
        <w:rPr>
          <w:bCs/>
        </w:rPr>
      </w:pPr>
      <w:r>
        <w:t>THE COURT HELD:</w:t>
      </w:r>
    </w:p>
    <w:p w14:paraId="2E481FAC" w14:textId="77777777" w:rsidR="00C143F8" w:rsidRDefault="00C143F8" w:rsidP="00C143F8">
      <w:pPr>
        <w:pStyle w:val="NoSpacing"/>
        <w:rPr>
          <w:bCs/>
        </w:rPr>
      </w:pPr>
    </w:p>
    <w:p w14:paraId="1FF3D64A" w14:textId="77777777" w:rsidR="00C143F8" w:rsidRDefault="00C143F8" w:rsidP="00C143F8">
      <w:pPr>
        <w:pStyle w:val="NoSpacing"/>
        <w:ind w:left="720"/>
      </w:pPr>
      <w:r>
        <w:t>“Although taking leave that is limited in duration may be a reasonable accommodation to enable an employee to perform the essential functions of the job upon return, taking leave without a specified date to return is not a reasonable accommodation.</w:t>
      </w:r>
    </w:p>
    <w:p w14:paraId="68708F53" w14:textId="77777777" w:rsidR="00C143F8" w:rsidRDefault="00C143F8" w:rsidP="00C143F8">
      <w:pPr>
        <w:pStyle w:val="NoSpacing"/>
        <w:ind w:left="720"/>
      </w:pPr>
    </w:p>
    <w:p w14:paraId="41375711" w14:textId="77777777" w:rsidR="00C143F8" w:rsidRDefault="00C143F8" w:rsidP="00C143F8">
      <w:pPr>
        <w:pStyle w:val="NoSpacing"/>
        <w:ind w:left="720"/>
      </w:pPr>
      <w:r>
        <w:t>***</w:t>
      </w:r>
    </w:p>
    <w:p w14:paraId="031400F2" w14:textId="77777777" w:rsidR="00C143F8" w:rsidRDefault="00C143F8" w:rsidP="00C143F8">
      <w:pPr>
        <w:pStyle w:val="NoSpacing"/>
      </w:pPr>
    </w:p>
    <w:p w14:paraId="3174E841" w14:textId="77777777" w:rsidR="00C143F8" w:rsidRDefault="00C143F8" w:rsidP="00C143F8">
      <w:pPr>
        <w:pStyle w:val="NoSpacing"/>
        <w:ind w:firstLine="720"/>
      </w:pPr>
      <w:r>
        <w:t>The evidence shows that Kraemer discussed with Safranek whether he might be capable</w:t>
      </w:r>
    </w:p>
    <w:p w14:paraId="6CFEE320" w14:textId="77777777" w:rsidR="00C143F8" w:rsidRDefault="00C143F8" w:rsidP="00C143F8">
      <w:pPr>
        <w:pStyle w:val="NoSpacing"/>
        <w:ind w:left="720"/>
      </w:pPr>
      <w:r>
        <w:t xml:space="preserve">of returning to work on a reduced schedule, but nothing showing that he, or any of his doctors, ever concluded that, despite his disability, he </w:t>
      </w:r>
      <w:proofErr w:type="gramStart"/>
      <w:r>
        <w:t>was capable of performing</w:t>
      </w:r>
      <w:proofErr w:type="gramEnd"/>
      <w:r>
        <w:t xml:space="preserve"> the functions of the assistant fire chief position at all, even on a part-time basis…. In April of 2024, Dr. </w:t>
      </w:r>
      <w:proofErr w:type="spellStart"/>
      <w:r>
        <w:t>Tedwell</w:t>
      </w:r>
      <w:proofErr w:type="spellEnd"/>
      <w:r>
        <w:t xml:space="preserve"> testified before an administrative law judge that throughout her treatment relationship with Kraemer, her opinion has ‘always been that he has not been ready to go back to Frisco Fire Department[,]” an opinion which persisted until the time of her testimony.”</w:t>
      </w:r>
    </w:p>
    <w:p w14:paraId="095C277B" w14:textId="77777777" w:rsidR="00C143F8" w:rsidRDefault="00C143F8" w:rsidP="00C143F8">
      <w:pPr>
        <w:pStyle w:val="NoSpacing"/>
        <w:ind w:left="720"/>
      </w:pPr>
    </w:p>
    <w:p w14:paraId="2F63600B" w14:textId="77777777" w:rsidR="00C143F8" w:rsidRDefault="00C143F8" w:rsidP="00C143F8">
      <w:pPr>
        <w:pStyle w:val="NoSpacing"/>
      </w:pPr>
      <w:r>
        <w:rPr>
          <w:b/>
        </w:rPr>
        <w:t xml:space="preserve">Legal lesson learned: Indefinite leave is not reasonable accommodation. </w:t>
      </w:r>
    </w:p>
    <w:p w14:paraId="12684EFB" w14:textId="77777777" w:rsidR="00C143F8" w:rsidRDefault="00C143F8" w:rsidP="00C143F8">
      <w:pPr>
        <w:pStyle w:val="NoSpacing"/>
        <w:rPr>
          <w:b/>
        </w:rPr>
      </w:pPr>
    </w:p>
    <w:p w14:paraId="46AAA383" w14:textId="77777777" w:rsidR="00C143F8" w:rsidRDefault="00C143F8" w:rsidP="00C143F8">
      <w:pPr>
        <w:pStyle w:val="NoSpacing"/>
        <w:rPr>
          <w:bCs/>
        </w:rPr>
      </w:pPr>
    </w:p>
    <w:p w14:paraId="27C5B9FA" w14:textId="77777777" w:rsidR="00C143F8" w:rsidRDefault="00C143F8" w:rsidP="000C4DF5">
      <w:pPr>
        <w:pStyle w:val="NoSpacing"/>
        <w:rPr>
          <w:rFonts w:ascii="Arial Black" w:hAnsi="Arial Black"/>
          <w:sz w:val="24"/>
          <w:szCs w:val="24"/>
        </w:rPr>
      </w:pPr>
    </w:p>
    <w:p w14:paraId="2BB69D62" w14:textId="77777777" w:rsidR="00C143F8" w:rsidRDefault="00C143F8" w:rsidP="000C4DF5">
      <w:pPr>
        <w:pStyle w:val="NoSpacing"/>
        <w:rPr>
          <w:rFonts w:ascii="Arial Black" w:hAnsi="Arial Black"/>
          <w:sz w:val="24"/>
          <w:szCs w:val="24"/>
        </w:rPr>
      </w:pPr>
    </w:p>
    <w:p w14:paraId="4FB3A242" w14:textId="77777777" w:rsidR="00C143F8" w:rsidRDefault="00C143F8" w:rsidP="000C4DF5">
      <w:pPr>
        <w:pStyle w:val="NoSpacing"/>
        <w:rPr>
          <w:rFonts w:ascii="Arial Black" w:hAnsi="Arial Black"/>
          <w:sz w:val="24"/>
          <w:szCs w:val="24"/>
        </w:rPr>
      </w:pPr>
    </w:p>
    <w:p w14:paraId="79D2DD40" w14:textId="77777777" w:rsidR="00116265" w:rsidRDefault="00116265" w:rsidP="000C4DF5">
      <w:pPr>
        <w:pStyle w:val="NoSpacing"/>
        <w:rPr>
          <w:rFonts w:ascii="Arial Black" w:hAnsi="Arial Black"/>
          <w:sz w:val="24"/>
          <w:szCs w:val="24"/>
        </w:rPr>
      </w:pPr>
    </w:p>
    <w:p w14:paraId="39BCE9BA" w14:textId="60E6302B" w:rsidR="009256C3" w:rsidRDefault="009256C3" w:rsidP="000C4DF5">
      <w:pPr>
        <w:pStyle w:val="NoSpacing"/>
        <w:rPr>
          <w:rFonts w:ascii="Arial Black" w:hAnsi="Arial Black"/>
          <w:sz w:val="24"/>
          <w:szCs w:val="24"/>
        </w:rPr>
      </w:pPr>
      <w:r>
        <w:rPr>
          <w:rFonts w:ascii="Arial Black" w:hAnsi="Arial Black"/>
          <w:sz w:val="24"/>
          <w:szCs w:val="24"/>
        </w:rPr>
        <w:t>15-50</w:t>
      </w:r>
    </w:p>
    <w:p w14:paraId="313520FC" w14:textId="77777777" w:rsidR="009256C3" w:rsidRDefault="009256C3" w:rsidP="000C4DF5">
      <w:pPr>
        <w:pStyle w:val="NoSpacing"/>
        <w:rPr>
          <w:rFonts w:ascii="Arial Black" w:hAnsi="Arial Black"/>
          <w:sz w:val="24"/>
          <w:szCs w:val="24"/>
        </w:rPr>
      </w:pPr>
    </w:p>
    <w:p w14:paraId="5AB78115" w14:textId="77777777" w:rsidR="0075332D" w:rsidRPr="00745672" w:rsidRDefault="0075332D" w:rsidP="0075332D">
      <w:pPr>
        <w:pStyle w:val="NoSpacing"/>
        <w:rPr>
          <w:rFonts w:ascii="Arial Black" w:hAnsi="Arial Black"/>
          <w:b/>
          <w:sz w:val="28"/>
          <w:szCs w:val="28"/>
        </w:rPr>
      </w:pPr>
      <w:r>
        <w:rPr>
          <w:rFonts w:ascii="Arial Black" w:hAnsi="Arial Black"/>
          <w:b/>
          <w:sz w:val="28"/>
          <w:szCs w:val="28"/>
        </w:rPr>
        <w:t xml:space="preserve">MI: PSYCH EXAM – UNFIT DUTY / FF NO FOLLOW UP - FIRED </w:t>
      </w:r>
    </w:p>
    <w:p w14:paraId="4CDFDF17" w14:textId="77777777" w:rsidR="0075332D" w:rsidRDefault="0075332D" w:rsidP="0075332D">
      <w:pPr>
        <w:pStyle w:val="NoSpacing"/>
      </w:pPr>
    </w:p>
    <w:p w14:paraId="437E54BD" w14:textId="77777777" w:rsidR="0075332D" w:rsidRPr="000713CE" w:rsidRDefault="0075332D" w:rsidP="0075332D">
      <w:pPr>
        <w:pStyle w:val="NoSpacing"/>
        <w:rPr>
          <w:b/>
        </w:rPr>
      </w:pPr>
      <w:r>
        <w:t xml:space="preserve">On March 17, </w:t>
      </w:r>
      <w:proofErr w:type="gramStart"/>
      <w:r>
        <w:t>2026</w:t>
      </w:r>
      <w:proofErr w:type="gramEnd"/>
      <w:r>
        <w:t xml:space="preserve"> in </w:t>
      </w:r>
      <w:r w:rsidRPr="004C658C">
        <w:rPr>
          <w:u w:val="single"/>
        </w:rPr>
        <w:t>Dan Martin v. City of Flat Rock Fire Department and City of Flat Rock</w:t>
      </w:r>
      <w:r>
        <w:t xml:space="preserve">, the </w:t>
      </w:r>
      <w:r w:rsidRPr="004C658C">
        <w:t>Court of Appeals of Michigan</w:t>
      </w:r>
      <w:r>
        <w:t xml:space="preserve"> held (3 to 0; unpublished decision) that trial court properly granted summary judgment to the defense after pre-trial discovery was completed.  Plaintiff </w:t>
      </w:r>
      <w:proofErr w:type="gramStart"/>
      <w:r>
        <w:t>clamed</w:t>
      </w:r>
      <w:proofErr w:type="gramEnd"/>
      <w:r>
        <w:t xml:space="preserve"> retaliation for being a whistleblower about hostile conduct towards him by another firefighter and his support for a discrimination claim by another firefighter. The Court held that  the Fire Chief had a legitimate basis to order him on May 8, 2029 to undergo a psychological examination, to continue him on administrative leave when he was determined to currently be unfit for duty, and to terminate him in December 2019 for failure to the undertake the recommended </w:t>
      </w:r>
      <w:r w:rsidRPr="001C3227">
        <w:t>neuropsychological testing</w:t>
      </w:r>
      <w:r>
        <w:t xml:space="preserve">, and </w:t>
      </w:r>
      <w:r w:rsidRPr="001C3227">
        <w:t>12 psychotherapy sessions with a therapist</w:t>
      </w:r>
      <w:r>
        <w:t xml:space="preserve">, and </w:t>
      </w:r>
      <w:r w:rsidRPr="001C3227">
        <w:t>consultation with his physician regarding antidepression medication</w:t>
      </w:r>
      <w:r>
        <w:t xml:space="preserve">. </w:t>
      </w:r>
      <w:hyperlink r:id="rId2442" w:history="1">
        <w:r w:rsidRPr="004D13CD">
          <w:rPr>
            <w:rStyle w:val="Hyperlink"/>
          </w:rPr>
          <w:t>https://www.courts.michigan.gov/494b62/siteassets/case-documents/uploads/opinions/final/coa/20260317_c372830_50_372830.opn.pdf</w:t>
        </w:r>
      </w:hyperlink>
      <w:r>
        <w:t xml:space="preserve">  </w:t>
      </w:r>
    </w:p>
    <w:p w14:paraId="6085B944" w14:textId="77777777" w:rsidR="0075332D" w:rsidRDefault="0075332D" w:rsidP="0075332D">
      <w:pPr>
        <w:pStyle w:val="NoSpacing"/>
      </w:pPr>
    </w:p>
    <w:p w14:paraId="0521410B" w14:textId="77777777" w:rsidR="0075332D" w:rsidRDefault="0075332D" w:rsidP="0075332D">
      <w:pPr>
        <w:pStyle w:val="NoSpacing"/>
      </w:pPr>
    </w:p>
    <w:p w14:paraId="67C90694" w14:textId="77777777" w:rsidR="0075332D" w:rsidRDefault="0075332D" w:rsidP="0075332D">
      <w:pPr>
        <w:pStyle w:val="NoSpacing"/>
      </w:pPr>
      <w:r>
        <w:t xml:space="preserve">THE COURT HELD: “Plaintiff has failed to present sufficient evidence from which a </w:t>
      </w:r>
      <w:proofErr w:type="gramStart"/>
      <w:r>
        <w:t>fact-finder</w:t>
      </w:r>
      <w:proofErr w:type="gramEnd"/>
      <w:r>
        <w:t xml:space="preserve"> could reasonably infer that defendants’ decisions to place plaintiff on administrative leave and to continue his leave had a retaliatory basis.</w:t>
      </w:r>
    </w:p>
    <w:p w14:paraId="260E55D3" w14:textId="77777777" w:rsidR="0075332D" w:rsidRDefault="0075332D" w:rsidP="0075332D">
      <w:pPr>
        <w:pStyle w:val="NoSpacing"/>
      </w:pPr>
    </w:p>
    <w:p w14:paraId="0EFF5560" w14:textId="77777777" w:rsidR="0075332D" w:rsidRDefault="0075332D" w:rsidP="0075332D">
      <w:pPr>
        <w:pStyle w:val="NoSpacing"/>
      </w:pPr>
      <w:r>
        <w:t>***</w:t>
      </w:r>
    </w:p>
    <w:p w14:paraId="747AEF8E" w14:textId="77777777" w:rsidR="0075332D" w:rsidRPr="009E0DEA" w:rsidRDefault="0075332D" w:rsidP="0075332D">
      <w:pPr>
        <w:pStyle w:val="NoSpacing"/>
      </w:pPr>
      <w:r w:rsidRPr="009E0DEA">
        <w:t xml:space="preserve">Fire Chief </w:t>
      </w:r>
      <w:proofErr w:type="spellStart"/>
      <w:r w:rsidRPr="009E0DEA">
        <w:t>Vack</w:t>
      </w:r>
      <w:proofErr w:type="spellEnd"/>
      <w:r w:rsidRPr="009E0DEA">
        <w:t xml:space="preserve"> recommended that plaintiff undergo physical and psychological</w:t>
      </w:r>
    </w:p>
    <w:p w14:paraId="2B4516D2" w14:textId="77777777" w:rsidR="0075332D" w:rsidRPr="009E0DEA" w:rsidRDefault="0075332D" w:rsidP="0075332D">
      <w:pPr>
        <w:pStyle w:val="NoSpacing"/>
      </w:pPr>
      <w:r w:rsidRPr="009E0DEA">
        <w:t xml:space="preserve">evaluations </w:t>
      </w:r>
      <w:proofErr w:type="gramStart"/>
      <w:r w:rsidRPr="009E0DEA">
        <w:t>on the basis of</w:t>
      </w:r>
      <w:proofErr w:type="gramEnd"/>
      <w:r w:rsidRPr="009E0DEA">
        <w:t xml:space="preserve"> his own observations as well as concerns reported to him by Sergeant</w:t>
      </w:r>
    </w:p>
    <w:p w14:paraId="14893010" w14:textId="77777777" w:rsidR="0075332D" w:rsidRPr="009E0DEA" w:rsidRDefault="0075332D" w:rsidP="0075332D">
      <w:pPr>
        <w:pStyle w:val="NoSpacing"/>
      </w:pPr>
      <w:r w:rsidRPr="009E0DEA">
        <w:t>John Rose, Sergeant Rich, Metzger, and other firefighters. These concerns included: plaintiff</w:t>
      </w:r>
    </w:p>
    <w:p w14:paraId="6E058B02" w14:textId="77777777" w:rsidR="0075332D" w:rsidRPr="009E0DEA" w:rsidRDefault="0075332D" w:rsidP="0075332D">
      <w:pPr>
        <w:pStyle w:val="NoSpacing"/>
      </w:pPr>
      <w:r w:rsidRPr="009E0DEA">
        <w:t>failed to pay attention to details, acted strangely, had slurred/mumbled speech, had issues</w:t>
      </w:r>
    </w:p>
    <w:p w14:paraId="65B2CA94" w14:textId="77777777" w:rsidR="0075332D" w:rsidRPr="009E0DEA" w:rsidRDefault="0075332D" w:rsidP="0075332D">
      <w:pPr>
        <w:pStyle w:val="NoSpacing"/>
      </w:pPr>
      <w:r w:rsidRPr="009E0DEA">
        <w:t>maintaining his train of thought during a conversation, was taking numerous medications that</w:t>
      </w:r>
    </w:p>
    <w:p w14:paraId="17127D8A" w14:textId="77777777" w:rsidR="0075332D" w:rsidRPr="009E0DEA" w:rsidRDefault="0075332D" w:rsidP="0075332D">
      <w:pPr>
        <w:pStyle w:val="NoSpacing"/>
      </w:pPr>
      <w:r w:rsidRPr="009E0DEA">
        <w:t>appeared to alter his mental status, embellished stories, authored reports that did not make sense,</w:t>
      </w:r>
    </w:p>
    <w:p w14:paraId="3B66CE95" w14:textId="77777777" w:rsidR="0075332D" w:rsidRPr="009E0DEA" w:rsidRDefault="0075332D" w:rsidP="0075332D">
      <w:pPr>
        <w:pStyle w:val="NoSpacing"/>
      </w:pPr>
      <w:r w:rsidRPr="009E0DEA">
        <w:t xml:space="preserve">had driving issues, </w:t>
      </w:r>
      <w:proofErr w:type="gramStart"/>
      <w:r w:rsidRPr="009E0DEA">
        <w:t>provided</w:t>
      </w:r>
      <w:proofErr w:type="gramEnd"/>
      <w:r w:rsidRPr="009E0DEA">
        <w:t xml:space="preserve"> inaccurate patient histories, and behaved erratically. Fire Chief </w:t>
      </w:r>
      <w:proofErr w:type="spellStart"/>
      <w:r w:rsidRPr="009E0DEA">
        <w:t>Vack</w:t>
      </w:r>
      <w:proofErr w:type="spellEnd"/>
    </w:p>
    <w:p w14:paraId="720FED7D" w14:textId="77777777" w:rsidR="0075332D" w:rsidRPr="009E0DEA" w:rsidRDefault="0075332D" w:rsidP="0075332D">
      <w:pPr>
        <w:pStyle w:val="NoSpacing"/>
      </w:pPr>
      <w:r w:rsidRPr="009E0DEA">
        <w:t>expressed that he was concerned about plaintiff’s physical and mental health as well at the city’s</w:t>
      </w:r>
    </w:p>
    <w:p w14:paraId="6816B990" w14:textId="77777777" w:rsidR="0075332D" w:rsidRDefault="0075332D" w:rsidP="0075332D">
      <w:pPr>
        <w:pStyle w:val="NoSpacing"/>
      </w:pPr>
      <w:r w:rsidRPr="009E0DEA">
        <w:lastRenderedPageBreak/>
        <w:t>and fire department’s liability exposure.</w:t>
      </w:r>
      <w:r>
        <w:t>”</w:t>
      </w:r>
    </w:p>
    <w:p w14:paraId="4AD9AB8B" w14:textId="77777777" w:rsidR="0075332D" w:rsidRDefault="0075332D" w:rsidP="0075332D">
      <w:pPr>
        <w:pStyle w:val="NoSpacing"/>
      </w:pPr>
    </w:p>
    <w:p w14:paraId="1B96D25C" w14:textId="77777777" w:rsidR="0075332D" w:rsidRPr="003852D1" w:rsidRDefault="0075332D" w:rsidP="0075332D">
      <w:pPr>
        <w:pStyle w:val="NoSpacing"/>
        <w:rPr>
          <w:b/>
          <w:bCs/>
        </w:rPr>
      </w:pPr>
      <w:r w:rsidRPr="003852D1">
        <w:rPr>
          <w:b/>
        </w:rPr>
        <w:t>Legal lesson learned:</w:t>
      </w:r>
      <w:r>
        <w:rPr>
          <w:b/>
        </w:rPr>
        <w:t xml:space="preserve"> There was a legitimate basis to order psychological exam of the firefighter. </w:t>
      </w:r>
    </w:p>
    <w:p w14:paraId="0410C541" w14:textId="77777777" w:rsidR="0075332D" w:rsidRDefault="0075332D" w:rsidP="0075332D">
      <w:pPr>
        <w:pStyle w:val="NoSpacing"/>
      </w:pPr>
    </w:p>
    <w:p w14:paraId="1FC81AC3" w14:textId="77777777" w:rsidR="0075332D" w:rsidRDefault="0075332D" w:rsidP="000C4DF5">
      <w:pPr>
        <w:pStyle w:val="NoSpacing"/>
        <w:rPr>
          <w:rFonts w:ascii="Arial Black" w:hAnsi="Arial Black"/>
          <w:sz w:val="24"/>
          <w:szCs w:val="24"/>
        </w:rPr>
      </w:pPr>
    </w:p>
    <w:p w14:paraId="26123236" w14:textId="77777777" w:rsidR="009256C3" w:rsidRDefault="009256C3" w:rsidP="000C4DF5">
      <w:pPr>
        <w:pStyle w:val="NoSpacing"/>
        <w:rPr>
          <w:rFonts w:ascii="Arial Black" w:hAnsi="Arial Black"/>
          <w:sz w:val="24"/>
          <w:szCs w:val="24"/>
        </w:rPr>
      </w:pPr>
    </w:p>
    <w:p w14:paraId="2A497C01" w14:textId="77777777" w:rsidR="009256C3" w:rsidRDefault="009256C3" w:rsidP="000C4DF5">
      <w:pPr>
        <w:pStyle w:val="NoSpacing"/>
        <w:rPr>
          <w:rFonts w:ascii="Arial Black" w:hAnsi="Arial Black"/>
          <w:sz w:val="24"/>
          <w:szCs w:val="24"/>
        </w:rPr>
      </w:pPr>
    </w:p>
    <w:p w14:paraId="7154C7CA" w14:textId="231CFE03" w:rsidR="00816988" w:rsidRDefault="00610D0A" w:rsidP="000C4DF5">
      <w:pPr>
        <w:pStyle w:val="NoSpacing"/>
        <w:rPr>
          <w:rFonts w:ascii="Arial Black" w:hAnsi="Arial Black"/>
          <w:sz w:val="24"/>
          <w:szCs w:val="24"/>
        </w:rPr>
      </w:pPr>
      <w:r>
        <w:rPr>
          <w:rFonts w:ascii="Arial Black" w:hAnsi="Arial Black"/>
          <w:sz w:val="24"/>
          <w:szCs w:val="24"/>
        </w:rPr>
        <w:t>15-</w:t>
      </w:r>
      <w:r w:rsidR="001F6F71">
        <w:rPr>
          <w:rFonts w:ascii="Arial Black" w:hAnsi="Arial Black"/>
          <w:sz w:val="24"/>
          <w:szCs w:val="24"/>
        </w:rPr>
        <w:t>49</w:t>
      </w:r>
    </w:p>
    <w:p w14:paraId="507A0D33" w14:textId="77777777" w:rsidR="009256C3" w:rsidRDefault="009256C3" w:rsidP="000C4DF5">
      <w:pPr>
        <w:pStyle w:val="NoSpacing"/>
        <w:rPr>
          <w:rFonts w:ascii="Arial Black" w:hAnsi="Arial Black"/>
          <w:sz w:val="24"/>
          <w:szCs w:val="24"/>
        </w:rPr>
      </w:pPr>
    </w:p>
    <w:p w14:paraId="1A1F67C3" w14:textId="77777777" w:rsidR="001F6F71" w:rsidRPr="00D32581" w:rsidRDefault="001F6F71" w:rsidP="001F6F71">
      <w:pPr>
        <w:pStyle w:val="NoSpacing"/>
        <w:rPr>
          <w:rFonts w:ascii="Arial Black" w:hAnsi="Arial Black"/>
          <w:sz w:val="28"/>
          <w:szCs w:val="28"/>
        </w:rPr>
      </w:pPr>
      <w:r>
        <w:rPr>
          <w:rFonts w:ascii="Arial Black" w:hAnsi="Arial Black"/>
          <w:sz w:val="28"/>
          <w:szCs w:val="28"/>
        </w:rPr>
        <w:t>TX: MEDIC SUICIDE – COUNTY SUBPOENA PSYCH RECORDS</w:t>
      </w:r>
    </w:p>
    <w:p w14:paraId="41DC524C" w14:textId="77777777" w:rsidR="001F6F71" w:rsidRDefault="001F6F71" w:rsidP="001F6F71">
      <w:pPr>
        <w:pStyle w:val="NoSpacing"/>
      </w:pPr>
    </w:p>
    <w:p w14:paraId="3C4DF8C3" w14:textId="77777777" w:rsidR="001F6F71" w:rsidRDefault="001F6F71" w:rsidP="001F6F71">
      <w:pPr>
        <w:pStyle w:val="NoSpacing"/>
      </w:pPr>
      <w:r>
        <w:t xml:space="preserve">On February 24, 2026, in </w:t>
      </w:r>
      <w:r w:rsidRPr="00DD524A">
        <w:rPr>
          <w:u w:val="single"/>
        </w:rPr>
        <w:t>In Re Fort Bend County, et al. v. Joshua Heiliger, individually and</w:t>
      </w:r>
      <w:r>
        <w:rPr>
          <w:u w:val="single"/>
        </w:rPr>
        <w:t xml:space="preserve"> </w:t>
      </w:r>
      <w:r w:rsidRPr="00DD524A">
        <w:rPr>
          <w:u w:val="single"/>
        </w:rPr>
        <w:t>on behalf</w:t>
      </w:r>
      <w:r>
        <w:rPr>
          <w:u w:val="single"/>
        </w:rPr>
        <w:t xml:space="preserve"> </w:t>
      </w:r>
      <w:r w:rsidRPr="00DD524A">
        <w:rPr>
          <w:u w:val="single"/>
        </w:rPr>
        <w:t xml:space="preserve"> o</w:t>
      </w:r>
      <w:r>
        <w:rPr>
          <w:u w:val="single"/>
        </w:rPr>
        <w:t>f</w:t>
      </w:r>
      <w:r w:rsidRPr="00DD524A">
        <w:rPr>
          <w:u w:val="single"/>
        </w:rPr>
        <w:t xml:space="preserve"> the estate of Lauren Smith, deceased, et al</w:t>
      </w:r>
      <w:r>
        <w:t xml:space="preserve">., the </w:t>
      </w:r>
      <w:r w:rsidRPr="00DD524A">
        <w:t>Court of Appeals of Texas, Fifteenth District</w:t>
      </w:r>
      <w:r>
        <w:t xml:space="preserve"> held (3 to 0) that the trial court had no jurisdiction in this contested worker’s compensation case about dispute of Lauren’s medical records. The worker’s comp Administrative Law Judge should decide of the County’s subpoena can be enforced for the medical records from </w:t>
      </w:r>
      <w:r w:rsidRPr="00D245C9">
        <w:t>Dr. John Marcellus, the doctor who prescribed Lauren's ADHD medication</w:t>
      </w:r>
      <w:r>
        <w:t xml:space="preserve">, her </w:t>
      </w:r>
      <w:r w:rsidRPr="00D245C9">
        <w:t>hypertension along with her complaints about stress.</w:t>
      </w:r>
      <w:r>
        <w:t xml:space="preserve"> His lawsuit is therefore ordered dismissed.   </w:t>
      </w:r>
    </w:p>
    <w:p w14:paraId="164D31CD" w14:textId="77777777" w:rsidR="001F6F71" w:rsidRDefault="001F6F71" w:rsidP="001F6F71">
      <w:pPr>
        <w:pStyle w:val="NoSpacing"/>
      </w:pPr>
      <w:hyperlink r:id="rId2443" w:history="1">
        <w:r w:rsidRPr="00CB2F3F">
          <w:rPr>
            <w:rStyle w:val="Hyperlink"/>
          </w:rPr>
          <w:t>https://cases.justia.com/texas/fifteenth-court-of-appeals/2026-15-25-00102-cv.pdf?ts=1771951104</w:t>
        </w:r>
      </w:hyperlink>
      <w:r>
        <w:t xml:space="preserve"> </w:t>
      </w:r>
    </w:p>
    <w:p w14:paraId="2A7C3A99" w14:textId="77777777" w:rsidR="001F6F71" w:rsidRDefault="001F6F71" w:rsidP="001F6F71">
      <w:pPr>
        <w:pStyle w:val="NoSpacing"/>
      </w:pPr>
    </w:p>
    <w:p w14:paraId="7AE0D11A" w14:textId="77777777" w:rsidR="001F6F71" w:rsidRDefault="001F6F71" w:rsidP="001F6F71">
      <w:pPr>
        <w:pStyle w:val="NoSpacing"/>
        <w:rPr>
          <w:bCs/>
        </w:rPr>
      </w:pPr>
      <w:r>
        <w:t>THE COURT HELD:  “</w:t>
      </w:r>
      <w:r w:rsidRPr="00766FC4">
        <w:t>Heiliger</w:t>
      </w:r>
      <w:r>
        <w:t xml:space="preserve"> … </w:t>
      </w:r>
      <w:r w:rsidRPr="00766FC4">
        <w:t>filed his claim with the Division</w:t>
      </w:r>
      <w:r>
        <w:t xml:space="preserve"> [of Worker’s Compensation]</w:t>
      </w:r>
      <w:r w:rsidRPr="00766FC4">
        <w:t xml:space="preserve">, seeking a finding that he and his daughter are entitled to workers' compensation benefits because his wife died </w:t>
      </w:r>
      <w:proofErr w:type="gramStart"/>
      <w:r w:rsidRPr="00766FC4">
        <w:t>as a result of</w:t>
      </w:r>
      <w:proofErr w:type="gramEnd"/>
      <w:r w:rsidRPr="00766FC4">
        <w:t xml:space="preserve"> her work, a contention her employer contests</w:t>
      </w:r>
      <w:r>
        <w:t>…. I</w:t>
      </w:r>
      <w:r w:rsidRPr="00E11DDE">
        <w:t>n this case, that means if Heiliger objected to the amended subpoena or the subpoenaed party did not comply, then the ALJ or Fort Bend County</w:t>
      </w:r>
      <w:r>
        <w:t xml:space="preserve"> </w:t>
      </w:r>
      <w:r w:rsidRPr="00E11DDE">
        <w:t>-</w:t>
      </w:r>
      <w:r>
        <w:t xml:space="preserve"> </w:t>
      </w:r>
      <w:r w:rsidRPr="00E11DDE">
        <w:t>not Heiliger-</w:t>
      </w:r>
      <w:r>
        <w:t xml:space="preserve"> </w:t>
      </w:r>
      <w:r w:rsidRPr="00E11DDE">
        <w:t>would have the option to seek an order compelling compliance from a district court in Travis County or Harris County. Instead, Heiliger took matters into his own hands and filed a suit in Harris County to enjoin the subpoena instead of waiting for the administrative process to play out</w:t>
      </w:r>
      <w:r>
        <w:t xml:space="preserve">…. </w:t>
      </w:r>
      <w:r w:rsidRPr="00A22D34">
        <w:t xml:space="preserve">We first address whether the trial court has jurisdiction over Heiliger's suit and conclude it does not. "The Division of Workers' Compensation administers the [workers' compensation] system and has exclusive jurisdiction to determine </w:t>
      </w:r>
      <w:r>
        <w:t xml:space="preserve"> </w:t>
      </w:r>
      <w:r w:rsidRPr="00A22D34">
        <w:t xml:space="preserve">compensation entitlement and to award any benefits." </w:t>
      </w:r>
      <w:r w:rsidRPr="00A22D34">
        <w:rPr>
          <w:i/>
          <w:iCs/>
        </w:rPr>
        <w:t>University of Tex. Rio Grande Valley v. Oteka</w:t>
      </w:r>
      <w:r w:rsidRPr="00A22D34">
        <w:t xml:space="preserve">, 715 S.W.3d 734, 736 (Tex. 2025). </w:t>
      </w:r>
    </w:p>
    <w:p w14:paraId="1DC2C444" w14:textId="77777777" w:rsidR="001F6F71" w:rsidRDefault="001F6F71" w:rsidP="001F6F71">
      <w:pPr>
        <w:pStyle w:val="NoSpacing"/>
        <w:rPr>
          <w:bCs/>
        </w:rPr>
      </w:pPr>
    </w:p>
    <w:p w14:paraId="53F014E2" w14:textId="77777777" w:rsidR="001F6F71" w:rsidRPr="00445625" w:rsidRDefault="001F6F71" w:rsidP="001F6F71">
      <w:pPr>
        <w:pStyle w:val="NoSpacing"/>
        <w:rPr>
          <w:b/>
        </w:rPr>
      </w:pPr>
      <w:r>
        <w:rPr>
          <w:b/>
        </w:rPr>
        <w:t xml:space="preserve">Legal lesson learned: The worker’s comp. Hearing Officer will now decide if the deceased’s medical records must be disclosed and then hold a hearing on the worker’s comp claim. </w:t>
      </w:r>
    </w:p>
    <w:p w14:paraId="3C5DF413" w14:textId="77777777" w:rsidR="001F6F71" w:rsidRDefault="001F6F71" w:rsidP="001F6F71">
      <w:pPr>
        <w:pStyle w:val="NoSpacing"/>
        <w:rPr>
          <w:bCs/>
        </w:rPr>
      </w:pPr>
    </w:p>
    <w:p w14:paraId="4EA13948" w14:textId="77777777" w:rsidR="001F6F71" w:rsidRDefault="001F6F71" w:rsidP="000C4DF5">
      <w:pPr>
        <w:pStyle w:val="NoSpacing"/>
        <w:rPr>
          <w:rFonts w:ascii="Arial Black" w:hAnsi="Arial Black"/>
          <w:sz w:val="24"/>
          <w:szCs w:val="24"/>
        </w:rPr>
      </w:pPr>
    </w:p>
    <w:p w14:paraId="6075AF63" w14:textId="77777777" w:rsidR="00683602" w:rsidRDefault="00683602" w:rsidP="00683602">
      <w:pPr>
        <w:pStyle w:val="NoSpacing"/>
        <w:rPr>
          <w:rFonts w:ascii="Arial Black" w:hAnsi="Arial Black"/>
          <w:b/>
          <w:sz w:val="28"/>
          <w:szCs w:val="28"/>
        </w:rPr>
      </w:pPr>
      <w:r>
        <w:rPr>
          <w:rFonts w:ascii="Arial Black" w:hAnsi="Arial Black"/>
          <w:b/>
          <w:sz w:val="28"/>
          <w:szCs w:val="28"/>
        </w:rPr>
        <w:t>OR: DISPATCHER – 20 YRS – 2 MDs / NO PTSD - NO WK COMP</w:t>
      </w:r>
    </w:p>
    <w:p w14:paraId="1DD65FCE" w14:textId="77777777" w:rsidR="00683602" w:rsidRDefault="00683602" w:rsidP="00683602">
      <w:pPr>
        <w:pStyle w:val="NoSpacing"/>
        <w:rPr>
          <w:b/>
        </w:rPr>
      </w:pPr>
    </w:p>
    <w:p w14:paraId="44261875" w14:textId="77777777" w:rsidR="00683602" w:rsidRPr="00BD3E91" w:rsidRDefault="00683602" w:rsidP="00683602">
      <w:pPr>
        <w:pStyle w:val="NoSpacing"/>
        <w:rPr>
          <w:bCs/>
        </w:rPr>
      </w:pPr>
      <w:r>
        <w:t xml:space="preserve">On Feb. 11, 2026, in </w:t>
      </w:r>
      <w:r w:rsidRPr="00817C08">
        <w:rPr>
          <w:u w:val="single"/>
        </w:rPr>
        <w:t>In The Matter Of The Compensation Of Camille Smicz v. Deschutes County 911 Service District</w:t>
      </w:r>
      <w:r>
        <w:t xml:space="preserve">, the </w:t>
      </w:r>
      <w:r w:rsidRPr="00817C08">
        <w:t>Court of Appeals of Oregon</w:t>
      </w:r>
      <w:r>
        <w:t xml:space="preserve"> held (3 to 0) that the </w:t>
      </w:r>
      <w:r w:rsidRPr="00FB066E">
        <w:t>Workers' Compensation Board</w:t>
      </w:r>
      <w:r>
        <w:t xml:space="preserve">’s </w:t>
      </w:r>
      <w:r w:rsidRPr="00BD3E91">
        <w:t>determination</w:t>
      </w:r>
      <w:r>
        <w:t xml:space="preserve"> was s</w:t>
      </w:r>
      <w:r w:rsidRPr="00BD3E91">
        <w:t>upported by substantial evidence</w:t>
      </w:r>
      <w:r>
        <w:t>; the   c</w:t>
      </w:r>
      <w:r w:rsidRPr="00BD3E91">
        <w:t xml:space="preserve">laimant </w:t>
      </w:r>
      <w:r>
        <w:t xml:space="preserve">failed to </w:t>
      </w:r>
      <w:r w:rsidRPr="00BD3E91">
        <w:t xml:space="preserve">establish by a preponderance of persuasive medical evidence that </w:t>
      </w:r>
      <w:r>
        <w:t xml:space="preserve">she </w:t>
      </w:r>
      <w:r w:rsidRPr="00BD3E91">
        <w:t>met the criteria for PTSD.</w:t>
      </w:r>
      <w:r>
        <w:t xml:space="preserve"> </w:t>
      </w:r>
      <w:r w:rsidRPr="00225020">
        <w:t xml:space="preserve">The </w:t>
      </w:r>
      <w:r>
        <w:t xml:space="preserve">Administrative Law Judge after a hearing denied her claim, and </w:t>
      </w:r>
      <w:r w:rsidRPr="00225020">
        <w:t xml:space="preserve">Board found that </w:t>
      </w:r>
      <w:r>
        <w:t>the opinion of Dr. Barran (psychologist who interviewed her for 3 hours)</w:t>
      </w:r>
      <w:r w:rsidRPr="00225020">
        <w:t xml:space="preserve"> "was not based on a complete or accurate history" because he did not review the reports of the </w:t>
      </w:r>
      <w:r>
        <w:t xml:space="preserve">two </w:t>
      </w:r>
      <w:r w:rsidRPr="00225020">
        <w:t>other diagnosing medical doctors</w:t>
      </w:r>
      <w:r>
        <w:t xml:space="preserve"> (psychiatrist and a psychologist) who concluded she does suffer from PTSD. </w:t>
      </w:r>
      <w:hyperlink r:id="rId2444" w:history="1">
        <w:r w:rsidRPr="002B0907">
          <w:rPr>
            <w:rStyle w:val="Hyperlink"/>
          </w:rPr>
          <w:t>https://www.casemine.com/judgement/us/698dd4328a508cf645e20167</w:t>
        </w:r>
      </w:hyperlink>
      <w:r>
        <w:t xml:space="preserve"> </w:t>
      </w:r>
    </w:p>
    <w:p w14:paraId="04852A4E" w14:textId="77777777" w:rsidR="00683602" w:rsidRPr="00817C08" w:rsidRDefault="00683602" w:rsidP="00683602">
      <w:pPr>
        <w:pStyle w:val="NoSpacing"/>
        <w:rPr>
          <w:bCs/>
        </w:rPr>
      </w:pPr>
    </w:p>
    <w:p w14:paraId="03B4B819" w14:textId="77777777" w:rsidR="00683602" w:rsidRDefault="00683602" w:rsidP="00683602">
      <w:pPr>
        <w:pStyle w:val="NoSpacing"/>
      </w:pPr>
      <w:r>
        <w:t>THE COURT HELD: “</w:t>
      </w:r>
      <w:r w:rsidRPr="00A972C2">
        <w:t xml:space="preserve">Claimant worked as a 9-1-1 dispatcher for 20 years. Over her 20 years as a dispatcher, claimant assisted by phone with many alarming and disturbing situations, and she eventually asserted that the </w:t>
      </w:r>
      <w:r>
        <w:t>‘</w:t>
      </w:r>
      <w:r w:rsidRPr="00A972C2">
        <w:t>continued exposure to trauma and critical incidents</w:t>
      </w:r>
      <w:r>
        <w:t>’</w:t>
      </w:r>
      <w:r w:rsidRPr="00A972C2">
        <w:t xml:space="preserve"> led to an occupational disease of </w:t>
      </w:r>
      <w:r>
        <w:t>‘</w:t>
      </w:r>
      <w:r w:rsidRPr="00A972C2">
        <w:t>PTSD, secondary trauma, [and] cumulative stress disorder.</w:t>
      </w:r>
      <w:r>
        <w:t>’</w:t>
      </w:r>
      <w:r w:rsidRPr="00A972C2">
        <w:t xml:space="preserve"> However, the combined medical history that all three testifying experts relied upon also indicated significant non-work-related stressors that claimant experienced and that had led to her receiving other mental health diagnoses in the past—including that claimant's son had been in residential facilities due to developmental disabilities and violence toward claimant, such as holding a belt across claim- ant's neck while she was sleeping; that claimant </w:t>
      </w:r>
      <w:r w:rsidRPr="00A972C2">
        <w:lastRenderedPageBreak/>
        <w:t>recently went through a divorce that required a restraining order; and that claimant had severe health complications from an unsuccessful surgery.</w:t>
      </w:r>
      <w:r>
        <w:t xml:space="preserve"> *** </w:t>
      </w:r>
      <w:r w:rsidRPr="00C54522">
        <w:t xml:space="preserve">The three experts differed in their assessment of claimant. Drs. Wicher (a psychologist) and </w:t>
      </w:r>
      <w:proofErr w:type="spellStart"/>
      <w:r w:rsidRPr="00C54522">
        <w:t>Telew</w:t>
      </w:r>
      <w:proofErr w:type="spellEnd"/>
      <w:r w:rsidRPr="00C54522">
        <w:t xml:space="preserve"> (a psychiatrist) conducted medical evaluations at the request of claimant's employer and could not determine that claimant suffered from PTSD. Wicher concluded that her symptoms better fit the criteria for an adjustment disorder, and upon reviewing her previous diagnoses, concluded that her major depressive disorder and unspecified anxiety disorder developed </w:t>
      </w:r>
      <w:proofErr w:type="gramStart"/>
      <w:r w:rsidRPr="00C54522">
        <w:t>during the course of</w:t>
      </w:r>
      <w:proofErr w:type="gramEnd"/>
      <w:r w:rsidRPr="00C54522">
        <w:t xml:space="preserve"> her </w:t>
      </w:r>
      <w:proofErr w:type="gramStart"/>
      <w:r w:rsidRPr="00C54522">
        <w:t xml:space="preserve">work, </w:t>
      </w:r>
      <w:r>
        <w:t>‘</w:t>
      </w:r>
      <w:proofErr w:type="gramEnd"/>
      <w:r w:rsidRPr="00C54522">
        <w:t>but not largely due to the experiences at work.</w:t>
      </w:r>
      <w:r>
        <w:t>’</w:t>
      </w:r>
      <w:r w:rsidRPr="00C54522">
        <w:t xml:space="preserve"> </w:t>
      </w:r>
      <w:proofErr w:type="spellStart"/>
      <w:r w:rsidRPr="00C54522">
        <w:t>Telew</w:t>
      </w:r>
      <w:proofErr w:type="spellEnd"/>
      <w:r w:rsidRPr="00C54522">
        <w:t xml:space="preserve"> similarly opined that </w:t>
      </w:r>
      <w:r>
        <w:t>‘</w:t>
      </w:r>
      <w:r w:rsidRPr="00C54522">
        <w:t>[</w:t>
      </w:r>
      <w:proofErr w:type="spellStart"/>
      <w:r w:rsidRPr="00C54522">
        <w:t>i</w:t>
      </w:r>
      <w:proofErr w:type="spellEnd"/>
      <w:r w:rsidRPr="00C54522">
        <w:t>]t is evident that she does not have sufficient symptomatology to make a diagnosis of PTSD.</w:t>
      </w:r>
      <w:r>
        <w:t>’</w:t>
      </w:r>
      <w:r w:rsidRPr="00C54522">
        <w:t xml:space="preserve"> His analysis included indications that she was exaggerating symptoms, did not have a problem discussing events she identified as traumatic, and did not avoid or even evi</w:t>
      </w:r>
      <w:r>
        <w:t>de</w:t>
      </w:r>
      <w:r w:rsidRPr="00C54522">
        <w:t xml:space="preserve">nce a reaction to stimuli that she had identified as causing panic </w:t>
      </w:r>
      <w:proofErr w:type="gramStart"/>
      <w:r w:rsidRPr="00C54522">
        <w:t>attacks.</w:t>
      </w:r>
      <w:r>
        <w:t>”</w:t>
      </w:r>
      <w:proofErr w:type="gramEnd"/>
    </w:p>
    <w:p w14:paraId="47074EAE" w14:textId="77777777" w:rsidR="00683602" w:rsidRDefault="00683602" w:rsidP="00683602">
      <w:pPr>
        <w:pStyle w:val="NoSpacing"/>
      </w:pPr>
    </w:p>
    <w:p w14:paraId="7E623A81" w14:textId="77777777" w:rsidR="00683602" w:rsidRPr="00B71524" w:rsidRDefault="00683602" w:rsidP="00683602">
      <w:pPr>
        <w:pStyle w:val="NoSpacing"/>
      </w:pPr>
      <w:r w:rsidRPr="00AA6A27">
        <w:rPr>
          <w:b/>
        </w:rPr>
        <w:t xml:space="preserve">Legal lesson learned: </w:t>
      </w:r>
      <w:r>
        <w:rPr>
          <w:b/>
        </w:rPr>
        <w:t xml:space="preserve">Battle of the experts; two experts found no work created PTSD. </w:t>
      </w:r>
    </w:p>
    <w:p w14:paraId="22FD0A02" w14:textId="77777777" w:rsidR="00683602" w:rsidRDefault="00683602" w:rsidP="000C4DF5">
      <w:pPr>
        <w:pStyle w:val="NoSpacing"/>
        <w:rPr>
          <w:rFonts w:ascii="Arial Black" w:hAnsi="Arial Black"/>
          <w:sz w:val="24"/>
          <w:szCs w:val="24"/>
        </w:rPr>
      </w:pPr>
    </w:p>
    <w:p w14:paraId="111CEE87" w14:textId="77777777" w:rsidR="00610D0A" w:rsidRDefault="00610D0A" w:rsidP="00491756">
      <w:pPr>
        <w:pStyle w:val="NoSpacing"/>
        <w:rPr>
          <w:rFonts w:ascii="Arial Black" w:hAnsi="Arial Black"/>
          <w:sz w:val="24"/>
          <w:szCs w:val="24"/>
        </w:rPr>
      </w:pPr>
    </w:p>
    <w:p w14:paraId="3A086F43" w14:textId="77777777" w:rsidR="00610D0A" w:rsidRDefault="00610D0A" w:rsidP="00491756">
      <w:pPr>
        <w:pStyle w:val="NoSpacing"/>
        <w:rPr>
          <w:rFonts w:ascii="Arial Black" w:hAnsi="Arial Black"/>
          <w:sz w:val="24"/>
          <w:szCs w:val="24"/>
        </w:rPr>
      </w:pPr>
    </w:p>
    <w:p w14:paraId="70D213C8" w14:textId="77777777" w:rsidR="00610D0A" w:rsidRDefault="00610D0A" w:rsidP="00491756">
      <w:pPr>
        <w:pStyle w:val="NoSpacing"/>
        <w:rPr>
          <w:rFonts w:ascii="Arial Black" w:hAnsi="Arial Black"/>
          <w:sz w:val="24"/>
          <w:szCs w:val="24"/>
        </w:rPr>
      </w:pPr>
    </w:p>
    <w:p w14:paraId="4AB005F8" w14:textId="70A1233F" w:rsidR="00CD6C01" w:rsidRPr="00977F30" w:rsidRDefault="00CD6C01" w:rsidP="00491756">
      <w:pPr>
        <w:pStyle w:val="NoSpacing"/>
        <w:rPr>
          <w:rFonts w:ascii="Times New Roman" w:hAnsi="Times New Roman"/>
          <w:sz w:val="24"/>
          <w:szCs w:val="24"/>
        </w:rPr>
      </w:pPr>
      <w:r>
        <w:rPr>
          <w:rFonts w:ascii="Arial Black" w:hAnsi="Arial Black"/>
          <w:sz w:val="24"/>
          <w:szCs w:val="24"/>
        </w:rPr>
        <w:t>15-4</w:t>
      </w:r>
      <w:r w:rsidR="003D2AAD">
        <w:rPr>
          <w:rFonts w:ascii="Arial Black" w:hAnsi="Arial Black"/>
          <w:sz w:val="24"/>
          <w:szCs w:val="24"/>
        </w:rPr>
        <w:t xml:space="preserve">7 </w:t>
      </w:r>
      <w:r w:rsidR="003D2AAD" w:rsidRPr="003D2AAD">
        <w:rPr>
          <w:rFonts w:ascii="Times New Roman" w:hAnsi="Times New Roman"/>
          <w:sz w:val="24"/>
          <w:szCs w:val="24"/>
        </w:rPr>
        <w:t>[also filed,</w:t>
      </w:r>
      <w:r w:rsidR="003D2AAD">
        <w:rPr>
          <w:rFonts w:ascii="Arial Black" w:hAnsi="Arial Black"/>
          <w:sz w:val="24"/>
          <w:szCs w:val="24"/>
        </w:rPr>
        <w:t xml:space="preserve"> </w:t>
      </w:r>
      <w:r w:rsidR="00977F30" w:rsidRPr="00977F30">
        <w:rPr>
          <w:rFonts w:ascii="Times New Roman" w:hAnsi="Times New Roman"/>
          <w:sz w:val="24"/>
          <w:szCs w:val="24"/>
        </w:rPr>
        <w:t xml:space="preserve">Chap. 9, ADA] </w:t>
      </w:r>
    </w:p>
    <w:p w14:paraId="60E43917" w14:textId="77777777" w:rsidR="003D2AAD" w:rsidRDefault="003D2AAD" w:rsidP="00491756">
      <w:pPr>
        <w:pStyle w:val="NoSpacing"/>
        <w:rPr>
          <w:rFonts w:ascii="Arial Black" w:hAnsi="Arial Black"/>
          <w:sz w:val="24"/>
          <w:szCs w:val="24"/>
        </w:rPr>
      </w:pPr>
    </w:p>
    <w:p w14:paraId="5A32F3ED" w14:textId="77777777" w:rsidR="003D2AAD" w:rsidRPr="00FC582A" w:rsidRDefault="003D2AAD" w:rsidP="003D2AAD">
      <w:pPr>
        <w:pStyle w:val="NoSpacing"/>
        <w:rPr>
          <w:rFonts w:ascii="Arial Black" w:hAnsi="Arial Black"/>
          <w:sz w:val="28"/>
          <w:szCs w:val="28"/>
        </w:rPr>
      </w:pPr>
      <w:r>
        <w:rPr>
          <w:rFonts w:ascii="Arial Black" w:hAnsi="Arial Black"/>
          <w:sz w:val="28"/>
          <w:szCs w:val="28"/>
        </w:rPr>
        <w:t>SC: MEDIC PTSD – DIDN’T INTERVIEW FOR BILLING JOB</w:t>
      </w:r>
    </w:p>
    <w:p w14:paraId="6FC4C3CE" w14:textId="77777777" w:rsidR="003D2AAD" w:rsidRDefault="003D2AAD" w:rsidP="003D2AAD">
      <w:pPr>
        <w:pStyle w:val="NoSpacing"/>
        <w:ind w:left="720"/>
      </w:pPr>
    </w:p>
    <w:p w14:paraId="6A98A793" w14:textId="77777777" w:rsidR="003D2AAD" w:rsidRDefault="003D2AAD" w:rsidP="003D2AAD">
      <w:pPr>
        <w:pStyle w:val="NoSpacing"/>
      </w:pPr>
      <w:r>
        <w:t xml:space="preserve">On December 18, 2025, in </w:t>
      </w:r>
      <w:r w:rsidRPr="00AF68E6">
        <w:rPr>
          <w:u w:val="single"/>
        </w:rPr>
        <w:t>William D. Shugart v. Chester County</w:t>
      </w:r>
      <w:r>
        <w:t xml:space="preserve">, Senior U.S. District Court Judge Cameron McGowan Currie, </w:t>
      </w:r>
      <w:r w:rsidRPr="00AF68E6">
        <w:t>United States District Court, D. South Carolina, Rock Hill Division</w:t>
      </w:r>
      <w:r>
        <w:t xml:space="preserve">, granted defense motion for summary judgment; no proof of ADA discrimination or retaliation for taking FMLA leave.  Plaintiff was a Senior Medic with Chest County EMS, and on September 8, </w:t>
      </w:r>
      <w:proofErr w:type="gramStart"/>
      <w:r>
        <w:t>2021</w:t>
      </w:r>
      <w:proofErr w:type="gramEnd"/>
      <w:r>
        <w:t xml:space="preserve"> there was incident where a gun shot came from a house.  He sought treatment for PTSD and history of depression and went on 12-weeks of FMLA leave.  On January 1, </w:t>
      </w:r>
      <w:proofErr w:type="gramStart"/>
      <w:r>
        <w:t>2023</w:t>
      </w:r>
      <w:proofErr w:type="gramEnd"/>
      <w:r>
        <w:t xml:space="preserve"> he was terminated when he was medically cleared to return to work as a paramedic but did not return. His supervisor encouraged him to apply for billing position that opened with a recent retirement, but he cancelled the January 30 (1 pm) in-person interview the day </w:t>
      </w:r>
      <w:proofErr w:type="gramStart"/>
      <w:r>
        <w:t>prior, and</w:t>
      </w:r>
      <w:proofErr w:type="gramEnd"/>
      <w:r>
        <w:t xml:space="preserve"> did not respond to offer of ZOOM interview.  </w:t>
      </w:r>
      <w:hyperlink r:id="rId2445" w:history="1">
        <w:r w:rsidRPr="007B3445">
          <w:rPr>
            <w:rStyle w:val="Hyperlink"/>
          </w:rPr>
          <w:t>https://cases.justia.com/federal/district-courts/south-carolina/scdce/0:2024cv00826/288831/46/0.pdf</w:t>
        </w:r>
      </w:hyperlink>
      <w:r>
        <w:t xml:space="preserve"> </w:t>
      </w:r>
    </w:p>
    <w:p w14:paraId="7D61A869" w14:textId="77777777" w:rsidR="003D2AAD" w:rsidRDefault="003D2AAD" w:rsidP="003D2AAD">
      <w:pPr>
        <w:pStyle w:val="NoSpacing"/>
        <w:rPr>
          <w:bCs/>
        </w:rPr>
      </w:pPr>
    </w:p>
    <w:p w14:paraId="2686C792" w14:textId="77777777" w:rsidR="003D2AAD" w:rsidRDefault="003D2AAD" w:rsidP="003D2AAD">
      <w:pPr>
        <w:pStyle w:val="NoSpacing"/>
        <w:rPr>
          <w:bCs/>
        </w:rPr>
      </w:pPr>
      <w:r>
        <w:t xml:space="preserve">THE COURT HELD: </w:t>
      </w:r>
    </w:p>
    <w:p w14:paraId="1BA2F698" w14:textId="77777777" w:rsidR="003D2AAD" w:rsidRDefault="003D2AAD" w:rsidP="003D2AAD">
      <w:pPr>
        <w:pStyle w:val="NoSpacing"/>
        <w:rPr>
          <w:bCs/>
        </w:rPr>
      </w:pPr>
    </w:p>
    <w:p w14:paraId="55DAF4CB" w14:textId="77777777" w:rsidR="003D2AAD" w:rsidRDefault="003D2AAD" w:rsidP="003D2AAD">
      <w:pPr>
        <w:pStyle w:val="NoSpacing"/>
        <w:ind w:firstLine="720"/>
      </w:pPr>
      <w:r>
        <w:t>“Plaintiff was employed by Chester County in its Emergency Medical Services (‘EMS’)</w:t>
      </w:r>
    </w:p>
    <w:p w14:paraId="4BEDE5D7" w14:textId="77777777" w:rsidR="003D2AAD" w:rsidRDefault="003D2AAD" w:rsidP="003D2AAD">
      <w:pPr>
        <w:pStyle w:val="NoSpacing"/>
        <w:ind w:left="720"/>
      </w:pPr>
      <w:r>
        <w:t xml:space="preserve">department from May 2016 until January 2023….He was promoted to Senior Paramedic on December 4, 2021…. An essential function of the Senior Paramedic was operation of an ambulance. </w:t>
      </w:r>
    </w:p>
    <w:p w14:paraId="009737A2" w14:textId="77777777" w:rsidR="003D2AAD" w:rsidRDefault="003D2AAD" w:rsidP="003D2AAD">
      <w:pPr>
        <w:pStyle w:val="NoSpacing"/>
        <w:ind w:left="720"/>
      </w:pPr>
    </w:p>
    <w:p w14:paraId="443E031D" w14:textId="77777777" w:rsidR="003D2AAD" w:rsidRDefault="003D2AAD" w:rsidP="003D2AAD">
      <w:pPr>
        <w:pStyle w:val="NoSpacing"/>
        <w:ind w:left="720"/>
      </w:pPr>
      <w:r>
        <w:t>***</w:t>
      </w:r>
    </w:p>
    <w:p w14:paraId="1A0A5165" w14:textId="77777777" w:rsidR="003D2AAD" w:rsidRDefault="003D2AAD" w:rsidP="003D2AAD">
      <w:pPr>
        <w:pStyle w:val="NoSpacing"/>
      </w:pPr>
    </w:p>
    <w:p w14:paraId="18E1572D" w14:textId="77777777" w:rsidR="003D2AAD" w:rsidRDefault="003D2AAD" w:rsidP="003D2AAD">
      <w:pPr>
        <w:pStyle w:val="NoSpacing"/>
        <w:ind w:firstLine="720"/>
      </w:pPr>
      <w:r>
        <w:t xml:space="preserve">Plaintiff was </w:t>
      </w:r>
      <w:proofErr w:type="gramStart"/>
      <w:r>
        <w:t>provided</w:t>
      </w:r>
      <w:proofErr w:type="gramEnd"/>
      <w:r>
        <w:t xml:space="preserve"> the opportunity to apply and interview for the billing specialist</w:t>
      </w:r>
    </w:p>
    <w:p w14:paraId="17DA17C4" w14:textId="77777777" w:rsidR="003D2AAD" w:rsidRDefault="003D2AAD" w:rsidP="003D2AAD">
      <w:pPr>
        <w:pStyle w:val="NoSpacing"/>
        <w:ind w:left="720"/>
      </w:pPr>
      <w:r>
        <w:t>position when it was posted, but cancelled the interview the day before, and did not respond to inquiries about another option for the interview. The job was filled by a person with finance or accounting experience. For the reasons above, the court finds summary judgment is appropriate for Defendant on Plaintiff’s claims of ADA discrimination and retaliation.</w:t>
      </w:r>
    </w:p>
    <w:p w14:paraId="24CE7972" w14:textId="77777777" w:rsidR="003D2AAD" w:rsidRDefault="003D2AAD" w:rsidP="003D2AAD">
      <w:pPr>
        <w:pStyle w:val="NoSpacing"/>
        <w:ind w:left="720"/>
      </w:pPr>
    </w:p>
    <w:p w14:paraId="2015C995" w14:textId="77777777" w:rsidR="003D2AAD" w:rsidRDefault="003D2AAD" w:rsidP="003D2AAD">
      <w:pPr>
        <w:pStyle w:val="NoSpacing"/>
        <w:ind w:left="720"/>
      </w:pPr>
      <w:r>
        <w:t>***</w:t>
      </w:r>
    </w:p>
    <w:p w14:paraId="7EE31152" w14:textId="77777777" w:rsidR="003D2AAD" w:rsidRDefault="003D2AAD" w:rsidP="003D2AAD">
      <w:pPr>
        <w:pStyle w:val="NoSpacing"/>
      </w:pPr>
    </w:p>
    <w:p w14:paraId="681C7FD5" w14:textId="77777777" w:rsidR="003D2AAD" w:rsidRDefault="003D2AAD" w:rsidP="003D2AAD">
      <w:pPr>
        <w:pStyle w:val="NoSpacing"/>
        <w:ind w:firstLine="720"/>
      </w:pPr>
      <w:r>
        <w:t>To make out an FMLA interference claim, an employee must demonstrate he was entitled</w:t>
      </w:r>
    </w:p>
    <w:p w14:paraId="2860F0C3" w14:textId="77777777" w:rsidR="003D2AAD" w:rsidRDefault="003D2AAD" w:rsidP="003D2AAD">
      <w:pPr>
        <w:pStyle w:val="NoSpacing"/>
        <w:ind w:left="720"/>
      </w:pPr>
      <w:r>
        <w:t xml:space="preserve">to an FMLA benefit, his employer interfered with the provision of that benefit, and the interference caused him harm. Adkins v. CSX Transp., Inc., 70 F.4th 785, 796 (4th Cir. 2023). The court agrees with the Magistrate Judge Defendant has produced evidence Plaintiff was provided his twelve-week statutorily mandated FMLA leave, his position was protected during that time, and there is no evidence his use of FMLA leave was a factor in his </w:t>
      </w:r>
      <w:r>
        <w:lastRenderedPageBreak/>
        <w:t xml:space="preserve">termination. Plaintiff has failed to refute this evidence. In fact, the record shows Defendant went out of its way to assist Plaintiff in obtaining the appropriate paperwork when Plaintiff indicated he was ready to come back to work, even though he indicated he would not be going back on an </w:t>
      </w:r>
      <w:proofErr w:type="gramStart"/>
      <w:r>
        <w:t>ambulance.”</w:t>
      </w:r>
      <w:proofErr w:type="gramEnd"/>
    </w:p>
    <w:p w14:paraId="2A012F46" w14:textId="77777777" w:rsidR="003D2AAD" w:rsidRDefault="003D2AAD" w:rsidP="003D2AAD">
      <w:pPr>
        <w:pStyle w:val="NoSpacing"/>
        <w:ind w:left="720"/>
      </w:pPr>
    </w:p>
    <w:p w14:paraId="0A7F6062" w14:textId="77777777" w:rsidR="003D2AAD" w:rsidRPr="00E35214" w:rsidRDefault="003D2AAD" w:rsidP="003D2AAD">
      <w:pPr>
        <w:pStyle w:val="NoSpacing"/>
        <w:rPr>
          <w:b/>
          <w:bCs/>
        </w:rPr>
      </w:pPr>
      <w:r>
        <w:rPr>
          <w:b/>
        </w:rPr>
        <w:t xml:space="preserve">Legal lesson learned:  Plaintiff’s supervisors went out of their way to assist the paramedic. </w:t>
      </w:r>
    </w:p>
    <w:p w14:paraId="53A13BCF" w14:textId="77777777" w:rsidR="003D2AAD" w:rsidRDefault="003D2AAD" w:rsidP="003D2AAD">
      <w:pPr>
        <w:pStyle w:val="NoSpacing"/>
      </w:pPr>
    </w:p>
    <w:p w14:paraId="73AD4B69" w14:textId="77777777" w:rsidR="003D2AAD" w:rsidRDefault="003D2AAD" w:rsidP="00491756">
      <w:pPr>
        <w:pStyle w:val="NoSpacing"/>
        <w:rPr>
          <w:rFonts w:ascii="Arial Black" w:hAnsi="Arial Black"/>
          <w:sz w:val="24"/>
          <w:szCs w:val="24"/>
        </w:rPr>
      </w:pPr>
    </w:p>
    <w:p w14:paraId="3B708979" w14:textId="77777777" w:rsidR="00CD6C01" w:rsidRDefault="00CD6C01" w:rsidP="00491756">
      <w:pPr>
        <w:pStyle w:val="NoSpacing"/>
        <w:rPr>
          <w:rFonts w:ascii="Arial Black" w:hAnsi="Arial Black"/>
          <w:sz w:val="24"/>
          <w:szCs w:val="24"/>
        </w:rPr>
      </w:pPr>
    </w:p>
    <w:p w14:paraId="0312E79C" w14:textId="77777777" w:rsidR="00CD6C01" w:rsidRDefault="00CD6C01" w:rsidP="00491756">
      <w:pPr>
        <w:pStyle w:val="NoSpacing"/>
        <w:rPr>
          <w:rFonts w:ascii="Arial Black" w:hAnsi="Arial Black"/>
          <w:sz w:val="24"/>
          <w:szCs w:val="24"/>
        </w:rPr>
      </w:pPr>
    </w:p>
    <w:p w14:paraId="0E6D54FF" w14:textId="6756AC0A" w:rsidR="004B6753" w:rsidRDefault="0000182B" w:rsidP="00491756">
      <w:pPr>
        <w:pStyle w:val="NoSpacing"/>
        <w:rPr>
          <w:rFonts w:ascii="Arial Black" w:hAnsi="Arial Black"/>
          <w:sz w:val="24"/>
          <w:szCs w:val="24"/>
        </w:rPr>
      </w:pPr>
      <w:r>
        <w:rPr>
          <w:rFonts w:ascii="Arial Black" w:hAnsi="Arial Black"/>
          <w:sz w:val="24"/>
          <w:szCs w:val="24"/>
        </w:rPr>
        <w:t>15-46</w:t>
      </w:r>
    </w:p>
    <w:p w14:paraId="5AEB231A" w14:textId="77777777" w:rsidR="0000182B" w:rsidRDefault="0000182B" w:rsidP="00491756">
      <w:pPr>
        <w:pStyle w:val="NoSpacing"/>
        <w:rPr>
          <w:rFonts w:ascii="Arial Black" w:hAnsi="Arial Black"/>
          <w:sz w:val="24"/>
          <w:szCs w:val="24"/>
        </w:rPr>
      </w:pPr>
    </w:p>
    <w:p w14:paraId="7825D952" w14:textId="77777777" w:rsidR="00594C0D" w:rsidRPr="0082689F" w:rsidRDefault="00594C0D" w:rsidP="00594C0D">
      <w:pPr>
        <w:rPr>
          <w:rFonts w:ascii="Arial Black" w:hAnsi="Arial Black"/>
          <w:b/>
          <w:sz w:val="28"/>
          <w:szCs w:val="28"/>
        </w:rPr>
      </w:pPr>
      <w:r>
        <w:rPr>
          <w:rFonts w:ascii="Arial Black" w:hAnsi="Arial Black"/>
          <w:b/>
          <w:sz w:val="28"/>
          <w:szCs w:val="28"/>
        </w:rPr>
        <w:t xml:space="preserve">IL: CHICAGO FD – PASSED MENTAL FITNESS FOR DUTY </w:t>
      </w:r>
    </w:p>
    <w:p w14:paraId="5F0F0E81" w14:textId="77777777" w:rsidR="00594C0D" w:rsidRDefault="00594C0D" w:rsidP="00594C0D">
      <w:pPr>
        <w:rPr>
          <w:bCs/>
        </w:rPr>
      </w:pPr>
      <w:r>
        <w:t xml:space="preserve">On December 3, 2025, in </w:t>
      </w:r>
      <w:r w:rsidRPr="00CE42F8">
        <w:rPr>
          <w:u w:val="single"/>
        </w:rPr>
        <w:t>Lee Ann McKay v. Nicole Patino, et al</w:t>
      </w:r>
      <w:r>
        <w:t xml:space="preserve">., U.S. District Court Judge Jorge L. Alonso, </w:t>
      </w:r>
      <w:r w:rsidRPr="007D31A0">
        <w:t>United States District Court, N.D. Illinois, Eastern Division</w:t>
      </w:r>
      <w:r>
        <w:t xml:space="preserve">, dismissed the plaintiff’s pro se [no attorney] lawsuit.  There were no constitutional rights violated when in May 2024 two Office of Inspector General investigators came to her home, unannounced, to interview her about her January 2024 complain of inferior </w:t>
      </w:r>
      <w:r w:rsidRPr="005A21BE">
        <w:t>bathroom facilities available to women in certain firehouses</w:t>
      </w:r>
      <w:r>
        <w:t xml:space="preserve">.   Likewise, there was no violation of her constitutional rights when </w:t>
      </w:r>
      <w:r w:rsidRPr="00793C90">
        <w:t>Dr. Nicole Patino, Chief Medical Director for the City of Chicago</w:t>
      </w:r>
      <w:r>
        <w:t>,</w:t>
      </w:r>
      <w:r w:rsidRPr="00793C90">
        <w:t xml:space="preserve"> Office of Public Safety Administration</w:t>
      </w:r>
      <w:r>
        <w:t xml:space="preserve"> on July 11, 2024 took her blood pressure, or when she was ordered by Dr. Patino to take a </w:t>
      </w:r>
      <w:r w:rsidRPr="009D0ED5">
        <w:t>mental capacity examination</w:t>
      </w:r>
      <w:r>
        <w:t xml:space="preserve"> with a </w:t>
      </w:r>
      <w:r w:rsidRPr="009D0ED5">
        <w:t>psychologist</w:t>
      </w:r>
      <w:r>
        <w:t xml:space="preserve"> (July 15 tests, and </w:t>
      </w:r>
      <w:r w:rsidRPr="0078051A">
        <w:t>August 2024, psychologist found her fit for duty</w:t>
      </w:r>
      <w:r>
        <w:t xml:space="preserve">); or to take pulmonary function test on </w:t>
      </w:r>
      <w:r w:rsidRPr="00792A7A">
        <w:t>December 31, 2024</w:t>
      </w:r>
      <w:r>
        <w:t xml:space="preserve">. </w:t>
      </w:r>
      <w:hyperlink r:id="rId2446" w:history="1">
        <w:r w:rsidRPr="00B64AD8">
          <w:rPr>
            <w:rStyle w:val="Hyperlink"/>
          </w:rPr>
          <w:t>https://public.fastcase.com/Jhe1Qn%2BmJndQYQU6z%2FeNm%2BcFVCy5tJw2gy1zfbpkLaze9U67QqLJTV5FE2cJQCoqnSyWDfbWSo3ic5o1p0zHzyDw8vgxY%2BBok5izm2ejH6U%3D?utm_medium=email&amp;_hsenc=p2ANqtz--bkYiy1pyPlPSsVe74xwULcEQroRrEa3UI3GrVMXxBGgBl78iSBqXQuZMV2NG07-VaF6HXpA1gGzG-xJKwbOenCq2wOg&amp;_hsmi=226712652&amp;utm_content=226712652&amp;utm_source=hs_email</w:t>
        </w:r>
      </w:hyperlink>
      <w:r>
        <w:t xml:space="preserve">   </w:t>
      </w:r>
    </w:p>
    <w:p w14:paraId="5FAC6478" w14:textId="77777777" w:rsidR="00594C0D" w:rsidRPr="008E10FD" w:rsidRDefault="00594C0D" w:rsidP="00594C0D">
      <w:pPr>
        <w:rPr>
          <w:bCs/>
        </w:rPr>
      </w:pPr>
      <w:r w:rsidRPr="008E10FD">
        <w:t xml:space="preserve">THE COURT HELD:  </w:t>
      </w:r>
    </w:p>
    <w:p w14:paraId="7397483A" w14:textId="77777777" w:rsidR="00594C0D" w:rsidRDefault="00594C0D" w:rsidP="00594C0D">
      <w:pPr>
        <w:pStyle w:val="NoSpacing"/>
        <w:ind w:left="720"/>
      </w:pPr>
      <w:r>
        <w:t>“</w:t>
      </w:r>
      <w:r w:rsidRPr="00D61F0C">
        <w:t xml:space="preserve">To the extent Plaintiff complains of </w:t>
      </w:r>
      <w:r>
        <w:t xml:space="preserve">[OIG investigators] </w:t>
      </w:r>
      <w:r w:rsidRPr="00D61F0C">
        <w:t>Lauder and Arellano showing up to her house or of any psychological test she was given, she fails to state a claim of a constitutional violation.</w:t>
      </w:r>
    </w:p>
    <w:p w14:paraId="0DBAC3D9" w14:textId="77777777" w:rsidR="00594C0D" w:rsidRDefault="00594C0D" w:rsidP="00594C0D">
      <w:pPr>
        <w:pStyle w:val="NoSpacing"/>
        <w:ind w:left="720"/>
      </w:pPr>
    </w:p>
    <w:p w14:paraId="50F8092A" w14:textId="77777777" w:rsidR="00594C0D" w:rsidRDefault="00594C0D" w:rsidP="00594C0D">
      <w:pPr>
        <w:pStyle w:val="NoSpacing"/>
        <w:ind w:left="720"/>
      </w:pPr>
      <w:r>
        <w:t>***</w:t>
      </w:r>
    </w:p>
    <w:p w14:paraId="568465FA" w14:textId="77777777" w:rsidR="00594C0D" w:rsidRDefault="00594C0D" w:rsidP="00594C0D">
      <w:pPr>
        <w:pStyle w:val="NoSpacing"/>
      </w:pPr>
    </w:p>
    <w:p w14:paraId="3048F9DE" w14:textId="77777777" w:rsidR="00594C0D" w:rsidRDefault="00594C0D" w:rsidP="00594C0D">
      <w:pPr>
        <w:pStyle w:val="NoSpacing"/>
        <w:ind w:left="720"/>
      </w:pPr>
      <w:r w:rsidRPr="00B16BE9">
        <w:t>Dr. Patino is entitled to qualified immunity on the issue of whether the pulmonary function testing violated the Fourth Amendment.</w:t>
      </w:r>
    </w:p>
    <w:p w14:paraId="7AA68F83" w14:textId="77777777" w:rsidR="00594C0D" w:rsidRDefault="00594C0D" w:rsidP="00594C0D">
      <w:pPr>
        <w:pStyle w:val="NoSpacing"/>
        <w:ind w:left="720"/>
      </w:pPr>
    </w:p>
    <w:p w14:paraId="62DC9AEF" w14:textId="77777777" w:rsidR="00594C0D" w:rsidRDefault="00594C0D" w:rsidP="00594C0D">
      <w:pPr>
        <w:pStyle w:val="NoSpacing"/>
        <w:ind w:left="720"/>
      </w:pPr>
      <w:r>
        <w:t>***</w:t>
      </w:r>
    </w:p>
    <w:p w14:paraId="4430B6E3" w14:textId="77777777" w:rsidR="00594C0D" w:rsidRDefault="00594C0D" w:rsidP="00594C0D">
      <w:pPr>
        <w:pStyle w:val="NoSpacing"/>
      </w:pPr>
    </w:p>
    <w:p w14:paraId="1BE50A2B" w14:textId="77777777" w:rsidR="00594C0D" w:rsidRDefault="00594C0D" w:rsidP="00594C0D">
      <w:pPr>
        <w:pStyle w:val="NoSpacing"/>
        <w:ind w:left="720" w:firstLine="60"/>
      </w:pPr>
      <w:r w:rsidRPr="008D2049">
        <w:t>It follows that Dr. Marder</w:t>
      </w:r>
      <w:r>
        <w:t xml:space="preserve"> [pulmonary function test] </w:t>
      </w:r>
      <w:r w:rsidRPr="008D2049">
        <w:t>and any other defendant alleged to have participated in the testing is likewise protected by qualified immunity from any Fourth Amendment claim</w:t>
      </w:r>
      <w:r>
        <w:t>.</w:t>
      </w:r>
    </w:p>
    <w:p w14:paraId="3CC3D615" w14:textId="77777777" w:rsidR="00594C0D" w:rsidRDefault="00594C0D" w:rsidP="00594C0D">
      <w:pPr>
        <w:pStyle w:val="NoSpacing"/>
        <w:ind w:left="720" w:firstLine="60"/>
      </w:pPr>
    </w:p>
    <w:p w14:paraId="3FF8C1E4" w14:textId="77777777" w:rsidR="00594C0D" w:rsidRDefault="00594C0D" w:rsidP="00594C0D">
      <w:pPr>
        <w:pStyle w:val="NoSpacing"/>
        <w:ind w:left="720" w:firstLine="60"/>
      </w:pPr>
      <w:r>
        <w:t>***</w:t>
      </w:r>
    </w:p>
    <w:p w14:paraId="45330EA3" w14:textId="77777777" w:rsidR="00594C0D" w:rsidRDefault="00594C0D" w:rsidP="00594C0D">
      <w:pPr>
        <w:pStyle w:val="NoSpacing"/>
      </w:pPr>
    </w:p>
    <w:p w14:paraId="52C54FA4" w14:textId="77777777" w:rsidR="00594C0D" w:rsidRDefault="00594C0D" w:rsidP="00594C0D">
      <w:pPr>
        <w:pStyle w:val="NoSpacing"/>
        <w:ind w:left="720"/>
      </w:pPr>
      <w:r w:rsidRPr="00AD6383">
        <w:t xml:space="preserve">Plaintiff's </w:t>
      </w:r>
      <w:r w:rsidRPr="00AD6383">
        <w:rPr>
          <w:i/>
          <w:iCs/>
        </w:rPr>
        <w:t>pro se</w:t>
      </w:r>
      <w:r w:rsidRPr="00AD6383">
        <w:t xml:space="preserve"> status and the surplusage in Plaintiff's complaint counsel against dismissal with prejudice at this point. As the Court has taken pains to recount in some detail above, Plaintiff's allegations go far beyond what is necessary to assert a Fourth Amendment claim. Although she does not rely on any other legal theory in her response briefs, the Court cannot say for certain whether there is not some potentially viable claim within the scope of the events described in her complaint that she might be able to plausibly state in an amended complaint. Therefore, the Court will grant Plaintiff leave to file an amended complaint, if she can do so in compliance with the principles set forth in this Order and the Federal Rules of Civil Procedure.</w:t>
      </w:r>
      <w:r>
        <w:t>”</w:t>
      </w:r>
    </w:p>
    <w:p w14:paraId="768D2AE7" w14:textId="77777777" w:rsidR="00594C0D" w:rsidRDefault="00594C0D" w:rsidP="00594C0D">
      <w:pPr>
        <w:pStyle w:val="NoSpacing"/>
        <w:ind w:left="720"/>
      </w:pPr>
    </w:p>
    <w:p w14:paraId="20B3E871" w14:textId="77777777" w:rsidR="00594C0D" w:rsidRPr="0015463F" w:rsidRDefault="00594C0D" w:rsidP="00594C0D">
      <w:pPr>
        <w:pStyle w:val="NoSpacing"/>
        <w:rPr>
          <w:b/>
          <w:bCs/>
        </w:rPr>
      </w:pPr>
      <w:r>
        <w:rPr>
          <w:b/>
        </w:rPr>
        <w:t xml:space="preserve">Legal lesson learned: Qualified immunity protects Fire Department’s physicians conducting fitness for duty exams. </w:t>
      </w:r>
    </w:p>
    <w:p w14:paraId="30E8E8BB" w14:textId="77777777" w:rsidR="00594C0D" w:rsidRDefault="00594C0D" w:rsidP="00594C0D">
      <w:pPr>
        <w:pStyle w:val="NoSpacing"/>
      </w:pPr>
    </w:p>
    <w:p w14:paraId="2E47160E" w14:textId="77777777" w:rsidR="00594C0D" w:rsidRDefault="00594C0D" w:rsidP="00491756">
      <w:pPr>
        <w:pStyle w:val="NoSpacing"/>
        <w:rPr>
          <w:rFonts w:ascii="Arial Black" w:hAnsi="Arial Black"/>
          <w:sz w:val="24"/>
          <w:szCs w:val="24"/>
        </w:rPr>
      </w:pPr>
    </w:p>
    <w:p w14:paraId="5F537BAE" w14:textId="77777777" w:rsidR="0000182B" w:rsidRDefault="0000182B" w:rsidP="00491756">
      <w:pPr>
        <w:pStyle w:val="NoSpacing"/>
        <w:rPr>
          <w:rFonts w:ascii="Arial Black" w:hAnsi="Arial Black"/>
          <w:sz w:val="24"/>
          <w:szCs w:val="24"/>
        </w:rPr>
      </w:pPr>
    </w:p>
    <w:p w14:paraId="01BAEDDE" w14:textId="77777777" w:rsidR="0000182B" w:rsidRDefault="0000182B" w:rsidP="00491756">
      <w:pPr>
        <w:pStyle w:val="NoSpacing"/>
        <w:rPr>
          <w:rFonts w:ascii="Arial Black" w:hAnsi="Arial Black"/>
          <w:sz w:val="24"/>
          <w:szCs w:val="24"/>
        </w:rPr>
      </w:pPr>
    </w:p>
    <w:p w14:paraId="408932D5" w14:textId="20BCB00F" w:rsidR="004B6753" w:rsidRDefault="00F02AD2" w:rsidP="00491756">
      <w:pPr>
        <w:pStyle w:val="NoSpacing"/>
        <w:rPr>
          <w:rFonts w:ascii="Arial Black" w:hAnsi="Arial Black"/>
          <w:sz w:val="24"/>
          <w:szCs w:val="24"/>
        </w:rPr>
      </w:pPr>
      <w:r>
        <w:rPr>
          <w:rFonts w:ascii="Arial Black" w:hAnsi="Arial Black"/>
          <w:sz w:val="24"/>
          <w:szCs w:val="24"/>
        </w:rPr>
        <w:t>15-4</w:t>
      </w:r>
      <w:r w:rsidR="00D92FBD">
        <w:rPr>
          <w:rFonts w:ascii="Arial Black" w:hAnsi="Arial Black"/>
          <w:sz w:val="24"/>
          <w:szCs w:val="24"/>
        </w:rPr>
        <w:t>5</w:t>
      </w:r>
    </w:p>
    <w:p w14:paraId="242B23BA" w14:textId="77777777" w:rsidR="00F02AD2" w:rsidRDefault="00F02AD2" w:rsidP="00491756">
      <w:pPr>
        <w:pStyle w:val="NoSpacing"/>
        <w:rPr>
          <w:rFonts w:ascii="Arial Black" w:hAnsi="Arial Black"/>
          <w:sz w:val="24"/>
          <w:szCs w:val="24"/>
        </w:rPr>
      </w:pPr>
    </w:p>
    <w:p w14:paraId="38D66C82" w14:textId="499C2990" w:rsidR="001C617A" w:rsidRPr="00F75C74" w:rsidRDefault="001C617A" w:rsidP="001C617A">
      <w:pPr>
        <w:pStyle w:val="NoSpacing"/>
        <w:rPr>
          <w:rFonts w:ascii="Arial Black" w:hAnsi="Arial Black"/>
          <w:sz w:val="28"/>
          <w:szCs w:val="28"/>
        </w:rPr>
      </w:pPr>
      <w:r>
        <w:rPr>
          <w:rFonts w:ascii="Arial Black" w:hAnsi="Arial Black"/>
          <w:sz w:val="28"/>
          <w:szCs w:val="28"/>
        </w:rPr>
        <w:t xml:space="preserve">PA: PTSD – 2 INFANT CPR </w:t>
      </w:r>
      <w:r w:rsidR="00771197">
        <w:rPr>
          <w:rFonts w:ascii="Arial Black" w:hAnsi="Arial Black"/>
          <w:sz w:val="28"/>
          <w:szCs w:val="28"/>
        </w:rPr>
        <w:t xml:space="preserve">- </w:t>
      </w:r>
      <w:r>
        <w:rPr>
          <w:rFonts w:ascii="Arial Black" w:hAnsi="Arial Black"/>
          <w:sz w:val="28"/>
          <w:szCs w:val="28"/>
        </w:rPr>
        <w:t>“ABNORMAL”</w:t>
      </w:r>
      <w:r w:rsidR="00771197">
        <w:rPr>
          <w:rFonts w:ascii="Arial Black" w:hAnsi="Arial Black"/>
          <w:sz w:val="28"/>
          <w:szCs w:val="28"/>
        </w:rPr>
        <w:t xml:space="preserve"> RUNS</w:t>
      </w:r>
      <w:r>
        <w:rPr>
          <w:rFonts w:ascii="Arial Black" w:hAnsi="Arial Black"/>
          <w:sz w:val="28"/>
          <w:szCs w:val="28"/>
        </w:rPr>
        <w:t xml:space="preserve"> –- GETS WORK COMP</w:t>
      </w:r>
    </w:p>
    <w:p w14:paraId="150D77D1" w14:textId="77777777" w:rsidR="001C617A" w:rsidRDefault="001C617A" w:rsidP="001C617A">
      <w:pPr>
        <w:pStyle w:val="NoSpacing"/>
      </w:pPr>
    </w:p>
    <w:p w14:paraId="40BA566E" w14:textId="77777777" w:rsidR="001C617A" w:rsidRDefault="001C617A" w:rsidP="001C617A">
      <w:pPr>
        <w:pStyle w:val="NoSpacing"/>
        <w:rPr>
          <w:bCs/>
        </w:rPr>
      </w:pPr>
      <w:r>
        <w:t xml:space="preserve">On Oct. 22, 2025, in </w:t>
      </w:r>
      <w:r w:rsidRPr="006259EC">
        <w:rPr>
          <w:u w:val="single"/>
        </w:rPr>
        <w:t>Brian Ganley v. Upper Darby Township (Workers Compensation Appeal Board)</w:t>
      </w:r>
      <w:r>
        <w:t>, the</w:t>
      </w:r>
      <w:r w:rsidRPr="00A72D5F">
        <w:rPr>
          <w:b/>
        </w:rPr>
        <w:t xml:space="preserve"> </w:t>
      </w:r>
      <w:r w:rsidRPr="00A72D5F">
        <w:t>Commonwealth Court of Pennsylvania</w:t>
      </w:r>
      <w:r>
        <w:t xml:space="preserve"> held (3 to 0) that a career firefighter with 33 years’ experience should be awarded worker’s comp after performing two separate CPRs on infants within 16 months (Nov. 2018; May 2021).  The Court reversed the Workers Comp Law Judge and the Appeal Board – holding that the two incidents met the requirement of “abnormal” event. </w:t>
      </w:r>
      <w:hyperlink r:id="rId2447" w:history="1">
        <w:r w:rsidRPr="00410A8E">
          <w:rPr>
            <w:rStyle w:val="Hyperlink"/>
          </w:rPr>
          <w:t>https://www.pacourts.us/assets/opinions/Commonwealth/out/770CD24_10-22-25.pdf?cb=1</w:t>
        </w:r>
      </w:hyperlink>
      <w:r>
        <w:t xml:space="preserve"> </w:t>
      </w:r>
    </w:p>
    <w:p w14:paraId="47929B11" w14:textId="77777777" w:rsidR="001C617A" w:rsidRDefault="001C617A" w:rsidP="001C617A">
      <w:pPr>
        <w:pStyle w:val="NoSpacing"/>
        <w:rPr>
          <w:bCs/>
        </w:rPr>
      </w:pPr>
    </w:p>
    <w:p w14:paraId="5E53C499" w14:textId="77777777" w:rsidR="001C617A" w:rsidRPr="003424B4" w:rsidRDefault="001C617A" w:rsidP="001C617A">
      <w:pPr>
        <w:pStyle w:val="NoSpacing"/>
        <w:rPr>
          <w:b/>
        </w:rPr>
      </w:pPr>
      <w:r>
        <w:t xml:space="preserve">THE COURT HELD: </w:t>
      </w:r>
    </w:p>
    <w:p w14:paraId="4EAA113A" w14:textId="77777777" w:rsidR="001C617A" w:rsidRDefault="001C617A" w:rsidP="001C617A">
      <w:pPr>
        <w:pStyle w:val="NoSpacing"/>
      </w:pPr>
    </w:p>
    <w:p w14:paraId="6D63AA45" w14:textId="77777777" w:rsidR="001C617A" w:rsidRDefault="001C617A" w:rsidP="001C617A">
      <w:pPr>
        <w:pStyle w:val="NoSpacing"/>
        <w:ind w:left="720"/>
      </w:pPr>
      <w:r>
        <w:t>“Consequently, the [PA] Supreme Court held that claimants seeking benefits</w:t>
      </w:r>
    </w:p>
    <w:p w14:paraId="23880EDB" w14:textId="77777777" w:rsidR="001C617A" w:rsidRDefault="001C617A" w:rsidP="001C617A">
      <w:pPr>
        <w:pStyle w:val="NoSpacing"/>
        <w:ind w:left="720"/>
      </w:pPr>
      <w:r>
        <w:t>for psychological injuries must meet a higher burden for causation by proving a</w:t>
      </w:r>
    </w:p>
    <w:p w14:paraId="35AEAFB7" w14:textId="77777777" w:rsidR="001C617A" w:rsidRDefault="001C617A" w:rsidP="001C617A">
      <w:pPr>
        <w:pStyle w:val="NoSpacing"/>
        <w:ind w:left="720"/>
      </w:pPr>
      <w:proofErr w:type="gramStart"/>
      <w:r>
        <w:t>psychological</w:t>
      </w:r>
      <w:proofErr w:type="gramEnd"/>
      <w:r>
        <w:t xml:space="preserve"> injury is more than a subjective reaction to normal working</w:t>
      </w:r>
    </w:p>
    <w:p w14:paraId="0997D640" w14:textId="77777777" w:rsidR="001C617A" w:rsidRDefault="001C617A" w:rsidP="001C617A">
      <w:pPr>
        <w:pStyle w:val="NoSpacing"/>
        <w:ind w:left="720"/>
      </w:pPr>
      <w:r>
        <w:t>conditions, in other words, that the psychological injury was caused by ‘abnormal</w:t>
      </w:r>
    </w:p>
    <w:p w14:paraId="210315C4" w14:textId="77777777" w:rsidR="001C617A" w:rsidRDefault="001C617A" w:rsidP="001C617A">
      <w:pPr>
        <w:pStyle w:val="NoSpacing"/>
        <w:ind w:left="720"/>
      </w:pPr>
      <w:r>
        <w:t xml:space="preserve">working conditions.’ </w:t>
      </w:r>
    </w:p>
    <w:p w14:paraId="0E66C2BE" w14:textId="77777777" w:rsidR="001C617A" w:rsidRDefault="001C617A" w:rsidP="001C617A">
      <w:pPr>
        <w:pStyle w:val="NoSpacing"/>
        <w:ind w:left="720"/>
      </w:pPr>
    </w:p>
    <w:p w14:paraId="1749B1E4" w14:textId="77777777" w:rsidR="001C617A" w:rsidRDefault="001C617A" w:rsidP="001C617A">
      <w:pPr>
        <w:pStyle w:val="NoSpacing"/>
        <w:ind w:left="720"/>
      </w:pPr>
      <w:r>
        <w:t>***</w:t>
      </w:r>
    </w:p>
    <w:p w14:paraId="013A3A85" w14:textId="77777777" w:rsidR="001C617A" w:rsidRDefault="001C617A" w:rsidP="001C617A">
      <w:pPr>
        <w:pStyle w:val="NoSpacing"/>
        <w:ind w:left="720"/>
      </w:pPr>
    </w:p>
    <w:p w14:paraId="31E3A6C1" w14:textId="77777777" w:rsidR="001C617A" w:rsidRDefault="001C617A" w:rsidP="001C617A">
      <w:pPr>
        <w:pStyle w:val="NoSpacing"/>
        <w:ind w:left="720"/>
      </w:pPr>
      <w:r w:rsidRPr="00873946">
        <w:t>The reality of Claimant’s situation was that he performed CPR on and</w:t>
      </w:r>
      <w:r>
        <w:t xml:space="preserve"> </w:t>
      </w:r>
      <w:r w:rsidRPr="00873946">
        <w:t>witnessed the deaths of two infant children within a 16-month period. It was the compounded effect of these two incidents that caused Claimant’s disabling PTSD.</w:t>
      </w:r>
      <w:r>
        <w:t xml:space="preserve"> </w:t>
      </w:r>
      <w:r w:rsidRPr="00873946">
        <w:t>There can be little doubt that firefighters experience a high amount of stress in their</w:t>
      </w:r>
      <w:r>
        <w:t xml:space="preserve"> </w:t>
      </w:r>
      <w:r w:rsidRPr="00873946">
        <w:t>jobs. Nonetheless, we must recognize that certain events, even in high-stress</w:t>
      </w:r>
      <w:r>
        <w:t xml:space="preserve"> </w:t>
      </w:r>
      <w:r w:rsidRPr="00873946">
        <w:t>professions, may rise to the level of abnormal working conditions. Claimant did not</w:t>
      </w:r>
      <w:r>
        <w:t xml:space="preserve"> </w:t>
      </w:r>
      <w:r w:rsidRPr="00873946">
        <w:t>simply witness death at a usual call involving a fire or a motor vehicle crash.</w:t>
      </w:r>
    </w:p>
    <w:p w14:paraId="05811AED" w14:textId="77777777" w:rsidR="001C617A" w:rsidRDefault="001C617A" w:rsidP="001C617A">
      <w:pPr>
        <w:pStyle w:val="NoSpacing"/>
        <w:ind w:left="720"/>
      </w:pPr>
    </w:p>
    <w:p w14:paraId="44F2A8C9" w14:textId="77777777" w:rsidR="001C617A" w:rsidRPr="00873946" w:rsidRDefault="001C617A" w:rsidP="001C617A">
      <w:pPr>
        <w:pStyle w:val="NoSpacing"/>
        <w:ind w:left="720"/>
      </w:pPr>
      <w:r>
        <w:t>***</w:t>
      </w:r>
    </w:p>
    <w:p w14:paraId="2C420F6F" w14:textId="77777777" w:rsidR="001C617A" w:rsidRDefault="001C617A" w:rsidP="001C617A">
      <w:pPr>
        <w:pStyle w:val="NoSpacing"/>
        <w:ind w:left="720"/>
      </w:pPr>
      <w:r w:rsidRPr="00873946">
        <w:t>Claimant was actively involved in attempting to resuscitate two separate</w:t>
      </w:r>
      <w:r>
        <w:t xml:space="preserve"> </w:t>
      </w:r>
      <w:r w:rsidRPr="00873946">
        <w:t>unresponsive babies and witnessing each of their deaths. We cannot agree that</w:t>
      </w:r>
      <w:r>
        <w:t xml:space="preserve"> </w:t>
      </w:r>
      <w:r w:rsidRPr="00873946">
        <w:t xml:space="preserve">Claimant’s experience in this regard was a </w:t>
      </w:r>
      <w:r>
        <w:t>‘</w:t>
      </w:r>
      <w:r w:rsidRPr="00873946">
        <w:t>normal</w:t>
      </w:r>
      <w:r>
        <w:t xml:space="preserve">’ </w:t>
      </w:r>
      <w:r w:rsidRPr="00873946">
        <w:t xml:space="preserve">or </w:t>
      </w:r>
      <w:r>
        <w:t>‘</w:t>
      </w:r>
      <w:r w:rsidRPr="00873946">
        <w:t>expected</w:t>
      </w:r>
      <w:r>
        <w:t xml:space="preserve">’ </w:t>
      </w:r>
      <w:r w:rsidRPr="00873946">
        <w:t xml:space="preserve"> consequence of</w:t>
      </w:r>
      <w:r>
        <w:t xml:space="preserve"> </w:t>
      </w:r>
      <w:r w:rsidRPr="00873946">
        <w:t>being a firefighter.</w:t>
      </w:r>
      <w:r>
        <w:t xml:space="preserve"> Indeed, in Claimant’s 20 years’ experience in firefighting service before the first event, Claimant had </w:t>
      </w:r>
      <w:proofErr w:type="gramStart"/>
      <w:r>
        <w:t>never before</w:t>
      </w:r>
      <w:proofErr w:type="gramEnd"/>
      <w:r>
        <w:t xml:space="preserve"> had to perform CPR on an infant. There is no evidence in the record that suggests firefighters in Upper Darby or even in Pennsylvania routinely or normally perform CPR on infant children or witness the deaths of infant children. Furthermore, it is noteworthy that of the three instances in which Employer called upon the county’s Critical Incident Stress [Management] Team between 2018 and 2022, two of those calls were in response to these two incidents involving Claimant and the infants. Id. </w:t>
      </w:r>
      <w:proofErr w:type="gramStart"/>
      <w:r>
        <w:t>at</w:t>
      </w:r>
      <w:proofErr w:type="gramEnd"/>
      <w:r>
        <w:t xml:space="preserve"> 251-52. Certainly, this highlights both the rarity of these events and the potential for substantial</w:t>
      </w:r>
    </w:p>
    <w:p w14:paraId="7D56E066" w14:textId="77777777" w:rsidR="001C617A" w:rsidRDefault="001C617A" w:rsidP="001C617A">
      <w:pPr>
        <w:pStyle w:val="NoSpacing"/>
        <w:ind w:firstLine="720"/>
      </w:pPr>
      <w:r>
        <w:t xml:space="preserve">psychological impact </w:t>
      </w:r>
      <w:proofErr w:type="gramStart"/>
      <w:r>
        <w:t>to</w:t>
      </w:r>
      <w:proofErr w:type="gramEnd"/>
      <w:r>
        <w:t xml:space="preserve"> the participants, which is further magnified by the fact that</w:t>
      </w:r>
    </w:p>
    <w:p w14:paraId="08EBA969" w14:textId="77777777" w:rsidR="001C617A" w:rsidRDefault="001C617A" w:rsidP="001C617A">
      <w:pPr>
        <w:pStyle w:val="NoSpacing"/>
        <w:ind w:firstLine="720"/>
      </w:pPr>
      <w:r>
        <w:t>the same person, Claimant, administered CPR on infants on each occasion.</w:t>
      </w:r>
    </w:p>
    <w:p w14:paraId="53CEDA77" w14:textId="77777777" w:rsidR="001C617A" w:rsidRDefault="001C617A" w:rsidP="001C617A">
      <w:pPr>
        <w:pStyle w:val="NoSpacing"/>
        <w:ind w:firstLine="720"/>
      </w:pPr>
    </w:p>
    <w:p w14:paraId="419FDF59" w14:textId="77777777" w:rsidR="001C617A" w:rsidRPr="00873946" w:rsidRDefault="001C617A" w:rsidP="001C617A">
      <w:pPr>
        <w:pStyle w:val="NoSpacing"/>
        <w:ind w:firstLine="720"/>
      </w:pPr>
      <w:r>
        <w:t>***</w:t>
      </w:r>
    </w:p>
    <w:p w14:paraId="2D482430" w14:textId="77777777" w:rsidR="001C617A" w:rsidRDefault="001C617A" w:rsidP="001C617A">
      <w:pPr>
        <w:pStyle w:val="NoSpacing"/>
      </w:pPr>
    </w:p>
    <w:p w14:paraId="43A10A86" w14:textId="77777777" w:rsidR="001C617A" w:rsidRDefault="001C617A" w:rsidP="001C617A">
      <w:pPr>
        <w:pStyle w:val="NoSpacing"/>
        <w:ind w:left="720"/>
      </w:pPr>
      <w:r>
        <w:t xml:space="preserve">During the first event, in November 2018, Claimant responded to a report of cardiac arrest for a two-week-old infant. Claimant performed CPR on the infant, assisted by paramedics. Despite Claimant’s efforts, he was unable </w:t>
      </w:r>
      <w:r>
        <w:lastRenderedPageBreak/>
        <w:t>to bring the baby back. Claimant continued to work for Employer but suffered from mental issues related to the first incident.</w:t>
      </w:r>
    </w:p>
    <w:p w14:paraId="141D7C4B" w14:textId="77777777" w:rsidR="001C617A" w:rsidRDefault="001C617A" w:rsidP="001C617A">
      <w:pPr>
        <w:pStyle w:val="NoSpacing"/>
      </w:pPr>
    </w:p>
    <w:p w14:paraId="4A35F2E8" w14:textId="77777777" w:rsidR="001C617A" w:rsidRDefault="001C617A" w:rsidP="001C617A">
      <w:pPr>
        <w:pStyle w:val="NoSpacing"/>
        <w:ind w:left="720"/>
      </w:pPr>
      <w:r>
        <w:t xml:space="preserve">During the second event, in May 2021, a father brought a nine-month-old infant who was not breathing into the fire station. Claimant and co-workers performed CPR on the nine-month-old baby, who was not revived. After the second incident, Claimant’s mental health symptoms intensified, and he left his duties as a </w:t>
      </w:r>
      <w:proofErr w:type="gramStart"/>
      <w:r>
        <w:t>firefighter.”</w:t>
      </w:r>
      <w:proofErr w:type="gramEnd"/>
    </w:p>
    <w:p w14:paraId="12B487D3" w14:textId="77777777" w:rsidR="001C617A" w:rsidRDefault="001C617A" w:rsidP="001C617A">
      <w:pPr>
        <w:pStyle w:val="NoSpacing"/>
        <w:ind w:left="720"/>
      </w:pPr>
    </w:p>
    <w:p w14:paraId="32CB5F74" w14:textId="7B1E5972" w:rsidR="001C617A" w:rsidRPr="00237F1C" w:rsidRDefault="001C617A" w:rsidP="001C617A">
      <w:pPr>
        <w:pStyle w:val="NoSpacing"/>
        <w:rPr>
          <w:b/>
          <w:bCs/>
        </w:rPr>
      </w:pPr>
      <w:r w:rsidRPr="00237F1C">
        <w:rPr>
          <w:b/>
        </w:rPr>
        <w:t xml:space="preserve">Lesson learned: </w:t>
      </w:r>
      <w:r>
        <w:rPr>
          <w:b/>
        </w:rPr>
        <w:t xml:space="preserve"> The firefighter proved the two infant CPR incidents were “abnormal” for his fire department.</w:t>
      </w:r>
    </w:p>
    <w:p w14:paraId="3F19A8A7" w14:textId="77777777" w:rsidR="001C617A" w:rsidRPr="00873946" w:rsidRDefault="001C617A" w:rsidP="001C617A">
      <w:pPr>
        <w:pStyle w:val="NoSpacing"/>
      </w:pPr>
    </w:p>
    <w:p w14:paraId="5667DB65" w14:textId="77777777" w:rsidR="001C617A" w:rsidRDefault="001C617A" w:rsidP="001C617A">
      <w:pPr>
        <w:spacing w:after="0"/>
        <w:rPr>
          <w:sz w:val="20"/>
          <w:szCs w:val="20"/>
        </w:rPr>
      </w:pPr>
    </w:p>
    <w:p w14:paraId="69588B87" w14:textId="77777777" w:rsidR="001C617A" w:rsidRDefault="001C617A" w:rsidP="001C617A">
      <w:pPr>
        <w:spacing w:after="0"/>
        <w:rPr>
          <w:sz w:val="20"/>
          <w:szCs w:val="20"/>
        </w:rPr>
      </w:pPr>
    </w:p>
    <w:p w14:paraId="0D7767D1" w14:textId="68EF738F" w:rsidR="001C617A" w:rsidRDefault="00D92FBD" w:rsidP="00491756">
      <w:pPr>
        <w:pStyle w:val="NoSpacing"/>
        <w:rPr>
          <w:rFonts w:ascii="Arial Black" w:hAnsi="Arial Black"/>
          <w:sz w:val="24"/>
          <w:szCs w:val="24"/>
        </w:rPr>
      </w:pPr>
      <w:r>
        <w:rPr>
          <w:rFonts w:ascii="Arial Black" w:hAnsi="Arial Black"/>
          <w:sz w:val="24"/>
          <w:szCs w:val="24"/>
        </w:rPr>
        <w:t>15-44</w:t>
      </w:r>
    </w:p>
    <w:p w14:paraId="078C9BFD" w14:textId="77777777" w:rsidR="00D92FBD" w:rsidRDefault="00D92FBD" w:rsidP="00491756">
      <w:pPr>
        <w:pStyle w:val="NoSpacing"/>
        <w:rPr>
          <w:rFonts w:ascii="Arial Black" w:hAnsi="Arial Black"/>
          <w:sz w:val="24"/>
          <w:szCs w:val="24"/>
        </w:rPr>
      </w:pPr>
    </w:p>
    <w:p w14:paraId="47908250" w14:textId="66C55835" w:rsidR="008F05D1" w:rsidRDefault="008F05D1" w:rsidP="008F05D1">
      <w:pPr>
        <w:pStyle w:val="NoSpacing"/>
        <w:rPr>
          <w:rFonts w:ascii="Arial Black" w:hAnsi="Arial Black"/>
          <w:b/>
          <w:sz w:val="28"/>
          <w:szCs w:val="28"/>
        </w:rPr>
      </w:pPr>
      <w:r>
        <w:rPr>
          <w:rFonts w:ascii="Arial Black" w:hAnsi="Arial Black"/>
          <w:b/>
          <w:sz w:val="28"/>
          <w:szCs w:val="28"/>
        </w:rPr>
        <w:t xml:space="preserve">TN: PTSD – </w:t>
      </w:r>
      <w:r w:rsidR="00902336">
        <w:rPr>
          <w:rFonts w:ascii="Arial Black" w:hAnsi="Arial Black"/>
          <w:b/>
          <w:sz w:val="28"/>
          <w:szCs w:val="28"/>
        </w:rPr>
        <w:t>DENIED “</w:t>
      </w:r>
      <w:r w:rsidR="00973D14">
        <w:rPr>
          <w:rFonts w:ascii="Arial Black" w:hAnsi="Arial Black"/>
          <w:b/>
          <w:sz w:val="28"/>
          <w:szCs w:val="28"/>
        </w:rPr>
        <w:t>DISAB</w:t>
      </w:r>
      <w:r w:rsidR="00284724">
        <w:rPr>
          <w:rFonts w:ascii="Arial Black" w:hAnsi="Arial Black"/>
          <w:b/>
          <w:sz w:val="28"/>
          <w:szCs w:val="28"/>
        </w:rPr>
        <w:t xml:space="preserve">ILITY” </w:t>
      </w:r>
      <w:r>
        <w:rPr>
          <w:rFonts w:ascii="Arial Black" w:hAnsi="Arial Black"/>
          <w:b/>
          <w:sz w:val="28"/>
          <w:szCs w:val="28"/>
        </w:rPr>
        <w:t xml:space="preserve">PENSION / TRAUMA NOT “UNEXPECTED” </w:t>
      </w:r>
    </w:p>
    <w:p w14:paraId="025345A9" w14:textId="77777777" w:rsidR="00AE5515" w:rsidRDefault="00AE5515" w:rsidP="008F05D1">
      <w:pPr>
        <w:pStyle w:val="NoSpacing"/>
      </w:pPr>
    </w:p>
    <w:p w14:paraId="7F585762" w14:textId="06B5AA4F" w:rsidR="008F05D1" w:rsidRDefault="008F05D1" w:rsidP="008F05D1">
      <w:pPr>
        <w:pStyle w:val="NoSpacing"/>
      </w:pPr>
      <w:r>
        <w:t xml:space="preserve">On Oct. 13, 2025, in </w:t>
      </w:r>
      <w:r w:rsidRPr="005A20C3">
        <w:rPr>
          <w:u w:val="single"/>
        </w:rPr>
        <w:t xml:space="preserve">Matthew Long v. Chattanooga Fire </w:t>
      </w:r>
      <w:proofErr w:type="gramStart"/>
      <w:r w:rsidRPr="005A20C3">
        <w:rPr>
          <w:u w:val="single"/>
        </w:rPr>
        <w:t>And</w:t>
      </w:r>
      <w:proofErr w:type="gramEnd"/>
      <w:r w:rsidRPr="005A20C3">
        <w:rPr>
          <w:u w:val="single"/>
        </w:rPr>
        <w:t xml:space="preserve"> Police Pension</w:t>
      </w:r>
      <w:r>
        <w:t xml:space="preserve">, the Supreme Court of Tennessee a Knoxville held (5 to 0) that Board correctly denied </w:t>
      </w:r>
      <w:r w:rsidRPr="00B022C6">
        <w:t>disability pension benefit</w:t>
      </w:r>
      <w:r>
        <w:t>s to a 15-year firefighter after a hearing, since his PTSD did not arise from “unexpected” traumatic runs.  The Board consists of eight members: three active members of the police department, three active members of the fire department, the mayor or the mayor’s appointee, and a member appointed by the City Council. In February 2020, Mr. Long completed treatment at the Center</w:t>
      </w:r>
    </w:p>
    <w:p w14:paraId="7B1D415C" w14:textId="77777777" w:rsidR="008F05D1" w:rsidRDefault="008F05D1" w:rsidP="008F05D1">
      <w:pPr>
        <w:pStyle w:val="NoSpacing"/>
      </w:pPr>
      <w:r>
        <w:t>for Excellence in Maryland and then returned home. Mr. Long continued receiving care</w:t>
      </w:r>
    </w:p>
    <w:p w14:paraId="2C6162E1" w14:textId="77777777" w:rsidR="008F05D1" w:rsidRDefault="008F05D1" w:rsidP="008F05D1">
      <w:pPr>
        <w:pStyle w:val="NoSpacing"/>
      </w:pPr>
      <w:r>
        <w:t>from primary care providers but reported difficulty finding satisfactory follow-up mental</w:t>
      </w:r>
    </w:p>
    <w:p w14:paraId="2F1B2057" w14:textId="77777777" w:rsidR="008F05D1" w:rsidRDefault="008F05D1" w:rsidP="008F05D1">
      <w:pPr>
        <w:pStyle w:val="NoSpacing"/>
      </w:pPr>
      <w:r>
        <w:t xml:space="preserve">health care. In June 2020, FD had psychiatrist Dr. Keith Caruso again </w:t>
      </w:r>
      <w:proofErr w:type="gramStart"/>
      <w:r>
        <w:t>evaluate</w:t>
      </w:r>
      <w:proofErr w:type="gramEnd"/>
      <w:r>
        <w:t xml:space="preserve"> Mr. Long’s fitness for duty and he determined that Mr. Long was “permanently and totally disabled as a firefighter.”  The Court reversed both the trial court and the Court of Appeals, which had found Board term ambiguous, </w:t>
      </w:r>
      <w:proofErr w:type="gramStart"/>
      <w:r>
        <w:t>an</w:t>
      </w:r>
      <w:proofErr w:type="gramEnd"/>
      <w:r>
        <w:t xml:space="preserve"> applied the liberal construction doctrine to award benefits. </w:t>
      </w:r>
      <w:hyperlink r:id="rId2448" w:history="1">
        <w:r w:rsidRPr="002D5C71">
          <w:rPr>
            <w:rStyle w:val="Hyperlink"/>
          </w:rPr>
          <w:t>https://www.tncourts.gov/sites/default/files/OpinionsPDFVersion/Majority%20Opinion%20-%20E2022-01151-SC-R11-CV.pdf</w:t>
        </w:r>
      </w:hyperlink>
      <w:r>
        <w:t xml:space="preserve"> </w:t>
      </w:r>
    </w:p>
    <w:p w14:paraId="3EB471D6" w14:textId="77777777" w:rsidR="008F05D1" w:rsidRDefault="008F05D1" w:rsidP="008F05D1">
      <w:pPr>
        <w:pStyle w:val="NoSpacing"/>
      </w:pPr>
    </w:p>
    <w:p w14:paraId="2B7FFC7B" w14:textId="77777777" w:rsidR="008F05D1" w:rsidRDefault="008F05D1" w:rsidP="008F05D1">
      <w:pPr>
        <w:pStyle w:val="NoSpacing"/>
      </w:pPr>
      <w:r>
        <w:t>THE COURT HELD:</w:t>
      </w:r>
    </w:p>
    <w:p w14:paraId="6805B713" w14:textId="77777777" w:rsidR="008F05D1" w:rsidRDefault="008F05D1" w:rsidP="008F05D1">
      <w:pPr>
        <w:pStyle w:val="NoSpacing"/>
      </w:pPr>
    </w:p>
    <w:p w14:paraId="3E4D3D2D" w14:textId="77777777" w:rsidR="008F05D1" w:rsidRDefault="008F05D1" w:rsidP="008F05D1">
      <w:pPr>
        <w:pStyle w:val="NoSpacing"/>
        <w:ind w:left="720"/>
      </w:pPr>
      <w:r>
        <w:t>“At the heart of this dispute is the Policy requirement that, to be eligible for benefits, a mental health ‘disability [must be] a direct result of a traumatic event that is . . . unexpected.’ Specifically, what does it mean for a traumatic event to be “unexpected” as required by the Policy?</w:t>
      </w:r>
    </w:p>
    <w:p w14:paraId="3430C90E" w14:textId="77777777" w:rsidR="008F05D1" w:rsidRDefault="008F05D1" w:rsidP="008F05D1">
      <w:pPr>
        <w:pStyle w:val="NoSpacing"/>
      </w:pPr>
    </w:p>
    <w:p w14:paraId="4E9DF288" w14:textId="77777777" w:rsidR="008F05D1" w:rsidRDefault="008F05D1" w:rsidP="008F05D1">
      <w:pPr>
        <w:pStyle w:val="NoSpacing"/>
        <w:ind w:firstLine="720"/>
      </w:pPr>
      <w:r>
        <w:t>The Court of Appeals found the term ambiguous, applied the liberal construction</w:t>
      </w:r>
    </w:p>
    <w:p w14:paraId="1C6E1A15" w14:textId="77777777" w:rsidR="008F05D1" w:rsidRDefault="008F05D1" w:rsidP="008F05D1">
      <w:pPr>
        <w:pStyle w:val="NoSpacing"/>
        <w:ind w:firstLine="720"/>
      </w:pPr>
      <w:r>
        <w:t>doctrine, and then construed the Policy in favor of Mr. Long. Long, 2023 WL 8716539, at</w:t>
      </w:r>
    </w:p>
    <w:p w14:paraId="46EB66D4" w14:textId="77777777" w:rsidR="008F05D1" w:rsidRDefault="008F05D1" w:rsidP="008F05D1">
      <w:pPr>
        <w:pStyle w:val="NoSpacing"/>
        <w:ind w:firstLine="720"/>
      </w:pPr>
      <w:r>
        <w:t xml:space="preserve">*9–11. The Fund disputes the finding of ambiguity </w:t>
      </w:r>
      <w:proofErr w:type="gramStart"/>
      <w:r>
        <w:t>and also</w:t>
      </w:r>
      <w:proofErr w:type="gramEnd"/>
      <w:r>
        <w:t xml:space="preserve"> argues that the Court should</w:t>
      </w:r>
    </w:p>
    <w:p w14:paraId="4FD4ACA1" w14:textId="77777777" w:rsidR="008F05D1" w:rsidRPr="0081000D" w:rsidRDefault="008F05D1" w:rsidP="008F05D1">
      <w:pPr>
        <w:pStyle w:val="NoSpacing"/>
        <w:ind w:left="720"/>
      </w:pPr>
      <w:proofErr w:type="gramStart"/>
      <w:r>
        <w:t>defer</w:t>
      </w:r>
      <w:proofErr w:type="gramEnd"/>
      <w:r>
        <w:t xml:space="preserve"> to the Board’s interpretation of the Policy. We hold that the Policy is not ambiguous, and we interpret it according to its unambiguous plain meaning. </w:t>
      </w:r>
    </w:p>
    <w:p w14:paraId="2CEF7F9F" w14:textId="77777777" w:rsidR="008F05D1" w:rsidRDefault="008F05D1" w:rsidP="008F05D1">
      <w:pPr>
        <w:pStyle w:val="NoSpacing"/>
        <w:ind w:left="720"/>
      </w:pPr>
    </w:p>
    <w:p w14:paraId="7AFFB626" w14:textId="77777777" w:rsidR="008F05D1" w:rsidRDefault="008F05D1" w:rsidP="008F05D1">
      <w:pPr>
        <w:pStyle w:val="NoSpacing"/>
        <w:ind w:left="720"/>
      </w:pPr>
      <w:r>
        <w:t>***</w:t>
      </w:r>
    </w:p>
    <w:p w14:paraId="3EFBC345" w14:textId="77777777" w:rsidR="008F05D1" w:rsidRDefault="008F05D1" w:rsidP="008F05D1">
      <w:pPr>
        <w:pStyle w:val="NoSpacing"/>
        <w:ind w:left="720"/>
      </w:pPr>
      <w:r>
        <w:t xml:space="preserve">Matthew Long was employed as a firefighter with the Chattanooga Fire Department for fifteen years before he applied to the Chattanooga Fire and Police Pension </w:t>
      </w:r>
      <w:proofErr w:type="gramStart"/>
      <w:r>
        <w:t>Fund (‘</w:t>
      </w:r>
      <w:proofErr w:type="gramEnd"/>
      <w:r>
        <w:t xml:space="preserve">Fund’) </w:t>
      </w:r>
      <w:proofErr w:type="gramStart"/>
      <w:r>
        <w:t>for disability</w:t>
      </w:r>
      <w:proofErr w:type="gramEnd"/>
      <w:r>
        <w:t xml:space="preserve"> pension benefits. The denial of Mr. Long’s application is the subject of this appeal.</w:t>
      </w:r>
    </w:p>
    <w:p w14:paraId="5B7F0475" w14:textId="77777777" w:rsidR="008F05D1" w:rsidRDefault="008F05D1" w:rsidP="008F05D1">
      <w:pPr>
        <w:pStyle w:val="NoSpacing"/>
        <w:ind w:left="720"/>
      </w:pPr>
    </w:p>
    <w:p w14:paraId="32DAE6E7" w14:textId="77777777" w:rsidR="008F05D1" w:rsidRPr="00614036" w:rsidRDefault="008F05D1" w:rsidP="008F05D1">
      <w:pPr>
        <w:pStyle w:val="NoSpacing"/>
        <w:ind w:left="720"/>
      </w:pPr>
      <w:r>
        <w:t>***</w:t>
      </w:r>
    </w:p>
    <w:p w14:paraId="12D90310" w14:textId="77777777" w:rsidR="008F05D1" w:rsidRDefault="008F05D1" w:rsidP="008F05D1">
      <w:pPr>
        <w:pStyle w:val="NoSpacing"/>
        <w:ind w:firstLine="720"/>
      </w:pPr>
      <w:r>
        <w:t xml:space="preserve">Mr. Long responded to many </w:t>
      </w:r>
      <w:proofErr w:type="gramStart"/>
      <w:r>
        <w:t>emergency</w:t>
      </w:r>
      <w:proofErr w:type="gramEnd"/>
      <w:r>
        <w:t xml:space="preserve"> calls over the course of his career. This</w:t>
      </w:r>
    </w:p>
    <w:p w14:paraId="2A5739CE" w14:textId="77777777" w:rsidR="008F05D1" w:rsidRDefault="008F05D1" w:rsidP="008F05D1">
      <w:pPr>
        <w:pStyle w:val="NoSpacing"/>
        <w:ind w:firstLine="720"/>
      </w:pPr>
      <w:r>
        <w:t>case focuses on four traumatic events that Mr. Long identifies as contributing to his</w:t>
      </w:r>
    </w:p>
    <w:p w14:paraId="6F516821" w14:textId="77777777" w:rsidR="008F05D1" w:rsidRDefault="008F05D1" w:rsidP="008F05D1">
      <w:pPr>
        <w:pStyle w:val="NoSpacing"/>
        <w:ind w:firstLine="720"/>
      </w:pPr>
      <w:r>
        <w:t>disability.1 We will discuss them in the order they occurred.</w:t>
      </w:r>
    </w:p>
    <w:p w14:paraId="2114A118" w14:textId="77777777" w:rsidR="008F05D1" w:rsidRDefault="008F05D1" w:rsidP="008F05D1">
      <w:pPr>
        <w:pStyle w:val="NoSpacing"/>
      </w:pPr>
    </w:p>
    <w:p w14:paraId="2F74C6CC" w14:textId="77777777" w:rsidR="008F05D1" w:rsidRDefault="008F05D1" w:rsidP="008F05D1">
      <w:pPr>
        <w:pStyle w:val="NoSpacing"/>
        <w:ind w:firstLine="720"/>
      </w:pPr>
      <w:r>
        <w:t>The first event Mr. Long identified was a car accident near the Bailey-Willow</w:t>
      </w:r>
    </w:p>
    <w:p w14:paraId="2DFB58FA" w14:textId="77777777" w:rsidR="008F05D1" w:rsidRDefault="008F05D1" w:rsidP="008F05D1">
      <w:pPr>
        <w:pStyle w:val="NoSpacing"/>
        <w:ind w:left="720"/>
      </w:pPr>
      <w:r>
        <w:lastRenderedPageBreak/>
        <w:t>intersection in 2008. Mr. Long was called to the scene of a car wreck involving a mother and three children. Mr. Long testified that the mother had run a red-light and been T-boned by an SUV. The children, including an infant in a car seat, were not buckled in when the wreck occurred. Mr. Long rendered aid to the infant whose skull had been crushed after the car seat bounced around the car as well as to a young girl who had been thrown out of the car. Two of the three children died from their injuries. Mr. Long noted that this incident was deeply troubling to all the firefighters who were on the call and that it was particularly hard for him because his children were about the same age as the children in the wreck.</w:t>
      </w:r>
    </w:p>
    <w:p w14:paraId="1E9132A2" w14:textId="77777777" w:rsidR="008F05D1" w:rsidRDefault="008F05D1" w:rsidP="008F05D1">
      <w:pPr>
        <w:pStyle w:val="NoSpacing"/>
      </w:pPr>
    </w:p>
    <w:p w14:paraId="43503317" w14:textId="77777777" w:rsidR="008F05D1" w:rsidRDefault="008F05D1" w:rsidP="008F05D1">
      <w:pPr>
        <w:pStyle w:val="NoSpacing"/>
        <w:ind w:firstLine="720"/>
      </w:pPr>
      <w:r>
        <w:t>The second event Mr. Long identified was the Highland Park fire in 2013. Mr. Long</w:t>
      </w:r>
    </w:p>
    <w:p w14:paraId="76C4C2B5" w14:textId="77777777" w:rsidR="008F05D1" w:rsidRDefault="008F05D1" w:rsidP="008F05D1">
      <w:pPr>
        <w:pStyle w:val="NoSpacing"/>
        <w:ind w:firstLine="720"/>
      </w:pPr>
      <w:r>
        <w:t>was called to a fire at an apartment where two children were trapped in the burning</w:t>
      </w:r>
    </w:p>
    <w:p w14:paraId="756E9349" w14:textId="77777777" w:rsidR="008F05D1" w:rsidRDefault="008F05D1" w:rsidP="008F05D1">
      <w:pPr>
        <w:pStyle w:val="NoSpacing"/>
        <w:ind w:firstLine="720"/>
      </w:pPr>
      <w:r>
        <w:t>building. Mr. Long rendered aid to one of the children and remembered that the child’s</w:t>
      </w:r>
    </w:p>
    <w:p w14:paraId="2E154956" w14:textId="77777777" w:rsidR="008F05D1" w:rsidRDefault="008F05D1" w:rsidP="008F05D1">
      <w:pPr>
        <w:pStyle w:val="NoSpacing"/>
        <w:ind w:firstLine="720"/>
      </w:pPr>
      <w:r>
        <w:t>hair was ‘sloughing off,’ his ‘skin was hanging,’ and he was ‘covered in soot.’ Mr. Long</w:t>
      </w:r>
    </w:p>
    <w:p w14:paraId="01AB3ECA" w14:textId="77777777" w:rsidR="008F05D1" w:rsidRDefault="008F05D1" w:rsidP="008F05D1">
      <w:pPr>
        <w:pStyle w:val="NoSpacing"/>
        <w:ind w:firstLine="720"/>
      </w:pPr>
      <w:r>
        <w:t>and the other firefighters revived the child and then sent him in an ambulance for further</w:t>
      </w:r>
    </w:p>
    <w:p w14:paraId="219476FE" w14:textId="77777777" w:rsidR="008F05D1" w:rsidRDefault="008F05D1" w:rsidP="008F05D1">
      <w:pPr>
        <w:pStyle w:val="NoSpacing"/>
        <w:ind w:left="720"/>
      </w:pPr>
      <w:r>
        <w:t>treatment. Unfortunately, the other child died at the scene. Mr. Long also discussed the aftermath of the Highland Park fire. More than a year after the fire, the surviving child came to visit the fire station to thank Mr. Long and the other firefighters. Mr. Long did not know in advance that the child was coming to visit, and the child was “so disfigured that . . . it was something that stuck with [Mr. Long].” Mr. Long also testified that he rarely learned anything about the people he helped and the child “was one of the few” he ever saw again.</w:t>
      </w:r>
    </w:p>
    <w:p w14:paraId="57A5BD2D" w14:textId="77777777" w:rsidR="008F05D1" w:rsidRDefault="008F05D1" w:rsidP="008F05D1">
      <w:pPr>
        <w:pStyle w:val="NoSpacing"/>
      </w:pPr>
    </w:p>
    <w:p w14:paraId="0C573C18" w14:textId="77777777" w:rsidR="008F05D1" w:rsidRDefault="008F05D1" w:rsidP="008F05D1">
      <w:pPr>
        <w:pStyle w:val="NoSpacing"/>
        <w:ind w:firstLine="720"/>
      </w:pPr>
      <w:r>
        <w:t>The third event was a pedestrian being struck by a car.2 Mr. Long was one of the</w:t>
      </w:r>
    </w:p>
    <w:p w14:paraId="09A928E8" w14:textId="77777777" w:rsidR="008F05D1" w:rsidRDefault="008F05D1" w:rsidP="008F05D1">
      <w:pPr>
        <w:pStyle w:val="NoSpacing"/>
        <w:ind w:firstLine="720"/>
      </w:pPr>
      <w:r>
        <w:t>responders to an accident where a man was hit by a car while pushing his girlfriend out of</w:t>
      </w:r>
    </w:p>
    <w:p w14:paraId="39930AFF" w14:textId="77777777" w:rsidR="008F05D1" w:rsidRDefault="008F05D1" w:rsidP="008F05D1">
      <w:pPr>
        <w:pStyle w:val="NoSpacing"/>
        <w:ind w:firstLine="720"/>
      </w:pPr>
      <w:r>
        <w:t>the way. The man died on the scene after “spitting out pieces of his lungs.” Mr. Long</w:t>
      </w:r>
    </w:p>
    <w:p w14:paraId="5919B3C0" w14:textId="77777777" w:rsidR="008F05D1" w:rsidRDefault="008F05D1" w:rsidP="008F05D1">
      <w:pPr>
        <w:pStyle w:val="NoSpacing"/>
        <w:ind w:firstLine="720"/>
      </w:pPr>
      <w:r>
        <w:t>found this particularly troubling because the man’s friends and girlfriend were asking Mr.</w:t>
      </w:r>
    </w:p>
    <w:p w14:paraId="4A11A1CB" w14:textId="77777777" w:rsidR="008F05D1" w:rsidRDefault="008F05D1" w:rsidP="008F05D1">
      <w:pPr>
        <w:pStyle w:val="NoSpacing"/>
        <w:ind w:firstLine="720"/>
      </w:pPr>
      <w:r>
        <w:t>Long if the man would be okay.</w:t>
      </w:r>
    </w:p>
    <w:p w14:paraId="2178C8CE" w14:textId="77777777" w:rsidR="008F05D1" w:rsidRDefault="008F05D1" w:rsidP="008F05D1">
      <w:pPr>
        <w:pStyle w:val="NoSpacing"/>
      </w:pPr>
    </w:p>
    <w:p w14:paraId="31BC5B6E" w14:textId="77777777" w:rsidR="008F05D1" w:rsidRDefault="008F05D1" w:rsidP="008F05D1">
      <w:pPr>
        <w:pStyle w:val="NoSpacing"/>
        <w:ind w:firstLine="720"/>
      </w:pPr>
      <w:r>
        <w:t>The fourth event was an encounter with an armed man in July 2019. Mr. Long and</w:t>
      </w:r>
    </w:p>
    <w:p w14:paraId="220C6793" w14:textId="77777777" w:rsidR="008F05D1" w:rsidRDefault="008F05D1" w:rsidP="008F05D1">
      <w:pPr>
        <w:pStyle w:val="NoSpacing"/>
        <w:ind w:left="720"/>
      </w:pPr>
      <w:r>
        <w:t>other firefighters responded to a call that an elderly woman had fallen. When they arrived, Mr. Long came upon a man cutting pills. The man had a handgun out on the table and looked at Mr. Long in a way that made him feel threatened, particularly because the call was without police backup. Mr. Long testified of this encounter, “I’ve seen people with guns and different things, but at this moment I was done.” This event occurred around the time that Mr. Long began mental health treatment.</w:t>
      </w:r>
    </w:p>
    <w:p w14:paraId="50EE395C" w14:textId="77777777" w:rsidR="008F05D1" w:rsidRDefault="008F05D1" w:rsidP="008F05D1">
      <w:pPr>
        <w:pStyle w:val="NoSpacing"/>
      </w:pPr>
    </w:p>
    <w:p w14:paraId="5E1B58C9" w14:textId="77777777" w:rsidR="008F05D1" w:rsidRDefault="008F05D1" w:rsidP="008F05D1">
      <w:pPr>
        <w:pStyle w:val="NoSpacing"/>
      </w:pPr>
      <w:r>
        <w:tab/>
        <w:t>***</w:t>
      </w:r>
    </w:p>
    <w:p w14:paraId="5A29F31B" w14:textId="77777777" w:rsidR="008F05D1" w:rsidRDefault="008F05D1" w:rsidP="008F05D1">
      <w:pPr>
        <w:pStyle w:val="NoSpacing"/>
      </w:pPr>
    </w:p>
    <w:p w14:paraId="166035B8" w14:textId="77777777" w:rsidR="008F05D1" w:rsidRDefault="008F05D1" w:rsidP="008F05D1">
      <w:pPr>
        <w:pStyle w:val="NoSpacing"/>
        <w:ind w:left="720"/>
      </w:pPr>
      <w:r>
        <w:t xml:space="preserve">There is little evidence that the events causing Mr. Long’s PTSD were ‘unexpected,’ and there is significant evidence that the events were expected. There is certainly ‘more than a scintilla of evidence’  to support the Board’s decision. The Policy placed the burden of proof on Mr. Long to show that the events causing his PTSD were unexpected, and our review of the record yields little evidence that he met that burden. Accordingly, we find that the Board’s decision is supported by substantial and material evidence in the record and there is ample basis for a reasonable person to reach the same </w:t>
      </w:r>
      <w:proofErr w:type="gramStart"/>
      <w:r>
        <w:t>conclusion.”</w:t>
      </w:r>
      <w:proofErr w:type="gramEnd"/>
    </w:p>
    <w:p w14:paraId="03F97E55" w14:textId="77777777" w:rsidR="008F05D1" w:rsidRDefault="008F05D1" w:rsidP="008F05D1">
      <w:pPr>
        <w:pStyle w:val="NoSpacing"/>
        <w:ind w:left="720"/>
      </w:pPr>
    </w:p>
    <w:p w14:paraId="157035FC" w14:textId="0E41A0F2" w:rsidR="008F05D1" w:rsidRPr="006A66F3" w:rsidRDefault="008F05D1" w:rsidP="008F05D1">
      <w:pPr>
        <w:pStyle w:val="NoSpacing"/>
        <w:rPr>
          <w:b/>
          <w:bCs/>
        </w:rPr>
      </w:pPr>
      <w:r>
        <w:rPr>
          <w:b/>
        </w:rPr>
        <w:t xml:space="preserve">Lesson learned:  </w:t>
      </w:r>
      <w:r w:rsidR="0002141E">
        <w:rPr>
          <w:b/>
        </w:rPr>
        <w:t xml:space="preserve">The </w:t>
      </w:r>
      <w:r>
        <w:rPr>
          <w:b/>
        </w:rPr>
        <w:t xml:space="preserve">claimant failed to prove </w:t>
      </w:r>
      <w:r w:rsidR="0002141E">
        <w:rPr>
          <w:b/>
        </w:rPr>
        <w:t xml:space="preserve">his </w:t>
      </w:r>
      <w:r>
        <w:rPr>
          <w:b/>
        </w:rPr>
        <w:t xml:space="preserve">mental health </w:t>
      </w:r>
      <w:r w:rsidRPr="006A66F3">
        <w:rPr>
          <w:b/>
        </w:rPr>
        <w:t xml:space="preserve">disability </w:t>
      </w:r>
      <w:r w:rsidR="0002141E">
        <w:rPr>
          <w:b/>
        </w:rPr>
        <w:t xml:space="preserve"> was “</w:t>
      </w:r>
      <w:r w:rsidRPr="006A66F3">
        <w:rPr>
          <w:b/>
        </w:rPr>
        <w:t>a direct result of a traumatic event that is . . . unexpected.”</w:t>
      </w:r>
    </w:p>
    <w:p w14:paraId="0CD3B361" w14:textId="77777777" w:rsidR="008F05D1" w:rsidRPr="006A66F3" w:rsidRDefault="008F05D1" w:rsidP="008F05D1">
      <w:pPr>
        <w:pStyle w:val="NoSpacing"/>
        <w:ind w:left="720"/>
        <w:rPr>
          <w:b/>
          <w:bCs/>
        </w:rPr>
      </w:pPr>
    </w:p>
    <w:p w14:paraId="309557DF" w14:textId="77777777" w:rsidR="008F05D1" w:rsidRDefault="008F05D1" w:rsidP="008F05D1">
      <w:pPr>
        <w:pStyle w:val="NoSpacing"/>
        <w:ind w:left="720"/>
      </w:pPr>
      <w:r w:rsidRPr="00496071">
        <w:t xml:space="preserve"> Note: See Oct. 15, </w:t>
      </w:r>
      <w:proofErr w:type="gramStart"/>
      <w:r w:rsidRPr="00496071">
        <w:t>2025</w:t>
      </w:r>
      <w:proofErr w:type="gramEnd"/>
      <w:r w:rsidRPr="00496071">
        <w:t xml:space="preserve"> article, “Tenn. Supreme Court reinstates denial of PTSD benefits for former firefighter. “ </w:t>
      </w:r>
      <w:hyperlink r:id="rId2449" w:history="1">
        <w:r w:rsidRPr="00496071">
          <w:rPr>
            <w:rStyle w:val="Hyperlink"/>
          </w:rPr>
          <w:t>https://www.firerescue1.com/legal/tenn-supreme-court-reinstates-denial-of-ptsd-benefits-for-former-firefighter?utm_source=delivra&amp;utm_medium=email&amp;utm_campaign=FR1-Daily-10-15-25&amp;utm_id=9641961&amp;dlv-emuid=fed355b8-46a2-4fa4-b55c-4d602dde33c4&amp;dlv-mlid=964196</w:t>
        </w:r>
      </w:hyperlink>
      <w:r w:rsidRPr="00496071">
        <w:t xml:space="preserve"> </w:t>
      </w:r>
    </w:p>
    <w:p w14:paraId="386BF20C" w14:textId="77777777" w:rsidR="00F02AD2" w:rsidRDefault="00F02AD2" w:rsidP="00491756">
      <w:pPr>
        <w:pStyle w:val="NoSpacing"/>
        <w:rPr>
          <w:rFonts w:ascii="Arial Black" w:hAnsi="Arial Black"/>
          <w:sz w:val="24"/>
          <w:szCs w:val="24"/>
        </w:rPr>
      </w:pPr>
    </w:p>
    <w:p w14:paraId="2889E54C" w14:textId="77777777" w:rsidR="00F02AD2" w:rsidRDefault="00F02AD2" w:rsidP="00491756">
      <w:pPr>
        <w:pStyle w:val="NoSpacing"/>
        <w:rPr>
          <w:rFonts w:ascii="Arial Black" w:hAnsi="Arial Black"/>
          <w:sz w:val="24"/>
          <w:szCs w:val="24"/>
        </w:rPr>
      </w:pPr>
    </w:p>
    <w:p w14:paraId="04EC1605" w14:textId="77777777" w:rsidR="00F02AD2" w:rsidRDefault="00F02AD2" w:rsidP="00491756">
      <w:pPr>
        <w:pStyle w:val="NoSpacing"/>
        <w:rPr>
          <w:rFonts w:ascii="Arial Black" w:hAnsi="Arial Black"/>
          <w:sz w:val="24"/>
          <w:szCs w:val="24"/>
        </w:rPr>
      </w:pPr>
    </w:p>
    <w:p w14:paraId="5F3BA784" w14:textId="776368B7" w:rsidR="00F02AD2" w:rsidRDefault="00F02AD2" w:rsidP="00491756">
      <w:pPr>
        <w:pStyle w:val="NoSpacing"/>
        <w:rPr>
          <w:rFonts w:ascii="Arial Black" w:hAnsi="Arial Black"/>
          <w:sz w:val="24"/>
          <w:szCs w:val="24"/>
        </w:rPr>
      </w:pPr>
      <w:r>
        <w:rPr>
          <w:rFonts w:ascii="Arial Black" w:hAnsi="Arial Black"/>
          <w:sz w:val="24"/>
          <w:szCs w:val="24"/>
        </w:rPr>
        <w:t>15-4</w:t>
      </w:r>
      <w:r w:rsidR="00CF6AB5">
        <w:rPr>
          <w:rFonts w:ascii="Arial Black" w:hAnsi="Arial Black"/>
          <w:sz w:val="24"/>
          <w:szCs w:val="24"/>
        </w:rPr>
        <w:t>3</w:t>
      </w:r>
    </w:p>
    <w:p w14:paraId="374EF672" w14:textId="77777777" w:rsidR="00F02AD2" w:rsidRDefault="00F02AD2" w:rsidP="00491756">
      <w:pPr>
        <w:pStyle w:val="NoSpacing"/>
        <w:rPr>
          <w:rFonts w:ascii="Arial Black" w:hAnsi="Arial Black"/>
          <w:sz w:val="24"/>
          <w:szCs w:val="24"/>
        </w:rPr>
      </w:pPr>
    </w:p>
    <w:p w14:paraId="5E21C88E" w14:textId="77777777" w:rsidR="00876E96" w:rsidRDefault="00876E96" w:rsidP="00491756">
      <w:pPr>
        <w:pStyle w:val="NoSpacing"/>
        <w:rPr>
          <w:rFonts w:ascii="Arial Black" w:hAnsi="Arial Black"/>
          <w:sz w:val="24"/>
          <w:szCs w:val="24"/>
        </w:rPr>
      </w:pPr>
    </w:p>
    <w:p w14:paraId="60F6CBE0" w14:textId="77777777" w:rsidR="00876E96" w:rsidRDefault="00876E96" w:rsidP="00876E96">
      <w:pPr>
        <w:spacing w:after="0"/>
        <w:rPr>
          <w:rFonts w:ascii="Arial Black" w:hAnsi="Arial Black"/>
          <w:b/>
          <w:sz w:val="28"/>
          <w:szCs w:val="28"/>
        </w:rPr>
      </w:pPr>
      <w:bookmarkStart w:id="569" w:name="_Hlk212805120"/>
      <w:r>
        <w:rPr>
          <w:rFonts w:ascii="Arial Black" w:hAnsi="Arial Black"/>
          <w:b/>
          <w:sz w:val="28"/>
          <w:szCs w:val="28"/>
        </w:rPr>
        <w:t>NY: PTSD – GET “ORDINARY” DISAB – NOT “ACCIDENTAL”</w:t>
      </w:r>
    </w:p>
    <w:p w14:paraId="76F84017" w14:textId="77777777" w:rsidR="00876E96" w:rsidRDefault="00876E96" w:rsidP="00876E96">
      <w:pPr>
        <w:spacing w:after="0"/>
        <w:rPr>
          <w:bCs/>
        </w:rPr>
      </w:pPr>
    </w:p>
    <w:p w14:paraId="2CBFABE4" w14:textId="77777777" w:rsidR="00876E96" w:rsidRPr="005153BB" w:rsidRDefault="00876E96" w:rsidP="00876E96">
      <w:pPr>
        <w:spacing w:after="0"/>
        <w:rPr>
          <w:b/>
        </w:rPr>
      </w:pPr>
      <w:r w:rsidRPr="00CA4B2B">
        <w:t xml:space="preserve">On October 10, 2025, in </w:t>
      </w:r>
      <w:r w:rsidRPr="009C2E71">
        <w:rPr>
          <w:u w:val="single"/>
        </w:rPr>
        <w:t>Gordon Springs v. The New York City Fire Pension Fund</w:t>
      </w:r>
      <w:r>
        <w:rPr>
          <w:u w:val="single"/>
        </w:rPr>
        <w:t>, et al.</w:t>
      </w:r>
      <w:r>
        <w:t xml:space="preserve">, Judge  </w:t>
      </w:r>
      <w:r w:rsidRPr="00230706">
        <w:t>Lyle E. Frank</w:t>
      </w:r>
      <w:r>
        <w:t xml:space="preserve">, </w:t>
      </w:r>
      <w:r w:rsidRPr="000452AD">
        <w:t>Supreme Court, New York County</w:t>
      </w:r>
      <w:r>
        <w:t xml:space="preserve"> (unpublished decision) held that the Pension Board, while granting the retired firefighter ordinary disability benefits, properly denied him Accidental Disability Retirement (ADR). The case was first </w:t>
      </w:r>
      <w:proofErr w:type="gramStart"/>
      <w:r>
        <w:t>remanded</w:t>
      </w:r>
      <w:proofErr w:type="gramEnd"/>
      <w:r>
        <w:t xml:space="preserve"> to the Board, which reconfirmed its </w:t>
      </w:r>
      <w:proofErr w:type="gramStart"/>
      <w:r>
        <w:t>decision</w:t>
      </w:r>
      <w:proofErr w:type="gramEnd"/>
      <w:r>
        <w:t xml:space="preserve"> denying ADR.  </w:t>
      </w:r>
      <w:hyperlink r:id="rId2450" w:history="1">
        <w:r w:rsidRPr="00C117F2">
          <w:rPr>
            <w:rStyle w:val="Hyperlink"/>
          </w:rPr>
          <w:t>https://cases.justia.com/new-york/other-courts/2025-2025-ny-slip-op-33910-u.pdf?ts=1761341305</w:t>
        </w:r>
      </w:hyperlink>
      <w:bookmarkEnd w:id="569"/>
      <w:r w:rsidRPr="00C117F2">
        <w:t xml:space="preserve"> </w:t>
      </w:r>
    </w:p>
    <w:p w14:paraId="50321548" w14:textId="77777777" w:rsidR="00876E96" w:rsidRDefault="00876E96" w:rsidP="00876E96">
      <w:pPr>
        <w:spacing w:after="0"/>
        <w:rPr>
          <w:b/>
        </w:rPr>
      </w:pPr>
    </w:p>
    <w:p w14:paraId="2C6741A0" w14:textId="77777777" w:rsidR="00876E96" w:rsidRDefault="00876E96" w:rsidP="00876E96">
      <w:pPr>
        <w:spacing w:after="0"/>
        <w:rPr>
          <w:bCs/>
        </w:rPr>
      </w:pPr>
      <w:r>
        <w:t>THE COURT HELD:</w:t>
      </w:r>
    </w:p>
    <w:p w14:paraId="104D6222" w14:textId="77777777" w:rsidR="00876E96" w:rsidRDefault="00876E96" w:rsidP="00876E96">
      <w:pPr>
        <w:spacing w:after="0"/>
        <w:ind w:firstLine="720"/>
        <w:rPr>
          <w:bCs/>
        </w:rPr>
      </w:pPr>
    </w:p>
    <w:p w14:paraId="03BA5F03" w14:textId="77777777" w:rsidR="00876E96" w:rsidRPr="008A0293" w:rsidRDefault="00876E96" w:rsidP="00876E96">
      <w:pPr>
        <w:spacing w:after="0"/>
        <w:ind w:firstLine="720"/>
        <w:rPr>
          <w:bCs/>
        </w:rPr>
      </w:pPr>
      <w:r>
        <w:t>“</w:t>
      </w:r>
      <w:r w:rsidRPr="008A0293">
        <w:t xml:space="preserve">To receive ADR, a member must establish that they are </w:t>
      </w:r>
      <w:r>
        <w:t>‘</w:t>
      </w:r>
      <w:r w:rsidRPr="008A0293">
        <w:t>physically or mentally</w:t>
      </w:r>
    </w:p>
    <w:p w14:paraId="1FDBB375" w14:textId="77777777" w:rsidR="00876E96" w:rsidRPr="008A0293" w:rsidRDefault="00876E96" w:rsidP="00876E96">
      <w:pPr>
        <w:spacing w:after="0"/>
        <w:ind w:firstLine="720"/>
        <w:rPr>
          <w:bCs/>
        </w:rPr>
      </w:pPr>
      <w:r w:rsidRPr="008A0293">
        <w:t>incapacitated for the performance of city-service, as a natural and proximate result</w:t>
      </w:r>
      <w:r>
        <w:t>’</w:t>
      </w:r>
      <w:r w:rsidRPr="008A0293">
        <w:t xml:space="preserve"> of an</w:t>
      </w:r>
    </w:p>
    <w:p w14:paraId="4A806047" w14:textId="77777777" w:rsidR="00876E96" w:rsidRDefault="00876E96" w:rsidP="00876E96">
      <w:pPr>
        <w:spacing w:after="0"/>
        <w:ind w:firstLine="720"/>
        <w:rPr>
          <w:bCs/>
        </w:rPr>
      </w:pPr>
      <w:r w:rsidRPr="008A0293">
        <w:t>accidental injury received in such city-service. Administrative Code §13-353.</w:t>
      </w:r>
    </w:p>
    <w:p w14:paraId="39FA564A" w14:textId="77777777" w:rsidR="00876E96" w:rsidRDefault="00876E96" w:rsidP="00876E96">
      <w:pPr>
        <w:spacing w:after="0"/>
        <w:ind w:firstLine="720"/>
        <w:rPr>
          <w:bCs/>
        </w:rPr>
      </w:pPr>
    </w:p>
    <w:p w14:paraId="53CD2E32" w14:textId="77777777" w:rsidR="00876E96" w:rsidRDefault="00876E96" w:rsidP="00876E96">
      <w:pPr>
        <w:spacing w:after="0"/>
        <w:ind w:firstLine="720"/>
        <w:rPr>
          <w:bCs/>
        </w:rPr>
      </w:pPr>
      <w:r>
        <w:t>***</w:t>
      </w:r>
    </w:p>
    <w:p w14:paraId="017221CA" w14:textId="77777777" w:rsidR="00876E96" w:rsidRPr="00E529FB" w:rsidRDefault="00876E96" w:rsidP="00876E96">
      <w:pPr>
        <w:spacing w:after="0"/>
        <w:ind w:firstLine="720"/>
        <w:rPr>
          <w:bCs/>
        </w:rPr>
      </w:pPr>
      <w:r w:rsidRPr="00E529FB">
        <w:t>With respect to petitioner’s psychological disability, the Court similarly finds that</w:t>
      </w:r>
    </w:p>
    <w:p w14:paraId="1286EBE5" w14:textId="77777777" w:rsidR="00876E96" w:rsidRDefault="00876E96" w:rsidP="00876E96">
      <w:pPr>
        <w:spacing w:after="0"/>
        <w:ind w:left="720"/>
        <w:rPr>
          <w:bCs/>
        </w:rPr>
      </w:pPr>
      <w:r w:rsidRPr="00E529FB">
        <w:t>respondents, consistent with binding precedent, reasonably determined that it was not causally</w:t>
      </w:r>
      <w:r>
        <w:t xml:space="preserve"> </w:t>
      </w:r>
      <w:r w:rsidRPr="00E529FB">
        <w:t>related to his duties as a firefighter. See Smith v City of N.Y., 208 AD3d 1335 [2d Dept 2022]</w:t>
      </w:r>
      <w:r>
        <w:t xml:space="preserve"> </w:t>
      </w:r>
      <w:r w:rsidRPr="00E529FB">
        <w:t>(firefighter physically and sexually assaulted by two fellow firefighters and subsequently</w:t>
      </w:r>
      <w:r>
        <w:t xml:space="preserve"> </w:t>
      </w:r>
      <w:r w:rsidRPr="00E529FB">
        <w:t xml:space="preserve">developed PTSD in connection with </w:t>
      </w:r>
      <w:proofErr w:type="spellStart"/>
      <w:r w:rsidRPr="00E529FB">
        <w:t>assualt</w:t>
      </w:r>
      <w:proofErr w:type="spellEnd"/>
      <w:r w:rsidRPr="00E529FB">
        <w:t xml:space="preserve">); Picciurro v. Bd. of </w:t>
      </w:r>
      <w:proofErr w:type="spellStart"/>
      <w:r w:rsidRPr="00E529FB">
        <w:t>Trs</w:t>
      </w:r>
      <w:proofErr w:type="spellEnd"/>
      <w:r w:rsidRPr="00E529FB">
        <w:t>. of the N.Y.C. Police</w:t>
      </w:r>
      <w:r>
        <w:t xml:space="preserve"> </w:t>
      </w:r>
      <w:r w:rsidRPr="00E529FB">
        <w:t>Pension Fund, 46 AD3d 346, 348-49 [1st Dept 2007] (police officer suffered PTSD and</w:t>
      </w:r>
      <w:r>
        <w:t xml:space="preserve"> </w:t>
      </w:r>
      <w:r w:rsidRPr="00E529FB">
        <w:t>depression after humiliation, harassment and taunting by coworkers); Baird v Kelly, 25 AD3d</w:t>
      </w:r>
      <w:r>
        <w:t xml:space="preserve"> </w:t>
      </w:r>
      <w:r w:rsidRPr="00E529FB">
        <w:t>311, 313 [1st Dept 2006] (</w:t>
      </w:r>
      <w:r>
        <w:t>‘</w:t>
      </w:r>
      <w:r w:rsidRPr="00E529FB">
        <w:t>campaign of harassment does not constitute an accident</w:t>
      </w:r>
      <w:r>
        <w:t>’</w:t>
      </w:r>
      <w:r w:rsidRPr="00E529FB">
        <w:t>).</w:t>
      </w:r>
    </w:p>
    <w:p w14:paraId="5D147BCB" w14:textId="77777777" w:rsidR="00876E96" w:rsidRDefault="00876E96" w:rsidP="00876E96">
      <w:pPr>
        <w:spacing w:after="0"/>
        <w:ind w:left="720"/>
        <w:rPr>
          <w:bCs/>
        </w:rPr>
      </w:pPr>
    </w:p>
    <w:p w14:paraId="75DE0AA6" w14:textId="727777D4" w:rsidR="00876E96" w:rsidRDefault="00876E96" w:rsidP="00876E96">
      <w:pPr>
        <w:spacing w:after="0"/>
        <w:rPr>
          <w:b/>
        </w:rPr>
      </w:pPr>
      <w:r>
        <w:rPr>
          <w:b/>
        </w:rPr>
        <w:t xml:space="preserve">Lesson Learned: Under New York precedent, harassment does not constitute an accident. </w:t>
      </w:r>
    </w:p>
    <w:p w14:paraId="624B7A0A" w14:textId="77777777" w:rsidR="00876E96" w:rsidRDefault="00876E96" w:rsidP="00876E96">
      <w:pPr>
        <w:spacing w:after="0"/>
        <w:rPr>
          <w:b/>
        </w:rPr>
      </w:pPr>
    </w:p>
    <w:p w14:paraId="0495B5AB" w14:textId="77777777" w:rsidR="00876E96" w:rsidRDefault="00876E96" w:rsidP="00876E96">
      <w:pPr>
        <w:pStyle w:val="NoSpacing"/>
        <w:ind w:left="720"/>
      </w:pPr>
      <w:r w:rsidRPr="0065117A">
        <w:t xml:space="preserve">Note: </w:t>
      </w:r>
      <w:r>
        <w:t xml:space="preserve"> See plaintiff’s Feb. 8, </w:t>
      </w:r>
      <w:proofErr w:type="gramStart"/>
      <w:r>
        <w:t>2000</w:t>
      </w:r>
      <w:proofErr w:type="gramEnd"/>
      <w:r>
        <w:t xml:space="preserve"> Complaint where he alleged harassment as a Black, Muslim firefighter. </w:t>
      </w:r>
      <w:hyperlink r:id="rId2451" w:history="1">
        <w:r w:rsidRPr="00E52E8B">
          <w:rPr>
            <w:rStyle w:val="Hyperlink"/>
            <w:b/>
          </w:rPr>
          <w:t>file:///C:/Users/lawre/Downloads/US_DIS_NYSD_1_19cv11555_COMPLAINT_against_City_of_New_York_City_of_New_Yor.pdf</w:t>
        </w:r>
      </w:hyperlink>
      <w:r>
        <w:t xml:space="preserve"> </w:t>
      </w:r>
    </w:p>
    <w:p w14:paraId="7E670109" w14:textId="77777777" w:rsidR="00876E96" w:rsidRPr="0065117A" w:rsidRDefault="00876E96" w:rsidP="00876E96">
      <w:pPr>
        <w:spacing w:after="0"/>
        <w:ind w:left="720"/>
        <w:rPr>
          <w:bCs/>
        </w:rPr>
      </w:pPr>
      <w:r>
        <w:t xml:space="preserve"> </w:t>
      </w:r>
    </w:p>
    <w:p w14:paraId="509FC502" w14:textId="77777777" w:rsidR="00876E96" w:rsidRPr="000452AD" w:rsidRDefault="00876E96" w:rsidP="00876E96">
      <w:pPr>
        <w:spacing w:after="0"/>
        <w:rPr>
          <w:bCs/>
        </w:rPr>
      </w:pPr>
    </w:p>
    <w:p w14:paraId="04F92309" w14:textId="1B2B9424" w:rsidR="00491756" w:rsidRDefault="00491756" w:rsidP="000C4DF5">
      <w:pPr>
        <w:pStyle w:val="NoSpacing"/>
        <w:rPr>
          <w:rFonts w:ascii="Arial Black" w:hAnsi="Arial Black"/>
          <w:sz w:val="24"/>
          <w:szCs w:val="24"/>
        </w:rPr>
      </w:pPr>
    </w:p>
    <w:p w14:paraId="76320291" w14:textId="77777777" w:rsidR="00491756" w:rsidRDefault="00491756" w:rsidP="000C4DF5">
      <w:pPr>
        <w:pStyle w:val="NoSpacing"/>
        <w:rPr>
          <w:rFonts w:ascii="Arial Black" w:hAnsi="Arial Black"/>
          <w:sz w:val="24"/>
          <w:szCs w:val="24"/>
        </w:rPr>
      </w:pPr>
    </w:p>
    <w:p w14:paraId="6A909376" w14:textId="64C1B462" w:rsidR="00A93EB6" w:rsidRDefault="00A93EB6" w:rsidP="000C4DF5">
      <w:pPr>
        <w:pStyle w:val="NoSpacing"/>
        <w:rPr>
          <w:rFonts w:ascii="Arial Black" w:hAnsi="Arial Black"/>
          <w:sz w:val="24"/>
          <w:szCs w:val="24"/>
        </w:rPr>
      </w:pPr>
      <w:r>
        <w:rPr>
          <w:rFonts w:ascii="Arial Black" w:hAnsi="Arial Black"/>
          <w:sz w:val="24"/>
          <w:szCs w:val="24"/>
        </w:rPr>
        <w:t>15-42</w:t>
      </w:r>
    </w:p>
    <w:p w14:paraId="7531E8F3" w14:textId="77777777" w:rsidR="00A93EB6" w:rsidRDefault="00A93EB6" w:rsidP="000C4DF5">
      <w:pPr>
        <w:pStyle w:val="NoSpacing"/>
        <w:rPr>
          <w:rFonts w:ascii="Arial Black" w:hAnsi="Arial Black"/>
          <w:sz w:val="24"/>
          <w:szCs w:val="24"/>
        </w:rPr>
      </w:pPr>
    </w:p>
    <w:p w14:paraId="71EC53F1" w14:textId="77777777" w:rsidR="00A93EB6" w:rsidRPr="004D227C" w:rsidRDefault="00A93EB6" w:rsidP="00A93EB6">
      <w:pPr>
        <w:rPr>
          <w:rFonts w:ascii="Arial Black" w:hAnsi="Arial Black"/>
          <w:sz w:val="28"/>
          <w:szCs w:val="28"/>
        </w:rPr>
      </w:pPr>
      <w:r>
        <w:rPr>
          <w:rFonts w:ascii="Arial Black" w:hAnsi="Arial Black"/>
          <w:sz w:val="28"/>
          <w:szCs w:val="28"/>
        </w:rPr>
        <w:t>IL: CHICAGO – PSYCHOLOGICAL “SUITABILITY SCREENING”</w:t>
      </w:r>
    </w:p>
    <w:p w14:paraId="5A11A4CE" w14:textId="125D2DFA" w:rsidR="00A93EB6" w:rsidRPr="000449B4" w:rsidRDefault="00A93EB6" w:rsidP="00A93EB6">
      <w:pPr>
        <w:pStyle w:val="NoSpacing"/>
        <w:rPr>
          <w:rFonts w:ascii="Times New Roman" w:hAnsi="Times New Roman"/>
          <w:sz w:val="24"/>
          <w:szCs w:val="24"/>
        </w:rPr>
      </w:pPr>
      <w:r w:rsidRPr="000449B4">
        <w:rPr>
          <w:rFonts w:ascii="Times New Roman" w:hAnsi="Times New Roman"/>
          <w:sz w:val="24"/>
          <w:szCs w:val="24"/>
        </w:rPr>
        <w:t xml:space="preserve">On July 1, 2025, in </w:t>
      </w:r>
      <w:r w:rsidRPr="000449B4">
        <w:rPr>
          <w:rFonts w:ascii="Times New Roman" w:hAnsi="Times New Roman"/>
          <w:sz w:val="24"/>
          <w:szCs w:val="24"/>
          <w:u w:val="single"/>
        </w:rPr>
        <w:t>Nicholas Sintos v. City of Chicago</w:t>
      </w:r>
      <w:r w:rsidRPr="000449B4">
        <w:rPr>
          <w:rFonts w:ascii="Times New Roman" w:hAnsi="Times New Roman"/>
          <w:sz w:val="24"/>
          <w:szCs w:val="24"/>
        </w:rPr>
        <w:t xml:space="preserve">, U.S. District Court Judge Sara L. Ellis, United States District Court for Northern District of Illinois (Eastern Divion) held that plaintiff, who in February 2019 was rejected by the Chicago Fire Department’s Medical Director after undergoing a “psychological suitability screening” may proceed with his ADA lawsuit.  In 2020, the </w:t>
      </w:r>
      <w:proofErr w:type="gramStart"/>
      <w:r w:rsidRPr="000449B4">
        <w:rPr>
          <w:rFonts w:ascii="Times New Roman" w:hAnsi="Times New Roman"/>
          <w:sz w:val="24"/>
          <w:szCs w:val="24"/>
        </w:rPr>
        <w:t>City</w:t>
      </w:r>
      <w:proofErr w:type="gramEnd"/>
      <w:r w:rsidRPr="000449B4">
        <w:rPr>
          <w:rFonts w:ascii="Times New Roman" w:hAnsi="Times New Roman"/>
          <w:sz w:val="24"/>
          <w:szCs w:val="24"/>
        </w:rPr>
        <w:t xml:space="preserve"> stopped using this screening for applicants with mental health history.  THE COUT HELD:  “Dr. Wong also referred </w:t>
      </w:r>
      <w:proofErr w:type="spellStart"/>
      <w:r w:rsidRPr="000449B4">
        <w:rPr>
          <w:rFonts w:ascii="Times New Roman" w:hAnsi="Times New Roman"/>
          <w:sz w:val="24"/>
          <w:szCs w:val="24"/>
        </w:rPr>
        <w:t>Sintos</w:t>
      </w:r>
      <w:proofErr w:type="spellEnd"/>
      <w:r w:rsidRPr="000449B4">
        <w:rPr>
          <w:rFonts w:ascii="Times New Roman" w:hAnsi="Times New Roman"/>
          <w:sz w:val="24"/>
          <w:szCs w:val="24"/>
        </w:rPr>
        <w:t xml:space="preserve"> for a psychological suitability screening administered by Dr. Diana Goldstein of the Isaac Ray Forensic Group. The screening consisted of a twenty-three-page biographical questionnaire, two psychometric exams (the Minnesota Multiphasic Personality Inventory, revised (“MMPI-2”): Public Safety Module, and the Personality Assessment Inventory: Law </w:t>
      </w:r>
      <w:r w:rsidRPr="000449B4">
        <w:rPr>
          <w:rFonts w:ascii="Times New Roman" w:hAnsi="Times New Roman"/>
          <w:sz w:val="24"/>
          <w:szCs w:val="24"/>
        </w:rPr>
        <w:lastRenderedPageBreak/>
        <w:t xml:space="preserve">Enforcement, Corrections and Public Safety Selection Report (“PAI”)), and an interview…. Dr. Goldstein rated individuals as acceptable, acceptable with reservations, or unacceptable. An unacceptable finding [rating she gave to plaintiff] on the screening meant that the candidate's results did not look like those of a sample group of individuals who completed the probationary period…. The parties agree that the second [ADA] element, whether </w:t>
      </w:r>
      <w:proofErr w:type="spellStart"/>
      <w:r w:rsidRPr="000449B4">
        <w:rPr>
          <w:rFonts w:ascii="Times New Roman" w:hAnsi="Times New Roman"/>
          <w:sz w:val="24"/>
          <w:szCs w:val="24"/>
        </w:rPr>
        <w:t>Sintos</w:t>
      </w:r>
      <w:proofErr w:type="spellEnd"/>
      <w:r w:rsidRPr="000449B4">
        <w:rPr>
          <w:rFonts w:ascii="Times New Roman" w:hAnsi="Times New Roman"/>
          <w:sz w:val="24"/>
          <w:szCs w:val="24"/>
        </w:rPr>
        <w:t xml:space="preserve"> was qualified to perform the essential functions of a firefighter/EMT with or without a reasonable accommodation, remains a question for the jury.”  </w:t>
      </w:r>
      <w:hyperlink r:id="rId2452" w:history="1">
        <w:r w:rsidRPr="000449B4">
          <w:rPr>
            <w:rStyle w:val="Hyperlink"/>
            <w:rFonts w:ascii="Times New Roman" w:hAnsi="Times New Roman"/>
            <w:sz w:val="24"/>
            <w:szCs w:val="24"/>
          </w:rPr>
          <w:t>https://cases.justia.com/federal/district-courts/illinois/ilndce/1:2021cv05327/407800/161/0.pdf?ts=1751450196</w:t>
        </w:r>
      </w:hyperlink>
    </w:p>
    <w:p w14:paraId="765E9D30" w14:textId="77777777" w:rsidR="000449B4" w:rsidRPr="000449B4" w:rsidRDefault="000449B4" w:rsidP="000449B4">
      <w:pPr>
        <w:rPr>
          <w:rFonts w:ascii="Times New Roman" w:hAnsi="Times New Roman"/>
          <w:b/>
          <w:bCs/>
          <w:sz w:val="24"/>
          <w:szCs w:val="24"/>
        </w:rPr>
      </w:pPr>
      <w:r w:rsidRPr="000449B4">
        <w:rPr>
          <w:rFonts w:ascii="Times New Roman" w:hAnsi="Times New Roman"/>
          <w:b/>
          <w:sz w:val="24"/>
          <w:szCs w:val="24"/>
        </w:rPr>
        <w:t xml:space="preserve">Legal lesson learned: The case will now go to a jury trial unless the parties settle.  </w:t>
      </w:r>
    </w:p>
    <w:p w14:paraId="1A2E1EC1" w14:textId="77777777" w:rsidR="000449B4" w:rsidRDefault="000449B4" w:rsidP="00A93EB6">
      <w:pPr>
        <w:pStyle w:val="NoSpacing"/>
        <w:rPr>
          <w:rFonts w:ascii="Arial Black" w:hAnsi="Arial Black"/>
          <w:sz w:val="24"/>
          <w:szCs w:val="24"/>
        </w:rPr>
      </w:pPr>
    </w:p>
    <w:p w14:paraId="140C3253" w14:textId="77777777" w:rsidR="00A93EB6" w:rsidRDefault="00A93EB6" w:rsidP="000C4DF5">
      <w:pPr>
        <w:pStyle w:val="NoSpacing"/>
        <w:rPr>
          <w:rFonts w:ascii="Arial Black" w:hAnsi="Arial Black"/>
          <w:sz w:val="24"/>
          <w:szCs w:val="24"/>
        </w:rPr>
      </w:pPr>
    </w:p>
    <w:p w14:paraId="719D3BEC" w14:textId="4775FA32" w:rsidR="00816988" w:rsidRDefault="00816988" w:rsidP="000C4DF5">
      <w:pPr>
        <w:pStyle w:val="NoSpacing"/>
        <w:rPr>
          <w:rFonts w:ascii="Arial Black" w:hAnsi="Arial Black"/>
          <w:sz w:val="24"/>
          <w:szCs w:val="24"/>
        </w:rPr>
      </w:pPr>
      <w:r>
        <w:rPr>
          <w:rFonts w:ascii="Arial Black" w:hAnsi="Arial Black"/>
          <w:sz w:val="24"/>
          <w:szCs w:val="24"/>
        </w:rPr>
        <w:t>15-41</w:t>
      </w:r>
    </w:p>
    <w:p w14:paraId="41537DFD" w14:textId="77777777" w:rsidR="00816988" w:rsidRDefault="00816988" w:rsidP="000C4DF5">
      <w:pPr>
        <w:pStyle w:val="NoSpacing"/>
        <w:rPr>
          <w:rFonts w:ascii="Arial Black" w:hAnsi="Arial Black"/>
          <w:sz w:val="24"/>
          <w:szCs w:val="24"/>
        </w:rPr>
      </w:pPr>
    </w:p>
    <w:p w14:paraId="78A3F431" w14:textId="77777777" w:rsidR="00E67DEA" w:rsidRPr="006F2B87" w:rsidRDefault="00E67DEA" w:rsidP="00E67DEA">
      <w:pPr>
        <w:pStyle w:val="NoSpacing"/>
        <w:rPr>
          <w:rFonts w:ascii="Arial Black" w:hAnsi="Arial Black"/>
          <w:bCs/>
          <w:sz w:val="28"/>
          <w:szCs w:val="28"/>
        </w:rPr>
      </w:pPr>
      <w:r w:rsidRPr="006F2B87">
        <w:rPr>
          <w:rFonts w:ascii="Arial Black" w:hAnsi="Arial Black"/>
          <w:sz w:val="28"/>
          <w:szCs w:val="28"/>
        </w:rPr>
        <w:t xml:space="preserve">WA: MECHANIC – ANXIETY – </w:t>
      </w:r>
      <w:r>
        <w:rPr>
          <w:rFonts w:ascii="Arial Black" w:hAnsi="Arial Black"/>
          <w:sz w:val="28"/>
          <w:szCs w:val="28"/>
        </w:rPr>
        <w:t xml:space="preserve">NO ADA / DIDN’T </w:t>
      </w:r>
      <w:r w:rsidRPr="006F2B87">
        <w:rPr>
          <w:rFonts w:ascii="Arial Black" w:hAnsi="Arial Black"/>
          <w:sz w:val="28"/>
          <w:szCs w:val="28"/>
        </w:rPr>
        <w:t>COOPERATE</w:t>
      </w:r>
    </w:p>
    <w:p w14:paraId="44DC000D" w14:textId="77777777" w:rsidR="00E67DEA" w:rsidRPr="006F2B87" w:rsidRDefault="00E67DEA" w:rsidP="00E67DEA">
      <w:pPr>
        <w:pStyle w:val="NoSpacing"/>
        <w:rPr>
          <w:bCs/>
        </w:rPr>
      </w:pPr>
    </w:p>
    <w:p w14:paraId="46FABD20" w14:textId="77777777" w:rsidR="00E67DEA" w:rsidRPr="00E67DEA" w:rsidRDefault="00E67DEA" w:rsidP="00E67DEA">
      <w:pPr>
        <w:pStyle w:val="NoSpacing"/>
        <w:rPr>
          <w:rFonts w:ascii="Times New Roman" w:hAnsi="Times New Roman"/>
          <w:bCs/>
          <w:sz w:val="24"/>
          <w:szCs w:val="24"/>
        </w:rPr>
      </w:pPr>
      <w:r w:rsidRPr="00E67DEA">
        <w:rPr>
          <w:rFonts w:ascii="Times New Roman" w:hAnsi="Times New Roman"/>
          <w:sz w:val="24"/>
          <w:szCs w:val="24"/>
        </w:rPr>
        <w:t xml:space="preserve">On May 20, 2025, in </w:t>
      </w:r>
      <w:r w:rsidRPr="00E67DEA">
        <w:rPr>
          <w:rFonts w:ascii="Times New Roman" w:hAnsi="Times New Roman"/>
          <w:sz w:val="24"/>
          <w:szCs w:val="24"/>
          <w:u w:val="single"/>
        </w:rPr>
        <w:t>Liam Riley v. City of Tacoma; Tacoma Fire Department</w:t>
      </w:r>
      <w:r w:rsidRPr="00E67DEA">
        <w:rPr>
          <w:rFonts w:ascii="Times New Roman" w:hAnsi="Times New Roman"/>
          <w:sz w:val="24"/>
          <w:szCs w:val="24"/>
        </w:rPr>
        <w:t xml:space="preserve">, the Court of Appeals of Washington, Division 2, held (3 to 0; unpublished decision) that trial court properly dismissed his ADA claim.  </w:t>
      </w:r>
    </w:p>
    <w:p w14:paraId="1C365CA1" w14:textId="77777777" w:rsidR="00E67DEA" w:rsidRPr="00E67DEA" w:rsidRDefault="00E67DEA" w:rsidP="00E67DEA">
      <w:pPr>
        <w:pStyle w:val="NoSpacing"/>
        <w:rPr>
          <w:rFonts w:ascii="Times New Roman" w:hAnsi="Times New Roman"/>
          <w:bCs/>
          <w:sz w:val="24"/>
          <w:szCs w:val="24"/>
        </w:rPr>
      </w:pPr>
    </w:p>
    <w:p w14:paraId="6C8C4475" w14:textId="77777777" w:rsidR="00E67DEA" w:rsidRPr="00E67DEA" w:rsidRDefault="00E67DEA" w:rsidP="00E67DEA">
      <w:pPr>
        <w:pStyle w:val="NoSpacing"/>
        <w:rPr>
          <w:rFonts w:ascii="Times New Roman" w:hAnsi="Times New Roman"/>
          <w:bCs/>
          <w:sz w:val="24"/>
          <w:szCs w:val="24"/>
        </w:rPr>
      </w:pPr>
      <w:r w:rsidRPr="00E67DEA">
        <w:rPr>
          <w:rFonts w:ascii="Times New Roman" w:hAnsi="Times New Roman"/>
          <w:sz w:val="24"/>
          <w:szCs w:val="24"/>
        </w:rPr>
        <w:t xml:space="preserve">The Court wrote: “The trial court properly dismissed the failure to accommodate claim because the undisputed evidence established that Riley failed to cooperate with the City during the interactive process for evaluating Riley’s need for accommodation. Despite several clear requests from the </w:t>
      </w:r>
      <w:proofErr w:type="gramStart"/>
      <w:r w:rsidRPr="00E67DEA">
        <w:rPr>
          <w:rFonts w:ascii="Times New Roman" w:hAnsi="Times New Roman"/>
          <w:sz w:val="24"/>
          <w:szCs w:val="24"/>
        </w:rPr>
        <w:t>City</w:t>
      </w:r>
      <w:proofErr w:type="gramEnd"/>
      <w:r w:rsidRPr="00E67DEA">
        <w:rPr>
          <w:rFonts w:ascii="Times New Roman" w:hAnsi="Times New Roman"/>
          <w:sz w:val="24"/>
          <w:szCs w:val="24"/>
        </w:rPr>
        <w:t xml:space="preserve">, Riley failed to provide requested medical documentation addressing the nexus between his disability and his ability to perform the essential functions of his job. Riley’s lack of cooperation was fatal to his claim. The trial court also properly dismissed the hostile work environment claim because Riley failed to establish more than isolated incidents of hostility and he did not offer any evidence they were a result of his disability. We affirm.” </w:t>
      </w:r>
      <w:hyperlink r:id="rId2453" w:history="1">
        <w:r w:rsidRPr="00E67DEA">
          <w:rPr>
            <w:rStyle w:val="Hyperlink"/>
            <w:rFonts w:ascii="Times New Roman" w:hAnsi="Times New Roman"/>
            <w:sz w:val="24"/>
            <w:szCs w:val="24"/>
          </w:rPr>
          <w:t>https://www.courts.wa.gov/opinions/pdf/D2%2058295-3-II%20Unpublished%20Opinion.pdf</w:t>
        </w:r>
      </w:hyperlink>
      <w:r w:rsidRPr="00E67DEA">
        <w:rPr>
          <w:rFonts w:ascii="Times New Roman" w:hAnsi="Times New Roman"/>
          <w:sz w:val="24"/>
          <w:szCs w:val="24"/>
        </w:rPr>
        <w:t xml:space="preserve"> </w:t>
      </w:r>
    </w:p>
    <w:p w14:paraId="5C2B30A4" w14:textId="77777777" w:rsidR="00E67DEA" w:rsidRPr="00E67DEA" w:rsidRDefault="00E67DEA" w:rsidP="00E67DEA">
      <w:pPr>
        <w:pStyle w:val="NoSpacing"/>
        <w:rPr>
          <w:rFonts w:ascii="Times New Roman" w:hAnsi="Times New Roman"/>
          <w:b/>
          <w:bCs/>
          <w:sz w:val="24"/>
          <w:szCs w:val="24"/>
        </w:rPr>
      </w:pPr>
    </w:p>
    <w:p w14:paraId="2E976304" w14:textId="77777777" w:rsidR="009701FE" w:rsidRPr="009701FE" w:rsidRDefault="009701FE" w:rsidP="009701FE">
      <w:pPr>
        <w:pStyle w:val="NoSpacing"/>
        <w:rPr>
          <w:rFonts w:ascii="Times New Roman" w:hAnsi="Times New Roman"/>
          <w:b/>
          <w:bCs/>
          <w:sz w:val="24"/>
          <w:szCs w:val="24"/>
        </w:rPr>
      </w:pPr>
      <w:r w:rsidRPr="009701FE">
        <w:rPr>
          <w:rFonts w:ascii="Times New Roman" w:hAnsi="Times New Roman"/>
          <w:b/>
          <w:sz w:val="24"/>
          <w:szCs w:val="24"/>
        </w:rPr>
        <w:t xml:space="preserve">Legal Lesson Learned: The City promptly conducted a “Climate Assessment” of the garage workplace; plaintiff failed to cooperate with the city, including refusing to provide city access to his medical records. </w:t>
      </w:r>
    </w:p>
    <w:p w14:paraId="7FF5F265" w14:textId="77777777" w:rsidR="00E67DEA" w:rsidRPr="009701FE" w:rsidRDefault="00E67DEA" w:rsidP="00E67DEA">
      <w:pPr>
        <w:pStyle w:val="NoSpacing"/>
        <w:rPr>
          <w:rFonts w:ascii="Times New Roman" w:hAnsi="Times New Roman"/>
          <w:bCs/>
          <w:sz w:val="24"/>
          <w:szCs w:val="24"/>
        </w:rPr>
      </w:pPr>
    </w:p>
    <w:p w14:paraId="081947BE" w14:textId="77777777" w:rsidR="00E67DEA" w:rsidRPr="009701FE" w:rsidRDefault="00E67DEA" w:rsidP="000C4DF5">
      <w:pPr>
        <w:pStyle w:val="NoSpacing"/>
        <w:rPr>
          <w:rFonts w:ascii="Times New Roman" w:hAnsi="Times New Roman"/>
          <w:sz w:val="24"/>
          <w:szCs w:val="24"/>
        </w:rPr>
      </w:pPr>
    </w:p>
    <w:p w14:paraId="120C3041" w14:textId="77777777" w:rsidR="00E67DEA" w:rsidRDefault="00E67DEA" w:rsidP="000C4DF5">
      <w:pPr>
        <w:pStyle w:val="NoSpacing"/>
        <w:rPr>
          <w:rFonts w:ascii="Arial Black" w:hAnsi="Arial Black"/>
          <w:sz w:val="24"/>
          <w:szCs w:val="24"/>
        </w:rPr>
      </w:pPr>
    </w:p>
    <w:p w14:paraId="77BE0311" w14:textId="77777777" w:rsidR="00816988" w:rsidRDefault="00816988" w:rsidP="000C4DF5">
      <w:pPr>
        <w:pStyle w:val="NoSpacing"/>
        <w:rPr>
          <w:rFonts w:ascii="Arial Black" w:hAnsi="Arial Black"/>
          <w:sz w:val="24"/>
          <w:szCs w:val="24"/>
        </w:rPr>
      </w:pPr>
    </w:p>
    <w:p w14:paraId="49472C61" w14:textId="3810CE10" w:rsidR="00F37D60" w:rsidRDefault="00F37D60" w:rsidP="000C4DF5">
      <w:pPr>
        <w:pStyle w:val="NoSpacing"/>
        <w:rPr>
          <w:rFonts w:ascii="Arial Black" w:hAnsi="Arial Black"/>
          <w:sz w:val="24"/>
          <w:szCs w:val="24"/>
        </w:rPr>
      </w:pPr>
      <w:r>
        <w:rPr>
          <w:rFonts w:ascii="Arial Black" w:hAnsi="Arial Black"/>
          <w:sz w:val="24"/>
          <w:szCs w:val="24"/>
        </w:rPr>
        <w:t>15-</w:t>
      </w:r>
      <w:r w:rsidR="00C96532">
        <w:rPr>
          <w:rFonts w:ascii="Arial Black" w:hAnsi="Arial Black"/>
          <w:sz w:val="24"/>
          <w:szCs w:val="24"/>
        </w:rPr>
        <w:t>40</w:t>
      </w:r>
    </w:p>
    <w:p w14:paraId="26F2F651" w14:textId="77777777" w:rsidR="00F37D60" w:rsidRDefault="00F37D60" w:rsidP="000C4DF5">
      <w:pPr>
        <w:pStyle w:val="NoSpacing"/>
        <w:rPr>
          <w:rFonts w:ascii="Arial Black" w:hAnsi="Arial Black"/>
          <w:sz w:val="24"/>
          <w:szCs w:val="24"/>
        </w:rPr>
      </w:pPr>
    </w:p>
    <w:p w14:paraId="51ABB297" w14:textId="77777777" w:rsidR="00F37D60" w:rsidRDefault="00F37D60" w:rsidP="00F37D60">
      <w:pPr>
        <w:rPr>
          <w:rFonts w:ascii="Arial Black" w:hAnsi="Arial Black"/>
          <w:bCs/>
          <w:sz w:val="28"/>
          <w:szCs w:val="28"/>
        </w:rPr>
      </w:pPr>
      <w:r>
        <w:rPr>
          <w:rFonts w:ascii="Arial Black" w:hAnsi="Arial Black"/>
          <w:sz w:val="28"/>
          <w:szCs w:val="28"/>
        </w:rPr>
        <w:t xml:space="preserve">AR:  FF PTSD – RESPONDED 2 SHOOTINGS - NO WORK COMP </w:t>
      </w:r>
    </w:p>
    <w:p w14:paraId="42EF2658" w14:textId="77777777" w:rsidR="00F37D60" w:rsidRPr="006F79FB" w:rsidRDefault="00F37D60" w:rsidP="00F37D60">
      <w:pPr>
        <w:pStyle w:val="NoSpacing"/>
        <w:rPr>
          <w:rFonts w:ascii="Times New Roman" w:hAnsi="Times New Roman"/>
          <w:sz w:val="24"/>
          <w:szCs w:val="24"/>
        </w:rPr>
      </w:pPr>
      <w:r w:rsidRPr="006F79FB">
        <w:rPr>
          <w:rFonts w:ascii="Times New Roman" w:hAnsi="Times New Roman"/>
          <w:sz w:val="24"/>
          <w:szCs w:val="24"/>
        </w:rPr>
        <w:t xml:space="preserve">On April 29, 2025, in </w:t>
      </w:r>
      <w:r w:rsidRPr="006F79FB">
        <w:rPr>
          <w:rFonts w:ascii="Times New Roman" w:hAnsi="Times New Roman"/>
          <w:sz w:val="24"/>
          <w:szCs w:val="24"/>
          <w:u w:val="single"/>
        </w:rPr>
        <w:t>Shawn Lawless v. The Industrial Commission of Arizona, and the Northern AZ Consolidated Fire District</w:t>
      </w:r>
      <w:r w:rsidRPr="006F79FB">
        <w:rPr>
          <w:rFonts w:ascii="Times New Roman" w:hAnsi="Times New Roman"/>
          <w:sz w:val="24"/>
          <w:szCs w:val="24"/>
        </w:rPr>
        <w:t xml:space="preserve">, the Court of Appeals of Arizona, First Division, held (3 to 0) that a firefighter </w:t>
      </w:r>
      <w:r w:rsidRPr="006F79FB">
        <w:rPr>
          <w:rFonts w:ascii="Times New Roman" w:hAnsi="Times New Roman"/>
          <w:bCs/>
          <w:sz w:val="24"/>
          <w:szCs w:val="24"/>
        </w:rPr>
        <w:t xml:space="preserve">was properly denied workers comp since responding to shooting is </w:t>
      </w:r>
      <w:r w:rsidRPr="006F79FB">
        <w:rPr>
          <w:rFonts w:ascii="Times New Roman" w:hAnsi="Times New Roman"/>
          <w:sz w:val="24"/>
          <w:szCs w:val="24"/>
        </w:rPr>
        <w:t xml:space="preserve">not “unexpected, unusual, or extraordinary.”  Shawn Lewis has had PTSD since 2017 when working for another Lake Havasu City FD when he responded to a fatal watercraft.   In April 2020, while working for Northern AZ Consolidated Fire District [NAFD] he responded to two shootings.  April 1, 2020: he and firefighter / EMT Dillon Haskell were dispatched to Mohave Community College, where police had shot ‘one of the subjects’ involved in the shooting of the DPS officer earlier that day. On April 7, 2020, he and Haskell were dispatched to a scene of a random shooting that happened at a stop sign.  When they arrived, they saw that the driver of a car was dead from “multiple” gun shots “in the chest.” In both incidents, the hearing officer concluded they were not “unexpected, unusual or extraordinary.” A.R.S. § 23-1043.01(B). </w:t>
      </w:r>
      <w:hyperlink r:id="rId2454" w:history="1">
        <w:r w:rsidRPr="006F79FB">
          <w:rPr>
            <w:rStyle w:val="Hyperlink"/>
            <w:rFonts w:ascii="Times New Roman" w:hAnsi="Times New Roman"/>
            <w:sz w:val="24"/>
            <w:szCs w:val="24"/>
          </w:rPr>
          <w:t>https://cases.justia.com/arizona/court-of-appeals-division-one-published/2025-1-ca-ic-24-0009.pdf?ts=1745946035</w:t>
        </w:r>
      </w:hyperlink>
      <w:r w:rsidRPr="006F79FB">
        <w:rPr>
          <w:rFonts w:ascii="Times New Roman" w:hAnsi="Times New Roman"/>
          <w:sz w:val="24"/>
          <w:szCs w:val="24"/>
        </w:rPr>
        <w:t xml:space="preserve"> </w:t>
      </w:r>
    </w:p>
    <w:p w14:paraId="6B9ECF7D" w14:textId="77777777" w:rsidR="00F37D60" w:rsidRDefault="00F37D60" w:rsidP="00F37D60">
      <w:pPr>
        <w:pStyle w:val="NoSpacing"/>
        <w:rPr>
          <w:rFonts w:ascii="Times New Roman" w:hAnsi="Times New Roman"/>
          <w:sz w:val="24"/>
          <w:szCs w:val="24"/>
        </w:rPr>
      </w:pPr>
    </w:p>
    <w:p w14:paraId="7FFF24EC" w14:textId="77777777" w:rsidR="00325997" w:rsidRDefault="00325997" w:rsidP="00325997">
      <w:pPr>
        <w:pStyle w:val="NoSpacing"/>
        <w:rPr>
          <w:rFonts w:ascii="Times New Roman" w:hAnsi="Times New Roman"/>
          <w:b/>
          <w:sz w:val="24"/>
          <w:szCs w:val="24"/>
        </w:rPr>
      </w:pPr>
      <w:r w:rsidRPr="00290C93">
        <w:rPr>
          <w:rFonts w:ascii="Times New Roman" w:hAnsi="Times New Roman"/>
          <w:b/>
          <w:sz w:val="24"/>
          <w:szCs w:val="24"/>
        </w:rPr>
        <w:t xml:space="preserve">Legal Lesson Learned: It is very difficult to prove that </w:t>
      </w:r>
      <w:r w:rsidRPr="00290C93">
        <w:rPr>
          <w:rFonts w:ascii="Times New Roman" w:hAnsi="Times New Roman"/>
          <w:b/>
          <w:bCs/>
          <w:sz w:val="24"/>
          <w:szCs w:val="24"/>
        </w:rPr>
        <w:t xml:space="preserve">responding to a shooting </w:t>
      </w:r>
      <w:r w:rsidRPr="00290C93">
        <w:rPr>
          <w:rFonts w:ascii="Times New Roman" w:hAnsi="Times New Roman"/>
          <w:b/>
          <w:sz w:val="24"/>
          <w:szCs w:val="24"/>
        </w:rPr>
        <w:t>was “unexpected, unusual, or extraordinary.”</w:t>
      </w:r>
    </w:p>
    <w:p w14:paraId="12CCFB0A" w14:textId="77777777" w:rsidR="00C96532" w:rsidRDefault="00C96532" w:rsidP="00325997">
      <w:pPr>
        <w:pStyle w:val="NoSpacing"/>
        <w:rPr>
          <w:rFonts w:ascii="Times New Roman" w:hAnsi="Times New Roman"/>
          <w:b/>
          <w:sz w:val="24"/>
          <w:szCs w:val="24"/>
        </w:rPr>
      </w:pPr>
    </w:p>
    <w:p w14:paraId="315C23A2" w14:textId="77777777" w:rsidR="00C96532" w:rsidRDefault="00C96532" w:rsidP="00325997">
      <w:pPr>
        <w:pStyle w:val="NoSpacing"/>
        <w:rPr>
          <w:rFonts w:ascii="Arial Black" w:hAnsi="Arial Black"/>
          <w:b/>
          <w:sz w:val="28"/>
          <w:szCs w:val="28"/>
        </w:rPr>
      </w:pPr>
    </w:p>
    <w:p w14:paraId="6C0AEFCD" w14:textId="40C71ACE" w:rsidR="00C96532" w:rsidRPr="00C96532" w:rsidRDefault="00C96532" w:rsidP="00325997">
      <w:pPr>
        <w:pStyle w:val="NoSpacing"/>
        <w:rPr>
          <w:rFonts w:ascii="Arial Black" w:hAnsi="Arial Black"/>
          <w:b/>
          <w:sz w:val="24"/>
          <w:szCs w:val="24"/>
        </w:rPr>
      </w:pPr>
      <w:r w:rsidRPr="00C96532">
        <w:rPr>
          <w:rFonts w:ascii="Arial Black" w:hAnsi="Arial Black"/>
          <w:b/>
          <w:sz w:val="24"/>
          <w:szCs w:val="24"/>
        </w:rPr>
        <w:t>15-39</w:t>
      </w:r>
    </w:p>
    <w:p w14:paraId="3229C256" w14:textId="77777777" w:rsidR="00C96532" w:rsidRDefault="00C96532" w:rsidP="00325997">
      <w:pPr>
        <w:pStyle w:val="NoSpacing"/>
        <w:rPr>
          <w:rFonts w:ascii="Times New Roman" w:hAnsi="Times New Roman"/>
          <w:b/>
          <w:sz w:val="24"/>
          <w:szCs w:val="24"/>
        </w:rPr>
      </w:pPr>
    </w:p>
    <w:p w14:paraId="13BB66F6" w14:textId="77777777" w:rsidR="00C96532" w:rsidRPr="00CD07A8" w:rsidRDefault="00C96532" w:rsidP="00C96532">
      <w:pPr>
        <w:rPr>
          <w:rFonts w:ascii="Arial Black" w:hAnsi="Arial Black"/>
          <w:sz w:val="28"/>
          <w:szCs w:val="28"/>
        </w:rPr>
      </w:pPr>
      <w:r>
        <w:rPr>
          <w:rFonts w:ascii="Arial Black" w:hAnsi="Arial Black"/>
          <w:sz w:val="28"/>
          <w:szCs w:val="28"/>
        </w:rPr>
        <w:t>MI: FF WITH PTSD – NO RIGHT TO BRING HIS DOG TO WORK</w:t>
      </w:r>
    </w:p>
    <w:p w14:paraId="3ABA2F75" w14:textId="17699B79" w:rsidR="00C96532" w:rsidRPr="00C96532" w:rsidRDefault="00C96532" w:rsidP="00C96532">
      <w:pPr>
        <w:pStyle w:val="NoSpacing"/>
        <w:rPr>
          <w:rFonts w:ascii="Times New Roman" w:hAnsi="Times New Roman"/>
          <w:b/>
          <w:bCs/>
          <w:sz w:val="24"/>
          <w:szCs w:val="24"/>
        </w:rPr>
      </w:pPr>
      <w:r w:rsidRPr="00C96532">
        <w:rPr>
          <w:rFonts w:ascii="Times New Roman" w:hAnsi="Times New Roman"/>
          <w:sz w:val="24"/>
          <w:szCs w:val="24"/>
        </w:rPr>
        <w:t xml:space="preserve">On April 29, 2025, in </w:t>
      </w:r>
      <w:r w:rsidRPr="00C96532">
        <w:rPr>
          <w:rFonts w:ascii="Times New Roman" w:hAnsi="Times New Roman"/>
          <w:sz w:val="24"/>
          <w:szCs w:val="24"/>
          <w:u w:val="single"/>
        </w:rPr>
        <w:t>Aaron Fisher v. City of Lansing</w:t>
      </w:r>
      <w:r w:rsidRPr="00C96532">
        <w:rPr>
          <w:rFonts w:ascii="Times New Roman" w:hAnsi="Times New Roman"/>
          <w:sz w:val="24"/>
          <w:szCs w:val="24"/>
        </w:rPr>
        <w:t xml:space="preserve">, U.S. District Court Judge Paul L. Maloney, United States District Court for Western District of Michigan, Southern Division, granted the City’s motion for summary judgment, since the City established that Plaintiff could perform his duties at the fire station without a service animal.  The firefighter / engineer joined the FD in 2004; he started suffering from PTSD around 2010. In March 2020 he asked his Battalion Chief if he could bring his personal dog, “Chet” to work.  This was unofficially authorized, and he did this for four months.  On July 30, 2020, the City issued a notice to all fire department employees stating that employees were not allowed to bring pets of any kind to work.  In mid-August 2020, Plaintiff submitted his request for “service animal” using the City's approved form, and submitted a letter from Dr. Ronald Fandrick, a licensed clinical psychologist, who concluded that Plaintiff needed an “emotional support animal” during work hours at the fire station….  Around August 26, 2020, Kathy Woodman, the City's Health and Wellness Director, met with Plaintiff for over an hour to discuss his request; near the end of September, Defendant denied Plaintiff's request for accommodation. </w:t>
      </w:r>
      <w:hyperlink r:id="rId2455" w:history="1">
        <w:r w:rsidRPr="00C96532">
          <w:rPr>
            <w:rStyle w:val="Hyperlink"/>
            <w:rFonts w:ascii="Times New Roman" w:hAnsi="Times New Roman"/>
            <w:sz w:val="24"/>
            <w:szCs w:val="24"/>
          </w:rPr>
          <w:t>https://hr.cch.com/ELD/FisherLansing042925.pdf</w:t>
        </w:r>
      </w:hyperlink>
    </w:p>
    <w:p w14:paraId="33272690" w14:textId="77777777" w:rsidR="00325997" w:rsidRPr="00C96532" w:rsidRDefault="00325997" w:rsidP="00F37D60">
      <w:pPr>
        <w:pStyle w:val="NoSpacing"/>
        <w:rPr>
          <w:rFonts w:ascii="Times New Roman" w:hAnsi="Times New Roman"/>
          <w:sz w:val="24"/>
          <w:szCs w:val="24"/>
        </w:rPr>
      </w:pPr>
    </w:p>
    <w:p w14:paraId="220DA4E6" w14:textId="77777777" w:rsidR="00153742" w:rsidRPr="00D55B6E" w:rsidRDefault="00153742" w:rsidP="00153742">
      <w:pPr>
        <w:pStyle w:val="NoSpacing"/>
        <w:rPr>
          <w:rFonts w:ascii="Times New Roman" w:hAnsi="Times New Roman"/>
          <w:b/>
          <w:bCs/>
          <w:sz w:val="24"/>
          <w:szCs w:val="24"/>
        </w:rPr>
      </w:pPr>
      <w:r w:rsidRPr="00D55B6E">
        <w:rPr>
          <w:rFonts w:ascii="Times New Roman" w:hAnsi="Times New Roman"/>
          <w:b/>
          <w:sz w:val="24"/>
          <w:szCs w:val="24"/>
        </w:rPr>
        <w:t xml:space="preserve">Legal Lesson Learned: The ADA </w:t>
      </w:r>
      <w:r w:rsidRPr="00D55B6E">
        <w:rPr>
          <w:rFonts w:ascii="Times New Roman" w:hAnsi="Times New Roman"/>
          <w:b/>
          <w:bCs/>
          <w:sz w:val="24"/>
          <w:szCs w:val="24"/>
        </w:rPr>
        <w:t>applies to employees who need a “service animal” to perform work duties,  not “</w:t>
      </w:r>
      <w:r w:rsidRPr="00D55B6E">
        <w:rPr>
          <w:rFonts w:ascii="Times New Roman" w:hAnsi="Times New Roman"/>
          <w:b/>
          <w:sz w:val="24"/>
          <w:szCs w:val="24"/>
        </w:rPr>
        <w:t>emotional support animals</w:t>
      </w:r>
      <w:r w:rsidRPr="00D55B6E">
        <w:rPr>
          <w:rFonts w:ascii="Times New Roman" w:hAnsi="Times New Roman"/>
          <w:b/>
          <w:bCs/>
          <w:sz w:val="24"/>
          <w:szCs w:val="24"/>
        </w:rPr>
        <w:t xml:space="preserve">.” </w:t>
      </w:r>
      <w:r w:rsidRPr="00D55B6E">
        <w:rPr>
          <w:rFonts w:ascii="Times New Roman" w:hAnsi="Times New Roman"/>
          <w:b/>
          <w:sz w:val="24"/>
          <w:szCs w:val="24"/>
        </w:rPr>
        <w:t xml:space="preserve"> </w:t>
      </w:r>
    </w:p>
    <w:p w14:paraId="26597A0B" w14:textId="7CACCB8D" w:rsidR="00F37D60" w:rsidRPr="00D55B6E" w:rsidRDefault="00153742" w:rsidP="00D55B6E">
      <w:pPr>
        <w:pStyle w:val="NoSpacing"/>
        <w:ind w:left="720"/>
        <w:rPr>
          <w:rFonts w:ascii="Times New Roman" w:hAnsi="Times New Roman"/>
          <w:sz w:val="24"/>
          <w:szCs w:val="24"/>
        </w:rPr>
      </w:pPr>
      <w:r w:rsidRPr="00D55B6E">
        <w:rPr>
          <w:rFonts w:ascii="Times New Roman" w:hAnsi="Times New Roman"/>
          <w:sz w:val="24"/>
          <w:szCs w:val="24"/>
        </w:rPr>
        <w:t xml:space="preserve">Note: See article on this case. </w:t>
      </w:r>
      <w:hyperlink r:id="rId2456" w:history="1">
        <w:r w:rsidR="00D55B6E" w:rsidRPr="00D55B6E">
          <w:rPr>
            <w:rStyle w:val="Hyperlink"/>
            <w:rFonts w:ascii="Times New Roman" w:hAnsi="Times New Roman"/>
            <w:sz w:val="24"/>
            <w:szCs w:val="24"/>
          </w:rPr>
          <w:t>https://www.vitallaw.com/news/discrimination-disability-w-d-mich-firefighter-with-ptsd-fails-to-show-firehouse-dog-was-reasonable-accommodation/eld0112d25548de2942ffb5b58765cda11301</w:t>
        </w:r>
      </w:hyperlink>
    </w:p>
    <w:p w14:paraId="6C3ABDA2" w14:textId="77777777" w:rsidR="00F37D60" w:rsidRDefault="00F37D60" w:rsidP="000C4DF5">
      <w:pPr>
        <w:pStyle w:val="NoSpacing"/>
        <w:rPr>
          <w:rFonts w:ascii="Arial Black" w:hAnsi="Arial Black"/>
          <w:sz w:val="24"/>
          <w:szCs w:val="24"/>
        </w:rPr>
      </w:pPr>
    </w:p>
    <w:p w14:paraId="5B0D37EF" w14:textId="77777777" w:rsidR="00F37D60" w:rsidRDefault="00F37D60" w:rsidP="000C4DF5">
      <w:pPr>
        <w:pStyle w:val="NoSpacing"/>
        <w:rPr>
          <w:rFonts w:ascii="Arial Black" w:hAnsi="Arial Black"/>
          <w:sz w:val="24"/>
          <w:szCs w:val="24"/>
        </w:rPr>
      </w:pPr>
    </w:p>
    <w:p w14:paraId="674A8451" w14:textId="2489F1C7" w:rsidR="006F1059" w:rsidRDefault="00A84B8B" w:rsidP="000C4DF5">
      <w:pPr>
        <w:pStyle w:val="NoSpacing"/>
        <w:rPr>
          <w:rFonts w:ascii="Arial Black" w:hAnsi="Arial Black"/>
          <w:sz w:val="24"/>
          <w:szCs w:val="24"/>
        </w:rPr>
      </w:pPr>
      <w:r>
        <w:rPr>
          <w:rFonts w:ascii="Arial Black" w:hAnsi="Arial Black"/>
          <w:sz w:val="24"/>
          <w:szCs w:val="24"/>
        </w:rPr>
        <w:t>15-38</w:t>
      </w:r>
    </w:p>
    <w:p w14:paraId="56B6329E" w14:textId="77777777" w:rsidR="00A84B8B" w:rsidRDefault="00A84B8B" w:rsidP="000C4DF5">
      <w:pPr>
        <w:pStyle w:val="NoSpacing"/>
        <w:rPr>
          <w:rFonts w:ascii="Arial Black" w:hAnsi="Arial Black"/>
          <w:sz w:val="24"/>
          <w:szCs w:val="24"/>
        </w:rPr>
      </w:pPr>
    </w:p>
    <w:p w14:paraId="45AD527B" w14:textId="25375FE5" w:rsidR="00A84B8B" w:rsidRPr="00EB63ED" w:rsidRDefault="00A84B8B" w:rsidP="00A84B8B">
      <w:pPr>
        <w:pStyle w:val="NoSpacing"/>
        <w:rPr>
          <w:rFonts w:ascii="Arial Black" w:hAnsi="Arial Black"/>
          <w:sz w:val="28"/>
          <w:szCs w:val="28"/>
        </w:rPr>
      </w:pPr>
      <w:r w:rsidRPr="00EB63ED">
        <w:rPr>
          <w:rFonts w:ascii="Arial Black" w:hAnsi="Arial Black"/>
          <w:sz w:val="28"/>
          <w:szCs w:val="28"/>
        </w:rPr>
        <w:t xml:space="preserve">NY: NYPD RESONSE </w:t>
      </w:r>
      <w:r w:rsidR="0061722F">
        <w:rPr>
          <w:rFonts w:ascii="Arial Black" w:hAnsi="Arial Black"/>
          <w:sz w:val="28"/>
          <w:szCs w:val="28"/>
        </w:rPr>
        <w:t xml:space="preserve">TO </w:t>
      </w:r>
      <w:r w:rsidRPr="00EB63ED">
        <w:rPr>
          <w:rFonts w:ascii="Arial Black" w:hAnsi="Arial Black"/>
          <w:sz w:val="28"/>
          <w:szCs w:val="28"/>
        </w:rPr>
        <w:t xml:space="preserve">MENTAL RUNS - PROP. CLASS ACTION </w:t>
      </w:r>
    </w:p>
    <w:p w14:paraId="254221F6" w14:textId="77777777" w:rsidR="00A84B8B" w:rsidRPr="00D11443" w:rsidRDefault="00A84B8B" w:rsidP="00A84B8B">
      <w:pPr>
        <w:pStyle w:val="NoSpacing"/>
        <w:rPr>
          <w:rFonts w:ascii="Times New Roman" w:hAnsi="Times New Roman"/>
          <w:sz w:val="24"/>
          <w:szCs w:val="24"/>
        </w:rPr>
      </w:pPr>
    </w:p>
    <w:p w14:paraId="4C787F02" w14:textId="751D95B5" w:rsidR="00A84B8B" w:rsidRPr="00D11443" w:rsidRDefault="00A84B8B" w:rsidP="00A84B8B">
      <w:pPr>
        <w:pStyle w:val="NoSpacing"/>
        <w:rPr>
          <w:rFonts w:ascii="Times New Roman" w:hAnsi="Times New Roman"/>
          <w:sz w:val="24"/>
          <w:szCs w:val="24"/>
        </w:rPr>
      </w:pPr>
      <w:r w:rsidRPr="00D11443">
        <w:rPr>
          <w:rFonts w:ascii="Times New Roman" w:hAnsi="Times New Roman"/>
          <w:sz w:val="24"/>
          <w:szCs w:val="24"/>
        </w:rPr>
        <w:t xml:space="preserve">On March 28, 2025, in </w:t>
      </w:r>
      <w:r w:rsidRPr="00D11443">
        <w:rPr>
          <w:rFonts w:ascii="Times New Roman" w:hAnsi="Times New Roman"/>
          <w:sz w:val="24"/>
          <w:szCs w:val="24"/>
          <w:u w:val="single"/>
        </w:rPr>
        <w:t>Steve Greene, et al. v. City of New York, et al</w:t>
      </w:r>
      <w:r w:rsidRPr="00D11443">
        <w:rPr>
          <w:rFonts w:ascii="Times New Roman" w:hAnsi="Times New Roman"/>
          <w:sz w:val="24"/>
          <w:szCs w:val="24"/>
        </w:rPr>
        <w:t xml:space="preserve">., Senior U.S. District Court Judge Loretta A. Preska, U.S. District Court for Southern District of New York, in proposed class action lawsuit by several community action groups, including Community Access, Inc, National Alliance of Mental Illness of New York City, Inc., the federal judge denied the City’s motion to strike the class action from the complaint at this early stage of litigation, and held that the case may proceed on the City’s current practice of sending police to mental health calls (instead of a mental health crisis team, such as the City’s limited “B-Heard” program).  “Defendants' motion to dismiss the disability claims regarding the on-site response pursuant to Title II of the ADA, Section 504 of the Rehabilitation Act, and the NYCHRL is DENIED.” </w:t>
      </w:r>
      <w:hyperlink r:id="rId2457" w:history="1">
        <w:r w:rsidRPr="00D11443">
          <w:rPr>
            <w:rStyle w:val="Hyperlink"/>
            <w:rFonts w:ascii="Times New Roman" w:hAnsi="Times New Roman"/>
            <w:sz w:val="24"/>
            <w:szCs w:val="24"/>
          </w:rPr>
          <w:t>https://public.fastcase.com/jaEE2PXzRXmZ99jOLMt1IgF1yYEhvQDwrp3nUQiGNB%2BGSciFeLM%2FmBTuULLxAVc6AJd7N%2FBSzM%2BwBsHVa7Iixu%2BNwJWRs9nDd4Lbk0%2BZyEc%3D?utm_medium=email&amp;_hsenc=p2ANqtz-_AJp8PZettrdOWllyvjduuYkYNLjKGvTo7FG_iUypW4feeCV7HNQpd9yy59szCksxig4Y61bV5hSQSKDqcsmFU4r11KQ&amp;_hsmi=226712652&amp;utm_content=226712652&amp;utm_source=hs_email</w:t>
        </w:r>
      </w:hyperlink>
    </w:p>
    <w:p w14:paraId="2C86C4AA" w14:textId="77777777" w:rsidR="00D11443" w:rsidRPr="00D11443" w:rsidRDefault="00D11443" w:rsidP="00D11443">
      <w:pPr>
        <w:pStyle w:val="NoSpacing"/>
        <w:rPr>
          <w:rFonts w:ascii="Times New Roman" w:hAnsi="Times New Roman"/>
          <w:b/>
          <w:sz w:val="24"/>
          <w:szCs w:val="24"/>
        </w:rPr>
      </w:pPr>
    </w:p>
    <w:p w14:paraId="6B785B13" w14:textId="77777777" w:rsidR="006361FE" w:rsidRPr="008A731F" w:rsidRDefault="006361FE" w:rsidP="006361FE">
      <w:pPr>
        <w:pStyle w:val="NoSpacing"/>
        <w:rPr>
          <w:rFonts w:ascii="Times New Roman" w:hAnsi="Times New Roman"/>
          <w:b/>
          <w:bCs/>
          <w:sz w:val="24"/>
          <w:szCs w:val="24"/>
        </w:rPr>
      </w:pPr>
      <w:r w:rsidRPr="008A731F">
        <w:rPr>
          <w:rFonts w:ascii="Times New Roman" w:hAnsi="Times New Roman"/>
          <w:b/>
          <w:sz w:val="24"/>
          <w:szCs w:val="24"/>
        </w:rPr>
        <w:t xml:space="preserve">Legal Lessons Learned:  Litigation will proceed on NYPD response to mental health patients. </w:t>
      </w:r>
    </w:p>
    <w:p w14:paraId="77BB0503" w14:textId="77777777" w:rsidR="00A84B8B" w:rsidRDefault="00A84B8B" w:rsidP="000C4DF5">
      <w:pPr>
        <w:pStyle w:val="NoSpacing"/>
        <w:rPr>
          <w:rFonts w:ascii="Arial Black" w:hAnsi="Arial Black"/>
          <w:sz w:val="24"/>
          <w:szCs w:val="24"/>
        </w:rPr>
      </w:pPr>
    </w:p>
    <w:p w14:paraId="3AF70134" w14:textId="77777777" w:rsidR="00A84B8B" w:rsidRDefault="00A84B8B" w:rsidP="000C4DF5">
      <w:pPr>
        <w:pStyle w:val="NoSpacing"/>
        <w:rPr>
          <w:rFonts w:ascii="Arial Black" w:hAnsi="Arial Black"/>
          <w:sz w:val="24"/>
          <w:szCs w:val="24"/>
        </w:rPr>
      </w:pPr>
    </w:p>
    <w:p w14:paraId="1A8B2B93" w14:textId="5CBC32D5" w:rsidR="004D6FB2" w:rsidRDefault="004D6FB2" w:rsidP="000C4DF5">
      <w:pPr>
        <w:pStyle w:val="NoSpacing"/>
        <w:rPr>
          <w:rFonts w:ascii="Arial Black" w:hAnsi="Arial Black"/>
          <w:sz w:val="24"/>
          <w:szCs w:val="24"/>
        </w:rPr>
      </w:pPr>
      <w:r>
        <w:rPr>
          <w:rFonts w:ascii="Arial Black" w:hAnsi="Arial Black"/>
          <w:sz w:val="24"/>
          <w:szCs w:val="24"/>
        </w:rPr>
        <w:t>15-</w:t>
      </w:r>
      <w:r w:rsidR="00062DA4">
        <w:rPr>
          <w:rFonts w:ascii="Arial Black" w:hAnsi="Arial Black"/>
          <w:sz w:val="24"/>
          <w:szCs w:val="24"/>
        </w:rPr>
        <w:t>3</w:t>
      </w:r>
      <w:r w:rsidR="001A4CAA">
        <w:rPr>
          <w:rFonts w:ascii="Arial Black" w:hAnsi="Arial Black"/>
          <w:sz w:val="24"/>
          <w:szCs w:val="24"/>
        </w:rPr>
        <w:t>7</w:t>
      </w:r>
      <w:r w:rsidR="00062DA4">
        <w:rPr>
          <w:rFonts w:ascii="Arial Black" w:hAnsi="Arial Black"/>
          <w:sz w:val="24"/>
          <w:szCs w:val="24"/>
        </w:rPr>
        <w:t xml:space="preserve"> [also filed, Chap. 13]</w:t>
      </w:r>
    </w:p>
    <w:p w14:paraId="47B8B26C" w14:textId="77777777" w:rsidR="00062DA4" w:rsidRDefault="00062DA4" w:rsidP="000C4DF5">
      <w:pPr>
        <w:pStyle w:val="NoSpacing"/>
        <w:rPr>
          <w:rFonts w:ascii="Arial Black" w:hAnsi="Arial Black"/>
          <w:sz w:val="24"/>
          <w:szCs w:val="24"/>
        </w:rPr>
      </w:pPr>
    </w:p>
    <w:p w14:paraId="1EDAD8D1" w14:textId="77777777" w:rsidR="00062DA4" w:rsidRPr="000B7F2C" w:rsidRDefault="00062DA4" w:rsidP="00062DA4">
      <w:pPr>
        <w:rPr>
          <w:rFonts w:ascii="Arial Black" w:hAnsi="Arial Black"/>
          <w:sz w:val="28"/>
          <w:szCs w:val="28"/>
        </w:rPr>
      </w:pPr>
      <w:r w:rsidRPr="000B7F2C">
        <w:rPr>
          <w:rFonts w:ascii="Arial Black" w:hAnsi="Arial Black"/>
          <w:sz w:val="28"/>
          <w:szCs w:val="28"/>
        </w:rPr>
        <w:t>CO: PARAMEDIC TACKLED MENTAL - PT DIED – NO CASE</w:t>
      </w:r>
    </w:p>
    <w:p w14:paraId="4CBC7EC0" w14:textId="77777777" w:rsidR="00062DA4" w:rsidRPr="00CA2B3F" w:rsidRDefault="00062DA4" w:rsidP="00062DA4">
      <w:pPr>
        <w:rPr>
          <w:rFonts w:ascii="Times New Roman" w:hAnsi="Times New Roman"/>
          <w:sz w:val="24"/>
          <w:szCs w:val="24"/>
        </w:rPr>
      </w:pPr>
      <w:r w:rsidRPr="00CA2B3F">
        <w:rPr>
          <w:rFonts w:ascii="Times New Roman" w:hAnsi="Times New Roman"/>
          <w:sz w:val="24"/>
          <w:szCs w:val="24"/>
        </w:rPr>
        <w:t xml:space="preserve">On Feb. 28, 2025, in </w:t>
      </w:r>
      <w:r w:rsidRPr="00CA2B3F">
        <w:rPr>
          <w:rFonts w:ascii="Times New Roman" w:hAnsi="Times New Roman"/>
          <w:sz w:val="24"/>
          <w:szCs w:val="24"/>
          <w:u w:val="single"/>
        </w:rPr>
        <w:t>Estate of Kevin Dizmang v. Sean Reed, a Colorado Springs Police Officer and Nick Fischer, a Colorado Springs Paramedic</w:t>
      </w:r>
      <w:r w:rsidRPr="00CA2B3F">
        <w:rPr>
          <w:rFonts w:ascii="Times New Roman" w:hAnsi="Times New Roman"/>
          <w:sz w:val="24"/>
          <w:szCs w:val="24"/>
        </w:rPr>
        <w:t xml:space="preserve">, United States District Court Judge Charlotte N. Sweeney, U.S. District Court for District of Colorado, granted motions to dismiss the paramedic and the police officer.  The paramedic was on a three-person crisis response team (CRT) with a police officer and a licensed clinician.  The paramedic tackled the mental patient to prevent him walking back into the street and then render care. Both the paramedic and the police officer have qualified immunity.  </w:t>
      </w:r>
      <w:hyperlink r:id="rId2458" w:history="1">
        <w:r w:rsidRPr="00CA2B3F">
          <w:rPr>
            <w:rStyle w:val="Hyperlink"/>
            <w:rFonts w:ascii="Times New Roman" w:hAnsi="Times New Roman"/>
            <w:sz w:val="24"/>
            <w:szCs w:val="24"/>
          </w:rPr>
          <w:t>https://storage.courtlistener.com/recap/gov.uscourts.cod.231472/gov.uscourts.cod.231472.63.0.pdf</w:t>
        </w:r>
      </w:hyperlink>
      <w:r w:rsidRPr="00CA2B3F">
        <w:rPr>
          <w:rFonts w:ascii="Times New Roman" w:hAnsi="Times New Roman"/>
          <w:sz w:val="24"/>
          <w:szCs w:val="24"/>
        </w:rPr>
        <w:t xml:space="preserve"> </w:t>
      </w:r>
    </w:p>
    <w:p w14:paraId="765767C2" w14:textId="77777777" w:rsidR="00062DA4" w:rsidRPr="00CA2B3F" w:rsidRDefault="00062DA4" w:rsidP="00062DA4">
      <w:pPr>
        <w:pStyle w:val="NoSpacing"/>
        <w:rPr>
          <w:rFonts w:ascii="Times New Roman" w:hAnsi="Times New Roman"/>
          <w:sz w:val="24"/>
          <w:szCs w:val="24"/>
        </w:rPr>
      </w:pPr>
      <w:r w:rsidRPr="00CA2B3F">
        <w:rPr>
          <w:rFonts w:ascii="Times New Roman" w:hAnsi="Times New Roman"/>
          <w:sz w:val="24"/>
          <w:szCs w:val="24"/>
        </w:rPr>
        <w:t xml:space="preserve">The Court described facts:  </w:t>
      </w:r>
    </w:p>
    <w:p w14:paraId="12347FC8" w14:textId="77777777" w:rsidR="00062DA4" w:rsidRPr="00CA2B3F" w:rsidRDefault="00062DA4" w:rsidP="00062DA4">
      <w:pPr>
        <w:pStyle w:val="NoSpacing"/>
        <w:rPr>
          <w:rFonts w:ascii="Times New Roman" w:hAnsi="Times New Roman"/>
          <w:sz w:val="24"/>
          <w:szCs w:val="24"/>
        </w:rPr>
      </w:pPr>
    </w:p>
    <w:p w14:paraId="0316CA57" w14:textId="6E055EF3" w:rsidR="00062DA4" w:rsidRPr="00CA2B3F" w:rsidRDefault="00062DA4" w:rsidP="00062DA4">
      <w:pPr>
        <w:pStyle w:val="NoSpacing"/>
        <w:ind w:left="720"/>
        <w:rPr>
          <w:rFonts w:ascii="Times New Roman" w:hAnsi="Times New Roman"/>
          <w:sz w:val="24"/>
          <w:szCs w:val="24"/>
        </w:rPr>
      </w:pPr>
      <w:r w:rsidRPr="00CA2B3F">
        <w:rPr>
          <w:rFonts w:ascii="Times New Roman" w:hAnsi="Times New Roman"/>
          <w:sz w:val="24"/>
          <w:szCs w:val="24"/>
        </w:rPr>
        <w:t>“[Officer]</w:t>
      </w:r>
      <w:r w:rsidR="00387756">
        <w:rPr>
          <w:rFonts w:ascii="Times New Roman" w:hAnsi="Times New Roman"/>
          <w:sz w:val="24"/>
          <w:szCs w:val="24"/>
        </w:rPr>
        <w:t xml:space="preserve"> </w:t>
      </w:r>
      <w:r w:rsidRPr="00CA2B3F">
        <w:rPr>
          <w:rFonts w:ascii="Times New Roman" w:hAnsi="Times New Roman"/>
          <w:sz w:val="24"/>
          <w:szCs w:val="24"/>
        </w:rPr>
        <w:t xml:space="preserve">Reed approached Mr. Dizmang, who walked back into traffic and bent over with his hands on his knees, displaying respiratory distress. Id. Mr. Dizmang said, ‘HELP me,’ then walked farther into the road…. Mr. Dizmang repeatedly </w:t>
      </w:r>
      <w:proofErr w:type="gramStart"/>
      <w:r w:rsidRPr="00CA2B3F">
        <w:rPr>
          <w:rFonts w:ascii="Times New Roman" w:hAnsi="Times New Roman"/>
          <w:sz w:val="24"/>
          <w:szCs w:val="24"/>
        </w:rPr>
        <w:t>said ‘please’</w:t>
      </w:r>
      <w:proofErr w:type="gramEnd"/>
      <w:r w:rsidRPr="00CA2B3F">
        <w:rPr>
          <w:rFonts w:ascii="Times New Roman" w:hAnsi="Times New Roman"/>
          <w:sz w:val="24"/>
          <w:szCs w:val="24"/>
        </w:rPr>
        <w:t xml:space="preserve"> and walked in circles in a ‘clearly </w:t>
      </w:r>
      <w:proofErr w:type="gramStart"/>
      <w:r w:rsidRPr="00CA2B3F">
        <w:rPr>
          <w:rFonts w:ascii="Times New Roman" w:hAnsi="Times New Roman"/>
          <w:sz w:val="24"/>
          <w:szCs w:val="24"/>
        </w:rPr>
        <w:t>confused</w:t>
      </w:r>
      <w:proofErr w:type="gramEnd"/>
      <w:r w:rsidRPr="00CA2B3F">
        <w:rPr>
          <w:rFonts w:ascii="Times New Roman" w:hAnsi="Times New Roman"/>
          <w:sz w:val="24"/>
          <w:szCs w:val="24"/>
        </w:rPr>
        <w:t xml:space="preserve"> and panicked state.’ … Defendant Reed then told Mr. Dizmang, </w:t>
      </w:r>
      <w:proofErr w:type="gramStart"/>
      <w:r w:rsidRPr="00CA2B3F">
        <w:rPr>
          <w:rFonts w:ascii="Times New Roman" w:hAnsi="Times New Roman"/>
          <w:sz w:val="24"/>
          <w:szCs w:val="24"/>
        </w:rPr>
        <w:t>‘sit</w:t>
      </w:r>
      <w:proofErr w:type="gramEnd"/>
      <w:r w:rsidRPr="00CA2B3F">
        <w:rPr>
          <w:rFonts w:ascii="Times New Roman" w:hAnsi="Times New Roman"/>
          <w:sz w:val="24"/>
          <w:szCs w:val="24"/>
        </w:rPr>
        <w:t xml:space="preserve"> down or put your hands behind your back.’</w:t>
      </w:r>
    </w:p>
    <w:p w14:paraId="1C5D254E" w14:textId="77777777" w:rsidR="00062DA4" w:rsidRPr="00CA2B3F" w:rsidRDefault="00062DA4" w:rsidP="00062DA4">
      <w:pPr>
        <w:pStyle w:val="NoSpacing"/>
        <w:rPr>
          <w:rFonts w:ascii="Times New Roman" w:hAnsi="Times New Roman"/>
          <w:sz w:val="24"/>
          <w:szCs w:val="24"/>
        </w:rPr>
      </w:pPr>
    </w:p>
    <w:p w14:paraId="3C6CCF92" w14:textId="77777777" w:rsidR="00062DA4" w:rsidRPr="00CA2B3F" w:rsidRDefault="00062DA4" w:rsidP="00062DA4">
      <w:pPr>
        <w:pStyle w:val="NoSpacing"/>
        <w:ind w:firstLine="720"/>
        <w:rPr>
          <w:rFonts w:ascii="Times New Roman" w:hAnsi="Times New Roman"/>
          <w:sz w:val="24"/>
          <w:szCs w:val="24"/>
        </w:rPr>
      </w:pPr>
      <w:r w:rsidRPr="00CA2B3F">
        <w:rPr>
          <w:rFonts w:ascii="Times New Roman" w:hAnsi="Times New Roman"/>
          <w:sz w:val="24"/>
          <w:szCs w:val="24"/>
        </w:rPr>
        <w:t>***</w:t>
      </w:r>
    </w:p>
    <w:p w14:paraId="3563E14B" w14:textId="77777777" w:rsidR="00062DA4" w:rsidRPr="00CA2B3F" w:rsidRDefault="00062DA4" w:rsidP="00062DA4">
      <w:pPr>
        <w:pStyle w:val="NoSpacing"/>
        <w:ind w:left="720"/>
        <w:rPr>
          <w:rFonts w:ascii="Times New Roman" w:hAnsi="Times New Roman"/>
          <w:sz w:val="24"/>
          <w:szCs w:val="24"/>
        </w:rPr>
      </w:pPr>
      <w:r w:rsidRPr="00CA2B3F">
        <w:rPr>
          <w:rFonts w:ascii="Times New Roman" w:hAnsi="Times New Roman"/>
          <w:sz w:val="24"/>
          <w:szCs w:val="24"/>
        </w:rPr>
        <w:t xml:space="preserve">The parties </w:t>
      </w:r>
      <w:proofErr w:type="gramStart"/>
      <w:r w:rsidRPr="00CA2B3F">
        <w:rPr>
          <w:rFonts w:ascii="Times New Roman" w:hAnsi="Times New Roman"/>
          <w:sz w:val="24"/>
          <w:szCs w:val="24"/>
        </w:rPr>
        <w:t>dispute</w:t>
      </w:r>
      <w:proofErr w:type="gramEnd"/>
      <w:r w:rsidRPr="00CA2B3F">
        <w:rPr>
          <w:rFonts w:ascii="Times New Roman" w:hAnsi="Times New Roman"/>
          <w:sz w:val="24"/>
          <w:szCs w:val="24"/>
        </w:rPr>
        <w:t xml:space="preserve"> what happened next. [Court now references the plaintiff’s complaint.] Plaintiff alleges that, as Mr. Dizmang stood in the tree line approximately 20 feet from the road, [Paramedic] Fischer ‘suddenly and violently tackled’ him to the ground…. As alleged, Defendant Fischer put Mr. Dizmang into a chokehold by wrapping his arms around his neck while Defendant Reed handcuffed Mr. Dizmang’s hands behind his back….  Defendant Fischer maintained this hold for approximately 30 seconds…. Mr. Dizmang stopped moving.</w:t>
      </w:r>
    </w:p>
    <w:p w14:paraId="53C6B823" w14:textId="77777777" w:rsidR="00062DA4" w:rsidRPr="00CA2B3F" w:rsidRDefault="00062DA4" w:rsidP="00062DA4">
      <w:pPr>
        <w:pStyle w:val="NoSpacing"/>
        <w:rPr>
          <w:rFonts w:ascii="Times New Roman" w:hAnsi="Times New Roman"/>
          <w:sz w:val="24"/>
          <w:szCs w:val="24"/>
        </w:rPr>
      </w:pPr>
    </w:p>
    <w:p w14:paraId="0992F1E8" w14:textId="77777777" w:rsidR="00062DA4" w:rsidRPr="00CA2B3F" w:rsidRDefault="00062DA4" w:rsidP="00062DA4">
      <w:pPr>
        <w:pStyle w:val="NoSpacing"/>
        <w:ind w:firstLine="720"/>
        <w:rPr>
          <w:rFonts w:ascii="Times New Roman" w:hAnsi="Times New Roman"/>
          <w:sz w:val="24"/>
          <w:szCs w:val="24"/>
        </w:rPr>
      </w:pPr>
      <w:r w:rsidRPr="00CA2B3F">
        <w:rPr>
          <w:rFonts w:ascii="Times New Roman" w:hAnsi="Times New Roman"/>
          <w:sz w:val="24"/>
          <w:szCs w:val="24"/>
        </w:rPr>
        <w:t>Defendant Fischer then rolled Mr. Dizmang face down on the ground, with his</w:t>
      </w:r>
    </w:p>
    <w:p w14:paraId="655706EE" w14:textId="77777777" w:rsidR="00062DA4" w:rsidRPr="00CA2B3F" w:rsidRDefault="00062DA4" w:rsidP="00062DA4">
      <w:pPr>
        <w:pStyle w:val="NoSpacing"/>
        <w:ind w:left="720"/>
        <w:rPr>
          <w:rFonts w:ascii="Times New Roman" w:hAnsi="Times New Roman"/>
          <w:sz w:val="24"/>
          <w:szCs w:val="24"/>
        </w:rPr>
      </w:pPr>
      <w:r w:rsidRPr="00CA2B3F">
        <w:rPr>
          <w:rFonts w:ascii="Times New Roman" w:hAnsi="Times New Roman"/>
          <w:sz w:val="24"/>
          <w:szCs w:val="24"/>
        </w:rPr>
        <w:t xml:space="preserve">hands on the back of Mr. Dizmang’s neck and ‘driving his body weight downward, [Mr. Dizmang’s] neck and face into the ground. … Plaintiff alleges that Defendant Fischer stayed in that position, ‘with his body weight on [Mr. Dizmang’s] neck and back,’ for approximately forty-five seconds….Defendants Fischer and Reed then rolled Mr. Dizmang into a seated position….  At that point, Mr. Dizmang still had a faint pulse, but he was struggling to breathe and was unresponsive to questions and commands…. A bystander repeatedly told Mr. Dizmang, </w:t>
      </w:r>
      <w:proofErr w:type="gramStart"/>
      <w:r w:rsidRPr="00CA2B3F">
        <w:rPr>
          <w:rFonts w:ascii="Times New Roman" w:hAnsi="Times New Roman"/>
          <w:sz w:val="24"/>
          <w:szCs w:val="24"/>
        </w:rPr>
        <w:t>‘talk</w:t>
      </w:r>
      <w:proofErr w:type="gramEnd"/>
      <w:r w:rsidRPr="00CA2B3F">
        <w:rPr>
          <w:rFonts w:ascii="Times New Roman" w:hAnsi="Times New Roman"/>
          <w:sz w:val="24"/>
          <w:szCs w:val="24"/>
        </w:rPr>
        <w:t xml:space="preserve"> to me,’ but he never responded…. Defendant Reed called for an ambulance…. Defendants Reed and Fischer left Mr. Dizmang in handcuffs…. He remained handcuffed for nearly seven minutes before he was loaded onto a stretcher and moved into an ambulance…. As alleged,</w:t>
      </w:r>
    </w:p>
    <w:p w14:paraId="56B1B466" w14:textId="77777777" w:rsidR="00062DA4" w:rsidRPr="00CA2B3F" w:rsidRDefault="00062DA4" w:rsidP="00062DA4">
      <w:pPr>
        <w:pStyle w:val="NoSpacing"/>
        <w:ind w:firstLine="720"/>
        <w:rPr>
          <w:rFonts w:ascii="Times New Roman" w:hAnsi="Times New Roman"/>
          <w:sz w:val="24"/>
          <w:szCs w:val="24"/>
        </w:rPr>
      </w:pPr>
      <w:r w:rsidRPr="00CA2B3F">
        <w:rPr>
          <w:rFonts w:ascii="Times New Roman" w:hAnsi="Times New Roman"/>
          <w:sz w:val="24"/>
          <w:szCs w:val="24"/>
        </w:rPr>
        <w:t>Defendant Fischer took no actions to provide medical care or resuscitate Mr. Dizmang….</w:t>
      </w:r>
    </w:p>
    <w:p w14:paraId="7A628205" w14:textId="77777777" w:rsidR="00062DA4" w:rsidRPr="00CA2B3F" w:rsidRDefault="00062DA4" w:rsidP="00062DA4">
      <w:pPr>
        <w:pStyle w:val="NoSpacing"/>
        <w:ind w:firstLine="720"/>
        <w:rPr>
          <w:rFonts w:ascii="Times New Roman" w:hAnsi="Times New Roman"/>
          <w:sz w:val="24"/>
          <w:szCs w:val="24"/>
        </w:rPr>
      </w:pPr>
      <w:r w:rsidRPr="00CA2B3F">
        <w:rPr>
          <w:rFonts w:ascii="Times New Roman" w:hAnsi="Times New Roman"/>
          <w:sz w:val="24"/>
          <w:szCs w:val="24"/>
        </w:rPr>
        <w:t>Defendant Fischer commented, ‘He’s not aspirating’ and ‘I want to attempt a</w:t>
      </w:r>
    </w:p>
    <w:p w14:paraId="3022F945" w14:textId="77777777" w:rsidR="00062DA4" w:rsidRPr="00CA2B3F" w:rsidRDefault="00062DA4" w:rsidP="00062DA4">
      <w:pPr>
        <w:pStyle w:val="NoSpacing"/>
        <w:ind w:firstLine="720"/>
        <w:rPr>
          <w:rFonts w:ascii="Times New Roman" w:hAnsi="Times New Roman"/>
          <w:sz w:val="24"/>
          <w:szCs w:val="24"/>
        </w:rPr>
      </w:pPr>
      <w:r w:rsidRPr="00CA2B3F">
        <w:rPr>
          <w:rFonts w:ascii="Times New Roman" w:hAnsi="Times New Roman"/>
          <w:sz w:val="24"/>
          <w:szCs w:val="24"/>
        </w:rPr>
        <w:t>nasal airway.’ …Medical staff attempted resuscitation measures once Mr. Dizmang was</w:t>
      </w:r>
    </w:p>
    <w:p w14:paraId="48C1A4DB" w14:textId="77777777" w:rsidR="00062DA4" w:rsidRPr="00CA2B3F" w:rsidRDefault="00062DA4" w:rsidP="00062DA4">
      <w:pPr>
        <w:pStyle w:val="NoSpacing"/>
        <w:ind w:left="720"/>
        <w:rPr>
          <w:rFonts w:ascii="Times New Roman" w:hAnsi="Times New Roman"/>
          <w:sz w:val="24"/>
          <w:szCs w:val="24"/>
        </w:rPr>
      </w:pPr>
      <w:r w:rsidRPr="00CA2B3F">
        <w:rPr>
          <w:rFonts w:ascii="Times New Roman" w:hAnsi="Times New Roman"/>
          <w:sz w:val="24"/>
          <w:szCs w:val="24"/>
        </w:rPr>
        <w:t>transferred to the ambulance…. Once at the hospital, emergency room staff also attempted life-saving measures, but Mr. Dizmang was pronounced dead at 6:16 p.m.”</w:t>
      </w:r>
    </w:p>
    <w:p w14:paraId="47DE48C3" w14:textId="77777777" w:rsidR="00062DA4" w:rsidRPr="00CA2B3F" w:rsidRDefault="00062DA4" w:rsidP="00062DA4">
      <w:pPr>
        <w:pStyle w:val="NoSpacing"/>
        <w:rPr>
          <w:rFonts w:ascii="Times New Roman" w:hAnsi="Times New Roman"/>
          <w:sz w:val="24"/>
          <w:szCs w:val="24"/>
        </w:rPr>
      </w:pPr>
    </w:p>
    <w:p w14:paraId="359A4D90" w14:textId="77777777" w:rsidR="00062DA4" w:rsidRPr="00CA2B3F" w:rsidRDefault="00062DA4" w:rsidP="00062DA4">
      <w:pPr>
        <w:pStyle w:val="NoSpacing"/>
        <w:rPr>
          <w:rFonts w:ascii="Times New Roman" w:hAnsi="Times New Roman"/>
          <w:sz w:val="24"/>
          <w:szCs w:val="24"/>
        </w:rPr>
      </w:pPr>
      <w:r w:rsidRPr="00CA2B3F">
        <w:rPr>
          <w:rFonts w:ascii="Times New Roman" w:hAnsi="Times New Roman"/>
          <w:sz w:val="24"/>
          <w:szCs w:val="24"/>
        </w:rPr>
        <w:t>The Court held:</w:t>
      </w:r>
    </w:p>
    <w:p w14:paraId="7B9E564A" w14:textId="77777777" w:rsidR="00062DA4" w:rsidRPr="00CA2B3F" w:rsidRDefault="00062DA4" w:rsidP="00062DA4">
      <w:pPr>
        <w:pStyle w:val="NoSpacing"/>
        <w:rPr>
          <w:rFonts w:ascii="Times New Roman" w:hAnsi="Times New Roman"/>
          <w:sz w:val="24"/>
          <w:szCs w:val="24"/>
        </w:rPr>
      </w:pPr>
    </w:p>
    <w:p w14:paraId="046151F1" w14:textId="77777777" w:rsidR="00062DA4" w:rsidRPr="00CA2B3F" w:rsidRDefault="00062DA4" w:rsidP="00062DA4">
      <w:pPr>
        <w:pStyle w:val="NoSpacing"/>
        <w:ind w:firstLine="720"/>
        <w:rPr>
          <w:rFonts w:ascii="Times New Roman" w:hAnsi="Times New Roman"/>
          <w:sz w:val="24"/>
          <w:szCs w:val="24"/>
        </w:rPr>
      </w:pPr>
      <w:r w:rsidRPr="00CA2B3F">
        <w:rPr>
          <w:rFonts w:ascii="Times New Roman" w:hAnsi="Times New Roman"/>
          <w:sz w:val="24"/>
          <w:szCs w:val="24"/>
        </w:rPr>
        <w:t>“Here, based on the allegations in the complaint, it appears that [Paramedic] Fischer</w:t>
      </w:r>
    </w:p>
    <w:p w14:paraId="2491442C" w14:textId="77777777" w:rsidR="00062DA4" w:rsidRPr="00CA2B3F" w:rsidRDefault="00062DA4" w:rsidP="00062DA4">
      <w:pPr>
        <w:pStyle w:val="NoSpacing"/>
        <w:ind w:firstLine="720"/>
        <w:rPr>
          <w:rFonts w:ascii="Times New Roman" w:hAnsi="Times New Roman"/>
          <w:sz w:val="24"/>
          <w:szCs w:val="24"/>
        </w:rPr>
      </w:pPr>
      <w:r w:rsidRPr="00CA2B3F">
        <w:rPr>
          <w:rFonts w:ascii="Times New Roman" w:hAnsi="Times New Roman"/>
          <w:sz w:val="24"/>
          <w:szCs w:val="24"/>
        </w:rPr>
        <w:t>was not attempting to arrest Mr. Dizmang or otherwise enforce the law; he was trying to</w:t>
      </w:r>
    </w:p>
    <w:p w14:paraId="73F1199B" w14:textId="77777777" w:rsidR="00062DA4" w:rsidRPr="00CA2B3F" w:rsidRDefault="00062DA4" w:rsidP="00062DA4">
      <w:pPr>
        <w:pStyle w:val="NoSpacing"/>
        <w:ind w:left="720"/>
        <w:rPr>
          <w:rFonts w:ascii="Times New Roman" w:hAnsi="Times New Roman"/>
          <w:sz w:val="24"/>
          <w:szCs w:val="24"/>
        </w:rPr>
      </w:pPr>
      <w:r w:rsidRPr="00CA2B3F">
        <w:rPr>
          <w:rFonts w:ascii="Times New Roman" w:hAnsi="Times New Roman"/>
          <w:sz w:val="24"/>
          <w:szCs w:val="24"/>
        </w:rPr>
        <w:t xml:space="preserve">subdue him so that he could be properly treated…. </w:t>
      </w:r>
      <w:proofErr w:type="gramStart"/>
      <w:r w:rsidRPr="00CA2B3F">
        <w:rPr>
          <w:rFonts w:ascii="Times New Roman" w:hAnsi="Times New Roman"/>
          <w:sz w:val="24"/>
          <w:szCs w:val="24"/>
        </w:rPr>
        <w:t>It is clear that Mr. Dizmang</w:t>
      </w:r>
      <w:proofErr w:type="gramEnd"/>
      <w:r w:rsidRPr="00CA2B3F">
        <w:rPr>
          <w:rFonts w:ascii="Times New Roman" w:hAnsi="Times New Roman"/>
          <w:sz w:val="24"/>
          <w:szCs w:val="24"/>
        </w:rPr>
        <w:t xml:space="preserve"> needed </w:t>
      </w:r>
    </w:p>
    <w:p w14:paraId="03705669" w14:textId="77777777" w:rsidR="00062DA4" w:rsidRPr="00CA2B3F" w:rsidRDefault="00062DA4" w:rsidP="00062DA4">
      <w:pPr>
        <w:pStyle w:val="NoSpacing"/>
        <w:ind w:left="720"/>
        <w:rPr>
          <w:rFonts w:ascii="Times New Roman" w:hAnsi="Times New Roman"/>
          <w:sz w:val="24"/>
          <w:szCs w:val="24"/>
        </w:rPr>
      </w:pPr>
      <w:r w:rsidRPr="00CA2B3F">
        <w:rPr>
          <w:rFonts w:ascii="Times New Roman" w:hAnsi="Times New Roman"/>
          <w:sz w:val="24"/>
          <w:szCs w:val="24"/>
        </w:rPr>
        <w:lastRenderedPageBreak/>
        <w:t>treatment and that Defendant Fischer was attempting to fulfill his role as a treatment provider.</w:t>
      </w:r>
    </w:p>
    <w:p w14:paraId="07AF9A71" w14:textId="77777777" w:rsidR="00062DA4" w:rsidRPr="00CA2B3F" w:rsidRDefault="00062DA4" w:rsidP="00062DA4">
      <w:pPr>
        <w:pStyle w:val="NoSpacing"/>
        <w:rPr>
          <w:rFonts w:ascii="Times New Roman" w:hAnsi="Times New Roman"/>
          <w:sz w:val="24"/>
          <w:szCs w:val="24"/>
        </w:rPr>
      </w:pPr>
    </w:p>
    <w:p w14:paraId="76C49F8A" w14:textId="77777777" w:rsidR="00062DA4" w:rsidRPr="00CA2B3F" w:rsidRDefault="00062DA4" w:rsidP="00062DA4">
      <w:pPr>
        <w:pStyle w:val="NoSpacing"/>
        <w:ind w:firstLine="720"/>
        <w:rPr>
          <w:rFonts w:ascii="Times New Roman" w:hAnsi="Times New Roman"/>
          <w:sz w:val="24"/>
          <w:szCs w:val="24"/>
        </w:rPr>
      </w:pPr>
      <w:r w:rsidRPr="00CA2B3F">
        <w:rPr>
          <w:rFonts w:ascii="Times New Roman" w:hAnsi="Times New Roman"/>
          <w:sz w:val="24"/>
          <w:szCs w:val="24"/>
        </w:rPr>
        <w:t>***</w:t>
      </w:r>
    </w:p>
    <w:p w14:paraId="70295DB4" w14:textId="77777777" w:rsidR="00062DA4" w:rsidRPr="00CA2B3F" w:rsidRDefault="00062DA4" w:rsidP="00062DA4">
      <w:pPr>
        <w:pStyle w:val="NoSpacing"/>
        <w:ind w:left="720"/>
        <w:rPr>
          <w:rFonts w:ascii="Times New Roman" w:hAnsi="Times New Roman"/>
          <w:sz w:val="24"/>
          <w:szCs w:val="24"/>
        </w:rPr>
      </w:pPr>
      <w:r w:rsidRPr="00CA2B3F">
        <w:rPr>
          <w:rFonts w:ascii="Times New Roman" w:hAnsi="Times New Roman"/>
          <w:sz w:val="24"/>
          <w:szCs w:val="24"/>
        </w:rPr>
        <w:t xml:space="preserve">Even if a paramedic’s attempt to provide treatment amounts to a violation of a constitutional right to be free from </w:t>
      </w:r>
      <w:proofErr w:type="gramStart"/>
      <w:r w:rsidRPr="00CA2B3F">
        <w:rPr>
          <w:rFonts w:ascii="Times New Roman" w:hAnsi="Times New Roman"/>
          <w:sz w:val="24"/>
          <w:szCs w:val="24"/>
        </w:rPr>
        <w:t>an unlawful</w:t>
      </w:r>
      <w:proofErr w:type="gramEnd"/>
      <w:r w:rsidRPr="00CA2B3F">
        <w:rPr>
          <w:rFonts w:ascii="Times New Roman" w:hAnsi="Times New Roman"/>
          <w:sz w:val="24"/>
          <w:szCs w:val="24"/>
        </w:rPr>
        <w:t xml:space="preserve"> seizure, the right was not clearly established. The Tenth Circuit has not opined on whether or in what circumstances a paramedic can effectuate a Fourth Amendment seizure…. Thus, the Court grants Defendant Fischer’s motion to dismiss and declines to exercise supplemental jurisdiction over state law claims brought here.</w:t>
      </w:r>
    </w:p>
    <w:p w14:paraId="7DFCA3DE" w14:textId="77777777" w:rsidR="00062DA4" w:rsidRPr="00CA2B3F" w:rsidRDefault="00062DA4" w:rsidP="00062DA4">
      <w:pPr>
        <w:pStyle w:val="NoSpacing"/>
        <w:rPr>
          <w:rFonts w:ascii="Times New Roman" w:hAnsi="Times New Roman"/>
          <w:sz w:val="24"/>
          <w:szCs w:val="24"/>
        </w:rPr>
      </w:pPr>
    </w:p>
    <w:p w14:paraId="602787FD" w14:textId="77777777" w:rsidR="00062DA4" w:rsidRPr="00CA2B3F" w:rsidRDefault="00062DA4" w:rsidP="00062DA4">
      <w:pPr>
        <w:pStyle w:val="NoSpacing"/>
        <w:ind w:firstLine="720"/>
        <w:rPr>
          <w:rFonts w:ascii="Times New Roman" w:hAnsi="Times New Roman"/>
          <w:sz w:val="24"/>
          <w:szCs w:val="24"/>
        </w:rPr>
      </w:pPr>
      <w:r w:rsidRPr="00CA2B3F">
        <w:rPr>
          <w:rFonts w:ascii="Times New Roman" w:hAnsi="Times New Roman"/>
          <w:sz w:val="24"/>
          <w:szCs w:val="24"/>
        </w:rPr>
        <w:t>***</w:t>
      </w:r>
    </w:p>
    <w:p w14:paraId="6798D6FD" w14:textId="77777777" w:rsidR="00062DA4" w:rsidRPr="00CA2B3F" w:rsidRDefault="00062DA4" w:rsidP="00062DA4">
      <w:pPr>
        <w:pStyle w:val="NoSpacing"/>
        <w:rPr>
          <w:rFonts w:ascii="Times New Roman" w:hAnsi="Times New Roman"/>
          <w:sz w:val="24"/>
          <w:szCs w:val="24"/>
        </w:rPr>
      </w:pPr>
    </w:p>
    <w:p w14:paraId="6D7C9F32" w14:textId="77777777" w:rsidR="00062DA4" w:rsidRPr="00CA2B3F" w:rsidRDefault="00062DA4" w:rsidP="00062DA4">
      <w:pPr>
        <w:pStyle w:val="NoSpacing"/>
        <w:ind w:left="720"/>
        <w:rPr>
          <w:rFonts w:ascii="Times New Roman" w:hAnsi="Times New Roman"/>
          <w:sz w:val="24"/>
          <w:szCs w:val="24"/>
        </w:rPr>
      </w:pPr>
      <w:r w:rsidRPr="00CA2B3F">
        <w:rPr>
          <w:rFonts w:ascii="Times New Roman" w:hAnsi="Times New Roman"/>
          <w:sz w:val="24"/>
          <w:szCs w:val="24"/>
        </w:rPr>
        <w:t xml:space="preserve">[Police Officer] Reed is also entitled to qualified immunity based on the second prong. Plaintiff has not pointed to any Tenth Circuit precedent establishing a Fourth Amendment claim based on a failure to intervene in a paramedic’s alleged use of excessive </w:t>
      </w:r>
      <w:proofErr w:type="gramStart"/>
      <w:r w:rsidRPr="00CA2B3F">
        <w:rPr>
          <w:rFonts w:ascii="Times New Roman" w:hAnsi="Times New Roman"/>
          <w:sz w:val="24"/>
          <w:szCs w:val="24"/>
        </w:rPr>
        <w:t>force.”</w:t>
      </w:r>
      <w:proofErr w:type="gramEnd"/>
    </w:p>
    <w:p w14:paraId="60F42198" w14:textId="77777777" w:rsidR="00062DA4" w:rsidRPr="00CA2B3F" w:rsidRDefault="00062DA4" w:rsidP="00062DA4">
      <w:pPr>
        <w:pStyle w:val="NoSpacing"/>
        <w:rPr>
          <w:rFonts w:ascii="Times New Roman" w:hAnsi="Times New Roman"/>
          <w:sz w:val="24"/>
          <w:szCs w:val="24"/>
        </w:rPr>
      </w:pPr>
    </w:p>
    <w:p w14:paraId="10B9BBBC" w14:textId="77777777" w:rsidR="00062DA4" w:rsidRPr="00CA2B3F" w:rsidRDefault="00062DA4" w:rsidP="00062DA4">
      <w:pPr>
        <w:rPr>
          <w:rFonts w:ascii="Times New Roman" w:hAnsi="Times New Roman"/>
          <w:b/>
          <w:bCs/>
          <w:sz w:val="24"/>
          <w:szCs w:val="24"/>
        </w:rPr>
      </w:pPr>
      <w:r w:rsidRPr="00CA2B3F">
        <w:rPr>
          <w:rFonts w:ascii="Times New Roman" w:hAnsi="Times New Roman"/>
          <w:b/>
          <w:sz w:val="24"/>
          <w:szCs w:val="24"/>
        </w:rPr>
        <w:t xml:space="preserve">Legal Lesson Learned:  Critical Response Teams are a wonderful community asset; when subduing a mental </w:t>
      </w:r>
      <w:proofErr w:type="gramStart"/>
      <w:r w:rsidRPr="00CA2B3F">
        <w:rPr>
          <w:rFonts w:ascii="Times New Roman" w:hAnsi="Times New Roman"/>
          <w:b/>
          <w:sz w:val="24"/>
          <w:szCs w:val="24"/>
        </w:rPr>
        <w:t>patient</w:t>
      </w:r>
      <w:proofErr w:type="gramEnd"/>
      <w:r w:rsidRPr="00CA2B3F">
        <w:rPr>
          <w:rFonts w:ascii="Times New Roman" w:hAnsi="Times New Roman"/>
          <w:b/>
          <w:sz w:val="24"/>
          <w:szCs w:val="24"/>
        </w:rPr>
        <w:t xml:space="preserve"> it is helpful to have a member of the team videotape the conduct</w:t>
      </w:r>
    </w:p>
    <w:p w14:paraId="4063C3E9" w14:textId="77777777" w:rsidR="00062DA4" w:rsidRPr="00CA2B3F" w:rsidRDefault="00062DA4" w:rsidP="00062DA4">
      <w:pPr>
        <w:rPr>
          <w:rFonts w:ascii="Times New Roman" w:hAnsi="Times New Roman"/>
          <w:b/>
          <w:bCs/>
          <w:sz w:val="24"/>
          <w:szCs w:val="24"/>
        </w:rPr>
      </w:pPr>
    </w:p>
    <w:p w14:paraId="3EE97FDB" w14:textId="7695F3BE" w:rsidR="00062DA4" w:rsidRDefault="001A4CAA" w:rsidP="000C4DF5">
      <w:pPr>
        <w:pStyle w:val="NoSpacing"/>
        <w:rPr>
          <w:rFonts w:ascii="Arial Black" w:hAnsi="Arial Black"/>
          <w:sz w:val="24"/>
          <w:szCs w:val="24"/>
        </w:rPr>
      </w:pPr>
      <w:r>
        <w:rPr>
          <w:rFonts w:ascii="Arial Black" w:hAnsi="Arial Black"/>
          <w:sz w:val="24"/>
          <w:szCs w:val="24"/>
        </w:rPr>
        <w:t>15-36</w:t>
      </w:r>
      <w:r w:rsidR="00144037">
        <w:rPr>
          <w:rFonts w:ascii="Arial Black" w:hAnsi="Arial Black"/>
          <w:sz w:val="24"/>
          <w:szCs w:val="24"/>
        </w:rPr>
        <w:t xml:space="preserve"> [also filed, Chap. 6]</w:t>
      </w:r>
    </w:p>
    <w:p w14:paraId="3EE8DB43" w14:textId="77777777" w:rsidR="00144037" w:rsidRDefault="00144037" w:rsidP="000C4DF5">
      <w:pPr>
        <w:pStyle w:val="NoSpacing"/>
        <w:rPr>
          <w:rFonts w:ascii="Arial Black" w:hAnsi="Arial Black"/>
          <w:sz w:val="24"/>
          <w:szCs w:val="24"/>
        </w:rPr>
      </w:pPr>
    </w:p>
    <w:p w14:paraId="02D321ED" w14:textId="77777777" w:rsidR="001A4CAA" w:rsidRPr="000B7F2C" w:rsidRDefault="001A4CAA" w:rsidP="001A4CAA">
      <w:pPr>
        <w:rPr>
          <w:rFonts w:ascii="Arial Black" w:hAnsi="Arial Black"/>
          <w:sz w:val="28"/>
          <w:szCs w:val="28"/>
        </w:rPr>
      </w:pPr>
      <w:r w:rsidRPr="000B7F2C">
        <w:rPr>
          <w:rFonts w:ascii="Arial Black" w:hAnsi="Arial Black"/>
          <w:sz w:val="28"/>
          <w:szCs w:val="28"/>
        </w:rPr>
        <w:t>AR: PTSD –1 YR OF “DIAGNOSIS” TO FILE WORK COMP</w:t>
      </w:r>
    </w:p>
    <w:p w14:paraId="78C93492" w14:textId="77777777" w:rsidR="001A4CAA" w:rsidRPr="00144037" w:rsidRDefault="001A4CAA" w:rsidP="001A4CAA">
      <w:pPr>
        <w:rPr>
          <w:rFonts w:ascii="Times New Roman" w:hAnsi="Times New Roman"/>
          <w:sz w:val="24"/>
          <w:szCs w:val="24"/>
        </w:rPr>
      </w:pPr>
      <w:r w:rsidRPr="00144037">
        <w:rPr>
          <w:rFonts w:ascii="Times New Roman" w:hAnsi="Times New Roman"/>
          <w:sz w:val="24"/>
          <w:szCs w:val="24"/>
        </w:rPr>
        <w:t xml:space="preserve">On January 27, 2025, in </w:t>
      </w:r>
      <w:r w:rsidRPr="00144037">
        <w:rPr>
          <w:rFonts w:ascii="Times New Roman" w:hAnsi="Times New Roman"/>
          <w:sz w:val="24"/>
          <w:szCs w:val="24"/>
          <w:u w:val="single"/>
        </w:rPr>
        <w:t>City of Tucson v. The Industrial Commission of Arizona; Christopher Mercer, Respondent Employee</w:t>
      </w:r>
      <w:r w:rsidRPr="00144037">
        <w:rPr>
          <w:rFonts w:ascii="Times New Roman" w:hAnsi="Times New Roman"/>
          <w:sz w:val="24"/>
          <w:szCs w:val="24"/>
        </w:rPr>
        <w:t xml:space="preserve">, the Court of Appeals of Arizona, Second Division, (3 to 0; unpublished decision) upheld the Administrative Law Judge who ruled the 1-Year statute of limitations to file worker’s comp claim starts when the official diagnosis of PTSD has been made, not when employee has sought help for mental issues.  Time line: In 2017, with anger issues, his Captain suggested he see a psychiatrist; met six times between 2017 and 2021; in 2020 moved to slower station; April 2022 attended music festival off duty and helped female patient who feel 15 feet; that night at home threatened suicide including pulling trigger of 9 mil firearm (presumably unloaded); hospitalized 28 days at facility for first responders where for first time was diagnosed with PTSD; filed works comp claim July 30, 2022.  </w:t>
      </w:r>
      <w:hyperlink r:id="rId2459" w:history="1">
        <w:r w:rsidRPr="00144037">
          <w:rPr>
            <w:rStyle w:val="Hyperlink"/>
            <w:rFonts w:ascii="Times New Roman" w:hAnsi="Times New Roman"/>
            <w:sz w:val="24"/>
            <w:szCs w:val="24"/>
          </w:rPr>
          <w:t>https://cases.justia.com/arizona/court-of-appeals-division-two-unpublished/2025-2-ca-ic-2024-0003.pdf?ts=1738026580</w:t>
        </w:r>
      </w:hyperlink>
      <w:r w:rsidRPr="00144037">
        <w:rPr>
          <w:rFonts w:ascii="Times New Roman" w:hAnsi="Times New Roman"/>
          <w:sz w:val="24"/>
          <w:szCs w:val="24"/>
        </w:rPr>
        <w:t xml:space="preserve"> </w:t>
      </w:r>
    </w:p>
    <w:p w14:paraId="59F2BD13" w14:textId="77777777" w:rsidR="001A4CAA" w:rsidRPr="00144037" w:rsidRDefault="001A4CAA" w:rsidP="001A4CAA">
      <w:pPr>
        <w:rPr>
          <w:rFonts w:ascii="Times New Roman" w:hAnsi="Times New Roman"/>
          <w:sz w:val="24"/>
          <w:szCs w:val="24"/>
        </w:rPr>
      </w:pPr>
    </w:p>
    <w:p w14:paraId="504C725E" w14:textId="77777777" w:rsidR="001A4CAA" w:rsidRPr="00144037" w:rsidRDefault="001A4CAA" w:rsidP="001A4CAA">
      <w:pPr>
        <w:pStyle w:val="NoSpacing"/>
        <w:rPr>
          <w:rFonts w:ascii="Times New Roman" w:hAnsi="Times New Roman"/>
          <w:sz w:val="24"/>
          <w:szCs w:val="24"/>
        </w:rPr>
      </w:pPr>
      <w:r w:rsidRPr="00144037">
        <w:rPr>
          <w:rFonts w:ascii="Times New Roman" w:hAnsi="Times New Roman"/>
          <w:sz w:val="24"/>
          <w:szCs w:val="24"/>
        </w:rPr>
        <w:t xml:space="preserve">The Court wrote: </w:t>
      </w:r>
    </w:p>
    <w:p w14:paraId="1FCC72A4" w14:textId="77777777" w:rsidR="001A4CAA" w:rsidRPr="00144037" w:rsidRDefault="001A4CAA" w:rsidP="001A4CAA">
      <w:pPr>
        <w:pStyle w:val="NoSpacing"/>
        <w:rPr>
          <w:rFonts w:ascii="Times New Roman" w:hAnsi="Times New Roman"/>
          <w:sz w:val="24"/>
          <w:szCs w:val="24"/>
        </w:rPr>
      </w:pPr>
    </w:p>
    <w:p w14:paraId="0156C60A" w14:textId="77777777" w:rsidR="001A4CAA" w:rsidRPr="00144037" w:rsidRDefault="001A4CAA" w:rsidP="001A4CAA">
      <w:pPr>
        <w:pStyle w:val="NoSpacing"/>
        <w:ind w:left="720"/>
        <w:rPr>
          <w:rFonts w:ascii="Times New Roman" w:hAnsi="Times New Roman"/>
          <w:sz w:val="24"/>
          <w:szCs w:val="24"/>
        </w:rPr>
      </w:pPr>
      <w:r w:rsidRPr="00144037">
        <w:rPr>
          <w:rFonts w:ascii="Times New Roman" w:hAnsi="Times New Roman"/>
          <w:sz w:val="24"/>
          <w:szCs w:val="24"/>
        </w:rPr>
        <w:t>“The ALJ determined that he was never ‘officially diagnosed with PTSD’ until April 2022, and there was ‘insufficient evidence to find that his symptoms had become serious and acute enough to meet the diagnosis for PTSD’ before then. The ALJ further explained that April 2022 was also the point at which Mercer first required inpatient psychiatric treatment and first became unable to return to work. Accordingly, the ALJ determined that Mercer’s July 2022 ICA claim was timely.</w:t>
      </w:r>
    </w:p>
    <w:p w14:paraId="78F8138B" w14:textId="77777777" w:rsidR="001A4CAA" w:rsidRPr="00144037" w:rsidRDefault="001A4CAA" w:rsidP="001A4CAA">
      <w:pPr>
        <w:pStyle w:val="NoSpacing"/>
        <w:rPr>
          <w:rFonts w:ascii="Times New Roman" w:hAnsi="Times New Roman"/>
          <w:sz w:val="24"/>
          <w:szCs w:val="24"/>
        </w:rPr>
      </w:pPr>
    </w:p>
    <w:p w14:paraId="6012B840" w14:textId="77777777" w:rsidR="001A4CAA" w:rsidRPr="00144037" w:rsidRDefault="001A4CAA" w:rsidP="001A4CAA">
      <w:pPr>
        <w:pStyle w:val="NoSpacing"/>
        <w:ind w:firstLine="720"/>
        <w:rPr>
          <w:rFonts w:ascii="Times New Roman" w:hAnsi="Times New Roman"/>
          <w:sz w:val="24"/>
          <w:szCs w:val="24"/>
        </w:rPr>
      </w:pPr>
      <w:r w:rsidRPr="00144037">
        <w:rPr>
          <w:rFonts w:ascii="Times New Roman" w:hAnsi="Times New Roman"/>
          <w:sz w:val="24"/>
          <w:szCs w:val="24"/>
        </w:rPr>
        <w:t>***</w:t>
      </w:r>
    </w:p>
    <w:p w14:paraId="49336543" w14:textId="77777777" w:rsidR="001A4CAA" w:rsidRPr="00144037" w:rsidRDefault="001A4CAA" w:rsidP="001A4CAA">
      <w:pPr>
        <w:pStyle w:val="NoSpacing"/>
        <w:rPr>
          <w:rFonts w:ascii="Times New Roman" w:hAnsi="Times New Roman"/>
          <w:sz w:val="24"/>
          <w:szCs w:val="24"/>
        </w:rPr>
      </w:pPr>
    </w:p>
    <w:p w14:paraId="53C09866" w14:textId="77777777" w:rsidR="001A4CAA" w:rsidRPr="00144037" w:rsidRDefault="001A4CAA" w:rsidP="001A4CAA">
      <w:pPr>
        <w:pStyle w:val="NoSpacing"/>
        <w:ind w:left="720"/>
        <w:rPr>
          <w:rFonts w:ascii="Times New Roman" w:hAnsi="Times New Roman"/>
          <w:sz w:val="24"/>
          <w:szCs w:val="24"/>
        </w:rPr>
      </w:pPr>
      <w:r w:rsidRPr="00144037">
        <w:rPr>
          <w:rFonts w:ascii="Times New Roman" w:hAnsi="Times New Roman"/>
          <w:sz w:val="24"/>
          <w:szCs w:val="24"/>
        </w:rPr>
        <w:t>[T]</w:t>
      </w:r>
      <w:proofErr w:type="gramStart"/>
      <w:r w:rsidRPr="00144037">
        <w:rPr>
          <w:rFonts w:ascii="Times New Roman" w:hAnsi="Times New Roman"/>
          <w:sz w:val="24"/>
          <w:szCs w:val="24"/>
        </w:rPr>
        <w:t>he</w:t>
      </w:r>
      <w:proofErr w:type="gramEnd"/>
      <w:r w:rsidRPr="00144037">
        <w:rPr>
          <w:rFonts w:ascii="Times New Roman" w:hAnsi="Times New Roman"/>
          <w:sz w:val="24"/>
          <w:szCs w:val="24"/>
        </w:rPr>
        <w:t xml:space="preserve"> City contends it produced expert testimony that Mercer’s PTSD was diagnosable prior to July 2021, it has satisfied some portion of the test for the accrual of mental injuries. Not so.” </w:t>
      </w:r>
    </w:p>
    <w:p w14:paraId="1EA371D3" w14:textId="77777777" w:rsidR="001A4CAA" w:rsidRPr="00144037" w:rsidRDefault="001A4CAA" w:rsidP="001A4CAA">
      <w:pPr>
        <w:pStyle w:val="NoSpacing"/>
        <w:rPr>
          <w:rFonts w:ascii="Times New Roman" w:hAnsi="Times New Roman"/>
          <w:b/>
          <w:bCs/>
          <w:sz w:val="24"/>
          <w:szCs w:val="24"/>
        </w:rPr>
      </w:pPr>
    </w:p>
    <w:p w14:paraId="7F526D49" w14:textId="77777777" w:rsidR="001A4CAA" w:rsidRPr="00144037" w:rsidRDefault="001A4CAA" w:rsidP="001A4CAA">
      <w:pPr>
        <w:pStyle w:val="NoSpacing"/>
        <w:rPr>
          <w:rFonts w:ascii="Times New Roman" w:hAnsi="Times New Roman"/>
          <w:b/>
          <w:bCs/>
          <w:sz w:val="24"/>
          <w:szCs w:val="24"/>
        </w:rPr>
      </w:pPr>
      <w:r w:rsidRPr="00144037">
        <w:rPr>
          <w:rFonts w:ascii="Times New Roman" w:hAnsi="Times New Roman"/>
          <w:b/>
          <w:sz w:val="24"/>
          <w:szCs w:val="24"/>
        </w:rPr>
        <w:lastRenderedPageBreak/>
        <w:t xml:space="preserve">Legal Lesson Learned: Excellent decision; city can’t force employees to file workers comp claim when they are merely seeking assistance. </w:t>
      </w:r>
    </w:p>
    <w:p w14:paraId="18378E38" w14:textId="77777777" w:rsidR="001A4CAA" w:rsidRPr="00144037" w:rsidRDefault="001A4CAA" w:rsidP="001A4CAA">
      <w:pPr>
        <w:pStyle w:val="NoSpacing"/>
        <w:rPr>
          <w:rFonts w:ascii="Times New Roman" w:hAnsi="Times New Roman"/>
          <w:sz w:val="24"/>
          <w:szCs w:val="24"/>
        </w:rPr>
      </w:pPr>
    </w:p>
    <w:p w14:paraId="7C23C1EA" w14:textId="77777777" w:rsidR="001A4CAA" w:rsidRPr="00144037" w:rsidRDefault="001A4CAA" w:rsidP="000C4DF5">
      <w:pPr>
        <w:pStyle w:val="NoSpacing"/>
        <w:rPr>
          <w:rFonts w:ascii="Times New Roman" w:hAnsi="Times New Roman"/>
          <w:sz w:val="24"/>
          <w:szCs w:val="24"/>
        </w:rPr>
      </w:pPr>
    </w:p>
    <w:p w14:paraId="49D9197F" w14:textId="77777777" w:rsidR="004D6FB2" w:rsidRDefault="004D6FB2" w:rsidP="000C4DF5">
      <w:pPr>
        <w:pStyle w:val="NoSpacing"/>
        <w:rPr>
          <w:rFonts w:ascii="Arial Black" w:hAnsi="Arial Black"/>
          <w:sz w:val="24"/>
          <w:szCs w:val="24"/>
        </w:rPr>
      </w:pPr>
    </w:p>
    <w:p w14:paraId="1A8CACB4" w14:textId="77777777" w:rsidR="004D6FB2" w:rsidRDefault="004D6FB2" w:rsidP="000C4DF5">
      <w:pPr>
        <w:pStyle w:val="NoSpacing"/>
        <w:rPr>
          <w:rFonts w:ascii="Arial Black" w:hAnsi="Arial Black"/>
          <w:sz w:val="24"/>
          <w:szCs w:val="24"/>
        </w:rPr>
      </w:pPr>
    </w:p>
    <w:p w14:paraId="2031D947" w14:textId="28B3F362" w:rsidR="00503691" w:rsidRDefault="00503691" w:rsidP="000C4DF5">
      <w:pPr>
        <w:pStyle w:val="NoSpacing"/>
        <w:rPr>
          <w:rFonts w:ascii="Arial Black" w:hAnsi="Arial Black"/>
          <w:sz w:val="24"/>
          <w:szCs w:val="24"/>
        </w:rPr>
      </w:pPr>
      <w:r>
        <w:rPr>
          <w:rFonts w:ascii="Arial Black" w:hAnsi="Arial Black"/>
          <w:sz w:val="24"/>
          <w:szCs w:val="24"/>
        </w:rPr>
        <w:t>15-35</w:t>
      </w:r>
    </w:p>
    <w:p w14:paraId="7D8A8A4B" w14:textId="77777777" w:rsidR="00503691" w:rsidRDefault="00503691" w:rsidP="000C4DF5">
      <w:pPr>
        <w:pStyle w:val="NoSpacing"/>
        <w:rPr>
          <w:rFonts w:ascii="Arial Black" w:hAnsi="Arial Black"/>
          <w:sz w:val="24"/>
          <w:szCs w:val="24"/>
        </w:rPr>
      </w:pPr>
    </w:p>
    <w:p w14:paraId="091FA3E1" w14:textId="23260C29" w:rsidR="008619DE" w:rsidRPr="00A34AEC" w:rsidRDefault="008619DE" w:rsidP="008619DE">
      <w:pPr>
        <w:pStyle w:val="NoSpacing"/>
        <w:rPr>
          <w:rFonts w:ascii="Arial Black" w:hAnsi="Arial Black"/>
          <w:b/>
          <w:sz w:val="28"/>
          <w:szCs w:val="28"/>
        </w:rPr>
      </w:pPr>
      <w:r>
        <w:rPr>
          <w:rFonts w:ascii="Arial Black" w:hAnsi="Arial Black"/>
          <w:b/>
          <w:sz w:val="28"/>
          <w:szCs w:val="28"/>
        </w:rPr>
        <w:t xml:space="preserve">TX: SUICIDE ATT. – DORM FIRE – </w:t>
      </w:r>
      <w:r w:rsidR="00441F95">
        <w:rPr>
          <w:rFonts w:ascii="Arial Black" w:hAnsi="Arial Black"/>
          <w:b/>
          <w:sz w:val="28"/>
          <w:szCs w:val="28"/>
        </w:rPr>
        <w:t>AIR FORCE DISCHARGE</w:t>
      </w:r>
      <w:r>
        <w:rPr>
          <w:rFonts w:ascii="Arial Black" w:hAnsi="Arial Black"/>
          <w:b/>
          <w:sz w:val="28"/>
          <w:szCs w:val="28"/>
        </w:rPr>
        <w:t xml:space="preserve"> </w:t>
      </w:r>
    </w:p>
    <w:p w14:paraId="1DDEA12B" w14:textId="77777777" w:rsidR="008619DE" w:rsidRDefault="008619DE" w:rsidP="008619DE">
      <w:pPr>
        <w:pStyle w:val="NoSpacing"/>
        <w:rPr>
          <w:b/>
        </w:rPr>
      </w:pPr>
    </w:p>
    <w:p w14:paraId="00D9AB78" w14:textId="77777777" w:rsidR="008619DE" w:rsidRPr="008619DE" w:rsidRDefault="008619DE" w:rsidP="008619DE">
      <w:pPr>
        <w:pStyle w:val="NoSpacing"/>
        <w:rPr>
          <w:rFonts w:ascii="Times New Roman" w:hAnsi="Times New Roman"/>
          <w:bCs/>
          <w:sz w:val="24"/>
          <w:szCs w:val="24"/>
        </w:rPr>
      </w:pPr>
      <w:r w:rsidRPr="008619DE">
        <w:rPr>
          <w:rFonts w:ascii="Times New Roman" w:hAnsi="Times New Roman"/>
          <w:sz w:val="24"/>
          <w:szCs w:val="24"/>
        </w:rPr>
        <w:t xml:space="preserve">On Dec. 23, 2024, in </w:t>
      </w:r>
      <w:r w:rsidRPr="008619DE">
        <w:rPr>
          <w:rFonts w:ascii="Times New Roman" w:hAnsi="Times New Roman"/>
          <w:sz w:val="24"/>
          <w:szCs w:val="24"/>
          <w:u w:val="single"/>
        </w:rPr>
        <w:t>United States v. Randy B. Giles, Jr., Airman Basic (E-1), U.S. Air Force</w:t>
      </w:r>
      <w:r w:rsidRPr="008619DE">
        <w:rPr>
          <w:rFonts w:ascii="Times New Roman" w:hAnsi="Times New Roman"/>
          <w:sz w:val="24"/>
          <w:szCs w:val="24"/>
        </w:rPr>
        <w:t>, the United States Air Force Court of Criminal Appeals, held (3 to 0) that the bad-conduct discharge, confinement for 30 days, and forfeiture of $1,917.00 pay for one month was appropriate penalty, given the attempted suicide by starting a fire on Aug. 16, 2022 in his dormitory room at Sheppard Air Force Base (AFB), Wichita Falls, Texas.  Instructors had sent him to be evaluated by Air Force mental, which allowed him to return to his dorm. The Court wrote:</w:t>
      </w:r>
    </w:p>
    <w:p w14:paraId="3993BA97" w14:textId="77777777" w:rsidR="008619DE" w:rsidRPr="008619DE" w:rsidRDefault="008619DE" w:rsidP="008619DE">
      <w:pPr>
        <w:pStyle w:val="NoSpacing"/>
        <w:rPr>
          <w:rFonts w:ascii="Times New Roman" w:hAnsi="Times New Roman"/>
          <w:bCs/>
          <w:sz w:val="24"/>
          <w:szCs w:val="24"/>
        </w:rPr>
      </w:pPr>
    </w:p>
    <w:p w14:paraId="7369FBD5" w14:textId="77777777" w:rsidR="008619DE" w:rsidRPr="008619DE" w:rsidRDefault="008619DE" w:rsidP="008619DE">
      <w:pPr>
        <w:pStyle w:val="NoSpacing"/>
        <w:ind w:left="720"/>
        <w:rPr>
          <w:rFonts w:ascii="Times New Roman" w:hAnsi="Times New Roman"/>
          <w:b/>
          <w:sz w:val="24"/>
          <w:szCs w:val="24"/>
        </w:rPr>
      </w:pPr>
      <w:r w:rsidRPr="008619DE">
        <w:rPr>
          <w:rFonts w:ascii="Times New Roman" w:hAnsi="Times New Roman"/>
          <w:sz w:val="24"/>
          <w:szCs w:val="24"/>
        </w:rPr>
        <w:t xml:space="preserve">“We are not persuaded Appellant’s bad-conduct discharge is inappropriately severe. Contrary to Appellant’s argument, he was not prosecuted for attempting suicide; he was prosecuted for the serious offense of aggravated arson and related offenses, which created a risk to the health and safety to many of his fellow Airmen as well as himself. Appellant pleaded guilty to the charges, unconditionally admitting his criminal responsibility. Based on his guilty pleas, Appellant faced a maximum punishment that included a dishonorable discharge and confinement for 25 years, among other penalties. Through the  admitted evidence and Appellant’s unsworn statements, the court members were well-informed of the nature of his mental health problems and the progress of his inpatient treatment. The court members likely took these factors into account when they adjudged a relatively lenient sentence including only 30 days of confinement and one month of forfeitures—entirely nullified by the sentence credit the military judge awarded—in addition to the bad-conduct discharge. Having </w:t>
      </w:r>
      <w:proofErr w:type="gramStart"/>
      <w:r w:rsidRPr="008619DE">
        <w:rPr>
          <w:rFonts w:ascii="Times New Roman" w:hAnsi="Times New Roman"/>
          <w:sz w:val="24"/>
          <w:szCs w:val="24"/>
        </w:rPr>
        <w:t>given individualized consideration to</w:t>
      </w:r>
      <w:proofErr w:type="gramEnd"/>
      <w:r w:rsidRPr="008619DE">
        <w:rPr>
          <w:rFonts w:ascii="Times New Roman" w:hAnsi="Times New Roman"/>
          <w:sz w:val="24"/>
          <w:szCs w:val="24"/>
        </w:rPr>
        <w:t xml:space="preserve"> Appellant, the nature and seriousness of the offenses, Appellant’s record of service, and all other matters contained in the record of trial, we conclude Appellant’s sentence is not inappropriately severe.” </w:t>
      </w:r>
      <w:hyperlink r:id="rId2460" w:history="1">
        <w:r w:rsidRPr="008619DE">
          <w:rPr>
            <w:rStyle w:val="Hyperlink"/>
            <w:rFonts w:ascii="Times New Roman" w:hAnsi="Times New Roman"/>
            <w:b/>
            <w:sz w:val="24"/>
            <w:szCs w:val="24"/>
          </w:rPr>
          <w:t>https://afcca.law.af.mil/afcca_opinions/cp/giles_-_40482_u_2091447.pdf</w:t>
        </w:r>
      </w:hyperlink>
      <w:r w:rsidRPr="008619DE">
        <w:rPr>
          <w:rFonts w:ascii="Times New Roman" w:hAnsi="Times New Roman"/>
          <w:b/>
          <w:sz w:val="24"/>
          <w:szCs w:val="24"/>
        </w:rPr>
        <w:t xml:space="preserve"> </w:t>
      </w:r>
    </w:p>
    <w:p w14:paraId="43EF22E6" w14:textId="77777777" w:rsidR="008619DE" w:rsidRDefault="008619DE" w:rsidP="008619DE">
      <w:pPr>
        <w:pStyle w:val="NoSpacing"/>
        <w:ind w:left="720"/>
        <w:rPr>
          <w:bCs/>
        </w:rPr>
      </w:pPr>
      <w:r>
        <w:t xml:space="preserve"> </w:t>
      </w:r>
    </w:p>
    <w:p w14:paraId="4172A425" w14:textId="77777777" w:rsidR="009A3152" w:rsidRPr="00441F95" w:rsidRDefault="009A3152" w:rsidP="009A3152">
      <w:pPr>
        <w:pStyle w:val="NoSpacing"/>
        <w:rPr>
          <w:rFonts w:ascii="Times New Roman" w:hAnsi="Times New Roman"/>
          <w:bCs/>
          <w:sz w:val="24"/>
          <w:szCs w:val="24"/>
        </w:rPr>
      </w:pPr>
      <w:r w:rsidRPr="00441F95">
        <w:rPr>
          <w:rFonts w:ascii="Times New Roman" w:hAnsi="Times New Roman"/>
          <w:sz w:val="24"/>
          <w:szCs w:val="24"/>
        </w:rPr>
        <w:t xml:space="preserve">HOLDING:  </w:t>
      </w:r>
    </w:p>
    <w:p w14:paraId="660FE5A6" w14:textId="77777777" w:rsidR="009A3152" w:rsidRPr="00441F95" w:rsidRDefault="009A3152" w:rsidP="009A3152">
      <w:pPr>
        <w:pStyle w:val="NoSpacing"/>
        <w:rPr>
          <w:rFonts w:ascii="Times New Roman" w:hAnsi="Times New Roman"/>
          <w:bCs/>
          <w:sz w:val="24"/>
          <w:szCs w:val="24"/>
        </w:rPr>
      </w:pPr>
    </w:p>
    <w:p w14:paraId="0AE9F2B7" w14:textId="77777777" w:rsidR="009A3152" w:rsidRPr="00441F95" w:rsidRDefault="009A3152" w:rsidP="009A3152">
      <w:pPr>
        <w:pStyle w:val="NoSpacing"/>
        <w:ind w:left="720"/>
        <w:rPr>
          <w:rFonts w:ascii="Times New Roman" w:hAnsi="Times New Roman"/>
          <w:bCs/>
          <w:sz w:val="24"/>
          <w:szCs w:val="24"/>
        </w:rPr>
      </w:pPr>
      <w:r w:rsidRPr="00441F95">
        <w:rPr>
          <w:rFonts w:ascii="Times New Roman" w:hAnsi="Times New Roman"/>
          <w:sz w:val="24"/>
          <w:szCs w:val="24"/>
        </w:rPr>
        <w:t>“The findings as entered are correct in law, the sentence as entered is correct in law and fact, and no error materially prejudicial to the substantial rights of Appellant occurred. Articles 59(a) and 66(d), UCMJ, 10 U.S.C. §§ 859(a), 866(d). Accordingly, the findings and sentence are AFFIRMED.”</w:t>
      </w:r>
    </w:p>
    <w:p w14:paraId="4C110F0D" w14:textId="77777777" w:rsidR="009A3152" w:rsidRPr="00441F95" w:rsidRDefault="009A3152" w:rsidP="009A3152">
      <w:pPr>
        <w:pStyle w:val="NoSpacing"/>
        <w:ind w:left="720"/>
        <w:rPr>
          <w:rFonts w:ascii="Times New Roman" w:hAnsi="Times New Roman"/>
          <w:bCs/>
          <w:sz w:val="24"/>
          <w:szCs w:val="24"/>
        </w:rPr>
      </w:pPr>
    </w:p>
    <w:p w14:paraId="457B44E2" w14:textId="77777777" w:rsidR="009A3152" w:rsidRPr="00441F95" w:rsidRDefault="009A3152" w:rsidP="009A3152">
      <w:pPr>
        <w:pStyle w:val="NoSpacing"/>
        <w:rPr>
          <w:rFonts w:ascii="Times New Roman" w:hAnsi="Times New Roman"/>
          <w:b/>
          <w:sz w:val="24"/>
          <w:szCs w:val="24"/>
        </w:rPr>
      </w:pPr>
      <w:r w:rsidRPr="00441F95">
        <w:rPr>
          <w:rFonts w:ascii="Times New Roman" w:hAnsi="Times New Roman"/>
          <w:b/>
          <w:sz w:val="24"/>
          <w:szCs w:val="24"/>
        </w:rPr>
        <w:t xml:space="preserve">Legal Lesson Learned:  A fellow airman properly reported the arson threat to Instructors, who promptly referred him for mental evaluation.  It is unfortunate that the evaluation did not immediately lead to inpatient treatment. </w:t>
      </w:r>
    </w:p>
    <w:p w14:paraId="593B6C33" w14:textId="77777777" w:rsidR="00503691" w:rsidRPr="00441F95" w:rsidRDefault="00503691" w:rsidP="000C4DF5">
      <w:pPr>
        <w:pStyle w:val="NoSpacing"/>
        <w:rPr>
          <w:rFonts w:ascii="Times New Roman" w:hAnsi="Times New Roman"/>
          <w:sz w:val="24"/>
          <w:szCs w:val="24"/>
        </w:rPr>
      </w:pPr>
    </w:p>
    <w:p w14:paraId="0327D0AA" w14:textId="77777777" w:rsidR="00503691" w:rsidRDefault="00503691" w:rsidP="000C4DF5">
      <w:pPr>
        <w:pStyle w:val="NoSpacing"/>
        <w:rPr>
          <w:rFonts w:ascii="Arial Black" w:hAnsi="Arial Black"/>
          <w:sz w:val="24"/>
          <w:szCs w:val="24"/>
        </w:rPr>
      </w:pPr>
    </w:p>
    <w:p w14:paraId="57C0408D" w14:textId="77777777" w:rsidR="00955FF9" w:rsidRDefault="006547A0" w:rsidP="000C4DF5">
      <w:pPr>
        <w:pStyle w:val="NoSpacing"/>
        <w:rPr>
          <w:rFonts w:ascii="Arial Black" w:hAnsi="Arial Black"/>
          <w:sz w:val="24"/>
          <w:szCs w:val="24"/>
        </w:rPr>
      </w:pPr>
      <w:r>
        <w:rPr>
          <w:rFonts w:ascii="Arial Black" w:hAnsi="Arial Black"/>
          <w:sz w:val="24"/>
          <w:szCs w:val="24"/>
        </w:rPr>
        <w:t>15-34</w:t>
      </w:r>
      <w:r w:rsidR="00955FF9">
        <w:rPr>
          <w:rFonts w:ascii="Arial Black" w:hAnsi="Arial Black"/>
          <w:sz w:val="24"/>
          <w:szCs w:val="24"/>
        </w:rPr>
        <w:t xml:space="preserve">  </w:t>
      </w:r>
    </w:p>
    <w:p w14:paraId="1693C9B8" w14:textId="77777777" w:rsidR="00955FF9" w:rsidRDefault="00955FF9" w:rsidP="000C4DF5">
      <w:pPr>
        <w:pStyle w:val="NoSpacing"/>
        <w:rPr>
          <w:rFonts w:ascii="Arial Black" w:hAnsi="Arial Black"/>
          <w:sz w:val="24"/>
          <w:szCs w:val="24"/>
        </w:rPr>
      </w:pPr>
    </w:p>
    <w:p w14:paraId="01C62B28" w14:textId="342D26F5" w:rsidR="006547A0" w:rsidRDefault="008A552F" w:rsidP="000C4DF5">
      <w:pPr>
        <w:pStyle w:val="NoSpacing"/>
        <w:rPr>
          <w:rFonts w:ascii="Arial Black" w:hAnsi="Arial Black"/>
          <w:sz w:val="24"/>
          <w:szCs w:val="24"/>
        </w:rPr>
      </w:pPr>
      <w:r>
        <w:rPr>
          <w:rFonts w:ascii="Arial Black" w:hAnsi="Arial Black"/>
          <w:sz w:val="24"/>
          <w:szCs w:val="24"/>
        </w:rPr>
        <w:t xml:space="preserve">AR: </w:t>
      </w:r>
      <w:r w:rsidR="00955FF9">
        <w:rPr>
          <w:rFonts w:ascii="Arial Black" w:hAnsi="Arial Black"/>
          <w:sz w:val="24"/>
          <w:szCs w:val="24"/>
        </w:rPr>
        <w:t>FF DENIED WORKERS COMP – LACK PROOF PTSD CAUSED BY JOB</w:t>
      </w:r>
    </w:p>
    <w:p w14:paraId="59401C46" w14:textId="77777777" w:rsidR="006547A0" w:rsidRPr="005D4D24" w:rsidRDefault="006547A0" w:rsidP="000C4DF5">
      <w:pPr>
        <w:pStyle w:val="NoSpacing"/>
        <w:rPr>
          <w:rFonts w:ascii="Times New Roman" w:hAnsi="Times New Roman"/>
          <w:sz w:val="24"/>
          <w:szCs w:val="24"/>
        </w:rPr>
      </w:pPr>
    </w:p>
    <w:p w14:paraId="2BCEF997" w14:textId="671A12BA" w:rsidR="005D4D24" w:rsidRPr="005D4D24" w:rsidRDefault="005D4D24" w:rsidP="005D4D24">
      <w:pPr>
        <w:pStyle w:val="NoSpacing"/>
        <w:rPr>
          <w:rFonts w:ascii="Times New Roman" w:hAnsi="Times New Roman"/>
          <w:sz w:val="24"/>
          <w:szCs w:val="24"/>
        </w:rPr>
      </w:pPr>
      <w:r w:rsidRPr="005D4D24">
        <w:rPr>
          <w:rFonts w:ascii="Times New Roman" w:hAnsi="Times New Roman"/>
          <w:sz w:val="24"/>
          <w:szCs w:val="24"/>
        </w:rPr>
        <w:t xml:space="preserve">On September 26, 2024, in </w:t>
      </w:r>
      <w:r w:rsidRPr="005D4D24">
        <w:rPr>
          <w:rFonts w:ascii="Times New Roman" w:hAnsi="Times New Roman"/>
          <w:sz w:val="24"/>
          <w:szCs w:val="24"/>
          <w:u w:val="single"/>
        </w:rPr>
        <w:t>Jerald Franzmeier v. Industrial Commission of Arizona; City of Tolleson</w:t>
      </w:r>
      <w:r w:rsidRPr="005D4D24">
        <w:rPr>
          <w:rFonts w:ascii="Times New Roman" w:hAnsi="Times New Roman"/>
          <w:sz w:val="24"/>
          <w:szCs w:val="24"/>
        </w:rPr>
        <w:t xml:space="preserve">, the Court of Appeals of Arizona, First Division, held (3 to 0) that the firefighter was properly denied workers comp.  While fighting a fire in November 2021, Franzmeier experienced a “sudden alteration in [his] mental status” </w:t>
      </w:r>
      <w:r w:rsidRPr="005D4D24">
        <w:rPr>
          <w:rFonts w:ascii="Times New Roman" w:hAnsi="Times New Roman"/>
          <w:sz w:val="24"/>
          <w:szCs w:val="24"/>
        </w:rPr>
        <w:lastRenderedPageBreak/>
        <w:t xml:space="preserve">that left him confused and disorientated, and caused him to hallucinate; he was diagnosed by a psychiatrist with PTSD. In </w:t>
      </w:r>
      <w:proofErr w:type="gramStart"/>
      <w:r w:rsidRPr="005D4D24">
        <w:rPr>
          <w:rFonts w:ascii="Times New Roman" w:hAnsi="Times New Roman"/>
          <w:sz w:val="24"/>
          <w:szCs w:val="24"/>
        </w:rPr>
        <w:t>May</w:t>
      </w:r>
      <w:r w:rsidR="00955FF9">
        <w:rPr>
          <w:rFonts w:ascii="Times New Roman" w:hAnsi="Times New Roman"/>
          <w:sz w:val="24"/>
          <w:szCs w:val="24"/>
        </w:rPr>
        <w:t>,</w:t>
      </w:r>
      <w:proofErr w:type="gramEnd"/>
      <w:r w:rsidRPr="005D4D24">
        <w:rPr>
          <w:rFonts w:ascii="Times New Roman" w:hAnsi="Times New Roman"/>
          <w:sz w:val="24"/>
          <w:szCs w:val="24"/>
        </w:rPr>
        <w:t xml:space="preserve"> 2022 he filed a worker’s comp claim that alleged he got COVID from fellow firefighter on Aug. 21, 2020 [a week after he had flow to Maryland wearing mask and gloves on the plane] and that “long COVID” was the cause of his PTSD. The Court wrote: “However, Franzmeier offered no competent evidence showing, with a reasonable degree of medical probability, that his COVID-19 infection contributed to his mental injury.”  </w:t>
      </w:r>
      <w:hyperlink r:id="rId2461" w:history="1">
        <w:r w:rsidRPr="005D4D24">
          <w:rPr>
            <w:rStyle w:val="Hyperlink"/>
            <w:rFonts w:ascii="Times New Roman" w:hAnsi="Times New Roman"/>
            <w:sz w:val="24"/>
            <w:szCs w:val="24"/>
          </w:rPr>
          <w:t>https://cases.justia.com/arizona/court-of-appeals-division-one-unpublished/2024-1-ca-ic-23-0013.pdf?ts=1727375455</w:t>
        </w:r>
      </w:hyperlink>
    </w:p>
    <w:p w14:paraId="3E49EECC" w14:textId="77777777" w:rsidR="005D4D24" w:rsidRPr="005D4D24" w:rsidRDefault="005D4D24" w:rsidP="005D4D24">
      <w:pPr>
        <w:pStyle w:val="NoSpacing"/>
        <w:rPr>
          <w:rFonts w:ascii="Times New Roman" w:hAnsi="Times New Roman"/>
          <w:sz w:val="24"/>
          <w:szCs w:val="24"/>
        </w:rPr>
      </w:pPr>
    </w:p>
    <w:p w14:paraId="355AD2E4" w14:textId="77777777" w:rsidR="005D4D24" w:rsidRPr="005D4D24" w:rsidRDefault="005D4D24" w:rsidP="005D4D24">
      <w:pPr>
        <w:pStyle w:val="NoSpacing"/>
        <w:rPr>
          <w:rFonts w:ascii="Times New Roman" w:hAnsi="Times New Roman"/>
          <w:sz w:val="24"/>
          <w:szCs w:val="24"/>
        </w:rPr>
      </w:pPr>
      <w:r w:rsidRPr="005D4D24">
        <w:rPr>
          <w:rFonts w:ascii="Times New Roman" w:hAnsi="Times New Roman"/>
          <w:sz w:val="24"/>
          <w:szCs w:val="24"/>
        </w:rPr>
        <w:t>THE COURT HELD:</w:t>
      </w:r>
    </w:p>
    <w:p w14:paraId="785932F1" w14:textId="77777777" w:rsidR="005D4D24" w:rsidRPr="005D4D24" w:rsidRDefault="005D4D24" w:rsidP="005D4D24">
      <w:pPr>
        <w:pStyle w:val="NoSpacing"/>
        <w:rPr>
          <w:rFonts w:ascii="Times New Roman" w:hAnsi="Times New Roman"/>
          <w:sz w:val="24"/>
          <w:szCs w:val="24"/>
        </w:rPr>
      </w:pPr>
      <w:r w:rsidRPr="005D4D24">
        <w:rPr>
          <w:rFonts w:ascii="Times New Roman" w:hAnsi="Times New Roman"/>
          <w:sz w:val="24"/>
          <w:szCs w:val="24"/>
        </w:rPr>
        <w:t xml:space="preserve"> </w:t>
      </w:r>
    </w:p>
    <w:p w14:paraId="110437A6" w14:textId="77777777" w:rsidR="005D4D24" w:rsidRPr="005D4D24" w:rsidRDefault="005D4D24" w:rsidP="005D4D24">
      <w:pPr>
        <w:pStyle w:val="NoSpacing"/>
        <w:ind w:left="720"/>
        <w:rPr>
          <w:rFonts w:ascii="Times New Roman" w:hAnsi="Times New Roman"/>
          <w:sz w:val="24"/>
          <w:szCs w:val="24"/>
        </w:rPr>
      </w:pPr>
      <w:r w:rsidRPr="005D4D24">
        <w:rPr>
          <w:rFonts w:ascii="Times New Roman" w:hAnsi="Times New Roman"/>
          <w:sz w:val="24"/>
          <w:szCs w:val="24"/>
        </w:rPr>
        <w:t>“Thus, Franzmeier needed to offer medical expert opinion evidence linking his mental injury to his employment, but he offered none. Instead, he testified to what his doctors told him, that there was ‘the possibility of a COVID claim,’ but his testimony made clear that these opinions were speculative. The Respondents presented the only competent medical evidence on causation through Dr. Lee, who opined that Franzmeier was probably infected during his cross-country trip.</w:t>
      </w:r>
    </w:p>
    <w:p w14:paraId="69D78497" w14:textId="77777777" w:rsidR="005D4D24" w:rsidRPr="005D4D24" w:rsidRDefault="005D4D24" w:rsidP="005D4D24">
      <w:pPr>
        <w:pStyle w:val="NoSpacing"/>
        <w:ind w:left="720"/>
        <w:rPr>
          <w:rFonts w:ascii="Times New Roman" w:hAnsi="Times New Roman"/>
          <w:sz w:val="24"/>
          <w:szCs w:val="24"/>
        </w:rPr>
      </w:pPr>
    </w:p>
    <w:p w14:paraId="0C0671EB" w14:textId="77777777" w:rsidR="005D4D24" w:rsidRPr="005D4D24" w:rsidRDefault="005D4D24" w:rsidP="005D4D24">
      <w:pPr>
        <w:pStyle w:val="NoSpacing"/>
        <w:ind w:left="720"/>
        <w:rPr>
          <w:rFonts w:ascii="Times New Roman" w:hAnsi="Times New Roman"/>
          <w:sz w:val="24"/>
          <w:szCs w:val="24"/>
        </w:rPr>
      </w:pPr>
      <w:r w:rsidRPr="005D4D24">
        <w:rPr>
          <w:rFonts w:ascii="Times New Roman" w:hAnsi="Times New Roman"/>
          <w:sz w:val="24"/>
          <w:szCs w:val="24"/>
        </w:rPr>
        <w:t>***</w:t>
      </w:r>
    </w:p>
    <w:p w14:paraId="6E4D0EC6" w14:textId="77777777" w:rsidR="005D4D24" w:rsidRPr="005D4D24" w:rsidRDefault="005D4D24" w:rsidP="005D4D24">
      <w:pPr>
        <w:pStyle w:val="NoSpacing"/>
        <w:ind w:left="720"/>
        <w:rPr>
          <w:rFonts w:ascii="Times New Roman" w:hAnsi="Times New Roman"/>
          <w:sz w:val="24"/>
          <w:szCs w:val="24"/>
        </w:rPr>
      </w:pPr>
    </w:p>
    <w:p w14:paraId="1D3CA9EF" w14:textId="77777777" w:rsidR="005D4D24" w:rsidRPr="005D4D24" w:rsidRDefault="005D4D24" w:rsidP="005D4D24">
      <w:pPr>
        <w:pStyle w:val="NoSpacing"/>
        <w:ind w:left="720"/>
        <w:rPr>
          <w:rFonts w:ascii="Times New Roman" w:hAnsi="Times New Roman"/>
          <w:sz w:val="24"/>
          <w:szCs w:val="24"/>
        </w:rPr>
      </w:pPr>
      <w:r w:rsidRPr="005D4D24">
        <w:rPr>
          <w:rFonts w:ascii="Times New Roman" w:hAnsi="Times New Roman"/>
          <w:sz w:val="24"/>
          <w:szCs w:val="24"/>
        </w:rPr>
        <w:t>Meanwhile, in preparation for the February 2023 hearing [before Worker’s Comp. Administrative Law Judge] , neurologist Dr. Leo Kahn performed an independent medical examination of Franzmeier at the Respondents’ request. Dr. Kahn physically examined Franzmeier and reviewed the available records, including medical records.</w:t>
      </w:r>
    </w:p>
    <w:p w14:paraId="3B4FEDCC" w14:textId="77777777" w:rsidR="005D4D24" w:rsidRPr="005D4D24" w:rsidRDefault="005D4D24" w:rsidP="005D4D24">
      <w:pPr>
        <w:pStyle w:val="NoSpacing"/>
        <w:ind w:left="720"/>
        <w:rPr>
          <w:rFonts w:ascii="Times New Roman" w:hAnsi="Times New Roman"/>
          <w:sz w:val="24"/>
          <w:szCs w:val="24"/>
        </w:rPr>
      </w:pPr>
      <w:r w:rsidRPr="005D4D24">
        <w:rPr>
          <w:rFonts w:ascii="Times New Roman" w:hAnsi="Times New Roman"/>
          <w:sz w:val="24"/>
          <w:szCs w:val="24"/>
        </w:rPr>
        <w:t>Dr. Kahn acknowledged Franzmeier’s underlying psychological condition but concluded that no objective evidence supported Franzmeier’s claim that he sustained a neurological injury from contracting COVID-19 in 2020.”</w:t>
      </w:r>
    </w:p>
    <w:p w14:paraId="046278E4" w14:textId="77777777" w:rsidR="005D4D24" w:rsidRPr="005D4D24" w:rsidRDefault="005D4D24" w:rsidP="005D4D24">
      <w:pPr>
        <w:pStyle w:val="NoSpacing"/>
        <w:ind w:left="720"/>
        <w:rPr>
          <w:rFonts w:ascii="Times New Roman" w:hAnsi="Times New Roman"/>
          <w:sz w:val="24"/>
          <w:szCs w:val="24"/>
        </w:rPr>
      </w:pPr>
    </w:p>
    <w:p w14:paraId="50C464C5" w14:textId="77777777" w:rsidR="005D4D24" w:rsidRPr="005D4D24" w:rsidRDefault="005D4D24" w:rsidP="005D4D24">
      <w:pPr>
        <w:pStyle w:val="NoSpacing"/>
        <w:rPr>
          <w:rFonts w:ascii="Times New Roman" w:hAnsi="Times New Roman"/>
          <w:sz w:val="24"/>
          <w:szCs w:val="24"/>
        </w:rPr>
      </w:pPr>
      <w:r w:rsidRPr="005D4D24">
        <w:rPr>
          <w:rFonts w:ascii="Times New Roman" w:hAnsi="Times New Roman"/>
          <w:sz w:val="24"/>
          <w:szCs w:val="24"/>
        </w:rPr>
        <w:t>FACTS:</w:t>
      </w:r>
    </w:p>
    <w:p w14:paraId="195ABE46" w14:textId="77777777" w:rsidR="005D4D24" w:rsidRPr="005D4D24" w:rsidRDefault="005D4D24" w:rsidP="005D4D24">
      <w:pPr>
        <w:pStyle w:val="NoSpacing"/>
        <w:rPr>
          <w:rFonts w:ascii="Times New Roman" w:hAnsi="Times New Roman"/>
          <w:sz w:val="24"/>
          <w:szCs w:val="24"/>
        </w:rPr>
      </w:pPr>
    </w:p>
    <w:p w14:paraId="49423BB3" w14:textId="77777777" w:rsidR="005D4D24" w:rsidRPr="005D4D24" w:rsidRDefault="005D4D24" w:rsidP="005D4D24">
      <w:pPr>
        <w:pStyle w:val="NoSpacing"/>
        <w:ind w:left="720"/>
        <w:rPr>
          <w:rFonts w:ascii="Times New Roman" w:hAnsi="Times New Roman"/>
          <w:sz w:val="24"/>
          <w:szCs w:val="24"/>
        </w:rPr>
      </w:pPr>
      <w:r w:rsidRPr="005D4D24">
        <w:rPr>
          <w:rFonts w:ascii="Times New Roman" w:hAnsi="Times New Roman"/>
          <w:sz w:val="24"/>
          <w:szCs w:val="24"/>
        </w:rPr>
        <w:t>“For nearly two decades, Franzmeier worked as a paramedic and firefighter for the City of Tolleson (‘City’). On August 18, 2020, he flew home to Arizona after visiting family in Maryland. The next day, he returned to work for a 48-hour shift, working closely with others at the fire station. On August 21, a co-worker tested positive for COVID-19. Five days later, Franzmeier tested positive. For the next ten days, Franzmeier quarantined at home before returning to work without incident. He experienced mild symptoms but never sought medical attention.</w:t>
      </w:r>
    </w:p>
    <w:p w14:paraId="0CF92BAE" w14:textId="77777777" w:rsidR="005D4D24" w:rsidRPr="005D4D24" w:rsidRDefault="005D4D24" w:rsidP="005D4D24">
      <w:pPr>
        <w:pStyle w:val="NoSpacing"/>
        <w:ind w:left="720"/>
        <w:rPr>
          <w:rFonts w:ascii="Times New Roman" w:hAnsi="Times New Roman"/>
          <w:sz w:val="24"/>
          <w:szCs w:val="24"/>
        </w:rPr>
      </w:pPr>
    </w:p>
    <w:p w14:paraId="4E0D6A08" w14:textId="77777777" w:rsidR="005D4D24" w:rsidRPr="005D4D24" w:rsidRDefault="005D4D24" w:rsidP="005D4D24">
      <w:pPr>
        <w:pStyle w:val="NoSpacing"/>
        <w:ind w:left="720"/>
        <w:rPr>
          <w:rFonts w:ascii="Times New Roman" w:hAnsi="Times New Roman"/>
          <w:sz w:val="24"/>
          <w:szCs w:val="24"/>
        </w:rPr>
      </w:pPr>
      <w:r w:rsidRPr="005D4D24">
        <w:rPr>
          <w:rFonts w:ascii="Times New Roman" w:hAnsi="Times New Roman"/>
          <w:sz w:val="24"/>
          <w:szCs w:val="24"/>
        </w:rPr>
        <w:t>***</w:t>
      </w:r>
    </w:p>
    <w:p w14:paraId="73A99B1B" w14:textId="77777777" w:rsidR="005D4D24" w:rsidRPr="005D4D24" w:rsidRDefault="005D4D24" w:rsidP="005D4D24">
      <w:pPr>
        <w:pStyle w:val="NoSpacing"/>
        <w:rPr>
          <w:rFonts w:ascii="Times New Roman" w:hAnsi="Times New Roman"/>
          <w:sz w:val="24"/>
          <w:szCs w:val="24"/>
        </w:rPr>
      </w:pPr>
    </w:p>
    <w:p w14:paraId="4CB051B8" w14:textId="77777777" w:rsidR="005D4D24" w:rsidRPr="005D4D24" w:rsidRDefault="005D4D24" w:rsidP="005D4D24">
      <w:pPr>
        <w:pStyle w:val="NoSpacing"/>
        <w:ind w:left="720"/>
        <w:rPr>
          <w:rFonts w:ascii="Times New Roman" w:hAnsi="Times New Roman"/>
          <w:sz w:val="24"/>
          <w:szCs w:val="24"/>
        </w:rPr>
      </w:pPr>
      <w:r w:rsidRPr="005D4D24">
        <w:rPr>
          <w:rFonts w:ascii="Times New Roman" w:hAnsi="Times New Roman"/>
          <w:sz w:val="24"/>
          <w:szCs w:val="24"/>
        </w:rPr>
        <w:t xml:space="preserve">More than a year later, while fighting a fire in November 2021, Franzmeier experienced a “sudden alteration in [his] mental status” that left him confused and disorientated, and caused him to hallucinate. He was taken off duty and evaluated by a psychiatrist, who diagnosed him with post-traumatic stress </w:t>
      </w:r>
      <w:proofErr w:type="gramStart"/>
      <w:r w:rsidRPr="005D4D24">
        <w:rPr>
          <w:rFonts w:ascii="Times New Roman" w:hAnsi="Times New Roman"/>
          <w:sz w:val="24"/>
          <w:szCs w:val="24"/>
        </w:rPr>
        <w:t>disorder (‘</w:t>
      </w:r>
      <w:proofErr w:type="gramEnd"/>
      <w:r w:rsidRPr="005D4D24">
        <w:rPr>
          <w:rFonts w:ascii="Times New Roman" w:hAnsi="Times New Roman"/>
          <w:sz w:val="24"/>
          <w:szCs w:val="24"/>
        </w:rPr>
        <w:t xml:space="preserve">PTSD’). Franzmeier believed his PTSD and other mental health symptoms resulted from ‘long COVID’ or </w:t>
      </w:r>
      <w:proofErr w:type="gramStart"/>
      <w:r w:rsidRPr="005D4D24">
        <w:rPr>
          <w:rFonts w:ascii="Times New Roman" w:hAnsi="Times New Roman"/>
          <w:sz w:val="24"/>
          <w:szCs w:val="24"/>
        </w:rPr>
        <w:t>a post-</w:t>
      </w:r>
      <w:proofErr w:type="gramEnd"/>
    </w:p>
    <w:p w14:paraId="233BE3E0" w14:textId="77777777" w:rsidR="005D4D24" w:rsidRPr="005D4D24" w:rsidRDefault="005D4D24" w:rsidP="005D4D24">
      <w:pPr>
        <w:pStyle w:val="NoSpacing"/>
        <w:ind w:left="720"/>
        <w:rPr>
          <w:rFonts w:ascii="Times New Roman" w:hAnsi="Times New Roman"/>
          <w:sz w:val="24"/>
          <w:szCs w:val="24"/>
        </w:rPr>
      </w:pPr>
      <w:r w:rsidRPr="005D4D24">
        <w:rPr>
          <w:rFonts w:ascii="Times New Roman" w:hAnsi="Times New Roman"/>
          <w:sz w:val="24"/>
          <w:szCs w:val="24"/>
        </w:rPr>
        <w:t>COVID condition. He also believed he contracted the COVID-19 virus in August 2020 while at work and not during his earlier travels to and from Maryland.</w:t>
      </w:r>
    </w:p>
    <w:p w14:paraId="4BA1CEA8" w14:textId="77777777" w:rsidR="005D4D24" w:rsidRPr="005D4D24" w:rsidRDefault="005D4D24" w:rsidP="005D4D24">
      <w:pPr>
        <w:pStyle w:val="NoSpacing"/>
        <w:ind w:left="720"/>
        <w:rPr>
          <w:rFonts w:ascii="Times New Roman" w:hAnsi="Times New Roman"/>
          <w:sz w:val="24"/>
          <w:szCs w:val="24"/>
        </w:rPr>
      </w:pPr>
    </w:p>
    <w:p w14:paraId="1981EB69" w14:textId="77777777" w:rsidR="005D4D24" w:rsidRPr="005D4D24" w:rsidRDefault="005D4D24" w:rsidP="005D4D24">
      <w:pPr>
        <w:pStyle w:val="NoSpacing"/>
        <w:ind w:left="720"/>
        <w:rPr>
          <w:rFonts w:ascii="Times New Roman" w:hAnsi="Times New Roman"/>
          <w:sz w:val="24"/>
          <w:szCs w:val="24"/>
        </w:rPr>
      </w:pPr>
      <w:r w:rsidRPr="005D4D24">
        <w:rPr>
          <w:rFonts w:ascii="Times New Roman" w:hAnsi="Times New Roman"/>
          <w:sz w:val="24"/>
          <w:szCs w:val="24"/>
        </w:rPr>
        <w:t>***</w:t>
      </w:r>
    </w:p>
    <w:p w14:paraId="2830CF99" w14:textId="77777777" w:rsidR="005D4D24" w:rsidRPr="005D4D24" w:rsidRDefault="005D4D24" w:rsidP="005D4D24">
      <w:pPr>
        <w:pStyle w:val="NoSpacing"/>
        <w:ind w:left="720"/>
        <w:rPr>
          <w:rFonts w:ascii="Times New Roman" w:hAnsi="Times New Roman"/>
          <w:sz w:val="24"/>
          <w:szCs w:val="24"/>
        </w:rPr>
      </w:pPr>
    </w:p>
    <w:p w14:paraId="7398D9C0" w14:textId="77777777" w:rsidR="005D4D24" w:rsidRPr="005D4D24" w:rsidRDefault="005D4D24" w:rsidP="005D4D24">
      <w:pPr>
        <w:pStyle w:val="NoSpacing"/>
        <w:ind w:left="720"/>
        <w:rPr>
          <w:rFonts w:ascii="Times New Roman" w:hAnsi="Times New Roman"/>
          <w:sz w:val="24"/>
          <w:szCs w:val="24"/>
        </w:rPr>
      </w:pPr>
      <w:r w:rsidRPr="005D4D24">
        <w:rPr>
          <w:rFonts w:ascii="Times New Roman" w:hAnsi="Times New Roman"/>
          <w:sz w:val="24"/>
          <w:szCs w:val="24"/>
        </w:rPr>
        <w:t>The week before the scheduled hearing (Nov. 2022), Franzmeier’s wife checked him into an inpatient care facility for PTSD. Consequently, the ICA hearing was postponed to February 2023.</w:t>
      </w:r>
    </w:p>
    <w:p w14:paraId="49E68B4B" w14:textId="77777777" w:rsidR="005D4D24" w:rsidRPr="005D4D24" w:rsidRDefault="005D4D24" w:rsidP="005D4D24">
      <w:pPr>
        <w:pStyle w:val="NoSpacing"/>
        <w:ind w:left="720"/>
        <w:rPr>
          <w:rFonts w:ascii="Times New Roman" w:hAnsi="Times New Roman"/>
          <w:sz w:val="24"/>
          <w:szCs w:val="24"/>
        </w:rPr>
      </w:pPr>
    </w:p>
    <w:p w14:paraId="2C7A8F7E" w14:textId="77777777" w:rsidR="005D4D24" w:rsidRPr="005D4D24" w:rsidRDefault="005D4D24" w:rsidP="005D4D24">
      <w:pPr>
        <w:pStyle w:val="NoSpacing"/>
        <w:ind w:left="720"/>
        <w:rPr>
          <w:rFonts w:ascii="Times New Roman" w:hAnsi="Times New Roman"/>
          <w:sz w:val="24"/>
          <w:szCs w:val="24"/>
        </w:rPr>
      </w:pPr>
      <w:r w:rsidRPr="005D4D24">
        <w:rPr>
          <w:rFonts w:ascii="Times New Roman" w:hAnsi="Times New Roman"/>
          <w:sz w:val="24"/>
          <w:szCs w:val="24"/>
        </w:rPr>
        <w:t>***</w:t>
      </w:r>
    </w:p>
    <w:p w14:paraId="74DFA70B" w14:textId="77777777" w:rsidR="005D4D24" w:rsidRPr="005D4D24" w:rsidRDefault="005D4D24" w:rsidP="005D4D24">
      <w:pPr>
        <w:pStyle w:val="NoSpacing"/>
        <w:ind w:left="720"/>
        <w:rPr>
          <w:rFonts w:ascii="Times New Roman" w:hAnsi="Times New Roman"/>
          <w:sz w:val="24"/>
          <w:szCs w:val="24"/>
        </w:rPr>
      </w:pPr>
      <w:r w:rsidRPr="005D4D24">
        <w:rPr>
          <w:rFonts w:ascii="Times New Roman" w:hAnsi="Times New Roman"/>
          <w:sz w:val="24"/>
          <w:szCs w:val="24"/>
        </w:rPr>
        <w:lastRenderedPageBreak/>
        <w:t xml:space="preserve">Franzmeier represented himself and, outside of his own testimony, called no witnesses. When asked why he had not requested a medical expert to testify on his behalf, Franzmeier responded, ‘I believe that the -- </w:t>
      </w:r>
      <w:proofErr w:type="spellStart"/>
      <w:r w:rsidRPr="005D4D24">
        <w:rPr>
          <w:rFonts w:ascii="Times New Roman" w:hAnsi="Times New Roman"/>
          <w:sz w:val="24"/>
          <w:szCs w:val="24"/>
        </w:rPr>
        <w:t>the</w:t>
      </w:r>
      <w:proofErr w:type="spellEnd"/>
      <w:r w:rsidRPr="005D4D24">
        <w:rPr>
          <w:rFonts w:ascii="Times New Roman" w:hAnsi="Times New Roman"/>
          <w:sz w:val="24"/>
          <w:szCs w:val="24"/>
        </w:rPr>
        <w:t xml:space="preserve"> incident speaks for itself as -- </w:t>
      </w:r>
      <w:proofErr w:type="spellStart"/>
      <w:r w:rsidRPr="005D4D24">
        <w:rPr>
          <w:rFonts w:ascii="Times New Roman" w:hAnsi="Times New Roman"/>
          <w:sz w:val="24"/>
          <w:szCs w:val="24"/>
        </w:rPr>
        <w:t>as</w:t>
      </w:r>
      <w:proofErr w:type="spellEnd"/>
      <w:r w:rsidRPr="005D4D24">
        <w:rPr>
          <w:rFonts w:ascii="Times New Roman" w:hAnsi="Times New Roman"/>
          <w:sz w:val="24"/>
          <w:szCs w:val="24"/>
        </w:rPr>
        <w:t xml:space="preserve"> far as -- </w:t>
      </w:r>
      <w:proofErr w:type="spellStart"/>
      <w:r w:rsidRPr="005D4D24">
        <w:rPr>
          <w:rFonts w:ascii="Times New Roman" w:hAnsi="Times New Roman"/>
          <w:sz w:val="24"/>
          <w:szCs w:val="24"/>
        </w:rPr>
        <w:t>as</w:t>
      </w:r>
      <w:proofErr w:type="spellEnd"/>
      <w:r w:rsidRPr="005D4D24">
        <w:rPr>
          <w:rFonts w:ascii="Times New Roman" w:hAnsi="Times New Roman"/>
          <w:sz w:val="24"/>
          <w:szCs w:val="24"/>
        </w:rPr>
        <w:t xml:space="preserve"> mathematical possibilities.’ Franzmeier then testified that he believed he contracted the</w:t>
      </w:r>
    </w:p>
    <w:p w14:paraId="43183BC5" w14:textId="77777777" w:rsidR="005D4D24" w:rsidRPr="005D4D24" w:rsidRDefault="005D4D24" w:rsidP="005D4D24">
      <w:pPr>
        <w:pStyle w:val="NoSpacing"/>
        <w:ind w:left="720"/>
        <w:rPr>
          <w:rFonts w:ascii="Times New Roman" w:hAnsi="Times New Roman"/>
          <w:sz w:val="24"/>
          <w:szCs w:val="24"/>
        </w:rPr>
      </w:pPr>
      <w:r w:rsidRPr="005D4D24">
        <w:rPr>
          <w:rFonts w:ascii="Times New Roman" w:hAnsi="Times New Roman"/>
          <w:sz w:val="24"/>
          <w:szCs w:val="24"/>
        </w:rPr>
        <w:t>virus in August 2020 while at work, not while traveling to or from Maryland. In describing the injury he suffered, he recounted his PTSD symptoms and other cognitive events experienced in November 2021 and the months that followed. The ALJ asked Franzmeier whether he was asserting a claim that COVID-19 caused his mental health issues. Franzmeier testified that he had undergone an MRI that suggested ‘the possibility of a COVID claim because of COVID exposures,’ and further stated that the flashback he experienced in November 2021 ‘could be an exacerbation of COVID.’ But when the ALJ pressed whether any doctor had opined that COVID-19 caused his PTSD symptoms, Franzmeier admitted that none had. Franzmeier concluded his testimony by asserting that during the relevant ‘14-day incubation period,’ he had worked and slept for 304 hours (out of the 336 total hours), which he claimed established only a 10% probability that he became infected outside of work.”</w:t>
      </w:r>
    </w:p>
    <w:p w14:paraId="13B9C844" w14:textId="77777777" w:rsidR="005D4D24" w:rsidRPr="005D4D24" w:rsidRDefault="005D4D24" w:rsidP="005D4D24">
      <w:pPr>
        <w:pStyle w:val="NoSpacing"/>
        <w:ind w:left="720"/>
        <w:rPr>
          <w:rFonts w:ascii="Times New Roman" w:hAnsi="Times New Roman"/>
          <w:sz w:val="24"/>
          <w:szCs w:val="24"/>
        </w:rPr>
      </w:pPr>
    </w:p>
    <w:p w14:paraId="5944880E" w14:textId="77777777" w:rsidR="005D4D24" w:rsidRPr="005D4D24" w:rsidRDefault="005D4D24" w:rsidP="005D4D24">
      <w:pPr>
        <w:pStyle w:val="NoSpacing"/>
        <w:rPr>
          <w:rFonts w:ascii="Times New Roman" w:hAnsi="Times New Roman"/>
          <w:b/>
          <w:bCs/>
          <w:sz w:val="24"/>
          <w:szCs w:val="24"/>
        </w:rPr>
      </w:pPr>
      <w:r w:rsidRPr="005D4D24">
        <w:rPr>
          <w:rFonts w:ascii="Times New Roman" w:hAnsi="Times New Roman"/>
          <w:b/>
          <w:bCs/>
          <w:sz w:val="24"/>
          <w:szCs w:val="24"/>
        </w:rPr>
        <w:t>Legal Lesson Learned: The firefighter never offered any expert testimony or other proof that his PTSD was caused by exposure to COVID-19.</w:t>
      </w:r>
    </w:p>
    <w:p w14:paraId="36133904" w14:textId="77777777" w:rsidR="006547A0" w:rsidRDefault="006547A0" w:rsidP="000C4DF5">
      <w:pPr>
        <w:pStyle w:val="NoSpacing"/>
        <w:rPr>
          <w:rFonts w:ascii="Arial Black" w:hAnsi="Arial Black"/>
          <w:sz w:val="24"/>
          <w:szCs w:val="24"/>
        </w:rPr>
      </w:pPr>
    </w:p>
    <w:p w14:paraId="7E2A7071" w14:textId="77777777" w:rsidR="006547A0" w:rsidRDefault="006547A0" w:rsidP="000C4DF5">
      <w:pPr>
        <w:pStyle w:val="NoSpacing"/>
        <w:rPr>
          <w:rFonts w:ascii="Arial Black" w:hAnsi="Arial Black"/>
          <w:sz w:val="24"/>
          <w:szCs w:val="24"/>
        </w:rPr>
      </w:pPr>
    </w:p>
    <w:p w14:paraId="592AA11A" w14:textId="77777777" w:rsidR="006547A0" w:rsidRDefault="006547A0" w:rsidP="000C4DF5">
      <w:pPr>
        <w:pStyle w:val="NoSpacing"/>
        <w:rPr>
          <w:rFonts w:ascii="Arial Black" w:hAnsi="Arial Black"/>
          <w:sz w:val="24"/>
          <w:szCs w:val="24"/>
        </w:rPr>
      </w:pPr>
    </w:p>
    <w:p w14:paraId="2EFC7D46" w14:textId="3D2896B6" w:rsidR="003F2037" w:rsidRDefault="003F2037" w:rsidP="000C4DF5">
      <w:pPr>
        <w:pStyle w:val="NoSpacing"/>
        <w:rPr>
          <w:rFonts w:ascii="Arial Black" w:hAnsi="Arial Black"/>
          <w:sz w:val="24"/>
          <w:szCs w:val="24"/>
        </w:rPr>
      </w:pPr>
      <w:r>
        <w:rPr>
          <w:rFonts w:ascii="Arial Black" w:hAnsi="Arial Black"/>
          <w:sz w:val="24"/>
          <w:szCs w:val="24"/>
        </w:rPr>
        <w:t>15-33</w:t>
      </w:r>
    </w:p>
    <w:p w14:paraId="6498C0D0" w14:textId="4B45EBAE" w:rsidR="003F2037" w:rsidRPr="004A2F1A" w:rsidRDefault="003F2037" w:rsidP="003F2037">
      <w:pPr>
        <w:rPr>
          <w:rFonts w:ascii="Arial Black" w:hAnsi="Arial Black"/>
          <w:b/>
          <w:bCs/>
          <w:sz w:val="28"/>
        </w:rPr>
      </w:pPr>
      <w:r>
        <w:rPr>
          <w:rFonts w:ascii="Arial Black" w:hAnsi="Arial Black"/>
          <w:b/>
          <w:bCs/>
          <w:sz w:val="28"/>
        </w:rPr>
        <w:t xml:space="preserve">IL: FEMALE FF / MEDIC – PTSD AFTER FATHER’S DEATH – NO “LINE-OF-DUTY” PENSION – RECEIVES NON-DUTY PENSION </w:t>
      </w:r>
    </w:p>
    <w:p w14:paraId="5329C806" w14:textId="77777777" w:rsidR="003F2037" w:rsidRPr="006547A0" w:rsidRDefault="003F2037" w:rsidP="003F2037">
      <w:pPr>
        <w:pStyle w:val="NoSpacing"/>
        <w:rPr>
          <w:rFonts w:ascii="Times New Roman" w:hAnsi="Times New Roman"/>
          <w:sz w:val="24"/>
          <w:szCs w:val="24"/>
        </w:rPr>
      </w:pPr>
      <w:r w:rsidRPr="006547A0">
        <w:rPr>
          <w:rFonts w:ascii="Times New Roman" w:hAnsi="Times New Roman"/>
          <w:sz w:val="24"/>
          <w:szCs w:val="24"/>
        </w:rPr>
        <w:t xml:space="preserve">On September 25, 2024, in </w:t>
      </w:r>
      <w:r w:rsidRPr="006547A0">
        <w:rPr>
          <w:rFonts w:ascii="Times New Roman" w:hAnsi="Times New Roman"/>
          <w:sz w:val="24"/>
          <w:szCs w:val="24"/>
          <w:u w:val="single"/>
        </w:rPr>
        <w:t>Cheryl Mayer v. The Board of Trustees of the Calumet City Firefighters Pension</w:t>
      </w:r>
      <w:r w:rsidRPr="006547A0">
        <w:rPr>
          <w:rFonts w:ascii="Times New Roman" w:hAnsi="Times New Roman"/>
          <w:sz w:val="24"/>
          <w:szCs w:val="24"/>
        </w:rPr>
        <w:t>, the Court of Appeals of Illinois, First District, Third Division, held (3 to 0) that the Board correctly denied her a “line-of-duty” pension based on findings of four independent medical evaluators, and the fact that prior to her father’s death in April, 2020, she could handle difficult EMS and other runs, including 2015 (active shooter scene), 2018 (suicide</w:t>
      </w:r>
    </w:p>
    <w:p w14:paraId="04EB6D91" w14:textId="77777777" w:rsidR="003F2037" w:rsidRPr="006547A0" w:rsidRDefault="003F2037" w:rsidP="003F2037">
      <w:pPr>
        <w:pStyle w:val="NoSpacing"/>
        <w:rPr>
          <w:rFonts w:ascii="Times New Roman" w:hAnsi="Times New Roman"/>
          <w:sz w:val="24"/>
          <w:szCs w:val="24"/>
        </w:rPr>
      </w:pPr>
      <w:r w:rsidRPr="006547A0">
        <w:rPr>
          <w:rFonts w:ascii="Times New Roman" w:hAnsi="Times New Roman"/>
          <w:sz w:val="24"/>
          <w:szCs w:val="24"/>
        </w:rPr>
        <w:t xml:space="preserve">by hanging), and 2019 (suicide by self-inflicted gunshot wound).  The Court wrote: “Contrary to plaintiff’s contentions, the record reveals that the Board did not solely rely on the independent medical evaluators’ opinions as to the cause of her medical condition. The Board also relied on plaintiff’s own testimony, where she acknowledged that she did not abuse alcohol or suffer from depression or PTSD, until after her father’s death.” </w:t>
      </w:r>
      <w:hyperlink r:id="rId2462" w:history="1">
        <w:r w:rsidRPr="006547A0">
          <w:rPr>
            <w:rStyle w:val="Hyperlink"/>
            <w:rFonts w:ascii="Times New Roman" w:hAnsi="Times New Roman"/>
            <w:sz w:val="24"/>
            <w:szCs w:val="24"/>
          </w:rPr>
          <w:t>https://ilcourtsaudio.blob.core.windows.net/antilles-resources/resources/519d3cc5-abe9-4494-b624-73bca90ee228/Mayer%20v.%20%20Calumet%20Firefighters%20Pension%20Fund,%202024%20IL%20App%20(1st)%20232059-U.pdf</w:t>
        </w:r>
      </w:hyperlink>
      <w:r w:rsidRPr="006547A0">
        <w:rPr>
          <w:rFonts w:ascii="Times New Roman" w:hAnsi="Times New Roman"/>
          <w:sz w:val="24"/>
          <w:szCs w:val="24"/>
        </w:rPr>
        <w:t xml:space="preserve"> </w:t>
      </w:r>
    </w:p>
    <w:p w14:paraId="56D70FEB" w14:textId="77777777" w:rsidR="003F2037" w:rsidRPr="006547A0" w:rsidRDefault="003F2037" w:rsidP="003F2037">
      <w:pPr>
        <w:pStyle w:val="NoSpacing"/>
        <w:rPr>
          <w:rFonts w:ascii="Times New Roman" w:hAnsi="Times New Roman"/>
          <w:sz w:val="24"/>
          <w:szCs w:val="24"/>
        </w:rPr>
      </w:pPr>
    </w:p>
    <w:p w14:paraId="138A85B6" w14:textId="77777777" w:rsidR="003F2037" w:rsidRPr="006547A0" w:rsidRDefault="003F2037" w:rsidP="003F2037">
      <w:pPr>
        <w:pStyle w:val="NoSpacing"/>
        <w:rPr>
          <w:rFonts w:ascii="Times New Roman" w:hAnsi="Times New Roman"/>
          <w:sz w:val="24"/>
          <w:szCs w:val="24"/>
        </w:rPr>
      </w:pPr>
      <w:r w:rsidRPr="006547A0">
        <w:rPr>
          <w:rFonts w:ascii="Times New Roman" w:hAnsi="Times New Roman"/>
          <w:sz w:val="24"/>
          <w:szCs w:val="24"/>
        </w:rPr>
        <w:t>THE COURT HELD:</w:t>
      </w:r>
    </w:p>
    <w:p w14:paraId="44385AB4" w14:textId="77777777" w:rsidR="003F2037" w:rsidRPr="006547A0" w:rsidRDefault="003F2037" w:rsidP="003F2037">
      <w:pPr>
        <w:pStyle w:val="NoSpacing"/>
        <w:rPr>
          <w:rFonts w:ascii="Times New Roman" w:hAnsi="Times New Roman"/>
          <w:sz w:val="24"/>
          <w:szCs w:val="24"/>
        </w:rPr>
      </w:pPr>
    </w:p>
    <w:p w14:paraId="40FC7F16" w14:textId="77777777" w:rsidR="003F2037" w:rsidRPr="006547A0" w:rsidRDefault="003F2037" w:rsidP="003F2037">
      <w:pPr>
        <w:pStyle w:val="NoSpacing"/>
        <w:rPr>
          <w:rFonts w:ascii="Times New Roman" w:hAnsi="Times New Roman"/>
          <w:sz w:val="24"/>
          <w:szCs w:val="24"/>
        </w:rPr>
      </w:pPr>
      <w:r w:rsidRPr="006547A0">
        <w:rPr>
          <w:rFonts w:ascii="Times New Roman" w:hAnsi="Times New Roman"/>
          <w:sz w:val="24"/>
          <w:szCs w:val="24"/>
        </w:rPr>
        <w:tab/>
        <w:t>“To be entitled to a line-of-duty disability pension, a claimant is required to establish a</w:t>
      </w:r>
    </w:p>
    <w:p w14:paraId="31A444B6" w14:textId="77777777" w:rsidR="003F2037" w:rsidRPr="006547A0" w:rsidRDefault="003F2037" w:rsidP="003F2037">
      <w:pPr>
        <w:pStyle w:val="NoSpacing"/>
        <w:ind w:firstLine="720"/>
        <w:rPr>
          <w:rFonts w:ascii="Times New Roman" w:hAnsi="Times New Roman"/>
          <w:sz w:val="24"/>
          <w:szCs w:val="24"/>
        </w:rPr>
      </w:pPr>
      <w:r w:rsidRPr="006547A0">
        <w:rPr>
          <w:rFonts w:ascii="Times New Roman" w:hAnsi="Times New Roman"/>
          <w:sz w:val="24"/>
          <w:szCs w:val="24"/>
        </w:rPr>
        <w:t>causal connection between the claimant’s disability and an act of duty.</w:t>
      </w:r>
    </w:p>
    <w:p w14:paraId="05ECCC2B" w14:textId="77777777" w:rsidR="003F2037" w:rsidRPr="006547A0" w:rsidRDefault="003F2037" w:rsidP="003F2037">
      <w:pPr>
        <w:pStyle w:val="NoSpacing"/>
        <w:ind w:firstLine="720"/>
        <w:rPr>
          <w:rFonts w:ascii="Times New Roman" w:hAnsi="Times New Roman"/>
          <w:sz w:val="24"/>
          <w:szCs w:val="24"/>
        </w:rPr>
      </w:pPr>
    </w:p>
    <w:p w14:paraId="68613D20" w14:textId="77777777" w:rsidR="003F2037" w:rsidRPr="006547A0" w:rsidRDefault="003F2037" w:rsidP="003F2037">
      <w:pPr>
        <w:pStyle w:val="NoSpacing"/>
        <w:ind w:firstLine="720"/>
        <w:rPr>
          <w:rFonts w:ascii="Times New Roman" w:hAnsi="Times New Roman"/>
          <w:sz w:val="24"/>
          <w:szCs w:val="24"/>
        </w:rPr>
      </w:pPr>
      <w:r w:rsidRPr="006547A0">
        <w:rPr>
          <w:rFonts w:ascii="Times New Roman" w:hAnsi="Times New Roman"/>
          <w:sz w:val="24"/>
          <w:szCs w:val="24"/>
        </w:rPr>
        <w:t>***</w:t>
      </w:r>
    </w:p>
    <w:p w14:paraId="7572D49B" w14:textId="77777777" w:rsidR="003F2037" w:rsidRPr="006547A0" w:rsidRDefault="003F2037" w:rsidP="003F2037">
      <w:pPr>
        <w:pStyle w:val="NoSpacing"/>
        <w:ind w:left="720"/>
        <w:rPr>
          <w:rFonts w:ascii="Times New Roman" w:hAnsi="Times New Roman"/>
          <w:sz w:val="24"/>
          <w:szCs w:val="24"/>
        </w:rPr>
      </w:pPr>
      <w:r w:rsidRPr="006547A0">
        <w:rPr>
          <w:rFonts w:ascii="Times New Roman" w:hAnsi="Times New Roman"/>
          <w:sz w:val="24"/>
          <w:szCs w:val="24"/>
        </w:rPr>
        <w:t>Here, the independent medical evaluators all agreed that plaintiff suffered from preexisting mental and emotional issues that contributed to her disability, namely, depression, anxiety disorder, and PTSD. The issue is whether plaintiff’s preexisting conditions were aggravated by her duties as a firefighter/paramedic, thereby establishing a causal connection between her disability and service as a firefighter/paramedic.</w:t>
      </w:r>
    </w:p>
    <w:p w14:paraId="5153324C" w14:textId="77777777" w:rsidR="003F2037" w:rsidRPr="006547A0" w:rsidRDefault="003F2037" w:rsidP="003F2037">
      <w:pPr>
        <w:pStyle w:val="NoSpacing"/>
        <w:ind w:left="720"/>
        <w:rPr>
          <w:rFonts w:ascii="Times New Roman" w:hAnsi="Times New Roman"/>
          <w:sz w:val="24"/>
          <w:szCs w:val="24"/>
        </w:rPr>
      </w:pPr>
    </w:p>
    <w:p w14:paraId="7FBD6E57" w14:textId="77777777" w:rsidR="003F2037" w:rsidRPr="006547A0" w:rsidRDefault="003F2037" w:rsidP="003F2037">
      <w:pPr>
        <w:pStyle w:val="NoSpacing"/>
        <w:ind w:left="720"/>
        <w:rPr>
          <w:rFonts w:ascii="Times New Roman" w:hAnsi="Times New Roman"/>
          <w:sz w:val="24"/>
          <w:szCs w:val="24"/>
        </w:rPr>
      </w:pPr>
      <w:r w:rsidRPr="006547A0">
        <w:rPr>
          <w:rFonts w:ascii="Times New Roman" w:hAnsi="Times New Roman"/>
          <w:sz w:val="24"/>
          <w:szCs w:val="24"/>
        </w:rPr>
        <w:t>***</w:t>
      </w:r>
    </w:p>
    <w:p w14:paraId="213EEC8E" w14:textId="77777777" w:rsidR="003F2037" w:rsidRPr="006547A0" w:rsidRDefault="003F2037" w:rsidP="003F2037">
      <w:pPr>
        <w:pStyle w:val="NoSpacing"/>
        <w:rPr>
          <w:rFonts w:ascii="Times New Roman" w:hAnsi="Times New Roman"/>
          <w:sz w:val="24"/>
          <w:szCs w:val="24"/>
        </w:rPr>
      </w:pPr>
    </w:p>
    <w:p w14:paraId="0605BB43" w14:textId="77777777" w:rsidR="003F2037" w:rsidRPr="006547A0" w:rsidRDefault="003F2037" w:rsidP="003F2037">
      <w:pPr>
        <w:pStyle w:val="NoSpacing"/>
        <w:ind w:firstLine="720"/>
        <w:rPr>
          <w:rFonts w:ascii="Times New Roman" w:hAnsi="Times New Roman"/>
          <w:sz w:val="24"/>
          <w:szCs w:val="24"/>
        </w:rPr>
      </w:pPr>
      <w:r w:rsidRPr="006547A0">
        <w:rPr>
          <w:rFonts w:ascii="Times New Roman" w:hAnsi="Times New Roman"/>
          <w:sz w:val="24"/>
          <w:szCs w:val="24"/>
        </w:rPr>
        <w:t>Contrary to plaintiff’s contentions, the record reveals that the Board did not solely rely on</w:t>
      </w:r>
    </w:p>
    <w:p w14:paraId="24EDAB3E" w14:textId="77777777" w:rsidR="003F2037" w:rsidRPr="006547A0" w:rsidRDefault="003F2037" w:rsidP="003F2037">
      <w:pPr>
        <w:pStyle w:val="NoSpacing"/>
        <w:ind w:left="720"/>
        <w:rPr>
          <w:rFonts w:ascii="Times New Roman" w:hAnsi="Times New Roman"/>
          <w:sz w:val="24"/>
          <w:szCs w:val="24"/>
        </w:rPr>
      </w:pPr>
      <w:r w:rsidRPr="006547A0">
        <w:rPr>
          <w:rFonts w:ascii="Times New Roman" w:hAnsi="Times New Roman"/>
          <w:sz w:val="24"/>
          <w:szCs w:val="24"/>
        </w:rPr>
        <w:t>the independent medical evaluators’ opinions as to the cause of her medical condition. The Board also relied on plaintiff’s own testimony, where she acknowledged that she did not abuse alcohol or suffer from depression or PTSD, until after her father’s death. The documentary evidence and testimony presented at the administrative hearing gave rise to a factual issue concerning whether plaintiff’s preexisting conditions were aggravated by her duties as a firefighter/paramedic.</w:t>
      </w:r>
    </w:p>
    <w:p w14:paraId="4CCF4250" w14:textId="77777777" w:rsidR="003F2037" w:rsidRPr="006547A0" w:rsidRDefault="003F2037" w:rsidP="003F2037">
      <w:pPr>
        <w:pStyle w:val="NoSpacing"/>
        <w:ind w:left="720"/>
        <w:rPr>
          <w:rFonts w:ascii="Times New Roman" w:hAnsi="Times New Roman"/>
          <w:sz w:val="24"/>
          <w:szCs w:val="24"/>
        </w:rPr>
      </w:pPr>
    </w:p>
    <w:p w14:paraId="462FDA44" w14:textId="77777777" w:rsidR="003F2037" w:rsidRPr="006547A0" w:rsidRDefault="003F2037" w:rsidP="003F2037">
      <w:pPr>
        <w:pStyle w:val="NoSpacing"/>
        <w:ind w:left="720"/>
        <w:rPr>
          <w:rFonts w:ascii="Times New Roman" w:hAnsi="Times New Roman"/>
          <w:sz w:val="24"/>
          <w:szCs w:val="24"/>
        </w:rPr>
      </w:pPr>
      <w:r w:rsidRPr="006547A0">
        <w:rPr>
          <w:rFonts w:ascii="Times New Roman" w:hAnsi="Times New Roman"/>
          <w:sz w:val="24"/>
          <w:szCs w:val="24"/>
        </w:rPr>
        <w:t>***</w:t>
      </w:r>
    </w:p>
    <w:p w14:paraId="34D54F6D" w14:textId="77777777" w:rsidR="003F2037" w:rsidRPr="006547A0" w:rsidRDefault="003F2037" w:rsidP="003F2037">
      <w:pPr>
        <w:pStyle w:val="NoSpacing"/>
        <w:ind w:left="720"/>
        <w:rPr>
          <w:rFonts w:ascii="Times New Roman" w:hAnsi="Times New Roman"/>
          <w:sz w:val="24"/>
          <w:szCs w:val="24"/>
        </w:rPr>
      </w:pPr>
      <w:r w:rsidRPr="006547A0">
        <w:rPr>
          <w:rFonts w:ascii="Times New Roman" w:hAnsi="Times New Roman"/>
          <w:sz w:val="24"/>
          <w:szCs w:val="24"/>
        </w:rPr>
        <w:t>The Board made a factual finding that plaintiff failed to meet her burden of establishing a</w:t>
      </w:r>
    </w:p>
    <w:p w14:paraId="7654D193" w14:textId="77777777" w:rsidR="003F2037" w:rsidRPr="006547A0" w:rsidRDefault="003F2037" w:rsidP="003F2037">
      <w:pPr>
        <w:pStyle w:val="NoSpacing"/>
        <w:ind w:left="720"/>
        <w:rPr>
          <w:rFonts w:ascii="Times New Roman" w:hAnsi="Times New Roman"/>
          <w:sz w:val="24"/>
          <w:szCs w:val="24"/>
        </w:rPr>
      </w:pPr>
      <w:r w:rsidRPr="006547A0">
        <w:rPr>
          <w:rFonts w:ascii="Times New Roman" w:hAnsi="Times New Roman"/>
          <w:sz w:val="24"/>
          <w:szCs w:val="24"/>
        </w:rPr>
        <w:t xml:space="preserve">causal connection between her preexisting conditions and her duties as a firefighter/paramedic. </w:t>
      </w:r>
      <w:proofErr w:type="gramStart"/>
      <w:r w:rsidRPr="006547A0">
        <w:rPr>
          <w:rFonts w:ascii="Times New Roman" w:hAnsi="Times New Roman"/>
          <w:sz w:val="24"/>
          <w:szCs w:val="24"/>
        </w:rPr>
        <w:t>In light of</w:t>
      </w:r>
      <w:proofErr w:type="gramEnd"/>
      <w:r w:rsidRPr="006547A0">
        <w:rPr>
          <w:rFonts w:ascii="Times New Roman" w:hAnsi="Times New Roman"/>
          <w:sz w:val="24"/>
          <w:szCs w:val="24"/>
        </w:rPr>
        <w:t xml:space="preserve"> the record before us, and the deference we must afford to a board’s credibility determinations and factual findings, we cannot say that the Board’s finding that plaintiff failed to meet her burden of proof was against the manifest weight of the evidence. We find that the Board’s </w:t>
      </w:r>
      <w:proofErr w:type="gramStart"/>
      <w:r w:rsidRPr="006547A0">
        <w:rPr>
          <w:rFonts w:ascii="Times New Roman" w:hAnsi="Times New Roman"/>
          <w:sz w:val="24"/>
          <w:szCs w:val="24"/>
        </w:rPr>
        <w:t>finding was</w:t>
      </w:r>
      <w:proofErr w:type="gramEnd"/>
      <w:r w:rsidRPr="006547A0">
        <w:rPr>
          <w:rFonts w:ascii="Times New Roman" w:hAnsi="Times New Roman"/>
          <w:sz w:val="24"/>
          <w:szCs w:val="24"/>
        </w:rPr>
        <w:t xml:space="preserve"> supported by competent </w:t>
      </w:r>
      <w:proofErr w:type="gramStart"/>
      <w:r w:rsidRPr="006547A0">
        <w:rPr>
          <w:rFonts w:ascii="Times New Roman" w:hAnsi="Times New Roman"/>
          <w:sz w:val="24"/>
          <w:szCs w:val="24"/>
        </w:rPr>
        <w:t>evidence.”</w:t>
      </w:r>
      <w:proofErr w:type="gramEnd"/>
    </w:p>
    <w:p w14:paraId="2EF8F176" w14:textId="77777777" w:rsidR="003F2037" w:rsidRPr="006547A0" w:rsidRDefault="003F2037" w:rsidP="003F2037">
      <w:pPr>
        <w:pStyle w:val="NoSpacing"/>
        <w:ind w:left="720"/>
        <w:rPr>
          <w:rFonts w:ascii="Times New Roman" w:hAnsi="Times New Roman"/>
          <w:sz w:val="24"/>
          <w:szCs w:val="24"/>
        </w:rPr>
      </w:pPr>
    </w:p>
    <w:p w14:paraId="1F53F57D" w14:textId="77777777" w:rsidR="003F2037" w:rsidRPr="006547A0" w:rsidRDefault="003F2037" w:rsidP="003F2037">
      <w:pPr>
        <w:pStyle w:val="NoSpacing"/>
        <w:rPr>
          <w:rFonts w:ascii="Times New Roman" w:hAnsi="Times New Roman"/>
          <w:sz w:val="24"/>
          <w:szCs w:val="24"/>
        </w:rPr>
      </w:pPr>
      <w:r w:rsidRPr="006547A0">
        <w:rPr>
          <w:rFonts w:ascii="Times New Roman" w:hAnsi="Times New Roman"/>
          <w:sz w:val="24"/>
          <w:szCs w:val="24"/>
        </w:rPr>
        <w:t>FACTS:</w:t>
      </w:r>
    </w:p>
    <w:p w14:paraId="72FD8A08" w14:textId="77777777" w:rsidR="003F2037" w:rsidRPr="006547A0" w:rsidRDefault="003F2037" w:rsidP="003F2037">
      <w:pPr>
        <w:pStyle w:val="NoSpacing"/>
        <w:rPr>
          <w:rFonts w:ascii="Times New Roman" w:hAnsi="Times New Roman"/>
          <w:sz w:val="24"/>
          <w:szCs w:val="24"/>
        </w:rPr>
      </w:pPr>
    </w:p>
    <w:p w14:paraId="03A55C02" w14:textId="77777777" w:rsidR="003F2037" w:rsidRPr="006547A0" w:rsidRDefault="003F2037" w:rsidP="003F2037">
      <w:pPr>
        <w:pStyle w:val="NoSpacing"/>
        <w:ind w:firstLine="720"/>
        <w:rPr>
          <w:rFonts w:ascii="Times New Roman" w:hAnsi="Times New Roman"/>
          <w:sz w:val="24"/>
          <w:szCs w:val="24"/>
        </w:rPr>
      </w:pPr>
      <w:r w:rsidRPr="006547A0">
        <w:rPr>
          <w:rFonts w:ascii="Times New Roman" w:hAnsi="Times New Roman"/>
          <w:sz w:val="24"/>
          <w:szCs w:val="24"/>
        </w:rPr>
        <w:t>“Plaintiff was 46 years old at the time of the hearing and the married mother of two sons,</w:t>
      </w:r>
    </w:p>
    <w:p w14:paraId="79C75904" w14:textId="77777777" w:rsidR="003F2037" w:rsidRPr="006547A0" w:rsidRDefault="003F2037" w:rsidP="003F2037">
      <w:pPr>
        <w:pStyle w:val="NoSpacing"/>
        <w:ind w:left="720"/>
        <w:rPr>
          <w:rFonts w:ascii="Times New Roman" w:hAnsi="Times New Roman"/>
          <w:sz w:val="24"/>
          <w:szCs w:val="24"/>
        </w:rPr>
      </w:pPr>
      <w:proofErr w:type="gramStart"/>
      <w:r w:rsidRPr="006547A0">
        <w:rPr>
          <w:rFonts w:ascii="Times New Roman" w:hAnsi="Times New Roman"/>
          <w:sz w:val="24"/>
          <w:szCs w:val="24"/>
        </w:rPr>
        <w:t>both over</w:t>
      </w:r>
      <w:proofErr w:type="gramEnd"/>
      <w:r w:rsidRPr="006547A0">
        <w:rPr>
          <w:rFonts w:ascii="Times New Roman" w:hAnsi="Times New Roman"/>
          <w:sz w:val="24"/>
          <w:szCs w:val="24"/>
        </w:rPr>
        <w:t xml:space="preserve"> twenty-one years of age. Plaintiff’s background included instances of domestic conflict between her mother and father; the murder of her older brother when she was nine years old; sexual molestation by a neighbor’s teenaged son when she was ten and eleven years old; and verbal and physical abuse by her mother, until she left home at eighteen. In 1998, plaintiff was successfully treated with Zoloft for post-partum depression after the birth of her second son.</w:t>
      </w:r>
    </w:p>
    <w:p w14:paraId="6FAEF9AB" w14:textId="77777777" w:rsidR="003F2037" w:rsidRPr="006547A0" w:rsidRDefault="003F2037" w:rsidP="003F2037">
      <w:pPr>
        <w:pStyle w:val="NoSpacing"/>
        <w:rPr>
          <w:rFonts w:ascii="Times New Roman" w:hAnsi="Times New Roman"/>
          <w:sz w:val="24"/>
          <w:szCs w:val="24"/>
        </w:rPr>
      </w:pPr>
    </w:p>
    <w:p w14:paraId="26AD01D8" w14:textId="77777777" w:rsidR="003F2037" w:rsidRPr="006547A0" w:rsidRDefault="003F2037" w:rsidP="003F2037">
      <w:pPr>
        <w:pStyle w:val="NoSpacing"/>
        <w:rPr>
          <w:rFonts w:ascii="Times New Roman" w:hAnsi="Times New Roman"/>
          <w:sz w:val="24"/>
          <w:szCs w:val="24"/>
        </w:rPr>
      </w:pPr>
      <w:r w:rsidRPr="006547A0">
        <w:rPr>
          <w:rFonts w:ascii="Times New Roman" w:hAnsi="Times New Roman"/>
          <w:sz w:val="24"/>
          <w:szCs w:val="24"/>
        </w:rPr>
        <w:tab/>
        <w:t>***</w:t>
      </w:r>
    </w:p>
    <w:p w14:paraId="562C8486" w14:textId="77777777" w:rsidR="003F2037" w:rsidRPr="006547A0" w:rsidRDefault="003F2037" w:rsidP="003F2037">
      <w:pPr>
        <w:pStyle w:val="NoSpacing"/>
        <w:rPr>
          <w:rFonts w:ascii="Times New Roman" w:hAnsi="Times New Roman"/>
          <w:sz w:val="24"/>
          <w:szCs w:val="24"/>
        </w:rPr>
      </w:pPr>
    </w:p>
    <w:p w14:paraId="04E4E658" w14:textId="77777777" w:rsidR="003F2037" w:rsidRPr="006547A0" w:rsidRDefault="003F2037" w:rsidP="003F2037">
      <w:pPr>
        <w:pStyle w:val="NoSpacing"/>
        <w:ind w:left="720"/>
        <w:rPr>
          <w:rFonts w:ascii="Times New Roman" w:hAnsi="Times New Roman"/>
          <w:sz w:val="24"/>
          <w:szCs w:val="24"/>
        </w:rPr>
      </w:pPr>
      <w:r w:rsidRPr="006547A0">
        <w:rPr>
          <w:rFonts w:ascii="Times New Roman" w:hAnsi="Times New Roman"/>
          <w:sz w:val="24"/>
          <w:szCs w:val="24"/>
        </w:rPr>
        <w:t>Plaintiff joined the Calumet Fire Department as a firefighter/paramedic on March 1, 2009. Before she was hired, plaintiff underwent and passed physical and psychological examinations. She was neither diagnosed with nor receiving treatment for any psychiatric conditions.</w:t>
      </w:r>
    </w:p>
    <w:p w14:paraId="5C657364" w14:textId="77777777" w:rsidR="003F2037" w:rsidRPr="006547A0" w:rsidRDefault="003F2037" w:rsidP="003F2037">
      <w:pPr>
        <w:pStyle w:val="NoSpacing"/>
        <w:ind w:left="720"/>
        <w:rPr>
          <w:rFonts w:ascii="Times New Roman" w:hAnsi="Times New Roman"/>
          <w:sz w:val="24"/>
          <w:szCs w:val="24"/>
        </w:rPr>
      </w:pPr>
    </w:p>
    <w:p w14:paraId="3B08B0B9" w14:textId="77777777" w:rsidR="003F2037" w:rsidRPr="006547A0" w:rsidRDefault="003F2037" w:rsidP="003F2037">
      <w:pPr>
        <w:pStyle w:val="NoSpacing"/>
        <w:ind w:left="720"/>
        <w:rPr>
          <w:rFonts w:ascii="Times New Roman" w:hAnsi="Times New Roman"/>
          <w:sz w:val="24"/>
          <w:szCs w:val="24"/>
        </w:rPr>
      </w:pPr>
      <w:r w:rsidRPr="006547A0">
        <w:rPr>
          <w:rFonts w:ascii="Times New Roman" w:hAnsi="Times New Roman"/>
          <w:sz w:val="24"/>
          <w:szCs w:val="24"/>
        </w:rPr>
        <w:t>***</w:t>
      </w:r>
    </w:p>
    <w:p w14:paraId="57708A8A" w14:textId="77777777" w:rsidR="003F2037" w:rsidRPr="006547A0" w:rsidRDefault="003F2037" w:rsidP="003F2037">
      <w:pPr>
        <w:pStyle w:val="NoSpacing"/>
        <w:rPr>
          <w:rFonts w:ascii="Times New Roman" w:hAnsi="Times New Roman"/>
          <w:sz w:val="24"/>
          <w:szCs w:val="24"/>
        </w:rPr>
      </w:pPr>
    </w:p>
    <w:p w14:paraId="137FA81A" w14:textId="77777777" w:rsidR="003F2037" w:rsidRPr="006547A0" w:rsidRDefault="003F2037" w:rsidP="003F2037">
      <w:pPr>
        <w:pStyle w:val="NoSpacing"/>
        <w:ind w:firstLine="720"/>
        <w:rPr>
          <w:rFonts w:ascii="Times New Roman" w:hAnsi="Times New Roman"/>
          <w:sz w:val="24"/>
          <w:szCs w:val="24"/>
        </w:rPr>
      </w:pPr>
      <w:r w:rsidRPr="006547A0">
        <w:rPr>
          <w:rFonts w:ascii="Times New Roman" w:hAnsi="Times New Roman"/>
          <w:sz w:val="24"/>
          <w:szCs w:val="24"/>
        </w:rPr>
        <w:t>In July 2020, plaintiff began receiving psychological counseling from Dr. Katie Johnson,</w:t>
      </w:r>
    </w:p>
    <w:p w14:paraId="2360AA5D" w14:textId="77777777" w:rsidR="003F2037" w:rsidRPr="006547A0" w:rsidRDefault="003F2037" w:rsidP="003F2037">
      <w:pPr>
        <w:pStyle w:val="NoSpacing"/>
        <w:ind w:left="720"/>
        <w:rPr>
          <w:rFonts w:ascii="Times New Roman" w:hAnsi="Times New Roman"/>
          <w:sz w:val="24"/>
          <w:szCs w:val="24"/>
        </w:rPr>
      </w:pPr>
      <w:r w:rsidRPr="006547A0">
        <w:rPr>
          <w:rFonts w:ascii="Times New Roman" w:hAnsi="Times New Roman"/>
          <w:sz w:val="24"/>
          <w:szCs w:val="24"/>
        </w:rPr>
        <w:t xml:space="preserve">a licensed clinical professional counselor. On August 14, 2020, plaintiff reported to Johnson that she had suicidal ideations and had posted to Facebook that she put a firearm </w:t>
      </w:r>
      <w:proofErr w:type="gramStart"/>
      <w:r w:rsidRPr="006547A0">
        <w:rPr>
          <w:rFonts w:ascii="Times New Roman" w:hAnsi="Times New Roman"/>
          <w:sz w:val="24"/>
          <w:szCs w:val="24"/>
        </w:rPr>
        <w:t>to</w:t>
      </w:r>
      <w:proofErr w:type="gramEnd"/>
      <w:r w:rsidRPr="006547A0">
        <w:rPr>
          <w:rFonts w:ascii="Times New Roman" w:hAnsi="Times New Roman"/>
          <w:sz w:val="24"/>
          <w:szCs w:val="24"/>
        </w:rPr>
        <w:t xml:space="preserve"> her head and contemplated committing suicide. Plaintiff was eventually referred to Dr. Kelsey Oster, for a neuropsychological evaluation. She was admitted into a 28-day inpatient substance-abuse program at Advanced Recovery Systems in Orlando, Florida. Plaintiff testified that the program helped her stop drinking. After her discharge from the program, plaintiff continued working full duty without restrictions. At the time of the hearing, plaintiff was still seeing Dr. Johnson ‘every week to two weeks.’</w:t>
      </w:r>
    </w:p>
    <w:p w14:paraId="4E747F1C" w14:textId="77777777" w:rsidR="003F2037" w:rsidRPr="006547A0" w:rsidRDefault="003F2037" w:rsidP="003F2037">
      <w:pPr>
        <w:pStyle w:val="NoSpacing"/>
        <w:ind w:left="720"/>
        <w:rPr>
          <w:rFonts w:ascii="Times New Roman" w:hAnsi="Times New Roman"/>
          <w:sz w:val="24"/>
          <w:szCs w:val="24"/>
        </w:rPr>
      </w:pPr>
    </w:p>
    <w:p w14:paraId="663D4064" w14:textId="77777777" w:rsidR="003F2037" w:rsidRPr="006547A0" w:rsidRDefault="003F2037" w:rsidP="003F2037">
      <w:pPr>
        <w:pStyle w:val="NoSpacing"/>
        <w:ind w:left="720"/>
        <w:rPr>
          <w:rFonts w:ascii="Times New Roman" w:hAnsi="Times New Roman"/>
          <w:sz w:val="24"/>
          <w:szCs w:val="24"/>
        </w:rPr>
      </w:pPr>
      <w:r w:rsidRPr="006547A0">
        <w:rPr>
          <w:rFonts w:ascii="Times New Roman" w:hAnsi="Times New Roman"/>
          <w:sz w:val="24"/>
          <w:szCs w:val="24"/>
        </w:rPr>
        <w:t>***</w:t>
      </w:r>
    </w:p>
    <w:p w14:paraId="56DC39C2" w14:textId="77777777" w:rsidR="003F2037" w:rsidRPr="006547A0" w:rsidRDefault="003F2037" w:rsidP="003F2037">
      <w:pPr>
        <w:pStyle w:val="NoSpacing"/>
        <w:rPr>
          <w:rFonts w:ascii="Times New Roman" w:hAnsi="Times New Roman"/>
          <w:sz w:val="24"/>
          <w:szCs w:val="24"/>
        </w:rPr>
      </w:pPr>
    </w:p>
    <w:p w14:paraId="59A0A3DD" w14:textId="77777777" w:rsidR="003F2037" w:rsidRPr="006547A0" w:rsidRDefault="003F2037" w:rsidP="003F2037">
      <w:pPr>
        <w:pStyle w:val="NoSpacing"/>
        <w:ind w:firstLine="720"/>
        <w:rPr>
          <w:rFonts w:ascii="Times New Roman" w:hAnsi="Times New Roman"/>
          <w:sz w:val="24"/>
          <w:szCs w:val="24"/>
        </w:rPr>
      </w:pPr>
      <w:r w:rsidRPr="006547A0">
        <w:rPr>
          <w:rFonts w:ascii="Times New Roman" w:hAnsi="Times New Roman"/>
          <w:sz w:val="24"/>
          <w:szCs w:val="24"/>
        </w:rPr>
        <w:t>On February 12, 2021, plaintiff responded to a call involving a man in full cardiac arrest.</w:t>
      </w:r>
    </w:p>
    <w:p w14:paraId="02BB2DB4" w14:textId="77777777" w:rsidR="003F2037" w:rsidRPr="006547A0" w:rsidRDefault="003F2037" w:rsidP="003F2037">
      <w:pPr>
        <w:pStyle w:val="NoSpacing"/>
        <w:ind w:left="720"/>
        <w:rPr>
          <w:rFonts w:ascii="Times New Roman" w:hAnsi="Times New Roman"/>
          <w:sz w:val="24"/>
          <w:szCs w:val="24"/>
        </w:rPr>
      </w:pPr>
      <w:r w:rsidRPr="006547A0">
        <w:rPr>
          <w:rFonts w:ascii="Times New Roman" w:hAnsi="Times New Roman"/>
          <w:sz w:val="24"/>
          <w:szCs w:val="24"/>
        </w:rPr>
        <w:t>As plaintiff was attempting resuscitation efforts, a female family member, who did not have a ‘do-not-resuscitate’ order or a power of attorney, started yelling not to touch him. When plaintiff’s supervisor instructed emergency personnel to honor the woman’s wishes, plaintiff became upset and asked why they were not following the pandemic protocols. Plaintiff left the house and began complaining and swearing to a nearby police officer. Plaintiff returned to the station, but did not finish her shift, claiming she was sick and needed to go home. That was the last day plaintiff worked in a full and unrestricted capacity as a firefighter/paramedic for the Calumet Fire Department.”</w:t>
      </w:r>
    </w:p>
    <w:p w14:paraId="61D512C1" w14:textId="77777777" w:rsidR="003F2037" w:rsidRPr="006547A0" w:rsidRDefault="003F2037" w:rsidP="003F2037">
      <w:pPr>
        <w:pStyle w:val="NoSpacing"/>
        <w:ind w:left="720"/>
        <w:rPr>
          <w:rFonts w:ascii="Times New Roman" w:hAnsi="Times New Roman"/>
          <w:sz w:val="24"/>
          <w:szCs w:val="24"/>
        </w:rPr>
      </w:pPr>
    </w:p>
    <w:p w14:paraId="463D5114" w14:textId="77777777" w:rsidR="003F2037" w:rsidRPr="006547A0" w:rsidRDefault="003F2037" w:rsidP="003F2037">
      <w:pPr>
        <w:pStyle w:val="NoSpacing"/>
        <w:rPr>
          <w:rFonts w:ascii="Times New Roman" w:hAnsi="Times New Roman"/>
          <w:b/>
          <w:bCs/>
          <w:sz w:val="24"/>
          <w:szCs w:val="24"/>
        </w:rPr>
      </w:pPr>
      <w:r w:rsidRPr="006547A0">
        <w:rPr>
          <w:rFonts w:ascii="Times New Roman" w:hAnsi="Times New Roman"/>
          <w:b/>
          <w:bCs/>
          <w:sz w:val="24"/>
          <w:szCs w:val="24"/>
        </w:rPr>
        <w:t xml:space="preserve">Legal Lesson Learned: The Board’s independent medical experts found that she could perform her duties as firefighter / medic, despite her anxiety and depression, until death of her father.   </w:t>
      </w:r>
    </w:p>
    <w:p w14:paraId="395C4A60" w14:textId="77777777" w:rsidR="003F2037" w:rsidRPr="006547A0" w:rsidRDefault="003F2037" w:rsidP="003F2037">
      <w:pPr>
        <w:pStyle w:val="NoSpacing"/>
        <w:rPr>
          <w:rFonts w:ascii="Times New Roman" w:hAnsi="Times New Roman"/>
          <w:sz w:val="24"/>
          <w:szCs w:val="24"/>
        </w:rPr>
      </w:pPr>
    </w:p>
    <w:p w14:paraId="249E241C" w14:textId="77777777" w:rsidR="003F2037" w:rsidRPr="006547A0" w:rsidRDefault="003F2037" w:rsidP="003F2037">
      <w:pPr>
        <w:pStyle w:val="NoSpacing"/>
        <w:ind w:left="720"/>
        <w:rPr>
          <w:rFonts w:ascii="Times New Roman" w:hAnsi="Times New Roman"/>
          <w:sz w:val="24"/>
          <w:szCs w:val="24"/>
        </w:rPr>
      </w:pPr>
      <w:r w:rsidRPr="006547A0">
        <w:rPr>
          <w:rFonts w:ascii="Times New Roman" w:hAnsi="Times New Roman"/>
          <w:sz w:val="24"/>
          <w:szCs w:val="24"/>
        </w:rPr>
        <w:t xml:space="preserve">Note:  Dr. </w:t>
      </w:r>
      <w:proofErr w:type="spellStart"/>
      <w:r w:rsidRPr="006547A0">
        <w:rPr>
          <w:rFonts w:ascii="Times New Roman" w:hAnsi="Times New Roman"/>
          <w:sz w:val="24"/>
          <w:szCs w:val="24"/>
        </w:rPr>
        <w:t>Ganellen</w:t>
      </w:r>
      <w:proofErr w:type="spellEnd"/>
      <w:r w:rsidRPr="006547A0">
        <w:rPr>
          <w:rFonts w:ascii="Times New Roman" w:hAnsi="Times New Roman"/>
          <w:sz w:val="24"/>
          <w:szCs w:val="24"/>
        </w:rPr>
        <w:t xml:space="preserve"> noted that plaintiff’s medical records revealed she was being treated for anxiety and depression as early as 2018, but that these conditions “markedly” worsened after the death of her father in April 2020.</w:t>
      </w:r>
    </w:p>
    <w:p w14:paraId="61DC1AD7" w14:textId="77777777" w:rsidR="003F2037" w:rsidRPr="006547A0" w:rsidRDefault="003F2037" w:rsidP="003F2037">
      <w:pPr>
        <w:pStyle w:val="NoSpacing"/>
        <w:ind w:left="720"/>
        <w:rPr>
          <w:rFonts w:ascii="Times New Roman" w:hAnsi="Times New Roman"/>
          <w:sz w:val="24"/>
          <w:szCs w:val="24"/>
        </w:rPr>
      </w:pPr>
    </w:p>
    <w:p w14:paraId="53FE8DAF" w14:textId="77777777" w:rsidR="003F2037" w:rsidRPr="006547A0" w:rsidRDefault="003F2037" w:rsidP="003F2037">
      <w:pPr>
        <w:pStyle w:val="NoSpacing"/>
        <w:ind w:left="720"/>
        <w:rPr>
          <w:rFonts w:ascii="Times New Roman" w:hAnsi="Times New Roman"/>
          <w:sz w:val="24"/>
          <w:szCs w:val="24"/>
        </w:rPr>
      </w:pPr>
      <w:r w:rsidRPr="006547A0">
        <w:rPr>
          <w:rFonts w:ascii="Times New Roman" w:hAnsi="Times New Roman"/>
          <w:sz w:val="24"/>
          <w:szCs w:val="24"/>
        </w:rPr>
        <w:t>***</w:t>
      </w:r>
    </w:p>
    <w:p w14:paraId="678E5BC5" w14:textId="77777777" w:rsidR="003F2037" w:rsidRPr="006547A0" w:rsidRDefault="003F2037" w:rsidP="003F2037">
      <w:pPr>
        <w:pStyle w:val="NoSpacing"/>
        <w:rPr>
          <w:rFonts w:ascii="Times New Roman" w:hAnsi="Times New Roman"/>
          <w:sz w:val="24"/>
          <w:szCs w:val="24"/>
        </w:rPr>
      </w:pPr>
    </w:p>
    <w:p w14:paraId="5B6395AB" w14:textId="77777777" w:rsidR="003F2037" w:rsidRPr="006547A0" w:rsidRDefault="003F2037" w:rsidP="003F2037">
      <w:pPr>
        <w:pStyle w:val="NoSpacing"/>
        <w:ind w:left="720"/>
        <w:rPr>
          <w:rFonts w:ascii="Times New Roman" w:hAnsi="Times New Roman"/>
          <w:sz w:val="24"/>
          <w:szCs w:val="24"/>
        </w:rPr>
      </w:pPr>
      <w:r w:rsidRPr="006547A0">
        <w:rPr>
          <w:rFonts w:ascii="Times New Roman" w:hAnsi="Times New Roman"/>
          <w:sz w:val="24"/>
          <w:szCs w:val="24"/>
        </w:rPr>
        <w:t>Dr. Conroe noted that plaintiff exhibited symptoms of anxiety and depression prior to her father’s death, but that ‘they were moderate and did not interfere with her functioning at work.’ According to the doctor, the death of plaintiff’s father ‘lessened her stress tolerance and affected her ability to respond appropriately to similar subsequent emergencies.’ Dr. Conroe determined that work events ‘were not the cause of [plaintiff’s] disability, but rather her father’s death and the surrounding circumstances fueled her emotional reactions to these demanding situations.’”</w:t>
      </w:r>
    </w:p>
    <w:p w14:paraId="4D44D47E" w14:textId="77777777" w:rsidR="003F2037" w:rsidRDefault="003F2037" w:rsidP="000C4DF5">
      <w:pPr>
        <w:pStyle w:val="NoSpacing"/>
        <w:rPr>
          <w:rFonts w:ascii="Arial Black" w:hAnsi="Arial Black"/>
          <w:sz w:val="24"/>
          <w:szCs w:val="24"/>
        </w:rPr>
      </w:pPr>
    </w:p>
    <w:p w14:paraId="7725BE34" w14:textId="77777777" w:rsidR="003F2037" w:rsidRDefault="003F2037" w:rsidP="000C4DF5">
      <w:pPr>
        <w:pStyle w:val="NoSpacing"/>
        <w:rPr>
          <w:rFonts w:ascii="Arial Black" w:hAnsi="Arial Black"/>
          <w:sz w:val="24"/>
          <w:szCs w:val="24"/>
        </w:rPr>
      </w:pPr>
    </w:p>
    <w:p w14:paraId="329FE35D" w14:textId="77777777" w:rsidR="003F2037" w:rsidRDefault="003F2037" w:rsidP="000C4DF5">
      <w:pPr>
        <w:pStyle w:val="NoSpacing"/>
        <w:rPr>
          <w:rFonts w:ascii="Arial Black" w:hAnsi="Arial Black"/>
          <w:sz w:val="24"/>
          <w:szCs w:val="24"/>
        </w:rPr>
      </w:pPr>
    </w:p>
    <w:p w14:paraId="425F8798" w14:textId="7DFECA32" w:rsidR="00AB3777" w:rsidRDefault="00AB3777" w:rsidP="000C4DF5">
      <w:pPr>
        <w:pStyle w:val="NoSpacing"/>
        <w:rPr>
          <w:rFonts w:ascii="Arial Black" w:hAnsi="Arial Black"/>
          <w:sz w:val="24"/>
          <w:szCs w:val="24"/>
        </w:rPr>
      </w:pPr>
      <w:r>
        <w:rPr>
          <w:rFonts w:ascii="Arial Black" w:hAnsi="Arial Black"/>
          <w:sz w:val="24"/>
          <w:szCs w:val="24"/>
        </w:rPr>
        <w:t>15-32</w:t>
      </w:r>
    </w:p>
    <w:p w14:paraId="1B018D5B" w14:textId="77777777" w:rsidR="00AB3777" w:rsidRDefault="00AB3777" w:rsidP="000C4DF5">
      <w:pPr>
        <w:pStyle w:val="NoSpacing"/>
        <w:rPr>
          <w:rFonts w:ascii="Arial Black" w:hAnsi="Arial Black"/>
          <w:sz w:val="24"/>
          <w:szCs w:val="24"/>
        </w:rPr>
      </w:pPr>
    </w:p>
    <w:p w14:paraId="5676A8E1" w14:textId="78952469" w:rsidR="009622FF" w:rsidRPr="003066C5" w:rsidRDefault="009622FF" w:rsidP="009622FF">
      <w:pPr>
        <w:rPr>
          <w:rFonts w:ascii="Arial Black" w:hAnsi="Arial Black"/>
          <w:b/>
          <w:bCs/>
          <w:sz w:val="28"/>
          <w:szCs w:val="28"/>
        </w:rPr>
      </w:pPr>
      <w:r>
        <w:rPr>
          <w:rFonts w:ascii="Arial Black" w:hAnsi="Arial Black"/>
          <w:b/>
          <w:bCs/>
          <w:sz w:val="28"/>
          <w:szCs w:val="28"/>
        </w:rPr>
        <w:t>ME: DROWNING / PSYCH - FF SHOUTED: “GONNA KICK HIS ASS IF HE GETS OUT OF THAT WATER” – CASE DISMISSED</w:t>
      </w:r>
    </w:p>
    <w:p w14:paraId="2139B35B" w14:textId="77777777" w:rsidR="009622FF" w:rsidRDefault="009622FF" w:rsidP="009622FF">
      <w:pPr>
        <w:jc w:val="both"/>
        <w:rPr>
          <w:rFonts w:ascii="Times New Roman" w:hAnsi="Times New Roman"/>
          <w:sz w:val="24"/>
          <w:szCs w:val="24"/>
        </w:rPr>
      </w:pPr>
      <w:r>
        <w:rPr>
          <w:rFonts w:ascii="Times New Roman" w:hAnsi="Times New Roman"/>
          <w:sz w:val="24"/>
          <w:szCs w:val="24"/>
        </w:rPr>
        <w:t xml:space="preserve">On Aug. 1, 2024, in </w:t>
      </w:r>
      <w:r w:rsidRPr="002D27CC">
        <w:rPr>
          <w:rFonts w:ascii="Times New Roman" w:hAnsi="Times New Roman"/>
          <w:sz w:val="24"/>
          <w:szCs w:val="24"/>
          <w:u w:val="single"/>
        </w:rPr>
        <w:t>John Cohen v. City of Portland, et al.</w:t>
      </w:r>
      <w:r>
        <w:rPr>
          <w:rFonts w:ascii="Times New Roman" w:hAnsi="Times New Roman"/>
          <w:sz w:val="24"/>
          <w:szCs w:val="24"/>
        </w:rPr>
        <w:t>, the U.S. Court of Appeals for 1</w:t>
      </w:r>
      <w:r w:rsidRPr="002D27CC">
        <w:rPr>
          <w:rFonts w:ascii="Times New Roman" w:hAnsi="Times New Roman"/>
          <w:sz w:val="24"/>
          <w:szCs w:val="24"/>
          <w:vertAlign w:val="superscript"/>
        </w:rPr>
        <w:t>st</w:t>
      </w:r>
      <w:r>
        <w:rPr>
          <w:rFonts w:ascii="Times New Roman" w:hAnsi="Times New Roman"/>
          <w:sz w:val="24"/>
          <w:szCs w:val="24"/>
        </w:rPr>
        <w:t xml:space="preserve"> Circuit (Boston), held (3 to 0) that Federal District Court judge properly granted summary judgment to City, police officers and the firefighter who made the “kick ass” comments.  </w:t>
      </w:r>
      <w:proofErr w:type="spellStart"/>
      <w:r>
        <w:rPr>
          <w:rFonts w:ascii="Times New Roman" w:hAnsi="Times New Roman"/>
          <w:sz w:val="24"/>
          <w:szCs w:val="24"/>
        </w:rPr>
        <w:t>Regardling</w:t>
      </w:r>
      <w:proofErr w:type="spellEnd"/>
      <w:r>
        <w:rPr>
          <w:rFonts w:ascii="Times New Roman" w:hAnsi="Times New Roman"/>
          <w:sz w:val="24"/>
          <w:szCs w:val="24"/>
        </w:rPr>
        <w:t xml:space="preserve"> the claim against the firefighter, on appeal “</w:t>
      </w:r>
      <w:r w:rsidRPr="00A85C9C">
        <w:rPr>
          <w:rFonts w:ascii="Times New Roman" w:hAnsi="Times New Roman"/>
          <w:sz w:val="24"/>
          <w:szCs w:val="24"/>
        </w:rPr>
        <w:t xml:space="preserve">the estate simply asserts that Cohen was in shallow water, and therefore </w:t>
      </w:r>
      <w:r>
        <w:rPr>
          <w:rFonts w:ascii="Times New Roman" w:hAnsi="Times New Roman"/>
          <w:sz w:val="24"/>
          <w:szCs w:val="24"/>
        </w:rPr>
        <w:t>‘</w:t>
      </w:r>
      <w:r w:rsidRPr="00A85C9C">
        <w:rPr>
          <w:rFonts w:ascii="Times New Roman" w:hAnsi="Times New Roman"/>
          <w:sz w:val="24"/>
          <w:szCs w:val="24"/>
        </w:rPr>
        <w:t>may have been able to come out of the water</w:t>
      </w:r>
      <w:r>
        <w:rPr>
          <w:rFonts w:ascii="Times New Roman" w:hAnsi="Times New Roman"/>
          <w:sz w:val="24"/>
          <w:szCs w:val="24"/>
        </w:rPr>
        <w:t>’</w:t>
      </w:r>
      <w:r w:rsidRPr="00A85C9C">
        <w:rPr>
          <w:rFonts w:ascii="Times New Roman" w:hAnsi="Times New Roman"/>
          <w:sz w:val="24"/>
          <w:szCs w:val="24"/>
        </w:rPr>
        <w:t xml:space="preserve"> absent </w:t>
      </w:r>
      <w:r>
        <w:rPr>
          <w:rFonts w:ascii="Times New Roman" w:hAnsi="Times New Roman"/>
          <w:sz w:val="24"/>
          <w:szCs w:val="24"/>
        </w:rPr>
        <w:t xml:space="preserve">[firefighter Ronald] </w:t>
      </w:r>
      <w:r w:rsidRPr="00A85C9C">
        <w:rPr>
          <w:rFonts w:ascii="Times New Roman" w:hAnsi="Times New Roman"/>
          <w:sz w:val="24"/>
          <w:szCs w:val="24"/>
        </w:rPr>
        <w:t>Giroux's threat. Even if we assume that Cohen could have come out of the water in defiance of Giroux's bellowed threat, this assumption would not justify finding that (1) he would have done so, (2) he would have done so before the rescue boat arrived, or (3) doing so would have prevented his eventual death.</w:t>
      </w:r>
      <w:r>
        <w:rPr>
          <w:rFonts w:ascii="Times New Roman" w:hAnsi="Times New Roman"/>
          <w:sz w:val="24"/>
          <w:szCs w:val="24"/>
        </w:rPr>
        <w:t xml:space="preserve">” </w:t>
      </w:r>
      <w:hyperlink r:id="rId2463" w:history="1">
        <w:r w:rsidRPr="005A083B">
          <w:rPr>
            <w:rStyle w:val="Hyperlink"/>
            <w:rFonts w:ascii="Times New Roman" w:hAnsi="Times New Roman"/>
            <w:sz w:val="24"/>
            <w:szCs w:val="24"/>
          </w:rPr>
          <w:t>https://caselaw.findlaw.com/court/us-1st-circuit/116442772.html</w:t>
        </w:r>
      </w:hyperlink>
      <w:r>
        <w:rPr>
          <w:rFonts w:ascii="Times New Roman" w:hAnsi="Times New Roman"/>
          <w:sz w:val="24"/>
          <w:szCs w:val="24"/>
        </w:rPr>
        <w:t xml:space="preserve"> </w:t>
      </w:r>
    </w:p>
    <w:p w14:paraId="3DA267F3" w14:textId="77777777" w:rsidR="009622FF" w:rsidRDefault="009622FF" w:rsidP="009622FF">
      <w:pPr>
        <w:rPr>
          <w:rFonts w:ascii="Times New Roman" w:hAnsi="Times New Roman"/>
          <w:sz w:val="24"/>
          <w:szCs w:val="24"/>
        </w:rPr>
      </w:pPr>
      <w:r>
        <w:rPr>
          <w:rFonts w:ascii="Times New Roman" w:hAnsi="Times New Roman"/>
          <w:sz w:val="24"/>
          <w:szCs w:val="24"/>
        </w:rPr>
        <w:t>THE COURT HELD:</w:t>
      </w:r>
    </w:p>
    <w:p w14:paraId="1A7AB078" w14:textId="77777777" w:rsidR="009622FF" w:rsidRPr="0039533E" w:rsidRDefault="009622FF" w:rsidP="009622FF">
      <w:pPr>
        <w:ind w:left="720"/>
        <w:rPr>
          <w:rFonts w:ascii="Times New Roman" w:hAnsi="Times New Roman"/>
          <w:sz w:val="24"/>
          <w:szCs w:val="24"/>
        </w:rPr>
      </w:pPr>
      <w:r w:rsidRPr="0039533E">
        <w:rPr>
          <w:rFonts w:ascii="Times New Roman" w:hAnsi="Times New Roman"/>
          <w:sz w:val="24"/>
          <w:szCs w:val="24"/>
        </w:rPr>
        <w:t xml:space="preserve">“We first consider the state-created danger claim against Giroux. Giroux arrived at the Back Cove at 1:42 p.m. Cohen had already been in the water for around twenty minutes. Giroux did not know that Cohen was </w:t>
      </w:r>
      <w:proofErr w:type="gramStart"/>
      <w:r w:rsidRPr="0039533E">
        <w:rPr>
          <w:rFonts w:ascii="Times New Roman" w:hAnsi="Times New Roman"/>
          <w:sz w:val="24"/>
          <w:szCs w:val="24"/>
        </w:rPr>
        <w:t>in the midst of</w:t>
      </w:r>
      <w:proofErr w:type="gramEnd"/>
      <w:r w:rsidRPr="0039533E">
        <w:rPr>
          <w:rFonts w:ascii="Times New Roman" w:hAnsi="Times New Roman"/>
          <w:sz w:val="24"/>
          <w:szCs w:val="24"/>
        </w:rPr>
        <w:t xml:space="preserve"> a psychotic episode. He knew only that Cohen had assaulted his girlfriend before fleeing into the water. At 1:43 p.m., Giroux called out: “Tell him we're </w:t>
      </w:r>
      <w:proofErr w:type="spellStart"/>
      <w:r w:rsidRPr="0039533E">
        <w:rPr>
          <w:rFonts w:ascii="Times New Roman" w:hAnsi="Times New Roman"/>
          <w:sz w:val="24"/>
          <w:szCs w:val="24"/>
        </w:rPr>
        <w:t>gonna</w:t>
      </w:r>
      <w:proofErr w:type="spellEnd"/>
      <w:r w:rsidRPr="0039533E">
        <w:rPr>
          <w:rFonts w:ascii="Times New Roman" w:hAnsi="Times New Roman"/>
          <w:sz w:val="24"/>
          <w:szCs w:val="24"/>
        </w:rPr>
        <w:t xml:space="preserve"> kick his ass if he gets out of that water.” Giroux's only other involvement at the scene was to hand</w:t>
      </w:r>
      <w:r>
        <w:rPr>
          <w:rFonts w:ascii="Times New Roman" w:hAnsi="Times New Roman"/>
          <w:sz w:val="24"/>
          <w:szCs w:val="24"/>
        </w:rPr>
        <w:t xml:space="preserve"> [Police Sergeant Michael]</w:t>
      </w:r>
      <w:r w:rsidRPr="0039533E">
        <w:rPr>
          <w:rFonts w:ascii="Times New Roman" w:hAnsi="Times New Roman"/>
          <w:sz w:val="24"/>
          <w:szCs w:val="24"/>
        </w:rPr>
        <w:t xml:space="preserve"> Rand a life jacket for </w:t>
      </w:r>
      <w:r>
        <w:rPr>
          <w:rFonts w:ascii="Times New Roman" w:hAnsi="Times New Roman"/>
          <w:sz w:val="24"/>
          <w:szCs w:val="24"/>
        </w:rPr>
        <w:t xml:space="preserve">[police officer Blake] </w:t>
      </w:r>
      <w:r w:rsidRPr="0039533E">
        <w:rPr>
          <w:rFonts w:ascii="Times New Roman" w:hAnsi="Times New Roman"/>
          <w:sz w:val="24"/>
          <w:szCs w:val="24"/>
        </w:rPr>
        <w:t>Cunningham</w:t>
      </w:r>
      <w:r>
        <w:rPr>
          <w:rFonts w:ascii="Times New Roman" w:hAnsi="Times New Roman"/>
          <w:sz w:val="24"/>
          <w:szCs w:val="24"/>
        </w:rPr>
        <w:t xml:space="preserve"> [a former U.S. Coast Guard rescue swimmer]</w:t>
      </w:r>
      <w:r w:rsidRPr="00A1474A">
        <w:rPr>
          <w:rFonts w:ascii="Times New Roman" w:hAnsi="Times New Roman"/>
          <w:sz w:val="24"/>
          <w:szCs w:val="24"/>
        </w:rPr>
        <w:t>.</w:t>
      </w:r>
    </w:p>
    <w:p w14:paraId="6FD0A13D" w14:textId="77777777" w:rsidR="009622FF" w:rsidRDefault="009622FF" w:rsidP="009622FF">
      <w:pPr>
        <w:ind w:left="720"/>
        <w:rPr>
          <w:rFonts w:ascii="Times New Roman" w:hAnsi="Times New Roman"/>
          <w:sz w:val="24"/>
          <w:szCs w:val="24"/>
        </w:rPr>
      </w:pPr>
      <w:r>
        <w:rPr>
          <w:rFonts w:ascii="Times New Roman" w:hAnsi="Times New Roman"/>
          <w:sz w:val="24"/>
          <w:szCs w:val="24"/>
        </w:rPr>
        <w:t>***</w:t>
      </w:r>
    </w:p>
    <w:p w14:paraId="31C6A376" w14:textId="77777777" w:rsidR="009622FF" w:rsidRPr="0039533E" w:rsidRDefault="009622FF" w:rsidP="009622FF">
      <w:pPr>
        <w:ind w:left="720"/>
        <w:rPr>
          <w:rFonts w:ascii="Times New Roman" w:hAnsi="Times New Roman"/>
          <w:sz w:val="24"/>
          <w:szCs w:val="24"/>
        </w:rPr>
      </w:pPr>
      <w:r w:rsidRPr="0039533E">
        <w:rPr>
          <w:rFonts w:ascii="Times New Roman" w:hAnsi="Times New Roman"/>
          <w:sz w:val="24"/>
          <w:szCs w:val="24"/>
        </w:rPr>
        <w:t>Here, the district court found that no reasonable jury could conclude that Giroux's threat factually or legally caused Cohen's death. See Cohen ex rel. Est. of Cohen v. City of Portland, No. 2:21-CV-00267-</w:t>
      </w:r>
      <w:r w:rsidRPr="0039533E">
        <w:rPr>
          <w:rFonts w:ascii="Times New Roman" w:hAnsi="Times New Roman"/>
          <w:sz w:val="24"/>
          <w:szCs w:val="24"/>
        </w:rPr>
        <w:lastRenderedPageBreak/>
        <w:t>NT, 2023 WL 8187213, at *10 (D. Me. Nov. 27, 2023). Specifically, the court found that a jury could only find causation via a series of increasingly speculative inferences:</w:t>
      </w:r>
    </w:p>
    <w:p w14:paraId="2C79BAEA" w14:textId="77777777" w:rsidR="009622FF" w:rsidRDefault="009622FF" w:rsidP="009622FF">
      <w:pPr>
        <w:ind w:left="1440"/>
        <w:rPr>
          <w:rFonts w:ascii="Times New Roman" w:hAnsi="Times New Roman"/>
          <w:sz w:val="24"/>
          <w:szCs w:val="24"/>
        </w:rPr>
      </w:pPr>
      <w:r w:rsidRPr="0039533E">
        <w:rPr>
          <w:rFonts w:ascii="Times New Roman" w:hAnsi="Times New Roman"/>
          <w:sz w:val="24"/>
          <w:szCs w:val="24"/>
        </w:rPr>
        <w:t>[The jury] would have to find that Cohen could have made the deliberate choice to come to shore while in a state of alleged psychosis, would have been able to get himself to shore after having been in the cold water for twenty minutes already, could have done so faster than the rescue boat ultimately did, and would not have died of hypothermia or drowning if he had started for the shore at the time the comment was made.</w:t>
      </w:r>
      <w:r>
        <w:rPr>
          <w:rFonts w:ascii="Times New Roman" w:hAnsi="Times New Roman"/>
          <w:sz w:val="24"/>
          <w:szCs w:val="24"/>
        </w:rPr>
        <w:t>”</w:t>
      </w:r>
    </w:p>
    <w:p w14:paraId="0A43522F" w14:textId="77777777" w:rsidR="00713EF6" w:rsidRDefault="00713EF6" w:rsidP="00713EF6">
      <w:pPr>
        <w:rPr>
          <w:rFonts w:ascii="Times New Roman" w:hAnsi="Times New Roman"/>
          <w:b/>
          <w:bCs/>
          <w:sz w:val="24"/>
          <w:szCs w:val="24"/>
        </w:rPr>
      </w:pPr>
      <w:r w:rsidRPr="00CB3ACA">
        <w:rPr>
          <w:rFonts w:ascii="Times New Roman" w:hAnsi="Times New Roman"/>
          <w:b/>
          <w:bCs/>
          <w:sz w:val="24"/>
          <w:szCs w:val="24"/>
        </w:rPr>
        <w:t>Legal Lesson Learned: No liability</w:t>
      </w:r>
      <w:r>
        <w:rPr>
          <w:rFonts w:ascii="Times New Roman" w:hAnsi="Times New Roman"/>
          <w:b/>
          <w:bCs/>
          <w:sz w:val="24"/>
          <w:szCs w:val="24"/>
        </w:rPr>
        <w:t xml:space="preserve"> </w:t>
      </w:r>
      <w:r w:rsidRPr="00CB3ACA">
        <w:rPr>
          <w:rFonts w:ascii="Times New Roman" w:hAnsi="Times New Roman"/>
          <w:b/>
          <w:bCs/>
          <w:sz w:val="24"/>
          <w:szCs w:val="24"/>
        </w:rPr>
        <w:t>but avoid making threatening remarks at an emergency scene</w:t>
      </w:r>
      <w:r>
        <w:rPr>
          <w:rFonts w:ascii="Times New Roman" w:hAnsi="Times New Roman"/>
          <w:b/>
          <w:bCs/>
          <w:sz w:val="24"/>
          <w:szCs w:val="24"/>
        </w:rPr>
        <w:t xml:space="preserve">; particularly dealing with psycho patient. </w:t>
      </w:r>
      <w:r w:rsidRPr="00CB3ACA">
        <w:rPr>
          <w:rFonts w:ascii="Times New Roman" w:hAnsi="Times New Roman"/>
          <w:b/>
          <w:bCs/>
          <w:sz w:val="24"/>
          <w:szCs w:val="24"/>
        </w:rPr>
        <w:t xml:space="preserve"> </w:t>
      </w:r>
    </w:p>
    <w:p w14:paraId="53B49057" w14:textId="77777777" w:rsidR="00713EF6" w:rsidRDefault="00713EF6" w:rsidP="00713EF6">
      <w:pPr>
        <w:rPr>
          <w:rFonts w:ascii="Times New Roman" w:hAnsi="Times New Roman"/>
          <w:sz w:val="24"/>
          <w:szCs w:val="24"/>
        </w:rPr>
      </w:pPr>
      <w:r>
        <w:rPr>
          <w:rFonts w:ascii="Times New Roman" w:hAnsi="Times New Roman"/>
          <w:b/>
          <w:bCs/>
          <w:sz w:val="24"/>
          <w:szCs w:val="24"/>
        </w:rPr>
        <w:tab/>
      </w:r>
      <w:r w:rsidRPr="000B0B4D">
        <w:rPr>
          <w:rFonts w:ascii="Times New Roman" w:hAnsi="Times New Roman"/>
          <w:sz w:val="24"/>
          <w:szCs w:val="24"/>
        </w:rPr>
        <w:t xml:space="preserve">Note: Court remarked about </w:t>
      </w:r>
      <w:r>
        <w:rPr>
          <w:rFonts w:ascii="Times New Roman" w:hAnsi="Times New Roman"/>
          <w:sz w:val="24"/>
          <w:szCs w:val="24"/>
        </w:rPr>
        <w:t xml:space="preserve">Police Department’s rescue efforts </w:t>
      </w:r>
      <w:r w:rsidRPr="000B0B4D">
        <w:rPr>
          <w:rFonts w:ascii="Times New Roman" w:hAnsi="Times New Roman"/>
          <w:sz w:val="24"/>
          <w:szCs w:val="24"/>
        </w:rPr>
        <w:t xml:space="preserve">at the scene. </w:t>
      </w:r>
    </w:p>
    <w:p w14:paraId="51124D72" w14:textId="77777777" w:rsidR="00713EF6" w:rsidRPr="00A155F3" w:rsidRDefault="00713EF6" w:rsidP="00713EF6">
      <w:pPr>
        <w:ind w:left="1440"/>
        <w:rPr>
          <w:rFonts w:ascii="Times New Roman" w:hAnsi="Times New Roman"/>
          <w:sz w:val="24"/>
          <w:szCs w:val="24"/>
        </w:rPr>
      </w:pPr>
      <w:r>
        <w:rPr>
          <w:rFonts w:ascii="Times New Roman" w:hAnsi="Times New Roman"/>
          <w:sz w:val="24"/>
          <w:szCs w:val="24"/>
        </w:rPr>
        <w:t>“’</w:t>
      </w:r>
      <w:r w:rsidRPr="00F57035">
        <w:rPr>
          <w:rFonts w:ascii="Times New Roman" w:hAnsi="Times New Roman"/>
          <w:sz w:val="24"/>
          <w:szCs w:val="24"/>
        </w:rPr>
        <w:t>Protect and serve</w:t>
      </w:r>
      <w:r>
        <w:rPr>
          <w:rFonts w:ascii="Times New Roman" w:hAnsi="Times New Roman"/>
          <w:sz w:val="24"/>
          <w:szCs w:val="24"/>
        </w:rPr>
        <w:t>’</w:t>
      </w:r>
      <w:r w:rsidRPr="00F57035">
        <w:rPr>
          <w:rFonts w:ascii="Times New Roman" w:hAnsi="Times New Roman"/>
          <w:sz w:val="24"/>
          <w:szCs w:val="24"/>
        </w:rPr>
        <w:t xml:space="preserve"> is the motto of the Portland Police Department. Even acknowledging the challenge posed by Cohen's behavior, the efforts of the responding officers likely fell short of the aspirations behind that motto. </w:t>
      </w:r>
      <w:proofErr w:type="gramStart"/>
      <w:r w:rsidRPr="00F57035">
        <w:rPr>
          <w:rFonts w:ascii="Times New Roman" w:hAnsi="Times New Roman"/>
          <w:sz w:val="24"/>
          <w:szCs w:val="24"/>
        </w:rPr>
        <w:t>That being said, this</w:t>
      </w:r>
      <w:proofErr w:type="gramEnd"/>
      <w:r w:rsidRPr="00F57035">
        <w:rPr>
          <w:rFonts w:ascii="Times New Roman" w:hAnsi="Times New Roman"/>
          <w:sz w:val="24"/>
          <w:szCs w:val="24"/>
        </w:rPr>
        <w:t xml:space="preserve"> appeal turns on whether any defendant violated Cohen's constitutional rights. And for the foregoing reasons, the answer is clearly no. The district court's dismissal and summary judgment orders are therefore affirmed.</w:t>
      </w:r>
      <w:r>
        <w:rPr>
          <w:rFonts w:ascii="Times New Roman" w:hAnsi="Times New Roman"/>
          <w:sz w:val="24"/>
          <w:szCs w:val="24"/>
        </w:rPr>
        <w:t>”</w:t>
      </w:r>
    </w:p>
    <w:p w14:paraId="6B25D127" w14:textId="77777777" w:rsidR="00AB3777" w:rsidRDefault="00AB3777" w:rsidP="000C4DF5">
      <w:pPr>
        <w:pStyle w:val="NoSpacing"/>
        <w:rPr>
          <w:rFonts w:ascii="Arial Black" w:hAnsi="Arial Black"/>
          <w:sz w:val="24"/>
          <w:szCs w:val="24"/>
        </w:rPr>
      </w:pPr>
    </w:p>
    <w:p w14:paraId="1C0B9EB6" w14:textId="77777777" w:rsidR="00AB3777" w:rsidRDefault="00AB3777" w:rsidP="000C4DF5">
      <w:pPr>
        <w:pStyle w:val="NoSpacing"/>
        <w:rPr>
          <w:rFonts w:ascii="Arial Black" w:hAnsi="Arial Black"/>
          <w:sz w:val="24"/>
          <w:szCs w:val="24"/>
        </w:rPr>
      </w:pPr>
    </w:p>
    <w:p w14:paraId="38BA5786" w14:textId="65E1A1DE" w:rsidR="00C825BD" w:rsidRDefault="00C825BD" w:rsidP="000C4DF5">
      <w:pPr>
        <w:pStyle w:val="NoSpacing"/>
        <w:rPr>
          <w:rFonts w:ascii="Arial Black" w:hAnsi="Arial Black"/>
          <w:sz w:val="24"/>
          <w:szCs w:val="24"/>
        </w:rPr>
      </w:pPr>
      <w:r>
        <w:rPr>
          <w:rFonts w:ascii="Arial Black" w:hAnsi="Arial Black"/>
          <w:sz w:val="24"/>
          <w:szCs w:val="24"/>
        </w:rPr>
        <w:t>15-31</w:t>
      </w:r>
    </w:p>
    <w:p w14:paraId="1D93AEC6" w14:textId="77777777" w:rsidR="00AE4AE1" w:rsidRPr="009B0477" w:rsidRDefault="00AE4AE1" w:rsidP="00AE4AE1">
      <w:pPr>
        <w:pStyle w:val="NormalWeb"/>
        <w:rPr>
          <w:rFonts w:ascii="Arial Black" w:hAnsi="Arial Black"/>
          <w:sz w:val="28"/>
          <w:szCs w:val="28"/>
        </w:rPr>
      </w:pPr>
      <w:r>
        <w:rPr>
          <w:rFonts w:ascii="Arial Black" w:hAnsi="Arial Black"/>
          <w:sz w:val="28"/>
          <w:szCs w:val="28"/>
        </w:rPr>
        <w:t>WA: FF WITH PTSD IN 2010 – NO INJURY / NO WORKERS COMP – LAW CHANGED 2018 BUT LAW NOT RETROACTIVE</w:t>
      </w:r>
    </w:p>
    <w:p w14:paraId="45A4AEBB" w14:textId="77777777" w:rsidR="00AE4AE1" w:rsidRPr="00AE4AE1" w:rsidRDefault="00AE4AE1" w:rsidP="00AE4AE1">
      <w:pPr>
        <w:pStyle w:val="NormalWeb"/>
      </w:pPr>
      <w:r w:rsidRPr="00AE4AE1">
        <w:t xml:space="preserve">On May 2, 2024, in </w:t>
      </w:r>
      <w:r w:rsidRPr="00AE4AE1">
        <w:rPr>
          <w:u w:val="single"/>
        </w:rPr>
        <w:t>Frank Shaw v. Kittitas Valley Fire and Rescue, et al.</w:t>
      </w:r>
      <w:r w:rsidRPr="00AE4AE1">
        <w:t xml:space="preserve">, the Court of Appeals of Washington, Division 3, held (3 to 1; unpublished opinion), that the firefighter paramedic (1989 – 2007) was not entitled to workers’ compensation since he suffered no physical injury. On June 7, 2018, the laws in Washington changed, to allow for occupational disease claims resulting from PTSD for certain firefighters, in an amendment to the Industrial Insurance Act, Title 51 RCW. </w:t>
      </w:r>
      <w:r w:rsidRPr="00AE4AE1">
        <w:rPr>
          <w:rStyle w:val="Emphasis"/>
          <w:rFonts w:eastAsiaTheme="majorEastAsia"/>
        </w:rPr>
        <w:t>See</w:t>
      </w:r>
      <w:r w:rsidRPr="00AE4AE1">
        <w:t xml:space="preserve"> former RCW 51.08.142 (2018); Laws of 2018, ch. 264. The Court held:</w:t>
      </w:r>
    </w:p>
    <w:p w14:paraId="0D6D8B56" w14:textId="59D01CBD" w:rsidR="00C825BD" w:rsidRDefault="00AE4AE1" w:rsidP="00AE4AE1">
      <w:pPr>
        <w:pStyle w:val="NoSpacing"/>
        <w:ind w:left="720"/>
        <w:rPr>
          <w:rStyle w:val="Hyperlink"/>
          <w:rFonts w:ascii="Times New Roman" w:hAnsi="Times New Roman"/>
          <w:sz w:val="24"/>
          <w:szCs w:val="24"/>
        </w:rPr>
      </w:pPr>
      <w:r w:rsidRPr="00AE4AE1">
        <w:rPr>
          <w:rFonts w:ascii="Times New Roman" w:hAnsi="Times New Roman"/>
          <w:sz w:val="24"/>
          <w:szCs w:val="24"/>
        </w:rPr>
        <w:t xml:space="preserve">“Looking first to the retroactivity test, the legislature did not adopt any language explicitly providing for retroactivity. Mr. Shaw argues that the legislature's choice of various adjectives and verbs </w:t>
      </w:r>
      <w:proofErr w:type="gramStart"/>
      <w:r w:rsidRPr="00AE4AE1">
        <w:rPr>
          <w:rFonts w:ascii="Times New Roman" w:hAnsi="Times New Roman"/>
          <w:sz w:val="24"/>
          <w:szCs w:val="24"/>
        </w:rPr>
        <w:t>reveal</w:t>
      </w:r>
      <w:proofErr w:type="gramEnd"/>
      <w:r w:rsidRPr="00AE4AE1">
        <w:rPr>
          <w:rFonts w:ascii="Times New Roman" w:hAnsi="Times New Roman"/>
          <w:sz w:val="24"/>
          <w:szCs w:val="24"/>
        </w:rPr>
        <w:t xml:space="preserve"> retroactive intent. We reject this reasoning. An explicit choice as to retroactivity is not one that turns on analyzing subtle textual clues. The legislature </w:t>
      </w:r>
      <w:proofErr w:type="gramStart"/>
      <w:r w:rsidRPr="00AE4AE1">
        <w:rPr>
          <w:rFonts w:ascii="Times New Roman" w:hAnsi="Times New Roman"/>
          <w:sz w:val="24"/>
          <w:szCs w:val="24"/>
        </w:rPr>
        <w:t>is well aware that</w:t>
      </w:r>
      <w:proofErr w:type="gramEnd"/>
      <w:r w:rsidRPr="00AE4AE1">
        <w:rPr>
          <w:rFonts w:ascii="Times New Roman" w:hAnsi="Times New Roman"/>
          <w:sz w:val="24"/>
          <w:szCs w:val="24"/>
        </w:rPr>
        <w:t xml:space="preserve"> it must make an explicit declaration if it intends a statute to have retroactive effect. It is accustomed to passing statutes with clear and explicit statements as to retroactivity. </w:t>
      </w:r>
      <w:r w:rsidRPr="00AE4AE1">
        <w:rPr>
          <w:rStyle w:val="Emphasis"/>
          <w:rFonts w:ascii="Times New Roman" w:eastAsiaTheme="majorEastAsia" w:hAnsi="Times New Roman"/>
          <w:sz w:val="24"/>
          <w:szCs w:val="24"/>
        </w:rPr>
        <w:t>See, e.g.</w:t>
      </w:r>
      <w:r w:rsidRPr="00AE4AE1">
        <w:rPr>
          <w:rFonts w:ascii="Times New Roman" w:hAnsi="Times New Roman"/>
          <w:sz w:val="24"/>
          <w:szCs w:val="24"/>
        </w:rPr>
        <w:t xml:space="preserve">, RCW 51.32.187(5)(c); RCW 67.16.300; Laws of 2023, ch. 171 § 13; Laws of 2019, ch. 159 § 6; Laws of 2007, ch. 317, § 3. But no explicit statement was made here. Mr. Shaw's arguments to the contrary </w:t>
      </w:r>
      <w:proofErr w:type="gramStart"/>
      <w:r w:rsidRPr="00AE4AE1">
        <w:rPr>
          <w:rFonts w:ascii="Times New Roman" w:hAnsi="Times New Roman"/>
          <w:sz w:val="24"/>
          <w:szCs w:val="24"/>
        </w:rPr>
        <w:t>fail</w:t>
      </w:r>
      <w:proofErr w:type="gramEnd"/>
      <w:r w:rsidRPr="00AE4AE1">
        <w:rPr>
          <w:rFonts w:ascii="Times New Roman" w:hAnsi="Times New Roman"/>
          <w:sz w:val="24"/>
          <w:szCs w:val="24"/>
        </w:rPr>
        <w:t xml:space="preserve">.” </w:t>
      </w:r>
      <w:hyperlink r:id="rId2464" w:history="1">
        <w:r w:rsidRPr="00AE4AE1">
          <w:rPr>
            <w:rStyle w:val="Hyperlink"/>
            <w:rFonts w:ascii="Times New Roman" w:hAnsi="Times New Roman"/>
            <w:sz w:val="24"/>
            <w:szCs w:val="24"/>
          </w:rPr>
          <w:t>https://casetext.com/case/shaw-v-kittitas-valley-fire-rescue</w:t>
        </w:r>
      </w:hyperlink>
    </w:p>
    <w:p w14:paraId="2BAA0A7A" w14:textId="77777777" w:rsidR="000E1441" w:rsidRDefault="000E1441" w:rsidP="00AE4AE1">
      <w:pPr>
        <w:pStyle w:val="NoSpacing"/>
        <w:ind w:left="720"/>
        <w:rPr>
          <w:rStyle w:val="Hyperlink"/>
          <w:rFonts w:ascii="Times New Roman" w:hAnsi="Times New Roman"/>
          <w:sz w:val="24"/>
          <w:szCs w:val="24"/>
        </w:rPr>
      </w:pPr>
    </w:p>
    <w:p w14:paraId="518329DF" w14:textId="77777777" w:rsidR="000E1441" w:rsidRDefault="000E1441" w:rsidP="000E1441">
      <w:pPr>
        <w:pStyle w:val="NormalWeb"/>
        <w:rPr>
          <w:b/>
          <w:bCs/>
        </w:rPr>
      </w:pPr>
      <w:r w:rsidRPr="00551B71">
        <w:rPr>
          <w:b/>
          <w:bCs/>
        </w:rPr>
        <w:t>Legal Lesson Learned:</w:t>
      </w:r>
      <w:r>
        <w:rPr>
          <w:b/>
          <w:bCs/>
        </w:rPr>
        <w:t xml:space="preserve"> PTSD statute was not retroactive. </w:t>
      </w:r>
    </w:p>
    <w:p w14:paraId="2FEA4281" w14:textId="77777777" w:rsidR="000E1441" w:rsidRDefault="000E1441" w:rsidP="000E1441">
      <w:pPr>
        <w:pStyle w:val="NormalWeb"/>
        <w:ind w:left="720"/>
      </w:pPr>
      <w:r w:rsidRPr="00145389">
        <w:t>Note: See this law f</w:t>
      </w:r>
      <w:r>
        <w:t>i</w:t>
      </w:r>
      <w:r w:rsidRPr="00145389">
        <w:t xml:space="preserve">rm review of new WA law. </w:t>
      </w:r>
      <w:hyperlink r:id="rId2465" w:history="1">
        <w:r w:rsidRPr="00145389">
          <w:rPr>
            <w:rStyle w:val="Hyperlink"/>
          </w:rPr>
          <w:t>https://www.firstresponderptsdclaims.com/faq/</w:t>
        </w:r>
      </w:hyperlink>
      <w:r w:rsidRPr="00145389">
        <w:t xml:space="preserve"> </w:t>
      </w:r>
    </w:p>
    <w:p w14:paraId="49061752" w14:textId="77777777" w:rsidR="000E1441" w:rsidRDefault="000E1441" w:rsidP="000E1441">
      <w:pPr>
        <w:pStyle w:val="NormalWeb"/>
        <w:ind w:left="720"/>
      </w:pPr>
      <w:r>
        <w:lastRenderedPageBreak/>
        <w:t>“Eligible ‘</w:t>
      </w:r>
      <w:proofErr w:type="gramStart"/>
      <w:r>
        <w:t>firefighters’</w:t>
      </w:r>
      <w:proofErr w:type="gramEnd"/>
      <w:r>
        <w:t xml:space="preserve"> must meet at least one of the definitions set forth in </w:t>
      </w:r>
      <w:hyperlink r:id="rId2466" w:tgtFrame="_blank" w:history="1">
        <w:r>
          <w:rPr>
            <w:rStyle w:val="Hyperlink"/>
            <w:rFonts w:eastAsiaTheme="majorEastAsia"/>
          </w:rPr>
          <w:t>RCW 41.26.030(17)(a)(b)(c) and (h)</w:t>
        </w:r>
      </w:hyperlink>
      <w:r>
        <w:t>, which include:</w:t>
      </w:r>
    </w:p>
    <w:p w14:paraId="09B97112" w14:textId="77777777" w:rsidR="000E1441" w:rsidRPr="00A8246F" w:rsidRDefault="000E1441" w:rsidP="000E1441">
      <w:pPr>
        <w:numPr>
          <w:ilvl w:val="0"/>
          <w:numId w:val="21"/>
        </w:numPr>
        <w:spacing w:before="100" w:beforeAutospacing="1" w:after="100" w:afterAutospacing="1" w:line="240" w:lineRule="auto"/>
        <w:rPr>
          <w:rFonts w:ascii="Times New Roman" w:hAnsi="Times New Roman"/>
          <w:sz w:val="24"/>
          <w:szCs w:val="24"/>
        </w:rPr>
      </w:pPr>
      <w:r w:rsidRPr="00A8246F">
        <w:rPr>
          <w:rFonts w:ascii="Times New Roman" w:hAnsi="Times New Roman"/>
          <w:sz w:val="24"/>
          <w:szCs w:val="24"/>
        </w:rPr>
        <w:t>Any person who is serving on a full time, fully compensated basis as a member of a fire department of an employer and who is serving in a position which requires passing a civil service examination for firefighter, and who is actively employed as such;</w:t>
      </w:r>
    </w:p>
    <w:p w14:paraId="2A336F92" w14:textId="77777777" w:rsidR="000E1441" w:rsidRPr="00A8246F" w:rsidRDefault="000E1441" w:rsidP="000E1441">
      <w:pPr>
        <w:numPr>
          <w:ilvl w:val="0"/>
          <w:numId w:val="21"/>
        </w:numPr>
        <w:spacing w:before="100" w:beforeAutospacing="1" w:after="100" w:afterAutospacing="1" w:line="240" w:lineRule="auto"/>
        <w:rPr>
          <w:rFonts w:ascii="Times New Roman" w:hAnsi="Times New Roman"/>
          <w:sz w:val="24"/>
          <w:szCs w:val="24"/>
        </w:rPr>
      </w:pPr>
      <w:r w:rsidRPr="00A8246F">
        <w:rPr>
          <w:rFonts w:ascii="Times New Roman" w:hAnsi="Times New Roman"/>
          <w:sz w:val="24"/>
          <w:szCs w:val="24"/>
        </w:rPr>
        <w:t xml:space="preserve">Anyone who is actively employed as a </w:t>
      </w:r>
      <w:proofErr w:type="gramStart"/>
      <w:r w:rsidRPr="00A8246F">
        <w:rPr>
          <w:rFonts w:ascii="Times New Roman" w:hAnsi="Times New Roman"/>
          <w:sz w:val="24"/>
          <w:szCs w:val="24"/>
        </w:rPr>
        <w:t>full time</w:t>
      </w:r>
      <w:proofErr w:type="gramEnd"/>
      <w:r w:rsidRPr="00A8246F">
        <w:rPr>
          <w:rFonts w:ascii="Times New Roman" w:hAnsi="Times New Roman"/>
          <w:sz w:val="24"/>
          <w:szCs w:val="24"/>
        </w:rPr>
        <w:t xml:space="preserve"> firefighter where the fire department does not have a civil service examination;</w:t>
      </w:r>
    </w:p>
    <w:p w14:paraId="124BF814" w14:textId="77777777" w:rsidR="000E1441" w:rsidRPr="00A8246F" w:rsidRDefault="000E1441" w:rsidP="000E1441">
      <w:pPr>
        <w:numPr>
          <w:ilvl w:val="0"/>
          <w:numId w:val="21"/>
        </w:numPr>
        <w:spacing w:before="100" w:beforeAutospacing="1" w:after="100" w:afterAutospacing="1" w:line="240" w:lineRule="auto"/>
        <w:rPr>
          <w:rFonts w:ascii="Times New Roman" w:hAnsi="Times New Roman"/>
          <w:sz w:val="24"/>
          <w:szCs w:val="24"/>
        </w:rPr>
      </w:pPr>
      <w:r w:rsidRPr="00A8246F">
        <w:rPr>
          <w:rFonts w:ascii="Times New Roman" w:hAnsi="Times New Roman"/>
          <w:sz w:val="24"/>
          <w:szCs w:val="24"/>
        </w:rPr>
        <w:t>Supervisory firefighter personnel; and,</w:t>
      </w:r>
    </w:p>
    <w:p w14:paraId="0778C80C" w14:textId="77777777" w:rsidR="000E1441" w:rsidRPr="00A8246F" w:rsidRDefault="000E1441" w:rsidP="000E1441">
      <w:pPr>
        <w:numPr>
          <w:ilvl w:val="0"/>
          <w:numId w:val="21"/>
        </w:numPr>
        <w:spacing w:before="100" w:beforeAutospacing="1" w:after="100" w:afterAutospacing="1" w:line="240" w:lineRule="auto"/>
        <w:rPr>
          <w:rFonts w:ascii="Times New Roman" w:hAnsi="Times New Roman"/>
          <w:sz w:val="24"/>
          <w:szCs w:val="24"/>
        </w:rPr>
      </w:pPr>
      <w:r w:rsidRPr="00A8246F">
        <w:rPr>
          <w:rFonts w:ascii="Times New Roman" w:hAnsi="Times New Roman"/>
          <w:sz w:val="24"/>
          <w:szCs w:val="24"/>
        </w:rPr>
        <w:t xml:space="preserve">Any person who is employed on a full-time, fully compensated basis by an employer as an emergency medical technician that meets the requirements of </w:t>
      </w:r>
      <w:hyperlink r:id="rId2467" w:tgtFrame="_blank" w:history="1">
        <w:r w:rsidRPr="00A8246F">
          <w:rPr>
            <w:rStyle w:val="Hyperlink"/>
            <w:rFonts w:ascii="Times New Roman" w:hAnsi="Times New Roman"/>
            <w:sz w:val="24"/>
            <w:szCs w:val="24"/>
          </w:rPr>
          <w:t>RCW 18.71.200</w:t>
        </w:r>
      </w:hyperlink>
      <w:r w:rsidRPr="00A8246F">
        <w:rPr>
          <w:rFonts w:ascii="Times New Roman" w:hAnsi="Times New Roman"/>
          <w:sz w:val="24"/>
          <w:szCs w:val="24"/>
        </w:rPr>
        <w:t> or </w:t>
      </w:r>
      <w:hyperlink r:id="rId2468" w:tgtFrame="_blank" w:history="1">
        <w:r w:rsidRPr="00A8246F">
          <w:rPr>
            <w:rStyle w:val="Hyperlink"/>
            <w:rFonts w:ascii="Times New Roman" w:hAnsi="Times New Roman"/>
            <w:sz w:val="24"/>
            <w:szCs w:val="24"/>
          </w:rPr>
          <w:t>18.73.030(12)</w:t>
        </w:r>
      </w:hyperlink>
      <w:r w:rsidRPr="00A8246F">
        <w:rPr>
          <w:rFonts w:ascii="Times New Roman" w:hAnsi="Times New Roman"/>
          <w:sz w:val="24"/>
          <w:szCs w:val="24"/>
        </w:rPr>
        <w:t xml:space="preserve">, and whose duties include providing emergency medical services as defined in </w:t>
      </w:r>
      <w:hyperlink r:id="rId2469" w:tgtFrame="_blank" w:history="1">
        <w:r w:rsidRPr="00A8246F">
          <w:rPr>
            <w:rStyle w:val="Hyperlink"/>
            <w:rFonts w:ascii="Times New Roman" w:hAnsi="Times New Roman"/>
            <w:sz w:val="24"/>
            <w:szCs w:val="24"/>
          </w:rPr>
          <w:t>RCW 18.73.030</w:t>
        </w:r>
      </w:hyperlink>
      <w:r w:rsidRPr="00A8246F">
        <w:rPr>
          <w:rFonts w:ascii="Times New Roman" w:hAnsi="Times New Roman"/>
          <w:sz w:val="24"/>
          <w:szCs w:val="24"/>
        </w:rPr>
        <w:t>.</w:t>
      </w:r>
    </w:p>
    <w:p w14:paraId="3F9F315A" w14:textId="77777777" w:rsidR="000E1441" w:rsidRPr="00145389" w:rsidRDefault="000E1441" w:rsidP="000E1441">
      <w:pPr>
        <w:spacing w:before="100" w:beforeAutospacing="1" w:after="100" w:afterAutospacing="1" w:line="240" w:lineRule="auto"/>
        <w:ind w:left="720"/>
      </w:pPr>
      <w:r>
        <w:t>***</w:t>
      </w:r>
    </w:p>
    <w:p w14:paraId="59351DFD" w14:textId="77777777" w:rsidR="000E1441" w:rsidRPr="00551B71" w:rsidRDefault="000E1441" w:rsidP="000E1441">
      <w:pPr>
        <w:pStyle w:val="NormalWeb"/>
        <w:ind w:left="720"/>
        <w:rPr>
          <w:b/>
          <w:bCs/>
        </w:rPr>
      </w:pPr>
      <w:r>
        <w:t>Washington State is taking steps to help our firefighters, paramedics, and police officers suffering from PTSD due to their inherently stressful jobs. More work remains to be done as the new law does not apply to volunteer firefighters, reserve police officers or other professional first responders depending upon their membership in certain state retirement plans.”</w:t>
      </w:r>
    </w:p>
    <w:p w14:paraId="5B1BB888" w14:textId="77777777" w:rsidR="000E1441" w:rsidRPr="00AE4AE1" w:rsidRDefault="000E1441" w:rsidP="00AE4AE1">
      <w:pPr>
        <w:pStyle w:val="NoSpacing"/>
        <w:ind w:left="720"/>
        <w:rPr>
          <w:rFonts w:ascii="Times New Roman" w:hAnsi="Times New Roman"/>
          <w:sz w:val="24"/>
          <w:szCs w:val="24"/>
        </w:rPr>
      </w:pPr>
    </w:p>
    <w:p w14:paraId="6067544E" w14:textId="77777777" w:rsidR="00C825BD" w:rsidRDefault="00C825BD" w:rsidP="000C4DF5">
      <w:pPr>
        <w:pStyle w:val="NoSpacing"/>
        <w:rPr>
          <w:rFonts w:ascii="Arial Black" w:hAnsi="Arial Black"/>
          <w:sz w:val="24"/>
          <w:szCs w:val="24"/>
        </w:rPr>
      </w:pPr>
    </w:p>
    <w:p w14:paraId="21EAC371" w14:textId="5FBC932F" w:rsidR="00725A91" w:rsidRDefault="00725A91" w:rsidP="000C4DF5">
      <w:pPr>
        <w:pStyle w:val="NoSpacing"/>
        <w:rPr>
          <w:rFonts w:ascii="Arial Black" w:hAnsi="Arial Black"/>
          <w:sz w:val="24"/>
          <w:szCs w:val="24"/>
        </w:rPr>
      </w:pPr>
      <w:r>
        <w:rPr>
          <w:rFonts w:ascii="Arial Black" w:hAnsi="Arial Black"/>
          <w:sz w:val="24"/>
          <w:szCs w:val="24"/>
        </w:rPr>
        <w:t>15-30</w:t>
      </w:r>
    </w:p>
    <w:p w14:paraId="43EFE65C" w14:textId="77777777" w:rsidR="00725A91" w:rsidRDefault="00725A91" w:rsidP="00725A91">
      <w:pPr>
        <w:pStyle w:val="NormalWeb"/>
        <w:rPr>
          <w:rFonts w:ascii="Arial Black" w:hAnsi="Arial Black"/>
          <w:sz w:val="28"/>
          <w:szCs w:val="28"/>
        </w:rPr>
      </w:pPr>
      <w:r>
        <w:rPr>
          <w:rFonts w:ascii="Arial Black" w:hAnsi="Arial Black"/>
          <w:sz w:val="28"/>
          <w:szCs w:val="28"/>
        </w:rPr>
        <w:t>AR: PTSD – CAREER FF DISABILITY RETIREMENT – BUT STILL VOL. FF – NOT ELIGIBLE DUTY- RELATED DISABILITY</w:t>
      </w:r>
    </w:p>
    <w:p w14:paraId="656533CE" w14:textId="77777777" w:rsidR="00725A91" w:rsidRDefault="00725A91" w:rsidP="00725A91">
      <w:pPr>
        <w:pStyle w:val="NoSpacing"/>
        <w:rPr>
          <w:rFonts w:ascii="Times New Roman" w:hAnsi="Times New Roman"/>
          <w:sz w:val="24"/>
          <w:szCs w:val="24"/>
        </w:rPr>
      </w:pPr>
      <w:r w:rsidRPr="006C40B3">
        <w:rPr>
          <w:rFonts w:ascii="Times New Roman" w:hAnsi="Times New Roman"/>
          <w:sz w:val="24"/>
          <w:szCs w:val="24"/>
        </w:rPr>
        <w:t xml:space="preserve">On April 24, 2024, in </w:t>
      </w:r>
      <w:r w:rsidRPr="006C40B3">
        <w:rPr>
          <w:rFonts w:ascii="Times New Roman" w:hAnsi="Times New Roman"/>
          <w:sz w:val="24"/>
          <w:szCs w:val="24"/>
          <w:u w:val="single"/>
        </w:rPr>
        <w:t xml:space="preserve">Gregory Mills v. Arkansas Local Police </w:t>
      </w:r>
      <w:proofErr w:type="gramStart"/>
      <w:r w:rsidRPr="006C40B3">
        <w:rPr>
          <w:rFonts w:ascii="Times New Roman" w:hAnsi="Times New Roman"/>
          <w:sz w:val="24"/>
          <w:szCs w:val="24"/>
          <w:u w:val="single"/>
        </w:rPr>
        <w:t>And</w:t>
      </w:r>
      <w:proofErr w:type="gramEnd"/>
      <w:r w:rsidRPr="006C40B3">
        <w:rPr>
          <w:rFonts w:ascii="Times New Roman" w:hAnsi="Times New Roman"/>
          <w:sz w:val="24"/>
          <w:szCs w:val="24"/>
          <w:u w:val="single"/>
        </w:rPr>
        <w:t xml:space="preserve"> Fire Retirement System</w:t>
      </w:r>
      <w:r w:rsidRPr="006C40B3">
        <w:rPr>
          <w:rFonts w:ascii="Times New Roman" w:hAnsi="Times New Roman"/>
          <w:sz w:val="24"/>
          <w:szCs w:val="24"/>
        </w:rPr>
        <w:t xml:space="preserve">, the Arkansas Court of Appeals held (3 to 0) the retirement Board decision was supported by substantial evidence. </w:t>
      </w:r>
      <w:r>
        <w:rPr>
          <w:rFonts w:ascii="Times New Roman" w:hAnsi="Times New Roman"/>
          <w:sz w:val="24"/>
          <w:szCs w:val="24"/>
        </w:rPr>
        <w:t xml:space="preserve"> Oct. 2019 FD placed him on medical leave when informed by his doctor needed to avoid trauma events; terminated April 4, </w:t>
      </w:r>
      <w:proofErr w:type="gramStart"/>
      <w:r>
        <w:rPr>
          <w:rFonts w:ascii="Times New Roman" w:hAnsi="Times New Roman"/>
          <w:sz w:val="24"/>
          <w:szCs w:val="24"/>
        </w:rPr>
        <w:t>2020</w:t>
      </w:r>
      <w:proofErr w:type="gramEnd"/>
      <w:r>
        <w:rPr>
          <w:rFonts w:ascii="Times New Roman" w:hAnsi="Times New Roman"/>
          <w:sz w:val="24"/>
          <w:szCs w:val="24"/>
        </w:rPr>
        <w:t xml:space="preserve"> when he was </w:t>
      </w:r>
      <w:proofErr w:type="gramStart"/>
      <w:r>
        <w:rPr>
          <w:rFonts w:ascii="Times New Roman" w:hAnsi="Times New Roman"/>
          <w:sz w:val="24"/>
          <w:szCs w:val="24"/>
        </w:rPr>
        <w:t>approved</w:t>
      </w:r>
      <w:proofErr w:type="gramEnd"/>
      <w:r>
        <w:rPr>
          <w:rFonts w:ascii="Times New Roman" w:hAnsi="Times New Roman"/>
          <w:sz w:val="24"/>
          <w:szCs w:val="24"/>
        </w:rPr>
        <w:t xml:space="preserve"> long-term disability.  Retirement board rejected his claim for duty-related disability retirement benefits since he is still running as a volunteer at another FD; trial court agreed.   State statute:  </w:t>
      </w:r>
    </w:p>
    <w:p w14:paraId="7681649D" w14:textId="77777777" w:rsidR="00725A91" w:rsidRDefault="00725A91" w:rsidP="00725A91">
      <w:pPr>
        <w:pStyle w:val="NoSpacing"/>
        <w:rPr>
          <w:rFonts w:ascii="Times New Roman" w:hAnsi="Times New Roman"/>
          <w:sz w:val="24"/>
          <w:szCs w:val="24"/>
        </w:rPr>
      </w:pPr>
    </w:p>
    <w:p w14:paraId="5CFDC1C3" w14:textId="77777777" w:rsidR="00725A91" w:rsidRPr="00ED333B" w:rsidRDefault="00725A91" w:rsidP="00725A91">
      <w:pPr>
        <w:pStyle w:val="NoSpacing"/>
        <w:ind w:firstLine="720"/>
        <w:rPr>
          <w:rFonts w:ascii="Times New Roman" w:hAnsi="Times New Roman"/>
          <w:sz w:val="24"/>
          <w:szCs w:val="24"/>
        </w:rPr>
      </w:pPr>
      <w:r>
        <w:rPr>
          <w:rFonts w:ascii="Times New Roman" w:hAnsi="Times New Roman"/>
          <w:sz w:val="24"/>
          <w:szCs w:val="24"/>
        </w:rPr>
        <w:t>“</w:t>
      </w:r>
      <w:r w:rsidRPr="00ED333B">
        <w:rPr>
          <w:rFonts w:ascii="Times New Roman" w:hAnsi="Times New Roman"/>
          <w:sz w:val="24"/>
          <w:szCs w:val="24"/>
        </w:rPr>
        <w:t>Any active member who while an active member becomes totally and</w:t>
      </w:r>
    </w:p>
    <w:p w14:paraId="0DFF30E2" w14:textId="77777777" w:rsidR="00725A91" w:rsidRPr="00ED333B" w:rsidRDefault="00725A91" w:rsidP="00725A91">
      <w:pPr>
        <w:pStyle w:val="NoSpacing"/>
        <w:ind w:firstLine="720"/>
        <w:rPr>
          <w:rFonts w:ascii="Times New Roman" w:hAnsi="Times New Roman"/>
          <w:sz w:val="24"/>
          <w:szCs w:val="24"/>
        </w:rPr>
      </w:pPr>
      <w:r w:rsidRPr="00ED333B">
        <w:rPr>
          <w:rFonts w:ascii="Times New Roman" w:hAnsi="Times New Roman"/>
          <w:sz w:val="24"/>
          <w:szCs w:val="24"/>
        </w:rPr>
        <w:t>permanently physically or mentally incapacitated for any suitable duty as an employee</w:t>
      </w:r>
    </w:p>
    <w:p w14:paraId="1202F5D1" w14:textId="77777777" w:rsidR="00725A91" w:rsidRPr="00ED333B" w:rsidRDefault="00725A91" w:rsidP="00725A91">
      <w:pPr>
        <w:pStyle w:val="NoSpacing"/>
        <w:ind w:firstLine="720"/>
        <w:rPr>
          <w:rFonts w:ascii="Times New Roman" w:hAnsi="Times New Roman"/>
          <w:sz w:val="24"/>
          <w:szCs w:val="24"/>
        </w:rPr>
      </w:pPr>
      <w:r w:rsidRPr="00ED333B">
        <w:rPr>
          <w:rFonts w:ascii="Times New Roman" w:hAnsi="Times New Roman"/>
          <w:sz w:val="24"/>
          <w:szCs w:val="24"/>
        </w:rPr>
        <w:t>as the result of a personal injury or disease that the board finds to have arisen out of</w:t>
      </w:r>
    </w:p>
    <w:p w14:paraId="169D10BF" w14:textId="77777777" w:rsidR="00725A91" w:rsidRPr="006C7C3B" w:rsidRDefault="00725A91" w:rsidP="00725A91">
      <w:pPr>
        <w:pStyle w:val="NoSpacing"/>
        <w:ind w:firstLine="720"/>
        <w:rPr>
          <w:rFonts w:ascii="Times New Roman" w:hAnsi="Times New Roman"/>
          <w:sz w:val="24"/>
          <w:szCs w:val="24"/>
        </w:rPr>
      </w:pPr>
      <w:r w:rsidRPr="00ED333B">
        <w:rPr>
          <w:rFonts w:ascii="Times New Roman" w:hAnsi="Times New Roman"/>
          <w:sz w:val="24"/>
          <w:szCs w:val="24"/>
        </w:rPr>
        <w:t xml:space="preserve">and </w:t>
      </w:r>
      <w:proofErr w:type="gramStart"/>
      <w:r w:rsidRPr="00ED333B">
        <w:rPr>
          <w:rFonts w:ascii="Times New Roman" w:hAnsi="Times New Roman"/>
          <w:sz w:val="24"/>
          <w:szCs w:val="24"/>
        </w:rPr>
        <w:t>in the course of</w:t>
      </w:r>
      <w:proofErr w:type="gramEnd"/>
      <w:r w:rsidRPr="00ED333B">
        <w:rPr>
          <w:rFonts w:ascii="Times New Roman" w:hAnsi="Times New Roman"/>
          <w:sz w:val="24"/>
          <w:szCs w:val="24"/>
        </w:rPr>
        <w:t xml:space="preserve"> his or her actual performance of duty as an employee may be</w:t>
      </w:r>
      <w:r>
        <w:rPr>
          <w:rFonts w:ascii="Times New Roman" w:hAnsi="Times New Roman"/>
          <w:sz w:val="24"/>
          <w:szCs w:val="24"/>
        </w:rPr>
        <w:t xml:space="preserve"> </w:t>
      </w:r>
      <w:r w:rsidRPr="006C7C3B">
        <w:rPr>
          <w:rFonts w:ascii="Times New Roman" w:hAnsi="Times New Roman"/>
          <w:sz w:val="24"/>
          <w:szCs w:val="24"/>
        </w:rPr>
        <w:t>3</w:t>
      </w:r>
    </w:p>
    <w:p w14:paraId="22981D3F" w14:textId="77777777" w:rsidR="00725A91" w:rsidRPr="006C7C3B" w:rsidRDefault="00725A91" w:rsidP="00725A91">
      <w:pPr>
        <w:pStyle w:val="NoSpacing"/>
        <w:ind w:firstLine="720"/>
        <w:rPr>
          <w:rFonts w:ascii="Times New Roman" w:hAnsi="Times New Roman"/>
          <w:sz w:val="24"/>
          <w:szCs w:val="24"/>
        </w:rPr>
      </w:pPr>
      <w:r w:rsidRPr="006C7C3B">
        <w:rPr>
          <w:rFonts w:ascii="Times New Roman" w:hAnsi="Times New Roman"/>
          <w:sz w:val="24"/>
          <w:szCs w:val="24"/>
        </w:rPr>
        <w:t>retired by the board upon proper application filed with the board by or on behalf of</w:t>
      </w:r>
    </w:p>
    <w:p w14:paraId="40A6B3A8" w14:textId="77777777" w:rsidR="00725A91" w:rsidRDefault="00725A91" w:rsidP="00725A91">
      <w:pPr>
        <w:pStyle w:val="NoSpacing"/>
        <w:ind w:firstLine="720"/>
        <w:rPr>
          <w:rFonts w:ascii="Times New Roman" w:hAnsi="Times New Roman"/>
          <w:sz w:val="24"/>
          <w:szCs w:val="24"/>
        </w:rPr>
      </w:pPr>
      <w:r w:rsidRPr="006C7C3B">
        <w:rPr>
          <w:rFonts w:ascii="Times New Roman" w:hAnsi="Times New Roman"/>
          <w:sz w:val="24"/>
          <w:szCs w:val="24"/>
        </w:rPr>
        <w:t>the member or former member.</w:t>
      </w:r>
      <w:r>
        <w:rPr>
          <w:rFonts w:ascii="Times New Roman" w:hAnsi="Times New Roman"/>
          <w:sz w:val="24"/>
          <w:szCs w:val="24"/>
        </w:rPr>
        <w:t>”</w:t>
      </w:r>
    </w:p>
    <w:p w14:paraId="56470F98" w14:textId="77777777" w:rsidR="00725A91" w:rsidRDefault="00725A91" w:rsidP="00725A91">
      <w:pPr>
        <w:pStyle w:val="NoSpacing"/>
        <w:rPr>
          <w:rFonts w:ascii="Times New Roman" w:hAnsi="Times New Roman"/>
          <w:sz w:val="24"/>
          <w:szCs w:val="24"/>
        </w:rPr>
      </w:pPr>
    </w:p>
    <w:p w14:paraId="7F2E12B5" w14:textId="77777777" w:rsidR="00725A91" w:rsidRPr="006C40B3" w:rsidRDefault="00725A91" w:rsidP="00725A91">
      <w:pPr>
        <w:pStyle w:val="NoSpacing"/>
        <w:rPr>
          <w:rFonts w:ascii="Times New Roman" w:hAnsi="Times New Roman"/>
          <w:sz w:val="24"/>
          <w:szCs w:val="24"/>
        </w:rPr>
      </w:pPr>
      <w:hyperlink r:id="rId2470" w:history="1">
        <w:r w:rsidRPr="0005504F">
          <w:rPr>
            <w:rStyle w:val="Hyperlink"/>
            <w:rFonts w:ascii="Times New Roman" w:hAnsi="Times New Roman"/>
            <w:sz w:val="24"/>
            <w:szCs w:val="24"/>
          </w:rPr>
          <w:t>https://cases.justia.com/arkansas/court-of-appeals/2024-cv-22-650.pdf?ts=1713971302</w:t>
        </w:r>
      </w:hyperlink>
      <w:r>
        <w:rPr>
          <w:rFonts w:ascii="Times New Roman" w:hAnsi="Times New Roman"/>
          <w:sz w:val="24"/>
          <w:szCs w:val="24"/>
        </w:rPr>
        <w:t xml:space="preserve"> </w:t>
      </w:r>
    </w:p>
    <w:p w14:paraId="25909773" w14:textId="77777777" w:rsidR="00725A91" w:rsidRDefault="00725A91" w:rsidP="00725A91">
      <w:pPr>
        <w:pStyle w:val="NoSpacing"/>
        <w:rPr>
          <w:rFonts w:ascii="Times New Roman" w:hAnsi="Times New Roman"/>
          <w:sz w:val="24"/>
          <w:szCs w:val="24"/>
        </w:rPr>
      </w:pPr>
    </w:p>
    <w:p w14:paraId="370EED9F" w14:textId="77777777" w:rsidR="00725A91" w:rsidRDefault="00725A91" w:rsidP="00725A91">
      <w:pPr>
        <w:pStyle w:val="NormalWeb"/>
      </w:pPr>
      <w:r>
        <w:t>COURT HELD:</w:t>
      </w:r>
    </w:p>
    <w:p w14:paraId="52BEB43E" w14:textId="77777777" w:rsidR="00725A91" w:rsidRDefault="00725A91" w:rsidP="00725A91">
      <w:pPr>
        <w:pStyle w:val="NormalWeb"/>
        <w:ind w:left="720"/>
      </w:pPr>
      <w:r>
        <w:t>“On April 4, 2020, the Bella Vista Fire Department terminated his employment because Mills was notified that he had been approved for a long-term disability policy.</w:t>
      </w:r>
    </w:p>
    <w:p w14:paraId="7915934D" w14:textId="77777777" w:rsidR="00725A91" w:rsidRDefault="00725A91" w:rsidP="00725A91">
      <w:pPr>
        <w:pStyle w:val="NormalWeb"/>
        <w:ind w:left="720"/>
      </w:pPr>
      <w:r>
        <w:t>***</w:t>
      </w:r>
    </w:p>
    <w:p w14:paraId="4BC0D693" w14:textId="77777777" w:rsidR="00725A91" w:rsidRPr="00A271C9" w:rsidRDefault="00725A91" w:rsidP="00725A91">
      <w:pPr>
        <w:pStyle w:val="NoSpacing"/>
        <w:ind w:firstLine="720"/>
        <w:rPr>
          <w:rFonts w:ascii="Times New Roman" w:hAnsi="Times New Roman"/>
          <w:sz w:val="24"/>
          <w:szCs w:val="24"/>
        </w:rPr>
      </w:pPr>
      <w:r w:rsidRPr="00A271C9">
        <w:rPr>
          <w:rFonts w:ascii="Times New Roman" w:hAnsi="Times New Roman"/>
          <w:sz w:val="24"/>
          <w:szCs w:val="24"/>
        </w:rPr>
        <w:lastRenderedPageBreak/>
        <w:t xml:space="preserve">The Board’s designated physician, Dr. </w:t>
      </w:r>
      <w:proofErr w:type="spellStart"/>
      <w:r w:rsidRPr="00A271C9">
        <w:rPr>
          <w:rFonts w:ascii="Times New Roman" w:hAnsi="Times New Roman"/>
          <w:sz w:val="24"/>
          <w:szCs w:val="24"/>
        </w:rPr>
        <w:t>Podkova</w:t>
      </w:r>
      <w:proofErr w:type="spellEnd"/>
      <w:r w:rsidRPr="00A271C9">
        <w:rPr>
          <w:rFonts w:ascii="Times New Roman" w:hAnsi="Times New Roman"/>
          <w:sz w:val="24"/>
          <w:szCs w:val="24"/>
        </w:rPr>
        <w:t>, examined Mills and reviewed his</w:t>
      </w:r>
    </w:p>
    <w:p w14:paraId="3FF4AAEE" w14:textId="77777777" w:rsidR="00725A91" w:rsidRPr="00A271C9" w:rsidRDefault="00725A91" w:rsidP="00725A91">
      <w:pPr>
        <w:pStyle w:val="NoSpacing"/>
        <w:ind w:firstLine="720"/>
        <w:rPr>
          <w:rFonts w:ascii="Times New Roman" w:hAnsi="Times New Roman"/>
          <w:sz w:val="24"/>
          <w:szCs w:val="24"/>
        </w:rPr>
      </w:pPr>
      <w:r w:rsidRPr="00A271C9">
        <w:rPr>
          <w:rFonts w:ascii="Times New Roman" w:hAnsi="Times New Roman"/>
          <w:sz w:val="24"/>
          <w:szCs w:val="24"/>
        </w:rPr>
        <w:t xml:space="preserve">medical records submitted to LOPFI. On June 29, 2020, Dr. </w:t>
      </w:r>
      <w:proofErr w:type="spellStart"/>
      <w:r w:rsidRPr="00A271C9">
        <w:rPr>
          <w:rFonts w:ascii="Times New Roman" w:hAnsi="Times New Roman"/>
          <w:sz w:val="24"/>
          <w:szCs w:val="24"/>
        </w:rPr>
        <w:t>Podkova</w:t>
      </w:r>
      <w:proofErr w:type="spellEnd"/>
      <w:r w:rsidRPr="00A271C9">
        <w:rPr>
          <w:rFonts w:ascii="Times New Roman" w:hAnsi="Times New Roman"/>
          <w:sz w:val="24"/>
          <w:szCs w:val="24"/>
        </w:rPr>
        <w:t xml:space="preserve"> issued a detailed</w:t>
      </w:r>
    </w:p>
    <w:p w14:paraId="284E4B06" w14:textId="77777777" w:rsidR="00725A91" w:rsidRPr="00A271C9" w:rsidRDefault="00725A91" w:rsidP="00725A91">
      <w:pPr>
        <w:pStyle w:val="NoSpacing"/>
        <w:ind w:firstLine="720"/>
        <w:rPr>
          <w:rFonts w:ascii="Times New Roman" w:hAnsi="Times New Roman"/>
          <w:sz w:val="24"/>
          <w:szCs w:val="24"/>
        </w:rPr>
      </w:pPr>
      <w:r w:rsidRPr="00A271C9">
        <w:rPr>
          <w:rFonts w:ascii="Times New Roman" w:hAnsi="Times New Roman"/>
          <w:sz w:val="24"/>
          <w:szCs w:val="24"/>
        </w:rPr>
        <w:t>report and determined that Mills was not totally and permanently disabled from his</w:t>
      </w:r>
    </w:p>
    <w:p w14:paraId="5EA0E17F" w14:textId="77777777" w:rsidR="00725A91" w:rsidRPr="00A271C9" w:rsidRDefault="00725A91" w:rsidP="00725A91">
      <w:pPr>
        <w:pStyle w:val="NoSpacing"/>
        <w:ind w:left="720"/>
        <w:rPr>
          <w:rFonts w:ascii="Times New Roman" w:hAnsi="Times New Roman"/>
          <w:sz w:val="24"/>
          <w:szCs w:val="24"/>
        </w:rPr>
      </w:pPr>
      <w:r w:rsidRPr="00A271C9">
        <w:rPr>
          <w:rFonts w:ascii="Times New Roman" w:hAnsi="Times New Roman"/>
          <w:sz w:val="24"/>
          <w:szCs w:val="24"/>
        </w:rPr>
        <w:t xml:space="preserve">firefighting activity. Dr. </w:t>
      </w:r>
      <w:proofErr w:type="spellStart"/>
      <w:r w:rsidRPr="00A271C9">
        <w:rPr>
          <w:rFonts w:ascii="Times New Roman" w:hAnsi="Times New Roman"/>
          <w:sz w:val="24"/>
          <w:szCs w:val="24"/>
        </w:rPr>
        <w:t>Podkova</w:t>
      </w:r>
      <w:proofErr w:type="spellEnd"/>
      <w:r w:rsidRPr="00A271C9">
        <w:rPr>
          <w:rFonts w:ascii="Times New Roman" w:hAnsi="Times New Roman"/>
          <w:sz w:val="24"/>
          <w:szCs w:val="24"/>
        </w:rPr>
        <w:t xml:space="preserve"> concluded that Mills met the criteria for PTSD and that it</w:t>
      </w:r>
      <w:r>
        <w:rPr>
          <w:rFonts w:ascii="Times New Roman" w:hAnsi="Times New Roman"/>
          <w:sz w:val="24"/>
          <w:szCs w:val="24"/>
        </w:rPr>
        <w:t xml:space="preserve"> </w:t>
      </w:r>
      <w:r w:rsidRPr="00A271C9">
        <w:rPr>
          <w:rFonts w:ascii="Times New Roman" w:hAnsi="Times New Roman"/>
          <w:sz w:val="24"/>
          <w:szCs w:val="24"/>
        </w:rPr>
        <w:t>was more likely than not that Mills’s PTSD arose from his employment. However, she opined</w:t>
      </w:r>
      <w:r>
        <w:rPr>
          <w:rFonts w:ascii="Times New Roman" w:hAnsi="Times New Roman"/>
          <w:sz w:val="24"/>
          <w:szCs w:val="24"/>
        </w:rPr>
        <w:t xml:space="preserve"> </w:t>
      </w:r>
      <w:r w:rsidRPr="00A271C9">
        <w:rPr>
          <w:rFonts w:ascii="Times New Roman" w:hAnsi="Times New Roman"/>
          <w:sz w:val="24"/>
          <w:szCs w:val="24"/>
        </w:rPr>
        <w:t>that the disability was not total and permanent due, among other things, to Mills’s mental</w:t>
      </w:r>
      <w:r>
        <w:rPr>
          <w:rFonts w:ascii="Times New Roman" w:hAnsi="Times New Roman"/>
          <w:sz w:val="24"/>
          <w:szCs w:val="24"/>
        </w:rPr>
        <w:t xml:space="preserve"> </w:t>
      </w:r>
      <w:r w:rsidRPr="00A271C9">
        <w:rPr>
          <w:rFonts w:ascii="Times New Roman" w:hAnsi="Times New Roman"/>
          <w:sz w:val="24"/>
          <w:szCs w:val="24"/>
        </w:rPr>
        <w:t>status, the severity of his impairment, his noted improvement in symptoms with treatment,</w:t>
      </w:r>
      <w:r>
        <w:rPr>
          <w:rFonts w:ascii="Times New Roman" w:hAnsi="Times New Roman"/>
          <w:sz w:val="24"/>
          <w:szCs w:val="24"/>
        </w:rPr>
        <w:t xml:space="preserve"> </w:t>
      </w:r>
      <w:r w:rsidRPr="00A271C9">
        <w:rPr>
          <w:rFonts w:ascii="Times New Roman" w:hAnsi="Times New Roman"/>
          <w:sz w:val="24"/>
          <w:szCs w:val="24"/>
        </w:rPr>
        <w:t>his presentation, and the fact that he continued to volunteer with the Little Flock Fire</w:t>
      </w:r>
      <w:r>
        <w:rPr>
          <w:rFonts w:ascii="Times New Roman" w:hAnsi="Times New Roman"/>
          <w:sz w:val="24"/>
          <w:szCs w:val="24"/>
        </w:rPr>
        <w:t xml:space="preserve"> </w:t>
      </w:r>
      <w:r w:rsidRPr="00A271C9">
        <w:rPr>
          <w:rFonts w:ascii="Times New Roman" w:hAnsi="Times New Roman"/>
          <w:sz w:val="24"/>
          <w:szCs w:val="24"/>
        </w:rPr>
        <w:t>Department in addition to his full-time employment with the Bella Vista Fire Department</w:t>
      </w:r>
      <w:r>
        <w:rPr>
          <w:rFonts w:ascii="Times New Roman" w:hAnsi="Times New Roman"/>
          <w:sz w:val="24"/>
          <w:szCs w:val="24"/>
        </w:rPr>
        <w:t xml:space="preserve"> </w:t>
      </w:r>
      <w:r w:rsidRPr="00A271C9">
        <w:rPr>
          <w:rFonts w:ascii="Times New Roman" w:hAnsi="Times New Roman"/>
          <w:sz w:val="24"/>
          <w:szCs w:val="24"/>
        </w:rPr>
        <w:t>for a period of years after he started seeking help for his PTSD symptoms.</w:t>
      </w:r>
      <w:r>
        <w:rPr>
          <w:rFonts w:ascii="Times New Roman" w:hAnsi="Times New Roman"/>
          <w:sz w:val="24"/>
          <w:szCs w:val="24"/>
        </w:rPr>
        <w:t>”</w:t>
      </w:r>
    </w:p>
    <w:p w14:paraId="5CF7A771" w14:textId="77777777" w:rsidR="00725A91" w:rsidRDefault="00725A91" w:rsidP="00725A91">
      <w:pPr>
        <w:pStyle w:val="NormalWeb"/>
        <w:spacing w:before="0" w:beforeAutospacing="0"/>
        <w:rPr>
          <w:b/>
          <w:bCs/>
          <w:color w:val="454545"/>
          <w:shd w:val="clear" w:color="auto" w:fill="FFFFFF"/>
        </w:rPr>
      </w:pPr>
    </w:p>
    <w:p w14:paraId="72351711" w14:textId="77777777" w:rsidR="00725A91" w:rsidRDefault="00725A91" w:rsidP="00725A91">
      <w:pPr>
        <w:pStyle w:val="NoSpacing"/>
        <w:ind w:left="720"/>
        <w:rPr>
          <w:rFonts w:ascii="Times New Roman" w:hAnsi="Times New Roman"/>
          <w:sz w:val="24"/>
          <w:szCs w:val="24"/>
          <w:shd w:val="clear" w:color="auto" w:fill="FFFFFF"/>
        </w:rPr>
      </w:pPr>
    </w:p>
    <w:p w14:paraId="79C2E055" w14:textId="77777777" w:rsidR="00725A91" w:rsidRPr="00A961ED" w:rsidRDefault="00725A91" w:rsidP="00725A91">
      <w:pPr>
        <w:pStyle w:val="NoSpacing"/>
        <w:rPr>
          <w:rFonts w:ascii="Times New Roman" w:hAnsi="Times New Roman"/>
          <w:b/>
          <w:bCs/>
          <w:sz w:val="24"/>
          <w:szCs w:val="24"/>
          <w:shd w:val="clear" w:color="auto" w:fill="FFFFFF"/>
        </w:rPr>
      </w:pPr>
      <w:r w:rsidRPr="00A961ED">
        <w:rPr>
          <w:rFonts w:ascii="Times New Roman" w:hAnsi="Times New Roman"/>
          <w:b/>
          <w:bCs/>
          <w:sz w:val="24"/>
          <w:szCs w:val="24"/>
          <w:shd w:val="clear" w:color="auto" w:fill="FFFFFF"/>
        </w:rPr>
        <w:t>Legal Lesson Learned:</w:t>
      </w:r>
      <w:r>
        <w:rPr>
          <w:rFonts w:ascii="Times New Roman" w:hAnsi="Times New Roman"/>
          <w:b/>
          <w:bCs/>
          <w:sz w:val="24"/>
          <w:szCs w:val="24"/>
          <w:shd w:val="clear" w:color="auto" w:fill="FFFFFF"/>
        </w:rPr>
        <w:t xml:space="preserve"> Firefighter failed to prove he was “</w:t>
      </w:r>
      <w:r w:rsidRPr="00CC13B5">
        <w:rPr>
          <w:rFonts w:ascii="Times New Roman" w:hAnsi="Times New Roman"/>
          <w:b/>
          <w:bCs/>
          <w:sz w:val="24"/>
          <w:szCs w:val="24"/>
          <w:shd w:val="clear" w:color="auto" w:fill="FFFFFF"/>
        </w:rPr>
        <w:t>totally and</w:t>
      </w:r>
      <w:r>
        <w:rPr>
          <w:rFonts w:ascii="Times New Roman" w:hAnsi="Times New Roman"/>
          <w:b/>
          <w:bCs/>
          <w:sz w:val="24"/>
          <w:szCs w:val="24"/>
          <w:shd w:val="clear" w:color="auto" w:fill="FFFFFF"/>
        </w:rPr>
        <w:t xml:space="preserve"> </w:t>
      </w:r>
      <w:r w:rsidRPr="00CC13B5">
        <w:rPr>
          <w:rFonts w:ascii="Times New Roman" w:hAnsi="Times New Roman"/>
          <w:b/>
          <w:bCs/>
          <w:sz w:val="24"/>
          <w:szCs w:val="24"/>
          <w:shd w:val="clear" w:color="auto" w:fill="FFFFFF"/>
        </w:rPr>
        <w:t>permanently physically or mentally incapacitated for any suitable duty as an employee</w:t>
      </w:r>
      <w:r>
        <w:rPr>
          <w:rFonts w:ascii="Times New Roman" w:hAnsi="Times New Roman"/>
          <w:b/>
          <w:bCs/>
          <w:sz w:val="24"/>
          <w:szCs w:val="24"/>
          <w:shd w:val="clear" w:color="auto" w:fill="FFFFFF"/>
        </w:rPr>
        <w:t>.”</w:t>
      </w:r>
    </w:p>
    <w:p w14:paraId="44251224" w14:textId="77777777" w:rsidR="00725A91" w:rsidRDefault="00725A91" w:rsidP="00725A91">
      <w:pPr>
        <w:pStyle w:val="NormalWeb"/>
        <w:spacing w:before="0" w:beforeAutospacing="0"/>
        <w:jc w:val="center"/>
        <w:rPr>
          <w:b/>
          <w:bCs/>
          <w:color w:val="454545"/>
          <w:shd w:val="clear" w:color="auto" w:fill="FFFFFF"/>
        </w:rPr>
      </w:pPr>
    </w:p>
    <w:p w14:paraId="5D35D341" w14:textId="77777777" w:rsidR="00725A91" w:rsidRPr="000E0B66" w:rsidRDefault="00725A91" w:rsidP="00725A91">
      <w:pPr>
        <w:pStyle w:val="NormalWeb"/>
        <w:spacing w:before="0" w:beforeAutospacing="0"/>
      </w:pPr>
    </w:p>
    <w:p w14:paraId="3D830BE7" w14:textId="77777777" w:rsidR="00725A91" w:rsidRDefault="00725A91" w:rsidP="000C4DF5">
      <w:pPr>
        <w:pStyle w:val="NoSpacing"/>
        <w:rPr>
          <w:rFonts w:ascii="Arial Black" w:hAnsi="Arial Black"/>
          <w:sz w:val="24"/>
          <w:szCs w:val="24"/>
        </w:rPr>
      </w:pPr>
    </w:p>
    <w:p w14:paraId="4CAAF129" w14:textId="77777777" w:rsidR="00725A91" w:rsidRDefault="00725A91" w:rsidP="000C4DF5">
      <w:pPr>
        <w:pStyle w:val="NoSpacing"/>
        <w:rPr>
          <w:rFonts w:ascii="Arial Black" w:hAnsi="Arial Black"/>
          <w:sz w:val="24"/>
          <w:szCs w:val="24"/>
        </w:rPr>
      </w:pPr>
    </w:p>
    <w:p w14:paraId="4623BC08" w14:textId="4658831E" w:rsidR="006F1059" w:rsidRDefault="006F1059" w:rsidP="000C4DF5">
      <w:pPr>
        <w:pStyle w:val="NoSpacing"/>
        <w:rPr>
          <w:rFonts w:ascii="Arial Black" w:hAnsi="Arial Black"/>
          <w:sz w:val="24"/>
          <w:szCs w:val="24"/>
        </w:rPr>
      </w:pPr>
      <w:r>
        <w:rPr>
          <w:rFonts w:ascii="Arial Black" w:hAnsi="Arial Black"/>
          <w:sz w:val="24"/>
          <w:szCs w:val="24"/>
        </w:rPr>
        <w:t>15-29</w:t>
      </w:r>
    </w:p>
    <w:p w14:paraId="4EFCCE20" w14:textId="77777777" w:rsidR="00776614" w:rsidRPr="00801B4D" w:rsidRDefault="00776614" w:rsidP="00776614">
      <w:pPr>
        <w:pStyle w:val="Heading1"/>
        <w:rPr>
          <w:rFonts w:ascii="Arial Black" w:hAnsi="Arial Black"/>
          <w:b w:val="0"/>
          <w:bCs w:val="0"/>
          <w:sz w:val="28"/>
          <w:szCs w:val="28"/>
        </w:rPr>
      </w:pPr>
      <w:r>
        <w:rPr>
          <w:rFonts w:ascii="Arial Black" w:hAnsi="Arial Black"/>
          <w:b w:val="0"/>
          <w:bCs w:val="0"/>
          <w:sz w:val="28"/>
          <w:szCs w:val="28"/>
        </w:rPr>
        <w:t>NY: PTSD - PERUVIAN FDNY FF – HAZING – HOSTILE WORK ATMOSPHERE – 2015-2021 – FIRED - CASE PROCEED</w:t>
      </w:r>
    </w:p>
    <w:p w14:paraId="537C7193" w14:textId="77777777" w:rsidR="00776614" w:rsidRDefault="00776614" w:rsidP="00776614">
      <w:pPr>
        <w:pStyle w:val="Heading1"/>
        <w:rPr>
          <w:b w:val="0"/>
          <w:bCs w:val="0"/>
          <w:sz w:val="24"/>
          <w:szCs w:val="24"/>
        </w:rPr>
      </w:pPr>
      <w:r>
        <w:rPr>
          <w:b w:val="0"/>
          <w:bCs w:val="0"/>
          <w:sz w:val="24"/>
          <w:szCs w:val="24"/>
        </w:rPr>
        <w:t xml:space="preserve">Jan. 5, 2024, Court granted FDNY motion for protective order (pre-trial discovery extended to March 15, 2024).  On March 31, 2023, in </w:t>
      </w:r>
      <w:r w:rsidRPr="00A65A6D">
        <w:rPr>
          <w:b w:val="0"/>
          <w:bCs w:val="0"/>
          <w:sz w:val="24"/>
          <w:szCs w:val="24"/>
          <w:u w:val="single"/>
        </w:rPr>
        <w:t>Joseph Mendoza v. City of New York, et al</w:t>
      </w:r>
      <w:r>
        <w:rPr>
          <w:b w:val="0"/>
          <w:bCs w:val="0"/>
          <w:sz w:val="24"/>
          <w:szCs w:val="24"/>
        </w:rPr>
        <w:t xml:space="preserve">., U.S. District Court Judge Lashann Dearcy Hall, U.S. District Court for Eastern District of New York, dismissed most of the plaintiff’s claims, but denied the defense motion to dismiss Section 1983 hostile work environment claim. </w:t>
      </w:r>
    </w:p>
    <w:p w14:paraId="681DE6F9" w14:textId="77777777" w:rsidR="00776614" w:rsidRDefault="00776614" w:rsidP="00776614">
      <w:pPr>
        <w:pStyle w:val="paragraph"/>
      </w:pPr>
      <w:r>
        <w:t xml:space="preserve">The Court held: </w:t>
      </w:r>
    </w:p>
    <w:p w14:paraId="5E32BEBD" w14:textId="77777777" w:rsidR="00776614" w:rsidRDefault="00776614" w:rsidP="00776614">
      <w:pPr>
        <w:pStyle w:val="paragraph"/>
        <w:ind w:left="720"/>
      </w:pPr>
      <w:r>
        <w:t xml:space="preserve">“Plaintiff's hostile work environment claims warrant different treatment. “A charge alleging a hostile work environment claim . . . will not be time barred so long as all acts which constitute the claim are part of the same unlawful employment practice and at least one act falls within the time period.” </w:t>
      </w:r>
      <w:r>
        <w:rPr>
          <w:i/>
          <w:iCs/>
        </w:rPr>
        <w:t>Sotomayor v. City of New York</w:t>
      </w:r>
      <w:r>
        <w:t xml:space="preserve">, </w:t>
      </w:r>
      <w:hyperlink r:id="rId2471" w:anchor="p250" w:history="1">
        <w:r>
          <w:rPr>
            <w:rStyle w:val="Hyperlink"/>
          </w:rPr>
          <w:t>862 F.Supp.2d 226, 250</w:t>
        </w:r>
      </w:hyperlink>
      <w:r>
        <w:t xml:space="preserve"> (E.D.N.Y. 2012) (quoting </w:t>
      </w:r>
      <w:r>
        <w:rPr>
          <w:i/>
          <w:iCs/>
        </w:rPr>
        <w:t>Morgan</w:t>
      </w:r>
      <w:r>
        <w:t>, 536 U.S. at 122). As Plaintiff correctly argues, the amended complaint alleges a continuous and ongoing period of racial harassment that began in 2015 and continued through at least May 2019, when he alleges he received a racially offensive text message in the group chat. (</w:t>
      </w:r>
      <w:r>
        <w:rPr>
          <w:i/>
          <w:iCs/>
        </w:rPr>
        <w:t>See</w:t>
      </w:r>
      <w:r>
        <w:t xml:space="preserve"> Pl's </w:t>
      </w:r>
      <w:proofErr w:type="spellStart"/>
      <w:r>
        <w:t>Opp'n</w:t>
      </w:r>
      <w:proofErr w:type="spellEnd"/>
      <w:r>
        <w:t xml:space="preserve"> at 6-7; </w:t>
      </w:r>
      <w:r>
        <w:rPr>
          <w:i/>
          <w:iCs/>
        </w:rPr>
        <w:t>see also</w:t>
      </w:r>
      <w:r>
        <w:t xml:space="preserve"> Am. </w:t>
      </w:r>
      <w:proofErr w:type="spellStart"/>
      <w:r>
        <w:t>Compl</w:t>
      </w:r>
      <w:proofErr w:type="spellEnd"/>
      <w:r>
        <w:t xml:space="preserve">. ¶¶ 23, 38, 56.) Plaintiff alleges he was subjected to racially demeaning conduct throughout this </w:t>
      </w:r>
      <w:proofErr w:type="gramStart"/>
      <w:r>
        <w:t>time period</w:t>
      </w:r>
      <w:proofErr w:type="gramEnd"/>
      <w:r>
        <w:t>, and none of those individual comments or racial incidents could constitute a discrete act or be considered unrelated to the racial incidents he experienced within the limitations period.”</w:t>
      </w:r>
      <w:r w:rsidRPr="00D36ABB">
        <w:t xml:space="preserve"> </w:t>
      </w:r>
      <w:hyperlink r:id="rId2472" w:history="1">
        <w:r w:rsidRPr="00E007C4">
          <w:rPr>
            <w:rStyle w:val="Hyperlink"/>
          </w:rPr>
          <w:t>https://casetext.com/case/mendoza-v-the-city-of-new-york-3</w:t>
        </w:r>
      </w:hyperlink>
      <w:r>
        <w:t xml:space="preserve"> </w:t>
      </w:r>
    </w:p>
    <w:p w14:paraId="6D11FED5" w14:textId="77777777" w:rsidR="00776614" w:rsidRPr="00EB6336" w:rsidRDefault="00776614" w:rsidP="00776614">
      <w:pPr>
        <w:pStyle w:val="paragraph"/>
        <w:rPr>
          <w:b/>
          <w:bCs/>
        </w:rPr>
      </w:pPr>
      <w:r w:rsidRPr="00EB6336">
        <w:rPr>
          <w:b/>
          <w:bCs/>
        </w:rPr>
        <w:t xml:space="preserve">Legal Lesson Learned: </w:t>
      </w:r>
      <w:r>
        <w:rPr>
          <w:b/>
          <w:bCs/>
        </w:rPr>
        <w:t xml:space="preserve">Continuous hazing can lead to hostile work atmosphere litigation. </w:t>
      </w:r>
    </w:p>
    <w:p w14:paraId="66A64024" w14:textId="77777777" w:rsidR="006F1059" w:rsidRDefault="006F1059" w:rsidP="000C4DF5">
      <w:pPr>
        <w:pStyle w:val="NoSpacing"/>
        <w:rPr>
          <w:rFonts w:ascii="Arial Black" w:hAnsi="Arial Black"/>
          <w:sz w:val="24"/>
          <w:szCs w:val="24"/>
        </w:rPr>
      </w:pPr>
    </w:p>
    <w:p w14:paraId="3EDD726D" w14:textId="77777777" w:rsidR="006F1059" w:rsidRDefault="006F1059" w:rsidP="000C4DF5">
      <w:pPr>
        <w:pStyle w:val="NoSpacing"/>
        <w:rPr>
          <w:rFonts w:ascii="Arial Black" w:hAnsi="Arial Black"/>
          <w:sz w:val="24"/>
          <w:szCs w:val="24"/>
        </w:rPr>
      </w:pPr>
    </w:p>
    <w:p w14:paraId="065E298F" w14:textId="63F165DB" w:rsidR="003A2816" w:rsidRDefault="003A2816" w:rsidP="000C4DF5">
      <w:pPr>
        <w:pStyle w:val="NoSpacing"/>
        <w:rPr>
          <w:rFonts w:ascii="Arial Black" w:hAnsi="Arial Black"/>
          <w:sz w:val="24"/>
          <w:szCs w:val="24"/>
        </w:rPr>
      </w:pPr>
      <w:r>
        <w:rPr>
          <w:rFonts w:ascii="Arial Black" w:hAnsi="Arial Black"/>
          <w:sz w:val="24"/>
          <w:szCs w:val="24"/>
        </w:rPr>
        <w:lastRenderedPageBreak/>
        <w:t>15-28</w:t>
      </w:r>
    </w:p>
    <w:p w14:paraId="719B7E88" w14:textId="77777777" w:rsidR="00787369" w:rsidRDefault="00787369" w:rsidP="00787369">
      <w:pPr>
        <w:pStyle w:val="NormalWeb"/>
        <w:rPr>
          <w:rFonts w:ascii="Arial Black" w:hAnsi="Arial Black"/>
          <w:b/>
          <w:bCs/>
          <w:sz w:val="28"/>
          <w:szCs w:val="28"/>
        </w:rPr>
      </w:pPr>
      <w:r>
        <w:rPr>
          <w:rFonts w:ascii="Arial Black" w:hAnsi="Arial Black"/>
          <w:b/>
          <w:bCs/>
          <w:sz w:val="28"/>
          <w:szCs w:val="28"/>
        </w:rPr>
        <w:t xml:space="preserve">OH: MENTAL CALL / SUICIDE GUNSHOT – DEPUTIES NOT RECKLESS - CALLED MOBILE CRISIS - NOT LIABLE </w:t>
      </w:r>
    </w:p>
    <w:p w14:paraId="75520E94" w14:textId="77777777" w:rsidR="00787369" w:rsidRDefault="00787369" w:rsidP="00787369">
      <w:pPr>
        <w:pStyle w:val="NormalWeb"/>
      </w:pPr>
      <w:r>
        <w:t xml:space="preserve">On Dec. 28, 2023, in </w:t>
      </w:r>
      <w:r w:rsidRPr="00DF2081">
        <w:rPr>
          <w:u w:val="single"/>
        </w:rPr>
        <w:t>Sarah Wilson, Administrator of the Estate of Jack Huelsman, et al. v. Eric Gregory, et al.</w:t>
      </w:r>
      <w:r>
        <w:t>, the Court of Appeals of Ohio, Twelfth District, held (3 to 0) that lawsuit against two Deputy Sheriff’s for not taking the patient to mental health facility was properly dismissed, since patient at that time did not appear to be a risk to himself or others.  The Court held:  “We find that the Deputies did not engage in reckless conduct because there is no evidence in the record that they consciously disregarded or were indifferent to a known or obvious risk of harm to Jack [Huelsmann].”.</w:t>
      </w:r>
      <w:hyperlink r:id="rId2473" w:history="1">
        <w:r w:rsidRPr="0044657D">
          <w:rPr>
            <w:rStyle w:val="Hyperlink"/>
          </w:rPr>
          <w:t>https://cases.justia.com/ohio/twelfth-district-court-of-appeals/2023-ca2023-06-039.pdf?ts=1703791198</w:t>
        </w:r>
      </w:hyperlink>
    </w:p>
    <w:p w14:paraId="4FA17AAC" w14:textId="77777777" w:rsidR="004C2189" w:rsidRDefault="004C2189" w:rsidP="004C2189">
      <w:pPr>
        <w:pStyle w:val="NormalWeb"/>
        <w:rPr>
          <w:b/>
          <w:bCs/>
        </w:rPr>
      </w:pPr>
      <w:r w:rsidRPr="00190E94">
        <w:rPr>
          <w:b/>
          <w:bCs/>
        </w:rPr>
        <w:t>Legal Lesson Learned:</w:t>
      </w:r>
      <w:r>
        <w:rPr>
          <w:b/>
          <w:bCs/>
        </w:rPr>
        <w:t xml:space="preserve"> A tragic outcome to a mental health run; lengthy litigation, if the Deputies had not cancelled EMS there would have been four witnesses to testify about patient’s condition.  </w:t>
      </w:r>
    </w:p>
    <w:p w14:paraId="00EBF9F8" w14:textId="77777777" w:rsidR="004C2189" w:rsidRDefault="004C2189" w:rsidP="004C2189">
      <w:pPr>
        <w:pStyle w:val="NormalWeb"/>
        <w:ind w:left="720"/>
      </w:pPr>
      <w:r>
        <w:t xml:space="preserve">Note: FEDERAL LAWSUIT. Plaintiff  had originally filed a lawsuit against the Deputies in Federal court. On Sept. 30, 2020, U.S. District Court granted summary judgment to the Deputies. </w:t>
      </w:r>
      <w:hyperlink r:id="rId2474" w:history="1">
        <w:r w:rsidRPr="003C00DD">
          <w:rPr>
            <w:rStyle w:val="Hyperlink"/>
          </w:rPr>
          <w:t>https://caselaw.findlaw.com/court/us-dis-crt-s-d-ohi-wes-div/2089388.html</w:t>
        </w:r>
      </w:hyperlink>
      <w:r>
        <w:t>. On July 1, 2021, the 6</w:t>
      </w:r>
      <w:r w:rsidRPr="0021237F">
        <w:rPr>
          <w:vertAlign w:val="superscript"/>
        </w:rPr>
        <w:t>th</w:t>
      </w:r>
      <w:r>
        <w:t xml:space="preserve"> Circuit Court of Appeals directed District Court judge “to determine whether to exercise supplemental jurisdiction” over the state law claims that remain.”</w:t>
      </w:r>
      <w:r>
        <w:tab/>
        <w:t xml:space="preserve"> </w:t>
      </w:r>
      <w:hyperlink r:id="rId2475" w:history="1">
        <w:r w:rsidRPr="003C00DD">
          <w:rPr>
            <w:rStyle w:val="Hyperlink"/>
          </w:rPr>
          <w:t>https://www.opn.ca6.uscourts.gov/opinions.pdf/21a0151p-06.pdf</w:t>
        </w:r>
      </w:hyperlink>
      <w:r>
        <w:t>.] On Aug. 18, 2021, the U.S. District Court judge declined to exercise supplemental jurisdiction and dismisses all remaining claims without prejudice.</w:t>
      </w:r>
      <w:r w:rsidRPr="00D83569">
        <w:t xml:space="preserve"> </w:t>
      </w:r>
      <w:hyperlink r:id="rId2476" w:history="1">
        <w:r w:rsidRPr="003C00DD">
          <w:rPr>
            <w:rStyle w:val="Hyperlink"/>
          </w:rPr>
          <w:t>https://casetext.com/case/wilson-v-gregory-4</w:t>
        </w:r>
      </w:hyperlink>
    </w:p>
    <w:p w14:paraId="77E15EA1" w14:textId="77777777" w:rsidR="004C2189" w:rsidRDefault="004C2189" w:rsidP="004C2189">
      <w:pPr>
        <w:pStyle w:val="NoSpacing"/>
        <w:ind w:firstLine="720"/>
        <w:rPr>
          <w:rFonts w:ascii="Times New Roman" w:hAnsi="Times New Roman"/>
          <w:sz w:val="24"/>
          <w:szCs w:val="24"/>
        </w:rPr>
      </w:pPr>
      <w:r>
        <w:rPr>
          <w:rFonts w:ascii="Times New Roman" w:hAnsi="Times New Roman"/>
          <w:sz w:val="24"/>
          <w:szCs w:val="24"/>
        </w:rPr>
        <w:t>6</w:t>
      </w:r>
      <w:r w:rsidRPr="00102E41">
        <w:rPr>
          <w:rFonts w:ascii="Times New Roman" w:hAnsi="Times New Roman"/>
          <w:sz w:val="24"/>
          <w:szCs w:val="24"/>
          <w:vertAlign w:val="superscript"/>
        </w:rPr>
        <w:t>th</w:t>
      </w:r>
      <w:r>
        <w:rPr>
          <w:rFonts w:ascii="Times New Roman" w:hAnsi="Times New Roman"/>
          <w:sz w:val="24"/>
          <w:szCs w:val="24"/>
        </w:rPr>
        <w:t xml:space="preserve"> Circuit focused on EMS being cancelled. </w:t>
      </w:r>
    </w:p>
    <w:p w14:paraId="1BF847E5" w14:textId="77777777" w:rsidR="004C2189" w:rsidRDefault="004C2189" w:rsidP="004C2189">
      <w:pPr>
        <w:pStyle w:val="NoSpacing"/>
        <w:ind w:left="1440"/>
        <w:rPr>
          <w:rFonts w:ascii="Times New Roman" w:hAnsi="Times New Roman"/>
          <w:sz w:val="24"/>
          <w:szCs w:val="24"/>
        </w:rPr>
      </w:pPr>
    </w:p>
    <w:p w14:paraId="1EEACF85" w14:textId="77777777" w:rsidR="004C2189" w:rsidRDefault="004C2189" w:rsidP="004C2189">
      <w:pPr>
        <w:pStyle w:val="NoSpacing"/>
        <w:ind w:left="720"/>
        <w:rPr>
          <w:rFonts w:ascii="Times New Roman" w:hAnsi="Times New Roman"/>
          <w:sz w:val="24"/>
          <w:szCs w:val="24"/>
        </w:rPr>
      </w:pPr>
      <w:r w:rsidRPr="00692EF2">
        <w:rPr>
          <w:rFonts w:ascii="Times New Roman" w:hAnsi="Times New Roman"/>
          <w:sz w:val="24"/>
          <w:szCs w:val="24"/>
        </w:rPr>
        <w:t>In the meantime, emergency medical services (EMS) personnel had arrived and were</w:t>
      </w:r>
      <w:r>
        <w:rPr>
          <w:rFonts w:ascii="Times New Roman" w:hAnsi="Times New Roman"/>
          <w:sz w:val="24"/>
          <w:szCs w:val="24"/>
        </w:rPr>
        <w:t xml:space="preserve"> </w:t>
      </w:r>
      <w:r w:rsidRPr="00692EF2">
        <w:rPr>
          <w:rFonts w:ascii="Times New Roman" w:hAnsi="Times New Roman"/>
          <w:sz w:val="24"/>
          <w:szCs w:val="24"/>
        </w:rPr>
        <w:t>waiting for the Deputies’ go-ahead. Though EMS personnel’s ability to provide mental health</w:t>
      </w:r>
      <w:r>
        <w:rPr>
          <w:rFonts w:ascii="Times New Roman" w:hAnsi="Times New Roman"/>
          <w:sz w:val="24"/>
          <w:szCs w:val="24"/>
        </w:rPr>
        <w:t xml:space="preserve"> </w:t>
      </w:r>
      <w:r w:rsidRPr="00692EF2">
        <w:rPr>
          <w:rFonts w:ascii="Times New Roman" w:hAnsi="Times New Roman"/>
          <w:sz w:val="24"/>
          <w:szCs w:val="24"/>
        </w:rPr>
        <w:t>services was limited to asking basic questions to test a person’s mental acuity, their training and</w:t>
      </w:r>
      <w:r>
        <w:rPr>
          <w:rFonts w:ascii="Times New Roman" w:hAnsi="Times New Roman"/>
          <w:sz w:val="24"/>
          <w:szCs w:val="24"/>
        </w:rPr>
        <w:t xml:space="preserve"> </w:t>
      </w:r>
      <w:r w:rsidRPr="00692EF2">
        <w:rPr>
          <w:rFonts w:ascii="Times New Roman" w:hAnsi="Times New Roman"/>
          <w:sz w:val="24"/>
          <w:szCs w:val="24"/>
        </w:rPr>
        <w:t>policy permitted them to assess a person’s mental condition and make a recommendation to a</w:t>
      </w:r>
      <w:r>
        <w:rPr>
          <w:rFonts w:ascii="Times New Roman" w:hAnsi="Times New Roman"/>
          <w:sz w:val="24"/>
          <w:szCs w:val="24"/>
        </w:rPr>
        <w:t xml:space="preserve"> </w:t>
      </w:r>
      <w:r w:rsidRPr="00692EF2">
        <w:rPr>
          <w:rFonts w:ascii="Times New Roman" w:hAnsi="Times New Roman"/>
          <w:sz w:val="24"/>
          <w:szCs w:val="24"/>
        </w:rPr>
        <w:t>deputy that the person should or should not be detained. Within four minutes of his arrival at the</w:t>
      </w:r>
      <w:r>
        <w:rPr>
          <w:rFonts w:ascii="Times New Roman" w:hAnsi="Times New Roman"/>
          <w:sz w:val="24"/>
          <w:szCs w:val="24"/>
        </w:rPr>
        <w:t xml:space="preserve"> </w:t>
      </w:r>
      <w:proofErr w:type="spellStart"/>
      <w:r w:rsidRPr="00692EF2">
        <w:rPr>
          <w:rFonts w:ascii="Times New Roman" w:hAnsi="Times New Roman"/>
          <w:sz w:val="24"/>
          <w:szCs w:val="24"/>
        </w:rPr>
        <w:t>Huelsmans</w:t>
      </w:r>
      <w:proofErr w:type="spellEnd"/>
      <w:r w:rsidRPr="00692EF2">
        <w:rPr>
          <w:rFonts w:ascii="Times New Roman" w:hAnsi="Times New Roman"/>
          <w:sz w:val="24"/>
          <w:szCs w:val="24"/>
        </w:rPr>
        <w:t>’ home, Deputy Gregory called off EMS.</w:t>
      </w:r>
    </w:p>
    <w:p w14:paraId="3127E50E" w14:textId="77777777" w:rsidR="004C2189" w:rsidRDefault="004C2189" w:rsidP="004C2189">
      <w:pPr>
        <w:pStyle w:val="NoSpacing"/>
        <w:rPr>
          <w:rFonts w:ascii="Times New Roman" w:hAnsi="Times New Roman"/>
          <w:sz w:val="24"/>
          <w:szCs w:val="24"/>
        </w:rPr>
      </w:pPr>
    </w:p>
    <w:p w14:paraId="628B055A" w14:textId="77777777" w:rsidR="004C2189" w:rsidRDefault="004C2189" w:rsidP="004C2189">
      <w:pPr>
        <w:pStyle w:val="NoSpacing"/>
        <w:ind w:firstLine="720"/>
        <w:rPr>
          <w:rFonts w:ascii="Times New Roman" w:hAnsi="Times New Roman"/>
          <w:sz w:val="24"/>
          <w:szCs w:val="24"/>
        </w:rPr>
      </w:pPr>
      <w:r>
        <w:rPr>
          <w:rFonts w:ascii="Times New Roman" w:hAnsi="Times New Roman"/>
          <w:sz w:val="24"/>
          <w:szCs w:val="24"/>
        </w:rPr>
        <w:t>***</w:t>
      </w:r>
    </w:p>
    <w:p w14:paraId="0A59418A" w14:textId="77777777" w:rsidR="004C2189" w:rsidRDefault="004C2189" w:rsidP="004C2189">
      <w:pPr>
        <w:pStyle w:val="NoSpacing"/>
        <w:ind w:left="720"/>
        <w:rPr>
          <w:rFonts w:ascii="Times New Roman" w:hAnsi="Times New Roman"/>
          <w:sz w:val="24"/>
          <w:szCs w:val="24"/>
        </w:rPr>
      </w:pPr>
      <w:r w:rsidRPr="003C7982">
        <w:rPr>
          <w:rFonts w:ascii="Times New Roman" w:hAnsi="Times New Roman"/>
          <w:sz w:val="24"/>
          <w:szCs w:val="24"/>
        </w:rPr>
        <w:t>A reasonable juror could conclude from some combination of these indicia that</w:t>
      </w:r>
      <w:r>
        <w:rPr>
          <w:rFonts w:ascii="Times New Roman" w:hAnsi="Times New Roman"/>
          <w:sz w:val="24"/>
          <w:szCs w:val="24"/>
        </w:rPr>
        <w:t xml:space="preserve"> </w:t>
      </w:r>
      <w:r w:rsidRPr="003C7982">
        <w:rPr>
          <w:rFonts w:ascii="Times New Roman" w:hAnsi="Times New Roman"/>
          <w:sz w:val="24"/>
          <w:szCs w:val="24"/>
        </w:rPr>
        <w:t>the risk of Mr. Huelsman’s suicide was indeed obvious and that Deputies Gregory and/or Walsh</w:t>
      </w:r>
      <w:r>
        <w:rPr>
          <w:rFonts w:ascii="Times New Roman" w:hAnsi="Times New Roman"/>
          <w:sz w:val="24"/>
          <w:szCs w:val="24"/>
        </w:rPr>
        <w:t xml:space="preserve"> </w:t>
      </w:r>
      <w:r w:rsidRPr="003C7982">
        <w:rPr>
          <w:rFonts w:ascii="Times New Roman" w:hAnsi="Times New Roman"/>
          <w:sz w:val="24"/>
          <w:szCs w:val="24"/>
        </w:rPr>
        <w:t>acted recklessly as a result. It may well be that when presented with this case, a jury would</w:t>
      </w:r>
      <w:r>
        <w:rPr>
          <w:rFonts w:ascii="Times New Roman" w:hAnsi="Times New Roman"/>
          <w:sz w:val="24"/>
          <w:szCs w:val="24"/>
        </w:rPr>
        <w:t xml:space="preserve"> </w:t>
      </w:r>
      <w:r w:rsidRPr="003C7982">
        <w:rPr>
          <w:rFonts w:ascii="Times New Roman" w:hAnsi="Times New Roman"/>
          <w:sz w:val="24"/>
          <w:szCs w:val="24"/>
        </w:rPr>
        <w:t>conclude Deputies Gregory and/or Walsh did not act recklessly on the rationales that the separate</w:t>
      </w:r>
      <w:r>
        <w:rPr>
          <w:rFonts w:ascii="Times New Roman" w:hAnsi="Times New Roman"/>
          <w:sz w:val="24"/>
          <w:szCs w:val="24"/>
        </w:rPr>
        <w:t xml:space="preserve"> </w:t>
      </w:r>
      <w:r w:rsidRPr="003C7982">
        <w:rPr>
          <w:rFonts w:ascii="Times New Roman" w:hAnsi="Times New Roman"/>
          <w:sz w:val="24"/>
          <w:szCs w:val="24"/>
        </w:rPr>
        <w:t>writing discusses. But on this record and given Ohio courts’ strong preference for a jury to</w:t>
      </w:r>
      <w:r>
        <w:rPr>
          <w:rFonts w:ascii="Times New Roman" w:hAnsi="Times New Roman"/>
          <w:sz w:val="24"/>
          <w:szCs w:val="24"/>
        </w:rPr>
        <w:t xml:space="preserve"> </w:t>
      </w:r>
      <w:r w:rsidRPr="003C7982">
        <w:rPr>
          <w:rFonts w:ascii="Times New Roman" w:hAnsi="Times New Roman"/>
          <w:sz w:val="24"/>
          <w:szCs w:val="24"/>
        </w:rPr>
        <w:t xml:space="preserve">determine whether </w:t>
      </w:r>
      <w:proofErr w:type="gramStart"/>
      <w:r w:rsidRPr="003C7982">
        <w:rPr>
          <w:rFonts w:ascii="Times New Roman" w:hAnsi="Times New Roman"/>
          <w:sz w:val="24"/>
          <w:szCs w:val="24"/>
        </w:rPr>
        <w:t>particular acts</w:t>
      </w:r>
      <w:proofErr w:type="gramEnd"/>
      <w:r w:rsidRPr="003C7982">
        <w:rPr>
          <w:rFonts w:ascii="Times New Roman" w:hAnsi="Times New Roman"/>
          <w:sz w:val="24"/>
          <w:szCs w:val="24"/>
        </w:rPr>
        <w:t xml:space="preserve"> or decisions demonstrate recklessness, the grant of statutory</w:t>
      </w:r>
      <w:r>
        <w:rPr>
          <w:rFonts w:ascii="Times New Roman" w:hAnsi="Times New Roman"/>
          <w:sz w:val="24"/>
          <w:szCs w:val="24"/>
        </w:rPr>
        <w:t xml:space="preserve"> </w:t>
      </w:r>
      <w:r w:rsidRPr="003C7982">
        <w:rPr>
          <w:rFonts w:ascii="Times New Roman" w:hAnsi="Times New Roman"/>
          <w:sz w:val="24"/>
          <w:szCs w:val="24"/>
        </w:rPr>
        <w:t>immunity to Deputies Gregory and Walsh, and therefore the grant of summary judgment in their</w:t>
      </w:r>
      <w:r>
        <w:rPr>
          <w:rFonts w:ascii="Times New Roman" w:hAnsi="Times New Roman"/>
          <w:sz w:val="24"/>
          <w:szCs w:val="24"/>
        </w:rPr>
        <w:t xml:space="preserve"> </w:t>
      </w:r>
      <w:r w:rsidRPr="003C7982">
        <w:rPr>
          <w:rFonts w:ascii="Times New Roman" w:hAnsi="Times New Roman"/>
          <w:sz w:val="24"/>
          <w:szCs w:val="24"/>
        </w:rPr>
        <w:t xml:space="preserve">favor on the </w:t>
      </w:r>
      <w:proofErr w:type="spellStart"/>
      <w:r w:rsidRPr="003C7982">
        <w:rPr>
          <w:rFonts w:ascii="Times New Roman" w:hAnsi="Times New Roman"/>
          <w:sz w:val="24"/>
          <w:szCs w:val="24"/>
        </w:rPr>
        <w:t>Huelsmans</w:t>
      </w:r>
      <w:proofErr w:type="spellEnd"/>
      <w:r w:rsidRPr="003C7982">
        <w:rPr>
          <w:rFonts w:ascii="Times New Roman" w:hAnsi="Times New Roman"/>
          <w:sz w:val="24"/>
          <w:szCs w:val="24"/>
        </w:rPr>
        <w:t>’ state law claims, was also error.</w:t>
      </w:r>
    </w:p>
    <w:p w14:paraId="1D33F791" w14:textId="77777777" w:rsidR="004C2189" w:rsidRDefault="004C2189" w:rsidP="004C2189">
      <w:pPr>
        <w:pStyle w:val="NormalWeb"/>
        <w:ind w:left="720"/>
      </w:pPr>
      <w:r w:rsidRPr="00784817">
        <w:t>Note</w:t>
      </w:r>
      <w:r>
        <w:t xml:space="preserve"> – Pink Slip</w:t>
      </w:r>
    </w:p>
    <w:p w14:paraId="6DAD447F" w14:textId="77777777" w:rsidR="004C2189" w:rsidRDefault="004C2189" w:rsidP="004C2189">
      <w:pPr>
        <w:pStyle w:val="NormalWeb"/>
        <w:ind w:left="720"/>
      </w:pPr>
      <w:r w:rsidRPr="00784817">
        <w:t xml:space="preserve">In Ohio, police officers have authority to “pink slip” an individual for </w:t>
      </w:r>
      <w:proofErr w:type="gramStart"/>
      <w:r w:rsidRPr="00784817">
        <w:t>72 hour</w:t>
      </w:r>
      <w:proofErr w:type="gramEnd"/>
      <w:r w:rsidRPr="00784817">
        <w:t xml:space="preserve"> mental health hold, under Ohio Rev. Code 5122.10</w:t>
      </w:r>
      <w:r>
        <w:t xml:space="preserve">: “substantial risk of physical harm to self or others.”  </w:t>
      </w:r>
      <w:hyperlink r:id="rId2477" w:history="1">
        <w:r w:rsidRPr="003C00DD">
          <w:rPr>
            <w:rStyle w:val="Hyperlink"/>
          </w:rPr>
          <w:t>https://codes.ohio.gov/ohio-revised-code/section-5122.10/9-17-2014</w:t>
        </w:r>
      </w:hyperlink>
      <w:r>
        <w:t xml:space="preserve"> </w:t>
      </w:r>
    </w:p>
    <w:p w14:paraId="2B29BFA3" w14:textId="77777777" w:rsidR="004C2189" w:rsidRPr="00784817" w:rsidRDefault="004C2189" w:rsidP="004C2189">
      <w:pPr>
        <w:pStyle w:val="NormalWeb"/>
        <w:ind w:left="720"/>
      </w:pPr>
      <w:r w:rsidRPr="00784817">
        <w:lastRenderedPageBreak/>
        <w:t>See</w:t>
      </w:r>
      <w:r>
        <w:t xml:space="preserve"> also</w:t>
      </w:r>
      <w:r w:rsidRPr="00784817">
        <w:t xml:space="preserve"> this research publication by Legislative </w:t>
      </w:r>
      <w:r>
        <w:t xml:space="preserve">Service Commission for </w:t>
      </w:r>
      <w:r w:rsidRPr="00784817">
        <w:t xml:space="preserve">Ohio General Assembly, “Involuntary Treatment for Mental Illness.” </w:t>
      </w:r>
      <w:hyperlink r:id="rId2478" w:history="1">
        <w:r w:rsidRPr="00784817">
          <w:rPr>
            <w:rStyle w:val="Hyperlink"/>
          </w:rPr>
          <w:t>https://www.lsc.ohio.gov/assets/organizations/legislative-service-commission/files/involuntary-treatment-for-mental-illness.pdf</w:t>
        </w:r>
      </w:hyperlink>
      <w:r w:rsidRPr="00784817">
        <w:t xml:space="preserve"> </w:t>
      </w:r>
    </w:p>
    <w:p w14:paraId="6E590CC7" w14:textId="77777777" w:rsidR="003A2816" w:rsidRDefault="003A2816" w:rsidP="000C4DF5">
      <w:pPr>
        <w:pStyle w:val="NoSpacing"/>
        <w:rPr>
          <w:rFonts w:ascii="Arial Black" w:hAnsi="Arial Black"/>
          <w:sz w:val="24"/>
          <w:szCs w:val="24"/>
        </w:rPr>
      </w:pPr>
    </w:p>
    <w:p w14:paraId="24B8BCF5" w14:textId="77777777" w:rsidR="003A2816" w:rsidRDefault="003A2816" w:rsidP="000C4DF5">
      <w:pPr>
        <w:pStyle w:val="NoSpacing"/>
        <w:rPr>
          <w:rFonts w:ascii="Arial Black" w:hAnsi="Arial Black"/>
          <w:sz w:val="24"/>
          <w:szCs w:val="24"/>
        </w:rPr>
      </w:pPr>
    </w:p>
    <w:p w14:paraId="523569D9" w14:textId="77777777" w:rsidR="003A2816" w:rsidRDefault="003A2816" w:rsidP="000C4DF5">
      <w:pPr>
        <w:pStyle w:val="NoSpacing"/>
        <w:rPr>
          <w:rFonts w:ascii="Arial Black" w:hAnsi="Arial Black"/>
          <w:sz w:val="24"/>
          <w:szCs w:val="24"/>
        </w:rPr>
      </w:pPr>
    </w:p>
    <w:p w14:paraId="5344F339" w14:textId="5E35D4E6" w:rsidR="00EC5D4A" w:rsidRDefault="00EC5D4A" w:rsidP="000C4DF5">
      <w:pPr>
        <w:pStyle w:val="NoSpacing"/>
        <w:rPr>
          <w:rFonts w:ascii="Arial Black" w:hAnsi="Arial Black"/>
          <w:sz w:val="24"/>
          <w:szCs w:val="24"/>
        </w:rPr>
      </w:pPr>
      <w:r>
        <w:rPr>
          <w:rFonts w:ascii="Arial Black" w:hAnsi="Arial Black"/>
          <w:sz w:val="24"/>
          <w:szCs w:val="24"/>
        </w:rPr>
        <w:t>15-27</w:t>
      </w:r>
    </w:p>
    <w:p w14:paraId="395AC890" w14:textId="77777777" w:rsidR="00EC5D4A" w:rsidRDefault="00EC5D4A" w:rsidP="00EC5D4A">
      <w:pPr>
        <w:pStyle w:val="NormalWeb"/>
        <w:rPr>
          <w:rFonts w:ascii="Arial Black" w:hAnsi="Arial Black"/>
          <w:b/>
          <w:bCs/>
          <w:sz w:val="28"/>
          <w:szCs w:val="28"/>
        </w:rPr>
      </w:pPr>
      <w:r>
        <w:rPr>
          <w:rFonts w:ascii="Arial Black" w:hAnsi="Arial Black"/>
          <w:b/>
          <w:bCs/>
          <w:sz w:val="28"/>
          <w:szCs w:val="28"/>
        </w:rPr>
        <w:t>WV: MENTAL CALL / SUICIDE – LAWUIT PROCEED SHERIFF POLICY “NO SUNDAY” RESPONSES – EMS / PD IMMUNITY</w:t>
      </w:r>
    </w:p>
    <w:p w14:paraId="27105A09" w14:textId="6ACD061D" w:rsidR="00EC5D4A" w:rsidRDefault="00EC5D4A" w:rsidP="00EC5D4A">
      <w:pPr>
        <w:pStyle w:val="NoSpacing"/>
        <w:rPr>
          <w:rStyle w:val="Hyperlink"/>
          <w:rFonts w:ascii="Times New Roman" w:hAnsi="Times New Roman"/>
          <w:sz w:val="24"/>
          <w:szCs w:val="24"/>
        </w:rPr>
      </w:pPr>
      <w:r w:rsidRPr="00EC5D4A">
        <w:rPr>
          <w:rFonts w:ascii="Times New Roman" w:hAnsi="Times New Roman"/>
          <w:sz w:val="24"/>
          <w:szCs w:val="24"/>
        </w:rPr>
        <w:t xml:space="preserve">On Dec. 21, 2023, in </w:t>
      </w:r>
      <w:r w:rsidRPr="00EC5D4A">
        <w:rPr>
          <w:rFonts w:ascii="Times New Roman" w:hAnsi="Times New Roman"/>
          <w:sz w:val="24"/>
          <w:szCs w:val="24"/>
          <w:u w:val="single"/>
        </w:rPr>
        <w:t>Rex Eagon and Diane Egon, individually as co-administrators of the Estate of Darien M. Eagon v. Cambell County Emergency Medical Service, et al</w:t>
      </w:r>
      <w:r w:rsidRPr="00EC5D4A">
        <w:rPr>
          <w:rFonts w:ascii="Times New Roman" w:hAnsi="Times New Roman"/>
          <w:sz w:val="24"/>
          <w:szCs w:val="24"/>
        </w:rPr>
        <w:t xml:space="preserve">., U.S. District Court Judge Robert C. Chambers, United States District Court, S.D. West Virginia, Huntington Division, held that City of Huntington police officers and County EMS are immune from liability, but plaintiffs may proceed with pre-trial discovery on allegations that County Sheriff.  The Court wrote: “Certainly, there are no allegations that Sheriff Zerkle or any employee of the Sheriff's Department were at the scene, had any knowledge of Ms. Eagon's situation, or ever had any contact with her. Without any of these connections with Ms. Eagon, the Court agrees with the County Defendants that Plaintiffs have not plausibly alleged Sheriff Zerkle acted with direct ‘intent’ to inflict emotional distress upon Ms. Eagon or her parents. However, for purposes of a motion to dismiss, the Court must assume the truthfulness of Plaintiffs' allegation that Sheriff Zerkle adopted, enforced, and made known to EMS and HPD that his Department had a custom, practice, or policy of not dispatching deputies to respond to any mental health crises on a Sunday, regardless of how urgent or dire the situation presents. From this vantage, the Court finds this allegation is sufficient to plausibly allege Sheriff Zerkle intentionally acted so recklessly that it was substantially certain that someone like Plaintiffs would suffer emotional distress. Additionally, it is plausible that such custom, practice, or policy could be found to be ‘atrocious, intolerable, and so extreme and outrageous as to exceed the bounds of decency[.]’ </w:t>
      </w:r>
      <w:r w:rsidRPr="00EC5D4A">
        <w:rPr>
          <w:rStyle w:val="Emphasis"/>
          <w:rFonts w:ascii="Times New Roman" w:hAnsi="Times New Roman"/>
          <w:sz w:val="24"/>
          <w:szCs w:val="24"/>
        </w:rPr>
        <w:t>Hoops</w:t>
      </w:r>
      <w:r w:rsidRPr="00EC5D4A">
        <w:rPr>
          <w:rFonts w:ascii="Times New Roman" w:hAnsi="Times New Roman"/>
          <w:sz w:val="24"/>
          <w:szCs w:val="24"/>
        </w:rPr>
        <w:t xml:space="preserve">, 2022 WL 2400039, at *7 (internal quotation marks and citation omitted). Therefore, the Court finds Count IV is sufficient as to Sheriff Zerkle and </w:t>
      </w:r>
      <w:r w:rsidRPr="00EC5D4A">
        <w:rPr>
          <w:rStyle w:val="Strong"/>
          <w:rFonts w:ascii="Times New Roman" w:hAnsi="Times New Roman"/>
          <w:b w:val="0"/>
          <w:bCs w:val="0"/>
          <w:sz w:val="24"/>
          <w:szCs w:val="24"/>
        </w:rPr>
        <w:t>DENIES</w:t>
      </w:r>
      <w:r w:rsidRPr="00EC5D4A">
        <w:rPr>
          <w:rFonts w:ascii="Times New Roman" w:hAnsi="Times New Roman"/>
          <w:sz w:val="24"/>
          <w:szCs w:val="24"/>
        </w:rPr>
        <w:t xml:space="preserve"> the County Defendants' motion to have this Count dismissed against him.</w:t>
      </w:r>
      <w:r w:rsidRPr="00EC5D4A">
        <w:rPr>
          <w:rFonts w:ascii="Times New Roman" w:hAnsi="Times New Roman"/>
          <w:sz w:val="24"/>
          <w:szCs w:val="24"/>
          <w:vertAlign w:val="superscript"/>
        </w:rPr>
        <w:t xml:space="preserve">” </w:t>
      </w:r>
      <w:hyperlink r:id="rId2479" w:history="1">
        <w:r w:rsidRPr="00EC5D4A">
          <w:rPr>
            <w:rStyle w:val="Hyperlink"/>
            <w:rFonts w:ascii="Times New Roman" w:hAnsi="Times New Roman"/>
            <w:sz w:val="24"/>
            <w:szCs w:val="24"/>
          </w:rPr>
          <w:t>https://public.fastcase.com/ZZhmr5v9wN%2FXOe5IsQ%2FqD7d2ApzwrZCQvAZQlM%2B4VVcvgALpNi2VKyyjI%2Bz22f3P?utm_medium=email&amp;_hsmi=226712652&amp;_hsenc=p2ANqtz-9QV0nznODHw4_m_j0AE4K8p0b7Wes2e9d7AzOOyb86IGbeyJ8jbpovdpcqHFVtvrmWyxti44YX_ZuNCNTYmJshWS7Dxw&amp;utm_content=226712652&amp;utm_source=hs_email</w:t>
        </w:r>
      </w:hyperlink>
    </w:p>
    <w:p w14:paraId="1AB70322" w14:textId="77777777" w:rsidR="003A2816" w:rsidRDefault="003A2816" w:rsidP="00EC5D4A">
      <w:pPr>
        <w:pStyle w:val="NoSpacing"/>
        <w:rPr>
          <w:rStyle w:val="Hyperlink"/>
          <w:rFonts w:ascii="Times New Roman" w:hAnsi="Times New Roman"/>
          <w:sz w:val="24"/>
          <w:szCs w:val="24"/>
        </w:rPr>
      </w:pPr>
    </w:p>
    <w:p w14:paraId="0EFF8B1F" w14:textId="77777777" w:rsidR="003A2816" w:rsidRDefault="003A2816" w:rsidP="003A2816">
      <w:pPr>
        <w:pStyle w:val="NormalWeb"/>
        <w:rPr>
          <w:b/>
          <w:bCs/>
        </w:rPr>
      </w:pPr>
      <w:r w:rsidRPr="00E57983">
        <w:rPr>
          <w:b/>
          <w:bCs/>
        </w:rPr>
        <w:t xml:space="preserve">Legal Lesson Learned: </w:t>
      </w:r>
      <w:r>
        <w:rPr>
          <w:b/>
          <w:bCs/>
        </w:rPr>
        <w:t xml:space="preserve">Police body camera footage of interaction with </w:t>
      </w:r>
      <w:proofErr w:type="gramStart"/>
      <w:r>
        <w:rPr>
          <w:b/>
          <w:bCs/>
        </w:rPr>
        <w:t>patient</w:t>
      </w:r>
      <w:proofErr w:type="gramEnd"/>
      <w:r>
        <w:rPr>
          <w:b/>
          <w:bCs/>
        </w:rPr>
        <w:t xml:space="preserve"> very helpful; EMS should likewise consider using body cameras on mental health and other patient refusals. </w:t>
      </w:r>
    </w:p>
    <w:p w14:paraId="7C88DF87" w14:textId="77777777" w:rsidR="003A2816" w:rsidRPr="006E25D9" w:rsidRDefault="003A2816" w:rsidP="003A2816">
      <w:pPr>
        <w:pStyle w:val="NormalWeb"/>
        <w:ind w:left="720"/>
      </w:pPr>
      <w:r w:rsidRPr="006E25D9">
        <w:t xml:space="preserve">Note:  The Court referenced </w:t>
      </w:r>
      <w:proofErr w:type="gramStart"/>
      <w:r>
        <w:t>in its decision (Footnote 3) this interview</w:t>
      </w:r>
      <w:proofErr w:type="gramEnd"/>
      <w:r>
        <w:t xml:space="preserve">. </w:t>
      </w:r>
      <w:r w:rsidRPr="006E25D9">
        <w:t xml:space="preserve">West Virginia Public Broadcasting, Cabell Sheriff Says System Broken As 20 Percent </w:t>
      </w:r>
      <w:proofErr w:type="gramStart"/>
      <w:r w:rsidRPr="006E25D9">
        <w:t>Of</w:t>
      </w:r>
      <w:proofErr w:type="gramEnd"/>
      <w:r w:rsidRPr="006E25D9">
        <w:t xml:space="preserve"> Mental Safety Pickups Go Unanswered </w:t>
      </w:r>
      <w:proofErr w:type="gramStart"/>
      <w:r w:rsidRPr="006E25D9">
        <w:t>In</w:t>
      </w:r>
      <w:proofErr w:type="gramEnd"/>
      <w:r w:rsidRPr="006E25D9">
        <w:t xml:space="preserve"> County (Apr. 5, 2021) </w:t>
      </w:r>
      <w:r w:rsidRPr="006E25D9">
        <w:rPr>
          <w:rStyle w:val="Emphasis"/>
        </w:rPr>
        <w:t>https://perma.cc/4EPP-E4TC</w:t>
      </w:r>
      <w:r w:rsidRPr="006E25D9">
        <w:t>.</w:t>
      </w:r>
    </w:p>
    <w:p w14:paraId="29F431E2" w14:textId="77777777" w:rsidR="003A2816" w:rsidRPr="006B4455" w:rsidRDefault="003A2816" w:rsidP="003A2816">
      <w:pPr>
        <w:pStyle w:val="NormalWeb"/>
        <w:ind w:left="720"/>
      </w:pPr>
      <w:r w:rsidRPr="006B4455">
        <w:t xml:space="preserve">“Cabell Sheriff Says System Broken As 20 Percent </w:t>
      </w:r>
      <w:proofErr w:type="gramStart"/>
      <w:r w:rsidRPr="006B4455">
        <w:t>Of</w:t>
      </w:r>
      <w:proofErr w:type="gramEnd"/>
      <w:r w:rsidRPr="006B4455">
        <w:t xml:space="preserve"> Mental Safety Pickups Go Unanswered </w:t>
      </w:r>
      <w:proofErr w:type="gramStart"/>
      <w:r w:rsidRPr="006B4455">
        <w:t>In</w:t>
      </w:r>
      <w:proofErr w:type="gramEnd"/>
      <w:r w:rsidRPr="006B4455">
        <w:t xml:space="preserve"> County,” April 5, 2021.  </w:t>
      </w:r>
      <w:hyperlink r:id="rId2480" w:history="1">
        <w:r w:rsidRPr="006B4455">
          <w:rPr>
            <w:rStyle w:val="Hyperlink"/>
          </w:rPr>
          <w:t>https://perma.cc/4EPP-E4TC</w:t>
        </w:r>
      </w:hyperlink>
      <w:r w:rsidRPr="006B4455">
        <w:t xml:space="preserve"> </w:t>
      </w:r>
    </w:p>
    <w:p w14:paraId="182A7E0D" w14:textId="77777777" w:rsidR="003A2816" w:rsidRPr="002A3F08" w:rsidRDefault="003A2816" w:rsidP="003A2816">
      <w:pPr>
        <w:pStyle w:val="NormalWeb"/>
        <w:ind w:left="720"/>
      </w:pPr>
      <w:r>
        <w:t>“</w:t>
      </w:r>
      <w:r w:rsidRPr="002A3F08">
        <w:t xml:space="preserve">In West Virginia, when a person is thought to be a threat to themselves or others, they can be involuntarily committed to a mental health facility through a process known as a </w:t>
      </w:r>
      <w:r>
        <w:t>‘</w:t>
      </w:r>
      <w:r w:rsidRPr="002A3F08">
        <w:t>mental hygiene petition.</w:t>
      </w:r>
      <w:r>
        <w:t>’</w:t>
      </w:r>
      <w:r w:rsidRPr="002A3F08">
        <w:t xml:space="preserve"> These petitions, usually taken out by a family member or outreach worker, </w:t>
      </w:r>
      <w:proofErr w:type="gramStart"/>
      <w:r w:rsidRPr="002A3F08">
        <w:t>have to</w:t>
      </w:r>
      <w:proofErr w:type="gramEnd"/>
      <w:r w:rsidRPr="002A3F08">
        <w:t xml:space="preserve"> be approved by a county court and require a sheriff’s deputy to help transport the person being committed.</w:t>
      </w:r>
    </w:p>
    <w:p w14:paraId="31326F1F" w14:textId="77777777" w:rsidR="003A2816" w:rsidRDefault="003A2816" w:rsidP="003A2816">
      <w:pPr>
        <w:pStyle w:val="NormalWeb"/>
        <w:ind w:left="720"/>
      </w:pPr>
      <w:r w:rsidRPr="002A3F08">
        <w:lastRenderedPageBreak/>
        <w:t>But in Cabell County, data from a mental health facility show at least 75 mental hygiene orders went unanswered by the Cabell County Sheriff’s Department in 2020. The sheriff says his department is overwhelmed.</w:t>
      </w:r>
    </w:p>
    <w:p w14:paraId="76DDCD27" w14:textId="77777777" w:rsidR="003A2816" w:rsidRDefault="003A2816" w:rsidP="003A2816">
      <w:pPr>
        <w:pStyle w:val="NormalWeb"/>
        <w:ind w:left="720"/>
      </w:pPr>
      <w:r>
        <w:t>***</w:t>
      </w:r>
    </w:p>
    <w:p w14:paraId="361449A7" w14:textId="77777777" w:rsidR="003A2816" w:rsidRDefault="003A2816" w:rsidP="003A2816">
      <w:pPr>
        <w:pStyle w:val="NormalWeb"/>
        <w:ind w:left="720"/>
      </w:pPr>
      <w:r>
        <w:t>Cabell County Sheriff Chuck Zerkle explains the mental hygiene process at his office in Huntington, West Virginia, on Wednesday, March 31, 2021.</w:t>
      </w:r>
    </w:p>
    <w:p w14:paraId="435A6881" w14:textId="77777777" w:rsidR="003A2816" w:rsidRDefault="003A2816" w:rsidP="003A2816">
      <w:pPr>
        <w:pStyle w:val="NormalWeb"/>
        <w:ind w:left="720"/>
      </w:pPr>
      <w:r>
        <w:t xml:space="preserve">Zerkle added that in 2020 alone, his office received approximately one mental hygiene order </w:t>
      </w:r>
      <w:r>
        <w:rPr>
          <w:i/>
          <w:iCs/>
        </w:rPr>
        <w:t>a day</w:t>
      </w:r>
      <w:r>
        <w:t xml:space="preserve"> from the courts. And per the WV State Code, only sheriffs and their deputies are approved to execute mental hygiene. He says his office can’t keep up.</w:t>
      </w:r>
    </w:p>
    <w:p w14:paraId="7E67F8B9" w14:textId="77777777" w:rsidR="003A2816" w:rsidRDefault="003A2816" w:rsidP="003A2816">
      <w:pPr>
        <w:pStyle w:val="NormalWeb"/>
        <w:ind w:left="1440"/>
      </w:pPr>
      <w:r>
        <w:rPr>
          <w:b/>
          <w:bCs/>
        </w:rPr>
        <w:t>“</w:t>
      </w:r>
      <w:r>
        <w:t>We all want to agree that we’re all wanting to help ourselves dig out of this opioid issue and the mental health issue. But you’ve got a small minority of law enforcement that is saddled with doing this.</w:t>
      </w:r>
    </w:p>
    <w:p w14:paraId="75BDC591" w14:textId="77777777" w:rsidR="003A2816" w:rsidRDefault="003A2816" w:rsidP="003A2816">
      <w:pPr>
        <w:pStyle w:val="NormalWeb"/>
        <w:ind w:left="720"/>
      </w:pPr>
      <w:r>
        <w:t>For Zerkle, the only way to fix the problem is to change the law regarding mental hygiene orders. He doesn’t see why lawmakers can’t approve all law enforcement agencies to do these pickups.</w:t>
      </w:r>
    </w:p>
    <w:p w14:paraId="0C514F54" w14:textId="77777777" w:rsidR="003A2816" w:rsidRDefault="003A2816" w:rsidP="003A2816">
      <w:pPr>
        <w:pStyle w:val="NormalWeb"/>
        <w:ind w:left="1440"/>
      </w:pPr>
      <w:r>
        <w:t>“My perfect world would be law enforcement would secure them, get them to the facility, get the stuff started, and then we leave and turn it over to someone else that’s medically trained to take care of these people,” he said.</w:t>
      </w:r>
    </w:p>
    <w:p w14:paraId="265D028A" w14:textId="77777777" w:rsidR="003A2816" w:rsidRDefault="003A2816" w:rsidP="003A2816">
      <w:pPr>
        <w:pStyle w:val="NormalWeb"/>
        <w:ind w:left="720"/>
      </w:pPr>
      <w:r>
        <w:t xml:space="preserve">Currently, two bills have been introduced by Sen. Charles Trump, a Republican from Morgan County, that would address mental hygiene orders in the state. The new bills would expand the window deputies have to pick people up from 10 to 20 days and remove the need for deputies to first take people to the hospital prior to transporting them to a mental health facility. </w:t>
      </w:r>
      <w:proofErr w:type="gramStart"/>
      <w:r>
        <w:t>Both of these</w:t>
      </w:r>
      <w:proofErr w:type="gramEnd"/>
      <w:r>
        <w:t xml:space="preserve"> bills have made it out of the senate and are currently being heard by the House Health and Human Resources Committee.”</w:t>
      </w:r>
    </w:p>
    <w:p w14:paraId="59372460" w14:textId="77777777" w:rsidR="003A2816" w:rsidRDefault="003A2816" w:rsidP="003A2816">
      <w:pPr>
        <w:pStyle w:val="NoSpacing"/>
        <w:ind w:left="720"/>
        <w:rPr>
          <w:rFonts w:ascii="Times New Roman" w:hAnsi="Times New Roman"/>
          <w:sz w:val="24"/>
          <w:szCs w:val="24"/>
        </w:rPr>
      </w:pPr>
    </w:p>
    <w:p w14:paraId="6D7079DA" w14:textId="77777777" w:rsidR="003A2816" w:rsidRPr="00EC5D4A" w:rsidRDefault="003A2816" w:rsidP="00EC5D4A">
      <w:pPr>
        <w:pStyle w:val="NoSpacing"/>
        <w:rPr>
          <w:rFonts w:ascii="Times New Roman" w:hAnsi="Times New Roman"/>
          <w:sz w:val="24"/>
          <w:szCs w:val="24"/>
        </w:rPr>
      </w:pPr>
    </w:p>
    <w:p w14:paraId="35B31B3D" w14:textId="77777777" w:rsidR="00EC5D4A" w:rsidRDefault="00EC5D4A" w:rsidP="000C4DF5">
      <w:pPr>
        <w:pStyle w:val="NoSpacing"/>
        <w:rPr>
          <w:rFonts w:ascii="Arial Black" w:hAnsi="Arial Black"/>
          <w:sz w:val="24"/>
          <w:szCs w:val="24"/>
        </w:rPr>
      </w:pPr>
    </w:p>
    <w:p w14:paraId="6F0DB125" w14:textId="1733B4FD" w:rsidR="00832745" w:rsidRDefault="00832745" w:rsidP="000C4DF5">
      <w:pPr>
        <w:pStyle w:val="NoSpacing"/>
        <w:rPr>
          <w:rFonts w:ascii="Arial Black" w:hAnsi="Arial Black"/>
          <w:sz w:val="24"/>
          <w:szCs w:val="24"/>
        </w:rPr>
      </w:pPr>
      <w:r>
        <w:rPr>
          <w:rFonts w:ascii="Arial Black" w:hAnsi="Arial Black"/>
          <w:sz w:val="24"/>
          <w:szCs w:val="24"/>
        </w:rPr>
        <w:t>15-26</w:t>
      </w:r>
    </w:p>
    <w:p w14:paraId="58D4A639" w14:textId="77777777" w:rsidR="00832745" w:rsidRDefault="00832745" w:rsidP="00832745">
      <w:pPr>
        <w:pStyle w:val="NormalWeb"/>
        <w:rPr>
          <w:rFonts w:ascii="Arial Black" w:hAnsi="Arial Black"/>
          <w:sz w:val="28"/>
          <w:szCs w:val="28"/>
        </w:rPr>
      </w:pPr>
      <w:r>
        <w:rPr>
          <w:rFonts w:ascii="Arial Black" w:hAnsi="Arial Black"/>
          <w:sz w:val="28"/>
          <w:szCs w:val="28"/>
        </w:rPr>
        <w:t xml:space="preserve">WA: NEW PTSD LAW NOT RETROACTIVE – FF HAD EXHIBITED PTSD PRIOR EFFECTIVE DATE – NOT COVERED </w:t>
      </w:r>
    </w:p>
    <w:p w14:paraId="70F9BF95" w14:textId="77777777" w:rsidR="00832745" w:rsidRDefault="00832745" w:rsidP="00832745">
      <w:pPr>
        <w:pStyle w:val="NormalWeb"/>
      </w:pPr>
      <w:r>
        <w:t xml:space="preserve">On Oct. 2, 2023, in </w:t>
      </w:r>
      <w:r>
        <w:rPr>
          <w:u w:val="single"/>
        </w:rPr>
        <w:t>Frank DeYoung v. The City of Mount Vernon and the Department of Labor and Industries</w:t>
      </w:r>
      <w:r>
        <w:t xml:space="preserve">, the Court of Appeals of the State of Washington, held (3 to 0) that the new PTSD statute for police and fire, making PTSD </w:t>
      </w:r>
      <w:proofErr w:type="spellStart"/>
      <w:proofErr w:type="gramStart"/>
      <w:r>
        <w:t>a</w:t>
      </w:r>
      <w:proofErr w:type="spellEnd"/>
      <w:proofErr w:type="gramEnd"/>
      <w:r>
        <w:t xml:space="preserve"> occupational disease, is not retroactive.  The Court held that the firefighter’s claim on Oct. 24, </w:t>
      </w:r>
      <w:proofErr w:type="gramStart"/>
      <w:r>
        <w:t>2019</w:t>
      </w:r>
      <w:proofErr w:type="gramEnd"/>
      <w:r>
        <w:t xml:space="preserve"> is not covered by the statute. “DeYoung also asserts that the requirement in RCW 51.32.185(5) that a firefighter must have served at least ten years before they are eligible to make a claim indicates the legislature’s intent to apply the statute retroactively. According to DeYoung, applying the statute prospectively would mean that no firefighter will be eligible to file a claim for occupational disease benefits for PTSD until 2028. Id. The plain language of the statute does not support such an interpretation. The statute establishes that only firefighters who have served the minimum number of years may file a claim for occupational disease benefits for PTSD. Nothing about the provision is indicative of retroactivity.” </w:t>
      </w:r>
      <w:hyperlink r:id="rId2481" w:history="1">
        <w:r>
          <w:rPr>
            <w:rStyle w:val="Hyperlink"/>
          </w:rPr>
          <w:t>https://cases.justia.com/washington/court-of-appeals-division-i/2023-84561-6-0.pdf?ts=1696273779</w:t>
        </w:r>
      </w:hyperlink>
      <w:r>
        <w:t xml:space="preserve"> </w:t>
      </w:r>
    </w:p>
    <w:p w14:paraId="49B95CAC" w14:textId="77777777" w:rsidR="000518BE" w:rsidRDefault="000518BE" w:rsidP="000518BE">
      <w:pPr>
        <w:pStyle w:val="Heading1"/>
        <w:rPr>
          <w:sz w:val="24"/>
          <w:szCs w:val="24"/>
        </w:rPr>
      </w:pPr>
      <w:r>
        <w:rPr>
          <w:sz w:val="24"/>
          <w:szCs w:val="24"/>
        </w:rPr>
        <w:lastRenderedPageBreak/>
        <w:t xml:space="preserve">Legal Lesson Learned: Legislatures when drafting new benefits for firefighters should in the statute or the legislative history make clear whether the law is retroactive. </w:t>
      </w:r>
    </w:p>
    <w:p w14:paraId="63268BF8" w14:textId="77777777" w:rsidR="00832745" w:rsidRDefault="00832745" w:rsidP="000C4DF5">
      <w:pPr>
        <w:pStyle w:val="NoSpacing"/>
        <w:rPr>
          <w:rFonts w:ascii="Arial Black" w:hAnsi="Arial Black"/>
          <w:sz w:val="24"/>
          <w:szCs w:val="24"/>
        </w:rPr>
      </w:pPr>
    </w:p>
    <w:p w14:paraId="0D52EABB" w14:textId="77777777" w:rsidR="00832745" w:rsidRDefault="00832745" w:rsidP="000C4DF5">
      <w:pPr>
        <w:pStyle w:val="NoSpacing"/>
        <w:rPr>
          <w:rFonts w:ascii="Arial Black" w:hAnsi="Arial Black"/>
          <w:sz w:val="24"/>
          <w:szCs w:val="24"/>
        </w:rPr>
      </w:pPr>
    </w:p>
    <w:p w14:paraId="302C51AA" w14:textId="7B51D485" w:rsidR="00D66BAA" w:rsidRDefault="00D66BAA" w:rsidP="000C4DF5">
      <w:pPr>
        <w:pStyle w:val="NoSpacing"/>
        <w:rPr>
          <w:rFonts w:ascii="Arial Black" w:hAnsi="Arial Black"/>
          <w:sz w:val="24"/>
          <w:szCs w:val="24"/>
        </w:rPr>
      </w:pPr>
      <w:r>
        <w:rPr>
          <w:rFonts w:ascii="Arial Black" w:hAnsi="Arial Black"/>
          <w:sz w:val="24"/>
          <w:szCs w:val="24"/>
        </w:rPr>
        <w:t>15-25</w:t>
      </w:r>
    </w:p>
    <w:p w14:paraId="7A84A0DA" w14:textId="6B2DAF80" w:rsidR="00D66BAA" w:rsidRDefault="00D66BAA" w:rsidP="00D66BAA">
      <w:pPr>
        <w:pStyle w:val="NormalWeb"/>
        <w:rPr>
          <w:rFonts w:ascii="Arial Black" w:hAnsi="Arial Black"/>
          <w:sz w:val="28"/>
          <w:szCs w:val="28"/>
        </w:rPr>
      </w:pPr>
      <w:r>
        <w:rPr>
          <w:rFonts w:ascii="Arial Black" w:hAnsi="Arial Black"/>
          <w:sz w:val="28"/>
          <w:szCs w:val="28"/>
        </w:rPr>
        <w:t xml:space="preserve">IL: PTSD - DENIED LINE-OF-DUTY DISABILITY PENSION – FELL OFF LADDER 2007 – STRESS FROM DEMOTION 2019 </w:t>
      </w:r>
    </w:p>
    <w:p w14:paraId="4D1BB1D9" w14:textId="77777777" w:rsidR="00D66BAA" w:rsidRDefault="00D66BAA" w:rsidP="00D66BAA">
      <w:pPr>
        <w:pStyle w:val="NormalWeb"/>
      </w:pPr>
      <w:r>
        <w:t xml:space="preserve">On March 24, 2023, in </w:t>
      </w:r>
      <w:r>
        <w:rPr>
          <w:u w:val="single"/>
        </w:rPr>
        <w:t>Arthur Szymala v, Romeoville Firefighters’ Pension Fund, et al</w:t>
      </w:r>
      <w:r>
        <w:t xml:space="preserve">., the Court of Appeals of Illinois, Third District, held (3 to 0) that the Pension Board, and the trial court judge, each properly held that the firefighter was not entitled to Line-Of-Duty disability; the firefighter claimed he was disabled due to his posttraumatic stress disorder (PTSD) and major depressive disorder. </w:t>
      </w:r>
    </w:p>
    <w:p w14:paraId="3A82A5FA" w14:textId="77777777" w:rsidR="00D66BAA" w:rsidRDefault="00D66BAA" w:rsidP="00D66BAA">
      <w:pPr>
        <w:pStyle w:val="NormalWeb"/>
        <w:ind w:left="720"/>
      </w:pPr>
      <w:r>
        <w:t xml:space="preserve">The Court of Appeals referenced Board decision, which was made after the firefighter was examined by three independent medical experts (IMEs): “The Board concluded that the plaintiff did not prove a disability, noting: (1) the minor injuries reported after the fall that he fully recovered from, (2) Dr. Eschbach's opinion linking the fall and his condition was based on incomplete and inaccurate information, (3) the plaintiff succeeded in his career for many years following the fall and was promoted after a competitive test, (4) the plaintiff reported a change in work conditions when the department brought in a new battalion chief who frequently challenged the plaintiff's work performance (evidencing a personal dispute rather than a deficit in brain functioning from a fall seven to eight years prior), and (5) the plaintiff only ever reported the claimed conditions immediately following his demotion.” </w:t>
      </w:r>
      <w:hyperlink r:id="rId2482" w:history="1">
        <w:r>
          <w:rPr>
            <w:rStyle w:val="Hyperlink"/>
          </w:rPr>
          <w:t>https://ilcourtsaudio.blob.core.windows.net/antilles-resources/resources/92cdfb54-2dda-4342-acee-d86ea11493ea/Szymala%20v.%20Romeoville%20Firefighters%27%20Pension%20Fund,%202023%20IL%20App%20(3d)%20220093-U.pdf</w:t>
        </w:r>
      </w:hyperlink>
      <w:r>
        <w:t xml:space="preserve"> </w:t>
      </w:r>
    </w:p>
    <w:p w14:paraId="412640FC" w14:textId="77777777" w:rsidR="00D66BAA" w:rsidRDefault="00D66BAA" w:rsidP="00D66BAA">
      <w:pPr>
        <w:pStyle w:val="NormalWeb"/>
        <w:ind w:left="720"/>
      </w:pPr>
      <w:r>
        <w:t xml:space="preserve">“In 2013, the plaintiff was promoted to lieutenant following a competitive promotional testing process. However, he testified that management decided that his performance as lieutenant was inadequate between 2015 and 2018. Around May 2017, the plaintiff was placed on a ‘Performance Improvement Plan’, which included an evaluation of his work performance as lieutenant from May 24, 2017, through February 28, 2018. He </w:t>
      </w:r>
      <w:proofErr w:type="gramStart"/>
      <w:r>
        <w:t>entered into</w:t>
      </w:r>
      <w:proofErr w:type="gramEnd"/>
      <w:r>
        <w:t xml:space="preserve"> a ‘Last Chance Agreement’ in April 2018, where he acknowledged deficiencies in his work performance and agreed to improve these areas during a period of 60 work shifts or risk </w:t>
      </w:r>
      <w:proofErr w:type="gramStart"/>
      <w:r>
        <w:t>a demotion</w:t>
      </w:r>
      <w:proofErr w:type="gramEnd"/>
      <w:r>
        <w:t xml:space="preserve">. The agreement </w:t>
      </w:r>
      <w:proofErr w:type="gramStart"/>
      <w:r>
        <w:t>provided that</w:t>
      </w:r>
      <w:proofErr w:type="gramEnd"/>
      <w:r>
        <w:t xml:space="preserve"> he failed to meet various guidelines, such as working as a team, leading personnel, communicating effectively, and working calmly in stressful situations.</w:t>
      </w:r>
    </w:p>
    <w:p w14:paraId="7397E33A" w14:textId="77777777" w:rsidR="00D66BAA" w:rsidRDefault="00D66BAA" w:rsidP="00D66BAA">
      <w:pPr>
        <w:pStyle w:val="NormalWeb"/>
        <w:ind w:left="720"/>
      </w:pPr>
      <w:r>
        <w:t>***</w:t>
      </w:r>
    </w:p>
    <w:p w14:paraId="24F5268D" w14:textId="77777777" w:rsidR="00D66BAA" w:rsidRDefault="00D66BAA" w:rsidP="00D66BAA">
      <w:pPr>
        <w:pStyle w:val="NormalWeb"/>
        <w:ind w:left="720"/>
      </w:pPr>
      <w:r>
        <w:t>On January 29, 2019, the plaintiff attended a meeting with Chief Kent Adams, other fire department officials, and the Union Executive Board. During the meeting, Chief Adams informed the plaintiff that he failed to satisfactorily complete the Performance Improvement Plan and terms of the Last Chance Agreement and that his performance as lieutenant remained inadequate. The plaintiff was also informed that he was being demoted from lieutenant to firefighter/paramedic effectively immediately.”</w:t>
      </w:r>
    </w:p>
    <w:p w14:paraId="6BD4BA13" w14:textId="77777777" w:rsidR="00D66BAA" w:rsidRDefault="00D66BAA" w:rsidP="00D66BAA">
      <w:pPr>
        <w:pStyle w:val="NormalWeb"/>
        <w:rPr>
          <w:b/>
          <w:bCs/>
        </w:rPr>
      </w:pPr>
      <w:r>
        <w:rPr>
          <w:b/>
          <w:bCs/>
        </w:rPr>
        <w:t xml:space="preserve">Legal Lesson Learned: Working for a “difficult” Battalion Chief may </w:t>
      </w:r>
      <w:proofErr w:type="gramStart"/>
      <w:r>
        <w:rPr>
          <w:b/>
          <w:bCs/>
        </w:rPr>
        <w:t>definitely cause</w:t>
      </w:r>
      <w:proofErr w:type="gramEnd"/>
      <w:r>
        <w:rPr>
          <w:b/>
          <w:bCs/>
        </w:rPr>
        <w:t xml:space="preserve"> stress, but it is not proof of a line-of-duty disability.</w:t>
      </w:r>
    </w:p>
    <w:p w14:paraId="5AF35659" w14:textId="77777777" w:rsidR="00D66BAA" w:rsidRDefault="00D66BAA" w:rsidP="00D66BAA">
      <w:pPr>
        <w:pStyle w:val="NormalWeb"/>
        <w:rPr>
          <w:b/>
          <w:bCs/>
        </w:rPr>
      </w:pPr>
    </w:p>
    <w:p w14:paraId="1CF19242" w14:textId="77777777" w:rsidR="00D66BAA" w:rsidRDefault="00D66BAA" w:rsidP="000C4DF5">
      <w:pPr>
        <w:pStyle w:val="NoSpacing"/>
        <w:rPr>
          <w:rFonts w:ascii="Arial Black" w:hAnsi="Arial Black"/>
          <w:sz w:val="24"/>
          <w:szCs w:val="24"/>
        </w:rPr>
      </w:pPr>
    </w:p>
    <w:p w14:paraId="1D7CB2FD" w14:textId="77777777" w:rsidR="00D66BAA" w:rsidRDefault="00D66BAA" w:rsidP="000C4DF5">
      <w:pPr>
        <w:pStyle w:val="NoSpacing"/>
        <w:rPr>
          <w:rFonts w:ascii="Arial Black" w:hAnsi="Arial Black"/>
          <w:sz w:val="24"/>
          <w:szCs w:val="24"/>
        </w:rPr>
      </w:pPr>
    </w:p>
    <w:p w14:paraId="03DF357C" w14:textId="77777777" w:rsidR="00D66BAA" w:rsidRDefault="00D66BAA" w:rsidP="000C4DF5">
      <w:pPr>
        <w:pStyle w:val="NoSpacing"/>
        <w:rPr>
          <w:rFonts w:ascii="Arial Black" w:hAnsi="Arial Black"/>
          <w:sz w:val="24"/>
          <w:szCs w:val="24"/>
        </w:rPr>
      </w:pPr>
    </w:p>
    <w:p w14:paraId="0593526A" w14:textId="53EB45BD" w:rsidR="00F55395" w:rsidRDefault="00F55395" w:rsidP="000C4DF5">
      <w:pPr>
        <w:pStyle w:val="NoSpacing"/>
        <w:rPr>
          <w:rFonts w:ascii="Arial Black" w:hAnsi="Arial Black"/>
          <w:sz w:val="24"/>
          <w:szCs w:val="24"/>
        </w:rPr>
      </w:pPr>
      <w:r>
        <w:rPr>
          <w:rFonts w:ascii="Arial Black" w:hAnsi="Arial Black"/>
          <w:sz w:val="24"/>
          <w:szCs w:val="24"/>
        </w:rPr>
        <w:t>15-24</w:t>
      </w:r>
    </w:p>
    <w:p w14:paraId="0B98FCC8" w14:textId="77777777" w:rsidR="00F55395" w:rsidRPr="00AD7734" w:rsidRDefault="00F55395" w:rsidP="00F55395">
      <w:pPr>
        <w:pStyle w:val="NormalWeb"/>
        <w:rPr>
          <w:rFonts w:ascii="Arial Black" w:hAnsi="Arial Black"/>
          <w:b/>
          <w:bCs/>
          <w:sz w:val="28"/>
          <w:szCs w:val="28"/>
        </w:rPr>
      </w:pPr>
      <w:r>
        <w:rPr>
          <w:rFonts w:ascii="Arial Black" w:hAnsi="Arial Black"/>
          <w:b/>
          <w:bCs/>
          <w:sz w:val="28"/>
          <w:szCs w:val="28"/>
        </w:rPr>
        <w:t>LA: FD FINANCE MGR. – EAP COUNSELING SESSIONS ONLY AFTER WORK – RESIGNED - NO CONSTRUCTIVE DISCHARGE</w:t>
      </w:r>
    </w:p>
    <w:p w14:paraId="07262CBF" w14:textId="77777777" w:rsidR="00F55395" w:rsidRDefault="00F55395" w:rsidP="00F55395">
      <w:pPr>
        <w:pStyle w:val="NormalWeb"/>
      </w:pPr>
      <w:r>
        <w:t xml:space="preserve">On March 1, 2023, in </w:t>
      </w:r>
      <w:r w:rsidRPr="00AD7734">
        <w:rPr>
          <w:u w:val="single"/>
        </w:rPr>
        <w:t>Sherita Ann Cooks v. The City of Shreveport, et al</w:t>
      </w:r>
      <w:r>
        <w:t xml:space="preserve">., the Court of Appeals of Louisiana, Second Circuit, held (3 to 0) that the trial court properly dismissed her claim of that workplace was so hostile that she was forced to quit.  The Court wrote: “The plaintiff's summary judgment evidence falls far short of prima facie proof of constructive termination. The entirety of the evidence that she cites in support of that claim consists of an April 2016 email exchange between her and Chief Tolliver wherein the plaintiff requested an explanation as to why she could not attend an EAP session during her lunch hour, even though it would take more than one hour when including travel time. The plaintiff offered to compensate the </w:t>
      </w:r>
      <w:proofErr w:type="gramStart"/>
      <w:r>
        <w:t>City</w:t>
      </w:r>
      <w:proofErr w:type="gramEnd"/>
      <w:r>
        <w:t xml:space="preserve"> for the time the session required </w:t>
      </w:r>
      <w:proofErr w:type="gramStart"/>
      <w:r>
        <w:t>in excess of</w:t>
      </w:r>
      <w:proofErr w:type="gramEnd"/>
      <w:r>
        <w:t xml:space="preserve"> the allotted one-hour lunch by taking sick leave. In response, Chief Tolliver granted the plaintiff permission to attend one session during her lunch hour, but stated that, thereafter, the plaintiff would have to adhere to the fire department's policy of requiring that EAP sessions take place after work hours.” </w:t>
      </w:r>
      <w:hyperlink r:id="rId2483" w:history="1">
        <w:r w:rsidRPr="003F256B">
          <w:rPr>
            <w:rStyle w:val="Hyperlink"/>
            <w:rFonts w:eastAsiaTheme="majorEastAsia"/>
          </w:rPr>
          <w:t>https://law.justia.com/cases/louisiana/second-circuit-court-of-appeal/2023/54-841-ca.html</w:t>
        </w:r>
      </w:hyperlink>
      <w:r>
        <w:t xml:space="preserve"> </w:t>
      </w:r>
    </w:p>
    <w:p w14:paraId="5E8F55AE" w14:textId="77777777" w:rsidR="00F55395" w:rsidRDefault="00F55395" w:rsidP="00F55395">
      <w:pPr>
        <w:pStyle w:val="NormalWeb"/>
        <w:ind w:left="720"/>
      </w:pPr>
      <w:r>
        <w:t xml:space="preserve">“This case stems from the plaintiff's employment as a financial accreditation manager with the Shreveport Fire Department, which began in June 2014. In or around December 2014, the plaintiff's immediate supervisor, Chief of Communications, Kathy Rushworth (‘Chief Rushworth’), allegedly ordered the plaintiff to spend her personal money on official fire department business and indicated that plaintiff would be reimbursed from an "off the books" bank account known as the International CAD Consortium fund (‘ICC fund’). It contained money that was to fund a consortium event; the event was later canceled, but the money was not refunded. The plaintiff alleged that her assistant, Ashley </w:t>
      </w:r>
      <w:proofErr w:type="gramStart"/>
      <w:r>
        <w:t>Wiggins (‘</w:t>
      </w:r>
      <w:proofErr w:type="gramEnd"/>
      <w:r>
        <w:t>Wiggins’), and Chief Rushworth, used the ICC fund as a ‘slush fund,’ and that Chief Rushworth instructed her to not open the ICC bank statements or mention the ICC fund to the finance auditor or Violet Anderson, the Assistant Chief of Communications.</w:t>
      </w:r>
    </w:p>
    <w:p w14:paraId="3BD6DA30" w14:textId="77777777" w:rsidR="00F55395" w:rsidRDefault="00F55395" w:rsidP="00F55395">
      <w:pPr>
        <w:pStyle w:val="NormalWeb"/>
        <w:ind w:left="720"/>
      </w:pPr>
      <w:r>
        <w:t>***</w:t>
      </w:r>
    </w:p>
    <w:p w14:paraId="3C7D4572" w14:textId="77777777" w:rsidR="00F55395" w:rsidRDefault="00F55395" w:rsidP="00F55395">
      <w:pPr>
        <w:pStyle w:val="NormalWeb"/>
        <w:ind w:left="720"/>
      </w:pPr>
      <w:r>
        <w:t xml:space="preserve">Also, in April 2016, because of the stress that the hostile work environment and the slush fund matter allegedly </w:t>
      </w:r>
      <w:proofErr w:type="gramStart"/>
      <w:r>
        <w:t>caused her</w:t>
      </w:r>
      <w:proofErr w:type="gramEnd"/>
      <w:r>
        <w:t xml:space="preserve">, the plaintiff voluntarily began counseling or psychiatry sessions pursuant to the city's employee assistance </w:t>
      </w:r>
      <w:proofErr w:type="gramStart"/>
      <w:r>
        <w:t>program (‘</w:t>
      </w:r>
      <w:proofErr w:type="gramEnd"/>
      <w:r>
        <w:t>EAP’). However, with only one exception, she was not allowed to use her sick leave to attend these sessions during the workday. Furthermore, as previously stated, the plaintiff took a two-month sabbatical beginning in April 2016. It bears repeating that when the plaintiff returned to work in June 2016, both Chief Rushworth and Wiggins were no longer employed with the Shreveport Fire Department. The plaintiff did not quit her job until November 2016.”</w:t>
      </w:r>
    </w:p>
    <w:p w14:paraId="2CDDF05F" w14:textId="77777777" w:rsidR="00F55395" w:rsidRPr="00927A58" w:rsidRDefault="00F55395" w:rsidP="00F55395">
      <w:pPr>
        <w:pStyle w:val="NormalWeb"/>
        <w:rPr>
          <w:b/>
          <w:bCs/>
        </w:rPr>
      </w:pPr>
      <w:r w:rsidRPr="00927A58">
        <w:rPr>
          <w:b/>
          <w:bCs/>
        </w:rPr>
        <w:t>Legal Lesson Learned:</w:t>
      </w:r>
      <w:r>
        <w:rPr>
          <w:b/>
          <w:bCs/>
        </w:rPr>
        <w:t xml:space="preserve">  Employee Assistance Programs (EAP) can be very beneficial.  Consider adding a provision in employee handbook allowing sick leave to be used.  </w:t>
      </w:r>
    </w:p>
    <w:p w14:paraId="4D2B278C" w14:textId="757CC001" w:rsidR="00F55395" w:rsidRDefault="00F55395" w:rsidP="000C4DF5">
      <w:pPr>
        <w:pStyle w:val="NoSpacing"/>
        <w:rPr>
          <w:rFonts w:ascii="Arial Black" w:hAnsi="Arial Black"/>
          <w:sz w:val="24"/>
          <w:szCs w:val="24"/>
        </w:rPr>
      </w:pPr>
    </w:p>
    <w:p w14:paraId="79593F02" w14:textId="77777777" w:rsidR="00F55395" w:rsidRDefault="00F55395" w:rsidP="000C4DF5">
      <w:pPr>
        <w:pStyle w:val="NoSpacing"/>
        <w:rPr>
          <w:rFonts w:ascii="Arial Black" w:hAnsi="Arial Black"/>
          <w:sz w:val="24"/>
          <w:szCs w:val="24"/>
        </w:rPr>
      </w:pPr>
    </w:p>
    <w:p w14:paraId="1239225A" w14:textId="77777777" w:rsidR="00F55395" w:rsidRDefault="00F55395" w:rsidP="000C4DF5">
      <w:pPr>
        <w:pStyle w:val="NoSpacing"/>
        <w:rPr>
          <w:rFonts w:ascii="Arial Black" w:hAnsi="Arial Black"/>
          <w:sz w:val="24"/>
          <w:szCs w:val="24"/>
        </w:rPr>
      </w:pPr>
    </w:p>
    <w:p w14:paraId="4DDEDF4C" w14:textId="6FD324D6" w:rsidR="00F55395" w:rsidRDefault="00F55395" w:rsidP="000C4DF5">
      <w:pPr>
        <w:pStyle w:val="NoSpacing"/>
        <w:rPr>
          <w:rFonts w:ascii="Arial Black" w:hAnsi="Arial Black"/>
          <w:sz w:val="24"/>
          <w:szCs w:val="24"/>
        </w:rPr>
      </w:pPr>
      <w:r>
        <w:rPr>
          <w:rFonts w:ascii="Arial Black" w:hAnsi="Arial Black"/>
          <w:sz w:val="24"/>
          <w:szCs w:val="24"/>
        </w:rPr>
        <w:t>15-23</w:t>
      </w:r>
    </w:p>
    <w:p w14:paraId="41E250C5" w14:textId="77777777" w:rsidR="00F55395" w:rsidRDefault="00F55395" w:rsidP="00F55395">
      <w:pPr>
        <w:pStyle w:val="NormalWeb"/>
        <w:rPr>
          <w:rFonts w:ascii="Arial Black" w:hAnsi="Arial Black"/>
          <w:b/>
          <w:bCs/>
          <w:sz w:val="28"/>
          <w:szCs w:val="28"/>
        </w:rPr>
      </w:pPr>
      <w:r>
        <w:rPr>
          <w:rFonts w:ascii="Arial Black" w:hAnsi="Arial Black"/>
          <w:b/>
          <w:bCs/>
          <w:sz w:val="28"/>
          <w:szCs w:val="28"/>
        </w:rPr>
        <w:lastRenderedPageBreak/>
        <w:t xml:space="preserve">FL: BAT. CHIEF “EXTREMELY ANXIOUS” MAKING EMER. RUNS – DENIED OFFICE WORK ONLY - PIP - FIRED </w:t>
      </w:r>
    </w:p>
    <w:p w14:paraId="22417CBF" w14:textId="77777777" w:rsidR="00F55395" w:rsidRDefault="00F55395" w:rsidP="00F55395">
      <w:pPr>
        <w:pStyle w:val="NormalWeb"/>
      </w:pPr>
      <w:r w:rsidRPr="00930FD8">
        <w:t xml:space="preserve">On Feb. 14, 2023, in </w:t>
      </w:r>
      <w:r w:rsidRPr="00930FD8">
        <w:rPr>
          <w:u w:val="single"/>
        </w:rPr>
        <w:t>William Valencia v. Haines City, Florida,</w:t>
      </w:r>
      <w:r w:rsidRPr="00930FD8">
        <w:t xml:space="preserve"> </w:t>
      </w:r>
      <w:r>
        <w:t xml:space="preserve">U.S. District Court Judge Tom Barber granted City’s motion for summary judgment.  The Battalion Chief suffered from high blood pressure and anxiety, and in 2018 the Fire Chief allowed him to do administrative work and not make emergency runs. In February 2019, Jeffrey Davidson became the new Fire Chief. Plaintiff asked Davidson to excuse him from running calls. Davidson did not agree, and he asked Plaintiff to provide medical documentation to support the request, which Plaintiff never did. He was placed on a 90-day Performance Improvement Plan [PIPO|] in </w:t>
      </w:r>
      <w:proofErr w:type="gramStart"/>
      <w:r>
        <w:t>Nov. 2019, and</w:t>
      </w:r>
      <w:proofErr w:type="gramEnd"/>
      <w:r>
        <w:t xml:space="preserve"> ultimately fired after a pre-disciplinary hearing on April 10, 2020.  The Court held: “In short, Defendant has pointed to legitimate reasons that would motivate a reasonable employer to take the actions it did, and Plaintiff has not shown that the reasons were pretextual under the standards set forth above. Defendant may have been high-handed, unfair, or wrong, but Plaintiff has pointed to no evidence that its stated reasons were not the real reasons. Accordingly, Defendant's motion for summary judgment is granted.” </w:t>
      </w:r>
      <w:hyperlink r:id="rId2484" w:history="1">
        <w:r w:rsidRPr="00933DFB">
          <w:rPr>
            <w:rStyle w:val="Hyperlink"/>
            <w:rFonts w:eastAsiaTheme="majorEastAsia"/>
          </w:rPr>
          <w:t>https://storage.courtlistener.com/recap/gov.uscourts.flmd.392068/gov.uscourts.flmd.392068.43.0.pdf</w:t>
        </w:r>
      </w:hyperlink>
      <w:r>
        <w:t xml:space="preserve"> </w:t>
      </w:r>
    </w:p>
    <w:p w14:paraId="455B636F" w14:textId="77777777" w:rsidR="00F55395" w:rsidRPr="00930FD8" w:rsidRDefault="00F55395" w:rsidP="00F55395">
      <w:pPr>
        <w:pStyle w:val="NormalWeb"/>
        <w:ind w:left="720"/>
        <w:rPr>
          <w:rFonts w:ascii="Arial Black" w:hAnsi="Arial Black"/>
          <w:b/>
          <w:bCs/>
          <w:sz w:val="28"/>
          <w:szCs w:val="28"/>
        </w:rPr>
      </w:pPr>
      <w:r>
        <w:t xml:space="preserve">“Defendant [Fire Department] has offered legitimate non-discriminatory and non-retaliatory reasons for Plaintiff's discipline and termination, identifying numerous specific incidents and problems with Plaintiff's performance as Battalion Chief in 2019. Chief Davidson supported his recommendation that Plaintiff be terminated by citing the following issues, among others: multiple instances of improper use of a department purchasing card for supplies without using a tax exemption as required by department policy, failure to turn in an assignment in time for Davidson to use at a meeting, failure to send part of another assignment until reminded to do so by Davidson, turning in a report that was due in October on November 1, 2019, failing to attend a training class as directed, failing to prepare a draft purchasing procedure as directed, and coming to a meeting without a list of specific job responsibilities as directed.” </w:t>
      </w:r>
    </w:p>
    <w:p w14:paraId="5E026E11" w14:textId="77777777" w:rsidR="00F55395" w:rsidRDefault="00F55395" w:rsidP="00F55395">
      <w:pPr>
        <w:pStyle w:val="NormalWeb"/>
        <w:rPr>
          <w:b/>
          <w:bCs/>
        </w:rPr>
      </w:pPr>
      <w:r w:rsidRPr="006C0460">
        <w:rPr>
          <w:b/>
          <w:bCs/>
        </w:rPr>
        <w:t>Legal Lesson Learned:</w:t>
      </w:r>
      <w:r>
        <w:rPr>
          <w:b/>
          <w:bCs/>
        </w:rPr>
        <w:t xml:space="preserve">  A “PIP” can be an effective management tool.    </w:t>
      </w:r>
    </w:p>
    <w:p w14:paraId="1E456CBA" w14:textId="77777777" w:rsidR="00F55395" w:rsidRPr="006C0460" w:rsidRDefault="00F55395" w:rsidP="00F55395">
      <w:pPr>
        <w:pStyle w:val="NormalWeb"/>
        <w:ind w:left="720"/>
        <w:rPr>
          <w:b/>
          <w:bCs/>
        </w:rPr>
      </w:pPr>
      <w:r w:rsidRPr="00FE0DD3">
        <w:t xml:space="preserve">Note: See EEOC description of “reasonable </w:t>
      </w:r>
      <w:r>
        <w:t>a</w:t>
      </w:r>
      <w:r w:rsidRPr="00FE0DD3">
        <w:t>ccommodations” obligations under ADA</w:t>
      </w:r>
      <w:r>
        <w:t>.</w:t>
      </w:r>
      <w:r w:rsidRPr="00FE0DD3">
        <w:t xml:space="preserve"> “</w:t>
      </w:r>
      <w:r>
        <w:t xml:space="preserve">An employer doesn't have to provide an accommodation if doing so would cause undue hardship to the business.  Undue hardship means that the accommodation would be too difficult or too expensive to provide, </w:t>
      </w:r>
      <w:proofErr w:type="gramStart"/>
      <w:r>
        <w:t>in light of</w:t>
      </w:r>
      <w:proofErr w:type="gramEnd"/>
      <w:r>
        <w:t xml:space="preserve"> the employer's size, financial resources, and the needs of the business.” </w:t>
      </w:r>
      <w:hyperlink r:id="rId2485" w:history="1">
        <w:r w:rsidRPr="00557FA1">
          <w:rPr>
            <w:rStyle w:val="Hyperlink"/>
            <w:rFonts w:eastAsiaTheme="majorEastAsia"/>
          </w:rPr>
          <w:t>https://www.eeoc.gov/disability-discrimination-and-employment-decisions</w:t>
        </w:r>
      </w:hyperlink>
      <w:r>
        <w:t xml:space="preserve"> </w:t>
      </w:r>
    </w:p>
    <w:p w14:paraId="0F2963B2" w14:textId="77777777" w:rsidR="00F55395" w:rsidRDefault="00F55395" w:rsidP="000C4DF5">
      <w:pPr>
        <w:pStyle w:val="NoSpacing"/>
        <w:rPr>
          <w:rFonts w:ascii="Arial Black" w:hAnsi="Arial Black"/>
          <w:sz w:val="24"/>
          <w:szCs w:val="24"/>
        </w:rPr>
      </w:pPr>
    </w:p>
    <w:p w14:paraId="02A65238" w14:textId="77777777" w:rsidR="00F55395" w:rsidRDefault="00F55395" w:rsidP="000C4DF5">
      <w:pPr>
        <w:pStyle w:val="NoSpacing"/>
        <w:rPr>
          <w:rFonts w:ascii="Arial Black" w:hAnsi="Arial Black"/>
          <w:sz w:val="24"/>
          <w:szCs w:val="24"/>
        </w:rPr>
      </w:pPr>
    </w:p>
    <w:p w14:paraId="1DF8E2A4" w14:textId="77777777" w:rsidR="00F55395" w:rsidRDefault="00F55395" w:rsidP="000C4DF5">
      <w:pPr>
        <w:pStyle w:val="NoSpacing"/>
        <w:rPr>
          <w:rFonts w:ascii="Arial Black" w:hAnsi="Arial Black"/>
          <w:sz w:val="24"/>
          <w:szCs w:val="24"/>
        </w:rPr>
      </w:pPr>
    </w:p>
    <w:p w14:paraId="2346BD04" w14:textId="41ACD1C9" w:rsidR="00BA3CDE" w:rsidRDefault="00BA3CDE" w:rsidP="000C4DF5">
      <w:pPr>
        <w:pStyle w:val="NoSpacing"/>
        <w:rPr>
          <w:rFonts w:ascii="Arial Black" w:hAnsi="Arial Black"/>
          <w:sz w:val="24"/>
          <w:szCs w:val="24"/>
        </w:rPr>
      </w:pPr>
      <w:r>
        <w:rPr>
          <w:rFonts w:ascii="Arial Black" w:hAnsi="Arial Black"/>
          <w:sz w:val="24"/>
          <w:szCs w:val="24"/>
        </w:rPr>
        <w:t>15-22</w:t>
      </w:r>
    </w:p>
    <w:p w14:paraId="27E01CB9" w14:textId="77777777" w:rsidR="00BA3CDE" w:rsidRPr="009024DC" w:rsidRDefault="00BA3CDE" w:rsidP="00BA3CDE">
      <w:pPr>
        <w:pStyle w:val="NormalWeb"/>
        <w:rPr>
          <w:rFonts w:ascii="Arial Black" w:hAnsi="Arial Black"/>
          <w:sz w:val="28"/>
          <w:szCs w:val="28"/>
        </w:rPr>
      </w:pPr>
      <w:r>
        <w:rPr>
          <w:rFonts w:ascii="Arial Black" w:hAnsi="Arial Black"/>
          <w:sz w:val="28"/>
          <w:szCs w:val="28"/>
        </w:rPr>
        <w:t xml:space="preserve">MN: PTSD STATUTORY PRESUMPTION - DEPUTY GET WORKER COMP – COUNTY PSYCH IME NOT FOR 10 MONTHS </w:t>
      </w:r>
    </w:p>
    <w:p w14:paraId="5BBAA844" w14:textId="77777777" w:rsidR="00BA3CDE" w:rsidRDefault="00BA3CDE" w:rsidP="00BA3CDE">
      <w:pPr>
        <w:pStyle w:val="NormalWeb"/>
      </w:pPr>
      <w:r>
        <w:t xml:space="preserve">On Dec. 21, 2022, in </w:t>
      </w:r>
      <w:r w:rsidRPr="00DB4210">
        <w:t>Douglas Juntunen v. Carlton County, et al.,</w:t>
      </w:r>
      <w:r>
        <w:t xml:space="preserve"> the Supreme Court of Minnesota held (7 to 0; including 2 concurring opinions) that Deputy Juntunen is entitled to workers compensation. The Deputy’s psychiatrist concluded he suffered from PTSD on the date of the exam, Aug. 20, 2019. The County took 10 months to arrange for their psychiatrist to conduct an independent medical exam (July 20, 2020), who concluded that the Deputy now suffers from major depression but not PTSD. The County therefore failed to rebut the Minnesota statutory presumption for emergency responders.  The Deputy also submitted proof of seeking mental help after the suicide of a former partner in 2016.  He contacted County EAP who referred him </w:t>
      </w:r>
      <w:r>
        <w:lastRenderedPageBreak/>
        <w:t xml:space="preserve">to Beth Jordan, a licensed mental health clinician, who he saw four our times during next 3 months. Then in Dec. 2018, he renewed meeting with the Beth Jordan when he found it </w:t>
      </w:r>
      <w:proofErr w:type="gramStart"/>
      <w:r>
        <w:t>more and more</w:t>
      </w:r>
      <w:proofErr w:type="gramEnd"/>
      <w:r>
        <w:t xml:space="preserve"> difficult to report to duty.  Over the next few months, he met with Jordan a few times a month, and he received eye movement desensitization and reprocessing (EMDR) therapy to process the pursuit and suicide, his partner's suicide, his mother's death, and the death of a 16-year-old boy in MVA who had just received his driver’s license. The Workers Comp administrative law judge denied coverage based on the County’s psychiatrist’s report.  On appeal, the Workers' Compensation Court of Appeals reversed since that report was 10 months after the Deputy’s report of PTSD (Aug. 20, 2019).  The Minnesota statutory presumption law became effective for claims made on or after Jan. 1, 2019.</w:t>
      </w:r>
    </w:p>
    <w:p w14:paraId="22D62859" w14:textId="77777777" w:rsidR="00BA3CDE" w:rsidRPr="00B57D9A" w:rsidRDefault="00BA3CDE" w:rsidP="00BA3CDE">
      <w:pPr>
        <w:pStyle w:val="NormalWeb"/>
        <w:ind w:left="720"/>
      </w:pPr>
      <w:r>
        <w:t>“</w:t>
      </w:r>
      <w:r w:rsidRPr="00B57D9A">
        <w:t xml:space="preserve">The employer argues that Dr. Arbisi's opinion from July 2020 was sufficient to rebut the presumption. We disagree. The WCCA determined that the County did not rebut the presumption for the following reason: </w:t>
      </w:r>
    </w:p>
    <w:p w14:paraId="0CD6AA8A" w14:textId="77777777" w:rsidR="00BA3CDE" w:rsidRDefault="00BA3CDE" w:rsidP="00BA3CDE">
      <w:pPr>
        <w:spacing w:after="100" w:line="240" w:lineRule="auto"/>
        <w:ind w:left="1440"/>
        <w:rPr>
          <w:rFonts w:ascii="Times New Roman" w:eastAsia="Times New Roman" w:hAnsi="Times New Roman"/>
          <w:sz w:val="24"/>
          <w:szCs w:val="24"/>
        </w:rPr>
      </w:pPr>
      <w:r w:rsidRPr="00B57D9A">
        <w:rPr>
          <w:rFonts w:ascii="Times New Roman" w:eastAsia="Times New Roman" w:hAnsi="Times New Roman"/>
          <w:sz w:val="24"/>
          <w:szCs w:val="24"/>
        </w:rPr>
        <w:t>The presumption [based on Dr. Keller's diagnosis in September 2019] established that at the time of his disablement from work, the employee had compensable PTSD. To rebut, the employer needed to offer evidence that at the time of the employee's disablement, he did not have a PTSD diagnosis. The employer failed to do so as Dr. Arbisi's opinion was, at the time of his July 2020 evaluation and for the 30 days preceding that evaluation, that the employee did not have a PTSD diagnosis. His opinion, in both his report and his deposition testimony, failed to address the issue surrounding the statutory presumption, specifically whether the employee had a diagnosis of PTSD in September 2019.</w:t>
      </w:r>
      <w:r>
        <w:rPr>
          <w:rFonts w:ascii="Times New Roman" w:eastAsia="Times New Roman" w:hAnsi="Times New Roman"/>
          <w:sz w:val="24"/>
          <w:szCs w:val="24"/>
        </w:rPr>
        <w:t>”</w:t>
      </w:r>
    </w:p>
    <w:p w14:paraId="22591932" w14:textId="77777777" w:rsidR="00BA3CDE" w:rsidRPr="00B57D9A" w:rsidRDefault="00BA3CDE" w:rsidP="00BA3CDE">
      <w:pPr>
        <w:spacing w:after="100" w:line="240" w:lineRule="auto"/>
        <w:ind w:left="720"/>
        <w:rPr>
          <w:rFonts w:ascii="Times New Roman" w:eastAsia="Times New Roman" w:hAnsi="Times New Roman"/>
          <w:sz w:val="24"/>
          <w:szCs w:val="24"/>
        </w:rPr>
      </w:pPr>
      <w:hyperlink r:id="rId2486" w:history="1">
        <w:r w:rsidRPr="006B595F">
          <w:rPr>
            <w:rStyle w:val="Hyperlink"/>
            <w:rFonts w:ascii="Times New Roman" w:eastAsia="Times New Roman" w:hAnsi="Times New Roman"/>
            <w:sz w:val="24"/>
            <w:szCs w:val="24"/>
          </w:rPr>
          <w:t>https://mn.gov/workcomp-stat/2021/Juntunen%20-%2012-28-21.html</w:t>
        </w:r>
      </w:hyperlink>
      <w:r>
        <w:rPr>
          <w:rFonts w:ascii="Times New Roman" w:eastAsia="Times New Roman" w:hAnsi="Times New Roman"/>
          <w:sz w:val="24"/>
          <w:szCs w:val="24"/>
        </w:rPr>
        <w:t xml:space="preserve"> </w:t>
      </w:r>
    </w:p>
    <w:p w14:paraId="4F285B52" w14:textId="77777777" w:rsidR="00BA3CDE" w:rsidRPr="00B57D9A" w:rsidRDefault="00BA3CDE" w:rsidP="00BA3CDE">
      <w:pPr>
        <w:pStyle w:val="NormalWeb"/>
        <w:rPr>
          <w:b/>
          <w:bCs/>
        </w:rPr>
      </w:pPr>
      <w:r w:rsidRPr="00B57D9A">
        <w:rPr>
          <w:b/>
          <w:bCs/>
        </w:rPr>
        <w:t xml:space="preserve">Legal Lesson Learned: </w:t>
      </w:r>
      <w:r>
        <w:rPr>
          <w:b/>
          <w:bCs/>
        </w:rPr>
        <w:t xml:space="preserve"> Statutory presumption for emergency responders </w:t>
      </w:r>
      <w:proofErr w:type="gramStart"/>
      <w:r>
        <w:rPr>
          <w:b/>
          <w:bCs/>
        </w:rPr>
        <w:t>are</w:t>
      </w:r>
      <w:proofErr w:type="gramEnd"/>
      <w:r>
        <w:rPr>
          <w:b/>
          <w:bCs/>
        </w:rPr>
        <w:t xml:space="preserve"> extremely helpful for those seeking workers comp for PTSD,</w:t>
      </w:r>
    </w:p>
    <w:p w14:paraId="5A442F8E" w14:textId="77777777" w:rsidR="00BA3CDE" w:rsidRDefault="00BA3CDE" w:rsidP="00BA3CDE">
      <w:pPr>
        <w:pStyle w:val="NormalWeb"/>
        <w:ind w:left="720"/>
      </w:pPr>
      <w:r>
        <w:t>Note: Two of the seven Minnesota Supreme Court Justices issued a concurring opinion. Justice Anderson wrote:</w:t>
      </w:r>
    </w:p>
    <w:p w14:paraId="04E14177" w14:textId="77777777" w:rsidR="00BA3CDE" w:rsidRPr="00C02792" w:rsidRDefault="00BA3CDE" w:rsidP="00BA3CDE">
      <w:pPr>
        <w:pStyle w:val="NormalWeb"/>
        <w:ind w:left="720"/>
      </w:pPr>
      <w:r>
        <w:t xml:space="preserve">“This [opinion] leaves local government units, and by extension, taxpayers, potentially required to pay disability compensation to any covered employee who is diagnosed with PTSD from the time the employee files the claim until the employer can schedule an independent medical examination, regardless of the validity of the initial diagnosis. *** What amendments, if any, are necessary to clarify the operation of Minn. Stat. § 176.011, subd. 15(e), are within the purview of the Legislative and Executive branches of our government. I write separately only to highlight some potential issues that may, or may not, require further action by those branches.” </w:t>
      </w:r>
      <w:hyperlink r:id="rId2487" w:history="1">
        <w:r w:rsidRPr="00037B1A">
          <w:rPr>
            <w:rStyle w:val="Hyperlink"/>
            <w:rFonts w:eastAsiaTheme="majorEastAsia"/>
          </w:rPr>
          <w:t>https://public.fastcase.com/J%2FJP6pdidelsXxEE4k%2BLMrxVcam7rKBSdRgmN0M2d%2BrW9J8HXjyMcs%2BCJsDK%2Fusk%2B2E9D%2F1BAqASOG07gYFsTW16dm6lb%2FBgwI52A7gDyzw%3D?utm_medium=email&amp;_hsmi=226712652&amp;_hsenc=p2ANqtz-9PBrRsgZ6dWHR_pYoIAB1lqWQVVefDA3UXzg06QZf9i4O0NAY5ywCEjL-xcfOhIm7moLGvuFP1IQS4Gks-qJ07TvkP3Q&amp;utm_content=226712652&amp;utm_source=hs_email</w:t>
        </w:r>
      </w:hyperlink>
    </w:p>
    <w:p w14:paraId="6C9B9641" w14:textId="77777777" w:rsidR="00BA3CDE" w:rsidRDefault="00BA3CDE" w:rsidP="000C4DF5">
      <w:pPr>
        <w:pStyle w:val="NoSpacing"/>
        <w:rPr>
          <w:rFonts w:ascii="Arial Black" w:hAnsi="Arial Black"/>
          <w:sz w:val="24"/>
          <w:szCs w:val="24"/>
        </w:rPr>
      </w:pPr>
    </w:p>
    <w:p w14:paraId="5B8AED27" w14:textId="77777777" w:rsidR="00BA3CDE" w:rsidRDefault="00BA3CDE" w:rsidP="000C4DF5">
      <w:pPr>
        <w:pStyle w:val="NoSpacing"/>
        <w:rPr>
          <w:rFonts w:ascii="Arial Black" w:hAnsi="Arial Black"/>
          <w:sz w:val="24"/>
          <w:szCs w:val="24"/>
        </w:rPr>
      </w:pPr>
    </w:p>
    <w:p w14:paraId="7C1A1458" w14:textId="77777777" w:rsidR="00BA3CDE" w:rsidRDefault="00BA3CDE" w:rsidP="000C4DF5">
      <w:pPr>
        <w:pStyle w:val="NoSpacing"/>
        <w:rPr>
          <w:rFonts w:ascii="Arial Black" w:hAnsi="Arial Black"/>
          <w:sz w:val="24"/>
          <w:szCs w:val="24"/>
        </w:rPr>
      </w:pPr>
    </w:p>
    <w:p w14:paraId="167E6E98" w14:textId="7BB8D040" w:rsidR="00BA3CDE" w:rsidRDefault="00BA3CDE" w:rsidP="000C4DF5">
      <w:pPr>
        <w:pStyle w:val="NoSpacing"/>
        <w:rPr>
          <w:rFonts w:ascii="Arial Black" w:hAnsi="Arial Black"/>
          <w:sz w:val="24"/>
          <w:szCs w:val="24"/>
        </w:rPr>
      </w:pPr>
      <w:r>
        <w:rPr>
          <w:rFonts w:ascii="Arial Black" w:hAnsi="Arial Black"/>
          <w:sz w:val="24"/>
          <w:szCs w:val="24"/>
        </w:rPr>
        <w:t>15-21</w:t>
      </w:r>
    </w:p>
    <w:p w14:paraId="3810AAC9" w14:textId="77777777" w:rsidR="00BA3CDE" w:rsidRDefault="00BA3CDE" w:rsidP="00BA3CDE">
      <w:pPr>
        <w:pStyle w:val="NormalWeb"/>
        <w:rPr>
          <w:rFonts w:ascii="Arial Black" w:hAnsi="Arial Black"/>
          <w:sz w:val="28"/>
          <w:szCs w:val="28"/>
        </w:rPr>
      </w:pPr>
      <w:r>
        <w:rPr>
          <w:rFonts w:ascii="Arial Black" w:hAnsi="Arial Black"/>
          <w:sz w:val="28"/>
          <w:szCs w:val="28"/>
        </w:rPr>
        <w:lastRenderedPageBreak/>
        <w:t>MN: DEPUTY SHERIFF SUICIDE – “KILLED IN LINE-OF-DUTY” PENSION AWARDED TO WIFE – COURT OVERTURNS ALJ</w:t>
      </w:r>
    </w:p>
    <w:p w14:paraId="72749FA8" w14:textId="77777777" w:rsidR="00BA3CDE" w:rsidRDefault="00BA3CDE" w:rsidP="00BA3CDE">
      <w:pPr>
        <w:pStyle w:val="NormalWeb"/>
      </w:pPr>
      <w:r>
        <w:t xml:space="preserve">On Dec. 19, 2022, in </w:t>
      </w:r>
      <w:r w:rsidRPr="00036152">
        <w:rPr>
          <w:u w:val="single"/>
        </w:rPr>
        <w:t xml:space="preserve">In </w:t>
      </w:r>
      <w:proofErr w:type="gramStart"/>
      <w:r w:rsidRPr="00036152">
        <w:rPr>
          <w:u w:val="single"/>
        </w:rPr>
        <w:t>The</w:t>
      </w:r>
      <w:proofErr w:type="gramEnd"/>
      <w:r w:rsidRPr="00036152">
        <w:rPr>
          <w:u w:val="single"/>
        </w:rPr>
        <w:t xml:space="preserve"> Matter </w:t>
      </w:r>
      <w:proofErr w:type="gramStart"/>
      <w:r w:rsidRPr="00036152">
        <w:rPr>
          <w:u w:val="single"/>
        </w:rPr>
        <w:t>Of</w:t>
      </w:r>
      <w:proofErr w:type="gramEnd"/>
      <w:r w:rsidRPr="00036152">
        <w:rPr>
          <w:u w:val="single"/>
        </w:rPr>
        <w:t xml:space="preserve"> </w:t>
      </w:r>
      <w:proofErr w:type="gramStart"/>
      <w:r w:rsidRPr="00036152">
        <w:rPr>
          <w:u w:val="single"/>
        </w:rPr>
        <w:t>A</w:t>
      </w:r>
      <w:proofErr w:type="gramEnd"/>
      <w:r w:rsidRPr="00036152">
        <w:rPr>
          <w:u w:val="single"/>
        </w:rPr>
        <w:t xml:space="preserve"> Public Safety Officer Death Benefit </w:t>
      </w:r>
      <w:proofErr w:type="gramStart"/>
      <w:r w:rsidRPr="00036152">
        <w:rPr>
          <w:u w:val="single"/>
        </w:rPr>
        <w:t>For</w:t>
      </w:r>
      <w:proofErr w:type="gramEnd"/>
      <w:r w:rsidRPr="00036152">
        <w:rPr>
          <w:u w:val="single"/>
        </w:rPr>
        <w:t xml:space="preserve"> Jerome Ri</w:t>
      </w:r>
      <w:r>
        <w:rPr>
          <w:u w:val="single"/>
        </w:rPr>
        <w:t>h</w:t>
      </w:r>
      <w:r w:rsidRPr="00036152">
        <w:rPr>
          <w:u w:val="single"/>
        </w:rPr>
        <w:t>card Lannon (deceased)</w:t>
      </w:r>
      <w:r>
        <w:t>, the Court of Appeals on Minnesota, held (3 to 0) that Administrative Law Judge incorrectly ruled that a deputy’s suicide cannot be considered a “line of duty death.” Deputy Lannon committed suicide in 2018; he had been employed by Washington County Sheriff’s Office since 1999 and had responded to numerous critical incidents including a double murder, multiple suicides, a child's sexual assault, and fatal vehicle crashes. He was also involved in high-stress situations like apprehending a suspect in a domestic dispute who had fired a weapon in the home. Inn 2015, Deputy Lannon was diagnosed with anxiety and depression. In 2016, he began attending therapy to address symptoms of anxiety and depression. In September 2018, he was further injured in a serious car accident and in Nov. 2018 a supervisor brought him to a hospital because he was experiencing suicidal ideations; after his release he committed suicide on Nov. 26, 2018.</w:t>
      </w:r>
    </w:p>
    <w:p w14:paraId="7F1DEA89" w14:textId="77777777" w:rsidR="00BA3CDE" w:rsidRDefault="00BA3CDE" w:rsidP="00BA3CDE">
      <w:pPr>
        <w:pStyle w:val="NormalWeb"/>
        <w:ind w:left="720"/>
      </w:pPr>
      <w:r>
        <w:t xml:space="preserve">“The primary question before us is whether a public safety officer who dies by suicide </w:t>
      </w:r>
      <w:proofErr w:type="gramStart"/>
      <w:r>
        <w:t>as a result of</w:t>
      </w:r>
      <w:proofErr w:type="gramEnd"/>
      <w:r>
        <w:t xml:space="preserve"> job-related PTSD</w:t>
      </w:r>
      <w:r>
        <w:rPr>
          <w:vertAlign w:val="superscript"/>
        </w:rPr>
        <w:t xml:space="preserve"> </w:t>
      </w:r>
      <w:r>
        <w:t xml:space="preserve">is ‘killed in the line of duty’ within the meaning of the death-benefit statute, Minn. Stat. § 299A.44…. We conclude that ‘killed in the line of duty,’ as used in Minn. Stat. § 299A.44, includes a death by suicide resulting from PTSD caused by performing duties peculiar to a public safety officer. Accordingly, survivors of such an officer may qualify for the death benefit provided by Minn. Stat. § 299A.44. We further conclude that relator has presented sufficient evidence to raise a genuine issue of material fact as to whether Deputy Lannon's death by suicide meets that qualification. We therefore reverse and remand to the Office of Administrative Hearings for further proceedings consistent with this </w:t>
      </w:r>
      <w:proofErr w:type="gramStart"/>
      <w:r>
        <w:t>opinion.”</w:t>
      </w:r>
      <w:proofErr w:type="gramEnd"/>
      <w:r>
        <w:t xml:space="preserve"> </w:t>
      </w:r>
      <w:hyperlink r:id="rId2488" w:history="1">
        <w:r w:rsidRPr="00212B30">
          <w:rPr>
            <w:rStyle w:val="Hyperlink"/>
            <w:rFonts w:eastAsiaTheme="majorEastAsia"/>
          </w:rPr>
          <w:t>https://law.justia.com/cases/minnesota/court-of-appeals/2022/a22-0507.html</w:t>
        </w:r>
      </w:hyperlink>
      <w:r>
        <w:t xml:space="preserve"> </w:t>
      </w:r>
    </w:p>
    <w:p w14:paraId="39BB8960" w14:textId="77777777" w:rsidR="00BA3CDE" w:rsidRDefault="00BA3CDE" w:rsidP="00BA3CDE">
      <w:pPr>
        <w:pStyle w:val="NormalWeb"/>
        <w:rPr>
          <w:b/>
          <w:bCs/>
        </w:rPr>
      </w:pPr>
      <w:r w:rsidRPr="003E7459">
        <w:rPr>
          <w:b/>
          <w:bCs/>
        </w:rPr>
        <w:t>Legal Lesson Learned:</w:t>
      </w:r>
      <w:r>
        <w:rPr>
          <w:b/>
          <w:bCs/>
        </w:rPr>
        <w:t xml:space="preserve"> Suicide by public safety officers is a nationwide issue. I hope the widow receives LODD benefits. </w:t>
      </w:r>
    </w:p>
    <w:p w14:paraId="0D6689E0" w14:textId="77777777" w:rsidR="00BA3CDE" w:rsidRDefault="00BA3CDE" w:rsidP="000C4DF5">
      <w:pPr>
        <w:pStyle w:val="NoSpacing"/>
        <w:rPr>
          <w:rFonts w:ascii="Arial Black" w:hAnsi="Arial Black"/>
          <w:sz w:val="24"/>
          <w:szCs w:val="24"/>
        </w:rPr>
      </w:pPr>
    </w:p>
    <w:p w14:paraId="4F8138BD" w14:textId="77777777" w:rsidR="00BA3CDE" w:rsidRDefault="00BA3CDE" w:rsidP="000C4DF5">
      <w:pPr>
        <w:pStyle w:val="NoSpacing"/>
        <w:rPr>
          <w:rFonts w:ascii="Arial Black" w:hAnsi="Arial Black"/>
          <w:sz w:val="24"/>
          <w:szCs w:val="24"/>
        </w:rPr>
      </w:pPr>
    </w:p>
    <w:p w14:paraId="30B1D0F1" w14:textId="77777777" w:rsidR="00BA3CDE" w:rsidRDefault="00BA3CDE" w:rsidP="000C4DF5">
      <w:pPr>
        <w:pStyle w:val="NoSpacing"/>
        <w:rPr>
          <w:rFonts w:ascii="Arial Black" w:hAnsi="Arial Black"/>
          <w:sz w:val="24"/>
          <w:szCs w:val="24"/>
        </w:rPr>
      </w:pPr>
    </w:p>
    <w:p w14:paraId="44243A38" w14:textId="2B6A8660" w:rsidR="00F31C1B" w:rsidRDefault="00F31C1B" w:rsidP="000C4DF5">
      <w:pPr>
        <w:pStyle w:val="NoSpacing"/>
        <w:rPr>
          <w:rFonts w:ascii="Arial Black" w:hAnsi="Arial Black"/>
          <w:sz w:val="24"/>
          <w:szCs w:val="24"/>
        </w:rPr>
      </w:pPr>
      <w:r>
        <w:rPr>
          <w:rFonts w:ascii="Arial Black" w:hAnsi="Arial Black"/>
          <w:sz w:val="24"/>
          <w:szCs w:val="24"/>
        </w:rPr>
        <w:t>15-20</w:t>
      </w:r>
    </w:p>
    <w:p w14:paraId="7A442755" w14:textId="77777777" w:rsidR="00F31C1B" w:rsidRDefault="00F31C1B" w:rsidP="00F31C1B">
      <w:pPr>
        <w:spacing w:before="100" w:beforeAutospacing="1" w:after="100" w:afterAutospacing="1" w:line="240" w:lineRule="auto"/>
        <w:outlineLvl w:val="0"/>
        <w:rPr>
          <w:rFonts w:ascii="Times New Roman" w:eastAsia="Times New Roman" w:hAnsi="Times New Roman"/>
          <w:b/>
          <w:bCs/>
          <w:kern w:val="36"/>
          <w:sz w:val="48"/>
          <w:szCs w:val="48"/>
        </w:rPr>
      </w:pPr>
      <w:bookmarkStart w:id="570" w:name="_Hlk120872340"/>
      <w:r>
        <w:rPr>
          <w:rFonts w:ascii="Arial Black" w:eastAsia="Times New Roman" w:hAnsi="Arial Black"/>
          <w:b/>
          <w:bCs/>
          <w:kern w:val="36"/>
          <w:sz w:val="28"/>
          <w:szCs w:val="28"/>
        </w:rPr>
        <w:t>FL: PTSD – MEDIC WINS WORKERS’ COMP – WHILE TRAUMA RUNS PRIOR NEW STATUTE, LOSS WAGES AFTER 2018 LAW</w:t>
      </w:r>
    </w:p>
    <w:tbl>
      <w:tblPr>
        <w:tblpPr w:leftFromText="180" w:rightFromText="180" w:vertAnchor="text" w:tblpY="1"/>
        <w:tblOverlap w:val="neve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F31C1B" w:rsidRPr="004879C2" w14:paraId="71B79F3C" w14:textId="77777777" w:rsidTr="00317ED5">
        <w:trPr>
          <w:tblCellSpacing w:w="15" w:type="dxa"/>
        </w:trPr>
        <w:tc>
          <w:tcPr>
            <w:tcW w:w="0" w:type="auto"/>
            <w:vAlign w:val="center"/>
          </w:tcPr>
          <w:p w14:paraId="23A5ECE1" w14:textId="77777777" w:rsidR="00F31C1B" w:rsidRDefault="00F31C1B" w:rsidP="00317ED5">
            <w:pPr>
              <w:spacing w:after="0" w:line="240" w:lineRule="auto"/>
              <w:rPr>
                <w:rFonts w:ascii="Times New Roman" w:eastAsia="Times New Roman" w:hAnsi="Times New Roman"/>
                <w:kern w:val="36"/>
                <w:sz w:val="24"/>
                <w:szCs w:val="24"/>
              </w:rPr>
            </w:pPr>
            <w:r>
              <w:rPr>
                <w:rFonts w:ascii="Times New Roman" w:eastAsia="Times New Roman" w:hAnsi="Times New Roman"/>
                <w:kern w:val="36"/>
                <w:sz w:val="24"/>
                <w:szCs w:val="24"/>
              </w:rPr>
              <w:t xml:space="preserve">On Nov. 2, 2022, in </w:t>
            </w:r>
            <w:r w:rsidRPr="004879C2">
              <w:rPr>
                <w:rFonts w:ascii="Times New Roman" w:eastAsia="Times New Roman" w:hAnsi="Times New Roman"/>
                <w:kern w:val="36"/>
                <w:sz w:val="24"/>
                <w:szCs w:val="24"/>
                <w:u w:val="single"/>
              </w:rPr>
              <w:t>Mandy Lynn Wyatt v. Polk County Board of Commissioners, et al</w:t>
            </w:r>
            <w:r>
              <w:rPr>
                <w:rFonts w:ascii="Times New Roman" w:eastAsia="Times New Roman" w:hAnsi="Times New Roman"/>
                <w:kern w:val="36"/>
                <w:sz w:val="24"/>
                <w:szCs w:val="24"/>
              </w:rPr>
              <w:t xml:space="preserve">., the Florida Court of Appeals, First District, held (3 to 0) that the firefighter is entitled to workers comp coverage for PTSD.  She first began experiencing nightmares in 2016; began seeing a therapist in 2017; after trauma runs involving children in 2017 and 2018, she left the Department on Nov. 27. 2018.   Statute no longer requires proof of physical injury for workers comp. claim for mental stress. The new Florida statute expanding coverage for emergency responders with PTSD, without need to prove physical injury, was effective Oct. 1, 2018. She lost wages </w:t>
            </w:r>
            <w:proofErr w:type="gramStart"/>
            <w:r>
              <w:rPr>
                <w:rFonts w:ascii="Times New Roman" w:eastAsia="Times New Roman" w:hAnsi="Times New Roman"/>
                <w:kern w:val="36"/>
                <w:sz w:val="24"/>
                <w:szCs w:val="24"/>
              </w:rPr>
              <w:t>because</w:t>
            </w:r>
            <w:proofErr w:type="gramEnd"/>
            <w:r>
              <w:rPr>
                <w:rFonts w:ascii="Times New Roman" w:eastAsia="Times New Roman" w:hAnsi="Times New Roman"/>
                <w:kern w:val="36"/>
                <w:sz w:val="24"/>
                <w:szCs w:val="24"/>
              </w:rPr>
              <w:t xml:space="preserve"> her PTSD after the effective date of the statute and is therefore entitled to workers’ comp for her prior traumatic incidents. </w:t>
            </w:r>
          </w:p>
          <w:p w14:paraId="2F7D371A" w14:textId="77777777" w:rsidR="00F31C1B" w:rsidRPr="006158E8" w:rsidRDefault="00F31C1B" w:rsidP="00317ED5">
            <w:pPr>
              <w:spacing w:after="0" w:line="240" w:lineRule="auto"/>
              <w:rPr>
                <w:rFonts w:ascii="Times New Roman" w:eastAsia="Times New Roman" w:hAnsi="Times New Roman"/>
                <w:sz w:val="24"/>
                <w:szCs w:val="24"/>
              </w:rPr>
            </w:pPr>
          </w:p>
        </w:tc>
      </w:tr>
    </w:tbl>
    <w:bookmarkEnd w:id="570"/>
    <w:p w14:paraId="2C64A2E1" w14:textId="77777777" w:rsidR="00F31C1B" w:rsidRDefault="00F31C1B" w:rsidP="00F31C1B">
      <w:pPr>
        <w:pStyle w:val="NoSpacing"/>
        <w:ind w:left="720"/>
        <w:rPr>
          <w:rStyle w:val="markedcontent"/>
          <w:rFonts w:ascii="Times New Roman" w:hAnsi="Times New Roman"/>
          <w:sz w:val="24"/>
          <w:szCs w:val="24"/>
        </w:rPr>
      </w:pPr>
      <w:r>
        <w:rPr>
          <w:rStyle w:val="markedcontent"/>
          <w:rFonts w:ascii="Times New Roman" w:hAnsi="Times New Roman"/>
          <w:sz w:val="24"/>
          <w:szCs w:val="24"/>
        </w:rPr>
        <w:t>“</w:t>
      </w:r>
      <w:r w:rsidRPr="00806239">
        <w:rPr>
          <w:rStyle w:val="markedcontent"/>
          <w:rFonts w:ascii="Times New Roman" w:hAnsi="Times New Roman"/>
          <w:sz w:val="24"/>
          <w:szCs w:val="24"/>
        </w:rPr>
        <w:t>Application of section 112.1815 makes a difference in the</w:t>
      </w:r>
      <w:r>
        <w:rPr>
          <w:rStyle w:val="markedcontent"/>
          <w:rFonts w:ascii="Times New Roman" w:hAnsi="Times New Roman"/>
          <w:sz w:val="24"/>
          <w:szCs w:val="24"/>
        </w:rPr>
        <w:t xml:space="preserve"> </w:t>
      </w:r>
      <w:r w:rsidRPr="00806239">
        <w:rPr>
          <w:rStyle w:val="markedcontent"/>
          <w:rFonts w:ascii="Times New Roman" w:hAnsi="Times New Roman"/>
          <w:sz w:val="24"/>
          <w:szCs w:val="24"/>
        </w:rPr>
        <w:t>determination of a claim like Wyatt’s. For example, Wyatt does not</w:t>
      </w:r>
      <w:r>
        <w:rPr>
          <w:rStyle w:val="markedcontent"/>
          <w:rFonts w:ascii="Times New Roman" w:hAnsi="Times New Roman"/>
          <w:sz w:val="24"/>
          <w:szCs w:val="24"/>
        </w:rPr>
        <w:t xml:space="preserve"> </w:t>
      </w:r>
      <w:r w:rsidRPr="00806239">
        <w:rPr>
          <w:rStyle w:val="markedcontent"/>
          <w:rFonts w:ascii="Times New Roman" w:hAnsi="Times New Roman"/>
          <w:sz w:val="24"/>
          <w:szCs w:val="24"/>
        </w:rPr>
        <w:t>claim to have suffered a physical injury at work, and the Workers’</w:t>
      </w:r>
      <w:r>
        <w:rPr>
          <w:rStyle w:val="markedcontent"/>
          <w:rFonts w:ascii="Times New Roman" w:hAnsi="Times New Roman"/>
          <w:sz w:val="24"/>
          <w:szCs w:val="24"/>
        </w:rPr>
        <w:t xml:space="preserve"> </w:t>
      </w:r>
      <w:r w:rsidRPr="00806239">
        <w:rPr>
          <w:rStyle w:val="markedcontent"/>
          <w:rFonts w:ascii="Times New Roman" w:hAnsi="Times New Roman"/>
          <w:sz w:val="24"/>
          <w:szCs w:val="24"/>
        </w:rPr>
        <w:t>Compensation Law generally places strict limits on</w:t>
      </w:r>
      <w:r>
        <w:rPr>
          <w:rStyle w:val="markedcontent"/>
          <w:rFonts w:ascii="Times New Roman" w:hAnsi="Times New Roman"/>
          <w:sz w:val="24"/>
          <w:szCs w:val="24"/>
        </w:rPr>
        <w:t xml:space="preserve"> </w:t>
      </w:r>
      <w:r w:rsidRPr="00806239">
        <w:rPr>
          <w:rStyle w:val="markedcontent"/>
          <w:rFonts w:ascii="Times New Roman" w:hAnsi="Times New Roman"/>
          <w:sz w:val="24"/>
          <w:szCs w:val="24"/>
        </w:rPr>
        <w:t>compensability for a mental or nervous work injury. A</w:t>
      </w:r>
      <w:r>
        <w:rPr>
          <w:rStyle w:val="markedcontent"/>
          <w:rFonts w:ascii="Times New Roman" w:hAnsi="Times New Roman"/>
          <w:sz w:val="24"/>
          <w:szCs w:val="24"/>
        </w:rPr>
        <w:t xml:space="preserve"> </w:t>
      </w:r>
      <w:r w:rsidRPr="00806239">
        <w:rPr>
          <w:rStyle w:val="markedcontent"/>
          <w:rFonts w:ascii="Times New Roman" w:hAnsi="Times New Roman"/>
          <w:sz w:val="24"/>
          <w:szCs w:val="24"/>
        </w:rPr>
        <w:t>compensable physical injury must be the major contributing cause</w:t>
      </w:r>
      <w:r>
        <w:rPr>
          <w:rStyle w:val="markedcontent"/>
          <w:rFonts w:ascii="Times New Roman" w:hAnsi="Times New Roman"/>
          <w:sz w:val="24"/>
          <w:szCs w:val="24"/>
        </w:rPr>
        <w:t xml:space="preserve"> </w:t>
      </w:r>
      <w:r w:rsidRPr="00806239">
        <w:rPr>
          <w:rStyle w:val="markedcontent"/>
          <w:rFonts w:ascii="Times New Roman" w:hAnsi="Times New Roman"/>
          <w:sz w:val="24"/>
          <w:szCs w:val="24"/>
        </w:rPr>
        <w:t>of the mental or nervous injury, and temporary benefits may not</w:t>
      </w:r>
      <w:r w:rsidRPr="00806239">
        <w:br/>
      </w:r>
      <w:r w:rsidRPr="00806239">
        <w:rPr>
          <w:rStyle w:val="markedcontent"/>
          <w:rFonts w:ascii="Times New Roman" w:hAnsi="Times New Roman"/>
          <w:sz w:val="24"/>
          <w:szCs w:val="24"/>
        </w:rPr>
        <w:lastRenderedPageBreak/>
        <w:t>be paid for more than six months following the date of maximum</w:t>
      </w:r>
      <w:r>
        <w:rPr>
          <w:rStyle w:val="markedcontent"/>
          <w:rFonts w:ascii="Times New Roman" w:hAnsi="Times New Roman"/>
          <w:sz w:val="24"/>
          <w:szCs w:val="24"/>
        </w:rPr>
        <w:t xml:space="preserve"> </w:t>
      </w:r>
      <w:r w:rsidRPr="00806239">
        <w:rPr>
          <w:rStyle w:val="markedcontent"/>
          <w:rFonts w:ascii="Times New Roman" w:hAnsi="Times New Roman"/>
          <w:sz w:val="24"/>
          <w:szCs w:val="24"/>
        </w:rPr>
        <w:t>medical improvement for the physical injury. See § 440.093, Fla.</w:t>
      </w:r>
      <w:r>
        <w:rPr>
          <w:rStyle w:val="markedcontent"/>
          <w:rFonts w:ascii="Times New Roman" w:hAnsi="Times New Roman"/>
          <w:sz w:val="24"/>
          <w:szCs w:val="24"/>
        </w:rPr>
        <w:t xml:space="preserve"> </w:t>
      </w:r>
      <w:r w:rsidRPr="00806239">
        <w:rPr>
          <w:rStyle w:val="markedcontent"/>
          <w:rFonts w:ascii="Times New Roman" w:hAnsi="Times New Roman"/>
          <w:sz w:val="24"/>
          <w:szCs w:val="24"/>
        </w:rPr>
        <w:t>Stat. (2018). Under this provision (considered alone), Wyatt’s</w:t>
      </w:r>
      <w:r>
        <w:rPr>
          <w:rStyle w:val="markedcontent"/>
          <w:rFonts w:ascii="Times New Roman" w:hAnsi="Times New Roman"/>
          <w:sz w:val="24"/>
          <w:szCs w:val="24"/>
        </w:rPr>
        <w:t xml:space="preserve"> </w:t>
      </w:r>
      <w:r w:rsidRPr="00806239">
        <w:rPr>
          <w:rStyle w:val="markedcontent"/>
          <w:rFonts w:ascii="Times New Roman" w:hAnsi="Times New Roman"/>
          <w:sz w:val="24"/>
          <w:szCs w:val="24"/>
        </w:rPr>
        <w:t>claimed injury would not be compensable at all. Since its original</w:t>
      </w:r>
      <w:r>
        <w:rPr>
          <w:rStyle w:val="markedcontent"/>
          <w:rFonts w:ascii="Times New Roman" w:hAnsi="Times New Roman"/>
          <w:sz w:val="24"/>
          <w:szCs w:val="24"/>
        </w:rPr>
        <w:t xml:space="preserve"> e</w:t>
      </w:r>
      <w:r w:rsidRPr="00806239">
        <w:rPr>
          <w:rStyle w:val="markedcontent"/>
          <w:rFonts w:ascii="Times New Roman" w:hAnsi="Times New Roman"/>
          <w:sz w:val="24"/>
          <w:szCs w:val="24"/>
        </w:rPr>
        <w:t>nactment in 2007, however, section 112.1815 has eased this</w:t>
      </w:r>
      <w:r>
        <w:rPr>
          <w:rStyle w:val="markedcontent"/>
          <w:rFonts w:ascii="Times New Roman" w:hAnsi="Times New Roman"/>
          <w:sz w:val="24"/>
          <w:szCs w:val="24"/>
        </w:rPr>
        <w:t xml:space="preserve"> </w:t>
      </w:r>
      <w:r w:rsidRPr="00806239">
        <w:rPr>
          <w:rStyle w:val="markedcontent"/>
          <w:rFonts w:ascii="Times New Roman" w:hAnsi="Times New Roman"/>
          <w:sz w:val="24"/>
          <w:szCs w:val="24"/>
        </w:rPr>
        <w:t>limitation for first responders like Wyatt by allowing for medical</w:t>
      </w:r>
      <w:r>
        <w:rPr>
          <w:rStyle w:val="markedcontent"/>
          <w:rFonts w:ascii="Times New Roman" w:hAnsi="Times New Roman"/>
          <w:sz w:val="24"/>
          <w:szCs w:val="24"/>
        </w:rPr>
        <w:t xml:space="preserve"> </w:t>
      </w:r>
      <w:r w:rsidRPr="00806239">
        <w:rPr>
          <w:rStyle w:val="markedcontent"/>
          <w:rFonts w:ascii="Times New Roman" w:hAnsi="Times New Roman"/>
          <w:sz w:val="24"/>
          <w:szCs w:val="24"/>
        </w:rPr>
        <w:t>benefits under section 440.13 to treat a mental or nervous injury</w:t>
      </w:r>
      <w:r>
        <w:rPr>
          <w:rStyle w:val="markedcontent"/>
          <w:rFonts w:ascii="Times New Roman" w:hAnsi="Times New Roman"/>
          <w:sz w:val="24"/>
          <w:szCs w:val="24"/>
        </w:rPr>
        <w:t xml:space="preserve"> </w:t>
      </w:r>
      <w:r w:rsidRPr="00806239">
        <w:rPr>
          <w:rStyle w:val="markedcontent"/>
          <w:rFonts w:ascii="Times New Roman" w:hAnsi="Times New Roman"/>
          <w:sz w:val="24"/>
          <w:szCs w:val="24"/>
        </w:rPr>
        <w:t xml:space="preserve">suffered at work, even if it was </w:t>
      </w:r>
      <w:r>
        <w:rPr>
          <w:rStyle w:val="markedcontent"/>
          <w:rFonts w:ascii="Times New Roman" w:hAnsi="Times New Roman"/>
          <w:sz w:val="24"/>
          <w:szCs w:val="24"/>
        </w:rPr>
        <w:t>‘</w:t>
      </w:r>
      <w:r w:rsidRPr="00806239">
        <w:rPr>
          <w:rStyle w:val="markedcontent"/>
          <w:rFonts w:ascii="Times New Roman" w:hAnsi="Times New Roman"/>
          <w:sz w:val="24"/>
          <w:szCs w:val="24"/>
        </w:rPr>
        <w:t>unaccompanied by a physical</w:t>
      </w:r>
      <w:r w:rsidRPr="00806239">
        <w:br/>
      </w:r>
      <w:r w:rsidRPr="00806239">
        <w:rPr>
          <w:rStyle w:val="markedcontent"/>
          <w:rFonts w:ascii="Times New Roman" w:hAnsi="Times New Roman"/>
          <w:sz w:val="24"/>
          <w:szCs w:val="24"/>
        </w:rPr>
        <w:t>injury.</w:t>
      </w:r>
      <w:r>
        <w:rPr>
          <w:rStyle w:val="markedcontent"/>
          <w:rFonts w:ascii="Times New Roman" w:hAnsi="Times New Roman"/>
          <w:sz w:val="24"/>
          <w:szCs w:val="24"/>
        </w:rPr>
        <w:t>’</w:t>
      </w:r>
      <w:r w:rsidRPr="00806239">
        <w:rPr>
          <w:rStyle w:val="markedcontent"/>
          <w:rFonts w:ascii="Times New Roman" w:hAnsi="Times New Roman"/>
          <w:sz w:val="24"/>
          <w:szCs w:val="24"/>
        </w:rPr>
        <w:t xml:space="preserve"> § 112.1815(2)(a)3., Fla. Stat. (2018)</w:t>
      </w:r>
      <w:r>
        <w:rPr>
          <w:rStyle w:val="markedcontent"/>
          <w:rFonts w:ascii="Times New Roman" w:hAnsi="Times New Roman"/>
          <w:sz w:val="24"/>
          <w:szCs w:val="24"/>
        </w:rPr>
        <w:t>.</w:t>
      </w:r>
    </w:p>
    <w:p w14:paraId="2BC962BD" w14:textId="77777777" w:rsidR="00F31C1B" w:rsidRDefault="00F31C1B" w:rsidP="00F31C1B">
      <w:pPr>
        <w:pStyle w:val="NoSpacing"/>
        <w:ind w:left="720"/>
        <w:rPr>
          <w:rStyle w:val="markedcontent"/>
          <w:rFonts w:ascii="Times New Roman" w:hAnsi="Times New Roman"/>
          <w:sz w:val="24"/>
          <w:szCs w:val="24"/>
        </w:rPr>
      </w:pPr>
    </w:p>
    <w:p w14:paraId="67DDADB2" w14:textId="77777777" w:rsidR="00F31C1B" w:rsidRDefault="00F31C1B" w:rsidP="00F31C1B">
      <w:pPr>
        <w:pStyle w:val="NoSpacing"/>
        <w:ind w:left="720"/>
        <w:rPr>
          <w:rStyle w:val="markedcontent"/>
          <w:rFonts w:ascii="Times New Roman" w:hAnsi="Times New Roman"/>
          <w:sz w:val="24"/>
          <w:szCs w:val="24"/>
        </w:rPr>
      </w:pPr>
      <w:r>
        <w:rPr>
          <w:rStyle w:val="markedcontent"/>
          <w:rFonts w:ascii="Times New Roman" w:hAnsi="Times New Roman"/>
          <w:sz w:val="24"/>
          <w:szCs w:val="24"/>
        </w:rPr>
        <w:t>***</w:t>
      </w:r>
    </w:p>
    <w:p w14:paraId="3E5D78FB" w14:textId="77777777" w:rsidR="00F31C1B" w:rsidRPr="004879C2" w:rsidRDefault="00F31C1B" w:rsidP="00F31C1B">
      <w:pPr>
        <w:pStyle w:val="NoSpacing"/>
        <w:ind w:left="720"/>
        <w:rPr>
          <w:rFonts w:ascii="Times New Roman" w:eastAsia="Times New Roman" w:hAnsi="Times New Roman"/>
          <w:b/>
          <w:bCs/>
          <w:kern w:val="36"/>
          <w:sz w:val="24"/>
          <w:szCs w:val="24"/>
        </w:rPr>
      </w:pPr>
      <w:r>
        <w:rPr>
          <w:rFonts w:ascii="Times New Roman" w:hAnsi="Times New Roman"/>
          <w:sz w:val="24"/>
          <w:szCs w:val="24"/>
        </w:rPr>
        <w:t xml:space="preserve">In </w:t>
      </w:r>
      <w:r w:rsidRPr="004879C2">
        <w:rPr>
          <w:rFonts w:ascii="Times New Roman" w:hAnsi="Times New Roman"/>
          <w:sz w:val="24"/>
          <w:szCs w:val="24"/>
        </w:rPr>
        <w:t xml:space="preserve">2018, the Legislature added </w:t>
      </w:r>
      <w:proofErr w:type="gramStart"/>
      <w:r w:rsidRPr="004879C2">
        <w:rPr>
          <w:rFonts w:ascii="Times New Roman" w:hAnsi="Times New Roman"/>
          <w:sz w:val="24"/>
          <w:szCs w:val="24"/>
        </w:rPr>
        <w:t>a subsection</w:t>
      </w:r>
      <w:proofErr w:type="gramEnd"/>
      <w:r w:rsidRPr="004879C2">
        <w:rPr>
          <w:rFonts w:ascii="Times New Roman" w:hAnsi="Times New Roman"/>
          <w:sz w:val="24"/>
          <w:szCs w:val="24"/>
        </w:rPr>
        <w:t xml:space="preserve"> five to section 112.1815. </w:t>
      </w:r>
      <w:r w:rsidRPr="004879C2">
        <w:rPr>
          <w:rStyle w:val="Emphasis"/>
          <w:rFonts w:ascii="Times New Roman" w:hAnsi="Times New Roman"/>
          <w:sz w:val="24"/>
          <w:szCs w:val="24"/>
        </w:rPr>
        <w:t>See</w:t>
      </w:r>
      <w:r w:rsidRPr="004879C2">
        <w:rPr>
          <w:rFonts w:ascii="Times New Roman" w:hAnsi="Times New Roman"/>
          <w:sz w:val="24"/>
          <w:szCs w:val="24"/>
        </w:rPr>
        <w:t xml:space="preserve"> ch. 2018-124, § 1, at 1655-57, Laws of Fla. The law took effect October 1, 2018, which was after Wyatt's exposure to the various traumas that we identified above, but before Wyatt suffered lost wages </w:t>
      </w:r>
      <w:proofErr w:type="gramStart"/>
      <w:r w:rsidRPr="004879C2">
        <w:rPr>
          <w:rFonts w:ascii="Times New Roman" w:hAnsi="Times New Roman"/>
          <w:sz w:val="24"/>
          <w:szCs w:val="24"/>
        </w:rPr>
        <w:t>as a result of</w:t>
      </w:r>
      <w:proofErr w:type="gramEnd"/>
      <w:r w:rsidRPr="004879C2">
        <w:rPr>
          <w:rFonts w:ascii="Times New Roman" w:hAnsi="Times New Roman"/>
          <w:sz w:val="24"/>
          <w:szCs w:val="24"/>
        </w:rPr>
        <w:t xml:space="preserve"> going out of work for her PTSD. </w:t>
      </w:r>
      <w:r w:rsidRPr="004879C2">
        <w:rPr>
          <w:rStyle w:val="Emphasis"/>
          <w:rFonts w:ascii="Times New Roman" w:hAnsi="Times New Roman"/>
          <w:sz w:val="24"/>
          <w:szCs w:val="24"/>
        </w:rPr>
        <w:t>See id.</w:t>
      </w:r>
      <w:r w:rsidRPr="004879C2">
        <w:rPr>
          <w:rFonts w:ascii="Times New Roman" w:hAnsi="Times New Roman"/>
          <w:sz w:val="24"/>
          <w:szCs w:val="24"/>
        </w:rPr>
        <w:t xml:space="preserve"> § 3, at 1657. The new provision expands compensability for first responders who suffer specifically from PTSD, a particular type of mental injury that ordinarily would have to be addressed under subparagraph (2)(a)3., which we just discussed. Subsection five now directs that PTSD suffered by a first responder be considered a </w:t>
      </w:r>
      <w:r>
        <w:rPr>
          <w:rFonts w:ascii="Times New Roman" w:hAnsi="Times New Roman"/>
          <w:sz w:val="24"/>
          <w:szCs w:val="24"/>
        </w:rPr>
        <w:t>‘</w:t>
      </w:r>
      <w:r w:rsidRPr="004879C2">
        <w:rPr>
          <w:rFonts w:ascii="Times New Roman" w:hAnsi="Times New Roman"/>
          <w:sz w:val="24"/>
          <w:szCs w:val="24"/>
        </w:rPr>
        <w:t>compensable occupational disease</w:t>
      </w:r>
      <w:r>
        <w:rPr>
          <w:rFonts w:ascii="Times New Roman" w:hAnsi="Times New Roman"/>
          <w:sz w:val="24"/>
          <w:szCs w:val="24"/>
        </w:rPr>
        <w:t>’</w:t>
      </w:r>
      <w:r w:rsidRPr="004879C2">
        <w:rPr>
          <w:rFonts w:ascii="Times New Roman" w:hAnsi="Times New Roman"/>
          <w:sz w:val="24"/>
          <w:szCs w:val="24"/>
        </w:rPr>
        <w:t xml:space="preserve"> as provided in section 440.151. § 112.1815(5)(a), (c)1, Fla. Stat. (2018); </w:t>
      </w:r>
      <w:r w:rsidRPr="004879C2">
        <w:rPr>
          <w:rStyle w:val="Emphasis"/>
          <w:rFonts w:ascii="Times New Roman" w:hAnsi="Times New Roman"/>
          <w:sz w:val="24"/>
          <w:szCs w:val="24"/>
        </w:rPr>
        <w:t>see Wilkes</w:t>
      </w:r>
      <w:r w:rsidRPr="004879C2">
        <w:rPr>
          <w:rFonts w:ascii="Times New Roman" w:hAnsi="Times New Roman"/>
          <w:sz w:val="24"/>
          <w:szCs w:val="24"/>
        </w:rPr>
        <w:t xml:space="preserve">, 309 So.3d at 688. Under section 440.151, then, a first responder who cannot work because of PTSD is entitled to not just medical benefits but also indemnity for lost wages stemming from the disability-even without any accompanying physical injury. </w:t>
      </w:r>
      <w:r w:rsidRPr="004879C2">
        <w:rPr>
          <w:rStyle w:val="Emphasis"/>
          <w:rFonts w:ascii="Times New Roman" w:hAnsi="Times New Roman"/>
          <w:sz w:val="24"/>
          <w:szCs w:val="24"/>
        </w:rPr>
        <w:t>Cf.</w:t>
      </w:r>
      <w:r w:rsidRPr="004879C2">
        <w:rPr>
          <w:rFonts w:ascii="Times New Roman" w:hAnsi="Times New Roman"/>
          <w:sz w:val="24"/>
          <w:szCs w:val="24"/>
        </w:rPr>
        <w:t xml:space="preserve"> § 440.151(1), Fla. Stat. (providing that an employee </w:t>
      </w:r>
      <w:r>
        <w:rPr>
          <w:rFonts w:ascii="Times New Roman" w:hAnsi="Times New Roman"/>
          <w:sz w:val="24"/>
          <w:szCs w:val="24"/>
        </w:rPr>
        <w:t>‘</w:t>
      </w:r>
      <w:r w:rsidRPr="004879C2">
        <w:rPr>
          <w:rFonts w:ascii="Times New Roman" w:hAnsi="Times New Roman"/>
          <w:sz w:val="24"/>
          <w:szCs w:val="24"/>
        </w:rPr>
        <w:t>shall be entitled to compensation as provided by this chapter</w:t>
      </w:r>
      <w:r>
        <w:rPr>
          <w:rFonts w:ascii="Times New Roman" w:hAnsi="Times New Roman"/>
          <w:sz w:val="24"/>
          <w:szCs w:val="24"/>
        </w:rPr>
        <w:t>’</w:t>
      </w:r>
      <w:r w:rsidRPr="004879C2">
        <w:rPr>
          <w:rFonts w:ascii="Times New Roman" w:hAnsi="Times New Roman"/>
          <w:sz w:val="24"/>
          <w:szCs w:val="24"/>
        </w:rPr>
        <w:t xml:space="preserve"> if the employee becomes disabled </w:t>
      </w:r>
      <w:proofErr w:type="gramStart"/>
      <w:r w:rsidRPr="004879C2">
        <w:rPr>
          <w:rFonts w:ascii="Times New Roman" w:hAnsi="Times New Roman"/>
          <w:sz w:val="24"/>
          <w:szCs w:val="24"/>
        </w:rPr>
        <w:t>as a result of</w:t>
      </w:r>
      <w:proofErr w:type="gramEnd"/>
      <w:r w:rsidRPr="004879C2">
        <w:rPr>
          <w:rFonts w:ascii="Times New Roman" w:hAnsi="Times New Roman"/>
          <w:sz w:val="24"/>
          <w:szCs w:val="24"/>
        </w:rPr>
        <w:t xml:space="preserve"> </w:t>
      </w:r>
      <w:r>
        <w:rPr>
          <w:rFonts w:ascii="Times New Roman" w:hAnsi="Times New Roman"/>
          <w:sz w:val="24"/>
          <w:szCs w:val="24"/>
        </w:rPr>
        <w:t>‘</w:t>
      </w:r>
      <w:r w:rsidRPr="004879C2">
        <w:rPr>
          <w:rFonts w:ascii="Times New Roman" w:hAnsi="Times New Roman"/>
          <w:sz w:val="24"/>
          <w:szCs w:val="24"/>
        </w:rPr>
        <w:t>an occupational disease</w:t>
      </w:r>
      <w:r>
        <w:rPr>
          <w:rFonts w:ascii="Times New Roman" w:hAnsi="Times New Roman"/>
          <w:sz w:val="24"/>
          <w:szCs w:val="24"/>
        </w:rPr>
        <w:t>’</w:t>
      </w:r>
      <w:r w:rsidRPr="004879C2">
        <w:rPr>
          <w:rFonts w:ascii="Times New Roman" w:hAnsi="Times New Roman"/>
          <w:sz w:val="24"/>
          <w:szCs w:val="24"/>
        </w:rPr>
        <w:t>).</w:t>
      </w:r>
      <w:r>
        <w:rPr>
          <w:rFonts w:ascii="Times New Roman" w:hAnsi="Times New Roman"/>
          <w:sz w:val="24"/>
          <w:szCs w:val="24"/>
        </w:rPr>
        <w:t xml:space="preserve"> </w:t>
      </w:r>
      <w:hyperlink r:id="rId2489" w:history="1">
        <w:r w:rsidRPr="00E8516D">
          <w:rPr>
            <w:rStyle w:val="Hyperlink"/>
            <w:rFonts w:ascii="Times New Roman" w:hAnsi="Times New Roman"/>
            <w:sz w:val="24"/>
            <w:szCs w:val="24"/>
          </w:rPr>
          <w:t>https://law.justia.com/cases/florida/first-district-court-of-appeal/2022/19-4601.html</w:t>
        </w:r>
      </w:hyperlink>
      <w:r>
        <w:rPr>
          <w:rFonts w:ascii="Times New Roman" w:hAnsi="Times New Roman"/>
          <w:sz w:val="24"/>
          <w:szCs w:val="24"/>
        </w:rPr>
        <w:t xml:space="preserve"> </w:t>
      </w:r>
    </w:p>
    <w:p w14:paraId="6ACA9F0A" w14:textId="0B489CE4" w:rsidR="00F31C1B" w:rsidRDefault="00F31C1B" w:rsidP="000C4DF5">
      <w:pPr>
        <w:pStyle w:val="NoSpacing"/>
        <w:rPr>
          <w:rFonts w:ascii="Arial Black" w:hAnsi="Arial Black"/>
          <w:sz w:val="24"/>
          <w:szCs w:val="24"/>
        </w:rPr>
      </w:pPr>
    </w:p>
    <w:p w14:paraId="4AD468EC" w14:textId="77777777" w:rsidR="00F31C1B" w:rsidRPr="0084660B" w:rsidRDefault="00F31C1B" w:rsidP="00F31C1B">
      <w:pPr>
        <w:pStyle w:val="NormalWeb"/>
        <w:rPr>
          <w:b/>
          <w:bCs/>
        </w:rPr>
      </w:pPr>
      <w:r w:rsidRPr="0084660B">
        <w:rPr>
          <w:b/>
          <w:bCs/>
        </w:rPr>
        <w:t>Legal Lesson Learned:</w:t>
      </w:r>
      <w:r>
        <w:rPr>
          <w:b/>
          <w:bCs/>
        </w:rPr>
        <w:t xml:space="preserve"> The new PTSD statute covers </w:t>
      </w:r>
      <w:proofErr w:type="gramStart"/>
      <w:r>
        <w:rPr>
          <w:b/>
          <w:bCs/>
        </w:rPr>
        <w:t>loses</w:t>
      </w:r>
      <w:proofErr w:type="gramEnd"/>
      <w:r>
        <w:rPr>
          <w:b/>
          <w:bCs/>
        </w:rPr>
        <w:t xml:space="preserve"> of income incurred after its effective date. </w:t>
      </w:r>
    </w:p>
    <w:p w14:paraId="7BB78774" w14:textId="77777777" w:rsidR="00F31C1B" w:rsidRDefault="00F31C1B" w:rsidP="000C4DF5">
      <w:pPr>
        <w:pStyle w:val="NoSpacing"/>
        <w:rPr>
          <w:rFonts w:ascii="Arial Black" w:hAnsi="Arial Black"/>
          <w:sz w:val="24"/>
          <w:szCs w:val="24"/>
        </w:rPr>
      </w:pPr>
    </w:p>
    <w:p w14:paraId="1E206E4D" w14:textId="77777777" w:rsidR="00F31C1B" w:rsidRDefault="00F31C1B" w:rsidP="000C4DF5">
      <w:pPr>
        <w:pStyle w:val="NoSpacing"/>
        <w:rPr>
          <w:rFonts w:ascii="Arial Black" w:hAnsi="Arial Black"/>
          <w:sz w:val="24"/>
          <w:szCs w:val="24"/>
        </w:rPr>
      </w:pPr>
    </w:p>
    <w:p w14:paraId="1984BEA9" w14:textId="3CDA4F49" w:rsidR="00936792" w:rsidRDefault="00936792" w:rsidP="000C4DF5">
      <w:pPr>
        <w:pStyle w:val="NoSpacing"/>
        <w:rPr>
          <w:rFonts w:ascii="Arial Black" w:hAnsi="Arial Black"/>
          <w:sz w:val="24"/>
          <w:szCs w:val="24"/>
        </w:rPr>
      </w:pPr>
      <w:r>
        <w:rPr>
          <w:rFonts w:ascii="Arial Black" w:hAnsi="Arial Black"/>
          <w:sz w:val="24"/>
          <w:szCs w:val="24"/>
        </w:rPr>
        <w:t>15-19</w:t>
      </w:r>
    </w:p>
    <w:p w14:paraId="032E18E6" w14:textId="77777777" w:rsidR="00FC62FF" w:rsidRDefault="00FC62FF" w:rsidP="00FC62FF">
      <w:pPr>
        <w:spacing w:before="100" w:beforeAutospacing="1" w:after="100" w:afterAutospacing="1" w:line="240" w:lineRule="auto"/>
        <w:rPr>
          <w:rFonts w:ascii="Arial Black" w:hAnsi="Arial Black"/>
          <w:sz w:val="28"/>
          <w:szCs w:val="28"/>
        </w:rPr>
      </w:pPr>
      <w:bookmarkStart w:id="571" w:name="_Hlk107816326"/>
      <w:r>
        <w:rPr>
          <w:rFonts w:ascii="Arial Black" w:hAnsi="Arial Black"/>
          <w:sz w:val="28"/>
          <w:szCs w:val="28"/>
        </w:rPr>
        <w:t>IL: PTSD - CAPTAIN RESPONDED TO DOG ATTACK ON CHILD -  LINE OF DUTY PENSION, AND WORKERS COMP PPD</w:t>
      </w:r>
    </w:p>
    <w:p w14:paraId="6E7D542F" w14:textId="16AFBA2F" w:rsidR="00501BDD" w:rsidRDefault="00FC62FF" w:rsidP="00FC62FF">
      <w:pPr>
        <w:pStyle w:val="NoSpacing"/>
        <w:rPr>
          <w:rStyle w:val="Hyperlink"/>
          <w:sz w:val="24"/>
          <w:szCs w:val="24"/>
        </w:rPr>
      </w:pPr>
      <w:r>
        <w:rPr>
          <w:rFonts w:ascii="Times New Roman" w:hAnsi="Times New Roman"/>
          <w:sz w:val="24"/>
          <w:szCs w:val="24"/>
        </w:rPr>
        <w:t xml:space="preserve">On June 27, 2022, in </w:t>
      </w:r>
      <w:r>
        <w:rPr>
          <w:rFonts w:ascii="Times New Roman" w:hAnsi="Times New Roman"/>
          <w:sz w:val="24"/>
          <w:szCs w:val="24"/>
          <w:u w:val="single"/>
        </w:rPr>
        <w:t>City of Springfield v. The Illinois Workers’ Compensation Commission (Robert Talbott)</w:t>
      </w:r>
      <w:r>
        <w:rPr>
          <w:rFonts w:ascii="Times New Roman" w:hAnsi="Times New Roman"/>
          <w:sz w:val="24"/>
          <w:szCs w:val="24"/>
        </w:rPr>
        <w:t xml:space="preserve">, the Court of Appeals of Illinois, Fourth District (Workers’ Compensation Commission Division), held (5 to 0), </w:t>
      </w:r>
      <w:r>
        <w:rPr>
          <w:rFonts w:ascii="Times New Roman" w:eastAsia="Times New Roman" w:hAnsi="Times New Roman"/>
          <w:sz w:val="24"/>
          <w:szCs w:val="24"/>
        </w:rPr>
        <w:t xml:space="preserve">2022 IL App (4th) 210338WC-U, that the Commission properly held that Captain Robert Talbott, who </w:t>
      </w:r>
      <w:r w:rsidRPr="00F95159">
        <w:rPr>
          <w:rFonts w:ascii="Times New Roman" w:hAnsi="Times New Roman"/>
          <w:sz w:val="24"/>
          <w:szCs w:val="24"/>
        </w:rPr>
        <w:t>was awarded a line-of-duty disability pension on June 30, 2017</w:t>
      </w:r>
      <w:r>
        <w:rPr>
          <w:rFonts w:ascii="Times New Roman" w:hAnsi="Times New Roman"/>
          <w:sz w:val="24"/>
          <w:szCs w:val="24"/>
        </w:rPr>
        <w:t xml:space="preserve">, was also eligible to receive workers comp PPD [permanent partial disability] award </w:t>
      </w:r>
      <w:r w:rsidRPr="0058484A">
        <w:rPr>
          <w:rFonts w:ascii="Times New Roman" w:hAnsi="Times New Roman"/>
          <w:sz w:val="24"/>
          <w:szCs w:val="24"/>
        </w:rPr>
        <w:t>$721.66 per week for 250 weeks</w:t>
      </w:r>
      <w:r>
        <w:rPr>
          <w:rFonts w:ascii="Times New Roman" w:hAnsi="Times New Roman"/>
          <w:sz w:val="24"/>
          <w:szCs w:val="24"/>
        </w:rPr>
        <w:t xml:space="preserve">; case remanded to Commission to re-calculate award. The </w:t>
      </w:r>
      <w:r w:rsidRPr="00FC1C3B">
        <w:rPr>
          <w:rFonts w:ascii="Times New Roman" w:hAnsi="Times New Roman"/>
          <w:sz w:val="24"/>
          <w:szCs w:val="24"/>
        </w:rPr>
        <w:t>claimant developed PTSD following the dog-attack incident and it was causing emotional symptoms that were preventing him from returning to work.</w:t>
      </w:r>
      <w:r>
        <w:rPr>
          <w:rFonts w:ascii="Times New Roman" w:hAnsi="Times New Roman"/>
          <w:sz w:val="24"/>
          <w:szCs w:val="24"/>
        </w:rPr>
        <w:t xml:space="preserve"> Captain Robert Talbott on April 11, </w:t>
      </w:r>
      <w:proofErr w:type="gramStart"/>
      <w:r>
        <w:rPr>
          <w:rFonts w:ascii="Times New Roman" w:hAnsi="Times New Roman"/>
          <w:sz w:val="24"/>
          <w:szCs w:val="24"/>
        </w:rPr>
        <w:t>2015</w:t>
      </w:r>
      <w:proofErr w:type="gramEnd"/>
      <w:r>
        <w:rPr>
          <w:rFonts w:ascii="Times New Roman" w:hAnsi="Times New Roman"/>
          <w:sz w:val="24"/>
          <w:szCs w:val="24"/>
        </w:rPr>
        <w:t xml:space="preserve"> responded to a terrible dog bite scene, that contributed with subsequent diagnosis of PTSD.   Claimant was awarded a line-of-duty disability pension on June 30, 2017. The </w:t>
      </w:r>
      <w:proofErr w:type="gramStart"/>
      <w:r>
        <w:rPr>
          <w:rFonts w:ascii="Times New Roman" w:hAnsi="Times New Roman"/>
          <w:sz w:val="24"/>
          <w:szCs w:val="24"/>
        </w:rPr>
        <w:t>City</w:t>
      </w:r>
      <w:proofErr w:type="gramEnd"/>
      <w:r>
        <w:rPr>
          <w:rFonts w:ascii="Times New Roman" w:hAnsi="Times New Roman"/>
          <w:sz w:val="24"/>
          <w:szCs w:val="24"/>
        </w:rPr>
        <w:t xml:space="preserve"> challenged an award of “permanent partial disability” arguing he could work in other professions, such as his 14 years parttime work at a funeral home. </w:t>
      </w:r>
      <w:hyperlink r:id="rId2490" w:history="1">
        <w:r>
          <w:rPr>
            <w:rStyle w:val="Hyperlink"/>
            <w:sz w:val="24"/>
            <w:szCs w:val="24"/>
          </w:rPr>
          <w:t>https://public.fastcase.com/J%2FJP6pdidelsXxEE4k%2BLMmppr1xeX1%2Bm2bW38%2FPoc%2BjXR15UXAVR8dC2RoWWa4H5Xq9pVObZCpSmCaBhyWr74I1EN1To2hIbHKD6%2F8UayPI%3D</w:t>
        </w:r>
      </w:hyperlink>
      <w:bookmarkEnd w:id="571"/>
    </w:p>
    <w:p w14:paraId="6E865B0A" w14:textId="335F70CA" w:rsidR="00FC62FF" w:rsidRDefault="00FC62FF" w:rsidP="00FC62FF">
      <w:pPr>
        <w:pStyle w:val="NoSpacing"/>
        <w:rPr>
          <w:rStyle w:val="Hyperlink"/>
          <w:sz w:val="24"/>
          <w:szCs w:val="24"/>
        </w:rPr>
      </w:pPr>
    </w:p>
    <w:p w14:paraId="62551E09" w14:textId="77777777" w:rsidR="00FC62FF" w:rsidRDefault="00FC62FF" w:rsidP="00FC62FF">
      <w:pPr>
        <w:spacing w:before="100" w:beforeAutospacing="1" w:after="100" w:afterAutospacing="1" w:line="240" w:lineRule="auto"/>
        <w:rPr>
          <w:rFonts w:ascii="Times New Roman" w:eastAsia="Times New Roman" w:hAnsi="Times New Roman"/>
          <w:b/>
          <w:bCs/>
          <w:sz w:val="24"/>
          <w:szCs w:val="24"/>
        </w:rPr>
      </w:pPr>
      <w:bookmarkStart w:id="572" w:name="_Hlk107816439"/>
      <w:r>
        <w:rPr>
          <w:rFonts w:ascii="Times New Roman" w:eastAsia="Times New Roman" w:hAnsi="Times New Roman"/>
          <w:b/>
          <w:bCs/>
          <w:sz w:val="24"/>
          <w:szCs w:val="24"/>
        </w:rPr>
        <w:t xml:space="preserve">Legal Lesson Learned: PTSD can lead to a line-of-duty disability retirement and a  permanent partial disability award.   </w:t>
      </w:r>
    </w:p>
    <w:bookmarkEnd w:id="572"/>
    <w:p w14:paraId="73076866" w14:textId="7E3D0A96" w:rsidR="00FC62FF" w:rsidRDefault="00FC62FF" w:rsidP="00FC62FF">
      <w:pPr>
        <w:pStyle w:val="NoSpacing"/>
        <w:rPr>
          <w:rStyle w:val="Hyperlink"/>
          <w:sz w:val="24"/>
          <w:szCs w:val="24"/>
        </w:rPr>
      </w:pPr>
    </w:p>
    <w:p w14:paraId="06CC0E50" w14:textId="5D4DC33D" w:rsidR="00FC62FF" w:rsidRDefault="00FC62FF" w:rsidP="00FC62FF">
      <w:pPr>
        <w:pStyle w:val="NoSpacing"/>
        <w:rPr>
          <w:rStyle w:val="Hyperlink"/>
          <w:sz w:val="24"/>
          <w:szCs w:val="24"/>
        </w:rPr>
      </w:pPr>
    </w:p>
    <w:p w14:paraId="0B47F380" w14:textId="77777777" w:rsidR="00FC62FF" w:rsidRDefault="00FC62FF" w:rsidP="00FC62FF">
      <w:pPr>
        <w:pStyle w:val="NoSpacing"/>
        <w:rPr>
          <w:rFonts w:ascii="Arial Black" w:hAnsi="Arial Black"/>
          <w:sz w:val="24"/>
          <w:szCs w:val="24"/>
        </w:rPr>
      </w:pPr>
    </w:p>
    <w:p w14:paraId="6C8648F6" w14:textId="77777777" w:rsidR="00936792" w:rsidRDefault="00936792" w:rsidP="000C4DF5">
      <w:pPr>
        <w:pStyle w:val="NoSpacing"/>
        <w:rPr>
          <w:rFonts w:ascii="Arial Black" w:hAnsi="Arial Black"/>
          <w:sz w:val="24"/>
          <w:szCs w:val="24"/>
        </w:rPr>
      </w:pPr>
    </w:p>
    <w:p w14:paraId="28423E59" w14:textId="14932886" w:rsidR="009453FA" w:rsidRDefault="009453FA" w:rsidP="000C4DF5">
      <w:pPr>
        <w:pStyle w:val="NoSpacing"/>
        <w:rPr>
          <w:rFonts w:ascii="Arial Black" w:hAnsi="Arial Black"/>
          <w:sz w:val="24"/>
          <w:szCs w:val="24"/>
        </w:rPr>
      </w:pPr>
      <w:r>
        <w:rPr>
          <w:rFonts w:ascii="Arial Black" w:hAnsi="Arial Black"/>
          <w:sz w:val="24"/>
          <w:szCs w:val="24"/>
        </w:rPr>
        <w:t>15-18</w:t>
      </w:r>
    </w:p>
    <w:p w14:paraId="6E82213A" w14:textId="77777777" w:rsidR="009453FA" w:rsidRDefault="009453FA" w:rsidP="009453FA">
      <w:pPr>
        <w:spacing w:before="100" w:beforeAutospacing="1" w:after="100" w:afterAutospacing="1" w:line="240" w:lineRule="auto"/>
        <w:rPr>
          <w:rFonts w:ascii="Arial Black" w:hAnsi="Arial Black"/>
          <w:sz w:val="28"/>
          <w:szCs w:val="28"/>
        </w:rPr>
      </w:pPr>
      <w:bookmarkStart w:id="573" w:name="_Hlk99871263"/>
      <w:r>
        <w:rPr>
          <w:rFonts w:ascii="Arial Black" w:hAnsi="Arial Black"/>
          <w:sz w:val="28"/>
          <w:szCs w:val="28"/>
        </w:rPr>
        <w:t xml:space="preserve">NJ: PTSD - OFFICER CALLED TO FF’S SUICIDE WITH SHOTGUN – NOT CLOSE FRIENDS - NO ACCIDENTAL DISAB. </w:t>
      </w:r>
    </w:p>
    <w:p w14:paraId="1141A8BB" w14:textId="77777777" w:rsidR="009453FA" w:rsidRDefault="009453FA" w:rsidP="009453FA">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On March 30, 2022, in </w:t>
      </w:r>
      <w:r w:rsidRPr="00483D1D">
        <w:rPr>
          <w:rFonts w:ascii="Times New Roman" w:hAnsi="Times New Roman"/>
          <w:sz w:val="24"/>
          <w:szCs w:val="24"/>
          <w:u w:val="single"/>
        </w:rPr>
        <w:t>Barry Mesmer v. Board of Trustee, Police And Firemen’s Retirement System</w:t>
      </w:r>
      <w:r>
        <w:rPr>
          <w:rFonts w:ascii="Times New Roman" w:hAnsi="Times New Roman"/>
          <w:sz w:val="24"/>
          <w:szCs w:val="24"/>
        </w:rPr>
        <w:t xml:space="preserve">, the Superior Court of New Jersey, Appellate Division, held (3 to 0), unpublished decision, the Board properly denied the application for accidental disability retirement; the deceased firefighter was someone he casually knew, but not close friends; under New Jersey case law the traumatic event must be “undesigned and unexpected” in job duties of a police officer.  </w:t>
      </w:r>
      <w:hyperlink r:id="rId2491" w:history="1">
        <w:r w:rsidRPr="002477AB">
          <w:rPr>
            <w:rStyle w:val="Hyperlink"/>
            <w:rFonts w:ascii="Times New Roman" w:eastAsia="Times New Roman" w:hAnsi="Times New Roman"/>
            <w:sz w:val="24"/>
            <w:szCs w:val="24"/>
          </w:rPr>
          <w:t>https://www.njcourts.gov/attorneys/assets/opinions/appellate/unpublished/a3633-19.pdf</w:t>
        </w:r>
      </w:hyperlink>
    </w:p>
    <w:bookmarkEnd w:id="573"/>
    <w:p w14:paraId="1EF2CEC0" w14:textId="77777777" w:rsidR="009453FA" w:rsidRDefault="009453FA" w:rsidP="009453FA">
      <w:pPr>
        <w:spacing w:before="100" w:beforeAutospacing="1" w:after="100" w:afterAutospacing="1" w:line="240" w:lineRule="auto"/>
        <w:ind w:left="720"/>
        <w:rPr>
          <w:rFonts w:ascii="Times New Roman" w:eastAsia="Times New Roman" w:hAnsi="Times New Roman"/>
          <w:sz w:val="24"/>
          <w:szCs w:val="24"/>
        </w:rPr>
      </w:pPr>
      <w:r>
        <w:rPr>
          <w:rFonts w:ascii="Times New Roman" w:hAnsi="Times New Roman"/>
          <w:sz w:val="24"/>
          <w:szCs w:val="24"/>
        </w:rPr>
        <w:t>“</w:t>
      </w:r>
      <w:r w:rsidRPr="00A63115">
        <w:rPr>
          <w:rFonts w:ascii="Times New Roman" w:eastAsia="Times New Roman" w:hAnsi="Times New Roman"/>
          <w:sz w:val="24"/>
          <w:szCs w:val="24"/>
        </w:rPr>
        <w:t xml:space="preserve">Mesmer received training, both at the police academy and through the course of his career in law enforcement, in responding to situations involving graphic and gruesome deaths. Mesmer was not a rookie officer and, during his career in law enforcement, he responded to at least ten calls involving gruesome and disfigured dead bodies or serious injuries. Mesmer conceded he did not experience any disabling mental injury after responding to those deaths and he returned to work without incident after each of those events. </w:t>
      </w:r>
    </w:p>
    <w:p w14:paraId="63F253CB" w14:textId="77777777" w:rsidR="009453FA" w:rsidRPr="00A63115" w:rsidRDefault="009453FA" w:rsidP="009453FA">
      <w:pPr>
        <w:spacing w:before="100" w:beforeAutospacing="1" w:after="100" w:afterAutospacing="1" w:line="240" w:lineRule="auto"/>
        <w:ind w:left="720"/>
        <w:rPr>
          <w:rFonts w:ascii="Times New Roman" w:hAnsi="Times New Roman"/>
          <w:sz w:val="24"/>
          <w:szCs w:val="24"/>
        </w:rPr>
      </w:pPr>
      <w:r w:rsidRPr="00A63115">
        <w:rPr>
          <w:rFonts w:ascii="Times New Roman" w:hAnsi="Times New Roman"/>
          <w:sz w:val="24"/>
          <w:szCs w:val="24"/>
        </w:rPr>
        <w:t xml:space="preserve">Additionally, while Mesmer knew M.H., the two men were not even casual friends. Mesmer provided no evidence of any close, personal relationship with the deceased that might have satisfied the undesigned and unexpected requirement under </w:t>
      </w:r>
      <w:r w:rsidRPr="00A63115">
        <w:rPr>
          <w:rStyle w:val="Emphasis"/>
          <w:rFonts w:ascii="Times New Roman" w:hAnsi="Times New Roman"/>
          <w:sz w:val="24"/>
          <w:szCs w:val="24"/>
        </w:rPr>
        <w:t>Richardson</w:t>
      </w:r>
      <w:r w:rsidRPr="00A63115">
        <w:rPr>
          <w:rFonts w:ascii="Times New Roman" w:hAnsi="Times New Roman"/>
          <w:sz w:val="24"/>
          <w:szCs w:val="24"/>
        </w:rPr>
        <w:t xml:space="preserve">. </w:t>
      </w:r>
    </w:p>
    <w:p w14:paraId="62858DDA" w14:textId="77777777" w:rsidR="009453FA" w:rsidRPr="00A63115" w:rsidRDefault="009453FA" w:rsidP="009453FA">
      <w:pPr>
        <w:spacing w:before="100" w:beforeAutospacing="1" w:after="100" w:afterAutospacing="1" w:line="240" w:lineRule="auto"/>
        <w:ind w:left="720"/>
        <w:rPr>
          <w:rFonts w:ascii="Times New Roman" w:eastAsia="Times New Roman" w:hAnsi="Times New Roman"/>
          <w:sz w:val="24"/>
          <w:szCs w:val="24"/>
        </w:rPr>
      </w:pPr>
      <w:r w:rsidRPr="00A63115">
        <w:rPr>
          <w:rFonts w:ascii="Times New Roman" w:eastAsia="Times New Roman" w:hAnsi="Times New Roman"/>
          <w:sz w:val="24"/>
          <w:szCs w:val="24"/>
        </w:rPr>
        <w:t xml:space="preserve">Mesmer knew he was responding to a suicide at an address where he knew the homeowner. On this record, nothing about the events of February 14, 2016, fell outside the scope of Mesmer's general duties as a police officer. Given the totality of the circumstances, it was not unreasonable for Mesmer to anticipate the aftermath of M.H.'s suicide. </w:t>
      </w:r>
    </w:p>
    <w:p w14:paraId="389FCEBE" w14:textId="77777777" w:rsidR="009453FA" w:rsidRDefault="009453FA" w:rsidP="009453FA">
      <w:pPr>
        <w:spacing w:before="100" w:beforeAutospacing="1" w:after="100" w:afterAutospacing="1" w:line="240" w:lineRule="auto"/>
        <w:ind w:left="720"/>
        <w:rPr>
          <w:rFonts w:ascii="Times New Roman" w:eastAsia="Times New Roman" w:hAnsi="Times New Roman"/>
          <w:sz w:val="24"/>
          <w:szCs w:val="24"/>
        </w:rPr>
      </w:pPr>
      <w:r w:rsidRPr="00A63115">
        <w:rPr>
          <w:rFonts w:ascii="Times New Roman" w:eastAsia="Times New Roman" w:hAnsi="Times New Roman"/>
          <w:sz w:val="24"/>
          <w:szCs w:val="24"/>
        </w:rPr>
        <w:t>On this record, we are satisfied there is ample credible evidence supporting the denial of Mesmer's application for ADR benefits and the Board's decision was not arbitrary, capricious, or unreasonable.</w:t>
      </w:r>
      <w:r>
        <w:rPr>
          <w:rFonts w:ascii="Times New Roman" w:eastAsia="Times New Roman" w:hAnsi="Times New Roman"/>
          <w:sz w:val="24"/>
          <w:szCs w:val="24"/>
        </w:rPr>
        <w:t xml:space="preserve">” </w:t>
      </w:r>
      <w:hyperlink r:id="rId2492" w:history="1">
        <w:r w:rsidRPr="002477AB">
          <w:rPr>
            <w:rStyle w:val="Hyperlink"/>
            <w:rFonts w:ascii="Times New Roman" w:eastAsia="Times New Roman" w:hAnsi="Times New Roman"/>
            <w:sz w:val="24"/>
            <w:szCs w:val="24"/>
          </w:rPr>
          <w:t>https://www.njcourts.gov/attorneys/assets/opinions/appellate/unpublished/a3633-19.pdf</w:t>
        </w:r>
      </w:hyperlink>
      <w:r>
        <w:rPr>
          <w:rFonts w:ascii="Times New Roman" w:eastAsia="Times New Roman" w:hAnsi="Times New Roman"/>
          <w:sz w:val="24"/>
          <w:szCs w:val="24"/>
        </w:rPr>
        <w:t xml:space="preserve"> </w:t>
      </w:r>
    </w:p>
    <w:p w14:paraId="54BC8C61" w14:textId="77777777" w:rsidR="009453FA" w:rsidRPr="005F0249" w:rsidRDefault="009453FA" w:rsidP="009453FA">
      <w:pPr>
        <w:spacing w:before="100" w:beforeAutospacing="1" w:after="100" w:afterAutospacing="1" w:line="240" w:lineRule="auto"/>
        <w:rPr>
          <w:rFonts w:ascii="Times New Roman" w:eastAsia="Times New Roman" w:hAnsi="Times New Roman"/>
          <w:b/>
          <w:bCs/>
          <w:sz w:val="24"/>
          <w:szCs w:val="24"/>
        </w:rPr>
      </w:pPr>
      <w:r w:rsidRPr="005F0249">
        <w:rPr>
          <w:rFonts w:ascii="Times New Roman" w:hAnsi="Times New Roman"/>
          <w:b/>
          <w:bCs/>
          <w:sz w:val="24"/>
          <w:szCs w:val="24"/>
        </w:rPr>
        <w:t>Legal Lesson Learned:</w:t>
      </w:r>
      <w:r>
        <w:rPr>
          <w:rFonts w:ascii="Times New Roman" w:hAnsi="Times New Roman"/>
          <w:b/>
          <w:bCs/>
          <w:sz w:val="24"/>
          <w:szCs w:val="24"/>
        </w:rPr>
        <w:t xml:space="preserve"> Under N.J. case law, this single traumatic event leading to PTSD did not qualify for added retirement benefits. </w:t>
      </w:r>
    </w:p>
    <w:p w14:paraId="1D7F54EC" w14:textId="77777777" w:rsidR="009453FA" w:rsidRDefault="009453FA" w:rsidP="000C4DF5">
      <w:pPr>
        <w:pStyle w:val="NoSpacing"/>
        <w:rPr>
          <w:rFonts w:ascii="Arial Black" w:hAnsi="Arial Black"/>
          <w:sz w:val="24"/>
          <w:szCs w:val="24"/>
        </w:rPr>
      </w:pPr>
    </w:p>
    <w:p w14:paraId="19EA6567" w14:textId="77777777" w:rsidR="009453FA" w:rsidRDefault="009453FA" w:rsidP="000C4DF5">
      <w:pPr>
        <w:pStyle w:val="NoSpacing"/>
        <w:rPr>
          <w:rFonts w:ascii="Arial Black" w:hAnsi="Arial Black"/>
          <w:sz w:val="24"/>
          <w:szCs w:val="24"/>
        </w:rPr>
      </w:pPr>
    </w:p>
    <w:p w14:paraId="660D1BD2" w14:textId="77777777" w:rsidR="009453FA" w:rsidRDefault="009453FA" w:rsidP="000C4DF5">
      <w:pPr>
        <w:pStyle w:val="NoSpacing"/>
        <w:rPr>
          <w:rFonts w:ascii="Arial Black" w:hAnsi="Arial Black"/>
          <w:sz w:val="24"/>
          <w:szCs w:val="24"/>
        </w:rPr>
      </w:pPr>
    </w:p>
    <w:p w14:paraId="5A7859D0" w14:textId="5040EE91" w:rsidR="009453FA" w:rsidRDefault="009453FA" w:rsidP="000C4DF5">
      <w:pPr>
        <w:pStyle w:val="NoSpacing"/>
        <w:rPr>
          <w:rFonts w:ascii="Arial Black" w:hAnsi="Arial Black"/>
          <w:sz w:val="24"/>
          <w:szCs w:val="24"/>
        </w:rPr>
      </w:pPr>
      <w:r>
        <w:rPr>
          <w:rFonts w:ascii="Arial Black" w:hAnsi="Arial Black"/>
          <w:sz w:val="24"/>
          <w:szCs w:val="24"/>
        </w:rPr>
        <w:t>15-17</w:t>
      </w:r>
    </w:p>
    <w:p w14:paraId="7971465A" w14:textId="77777777" w:rsidR="009453FA" w:rsidRPr="00C130F0" w:rsidRDefault="009453FA" w:rsidP="009453FA">
      <w:pPr>
        <w:spacing w:before="100" w:beforeAutospacing="1" w:after="100" w:afterAutospacing="1" w:line="240" w:lineRule="auto"/>
        <w:rPr>
          <w:rFonts w:ascii="Arial Black" w:eastAsia="Times New Roman" w:hAnsi="Arial Black"/>
          <w:b/>
          <w:bCs/>
          <w:sz w:val="28"/>
          <w:szCs w:val="28"/>
        </w:rPr>
      </w:pPr>
      <w:bookmarkStart w:id="574" w:name="_Hlk99871308"/>
      <w:r>
        <w:rPr>
          <w:rFonts w:ascii="Arial Black" w:eastAsia="Times New Roman" w:hAnsi="Arial Black"/>
          <w:b/>
          <w:bCs/>
          <w:sz w:val="28"/>
          <w:szCs w:val="28"/>
        </w:rPr>
        <w:t>MD: PTSD - MEDICAL LEAVE 1-YR – OFFERED TAKE DEMOTION TO FF - CAN’T PERFORM DUTIES - NO FED. VIOL.</w:t>
      </w:r>
    </w:p>
    <w:p w14:paraId="09A4D8D8" w14:textId="77777777" w:rsidR="009453FA" w:rsidRDefault="009453FA" w:rsidP="009453FA">
      <w:pPr>
        <w:spacing w:before="100" w:beforeAutospacing="1" w:after="100" w:afterAutospacing="1" w:line="240" w:lineRule="auto"/>
        <w:rPr>
          <w:rFonts w:ascii="Times New Roman" w:hAnsi="Times New Roman"/>
          <w:sz w:val="24"/>
          <w:szCs w:val="24"/>
        </w:rPr>
      </w:pPr>
      <w:r w:rsidRPr="00632C03">
        <w:rPr>
          <w:rFonts w:ascii="Times New Roman" w:eastAsia="Times New Roman" w:hAnsi="Times New Roman"/>
          <w:sz w:val="24"/>
          <w:szCs w:val="24"/>
        </w:rPr>
        <w:t xml:space="preserve">On </w:t>
      </w:r>
      <w:r>
        <w:rPr>
          <w:rFonts w:ascii="Times New Roman" w:eastAsia="Times New Roman" w:hAnsi="Times New Roman"/>
          <w:sz w:val="24"/>
          <w:szCs w:val="24"/>
        </w:rPr>
        <w:t xml:space="preserve">March 18, 2022, in </w:t>
      </w:r>
      <w:r w:rsidRPr="00632C03">
        <w:rPr>
          <w:rFonts w:ascii="Times New Roman" w:eastAsia="Times New Roman" w:hAnsi="Times New Roman"/>
          <w:sz w:val="24"/>
          <w:szCs w:val="24"/>
          <w:u w:val="single"/>
        </w:rPr>
        <w:t>Stanley Abler v. Mayor and City Council of Baltimore</w:t>
      </w:r>
      <w:r>
        <w:rPr>
          <w:rFonts w:ascii="Times New Roman" w:eastAsia="Times New Roman" w:hAnsi="Times New Roman"/>
          <w:sz w:val="24"/>
          <w:szCs w:val="24"/>
        </w:rPr>
        <w:t xml:space="preserve">, Beth P. Gesner, Chief U.S. Magistrate Judge, U.S. District Court for District of Maryland, granted the defense motion for summary </w:t>
      </w:r>
      <w:r>
        <w:rPr>
          <w:rFonts w:ascii="Times New Roman" w:eastAsia="Times New Roman" w:hAnsi="Times New Roman"/>
          <w:sz w:val="24"/>
          <w:szCs w:val="24"/>
        </w:rPr>
        <w:lastRenderedPageBreak/>
        <w:t xml:space="preserve">judgment, finding no violation of the federal Rehabilitation Act since he could no longer perform the duties of a medic or a firefighter.  Paramedic Abler </w:t>
      </w:r>
      <w:r w:rsidRPr="00C130F0">
        <w:rPr>
          <w:rFonts w:ascii="Times New Roman" w:hAnsi="Times New Roman"/>
          <w:sz w:val="24"/>
          <w:szCs w:val="24"/>
        </w:rPr>
        <w:t>suffered from PTSD stemming from an incident in April 2015</w:t>
      </w:r>
      <w:r>
        <w:rPr>
          <w:rFonts w:ascii="Times New Roman" w:hAnsi="Times New Roman"/>
          <w:sz w:val="24"/>
          <w:szCs w:val="24"/>
        </w:rPr>
        <w:t xml:space="preserve"> [no details about the incident in Court’s opinion].  “</w:t>
      </w:r>
      <w:r w:rsidRPr="00632C03">
        <w:rPr>
          <w:rFonts w:ascii="Times New Roman" w:hAnsi="Times New Roman"/>
          <w:sz w:val="24"/>
          <w:szCs w:val="24"/>
        </w:rPr>
        <w:t>After reporting to the Baltimore City Public Safety Infirmary (</w:t>
      </w:r>
      <w:r>
        <w:rPr>
          <w:rFonts w:ascii="Times New Roman" w:hAnsi="Times New Roman"/>
          <w:sz w:val="24"/>
          <w:szCs w:val="24"/>
        </w:rPr>
        <w:t>‘</w:t>
      </w:r>
      <w:r w:rsidRPr="00632C03">
        <w:rPr>
          <w:rFonts w:ascii="Times New Roman" w:hAnsi="Times New Roman"/>
          <w:sz w:val="24"/>
          <w:szCs w:val="24"/>
        </w:rPr>
        <w:t>PSI</w:t>
      </w:r>
      <w:r>
        <w:rPr>
          <w:rFonts w:ascii="Times New Roman" w:hAnsi="Times New Roman"/>
          <w:sz w:val="24"/>
          <w:szCs w:val="24"/>
        </w:rPr>
        <w:t>’</w:t>
      </w:r>
      <w:r w:rsidRPr="00632C03">
        <w:rPr>
          <w:rFonts w:ascii="Times New Roman" w:hAnsi="Times New Roman"/>
          <w:sz w:val="24"/>
          <w:szCs w:val="24"/>
        </w:rPr>
        <w:t>) for a medical evaluation, plaintiff was placed on medical leave effective June 7, 2015</w:t>
      </w:r>
      <w:r>
        <w:rPr>
          <w:rFonts w:ascii="Times New Roman" w:hAnsi="Times New Roman"/>
          <w:sz w:val="24"/>
          <w:szCs w:val="24"/>
        </w:rPr>
        <w:t xml:space="preserve">…. </w:t>
      </w:r>
      <w:r w:rsidRPr="00632C03">
        <w:rPr>
          <w:rFonts w:ascii="Times New Roman" w:hAnsi="Times New Roman"/>
          <w:sz w:val="24"/>
          <w:szCs w:val="24"/>
        </w:rPr>
        <w:t xml:space="preserve">Plaintiff remained on medical leave </w:t>
      </w:r>
      <w:r>
        <w:rPr>
          <w:rFonts w:ascii="Times New Roman" w:hAnsi="Times New Roman"/>
          <w:sz w:val="24"/>
          <w:szCs w:val="24"/>
        </w:rPr>
        <w:t xml:space="preserve">for a year, and his clinician noted he was “disabled from all work.” He requested a reduction in rank to return to work as a firefighter, but this was not granted and was forced to retire on </w:t>
      </w:r>
      <w:r w:rsidRPr="00332157">
        <w:rPr>
          <w:rFonts w:ascii="Times New Roman" w:hAnsi="Times New Roman"/>
          <w:sz w:val="24"/>
          <w:szCs w:val="24"/>
        </w:rPr>
        <w:t>November 22, 2016</w:t>
      </w:r>
      <w:r>
        <w:rPr>
          <w:rFonts w:ascii="Times New Roman" w:hAnsi="Times New Roman"/>
          <w:sz w:val="24"/>
          <w:szCs w:val="24"/>
        </w:rPr>
        <w:t xml:space="preserve">. </w:t>
      </w:r>
      <w:hyperlink r:id="rId2493" w:history="1">
        <w:r w:rsidRPr="002477AB">
          <w:rPr>
            <w:rStyle w:val="Hyperlink"/>
            <w:rFonts w:ascii="Times New Roman" w:hAnsi="Times New Roman"/>
            <w:sz w:val="24"/>
            <w:szCs w:val="24"/>
          </w:rPr>
          <w:t>https://casetext.com/case/abler-v-mayor-of-balt</w:t>
        </w:r>
      </w:hyperlink>
      <w:r>
        <w:rPr>
          <w:rFonts w:ascii="Times New Roman" w:hAnsi="Times New Roman"/>
          <w:sz w:val="24"/>
          <w:szCs w:val="24"/>
        </w:rPr>
        <w:t xml:space="preserve"> </w:t>
      </w:r>
    </w:p>
    <w:bookmarkEnd w:id="574"/>
    <w:p w14:paraId="141F8A8C" w14:textId="77777777" w:rsidR="009453FA" w:rsidRDefault="009453FA" w:rsidP="009453FA">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w:t>
      </w:r>
      <w:r w:rsidRPr="00AB0831">
        <w:rPr>
          <w:rFonts w:ascii="Times New Roman" w:eastAsia="Times New Roman" w:hAnsi="Times New Roman"/>
          <w:sz w:val="24"/>
          <w:szCs w:val="24"/>
        </w:rPr>
        <w:t>Here, plaintiff argues that he and his clinician believed he could perform the essential functions of a firefighter</w:t>
      </w:r>
      <w:r>
        <w:rPr>
          <w:rFonts w:ascii="Times New Roman" w:eastAsia="Times New Roman" w:hAnsi="Times New Roman"/>
          <w:sz w:val="24"/>
          <w:szCs w:val="24"/>
        </w:rPr>
        <w:t xml:space="preserve">…. </w:t>
      </w:r>
      <w:r w:rsidRPr="00AB0831">
        <w:rPr>
          <w:rFonts w:ascii="Times New Roman" w:eastAsia="Times New Roman" w:hAnsi="Times New Roman"/>
          <w:sz w:val="24"/>
          <w:szCs w:val="24"/>
        </w:rPr>
        <w:t xml:space="preserve">Plaintiff, however, provides no evidence to support his claim. Instead, plaintiff references documents indicating that the BCFD engaged in the interactive process with other disabled employees, but these documents do not provide evidence of </w:t>
      </w:r>
      <w:r w:rsidRPr="00AB0831">
        <w:rPr>
          <w:rFonts w:ascii="Times New Roman" w:eastAsia="Times New Roman" w:hAnsi="Times New Roman"/>
          <w:i/>
          <w:iCs/>
          <w:sz w:val="24"/>
          <w:szCs w:val="24"/>
        </w:rPr>
        <w:t>plaintiff's</w:t>
      </w:r>
      <w:r w:rsidRPr="00AB0831">
        <w:rPr>
          <w:rFonts w:ascii="Times New Roman" w:eastAsia="Times New Roman" w:hAnsi="Times New Roman"/>
          <w:sz w:val="24"/>
          <w:szCs w:val="24"/>
        </w:rPr>
        <w:t xml:space="preserve"> ability to perform the essential functions of a firefighter or some other position within the BCFD</w:t>
      </w:r>
      <w:r>
        <w:rPr>
          <w:rFonts w:ascii="Times New Roman" w:eastAsia="Times New Roman" w:hAnsi="Times New Roman"/>
          <w:sz w:val="24"/>
          <w:szCs w:val="24"/>
        </w:rPr>
        <w:t xml:space="preserve">…. </w:t>
      </w:r>
      <w:r w:rsidRPr="00AB0831">
        <w:rPr>
          <w:rFonts w:ascii="Times New Roman" w:eastAsia="Times New Roman" w:hAnsi="Times New Roman"/>
          <w:sz w:val="24"/>
          <w:szCs w:val="24"/>
        </w:rPr>
        <w:t xml:space="preserve">Further, plaintiff contends that while his medical providers noted that he </w:t>
      </w:r>
      <w:proofErr w:type="gramStart"/>
      <w:r w:rsidRPr="00AB0831">
        <w:rPr>
          <w:rFonts w:ascii="Times New Roman" w:eastAsia="Times New Roman" w:hAnsi="Times New Roman"/>
          <w:sz w:val="24"/>
          <w:szCs w:val="24"/>
        </w:rPr>
        <w:t>was not able to</w:t>
      </w:r>
      <w:proofErr w:type="gramEnd"/>
      <w:r w:rsidRPr="00AB0831">
        <w:rPr>
          <w:rFonts w:ascii="Times New Roman" w:eastAsia="Times New Roman" w:hAnsi="Times New Roman"/>
          <w:sz w:val="24"/>
          <w:szCs w:val="24"/>
        </w:rPr>
        <w:t xml:space="preserve"> work as a paramedic, they did not otherwise indicate that he was unable to perform as a firefighter or in a variety of other positions</w:t>
      </w:r>
      <w:r>
        <w:rPr>
          <w:rFonts w:ascii="Times New Roman" w:eastAsia="Times New Roman" w:hAnsi="Times New Roman"/>
          <w:sz w:val="24"/>
          <w:szCs w:val="24"/>
        </w:rPr>
        <w:t xml:space="preserve">…. </w:t>
      </w:r>
      <w:r w:rsidRPr="00AB0831">
        <w:rPr>
          <w:rFonts w:ascii="Times New Roman" w:eastAsia="Times New Roman" w:hAnsi="Times New Roman"/>
          <w:sz w:val="24"/>
          <w:szCs w:val="24"/>
        </w:rPr>
        <w:t xml:space="preserve">Plaintiff's argument, however, is not supported by the record. For example, while plaintiff's clinician opined that plaintiff was </w:t>
      </w:r>
      <w:r>
        <w:rPr>
          <w:rFonts w:ascii="Times New Roman" w:eastAsia="Times New Roman" w:hAnsi="Times New Roman"/>
          <w:sz w:val="24"/>
          <w:szCs w:val="24"/>
        </w:rPr>
        <w:t>‘</w:t>
      </w:r>
      <w:r w:rsidRPr="00AB0831">
        <w:rPr>
          <w:rFonts w:ascii="Times New Roman" w:eastAsia="Times New Roman" w:hAnsi="Times New Roman"/>
          <w:sz w:val="24"/>
          <w:szCs w:val="24"/>
        </w:rPr>
        <w:t>permanently disabled from returning to the BCFD as a Paramedic,</w:t>
      </w:r>
      <w:r>
        <w:rPr>
          <w:rFonts w:ascii="Times New Roman" w:eastAsia="Times New Roman" w:hAnsi="Times New Roman"/>
          <w:sz w:val="24"/>
          <w:szCs w:val="24"/>
        </w:rPr>
        <w:t xml:space="preserve">’ </w:t>
      </w:r>
      <w:r w:rsidRPr="00AB0831">
        <w:rPr>
          <w:rFonts w:ascii="Times New Roman" w:eastAsia="Times New Roman" w:hAnsi="Times New Roman"/>
          <w:sz w:val="24"/>
          <w:szCs w:val="24"/>
        </w:rPr>
        <w:t xml:space="preserve">she also noted, two days before plaintiff retired, that plaintiff was </w:t>
      </w:r>
      <w:r>
        <w:rPr>
          <w:rFonts w:ascii="Times New Roman" w:eastAsia="Times New Roman" w:hAnsi="Times New Roman"/>
          <w:sz w:val="24"/>
          <w:szCs w:val="24"/>
        </w:rPr>
        <w:t>‘</w:t>
      </w:r>
      <w:r w:rsidRPr="00AB0831">
        <w:rPr>
          <w:rFonts w:ascii="Times New Roman" w:eastAsia="Times New Roman" w:hAnsi="Times New Roman"/>
          <w:sz w:val="24"/>
          <w:szCs w:val="24"/>
        </w:rPr>
        <w:t xml:space="preserve">disabled from </w:t>
      </w:r>
      <w:r w:rsidRPr="00AB0831">
        <w:rPr>
          <w:rFonts w:ascii="Times New Roman" w:eastAsia="Times New Roman" w:hAnsi="Times New Roman"/>
          <w:i/>
          <w:iCs/>
          <w:sz w:val="24"/>
          <w:szCs w:val="24"/>
        </w:rPr>
        <w:t>all work</w:t>
      </w:r>
      <w:r w:rsidRPr="00AB0831">
        <w:rPr>
          <w:rFonts w:ascii="Times New Roman" w:eastAsia="Times New Roman" w:hAnsi="Times New Roman"/>
          <w:sz w:val="24"/>
          <w:szCs w:val="24"/>
        </w:rPr>
        <w:t xml:space="preserve"> at this time</w:t>
      </w:r>
      <w:r>
        <w:rPr>
          <w:rFonts w:ascii="Times New Roman" w:eastAsia="Times New Roman" w:hAnsi="Times New Roman"/>
          <w:sz w:val="24"/>
          <w:szCs w:val="24"/>
        </w:rPr>
        <w:t>’</w:t>
      </w:r>
      <w:r w:rsidRPr="00AB0831">
        <w:rPr>
          <w:rFonts w:ascii="Times New Roman" w:eastAsia="Times New Roman" w:hAnsi="Times New Roman"/>
          <w:sz w:val="24"/>
          <w:szCs w:val="24"/>
        </w:rPr>
        <w:t xml:space="preserve"> and that she would </w:t>
      </w:r>
      <w:r>
        <w:rPr>
          <w:rFonts w:ascii="Times New Roman" w:eastAsia="Times New Roman" w:hAnsi="Times New Roman"/>
          <w:sz w:val="24"/>
          <w:szCs w:val="24"/>
        </w:rPr>
        <w:t>‘</w:t>
      </w:r>
      <w:r w:rsidRPr="00AB0831">
        <w:rPr>
          <w:rFonts w:ascii="Times New Roman" w:eastAsia="Times New Roman" w:hAnsi="Times New Roman"/>
          <w:sz w:val="24"/>
          <w:szCs w:val="24"/>
        </w:rPr>
        <w:t>re-evaluate his condition in two months to see if he is prepared to try to enter the job force in a different position.</w:t>
      </w:r>
      <w:r>
        <w:rPr>
          <w:rFonts w:ascii="Times New Roman" w:eastAsia="Times New Roman" w:hAnsi="Times New Roman"/>
          <w:sz w:val="24"/>
          <w:szCs w:val="24"/>
        </w:rPr>
        <w:t>’</w:t>
      </w:r>
      <w:r w:rsidRPr="00AB0831">
        <w:rPr>
          <w:rFonts w:ascii="Times New Roman" w:eastAsia="Times New Roman" w:hAnsi="Times New Roman"/>
          <w:sz w:val="24"/>
          <w:szCs w:val="24"/>
        </w:rPr>
        <w:t xml:space="preserve"> (emphasis added). </w:t>
      </w:r>
    </w:p>
    <w:p w14:paraId="1912D98E" w14:textId="77777777" w:rsidR="009453FA" w:rsidRDefault="009453FA" w:rsidP="009453FA">
      <w:pPr>
        <w:spacing w:before="100" w:beforeAutospacing="1" w:after="100" w:afterAutospacing="1" w:line="240" w:lineRule="auto"/>
        <w:ind w:left="720"/>
        <w:rPr>
          <w:rFonts w:ascii="Times New Roman" w:hAnsi="Times New Roman"/>
          <w:sz w:val="24"/>
          <w:szCs w:val="24"/>
        </w:rPr>
      </w:pPr>
      <w:r w:rsidRPr="00C130F0">
        <w:rPr>
          <w:rFonts w:ascii="Times New Roman" w:hAnsi="Times New Roman"/>
          <w:sz w:val="24"/>
          <w:szCs w:val="24"/>
        </w:rPr>
        <w:t>In addition, plaintiff admits that he “was not able to do any job functions, for the entire year [he] was off injured</w:t>
      </w:r>
      <w:r>
        <w:rPr>
          <w:rFonts w:ascii="Times New Roman" w:hAnsi="Times New Roman"/>
          <w:sz w:val="24"/>
          <w:szCs w:val="24"/>
        </w:rPr>
        <w:t>….</w:t>
      </w:r>
      <w:r w:rsidRPr="00C130F0">
        <w:rPr>
          <w:rFonts w:ascii="Times New Roman" w:hAnsi="Times New Roman"/>
          <w:sz w:val="24"/>
          <w:szCs w:val="24"/>
        </w:rPr>
        <w:t>”</w:t>
      </w:r>
      <w:r>
        <w:rPr>
          <w:rFonts w:ascii="Times New Roman" w:hAnsi="Times New Roman"/>
          <w:sz w:val="24"/>
          <w:szCs w:val="24"/>
        </w:rPr>
        <w:t xml:space="preserve"> </w:t>
      </w:r>
      <w:r w:rsidRPr="00C130F0">
        <w:rPr>
          <w:rFonts w:ascii="Times New Roman" w:hAnsi="Times New Roman"/>
          <w:sz w:val="24"/>
          <w:szCs w:val="24"/>
        </w:rPr>
        <w:t xml:space="preserve"> Further, plaintiff indicated in his answers to defendant's interrogatories that he suffered from PTSD stemming from an incident in April 2015, and he struggled with </w:t>
      </w:r>
      <w:r>
        <w:rPr>
          <w:rFonts w:ascii="Times New Roman" w:hAnsi="Times New Roman"/>
          <w:sz w:val="24"/>
          <w:szCs w:val="24"/>
        </w:rPr>
        <w:t>‘</w:t>
      </w:r>
      <w:r w:rsidRPr="00C130F0">
        <w:rPr>
          <w:rFonts w:ascii="Times New Roman" w:hAnsi="Times New Roman"/>
          <w:sz w:val="24"/>
          <w:szCs w:val="24"/>
        </w:rPr>
        <w:t>depression, anxiety, insomnia, flashback [sic], [and] cognitive issues that make it hard to focus, at times it is extremely debilitating where daily activities of living are difficult</w:t>
      </w:r>
      <w:r>
        <w:rPr>
          <w:rFonts w:ascii="Times New Roman" w:hAnsi="Times New Roman"/>
          <w:sz w:val="24"/>
          <w:szCs w:val="24"/>
        </w:rPr>
        <w:t xml:space="preserve">….’ </w:t>
      </w:r>
      <w:r w:rsidRPr="00C130F0">
        <w:rPr>
          <w:rFonts w:ascii="Times New Roman" w:hAnsi="Times New Roman"/>
          <w:sz w:val="24"/>
          <w:szCs w:val="24"/>
        </w:rPr>
        <w:t xml:space="preserve">Plaintiff, however, fails to provide any evidence of how, despite his PTSD and </w:t>
      </w:r>
      <w:r>
        <w:rPr>
          <w:rFonts w:ascii="Times New Roman" w:hAnsi="Times New Roman"/>
          <w:sz w:val="24"/>
          <w:szCs w:val="24"/>
        </w:rPr>
        <w:t>‘</w:t>
      </w:r>
      <w:r w:rsidRPr="00C130F0">
        <w:rPr>
          <w:rFonts w:ascii="Times New Roman" w:hAnsi="Times New Roman"/>
          <w:sz w:val="24"/>
          <w:szCs w:val="24"/>
        </w:rPr>
        <w:t>extremely debilitating</w:t>
      </w:r>
      <w:r>
        <w:rPr>
          <w:rFonts w:ascii="Times New Roman" w:hAnsi="Times New Roman"/>
          <w:sz w:val="24"/>
          <w:szCs w:val="24"/>
        </w:rPr>
        <w:t>’</w:t>
      </w:r>
      <w:r w:rsidRPr="00C130F0">
        <w:rPr>
          <w:rFonts w:ascii="Times New Roman" w:hAnsi="Times New Roman"/>
          <w:sz w:val="24"/>
          <w:szCs w:val="24"/>
        </w:rPr>
        <w:t xml:space="preserve"> medical conditions, he was able to perform the essential functions of a firefighter, such as extinguishing fires and rescuing emergency victims</w:t>
      </w:r>
      <w:r>
        <w:rPr>
          <w:rFonts w:ascii="Times New Roman" w:hAnsi="Times New Roman"/>
          <w:sz w:val="24"/>
          <w:szCs w:val="24"/>
        </w:rPr>
        <w:t xml:space="preserve">…. </w:t>
      </w:r>
      <w:r w:rsidRPr="00C130F0">
        <w:rPr>
          <w:rFonts w:ascii="Times New Roman" w:hAnsi="Times New Roman"/>
          <w:sz w:val="24"/>
          <w:szCs w:val="24"/>
        </w:rPr>
        <w:t xml:space="preserve"> The court, therefore, concludes that plaintiff has failed to offer evidence that he was able to perform the essential functions of a firefighter or some other position within the BCFD</w:t>
      </w:r>
      <w:r>
        <w:rPr>
          <w:rFonts w:ascii="Times New Roman" w:hAnsi="Times New Roman"/>
          <w:sz w:val="24"/>
          <w:szCs w:val="24"/>
        </w:rPr>
        <w:t xml:space="preserve">…. </w:t>
      </w:r>
      <w:r w:rsidRPr="00C130F0">
        <w:rPr>
          <w:rFonts w:ascii="Times New Roman" w:hAnsi="Times New Roman"/>
          <w:sz w:val="24"/>
          <w:szCs w:val="24"/>
        </w:rPr>
        <w:t>Accordingly, plaintiff fails to satisfy the third element of his prima facie claim of failure to accommodate under the Rehabilitation Act.</w:t>
      </w:r>
      <w:r>
        <w:rPr>
          <w:rFonts w:ascii="Times New Roman" w:hAnsi="Times New Roman"/>
          <w:sz w:val="24"/>
          <w:szCs w:val="24"/>
        </w:rPr>
        <w:t xml:space="preserve">” </w:t>
      </w:r>
      <w:hyperlink r:id="rId2494" w:history="1">
        <w:r w:rsidRPr="002477AB">
          <w:rPr>
            <w:rStyle w:val="Hyperlink"/>
            <w:rFonts w:ascii="Times New Roman" w:hAnsi="Times New Roman"/>
            <w:sz w:val="24"/>
            <w:szCs w:val="24"/>
          </w:rPr>
          <w:t>https://casetext.com/case/abler-v-mayor-of-balt</w:t>
        </w:r>
      </w:hyperlink>
      <w:r>
        <w:rPr>
          <w:rFonts w:ascii="Times New Roman" w:hAnsi="Times New Roman"/>
          <w:sz w:val="24"/>
          <w:szCs w:val="24"/>
        </w:rPr>
        <w:t xml:space="preserve"> </w:t>
      </w:r>
    </w:p>
    <w:p w14:paraId="50B1BB29" w14:textId="77777777" w:rsidR="009453FA" w:rsidRDefault="009453FA" w:rsidP="009453FA">
      <w:pPr>
        <w:spacing w:before="100" w:beforeAutospacing="1" w:after="100" w:afterAutospacing="1" w:line="240" w:lineRule="auto"/>
        <w:rPr>
          <w:rFonts w:ascii="Times New Roman" w:eastAsia="Times New Roman" w:hAnsi="Times New Roman"/>
          <w:b/>
          <w:bCs/>
          <w:sz w:val="24"/>
          <w:szCs w:val="24"/>
        </w:rPr>
      </w:pPr>
      <w:r w:rsidRPr="00E94438">
        <w:rPr>
          <w:rFonts w:ascii="Times New Roman" w:hAnsi="Times New Roman"/>
          <w:b/>
          <w:bCs/>
          <w:sz w:val="24"/>
          <w:szCs w:val="24"/>
        </w:rPr>
        <w:t>Legal Lesson Learned:</w:t>
      </w:r>
      <w:r>
        <w:rPr>
          <w:rFonts w:ascii="Times New Roman" w:hAnsi="Times New Roman"/>
          <w:b/>
          <w:bCs/>
          <w:sz w:val="24"/>
          <w:szCs w:val="24"/>
        </w:rPr>
        <w:t xml:space="preserve"> The clinician’s determination that he was disabled “from all work” meant FD did not need to try find an accommodation. </w:t>
      </w:r>
    </w:p>
    <w:p w14:paraId="4CFC683A" w14:textId="77777777" w:rsidR="009453FA" w:rsidRDefault="009453FA" w:rsidP="000C4DF5">
      <w:pPr>
        <w:pStyle w:val="NoSpacing"/>
        <w:rPr>
          <w:rFonts w:ascii="Arial Black" w:hAnsi="Arial Black"/>
          <w:sz w:val="24"/>
          <w:szCs w:val="24"/>
        </w:rPr>
      </w:pPr>
    </w:p>
    <w:p w14:paraId="0740C8A6" w14:textId="77777777" w:rsidR="009453FA" w:rsidRDefault="009453FA" w:rsidP="000C4DF5">
      <w:pPr>
        <w:pStyle w:val="NoSpacing"/>
        <w:rPr>
          <w:rFonts w:ascii="Arial Black" w:hAnsi="Arial Black"/>
          <w:sz w:val="24"/>
          <w:szCs w:val="24"/>
        </w:rPr>
      </w:pPr>
    </w:p>
    <w:p w14:paraId="48B53E80" w14:textId="77777777" w:rsidR="009453FA" w:rsidRDefault="009453FA" w:rsidP="000C4DF5">
      <w:pPr>
        <w:pStyle w:val="NoSpacing"/>
        <w:rPr>
          <w:rFonts w:ascii="Arial Black" w:hAnsi="Arial Black"/>
          <w:sz w:val="24"/>
          <w:szCs w:val="24"/>
        </w:rPr>
      </w:pPr>
    </w:p>
    <w:p w14:paraId="140F5CEE" w14:textId="032E6A42" w:rsidR="009453FA" w:rsidRDefault="009453FA" w:rsidP="000C4DF5">
      <w:pPr>
        <w:pStyle w:val="NoSpacing"/>
        <w:rPr>
          <w:rFonts w:ascii="Arial Black" w:hAnsi="Arial Black"/>
          <w:sz w:val="24"/>
          <w:szCs w:val="24"/>
        </w:rPr>
      </w:pPr>
      <w:r>
        <w:rPr>
          <w:rFonts w:ascii="Arial Black" w:hAnsi="Arial Black"/>
          <w:sz w:val="24"/>
          <w:szCs w:val="24"/>
        </w:rPr>
        <w:t>15-16 [also filed, Chap. 7]</w:t>
      </w:r>
    </w:p>
    <w:p w14:paraId="63389D1E" w14:textId="4ADC5C59" w:rsidR="009453FA" w:rsidRDefault="009453FA" w:rsidP="000C4DF5">
      <w:pPr>
        <w:pStyle w:val="NoSpacing"/>
        <w:rPr>
          <w:rFonts w:ascii="Arial Black" w:hAnsi="Arial Black"/>
          <w:sz w:val="24"/>
          <w:szCs w:val="24"/>
        </w:rPr>
      </w:pPr>
    </w:p>
    <w:p w14:paraId="74DD3C21" w14:textId="77777777" w:rsidR="009453FA" w:rsidRDefault="009453FA" w:rsidP="009453FA">
      <w:pPr>
        <w:spacing w:before="100" w:beforeAutospacing="1" w:after="100" w:afterAutospacing="1" w:line="240" w:lineRule="auto"/>
        <w:rPr>
          <w:rFonts w:ascii="Arial Black" w:eastAsia="Times New Roman" w:hAnsi="Arial Black"/>
          <w:sz w:val="28"/>
          <w:szCs w:val="28"/>
        </w:rPr>
      </w:pPr>
      <w:r>
        <w:rPr>
          <w:rFonts w:ascii="Arial Black" w:eastAsia="Times New Roman" w:hAnsi="Arial Black"/>
          <w:sz w:val="28"/>
          <w:szCs w:val="28"/>
        </w:rPr>
        <w:t xml:space="preserve">TX: PTSD - FEMALE FF NUDE VIDEO FOR HER HUSBAND (FF) – LEARNED 9 YRS LATER FF WATCHED IT – MAY SUE FD </w:t>
      </w:r>
    </w:p>
    <w:p w14:paraId="6658C05D" w14:textId="77777777" w:rsidR="009453FA" w:rsidRPr="004D78BE" w:rsidRDefault="009453FA" w:rsidP="009453FA">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On March 11, 2022, in </w:t>
      </w:r>
      <w:r w:rsidRPr="004C0507">
        <w:rPr>
          <w:rFonts w:ascii="Times New Roman" w:eastAsia="Times New Roman" w:hAnsi="Times New Roman"/>
          <w:sz w:val="24"/>
          <w:szCs w:val="24"/>
          <w:u w:val="single"/>
        </w:rPr>
        <w:t xml:space="preserve">Melinda </w:t>
      </w:r>
      <w:proofErr w:type="spellStart"/>
      <w:r w:rsidRPr="004C0507">
        <w:rPr>
          <w:rFonts w:ascii="Times New Roman" w:eastAsia="Times New Roman" w:hAnsi="Times New Roman"/>
          <w:sz w:val="24"/>
          <w:szCs w:val="24"/>
          <w:u w:val="single"/>
        </w:rPr>
        <w:t>Abbt</w:t>
      </w:r>
      <w:proofErr w:type="spellEnd"/>
      <w:r w:rsidRPr="004C0507">
        <w:rPr>
          <w:rFonts w:ascii="Times New Roman" w:eastAsia="Times New Roman" w:hAnsi="Times New Roman"/>
          <w:sz w:val="24"/>
          <w:szCs w:val="24"/>
          <w:u w:val="single"/>
        </w:rPr>
        <w:t xml:space="preserve"> v. City of Houston, John Chris Barrientes</w:t>
      </w:r>
      <w:r>
        <w:rPr>
          <w:rFonts w:ascii="Times New Roman" w:eastAsia="Times New Roman" w:hAnsi="Times New Roman"/>
          <w:sz w:val="24"/>
          <w:szCs w:val="24"/>
        </w:rPr>
        <w:t>, the U.S. Court of Appeals for 5</w:t>
      </w:r>
      <w:r w:rsidRPr="004C0507">
        <w:rPr>
          <w:rFonts w:ascii="Times New Roman" w:eastAsia="Times New Roman" w:hAnsi="Times New Roman"/>
          <w:sz w:val="24"/>
          <w:szCs w:val="24"/>
          <w:vertAlign w:val="superscript"/>
        </w:rPr>
        <w:t>th</w:t>
      </w:r>
      <w:r>
        <w:rPr>
          <w:rFonts w:ascii="Times New Roman" w:eastAsia="Times New Roman" w:hAnsi="Times New Roman"/>
          <w:sz w:val="24"/>
          <w:szCs w:val="24"/>
        </w:rPr>
        <w:t xml:space="preserve"> Circuit (New Orleans) held (3 to 0) that the lawsuit against the City of Houston and Captain Barrientes should be reinstated. </w:t>
      </w:r>
      <w:r w:rsidRPr="003170E5">
        <w:rPr>
          <w:rFonts w:ascii="Times New Roman" w:hAnsi="Times New Roman"/>
          <w:sz w:val="24"/>
          <w:szCs w:val="24"/>
        </w:rPr>
        <w:t>“</w:t>
      </w:r>
      <w:proofErr w:type="spellStart"/>
      <w:r w:rsidRPr="003170E5">
        <w:rPr>
          <w:rFonts w:ascii="Times New Roman" w:hAnsi="Times New Roman"/>
          <w:sz w:val="24"/>
          <w:szCs w:val="24"/>
        </w:rPr>
        <w:t>Abbt</w:t>
      </w:r>
      <w:proofErr w:type="spellEnd"/>
      <w:r w:rsidRPr="003170E5">
        <w:rPr>
          <w:rFonts w:ascii="Times New Roman" w:hAnsi="Times New Roman"/>
          <w:sz w:val="24"/>
          <w:szCs w:val="24"/>
        </w:rPr>
        <w:t xml:space="preserve"> has presented sufficient evidence to create a genuine dispute as to whether the City knew or should have known about the </w:t>
      </w:r>
      <w:proofErr w:type="gramStart"/>
      <w:r w:rsidRPr="003170E5">
        <w:rPr>
          <w:rFonts w:ascii="Times New Roman" w:hAnsi="Times New Roman"/>
          <w:sz w:val="24"/>
          <w:szCs w:val="24"/>
        </w:rPr>
        <w:t>harassment, and</w:t>
      </w:r>
      <w:proofErr w:type="gramEnd"/>
      <w:r w:rsidRPr="003170E5">
        <w:rPr>
          <w:rFonts w:ascii="Times New Roman" w:hAnsi="Times New Roman"/>
          <w:sz w:val="24"/>
          <w:szCs w:val="24"/>
        </w:rPr>
        <w:t xml:space="preserve"> thus can be held liable.”</w:t>
      </w:r>
      <w:r>
        <w:rPr>
          <w:rFonts w:ascii="Times New Roman" w:hAnsi="Times New Roman"/>
          <w:sz w:val="24"/>
          <w:szCs w:val="24"/>
        </w:rPr>
        <w:t xml:space="preserve"> </w:t>
      </w:r>
      <w:hyperlink r:id="rId2495" w:history="1">
        <w:r w:rsidRPr="000247F2">
          <w:rPr>
            <w:rStyle w:val="Hyperlink"/>
            <w:rFonts w:ascii="Times New Roman" w:eastAsia="Times New Roman" w:hAnsi="Times New Roman"/>
            <w:sz w:val="24"/>
            <w:szCs w:val="24"/>
          </w:rPr>
          <w:t>https://www.ca5.uscourts.gov/opinions/pub/21/21-20085-CV0.pdf</w:t>
        </w:r>
      </w:hyperlink>
      <w:r>
        <w:rPr>
          <w:rFonts w:ascii="Times New Roman" w:eastAsia="Times New Roman" w:hAnsi="Times New Roman"/>
          <w:sz w:val="24"/>
          <w:szCs w:val="24"/>
        </w:rPr>
        <w:t xml:space="preserve"> </w:t>
      </w:r>
    </w:p>
    <w:p w14:paraId="75D8A2CC" w14:textId="77777777" w:rsidR="009453FA" w:rsidRDefault="009453FA" w:rsidP="009453FA">
      <w:pPr>
        <w:spacing w:before="100" w:beforeAutospacing="1" w:after="100" w:afterAutospacing="1" w:line="240" w:lineRule="auto"/>
        <w:rPr>
          <w:rFonts w:ascii="Times New Roman" w:hAnsi="Times New Roman"/>
          <w:sz w:val="24"/>
          <w:szCs w:val="24"/>
        </w:rPr>
      </w:pPr>
      <w:r>
        <w:rPr>
          <w:rFonts w:ascii="Times New Roman" w:hAnsi="Times New Roman"/>
          <w:sz w:val="24"/>
          <w:szCs w:val="24"/>
        </w:rPr>
        <w:lastRenderedPageBreak/>
        <w:t xml:space="preserve">In a Concurring Opinion, Justice James C. Ho wrote: </w:t>
      </w:r>
    </w:p>
    <w:p w14:paraId="12EA6559" w14:textId="77777777" w:rsidR="009453FA" w:rsidRPr="004D78BE" w:rsidRDefault="009453FA" w:rsidP="009453FA">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w:t>
      </w:r>
      <w:r w:rsidRPr="004D78BE">
        <w:rPr>
          <w:rFonts w:ascii="Times New Roman" w:eastAsia="Times New Roman" w:hAnsi="Times New Roman"/>
          <w:sz w:val="24"/>
          <w:szCs w:val="24"/>
        </w:rPr>
        <w:t xml:space="preserve">Melinda </w:t>
      </w:r>
      <w:proofErr w:type="spellStart"/>
      <w:r w:rsidRPr="004D78BE">
        <w:rPr>
          <w:rFonts w:ascii="Times New Roman" w:eastAsia="Times New Roman" w:hAnsi="Times New Roman"/>
          <w:sz w:val="24"/>
          <w:szCs w:val="24"/>
        </w:rPr>
        <w:t>Abbt</w:t>
      </w:r>
      <w:proofErr w:type="spellEnd"/>
      <w:r w:rsidRPr="004D78BE">
        <w:rPr>
          <w:rFonts w:ascii="Times New Roman" w:eastAsia="Times New Roman" w:hAnsi="Times New Roman"/>
          <w:sz w:val="24"/>
          <w:szCs w:val="24"/>
        </w:rPr>
        <w:t xml:space="preserve"> is a firefighter. But at least two of her male superiors at the Houston Fire Department-Chris Barrientes and David Elliott-and perhaps countless others treated her as nothing more than a sexual object. They accessed a private, intimate, nude video that </w:t>
      </w:r>
      <w:proofErr w:type="spellStart"/>
      <w:r w:rsidRPr="004D78BE">
        <w:rPr>
          <w:rFonts w:ascii="Times New Roman" w:eastAsia="Times New Roman" w:hAnsi="Times New Roman"/>
          <w:sz w:val="24"/>
          <w:szCs w:val="24"/>
        </w:rPr>
        <w:t>Abbt</w:t>
      </w:r>
      <w:proofErr w:type="spellEnd"/>
      <w:r w:rsidRPr="004D78BE">
        <w:rPr>
          <w:rFonts w:ascii="Times New Roman" w:eastAsia="Times New Roman" w:hAnsi="Times New Roman"/>
          <w:sz w:val="24"/>
          <w:szCs w:val="24"/>
        </w:rPr>
        <w:t xml:space="preserve"> had obviously made exclusively for her husband. They did so without her knowledge or permission. And they watched it repeatedly, both on and off-duty, alone and in front of co-workers, </w:t>
      </w:r>
      <w:r w:rsidRPr="004D78BE">
        <w:rPr>
          <w:rFonts w:ascii="Times New Roman" w:eastAsia="Times New Roman" w:hAnsi="Times New Roman"/>
          <w:i/>
          <w:iCs/>
          <w:sz w:val="24"/>
          <w:szCs w:val="24"/>
        </w:rPr>
        <w:t>for over nine years</w:t>
      </w:r>
      <w:r w:rsidRPr="004D78BE">
        <w:rPr>
          <w:rFonts w:ascii="Times New Roman" w:eastAsia="Times New Roman" w:hAnsi="Times New Roman"/>
          <w:sz w:val="24"/>
          <w:szCs w:val="24"/>
        </w:rPr>
        <w:t xml:space="preserve">. The only reason </w:t>
      </w:r>
      <w:proofErr w:type="spellStart"/>
      <w:r w:rsidRPr="004D78BE">
        <w:rPr>
          <w:rFonts w:ascii="Times New Roman" w:eastAsia="Times New Roman" w:hAnsi="Times New Roman"/>
          <w:sz w:val="24"/>
          <w:szCs w:val="24"/>
        </w:rPr>
        <w:t>Abbt</w:t>
      </w:r>
      <w:proofErr w:type="spellEnd"/>
      <w:r w:rsidRPr="004D78BE">
        <w:rPr>
          <w:rFonts w:ascii="Times New Roman" w:eastAsia="Times New Roman" w:hAnsi="Times New Roman"/>
          <w:sz w:val="24"/>
          <w:szCs w:val="24"/>
        </w:rPr>
        <w:t xml:space="preserve"> ever discovered this most invasive violation of privacy was because Elliott finally confessed to her husband. Even to this day, </w:t>
      </w:r>
      <w:proofErr w:type="spellStart"/>
      <w:r w:rsidRPr="004D78BE">
        <w:rPr>
          <w:rFonts w:ascii="Times New Roman" w:eastAsia="Times New Roman" w:hAnsi="Times New Roman"/>
          <w:sz w:val="24"/>
          <w:szCs w:val="24"/>
        </w:rPr>
        <w:t>Abbt</w:t>
      </w:r>
      <w:proofErr w:type="spellEnd"/>
      <w:r w:rsidRPr="004D78BE">
        <w:rPr>
          <w:rFonts w:ascii="Times New Roman" w:eastAsia="Times New Roman" w:hAnsi="Times New Roman"/>
          <w:sz w:val="24"/>
          <w:szCs w:val="24"/>
        </w:rPr>
        <w:t xml:space="preserve"> cannot be sure whether anyone else at the Department has already seen the video-or may watch it in the future.</w:t>
      </w:r>
      <w:r>
        <w:rPr>
          <w:rFonts w:ascii="Times New Roman" w:eastAsia="Times New Roman" w:hAnsi="Times New Roman"/>
          <w:sz w:val="24"/>
          <w:szCs w:val="24"/>
        </w:rPr>
        <w:t xml:space="preserve">”  </w:t>
      </w:r>
      <w:hyperlink r:id="rId2496" w:history="1">
        <w:r w:rsidRPr="000247F2">
          <w:rPr>
            <w:rStyle w:val="Hyperlink"/>
            <w:rFonts w:ascii="Times New Roman" w:eastAsia="Times New Roman" w:hAnsi="Times New Roman"/>
            <w:sz w:val="24"/>
            <w:szCs w:val="24"/>
          </w:rPr>
          <w:t>https://www.ca5.uscourts.gov/opinions/pub/21/21-20085-CV0.pdf</w:t>
        </w:r>
      </w:hyperlink>
      <w:r>
        <w:rPr>
          <w:rFonts w:ascii="Times New Roman" w:eastAsia="Times New Roman" w:hAnsi="Times New Roman"/>
          <w:sz w:val="24"/>
          <w:szCs w:val="24"/>
        </w:rPr>
        <w:t xml:space="preserve"> </w:t>
      </w:r>
    </w:p>
    <w:p w14:paraId="7C1D7575" w14:textId="77777777" w:rsidR="009453FA" w:rsidRDefault="009453FA" w:rsidP="009453FA">
      <w:pPr>
        <w:pStyle w:val="NormalWeb"/>
        <w:rPr>
          <w:b/>
          <w:bCs/>
        </w:rPr>
      </w:pPr>
      <w:r w:rsidRPr="00DA6A29">
        <w:rPr>
          <w:b/>
          <w:bCs/>
        </w:rPr>
        <w:t>Legal Lesson Learned:</w:t>
      </w:r>
      <w:r>
        <w:rPr>
          <w:b/>
          <w:bCs/>
        </w:rPr>
        <w:t xml:space="preserve"> Terrible facts; City would be wise to quickly settle this case. </w:t>
      </w:r>
    </w:p>
    <w:p w14:paraId="02CFB19B" w14:textId="77777777" w:rsidR="009453FA" w:rsidRDefault="009453FA" w:rsidP="000C4DF5">
      <w:pPr>
        <w:pStyle w:val="NoSpacing"/>
        <w:rPr>
          <w:rFonts w:ascii="Arial Black" w:hAnsi="Arial Black"/>
          <w:sz w:val="24"/>
          <w:szCs w:val="24"/>
        </w:rPr>
      </w:pPr>
    </w:p>
    <w:p w14:paraId="5DB3B55C" w14:textId="77777777" w:rsidR="009453FA" w:rsidRDefault="009453FA" w:rsidP="000C4DF5">
      <w:pPr>
        <w:pStyle w:val="NoSpacing"/>
        <w:rPr>
          <w:rFonts w:ascii="Arial Black" w:hAnsi="Arial Black"/>
          <w:sz w:val="24"/>
          <w:szCs w:val="24"/>
        </w:rPr>
      </w:pPr>
    </w:p>
    <w:p w14:paraId="19612664" w14:textId="0DF07B37" w:rsidR="00221640" w:rsidRDefault="00221640" w:rsidP="000C4DF5">
      <w:pPr>
        <w:pStyle w:val="NoSpacing"/>
        <w:rPr>
          <w:rFonts w:ascii="Arial Black" w:hAnsi="Arial Black"/>
          <w:sz w:val="24"/>
          <w:szCs w:val="24"/>
        </w:rPr>
      </w:pPr>
      <w:r>
        <w:rPr>
          <w:rFonts w:ascii="Arial Black" w:hAnsi="Arial Black"/>
          <w:sz w:val="24"/>
          <w:szCs w:val="24"/>
        </w:rPr>
        <w:t>15-15</w:t>
      </w:r>
    </w:p>
    <w:p w14:paraId="0A03C679" w14:textId="77777777" w:rsidR="00221640" w:rsidRPr="003A47ED" w:rsidRDefault="00221640" w:rsidP="00221640">
      <w:pPr>
        <w:spacing w:before="100" w:beforeAutospacing="1" w:after="100" w:afterAutospacing="1" w:line="240" w:lineRule="auto"/>
        <w:rPr>
          <w:rFonts w:ascii="Arial Black" w:eastAsia="Times New Roman" w:hAnsi="Arial Black"/>
          <w:b/>
          <w:bCs/>
          <w:sz w:val="28"/>
          <w:szCs w:val="28"/>
        </w:rPr>
      </w:pPr>
      <w:bookmarkStart w:id="575" w:name="_Hlk99871184"/>
      <w:r>
        <w:rPr>
          <w:rFonts w:ascii="Arial Black" w:eastAsia="Times New Roman" w:hAnsi="Arial Black"/>
          <w:b/>
          <w:bCs/>
          <w:sz w:val="28"/>
          <w:szCs w:val="28"/>
        </w:rPr>
        <w:t>CA: PTSD – CHP TROOPER – FIREARM RETURNED – KILLED WIFE – SHOT HER BOYFRIEND, SUICIDE – NO IMMUNITY</w:t>
      </w:r>
    </w:p>
    <w:p w14:paraId="4DE1CAA0" w14:textId="77777777" w:rsidR="00221640" w:rsidRDefault="00221640" w:rsidP="00221640">
      <w:pPr>
        <w:spacing w:before="100" w:beforeAutospacing="1" w:after="100" w:afterAutospacing="1" w:line="240" w:lineRule="auto"/>
        <w:rPr>
          <w:rFonts w:ascii="Times New Roman" w:hAnsi="Times New Roman"/>
          <w:sz w:val="24"/>
          <w:szCs w:val="24"/>
        </w:rPr>
      </w:pPr>
      <w:r w:rsidRPr="00021501">
        <w:rPr>
          <w:rFonts w:ascii="Times New Roman" w:eastAsia="Times New Roman" w:hAnsi="Times New Roman"/>
          <w:sz w:val="24"/>
          <w:szCs w:val="24"/>
        </w:rPr>
        <w:t xml:space="preserve">On Feb. 25, 2022, in </w:t>
      </w:r>
      <w:r w:rsidRPr="00021501">
        <w:rPr>
          <w:rFonts w:ascii="Times New Roman" w:eastAsia="Times New Roman" w:hAnsi="Times New Roman"/>
          <w:sz w:val="24"/>
          <w:szCs w:val="24"/>
          <w:u w:val="single"/>
        </w:rPr>
        <w:t>Phil</w:t>
      </w:r>
      <w:r>
        <w:rPr>
          <w:rFonts w:ascii="Times New Roman" w:eastAsia="Times New Roman" w:hAnsi="Times New Roman"/>
          <w:sz w:val="24"/>
          <w:szCs w:val="24"/>
          <w:u w:val="single"/>
        </w:rPr>
        <w:t xml:space="preserve"> </w:t>
      </w:r>
      <w:proofErr w:type="spellStart"/>
      <w:r w:rsidRPr="00021501">
        <w:rPr>
          <w:rFonts w:ascii="Times New Roman" w:eastAsia="Times New Roman" w:hAnsi="Times New Roman"/>
          <w:sz w:val="24"/>
          <w:szCs w:val="24"/>
          <w:u w:val="single"/>
        </w:rPr>
        <w:t>Debeaubien</w:t>
      </w:r>
      <w:proofErr w:type="spellEnd"/>
      <w:r w:rsidRPr="00021501">
        <w:rPr>
          <w:rFonts w:ascii="Times New Roman" w:eastAsia="Times New Roman" w:hAnsi="Times New Roman"/>
          <w:sz w:val="24"/>
          <w:szCs w:val="24"/>
          <w:u w:val="single"/>
        </w:rPr>
        <w:t xml:space="preserve"> v. State of California, California Highway Patrol, Todd Brown, et al.</w:t>
      </w:r>
      <w:r w:rsidRPr="00021501">
        <w:rPr>
          <w:rFonts w:ascii="Times New Roman" w:eastAsia="Times New Roman" w:hAnsi="Times New Roman"/>
          <w:sz w:val="24"/>
          <w:szCs w:val="24"/>
        </w:rPr>
        <w:t xml:space="preserve">, U.S. District Court Judge William B. </w:t>
      </w:r>
      <w:proofErr w:type="spellStart"/>
      <w:r w:rsidRPr="00021501">
        <w:rPr>
          <w:rFonts w:ascii="Times New Roman" w:eastAsia="Times New Roman" w:hAnsi="Times New Roman"/>
          <w:sz w:val="24"/>
          <w:szCs w:val="24"/>
        </w:rPr>
        <w:t>Shubb</w:t>
      </w:r>
      <w:proofErr w:type="spellEnd"/>
      <w:r w:rsidRPr="00021501">
        <w:rPr>
          <w:rFonts w:ascii="Times New Roman" w:eastAsia="Times New Roman" w:hAnsi="Times New Roman"/>
          <w:sz w:val="24"/>
          <w:szCs w:val="24"/>
        </w:rPr>
        <w:t xml:space="preserve">, U.S. District Court for Eastern District of California, in a lawsuit filed by </w:t>
      </w:r>
      <w:r>
        <w:rPr>
          <w:rFonts w:ascii="Times New Roman" w:eastAsia="Times New Roman" w:hAnsi="Times New Roman"/>
          <w:sz w:val="24"/>
          <w:szCs w:val="24"/>
        </w:rPr>
        <w:t xml:space="preserve">estranged wife’s boyfriend who was shot in arm, </w:t>
      </w:r>
      <w:r w:rsidRPr="00021501">
        <w:rPr>
          <w:rFonts w:ascii="Times New Roman" w:eastAsia="Times New Roman" w:hAnsi="Times New Roman"/>
          <w:sz w:val="24"/>
          <w:szCs w:val="24"/>
        </w:rPr>
        <w:t>denied the State of California and the CHP supervisors’ motion for summary judgment</w:t>
      </w:r>
      <w:r>
        <w:rPr>
          <w:rFonts w:ascii="Times New Roman" w:eastAsia="Times New Roman" w:hAnsi="Times New Roman"/>
          <w:sz w:val="24"/>
          <w:szCs w:val="24"/>
        </w:rPr>
        <w:t xml:space="preserve">. The service weapon had been returned after EAP counselors advised CHP he could return to work. </w:t>
      </w:r>
      <w:hyperlink r:id="rId2497" w:history="1">
        <w:r w:rsidRPr="002477AB">
          <w:rPr>
            <w:rStyle w:val="Hyperlink"/>
            <w:rFonts w:ascii="Times New Roman" w:eastAsia="Times New Roman" w:hAnsi="Times New Roman"/>
            <w:sz w:val="24"/>
            <w:szCs w:val="24"/>
          </w:rPr>
          <w:t>https://public.fastcase.com/waZtJvSA54UAurM2rmIZz6DHvxBXKDNOBT4bWQ9B2C2XMExqnhPDmJ4RTlgjq%2FCO3g5z%2BjC1yjBDqKCmneuiR5bS8Q3ELHfgftRpjN8MXvk%3D</w:t>
        </w:r>
      </w:hyperlink>
      <w:bookmarkEnd w:id="575"/>
      <w:r>
        <w:rPr>
          <w:rFonts w:ascii="Times New Roman" w:eastAsia="Times New Roman" w:hAnsi="Times New Roman"/>
          <w:sz w:val="24"/>
          <w:szCs w:val="24"/>
        </w:rPr>
        <w:t xml:space="preserve"> </w:t>
      </w:r>
    </w:p>
    <w:p w14:paraId="6A273E94" w14:textId="77777777" w:rsidR="00221640" w:rsidRDefault="00221640" w:rsidP="00221640">
      <w:pPr>
        <w:pStyle w:val="NormalWeb"/>
        <w:ind w:left="720" w:firstLine="60"/>
      </w:pPr>
      <w:r>
        <w:t xml:space="preserve">“Plaintiff Philip </w:t>
      </w:r>
      <w:proofErr w:type="spellStart"/>
      <w:r>
        <w:t>Debeaubien</w:t>
      </w:r>
      <w:proofErr w:type="spellEnd"/>
      <w:r>
        <w:t xml:space="preserve"> (‘plaintiff’) brought this section 1983 action against the State of California; the California Highway Patrol (‘CHP’); CHP officers Todd Brown, Reggie Whitehead, Ryan Stonebraker, Brent Newman, and Jeremy Dobler (collectively the ‘CHP defendants’); Joy Graf; and Sabrena Swain; for various alleged constitutional and state tort offenses…</w:t>
      </w:r>
      <w:r>
        <w:rPr>
          <w:vertAlign w:val="superscript"/>
        </w:rPr>
        <w:t xml:space="preserve">. </w:t>
      </w:r>
      <w:r>
        <w:t xml:space="preserve"> The case arises out of events on September 3, 2018, wherein CHP officer Brad Wheat (‘Wheat’) shot plaintiff before fatally shooting Wheat's wife and himself.</w:t>
      </w:r>
    </w:p>
    <w:p w14:paraId="7E98A787" w14:textId="77777777" w:rsidR="00221640" w:rsidRDefault="00221640" w:rsidP="00221640">
      <w:pPr>
        <w:pStyle w:val="NormalWeb"/>
        <w:ind w:left="720" w:firstLine="60"/>
      </w:pPr>
      <w:r>
        <w:t>***</w:t>
      </w:r>
    </w:p>
    <w:p w14:paraId="415FD83C" w14:textId="77777777" w:rsidR="00221640" w:rsidRDefault="00221640" w:rsidP="00221640">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 xml:space="preserve">[Motion to dismiss is] </w:t>
      </w:r>
      <w:r w:rsidRPr="007E70C2">
        <w:rPr>
          <w:rFonts w:ascii="Times New Roman" w:hAnsi="Times New Roman"/>
          <w:sz w:val="24"/>
          <w:szCs w:val="24"/>
        </w:rPr>
        <w:t>DENIED as to defendants Dobler, Brown, Stonebraker, State of California, and California Highway Patrol on the issue of whether these defendants owed plaintiff a duty not to entrust Wheat with a firearm</w:t>
      </w:r>
      <w:r>
        <w:rPr>
          <w:rFonts w:ascii="Times New Roman" w:hAnsi="Times New Roman"/>
          <w:sz w:val="24"/>
          <w:szCs w:val="24"/>
        </w:rPr>
        <w:t xml:space="preserve">.” </w:t>
      </w:r>
    </w:p>
    <w:p w14:paraId="14F748BF" w14:textId="77777777" w:rsidR="00221640" w:rsidRPr="00021501" w:rsidRDefault="00221640" w:rsidP="00221640">
      <w:pPr>
        <w:pStyle w:val="Heading1"/>
        <w:rPr>
          <w:sz w:val="24"/>
          <w:szCs w:val="24"/>
        </w:rPr>
      </w:pPr>
      <w:r>
        <w:rPr>
          <w:b w:val="0"/>
          <w:bCs w:val="0"/>
          <w:sz w:val="24"/>
          <w:szCs w:val="24"/>
        </w:rPr>
        <w:t xml:space="preserve">Watch the Jan. 26, </w:t>
      </w:r>
      <w:proofErr w:type="gramStart"/>
      <w:r>
        <w:rPr>
          <w:b w:val="0"/>
          <w:bCs w:val="0"/>
          <w:sz w:val="24"/>
          <w:szCs w:val="24"/>
        </w:rPr>
        <w:t>2022</w:t>
      </w:r>
      <w:proofErr w:type="gramEnd"/>
      <w:r>
        <w:rPr>
          <w:b w:val="0"/>
          <w:bCs w:val="0"/>
          <w:sz w:val="24"/>
          <w:szCs w:val="24"/>
        </w:rPr>
        <w:t xml:space="preserve"> TV interview with Plaintiff - includes bystander video of scene on </w:t>
      </w:r>
      <w:proofErr w:type="gramStart"/>
      <w:r>
        <w:rPr>
          <w:b w:val="0"/>
          <w:bCs w:val="0"/>
          <w:sz w:val="24"/>
          <w:szCs w:val="24"/>
        </w:rPr>
        <w:t>Sept,</w:t>
      </w:r>
      <w:proofErr w:type="gramEnd"/>
      <w:r>
        <w:rPr>
          <w:b w:val="0"/>
          <w:bCs w:val="0"/>
          <w:sz w:val="24"/>
          <w:szCs w:val="24"/>
        </w:rPr>
        <w:t xml:space="preserve"> 3, 2018 where you can hear shots being fired. </w:t>
      </w:r>
    </w:p>
    <w:p w14:paraId="6DAE7DC8" w14:textId="77777777" w:rsidR="00221640" w:rsidRDefault="00221640" w:rsidP="00221640">
      <w:pPr>
        <w:pStyle w:val="ListParagraph"/>
        <w:spacing w:before="100" w:beforeAutospacing="1" w:after="100" w:afterAutospacing="1" w:line="240" w:lineRule="auto"/>
        <w:ind w:left="1440"/>
        <w:rPr>
          <w:rStyle w:val="Hyperlink"/>
          <w:rFonts w:ascii="Times New Roman" w:hAnsi="Times New Roman" w:cs="Times New Roman"/>
          <w:sz w:val="24"/>
          <w:szCs w:val="24"/>
        </w:rPr>
      </w:pPr>
      <w:r w:rsidRPr="00021501">
        <w:rPr>
          <w:rFonts w:ascii="Times New Roman" w:hAnsi="Times New Roman" w:cs="Times New Roman"/>
          <w:sz w:val="24"/>
          <w:szCs w:val="24"/>
        </w:rPr>
        <w:t xml:space="preserve">“He’s suing the CHP after an off-duty officer shot him. Here’s what he hopes to change.  Bystander video shows part of the 2018 murder-suicide incident involving CHP Lt. Brad Wheat and his estranged wife, Mary. Trae </w:t>
      </w:r>
      <w:proofErr w:type="spellStart"/>
      <w:r w:rsidRPr="00021501">
        <w:rPr>
          <w:rFonts w:ascii="Times New Roman" w:hAnsi="Times New Roman" w:cs="Times New Roman"/>
          <w:sz w:val="24"/>
          <w:szCs w:val="24"/>
        </w:rPr>
        <w:t>deBeaubien</w:t>
      </w:r>
      <w:proofErr w:type="spellEnd"/>
      <w:r w:rsidRPr="00021501">
        <w:rPr>
          <w:rFonts w:ascii="Times New Roman" w:hAnsi="Times New Roman" w:cs="Times New Roman"/>
          <w:sz w:val="24"/>
          <w:szCs w:val="24"/>
        </w:rPr>
        <w:t xml:space="preserve">, who was dating Mary, was also shot and is suing the agency for returning Wheat's gun after he made threats.” </w:t>
      </w:r>
      <w:hyperlink r:id="rId2498" w:history="1">
        <w:r w:rsidRPr="00021501">
          <w:rPr>
            <w:rStyle w:val="Hyperlink"/>
            <w:rFonts w:ascii="Times New Roman" w:hAnsi="Times New Roman" w:cs="Times New Roman"/>
            <w:sz w:val="24"/>
            <w:szCs w:val="24"/>
          </w:rPr>
          <w:t>https://www.sacbee.com/news/local/article257698263.html</w:t>
        </w:r>
      </w:hyperlink>
    </w:p>
    <w:p w14:paraId="5A1C5CE9" w14:textId="77777777" w:rsidR="00221640" w:rsidRDefault="00221640" w:rsidP="00221640">
      <w:pPr>
        <w:spacing w:before="100" w:beforeAutospacing="1" w:after="100" w:afterAutospacing="1" w:line="240" w:lineRule="auto"/>
        <w:rPr>
          <w:rStyle w:val="Hyperlink"/>
          <w:rFonts w:ascii="Times New Roman" w:hAnsi="Times New Roman"/>
          <w:sz w:val="24"/>
          <w:szCs w:val="24"/>
        </w:rPr>
      </w:pPr>
      <w:r w:rsidRPr="0050050C">
        <w:rPr>
          <w:rFonts w:ascii="Times New Roman" w:hAnsi="Times New Roman"/>
          <w:sz w:val="24"/>
          <w:szCs w:val="24"/>
        </w:rPr>
        <w:lastRenderedPageBreak/>
        <w:t xml:space="preserve">Feb. 25, 2022: “An Off-Duty Cop Murdered His Ex-Girlfriend. The California Highway Patrol Ignored the Red Flags.” </w:t>
      </w:r>
      <w:hyperlink r:id="rId2499" w:history="1">
        <w:r w:rsidRPr="0050050C">
          <w:rPr>
            <w:rStyle w:val="Hyperlink"/>
            <w:rFonts w:ascii="Times New Roman" w:hAnsi="Times New Roman"/>
            <w:sz w:val="24"/>
            <w:szCs w:val="24"/>
          </w:rPr>
          <w:t>https://gemm.site/2022/02/25/an-off-duty-cop-murdered-his-ex-girlfriend-the-california-highway-patrol-ignored-the-red-flags/</w:t>
        </w:r>
      </w:hyperlink>
    </w:p>
    <w:p w14:paraId="65052A0E" w14:textId="77777777" w:rsidR="009453FA" w:rsidRPr="004B6F15" w:rsidRDefault="009453FA" w:rsidP="009453FA">
      <w:pPr>
        <w:pStyle w:val="NormalWeb"/>
        <w:rPr>
          <w:b/>
          <w:bCs/>
        </w:rPr>
      </w:pPr>
      <w:r w:rsidRPr="004B6F15">
        <w:rPr>
          <w:b/>
          <w:bCs/>
        </w:rPr>
        <w:t xml:space="preserve">Legal Lesson Learned: Returning a service weapon to a police officer suffering </w:t>
      </w:r>
      <w:r>
        <w:rPr>
          <w:b/>
          <w:bCs/>
        </w:rPr>
        <w:t xml:space="preserve">from PTSD or other serious </w:t>
      </w:r>
      <w:r w:rsidRPr="004B6F15">
        <w:rPr>
          <w:b/>
          <w:bCs/>
        </w:rPr>
        <w:t>mental should only be done after a Fitness for Duty</w:t>
      </w:r>
      <w:r>
        <w:rPr>
          <w:b/>
          <w:bCs/>
        </w:rPr>
        <w:t xml:space="preserve"> (FFDE)</w:t>
      </w:r>
      <w:r w:rsidRPr="004B6F15">
        <w:rPr>
          <w:b/>
          <w:bCs/>
        </w:rPr>
        <w:t xml:space="preserve"> psychological evaluation (FFDE) by an appropriately trained and competent licensed mental health professional.</w:t>
      </w:r>
    </w:p>
    <w:p w14:paraId="122B53A6" w14:textId="7F0701A2" w:rsidR="009453FA" w:rsidRPr="00B572BA" w:rsidRDefault="009453FA" w:rsidP="009453FA">
      <w:pPr>
        <w:spacing w:before="100" w:beforeAutospacing="1" w:after="100" w:afterAutospacing="1" w:line="240" w:lineRule="auto"/>
        <w:ind w:left="720"/>
        <w:rPr>
          <w:rFonts w:ascii="Times New Roman" w:eastAsia="Times New Roman" w:hAnsi="Times New Roman"/>
          <w:sz w:val="24"/>
          <w:szCs w:val="24"/>
        </w:rPr>
      </w:pPr>
      <w:r w:rsidRPr="00B572BA">
        <w:rPr>
          <w:rFonts w:ascii="Times New Roman" w:eastAsia="Times New Roman" w:hAnsi="Times New Roman"/>
          <w:sz w:val="24"/>
          <w:szCs w:val="24"/>
        </w:rPr>
        <w:t xml:space="preserve">Note: Dr. Eric Birkley, Psychologist, has kindly provided this info on Fitness </w:t>
      </w:r>
      <w:proofErr w:type="gramStart"/>
      <w:r w:rsidRPr="00B572BA">
        <w:rPr>
          <w:rFonts w:ascii="Times New Roman" w:eastAsia="Times New Roman" w:hAnsi="Times New Roman"/>
          <w:sz w:val="24"/>
          <w:szCs w:val="24"/>
        </w:rPr>
        <w:t>For</w:t>
      </w:r>
      <w:proofErr w:type="gramEnd"/>
      <w:r w:rsidRPr="00B572BA">
        <w:rPr>
          <w:rFonts w:ascii="Times New Roman" w:eastAsia="Times New Roman" w:hAnsi="Times New Roman"/>
          <w:sz w:val="24"/>
          <w:szCs w:val="24"/>
        </w:rPr>
        <w:t xml:space="preserve"> Duty Evaluations </w:t>
      </w:r>
      <w:bookmarkStart w:id="576" w:name="_Hlk99975468"/>
      <w:r w:rsidRPr="00B572BA">
        <w:rPr>
          <w:rFonts w:ascii="Times New Roman" w:eastAsia="Times New Roman" w:hAnsi="Times New Roman"/>
          <w:sz w:val="24"/>
          <w:szCs w:val="24"/>
        </w:rPr>
        <w:t xml:space="preserve">[posted with her permission]. </w:t>
      </w:r>
      <w:bookmarkEnd w:id="576"/>
      <w:r w:rsidRPr="00B572BA">
        <w:rPr>
          <w:rFonts w:ascii="Times New Roman" w:eastAsia="Times New Roman" w:hAnsi="Times New Roman"/>
          <w:sz w:val="24"/>
          <w:szCs w:val="24"/>
        </w:rPr>
        <w:t xml:space="preserve">On May 26, 2022, Dr. Birley and the author of this </w:t>
      </w:r>
      <w:proofErr w:type="gramStart"/>
      <w:r w:rsidRPr="00B572BA">
        <w:rPr>
          <w:rFonts w:ascii="Times New Roman" w:eastAsia="Times New Roman" w:hAnsi="Times New Roman"/>
          <w:sz w:val="24"/>
          <w:szCs w:val="24"/>
        </w:rPr>
        <w:t>newsletter,</w:t>
      </w:r>
      <w:proofErr w:type="gramEnd"/>
      <w:r w:rsidRPr="00B572BA">
        <w:rPr>
          <w:rFonts w:ascii="Times New Roman" w:eastAsia="Times New Roman" w:hAnsi="Times New Roman"/>
          <w:sz w:val="24"/>
          <w:szCs w:val="24"/>
        </w:rPr>
        <w:t xml:space="preserve"> will both be on a panel for First Responder Mental Health Symposium. </w:t>
      </w:r>
      <w:hyperlink r:id="rId2500" w:history="1">
        <w:r w:rsidRPr="00B572BA">
          <w:rPr>
            <w:rStyle w:val="Hyperlink"/>
            <w:rFonts w:ascii="Times New Roman" w:eastAsia="Times New Roman" w:hAnsi="Times New Roman"/>
            <w:sz w:val="24"/>
            <w:szCs w:val="24"/>
          </w:rPr>
          <w:t>https://ceas.uc.edu/academics/departments/aerospace-engineering-mechanics/fire-science/news.html</w:t>
        </w:r>
      </w:hyperlink>
      <w:r w:rsidRPr="00B572BA">
        <w:rPr>
          <w:rFonts w:ascii="Times New Roman" w:eastAsia="Times New Roman" w:hAnsi="Times New Roman"/>
          <w:sz w:val="24"/>
          <w:szCs w:val="24"/>
        </w:rPr>
        <w:t xml:space="preserve"> </w:t>
      </w:r>
    </w:p>
    <w:p w14:paraId="2334C4BF" w14:textId="77777777" w:rsidR="009453FA" w:rsidRPr="00B572BA" w:rsidRDefault="009453FA" w:rsidP="009453FA">
      <w:pPr>
        <w:ind w:firstLine="720"/>
        <w:rPr>
          <w:rFonts w:ascii="Times New Roman" w:hAnsi="Times New Roman"/>
          <w:sz w:val="24"/>
          <w:szCs w:val="24"/>
        </w:rPr>
      </w:pPr>
      <w:r w:rsidRPr="00B572BA">
        <w:rPr>
          <w:rFonts w:ascii="Times New Roman" w:hAnsi="Times New Roman"/>
          <w:sz w:val="24"/>
          <w:szCs w:val="24"/>
        </w:rPr>
        <w:t>3/25/2022</w:t>
      </w:r>
    </w:p>
    <w:p w14:paraId="3A6CAB21" w14:textId="77777777" w:rsidR="009453FA" w:rsidRPr="00B572BA" w:rsidRDefault="009453FA" w:rsidP="009453FA">
      <w:pPr>
        <w:ind w:firstLine="720"/>
        <w:rPr>
          <w:rFonts w:ascii="Times New Roman" w:hAnsi="Times New Roman"/>
          <w:sz w:val="24"/>
          <w:szCs w:val="24"/>
        </w:rPr>
      </w:pPr>
      <w:r w:rsidRPr="00B572BA">
        <w:rPr>
          <w:rFonts w:ascii="Times New Roman" w:hAnsi="Times New Roman"/>
          <w:sz w:val="24"/>
          <w:szCs w:val="24"/>
        </w:rPr>
        <w:t>Hi Larry,</w:t>
      </w:r>
    </w:p>
    <w:p w14:paraId="75EDDF5C" w14:textId="77777777" w:rsidR="009453FA" w:rsidRPr="00B572BA" w:rsidRDefault="009453FA" w:rsidP="009453FA">
      <w:pPr>
        <w:ind w:left="720"/>
        <w:rPr>
          <w:rFonts w:ascii="Times New Roman" w:hAnsi="Times New Roman"/>
          <w:sz w:val="24"/>
          <w:szCs w:val="24"/>
        </w:rPr>
      </w:pPr>
      <w:r w:rsidRPr="00B572BA">
        <w:rPr>
          <w:rFonts w:ascii="Times New Roman" w:hAnsi="Times New Roman"/>
          <w:sz w:val="24"/>
          <w:szCs w:val="24"/>
        </w:rPr>
        <w:t xml:space="preserve">I would specify that when an employed officer makes specific threats of violence that the criterion standard is (under all circumstances I can think of) met to order a Fitness for Duty psychological evaluation (FFDE) by an appropriately trained and competent licensed mental health professional.  Part of that professional’s job is to provide feedback to the first responder agency on whether the criterion standard for a FFDE is met given the facts of the case. As mental health professionals, we expect that if a person is </w:t>
      </w:r>
      <w:proofErr w:type="gramStart"/>
      <w:r w:rsidRPr="00B572BA">
        <w:rPr>
          <w:rFonts w:ascii="Times New Roman" w:hAnsi="Times New Roman"/>
          <w:sz w:val="24"/>
          <w:szCs w:val="24"/>
        </w:rPr>
        <w:t>referred</w:t>
      </w:r>
      <w:proofErr w:type="gramEnd"/>
      <w:r w:rsidRPr="00B572BA">
        <w:rPr>
          <w:rFonts w:ascii="Times New Roman" w:hAnsi="Times New Roman"/>
          <w:sz w:val="24"/>
          <w:szCs w:val="24"/>
        </w:rPr>
        <w:t xml:space="preserve"> for a Fitness for Duty evaluation that they will most likely be placed on administrative leave, and/or other actions have been taken by the agency to limit their duties appropriately. </w:t>
      </w:r>
    </w:p>
    <w:p w14:paraId="419ECC79" w14:textId="77777777" w:rsidR="009453FA" w:rsidRPr="00B572BA" w:rsidRDefault="009453FA" w:rsidP="009453FA">
      <w:pPr>
        <w:rPr>
          <w:rFonts w:ascii="Times New Roman" w:hAnsi="Times New Roman"/>
          <w:sz w:val="24"/>
          <w:szCs w:val="24"/>
        </w:rPr>
      </w:pPr>
    </w:p>
    <w:p w14:paraId="04172822" w14:textId="77777777" w:rsidR="009453FA" w:rsidRPr="00B572BA" w:rsidRDefault="009453FA" w:rsidP="009453FA">
      <w:pPr>
        <w:ind w:left="720"/>
        <w:rPr>
          <w:rFonts w:ascii="Times New Roman" w:hAnsi="Times New Roman"/>
          <w:sz w:val="24"/>
          <w:szCs w:val="24"/>
        </w:rPr>
      </w:pPr>
      <w:r w:rsidRPr="00B572BA">
        <w:rPr>
          <w:rFonts w:ascii="Times New Roman" w:hAnsi="Times New Roman"/>
          <w:sz w:val="24"/>
          <w:szCs w:val="24"/>
        </w:rPr>
        <w:t>This is the criterion standard for a fitness for duty evaluation: “According to the Americans with Disabilities Act (ADA), when an employer has a reasonable belief, based on objective evidence, that a police officer may have a psychological condition that impairs his or her ability to perform essential job functions or poses a direct threat, an FFDE is “job-related and consistent with business necessity” (42 U.S.C. §12112[d][4][A]; 29 C.F.R. §1630.14[c]). Case law has established that an employer need not wait for objective evidence of impaired performance before justifying an FFDE when the employee is engaged in dangerous work.”</w:t>
      </w:r>
    </w:p>
    <w:p w14:paraId="076B6298" w14:textId="77777777" w:rsidR="009453FA" w:rsidRPr="00B572BA" w:rsidRDefault="009453FA" w:rsidP="009453FA">
      <w:pPr>
        <w:rPr>
          <w:rFonts w:ascii="Times New Roman" w:hAnsi="Times New Roman"/>
          <w:sz w:val="24"/>
          <w:szCs w:val="24"/>
        </w:rPr>
      </w:pPr>
    </w:p>
    <w:p w14:paraId="3DB20436" w14:textId="77777777" w:rsidR="009453FA" w:rsidRPr="00B572BA" w:rsidRDefault="009453FA" w:rsidP="009453FA">
      <w:pPr>
        <w:ind w:left="720"/>
        <w:rPr>
          <w:rFonts w:ascii="Times New Roman" w:hAnsi="Times New Roman"/>
          <w:sz w:val="24"/>
          <w:szCs w:val="24"/>
        </w:rPr>
      </w:pPr>
      <w:r w:rsidRPr="00B572BA">
        <w:rPr>
          <w:rFonts w:ascii="Times New Roman" w:hAnsi="Times New Roman"/>
          <w:sz w:val="24"/>
          <w:szCs w:val="24"/>
        </w:rPr>
        <w:t xml:space="preserve">I perform FFDE for LEOs and most often agencies aren’t abreast of the criterion standard for ordering an FFDE and order one too prematurely (when someone is an “asshole” but does not have an identifiable mental health impairment) or wait too long as in this case as they may be unaware of their options. FFDEs are designed to safeguard the public and the agency and save departments/taxpayers millions – they cost around $3500 for a psychologist to </w:t>
      </w:r>
      <w:proofErr w:type="gramStart"/>
      <w:r w:rsidRPr="00B572BA">
        <w:rPr>
          <w:rFonts w:ascii="Times New Roman" w:hAnsi="Times New Roman"/>
          <w:sz w:val="24"/>
          <w:szCs w:val="24"/>
        </w:rPr>
        <w:t>perform</w:t>
      </w:r>
      <w:proofErr w:type="gramEnd"/>
      <w:r w:rsidRPr="00B572BA">
        <w:rPr>
          <w:rFonts w:ascii="Times New Roman" w:hAnsi="Times New Roman"/>
          <w:sz w:val="24"/>
          <w:szCs w:val="24"/>
        </w:rPr>
        <w:t xml:space="preserve"> and some departments don’t consider the alternative cost of a lawsuit. </w:t>
      </w:r>
    </w:p>
    <w:p w14:paraId="663936AF" w14:textId="77777777" w:rsidR="009453FA" w:rsidRPr="00B572BA" w:rsidRDefault="009453FA" w:rsidP="009453FA">
      <w:pPr>
        <w:ind w:left="720"/>
        <w:rPr>
          <w:rFonts w:ascii="Times New Roman" w:hAnsi="Times New Roman"/>
          <w:sz w:val="24"/>
          <w:szCs w:val="24"/>
        </w:rPr>
      </w:pPr>
      <w:r w:rsidRPr="00B572BA">
        <w:rPr>
          <w:rFonts w:ascii="Times New Roman" w:hAnsi="Times New Roman"/>
          <w:sz w:val="24"/>
          <w:szCs w:val="24"/>
        </w:rPr>
        <w:t xml:space="preserve">Hope this is helpful! I attached a key article written by two leading police psychologists who literally wrote the book on FFDEs for LEO with several case law examples included. </w:t>
      </w:r>
    </w:p>
    <w:p w14:paraId="3BF3C68B" w14:textId="77777777" w:rsidR="009453FA" w:rsidRPr="00B572BA" w:rsidRDefault="009453FA" w:rsidP="001E264B">
      <w:pPr>
        <w:pStyle w:val="NoSpacing"/>
        <w:ind w:left="720"/>
        <w:rPr>
          <w:rFonts w:ascii="Times New Roman" w:hAnsi="Times New Roman"/>
          <w:sz w:val="24"/>
          <w:szCs w:val="24"/>
        </w:rPr>
      </w:pPr>
      <w:r w:rsidRPr="00B572BA">
        <w:rPr>
          <w:rFonts w:ascii="Times New Roman" w:hAnsi="Times New Roman"/>
          <w:sz w:val="24"/>
          <w:szCs w:val="24"/>
        </w:rPr>
        <w:t xml:space="preserve">Current Issues in Psychological Fitness-for-Duty Evaluations of Law Enforcement Officers: Legal and Practice Implications (2016): </w:t>
      </w:r>
      <w:hyperlink r:id="rId2501" w:history="1">
        <w:r w:rsidRPr="00B572BA">
          <w:rPr>
            <w:rStyle w:val="Hyperlink"/>
            <w:rFonts w:ascii="Times New Roman" w:hAnsi="Times New Roman"/>
            <w:sz w:val="24"/>
            <w:szCs w:val="24"/>
          </w:rPr>
          <w:t>Mayer ^0 Corey 2016 Current Issues in FFD evaluations of LEOs.pdf</w:t>
        </w:r>
      </w:hyperlink>
      <w:r w:rsidRPr="00B572BA">
        <w:rPr>
          <w:rFonts w:ascii="Times New Roman" w:hAnsi="Times New Roman"/>
          <w:sz w:val="24"/>
          <w:szCs w:val="24"/>
        </w:rPr>
        <w:t xml:space="preserve"> </w:t>
      </w:r>
    </w:p>
    <w:p w14:paraId="12149CB6" w14:textId="77777777" w:rsidR="009453FA" w:rsidRPr="00B572BA" w:rsidRDefault="009453FA" w:rsidP="009453FA">
      <w:pPr>
        <w:ind w:left="720"/>
        <w:rPr>
          <w:rFonts w:ascii="Times New Roman" w:hAnsi="Times New Roman"/>
          <w:sz w:val="24"/>
          <w:szCs w:val="24"/>
        </w:rPr>
      </w:pPr>
    </w:p>
    <w:p w14:paraId="3BCCC045" w14:textId="77777777" w:rsidR="009453FA" w:rsidRPr="00B572BA" w:rsidRDefault="009453FA" w:rsidP="009453FA">
      <w:pPr>
        <w:ind w:firstLine="720"/>
        <w:rPr>
          <w:rFonts w:ascii="Times New Roman" w:hAnsi="Times New Roman"/>
          <w:sz w:val="24"/>
          <w:szCs w:val="24"/>
        </w:rPr>
      </w:pPr>
      <w:r w:rsidRPr="00B572BA">
        <w:rPr>
          <w:rFonts w:ascii="Times New Roman" w:hAnsi="Times New Roman"/>
          <w:sz w:val="24"/>
          <w:szCs w:val="24"/>
        </w:rPr>
        <w:t>Erica</w:t>
      </w:r>
    </w:p>
    <w:p w14:paraId="3E170A4B" w14:textId="77777777" w:rsidR="009453FA" w:rsidRPr="00B572BA" w:rsidRDefault="009453FA" w:rsidP="009453FA">
      <w:pPr>
        <w:pStyle w:val="NoSpacing"/>
        <w:ind w:firstLine="720"/>
        <w:rPr>
          <w:rFonts w:ascii="Times New Roman" w:hAnsi="Times New Roman"/>
          <w:sz w:val="24"/>
          <w:szCs w:val="24"/>
        </w:rPr>
      </w:pPr>
      <w:r w:rsidRPr="00B572BA">
        <w:rPr>
          <w:rFonts w:ascii="Times New Roman" w:hAnsi="Times New Roman"/>
          <w:sz w:val="24"/>
          <w:szCs w:val="24"/>
        </w:rPr>
        <w:t>Erica Birkley, PhD</w:t>
      </w:r>
    </w:p>
    <w:p w14:paraId="14F2BFC2" w14:textId="77777777" w:rsidR="009453FA" w:rsidRPr="00B572BA" w:rsidRDefault="009453FA" w:rsidP="009453FA">
      <w:pPr>
        <w:pStyle w:val="NoSpacing"/>
        <w:ind w:firstLine="720"/>
        <w:rPr>
          <w:rFonts w:ascii="Times New Roman" w:hAnsi="Times New Roman"/>
          <w:sz w:val="24"/>
          <w:szCs w:val="24"/>
        </w:rPr>
      </w:pPr>
      <w:r w:rsidRPr="00B572BA">
        <w:rPr>
          <w:rFonts w:ascii="Times New Roman" w:hAnsi="Times New Roman"/>
          <w:sz w:val="24"/>
          <w:szCs w:val="24"/>
        </w:rPr>
        <w:t>Associate Professor</w:t>
      </w:r>
    </w:p>
    <w:p w14:paraId="3FB32728" w14:textId="77777777" w:rsidR="009453FA" w:rsidRPr="00B572BA" w:rsidRDefault="009453FA" w:rsidP="009453FA">
      <w:pPr>
        <w:pStyle w:val="NoSpacing"/>
        <w:ind w:firstLine="720"/>
        <w:rPr>
          <w:rFonts w:ascii="Times New Roman" w:hAnsi="Times New Roman"/>
          <w:sz w:val="24"/>
          <w:szCs w:val="24"/>
        </w:rPr>
      </w:pPr>
      <w:r w:rsidRPr="00B572BA">
        <w:rPr>
          <w:rFonts w:ascii="Times New Roman" w:hAnsi="Times New Roman"/>
          <w:sz w:val="24"/>
          <w:szCs w:val="24"/>
        </w:rPr>
        <w:t>Psychologist</w:t>
      </w:r>
    </w:p>
    <w:p w14:paraId="56F1ED6A" w14:textId="77777777" w:rsidR="009453FA" w:rsidRPr="00B572BA" w:rsidRDefault="009453FA" w:rsidP="009453FA">
      <w:pPr>
        <w:pStyle w:val="NoSpacing"/>
        <w:ind w:firstLine="720"/>
        <w:rPr>
          <w:rFonts w:ascii="Times New Roman" w:hAnsi="Times New Roman"/>
          <w:sz w:val="24"/>
          <w:szCs w:val="24"/>
        </w:rPr>
      </w:pPr>
      <w:r w:rsidRPr="00B572BA">
        <w:rPr>
          <w:rFonts w:ascii="Times New Roman" w:hAnsi="Times New Roman"/>
          <w:sz w:val="24"/>
          <w:szCs w:val="24"/>
        </w:rPr>
        <w:t>UC Department of Psychiatry and Behavioral Neuroscience</w:t>
      </w:r>
    </w:p>
    <w:p w14:paraId="1A2DEB14" w14:textId="77777777" w:rsidR="009453FA" w:rsidRPr="00B572BA" w:rsidRDefault="009453FA" w:rsidP="009453FA">
      <w:pPr>
        <w:pStyle w:val="NoSpacing"/>
        <w:ind w:firstLine="720"/>
        <w:rPr>
          <w:rFonts w:ascii="Times New Roman" w:hAnsi="Times New Roman"/>
          <w:sz w:val="24"/>
          <w:szCs w:val="24"/>
        </w:rPr>
      </w:pPr>
      <w:r w:rsidRPr="00B572BA">
        <w:rPr>
          <w:rFonts w:ascii="Times New Roman" w:hAnsi="Times New Roman"/>
          <w:sz w:val="24"/>
          <w:szCs w:val="24"/>
        </w:rPr>
        <w:t>513-585-7742 (direct office)</w:t>
      </w:r>
    </w:p>
    <w:p w14:paraId="6EA0237F" w14:textId="77777777" w:rsidR="009453FA" w:rsidRPr="00B572BA" w:rsidRDefault="009453FA" w:rsidP="009453FA">
      <w:pPr>
        <w:pStyle w:val="NoSpacing"/>
        <w:ind w:firstLine="720"/>
        <w:rPr>
          <w:rFonts w:ascii="Times New Roman" w:hAnsi="Times New Roman"/>
          <w:sz w:val="24"/>
          <w:szCs w:val="24"/>
        </w:rPr>
      </w:pPr>
      <w:r w:rsidRPr="00B572BA">
        <w:rPr>
          <w:rFonts w:ascii="Times New Roman" w:hAnsi="Times New Roman"/>
          <w:sz w:val="24"/>
          <w:szCs w:val="24"/>
        </w:rPr>
        <w:t>513-585-7700 (scheduling desk)</w:t>
      </w:r>
    </w:p>
    <w:p w14:paraId="107EB90C" w14:textId="77777777" w:rsidR="009453FA" w:rsidRPr="00B572BA" w:rsidRDefault="009453FA" w:rsidP="009453FA">
      <w:pPr>
        <w:pStyle w:val="NoSpacing"/>
        <w:ind w:firstLine="720"/>
        <w:rPr>
          <w:rFonts w:ascii="Times New Roman" w:hAnsi="Times New Roman"/>
          <w:sz w:val="24"/>
          <w:szCs w:val="24"/>
        </w:rPr>
      </w:pPr>
      <w:r w:rsidRPr="00B572BA">
        <w:rPr>
          <w:rFonts w:ascii="Times New Roman" w:hAnsi="Times New Roman"/>
          <w:sz w:val="24"/>
          <w:szCs w:val="24"/>
        </w:rPr>
        <w:t>513-585-7778 (fax)</w:t>
      </w:r>
    </w:p>
    <w:p w14:paraId="688DC937" w14:textId="77777777" w:rsidR="009453FA" w:rsidRPr="00B572BA" w:rsidRDefault="009453FA" w:rsidP="009453FA">
      <w:pPr>
        <w:pStyle w:val="NoSpacing"/>
        <w:ind w:firstLine="720"/>
        <w:rPr>
          <w:rFonts w:ascii="Times New Roman" w:hAnsi="Times New Roman"/>
          <w:sz w:val="24"/>
          <w:szCs w:val="24"/>
        </w:rPr>
      </w:pPr>
      <w:hyperlink r:id="rId2502" w:history="1">
        <w:r w:rsidRPr="00B572BA">
          <w:rPr>
            <w:rStyle w:val="Hyperlink"/>
            <w:rFonts w:ascii="Times New Roman" w:hAnsi="Times New Roman"/>
            <w:sz w:val="24"/>
            <w:szCs w:val="24"/>
          </w:rPr>
          <w:t>Birkleea@ucmail.uc.edu</w:t>
        </w:r>
      </w:hyperlink>
    </w:p>
    <w:p w14:paraId="226D243D" w14:textId="77777777" w:rsidR="009453FA" w:rsidRPr="00B572BA" w:rsidRDefault="009453FA" w:rsidP="009453FA">
      <w:pPr>
        <w:pStyle w:val="NoSpacing"/>
        <w:ind w:firstLine="720"/>
        <w:rPr>
          <w:rFonts w:ascii="Times New Roman" w:hAnsi="Times New Roman"/>
          <w:sz w:val="24"/>
          <w:szCs w:val="24"/>
        </w:rPr>
      </w:pPr>
    </w:p>
    <w:p w14:paraId="31AE6274" w14:textId="77777777" w:rsidR="00221640" w:rsidRPr="00B572BA" w:rsidRDefault="00221640" w:rsidP="000C4DF5">
      <w:pPr>
        <w:pStyle w:val="NoSpacing"/>
        <w:rPr>
          <w:rFonts w:ascii="Times New Roman" w:hAnsi="Times New Roman"/>
          <w:sz w:val="24"/>
          <w:szCs w:val="24"/>
        </w:rPr>
      </w:pPr>
    </w:p>
    <w:p w14:paraId="10C296ED" w14:textId="77777777" w:rsidR="00221640" w:rsidRDefault="00221640" w:rsidP="000C4DF5">
      <w:pPr>
        <w:pStyle w:val="NoSpacing"/>
        <w:rPr>
          <w:rFonts w:ascii="Arial Black" w:hAnsi="Arial Black"/>
          <w:sz w:val="24"/>
          <w:szCs w:val="24"/>
        </w:rPr>
      </w:pPr>
    </w:p>
    <w:p w14:paraId="5E6AE4AD" w14:textId="77777777" w:rsidR="00221640" w:rsidRDefault="00221640" w:rsidP="000C4DF5">
      <w:pPr>
        <w:pStyle w:val="NoSpacing"/>
        <w:rPr>
          <w:rFonts w:ascii="Arial Black" w:hAnsi="Arial Black"/>
          <w:sz w:val="24"/>
          <w:szCs w:val="24"/>
        </w:rPr>
      </w:pPr>
    </w:p>
    <w:p w14:paraId="7DF0D82F" w14:textId="1424AF6F" w:rsidR="00FF5FCF" w:rsidRDefault="00BD3FE4" w:rsidP="000C4DF5">
      <w:pPr>
        <w:pStyle w:val="NoSpacing"/>
        <w:rPr>
          <w:rFonts w:ascii="Arial Black" w:hAnsi="Arial Black"/>
          <w:sz w:val="24"/>
          <w:szCs w:val="24"/>
        </w:rPr>
      </w:pPr>
      <w:r>
        <w:rPr>
          <w:rFonts w:ascii="Arial Black" w:hAnsi="Arial Black"/>
          <w:sz w:val="24"/>
          <w:szCs w:val="24"/>
        </w:rPr>
        <w:t>15-14</w:t>
      </w:r>
      <w:r w:rsidR="00680939">
        <w:rPr>
          <w:rFonts w:ascii="Arial Black" w:hAnsi="Arial Black"/>
          <w:sz w:val="24"/>
          <w:szCs w:val="24"/>
        </w:rPr>
        <w:t xml:space="preserve"> [also filed Chap. 10]</w:t>
      </w:r>
    </w:p>
    <w:p w14:paraId="65841AB0" w14:textId="77777777" w:rsidR="00BD3FE4" w:rsidRDefault="00BD3FE4" w:rsidP="00BD3FE4">
      <w:pPr>
        <w:pStyle w:val="NormalWeb"/>
        <w:rPr>
          <w:rFonts w:ascii="Arial Black" w:hAnsi="Arial Black"/>
          <w:b/>
          <w:bCs/>
          <w:sz w:val="28"/>
          <w:szCs w:val="28"/>
        </w:rPr>
      </w:pPr>
      <w:r>
        <w:rPr>
          <w:rFonts w:ascii="Arial Black" w:hAnsi="Arial Black"/>
          <w:b/>
          <w:bCs/>
          <w:sz w:val="28"/>
          <w:szCs w:val="28"/>
        </w:rPr>
        <w:t xml:space="preserve">MA: CAPTAIN PSYCHIATRICT EXAM – FIRE CHIEF DENIED IMMUNITY – ALLEGED RETALIATION / BREACH OF FMLA </w:t>
      </w:r>
    </w:p>
    <w:p w14:paraId="1800C362" w14:textId="77777777" w:rsidR="00BD3FE4" w:rsidRDefault="00BD3FE4" w:rsidP="00BD3FE4">
      <w:pPr>
        <w:pStyle w:val="NormalWeb"/>
      </w:pPr>
      <w:r w:rsidRPr="00944162">
        <w:t xml:space="preserve">On </w:t>
      </w:r>
      <w:r>
        <w:t xml:space="preserve">Jan. 26, 2022, in </w:t>
      </w:r>
      <w:r w:rsidRPr="00944162">
        <w:rPr>
          <w:u w:val="single"/>
        </w:rPr>
        <w:t>Andrew Brennan v. City of Everett and Anthony Carli</w:t>
      </w:r>
      <w:r>
        <w:t>, the Appeals Court of Massachusetts held (3 to 0; unpublished decision) that trial judge properly denied the Fire Chief Anthony Carli’s  motion to be dismissed from lawsuit based on qualified immunity.  “</w:t>
      </w:r>
      <w:r w:rsidRPr="00DE5CFC">
        <w:t>Here, Brennan alleged that Carli placed him on leave and provided false information to medical evaluators under the false belief that Brennan was mentally unfit.</w:t>
      </w:r>
      <w:r>
        <w:t xml:space="preserve">” </w:t>
      </w:r>
      <w:hyperlink r:id="rId2503" w:history="1">
        <w:r w:rsidRPr="003B2357">
          <w:rPr>
            <w:rStyle w:val="Hyperlink"/>
            <w:rFonts w:eastAsiaTheme="majorEastAsia"/>
          </w:rPr>
          <w:t>https://public.fastcase.com/9SKwsfNqTc6OieYDhNMyM%2BsbSTu241pOZ38l1fL3GtOxRE1iLhH6RZm0FIyTdVeF1XRK6Ebg7B5equTDg4ZQiMxFMDQEZko4UYsaxrmOuYk%3D</w:t>
        </w:r>
      </w:hyperlink>
      <w:r>
        <w:t xml:space="preserve"> </w:t>
      </w:r>
      <w:r w:rsidRPr="00266965">
        <w:t xml:space="preserve"> </w:t>
      </w:r>
      <w:r>
        <w:t xml:space="preserve"> </w:t>
      </w:r>
    </w:p>
    <w:p w14:paraId="2A469E66" w14:textId="7EC0D23D" w:rsidR="00BD3FE4" w:rsidRDefault="00BD3FE4" w:rsidP="00BD3FE4">
      <w:pPr>
        <w:spacing w:before="100" w:beforeAutospacing="1" w:after="100" w:afterAutospacing="1" w:line="240" w:lineRule="auto"/>
        <w:rPr>
          <w:rFonts w:ascii="Times New Roman" w:hAnsi="Times New Roman"/>
          <w:b/>
          <w:bCs/>
          <w:sz w:val="24"/>
          <w:szCs w:val="24"/>
        </w:rPr>
      </w:pPr>
      <w:r w:rsidRPr="003B747D">
        <w:rPr>
          <w:rFonts w:ascii="Times New Roman" w:hAnsi="Times New Roman"/>
          <w:b/>
          <w:bCs/>
          <w:sz w:val="24"/>
          <w:szCs w:val="24"/>
        </w:rPr>
        <w:t>Legal Lesson Learned:</w:t>
      </w:r>
      <w:r>
        <w:rPr>
          <w:rFonts w:ascii="Times New Roman" w:hAnsi="Times New Roman"/>
          <w:b/>
          <w:bCs/>
          <w:sz w:val="24"/>
          <w:szCs w:val="24"/>
        </w:rPr>
        <w:t xml:space="preserve">  If employee may need psychiatric evaluation, provide specific information to the medical evaluators; and if employee asks about FMLA, provide form to request leave.  </w:t>
      </w:r>
    </w:p>
    <w:p w14:paraId="06CE7F4D" w14:textId="77777777" w:rsidR="00FB73E3" w:rsidRDefault="00FB73E3" w:rsidP="00BD3FE4">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rPr>
        <w:tab/>
      </w:r>
      <w:r w:rsidRPr="00FB73E3">
        <w:rPr>
          <w:rFonts w:ascii="Times New Roman" w:hAnsi="Times New Roman"/>
          <w:sz w:val="24"/>
          <w:szCs w:val="24"/>
        </w:rPr>
        <w:t>Note:</w:t>
      </w:r>
      <w:r>
        <w:rPr>
          <w:rFonts w:ascii="Times New Roman" w:hAnsi="Times New Roman"/>
          <w:sz w:val="24"/>
          <w:szCs w:val="24"/>
        </w:rPr>
        <w:t xml:space="preserve"> The Court wrote:</w:t>
      </w:r>
    </w:p>
    <w:p w14:paraId="464E7BC6" w14:textId="3AF66325" w:rsidR="00FB73E3" w:rsidRPr="003B747D" w:rsidRDefault="00FB73E3" w:rsidP="00FB73E3">
      <w:pPr>
        <w:spacing w:before="100" w:beforeAutospacing="1" w:after="100" w:afterAutospacing="1" w:line="240" w:lineRule="auto"/>
        <w:ind w:left="720"/>
        <w:rPr>
          <w:rFonts w:ascii="Times New Roman" w:hAnsi="Times New Roman"/>
          <w:b/>
          <w:bCs/>
          <w:sz w:val="24"/>
          <w:szCs w:val="24"/>
        </w:rPr>
      </w:pPr>
      <w:r w:rsidRPr="00DE5CFC">
        <w:rPr>
          <w:rFonts w:ascii="Times New Roman" w:eastAsia="Times New Roman" w:hAnsi="Times New Roman"/>
          <w:i/>
          <w:iCs/>
          <w:sz w:val="24"/>
          <w:szCs w:val="24"/>
        </w:rPr>
        <w:t>FMLA interference claim</w:t>
      </w:r>
      <w:r w:rsidRPr="00DE5CFC">
        <w:rPr>
          <w:rFonts w:ascii="Times New Roman" w:eastAsia="Times New Roman" w:hAnsi="Times New Roman"/>
          <w:sz w:val="24"/>
          <w:szCs w:val="24"/>
        </w:rPr>
        <w:t xml:space="preserve">. Employers are required to notify employees of their FMLA rights and to respond promptly to employee questions about the applicability and procedures for FMLA leave. See 29 C.F.R. §§ 825.300 (c)(1), (d) (2019). More specifically, an employer must provide an employee who requests FMLA leave with notice of eligibility within five business days absent extenuating circumstances. See 29 C.F.R. § 825.300(b)(1) (2019). Here, Brennan claimed that Carli interfered with his FMLA rights by refusing to provide him with information about these rights upon </w:t>
      </w:r>
      <w:proofErr w:type="gramStart"/>
      <w:r w:rsidRPr="00DE5CFC">
        <w:rPr>
          <w:rFonts w:ascii="Times New Roman" w:eastAsia="Times New Roman" w:hAnsi="Times New Roman"/>
          <w:sz w:val="24"/>
          <w:szCs w:val="24"/>
        </w:rPr>
        <w:t>request</w:t>
      </w:r>
      <w:proofErr w:type="gramEnd"/>
      <w:r w:rsidRPr="00DE5CFC">
        <w:rPr>
          <w:rFonts w:ascii="Times New Roman" w:eastAsia="Times New Roman" w:hAnsi="Times New Roman"/>
          <w:sz w:val="24"/>
          <w:szCs w:val="24"/>
        </w:rPr>
        <w:t xml:space="preserve"> thereby causing </w:t>
      </w:r>
      <w:proofErr w:type="gramStart"/>
      <w:r w:rsidRPr="00DE5CFC">
        <w:rPr>
          <w:rFonts w:ascii="Times New Roman" w:eastAsia="Times New Roman" w:hAnsi="Times New Roman"/>
          <w:sz w:val="24"/>
          <w:szCs w:val="24"/>
        </w:rPr>
        <w:t>damages</w:t>
      </w:r>
      <w:proofErr w:type="gramEnd"/>
      <w:r w:rsidRPr="00DE5CFC">
        <w:rPr>
          <w:rFonts w:ascii="Times New Roman" w:eastAsia="Times New Roman" w:hAnsi="Times New Roman"/>
          <w:sz w:val="24"/>
          <w:szCs w:val="24"/>
        </w:rPr>
        <w:t xml:space="preserve">. On these facts, the complaint alleged violations of clearly established law of which a reasonable fire chief would be aware. Cf. </w:t>
      </w:r>
      <w:r w:rsidRPr="00DE5CFC">
        <w:rPr>
          <w:rFonts w:ascii="Times New Roman" w:eastAsia="Times New Roman" w:hAnsi="Times New Roman"/>
          <w:i/>
          <w:iCs/>
          <w:sz w:val="24"/>
          <w:szCs w:val="24"/>
        </w:rPr>
        <w:t>Crevier</w:t>
      </w:r>
      <w:r w:rsidRPr="00DE5CFC">
        <w:rPr>
          <w:rFonts w:ascii="Times New Roman" w:eastAsia="Times New Roman" w:hAnsi="Times New Roman"/>
          <w:sz w:val="24"/>
          <w:szCs w:val="24"/>
        </w:rPr>
        <w:t xml:space="preserve"> </w:t>
      </w:r>
      <w:r w:rsidRPr="00DE5CFC">
        <w:rPr>
          <w:rFonts w:ascii="Times New Roman" w:eastAsia="Times New Roman" w:hAnsi="Times New Roman"/>
          <w:i/>
          <w:iCs/>
          <w:sz w:val="24"/>
          <w:szCs w:val="24"/>
        </w:rPr>
        <w:t>v. Spencer</w:t>
      </w:r>
      <w:r w:rsidRPr="00DE5CFC">
        <w:rPr>
          <w:rFonts w:ascii="Times New Roman" w:eastAsia="Times New Roman" w:hAnsi="Times New Roman"/>
          <w:sz w:val="24"/>
          <w:szCs w:val="24"/>
        </w:rPr>
        <w:t>, 600 F.Supp.2d 242, 257 (D. Mass. 2008) (</w:t>
      </w:r>
      <w:r>
        <w:rPr>
          <w:rFonts w:ascii="Times New Roman" w:eastAsia="Times New Roman" w:hAnsi="Times New Roman"/>
          <w:sz w:val="24"/>
          <w:szCs w:val="24"/>
        </w:rPr>
        <w:t>‘</w:t>
      </w:r>
      <w:r w:rsidRPr="00DE5CFC">
        <w:rPr>
          <w:rFonts w:ascii="Times New Roman" w:eastAsia="Times New Roman" w:hAnsi="Times New Roman"/>
          <w:sz w:val="24"/>
          <w:szCs w:val="24"/>
        </w:rPr>
        <w:t>employer's failure to explain FMLA procedures can constitute interference with employee's FMLA rights</w:t>
      </w:r>
      <w:r>
        <w:rPr>
          <w:rFonts w:ascii="Times New Roman" w:eastAsia="Times New Roman" w:hAnsi="Times New Roman"/>
          <w:sz w:val="24"/>
          <w:szCs w:val="24"/>
        </w:rPr>
        <w:t>’</w:t>
      </w:r>
      <w:r w:rsidRPr="00DE5CFC">
        <w:rPr>
          <w:rFonts w:ascii="Times New Roman" w:eastAsia="Times New Roman" w:hAnsi="Times New Roman"/>
          <w:sz w:val="24"/>
          <w:szCs w:val="24"/>
        </w:rPr>
        <w:t xml:space="preserve"> [quotation and citation omitted]).</w:t>
      </w:r>
      <w:r>
        <w:rPr>
          <w:rFonts w:ascii="Times New Roman" w:eastAsia="Times New Roman" w:hAnsi="Times New Roman"/>
          <w:sz w:val="24"/>
          <w:szCs w:val="24"/>
        </w:rPr>
        <w:t xml:space="preserve">” </w:t>
      </w:r>
      <w:hyperlink r:id="rId2504" w:history="1">
        <w:r w:rsidRPr="003B2357">
          <w:rPr>
            <w:rStyle w:val="Hyperlink"/>
            <w:rFonts w:ascii="Times New Roman" w:eastAsia="Times New Roman" w:hAnsi="Times New Roman"/>
            <w:sz w:val="24"/>
            <w:szCs w:val="24"/>
          </w:rPr>
          <w:t>https://public.fastcase.com/9SKwsfNqTc6OieYDhNMyM%2BsbSTu241pOZ38l1fL3GtOxRE1iLhH6RZm0FIyTdVeF1XRK6Ebg7B5equTDg4ZQiMxFMDQEZko4UYsaxrmOuYk%3D</w:t>
        </w:r>
      </w:hyperlink>
    </w:p>
    <w:p w14:paraId="4E4C707C" w14:textId="77777777" w:rsidR="00BD3FE4" w:rsidRDefault="00BD3FE4" w:rsidP="000C4DF5">
      <w:pPr>
        <w:pStyle w:val="NoSpacing"/>
        <w:rPr>
          <w:rFonts w:ascii="Arial Black" w:hAnsi="Arial Black"/>
          <w:sz w:val="24"/>
          <w:szCs w:val="24"/>
        </w:rPr>
      </w:pPr>
    </w:p>
    <w:p w14:paraId="25D50362" w14:textId="77777777" w:rsidR="00BD3FE4" w:rsidRDefault="00BD3FE4" w:rsidP="000C4DF5">
      <w:pPr>
        <w:pStyle w:val="NoSpacing"/>
        <w:rPr>
          <w:rFonts w:ascii="Arial Black" w:hAnsi="Arial Black"/>
          <w:sz w:val="24"/>
          <w:szCs w:val="24"/>
        </w:rPr>
      </w:pPr>
    </w:p>
    <w:p w14:paraId="3975DF93" w14:textId="77777777" w:rsidR="00BD3FE4" w:rsidRDefault="00BD3FE4" w:rsidP="000C4DF5">
      <w:pPr>
        <w:pStyle w:val="NoSpacing"/>
        <w:rPr>
          <w:rFonts w:ascii="Arial Black" w:hAnsi="Arial Black"/>
          <w:sz w:val="24"/>
          <w:szCs w:val="24"/>
        </w:rPr>
      </w:pPr>
    </w:p>
    <w:p w14:paraId="4484AD43" w14:textId="77EF7C06" w:rsidR="00FF5FCF" w:rsidRDefault="00FF5FCF" w:rsidP="000C4DF5">
      <w:pPr>
        <w:pStyle w:val="NoSpacing"/>
        <w:rPr>
          <w:rFonts w:ascii="Arial Black" w:hAnsi="Arial Black"/>
          <w:sz w:val="24"/>
          <w:szCs w:val="24"/>
        </w:rPr>
      </w:pPr>
      <w:r>
        <w:rPr>
          <w:rFonts w:ascii="Arial Black" w:hAnsi="Arial Black"/>
          <w:sz w:val="24"/>
          <w:szCs w:val="24"/>
        </w:rPr>
        <w:lastRenderedPageBreak/>
        <w:t>15-13</w:t>
      </w:r>
    </w:p>
    <w:p w14:paraId="2B2759EB" w14:textId="77777777" w:rsidR="00FF5FCF" w:rsidRPr="00CD0CC5" w:rsidRDefault="00FF5FCF" w:rsidP="00FF5FCF">
      <w:pPr>
        <w:spacing w:before="100" w:beforeAutospacing="1" w:after="100" w:afterAutospacing="1" w:line="240" w:lineRule="auto"/>
        <w:rPr>
          <w:rFonts w:ascii="Arial Black" w:eastAsia="Times New Roman" w:hAnsi="Arial Black"/>
          <w:sz w:val="28"/>
          <w:szCs w:val="28"/>
        </w:rPr>
      </w:pPr>
      <w:r>
        <w:rPr>
          <w:rFonts w:ascii="Arial Black" w:eastAsia="Times New Roman" w:hAnsi="Arial Black"/>
          <w:b/>
          <w:bCs/>
          <w:sz w:val="28"/>
          <w:szCs w:val="28"/>
        </w:rPr>
        <w:t xml:space="preserve">NY:  PTSD - </w:t>
      </w:r>
      <w:r>
        <w:rPr>
          <w:rFonts w:ascii="Arial Black" w:eastAsia="Times New Roman" w:hAnsi="Arial Black"/>
          <w:sz w:val="28"/>
          <w:szCs w:val="28"/>
        </w:rPr>
        <w:t>BASED ON SEVERAL INCIDENTS 26 YRS ON FD –</w:t>
      </w:r>
      <w:r>
        <w:rPr>
          <w:rFonts w:ascii="Arial Black" w:eastAsia="Times New Roman" w:hAnsi="Arial Black"/>
          <w:b/>
          <w:bCs/>
          <w:sz w:val="28"/>
          <w:szCs w:val="28"/>
        </w:rPr>
        <w:t>WOR</w:t>
      </w:r>
      <w:r>
        <w:rPr>
          <w:rFonts w:ascii="Arial Black" w:eastAsia="Times New Roman" w:hAnsi="Arial Black"/>
          <w:sz w:val="28"/>
          <w:szCs w:val="28"/>
        </w:rPr>
        <w:t>KER’S COMP – DON’T NEED “EXTRAORDINARY” EVENT</w:t>
      </w:r>
    </w:p>
    <w:p w14:paraId="1FB14744" w14:textId="77777777" w:rsidR="00FF5FCF" w:rsidRPr="002D426A" w:rsidRDefault="00FF5FCF" w:rsidP="00FF5FCF">
      <w:pPr>
        <w:spacing w:before="100" w:beforeAutospacing="1" w:after="100" w:afterAutospacing="1" w:line="240" w:lineRule="auto"/>
        <w:rPr>
          <w:rFonts w:ascii="Times New Roman" w:eastAsia="Times New Roman" w:hAnsi="Times New Roman"/>
          <w:sz w:val="24"/>
          <w:szCs w:val="24"/>
        </w:rPr>
      </w:pPr>
      <w:r w:rsidRPr="00CD0CC5">
        <w:rPr>
          <w:rFonts w:ascii="Times New Roman" w:eastAsia="Times New Roman" w:hAnsi="Times New Roman"/>
          <w:sz w:val="24"/>
          <w:szCs w:val="24"/>
        </w:rPr>
        <w:t xml:space="preserve">On Dec. </w:t>
      </w:r>
      <w:r>
        <w:rPr>
          <w:rFonts w:ascii="Times New Roman" w:eastAsia="Times New Roman" w:hAnsi="Times New Roman"/>
          <w:sz w:val="24"/>
          <w:szCs w:val="24"/>
        </w:rPr>
        <w:t xml:space="preserve">23, 2021, </w:t>
      </w:r>
      <w:r w:rsidRPr="00CD0CC5">
        <w:rPr>
          <w:rFonts w:ascii="Times New Roman" w:eastAsia="Times New Roman" w:hAnsi="Times New Roman"/>
          <w:sz w:val="24"/>
          <w:szCs w:val="24"/>
          <w:u w:val="single"/>
        </w:rPr>
        <w:t>In the Matter of the Claim of Brian C. Reith v. City of Albany, and Workers. Compensation Board</w:t>
      </w:r>
      <w:r>
        <w:rPr>
          <w:rFonts w:ascii="Times New Roman" w:eastAsia="Times New Roman" w:hAnsi="Times New Roman"/>
          <w:sz w:val="24"/>
          <w:szCs w:val="24"/>
        </w:rPr>
        <w:t xml:space="preserve">, the Supreme Court of New York (Third Department, held (4 to 0) that the Workers Compensation Board is reversed and the firefighter is entitled to workers comp since he </w:t>
      </w:r>
      <w:r w:rsidRPr="00C46511">
        <w:rPr>
          <w:rFonts w:ascii="Times New Roman" w:eastAsia="Times New Roman" w:hAnsi="Times New Roman"/>
          <w:sz w:val="24"/>
          <w:szCs w:val="24"/>
        </w:rPr>
        <w:t>did “</w:t>
      </w:r>
      <w:r w:rsidRPr="00C46511">
        <w:rPr>
          <w:rFonts w:ascii="Times New Roman" w:hAnsi="Times New Roman"/>
          <w:sz w:val="24"/>
          <w:szCs w:val="24"/>
        </w:rPr>
        <w:t xml:space="preserve">sustain a </w:t>
      </w:r>
      <w:proofErr w:type="gramStart"/>
      <w:r w:rsidRPr="002D426A">
        <w:rPr>
          <w:rFonts w:ascii="Times New Roman" w:hAnsi="Times New Roman"/>
          <w:sz w:val="24"/>
          <w:szCs w:val="24"/>
        </w:rPr>
        <w:t>causally-related</w:t>
      </w:r>
      <w:proofErr w:type="gramEnd"/>
      <w:r w:rsidRPr="002D426A">
        <w:rPr>
          <w:rFonts w:ascii="Times New Roman" w:hAnsi="Times New Roman"/>
          <w:sz w:val="24"/>
          <w:szCs w:val="24"/>
        </w:rPr>
        <w:t xml:space="preserve"> psychological injury” based on several incidents. </w:t>
      </w:r>
      <w:r>
        <w:rPr>
          <w:rFonts w:ascii="Times New Roman" w:hAnsi="Times New Roman"/>
          <w:sz w:val="24"/>
          <w:szCs w:val="24"/>
        </w:rPr>
        <w:t xml:space="preserve"> New York in 2017 amended statute so no longer must prove stressful incident was “greater than that which other similarly situated workers experienced in the normal work environment.”</w:t>
      </w:r>
    </w:p>
    <w:p w14:paraId="6F07CCB3" w14:textId="77777777" w:rsidR="00FF5FCF" w:rsidRPr="00C46511" w:rsidRDefault="00FF5FCF" w:rsidP="00FF5FCF">
      <w:pPr>
        <w:spacing w:before="100" w:beforeAutospacing="1" w:after="100" w:afterAutospacing="1" w:line="240" w:lineRule="auto"/>
        <w:ind w:left="720"/>
        <w:rPr>
          <w:rFonts w:ascii="Times New Roman" w:eastAsia="Times New Roman" w:hAnsi="Times New Roman"/>
          <w:b/>
          <w:bCs/>
          <w:sz w:val="24"/>
          <w:szCs w:val="24"/>
        </w:rPr>
      </w:pPr>
      <w:r>
        <w:rPr>
          <w:rFonts w:ascii="Times New Roman" w:hAnsi="Times New Roman"/>
          <w:sz w:val="24"/>
          <w:szCs w:val="24"/>
        </w:rPr>
        <w:t>“</w:t>
      </w:r>
      <w:r w:rsidRPr="00C46511">
        <w:rPr>
          <w:rFonts w:ascii="Times New Roman" w:hAnsi="Times New Roman"/>
          <w:sz w:val="24"/>
          <w:szCs w:val="24"/>
        </w:rPr>
        <w:t xml:space="preserve">During the hearing, claimant explained that he had witnessed several traumatic incidents during his nearly 26-year career as a firefighter, including a suicide, a triple homicide of children, car accidents with fatalities and individuals who had been "dead for days stuck to the floor." He also recounted spraining his ankle after he slipped on brain matter while rendering aid to a victim, experiencing CPR regurgitation while attempting to resuscitate a fellow firefighter and dragging a woman out of a fire, which resulted in </w:t>
      </w:r>
      <w:r>
        <w:rPr>
          <w:rFonts w:ascii="Times New Roman" w:hAnsi="Times New Roman"/>
          <w:sz w:val="24"/>
          <w:szCs w:val="24"/>
        </w:rPr>
        <w:t>‘</w:t>
      </w:r>
      <w:proofErr w:type="spellStart"/>
      <w:r w:rsidRPr="00C46511">
        <w:rPr>
          <w:rFonts w:ascii="Times New Roman" w:hAnsi="Times New Roman"/>
          <w:sz w:val="24"/>
          <w:szCs w:val="24"/>
        </w:rPr>
        <w:t>deglov</w:t>
      </w:r>
      <w:proofErr w:type="spellEnd"/>
      <w:r w:rsidRPr="00C46511">
        <w:rPr>
          <w:rFonts w:ascii="Times New Roman" w:hAnsi="Times New Roman"/>
          <w:sz w:val="24"/>
          <w:szCs w:val="24"/>
        </w:rPr>
        <w:t>[</w:t>
      </w:r>
      <w:proofErr w:type="spellStart"/>
      <w:r w:rsidRPr="00C46511">
        <w:rPr>
          <w:rFonts w:ascii="Times New Roman" w:hAnsi="Times New Roman"/>
          <w:sz w:val="24"/>
          <w:szCs w:val="24"/>
        </w:rPr>
        <w:t>ing</w:t>
      </w:r>
      <w:proofErr w:type="spellEnd"/>
      <w:r w:rsidRPr="00C46511">
        <w:rPr>
          <w:rFonts w:ascii="Times New Roman" w:hAnsi="Times New Roman"/>
          <w:sz w:val="24"/>
          <w:szCs w:val="24"/>
        </w:rPr>
        <w:t>] her.</w:t>
      </w:r>
      <w:r>
        <w:rPr>
          <w:rFonts w:ascii="Times New Roman" w:hAnsi="Times New Roman"/>
          <w:sz w:val="24"/>
          <w:szCs w:val="24"/>
        </w:rPr>
        <w:t xml:space="preserve">’ *** We reverse. </w:t>
      </w:r>
      <w:r w:rsidRPr="002D426A">
        <w:rPr>
          <w:rFonts w:ascii="Times New Roman" w:hAnsi="Times New Roman"/>
          <w:sz w:val="24"/>
          <w:szCs w:val="24"/>
        </w:rPr>
        <w:t xml:space="preserve">Prior to the enactment of Workers' Compensation Law § 10 (3) (b) in April 2017 (see L 2017, ch 59, part NNN, subpart I, § 1), a claimant seeking to recover for a psychological injury was required to </w:t>
      </w:r>
      <w:r>
        <w:rPr>
          <w:rFonts w:ascii="Times New Roman" w:hAnsi="Times New Roman"/>
          <w:sz w:val="24"/>
          <w:szCs w:val="24"/>
        </w:rPr>
        <w:t>‘</w:t>
      </w:r>
      <w:r w:rsidRPr="002D426A">
        <w:rPr>
          <w:rFonts w:ascii="Times New Roman" w:hAnsi="Times New Roman"/>
          <w:sz w:val="24"/>
          <w:szCs w:val="24"/>
        </w:rPr>
        <w:t>demonstrate that the stress that caused the claimed mental injury was greater than that which other similarly situated workers experienced in the normal work environment</w:t>
      </w:r>
      <w:r>
        <w:rPr>
          <w:rFonts w:ascii="Times New Roman" w:hAnsi="Times New Roman"/>
          <w:sz w:val="24"/>
          <w:szCs w:val="24"/>
        </w:rPr>
        <w:t xml:space="preserve">’ … </w:t>
      </w:r>
      <w:r w:rsidRPr="002D426A">
        <w:rPr>
          <w:rFonts w:ascii="Times New Roman" w:hAnsi="Times New Roman"/>
          <w:sz w:val="24"/>
          <w:szCs w:val="24"/>
        </w:rPr>
        <w:t xml:space="preserve">The statutory amendment, however, effectively removed that hurdle for certain first responders by providing, as relevant here, that where a firefighter </w:t>
      </w:r>
      <w:r>
        <w:rPr>
          <w:rFonts w:ascii="Times New Roman" w:hAnsi="Times New Roman"/>
          <w:sz w:val="24"/>
          <w:szCs w:val="24"/>
        </w:rPr>
        <w:t>‘</w:t>
      </w:r>
      <w:r w:rsidRPr="002D426A">
        <w:rPr>
          <w:rFonts w:ascii="Times New Roman" w:hAnsi="Times New Roman"/>
          <w:sz w:val="24"/>
          <w:szCs w:val="24"/>
        </w:rPr>
        <w:t>files a claim for mental injury premised upon extraordinary work-related stress incurred in a work-related emergency, the [B]</w:t>
      </w:r>
      <w:proofErr w:type="spellStart"/>
      <w:r w:rsidRPr="002D426A">
        <w:rPr>
          <w:rFonts w:ascii="Times New Roman" w:hAnsi="Times New Roman"/>
          <w:sz w:val="24"/>
          <w:szCs w:val="24"/>
        </w:rPr>
        <w:t>oard</w:t>
      </w:r>
      <w:proofErr w:type="spellEnd"/>
      <w:r w:rsidRPr="002D426A">
        <w:rPr>
          <w:rFonts w:ascii="Times New Roman" w:hAnsi="Times New Roman"/>
          <w:sz w:val="24"/>
          <w:szCs w:val="24"/>
        </w:rPr>
        <w:t xml:space="preserve"> may not disallow the claim, upon a factual finding that the stress was not greater than that which usually occurs in the normal work environment</w:t>
      </w:r>
      <w:r>
        <w:rPr>
          <w:rFonts w:ascii="Times New Roman" w:hAnsi="Times New Roman"/>
          <w:sz w:val="24"/>
          <w:szCs w:val="24"/>
        </w:rPr>
        <w:t>’</w:t>
      </w:r>
      <w:r w:rsidRPr="002D426A">
        <w:rPr>
          <w:rFonts w:ascii="Times New Roman" w:hAnsi="Times New Roman"/>
          <w:sz w:val="24"/>
          <w:szCs w:val="24"/>
        </w:rPr>
        <w:t xml:space="preserve"> (Workers' Compensation Law § 10 [3] [b]; see Matter of McMillan v Town of New Castle, 162 A.D.3d 1425, 1426 [2018]).</w:t>
      </w:r>
      <w:r>
        <w:rPr>
          <w:rFonts w:ascii="Times New Roman" w:hAnsi="Times New Roman"/>
          <w:sz w:val="24"/>
          <w:szCs w:val="24"/>
        </w:rPr>
        <w:t xml:space="preserve">” </w:t>
      </w:r>
      <w:hyperlink r:id="rId2505" w:history="1">
        <w:r w:rsidRPr="00EC5853">
          <w:rPr>
            <w:rStyle w:val="Hyperlink"/>
            <w:rFonts w:ascii="Times New Roman" w:hAnsi="Times New Roman"/>
            <w:sz w:val="24"/>
            <w:szCs w:val="24"/>
          </w:rPr>
          <w:t>https://law.justia.com/cases/new-york/appellate-division-third-department/2021/532779.html</w:t>
        </w:r>
      </w:hyperlink>
      <w:r>
        <w:rPr>
          <w:rFonts w:ascii="Times New Roman" w:hAnsi="Times New Roman"/>
          <w:sz w:val="24"/>
          <w:szCs w:val="24"/>
        </w:rPr>
        <w:t xml:space="preserve"> </w:t>
      </w:r>
    </w:p>
    <w:p w14:paraId="277BA0BB" w14:textId="77777777" w:rsidR="00AC5DED" w:rsidRPr="00E21469" w:rsidRDefault="00AC5DED" w:rsidP="00AC5DED">
      <w:pPr>
        <w:spacing w:before="100" w:beforeAutospacing="1" w:after="100" w:afterAutospacing="1" w:line="240" w:lineRule="auto"/>
        <w:rPr>
          <w:rFonts w:ascii="Times New Roman" w:eastAsia="Times New Roman" w:hAnsi="Times New Roman"/>
          <w:b/>
          <w:bCs/>
          <w:sz w:val="24"/>
          <w:szCs w:val="24"/>
        </w:rPr>
      </w:pPr>
      <w:r w:rsidRPr="00E21469">
        <w:rPr>
          <w:rFonts w:ascii="Times New Roman" w:hAnsi="Times New Roman"/>
          <w:b/>
          <w:bCs/>
          <w:sz w:val="24"/>
          <w:szCs w:val="24"/>
        </w:rPr>
        <w:t>Legal Lesson Learned:</w:t>
      </w:r>
      <w:r>
        <w:rPr>
          <w:rFonts w:ascii="Times New Roman" w:hAnsi="Times New Roman"/>
          <w:b/>
          <w:bCs/>
          <w:sz w:val="24"/>
          <w:szCs w:val="24"/>
        </w:rPr>
        <w:t xml:space="preserve"> Great decision, and helpful statute, recognizing that PTSD can arise from multiple incidents. </w:t>
      </w:r>
    </w:p>
    <w:p w14:paraId="4CD1FAD4" w14:textId="77777777" w:rsidR="00AC5DED" w:rsidRDefault="00AC5DED" w:rsidP="00AC5DED">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 xml:space="preserve">Note: The Workers Comp. Board wisely recognized the 2017 statutory amendment applied to multiple incidents, not just a singular event. </w:t>
      </w:r>
    </w:p>
    <w:p w14:paraId="2E906923" w14:textId="77777777" w:rsidR="00AC5DED" w:rsidRDefault="00AC5DED" w:rsidP="00AC5DED">
      <w:pPr>
        <w:spacing w:before="100" w:beforeAutospacing="1" w:after="100" w:afterAutospacing="1" w:line="240" w:lineRule="auto"/>
        <w:ind w:left="1440"/>
        <w:rPr>
          <w:rFonts w:ascii="Times New Roman" w:hAnsi="Times New Roman"/>
          <w:sz w:val="24"/>
          <w:szCs w:val="24"/>
        </w:rPr>
      </w:pPr>
      <w:r>
        <w:rPr>
          <w:rFonts w:ascii="Times New Roman" w:hAnsi="Times New Roman"/>
          <w:sz w:val="24"/>
          <w:szCs w:val="24"/>
        </w:rPr>
        <w:t>Footnote 1: “</w:t>
      </w:r>
      <w:r w:rsidRPr="00E21469">
        <w:rPr>
          <w:rFonts w:ascii="Times New Roman" w:hAnsi="Times New Roman"/>
          <w:sz w:val="24"/>
          <w:szCs w:val="24"/>
        </w:rPr>
        <w:t xml:space="preserve">The Board initially ruled - citing the singular form of the phrase </w:t>
      </w:r>
      <w:r>
        <w:rPr>
          <w:rFonts w:ascii="Times New Roman" w:hAnsi="Times New Roman"/>
          <w:sz w:val="24"/>
          <w:szCs w:val="24"/>
        </w:rPr>
        <w:t>‘</w:t>
      </w:r>
      <w:r w:rsidRPr="00E21469">
        <w:rPr>
          <w:rFonts w:ascii="Times New Roman" w:hAnsi="Times New Roman"/>
          <w:sz w:val="24"/>
          <w:szCs w:val="24"/>
        </w:rPr>
        <w:t>in a work-related emergency</w:t>
      </w:r>
      <w:r>
        <w:rPr>
          <w:rFonts w:ascii="Times New Roman" w:hAnsi="Times New Roman"/>
          <w:sz w:val="24"/>
          <w:szCs w:val="24"/>
        </w:rPr>
        <w:t>’</w:t>
      </w:r>
      <w:r w:rsidRPr="00E21469">
        <w:rPr>
          <w:rFonts w:ascii="Times New Roman" w:hAnsi="Times New Roman"/>
          <w:sz w:val="24"/>
          <w:szCs w:val="24"/>
        </w:rPr>
        <w:t xml:space="preserve"> - that the statutory amendment did not apply where the injury sustained was the product of stress-inducing events incurred over </w:t>
      </w:r>
      <w:proofErr w:type="gramStart"/>
      <w:r w:rsidRPr="00E21469">
        <w:rPr>
          <w:rFonts w:ascii="Times New Roman" w:hAnsi="Times New Roman"/>
          <w:sz w:val="24"/>
          <w:szCs w:val="24"/>
        </w:rPr>
        <w:t>a period of time</w:t>
      </w:r>
      <w:proofErr w:type="gramEnd"/>
      <w:r w:rsidRPr="00E21469">
        <w:rPr>
          <w:rFonts w:ascii="Times New Roman" w:hAnsi="Times New Roman"/>
          <w:sz w:val="24"/>
          <w:szCs w:val="24"/>
        </w:rPr>
        <w:t xml:space="preserve">. Upon reconsideration, the Board effectively reversed course, ruling that the amendment could apply where, as here, a claimant </w:t>
      </w:r>
      <w:r>
        <w:rPr>
          <w:rFonts w:ascii="Times New Roman" w:hAnsi="Times New Roman"/>
          <w:sz w:val="24"/>
          <w:szCs w:val="24"/>
        </w:rPr>
        <w:t>‘</w:t>
      </w:r>
      <w:r w:rsidRPr="00E21469">
        <w:rPr>
          <w:rFonts w:ascii="Times New Roman" w:hAnsi="Times New Roman"/>
          <w:sz w:val="24"/>
          <w:szCs w:val="24"/>
        </w:rPr>
        <w:t>alleges multiple incidents of exposure rather than one singular event</w:t>
      </w:r>
      <w:r>
        <w:rPr>
          <w:rFonts w:ascii="Times New Roman" w:hAnsi="Times New Roman"/>
          <w:sz w:val="24"/>
          <w:szCs w:val="24"/>
        </w:rPr>
        <w:t>’</w:t>
      </w:r>
      <w:r w:rsidRPr="00E21469">
        <w:rPr>
          <w:rFonts w:ascii="Times New Roman" w:hAnsi="Times New Roman"/>
          <w:sz w:val="24"/>
          <w:szCs w:val="24"/>
        </w:rPr>
        <w:t xml:space="preserve"> (citing Employer: Town of New Castle, 2018 WL 6132752, *4, 2018 NY Wrk Comp LEXIS 11628, *10 [WCB No. G140 4105, Nov. 16, 2018]).</w:t>
      </w:r>
      <w:r>
        <w:rPr>
          <w:rFonts w:ascii="Times New Roman" w:hAnsi="Times New Roman"/>
          <w:sz w:val="24"/>
          <w:szCs w:val="24"/>
        </w:rPr>
        <w:t>”</w:t>
      </w:r>
    </w:p>
    <w:p w14:paraId="751E408C" w14:textId="77777777" w:rsidR="00AC5DED" w:rsidRDefault="00AC5DED" w:rsidP="00AC5DED">
      <w:pPr>
        <w:ind w:left="720"/>
      </w:pPr>
      <w:r>
        <w:rPr>
          <w:rFonts w:ascii="Times New Roman" w:hAnsi="Times New Roman"/>
          <w:sz w:val="24"/>
          <w:szCs w:val="24"/>
        </w:rPr>
        <w:t xml:space="preserve">In Ohio, Governor DeWine on Jan. 9, </w:t>
      </w:r>
      <w:proofErr w:type="gramStart"/>
      <w:r>
        <w:rPr>
          <w:rFonts w:ascii="Times New Roman" w:hAnsi="Times New Roman"/>
          <w:sz w:val="24"/>
          <w:szCs w:val="24"/>
        </w:rPr>
        <w:t>2021</w:t>
      </w:r>
      <w:proofErr w:type="gramEnd"/>
      <w:r>
        <w:rPr>
          <w:rFonts w:ascii="Times New Roman" w:hAnsi="Times New Roman"/>
          <w:sz w:val="24"/>
          <w:szCs w:val="24"/>
        </w:rPr>
        <w:t xml:space="preserve"> signed into law House Bill 308, which created a fund for first responders who become disabled from PTSD, without any need to also have physical injury. See statutory language: </w:t>
      </w:r>
      <w:hyperlink r:id="rId2506" w:history="1">
        <w:r w:rsidRPr="00EC5853">
          <w:rPr>
            <w:rStyle w:val="Hyperlink"/>
            <w:rFonts w:ascii="Times New Roman" w:hAnsi="Times New Roman"/>
            <w:sz w:val="24"/>
            <w:szCs w:val="24"/>
          </w:rPr>
          <w:t>https://search-prod.lis.state.oh.us/solarapi/v1/general_assembly_133/bills/hb308/EN/06?format=pdf</w:t>
        </w:r>
      </w:hyperlink>
      <w:r>
        <w:rPr>
          <w:rFonts w:ascii="Times New Roman" w:hAnsi="Times New Roman"/>
          <w:sz w:val="24"/>
          <w:szCs w:val="24"/>
        </w:rPr>
        <w:t xml:space="preserve"> </w:t>
      </w:r>
    </w:p>
    <w:p w14:paraId="249F3D16" w14:textId="77777777" w:rsidR="00AC5DED" w:rsidRPr="00BF5169" w:rsidRDefault="00AC5DED" w:rsidP="00AC5DED">
      <w:pPr>
        <w:spacing w:before="100" w:beforeAutospacing="1" w:after="100" w:afterAutospacing="1" w:line="240" w:lineRule="auto"/>
        <w:ind w:left="1440"/>
        <w:rPr>
          <w:rFonts w:ascii="Times New Roman" w:hAnsi="Times New Roman"/>
          <w:sz w:val="24"/>
          <w:szCs w:val="24"/>
        </w:rPr>
      </w:pPr>
      <w:r w:rsidRPr="00BF5169">
        <w:rPr>
          <w:rFonts w:ascii="Times New Roman" w:hAnsi="Times New Roman"/>
          <w:sz w:val="24"/>
          <w:szCs w:val="24"/>
        </w:rPr>
        <w:t>Sec. 126.65. (A) The state post-traumatic stress fund is created in the state treasury. The</w:t>
      </w:r>
      <w:r>
        <w:rPr>
          <w:rFonts w:ascii="Times New Roman" w:hAnsi="Times New Roman"/>
          <w:sz w:val="24"/>
          <w:szCs w:val="24"/>
        </w:rPr>
        <w:t xml:space="preserve"> </w:t>
      </w:r>
      <w:r w:rsidRPr="00BF5169">
        <w:rPr>
          <w:rFonts w:ascii="Times New Roman" w:hAnsi="Times New Roman"/>
          <w:sz w:val="24"/>
          <w:szCs w:val="24"/>
        </w:rPr>
        <w:t>director of budget and management shall be the trustee of the fund.</w:t>
      </w:r>
      <w:r w:rsidRPr="00BF5169">
        <w:rPr>
          <w:rFonts w:ascii="Times New Roman" w:hAnsi="Times New Roman"/>
          <w:sz w:val="24"/>
          <w:szCs w:val="24"/>
        </w:rPr>
        <w:br/>
      </w:r>
      <w:r w:rsidRPr="00BF5169">
        <w:rPr>
          <w:rFonts w:ascii="Times New Roman" w:hAnsi="Times New Roman"/>
          <w:sz w:val="24"/>
          <w:szCs w:val="24"/>
        </w:rPr>
        <w:lastRenderedPageBreak/>
        <w:t>(B) The state post-traumatic stress fund shall be used for the following purposes:</w:t>
      </w:r>
      <w:r w:rsidRPr="00BF5169">
        <w:rPr>
          <w:rFonts w:ascii="Times New Roman" w:hAnsi="Times New Roman"/>
          <w:sz w:val="24"/>
          <w:szCs w:val="24"/>
        </w:rPr>
        <w:br/>
        <w:t>(1) Payment of compensation for lost wages that result from a public safety officer being</w:t>
      </w:r>
      <w:r>
        <w:rPr>
          <w:rFonts w:ascii="Times New Roman" w:hAnsi="Times New Roman"/>
          <w:sz w:val="24"/>
          <w:szCs w:val="24"/>
        </w:rPr>
        <w:t xml:space="preserve"> </w:t>
      </w:r>
      <w:r w:rsidRPr="00BF5169">
        <w:rPr>
          <w:rFonts w:ascii="Times New Roman" w:hAnsi="Times New Roman"/>
          <w:sz w:val="24"/>
          <w:szCs w:val="24"/>
        </w:rPr>
        <w:t>disabled by post-traumatic stress disorder received in the course of, and arising</w:t>
      </w:r>
      <w:r>
        <w:rPr>
          <w:rFonts w:ascii="Times New Roman" w:hAnsi="Times New Roman"/>
          <w:sz w:val="24"/>
          <w:szCs w:val="24"/>
        </w:rPr>
        <w:t xml:space="preserve"> </w:t>
      </w:r>
      <w:r w:rsidRPr="00BF5169">
        <w:rPr>
          <w:rFonts w:ascii="Times New Roman" w:hAnsi="Times New Roman"/>
          <w:sz w:val="24"/>
          <w:szCs w:val="24"/>
        </w:rPr>
        <w:t>out of, employment</w:t>
      </w:r>
      <w:r>
        <w:rPr>
          <w:rFonts w:ascii="Times New Roman" w:hAnsi="Times New Roman"/>
          <w:sz w:val="24"/>
          <w:szCs w:val="24"/>
        </w:rPr>
        <w:t xml:space="preserve"> </w:t>
      </w:r>
      <w:r w:rsidRPr="00BF5169">
        <w:rPr>
          <w:rFonts w:ascii="Times New Roman" w:hAnsi="Times New Roman"/>
          <w:sz w:val="24"/>
          <w:szCs w:val="24"/>
        </w:rPr>
        <w:t>as a public safety officer but without an accompanying physical injury.</w:t>
      </w:r>
      <w:r>
        <w:rPr>
          <w:rFonts w:ascii="Times New Roman" w:hAnsi="Times New Roman"/>
          <w:sz w:val="24"/>
          <w:szCs w:val="24"/>
        </w:rPr>
        <w:t>”</w:t>
      </w:r>
    </w:p>
    <w:p w14:paraId="15B3BB5B" w14:textId="77777777" w:rsidR="00FF5FCF" w:rsidRDefault="00FF5FCF" w:rsidP="000C4DF5">
      <w:pPr>
        <w:pStyle w:val="NoSpacing"/>
        <w:rPr>
          <w:rFonts w:ascii="Arial Black" w:hAnsi="Arial Black"/>
          <w:sz w:val="24"/>
          <w:szCs w:val="24"/>
        </w:rPr>
      </w:pPr>
    </w:p>
    <w:p w14:paraId="2A7D86C2" w14:textId="77777777" w:rsidR="00FF5FCF" w:rsidRDefault="00FF5FCF" w:rsidP="000C4DF5">
      <w:pPr>
        <w:pStyle w:val="NoSpacing"/>
        <w:rPr>
          <w:rFonts w:ascii="Arial Black" w:hAnsi="Arial Black"/>
          <w:sz w:val="24"/>
          <w:szCs w:val="24"/>
        </w:rPr>
      </w:pPr>
    </w:p>
    <w:p w14:paraId="3A709F00" w14:textId="30F7B8E9" w:rsidR="00663A6A" w:rsidRDefault="00BD1702" w:rsidP="000C4DF5">
      <w:pPr>
        <w:pStyle w:val="NoSpacing"/>
        <w:rPr>
          <w:rFonts w:ascii="Arial Black" w:hAnsi="Arial Black"/>
          <w:sz w:val="24"/>
          <w:szCs w:val="24"/>
        </w:rPr>
      </w:pPr>
      <w:r>
        <w:rPr>
          <w:rFonts w:ascii="Arial Black" w:hAnsi="Arial Black"/>
          <w:sz w:val="24"/>
          <w:szCs w:val="24"/>
        </w:rPr>
        <w:t>15-12</w:t>
      </w:r>
    </w:p>
    <w:p w14:paraId="3B86D474" w14:textId="77777777" w:rsidR="00BD1702" w:rsidRDefault="00BD1702" w:rsidP="00BD1702">
      <w:pPr>
        <w:pStyle w:val="NormalWeb"/>
        <w:rPr>
          <w:rFonts w:ascii="Arial Black" w:hAnsi="Arial Black"/>
          <w:b/>
          <w:bCs/>
          <w:sz w:val="28"/>
          <w:szCs w:val="28"/>
        </w:rPr>
      </w:pPr>
      <w:r>
        <w:rPr>
          <w:rFonts w:ascii="Arial Black" w:hAnsi="Arial Black"/>
          <w:b/>
          <w:bCs/>
          <w:sz w:val="28"/>
          <w:szCs w:val="28"/>
        </w:rPr>
        <w:t xml:space="preserve">PA: PET THERAPY DOG – IN COURT TO COMFORT 13-YEAR- OLD AUSTIC CHILD – WITNESS TO A MURDER </w:t>
      </w:r>
    </w:p>
    <w:p w14:paraId="3E914B38" w14:textId="77777777" w:rsidR="00BD1702" w:rsidRDefault="00BD1702" w:rsidP="00BD1702">
      <w:pPr>
        <w:pStyle w:val="NormalWeb"/>
      </w:pPr>
      <w:r>
        <w:t xml:space="preserve">On September 22, 2021, in </w:t>
      </w:r>
      <w:r>
        <w:rPr>
          <w:u w:val="single"/>
        </w:rPr>
        <w:t>Commonwealth of Pennsylvania v. Sheron Jalen Purnell</w:t>
      </w:r>
      <w:r>
        <w:t xml:space="preserve">, the Supreme Court of Pennsylvania (Middle District) held (7 to 0) that judge properly allowed the comfort dog in the courtroom, and upheld jury verdict of guilty of third-degree murder and sentence of 20.5 to 47 years of imprisonment. </w:t>
      </w:r>
    </w:p>
    <w:p w14:paraId="66FF7E74" w14:textId="77777777" w:rsidR="00BD1702" w:rsidRDefault="00BD1702" w:rsidP="00BD1702">
      <w:pPr>
        <w:pStyle w:val="NormalWeb"/>
        <w:ind w:left="720"/>
      </w:pPr>
      <w:r>
        <w:t xml:space="preserve">“We granted allowance of appeal in this matter to consider the appropriate test to apply to a trial court’s determination concerning whether a witness in a criminal case may utilize a ‘comfort dog’ for support during his or her trial testimony. We hold that a trial court should balance the degree to which the accommodation will assist the witness in testifying in a truthful manner against any possible prejudice </w:t>
      </w:r>
      <w:proofErr w:type="gramStart"/>
      <w:r>
        <w:t>to</w:t>
      </w:r>
      <w:proofErr w:type="gramEnd"/>
      <w:r>
        <w:t xml:space="preserve"> the defendant’s right to a fair trial. Here, the trial court allowed a witness to testify with the assistance of a comfort dog, and the Superior Court concluded that the trial court did not abuse its discretion in this regard. For the reasons stated below, we agree with the Superior Court and, therefore, affirm that court’s judgment.</w:t>
      </w:r>
    </w:p>
    <w:p w14:paraId="72A3238B" w14:textId="77777777" w:rsidR="00BD1702" w:rsidRDefault="00BD1702" w:rsidP="00BD1702">
      <w:pPr>
        <w:pStyle w:val="NormalWeb"/>
        <w:ind w:left="720"/>
      </w:pPr>
      <w:r>
        <w:t>***</w:t>
      </w:r>
    </w:p>
    <w:p w14:paraId="779791EA" w14:textId="77777777" w:rsidR="00BD1702" w:rsidRDefault="00BD1702" w:rsidP="00BD1702">
      <w:pPr>
        <w:pStyle w:val="NormalWeb"/>
        <w:ind w:left="720"/>
      </w:pPr>
      <w:r>
        <w:t xml:space="preserve">The court noted that: (1) its legal reasoning for allowing the dog to be present could be found on the record; (2) the dog was situated under the witness box prior to the jury entering the courtroom and could not be seen by the jury, and (3) it provided instructions to the jury concerning the presence of the dog.”  </w:t>
      </w:r>
      <w:hyperlink r:id="rId2507" w:history="1">
        <w:r>
          <w:rPr>
            <w:rStyle w:val="Hyperlink"/>
          </w:rPr>
          <w:t>https://casetext.com/case/commonwealth-v-purnell-10</w:t>
        </w:r>
      </w:hyperlink>
      <w:r>
        <w:t xml:space="preserve"> </w:t>
      </w:r>
    </w:p>
    <w:p w14:paraId="4F9F6DE5" w14:textId="77777777" w:rsidR="00BD1702" w:rsidRDefault="00BD1702" w:rsidP="00BD1702">
      <w:pPr>
        <w:pStyle w:val="Heading1"/>
        <w:rPr>
          <w:sz w:val="24"/>
          <w:szCs w:val="24"/>
        </w:rPr>
      </w:pPr>
      <w:r>
        <w:rPr>
          <w:sz w:val="24"/>
          <w:szCs w:val="24"/>
        </w:rPr>
        <w:t xml:space="preserve">Legal Lesson Learned: Great decision! Dogs can also comfort emergency responders. </w:t>
      </w:r>
    </w:p>
    <w:p w14:paraId="59782E83" w14:textId="31639F4C" w:rsidR="00BD1702" w:rsidRDefault="00BD1702" w:rsidP="00BD1702">
      <w:pPr>
        <w:pStyle w:val="NoSpacing"/>
        <w:ind w:left="720"/>
        <w:rPr>
          <w:rFonts w:ascii="Arial Black" w:hAnsi="Arial Black"/>
          <w:sz w:val="24"/>
          <w:szCs w:val="24"/>
        </w:rPr>
      </w:pPr>
      <w:r>
        <w:rPr>
          <w:sz w:val="24"/>
          <w:szCs w:val="24"/>
        </w:rPr>
        <w:t xml:space="preserve">See article: “Comfort Dogs Allowed </w:t>
      </w:r>
      <w:proofErr w:type="gramStart"/>
      <w:r>
        <w:rPr>
          <w:sz w:val="24"/>
          <w:szCs w:val="24"/>
        </w:rPr>
        <w:t>For</w:t>
      </w:r>
      <w:proofErr w:type="gramEnd"/>
      <w:r>
        <w:rPr>
          <w:sz w:val="24"/>
          <w:szCs w:val="24"/>
        </w:rPr>
        <w:t xml:space="preserve"> Some During Criminal Trials, PA Supreme Court Rules (9/22/2021).” </w:t>
      </w:r>
      <w:hyperlink r:id="rId2508" w:history="1">
        <w:r w:rsidRPr="00936B2D">
          <w:rPr>
            <w:rStyle w:val="Hyperlink"/>
            <w:b/>
            <w:bCs/>
            <w:sz w:val="24"/>
            <w:szCs w:val="24"/>
          </w:rPr>
          <w:t>https://dailyvoice.com/pennsylvania/chester/news/comfort-dogs-allowed-for-some-during-criminal-trials-pa-supreme-court-rules/816798/</w:t>
        </w:r>
      </w:hyperlink>
    </w:p>
    <w:p w14:paraId="2DFEE32E" w14:textId="77777777" w:rsidR="00BD1702" w:rsidRDefault="00BD1702" w:rsidP="000C4DF5">
      <w:pPr>
        <w:pStyle w:val="NoSpacing"/>
        <w:rPr>
          <w:rFonts w:ascii="Arial Black" w:hAnsi="Arial Black"/>
          <w:sz w:val="24"/>
          <w:szCs w:val="24"/>
        </w:rPr>
      </w:pPr>
      <w:bookmarkStart w:id="577" w:name="_Hlk66950092"/>
    </w:p>
    <w:p w14:paraId="041FD798" w14:textId="77777777" w:rsidR="00BD1702" w:rsidRDefault="00BD1702" w:rsidP="000C4DF5">
      <w:pPr>
        <w:pStyle w:val="NoSpacing"/>
        <w:rPr>
          <w:rFonts w:ascii="Arial Black" w:hAnsi="Arial Black"/>
          <w:sz w:val="24"/>
          <w:szCs w:val="24"/>
        </w:rPr>
      </w:pPr>
    </w:p>
    <w:p w14:paraId="694FA015" w14:textId="265E20DF" w:rsidR="00F37F48" w:rsidRDefault="00F37F48" w:rsidP="000C4DF5">
      <w:pPr>
        <w:pStyle w:val="NoSpacing"/>
        <w:rPr>
          <w:rFonts w:ascii="Arial Black" w:hAnsi="Arial Black"/>
          <w:sz w:val="24"/>
          <w:szCs w:val="24"/>
        </w:rPr>
      </w:pPr>
      <w:r>
        <w:rPr>
          <w:rFonts w:ascii="Arial Black" w:hAnsi="Arial Black"/>
          <w:sz w:val="24"/>
          <w:szCs w:val="24"/>
        </w:rPr>
        <w:t>15-11</w:t>
      </w:r>
    </w:p>
    <w:p w14:paraId="67BD830B" w14:textId="6C591B07" w:rsidR="00F37F48" w:rsidRDefault="00F37F48" w:rsidP="000C4DF5">
      <w:pPr>
        <w:pStyle w:val="NoSpacing"/>
        <w:rPr>
          <w:rFonts w:ascii="Arial Black" w:hAnsi="Arial Black"/>
          <w:sz w:val="24"/>
          <w:szCs w:val="24"/>
        </w:rPr>
      </w:pPr>
    </w:p>
    <w:p w14:paraId="04B4A2EE" w14:textId="77777777" w:rsidR="00F37F48" w:rsidRDefault="00F37F48" w:rsidP="00F37F48">
      <w:pPr>
        <w:rPr>
          <w:rFonts w:asciiTheme="minorHAnsi" w:hAnsiTheme="minorHAnsi" w:cstheme="minorBidi"/>
        </w:rPr>
      </w:pPr>
      <w:r>
        <w:rPr>
          <w:rFonts w:ascii="Arial Black" w:hAnsi="Arial Black"/>
          <w:sz w:val="28"/>
          <w:szCs w:val="28"/>
        </w:rPr>
        <w:t xml:space="preserve">WV: FF WITH PTSD – 20 YRS ON THE JOB – DENIED WORKERS COMP – STATE LAW REQUIRES THERE BE PHYSICAL INJURY </w:t>
      </w:r>
    </w:p>
    <w:p w14:paraId="20DB28E1" w14:textId="77777777" w:rsidR="00F37F48" w:rsidRDefault="00F37F48" w:rsidP="00F37F48">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On Dec. 11, 2020, in </w:t>
      </w:r>
      <w:r>
        <w:rPr>
          <w:rFonts w:ascii="Times New Roman" w:eastAsia="Times New Roman" w:hAnsi="Times New Roman"/>
          <w:sz w:val="24"/>
          <w:szCs w:val="24"/>
          <w:u w:val="single"/>
        </w:rPr>
        <w:t>John Angle v. City of Huntington</w:t>
      </w:r>
      <w:r>
        <w:rPr>
          <w:rFonts w:ascii="Times New Roman" w:eastAsia="Times New Roman" w:hAnsi="Times New Roman"/>
          <w:sz w:val="24"/>
          <w:szCs w:val="24"/>
        </w:rPr>
        <w:t xml:space="preserve">, the State of West Virginia Supreme Court of Appeals, held (5 to 0) that under state statute he was not entitled to workers comp for his PTSD.  </w:t>
      </w:r>
    </w:p>
    <w:bookmarkEnd w:id="577"/>
    <w:p w14:paraId="12BBFDDB" w14:textId="77777777" w:rsidR="00F37F48" w:rsidRDefault="00F37F48" w:rsidP="00F37F48">
      <w:pPr>
        <w:ind w:left="720"/>
        <w:rPr>
          <w:rFonts w:ascii="Times New Roman" w:eastAsiaTheme="minorHAnsi" w:hAnsi="Times New Roman"/>
          <w:sz w:val="24"/>
          <w:szCs w:val="24"/>
        </w:rPr>
      </w:pPr>
      <w:r>
        <w:rPr>
          <w:rFonts w:ascii="Times New Roman" w:hAnsi="Times New Roman"/>
          <w:sz w:val="24"/>
          <w:szCs w:val="24"/>
        </w:rPr>
        <w:lastRenderedPageBreak/>
        <w:t>“All of Mr. Angle's symptoms, and the requested diagnoses, were caused by nonphysical means and did not result in any physical injury or disease. Pursuant to West Virginia Code § 23-4-1F, the claim was properly denied.</w:t>
      </w:r>
    </w:p>
    <w:p w14:paraId="5106844A" w14:textId="77777777" w:rsidR="00F37F48" w:rsidRDefault="00F37F48" w:rsidP="00F37F48">
      <w:pPr>
        <w:ind w:left="720"/>
        <w:rPr>
          <w:rFonts w:ascii="Times New Roman" w:hAnsi="Times New Roman"/>
          <w:sz w:val="24"/>
          <w:szCs w:val="24"/>
        </w:rPr>
      </w:pPr>
      <w:r>
        <w:rPr>
          <w:rFonts w:ascii="Times New Roman" w:hAnsi="Times New Roman"/>
          <w:sz w:val="24"/>
          <w:szCs w:val="24"/>
        </w:rPr>
        <w:t>***</w:t>
      </w:r>
    </w:p>
    <w:p w14:paraId="020DDA89" w14:textId="77777777" w:rsidR="00F37F48" w:rsidRDefault="00F37F48" w:rsidP="00F37F48">
      <w:pPr>
        <w:spacing w:before="100" w:beforeAutospacing="1" w:after="100" w:afterAutospacing="1" w:line="240" w:lineRule="auto"/>
        <w:ind w:firstLine="720"/>
        <w:rPr>
          <w:rFonts w:ascii="Times New Roman" w:eastAsia="Times New Roman" w:hAnsi="Times New Roman"/>
          <w:sz w:val="24"/>
          <w:szCs w:val="24"/>
        </w:rPr>
      </w:pPr>
      <w:r>
        <w:rPr>
          <w:rFonts w:ascii="Times New Roman" w:eastAsia="Times New Roman" w:hAnsi="Times New Roman"/>
          <w:sz w:val="24"/>
          <w:szCs w:val="24"/>
        </w:rPr>
        <w:t xml:space="preserve">West Virginia Code § 23-4-1F provides that: </w:t>
      </w:r>
    </w:p>
    <w:p w14:paraId="68857077" w14:textId="77777777" w:rsidR="00F37F48" w:rsidRDefault="00F37F48" w:rsidP="00F37F48">
      <w:pPr>
        <w:spacing w:after="100" w:line="240" w:lineRule="auto"/>
        <w:ind w:left="1440"/>
        <w:rPr>
          <w:rFonts w:ascii="Times New Roman" w:eastAsia="Times New Roman" w:hAnsi="Times New Roman"/>
          <w:sz w:val="24"/>
          <w:szCs w:val="24"/>
        </w:rPr>
      </w:pPr>
      <w:r>
        <w:rPr>
          <w:rFonts w:ascii="Times New Roman" w:eastAsia="Times New Roman" w:hAnsi="Times New Roman"/>
          <w:sz w:val="24"/>
          <w:szCs w:val="24"/>
        </w:rPr>
        <w:t xml:space="preserve">no alleged injury or disease shall be recognized as a compensable injury or disease which was solely caused by nonphysical </w:t>
      </w:r>
      <w:proofErr w:type="gramStart"/>
      <w:r>
        <w:rPr>
          <w:rFonts w:ascii="Times New Roman" w:eastAsia="Times New Roman" w:hAnsi="Times New Roman"/>
          <w:sz w:val="24"/>
          <w:szCs w:val="24"/>
        </w:rPr>
        <w:t>means</w:t>
      </w:r>
      <w:proofErr w:type="gramEnd"/>
      <w:r>
        <w:rPr>
          <w:rFonts w:ascii="Times New Roman" w:eastAsia="Times New Roman" w:hAnsi="Times New Roman"/>
          <w:sz w:val="24"/>
          <w:szCs w:val="24"/>
        </w:rPr>
        <w:t xml:space="preserve"> and which did not result in any physical injury or disease to the person claiming benefits. It is the purpose of this section to clarify that so-called mental-mental claims are not compensable under this chapter.” </w:t>
      </w:r>
      <w:bookmarkStart w:id="578" w:name="_Hlk66950115"/>
      <w:r w:rsidR="00F00958">
        <w:fldChar w:fldCharType="begin"/>
      </w:r>
      <w:r w:rsidR="00F00958">
        <w:instrText xml:space="preserve"> HYPERLINK "https://law.justia.com/cases/west-virginia/supreme-court/2020/19-0970.html" </w:instrText>
      </w:r>
      <w:r w:rsidR="00F00958">
        <w:fldChar w:fldCharType="separate"/>
      </w:r>
      <w:r>
        <w:rPr>
          <w:rStyle w:val="Hyperlink"/>
        </w:rPr>
        <w:t>https://law.justia.com/cases/west-virginia/supreme-court/2020/19-0970.html</w:t>
      </w:r>
      <w:r w:rsidR="00F00958">
        <w:rPr>
          <w:rStyle w:val="Hyperlink"/>
        </w:rPr>
        <w:fldChar w:fldCharType="end"/>
      </w:r>
      <w:r>
        <w:rPr>
          <w:rFonts w:ascii="Times New Roman" w:eastAsia="Times New Roman" w:hAnsi="Times New Roman"/>
          <w:sz w:val="24"/>
          <w:szCs w:val="24"/>
        </w:rPr>
        <w:t xml:space="preserve"> </w:t>
      </w:r>
    </w:p>
    <w:p w14:paraId="73D221EE" w14:textId="77777777" w:rsidR="00F37F48" w:rsidRDefault="00F37F48" w:rsidP="00F37F48">
      <w:pPr>
        <w:pStyle w:val="NormalWeb"/>
        <w:rPr>
          <w:b/>
          <w:bCs/>
        </w:rPr>
      </w:pPr>
      <w:r>
        <w:rPr>
          <w:b/>
          <w:bCs/>
        </w:rPr>
        <w:t>Legal Lesson Learned: Some states have now enacted statutes allowing PTSD coverage without physical injury.</w:t>
      </w:r>
    </w:p>
    <w:p w14:paraId="5F6C98D3" w14:textId="77777777" w:rsidR="00F37F48" w:rsidRPr="00500548" w:rsidRDefault="00F37F48" w:rsidP="00F37F48">
      <w:pPr>
        <w:pStyle w:val="Heading1"/>
        <w:ind w:left="720"/>
        <w:rPr>
          <w:b w:val="0"/>
          <w:bCs w:val="0"/>
          <w:sz w:val="24"/>
          <w:szCs w:val="24"/>
        </w:rPr>
      </w:pPr>
      <w:bookmarkStart w:id="579" w:name="_Hlk66950170"/>
      <w:r>
        <w:rPr>
          <w:b w:val="0"/>
          <w:bCs w:val="0"/>
          <w:sz w:val="24"/>
          <w:szCs w:val="24"/>
        </w:rPr>
        <w:t>Note:</w:t>
      </w:r>
      <w:r>
        <w:t xml:space="preserve">  </w:t>
      </w:r>
      <w:r>
        <w:rPr>
          <w:b w:val="0"/>
          <w:bCs w:val="0"/>
          <w:sz w:val="24"/>
          <w:szCs w:val="24"/>
        </w:rPr>
        <w:t xml:space="preserve">Feb. 13, 2020: “Ohio House passes bill expanding first </w:t>
      </w:r>
      <w:proofErr w:type="gramStart"/>
      <w:r>
        <w:rPr>
          <w:b w:val="0"/>
          <w:bCs w:val="0"/>
          <w:sz w:val="24"/>
          <w:szCs w:val="24"/>
        </w:rPr>
        <w:t>responders</w:t>
      </w:r>
      <w:proofErr w:type="gramEnd"/>
      <w:r>
        <w:rPr>
          <w:b w:val="0"/>
          <w:bCs w:val="0"/>
          <w:sz w:val="24"/>
          <w:szCs w:val="24"/>
        </w:rPr>
        <w:t xml:space="preserve"> workers' compensation for PTSD. The legislation would allow first responders to seek workers' compensation even if they don't have a physical condition that led to PTSD.” </w:t>
      </w:r>
      <w:hyperlink r:id="rId2509" w:history="1">
        <w:r w:rsidRPr="00500548">
          <w:rPr>
            <w:rStyle w:val="Hyperlink"/>
            <w:b w:val="0"/>
            <w:bCs w:val="0"/>
            <w:sz w:val="24"/>
            <w:szCs w:val="24"/>
          </w:rPr>
          <w:t>https://www.firerescue1.com/ptsd/articles/ohio-house-passes-bill-expanding-first-responders-workers-compensation-for-ptsd-QXXQPU6H47rb9Z8o/</w:t>
        </w:r>
      </w:hyperlink>
      <w:r w:rsidRPr="00500548">
        <w:rPr>
          <w:b w:val="0"/>
          <w:bCs w:val="0"/>
          <w:sz w:val="24"/>
          <w:szCs w:val="24"/>
        </w:rPr>
        <w:t xml:space="preserve"> </w:t>
      </w:r>
    </w:p>
    <w:p w14:paraId="316EDA2C" w14:textId="642FD01C" w:rsidR="00F37F48" w:rsidRPr="00F37F48" w:rsidRDefault="00F37F48" w:rsidP="00F37F48">
      <w:pPr>
        <w:pStyle w:val="NoSpacing"/>
        <w:ind w:left="720"/>
        <w:rPr>
          <w:rFonts w:ascii="Times New Roman" w:hAnsi="Times New Roman"/>
          <w:sz w:val="24"/>
          <w:szCs w:val="24"/>
        </w:rPr>
      </w:pPr>
      <w:r w:rsidRPr="00F37F48">
        <w:rPr>
          <w:rFonts w:ascii="Times New Roman" w:hAnsi="Times New Roman"/>
          <w:sz w:val="24"/>
          <w:szCs w:val="24"/>
        </w:rPr>
        <w:t xml:space="preserve">See also: “Nine states (California, Connecticut, Idaho, Louisiana, Nevada, New Hampshire, New Mexico, Oregon, and Texas) have passed legislation addressing benefits for first responders with PTSD in 2019. In 2018, 2 states (Florida and Washington) passed legislation expanding benefits for first responders with </w:t>
      </w:r>
      <w:proofErr w:type="gramStart"/>
      <w:r w:rsidRPr="00F37F48">
        <w:rPr>
          <w:rFonts w:ascii="Times New Roman" w:hAnsi="Times New Roman"/>
          <w:sz w:val="24"/>
          <w:szCs w:val="24"/>
        </w:rPr>
        <w:t>PTSD.”</w:t>
      </w:r>
      <w:proofErr w:type="gramEnd"/>
      <w:r w:rsidRPr="00F37F48">
        <w:rPr>
          <w:rFonts w:ascii="Times New Roman" w:hAnsi="Times New Roman"/>
          <w:sz w:val="24"/>
          <w:szCs w:val="24"/>
        </w:rPr>
        <w:t xml:space="preserve"> </w:t>
      </w:r>
      <w:hyperlink r:id="rId2510" w:history="1">
        <w:r w:rsidRPr="00F37F48">
          <w:rPr>
            <w:rStyle w:val="Hyperlink"/>
            <w:rFonts w:ascii="Times New Roman" w:hAnsi="Times New Roman"/>
            <w:sz w:val="24"/>
            <w:szCs w:val="24"/>
          </w:rPr>
          <w:t>https://www.gerberholderlaw.com/workers-comp-ptsd-by-state/</w:t>
        </w:r>
      </w:hyperlink>
    </w:p>
    <w:bookmarkEnd w:id="578"/>
    <w:bookmarkEnd w:id="579"/>
    <w:p w14:paraId="2ABA6CC2" w14:textId="77777777" w:rsidR="00F37F48" w:rsidRDefault="00F37F48" w:rsidP="000C4DF5">
      <w:pPr>
        <w:pStyle w:val="NoSpacing"/>
        <w:rPr>
          <w:rFonts w:ascii="Arial Black" w:hAnsi="Arial Black"/>
          <w:sz w:val="24"/>
          <w:szCs w:val="24"/>
        </w:rPr>
      </w:pPr>
    </w:p>
    <w:p w14:paraId="7F791A4D" w14:textId="2EBD2ED5" w:rsidR="00663A6A" w:rsidRDefault="00663A6A" w:rsidP="000C4DF5">
      <w:pPr>
        <w:pStyle w:val="NoSpacing"/>
        <w:rPr>
          <w:rFonts w:ascii="Arial Black" w:hAnsi="Arial Black"/>
          <w:sz w:val="24"/>
          <w:szCs w:val="24"/>
        </w:rPr>
      </w:pPr>
      <w:r>
        <w:rPr>
          <w:rFonts w:ascii="Arial Black" w:hAnsi="Arial Black"/>
          <w:sz w:val="24"/>
          <w:szCs w:val="24"/>
        </w:rPr>
        <w:t>15-10</w:t>
      </w:r>
    </w:p>
    <w:p w14:paraId="4F1BA4A6" w14:textId="72885F60" w:rsidR="00663A6A" w:rsidRDefault="00663A6A" w:rsidP="000C4DF5">
      <w:pPr>
        <w:pStyle w:val="NoSpacing"/>
        <w:rPr>
          <w:rFonts w:ascii="Arial Black" w:hAnsi="Arial Black"/>
          <w:sz w:val="24"/>
          <w:szCs w:val="24"/>
        </w:rPr>
      </w:pPr>
    </w:p>
    <w:p w14:paraId="7E695BC6" w14:textId="77777777" w:rsidR="00663A6A" w:rsidRDefault="00663A6A" w:rsidP="00663A6A">
      <w:pPr>
        <w:pStyle w:val="NoSpacing"/>
        <w:rPr>
          <w:rFonts w:ascii="Arial Black" w:hAnsi="Arial Black"/>
          <w:sz w:val="28"/>
          <w:szCs w:val="28"/>
        </w:rPr>
      </w:pPr>
      <w:r>
        <w:rPr>
          <w:rFonts w:ascii="Arial Black" w:hAnsi="Arial Black"/>
          <w:sz w:val="28"/>
          <w:szCs w:val="28"/>
        </w:rPr>
        <w:t xml:space="preserve">TX: PARAMEDIC WITH PTSD – DENIED “ON-DUTY” DISABILITY PENSION – 75% Of SALARY - CONFLICING PSYCHOLOGISTS </w:t>
      </w:r>
    </w:p>
    <w:p w14:paraId="2AF2B909" w14:textId="77777777" w:rsidR="00663A6A" w:rsidRDefault="00663A6A" w:rsidP="00663A6A">
      <w:pPr>
        <w:pStyle w:val="NoSpacing"/>
        <w:rPr>
          <w:rFonts w:ascii="Arial Black" w:hAnsi="Arial Black"/>
          <w:sz w:val="28"/>
          <w:szCs w:val="28"/>
        </w:rPr>
      </w:pPr>
    </w:p>
    <w:p w14:paraId="3CB15CB8" w14:textId="77777777" w:rsidR="00663A6A" w:rsidRDefault="00663A6A" w:rsidP="00663A6A">
      <w:pPr>
        <w:pStyle w:val="NoSpacing"/>
        <w:rPr>
          <w:rFonts w:ascii="Times New Roman" w:hAnsi="Times New Roman"/>
          <w:sz w:val="24"/>
          <w:szCs w:val="24"/>
        </w:rPr>
      </w:pPr>
      <w:r>
        <w:rPr>
          <w:rFonts w:ascii="Times New Roman" w:hAnsi="Times New Roman"/>
          <w:sz w:val="24"/>
          <w:szCs w:val="24"/>
        </w:rPr>
        <w:t xml:space="preserve">On Nov. 17, 2020, in </w:t>
      </w:r>
      <w:r w:rsidRPr="008B5E95">
        <w:rPr>
          <w:rFonts w:ascii="Times New Roman" w:hAnsi="Times New Roman"/>
          <w:sz w:val="24"/>
          <w:szCs w:val="24"/>
          <w:u w:val="single"/>
        </w:rPr>
        <w:t xml:space="preserve">Gregory Green v. Houston Firefighters’ Relief </w:t>
      </w:r>
      <w:proofErr w:type="gramStart"/>
      <w:r w:rsidRPr="008B5E95">
        <w:rPr>
          <w:rFonts w:ascii="Times New Roman" w:hAnsi="Times New Roman"/>
          <w:sz w:val="24"/>
          <w:szCs w:val="24"/>
          <w:u w:val="single"/>
        </w:rPr>
        <w:t>And</w:t>
      </w:r>
      <w:proofErr w:type="gramEnd"/>
      <w:r w:rsidRPr="008B5E95">
        <w:rPr>
          <w:rFonts w:ascii="Times New Roman" w:hAnsi="Times New Roman"/>
          <w:sz w:val="24"/>
          <w:szCs w:val="24"/>
          <w:u w:val="single"/>
        </w:rPr>
        <w:t xml:space="preserve"> Retirement Fund</w:t>
      </w:r>
      <w:r>
        <w:rPr>
          <w:rFonts w:ascii="Times New Roman" w:hAnsi="Times New Roman"/>
          <w:sz w:val="24"/>
          <w:szCs w:val="24"/>
        </w:rPr>
        <w:t xml:space="preserve">, the State of Texas in the Fourteenth Court of Appeals, held (3 to 0) that trial court correctly upheld the Board to deny on-duty disability pension for paramedic with 17-years of experience,  given conflicting opinions of two mental health professionals.  Plaintiff may be eligible for a non-duty disability pension; on-duty disability pensions are 75% of average salary if not capable of any gainful future employment; or 50% if can’t perform firefighter duties. </w:t>
      </w:r>
    </w:p>
    <w:p w14:paraId="7B3EDF7F" w14:textId="77777777" w:rsidR="00663A6A" w:rsidRDefault="00663A6A" w:rsidP="00663A6A">
      <w:pPr>
        <w:pStyle w:val="NoSpacing"/>
        <w:rPr>
          <w:rFonts w:ascii="Times New Roman" w:hAnsi="Times New Roman"/>
          <w:sz w:val="24"/>
          <w:szCs w:val="24"/>
        </w:rPr>
      </w:pPr>
    </w:p>
    <w:p w14:paraId="74BFD55E" w14:textId="564A8A7B" w:rsidR="00663A6A" w:rsidRDefault="00663A6A" w:rsidP="00663A6A">
      <w:pPr>
        <w:pStyle w:val="NoSpacing"/>
        <w:rPr>
          <w:rStyle w:val="Hyperlink"/>
          <w:rFonts w:ascii="Times New Roman" w:hAnsi="Times New Roman"/>
          <w:sz w:val="24"/>
          <w:szCs w:val="24"/>
        </w:rPr>
      </w:pPr>
      <w:r>
        <w:rPr>
          <w:rFonts w:ascii="Times New Roman" w:hAnsi="Times New Roman"/>
          <w:sz w:val="24"/>
          <w:szCs w:val="24"/>
        </w:rPr>
        <w:t>“</w:t>
      </w:r>
      <w:r w:rsidRPr="008B5E95">
        <w:rPr>
          <w:rFonts w:ascii="Times New Roman" w:hAnsi="Times New Roman"/>
          <w:sz w:val="24"/>
          <w:szCs w:val="24"/>
        </w:rPr>
        <w:t xml:space="preserve">The evidence before the Board and subsequently before the trial court was in direct conflict. </w:t>
      </w:r>
      <w:r>
        <w:rPr>
          <w:rFonts w:ascii="Times New Roman" w:hAnsi="Times New Roman"/>
          <w:sz w:val="24"/>
          <w:szCs w:val="24"/>
        </w:rPr>
        <w:t xml:space="preserve">[Dr. Ashley] </w:t>
      </w:r>
      <w:r w:rsidRPr="008B5E95">
        <w:rPr>
          <w:rFonts w:ascii="Times New Roman" w:hAnsi="Times New Roman"/>
          <w:sz w:val="24"/>
          <w:szCs w:val="24"/>
        </w:rPr>
        <w:t xml:space="preserve">Woolbert opined that Green experienced disability to the degree that he could not perform any full-time work. </w:t>
      </w:r>
      <w:r>
        <w:rPr>
          <w:rFonts w:ascii="Times New Roman" w:hAnsi="Times New Roman"/>
          <w:sz w:val="24"/>
          <w:szCs w:val="24"/>
        </w:rPr>
        <w:t xml:space="preserve">[Dr. Edwin] </w:t>
      </w:r>
      <w:r w:rsidRPr="008B5E95">
        <w:rPr>
          <w:rFonts w:ascii="Times New Roman" w:hAnsi="Times New Roman"/>
          <w:sz w:val="24"/>
          <w:szCs w:val="24"/>
        </w:rPr>
        <w:t>Johnstone, on the other hand, opined that Green</w:t>
      </w:r>
      <w:r>
        <w:rPr>
          <w:rFonts w:ascii="Times New Roman" w:hAnsi="Times New Roman"/>
          <w:sz w:val="24"/>
          <w:szCs w:val="24"/>
        </w:rPr>
        <w:t>’</w:t>
      </w:r>
      <w:r w:rsidRPr="008B5E95">
        <w:rPr>
          <w:rFonts w:ascii="Times New Roman" w:hAnsi="Times New Roman"/>
          <w:sz w:val="24"/>
          <w:szCs w:val="24"/>
        </w:rPr>
        <w:t>s only limitation in performing full-time work was the physical limitation of his shoulder. In a substantial evidence review the agency</w:t>
      </w:r>
      <w:r>
        <w:rPr>
          <w:rFonts w:ascii="Times New Roman" w:hAnsi="Times New Roman"/>
          <w:sz w:val="24"/>
          <w:szCs w:val="24"/>
        </w:rPr>
        <w:t>’</w:t>
      </w:r>
      <w:r w:rsidRPr="008B5E95">
        <w:rPr>
          <w:rFonts w:ascii="Times New Roman" w:hAnsi="Times New Roman"/>
          <w:sz w:val="24"/>
          <w:szCs w:val="24"/>
        </w:rPr>
        <w:t xml:space="preserve">s action will be sustained if the evidence is such that reasonable minds could have reached the conclusion that the agency must have reached to justify its actions. </w:t>
      </w:r>
      <w:r w:rsidRPr="008B5E95">
        <w:rPr>
          <w:rFonts w:ascii="Times New Roman" w:hAnsi="Times New Roman"/>
          <w:i/>
          <w:iCs/>
          <w:sz w:val="24"/>
          <w:szCs w:val="24"/>
        </w:rPr>
        <w:t xml:space="preserve">Texas Health Facilities </w:t>
      </w:r>
      <w:proofErr w:type="spellStart"/>
      <w:r w:rsidRPr="008B5E95">
        <w:rPr>
          <w:rFonts w:ascii="Times New Roman" w:hAnsi="Times New Roman"/>
          <w:i/>
          <w:iCs/>
          <w:sz w:val="24"/>
          <w:szCs w:val="24"/>
        </w:rPr>
        <w:t>Com</w:t>
      </w:r>
      <w:r>
        <w:rPr>
          <w:rFonts w:ascii="Times New Roman" w:hAnsi="Times New Roman"/>
          <w:i/>
          <w:iCs/>
          <w:sz w:val="24"/>
          <w:szCs w:val="24"/>
        </w:rPr>
        <w:t>’</w:t>
      </w:r>
      <w:r w:rsidRPr="008B5E95">
        <w:rPr>
          <w:rFonts w:ascii="Times New Roman" w:hAnsi="Times New Roman"/>
          <w:i/>
          <w:iCs/>
          <w:sz w:val="24"/>
          <w:szCs w:val="24"/>
        </w:rPr>
        <w:t>n</w:t>
      </w:r>
      <w:proofErr w:type="spellEnd"/>
      <w:r w:rsidRPr="008B5E95">
        <w:rPr>
          <w:rFonts w:ascii="Times New Roman" w:hAnsi="Times New Roman"/>
          <w:sz w:val="24"/>
          <w:szCs w:val="24"/>
        </w:rPr>
        <w:t>, 665 S.W.2d at 453. Because the evidence was conflicting, the Board could have determined after reviewing Johnstone</w:t>
      </w:r>
      <w:r>
        <w:rPr>
          <w:rFonts w:ascii="Times New Roman" w:hAnsi="Times New Roman"/>
          <w:sz w:val="24"/>
          <w:szCs w:val="24"/>
        </w:rPr>
        <w:t>’</w:t>
      </w:r>
      <w:r w:rsidRPr="008B5E95">
        <w:rPr>
          <w:rFonts w:ascii="Times New Roman" w:hAnsi="Times New Roman"/>
          <w:sz w:val="24"/>
          <w:szCs w:val="24"/>
        </w:rPr>
        <w:t xml:space="preserve">s reports that Green did not qualify under the Act for on-duty disability. </w:t>
      </w:r>
      <w:r w:rsidRPr="008B5E95">
        <w:rPr>
          <w:rFonts w:ascii="Times New Roman" w:hAnsi="Times New Roman"/>
          <w:i/>
          <w:iCs/>
          <w:sz w:val="24"/>
          <w:szCs w:val="24"/>
        </w:rPr>
        <w:t>See id</w:t>
      </w:r>
      <w:r w:rsidRPr="008B5E95">
        <w:rPr>
          <w:rFonts w:ascii="Times New Roman" w:hAnsi="Times New Roman"/>
          <w:sz w:val="24"/>
          <w:szCs w:val="24"/>
        </w:rPr>
        <w:t>. (If there is evidence to support either affirmative or negative findings on a specific matter, the decision of the agency must be upheld).</w:t>
      </w:r>
      <w:r>
        <w:rPr>
          <w:rFonts w:ascii="Times New Roman" w:hAnsi="Times New Roman"/>
          <w:sz w:val="24"/>
          <w:szCs w:val="24"/>
        </w:rPr>
        <w:t>”</w:t>
      </w:r>
      <w:r w:rsidRPr="008B5E95">
        <w:t xml:space="preserve"> </w:t>
      </w:r>
      <w:hyperlink r:id="rId2511" w:history="1">
        <w:r w:rsidRPr="00804FA5">
          <w:rPr>
            <w:rStyle w:val="Hyperlink"/>
            <w:rFonts w:ascii="Times New Roman" w:hAnsi="Times New Roman"/>
            <w:sz w:val="24"/>
            <w:szCs w:val="24"/>
          </w:rPr>
          <w:t>https://public.fastcase.com/Wl%2B2t%2BeVuI35%2FN70vAMFZlfrbL2Iv9t8X190JkA%2BKSgGR212V5tgaR0%2FcTyilOxc</w:t>
        </w:r>
      </w:hyperlink>
    </w:p>
    <w:p w14:paraId="04AF6728" w14:textId="58150E2C" w:rsidR="00663A6A" w:rsidRDefault="00663A6A" w:rsidP="00663A6A">
      <w:pPr>
        <w:pStyle w:val="NoSpacing"/>
        <w:rPr>
          <w:rStyle w:val="Hyperlink"/>
          <w:rFonts w:ascii="Times New Roman" w:hAnsi="Times New Roman"/>
          <w:sz w:val="24"/>
          <w:szCs w:val="24"/>
        </w:rPr>
      </w:pPr>
    </w:p>
    <w:p w14:paraId="78DAE717" w14:textId="77777777" w:rsidR="00663A6A" w:rsidRPr="00D22C73" w:rsidRDefault="00663A6A" w:rsidP="00663A6A">
      <w:pPr>
        <w:pStyle w:val="NormalWeb"/>
        <w:rPr>
          <w:b/>
          <w:bCs/>
        </w:rPr>
      </w:pPr>
      <w:r w:rsidRPr="00D22C73">
        <w:rPr>
          <w:b/>
          <w:bCs/>
        </w:rPr>
        <w:t>Legal Lesson Learned:</w:t>
      </w:r>
      <w:r>
        <w:rPr>
          <w:b/>
          <w:bCs/>
        </w:rPr>
        <w:t xml:space="preserve"> Given the conflicting experts’ reports, Courts will uphold decisions of Boards. </w:t>
      </w:r>
    </w:p>
    <w:p w14:paraId="3ACD8101" w14:textId="77777777" w:rsidR="00663A6A" w:rsidRDefault="00663A6A" w:rsidP="00663A6A">
      <w:pPr>
        <w:pStyle w:val="NoSpacing"/>
        <w:rPr>
          <w:rFonts w:ascii="Arial Black" w:hAnsi="Arial Black"/>
          <w:sz w:val="24"/>
          <w:szCs w:val="24"/>
        </w:rPr>
      </w:pPr>
    </w:p>
    <w:p w14:paraId="7A4E4CD9" w14:textId="77777777" w:rsidR="00663A6A" w:rsidRDefault="00663A6A" w:rsidP="000C4DF5">
      <w:pPr>
        <w:pStyle w:val="NoSpacing"/>
        <w:rPr>
          <w:rFonts w:ascii="Arial Black" w:hAnsi="Arial Black"/>
          <w:sz w:val="24"/>
          <w:szCs w:val="24"/>
        </w:rPr>
      </w:pPr>
    </w:p>
    <w:p w14:paraId="375271BB" w14:textId="63F2F282" w:rsidR="000F18B0" w:rsidRDefault="001C563D" w:rsidP="000C4DF5">
      <w:pPr>
        <w:pStyle w:val="NoSpacing"/>
        <w:rPr>
          <w:rFonts w:ascii="Arial Black" w:hAnsi="Arial Black"/>
          <w:sz w:val="24"/>
          <w:szCs w:val="24"/>
        </w:rPr>
      </w:pPr>
      <w:r>
        <w:rPr>
          <w:rFonts w:ascii="Arial Black" w:hAnsi="Arial Black"/>
          <w:sz w:val="24"/>
          <w:szCs w:val="24"/>
        </w:rPr>
        <w:t>15-</w:t>
      </w:r>
      <w:r w:rsidR="001A653A">
        <w:rPr>
          <w:rFonts w:ascii="Arial Black" w:hAnsi="Arial Black"/>
          <w:sz w:val="24"/>
          <w:szCs w:val="24"/>
        </w:rPr>
        <w:t>9</w:t>
      </w:r>
    </w:p>
    <w:p w14:paraId="23FC37D0" w14:textId="1DF5E8CD" w:rsidR="001C563D" w:rsidRDefault="001C563D" w:rsidP="000C4DF5">
      <w:pPr>
        <w:pStyle w:val="NoSpacing"/>
        <w:rPr>
          <w:rFonts w:ascii="Arial Black" w:hAnsi="Arial Black"/>
          <w:sz w:val="24"/>
          <w:szCs w:val="24"/>
        </w:rPr>
      </w:pPr>
    </w:p>
    <w:p w14:paraId="50D0D24B" w14:textId="77777777" w:rsidR="001C563D" w:rsidRPr="00BF19C3" w:rsidRDefault="001C563D" w:rsidP="001C563D">
      <w:pPr>
        <w:pStyle w:val="NoSpacing"/>
        <w:rPr>
          <w:rFonts w:ascii="Arial Black" w:hAnsi="Arial Black"/>
          <w:sz w:val="28"/>
          <w:szCs w:val="28"/>
        </w:rPr>
      </w:pPr>
      <w:r w:rsidRPr="00BF19C3">
        <w:rPr>
          <w:rFonts w:ascii="Arial Black" w:hAnsi="Arial Black"/>
          <w:sz w:val="28"/>
          <w:szCs w:val="28"/>
        </w:rPr>
        <w:t xml:space="preserve">SC: </w:t>
      </w:r>
      <w:r>
        <w:rPr>
          <w:rFonts w:ascii="Arial Black" w:hAnsi="Arial Black"/>
          <w:sz w:val="28"/>
          <w:szCs w:val="28"/>
        </w:rPr>
        <w:t>PARAMEDIC ON BAD MVA RUN – PTSD / PANIC ATTACKS – TOLD HOSP. CAN NO LONGER DO JOB, TERMINATED</w:t>
      </w:r>
    </w:p>
    <w:p w14:paraId="264B2C36" w14:textId="77777777" w:rsidR="006E50D9" w:rsidRDefault="006E50D9" w:rsidP="001C563D">
      <w:pPr>
        <w:pStyle w:val="NoSpacing"/>
        <w:rPr>
          <w:rFonts w:ascii="Times New Roman" w:hAnsi="Times New Roman"/>
          <w:sz w:val="24"/>
          <w:szCs w:val="24"/>
        </w:rPr>
      </w:pPr>
    </w:p>
    <w:p w14:paraId="7DF0C9D3" w14:textId="36F313CB" w:rsidR="001C563D" w:rsidRDefault="001C563D" w:rsidP="001C563D">
      <w:pPr>
        <w:pStyle w:val="NoSpacing"/>
        <w:rPr>
          <w:rStyle w:val="Hyperlink"/>
          <w:rFonts w:ascii="Times New Roman" w:hAnsi="Times New Roman"/>
          <w:sz w:val="24"/>
          <w:szCs w:val="24"/>
        </w:rPr>
      </w:pPr>
      <w:r w:rsidRPr="00633872">
        <w:rPr>
          <w:rFonts w:ascii="Times New Roman" w:hAnsi="Times New Roman"/>
          <w:sz w:val="24"/>
          <w:szCs w:val="24"/>
        </w:rPr>
        <w:t xml:space="preserve">On </w:t>
      </w:r>
      <w:r>
        <w:rPr>
          <w:rFonts w:ascii="Times New Roman" w:hAnsi="Times New Roman"/>
          <w:sz w:val="24"/>
          <w:szCs w:val="24"/>
        </w:rPr>
        <w:t xml:space="preserve">June 25, 2020, in </w:t>
      </w:r>
      <w:r w:rsidRPr="00633872">
        <w:rPr>
          <w:rFonts w:ascii="Times New Roman" w:hAnsi="Times New Roman"/>
          <w:sz w:val="24"/>
          <w:szCs w:val="24"/>
          <w:u w:val="single"/>
        </w:rPr>
        <w:t>Stephen E. Sanders v. McLeod Health</w:t>
      </w:r>
      <w:r>
        <w:rPr>
          <w:rFonts w:ascii="Times New Roman" w:hAnsi="Times New Roman"/>
          <w:sz w:val="24"/>
          <w:szCs w:val="24"/>
          <w:u w:val="single"/>
        </w:rPr>
        <w:t xml:space="preserve"> </w:t>
      </w:r>
      <w:proofErr w:type="spellStart"/>
      <w:r w:rsidRPr="00633872">
        <w:rPr>
          <w:rFonts w:ascii="Times New Roman" w:hAnsi="Times New Roman"/>
          <w:sz w:val="24"/>
          <w:szCs w:val="24"/>
          <w:u w:val="single"/>
        </w:rPr>
        <w:t>Claredon</w:t>
      </w:r>
      <w:proofErr w:type="spellEnd"/>
      <w:r>
        <w:rPr>
          <w:rFonts w:ascii="Times New Roman" w:hAnsi="Times New Roman"/>
          <w:sz w:val="24"/>
          <w:szCs w:val="24"/>
        </w:rPr>
        <w:t>, U.S. District Court Judge David C. Norton, U.S. District Court of South Carolina, Charleston Division, granted the hospital’s motion for summary judgment; on A</w:t>
      </w:r>
      <w:r w:rsidRPr="001B71D1">
        <w:rPr>
          <w:rFonts w:ascii="Times New Roman" w:eastAsia="Times New Roman" w:hAnsi="Times New Roman"/>
          <w:sz w:val="24"/>
          <w:szCs w:val="24"/>
        </w:rPr>
        <w:t xml:space="preserve">ugust 10, 2017, </w:t>
      </w:r>
      <w:r>
        <w:rPr>
          <w:rFonts w:ascii="Times New Roman" w:eastAsia="Times New Roman" w:hAnsi="Times New Roman"/>
          <w:sz w:val="24"/>
          <w:szCs w:val="24"/>
        </w:rPr>
        <w:t xml:space="preserve">he responded MVA involving </w:t>
      </w:r>
      <w:r w:rsidRPr="001B71D1">
        <w:rPr>
          <w:rFonts w:ascii="Times New Roman" w:eastAsia="Times New Roman" w:hAnsi="Times New Roman"/>
          <w:sz w:val="24"/>
          <w:szCs w:val="24"/>
        </w:rPr>
        <w:t>logging truck and an SUV</w:t>
      </w:r>
      <w:r>
        <w:rPr>
          <w:rFonts w:ascii="Times New Roman" w:eastAsia="Times New Roman" w:hAnsi="Times New Roman"/>
          <w:sz w:val="24"/>
          <w:szCs w:val="24"/>
        </w:rPr>
        <w:t xml:space="preserve">, where SUV driver was trapped by logs and died. </w:t>
      </w:r>
      <w:r>
        <w:rPr>
          <w:rFonts w:ascii="Times New Roman" w:hAnsi="Times New Roman"/>
          <w:sz w:val="24"/>
          <w:szCs w:val="24"/>
        </w:rPr>
        <w:t>Court wrote: “</w:t>
      </w:r>
      <w:r>
        <w:rPr>
          <w:rFonts w:ascii="Times New Roman" w:eastAsia="Times New Roman" w:hAnsi="Times New Roman"/>
          <w:sz w:val="24"/>
          <w:szCs w:val="24"/>
        </w:rPr>
        <w:t xml:space="preserve">[T]here </w:t>
      </w:r>
      <w:r w:rsidRPr="00BF19C3">
        <w:rPr>
          <w:rFonts w:ascii="Times New Roman" w:eastAsia="Times New Roman" w:hAnsi="Times New Roman"/>
          <w:sz w:val="24"/>
          <w:szCs w:val="24"/>
        </w:rPr>
        <w:t xml:space="preserve">is evidence in the record that Sanders could not perform the essential functions of his job at the time of his August 18, </w:t>
      </w:r>
      <w:proofErr w:type="gramStart"/>
      <w:r w:rsidRPr="00BF19C3">
        <w:rPr>
          <w:rFonts w:ascii="Times New Roman" w:eastAsia="Times New Roman" w:hAnsi="Times New Roman"/>
          <w:sz w:val="24"/>
          <w:szCs w:val="24"/>
        </w:rPr>
        <w:t>2017</w:t>
      </w:r>
      <w:proofErr w:type="gramEnd"/>
      <w:r w:rsidRPr="00BF19C3">
        <w:rPr>
          <w:rFonts w:ascii="Times New Roman" w:eastAsia="Times New Roman" w:hAnsi="Times New Roman"/>
          <w:sz w:val="24"/>
          <w:szCs w:val="24"/>
        </w:rPr>
        <w:t xml:space="preserve"> discharge. Sanders testified in his deposition that shortly after the August 10th accident, he began experiencing </w:t>
      </w:r>
      <w:r>
        <w:rPr>
          <w:rFonts w:ascii="Times New Roman" w:eastAsia="Times New Roman" w:hAnsi="Times New Roman"/>
          <w:sz w:val="24"/>
          <w:szCs w:val="24"/>
        </w:rPr>
        <w:t>‘</w:t>
      </w:r>
      <w:r w:rsidRPr="00BF19C3">
        <w:rPr>
          <w:rFonts w:ascii="Times New Roman" w:eastAsia="Times New Roman" w:hAnsi="Times New Roman"/>
          <w:sz w:val="24"/>
          <w:szCs w:val="24"/>
        </w:rPr>
        <w:t>severe . . . emotional problems</w:t>
      </w:r>
      <w:r>
        <w:rPr>
          <w:rFonts w:ascii="Times New Roman" w:eastAsia="Times New Roman" w:hAnsi="Times New Roman"/>
          <w:sz w:val="24"/>
          <w:szCs w:val="24"/>
        </w:rPr>
        <w:t>’</w:t>
      </w:r>
      <w:r w:rsidRPr="00BF19C3">
        <w:rPr>
          <w:rFonts w:ascii="Times New Roman" w:eastAsia="Times New Roman" w:hAnsi="Times New Roman"/>
          <w:sz w:val="24"/>
          <w:szCs w:val="24"/>
        </w:rPr>
        <w:t>, including "anxiety, depression [and] panic attacks</w:t>
      </w:r>
      <w:r>
        <w:rPr>
          <w:rFonts w:ascii="Times New Roman" w:eastAsia="Times New Roman" w:hAnsi="Times New Roman"/>
          <w:sz w:val="24"/>
          <w:szCs w:val="24"/>
        </w:rPr>
        <w:t xml:space="preserve"> …. </w:t>
      </w:r>
      <w:r w:rsidRPr="00BF19C3">
        <w:rPr>
          <w:rFonts w:ascii="Times New Roman" w:eastAsia="Times New Roman" w:hAnsi="Times New Roman"/>
          <w:sz w:val="24"/>
          <w:szCs w:val="24"/>
        </w:rPr>
        <w:t xml:space="preserve">As a result, Sanders noted that he </w:t>
      </w:r>
      <w:r>
        <w:rPr>
          <w:rFonts w:ascii="Times New Roman" w:eastAsia="Times New Roman" w:hAnsi="Times New Roman"/>
          <w:sz w:val="24"/>
          <w:szCs w:val="24"/>
        </w:rPr>
        <w:t>‘</w:t>
      </w:r>
      <w:r w:rsidRPr="00BF19C3">
        <w:rPr>
          <w:rFonts w:ascii="Times New Roman" w:eastAsia="Times New Roman" w:hAnsi="Times New Roman"/>
          <w:sz w:val="24"/>
          <w:szCs w:val="24"/>
        </w:rPr>
        <w:t>couldn't stay around</w:t>
      </w:r>
      <w:r>
        <w:rPr>
          <w:rFonts w:ascii="Times New Roman" w:eastAsia="Times New Roman" w:hAnsi="Times New Roman"/>
          <w:sz w:val="24"/>
          <w:szCs w:val="24"/>
        </w:rPr>
        <w:t>’</w:t>
      </w:r>
      <w:r w:rsidRPr="00BF19C3">
        <w:rPr>
          <w:rFonts w:ascii="Times New Roman" w:eastAsia="Times New Roman" w:hAnsi="Times New Roman"/>
          <w:sz w:val="24"/>
          <w:szCs w:val="24"/>
        </w:rPr>
        <w:t xml:space="preserve"> his place of work</w:t>
      </w:r>
      <w:r>
        <w:rPr>
          <w:rFonts w:ascii="Times New Roman" w:eastAsia="Times New Roman" w:hAnsi="Times New Roman"/>
          <w:sz w:val="24"/>
          <w:szCs w:val="24"/>
        </w:rPr>
        <w:t>… A</w:t>
      </w:r>
      <w:r w:rsidRPr="008D16D6">
        <w:rPr>
          <w:rFonts w:ascii="Times New Roman" w:hAnsi="Times New Roman"/>
          <w:sz w:val="24"/>
          <w:szCs w:val="24"/>
        </w:rPr>
        <w:t>s the first element of a prima facie case of disability discrimination, Sanders must show that he was a qualified individual with a disability at the time of his firing. There is no dispute that Sanders suffered from PTSD, a disability under the ADA, at the time of his discharge. The court's inquiry thus focuses on whether Sanders was a "qualified individual." Under the ADA, "the term 'qualified individual' means an individual who, with or without reasonable accommodation, can perform the essential functions of the employment position that such individual holds or desires." 42 U.S.C. § 12111(8). The court agrees with the R&amp;R that summary judgment is warranted on this basis because there is no evidence in the record that Sanders could perform the essential functions of his job at the time of his firing.</w:t>
      </w:r>
      <w:r>
        <w:rPr>
          <w:rFonts w:ascii="Times New Roman" w:hAnsi="Times New Roman"/>
          <w:sz w:val="24"/>
          <w:szCs w:val="24"/>
        </w:rPr>
        <w:t xml:space="preserve"> </w:t>
      </w:r>
      <w:hyperlink r:id="rId2512" w:history="1">
        <w:r w:rsidRPr="006B0F65">
          <w:rPr>
            <w:rStyle w:val="Hyperlink"/>
            <w:rFonts w:ascii="Times New Roman" w:hAnsi="Times New Roman"/>
            <w:sz w:val="24"/>
            <w:szCs w:val="24"/>
          </w:rPr>
          <w:t>https://public.fastcase.com/Wl%2B2t%2BeVuI35%2FN70vAMFZkQk422sTW9%2BWIlpk%2BnE1B7e7DrNn16tDd9SfmLDmtL4</w:t>
        </w:r>
      </w:hyperlink>
    </w:p>
    <w:p w14:paraId="73C013E4" w14:textId="2AC80811" w:rsidR="001C563D" w:rsidRDefault="001C563D" w:rsidP="001C563D">
      <w:pPr>
        <w:pStyle w:val="NoSpacing"/>
        <w:rPr>
          <w:rStyle w:val="Hyperlink"/>
          <w:rFonts w:ascii="Times New Roman" w:hAnsi="Times New Roman"/>
          <w:sz w:val="24"/>
          <w:szCs w:val="24"/>
        </w:rPr>
      </w:pPr>
    </w:p>
    <w:p w14:paraId="73A3596F" w14:textId="77777777" w:rsidR="001C563D" w:rsidRDefault="001C563D" w:rsidP="001C563D">
      <w:pPr>
        <w:pStyle w:val="NoSpacing"/>
        <w:tabs>
          <w:tab w:val="left" w:pos="3040"/>
        </w:tabs>
        <w:rPr>
          <w:rFonts w:ascii="Times New Roman" w:hAnsi="Times New Roman"/>
          <w:b/>
          <w:bCs/>
          <w:sz w:val="24"/>
          <w:szCs w:val="24"/>
        </w:rPr>
      </w:pPr>
      <w:r w:rsidRPr="008D16D6">
        <w:rPr>
          <w:rFonts w:ascii="Times New Roman" w:hAnsi="Times New Roman"/>
          <w:b/>
          <w:bCs/>
          <w:sz w:val="24"/>
          <w:szCs w:val="24"/>
        </w:rPr>
        <w:t>Legal Lessons Learned</w:t>
      </w:r>
      <w:r>
        <w:rPr>
          <w:rFonts w:ascii="Times New Roman" w:hAnsi="Times New Roman"/>
          <w:b/>
          <w:bCs/>
          <w:sz w:val="24"/>
          <w:szCs w:val="24"/>
        </w:rPr>
        <w:t xml:space="preserve">:  If the paramedic had asked the hospital for a leave of absence or other reasonable accommodation, and the hospital refused, this lawsuit might not have been dismissed. </w:t>
      </w:r>
    </w:p>
    <w:p w14:paraId="56EA3FED" w14:textId="77777777" w:rsidR="001C563D" w:rsidRDefault="001C563D" w:rsidP="001C563D">
      <w:pPr>
        <w:pStyle w:val="NoSpacing"/>
        <w:rPr>
          <w:rFonts w:ascii="Arial Black" w:hAnsi="Arial Black"/>
          <w:sz w:val="24"/>
          <w:szCs w:val="24"/>
        </w:rPr>
      </w:pPr>
    </w:p>
    <w:p w14:paraId="4598F4E3" w14:textId="62952EA5" w:rsidR="001C563D" w:rsidRDefault="001A653A" w:rsidP="000C4DF5">
      <w:pPr>
        <w:pStyle w:val="NoSpacing"/>
        <w:rPr>
          <w:rFonts w:ascii="Arial Black" w:hAnsi="Arial Black"/>
          <w:sz w:val="24"/>
          <w:szCs w:val="24"/>
        </w:rPr>
      </w:pPr>
      <w:r>
        <w:rPr>
          <w:rFonts w:ascii="Arial Black" w:hAnsi="Arial Black"/>
          <w:sz w:val="24"/>
          <w:szCs w:val="24"/>
        </w:rPr>
        <w:t>15-8</w:t>
      </w:r>
    </w:p>
    <w:p w14:paraId="102B4DAE" w14:textId="684FC89A" w:rsidR="001A653A" w:rsidRDefault="001A653A" w:rsidP="000C4DF5">
      <w:pPr>
        <w:pStyle w:val="NoSpacing"/>
        <w:rPr>
          <w:rFonts w:ascii="Arial Black" w:hAnsi="Arial Black"/>
          <w:sz w:val="24"/>
          <w:szCs w:val="24"/>
        </w:rPr>
      </w:pPr>
    </w:p>
    <w:p w14:paraId="5402370D" w14:textId="77777777" w:rsidR="001A653A" w:rsidRPr="00B64EBC" w:rsidRDefault="001A653A" w:rsidP="001A653A">
      <w:pPr>
        <w:pStyle w:val="NoSpacing"/>
        <w:rPr>
          <w:rFonts w:ascii="Arial Black" w:hAnsi="Arial Black"/>
          <w:b/>
          <w:bCs/>
          <w:sz w:val="28"/>
          <w:szCs w:val="28"/>
        </w:rPr>
      </w:pPr>
      <w:bookmarkStart w:id="580" w:name="_Hlk66950286"/>
      <w:r w:rsidRPr="00B64EBC">
        <w:rPr>
          <w:rFonts w:ascii="Arial Black" w:hAnsi="Arial Black"/>
          <w:b/>
          <w:bCs/>
          <w:sz w:val="28"/>
          <w:szCs w:val="28"/>
        </w:rPr>
        <w:t>NJ:</w:t>
      </w:r>
      <w:r>
        <w:rPr>
          <w:rFonts w:ascii="Arial Black" w:hAnsi="Arial Black"/>
          <w:b/>
          <w:bCs/>
          <w:sz w:val="28"/>
          <w:szCs w:val="28"/>
        </w:rPr>
        <w:t xml:space="preserve">  FF FAILED PSYCHOLOGICAL EXAM FOR CAREER POSITION – FORMER MARINE – MEDICAL DISCHARGE WITH PTSD – APPEAL DENIED</w:t>
      </w:r>
    </w:p>
    <w:p w14:paraId="7406C22A" w14:textId="77777777" w:rsidR="001A653A" w:rsidRDefault="001A653A" w:rsidP="001A653A">
      <w:pPr>
        <w:pStyle w:val="NoSpacing"/>
        <w:rPr>
          <w:rFonts w:ascii="Times New Roman" w:hAnsi="Times New Roman"/>
          <w:sz w:val="24"/>
          <w:szCs w:val="24"/>
        </w:rPr>
      </w:pPr>
    </w:p>
    <w:p w14:paraId="4253BA4C" w14:textId="77777777" w:rsidR="001A653A" w:rsidRPr="00C32347" w:rsidRDefault="001A653A" w:rsidP="001A653A">
      <w:pPr>
        <w:pStyle w:val="NoSpacing"/>
        <w:rPr>
          <w:rFonts w:ascii="Times New Roman" w:eastAsia="Times New Roman" w:hAnsi="Times New Roman"/>
          <w:b/>
          <w:bCs/>
          <w:sz w:val="24"/>
          <w:szCs w:val="24"/>
        </w:rPr>
      </w:pPr>
      <w:r w:rsidRPr="00B64EBC">
        <w:rPr>
          <w:rFonts w:ascii="Times New Roman" w:hAnsi="Times New Roman"/>
          <w:sz w:val="24"/>
          <w:szCs w:val="24"/>
        </w:rPr>
        <w:t xml:space="preserve">On </w:t>
      </w:r>
      <w:r>
        <w:rPr>
          <w:rFonts w:ascii="Times New Roman" w:hAnsi="Times New Roman"/>
          <w:sz w:val="24"/>
          <w:szCs w:val="24"/>
        </w:rPr>
        <w:t xml:space="preserve">June 12, 2020, in </w:t>
      </w:r>
      <w:r w:rsidRPr="00B64EBC">
        <w:rPr>
          <w:rFonts w:ascii="Times New Roman" w:hAnsi="Times New Roman"/>
          <w:sz w:val="24"/>
          <w:szCs w:val="24"/>
          <w:u w:val="single"/>
        </w:rPr>
        <w:t>Frank Rivera v. Township of Cranford</w:t>
      </w:r>
      <w:r>
        <w:rPr>
          <w:rFonts w:ascii="Times New Roman" w:hAnsi="Times New Roman"/>
          <w:sz w:val="24"/>
          <w:szCs w:val="24"/>
        </w:rPr>
        <w:t>, the Superior Court of New Jersey, Appellate Division, held (unpublished opinion) that the jury’s decision in favor of the Township is affirmed. The Court wrote: “P</w:t>
      </w:r>
      <w:r w:rsidRPr="00C32347">
        <w:rPr>
          <w:rFonts w:ascii="Times New Roman" w:hAnsi="Times New Roman"/>
          <w:sz w:val="24"/>
          <w:szCs w:val="24"/>
        </w:rPr>
        <w:t>laintiff's</w:t>
      </w:r>
      <w:r>
        <w:rPr>
          <w:rFonts w:ascii="Times New Roman" w:hAnsi="Times New Roman"/>
          <w:sz w:val="24"/>
          <w:szCs w:val="24"/>
        </w:rPr>
        <w:t xml:space="preserve"> </w:t>
      </w:r>
      <w:r w:rsidRPr="00C32347">
        <w:rPr>
          <w:rFonts w:ascii="Times New Roman" w:hAnsi="Times New Roman"/>
          <w:sz w:val="24"/>
          <w:szCs w:val="24"/>
        </w:rPr>
        <w:t>superiors</w:t>
      </w:r>
      <w:r>
        <w:rPr>
          <w:rFonts w:ascii="Times New Roman" w:hAnsi="Times New Roman"/>
          <w:sz w:val="24"/>
          <w:szCs w:val="24"/>
        </w:rPr>
        <w:t xml:space="preserve"> </w:t>
      </w:r>
      <w:r w:rsidRPr="00C32347">
        <w:rPr>
          <w:rFonts w:ascii="Times New Roman" w:hAnsi="Times New Roman"/>
          <w:sz w:val="24"/>
          <w:szCs w:val="24"/>
        </w:rPr>
        <w:t>denied ever hearing about any issues stemming from plaintiff's military service or any medical diagnoses or treatment.</w:t>
      </w:r>
      <w:r>
        <w:rPr>
          <w:rFonts w:ascii="Times New Roman" w:hAnsi="Times New Roman"/>
          <w:sz w:val="24"/>
          <w:szCs w:val="24"/>
        </w:rPr>
        <w:t xml:space="preserve"> </w:t>
      </w:r>
      <w:r w:rsidRPr="00C32347">
        <w:rPr>
          <w:rFonts w:ascii="Times New Roman" w:hAnsi="Times New Roman"/>
          <w:sz w:val="24"/>
          <w:szCs w:val="24"/>
        </w:rPr>
        <w:t>There is no evidence to support the conclusion that the persons responsible for deciding whether to appoint plaintiff as a career firefighter–Dolan and the Township Committee–had either engaged in making or had heard the negative comments</w:t>
      </w:r>
      <w:r>
        <w:rPr>
          <w:rFonts w:ascii="Times New Roman" w:hAnsi="Times New Roman"/>
          <w:sz w:val="24"/>
          <w:szCs w:val="24"/>
        </w:rPr>
        <w:t xml:space="preserve">.”  </w:t>
      </w:r>
      <w:hyperlink r:id="rId2513" w:history="1">
        <w:r w:rsidRPr="00F9258E">
          <w:rPr>
            <w:rStyle w:val="Hyperlink"/>
            <w:rFonts w:ascii="Times New Roman" w:hAnsi="Times New Roman"/>
            <w:sz w:val="24"/>
            <w:szCs w:val="24"/>
          </w:rPr>
          <w:t>https://images.law.com/contrib/content/uploads/documents/399/44956/psych.pdf</w:t>
        </w:r>
      </w:hyperlink>
      <w:r>
        <w:rPr>
          <w:rFonts w:ascii="Times New Roman" w:hAnsi="Times New Roman"/>
          <w:sz w:val="24"/>
          <w:szCs w:val="24"/>
        </w:rPr>
        <w:t xml:space="preserve"> </w:t>
      </w:r>
    </w:p>
    <w:p w14:paraId="57CFA538" w14:textId="0BC8A4DB" w:rsidR="001A653A" w:rsidRDefault="001A653A" w:rsidP="000C4DF5">
      <w:pPr>
        <w:pStyle w:val="NoSpacing"/>
        <w:rPr>
          <w:rFonts w:ascii="Arial Black" w:hAnsi="Arial Black"/>
          <w:sz w:val="24"/>
          <w:szCs w:val="24"/>
        </w:rPr>
      </w:pPr>
    </w:p>
    <w:p w14:paraId="7AA1980D" w14:textId="77777777" w:rsidR="001A653A" w:rsidRDefault="001A653A" w:rsidP="001A653A">
      <w:pPr>
        <w:pStyle w:val="NoSpacing"/>
        <w:rPr>
          <w:rFonts w:ascii="Times New Roman" w:hAnsi="Times New Roman"/>
          <w:b/>
          <w:bCs/>
          <w:sz w:val="24"/>
          <w:szCs w:val="24"/>
        </w:rPr>
      </w:pPr>
      <w:r w:rsidRPr="00EA7DA2">
        <w:rPr>
          <w:rFonts w:ascii="Times New Roman" w:hAnsi="Times New Roman"/>
          <w:b/>
          <w:bCs/>
          <w:sz w:val="24"/>
          <w:szCs w:val="24"/>
        </w:rPr>
        <w:t xml:space="preserve">Legal Lessons Learned: </w:t>
      </w:r>
      <w:r>
        <w:rPr>
          <w:rFonts w:ascii="Times New Roman" w:hAnsi="Times New Roman"/>
          <w:b/>
          <w:bCs/>
          <w:sz w:val="24"/>
          <w:szCs w:val="24"/>
        </w:rPr>
        <w:t>PTSD is a difficult burden.  Question: Would you allow the firefighter in this case to later take another psychological exam?</w:t>
      </w:r>
    </w:p>
    <w:p w14:paraId="24531546" w14:textId="77777777" w:rsidR="001A653A" w:rsidRDefault="001A653A" w:rsidP="001A653A">
      <w:pPr>
        <w:pStyle w:val="NoSpacing"/>
        <w:rPr>
          <w:rFonts w:ascii="Times New Roman" w:hAnsi="Times New Roman"/>
          <w:b/>
          <w:bCs/>
          <w:sz w:val="24"/>
          <w:szCs w:val="24"/>
        </w:rPr>
      </w:pPr>
    </w:p>
    <w:p w14:paraId="2263DD4C" w14:textId="77777777" w:rsidR="001A653A" w:rsidRPr="00EA7DA2" w:rsidRDefault="001A653A" w:rsidP="001A653A">
      <w:pPr>
        <w:pStyle w:val="NoSpacing"/>
        <w:ind w:left="720"/>
        <w:rPr>
          <w:rFonts w:ascii="Times New Roman" w:hAnsi="Times New Roman"/>
          <w:sz w:val="24"/>
          <w:szCs w:val="24"/>
        </w:rPr>
      </w:pPr>
      <w:r w:rsidRPr="00EA7DA2">
        <w:rPr>
          <w:rFonts w:ascii="Times New Roman" w:hAnsi="Times New Roman"/>
          <w:sz w:val="24"/>
          <w:szCs w:val="24"/>
        </w:rPr>
        <w:t xml:space="preserve">Note: </w:t>
      </w:r>
      <w:r>
        <w:rPr>
          <w:rFonts w:ascii="Times New Roman" w:hAnsi="Times New Roman"/>
          <w:sz w:val="24"/>
          <w:szCs w:val="24"/>
        </w:rPr>
        <w:t xml:space="preserve">See this article: </w:t>
      </w:r>
      <w:r w:rsidRPr="00EA7DA2">
        <w:rPr>
          <w:rFonts w:ascii="Times New Roman" w:hAnsi="Times New Roman"/>
          <w:sz w:val="24"/>
          <w:szCs w:val="24"/>
          <w:u w:val="single"/>
        </w:rPr>
        <w:t>Tips on how to pass your Firefighter Psychological Test</w:t>
      </w:r>
      <w:r w:rsidRPr="00EA7DA2">
        <w:rPr>
          <w:rFonts w:ascii="Times New Roman" w:hAnsi="Times New Roman"/>
          <w:sz w:val="24"/>
          <w:szCs w:val="24"/>
        </w:rPr>
        <w:t xml:space="preserve"> (June 24, 2019):</w:t>
      </w:r>
      <w:r>
        <w:rPr>
          <w:rFonts w:ascii="Times New Roman" w:hAnsi="Times New Roman"/>
          <w:sz w:val="24"/>
          <w:szCs w:val="24"/>
        </w:rPr>
        <w:t xml:space="preserve"> </w:t>
      </w:r>
      <w:r w:rsidRPr="00EA7DA2">
        <w:rPr>
          <w:rFonts w:ascii="Times New Roman" w:hAnsi="Times New Roman"/>
          <w:sz w:val="24"/>
          <w:szCs w:val="24"/>
        </w:rPr>
        <w:t xml:space="preserve">First, consider answering the questions briefly and honestly with the best of your ability. Secondly, before you answer any questions from the interviewer, take time to think and come up with the correct answer. Thirdly, don’t rush with your answers, be calm consider the questions for some time, take a deep breath and offer your solutions. </w:t>
      </w:r>
      <w:hyperlink r:id="rId2514" w:history="1">
        <w:r w:rsidRPr="00EA7DA2">
          <w:rPr>
            <w:rStyle w:val="Hyperlink"/>
            <w:rFonts w:ascii="Times New Roman" w:hAnsi="Times New Roman"/>
            <w:sz w:val="24"/>
            <w:szCs w:val="24"/>
          </w:rPr>
          <w:t>http://www.firefighters-exam.com/2019/06/24/tips-on-how-to-pass-your-firefighter-psychological-test/</w:t>
        </w:r>
      </w:hyperlink>
      <w:r w:rsidRPr="00EA7DA2">
        <w:rPr>
          <w:rFonts w:ascii="Times New Roman" w:hAnsi="Times New Roman"/>
          <w:sz w:val="24"/>
          <w:szCs w:val="24"/>
        </w:rPr>
        <w:t xml:space="preserve"> </w:t>
      </w:r>
    </w:p>
    <w:bookmarkEnd w:id="580"/>
    <w:p w14:paraId="6C2D6F4B" w14:textId="77777777" w:rsidR="001A653A" w:rsidRDefault="001A653A" w:rsidP="001A653A">
      <w:pPr>
        <w:pStyle w:val="NoSpacing"/>
        <w:rPr>
          <w:rFonts w:ascii="Times New Roman" w:hAnsi="Times New Roman"/>
          <w:sz w:val="24"/>
          <w:szCs w:val="24"/>
        </w:rPr>
      </w:pPr>
    </w:p>
    <w:p w14:paraId="2B691D9B" w14:textId="77777777" w:rsidR="001A653A" w:rsidRDefault="001A653A" w:rsidP="000C4DF5">
      <w:pPr>
        <w:pStyle w:val="NoSpacing"/>
        <w:rPr>
          <w:rFonts w:ascii="Arial Black" w:hAnsi="Arial Black"/>
          <w:sz w:val="24"/>
          <w:szCs w:val="24"/>
        </w:rPr>
      </w:pPr>
    </w:p>
    <w:p w14:paraId="0FC9FF6E" w14:textId="77777777" w:rsidR="001C563D" w:rsidRDefault="001C563D" w:rsidP="000C4DF5">
      <w:pPr>
        <w:pStyle w:val="NoSpacing"/>
        <w:rPr>
          <w:rFonts w:ascii="Arial Black" w:hAnsi="Arial Black"/>
          <w:sz w:val="24"/>
          <w:szCs w:val="24"/>
        </w:rPr>
      </w:pPr>
    </w:p>
    <w:p w14:paraId="05856C7B" w14:textId="17F792DE" w:rsidR="00FA7B26" w:rsidRDefault="00FA7B26" w:rsidP="000C4DF5">
      <w:pPr>
        <w:pStyle w:val="NoSpacing"/>
        <w:rPr>
          <w:rFonts w:ascii="Arial Black" w:hAnsi="Arial Black"/>
          <w:sz w:val="24"/>
          <w:szCs w:val="24"/>
        </w:rPr>
      </w:pPr>
      <w:r>
        <w:rPr>
          <w:rFonts w:ascii="Arial Black" w:hAnsi="Arial Black"/>
          <w:sz w:val="24"/>
          <w:szCs w:val="24"/>
        </w:rPr>
        <w:t>15-7</w:t>
      </w:r>
    </w:p>
    <w:p w14:paraId="5321AC53" w14:textId="77777777" w:rsidR="00FA7B26" w:rsidRDefault="00FA7B26" w:rsidP="00FA7B26">
      <w:pPr>
        <w:spacing w:before="100" w:beforeAutospacing="1" w:after="100" w:afterAutospacing="1" w:line="240" w:lineRule="auto"/>
        <w:jc w:val="both"/>
        <w:rPr>
          <w:rFonts w:ascii="Arial Black" w:eastAsia="Times New Roman" w:hAnsi="Arial Black"/>
          <w:b/>
          <w:bCs/>
          <w:sz w:val="28"/>
          <w:szCs w:val="28"/>
        </w:rPr>
      </w:pPr>
      <w:r w:rsidRPr="00EF0D90">
        <w:rPr>
          <w:rFonts w:ascii="Arial Black" w:eastAsia="Times New Roman" w:hAnsi="Arial Black"/>
          <w:b/>
          <w:bCs/>
          <w:sz w:val="28"/>
          <w:szCs w:val="28"/>
        </w:rPr>
        <w:t xml:space="preserve">NY: </w:t>
      </w:r>
      <w:r>
        <w:rPr>
          <w:rFonts w:ascii="Arial Black" w:eastAsia="Times New Roman" w:hAnsi="Arial Black"/>
          <w:b/>
          <w:bCs/>
          <w:sz w:val="28"/>
          <w:szCs w:val="28"/>
        </w:rPr>
        <w:t>FORMER FDNY EMT WITH PTSD – U.S. SOCIAL SECURITY DENIED BECAUSE SHE CAN PERFORM OTHER JOBS – COURT ORDERS SOCIAL SECURITY TO MAKE FUTHER REVIEW</w:t>
      </w:r>
    </w:p>
    <w:p w14:paraId="7D0C1229" w14:textId="195A357B" w:rsidR="00FA7B26" w:rsidRDefault="00FA7B26" w:rsidP="00FA7B26">
      <w:pPr>
        <w:pStyle w:val="NoSpacing"/>
        <w:rPr>
          <w:rStyle w:val="Hyperlink"/>
          <w:sz w:val="24"/>
          <w:szCs w:val="24"/>
        </w:rPr>
      </w:pPr>
      <w:r w:rsidRPr="002C5236">
        <w:rPr>
          <w:rFonts w:ascii="Times New Roman" w:eastAsia="Times New Roman" w:hAnsi="Times New Roman"/>
          <w:sz w:val="24"/>
          <w:szCs w:val="24"/>
        </w:rPr>
        <w:t xml:space="preserve">On May 18, 2020, in </w:t>
      </w:r>
      <w:r w:rsidRPr="002C5236">
        <w:rPr>
          <w:rFonts w:ascii="Times New Roman" w:eastAsia="Times New Roman" w:hAnsi="Times New Roman"/>
          <w:sz w:val="24"/>
          <w:szCs w:val="24"/>
          <w:u w:val="single"/>
        </w:rPr>
        <w:t xml:space="preserve">Eileen </w:t>
      </w:r>
      <w:proofErr w:type="spellStart"/>
      <w:r w:rsidRPr="002C5236">
        <w:rPr>
          <w:rFonts w:ascii="Times New Roman" w:eastAsia="Times New Roman" w:hAnsi="Times New Roman"/>
          <w:sz w:val="24"/>
          <w:szCs w:val="24"/>
          <w:u w:val="single"/>
        </w:rPr>
        <w:t>Dechberry</w:t>
      </w:r>
      <w:proofErr w:type="spellEnd"/>
      <w:r w:rsidRPr="002C5236">
        <w:rPr>
          <w:rFonts w:ascii="Times New Roman" w:eastAsia="Times New Roman" w:hAnsi="Times New Roman"/>
          <w:sz w:val="24"/>
          <w:szCs w:val="24"/>
          <w:u w:val="single"/>
        </w:rPr>
        <w:t xml:space="preserve"> v. Nancy A. Berryhill, Acting Commissioner of Social Security</w:t>
      </w:r>
      <w:r>
        <w:rPr>
          <w:rFonts w:ascii="Times New Roman" w:eastAsia="Times New Roman" w:hAnsi="Times New Roman"/>
          <w:sz w:val="24"/>
          <w:szCs w:val="24"/>
        </w:rPr>
        <w:t xml:space="preserve">, Chief U.S. District Court Judge Roslynn R. Mauskopf, Eastern District of New York (Brooklyn) granted the EMT’s motion to remand to Social Security for further review. </w:t>
      </w:r>
      <w:hyperlink r:id="rId2515" w:history="1">
        <w:r w:rsidRPr="00502F08">
          <w:rPr>
            <w:rStyle w:val="Hyperlink"/>
            <w:sz w:val="24"/>
            <w:szCs w:val="24"/>
          </w:rPr>
          <w:t>https://public.fastcase.com/Wl%2B2t%2BeVuI35%2FN70vAMFZhAr68AdbratCNmy2dcHSKg4lqOPhLPvbyL5oFysv%2FPr</w:t>
        </w:r>
      </w:hyperlink>
    </w:p>
    <w:p w14:paraId="375C20C4" w14:textId="77777777" w:rsidR="00FA7B26" w:rsidRPr="002C5236" w:rsidRDefault="00FA7B26" w:rsidP="00FA7B26">
      <w:pPr>
        <w:spacing w:before="100" w:beforeAutospacing="1" w:after="100" w:afterAutospacing="1" w:line="240" w:lineRule="auto"/>
        <w:rPr>
          <w:rFonts w:ascii="Times New Roman" w:eastAsia="Times New Roman" w:hAnsi="Times New Roman"/>
          <w:b/>
          <w:bCs/>
          <w:sz w:val="24"/>
          <w:szCs w:val="24"/>
        </w:rPr>
      </w:pPr>
      <w:r w:rsidRPr="00EA4371">
        <w:rPr>
          <w:rFonts w:ascii="Times New Roman" w:eastAsia="Times New Roman" w:hAnsi="Times New Roman"/>
          <w:b/>
          <w:bCs/>
          <w:sz w:val="24"/>
          <w:szCs w:val="24"/>
        </w:rPr>
        <w:t xml:space="preserve">Legal Lessons Learned: Mental health for emergency responders is thankfully now an item of great attention in </w:t>
      </w:r>
      <w:proofErr w:type="gramStart"/>
      <w:r w:rsidRPr="00EA4371">
        <w:rPr>
          <w:rFonts w:ascii="Times New Roman" w:eastAsia="Times New Roman" w:hAnsi="Times New Roman"/>
          <w:b/>
          <w:bCs/>
          <w:sz w:val="24"/>
          <w:szCs w:val="24"/>
        </w:rPr>
        <w:t>the Fire</w:t>
      </w:r>
      <w:proofErr w:type="gramEnd"/>
      <w:r w:rsidRPr="00EA4371">
        <w:rPr>
          <w:rFonts w:ascii="Times New Roman" w:eastAsia="Times New Roman" w:hAnsi="Times New Roman"/>
          <w:b/>
          <w:bCs/>
          <w:sz w:val="24"/>
          <w:szCs w:val="24"/>
        </w:rPr>
        <w:t xml:space="preserve">, EMS and Law Enforcement, including Peer Support Teams. </w:t>
      </w:r>
    </w:p>
    <w:p w14:paraId="74AD4C7C" w14:textId="77777777" w:rsidR="00FA7B26" w:rsidRDefault="00FA7B26" w:rsidP="00FA7B26">
      <w:pPr>
        <w:pStyle w:val="NoSpacing"/>
        <w:rPr>
          <w:rFonts w:ascii="Arial Black" w:hAnsi="Arial Black"/>
          <w:sz w:val="24"/>
          <w:szCs w:val="24"/>
        </w:rPr>
      </w:pPr>
    </w:p>
    <w:p w14:paraId="572BB697" w14:textId="77777777" w:rsidR="00FA7B26" w:rsidRDefault="00FA7B26" w:rsidP="000C4DF5">
      <w:pPr>
        <w:pStyle w:val="NoSpacing"/>
        <w:rPr>
          <w:rFonts w:ascii="Arial Black" w:hAnsi="Arial Black"/>
          <w:sz w:val="24"/>
          <w:szCs w:val="24"/>
        </w:rPr>
      </w:pPr>
    </w:p>
    <w:p w14:paraId="3E8B772B" w14:textId="77777777" w:rsidR="00FA7B26" w:rsidRDefault="00FA7B26" w:rsidP="000C4DF5">
      <w:pPr>
        <w:pStyle w:val="NoSpacing"/>
        <w:rPr>
          <w:rFonts w:ascii="Arial Black" w:hAnsi="Arial Black"/>
          <w:sz w:val="24"/>
          <w:szCs w:val="24"/>
        </w:rPr>
      </w:pPr>
    </w:p>
    <w:p w14:paraId="610B8C77" w14:textId="4308AAC1" w:rsidR="00366CDD" w:rsidRPr="00D8433A" w:rsidRDefault="00366CDD" w:rsidP="000C4DF5">
      <w:pPr>
        <w:pStyle w:val="NoSpacing"/>
        <w:rPr>
          <w:rFonts w:ascii="Times New Roman" w:hAnsi="Times New Roman"/>
          <w:sz w:val="24"/>
          <w:szCs w:val="24"/>
        </w:rPr>
      </w:pPr>
      <w:r>
        <w:rPr>
          <w:rFonts w:ascii="Arial Black" w:hAnsi="Arial Black"/>
          <w:sz w:val="24"/>
          <w:szCs w:val="24"/>
        </w:rPr>
        <w:t>15-</w:t>
      </w:r>
      <w:r w:rsidR="000F18B0">
        <w:rPr>
          <w:rFonts w:ascii="Arial Black" w:hAnsi="Arial Black"/>
          <w:sz w:val="24"/>
          <w:szCs w:val="24"/>
        </w:rPr>
        <w:t>6</w:t>
      </w:r>
      <w:r>
        <w:rPr>
          <w:rFonts w:ascii="Arial Black" w:hAnsi="Arial Black"/>
          <w:sz w:val="24"/>
          <w:szCs w:val="24"/>
        </w:rPr>
        <w:t xml:space="preserve"> </w:t>
      </w:r>
      <w:r w:rsidRPr="00D8433A">
        <w:rPr>
          <w:rFonts w:ascii="Times New Roman" w:hAnsi="Times New Roman"/>
          <w:sz w:val="24"/>
          <w:szCs w:val="24"/>
        </w:rPr>
        <w:t>[Also filed, Chap. 9 &amp; Chap. 10]</w:t>
      </w:r>
    </w:p>
    <w:p w14:paraId="60B2594B" w14:textId="77777777" w:rsidR="00366CDD" w:rsidRPr="00A670C3" w:rsidRDefault="00366CDD" w:rsidP="00366CDD">
      <w:pPr>
        <w:spacing w:before="100" w:beforeAutospacing="1" w:after="100" w:afterAutospacing="1" w:line="240" w:lineRule="auto"/>
        <w:rPr>
          <w:rFonts w:ascii="Arial Black" w:eastAsia="Times New Roman" w:hAnsi="Arial Black"/>
          <w:sz w:val="28"/>
          <w:szCs w:val="28"/>
        </w:rPr>
      </w:pPr>
      <w:r w:rsidRPr="00A670C3">
        <w:rPr>
          <w:rFonts w:ascii="Arial Black" w:eastAsia="Times New Roman" w:hAnsi="Arial Black"/>
          <w:sz w:val="28"/>
          <w:szCs w:val="28"/>
        </w:rPr>
        <w:t xml:space="preserve">PA: </w:t>
      </w:r>
      <w:r>
        <w:rPr>
          <w:rFonts w:ascii="Arial Black" w:eastAsia="Times New Roman" w:hAnsi="Arial Black"/>
          <w:sz w:val="28"/>
          <w:szCs w:val="28"/>
        </w:rPr>
        <w:t>FF PANIC ATTACK ON DUTY – PTSD, MEDICATION – NO LONGER QUALIFIED AS FF – TERMINATION NOT VIOL. ADA</w:t>
      </w:r>
    </w:p>
    <w:p w14:paraId="35186AF6" w14:textId="77777777" w:rsidR="00366CDD" w:rsidRPr="008561E5" w:rsidRDefault="00366CDD" w:rsidP="00366CDD">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On April 17, 2020, in </w:t>
      </w:r>
      <w:r w:rsidRPr="008561E5">
        <w:rPr>
          <w:rFonts w:ascii="Times New Roman" w:eastAsia="Times New Roman" w:hAnsi="Times New Roman"/>
          <w:sz w:val="24"/>
          <w:szCs w:val="24"/>
          <w:u w:val="single"/>
        </w:rPr>
        <w:t xml:space="preserve">Robert Carpenter v. York Area United Fire </w:t>
      </w:r>
      <w:proofErr w:type="gramStart"/>
      <w:r w:rsidRPr="008561E5">
        <w:rPr>
          <w:rFonts w:ascii="Times New Roman" w:eastAsia="Times New Roman" w:hAnsi="Times New Roman"/>
          <w:sz w:val="24"/>
          <w:szCs w:val="24"/>
          <w:u w:val="single"/>
        </w:rPr>
        <w:t>And</w:t>
      </w:r>
      <w:proofErr w:type="gramEnd"/>
      <w:r w:rsidRPr="008561E5">
        <w:rPr>
          <w:rFonts w:ascii="Times New Roman" w:eastAsia="Times New Roman" w:hAnsi="Times New Roman"/>
          <w:sz w:val="24"/>
          <w:szCs w:val="24"/>
          <w:u w:val="single"/>
        </w:rPr>
        <w:t xml:space="preserve"> Rescue</w:t>
      </w:r>
      <w:r>
        <w:rPr>
          <w:rFonts w:ascii="Times New Roman" w:eastAsia="Times New Roman" w:hAnsi="Times New Roman"/>
          <w:sz w:val="24"/>
          <w:szCs w:val="24"/>
        </w:rPr>
        <w:t>, U.S. District Court Judge Christopher C. Conner, Chief Judge, Middle District of Pennsylvania, granted the FD’s motion for summary judgment.  The Court held that the firefighter was not a “</w:t>
      </w:r>
      <w:r w:rsidRPr="00A670C3">
        <w:rPr>
          <w:rFonts w:ascii="Times New Roman" w:eastAsia="Times New Roman" w:hAnsi="Times New Roman"/>
          <w:sz w:val="24"/>
          <w:szCs w:val="24"/>
        </w:rPr>
        <w:t>qualified individual for ADA purposes because he could not perform the essential functions of his job with or without reasonable accommodation</w:t>
      </w:r>
      <w:r>
        <w:rPr>
          <w:rFonts w:ascii="Times New Roman" w:eastAsia="Times New Roman" w:hAnsi="Times New Roman"/>
          <w:sz w:val="24"/>
          <w:szCs w:val="24"/>
        </w:rPr>
        <w:t>,” and indefinite leave of absence was not a reasonable accommodation; “</w:t>
      </w:r>
      <w:r w:rsidRPr="008561E5">
        <w:rPr>
          <w:rFonts w:ascii="Times New Roman" w:hAnsi="Times New Roman"/>
          <w:sz w:val="24"/>
          <w:szCs w:val="24"/>
        </w:rPr>
        <w:t xml:space="preserve">there must be some expectation that the employee could perform his essential job functions in the </w:t>
      </w:r>
      <w:r>
        <w:rPr>
          <w:rFonts w:ascii="Times New Roman" w:hAnsi="Times New Roman"/>
          <w:sz w:val="24"/>
          <w:szCs w:val="24"/>
        </w:rPr>
        <w:t>‘</w:t>
      </w:r>
      <w:r w:rsidRPr="008561E5">
        <w:rPr>
          <w:rFonts w:ascii="Times New Roman" w:hAnsi="Times New Roman"/>
          <w:sz w:val="24"/>
          <w:szCs w:val="24"/>
        </w:rPr>
        <w:t>near future</w:t>
      </w:r>
      <w:r>
        <w:rPr>
          <w:rFonts w:ascii="Times New Roman" w:hAnsi="Times New Roman"/>
          <w:sz w:val="24"/>
          <w:szCs w:val="24"/>
        </w:rPr>
        <w:t>’</w:t>
      </w:r>
      <w:r w:rsidRPr="008561E5">
        <w:rPr>
          <w:rFonts w:ascii="Times New Roman" w:hAnsi="Times New Roman"/>
          <w:sz w:val="24"/>
          <w:szCs w:val="24"/>
        </w:rPr>
        <w:t xml:space="preserve"> following the requested leave.</w:t>
      </w:r>
      <w:r>
        <w:rPr>
          <w:rFonts w:ascii="Times New Roman" w:hAnsi="Times New Roman"/>
          <w:sz w:val="24"/>
          <w:szCs w:val="24"/>
        </w:rPr>
        <w:t xml:space="preserve">   </w:t>
      </w:r>
    </w:p>
    <w:p w14:paraId="04CC3B9C" w14:textId="77777777" w:rsidR="00366CDD" w:rsidRDefault="00366CDD" w:rsidP="00366CDD">
      <w:pPr>
        <w:pStyle w:val="NormalWeb"/>
        <w:ind w:left="720"/>
      </w:pPr>
      <w:r>
        <w:t xml:space="preserve">“[Fire Department] </w:t>
      </w:r>
      <w:r w:rsidRPr="00A670C3">
        <w:t>argues that Carpenter is not a qualified individual for ADA purposes because he could not perform the essential functions of his job with or without reasonable accommodation. We agree.</w:t>
      </w:r>
      <w:r>
        <w:t xml:space="preserve">” </w:t>
      </w:r>
      <w:hyperlink r:id="rId2516" w:history="1">
        <w:r w:rsidRPr="00377614">
          <w:rPr>
            <w:rStyle w:val="Hyperlink"/>
          </w:rPr>
          <w:t>https://public.fastcase.com/Wl%2B2t%2BeVuI35%2FN70vAMFZkkc03nKI8qkpSJ%2FzmzLggswfoR1RvbDETmM60pPGUhc</w:t>
        </w:r>
      </w:hyperlink>
      <w:r>
        <w:t xml:space="preserve"> </w:t>
      </w:r>
    </w:p>
    <w:p w14:paraId="2A1773CA" w14:textId="77777777" w:rsidR="00366CDD" w:rsidRPr="00DE2E06" w:rsidRDefault="00366CDD" w:rsidP="00366CDD">
      <w:pPr>
        <w:rPr>
          <w:rFonts w:ascii="Times New Roman" w:hAnsi="Times New Roman"/>
          <w:b/>
          <w:bCs/>
          <w:sz w:val="24"/>
          <w:szCs w:val="24"/>
        </w:rPr>
      </w:pPr>
      <w:r w:rsidRPr="00DE2E06">
        <w:rPr>
          <w:rFonts w:ascii="Times New Roman" w:hAnsi="Times New Roman"/>
          <w:b/>
          <w:bCs/>
          <w:sz w:val="24"/>
          <w:szCs w:val="24"/>
        </w:rPr>
        <w:t>Legal Lessons Learned:  FF on leave and undergoing treatment, who desires to get back to the job, needs to stay in communication with FD.</w:t>
      </w:r>
      <w:r>
        <w:rPr>
          <w:rFonts w:ascii="Times New Roman" w:hAnsi="Times New Roman"/>
          <w:b/>
          <w:bCs/>
          <w:sz w:val="24"/>
          <w:szCs w:val="24"/>
        </w:rPr>
        <w:t xml:space="preserve">   FMLA also addressed (see below).</w:t>
      </w:r>
    </w:p>
    <w:p w14:paraId="60C1D4FD" w14:textId="77777777" w:rsidR="00366CDD" w:rsidRPr="00063DF6" w:rsidRDefault="00366CDD" w:rsidP="00366CDD">
      <w:pPr>
        <w:pStyle w:val="NormalWeb"/>
        <w:ind w:left="720"/>
        <w:rPr>
          <w:b/>
          <w:bCs/>
        </w:rPr>
      </w:pPr>
      <w:r w:rsidRPr="00063DF6">
        <w:lastRenderedPageBreak/>
        <w:t xml:space="preserve">Note:  </w:t>
      </w:r>
      <w:r>
        <w:t xml:space="preserve">Court also held that the FF was not </w:t>
      </w:r>
      <w:proofErr w:type="gramStart"/>
      <w:r>
        <w:t>entitle</w:t>
      </w:r>
      <w:proofErr w:type="gramEnd"/>
      <w:r>
        <w:t xml:space="preserve"> the FMLA leave. </w:t>
      </w:r>
      <w:r>
        <w:rPr>
          <w:bCs/>
        </w:rPr>
        <w:t>“</w:t>
      </w:r>
      <w:r w:rsidRPr="00A670C3">
        <w:rPr>
          <w:bCs/>
        </w:rPr>
        <w:t>In a letter dated October 11, 2017, YAUFR denied Carpenter's FMLA leave request</w:t>
      </w:r>
      <w:r>
        <w:rPr>
          <w:bCs/>
        </w:rPr>
        <w:t xml:space="preserve">…. </w:t>
      </w:r>
      <w:r w:rsidRPr="00A670C3">
        <w:rPr>
          <w:bCs/>
        </w:rPr>
        <w:t xml:space="preserve"> </w:t>
      </w:r>
      <w:r>
        <w:rPr>
          <w:bCs/>
        </w:rPr>
        <w:tab/>
      </w:r>
      <w:r w:rsidRPr="00A670C3">
        <w:rPr>
          <w:bCs/>
        </w:rPr>
        <w:t xml:space="preserve"> YAUFR explained that, although it was a covered employer under the FMLA, it did not employ the requisite number of people for Carpenter to be considered an </w:t>
      </w:r>
      <w:r>
        <w:rPr>
          <w:bCs/>
        </w:rPr>
        <w:t>‘</w:t>
      </w:r>
      <w:r w:rsidRPr="00A670C3">
        <w:rPr>
          <w:bCs/>
        </w:rPr>
        <w:t>eligible employee</w:t>
      </w:r>
      <w:r>
        <w:rPr>
          <w:bCs/>
        </w:rPr>
        <w:t>’</w:t>
      </w:r>
      <w:r w:rsidRPr="00A670C3">
        <w:rPr>
          <w:bCs/>
        </w:rPr>
        <w:t xml:space="preserve"> under FMLA regulations.</w:t>
      </w:r>
      <w:r>
        <w:rPr>
          <w:bCs/>
        </w:rPr>
        <w:t xml:space="preserve"> *** </w:t>
      </w:r>
      <w:r w:rsidRPr="00063DF6">
        <w:rPr>
          <w:bCs/>
        </w:rPr>
        <w:t xml:space="preserve">To qualify as an </w:t>
      </w:r>
      <w:r>
        <w:rPr>
          <w:bCs/>
        </w:rPr>
        <w:t>‘</w:t>
      </w:r>
      <w:r w:rsidRPr="00063DF6">
        <w:rPr>
          <w:bCs/>
        </w:rPr>
        <w:t>eligible employee,</w:t>
      </w:r>
      <w:r>
        <w:rPr>
          <w:bCs/>
        </w:rPr>
        <w:t>’</w:t>
      </w:r>
      <w:r w:rsidRPr="00063DF6">
        <w:rPr>
          <w:bCs/>
        </w:rPr>
        <w:t xml:space="preserve"> the employee must be </w:t>
      </w:r>
      <w:r>
        <w:rPr>
          <w:bCs/>
        </w:rPr>
        <w:t>‘</w:t>
      </w:r>
      <w:r w:rsidRPr="00063DF6">
        <w:rPr>
          <w:bCs/>
        </w:rPr>
        <w:t>employed at a worksite where 50 or more employees are employed by the employer within 75 miles of that worksite.</w:t>
      </w:r>
      <w:r>
        <w:rPr>
          <w:bCs/>
        </w:rPr>
        <w:t>’</w:t>
      </w:r>
      <w:r w:rsidRPr="00063DF6">
        <w:rPr>
          <w:bCs/>
        </w:rPr>
        <w:t xml:space="preserve"> 29 C.F.R. § 825.110(a)(3); see 29 U.S.C. § 2611(2)(B)(ii). YAUFR avers, and Carpenter concedes, that YAUFR has never employed 50 or more people.</w:t>
      </w:r>
      <w:r>
        <w:rPr>
          <w:bCs/>
        </w:rPr>
        <w:t>”</w:t>
      </w:r>
    </w:p>
    <w:p w14:paraId="10C495C5" w14:textId="77777777" w:rsidR="00366CDD" w:rsidRDefault="00366CDD" w:rsidP="000C4DF5">
      <w:pPr>
        <w:pStyle w:val="NoSpacing"/>
        <w:rPr>
          <w:rFonts w:ascii="Arial Black" w:hAnsi="Arial Black"/>
          <w:sz w:val="24"/>
          <w:szCs w:val="24"/>
        </w:rPr>
      </w:pPr>
    </w:p>
    <w:p w14:paraId="27E214B3" w14:textId="0DAB946C" w:rsidR="00366CDD" w:rsidRDefault="0012517E" w:rsidP="000C4DF5">
      <w:pPr>
        <w:pStyle w:val="NoSpacing"/>
        <w:rPr>
          <w:rFonts w:ascii="Arial Black" w:hAnsi="Arial Black"/>
          <w:sz w:val="24"/>
          <w:szCs w:val="24"/>
        </w:rPr>
      </w:pPr>
      <w:r>
        <w:rPr>
          <w:rFonts w:ascii="Arial Black" w:hAnsi="Arial Black"/>
          <w:sz w:val="24"/>
          <w:szCs w:val="24"/>
        </w:rPr>
        <w:t>15-5</w:t>
      </w:r>
    </w:p>
    <w:p w14:paraId="3EA60D97" w14:textId="7ACBA758" w:rsidR="0012517E" w:rsidRDefault="0012517E" w:rsidP="000C4DF5">
      <w:pPr>
        <w:pStyle w:val="NoSpacing"/>
        <w:rPr>
          <w:rFonts w:ascii="Arial Black" w:hAnsi="Arial Black"/>
          <w:sz w:val="24"/>
          <w:szCs w:val="24"/>
        </w:rPr>
      </w:pPr>
    </w:p>
    <w:p w14:paraId="31EE0F7E" w14:textId="77777777" w:rsidR="0012517E" w:rsidRPr="00C6323F" w:rsidRDefault="0012517E" w:rsidP="0012517E">
      <w:pPr>
        <w:pStyle w:val="NoSpacing"/>
        <w:rPr>
          <w:rFonts w:ascii="Arial Black" w:hAnsi="Arial Black"/>
          <w:sz w:val="28"/>
          <w:szCs w:val="28"/>
        </w:rPr>
      </w:pPr>
      <w:r w:rsidRPr="00C6323F">
        <w:rPr>
          <w:rFonts w:ascii="Arial Black" w:hAnsi="Arial Black"/>
          <w:sz w:val="28"/>
          <w:szCs w:val="28"/>
        </w:rPr>
        <w:t>MA:</w:t>
      </w:r>
      <w:r>
        <w:rPr>
          <w:rFonts w:ascii="Arial Black" w:hAnsi="Arial Black"/>
          <w:sz w:val="28"/>
          <w:szCs w:val="28"/>
        </w:rPr>
        <w:t xml:space="preserve"> ANGER MGT, THREATS TO “GO POSTAL” – PAID LEAVE 1-YR - DIDN’T COMPLY RETURN-TO-WORK REQUIREMENTS - FIRED</w:t>
      </w:r>
    </w:p>
    <w:p w14:paraId="14D5319D" w14:textId="77777777" w:rsidR="0012517E" w:rsidRDefault="0012517E" w:rsidP="0012517E">
      <w:pPr>
        <w:pStyle w:val="NoSpacing"/>
        <w:rPr>
          <w:b/>
          <w:bCs/>
          <w:sz w:val="24"/>
          <w:szCs w:val="24"/>
        </w:rPr>
      </w:pPr>
    </w:p>
    <w:p w14:paraId="51DD0988" w14:textId="77777777" w:rsidR="0012517E" w:rsidRPr="00D61723" w:rsidRDefault="0012517E" w:rsidP="0012517E">
      <w:pPr>
        <w:pStyle w:val="NoSpacing"/>
        <w:rPr>
          <w:rFonts w:ascii="Times New Roman" w:hAnsi="Times New Roman"/>
          <w:b/>
          <w:bCs/>
          <w:sz w:val="24"/>
          <w:szCs w:val="24"/>
        </w:rPr>
      </w:pPr>
      <w:r w:rsidRPr="00D61723">
        <w:rPr>
          <w:rFonts w:ascii="Times New Roman" w:hAnsi="Times New Roman"/>
          <w:bCs/>
          <w:sz w:val="24"/>
          <w:szCs w:val="24"/>
        </w:rPr>
        <w:t xml:space="preserve">On April 2, 2020, in </w:t>
      </w:r>
      <w:r w:rsidRPr="00D61723">
        <w:rPr>
          <w:rFonts w:ascii="Times New Roman" w:hAnsi="Times New Roman"/>
          <w:bCs/>
          <w:sz w:val="24"/>
          <w:szCs w:val="24"/>
          <w:u w:val="single"/>
        </w:rPr>
        <w:t>Gerald Alston v. Town of Brookline, Massachusetts</w:t>
      </w:r>
      <w:r w:rsidRPr="00D61723">
        <w:rPr>
          <w:rFonts w:ascii="Times New Roman" w:hAnsi="Times New Roman"/>
          <w:bCs/>
          <w:sz w:val="24"/>
          <w:szCs w:val="24"/>
        </w:rPr>
        <w:t xml:space="preserve">, Senior U.S. District Court Judge George A. O’Toole, Jr., District of Massachusetts, granted summary judgment for the Town, finding that he failed to meet the Fire Chiefs return to work requirements, including completing an anger management course, and passing a fitness for duty evaluation, and drug test.  </w:t>
      </w:r>
    </w:p>
    <w:p w14:paraId="27C39AC6" w14:textId="77777777" w:rsidR="0012517E" w:rsidRPr="00D61723" w:rsidRDefault="0012517E" w:rsidP="0012517E">
      <w:pPr>
        <w:pStyle w:val="NoSpacing"/>
        <w:rPr>
          <w:rFonts w:ascii="Times New Roman" w:hAnsi="Times New Roman"/>
          <w:sz w:val="24"/>
          <w:szCs w:val="24"/>
        </w:rPr>
      </w:pPr>
    </w:p>
    <w:p w14:paraId="362B84D2" w14:textId="2E4D1637" w:rsidR="0012517E" w:rsidRDefault="0012517E" w:rsidP="000C4DF5">
      <w:pPr>
        <w:pStyle w:val="NoSpacing"/>
        <w:rPr>
          <w:rFonts w:ascii="Arial Black" w:hAnsi="Arial Black"/>
          <w:sz w:val="24"/>
          <w:szCs w:val="24"/>
        </w:rPr>
      </w:pPr>
      <w:r w:rsidRPr="00D61723">
        <w:rPr>
          <w:rFonts w:ascii="Times New Roman" w:hAnsi="Times New Roman"/>
          <w:bCs/>
          <w:sz w:val="24"/>
          <w:szCs w:val="24"/>
        </w:rPr>
        <w:t xml:space="preserve">“Alston was evaluated both by a psychiatrist chosen by the Town and, after his request for evaluation by a different doctor, an evaluation by a psychiatrist from the Massachusetts General Hospital was arranged. Both psychiatrists recommended essentially the same return-to-work conditions for Alston, and it is undisputed that Alston never complied with those conditions. Nor did he provide any conflicting opinion from another psychiatrist.” </w:t>
      </w:r>
      <w:hyperlink r:id="rId2517" w:history="1">
        <w:r w:rsidRPr="00D61723">
          <w:rPr>
            <w:rStyle w:val="Hyperlink"/>
            <w:rFonts w:ascii="Times New Roman" w:hAnsi="Times New Roman"/>
            <w:b/>
            <w:sz w:val="24"/>
            <w:szCs w:val="24"/>
          </w:rPr>
          <w:t>https://jgpr.net/wp-content/uploads/2020/04/433-MSJ-Order.pdf</w:t>
        </w:r>
      </w:hyperlink>
    </w:p>
    <w:p w14:paraId="7E877980" w14:textId="77777777" w:rsidR="0012517E" w:rsidRPr="00D61723" w:rsidRDefault="0012517E" w:rsidP="0012517E">
      <w:pPr>
        <w:spacing w:before="100" w:beforeAutospacing="1" w:after="100" w:afterAutospacing="1" w:line="240" w:lineRule="auto"/>
        <w:rPr>
          <w:rFonts w:ascii="Times New Roman" w:hAnsi="Times New Roman"/>
          <w:b/>
          <w:bCs/>
          <w:sz w:val="24"/>
          <w:szCs w:val="24"/>
        </w:rPr>
      </w:pPr>
      <w:r w:rsidRPr="00D61723">
        <w:rPr>
          <w:rFonts w:ascii="Times New Roman" w:hAnsi="Times New Roman"/>
          <w:b/>
          <w:bCs/>
          <w:sz w:val="24"/>
          <w:szCs w:val="24"/>
        </w:rPr>
        <w:t xml:space="preserve">Legal Lessons Learned: The Town wisely proposed a return-to-work plan and provided adequate time for completion of the plan. </w:t>
      </w:r>
    </w:p>
    <w:p w14:paraId="06C27836" w14:textId="77777777" w:rsidR="0012517E" w:rsidRDefault="0012517E" w:rsidP="000C4DF5">
      <w:pPr>
        <w:pStyle w:val="NoSpacing"/>
        <w:rPr>
          <w:rFonts w:ascii="Arial Black" w:hAnsi="Arial Black"/>
          <w:sz w:val="24"/>
          <w:szCs w:val="24"/>
        </w:rPr>
      </w:pPr>
    </w:p>
    <w:p w14:paraId="73BA4259" w14:textId="77777777" w:rsidR="0012517E" w:rsidRDefault="0012517E" w:rsidP="000C4DF5">
      <w:pPr>
        <w:pStyle w:val="NoSpacing"/>
        <w:rPr>
          <w:rFonts w:ascii="Arial Black" w:hAnsi="Arial Black"/>
          <w:sz w:val="24"/>
          <w:szCs w:val="24"/>
        </w:rPr>
      </w:pPr>
    </w:p>
    <w:p w14:paraId="7BA4DB8C" w14:textId="77777777" w:rsidR="0012517E" w:rsidRDefault="0012517E" w:rsidP="000C4DF5">
      <w:pPr>
        <w:pStyle w:val="NoSpacing"/>
        <w:rPr>
          <w:rFonts w:ascii="Arial Black" w:hAnsi="Arial Black"/>
          <w:sz w:val="24"/>
          <w:szCs w:val="24"/>
        </w:rPr>
      </w:pPr>
    </w:p>
    <w:p w14:paraId="23429A29" w14:textId="4B9058A0" w:rsidR="006508FC" w:rsidRDefault="006508FC" w:rsidP="000C4DF5">
      <w:pPr>
        <w:pStyle w:val="NoSpacing"/>
        <w:rPr>
          <w:rFonts w:ascii="Arial Black" w:hAnsi="Arial Black"/>
          <w:sz w:val="24"/>
          <w:szCs w:val="24"/>
        </w:rPr>
      </w:pPr>
      <w:r>
        <w:rPr>
          <w:rFonts w:ascii="Arial Black" w:hAnsi="Arial Black"/>
          <w:sz w:val="24"/>
          <w:szCs w:val="24"/>
        </w:rPr>
        <w:t>15-4</w:t>
      </w:r>
    </w:p>
    <w:p w14:paraId="124103C3" w14:textId="633A0915" w:rsidR="006508FC" w:rsidRDefault="006508FC" w:rsidP="000C4DF5">
      <w:pPr>
        <w:pStyle w:val="NoSpacing"/>
        <w:rPr>
          <w:rFonts w:ascii="Arial Black" w:hAnsi="Arial Black"/>
          <w:sz w:val="24"/>
          <w:szCs w:val="24"/>
        </w:rPr>
      </w:pPr>
    </w:p>
    <w:p w14:paraId="3342711F" w14:textId="77777777" w:rsidR="006508FC" w:rsidRPr="006508FC" w:rsidRDefault="006508FC" w:rsidP="000C4DF5">
      <w:pPr>
        <w:pStyle w:val="NoSpacing"/>
        <w:rPr>
          <w:rFonts w:ascii="Arial Black" w:hAnsi="Arial Black" w:cs="Arial"/>
          <w:sz w:val="28"/>
          <w:szCs w:val="28"/>
        </w:rPr>
      </w:pPr>
      <w:bookmarkStart w:id="581" w:name="_Hlk39772708"/>
      <w:r w:rsidRPr="006508FC">
        <w:rPr>
          <w:rFonts w:ascii="Arial Black" w:hAnsi="Arial Black" w:cs="Arial"/>
          <w:sz w:val="28"/>
          <w:szCs w:val="28"/>
        </w:rPr>
        <w:t>NY: PTSD - CAR FIRE / MASK DISLODGED BY SNOW - PSYCHIATRIST’S NOTES FF INTERVIEW - ACCIDENTAL DISAB. RETIREMENT DENIED</w:t>
      </w:r>
    </w:p>
    <w:p w14:paraId="7E98E737" w14:textId="77777777" w:rsidR="00BC17B3" w:rsidRDefault="006508FC" w:rsidP="000C4DF5">
      <w:pPr>
        <w:pStyle w:val="NoSpacing"/>
        <w:rPr>
          <w:rFonts w:ascii="Times New Roman" w:hAnsi="Times New Roman"/>
          <w:sz w:val="24"/>
          <w:szCs w:val="24"/>
        </w:rPr>
      </w:pPr>
      <w:r w:rsidRPr="0036327D">
        <w:rPr>
          <w:rFonts w:ascii="Times New Roman" w:hAnsi="Times New Roman"/>
          <w:sz w:val="24"/>
          <w:szCs w:val="24"/>
        </w:rPr>
        <w:t xml:space="preserve">On April 25, 2019, In </w:t>
      </w:r>
      <w:proofErr w:type="gramStart"/>
      <w:r w:rsidRPr="0036327D">
        <w:rPr>
          <w:rFonts w:ascii="Times New Roman" w:hAnsi="Times New Roman"/>
          <w:sz w:val="24"/>
          <w:szCs w:val="24"/>
        </w:rPr>
        <w:t>The</w:t>
      </w:r>
      <w:proofErr w:type="gramEnd"/>
      <w:r w:rsidRPr="0036327D">
        <w:rPr>
          <w:rFonts w:ascii="Times New Roman" w:hAnsi="Times New Roman"/>
          <w:sz w:val="24"/>
          <w:szCs w:val="24"/>
        </w:rPr>
        <w:t xml:space="preserve"> Matter of Alexander Hanon v. Thomas P. </w:t>
      </w:r>
      <w:proofErr w:type="spellStart"/>
      <w:r w:rsidRPr="0036327D">
        <w:rPr>
          <w:rFonts w:ascii="Times New Roman" w:hAnsi="Times New Roman"/>
          <w:sz w:val="24"/>
          <w:szCs w:val="24"/>
        </w:rPr>
        <w:t>PiNapoli</w:t>
      </w:r>
      <w:proofErr w:type="spellEnd"/>
      <w:r w:rsidRPr="0036327D">
        <w:rPr>
          <w:rFonts w:ascii="Times New Roman" w:hAnsi="Times New Roman"/>
          <w:sz w:val="24"/>
          <w:szCs w:val="24"/>
        </w:rPr>
        <w:t xml:space="preserve">, State Comptroller, the New York Appellate Division, Third Department, (5 to 0), upheld the denial of his claim. </w:t>
      </w:r>
    </w:p>
    <w:p w14:paraId="3AE55E68" w14:textId="77777777" w:rsidR="00BC17B3" w:rsidRDefault="00BC17B3" w:rsidP="000C4DF5">
      <w:pPr>
        <w:pStyle w:val="NoSpacing"/>
        <w:rPr>
          <w:rFonts w:ascii="Times New Roman" w:hAnsi="Times New Roman"/>
          <w:sz w:val="24"/>
          <w:szCs w:val="24"/>
        </w:rPr>
      </w:pPr>
    </w:p>
    <w:p w14:paraId="447B6224" w14:textId="4AEB2B35" w:rsidR="006508FC" w:rsidRPr="0036327D" w:rsidRDefault="006508FC" w:rsidP="00BC17B3">
      <w:pPr>
        <w:pStyle w:val="NoSpacing"/>
        <w:ind w:left="720"/>
        <w:rPr>
          <w:rFonts w:ascii="Times New Roman" w:hAnsi="Times New Roman"/>
          <w:sz w:val="24"/>
          <w:szCs w:val="24"/>
        </w:rPr>
      </w:pPr>
      <w:r w:rsidRPr="0036327D">
        <w:rPr>
          <w:rFonts w:ascii="Times New Roman" w:hAnsi="Times New Roman"/>
          <w:sz w:val="24"/>
          <w:szCs w:val="24"/>
        </w:rPr>
        <w:t>“Leslie Citrome, the psychiatrist who conducted an independent medical examination of petitioner on behalf of the Retirement System, opined that petitioner's PTSD and depressive disorder were causally related to [his off duty] June 2010 motor vehicle accident. He stated that the February 2010 accident [car fire run, snow from garage roof] was incidental to his psychiatric assessment as petitioner only mentioned this incident briefly, indicating that he suffered cardiac problems from inhaling smoke, and focused primarily on the June 2010 motor vehicle accident in discussing his history of psychiatric problems and symptoms.</w:t>
      </w:r>
      <w:r w:rsidR="00F4486C" w:rsidRPr="0036327D">
        <w:rPr>
          <w:rFonts w:ascii="Times New Roman" w:hAnsi="Times New Roman"/>
          <w:sz w:val="24"/>
          <w:szCs w:val="24"/>
        </w:rPr>
        <w:t xml:space="preserve"> </w:t>
      </w:r>
      <w:hyperlink r:id="rId2518" w:history="1">
        <w:r w:rsidR="00F4486C" w:rsidRPr="0036327D">
          <w:rPr>
            <w:rStyle w:val="Hyperlink"/>
            <w:rFonts w:ascii="Times New Roman" w:hAnsi="Times New Roman"/>
            <w:sz w:val="24"/>
            <w:szCs w:val="24"/>
          </w:rPr>
          <w:t>https://law.justia.com/cases/new-york/appellate-division-third-department/2019/527240.html</w:t>
        </w:r>
      </w:hyperlink>
      <w:r w:rsidR="00F4486C" w:rsidRPr="0036327D">
        <w:rPr>
          <w:rFonts w:ascii="Times New Roman" w:hAnsi="Times New Roman"/>
          <w:sz w:val="24"/>
          <w:szCs w:val="24"/>
        </w:rPr>
        <w:t xml:space="preserve"> </w:t>
      </w:r>
    </w:p>
    <w:bookmarkEnd w:id="581"/>
    <w:p w14:paraId="5A659DE9" w14:textId="0767D8A7" w:rsidR="00F4486C" w:rsidRPr="0036327D" w:rsidRDefault="00F4486C" w:rsidP="000C4DF5">
      <w:pPr>
        <w:pStyle w:val="NoSpacing"/>
        <w:rPr>
          <w:rFonts w:ascii="Times New Roman" w:hAnsi="Times New Roman"/>
          <w:sz w:val="24"/>
          <w:szCs w:val="24"/>
        </w:rPr>
      </w:pPr>
    </w:p>
    <w:p w14:paraId="35EF2C73" w14:textId="76F511DB" w:rsidR="00F4486C" w:rsidRPr="0036327D" w:rsidRDefault="00F4486C" w:rsidP="000C4DF5">
      <w:pPr>
        <w:pStyle w:val="NoSpacing"/>
        <w:rPr>
          <w:rFonts w:ascii="Times New Roman" w:hAnsi="Times New Roman"/>
          <w:b/>
          <w:bCs/>
          <w:sz w:val="24"/>
          <w:szCs w:val="24"/>
        </w:rPr>
      </w:pPr>
      <w:bookmarkStart w:id="582" w:name="_Hlk40516405"/>
      <w:r w:rsidRPr="0036327D">
        <w:rPr>
          <w:rFonts w:ascii="Times New Roman" w:hAnsi="Times New Roman"/>
          <w:b/>
          <w:bCs/>
          <w:sz w:val="24"/>
          <w:szCs w:val="24"/>
        </w:rPr>
        <w:lastRenderedPageBreak/>
        <w:t>Legal Lessons Learned: Courts rely on the expert testimony of independent medical examiners. Psychiatrist’s notes from interview with firefighter become part of the “psychiatric history” of patient.</w:t>
      </w:r>
    </w:p>
    <w:p w14:paraId="32BAED14" w14:textId="4825EF1B" w:rsidR="00F4486C" w:rsidRPr="0036327D" w:rsidRDefault="00F4486C" w:rsidP="000C4DF5">
      <w:pPr>
        <w:pStyle w:val="NoSpacing"/>
        <w:rPr>
          <w:rFonts w:ascii="Times New Roman" w:hAnsi="Times New Roman"/>
          <w:b/>
          <w:bCs/>
          <w:sz w:val="24"/>
          <w:szCs w:val="24"/>
        </w:rPr>
      </w:pPr>
    </w:p>
    <w:bookmarkEnd w:id="582"/>
    <w:p w14:paraId="6D7D57FC" w14:textId="77777777" w:rsidR="0012517E" w:rsidRDefault="0012517E" w:rsidP="000C4DF5">
      <w:pPr>
        <w:pStyle w:val="NoSpacing"/>
        <w:rPr>
          <w:rFonts w:ascii="Arial Black" w:hAnsi="Arial Black"/>
          <w:sz w:val="24"/>
          <w:szCs w:val="24"/>
        </w:rPr>
      </w:pPr>
    </w:p>
    <w:p w14:paraId="0B7DC144" w14:textId="6C8CB80A" w:rsidR="000C4DF5" w:rsidRDefault="000C4DF5" w:rsidP="000C4DF5">
      <w:pPr>
        <w:pStyle w:val="NoSpacing"/>
        <w:rPr>
          <w:rFonts w:ascii="Arial Black" w:hAnsi="Arial Black"/>
          <w:sz w:val="24"/>
          <w:szCs w:val="24"/>
        </w:rPr>
      </w:pPr>
      <w:r>
        <w:rPr>
          <w:rFonts w:ascii="Arial Black" w:hAnsi="Arial Black"/>
          <w:sz w:val="24"/>
          <w:szCs w:val="24"/>
        </w:rPr>
        <w:t>15-3</w:t>
      </w:r>
    </w:p>
    <w:p w14:paraId="589F27BD" w14:textId="77777777" w:rsidR="00F326E5" w:rsidRDefault="00F326E5" w:rsidP="00F326E5">
      <w:pPr>
        <w:pStyle w:val="NoSpacing"/>
        <w:rPr>
          <w:rFonts w:ascii="FeTimes New Roman" w:hAnsi="FeTimes New Roman"/>
          <w:sz w:val="24"/>
          <w:szCs w:val="24"/>
        </w:rPr>
      </w:pPr>
    </w:p>
    <w:p w14:paraId="6CC47458" w14:textId="08A9F7D7" w:rsidR="00F326E5" w:rsidRDefault="00F326E5" w:rsidP="00F326E5">
      <w:pPr>
        <w:pStyle w:val="NoSpacing"/>
        <w:rPr>
          <w:rFonts w:ascii="Arial Black" w:hAnsi="Arial Black"/>
          <w:sz w:val="28"/>
          <w:szCs w:val="28"/>
        </w:rPr>
      </w:pPr>
      <w:bookmarkStart w:id="583" w:name="_Hlk39772756"/>
      <w:bookmarkStart w:id="584" w:name="_Hlk41155654"/>
      <w:bookmarkStart w:id="585" w:name="_Hlk7348353"/>
      <w:r w:rsidRPr="0091233E">
        <w:rPr>
          <w:rFonts w:ascii="Arial Black" w:hAnsi="Arial Black"/>
          <w:sz w:val="28"/>
          <w:szCs w:val="28"/>
        </w:rPr>
        <w:t xml:space="preserve">IL: </w:t>
      </w:r>
      <w:r>
        <w:rPr>
          <w:rFonts w:ascii="Arial Black" w:hAnsi="Arial Black"/>
          <w:sz w:val="28"/>
          <w:szCs w:val="28"/>
        </w:rPr>
        <w:t>PTSD –</w:t>
      </w:r>
      <w:r w:rsidR="000F18B0">
        <w:rPr>
          <w:rFonts w:ascii="Arial Black" w:hAnsi="Arial Black"/>
          <w:sz w:val="28"/>
          <w:szCs w:val="28"/>
        </w:rPr>
        <w:t xml:space="preserve"> </w:t>
      </w:r>
      <w:r>
        <w:rPr>
          <w:rFonts w:ascii="Arial Black" w:hAnsi="Arial Black"/>
          <w:sz w:val="28"/>
          <w:szCs w:val="28"/>
        </w:rPr>
        <w:t>COURT ORDERS DISABILITY PENSION - CHICAGO PARAMEDIC’S TRAUMATIC WORK EXPERIENCES</w:t>
      </w:r>
    </w:p>
    <w:p w14:paraId="3FDC7CBB" w14:textId="77777777" w:rsidR="000F18B0" w:rsidRDefault="000F18B0" w:rsidP="00F326E5">
      <w:pPr>
        <w:rPr>
          <w:rFonts w:ascii="Times New Roman" w:hAnsi="Times New Roman"/>
          <w:sz w:val="24"/>
          <w:szCs w:val="24"/>
        </w:rPr>
      </w:pPr>
    </w:p>
    <w:p w14:paraId="1F71FDEB" w14:textId="26F5D441" w:rsidR="00BC17B3" w:rsidRDefault="00F326E5" w:rsidP="00F326E5">
      <w:pPr>
        <w:rPr>
          <w:rFonts w:ascii="Times New Roman" w:hAnsi="Times New Roman"/>
          <w:sz w:val="24"/>
          <w:szCs w:val="24"/>
        </w:rPr>
      </w:pPr>
      <w:r w:rsidRPr="00BC17B3">
        <w:rPr>
          <w:rFonts w:ascii="Times New Roman" w:hAnsi="Times New Roman"/>
          <w:sz w:val="24"/>
          <w:szCs w:val="24"/>
        </w:rPr>
        <w:t xml:space="preserve">On Feb. 1, 2019, in </w:t>
      </w:r>
      <w:r w:rsidRPr="00BC17B3">
        <w:rPr>
          <w:rFonts w:ascii="Times New Roman" w:hAnsi="Times New Roman"/>
          <w:sz w:val="24"/>
          <w:szCs w:val="24"/>
          <w:u w:val="single"/>
        </w:rPr>
        <w:t>Leah Siwinski v. The Retirement Board of the Fireman’s Annuity and Benefit Fund of the City of Chicago</w:t>
      </w:r>
      <w:r w:rsidRPr="00BC17B3">
        <w:rPr>
          <w:rFonts w:ascii="Times New Roman" w:hAnsi="Times New Roman"/>
          <w:sz w:val="24"/>
          <w:szCs w:val="24"/>
        </w:rPr>
        <w:t xml:space="preserve">, the Appellate Court of Illinois (First District) held (3 to 0), </w:t>
      </w:r>
    </w:p>
    <w:p w14:paraId="47B04962" w14:textId="09AF26D9" w:rsidR="00F326E5" w:rsidRPr="00BC17B3" w:rsidRDefault="00F326E5" w:rsidP="00BC17B3">
      <w:pPr>
        <w:ind w:left="720"/>
        <w:rPr>
          <w:rFonts w:ascii="Times New Roman" w:eastAsia="Times New Roman" w:hAnsi="Times New Roman"/>
          <w:bCs/>
          <w:sz w:val="24"/>
          <w:szCs w:val="24"/>
        </w:rPr>
      </w:pPr>
      <w:r w:rsidRPr="00BC17B3">
        <w:rPr>
          <w:rFonts w:ascii="Times New Roman" w:hAnsi="Times New Roman"/>
          <w:sz w:val="24"/>
          <w:szCs w:val="24"/>
        </w:rPr>
        <w:t xml:space="preserve">“In summary, because the manifest weight of the evidence showed that the plaintiff sustained PTSD arising from an act or acts of duty while working for CFD, and as a result, was disabled from performing any of her assigned duties, we reverse the decision of the Board that denied her a duty disability pension, and reverse the decision of the circuit court, which confirmed the Board’s decision." </w:t>
      </w:r>
      <w:hyperlink r:id="rId2519" w:history="1">
        <w:r w:rsidRPr="00BC17B3">
          <w:rPr>
            <w:rStyle w:val="Hyperlink"/>
            <w:rFonts w:ascii="Times New Roman" w:hAnsi="Times New Roman"/>
            <w:sz w:val="24"/>
            <w:szCs w:val="24"/>
          </w:rPr>
          <w:t>https://law.justia.com/cases/illinois/court-of-appeals-first-appellate-district/2019/1-18-0388.html</w:t>
        </w:r>
      </w:hyperlink>
      <w:r w:rsidRPr="00BC17B3">
        <w:rPr>
          <w:rFonts w:ascii="Times New Roman" w:eastAsia="Times New Roman" w:hAnsi="Times New Roman"/>
          <w:bCs/>
          <w:sz w:val="24"/>
          <w:szCs w:val="24"/>
        </w:rPr>
        <w:t xml:space="preserve"> </w:t>
      </w:r>
    </w:p>
    <w:p w14:paraId="50FC005A" w14:textId="77777777" w:rsidR="00F326E5" w:rsidRPr="00BC17B3" w:rsidRDefault="00F326E5" w:rsidP="00F326E5">
      <w:pPr>
        <w:rPr>
          <w:rFonts w:ascii="Times New Roman" w:hAnsi="Times New Roman"/>
          <w:b/>
          <w:sz w:val="24"/>
          <w:szCs w:val="24"/>
        </w:rPr>
      </w:pPr>
      <w:bookmarkStart w:id="586" w:name="_Hlk40516463"/>
      <w:bookmarkEnd w:id="583"/>
      <w:r w:rsidRPr="00BC17B3">
        <w:rPr>
          <w:rFonts w:ascii="Times New Roman" w:hAnsi="Times New Roman"/>
          <w:b/>
          <w:sz w:val="24"/>
          <w:szCs w:val="24"/>
        </w:rPr>
        <w:t xml:space="preserve">Legal Lesson Learned:  PTSD is a recognized disability issue in </w:t>
      </w:r>
      <w:proofErr w:type="gramStart"/>
      <w:r w:rsidRPr="00BC17B3">
        <w:rPr>
          <w:rFonts w:ascii="Times New Roman" w:hAnsi="Times New Roman"/>
          <w:b/>
          <w:sz w:val="24"/>
          <w:szCs w:val="24"/>
        </w:rPr>
        <w:t>the emergency</w:t>
      </w:r>
      <w:proofErr w:type="gramEnd"/>
      <w:r w:rsidRPr="00BC17B3">
        <w:rPr>
          <w:rFonts w:ascii="Times New Roman" w:hAnsi="Times New Roman"/>
          <w:b/>
          <w:sz w:val="24"/>
          <w:szCs w:val="24"/>
        </w:rPr>
        <w:t xml:space="preserve"> services. </w:t>
      </w:r>
    </w:p>
    <w:p w14:paraId="6EA66F09" w14:textId="33AC367F" w:rsidR="00F326E5" w:rsidRPr="00BC17B3" w:rsidRDefault="000164B1" w:rsidP="00F326E5">
      <w:pPr>
        <w:pStyle w:val="NoSpacing"/>
        <w:ind w:left="720"/>
        <w:rPr>
          <w:rFonts w:ascii="Times New Roman" w:hAnsi="Times New Roman"/>
          <w:sz w:val="24"/>
          <w:szCs w:val="24"/>
        </w:rPr>
      </w:pPr>
      <w:r>
        <w:rPr>
          <w:rFonts w:ascii="Times New Roman" w:eastAsia="Times New Roman" w:hAnsi="Times New Roman"/>
          <w:bCs/>
          <w:sz w:val="24"/>
          <w:szCs w:val="24"/>
        </w:rPr>
        <w:t xml:space="preserve">Note: </w:t>
      </w:r>
      <w:r w:rsidR="00F326E5" w:rsidRPr="00BC17B3">
        <w:rPr>
          <w:rFonts w:ascii="Times New Roman" w:eastAsia="Times New Roman" w:hAnsi="Times New Roman"/>
          <w:bCs/>
          <w:sz w:val="24"/>
          <w:szCs w:val="24"/>
        </w:rPr>
        <w:t xml:space="preserve">See April 13, </w:t>
      </w:r>
      <w:proofErr w:type="gramStart"/>
      <w:r w:rsidR="00F326E5" w:rsidRPr="00BC17B3">
        <w:rPr>
          <w:rFonts w:ascii="Times New Roman" w:eastAsia="Times New Roman" w:hAnsi="Times New Roman"/>
          <w:bCs/>
          <w:sz w:val="24"/>
          <w:szCs w:val="24"/>
        </w:rPr>
        <w:t>2018</w:t>
      </w:r>
      <w:proofErr w:type="gramEnd"/>
      <w:r w:rsidR="00F326E5" w:rsidRPr="00BC17B3">
        <w:rPr>
          <w:rFonts w:ascii="Times New Roman" w:eastAsia="Times New Roman" w:hAnsi="Times New Roman"/>
          <w:bCs/>
          <w:sz w:val="24"/>
          <w:szCs w:val="24"/>
        </w:rPr>
        <w:t xml:space="preserve"> article: </w:t>
      </w:r>
      <w:r w:rsidR="00F326E5" w:rsidRPr="00BC17B3">
        <w:rPr>
          <w:rFonts w:ascii="Times New Roman" w:hAnsi="Times New Roman"/>
          <w:sz w:val="24"/>
          <w:szCs w:val="24"/>
        </w:rPr>
        <w:t xml:space="preserve">Study: More firefighters died by suicide than in the line of duty in 2017 - A study found that 103 firefighters and 140 police officers died by suicide in 2017. </w:t>
      </w:r>
      <w:hyperlink r:id="rId2520" w:history="1">
        <w:r w:rsidR="00F326E5" w:rsidRPr="00BC17B3">
          <w:rPr>
            <w:rStyle w:val="Hyperlink"/>
            <w:rFonts w:ascii="Times New Roman" w:hAnsi="Times New Roman"/>
            <w:sz w:val="24"/>
            <w:szCs w:val="24"/>
          </w:rPr>
          <w:t>https://www.firerescue1.com/fallen-firefighters/articles/379994018-Study-More-firefighters-died-by-suicide-than-in-the-line-of-duty-in-2017/</w:t>
        </w:r>
      </w:hyperlink>
      <w:r w:rsidR="00F326E5" w:rsidRPr="00BC17B3">
        <w:rPr>
          <w:rFonts w:ascii="Times New Roman" w:hAnsi="Times New Roman"/>
          <w:sz w:val="24"/>
          <w:szCs w:val="24"/>
        </w:rPr>
        <w:t xml:space="preserve"> </w:t>
      </w:r>
      <w:bookmarkEnd w:id="584"/>
      <w:r w:rsidR="00F326E5" w:rsidRPr="00BC17B3">
        <w:rPr>
          <w:rFonts w:ascii="Times New Roman" w:hAnsi="Times New Roman"/>
          <w:sz w:val="24"/>
          <w:szCs w:val="24"/>
        </w:rPr>
        <w:br/>
      </w:r>
    </w:p>
    <w:bookmarkEnd w:id="585"/>
    <w:bookmarkEnd w:id="586"/>
    <w:p w14:paraId="4269EABC" w14:textId="77777777" w:rsidR="000C4DF5" w:rsidRDefault="000C4DF5" w:rsidP="000C4DF5">
      <w:pPr>
        <w:pStyle w:val="NoSpacing"/>
        <w:rPr>
          <w:sz w:val="24"/>
          <w:szCs w:val="24"/>
        </w:rPr>
      </w:pPr>
    </w:p>
    <w:p w14:paraId="485914DD" w14:textId="77777777" w:rsidR="00BC17B3" w:rsidRDefault="00BC17B3" w:rsidP="000C4DF5">
      <w:pPr>
        <w:pStyle w:val="NoSpacing"/>
        <w:rPr>
          <w:rFonts w:ascii="Arial Black" w:hAnsi="Arial Black"/>
          <w:sz w:val="24"/>
          <w:szCs w:val="24"/>
        </w:rPr>
      </w:pPr>
    </w:p>
    <w:p w14:paraId="0E28ACF9" w14:textId="50C8F483" w:rsidR="000C4DF5" w:rsidRDefault="000C4DF5" w:rsidP="000C4DF5">
      <w:pPr>
        <w:pStyle w:val="NoSpacing"/>
        <w:rPr>
          <w:rFonts w:ascii="Arial Black" w:hAnsi="Arial Black"/>
          <w:sz w:val="24"/>
          <w:szCs w:val="24"/>
        </w:rPr>
      </w:pPr>
      <w:r>
        <w:rPr>
          <w:rFonts w:ascii="Arial Black" w:hAnsi="Arial Black"/>
          <w:sz w:val="24"/>
          <w:szCs w:val="24"/>
        </w:rPr>
        <w:t>15-2</w:t>
      </w:r>
    </w:p>
    <w:p w14:paraId="7ED320D9" w14:textId="77777777" w:rsidR="000C4DF5" w:rsidRDefault="000C4DF5" w:rsidP="00F326E5">
      <w:pPr>
        <w:pStyle w:val="NoSpacing"/>
        <w:rPr>
          <w:rFonts w:ascii="Arial Black" w:eastAsia="Times New Roman" w:hAnsi="Arial Black" w:cs="Arial"/>
          <w:sz w:val="28"/>
          <w:szCs w:val="28"/>
        </w:rPr>
      </w:pPr>
      <w:bookmarkStart w:id="587" w:name="_Hlk7184137"/>
    </w:p>
    <w:p w14:paraId="364BAE1A" w14:textId="745F15C5" w:rsidR="00F326E5" w:rsidRDefault="00F326E5" w:rsidP="00F326E5">
      <w:pPr>
        <w:pStyle w:val="NoSpacing"/>
        <w:rPr>
          <w:rFonts w:ascii="Arial Black" w:eastAsia="Times New Roman" w:hAnsi="Arial Black" w:cs="Arial"/>
          <w:sz w:val="28"/>
          <w:szCs w:val="28"/>
        </w:rPr>
      </w:pPr>
      <w:bookmarkStart w:id="588" w:name="_Hlk39820545"/>
      <w:r w:rsidRPr="00A15120">
        <w:rPr>
          <w:rFonts w:ascii="Arial Black" w:eastAsia="Times New Roman" w:hAnsi="Arial Black" w:cs="Arial"/>
          <w:sz w:val="28"/>
          <w:szCs w:val="28"/>
        </w:rPr>
        <w:t>MN</w:t>
      </w:r>
      <w:r>
        <w:rPr>
          <w:rFonts w:ascii="Arial Black" w:eastAsia="Times New Roman" w:hAnsi="Arial Black" w:cs="Arial"/>
          <w:sz w:val="28"/>
          <w:szCs w:val="28"/>
        </w:rPr>
        <w:t xml:space="preserve">: </w:t>
      </w:r>
      <w:r w:rsidRPr="00A15120">
        <w:rPr>
          <w:rFonts w:ascii="Arial Black" w:eastAsia="Times New Roman" w:hAnsi="Arial Black" w:cs="Arial"/>
          <w:sz w:val="28"/>
          <w:szCs w:val="28"/>
        </w:rPr>
        <w:t>PTSD – NEW STATUT</w:t>
      </w:r>
      <w:r>
        <w:rPr>
          <w:rFonts w:ascii="Arial Black" w:eastAsia="Times New Roman" w:hAnsi="Arial Black" w:cs="Arial"/>
          <w:sz w:val="28"/>
          <w:szCs w:val="28"/>
        </w:rPr>
        <w:t xml:space="preserve">ORY </w:t>
      </w:r>
      <w:r w:rsidRPr="00A15120">
        <w:rPr>
          <w:rFonts w:ascii="Arial Black" w:eastAsia="Times New Roman" w:hAnsi="Arial Black" w:cs="Arial"/>
          <w:sz w:val="28"/>
          <w:szCs w:val="28"/>
        </w:rPr>
        <w:t xml:space="preserve">PRESUMPTION </w:t>
      </w:r>
      <w:r>
        <w:rPr>
          <w:rFonts w:ascii="Arial Black" w:eastAsia="Times New Roman" w:hAnsi="Arial Black" w:cs="Arial"/>
          <w:sz w:val="28"/>
          <w:szCs w:val="28"/>
        </w:rPr>
        <w:t xml:space="preserve">THAT PTSD IS WORKPLACE </w:t>
      </w:r>
    </w:p>
    <w:p w14:paraId="476D646C" w14:textId="77777777" w:rsidR="00BC17B3" w:rsidRDefault="00F326E5" w:rsidP="00F326E5">
      <w:pPr>
        <w:rPr>
          <w:rFonts w:ascii="Times New Roman" w:hAnsi="Times New Roman"/>
          <w:sz w:val="24"/>
          <w:szCs w:val="24"/>
        </w:rPr>
      </w:pPr>
      <w:r w:rsidRPr="00BC17B3">
        <w:rPr>
          <w:rFonts w:ascii="Times New Roman" w:hAnsi="Times New Roman"/>
          <w:sz w:val="24"/>
          <w:szCs w:val="24"/>
        </w:rPr>
        <w:t xml:space="preserve">Effective Jan. 1, 2019, the new state statute, </w:t>
      </w:r>
    </w:p>
    <w:p w14:paraId="1062ECBF" w14:textId="08307E64" w:rsidR="00F326E5" w:rsidRPr="00BC17B3" w:rsidRDefault="00F326E5" w:rsidP="00BC17B3">
      <w:pPr>
        <w:ind w:left="720"/>
        <w:rPr>
          <w:rFonts w:ascii="Times New Roman" w:eastAsia="Times New Roman" w:hAnsi="Times New Roman"/>
          <w:sz w:val="24"/>
          <w:szCs w:val="24"/>
        </w:rPr>
      </w:pPr>
      <w:proofErr w:type="gramStart"/>
      <w:r w:rsidRPr="00BC17B3">
        <w:rPr>
          <w:rFonts w:ascii="Times New Roman" w:hAnsi="Times New Roman"/>
          <w:sz w:val="24"/>
          <w:szCs w:val="24"/>
        </w:rPr>
        <w:t>“post</w:t>
      </w:r>
      <w:proofErr w:type="gramEnd"/>
      <w:r w:rsidRPr="00BC17B3">
        <w:rPr>
          <w:rFonts w:ascii="Times New Roman" w:hAnsi="Times New Roman"/>
          <w:sz w:val="24"/>
          <w:szCs w:val="24"/>
        </w:rPr>
        <w:t xml:space="preserve">-traumatic stress disorder was reclassified as an occupational disease for first responders. That includes police officers, firefighters, paramedics, emergency medical technicians, and nurses who provide emergency medical services outside of a medical facility.” </w:t>
      </w:r>
      <w:hyperlink r:id="rId2521" w:history="1">
        <w:r w:rsidRPr="00BC17B3">
          <w:rPr>
            <w:rStyle w:val="Hyperlink"/>
            <w:rFonts w:ascii="Times New Roman" w:hAnsi="Times New Roman"/>
            <w:sz w:val="24"/>
            <w:szCs w:val="24"/>
          </w:rPr>
          <w:t>https://www.postbulletin.com/news/public_safety/ptsd-now-an-occupational-disease-for-first-responders/article_27a2353c-15d3-11e9-a864-cb74a37ce7f1.html</w:t>
        </w:r>
      </w:hyperlink>
      <w:bookmarkEnd w:id="588"/>
      <w:r w:rsidRPr="00BC17B3">
        <w:rPr>
          <w:rFonts w:ascii="Times New Roman" w:hAnsi="Times New Roman"/>
          <w:b/>
          <w:sz w:val="24"/>
          <w:szCs w:val="24"/>
        </w:rPr>
        <w:t xml:space="preserve"> </w:t>
      </w:r>
    </w:p>
    <w:p w14:paraId="3E2111EF" w14:textId="77777777" w:rsidR="00F326E5" w:rsidRPr="00BC17B3" w:rsidRDefault="00F326E5" w:rsidP="00F326E5">
      <w:pPr>
        <w:pStyle w:val="Heading1"/>
        <w:rPr>
          <w:sz w:val="24"/>
          <w:szCs w:val="24"/>
        </w:rPr>
      </w:pPr>
      <w:r w:rsidRPr="00BC17B3">
        <w:rPr>
          <w:sz w:val="24"/>
          <w:szCs w:val="24"/>
        </w:rPr>
        <w:t xml:space="preserve">Legal Lessons Learned: Several states have enacted similar statutes.  See “Update: Workers’ Comp Coverage for Firefighters,” </w:t>
      </w:r>
      <w:hyperlink r:id="rId2522" w:history="1">
        <w:r w:rsidRPr="00BC17B3">
          <w:rPr>
            <w:rStyle w:val="Hyperlink"/>
            <w:b w:val="0"/>
            <w:sz w:val="24"/>
            <w:szCs w:val="24"/>
          </w:rPr>
          <w:t>https://www.wci360.com/update-workers-comp-coverage-for-firefighters/</w:t>
        </w:r>
      </w:hyperlink>
      <w:r w:rsidRPr="00BC17B3">
        <w:rPr>
          <w:sz w:val="24"/>
          <w:szCs w:val="24"/>
        </w:rPr>
        <w:t xml:space="preserve">.  </w:t>
      </w:r>
    </w:p>
    <w:p w14:paraId="15B9E0A8" w14:textId="77777777" w:rsidR="00F326E5" w:rsidRPr="00BC17B3" w:rsidRDefault="00F326E5" w:rsidP="00F326E5">
      <w:pPr>
        <w:spacing w:before="100" w:beforeAutospacing="1" w:after="100" w:afterAutospacing="1"/>
        <w:ind w:left="360"/>
        <w:rPr>
          <w:rFonts w:ascii="Times New Roman" w:hAnsi="Times New Roman"/>
          <w:sz w:val="24"/>
          <w:szCs w:val="24"/>
        </w:rPr>
      </w:pPr>
      <w:r w:rsidRPr="00BC17B3">
        <w:rPr>
          <w:rFonts w:ascii="Times New Roman" w:hAnsi="Times New Roman"/>
          <w:sz w:val="24"/>
          <w:szCs w:val="24"/>
        </w:rPr>
        <w:t xml:space="preserve">See also this report: </w:t>
      </w:r>
      <w:hyperlink r:id="rId2523" w:history="1">
        <w:r w:rsidRPr="00BC17B3">
          <w:rPr>
            <w:rStyle w:val="Hyperlink"/>
            <w:rFonts w:ascii="Times New Roman" w:hAnsi="Times New Roman"/>
            <w:sz w:val="24"/>
            <w:szCs w:val="24"/>
          </w:rPr>
          <w:t>https://www.minnesotacomp.com/blog/2018/11/post-traumatic-stress-disorder-may-become-a-presumptive-condition-for-first-responders/</w:t>
        </w:r>
      </w:hyperlink>
      <w:r w:rsidRPr="00BC17B3">
        <w:rPr>
          <w:rFonts w:ascii="Times New Roman" w:eastAsia="Times New Roman" w:hAnsi="Times New Roman"/>
          <w:sz w:val="24"/>
          <w:szCs w:val="24"/>
        </w:rPr>
        <w:t xml:space="preserve">  </w:t>
      </w:r>
    </w:p>
    <w:p w14:paraId="16EC56EA" w14:textId="77777777" w:rsidR="00F326E5" w:rsidRPr="00BC17B3" w:rsidRDefault="00F326E5" w:rsidP="00F326E5">
      <w:pPr>
        <w:numPr>
          <w:ilvl w:val="0"/>
          <w:numId w:val="2"/>
        </w:numPr>
        <w:spacing w:before="100" w:beforeAutospacing="1" w:after="100" w:afterAutospacing="1" w:line="240" w:lineRule="auto"/>
        <w:rPr>
          <w:rFonts w:ascii="Times New Roman" w:hAnsi="Times New Roman"/>
          <w:sz w:val="24"/>
          <w:szCs w:val="24"/>
        </w:rPr>
      </w:pPr>
      <w:r w:rsidRPr="00BC17B3">
        <w:rPr>
          <w:rFonts w:ascii="Times New Roman" w:hAnsi="Times New Roman"/>
          <w:sz w:val="24"/>
          <w:szCs w:val="24"/>
        </w:rPr>
        <w:lastRenderedPageBreak/>
        <w:t xml:space="preserve">So far in 2018, of 103 state bills dealt with workers compensation provisions for first responders and only 6 bills past passed “true occupational presumption for PTSD.”  </w:t>
      </w:r>
      <w:hyperlink r:id="rId2524" w:tgtFrame="_blank" w:history="1">
        <w:r w:rsidRPr="00BC17B3">
          <w:rPr>
            <w:rStyle w:val="Hyperlink"/>
            <w:rFonts w:ascii="Times New Roman" w:hAnsi="Times New Roman"/>
            <w:sz w:val="24"/>
            <w:szCs w:val="24"/>
          </w:rPr>
          <w:t>Washington State</w:t>
        </w:r>
      </w:hyperlink>
      <w:r w:rsidRPr="00BC17B3">
        <w:rPr>
          <w:rFonts w:ascii="Times New Roman" w:hAnsi="Times New Roman"/>
          <w:sz w:val="24"/>
          <w:szCs w:val="24"/>
        </w:rPr>
        <w:t>, Florida, Vermont, Hawaii, New Jersey, and New Hampshire enacted inclusion of the PTSD presumption into their workers’ compensation legislation.</w:t>
      </w:r>
    </w:p>
    <w:p w14:paraId="03CF063C" w14:textId="77777777" w:rsidR="00F326E5" w:rsidRPr="00BC17B3" w:rsidRDefault="00F326E5" w:rsidP="00F326E5">
      <w:pPr>
        <w:numPr>
          <w:ilvl w:val="0"/>
          <w:numId w:val="2"/>
        </w:numPr>
        <w:spacing w:before="100" w:beforeAutospacing="1" w:after="100" w:afterAutospacing="1" w:line="240" w:lineRule="auto"/>
        <w:rPr>
          <w:rFonts w:ascii="Times New Roman" w:hAnsi="Times New Roman"/>
          <w:sz w:val="24"/>
          <w:szCs w:val="24"/>
        </w:rPr>
      </w:pPr>
      <w:r w:rsidRPr="00BC17B3">
        <w:rPr>
          <w:rFonts w:ascii="Times New Roman" w:hAnsi="Times New Roman"/>
          <w:sz w:val="24"/>
          <w:szCs w:val="24"/>
        </w:rPr>
        <w:t>In 2017, Colorado passed a bill recognizing PTSD as compensable under workers compensation. Then the state passed a bill allowing the treatment of PTSD using medical marijuana.</w:t>
      </w:r>
    </w:p>
    <w:p w14:paraId="382EDA41" w14:textId="77777777" w:rsidR="00F326E5" w:rsidRPr="00BC17B3" w:rsidRDefault="00F326E5" w:rsidP="00F326E5">
      <w:pPr>
        <w:numPr>
          <w:ilvl w:val="0"/>
          <w:numId w:val="2"/>
        </w:numPr>
        <w:spacing w:before="100" w:beforeAutospacing="1" w:after="100" w:afterAutospacing="1" w:line="240" w:lineRule="auto"/>
        <w:rPr>
          <w:rFonts w:ascii="Times New Roman" w:hAnsi="Times New Roman"/>
          <w:sz w:val="24"/>
          <w:szCs w:val="24"/>
        </w:rPr>
      </w:pPr>
      <w:r w:rsidRPr="00BC17B3">
        <w:rPr>
          <w:rFonts w:ascii="Times New Roman" w:hAnsi="Times New Roman"/>
          <w:sz w:val="24"/>
          <w:szCs w:val="24"/>
        </w:rPr>
        <w:t>South Carolina created a $500,000 fund to help fund first responders out of pocket medical costs related to the treatment of PTSD.</w:t>
      </w:r>
    </w:p>
    <w:p w14:paraId="7877BAC3" w14:textId="77777777" w:rsidR="00F326E5" w:rsidRPr="00BC17B3" w:rsidRDefault="00F326E5" w:rsidP="00F326E5">
      <w:pPr>
        <w:numPr>
          <w:ilvl w:val="0"/>
          <w:numId w:val="2"/>
        </w:numPr>
        <w:spacing w:before="100" w:beforeAutospacing="1" w:after="100" w:afterAutospacing="1" w:line="240" w:lineRule="auto"/>
        <w:rPr>
          <w:rFonts w:ascii="Times New Roman" w:hAnsi="Times New Roman"/>
          <w:sz w:val="24"/>
          <w:szCs w:val="24"/>
        </w:rPr>
      </w:pPr>
      <w:r w:rsidRPr="00BC17B3">
        <w:rPr>
          <w:rFonts w:ascii="Times New Roman" w:hAnsi="Times New Roman"/>
          <w:sz w:val="24"/>
          <w:szCs w:val="24"/>
        </w:rPr>
        <w:t>Texas passed an act that eases the burden for first responders filing PTSD claims, requiring the lower standard of proof: “preponderance of evidence” and without the need to declare medical impairment.</w:t>
      </w:r>
    </w:p>
    <w:p w14:paraId="2444D22A" w14:textId="77777777" w:rsidR="00F326E5" w:rsidRPr="00BC17B3" w:rsidRDefault="00F326E5" w:rsidP="00F326E5">
      <w:pPr>
        <w:numPr>
          <w:ilvl w:val="0"/>
          <w:numId w:val="2"/>
        </w:numPr>
        <w:spacing w:before="100" w:beforeAutospacing="1" w:after="100" w:afterAutospacing="1" w:line="240" w:lineRule="auto"/>
        <w:rPr>
          <w:rFonts w:ascii="Times New Roman" w:eastAsia="Times New Roman" w:hAnsi="Times New Roman"/>
          <w:sz w:val="24"/>
          <w:szCs w:val="24"/>
        </w:rPr>
      </w:pPr>
      <w:r w:rsidRPr="00BC17B3">
        <w:rPr>
          <w:rFonts w:ascii="Times New Roman" w:hAnsi="Times New Roman"/>
          <w:sz w:val="24"/>
          <w:szCs w:val="24"/>
        </w:rPr>
        <w:t xml:space="preserve">New York included PTSD references in the 2018 budget that would allow first responders to claim personal injury based on “extraordinary work-related stress” [Hanson &amp; Watson, “Addressing the Emergence of PTSD Presumption: Issues and Solutions” pdf]. </w:t>
      </w:r>
    </w:p>
    <w:p w14:paraId="7F3F4A87" w14:textId="77777777" w:rsidR="00F326E5" w:rsidRPr="00BC17B3" w:rsidRDefault="00F326E5" w:rsidP="00F326E5">
      <w:pPr>
        <w:pStyle w:val="Heading1"/>
        <w:ind w:left="720"/>
        <w:rPr>
          <w:sz w:val="24"/>
          <w:szCs w:val="24"/>
        </w:rPr>
      </w:pPr>
      <w:r w:rsidRPr="00BC17B3">
        <w:rPr>
          <w:sz w:val="24"/>
          <w:szCs w:val="24"/>
        </w:rPr>
        <w:t xml:space="preserve">See also Jan. 17, </w:t>
      </w:r>
      <w:proofErr w:type="gramStart"/>
      <w:r w:rsidRPr="00BC17B3">
        <w:rPr>
          <w:sz w:val="24"/>
          <w:szCs w:val="24"/>
        </w:rPr>
        <w:t>2019</w:t>
      </w:r>
      <w:proofErr w:type="gramEnd"/>
      <w:r w:rsidRPr="00BC17B3">
        <w:rPr>
          <w:sz w:val="24"/>
          <w:szCs w:val="24"/>
        </w:rPr>
        <w:t xml:space="preserve"> article from Massachusetts: “Critical incident intervention for first responders bill signed into law.” </w:t>
      </w:r>
      <w:hyperlink r:id="rId2525" w:history="1">
        <w:r w:rsidRPr="00BC17B3">
          <w:rPr>
            <w:rStyle w:val="Hyperlink"/>
            <w:sz w:val="24"/>
            <w:szCs w:val="24"/>
          </w:rPr>
          <w:t>https://www.wwlp.com/news/massachusetts/critical-incident-intervention-for-first-responders-bill-signed-into-law/1706453191</w:t>
        </w:r>
      </w:hyperlink>
      <w:r w:rsidRPr="00BC17B3">
        <w:rPr>
          <w:sz w:val="24"/>
          <w:szCs w:val="24"/>
        </w:rPr>
        <w:t xml:space="preserve"> </w:t>
      </w:r>
    </w:p>
    <w:bookmarkEnd w:id="587"/>
    <w:p w14:paraId="5FAAE6C5" w14:textId="77777777" w:rsidR="00536545" w:rsidRDefault="00536545" w:rsidP="000C4DF5">
      <w:pPr>
        <w:pStyle w:val="NoSpacing"/>
        <w:rPr>
          <w:rFonts w:ascii="Arial Black" w:hAnsi="Arial Black"/>
          <w:sz w:val="24"/>
          <w:szCs w:val="24"/>
        </w:rPr>
      </w:pPr>
    </w:p>
    <w:p w14:paraId="34B2A7A8" w14:textId="2D16D30A" w:rsidR="000C4DF5" w:rsidRDefault="000C4DF5" w:rsidP="000C4DF5">
      <w:pPr>
        <w:pStyle w:val="NoSpacing"/>
        <w:rPr>
          <w:rFonts w:ascii="Arial Black" w:hAnsi="Arial Black"/>
          <w:sz w:val="24"/>
          <w:szCs w:val="24"/>
        </w:rPr>
      </w:pPr>
      <w:r>
        <w:rPr>
          <w:rFonts w:ascii="Arial Black" w:hAnsi="Arial Black"/>
          <w:sz w:val="24"/>
          <w:szCs w:val="24"/>
        </w:rPr>
        <w:t>15-1</w:t>
      </w:r>
    </w:p>
    <w:p w14:paraId="0A6358D3" w14:textId="77777777" w:rsidR="00F326E5" w:rsidRDefault="00F326E5" w:rsidP="00F326E5">
      <w:pPr>
        <w:pStyle w:val="NoSpacing"/>
        <w:rPr>
          <w:sz w:val="24"/>
          <w:szCs w:val="24"/>
        </w:rPr>
      </w:pPr>
    </w:p>
    <w:p w14:paraId="34F9950D" w14:textId="0EB6C5DB" w:rsidR="00F326E5" w:rsidRDefault="00F326E5" w:rsidP="00F326E5">
      <w:pPr>
        <w:pStyle w:val="NoSpacing"/>
        <w:rPr>
          <w:rFonts w:ascii="Arial Black" w:hAnsi="Arial Black"/>
          <w:b/>
          <w:sz w:val="28"/>
          <w:szCs w:val="28"/>
        </w:rPr>
      </w:pPr>
      <w:bookmarkStart w:id="589" w:name="_Hlk39772846"/>
      <w:bookmarkStart w:id="590" w:name="_Hlk7348476"/>
      <w:r w:rsidRPr="008C56F7">
        <w:rPr>
          <w:rFonts w:ascii="Arial Black" w:hAnsi="Arial Black"/>
          <w:b/>
          <w:sz w:val="28"/>
          <w:szCs w:val="28"/>
        </w:rPr>
        <w:t>NJ</w:t>
      </w:r>
      <w:r>
        <w:rPr>
          <w:rFonts w:ascii="Arial Black" w:hAnsi="Arial Black"/>
          <w:b/>
          <w:sz w:val="28"/>
          <w:szCs w:val="28"/>
        </w:rPr>
        <w:t xml:space="preserve">: </w:t>
      </w:r>
      <w:r w:rsidRPr="008C56F7">
        <w:rPr>
          <w:rFonts w:ascii="Arial Black" w:hAnsi="Arial Black"/>
          <w:b/>
          <w:sz w:val="28"/>
          <w:szCs w:val="28"/>
        </w:rPr>
        <w:t xml:space="preserve">PTSD – </w:t>
      </w:r>
      <w:r>
        <w:rPr>
          <w:rFonts w:ascii="Arial Black" w:hAnsi="Arial Black"/>
          <w:b/>
          <w:sz w:val="28"/>
          <w:szCs w:val="28"/>
        </w:rPr>
        <w:t xml:space="preserve">POLICE OFFICERS MUST PROVE EXPERIENCED “TERRIFYING” &amp; “UNEXPECTED” EVENT </w:t>
      </w:r>
    </w:p>
    <w:p w14:paraId="3E2AA062" w14:textId="77777777" w:rsidR="005B7BBD" w:rsidRDefault="00F326E5" w:rsidP="00F326E5">
      <w:pPr>
        <w:pStyle w:val="NoSpacing"/>
        <w:rPr>
          <w:rFonts w:ascii="Times New Roman" w:eastAsia="Times New Roman" w:hAnsi="Times New Roman"/>
          <w:sz w:val="24"/>
          <w:szCs w:val="24"/>
        </w:rPr>
      </w:pPr>
      <w:r w:rsidRPr="00BC17B3">
        <w:rPr>
          <w:rFonts w:ascii="Times New Roman" w:eastAsia="Times New Roman" w:hAnsi="Times New Roman"/>
          <w:sz w:val="24"/>
          <w:szCs w:val="24"/>
        </w:rPr>
        <w:t xml:space="preserve">On June 5, 2018, in </w:t>
      </w:r>
      <w:r w:rsidRPr="00BC17B3">
        <w:rPr>
          <w:rFonts w:ascii="Times New Roman" w:eastAsia="Times New Roman" w:hAnsi="Times New Roman"/>
          <w:sz w:val="24"/>
          <w:szCs w:val="24"/>
          <w:u w:val="single"/>
        </w:rPr>
        <w:t>Christopher Mount v. Board of Trustees, Police and Fireman’s Retirement System</w:t>
      </w:r>
      <w:r w:rsidRPr="00BC17B3">
        <w:rPr>
          <w:rFonts w:ascii="Times New Roman" w:eastAsia="Times New Roman" w:hAnsi="Times New Roman"/>
          <w:sz w:val="24"/>
          <w:szCs w:val="24"/>
        </w:rPr>
        <w:t xml:space="preserve">, the New Jersey Supreme Court (7 to 0) held in two cases (1) that police officer who observed three teenagers burned to death in MVA may have a claim; but (2) police hostage negotiator has no claim when SWAT Team killed the assailant.  </w:t>
      </w:r>
    </w:p>
    <w:p w14:paraId="2F23A738" w14:textId="77777777" w:rsidR="005B7BBD" w:rsidRDefault="005B7BBD" w:rsidP="00F326E5">
      <w:pPr>
        <w:pStyle w:val="NoSpacing"/>
        <w:rPr>
          <w:rFonts w:ascii="Times New Roman" w:eastAsia="Times New Roman" w:hAnsi="Times New Roman"/>
          <w:sz w:val="24"/>
          <w:szCs w:val="24"/>
        </w:rPr>
      </w:pPr>
    </w:p>
    <w:p w14:paraId="65D7E4CB" w14:textId="0457960A" w:rsidR="00F326E5" w:rsidRPr="00BC17B3" w:rsidRDefault="00F326E5" w:rsidP="005B7BBD">
      <w:pPr>
        <w:pStyle w:val="NoSpacing"/>
        <w:ind w:left="720"/>
        <w:rPr>
          <w:rFonts w:ascii="Times New Roman" w:eastAsia="Times New Roman" w:hAnsi="Times New Roman"/>
          <w:sz w:val="24"/>
          <w:szCs w:val="24"/>
        </w:rPr>
      </w:pPr>
      <w:r w:rsidRPr="00BC17B3">
        <w:rPr>
          <w:rFonts w:ascii="Times New Roman" w:eastAsia="Times New Roman" w:hAnsi="Times New Roman"/>
          <w:sz w:val="24"/>
          <w:szCs w:val="24"/>
        </w:rPr>
        <w:t xml:space="preserve">“Although the shooting was clearly devastating to Martinez -- an officer exemplary for his professionalism and compassion in highly stressful circumstances -- it was not “unexpected….” </w:t>
      </w:r>
    </w:p>
    <w:p w14:paraId="26712E1E" w14:textId="61523A8C" w:rsidR="00F326E5" w:rsidRPr="00BC17B3" w:rsidRDefault="005B7BBD" w:rsidP="005B7BBD">
      <w:pPr>
        <w:ind w:firstLine="720"/>
        <w:rPr>
          <w:rFonts w:ascii="Times New Roman" w:eastAsia="Times New Roman" w:hAnsi="Times New Roman"/>
          <w:sz w:val="24"/>
          <w:szCs w:val="24"/>
        </w:rPr>
      </w:pPr>
      <w:hyperlink r:id="rId2526" w:history="1">
        <w:r w:rsidRPr="00D07486">
          <w:rPr>
            <w:rStyle w:val="Hyperlink"/>
            <w:rFonts w:ascii="Times New Roman" w:hAnsi="Times New Roman"/>
            <w:sz w:val="24"/>
            <w:szCs w:val="24"/>
          </w:rPr>
          <w:t>https://law.justia.com/cases/new-jersey/supreme-court/2018/a-9-16.html</w:t>
        </w:r>
      </w:hyperlink>
      <w:bookmarkEnd w:id="589"/>
      <w:r w:rsidR="00F326E5" w:rsidRPr="00BC17B3">
        <w:rPr>
          <w:rFonts w:ascii="Times New Roman" w:eastAsia="Times New Roman" w:hAnsi="Times New Roman"/>
          <w:sz w:val="24"/>
          <w:szCs w:val="24"/>
        </w:rPr>
        <w:t xml:space="preserve"> </w:t>
      </w:r>
    </w:p>
    <w:p w14:paraId="5F02FDBA" w14:textId="336E5178" w:rsidR="00F326E5" w:rsidRPr="00BC17B3" w:rsidRDefault="00F326E5" w:rsidP="00F326E5">
      <w:pPr>
        <w:pStyle w:val="HTMLPreformatted"/>
        <w:rPr>
          <w:rFonts w:ascii="Times New Roman" w:hAnsi="Times New Roman" w:cs="Times New Roman"/>
          <w:b/>
          <w:sz w:val="24"/>
          <w:szCs w:val="24"/>
        </w:rPr>
      </w:pPr>
      <w:bookmarkStart w:id="591" w:name="_Hlk40516566"/>
      <w:r w:rsidRPr="00BC17B3">
        <w:rPr>
          <w:rFonts w:ascii="Times New Roman" w:hAnsi="Times New Roman" w:cs="Times New Roman"/>
          <w:b/>
          <w:sz w:val="24"/>
          <w:szCs w:val="24"/>
        </w:rPr>
        <w:t xml:space="preserve">Legal Lessons Learned:  PTSD accidental disbenefit ability claims, with no physical injury, are particularly difficult </w:t>
      </w:r>
      <w:r w:rsidR="000164B1">
        <w:rPr>
          <w:rFonts w:ascii="Times New Roman" w:hAnsi="Times New Roman" w:cs="Times New Roman"/>
          <w:b/>
          <w:sz w:val="24"/>
          <w:szCs w:val="24"/>
        </w:rPr>
        <w:t>to prove.</w:t>
      </w:r>
    </w:p>
    <w:bookmarkEnd w:id="591"/>
    <w:p w14:paraId="10CCB7B1" w14:textId="77777777" w:rsidR="00F326E5" w:rsidRDefault="00F326E5" w:rsidP="00F326E5">
      <w:pPr>
        <w:rPr>
          <w:rFonts w:ascii="Arial Black" w:hAnsi="Arial Black"/>
          <w:sz w:val="40"/>
          <w:szCs w:val="40"/>
        </w:rPr>
      </w:pPr>
      <w:r>
        <w:rPr>
          <w:rFonts w:ascii="Arial Black" w:hAnsi="Arial Black"/>
          <w:sz w:val="40"/>
          <w:szCs w:val="40"/>
        </w:rPr>
        <w:br w:type="page"/>
      </w:r>
    </w:p>
    <w:bookmarkEnd w:id="590"/>
    <w:p w14:paraId="18AFC317" w14:textId="77777777" w:rsidR="00F326E5" w:rsidRPr="007732FA" w:rsidRDefault="00F326E5" w:rsidP="00F326E5">
      <w:pPr>
        <w:pStyle w:val="NoSpacing"/>
        <w:rPr>
          <w:rFonts w:ascii="Arial Black" w:hAnsi="Arial Black"/>
          <w:sz w:val="40"/>
          <w:szCs w:val="40"/>
        </w:rPr>
      </w:pPr>
    </w:p>
    <w:p w14:paraId="1C364A7F" w14:textId="77777777" w:rsidR="00635D7C" w:rsidRDefault="00635D7C" w:rsidP="00F326E5">
      <w:pPr>
        <w:pStyle w:val="NoSpacing"/>
        <w:rPr>
          <w:rFonts w:ascii="Arial Black" w:hAnsi="Arial Black"/>
          <w:sz w:val="40"/>
          <w:szCs w:val="40"/>
        </w:rPr>
      </w:pPr>
    </w:p>
    <w:p w14:paraId="1EF127B7" w14:textId="77777777" w:rsidR="00635D7C" w:rsidRDefault="00635D7C" w:rsidP="00F326E5">
      <w:pPr>
        <w:pStyle w:val="NoSpacing"/>
        <w:rPr>
          <w:rFonts w:ascii="Arial Black" w:hAnsi="Arial Black"/>
          <w:sz w:val="40"/>
          <w:szCs w:val="40"/>
        </w:rPr>
      </w:pPr>
    </w:p>
    <w:p w14:paraId="5DC8F06C" w14:textId="77777777" w:rsidR="00635D7C" w:rsidRDefault="00635D7C" w:rsidP="00F326E5">
      <w:pPr>
        <w:pStyle w:val="NoSpacing"/>
        <w:rPr>
          <w:rFonts w:ascii="Arial Black" w:hAnsi="Arial Black"/>
          <w:sz w:val="40"/>
          <w:szCs w:val="40"/>
        </w:rPr>
      </w:pPr>
    </w:p>
    <w:p w14:paraId="50F1B38C" w14:textId="77777777" w:rsidR="00635D7C" w:rsidRDefault="00635D7C" w:rsidP="00F326E5">
      <w:pPr>
        <w:pStyle w:val="NoSpacing"/>
        <w:rPr>
          <w:rFonts w:ascii="Arial Black" w:hAnsi="Arial Black"/>
          <w:sz w:val="40"/>
          <w:szCs w:val="40"/>
        </w:rPr>
      </w:pPr>
    </w:p>
    <w:p w14:paraId="07D35F4C" w14:textId="77777777" w:rsidR="00635D7C" w:rsidRDefault="00635D7C" w:rsidP="00F326E5">
      <w:pPr>
        <w:pStyle w:val="NoSpacing"/>
        <w:rPr>
          <w:rFonts w:ascii="Arial Black" w:hAnsi="Arial Black"/>
          <w:sz w:val="40"/>
          <w:szCs w:val="40"/>
        </w:rPr>
      </w:pPr>
    </w:p>
    <w:p w14:paraId="18AC572B" w14:textId="77777777" w:rsidR="00635D7C" w:rsidRDefault="00635D7C" w:rsidP="00F326E5">
      <w:pPr>
        <w:pStyle w:val="NoSpacing"/>
        <w:rPr>
          <w:rFonts w:ascii="Arial Black" w:hAnsi="Arial Black"/>
          <w:sz w:val="40"/>
          <w:szCs w:val="40"/>
        </w:rPr>
      </w:pPr>
    </w:p>
    <w:p w14:paraId="4E504245" w14:textId="77777777" w:rsidR="00635D7C" w:rsidRDefault="00635D7C" w:rsidP="00F326E5">
      <w:pPr>
        <w:pStyle w:val="NoSpacing"/>
        <w:rPr>
          <w:rFonts w:ascii="Arial Black" w:hAnsi="Arial Black"/>
          <w:sz w:val="40"/>
          <w:szCs w:val="40"/>
        </w:rPr>
      </w:pPr>
    </w:p>
    <w:p w14:paraId="5F3A9ACC" w14:textId="77777777" w:rsidR="00635D7C" w:rsidRDefault="00635D7C" w:rsidP="00F326E5">
      <w:pPr>
        <w:pStyle w:val="NoSpacing"/>
        <w:rPr>
          <w:rFonts w:ascii="Arial Black" w:hAnsi="Arial Black"/>
          <w:sz w:val="40"/>
          <w:szCs w:val="40"/>
        </w:rPr>
      </w:pPr>
    </w:p>
    <w:p w14:paraId="5C936DAB" w14:textId="77777777" w:rsidR="00635D7C" w:rsidRDefault="00635D7C" w:rsidP="00F326E5">
      <w:pPr>
        <w:pStyle w:val="NoSpacing"/>
        <w:rPr>
          <w:rFonts w:ascii="Arial Black" w:hAnsi="Arial Black"/>
          <w:sz w:val="40"/>
          <w:szCs w:val="40"/>
        </w:rPr>
      </w:pPr>
    </w:p>
    <w:p w14:paraId="0C1B4DD9" w14:textId="77777777" w:rsidR="00635D7C" w:rsidRDefault="00635D7C" w:rsidP="00F326E5">
      <w:pPr>
        <w:pStyle w:val="NoSpacing"/>
        <w:rPr>
          <w:rFonts w:ascii="Arial Black" w:hAnsi="Arial Black"/>
          <w:sz w:val="40"/>
          <w:szCs w:val="40"/>
        </w:rPr>
      </w:pPr>
    </w:p>
    <w:p w14:paraId="4DBF6E21" w14:textId="77777777" w:rsidR="00635D7C" w:rsidRDefault="00635D7C" w:rsidP="00F326E5">
      <w:pPr>
        <w:pStyle w:val="NoSpacing"/>
        <w:rPr>
          <w:rFonts w:ascii="Arial Black" w:hAnsi="Arial Black"/>
          <w:sz w:val="40"/>
          <w:szCs w:val="40"/>
        </w:rPr>
      </w:pPr>
    </w:p>
    <w:p w14:paraId="06207580" w14:textId="77777777" w:rsidR="00635D7C" w:rsidRDefault="00635D7C" w:rsidP="00F326E5">
      <w:pPr>
        <w:pStyle w:val="NoSpacing"/>
        <w:rPr>
          <w:rFonts w:ascii="Arial Black" w:hAnsi="Arial Black"/>
          <w:sz w:val="40"/>
          <w:szCs w:val="40"/>
        </w:rPr>
      </w:pPr>
    </w:p>
    <w:p w14:paraId="44DE41E7" w14:textId="77777777" w:rsidR="00635D7C" w:rsidRDefault="00635D7C" w:rsidP="00F326E5">
      <w:pPr>
        <w:pStyle w:val="NoSpacing"/>
        <w:rPr>
          <w:rFonts w:ascii="Arial Black" w:hAnsi="Arial Black"/>
          <w:sz w:val="40"/>
          <w:szCs w:val="40"/>
        </w:rPr>
      </w:pPr>
    </w:p>
    <w:p w14:paraId="2E176D95" w14:textId="77777777" w:rsidR="00635D7C" w:rsidRDefault="00635D7C" w:rsidP="00F326E5">
      <w:pPr>
        <w:pStyle w:val="NoSpacing"/>
        <w:rPr>
          <w:rFonts w:ascii="Arial Black" w:hAnsi="Arial Black"/>
          <w:sz w:val="40"/>
          <w:szCs w:val="40"/>
        </w:rPr>
      </w:pPr>
    </w:p>
    <w:p w14:paraId="7BA50ADF" w14:textId="77777777" w:rsidR="00635D7C" w:rsidRDefault="00635D7C" w:rsidP="00F326E5">
      <w:pPr>
        <w:pStyle w:val="NoSpacing"/>
        <w:rPr>
          <w:rFonts w:ascii="Arial Black" w:hAnsi="Arial Black"/>
          <w:sz w:val="40"/>
          <w:szCs w:val="40"/>
        </w:rPr>
      </w:pPr>
    </w:p>
    <w:p w14:paraId="3ED9AA9C" w14:textId="77777777" w:rsidR="00635D7C" w:rsidRDefault="00635D7C" w:rsidP="00F326E5">
      <w:pPr>
        <w:pStyle w:val="NoSpacing"/>
        <w:rPr>
          <w:rFonts w:ascii="Arial Black" w:hAnsi="Arial Black"/>
          <w:sz w:val="40"/>
          <w:szCs w:val="40"/>
        </w:rPr>
      </w:pPr>
    </w:p>
    <w:p w14:paraId="3B1CCA71" w14:textId="77777777" w:rsidR="00635D7C" w:rsidRDefault="00635D7C" w:rsidP="00F326E5">
      <w:pPr>
        <w:pStyle w:val="NoSpacing"/>
        <w:rPr>
          <w:rFonts w:ascii="Arial Black" w:hAnsi="Arial Black"/>
          <w:sz w:val="40"/>
          <w:szCs w:val="40"/>
        </w:rPr>
      </w:pPr>
    </w:p>
    <w:p w14:paraId="3FA9F2CE" w14:textId="77777777" w:rsidR="00635D7C" w:rsidRDefault="00635D7C" w:rsidP="00F326E5">
      <w:pPr>
        <w:pStyle w:val="NoSpacing"/>
        <w:rPr>
          <w:rFonts w:ascii="Arial Black" w:hAnsi="Arial Black"/>
          <w:sz w:val="40"/>
          <w:szCs w:val="40"/>
        </w:rPr>
      </w:pPr>
    </w:p>
    <w:p w14:paraId="789A0237" w14:textId="77777777" w:rsidR="00635D7C" w:rsidRDefault="00635D7C" w:rsidP="00F326E5">
      <w:pPr>
        <w:pStyle w:val="NoSpacing"/>
        <w:rPr>
          <w:rFonts w:ascii="Arial Black" w:hAnsi="Arial Black"/>
          <w:sz w:val="40"/>
          <w:szCs w:val="40"/>
        </w:rPr>
      </w:pPr>
    </w:p>
    <w:p w14:paraId="7BA9F1B7" w14:textId="77777777" w:rsidR="00635D7C" w:rsidRDefault="00635D7C" w:rsidP="00F326E5">
      <w:pPr>
        <w:pStyle w:val="NoSpacing"/>
        <w:rPr>
          <w:rFonts w:ascii="Arial Black" w:hAnsi="Arial Black"/>
          <w:sz w:val="40"/>
          <w:szCs w:val="40"/>
        </w:rPr>
      </w:pPr>
    </w:p>
    <w:p w14:paraId="54E0BB6D" w14:textId="77777777" w:rsidR="00635D7C" w:rsidRDefault="00635D7C" w:rsidP="00F326E5">
      <w:pPr>
        <w:pStyle w:val="NoSpacing"/>
        <w:rPr>
          <w:rFonts w:ascii="Arial Black" w:hAnsi="Arial Black"/>
          <w:sz w:val="40"/>
          <w:szCs w:val="40"/>
        </w:rPr>
      </w:pPr>
    </w:p>
    <w:p w14:paraId="5C112D6B" w14:textId="77777777" w:rsidR="00635D7C" w:rsidRDefault="00635D7C" w:rsidP="00F326E5">
      <w:pPr>
        <w:pStyle w:val="NoSpacing"/>
        <w:rPr>
          <w:rFonts w:ascii="Arial Black" w:hAnsi="Arial Black"/>
          <w:sz w:val="40"/>
          <w:szCs w:val="40"/>
        </w:rPr>
      </w:pPr>
    </w:p>
    <w:p w14:paraId="4DB8AF4F" w14:textId="77777777" w:rsidR="00635D7C" w:rsidRDefault="00635D7C" w:rsidP="00F326E5">
      <w:pPr>
        <w:pStyle w:val="NoSpacing"/>
        <w:rPr>
          <w:rFonts w:ascii="Arial Black" w:hAnsi="Arial Black"/>
          <w:sz w:val="40"/>
          <w:szCs w:val="40"/>
        </w:rPr>
      </w:pPr>
    </w:p>
    <w:p w14:paraId="0CE0FD25" w14:textId="77777777" w:rsidR="00635D7C" w:rsidRDefault="00635D7C" w:rsidP="00F326E5">
      <w:pPr>
        <w:pStyle w:val="NoSpacing"/>
        <w:rPr>
          <w:rFonts w:ascii="Arial Black" w:hAnsi="Arial Black"/>
          <w:sz w:val="40"/>
          <w:szCs w:val="40"/>
        </w:rPr>
      </w:pPr>
    </w:p>
    <w:p w14:paraId="29DC0F44" w14:textId="412A3FDE" w:rsidR="00F326E5" w:rsidRDefault="00F326E5" w:rsidP="00F326E5">
      <w:pPr>
        <w:pStyle w:val="NoSpacing"/>
        <w:rPr>
          <w:rFonts w:ascii="Arial Black" w:hAnsi="Arial Black"/>
          <w:sz w:val="40"/>
          <w:szCs w:val="40"/>
        </w:rPr>
      </w:pPr>
      <w:r w:rsidRPr="007732FA">
        <w:rPr>
          <w:rFonts w:ascii="Arial Black" w:hAnsi="Arial Black"/>
          <w:sz w:val="40"/>
          <w:szCs w:val="40"/>
        </w:rPr>
        <w:lastRenderedPageBreak/>
        <w:t>Chap. 16</w:t>
      </w:r>
      <w:r w:rsidRPr="007732FA">
        <w:rPr>
          <w:rFonts w:ascii="Arial Black" w:hAnsi="Arial Black"/>
          <w:sz w:val="40"/>
          <w:szCs w:val="40"/>
        </w:rPr>
        <w:tab/>
      </w:r>
      <w:r w:rsidRPr="007732FA">
        <w:rPr>
          <w:rFonts w:ascii="Arial Black" w:hAnsi="Arial Black"/>
          <w:sz w:val="40"/>
          <w:szCs w:val="40"/>
        </w:rPr>
        <w:tab/>
        <w:t>Discipline</w:t>
      </w:r>
      <w:r w:rsidRPr="007732FA">
        <w:rPr>
          <w:rFonts w:ascii="Arial Black" w:hAnsi="Arial Black"/>
          <w:sz w:val="40"/>
          <w:szCs w:val="40"/>
        </w:rPr>
        <w:tab/>
      </w:r>
      <w:r w:rsidR="00BC5936">
        <w:rPr>
          <w:rFonts w:ascii="Arial Black" w:hAnsi="Arial Black"/>
          <w:sz w:val="40"/>
          <w:szCs w:val="40"/>
        </w:rPr>
        <w:t>, incl. Social Media</w:t>
      </w:r>
    </w:p>
    <w:p w14:paraId="7A42693C" w14:textId="77777777" w:rsidR="00F326E5" w:rsidRDefault="00F326E5" w:rsidP="00F326E5">
      <w:pPr>
        <w:pStyle w:val="NoSpacing"/>
        <w:rPr>
          <w:b/>
          <w:sz w:val="24"/>
          <w:szCs w:val="24"/>
        </w:rPr>
      </w:pPr>
    </w:p>
    <w:p w14:paraId="2C42CFFE" w14:textId="32881EDC" w:rsidR="002C229D" w:rsidRDefault="002C229D" w:rsidP="002C229D">
      <w:pPr>
        <w:pStyle w:val="NoSpacing"/>
        <w:rPr>
          <w:rFonts w:ascii="Arial Black" w:hAnsi="Arial Black"/>
          <w:b/>
          <w:sz w:val="28"/>
          <w:szCs w:val="28"/>
        </w:rPr>
      </w:pPr>
      <w:r>
        <w:rPr>
          <w:rFonts w:ascii="Arial Black" w:hAnsi="Arial Black"/>
          <w:b/>
          <w:sz w:val="28"/>
          <w:szCs w:val="28"/>
        </w:rPr>
        <w:t>16-164</w:t>
      </w:r>
    </w:p>
    <w:p w14:paraId="0D604C8F" w14:textId="77777777" w:rsidR="002C229D" w:rsidRDefault="002C229D" w:rsidP="002C229D">
      <w:pPr>
        <w:pStyle w:val="NoSpacing"/>
        <w:rPr>
          <w:rFonts w:ascii="Arial Black" w:hAnsi="Arial Black"/>
          <w:b/>
          <w:sz w:val="28"/>
          <w:szCs w:val="28"/>
        </w:rPr>
      </w:pPr>
    </w:p>
    <w:p w14:paraId="0860131C" w14:textId="1A320E6E" w:rsidR="002C229D" w:rsidRDefault="002C229D" w:rsidP="002C229D">
      <w:pPr>
        <w:pStyle w:val="NoSpacing"/>
        <w:rPr>
          <w:rFonts w:ascii="Arial Black" w:hAnsi="Arial Black"/>
          <w:b/>
          <w:sz w:val="28"/>
          <w:szCs w:val="28"/>
        </w:rPr>
      </w:pPr>
      <w:r>
        <w:rPr>
          <w:rFonts w:ascii="Arial Black" w:hAnsi="Arial Black"/>
          <w:b/>
          <w:sz w:val="28"/>
          <w:szCs w:val="28"/>
        </w:rPr>
        <w:t>PA: EMT – FIRED / REMOVED FD ROUTER – NO UNEMP COMP</w:t>
      </w:r>
    </w:p>
    <w:p w14:paraId="68C9E0BA" w14:textId="77777777" w:rsidR="002C229D" w:rsidRDefault="002C229D" w:rsidP="002C229D">
      <w:pPr>
        <w:pStyle w:val="NoSpacing"/>
        <w:rPr>
          <w:rFonts w:ascii="Arial Black" w:hAnsi="Arial Black"/>
          <w:b/>
          <w:sz w:val="28"/>
          <w:szCs w:val="28"/>
        </w:rPr>
      </w:pPr>
    </w:p>
    <w:p w14:paraId="23BF2B52" w14:textId="77777777" w:rsidR="002C229D" w:rsidRDefault="002C229D" w:rsidP="002C229D">
      <w:pPr>
        <w:pStyle w:val="NoSpacing"/>
      </w:pPr>
      <w:r w:rsidRPr="006B6BDF">
        <w:t xml:space="preserve">On July 24, 2026, in </w:t>
      </w:r>
      <w:r w:rsidRPr="006B6BDF">
        <w:rPr>
          <w:u w:val="single"/>
        </w:rPr>
        <w:t>Malvin Ray Gross v. Unemployment Compensation Board of Review,</w:t>
      </w:r>
      <w:r w:rsidRPr="006B6BDF">
        <w:t xml:space="preserve"> </w:t>
      </w:r>
      <w:r>
        <w:t xml:space="preserve">the  Commonwealth Court of Pennsylvania held (3 to 0; unpublished decision) that the Board properly denied the plaintiff unemployment; he was fired for </w:t>
      </w:r>
      <w:r w:rsidRPr="00100161">
        <w:t>willful misconduct</w:t>
      </w:r>
      <w:r>
        <w:t xml:space="preserve">.  </w:t>
      </w:r>
      <w:hyperlink r:id="rId2527" w:history="1">
        <w:r w:rsidRPr="00CB1E6C">
          <w:rPr>
            <w:rStyle w:val="Hyperlink"/>
          </w:rPr>
          <w:t>https://public.fastcase.com/Jhe1Qn%2BmJndQYQU6z%2FeNm84TSwxTK6G3n62PkU8179htaq5wGjVaUGYSJZSOVzdWyhegWgMqWmHwKwmFy%2BjUN%2FGu5ej6EThZiUJZJf%2FCENA%3D?utm_medium=email&amp;_hsenc=p2ANqtz--F9WEozIdQ7a7aHBPLqx4N-sY1B7PgbJLvKD0e3ZvBos8ijqQnFOLSe1dlkTtitVjG_F048kZlc8yI0LMoiTGsCqcSQA&amp;_hsmi=226712652&amp;utm_content=226712652&amp;utm_source=hs_email</w:t>
        </w:r>
      </w:hyperlink>
      <w:r>
        <w:t xml:space="preserve"> </w:t>
      </w:r>
    </w:p>
    <w:p w14:paraId="77EDA3E8" w14:textId="77777777" w:rsidR="002C229D" w:rsidRDefault="002C229D" w:rsidP="002C229D">
      <w:pPr>
        <w:pStyle w:val="NoSpacing"/>
      </w:pPr>
    </w:p>
    <w:p w14:paraId="72B5E12E" w14:textId="77777777" w:rsidR="002C229D" w:rsidRDefault="002C229D" w:rsidP="002C229D">
      <w:pPr>
        <w:pStyle w:val="NoSpacing"/>
      </w:pPr>
      <w:r>
        <w:t>THE COURT WROTE;</w:t>
      </w:r>
    </w:p>
    <w:p w14:paraId="468CA31D" w14:textId="77777777" w:rsidR="002C229D" w:rsidRDefault="002C229D" w:rsidP="002C229D">
      <w:pPr>
        <w:pStyle w:val="NoSpacing"/>
      </w:pPr>
    </w:p>
    <w:p w14:paraId="1C5A5DB0" w14:textId="77777777" w:rsidR="002C229D" w:rsidRDefault="002C229D" w:rsidP="002C229D">
      <w:pPr>
        <w:pStyle w:val="NoSpacing"/>
      </w:pPr>
      <w:r>
        <w:t>“E</w:t>
      </w:r>
      <w:r w:rsidRPr="00022FE0">
        <w:t>vangelical Community Hospital (Employer) employed Claimant as an Emergency Medical Technician from August 15, 2016, through May 21, 2024,</w:t>
      </w:r>
      <w:r>
        <w:t xml:space="preserve">… </w:t>
      </w:r>
      <w:r w:rsidRPr="00022FE0">
        <w:t xml:space="preserve"> </w:t>
      </w:r>
      <w:proofErr w:type="gramStart"/>
      <w:r w:rsidRPr="00022FE0">
        <w:t>at</w:t>
      </w:r>
      <w:proofErr w:type="gramEnd"/>
      <w:r w:rsidRPr="00022FE0">
        <w:t xml:space="preserve"> which time Employer discharged him for violating Employer's User Account Access Policy, Information Systems Software and Hardware Installation Policy</w:t>
      </w:r>
      <w:r>
        <w:t xml:space="preserve">.  </w:t>
      </w:r>
      <w:r w:rsidRPr="00022FE0">
        <w:t>Deputy Chief Baker testified Claimant admitted to removing the router and replacing it with his own to print from the fire department computer to one of the hospital's printers</w:t>
      </w:r>
      <w:r>
        <w:t xml:space="preserve">…. </w:t>
      </w:r>
      <w:r w:rsidRPr="00022FE0">
        <w:t>On March 14, 2024,</w:t>
      </w:r>
      <w:r>
        <w:t xml:space="preserve"> </w:t>
      </w:r>
      <w:r w:rsidRPr="00022FE0">
        <w:t xml:space="preserve"> [E]</w:t>
      </w:r>
      <w:proofErr w:type="spellStart"/>
      <w:r w:rsidRPr="00022FE0">
        <w:t>mployer</w:t>
      </w:r>
      <w:proofErr w:type="spellEnd"/>
      <w:r w:rsidRPr="00022FE0">
        <w:t xml:space="preserve"> became aware that</w:t>
      </w:r>
      <w:r>
        <w:t xml:space="preserve"> </w:t>
      </w:r>
      <w:r w:rsidRPr="00022FE0">
        <w:t>[C]</w:t>
      </w:r>
      <w:proofErr w:type="spellStart"/>
      <w:r w:rsidRPr="00022FE0">
        <w:t>laimant</w:t>
      </w:r>
      <w:proofErr w:type="spellEnd"/>
      <w:r w:rsidRPr="00022FE0">
        <w:t xml:space="preserve"> had been observed removing a router from his locker and connecting it to existing information technology equipment. During the investigation, [E]</w:t>
      </w:r>
      <w:proofErr w:type="spellStart"/>
      <w:r w:rsidRPr="00022FE0">
        <w:t>mployer</w:t>
      </w:r>
      <w:proofErr w:type="spellEnd"/>
      <w:r w:rsidRPr="00022FE0">
        <w:t>['s] witnesses observed [C]</w:t>
      </w:r>
      <w:proofErr w:type="spellStart"/>
      <w:r w:rsidRPr="00022FE0">
        <w:t>laimant</w:t>
      </w:r>
      <w:proofErr w:type="spellEnd"/>
      <w:r w:rsidRPr="00022FE0">
        <w:t xml:space="preserve"> on video provided by the Milton Fire Department removing a device from his locker, manipulating cables and equipment, and then leaving the area with a device in a plastic grocery bag</w:t>
      </w:r>
      <w:r>
        <w:t>.</w:t>
      </w:r>
    </w:p>
    <w:p w14:paraId="51C8EDB9" w14:textId="77777777" w:rsidR="002C229D" w:rsidRDefault="002C229D" w:rsidP="002C229D">
      <w:pPr>
        <w:pStyle w:val="NoSpacing"/>
      </w:pPr>
    </w:p>
    <w:p w14:paraId="2454A24F" w14:textId="77777777" w:rsidR="002C229D" w:rsidRDefault="002C229D" w:rsidP="002C229D">
      <w:pPr>
        <w:pStyle w:val="NoSpacing"/>
      </w:pPr>
      <w:r>
        <w:t>***</w:t>
      </w:r>
    </w:p>
    <w:p w14:paraId="5DE36AD8" w14:textId="77777777" w:rsidR="002C229D" w:rsidRDefault="002C229D" w:rsidP="002C229D">
      <w:pPr>
        <w:pStyle w:val="NoSpacing"/>
      </w:pPr>
      <w:r w:rsidRPr="00C704EF">
        <w:t>[C]</w:t>
      </w:r>
      <w:proofErr w:type="spellStart"/>
      <w:r w:rsidRPr="00C704EF">
        <w:t>laimant</w:t>
      </w:r>
      <w:proofErr w:type="spellEnd"/>
      <w:r w:rsidRPr="00C704EF">
        <w:t xml:space="preserve"> failed to address these assertions [that the router was his personal property that he loaned to Employer and that he had a receipt regarding his purchase of the router in question] during the hearing despite having the opportunity to do so. The Referee explicitly asked the [C]</w:t>
      </w:r>
      <w:proofErr w:type="spellStart"/>
      <w:r w:rsidRPr="00C704EF">
        <w:t>laimant</w:t>
      </w:r>
      <w:proofErr w:type="spellEnd"/>
      <w:r w:rsidRPr="00C704EF">
        <w:t xml:space="preserve"> why he moved the router; despite this, the [C]</w:t>
      </w:r>
      <w:proofErr w:type="spellStart"/>
      <w:r w:rsidRPr="00C704EF">
        <w:t>laimant</w:t>
      </w:r>
      <w:proofErr w:type="spellEnd"/>
      <w:r w:rsidRPr="00C704EF">
        <w:t xml:space="preserve"> did not assert ownership of the equipment or produce any documentation, such as the receipt, to support his claim at that time. The Board is limited to the evidence presented during the hearing when making its decision, and therefore, it cannot consider the receipt submitted after the hearing</w:t>
      </w:r>
      <w:r>
        <w:t xml:space="preserve">…. </w:t>
      </w:r>
      <w:r w:rsidRPr="00020BD6">
        <w:t xml:space="preserve">Because he did not present any evidence at the hearing, Claimant did not establish good </w:t>
      </w:r>
      <w:proofErr w:type="gramStart"/>
      <w:r w:rsidRPr="00020BD6">
        <w:t>cause existed</w:t>
      </w:r>
      <w:proofErr w:type="gramEnd"/>
      <w:r w:rsidRPr="00020BD6">
        <w:t xml:space="preserve"> for violating Employer's Policies. Consequently, we are constrained to hold the Board did not err in concluding Claimant was ineligible for benefits under Section 402(e).</w:t>
      </w:r>
      <w:r>
        <w:t>”</w:t>
      </w:r>
    </w:p>
    <w:p w14:paraId="7886B882" w14:textId="77777777" w:rsidR="002C229D" w:rsidRDefault="002C229D" w:rsidP="002C229D">
      <w:pPr>
        <w:pStyle w:val="NoSpacing"/>
      </w:pPr>
    </w:p>
    <w:p w14:paraId="63613D79" w14:textId="77777777" w:rsidR="002C229D" w:rsidRPr="00020BD6" w:rsidRDefault="002C229D" w:rsidP="002C229D">
      <w:pPr>
        <w:pStyle w:val="NoSpacing"/>
        <w:rPr>
          <w:b/>
          <w:bCs/>
        </w:rPr>
      </w:pPr>
      <w:r>
        <w:rPr>
          <w:b/>
        </w:rPr>
        <w:t xml:space="preserve">Legal lesson learned: The EMT was fired for </w:t>
      </w:r>
      <w:r w:rsidRPr="00020BD6">
        <w:rPr>
          <w:b/>
        </w:rPr>
        <w:t xml:space="preserve">willful misconduct and is therefore not entitled to unemployment. </w:t>
      </w:r>
    </w:p>
    <w:p w14:paraId="24803AAD" w14:textId="77777777" w:rsidR="002C229D" w:rsidRPr="00020BD6" w:rsidRDefault="002C229D" w:rsidP="002C229D">
      <w:pPr>
        <w:pStyle w:val="NoSpacing"/>
        <w:rPr>
          <w:b/>
          <w:bCs/>
        </w:rPr>
      </w:pPr>
    </w:p>
    <w:p w14:paraId="6657D204" w14:textId="77777777" w:rsidR="002C229D" w:rsidRDefault="002C229D" w:rsidP="002C229D">
      <w:pPr>
        <w:pStyle w:val="NoSpacing"/>
      </w:pPr>
    </w:p>
    <w:p w14:paraId="5220D51E" w14:textId="77777777" w:rsidR="002C229D" w:rsidRDefault="002C229D" w:rsidP="002C229D">
      <w:pPr>
        <w:pStyle w:val="NoSpacing"/>
        <w:rPr>
          <w:b/>
          <w:sz w:val="20"/>
          <w:szCs w:val="20"/>
        </w:rPr>
      </w:pPr>
    </w:p>
    <w:p w14:paraId="509CCECB" w14:textId="77777777" w:rsidR="002C229D" w:rsidRPr="002C229D" w:rsidRDefault="002C229D" w:rsidP="002C229D">
      <w:pPr>
        <w:pStyle w:val="NoSpacing"/>
        <w:rPr>
          <w:rFonts w:ascii="Arial Black" w:hAnsi="Arial Black"/>
          <w:b/>
          <w:sz w:val="24"/>
          <w:szCs w:val="24"/>
        </w:rPr>
      </w:pPr>
    </w:p>
    <w:p w14:paraId="2AB614FE" w14:textId="77777777" w:rsidR="002C229D" w:rsidRPr="002C229D" w:rsidRDefault="002C229D" w:rsidP="002C229D">
      <w:pPr>
        <w:pStyle w:val="NoSpacing"/>
        <w:rPr>
          <w:rFonts w:ascii="Arial Black" w:hAnsi="Arial Black"/>
          <w:b/>
          <w:sz w:val="24"/>
          <w:szCs w:val="24"/>
        </w:rPr>
      </w:pPr>
    </w:p>
    <w:p w14:paraId="6BE38D44" w14:textId="288B8576" w:rsidR="002C229D" w:rsidRPr="002C229D" w:rsidRDefault="002C229D" w:rsidP="002C229D">
      <w:pPr>
        <w:pStyle w:val="NoSpacing"/>
        <w:rPr>
          <w:rFonts w:ascii="Arial Black" w:hAnsi="Arial Black"/>
          <w:b/>
          <w:sz w:val="24"/>
          <w:szCs w:val="24"/>
        </w:rPr>
      </w:pPr>
      <w:r w:rsidRPr="002C229D">
        <w:rPr>
          <w:rFonts w:ascii="Arial Black" w:hAnsi="Arial Black"/>
          <w:b/>
          <w:sz w:val="24"/>
          <w:szCs w:val="24"/>
        </w:rPr>
        <w:t>16-163</w:t>
      </w:r>
    </w:p>
    <w:p w14:paraId="0D6B5A9B" w14:textId="77777777" w:rsidR="002C229D" w:rsidRDefault="002C229D" w:rsidP="002C229D">
      <w:pPr>
        <w:pStyle w:val="NoSpacing"/>
        <w:rPr>
          <w:b/>
        </w:rPr>
      </w:pPr>
    </w:p>
    <w:p w14:paraId="13AF63B0" w14:textId="77777777" w:rsidR="002C229D" w:rsidRDefault="002C229D" w:rsidP="002C229D">
      <w:pPr>
        <w:pStyle w:val="NoSpacing"/>
        <w:rPr>
          <w:rFonts w:ascii="Arial Black" w:hAnsi="Arial Black"/>
          <w:sz w:val="28"/>
          <w:szCs w:val="28"/>
        </w:rPr>
      </w:pPr>
      <w:r>
        <w:rPr>
          <w:rFonts w:ascii="Arial Black" w:hAnsi="Arial Black"/>
          <w:sz w:val="28"/>
          <w:szCs w:val="28"/>
        </w:rPr>
        <w:t xml:space="preserve">NY: FF FIRED / REFUSED COVID - NO UNEMP COMP </w:t>
      </w:r>
    </w:p>
    <w:p w14:paraId="4A9025B0" w14:textId="77777777" w:rsidR="002C229D" w:rsidRDefault="002C229D" w:rsidP="002C229D">
      <w:pPr>
        <w:pStyle w:val="NoSpacing"/>
        <w:rPr>
          <w:rFonts w:ascii="Arial Black" w:hAnsi="Arial Black"/>
          <w:sz w:val="28"/>
          <w:szCs w:val="28"/>
        </w:rPr>
      </w:pPr>
    </w:p>
    <w:p w14:paraId="1702A71C" w14:textId="77777777" w:rsidR="002C229D" w:rsidRDefault="002C229D" w:rsidP="002C229D">
      <w:pPr>
        <w:pStyle w:val="NoSpacing"/>
      </w:pPr>
      <w:r>
        <w:lastRenderedPageBreak/>
        <w:t xml:space="preserve">On July 23, 2026, </w:t>
      </w:r>
      <w:r w:rsidRPr="0033224C">
        <w:rPr>
          <w:u w:val="single"/>
        </w:rPr>
        <w:t>In the Matter of the Claim of Jack Lin</w:t>
      </w:r>
      <w:r>
        <w:t xml:space="preserve">, the NY </w:t>
      </w:r>
      <w:r w:rsidRPr="0033224C">
        <w:t>Supreme Court, Appellate Division, Third Department</w:t>
      </w:r>
      <w:r>
        <w:t xml:space="preserve"> held (5 to 0) that the claimant was properly denied unemployment since he </w:t>
      </w:r>
      <w:r w:rsidRPr="0048241A">
        <w:t>voluntarily left his employment without good cause.</w:t>
      </w:r>
      <w:r>
        <w:t xml:space="preserve"> </w:t>
      </w:r>
      <w:hyperlink r:id="rId2528" w:history="1">
        <w:r w:rsidRPr="004D58FA">
          <w:rPr>
            <w:rStyle w:val="Hyperlink"/>
          </w:rPr>
          <w:t>https://www.nycourts.gov/reporter/current/3dseries/2026/2026_04537.shtml</w:t>
        </w:r>
      </w:hyperlink>
      <w:r>
        <w:t xml:space="preserve"> </w:t>
      </w:r>
    </w:p>
    <w:p w14:paraId="5BD18C4D" w14:textId="77777777" w:rsidR="002C229D" w:rsidRDefault="002C229D" w:rsidP="002C229D">
      <w:pPr>
        <w:pStyle w:val="NoSpacing"/>
      </w:pPr>
    </w:p>
    <w:p w14:paraId="1100497B" w14:textId="77777777" w:rsidR="002C229D" w:rsidRPr="0033224C" w:rsidRDefault="002C229D" w:rsidP="002C229D">
      <w:pPr>
        <w:pStyle w:val="NoSpacing"/>
        <w:rPr>
          <w:bCs/>
        </w:rPr>
      </w:pPr>
      <w:r>
        <w:t xml:space="preserve">THE COURT WROTE: </w:t>
      </w:r>
    </w:p>
    <w:p w14:paraId="530FAF8D" w14:textId="77777777" w:rsidR="002C229D" w:rsidRDefault="002C229D" w:rsidP="002C229D">
      <w:pPr>
        <w:pStyle w:val="NoSpacing"/>
      </w:pPr>
    </w:p>
    <w:p w14:paraId="1BCE9316" w14:textId="77777777" w:rsidR="002C229D" w:rsidRDefault="002C229D" w:rsidP="002C229D">
      <w:pPr>
        <w:pStyle w:val="NoSpacing"/>
      </w:pPr>
      <w:r>
        <w:t>“</w:t>
      </w:r>
      <w:r w:rsidRPr="00340E6E">
        <w:t>In October 2021, the New York City Commissioner of Health and Mental Hygiene mandated that all city employees, with exceptions not relevant here, obtain a COVID-19 vaccine by October 29, 2021. Claimant, an emergency medical technician for the New York City Fire Department, sought a religious exemption from the mandate. The employer denied claimant's request</w:t>
      </w:r>
      <w:r>
        <w:t xml:space="preserve">…. </w:t>
      </w:r>
      <w:r w:rsidRPr="003605EF">
        <w:t xml:space="preserve">Nevertheless, claimant acknowledged that he received the yellow fever vaccine prior to performing missionary work in Kenya in 2015, and that he probably would get a COVID-19 vaccine if it was required to perform missionary work in the future, explaining that we know more about the vaccines than when the mandate was first imposed. When asked to explain the difference between participation in a mission and performing his job as an emergency medical technician, claimant again explained that we now know more about the COVID-19 vaccines. Claimant also testified to, at times, taking </w:t>
      </w:r>
      <w:proofErr w:type="gramStart"/>
      <w:r w:rsidRPr="003605EF">
        <w:t>over-the-counter</w:t>
      </w:r>
      <w:proofErr w:type="gramEnd"/>
      <w:r w:rsidRPr="003605EF">
        <w:t xml:space="preserve"> and prescription drugs, including muscle relaxers and pain medication. Although claimant had expressed concerns regarding the use of fetal stem cells in the COVID-19 vaccines, he testified that he had never researched whether any of the prior vaccinations or medications he had taken had been developed using fetal stem cells</w:t>
      </w:r>
      <w:r>
        <w:t>.</w:t>
      </w:r>
    </w:p>
    <w:p w14:paraId="5EED64D1" w14:textId="77777777" w:rsidR="002C229D" w:rsidRDefault="002C229D" w:rsidP="002C229D">
      <w:pPr>
        <w:pStyle w:val="NoSpacing"/>
      </w:pPr>
    </w:p>
    <w:p w14:paraId="54419E1C" w14:textId="77777777" w:rsidR="002C229D" w:rsidRDefault="002C229D" w:rsidP="002C229D">
      <w:pPr>
        <w:pStyle w:val="NoSpacing"/>
      </w:pPr>
      <w:r>
        <w:t>***</w:t>
      </w:r>
    </w:p>
    <w:p w14:paraId="745B7F7F" w14:textId="77777777" w:rsidR="002C229D" w:rsidRDefault="002C229D" w:rsidP="002C229D">
      <w:pPr>
        <w:pStyle w:val="NoSpacing"/>
      </w:pPr>
    </w:p>
    <w:p w14:paraId="7537177B" w14:textId="77777777" w:rsidR="002C229D" w:rsidRDefault="002C229D" w:rsidP="002C229D">
      <w:pPr>
        <w:pStyle w:val="NoSpacing"/>
      </w:pPr>
      <w:r w:rsidRPr="006C6F07">
        <w:t>Given claimant's inconsistent testimony and admission to taking vaccines in the past and willingness to take them in the future, it was reasonable for the Board to conclude that his refusal to comply with the vaccination mandate was for personal and secular reasons, including safety concerns, rather than for sincerely held religious beliefs and, therefore, that he voluntarily left his employment without good caus</w:t>
      </w:r>
      <w:r>
        <w:t>e.”</w:t>
      </w:r>
    </w:p>
    <w:p w14:paraId="5D8CBCB2" w14:textId="77777777" w:rsidR="002C229D" w:rsidRDefault="002C229D" w:rsidP="002C229D">
      <w:pPr>
        <w:pStyle w:val="NoSpacing"/>
      </w:pPr>
    </w:p>
    <w:p w14:paraId="7B2FF1F8" w14:textId="77777777" w:rsidR="002C229D" w:rsidRPr="0060293A" w:rsidRDefault="002C229D" w:rsidP="002C229D">
      <w:pPr>
        <w:pStyle w:val="NoSpacing"/>
        <w:rPr>
          <w:b/>
          <w:bCs/>
        </w:rPr>
      </w:pPr>
      <w:r>
        <w:rPr>
          <w:b/>
        </w:rPr>
        <w:t>Legal lesson learned: No unemployment compensation if you leave employment without good cause.</w:t>
      </w:r>
    </w:p>
    <w:p w14:paraId="7962BA37" w14:textId="77777777" w:rsidR="002C229D" w:rsidRDefault="002C229D" w:rsidP="002C229D">
      <w:pPr>
        <w:pStyle w:val="NoSpacing"/>
        <w:rPr>
          <w:b/>
        </w:rPr>
      </w:pPr>
    </w:p>
    <w:p w14:paraId="5B8ECB63" w14:textId="77777777" w:rsidR="002C229D" w:rsidRDefault="002C229D" w:rsidP="002C229D">
      <w:pPr>
        <w:pStyle w:val="NoSpacing"/>
        <w:rPr>
          <w:b/>
        </w:rPr>
      </w:pPr>
    </w:p>
    <w:p w14:paraId="101D751A" w14:textId="77777777" w:rsidR="002C229D" w:rsidRDefault="002C229D" w:rsidP="002C229D">
      <w:pPr>
        <w:pStyle w:val="NoSpacing"/>
        <w:rPr>
          <w:b/>
        </w:rPr>
      </w:pPr>
    </w:p>
    <w:p w14:paraId="55221BA5" w14:textId="77777777" w:rsidR="002C229D" w:rsidRDefault="002C229D" w:rsidP="002C229D">
      <w:pPr>
        <w:pStyle w:val="NoSpacing"/>
        <w:rPr>
          <w:b/>
          <w:sz w:val="20"/>
          <w:szCs w:val="20"/>
        </w:rPr>
      </w:pPr>
    </w:p>
    <w:p w14:paraId="188B616F" w14:textId="77777777" w:rsidR="002C229D" w:rsidRDefault="002C229D" w:rsidP="002C229D">
      <w:pPr>
        <w:pStyle w:val="NoSpacing"/>
        <w:rPr>
          <w:b/>
          <w:sz w:val="20"/>
          <w:szCs w:val="20"/>
        </w:rPr>
      </w:pPr>
    </w:p>
    <w:p w14:paraId="3625A6A8" w14:textId="77777777" w:rsidR="002C229D" w:rsidRDefault="002C229D" w:rsidP="002C229D">
      <w:pPr>
        <w:pStyle w:val="NoSpacing"/>
        <w:rPr>
          <w:b/>
          <w:sz w:val="20"/>
          <w:szCs w:val="20"/>
        </w:rPr>
      </w:pPr>
    </w:p>
    <w:p w14:paraId="5D7751DF" w14:textId="77777777" w:rsidR="002C229D" w:rsidRDefault="002C229D" w:rsidP="002C229D">
      <w:pPr>
        <w:pStyle w:val="NoSpacing"/>
        <w:rPr>
          <w:b/>
          <w:sz w:val="20"/>
          <w:szCs w:val="20"/>
        </w:rPr>
      </w:pPr>
    </w:p>
    <w:p w14:paraId="448F4756" w14:textId="406E22B6" w:rsidR="002C229D" w:rsidRPr="002C229D" w:rsidRDefault="002C229D" w:rsidP="002C229D">
      <w:pPr>
        <w:pStyle w:val="NoSpacing"/>
        <w:rPr>
          <w:rFonts w:ascii="Arial Black" w:hAnsi="Arial Black"/>
          <w:sz w:val="24"/>
          <w:szCs w:val="24"/>
        </w:rPr>
      </w:pPr>
      <w:r w:rsidRPr="002C229D">
        <w:rPr>
          <w:rFonts w:ascii="Arial Black" w:hAnsi="Arial Black"/>
          <w:sz w:val="24"/>
          <w:szCs w:val="24"/>
        </w:rPr>
        <w:t>16-162</w:t>
      </w:r>
    </w:p>
    <w:p w14:paraId="2F05F3CB" w14:textId="77777777" w:rsidR="002C229D" w:rsidRDefault="002C229D" w:rsidP="002C229D">
      <w:pPr>
        <w:pStyle w:val="NoSpacing"/>
      </w:pPr>
    </w:p>
    <w:p w14:paraId="47B093D8" w14:textId="77777777" w:rsidR="002C229D" w:rsidRDefault="002C229D" w:rsidP="002C229D">
      <w:pPr>
        <w:pStyle w:val="NoSpacing"/>
        <w:rPr>
          <w:rFonts w:ascii="Arial Black" w:hAnsi="Arial Black"/>
          <w:sz w:val="28"/>
          <w:szCs w:val="28"/>
        </w:rPr>
      </w:pPr>
      <w:r>
        <w:rPr>
          <w:rFonts w:ascii="Arial Black" w:hAnsi="Arial Black"/>
          <w:sz w:val="28"/>
          <w:szCs w:val="28"/>
        </w:rPr>
        <w:t xml:space="preserve">OH: CHIEF INDICTED / SECRET RECORDINGS - REHIRED </w:t>
      </w:r>
    </w:p>
    <w:p w14:paraId="5C24AAFF" w14:textId="77777777" w:rsidR="002C229D" w:rsidRDefault="002C229D" w:rsidP="002C229D">
      <w:pPr>
        <w:pStyle w:val="NoSpacing"/>
      </w:pPr>
    </w:p>
    <w:p w14:paraId="05C0D733" w14:textId="77777777" w:rsidR="002C229D" w:rsidRDefault="002C229D" w:rsidP="002C229D">
      <w:pPr>
        <w:pStyle w:val="NoSpacing"/>
        <w:rPr>
          <w:bCs/>
        </w:rPr>
      </w:pPr>
      <w:r>
        <w:t xml:space="preserve">On July 8, 2026, in </w:t>
      </w:r>
      <w:r w:rsidRPr="00F616C1">
        <w:rPr>
          <w:u w:val="single"/>
        </w:rPr>
        <w:t>State Ex Rel. Brandon Montgomery v. Judy Ruckman</w:t>
      </w:r>
      <w:r>
        <w:t xml:space="preserve">, the </w:t>
      </w:r>
      <w:r w:rsidRPr="00E17CC8">
        <w:t>Court of Appeals of Ohio, Seventh District, Jefferson</w:t>
      </w:r>
      <w:r>
        <w:t xml:space="preserve"> County held (3 to 0) that the Fire Chief’s case is moot – after Feb. 14, </w:t>
      </w:r>
      <w:proofErr w:type="gramStart"/>
      <w:r>
        <w:t>2025</w:t>
      </w:r>
      <w:proofErr w:type="gramEnd"/>
      <w:r>
        <w:t xml:space="preserve"> termination, he was reinstated on September 15, </w:t>
      </w:r>
      <w:proofErr w:type="gramStart"/>
      <w:r>
        <w:t>2025</w:t>
      </w:r>
      <w:proofErr w:type="gramEnd"/>
      <w:r>
        <w:t xml:space="preserve"> Council members of Village</w:t>
      </w:r>
      <w:r w:rsidRPr="00CB0CC4">
        <w:t xml:space="preserve"> of Mingo Junction</w:t>
      </w:r>
      <w:r>
        <w:t xml:space="preserve"> (vote 3 to 2).  He remains on administrative leave pending outcome of a felony indictment; Court declined to hear his complaint Mayor cancel his paid leave Nov. 3, 2025. </w:t>
      </w:r>
      <w:hyperlink r:id="rId2529" w:history="1">
        <w:r w:rsidRPr="008449D0">
          <w:rPr>
            <w:rStyle w:val="Hyperlink"/>
          </w:rPr>
          <w:t>https://www.supremecourt.ohio.gov/rod/docs/pdf/7/2026/2026-Ohio-2671.pdf</w:t>
        </w:r>
      </w:hyperlink>
    </w:p>
    <w:p w14:paraId="520C7BD8" w14:textId="77777777" w:rsidR="002C229D" w:rsidRDefault="002C229D" w:rsidP="002C229D">
      <w:pPr>
        <w:pStyle w:val="NoSpacing"/>
        <w:rPr>
          <w:bCs/>
        </w:rPr>
      </w:pPr>
    </w:p>
    <w:p w14:paraId="43F7EFC6" w14:textId="77777777" w:rsidR="002C229D" w:rsidRPr="00D8212E" w:rsidRDefault="002C229D" w:rsidP="002C229D">
      <w:pPr>
        <w:pStyle w:val="NoSpacing"/>
        <w:ind w:left="720"/>
        <w:rPr>
          <w:bCs/>
        </w:rPr>
      </w:pPr>
      <w:r>
        <w:t>Press Report May 1, 2025: “</w:t>
      </w:r>
      <w:r w:rsidRPr="00D8212E">
        <w:t>Brandon Montgomery, the village fire chief who was on administrative leave until his Feb. 14 termination, has been indicted by a special Jefferson County Grand jury.</w:t>
      </w:r>
      <w:r>
        <w:t xml:space="preserve"> </w:t>
      </w:r>
      <w:r w:rsidRPr="00D8212E">
        <w:t xml:space="preserve">Montgomery, 37, was ordered Wednesday to stand trial on charges he illegally intercepted wire, oral or electronic communications over a </w:t>
      </w:r>
      <w:proofErr w:type="gramStart"/>
      <w:r w:rsidRPr="00D8212E">
        <w:t>4.5 year</w:t>
      </w:r>
      <w:proofErr w:type="gramEnd"/>
      <w:r w:rsidRPr="00D8212E">
        <w:t xml:space="preserve"> period -- beginning in January 2020 and continuing through June 24.</w:t>
      </w:r>
      <w:r>
        <w:t>”</w:t>
      </w:r>
      <w:r w:rsidRPr="00EE66C6">
        <w:t xml:space="preserve"> </w:t>
      </w:r>
      <w:hyperlink r:id="rId2530" w:history="1">
        <w:r w:rsidRPr="00F859BA">
          <w:rPr>
            <w:rStyle w:val="Hyperlink"/>
          </w:rPr>
          <w:t>https://www.heraldstaronline.com/news/local-news/2025/05/former-mingo-fire-chief-indicted-by-grand-jury/</w:t>
        </w:r>
      </w:hyperlink>
      <w:r>
        <w:t xml:space="preserve"> </w:t>
      </w:r>
    </w:p>
    <w:p w14:paraId="19B664C3" w14:textId="77777777" w:rsidR="002C229D" w:rsidRDefault="002C229D" w:rsidP="002C229D">
      <w:pPr>
        <w:pStyle w:val="NoSpacing"/>
        <w:rPr>
          <w:bCs/>
        </w:rPr>
      </w:pPr>
    </w:p>
    <w:p w14:paraId="05443A8D" w14:textId="77777777" w:rsidR="002C229D" w:rsidRDefault="002C229D" w:rsidP="002C229D">
      <w:pPr>
        <w:pStyle w:val="NoSpacing"/>
        <w:rPr>
          <w:bCs/>
        </w:rPr>
      </w:pPr>
    </w:p>
    <w:p w14:paraId="2586DF0F" w14:textId="77777777" w:rsidR="002C229D" w:rsidRDefault="002C229D" w:rsidP="002C229D">
      <w:pPr>
        <w:pStyle w:val="NoSpacing"/>
        <w:rPr>
          <w:bCs/>
        </w:rPr>
      </w:pPr>
      <w:r>
        <w:t>THE COURT WROTE:  “</w:t>
      </w:r>
      <w:r w:rsidRPr="00FB2876">
        <w:t>Montgomery’s motion for summary judgment asserts that on</w:t>
      </w:r>
      <w:r>
        <w:t xml:space="preserve"> </w:t>
      </w:r>
      <w:r w:rsidRPr="00FB2876">
        <w:t xml:space="preserve">November 3, 2025, </w:t>
      </w:r>
      <w:r>
        <w:t xml:space="preserve">[Mayor] </w:t>
      </w:r>
      <w:r w:rsidRPr="00FB2876">
        <w:t>Ruckman placed him on unpaid leave (while maintaining his benefits)</w:t>
      </w:r>
      <w:r>
        <w:t xml:space="preserve"> </w:t>
      </w:r>
      <w:r w:rsidRPr="00FB2876">
        <w:t xml:space="preserve">on the ground that it was not sustainable for the </w:t>
      </w:r>
      <w:r w:rsidRPr="00FB2876">
        <w:lastRenderedPageBreak/>
        <w:t>Village to continue paying his full salary</w:t>
      </w:r>
      <w:r>
        <w:t xml:space="preserve"> </w:t>
      </w:r>
      <w:r w:rsidRPr="00FB2876">
        <w:t>while ensuring that the Fire Department remained properly managed and staffed.</w:t>
      </w:r>
      <w:r>
        <w:t xml:space="preserve"> </w:t>
      </w:r>
      <w:r w:rsidRPr="00FB2876">
        <w:t>Montgomery contends that this action violates Article 33, Section I of the CBA, which</w:t>
      </w:r>
      <w:r>
        <w:t xml:space="preserve"> </w:t>
      </w:r>
      <w:r w:rsidRPr="00FB2876">
        <w:t xml:space="preserve">provides: </w:t>
      </w:r>
      <w:r>
        <w:t xml:space="preserve">     ‘</w:t>
      </w:r>
      <w:r w:rsidRPr="00FB2876">
        <w:t>Any employee charged with or under indictment for a felony that is not</w:t>
      </w:r>
      <w:r>
        <w:t xml:space="preserve"> </w:t>
      </w:r>
      <w:r w:rsidRPr="00FB2876">
        <w:t>disciplined or discharged by the employer, shall be place [sic] on a leave of absence with</w:t>
      </w:r>
      <w:r>
        <w:t xml:space="preserve"> </w:t>
      </w:r>
      <w:r w:rsidRPr="00FB2876">
        <w:t>pay until resolution of the court proceedings.</w:t>
      </w:r>
      <w:r>
        <w:t xml:space="preserve">’… </w:t>
      </w:r>
    </w:p>
    <w:p w14:paraId="4227FFE4" w14:textId="77777777" w:rsidR="002C229D" w:rsidRDefault="002C229D" w:rsidP="002C229D">
      <w:pPr>
        <w:pStyle w:val="NoSpacing"/>
        <w:rPr>
          <w:bCs/>
        </w:rPr>
      </w:pPr>
    </w:p>
    <w:p w14:paraId="1390A592" w14:textId="77777777" w:rsidR="002C229D" w:rsidRDefault="002C229D" w:rsidP="002C229D">
      <w:pPr>
        <w:pStyle w:val="NoSpacing"/>
        <w:rPr>
          <w:bCs/>
        </w:rPr>
      </w:pPr>
      <w:r>
        <w:t>***</w:t>
      </w:r>
    </w:p>
    <w:p w14:paraId="2F2CA06A" w14:textId="77777777" w:rsidR="002C229D" w:rsidRDefault="002C229D" w:rsidP="002C229D">
      <w:pPr>
        <w:pStyle w:val="NoSpacing"/>
        <w:rPr>
          <w:bCs/>
        </w:rPr>
      </w:pPr>
    </w:p>
    <w:p w14:paraId="5E12DC32" w14:textId="77777777" w:rsidR="002C229D" w:rsidRDefault="002C229D" w:rsidP="002C229D">
      <w:pPr>
        <w:pStyle w:val="NoSpacing"/>
        <w:rPr>
          <w:bCs/>
        </w:rPr>
      </w:pPr>
      <w:r w:rsidRPr="00667BD1">
        <w:t>Whatever obligations Article 33, Section I may</w:t>
      </w:r>
      <w:r>
        <w:t xml:space="preserve"> </w:t>
      </w:r>
      <w:r w:rsidRPr="00667BD1">
        <w:t xml:space="preserve">impose on </w:t>
      </w:r>
      <w:r>
        <w:t xml:space="preserve">[Mayor] </w:t>
      </w:r>
      <w:r w:rsidRPr="00667BD1">
        <w:t xml:space="preserve">Ruckman </w:t>
      </w:r>
      <w:proofErr w:type="gramStart"/>
      <w:r w:rsidRPr="00667BD1">
        <w:t>as a consequence of</w:t>
      </w:r>
      <w:proofErr w:type="gramEnd"/>
      <w:r w:rsidRPr="00667BD1">
        <w:t xml:space="preserve"> those later events present a different</w:t>
      </w:r>
      <w:r>
        <w:t xml:space="preserve"> </w:t>
      </w:r>
      <w:r w:rsidRPr="00667BD1">
        <w:t>controversy, on a different theory, requiring a properly pleaded claim and a properly</w:t>
      </w:r>
      <w:r>
        <w:t xml:space="preserve"> </w:t>
      </w:r>
      <w:r w:rsidRPr="00667BD1">
        <w:t>developed evidentiary record.</w:t>
      </w:r>
      <w:r>
        <w:t xml:space="preserve">”  </w:t>
      </w:r>
    </w:p>
    <w:p w14:paraId="14965444" w14:textId="77777777" w:rsidR="002C229D" w:rsidRDefault="002C229D" w:rsidP="002C229D">
      <w:pPr>
        <w:pStyle w:val="NoSpacing"/>
      </w:pPr>
    </w:p>
    <w:p w14:paraId="662B6FF8" w14:textId="77777777" w:rsidR="002C229D" w:rsidRPr="00E84724" w:rsidRDefault="002C229D" w:rsidP="002C229D">
      <w:pPr>
        <w:pStyle w:val="NoSpacing"/>
        <w:rPr>
          <w:b/>
          <w:bCs/>
        </w:rPr>
      </w:pPr>
      <w:r>
        <w:rPr>
          <w:b/>
        </w:rPr>
        <w:t xml:space="preserve">Legal lesson learned:  Felony indictment of a Fire Chief will generally result in being placed on administrative leave.  Whether that is paid or unpaid leave is separate issue – in this case needing further evidence. </w:t>
      </w:r>
    </w:p>
    <w:p w14:paraId="2B7370EF" w14:textId="77777777" w:rsidR="002C229D" w:rsidRDefault="002C229D" w:rsidP="002C229D">
      <w:pPr>
        <w:pStyle w:val="NoSpacing"/>
      </w:pPr>
    </w:p>
    <w:p w14:paraId="06C053A0" w14:textId="77777777" w:rsidR="002C229D" w:rsidRDefault="002C229D" w:rsidP="002C229D">
      <w:pPr>
        <w:pStyle w:val="NoSpacing"/>
        <w:ind w:left="720"/>
        <w:rPr>
          <w:bCs/>
        </w:rPr>
      </w:pPr>
      <w:r>
        <w:t xml:space="preserve">Note: See Sept. 15, </w:t>
      </w:r>
      <w:proofErr w:type="gramStart"/>
      <w:r>
        <w:t>2025</w:t>
      </w:r>
      <w:proofErr w:type="gramEnd"/>
      <w:r>
        <w:t xml:space="preserve"> article: </w:t>
      </w:r>
      <w:r w:rsidRPr="005D77AE">
        <w:t>Former Mingo Junction fire chief reinstated after hearing [</w:t>
      </w:r>
      <w:proofErr w:type="gramStart"/>
      <w:r w:rsidRPr="005D77AE">
        <w:t>includes</w:t>
      </w:r>
      <w:proofErr w:type="gramEnd"/>
      <w:r w:rsidRPr="005D77AE">
        <w:t xml:space="preserve"> TV video]. </w:t>
      </w:r>
      <w:hyperlink r:id="rId2531" w:history="1">
        <w:r w:rsidRPr="005D77AE">
          <w:rPr>
            <w:rStyle w:val="Hyperlink"/>
          </w:rPr>
          <w:t>https://wtov9.com/news/local/former-mingo-junction-fire-chief-reinstated-after-hearing</w:t>
        </w:r>
      </w:hyperlink>
      <w:r w:rsidRPr="005D77AE">
        <w:t xml:space="preserve"> </w:t>
      </w:r>
    </w:p>
    <w:p w14:paraId="1B54C997" w14:textId="77777777" w:rsidR="002C229D" w:rsidRDefault="002C229D" w:rsidP="002C229D">
      <w:pPr>
        <w:pStyle w:val="NoSpacing"/>
        <w:ind w:left="720"/>
        <w:rPr>
          <w:bCs/>
        </w:rPr>
      </w:pPr>
    </w:p>
    <w:p w14:paraId="1EC65CA1" w14:textId="77777777" w:rsidR="002C229D" w:rsidRPr="005D77AE" w:rsidRDefault="002C229D" w:rsidP="002C229D">
      <w:pPr>
        <w:pStyle w:val="NoSpacing"/>
        <w:rPr>
          <w:bCs/>
        </w:rPr>
      </w:pPr>
    </w:p>
    <w:p w14:paraId="14042B2F" w14:textId="0C3007AF" w:rsidR="002C229D" w:rsidRPr="002C229D" w:rsidRDefault="002C229D" w:rsidP="002C229D">
      <w:pPr>
        <w:pStyle w:val="NoSpacing"/>
        <w:rPr>
          <w:rFonts w:ascii="Arial Black" w:hAnsi="Arial Black"/>
          <w:b/>
          <w:sz w:val="24"/>
          <w:szCs w:val="24"/>
        </w:rPr>
      </w:pPr>
      <w:r w:rsidRPr="002C229D">
        <w:rPr>
          <w:rFonts w:ascii="Arial Black" w:hAnsi="Arial Black"/>
          <w:b/>
          <w:sz w:val="24"/>
          <w:szCs w:val="24"/>
        </w:rPr>
        <w:t>16-161</w:t>
      </w:r>
    </w:p>
    <w:p w14:paraId="0171E32E" w14:textId="77777777" w:rsidR="002C229D" w:rsidRDefault="002C229D" w:rsidP="002C229D">
      <w:pPr>
        <w:pStyle w:val="NoSpacing"/>
        <w:rPr>
          <w:b/>
        </w:rPr>
      </w:pPr>
    </w:p>
    <w:p w14:paraId="7EF97453" w14:textId="77777777" w:rsidR="002C229D" w:rsidRPr="0043553C" w:rsidRDefault="002C229D" w:rsidP="002C229D">
      <w:pPr>
        <w:pStyle w:val="NoSpacing"/>
        <w:rPr>
          <w:rFonts w:ascii="Arial Black" w:hAnsi="Arial Black"/>
          <w:b/>
          <w:sz w:val="28"/>
          <w:szCs w:val="28"/>
        </w:rPr>
      </w:pPr>
      <w:r>
        <w:rPr>
          <w:rFonts w:ascii="Arial Black" w:hAnsi="Arial Black"/>
          <w:b/>
          <w:sz w:val="28"/>
          <w:szCs w:val="28"/>
        </w:rPr>
        <w:t>CO: CHIEF FIRED NEW B0ARD – NO 1</w:t>
      </w:r>
      <w:r w:rsidRPr="000B2A1F">
        <w:rPr>
          <w:rFonts w:ascii="Arial Black" w:hAnsi="Arial Black"/>
          <w:b/>
          <w:sz w:val="28"/>
          <w:szCs w:val="28"/>
          <w:vertAlign w:val="superscript"/>
        </w:rPr>
        <w:t>st</w:t>
      </w:r>
      <w:r>
        <w:rPr>
          <w:rFonts w:ascii="Arial Black" w:hAnsi="Arial Black"/>
          <w:b/>
          <w:sz w:val="28"/>
          <w:szCs w:val="28"/>
        </w:rPr>
        <w:t xml:space="preserve"> AMEND / DUTIES</w:t>
      </w:r>
    </w:p>
    <w:p w14:paraId="42F09494" w14:textId="77777777" w:rsidR="002C229D" w:rsidRDefault="002C229D" w:rsidP="002C229D">
      <w:pPr>
        <w:pStyle w:val="NoSpacing"/>
        <w:rPr>
          <w:b/>
        </w:rPr>
      </w:pPr>
    </w:p>
    <w:p w14:paraId="2280D87F" w14:textId="77777777" w:rsidR="002C229D" w:rsidRDefault="002C229D" w:rsidP="002C229D">
      <w:pPr>
        <w:pStyle w:val="NoSpacing"/>
        <w:rPr>
          <w:b/>
        </w:rPr>
      </w:pPr>
      <w:r>
        <w:t xml:space="preserve">On July 7, 2026, in </w:t>
      </w:r>
      <w:r w:rsidRPr="002E44C0">
        <w:rPr>
          <w:u w:val="single"/>
        </w:rPr>
        <w:t>Erik Holt v. Florissant Fire Protection District</w:t>
      </w:r>
      <w:r>
        <w:t xml:space="preserve">, the United States Court of Appeals for Tenth Circuit (Denver) held (3 to 0) that the newly elected Fire Board (5 new members) had legal right to fire the Fire Chief (only full-time member) for allowing insurance to lapse.  The Chief claimed he was fired in retaliation - an incumbent Board member filed a complaint of </w:t>
      </w:r>
      <w:r w:rsidRPr="00916737">
        <w:t>Election Violations in Teller County District Court</w:t>
      </w:r>
      <w:r>
        <w:t xml:space="preserve">, and the Chief provided investigator with video of the voting at the station to the criminal investigator. First Amendment protection does not apply to comments or actions performing official duties. </w:t>
      </w:r>
    </w:p>
    <w:p w14:paraId="43FE34BD" w14:textId="77777777" w:rsidR="002C229D" w:rsidRDefault="002C229D" w:rsidP="002C229D">
      <w:pPr>
        <w:pStyle w:val="NoSpacing"/>
      </w:pPr>
      <w:hyperlink r:id="rId2532" w:history="1">
        <w:r w:rsidRPr="003158CB">
          <w:rPr>
            <w:rStyle w:val="Hyperlink"/>
            <w:b/>
          </w:rPr>
          <w:t>https://cases.justia.com/federal/appellate-courts/ca10/25-1159/25-1159-2026-07-07.pdf?ts=1783443762</w:t>
        </w:r>
      </w:hyperlink>
    </w:p>
    <w:p w14:paraId="0A39FDC5" w14:textId="77777777" w:rsidR="002C229D" w:rsidRDefault="002C229D" w:rsidP="002C229D">
      <w:pPr>
        <w:pStyle w:val="NoSpacing"/>
      </w:pPr>
    </w:p>
    <w:p w14:paraId="6DC93080" w14:textId="77777777" w:rsidR="002C229D" w:rsidRDefault="002C229D" w:rsidP="002C229D">
      <w:pPr>
        <w:pStyle w:val="NoSpacing"/>
      </w:pPr>
      <w:r>
        <w:t xml:space="preserve">THE COURT WROTE; </w:t>
      </w:r>
    </w:p>
    <w:p w14:paraId="5A5698B5" w14:textId="77777777" w:rsidR="002C229D" w:rsidRDefault="002C229D" w:rsidP="002C229D">
      <w:pPr>
        <w:pStyle w:val="NoSpacing"/>
      </w:pPr>
    </w:p>
    <w:p w14:paraId="472D3B7C" w14:textId="77777777" w:rsidR="002C229D" w:rsidRDefault="002C229D" w:rsidP="002C229D">
      <w:pPr>
        <w:pStyle w:val="NoSpacing"/>
      </w:pPr>
      <w:r>
        <w:t>“</w:t>
      </w:r>
      <w:r w:rsidRPr="00207B10">
        <w:t>Erik Holt was employed as Fire Chief by the Florissant Fire Protection District (</w:t>
      </w:r>
      <w:r>
        <w:t>‘</w:t>
      </w:r>
      <w:r w:rsidRPr="00207B10">
        <w:t>FFPD</w:t>
      </w:r>
      <w:r>
        <w:t>’</w:t>
      </w:r>
      <w:r w:rsidRPr="00207B10">
        <w:t>)</w:t>
      </w:r>
      <w:r>
        <w:t xml:space="preserve">…. </w:t>
      </w:r>
      <w:r w:rsidRPr="00916737">
        <w:t>FFPD employed Holt as Fire Chief from April 2022 until June 22, 2023</w:t>
      </w:r>
      <w:r>
        <w:t xml:space="preserve">…. </w:t>
      </w:r>
      <w:r w:rsidRPr="00916737">
        <w:t>During Holt's tenure as Fire Chief, he was the only full-time employee at FFPD. Holt managed the closed-circuit security system, which was operated by a third-party vendor. Holt also controlled physical access to the fire station. Indeed, the record indicates Holt had the power to prevent even members of the board from accessing the firehouse</w:t>
      </w:r>
      <w:r>
        <w:t xml:space="preserve">. </w:t>
      </w:r>
      <w:r w:rsidRPr="00916737">
        <w:t>   On May 2, 2023, an election was held for the FFPD Board, which resulted in the election of five non-incumbent candidates. On the day of the election, Holt was acting in his capacity as Fire Chief. He did not, however, have any official duties as to the conducting of the election. The election took place, with Holt present, at Fire Station 1 at 2606 W. Highway 24, Florissant, Colorado, and by mail-in ballot.  </w:t>
      </w:r>
      <w:r>
        <w:t xml:space="preserve">On </w:t>
      </w:r>
      <w:r w:rsidRPr="00916737">
        <w:t xml:space="preserve">May 15, 2023, Starla Thompson, the incumbent FFPD President, filed a Complaint of Election Violations in Teller County District Court, alleging election fraud against the non-incumbent candidates and election workers. Holt was contacted by an investigator from the Teller County District Attorney's Office, Clint Kramer, who requested that Holt provide footage of the election recorded on FFPD's closed-circuit security system. Holt, with no other individuals present, met with Kramer and provided him with the election-day surveillance video from the fire station. Kramer viewed the videos in Holt's </w:t>
      </w:r>
      <w:proofErr w:type="gramStart"/>
      <w:r w:rsidRPr="00916737">
        <w:t>presence, but</w:t>
      </w:r>
      <w:proofErr w:type="gramEnd"/>
      <w:r w:rsidRPr="00916737">
        <w:t xml:space="preserve"> did not consult Holt as to which portions of the video Kramer should watch. Holt provided oral statements in response to </w:t>
      </w:r>
      <w:r w:rsidRPr="007605D7">
        <w:t xml:space="preserve">Kramer's questions about the video, questions such </w:t>
      </w:r>
      <w:proofErr w:type="gramStart"/>
      <w:r w:rsidRPr="007605D7">
        <w:t xml:space="preserve">as </w:t>
      </w:r>
      <w:r>
        <w:t>‘</w:t>
      </w:r>
      <w:r w:rsidRPr="007605D7">
        <w:t>[h]</w:t>
      </w:r>
      <w:proofErr w:type="gramEnd"/>
      <w:r w:rsidRPr="007605D7">
        <w:t>ow far do you think these people were from this position?</w:t>
      </w:r>
      <w:r>
        <w:t>’</w:t>
      </w:r>
      <w:r w:rsidRPr="007605D7">
        <w:t xml:space="preserve"> Holt also identified individuals appearing on the surveillance video. Furthermore, pursuant to his control of physical access to the fire station, Holt allowed the investigator to view the scene and take measurements</w:t>
      </w:r>
      <w:r>
        <w:t xml:space="preserve">…. </w:t>
      </w:r>
      <w:r w:rsidRPr="007F631E">
        <w:t xml:space="preserve">On June 27, 2023, the Teller County District Court dismissed Thompson's Complaint of Election Violations with prejudice. </w:t>
      </w:r>
    </w:p>
    <w:p w14:paraId="2D4FD4D2" w14:textId="77777777" w:rsidR="002C229D" w:rsidRDefault="002C229D" w:rsidP="002C229D">
      <w:pPr>
        <w:pStyle w:val="NoSpacing"/>
      </w:pPr>
    </w:p>
    <w:p w14:paraId="6AA44EC8" w14:textId="77777777" w:rsidR="002C229D" w:rsidRDefault="002C229D" w:rsidP="002C229D">
      <w:pPr>
        <w:pStyle w:val="NoSpacing"/>
      </w:pPr>
      <w:r>
        <w:t>***</w:t>
      </w:r>
    </w:p>
    <w:p w14:paraId="3C6F4E56" w14:textId="77777777" w:rsidR="002C229D" w:rsidRDefault="002C229D" w:rsidP="002C229D">
      <w:pPr>
        <w:pStyle w:val="NoSpacing"/>
      </w:pPr>
      <w:r w:rsidRPr="007F631E">
        <w:lastRenderedPageBreak/>
        <w:t xml:space="preserve">The new FFPD board terminated Holt's employment on June 22, 2023, ostensibly because Holt's failure to timely renew FFPD's insurance led to a lapse in coverage. Holt asserts the lapsing of the FFPD's insurance is a </w:t>
      </w:r>
      <w:proofErr w:type="gramStart"/>
      <w:r w:rsidRPr="007F631E">
        <w:t>pretext</w:t>
      </w:r>
      <w:proofErr w:type="gramEnd"/>
      <w:r w:rsidRPr="007F631E">
        <w:t xml:space="preserve"> and his termination was, in fact, undertaken in retaliation for his cooperation with a criminal investigator about the new Board's alleged conduct during the May 2, 2023, election</w:t>
      </w:r>
      <w:r>
        <w:t xml:space="preserve">…. </w:t>
      </w:r>
      <w:r w:rsidRPr="00207B10">
        <w:t xml:space="preserve">The district court granted summary judgment to FFPD on the first element of the five-element </w:t>
      </w:r>
      <w:r w:rsidRPr="00207B10">
        <w:rPr>
          <w:i/>
          <w:iCs/>
        </w:rPr>
        <w:t>Garcetti</w:t>
      </w:r>
      <w:r w:rsidRPr="00207B10">
        <w:t>/</w:t>
      </w:r>
      <w:r w:rsidRPr="00207B10">
        <w:rPr>
          <w:i/>
          <w:iCs/>
        </w:rPr>
        <w:t>Pickering</w:t>
      </w:r>
      <w:r w:rsidRPr="00207B10">
        <w:t xml:space="preserve"> test</w:t>
      </w:r>
      <w:r>
        <w:t xml:space="preserve">… </w:t>
      </w:r>
      <w:r w:rsidRPr="00207B10">
        <w:t>That is, the district court concluded Holt's speech was not protected by the First Amendment because the speech was uttered pursuant to Holt's official duties as Fire Chief</w:t>
      </w:r>
      <w:r>
        <w:t xml:space="preserve">…. </w:t>
      </w:r>
      <w:r w:rsidRPr="00207B10">
        <w:t>Holt appeals. Based on the record before the district court,</w:t>
      </w:r>
      <w:r>
        <w:rPr>
          <w:vertAlign w:val="superscript"/>
        </w:rPr>
        <w:t xml:space="preserve"> </w:t>
      </w:r>
      <w:r w:rsidRPr="00207B10">
        <w:t xml:space="preserve"> Holt failed to demonstrate his speech was not made pursuant to his official dutie</w:t>
      </w:r>
      <w:r>
        <w:t xml:space="preserve">s. [Footnote 4: </w:t>
      </w:r>
      <w:r w:rsidRPr="00717F75">
        <w:t xml:space="preserve">The other four elements a public employee must establish to prevail on a First Amendment claim, none of which are at issue in this case, are as follows: (2) the speech involved </w:t>
      </w:r>
      <w:r>
        <w:t>‘</w:t>
      </w:r>
      <w:r w:rsidRPr="00717F75">
        <w:t>a matter of public concern</w:t>
      </w:r>
      <w:r>
        <w:t>’</w:t>
      </w:r>
      <w:r w:rsidRPr="00717F75">
        <w:t xml:space="preserve">; (3) the government's interests as an employer in promoting the efficiency of the public service did not outweigh the plaintiff's interests in free speech; (4) </w:t>
      </w:r>
      <w:r>
        <w:t>‘</w:t>
      </w:r>
      <w:r w:rsidRPr="00717F75">
        <w:t>[t]he protected speech was a motivating factor in the adverse employment action</w:t>
      </w:r>
      <w:r>
        <w:t>’</w:t>
      </w:r>
      <w:r w:rsidRPr="00717F75">
        <w:t xml:space="preserve">; and (5) the public employee would not have </w:t>
      </w:r>
      <w:r>
        <w:t>‘</w:t>
      </w:r>
      <w:r w:rsidRPr="00717F75">
        <w:t>made the same employment decision in the absence of the protected speech.</w:t>
      </w:r>
      <w:r>
        <w:t>’</w:t>
      </w:r>
      <w:r w:rsidRPr="00717F75">
        <w:t xml:space="preserve"> </w:t>
      </w:r>
      <w:r w:rsidRPr="00717F75">
        <w:rPr>
          <w:i/>
          <w:iCs/>
        </w:rPr>
        <w:t>Timmins v. Plotkin</w:t>
      </w:r>
      <w:r w:rsidRPr="00717F75">
        <w:t>, 157 F.4th 1275, 1277 (10th Cir. 2025)</w:t>
      </w:r>
      <w:r>
        <w:t>.]”</w:t>
      </w:r>
    </w:p>
    <w:p w14:paraId="151D0080" w14:textId="77777777" w:rsidR="002C229D" w:rsidRDefault="002C229D" w:rsidP="002C229D">
      <w:pPr>
        <w:pStyle w:val="NoSpacing"/>
      </w:pPr>
    </w:p>
    <w:p w14:paraId="14A8FE60" w14:textId="77777777" w:rsidR="002C229D" w:rsidRPr="00FD2A62" w:rsidRDefault="002C229D" w:rsidP="002C229D">
      <w:pPr>
        <w:pStyle w:val="NoSpacing"/>
        <w:rPr>
          <w:b/>
          <w:bCs/>
        </w:rPr>
      </w:pPr>
      <w:r>
        <w:rPr>
          <w:b/>
        </w:rPr>
        <w:t xml:space="preserve">Legal </w:t>
      </w:r>
      <w:proofErr w:type="gramStart"/>
      <w:r>
        <w:rPr>
          <w:b/>
        </w:rPr>
        <w:t>lesson</w:t>
      </w:r>
      <w:proofErr w:type="gramEnd"/>
      <w:r>
        <w:rPr>
          <w:b/>
        </w:rPr>
        <w:t xml:space="preserve"> learned: First Amendment protection is limited; speech involving matters of public concern, not official duties.</w:t>
      </w:r>
    </w:p>
    <w:p w14:paraId="3233747B" w14:textId="77777777" w:rsidR="002C229D" w:rsidRPr="00916737" w:rsidRDefault="002C229D" w:rsidP="002C229D">
      <w:pPr>
        <w:pStyle w:val="NoSpacing"/>
      </w:pPr>
    </w:p>
    <w:p w14:paraId="7B0850B9" w14:textId="77777777" w:rsidR="002C229D" w:rsidRDefault="002C229D" w:rsidP="002C229D">
      <w:pPr>
        <w:pStyle w:val="NoSpacing"/>
        <w:rPr>
          <w:b/>
        </w:rPr>
      </w:pPr>
    </w:p>
    <w:p w14:paraId="090DB256" w14:textId="77777777" w:rsidR="002C229D" w:rsidRDefault="002C229D" w:rsidP="002C229D">
      <w:pPr>
        <w:pStyle w:val="NoSpacing"/>
        <w:rPr>
          <w:b/>
          <w:sz w:val="20"/>
          <w:szCs w:val="20"/>
        </w:rPr>
      </w:pPr>
    </w:p>
    <w:p w14:paraId="5B615D3B" w14:textId="77777777" w:rsidR="005A4098" w:rsidRDefault="005A4098" w:rsidP="00DA3352">
      <w:pPr>
        <w:pStyle w:val="NoSpacing"/>
        <w:rPr>
          <w:rFonts w:ascii="Arial Black" w:hAnsi="Arial Black"/>
          <w:b/>
          <w:sz w:val="24"/>
          <w:szCs w:val="24"/>
        </w:rPr>
      </w:pPr>
    </w:p>
    <w:p w14:paraId="0D3A2C84" w14:textId="77777777" w:rsidR="005611CE" w:rsidRDefault="005611CE" w:rsidP="00E77EA7">
      <w:pPr>
        <w:pStyle w:val="NoSpacing"/>
        <w:rPr>
          <w:rFonts w:ascii="Arial Black" w:hAnsi="Arial Black"/>
          <w:b/>
          <w:sz w:val="24"/>
          <w:szCs w:val="24"/>
        </w:rPr>
      </w:pPr>
    </w:p>
    <w:p w14:paraId="744B667D" w14:textId="77777777" w:rsidR="005611CE" w:rsidRDefault="005611CE" w:rsidP="00E77EA7">
      <w:pPr>
        <w:pStyle w:val="NoSpacing"/>
        <w:rPr>
          <w:rFonts w:ascii="Arial Black" w:hAnsi="Arial Black"/>
          <w:b/>
          <w:sz w:val="24"/>
          <w:szCs w:val="24"/>
        </w:rPr>
      </w:pPr>
    </w:p>
    <w:p w14:paraId="3CCC365B" w14:textId="77777777" w:rsidR="005611CE" w:rsidRDefault="005611CE" w:rsidP="00E77EA7">
      <w:pPr>
        <w:pStyle w:val="NoSpacing"/>
        <w:rPr>
          <w:rFonts w:ascii="Arial Black" w:hAnsi="Arial Black"/>
          <w:b/>
          <w:sz w:val="24"/>
          <w:szCs w:val="24"/>
        </w:rPr>
      </w:pPr>
    </w:p>
    <w:p w14:paraId="46308E51" w14:textId="0BA7BB61" w:rsidR="00E77EA7" w:rsidRDefault="00E77EA7" w:rsidP="00E77EA7">
      <w:pPr>
        <w:pStyle w:val="NoSpacing"/>
        <w:rPr>
          <w:rFonts w:ascii="Arial Black" w:hAnsi="Arial Black"/>
          <w:b/>
          <w:sz w:val="24"/>
          <w:szCs w:val="24"/>
        </w:rPr>
      </w:pPr>
      <w:r>
        <w:rPr>
          <w:rFonts w:ascii="Arial Black" w:hAnsi="Arial Black"/>
          <w:b/>
          <w:sz w:val="24"/>
          <w:szCs w:val="24"/>
        </w:rPr>
        <w:t>16-1</w:t>
      </w:r>
      <w:r w:rsidR="000676A0">
        <w:rPr>
          <w:rFonts w:ascii="Arial Black" w:hAnsi="Arial Black"/>
          <w:b/>
          <w:sz w:val="24"/>
          <w:szCs w:val="24"/>
        </w:rPr>
        <w:t>60</w:t>
      </w:r>
    </w:p>
    <w:p w14:paraId="31929BFC" w14:textId="77777777" w:rsidR="005A4098" w:rsidRDefault="005A4098" w:rsidP="00DA3352">
      <w:pPr>
        <w:pStyle w:val="NoSpacing"/>
        <w:rPr>
          <w:rFonts w:ascii="Arial Black" w:hAnsi="Arial Black"/>
          <w:b/>
          <w:sz w:val="24"/>
          <w:szCs w:val="24"/>
        </w:rPr>
      </w:pPr>
    </w:p>
    <w:p w14:paraId="594B4569" w14:textId="0DD0A5A4" w:rsidR="005A4098" w:rsidRPr="00291717" w:rsidRDefault="005A4098" w:rsidP="005A4098">
      <w:pPr>
        <w:rPr>
          <w:rFonts w:ascii="Arial Black" w:hAnsi="Arial Black"/>
          <w:b/>
          <w:sz w:val="28"/>
          <w:szCs w:val="28"/>
        </w:rPr>
      </w:pPr>
      <w:r>
        <w:rPr>
          <w:rFonts w:ascii="Arial Black" w:hAnsi="Arial Black"/>
          <w:b/>
          <w:sz w:val="28"/>
          <w:szCs w:val="28"/>
        </w:rPr>
        <w:t>MT: VOL. FIRED</w:t>
      </w:r>
      <w:r w:rsidR="00E77EA7">
        <w:rPr>
          <w:rFonts w:ascii="Arial Black" w:hAnsi="Arial Black"/>
          <w:b/>
          <w:sz w:val="28"/>
          <w:szCs w:val="28"/>
        </w:rPr>
        <w:t xml:space="preserve"> / CRIM CH</w:t>
      </w:r>
      <w:r w:rsidR="00DE6BEF">
        <w:rPr>
          <w:rFonts w:ascii="Arial Black" w:hAnsi="Arial Black"/>
          <w:b/>
          <w:sz w:val="28"/>
          <w:szCs w:val="28"/>
        </w:rPr>
        <w:t>ARGE</w:t>
      </w:r>
      <w:r w:rsidR="00E77EA7">
        <w:rPr>
          <w:rFonts w:ascii="Arial Black" w:hAnsi="Arial Black"/>
          <w:b/>
          <w:sz w:val="28"/>
          <w:szCs w:val="28"/>
        </w:rPr>
        <w:t xml:space="preserve"> - </w:t>
      </w:r>
      <w:r>
        <w:rPr>
          <w:rFonts w:ascii="Arial Black" w:hAnsi="Arial Black"/>
          <w:b/>
          <w:sz w:val="28"/>
          <w:szCs w:val="28"/>
        </w:rPr>
        <w:t>DUE PROCESS RIGHTS</w:t>
      </w:r>
    </w:p>
    <w:p w14:paraId="37B2AC14" w14:textId="77777777" w:rsidR="005A4098" w:rsidRDefault="005A4098" w:rsidP="005A4098">
      <w:pPr>
        <w:pStyle w:val="NoSpacing"/>
      </w:pPr>
      <w:r>
        <w:t xml:space="preserve">On June 25, 2026, in </w:t>
      </w:r>
      <w:r w:rsidRPr="00F52987">
        <w:rPr>
          <w:u w:val="single"/>
        </w:rPr>
        <w:t>Andrew Hoel v. Lake County, et al</w:t>
      </w:r>
      <w:r>
        <w:t xml:space="preserve">., U.S. District Court Judge Dana L. Christensen, United States District Court for Montana, Missoula Division, denied the motion to dismiss by the five members of the Board of </w:t>
      </w:r>
      <w:r w:rsidRPr="003254DA">
        <w:t>Polson Rural Fire District</w:t>
      </w:r>
      <w:r>
        <w:t xml:space="preserve">, and the lawsuit by the 16-year volunteer may continue.  The judge held that while there is no state statute on whether a volunteer in a rural fire district has a “property interest” in the position, and no Montana Supreme Court opinion on the issue, the plaintiff has </w:t>
      </w:r>
      <w:r w:rsidRPr="00372501">
        <w:t>alleged a plausible claim that a protected property interest exists</w:t>
      </w:r>
      <w:r>
        <w:t>.  The Court wrote: “</w:t>
      </w:r>
      <w:r w:rsidRPr="00372501">
        <w:t>Viewing Hoel's allegations in the light most favorable to him, as required at this stage of the proceeding, he has alleged a plausible claim that a protected property interest exists.</w:t>
      </w:r>
      <w:r>
        <w:t>”</w:t>
      </w:r>
    </w:p>
    <w:p w14:paraId="5C805A6C" w14:textId="77777777" w:rsidR="005A4098" w:rsidRDefault="005A4098" w:rsidP="005A4098">
      <w:pPr>
        <w:rPr>
          <w:b/>
        </w:rPr>
      </w:pPr>
      <w:hyperlink r:id="rId2533" w:history="1">
        <w:r w:rsidRPr="00014504">
          <w:rPr>
            <w:rStyle w:val="Hyperlink"/>
            <w:b/>
          </w:rPr>
          <w:t>https://public.fastcase.com/Jhe1Qn%2BmJndQYQU6z%2FeNm8xp5bcQpM0LeCpj95rZ5gNEdVG1ibFcIduRcZ%2B3IipaZYnYIym7VYjtpqKVlaUqasfnn8Tz1CVmcjSIlOE%2BPZg%3D?utm_medium=email&amp;_hsenc=p2ANqtz-9jjfQQEOm_2mMKI3z_PNL0spa8WgXuU5UtiIChSVPrFWGJFWa_yPhDa2X3hbtFntOPOz5eOn48J2_-s790WqIcSfBsuw&amp;_hsmi=226712652&amp;utm_content=226712652&amp;utm_source=hs_email</w:t>
        </w:r>
      </w:hyperlink>
      <w:r>
        <w:rPr>
          <w:b/>
        </w:rPr>
        <w:t xml:space="preserve"> </w:t>
      </w:r>
    </w:p>
    <w:p w14:paraId="4319D54C" w14:textId="77777777" w:rsidR="005A4098" w:rsidRDefault="005A4098" w:rsidP="005A4098">
      <w:pPr>
        <w:pStyle w:val="NoSpacing"/>
        <w:rPr>
          <w:b/>
          <w:bCs/>
        </w:rPr>
      </w:pPr>
      <w:r w:rsidRPr="005138E2">
        <w:rPr>
          <w:b/>
        </w:rPr>
        <w:t>FACTS:</w:t>
      </w:r>
    </w:p>
    <w:p w14:paraId="5118AC4F" w14:textId="77777777" w:rsidR="005A4098" w:rsidRPr="0054668F" w:rsidRDefault="005A4098" w:rsidP="005A4098">
      <w:pPr>
        <w:pStyle w:val="NoSpacing"/>
      </w:pPr>
    </w:p>
    <w:p w14:paraId="3A973B86" w14:textId="77777777" w:rsidR="005A4098" w:rsidRDefault="005A4098" w:rsidP="005A4098">
      <w:pPr>
        <w:pStyle w:val="NoSpacing"/>
      </w:pPr>
      <w:r>
        <w:t>“</w:t>
      </w:r>
      <w:r w:rsidRPr="0054668F">
        <w:t xml:space="preserve">Andrew Hoel was a member of the Polson Rural Fire District for 16 years. In 2023, Hoel settled a dispute involving a jointly owned LLC with Defendants Matthew Dougherty and Nancy Dougherty. Following the settlement, the </w:t>
      </w:r>
      <w:proofErr w:type="spellStart"/>
      <w:r w:rsidRPr="0054668F">
        <w:t>Doughertys</w:t>
      </w:r>
      <w:proofErr w:type="spellEnd"/>
      <w:r w:rsidRPr="0054668F">
        <w:t xml:space="preserve"> made a series of defamatory statements and allegations of criminal conduct against Hoel, prompting Lake County to charge him with two felony counts of exploitation of older person, incapacitated person, or person with developmental disability, Mont. Code Ann. § 45-6-333. </w:t>
      </w:r>
    </w:p>
    <w:p w14:paraId="56D361F0" w14:textId="77777777" w:rsidR="005A4098" w:rsidRDefault="005A4098" w:rsidP="005A4098">
      <w:pPr>
        <w:pStyle w:val="NoSpacing"/>
      </w:pPr>
    </w:p>
    <w:p w14:paraId="0661215D" w14:textId="77777777" w:rsidR="005A4098" w:rsidRDefault="005A4098" w:rsidP="005A4098">
      <w:pPr>
        <w:pStyle w:val="NoSpacing"/>
      </w:pPr>
      <w:r w:rsidRPr="0054668F">
        <w:t xml:space="preserve">Board Members, acting as Trustees of the Polson Rural Fire District, revoked Hoel's membership based on these criminal charges. Hoel appealed, and Board Members responded by notifying Hoel </w:t>
      </w:r>
      <w:proofErr w:type="gramStart"/>
      <w:r w:rsidRPr="0054668F">
        <w:t xml:space="preserve">that </w:t>
      </w:r>
      <w:r>
        <w:t>‘</w:t>
      </w:r>
      <w:r w:rsidRPr="0054668F">
        <w:t>[</w:t>
      </w:r>
      <w:proofErr w:type="gramEnd"/>
      <w:r w:rsidRPr="0054668F">
        <w:t>t]</w:t>
      </w:r>
      <w:proofErr w:type="gramStart"/>
      <w:r w:rsidRPr="0054668F">
        <w:t>he</w:t>
      </w:r>
      <w:proofErr w:type="gramEnd"/>
      <w:r w:rsidRPr="0054668F">
        <w:t xml:space="preserve"> Board will take no action on the appeal until a future appropriate time when your situation has stabilized. It will be in touch at that time.</w:t>
      </w:r>
      <w:r>
        <w:t>’</w:t>
      </w:r>
      <w:r w:rsidRPr="0054668F">
        <w:t xml:space="preserve"> After criminal charges against Hoel were dismissed, he wrote to the Polson Rural Fire District to renew his appeal. Board Members </w:t>
      </w:r>
      <w:r w:rsidRPr="0054668F">
        <w:lastRenderedPageBreak/>
        <w:t>responded that his appeal had already been denied. In terminating Hoel, Board Members failed to comply with the Polson Rural Fire District's disciplinary policies.</w:t>
      </w:r>
      <w:r>
        <w:t>”</w:t>
      </w:r>
    </w:p>
    <w:p w14:paraId="574992D9" w14:textId="77777777" w:rsidR="005A4098" w:rsidRDefault="005A4098" w:rsidP="005A4098">
      <w:pPr>
        <w:pStyle w:val="NoSpacing"/>
      </w:pPr>
    </w:p>
    <w:p w14:paraId="3C937329" w14:textId="77777777" w:rsidR="005A4098" w:rsidRPr="00A03529" w:rsidRDefault="005A4098" w:rsidP="005A4098">
      <w:pPr>
        <w:pStyle w:val="NoSpacing"/>
        <w:rPr>
          <w:b/>
          <w:bCs/>
        </w:rPr>
      </w:pPr>
      <w:r w:rsidRPr="00A03529">
        <w:rPr>
          <w:b/>
        </w:rPr>
        <w:t>COURT HELD:</w:t>
      </w:r>
    </w:p>
    <w:p w14:paraId="7FB5CE0C" w14:textId="77777777" w:rsidR="005A4098" w:rsidRPr="0054668F" w:rsidRDefault="005A4098" w:rsidP="005A4098">
      <w:pPr>
        <w:pStyle w:val="NoSpacing"/>
      </w:pPr>
    </w:p>
    <w:p w14:paraId="7CAEA09C" w14:textId="77777777" w:rsidR="005A4098" w:rsidRPr="00372501" w:rsidRDefault="005A4098" w:rsidP="005A4098">
      <w:pPr>
        <w:pStyle w:val="NoSpacing"/>
      </w:pPr>
      <w:r>
        <w:t>“</w:t>
      </w:r>
      <w:r w:rsidRPr="00372501">
        <w:t xml:space="preserve">Montana statutes are silent on whether volunteer members of rural fire districts enjoy any removal protections. Paid municipal firefighters enjoy for-cause termination protections, </w:t>
      </w:r>
      <w:r w:rsidRPr="00372501">
        <w:rPr>
          <w:i/>
          <w:iCs/>
        </w:rPr>
        <w:t>see</w:t>
      </w:r>
      <w:r w:rsidRPr="00372501">
        <w:t xml:space="preserve"> Mont. Code Ann. § 7-33-4123, and mandatory suspension procedures, </w:t>
      </w:r>
      <w:r w:rsidRPr="00372501">
        <w:rPr>
          <w:i/>
          <w:iCs/>
        </w:rPr>
        <w:t>see</w:t>
      </w:r>
      <w:r w:rsidRPr="00372501">
        <w:t xml:space="preserve"> Mont. Code Ann. § 7-33-4124, while city </w:t>
      </w:r>
      <w:r>
        <w:t>‘</w:t>
      </w:r>
      <w:r w:rsidRPr="00372501">
        <w:t xml:space="preserve">volunteer fire </w:t>
      </w:r>
      <w:proofErr w:type="gramStart"/>
      <w:r w:rsidRPr="00372501">
        <w:t>departments,</w:t>
      </w:r>
      <w:r>
        <w:t>’</w:t>
      </w:r>
      <w:proofErr w:type="gramEnd"/>
      <w:r w:rsidRPr="00372501">
        <w:t xml:space="preserve"> established under Part 41 are explicitly exempted from these provisions. Mont. Code Ann. § 7-33-4110. Rural fire districts like Polson, meanwhile, are legally distinct from volunteer fire departments even if they are composed entirely of volunteers. Highlighting this distinction, Montana Code Annotated § 7-33-4510(c) clarifies that </w:t>
      </w:r>
      <w:r>
        <w:t>‘</w:t>
      </w:r>
      <w:r w:rsidRPr="00372501">
        <w:t>a member of a volunteer fire department provided for in [§] 7-33-4109</w:t>
      </w:r>
      <w:r>
        <w:t>’</w:t>
      </w:r>
      <w:r w:rsidRPr="00372501">
        <w:t xml:space="preserve"> does not fall within the definition of a “volunteer firefighter,” and is therefore ineligible for worker's compensation. Therefore, no statute addresses whether volunteer members of a rural fire district are subject to removal protections or not. </w:t>
      </w:r>
    </w:p>
    <w:p w14:paraId="5254836C" w14:textId="77777777" w:rsidR="005A4098" w:rsidRDefault="005A4098" w:rsidP="005A4098">
      <w:pPr>
        <w:pStyle w:val="NoSpacing"/>
      </w:pPr>
      <w:r w:rsidRPr="00372501">
        <w:t>         </w:t>
      </w:r>
    </w:p>
    <w:p w14:paraId="0F429EBA" w14:textId="77777777" w:rsidR="005A4098" w:rsidRDefault="005A4098" w:rsidP="005A4098">
      <w:pPr>
        <w:pStyle w:val="NoSpacing"/>
      </w:pPr>
      <w:r w:rsidRPr="00372501">
        <w:t xml:space="preserve">Nor has the Montana Supreme Court directly addressed whether volunteer members of a rural fire district have a property interest in their volunteer status. In </w:t>
      </w:r>
      <w:r w:rsidRPr="00372501">
        <w:rPr>
          <w:i/>
          <w:iCs/>
        </w:rPr>
        <w:t>State v. Robertson,</w:t>
      </w:r>
      <w:r w:rsidRPr="00372501">
        <w:t xml:space="preserve"> however, the Court held that a rural fire district board could not suspend volunteers because their bylaws did not </w:t>
      </w:r>
      <w:r>
        <w:t>‘</w:t>
      </w:r>
      <w:r w:rsidRPr="00372501">
        <w:t>authorize</w:t>
      </w:r>
      <w:r>
        <w:t>’</w:t>
      </w:r>
      <w:r w:rsidRPr="00372501">
        <w:t xml:space="preserve"> them to do so. 336 P.3d 367, 371-72 (Mont. 2014</w:t>
      </w:r>
      <w:proofErr w:type="gramStart"/>
      <w:r w:rsidRPr="00372501">
        <w:t>) (</w:t>
      </w:r>
      <w:r>
        <w:t>‘</w:t>
      </w:r>
      <w:proofErr w:type="gramEnd"/>
      <w:r w:rsidRPr="00372501">
        <w:t>[T]</w:t>
      </w:r>
      <w:proofErr w:type="gramStart"/>
      <w:r w:rsidRPr="00372501">
        <w:t>he</w:t>
      </w:r>
      <w:proofErr w:type="gramEnd"/>
      <w:r w:rsidRPr="00372501">
        <w:t xml:space="preserve"> by-laws are altogether silent on the suspension of [fire district] members.</w:t>
      </w:r>
      <w:r>
        <w:t>’</w:t>
      </w:r>
      <w:r w:rsidRPr="00372501">
        <w:t xml:space="preserve">). Although </w:t>
      </w:r>
      <w:r w:rsidRPr="00372501">
        <w:rPr>
          <w:i/>
          <w:iCs/>
        </w:rPr>
        <w:t>Robertson</w:t>
      </w:r>
      <w:r w:rsidRPr="00372501">
        <w:t xml:space="preserve"> was decided in the context of a criminal trespass charge, </w:t>
      </w:r>
      <w:r w:rsidRPr="00372501">
        <w:rPr>
          <w:i/>
          <w:iCs/>
        </w:rPr>
        <w:t>see id,</w:t>
      </w:r>
      <w:r w:rsidRPr="00372501">
        <w:t xml:space="preserve"> the Court's reasoning indicates that, depending on the precise language in their bylaws, Board Members may not have had the authority to terminate Hoel at will. If the bylaws contain for-cause protections or specific removal criteria, they could create a reasonable expectation of continued volunteer status. Viewing Hoel's allegations in the light most favorable to him, as required at this stage of the proceeding, he has alleged a plausible claim that a protected property interest exists.</w:t>
      </w:r>
      <w:r>
        <w:t>”</w:t>
      </w:r>
    </w:p>
    <w:p w14:paraId="09D00CE8" w14:textId="77777777" w:rsidR="005A4098" w:rsidRDefault="005A4098" w:rsidP="005A4098">
      <w:pPr>
        <w:pStyle w:val="NoSpacing"/>
      </w:pPr>
    </w:p>
    <w:p w14:paraId="0D8BD0C3" w14:textId="77777777" w:rsidR="005A4098" w:rsidRPr="004A6680" w:rsidRDefault="005A4098" w:rsidP="005A4098">
      <w:pPr>
        <w:pStyle w:val="NoSpacing"/>
        <w:rPr>
          <w:b/>
          <w:bCs/>
        </w:rPr>
      </w:pPr>
      <w:r>
        <w:rPr>
          <w:b/>
        </w:rPr>
        <w:t>Legal lesson learned: State laws control whether volunteer firefighters have a right to due process hearing before Fire Board; providing such a hearing can help avoid litigation such as this case.</w:t>
      </w:r>
    </w:p>
    <w:p w14:paraId="47D49052" w14:textId="77777777" w:rsidR="005A4098" w:rsidRPr="0034231D" w:rsidRDefault="005A4098" w:rsidP="005A4098">
      <w:pPr>
        <w:pStyle w:val="NoSpacing"/>
      </w:pPr>
      <w:r w:rsidRPr="0034231D">
        <w:t xml:space="preserve"> </w:t>
      </w:r>
    </w:p>
    <w:p w14:paraId="4E403929" w14:textId="77777777" w:rsidR="005A4098" w:rsidRDefault="005A4098" w:rsidP="00DA3352">
      <w:pPr>
        <w:pStyle w:val="NoSpacing"/>
        <w:rPr>
          <w:rFonts w:ascii="Arial Black" w:hAnsi="Arial Black"/>
          <w:b/>
          <w:sz w:val="24"/>
          <w:szCs w:val="24"/>
        </w:rPr>
      </w:pPr>
    </w:p>
    <w:p w14:paraId="4060FC99" w14:textId="3B096321" w:rsidR="000676A0" w:rsidRDefault="000676A0" w:rsidP="000676A0">
      <w:pPr>
        <w:pStyle w:val="NoSpacing"/>
        <w:rPr>
          <w:rFonts w:ascii="Arial Black" w:hAnsi="Arial Black"/>
          <w:b/>
          <w:sz w:val="24"/>
          <w:szCs w:val="24"/>
        </w:rPr>
      </w:pPr>
      <w:r>
        <w:rPr>
          <w:rFonts w:ascii="Arial Black" w:hAnsi="Arial Black"/>
          <w:b/>
          <w:sz w:val="24"/>
          <w:szCs w:val="24"/>
        </w:rPr>
        <w:t>16-158 [also filed Chap. 18]</w:t>
      </w:r>
    </w:p>
    <w:p w14:paraId="6B51E8E8" w14:textId="77777777" w:rsidR="000676A0" w:rsidRDefault="000676A0" w:rsidP="00DA3352">
      <w:pPr>
        <w:pStyle w:val="NoSpacing"/>
        <w:rPr>
          <w:rFonts w:ascii="Arial Black" w:hAnsi="Arial Black"/>
          <w:b/>
          <w:sz w:val="24"/>
          <w:szCs w:val="24"/>
        </w:rPr>
      </w:pPr>
    </w:p>
    <w:p w14:paraId="25EB91F6" w14:textId="77777777" w:rsidR="005A4098" w:rsidRDefault="005A4098" w:rsidP="00DA3352">
      <w:pPr>
        <w:pStyle w:val="NoSpacing"/>
        <w:rPr>
          <w:rFonts w:ascii="Arial Black" w:hAnsi="Arial Black"/>
          <w:b/>
          <w:sz w:val="24"/>
          <w:szCs w:val="24"/>
        </w:rPr>
      </w:pPr>
    </w:p>
    <w:p w14:paraId="66AD47D2" w14:textId="77777777" w:rsidR="00E13167" w:rsidRPr="00554749" w:rsidRDefault="00E13167" w:rsidP="00E13167">
      <w:pPr>
        <w:pStyle w:val="NoSpacing"/>
        <w:rPr>
          <w:rFonts w:ascii="Arial Black" w:hAnsi="Arial Black"/>
          <w:sz w:val="28"/>
          <w:szCs w:val="28"/>
        </w:rPr>
      </w:pPr>
      <w:r>
        <w:rPr>
          <w:rFonts w:ascii="Arial Black" w:hAnsi="Arial Black"/>
          <w:sz w:val="28"/>
          <w:szCs w:val="28"/>
        </w:rPr>
        <w:t>CO: BABY “SAFE HAVEN LAW” – MOM STAYS “ANONYMOUS”</w:t>
      </w:r>
    </w:p>
    <w:p w14:paraId="20A93ACD" w14:textId="77777777" w:rsidR="00E13167" w:rsidRDefault="00E13167" w:rsidP="00E13167">
      <w:pPr>
        <w:pStyle w:val="NoSpacing"/>
      </w:pPr>
    </w:p>
    <w:p w14:paraId="17419973" w14:textId="77777777" w:rsidR="00E13167" w:rsidRDefault="00E13167" w:rsidP="00E13167">
      <w:r>
        <w:t xml:space="preserve">On June 8, 2026, </w:t>
      </w:r>
      <w:r w:rsidRPr="0018279B">
        <w:rPr>
          <w:u w:val="single"/>
        </w:rPr>
        <w:t>In Re The People of the State of Colorado, In The Interest of Minor Child:</w:t>
      </w:r>
      <w:r>
        <w:rPr>
          <w:u w:val="single"/>
        </w:rPr>
        <w:t xml:space="preserve"> </w:t>
      </w:r>
      <w:r w:rsidRPr="0018279B">
        <w:rPr>
          <w:u w:val="single"/>
        </w:rPr>
        <w:t>G.D.M. v. Morgan County Department of Human Services</w:t>
      </w:r>
      <w:r>
        <w:t xml:space="preserve">, </w:t>
      </w:r>
      <w:r w:rsidRPr="0018279B">
        <w:t>the Supreme Court of Colorado, En Banc</w:t>
      </w:r>
      <w:r>
        <w:t xml:space="preserve"> (6 to 1) held that with baby born in ambulance in hospital parking lot, and mother told EMS she wanted to give the baby up for adoption, the County Department of Human Services had no right to know mother’s or father’s identity. The Court wrote: “</w:t>
      </w:r>
      <w:r w:rsidRPr="00B548EE">
        <w:t>Together, these tools of construction speak in a quiet but unmistakable voice, leading us to infer that parents who avail themselves of this law are entitled to anonymity and confidentiality.</w:t>
      </w:r>
      <w:r>
        <w:t xml:space="preserve">” </w:t>
      </w:r>
      <w:hyperlink r:id="rId2534" w:history="1">
        <w:r w:rsidRPr="003E6F82">
          <w:rPr>
            <w:rStyle w:val="Hyperlink"/>
          </w:rPr>
          <w:t>https://caselaw.findlaw.com/court/co-supreme-court/111256.html</w:t>
        </w:r>
      </w:hyperlink>
      <w:r>
        <w:t xml:space="preserve"> </w:t>
      </w:r>
    </w:p>
    <w:p w14:paraId="4AA8957C" w14:textId="77777777" w:rsidR="00E13167" w:rsidRDefault="00E13167" w:rsidP="00E13167">
      <w:pPr>
        <w:rPr>
          <w:b/>
        </w:rPr>
      </w:pPr>
    </w:p>
    <w:p w14:paraId="407BA58A" w14:textId="77777777" w:rsidR="00E13167" w:rsidRDefault="00E13167" w:rsidP="00E13167">
      <w:pPr>
        <w:rPr>
          <w:b/>
        </w:rPr>
      </w:pPr>
      <w:r>
        <w:rPr>
          <w:b/>
        </w:rPr>
        <w:t>FACTS:</w:t>
      </w:r>
    </w:p>
    <w:p w14:paraId="628A83C2" w14:textId="77777777" w:rsidR="00E13167" w:rsidRPr="00CA4A65" w:rsidRDefault="00E13167" w:rsidP="00E13167">
      <w:pPr>
        <w:pStyle w:val="NoSpacing"/>
      </w:pPr>
      <w:r>
        <w:t>“</w:t>
      </w:r>
      <w:r w:rsidRPr="00CA4A65">
        <w:t>In this case, M.O.M. (</w:t>
      </w:r>
      <w:r>
        <w:t>‘</w:t>
      </w:r>
      <w:r w:rsidRPr="00CA4A65">
        <w:t>Birth Mother</w:t>
      </w:r>
      <w:r>
        <w:t>’</w:t>
      </w:r>
      <w:r w:rsidRPr="00CA4A65">
        <w:t xml:space="preserve">) gave birth to G.D.M. in the back of an ambulance in the parking lot of a hospital. She immediately told medical staff that she neither wanted nor had the means to care for G.D.M. She added that the baby's father was not in the picture, so she wanted to give the baby up for adoption. </w:t>
      </w:r>
    </w:p>
    <w:p w14:paraId="76EDA781" w14:textId="77777777" w:rsidR="00E13167" w:rsidRDefault="00E13167" w:rsidP="00E13167">
      <w:pPr>
        <w:pStyle w:val="NoSpacing"/>
      </w:pPr>
      <w:r w:rsidRPr="00CA4A65">
        <w:t>       </w:t>
      </w:r>
    </w:p>
    <w:p w14:paraId="163FEDA3" w14:textId="77777777" w:rsidR="00E13167" w:rsidRDefault="00E13167" w:rsidP="00E13167">
      <w:pPr>
        <w:pStyle w:val="NoSpacing"/>
      </w:pPr>
      <w:r w:rsidRPr="00CA4A65">
        <w:t xml:space="preserve">The Morgan County Department of Human </w:t>
      </w:r>
      <w:proofErr w:type="gramStart"/>
      <w:r w:rsidRPr="00CA4A65">
        <w:t>Services (</w:t>
      </w:r>
      <w:r>
        <w:t>‘</w:t>
      </w:r>
      <w:r w:rsidRPr="00CA4A65">
        <w:t>MCDHS</w:t>
      </w:r>
      <w:r>
        <w:t>’</w:t>
      </w:r>
      <w:r w:rsidRPr="00CA4A65">
        <w:t>)</w:t>
      </w:r>
      <w:proofErr w:type="gramEnd"/>
      <w:r w:rsidRPr="00CA4A65">
        <w:t xml:space="preserve"> promptly initiated this dependency or </w:t>
      </w:r>
      <w:proofErr w:type="gramStart"/>
      <w:r w:rsidRPr="00CA4A65">
        <w:t>neglect</w:t>
      </w:r>
      <w:proofErr w:type="gramEnd"/>
      <w:r w:rsidRPr="00CA4A65">
        <w:t xml:space="preserve"> proceeding. Treating this case like any other abandonment matter, MCDHS </w:t>
      </w:r>
      <w:proofErr w:type="gramStart"/>
      <w:r w:rsidRPr="00CA4A65">
        <w:t>conducted an investigation</w:t>
      </w:r>
      <w:proofErr w:type="gramEnd"/>
      <w:r w:rsidRPr="00CA4A65">
        <w:t xml:space="preserve"> and, after </w:t>
      </w:r>
      <w:r w:rsidRPr="00CA4A65">
        <w:lastRenderedPageBreak/>
        <w:t xml:space="preserve">discovering Birth Mother's identity, undertook </w:t>
      </w:r>
      <w:r>
        <w:t>‘</w:t>
      </w:r>
      <w:r w:rsidRPr="00CA4A65">
        <w:t xml:space="preserve">due </w:t>
      </w:r>
      <w:proofErr w:type="gramStart"/>
      <w:r w:rsidRPr="00CA4A65">
        <w:t>diligence</w:t>
      </w:r>
      <w:r>
        <w:t>’</w:t>
      </w:r>
      <w:proofErr w:type="gramEnd"/>
      <w:r>
        <w:t xml:space="preserve"> </w:t>
      </w:r>
      <w:r w:rsidRPr="00CA4A65">
        <w:t xml:space="preserve">efforts by contacting her family members in search of appropriate placement options. When the juvenile court realized what was occurring, it intervened to </w:t>
      </w:r>
      <w:proofErr w:type="gramStart"/>
      <w:r w:rsidRPr="00CA4A65">
        <w:t>course correct</w:t>
      </w:r>
      <w:proofErr w:type="gramEnd"/>
      <w:r w:rsidRPr="00CA4A65">
        <w:t xml:space="preserve"> by written order. The </w:t>
      </w:r>
      <w:r>
        <w:t xml:space="preserve"> </w:t>
      </w:r>
      <w:r w:rsidRPr="00CA4A65">
        <w:t>court halted MCDHS's efforts, concluding that Birth Mother had a right to anonymity and confidentiality under the Safe Haven Law.</w:t>
      </w:r>
    </w:p>
    <w:p w14:paraId="2D8C3DBD" w14:textId="77777777" w:rsidR="00E13167" w:rsidRDefault="00E13167" w:rsidP="00E13167">
      <w:pPr>
        <w:pStyle w:val="NoSpacing"/>
      </w:pPr>
    </w:p>
    <w:p w14:paraId="782945FC" w14:textId="77777777" w:rsidR="00E13167" w:rsidRDefault="00E13167" w:rsidP="00E13167">
      <w:pPr>
        <w:pStyle w:val="NoSpacing"/>
      </w:pPr>
      <w:r w:rsidRPr="00DC2200">
        <w:t>MCDHS disagreed. It filed a C.A.R. 21 petition asking us to shed light on the question, and we issued an order to show cause. MCDHS contends that the juvenile court went astray in determining that Birth Mother is entitled to anonymity and confidentiality under the Safe Haven Law. As a result, MCDHS asserts, the court improperly blocked its efforts to identify appropriate placement options for G.D.M. among Birth Mother's family members</w:t>
      </w:r>
      <w:r>
        <w:t xml:space="preserve">.” </w:t>
      </w:r>
    </w:p>
    <w:p w14:paraId="626EDBF1" w14:textId="77777777" w:rsidR="00E13167" w:rsidRDefault="00E13167" w:rsidP="00E13167">
      <w:pPr>
        <w:pStyle w:val="NoSpacing"/>
      </w:pPr>
    </w:p>
    <w:p w14:paraId="51F88F15" w14:textId="77777777" w:rsidR="00E13167" w:rsidRDefault="00E13167" w:rsidP="00E13167">
      <w:pPr>
        <w:pStyle w:val="NoSpacing"/>
        <w:rPr>
          <w:b/>
          <w:bCs/>
        </w:rPr>
      </w:pPr>
      <w:r w:rsidRPr="001F38F4">
        <w:rPr>
          <w:b/>
        </w:rPr>
        <w:t xml:space="preserve">COURT HELD: </w:t>
      </w:r>
    </w:p>
    <w:p w14:paraId="4795ECFF" w14:textId="77777777" w:rsidR="00E13167" w:rsidRDefault="00E13167" w:rsidP="00E13167">
      <w:pPr>
        <w:pStyle w:val="NoSpacing"/>
        <w:rPr>
          <w:b/>
          <w:bCs/>
        </w:rPr>
      </w:pPr>
    </w:p>
    <w:p w14:paraId="5DB1E0B4" w14:textId="77777777" w:rsidR="00E13167" w:rsidRDefault="00E13167" w:rsidP="00E13167">
      <w:pPr>
        <w:pStyle w:val="NoSpacing"/>
      </w:pPr>
      <w:r>
        <w:t>“</w:t>
      </w:r>
      <w:r w:rsidRPr="0090196A">
        <w:t xml:space="preserve">Colorado's Safe Haven Law, section 19-3-304.5(1)(b), C.R.S. (2025), affords parents of newborns a vital refuge: It allows them to voluntarily relinquish a child who is seventy-two hours old or younger into the protective hands of either a firefighter (when the firefighter is at a fire station) or certain hospital or clinic staff members (when they are at a hospital or community clinic emergency center), as long as the parent does </w:t>
      </w:r>
      <w:r>
        <w:t>‘</w:t>
      </w:r>
      <w:r w:rsidRPr="0090196A">
        <w:t>not express an intent to return for the child.</w:t>
      </w:r>
      <w:r>
        <w:t>’</w:t>
      </w:r>
      <w:r w:rsidRPr="0090196A">
        <w:t xml:space="preserve"> In extending this lifeline, the legislature also provided an assurance: Any parent who takes advantage of the Safe Haven Law</w:t>
      </w:r>
      <w:r>
        <w:t xml:space="preserve">’ </w:t>
      </w:r>
      <w:r w:rsidRPr="0090196A">
        <w:t>shall not, for that reason alone, be found to be responsible in a confirmed report of abuse or neglect.</w:t>
      </w:r>
      <w:r>
        <w:t>’</w:t>
      </w:r>
      <w:r w:rsidRPr="0090196A">
        <w:t xml:space="preserve"> § 19-3-304.5(8). </w:t>
      </w:r>
    </w:p>
    <w:p w14:paraId="0C065314" w14:textId="77777777" w:rsidR="00E13167" w:rsidRDefault="00E13167" w:rsidP="00E13167">
      <w:pPr>
        <w:pStyle w:val="NoSpacing"/>
      </w:pPr>
    </w:p>
    <w:p w14:paraId="69ADD924" w14:textId="77777777" w:rsidR="00E13167" w:rsidRDefault="00E13167" w:rsidP="00E13167">
      <w:pPr>
        <w:pStyle w:val="NoSpacing"/>
      </w:pPr>
      <w:r>
        <w:t>***</w:t>
      </w:r>
    </w:p>
    <w:p w14:paraId="4D7020BB" w14:textId="77777777" w:rsidR="00E13167" w:rsidRDefault="00E13167" w:rsidP="00E13167">
      <w:pPr>
        <w:pStyle w:val="NoSpacing"/>
      </w:pPr>
      <w:r w:rsidRPr="0082533A">
        <w:t>In short, the statute's broader provisions and the architecture they blueprint signal that the legislature meant to bestow a parent who properly invokes the Safe Haven Law with anonymity and confidentiality.</w:t>
      </w:r>
      <w:r>
        <w:t>”</w:t>
      </w:r>
    </w:p>
    <w:p w14:paraId="61A479ED" w14:textId="77777777" w:rsidR="00E13167" w:rsidRDefault="00E13167" w:rsidP="00E13167">
      <w:pPr>
        <w:pStyle w:val="NoSpacing"/>
      </w:pPr>
    </w:p>
    <w:p w14:paraId="7DE66AAF" w14:textId="77777777" w:rsidR="00E13167" w:rsidRDefault="00E13167" w:rsidP="00E13167">
      <w:pPr>
        <w:pStyle w:val="NoSpacing"/>
        <w:rPr>
          <w:b/>
          <w:bCs/>
        </w:rPr>
      </w:pPr>
      <w:r w:rsidRPr="0082533A">
        <w:rPr>
          <w:b/>
        </w:rPr>
        <w:t xml:space="preserve">Legal lesson learned: </w:t>
      </w:r>
      <w:r>
        <w:rPr>
          <w:b/>
        </w:rPr>
        <w:t xml:space="preserve">Excellent decision; helpful if statutes are explicit that mother can remain anonymous. </w:t>
      </w:r>
    </w:p>
    <w:p w14:paraId="78F8478C" w14:textId="77777777" w:rsidR="00E13167" w:rsidRDefault="00E13167" w:rsidP="00DA3352">
      <w:pPr>
        <w:pStyle w:val="NoSpacing"/>
        <w:rPr>
          <w:rFonts w:ascii="Arial Black" w:hAnsi="Arial Black"/>
          <w:b/>
          <w:sz w:val="24"/>
          <w:szCs w:val="24"/>
        </w:rPr>
      </w:pPr>
    </w:p>
    <w:p w14:paraId="4157AD52" w14:textId="77777777" w:rsidR="00E13167" w:rsidRDefault="00E13167" w:rsidP="00DA3352">
      <w:pPr>
        <w:pStyle w:val="NoSpacing"/>
        <w:rPr>
          <w:rFonts w:ascii="Arial Black" w:hAnsi="Arial Black"/>
          <w:b/>
          <w:sz w:val="24"/>
          <w:szCs w:val="24"/>
        </w:rPr>
      </w:pPr>
    </w:p>
    <w:p w14:paraId="47D237A3" w14:textId="77777777" w:rsidR="00E13167" w:rsidRDefault="00E13167" w:rsidP="00DA3352">
      <w:pPr>
        <w:pStyle w:val="NoSpacing"/>
        <w:rPr>
          <w:rFonts w:ascii="Arial Black" w:hAnsi="Arial Black"/>
          <w:b/>
          <w:sz w:val="24"/>
          <w:szCs w:val="24"/>
        </w:rPr>
      </w:pPr>
    </w:p>
    <w:p w14:paraId="5116A0AD" w14:textId="5BA0EDDE" w:rsidR="0049781A" w:rsidRDefault="009A2956" w:rsidP="00DA3352">
      <w:pPr>
        <w:pStyle w:val="NoSpacing"/>
        <w:rPr>
          <w:rFonts w:ascii="Arial Black" w:hAnsi="Arial Black"/>
          <w:b/>
          <w:sz w:val="24"/>
          <w:szCs w:val="24"/>
        </w:rPr>
      </w:pPr>
      <w:r>
        <w:rPr>
          <w:rFonts w:ascii="Arial Black" w:hAnsi="Arial Black"/>
          <w:b/>
          <w:sz w:val="24"/>
          <w:szCs w:val="24"/>
        </w:rPr>
        <w:t>16-158</w:t>
      </w:r>
    </w:p>
    <w:p w14:paraId="6B0E59AD" w14:textId="77777777" w:rsidR="00F72BA0" w:rsidRDefault="00F72BA0" w:rsidP="00DA3352">
      <w:pPr>
        <w:pStyle w:val="NoSpacing"/>
        <w:rPr>
          <w:rFonts w:ascii="Arial Black" w:hAnsi="Arial Black"/>
          <w:b/>
          <w:sz w:val="24"/>
          <w:szCs w:val="24"/>
        </w:rPr>
      </w:pPr>
    </w:p>
    <w:p w14:paraId="7E9BC879" w14:textId="77777777" w:rsidR="0042436E" w:rsidRPr="00AE5143" w:rsidRDefault="0042436E" w:rsidP="0042436E">
      <w:pPr>
        <w:rPr>
          <w:rFonts w:ascii="Arial Black" w:hAnsi="Arial Black"/>
          <w:b/>
          <w:sz w:val="28"/>
          <w:szCs w:val="28"/>
        </w:rPr>
      </w:pPr>
      <w:r>
        <w:rPr>
          <w:rFonts w:ascii="Arial Black" w:hAnsi="Arial Black"/>
          <w:b/>
          <w:sz w:val="28"/>
          <w:szCs w:val="28"/>
        </w:rPr>
        <w:t>OH: GEORGE FLOYD UNREST / FF “STAND ON THEIR NECK”</w:t>
      </w:r>
    </w:p>
    <w:p w14:paraId="3966D374" w14:textId="77777777" w:rsidR="0042436E" w:rsidRPr="00F86093" w:rsidRDefault="0042436E" w:rsidP="0042436E">
      <w:pPr>
        <w:pStyle w:val="NoSpacing"/>
        <w:rPr>
          <w:bCs/>
        </w:rPr>
      </w:pPr>
      <w:r w:rsidRPr="00321167">
        <w:t xml:space="preserve">On May 28, 2026, in </w:t>
      </w:r>
      <w:r w:rsidRPr="004F629C">
        <w:rPr>
          <w:u w:val="single"/>
        </w:rPr>
        <w:t xml:space="preserve">Robin Garrison v. City of Columbus, </w:t>
      </w:r>
      <w:r w:rsidRPr="00321167">
        <w:rPr>
          <w:u w:val="single"/>
        </w:rPr>
        <w:t>et al.</w:t>
      </w:r>
      <w:r w:rsidRPr="00321167">
        <w:t xml:space="preserve">, </w:t>
      </w:r>
      <w:r>
        <w:t xml:space="preserve">the </w:t>
      </w:r>
      <w:r w:rsidRPr="00737AF0">
        <w:t>Court of Appeals of Ohio, Tenth District</w:t>
      </w:r>
      <w:r>
        <w:t xml:space="preserve"> held (3 to 0) that he was properly fired. During civil unrest in Columbus after George Floyd was killed in Minneapolis, Mr. Garrison was on duty in the Columbus FD Fire Alarm Office and told fellow firefighters (including black female firefighter) on May 31, 2020: “Just stand on their neck and wait until they get there. It will be okay.”  His Lieutenant immediately took him out of the room to “deescalate the situation” and submitted a report and ordered him to counseling.  THE COURT WROTE: “Upon review, we conclude that the common pleas court’s reasoning and finding that Garrison violated the City’s rules and anti-harassment policy is sound. Here, there is no dispute that Garrison made the ‘stand on their </w:t>
      </w:r>
      <w:proofErr w:type="gramStart"/>
      <w:r>
        <w:t>neck’</w:t>
      </w:r>
      <w:proofErr w:type="gramEnd"/>
      <w:r>
        <w:t xml:space="preserve"> comment. Even outside the context of the protests, Garrison’s ‘stand on their neck’ comment in a room full of firefighters, one of which is African American, condones abusive or violent behavior. However, we cannot look at the statement in isolation. As aptly contextualized by the common pleas court, Garrison’s comment occurred during a period ‘when protests were breaking out all over the country, including in Columbus, and only days after the murder of George Floyd, an </w:t>
      </w:r>
      <w:proofErr w:type="gramStart"/>
      <w:r>
        <w:t>African-American</w:t>
      </w:r>
      <w:proofErr w:type="gramEnd"/>
      <w:r>
        <w:t xml:space="preserve">, by a Minneapolis police officer who stepped on his neck.’… Garrison explained that he intended the statement to be heard by others as a ‘joke’ to lighten the mood during a tense period. Implicit in Garrison’s testimony is the admission that he wanted the individuals in the FAO to hear the remark. The fact that the comment was not ‘directed’ at any one person is immaterial as the comment was intended for everyone in the FAO, which includes Finnegan, at that time. Therefore, the context of the comment, i.e. during the George Floyd protests, only compounds the abhorrent nature of the remark.” </w:t>
      </w:r>
      <w:hyperlink r:id="rId2535" w:history="1">
        <w:r w:rsidRPr="00F86093">
          <w:rPr>
            <w:rStyle w:val="Hyperlink"/>
          </w:rPr>
          <w:t>https://www.supremecourt.ohio.gov/rod/docs/pdf/10/2026/2026-Ohio-1981.pdf</w:t>
        </w:r>
      </w:hyperlink>
    </w:p>
    <w:p w14:paraId="38CAC89B" w14:textId="77777777" w:rsidR="0042436E" w:rsidRDefault="0042436E" w:rsidP="0042436E">
      <w:pPr>
        <w:pStyle w:val="NoSpacing"/>
      </w:pPr>
      <w:r>
        <w:t xml:space="preserve"> </w:t>
      </w:r>
    </w:p>
    <w:p w14:paraId="567EB661" w14:textId="77777777" w:rsidR="0042436E" w:rsidRDefault="0042436E" w:rsidP="0042436E">
      <w:pPr>
        <w:pStyle w:val="NoSpacing"/>
      </w:pPr>
      <w:r>
        <w:lastRenderedPageBreak/>
        <w:t>THE COURT HELD:</w:t>
      </w:r>
    </w:p>
    <w:p w14:paraId="5627796F" w14:textId="77777777" w:rsidR="0042436E" w:rsidRDefault="0042436E" w:rsidP="0042436E">
      <w:pPr>
        <w:pStyle w:val="NoSpacing"/>
      </w:pPr>
    </w:p>
    <w:p w14:paraId="436A7B21" w14:textId="77777777" w:rsidR="0042436E" w:rsidRDefault="0042436E" w:rsidP="0042436E">
      <w:pPr>
        <w:pStyle w:val="NoSpacing"/>
        <w:ind w:firstLine="720"/>
      </w:pPr>
      <w:r>
        <w:t>“Elizabeth Finnegan, an African American woman, worked with Garrison in</w:t>
      </w:r>
    </w:p>
    <w:p w14:paraId="670278BA" w14:textId="77777777" w:rsidR="0042436E" w:rsidRDefault="0042436E" w:rsidP="0042436E">
      <w:pPr>
        <w:pStyle w:val="NoSpacing"/>
        <w:ind w:left="720"/>
      </w:pPr>
      <w:r>
        <w:t>the FAO on May 31, 2020…. On the date of the incident, Finnegan recalled</w:t>
      </w:r>
    </w:p>
    <w:p w14:paraId="64DE6C4F" w14:textId="77777777" w:rsidR="0042436E" w:rsidRDefault="0042436E" w:rsidP="0042436E">
      <w:pPr>
        <w:pStyle w:val="NoSpacing"/>
        <w:ind w:left="720"/>
      </w:pPr>
      <w:r>
        <w:t xml:space="preserve">there were protests all around Columbus in response to the murder of George Floyd….Finnegan commented that ‘it was hard to believe that in 2020 we were dealing with incidents like that.’ … During the May 31, </w:t>
      </w:r>
      <w:proofErr w:type="gramStart"/>
      <w:r>
        <w:t>2020</w:t>
      </w:r>
      <w:proofErr w:type="gramEnd"/>
      <w:r>
        <w:t xml:space="preserve"> shift, Finnegan was stationed</w:t>
      </w:r>
    </w:p>
    <w:p w14:paraId="43EDEC63" w14:textId="77777777" w:rsidR="0042436E" w:rsidRDefault="0042436E" w:rsidP="0042436E">
      <w:pPr>
        <w:pStyle w:val="NoSpacing"/>
        <w:ind w:left="720"/>
      </w:pPr>
      <w:r>
        <w:t>close to Garrison and recalled that an officer with Engine 15 asked for an estimated time of arrival on a row one and law enforcement….  After Garrison ended the call, he</w:t>
      </w:r>
    </w:p>
    <w:p w14:paraId="19927C11" w14:textId="77777777" w:rsidR="0042436E" w:rsidRPr="007131C1" w:rsidRDefault="0042436E" w:rsidP="0042436E">
      <w:pPr>
        <w:pStyle w:val="NoSpacing"/>
        <w:ind w:firstLine="720"/>
      </w:pPr>
      <w:r>
        <w:t>stated, ‘Just stand on their neck and wait until they get there</w:t>
      </w:r>
      <w:proofErr w:type="gramStart"/>
      <w:r>
        <w:t>.</w:t>
      </w:r>
      <w:proofErr w:type="gramEnd"/>
      <w:r>
        <w:t xml:space="preserve"> It will be okay.’ … </w:t>
      </w:r>
    </w:p>
    <w:p w14:paraId="23AE5372" w14:textId="77777777" w:rsidR="0042436E" w:rsidRDefault="0042436E" w:rsidP="0042436E">
      <w:pPr>
        <w:pStyle w:val="NoSpacing"/>
        <w:ind w:firstLine="720"/>
      </w:pPr>
      <w:r w:rsidRPr="003B0139">
        <w:t>Finnegan was interviewed by internal affairs soon after the incident.</w:t>
      </w:r>
    </w:p>
    <w:p w14:paraId="71C409E3" w14:textId="77777777" w:rsidR="0042436E" w:rsidRDefault="0042436E" w:rsidP="0042436E">
      <w:pPr>
        <w:pStyle w:val="NoSpacing"/>
        <w:ind w:firstLine="720"/>
      </w:pPr>
    </w:p>
    <w:p w14:paraId="08BC42A1" w14:textId="77777777" w:rsidR="0042436E" w:rsidRDefault="0042436E" w:rsidP="0042436E">
      <w:pPr>
        <w:pStyle w:val="NoSpacing"/>
        <w:ind w:firstLine="720"/>
      </w:pPr>
      <w:r>
        <w:t>***</w:t>
      </w:r>
    </w:p>
    <w:p w14:paraId="3954C306" w14:textId="77777777" w:rsidR="0042436E" w:rsidRDefault="0042436E" w:rsidP="0042436E">
      <w:pPr>
        <w:pStyle w:val="NoSpacing"/>
        <w:ind w:left="720"/>
      </w:pPr>
      <w:r>
        <w:t>Keller is a FAO lieutenant for the Columbus Division of Fire…. Keller recalled that Garrison ‘made a statement or a comment referring to standing on someone’s neck.’…  After the statement, Keller removed Garrison from the room to deescalate the situation…. Keller told Garrison that the statement was offensive and unprofessional, which Garrison agreed…. Keller recalled that Garrison later apologized for the comment to the entire room…. Keller gave Garrison a ‘form PI-17’ for counseling to ‘go over the rules, show him the rules that he broke.’… Keller was not involved in the subsequent investigation or decision to discipline Garrison for the incident.”</w:t>
      </w:r>
    </w:p>
    <w:p w14:paraId="03CAA14A" w14:textId="77777777" w:rsidR="0042436E" w:rsidRDefault="0042436E" w:rsidP="0042436E">
      <w:pPr>
        <w:pStyle w:val="NoSpacing"/>
        <w:ind w:left="720"/>
      </w:pPr>
    </w:p>
    <w:p w14:paraId="0F9A3AC6" w14:textId="77777777" w:rsidR="0042436E" w:rsidRDefault="0042436E" w:rsidP="0042436E">
      <w:pPr>
        <w:pStyle w:val="NoSpacing"/>
        <w:rPr>
          <w:b/>
          <w:bCs/>
        </w:rPr>
      </w:pPr>
      <w:r>
        <w:rPr>
          <w:b/>
        </w:rPr>
        <w:t>Legal lesson learned: Court made it clear that comments that can be viewed as “</w:t>
      </w:r>
      <w:r w:rsidRPr="00106A51">
        <w:rPr>
          <w:b/>
        </w:rPr>
        <w:t>abusive or violent behavior</w:t>
      </w:r>
      <w:r>
        <w:rPr>
          <w:b/>
        </w:rPr>
        <w:t xml:space="preserve">” can lead to termination. </w:t>
      </w:r>
    </w:p>
    <w:p w14:paraId="2ACD7BD2" w14:textId="77777777" w:rsidR="0042436E" w:rsidRDefault="0042436E" w:rsidP="0042436E">
      <w:pPr>
        <w:pStyle w:val="NoSpacing"/>
        <w:rPr>
          <w:b/>
          <w:bCs/>
        </w:rPr>
      </w:pPr>
    </w:p>
    <w:p w14:paraId="2814027B" w14:textId="77777777" w:rsidR="0042436E" w:rsidRPr="005C75EE" w:rsidRDefault="0042436E" w:rsidP="0042436E">
      <w:pPr>
        <w:pStyle w:val="NoSpacing"/>
      </w:pPr>
      <w:r>
        <w:rPr>
          <w:b/>
        </w:rPr>
        <w:tab/>
      </w:r>
      <w:r w:rsidRPr="005C75EE">
        <w:t xml:space="preserve">Note: The firefighter had previously been on a “last chance agreement.” </w:t>
      </w:r>
    </w:p>
    <w:p w14:paraId="22AFDE56" w14:textId="77777777" w:rsidR="0042436E" w:rsidRDefault="0042436E" w:rsidP="0042436E">
      <w:pPr>
        <w:pStyle w:val="NoSpacing"/>
        <w:ind w:left="720"/>
      </w:pPr>
    </w:p>
    <w:p w14:paraId="4FF13ED1" w14:textId="77777777" w:rsidR="0042436E" w:rsidRDefault="0042436E" w:rsidP="0042436E">
      <w:pPr>
        <w:pStyle w:val="NoSpacing"/>
        <w:ind w:left="1440"/>
      </w:pPr>
      <w:r>
        <w:t>“On redirect [at Civil Service Commission hearing], [</w:t>
      </w:r>
      <w:r w:rsidRPr="006159CA">
        <w:t>Assistant Chief David</w:t>
      </w:r>
      <w:r>
        <w:t xml:space="preserve">] Baugh stated that he was aware of Garrison’s multiple disciplinary infractions prior to these two incidents…. ‘One was dishonesty regarding where he was </w:t>
      </w:r>
      <w:proofErr w:type="gramStart"/>
      <w:r>
        <w:t>at for</w:t>
      </w:r>
      <w:proofErr w:type="gramEnd"/>
      <w:r>
        <w:t xml:space="preserve"> work, and he served 48-hour suspension. And the other was an incident that involved him exposing himself to a civilian while in uniform. And by exposing himself, I mean exposing his genitals to a civilian while in uniform. And he was offered a last chance agreement for a certain time frame.’ … That last chance agreement had expired by the time of these new cases.</w:t>
      </w:r>
    </w:p>
    <w:p w14:paraId="7503ACE4" w14:textId="77777777" w:rsidR="0042436E" w:rsidRDefault="0042436E" w:rsidP="0042436E">
      <w:pPr>
        <w:pStyle w:val="NoSpacing"/>
        <w:ind w:left="720"/>
      </w:pPr>
    </w:p>
    <w:p w14:paraId="290CA648" w14:textId="77777777" w:rsidR="0042436E" w:rsidRDefault="0042436E" w:rsidP="0042436E">
      <w:pPr>
        <w:pStyle w:val="NoSpacing"/>
      </w:pPr>
    </w:p>
    <w:p w14:paraId="6553F0F2" w14:textId="77777777" w:rsidR="0042436E" w:rsidRDefault="0042436E" w:rsidP="0042436E">
      <w:pPr>
        <w:pStyle w:val="NoSpacing"/>
      </w:pPr>
    </w:p>
    <w:p w14:paraId="5ECE069E" w14:textId="0B94ECC3" w:rsidR="0042436E" w:rsidRDefault="00F72BA0" w:rsidP="0042436E">
      <w:pPr>
        <w:pStyle w:val="NoSpacing"/>
        <w:rPr>
          <w:rFonts w:ascii="Arial Black" w:hAnsi="Arial Black"/>
          <w:b/>
          <w:sz w:val="24"/>
          <w:szCs w:val="24"/>
        </w:rPr>
      </w:pPr>
      <w:r>
        <w:rPr>
          <w:rFonts w:ascii="Arial Black" w:hAnsi="Arial Black"/>
          <w:b/>
          <w:sz w:val="24"/>
          <w:szCs w:val="24"/>
        </w:rPr>
        <w:t>16-157</w:t>
      </w:r>
    </w:p>
    <w:p w14:paraId="53E0766E" w14:textId="77777777" w:rsidR="00F72BA0" w:rsidRDefault="00F72BA0" w:rsidP="0042436E">
      <w:pPr>
        <w:pStyle w:val="NoSpacing"/>
        <w:rPr>
          <w:rFonts w:ascii="Arial Black" w:hAnsi="Arial Black"/>
          <w:b/>
          <w:bCs/>
          <w:sz w:val="28"/>
          <w:szCs w:val="28"/>
        </w:rPr>
      </w:pPr>
    </w:p>
    <w:p w14:paraId="20E0CABE" w14:textId="77777777" w:rsidR="0042436E" w:rsidRDefault="0042436E" w:rsidP="0042436E">
      <w:pPr>
        <w:pStyle w:val="NoSpacing"/>
        <w:rPr>
          <w:rFonts w:ascii="Arial Black" w:hAnsi="Arial Black"/>
          <w:b/>
          <w:bCs/>
          <w:sz w:val="28"/>
          <w:szCs w:val="28"/>
        </w:rPr>
      </w:pPr>
      <w:r>
        <w:rPr>
          <w:rFonts w:ascii="Arial Black" w:hAnsi="Arial Black"/>
          <w:b/>
          <w:sz w:val="28"/>
          <w:szCs w:val="28"/>
        </w:rPr>
        <w:t>CA: ABSENCE WITHOUT LEAVE – FIRED – CASE DISMISSED</w:t>
      </w:r>
    </w:p>
    <w:p w14:paraId="6ACEB1B7" w14:textId="77777777" w:rsidR="0042436E" w:rsidRDefault="0042436E" w:rsidP="0042436E">
      <w:pPr>
        <w:pStyle w:val="NoSpacing"/>
        <w:rPr>
          <w:rFonts w:ascii="Arial Black" w:hAnsi="Arial Black"/>
          <w:b/>
          <w:bCs/>
          <w:sz w:val="28"/>
          <w:szCs w:val="28"/>
        </w:rPr>
      </w:pPr>
    </w:p>
    <w:p w14:paraId="16849964" w14:textId="77777777" w:rsidR="0042436E" w:rsidRPr="00530300" w:rsidRDefault="0042436E" w:rsidP="0042436E">
      <w:pPr>
        <w:pStyle w:val="NoSpacing"/>
      </w:pPr>
      <w:r w:rsidRPr="00864ACD">
        <w:t xml:space="preserve">On May 22, 2026, </w:t>
      </w:r>
      <w:r>
        <w:t xml:space="preserve">in </w:t>
      </w:r>
      <w:r w:rsidRPr="00864ACD">
        <w:rPr>
          <w:u w:val="single"/>
        </w:rPr>
        <w:t>Jason Casillas v. Department of Forestry and Fire Protection</w:t>
      </w:r>
      <w:r>
        <w:t xml:space="preserve">, U.S. District Court Judge </w:t>
      </w:r>
      <w:r w:rsidRPr="00440BB8">
        <w:t>Benjamin J. Cheeks</w:t>
      </w:r>
      <w:r>
        <w:t xml:space="preserve">, United States District Court for Southern District of California, grated Cal Fire’s motion to dismiss.  Absent without </w:t>
      </w:r>
      <w:proofErr w:type="gramStart"/>
      <w:r>
        <w:t>leave</w:t>
      </w:r>
      <w:proofErr w:type="gramEnd"/>
      <w:r>
        <w:t xml:space="preserve"> CAL FIRE Sandiego on </w:t>
      </w:r>
      <w:r w:rsidRPr="00940156">
        <w:t>September 1, 2024</w:t>
      </w:r>
      <w:r>
        <w:t xml:space="preserve">, and again on </w:t>
      </w:r>
      <w:r w:rsidRPr="00940156">
        <w:t>September 18, 2024</w:t>
      </w:r>
      <w:r>
        <w:t>; terminated on September 28, 2024.  THE COURT WROTE: “O</w:t>
      </w:r>
      <w:r w:rsidRPr="006425C2">
        <w:t>n September 28, 2024, Battalion Chief Clays (</w:t>
      </w:r>
      <w:r>
        <w:t>‘</w:t>
      </w:r>
      <w:r w:rsidRPr="006425C2">
        <w:t>Clays</w:t>
      </w:r>
      <w:r>
        <w:t>’</w:t>
      </w:r>
      <w:r w:rsidRPr="006425C2">
        <w:t>) served Plaintiff with two separate adverse action documents. The first was a Notice of Termination with Cause, and the second placed Plaintiff on Administrative Time Off</w:t>
      </w:r>
      <w:r>
        <w:t xml:space="preserve">…. </w:t>
      </w:r>
      <w:r w:rsidRPr="006425C2">
        <w:t>Plaintiff argues that the documentation violated CAL FIRE's Progressive Disciplinary Policy and Procedures because he did not receive a development plan to correct any mistakes before he received the Notice of Termination with Cause</w:t>
      </w:r>
      <w:r>
        <w:t xml:space="preserve">…. </w:t>
      </w:r>
      <w:r w:rsidRPr="00072792">
        <w:t>Accordingly, the Court finds that the Complaint fails to state a plausible claim for relief and grants Defendant's motion to dismiss without prejudice.</w:t>
      </w:r>
      <w:r>
        <w:t xml:space="preserve">” </w:t>
      </w:r>
      <w:hyperlink r:id="rId2536" w:history="1">
        <w:r w:rsidRPr="00530300">
          <w:rPr>
            <w:rStyle w:val="Hyperlink"/>
          </w:rPr>
          <w:t>https://public.fastcase.com/Jhe1Qn%2BmJndQYQU6z%2FeNm3FkCM2jWCAdlM1JWFE9c8I4cu8UE8nnROw9g8pQru3qX50wM6VA5Q6C6W7bTimjewt8baK5LV89G9hOJ3Hoqaw%3D?utm_medium=email&amp;_hsenc=p2ANqtz-_BuWF_rVxZJ_ThXodME56Qn02TlxXtEPZR0pM596-</w:t>
        </w:r>
        <w:r w:rsidRPr="00530300">
          <w:rPr>
            <w:rStyle w:val="Hyperlink"/>
          </w:rPr>
          <w:lastRenderedPageBreak/>
          <w:t>W86IiSz4xrEN_MpysqbI906jQkVOKXR9ddhRRIzUH7APhy4Ve8A&amp;_hsmi=226712652&amp;utm_content=226712652&amp;utm_source=hs_email</w:t>
        </w:r>
      </w:hyperlink>
      <w:r w:rsidRPr="00530300">
        <w:t xml:space="preserve"> </w:t>
      </w:r>
    </w:p>
    <w:p w14:paraId="77FD57FB" w14:textId="77777777" w:rsidR="0042436E" w:rsidRPr="00530300" w:rsidRDefault="0042436E" w:rsidP="0042436E">
      <w:pPr>
        <w:pStyle w:val="NoSpacing"/>
      </w:pPr>
      <w:r w:rsidRPr="00530300">
        <w:t xml:space="preserve"> </w:t>
      </w:r>
    </w:p>
    <w:p w14:paraId="4D254366" w14:textId="77777777" w:rsidR="0042436E" w:rsidRDefault="0042436E" w:rsidP="0042436E">
      <w:pPr>
        <w:pStyle w:val="NoSpacing"/>
      </w:pPr>
      <w:r>
        <w:t>THE COURT HELD:</w:t>
      </w:r>
    </w:p>
    <w:p w14:paraId="29978CC7" w14:textId="77777777" w:rsidR="0042436E" w:rsidRDefault="0042436E" w:rsidP="0042436E">
      <w:pPr>
        <w:pStyle w:val="NoSpacing"/>
      </w:pPr>
    </w:p>
    <w:p w14:paraId="36007746" w14:textId="77777777" w:rsidR="0042436E" w:rsidRPr="00940156" w:rsidRDefault="0042436E" w:rsidP="0042436E">
      <w:pPr>
        <w:pStyle w:val="NoSpacing"/>
        <w:ind w:left="720"/>
      </w:pPr>
      <w:r>
        <w:t>“</w:t>
      </w:r>
      <w:r w:rsidRPr="00940156">
        <w:t>Plaintiff claims that on August 31, 2024, he told Fire Captain Haven (</w:t>
      </w:r>
      <w:r>
        <w:t>‘</w:t>
      </w:r>
      <w:r w:rsidRPr="00940156">
        <w:t>Haven</w:t>
      </w:r>
      <w:r>
        <w:t>’</w:t>
      </w:r>
      <w:r w:rsidRPr="00940156">
        <w:t>) that he would not be coming to work on September 1, 2024</w:t>
      </w:r>
      <w:r>
        <w:t xml:space="preserve">…. </w:t>
      </w:r>
      <w:r w:rsidRPr="00940156">
        <w:t xml:space="preserve">On September 1, 2024, Plaintiff asserts that he told </w:t>
      </w:r>
      <w:r>
        <w:t xml:space="preserve">[Fire Captain] </w:t>
      </w:r>
      <w:proofErr w:type="spellStart"/>
      <w:r w:rsidRPr="00940156">
        <w:t>Woychak</w:t>
      </w:r>
      <w:proofErr w:type="spellEnd"/>
      <w:r w:rsidRPr="00940156">
        <w:t xml:space="preserve"> that he had given Haven notice that he would not be working that day. Yet, on September 15, 2024, </w:t>
      </w:r>
      <w:proofErr w:type="spellStart"/>
      <w:r w:rsidRPr="00940156">
        <w:t>Woychak</w:t>
      </w:r>
      <w:proofErr w:type="spellEnd"/>
      <w:r w:rsidRPr="00940156">
        <w:t xml:space="preserve"> told Plaintiff that he would be documented as </w:t>
      </w:r>
      <w:r>
        <w:t>‘</w:t>
      </w:r>
      <w:r w:rsidRPr="00940156">
        <w:t>absent without leave</w:t>
      </w:r>
      <w:r>
        <w:t>’</w:t>
      </w:r>
      <w:r w:rsidRPr="00940156">
        <w:t xml:space="preserve"> for the September 1, 2024, shift</w:t>
      </w:r>
      <w:r>
        <w:t>….</w:t>
      </w:r>
      <w:r w:rsidRPr="00940156">
        <w:t xml:space="preserve"> </w:t>
      </w:r>
    </w:p>
    <w:p w14:paraId="4AEC8F1F" w14:textId="77777777" w:rsidR="0042436E" w:rsidRDefault="0042436E" w:rsidP="0042436E">
      <w:pPr>
        <w:pStyle w:val="NoSpacing"/>
      </w:pPr>
      <w:r w:rsidRPr="00940156">
        <w:t>         </w:t>
      </w:r>
    </w:p>
    <w:p w14:paraId="703B782B" w14:textId="77777777" w:rsidR="0042436E" w:rsidRDefault="0042436E" w:rsidP="0042436E">
      <w:pPr>
        <w:pStyle w:val="NoSpacing"/>
        <w:ind w:left="720"/>
      </w:pPr>
      <w:r w:rsidRPr="00940156">
        <w:t>On September 18, 2024, Plaintiff informed firefighter Vincent Media that he was leaving work because of an emergency involving his spouse</w:t>
      </w:r>
      <w:r>
        <w:t xml:space="preserve">…. </w:t>
      </w:r>
      <w:r w:rsidRPr="00940156">
        <w:t xml:space="preserve">Later that day, Plaintiff claims he spoke to Division Chief </w:t>
      </w:r>
      <w:proofErr w:type="gramStart"/>
      <w:r w:rsidRPr="00940156">
        <w:t>Reynolds (</w:t>
      </w:r>
      <w:r>
        <w:t>‘</w:t>
      </w:r>
      <w:r w:rsidRPr="00940156">
        <w:t>Reynolds</w:t>
      </w:r>
      <w:r>
        <w:t>’</w:t>
      </w:r>
      <w:r w:rsidRPr="00940156">
        <w:t>)</w:t>
      </w:r>
      <w:proofErr w:type="gramEnd"/>
      <w:r w:rsidRPr="00940156">
        <w:t xml:space="preserve">, who told </w:t>
      </w:r>
      <w:proofErr w:type="gramStart"/>
      <w:r w:rsidRPr="00940156">
        <w:t xml:space="preserve">Plaintiff </w:t>
      </w:r>
      <w:r>
        <w:t>‘</w:t>
      </w:r>
      <w:r w:rsidRPr="00940156">
        <w:t>[</w:t>
      </w:r>
      <w:proofErr w:type="gramEnd"/>
      <w:r w:rsidRPr="00940156">
        <w:t>n]</w:t>
      </w:r>
      <w:proofErr w:type="spellStart"/>
      <w:r w:rsidRPr="00940156">
        <w:t>ext</w:t>
      </w:r>
      <w:proofErr w:type="spellEnd"/>
      <w:r w:rsidRPr="00940156">
        <w:t xml:space="preserve"> time, please let a supervisor know, and if there is anything that you need, let us know.</w:t>
      </w:r>
      <w:r>
        <w:t>’ …</w:t>
      </w:r>
      <w:r w:rsidRPr="00940156">
        <w:t xml:space="preserve">According to Plaintiff, Reynolds knew that Plaintiff had been on FMLA leave, yet Plaintiff claims that this critical information was never documented in the Notice of Termination with Cause. </w:t>
      </w:r>
    </w:p>
    <w:p w14:paraId="347DF6A5" w14:textId="77777777" w:rsidR="0042436E" w:rsidRDefault="0042436E" w:rsidP="0042436E">
      <w:pPr>
        <w:pStyle w:val="NoSpacing"/>
        <w:ind w:left="720"/>
      </w:pPr>
    </w:p>
    <w:p w14:paraId="5F6BD681" w14:textId="77777777" w:rsidR="0042436E" w:rsidRDefault="0042436E" w:rsidP="0042436E">
      <w:pPr>
        <w:pStyle w:val="NoSpacing"/>
        <w:ind w:left="720"/>
      </w:pPr>
      <w:r>
        <w:t>***</w:t>
      </w:r>
    </w:p>
    <w:p w14:paraId="47110667" w14:textId="77777777" w:rsidR="0042436E" w:rsidRDefault="0042436E" w:rsidP="0042436E">
      <w:pPr>
        <w:pStyle w:val="NoSpacing"/>
        <w:ind w:left="720"/>
      </w:pPr>
      <w:r w:rsidRPr="004A01EE">
        <w:t xml:space="preserve">Despite being advised in the Complaint for Employment Discrimination to </w:t>
      </w:r>
      <w:r>
        <w:t>‘</w:t>
      </w:r>
      <w:r w:rsidRPr="004A01EE">
        <w:t>write a short and plain statement of the claim</w:t>
      </w:r>
      <w:r>
        <w:t>’</w:t>
      </w:r>
      <w:r w:rsidRPr="004A01EE">
        <w:t xml:space="preserve"> in which he should “state how each defendant was involved and what each defendant did” that violated his rights, Plaintiff's claims do not meet this standard. In the first claim alone, Plaintiff lists 39 separate laws or common law rights he claims have been violated, including the Firefighters Procedural Bill of Rights Act, California Evidence Code § 210, Violation of Weingarten Rights, among numerous others</w:t>
      </w:r>
      <w:r>
        <w:t xml:space="preserve">…. </w:t>
      </w:r>
      <w:r w:rsidRPr="004A01EE">
        <w:t xml:space="preserve">He then lists Defendant CAL FIRE and Battalion Chief J. Clays as the defendants who purportedly violated his rights, but he does not connect the conduct of CAL FIRE or Clays to the asserted legal protections in the statement of facts. As a result, Plaintiff has not sufficiently alleged a cause of action against either of them. Claims two through six </w:t>
      </w:r>
      <w:proofErr w:type="gramStart"/>
      <w:r w:rsidRPr="004A01EE">
        <w:t>fare</w:t>
      </w:r>
      <w:proofErr w:type="gramEnd"/>
      <w:r w:rsidRPr="004A01EE">
        <w:t xml:space="preserve"> no better. While the Court is required to liberally construe Plaintiff's claims, it cannot provide the elements of a cause of action for him in the Complaint.</w:t>
      </w:r>
      <w:r>
        <w:t>”</w:t>
      </w:r>
    </w:p>
    <w:p w14:paraId="732F7AB3" w14:textId="77777777" w:rsidR="0042436E" w:rsidRDefault="0042436E" w:rsidP="0042436E">
      <w:pPr>
        <w:pStyle w:val="NoSpacing"/>
        <w:ind w:left="720"/>
      </w:pPr>
    </w:p>
    <w:p w14:paraId="7F832AB2" w14:textId="77777777" w:rsidR="0042436E" w:rsidRPr="004A01EE" w:rsidRDefault="0042436E" w:rsidP="0042436E">
      <w:pPr>
        <w:pStyle w:val="NoSpacing"/>
        <w:rPr>
          <w:b/>
          <w:bCs/>
        </w:rPr>
      </w:pPr>
      <w:r>
        <w:rPr>
          <w:b/>
        </w:rPr>
        <w:t xml:space="preserve">Legal lesson learned: Absence without leave can result in termination; it is a serious offense. </w:t>
      </w:r>
    </w:p>
    <w:p w14:paraId="6609F0AA" w14:textId="77777777" w:rsidR="0042436E" w:rsidRDefault="0042436E" w:rsidP="0042436E">
      <w:pPr>
        <w:pStyle w:val="NoSpacing"/>
      </w:pPr>
    </w:p>
    <w:p w14:paraId="7A480B4D" w14:textId="77777777" w:rsidR="0049781A" w:rsidRDefault="0049781A" w:rsidP="00DA3352">
      <w:pPr>
        <w:pStyle w:val="NoSpacing"/>
        <w:rPr>
          <w:rFonts w:ascii="Arial Black" w:hAnsi="Arial Black"/>
          <w:b/>
          <w:sz w:val="24"/>
          <w:szCs w:val="24"/>
        </w:rPr>
      </w:pPr>
    </w:p>
    <w:p w14:paraId="7FE14CD0" w14:textId="77777777" w:rsidR="0049781A" w:rsidRDefault="0049781A" w:rsidP="00DA3352">
      <w:pPr>
        <w:pStyle w:val="NoSpacing"/>
        <w:rPr>
          <w:rFonts w:ascii="Arial Black" w:hAnsi="Arial Black"/>
          <w:b/>
          <w:sz w:val="24"/>
          <w:szCs w:val="24"/>
        </w:rPr>
      </w:pPr>
    </w:p>
    <w:p w14:paraId="6D471EE3" w14:textId="38E68DF9" w:rsidR="007265BA" w:rsidRDefault="007265BA" w:rsidP="00DA3352">
      <w:pPr>
        <w:pStyle w:val="NoSpacing"/>
        <w:rPr>
          <w:rFonts w:ascii="Arial Black" w:hAnsi="Arial Black"/>
          <w:b/>
          <w:sz w:val="24"/>
          <w:szCs w:val="24"/>
        </w:rPr>
      </w:pPr>
      <w:r>
        <w:rPr>
          <w:rFonts w:ascii="Arial Black" w:hAnsi="Arial Black"/>
          <w:b/>
          <w:sz w:val="24"/>
          <w:szCs w:val="24"/>
        </w:rPr>
        <w:t>16-156 [also filed, Chap. 8, Racial Discri</w:t>
      </w:r>
      <w:r w:rsidR="00EB490D">
        <w:rPr>
          <w:rFonts w:ascii="Arial Black" w:hAnsi="Arial Black"/>
          <w:b/>
          <w:sz w:val="24"/>
          <w:szCs w:val="24"/>
        </w:rPr>
        <w:t>mination]</w:t>
      </w:r>
    </w:p>
    <w:p w14:paraId="0056A9A9" w14:textId="77777777" w:rsidR="007265BA" w:rsidRDefault="007265BA" w:rsidP="00DA3352">
      <w:pPr>
        <w:pStyle w:val="NoSpacing"/>
        <w:rPr>
          <w:rFonts w:ascii="Arial Black" w:hAnsi="Arial Black"/>
          <w:b/>
          <w:sz w:val="24"/>
          <w:szCs w:val="24"/>
        </w:rPr>
      </w:pPr>
    </w:p>
    <w:p w14:paraId="1656A95A" w14:textId="77777777" w:rsidR="007265BA" w:rsidRPr="00DA19ED" w:rsidRDefault="007265BA" w:rsidP="007265BA">
      <w:pPr>
        <w:rPr>
          <w:rFonts w:ascii="Arial Black" w:hAnsi="Arial Black"/>
          <w:b/>
          <w:sz w:val="28"/>
          <w:szCs w:val="28"/>
        </w:rPr>
      </w:pPr>
      <w:r>
        <w:rPr>
          <w:rFonts w:ascii="Arial Black" w:hAnsi="Arial Black"/>
          <w:b/>
          <w:sz w:val="28"/>
          <w:szCs w:val="28"/>
        </w:rPr>
        <w:t xml:space="preserve">VA: BLACK FF – FIRED – THREATS VIOLENCE IN STATION </w:t>
      </w:r>
    </w:p>
    <w:p w14:paraId="15AB9014" w14:textId="77777777" w:rsidR="007265BA" w:rsidRDefault="007265BA" w:rsidP="007265BA">
      <w:pPr>
        <w:pStyle w:val="NoSpacing"/>
        <w:rPr>
          <w:b/>
        </w:rPr>
      </w:pPr>
      <w:r>
        <w:t xml:space="preserve">On May 19, 2026, in </w:t>
      </w:r>
      <w:r w:rsidRPr="00AD6041">
        <w:rPr>
          <w:u w:val="single"/>
        </w:rPr>
        <w:t>Brian Younger v. City of Lynchburg</w:t>
      </w:r>
      <w:r>
        <w:t xml:space="preserve">, U.S. District Court Judge Norman K. Moon, United States District Court for the Western District of Virginia, </w:t>
      </w:r>
      <w:r w:rsidRPr="00D12863">
        <w:t>Lynchburg Division</w:t>
      </w:r>
      <w:r>
        <w:t xml:space="preserve">, granted the City’s motion for summary judgment.  The firefighter was fired on June 4, </w:t>
      </w:r>
      <w:proofErr w:type="gramStart"/>
      <w:r>
        <w:t>2024</w:t>
      </w:r>
      <w:proofErr w:type="gramEnd"/>
      <w:r>
        <w:t xml:space="preserve"> after an incident on July 16, </w:t>
      </w:r>
      <w:proofErr w:type="gramStart"/>
      <w:r>
        <w:t>2024</w:t>
      </w:r>
      <w:proofErr w:type="gramEnd"/>
      <w:r>
        <w:t xml:space="preserve"> where he asked a white firefighter. At start of morning shift, to move his personal items to another bunkbed, and Younger became upset it was not done immediately.  THE COURT WROTE:  “Younger complains that he was treated differently from his White co-workers. Younger, however, does not establish sufficient similarity between what he did on July 16, 2022, and what his White co-workers did. Specifically, several fellow firefighters were recorded using racial slurs off-duty and those firefighters were not disciplined by the LFD. In contrast, though, Younger used racialized and threatening language against a co-worker in the fire station.” </w:t>
      </w:r>
      <w:hyperlink r:id="rId2537" w:history="1">
        <w:r w:rsidRPr="00D00712">
          <w:rPr>
            <w:rStyle w:val="Hyperlink"/>
            <w:b/>
          </w:rPr>
          <w:t>https://cases.justia.com/federal/district-courts/virginia/vawdce/6:2024cv00051/132979/41/0.pdf?ts=1779390167</w:t>
        </w:r>
      </w:hyperlink>
      <w:r>
        <w:rPr>
          <w:b/>
        </w:rPr>
        <w:t xml:space="preserve"> </w:t>
      </w:r>
    </w:p>
    <w:p w14:paraId="71C31373" w14:textId="77777777" w:rsidR="007265BA" w:rsidRDefault="007265BA" w:rsidP="007265BA">
      <w:pPr>
        <w:pStyle w:val="NoSpacing"/>
        <w:rPr>
          <w:bCs/>
        </w:rPr>
      </w:pPr>
    </w:p>
    <w:p w14:paraId="63CE07DB" w14:textId="77777777" w:rsidR="007265BA" w:rsidRDefault="007265BA" w:rsidP="007265BA">
      <w:pPr>
        <w:pStyle w:val="NoSpacing"/>
        <w:rPr>
          <w:bCs/>
        </w:rPr>
      </w:pPr>
      <w:r>
        <w:t>THE COURT HELD:</w:t>
      </w:r>
    </w:p>
    <w:p w14:paraId="721037BE" w14:textId="77777777" w:rsidR="007265BA" w:rsidRDefault="007265BA" w:rsidP="007265BA">
      <w:pPr>
        <w:pStyle w:val="NoSpacing"/>
        <w:rPr>
          <w:bCs/>
        </w:rPr>
      </w:pPr>
    </w:p>
    <w:p w14:paraId="73377665" w14:textId="77777777" w:rsidR="007265BA" w:rsidRDefault="007265BA" w:rsidP="007265BA">
      <w:pPr>
        <w:pStyle w:val="NoSpacing"/>
        <w:ind w:left="720"/>
      </w:pPr>
      <w:r>
        <w:t xml:space="preserve">“The </w:t>
      </w:r>
      <w:proofErr w:type="gramStart"/>
      <w:r>
        <w:t>City</w:t>
      </w:r>
      <w:proofErr w:type="gramEnd"/>
      <w:r>
        <w:t xml:space="preserve"> claims it terminated Younger because of events that occurred on the morning of July 16, 2022. During the early morning shift change at LFD Station 5, Younger entered the station bedroom to place his belongings on a bunkbed. However, upon his arrival, he discovered that Firefighter Brennen Lawson, who had worked the </w:t>
      </w:r>
      <w:r>
        <w:lastRenderedPageBreak/>
        <w:t>previous shift, had already placed his items on the bed Younger intended to use….Younger found Lawson and asked him to move his belongings…. Lawson agreed but did not move his</w:t>
      </w:r>
    </w:p>
    <w:p w14:paraId="31C602FE" w14:textId="77777777" w:rsidR="007265BA" w:rsidRDefault="007265BA" w:rsidP="007265BA">
      <w:pPr>
        <w:pStyle w:val="NoSpacing"/>
        <w:ind w:firstLine="720"/>
      </w:pPr>
      <w:r>
        <w:t xml:space="preserve">belongings as promptly as Younger expected. </w:t>
      </w:r>
    </w:p>
    <w:p w14:paraId="146D9F52" w14:textId="77777777" w:rsidR="007265BA" w:rsidRDefault="007265BA" w:rsidP="007265BA">
      <w:pPr>
        <w:pStyle w:val="NoSpacing"/>
      </w:pPr>
    </w:p>
    <w:p w14:paraId="4C85C67C" w14:textId="77777777" w:rsidR="007265BA" w:rsidRDefault="007265BA" w:rsidP="007265BA">
      <w:pPr>
        <w:pStyle w:val="NoSpacing"/>
        <w:ind w:firstLine="720"/>
      </w:pPr>
      <w:r>
        <w:t>Although accounts differ as to whether either party made threatening movements towards</w:t>
      </w:r>
    </w:p>
    <w:p w14:paraId="431C57A4" w14:textId="77777777" w:rsidR="007265BA" w:rsidRDefault="007265BA" w:rsidP="007265BA">
      <w:pPr>
        <w:pStyle w:val="NoSpacing"/>
        <w:ind w:left="720"/>
      </w:pPr>
      <w:r>
        <w:t>the other during the exchange, neither party disputes that Younger made several comments directed at Lawson, who is a White male, including that: (</w:t>
      </w:r>
      <w:proofErr w:type="spellStart"/>
      <w:r>
        <w:t>i</w:t>
      </w:r>
      <w:proofErr w:type="spellEnd"/>
      <w:r>
        <w:t xml:space="preserve">) Lawson was ‘a racist scumbag that couldn’t keep his wife happy’; (ii) that Lawson had ‘pushed’ his wife ‘right into the embrace of another Black man’; (iii) that his wife was ‘in California’ ‘loving that black dick she was taking out West’; (iv) that Younger did not know why ‘y’all racists keep dating and marrying women who aren’t racists’; (v) that if Lawson came towards him he would ‘fuck you all up out here’; and (iv) that Lawson better ‘stay away from [Younger] or else.’” </w:t>
      </w:r>
    </w:p>
    <w:p w14:paraId="315B0B31" w14:textId="77777777" w:rsidR="007265BA" w:rsidRDefault="007265BA" w:rsidP="007265BA">
      <w:pPr>
        <w:pStyle w:val="NoSpacing"/>
        <w:ind w:left="720"/>
      </w:pPr>
    </w:p>
    <w:p w14:paraId="0CC91DC3" w14:textId="77777777" w:rsidR="007265BA" w:rsidRDefault="007265BA" w:rsidP="007265BA">
      <w:pPr>
        <w:pStyle w:val="NoSpacing"/>
        <w:rPr>
          <w:b/>
          <w:bCs/>
        </w:rPr>
      </w:pPr>
      <w:r>
        <w:rPr>
          <w:b/>
        </w:rPr>
        <w:t xml:space="preserve">Legal lesson learned: Threats of violence cannot be tolerated, without regard to the race of the offender.  </w:t>
      </w:r>
    </w:p>
    <w:p w14:paraId="1A8775D8" w14:textId="77777777" w:rsidR="007265BA" w:rsidRDefault="007265BA" w:rsidP="007265BA">
      <w:pPr>
        <w:rPr>
          <w:rFonts w:ascii="Arial Black" w:hAnsi="Arial Black"/>
          <w:b/>
          <w:sz w:val="24"/>
          <w:szCs w:val="24"/>
        </w:rPr>
      </w:pPr>
    </w:p>
    <w:p w14:paraId="59C09531" w14:textId="77777777" w:rsidR="007265BA" w:rsidRDefault="007265BA" w:rsidP="007265BA">
      <w:pPr>
        <w:rPr>
          <w:rFonts w:ascii="Arial Black" w:hAnsi="Arial Black"/>
          <w:b/>
          <w:sz w:val="24"/>
          <w:szCs w:val="24"/>
        </w:rPr>
      </w:pPr>
    </w:p>
    <w:p w14:paraId="72CBFA85" w14:textId="77777777" w:rsidR="007265BA" w:rsidRDefault="007265BA" w:rsidP="00DA3352">
      <w:pPr>
        <w:pStyle w:val="NoSpacing"/>
        <w:rPr>
          <w:rFonts w:ascii="Arial Black" w:hAnsi="Arial Black"/>
          <w:b/>
          <w:sz w:val="24"/>
          <w:szCs w:val="24"/>
        </w:rPr>
      </w:pPr>
    </w:p>
    <w:p w14:paraId="229C38CE" w14:textId="77777777" w:rsidR="007265BA" w:rsidRDefault="007265BA" w:rsidP="00DA3352">
      <w:pPr>
        <w:pStyle w:val="NoSpacing"/>
        <w:rPr>
          <w:rFonts w:ascii="Arial Black" w:hAnsi="Arial Black"/>
          <w:b/>
          <w:sz w:val="24"/>
          <w:szCs w:val="24"/>
        </w:rPr>
      </w:pPr>
    </w:p>
    <w:p w14:paraId="3B67F2EF" w14:textId="77777777" w:rsidR="007265BA" w:rsidRDefault="007265BA" w:rsidP="00DA3352">
      <w:pPr>
        <w:pStyle w:val="NoSpacing"/>
        <w:rPr>
          <w:rFonts w:ascii="Arial Black" w:hAnsi="Arial Black"/>
          <w:b/>
          <w:sz w:val="24"/>
          <w:szCs w:val="24"/>
        </w:rPr>
      </w:pPr>
    </w:p>
    <w:p w14:paraId="4B0F1F23" w14:textId="5E3BE909" w:rsidR="00DA3352" w:rsidRDefault="00DA3352" w:rsidP="00DA3352">
      <w:pPr>
        <w:pStyle w:val="NoSpacing"/>
        <w:rPr>
          <w:rFonts w:ascii="Arial Black" w:hAnsi="Arial Black"/>
          <w:b/>
          <w:sz w:val="24"/>
          <w:szCs w:val="24"/>
        </w:rPr>
      </w:pPr>
      <w:r>
        <w:rPr>
          <w:rFonts w:ascii="Arial Black" w:hAnsi="Arial Black"/>
          <w:b/>
          <w:sz w:val="24"/>
          <w:szCs w:val="24"/>
        </w:rPr>
        <w:t>16-155</w:t>
      </w:r>
    </w:p>
    <w:p w14:paraId="5B5B81C1" w14:textId="77777777" w:rsidR="00E11253" w:rsidRDefault="00E11253" w:rsidP="002F7727">
      <w:pPr>
        <w:pStyle w:val="NoSpacing"/>
        <w:rPr>
          <w:rFonts w:ascii="Arial Black" w:hAnsi="Arial Black"/>
          <w:b/>
          <w:sz w:val="24"/>
          <w:szCs w:val="24"/>
        </w:rPr>
      </w:pPr>
    </w:p>
    <w:p w14:paraId="15E6990D" w14:textId="77777777" w:rsidR="00F838A9" w:rsidRPr="00E67138" w:rsidRDefault="00F838A9" w:rsidP="00F838A9">
      <w:pPr>
        <w:pStyle w:val="NoSpacing"/>
        <w:rPr>
          <w:rFonts w:ascii="Arial Black" w:hAnsi="Arial Black"/>
          <w:b/>
          <w:sz w:val="28"/>
          <w:szCs w:val="28"/>
        </w:rPr>
      </w:pPr>
      <w:r>
        <w:rPr>
          <w:rFonts w:ascii="Arial Black" w:hAnsi="Arial Black"/>
          <w:b/>
          <w:sz w:val="28"/>
          <w:szCs w:val="28"/>
        </w:rPr>
        <w:t>LA: 48-HR DISCIPLINE SET ASIDE – NO BILL RIGHTS NOTICE</w:t>
      </w:r>
    </w:p>
    <w:p w14:paraId="4A8A3F05" w14:textId="77777777" w:rsidR="00F838A9" w:rsidRDefault="00F838A9" w:rsidP="00F838A9">
      <w:pPr>
        <w:pStyle w:val="NoSpacing"/>
        <w:rPr>
          <w:b/>
        </w:rPr>
      </w:pPr>
    </w:p>
    <w:p w14:paraId="34A07E9B" w14:textId="77777777" w:rsidR="00F838A9" w:rsidRDefault="00F838A9" w:rsidP="00F838A9">
      <w:pPr>
        <w:pStyle w:val="NoSpacing"/>
        <w:rPr>
          <w:bCs/>
        </w:rPr>
      </w:pPr>
      <w:r>
        <w:t xml:space="preserve">On April 29, 2026, in </w:t>
      </w:r>
      <w:r w:rsidRPr="000B1335">
        <w:rPr>
          <w:u w:val="single"/>
        </w:rPr>
        <w:t>Donald Adams v. New Orleans Fire Department</w:t>
      </w:r>
      <w:r>
        <w:t xml:space="preserve">, the </w:t>
      </w:r>
      <w:r w:rsidRPr="000B1335">
        <w:t>Court of Appeals of Louisiana, Fourth Circuit</w:t>
      </w:r>
      <w:r>
        <w:t xml:space="preserve"> held (2 to 1) that 48-hour suspension is set aside; he was disciplined  for leaving a courthouse while the rest of 4-member team looked for cause of smoke alarm. The Court wrote: </w:t>
      </w:r>
    </w:p>
    <w:p w14:paraId="0C25C758" w14:textId="77777777" w:rsidR="00F838A9" w:rsidRDefault="00F838A9" w:rsidP="00F838A9">
      <w:pPr>
        <w:pStyle w:val="NoSpacing"/>
        <w:ind w:left="720" w:firstLine="60"/>
        <w:rPr>
          <w:bCs/>
        </w:rPr>
      </w:pPr>
    </w:p>
    <w:p w14:paraId="205D35F1" w14:textId="77777777" w:rsidR="00F838A9" w:rsidRDefault="00F838A9" w:rsidP="00F838A9">
      <w:pPr>
        <w:pStyle w:val="NoSpacing"/>
        <w:ind w:left="720" w:firstLine="60"/>
      </w:pPr>
      <w:r>
        <w:t xml:space="preserve">“First Platoon Deputy Chief </w:t>
      </w:r>
      <w:r w:rsidRPr="00960F97">
        <w:t xml:space="preserve">Castle completed his investigation and on April 22, 2024, he issued a letter to Adams informing him that he was suspended for 48 hours for violating fire department policy. The letter advised Adams that, </w:t>
      </w:r>
      <w:r>
        <w:t>‘</w:t>
      </w:r>
      <w:r w:rsidRPr="00960F97">
        <w:t xml:space="preserve">Specifically, on </w:t>
      </w:r>
      <w:r>
        <w:t xml:space="preserve">[March 17, </w:t>
      </w:r>
      <w:r w:rsidRPr="00960F97">
        <w:t>2024</w:t>
      </w:r>
      <w:r>
        <w:t>]</w:t>
      </w:r>
      <w:r w:rsidRPr="00960F97">
        <w:t xml:space="preserve"> while on an incident investigating an alarm you exited the building without the captain's permission while the rest of the crew remained inside to confirm the alarm status and mitigate the incident</w:t>
      </w:r>
      <w:r>
        <w:t xml:space="preserve">…. </w:t>
      </w:r>
      <w:r w:rsidRPr="00654C32">
        <w:t>We are constrained to hold that the strict statutory requirements of La. R.S. 33:2181 were not met in this process</w:t>
      </w:r>
      <w:r>
        <w:t xml:space="preserve">…. </w:t>
      </w:r>
      <w:r w:rsidRPr="00DB6DA9">
        <w:t>At no point in the investigation was Adams notified of his rights under the Firefighter's Bill of Rights. To the extent that the record in this case reveals the substance of the investigation we conclude that the investigators were Edwards and Castle.</w:t>
      </w:r>
      <w:r>
        <w:t xml:space="preserve"> </w:t>
      </w:r>
      <w:hyperlink r:id="rId2538" w:history="1">
        <w:r w:rsidRPr="00A118A9">
          <w:rPr>
            <w:rStyle w:val="Hyperlink"/>
          </w:rPr>
          <w:t>https://caselaw.findlaw.com/court/la-court-of-appeal/118312488.html</w:t>
        </w:r>
      </w:hyperlink>
      <w:r>
        <w:t xml:space="preserve"> </w:t>
      </w:r>
    </w:p>
    <w:p w14:paraId="32EB1028" w14:textId="77777777" w:rsidR="00F838A9" w:rsidRDefault="00F838A9" w:rsidP="00F838A9">
      <w:pPr>
        <w:pStyle w:val="NoSpacing"/>
      </w:pPr>
    </w:p>
    <w:p w14:paraId="7ED78B72" w14:textId="77777777" w:rsidR="00F838A9" w:rsidRDefault="00F838A9" w:rsidP="00F838A9">
      <w:pPr>
        <w:pStyle w:val="NoSpacing"/>
      </w:pPr>
      <w:r>
        <w:t>THE COURT HELD:</w:t>
      </w:r>
    </w:p>
    <w:p w14:paraId="2E0D881B" w14:textId="77777777" w:rsidR="00F838A9" w:rsidRDefault="00F838A9" w:rsidP="00F838A9">
      <w:pPr>
        <w:pStyle w:val="NoSpacing"/>
      </w:pPr>
    </w:p>
    <w:p w14:paraId="582B38AB" w14:textId="77777777" w:rsidR="00F838A9" w:rsidRDefault="00F838A9" w:rsidP="00F838A9">
      <w:pPr>
        <w:pStyle w:val="NoSpacing"/>
        <w:ind w:left="720"/>
      </w:pPr>
      <w:r>
        <w:t>“</w:t>
      </w:r>
      <w:r w:rsidRPr="009B5BDC">
        <w:t xml:space="preserve">On March 17, 2024, firefighters from Engine Company 20 were called out to the Second City Courthouse on Morgan Street in Algiers. The firefighters involved were Captain Randolph </w:t>
      </w:r>
      <w:proofErr w:type="gramStart"/>
      <w:r w:rsidRPr="009B5BDC">
        <w:t>Edwards (</w:t>
      </w:r>
      <w:r>
        <w:t>‘</w:t>
      </w:r>
      <w:r w:rsidRPr="009B5BDC">
        <w:t>Edwards</w:t>
      </w:r>
      <w:r>
        <w:t>’</w:t>
      </w:r>
      <w:r w:rsidRPr="009B5BDC">
        <w:t>)</w:t>
      </w:r>
      <w:proofErr w:type="gramEnd"/>
      <w:r w:rsidRPr="009B5BDC">
        <w:t xml:space="preserve">, Anthony </w:t>
      </w:r>
      <w:proofErr w:type="gramStart"/>
      <w:r w:rsidRPr="009B5BDC">
        <w:t>Donseroaux (</w:t>
      </w:r>
      <w:r>
        <w:t>‘</w:t>
      </w:r>
      <w:proofErr w:type="spellStart"/>
      <w:r w:rsidRPr="009B5BDC">
        <w:t>Donseroaux</w:t>
      </w:r>
      <w:proofErr w:type="spellEnd"/>
      <w:r>
        <w:t>’</w:t>
      </w:r>
      <w:r w:rsidRPr="009B5BDC">
        <w:t>)</w:t>
      </w:r>
      <w:proofErr w:type="gramEnd"/>
      <w:r w:rsidRPr="009B5BDC">
        <w:t xml:space="preserve">, Milton </w:t>
      </w:r>
      <w:proofErr w:type="gramStart"/>
      <w:r w:rsidRPr="009B5BDC">
        <w:t>Smith (</w:t>
      </w:r>
      <w:r>
        <w:t>‘</w:t>
      </w:r>
      <w:r w:rsidRPr="009B5BDC">
        <w:t>Smith</w:t>
      </w:r>
      <w:r>
        <w:t>’</w:t>
      </w:r>
      <w:r w:rsidRPr="009B5BDC">
        <w:t>)</w:t>
      </w:r>
      <w:proofErr w:type="gramEnd"/>
      <w:r w:rsidRPr="009B5BDC">
        <w:t xml:space="preserve"> and Adams. It was the third callout to this address that day. On the two prior occasions, the team </w:t>
      </w:r>
      <w:proofErr w:type="gramStart"/>
      <w:r w:rsidRPr="009B5BDC">
        <w:t>was not able to</w:t>
      </w:r>
      <w:proofErr w:type="gramEnd"/>
      <w:r w:rsidRPr="009B5BDC">
        <w:t xml:space="preserve"> get into the courthouse. On this third occasion, a building representative was present and let the men in. They searched the building and found no evidence of fire. They were unable to stop the alarm. While awaiting someone from the alarm company to stop the false alarm, Edwards, who was the ranking firefighter on the scene, began a conversation with the building representative on matters unrelated to the fire call. </w:t>
      </w:r>
      <w:r>
        <w:t xml:space="preserve"> </w:t>
      </w:r>
      <w:r w:rsidRPr="009B5BDC">
        <w:t>         </w:t>
      </w:r>
    </w:p>
    <w:p w14:paraId="0D29CF31" w14:textId="77777777" w:rsidR="00F838A9" w:rsidRDefault="00F838A9" w:rsidP="00F838A9">
      <w:pPr>
        <w:pStyle w:val="NoSpacing"/>
        <w:ind w:left="720"/>
      </w:pPr>
    </w:p>
    <w:p w14:paraId="17FE40D4" w14:textId="77777777" w:rsidR="00F838A9" w:rsidRDefault="00F838A9" w:rsidP="00F838A9">
      <w:pPr>
        <w:pStyle w:val="NoSpacing"/>
        <w:ind w:left="720"/>
      </w:pPr>
      <w:r w:rsidRPr="009B5BDC">
        <w:t xml:space="preserve">Approximately 10 to 15 minutes after the building was searched, the captain and other firefighters walked outside and saw Adams talking to Smith, the firetruck operator. The building representative commented that </w:t>
      </w:r>
      <w:r w:rsidRPr="009B5BDC">
        <w:lastRenderedPageBreak/>
        <w:t xml:space="preserve">the two firefighters by the truck were ready to leave. Edwards then walked to the truck and chastised Adams for leaving the scene inside the building and informed him that he should stay next to his captain. </w:t>
      </w:r>
    </w:p>
    <w:p w14:paraId="1009B712" w14:textId="77777777" w:rsidR="00F838A9" w:rsidRPr="009B5BDC" w:rsidRDefault="00F838A9" w:rsidP="00F838A9">
      <w:pPr>
        <w:pStyle w:val="NoSpacing"/>
        <w:ind w:left="720"/>
      </w:pPr>
    </w:p>
    <w:p w14:paraId="5FC0EDE7" w14:textId="77777777" w:rsidR="00F838A9" w:rsidRDefault="00F838A9" w:rsidP="00F838A9">
      <w:pPr>
        <w:pStyle w:val="NoSpacing"/>
        <w:ind w:left="720"/>
      </w:pPr>
      <w:r w:rsidRPr="009B5BDC">
        <w:t xml:space="preserve">Edwards alleges that Adams told him, </w:t>
      </w:r>
      <w:proofErr w:type="gramStart"/>
      <w:r>
        <w:t>‘</w:t>
      </w:r>
      <w:r w:rsidRPr="009B5BDC">
        <w:t>you</w:t>
      </w:r>
      <w:proofErr w:type="gramEnd"/>
      <w:r w:rsidRPr="009B5BDC">
        <w:t xml:space="preserve"> think you're in charge of f*****g </w:t>
      </w:r>
      <w:r>
        <w:t xml:space="preserve"> </w:t>
      </w:r>
      <w:r w:rsidRPr="009B5BDC">
        <w:t>E20 but you're not in charge.</w:t>
      </w:r>
      <w:r>
        <w:t xml:space="preserve">’ </w:t>
      </w:r>
      <w:r w:rsidRPr="009B5BDC">
        <w:t xml:space="preserve"> Adams alleges that he said, </w:t>
      </w:r>
      <w:r>
        <w:t>‘</w:t>
      </w:r>
      <w:r w:rsidRPr="009B5BDC">
        <w:t>you think you're in charge of E20 but it's a team.</w:t>
      </w:r>
      <w:r>
        <w:t xml:space="preserve">’ </w:t>
      </w:r>
      <w:r w:rsidRPr="009B5BDC">
        <w:t xml:space="preserve">Neither Smith nor </w:t>
      </w:r>
      <w:proofErr w:type="spellStart"/>
      <w:r w:rsidRPr="009B5BDC">
        <w:t>Donseroaux</w:t>
      </w:r>
      <w:proofErr w:type="spellEnd"/>
      <w:r w:rsidRPr="009B5BDC">
        <w:t xml:space="preserve"> heard the profanity that Edwards described but both witnesses testified that the conversation was heated. Smith, who </w:t>
      </w:r>
      <w:proofErr w:type="gramStart"/>
      <w:r w:rsidRPr="009B5BDC">
        <w:t>was outside at all times</w:t>
      </w:r>
      <w:proofErr w:type="gramEnd"/>
      <w:r w:rsidRPr="009B5BDC">
        <w:t xml:space="preserve">, explained that he called Adams to the truck to ask if the inspection revealed anything. </w:t>
      </w:r>
    </w:p>
    <w:p w14:paraId="077391E2" w14:textId="77777777" w:rsidR="00F838A9" w:rsidRDefault="00F838A9" w:rsidP="00F838A9">
      <w:pPr>
        <w:pStyle w:val="NoSpacing"/>
        <w:ind w:left="720"/>
      </w:pPr>
    </w:p>
    <w:p w14:paraId="77B05235" w14:textId="77777777" w:rsidR="00F838A9" w:rsidRDefault="00F838A9" w:rsidP="00F838A9">
      <w:pPr>
        <w:pStyle w:val="NoSpacing"/>
        <w:ind w:left="720"/>
      </w:pPr>
      <w:r>
        <w:t>***</w:t>
      </w:r>
    </w:p>
    <w:p w14:paraId="424EA38E" w14:textId="77777777" w:rsidR="00F838A9" w:rsidRDefault="00F838A9" w:rsidP="00F838A9">
      <w:pPr>
        <w:pStyle w:val="NoSpacing"/>
        <w:ind w:left="720"/>
      </w:pPr>
      <w:r w:rsidRPr="00A9657E">
        <w:t xml:space="preserve">After the incident, Edwards asked every member of the team to write a Special Report (statement) regarding the call out. </w:t>
      </w:r>
      <w:r>
        <w:t xml:space="preserve"> </w:t>
      </w:r>
      <w:r w:rsidRPr="00A9657E">
        <w:t xml:space="preserve">Edwards completed a Documentation of Disciplinary </w:t>
      </w:r>
      <w:proofErr w:type="gramStart"/>
      <w:r w:rsidRPr="00A9657E">
        <w:t>Action (</w:t>
      </w:r>
      <w:r>
        <w:t>‘</w:t>
      </w:r>
      <w:proofErr w:type="gramEnd"/>
      <w:r w:rsidRPr="00A9657E">
        <w:t>DDA</w:t>
      </w:r>
      <w:r>
        <w:t>’</w:t>
      </w:r>
      <w:r w:rsidRPr="00A9657E">
        <w:t xml:space="preserve">) form charging Adams with violating NOFDRR57 of the New Orleans Fire </w:t>
      </w:r>
      <w:proofErr w:type="gramStart"/>
      <w:r w:rsidRPr="00A9657E">
        <w:t>Department (</w:t>
      </w:r>
      <w:r>
        <w:t>‘</w:t>
      </w:r>
      <w:proofErr w:type="gramEnd"/>
      <w:r w:rsidRPr="00A9657E">
        <w:t>NOFD</w:t>
      </w:r>
      <w:r>
        <w:t>’</w:t>
      </w:r>
      <w:r w:rsidRPr="00A9657E">
        <w:t xml:space="preserve">) Rules and Regulations. RR 57 provides that, </w:t>
      </w:r>
      <w:r>
        <w:t>‘</w:t>
      </w:r>
      <w:r w:rsidRPr="00A9657E">
        <w:t>At fire scenes or emergency calls, members shall not perform tasks without direction or orders from command or perform tasks that do not support incident objectives (i.e. freelancing).</w:t>
      </w:r>
      <w:r>
        <w:t>’</w:t>
      </w:r>
    </w:p>
    <w:p w14:paraId="5DE5526E" w14:textId="77777777" w:rsidR="00F838A9" w:rsidRDefault="00F838A9" w:rsidP="00F838A9">
      <w:pPr>
        <w:pStyle w:val="NoSpacing"/>
        <w:ind w:left="720"/>
      </w:pPr>
    </w:p>
    <w:p w14:paraId="4198299E" w14:textId="77777777" w:rsidR="00F838A9" w:rsidRDefault="00F838A9" w:rsidP="00F838A9">
      <w:pPr>
        <w:pStyle w:val="NoSpacing"/>
        <w:ind w:left="720"/>
      </w:pPr>
      <w:r>
        <w:t>***</w:t>
      </w:r>
    </w:p>
    <w:p w14:paraId="05815C35" w14:textId="77777777" w:rsidR="00F838A9" w:rsidRPr="00F24C16" w:rsidRDefault="00F838A9" w:rsidP="00F838A9">
      <w:pPr>
        <w:pStyle w:val="NoSpacing"/>
        <w:ind w:left="720"/>
      </w:pPr>
      <w:r w:rsidRPr="00F24C16">
        <w:t xml:space="preserve">We believe that Edwards' initiation of a disciplinary procedure based on Adams' actions was appropriate. In this case, it does not appear that there was an emergency in progress when Adams decided to walk away from the working group in the courthouse. However, it is the very nature of emergencies that they occur without warning. No one was injured and there was no loss of life or property in this situation. For that, everyone must be grateful to good fortune. In the business of protecting life and property, good fortune is never a substitute for safe procedure. </w:t>
      </w:r>
    </w:p>
    <w:p w14:paraId="4EBB0D82" w14:textId="77777777" w:rsidR="00F838A9" w:rsidRDefault="00F838A9" w:rsidP="00F838A9">
      <w:pPr>
        <w:pStyle w:val="NoSpacing"/>
        <w:ind w:left="720"/>
      </w:pPr>
      <w:r w:rsidRPr="00F24C16">
        <w:t>         </w:t>
      </w:r>
    </w:p>
    <w:p w14:paraId="79020D2A" w14:textId="77777777" w:rsidR="00F838A9" w:rsidRDefault="00F838A9" w:rsidP="00F838A9">
      <w:pPr>
        <w:pStyle w:val="NoSpacing"/>
        <w:ind w:left="720"/>
      </w:pPr>
      <w:r w:rsidRPr="00F24C16">
        <w:t>Having noted for the record this court's support for the intention of the disciplinary proceeding, we find that the decision of the CSC was not manifestly erroneous. We are constrained to hold that the strict statutory requirements of La. R.S. 33:2181 were not met in this process.</w:t>
      </w:r>
      <w:r>
        <w:t>”</w:t>
      </w:r>
    </w:p>
    <w:p w14:paraId="5EBFF566" w14:textId="77777777" w:rsidR="00F838A9" w:rsidRDefault="00F838A9" w:rsidP="00F838A9">
      <w:pPr>
        <w:pStyle w:val="NoSpacing"/>
        <w:ind w:left="720"/>
      </w:pPr>
    </w:p>
    <w:p w14:paraId="05362EB0" w14:textId="77777777" w:rsidR="00F838A9" w:rsidRDefault="00F838A9" w:rsidP="00F838A9">
      <w:pPr>
        <w:pStyle w:val="NoSpacing"/>
      </w:pPr>
      <w:r>
        <w:t>DISSENT:</w:t>
      </w:r>
    </w:p>
    <w:p w14:paraId="0AA9C73E" w14:textId="77777777" w:rsidR="00F838A9" w:rsidRDefault="00F838A9" w:rsidP="00F838A9">
      <w:pPr>
        <w:pStyle w:val="NoSpacing"/>
      </w:pPr>
    </w:p>
    <w:p w14:paraId="2E4D5CEE" w14:textId="77777777" w:rsidR="00F838A9" w:rsidRDefault="00F838A9" w:rsidP="00F838A9">
      <w:pPr>
        <w:pStyle w:val="NoSpacing"/>
        <w:ind w:left="720"/>
      </w:pPr>
      <w:r>
        <w:t xml:space="preserve">“The distinction between investigation and formal investigation is an important one. Initial steps taken to prepare for a formal investigation (i.e., gathering witness statements, promulgating Documentation of Disciplinary Action) are distinguishable from the formal investigation itself. A formal investigation cannot commence unless and until a complaint is lodged, evidence is gathered, and such documentation is submitted to the appointing authority to determine whether a formal investigation is </w:t>
      </w:r>
      <w:proofErr w:type="gramStart"/>
      <w:r>
        <w:t>merited.”</w:t>
      </w:r>
      <w:proofErr w:type="gramEnd"/>
      <w:r>
        <w:t xml:space="preserve"> </w:t>
      </w:r>
      <w:hyperlink r:id="rId2539" w:history="1">
        <w:r w:rsidRPr="00A118A9">
          <w:rPr>
            <w:rStyle w:val="Hyperlink"/>
          </w:rPr>
          <w:t>https://cases.justia.com/louisiana/fourth-circuit-court-of-appeal/2026-2025-ca-0639-0.pdf?ts=1777519082</w:t>
        </w:r>
      </w:hyperlink>
      <w:r>
        <w:t xml:space="preserve"> </w:t>
      </w:r>
    </w:p>
    <w:p w14:paraId="68F2F445" w14:textId="77777777" w:rsidR="00F838A9" w:rsidRDefault="00F838A9" w:rsidP="00F838A9">
      <w:pPr>
        <w:pStyle w:val="NoSpacing"/>
        <w:ind w:left="720"/>
      </w:pPr>
    </w:p>
    <w:p w14:paraId="4B91E4CA" w14:textId="77777777" w:rsidR="00F838A9" w:rsidRPr="009B5BDC" w:rsidRDefault="00F838A9" w:rsidP="00F838A9">
      <w:pPr>
        <w:pStyle w:val="NoSpacing"/>
      </w:pPr>
      <w:r>
        <w:rPr>
          <w:b/>
        </w:rPr>
        <w:t xml:space="preserve">Legal lesson learned: This is second New Orleans FD recent case where discipline is set aside.  There is a clear need for written guidance from State’s Attorney General on when a “formal investigation” is deemed to start. </w:t>
      </w:r>
    </w:p>
    <w:p w14:paraId="3702FE89" w14:textId="77777777" w:rsidR="00F838A9" w:rsidRDefault="00F838A9" w:rsidP="00F838A9">
      <w:pPr>
        <w:pStyle w:val="NoSpacing"/>
      </w:pPr>
    </w:p>
    <w:p w14:paraId="31B6C0CC" w14:textId="77777777" w:rsidR="00DA3352" w:rsidRDefault="00DA3352" w:rsidP="00DA3352">
      <w:pPr>
        <w:pStyle w:val="NoSpacing"/>
        <w:rPr>
          <w:rFonts w:ascii="Arial Black" w:hAnsi="Arial Black"/>
          <w:b/>
          <w:sz w:val="24"/>
          <w:szCs w:val="24"/>
        </w:rPr>
      </w:pPr>
    </w:p>
    <w:p w14:paraId="1841EA4D" w14:textId="45282F98" w:rsidR="00DA3352" w:rsidRDefault="00DA3352" w:rsidP="00DA3352">
      <w:pPr>
        <w:pStyle w:val="NoSpacing"/>
        <w:rPr>
          <w:rFonts w:ascii="Arial Black" w:hAnsi="Arial Black"/>
          <w:b/>
          <w:sz w:val="24"/>
          <w:szCs w:val="24"/>
        </w:rPr>
      </w:pPr>
      <w:r>
        <w:rPr>
          <w:rFonts w:ascii="Arial Black" w:hAnsi="Arial Black"/>
          <w:b/>
          <w:sz w:val="24"/>
          <w:szCs w:val="24"/>
        </w:rPr>
        <w:t>16-154</w:t>
      </w:r>
    </w:p>
    <w:p w14:paraId="33C65973" w14:textId="77777777" w:rsidR="00DA3352" w:rsidRDefault="00DA3352" w:rsidP="00DA3352">
      <w:pPr>
        <w:pStyle w:val="NoSpacing"/>
        <w:rPr>
          <w:rFonts w:ascii="Arial Black" w:hAnsi="Arial Black"/>
          <w:b/>
          <w:sz w:val="24"/>
          <w:szCs w:val="24"/>
        </w:rPr>
      </w:pPr>
    </w:p>
    <w:p w14:paraId="0CADA8D4" w14:textId="77777777" w:rsidR="00C03046" w:rsidRPr="00807158" w:rsidRDefault="00C03046" w:rsidP="00C03046">
      <w:pPr>
        <w:pStyle w:val="NoSpacing"/>
        <w:rPr>
          <w:rFonts w:ascii="Arial Black" w:hAnsi="Arial Black"/>
          <w:b/>
          <w:sz w:val="28"/>
          <w:szCs w:val="28"/>
        </w:rPr>
      </w:pPr>
      <w:r>
        <w:rPr>
          <w:rFonts w:ascii="Arial Black" w:hAnsi="Arial Black"/>
          <w:b/>
          <w:sz w:val="28"/>
          <w:szCs w:val="28"/>
        </w:rPr>
        <w:t>LA: 36-HR DISCIPLINE SET ASIDE– NO BILL RIGHTS NOTICE</w:t>
      </w:r>
    </w:p>
    <w:p w14:paraId="7D3285CF" w14:textId="77777777" w:rsidR="00C03046" w:rsidRDefault="00C03046" w:rsidP="00C03046">
      <w:pPr>
        <w:pStyle w:val="NoSpacing"/>
      </w:pPr>
    </w:p>
    <w:p w14:paraId="16444A44" w14:textId="77777777" w:rsidR="00C03046" w:rsidRDefault="00C03046" w:rsidP="00C03046">
      <w:pPr>
        <w:pStyle w:val="NoSpacing"/>
      </w:pPr>
      <w:r>
        <w:t xml:space="preserve">On April 28, 2026, in </w:t>
      </w:r>
      <w:r w:rsidRPr="00AB5D12">
        <w:rPr>
          <w:u w:val="single"/>
        </w:rPr>
        <w:t>Michael Murphy v. New Orleans Fire Department</w:t>
      </w:r>
      <w:r>
        <w:t xml:space="preserve">, the </w:t>
      </w:r>
      <w:r w:rsidRPr="00AB5D12">
        <w:t>Court of Appeals of Louisiana, Fourth Circuit</w:t>
      </w:r>
      <w:r>
        <w:t xml:space="preserve"> held (3 to 0) that under the Louisiana </w:t>
      </w:r>
      <w:r w:rsidRPr="007D2D81">
        <w:t>Firefighter Bill of Rights</w:t>
      </w:r>
      <w:r>
        <w:t xml:space="preserve">, even though there is no question that the Fire Apparatus Operator’s failed to wear seat belts on December 2 and December 11, 2024 when driving </w:t>
      </w:r>
      <w:r w:rsidRPr="004C28D7">
        <w:t>Fire Engine 14</w:t>
      </w:r>
      <w:r>
        <w:t xml:space="preserve">. The NOFD Samsara video monitoring system recorded </w:t>
      </w:r>
      <w:proofErr w:type="gramStart"/>
      <w:r>
        <w:t>the seatbelt</w:t>
      </w:r>
      <w:proofErr w:type="gramEnd"/>
      <w:r>
        <w:t xml:space="preserve"> infractions and alerted Captain Jason Dufrene, who on December 20, </w:t>
      </w:r>
      <w:proofErr w:type="gramStart"/>
      <w:r>
        <w:t>2024</w:t>
      </w:r>
      <w:proofErr w:type="gramEnd"/>
      <w:r>
        <w:t xml:space="preserve"> issued the charges.  The Civil Service Commission held (2 to 1) that there was no “formal investigation” under the Bill of Rights which would require the following notices: “notify the employee in writing of the nature of the investigation, of the identity and authority of the person conducting such investigation, and of the specific </w:t>
      </w:r>
      <w:r>
        <w:lastRenderedPageBreak/>
        <w:t xml:space="preserve">charges or violations being investigated. The Commission held: “Captain Dufrene’s routine review of photos or videos from an electronic monitoring system does not rise to the level of a formal investigation.” The Court of Appeals disagreed and set aside the suspensions. “The NOFD conducted a formal investigation of Mr. Murphy’s seatbelt violations without providing written notice of an investigation. The SAMSARA evidence does not abrogate the Firefighter Bill of Rights. Accordingly, we find that Mr. Murphy’s discipline was an absolute </w:t>
      </w:r>
      <w:proofErr w:type="gramStart"/>
      <w:r>
        <w:t>nullity.”</w:t>
      </w:r>
      <w:proofErr w:type="gramEnd"/>
      <w:r>
        <w:t xml:space="preserve"> </w:t>
      </w:r>
      <w:hyperlink r:id="rId2540" w:history="1">
        <w:r w:rsidRPr="00CF721F">
          <w:rPr>
            <w:rStyle w:val="Hyperlink"/>
          </w:rPr>
          <w:t>https://www.la4th.org/opinion/2025/4959829_1.pdf</w:t>
        </w:r>
      </w:hyperlink>
      <w:r>
        <w:t xml:space="preserve"> </w:t>
      </w:r>
    </w:p>
    <w:p w14:paraId="54E1D41D" w14:textId="77777777" w:rsidR="00C03046" w:rsidRDefault="00C03046" w:rsidP="00C03046">
      <w:pPr>
        <w:pStyle w:val="NoSpacing"/>
      </w:pPr>
    </w:p>
    <w:p w14:paraId="76934C53" w14:textId="77777777" w:rsidR="00C03046" w:rsidRDefault="00C03046" w:rsidP="00C03046">
      <w:pPr>
        <w:pStyle w:val="NoSpacing"/>
      </w:pPr>
      <w:r>
        <w:t>THE COURT HELD:</w:t>
      </w:r>
    </w:p>
    <w:p w14:paraId="0BE40CA8" w14:textId="77777777" w:rsidR="00C03046" w:rsidRDefault="00C03046" w:rsidP="00C03046">
      <w:pPr>
        <w:pStyle w:val="NoSpacing"/>
      </w:pPr>
    </w:p>
    <w:p w14:paraId="46C6504A" w14:textId="77777777" w:rsidR="00C03046" w:rsidRDefault="00C03046" w:rsidP="00C03046">
      <w:pPr>
        <w:pStyle w:val="NoSpacing"/>
        <w:ind w:firstLine="720"/>
      </w:pPr>
      <w:r>
        <w:t>“[The] NOFD asserts that no formal investigation was warranted or</w:t>
      </w:r>
    </w:p>
    <w:p w14:paraId="4102F6C2" w14:textId="77777777" w:rsidR="00C03046" w:rsidRDefault="00C03046" w:rsidP="00C03046">
      <w:pPr>
        <w:pStyle w:val="NoSpacing"/>
        <w:ind w:firstLine="720"/>
      </w:pPr>
      <w:r>
        <w:t>conducted due to the conclusive SAMSARA video evidence of Mr. Murphy’s</w:t>
      </w:r>
    </w:p>
    <w:p w14:paraId="29C13C15" w14:textId="77777777" w:rsidR="00C03046" w:rsidRDefault="00C03046" w:rsidP="00C03046">
      <w:pPr>
        <w:pStyle w:val="NoSpacing"/>
        <w:ind w:firstLine="720"/>
      </w:pPr>
      <w:r>
        <w:t xml:space="preserve">infractions. Nonetheless, the NOFD </w:t>
      </w:r>
      <w:proofErr w:type="gramStart"/>
      <w:r>
        <w:t>contends, ‘</w:t>
      </w:r>
      <w:proofErr w:type="gramEnd"/>
      <w:r>
        <w:t>[t]o the extent any investigation</w:t>
      </w:r>
    </w:p>
    <w:p w14:paraId="752AAFAB" w14:textId="77777777" w:rsidR="00C03046" w:rsidRDefault="00C03046" w:rsidP="00C03046">
      <w:pPr>
        <w:pStyle w:val="NoSpacing"/>
        <w:ind w:firstLine="720"/>
      </w:pPr>
      <w:r>
        <w:t>was conducted, which is denied, it was informal and had not arisen to the level of a</w:t>
      </w:r>
    </w:p>
    <w:p w14:paraId="01A21C40" w14:textId="77777777" w:rsidR="00C03046" w:rsidRDefault="00C03046" w:rsidP="00C03046">
      <w:pPr>
        <w:pStyle w:val="NoSpacing"/>
        <w:ind w:firstLine="720"/>
      </w:pPr>
      <w:r>
        <w:t>formal investigation and the required procedural steps pursuant to La R.S.</w:t>
      </w:r>
    </w:p>
    <w:p w14:paraId="432270BB" w14:textId="77777777" w:rsidR="00C03046" w:rsidRDefault="00C03046" w:rsidP="00C03046">
      <w:pPr>
        <w:pStyle w:val="NoSpacing"/>
        <w:ind w:firstLine="720"/>
      </w:pPr>
      <w:r>
        <w:t>§33:2181(B).’</w:t>
      </w:r>
    </w:p>
    <w:p w14:paraId="1B4B9998" w14:textId="77777777" w:rsidR="00C03046" w:rsidRDefault="00C03046" w:rsidP="00C03046">
      <w:pPr>
        <w:pStyle w:val="NoSpacing"/>
        <w:ind w:firstLine="720"/>
      </w:pPr>
    </w:p>
    <w:p w14:paraId="3E500B20" w14:textId="77777777" w:rsidR="00C03046" w:rsidRDefault="00C03046" w:rsidP="00C03046">
      <w:pPr>
        <w:pStyle w:val="NoSpacing"/>
        <w:ind w:firstLine="720"/>
      </w:pPr>
      <w:r>
        <w:t>***</w:t>
      </w:r>
    </w:p>
    <w:p w14:paraId="1FC7993A" w14:textId="77777777" w:rsidR="00C03046" w:rsidRDefault="00C03046" w:rsidP="00C03046">
      <w:pPr>
        <w:pStyle w:val="NoSpacing"/>
      </w:pPr>
    </w:p>
    <w:p w14:paraId="474E0E4D" w14:textId="77777777" w:rsidR="00C03046" w:rsidRDefault="00C03046" w:rsidP="00C03046">
      <w:pPr>
        <w:pStyle w:val="NoSpacing"/>
        <w:ind w:firstLine="720"/>
      </w:pPr>
      <w:r>
        <w:t>We must determine whether the NOFD conducted a formal investigation of</w:t>
      </w:r>
    </w:p>
    <w:p w14:paraId="18877DB6" w14:textId="77777777" w:rsidR="00C03046" w:rsidRDefault="00C03046" w:rsidP="00C03046">
      <w:pPr>
        <w:pStyle w:val="NoSpacing"/>
        <w:ind w:firstLine="720"/>
      </w:pPr>
      <w:r>
        <w:t>Mr. Murphy.</w:t>
      </w:r>
    </w:p>
    <w:p w14:paraId="20EE6B83" w14:textId="77777777" w:rsidR="00C03046" w:rsidRDefault="00C03046" w:rsidP="00C03046">
      <w:pPr>
        <w:pStyle w:val="NoSpacing"/>
        <w:ind w:firstLine="720"/>
      </w:pPr>
    </w:p>
    <w:p w14:paraId="759F437F" w14:textId="77777777" w:rsidR="00C03046" w:rsidRDefault="00C03046" w:rsidP="00C03046">
      <w:pPr>
        <w:pStyle w:val="NoSpacing"/>
        <w:ind w:firstLine="720"/>
      </w:pPr>
      <w:r>
        <w:t xml:space="preserve">As stated above, </w:t>
      </w:r>
      <w:proofErr w:type="gramStart"/>
      <w:r>
        <w:t>the NOFD</w:t>
      </w:r>
      <w:proofErr w:type="gramEnd"/>
      <w:r>
        <w:t xml:space="preserve"> is required to provide notice in writing of a</w:t>
      </w:r>
    </w:p>
    <w:p w14:paraId="79ED6734" w14:textId="77777777" w:rsidR="00C03046" w:rsidRDefault="00C03046" w:rsidP="00C03046">
      <w:pPr>
        <w:pStyle w:val="NoSpacing"/>
        <w:ind w:firstLine="720"/>
      </w:pPr>
      <w:r>
        <w:t>formal investigation into a firefighter’s conduct. “The Louisiana Attorney</w:t>
      </w:r>
    </w:p>
    <w:p w14:paraId="239D30B3" w14:textId="77777777" w:rsidR="00C03046" w:rsidRDefault="00C03046" w:rsidP="00C03046">
      <w:pPr>
        <w:pStyle w:val="NoSpacing"/>
        <w:ind w:firstLine="720"/>
      </w:pPr>
      <w:r>
        <w:t>General’s office has interpreted La. R.S. 33:2181 as applying to all situations when</w:t>
      </w:r>
    </w:p>
    <w:p w14:paraId="606211C6" w14:textId="77777777" w:rsidR="00C03046" w:rsidRDefault="00C03046" w:rsidP="00C03046">
      <w:pPr>
        <w:pStyle w:val="NoSpacing"/>
        <w:ind w:firstLine="720"/>
      </w:pPr>
      <w:r>
        <w:t>an authorized person makes an inquiry or collects evidence with a view to</w:t>
      </w:r>
    </w:p>
    <w:p w14:paraId="2D50D576" w14:textId="77777777" w:rsidR="00C03046" w:rsidRDefault="00C03046" w:rsidP="00C03046">
      <w:pPr>
        <w:pStyle w:val="NoSpacing"/>
        <w:ind w:firstLine="720"/>
      </w:pPr>
      <w:r>
        <w:t xml:space="preserve">disciplinary action.” Farrelly, 2019-216, p. 4, 284 So.3d at 683 (citing La. </w:t>
      </w:r>
      <w:proofErr w:type="spellStart"/>
      <w:r>
        <w:t>Att’y</w:t>
      </w:r>
      <w:proofErr w:type="spellEnd"/>
    </w:p>
    <w:p w14:paraId="1119E55D" w14:textId="77777777" w:rsidR="00C03046" w:rsidRDefault="00C03046" w:rsidP="00C03046">
      <w:pPr>
        <w:pStyle w:val="NoSpacing"/>
        <w:ind w:firstLine="720"/>
      </w:pPr>
      <w:r>
        <w:t>Gen. Op. No. 13-0207, 2014 WL 1404481). This Court held that a formal</w:t>
      </w:r>
    </w:p>
    <w:p w14:paraId="2980DDEE" w14:textId="77777777" w:rsidR="00C03046" w:rsidRDefault="00C03046" w:rsidP="00C03046">
      <w:pPr>
        <w:pStyle w:val="NoSpacing"/>
        <w:ind w:firstLine="720"/>
      </w:pPr>
      <w:r>
        <w:t>investigation began when the NOFD was made aware of the firefighter’s alleged</w:t>
      </w:r>
    </w:p>
    <w:p w14:paraId="4FCEAF54" w14:textId="77777777" w:rsidR="00C03046" w:rsidRDefault="00C03046" w:rsidP="00C03046">
      <w:pPr>
        <w:pStyle w:val="NoSpacing"/>
        <w:ind w:firstLine="720"/>
      </w:pPr>
      <w:r>
        <w:t xml:space="preserve">behavior and evidence </w:t>
      </w:r>
      <w:proofErr w:type="gramStart"/>
      <w:r>
        <w:t>was</w:t>
      </w:r>
      <w:proofErr w:type="gramEnd"/>
      <w:r>
        <w:t xml:space="preserve"> received.</w:t>
      </w:r>
    </w:p>
    <w:p w14:paraId="47290860" w14:textId="77777777" w:rsidR="00C03046" w:rsidRDefault="00C03046" w:rsidP="00C03046">
      <w:pPr>
        <w:pStyle w:val="NoSpacing"/>
        <w:ind w:firstLine="720"/>
      </w:pPr>
    </w:p>
    <w:p w14:paraId="0C332312" w14:textId="77777777" w:rsidR="00C03046" w:rsidRDefault="00C03046" w:rsidP="00C03046">
      <w:pPr>
        <w:pStyle w:val="NoSpacing"/>
        <w:ind w:firstLine="720"/>
      </w:pPr>
      <w:r>
        <w:t>***</w:t>
      </w:r>
    </w:p>
    <w:p w14:paraId="20D51500" w14:textId="77777777" w:rsidR="00C03046" w:rsidRDefault="00C03046" w:rsidP="00C03046">
      <w:pPr>
        <w:pStyle w:val="NoSpacing"/>
        <w:ind w:left="720"/>
      </w:pPr>
      <w:r>
        <w:t>Louisiana Revised Statutes: 33:2181(B), a portion of the Firefighter Bill of Rights, provides:</w:t>
      </w:r>
    </w:p>
    <w:p w14:paraId="299361F7" w14:textId="77777777" w:rsidR="00C03046" w:rsidRDefault="00C03046" w:rsidP="00C03046">
      <w:pPr>
        <w:pStyle w:val="NoSpacing"/>
        <w:ind w:left="720" w:firstLine="720"/>
      </w:pPr>
      <w:r>
        <w:t>B. Whenever a fire employee is under investigation, the following</w:t>
      </w:r>
    </w:p>
    <w:p w14:paraId="162206B7" w14:textId="77777777" w:rsidR="00C03046" w:rsidRDefault="00C03046" w:rsidP="00C03046">
      <w:pPr>
        <w:pStyle w:val="NoSpacing"/>
        <w:ind w:left="720" w:firstLine="720"/>
      </w:pPr>
      <w:r>
        <w:t>minimum standards shall apply:</w:t>
      </w:r>
    </w:p>
    <w:p w14:paraId="326866FC" w14:textId="77777777" w:rsidR="00C03046" w:rsidRDefault="00C03046" w:rsidP="00C03046">
      <w:pPr>
        <w:pStyle w:val="NoSpacing"/>
        <w:ind w:left="720" w:firstLine="720"/>
      </w:pPr>
      <w:r>
        <w:t>(1) Prior to commencing a formal investigation of a fire employee,</w:t>
      </w:r>
    </w:p>
    <w:p w14:paraId="6A43967B" w14:textId="77777777" w:rsidR="00C03046" w:rsidRDefault="00C03046" w:rsidP="00C03046">
      <w:pPr>
        <w:pStyle w:val="NoSpacing"/>
        <w:ind w:left="720" w:firstLine="720"/>
      </w:pPr>
      <w:r>
        <w:t>the appointing authority shall notify the employee in writing of the</w:t>
      </w:r>
    </w:p>
    <w:p w14:paraId="3DF0CAB8" w14:textId="77777777" w:rsidR="00C03046" w:rsidRDefault="00C03046" w:rsidP="00C03046">
      <w:pPr>
        <w:pStyle w:val="NoSpacing"/>
        <w:ind w:left="720" w:firstLine="720"/>
      </w:pPr>
      <w:r>
        <w:t>nature of the investigation, of the identity and authority of the</w:t>
      </w:r>
    </w:p>
    <w:p w14:paraId="599DCD1C" w14:textId="77777777" w:rsidR="00C03046" w:rsidRDefault="00C03046" w:rsidP="00C03046">
      <w:pPr>
        <w:pStyle w:val="NoSpacing"/>
        <w:ind w:left="720" w:firstLine="720"/>
      </w:pPr>
      <w:r>
        <w:t>person conducting such investigation, and of the specific charges or</w:t>
      </w:r>
    </w:p>
    <w:p w14:paraId="15D283F7" w14:textId="77777777" w:rsidR="00C03046" w:rsidRDefault="00C03046" w:rsidP="00C03046">
      <w:pPr>
        <w:pStyle w:val="NoSpacing"/>
        <w:ind w:left="720" w:firstLine="720"/>
      </w:pPr>
      <w:r>
        <w:t>violations being investigated.”</w:t>
      </w:r>
    </w:p>
    <w:p w14:paraId="481D5792" w14:textId="77777777" w:rsidR="00C03046" w:rsidRDefault="00C03046" w:rsidP="00C03046">
      <w:pPr>
        <w:pStyle w:val="NoSpacing"/>
        <w:ind w:firstLine="720"/>
      </w:pPr>
    </w:p>
    <w:p w14:paraId="28B568C3" w14:textId="77777777" w:rsidR="00C03046" w:rsidRDefault="00C03046" w:rsidP="00C03046">
      <w:pPr>
        <w:pStyle w:val="NoSpacing"/>
        <w:ind w:firstLine="720"/>
      </w:pPr>
    </w:p>
    <w:p w14:paraId="5280C9D2" w14:textId="77777777" w:rsidR="00C03046" w:rsidRPr="008F3E61" w:rsidRDefault="00C03046" w:rsidP="00C03046">
      <w:pPr>
        <w:pStyle w:val="NoSpacing"/>
        <w:rPr>
          <w:b/>
          <w:bCs/>
        </w:rPr>
      </w:pPr>
      <w:r w:rsidRPr="008F3E61">
        <w:rPr>
          <w:b/>
        </w:rPr>
        <w:t>Legal lesson learned:</w:t>
      </w:r>
      <w:r>
        <w:rPr>
          <w:b/>
        </w:rPr>
        <w:t xml:space="preserve"> Given this very broad decision about “formal” investigations, the fire department should consider providing written notice for all infractions that can lead to discipline. </w:t>
      </w:r>
    </w:p>
    <w:p w14:paraId="31CB53FB" w14:textId="77777777" w:rsidR="00C03046" w:rsidRDefault="00C03046" w:rsidP="00C03046">
      <w:pPr>
        <w:pStyle w:val="NoSpacing"/>
        <w:ind w:firstLine="720"/>
      </w:pPr>
    </w:p>
    <w:p w14:paraId="6061A417" w14:textId="77777777" w:rsidR="00C03046" w:rsidRDefault="00C03046" w:rsidP="00C03046">
      <w:pPr>
        <w:pStyle w:val="NoSpacing"/>
        <w:ind w:left="720"/>
      </w:pPr>
      <w:r>
        <w:t xml:space="preserve">Note: Read the Civil Service Commission report. </w:t>
      </w:r>
      <w:hyperlink r:id="rId2541" w:history="1">
        <w:r w:rsidRPr="00D41613">
          <w:rPr>
            <w:rStyle w:val="Hyperlink"/>
          </w:rPr>
          <w:t>https://nola.gov/getattachment/a5d775b2-685d-43c3-a7ff-ae60a9dcf745/Murphy,-Michael-9697-9698/</w:t>
        </w:r>
      </w:hyperlink>
      <w:r>
        <w:t xml:space="preserve">  </w:t>
      </w:r>
    </w:p>
    <w:p w14:paraId="1CE0F361" w14:textId="77777777" w:rsidR="00C03046" w:rsidRDefault="00C03046" w:rsidP="00C03046">
      <w:pPr>
        <w:pStyle w:val="NoSpacing"/>
      </w:pPr>
    </w:p>
    <w:p w14:paraId="7CE58EBA" w14:textId="77777777" w:rsidR="00C03046" w:rsidRDefault="00C03046" w:rsidP="00C03046">
      <w:pPr>
        <w:pStyle w:val="NoSpacing"/>
        <w:ind w:left="1440"/>
      </w:pPr>
      <w:r>
        <w:t xml:space="preserve">“Deputy Chief Larry White instructed the District Chief to instruct Captain Wiltz to charge Operator Murphy with a violation of the seatbelt policy. Captain Wiltz charged Operator Murphy on December 20, 2024, with violating the seatbelt policy, RR-55. Operator Murphy prepared a special report about the seatbelt infraction, which District Chiefs Ashburn and </w:t>
      </w:r>
      <w:proofErr w:type="spellStart"/>
      <w:r>
        <w:t>Kuruda</w:t>
      </w:r>
      <w:proofErr w:type="spellEnd"/>
      <w:r>
        <w:t xml:space="preserve"> required him to rewrite several times. (Tr. at 94-95). Operator Murphy appeared at a pre-disciplinary hearing before a panel of Deputy Chief White and two District Chiefs on January 16, 2025. NOFD suspended Operator Murphy for 12 hours for the </w:t>
      </w:r>
      <w:r>
        <w:lastRenderedPageBreak/>
        <w:t xml:space="preserve">December 2 offense, the minimum penalty for the offense under NOFD policy. (Tr. at 44). NOFD suspended Operator Murphy for 24 hours for the second offense on December 11, the minimum penalty for a second offense. (Tr. At 44).” </w:t>
      </w:r>
    </w:p>
    <w:p w14:paraId="0DA16225" w14:textId="77777777" w:rsidR="00C03046" w:rsidRDefault="00C03046" w:rsidP="00C03046">
      <w:pPr>
        <w:pStyle w:val="NoSpacing"/>
        <w:ind w:left="1440"/>
      </w:pPr>
      <w:hyperlink r:id="rId2542" w:history="1">
        <w:r w:rsidRPr="00CF721F">
          <w:rPr>
            <w:rStyle w:val="Hyperlink"/>
          </w:rPr>
          <w:t>https://nola.gov/getattachment/a5d775b2-685d-43c3-a7ff-ae60a9dcf745/Murphy,-Michael-9697-9698/</w:t>
        </w:r>
      </w:hyperlink>
      <w:r>
        <w:t xml:space="preserve"> </w:t>
      </w:r>
    </w:p>
    <w:p w14:paraId="53F5D4F2" w14:textId="77777777" w:rsidR="00E11253" w:rsidRDefault="00E11253" w:rsidP="002F7727">
      <w:pPr>
        <w:pStyle w:val="NoSpacing"/>
        <w:rPr>
          <w:rFonts w:ascii="Arial Black" w:hAnsi="Arial Black"/>
          <w:b/>
          <w:sz w:val="24"/>
          <w:szCs w:val="24"/>
        </w:rPr>
      </w:pPr>
    </w:p>
    <w:p w14:paraId="2B440090" w14:textId="4028E5AE" w:rsidR="00DA3352" w:rsidRDefault="00DA3352" w:rsidP="00DA3352">
      <w:pPr>
        <w:pStyle w:val="NoSpacing"/>
        <w:rPr>
          <w:rFonts w:ascii="Arial Black" w:hAnsi="Arial Black"/>
          <w:b/>
          <w:sz w:val="24"/>
          <w:szCs w:val="24"/>
        </w:rPr>
      </w:pPr>
      <w:r>
        <w:rPr>
          <w:rFonts w:ascii="Arial Black" w:hAnsi="Arial Black"/>
          <w:b/>
          <w:sz w:val="24"/>
          <w:szCs w:val="24"/>
        </w:rPr>
        <w:t>16-153</w:t>
      </w:r>
    </w:p>
    <w:p w14:paraId="6AD66682" w14:textId="77777777" w:rsidR="00DA3352" w:rsidRDefault="00DA3352" w:rsidP="00DA3352">
      <w:pPr>
        <w:pStyle w:val="NoSpacing"/>
        <w:rPr>
          <w:rFonts w:ascii="Arial Black" w:hAnsi="Arial Black"/>
          <w:b/>
          <w:sz w:val="24"/>
          <w:szCs w:val="24"/>
        </w:rPr>
      </w:pPr>
    </w:p>
    <w:p w14:paraId="356FBC20" w14:textId="77777777" w:rsidR="00DA3352" w:rsidRDefault="00DA3352" w:rsidP="002F7727">
      <w:pPr>
        <w:pStyle w:val="NoSpacing"/>
        <w:rPr>
          <w:rFonts w:ascii="Arial Black" w:hAnsi="Arial Black"/>
          <w:b/>
          <w:sz w:val="24"/>
          <w:szCs w:val="24"/>
        </w:rPr>
      </w:pPr>
    </w:p>
    <w:p w14:paraId="7B284716" w14:textId="77777777" w:rsidR="00DA3352" w:rsidRPr="0030539D" w:rsidRDefault="00DA3352" w:rsidP="00DA3352">
      <w:pPr>
        <w:pStyle w:val="NoSpacing"/>
        <w:rPr>
          <w:rFonts w:ascii="Arial Black" w:hAnsi="Arial Black"/>
          <w:b/>
          <w:sz w:val="28"/>
          <w:szCs w:val="28"/>
        </w:rPr>
      </w:pPr>
      <w:r w:rsidRPr="0030539D">
        <w:rPr>
          <w:rFonts w:ascii="Arial Black" w:hAnsi="Arial Black"/>
          <w:b/>
          <w:sz w:val="28"/>
          <w:szCs w:val="28"/>
        </w:rPr>
        <w:t xml:space="preserve">MA: </w:t>
      </w:r>
      <w:r>
        <w:rPr>
          <w:rFonts w:ascii="Arial Black" w:hAnsi="Arial Black"/>
          <w:b/>
          <w:sz w:val="28"/>
          <w:szCs w:val="28"/>
        </w:rPr>
        <w:t>FIRE CHIEF – FIRED - SCAMMERS – NO DEFEMATION</w:t>
      </w:r>
    </w:p>
    <w:p w14:paraId="533C0390" w14:textId="77777777" w:rsidR="00DA3352" w:rsidRDefault="00DA3352" w:rsidP="00DA3352">
      <w:pPr>
        <w:pStyle w:val="NoSpacing"/>
      </w:pPr>
    </w:p>
    <w:p w14:paraId="40618CCB" w14:textId="77777777" w:rsidR="00DA3352" w:rsidRDefault="00DA3352" w:rsidP="00DA3352">
      <w:pPr>
        <w:pStyle w:val="NoSpacing"/>
      </w:pPr>
      <w:r>
        <w:t xml:space="preserve">On March 26, 2026, in </w:t>
      </w:r>
      <w:r w:rsidRPr="00C81E1F">
        <w:rPr>
          <w:u w:val="single"/>
        </w:rPr>
        <w:t>Ernest J. Cardillo, Jr. v. Donald M. Chabon</w:t>
      </w:r>
      <w:r>
        <w:t xml:space="preserve">, the </w:t>
      </w:r>
      <w:r w:rsidRPr="005E251C">
        <w:t>Appeals Court of Massachusetts</w:t>
      </w:r>
      <w:r>
        <w:t xml:space="preserve"> held (3 to 0) that trial court properly granted summary judgment to </w:t>
      </w:r>
      <w:r w:rsidRPr="00C12454">
        <w:t xml:space="preserve">because </w:t>
      </w:r>
      <w:r>
        <w:t xml:space="preserve">the Town of </w:t>
      </w:r>
      <w:r w:rsidRPr="005A489C">
        <w:t>Stockbridge</w:t>
      </w:r>
      <w:r>
        <w:t>’s</w:t>
      </w:r>
      <w:r w:rsidRPr="005A489C">
        <w:t xml:space="preserve"> Selectboard Chair Donald M. Chabon</w:t>
      </w:r>
      <w:r>
        <w:t xml:space="preserve">’s </w:t>
      </w:r>
      <w:r w:rsidRPr="00C12454">
        <w:t xml:space="preserve">statements to a newspaper reporter </w:t>
      </w:r>
      <w:r>
        <w:t xml:space="preserve">about the former Fire Chief </w:t>
      </w:r>
      <w:r w:rsidRPr="00C12454">
        <w:t>were</w:t>
      </w:r>
      <w:r>
        <w:t xml:space="preserve"> not </w:t>
      </w:r>
      <w:r w:rsidRPr="00C12454">
        <w:t xml:space="preserve">defamatory and </w:t>
      </w:r>
      <w:r>
        <w:t xml:space="preserve">not </w:t>
      </w:r>
      <w:r w:rsidRPr="00C12454">
        <w:t>made with actual malice</w:t>
      </w:r>
      <w:r>
        <w:t xml:space="preserve">.  </w:t>
      </w:r>
      <w:r w:rsidRPr="0030539D">
        <w:t>On February 8, 2019, the Springfield Republican newspaper published an article in response to members of the fire department protesting Cardillo's termination. The article stated that Cardillo was terminated after repeatedly falling "victim to scammers" in the purchasing of equipment for the fire department. The article reported that the selectboard had estimated that Cardillo's actions cost the town around $83,000. Chabon told the reporter that after Cardillo had learned that he had been taken advantage of, he tried to conceal the purchases and "[h]e changed the books." After the newspaper article was published, Cardillo filed suit against Chabon alleging defamation and infliction of emotional distress.</w:t>
      </w:r>
      <w:r>
        <w:t xml:space="preserve"> </w:t>
      </w:r>
      <w:hyperlink r:id="rId2543" w:history="1">
        <w:r w:rsidRPr="00682DA7">
          <w:rPr>
            <w:rStyle w:val="Hyperlink"/>
          </w:rPr>
          <w:t>https://public.fastcase.com/Jhe1Qn%2BmJndQYQU6z%2FeNm0JH5q8gWciAXAF9bixHugWdaYIct3CF769DEA6AolcFot0MADEgf34paIS5RxXYfLHjDYkVz561VNE3Py00FLo%3D?utm_medium=email&amp;_hsenc=p2ANqtz--lMiV9AKrZhOCKCU8G42zfsMnA0WduNXw5NGIFgBNIi3qKeq5uCBwN2k8_bjKsGZk1kObDueEzHePI446cTwvuol4Y2w&amp;_hsmi=226712652&amp;utm_content=226712652&amp;utm_source=hs_email</w:t>
        </w:r>
      </w:hyperlink>
      <w:r>
        <w:t xml:space="preserve"> </w:t>
      </w:r>
    </w:p>
    <w:p w14:paraId="79632DA5" w14:textId="77777777" w:rsidR="00DA3352" w:rsidRDefault="00DA3352" w:rsidP="00DA3352">
      <w:pPr>
        <w:pStyle w:val="NoSpacing"/>
      </w:pPr>
    </w:p>
    <w:p w14:paraId="6CDB1457" w14:textId="77777777" w:rsidR="00DA3352" w:rsidRDefault="00DA3352" w:rsidP="00DA3352">
      <w:pPr>
        <w:pStyle w:val="NoSpacing"/>
      </w:pPr>
      <w:r>
        <w:t>THE COURT HELD:</w:t>
      </w:r>
    </w:p>
    <w:p w14:paraId="2BA8421F" w14:textId="77777777" w:rsidR="00DA3352" w:rsidRDefault="00DA3352" w:rsidP="00DA3352">
      <w:pPr>
        <w:pStyle w:val="NoSpacing"/>
      </w:pPr>
    </w:p>
    <w:p w14:paraId="70FD641E" w14:textId="77777777" w:rsidR="00DA3352" w:rsidRDefault="00DA3352" w:rsidP="00DA3352">
      <w:pPr>
        <w:pStyle w:val="NoSpacing"/>
        <w:ind w:left="720"/>
      </w:pPr>
      <w:r>
        <w:t>“</w:t>
      </w:r>
      <w:r w:rsidRPr="00EA4E4C">
        <w:t>In 2012, Cardillo was appointed to the position of fire chief for the town of Stockbridge. That same year, Cardillo received an unsolicited telephone call from a sales representative of a New York company, Pioneer Products Inc. (Pioneer). Cardillo agreed to purchase four gallons of fire hose and gear cleaner from Pioneer. While the parties did not sign a written contract, it is undisputed that Cardillo agreed to this purchase and submitted the invoice to the town for payment.</w:t>
      </w:r>
      <w:r w:rsidRPr="00EA4E4C">
        <w:rPr>
          <w:vertAlign w:val="superscript"/>
        </w:rPr>
        <w:t>[</w:t>
      </w:r>
      <w:hyperlink r:id="rId2544" w:anchor="ftn.FN3" w:history="1">
        <w:r w:rsidRPr="00EA4E4C">
          <w:rPr>
            <w:rStyle w:val="Hyperlink"/>
            <w:vertAlign w:val="superscript"/>
          </w:rPr>
          <w:t>3</w:t>
        </w:r>
      </w:hyperlink>
      <w:r w:rsidRPr="00EA4E4C">
        <w:rPr>
          <w:vertAlign w:val="superscript"/>
        </w:rPr>
        <w:t>]</w:t>
      </w:r>
      <w:r w:rsidRPr="00EA4E4C">
        <w:t xml:space="preserve"> Sometime after the initial purchase, Cardillo was contacted by Pioneer and told that the purchase price paid for his first order was contingent on accepting additional shipments. The sales representative told Cardillo that if he did not place an additional order, Pioneer would submit an amended invoice for the first shipment at a significantly higher price. Although there did not appear to be anything in writing memorializing Pioneer's claim that the price could be increased retroactively, Cardillo felt pressured and placed an additional order to avoid the ballooning costs. </w:t>
      </w:r>
    </w:p>
    <w:p w14:paraId="43F6D054" w14:textId="77777777" w:rsidR="00DA3352" w:rsidRDefault="00DA3352" w:rsidP="00DA3352">
      <w:pPr>
        <w:pStyle w:val="NoSpacing"/>
        <w:ind w:left="720"/>
      </w:pPr>
    </w:p>
    <w:p w14:paraId="6EA3030D" w14:textId="77777777" w:rsidR="00DA3352" w:rsidRDefault="00DA3352" w:rsidP="00DA3352">
      <w:pPr>
        <w:pStyle w:val="NoSpacing"/>
        <w:ind w:left="720"/>
      </w:pPr>
      <w:r>
        <w:t>***</w:t>
      </w:r>
    </w:p>
    <w:p w14:paraId="7EB8F012" w14:textId="77777777" w:rsidR="00DA3352" w:rsidRDefault="00DA3352" w:rsidP="00DA3352">
      <w:pPr>
        <w:pStyle w:val="NoSpacing"/>
        <w:ind w:left="720"/>
      </w:pPr>
    </w:p>
    <w:p w14:paraId="17DEE78A" w14:textId="77777777" w:rsidR="00DA3352" w:rsidRDefault="00DA3352" w:rsidP="00DA3352">
      <w:pPr>
        <w:pStyle w:val="NoSpacing"/>
        <w:ind w:left="720"/>
      </w:pPr>
      <w:r w:rsidRPr="000F2420">
        <w:t xml:space="preserve">December 2016, Cardillo agreed to purchase $6,779 of deicer from Pioneer. However, Cardillo's spreadsheet identified the vendor as Fire Tech instead of Pioneer. Two months later, Cardillo purchased additional deicer from Pioneer totaling $6,780 but logged the vendor as Meadow Farm and described the expenditure as fuel. The pattern was repeated in 2017, when Cardillo purchased over $7,500 of supplies (heavy duty truck wash and hose and gear cleaner) despite making the same purchase several months </w:t>
      </w:r>
      <w:proofErr w:type="gramStart"/>
      <w:r w:rsidRPr="000F2420">
        <w:t>previous</w:t>
      </w:r>
      <w:proofErr w:type="gramEnd"/>
      <w:r w:rsidRPr="000F2420">
        <w:t>. This purchase was from Noble, but Cardillo listed the vendor as Stock Motor Car on the spreadsheets.</w:t>
      </w:r>
    </w:p>
    <w:p w14:paraId="5D655C7E" w14:textId="77777777" w:rsidR="00DA3352" w:rsidRDefault="00DA3352" w:rsidP="00DA3352">
      <w:pPr>
        <w:pStyle w:val="NoSpacing"/>
        <w:ind w:left="720"/>
      </w:pPr>
    </w:p>
    <w:p w14:paraId="149A32EE" w14:textId="77777777" w:rsidR="00DA3352" w:rsidRDefault="00DA3352" w:rsidP="00DA3352">
      <w:pPr>
        <w:pStyle w:val="NoSpacing"/>
        <w:ind w:left="720"/>
      </w:pPr>
      <w:r>
        <w:t>***</w:t>
      </w:r>
    </w:p>
    <w:p w14:paraId="7AA0902D" w14:textId="77777777" w:rsidR="00DA3352" w:rsidRDefault="00DA3352" w:rsidP="00DA3352">
      <w:pPr>
        <w:pStyle w:val="NoSpacing"/>
        <w:ind w:left="720"/>
      </w:pPr>
      <w:r w:rsidRPr="00575870">
        <w:t xml:space="preserve">In 2018, one of Cardillo's purchases came to the attention of the town administrator, resulting in the selectboard retaining town counsel. Town </w:t>
      </w:r>
      <w:proofErr w:type="spellStart"/>
      <w:r w:rsidRPr="00575870">
        <w:t>counsel</w:t>
      </w:r>
      <w:proofErr w:type="spellEnd"/>
      <w:r w:rsidRPr="00575870">
        <w:t xml:space="preserve"> (Miyares) was tasked with investigating Cardillo's purchases from Pioneer and a related company, Noble Industrial Supply Corp. (Noble), and issuing a report (the </w:t>
      </w:r>
      <w:r>
        <w:t>‘</w:t>
      </w:r>
      <w:r w:rsidRPr="00575870">
        <w:t>Miyares report</w:t>
      </w:r>
      <w:r>
        <w:t>’</w:t>
      </w:r>
      <w:r w:rsidRPr="00575870">
        <w:t xml:space="preserve">). The Miyares report found that both Pioneer and Noble had a history of defrauding </w:t>
      </w:r>
      <w:proofErr w:type="gramStart"/>
      <w:r w:rsidRPr="00575870">
        <w:t>small town</w:t>
      </w:r>
      <w:proofErr w:type="gramEnd"/>
      <w:r w:rsidRPr="00575870">
        <w:t xml:space="preserve"> </w:t>
      </w:r>
      <w:r w:rsidRPr="00575870">
        <w:lastRenderedPageBreak/>
        <w:t xml:space="preserve">governments, especially fire departments. The Better Business Bureau had received complaints that the companies would initially offer to sell a product at a "seemingly favorable price" but then later demand additional purchases be made to avoid being charged for prior purchases at a higher rate. Pioneer and Noble shipped more </w:t>
      </w:r>
      <w:proofErr w:type="gramStart"/>
      <w:r w:rsidRPr="00575870">
        <w:t>products,</w:t>
      </w:r>
      <w:proofErr w:type="gramEnd"/>
      <w:r w:rsidRPr="00575870">
        <w:t xml:space="preserve"> each time with the representation that the customer had to accept the delivery to avoid additional charges. Even when customers complained that they had an adequate supply of a particular product, the message from Pioneer and Noble was firm. They would offer to switch to a different product, but the customer was obligated to pay for additional purchases.</w:t>
      </w:r>
    </w:p>
    <w:p w14:paraId="7CC805A1" w14:textId="77777777" w:rsidR="00DA3352" w:rsidRDefault="00DA3352" w:rsidP="00DA3352">
      <w:pPr>
        <w:pStyle w:val="NoSpacing"/>
        <w:ind w:left="720"/>
      </w:pPr>
    </w:p>
    <w:p w14:paraId="208CF849" w14:textId="77777777" w:rsidR="00DA3352" w:rsidRDefault="00DA3352" w:rsidP="00DA3352">
      <w:pPr>
        <w:pStyle w:val="NoSpacing"/>
        <w:ind w:left="720"/>
      </w:pPr>
      <w:r>
        <w:t>***</w:t>
      </w:r>
    </w:p>
    <w:p w14:paraId="5B1DD9AA" w14:textId="77777777" w:rsidR="00DA3352" w:rsidRPr="00B52D12" w:rsidRDefault="00DA3352" w:rsidP="00DA3352">
      <w:pPr>
        <w:pStyle w:val="NoSpacing"/>
        <w:ind w:left="720"/>
      </w:pPr>
      <w:r w:rsidRPr="00B52D12">
        <w:t> Here, Chabon's statement, read as a whole, communicated that the town incurred a substantial cost when Cardillo fell prey to a purchasing scam orchestrated by Pioneer and Noble. The gist of Chabon's statement, even if the precise amount of loss to the town was inaccurate, is substantially true. The impact on the reader was the same regardless of whether Chabon's or Miyares's estimate reflected a thorough accounting of the financial harm to the town</w:t>
      </w:r>
      <w:r>
        <w:t xml:space="preserve">…. </w:t>
      </w:r>
      <w:r w:rsidRPr="00B52D12">
        <w:t xml:space="preserve">We conclude that, given the substance of the statement and when read as a whole, Chabon's statement was essentially true and was insufficient to establish falsehood for purposes of a claim of </w:t>
      </w:r>
      <w:proofErr w:type="gramStart"/>
      <w:r w:rsidRPr="00B52D12">
        <w:t>defamation.</w:t>
      </w:r>
      <w:r>
        <w:t>”</w:t>
      </w:r>
      <w:proofErr w:type="gramEnd"/>
    </w:p>
    <w:p w14:paraId="23344419" w14:textId="77777777" w:rsidR="00DA3352" w:rsidRDefault="00DA3352" w:rsidP="00DA3352">
      <w:pPr>
        <w:pStyle w:val="NoSpacing"/>
        <w:ind w:left="720"/>
      </w:pPr>
    </w:p>
    <w:p w14:paraId="272537CB" w14:textId="77777777" w:rsidR="00DA3352" w:rsidRDefault="00DA3352" w:rsidP="00DA3352">
      <w:pPr>
        <w:pStyle w:val="NoSpacing"/>
        <w:ind w:left="720"/>
      </w:pPr>
    </w:p>
    <w:p w14:paraId="59DA2FE0" w14:textId="77777777" w:rsidR="00DA3352" w:rsidRPr="00575870" w:rsidRDefault="00DA3352" w:rsidP="00DA3352">
      <w:pPr>
        <w:rPr>
          <w:b/>
          <w:bCs/>
        </w:rPr>
      </w:pPr>
      <w:r>
        <w:rPr>
          <w:b/>
        </w:rPr>
        <w:t xml:space="preserve">Legal lesson learned: The Town’s statements to the reporter were “essentially true” – no defamation. </w:t>
      </w:r>
    </w:p>
    <w:p w14:paraId="68BECF6C" w14:textId="77777777" w:rsidR="00DA3352" w:rsidRDefault="00DA3352" w:rsidP="002F7727">
      <w:pPr>
        <w:pStyle w:val="NoSpacing"/>
        <w:rPr>
          <w:rFonts w:ascii="Arial Black" w:hAnsi="Arial Black"/>
          <w:b/>
          <w:sz w:val="24"/>
          <w:szCs w:val="24"/>
        </w:rPr>
      </w:pPr>
    </w:p>
    <w:p w14:paraId="46276CEB" w14:textId="77777777" w:rsidR="00DA3352" w:rsidRDefault="00DA3352" w:rsidP="002F7727">
      <w:pPr>
        <w:pStyle w:val="NoSpacing"/>
        <w:rPr>
          <w:rFonts w:ascii="Arial Black" w:hAnsi="Arial Black"/>
          <w:b/>
          <w:sz w:val="24"/>
          <w:szCs w:val="24"/>
        </w:rPr>
      </w:pPr>
    </w:p>
    <w:p w14:paraId="62D4D5DF" w14:textId="77777777" w:rsidR="00DA3352" w:rsidRDefault="00DA3352" w:rsidP="002F7727">
      <w:pPr>
        <w:pStyle w:val="NoSpacing"/>
        <w:rPr>
          <w:rFonts w:ascii="Arial Black" w:hAnsi="Arial Black"/>
          <w:b/>
          <w:sz w:val="24"/>
          <w:szCs w:val="24"/>
        </w:rPr>
      </w:pPr>
    </w:p>
    <w:p w14:paraId="0258C0DE" w14:textId="77777777" w:rsidR="00DA3352" w:rsidRDefault="00DA3352" w:rsidP="002F7727">
      <w:pPr>
        <w:pStyle w:val="NoSpacing"/>
        <w:rPr>
          <w:rFonts w:ascii="Arial Black" w:hAnsi="Arial Black"/>
          <w:b/>
          <w:sz w:val="24"/>
          <w:szCs w:val="24"/>
        </w:rPr>
      </w:pPr>
    </w:p>
    <w:p w14:paraId="74CA35A5" w14:textId="04267F7F" w:rsidR="008F1833" w:rsidRDefault="0075332D" w:rsidP="002F7727">
      <w:pPr>
        <w:pStyle w:val="NoSpacing"/>
        <w:rPr>
          <w:rFonts w:ascii="Arial Black" w:hAnsi="Arial Black"/>
          <w:b/>
          <w:sz w:val="24"/>
          <w:szCs w:val="24"/>
        </w:rPr>
      </w:pPr>
      <w:r>
        <w:rPr>
          <w:rFonts w:ascii="Arial Black" w:hAnsi="Arial Black"/>
          <w:b/>
          <w:sz w:val="24"/>
          <w:szCs w:val="24"/>
        </w:rPr>
        <w:t>16-15</w:t>
      </w:r>
      <w:r w:rsidR="000301F2">
        <w:rPr>
          <w:rFonts w:ascii="Arial Black" w:hAnsi="Arial Black"/>
          <w:b/>
          <w:sz w:val="24"/>
          <w:szCs w:val="24"/>
        </w:rPr>
        <w:t>2</w:t>
      </w:r>
    </w:p>
    <w:p w14:paraId="000BA964" w14:textId="77777777" w:rsidR="0075332D" w:rsidRDefault="0075332D" w:rsidP="002F7727">
      <w:pPr>
        <w:pStyle w:val="NoSpacing"/>
        <w:rPr>
          <w:rFonts w:ascii="Arial Black" w:hAnsi="Arial Black"/>
          <w:b/>
          <w:sz w:val="24"/>
          <w:szCs w:val="24"/>
        </w:rPr>
      </w:pPr>
    </w:p>
    <w:p w14:paraId="7805EB33" w14:textId="77777777" w:rsidR="009352C7" w:rsidRPr="00495C7E" w:rsidRDefault="009352C7" w:rsidP="009352C7">
      <w:pPr>
        <w:pStyle w:val="NoSpacing"/>
        <w:rPr>
          <w:rFonts w:ascii="Arial Black" w:hAnsi="Arial Black"/>
          <w:sz w:val="28"/>
          <w:szCs w:val="28"/>
        </w:rPr>
      </w:pPr>
      <w:r>
        <w:rPr>
          <w:rFonts w:ascii="Arial Black" w:hAnsi="Arial Black"/>
          <w:sz w:val="28"/>
          <w:szCs w:val="28"/>
        </w:rPr>
        <w:t>TX: FF MISD – NO WRITTEN NOTICE TO CHIEF – 3 DAY SUSP</w:t>
      </w:r>
    </w:p>
    <w:p w14:paraId="161CF772" w14:textId="77777777" w:rsidR="009352C7" w:rsidRDefault="009352C7" w:rsidP="009352C7">
      <w:pPr>
        <w:pStyle w:val="NoSpacing"/>
      </w:pPr>
    </w:p>
    <w:p w14:paraId="704D83E3" w14:textId="77777777" w:rsidR="009352C7" w:rsidRDefault="009352C7" w:rsidP="009352C7">
      <w:pPr>
        <w:pStyle w:val="NoSpacing"/>
      </w:pPr>
      <w:r>
        <w:t xml:space="preserve">On March 17, 2026, in </w:t>
      </w:r>
      <w:r w:rsidRPr="002C29C3">
        <w:rPr>
          <w:u w:val="single"/>
        </w:rPr>
        <w:t>Fenton Petry v. City of Houston, Texas, and Police Officers and Firefighters Civil Service Commission</w:t>
      </w:r>
      <w:r>
        <w:t xml:space="preserve">, the </w:t>
      </w:r>
      <w:r w:rsidRPr="002C29C3">
        <w:t>Court of Appeals of Texas, Fourteenth District</w:t>
      </w:r>
      <w:r>
        <w:t xml:space="preserve"> held that both the “independent hearing examiner” and a District Court judge properly upheld the 3-day suspension for firefighter’s failure to inform the fire chief of his misdemeanor conviction of </w:t>
      </w:r>
      <w:r w:rsidRPr="004C4F78">
        <w:t>abuse of official capacity</w:t>
      </w:r>
      <w:r>
        <w:t xml:space="preserve">.  Fire Department regulations require firefighters to give written notice to the Fire Chief within twenty-four hours of “any court hearing dates and results involving a criminal matter.” </w:t>
      </w:r>
      <w:hyperlink r:id="rId2545" w:history="1">
        <w:r w:rsidRPr="004D13CD">
          <w:rPr>
            <w:rStyle w:val="Hyperlink"/>
          </w:rPr>
          <w:t>https://search.txcourts.gov/SearchMedia.aspx?MediaVersionID=2b0bcd7a-4ade-4d61-a274-df674ed3857f&amp;coa=coa14&amp;DT=Opinion&amp;MediaID=e76a99e8-4da0-48c8-9433-ea85e5f312cd</w:t>
        </w:r>
      </w:hyperlink>
      <w:r>
        <w:t xml:space="preserve"> </w:t>
      </w:r>
    </w:p>
    <w:p w14:paraId="68C9937F" w14:textId="77777777" w:rsidR="009352C7" w:rsidRDefault="009352C7" w:rsidP="009352C7">
      <w:pPr>
        <w:pStyle w:val="NoSpacing"/>
      </w:pPr>
    </w:p>
    <w:p w14:paraId="182C6F0B" w14:textId="77777777" w:rsidR="009352C7" w:rsidRPr="004C4F78" w:rsidRDefault="009352C7" w:rsidP="009352C7">
      <w:pPr>
        <w:pStyle w:val="NoSpacing"/>
      </w:pPr>
      <w:r>
        <w:t xml:space="preserve"> THE COURT HELD:  “</w:t>
      </w:r>
      <w:r w:rsidRPr="004C4F78">
        <w:t>Fenton Petry, the firefighter at issue, was charged with a felony count of</w:t>
      </w:r>
    </w:p>
    <w:p w14:paraId="7BACAECB" w14:textId="77777777" w:rsidR="009352C7" w:rsidRPr="004C4F78" w:rsidRDefault="009352C7" w:rsidP="009352C7">
      <w:pPr>
        <w:pStyle w:val="NoSpacing"/>
      </w:pPr>
      <w:r w:rsidRPr="004C4F78">
        <w:t>misuse of official information. See Tex. Penal Code § 39.06. He later pleaded guilty</w:t>
      </w:r>
    </w:p>
    <w:p w14:paraId="2ABA8B9F" w14:textId="77777777" w:rsidR="009352C7" w:rsidRDefault="009352C7" w:rsidP="009352C7">
      <w:pPr>
        <w:pStyle w:val="NoSpacing"/>
        <w:rPr>
          <w:bCs/>
        </w:rPr>
      </w:pPr>
      <w:r w:rsidRPr="004C4F78">
        <w:t>to a lesser misdemeanor count of abuse of official capacity</w:t>
      </w:r>
      <w:r>
        <w:t xml:space="preserve">…. </w:t>
      </w:r>
      <w:r w:rsidRPr="00235407">
        <w:t>Another document attached to the court slip alluded to a conviction. This</w:t>
      </w:r>
      <w:r>
        <w:t xml:space="preserve"> </w:t>
      </w:r>
      <w:r w:rsidRPr="00235407">
        <w:t xml:space="preserve">document was styled as </w:t>
      </w:r>
      <w:r>
        <w:t>‘</w:t>
      </w:r>
      <w:r w:rsidRPr="00235407">
        <w:t>Collections Instructions,</w:t>
      </w:r>
      <w:r>
        <w:t>’</w:t>
      </w:r>
      <w:r w:rsidRPr="00235407">
        <w:t xml:space="preserve"> and it contained a note saying</w:t>
      </w:r>
      <w:r>
        <w:t xml:space="preserve"> ‘</w:t>
      </w:r>
      <w:r w:rsidRPr="00235407">
        <w:t>$100 fine, Class C, court cost payment plan granted.</w:t>
      </w:r>
      <w:r>
        <w:t>’</w:t>
      </w:r>
      <w:r w:rsidRPr="00235407">
        <w:t xml:space="preserve"> But the document did not</w:t>
      </w:r>
      <w:r>
        <w:t xml:space="preserve"> </w:t>
      </w:r>
      <w:r w:rsidRPr="00235407">
        <w:t>identify the offense or even state that there had been a conviction.</w:t>
      </w:r>
      <w:r>
        <w:t>”</w:t>
      </w:r>
    </w:p>
    <w:p w14:paraId="518B1F90" w14:textId="77777777" w:rsidR="009352C7" w:rsidRDefault="009352C7" w:rsidP="009352C7">
      <w:pPr>
        <w:pStyle w:val="NoSpacing"/>
      </w:pPr>
    </w:p>
    <w:p w14:paraId="6146B81E" w14:textId="77777777" w:rsidR="009352C7" w:rsidRDefault="009352C7" w:rsidP="009352C7">
      <w:pPr>
        <w:pStyle w:val="NoSpacing"/>
      </w:pPr>
      <w:r>
        <w:t>***</w:t>
      </w:r>
    </w:p>
    <w:p w14:paraId="71124ACF" w14:textId="77777777" w:rsidR="009352C7" w:rsidRDefault="009352C7" w:rsidP="009352C7">
      <w:pPr>
        <w:pStyle w:val="NoSpacing"/>
      </w:pPr>
      <w:r>
        <w:t>Petry testified that he timely gave a copy of the judgment of conviction to his station captain, rather than the Fire Chief. But he also indicated that he anticipated that his captain would forward that judgment up the chain of command to the Fire Chief…. The Assistant Fire Chief further testified that the captain did not inform anyone in the chain of command about Petry’s conviction, and that the burden of providing that notice ultimately fell on Petry. The Assistant Fire Chief said that Petry knew of this burden because he had complied with it in the past when such notice happened to paint him in a beneficial light. The Assistant Fire Chief referred to an earlier occasion when Petry had been charged with DWI, and Petry directly notified the Fire Chief after that charge had been dismissed.”</w:t>
      </w:r>
    </w:p>
    <w:p w14:paraId="65CCE753" w14:textId="77777777" w:rsidR="009352C7" w:rsidRDefault="009352C7" w:rsidP="009352C7">
      <w:pPr>
        <w:pStyle w:val="NoSpacing"/>
        <w:rPr>
          <w:bCs/>
        </w:rPr>
      </w:pPr>
    </w:p>
    <w:p w14:paraId="00D34C60" w14:textId="77777777" w:rsidR="009352C7" w:rsidRDefault="009352C7" w:rsidP="009352C7">
      <w:pPr>
        <w:pStyle w:val="NoSpacing"/>
        <w:rPr>
          <w:b/>
        </w:rPr>
      </w:pPr>
      <w:r w:rsidRPr="00CA50E8">
        <w:rPr>
          <w:b/>
        </w:rPr>
        <w:t xml:space="preserve">Legal lesson learned: </w:t>
      </w:r>
      <w:r>
        <w:rPr>
          <w:b/>
        </w:rPr>
        <w:t xml:space="preserve">Excellent Fire Department policy – 24-hour written notice to Fire Chief of </w:t>
      </w:r>
      <w:r w:rsidRPr="00411EF9">
        <w:rPr>
          <w:b/>
        </w:rPr>
        <w:t>“any court hearing dates and results involving a criminal matter.”</w:t>
      </w:r>
    </w:p>
    <w:p w14:paraId="44A09BC3" w14:textId="77777777" w:rsidR="000301F2" w:rsidRDefault="000301F2" w:rsidP="009352C7">
      <w:pPr>
        <w:pStyle w:val="NoSpacing"/>
        <w:rPr>
          <w:b/>
        </w:rPr>
      </w:pPr>
    </w:p>
    <w:p w14:paraId="53648DB5" w14:textId="77777777" w:rsidR="000301F2" w:rsidRDefault="000301F2" w:rsidP="009352C7">
      <w:pPr>
        <w:pStyle w:val="NoSpacing"/>
        <w:rPr>
          <w:b/>
        </w:rPr>
      </w:pPr>
    </w:p>
    <w:p w14:paraId="51FDF3A1" w14:textId="75ABF0CC" w:rsidR="000301F2" w:rsidRPr="003C1133" w:rsidRDefault="000301F2" w:rsidP="009352C7">
      <w:pPr>
        <w:pStyle w:val="NoSpacing"/>
        <w:rPr>
          <w:b/>
          <w:sz w:val="28"/>
          <w:szCs w:val="28"/>
        </w:rPr>
      </w:pPr>
      <w:r w:rsidRPr="003C1133">
        <w:rPr>
          <w:b/>
          <w:sz w:val="28"/>
          <w:szCs w:val="28"/>
        </w:rPr>
        <w:t>16-151</w:t>
      </w:r>
    </w:p>
    <w:p w14:paraId="55C28911" w14:textId="77777777" w:rsidR="000301F2" w:rsidRDefault="000301F2" w:rsidP="009352C7">
      <w:pPr>
        <w:pStyle w:val="NoSpacing"/>
        <w:rPr>
          <w:b/>
        </w:rPr>
      </w:pPr>
    </w:p>
    <w:p w14:paraId="133CC37A" w14:textId="77777777" w:rsidR="000301F2" w:rsidRDefault="000301F2" w:rsidP="000301F2">
      <w:pPr>
        <w:pStyle w:val="NoSpacing"/>
        <w:rPr>
          <w:rFonts w:ascii="Arial Black" w:hAnsi="Arial Black"/>
          <w:sz w:val="28"/>
          <w:szCs w:val="28"/>
        </w:rPr>
      </w:pPr>
      <w:r>
        <w:rPr>
          <w:rFonts w:ascii="Arial Black" w:hAnsi="Arial Black"/>
          <w:sz w:val="28"/>
          <w:szCs w:val="28"/>
        </w:rPr>
        <w:t>MO: BC FIRED – USED AFFF STRUCTURE FIRE – VIOL ORDER</w:t>
      </w:r>
    </w:p>
    <w:p w14:paraId="1D23EAA0" w14:textId="77777777" w:rsidR="000301F2" w:rsidRDefault="000301F2" w:rsidP="000301F2">
      <w:pPr>
        <w:pStyle w:val="NoSpacing"/>
        <w:rPr>
          <w:rFonts w:ascii="Arial Black" w:hAnsi="Arial Black"/>
          <w:sz w:val="28"/>
          <w:szCs w:val="28"/>
        </w:rPr>
      </w:pPr>
    </w:p>
    <w:p w14:paraId="05ECC4A9" w14:textId="77777777" w:rsidR="000301F2" w:rsidRDefault="000301F2" w:rsidP="000301F2">
      <w:pPr>
        <w:pStyle w:val="NoSpacing"/>
      </w:pPr>
      <w:r>
        <w:t xml:space="preserve">On March 3, 2026, in </w:t>
      </w:r>
      <w:r w:rsidRPr="002E2C1B">
        <w:rPr>
          <w:u w:val="single"/>
        </w:rPr>
        <w:t>David Matusik v. Lake Ozark Fire Protection District</w:t>
      </w:r>
      <w:r>
        <w:t xml:space="preserve">, the </w:t>
      </w:r>
      <w:r w:rsidRPr="007F3B5A">
        <w:t>Court of Appeals of Missouri, Western District, Third Division</w:t>
      </w:r>
      <w:r>
        <w:t xml:space="preserve"> held (3 to 0) that the </w:t>
      </w:r>
      <w:r w:rsidRPr="00D37D10">
        <w:t>Board of Directors</w:t>
      </w:r>
      <w:r>
        <w:t xml:space="preserve"> held a due process hearing and had </w:t>
      </w:r>
      <w:r w:rsidRPr="00AB4BDB">
        <w:t>just cause to terminate Matusik’s employment.</w:t>
      </w:r>
      <w:r>
        <w:t xml:space="preserve">  New Fire Chief was hired in April 2023, and in </w:t>
      </w:r>
      <w:r w:rsidRPr="003E2F37">
        <w:t xml:space="preserve">November 2023, </w:t>
      </w:r>
      <w:r>
        <w:t xml:space="preserve">he </w:t>
      </w:r>
      <w:r w:rsidRPr="003E2F37">
        <w:t xml:space="preserve">discovered the </w:t>
      </w:r>
      <w:proofErr w:type="gramStart"/>
      <w:r w:rsidRPr="003E2F37">
        <w:t>District</w:t>
      </w:r>
      <w:proofErr w:type="gramEnd"/>
      <w:r w:rsidRPr="003E2F37">
        <w:t xml:space="preserve"> was still using AFFF</w:t>
      </w:r>
      <w:r>
        <w:t xml:space="preserve"> foam (cancer risk); on November 11, </w:t>
      </w:r>
      <w:proofErr w:type="gramStart"/>
      <w:r>
        <w:t>2023</w:t>
      </w:r>
      <w:proofErr w:type="gramEnd"/>
      <w:r>
        <w:t xml:space="preserve"> issued a written order prohibiting its use “unless an absolute life safety issue exists.” Less </w:t>
      </w:r>
      <w:proofErr w:type="spellStart"/>
      <w:r>
        <w:t>that</w:t>
      </w:r>
      <w:proofErr w:type="spellEnd"/>
      <w:r>
        <w:t xml:space="preserve"> two weeks later, on November 24, 2023, Matusik responded to a rekindled fire; was a “wind driven” fire that had spread to two homes beyond the initial involved home, and he decided to use the AFFF at the fire. The Fire Chief recommended his termination for this decision, plus working a shift trade that he converted to overtime pay without Chief’s permission. The Battalion Chief appealed to Circuit Court judge that reversed the termination;  the Court of Appeals reinstated the termination. </w:t>
      </w:r>
      <w:hyperlink r:id="rId2546" w:history="1">
        <w:r w:rsidRPr="002E59C2">
          <w:rPr>
            <w:rStyle w:val="Hyperlink"/>
          </w:rPr>
          <w:t>https://cases.justia.com/missouri/court-of-appeals/2026-wd88004.pdf?ts=1772555406</w:t>
        </w:r>
      </w:hyperlink>
      <w:r>
        <w:t xml:space="preserve"> </w:t>
      </w:r>
    </w:p>
    <w:p w14:paraId="67413446" w14:textId="77777777" w:rsidR="000301F2" w:rsidRDefault="000301F2" w:rsidP="000301F2">
      <w:pPr>
        <w:pStyle w:val="NoSpacing"/>
      </w:pPr>
    </w:p>
    <w:p w14:paraId="4B7F5A10" w14:textId="77777777" w:rsidR="000301F2" w:rsidRDefault="000301F2" w:rsidP="000301F2">
      <w:pPr>
        <w:pStyle w:val="NoSpacing"/>
      </w:pPr>
      <w:r>
        <w:t xml:space="preserve">THE COURT HELD: “We affirm the decision of the Board and remand the cause to the circuit court with directions to reinstate the Board’s decision terminating Matusik’s employment… With respect to his use of the AFFF, the Board found that Matusik was aware of Fire Chief’s order regarding the use of AFFF and knew that use of the foam without a life safety emergency was prohibited. The Board also discounted Matusik’s testimony that Fire Chief’s order gave him discretion to use AFFF because the only discretion afforded was if there was a life safety issue. The Board concluded that the evidence did not support </w:t>
      </w:r>
      <w:proofErr w:type="gramStart"/>
      <w:r>
        <w:t>a finding</w:t>
      </w:r>
      <w:proofErr w:type="gramEnd"/>
      <w:r>
        <w:t xml:space="preserve"> that any person’s life was in danger and that Matusik had other options available to him to fight the fire. The Board found Matusik’s decision to use the AFFF contradicted a direct order and was not supported by the facts…. </w:t>
      </w:r>
      <w:r w:rsidRPr="004474C8">
        <w:t>The Board affirmed the disciplinary recommendation and terminated Matusik’s employment.</w:t>
      </w:r>
      <w:r>
        <w:t>”</w:t>
      </w:r>
    </w:p>
    <w:p w14:paraId="6FAF0295" w14:textId="77777777" w:rsidR="000301F2" w:rsidRDefault="000301F2" w:rsidP="000301F2">
      <w:pPr>
        <w:pStyle w:val="NoSpacing"/>
      </w:pPr>
    </w:p>
    <w:p w14:paraId="2803081D" w14:textId="77777777" w:rsidR="000301F2" w:rsidRDefault="000301F2" w:rsidP="000301F2">
      <w:pPr>
        <w:pStyle w:val="NoSpacing"/>
      </w:pPr>
      <w:r w:rsidRPr="00C015D9">
        <w:rPr>
          <w:b/>
        </w:rPr>
        <w:t xml:space="preserve">Legal lesson learned: </w:t>
      </w:r>
      <w:r>
        <w:rPr>
          <w:b/>
        </w:rPr>
        <w:t xml:space="preserve">The Battalion Chief disobeyed the Chief’s order to not use AFFF foam. </w:t>
      </w:r>
    </w:p>
    <w:p w14:paraId="175B0F4A" w14:textId="77777777" w:rsidR="000301F2" w:rsidRDefault="000301F2" w:rsidP="000301F2">
      <w:pPr>
        <w:pStyle w:val="NoSpacing"/>
      </w:pPr>
    </w:p>
    <w:p w14:paraId="1B6639B1" w14:textId="77777777" w:rsidR="000301F2" w:rsidRPr="001C5BE8" w:rsidRDefault="000301F2" w:rsidP="000301F2">
      <w:pPr>
        <w:pStyle w:val="NoSpacing"/>
        <w:ind w:left="720"/>
        <w:rPr>
          <w:bCs/>
        </w:rPr>
      </w:pPr>
      <w:r w:rsidRPr="000425E7">
        <w:t>Note: See</w:t>
      </w:r>
      <w:r>
        <w:t xml:space="preserve"> July 8, </w:t>
      </w:r>
      <w:proofErr w:type="gramStart"/>
      <w:r>
        <w:t>2024</w:t>
      </w:r>
      <w:proofErr w:type="gramEnd"/>
      <w:r>
        <w:t xml:space="preserve"> GAO report: “</w:t>
      </w:r>
      <w:r w:rsidRPr="001C5BE8">
        <w:t>Firefighting Foam: DOD is Working to Address Challenges to Transitioning to PFAS-Free Alternatives</w:t>
      </w:r>
      <w:r>
        <w:t xml:space="preserve">.” </w:t>
      </w:r>
      <w:hyperlink r:id="rId2547" w:history="1">
        <w:r w:rsidRPr="0045422A">
          <w:rPr>
            <w:rStyle w:val="Hyperlink"/>
          </w:rPr>
          <w:t>https://www.gao.gov/products/gao-24-107322</w:t>
        </w:r>
      </w:hyperlink>
      <w:r>
        <w:t xml:space="preserve"> </w:t>
      </w:r>
    </w:p>
    <w:p w14:paraId="3BBFEA6E" w14:textId="77777777" w:rsidR="000301F2" w:rsidRDefault="000301F2" w:rsidP="000301F2">
      <w:pPr>
        <w:pStyle w:val="NoSpacing"/>
        <w:ind w:left="720"/>
        <w:rPr>
          <w:bCs/>
        </w:rPr>
      </w:pPr>
    </w:p>
    <w:p w14:paraId="4C916177" w14:textId="77777777" w:rsidR="000301F2" w:rsidRDefault="000301F2" w:rsidP="000301F2">
      <w:pPr>
        <w:pStyle w:val="NoSpacing"/>
        <w:ind w:left="720"/>
      </w:pPr>
      <w:r>
        <w:t>“</w:t>
      </w:r>
      <w:r w:rsidRPr="00C435C4">
        <w:t>The Defense Department is required to transition away from using firefighting foam that contains PFAS, a class of chemicals that poses health risks and has been found in drinking water around bases. This kind of foam has been considered the most effective product for suppressing jet fuel fires.</w:t>
      </w:r>
      <w:r>
        <w:t>”</w:t>
      </w:r>
    </w:p>
    <w:p w14:paraId="0054F477" w14:textId="77777777" w:rsidR="000301F2" w:rsidRDefault="000301F2" w:rsidP="000301F2">
      <w:pPr>
        <w:pStyle w:val="NoSpacing"/>
        <w:ind w:left="720"/>
      </w:pPr>
    </w:p>
    <w:p w14:paraId="66E250A5" w14:textId="77777777" w:rsidR="000301F2" w:rsidRPr="00CA50E8" w:rsidRDefault="000301F2" w:rsidP="009352C7">
      <w:pPr>
        <w:pStyle w:val="NoSpacing"/>
        <w:rPr>
          <w:b/>
        </w:rPr>
      </w:pPr>
    </w:p>
    <w:p w14:paraId="5A1523A9" w14:textId="77777777" w:rsidR="009352C7" w:rsidRDefault="009352C7" w:rsidP="002F7727">
      <w:pPr>
        <w:pStyle w:val="NoSpacing"/>
        <w:rPr>
          <w:rFonts w:ascii="Arial Black" w:hAnsi="Arial Black"/>
          <w:b/>
          <w:sz w:val="24"/>
          <w:szCs w:val="24"/>
        </w:rPr>
      </w:pPr>
    </w:p>
    <w:p w14:paraId="67954119" w14:textId="77777777" w:rsidR="0075332D" w:rsidRDefault="0075332D" w:rsidP="002F7727">
      <w:pPr>
        <w:pStyle w:val="NoSpacing"/>
        <w:rPr>
          <w:rFonts w:ascii="Arial Black" w:hAnsi="Arial Black"/>
          <w:b/>
          <w:sz w:val="24"/>
          <w:szCs w:val="24"/>
        </w:rPr>
      </w:pPr>
    </w:p>
    <w:p w14:paraId="6E80C789" w14:textId="77777777" w:rsidR="0075332D" w:rsidRDefault="0075332D" w:rsidP="002F7727">
      <w:pPr>
        <w:pStyle w:val="NoSpacing"/>
        <w:rPr>
          <w:rFonts w:ascii="Arial Black" w:hAnsi="Arial Black"/>
          <w:b/>
          <w:sz w:val="24"/>
          <w:szCs w:val="24"/>
        </w:rPr>
      </w:pPr>
    </w:p>
    <w:p w14:paraId="1983BDF7" w14:textId="63EF4D99" w:rsidR="008F1833" w:rsidRDefault="002F409C" w:rsidP="002F7727">
      <w:pPr>
        <w:pStyle w:val="NoSpacing"/>
        <w:rPr>
          <w:rFonts w:ascii="Arial Black" w:hAnsi="Arial Black"/>
          <w:b/>
          <w:sz w:val="24"/>
          <w:szCs w:val="24"/>
        </w:rPr>
      </w:pPr>
      <w:r>
        <w:rPr>
          <w:rFonts w:ascii="Arial Black" w:hAnsi="Arial Black"/>
          <w:b/>
          <w:sz w:val="24"/>
          <w:szCs w:val="24"/>
        </w:rPr>
        <w:t>16-150</w:t>
      </w:r>
      <w:r w:rsidR="00DB1FBE">
        <w:rPr>
          <w:rFonts w:ascii="Arial Black" w:hAnsi="Arial Black"/>
          <w:b/>
          <w:sz w:val="24"/>
          <w:szCs w:val="24"/>
        </w:rPr>
        <w:t xml:space="preserve">  </w:t>
      </w:r>
      <w:r w:rsidR="00DB1FBE" w:rsidRPr="00DB1FBE">
        <w:rPr>
          <w:rFonts w:ascii="Times New Roman" w:hAnsi="Times New Roman"/>
          <w:b/>
          <w:sz w:val="24"/>
          <w:szCs w:val="24"/>
        </w:rPr>
        <w:t>[also filed, Chap. 13]</w:t>
      </w:r>
      <w:r w:rsidR="00DB1FBE">
        <w:rPr>
          <w:rFonts w:ascii="Arial Black" w:hAnsi="Arial Black"/>
          <w:b/>
          <w:sz w:val="24"/>
          <w:szCs w:val="24"/>
        </w:rPr>
        <w:t xml:space="preserve"> </w:t>
      </w:r>
    </w:p>
    <w:p w14:paraId="145F0D18" w14:textId="77777777" w:rsidR="00DB1FBE" w:rsidRDefault="00DB1FBE" w:rsidP="002F7727">
      <w:pPr>
        <w:pStyle w:val="NoSpacing"/>
        <w:rPr>
          <w:rFonts w:ascii="Arial Black" w:hAnsi="Arial Black"/>
          <w:b/>
          <w:sz w:val="24"/>
          <w:szCs w:val="24"/>
        </w:rPr>
      </w:pPr>
    </w:p>
    <w:p w14:paraId="322B0E8A" w14:textId="77777777" w:rsidR="002F409C" w:rsidRDefault="002F409C" w:rsidP="002F409C">
      <w:pPr>
        <w:pStyle w:val="NoSpacing"/>
        <w:rPr>
          <w:rFonts w:ascii="Arial Black" w:hAnsi="Arial Black"/>
          <w:b/>
          <w:sz w:val="28"/>
          <w:szCs w:val="28"/>
        </w:rPr>
      </w:pPr>
      <w:r>
        <w:rPr>
          <w:rFonts w:ascii="Arial Black" w:hAnsi="Arial Black"/>
          <w:b/>
          <w:sz w:val="28"/>
          <w:szCs w:val="28"/>
        </w:rPr>
        <w:t xml:space="preserve">FL: B/C FIRED – REFUSED TO ISSUE COVID REPRIMANDS </w:t>
      </w:r>
    </w:p>
    <w:p w14:paraId="38D9810D" w14:textId="77777777" w:rsidR="002F409C" w:rsidRDefault="002F409C" w:rsidP="002F409C">
      <w:pPr>
        <w:pStyle w:val="NoSpacing"/>
        <w:rPr>
          <w:rFonts w:ascii="Arial Black" w:hAnsi="Arial Black"/>
          <w:b/>
          <w:sz w:val="28"/>
          <w:szCs w:val="28"/>
        </w:rPr>
      </w:pPr>
    </w:p>
    <w:p w14:paraId="0B38A88E" w14:textId="77777777" w:rsidR="002F409C" w:rsidRDefault="002F409C" w:rsidP="002F409C">
      <w:pPr>
        <w:pStyle w:val="NoSpacing"/>
        <w:rPr>
          <w:bCs/>
        </w:rPr>
      </w:pPr>
      <w:r>
        <w:t xml:space="preserve">On February 13, 2026, in </w:t>
      </w:r>
      <w:r w:rsidRPr="00805F39">
        <w:rPr>
          <w:u w:val="single"/>
        </w:rPr>
        <w:t>Stephen M. Davis v. Orange County</w:t>
      </w:r>
      <w:r>
        <w:t xml:space="preserve">, the United States Court of Appeals for the Eleventh Circuit (Atlanta) held (3 to 0; unpublished decision) that his lawsuit was properly dismissed.  </w:t>
      </w:r>
      <w:r w:rsidRPr="00CD2C4C">
        <w:t xml:space="preserve">Davis worked for the department for 15 years and advanced through the ranks to battalion chief. In 2021, Davis was terminated after he did not reprimand department personnel who refused the Orange County’s mandated COVID-19 vaccine. </w:t>
      </w:r>
      <w:r>
        <w:t xml:space="preserve"> Davis has failed to </w:t>
      </w:r>
      <w:r>
        <w:lastRenderedPageBreak/>
        <w:t xml:space="preserve">allege an” objectively reasonable” belief that issuing the written reprimands to firefighters who hadn’t timely provided a vaccination certificate or exemption request, because the union had negotiated an MOU with the County that COVID reprimands could not be considered or used in a union member’s performance evaluation, and that no further disciplinary action could be taken against employees who didn’t file a timely vaccination certificate or exemption request. </w:t>
      </w:r>
      <w:hyperlink r:id="rId2548" w:history="1">
        <w:r w:rsidRPr="002B0907">
          <w:rPr>
            <w:rStyle w:val="Hyperlink"/>
          </w:rPr>
          <w:t>https://www.govinfo.gov/content/pkg/USCOURTS-ca11-25-11434/pdf/USCOURTS-ca11-25-11434-0.pdf</w:t>
        </w:r>
      </w:hyperlink>
      <w:r>
        <w:t xml:space="preserve"> </w:t>
      </w:r>
    </w:p>
    <w:p w14:paraId="17A6FCB2" w14:textId="77777777" w:rsidR="002F409C" w:rsidRDefault="002F409C" w:rsidP="002F409C">
      <w:pPr>
        <w:pStyle w:val="NoSpacing"/>
        <w:rPr>
          <w:bCs/>
        </w:rPr>
      </w:pPr>
    </w:p>
    <w:p w14:paraId="7C38F979" w14:textId="77777777" w:rsidR="002F409C" w:rsidRDefault="002F409C" w:rsidP="002F409C">
      <w:pPr>
        <w:pStyle w:val="NoSpacing"/>
      </w:pPr>
      <w:r>
        <w:t>THE COURT HELD: “It is undisputed that Davis’s termination was an adverse employment action caused by his refusal to issue reprimands for violations of the department’s COVID-19 policy, so this case comes down to whether that refusal was protected activity…. Here, Davis asserts that he believed the reprimands he was ordered to issue violated Title VII’s anti-discrimination provision. That belief wasn’t objectively reasonable….  The memorandum of understanding between the union representing Orange County firefighters and the county stated that the reprimands could not be considered or used in a union member’s performance</w:t>
      </w:r>
    </w:p>
    <w:p w14:paraId="30C79BBB" w14:textId="77777777" w:rsidR="002F409C" w:rsidRDefault="002F409C" w:rsidP="002F409C">
      <w:pPr>
        <w:pStyle w:val="NoSpacing"/>
      </w:pPr>
      <w:r>
        <w:t xml:space="preserve">evaluation, and that no further disciplinary action could be taken against employees who didn’t file a timely vaccination certificate or exemption request. In other words, the reprimands were toothless—they themselves didn’t rise to the level of an adverse employment action, and a future adverse employment action couldn’t be based on them…. In other words, the reprimands were toothless—they themselves didn’t rise to the level of an adverse employment action, and a future adverse employment action couldn’t be based on them. </w:t>
      </w:r>
      <w:proofErr w:type="gramStart"/>
      <w:r>
        <w:t>So</w:t>
      </w:r>
      <w:proofErr w:type="gramEnd"/>
      <w:r>
        <w:t xml:space="preserve"> Davis has failed to allege an objectively reasonable belief that a written reprimand—that by its own terms could</w:t>
      </w:r>
    </w:p>
    <w:p w14:paraId="74AE29AD" w14:textId="77777777" w:rsidR="002F409C" w:rsidRDefault="002F409C" w:rsidP="002F409C">
      <w:pPr>
        <w:pStyle w:val="NoSpacing"/>
      </w:pPr>
      <w:r>
        <w:t>not impact the terms or conditions of a firefighter’s employment— would disadvantage, harm, or make “worse off” his subordinates’ employment in any way.”</w:t>
      </w:r>
    </w:p>
    <w:p w14:paraId="5881BC65" w14:textId="77777777" w:rsidR="002F409C" w:rsidRDefault="002F409C" w:rsidP="002F409C">
      <w:pPr>
        <w:pStyle w:val="NoSpacing"/>
      </w:pPr>
    </w:p>
    <w:p w14:paraId="042553EC" w14:textId="77777777" w:rsidR="002F409C" w:rsidRDefault="002F409C" w:rsidP="002F409C">
      <w:pPr>
        <w:pStyle w:val="NoSpacing"/>
        <w:rPr>
          <w:b/>
          <w:bCs/>
        </w:rPr>
      </w:pPr>
      <w:r>
        <w:rPr>
          <w:b/>
        </w:rPr>
        <w:t>Legal lesson learned:  Davis should have consulted an employment layer before refusing to issue the COVID reprimands.</w:t>
      </w:r>
    </w:p>
    <w:p w14:paraId="2711476C" w14:textId="77777777" w:rsidR="002F409C" w:rsidRDefault="002F409C" w:rsidP="002F409C">
      <w:pPr>
        <w:pStyle w:val="NoSpacing"/>
        <w:rPr>
          <w:b/>
          <w:bCs/>
        </w:rPr>
      </w:pPr>
    </w:p>
    <w:p w14:paraId="5CEDC709" w14:textId="77777777" w:rsidR="002F409C" w:rsidRDefault="002F409C" w:rsidP="002F409C">
      <w:pPr>
        <w:pStyle w:val="NoSpacing"/>
        <w:ind w:left="720"/>
      </w:pPr>
      <w:r>
        <w:t xml:space="preserve">Note: See June 15, </w:t>
      </w:r>
      <w:proofErr w:type="gramStart"/>
      <w:r>
        <w:t>2024</w:t>
      </w:r>
      <w:proofErr w:type="gramEnd"/>
      <w:r>
        <w:t xml:space="preserve"> article</w:t>
      </w:r>
      <w:r w:rsidRPr="001260AC">
        <w:rPr>
          <w:b/>
        </w:rPr>
        <w:t xml:space="preserve">: </w:t>
      </w:r>
      <w:r>
        <w:rPr>
          <w:b/>
        </w:rPr>
        <w:t>“</w:t>
      </w:r>
      <w:r w:rsidRPr="001260AC">
        <w:t>BREAKING: Former Orange County Fire Rescue battalion chief announces candidacy for County Commission District 1</w:t>
      </w:r>
      <w:r>
        <w:t xml:space="preserve">. </w:t>
      </w:r>
      <w:hyperlink r:id="rId2549" w:history="1">
        <w:r w:rsidRPr="002B0907">
          <w:rPr>
            <w:rStyle w:val="Hyperlink"/>
          </w:rPr>
          <w:t>https://www.orangeobserver.com/news/2024/jun/15/breaking-former-orange-county-fire-rescue-battalion-chief-announces-candidacy-for-county-commission-district-1/</w:t>
        </w:r>
      </w:hyperlink>
      <w:r>
        <w:t xml:space="preserve"> </w:t>
      </w:r>
    </w:p>
    <w:p w14:paraId="28F98514" w14:textId="77777777" w:rsidR="002F409C" w:rsidRDefault="002F409C" w:rsidP="002F409C">
      <w:pPr>
        <w:pStyle w:val="NoSpacing"/>
        <w:ind w:left="720"/>
      </w:pPr>
    </w:p>
    <w:p w14:paraId="07731DD2" w14:textId="77777777" w:rsidR="002F409C" w:rsidRPr="00A21182" w:rsidRDefault="002F409C" w:rsidP="002F409C">
      <w:pPr>
        <w:pStyle w:val="NoSpacing"/>
        <w:ind w:left="720"/>
      </w:pPr>
      <w:r>
        <w:t>“</w:t>
      </w:r>
      <w:r w:rsidRPr="00722EC8">
        <w:t xml:space="preserve">Stephen Davis, a former Orange County Fire Rescue battalion chief has filed as a qualified write-in candidate for the </w:t>
      </w:r>
      <w:proofErr w:type="gramStart"/>
      <w:r w:rsidRPr="00722EC8">
        <w:t>District</w:t>
      </w:r>
      <w:proofErr w:type="gramEnd"/>
      <w:r w:rsidRPr="00722EC8">
        <w:t xml:space="preserve"> 1 Orange County Commission seat.</w:t>
      </w:r>
      <w:r>
        <w:t xml:space="preserve"> </w:t>
      </w:r>
      <w:r w:rsidRPr="00722EC8">
        <w:t xml:space="preserve">Davis joins incumbent Nicole Wilson and challenger Austin Arthur in the race. </w:t>
      </w:r>
      <w:proofErr w:type="spellStart"/>
      <w:r w:rsidRPr="00722EC8">
        <w:t>Davis’</w:t>
      </w:r>
      <w:proofErr w:type="spellEnd"/>
      <w:r w:rsidRPr="00722EC8">
        <w:t xml:space="preserve"> candidacy also moves the race from November general election up to the primary ballot, Aug. 20.</w:t>
      </w:r>
      <w:r>
        <w:t xml:space="preserve"> </w:t>
      </w:r>
      <w:r w:rsidRPr="00722EC8">
        <w:t xml:space="preserve">If one candidate gets 50% plus one vote in the primary, that person wins the seat, Orange County Supervisor of Elections Public Information Officer Christopher Heath said. </w:t>
      </w:r>
      <w:r>
        <w:t xml:space="preserve"> </w:t>
      </w:r>
      <w:r w:rsidRPr="00722EC8">
        <w:t>Davis worked for the department for 15 years and advanced through the ranks to battalion chief. In 2021, Davis was terminated after he did not reprimand department personnel who refused the Orange County’s mandated COVID-19 vaccine.</w:t>
      </w:r>
      <w:r w:rsidRPr="00A21182">
        <w:rPr>
          <w:rFonts w:eastAsia="Times New Roman"/>
        </w:rPr>
        <w:t xml:space="preserve"> </w:t>
      </w:r>
      <w:r w:rsidRPr="00A21182">
        <w:t xml:space="preserve">He later filed a lawsuit against the county for wrongful termination </w:t>
      </w:r>
      <w:proofErr w:type="gramStart"/>
      <w:r w:rsidRPr="00A21182">
        <w:t>and also</w:t>
      </w:r>
      <w:proofErr w:type="gramEnd"/>
      <w:r w:rsidRPr="00A21182">
        <w:t xml:space="preserve"> has written a book about his experience.</w:t>
      </w:r>
      <w:r>
        <w:t xml:space="preserve"> ‘</w:t>
      </w:r>
      <w:r w:rsidRPr="00A21182">
        <w:t>History has now proven Orange County was wrong to mandate the so-called vaccine,</w:t>
      </w:r>
      <w:r>
        <w:t>’</w:t>
      </w:r>
      <w:r w:rsidRPr="00A21182">
        <w:t xml:space="preserve"> Davis said. </w:t>
      </w:r>
      <w:r>
        <w:t>‘</w:t>
      </w:r>
      <w:r w:rsidRPr="00A21182">
        <w:t>It did not stop the spread. Worse, Commissioner Nicole Wilson ridiculed and showed disdain for the firefighters who refused it. That’s why I’m running — to make sure this issue does not go away.</w:t>
      </w:r>
      <w:r>
        <w:t>’”</w:t>
      </w:r>
    </w:p>
    <w:p w14:paraId="664BB4B0" w14:textId="77777777" w:rsidR="002F409C" w:rsidRPr="00722EC8" w:rsidRDefault="002F409C" w:rsidP="002F409C">
      <w:pPr>
        <w:pStyle w:val="NoSpacing"/>
        <w:ind w:left="720"/>
      </w:pPr>
    </w:p>
    <w:p w14:paraId="015FB502" w14:textId="77777777" w:rsidR="002F409C" w:rsidRDefault="002F409C" w:rsidP="002F409C">
      <w:pPr>
        <w:pStyle w:val="NoSpacing"/>
      </w:pPr>
    </w:p>
    <w:p w14:paraId="4FAFC4E0" w14:textId="23635BD7" w:rsidR="002F409C" w:rsidRPr="008A774F" w:rsidRDefault="00B8457C" w:rsidP="008A774F">
      <w:pPr>
        <w:pStyle w:val="NoSpacing"/>
        <w:rPr>
          <w:rFonts w:ascii="Arial Black" w:hAnsi="Arial Black"/>
          <w:sz w:val="28"/>
          <w:szCs w:val="28"/>
        </w:rPr>
      </w:pPr>
      <w:r w:rsidRPr="008A774F">
        <w:rPr>
          <w:rFonts w:ascii="Arial Black" w:hAnsi="Arial Black"/>
          <w:sz w:val="28"/>
          <w:szCs w:val="28"/>
        </w:rPr>
        <w:t>16-149</w:t>
      </w:r>
    </w:p>
    <w:p w14:paraId="2E59CE5D" w14:textId="77777777" w:rsidR="00B8457C" w:rsidRDefault="00B8457C" w:rsidP="002F409C">
      <w:pPr>
        <w:pStyle w:val="NoSpacing"/>
        <w:ind w:left="720"/>
      </w:pPr>
    </w:p>
    <w:p w14:paraId="0F963F48" w14:textId="77777777" w:rsidR="00B8457C" w:rsidRPr="008A1D44" w:rsidRDefault="00B8457C" w:rsidP="00B8457C">
      <w:pPr>
        <w:pStyle w:val="NoSpacing"/>
        <w:rPr>
          <w:rFonts w:ascii="Arial Black" w:hAnsi="Arial Black"/>
          <w:sz w:val="28"/>
          <w:szCs w:val="28"/>
        </w:rPr>
      </w:pPr>
      <w:r>
        <w:rPr>
          <w:rFonts w:ascii="Arial Black" w:hAnsi="Arial Black"/>
          <w:sz w:val="28"/>
          <w:szCs w:val="28"/>
        </w:rPr>
        <w:t>TX: FEMALE LT – 5-DAY &amp; 10-DAY SUSP - LEAVING STATION</w:t>
      </w:r>
    </w:p>
    <w:p w14:paraId="1206711F" w14:textId="77777777" w:rsidR="00B8457C" w:rsidRDefault="00B8457C" w:rsidP="00B8457C">
      <w:pPr>
        <w:pStyle w:val="NoSpacing"/>
      </w:pPr>
      <w:r w:rsidRPr="008A1D44">
        <w:t> </w:t>
      </w:r>
    </w:p>
    <w:p w14:paraId="1C2E5C13" w14:textId="77777777" w:rsidR="00B8457C" w:rsidRDefault="00B8457C" w:rsidP="00B8457C">
      <w:pPr>
        <w:pStyle w:val="NoSpacing"/>
      </w:pPr>
      <w:r>
        <w:t xml:space="preserve">On February 12, 2026, in </w:t>
      </w:r>
      <w:r w:rsidRPr="003851F7">
        <w:rPr>
          <w:u w:val="single"/>
        </w:rPr>
        <w:t>City of Pharr v. Lt. Krystle Guerra</w:t>
      </w:r>
      <w:r>
        <w:t xml:space="preserve">, the </w:t>
      </w:r>
      <w:r w:rsidRPr="003851F7">
        <w:t>Court of Appeals of Texas, Thirteenth District, Corpus Christi-Edinburg</w:t>
      </w:r>
      <w:r>
        <w:t xml:space="preserve">, held that the </w:t>
      </w:r>
      <w:r w:rsidRPr="00D62030">
        <w:t>City of Pharr Fire &amp; Police Civil Service Commission</w:t>
      </w:r>
      <w:r>
        <w:t xml:space="preserve"> upheld her two separate suspensions after hearings, and the trial court should have dismissed her lawsuit.   </w:t>
      </w:r>
      <w:hyperlink r:id="rId2550" w:history="1">
        <w:r w:rsidRPr="00C72C21">
          <w:rPr>
            <w:rStyle w:val="Hyperlink"/>
          </w:rPr>
          <w:t>https://cases.justia.com/texas/thirteenth-court-of-appeals/2026-13-24-00112-cv.pdf?ts=1770913029</w:t>
        </w:r>
      </w:hyperlink>
      <w:r>
        <w:t xml:space="preserve"> </w:t>
      </w:r>
    </w:p>
    <w:p w14:paraId="398F0604" w14:textId="77777777" w:rsidR="00B8457C" w:rsidRDefault="00B8457C" w:rsidP="00B8457C">
      <w:pPr>
        <w:pStyle w:val="NoSpacing"/>
      </w:pPr>
    </w:p>
    <w:p w14:paraId="3EE69B60" w14:textId="77777777" w:rsidR="00B8457C" w:rsidRDefault="00B8457C" w:rsidP="00B8457C">
      <w:pPr>
        <w:pStyle w:val="NoSpacing"/>
      </w:pPr>
      <w:r>
        <w:t>THE COURT HELD: “</w:t>
      </w:r>
      <w:r w:rsidRPr="00363CB9">
        <w:t xml:space="preserve">On June 22, 2021, Guerra received written notice that then-Fire Chief Leonardo Perez was investigating allegations that she violated Department policies on multiple occasions. The allegations largely centered on </w:t>
      </w:r>
      <w:r w:rsidRPr="00363CB9">
        <w:lastRenderedPageBreak/>
        <w:t>several reports that, without prior authorization, Guerra repeatedly left her assigned fire station and district to conduct personal business or socialize at other stations while on duty.</w:t>
      </w:r>
      <w:r>
        <w:t xml:space="preserve"> </w:t>
      </w:r>
      <w:r w:rsidRPr="00363CB9">
        <w:t xml:space="preserve">During a disciplinary hearing before Chief Perez, Guerra did not dispute those allegations; instead, she generally claimed that it was common for other Department personnel to run personal errands during work hours. Chief Perez invited Guerra to provide examples to support her contention. In a follow-up email to Chief Perez, she accused him of running personal errands while on duty and cited specific instances of him allegedly doing so. After considering Guerra's response, Chief Perez found the allegations against her to be true and suspended Guerra for five days without pay. </w:t>
      </w:r>
      <w:r>
        <w:t xml:space="preserve">*** </w:t>
      </w:r>
      <w:r w:rsidRPr="00001403">
        <w:t xml:space="preserve">In January 2022, Chief Perez's successor, Pilar Rodriguez, sent Guerra written notice of contemplated discipline concerning two incidents. Guerra was accused of </w:t>
      </w:r>
      <w:r>
        <w:t>‘</w:t>
      </w:r>
      <w:r w:rsidRPr="00001403">
        <w:t>exchanging time</w:t>
      </w:r>
      <w:r>
        <w:t>’</w:t>
      </w:r>
      <w:r w:rsidRPr="00001403">
        <w:t xml:space="preserve"> with another lieutenant in violation of a supervisor's prior directive not to do so. She was also accused of leaving her post for two hours without obtaining prior authorization from her immediate supervisor or notifying others above her in the chain of command.</w:t>
      </w:r>
      <w:r>
        <w:t xml:space="preserve"> *** </w:t>
      </w:r>
      <w:r w:rsidRPr="00802436">
        <w:t xml:space="preserve">Guerra alleged in her petition that her protected activities consisted of </w:t>
      </w:r>
      <w:r>
        <w:t>‘</w:t>
      </w:r>
      <w:r w:rsidRPr="00802436">
        <w:t>reporting misbehavior by a male firefighter and [Chief Perez]</w:t>
      </w:r>
      <w:r>
        <w:t>’</w:t>
      </w:r>
      <w:r w:rsidRPr="00802436">
        <w:t xml:space="preserve"> and that her transfer to another station and suspensions constituted </w:t>
      </w:r>
      <w:r>
        <w:t>‘</w:t>
      </w:r>
      <w:r w:rsidRPr="00802436">
        <w:t>retaliation</w:t>
      </w:r>
      <w:r>
        <w:t>’</w:t>
      </w:r>
      <w:r w:rsidRPr="00802436">
        <w:t xml:space="preserve"> for making these reports. However, as she described in her own petition, the January 2021 report concerned </w:t>
      </w:r>
      <w:proofErr w:type="gramStart"/>
      <w:r w:rsidRPr="00802436">
        <w:t xml:space="preserve">a subordinate's </w:t>
      </w:r>
      <w:r>
        <w:t>‘</w:t>
      </w:r>
      <w:proofErr w:type="gramEnd"/>
      <w:r w:rsidRPr="00802436">
        <w:t>work performance issues." For example, Guerra reported that this employee's job performance was "unsatisfactory</w:t>
      </w:r>
      <w:r>
        <w:t>’</w:t>
      </w:r>
      <w:r w:rsidRPr="00802436">
        <w:t xml:space="preserve"> because of his poor interpersonal skills. Nowhere in the report did Guerra state that the employee had engaged in any kind of discriminatory behavior</w:t>
      </w:r>
      <w:r>
        <w:t xml:space="preserve">…. </w:t>
      </w:r>
      <w:r w:rsidRPr="00C83518">
        <w:t>In short, Guerra's pleadings and evidence conclusively establish that her retaliation claims are based on activities that are not protected by Chapter 2</w:t>
      </w:r>
      <w:r>
        <w:t>1.”</w:t>
      </w:r>
    </w:p>
    <w:p w14:paraId="2FE37623" w14:textId="77777777" w:rsidR="00B8457C" w:rsidRDefault="00B8457C" w:rsidP="00B8457C">
      <w:pPr>
        <w:pStyle w:val="NoSpacing"/>
      </w:pPr>
    </w:p>
    <w:p w14:paraId="4437E266" w14:textId="77777777" w:rsidR="00B8457C" w:rsidRPr="00FB3A46" w:rsidRDefault="00B8457C" w:rsidP="00B8457C">
      <w:pPr>
        <w:pStyle w:val="NoSpacing"/>
        <w:rPr>
          <w:b/>
          <w:bCs/>
        </w:rPr>
      </w:pPr>
      <w:r w:rsidRPr="00FB3A46">
        <w:rPr>
          <w:b/>
        </w:rPr>
        <w:t xml:space="preserve">Legal lesson learned: </w:t>
      </w:r>
      <w:r>
        <w:rPr>
          <w:b/>
        </w:rPr>
        <w:t xml:space="preserve">Laving a station without permission, particularly when you are the OIC, can lead to discipline. </w:t>
      </w:r>
    </w:p>
    <w:p w14:paraId="4C666750" w14:textId="77777777" w:rsidR="00B8457C" w:rsidRDefault="00B8457C" w:rsidP="002F409C">
      <w:pPr>
        <w:pStyle w:val="NoSpacing"/>
        <w:ind w:left="720"/>
      </w:pPr>
    </w:p>
    <w:p w14:paraId="2520933B" w14:textId="77777777" w:rsidR="002F409C" w:rsidRPr="005E4175" w:rsidRDefault="002F409C" w:rsidP="002F409C">
      <w:pPr>
        <w:pStyle w:val="NoSpacing"/>
        <w:ind w:left="720"/>
        <w:rPr>
          <w:bCs/>
        </w:rPr>
      </w:pPr>
    </w:p>
    <w:p w14:paraId="015843BB" w14:textId="77777777" w:rsidR="002F409C" w:rsidRDefault="002F409C" w:rsidP="002F7727">
      <w:pPr>
        <w:pStyle w:val="NoSpacing"/>
        <w:rPr>
          <w:rFonts w:ascii="Arial Black" w:hAnsi="Arial Black"/>
          <w:b/>
          <w:sz w:val="24"/>
          <w:szCs w:val="24"/>
        </w:rPr>
      </w:pPr>
    </w:p>
    <w:p w14:paraId="0CD8FBB3" w14:textId="77777777" w:rsidR="002F409C" w:rsidRDefault="002F409C" w:rsidP="002F7727">
      <w:pPr>
        <w:pStyle w:val="NoSpacing"/>
        <w:rPr>
          <w:rFonts w:ascii="Arial Black" w:hAnsi="Arial Black"/>
          <w:b/>
          <w:sz w:val="24"/>
          <w:szCs w:val="24"/>
        </w:rPr>
      </w:pPr>
    </w:p>
    <w:p w14:paraId="657BAB78" w14:textId="77777777" w:rsidR="002F409C" w:rsidRDefault="002F409C" w:rsidP="002F7727">
      <w:pPr>
        <w:pStyle w:val="NoSpacing"/>
        <w:rPr>
          <w:rFonts w:ascii="Arial Black" w:hAnsi="Arial Black"/>
          <w:b/>
          <w:sz w:val="24"/>
          <w:szCs w:val="24"/>
        </w:rPr>
      </w:pPr>
    </w:p>
    <w:p w14:paraId="1D2F6AFE" w14:textId="77777777" w:rsidR="002F409C" w:rsidRDefault="002F409C" w:rsidP="002F7727">
      <w:pPr>
        <w:pStyle w:val="NoSpacing"/>
        <w:rPr>
          <w:rFonts w:ascii="Arial Black" w:hAnsi="Arial Black"/>
          <w:b/>
          <w:sz w:val="24"/>
          <w:szCs w:val="24"/>
        </w:rPr>
      </w:pPr>
    </w:p>
    <w:p w14:paraId="2D4EEB85" w14:textId="546E0E82" w:rsidR="008F1833" w:rsidRDefault="008F1833" w:rsidP="002F7727">
      <w:pPr>
        <w:pStyle w:val="NoSpacing"/>
        <w:rPr>
          <w:rFonts w:ascii="Arial Black" w:hAnsi="Arial Black"/>
          <w:b/>
          <w:sz w:val="24"/>
          <w:szCs w:val="24"/>
        </w:rPr>
      </w:pPr>
      <w:r>
        <w:rPr>
          <w:rFonts w:ascii="Arial Black" w:hAnsi="Arial Black"/>
          <w:b/>
          <w:sz w:val="24"/>
          <w:szCs w:val="24"/>
        </w:rPr>
        <w:t>16-148</w:t>
      </w:r>
    </w:p>
    <w:p w14:paraId="3629D51F" w14:textId="77777777" w:rsidR="008F1833" w:rsidRDefault="008F1833" w:rsidP="002F7727">
      <w:pPr>
        <w:pStyle w:val="NoSpacing"/>
        <w:rPr>
          <w:rFonts w:ascii="Arial Black" w:hAnsi="Arial Black"/>
          <w:b/>
          <w:sz w:val="24"/>
          <w:szCs w:val="24"/>
        </w:rPr>
      </w:pPr>
    </w:p>
    <w:p w14:paraId="2425D079" w14:textId="3802543F" w:rsidR="008F1833" w:rsidRPr="008F1833" w:rsidRDefault="008F1833" w:rsidP="008F1833">
      <w:pPr>
        <w:pStyle w:val="NoSpacing"/>
        <w:rPr>
          <w:rFonts w:ascii="Times New Roman" w:hAnsi="Times New Roman"/>
          <w:b/>
          <w:sz w:val="24"/>
          <w:szCs w:val="24"/>
        </w:rPr>
      </w:pPr>
      <w:r>
        <w:rPr>
          <w:rFonts w:ascii="Arial Black" w:hAnsi="Arial Black"/>
          <w:b/>
          <w:sz w:val="28"/>
          <w:szCs w:val="28"/>
        </w:rPr>
        <w:t xml:space="preserve">FL: FF FIRED – ANNUAL PHYSICAL – TRIED AVOID TB TEST </w:t>
      </w:r>
      <w:r w:rsidRPr="008F1833">
        <w:rPr>
          <w:rFonts w:ascii="Times New Roman" w:hAnsi="Times New Roman"/>
          <w:b/>
          <w:sz w:val="24"/>
          <w:szCs w:val="24"/>
        </w:rPr>
        <w:t>[also filed, Chap. 1</w:t>
      </w:r>
      <w:r>
        <w:rPr>
          <w:rFonts w:ascii="Times New Roman" w:hAnsi="Times New Roman"/>
          <w:b/>
          <w:sz w:val="24"/>
          <w:szCs w:val="24"/>
        </w:rPr>
        <w:t>4</w:t>
      </w:r>
      <w:r w:rsidRPr="008F1833">
        <w:rPr>
          <w:rFonts w:ascii="Times New Roman" w:hAnsi="Times New Roman"/>
          <w:b/>
          <w:sz w:val="24"/>
          <w:szCs w:val="24"/>
        </w:rPr>
        <w:t>]</w:t>
      </w:r>
    </w:p>
    <w:p w14:paraId="59BB6ECC" w14:textId="77777777" w:rsidR="008F1833" w:rsidRDefault="008F1833" w:rsidP="008F1833">
      <w:pPr>
        <w:pStyle w:val="NoSpacing"/>
        <w:rPr>
          <w:b/>
        </w:rPr>
      </w:pPr>
    </w:p>
    <w:p w14:paraId="069674D6" w14:textId="77777777" w:rsidR="008F1833" w:rsidRPr="00FF0E3F" w:rsidRDefault="008F1833" w:rsidP="008F1833">
      <w:pPr>
        <w:pStyle w:val="NoSpacing"/>
        <w:rPr>
          <w:bCs/>
        </w:rPr>
      </w:pPr>
      <w:r w:rsidRPr="001D2253">
        <w:t xml:space="preserve">On February 6, 2026, in </w:t>
      </w:r>
      <w:r w:rsidRPr="001D2253">
        <w:rPr>
          <w:u w:val="single"/>
        </w:rPr>
        <w:t>Nathaniel Griffin v. City of South Pasadena and The St. Petersburg International Association of Fire Fighters, Local 747</w:t>
      </w:r>
      <w:r w:rsidRPr="001D2253">
        <w:t xml:space="preserve">, </w:t>
      </w:r>
      <w:r>
        <w:t xml:space="preserve">U.S. District Court Judge William F. Jung, </w:t>
      </w:r>
      <w:r w:rsidRPr="00FF0E3F">
        <w:t>United States District Court for the Middle District of Florida, Tampa Division</w:t>
      </w:r>
      <w:r>
        <w:t xml:space="preserve">, dismissed the lawsuit against both the </w:t>
      </w:r>
      <w:proofErr w:type="gramStart"/>
      <w:r>
        <w:t>City</w:t>
      </w:r>
      <w:proofErr w:type="gramEnd"/>
      <w:r>
        <w:t xml:space="preserve"> and the Local.  Firefighter, paramedic Griffin, on </w:t>
      </w:r>
      <w:r w:rsidRPr="00F470E1">
        <w:t xml:space="preserve">August 12, </w:t>
      </w:r>
      <w:proofErr w:type="gramStart"/>
      <w:r w:rsidRPr="00F470E1">
        <w:t>2022</w:t>
      </w:r>
      <w:proofErr w:type="gramEnd"/>
      <w:r w:rsidRPr="00F470E1">
        <w:t xml:space="preserve"> underwent his annual physical examination at Life Scan Wellness Center</w:t>
      </w:r>
      <w:r>
        <w:t xml:space="preserve">; he </w:t>
      </w:r>
      <w:r w:rsidRPr="00F470E1">
        <w:t>completed most of the medical examination without issue, except for the TB test</w:t>
      </w:r>
      <w:r>
        <w:t xml:space="preserve">, when asked </w:t>
      </w:r>
      <w:r w:rsidRPr="00F470E1">
        <w:t>the Life Scan technician to skip the TB test but fraudulently report that a test had been done.</w:t>
      </w:r>
      <w:r>
        <w:t xml:space="preserve">  The Fire Chief gave the plaintiff an opportunity to </w:t>
      </w:r>
      <w:proofErr w:type="gramStart"/>
      <w:r>
        <w:t>resigned</w:t>
      </w:r>
      <w:proofErr w:type="gramEnd"/>
      <w:r>
        <w:t xml:space="preserve">; he refused and was fired on September 13, 2022. </w:t>
      </w:r>
      <w:hyperlink r:id="rId2551" w:history="1">
        <w:r w:rsidRPr="00C72C21">
          <w:rPr>
            <w:rStyle w:val="Hyperlink"/>
          </w:rPr>
          <w:t>https://cases.justia.com/federal/district-courts/florida/flmdce/8:2025cv02787/448658/35/0.pdf</w:t>
        </w:r>
      </w:hyperlink>
      <w:r>
        <w:t xml:space="preserve"> </w:t>
      </w:r>
    </w:p>
    <w:p w14:paraId="550CD85C" w14:textId="77777777" w:rsidR="008F1833" w:rsidRDefault="008F1833" w:rsidP="008F1833">
      <w:pPr>
        <w:pStyle w:val="NoSpacing"/>
        <w:rPr>
          <w:bCs/>
        </w:rPr>
      </w:pPr>
    </w:p>
    <w:p w14:paraId="68D5181D" w14:textId="77777777" w:rsidR="008F1833" w:rsidRDefault="008F1833" w:rsidP="008F1833">
      <w:pPr>
        <w:pStyle w:val="NoSpacing"/>
      </w:pPr>
      <w:r>
        <w:t>THE COURT HELD: “</w:t>
      </w:r>
      <w:r w:rsidRPr="005C306F">
        <w:t>When evaluating the results of the physical examination, the CBA requires the physician to follow the national guidelines set forth in the National Fire Protection Association (</w:t>
      </w:r>
      <w:r>
        <w:t>‘</w:t>
      </w:r>
      <w:r w:rsidRPr="005C306F">
        <w:t>NFPA</w:t>
      </w:r>
      <w:r>
        <w:t>’</w:t>
      </w:r>
      <w:r w:rsidRPr="005C306F">
        <w:t>) 1582, Chapter 9</w:t>
      </w:r>
      <w:r>
        <w:t xml:space="preserve">…. </w:t>
      </w:r>
      <w:r w:rsidRPr="005C306F">
        <w:t xml:space="preserve"> As relevant to this lawsuit, the annual physical examination includes tuberculosis (</w:t>
      </w:r>
      <w:r>
        <w:t>‘</w:t>
      </w:r>
      <w:r w:rsidRPr="005C306F">
        <w:t>TB</w:t>
      </w:r>
      <w:r>
        <w:t>’</w:t>
      </w:r>
      <w:r w:rsidRPr="005C306F">
        <w:t>) testing, which may require an additional chest X-ray if the TB test comes back positive</w:t>
      </w:r>
      <w:r>
        <w:t xml:space="preserve">…. </w:t>
      </w:r>
      <w:r w:rsidRPr="005C306F">
        <w:t xml:space="preserve">Plaintiff alleges that at some unspecified point during the CBA negotiations, he objected to the CBA agreement due </w:t>
      </w:r>
      <w:r>
        <w:t>‘</w:t>
      </w:r>
      <w:r w:rsidRPr="005C306F">
        <w:t>to the breath [sic] and intrusive nature of the mandatory medical examinations.</w:t>
      </w:r>
      <w:r>
        <w:t xml:space="preserve">’ … </w:t>
      </w:r>
      <w:r w:rsidRPr="005C306F">
        <w:t xml:space="preserve">Plaintiff further alleges that he continually voiced his objection to the CBA, even after the agreement was adopted on August 28, 2019. </w:t>
      </w:r>
      <w:r>
        <w:t xml:space="preserve">***  </w:t>
      </w:r>
      <w:r w:rsidRPr="00901B14">
        <w:t>Based on a careful review of the pleadings, the Court grants the City's motion to dismiss. As discussed below, Plaintiff has failed to state a claim under the ADA, GINA, Title VII, and Section 1983</w:t>
      </w:r>
      <w:r>
        <w:t xml:space="preserve">…. </w:t>
      </w:r>
      <w:r w:rsidRPr="003E7359">
        <w:t xml:space="preserve">Here, even when accepting the meager factual allegations as true, Plaintiff fails to allege any Fourth Amendment violation since the Complaint fails to allege that any private interests outweigh the City's interest in public safety. The Complaint vaguely asserts that the August 2022 physical examination violated </w:t>
      </w:r>
      <w:r>
        <w:t>‘</w:t>
      </w:r>
      <w:r w:rsidRPr="003E7359">
        <w:t xml:space="preserve">Plaintiff's personal privacy </w:t>
      </w:r>
      <w:proofErr w:type="gramStart"/>
      <w:r w:rsidRPr="003E7359">
        <w:t>rights</w:t>
      </w:r>
      <w:r>
        <w:t>’</w:t>
      </w:r>
      <w:proofErr w:type="gramEnd"/>
      <w:r w:rsidRPr="003E7359">
        <w:t xml:space="preserve"> due to the exam's </w:t>
      </w:r>
      <w:r>
        <w:t>‘</w:t>
      </w:r>
      <w:r w:rsidRPr="003E7359">
        <w:t>breadth and intrusive nature.</w:t>
      </w:r>
      <w:r>
        <w:t xml:space="preserve">’ … </w:t>
      </w:r>
      <w:r w:rsidRPr="003E7359">
        <w:t xml:space="preserve">But Plaintiff never specifies what aspect of the physical examination was so </w:t>
      </w:r>
      <w:r>
        <w:t>‘</w:t>
      </w:r>
      <w:proofErr w:type="spellStart"/>
      <w:r w:rsidRPr="003E7359">
        <w:t>intrusiv</w:t>
      </w:r>
      <w:proofErr w:type="spellEnd"/>
      <w:r>
        <w:t>’</w:t>
      </w:r>
      <w:r w:rsidRPr="003E7359">
        <w:t xml:space="preserve"> and </w:t>
      </w:r>
      <w:r w:rsidRPr="003E7359">
        <w:lastRenderedPageBreak/>
        <w:t xml:space="preserve">overbroad that it violated Plaintiff's diminished expectation of privacy due to his job as a firefighter and paramedic. </w:t>
      </w:r>
      <w:r w:rsidRPr="003E7359">
        <w:rPr>
          <w:i/>
          <w:iCs/>
        </w:rPr>
        <w:t xml:space="preserve">See </w:t>
      </w:r>
      <w:proofErr w:type="spellStart"/>
      <w:r w:rsidRPr="003E7359">
        <w:rPr>
          <w:i/>
          <w:iCs/>
        </w:rPr>
        <w:t>Nat'l</w:t>
      </w:r>
      <w:proofErr w:type="spellEnd"/>
      <w:r w:rsidRPr="003E7359">
        <w:rPr>
          <w:i/>
          <w:iCs/>
        </w:rPr>
        <w:t xml:space="preserve"> Treasury Emps. Union v. Von Raab</w:t>
      </w:r>
      <w:r w:rsidRPr="003E7359">
        <w:t>, 489 U.S. 656, 671 (1989) (</w:t>
      </w:r>
      <w:r>
        <w:t>‘</w:t>
      </w:r>
      <w:r w:rsidRPr="003E7359">
        <w:t>[I]t is plain that certain forms of public employment may diminish privacy expectations even with respect to . . . personal searches.</w:t>
      </w:r>
      <w:r>
        <w:t>’</w:t>
      </w:r>
      <w:r w:rsidRPr="003E7359">
        <w:t xml:space="preserve">); </w:t>
      </w:r>
      <w:r w:rsidRPr="003E7359">
        <w:rPr>
          <w:i/>
          <w:iCs/>
        </w:rPr>
        <w:t>Scott</w:t>
      </w:r>
      <w:r w:rsidRPr="003E7359">
        <w:t>, 717 F.3d at 869 (</w:t>
      </w:r>
      <w:r>
        <w:t>‘</w:t>
      </w:r>
      <w:r w:rsidRPr="003E7359">
        <w:t xml:space="preserve">Another category-a natural extension of the Supreme Court's holding in </w:t>
      </w:r>
      <w:r w:rsidRPr="003E7359">
        <w:rPr>
          <w:i/>
          <w:iCs/>
        </w:rPr>
        <w:t>Von Raab</w:t>
      </w:r>
      <w:r w:rsidRPr="003E7359">
        <w:t>-encompasses . . . firefighters.</w:t>
      </w:r>
      <w:r>
        <w:t>’</w:t>
      </w:r>
      <w:r w:rsidRPr="003E7359">
        <w:t xml:space="preserve">); </w:t>
      </w:r>
      <w:r w:rsidRPr="003E7359">
        <w:rPr>
          <w:i/>
          <w:iCs/>
        </w:rPr>
        <w:t>Williams v. Bd. of Regents of Univ. Sys. of Georgia</w:t>
      </w:r>
      <w:r w:rsidRPr="003E7359">
        <w:t>, No. CV 120-100, 2021 WL 2827293, at *7 (S.D. Ga. July 7, 2021) (dismissing the plaintiff's Fourth Amendment search and seizure claim, as her employer's drug test fell under the special needs exception).</w:t>
      </w:r>
      <w:r>
        <w:t xml:space="preserve"> ***  Local 747’s motion seeks dismissal of the single ADA discrimination claim</w:t>
      </w:r>
    </w:p>
    <w:p w14:paraId="520AF071" w14:textId="77777777" w:rsidR="008F1833" w:rsidRDefault="008F1833" w:rsidP="008F1833">
      <w:pPr>
        <w:pStyle w:val="NoSpacing"/>
      </w:pPr>
      <w:r>
        <w:t xml:space="preserve">in Count IX. Local 747 asserts that the ADA claim is time-barred since Plaintiff ‘failed to file a charge against the Local challenging the medical exam requirement at issue within 300 days after Local 747 entered into the CBA on August 28, 2019.’ … Plaintiff’s discrimination charge must have been filed with the FCHR or the EEOC within 300 days—i.e., by June 23, 2020.” </w:t>
      </w:r>
    </w:p>
    <w:p w14:paraId="08B70C13" w14:textId="77777777" w:rsidR="008F1833" w:rsidRDefault="008F1833" w:rsidP="008F1833">
      <w:pPr>
        <w:pStyle w:val="NoSpacing"/>
      </w:pPr>
    </w:p>
    <w:p w14:paraId="7156F364" w14:textId="77777777" w:rsidR="008F1833" w:rsidRDefault="008F1833" w:rsidP="008F1833">
      <w:pPr>
        <w:pStyle w:val="NoSpacing"/>
        <w:rPr>
          <w:b/>
          <w:bCs/>
        </w:rPr>
      </w:pPr>
      <w:r w:rsidRPr="00C65E3A">
        <w:rPr>
          <w:b/>
        </w:rPr>
        <w:t xml:space="preserve">Legal lesson learned: </w:t>
      </w:r>
      <w:r>
        <w:rPr>
          <w:b/>
        </w:rPr>
        <w:t xml:space="preserve">Very unusual to have a firefighter complain about annual physical. </w:t>
      </w:r>
    </w:p>
    <w:p w14:paraId="2FC42FE7" w14:textId="77777777" w:rsidR="008F1833" w:rsidRDefault="008F1833" w:rsidP="008F1833">
      <w:pPr>
        <w:pStyle w:val="NoSpacing"/>
        <w:rPr>
          <w:b/>
          <w:bCs/>
        </w:rPr>
      </w:pPr>
      <w:r>
        <w:rPr>
          <w:b/>
        </w:rPr>
        <w:tab/>
      </w:r>
      <w:r w:rsidRPr="00EA4E78">
        <w:t>Note: In Footnote 7, the Court wrote</w:t>
      </w:r>
      <w:r>
        <w:rPr>
          <w:b/>
        </w:rPr>
        <w:t xml:space="preserve">: </w:t>
      </w:r>
    </w:p>
    <w:p w14:paraId="146E6C0A" w14:textId="77777777" w:rsidR="008F1833" w:rsidRDefault="008F1833" w:rsidP="008F1833">
      <w:pPr>
        <w:pStyle w:val="NoSpacing"/>
        <w:ind w:left="720"/>
      </w:pPr>
      <w:r>
        <w:rPr>
          <w:b/>
        </w:rPr>
        <w:t>“</w:t>
      </w:r>
      <w:r w:rsidRPr="00975937">
        <w:t xml:space="preserve">Firefighters reside in close quarters. They must be strong and hale. They must be able to provide emergency lifesaving techniques in difficult circumstances to people of varying health. </w:t>
      </w:r>
      <w:r w:rsidRPr="00975937">
        <w:rPr>
          <w:i/>
          <w:iCs/>
        </w:rPr>
        <w:t>See Cremeens v. City of Montgomery, Ala.</w:t>
      </w:r>
      <w:r w:rsidRPr="00975937">
        <w:t xml:space="preserve">, 427 </w:t>
      </w:r>
      <w:proofErr w:type="spellStart"/>
      <w:r w:rsidRPr="00975937">
        <w:t>Fed.Appx</w:t>
      </w:r>
      <w:proofErr w:type="spellEnd"/>
      <w:r w:rsidRPr="00975937">
        <w:t>. 855, 858 (11th Cir. 2011) (</w:t>
      </w:r>
      <w:r>
        <w:t>‘</w:t>
      </w:r>
      <w:r w:rsidRPr="00975937">
        <w:t>The physical fitness requirements are directly related to a Fire Investigator's duty to fight fires, and they are necessary to ensure that Fire Investigators are able to perform that function when called upon to do so.).</w:t>
      </w:r>
      <w:r>
        <w:t>”</w:t>
      </w:r>
    </w:p>
    <w:p w14:paraId="6B337B2B" w14:textId="77777777" w:rsidR="008F1833" w:rsidRPr="003E7359" w:rsidRDefault="008F1833" w:rsidP="008F1833">
      <w:pPr>
        <w:pStyle w:val="NoSpacing"/>
        <w:rPr>
          <w:b/>
          <w:bCs/>
        </w:rPr>
      </w:pPr>
    </w:p>
    <w:p w14:paraId="5CA43F86" w14:textId="77777777" w:rsidR="008F1833" w:rsidRDefault="008F1833" w:rsidP="002F7727">
      <w:pPr>
        <w:pStyle w:val="NoSpacing"/>
        <w:rPr>
          <w:rFonts w:ascii="Arial Black" w:hAnsi="Arial Black"/>
          <w:b/>
          <w:sz w:val="24"/>
          <w:szCs w:val="24"/>
        </w:rPr>
      </w:pPr>
    </w:p>
    <w:p w14:paraId="7C861934" w14:textId="77777777" w:rsidR="008F1833" w:rsidRDefault="008F1833" w:rsidP="002F7727">
      <w:pPr>
        <w:pStyle w:val="NoSpacing"/>
        <w:rPr>
          <w:rFonts w:ascii="Arial Black" w:hAnsi="Arial Black"/>
          <w:b/>
          <w:sz w:val="24"/>
          <w:szCs w:val="24"/>
        </w:rPr>
      </w:pPr>
    </w:p>
    <w:p w14:paraId="73FA9069" w14:textId="77777777" w:rsidR="008F1833" w:rsidRDefault="008F1833" w:rsidP="002F7727">
      <w:pPr>
        <w:pStyle w:val="NoSpacing"/>
        <w:rPr>
          <w:rFonts w:ascii="Arial Black" w:hAnsi="Arial Black"/>
          <w:b/>
          <w:sz w:val="24"/>
          <w:szCs w:val="24"/>
        </w:rPr>
      </w:pPr>
    </w:p>
    <w:p w14:paraId="4E085C1C" w14:textId="3F81DCA6" w:rsidR="00E775DC" w:rsidRDefault="00D03249" w:rsidP="002F7727">
      <w:pPr>
        <w:pStyle w:val="NoSpacing"/>
        <w:rPr>
          <w:rFonts w:ascii="Arial Black" w:hAnsi="Arial Black"/>
          <w:b/>
          <w:sz w:val="24"/>
          <w:szCs w:val="24"/>
        </w:rPr>
      </w:pPr>
      <w:r>
        <w:rPr>
          <w:rFonts w:ascii="Arial Black" w:hAnsi="Arial Black"/>
          <w:b/>
          <w:sz w:val="24"/>
          <w:szCs w:val="24"/>
        </w:rPr>
        <w:t>16-147</w:t>
      </w:r>
    </w:p>
    <w:p w14:paraId="13A2D7BC" w14:textId="77777777" w:rsidR="00D03249" w:rsidRDefault="00D03249" w:rsidP="002F7727">
      <w:pPr>
        <w:pStyle w:val="NoSpacing"/>
        <w:rPr>
          <w:rFonts w:ascii="Arial Black" w:hAnsi="Arial Black"/>
          <w:b/>
          <w:sz w:val="24"/>
          <w:szCs w:val="24"/>
        </w:rPr>
      </w:pPr>
    </w:p>
    <w:p w14:paraId="3215AEE9" w14:textId="7C81C2E3" w:rsidR="00C01200" w:rsidRDefault="00C01200" w:rsidP="00C01200">
      <w:r>
        <w:rPr>
          <w:rFonts w:ascii="Arial Black" w:hAnsi="Arial Black"/>
          <w:b/>
          <w:sz w:val="28"/>
          <w:szCs w:val="28"/>
        </w:rPr>
        <w:t xml:space="preserve">IL: CPT / FFs WORE TRUMP MASKS STATION – </w:t>
      </w:r>
      <w:r w:rsidR="006648D0">
        <w:rPr>
          <w:rFonts w:ascii="Arial Black" w:hAnsi="Arial Black"/>
          <w:b/>
          <w:sz w:val="28"/>
          <w:szCs w:val="28"/>
        </w:rPr>
        <w:t xml:space="preserve">CASE </w:t>
      </w:r>
      <w:r>
        <w:rPr>
          <w:rFonts w:ascii="Arial Black" w:hAnsi="Arial Black"/>
          <w:b/>
          <w:sz w:val="28"/>
          <w:szCs w:val="28"/>
        </w:rPr>
        <w:t>PROCEED</w:t>
      </w:r>
    </w:p>
    <w:p w14:paraId="04E3E00A" w14:textId="77777777" w:rsidR="00C01200" w:rsidRDefault="00C01200" w:rsidP="00C01200">
      <w:pPr>
        <w:pStyle w:val="NoSpacing"/>
      </w:pPr>
      <w:r>
        <w:t xml:space="preserve">On January 27, 2026, in </w:t>
      </w:r>
      <w:r w:rsidRPr="00F55727">
        <w:rPr>
          <w:u w:val="single"/>
        </w:rPr>
        <w:t>Curt Koopman v. City of Evanston, et al</w:t>
      </w:r>
      <w:r>
        <w:t xml:space="preserve">., U.S. District Court Judge </w:t>
      </w:r>
      <w:r w:rsidRPr="00F55727">
        <w:t>Joan B. Gottschall</w:t>
      </w:r>
      <w:r>
        <w:t xml:space="preserve">, United States District Court for Northern District of Illinois, Eastern Division, denied the City’s motion to dismiss. The </w:t>
      </w:r>
      <w:proofErr w:type="gramStart"/>
      <w:r>
        <w:t>Captain</w:t>
      </w:r>
      <w:proofErr w:type="gramEnd"/>
      <w:r>
        <w:t xml:space="preserve"> and other members of his crew briefly wore Trump masks while watch the inauguration on TV, and a photo was taken.  During the disciplinary interrogation, the </w:t>
      </w:r>
      <w:proofErr w:type="gramStart"/>
      <w:r>
        <w:t>Captain</w:t>
      </w:r>
      <w:proofErr w:type="gramEnd"/>
      <w:r>
        <w:t xml:space="preserve"> was asked “whether he supported Donald Trump during the recent presidential election.”</w:t>
      </w:r>
      <w:r w:rsidRPr="008367D7">
        <w:t xml:space="preserve"> </w:t>
      </w:r>
      <w:hyperlink r:id="rId2552" w:history="1">
        <w:r w:rsidRPr="00560ED8">
          <w:rPr>
            <w:rStyle w:val="Hyperlink"/>
          </w:rPr>
          <w:t>https://cases.justia.com/federal/district-courts/illinois/ilndce/1:2025cv10892/485962/24/0.pdf?ts=1769597667</w:t>
        </w:r>
      </w:hyperlink>
      <w:r>
        <w:t xml:space="preserve"> </w:t>
      </w:r>
    </w:p>
    <w:p w14:paraId="3516865F" w14:textId="77777777" w:rsidR="00C01200" w:rsidRDefault="00C01200" w:rsidP="00C01200">
      <w:pPr>
        <w:pStyle w:val="NoSpacing"/>
      </w:pPr>
    </w:p>
    <w:p w14:paraId="3C2DC0D4" w14:textId="77777777" w:rsidR="00C01200" w:rsidRDefault="00C01200" w:rsidP="00C01200">
      <w:pPr>
        <w:pStyle w:val="NoSpacing"/>
      </w:pPr>
      <w:r>
        <w:t xml:space="preserve">THE COURT HELD: </w:t>
      </w:r>
    </w:p>
    <w:p w14:paraId="424B6872" w14:textId="77777777" w:rsidR="00C01200" w:rsidRDefault="00C01200" w:rsidP="00C01200">
      <w:pPr>
        <w:pStyle w:val="NoSpacing"/>
      </w:pPr>
    </w:p>
    <w:p w14:paraId="61F2B8AD" w14:textId="77777777" w:rsidR="00C01200" w:rsidRDefault="00C01200" w:rsidP="00C01200">
      <w:pPr>
        <w:pStyle w:val="NoSpacing"/>
        <w:ind w:left="720"/>
      </w:pPr>
      <w:r>
        <w:t>“Koopman’s complaint alleges that on ‘January 20, 2025, Plaintiff and multiple other members of the Evanston Fire Department briefly donned Donald Trump masks</w:t>
      </w:r>
    </w:p>
    <w:p w14:paraId="37A3A7D4" w14:textId="77777777" w:rsidR="00C01200" w:rsidRDefault="00C01200" w:rsidP="00C01200">
      <w:pPr>
        <w:pStyle w:val="NoSpacing"/>
        <w:ind w:firstLine="720"/>
      </w:pPr>
      <w:r>
        <w:t>while watching the presidential inauguration on television.’ …Further, plaintiff</w:t>
      </w:r>
    </w:p>
    <w:p w14:paraId="1C6A47D6" w14:textId="77777777" w:rsidR="00C01200" w:rsidRDefault="00C01200" w:rsidP="00C01200">
      <w:pPr>
        <w:pStyle w:val="NoSpacing"/>
        <w:ind w:left="720"/>
      </w:pPr>
      <w:r>
        <w:t xml:space="preserve">alleges, ‘[a]t some point thereafter, someone posted an image of Plaintiff and several other members of the Evanston Fire Department wearing Donald Trump masks on an internet site.’… ‘When wearing the mask,’ plaintiff alleges, he ‘did not make any political statement, or express any political views.’… </w:t>
      </w:r>
    </w:p>
    <w:p w14:paraId="34528BB9" w14:textId="77777777" w:rsidR="00C01200" w:rsidRDefault="00C01200" w:rsidP="00C01200">
      <w:pPr>
        <w:pStyle w:val="NoSpacing"/>
        <w:ind w:left="720"/>
      </w:pPr>
    </w:p>
    <w:p w14:paraId="5DC70DC6" w14:textId="77777777" w:rsidR="00C01200" w:rsidRDefault="00C01200" w:rsidP="00C01200">
      <w:pPr>
        <w:pStyle w:val="NoSpacing"/>
        <w:ind w:left="720"/>
      </w:pPr>
      <w:r>
        <w:t>‘On or about January 23, 2025, Plaintiff received written notification that he was being subjected to a disciplinary investigation,’ which required his attendance at a ‘disciplinary</w:t>
      </w:r>
    </w:p>
    <w:p w14:paraId="38684F67" w14:textId="77777777" w:rsidR="00C01200" w:rsidRDefault="00C01200" w:rsidP="00C01200">
      <w:pPr>
        <w:pStyle w:val="NoSpacing"/>
        <w:ind w:left="720"/>
      </w:pPr>
      <w:r>
        <w:t xml:space="preserve">interrogation.’… Plaintiff alleges that during the interrogation, ‘Defendant [Fire Chief Paul] </w:t>
      </w:r>
      <w:proofErr w:type="spellStart"/>
      <w:r>
        <w:t>Polep</w:t>
      </w:r>
      <w:proofErr w:type="spellEnd"/>
      <w:r>
        <w:t xml:space="preserve"> ordered Plaintiff to answer all questions,’ including ‘whether he supported Donald Trump during the recent presidential election.’… After being ‘required to reveal that he was a supporter of Donald Trump,’ plaintiff ‘was subjected to a seven (7) shift suspension by Defendant </w:t>
      </w:r>
      <w:proofErr w:type="spellStart"/>
      <w:r>
        <w:t>Polep</w:t>
      </w:r>
      <w:proofErr w:type="spellEnd"/>
      <w:r>
        <w:t xml:space="preserve">.’ …The suspension, plaintiff alleges, ‘was motivated by a desire to punish Plaintiff for his political support of a presidential candidate [who] was unpopular in the City of Evanston.’ … Koopman lost wages </w:t>
      </w:r>
      <w:proofErr w:type="gramStart"/>
      <w:r>
        <w:t>as a result of</w:t>
      </w:r>
      <w:proofErr w:type="gramEnd"/>
      <w:r>
        <w:t xml:space="preserve"> the suspension.</w:t>
      </w:r>
    </w:p>
    <w:p w14:paraId="14BB0088" w14:textId="77777777" w:rsidR="00C01200" w:rsidRDefault="00C01200" w:rsidP="00C01200">
      <w:pPr>
        <w:pStyle w:val="NoSpacing"/>
        <w:ind w:left="720"/>
      </w:pPr>
    </w:p>
    <w:p w14:paraId="65101A46" w14:textId="77777777" w:rsidR="00C01200" w:rsidRDefault="00C01200" w:rsidP="00C01200">
      <w:pPr>
        <w:pStyle w:val="NoSpacing"/>
        <w:ind w:left="720"/>
      </w:pPr>
      <w:r>
        <w:t>***</w:t>
      </w:r>
    </w:p>
    <w:p w14:paraId="35CCEA76" w14:textId="77777777" w:rsidR="00C01200" w:rsidRDefault="00C01200" w:rsidP="00C01200">
      <w:pPr>
        <w:pStyle w:val="NoSpacing"/>
        <w:ind w:firstLine="720"/>
      </w:pPr>
      <w:r>
        <w:t>The court need not decide whether the complaint’s allegation of the reason for plaintiff’s</w:t>
      </w:r>
    </w:p>
    <w:p w14:paraId="114B9473" w14:textId="77777777" w:rsidR="00C01200" w:rsidRDefault="00C01200" w:rsidP="00C01200">
      <w:pPr>
        <w:pStyle w:val="NoSpacing"/>
        <w:ind w:firstLine="720"/>
      </w:pPr>
      <w:r>
        <w:t>discipline, standing alone, would be considered plausible because the transcript of the</w:t>
      </w:r>
    </w:p>
    <w:p w14:paraId="1B8AC29E" w14:textId="77777777" w:rsidR="00C01200" w:rsidRDefault="00C01200" w:rsidP="00C01200">
      <w:pPr>
        <w:pStyle w:val="NoSpacing"/>
        <w:ind w:left="720"/>
      </w:pPr>
      <w:proofErr w:type="gramStart"/>
      <w:r>
        <w:t>disciplinary</w:t>
      </w:r>
      <w:proofErr w:type="gramEnd"/>
      <w:r>
        <w:t xml:space="preserve"> interrogation offered by defendants provides evidence that plaintiff’s political affiliation was explicitly considered before he was disciplined. Plaintiff’s “support” of Donald Trump, which as far as the complaint alleges was limited to his personal beliefs and his vote, is constitutionally protected…. Because plaintiff has alleged a plausible First Amendment retaliation claim, the motion to dismiss for failure to allege that the plaintiff engaged in conduct protected by the First Amendment is denied.</w:t>
      </w:r>
    </w:p>
    <w:p w14:paraId="3558DBC6" w14:textId="77777777" w:rsidR="00C01200" w:rsidRDefault="00C01200" w:rsidP="00C01200">
      <w:pPr>
        <w:pStyle w:val="NoSpacing"/>
        <w:ind w:left="720"/>
      </w:pPr>
    </w:p>
    <w:p w14:paraId="2CF4137F" w14:textId="77777777" w:rsidR="00C01200" w:rsidRDefault="00C01200" w:rsidP="00C01200">
      <w:pPr>
        <w:pStyle w:val="NoSpacing"/>
        <w:ind w:left="720"/>
      </w:pPr>
      <w:r>
        <w:t>***</w:t>
      </w:r>
    </w:p>
    <w:p w14:paraId="2A9CBD70" w14:textId="77777777" w:rsidR="00C01200" w:rsidRDefault="00C01200" w:rsidP="00C01200">
      <w:pPr>
        <w:pStyle w:val="NoSpacing"/>
        <w:ind w:firstLine="720"/>
      </w:pPr>
      <w:r>
        <w:t>With a few exceptions like the need for governmental efficiency or effectiveness (which</w:t>
      </w:r>
    </w:p>
    <w:p w14:paraId="5A1C4468" w14:textId="77777777" w:rsidR="00C01200" w:rsidRDefault="00C01200" w:rsidP="00C01200">
      <w:pPr>
        <w:pStyle w:val="NoSpacing"/>
        <w:ind w:left="720"/>
      </w:pPr>
      <w:r>
        <w:t>would not appear to apply to plaintiff’s actions in the privacy of his conscience or the sanctity of the voting booth), a government employer may not discipline an employee because the employee supports a particular political candidate. See Heffernan v. City of Paterson, 578 U.S. 266, 270 (2016).”</w:t>
      </w:r>
    </w:p>
    <w:p w14:paraId="09793801" w14:textId="77777777" w:rsidR="00C01200" w:rsidRDefault="00C01200" w:rsidP="00C01200">
      <w:pPr>
        <w:pStyle w:val="NoSpacing"/>
        <w:ind w:left="720"/>
      </w:pPr>
    </w:p>
    <w:p w14:paraId="0A663943" w14:textId="77777777" w:rsidR="00C01200" w:rsidRDefault="00C01200" w:rsidP="00C01200">
      <w:pPr>
        <w:pStyle w:val="NoSpacing"/>
        <w:rPr>
          <w:b/>
          <w:bCs/>
        </w:rPr>
      </w:pPr>
      <w:r>
        <w:rPr>
          <w:b/>
        </w:rPr>
        <w:t xml:space="preserve">Legal lesson learned: Captain’s conduct was </w:t>
      </w:r>
      <w:proofErr w:type="gramStart"/>
      <w:r>
        <w:rPr>
          <w:b/>
        </w:rPr>
        <w:t>stupid, but</w:t>
      </w:r>
      <w:proofErr w:type="gramEnd"/>
      <w:r>
        <w:rPr>
          <w:b/>
        </w:rPr>
        <w:t xml:space="preserve"> avoid asking employees about their political views in the disciplinary process.  </w:t>
      </w:r>
    </w:p>
    <w:p w14:paraId="0EAF69FA" w14:textId="77777777" w:rsidR="00C01200" w:rsidRDefault="00C01200" w:rsidP="00C01200">
      <w:pPr>
        <w:pStyle w:val="NoSpacing"/>
        <w:rPr>
          <w:b/>
          <w:bCs/>
        </w:rPr>
      </w:pPr>
    </w:p>
    <w:p w14:paraId="7A815CDB" w14:textId="77777777" w:rsidR="00C01200" w:rsidRDefault="00C01200" w:rsidP="00C01200">
      <w:pPr>
        <w:pStyle w:val="NoSpacing"/>
        <w:ind w:left="720"/>
      </w:pPr>
      <w:r w:rsidRPr="00FF0890">
        <w:t>Note:</w:t>
      </w:r>
      <w:r>
        <w:t xml:space="preserve"> The U.S. Supreme Court in </w:t>
      </w:r>
      <w:r w:rsidRPr="00FF0890">
        <w:t>Heffernan v. City of Paterson, 578 U.S. 266, 270 (2016)</w:t>
      </w:r>
      <w:r>
        <w:t xml:space="preserve"> held:</w:t>
      </w:r>
    </w:p>
    <w:p w14:paraId="4FD430DF" w14:textId="77777777" w:rsidR="00C01200" w:rsidRPr="00FF0890" w:rsidRDefault="00C01200" w:rsidP="00C01200">
      <w:pPr>
        <w:pStyle w:val="NoSpacing"/>
        <w:ind w:left="720"/>
      </w:pPr>
      <w:r>
        <w:t>“</w:t>
      </w:r>
      <w:r w:rsidRPr="00E21DE5">
        <w:t xml:space="preserve">In this case a government official </w:t>
      </w:r>
      <w:r>
        <w:t xml:space="preserve">[police chief] </w:t>
      </w:r>
      <w:r w:rsidRPr="00E21DE5">
        <w:t>demoted an employee</w:t>
      </w:r>
      <w:r>
        <w:t xml:space="preserve"> [detective demoted to patrol officer]</w:t>
      </w:r>
      <w:r w:rsidRPr="00E21DE5">
        <w:t xml:space="preserve"> because the official believed, but </w:t>
      </w:r>
      <w:r w:rsidRPr="00E21DE5">
        <w:rPr>
          <w:i/>
          <w:iCs/>
        </w:rPr>
        <w:t>incorrectly</w:t>
      </w:r>
      <w:r w:rsidRPr="00E21DE5">
        <w:t xml:space="preserve"> believed, that the employee had supported a particular candidate for mayor. The question is whether the official’s factual mistake makes a critical legal difference. Even though the employee had not in fact engaged in protected political activity, did his demotion </w:t>
      </w:r>
      <w:r>
        <w:t>‘</w:t>
      </w:r>
      <w:r w:rsidRPr="00E21DE5">
        <w:t>deprive</w:t>
      </w:r>
      <w:r>
        <w:t>’</w:t>
      </w:r>
      <w:r w:rsidRPr="00E21DE5">
        <w:t xml:space="preserve"> him of a </w:t>
      </w:r>
      <w:r>
        <w:t>‘</w:t>
      </w:r>
      <w:r w:rsidRPr="00E21DE5">
        <w:t>right . . . secured by the Constitution</w:t>
      </w:r>
      <w:r>
        <w:t>’</w:t>
      </w:r>
      <w:r w:rsidRPr="00E21DE5">
        <w:t>? 42 U. S. C. §1983. We hold that it did.</w:t>
      </w:r>
      <w:r>
        <w:t xml:space="preserve">” </w:t>
      </w:r>
      <w:hyperlink r:id="rId2553" w:history="1">
        <w:r w:rsidRPr="00560ED8">
          <w:rPr>
            <w:rStyle w:val="Hyperlink"/>
          </w:rPr>
          <w:t>https://supreme.justia.com/cases/federal/us/578/14-1280/</w:t>
        </w:r>
      </w:hyperlink>
      <w:r>
        <w:t xml:space="preserve"> </w:t>
      </w:r>
    </w:p>
    <w:p w14:paraId="1A63C9D5" w14:textId="77777777" w:rsidR="00C01200" w:rsidRDefault="00C01200" w:rsidP="00C01200">
      <w:pPr>
        <w:pStyle w:val="NoSpacing"/>
      </w:pPr>
    </w:p>
    <w:p w14:paraId="0142BCA9" w14:textId="77777777" w:rsidR="00C01200" w:rsidRDefault="00C01200" w:rsidP="00C01200">
      <w:pPr>
        <w:rPr>
          <w:b/>
        </w:rPr>
      </w:pPr>
    </w:p>
    <w:p w14:paraId="423CD073" w14:textId="77777777" w:rsidR="00C01200" w:rsidRDefault="00C01200" w:rsidP="002F7727">
      <w:pPr>
        <w:pStyle w:val="NoSpacing"/>
        <w:rPr>
          <w:rFonts w:ascii="Arial Black" w:hAnsi="Arial Black"/>
          <w:b/>
          <w:sz w:val="24"/>
          <w:szCs w:val="24"/>
        </w:rPr>
      </w:pPr>
    </w:p>
    <w:p w14:paraId="507A821A" w14:textId="77777777" w:rsidR="00D03249" w:rsidRDefault="00D03249" w:rsidP="002F7727">
      <w:pPr>
        <w:pStyle w:val="NoSpacing"/>
        <w:rPr>
          <w:rFonts w:ascii="Arial Black" w:hAnsi="Arial Black"/>
          <w:b/>
          <w:sz w:val="24"/>
          <w:szCs w:val="24"/>
        </w:rPr>
      </w:pPr>
    </w:p>
    <w:p w14:paraId="0C46DBFB" w14:textId="77777777" w:rsidR="00D03249" w:rsidRDefault="00D03249" w:rsidP="002F7727">
      <w:pPr>
        <w:pStyle w:val="NoSpacing"/>
        <w:rPr>
          <w:rFonts w:ascii="Arial Black" w:hAnsi="Arial Black"/>
          <w:b/>
          <w:sz w:val="24"/>
          <w:szCs w:val="24"/>
        </w:rPr>
      </w:pPr>
    </w:p>
    <w:p w14:paraId="6FBB0CE9" w14:textId="06DDF684" w:rsidR="00745B4B" w:rsidRDefault="00745B4B" w:rsidP="002F7727">
      <w:pPr>
        <w:pStyle w:val="NoSpacing"/>
        <w:rPr>
          <w:rFonts w:ascii="Arial Black" w:hAnsi="Arial Black"/>
          <w:b/>
          <w:sz w:val="24"/>
          <w:szCs w:val="24"/>
        </w:rPr>
      </w:pPr>
      <w:r>
        <w:rPr>
          <w:rFonts w:ascii="Arial Black" w:hAnsi="Arial Black"/>
          <w:b/>
          <w:sz w:val="24"/>
          <w:szCs w:val="24"/>
        </w:rPr>
        <w:t>16-146</w:t>
      </w:r>
    </w:p>
    <w:p w14:paraId="45A40338" w14:textId="77777777" w:rsidR="00745B4B" w:rsidRDefault="00745B4B" w:rsidP="002F7727">
      <w:pPr>
        <w:pStyle w:val="NoSpacing"/>
        <w:rPr>
          <w:rFonts w:ascii="Arial Black" w:hAnsi="Arial Black"/>
          <w:b/>
          <w:sz w:val="24"/>
          <w:szCs w:val="24"/>
        </w:rPr>
      </w:pPr>
    </w:p>
    <w:p w14:paraId="1FB1EA57" w14:textId="77777777" w:rsidR="00BA59D3" w:rsidRPr="002B3436" w:rsidRDefault="00BA59D3" w:rsidP="00BA59D3">
      <w:pPr>
        <w:rPr>
          <w:rFonts w:ascii="Arial Black" w:hAnsi="Arial Black"/>
          <w:b/>
          <w:sz w:val="28"/>
          <w:szCs w:val="28"/>
        </w:rPr>
      </w:pPr>
      <w:r>
        <w:rPr>
          <w:rFonts w:ascii="Arial Black" w:hAnsi="Arial Black"/>
          <w:b/>
          <w:sz w:val="28"/>
          <w:szCs w:val="28"/>
        </w:rPr>
        <w:t>NV: CITY MGR FIRED – 2022 VIDEO FIRE CHIEF RESIGNING</w:t>
      </w:r>
    </w:p>
    <w:p w14:paraId="0777C8C0" w14:textId="77777777" w:rsidR="00BA59D3" w:rsidRDefault="00BA59D3" w:rsidP="00BA59D3">
      <w:r>
        <w:t xml:space="preserve">On January 22, 2026, in </w:t>
      </w:r>
      <w:r w:rsidRPr="008674C8">
        <w:rPr>
          <w:u w:val="single"/>
        </w:rPr>
        <w:t>Neil C. Krutz v. The City of Sparks</w:t>
      </w:r>
      <w:r>
        <w:t xml:space="preserve">, U.S. District Court Judge Miranda M. Du, United States District Court for the District of Nevada, held that the terminated City Manager lawsuit may proceed with his lawsuit on some claims, including that he was fired on September 5, </w:t>
      </w:r>
      <w:proofErr w:type="gramStart"/>
      <w:r>
        <w:t>2023</w:t>
      </w:r>
      <w:proofErr w:type="gramEnd"/>
      <w:r>
        <w:t xml:space="preserve"> in violation of his </w:t>
      </w:r>
      <w:r w:rsidRPr="00FC1E14">
        <w:t>procedural due process protections</w:t>
      </w:r>
      <w:r>
        <w:t xml:space="preserve">. His contract included a provision allowing termination “for cause”). On December 5, 2022, the fire chief resigned over pending drug charge, and the City Manager made a video reporting the resignation.   In 2024, the city settled with the former chief about the public leak of the video for $381,000.   </w:t>
      </w:r>
      <w:hyperlink r:id="rId2554" w:history="1">
        <w:r w:rsidRPr="003E5AED">
          <w:rPr>
            <w:rStyle w:val="Hyperlink"/>
          </w:rPr>
          <w:t>https://cases.justia.com/federal/district-courts/nevada/nvdce/3:2025cv00159/173760/49/0.pdf</w:t>
        </w:r>
      </w:hyperlink>
    </w:p>
    <w:p w14:paraId="195D299F" w14:textId="77777777" w:rsidR="00BA59D3" w:rsidRDefault="00BA59D3" w:rsidP="00BA59D3">
      <w:r>
        <w:t>THE COURT HELD:</w:t>
      </w:r>
    </w:p>
    <w:p w14:paraId="26127142" w14:textId="77777777" w:rsidR="00BA59D3" w:rsidRDefault="00BA59D3" w:rsidP="00BA59D3">
      <w:pPr>
        <w:ind w:left="720"/>
      </w:pPr>
      <w:r>
        <w:t>Footnote 5:  “</w:t>
      </w:r>
      <w:r w:rsidRPr="00270580">
        <w:t>The parties dispute whether Krutz publicly disseminated the video statement or whether it was instead leaked to the public</w:t>
      </w:r>
      <w:r>
        <w:t xml:space="preserve">…. </w:t>
      </w:r>
      <w:r w:rsidRPr="00270580">
        <w:t>Defendants contend that Krutz posted the video on YouTube</w:t>
      </w:r>
      <w:r>
        <w:t xml:space="preserve"> …</w:t>
      </w:r>
      <w:r w:rsidRPr="00270580">
        <w:t xml:space="preserve"> whereas Krutz asserts that the video was shared privately via email with only the City of Sparks Fire Department employees, </w:t>
      </w:r>
      <w:r w:rsidRPr="00270580">
        <w:lastRenderedPageBreak/>
        <w:t xml:space="preserve">Mayor Lawson, Councilmembers Abbott, </w:t>
      </w:r>
      <w:proofErr w:type="spellStart"/>
      <w:r w:rsidRPr="00270580">
        <w:t>VanderWell</w:t>
      </w:r>
      <w:proofErr w:type="spellEnd"/>
      <w:r w:rsidRPr="00270580">
        <w:t>, Anderson, Bybee, and Dahir, and Assistant City Managers Alyson McCormick and John Martini</w:t>
      </w:r>
      <w:r>
        <w:t>.”</w:t>
      </w:r>
    </w:p>
    <w:p w14:paraId="2C8FC92B" w14:textId="77777777" w:rsidR="00BA59D3" w:rsidRPr="00270580" w:rsidRDefault="00BA59D3" w:rsidP="00BA59D3">
      <w:pPr>
        <w:rPr>
          <w:b/>
          <w:bCs/>
        </w:rPr>
      </w:pPr>
      <w:r>
        <w:rPr>
          <w:b/>
        </w:rPr>
        <w:t xml:space="preserve">Legal Lesson Learned: When a Fire Chief or other senior manager resigns, be very cautious in communicating info beyond the fact that there was a resignation; consult with legal counsel. </w:t>
      </w:r>
    </w:p>
    <w:p w14:paraId="23254872" w14:textId="77777777" w:rsidR="00BA59D3" w:rsidRPr="0059689A" w:rsidRDefault="00BA59D3" w:rsidP="00BA59D3">
      <w:pPr>
        <w:ind w:left="720"/>
        <w:rPr>
          <w:bCs/>
        </w:rPr>
      </w:pPr>
      <w:r>
        <w:t xml:space="preserve">Note: See September 23, </w:t>
      </w:r>
      <w:proofErr w:type="gramStart"/>
      <w:r>
        <w:t>2024</w:t>
      </w:r>
      <w:proofErr w:type="gramEnd"/>
      <w:r>
        <w:t xml:space="preserve"> article and TV Video: “</w:t>
      </w:r>
      <w:r w:rsidRPr="0059689A">
        <w:t>Former Sparks Fire Chief pleads no contest to drug-related charge</w:t>
      </w:r>
      <w:r>
        <w:t xml:space="preserve">.” </w:t>
      </w:r>
      <w:hyperlink r:id="rId2555" w:history="1">
        <w:r w:rsidRPr="00700587">
          <w:rPr>
            <w:rStyle w:val="Hyperlink"/>
          </w:rPr>
          <w:t>https://www.2news.com/news/local/former-sparks-fire-chief-pleads-no-contest-to-drug-related-charge/article_484d699c-7023-11ed-b795-ff8664a2c2d9.html</w:t>
        </w:r>
      </w:hyperlink>
      <w:r>
        <w:t xml:space="preserve"> </w:t>
      </w:r>
    </w:p>
    <w:p w14:paraId="6858FE60" w14:textId="77777777" w:rsidR="00BA59D3" w:rsidRDefault="00BA59D3" w:rsidP="00BA59D3">
      <w:pPr>
        <w:pStyle w:val="NoSpacing"/>
        <w:ind w:left="720"/>
      </w:pPr>
      <w:r>
        <w:t>“</w:t>
      </w:r>
      <w:r w:rsidRPr="00793EF3">
        <w:t>Former Sparks Fire Chief Mark Lawson pleaded no-contest last month to a drug-related charge brought against him in Dec. 2022.</w:t>
      </w:r>
      <w:r>
        <w:t xml:space="preserve"> </w:t>
      </w:r>
      <w:r w:rsidRPr="00793EF3">
        <w:t xml:space="preserve">Included in the court’s judgement, Lawson is guilty of conspiracy to possess a drug that may not be introduced into interstate commerce, and he will have to pay </w:t>
      </w:r>
      <w:proofErr w:type="gramStart"/>
      <w:r w:rsidRPr="00793EF3">
        <w:t>a $2,000 fine and complete eight hours of substance abuse education</w:t>
      </w:r>
      <w:proofErr w:type="gramEnd"/>
      <w:r w:rsidRPr="00793EF3">
        <w:t>.</w:t>
      </w:r>
      <w:r>
        <w:t xml:space="preserve"> </w:t>
      </w:r>
      <w:r w:rsidRPr="00793EF3">
        <w:t>Earlier this year, the City of Sparks paid Lawson $381,000 to settle a lawsuit over his firing. His attorneys argued that he was unfairly fired for pending criminal charges, and that the City’s actions damaged Lawson’s reputation and ability to seek reemployment.</w:t>
      </w:r>
      <w:r>
        <w:t>”</w:t>
      </w:r>
    </w:p>
    <w:p w14:paraId="39239539" w14:textId="77777777" w:rsidR="00BA59D3" w:rsidRDefault="00BA59D3" w:rsidP="00BA59D3">
      <w:pPr>
        <w:pStyle w:val="NoSpacing"/>
        <w:ind w:left="720"/>
      </w:pPr>
    </w:p>
    <w:p w14:paraId="25207836" w14:textId="77777777" w:rsidR="00BA59D3" w:rsidRDefault="00BA59D3" w:rsidP="00BA59D3">
      <w:pPr>
        <w:ind w:left="720"/>
      </w:pPr>
      <w:r w:rsidRPr="00574E88">
        <w:t>See also: Sept. 5, 2024</w:t>
      </w:r>
      <w:r>
        <w:t xml:space="preserve">, </w:t>
      </w:r>
      <w:r w:rsidRPr="00574E88">
        <w:t xml:space="preserve">Sparks City Council Special Meeting. </w:t>
      </w:r>
      <w:hyperlink r:id="rId2556" w:history="1">
        <w:r w:rsidRPr="00700587">
          <w:rPr>
            <w:rStyle w:val="Hyperlink"/>
          </w:rPr>
          <w:t>https://www.youtube.com/watch?v=5NXiLsCyQwc</w:t>
        </w:r>
      </w:hyperlink>
      <w:r>
        <w:t xml:space="preserve">. </w:t>
      </w:r>
      <w:r w:rsidRPr="00574E88">
        <w:t xml:space="preserve">IAFF President calls for termination of City Manager (at 2:07) </w:t>
      </w:r>
    </w:p>
    <w:p w14:paraId="69B0748D" w14:textId="77777777" w:rsidR="00BA59D3" w:rsidRDefault="00BA59D3" w:rsidP="00BA59D3">
      <w:pPr>
        <w:ind w:left="720"/>
        <w:rPr>
          <w:bCs/>
        </w:rPr>
      </w:pPr>
      <w:r>
        <w:t xml:space="preserve">See also: May 9, 2023: City Manager Survives Termination Vote [3 to 2]:  </w:t>
      </w:r>
      <w:hyperlink r:id="rId2557" w:history="1">
        <w:r w:rsidRPr="00700587">
          <w:rPr>
            <w:rStyle w:val="Hyperlink"/>
          </w:rPr>
          <w:t>https://www.youtube.com/watch?v=RmdIuKRFVuU</w:t>
        </w:r>
      </w:hyperlink>
      <w:r>
        <w:t xml:space="preserve"> </w:t>
      </w:r>
    </w:p>
    <w:p w14:paraId="31742342" w14:textId="77777777" w:rsidR="00BA59D3" w:rsidRDefault="00BA59D3" w:rsidP="00BA59D3">
      <w:pPr>
        <w:rPr>
          <w:rFonts w:ascii="Arial Black" w:hAnsi="Arial Black"/>
          <w:b/>
          <w:sz w:val="28"/>
          <w:szCs w:val="28"/>
        </w:rPr>
      </w:pPr>
    </w:p>
    <w:p w14:paraId="17AC9864" w14:textId="77777777" w:rsidR="00745B4B" w:rsidRDefault="00745B4B" w:rsidP="002F7727">
      <w:pPr>
        <w:pStyle w:val="NoSpacing"/>
        <w:rPr>
          <w:rFonts w:ascii="Arial Black" w:hAnsi="Arial Black"/>
          <w:b/>
          <w:sz w:val="24"/>
          <w:szCs w:val="24"/>
        </w:rPr>
      </w:pPr>
    </w:p>
    <w:p w14:paraId="5ED2FB86" w14:textId="77777777" w:rsidR="00745B4B" w:rsidRDefault="00745B4B" w:rsidP="002F7727">
      <w:pPr>
        <w:pStyle w:val="NoSpacing"/>
        <w:rPr>
          <w:rFonts w:ascii="Arial Black" w:hAnsi="Arial Black"/>
          <w:b/>
          <w:sz w:val="24"/>
          <w:szCs w:val="24"/>
        </w:rPr>
      </w:pPr>
    </w:p>
    <w:p w14:paraId="59215DCB" w14:textId="77777777" w:rsidR="00745B4B" w:rsidRDefault="00745B4B" w:rsidP="002F7727">
      <w:pPr>
        <w:pStyle w:val="NoSpacing"/>
        <w:rPr>
          <w:rFonts w:ascii="Arial Black" w:hAnsi="Arial Black"/>
          <w:b/>
          <w:sz w:val="24"/>
          <w:szCs w:val="24"/>
        </w:rPr>
      </w:pPr>
    </w:p>
    <w:p w14:paraId="78A4212F" w14:textId="5F08368B" w:rsidR="00A66F20" w:rsidRDefault="00A66F20" w:rsidP="002F7727">
      <w:pPr>
        <w:pStyle w:val="NoSpacing"/>
        <w:rPr>
          <w:rFonts w:ascii="Arial Black" w:hAnsi="Arial Black"/>
          <w:b/>
          <w:sz w:val="24"/>
          <w:szCs w:val="24"/>
        </w:rPr>
      </w:pPr>
      <w:r>
        <w:rPr>
          <w:rFonts w:ascii="Arial Black" w:hAnsi="Arial Black"/>
          <w:b/>
          <w:sz w:val="24"/>
          <w:szCs w:val="24"/>
        </w:rPr>
        <w:t>16-145</w:t>
      </w:r>
    </w:p>
    <w:p w14:paraId="60F6E9A0" w14:textId="77777777" w:rsidR="00745B4B" w:rsidRDefault="00745B4B" w:rsidP="002F7727">
      <w:pPr>
        <w:pStyle w:val="NoSpacing"/>
        <w:rPr>
          <w:rFonts w:ascii="Arial Black" w:hAnsi="Arial Black"/>
          <w:b/>
          <w:sz w:val="24"/>
          <w:szCs w:val="24"/>
        </w:rPr>
      </w:pPr>
    </w:p>
    <w:p w14:paraId="06A161C9" w14:textId="77777777" w:rsidR="00745B4B" w:rsidRDefault="00745B4B" w:rsidP="00745B4B">
      <w:pPr>
        <w:rPr>
          <w:rFonts w:ascii="Arial Black" w:hAnsi="Arial Black"/>
          <w:b/>
          <w:sz w:val="28"/>
          <w:szCs w:val="28"/>
        </w:rPr>
      </w:pPr>
      <w:r>
        <w:rPr>
          <w:rFonts w:ascii="Arial Black" w:hAnsi="Arial Black"/>
          <w:b/>
          <w:sz w:val="28"/>
          <w:szCs w:val="28"/>
        </w:rPr>
        <w:t xml:space="preserve">OH: CHIEF FIRED – NO FED CT TRO / STATE CT CASE  </w:t>
      </w:r>
    </w:p>
    <w:p w14:paraId="783106BA" w14:textId="77777777" w:rsidR="00745B4B" w:rsidRDefault="00745B4B" w:rsidP="00745B4B">
      <w:pPr>
        <w:rPr>
          <w:bCs/>
        </w:rPr>
      </w:pPr>
      <w:r w:rsidRPr="00967F0E">
        <w:t xml:space="preserve">On January 7, 2026, </w:t>
      </w:r>
      <w:r>
        <w:t xml:space="preserve">in </w:t>
      </w:r>
      <w:r w:rsidRPr="00793D2D">
        <w:rPr>
          <w:u w:val="single"/>
        </w:rPr>
        <w:t>Jeremy Betsa v. City of Avon Lake, Ohio</w:t>
      </w:r>
      <w:r>
        <w:rPr>
          <w:u w:val="single"/>
        </w:rPr>
        <w:t xml:space="preserve">, IAFF Local </w:t>
      </w:r>
      <w:r w:rsidRPr="00007CC8">
        <w:rPr>
          <w:u w:val="single"/>
        </w:rPr>
        <w:t>1361</w:t>
      </w:r>
      <w:r>
        <w:rPr>
          <w:u w:val="single"/>
        </w:rPr>
        <w:t xml:space="preserve">, et al., </w:t>
      </w:r>
      <w:r>
        <w:t xml:space="preserve"> U.S. Magistrate Judge James E. Grimes, Jr., issued a Report and Recommendation to U.S. District Court Judge Donald C. Nugent, United States District Court for the Northern District of Ohio, Eastern Division, recommending the Court deny Jeremy Betsa’s December 15, 2025 “Emergency Motion For A Temporary Restraining Order.”  He had a pending lawsuit in </w:t>
      </w:r>
      <w:r w:rsidRPr="00030F83">
        <w:t>Lorain County Court of Common Plea</w:t>
      </w:r>
      <w:r>
        <w:t xml:space="preserve">, also seeking a TRO (been suspended with pay since August 2025; he was ultimately fired December 31, 2025 </w:t>
      </w:r>
      <w:r w:rsidRPr="001240F1">
        <w:t>for “workplace conduct and leadership</w:t>
      </w:r>
      <w:r>
        <w:t xml:space="preserve">” issues),  Federal courts follow “abstention” doctrine where they decline to intervene in matters already pending in state court. He can appeal his termination to the City’s Civil Service Commission. </w:t>
      </w:r>
      <w:hyperlink r:id="rId2558" w:history="1">
        <w:r w:rsidRPr="00091B3B">
          <w:rPr>
            <w:rStyle w:val="Hyperlink"/>
          </w:rPr>
          <w:t>https://public.fastcase.com/Jhe1Qn%2BmJndQYQU6z%2FeNmypmOFzJk4IjV67xdVBvH10%2BbioR%2BE7hDrSDKPa8oeXy4gUzK0dNFlYVAdtPS9qapAikGtcKVY%2BDC%2Fxrd0A1wWk%3D?utm_medium=email&amp;_hsenc=p2ANqtz--Rb3GwipZHtCJJMLiUWpVHk6Q4w73GSXOI_LD5Raf1axu72BnOP1L2YEQ80fNqXbpHCp329zbZOj3hD1ZT_BRNOO8R9w&amp;_hsmi=226712652&amp;utm_content=226712652&amp;utm_source=hs_email</w:t>
        </w:r>
      </w:hyperlink>
      <w:r>
        <w:t xml:space="preserve"> </w:t>
      </w:r>
    </w:p>
    <w:p w14:paraId="0BDBFBF1" w14:textId="77777777" w:rsidR="00745B4B" w:rsidRDefault="00745B4B" w:rsidP="00745B4B">
      <w:pPr>
        <w:rPr>
          <w:rFonts w:eastAsia="Times New Roman"/>
          <w:bCs/>
        </w:rPr>
      </w:pPr>
      <w:r>
        <w:t>THE MAGISTRATE WROTE:</w:t>
      </w:r>
      <w:r w:rsidRPr="00CE0948">
        <w:rPr>
          <w:rFonts w:eastAsia="Times New Roman"/>
        </w:rPr>
        <w:t xml:space="preserve"> </w:t>
      </w:r>
    </w:p>
    <w:p w14:paraId="115D1576" w14:textId="77777777" w:rsidR="00745B4B" w:rsidRDefault="00745B4B" w:rsidP="00745B4B">
      <w:pPr>
        <w:ind w:left="720"/>
        <w:rPr>
          <w:rFonts w:eastAsia="Times New Roman"/>
          <w:bCs/>
        </w:rPr>
      </w:pPr>
      <w:r>
        <w:rPr>
          <w:rFonts w:eastAsia="Times New Roman"/>
        </w:rPr>
        <w:t>“</w:t>
      </w:r>
      <w:r w:rsidRPr="00416673">
        <w:rPr>
          <w:rFonts w:eastAsia="Times New Roman"/>
        </w:rPr>
        <w:t>The District Court referred Betsa's Motion to me on January 2, 2026. Doc. 28. That day, I set a hearing by videoconference for January 6</w:t>
      </w:r>
      <w:r>
        <w:rPr>
          <w:rFonts w:eastAsia="Times New Roman"/>
        </w:rPr>
        <w:t xml:space="preserve">…. </w:t>
      </w:r>
      <w:r w:rsidRPr="009E6596">
        <w:rPr>
          <w:rFonts w:eastAsia="Times New Roman"/>
        </w:rPr>
        <w:t xml:space="preserve">To recap, Betsa has two lawsuits pending related to the same factual </w:t>
      </w:r>
      <w:proofErr w:type="gramStart"/>
      <w:r w:rsidRPr="009E6596">
        <w:rPr>
          <w:rFonts w:eastAsia="Times New Roman"/>
        </w:rPr>
        <w:t>matter—</w:t>
      </w:r>
      <w:proofErr w:type="gramEnd"/>
      <w:r w:rsidRPr="009E6596">
        <w:rPr>
          <w:rFonts w:eastAsia="Times New Roman"/>
        </w:rPr>
        <w:t xml:space="preserve">one in state court and one in federal court. Also pending in both cases are Betsa's TRO motions. The heart of </w:t>
      </w:r>
      <w:r w:rsidRPr="009E6596">
        <w:rPr>
          <w:rFonts w:eastAsia="Times New Roman"/>
        </w:rPr>
        <w:lastRenderedPageBreak/>
        <w:t>Betsa's lawsuits, and his TRO motions, are his claims that the City suspended him, and later terminated him, in violation of Ohio law and his federal due process rights. At the TRO hearing, Betsa explained that his Ohio lawsuit focuses on his state-law claims, whereas his federal lawsuit focuses on federal claims.</w:t>
      </w:r>
    </w:p>
    <w:p w14:paraId="3B0CF93A" w14:textId="77777777" w:rsidR="00745B4B" w:rsidRDefault="00745B4B" w:rsidP="00745B4B">
      <w:pPr>
        <w:ind w:left="720"/>
        <w:rPr>
          <w:rFonts w:eastAsia="Times New Roman"/>
          <w:bCs/>
        </w:rPr>
      </w:pPr>
      <w:r>
        <w:rPr>
          <w:rFonts w:eastAsia="Times New Roman"/>
        </w:rPr>
        <w:t>***</w:t>
      </w:r>
    </w:p>
    <w:p w14:paraId="7BC20A19" w14:textId="77777777" w:rsidR="00745B4B" w:rsidRPr="00CE0948" w:rsidRDefault="00745B4B" w:rsidP="00745B4B">
      <w:pPr>
        <w:ind w:left="720"/>
      </w:pPr>
      <w:r w:rsidRPr="00CE0948">
        <w:t xml:space="preserve">Betsa hasn't shown a likelihood of success on his due process claim because this Court should abstain from deciding the issue under the authority of </w:t>
      </w:r>
      <w:proofErr w:type="gramStart"/>
      <w:r w:rsidRPr="00CE0948">
        <w:rPr>
          <w:i/>
          <w:iCs/>
        </w:rPr>
        <w:t>Younger</w:t>
      </w:r>
      <w:proofErr w:type="gramEnd"/>
      <w:r w:rsidRPr="00CE0948">
        <w:rPr>
          <w:i/>
          <w:iCs/>
        </w:rPr>
        <w:t xml:space="preserve"> v. Harris</w:t>
      </w:r>
      <w:r w:rsidRPr="00CE0948">
        <w:t xml:space="preserve">, 401 U.S. 37 (1971). </w:t>
      </w:r>
    </w:p>
    <w:p w14:paraId="5E0A4DBA" w14:textId="77777777" w:rsidR="00745B4B" w:rsidRDefault="00745B4B" w:rsidP="00745B4B">
      <w:pPr>
        <w:ind w:left="720"/>
      </w:pPr>
      <w:r>
        <w:t>‘</w:t>
      </w:r>
      <w:r w:rsidRPr="00CE0948">
        <w:t xml:space="preserve">Under </w:t>
      </w:r>
      <w:r w:rsidRPr="00CE0948">
        <w:rPr>
          <w:i/>
          <w:iCs/>
        </w:rPr>
        <w:t>Younger</w:t>
      </w:r>
      <w:r w:rsidRPr="00CE0948">
        <w:t xml:space="preserve"> abstention ... a federal court must decline to interfere with pending state civil or criminal proceedings when important state interests are involved.</w:t>
      </w:r>
      <w:r>
        <w:t>’</w:t>
      </w:r>
      <w:r w:rsidRPr="00CE0948">
        <w:t xml:space="preserve"> </w:t>
      </w:r>
      <w:r w:rsidRPr="00CE0948">
        <w:rPr>
          <w:i/>
          <w:iCs/>
        </w:rPr>
        <w:t>O'Neill v. Coughlan</w:t>
      </w:r>
      <w:r w:rsidRPr="00CE0948">
        <w:t xml:space="preserve">, 511 F.3d 638, 641 (6th Cir. 2008) (citations omitted). </w:t>
      </w:r>
      <w:r>
        <w:t>‘</w:t>
      </w:r>
      <w:r w:rsidRPr="00CE0948">
        <w:rPr>
          <w:i/>
          <w:iCs/>
        </w:rPr>
        <w:t>Younger</w:t>
      </w:r>
      <w:r w:rsidRPr="00CE0948">
        <w:t xml:space="preserve"> abstention is not a question of </w:t>
      </w:r>
      <w:proofErr w:type="gramStart"/>
      <w:r w:rsidRPr="00CE0948">
        <w:t>jurisdiction, but</w:t>
      </w:r>
      <w:proofErr w:type="gramEnd"/>
      <w:r w:rsidRPr="00CE0948">
        <w:t xml:space="preserve"> is rather based on ‘strong policies counseling against the exercise of such jurisdiction.' </w:t>
      </w:r>
      <w:r w:rsidRPr="00CE0948">
        <w:rPr>
          <w:i/>
          <w:iCs/>
        </w:rPr>
        <w:t>Id</w:t>
      </w:r>
      <w:r w:rsidRPr="00CE0948">
        <w:t xml:space="preserve">. (citing </w:t>
      </w:r>
      <w:r w:rsidRPr="00CE0948">
        <w:rPr>
          <w:i/>
          <w:iCs/>
        </w:rPr>
        <w:t>Ohio Civil Rights Comm'n v. Dayton Christian Sch., Inc</w:t>
      </w:r>
      <w:r w:rsidRPr="00CE0948">
        <w:t xml:space="preserve">., 477 U.S. 619, 626 (1986). </w:t>
      </w:r>
    </w:p>
    <w:p w14:paraId="4C54C118" w14:textId="77777777" w:rsidR="00745B4B" w:rsidRDefault="00745B4B" w:rsidP="00745B4B">
      <w:pPr>
        <w:ind w:left="720"/>
      </w:pPr>
      <w:r>
        <w:t>***</w:t>
      </w:r>
    </w:p>
    <w:p w14:paraId="6A809E77" w14:textId="77777777" w:rsidR="00745B4B" w:rsidRDefault="00745B4B" w:rsidP="00745B4B">
      <w:pPr>
        <w:ind w:left="720"/>
      </w:pPr>
      <w:r w:rsidRPr="001633A5">
        <w:t xml:space="preserve">Even if Betsa had cleanly separated his state-law and federal claims in the relevant venues, which he has not done, abstention under </w:t>
      </w:r>
      <w:r w:rsidRPr="001633A5">
        <w:rPr>
          <w:i/>
          <w:iCs/>
        </w:rPr>
        <w:t>Younger</w:t>
      </w:r>
      <w:r w:rsidRPr="001633A5">
        <w:t xml:space="preserve"> would still be warranted. This is so because Betsa's procedural due process claim is inextricably intertwined with his state-law procedural issues which he has raised in his state case. Indeed, Betsa concedes that he is not arguing that Ohio's disciplinary and termination procedures are unconstitutional. This means that if the City properly adhered to Ohio law when it suspended and terminated Betsa, it necessarily </w:t>
      </w:r>
      <w:r w:rsidRPr="001633A5">
        <w:rPr>
          <w:i/>
          <w:iCs/>
        </w:rPr>
        <w:t>did not</w:t>
      </w:r>
      <w:r w:rsidRPr="001633A5">
        <w:t xml:space="preserve"> violate Betsa's due process rights.</w:t>
      </w:r>
      <w:r w:rsidRPr="001633A5">
        <w:rPr>
          <w:vertAlign w:val="superscript"/>
        </w:rPr>
        <w:t>[</w:t>
      </w:r>
      <w:r w:rsidRPr="001633A5">
        <w:t xml:space="preserve"> And Betsa has only asked the Ohio court—not this Court—to determine whether the City properly adhered to Ohio law. </w:t>
      </w:r>
      <w:proofErr w:type="gramStart"/>
      <w:r w:rsidRPr="001633A5">
        <w:t>So</w:t>
      </w:r>
      <w:proofErr w:type="gramEnd"/>
      <w:r w:rsidRPr="001633A5">
        <w:t xml:space="preserve"> the Ohio court should resolve Betsa's state-law claim before this Court wades into Betsa's related due process </w:t>
      </w:r>
      <w:proofErr w:type="gramStart"/>
      <w:r w:rsidRPr="001633A5">
        <w:t>claim.</w:t>
      </w:r>
      <w:r>
        <w:t>”</w:t>
      </w:r>
      <w:proofErr w:type="gramEnd"/>
    </w:p>
    <w:p w14:paraId="634C38E2" w14:textId="77777777" w:rsidR="00745B4B" w:rsidRDefault="00745B4B" w:rsidP="00745B4B">
      <w:pPr>
        <w:rPr>
          <w:b/>
          <w:bCs/>
        </w:rPr>
      </w:pPr>
      <w:r>
        <w:rPr>
          <w:b/>
        </w:rPr>
        <w:t>Legal lesson learned:  Federal courts will normally abstain when the employee has already filed a lawsuit in state court on similar issues.</w:t>
      </w:r>
    </w:p>
    <w:p w14:paraId="7E2F2764" w14:textId="77777777" w:rsidR="00745B4B" w:rsidRDefault="00745B4B" w:rsidP="00745B4B">
      <w:pPr>
        <w:ind w:left="720"/>
      </w:pPr>
      <w:r w:rsidRPr="00D55245">
        <w:t xml:space="preserve">Note: </w:t>
      </w:r>
      <w:r w:rsidRPr="001B7700">
        <w:rPr>
          <w:vanish/>
        </w:rPr>
        <w:t>Top of Form</w:t>
      </w:r>
    </w:p>
    <w:p w14:paraId="720719BE" w14:textId="77777777" w:rsidR="00745B4B" w:rsidRDefault="00745B4B" w:rsidP="00745B4B">
      <w:pPr>
        <w:ind w:left="720"/>
        <w:rPr>
          <w:bCs/>
        </w:rPr>
      </w:pPr>
      <w:r>
        <w:t>Jan. 1, 2026:</w:t>
      </w:r>
      <w:r w:rsidRPr="000D33A9">
        <w:t xml:space="preserve">Avon Lake terminates fire chief after investigation into 'workplace conduct and leadership </w:t>
      </w:r>
      <w:r>
        <w:t>[</w:t>
      </w:r>
      <w:r w:rsidRPr="000D33A9">
        <w:t xml:space="preserve">TV VIDEO.]: </w:t>
      </w:r>
      <w:hyperlink r:id="rId2559" w:history="1">
        <w:r w:rsidRPr="000D33A9">
          <w:rPr>
            <w:rStyle w:val="Hyperlink"/>
          </w:rPr>
          <w:t>https://www.youtube.com/watch?v=NQ_XX2qp684</w:t>
        </w:r>
      </w:hyperlink>
      <w:r w:rsidRPr="000D33A9">
        <w:t xml:space="preserve"> </w:t>
      </w:r>
    </w:p>
    <w:p w14:paraId="157375F4" w14:textId="77777777" w:rsidR="00745B4B" w:rsidRDefault="00745B4B" w:rsidP="00745B4B">
      <w:pPr>
        <w:ind w:left="720"/>
      </w:pPr>
      <w:r>
        <w:t xml:space="preserve">Jan. 1, 2026: </w:t>
      </w:r>
      <w:hyperlink r:id="rId2560" w:history="1">
        <w:r w:rsidRPr="00F620D0">
          <w:rPr>
            <w:rStyle w:val="Hyperlink"/>
          </w:rPr>
          <w:t>https://www.wkyc.com/article/news/local/lorain-county/3news-investigates-avon-lake-terminates-fire-chief-investigation-into-workplace-conduct-leadership/95-a94cb6d7-c3ff-4355-be21-18103dc8f3f4</w:t>
        </w:r>
      </w:hyperlink>
    </w:p>
    <w:p w14:paraId="33029F2D" w14:textId="77777777" w:rsidR="00745B4B" w:rsidRDefault="00745B4B" w:rsidP="002F7727">
      <w:pPr>
        <w:pStyle w:val="NoSpacing"/>
        <w:rPr>
          <w:rFonts w:ascii="Arial Black" w:hAnsi="Arial Black"/>
          <w:b/>
          <w:sz w:val="24"/>
          <w:szCs w:val="24"/>
        </w:rPr>
      </w:pPr>
    </w:p>
    <w:p w14:paraId="6F649BBA" w14:textId="77777777" w:rsidR="00A66F20" w:rsidRDefault="00A66F20" w:rsidP="002F7727">
      <w:pPr>
        <w:pStyle w:val="NoSpacing"/>
        <w:rPr>
          <w:rFonts w:ascii="Arial Black" w:hAnsi="Arial Black"/>
          <w:b/>
          <w:sz w:val="24"/>
          <w:szCs w:val="24"/>
        </w:rPr>
      </w:pPr>
    </w:p>
    <w:p w14:paraId="699EA9B7" w14:textId="77777777" w:rsidR="00A66F20" w:rsidRDefault="00A66F20" w:rsidP="002F7727">
      <w:pPr>
        <w:pStyle w:val="NoSpacing"/>
        <w:rPr>
          <w:rFonts w:ascii="Arial Black" w:hAnsi="Arial Black"/>
          <w:b/>
          <w:sz w:val="24"/>
          <w:szCs w:val="24"/>
        </w:rPr>
      </w:pPr>
    </w:p>
    <w:p w14:paraId="1C8459CD" w14:textId="77777777" w:rsidR="00A66F20" w:rsidRDefault="00A66F20" w:rsidP="002F7727">
      <w:pPr>
        <w:pStyle w:val="NoSpacing"/>
        <w:rPr>
          <w:rFonts w:ascii="Arial Black" w:hAnsi="Arial Black"/>
          <w:b/>
          <w:sz w:val="24"/>
          <w:szCs w:val="24"/>
        </w:rPr>
      </w:pPr>
    </w:p>
    <w:p w14:paraId="437AE70E" w14:textId="06E1B90A" w:rsidR="006D1F52" w:rsidRDefault="006D1F52" w:rsidP="002F7727">
      <w:pPr>
        <w:pStyle w:val="NoSpacing"/>
        <w:rPr>
          <w:rFonts w:ascii="Arial Black" w:hAnsi="Arial Black"/>
          <w:b/>
          <w:sz w:val="24"/>
          <w:szCs w:val="24"/>
        </w:rPr>
      </w:pPr>
      <w:r>
        <w:rPr>
          <w:rFonts w:ascii="Arial Black" w:hAnsi="Arial Black"/>
          <w:b/>
          <w:sz w:val="24"/>
          <w:szCs w:val="24"/>
        </w:rPr>
        <w:t>16-144</w:t>
      </w:r>
    </w:p>
    <w:p w14:paraId="7E665A36" w14:textId="77777777" w:rsidR="006D1F52" w:rsidRDefault="006D1F52" w:rsidP="002F7727">
      <w:pPr>
        <w:pStyle w:val="NoSpacing"/>
        <w:rPr>
          <w:rFonts w:ascii="Arial Black" w:hAnsi="Arial Black"/>
          <w:b/>
          <w:sz w:val="24"/>
          <w:szCs w:val="24"/>
        </w:rPr>
      </w:pPr>
    </w:p>
    <w:p w14:paraId="33A27F3A" w14:textId="102937FE" w:rsidR="006D1F52" w:rsidRDefault="006D1F52" w:rsidP="006D1F52">
      <w:pPr>
        <w:rPr>
          <w:rFonts w:ascii="Arial Black" w:hAnsi="Arial Black"/>
          <w:sz w:val="28"/>
          <w:szCs w:val="28"/>
        </w:rPr>
      </w:pPr>
      <w:r>
        <w:rPr>
          <w:rFonts w:ascii="Arial Black" w:hAnsi="Arial Black"/>
          <w:sz w:val="28"/>
          <w:szCs w:val="28"/>
        </w:rPr>
        <w:t xml:space="preserve">MA: FF FIRED – MUST </w:t>
      </w:r>
      <w:r w:rsidR="00357F5D">
        <w:rPr>
          <w:rFonts w:ascii="Arial Black" w:hAnsi="Arial Black"/>
          <w:sz w:val="28"/>
          <w:szCs w:val="28"/>
        </w:rPr>
        <w:t xml:space="preserve">FIRST </w:t>
      </w:r>
      <w:r>
        <w:rPr>
          <w:rFonts w:ascii="Arial Black" w:hAnsi="Arial Black"/>
          <w:sz w:val="28"/>
          <w:szCs w:val="28"/>
        </w:rPr>
        <w:t>APPEAL TO CIVIL SERVICE COMM.</w:t>
      </w:r>
    </w:p>
    <w:p w14:paraId="7BF79807" w14:textId="77777777" w:rsidR="006D1F52" w:rsidRDefault="006D1F52" w:rsidP="006D1F52">
      <w:r>
        <w:t xml:space="preserve">On January 5, 2026, in </w:t>
      </w:r>
      <w:r w:rsidRPr="00EC756F">
        <w:rPr>
          <w:u w:val="single"/>
        </w:rPr>
        <w:t>Casley Bailey v. Boston Fire Department</w:t>
      </w:r>
      <w:r>
        <w:t xml:space="preserve">, the Commonwealth of Massachusetts Appeal Court held (3 to 0; unpublished opinion) that the trial court properly denied his “emergency motion for a preliminary injunction to stay the disciplinary proceedings.” He was fired the same day (regarding alleged workplace injury) he filed his complaint; </w:t>
      </w:r>
      <w:r>
        <w:lastRenderedPageBreak/>
        <w:t xml:space="preserve">he must first exercise his appeal rights to the state’s Civil Service Commission (where he has previously appealed </w:t>
      </w:r>
      <w:proofErr w:type="gramStart"/>
      <w:r>
        <w:t>other</w:t>
      </w:r>
      <w:proofErr w:type="gramEnd"/>
      <w:r>
        <w:t xml:space="preserve"> discipline). </w:t>
      </w:r>
      <w:hyperlink r:id="rId2561" w:history="1">
        <w:r w:rsidRPr="001D590B">
          <w:rPr>
            <w:rStyle w:val="Hyperlink"/>
          </w:rPr>
          <w:t>file:///C:/Users/lawre/Downloads/25P0275.pdf</w:t>
        </w:r>
      </w:hyperlink>
      <w:r>
        <w:t xml:space="preserve">  </w:t>
      </w:r>
    </w:p>
    <w:p w14:paraId="64903B14" w14:textId="77777777" w:rsidR="006D1F52" w:rsidRDefault="006D1F52" w:rsidP="006D1F52">
      <w:r>
        <w:t>THE COURT HELD:</w:t>
      </w:r>
    </w:p>
    <w:p w14:paraId="0C3755E5" w14:textId="77777777" w:rsidR="006D1F52" w:rsidRDefault="006D1F52" w:rsidP="006D1F52">
      <w:pPr>
        <w:pStyle w:val="NoSpacing"/>
        <w:ind w:left="720"/>
      </w:pPr>
      <w:r>
        <w:t>“The plaintiff, Casley Bailey, filed a complaint in the Superior Court against the defendant Boston Fire Department (department) seeking to stay the department's ongoing</w:t>
      </w:r>
    </w:p>
    <w:p w14:paraId="41E6EDAF" w14:textId="77777777" w:rsidR="006D1F52" w:rsidRDefault="006D1F52" w:rsidP="006D1F52">
      <w:pPr>
        <w:pStyle w:val="NoSpacing"/>
        <w:ind w:left="720"/>
      </w:pPr>
      <w:r>
        <w:t>disciplinary action against him. He accompanied the complaint with an emergency motion for a preliminary injunction to stay the disciplinary proceedings.</w:t>
      </w:r>
    </w:p>
    <w:p w14:paraId="533934F4" w14:textId="77777777" w:rsidR="006D1F52" w:rsidRDefault="006D1F52" w:rsidP="006D1F52">
      <w:pPr>
        <w:pStyle w:val="NoSpacing"/>
        <w:ind w:left="720"/>
      </w:pPr>
    </w:p>
    <w:p w14:paraId="54B16170" w14:textId="77777777" w:rsidR="006D1F52" w:rsidRDefault="006D1F52" w:rsidP="006D1F52">
      <w:pPr>
        <w:pStyle w:val="NoSpacing"/>
        <w:ind w:left="720"/>
      </w:pPr>
      <w:r>
        <w:t xml:space="preserve">Meanwhile, the same day the plaintiff filed his complaint, the department announced its final decision and discharged him from service as a firefighter. In opposition to the preliminary injunction, the department argued that the request should be dismissed as moot </w:t>
      </w:r>
      <w:proofErr w:type="gramStart"/>
      <w:r>
        <w:t>and also</w:t>
      </w:r>
      <w:proofErr w:type="gramEnd"/>
      <w:r>
        <w:t xml:space="preserve"> for failure to exhaust administrative remedies. After a hearing, a Superior Court judge denied injunctive relief on the ground that the plaintiff ‘must first exhaust his administrative remedies before coming to Court.’ Shortly thereafter the judge dismissed the complaint because the only relief the plaintiff sought -- the stay of the disciplinary</w:t>
      </w:r>
    </w:p>
    <w:p w14:paraId="33F3D5A3" w14:textId="77777777" w:rsidR="006D1F52" w:rsidRDefault="006D1F52" w:rsidP="006D1F52">
      <w:pPr>
        <w:pStyle w:val="NoSpacing"/>
        <w:ind w:left="720"/>
      </w:pPr>
      <w:r>
        <w:t>procedures -- had been denied.</w:t>
      </w:r>
    </w:p>
    <w:p w14:paraId="2C57A0CA" w14:textId="77777777" w:rsidR="006D1F52" w:rsidRDefault="006D1F52" w:rsidP="006D1F52">
      <w:pPr>
        <w:pStyle w:val="NoSpacing"/>
        <w:ind w:left="720"/>
      </w:pPr>
    </w:p>
    <w:p w14:paraId="38C01F4E" w14:textId="77777777" w:rsidR="006D1F52" w:rsidRDefault="006D1F52" w:rsidP="006D1F52">
      <w:pPr>
        <w:pStyle w:val="NoSpacing"/>
        <w:ind w:left="720"/>
      </w:pPr>
      <w:r>
        <w:t xml:space="preserve">The plaintiff appeals </w:t>
      </w:r>
      <w:proofErr w:type="gramStart"/>
      <w:r>
        <w:t>from</w:t>
      </w:r>
      <w:proofErr w:type="gramEnd"/>
      <w:r>
        <w:t xml:space="preserve"> the dismissal of his complaint. He asserts that the physician who examined him in connection with his claimed work-related injury forged a medical release; that the department chief who oversaw the disciplinary action was biased against him; that his union colluded with the department and failed to provide adequate representation, "rendering administrative remedies futile"; that the judge failed to consider his claim of irreparable harm, particularly the loss of health insurance for his family; and, finally, that he was disciplined more severely than similarly situated</w:t>
      </w:r>
    </w:p>
    <w:p w14:paraId="3D7DB679" w14:textId="77777777" w:rsidR="006D1F52" w:rsidRDefault="006D1F52" w:rsidP="006D1F52">
      <w:pPr>
        <w:pStyle w:val="NoSpacing"/>
        <w:ind w:left="720"/>
      </w:pPr>
      <w:r>
        <w:t xml:space="preserve">firefighters. </w:t>
      </w:r>
    </w:p>
    <w:p w14:paraId="1ACE1035" w14:textId="77777777" w:rsidR="006D1F52" w:rsidRDefault="006D1F52" w:rsidP="006D1F52">
      <w:pPr>
        <w:pStyle w:val="NoSpacing"/>
        <w:ind w:left="720"/>
      </w:pPr>
    </w:p>
    <w:p w14:paraId="6E508955" w14:textId="77777777" w:rsidR="006D1F52" w:rsidRDefault="006D1F52" w:rsidP="006D1F52">
      <w:pPr>
        <w:pStyle w:val="NoSpacing"/>
        <w:ind w:left="720"/>
      </w:pPr>
      <w:r>
        <w:t>Notwithstanding these claims of ‘fraudulent evidence, procedural misconduct, and labor law violations,’ we conclude that the judge did not abuse his discretion in denying the</w:t>
      </w:r>
    </w:p>
    <w:p w14:paraId="22B1780B" w14:textId="77777777" w:rsidR="006D1F52" w:rsidRDefault="006D1F52" w:rsidP="006D1F52">
      <w:pPr>
        <w:pStyle w:val="NoSpacing"/>
        <w:ind w:left="720"/>
      </w:pPr>
      <w:r>
        <w:t>injunction and dismissing the complaint for failure to exhaust available remedies.</w:t>
      </w:r>
    </w:p>
    <w:p w14:paraId="0D5702B5" w14:textId="77777777" w:rsidR="006D1F52" w:rsidRDefault="006D1F52" w:rsidP="006D1F52">
      <w:pPr>
        <w:pStyle w:val="NoSpacing"/>
        <w:ind w:left="720"/>
      </w:pPr>
    </w:p>
    <w:p w14:paraId="5E0FA2E2" w14:textId="77777777" w:rsidR="006D1F52" w:rsidRDefault="006D1F52" w:rsidP="006D1F52">
      <w:pPr>
        <w:pStyle w:val="NoSpacing"/>
        <w:ind w:left="720"/>
      </w:pPr>
      <w:r>
        <w:t>***</w:t>
      </w:r>
    </w:p>
    <w:p w14:paraId="18E89CBC" w14:textId="77777777" w:rsidR="006D1F52" w:rsidRDefault="006D1F52" w:rsidP="006D1F52">
      <w:pPr>
        <w:pStyle w:val="NoSpacing"/>
        <w:ind w:left="720"/>
      </w:pPr>
    </w:p>
    <w:p w14:paraId="2ED1899A" w14:textId="77777777" w:rsidR="006D1F52" w:rsidRDefault="006D1F52" w:rsidP="006D1F52">
      <w:pPr>
        <w:pStyle w:val="NoSpacing"/>
        <w:ind w:left="720"/>
      </w:pPr>
      <w:r>
        <w:t>Moreover, at the time the preliminary injunction was denied and the case was dismissed, the plaintiff had not yet availed himself of the remedies available to him under the civil service statute, G. L</w:t>
      </w:r>
      <w:proofErr w:type="gramStart"/>
      <w:r>
        <w:t>. c</w:t>
      </w:r>
      <w:proofErr w:type="gramEnd"/>
      <w:r>
        <w:t>. 31, §§ 41-45. The plaintiff was a tenured civil servant entitled to the protection of the statute. Documents in the plaintiff's record appendix show that within one month of the dismissal of his complaint he was actively challenging his termination in proceedings before the Civil Service Commission (commission).</w:t>
      </w:r>
    </w:p>
    <w:p w14:paraId="3798A05A" w14:textId="77777777" w:rsidR="006D1F52" w:rsidRDefault="006D1F52" w:rsidP="006D1F52">
      <w:pPr>
        <w:pStyle w:val="NoSpacing"/>
        <w:ind w:left="720"/>
      </w:pPr>
    </w:p>
    <w:p w14:paraId="754C7A81" w14:textId="77777777" w:rsidR="006D1F52" w:rsidRDefault="006D1F52" w:rsidP="006D1F52">
      <w:pPr>
        <w:pStyle w:val="NoSpacing"/>
        <w:ind w:left="720"/>
      </w:pPr>
      <w:r>
        <w:t xml:space="preserve">The plaintiff's claim of irreparable harm -- the harm from loss of employment -- is generally not sufficient to obtain an </w:t>
      </w:r>
      <w:proofErr w:type="gramStart"/>
      <w:r>
        <w:t>injunction.”</w:t>
      </w:r>
      <w:proofErr w:type="gramEnd"/>
    </w:p>
    <w:p w14:paraId="12049097" w14:textId="77777777" w:rsidR="006D1F52" w:rsidRDefault="006D1F52" w:rsidP="006D1F52">
      <w:pPr>
        <w:pStyle w:val="NoSpacing"/>
        <w:ind w:left="720"/>
      </w:pPr>
    </w:p>
    <w:p w14:paraId="542BAFB8" w14:textId="77777777" w:rsidR="006D1F52" w:rsidRDefault="006D1F52" w:rsidP="006D1F52">
      <w:pPr>
        <w:pStyle w:val="NoSpacing"/>
        <w:rPr>
          <w:b/>
          <w:bCs/>
        </w:rPr>
      </w:pPr>
      <w:r>
        <w:rPr>
          <w:b/>
        </w:rPr>
        <w:t xml:space="preserve">Legal lesson learned: Must first exhaust administrative right of appeal to Civil Service Commission before seeking judicial relief. </w:t>
      </w:r>
    </w:p>
    <w:p w14:paraId="2B010EE5" w14:textId="77777777" w:rsidR="006D1F52" w:rsidRDefault="006D1F52" w:rsidP="006D1F52">
      <w:pPr>
        <w:pStyle w:val="NoSpacing"/>
        <w:rPr>
          <w:b/>
          <w:bCs/>
        </w:rPr>
      </w:pPr>
    </w:p>
    <w:p w14:paraId="62A533FE" w14:textId="77777777" w:rsidR="006D1F52" w:rsidRDefault="006D1F52" w:rsidP="006D1F52">
      <w:pPr>
        <w:pStyle w:val="NoSpacing"/>
      </w:pPr>
      <w:r>
        <w:rPr>
          <w:b/>
        </w:rPr>
        <w:tab/>
      </w:r>
      <w:r>
        <w:t xml:space="preserve">Note:  See his prior discipline appeals. </w:t>
      </w:r>
    </w:p>
    <w:p w14:paraId="76C87814" w14:textId="77777777" w:rsidR="006D1F52" w:rsidRDefault="006D1F52" w:rsidP="006D1F52">
      <w:pPr>
        <w:ind w:left="720"/>
      </w:pPr>
      <w:r>
        <w:t xml:space="preserve">February 6, 2025: Civil Service Commission: </w:t>
      </w:r>
      <w:hyperlink r:id="rId2562" w:history="1">
        <w:r w:rsidRPr="002B4D2D">
          <w:rPr>
            <w:rStyle w:val="Hyperlink"/>
          </w:rPr>
          <w:t>https://www.mass.gov/doc/bailey-casley-v-boston-fire-department-2625/download</w:t>
        </w:r>
      </w:hyperlink>
      <w:r>
        <w:t xml:space="preserve"> </w:t>
      </w:r>
    </w:p>
    <w:p w14:paraId="03B38B2F" w14:textId="77777777" w:rsidR="006D1F52" w:rsidRDefault="006D1F52" w:rsidP="006D1F52">
      <w:pPr>
        <w:pStyle w:val="NoSpacing"/>
        <w:ind w:left="720"/>
        <w:rPr>
          <w:bCs/>
        </w:rPr>
      </w:pPr>
      <w:r>
        <w:t>“</w:t>
      </w:r>
      <w:r w:rsidRPr="00301812">
        <w:t>The Commission affirmed the decision of the Boston Fire Department (BFD) to suspend a</w:t>
      </w:r>
      <w:r>
        <w:t xml:space="preserve"> </w:t>
      </w:r>
      <w:r w:rsidRPr="00301812">
        <w:t>firefighter for 60 days for violation of rules related to untruthfulness and misrepresentation</w:t>
      </w:r>
      <w:r>
        <w:t xml:space="preserve"> </w:t>
      </w:r>
      <w:r w:rsidRPr="00301812">
        <w:t>regarding the unauthorized use of emergency lights and sirens on his personal vehicle.</w:t>
      </w:r>
      <w:r>
        <w:t>”</w:t>
      </w:r>
    </w:p>
    <w:p w14:paraId="19EF3D8D" w14:textId="77777777" w:rsidR="006D1F52" w:rsidRDefault="006D1F52" w:rsidP="006D1F52">
      <w:pPr>
        <w:pStyle w:val="NoSpacing"/>
        <w:ind w:left="720"/>
      </w:pPr>
    </w:p>
    <w:p w14:paraId="0A191BE6" w14:textId="77777777" w:rsidR="006D1F52" w:rsidRDefault="006D1F52" w:rsidP="006D1F52">
      <w:pPr>
        <w:pStyle w:val="NoSpacing"/>
        <w:ind w:left="720"/>
      </w:pPr>
      <w:r>
        <w:lastRenderedPageBreak/>
        <w:t xml:space="preserve">May 6, 2024: Civil Service Commission - </w:t>
      </w:r>
      <w:hyperlink r:id="rId2563" w:history="1">
        <w:r w:rsidRPr="001D590B">
          <w:rPr>
            <w:rStyle w:val="Hyperlink"/>
          </w:rPr>
          <w:t>https://www.mass.gov/doc/bailey-casley-v-boston-fire-department-62724/download</w:t>
        </w:r>
      </w:hyperlink>
    </w:p>
    <w:p w14:paraId="004FF996" w14:textId="77777777" w:rsidR="006D1F52" w:rsidRDefault="006D1F52" w:rsidP="006D1F52">
      <w:pPr>
        <w:pStyle w:val="NoSpacing"/>
        <w:ind w:left="720"/>
      </w:pPr>
      <w:r>
        <w:t>“The four-tour suspension [took FMLA leave to take Lt. exam] is modified to a two-tour</w:t>
      </w:r>
    </w:p>
    <w:p w14:paraId="1726975B" w14:textId="77777777" w:rsidR="006D1F52" w:rsidRDefault="006D1F52" w:rsidP="006D1F52">
      <w:pPr>
        <w:pStyle w:val="NoSpacing"/>
        <w:ind w:left="720"/>
      </w:pPr>
      <w:r>
        <w:t>suspension and the Appellant shall be restored to his position for the two remaining tours</w:t>
      </w:r>
    </w:p>
    <w:p w14:paraId="3E8949D0" w14:textId="77777777" w:rsidR="006D1F52" w:rsidRDefault="006D1F52" w:rsidP="006D1F52">
      <w:pPr>
        <w:pStyle w:val="NoSpacing"/>
        <w:ind w:left="720"/>
        <w:rPr>
          <w:b/>
        </w:rPr>
      </w:pPr>
      <w:r>
        <w:t>without loss of pay or other benefits.”</w:t>
      </w:r>
      <w:r>
        <w:rPr>
          <w:b/>
        </w:rPr>
        <w:t xml:space="preserve"> </w:t>
      </w:r>
    </w:p>
    <w:p w14:paraId="33E18AE9" w14:textId="77777777" w:rsidR="006D1F52" w:rsidRDefault="006D1F52" w:rsidP="006D1F52">
      <w:pPr>
        <w:rPr>
          <w:b/>
        </w:rPr>
      </w:pPr>
    </w:p>
    <w:p w14:paraId="6E9ACA3C" w14:textId="77777777" w:rsidR="006D1F52" w:rsidRDefault="006D1F52" w:rsidP="006D1F52">
      <w:pPr>
        <w:rPr>
          <w:b/>
        </w:rPr>
      </w:pPr>
    </w:p>
    <w:p w14:paraId="090583EB" w14:textId="77777777" w:rsidR="006D1F52" w:rsidRDefault="006D1F52" w:rsidP="002F7727">
      <w:pPr>
        <w:pStyle w:val="NoSpacing"/>
        <w:rPr>
          <w:rFonts w:ascii="Arial Black" w:hAnsi="Arial Black"/>
          <w:b/>
          <w:sz w:val="24"/>
          <w:szCs w:val="24"/>
        </w:rPr>
      </w:pPr>
    </w:p>
    <w:p w14:paraId="368C562E" w14:textId="77777777" w:rsidR="006D1F52" w:rsidRDefault="006D1F52" w:rsidP="002F7727">
      <w:pPr>
        <w:pStyle w:val="NoSpacing"/>
        <w:rPr>
          <w:rFonts w:ascii="Arial Black" w:hAnsi="Arial Black"/>
          <w:b/>
          <w:sz w:val="24"/>
          <w:szCs w:val="24"/>
        </w:rPr>
      </w:pPr>
    </w:p>
    <w:p w14:paraId="75EB0486" w14:textId="77777777" w:rsidR="006D1F52" w:rsidRDefault="006D1F52" w:rsidP="002F7727">
      <w:pPr>
        <w:pStyle w:val="NoSpacing"/>
        <w:rPr>
          <w:rFonts w:ascii="Arial Black" w:hAnsi="Arial Black"/>
          <w:b/>
          <w:sz w:val="24"/>
          <w:szCs w:val="24"/>
        </w:rPr>
      </w:pPr>
    </w:p>
    <w:p w14:paraId="5789EED6" w14:textId="40D2E6BF" w:rsidR="00966476" w:rsidRDefault="00966476" w:rsidP="002F7727">
      <w:pPr>
        <w:pStyle w:val="NoSpacing"/>
        <w:rPr>
          <w:rFonts w:ascii="Arial Black" w:hAnsi="Arial Black"/>
          <w:b/>
          <w:sz w:val="24"/>
          <w:szCs w:val="24"/>
        </w:rPr>
      </w:pPr>
      <w:r>
        <w:rPr>
          <w:rFonts w:ascii="Arial Black" w:hAnsi="Arial Black"/>
          <w:b/>
          <w:sz w:val="24"/>
          <w:szCs w:val="24"/>
        </w:rPr>
        <w:t>16-</w:t>
      </w:r>
      <w:r w:rsidR="00583923">
        <w:rPr>
          <w:rFonts w:ascii="Arial Black" w:hAnsi="Arial Black"/>
          <w:b/>
          <w:sz w:val="24"/>
          <w:szCs w:val="24"/>
        </w:rPr>
        <w:t>143</w:t>
      </w:r>
    </w:p>
    <w:p w14:paraId="7A11CE31" w14:textId="77777777" w:rsidR="004F5159" w:rsidRDefault="004F5159" w:rsidP="002F7727">
      <w:pPr>
        <w:pStyle w:val="NoSpacing"/>
        <w:rPr>
          <w:rFonts w:ascii="Arial Black" w:hAnsi="Arial Black"/>
          <w:b/>
          <w:sz w:val="24"/>
          <w:szCs w:val="24"/>
        </w:rPr>
      </w:pPr>
    </w:p>
    <w:p w14:paraId="6459F85A" w14:textId="77777777" w:rsidR="000637E4" w:rsidRPr="00E72C24" w:rsidRDefault="000637E4" w:rsidP="000637E4">
      <w:pPr>
        <w:rPr>
          <w:rFonts w:ascii="Arial Black" w:hAnsi="Arial Black"/>
          <w:b/>
          <w:sz w:val="28"/>
          <w:szCs w:val="28"/>
        </w:rPr>
      </w:pPr>
      <w:r>
        <w:rPr>
          <w:rFonts w:ascii="Arial Black" w:hAnsi="Arial Black"/>
          <w:b/>
          <w:sz w:val="28"/>
          <w:szCs w:val="28"/>
        </w:rPr>
        <w:t>CA: KOBE BRYANT CRASH – PHOTOS – NO RETALIATION</w:t>
      </w:r>
    </w:p>
    <w:p w14:paraId="6A9986A9" w14:textId="77777777" w:rsidR="000637E4" w:rsidRDefault="000637E4" w:rsidP="000637E4">
      <w:pPr>
        <w:pStyle w:val="NoSpacing"/>
      </w:pPr>
      <w:r>
        <w:t xml:space="preserve">On December 23, 2025, in </w:t>
      </w:r>
      <w:r w:rsidRPr="00524324">
        <w:rPr>
          <w:u w:val="single"/>
        </w:rPr>
        <w:t>Brian Jordan v. County of Los Angeles</w:t>
      </w:r>
      <w:r>
        <w:t xml:space="preserve">, the </w:t>
      </w:r>
      <w:r w:rsidRPr="00524324">
        <w:t>California Court of Appeals, Second District, Third Division</w:t>
      </w:r>
      <w:r>
        <w:t xml:space="preserve"> held (3 to 0, unpublished decision) that trial court properly dismissed the former Captain’s lawsuit for retaliation.  </w:t>
      </w:r>
      <w:r w:rsidRPr="00726530">
        <w:t>Jordan responded to the</w:t>
      </w:r>
      <w:r>
        <w:t xml:space="preserve"> </w:t>
      </w:r>
      <w:r w:rsidRPr="00726530">
        <w:t xml:space="preserve">scene of the </w:t>
      </w:r>
      <w:r>
        <w:t xml:space="preserve">Jan. 26, </w:t>
      </w:r>
      <w:proofErr w:type="gramStart"/>
      <w:r>
        <w:t>2020</w:t>
      </w:r>
      <w:proofErr w:type="gramEnd"/>
      <w:r>
        <w:t xml:space="preserve"> </w:t>
      </w:r>
      <w:r w:rsidRPr="00726530">
        <w:t>helicopter crash that killed NBA star Kobe Bryant</w:t>
      </w:r>
      <w:r>
        <w:t xml:space="preserve">, his daughter, Christopher Chester’s wife and daughter, among others.  He was ordered to take photos of the scene.  </w:t>
      </w:r>
      <w:r w:rsidRPr="00726530">
        <w:t>He alleged that he was later told to lie about taking</w:t>
      </w:r>
      <w:r>
        <w:t xml:space="preserve"> </w:t>
      </w:r>
      <w:r w:rsidRPr="00726530">
        <w:t>those photos. He further alleged that when he refused to lie, the</w:t>
      </w:r>
      <w:r>
        <w:t xml:space="preserve"> </w:t>
      </w:r>
      <w:r w:rsidRPr="00726530">
        <w:t>County retaliated against him by failing to pay for his legal</w:t>
      </w:r>
      <w:r>
        <w:t xml:space="preserve"> </w:t>
      </w:r>
      <w:r w:rsidRPr="00726530">
        <w:t>representation in an action brought by the crash victims’</w:t>
      </w:r>
      <w:r>
        <w:t xml:space="preserve"> </w:t>
      </w:r>
      <w:r w:rsidRPr="00726530">
        <w:t>families</w:t>
      </w:r>
      <w:r>
        <w:t xml:space="preserve"> (November 2021 deposition and August 2022 trial) </w:t>
      </w:r>
      <w:r w:rsidRPr="00726530">
        <w:t>and by denying him a retirement badge.</w:t>
      </w:r>
      <w:r>
        <w:t xml:space="preserve">  </w:t>
      </w:r>
      <w:hyperlink r:id="rId2564" w:history="1">
        <w:r w:rsidRPr="00F75E71">
          <w:rPr>
            <w:rStyle w:val="Hyperlink"/>
          </w:rPr>
          <w:t>https://www4.courts.ca.gov/opinions/nonpub/B333041.PDF</w:t>
        </w:r>
      </w:hyperlink>
      <w:r>
        <w:t xml:space="preserve"> </w:t>
      </w:r>
    </w:p>
    <w:p w14:paraId="1ECFE5CD" w14:textId="77777777" w:rsidR="000637E4" w:rsidRDefault="000637E4" w:rsidP="000637E4">
      <w:pPr>
        <w:pStyle w:val="NoSpacing"/>
      </w:pPr>
    </w:p>
    <w:p w14:paraId="28AFAC3C" w14:textId="77777777" w:rsidR="000637E4" w:rsidRDefault="000637E4" w:rsidP="000637E4">
      <w:pPr>
        <w:pStyle w:val="NoSpacing"/>
      </w:pPr>
      <w:r>
        <w:t>THE COURT HELD:</w:t>
      </w:r>
    </w:p>
    <w:p w14:paraId="766F4D90" w14:textId="77777777" w:rsidR="000637E4" w:rsidRDefault="000637E4" w:rsidP="000637E4">
      <w:pPr>
        <w:pStyle w:val="NoSpacing"/>
      </w:pPr>
    </w:p>
    <w:p w14:paraId="26FF905D" w14:textId="77777777" w:rsidR="000637E4" w:rsidRDefault="000637E4" w:rsidP="000637E4">
      <w:pPr>
        <w:pStyle w:val="NoSpacing"/>
        <w:ind w:left="720"/>
      </w:pPr>
      <w:r>
        <w:t>“A superior officer, Anthony Marrone, ordered Jordan, in the scope of Jordan’s work as a safety officer for the LACFD, to photograph the crash site. Jordan did so. An unnamed superior officer later told Jordan to delete all photos he had taken, and he complied. According to the complaint, at an unspecified later date, ‘defendants’ told Jordan to claim he had not taken any pictures. He refused to do so.</w:t>
      </w:r>
    </w:p>
    <w:p w14:paraId="35520DC9" w14:textId="77777777" w:rsidR="000637E4" w:rsidRDefault="000637E4" w:rsidP="000637E4">
      <w:pPr>
        <w:pStyle w:val="NoSpacing"/>
        <w:ind w:left="720"/>
      </w:pPr>
    </w:p>
    <w:p w14:paraId="27E7B53B" w14:textId="77777777" w:rsidR="000637E4" w:rsidRDefault="000637E4" w:rsidP="000637E4">
      <w:pPr>
        <w:pStyle w:val="NoSpacing"/>
        <w:ind w:left="720"/>
      </w:pPr>
      <w:r>
        <w:t>***</w:t>
      </w:r>
    </w:p>
    <w:p w14:paraId="7F2070C5" w14:textId="77777777" w:rsidR="000637E4" w:rsidRDefault="000637E4" w:rsidP="000637E4">
      <w:pPr>
        <w:pStyle w:val="NoSpacing"/>
        <w:ind w:left="720"/>
      </w:pPr>
      <w:r>
        <w:t>On December 2, 2020, Jordan applied for disability retirement. On December 3, he received a Notice of Intent to Terminate (Notice) from the LACFD. The Notice was based on the claim that Jordan had taken and disseminated photos of the crash site without authorization.</w:t>
      </w:r>
    </w:p>
    <w:p w14:paraId="1A933BB1" w14:textId="77777777" w:rsidR="000637E4" w:rsidRDefault="000637E4" w:rsidP="000637E4">
      <w:pPr>
        <w:pStyle w:val="NoSpacing"/>
        <w:ind w:left="720"/>
      </w:pPr>
    </w:p>
    <w:p w14:paraId="1D65AE2C" w14:textId="77777777" w:rsidR="000637E4" w:rsidRDefault="000637E4" w:rsidP="000637E4">
      <w:pPr>
        <w:pStyle w:val="NoSpacing"/>
        <w:ind w:left="720"/>
      </w:pPr>
      <w:r>
        <w:t>***</w:t>
      </w:r>
    </w:p>
    <w:p w14:paraId="60D7A2A7" w14:textId="77777777" w:rsidR="000637E4" w:rsidRDefault="000637E4" w:rsidP="000637E4">
      <w:pPr>
        <w:pStyle w:val="NoSpacing"/>
        <w:ind w:left="720"/>
      </w:pPr>
    </w:p>
    <w:p w14:paraId="4B87C43F" w14:textId="77777777" w:rsidR="000637E4" w:rsidRDefault="000637E4" w:rsidP="000637E4">
      <w:pPr>
        <w:pStyle w:val="NoSpacing"/>
        <w:ind w:left="720"/>
      </w:pPr>
      <w:r>
        <w:t>In May 2021, Christopher Chester named Jordan as a defendant in his lawsuit concerning the crash photographs. Jordan retained an attorney to represent him in the matter. The</w:t>
      </w:r>
    </w:p>
    <w:p w14:paraId="32808E16" w14:textId="77777777" w:rsidR="000637E4" w:rsidRDefault="000637E4" w:rsidP="000637E4">
      <w:pPr>
        <w:pStyle w:val="NoSpacing"/>
        <w:ind w:left="720"/>
      </w:pPr>
      <w:r>
        <w:t>County, through Deputy Fire Chief William McCloud, offered to pay for Jordan’s legal defense, but [Jordan alleges] only if he was willing to change lawyers and testify that he did not take any pictures at the crash site. Jordan rejected the County’s offer through his attorney.</w:t>
      </w:r>
    </w:p>
    <w:p w14:paraId="08D7BCBC" w14:textId="77777777" w:rsidR="000637E4" w:rsidRDefault="000637E4" w:rsidP="000637E4">
      <w:pPr>
        <w:pStyle w:val="NoSpacing"/>
        <w:ind w:left="720"/>
      </w:pPr>
    </w:p>
    <w:p w14:paraId="57702A7F" w14:textId="77777777" w:rsidR="000637E4" w:rsidRDefault="000637E4" w:rsidP="000637E4">
      <w:pPr>
        <w:pStyle w:val="NoSpacing"/>
        <w:ind w:left="720"/>
      </w:pPr>
      <w:r>
        <w:t>***</w:t>
      </w:r>
    </w:p>
    <w:p w14:paraId="051B3ECE" w14:textId="77777777" w:rsidR="000637E4" w:rsidRDefault="000637E4" w:rsidP="000637E4">
      <w:pPr>
        <w:pStyle w:val="NoSpacing"/>
        <w:ind w:left="720"/>
      </w:pPr>
      <w:r>
        <w:t>Thus, the only employment action at issue is the Notice. However, the County’s issuance of the Notice in December 2020 could not be retaliation for Jordan’s deposition and trial</w:t>
      </w:r>
    </w:p>
    <w:p w14:paraId="01451133" w14:textId="77777777" w:rsidR="000637E4" w:rsidRDefault="000637E4" w:rsidP="000637E4">
      <w:pPr>
        <w:pStyle w:val="NoSpacing"/>
        <w:ind w:left="720"/>
      </w:pPr>
      <w:r>
        <w:t>testimony which did not take place until November 2021 and August 2022, respectively…. However, Jordan’s government claim, which he attached to the</w:t>
      </w:r>
    </w:p>
    <w:p w14:paraId="51B17305" w14:textId="77777777" w:rsidR="000637E4" w:rsidRDefault="000637E4" w:rsidP="000637E4">
      <w:pPr>
        <w:pStyle w:val="NoSpacing"/>
        <w:ind w:left="720"/>
      </w:pPr>
      <w:r>
        <w:t xml:space="preserve">second amended complaint, indicates that this conversation occurred after he was named as a defendant in the Chester action in May 2021, several months after the County issued the Notice…. it is apparent on the face of </w:t>
      </w:r>
      <w:r>
        <w:lastRenderedPageBreak/>
        <w:t>the complaint that there could be no causal link between the protected activity and the actionable alleged retaliatory conduct.”</w:t>
      </w:r>
    </w:p>
    <w:p w14:paraId="1F966814" w14:textId="77777777" w:rsidR="000637E4" w:rsidRDefault="000637E4" w:rsidP="000637E4">
      <w:pPr>
        <w:pStyle w:val="NoSpacing"/>
        <w:ind w:left="720"/>
      </w:pPr>
    </w:p>
    <w:p w14:paraId="68237D5D" w14:textId="77777777" w:rsidR="000637E4" w:rsidRDefault="000637E4" w:rsidP="000637E4">
      <w:pPr>
        <w:pStyle w:val="NoSpacing"/>
        <w:rPr>
          <w:b/>
          <w:bCs/>
        </w:rPr>
      </w:pPr>
      <w:r>
        <w:rPr>
          <w:b/>
        </w:rPr>
        <w:t xml:space="preserve">Legal lesson learned: If ever ordered to destroy photos or other evidence, or to lie about your </w:t>
      </w:r>
      <w:proofErr w:type="gramStart"/>
      <w:r>
        <w:rPr>
          <w:b/>
        </w:rPr>
        <w:t>on duty</w:t>
      </w:r>
      <w:proofErr w:type="gramEnd"/>
      <w:r>
        <w:rPr>
          <w:b/>
        </w:rPr>
        <w:t xml:space="preserve"> conduct, immediately report it to a senior supervisor or prosecutor. </w:t>
      </w:r>
    </w:p>
    <w:p w14:paraId="348D382B" w14:textId="77777777" w:rsidR="000637E4" w:rsidRDefault="000637E4" w:rsidP="000637E4">
      <w:pPr>
        <w:pStyle w:val="NoSpacing"/>
        <w:rPr>
          <w:b/>
          <w:bCs/>
        </w:rPr>
      </w:pPr>
    </w:p>
    <w:p w14:paraId="28B0AC3A" w14:textId="77777777" w:rsidR="000637E4" w:rsidRDefault="000637E4" w:rsidP="000637E4">
      <w:pPr>
        <w:pStyle w:val="NoSpacing"/>
        <w:ind w:firstLine="720"/>
      </w:pPr>
      <w:r w:rsidRPr="003847B3">
        <w:t xml:space="preserve">Note: For example, see Ohio Revised Code – Whistleblower statute: </w:t>
      </w:r>
    </w:p>
    <w:p w14:paraId="1CCC0869" w14:textId="77777777" w:rsidR="000637E4" w:rsidRPr="00D47016" w:rsidRDefault="000637E4" w:rsidP="000637E4">
      <w:pPr>
        <w:pStyle w:val="NoSpacing"/>
        <w:ind w:firstLine="720"/>
        <w:rPr>
          <w:b/>
          <w:bCs/>
        </w:rPr>
      </w:pPr>
      <w:r w:rsidRPr="00D47016">
        <w:t>Section 4113.52 | Reporting violations by state and local officials and employees</w:t>
      </w:r>
    </w:p>
    <w:p w14:paraId="5A6B67BB" w14:textId="77777777" w:rsidR="000637E4" w:rsidRPr="003847B3" w:rsidRDefault="000637E4" w:rsidP="000637E4">
      <w:pPr>
        <w:pStyle w:val="NoSpacing"/>
        <w:ind w:firstLine="720"/>
      </w:pPr>
      <w:hyperlink r:id="rId2565" w:history="1">
        <w:r w:rsidRPr="00F75E71">
          <w:rPr>
            <w:rStyle w:val="Hyperlink"/>
          </w:rPr>
          <w:t>https://codes.ohio.gov/ohio-revised-code/section-4113.52</w:t>
        </w:r>
      </w:hyperlink>
      <w:r>
        <w:t xml:space="preserve"> </w:t>
      </w:r>
    </w:p>
    <w:p w14:paraId="657744A0" w14:textId="77777777" w:rsidR="000637E4" w:rsidRDefault="000637E4" w:rsidP="000637E4">
      <w:pPr>
        <w:pStyle w:val="NoSpacing"/>
        <w:ind w:left="720"/>
        <w:rPr>
          <w:bCs/>
        </w:rPr>
      </w:pPr>
    </w:p>
    <w:p w14:paraId="2B90AA35" w14:textId="77777777" w:rsidR="000637E4" w:rsidRPr="00727820" w:rsidRDefault="000637E4" w:rsidP="000637E4">
      <w:pPr>
        <w:pStyle w:val="NoSpacing"/>
        <w:ind w:left="720"/>
        <w:rPr>
          <w:bCs/>
        </w:rPr>
      </w:pPr>
      <w:r>
        <w:t>“</w:t>
      </w:r>
      <w:r w:rsidRPr="00727820">
        <w:t xml:space="preserve">(f) If a person becomes aware in the course of the person's employment of a violation of any state or federal statute or any ordinance or regulation of a political subdivision that the person's employer has authority to correct, and the person reasonably believes that the violation is a criminal offense that is likely to cause an imminent risk of physical harm to persons or a hazard to public health or safety, a felony, or an improper solicitation for a contribution, the person orally shall notify the person's supervisor or other responsible officer of the person's employer of the violation and subsequently shall file with that supervisor or officer a written report that provides sufficient detail to identify and describe the violation. If the employer does not correct the violation or make a reasonable and good faith effort to correct the violation within twenty-four hours after the oral notification or the receipt of the report, whichever is earlier, the person may file a written report that provides sufficient detail to identify and describe the violation with the prosecuting authority of the county or municipal corporation where the violation occurred, with a peace officer, with the inspector general if the violation is within the inspector general's jurisdiction, with the auditor of state's fraud-reporting system under section </w:t>
      </w:r>
      <w:hyperlink r:id="rId2566" w:history="1">
        <w:r w:rsidRPr="00727820">
          <w:rPr>
            <w:rStyle w:val="Hyperlink"/>
          </w:rPr>
          <w:t>117.103</w:t>
        </w:r>
      </w:hyperlink>
      <w:r w:rsidRPr="00727820">
        <w:t xml:space="preserve"> of the Revised Code if applicable, or with any other appropriate public official or agency that has regulatory authority over the employer and the industry, trade, or business in which the employer is engaged.</w:t>
      </w:r>
      <w:r>
        <w:t>”</w:t>
      </w:r>
    </w:p>
    <w:p w14:paraId="67DE854C" w14:textId="77777777" w:rsidR="000637E4" w:rsidRDefault="000637E4" w:rsidP="000637E4">
      <w:pPr>
        <w:pStyle w:val="NoSpacing"/>
        <w:ind w:left="720"/>
      </w:pPr>
    </w:p>
    <w:p w14:paraId="5EACB0D7" w14:textId="77777777" w:rsidR="000637E4" w:rsidRDefault="000637E4" w:rsidP="000637E4">
      <w:pPr>
        <w:pStyle w:val="NoSpacing"/>
      </w:pPr>
    </w:p>
    <w:p w14:paraId="22090817" w14:textId="77777777" w:rsidR="000637E4" w:rsidRDefault="000637E4" w:rsidP="000637E4">
      <w:pPr>
        <w:pStyle w:val="NoSpacing"/>
        <w:ind w:left="720"/>
      </w:pPr>
    </w:p>
    <w:p w14:paraId="5957C0A1" w14:textId="55687991" w:rsidR="00790D60" w:rsidRDefault="000637E4" w:rsidP="002F7727">
      <w:pPr>
        <w:pStyle w:val="NoSpacing"/>
        <w:rPr>
          <w:rFonts w:ascii="Arial Black" w:hAnsi="Arial Black"/>
          <w:b/>
          <w:sz w:val="24"/>
          <w:szCs w:val="24"/>
        </w:rPr>
      </w:pPr>
      <w:r>
        <w:rPr>
          <w:rFonts w:ascii="Arial Black" w:hAnsi="Arial Black"/>
          <w:b/>
          <w:sz w:val="24"/>
          <w:szCs w:val="24"/>
        </w:rPr>
        <w:t>16-</w:t>
      </w:r>
      <w:r w:rsidR="00583923">
        <w:rPr>
          <w:rFonts w:ascii="Arial Black" w:hAnsi="Arial Black"/>
          <w:b/>
          <w:sz w:val="24"/>
          <w:szCs w:val="24"/>
        </w:rPr>
        <w:t>142</w:t>
      </w:r>
    </w:p>
    <w:p w14:paraId="084CF9C5" w14:textId="77777777" w:rsidR="00FC6682" w:rsidRDefault="00FC6682" w:rsidP="002F7727">
      <w:pPr>
        <w:pStyle w:val="NoSpacing"/>
        <w:rPr>
          <w:rFonts w:ascii="Arial Black" w:hAnsi="Arial Black"/>
          <w:b/>
          <w:sz w:val="24"/>
          <w:szCs w:val="24"/>
        </w:rPr>
      </w:pPr>
    </w:p>
    <w:p w14:paraId="1B7C880B" w14:textId="77777777" w:rsidR="00FC6682" w:rsidRPr="0072287A" w:rsidRDefault="00FC6682" w:rsidP="00FC6682">
      <w:pPr>
        <w:pStyle w:val="NoSpacing"/>
        <w:rPr>
          <w:rFonts w:ascii="Arial Black" w:hAnsi="Arial Black"/>
          <w:sz w:val="28"/>
          <w:szCs w:val="28"/>
        </w:rPr>
      </w:pPr>
      <w:r>
        <w:rPr>
          <w:rFonts w:ascii="Arial Black" w:hAnsi="Arial Black"/>
          <w:sz w:val="28"/>
          <w:szCs w:val="28"/>
        </w:rPr>
        <w:t xml:space="preserve">FEMA: 13-DAY SUSP – PROFANITY – TENSION FEMALES  </w:t>
      </w:r>
    </w:p>
    <w:p w14:paraId="137BD6FB" w14:textId="77777777" w:rsidR="00FC6682" w:rsidRDefault="00FC6682" w:rsidP="00FC6682">
      <w:pPr>
        <w:pStyle w:val="NoSpacing"/>
      </w:pPr>
    </w:p>
    <w:p w14:paraId="10F30B84" w14:textId="77777777" w:rsidR="00FC6682" w:rsidRDefault="00FC6682" w:rsidP="00FC6682">
      <w:pPr>
        <w:pStyle w:val="NoSpacing"/>
      </w:pPr>
      <w:r>
        <w:t xml:space="preserve">On December 22, 2025, in </w:t>
      </w:r>
      <w:r w:rsidRPr="004E708C">
        <w:rPr>
          <w:u w:val="single"/>
        </w:rPr>
        <w:t xml:space="preserve">Karl Rabenhorst v. Kristi L. Noem, Secretary, Department of Homeland </w:t>
      </w:r>
      <w:r>
        <w:rPr>
          <w:u w:val="single"/>
        </w:rPr>
        <w:t>S</w:t>
      </w:r>
      <w:r w:rsidRPr="004E708C">
        <w:rPr>
          <w:u w:val="single"/>
        </w:rPr>
        <w:t>ecurity</w:t>
      </w:r>
      <w:r>
        <w:t xml:space="preserve">, the U.S. Court of Appeals for Seventh Circuit (Chicago) held (3 to 0) that the DHS was properly granted summary judgment; the former FEMA employee was suspended for 13 days and also removed from deployment in Puerto Rice in October 2017 because of his misconduct. </w:t>
      </w:r>
      <w:hyperlink r:id="rId2567" w:history="1">
        <w:r w:rsidRPr="001402A1">
          <w:rPr>
            <w:rStyle w:val="Hyperlink"/>
          </w:rPr>
          <w:t>https://cases.justia.com/federal/appellate-courts/ca7/24-1297/24-1297-2025-12-22.pdf?ts=1766437242</w:t>
        </w:r>
      </w:hyperlink>
      <w:r>
        <w:t xml:space="preserve"> </w:t>
      </w:r>
    </w:p>
    <w:p w14:paraId="570D807F" w14:textId="77777777" w:rsidR="00FC6682" w:rsidRDefault="00FC6682" w:rsidP="00FC6682">
      <w:pPr>
        <w:pStyle w:val="NoSpacing"/>
      </w:pPr>
    </w:p>
    <w:p w14:paraId="3C077528" w14:textId="77777777" w:rsidR="00FC6682" w:rsidRDefault="00FC6682" w:rsidP="00FC6682">
      <w:pPr>
        <w:pStyle w:val="NoSpacing"/>
      </w:pPr>
    </w:p>
    <w:p w14:paraId="05266463" w14:textId="77777777" w:rsidR="00FC6682" w:rsidRDefault="00FC6682" w:rsidP="00FC6682">
      <w:pPr>
        <w:pStyle w:val="NoSpacing"/>
      </w:pPr>
      <w:r>
        <w:t>THE COURT HELD:</w:t>
      </w:r>
    </w:p>
    <w:p w14:paraId="2CE5F02D" w14:textId="77777777" w:rsidR="00FC6682" w:rsidRDefault="00FC6682" w:rsidP="00FC6682">
      <w:pPr>
        <w:pStyle w:val="NoSpacing"/>
      </w:pPr>
    </w:p>
    <w:p w14:paraId="0C3BA965" w14:textId="77777777" w:rsidR="00FC6682" w:rsidRDefault="00FC6682" w:rsidP="00FC6682">
      <w:pPr>
        <w:pStyle w:val="NoSpacing"/>
        <w:ind w:left="720"/>
      </w:pPr>
      <w:r>
        <w:t xml:space="preserve">“Rabenhorst was deployed to Puerto Rico in October 2017 in the wake of Hurricane Maria. Based on his military aviation and air operations experience, Rabenhorst was assigned to help oversee Puerto Rico air operations related to the disaster relief effort, including the airlifting of emergency aid to the island and medical evacuations from the island. In that capacity, Rabenhorst was working with female FEMA employees in their twenties who, according to him, knew nothing about air operations and management. Tensions arose between Rabenhorst and his female coworkers, and </w:t>
      </w:r>
      <w:proofErr w:type="gramStart"/>
      <w:r>
        <w:t>a number of</w:t>
      </w:r>
      <w:proofErr w:type="gramEnd"/>
      <w:r>
        <w:t xml:space="preserve"> the women became uncomfortable working with him. During staff meetings, Rabenhorst reportedly used profanity, treated his female coworkers and supervisors with disrespect, and on one </w:t>
      </w:r>
    </w:p>
    <w:p w14:paraId="67DE4043" w14:textId="77777777" w:rsidR="00FC6682" w:rsidRDefault="00FC6682" w:rsidP="00FC6682">
      <w:pPr>
        <w:pStyle w:val="NoSpacing"/>
        <w:ind w:left="720"/>
      </w:pPr>
      <w:r>
        <w:t xml:space="preserve">occasion referred to one or more of female colleagues as ‘sorority girls’ and remarked as to one of them that he had ‘paddled the butts of daughters who were older than her.’ Ultimately, approximately one month after Rabenhorst arrived in Puerto Rico, Josie Arcurio, the FEMA official serving as chief of staff for the relief effort, </w:t>
      </w:r>
      <w:r>
        <w:lastRenderedPageBreak/>
        <w:t>decided to remove him from the operation for cause, in view of his treatment of co-workers, and had him escorted out of the air operations branch in the view of other employees.</w:t>
      </w:r>
    </w:p>
    <w:p w14:paraId="5454297F" w14:textId="77777777" w:rsidR="00FC6682" w:rsidRDefault="00FC6682" w:rsidP="00FC6682">
      <w:pPr>
        <w:pStyle w:val="NoSpacing"/>
        <w:ind w:left="720"/>
      </w:pPr>
    </w:p>
    <w:p w14:paraId="3BC8E134" w14:textId="77777777" w:rsidR="00FC6682" w:rsidRDefault="00FC6682" w:rsidP="00FC6682">
      <w:pPr>
        <w:pStyle w:val="NoSpacing"/>
        <w:ind w:left="720"/>
      </w:pPr>
      <w:r>
        <w:t>***</w:t>
      </w:r>
    </w:p>
    <w:p w14:paraId="2474493B" w14:textId="77777777" w:rsidR="00FC6682" w:rsidRDefault="00FC6682" w:rsidP="00FC6682">
      <w:pPr>
        <w:pStyle w:val="NoSpacing"/>
        <w:ind w:left="720"/>
      </w:pPr>
      <w:r>
        <w:t xml:space="preserve">There was nothing suggesting that O’Leary [his </w:t>
      </w:r>
      <w:proofErr w:type="gramStart"/>
      <w:r>
        <w:t>Supervisor</w:t>
      </w:r>
      <w:proofErr w:type="gramEnd"/>
      <w:r>
        <w:t xml:space="preserve">] may have harbored a retaliatory animus; nothing indicating that </w:t>
      </w:r>
      <w:proofErr w:type="gramStart"/>
      <w:r>
        <w:t>similarly-situated</w:t>
      </w:r>
      <w:proofErr w:type="gramEnd"/>
      <w:r>
        <w:t xml:space="preserve"> employees were treated more leniently than Rabenhorst; and nothing suggesting that O’Leary’s stated reasons for disciplining Rabenhorst were pretextual.”</w:t>
      </w:r>
    </w:p>
    <w:p w14:paraId="1C2A1EE6" w14:textId="77777777" w:rsidR="00FC6682" w:rsidRDefault="00FC6682" w:rsidP="00FC6682">
      <w:pPr>
        <w:pStyle w:val="NoSpacing"/>
      </w:pPr>
    </w:p>
    <w:p w14:paraId="16F01574" w14:textId="77777777" w:rsidR="00FC6682" w:rsidRPr="00B85FEC" w:rsidRDefault="00FC6682" w:rsidP="00FC6682">
      <w:pPr>
        <w:pStyle w:val="NoSpacing"/>
        <w:rPr>
          <w:b/>
          <w:bCs/>
        </w:rPr>
      </w:pPr>
      <w:r>
        <w:rPr>
          <w:b/>
        </w:rPr>
        <w:t xml:space="preserve">Legal lesson learned: Inappropriate comments can lead to discipline. </w:t>
      </w:r>
    </w:p>
    <w:p w14:paraId="5CF76F7A" w14:textId="77777777" w:rsidR="00FC6682" w:rsidRDefault="00FC6682" w:rsidP="002F7727">
      <w:pPr>
        <w:pStyle w:val="NoSpacing"/>
        <w:rPr>
          <w:rFonts w:ascii="Arial Black" w:hAnsi="Arial Black"/>
          <w:b/>
          <w:sz w:val="24"/>
          <w:szCs w:val="24"/>
        </w:rPr>
      </w:pPr>
    </w:p>
    <w:p w14:paraId="570C3AA8" w14:textId="77777777" w:rsidR="00FC6682" w:rsidRDefault="00FC6682" w:rsidP="002F7727">
      <w:pPr>
        <w:pStyle w:val="NoSpacing"/>
        <w:rPr>
          <w:rFonts w:ascii="Arial Black" w:hAnsi="Arial Black"/>
          <w:b/>
          <w:sz w:val="24"/>
          <w:szCs w:val="24"/>
        </w:rPr>
      </w:pPr>
    </w:p>
    <w:p w14:paraId="4376075D" w14:textId="1D3C8363" w:rsidR="00FC6682" w:rsidRDefault="00FC6682" w:rsidP="002F7727">
      <w:pPr>
        <w:pStyle w:val="NoSpacing"/>
        <w:rPr>
          <w:rFonts w:ascii="Arial Black" w:hAnsi="Arial Black"/>
          <w:b/>
          <w:sz w:val="24"/>
          <w:szCs w:val="24"/>
        </w:rPr>
      </w:pPr>
      <w:r>
        <w:rPr>
          <w:rFonts w:ascii="Arial Black" w:hAnsi="Arial Black"/>
          <w:b/>
          <w:sz w:val="24"/>
          <w:szCs w:val="24"/>
        </w:rPr>
        <w:t>16-</w:t>
      </w:r>
      <w:r w:rsidR="00583923">
        <w:rPr>
          <w:rFonts w:ascii="Arial Black" w:hAnsi="Arial Black"/>
          <w:b/>
          <w:sz w:val="24"/>
          <w:szCs w:val="24"/>
        </w:rPr>
        <w:t>141</w:t>
      </w:r>
    </w:p>
    <w:p w14:paraId="0F111372" w14:textId="77777777" w:rsidR="00A26558" w:rsidRDefault="00A26558" w:rsidP="002F7727">
      <w:pPr>
        <w:pStyle w:val="NoSpacing"/>
        <w:rPr>
          <w:rFonts w:ascii="Arial Black" w:hAnsi="Arial Black"/>
          <w:b/>
          <w:sz w:val="24"/>
          <w:szCs w:val="24"/>
        </w:rPr>
      </w:pPr>
    </w:p>
    <w:p w14:paraId="42224E97" w14:textId="2B785E23" w:rsidR="00A26558" w:rsidRPr="00EF05BE" w:rsidRDefault="00A26558" w:rsidP="00A26558">
      <w:pPr>
        <w:rPr>
          <w:rFonts w:ascii="Arial Black" w:hAnsi="Arial Black"/>
          <w:bCs/>
          <w:sz w:val="28"/>
          <w:szCs w:val="28"/>
        </w:rPr>
      </w:pPr>
      <w:r>
        <w:rPr>
          <w:rFonts w:ascii="Arial Black" w:hAnsi="Arial Black"/>
          <w:sz w:val="28"/>
          <w:szCs w:val="28"/>
        </w:rPr>
        <w:t xml:space="preserve">IL: FF CONVICTED – ENTERED FALSE HRS </w:t>
      </w:r>
      <w:r w:rsidR="006063CB">
        <w:rPr>
          <w:rFonts w:ascii="Arial Black" w:hAnsi="Arial Black"/>
          <w:sz w:val="28"/>
          <w:szCs w:val="28"/>
        </w:rPr>
        <w:t xml:space="preserve">FOR </w:t>
      </w:r>
      <w:r>
        <w:rPr>
          <w:rFonts w:ascii="Arial Black" w:hAnsi="Arial Black"/>
          <w:sz w:val="28"/>
          <w:szCs w:val="28"/>
        </w:rPr>
        <w:t xml:space="preserve">2 YRS - $17,000 </w:t>
      </w:r>
    </w:p>
    <w:p w14:paraId="392DCE60" w14:textId="77777777" w:rsidR="00A26558" w:rsidRDefault="00A26558" w:rsidP="00A26558">
      <w:pPr>
        <w:rPr>
          <w:bCs/>
        </w:rPr>
      </w:pPr>
      <w:r>
        <w:t xml:space="preserve">On December 15, 2025, in </w:t>
      </w:r>
      <w:r w:rsidRPr="007072AE">
        <w:rPr>
          <w:u w:val="single"/>
        </w:rPr>
        <w:t>The People of the State of Illinois v. Greg Algrim</w:t>
      </w:r>
      <w:r>
        <w:t xml:space="preserve">, the </w:t>
      </w:r>
      <w:r w:rsidRPr="007072AE">
        <w:t>Appellate Court of Illinois, Second District</w:t>
      </w:r>
      <w:r>
        <w:t xml:space="preserve"> held (3 to 0) that the firefighter, with 22 years on the job, was properly convicted in bench trial of </w:t>
      </w:r>
      <w:r w:rsidRPr="00B02511">
        <w:t>19 counts of theft</w:t>
      </w:r>
      <w:r>
        <w:t xml:space="preserve">, which occurred </w:t>
      </w:r>
      <w:r w:rsidRPr="00C75DBC">
        <w:t>between August 2, 2019, and September 10, 2021</w:t>
      </w:r>
      <w:r>
        <w:t xml:space="preserve">. The firefighter had administrator privileges with the scheduling software, and would add a false day that he worked a shift, and then after he was paid by direct </w:t>
      </w:r>
      <w:proofErr w:type="gramStart"/>
      <w:r>
        <w:t>deposit</w:t>
      </w:r>
      <w:proofErr w:type="gramEnd"/>
      <w:r>
        <w:t xml:space="preserve"> he would delete the false entry.  </w:t>
      </w:r>
      <w:r w:rsidRPr="008D6B98">
        <w:t xml:space="preserve">The </w:t>
      </w:r>
      <w:r>
        <w:t xml:space="preserve">trial </w:t>
      </w:r>
      <w:r w:rsidRPr="008D6B98">
        <w:t>court sentenced him to three</w:t>
      </w:r>
      <w:r>
        <w:t xml:space="preserve"> </w:t>
      </w:r>
      <w:r w:rsidRPr="008D6B98">
        <w:t>years’ probation and ordered him to pay $17,211.52 in restitution.</w:t>
      </w:r>
      <w:r>
        <w:t xml:space="preserve"> </w:t>
      </w:r>
      <w:hyperlink r:id="rId2568" w:history="1">
        <w:r w:rsidRPr="00811005">
          <w:rPr>
            <w:rStyle w:val="Hyperlink"/>
          </w:rPr>
          <w:t>https://cases.justia.com/illinois/court-of-appeals-second-appellate-district/2025-2-24-0565.pdf?ts=1765847849</w:t>
        </w:r>
      </w:hyperlink>
      <w:r>
        <w:t xml:space="preserve"> </w:t>
      </w:r>
    </w:p>
    <w:p w14:paraId="2D52FDCF" w14:textId="77777777" w:rsidR="00A26558" w:rsidRDefault="00A26558" w:rsidP="00A26558">
      <w:pPr>
        <w:rPr>
          <w:bCs/>
        </w:rPr>
      </w:pPr>
      <w:r>
        <w:t>THE COURT HELD:</w:t>
      </w:r>
    </w:p>
    <w:p w14:paraId="63DFCC3B" w14:textId="77777777" w:rsidR="00A26558" w:rsidRDefault="00A26558" w:rsidP="00A26558">
      <w:pPr>
        <w:pStyle w:val="NoSpacing"/>
        <w:ind w:left="720"/>
      </w:pPr>
      <w:r>
        <w:t>“</w:t>
      </w:r>
      <w:r w:rsidRPr="00C75DBC">
        <w:t>Defendant worked as a firefighter for the Elburn and Countryside Fire Protection District</w:t>
      </w:r>
      <w:r>
        <w:t xml:space="preserve"> </w:t>
      </w:r>
      <w:r w:rsidRPr="00C75DBC">
        <w:t>(District) until September 20, 2021, when he was placed on paid administrative leave pending the</w:t>
      </w:r>
      <w:r>
        <w:t xml:space="preserve"> </w:t>
      </w:r>
      <w:proofErr w:type="gramStart"/>
      <w:r w:rsidRPr="00C75DBC">
        <w:t>District’s</w:t>
      </w:r>
      <w:proofErr w:type="gramEnd"/>
      <w:r w:rsidRPr="00C75DBC">
        <w:t xml:space="preserve"> inquiry into discrepancies between the </w:t>
      </w:r>
      <w:proofErr w:type="gramStart"/>
      <w:r w:rsidRPr="00C75DBC">
        <w:t>hours</w:t>
      </w:r>
      <w:proofErr w:type="gramEnd"/>
      <w:r w:rsidRPr="00C75DBC">
        <w:t xml:space="preserve"> he had been paid for and the hours he had</w:t>
      </w:r>
      <w:r>
        <w:t xml:space="preserve"> </w:t>
      </w:r>
      <w:proofErr w:type="gramStart"/>
      <w:r w:rsidRPr="00C75DBC">
        <w:t>actually worked</w:t>
      </w:r>
      <w:proofErr w:type="gramEnd"/>
      <w:r w:rsidRPr="00C75DBC">
        <w:t>. The police interviewed defendant on September 30, 2021, and he subsequently</w:t>
      </w:r>
      <w:r>
        <w:t xml:space="preserve"> </w:t>
      </w:r>
      <w:r w:rsidRPr="00C75DBC">
        <w:t xml:space="preserve">resigned on November 25, 2021. </w:t>
      </w:r>
    </w:p>
    <w:p w14:paraId="1BAAF211" w14:textId="77777777" w:rsidR="00A26558" w:rsidRDefault="00A26558" w:rsidP="00A26558">
      <w:pPr>
        <w:pStyle w:val="NoSpacing"/>
        <w:ind w:left="720"/>
      </w:pPr>
    </w:p>
    <w:p w14:paraId="0815289B" w14:textId="77777777" w:rsidR="00A26558" w:rsidRDefault="00A26558" w:rsidP="00A26558">
      <w:pPr>
        <w:pStyle w:val="NoSpacing"/>
        <w:ind w:left="720"/>
      </w:pPr>
      <w:r w:rsidRPr="00C75DBC">
        <w:t>On July 20, 2022, a grand jury indicted defendant on 20 counts</w:t>
      </w:r>
      <w:r>
        <w:t xml:space="preserve"> </w:t>
      </w:r>
      <w:r w:rsidRPr="00C75DBC">
        <w:t>of theft that occurred between August 2, 2019, and September 10, 2021</w:t>
      </w:r>
      <w:proofErr w:type="gramStart"/>
      <w:r>
        <w:t>…..</w:t>
      </w:r>
      <w:proofErr w:type="gramEnd"/>
      <w:r>
        <w:t xml:space="preserve"> Defendant waived his right to a jury trial, and a bench trial was held over the course of four days in 2024: February 1 and 2, March 21, and April 9.</w:t>
      </w:r>
    </w:p>
    <w:p w14:paraId="2EC37F27" w14:textId="77777777" w:rsidR="00A26558" w:rsidRDefault="00A26558" w:rsidP="00A26558">
      <w:pPr>
        <w:pStyle w:val="NoSpacing"/>
        <w:ind w:left="720"/>
      </w:pPr>
    </w:p>
    <w:p w14:paraId="1CF1C187" w14:textId="77777777" w:rsidR="00A26558" w:rsidRDefault="00A26558" w:rsidP="00A26558">
      <w:pPr>
        <w:pStyle w:val="NoSpacing"/>
        <w:ind w:left="720"/>
      </w:pPr>
      <w:r>
        <w:t>***</w:t>
      </w:r>
    </w:p>
    <w:p w14:paraId="019A2107" w14:textId="77777777" w:rsidR="00A26558" w:rsidRDefault="00A26558" w:rsidP="00A26558">
      <w:pPr>
        <w:pStyle w:val="NoSpacing"/>
      </w:pPr>
    </w:p>
    <w:p w14:paraId="10F1B9E0" w14:textId="77777777" w:rsidR="00A26558" w:rsidRDefault="00A26558" w:rsidP="00A26558">
      <w:pPr>
        <w:pStyle w:val="NoSpacing"/>
        <w:ind w:left="720"/>
      </w:pPr>
      <w:r>
        <w:t xml:space="preserve">The State first called Merry Morris, who had worked as a financial specialist for the </w:t>
      </w:r>
      <w:proofErr w:type="gramStart"/>
      <w:r>
        <w:t>District</w:t>
      </w:r>
      <w:proofErr w:type="gramEnd"/>
      <w:r>
        <w:t xml:space="preserve"> for nearly 12 years. In that role, Morris processed payroll for the </w:t>
      </w:r>
      <w:proofErr w:type="gramStart"/>
      <w:r>
        <w:t>District</w:t>
      </w:r>
      <w:proofErr w:type="gramEnd"/>
      <w:r>
        <w:t>. When asked to describe her role in the payroll process, Morris stated:</w:t>
      </w:r>
    </w:p>
    <w:p w14:paraId="24747FEC" w14:textId="77777777" w:rsidR="00A26558" w:rsidRDefault="00A26558" w:rsidP="00A26558">
      <w:pPr>
        <w:pStyle w:val="NoSpacing"/>
      </w:pPr>
    </w:p>
    <w:p w14:paraId="245C52E5" w14:textId="77777777" w:rsidR="00A26558" w:rsidRDefault="00A26558" w:rsidP="00A26558">
      <w:pPr>
        <w:pStyle w:val="NoSpacing"/>
        <w:ind w:left="720" w:firstLine="720"/>
      </w:pPr>
      <w:r>
        <w:t>“Once I was advised that the timecards had been looked at [by supervisors], then I</w:t>
      </w:r>
    </w:p>
    <w:p w14:paraId="04E4E856" w14:textId="77777777" w:rsidR="00A26558" w:rsidRDefault="00A26558" w:rsidP="00A26558">
      <w:pPr>
        <w:pStyle w:val="NoSpacing"/>
        <w:ind w:left="1440"/>
      </w:pPr>
      <w:r>
        <w:t>would pull the schedule from the scheduling software and download that into an Excel spreadsheet, and then I would look over the spreadsheet for any obvious anomalies or errors, and then that was downloaded into the payroll company’s software so that checks could be written.”</w:t>
      </w:r>
    </w:p>
    <w:p w14:paraId="5CB1CB7F" w14:textId="77777777" w:rsidR="00A26558" w:rsidRDefault="00A26558" w:rsidP="00A26558">
      <w:pPr>
        <w:pStyle w:val="NoSpacing"/>
      </w:pPr>
    </w:p>
    <w:p w14:paraId="2BD8BBB0" w14:textId="77777777" w:rsidR="00A26558" w:rsidRDefault="00A26558" w:rsidP="00A26558">
      <w:pPr>
        <w:pStyle w:val="NoSpacing"/>
        <w:ind w:left="720"/>
      </w:pPr>
      <w:r>
        <w:t xml:space="preserve">Defendant was one of three employees who had administrator privileges with the scheduling software. Morris said she had no way to check whether employees worked the number of hours listed; she “wasn’t there, so [she] had no means of doing that.” Employees were paid every other Friday and were required to report their hours by Monday morning preceding </w:t>
      </w:r>
      <w:proofErr w:type="gramStart"/>
      <w:r>
        <w:t>a payday</w:t>
      </w:r>
      <w:proofErr w:type="gramEnd"/>
      <w:r>
        <w:t>. The hours reported by employees had to be approved by their “officers.” All payments were made by direct deposit.</w:t>
      </w:r>
    </w:p>
    <w:p w14:paraId="34A52A5A" w14:textId="77777777" w:rsidR="00A26558" w:rsidRDefault="00A26558" w:rsidP="00A26558">
      <w:pPr>
        <w:pStyle w:val="NoSpacing"/>
        <w:ind w:left="720"/>
      </w:pPr>
    </w:p>
    <w:p w14:paraId="3F568940" w14:textId="77777777" w:rsidR="00A26558" w:rsidRDefault="00A26558" w:rsidP="00A26558">
      <w:pPr>
        <w:pStyle w:val="NoSpacing"/>
        <w:ind w:left="720"/>
      </w:pPr>
      <w:r>
        <w:lastRenderedPageBreak/>
        <w:t>***</w:t>
      </w:r>
    </w:p>
    <w:p w14:paraId="75DC2BD2" w14:textId="77777777" w:rsidR="00A26558" w:rsidRDefault="00A26558" w:rsidP="00A26558">
      <w:pPr>
        <w:pStyle w:val="NoSpacing"/>
        <w:ind w:firstLine="720"/>
      </w:pPr>
    </w:p>
    <w:p w14:paraId="1A8A13BF" w14:textId="77777777" w:rsidR="00A26558" w:rsidRDefault="00A26558" w:rsidP="00A26558">
      <w:pPr>
        <w:pStyle w:val="NoSpacing"/>
        <w:ind w:left="720"/>
      </w:pPr>
      <w:r>
        <w:t xml:space="preserve">[Assistant Fire Chief] Huneke testified that, on September 10, 2021, defendant informed him that an employee of the </w:t>
      </w:r>
      <w:proofErr w:type="gramStart"/>
      <w:r>
        <w:t>District</w:t>
      </w:r>
      <w:proofErr w:type="gramEnd"/>
      <w:r>
        <w:t xml:space="preserve"> had not received overtime pay for a particular day. When Huneke accessed the scheduling software to investigate the issue, he happened to notice that defendant appeared on the schedule as a fourth medic on the day in question. Huneke explained that, typically, only three medics were assigned to each ambulance. Huneke verified that defendant received pay for working that day. Huneke then texted defendant to ask if he had been paid for working that day. Defendant replied that he was unsure whether he had been paid, but if he had, it was a mistake and the money should be deducted from his next paycheck. Huneke notified Joe Cluchey, the fire chief at the time, of defendant’s payroll discrepancy. Cluchey instructed Huneke to examine the entire payroll for other discrepancies. Huneke found two additional payroll discrepancies, both for wages paid to defendant. Huneke did not find discrepancies for any other employee.</w:t>
      </w:r>
    </w:p>
    <w:p w14:paraId="3E2454FD" w14:textId="77777777" w:rsidR="00A26558" w:rsidRDefault="00A26558" w:rsidP="00A26558">
      <w:pPr>
        <w:pStyle w:val="NoSpacing"/>
      </w:pPr>
    </w:p>
    <w:p w14:paraId="12DD3625" w14:textId="77777777" w:rsidR="00A26558" w:rsidRDefault="00A26558" w:rsidP="00A26558">
      <w:pPr>
        <w:pStyle w:val="NoSpacing"/>
      </w:pPr>
      <w:r>
        <w:tab/>
        <w:t>***</w:t>
      </w:r>
    </w:p>
    <w:p w14:paraId="4B72E0D0" w14:textId="77777777" w:rsidR="00A26558" w:rsidRDefault="00A26558" w:rsidP="00A26558">
      <w:pPr>
        <w:pStyle w:val="NoSpacing"/>
        <w:ind w:left="720"/>
      </w:pPr>
      <w:r>
        <w:t xml:space="preserve">The log for the scheduling software showed that, on July 29 at 7:45 a.m., defendant signed into the scheduling software. At 7:57 a.m., defendant added himself to the schedule as a medic for voluntary overtime from 7 a.m. on July 24 to 7 a.m. on July 25. Payroll processing occurred the following Monday, July 29. On August 2, defendant signed into the scheduling software and deleted the 24-hour overtime shift that he had added. Huneke went on to testify about other discrepancies in the reports that inflated defendant’s pay. Huneke stated that his investigation found no discrepancies affecting other </w:t>
      </w:r>
      <w:proofErr w:type="gramStart"/>
      <w:r>
        <w:t>employees.”</w:t>
      </w:r>
      <w:proofErr w:type="gramEnd"/>
    </w:p>
    <w:p w14:paraId="11276E52" w14:textId="77777777" w:rsidR="00A26558" w:rsidRDefault="00A26558" w:rsidP="00A26558">
      <w:pPr>
        <w:pStyle w:val="NoSpacing"/>
        <w:ind w:left="720"/>
      </w:pPr>
    </w:p>
    <w:p w14:paraId="30C002B4" w14:textId="77777777" w:rsidR="00A26558" w:rsidRDefault="00A26558" w:rsidP="00A26558">
      <w:pPr>
        <w:pStyle w:val="NoSpacing"/>
        <w:rPr>
          <w:b/>
          <w:bCs/>
        </w:rPr>
      </w:pPr>
      <w:r>
        <w:rPr>
          <w:b/>
        </w:rPr>
        <w:t xml:space="preserve">Legal lesson learned:  Payroll software should reflect all entries and deletions; and should be audited at least each year by auditing entity. </w:t>
      </w:r>
    </w:p>
    <w:p w14:paraId="51346EBC" w14:textId="77777777" w:rsidR="00A26558" w:rsidRDefault="00A26558" w:rsidP="00A26558">
      <w:pPr>
        <w:pStyle w:val="NoSpacing"/>
        <w:rPr>
          <w:b/>
          <w:bCs/>
        </w:rPr>
      </w:pPr>
    </w:p>
    <w:p w14:paraId="6388F6BD" w14:textId="77777777" w:rsidR="00A26558" w:rsidRDefault="00A26558" w:rsidP="00A26558">
      <w:pPr>
        <w:pStyle w:val="NoSpacing"/>
        <w:rPr>
          <w:b/>
          <w:bCs/>
        </w:rPr>
      </w:pPr>
    </w:p>
    <w:p w14:paraId="00D9E491" w14:textId="51B58937" w:rsidR="00A26558" w:rsidRDefault="00A26558" w:rsidP="002F7727">
      <w:pPr>
        <w:pStyle w:val="NoSpacing"/>
        <w:rPr>
          <w:rFonts w:ascii="Arial Black" w:hAnsi="Arial Black"/>
          <w:b/>
          <w:sz w:val="24"/>
          <w:szCs w:val="24"/>
        </w:rPr>
      </w:pPr>
      <w:r>
        <w:rPr>
          <w:rFonts w:ascii="Arial Black" w:hAnsi="Arial Black"/>
          <w:b/>
          <w:sz w:val="24"/>
          <w:szCs w:val="24"/>
        </w:rPr>
        <w:t>16-</w:t>
      </w:r>
      <w:r w:rsidR="00583923">
        <w:rPr>
          <w:rFonts w:ascii="Arial Black" w:hAnsi="Arial Black"/>
          <w:b/>
          <w:sz w:val="24"/>
          <w:szCs w:val="24"/>
        </w:rPr>
        <w:t>140</w:t>
      </w:r>
    </w:p>
    <w:p w14:paraId="47B46F42" w14:textId="77777777" w:rsidR="00583923" w:rsidRDefault="00583923" w:rsidP="002F7727">
      <w:pPr>
        <w:pStyle w:val="NoSpacing"/>
        <w:rPr>
          <w:rFonts w:ascii="Arial Black" w:hAnsi="Arial Black"/>
          <w:b/>
          <w:sz w:val="24"/>
          <w:szCs w:val="24"/>
        </w:rPr>
      </w:pPr>
    </w:p>
    <w:p w14:paraId="27B05BF3" w14:textId="2948F767" w:rsidR="00583923" w:rsidRPr="00C51DC6" w:rsidRDefault="00583923" w:rsidP="00583923">
      <w:pPr>
        <w:pStyle w:val="NoSpacing"/>
        <w:rPr>
          <w:rFonts w:ascii="Arial Black" w:hAnsi="Arial Black"/>
          <w:bCs/>
          <w:sz w:val="28"/>
          <w:szCs w:val="28"/>
        </w:rPr>
      </w:pPr>
      <w:r>
        <w:rPr>
          <w:rFonts w:ascii="Arial Black" w:hAnsi="Arial Black"/>
          <w:sz w:val="28"/>
          <w:szCs w:val="28"/>
        </w:rPr>
        <w:t>NY: FDNY – COVID RELIGIOUS APPEAL – NO CASE</w:t>
      </w:r>
    </w:p>
    <w:p w14:paraId="33C43BAA" w14:textId="77777777" w:rsidR="00583923" w:rsidRDefault="00583923" w:rsidP="00583923">
      <w:pPr>
        <w:pStyle w:val="NoSpacing"/>
        <w:ind w:left="720"/>
        <w:rPr>
          <w:bCs/>
        </w:rPr>
      </w:pPr>
    </w:p>
    <w:p w14:paraId="0A31C00E" w14:textId="77777777" w:rsidR="00583923" w:rsidRDefault="00583923" w:rsidP="00583923">
      <w:pPr>
        <w:rPr>
          <w:bCs/>
        </w:rPr>
      </w:pPr>
      <w:r>
        <w:t xml:space="preserve">On December 17, 2025, </w:t>
      </w:r>
      <w:r w:rsidRPr="00C54553">
        <w:rPr>
          <w:u w:val="single"/>
        </w:rPr>
        <w:t>In The Matter</w:t>
      </w:r>
      <w:r w:rsidRPr="00B2157A">
        <w:rPr>
          <w:u w:val="single"/>
        </w:rPr>
        <w:t xml:space="preserve"> of Christopher Hughes v. New York City Fire Department, et al</w:t>
      </w:r>
      <w:r w:rsidRPr="00B2157A">
        <w:t>.,</w:t>
      </w:r>
      <w:r w:rsidRPr="0013709D">
        <w:rPr>
          <w:b/>
        </w:rPr>
        <w:t xml:space="preserve"> </w:t>
      </w:r>
      <w:r w:rsidRPr="00B2157A">
        <w:t>the Supreme Court of New York, Second Department</w:t>
      </w:r>
      <w:r>
        <w:t xml:space="preserve"> held (4 to 0) that the trial court judge decision reinstating the firefighter is reversed; NYFD properly fired the plaintiff on July 27, 2022 after denying his religious accommodation request. </w:t>
      </w:r>
      <w:hyperlink r:id="rId2569" w:history="1">
        <w:r w:rsidRPr="00B346EB">
          <w:rPr>
            <w:rStyle w:val="Hyperlink"/>
          </w:rPr>
          <w:t>https://law.justia.com/cases/new-york/appellate-division-second-department/2025/2024-01225.html</w:t>
        </w:r>
      </w:hyperlink>
      <w:r>
        <w:t xml:space="preserve"> </w:t>
      </w:r>
    </w:p>
    <w:p w14:paraId="31A17DA7" w14:textId="77777777" w:rsidR="00583923" w:rsidRDefault="00583923" w:rsidP="00583923">
      <w:pPr>
        <w:pStyle w:val="NoSpacing"/>
      </w:pPr>
      <w:r>
        <w:t>THE COURT HELD:</w:t>
      </w:r>
    </w:p>
    <w:p w14:paraId="1B5E3BB9" w14:textId="77777777" w:rsidR="00583923" w:rsidRDefault="00583923" w:rsidP="00583923">
      <w:pPr>
        <w:pStyle w:val="NoSpacing"/>
      </w:pPr>
    </w:p>
    <w:p w14:paraId="0925E9B3" w14:textId="77777777" w:rsidR="00583923" w:rsidRDefault="00583923" w:rsidP="00583923">
      <w:pPr>
        <w:pStyle w:val="NoSpacing"/>
        <w:ind w:left="720"/>
      </w:pPr>
      <w:r>
        <w:t>“</w:t>
      </w:r>
      <w:r w:rsidRPr="00042449">
        <w:t>The petitioner was a firefighter with the New York City Fire Department (hereinafter the FDNY). By order dated October 20, 2021, the New York City Commissioner of Health and Mental Hygiene issued a mandate requiring all City employees, among others, to submit proof that they had received at least one dose of a COVID-19 vaccine by October 29, 2021 (hereinafter the vaccine mandate). On November 1, 2021, the petitioner was placed on leave, without pay, since he failed to submit proof of vaccination or request a reasonable accommodation by the specified deadline.</w:t>
      </w:r>
    </w:p>
    <w:p w14:paraId="0E832211" w14:textId="77777777" w:rsidR="00583923" w:rsidRDefault="00583923" w:rsidP="00583923">
      <w:pPr>
        <w:pStyle w:val="NoSpacing"/>
      </w:pPr>
    </w:p>
    <w:p w14:paraId="57BE95D4" w14:textId="77777777" w:rsidR="00583923" w:rsidRDefault="00583923" w:rsidP="00583923">
      <w:pPr>
        <w:pStyle w:val="NoSpacing"/>
        <w:ind w:left="720"/>
      </w:pPr>
      <w:r w:rsidRPr="00507DFD">
        <w:t xml:space="preserve">On November 5, 2021, the petitioner submitted a request to the FDNY's Equal Employment Opportunity Office for a reasonable accommodation from the vaccine mandate based on his religion, which was denied on December 8, 2021. The petitioner then appealed to the City of New York Reasonable Accommodation Appeals Panel (hereinafter the Panel). In a determination dated July 11, 2022, the Panel upheld the FDNY's denial of the petitioner's request for </w:t>
      </w:r>
      <w:proofErr w:type="gramStart"/>
      <w:r w:rsidRPr="00507DFD">
        <w:t>a reasonable</w:t>
      </w:r>
      <w:proofErr w:type="gramEnd"/>
      <w:r w:rsidRPr="00507DFD">
        <w:t xml:space="preserve"> accommodation. The FDNY then terminated the petitioner's employment on July 27, 2022.</w:t>
      </w:r>
    </w:p>
    <w:p w14:paraId="4586D3EF" w14:textId="77777777" w:rsidR="00583923" w:rsidRDefault="00583923" w:rsidP="00583923">
      <w:pPr>
        <w:pStyle w:val="NoSpacing"/>
        <w:ind w:left="720"/>
      </w:pPr>
    </w:p>
    <w:p w14:paraId="607D6392" w14:textId="77777777" w:rsidR="00583923" w:rsidRDefault="00583923" w:rsidP="00583923">
      <w:pPr>
        <w:pStyle w:val="NoSpacing"/>
        <w:ind w:left="720"/>
      </w:pPr>
      <w:r>
        <w:t>***</w:t>
      </w:r>
    </w:p>
    <w:p w14:paraId="4561B985" w14:textId="77777777" w:rsidR="00583923" w:rsidRDefault="00583923" w:rsidP="00583923">
      <w:pPr>
        <w:pStyle w:val="NoSpacing"/>
        <w:ind w:left="720"/>
      </w:pPr>
      <w:r w:rsidRPr="00E03C01">
        <w:lastRenderedPageBreak/>
        <w:t>Supreme Court, Kings County (Joy F. Campanelli, J), dated October 18, 2023</w:t>
      </w:r>
      <w:r>
        <w:t xml:space="preserve"> … </w:t>
      </w:r>
      <w:r w:rsidRPr="00E03C01">
        <w:t>granted the petition, in effect, annulled the determination dated July 11, 2022, directed the New York City Fire Department and the City of New York to reinstate the petitioner to his position as a firefighter with a reasonable accommodation from the vaccine mandate and back pay, and directed that the petitioner was entitled to an award of attorneys' fees.</w:t>
      </w:r>
    </w:p>
    <w:p w14:paraId="51170938" w14:textId="77777777" w:rsidR="00583923" w:rsidRDefault="00583923" w:rsidP="00583923">
      <w:pPr>
        <w:pStyle w:val="NoSpacing"/>
        <w:ind w:left="720"/>
      </w:pPr>
    </w:p>
    <w:p w14:paraId="7BC98461" w14:textId="77777777" w:rsidR="00583923" w:rsidRDefault="00583923" w:rsidP="00583923">
      <w:pPr>
        <w:pStyle w:val="NoSpacing"/>
        <w:ind w:left="720"/>
      </w:pPr>
      <w:r>
        <w:t>***</w:t>
      </w:r>
    </w:p>
    <w:p w14:paraId="7CE871AC" w14:textId="77777777" w:rsidR="00583923" w:rsidRDefault="00583923" w:rsidP="00583923">
      <w:pPr>
        <w:pStyle w:val="NoSpacing"/>
        <w:ind w:left="720"/>
      </w:pPr>
    </w:p>
    <w:p w14:paraId="7C5DDE2C" w14:textId="77777777" w:rsidR="00583923" w:rsidRDefault="00583923" w:rsidP="00583923">
      <w:pPr>
        <w:pStyle w:val="NoSpacing"/>
        <w:ind w:left="720"/>
      </w:pPr>
      <w:r w:rsidRPr="008D4AC1">
        <w:t xml:space="preserve">The </w:t>
      </w:r>
      <w:r>
        <w:t xml:space="preserve">[FDNY] </w:t>
      </w:r>
      <w:r w:rsidRPr="008D4AC1">
        <w:t>provided information on the process for reviewing accommodation requests related to the vaccine mandate and informed employees on how to appeal request denials. The record demonstrates that the petitioner availed himself of this process. Moreover, the record shows that there were multiple communications between the petitioner, the FDNY, and the Panel regarding the petitioner's request. The petitioner "failed to establish that, under the unique circumstances present at the time of the vaccine mandate, the NYCHRL required a more robust or individual dialogue" (</w:t>
      </w:r>
      <w:r w:rsidRPr="008D4AC1">
        <w:rPr>
          <w:i/>
          <w:iCs/>
        </w:rPr>
        <w:t>Matter of Smith v New York City Fire Dept.</w:t>
      </w:r>
      <w:r w:rsidRPr="008D4AC1">
        <w:t>, 239 AD3d at 872).</w:t>
      </w:r>
      <w:r>
        <w:t>”</w:t>
      </w:r>
    </w:p>
    <w:p w14:paraId="38214694" w14:textId="77777777" w:rsidR="00583923" w:rsidRDefault="00583923" w:rsidP="00583923">
      <w:pPr>
        <w:pStyle w:val="NoSpacing"/>
        <w:ind w:left="720"/>
      </w:pPr>
    </w:p>
    <w:p w14:paraId="6F9D7AB2" w14:textId="77777777" w:rsidR="00583923" w:rsidRPr="00431A3E" w:rsidRDefault="00583923" w:rsidP="00583923">
      <w:pPr>
        <w:pStyle w:val="NoSpacing"/>
        <w:rPr>
          <w:b/>
          <w:bCs/>
        </w:rPr>
      </w:pPr>
      <w:r>
        <w:rPr>
          <w:b/>
        </w:rPr>
        <w:t xml:space="preserve">Legal lesson learned: </w:t>
      </w:r>
      <w:r w:rsidRPr="00431A3E">
        <w:rPr>
          <w:b/>
        </w:rPr>
        <w:t xml:space="preserve">The </w:t>
      </w:r>
      <w:r>
        <w:rPr>
          <w:b/>
        </w:rPr>
        <w:t xml:space="preserve">Supreme </w:t>
      </w:r>
      <w:r w:rsidRPr="00431A3E">
        <w:rPr>
          <w:b/>
        </w:rPr>
        <w:t>Court</w:t>
      </w:r>
      <w:r>
        <w:rPr>
          <w:b/>
        </w:rPr>
        <w:t xml:space="preserve"> of New York</w:t>
      </w:r>
      <w:r w:rsidRPr="00431A3E">
        <w:rPr>
          <w:b/>
        </w:rPr>
        <w:t xml:space="preserve"> has repeatedly upheld </w:t>
      </w:r>
      <w:r>
        <w:rPr>
          <w:b/>
        </w:rPr>
        <w:t xml:space="preserve">termination decisions after firefighters </w:t>
      </w:r>
      <w:proofErr w:type="gramStart"/>
      <w:r>
        <w:rPr>
          <w:b/>
        </w:rPr>
        <w:t>has</w:t>
      </w:r>
      <w:proofErr w:type="gramEnd"/>
      <w:r>
        <w:rPr>
          <w:b/>
        </w:rPr>
        <w:t xml:space="preserve"> appealed to t</w:t>
      </w:r>
      <w:r w:rsidRPr="00431A3E">
        <w:rPr>
          <w:b/>
        </w:rPr>
        <w:t>he City of New York Reasonable Accommodation Appeals Panel</w:t>
      </w:r>
      <w:r>
        <w:rPr>
          <w:b/>
        </w:rPr>
        <w:t>.</w:t>
      </w:r>
    </w:p>
    <w:p w14:paraId="07790431" w14:textId="77777777" w:rsidR="00583923" w:rsidRDefault="00583923" w:rsidP="00583923">
      <w:pPr>
        <w:rPr>
          <w:b/>
        </w:rPr>
      </w:pPr>
    </w:p>
    <w:p w14:paraId="28FDB25D" w14:textId="77777777" w:rsidR="00583923" w:rsidRDefault="00583923" w:rsidP="002F7727">
      <w:pPr>
        <w:pStyle w:val="NoSpacing"/>
        <w:rPr>
          <w:rFonts w:ascii="Arial Black" w:hAnsi="Arial Black"/>
          <w:b/>
          <w:sz w:val="24"/>
          <w:szCs w:val="24"/>
        </w:rPr>
      </w:pPr>
    </w:p>
    <w:p w14:paraId="47FC3B6E" w14:textId="77777777" w:rsidR="00966476" w:rsidRDefault="00966476" w:rsidP="002F7727">
      <w:pPr>
        <w:pStyle w:val="NoSpacing"/>
        <w:rPr>
          <w:rFonts w:ascii="Arial Black" w:hAnsi="Arial Black"/>
          <w:b/>
          <w:sz w:val="24"/>
          <w:szCs w:val="24"/>
        </w:rPr>
      </w:pPr>
    </w:p>
    <w:p w14:paraId="10446712" w14:textId="77777777" w:rsidR="00966476" w:rsidRDefault="00966476" w:rsidP="002F7727">
      <w:pPr>
        <w:pStyle w:val="NoSpacing"/>
        <w:rPr>
          <w:rFonts w:ascii="Arial Black" w:hAnsi="Arial Black"/>
          <w:b/>
          <w:sz w:val="24"/>
          <w:szCs w:val="24"/>
        </w:rPr>
      </w:pPr>
    </w:p>
    <w:p w14:paraId="0D1E15C8" w14:textId="3280BFA2" w:rsidR="00E775DC" w:rsidRDefault="00E775DC" w:rsidP="002F7727">
      <w:pPr>
        <w:pStyle w:val="NoSpacing"/>
        <w:rPr>
          <w:rFonts w:ascii="Arial Black" w:hAnsi="Arial Black"/>
          <w:b/>
          <w:sz w:val="24"/>
          <w:szCs w:val="24"/>
        </w:rPr>
      </w:pPr>
      <w:r>
        <w:rPr>
          <w:rFonts w:ascii="Arial Black" w:hAnsi="Arial Black"/>
          <w:b/>
          <w:sz w:val="24"/>
          <w:szCs w:val="24"/>
        </w:rPr>
        <w:t>16-13</w:t>
      </w:r>
      <w:r w:rsidR="00D11FFB">
        <w:rPr>
          <w:rFonts w:ascii="Arial Black" w:hAnsi="Arial Black"/>
          <w:b/>
          <w:sz w:val="24"/>
          <w:szCs w:val="24"/>
        </w:rPr>
        <w:t>9</w:t>
      </w:r>
    </w:p>
    <w:p w14:paraId="4BCCC6D2" w14:textId="77777777" w:rsidR="007E0BE0" w:rsidRDefault="007E0BE0" w:rsidP="00E775DC">
      <w:pPr>
        <w:pStyle w:val="NoSpacing"/>
        <w:rPr>
          <w:rFonts w:ascii="Arial Black" w:hAnsi="Arial Black"/>
          <w:sz w:val="28"/>
          <w:szCs w:val="28"/>
        </w:rPr>
      </w:pPr>
    </w:p>
    <w:p w14:paraId="507A8B4A" w14:textId="4A161267" w:rsidR="00E775DC" w:rsidRDefault="00E775DC" w:rsidP="00E775DC">
      <w:pPr>
        <w:pStyle w:val="NoSpacing"/>
        <w:rPr>
          <w:rFonts w:ascii="Arial Black" w:hAnsi="Arial Black"/>
          <w:sz w:val="28"/>
          <w:szCs w:val="28"/>
        </w:rPr>
      </w:pPr>
      <w:r>
        <w:rPr>
          <w:rFonts w:ascii="Arial Black" w:hAnsi="Arial Black"/>
          <w:sz w:val="28"/>
          <w:szCs w:val="28"/>
        </w:rPr>
        <w:t>OH: FF ARRESTED CHILD PORN – IN JAIL UNTIL TRIAL</w:t>
      </w:r>
    </w:p>
    <w:p w14:paraId="083E6BAE" w14:textId="77777777" w:rsidR="00E775DC" w:rsidRDefault="00E775DC" w:rsidP="00E775DC">
      <w:pPr>
        <w:pStyle w:val="NoSpacing"/>
        <w:rPr>
          <w:rFonts w:ascii="Arial Black" w:hAnsi="Arial Black"/>
          <w:sz w:val="28"/>
          <w:szCs w:val="28"/>
        </w:rPr>
      </w:pPr>
    </w:p>
    <w:p w14:paraId="5DB5A4DC" w14:textId="77777777" w:rsidR="00E775DC" w:rsidRDefault="00E775DC" w:rsidP="00E775DC">
      <w:pPr>
        <w:pStyle w:val="NoSpacing"/>
      </w:pPr>
      <w:r>
        <w:t xml:space="preserve">On November 18, </w:t>
      </w:r>
      <w:proofErr w:type="gramStart"/>
      <w:r>
        <w:t>2025</w:t>
      </w:r>
      <w:proofErr w:type="gramEnd"/>
      <w:r>
        <w:t xml:space="preserve"> in </w:t>
      </w:r>
      <w:r w:rsidRPr="00831A9A">
        <w:rPr>
          <w:u w:val="single"/>
        </w:rPr>
        <w:t>United States of America v. Carson A. Bigham</w:t>
      </w:r>
      <w:r>
        <w:t xml:space="preserve">, U.S. District Court Judge Algenon L. Marbley, United States District Court for Southern District of Ohio, Eastern Division, denied the firefighter’s </w:t>
      </w:r>
      <w:r w:rsidRPr="00006775">
        <w:t>Motion for the Revocation of Detention</w:t>
      </w:r>
      <w:r>
        <w:t xml:space="preserve">; he was arrested on May 22, 2025, and denied release by U.S. Magistrate Judge </w:t>
      </w:r>
      <w:r w:rsidRPr="001337BD">
        <w:t>Kimberly A. Jolson</w:t>
      </w:r>
      <w:r>
        <w:t>. The Government advised the Court that Bigham, us</w:t>
      </w:r>
      <w:r w:rsidRPr="00A96EF6">
        <w:t>ing an alias</w:t>
      </w:r>
      <w:r>
        <w:t xml:space="preserve"> starting </w:t>
      </w:r>
      <w:proofErr w:type="spellStart"/>
      <w:r>
        <w:t>n</w:t>
      </w:r>
      <w:proofErr w:type="spellEnd"/>
      <w:r>
        <w:t xml:space="preserve"> August 2024, </w:t>
      </w:r>
      <w:r w:rsidRPr="00A96EF6">
        <w:t>began communicating with a one Mr. Richard Tyler Campbell over Snapchat, where they discussed having sex with minors.</w:t>
      </w:r>
      <w:r>
        <w:t xml:space="preserve">  THE COURT WROTE: “</w:t>
      </w:r>
      <w:r w:rsidRPr="00434B35">
        <w:t>Here, the weight of evidence of Bigham's dangerousness is apparent. Carson Bigham is a firefighter entrusted with public safety.</w:t>
      </w:r>
      <w:r>
        <w:t xml:space="preserve"> *** </w:t>
      </w:r>
      <w:r w:rsidRPr="00434B35">
        <w:t>He even left his underwear and a used condom for Campbell outside the Columbus fire station he worked at as a “show of good faith.” (</w:t>
      </w:r>
      <w:r w:rsidRPr="00434B35">
        <w:rPr>
          <w:i/>
          <w:iCs/>
        </w:rPr>
        <w:t>Id.</w:t>
      </w:r>
      <w:r w:rsidRPr="00434B35">
        <w:t xml:space="preserve"> at 12-13). Bigham used his own fire station as a personal playground for his fetishes and took brazen, public steps to view and obtain more child pornography. This demonstrates the danger that he would pose to minors and the public if released. This factor also weighs in favor of detention.</w:t>
      </w:r>
      <w:r>
        <w:t xml:space="preserve">” </w:t>
      </w:r>
    </w:p>
    <w:p w14:paraId="1C828409" w14:textId="77777777" w:rsidR="00E775DC" w:rsidRDefault="00E775DC" w:rsidP="00E775DC">
      <w:pPr>
        <w:pStyle w:val="NoSpacing"/>
      </w:pPr>
      <w:hyperlink r:id="rId2570" w:history="1">
        <w:r w:rsidRPr="00583A8C">
          <w:rPr>
            <w:rStyle w:val="Hyperlink"/>
          </w:rPr>
          <w:t>https://public.fastcase.com/jaEE2PXzRXmZ99jOLMt1Io06bpL9%2FLcVXr53aaIUyQvAP5%2BtJH87Oz9onDjzcythnenHIV2f708%2FwR4gt4qkO1f7jeRt%2FKEtj1yUDHm75oU%3D?utm_medium=email&amp;_hsenc=p2ANqtz-_2UmH9uPWr2Na6-FEToPkSf6GcL7PU5KfrxYC2lQgS-z6zkFrF54nulArls3PhR-gkNqFrsBzQlt3BvLsHbxpWeUso_A&amp;_hsmi=226712652&amp;utm_content=226712652&amp;utm_source=hs_email</w:t>
        </w:r>
      </w:hyperlink>
      <w:r>
        <w:t xml:space="preserve"> </w:t>
      </w:r>
    </w:p>
    <w:p w14:paraId="56100743" w14:textId="77777777" w:rsidR="00E775DC" w:rsidRDefault="00E775DC" w:rsidP="00E775DC">
      <w:pPr>
        <w:pStyle w:val="NoSpacing"/>
      </w:pPr>
    </w:p>
    <w:p w14:paraId="3FF385CF" w14:textId="77777777" w:rsidR="00E775DC" w:rsidRDefault="00E775DC" w:rsidP="00E775DC">
      <w:pPr>
        <w:pStyle w:val="NoSpacing"/>
      </w:pPr>
      <w:r>
        <w:t>THE COURT HELD:</w:t>
      </w:r>
    </w:p>
    <w:p w14:paraId="7C612253" w14:textId="77777777" w:rsidR="00E775DC" w:rsidRDefault="00E775DC" w:rsidP="00E775DC">
      <w:pPr>
        <w:pStyle w:val="NoSpacing"/>
      </w:pPr>
    </w:p>
    <w:p w14:paraId="356EB8F9" w14:textId="77777777" w:rsidR="00E775DC" w:rsidRDefault="00E775DC" w:rsidP="00E775DC">
      <w:pPr>
        <w:pStyle w:val="NoSpacing"/>
        <w:ind w:left="720"/>
        <w:rPr>
          <w:bCs/>
        </w:rPr>
      </w:pPr>
      <w:r>
        <w:t>“</w:t>
      </w:r>
      <w:r w:rsidRPr="00A13912">
        <w:t> Mr. Bigham is a firefighter in the Columbus area who is charged with possession of child pornography</w:t>
      </w:r>
      <w:r>
        <w:t xml:space="preserve">…. </w:t>
      </w:r>
      <w:r w:rsidRPr="00A13912">
        <w:t>The Government alleges that in August 2024, Bigham, using an alias, began communicating with a one Mr. Richard Tyler Campbell over Snapchat, where they discussed having sex with minors</w:t>
      </w:r>
      <w:r>
        <w:t xml:space="preserve">…. </w:t>
      </w:r>
      <w:r w:rsidRPr="00A13912">
        <w:t xml:space="preserve">Campbell sent Bigham a video of an adult man engaging in sex acts prepubescent minor who appeared to be 6 or 7 years old. Bigham expressed gratitude and requested specific child pornography from Campbell, including pornography that would depict the minor child </w:t>
      </w:r>
      <w:r>
        <w:t>‘</w:t>
      </w:r>
      <w:r w:rsidRPr="00A13912">
        <w:t>bent over</w:t>
      </w:r>
      <w:r>
        <w:t>’</w:t>
      </w:r>
      <w:r w:rsidRPr="00A13912">
        <w:t xml:space="preserve"> in the way that Bigham </w:t>
      </w:r>
      <w:r>
        <w:t>‘</w:t>
      </w:r>
      <w:r w:rsidRPr="00A13912">
        <w:t>[would] want her.</w:t>
      </w:r>
      <w:r>
        <w:t xml:space="preserve">’ … </w:t>
      </w:r>
      <w:r w:rsidRPr="00A13912">
        <w:t xml:space="preserve"> The two met at a restaurant for lunch, where they watched child pornography on Campbell's phone-including videos of a minor victim being sexually assaulted. Campbell told Bigham that this video showing sexual assault of a minor depicted Campbell</w:t>
      </w:r>
      <w:r>
        <w:t xml:space="preserve">…. </w:t>
      </w:r>
    </w:p>
    <w:p w14:paraId="73BAF4CE" w14:textId="77777777" w:rsidR="00E775DC" w:rsidRDefault="00E775DC" w:rsidP="00E775DC">
      <w:pPr>
        <w:pStyle w:val="NoSpacing"/>
        <w:ind w:left="720"/>
        <w:rPr>
          <w:bCs/>
        </w:rPr>
      </w:pPr>
    </w:p>
    <w:p w14:paraId="664E868F" w14:textId="77777777" w:rsidR="00E775DC" w:rsidRDefault="00E775DC" w:rsidP="00E775DC">
      <w:pPr>
        <w:pStyle w:val="NoSpacing"/>
        <w:ind w:left="720"/>
      </w:pPr>
      <w:r w:rsidRPr="008D447A">
        <w:lastRenderedPageBreak/>
        <w:t xml:space="preserve">Law enforcement executed a search warrant </w:t>
      </w:r>
      <w:proofErr w:type="gramStart"/>
      <w:r w:rsidRPr="008D447A">
        <w:t>of</w:t>
      </w:r>
      <w:proofErr w:type="gramEnd"/>
      <w:r w:rsidRPr="008D447A">
        <w:t xml:space="preserve"> Campbell's residence in February 2025, and after reviewing Campbell's devices, discovered the correspondence with Bigham. Campbell was arrested in March 2025, and Bigham was arrested and ordered temporarily detained on May 22, 2025</w:t>
      </w:r>
      <w:r>
        <w:t xml:space="preserve">…. </w:t>
      </w:r>
      <w:r w:rsidRPr="008D447A">
        <w:t>The Magistrate Judge held a detention hearing on May 27 where the Government proffered Bigham's full confession to law enforcement; Bigham was ordered detained pending trial</w:t>
      </w:r>
      <w:r>
        <w:t xml:space="preserve">… </w:t>
      </w:r>
      <w:r w:rsidRPr="008D447A">
        <w:t xml:space="preserve">Law enforcement completed its forensic review of Bigham's cellular phone following his detention, locating his correspondence with Campbell, along with </w:t>
      </w:r>
      <w:r>
        <w:t>‘</w:t>
      </w:r>
      <w:r w:rsidRPr="008D447A">
        <w:t>one other file of child pornography.</w:t>
      </w:r>
      <w:r>
        <w:t xml:space="preserve">’ … </w:t>
      </w:r>
      <w:r w:rsidRPr="008D447A">
        <w:t xml:space="preserve">Bigham moved to revoke his detention pursuant to 18 U.S.C. § 3145(b) on September 19, 2025, arguing that no substantial </w:t>
      </w:r>
      <w:r>
        <w:t>‘</w:t>
      </w:r>
      <w:r w:rsidRPr="008D447A">
        <w:t>trove</w:t>
      </w:r>
      <w:r>
        <w:t>’</w:t>
      </w:r>
      <w:r w:rsidRPr="008D447A">
        <w:t xml:space="preserve"> of child pornography had materialized</w:t>
      </w:r>
      <w:r>
        <w:t xml:space="preserve">…. </w:t>
      </w:r>
      <w:r w:rsidRPr="008D447A">
        <w:t xml:space="preserve"> The Government opposed revocation of his pre-trial detention, and on October 31, this Court heard argument on the issue.</w:t>
      </w:r>
    </w:p>
    <w:p w14:paraId="6D8D0260" w14:textId="77777777" w:rsidR="00E775DC" w:rsidRDefault="00E775DC" w:rsidP="00E775DC">
      <w:pPr>
        <w:pStyle w:val="NoSpacing"/>
        <w:ind w:left="720"/>
      </w:pPr>
    </w:p>
    <w:p w14:paraId="55A10254" w14:textId="77777777" w:rsidR="00E775DC" w:rsidRDefault="00E775DC" w:rsidP="00E775DC">
      <w:pPr>
        <w:pStyle w:val="NoSpacing"/>
        <w:ind w:left="720"/>
      </w:pPr>
      <w:r>
        <w:t>***</w:t>
      </w:r>
    </w:p>
    <w:p w14:paraId="1CE32842" w14:textId="77777777" w:rsidR="00E775DC" w:rsidRDefault="00E775DC" w:rsidP="00E775DC">
      <w:pPr>
        <w:pStyle w:val="NoSpacing"/>
        <w:ind w:left="720"/>
      </w:pPr>
    </w:p>
    <w:p w14:paraId="518C3A5A" w14:textId="77777777" w:rsidR="00E775DC" w:rsidRDefault="00E775DC" w:rsidP="00E775DC">
      <w:pPr>
        <w:pStyle w:val="NoSpacing"/>
        <w:ind w:left="720"/>
      </w:pPr>
      <w:r w:rsidRPr="00434B35">
        <w:t>Yet, according to the Government, Bigham requested child pornography from Campbell. Bigham did not notify authorities when he was under the impression that Campbell was abusing a minor; instead, he plotted with Campbell to have sexual relations with a minor he believed to be Campbell's niece</w:t>
      </w:r>
      <w:r>
        <w:t xml:space="preserve">…. </w:t>
      </w:r>
      <w:r w:rsidRPr="00434B35">
        <w:t xml:space="preserve">Bigham was excited and sexually stimulated by minors being abused, failed to report this abuse, and allegedly stated that his sexual interest in 12-to-15-year-old minors presented challenges because they could </w:t>
      </w:r>
      <w:r>
        <w:t>‘</w:t>
      </w:r>
      <w:r w:rsidRPr="00434B35">
        <w:t>remember faces, tattle, whatever</w:t>
      </w:r>
      <w:proofErr w:type="gramStart"/>
      <w:r>
        <w:t>…..</w:t>
      </w:r>
      <w:proofErr w:type="gramEnd"/>
      <w:r>
        <w:t xml:space="preserve">’ </w:t>
      </w:r>
    </w:p>
    <w:p w14:paraId="0BA76863" w14:textId="77777777" w:rsidR="00E775DC" w:rsidRDefault="00E775DC" w:rsidP="00E775DC">
      <w:pPr>
        <w:pStyle w:val="NoSpacing"/>
        <w:ind w:left="720"/>
        <w:rPr>
          <w:bCs/>
        </w:rPr>
      </w:pPr>
    </w:p>
    <w:p w14:paraId="305C61B4" w14:textId="78337BD7" w:rsidR="00E775DC" w:rsidRDefault="00E775DC" w:rsidP="00E775DC">
      <w:pPr>
        <w:pStyle w:val="NoSpacing"/>
        <w:rPr>
          <w:b/>
        </w:rPr>
      </w:pPr>
      <w:r>
        <w:rPr>
          <w:b/>
        </w:rPr>
        <w:t>Legal lesson learned:  Child pornography is a very serious offense</w:t>
      </w:r>
      <w:r w:rsidR="007E0BE0">
        <w:rPr>
          <w:b/>
        </w:rPr>
        <w:t>.</w:t>
      </w:r>
      <w:r>
        <w:rPr>
          <w:b/>
        </w:rPr>
        <w:t xml:space="preserve"> </w:t>
      </w:r>
    </w:p>
    <w:p w14:paraId="631CF1A8" w14:textId="77777777" w:rsidR="00E775DC" w:rsidRDefault="00E775DC" w:rsidP="00E775DC">
      <w:pPr>
        <w:pStyle w:val="NoSpacing"/>
        <w:rPr>
          <w:b/>
        </w:rPr>
      </w:pPr>
    </w:p>
    <w:p w14:paraId="686FADDE" w14:textId="77777777" w:rsidR="00E775DC" w:rsidRDefault="00E775DC" w:rsidP="00E775DC">
      <w:pPr>
        <w:pStyle w:val="NoSpacing"/>
        <w:ind w:left="720"/>
      </w:pPr>
      <w:r w:rsidRPr="00505347">
        <w:t xml:space="preserve">Note: See May 22, </w:t>
      </w:r>
      <w:proofErr w:type="gramStart"/>
      <w:r w:rsidRPr="00505347">
        <w:t>2025</w:t>
      </w:r>
      <w:proofErr w:type="gramEnd"/>
      <w:r w:rsidRPr="00505347">
        <w:t xml:space="preserve"> article</w:t>
      </w:r>
      <w:r>
        <w:t>: “</w:t>
      </w:r>
      <w:r w:rsidRPr="00505347">
        <w:t xml:space="preserve">Columbus firefighter living in Lancaster accused of receiving child pornography.  </w:t>
      </w:r>
      <w:r w:rsidRPr="00E54ACC">
        <w:t>A Fairfield County man who works as a Columbus firefighter was arrested on Wednesday, May 21, on federal child pornography charges, the U.S. Attorney's Office for the Southern District of Ohio has announced</w:t>
      </w:r>
      <w:r>
        <w:t xml:space="preserve">…. </w:t>
      </w:r>
      <w:r w:rsidRPr="00FE13DF">
        <w:t xml:space="preserve">Steven Stein, president of the Columbus Firefighters Union IAFF Local No. 67, is aware of Bigham's arrest and said the union is taking the charges </w:t>
      </w:r>
      <w:r>
        <w:t>‘</w:t>
      </w:r>
      <w:r w:rsidRPr="00FE13DF">
        <w:t>very seriously.</w:t>
      </w:r>
      <w:r>
        <w:t>’ ‘</w:t>
      </w:r>
      <w:r w:rsidRPr="0057230C">
        <w:t>As Fire Fighters and members of this community we want to provide the best possible service to the citizens of Columbus— that means holding our members to the highest standards of trust and responsibility,</w:t>
      </w:r>
      <w:r>
        <w:t>’</w:t>
      </w:r>
      <w:r w:rsidRPr="0057230C">
        <w:t xml:space="preserve"> Stein said in a prepared statement.</w:t>
      </w:r>
      <w:r>
        <w:t>”</w:t>
      </w:r>
    </w:p>
    <w:p w14:paraId="1F6E16CF" w14:textId="77777777" w:rsidR="00E775DC" w:rsidRPr="00505347" w:rsidRDefault="00E775DC" w:rsidP="00E775DC">
      <w:pPr>
        <w:pStyle w:val="NoSpacing"/>
        <w:ind w:left="720"/>
        <w:rPr>
          <w:bCs/>
        </w:rPr>
      </w:pPr>
      <w:hyperlink r:id="rId2571" w:history="1">
        <w:r w:rsidRPr="003869A6">
          <w:rPr>
            <w:rStyle w:val="Hyperlink"/>
          </w:rPr>
          <w:t>https://www.dispatch.com/story/news/crime/2025/05/22/columbus-firefighter-child-porn-charges-lancaster-ohio-carson-bigham/83795834007/</w:t>
        </w:r>
      </w:hyperlink>
      <w:r w:rsidRPr="00505347">
        <w:t xml:space="preserve"> </w:t>
      </w:r>
    </w:p>
    <w:p w14:paraId="5D6DD206" w14:textId="77777777" w:rsidR="00E775DC" w:rsidRPr="00A13912" w:rsidRDefault="00E775DC" w:rsidP="00E775DC">
      <w:pPr>
        <w:pStyle w:val="NoSpacing"/>
        <w:rPr>
          <w:bCs/>
        </w:rPr>
      </w:pPr>
    </w:p>
    <w:p w14:paraId="7E16EC77" w14:textId="77777777" w:rsidR="00E775DC" w:rsidRDefault="00E775DC" w:rsidP="002F7727">
      <w:pPr>
        <w:pStyle w:val="NoSpacing"/>
        <w:rPr>
          <w:rFonts w:ascii="Arial Black" w:hAnsi="Arial Black"/>
          <w:b/>
          <w:sz w:val="24"/>
          <w:szCs w:val="24"/>
        </w:rPr>
      </w:pPr>
    </w:p>
    <w:p w14:paraId="25CB65A0" w14:textId="77777777" w:rsidR="00E775DC" w:rsidRDefault="00E775DC" w:rsidP="002F7727">
      <w:pPr>
        <w:pStyle w:val="NoSpacing"/>
        <w:rPr>
          <w:rFonts w:ascii="Arial Black" w:hAnsi="Arial Black"/>
          <w:b/>
          <w:sz w:val="24"/>
          <w:szCs w:val="24"/>
        </w:rPr>
      </w:pPr>
    </w:p>
    <w:p w14:paraId="1E7B7CAD" w14:textId="77777777" w:rsidR="00E775DC" w:rsidRDefault="00E775DC" w:rsidP="002F7727">
      <w:pPr>
        <w:pStyle w:val="NoSpacing"/>
        <w:rPr>
          <w:rFonts w:ascii="Arial Black" w:hAnsi="Arial Black"/>
          <w:b/>
          <w:sz w:val="24"/>
          <w:szCs w:val="24"/>
        </w:rPr>
      </w:pPr>
    </w:p>
    <w:p w14:paraId="7D4DD69B" w14:textId="694B23CD" w:rsidR="00E775DC" w:rsidRDefault="00E775DC" w:rsidP="002F7727">
      <w:pPr>
        <w:pStyle w:val="NoSpacing"/>
        <w:rPr>
          <w:rFonts w:ascii="Arial Black" w:hAnsi="Arial Black"/>
          <w:b/>
          <w:sz w:val="24"/>
          <w:szCs w:val="24"/>
        </w:rPr>
      </w:pPr>
      <w:r>
        <w:rPr>
          <w:rFonts w:ascii="Arial Black" w:hAnsi="Arial Black"/>
          <w:b/>
          <w:sz w:val="24"/>
          <w:szCs w:val="24"/>
        </w:rPr>
        <w:t>16-13</w:t>
      </w:r>
      <w:r w:rsidR="00D11FFB">
        <w:rPr>
          <w:rFonts w:ascii="Arial Black" w:hAnsi="Arial Black"/>
          <w:b/>
          <w:sz w:val="24"/>
          <w:szCs w:val="24"/>
        </w:rPr>
        <w:t>8</w:t>
      </w:r>
    </w:p>
    <w:p w14:paraId="0541BAB5" w14:textId="77777777" w:rsidR="00311014" w:rsidRDefault="00311014" w:rsidP="002F7727">
      <w:pPr>
        <w:pStyle w:val="NoSpacing"/>
        <w:rPr>
          <w:rFonts w:ascii="Arial Black" w:hAnsi="Arial Black"/>
          <w:b/>
          <w:sz w:val="24"/>
          <w:szCs w:val="24"/>
        </w:rPr>
      </w:pPr>
    </w:p>
    <w:p w14:paraId="4F3FED32" w14:textId="77777777" w:rsidR="00311014" w:rsidRPr="00D83843" w:rsidRDefault="00311014" w:rsidP="00311014">
      <w:pPr>
        <w:rPr>
          <w:rFonts w:ascii="Arial Black" w:hAnsi="Arial Black"/>
          <w:b/>
          <w:sz w:val="28"/>
          <w:szCs w:val="28"/>
        </w:rPr>
      </w:pPr>
      <w:r>
        <w:rPr>
          <w:rFonts w:ascii="Arial Black" w:hAnsi="Arial Black"/>
          <w:b/>
          <w:sz w:val="28"/>
          <w:szCs w:val="28"/>
        </w:rPr>
        <w:t xml:space="preserve">CA: MECHANIC’S THREAT – “TARONE” - KILLED FF STAT. 81 </w:t>
      </w:r>
    </w:p>
    <w:p w14:paraId="627B7280" w14:textId="77777777" w:rsidR="00311014" w:rsidRDefault="00311014" w:rsidP="00311014">
      <w:pPr>
        <w:pStyle w:val="NoSpacing"/>
      </w:pPr>
      <w:r w:rsidRPr="00DE351B">
        <w:t xml:space="preserve">On October 31, 2025, in </w:t>
      </w:r>
      <w:r w:rsidRPr="00DE351B">
        <w:rPr>
          <w:u w:val="single"/>
        </w:rPr>
        <w:t>County of Los Angeles v. Neill Francis Niblett</w:t>
      </w:r>
      <w:r w:rsidRPr="00DE351B">
        <w:t xml:space="preserve">, </w:t>
      </w:r>
      <w:r>
        <w:t xml:space="preserve">the </w:t>
      </w:r>
      <w:r w:rsidRPr="00DE351B">
        <w:t>California Court of Appeals, Second District, First Division</w:t>
      </w:r>
      <w:r>
        <w:t xml:space="preserve"> held (3 to 0) that trial court judge properly issued a three-year </w:t>
      </w:r>
      <w:r w:rsidRPr="005B58D8">
        <w:t>workplace violence restraining order on January 18, 2023</w:t>
      </w:r>
      <w:r>
        <w:t xml:space="preserve">, on the petition filed by the LA County Fire Department on behalf of an Assistant Fire Chief.  Neill Niblett is barred until Jan. 18, </w:t>
      </w:r>
      <w:proofErr w:type="gramStart"/>
      <w:r>
        <w:t>2026</w:t>
      </w:r>
      <w:proofErr w:type="gramEnd"/>
      <w:r>
        <w:t xml:space="preserve"> from harassing the Assistant Fire Chief or entering his </w:t>
      </w:r>
      <w:proofErr w:type="gramStart"/>
      <w:r>
        <w:t>workplace, and</w:t>
      </w:r>
      <w:proofErr w:type="gramEnd"/>
      <w:r>
        <w:t xml:space="preserve"> prohibits Niblett from possessing firearms or ammunition. THE COURT WROTE:  “</w:t>
      </w:r>
      <w:r w:rsidRPr="003B559C">
        <w:t>In sum, the trial court reasonably could have found it</w:t>
      </w:r>
      <w:r>
        <w:t xml:space="preserve"> </w:t>
      </w:r>
      <w:r w:rsidRPr="003B559C">
        <w:t xml:space="preserve">highly probable that by telling Hughes, </w:t>
      </w:r>
      <w:r>
        <w:t>‘</w:t>
      </w:r>
      <w:r w:rsidRPr="003B559C">
        <w:t>If they don’t change</w:t>
      </w:r>
      <w:r>
        <w:t xml:space="preserve"> </w:t>
      </w:r>
      <w:r w:rsidRPr="003B559C">
        <w:t>things in this department, they’re going to have another situation</w:t>
      </w:r>
      <w:r>
        <w:t xml:space="preserve"> </w:t>
      </w:r>
      <w:r w:rsidRPr="003B559C">
        <w:t>like they had with Tatone,</w:t>
      </w:r>
      <w:r>
        <w:t>’</w:t>
      </w:r>
      <w:r w:rsidRPr="003B559C">
        <w:t xml:space="preserve"> </w:t>
      </w:r>
      <w:r>
        <w:t xml:space="preserve">[who shot and killed another firefighter in Station 81 on June 1, 2021] </w:t>
      </w:r>
      <w:r w:rsidRPr="003B559C">
        <w:t>Niblett made a knowing and willful</w:t>
      </w:r>
      <w:r>
        <w:t xml:space="preserve"> </w:t>
      </w:r>
      <w:r w:rsidRPr="003B559C">
        <w:t>statement that would place a reasonable person in fear for his or</w:t>
      </w:r>
      <w:r>
        <w:t xml:space="preserve"> </w:t>
      </w:r>
      <w:r w:rsidRPr="003B559C">
        <w:t>her safety</w:t>
      </w:r>
      <w:r>
        <w:t xml:space="preserve">.”  </w:t>
      </w:r>
      <w:hyperlink r:id="rId2572" w:history="1">
        <w:r w:rsidRPr="00B165D1">
          <w:rPr>
            <w:rStyle w:val="Hyperlink"/>
          </w:rPr>
          <w:t>https://cases.justia.com/california/court-of-appeal/2025-b327744.pdf?ts=1764194477</w:t>
        </w:r>
      </w:hyperlink>
      <w:r>
        <w:t xml:space="preserve"> </w:t>
      </w:r>
    </w:p>
    <w:p w14:paraId="34E48273" w14:textId="77777777" w:rsidR="00311014" w:rsidRDefault="00311014" w:rsidP="00311014">
      <w:pPr>
        <w:pStyle w:val="NoSpacing"/>
      </w:pPr>
    </w:p>
    <w:p w14:paraId="3D6D4979" w14:textId="77777777" w:rsidR="00311014" w:rsidRDefault="00311014" w:rsidP="00311014">
      <w:pPr>
        <w:pStyle w:val="NoSpacing"/>
        <w:rPr>
          <w:bCs/>
        </w:rPr>
      </w:pPr>
      <w:r>
        <w:t>THE COURT HELD:</w:t>
      </w:r>
    </w:p>
    <w:p w14:paraId="24A87CAD" w14:textId="77777777" w:rsidR="00311014" w:rsidRDefault="00311014" w:rsidP="00311014">
      <w:pPr>
        <w:pStyle w:val="NoSpacing"/>
        <w:rPr>
          <w:bCs/>
        </w:rPr>
      </w:pPr>
    </w:p>
    <w:p w14:paraId="6EC3CAE4" w14:textId="77777777" w:rsidR="00311014" w:rsidRDefault="00311014" w:rsidP="00311014">
      <w:pPr>
        <w:ind w:left="720"/>
      </w:pPr>
      <w:r>
        <w:lastRenderedPageBreak/>
        <w:t xml:space="preserve">“Prior to the commencement of the instant action, Niblett was employed as a senior mechanic at the County’s fire department and Assistant Chief [A/C - Court did not use his last name] was Niblett’s supervisor.  </w:t>
      </w:r>
    </w:p>
    <w:p w14:paraId="684B890F" w14:textId="77777777" w:rsidR="00311014" w:rsidRDefault="00311014" w:rsidP="00311014">
      <w:pPr>
        <w:pStyle w:val="NoSpacing"/>
        <w:ind w:left="720"/>
      </w:pPr>
      <w:r>
        <w:t>***</w:t>
      </w:r>
    </w:p>
    <w:p w14:paraId="34D5E495" w14:textId="77777777" w:rsidR="00311014" w:rsidRDefault="00311014" w:rsidP="00311014">
      <w:pPr>
        <w:pStyle w:val="NoSpacing"/>
        <w:ind w:left="720"/>
      </w:pPr>
      <w:r>
        <w:t>According to the County, on October 5, 2022, Niblett acted in a ‘verbally abusive’ manner toward [A/C] after [A/C] asked Niblett to pick up parts Niblett had left on the floor of a fire department facility. The County further avers that on October 11, 2022, Niblett made the following statement to Cari Hughes, a secretary for the fire department: ‘If they don’t change things in this department, they’re going to have another situation like they had with Tatone.’ There is no dispute that in June 2021, a firefighter named ‘Tatone’ fatally shot another firefighter at Station 81.</w:t>
      </w:r>
    </w:p>
    <w:p w14:paraId="0CAF03B2" w14:textId="77777777" w:rsidR="00311014" w:rsidRDefault="00311014" w:rsidP="00311014">
      <w:pPr>
        <w:pStyle w:val="NoSpacing"/>
        <w:ind w:left="720"/>
      </w:pPr>
    </w:p>
    <w:p w14:paraId="312D75CB" w14:textId="77777777" w:rsidR="00311014" w:rsidRDefault="00311014" w:rsidP="00311014">
      <w:pPr>
        <w:pStyle w:val="NoSpacing"/>
        <w:ind w:left="720"/>
      </w:pPr>
      <w:r>
        <w:t>***</w:t>
      </w:r>
    </w:p>
    <w:p w14:paraId="380CB414" w14:textId="77777777" w:rsidR="00311014" w:rsidRDefault="00311014" w:rsidP="00311014">
      <w:pPr>
        <w:pStyle w:val="NoSpacing"/>
        <w:ind w:left="720"/>
        <w:rPr>
          <w:bCs/>
        </w:rPr>
      </w:pPr>
      <w:r>
        <w:t xml:space="preserve">Footnote 5: [A/C] </w:t>
      </w:r>
      <w:r w:rsidRPr="00DB7C6D">
        <w:t xml:space="preserve">testified that the County </w:t>
      </w:r>
      <w:r>
        <w:t>‘</w:t>
      </w:r>
      <w:r w:rsidRPr="00DB7C6D">
        <w:t>placed [Niblett] off of</w:t>
      </w:r>
      <w:r>
        <w:t xml:space="preserve"> </w:t>
      </w:r>
      <w:r w:rsidRPr="00DB7C6D">
        <w:t>work</w:t>
      </w:r>
      <w:r>
        <w:t>’</w:t>
      </w:r>
      <w:r w:rsidRPr="00DB7C6D">
        <w:t xml:space="preserve"> because of his threatening conduct</w:t>
      </w:r>
      <w:r>
        <w:t xml:space="preserve">…. </w:t>
      </w:r>
    </w:p>
    <w:p w14:paraId="5A653A1B" w14:textId="77777777" w:rsidR="00311014" w:rsidRDefault="00311014" w:rsidP="00311014">
      <w:pPr>
        <w:pStyle w:val="NoSpacing"/>
        <w:ind w:left="720"/>
        <w:rPr>
          <w:bCs/>
        </w:rPr>
      </w:pPr>
    </w:p>
    <w:p w14:paraId="78730BA6" w14:textId="77777777" w:rsidR="00311014" w:rsidRDefault="00311014" w:rsidP="00311014">
      <w:pPr>
        <w:pStyle w:val="NoSpacing"/>
        <w:ind w:left="720"/>
      </w:pPr>
      <w:r>
        <w:t>***</w:t>
      </w:r>
    </w:p>
    <w:p w14:paraId="7092EA72" w14:textId="77777777" w:rsidR="00311014" w:rsidRDefault="00311014" w:rsidP="00311014">
      <w:pPr>
        <w:pStyle w:val="NoSpacing"/>
        <w:ind w:left="720"/>
      </w:pPr>
    </w:p>
    <w:p w14:paraId="4F38FD17" w14:textId="77777777" w:rsidR="00311014" w:rsidRDefault="00311014" w:rsidP="00311014">
      <w:pPr>
        <w:pStyle w:val="NoSpacing"/>
        <w:ind w:left="720"/>
      </w:pPr>
      <w:r>
        <w:t xml:space="preserve">Niblett insists he was not threatening to shoot department </w:t>
      </w:r>
      <w:proofErr w:type="gramStart"/>
      <w:r>
        <w:t>management, but</w:t>
      </w:r>
      <w:proofErr w:type="gramEnd"/>
      <w:r>
        <w:t xml:space="preserve"> instead made ‘a hypothetical warning about potential consequences of poor management . . . .’  As</w:t>
      </w:r>
    </w:p>
    <w:p w14:paraId="585247ED" w14:textId="77777777" w:rsidR="00311014" w:rsidRDefault="00311014" w:rsidP="00311014">
      <w:pPr>
        <w:pStyle w:val="NoSpacing"/>
        <w:ind w:left="720"/>
      </w:pPr>
      <w:r>
        <w:t xml:space="preserve">explained above, the trial court rationally could have inferred it is highly probable that a reasonable person hearing this statement would have feared for his or her </w:t>
      </w:r>
      <w:proofErr w:type="gramStart"/>
      <w:r>
        <w:t>safety.”</w:t>
      </w:r>
      <w:proofErr w:type="gramEnd"/>
    </w:p>
    <w:p w14:paraId="679E3081" w14:textId="77777777" w:rsidR="00311014" w:rsidRDefault="00311014" w:rsidP="00311014">
      <w:pPr>
        <w:pStyle w:val="NoSpacing"/>
        <w:ind w:left="720"/>
      </w:pPr>
    </w:p>
    <w:p w14:paraId="3AB7A3CC" w14:textId="3576294C" w:rsidR="00311014" w:rsidRPr="005419F9" w:rsidRDefault="00311014" w:rsidP="00311014">
      <w:pPr>
        <w:pStyle w:val="NoSpacing"/>
        <w:rPr>
          <w:b/>
          <w:bCs/>
        </w:rPr>
      </w:pPr>
      <w:r>
        <w:rPr>
          <w:b/>
        </w:rPr>
        <w:t>Legal Lesson Learned:  Threats of workplace violence must be taken very seriously; immediate suspension from duty</w:t>
      </w:r>
      <w:r w:rsidR="00DB3D9D">
        <w:rPr>
          <w:b/>
        </w:rPr>
        <w:t xml:space="preserve">, notify police </w:t>
      </w:r>
      <w:r>
        <w:rPr>
          <w:b/>
        </w:rPr>
        <w:t xml:space="preserve">and </w:t>
      </w:r>
      <w:r w:rsidR="00DB3D9D">
        <w:rPr>
          <w:b/>
        </w:rPr>
        <w:t xml:space="preserve">conduct </w:t>
      </w:r>
      <w:r>
        <w:rPr>
          <w:b/>
        </w:rPr>
        <w:t>prompt investigation.</w:t>
      </w:r>
    </w:p>
    <w:p w14:paraId="3213A845" w14:textId="77777777" w:rsidR="00311014" w:rsidRDefault="00311014" w:rsidP="00311014">
      <w:pPr>
        <w:pStyle w:val="NoSpacing"/>
        <w:ind w:left="720"/>
        <w:rPr>
          <w:bCs/>
        </w:rPr>
      </w:pPr>
    </w:p>
    <w:p w14:paraId="372B2CC5" w14:textId="77777777" w:rsidR="00311014" w:rsidRDefault="00311014" w:rsidP="00311014">
      <w:pPr>
        <w:pStyle w:val="NoSpacing"/>
        <w:ind w:left="720"/>
      </w:pPr>
      <w:r>
        <w:t xml:space="preserve">Note: See this September 11, </w:t>
      </w:r>
      <w:proofErr w:type="gramStart"/>
      <w:r>
        <w:t>2024</w:t>
      </w:r>
      <w:proofErr w:type="gramEnd"/>
      <w:r>
        <w:t xml:space="preserve"> article.   “</w:t>
      </w:r>
      <w:r w:rsidRPr="002772E6">
        <w:t>L.A. County pays $7.2M to family of firefighter killed in firehouse shooting. A station captain later told investigators that Firefighter Carlon had voiced concerns his harasser would one day shoot and kill him.</w:t>
      </w:r>
      <w:r>
        <w:t xml:space="preserve"> </w:t>
      </w:r>
      <w:r w:rsidRPr="0003781D">
        <w:t>More than three years after a firefighter was shot and killed by a co-worker at a remote station in Agua Dulce, the Los Angeles County Board of Supervisors agreed Tuesday to pay his family $7.2 million.</w:t>
      </w:r>
      <w:r>
        <w:t xml:space="preserve"> </w:t>
      </w:r>
      <w:r w:rsidRPr="0003781D">
        <w:t xml:space="preserve">Tory Carlon was fatally shot while on duty at L.A. County Fire Station 81 on June 1, 2021. The following year, Carlon’s widow, Heidi, and the couple’s three children filed a wrongful-death lawsuit against L.A. County, alleging fire officials had known about the shooter’s </w:t>
      </w:r>
      <w:r>
        <w:t>‘</w:t>
      </w:r>
      <w:r w:rsidRPr="0003781D">
        <w:t>dangerous conduct</w:t>
      </w:r>
      <w:r>
        <w:t>’</w:t>
      </w:r>
      <w:r w:rsidRPr="0003781D">
        <w:t xml:space="preserve"> for years.</w:t>
      </w:r>
      <w:r>
        <w:t xml:space="preserve"> </w:t>
      </w:r>
      <w:r w:rsidRPr="00063FAE">
        <w:t>The gunman, Jonathan Tatone, also shot and injured Fire Capt. Arnoldo Sandoval, before later killing himself. Last year, the board agreed to pay Sandoval nearly $2.6 million.</w:t>
      </w:r>
      <w:r>
        <w:t xml:space="preserve">” </w:t>
      </w:r>
      <w:hyperlink r:id="rId2573" w:history="1">
        <w:r w:rsidRPr="00A22012">
          <w:rPr>
            <w:rStyle w:val="Hyperlink"/>
          </w:rPr>
          <w:t>https://www.firerescue1.com/legal/l-a-county-pays-7-2m-to-family-of-firefighter-killed-in-firehouse-shooting</w:t>
        </w:r>
      </w:hyperlink>
      <w:r>
        <w:t xml:space="preserve"> </w:t>
      </w:r>
    </w:p>
    <w:p w14:paraId="0E6142E8" w14:textId="77777777" w:rsidR="00311014" w:rsidRDefault="00311014" w:rsidP="00311014">
      <w:pPr>
        <w:pStyle w:val="NoSpacing"/>
        <w:ind w:left="720"/>
      </w:pPr>
    </w:p>
    <w:p w14:paraId="445080BE" w14:textId="77777777" w:rsidR="00311014" w:rsidRDefault="00311014" w:rsidP="00311014">
      <w:pPr>
        <w:pStyle w:val="NoSpacing"/>
        <w:ind w:left="720"/>
      </w:pPr>
    </w:p>
    <w:p w14:paraId="4D034EAB" w14:textId="77777777" w:rsidR="00311014" w:rsidRDefault="00311014" w:rsidP="002F7727">
      <w:pPr>
        <w:pStyle w:val="NoSpacing"/>
        <w:rPr>
          <w:rFonts w:ascii="Arial Black" w:hAnsi="Arial Black"/>
          <w:b/>
          <w:sz w:val="24"/>
          <w:szCs w:val="24"/>
        </w:rPr>
      </w:pPr>
    </w:p>
    <w:p w14:paraId="48B47D83" w14:textId="77777777" w:rsidR="00311014" w:rsidRDefault="00311014" w:rsidP="002F7727">
      <w:pPr>
        <w:pStyle w:val="NoSpacing"/>
        <w:rPr>
          <w:rFonts w:ascii="Arial Black" w:hAnsi="Arial Black"/>
          <w:b/>
          <w:sz w:val="24"/>
          <w:szCs w:val="24"/>
        </w:rPr>
      </w:pPr>
    </w:p>
    <w:p w14:paraId="592360CE" w14:textId="77777777" w:rsidR="00E775DC" w:rsidRDefault="00E775DC" w:rsidP="002F7727">
      <w:pPr>
        <w:pStyle w:val="NoSpacing"/>
        <w:rPr>
          <w:rFonts w:ascii="Arial Black" w:hAnsi="Arial Black"/>
          <w:b/>
          <w:sz w:val="24"/>
          <w:szCs w:val="24"/>
        </w:rPr>
      </w:pPr>
    </w:p>
    <w:p w14:paraId="7413FEE7" w14:textId="3C164EA6" w:rsidR="002F7727" w:rsidRDefault="002F7727" w:rsidP="002F7727">
      <w:pPr>
        <w:pStyle w:val="NoSpacing"/>
        <w:rPr>
          <w:rFonts w:ascii="Arial Black" w:hAnsi="Arial Black"/>
          <w:b/>
          <w:sz w:val="24"/>
          <w:szCs w:val="24"/>
        </w:rPr>
      </w:pPr>
      <w:r>
        <w:rPr>
          <w:rFonts w:ascii="Arial Black" w:hAnsi="Arial Black"/>
          <w:b/>
          <w:sz w:val="24"/>
          <w:szCs w:val="24"/>
        </w:rPr>
        <w:t>16-13</w:t>
      </w:r>
      <w:r w:rsidR="00D11FFB">
        <w:rPr>
          <w:rFonts w:ascii="Arial Black" w:hAnsi="Arial Black"/>
          <w:b/>
          <w:sz w:val="24"/>
          <w:szCs w:val="24"/>
        </w:rPr>
        <w:t>7</w:t>
      </w:r>
    </w:p>
    <w:p w14:paraId="0D8CF808" w14:textId="77777777" w:rsidR="002F7727" w:rsidRDefault="002F7727" w:rsidP="001F4CDF">
      <w:pPr>
        <w:pStyle w:val="NoSpacing"/>
        <w:rPr>
          <w:rFonts w:ascii="Arial Black" w:hAnsi="Arial Black"/>
          <w:sz w:val="28"/>
          <w:szCs w:val="28"/>
        </w:rPr>
      </w:pPr>
    </w:p>
    <w:p w14:paraId="72AE168A" w14:textId="35DD803A" w:rsidR="001F4CDF" w:rsidRPr="00B763EB" w:rsidRDefault="001F4CDF" w:rsidP="001F4CDF">
      <w:pPr>
        <w:pStyle w:val="NoSpacing"/>
        <w:rPr>
          <w:rFonts w:ascii="Arial Black" w:hAnsi="Arial Black"/>
          <w:sz w:val="28"/>
          <w:szCs w:val="28"/>
        </w:rPr>
      </w:pPr>
      <w:r>
        <w:rPr>
          <w:rFonts w:ascii="Arial Black" w:hAnsi="Arial Black"/>
          <w:sz w:val="28"/>
          <w:szCs w:val="28"/>
        </w:rPr>
        <w:t xml:space="preserve">NC: FF AFFAIR – WOMAN TOLD FD “STALKING” – FF FIRED </w:t>
      </w:r>
    </w:p>
    <w:p w14:paraId="1BA39FAD" w14:textId="77777777" w:rsidR="001F4CDF" w:rsidRDefault="001F4CDF" w:rsidP="001F4CDF">
      <w:pPr>
        <w:pStyle w:val="NoSpacing"/>
      </w:pPr>
    </w:p>
    <w:p w14:paraId="6F3166EB" w14:textId="77777777" w:rsidR="001F4CDF" w:rsidRDefault="001F4CDF" w:rsidP="001F4CDF">
      <w:pPr>
        <w:pStyle w:val="NoSpacing"/>
      </w:pPr>
      <w:r>
        <w:t xml:space="preserve">On September 15, 2025, in </w:t>
      </w:r>
      <w:r w:rsidRPr="00B26718">
        <w:rPr>
          <w:u w:val="single"/>
        </w:rPr>
        <w:t>Robert Patterson v. City of Graham, et al</w:t>
      </w:r>
      <w:r w:rsidRPr="000A6483">
        <w:rPr>
          <w:u w:val="single"/>
        </w:rPr>
        <w:t>.</w:t>
      </w:r>
      <w:r>
        <w:t xml:space="preserve">, U.S. Magistrate Judge </w:t>
      </w:r>
      <w:r w:rsidRPr="00D35A64">
        <w:t>L. Patrick Auld</w:t>
      </w:r>
      <w:r>
        <w:t xml:space="preserve">, United States District Court for Middle District of North Carolina, issued an opinion and recommendation that the U.S. District Court judge dismiss the firefighter’s lawsuit claiming age discrimination and hostile workplace.  </w:t>
      </w:r>
    </w:p>
    <w:p w14:paraId="5546329E" w14:textId="77777777" w:rsidR="001F4CDF" w:rsidRDefault="001F4CDF" w:rsidP="001F4CDF">
      <w:pPr>
        <w:pStyle w:val="NoSpacing"/>
      </w:pPr>
    </w:p>
    <w:p w14:paraId="0110AAF3" w14:textId="77777777" w:rsidR="001F4CDF" w:rsidRDefault="001F4CDF" w:rsidP="001F4CDF">
      <w:pPr>
        <w:pStyle w:val="NoSpacing"/>
      </w:pPr>
      <w:r w:rsidRPr="00913B5B">
        <w:rPr>
          <w:b/>
        </w:rPr>
        <w:t>THE MAGISTRATE WROTE</w:t>
      </w:r>
      <w:r>
        <w:t>: “</w:t>
      </w:r>
      <w:r w:rsidRPr="00C01814">
        <w:t>Plaintiff contends that Defendants terminated his employment because of his age</w:t>
      </w:r>
      <w:r>
        <w:t>…. [T]</w:t>
      </w:r>
      <w:r w:rsidRPr="00253C24">
        <w:t>he Amended Complaint reveals that Plaintiff experienced his termination (and non-promotion) only after the revelation of his affair with a married woman and the volatile aftermath of the cessation of that affair, which involved allegations of violence and criminally inappropriate conduct by Plaintiff and other community members (</w:t>
      </w:r>
      <w:r w:rsidRPr="00253C24">
        <w:rPr>
          <w:i/>
          <w:iCs/>
        </w:rPr>
        <w:t>see, e.g.</w:t>
      </w:r>
      <w:r w:rsidRPr="00253C24">
        <w:t xml:space="preserve">, Docket Entries 12-2 </w:t>
      </w:r>
      <w:r w:rsidRPr="00253C24">
        <w:lastRenderedPageBreak/>
        <w:t xml:space="preserve">to 12-4 (confirming the </w:t>
      </w:r>
      <w:proofErr w:type="spellStart"/>
      <w:r w:rsidRPr="00253C24">
        <w:t>Wrenns</w:t>
      </w:r>
      <w:proofErr w:type="spellEnd"/>
      <w:r w:rsidRPr="00253C24">
        <w:t>' status as members of City community)). These circumstances render implausible any notion that age bias motivated Defendants' termination of Plaintiff's employment, necessitating dismissal of Plaintiff's ADEA discrimination claim.</w:t>
      </w:r>
      <w:r>
        <w:t xml:space="preserve"> *** </w:t>
      </w:r>
      <w:r w:rsidRPr="00174919">
        <w:t>A plaintiff must provide objective facts or dates linking his termination[ or non-promotion] to his protected conduct other than his own opinions about a supervisor's motives. Plaintiff provides only his own opinions about the cause of his termination[ and non-promotion], with objective facts and dates that do not align with retaliation as a plausible motive. Thus, Plaintiff falls short of alleging facts sufficient for a retaliation case</w:t>
      </w:r>
      <w:r>
        <w:t>.</w:t>
      </w:r>
      <w:r w:rsidRPr="00174919">
        <w:t xml:space="preserve">... </w:t>
      </w:r>
      <w:r>
        <w:t xml:space="preserve"> </w:t>
      </w:r>
      <w:hyperlink r:id="rId2574" w:history="1">
        <w:r w:rsidRPr="00B31461">
          <w:rPr>
            <w:rStyle w:val="Hyperlink"/>
          </w:rPr>
          <w:t>https://public.fastcase.com/jaEE2PXzRXmZ99jOLMt1Ilcjd44wj1gOUELzUZUXmDmbuUsOiVZitmDUzsj9wpOSz4ErC%2Bb83%2Bac%2Bxbf2Y5XWbaFtY83bMRM%2FnYjCn7PkRA%3D?utm_medium=email&amp;_hsenc=p2ANqtz-_fx1n9_ms4yphjYB4YK1tT4ojMXKWZyFtyDBkZEK1fupUD4WQ_rkXhMfyPQZmyXGwaNXHPYYCETcsN16Fd9R-eiG6PHw&amp;_hsmi=226712652&amp;utm_content=226712652&amp;utm_source=hs_email</w:t>
        </w:r>
      </w:hyperlink>
      <w:r>
        <w:t xml:space="preserve"> </w:t>
      </w:r>
    </w:p>
    <w:p w14:paraId="777ACDB1" w14:textId="77777777" w:rsidR="001F4CDF" w:rsidRDefault="001F4CDF" w:rsidP="001F4CDF">
      <w:pPr>
        <w:pStyle w:val="NoSpacing"/>
      </w:pPr>
    </w:p>
    <w:p w14:paraId="3D31FFF4" w14:textId="77777777" w:rsidR="001F4CDF" w:rsidRPr="00913B5B" w:rsidRDefault="001F4CDF" w:rsidP="001F4CDF">
      <w:pPr>
        <w:pStyle w:val="NoSpacing"/>
        <w:rPr>
          <w:b/>
          <w:bCs/>
        </w:rPr>
      </w:pPr>
      <w:r w:rsidRPr="00913B5B">
        <w:rPr>
          <w:b/>
        </w:rPr>
        <w:t>KEY FACTS:</w:t>
      </w:r>
    </w:p>
    <w:p w14:paraId="42351460" w14:textId="77777777" w:rsidR="001F4CDF" w:rsidRDefault="001F4CDF" w:rsidP="001F4CDF">
      <w:pPr>
        <w:pStyle w:val="NoSpacing"/>
      </w:pPr>
    </w:p>
    <w:p w14:paraId="095B6D76" w14:textId="77777777" w:rsidR="001F4CDF" w:rsidRDefault="001F4CDF" w:rsidP="001F4CDF">
      <w:pPr>
        <w:pStyle w:val="NoSpacing"/>
        <w:ind w:left="720"/>
      </w:pPr>
      <w:r>
        <w:t>“</w:t>
      </w:r>
      <w:r w:rsidRPr="003D716B">
        <w:t>In October 2022 Plaintiff advised Chief Cole that he was involved in an affair that had ended, and that the wife had threatened that her husband would do everything in his power to get him fired. [Plaintiff] also informed [Chief Cole] that: a) the wife was previously in an affair that ended in a murder-suicide in 2009, with the failed suicide attempt on her part; b) the wife attempted suicide again October 18, 2022; and c) he was extremely fearful of what measures this couple would take to have him fired</w:t>
      </w:r>
      <w:r>
        <w:t>….‘</w:t>
      </w:r>
      <w:r w:rsidRPr="003D716B">
        <w:t>On October 25, 2022, an internal affairs investigation was opened against Plaintiff for an affair he had with Mrs. Wrenn that occurred while he was off duty</w:t>
      </w:r>
      <w:r>
        <w:t>….’</w:t>
      </w:r>
      <w:r w:rsidRPr="003D716B">
        <w:t xml:space="preserve">  </w:t>
      </w:r>
    </w:p>
    <w:p w14:paraId="1382FF64" w14:textId="77777777" w:rsidR="001F4CDF" w:rsidRPr="003D716B" w:rsidRDefault="001F4CDF" w:rsidP="001F4CDF">
      <w:pPr>
        <w:pStyle w:val="NoSpacing"/>
        <w:ind w:left="720"/>
      </w:pPr>
    </w:p>
    <w:p w14:paraId="238C69A9" w14:textId="77777777" w:rsidR="001F4CDF" w:rsidRDefault="001F4CDF" w:rsidP="001F4CDF">
      <w:pPr>
        <w:pStyle w:val="NoSpacing"/>
        <w:ind w:left="720"/>
      </w:pPr>
      <w:r>
        <w:t>‘</w:t>
      </w:r>
      <w:r w:rsidRPr="003D716B">
        <w:t xml:space="preserve">On October 28, </w:t>
      </w:r>
      <w:proofErr w:type="gramStart"/>
      <w:r w:rsidRPr="003D716B">
        <w:t>2022</w:t>
      </w:r>
      <w:proofErr w:type="gramEnd"/>
      <w:r w:rsidRPr="003D716B">
        <w:t xml:space="preserve"> Mrs. Wrenn advised the City of Graham Fire Department's Fire Chief, Defendant Cole and City of Graham Investigator, Billy Clayton, that Plaintiff was responsible for the whistleblower complaints against Chief Cole and Capt. Moore.</w:t>
      </w:r>
      <w:r>
        <w:t>’</w:t>
      </w:r>
      <w:r w:rsidRPr="003D716B">
        <w:t xml:space="preserve"> </w:t>
      </w:r>
      <w:r>
        <w:t>…</w:t>
      </w:r>
      <w:r w:rsidRPr="003D716B">
        <w:t xml:space="preserve"> </w:t>
      </w:r>
      <w:r>
        <w:t>‘</w:t>
      </w:r>
      <w:r w:rsidRPr="003D716B">
        <w:t>On October 28, 2022 Mrs. Wrenn also advised Chief Cole and Investigator Billy Clayton that Plaintiff planned to expose Chief Cole and City Manager Megan Garner in their direct attempts to ‘poison the well'</w:t>
      </w:r>
      <w:r>
        <w:t>….</w:t>
      </w:r>
      <w:r w:rsidRPr="003D716B">
        <w:t>After Mrs. Wrenn's involvement with the Plaintiff had been exposed in mid-October 2022, and the involvement between these two parties had ended, Mrs. Wrenn willfully and falsely misled her husband to believe she had been threatened and forced to remain involved with Plaintiff for fear of retaliation</w:t>
      </w:r>
      <w:r>
        <w:t>….</w:t>
      </w:r>
      <w:r w:rsidRPr="003D716B">
        <w:t xml:space="preserve"> </w:t>
      </w:r>
    </w:p>
    <w:p w14:paraId="5CBE3310" w14:textId="77777777" w:rsidR="001F4CDF" w:rsidRDefault="001F4CDF" w:rsidP="001F4CDF">
      <w:pPr>
        <w:pStyle w:val="NoSpacing"/>
        <w:ind w:left="720"/>
      </w:pPr>
    </w:p>
    <w:p w14:paraId="07B9CF46" w14:textId="77777777" w:rsidR="001F4CDF" w:rsidRDefault="001F4CDF" w:rsidP="001F4CDF">
      <w:pPr>
        <w:pStyle w:val="NoSpacing"/>
        <w:ind w:left="720"/>
      </w:pPr>
      <w:r>
        <w:t>***</w:t>
      </w:r>
    </w:p>
    <w:p w14:paraId="7E515777" w14:textId="77777777" w:rsidR="001F4CDF" w:rsidRPr="005709ED" w:rsidRDefault="001F4CDF" w:rsidP="001F4CDF">
      <w:pPr>
        <w:pStyle w:val="NoSpacing"/>
        <w:ind w:left="720"/>
      </w:pPr>
      <w:r>
        <w:t>‘</w:t>
      </w:r>
      <w:r w:rsidRPr="005709ED">
        <w:t>Plaintiff received a pre-disciplinary conference notice on May 10, 2023. He was denied an attorney again. He filed a formal complaint against Fire Chief Tommy Cole for retaliation with the City Manager, Megan Garner.</w:t>
      </w:r>
      <w:r>
        <w:t>’ …</w:t>
      </w:r>
      <w:r w:rsidRPr="005709ED">
        <w:t xml:space="preserve"> Nonetheless: </w:t>
      </w:r>
      <w:r>
        <w:t xml:space="preserve">  </w:t>
      </w:r>
      <w:r w:rsidRPr="005709ED">
        <w:t xml:space="preserve">On May 17, 2023, Plaintiff was placed on paid administrative leave and was terminated via email after 8:00 pm that evening. Mrs. Wrenn was contacted that same day by the City of Graham and advised of his termination. He </w:t>
      </w:r>
      <w:proofErr w:type="gramStart"/>
      <w:r w:rsidRPr="005709ED">
        <w:t>appealed</w:t>
      </w:r>
      <w:proofErr w:type="gramEnd"/>
      <w:r w:rsidRPr="005709ED">
        <w:t xml:space="preserve"> the termination. [City Manager] Garner was the person who presided over his appeals hearing and made the decision to uphold his termination.</w:t>
      </w:r>
      <w:r>
        <w:t xml:space="preserve">” </w:t>
      </w:r>
    </w:p>
    <w:p w14:paraId="1195626D" w14:textId="77777777" w:rsidR="001F4CDF" w:rsidRPr="003D716B" w:rsidRDefault="001F4CDF" w:rsidP="001F4CDF">
      <w:pPr>
        <w:pStyle w:val="NoSpacing"/>
        <w:ind w:left="720"/>
      </w:pPr>
    </w:p>
    <w:p w14:paraId="2AED9C2E" w14:textId="77777777" w:rsidR="001F4CDF" w:rsidRPr="00E415CE" w:rsidRDefault="001F4CDF" w:rsidP="001F4CDF">
      <w:pPr>
        <w:pStyle w:val="NoSpacing"/>
        <w:rPr>
          <w:b/>
          <w:bCs/>
        </w:rPr>
      </w:pPr>
      <w:r>
        <w:rPr>
          <w:b/>
        </w:rPr>
        <w:t xml:space="preserve">Legal lesson learned:  Affair can lead to ugly allegations and internal investigations. </w:t>
      </w:r>
    </w:p>
    <w:p w14:paraId="788D6D78" w14:textId="77777777" w:rsidR="001F4CDF" w:rsidRDefault="001F4CDF" w:rsidP="001F4CDF">
      <w:pPr>
        <w:pStyle w:val="NoSpacing"/>
        <w:ind w:left="720"/>
      </w:pPr>
    </w:p>
    <w:p w14:paraId="4CAA8A56" w14:textId="77777777" w:rsidR="00D11FFB" w:rsidRDefault="00D11FFB" w:rsidP="002F7727">
      <w:pPr>
        <w:pStyle w:val="NoSpacing"/>
        <w:rPr>
          <w:rFonts w:ascii="Arial Black" w:hAnsi="Arial Black"/>
          <w:b/>
          <w:sz w:val="24"/>
          <w:szCs w:val="24"/>
        </w:rPr>
      </w:pPr>
    </w:p>
    <w:p w14:paraId="5195B3FD" w14:textId="1C282F47" w:rsidR="002F7727" w:rsidRDefault="002F7727" w:rsidP="002F7727">
      <w:pPr>
        <w:pStyle w:val="NoSpacing"/>
        <w:rPr>
          <w:rFonts w:ascii="Arial Black" w:hAnsi="Arial Black"/>
          <w:b/>
          <w:sz w:val="24"/>
          <w:szCs w:val="24"/>
        </w:rPr>
      </w:pPr>
      <w:r>
        <w:rPr>
          <w:rFonts w:ascii="Arial Black" w:hAnsi="Arial Black"/>
          <w:b/>
          <w:sz w:val="24"/>
          <w:szCs w:val="24"/>
        </w:rPr>
        <w:t>16-13</w:t>
      </w:r>
      <w:r w:rsidR="00D11FFB">
        <w:rPr>
          <w:rFonts w:ascii="Arial Black" w:hAnsi="Arial Black"/>
          <w:b/>
          <w:sz w:val="24"/>
          <w:szCs w:val="24"/>
        </w:rPr>
        <w:t>6</w:t>
      </w:r>
    </w:p>
    <w:p w14:paraId="39E749BB" w14:textId="77777777" w:rsidR="002F7727" w:rsidRDefault="002F7727" w:rsidP="008F4B50">
      <w:pPr>
        <w:pStyle w:val="NoSpacing"/>
        <w:rPr>
          <w:rFonts w:ascii="Arial Black" w:hAnsi="Arial Black"/>
          <w:sz w:val="28"/>
          <w:szCs w:val="28"/>
        </w:rPr>
      </w:pPr>
    </w:p>
    <w:p w14:paraId="20A5B6C5" w14:textId="0479249E" w:rsidR="008F4B50" w:rsidRDefault="008F4B50" w:rsidP="008F4B50">
      <w:pPr>
        <w:pStyle w:val="NoSpacing"/>
        <w:rPr>
          <w:rFonts w:ascii="Arial Black" w:hAnsi="Arial Black"/>
          <w:sz w:val="28"/>
          <w:szCs w:val="28"/>
        </w:rPr>
      </w:pPr>
      <w:r>
        <w:rPr>
          <w:rFonts w:ascii="Arial Black" w:hAnsi="Arial Black"/>
          <w:sz w:val="28"/>
          <w:szCs w:val="28"/>
        </w:rPr>
        <w:t xml:space="preserve">FL: FORMER CHIEF – SEX </w:t>
      </w:r>
      <w:r w:rsidR="0061722F">
        <w:rPr>
          <w:rFonts w:ascii="Arial Black" w:hAnsi="Arial Black"/>
          <w:sz w:val="28"/>
          <w:szCs w:val="28"/>
        </w:rPr>
        <w:t xml:space="preserve">WITH </w:t>
      </w:r>
      <w:r>
        <w:rPr>
          <w:rFonts w:ascii="Arial Black" w:hAnsi="Arial Black"/>
          <w:sz w:val="28"/>
          <w:szCs w:val="28"/>
        </w:rPr>
        <w:t>HIS MINOR CHILD – LIFE PRISON</w:t>
      </w:r>
    </w:p>
    <w:p w14:paraId="10615D7D" w14:textId="77777777" w:rsidR="008F4B50" w:rsidRDefault="008F4B50" w:rsidP="008F4B50">
      <w:pPr>
        <w:pStyle w:val="NoSpacing"/>
      </w:pPr>
    </w:p>
    <w:p w14:paraId="024C478D" w14:textId="77777777" w:rsidR="008F4B50" w:rsidRDefault="008F4B50" w:rsidP="008F4B50">
      <w:pPr>
        <w:pStyle w:val="NoSpacing"/>
      </w:pPr>
      <w:r>
        <w:t xml:space="preserve">On September 4, 2025, in </w:t>
      </w:r>
      <w:r w:rsidRPr="006B7EF4">
        <w:rPr>
          <w:u w:val="single"/>
        </w:rPr>
        <w:t>Jamie Douglas Geer v. Secretary, Department of Corrections</w:t>
      </w:r>
      <w:r>
        <w:t xml:space="preserve">, </w:t>
      </w:r>
      <w:r w:rsidRPr="006B7EF4">
        <w:t>U</w:t>
      </w:r>
      <w:r>
        <w:t>.</w:t>
      </w:r>
      <w:r w:rsidRPr="006B7EF4">
        <w:t xml:space="preserve">S. District </w:t>
      </w:r>
      <w:r>
        <w:t>Court Judge Kathryn Kimball Mizelle, United States District Court for Middle District of Florida (Tampa Division) held that Geer, former Fire Chief of City of Clearwater, is denied habeas corpus and must serve sentence of life in prison in Florida prison.</w:t>
      </w:r>
    </w:p>
    <w:p w14:paraId="4361961C" w14:textId="77777777" w:rsidR="008F4B50" w:rsidRDefault="008F4B50" w:rsidP="008F4B50">
      <w:pPr>
        <w:pStyle w:val="NoSpacing"/>
      </w:pPr>
    </w:p>
    <w:p w14:paraId="11C87842" w14:textId="77777777" w:rsidR="008F4B50" w:rsidRDefault="008F4B50" w:rsidP="008F4B50">
      <w:pPr>
        <w:pStyle w:val="NoSpacing"/>
      </w:pPr>
      <w:r w:rsidRPr="00D70E6E">
        <w:rPr>
          <w:b/>
        </w:rPr>
        <w:t>THE COURT HELD</w:t>
      </w:r>
      <w:r>
        <w:t>:  “</w:t>
      </w:r>
      <w:r w:rsidRPr="003802F4">
        <w:t>Geer, a Florida prisoner, timely filed a pro se second amended petition for writ of habeas corpus under 28 U.S.C. § 2254</w:t>
      </w:r>
      <w:r>
        <w:t xml:space="preserve">…. </w:t>
      </w:r>
      <w:r w:rsidRPr="003802F4">
        <w:t>Also, Geer moved for an evidentiary hearing</w:t>
      </w:r>
      <w:r>
        <w:t xml:space="preserve">…. </w:t>
      </w:r>
      <w:r w:rsidRPr="003802F4">
        <w:t xml:space="preserve">Having considered the second amended </w:t>
      </w:r>
      <w:proofErr w:type="gramStart"/>
      <w:r w:rsidRPr="003802F4">
        <w:t>petition,</w:t>
      </w:r>
      <w:r>
        <w:t>…</w:t>
      </w:r>
      <w:proofErr w:type="gramEnd"/>
      <w:r>
        <w:t xml:space="preserve"> </w:t>
      </w:r>
      <w:r w:rsidRPr="003802F4">
        <w:t>the response in opposition</w:t>
      </w:r>
      <w:r>
        <w:t xml:space="preserve"> … </w:t>
      </w:r>
      <w:r w:rsidRPr="003802F4">
        <w:t>and the reply and the supplemental reply</w:t>
      </w:r>
      <w:r>
        <w:t xml:space="preserve"> … </w:t>
      </w:r>
      <w:r w:rsidRPr="003802F4">
        <w:t>the petition is denied</w:t>
      </w:r>
      <w:r>
        <w:t xml:space="preserve">.” </w:t>
      </w:r>
      <w:hyperlink r:id="rId2575" w:history="1">
        <w:r w:rsidRPr="00204094">
          <w:rPr>
            <w:rStyle w:val="Hyperlink"/>
          </w:rPr>
          <w:t>https://app.midpage.ai/document/geer-v-secretary-department-of-11133637?refG=true</w:t>
        </w:r>
      </w:hyperlink>
      <w:r>
        <w:t xml:space="preserve"> </w:t>
      </w:r>
    </w:p>
    <w:p w14:paraId="52BA3C6A" w14:textId="77777777" w:rsidR="008F4B50" w:rsidRDefault="008F4B50" w:rsidP="008F4B50">
      <w:pPr>
        <w:pStyle w:val="NoSpacing"/>
      </w:pPr>
    </w:p>
    <w:p w14:paraId="4DAC9070" w14:textId="77777777" w:rsidR="008F4B50" w:rsidRPr="003802F4" w:rsidRDefault="008F4B50" w:rsidP="008F4B50">
      <w:pPr>
        <w:pStyle w:val="NoSpacing"/>
        <w:rPr>
          <w:b/>
          <w:bCs/>
        </w:rPr>
      </w:pPr>
      <w:r w:rsidRPr="003802F4">
        <w:rPr>
          <w:b/>
        </w:rPr>
        <w:t xml:space="preserve">KEY FACTS: </w:t>
      </w:r>
    </w:p>
    <w:p w14:paraId="702E0209" w14:textId="77777777" w:rsidR="008F4B50" w:rsidRDefault="008F4B50" w:rsidP="008F4B50">
      <w:pPr>
        <w:pStyle w:val="NoSpacing"/>
      </w:pPr>
    </w:p>
    <w:p w14:paraId="3010FBF2" w14:textId="77777777" w:rsidR="008F4B50" w:rsidRDefault="008F4B50" w:rsidP="008F4B50">
      <w:pPr>
        <w:pStyle w:val="NoSpacing"/>
        <w:ind w:left="720"/>
      </w:pPr>
      <w:r>
        <w:t>“</w:t>
      </w:r>
      <w:r w:rsidRPr="007139A8">
        <w:t>A state court jury convicted Geer of sexual battery, lewd and lascivious battery, and unlawful sexual activity with a minor</w:t>
      </w:r>
      <w:r>
        <w:t xml:space="preserve">…. </w:t>
      </w:r>
      <w:r w:rsidRPr="007139A8">
        <w:t>The state trial court sentenced him to life in prison for the sexual battery conviction, a concurrent fifteen years in prison for the lewd and lascivious battery conviction, and a consecutive fifteen years in prison for the unlawful sexual activity with a minor conviction</w:t>
      </w:r>
      <w:r>
        <w:t xml:space="preserve">…. </w:t>
      </w:r>
      <w:r w:rsidRPr="007139A8">
        <w:t>The state appellate court per curiam affirmed the convictions and sentences</w:t>
      </w:r>
      <w:r>
        <w:t>….</w:t>
      </w:r>
    </w:p>
    <w:p w14:paraId="169E4351" w14:textId="77777777" w:rsidR="008F4B50" w:rsidRDefault="008F4B50" w:rsidP="008F4B50">
      <w:pPr>
        <w:pStyle w:val="NoSpacing"/>
        <w:ind w:left="720"/>
      </w:pPr>
    </w:p>
    <w:p w14:paraId="50892A14" w14:textId="77777777" w:rsidR="008F4B50" w:rsidRDefault="008F4B50" w:rsidP="008F4B50">
      <w:pPr>
        <w:pStyle w:val="NoSpacing"/>
        <w:ind w:left="720"/>
      </w:pPr>
      <w:r>
        <w:t>***</w:t>
      </w:r>
    </w:p>
    <w:p w14:paraId="39202F30" w14:textId="77777777" w:rsidR="008F4B50" w:rsidRDefault="008F4B50" w:rsidP="008F4B50">
      <w:pPr>
        <w:pStyle w:val="NoSpacing"/>
        <w:ind w:left="720"/>
      </w:pPr>
      <w:r w:rsidRPr="002D71DC">
        <w:t xml:space="preserve">At trial, the victim, who was nineteen, testified that Geer began to engage in sexual activity with </w:t>
      </w:r>
      <w:r>
        <w:t>‘</w:t>
      </w:r>
      <w:r w:rsidRPr="002D71DC">
        <w:t>her when she was seven, began to engage in oral sex with her when she was eleven, and began to engage in vaginal sex with her when she was fifteen.</w:t>
      </w:r>
      <w:r>
        <w:t xml:space="preserve">’ </w:t>
      </w:r>
      <w:r w:rsidRPr="008E332A">
        <w:t>A state court jury convicted Geer</w:t>
      </w:r>
      <w:r>
        <w:t xml:space="preserve"> in 2012</w:t>
      </w:r>
      <w:r w:rsidRPr="008E332A">
        <w:t xml:space="preserve"> of sexual battery, lewd and lascivious battery, and unlawful sexual activity with a minor</w:t>
      </w:r>
      <w:r>
        <w:t xml:space="preserve"> (started at age 7)</w:t>
      </w:r>
      <w:r w:rsidRPr="008E332A">
        <w:t xml:space="preserve">. </w:t>
      </w:r>
      <w:r>
        <w:t>T</w:t>
      </w:r>
      <w:r w:rsidRPr="008E332A">
        <w:t>he state trial court sentenced him to life in prison for the sexual battery conviction, a concurrent fifteen years in prison for the lewd and lascivious battery conviction, and a consecutive fifteen years in prison for unlawful sexual activity with a minor conviction.</w:t>
      </w:r>
      <w:r>
        <w:t xml:space="preserve">” </w:t>
      </w:r>
    </w:p>
    <w:p w14:paraId="22BF09D3" w14:textId="77777777" w:rsidR="008F4B50" w:rsidRDefault="008F4B50" w:rsidP="008F4B50">
      <w:pPr>
        <w:pStyle w:val="NoSpacing"/>
      </w:pPr>
    </w:p>
    <w:p w14:paraId="15E89EC6" w14:textId="77777777" w:rsidR="008F4B50" w:rsidRPr="00827C25" w:rsidRDefault="008F4B50" w:rsidP="008F4B50">
      <w:pPr>
        <w:pStyle w:val="NoSpacing"/>
        <w:rPr>
          <w:b/>
        </w:rPr>
      </w:pPr>
      <w:r w:rsidRPr="00827C25">
        <w:rPr>
          <w:b/>
        </w:rPr>
        <w:t xml:space="preserve">Legal lesson learned: </w:t>
      </w:r>
      <w:r>
        <w:rPr>
          <w:b/>
        </w:rPr>
        <w:t xml:space="preserve">Terrible conduct; life in prison appropriate sentence. </w:t>
      </w:r>
    </w:p>
    <w:p w14:paraId="181FD179" w14:textId="77777777" w:rsidR="008F4B50" w:rsidRDefault="008F4B50" w:rsidP="008F4B50">
      <w:pPr>
        <w:pStyle w:val="NoSpacing"/>
        <w:ind w:left="720"/>
      </w:pPr>
    </w:p>
    <w:p w14:paraId="17B3C3A2" w14:textId="77777777" w:rsidR="008F4B50" w:rsidRPr="0040299C" w:rsidRDefault="008F4B50" w:rsidP="008F4B50">
      <w:pPr>
        <w:pStyle w:val="NoSpacing"/>
        <w:ind w:left="720"/>
        <w:rPr>
          <w:rFonts w:ascii="Arial Black" w:hAnsi="Arial Black"/>
          <w:b/>
          <w:sz w:val="28"/>
          <w:szCs w:val="28"/>
        </w:rPr>
      </w:pPr>
      <w:r>
        <w:t xml:space="preserve">Note: </w:t>
      </w:r>
      <w:r w:rsidRPr="00827C25">
        <w:t xml:space="preserve">See </w:t>
      </w:r>
      <w:r w:rsidRPr="0040299C">
        <w:t xml:space="preserve">April 27, </w:t>
      </w:r>
      <w:proofErr w:type="gramStart"/>
      <w:r w:rsidRPr="0040299C">
        <w:t>2012</w:t>
      </w:r>
      <w:proofErr w:type="gramEnd"/>
      <w:r w:rsidRPr="0040299C">
        <w:t xml:space="preserve"> article, “Ex-fire chief convicted in child sex abuse trial. A former Clearwater fire chief is going to prison for life for having sex with a minor</w:t>
      </w:r>
      <w:r>
        <w:t>.”</w:t>
      </w:r>
    </w:p>
    <w:p w14:paraId="6664EBED" w14:textId="77777777" w:rsidR="008F4B50" w:rsidRDefault="008F4B50" w:rsidP="008F4B50">
      <w:pPr>
        <w:pStyle w:val="NoSpacing"/>
        <w:ind w:left="720"/>
        <w:rPr>
          <w:b/>
        </w:rPr>
      </w:pPr>
      <w:hyperlink r:id="rId2576" w:history="1">
        <w:r w:rsidRPr="006219A0">
          <w:rPr>
            <w:rStyle w:val="Hyperlink"/>
            <w:b/>
          </w:rPr>
          <w:t>https://www.wtsp.com/article/news/local/ex-fire-chief-convicted-in-child-sex-abuse-trial/67-376283027</w:t>
        </w:r>
      </w:hyperlink>
      <w:r w:rsidRPr="00AB2879">
        <w:rPr>
          <w:b/>
        </w:rPr>
        <w:t xml:space="preserve"> </w:t>
      </w:r>
    </w:p>
    <w:p w14:paraId="48BBC747" w14:textId="77777777" w:rsidR="008F4B50" w:rsidRDefault="008F4B50" w:rsidP="008F4B50">
      <w:pPr>
        <w:pStyle w:val="NoSpacing"/>
        <w:ind w:left="720"/>
        <w:rPr>
          <w:bCs/>
        </w:rPr>
      </w:pPr>
    </w:p>
    <w:p w14:paraId="66D8C303" w14:textId="77777777" w:rsidR="008F4B50" w:rsidRPr="002376C5" w:rsidRDefault="008F4B50" w:rsidP="008F4B50">
      <w:pPr>
        <w:pStyle w:val="NoSpacing"/>
        <w:ind w:left="720"/>
        <w:rPr>
          <w:bCs/>
        </w:rPr>
      </w:pPr>
      <w:r>
        <w:t xml:space="preserve">See closing arguments [VIDEO]: </w:t>
      </w:r>
      <w:hyperlink r:id="rId2577" w:history="1">
        <w:r w:rsidRPr="00FE3641">
          <w:rPr>
            <w:rStyle w:val="Hyperlink"/>
          </w:rPr>
          <w:t>https://www.youtube.com/watch?v=J9a7dzpchr4</w:t>
        </w:r>
      </w:hyperlink>
      <w:r>
        <w:t xml:space="preserve"> </w:t>
      </w:r>
    </w:p>
    <w:p w14:paraId="24BE2A3A" w14:textId="77777777" w:rsidR="008F4B50" w:rsidRDefault="008F4B50" w:rsidP="008F4B50">
      <w:pPr>
        <w:pStyle w:val="NoSpacing"/>
        <w:ind w:left="720"/>
        <w:rPr>
          <w:bCs/>
        </w:rPr>
      </w:pPr>
    </w:p>
    <w:p w14:paraId="5137F7DA" w14:textId="11F90AC5" w:rsidR="002F7727" w:rsidRDefault="002F7727" w:rsidP="002F7727">
      <w:pPr>
        <w:pStyle w:val="NoSpacing"/>
        <w:rPr>
          <w:rFonts w:ascii="Arial Black" w:hAnsi="Arial Black"/>
          <w:b/>
          <w:sz w:val="24"/>
          <w:szCs w:val="24"/>
        </w:rPr>
      </w:pPr>
      <w:r>
        <w:rPr>
          <w:rFonts w:ascii="Arial Black" w:hAnsi="Arial Black"/>
          <w:b/>
          <w:sz w:val="24"/>
          <w:szCs w:val="24"/>
        </w:rPr>
        <w:t>16-13</w:t>
      </w:r>
      <w:r w:rsidR="00D11FFB">
        <w:rPr>
          <w:rFonts w:ascii="Arial Black" w:hAnsi="Arial Black"/>
          <w:b/>
          <w:sz w:val="24"/>
          <w:szCs w:val="24"/>
        </w:rPr>
        <w:t>5</w:t>
      </w:r>
    </w:p>
    <w:p w14:paraId="056E02E6" w14:textId="77777777" w:rsidR="00524648" w:rsidRDefault="00524648" w:rsidP="00F326E5">
      <w:pPr>
        <w:pStyle w:val="NoSpacing"/>
        <w:rPr>
          <w:rFonts w:ascii="Arial Black" w:hAnsi="Arial Black"/>
          <w:b/>
          <w:sz w:val="24"/>
          <w:szCs w:val="24"/>
        </w:rPr>
      </w:pPr>
    </w:p>
    <w:p w14:paraId="08BE13CD" w14:textId="2EE029D2" w:rsidR="00C222A8" w:rsidRPr="004F4C85" w:rsidRDefault="00C222A8" w:rsidP="00C222A8">
      <w:pPr>
        <w:pStyle w:val="NoSpacing"/>
        <w:rPr>
          <w:rFonts w:ascii="Arial Black" w:hAnsi="Arial Black"/>
          <w:sz w:val="28"/>
          <w:szCs w:val="28"/>
        </w:rPr>
      </w:pPr>
      <w:r>
        <w:rPr>
          <w:rFonts w:ascii="Arial Black" w:hAnsi="Arial Black"/>
          <w:sz w:val="28"/>
          <w:szCs w:val="28"/>
        </w:rPr>
        <w:t>LA: CAPT TRANF</w:t>
      </w:r>
      <w:r w:rsidR="0061722F">
        <w:rPr>
          <w:rFonts w:ascii="Arial Black" w:hAnsi="Arial Black"/>
          <w:sz w:val="28"/>
          <w:szCs w:val="28"/>
        </w:rPr>
        <w:t>ER</w:t>
      </w:r>
      <w:r>
        <w:rPr>
          <w:rFonts w:ascii="Arial Black" w:hAnsi="Arial Black"/>
          <w:sz w:val="28"/>
          <w:szCs w:val="28"/>
        </w:rPr>
        <w:t xml:space="preserve"> - NOT “DISCIPLINE” – FF BILL OF RIGHTS </w:t>
      </w:r>
    </w:p>
    <w:p w14:paraId="7F0A5D96" w14:textId="77777777" w:rsidR="00C222A8" w:rsidRDefault="00C222A8" w:rsidP="00C222A8">
      <w:pPr>
        <w:pStyle w:val="NoSpacing"/>
      </w:pPr>
    </w:p>
    <w:p w14:paraId="4BB53396" w14:textId="77777777" w:rsidR="00C222A8" w:rsidRDefault="00C222A8" w:rsidP="00C222A8">
      <w:pPr>
        <w:pStyle w:val="NoSpacing"/>
      </w:pPr>
      <w:r>
        <w:t xml:space="preserve">On Aug. 28, 2025, in </w:t>
      </w:r>
      <w:r w:rsidRPr="00AA47E1">
        <w:rPr>
          <w:u w:val="single"/>
        </w:rPr>
        <w:t>Marlan Hyde, Sr. v. New Orleans Fire Department</w:t>
      </w:r>
      <w:r>
        <w:t xml:space="preserve">, the </w:t>
      </w:r>
      <w:r w:rsidRPr="00D2578E">
        <w:t>Court of Appeals of Louisiana, Fourth Circuit</w:t>
      </w:r>
      <w:r>
        <w:t xml:space="preserve"> held (3 to 0) that the City Civil Service Commission properly held that the transfer from District Four to District Three, three months after the December 17, 2023 “physical altercation” with another fire captain, Craig Armant, was not a disciplinary action.   The pre-disciplinary hearing was conducted on March 20, 2024, and the FD decided to not issue any discipline, to avoid any violation of “60-day rule” of Louisiana Firefighters Bill of Rights Act. “Any investigation of a fire employee . . . shall be completed within sixty days, including the conducting of any pre-disciplinary hearing or conference.  </w:t>
      </w:r>
    </w:p>
    <w:p w14:paraId="0188D125" w14:textId="77777777" w:rsidR="00C222A8" w:rsidRDefault="00C222A8" w:rsidP="00C222A8">
      <w:pPr>
        <w:pStyle w:val="NoSpacing"/>
      </w:pPr>
    </w:p>
    <w:p w14:paraId="78CC2F23" w14:textId="77777777" w:rsidR="00C222A8" w:rsidRPr="00733C69" w:rsidRDefault="00C222A8" w:rsidP="00C222A8">
      <w:pPr>
        <w:pStyle w:val="NoSpacing"/>
        <w:rPr>
          <w:b/>
          <w:bCs/>
        </w:rPr>
      </w:pPr>
      <w:r w:rsidRPr="00733C69">
        <w:rPr>
          <w:b/>
        </w:rPr>
        <w:t xml:space="preserve">THE COURT HELD: </w:t>
      </w:r>
      <w:r>
        <w:t xml:space="preserve">In its October 3, </w:t>
      </w:r>
      <w:proofErr w:type="gramStart"/>
      <w:r>
        <w:t>2024</w:t>
      </w:r>
      <w:proofErr w:type="gramEnd"/>
      <w:r>
        <w:t xml:space="preserve"> decision, the Commission found that NOFD’s transfer of Hyde without any attendant loss in pay “[was] not discipline” under Civil Service Rule II, § 4.13 ‘so [he] has no right of appeal’  and denied Hyde’s civil service appeal. This appeal follows…. Accordingly, we find no error in the Commission’s determination that Hyde’s transfer was not disciplinary in nature, such that he had no right under Civil Service Rule II, § </w:t>
      </w:r>
      <w:proofErr w:type="gramStart"/>
      <w:r>
        <w:t>4.1</w:t>
      </w:r>
      <w:proofErr w:type="gramEnd"/>
      <w:r>
        <w:t xml:space="preserve"> to appeal the transfer. We find this assignment without merit… Hyde has failed to demonstrate that his transfer will cause him to suffer any negative effect. Accordingly, the Court finds that Hyde’s transfer does not amount to an adverse action under the Firefighters Bill of Rights.” </w:t>
      </w:r>
      <w:hyperlink r:id="rId2578" w:history="1">
        <w:r w:rsidRPr="00494FBC">
          <w:rPr>
            <w:rStyle w:val="Hyperlink"/>
            <w:b/>
          </w:rPr>
          <w:t>https://cases.justia.com/louisiana/fourth-circuit-court-of-appeal/2025-2025-ca-0114.pdf?ts=1756426619</w:t>
        </w:r>
      </w:hyperlink>
    </w:p>
    <w:p w14:paraId="4C39427C" w14:textId="77777777" w:rsidR="00C222A8" w:rsidRDefault="00C222A8" w:rsidP="00C222A8">
      <w:pPr>
        <w:pStyle w:val="NoSpacing"/>
      </w:pPr>
    </w:p>
    <w:p w14:paraId="4BB85C4C" w14:textId="77777777" w:rsidR="00C222A8" w:rsidRPr="00F86675" w:rsidRDefault="00C222A8" w:rsidP="00C222A8">
      <w:pPr>
        <w:pStyle w:val="NoSpacing"/>
        <w:rPr>
          <w:b/>
          <w:bCs/>
        </w:rPr>
      </w:pPr>
      <w:r w:rsidRPr="00F86675">
        <w:rPr>
          <w:b/>
        </w:rPr>
        <w:t xml:space="preserve">KEY FACTS: </w:t>
      </w:r>
    </w:p>
    <w:p w14:paraId="7AB9B3DC" w14:textId="77777777" w:rsidR="00C222A8" w:rsidRDefault="00C222A8" w:rsidP="00C222A8">
      <w:pPr>
        <w:pStyle w:val="NoSpacing"/>
      </w:pPr>
    </w:p>
    <w:p w14:paraId="41360079" w14:textId="77777777" w:rsidR="00C222A8" w:rsidRDefault="00C222A8" w:rsidP="00C222A8">
      <w:pPr>
        <w:pStyle w:val="NoSpacing"/>
        <w:ind w:left="720"/>
      </w:pPr>
      <w:r>
        <w:t>“On December 17, 2023, Hyde engaged in a physical altercation with another fire captain, Craig Armant (‘Captain Armant’), at a fire station in the Fourth District where they both worked. Following the altercation, NOFD initiated an investigation into the incident.</w:t>
      </w:r>
    </w:p>
    <w:p w14:paraId="4FBCFE0B" w14:textId="77777777" w:rsidR="00C222A8" w:rsidRDefault="00C222A8" w:rsidP="00C222A8">
      <w:pPr>
        <w:pStyle w:val="NoSpacing"/>
      </w:pPr>
    </w:p>
    <w:p w14:paraId="206ACEE7" w14:textId="77777777" w:rsidR="00C222A8" w:rsidRDefault="00C222A8" w:rsidP="00C222A8">
      <w:pPr>
        <w:pStyle w:val="NoSpacing"/>
      </w:pPr>
      <w:r>
        <w:lastRenderedPageBreak/>
        <w:tab/>
        <w:t>***</w:t>
      </w:r>
    </w:p>
    <w:p w14:paraId="3C9044C4" w14:textId="77777777" w:rsidR="00C222A8" w:rsidRDefault="00C222A8" w:rsidP="00C222A8">
      <w:pPr>
        <w:pStyle w:val="NoSpacing"/>
      </w:pPr>
    </w:p>
    <w:p w14:paraId="05AAECAC" w14:textId="77777777" w:rsidR="00C222A8" w:rsidRDefault="00C222A8" w:rsidP="00C222A8">
      <w:pPr>
        <w:pStyle w:val="NoSpacing"/>
        <w:ind w:left="720"/>
      </w:pPr>
      <w:r>
        <w:t xml:space="preserve">On January 24, 2024, NOFD charged Hyde with violating its departmental rule RR-25, which provides </w:t>
      </w:r>
      <w:proofErr w:type="gramStart"/>
      <w:r>
        <w:t>that, ‘[</w:t>
      </w:r>
      <w:proofErr w:type="gramEnd"/>
      <w:r>
        <w:t>t]</w:t>
      </w:r>
      <w:proofErr w:type="spellStart"/>
      <w:r>
        <w:t>hreats</w:t>
      </w:r>
      <w:proofErr w:type="spellEnd"/>
      <w:r>
        <w:t xml:space="preserve"> or acts of physical violence against the public or other members is strictly prohibited.’ A pre-disciplinary hearing was conducted on March 20, 2024. At the hearing, Hyde, through his representative, raised NOFD’s failure to complete the investigation into the December 17, </w:t>
      </w:r>
      <w:proofErr w:type="gramStart"/>
      <w:r>
        <w:t>2023</w:t>
      </w:r>
      <w:proofErr w:type="gramEnd"/>
      <w:r>
        <w:t xml:space="preserve"> incident within sixty days, as required by the Firefighters Bill of Rights, La. R.S.33:2181 et seq., and requested that the disciplinary matter be ‘thrown out immediately.’ The request was denied.</w:t>
      </w:r>
    </w:p>
    <w:p w14:paraId="09463151" w14:textId="77777777" w:rsidR="00C222A8" w:rsidRDefault="00C222A8" w:rsidP="00C222A8">
      <w:pPr>
        <w:pStyle w:val="NoSpacing"/>
        <w:ind w:left="720"/>
      </w:pPr>
    </w:p>
    <w:p w14:paraId="64DEB80E" w14:textId="77777777" w:rsidR="00C222A8" w:rsidRDefault="00C222A8" w:rsidP="00C222A8">
      <w:pPr>
        <w:pStyle w:val="NoSpacing"/>
        <w:ind w:left="720"/>
      </w:pPr>
      <w:r>
        <w:t>***</w:t>
      </w:r>
    </w:p>
    <w:p w14:paraId="4F47E3CD" w14:textId="77777777" w:rsidR="00C222A8" w:rsidRDefault="00C222A8" w:rsidP="00C222A8">
      <w:pPr>
        <w:pStyle w:val="NoSpacing"/>
        <w:ind w:left="720"/>
      </w:pPr>
      <w:r>
        <w:t xml:space="preserve">On March 25, 2024, Deputy Chief Larry White verbally informed Hyde that NOFD was transferring him to a fire station in the Third District. Hyde objected to the transfer and requested a meeting with the Superintendent of Fire of NOFD, Roman Nelson, to discuss the transfer. Superintendent Nelson and Deputy Superintendent of Operations Armand Bourdais met with Hyde and his representative the following day at fire headquarters. During this meeting, Superintendent Nelson informed Hyde that no disciplinary action would be taken against him for the December 17, </w:t>
      </w:r>
      <w:proofErr w:type="gramStart"/>
      <w:r>
        <w:t>2023</w:t>
      </w:r>
      <w:proofErr w:type="gramEnd"/>
      <w:r>
        <w:t xml:space="preserve"> incident, but that he was being transferred due to safety concerns.</w:t>
      </w:r>
    </w:p>
    <w:p w14:paraId="13FB0CD6" w14:textId="77777777" w:rsidR="00C222A8" w:rsidRDefault="00C222A8" w:rsidP="00C222A8">
      <w:pPr>
        <w:pStyle w:val="NoSpacing"/>
        <w:ind w:left="720"/>
      </w:pPr>
    </w:p>
    <w:p w14:paraId="21282DA9" w14:textId="77777777" w:rsidR="00C222A8" w:rsidRDefault="00C222A8" w:rsidP="00C222A8">
      <w:pPr>
        <w:pStyle w:val="NoSpacing"/>
        <w:ind w:left="720"/>
      </w:pPr>
      <w:r>
        <w:t>***</w:t>
      </w:r>
    </w:p>
    <w:p w14:paraId="1D6C5D8D" w14:textId="77777777" w:rsidR="00C222A8" w:rsidRDefault="00C222A8" w:rsidP="00C222A8">
      <w:pPr>
        <w:pStyle w:val="NoSpacing"/>
      </w:pPr>
    </w:p>
    <w:p w14:paraId="614DA3B1" w14:textId="77777777" w:rsidR="00C222A8" w:rsidRDefault="00C222A8" w:rsidP="00C222A8">
      <w:pPr>
        <w:pStyle w:val="NoSpacing"/>
        <w:ind w:left="720"/>
      </w:pPr>
      <w:r>
        <w:t>Hyde was transferred to the Third District effective March 28, 2024. NOFD issued a letter to Hyde on April 18, 2024, informing him that no action would be taken against him due to the expiration of the 60-day period set forth in the Firefighters Bill of Rights.”</w:t>
      </w:r>
    </w:p>
    <w:p w14:paraId="7A8DA35A" w14:textId="77777777" w:rsidR="00C222A8" w:rsidRDefault="00C222A8" w:rsidP="00C222A8">
      <w:pPr>
        <w:pStyle w:val="NoSpacing"/>
        <w:ind w:left="720"/>
      </w:pPr>
    </w:p>
    <w:p w14:paraId="26C09CAC" w14:textId="77777777" w:rsidR="00C222A8" w:rsidRDefault="00C222A8" w:rsidP="00C222A8">
      <w:pPr>
        <w:pStyle w:val="NoSpacing"/>
        <w:ind w:left="720"/>
      </w:pPr>
    </w:p>
    <w:p w14:paraId="46473864" w14:textId="622D5839" w:rsidR="00C222A8" w:rsidRDefault="00C222A8" w:rsidP="00C222A8">
      <w:pPr>
        <w:pStyle w:val="NoSpacing"/>
        <w:rPr>
          <w:b/>
          <w:bCs/>
        </w:rPr>
      </w:pPr>
      <w:r>
        <w:rPr>
          <w:b/>
        </w:rPr>
        <w:t xml:space="preserve">Legal lesson learned: Transfer to another station is not </w:t>
      </w:r>
      <w:proofErr w:type="gramStart"/>
      <w:r>
        <w:rPr>
          <w:b/>
        </w:rPr>
        <w:t>discipline</w:t>
      </w:r>
      <w:proofErr w:type="gramEnd"/>
      <w:r>
        <w:rPr>
          <w:b/>
        </w:rPr>
        <w:t xml:space="preserve"> in violation of the state’s </w:t>
      </w:r>
      <w:r w:rsidRPr="00A94B6A">
        <w:rPr>
          <w:b/>
        </w:rPr>
        <w:t>Firefighters Bill of Rights</w:t>
      </w:r>
      <w:r w:rsidR="00E73B34">
        <w:rPr>
          <w:b/>
        </w:rPr>
        <w:t xml:space="preserve">. </w:t>
      </w:r>
    </w:p>
    <w:p w14:paraId="354B403A" w14:textId="77777777" w:rsidR="00C222A8" w:rsidRDefault="00C222A8" w:rsidP="00C222A8">
      <w:pPr>
        <w:pStyle w:val="NoSpacing"/>
        <w:rPr>
          <w:b/>
          <w:bCs/>
        </w:rPr>
      </w:pPr>
    </w:p>
    <w:p w14:paraId="23672FA5" w14:textId="77777777" w:rsidR="00D11FFB" w:rsidRDefault="00D11FFB" w:rsidP="002F7727">
      <w:pPr>
        <w:pStyle w:val="NoSpacing"/>
        <w:rPr>
          <w:rFonts w:ascii="Arial Black" w:hAnsi="Arial Black"/>
          <w:b/>
          <w:sz w:val="24"/>
          <w:szCs w:val="24"/>
        </w:rPr>
      </w:pPr>
    </w:p>
    <w:p w14:paraId="4449F8A5" w14:textId="158B7DD6" w:rsidR="002F7727" w:rsidRDefault="00075CD4" w:rsidP="002F7727">
      <w:pPr>
        <w:pStyle w:val="NoSpacing"/>
        <w:rPr>
          <w:rFonts w:ascii="Arial Black" w:hAnsi="Arial Black"/>
          <w:b/>
          <w:sz w:val="24"/>
          <w:szCs w:val="24"/>
        </w:rPr>
      </w:pPr>
      <w:r>
        <w:rPr>
          <w:rFonts w:ascii="Arial Black" w:hAnsi="Arial Black"/>
          <w:b/>
          <w:sz w:val="24"/>
          <w:szCs w:val="24"/>
        </w:rPr>
        <w:t>16-134</w:t>
      </w:r>
    </w:p>
    <w:p w14:paraId="0D8C1A27" w14:textId="77777777" w:rsidR="00140433" w:rsidRDefault="00140433" w:rsidP="002F7727">
      <w:pPr>
        <w:pStyle w:val="NoSpacing"/>
        <w:rPr>
          <w:rFonts w:ascii="Arial Black" w:hAnsi="Arial Black"/>
          <w:b/>
          <w:sz w:val="24"/>
          <w:szCs w:val="24"/>
        </w:rPr>
      </w:pPr>
    </w:p>
    <w:p w14:paraId="3656767C" w14:textId="77777777" w:rsidR="00140433" w:rsidRPr="00A63A50" w:rsidRDefault="00140433" w:rsidP="00140433">
      <w:pPr>
        <w:rPr>
          <w:rFonts w:ascii="Arial Black" w:hAnsi="Arial Black"/>
          <w:sz w:val="28"/>
          <w:szCs w:val="28"/>
        </w:rPr>
      </w:pPr>
      <w:r>
        <w:rPr>
          <w:rFonts w:ascii="Arial Black" w:hAnsi="Arial Black"/>
          <w:sz w:val="28"/>
          <w:szCs w:val="28"/>
        </w:rPr>
        <w:t>AR: FACEBOOK - FIRED – “BALANCING” - CASE TO TRIAL</w:t>
      </w:r>
    </w:p>
    <w:p w14:paraId="4DC2725C" w14:textId="77777777" w:rsidR="00075CD4" w:rsidRDefault="00075CD4" w:rsidP="00075CD4">
      <w:pPr>
        <w:pStyle w:val="NoSpacing"/>
      </w:pPr>
      <w:r>
        <w:t xml:space="preserve">On Aug. 13, 2025, in </w:t>
      </w:r>
      <w:r w:rsidRPr="00642A93">
        <w:rPr>
          <w:u w:val="single"/>
        </w:rPr>
        <w:t>Steven Melton v. City of Forrest City</w:t>
      </w:r>
      <w:r w:rsidRPr="00423BB5">
        <w:t xml:space="preserve">, </w:t>
      </w:r>
      <w:r>
        <w:t>the United States Court of Appeals for the 8</w:t>
      </w:r>
      <w:r w:rsidRPr="00751559">
        <w:rPr>
          <w:vertAlign w:val="superscript"/>
        </w:rPr>
        <w:t>th</w:t>
      </w:r>
      <w:r>
        <w:t xml:space="preserve"> Circuit (St. Louis) held (3 to 0) that the trial court improperly granted summary judgement to the city’ the pro-life firefighter is entitled to a jury trial.  Under the U.S. Supreme Court’s </w:t>
      </w:r>
      <w:r w:rsidRPr="004E09A7">
        <w:rPr>
          <w:i/>
          <w:iCs/>
        </w:rPr>
        <w:t>Pickering</w:t>
      </w:r>
      <w:r>
        <w:t xml:space="preserve"> “balancing” decision, the Facebook posting caused little disruption to the fire department during the two weeks it was posted, but the </w:t>
      </w:r>
      <w:proofErr w:type="gramStart"/>
      <w:r>
        <w:t>Mayor</w:t>
      </w:r>
      <w:proofErr w:type="gramEnd"/>
      <w:r>
        <w:t xml:space="preserve"> feared great community outrage. THE COURT WROTE: “Does a Forrest City fireman who lost his job because he posted a provocative image on his personal Facebook page have a First Amendment retaliation claim that can get to a jury? We conclude that he does…. Steven Melton is a pro-life, evangelical Christian. In June 2020, he reposted a black-and-white image on Facebook [see posting in this decision] that depicted a silhouette of a baby in the womb with a rope around its neck. His intent was to convey that he was ‘anti-abortion.’  … The problem is that there was no showing that Melton’s post had an impact  on the fire department itself. No current firefighter complained or confronted him about it. Nor did any co-worker or supervisor refuse to work with him.” </w:t>
      </w:r>
      <w:hyperlink r:id="rId2579" w:history="1">
        <w:r w:rsidRPr="009C046C">
          <w:rPr>
            <w:rStyle w:val="Hyperlink"/>
          </w:rPr>
          <w:t>https://cases.justia.com/federal/appellate-courts/ca8/23-3398/23-3398-2025-08-13.pdf?ts=1755099027</w:t>
        </w:r>
      </w:hyperlink>
      <w:r>
        <w:t xml:space="preserve"> </w:t>
      </w:r>
    </w:p>
    <w:p w14:paraId="37AA167A" w14:textId="77777777" w:rsidR="00075CD4" w:rsidRDefault="00075CD4" w:rsidP="00075CD4">
      <w:pPr>
        <w:pStyle w:val="NoSpacing"/>
      </w:pPr>
    </w:p>
    <w:p w14:paraId="132D251C" w14:textId="77777777" w:rsidR="00075CD4" w:rsidRDefault="00075CD4" w:rsidP="00075CD4">
      <w:r>
        <w:t>THE COURT HELD:</w:t>
      </w:r>
    </w:p>
    <w:p w14:paraId="45F54E08" w14:textId="77777777" w:rsidR="00075CD4" w:rsidRDefault="00075CD4" w:rsidP="00075CD4">
      <w:pPr>
        <w:pStyle w:val="NoSpacing"/>
        <w:ind w:left="720"/>
      </w:pPr>
      <w:r>
        <w:t xml:space="preserve">“Two weeks after he posted it, a retired fire-department supervisor complained to Melton that he thought it looked like a noose around the neck of a black child. It upset him because the caption of the image, ‘I can’t </w:t>
      </w:r>
      <w:proofErr w:type="gramStart"/>
      <w:r>
        <w:t>breathe!,</w:t>
      </w:r>
      <w:proofErr w:type="gramEnd"/>
      <w:r>
        <w:t>’ was associated with the protests surrounding George Floyd’s death. Melton agreed to delete it immediately.</w:t>
      </w:r>
    </w:p>
    <w:p w14:paraId="6EBF5ED9" w14:textId="77777777" w:rsidR="00075CD4" w:rsidRDefault="00075CD4" w:rsidP="00075CD4">
      <w:pPr>
        <w:pStyle w:val="NoSpacing"/>
      </w:pPr>
    </w:p>
    <w:p w14:paraId="3EA691C9" w14:textId="77777777" w:rsidR="00075CD4" w:rsidRDefault="00075CD4" w:rsidP="00075CD4">
      <w:pPr>
        <w:pStyle w:val="NoSpacing"/>
        <w:ind w:left="720"/>
      </w:pPr>
      <w:r>
        <w:lastRenderedPageBreak/>
        <w:t>Deleting it was not enough for Mayor Cedric Williams, who called him into his office the next day. Although Melton was ‘apologetic,’ the mayor placed him on administrative leave pending an investigation. After a single day reviewing Melton’s Facebook page and discussing the post with the current fire chief, two retired firefighters, several attorneys, and a human-resources officer, the mayor decided to fire Melton over the image’s ‘egregious nature.’</w:t>
      </w:r>
    </w:p>
    <w:p w14:paraId="173395AD" w14:textId="77777777" w:rsidR="00075CD4" w:rsidRDefault="00075CD4" w:rsidP="00075CD4">
      <w:pPr>
        <w:pStyle w:val="NoSpacing"/>
        <w:ind w:left="720"/>
      </w:pPr>
    </w:p>
    <w:p w14:paraId="3101D688" w14:textId="77777777" w:rsidR="00075CD4" w:rsidRDefault="00075CD4" w:rsidP="00075CD4">
      <w:pPr>
        <w:pStyle w:val="NoSpacing"/>
        <w:ind w:left="720"/>
      </w:pPr>
      <w:r>
        <w:t>He was concerned about the ‘huge firestorm’ it had created. Among other things, the fire chief’s phone had been ‘blowing up,’ ‘several’ police officers had become ‘very upset,’ and the ‘phone lines’ were jammed with calls from angry city-council members and citizens. Some said that Melton ‘should not be a part of the . . . fire department responding to calls.’  A few even said that they did not want ‘him coming to their house . . . for a medical call or fire emergency.”’ According to the mayor, these complaints ‘threaten[ed] the City’s ability to administer public services.’</w:t>
      </w:r>
    </w:p>
    <w:p w14:paraId="2E8FDA3A" w14:textId="77777777" w:rsidR="00075CD4" w:rsidRDefault="00075CD4" w:rsidP="00075CD4">
      <w:pPr>
        <w:pStyle w:val="NoSpacing"/>
        <w:ind w:left="720"/>
      </w:pPr>
    </w:p>
    <w:p w14:paraId="5FB3AD19" w14:textId="77777777" w:rsidR="00075CD4" w:rsidRDefault="00075CD4" w:rsidP="00075CD4">
      <w:pPr>
        <w:pStyle w:val="NoSpacing"/>
        <w:ind w:left="720"/>
      </w:pPr>
      <w:r>
        <w:t>Melton found out about the decision to fire him from the local news. In response to a ‘media request,’ Mayor Williams had issued a press release stating that ‘[q]</w:t>
      </w:r>
      <w:proofErr w:type="spellStart"/>
      <w:r>
        <w:t>uestionable</w:t>
      </w:r>
      <w:proofErr w:type="spellEnd"/>
      <w:r>
        <w:t xml:space="preserve"> social[-]media posts’ had led to his termination. It marked the end of his ‘four and a half years’ of ‘unblemished’ service.”</w:t>
      </w:r>
    </w:p>
    <w:p w14:paraId="0B04839C" w14:textId="77777777" w:rsidR="00075CD4" w:rsidRDefault="00075CD4" w:rsidP="00075CD4">
      <w:pPr>
        <w:pStyle w:val="NoSpacing"/>
        <w:ind w:left="720"/>
      </w:pPr>
    </w:p>
    <w:p w14:paraId="47399DE3" w14:textId="77777777" w:rsidR="00075CD4" w:rsidRDefault="00075CD4" w:rsidP="00075CD4">
      <w:pPr>
        <w:pStyle w:val="NoSpacing"/>
        <w:rPr>
          <w:b/>
          <w:bCs/>
        </w:rPr>
      </w:pPr>
      <w:r w:rsidRPr="0057733E">
        <w:rPr>
          <w:b/>
        </w:rPr>
        <w:t xml:space="preserve">Legal lesson learned: </w:t>
      </w:r>
      <w:r>
        <w:rPr>
          <w:b/>
        </w:rPr>
        <w:t>Emergency responders must be extremely careful in their social media posts; we are living in a hyper-sensitive age.</w:t>
      </w:r>
    </w:p>
    <w:p w14:paraId="086AD95F" w14:textId="77777777" w:rsidR="00075CD4" w:rsidRDefault="00075CD4" w:rsidP="00075CD4">
      <w:pPr>
        <w:pStyle w:val="NoSpacing"/>
        <w:rPr>
          <w:b/>
          <w:bCs/>
        </w:rPr>
      </w:pPr>
    </w:p>
    <w:p w14:paraId="0621C511" w14:textId="77777777" w:rsidR="00075CD4" w:rsidRPr="0059407F" w:rsidRDefault="00075CD4" w:rsidP="00075CD4">
      <w:pPr>
        <w:pStyle w:val="NoSpacing"/>
        <w:ind w:left="720"/>
        <w:rPr>
          <w:bCs/>
        </w:rPr>
      </w:pPr>
      <w:r>
        <w:t xml:space="preserve">Note: See Nov. 12, </w:t>
      </w:r>
      <w:proofErr w:type="gramStart"/>
      <w:r>
        <w:t>2025</w:t>
      </w:r>
      <w:proofErr w:type="gramEnd"/>
      <w:r>
        <w:t xml:space="preserve"> article: </w:t>
      </w:r>
      <w:r w:rsidRPr="0059407F">
        <w:t>Toledo fire lieutenant fired after investigation into social media post about Charlie Kirk</w:t>
      </w:r>
      <w:r>
        <w:t xml:space="preserve">. </w:t>
      </w:r>
      <w:hyperlink r:id="rId2580" w:history="1">
        <w:r w:rsidRPr="009C046C">
          <w:rPr>
            <w:rStyle w:val="Hyperlink"/>
          </w:rPr>
          <w:t>https://www.wtol.com/article/news/local/toledo-fire-lieutenant-fired-investigation-social-media-post-about-charlie-kirk/512-599961fb-9233-4ebc-8628-cfa2b96c7722</w:t>
        </w:r>
      </w:hyperlink>
      <w:r>
        <w:t xml:space="preserve"> </w:t>
      </w:r>
    </w:p>
    <w:p w14:paraId="5891CF74" w14:textId="77777777" w:rsidR="00075CD4" w:rsidRPr="0059407F" w:rsidRDefault="00075CD4" w:rsidP="00075CD4">
      <w:pPr>
        <w:pStyle w:val="NoSpacing"/>
        <w:rPr>
          <w:bCs/>
        </w:rPr>
      </w:pPr>
      <w:r w:rsidRPr="0059407F">
        <w:t xml:space="preserve"> </w:t>
      </w:r>
    </w:p>
    <w:p w14:paraId="099BF3AC" w14:textId="77777777" w:rsidR="00075CD4" w:rsidRDefault="00075CD4" w:rsidP="002F7727">
      <w:pPr>
        <w:pStyle w:val="NoSpacing"/>
        <w:rPr>
          <w:rFonts w:ascii="Arial Black" w:hAnsi="Arial Black"/>
          <w:b/>
          <w:sz w:val="24"/>
          <w:szCs w:val="24"/>
        </w:rPr>
      </w:pPr>
    </w:p>
    <w:p w14:paraId="2B58F3C1" w14:textId="77777777" w:rsidR="00075CD4" w:rsidRDefault="00075CD4" w:rsidP="002F7727">
      <w:pPr>
        <w:pStyle w:val="NoSpacing"/>
        <w:rPr>
          <w:rFonts w:ascii="Arial Black" w:hAnsi="Arial Black"/>
          <w:b/>
          <w:sz w:val="24"/>
          <w:szCs w:val="24"/>
        </w:rPr>
      </w:pPr>
    </w:p>
    <w:p w14:paraId="29F44B31" w14:textId="77777777" w:rsidR="00075CD4" w:rsidRDefault="00075CD4" w:rsidP="002F7727">
      <w:pPr>
        <w:pStyle w:val="NoSpacing"/>
        <w:rPr>
          <w:rFonts w:ascii="Arial Black" w:hAnsi="Arial Black"/>
          <w:b/>
          <w:sz w:val="24"/>
          <w:szCs w:val="24"/>
        </w:rPr>
      </w:pPr>
    </w:p>
    <w:p w14:paraId="2DB36602" w14:textId="77777777" w:rsidR="00075CD4" w:rsidRDefault="00075CD4" w:rsidP="002F7727">
      <w:pPr>
        <w:pStyle w:val="NoSpacing"/>
        <w:rPr>
          <w:rFonts w:ascii="Arial Black" w:hAnsi="Arial Black"/>
          <w:b/>
          <w:sz w:val="24"/>
          <w:szCs w:val="24"/>
        </w:rPr>
      </w:pPr>
    </w:p>
    <w:p w14:paraId="4C115D60" w14:textId="77777777" w:rsidR="002F7727" w:rsidRDefault="002F7727" w:rsidP="002F7727">
      <w:pPr>
        <w:pStyle w:val="NoSpacing"/>
        <w:rPr>
          <w:rFonts w:ascii="Arial Black" w:hAnsi="Arial Black"/>
          <w:b/>
          <w:sz w:val="24"/>
          <w:szCs w:val="24"/>
        </w:rPr>
      </w:pPr>
    </w:p>
    <w:p w14:paraId="0932CFD9" w14:textId="64D4A02A" w:rsidR="002F7727" w:rsidRDefault="002F7727" w:rsidP="002F7727">
      <w:pPr>
        <w:pStyle w:val="NoSpacing"/>
        <w:rPr>
          <w:rFonts w:ascii="Arial Black" w:hAnsi="Arial Black"/>
          <w:b/>
          <w:sz w:val="24"/>
          <w:szCs w:val="24"/>
        </w:rPr>
      </w:pPr>
      <w:r>
        <w:rPr>
          <w:rFonts w:ascii="Arial Black" w:hAnsi="Arial Black"/>
          <w:b/>
          <w:sz w:val="24"/>
          <w:szCs w:val="24"/>
        </w:rPr>
        <w:t>16-133</w:t>
      </w:r>
    </w:p>
    <w:p w14:paraId="22EBBA21" w14:textId="77777777" w:rsidR="00C222A8" w:rsidRDefault="00C222A8" w:rsidP="00C222A8">
      <w:pPr>
        <w:pStyle w:val="NoSpacing"/>
      </w:pPr>
    </w:p>
    <w:p w14:paraId="0B7DB272" w14:textId="75F28435" w:rsidR="008C05B9" w:rsidRPr="00966909" w:rsidRDefault="008C05B9" w:rsidP="008C05B9">
      <w:pPr>
        <w:pStyle w:val="NoSpacing"/>
        <w:rPr>
          <w:rFonts w:ascii="Arial Black" w:hAnsi="Arial Black"/>
          <w:sz w:val="28"/>
          <w:szCs w:val="28"/>
        </w:rPr>
      </w:pPr>
      <w:r>
        <w:rPr>
          <w:rFonts w:ascii="Arial Black" w:hAnsi="Arial Black"/>
          <w:sz w:val="28"/>
          <w:szCs w:val="28"/>
        </w:rPr>
        <w:t>VA: FACEBOOK POSTS</w:t>
      </w:r>
      <w:r w:rsidR="006D160C">
        <w:rPr>
          <w:rFonts w:ascii="Arial Black" w:hAnsi="Arial Black"/>
          <w:sz w:val="28"/>
          <w:szCs w:val="28"/>
        </w:rPr>
        <w:t xml:space="preserve"> – ABOUT </w:t>
      </w:r>
      <w:r>
        <w:rPr>
          <w:rFonts w:ascii="Arial Black" w:hAnsi="Arial Black"/>
          <w:sz w:val="28"/>
          <w:szCs w:val="28"/>
        </w:rPr>
        <w:t>TRANSGENDERS – CAPT FIRED</w:t>
      </w:r>
    </w:p>
    <w:p w14:paraId="70336A9C" w14:textId="77777777" w:rsidR="008C05B9" w:rsidRDefault="008C05B9" w:rsidP="008C05B9">
      <w:pPr>
        <w:pStyle w:val="NoSpacing"/>
      </w:pPr>
    </w:p>
    <w:p w14:paraId="7F8DC4C9" w14:textId="543310C7" w:rsidR="008C05B9" w:rsidRDefault="008C05B9" w:rsidP="008C05B9">
      <w:pPr>
        <w:pStyle w:val="NoSpacing"/>
      </w:pPr>
      <w:r>
        <w:t xml:space="preserve">On June 2, 2025, in </w:t>
      </w:r>
      <w:r w:rsidRPr="000A24BF">
        <w:rPr>
          <w:u w:val="single"/>
        </w:rPr>
        <w:t xml:space="preserve">Martin </w:t>
      </w:r>
      <w:proofErr w:type="spellStart"/>
      <w:r w:rsidRPr="000A24BF">
        <w:rPr>
          <w:u w:val="single"/>
        </w:rPr>
        <w:t>Misjuns</w:t>
      </w:r>
      <w:proofErr w:type="spellEnd"/>
      <w:r w:rsidRPr="000A24BF">
        <w:rPr>
          <w:u w:val="single"/>
        </w:rPr>
        <w:t xml:space="preserve"> v. City of Lynchburg</w:t>
      </w:r>
      <w:r>
        <w:t xml:space="preserve">, the United States Court of Appeals for the Fourth Circuit (Richmond, VA) held (3 to 0) that the City properly fired the </w:t>
      </w:r>
      <w:proofErr w:type="gramStart"/>
      <w:r>
        <w:t>Captain</w:t>
      </w:r>
      <w:proofErr w:type="gramEnd"/>
      <w:r>
        <w:t xml:space="preserve"> for the offensive Facebook posts.  The trial court </w:t>
      </w:r>
      <w:proofErr w:type="gramStart"/>
      <w:r>
        <w:t>had granted</w:t>
      </w:r>
      <w:proofErr w:type="gramEnd"/>
      <w:r>
        <w:t xml:space="preserve"> City’s motion to dismiss.  </w:t>
      </w:r>
      <w:r w:rsidR="00AA584B">
        <w:t xml:space="preserve"> </w:t>
      </w:r>
      <w:hyperlink r:id="rId2581" w:history="1">
        <w:r w:rsidR="00AA584B" w:rsidRPr="00586BA9">
          <w:rPr>
            <w:rStyle w:val="Hyperlink"/>
          </w:rPr>
          <w:t>https://cases.justia.com/federal/appellate-courts/ca4/24-1782/24-1782-2025-06-05.pdf?ts=1749150038</w:t>
        </w:r>
      </w:hyperlink>
    </w:p>
    <w:p w14:paraId="7CC36101" w14:textId="77777777" w:rsidR="008C05B9" w:rsidRDefault="008C05B9" w:rsidP="008C05B9">
      <w:pPr>
        <w:pStyle w:val="NoSpacing"/>
      </w:pPr>
    </w:p>
    <w:p w14:paraId="6E6D6BA8" w14:textId="77777777" w:rsidR="008C05B9" w:rsidRDefault="008C05B9" w:rsidP="008C05B9">
      <w:pPr>
        <w:pStyle w:val="NoSpacing"/>
      </w:pPr>
      <w:r w:rsidRPr="00045997">
        <w:rPr>
          <w:b/>
        </w:rPr>
        <w:t xml:space="preserve">THE COURT HELD: </w:t>
      </w:r>
      <w:r>
        <w:rPr>
          <w:b/>
        </w:rPr>
        <w:t xml:space="preserve"> “</w:t>
      </w:r>
      <w:r>
        <w:t xml:space="preserve">On January 26, 2021, </w:t>
      </w:r>
      <w:proofErr w:type="spellStart"/>
      <w:r>
        <w:t>Misjuns</w:t>
      </w:r>
      <w:proofErr w:type="spellEnd"/>
      <w:r>
        <w:t xml:space="preserve"> posted four cartoons on his public figure Facebook page with the caption “#</w:t>
      </w:r>
      <w:proofErr w:type="spellStart"/>
      <w:r>
        <w:t>BidenErasedWomen</w:t>
      </w:r>
      <w:proofErr w:type="spellEnd"/>
      <w:r>
        <w:t xml:space="preserve"> – Coming to your daughters [sic] high school locker room in the near future.” … The cartoons depicted offensive stereotypes</w:t>
      </w:r>
    </w:p>
    <w:p w14:paraId="76C7F574" w14:textId="77777777" w:rsidR="008C05B9" w:rsidRDefault="008C05B9" w:rsidP="008C05B9">
      <w:pPr>
        <w:pStyle w:val="NoSpacing"/>
      </w:pPr>
      <w:r>
        <w:t xml:space="preserve">of transgender women in bathrooms and participating in sports…. </w:t>
      </w:r>
      <w:proofErr w:type="spellStart"/>
      <w:r>
        <w:t>Misjuns</w:t>
      </w:r>
      <w:proofErr w:type="spellEnd"/>
      <w:r>
        <w:t xml:space="preserve"> became aware of the citizen complaints. On February 1, 2021, he posted a meme to his public figure Facebook page with the caption, ‘Let’s set something straight for the attacks I’ve been taking from a local activist group . . ..’  The meme stated:  ‘In the beginning, God created Adam &amp; Eve. Adam could never be a Madam. Eve could never become Steve. Anyone who tells you otherwise defies the one true God. Threatening anyone for believing &amp; saying this is most likely a hate crime.”’ </w:t>
      </w:r>
    </w:p>
    <w:p w14:paraId="702052DB" w14:textId="77777777" w:rsidR="008C05B9" w:rsidRDefault="008C05B9" w:rsidP="008C05B9">
      <w:pPr>
        <w:pStyle w:val="NoSpacing"/>
      </w:pPr>
    </w:p>
    <w:p w14:paraId="2317952B" w14:textId="77777777" w:rsidR="008C05B9" w:rsidRDefault="008C05B9" w:rsidP="008C05B9">
      <w:pPr>
        <w:pStyle w:val="NoSpacing"/>
      </w:pPr>
      <w:r>
        <w:t>***</w:t>
      </w:r>
    </w:p>
    <w:p w14:paraId="5AC264F7" w14:textId="77777777" w:rsidR="008C05B9" w:rsidRDefault="008C05B9" w:rsidP="008C05B9">
      <w:pPr>
        <w:pStyle w:val="NoSpacing"/>
      </w:pPr>
    </w:p>
    <w:p w14:paraId="6EA84978" w14:textId="77777777" w:rsidR="008C05B9" w:rsidRDefault="008C05B9" w:rsidP="008C05B9">
      <w:pPr>
        <w:pStyle w:val="NoSpacing"/>
      </w:pPr>
      <w:r>
        <w:t>The plaintiff has every right to express his views, hateful though they be. But he has</w:t>
      </w:r>
    </w:p>
    <w:p w14:paraId="49177675" w14:textId="77777777" w:rsidR="008C05B9" w:rsidRDefault="008C05B9" w:rsidP="008C05B9">
      <w:pPr>
        <w:pStyle w:val="NoSpacing"/>
      </w:pPr>
      <w:r>
        <w:t>no right to impair the Fire Department’s work and efficiency. His transparently bigoted</w:t>
      </w:r>
    </w:p>
    <w:p w14:paraId="242835B5" w14:textId="77777777" w:rsidR="008C05B9" w:rsidRDefault="008C05B9" w:rsidP="008C05B9">
      <w:pPr>
        <w:pStyle w:val="NoSpacing"/>
      </w:pPr>
      <w:r>
        <w:lastRenderedPageBreak/>
        <w:t>remarks gave rise to a reasonable apprehension on the part of Lynchburg’s citizens that the</w:t>
      </w:r>
    </w:p>
    <w:p w14:paraId="35A11401" w14:textId="77777777" w:rsidR="008C05B9" w:rsidRDefault="008C05B9" w:rsidP="008C05B9">
      <w:pPr>
        <w:pStyle w:val="NoSpacing"/>
      </w:pPr>
      <w:r>
        <w:t xml:space="preserve">Fire Department’s </w:t>
      </w:r>
      <w:proofErr w:type="gramStart"/>
      <w:r>
        <w:t>emergency-response</w:t>
      </w:r>
      <w:proofErr w:type="gramEnd"/>
      <w:r>
        <w:t xml:space="preserve"> tasks would not be carried out in an even-handed</w:t>
      </w:r>
    </w:p>
    <w:p w14:paraId="7F894D7D" w14:textId="77777777" w:rsidR="008C05B9" w:rsidRDefault="008C05B9" w:rsidP="008C05B9">
      <w:pPr>
        <w:pStyle w:val="NoSpacing"/>
      </w:pPr>
      <w:r>
        <w:t>and unbiased way.</w:t>
      </w:r>
    </w:p>
    <w:p w14:paraId="516EC086" w14:textId="77777777" w:rsidR="008C05B9" w:rsidRDefault="008C05B9" w:rsidP="008C05B9">
      <w:pPr>
        <w:pStyle w:val="NoSpacing"/>
      </w:pPr>
    </w:p>
    <w:p w14:paraId="20DCC84C" w14:textId="77777777" w:rsidR="008C05B9" w:rsidRDefault="008C05B9" w:rsidP="008C05B9">
      <w:pPr>
        <w:pStyle w:val="NoSpacing"/>
      </w:pPr>
      <w:r>
        <w:t>The city, in turn, was fully justified in responding to the possible corruption of its</w:t>
      </w:r>
    </w:p>
    <w:p w14:paraId="50FCC980" w14:textId="77777777" w:rsidR="008C05B9" w:rsidRDefault="008C05B9" w:rsidP="008C05B9">
      <w:pPr>
        <w:pStyle w:val="NoSpacing"/>
      </w:pPr>
      <w:r>
        <w:t xml:space="preserve">basic services and to the negative effects on recruitment that the well-known views </w:t>
      </w:r>
      <w:proofErr w:type="gramStart"/>
      <w:r>
        <w:t>of a</w:t>
      </w:r>
      <w:proofErr w:type="gramEnd"/>
    </w:p>
    <w:p w14:paraId="0CCB0EB1" w14:textId="77777777" w:rsidR="008C05B9" w:rsidRDefault="008C05B9" w:rsidP="008C05B9">
      <w:pPr>
        <w:pStyle w:val="NoSpacing"/>
      </w:pPr>
      <w:r>
        <w:t>well-known Captain in the Fire Department would likely have. There was nothing</w:t>
      </w:r>
    </w:p>
    <w:p w14:paraId="64FF51F3" w14:textId="77777777" w:rsidR="008C05B9" w:rsidRDefault="008C05B9" w:rsidP="008C05B9">
      <w:pPr>
        <w:pStyle w:val="NoSpacing"/>
      </w:pPr>
      <w:r>
        <w:t>pretextual in the City’s invocation of the principles of good governance here, and the Supreme Court in Pickering v. Board of Education, 391 U.S. 563 (1968) and its numerous</w:t>
      </w:r>
    </w:p>
    <w:p w14:paraId="31F7B337" w14:textId="77777777" w:rsidR="008C05B9" w:rsidRDefault="008C05B9" w:rsidP="008C05B9">
      <w:pPr>
        <w:pStyle w:val="NoSpacing"/>
      </w:pPr>
      <w:r>
        <w:t>progeny has granted municipalities, in a case such as this, the right to act precisely as the</w:t>
      </w:r>
    </w:p>
    <w:p w14:paraId="06A319F4" w14:textId="77777777" w:rsidR="008C05B9" w:rsidRDefault="008C05B9" w:rsidP="008C05B9">
      <w:pPr>
        <w:pStyle w:val="NoSpacing"/>
      </w:pPr>
      <w:r>
        <w:t xml:space="preserve">City did.” </w:t>
      </w:r>
      <w:hyperlink r:id="rId2582" w:history="1">
        <w:r w:rsidRPr="00586BA9">
          <w:rPr>
            <w:rStyle w:val="Hyperlink"/>
          </w:rPr>
          <w:t>https://cases.justia.com/federal/appellate-courts/ca4/24-1782/24-1782-2025-06-05.pdf?ts=1749150038</w:t>
        </w:r>
      </w:hyperlink>
      <w:r>
        <w:t xml:space="preserve"> </w:t>
      </w:r>
    </w:p>
    <w:p w14:paraId="3A27585E" w14:textId="77777777" w:rsidR="008C05B9" w:rsidRPr="00045997" w:rsidRDefault="008C05B9" w:rsidP="008C05B9">
      <w:pPr>
        <w:pStyle w:val="NoSpacing"/>
        <w:rPr>
          <w:b/>
          <w:bCs/>
        </w:rPr>
      </w:pPr>
    </w:p>
    <w:p w14:paraId="1275E6DE" w14:textId="77777777" w:rsidR="008C05B9" w:rsidRDefault="008C05B9" w:rsidP="008C05B9">
      <w:pPr>
        <w:pStyle w:val="NoSpacing"/>
        <w:rPr>
          <w:b/>
          <w:bCs/>
        </w:rPr>
      </w:pPr>
      <w:r>
        <w:rPr>
          <w:b/>
        </w:rPr>
        <w:t xml:space="preserve">KEY FACTS: </w:t>
      </w:r>
    </w:p>
    <w:p w14:paraId="50268885" w14:textId="77777777" w:rsidR="008C05B9" w:rsidRDefault="008C05B9" w:rsidP="008C05B9">
      <w:pPr>
        <w:pStyle w:val="NoSpacing"/>
        <w:rPr>
          <w:b/>
          <w:bCs/>
        </w:rPr>
      </w:pPr>
    </w:p>
    <w:p w14:paraId="71504728" w14:textId="77777777" w:rsidR="008C05B9" w:rsidRPr="001342C2" w:rsidRDefault="008C05B9" w:rsidP="008C05B9">
      <w:pPr>
        <w:pStyle w:val="NoSpacing"/>
        <w:ind w:firstLine="720"/>
        <w:rPr>
          <w:bCs/>
        </w:rPr>
      </w:pPr>
      <w:r>
        <w:t>“</w:t>
      </w:r>
      <w:r w:rsidRPr="001342C2">
        <w:t xml:space="preserve">Martin </w:t>
      </w:r>
      <w:proofErr w:type="spellStart"/>
      <w:r w:rsidRPr="001342C2">
        <w:t>Misjuns</w:t>
      </w:r>
      <w:proofErr w:type="spellEnd"/>
      <w:r w:rsidRPr="001342C2">
        <w:t xml:space="preserve"> was employed as a Fire Captain and paramedic by the </w:t>
      </w:r>
      <w:proofErr w:type="gramStart"/>
      <w:r w:rsidRPr="001342C2">
        <w:t>City</w:t>
      </w:r>
      <w:proofErr w:type="gramEnd"/>
      <w:r w:rsidRPr="001342C2">
        <w:t xml:space="preserve"> of</w:t>
      </w:r>
    </w:p>
    <w:p w14:paraId="2FC6B880" w14:textId="77777777" w:rsidR="008C05B9" w:rsidRPr="001342C2" w:rsidRDefault="008C05B9" w:rsidP="008C05B9">
      <w:pPr>
        <w:pStyle w:val="NoSpacing"/>
        <w:ind w:firstLine="720"/>
        <w:rPr>
          <w:bCs/>
        </w:rPr>
      </w:pPr>
      <w:r w:rsidRPr="001342C2">
        <w:t>Lynchburg as part of the Lynchburg Fire Department (“LFD”)</w:t>
      </w:r>
      <w:r>
        <w:t xml:space="preserve">…. </w:t>
      </w:r>
      <w:r w:rsidRPr="001342C2">
        <w:t>He was also a</w:t>
      </w:r>
    </w:p>
    <w:p w14:paraId="75A0E0C9" w14:textId="77777777" w:rsidR="008C05B9" w:rsidRPr="001342C2" w:rsidRDefault="008C05B9" w:rsidP="008C05B9">
      <w:pPr>
        <w:pStyle w:val="NoSpacing"/>
        <w:ind w:firstLine="720"/>
        <w:rPr>
          <w:bCs/>
        </w:rPr>
      </w:pPr>
      <w:r w:rsidRPr="001342C2">
        <w:t>union representative with IAFF Local 1146, the Lynchburg division of the International</w:t>
      </w:r>
    </w:p>
    <w:p w14:paraId="37DC7A81" w14:textId="77777777" w:rsidR="008C05B9" w:rsidRPr="001342C2" w:rsidRDefault="008C05B9" w:rsidP="008C05B9">
      <w:pPr>
        <w:pStyle w:val="NoSpacing"/>
        <w:ind w:firstLine="720"/>
        <w:rPr>
          <w:bCs/>
        </w:rPr>
      </w:pPr>
      <w:r w:rsidRPr="001342C2">
        <w:t>Association of Fire Fighters labor union, and Ward I Chair for the Lynchburg Republican</w:t>
      </w:r>
    </w:p>
    <w:p w14:paraId="20546787" w14:textId="77777777" w:rsidR="008C05B9" w:rsidRDefault="008C05B9" w:rsidP="008C05B9">
      <w:pPr>
        <w:pStyle w:val="NoSpacing"/>
        <w:ind w:firstLine="720"/>
        <w:rPr>
          <w:bCs/>
        </w:rPr>
      </w:pPr>
      <w:r w:rsidRPr="001342C2">
        <w:t>City Committee</w:t>
      </w:r>
      <w:r>
        <w:t xml:space="preserve">…. </w:t>
      </w:r>
    </w:p>
    <w:p w14:paraId="61147684" w14:textId="77777777" w:rsidR="008C05B9" w:rsidRPr="001342C2" w:rsidRDefault="008C05B9" w:rsidP="008C05B9">
      <w:pPr>
        <w:pStyle w:val="NoSpacing"/>
        <w:ind w:firstLine="720"/>
        <w:rPr>
          <w:bCs/>
        </w:rPr>
      </w:pPr>
    </w:p>
    <w:p w14:paraId="691382F0" w14:textId="77777777" w:rsidR="008C05B9" w:rsidRPr="001342C2" w:rsidRDefault="008C05B9" w:rsidP="008C05B9">
      <w:pPr>
        <w:pStyle w:val="NoSpacing"/>
        <w:ind w:firstLine="720"/>
        <w:rPr>
          <w:bCs/>
        </w:rPr>
      </w:pPr>
      <w:r w:rsidRPr="001342C2">
        <w:t xml:space="preserve">Before the events that </w:t>
      </w:r>
      <w:proofErr w:type="gramStart"/>
      <w:r w:rsidRPr="001342C2">
        <w:t>serve</w:t>
      </w:r>
      <w:proofErr w:type="gramEnd"/>
      <w:r w:rsidRPr="001342C2">
        <w:t xml:space="preserve"> as the basis of this suit, </w:t>
      </w:r>
      <w:proofErr w:type="gramStart"/>
      <w:r w:rsidRPr="001342C2">
        <w:t>there</w:t>
      </w:r>
      <w:proofErr w:type="gramEnd"/>
      <w:r w:rsidRPr="001342C2">
        <w:t xml:space="preserve"> were already deep-seated</w:t>
      </w:r>
    </w:p>
    <w:p w14:paraId="2C931AFD" w14:textId="77777777" w:rsidR="008C05B9" w:rsidRPr="001342C2" w:rsidRDefault="008C05B9" w:rsidP="008C05B9">
      <w:pPr>
        <w:pStyle w:val="NoSpacing"/>
        <w:ind w:firstLine="720"/>
        <w:rPr>
          <w:bCs/>
        </w:rPr>
      </w:pPr>
      <w:r w:rsidRPr="001342C2">
        <w:t xml:space="preserve">tensions between </w:t>
      </w:r>
      <w:proofErr w:type="spellStart"/>
      <w:r w:rsidRPr="001342C2">
        <w:t>Misjuns</w:t>
      </w:r>
      <w:proofErr w:type="spellEnd"/>
      <w:r w:rsidRPr="001342C2">
        <w:t xml:space="preserve"> and the City. For example, </w:t>
      </w:r>
      <w:proofErr w:type="spellStart"/>
      <w:r w:rsidRPr="001342C2">
        <w:t>Misjuns</w:t>
      </w:r>
      <w:proofErr w:type="spellEnd"/>
      <w:r w:rsidRPr="001342C2">
        <w:t xml:space="preserve"> alleged that LFD engaged</w:t>
      </w:r>
    </w:p>
    <w:p w14:paraId="227F21AC" w14:textId="77777777" w:rsidR="008C05B9" w:rsidRPr="0023213A" w:rsidRDefault="008C05B9" w:rsidP="008C05B9">
      <w:pPr>
        <w:pStyle w:val="NoSpacing"/>
        <w:ind w:left="720"/>
        <w:rPr>
          <w:bCs/>
        </w:rPr>
      </w:pPr>
      <w:r w:rsidRPr="001342C2">
        <w:t xml:space="preserve">in </w:t>
      </w:r>
      <w:r>
        <w:t>‘</w:t>
      </w:r>
      <w:r w:rsidRPr="001342C2">
        <w:t xml:space="preserve">discriminatory training and promotion practices” against him in 2019 and 2020. </w:t>
      </w:r>
      <w:r>
        <w:t xml:space="preserve">… </w:t>
      </w:r>
      <w:r w:rsidRPr="001342C2">
        <w:t xml:space="preserve"> He also alleged </w:t>
      </w:r>
      <w:proofErr w:type="gramStart"/>
      <w:r w:rsidRPr="001342C2">
        <w:t>politically-motivated</w:t>
      </w:r>
      <w:proofErr w:type="gramEnd"/>
      <w:r w:rsidRPr="001342C2">
        <w:t xml:space="preserve"> actions.</w:t>
      </w:r>
      <w:r>
        <w:t xml:space="preserve"> </w:t>
      </w:r>
      <w:r w:rsidRPr="0023213A">
        <w:t>In spring 2020, IAFF Local 1146 and</w:t>
      </w:r>
    </w:p>
    <w:p w14:paraId="023B7B16" w14:textId="77777777" w:rsidR="008C05B9" w:rsidRPr="0023213A" w:rsidRDefault="008C05B9" w:rsidP="008C05B9">
      <w:pPr>
        <w:pStyle w:val="NoSpacing"/>
        <w:ind w:left="720"/>
        <w:rPr>
          <w:bCs/>
        </w:rPr>
      </w:pPr>
      <w:proofErr w:type="spellStart"/>
      <w:r w:rsidRPr="0023213A">
        <w:t>Misjuns</w:t>
      </w:r>
      <w:proofErr w:type="spellEnd"/>
      <w:r w:rsidRPr="0023213A">
        <w:t xml:space="preserve"> supported Republican candidates for Lynchburg City Council who ran against</w:t>
      </w:r>
    </w:p>
    <w:p w14:paraId="3EEDA5ED" w14:textId="77777777" w:rsidR="008C05B9" w:rsidRPr="0023213A" w:rsidRDefault="008C05B9" w:rsidP="008C05B9">
      <w:pPr>
        <w:pStyle w:val="NoSpacing"/>
        <w:ind w:left="720"/>
        <w:rPr>
          <w:bCs/>
        </w:rPr>
      </w:pPr>
      <w:r w:rsidRPr="0023213A">
        <w:t>candidates supported by the Democratic majority on City Council, including Defendants</w:t>
      </w:r>
    </w:p>
    <w:p w14:paraId="3E035203" w14:textId="77777777" w:rsidR="008C05B9" w:rsidRPr="0023213A" w:rsidRDefault="008C05B9" w:rsidP="008C05B9">
      <w:pPr>
        <w:pStyle w:val="NoSpacing"/>
        <w:ind w:left="720"/>
        <w:rPr>
          <w:bCs/>
        </w:rPr>
      </w:pPr>
      <w:r w:rsidRPr="0023213A">
        <w:t>Mayor Mary Dolan and Vice-Mayor Beau Wright</w:t>
      </w:r>
      <w:r>
        <w:t xml:space="preserve">…. </w:t>
      </w:r>
      <w:r w:rsidRPr="0023213A">
        <w:t>One of the Deputy Fire</w:t>
      </w:r>
    </w:p>
    <w:p w14:paraId="206E1090" w14:textId="77777777" w:rsidR="008C05B9" w:rsidRPr="009B4C07" w:rsidRDefault="008C05B9" w:rsidP="008C05B9">
      <w:pPr>
        <w:pStyle w:val="NoSpacing"/>
        <w:ind w:left="720"/>
        <w:rPr>
          <w:bCs/>
        </w:rPr>
      </w:pPr>
      <w:r w:rsidRPr="0023213A">
        <w:t xml:space="preserve">Chiefs allegedly </w:t>
      </w:r>
      <w:r>
        <w:t>‘</w:t>
      </w:r>
      <w:r w:rsidRPr="0023213A">
        <w:t>began a pattern of harassing behavior</w:t>
      </w:r>
      <w:r>
        <w:t>’</w:t>
      </w:r>
      <w:r w:rsidRPr="0023213A">
        <w:t xml:space="preserve"> against </w:t>
      </w:r>
      <w:proofErr w:type="spellStart"/>
      <w:r w:rsidRPr="0023213A">
        <w:t>Misjuns</w:t>
      </w:r>
      <w:proofErr w:type="spellEnd"/>
      <w:r w:rsidRPr="0023213A">
        <w:t>, including</w:t>
      </w:r>
      <w:r>
        <w:t xml:space="preserve"> </w:t>
      </w:r>
      <w:r w:rsidRPr="009B4C07">
        <w:t>sending him a text message that he did not approve of Local 1146’s post supporting the</w:t>
      </w:r>
    </w:p>
    <w:p w14:paraId="397E2520" w14:textId="77777777" w:rsidR="008C05B9" w:rsidRDefault="008C05B9" w:rsidP="008C05B9">
      <w:pPr>
        <w:pStyle w:val="NoSpacing"/>
        <w:ind w:left="720"/>
        <w:rPr>
          <w:bCs/>
        </w:rPr>
      </w:pPr>
      <w:r w:rsidRPr="009B4C07">
        <w:t>Republican candidates.</w:t>
      </w:r>
    </w:p>
    <w:p w14:paraId="37631B09" w14:textId="77777777" w:rsidR="008C05B9" w:rsidRDefault="008C05B9" w:rsidP="008C05B9">
      <w:pPr>
        <w:pStyle w:val="NoSpacing"/>
        <w:ind w:left="720"/>
        <w:rPr>
          <w:bCs/>
        </w:rPr>
      </w:pPr>
    </w:p>
    <w:p w14:paraId="7010FD03" w14:textId="77777777" w:rsidR="008C05B9" w:rsidRDefault="008C05B9" w:rsidP="008C05B9">
      <w:pPr>
        <w:pStyle w:val="NoSpacing"/>
        <w:ind w:left="720"/>
        <w:rPr>
          <w:bCs/>
        </w:rPr>
      </w:pPr>
      <w:r>
        <w:t>***</w:t>
      </w:r>
    </w:p>
    <w:p w14:paraId="56C746A3" w14:textId="77777777" w:rsidR="008C05B9" w:rsidRPr="00831D7E" w:rsidRDefault="008C05B9" w:rsidP="008C05B9">
      <w:pPr>
        <w:pStyle w:val="NoSpacing"/>
        <w:ind w:left="720"/>
        <w:rPr>
          <w:bCs/>
        </w:rPr>
      </w:pPr>
      <w:r w:rsidRPr="00831D7E">
        <w:t xml:space="preserve">On March 25, 2021, </w:t>
      </w:r>
      <w:proofErr w:type="spellStart"/>
      <w:r w:rsidRPr="00831D7E">
        <w:t>Misjuns</w:t>
      </w:r>
      <w:proofErr w:type="spellEnd"/>
      <w:r w:rsidRPr="00831D7E">
        <w:t xml:space="preserve"> received a letter from Fire Chief Wormser, which he</w:t>
      </w:r>
    </w:p>
    <w:p w14:paraId="35EDC072" w14:textId="77777777" w:rsidR="008C05B9" w:rsidRPr="00831D7E" w:rsidRDefault="008C05B9" w:rsidP="008C05B9">
      <w:pPr>
        <w:pStyle w:val="NoSpacing"/>
        <w:ind w:left="720"/>
        <w:rPr>
          <w:bCs/>
        </w:rPr>
      </w:pPr>
      <w:r w:rsidRPr="00831D7E">
        <w:t xml:space="preserve">alleged Wormser sent </w:t>
      </w:r>
      <w:r>
        <w:t>‘</w:t>
      </w:r>
      <w:r w:rsidRPr="00831D7E">
        <w:t>in response to instructions from one or more of Dolan, Wright, and</w:t>
      </w:r>
    </w:p>
    <w:p w14:paraId="7CFC9819" w14:textId="77777777" w:rsidR="008C05B9" w:rsidRPr="00831D7E" w:rsidRDefault="008C05B9" w:rsidP="008C05B9">
      <w:pPr>
        <w:pStyle w:val="NoSpacing"/>
        <w:ind w:left="720"/>
        <w:rPr>
          <w:bCs/>
        </w:rPr>
      </w:pPr>
      <w:r w:rsidRPr="00831D7E">
        <w:t>Wodicka.</w:t>
      </w:r>
      <w:r>
        <w:t xml:space="preserve">’ … </w:t>
      </w:r>
      <w:r w:rsidRPr="00831D7E">
        <w:t xml:space="preserve">The letter ordered </w:t>
      </w:r>
      <w:proofErr w:type="spellStart"/>
      <w:r w:rsidRPr="00831D7E">
        <w:t>Misjuns</w:t>
      </w:r>
      <w:proofErr w:type="spellEnd"/>
      <w:r w:rsidRPr="00831D7E">
        <w:t xml:space="preserve"> to attend an </w:t>
      </w:r>
      <w:r>
        <w:t>‘</w:t>
      </w:r>
      <w:r w:rsidRPr="00831D7E">
        <w:t>interrogation</w:t>
      </w:r>
      <w:r>
        <w:t>’</w:t>
      </w:r>
      <w:r w:rsidRPr="00831D7E">
        <w:t xml:space="preserve"> </w:t>
      </w:r>
      <w:proofErr w:type="gramStart"/>
      <w:r w:rsidRPr="00831D7E">
        <w:t>on</w:t>
      </w:r>
      <w:proofErr w:type="gramEnd"/>
      <w:r w:rsidRPr="00831D7E">
        <w:t xml:space="preserve"> March</w:t>
      </w:r>
    </w:p>
    <w:p w14:paraId="0163EA40" w14:textId="77777777" w:rsidR="008C05B9" w:rsidRPr="00831D7E" w:rsidRDefault="008C05B9" w:rsidP="008C05B9">
      <w:pPr>
        <w:pStyle w:val="NoSpacing"/>
        <w:ind w:left="720"/>
        <w:rPr>
          <w:bCs/>
        </w:rPr>
      </w:pPr>
      <w:r w:rsidRPr="00831D7E">
        <w:t>29 to discuss several citizen complaints regarding the cartoons and meme</w:t>
      </w:r>
      <w:r>
        <w:t xml:space="preserve">…. </w:t>
      </w:r>
      <w:r w:rsidRPr="00831D7E">
        <w:t xml:space="preserve">Wormser also informed </w:t>
      </w:r>
      <w:proofErr w:type="spellStart"/>
      <w:r w:rsidRPr="00831D7E">
        <w:t>Misjuns</w:t>
      </w:r>
      <w:proofErr w:type="spellEnd"/>
      <w:r w:rsidRPr="00831D7E">
        <w:t xml:space="preserve"> that he was under investigation for social media</w:t>
      </w:r>
      <w:r>
        <w:t xml:space="preserve"> </w:t>
      </w:r>
      <w:r w:rsidRPr="00831D7E">
        <w:t>statements making political criticisms of Dolan</w:t>
      </w:r>
      <w:r>
        <w:t xml:space="preserve">…. </w:t>
      </w:r>
      <w:r w:rsidRPr="00831D7E">
        <w:t>The record shows that Wormser</w:t>
      </w:r>
    </w:p>
    <w:p w14:paraId="711E53C4" w14:textId="77777777" w:rsidR="008C05B9" w:rsidRPr="00831D7E" w:rsidRDefault="008C05B9" w:rsidP="008C05B9">
      <w:pPr>
        <w:pStyle w:val="NoSpacing"/>
        <w:ind w:left="720"/>
        <w:rPr>
          <w:bCs/>
        </w:rPr>
      </w:pPr>
      <w:r w:rsidRPr="00831D7E">
        <w:t xml:space="preserve">provided </w:t>
      </w:r>
      <w:proofErr w:type="spellStart"/>
      <w:r w:rsidRPr="00831D7E">
        <w:t>Misjuns</w:t>
      </w:r>
      <w:proofErr w:type="spellEnd"/>
      <w:r w:rsidRPr="00831D7E">
        <w:t xml:space="preserve"> with a notice of the complaints made against him</w:t>
      </w:r>
      <w:r>
        <w:t xml:space="preserve">…. </w:t>
      </w:r>
      <w:r w:rsidRPr="00831D7E">
        <w:t xml:space="preserve"> </w:t>
      </w:r>
      <w:proofErr w:type="gramStart"/>
      <w:r w:rsidRPr="00831D7E">
        <w:t>On</w:t>
      </w:r>
      <w:proofErr w:type="gramEnd"/>
      <w:r w:rsidRPr="00831D7E">
        <w:t xml:space="preserve"> March</w:t>
      </w:r>
    </w:p>
    <w:p w14:paraId="33808116" w14:textId="77777777" w:rsidR="008C05B9" w:rsidRDefault="008C05B9" w:rsidP="008C05B9">
      <w:pPr>
        <w:pStyle w:val="NoSpacing"/>
        <w:ind w:left="720"/>
        <w:rPr>
          <w:bCs/>
        </w:rPr>
      </w:pPr>
      <w:r w:rsidRPr="00831D7E">
        <w:t xml:space="preserve">29, 2021, the initial </w:t>
      </w:r>
      <w:r>
        <w:t>‘</w:t>
      </w:r>
      <w:r w:rsidRPr="00831D7E">
        <w:t>interrogation</w:t>
      </w:r>
      <w:r>
        <w:t>’</w:t>
      </w:r>
      <w:r w:rsidRPr="00831D7E">
        <w:t xml:space="preserve"> occurred</w:t>
      </w:r>
      <w:r>
        <w:t xml:space="preserve">…. </w:t>
      </w:r>
      <w:r w:rsidRPr="00831D7E">
        <w:t xml:space="preserve">Per </w:t>
      </w:r>
      <w:proofErr w:type="spellStart"/>
      <w:r w:rsidRPr="00831D7E">
        <w:t>Misjuns</w:t>
      </w:r>
      <w:proofErr w:type="spellEnd"/>
      <w:r w:rsidRPr="00831D7E">
        <w:t>’ account, Deputy Fire Chief Robert Lipscomb then began collecting</w:t>
      </w:r>
      <w:r>
        <w:t xml:space="preserve"> </w:t>
      </w:r>
      <w:r w:rsidRPr="00831D7E">
        <w:t xml:space="preserve">allegedly false reports accusing </w:t>
      </w:r>
      <w:proofErr w:type="spellStart"/>
      <w:r w:rsidRPr="00831D7E">
        <w:t>Misjuns</w:t>
      </w:r>
      <w:proofErr w:type="spellEnd"/>
      <w:r w:rsidRPr="00831D7E">
        <w:t xml:space="preserve"> of creating a hostile work environment</w:t>
      </w:r>
      <w:r>
        <w:t xml:space="preserve">…. </w:t>
      </w:r>
      <w:r w:rsidRPr="00831D7E">
        <w:t xml:space="preserve">On May 10, 2021, Wormser notified </w:t>
      </w:r>
      <w:proofErr w:type="spellStart"/>
      <w:r w:rsidRPr="00831D7E">
        <w:t>Misjuns</w:t>
      </w:r>
      <w:proofErr w:type="spellEnd"/>
      <w:r w:rsidRPr="00831D7E">
        <w:t xml:space="preserve"> of his decision to suspend </w:t>
      </w:r>
      <w:proofErr w:type="spellStart"/>
      <w:r w:rsidRPr="00831D7E">
        <w:t>Misjuns</w:t>
      </w:r>
      <w:proofErr w:type="spellEnd"/>
      <w:r>
        <w:t xml:space="preserve">…. </w:t>
      </w:r>
      <w:r w:rsidRPr="00831D7E">
        <w:t xml:space="preserve">On June 27, Lipscomb ordered </w:t>
      </w:r>
      <w:proofErr w:type="spellStart"/>
      <w:r w:rsidRPr="00831D7E">
        <w:t>Misjuns</w:t>
      </w:r>
      <w:proofErr w:type="spellEnd"/>
      <w:r w:rsidRPr="00831D7E">
        <w:t xml:space="preserve"> to attend a second </w:t>
      </w:r>
      <w:r>
        <w:t>‘</w:t>
      </w:r>
      <w:r w:rsidRPr="00831D7E">
        <w:t>interrogation,</w:t>
      </w:r>
      <w:r>
        <w:t xml:space="preserve">’ </w:t>
      </w:r>
      <w:r w:rsidRPr="00831D7E">
        <w:t>which</w:t>
      </w:r>
      <w:r>
        <w:t xml:space="preserve"> </w:t>
      </w:r>
      <w:r w:rsidRPr="00831D7E">
        <w:t>occurred on August 2</w:t>
      </w:r>
      <w:r>
        <w:t>….</w:t>
      </w:r>
      <w:r w:rsidRPr="00831D7E">
        <w:t xml:space="preserve">On October 18, 2021, Wormser notified </w:t>
      </w:r>
      <w:proofErr w:type="spellStart"/>
      <w:r w:rsidRPr="00831D7E">
        <w:t>Misjuns</w:t>
      </w:r>
      <w:proofErr w:type="spellEnd"/>
      <w:r w:rsidRPr="00831D7E">
        <w:t xml:space="preserve"> via letter that</w:t>
      </w:r>
      <w:r>
        <w:t xml:space="preserve"> </w:t>
      </w:r>
      <w:r w:rsidRPr="00831D7E">
        <w:t xml:space="preserve">he was terminated from employment. </w:t>
      </w:r>
    </w:p>
    <w:p w14:paraId="63E50A2C" w14:textId="77777777" w:rsidR="008C05B9" w:rsidRDefault="008C05B9" w:rsidP="008C05B9">
      <w:pPr>
        <w:pStyle w:val="NoSpacing"/>
        <w:ind w:left="720"/>
        <w:rPr>
          <w:bCs/>
        </w:rPr>
      </w:pPr>
    </w:p>
    <w:p w14:paraId="64C42A60" w14:textId="77777777" w:rsidR="008C05B9" w:rsidRDefault="008C05B9" w:rsidP="008C05B9">
      <w:pPr>
        <w:pStyle w:val="NoSpacing"/>
        <w:ind w:left="720"/>
        <w:rPr>
          <w:bCs/>
        </w:rPr>
      </w:pPr>
      <w:r>
        <w:t>***</w:t>
      </w:r>
    </w:p>
    <w:p w14:paraId="549A9065" w14:textId="77777777" w:rsidR="008C05B9" w:rsidRPr="00327189" w:rsidRDefault="008C05B9" w:rsidP="008C05B9">
      <w:pPr>
        <w:pStyle w:val="NoSpacing"/>
        <w:ind w:left="720"/>
        <w:rPr>
          <w:bCs/>
        </w:rPr>
      </w:pPr>
      <w:proofErr w:type="spellStart"/>
      <w:r w:rsidRPr="00327189">
        <w:t>Misjuns</w:t>
      </w:r>
      <w:proofErr w:type="spellEnd"/>
      <w:r w:rsidRPr="00327189">
        <w:t xml:space="preserve"> appealed his firing in accordance with the City’s grievance procedures,</w:t>
      </w:r>
    </w:p>
    <w:p w14:paraId="48A265A2" w14:textId="77777777" w:rsidR="008C05B9" w:rsidRPr="00327189" w:rsidRDefault="008C05B9" w:rsidP="008C05B9">
      <w:pPr>
        <w:pStyle w:val="NoSpacing"/>
        <w:ind w:left="720"/>
        <w:rPr>
          <w:bCs/>
        </w:rPr>
      </w:pPr>
      <w:r w:rsidRPr="00327189">
        <w:t>including appealing to the City’s Employee Appeal Board. J.A. 17. In March 2022, the</w:t>
      </w:r>
    </w:p>
    <w:p w14:paraId="1921C3C2" w14:textId="77777777" w:rsidR="008C05B9" w:rsidRDefault="008C05B9" w:rsidP="008C05B9">
      <w:pPr>
        <w:pStyle w:val="NoSpacing"/>
        <w:ind w:left="720"/>
        <w:rPr>
          <w:bCs/>
        </w:rPr>
      </w:pPr>
      <w:r w:rsidRPr="00327189">
        <w:t>Board upheld his firing.</w:t>
      </w:r>
      <w:r>
        <w:t>”</w:t>
      </w:r>
    </w:p>
    <w:p w14:paraId="3F5F9D07" w14:textId="77777777" w:rsidR="008C05B9" w:rsidRDefault="008C05B9" w:rsidP="008C05B9">
      <w:pPr>
        <w:pStyle w:val="NoSpacing"/>
        <w:ind w:left="720"/>
        <w:rPr>
          <w:bCs/>
        </w:rPr>
      </w:pPr>
    </w:p>
    <w:p w14:paraId="5217EE2F" w14:textId="77777777" w:rsidR="008C05B9" w:rsidRPr="00327189" w:rsidRDefault="008C05B9" w:rsidP="008C05B9">
      <w:pPr>
        <w:pStyle w:val="NoSpacing"/>
        <w:rPr>
          <w:b/>
        </w:rPr>
      </w:pPr>
      <w:r>
        <w:rPr>
          <w:b/>
        </w:rPr>
        <w:t>Legal lesson learned: Firefighters and other public employees must exercise extreme care in posting on social media that may offend residents.</w:t>
      </w:r>
    </w:p>
    <w:p w14:paraId="7B195657" w14:textId="77777777" w:rsidR="008C05B9" w:rsidRDefault="008C05B9" w:rsidP="008C05B9">
      <w:pPr>
        <w:pStyle w:val="NoSpacing"/>
      </w:pPr>
    </w:p>
    <w:p w14:paraId="16123C92" w14:textId="77777777" w:rsidR="008C05B9" w:rsidRDefault="008C05B9" w:rsidP="008C05B9">
      <w:pPr>
        <w:pStyle w:val="NoSpacing"/>
      </w:pPr>
    </w:p>
    <w:p w14:paraId="1F9753FC" w14:textId="77777777" w:rsidR="008C05B9" w:rsidRDefault="008C05B9" w:rsidP="00F326E5">
      <w:pPr>
        <w:pStyle w:val="NoSpacing"/>
        <w:rPr>
          <w:rFonts w:ascii="Arial Black" w:hAnsi="Arial Black"/>
          <w:b/>
          <w:sz w:val="24"/>
          <w:szCs w:val="24"/>
        </w:rPr>
      </w:pPr>
    </w:p>
    <w:p w14:paraId="0AE5CBD7" w14:textId="77777777" w:rsidR="009821C1" w:rsidRDefault="009821C1" w:rsidP="00F326E5">
      <w:pPr>
        <w:pStyle w:val="NoSpacing"/>
        <w:rPr>
          <w:rFonts w:ascii="Arial Black" w:hAnsi="Arial Black"/>
          <w:b/>
          <w:sz w:val="24"/>
          <w:szCs w:val="24"/>
        </w:rPr>
      </w:pPr>
    </w:p>
    <w:p w14:paraId="3958DB02" w14:textId="79279C17" w:rsidR="00C466BB" w:rsidRDefault="00C466BB" w:rsidP="00F326E5">
      <w:pPr>
        <w:pStyle w:val="NoSpacing"/>
        <w:rPr>
          <w:rFonts w:ascii="Arial Black" w:hAnsi="Arial Black"/>
          <w:b/>
          <w:sz w:val="24"/>
          <w:szCs w:val="24"/>
        </w:rPr>
      </w:pPr>
      <w:r>
        <w:rPr>
          <w:rFonts w:ascii="Arial Black" w:hAnsi="Arial Black"/>
          <w:b/>
          <w:sz w:val="24"/>
          <w:szCs w:val="24"/>
        </w:rPr>
        <w:t>16-132</w:t>
      </w:r>
    </w:p>
    <w:p w14:paraId="6F21E9E8" w14:textId="77777777" w:rsidR="00C466BB" w:rsidRDefault="00C466BB" w:rsidP="00F326E5">
      <w:pPr>
        <w:pStyle w:val="NoSpacing"/>
        <w:rPr>
          <w:rFonts w:ascii="Arial Black" w:hAnsi="Arial Black"/>
          <w:b/>
          <w:sz w:val="24"/>
          <w:szCs w:val="24"/>
        </w:rPr>
      </w:pPr>
    </w:p>
    <w:p w14:paraId="2DA93EF4" w14:textId="1DE46D19" w:rsidR="00331400" w:rsidRPr="00C34488" w:rsidRDefault="00331400" w:rsidP="00331400">
      <w:pPr>
        <w:pStyle w:val="NoSpacing"/>
        <w:rPr>
          <w:rFonts w:ascii="Arial Black" w:hAnsi="Arial Black"/>
          <w:sz w:val="28"/>
          <w:szCs w:val="28"/>
        </w:rPr>
      </w:pPr>
      <w:r w:rsidRPr="00C34488">
        <w:rPr>
          <w:rFonts w:ascii="Arial Black" w:hAnsi="Arial Black"/>
          <w:sz w:val="28"/>
          <w:szCs w:val="28"/>
        </w:rPr>
        <w:t>OH: FORMER CHIEF’S DEFAMATION CLAIM REINSTATED –</w:t>
      </w:r>
      <w:r w:rsidR="009B1B97">
        <w:rPr>
          <w:rFonts w:ascii="Arial Black" w:hAnsi="Arial Black"/>
          <w:sz w:val="28"/>
          <w:szCs w:val="28"/>
        </w:rPr>
        <w:t xml:space="preserve"> </w:t>
      </w:r>
      <w:r>
        <w:rPr>
          <w:rFonts w:ascii="Arial Black" w:hAnsi="Arial Black"/>
          <w:sz w:val="28"/>
          <w:szCs w:val="28"/>
        </w:rPr>
        <w:t xml:space="preserve">PUBLIC OFFICIALS – MUST PROVE “ACTUAL MALICE” </w:t>
      </w:r>
    </w:p>
    <w:p w14:paraId="50E0F2F4" w14:textId="77777777" w:rsidR="00331400" w:rsidRDefault="00331400" w:rsidP="00331400">
      <w:pPr>
        <w:pStyle w:val="NoSpacing"/>
      </w:pPr>
    </w:p>
    <w:p w14:paraId="60D54C16" w14:textId="77777777" w:rsidR="00331400" w:rsidRPr="009D0025" w:rsidRDefault="00331400" w:rsidP="00331400">
      <w:pPr>
        <w:pStyle w:val="NoSpacing"/>
        <w:rPr>
          <w:rFonts w:ascii="Times New Roman" w:hAnsi="Times New Roman"/>
          <w:sz w:val="24"/>
          <w:szCs w:val="24"/>
        </w:rPr>
      </w:pPr>
      <w:r w:rsidRPr="009D0025">
        <w:rPr>
          <w:rFonts w:ascii="Times New Roman" w:hAnsi="Times New Roman"/>
          <w:sz w:val="24"/>
          <w:szCs w:val="24"/>
        </w:rPr>
        <w:t xml:space="preserve">On Aug. 29, 2025, in </w:t>
      </w:r>
      <w:r w:rsidRPr="009D0025">
        <w:rPr>
          <w:rFonts w:ascii="Times New Roman" w:hAnsi="Times New Roman"/>
          <w:sz w:val="24"/>
          <w:szCs w:val="24"/>
          <w:u w:val="single"/>
        </w:rPr>
        <w:t>Kent D. Johnson v. City of Port Clinton</w:t>
      </w:r>
      <w:r w:rsidRPr="009D0025">
        <w:rPr>
          <w:rFonts w:ascii="Times New Roman" w:hAnsi="Times New Roman"/>
          <w:sz w:val="24"/>
          <w:szCs w:val="24"/>
        </w:rPr>
        <w:t>, the Court of Appeals of Ohio, Sixth District, Ottawa County, held (3 to 0) that trial judge improperly dismissed the defamation claim in his lawsuit; all his other claims were properly dismissed: Violation of Civil Service Statutes; Infliction of Emotional Distress; Violation of Rights under the Ohio Constitution; Wrongful Termination; and Retaliation.</w:t>
      </w:r>
    </w:p>
    <w:p w14:paraId="71D4D2D6" w14:textId="77777777" w:rsidR="00331400" w:rsidRPr="009D0025" w:rsidRDefault="00331400" w:rsidP="00331400">
      <w:pPr>
        <w:pStyle w:val="NoSpacing"/>
        <w:rPr>
          <w:rFonts w:ascii="Times New Roman" w:hAnsi="Times New Roman"/>
          <w:sz w:val="24"/>
          <w:szCs w:val="24"/>
        </w:rPr>
      </w:pPr>
    </w:p>
    <w:p w14:paraId="0CA95CB2" w14:textId="77777777" w:rsidR="00331400" w:rsidRPr="009D0025" w:rsidRDefault="00331400" w:rsidP="00331400">
      <w:pPr>
        <w:pStyle w:val="NoSpacing"/>
        <w:ind w:left="720"/>
        <w:rPr>
          <w:rFonts w:ascii="Times New Roman" w:hAnsi="Times New Roman"/>
          <w:sz w:val="24"/>
          <w:szCs w:val="24"/>
        </w:rPr>
      </w:pPr>
      <w:r w:rsidRPr="009D0025">
        <w:rPr>
          <w:rFonts w:ascii="Times New Roman" w:hAnsi="Times New Roman"/>
          <w:sz w:val="24"/>
          <w:szCs w:val="24"/>
        </w:rPr>
        <w:t xml:space="preserve">“In sum, appellant alleged sufficient facts that, if proven, would satisfy all the elements of a claim for defamation. The trial court, therefore, erred when it granted [City’s] motion for judgment on the pleadings as to that claim…. [Trial Court judge’s] judgment dismissing appellant’s third claim for defamation is reversed, and the matter is remanded to the trial court for further proceedings on that claim only.” </w:t>
      </w:r>
      <w:hyperlink r:id="rId2583" w:history="1">
        <w:r w:rsidRPr="009D0025">
          <w:rPr>
            <w:rStyle w:val="Hyperlink"/>
            <w:rFonts w:ascii="Times New Roman" w:hAnsi="Times New Roman"/>
            <w:sz w:val="24"/>
            <w:szCs w:val="24"/>
          </w:rPr>
          <w:t>https://www.supremecourt.ohio.gov/rod/docs/pdf/6/2025/2025-Ohio-3100.pdf</w:t>
        </w:r>
      </w:hyperlink>
      <w:r w:rsidRPr="009D0025">
        <w:rPr>
          <w:rFonts w:ascii="Times New Roman" w:hAnsi="Times New Roman"/>
          <w:sz w:val="24"/>
          <w:szCs w:val="24"/>
        </w:rPr>
        <w:t xml:space="preserve"> </w:t>
      </w:r>
    </w:p>
    <w:p w14:paraId="5855E35E" w14:textId="77777777" w:rsidR="00331400" w:rsidRPr="009D0025" w:rsidRDefault="00331400" w:rsidP="00331400">
      <w:pPr>
        <w:pStyle w:val="NoSpacing"/>
        <w:rPr>
          <w:rFonts w:ascii="Times New Roman" w:hAnsi="Times New Roman"/>
          <w:sz w:val="24"/>
          <w:szCs w:val="24"/>
        </w:rPr>
      </w:pPr>
    </w:p>
    <w:p w14:paraId="72006AA8" w14:textId="77777777" w:rsidR="00331400" w:rsidRPr="009D0025" w:rsidRDefault="00331400" w:rsidP="00331400">
      <w:pPr>
        <w:pStyle w:val="NoSpacing"/>
        <w:rPr>
          <w:rFonts w:ascii="Times New Roman" w:hAnsi="Times New Roman"/>
          <w:sz w:val="24"/>
          <w:szCs w:val="24"/>
        </w:rPr>
      </w:pPr>
      <w:r w:rsidRPr="009D0025">
        <w:rPr>
          <w:rFonts w:ascii="Times New Roman" w:hAnsi="Times New Roman"/>
          <w:sz w:val="24"/>
          <w:szCs w:val="24"/>
        </w:rPr>
        <w:t>THREE KEY SUMMARIES:</w:t>
      </w:r>
    </w:p>
    <w:p w14:paraId="1508A33F" w14:textId="77777777" w:rsidR="00331400" w:rsidRPr="009D0025" w:rsidRDefault="00331400" w:rsidP="00331400">
      <w:pPr>
        <w:pStyle w:val="NoSpacing"/>
        <w:rPr>
          <w:rFonts w:ascii="Times New Roman" w:hAnsi="Times New Roman"/>
          <w:sz w:val="24"/>
          <w:szCs w:val="24"/>
        </w:rPr>
      </w:pPr>
    </w:p>
    <w:p w14:paraId="076B773D" w14:textId="77777777" w:rsidR="00331400" w:rsidRPr="009D0025" w:rsidRDefault="00331400" w:rsidP="00331400">
      <w:pPr>
        <w:pStyle w:val="NoSpacing"/>
        <w:numPr>
          <w:ilvl w:val="0"/>
          <w:numId w:val="29"/>
        </w:numPr>
        <w:rPr>
          <w:rFonts w:ascii="Times New Roman" w:hAnsi="Times New Roman"/>
          <w:sz w:val="24"/>
          <w:szCs w:val="24"/>
        </w:rPr>
      </w:pPr>
      <w:r w:rsidRPr="009D0025">
        <w:rPr>
          <w:rFonts w:ascii="Times New Roman" w:hAnsi="Times New Roman"/>
          <w:sz w:val="24"/>
          <w:szCs w:val="24"/>
        </w:rPr>
        <w:t xml:space="preserve">“On January 17, 2024, [the </w:t>
      </w:r>
      <w:proofErr w:type="gramStart"/>
      <w:r w:rsidRPr="009D0025">
        <w:rPr>
          <w:rFonts w:ascii="Times New Roman" w:hAnsi="Times New Roman"/>
          <w:sz w:val="24"/>
          <w:szCs w:val="24"/>
        </w:rPr>
        <w:t>City</w:t>
      </w:r>
      <w:proofErr w:type="gramEnd"/>
      <w:r w:rsidRPr="009D0025">
        <w:rPr>
          <w:rFonts w:ascii="Times New Roman" w:hAnsi="Times New Roman"/>
          <w:sz w:val="24"/>
          <w:szCs w:val="24"/>
        </w:rPr>
        <w:t xml:space="preserve">] removed him from his position…. Appellant has been employed by the </w:t>
      </w:r>
      <w:proofErr w:type="gramStart"/>
      <w:r w:rsidRPr="009D0025">
        <w:rPr>
          <w:rFonts w:ascii="Times New Roman" w:hAnsi="Times New Roman"/>
          <w:sz w:val="24"/>
          <w:szCs w:val="24"/>
        </w:rPr>
        <w:t>City</w:t>
      </w:r>
      <w:proofErr w:type="gramEnd"/>
      <w:r w:rsidRPr="009D0025">
        <w:rPr>
          <w:rFonts w:ascii="Times New Roman" w:hAnsi="Times New Roman"/>
          <w:sz w:val="24"/>
          <w:szCs w:val="24"/>
        </w:rPr>
        <w:t xml:space="preserve"> as a fire fighter since 1992 and has served as Fire Chief since 2008.   </w:t>
      </w:r>
    </w:p>
    <w:p w14:paraId="40CA2059" w14:textId="77777777" w:rsidR="00331400" w:rsidRPr="009D0025" w:rsidRDefault="00331400" w:rsidP="00331400">
      <w:pPr>
        <w:pStyle w:val="NoSpacing"/>
        <w:ind w:left="720"/>
        <w:rPr>
          <w:rFonts w:ascii="Times New Roman" w:hAnsi="Times New Roman"/>
          <w:sz w:val="24"/>
          <w:szCs w:val="24"/>
        </w:rPr>
      </w:pPr>
      <w:r w:rsidRPr="009D0025">
        <w:rPr>
          <w:rFonts w:ascii="Times New Roman" w:hAnsi="Times New Roman"/>
          <w:sz w:val="24"/>
          <w:szCs w:val="24"/>
        </w:rPr>
        <w:t xml:space="preserve">During that time, he has never been reprimanded or disciplined. On June 6, 2023, Dina Shenker, Law Director for the City, received a phone call from the attorney for Port Clinton EMS employee, Rebecca Huskey, alleging that appellant sexually harassed his client. Shenker and Tina Colston, Director of Safety and Service for the City, placed appellant on administrative leave that day, informing him that he was prohibited from being at the Port Clinton Fire Station and from having any contact with Huskey. They also informed him that the </w:t>
      </w:r>
      <w:proofErr w:type="gramStart"/>
      <w:r w:rsidRPr="009D0025">
        <w:rPr>
          <w:rFonts w:ascii="Times New Roman" w:hAnsi="Times New Roman"/>
          <w:sz w:val="24"/>
          <w:szCs w:val="24"/>
        </w:rPr>
        <w:t>City</w:t>
      </w:r>
      <w:proofErr w:type="gramEnd"/>
      <w:r w:rsidRPr="009D0025">
        <w:rPr>
          <w:rFonts w:ascii="Times New Roman" w:hAnsi="Times New Roman"/>
          <w:sz w:val="24"/>
          <w:szCs w:val="24"/>
        </w:rPr>
        <w:t xml:space="preserve"> was referring the matter to Clemans Nelson Associates (‘Clemans’) for an investigation.”</w:t>
      </w:r>
    </w:p>
    <w:p w14:paraId="2547D139" w14:textId="77777777" w:rsidR="00331400" w:rsidRPr="009D0025" w:rsidRDefault="00331400" w:rsidP="00331400">
      <w:pPr>
        <w:pStyle w:val="NoSpacing"/>
        <w:ind w:left="720"/>
        <w:rPr>
          <w:rFonts w:ascii="Times New Roman" w:hAnsi="Times New Roman"/>
          <w:sz w:val="24"/>
          <w:szCs w:val="24"/>
        </w:rPr>
      </w:pPr>
    </w:p>
    <w:p w14:paraId="4F3237D8" w14:textId="77777777" w:rsidR="00331400" w:rsidRPr="009D0025" w:rsidRDefault="00331400" w:rsidP="00331400">
      <w:pPr>
        <w:pStyle w:val="NoSpacing"/>
        <w:ind w:left="720"/>
        <w:rPr>
          <w:rFonts w:ascii="Times New Roman" w:hAnsi="Times New Roman"/>
          <w:sz w:val="24"/>
          <w:szCs w:val="24"/>
        </w:rPr>
      </w:pPr>
    </w:p>
    <w:p w14:paraId="549545E4" w14:textId="77777777" w:rsidR="00331400" w:rsidRPr="009D0025" w:rsidRDefault="00331400" w:rsidP="00331400">
      <w:pPr>
        <w:pStyle w:val="NoSpacing"/>
        <w:numPr>
          <w:ilvl w:val="0"/>
          <w:numId w:val="29"/>
        </w:numPr>
        <w:rPr>
          <w:rFonts w:ascii="Times New Roman" w:hAnsi="Times New Roman"/>
          <w:sz w:val="24"/>
          <w:szCs w:val="24"/>
        </w:rPr>
      </w:pPr>
      <w:r w:rsidRPr="009D0025">
        <w:rPr>
          <w:rFonts w:ascii="Times New Roman" w:hAnsi="Times New Roman"/>
          <w:sz w:val="24"/>
          <w:szCs w:val="24"/>
        </w:rPr>
        <w:t xml:space="preserve">“Clemans submitted its report on December 15, 2023. That same day, Colston and the mayor of the city, Michael Snider, served appellant with a ‘Notice of </w:t>
      </w:r>
      <w:proofErr w:type="spellStart"/>
      <w:r w:rsidRPr="009D0025">
        <w:rPr>
          <w:rFonts w:ascii="Times New Roman" w:hAnsi="Times New Roman"/>
          <w:sz w:val="24"/>
          <w:szCs w:val="24"/>
        </w:rPr>
        <w:t>Predisciplinary</w:t>
      </w:r>
      <w:proofErr w:type="spellEnd"/>
      <w:r w:rsidRPr="009D0025">
        <w:rPr>
          <w:rFonts w:ascii="Times New Roman" w:hAnsi="Times New Roman"/>
          <w:sz w:val="24"/>
          <w:szCs w:val="24"/>
        </w:rPr>
        <w:t xml:space="preserve"> Conference” to be held on December 21, 2023, regarding three charges. Two of the charges pertained to payroll matters concerning Huskey. The third referenced</w:t>
      </w:r>
    </w:p>
    <w:p w14:paraId="7DA70F4B" w14:textId="77777777" w:rsidR="00331400" w:rsidRPr="009D0025" w:rsidRDefault="00331400" w:rsidP="00331400">
      <w:pPr>
        <w:pStyle w:val="NoSpacing"/>
        <w:ind w:left="720"/>
        <w:rPr>
          <w:rFonts w:ascii="Times New Roman" w:hAnsi="Times New Roman"/>
          <w:sz w:val="24"/>
          <w:szCs w:val="24"/>
        </w:rPr>
      </w:pPr>
      <w:r w:rsidRPr="009D0025">
        <w:rPr>
          <w:rFonts w:ascii="Times New Roman" w:hAnsi="Times New Roman"/>
          <w:sz w:val="24"/>
          <w:szCs w:val="24"/>
        </w:rPr>
        <w:t>Huskey’s sexual harassment claim. Each of the charges was listed as ‘Group III</w:t>
      </w:r>
    </w:p>
    <w:p w14:paraId="0D02BDCA" w14:textId="77777777" w:rsidR="00331400" w:rsidRPr="009D0025" w:rsidRDefault="00331400" w:rsidP="00331400">
      <w:pPr>
        <w:pStyle w:val="NoSpacing"/>
        <w:ind w:left="720"/>
        <w:rPr>
          <w:rFonts w:ascii="Times New Roman" w:hAnsi="Times New Roman"/>
          <w:sz w:val="24"/>
          <w:szCs w:val="24"/>
        </w:rPr>
      </w:pPr>
      <w:r w:rsidRPr="009D0025">
        <w:rPr>
          <w:rFonts w:ascii="Times New Roman" w:hAnsi="Times New Roman"/>
          <w:sz w:val="24"/>
          <w:szCs w:val="24"/>
        </w:rPr>
        <w:t>Offenses’ and warned that a violation would be subject to ‘discipline for cause up to and</w:t>
      </w:r>
    </w:p>
    <w:p w14:paraId="3D37A681" w14:textId="77777777" w:rsidR="00331400" w:rsidRPr="009D0025" w:rsidRDefault="00331400" w:rsidP="00331400">
      <w:pPr>
        <w:pStyle w:val="NoSpacing"/>
        <w:ind w:left="720"/>
        <w:rPr>
          <w:rFonts w:ascii="Times New Roman" w:hAnsi="Times New Roman"/>
          <w:sz w:val="24"/>
          <w:szCs w:val="24"/>
        </w:rPr>
      </w:pPr>
      <w:r w:rsidRPr="009D0025">
        <w:rPr>
          <w:rFonts w:ascii="Times New Roman" w:hAnsi="Times New Roman"/>
          <w:sz w:val="24"/>
          <w:szCs w:val="24"/>
        </w:rPr>
        <w:t>including termination of employment.’ The hearing was rescheduled to January 9, 2024,</w:t>
      </w:r>
    </w:p>
    <w:p w14:paraId="1AFB7E94" w14:textId="77777777" w:rsidR="00331400" w:rsidRPr="009D0025" w:rsidRDefault="00331400" w:rsidP="00331400">
      <w:pPr>
        <w:pStyle w:val="NoSpacing"/>
        <w:ind w:left="720"/>
        <w:rPr>
          <w:rFonts w:ascii="Times New Roman" w:hAnsi="Times New Roman"/>
          <w:sz w:val="24"/>
          <w:szCs w:val="24"/>
        </w:rPr>
      </w:pPr>
      <w:r w:rsidRPr="009D0025">
        <w:rPr>
          <w:rFonts w:ascii="Times New Roman" w:hAnsi="Times New Roman"/>
          <w:sz w:val="24"/>
          <w:szCs w:val="24"/>
        </w:rPr>
        <w:t xml:space="preserve">upon appellant’s request. *** The </w:t>
      </w:r>
      <w:proofErr w:type="spellStart"/>
      <w:r w:rsidRPr="009D0025">
        <w:rPr>
          <w:rFonts w:ascii="Times New Roman" w:hAnsi="Times New Roman"/>
          <w:sz w:val="24"/>
          <w:szCs w:val="24"/>
        </w:rPr>
        <w:t>predisciplinary</w:t>
      </w:r>
      <w:proofErr w:type="spellEnd"/>
      <w:r w:rsidRPr="009D0025">
        <w:rPr>
          <w:rFonts w:ascii="Times New Roman" w:hAnsi="Times New Roman"/>
          <w:sz w:val="24"/>
          <w:szCs w:val="24"/>
        </w:rPr>
        <w:t xml:space="preserve"> conference occurred as scheduled on January 9, 2024. Colston served as the hearing officer. *** Colston failed to</w:t>
      </w:r>
    </w:p>
    <w:p w14:paraId="3D33B3D4" w14:textId="77777777" w:rsidR="00331400" w:rsidRPr="009D0025" w:rsidRDefault="00331400" w:rsidP="00331400">
      <w:pPr>
        <w:pStyle w:val="NoSpacing"/>
        <w:ind w:left="720"/>
        <w:rPr>
          <w:rFonts w:ascii="Times New Roman" w:hAnsi="Times New Roman"/>
          <w:sz w:val="24"/>
          <w:szCs w:val="24"/>
        </w:rPr>
      </w:pPr>
      <w:r w:rsidRPr="009D0025">
        <w:rPr>
          <w:rFonts w:ascii="Times New Roman" w:hAnsi="Times New Roman"/>
          <w:sz w:val="24"/>
          <w:szCs w:val="24"/>
        </w:rPr>
        <w:t>prepare a written report with findings of fact and failed to provide it to appellant in a</w:t>
      </w:r>
    </w:p>
    <w:p w14:paraId="0386B179" w14:textId="77777777" w:rsidR="00331400" w:rsidRPr="009D0025" w:rsidRDefault="00331400" w:rsidP="00331400">
      <w:pPr>
        <w:pStyle w:val="NoSpacing"/>
        <w:ind w:left="720"/>
        <w:rPr>
          <w:rFonts w:ascii="Times New Roman" w:hAnsi="Times New Roman"/>
          <w:sz w:val="24"/>
          <w:szCs w:val="24"/>
        </w:rPr>
      </w:pPr>
      <w:r w:rsidRPr="009D0025">
        <w:rPr>
          <w:rFonts w:ascii="Times New Roman" w:hAnsi="Times New Roman"/>
          <w:sz w:val="24"/>
          <w:szCs w:val="24"/>
        </w:rPr>
        <w:t>timely manner.”</w:t>
      </w:r>
    </w:p>
    <w:p w14:paraId="6153202F" w14:textId="77777777" w:rsidR="00331400" w:rsidRPr="009D0025" w:rsidRDefault="00331400" w:rsidP="00331400">
      <w:pPr>
        <w:pStyle w:val="NoSpacing"/>
        <w:ind w:left="720"/>
        <w:rPr>
          <w:rFonts w:ascii="Times New Roman" w:hAnsi="Times New Roman"/>
          <w:sz w:val="24"/>
          <w:szCs w:val="24"/>
        </w:rPr>
      </w:pPr>
    </w:p>
    <w:p w14:paraId="4D0691E0" w14:textId="77777777" w:rsidR="00331400" w:rsidRPr="009D0025" w:rsidRDefault="00331400" w:rsidP="00331400">
      <w:pPr>
        <w:pStyle w:val="NoSpacing"/>
        <w:numPr>
          <w:ilvl w:val="0"/>
          <w:numId w:val="29"/>
        </w:numPr>
        <w:rPr>
          <w:rFonts w:ascii="Times New Roman" w:hAnsi="Times New Roman"/>
          <w:sz w:val="24"/>
          <w:szCs w:val="24"/>
        </w:rPr>
      </w:pPr>
      <w:r w:rsidRPr="009D0025">
        <w:rPr>
          <w:rFonts w:ascii="Times New Roman" w:hAnsi="Times New Roman"/>
          <w:sz w:val="24"/>
          <w:szCs w:val="24"/>
        </w:rPr>
        <w:t>“Here, appellant argues that the complaint alleges that appellees defamed</w:t>
      </w:r>
    </w:p>
    <w:p w14:paraId="1017204F" w14:textId="77777777" w:rsidR="00331400" w:rsidRPr="009D0025" w:rsidRDefault="00331400" w:rsidP="00331400">
      <w:pPr>
        <w:pStyle w:val="NoSpacing"/>
        <w:ind w:left="720"/>
        <w:rPr>
          <w:rFonts w:ascii="Times New Roman" w:hAnsi="Times New Roman"/>
          <w:sz w:val="24"/>
          <w:szCs w:val="24"/>
        </w:rPr>
      </w:pPr>
      <w:r w:rsidRPr="009D0025">
        <w:rPr>
          <w:rFonts w:ascii="Times New Roman" w:hAnsi="Times New Roman"/>
          <w:sz w:val="24"/>
          <w:szCs w:val="24"/>
        </w:rPr>
        <w:t xml:space="preserve">him when it </w:t>
      </w:r>
      <w:proofErr w:type="gramStart"/>
      <w:r w:rsidRPr="009D0025">
        <w:rPr>
          <w:rFonts w:ascii="Times New Roman" w:hAnsi="Times New Roman"/>
          <w:sz w:val="24"/>
          <w:szCs w:val="24"/>
        </w:rPr>
        <w:t>published</w:t>
      </w:r>
      <w:proofErr w:type="gramEnd"/>
      <w:r w:rsidRPr="009D0025">
        <w:rPr>
          <w:rFonts w:ascii="Times New Roman" w:hAnsi="Times New Roman"/>
          <w:sz w:val="24"/>
          <w:szCs w:val="24"/>
        </w:rPr>
        <w:t xml:space="preserve"> to news media, other City employees, and members of the fire</w:t>
      </w:r>
    </w:p>
    <w:p w14:paraId="623F39AF" w14:textId="77777777" w:rsidR="00331400" w:rsidRPr="009D0025" w:rsidRDefault="00331400" w:rsidP="00331400">
      <w:pPr>
        <w:pStyle w:val="NoSpacing"/>
        <w:ind w:left="720"/>
        <w:rPr>
          <w:rFonts w:ascii="Times New Roman" w:hAnsi="Times New Roman"/>
          <w:sz w:val="24"/>
          <w:szCs w:val="24"/>
        </w:rPr>
      </w:pPr>
      <w:r w:rsidRPr="009D0025">
        <w:rPr>
          <w:rFonts w:ascii="Times New Roman" w:hAnsi="Times New Roman"/>
          <w:sz w:val="24"/>
          <w:szCs w:val="24"/>
        </w:rPr>
        <w:t>department the Order of Removal that charged him with intentionally overpaying</w:t>
      </w:r>
    </w:p>
    <w:p w14:paraId="2E94D740" w14:textId="77777777" w:rsidR="00331400" w:rsidRPr="009D0025" w:rsidRDefault="00331400" w:rsidP="00331400">
      <w:pPr>
        <w:pStyle w:val="NoSpacing"/>
        <w:ind w:left="720"/>
        <w:rPr>
          <w:rFonts w:ascii="Times New Roman" w:hAnsi="Times New Roman"/>
          <w:sz w:val="24"/>
          <w:szCs w:val="24"/>
        </w:rPr>
      </w:pPr>
      <w:r w:rsidRPr="009D0025">
        <w:rPr>
          <w:rFonts w:ascii="Times New Roman" w:hAnsi="Times New Roman"/>
          <w:sz w:val="24"/>
          <w:szCs w:val="24"/>
        </w:rPr>
        <w:t xml:space="preserve">Huskey. *** The parties agree that appellant is a public figure, and thus he must prove that </w:t>
      </w:r>
      <w:proofErr w:type="gramStart"/>
      <w:r w:rsidRPr="009D0025">
        <w:rPr>
          <w:rFonts w:ascii="Times New Roman" w:hAnsi="Times New Roman"/>
          <w:sz w:val="24"/>
          <w:szCs w:val="24"/>
        </w:rPr>
        <w:t>appellees</w:t>
      </w:r>
      <w:proofErr w:type="gramEnd"/>
      <w:r w:rsidRPr="009D0025">
        <w:rPr>
          <w:rFonts w:ascii="Times New Roman" w:hAnsi="Times New Roman"/>
          <w:sz w:val="24"/>
          <w:szCs w:val="24"/>
        </w:rPr>
        <w:t xml:space="preserve"> acted with actual malice. Scott v. News-Herald, 25 Ohio St.3d 243, 248 (1986). ‘Actual malice’ means that the statement was published “with knowledge that it was false or with reckless disregard of whether </w:t>
      </w:r>
      <w:r w:rsidRPr="009D0025">
        <w:rPr>
          <w:rFonts w:ascii="Times New Roman" w:hAnsi="Times New Roman"/>
          <w:sz w:val="24"/>
          <w:szCs w:val="24"/>
        </w:rPr>
        <w:lastRenderedPageBreak/>
        <w:t xml:space="preserve">it was false or not.’ Id., quoting New York Times Co. v. Sullivan, 376 U.S. 254, 279-280 (1964). In this case, contrary to </w:t>
      </w:r>
      <w:proofErr w:type="gramStart"/>
      <w:r w:rsidRPr="009D0025">
        <w:rPr>
          <w:rFonts w:ascii="Times New Roman" w:hAnsi="Times New Roman"/>
          <w:sz w:val="24"/>
          <w:szCs w:val="24"/>
        </w:rPr>
        <w:t>appellees’</w:t>
      </w:r>
      <w:proofErr w:type="gramEnd"/>
      <w:r w:rsidRPr="009D0025">
        <w:rPr>
          <w:rFonts w:ascii="Times New Roman" w:hAnsi="Times New Roman"/>
          <w:sz w:val="24"/>
          <w:szCs w:val="24"/>
        </w:rPr>
        <w:t xml:space="preserve"> argument, paragraph 58 of the complaint directly alleges that the claims were made ‘intentionally, recklessly, with actual knowledge of their falsity and with actual malice.’ *** In sum, under the notice pleading standards, the complaint alleges that</w:t>
      </w:r>
    </w:p>
    <w:p w14:paraId="1F128293" w14:textId="77777777" w:rsidR="00331400" w:rsidRPr="009D0025" w:rsidRDefault="00331400" w:rsidP="00331400">
      <w:pPr>
        <w:pStyle w:val="NoSpacing"/>
        <w:ind w:left="720"/>
        <w:rPr>
          <w:rFonts w:ascii="Times New Roman" w:hAnsi="Times New Roman"/>
          <w:sz w:val="24"/>
          <w:szCs w:val="24"/>
        </w:rPr>
      </w:pPr>
      <w:r w:rsidRPr="009D0025">
        <w:rPr>
          <w:rFonts w:ascii="Times New Roman" w:hAnsi="Times New Roman"/>
          <w:sz w:val="24"/>
          <w:szCs w:val="24"/>
        </w:rPr>
        <w:t>appellees made a false statement that appellant committed a crime of dishonesty or moral</w:t>
      </w:r>
    </w:p>
    <w:p w14:paraId="24281074" w14:textId="77777777" w:rsidR="00331400" w:rsidRPr="009D0025" w:rsidRDefault="00331400" w:rsidP="00331400">
      <w:pPr>
        <w:pStyle w:val="NoSpacing"/>
        <w:ind w:left="720"/>
        <w:rPr>
          <w:rFonts w:ascii="Times New Roman" w:hAnsi="Times New Roman"/>
          <w:sz w:val="24"/>
          <w:szCs w:val="24"/>
        </w:rPr>
      </w:pPr>
      <w:r w:rsidRPr="009D0025">
        <w:rPr>
          <w:rFonts w:ascii="Times New Roman" w:hAnsi="Times New Roman"/>
          <w:sz w:val="24"/>
          <w:szCs w:val="24"/>
        </w:rPr>
        <w:t>turpitude constituting defamation per se, the statement was published to news media</w:t>
      </w:r>
    </w:p>
    <w:p w14:paraId="300BFDD2" w14:textId="77777777" w:rsidR="00331400" w:rsidRPr="009D0025" w:rsidRDefault="00331400" w:rsidP="00331400">
      <w:pPr>
        <w:pStyle w:val="NoSpacing"/>
        <w:ind w:left="720"/>
        <w:rPr>
          <w:rFonts w:ascii="Times New Roman" w:hAnsi="Times New Roman"/>
          <w:sz w:val="24"/>
          <w:szCs w:val="24"/>
        </w:rPr>
      </w:pPr>
      <w:r w:rsidRPr="009D0025">
        <w:rPr>
          <w:rFonts w:ascii="Times New Roman" w:hAnsi="Times New Roman"/>
          <w:sz w:val="24"/>
          <w:szCs w:val="24"/>
        </w:rPr>
        <w:t>outlets and City employees, and it was made with actual malice. Therefore, we hold that</w:t>
      </w:r>
    </w:p>
    <w:p w14:paraId="5715264C" w14:textId="77777777" w:rsidR="00331400" w:rsidRPr="009D0025" w:rsidRDefault="00331400" w:rsidP="00331400">
      <w:pPr>
        <w:pStyle w:val="NoSpacing"/>
        <w:ind w:left="720"/>
        <w:rPr>
          <w:rFonts w:ascii="Times New Roman" w:hAnsi="Times New Roman"/>
          <w:sz w:val="24"/>
          <w:szCs w:val="24"/>
        </w:rPr>
      </w:pPr>
      <w:proofErr w:type="gramStart"/>
      <w:r w:rsidRPr="009D0025">
        <w:rPr>
          <w:rFonts w:ascii="Times New Roman" w:hAnsi="Times New Roman"/>
          <w:sz w:val="24"/>
          <w:szCs w:val="24"/>
        </w:rPr>
        <w:t>the</w:t>
      </w:r>
      <w:proofErr w:type="gramEnd"/>
      <w:r w:rsidRPr="009D0025">
        <w:rPr>
          <w:rFonts w:ascii="Times New Roman" w:hAnsi="Times New Roman"/>
          <w:sz w:val="24"/>
          <w:szCs w:val="24"/>
        </w:rPr>
        <w:t xml:space="preserve"> complaint alleges all the elements for a defamation action, and the trial court erred in</w:t>
      </w:r>
    </w:p>
    <w:p w14:paraId="616B169C" w14:textId="77777777" w:rsidR="00331400" w:rsidRPr="009D0025" w:rsidRDefault="00331400" w:rsidP="00331400">
      <w:pPr>
        <w:pStyle w:val="NoSpacing"/>
        <w:ind w:left="720"/>
        <w:rPr>
          <w:rFonts w:ascii="Times New Roman" w:hAnsi="Times New Roman"/>
          <w:sz w:val="24"/>
          <w:szCs w:val="24"/>
        </w:rPr>
      </w:pPr>
      <w:r w:rsidRPr="009D0025">
        <w:rPr>
          <w:rFonts w:ascii="Times New Roman" w:hAnsi="Times New Roman"/>
          <w:sz w:val="24"/>
          <w:szCs w:val="24"/>
        </w:rPr>
        <w:t>granting appellees’ motion for judgment on the pleadings.”</w:t>
      </w:r>
    </w:p>
    <w:p w14:paraId="644F592E" w14:textId="77777777" w:rsidR="00331400" w:rsidRPr="009D0025" w:rsidRDefault="00331400" w:rsidP="00331400">
      <w:pPr>
        <w:pStyle w:val="NoSpacing"/>
        <w:ind w:left="720"/>
        <w:rPr>
          <w:rFonts w:ascii="Times New Roman" w:hAnsi="Times New Roman"/>
          <w:sz w:val="24"/>
          <w:szCs w:val="24"/>
        </w:rPr>
      </w:pPr>
    </w:p>
    <w:p w14:paraId="531D12E0" w14:textId="77777777" w:rsidR="00331400" w:rsidRPr="009D0025" w:rsidRDefault="00331400" w:rsidP="00331400">
      <w:pPr>
        <w:pStyle w:val="NoSpacing"/>
        <w:rPr>
          <w:rFonts w:ascii="Times New Roman" w:hAnsi="Times New Roman"/>
          <w:color w:val="C00000"/>
          <w:sz w:val="24"/>
          <w:szCs w:val="24"/>
        </w:rPr>
      </w:pPr>
      <w:r w:rsidRPr="009D0025">
        <w:rPr>
          <w:rFonts w:ascii="Times New Roman" w:hAnsi="Times New Roman"/>
          <w:b/>
          <w:sz w:val="24"/>
          <w:szCs w:val="24"/>
        </w:rPr>
        <w:t xml:space="preserve">Legal lesson learned: Former Fire Chief is a public official; he has an uphill task proving “actual malice” under New York Times v. Sullivan. </w:t>
      </w:r>
      <w:hyperlink r:id="rId2584" w:history="1">
        <w:r w:rsidRPr="009D0025">
          <w:rPr>
            <w:rStyle w:val="Hyperlink"/>
            <w:rFonts w:ascii="Times New Roman" w:hAnsi="Times New Roman"/>
            <w:b/>
            <w:sz w:val="24"/>
            <w:szCs w:val="24"/>
          </w:rPr>
          <w:t>https://supreme.justia.com/cases/federal/us/376/254/</w:t>
        </w:r>
      </w:hyperlink>
      <w:r w:rsidRPr="009D0025">
        <w:rPr>
          <w:rFonts w:ascii="Times New Roman" w:hAnsi="Times New Roman"/>
          <w:b/>
          <w:sz w:val="24"/>
          <w:szCs w:val="24"/>
        </w:rPr>
        <w:t xml:space="preserve"> </w:t>
      </w:r>
    </w:p>
    <w:p w14:paraId="1D69FB10" w14:textId="77777777" w:rsidR="00331400" w:rsidRPr="009D0025" w:rsidRDefault="00331400" w:rsidP="00331400">
      <w:pPr>
        <w:pStyle w:val="NoSpacing"/>
        <w:rPr>
          <w:rFonts w:ascii="Times New Roman" w:hAnsi="Times New Roman"/>
          <w:color w:val="C00000"/>
          <w:sz w:val="24"/>
          <w:szCs w:val="24"/>
        </w:rPr>
      </w:pPr>
    </w:p>
    <w:p w14:paraId="05D14692" w14:textId="77777777" w:rsidR="00331400" w:rsidRPr="009D0025" w:rsidRDefault="00331400" w:rsidP="00331400">
      <w:pPr>
        <w:pStyle w:val="NoSpacing"/>
        <w:ind w:left="720"/>
        <w:rPr>
          <w:rFonts w:ascii="Times New Roman" w:hAnsi="Times New Roman"/>
          <w:sz w:val="24"/>
          <w:szCs w:val="24"/>
        </w:rPr>
      </w:pPr>
      <w:r w:rsidRPr="009D0025">
        <w:rPr>
          <w:rFonts w:ascii="Times New Roman" w:hAnsi="Times New Roman"/>
          <w:sz w:val="24"/>
          <w:szCs w:val="24"/>
        </w:rPr>
        <w:t xml:space="preserve">Note: See July 11, </w:t>
      </w:r>
      <w:proofErr w:type="gramStart"/>
      <w:r w:rsidRPr="009D0025">
        <w:rPr>
          <w:rFonts w:ascii="Times New Roman" w:hAnsi="Times New Roman"/>
          <w:sz w:val="24"/>
          <w:szCs w:val="24"/>
        </w:rPr>
        <w:t>2025</w:t>
      </w:r>
      <w:proofErr w:type="gramEnd"/>
      <w:r w:rsidRPr="009D0025">
        <w:rPr>
          <w:rFonts w:ascii="Times New Roman" w:hAnsi="Times New Roman"/>
          <w:sz w:val="24"/>
          <w:szCs w:val="24"/>
        </w:rPr>
        <w:t xml:space="preserve"> article, “Judge sentences former Port Clinton fire chief in sexual harassment case.” </w:t>
      </w:r>
    </w:p>
    <w:p w14:paraId="488CF387" w14:textId="77777777" w:rsidR="00331400" w:rsidRPr="009D0025" w:rsidRDefault="00331400" w:rsidP="00331400">
      <w:pPr>
        <w:pStyle w:val="NoSpacing"/>
        <w:ind w:left="720"/>
        <w:rPr>
          <w:rFonts w:ascii="Times New Roman" w:hAnsi="Times New Roman"/>
          <w:sz w:val="24"/>
          <w:szCs w:val="24"/>
        </w:rPr>
      </w:pPr>
      <w:hyperlink r:id="rId2585" w:history="1">
        <w:r w:rsidRPr="009D0025">
          <w:rPr>
            <w:rStyle w:val="Hyperlink"/>
            <w:rFonts w:ascii="Times New Roman" w:hAnsi="Times New Roman"/>
            <w:sz w:val="24"/>
            <w:szCs w:val="24"/>
          </w:rPr>
          <w:t>https://www.wtol.com/article/news/crime/port-clinton-fire-chief-kent-johnson-sentenced-to-jail-for-sexual-harassment-case/512-0facde5b-63e1-457e-9908-521ed4a422af</w:t>
        </w:r>
      </w:hyperlink>
      <w:r w:rsidRPr="009D0025">
        <w:rPr>
          <w:rFonts w:ascii="Times New Roman" w:hAnsi="Times New Roman"/>
          <w:sz w:val="24"/>
          <w:szCs w:val="24"/>
        </w:rPr>
        <w:t xml:space="preserve"> </w:t>
      </w:r>
    </w:p>
    <w:p w14:paraId="62676D7D" w14:textId="77777777" w:rsidR="00331400" w:rsidRPr="009D0025" w:rsidRDefault="00331400" w:rsidP="00331400">
      <w:pPr>
        <w:pStyle w:val="NoSpacing"/>
        <w:rPr>
          <w:rFonts w:ascii="Times New Roman" w:hAnsi="Times New Roman"/>
          <w:sz w:val="24"/>
          <w:szCs w:val="24"/>
        </w:rPr>
      </w:pPr>
    </w:p>
    <w:p w14:paraId="34E04062" w14:textId="77777777" w:rsidR="00331400" w:rsidRPr="009D0025" w:rsidRDefault="00331400" w:rsidP="00331400">
      <w:pPr>
        <w:pStyle w:val="NoSpacing"/>
        <w:rPr>
          <w:rFonts w:ascii="Times New Roman" w:hAnsi="Times New Roman"/>
          <w:color w:val="C00000"/>
          <w:sz w:val="24"/>
          <w:szCs w:val="24"/>
        </w:rPr>
      </w:pPr>
    </w:p>
    <w:p w14:paraId="1A12BFA1" w14:textId="77777777" w:rsidR="00331400" w:rsidRPr="009D0025" w:rsidRDefault="00331400" w:rsidP="00331400">
      <w:pPr>
        <w:pStyle w:val="NoSpacing"/>
        <w:jc w:val="center"/>
        <w:rPr>
          <w:rFonts w:ascii="Times New Roman" w:hAnsi="Times New Roman"/>
          <w:color w:val="C00000"/>
          <w:sz w:val="24"/>
          <w:szCs w:val="24"/>
        </w:rPr>
      </w:pPr>
    </w:p>
    <w:p w14:paraId="318C70E1" w14:textId="77777777" w:rsidR="00C466BB" w:rsidRPr="009D0025" w:rsidRDefault="00C466BB" w:rsidP="00F326E5">
      <w:pPr>
        <w:pStyle w:val="NoSpacing"/>
        <w:rPr>
          <w:rFonts w:ascii="Times New Roman" w:hAnsi="Times New Roman"/>
          <w:b/>
          <w:sz w:val="24"/>
          <w:szCs w:val="24"/>
        </w:rPr>
      </w:pPr>
    </w:p>
    <w:p w14:paraId="689006E1" w14:textId="77777777" w:rsidR="00C466BB" w:rsidRPr="009D0025" w:rsidRDefault="00C466BB" w:rsidP="00F326E5">
      <w:pPr>
        <w:pStyle w:val="NoSpacing"/>
        <w:rPr>
          <w:rFonts w:ascii="Times New Roman" w:hAnsi="Times New Roman"/>
          <w:b/>
          <w:sz w:val="24"/>
          <w:szCs w:val="24"/>
        </w:rPr>
      </w:pPr>
    </w:p>
    <w:p w14:paraId="4FA2B992" w14:textId="77777777" w:rsidR="00C466BB" w:rsidRPr="009D0025" w:rsidRDefault="00C466BB" w:rsidP="00F326E5">
      <w:pPr>
        <w:pStyle w:val="NoSpacing"/>
        <w:rPr>
          <w:rFonts w:ascii="Times New Roman" w:hAnsi="Times New Roman"/>
          <w:b/>
          <w:sz w:val="24"/>
          <w:szCs w:val="24"/>
        </w:rPr>
      </w:pPr>
    </w:p>
    <w:p w14:paraId="75522B3B" w14:textId="7864D740" w:rsidR="00524648" w:rsidRPr="009D0025" w:rsidRDefault="00524648" w:rsidP="00F326E5">
      <w:pPr>
        <w:pStyle w:val="NoSpacing"/>
        <w:rPr>
          <w:rFonts w:ascii="Times New Roman" w:hAnsi="Times New Roman"/>
          <w:b/>
          <w:sz w:val="24"/>
          <w:szCs w:val="24"/>
        </w:rPr>
      </w:pPr>
      <w:r w:rsidRPr="009D0025">
        <w:rPr>
          <w:rFonts w:ascii="Times New Roman" w:hAnsi="Times New Roman"/>
          <w:b/>
          <w:sz w:val="24"/>
          <w:szCs w:val="24"/>
        </w:rPr>
        <w:t>16-131</w:t>
      </w:r>
    </w:p>
    <w:p w14:paraId="422897A9" w14:textId="77777777" w:rsidR="00524648" w:rsidRDefault="00524648" w:rsidP="00F326E5">
      <w:pPr>
        <w:pStyle w:val="NoSpacing"/>
        <w:rPr>
          <w:rFonts w:ascii="Arial Black" w:hAnsi="Arial Black"/>
          <w:b/>
          <w:sz w:val="24"/>
          <w:szCs w:val="24"/>
        </w:rPr>
      </w:pPr>
    </w:p>
    <w:p w14:paraId="23E72A14" w14:textId="77777777" w:rsidR="00524648" w:rsidRPr="002D352D" w:rsidRDefault="00524648" w:rsidP="00524648">
      <w:pPr>
        <w:pStyle w:val="NoSpacing"/>
        <w:rPr>
          <w:rFonts w:ascii="Arial Black" w:hAnsi="Arial Black"/>
          <w:b/>
          <w:sz w:val="28"/>
          <w:szCs w:val="28"/>
        </w:rPr>
      </w:pPr>
      <w:r w:rsidRPr="00C34488">
        <w:rPr>
          <w:rFonts w:ascii="Arial Black" w:hAnsi="Arial Black"/>
          <w:b/>
          <w:sz w:val="28"/>
          <w:szCs w:val="28"/>
        </w:rPr>
        <w:t xml:space="preserve">OH: FORMER CINCINNATI FIRE </w:t>
      </w:r>
      <w:r w:rsidRPr="00C34488">
        <w:rPr>
          <w:rFonts w:ascii="Arial Black" w:hAnsi="Arial Black"/>
          <w:sz w:val="28"/>
          <w:szCs w:val="28"/>
        </w:rPr>
        <w:t>CHIEF - NO PRIOR NOTICE O</w:t>
      </w:r>
      <w:r w:rsidRPr="00C34488">
        <w:rPr>
          <w:rFonts w:ascii="Arial Black" w:hAnsi="Arial Black"/>
          <w:b/>
          <w:sz w:val="28"/>
          <w:szCs w:val="28"/>
        </w:rPr>
        <w:t>F CHARGES / NO PRE-TERMINATION HEARING</w:t>
      </w:r>
    </w:p>
    <w:p w14:paraId="7645F603" w14:textId="77777777" w:rsidR="00524648" w:rsidRPr="00C34488" w:rsidRDefault="00524648" w:rsidP="00524648">
      <w:pPr>
        <w:pStyle w:val="NoSpacing"/>
        <w:rPr>
          <w:rFonts w:ascii="Arial Black" w:hAnsi="Arial Black"/>
          <w:b/>
        </w:rPr>
      </w:pPr>
    </w:p>
    <w:p w14:paraId="74FBCC7E" w14:textId="77777777" w:rsidR="00524648" w:rsidRPr="00C34488" w:rsidRDefault="00524648" w:rsidP="00524648">
      <w:pPr>
        <w:pStyle w:val="NoSpacing"/>
      </w:pPr>
      <w:r w:rsidRPr="00C34488">
        <w:t xml:space="preserve">On Aug. 26, 2025, in </w:t>
      </w:r>
      <w:r w:rsidRPr="00C34488">
        <w:rPr>
          <w:u w:val="single"/>
        </w:rPr>
        <w:t>Michael J. Washington v. City of Cincinnati, et al</w:t>
      </w:r>
      <w:r w:rsidRPr="00C34488">
        <w:t>.,</w:t>
      </w:r>
      <w:r w:rsidRPr="00C34488">
        <w:rPr>
          <w:b/>
        </w:rPr>
        <w:t xml:space="preserve"> </w:t>
      </w:r>
      <w:r w:rsidRPr="00C34488">
        <w:t>Stephanie K. Bowman, United States Chief Magistrate Judge</w:t>
      </w:r>
      <w:r>
        <w:t xml:space="preserve"> Stephanie K. Bowman</w:t>
      </w:r>
      <w:r w:rsidRPr="00C34488">
        <w:t xml:space="preserve">, United States District Court for Southern District of Ohio, held that his lawsuit may proceed to trial [scheduled for September 29, 2025]. </w:t>
      </w:r>
    </w:p>
    <w:p w14:paraId="7AE10444" w14:textId="77777777" w:rsidR="00524648" w:rsidRDefault="00524648" w:rsidP="00524648">
      <w:pPr>
        <w:pStyle w:val="NoSpacing"/>
      </w:pPr>
    </w:p>
    <w:p w14:paraId="256DA6B5" w14:textId="77777777" w:rsidR="00524648" w:rsidRPr="00C34488" w:rsidRDefault="00524648" w:rsidP="00524648">
      <w:pPr>
        <w:pStyle w:val="NoSpacing"/>
        <w:ind w:left="720"/>
      </w:pPr>
      <w:r w:rsidRPr="00C34488">
        <w:t xml:space="preserve">“Defendants Long [City Manager Sheryl Long] and the </w:t>
      </w:r>
      <w:proofErr w:type="gramStart"/>
      <w:r w:rsidRPr="00C34488">
        <w:t>City</w:t>
      </w:r>
      <w:proofErr w:type="gramEnd"/>
      <w:r w:rsidRPr="00C34488">
        <w:t xml:space="preserve"> failed to provide Washington with adequate pretermination procedural due process when they terminated him on March 24, 2023, in violation of the Due Process Clause of the Fourteenth</w:t>
      </w:r>
    </w:p>
    <w:p w14:paraId="7AA126EC" w14:textId="77777777" w:rsidR="00524648" w:rsidRDefault="00524648" w:rsidP="00524648">
      <w:pPr>
        <w:pStyle w:val="NoSpacing"/>
        <w:ind w:left="720"/>
      </w:pPr>
      <w:r w:rsidRPr="00C34488">
        <w:t xml:space="preserve">Amendment.  *** </w:t>
      </w:r>
      <w:r>
        <w:t>No one disputes that the Charter language gave City Manager Long the authority to fire Plaintiff, albeit ‘only for cause’ given his length of service. But even the Charter language confirms that a pretermination hearing before the City Manager was required. *** Thus, before executing her authority to terminate Washington, Long</w:t>
      </w:r>
    </w:p>
    <w:p w14:paraId="135F1C48" w14:textId="77777777" w:rsidR="00524648" w:rsidRDefault="00524648" w:rsidP="00524648">
      <w:pPr>
        <w:pStyle w:val="NoSpacing"/>
        <w:ind w:left="720"/>
      </w:pPr>
      <w:r>
        <w:t>was required to provide him with advance oral or written notice of the charges against</w:t>
      </w:r>
    </w:p>
    <w:p w14:paraId="42CCA30A" w14:textId="77777777" w:rsidR="00524648" w:rsidRDefault="00524648" w:rsidP="00524648">
      <w:pPr>
        <w:pStyle w:val="NoSpacing"/>
        <w:ind w:left="720"/>
      </w:pPr>
      <w:r>
        <w:t>him, an explanation of her evidence, and a hearing at which Plaintiff had a reasonable</w:t>
      </w:r>
    </w:p>
    <w:p w14:paraId="3F9788E8" w14:textId="77777777" w:rsidR="00524648" w:rsidRDefault="00524648" w:rsidP="00524648">
      <w:pPr>
        <w:pStyle w:val="NoSpacing"/>
        <w:ind w:left="720"/>
      </w:pPr>
      <w:r>
        <w:t xml:space="preserve">opportunity to respond. *** </w:t>
      </w:r>
      <w:r w:rsidRPr="00C34488">
        <w:t>These remaining issues shall proceed to trial: (a) the adequacy of the post-termination process and whether Plaintiff waived his post-termination hearing;</w:t>
      </w:r>
      <w:r>
        <w:t xml:space="preserve"> </w:t>
      </w:r>
      <w:r w:rsidRPr="00C34488">
        <w:t>(b) whether Defendants had cause to terminate Plaintiff; (c) whether Defendant</w:t>
      </w:r>
      <w:r>
        <w:t xml:space="preserve"> </w:t>
      </w:r>
      <w:r w:rsidRPr="00C34488">
        <w:t xml:space="preserve">Long defamed Plaintiff; and (d) what damages, if any, Plaintiff may recover.”  </w:t>
      </w:r>
    </w:p>
    <w:p w14:paraId="336BF0B1" w14:textId="77777777" w:rsidR="00524648" w:rsidRPr="00C34488" w:rsidRDefault="00524648" w:rsidP="00524648">
      <w:pPr>
        <w:pStyle w:val="NoSpacing"/>
        <w:ind w:left="720"/>
      </w:pPr>
      <w:hyperlink r:id="rId2586" w:history="1">
        <w:r w:rsidRPr="00C34488">
          <w:rPr>
            <w:rStyle w:val="Hyperlink"/>
          </w:rPr>
          <w:t>https://cases.justia.com/federal/district-courts/ohio/ohsdce/1:2023cv00230/279336/47/0.pdf?ts=1756299215</w:t>
        </w:r>
      </w:hyperlink>
      <w:r w:rsidRPr="00C34488">
        <w:t xml:space="preserve"> </w:t>
      </w:r>
    </w:p>
    <w:p w14:paraId="4EFD89EC" w14:textId="77777777" w:rsidR="00524648" w:rsidRPr="00C34488" w:rsidRDefault="00524648" w:rsidP="00524648">
      <w:pPr>
        <w:pStyle w:val="NoSpacing"/>
      </w:pPr>
    </w:p>
    <w:p w14:paraId="6FA0F17B" w14:textId="77777777" w:rsidR="00524648" w:rsidRPr="00C34488" w:rsidRDefault="00524648" w:rsidP="00524648">
      <w:pPr>
        <w:pStyle w:val="NoSpacing"/>
        <w:rPr>
          <w:rFonts w:ascii="Arial Black" w:hAnsi="Arial Black"/>
        </w:rPr>
      </w:pPr>
    </w:p>
    <w:p w14:paraId="0C5CF838" w14:textId="77777777" w:rsidR="00524648" w:rsidRPr="00C34488" w:rsidRDefault="00524648" w:rsidP="00524648">
      <w:pPr>
        <w:pStyle w:val="NoSpacing"/>
      </w:pPr>
      <w:r w:rsidRPr="00C34488">
        <w:t xml:space="preserve">THREE KEY </w:t>
      </w:r>
      <w:r>
        <w:t>SUMMARIES:</w:t>
      </w:r>
    </w:p>
    <w:p w14:paraId="65AB2B9F" w14:textId="77777777" w:rsidR="00524648" w:rsidRPr="00C34488" w:rsidRDefault="00524648" w:rsidP="00524648">
      <w:pPr>
        <w:pStyle w:val="NoSpacing"/>
        <w:rPr>
          <w:rFonts w:ascii="Arial Black" w:hAnsi="Arial Black"/>
        </w:rPr>
      </w:pPr>
    </w:p>
    <w:p w14:paraId="72B56433" w14:textId="77777777" w:rsidR="00524648" w:rsidRPr="00C34488" w:rsidRDefault="00524648" w:rsidP="00524648">
      <w:pPr>
        <w:pStyle w:val="NoSpacing"/>
        <w:numPr>
          <w:ilvl w:val="0"/>
          <w:numId w:val="28"/>
        </w:numPr>
      </w:pPr>
      <w:r w:rsidRPr="00C34488">
        <w:t>“Plaintiff’s thirty-year career came to an abrupt close on March 24, 2023, when he</w:t>
      </w:r>
    </w:p>
    <w:p w14:paraId="33D1F8E1" w14:textId="77777777" w:rsidR="00524648" w:rsidRPr="00C34488" w:rsidRDefault="00524648" w:rsidP="00524648">
      <w:pPr>
        <w:pStyle w:val="NoSpacing"/>
        <w:ind w:firstLine="720"/>
      </w:pPr>
      <w:r w:rsidRPr="00C34488">
        <w:lastRenderedPageBreak/>
        <w:t>was summoned to a meeting at City Hall. City Manager Sheryl Long and two Human</w:t>
      </w:r>
    </w:p>
    <w:p w14:paraId="1945AF6D" w14:textId="77777777" w:rsidR="00524648" w:rsidRPr="00C34488" w:rsidRDefault="00524648" w:rsidP="00524648">
      <w:pPr>
        <w:pStyle w:val="NoSpacing"/>
        <w:ind w:firstLine="720"/>
      </w:pPr>
      <w:r w:rsidRPr="00C34488">
        <w:t>Resources representatives attended the meeting. Once Washington arrived, Long told</w:t>
      </w:r>
    </w:p>
    <w:p w14:paraId="21679A5A" w14:textId="77777777" w:rsidR="00524648" w:rsidRPr="00C34488" w:rsidRDefault="00524648" w:rsidP="00524648">
      <w:pPr>
        <w:pStyle w:val="NoSpacing"/>
        <w:ind w:firstLine="720"/>
      </w:pPr>
      <w:r w:rsidRPr="00C34488">
        <w:t>Washington that he was being terminated, effective immediately, and handed him a</w:t>
      </w:r>
    </w:p>
    <w:p w14:paraId="1E99398D" w14:textId="77777777" w:rsidR="00524648" w:rsidRPr="00C34488" w:rsidRDefault="00524648" w:rsidP="00524648">
      <w:pPr>
        <w:pStyle w:val="NoSpacing"/>
        <w:ind w:firstLine="720"/>
      </w:pPr>
      <w:r w:rsidRPr="00C34488">
        <w:t>termination letter. The termination letter accused Plaintiff of various leadership and</w:t>
      </w:r>
    </w:p>
    <w:p w14:paraId="77419B4E" w14:textId="77777777" w:rsidR="00524648" w:rsidRPr="00C34488" w:rsidRDefault="00524648" w:rsidP="00524648">
      <w:pPr>
        <w:pStyle w:val="NoSpacing"/>
        <w:ind w:firstLine="720"/>
      </w:pPr>
      <w:r w:rsidRPr="00C34488">
        <w:t>conduct failures, including: (1) poor workplace culture; (2) absence from a high-rise fire;</w:t>
      </w:r>
    </w:p>
    <w:p w14:paraId="2AEFEB4F" w14:textId="77777777" w:rsidR="00524648" w:rsidRPr="00C34488" w:rsidRDefault="00524648" w:rsidP="00524648">
      <w:pPr>
        <w:pStyle w:val="NoSpacing"/>
        <w:ind w:firstLine="720"/>
      </w:pPr>
      <w:r w:rsidRPr="00C34488">
        <w:t>(3) mishandling of personnel matters regarding a lieutenant charged with assault; (4)</w:t>
      </w:r>
    </w:p>
    <w:p w14:paraId="512305CC" w14:textId="77777777" w:rsidR="00524648" w:rsidRPr="00C34488" w:rsidRDefault="00524648" w:rsidP="00524648">
      <w:pPr>
        <w:pStyle w:val="NoSpacing"/>
        <w:ind w:firstLine="720"/>
      </w:pPr>
      <w:r w:rsidRPr="00C34488">
        <w:t>ineffective management of the acquisition of a training facility; and (5) ineffective</w:t>
      </w:r>
    </w:p>
    <w:p w14:paraId="47A2439E" w14:textId="77777777" w:rsidR="00524648" w:rsidRPr="00C34488" w:rsidRDefault="00524648" w:rsidP="00524648">
      <w:pPr>
        <w:pStyle w:val="NoSpacing"/>
        <w:ind w:left="720"/>
      </w:pPr>
      <w:r w:rsidRPr="00C34488">
        <w:t xml:space="preserve">communication with Long and others…. When she left the meeting, </w:t>
      </w:r>
      <w:proofErr w:type="gramStart"/>
      <w:r w:rsidRPr="00C34488">
        <w:t>Long</w:t>
      </w:r>
      <w:proofErr w:type="gramEnd"/>
      <w:r w:rsidRPr="00C34488">
        <w:t xml:space="preserve"> notified the </w:t>
      </w:r>
      <w:proofErr w:type="gramStart"/>
      <w:r w:rsidRPr="00C34488">
        <w:t>Mayor</w:t>
      </w:r>
      <w:proofErr w:type="gramEnd"/>
      <w:r w:rsidRPr="00C34488">
        <w:t xml:space="preserve"> and members of City Council that Plaintiff had been terminated for cause…. In a Memorandum entitled “For Your Information,” Long listed her reasons for terminating</w:t>
      </w:r>
    </w:p>
    <w:p w14:paraId="3708DC71" w14:textId="77777777" w:rsidR="00524648" w:rsidRPr="00C34488" w:rsidRDefault="00524648" w:rsidP="00524648">
      <w:pPr>
        <w:pStyle w:val="NoSpacing"/>
        <w:ind w:left="720"/>
      </w:pPr>
      <w:r w:rsidRPr="00C34488">
        <w:t xml:space="preserve">Washington, and announced his interim replacement…. The same morning, </w:t>
      </w:r>
      <w:proofErr w:type="gramStart"/>
      <w:r w:rsidRPr="00C34488">
        <w:t>Long</w:t>
      </w:r>
      <w:proofErr w:type="gramEnd"/>
      <w:r w:rsidRPr="00C34488">
        <w:t xml:space="preserve"> notified media outlets of Washington’s termination and replacement, providing a copy of the termination letter and making statements in interviews consistent with the statements in the termination letter and Memorandum. *** A review of the [Memorandum]… reveals specific examples of misconduct (e.g., ‘multiple women have come forward with concerns about the workplace environment,’ Washington ‘never moved forward’ with the climate assessment)</w:t>
      </w:r>
      <w:r>
        <w:t>.”</w:t>
      </w:r>
      <w:r w:rsidRPr="00C34488">
        <w:t xml:space="preserve"> </w:t>
      </w:r>
    </w:p>
    <w:p w14:paraId="69FD9EEF" w14:textId="77777777" w:rsidR="00524648" w:rsidRPr="00C34488" w:rsidRDefault="00524648" w:rsidP="00524648">
      <w:pPr>
        <w:pStyle w:val="NoSpacing"/>
      </w:pPr>
    </w:p>
    <w:p w14:paraId="41C72665" w14:textId="77777777" w:rsidR="00524648" w:rsidRPr="00C34488" w:rsidRDefault="00524648" w:rsidP="00524648">
      <w:pPr>
        <w:pStyle w:val="NoSpacing"/>
        <w:numPr>
          <w:ilvl w:val="0"/>
          <w:numId w:val="28"/>
        </w:numPr>
      </w:pPr>
      <w:r w:rsidRPr="00C34488">
        <w:t>“Plaintiff requested a post-termination hearing before a neutral decisionmaker.</w:t>
      </w:r>
    </w:p>
    <w:p w14:paraId="1018B5EE" w14:textId="77777777" w:rsidR="00524648" w:rsidRPr="00C34488" w:rsidRDefault="00524648" w:rsidP="00524648">
      <w:pPr>
        <w:pStyle w:val="NoSpacing"/>
        <w:ind w:firstLine="720"/>
      </w:pPr>
      <w:r w:rsidRPr="00C34488">
        <w:t xml:space="preserve">Defendants responded by offering a post-termination hearing before Long, citing </w:t>
      </w:r>
      <w:proofErr w:type="gramStart"/>
      <w:r w:rsidRPr="00C34488">
        <w:t>to</w:t>
      </w:r>
      <w:proofErr w:type="gramEnd"/>
      <w:r w:rsidRPr="00C34488">
        <w:t xml:space="preserve"> the</w:t>
      </w:r>
    </w:p>
    <w:p w14:paraId="1F0818A5" w14:textId="77777777" w:rsidR="00524648" w:rsidRPr="00C34488" w:rsidRDefault="00524648" w:rsidP="00524648">
      <w:pPr>
        <w:pStyle w:val="NoSpacing"/>
        <w:ind w:left="720"/>
      </w:pPr>
      <w:r w:rsidRPr="00C34488">
        <w:t>City Charter…. No hearing was ever held.”</w:t>
      </w:r>
    </w:p>
    <w:p w14:paraId="14A639BA" w14:textId="77777777" w:rsidR="00524648" w:rsidRPr="00C34488" w:rsidRDefault="00524648" w:rsidP="00524648">
      <w:pPr>
        <w:pStyle w:val="NoSpacing"/>
      </w:pPr>
    </w:p>
    <w:p w14:paraId="4801487F" w14:textId="77777777" w:rsidR="00524648" w:rsidRPr="00C34488" w:rsidRDefault="00524648" w:rsidP="00524648">
      <w:pPr>
        <w:pStyle w:val="NoSpacing"/>
        <w:ind w:left="720" w:firstLine="720"/>
      </w:pPr>
      <w:r w:rsidRPr="00C34488">
        <w:t xml:space="preserve">City Charter provides: </w:t>
      </w:r>
    </w:p>
    <w:p w14:paraId="74470541" w14:textId="77777777" w:rsidR="00524648" w:rsidRPr="00C34488" w:rsidRDefault="00524648" w:rsidP="00524648">
      <w:pPr>
        <w:pStyle w:val="NoSpacing"/>
      </w:pPr>
    </w:p>
    <w:p w14:paraId="63A175A3" w14:textId="77777777" w:rsidR="00524648" w:rsidRPr="00C34488" w:rsidRDefault="00524648" w:rsidP="00524648">
      <w:pPr>
        <w:pStyle w:val="NoSpacing"/>
        <w:ind w:left="1440"/>
      </w:pPr>
      <w:r w:rsidRPr="00C34488">
        <w:t>“After the fire chief has served six months, he or she shall be subject to removal only for cause including incompetency, inefficiency, dishonesty, insubordination, unsatisfactory performance, any other failure of good behavior, any other acts of misfeasance, malfeasance, or nonfeasance in office, or conviction of any felony. If removed for cause the fire chief may demand written charges and the right to be heard thereon before the city manager. Pending the completion of such hearing the city manager may suspend the fire chief from office.”</w:t>
      </w:r>
    </w:p>
    <w:p w14:paraId="442AE520" w14:textId="77777777" w:rsidR="00524648" w:rsidRPr="00C34488" w:rsidRDefault="00524648" w:rsidP="00524648">
      <w:pPr>
        <w:pStyle w:val="NoSpacing"/>
      </w:pPr>
    </w:p>
    <w:p w14:paraId="3CA4E094" w14:textId="77777777" w:rsidR="00524648" w:rsidRPr="00C34488" w:rsidRDefault="00524648" w:rsidP="00524648">
      <w:pPr>
        <w:pStyle w:val="NoSpacing"/>
        <w:numPr>
          <w:ilvl w:val="0"/>
          <w:numId w:val="28"/>
        </w:numPr>
      </w:pPr>
      <w:r w:rsidRPr="00C34488">
        <w:t xml:space="preserve">“Here, Long's purposeful decision not to investigate or even to permit Washington to respond to the bullet points in the termination letter, combined with making allegedly false representations of verifiable facts within her knowledge, is sufficient to support a finding of actual malice…. No one disputes that the Charter language gave City Manager Long the authority to fire Plaintiff, albeit ‘only for cause’ given his length of service. But even the Charter language confirms that a pretermination hearing before the City Manager was required…. In </w:t>
      </w:r>
      <w:r w:rsidRPr="00C34488">
        <w:rPr>
          <w:u w:val="single"/>
        </w:rPr>
        <w:t>Loudermill</w:t>
      </w:r>
      <w:r w:rsidRPr="00C34488">
        <w:t>, the Supreme Court explained that suspension with pay strikes a balance between a government’s interest in immediate termination and an employee’s constitutional right to a pretermination hearing.”</w:t>
      </w:r>
    </w:p>
    <w:p w14:paraId="1C487372" w14:textId="77777777" w:rsidR="00524648" w:rsidRPr="00C34488" w:rsidRDefault="00524648" w:rsidP="00524648">
      <w:pPr>
        <w:pStyle w:val="NoSpacing"/>
      </w:pPr>
    </w:p>
    <w:p w14:paraId="2281A28D" w14:textId="77777777" w:rsidR="00524648" w:rsidRPr="00C34488" w:rsidRDefault="00524648" w:rsidP="00524648">
      <w:pPr>
        <w:pStyle w:val="NoSpacing"/>
        <w:rPr>
          <w:b/>
        </w:rPr>
      </w:pPr>
      <w:r w:rsidRPr="00C34488">
        <w:rPr>
          <w:b/>
        </w:rPr>
        <w:t xml:space="preserve">Legal lesson learned: A jury will now decide if the </w:t>
      </w:r>
      <w:r>
        <w:rPr>
          <w:b/>
        </w:rPr>
        <w:t xml:space="preserve">former Chief is entitled to damages when the </w:t>
      </w:r>
      <w:r w:rsidRPr="00C34488">
        <w:rPr>
          <w:b/>
        </w:rPr>
        <w:t xml:space="preserve">City Manager </w:t>
      </w:r>
      <w:r>
        <w:rPr>
          <w:b/>
        </w:rPr>
        <w:t xml:space="preserve">did not offer a pre-termination hearing; read the 1985 U.S. Supreme Court decision in </w:t>
      </w:r>
      <w:r w:rsidRPr="00C34488">
        <w:rPr>
          <w:b/>
          <w:u w:val="single"/>
        </w:rPr>
        <w:t>Cleveland Board of Education v. Loudermill</w:t>
      </w:r>
      <w:r w:rsidRPr="00C34488">
        <w:t xml:space="preserve">, </w:t>
      </w:r>
      <w:hyperlink r:id="rId2587" w:history="1">
        <w:r w:rsidRPr="00820086">
          <w:rPr>
            <w:rStyle w:val="Hyperlink"/>
          </w:rPr>
          <w:t>https://supreme.justia.com/cases/federal/us/470/532/</w:t>
        </w:r>
      </w:hyperlink>
      <w:r>
        <w:t xml:space="preserve"> </w:t>
      </w:r>
      <w:r w:rsidRPr="00C34488">
        <w:rPr>
          <w:b/>
        </w:rPr>
        <w:t xml:space="preserve"> </w:t>
      </w:r>
    </w:p>
    <w:p w14:paraId="6245AF4C" w14:textId="77777777" w:rsidR="00524648" w:rsidRPr="00C34488" w:rsidRDefault="00524648" w:rsidP="00524648">
      <w:pPr>
        <w:pStyle w:val="NoSpacing"/>
      </w:pPr>
    </w:p>
    <w:p w14:paraId="2662D9AB" w14:textId="77777777" w:rsidR="00524648" w:rsidRPr="00C34488" w:rsidRDefault="00524648" w:rsidP="00524648">
      <w:pPr>
        <w:pStyle w:val="NoSpacing"/>
        <w:ind w:left="720"/>
      </w:pPr>
      <w:r w:rsidRPr="00C34488">
        <w:t xml:space="preserve">Note: See Aug. 27, </w:t>
      </w:r>
      <w:proofErr w:type="gramStart"/>
      <w:r w:rsidRPr="00C34488">
        <w:t>2025</w:t>
      </w:r>
      <w:proofErr w:type="gramEnd"/>
      <w:r w:rsidRPr="00C34488">
        <w:t xml:space="preserve"> article, “Former Cincinnati fire chief's wrongful termination lawsuit is set for trial.”  </w:t>
      </w:r>
      <w:hyperlink r:id="rId2588" w:history="1">
        <w:r w:rsidRPr="00820086">
          <w:rPr>
            <w:rStyle w:val="Hyperlink"/>
          </w:rPr>
          <w:t>https://www.wvxu.org/politics/2025-08-27/michael-washington-wrongful-termination-lawsuit-trial</w:t>
        </w:r>
      </w:hyperlink>
      <w:r>
        <w:t xml:space="preserve"> </w:t>
      </w:r>
    </w:p>
    <w:p w14:paraId="39452D8B" w14:textId="77777777" w:rsidR="00524648" w:rsidRPr="00C34488" w:rsidRDefault="00524648" w:rsidP="00524648">
      <w:pPr>
        <w:pStyle w:val="NoSpacing"/>
        <w:rPr>
          <w:b/>
        </w:rPr>
      </w:pPr>
    </w:p>
    <w:p w14:paraId="33272C8D" w14:textId="77777777" w:rsidR="00524648" w:rsidRDefault="00524648" w:rsidP="00F326E5">
      <w:pPr>
        <w:pStyle w:val="NoSpacing"/>
        <w:rPr>
          <w:rFonts w:ascii="Arial Black" w:hAnsi="Arial Black"/>
          <w:b/>
          <w:sz w:val="24"/>
          <w:szCs w:val="24"/>
        </w:rPr>
      </w:pPr>
    </w:p>
    <w:p w14:paraId="680433B8" w14:textId="77777777" w:rsidR="00524648" w:rsidRDefault="00524648" w:rsidP="00F326E5">
      <w:pPr>
        <w:pStyle w:val="NoSpacing"/>
        <w:rPr>
          <w:rFonts w:ascii="Arial Black" w:hAnsi="Arial Black"/>
          <w:b/>
          <w:sz w:val="24"/>
          <w:szCs w:val="24"/>
        </w:rPr>
      </w:pPr>
    </w:p>
    <w:p w14:paraId="4E3E1644" w14:textId="77777777" w:rsidR="00524648" w:rsidRDefault="00524648" w:rsidP="00F326E5">
      <w:pPr>
        <w:pStyle w:val="NoSpacing"/>
        <w:rPr>
          <w:rFonts w:ascii="Arial Black" w:hAnsi="Arial Black"/>
          <w:b/>
          <w:sz w:val="24"/>
          <w:szCs w:val="24"/>
        </w:rPr>
      </w:pPr>
    </w:p>
    <w:p w14:paraId="08C6050E" w14:textId="77777777" w:rsidR="00524648" w:rsidRDefault="00524648" w:rsidP="00F326E5">
      <w:pPr>
        <w:pStyle w:val="NoSpacing"/>
        <w:rPr>
          <w:rFonts w:ascii="Arial Black" w:hAnsi="Arial Black"/>
          <w:b/>
          <w:sz w:val="24"/>
          <w:szCs w:val="24"/>
        </w:rPr>
      </w:pPr>
    </w:p>
    <w:p w14:paraId="388BCCFD" w14:textId="6C515F68" w:rsidR="000C4268" w:rsidRPr="000C4268" w:rsidRDefault="000C4268" w:rsidP="00F326E5">
      <w:pPr>
        <w:pStyle w:val="NoSpacing"/>
        <w:rPr>
          <w:rFonts w:ascii="Arial Black" w:hAnsi="Arial Black"/>
          <w:b/>
          <w:sz w:val="24"/>
          <w:szCs w:val="24"/>
        </w:rPr>
      </w:pPr>
      <w:r w:rsidRPr="000C4268">
        <w:rPr>
          <w:rFonts w:ascii="Arial Black" w:hAnsi="Arial Black"/>
          <w:b/>
          <w:sz w:val="24"/>
          <w:szCs w:val="24"/>
        </w:rPr>
        <w:t>16-130</w:t>
      </w:r>
    </w:p>
    <w:p w14:paraId="21E7035D" w14:textId="77777777" w:rsidR="00635D7C" w:rsidRDefault="00635D7C" w:rsidP="00CF19EA">
      <w:pPr>
        <w:pStyle w:val="NoSpacing"/>
        <w:rPr>
          <w:rFonts w:ascii="Arial Black" w:hAnsi="Arial Black"/>
          <w:sz w:val="28"/>
          <w:szCs w:val="28"/>
        </w:rPr>
      </w:pPr>
    </w:p>
    <w:p w14:paraId="042BABBF" w14:textId="77777777" w:rsidR="00DB5954" w:rsidRPr="00DD4F1A" w:rsidRDefault="00DB5954" w:rsidP="00DB5954">
      <w:pPr>
        <w:rPr>
          <w:rFonts w:ascii="Arial Black" w:hAnsi="Arial Black"/>
          <w:b/>
          <w:sz w:val="28"/>
          <w:szCs w:val="28"/>
        </w:rPr>
      </w:pPr>
      <w:r>
        <w:rPr>
          <w:rFonts w:ascii="Arial Black" w:hAnsi="Arial Black"/>
          <w:b/>
          <w:sz w:val="28"/>
          <w:szCs w:val="28"/>
        </w:rPr>
        <w:t>IN: FIRE CHIEF CONV. FRAUD – FD STOP ONLINE SALE PROP.</w:t>
      </w:r>
    </w:p>
    <w:p w14:paraId="1A6864FA" w14:textId="77777777" w:rsidR="00DB5954" w:rsidRPr="004B4757" w:rsidRDefault="00DB5954" w:rsidP="00DB5954">
      <w:pPr>
        <w:rPr>
          <w:rFonts w:ascii="Times New Roman" w:hAnsi="Times New Roman"/>
          <w:sz w:val="24"/>
          <w:szCs w:val="24"/>
        </w:rPr>
      </w:pPr>
      <w:r w:rsidRPr="004B4757">
        <w:rPr>
          <w:rFonts w:ascii="Times New Roman" w:hAnsi="Times New Roman"/>
          <w:sz w:val="24"/>
          <w:szCs w:val="24"/>
        </w:rPr>
        <w:lastRenderedPageBreak/>
        <w:t xml:space="preserve">On July 18, 2025, in </w:t>
      </w:r>
      <w:r w:rsidRPr="004B4757">
        <w:rPr>
          <w:rFonts w:ascii="Times New Roman" w:hAnsi="Times New Roman"/>
          <w:sz w:val="24"/>
          <w:szCs w:val="24"/>
          <w:u w:val="single"/>
        </w:rPr>
        <w:t>Utica Township Volunteer Fire Fighters Association d/b/a New Chapel EMS, and Utica Township Fire Department Incorporated d/b/a New Chapel Fire &amp; EMS v. Board of Trustees, Utica Township Fire Protection District</w:t>
      </w:r>
      <w:r w:rsidRPr="004B4757">
        <w:rPr>
          <w:rFonts w:ascii="Times New Roman" w:hAnsi="Times New Roman"/>
          <w:sz w:val="24"/>
          <w:szCs w:val="24"/>
        </w:rPr>
        <w:t xml:space="preserve">, the </w:t>
      </w:r>
      <w:r w:rsidRPr="004B4757">
        <w:rPr>
          <w:rFonts w:ascii="Times New Roman" w:hAnsi="Times New Roman"/>
          <w:bCs/>
          <w:sz w:val="24"/>
          <w:szCs w:val="24"/>
        </w:rPr>
        <w:t>Court of Appeals of Indiana</w:t>
      </w:r>
      <w:r w:rsidRPr="004B4757">
        <w:rPr>
          <w:rFonts w:ascii="Times New Roman" w:hAnsi="Times New Roman"/>
          <w:sz w:val="24"/>
          <w:szCs w:val="24"/>
        </w:rPr>
        <w:t xml:space="preserve"> held (3 to 0) that trial court properly issued a preliminary injunction on behalf of the Board of Trustees of the Utica Township Fire Protection District, preventing the Association and  the Department from selling various items of Fire District property via online sites.  Jamey Noel was the CEO of both the Association and the Department, and a former Indiana State Trooper; in Oct. 2014 he was sentenced to 15 years in prison under plea agreement.  According to press report: “Additionally included in the plea deal is an agreement for Noel to pay back more than $3.1 million in public funds: $2,870,924 to the Utica Volunteer Firefighters Association; $61,190 to the Clark County Sheriff’s Department; $173,155 to the Indiana Department of Revenue; and $35,245 to the Indiana State Police… Using findings from a long-term Indiana State Police investigation, state prosecutors alleged Noel used millions of taxpayer dollars from the Utica Volunteer Firefighters Association and New Chapel EMS to buy cars, planes, vacations, clothing and other personal luxury purchases. Investigators said public funds were also used to pay for college tuition and child </w:t>
      </w:r>
      <w:proofErr w:type="gramStart"/>
      <w:r w:rsidRPr="004B4757">
        <w:rPr>
          <w:rFonts w:ascii="Times New Roman" w:hAnsi="Times New Roman"/>
          <w:sz w:val="24"/>
          <w:szCs w:val="24"/>
        </w:rPr>
        <w:t>support.”</w:t>
      </w:r>
      <w:proofErr w:type="gramEnd"/>
      <w:r w:rsidRPr="004B4757">
        <w:rPr>
          <w:rFonts w:ascii="Times New Roman" w:hAnsi="Times New Roman"/>
          <w:sz w:val="24"/>
          <w:szCs w:val="24"/>
        </w:rPr>
        <w:t xml:space="preserve"> </w:t>
      </w:r>
      <w:hyperlink r:id="rId2589" w:history="1">
        <w:r w:rsidRPr="004B4757">
          <w:rPr>
            <w:rStyle w:val="Hyperlink"/>
            <w:rFonts w:ascii="Times New Roman" w:hAnsi="Times New Roman"/>
            <w:sz w:val="24"/>
            <w:szCs w:val="24"/>
          </w:rPr>
          <w:t>https://indianacapitalchronicle.com/2024/10/14/former-indiana-sheriff-jamey-noel-sentenced-to-15-years-in-prison-as-part-of-plea-deal/</w:t>
        </w:r>
      </w:hyperlink>
      <w:r w:rsidRPr="004B4757">
        <w:rPr>
          <w:rFonts w:ascii="Times New Roman" w:hAnsi="Times New Roman"/>
          <w:sz w:val="24"/>
          <w:szCs w:val="24"/>
        </w:rPr>
        <w:t xml:space="preserve"> .  THE COURT HELD:  “New Chapel first asserts that the trial court lacked sufficient evidence of the value of the Fire District's property that New Chapel was attempting to misappropriate. But New Chapel is incorrect. The Fire District made it abundantly clear at the hearing that it had expended substantial sums on certain equipment, including nearly $700,000 on three vehicles alone. The record also makes New Chapel's ability to pay reasonable financial damages to the Fire District clear, including New Chapel's own admissions to the court. New Chapel's argument here is not supported by either the record or cogent </w:t>
      </w:r>
      <w:proofErr w:type="gramStart"/>
      <w:r w:rsidRPr="004B4757">
        <w:rPr>
          <w:rFonts w:ascii="Times New Roman" w:hAnsi="Times New Roman"/>
          <w:sz w:val="24"/>
          <w:szCs w:val="24"/>
        </w:rPr>
        <w:t>reasoning.”</w:t>
      </w:r>
      <w:proofErr w:type="gramEnd"/>
      <w:r w:rsidRPr="004B4757">
        <w:rPr>
          <w:rFonts w:ascii="Times New Roman" w:hAnsi="Times New Roman"/>
          <w:sz w:val="24"/>
          <w:szCs w:val="24"/>
        </w:rPr>
        <w:t xml:space="preserve"> </w:t>
      </w:r>
      <w:hyperlink r:id="rId2590" w:history="1">
        <w:r w:rsidRPr="004B4757">
          <w:rPr>
            <w:rStyle w:val="Hyperlink"/>
            <w:rFonts w:ascii="Times New Roman" w:hAnsi="Times New Roman"/>
            <w:sz w:val="24"/>
            <w:szCs w:val="24"/>
          </w:rPr>
          <w:t>https://cases.justia.com/indiana/court-of-appeals/2025-24a-pl-02646.pdf?ts=1752863306</w:t>
        </w:r>
      </w:hyperlink>
      <w:r w:rsidRPr="004B4757">
        <w:rPr>
          <w:rFonts w:ascii="Times New Roman" w:hAnsi="Times New Roman"/>
          <w:sz w:val="24"/>
          <w:szCs w:val="24"/>
        </w:rPr>
        <w:t xml:space="preserve"> </w:t>
      </w:r>
    </w:p>
    <w:p w14:paraId="17AFDDD8" w14:textId="77777777" w:rsidR="004B4757" w:rsidRPr="004B4757" w:rsidRDefault="004B4757" w:rsidP="004B4757">
      <w:pPr>
        <w:rPr>
          <w:rFonts w:ascii="Times New Roman" w:hAnsi="Times New Roman"/>
          <w:b/>
          <w:sz w:val="24"/>
          <w:szCs w:val="24"/>
        </w:rPr>
      </w:pPr>
      <w:r w:rsidRPr="004B4757">
        <w:rPr>
          <w:rFonts w:ascii="Times New Roman" w:hAnsi="Times New Roman"/>
          <w:b/>
          <w:sz w:val="24"/>
          <w:szCs w:val="24"/>
        </w:rPr>
        <w:t xml:space="preserve">Legal lesson learned:  Conduct annual financial audits. </w:t>
      </w:r>
    </w:p>
    <w:p w14:paraId="50DE6270" w14:textId="77777777" w:rsidR="004B4757" w:rsidRPr="004B4757" w:rsidRDefault="004B4757" w:rsidP="004B4757">
      <w:pPr>
        <w:ind w:left="720"/>
        <w:rPr>
          <w:rFonts w:ascii="Times New Roman" w:hAnsi="Times New Roman"/>
          <w:sz w:val="24"/>
          <w:szCs w:val="24"/>
        </w:rPr>
      </w:pPr>
      <w:r w:rsidRPr="004B4757">
        <w:rPr>
          <w:rFonts w:ascii="Times New Roman" w:hAnsi="Times New Roman"/>
          <w:sz w:val="24"/>
          <w:szCs w:val="24"/>
        </w:rPr>
        <w:t xml:space="preserve">Note:  Watch this July 28, 2025 – YouTube: “Utica Fire Department still reeling from Jamey Noel Scandal as debt, distrust remain.” </w:t>
      </w:r>
      <w:hyperlink r:id="rId2591" w:history="1">
        <w:r w:rsidRPr="004B4757">
          <w:rPr>
            <w:rStyle w:val="Hyperlink"/>
            <w:rFonts w:ascii="Times New Roman" w:hAnsi="Times New Roman"/>
            <w:sz w:val="24"/>
            <w:szCs w:val="24"/>
          </w:rPr>
          <w:t>https://www.youtube.com/watch?v=roZMeWZrCG4</w:t>
        </w:r>
      </w:hyperlink>
      <w:r w:rsidRPr="004B4757">
        <w:rPr>
          <w:rFonts w:ascii="Times New Roman" w:hAnsi="Times New Roman"/>
          <w:sz w:val="24"/>
          <w:szCs w:val="24"/>
        </w:rPr>
        <w:t xml:space="preserve">  </w:t>
      </w:r>
    </w:p>
    <w:p w14:paraId="61E33337" w14:textId="77777777" w:rsidR="000C4268" w:rsidRDefault="000C4268" w:rsidP="00075D20">
      <w:pPr>
        <w:pStyle w:val="NoSpacing"/>
        <w:rPr>
          <w:rFonts w:ascii="Arial Black" w:hAnsi="Arial Black"/>
          <w:sz w:val="24"/>
          <w:szCs w:val="24"/>
        </w:rPr>
      </w:pPr>
    </w:p>
    <w:p w14:paraId="081EEA86" w14:textId="254BA41A" w:rsidR="000F4170" w:rsidRDefault="000C4268" w:rsidP="00075D20">
      <w:pPr>
        <w:pStyle w:val="NoSpacing"/>
        <w:rPr>
          <w:rFonts w:ascii="Arial Black" w:hAnsi="Arial Black"/>
          <w:sz w:val="24"/>
          <w:szCs w:val="24"/>
        </w:rPr>
      </w:pPr>
      <w:r>
        <w:rPr>
          <w:rFonts w:ascii="Arial Black" w:hAnsi="Arial Black"/>
          <w:sz w:val="24"/>
          <w:szCs w:val="24"/>
        </w:rPr>
        <w:t>16-129</w:t>
      </w:r>
    </w:p>
    <w:p w14:paraId="123327BD" w14:textId="77777777" w:rsidR="00075D20" w:rsidRDefault="00075D20" w:rsidP="00FB04CF">
      <w:pPr>
        <w:pStyle w:val="NoSpacing"/>
        <w:rPr>
          <w:rFonts w:ascii="Arial Black" w:hAnsi="Arial Black"/>
          <w:sz w:val="24"/>
          <w:szCs w:val="24"/>
        </w:rPr>
      </w:pPr>
    </w:p>
    <w:p w14:paraId="7CEA9B98" w14:textId="77777777" w:rsidR="00680D61" w:rsidRPr="0078246B" w:rsidRDefault="00680D61" w:rsidP="00680D61">
      <w:pPr>
        <w:rPr>
          <w:rFonts w:ascii="Arial Black" w:hAnsi="Arial Black"/>
          <w:b/>
          <w:sz w:val="28"/>
          <w:szCs w:val="28"/>
        </w:rPr>
      </w:pPr>
      <w:r>
        <w:rPr>
          <w:rFonts w:ascii="Arial Black" w:hAnsi="Arial Black"/>
          <w:b/>
          <w:sz w:val="28"/>
          <w:szCs w:val="28"/>
        </w:rPr>
        <w:t>PA: FF / SEX 8</w:t>
      </w:r>
      <w:r w:rsidRPr="00CC082C">
        <w:rPr>
          <w:rFonts w:ascii="Arial Black" w:hAnsi="Arial Black"/>
          <w:b/>
          <w:sz w:val="28"/>
          <w:szCs w:val="28"/>
          <w:vertAlign w:val="superscript"/>
        </w:rPr>
        <w:t>th</w:t>
      </w:r>
      <w:r>
        <w:rPr>
          <w:rFonts w:ascii="Arial Black" w:hAnsi="Arial Black"/>
          <w:b/>
          <w:sz w:val="28"/>
          <w:szCs w:val="28"/>
        </w:rPr>
        <w:t xml:space="preserve"> GRADER - FED. &amp; PA JUDGES – STAY PRISON </w:t>
      </w:r>
    </w:p>
    <w:p w14:paraId="4F601A8B" w14:textId="77777777" w:rsidR="00680D61" w:rsidRPr="000C4268" w:rsidRDefault="00680D61" w:rsidP="00680D61">
      <w:pPr>
        <w:pStyle w:val="NoSpacing"/>
        <w:rPr>
          <w:rFonts w:ascii="Times New Roman" w:hAnsi="Times New Roman"/>
          <w:sz w:val="24"/>
          <w:szCs w:val="24"/>
        </w:rPr>
      </w:pPr>
      <w:r w:rsidRPr="000C4268">
        <w:rPr>
          <w:rFonts w:ascii="Times New Roman" w:hAnsi="Times New Roman"/>
          <w:sz w:val="24"/>
          <w:szCs w:val="24"/>
        </w:rPr>
        <w:t xml:space="preserve">On July 14, 2025, in </w:t>
      </w:r>
      <w:r w:rsidRPr="000C4268">
        <w:rPr>
          <w:rFonts w:ascii="Times New Roman" w:hAnsi="Times New Roman"/>
          <w:sz w:val="24"/>
          <w:szCs w:val="24"/>
          <w:u w:val="single"/>
        </w:rPr>
        <w:t>Christopher Anthony Taylor v. George M. Little</w:t>
      </w:r>
      <w:r w:rsidRPr="000C4268">
        <w:rPr>
          <w:rFonts w:ascii="Times New Roman" w:hAnsi="Times New Roman"/>
          <w:sz w:val="24"/>
          <w:szCs w:val="24"/>
        </w:rPr>
        <w:t xml:space="preserve">, U.S. District Court Judge Robert D. Mariani, United States District Court for Middle District of Pennsylvania, denied Mr. Taylor’s petition for a </w:t>
      </w:r>
      <w:proofErr w:type="spellStart"/>
      <w:r w:rsidRPr="000C4268">
        <w:rPr>
          <w:rFonts w:ascii="Times New Roman" w:hAnsi="Times New Roman"/>
          <w:sz w:val="24"/>
          <w:szCs w:val="24"/>
        </w:rPr>
        <w:t>write</w:t>
      </w:r>
      <w:proofErr w:type="spellEnd"/>
      <w:r w:rsidRPr="000C4268">
        <w:rPr>
          <w:rFonts w:ascii="Times New Roman" w:hAnsi="Times New Roman"/>
          <w:sz w:val="24"/>
          <w:szCs w:val="24"/>
        </w:rPr>
        <w:t xml:space="preserve"> of habeas corpus; he is currently serving an 8 – 16 -year prison sentence in Pennsylvania state prison for having sexual relations with 8</w:t>
      </w:r>
      <w:r w:rsidRPr="000C4268">
        <w:rPr>
          <w:rFonts w:ascii="Times New Roman" w:hAnsi="Times New Roman"/>
          <w:sz w:val="24"/>
          <w:szCs w:val="24"/>
          <w:vertAlign w:val="superscript"/>
        </w:rPr>
        <w:t>th</w:t>
      </w:r>
      <w:r w:rsidRPr="000C4268">
        <w:rPr>
          <w:rFonts w:ascii="Times New Roman" w:hAnsi="Times New Roman"/>
          <w:sz w:val="24"/>
          <w:szCs w:val="24"/>
        </w:rPr>
        <w:t xml:space="preserve"> grade cadet.  On March 6, 2013, following a jury trial, Taylor was convicted of one count each of statutory sexual assault [victim was 8</w:t>
      </w:r>
      <w:r w:rsidRPr="000C4268">
        <w:rPr>
          <w:rFonts w:ascii="Times New Roman" w:hAnsi="Times New Roman"/>
          <w:sz w:val="24"/>
          <w:szCs w:val="24"/>
          <w:vertAlign w:val="superscript"/>
        </w:rPr>
        <w:t>th</w:t>
      </w:r>
      <w:r w:rsidRPr="000C4268">
        <w:rPr>
          <w:rFonts w:ascii="Times New Roman" w:hAnsi="Times New Roman"/>
          <w:sz w:val="24"/>
          <w:szCs w:val="24"/>
        </w:rPr>
        <w:t xml:space="preserve"> grader, fire cadet, when started sexual relations], aggravated indecent assault—less than 16 years of age, indecent assault—less than 16 years of age, unlawful contact with a minor—sexual offenses, involuntary deviate sexual intercourse—less than 16 years of age, and corruption of minors.  A trial court later denied his petition for release, and on Nov. 22, 2021, the Superior Court of Pennsylvania likewise denied his release from prison, and on June 2, 2022, the Pennsylvania Supreme Court denied Taylor's petition for allowance of appeal.  THE COURT HELD:  “Further, under 28 U.S.C. § 2254(e)(1), a federal court is required to presume that a state court's findings of fact are correct. A petitioner may only rebut this presumption with clear and convincing evidence of the state court's error…. The Court will deny the § 2254 petition for writ of habeas corpus.”</w:t>
      </w:r>
    </w:p>
    <w:p w14:paraId="51DF41C2" w14:textId="34E717F2" w:rsidR="00680D61" w:rsidRPr="000C4268" w:rsidRDefault="00680D61" w:rsidP="00680D61">
      <w:pPr>
        <w:pStyle w:val="NoSpacing"/>
        <w:rPr>
          <w:rFonts w:ascii="Times New Roman" w:hAnsi="Times New Roman"/>
          <w:sz w:val="24"/>
          <w:szCs w:val="24"/>
        </w:rPr>
      </w:pPr>
      <w:hyperlink r:id="rId2592" w:history="1">
        <w:r w:rsidRPr="000C4268">
          <w:rPr>
            <w:rStyle w:val="Hyperlink"/>
            <w:rFonts w:ascii="Times New Roman" w:hAnsi="Times New Roman"/>
            <w:sz w:val="24"/>
            <w:szCs w:val="24"/>
          </w:rPr>
          <w:t>https://public.fastcase.com/jaEE2PXzRXmZ99jOLMt1IqmI6%2FwIkVosxkHnLXFS%2Fh3vCPBsdexRYsXhu3dcS77RM93%2Fb%2FlmP%2FEht28r%2FEOUuz%2BdIsVF1KqStdKclsmvBXo%3D?utm_medium=email&amp;</w:t>
        </w:r>
        <w:r w:rsidRPr="000C4268">
          <w:rPr>
            <w:rStyle w:val="Hyperlink"/>
            <w:rFonts w:ascii="Times New Roman" w:hAnsi="Times New Roman"/>
            <w:sz w:val="24"/>
            <w:szCs w:val="24"/>
          </w:rPr>
          <w:lastRenderedPageBreak/>
          <w:t>_hsenc=p2ANqtz-_Dn6dsk63fb2EPfPT1163Ju7zkOyiRsNHg_eV5kST7JoaZI-2AGCvSnryJrMriUeP5UHxNkfyzrDvNunm7WCvoOt678w&amp;_hsmi=226712652&amp;utm_content=226712652&amp;utm_source=hs_email</w:t>
        </w:r>
      </w:hyperlink>
    </w:p>
    <w:p w14:paraId="5B731448" w14:textId="77777777" w:rsidR="000C4268" w:rsidRDefault="000C4268" w:rsidP="000C4268">
      <w:pPr>
        <w:rPr>
          <w:b/>
        </w:rPr>
      </w:pPr>
      <w:r w:rsidRPr="000C4268">
        <w:rPr>
          <w:rFonts w:ascii="Times New Roman" w:hAnsi="Times New Roman"/>
          <w:b/>
          <w:sz w:val="24"/>
          <w:szCs w:val="24"/>
        </w:rPr>
        <w:t>Legal lesson learned: Sex with a minor led to prison, and judges in PA and U.S. District Court have denied his release</w:t>
      </w:r>
      <w:r>
        <w:rPr>
          <w:b/>
        </w:rPr>
        <w:t xml:space="preserve">. </w:t>
      </w:r>
    </w:p>
    <w:p w14:paraId="3592CBBE" w14:textId="77777777" w:rsidR="00075D20" w:rsidRDefault="00075D20" w:rsidP="00FB04CF">
      <w:pPr>
        <w:pStyle w:val="NoSpacing"/>
        <w:rPr>
          <w:rFonts w:ascii="Arial Black" w:hAnsi="Arial Black"/>
          <w:sz w:val="24"/>
          <w:szCs w:val="24"/>
        </w:rPr>
      </w:pPr>
    </w:p>
    <w:p w14:paraId="7FFBC2C6" w14:textId="77777777" w:rsidR="00075D20" w:rsidRDefault="00075D20" w:rsidP="00FB04CF">
      <w:pPr>
        <w:pStyle w:val="NoSpacing"/>
        <w:rPr>
          <w:rFonts w:ascii="Arial Black" w:hAnsi="Arial Black"/>
          <w:sz w:val="24"/>
          <w:szCs w:val="24"/>
        </w:rPr>
      </w:pPr>
    </w:p>
    <w:p w14:paraId="4B82F522" w14:textId="5B9F0E7D" w:rsidR="00FB04CF" w:rsidRDefault="00FB04CF" w:rsidP="00FB04CF">
      <w:pPr>
        <w:pStyle w:val="NoSpacing"/>
        <w:rPr>
          <w:rFonts w:ascii="Arial Black" w:hAnsi="Arial Black"/>
          <w:sz w:val="24"/>
          <w:szCs w:val="24"/>
        </w:rPr>
      </w:pPr>
      <w:r>
        <w:rPr>
          <w:rFonts w:ascii="Arial Black" w:hAnsi="Arial Black"/>
          <w:sz w:val="24"/>
          <w:szCs w:val="24"/>
        </w:rPr>
        <w:t>16-128</w:t>
      </w:r>
    </w:p>
    <w:p w14:paraId="10CE0ADA" w14:textId="77777777" w:rsidR="00FB04CF" w:rsidRDefault="00FB04CF" w:rsidP="00CF19EA">
      <w:pPr>
        <w:pStyle w:val="NoSpacing"/>
        <w:rPr>
          <w:rFonts w:ascii="Arial Black" w:hAnsi="Arial Black"/>
          <w:sz w:val="28"/>
          <w:szCs w:val="28"/>
        </w:rPr>
      </w:pPr>
    </w:p>
    <w:p w14:paraId="1F241C7E" w14:textId="52BBA427" w:rsidR="00444FB7" w:rsidRPr="005967C5" w:rsidRDefault="00444FB7" w:rsidP="00444FB7">
      <w:pPr>
        <w:pStyle w:val="NoSpacing"/>
        <w:rPr>
          <w:rFonts w:ascii="Arial Black" w:hAnsi="Arial Black"/>
          <w:sz w:val="28"/>
          <w:szCs w:val="28"/>
        </w:rPr>
      </w:pPr>
      <w:r w:rsidRPr="005967C5">
        <w:rPr>
          <w:rFonts w:ascii="Arial Black" w:hAnsi="Arial Black"/>
          <w:sz w:val="28"/>
          <w:szCs w:val="28"/>
        </w:rPr>
        <w:t xml:space="preserve">HI: INVEST OF 2 B/C – PAID SUSP. 6-MO - NOT “DISCIPLINE” </w:t>
      </w:r>
    </w:p>
    <w:p w14:paraId="4765D6C1" w14:textId="77777777" w:rsidR="00444FB7" w:rsidRPr="00393E4D" w:rsidRDefault="00444FB7" w:rsidP="00444FB7">
      <w:pPr>
        <w:pStyle w:val="NoSpacing"/>
        <w:rPr>
          <w:rFonts w:ascii="Times New Roman" w:hAnsi="Times New Roman"/>
          <w:sz w:val="24"/>
          <w:szCs w:val="24"/>
        </w:rPr>
      </w:pPr>
    </w:p>
    <w:p w14:paraId="28EC80CF" w14:textId="77777777" w:rsidR="00444FB7" w:rsidRPr="00393E4D" w:rsidRDefault="00444FB7" w:rsidP="00444FB7">
      <w:pPr>
        <w:pStyle w:val="NoSpacing"/>
        <w:rPr>
          <w:rFonts w:ascii="Times New Roman" w:hAnsi="Times New Roman"/>
          <w:sz w:val="24"/>
          <w:szCs w:val="24"/>
        </w:rPr>
      </w:pPr>
      <w:r w:rsidRPr="00393E4D">
        <w:rPr>
          <w:rFonts w:ascii="Times New Roman" w:hAnsi="Times New Roman"/>
          <w:sz w:val="24"/>
          <w:szCs w:val="24"/>
        </w:rPr>
        <w:t xml:space="preserve">On June 27, 2025, in </w:t>
      </w:r>
      <w:r w:rsidRPr="00393E4D">
        <w:rPr>
          <w:rFonts w:ascii="Times New Roman" w:hAnsi="Times New Roman"/>
          <w:sz w:val="24"/>
          <w:szCs w:val="24"/>
          <w:u w:val="single"/>
        </w:rPr>
        <w:t>Steve F. Loyola and Ty Aaron Madeiros v. County of Hawaii</w:t>
      </w:r>
      <w:r w:rsidRPr="00393E4D">
        <w:rPr>
          <w:rFonts w:ascii="Times New Roman" w:hAnsi="Times New Roman"/>
          <w:sz w:val="24"/>
          <w:szCs w:val="24"/>
        </w:rPr>
        <w:t xml:space="preserve">, the Intermediate Court of Appeals of Hawaii held (3 to 0; unpublished decision) that the trial court judge and the Merit Appeals Board of the County (MAP) properly found that the two Battalion Chiefs were never “disciplined” when they were suspended with pay from November 21, 2014 until June 2015 while retired Police Chief conducted an investigation of their allegations of unsatisfactory management by Fire Chief Darren J. Rosario.  The investigation was conducted by a retired Police Chief after the Battalion Chief made written allegations against the Fire Chief: (1) Medeiros on September 15, 2014 sent a memorandum to the Fire Chief, copying the Mayor and the Fire Commission, requesting the Fire Chief's resignation to protect HFD from ‘further damage’ and to protect the safety of HFD personnel. (2) Loyola on September 23, </w:t>
      </w:r>
      <w:proofErr w:type="gramStart"/>
      <w:r w:rsidRPr="00393E4D">
        <w:rPr>
          <w:rFonts w:ascii="Times New Roman" w:hAnsi="Times New Roman"/>
          <w:sz w:val="24"/>
          <w:szCs w:val="24"/>
        </w:rPr>
        <w:t>2014</w:t>
      </w:r>
      <w:proofErr w:type="gramEnd"/>
      <w:r w:rsidRPr="00393E4D">
        <w:rPr>
          <w:rFonts w:ascii="Times New Roman" w:hAnsi="Times New Roman"/>
          <w:sz w:val="24"/>
          <w:szCs w:val="24"/>
        </w:rPr>
        <w:t xml:space="preserve"> sent a ‘Letter of No Confidence’ in the Fire Chief to the Fire Commission requesting Fire Chief's removal for ‘unsatisfactory management.’  The retired Police Chief interviewed 23 </w:t>
      </w:r>
      <w:proofErr w:type="gramStart"/>
      <w:r w:rsidRPr="00393E4D">
        <w:rPr>
          <w:rFonts w:ascii="Times New Roman" w:hAnsi="Times New Roman"/>
          <w:sz w:val="24"/>
          <w:szCs w:val="24"/>
        </w:rPr>
        <w:t>people, and</w:t>
      </w:r>
      <w:proofErr w:type="gramEnd"/>
      <w:r w:rsidRPr="00393E4D">
        <w:rPr>
          <w:rFonts w:ascii="Times New Roman" w:hAnsi="Times New Roman"/>
          <w:sz w:val="24"/>
          <w:szCs w:val="24"/>
        </w:rPr>
        <w:t xml:space="preserve"> submitted a 106-page final report on June 9, 2015, concluding most of allegations against the Fire Chief were ‘speculative,’ ‘unsubstantiated’ and ‘uncorroborated’ and the two Battalion Chiefs had violated six FD regulations.  THE COURT HELD: “The record supports that the approximately six-months-long duration of Appellants' paid administrative leave, from November 21, 2014 to June 2015, while the investigation was being completed, was reasonable due to the volume of interviews conducted (23 witnesses), the large number of allegations (27 total) raised by Appellants, and the Fire Chief's accusations against the Appellants…. Appellants' ‘indefinite leave with </w:t>
      </w:r>
      <w:proofErr w:type="spellStart"/>
      <w:r w:rsidRPr="00393E4D">
        <w:rPr>
          <w:rFonts w:ascii="Times New Roman" w:hAnsi="Times New Roman"/>
          <w:sz w:val="24"/>
          <w:szCs w:val="24"/>
        </w:rPr>
        <w:t>pay"’challenge</w:t>
      </w:r>
      <w:proofErr w:type="spellEnd"/>
      <w:r w:rsidRPr="00393E4D">
        <w:rPr>
          <w:rFonts w:ascii="Times New Roman" w:hAnsi="Times New Roman"/>
          <w:sz w:val="24"/>
          <w:szCs w:val="24"/>
        </w:rPr>
        <w:t xml:space="preserve"> lacks merit…. We conclude the Circuit Court correctly affirmed the MAB's conclusion resolving the claim of entitlement to overtime while on paid administrative leave…. Appellants' ‘denial of overtime’ challenge lacks merit.” </w:t>
      </w:r>
    </w:p>
    <w:p w14:paraId="14163EBF" w14:textId="77777777" w:rsidR="00444FB7" w:rsidRPr="00393E4D" w:rsidRDefault="00444FB7" w:rsidP="00444FB7">
      <w:pPr>
        <w:pStyle w:val="NoSpacing"/>
        <w:rPr>
          <w:rFonts w:ascii="Times New Roman" w:hAnsi="Times New Roman"/>
          <w:sz w:val="24"/>
          <w:szCs w:val="24"/>
        </w:rPr>
      </w:pPr>
      <w:hyperlink r:id="rId2593" w:history="1">
        <w:r w:rsidRPr="00393E4D">
          <w:rPr>
            <w:rStyle w:val="Hyperlink"/>
            <w:rFonts w:ascii="Times New Roman" w:hAnsi="Times New Roman"/>
            <w:sz w:val="24"/>
            <w:szCs w:val="24"/>
          </w:rPr>
          <w:t>https://www.courts.state.hi.us/wp-content/uploads/2025/06/CAAP-22-0000641sdo.pdf</w:t>
        </w:r>
      </w:hyperlink>
      <w:r w:rsidRPr="00393E4D">
        <w:rPr>
          <w:rFonts w:ascii="Times New Roman" w:hAnsi="Times New Roman"/>
          <w:sz w:val="24"/>
          <w:szCs w:val="24"/>
        </w:rPr>
        <w:t xml:space="preserve"> </w:t>
      </w:r>
    </w:p>
    <w:p w14:paraId="3471EC0C" w14:textId="77777777" w:rsidR="00444FB7" w:rsidRPr="00393E4D" w:rsidRDefault="00444FB7" w:rsidP="00444FB7">
      <w:pPr>
        <w:pStyle w:val="NoSpacing"/>
        <w:rPr>
          <w:rFonts w:ascii="Times New Roman" w:hAnsi="Times New Roman"/>
          <w:sz w:val="24"/>
          <w:szCs w:val="24"/>
        </w:rPr>
      </w:pPr>
    </w:p>
    <w:p w14:paraId="00C50028" w14:textId="77777777" w:rsidR="00393E4D" w:rsidRDefault="00393E4D" w:rsidP="00393E4D">
      <w:pPr>
        <w:pStyle w:val="NoSpacing"/>
        <w:rPr>
          <w:rFonts w:ascii="Times New Roman" w:hAnsi="Times New Roman"/>
          <w:b/>
          <w:sz w:val="24"/>
          <w:szCs w:val="24"/>
        </w:rPr>
      </w:pPr>
      <w:r w:rsidRPr="00393E4D">
        <w:rPr>
          <w:rFonts w:ascii="Times New Roman" w:hAnsi="Times New Roman"/>
          <w:b/>
          <w:sz w:val="24"/>
          <w:szCs w:val="24"/>
        </w:rPr>
        <w:t xml:space="preserve">Legal lesson learned: Suspension without loss of pay is a reasonable management response to investigate serious allegations.  </w:t>
      </w:r>
    </w:p>
    <w:p w14:paraId="3E5B5B44" w14:textId="77777777" w:rsidR="00C305D0" w:rsidRDefault="00C305D0" w:rsidP="00393E4D">
      <w:pPr>
        <w:pStyle w:val="NoSpacing"/>
        <w:rPr>
          <w:rFonts w:ascii="Times New Roman" w:hAnsi="Times New Roman"/>
          <w:b/>
          <w:sz w:val="24"/>
          <w:szCs w:val="24"/>
        </w:rPr>
      </w:pPr>
    </w:p>
    <w:p w14:paraId="2A2803B5" w14:textId="77777777" w:rsidR="00C305D0" w:rsidRDefault="00C305D0" w:rsidP="00393E4D">
      <w:pPr>
        <w:pStyle w:val="NoSpacing"/>
        <w:rPr>
          <w:rFonts w:ascii="Times New Roman" w:hAnsi="Times New Roman"/>
          <w:b/>
          <w:sz w:val="24"/>
          <w:szCs w:val="24"/>
        </w:rPr>
      </w:pPr>
    </w:p>
    <w:p w14:paraId="5E569175" w14:textId="12BB879B" w:rsidR="00FB04CF" w:rsidRDefault="00FB04CF" w:rsidP="00FB04CF">
      <w:pPr>
        <w:pStyle w:val="NoSpacing"/>
        <w:rPr>
          <w:rFonts w:ascii="Arial Black" w:hAnsi="Arial Black"/>
          <w:sz w:val="24"/>
          <w:szCs w:val="24"/>
        </w:rPr>
      </w:pPr>
      <w:r>
        <w:rPr>
          <w:rFonts w:ascii="Arial Black" w:hAnsi="Arial Black"/>
          <w:sz w:val="24"/>
          <w:szCs w:val="24"/>
        </w:rPr>
        <w:t>16-127</w:t>
      </w:r>
    </w:p>
    <w:p w14:paraId="4A1E5FCF" w14:textId="77777777" w:rsidR="00FB04CF" w:rsidRDefault="00FB04CF" w:rsidP="00393E4D">
      <w:pPr>
        <w:pStyle w:val="NoSpacing"/>
        <w:rPr>
          <w:rFonts w:ascii="Times New Roman" w:hAnsi="Times New Roman"/>
          <w:b/>
          <w:sz w:val="24"/>
          <w:szCs w:val="24"/>
        </w:rPr>
      </w:pPr>
    </w:p>
    <w:p w14:paraId="7BCC0E89" w14:textId="77777777" w:rsidR="00FB04CF" w:rsidRDefault="00FB04CF" w:rsidP="00393E4D">
      <w:pPr>
        <w:pStyle w:val="NoSpacing"/>
        <w:rPr>
          <w:rFonts w:ascii="Times New Roman" w:hAnsi="Times New Roman"/>
          <w:b/>
          <w:sz w:val="24"/>
          <w:szCs w:val="24"/>
        </w:rPr>
      </w:pPr>
    </w:p>
    <w:p w14:paraId="18318FD4" w14:textId="77777777" w:rsidR="00C305D0" w:rsidRDefault="00C305D0" w:rsidP="00C305D0">
      <w:pPr>
        <w:rPr>
          <w:rFonts w:ascii="Arial Black" w:hAnsi="Arial Black"/>
          <w:b/>
          <w:sz w:val="28"/>
          <w:szCs w:val="28"/>
        </w:rPr>
      </w:pPr>
      <w:r>
        <w:rPr>
          <w:rFonts w:ascii="Arial Black" w:hAnsi="Arial Black"/>
          <w:b/>
          <w:sz w:val="28"/>
          <w:szCs w:val="28"/>
        </w:rPr>
        <w:t xml:space="preserve">DE: DEP. CHIEF – SEX 15-YR OLD CADET – 35-YRS IN PRISON </w:t>
      </w:r>
    </w:p>
    <w:p w14:paraId="40676EDD" w14:textId="77777777" w:rsidR="00C305D0" w:rsidRPr="00BF3522" w:rsidRDefault="00C305D0" w:rsidP="00C305D0">
      <w:pPr>
        <w:pStyle w:val="NoSpacing"/>
        <w:rPr>
          <w:rFonts w:ascii="Times New Roman" w:hAnsi="Times New Roman"/>
          <w:bCs/>
          <w:sz w:val="24"/>
          <w:szCs w:val="24"/>
        </w:rPr>
      </w:pPr>
      <w:r w:rsidRPr="00BF3522">
        <w:rPr>
          <w:rFonts w:ascii="Times New Roman" w:hAnsi="Times New Roman"/>
          <w:sz w:val="24"/>
          <w:szCs w:val="24"/>
        </w:rPr>
        <w:t xml:space="preserve">On June 24, 2025, in </w:t>
      </w:r>
      <w:r w:rsidRPr="00BF3522">
        <w:rPr>
          <w:rFonts w:ascii="Times New Roman" w:hAnsi="Times New Roman"/>
          <w:sz w:val="24"/>
          <w:szCs w:val="24"/>
          <w:u w:val="single"/>
        </w:rPr>
        <w:t>Dwayne L. Pearson v. State of Delaware</w:t>
      </w:r>
      <w:r w:rsidRPr="00BF3522">
        <w:rPr>
          <w:rFonts w:ascii="Times New Roman" w:hAnsi="Times New Roman"/>
          <w:sz w:val="24"/>
          <w:szCs w:val="24"/>
        </w:rPr>
        <w:t xml:space="preserve">, the Supreme Court of Delaware held (5 to 0) that the former Deputy Fire Chief was properly convicted of for sexual abuse of a child “by a person in a position of trust, authority or supervision.”  In May 2022, fifteen-year-old M.M. was voted in as a Mill Creek junior firefighter.  Dwayne Peasrson was Deputy Fire Chief of neighboring Belvedere Fire Department; the evidence showed he groomed her into having several sexual contacts in August 2022.  He was arrested in January 2023, indicted and then proceeded to trial on January 22, 2024, convicted by a jury and sentenced July 3, </w:t>
      </w:r>
      <w:proofErr w:type="gramStart"/>
      <w:r w:rsidRPr="00BF3522">
        <w:rPr>
          <w:rFonts w:ascii="Times New Roman" w:hAnsi="Times New Roman"/>
          <w:sz w:val="24"/>
          <w:szCs w:val="24"/>
        </w:rPr>
        <w:t>2024</w:t>
      </w:r>
      <w:proofErr w:type="gramEnd"/>
      <w:r w:rsidRPr="00BF3522">
        <w:rPr>
          <w:rFonts w:ascii="Times New Roman" w:hAnsi="Times New Roman"/>
          <w:sz w:val="24"/>
          <w:szCs w:val="24"/>
        </w:rPr>
        <w:t xml:space="preserve"> to 35 </w:t>
      </w:r>
      <w:r w:rsidRPr="00BF3522">
        <w:rPr>
          <w:rFonts w:ascii="Times New Roman" w:hAnsi="Times New Roman"/>
          <w:sz w:val="24"/>
          <w:szCs w:val="24"/>
        </w:rPr>
        <w:lastRenderedPageBreak/>
        <w:t xml:space="preserve">years in prison.  THE COURT HELD: “A reasonable jury could find that Pearson stood in a ‘position of trust, authority or supervision’ over M.M. under subsection (e)(2) of the statute.” </w:t>
      </w:r>
    </w:p>
    <w:p w14:paraId="42F3A5EF" w14:textId="5B14ECA0" w:rsidR="00C305D0" w:rsidRPr="00BF3522" w:rsidRDefault="00C305D0" w:rsidP="00C305D0">
      <w:pPr>
        <w:pStyle w:val="NoSpacing"/>
        <w:rPr>
          <w:rFonts w:ascii="Times New Roman" w:hAnsi="Times New Roman"/>
          <w:sz w:val="24"/>
          <w:szCs w:val="24"/>
        </w:rPr>
      </w:pPr>
      <w:hyperlink r:id="rId2594" w:history="1">
        <w:r w:rsidRPr="00BF3522">
          <w:rPr>
            <w:rStyle w:val="Hyperlink"/>
            <w:rFonts w:ascii="Times New Roman" w:hAnsi="Times New Roman"/>
            <w:sz w:val="24"/>
            <w:szCs w:val="24"/>
          </w:rPr>
          <w:t>https://courts.delaware.gov/Opinions/Download.aspx?id=381340</w:t>
        </w:r>
      </w:hyperlink>
      <w:r w:rsidRPr="00BF3522">
        <w:rPr>
          <w:rFonts w:ascii="Times New Roman" w:hAnsi="Times New Roman"/>
          <w:sz w:val="24"/>
          <w:szCs w:val="24"/>
        </w:rPr>
        <w:t xml:space="preserve">  </w:t>
      </w:r>
    </w:p>
    <w:p w14:paraId="1D24BF21" w14:textId="77777777" w:rsidR="00BF3522" w:rsidRPr="00BF3522" w:rsidRDefault="00BF3522" w:rsidP="00C305D0">
      <w:pPr>
        <w:pStyle w:val="NoSpacing"/>
        <w:rPr>
          <w:rFonts w:ascii="Times New Roman" w:hAnsi="Times New Roman"/>
          <w:sz w:val="24"/>
          <w:szCs w:val="24"/>
        </w:rPr>
      </w:pPr>
    </w:p>
    <w:p w14:paraId="4695CDA7" w14:textId="77777777" w:rsidR="00BF3522" w:rsidRPr="00BF3522" w:rsidRDefault="00BF3522" w:rsidP="00BF3522">
      <w:pPr>
        <w:pStyle w:val="NoSpacing"/>
        <w:rPr>
          <w:rFonts w:ascii="Times New Roman" w:hAnsi="Times New Roman"/>
          <w:b/>
          <w:bCs/>
          <w:sz w:val="24"/>
          <w:szCs w:val="24"/>
        </w:rPr>
      </w:pPr>
      <w:r w:rsidRPr="00BF3522">
        <w:rPr>
          <w:rFonts w:ascii="Times New Roman" w:hAnsi="Times New Roman"/>
          <w:b/>
          <w:sz w:val="24"/>
          <w:szCs w:val="24"/>
        </w:rPr>
        <w:t xml:space="preserve">Legal lesson learned: Former Deputy Chief now in prison and has exhausted all his state court appeals. </w:t>
      </w:r>
    </w:p>
    <w:p w14:paraId="7BFF4BDE" w14:textId="77777777" w:rsidR="00BF3522" w:rsidRPr="00BF3522" w:rsidRDefault="00BF3522" w:rsidP="00BF3522">
      <w:pPr>
        <w:pStyle w:val="NoSpacing"/>
        <w:rPr>
          <w:rFonts w:ascii="Times New Roman" w:hAnsi="Times New Roman"/>
          <w:b/>
          <w:bCs/>
          <w:sz w:val="24"/>
          <w:szCs w:val="24"/>
        </w:rPr>
      </w:pPr>
      <w:r w:rsidRPr="00BF3522">
        <w:rPr>
          <w:rFonts w:ascii="Times New Roman" w:hAnsi="Times New Roman"/>
          <w:b/>
          <w:sz w:val="24"/>
          <w:szCs w:val="24"/>
        </w:rPr>
        <w:tab/>
      </w:r>
    </w:p>
    <w:p w14:paraId="0C0E7970" w14:textId="77777777" w:rsidR="00BF3522" w:rsidRPr="00BF3522" w:rsidRDefault="00BF3522" w:rsidP="00BF3522">
      <w:pPr>
        <w:pStyle w:val="NoSpacing"/>
        <w:rPr>
          <w:rFonts w:ascii="Times New Roman" w:hAnsi="Times New Roman"/>
          <w:sz w:val="24"/>
          <w:szCs w:val="24"/>
        </w:rPr>
      </w:pPr>
      <w:r w:rsidRPr="00BF3522">
        <w:rPr>
          <w:rFonts w:ascii="Times New Roman" w:hAnsi="Times New Roman"/>
          <w:b/>
          <w:sz w:val="24"/>
          <w:szCs w:val="24"/>
        </w:rPr>
        <w:tab/>
      </w:r>
      <w:r w:rsidRPr="00BF3522">
        <w:rPr>
          <w:rFonts w:ascii="Times New Roman" w:hAnsi="Times New Roman"/>
          <w:sz w:val="24"/>
          <w:szCs w:val="24"/>
        </w:rPr>
        <w:t xml:space="preserve">Note: See this article, “Former Deputy Fire Chief Arrested for Rape” (Jan. 13, 2023). </w:t>
      </w:r>
    </w:p>
    <w:p w14:paraId="225585D8" w14:textId="77777777" w:rsidR="00BF3522" w:rsidRPr="00BF3522" w:rsidRDefault="00BF3522" w:rsidP="00BF3522">
      <w:pPr>
        <w:ind w:firstLine="720"/>
        <w:rPr>
          <w:rFonts w:ascii="Times New Roman" w:hAnsi="Times New Roman"/>
          <w:b/>
          <w:sz w:val="24"/>
          <w:szCs w:val="24"/>
        </w:rPr>
      </w:pPr>
      <w:hyperlink r:id="rId2595" w:history="1">
        <w:r w:rsidRPr="00BF3522">
          <w:rPr>
            <w:rStyle w:val="Hyperlink"/>
            <w:rFonts w:ascii="Times New Roman" w:hAnsi="Times New Roman"/>
            <w:sz w:val="24"/>
            <w:szCs w:val="24"/>
          </w:rPr>
          <w:t>https://dsp.delaware.gov/2023/01/13/former-deputy-fire-chief-arrested-for-rape/</w:t>
        </w:r>
      </w:hyperlink>
      <w:r w:rsidRPr="00BF3522">
        <w:rPr>
          <w:rFonts w:ascii="Times New Roman" w:hAnsi="Times New Roman"/>
          <w:b/>
          <w:sz w:val="24"/>
          <w:szCs w:val="24"/>
        </w:rPr>
        <w:t xml:space="preserve"> </w:t>
      </w:r>
    </w:p>
    <w:p w14:paraId="45FC863C" w14:textId="77777777" w:rsidR="00BF3522" w:rsidRPr="00BF3522" w:rsidRDefault="00BF3522" w:rsidP="00BF3522">
      <w:pPr>
        <w:ind w:left="720"/>
        <w:rPr>
          <w:rFonts w:ascii="Times New Roman" w:hAnsi="Times New Roman"/>
          <w:b/>
          <w:sz w:val="24"/>
          <w:szCs w:val="24"/>
        </w:rPr>
      </w:pPr>
      <w:r w:rsidRPr="00BF3522">
        <w:rPr>
          <w:rFonts w:ascii="Times New Roman" w:hAnsi="Times New Roman"/>
          <w:sz w:val="24"/>
          <w:szCs w:val="24"/>
        </w:rPr>
        <w:t xml:space="preserve">This is his second appeal (and our second review of this case); on June 10, 2024, his appeal to the Superior Court of Delaware was denied. </w:t>
      </w:r>
      <w:hyperlink r:id="rId2596" w:history="1">
        <w:r w:rsidRPr="00BF3522">
          <w:rPr>
            <w:rStyle w:val="Hyperlink"/>
            <w:rFonts w:ascii="Times New Roman" w:hAnsi="Times New Roman"/>
            <w:sz w:val="24"/>
            <w:szCs w:val="24"/>
          </w:rPr>
          <w:t>https://cases.justia.com/delaware/superior-court/2024-2301003924.pdf?ts=1718040749</w:t>
        </w:r>
      </w:hyperlink>
    </w:p>
    <w:p w14:paraId="176631EB" w14:textId="77777777" w:rsidR="00BF3522" w:rsidRPr="00393E4D" w:rsidRDefault="00BF3522" w:rsidP="00C305D0">
      <w:pPr>
        <w:pStyle w:val="NoSpacing"/>
        <w:rPr>
          <w:rFonts w:ascii="Times New Roman" w:hAnsi="Times New Roman"/>
          <w:b/>
          <w:bCs/>
          <w:sz w:val="24"/>
          <w:szCs w:val="24"/>
        </w:rPr>
      </w:pPr>
    </w:p>
    <w:p w14:paraId="769D8FA5" w14:textId="3FDAA4E1" w:rsidR="00FB04CF" w:rsidRDefault="00FB04CF" w:rsidP="00FB04CF">
      <w:pPr>
        <w:pStyle w:val="NoSpacing"/>
        <w:rPr>
          <w:rFonts w:ascii="Arial Black" w:hAnsi="Arial Black"/>
          <w:sz w:val="24"/>
          <w:szCs w:val="24"/>
        </w:rPr>
      </w:pPr>
      <w:r>
        <w:rPr>
          <w:rFonts w:ascii="Arial Black" w:hAnsi="Arial Black"/>
          <w:sz w:val="24"/>
          <w:szCs w:val="24"/>
        </w:rPr>
        <w:t>16-126</w:t>
      </w:r>
    </w:p>
    <w:p w14:paraId="20A3A9EB" w14:textId="77777777" w:rsidR="00393E4D" w:rsidRDefault="00393E4D" w:rsidP="00393E4D">
      <w:pPr>
        <w:pStyle w:val="NoSpacing"/>
        <w:ind w:left="720"/>
      </w:pPr>
    </w:p>
    <w:p w14:paraId="39CFDEA7" w14:textId="77777777" w:rsidR="00FB04CF" w:rsidRDefault="00FB04CF" w:rsidP="00393E4D">
      <w:pPr>
        <w:pStyle w:val="NoSpacing"/>
        <w:ind w:left="720"/>
      </w:pPr>
    </w:p>
    <w:p w14:paraId="6F25DC5E" w14:textId="77777777" w:rsidR="004160C7" w:rsidRDefault="004160C7" w:rsidP="004160C7">
      <w:pPr>
        <w:rPr>
          <w:rFonts w:ascii="Arial Black" w:hAnsi="Arial Black"/>
          <w:b/>
          <w:sz w:val="28"/>
          <w:szCs w:val="28"/>
        </w:rPr>
      </w:pPr>
      <w:r>
        <w:rPr>
          <w:rFonts w:ascii="Arial Black" w:hAnsi="Arial Black"/>
          <w:b/>
          <w:sz w:val="28"/>
          <w:szCs w:val="28"/>
        </w:rPr>
        <w:t>TX: CHIEF FIRED – DIDN’T TELL CITY / TESTIFYING FF CASE</w:t>
      </w:r>
    </w:p>
    <w:p w14:paraId="1A83FD55" w14:textId="77777777" w:rsidR="004160C7" w:rsidRPr="000174EF" w:rsidRDefault="004160C7" w:rsidP="004160C7">
      <w:pPr>
        <w:pStyle w:val="NoSpacing"/>
        <w:rPr>
          <w:rFonts w:ascii="Times New Roman" w:hAnsi="Times New Roman"/>
          <w:sz w:val="24"/>
          <w:szCs w:val="24"/>
        </w:rPr>
      </w:pPr>
      <w:r w:rsidRPr="000174EF">
        <w:rPr>
          <w:rFonts w:ascii="Times New Roman" w:hAnsi="Times New Roman"/>
          <w:sz w:val="24"/>
          <w:szCs w:val="24"/>
        </w:rPr>
        <w:t xml:space="preserve">On June 16, 2025, in </w:t>
      </w:r>
      <w:r w:rsidRPr="000174EF">
        <w:rPr>
          <w:rFonts w:ascii="Times New Roman" w:hAnsi="Times New Roman"/>
          <w:sz w:val="24"/>
          <w:szCs w:val="24"/>
          <w:u w:val="single"/>
        </w:rPr>
        <w:t>Mark Hamilton v. The City of Wilmer, Texas, et al</w:t>
      </w:r>
      <w:r w:rsidRPr="000174EF">
        <w:rPr>
          <w:rFonts w:ascii="Times New Roman" w:hAnsi="Times New Roman"/>
          <w:sz w:val="24"/>
          <w:szCs w:val="24"/>
        </w:rPr>
        <w:t xml:space="preserve">., the U.S. Court of Appeals for the Fifth Circuit (New Orleans) held (3 to 0) that the trial court properly granted the City’s motion for summary judgment.  Fire Chief did not have First Amendment right to testify in a firefighter’s criminal probation revocation hearing. Failure to get prior permission by City Administrator, or City Attorney, was serious breach of “maintaining proper discipline in public service.” The Chief’s testimony “could have been seen as an endorsement on behalf of the Fire Department rather than merely his personal opinion.”  In 2019 the firefighter was arrested for putting recording equipment in the bathroom of the fire station (he claimed it was to find out who stole items from his locker).  He was eventually returned to duty, and on probation in criminal case.  The Fire Chief received a subpoena on June 22, 2022, for a hearing the next day – but he didn’t tell City Administrator or City Attorney. The firefighter told him it was simply about getting new legal counsel. The June 23, </w:t>
      </w:r>
      <w:proofErr w:type="gramStart"/>
      <w:r w:rsidRPr="000174EF">
        <w:rPr>
          <w:rFonts w:ascii="Times New Roman" w:hAnsi="Times New Roman"/>
          <w:sz w:val="24"/>
          <w:szCs w:val="24"/>
        </w:rPr>
        <w:t>2022</w:t>
      </w:r>
      <w:proofErr w:type="gramEnd"/>
      <w:r w:rsidRPr="000174EF">
        <w:rPr>
          <w:rFonts w:ascii="Times New Roman" w:hAnsi="Times New Roman"/>
          <w:sz w:val="24"/>
          <w:szCs w:val="24"/>
        </w:rPr>
        <w:t xml:space="preserve"> hearing was </w:t>
      </w:r>
      <w:proofErr w:type="gramStart"/>
      <w:r w:rsidRPr="000174EF">
        <w:rPr>
          <w:rFonts w:ascii="Times New Roman" w:hAnsi="Times New Roman"/>
          <w:sz w:val="24"/>
          <w:szCs w:val="24"/>
        </w:rPr>
        <w:t>actually about</w:t>
      </w:r>
      <w:proofErr w:type="gramEnd"/>
      <w:r w:rsidRPr="000174EF">
        <w:rPr>
          <w:rFonts w:ascii="Times New Roman" w:hAnsi="Times New Roman"/>
          <w:sz w:val="24"/>
          <w:szCs w:val="24"/>
        </w:rPr>
        <w:t xml:space="preserve"> County Prosecutor seeking to revoke probation because the firefighter had “visited adult sexually oriented websites on his phone.”  At the conclusion of the hearing the Chief was “shocked” when judge revoked the firefighter’s probation and ordered him into custody to serve three months (270 days) in prison.  The firefighter resigned that day.  The Fire Chief didn’t inform City </w:t>
      </w:r>
      <w:proofErr w:type="gramStart"/>
      <w:r w:rsidRPr="000174EF">
        <w:rPr>
          <w:rFonts w:ascii="Times New Roman" w:hAnsi="Times New Roman"/>
          <w:sz w:val="24"/>
          <w:szCs w:val="24"/>
        </w:rPr>
        <w:t>Administrator</w:t>
      </w:r>
      <w:proofErr w:type="gramEnd"/>
      <w:r w:rsidRPr="000174EF">
        <w:rPr>
          <w:rFonts w:ascii="Times New Roman" w:hAnsi="Times New Roman"/>
          <w:sz w:val="24"/>
          <w:szCs w:val="24"/>
        </w:rPr>
        <w:t xml:space="preserve"> didn’t immediately inform the City Administrator about the hearing results or the resignation; he waited until the following afternoon.  THE COURT HELD: “The issue here is whether Hamilton has stated a claim that he was fired in retaliation for protected First Amendment activity. We find that he has not, so we AFFIRM the decision of the district court.”</w:t>
      </w:r>
    </w:p>
    <w:p w14:paraId="29885B5E" w14:textId="4D927D67" w:rsidR="004160C7" w:rsidRPr="000174EF" w:rsidRDefault="00910AD4" w:rsidP="00A359DC">
      <w:pPr>
        <w:pStyle w:val="NoSpacing"/>
        <w:rPr>
          <w:rFonts w:ascii="Times New Roman" w:hAnsi="Times New Roman"/>
          <w:sz w:val="24"/>
          <w:szCs w:val="24"/>
        </w:rPr>
      </w:pPr>
      <w:hyperlink r:id="rId2597" w:history="1">
        <w:r w:rsidRPr="000174EF">
          <w:rPr>
            <w:rStyle w:val="Hyperlink"/>
            <w:rFonts w:ascii="Times New Roman" w:hAnsi="Times New Roman"/>
            <w:sz w:val="24"/>
            <w:szCs w:val="24"/>
          </w:rPr>
          <w:t>https://www.ca5.uscourts.gov/opinions/pub/23/23-10881-CV0.pdf</w:t>
        </w:r>
      </w:hyperlink>
    </w:p>
    <w:p w14:paraId="514F0559" w14:textId="77777777" w:rsidR="00635D7C" w:rsidRPr="000174EF" w:rsidRDefault="00635D7C" w:rsidP="00CF19EA">
      <w:pPr>
        <w:pStyle w:val="NoSpacing"/>
        <w:rPr>
          <w:rFonts w:ascii="Times New Roman" w:hAnsi="Times New Roman"/>
          <w:sz w:val="24"/>
          <w:szCs w:val="24"/>
        </w:rPr>
      </w:pPr>
    </w:p>
    <w:p w14:paraId="1CDF3564" w14:textId="77777777" w:rsidR="000174EF" w:rsidRPr="000174EF" w:rsidRDefault="000174EF" w:rsidP="000174EF">
      <w:pPr>
        <w:pStyle w:val="NoSpacing"/>
        <w:rPr>
          <w:rFonts w:ascii="Times New Roman" w:hAnsi="Times New Roman"/>
          <w:sz w:val="24"/>
          <w:szCs w:val="24"/>
        </w:rPr>
      </w:pPr>
      <w:r w:rsidRPr="000174EF">
        <w:rPr>
          <w:rFonts w:ascii="Times New Roman" w:hAnsi="Times New Roman"/>
          <w:b/>
          <w:sz w:val="24"/>
          <w:szCs w:val="24"/>
        </w:rPr>
        <w:t xml:space="preserve">Legal lesson learned: If subpoenaed to testify about a firefighter in a criminal </w:t>
      </w:r>
      <w:r w:rsidRPr="000174EF">
        <w:rPr>
          <w:rFonts w:ascii="Times New Roman" w:hAnsi="Times New Roman"/>
          <w:b/>
          <w:bCs/>
          <w:sz w:val="24"/>
          <w:szCs w:val="24"/>
        </w:rPr>
        <w:t xml:space="preserve">or other court </w:t>
      </w:r>
      <w:r w:rsidRPr="000174EF">
        <w:rPr>
          <w:rFonts w:ascii="Times New Roman" w:hAnsi="Times New Roman"/>
          <w:b/>
          <w:sz w:val="24"/>
          <w:szCs w:val="24"/>
        </w:rPr>
        <w:t xml:space="preserve">proceeding, inform </w:t>
      </w:r>
      <w:r w:rsidRPr="000174EF">
        <w:rPr>
          <w:rFonts w:ascii="Times New Roman" w:hAnsi="Times New Roman"/>
          <w:b/>
          <w:bCs/>
          <w:sz w:val="24"/>
          <w:szCs w:val="24"/>
        </w:rPr>
        <w:t xml:space="preserve">Manager and </w:t>
      </w:r>
      <w:r w:rsidRPr="000174EF">
        <w:rPr>
          <w:rFonts w:ascii="Times New Roman" w:hAnsi="Times New Roman"/>
          <w:b/>
          <w:sz w:val="24"/>
          <w:szCs w:val="24"/>
        </w:rPr>
        <w:t xml:space="preserve">Legal Counsel and follow their advice.  </w:t>
      </w:r>
    </w:p>
    <w:p w14:paraId="0DDE1BDA" w14:textId="77777777" w:rsidR="000174EF" w:rsidRPr="000174EF" w:rsidRDefault="000174EF" w:rsidP="00CF19EA">
      <w:pPr>
        <w:pStyle w:val="NoSpacing"/>
        <w:rPr>
          <w:rFonts w:ascii="Times New Roman" w:hAnsi="Times New Roman"/>
          <w:sz w:val="24"/>
          <w:szCs w:val="24"/>
        </w:rPr>
      </w:pPr>
    </w:p>
    <w:p w14:paraId="3E3F347F" w14:textId="77777777" w:rsidR="00635D7C" w:rsidRDefault="00635D7C" w:rsidP="00CF19EA">
      <w:pPr>
        <w:pStyle w:val="NoSpacing"/>
        <w:rPr>
          <w:rFonts w:ascii="Arial Black" w:hAnsi="Arial Black"/>
          <w:sz w:val="28"/>
          <w:szCs w:val="28"/>
        </w:rPr>
      </w:pPr>
    </w:p>
    <w:p w14:paraId="29782655" w14:textId="3B2A3EE3" w:rsidR="00FB04CF" w:rsidRDefault="00FB04CF" w:rsidP="00FB04CF">
      <w:pPr>
        <w:pStyle w:val="NoSpacing"/>
        <w:rPr>
          <w:rFonts w:ascii="Arial Black" w:hAnsi="Arial Black"/>
          <w:sz w:val="24"/>
          <w:szCs w:val="24"/>
        </w:rPr>
      </w:pPr>
      <w:r>
        <w:rPr>
          <w:rFonts w:ascii="Arial Black" w:hAnsi="Arial Black"/>
          <w:sz w:val="24"/>
          <w:szCs w:val="24"/>
        </w:rPr>
        <w:t>16-125</w:t>
      </w:r>
    </w:p>
    <w:p w14:paraId="014AB115" w14:textId="77777777" w:rsidR="00FB04CF" w:rsidRDefault="00FB04CF" w:rsidP="00E631C5">
      <w:pPr>
        <w:pStyle w:val="NoSpacing"/>
        <w:rPr>
          <w:rFonts w:ascii="Arial Black" w:hAnsi="Arial Black"/>
          <w:sz w:val="28"/>
          <w:szCs w:val="28"/>
        </w:rPr>
      </w:pPr>
    </w:p>
    <w:p w14:paraId="2539C951" w14:textId="0F9A3CFE" w:rsidR="00E631C5" w:rsidRDefault="00E631C5" w:rsidP="00E631C5">
      <w:pPr>
        <w:pStyle w:val="NoSpacing"/>
        <w:rPr>
          <w:rFonts w:ascii="Arial Black" w:hAnsi="Arial Black"/>
          <w:sz w:val="28"/>
          <w:szCs w:val="28"/>
        </w:rPr>
      </w:pPr>
      <w:r>
        <w:rPr>
          <w:rFonts w:ascii="Arial Black" w:hAnsi="Arial Black"/>
          <w:sz w:val="28"/>
          <w:szCs w:val="28"/>
        </w:rPr>
        <w:t xml:space="preserve">NJ: EMS CHIEF / OFFICE ROMANCE </w:t>
      </w:r>
      <w:r w:rsidR="009B1B97">
        <w:rPr>
          <w:rFonts w:ascii="Arial Black" w:hAnsi="Arial Black"/>
          <w:sz w:val="28"/>
          <w:szCs w:val="28"/>
        </w:rPr>
        <w:t xml:space="preserve">WITH </w:t>
      </w:r>
      <w:r>
        <w:rPr>
          <w:rFonts w:ascii="Arial Black" w:hAnsi="Arial Black"/>
          <w:sz w:val="28"/>
          <w:szCs w:val="28"/>
        </w:rPr>
        <w:t>SUBORDINATE – FIRED</w:t>
      </w:r>
    </w:p>
    <w:p w14:paraId="447C31A6" w14:textId="77777777" w:rsidR="009B1B97" w:rsidRPr="00FB04CF" w:rsidRDefault="009B1B97" w:rsidP="009B1B97">
      <w:pPr>
        <w:pStyle w:val="NoSpacing"/>
        <w:rPr>
          <w:rFonts w:ascii="Times New Roman" w:hAnsi="Times New Roman"/>
          <w:sz w:val="24"/>
          <w:szCs w:val="24"/>
        </w:rPr>
      </w:pPr>
      <w:hyperlink r:id="rId2598" w:history="1">
        <w:r w:rsidRPr="00FB04CF">
          <w:rPr>
            <w:rStyle w:val="Hyperlink"/>
            <w:rFonts w:ascii="Times New Roman" w:hAnsi="Times New Roman"/>
            <w:sz w:val="24"/>
            <w:szCs w:val="24"/>
          </w:rPr>
          <w:t>https://www.njcourts.gov/system/files/court-opinions/2025/a1587-23.pdf</w:t>
        </w:r>
      </w:hyperlink>
      <w:r w:rsidRPr="00FB04CF">
        <w:rPr>
          <w:rFonts w:ascii="Times New Roman" w:hAnsi="Times New Roman"/>
          <w:sz w:val="24"/>
          <w:szCs w:val="24"/>
        </w:rPr>
        <w:t xml:space="preserve"> </w:t>
      </w:r>
    </w:p>
    <w:p w14:paraId="65FD60EC" w14:textId="77777777" w:rsidR="009B1B97" w:rsidRDefault="009B1B97" w:rsidP="00E631C5">
      <w:pPr>
        <w:pStyle w:val="NoSpacing"/>
        <w:rPr>
          <w:rFonts w:ascii="Arial Black" w:hAnsi="Arial Black"/>
          <w:sz w:val="28"/>
          <w:szCs w:val="28"/>
        </w:rPr>
      </w:pPr>
    </w:p>
    <w:p w14:paraId="34ECEAE3" w14:textId="77777777" w:rsidR="00E631C5" w:rsidRPr="00FB04CF" w:rsidRDefault="00E631C5" w:rsidP="00E631C5">
      <w:pPr>
        <w:pStyle w:val="NoSpacing"/>
        <w:rPr>
          <w:rFonts w:ascii="Times New Roman" w:hAnsi="Times New Roman"/>
          <w:sz w:val="24"/>
          <w:szCs w:val="24"/>
        </w:rPr>
      </w:pPr>
      <w:r w:rsidRPr="00FB04CF">
        <w:rPr>
          <w:rFonts w:ascii="Times New Roman" w:hAnsi="Times New Roman"/>
          <w:sz w:val="24"/>
          <w:szCs w:val="24"/>
        </w:rPr>
        <w:lastRenderedPageBreak/>
        <w:t xml:space="preserve">On May 20, 2025, </w:t>
      </w:r>
      <w:r w:rsidRPr="00FB04CF">
        <w:rPr>
          <w:rFonts w:ascii="Times New Roman" w:hAnsi="Times New Roman"/>
          <w:sz w:val="24"/>
          <w:szCs w:val="24"/>
          <w:u w:val="single"/>
        </w:rPr>
        <w:t xml:space="preserve">In </w:t>
      </w:r>
      <w:proofErr w:type="gramStart"/>
      <w:r w:rsidRPr="00FB04CF">
        <w:rPr>
          <w:rFonts w:ascii="Times New Roman" w:hAnsi="Times New Roman"/>
          <w:sz w:val="24"/>
          <w:szCs w:val="24"/>
          <w:u w:val="single"/>
        </w:rPr>
        <w:t>The</w:t>
      </w:r>
      <w:proofErr w:type="gramEnd"/>
      <w:r w:rsidRPr="00FB04CF">
        <w:rPr>
          <w:rFonts w:ascii="Times New Roman" w:hAnsi="Times New Roman"/>
          <w:sz w:val="24"/>
          <w:szCs w:val="24"/>
          <w:u w:val="single"/>
        </w:rPr>
        <w:t xml:space="preserve"> Matter </w:t>
      </w:r>
      <w:proofErr w:type="gramStart"/>
      <w:r w:rsidRPr="00FB04CF">
        <w:rPr>
          <w:rFonts w:ascii="Times New Roman" w:hAnsi="Times New Roman"/>
          <w:sz w:val="24"/>
          <w:szCs w:val="24"/>
          <w:u w:val="single"/>
        </w:rPr>
        <w:t>Of</w:t>
      </w:r>
      <w:proofErr w:type="gramEnd"/>
      <w:r w:rsidRPr="00FB04CF">
        <w:rPr>
          <w:rFonts w:ascii="Times New Roman" w:hAnsi="Times New Roman"/>
          <w:sz w:val="24"/>
          <w:szCs w:val="24"/>
          <w:u w:val="single"/>
        </w:rPr>
        <w:t xml:space="preserve"> Michelle Sampson. Upper Township, Department of Recreation and Public Health</w:t>
      </w:r>
      <w:r w:rsidRPr="00FB04CF">
        <w:rPr>
          <w:rFonts w:ascii="Times New Roman" w:hAnsi="Times New Roman"/>
          <w:sz w:val="24"/>
          <w:szCs w:val="24"/>
        </w:rPr>
        <w:t xml:space="preserve">, the Superior Court of New Jersey, Appellate Division, held (2 to 0; unpublished decision) that the New Jersey Civil Service Commission on December 20, </w:t>
      </w:r>
      <w:proofErr w:type="gramStart"/>
      <w:r w:rsidRPr="00FB04CF">
        <w:rPr>
          <w:rFonts w:ascii="Times New Roman" w:hAnsi="Times New Roman"/>
          <w:sz w:val="24"/>
          <w:szCs w:val="24"/>
        </w:rPr>
        <w:t>2023</w:t>
      </w:r>
      <w:proofErr w:type="gramEnd"/>
      <w:r w:rsidRPr="00FB04CF">
        <w:rPr>
          <w:rFonts w:ascii="Times New Roman" w:hAnsi="Times New Roman"/>
          <w:sz w:val="24"/>
          <w:szCs w:val="24"/>
        </w:rPr>
        <w:t xml:space="preserve"> properly upheld Township’s firing M. Sampson for repeatedly violating the Dating Policy.  Petitioner and [her boyfriend] J.H. were engaged in a romantic relationship that began and ended in 2007 while both were co-employees. In 2016, petitioner and J.H., both married to others, rekindled their romantic relationship and began an extra-marital affair and never reported this to the Township. THE COURT HELD: “Petitioner should have disclosed the conflict or abstained from taking part in the hiring process once M.H. [wife of J.H.] was a candidate. As such, the Agency's final decision was not arbitrary and capricious.”  </w:t>
      </w:r>
    </w:p>
    <w:p w14:paraId="7FFBE4B9" w14:textId="77777777" w:rsidR="00E631C5" w:rsidRPr="00FB04CF" w:rsidRDefault="00E631C5" w:rsidP="00E631C5">
      <w:pPr>
        <w:pStyle w:val="NoSpacing"/>
        <w:rPr>
          <w:rFonts w:ascii="Times New Roman" w:hAnsi="Times New Roman"/>
          <w:sz w:val="24"/>
          <w:szCs w:val="24"/>
        </w:rPr>
      </w:pPr>
      <w:hyperlink r:id="rId2599" w:history="1">
        <w:r w:rsidRPr="00FB04CF">
          <w:rPr>
            <w:rStyle w:val="Hyperlink"/>
            <w:rFonts w:ascii="Times New Roman" w:hAnsi="Times New Roman"/>
            <w:sz w:val="24"/>
            <w:szCs w:val="24"/>
          </w:rPr>
          <w:t>https://www.njcourts.gov/system/files/court-opinions/2025/a1587-23.pdf</w:t>
        </w:r>
      </w:hyperlink>
      <w:r w:rsidRPr="00FB04CF">
        <w:rPr>
          <w:rFonts w:ascii="Times New Roman" w:hAnsi="Times New Roman"/>
          <w:sz w:val="24"/>
          <w:szCs w:val="24"/>
        </w:rPr>
        <w:t xml:space="preserve"> </w:t>
      </w:r>
    </w:p>
    <w:p w14:paraId="7D827A60" w14:textId="77777777" w:rsidR="00E631C5" w:rsidRPr="00FB04CF" w:rsidRDefault="00E631C5" w:rsidP="00E631C5">
      <w:pPr>
        <w:pStyle w:val="NoSpacing"/>
        <w:rPr>
          <w:rFonts w:ascii="Times New Roman" w:hAnsi="Times New Roman"/>
          <w:sz w:val="24"/>
          <w:szCs w:val="24"/>
        </w:rPr>
      </w:pPr>
    </w:p>
    <w:p w14:paraId="257DBC9E" w14:textId="77777777" w:rsidR="00FB04CF" w:rsidRPr="00FB04CF" w:rsidRDefault="00FB04CF" w:rsidP="00FB04CF">
      <w:pPr>
        <w:pStyle w:val="NoSpacing"/>
        <w:rPr>
          <w:rFonts w:ascii="Times New Roman" w:hAnsi="Times New Roman"/>
          <w:b/>
          <w:bCs/>
          <w:sz w:val="24"/>
          <w:szCs w:val="24"/>
        </w:rPr>
      </w:pPr>
      <w:r w:rsidRPr="00FB04CF">
        <w:rPr>
          <w:rFonts w:ascii="Times New Roman" w:hAnsi="Times New Roman"/>
          <w:b/>
          <w:sz w:val="24"/>
          <w:szCs w:val="24"/>
        </w:rPr>
        <w:t>Legal lesson learned:  A “Dating Policy” requiring supervisors to report dating of subordinates is an excellent management tool.</w:t>
      </w:r>
    </w:p>
    <w:p w14:paraId="63B9D170" w14:textId="77777777" w:rsidR="00FB04CF" w:rsidRPr="00FB04CF" w:rsidRDefault="00FB04CF" w:rsidP="00FB04CF">
      <w:pPr>
        <w:pStyle w:val="NoSpacing"/>
        <w:rPr>
          <w:rFonts w:ascii="Times New Roman" w:hAnsi="Times New Roman"/>
          <w:sz w:val="24"/>
          <w:szCs w:val="24"/>
        </w:rPr>
      </w:pPr>
    </w:p>
    <w:p w14:paraId="45D2239A" w14:textId="77777777" w:rsidR="00E631C5" w:rsidRDefault="00E631C5" w:rsidP="00CF19EA">
      <w:pPr>
        <w:pStyle w:val="NoSpacing"/>
        <w:rPr>
          <w:rFonts w:ascii="Arial Black" w:hAnsi="Arial Black"/>
          <w:sz w:val="28"/>
          <w:szCs w:val="28"/>
        </w:rPr>
      </w:pPr>
    </w:p>
    <w:p w14:paraId="5ACCE129" w14:textId="4DFC0E5F" w:rsidR="00FB04CF" w:rsidRDefault="00FB04CF" w:rsidP="00FB04CF">
      <w:pPr>
        <w:pStyle w:val="NoSpacing"/>
        <w:rPr>
          <w:rFonts w:ascii="Arial Black" w:hAnsi="Arial Black"/>
          <w:sz w:val="24"/>
          <w:szCs w:val="24"/>
        </w:rPr>
      </w:pPr>
      <w:r>
        <w:rPr>
          <w:rFonts w:ascii="Arial Black" w:hAnsi="Arial Black"/>
          <w:sz w:val="24"/>
          <w:szCs w:val="24"/>
        </w:rPr>
        <w:t>16-124</w:t>
      </w:r>
    </w:p>
    <w:p w14:paraId="5FFDFBE5" w14:textId="77777777" w:rsidR="00E631C5" w:rsidRDefault="00E631C5" w:rsidP="00CF19EA">
      <w:pPr>
        <w:pStyle w:val="NoSpacing"/>
        <w:rPr>
          <w:rFonts w:ascii="Arial Black" w:hAnsi="Arial Black"/>
          <w:sz w:val="28"/>
          <w:szCs w:val="28"/>
        </w:rPr>
      </w:pPr>
    </w:p>
    <w:p w14:paraId="1D187F3B" w14:textId="19CDB21F" w:rsidR="00CF19EA" w:rsidRPr="006F2B87" w:rsidRDefault="00CF19EA" w:rsidP="00CF19EA">
      <w:pPr>
        <w:pStyle w:val="NoSpacing"/>
        <w:rPr>
          <w:rFonts w:ascii="Arial Black" w:hAnsi="Arial Black"/>
          <w:sz w:val="28"/>
          <w:szCs w:val="28"/>
        </w:rPr>
      </w:pPr>
      <w:r w:rsidRPr="006F2B87">
        <w:rPr>
          <w:rFonts w:ascii="Arial Black" w:hAnsi="Arial Black"/>
          <w:sz w:val="28"/>
          <w:szCs w:val="28"/>
        </w:rPr>
        <w:t>OR:  FF FIRED – MISUSE SICK LEAVE – GPS TRACKER</w:t>
      </w:r>
      <w:r>
        <w:rPr>
          <w:rFonts w:ascii="Arial Black" w:hAnsi="Arial Black"/>
          <w:sz w:val="28"/>
          <w:szCs w:val="28"/>
        </w:rPr>
        <w:t xml:space="preserve"> / CELL</w:t>
      </w:r>
    </w:p>
    <w:p w14:paraId="4FD5B1F4" w14:textId="77777777" w:rsidR="00CF19EA" w:rsidRPr="006F2B87" w:rsidRDefault="00CF19EA" w:rsidP="00CF19EA">
      <w:pPr>
        <w:pStyle w:val="NoSpacing"/>
      </w:pPr>
    </w:p>
    <w:p w14:paraId="5418CE55" w14:textId="77777777" w:rsidR="00CF19EA" w:rsidRPr="00CF19EA" w:rsidRDefault="00CF19EA" w:rsidP="00CF19EA">
      <w:pPr>
        <w:pStyle w:val="NoSpacing"/>
        <w:rPr>
          <w:rFonts w:ascii="Times New Roman" w:hAnsi="Times New Roman"/>
          <w:sz w:val="24"/>
          <w:szCs w:val="24"/>
        </w:rPr>
      </w:pPr>
      <w:r w:rsidRPr="00CF19EA">
        <w:rPr>
          <w:rFonts w:ascii="Times New Roman" w:hAnsi="Times New Roman"/>
          <w:sz w:val="24"/>
          <w:szCs w:val="24"/>
        </w:rPr>
        <w:t xml:space="preserve">On May 2, 2025, in </w:t>
      </w:r>
      <w:r w:rsidRPr="00CF19EA">
        <w:rPr>
          <w:rFonts w:ascii="Times New Roman" w:hAnsi="Times New Roman"/>
          <w:sz w:val="24"/>
          <w:szCs w:val="24"/>
          <w:u w:val="single"/>
        </w:rPr>
        <w:t>Zachary Taylor v. Sweet Home Fire &amp; Ambulance District; Mark Nicholas Tyler et al</w:t>
      </w:r>
      <w:r w:rsidRPr="00CF19EA">
        <w:rPr>
          <w:rFonts w:ascii="Times New Roman" w:hAnsi="Times New Roman"/>
          <w:sz w:val="24"/>
          <w:szCs w:val="24"/>
        </w:rPr>
        <w:t xml:space="preserve">., U.S. District Court Judge Mustafa T. </w:t>
      </w:r>
      <w:proofErr w:type="spellStart"/>
      <w:r w:rsidRPr="00CF19EA">
        <w:rPr>
          <w:rFonts w:ascii="Times New Roman" w:hAnsi="Times New Roman"/>
          <w:sz w:val="24"/>
          <w:szCs w:val="24"/>
        </w:rPr>
        <w:t>Kasubhai</w:t>
      </w:r>
      <w:proofErr w:type="spellEnd"/>
      <w:r w:rsidRPr="00CF19EA">
        <w:rPr>
          <w:rFonts w:ascii="Times New Roman" w:hAnsi="Times New Roman"/>
          <w:sz w:val="24"/>
          <w:szCs w:val="24"/>
        </w:rPr>
        <w:t>, United States District Court for the District of Oregon, held that the plaintiff, who was fired on March 29, 2023 for misuse of sick time may proceed with claim that Fire Chief tracked his location using GPS on his personal cell phone.  Plaintiff is pro se (no attorney) and six claims were dismissed, but 4</w:t>
      </w:r>
      <w:r w:rsidRPr="00CF19EA">
        <w:rPr>
          <w:rFonts w:ascii="Times New Roman" w:hAnsi="Times New Roman"/>
          <w:sz w:val="24"/>
          <w:szCs w:val="24"/>
          <w:vertAlign w:val="superscript"/>
        </w:rPr>
        <w:t>th</w:t>
      </w:r>
      <w:r w:rsidRPr="00CF19EA">
        <w:rPr>
          <w:rFonts w:ascii="Times New Roman" w:hAnsi="Times New Roman"/>
          <w:sz w:val="24"/>
          <w:szCs w:val="24"/>
        </w:rPr>
        <w:t xml:space="preserve"> Amendment claim and claim he was denied Civil Service hearing may proceed with pre-trial discovery.  </w:t>
      </w:r>
    </w:p>
    <w:p w14:paraId="56B073E9" w14:textId="77777777" w:rsidR="00CF19EA" w:rsidRPr="00CF19EA" w:rsidRDefault="00CF19EA" w:rsidP="00CF19EA">
      <w:pPr>
        <w:pStyle w:val="NoSpacing"/>
        <w:rPr>
          <w:rFonts w:ascii="Times New Roman" w:hAnsi="Times New Roman"/>
          <w:sz w:val="24"/>
          <w:szCs w:val="24"/>
        </w:rPr>
      </w:pPr>
    </w:p>
    <w:p w14:paraId="5A7DDF2B" w14:textId="4A5B941A" w:rsidR="007B4499" w:rsidRPr="00CF19EA" w:rsidRDefault="00CF19EA" w:rsidP="00CF19EA">
      <w:pPr>
        <w:pStyle w:val="NoSpacing"/>
        <w:rPr>
          <w:rFonts w:ascii="Times New Roman" w:hAnsi="Times New Roman"/>
          <w:sz w:val="24"/>
          <w:szCs w:val="24"/>
        </w:rPr>
      </w:pPr>
      <w:r w:rsidRPr="00CF19EA">
        <w:rPr>
          <w:rFonts w:ascii="Times New Roman" w:hAnsi="Times New Roman"/>
          <w:sz w:val="24"/>
          <w:szCs w:val="24"/>
        </w:rPr>
        <w:t xml:space="preserve">The Court wrote: “Third Claim - Unreasonable Search and Seizure. Plaintiff's Third Claim is a § 1983 claim alleging that Barringer violated Plaintiff's Fourth Amendment rights by using a first responder application installed on Plaintiff's phone to track Plaintiff's location for a non-emergency response purpose. FAC [First Amended Complaint] ¶ 175. Plaintiff alleges that on April 18, 2022, he called in sick to work because he was nervous about Barringer being there. FAC ¶ 71-72. Barringer became immediately suspicious that Plaintiff was abusing his use of sick time. FAC ¶ 72. Barringer located Plaintiff using the first responder application installed on Plaintiff's phone and drove twenty-two miles from work to spy on Plaintiff. FAC ¶ 72. Plaintiff was then placed on administrative leave pending a fit for duty evaluation. FAC ¶ 175. *** The remainder of Plaintiff's FAC relates to an investigation that took place from May 2022 to March 2023 regarding Plaintiff's alleged misuse of sick leave. </w:t>
      </w:r>
      <w:r w:rsidRPr="00CF19EA">
        <w:rPr>
          <w:rFonts w:ascii="Times New Roman" w:hAnsi="Times New Roman"/>
          <w:i/>
          <w:iCs/>
          <w:sz w:val="24"/>
          <w:szCs w:val="24"/>
        </w:rPr>
        <w:t>Id</w:t>
      </w:r>
      <w:r w:rsidRPr="00CF19EA">
        <w:rPr>
          <w:rFonts w:ascii="Times New Roman" w:hAnsi="Times New Roman"/>
          <w:sz w:val="24"/>
          <w:szCs w:val="24"/>
        </w:rPr>
        <w:t xml:space="preserve">. ¶¶ 70-133. Plaintiff was placed on administrative leave for eleven </w:t>
      </w:r>
      <w:proofErr w:type="gramStart"/>
      <w:r w:rsidRPr="00CF19EA">
        <w:rPr>
          <w:rFonts w:ascii="Times New Roman" w:hAnsi="Times New Roman"/>
          <w:sz w:val="24"/>
          <w:szCs w:val="24"/>
        </w:rPr>
        <w:t>months, and</w:t>
      </w:r>
      <w:proofErr w:type="gramEnd"/>
      <w:r w:rsidRPr="00CF19EA">
        <w:rPr>
          <w:rFonts w:ascii="Times New Roman" w:hAnsi="Times New Roman"/>
          <w:sz w:val="24"/>
          <w:szCs w:val="24"/>
        </w:rPr>
        <w:t xml:space="preserve"> ultimately terminated from his position on March 29, 2023. </w:t>
      </w:r>
      <w:r w:rsidRPr="00CF19EA">
        <w:rPr>
          <w:rFonts w:ascii="Times New Roman" w:hAnsi="Times New Roman"/>
          <w:i/>
          <w:iCs/>
          <w:sz w:val="24"/>
          <w:szCs w:val="24"/>
        </w:rPr>
        <w:t>Id.</w:t>
      </w:r>
      <w:r w:rsidRPr="00CF19EA">
        <w:rPr>
          <w:rFonts w:ascii="Times New Roman" w:hAnsi="Times New Roman"/>
          <w:sz w:val="24"/>
          <w:szCs w:val="24"/>
        </w:rPr>
        <w:t xml:space="preserve"> ¶¶ 43, 72, 131, 145. *** The underlying conduct giving rise to Plaintiff's Third Claim occurred within the two-year statute of limitations. Defendants did not move to dismiss this claim against Barringer on substantive </w:t>
      </w:r>
      <w:proofErr w:type="gramStart"/>
      <w:r w:rsidRPr="00CF19EA">
        <w:rPr>
          <w:rFonts w:ascii="Times New Roman" w:hAnsi="Times New Roman"/>
          <w:sz w:val="24"/>
          <w:szCs w:val="24"/>
        </w:rPr>
        <w:t>grounds.”</w:t>
      </w:r>
      <w:proofErr w:type="gramEnd"/>
      <w:r w:rsidRPr="00CF19EA">
        <w:rPr>
          <w:rFonts w:ascii="Times New Roman" w:hAnsi="Times New Roman"/>
          <w:sz w:val="24"/>
          <w:szCs w:val="24"/>
        </w:rPr>
        <w:t xml:space="preserve">  </w:t>
      </w:r>
      <w:hyperlink r:id="rId2600" w:history="1">
        <w:r w:rsidRPr="00CF19EA">
          <w:rPr>
            <w:rStyle w:val="Hyperlink"/>
            <w:rFonts w:ascii="Times New Roman" w:hAnsi="Times New Roman"/>
            <w:sz w:val="24"/>
            <w:szCs w:val="24"/>
          </w:rPr>
          <w:t>https://public.fastcase.com/jaEE2PXzRXmZ99jOLMt1Im1keUzBtfiIHvEUrgtpCe4tsCgV6NtJX3IH6wzppmaYdMf24%2B5puOWV6%2FBXnYGObJXUVli9SMl09cYxEMCDiBI%3D?utm_medium=email&amp;_hsenc=p2ANqtz-_d7OiIN91ZAk7Y1LfM1ALZw-U0OSyNxgKb6pVH2Z92AnZk8gKeX6P0Vdjf87FJH4FQPvAXMckV1s5VI4fjARMOTrnriQ&amp;_hsmi=226712652&amp;utm_content=226712652&amp;utm_source=hs_email</w:t>
        </w:r>
      </w:hyperlink>
    </w:p>
    <w:p w14:paraId="47192970" w14:textId="77777777" w:rsidR="009701FE" w:rsidRDefault="009701FE" w:rsidP="00F91F9F">
      <w:pPr>
        <w:pStyle w:val="NoSpacing"/>
        <w:rPr>
          <w:rFonts w:ascii="Arial Black" w:hAnsi="Arial Black"/>
          <w:sz w:val="24"/>
          <w:szCs w:val="24"/>
        </w:rPr>
      </w:pPr>
    </w:p>
    <w:p w14:paraId="2446681C" w14:textId="77777777" w:rsidR="0020461D" w:rsidRPr="001F3D0F" w:rsidRDefault="0020461D" w:rsidP="0020461D">
      <w:pPr>
        <w:pStyle w:val="NoSpacing"/>
        <w:rPr>
          <w:rFonts w:ascii="Times New Roman" w:hAnsi="Times New Roman"/>
          <w:b/>
          <w:bCs/>
          <w:sz w:val="24"/>
          <w:szCs w:val="24"/>
        </w:rPr>
      </w:pPr>
      <w:r w:rsidRPr="001F3D0F">
        <w:rPr>
          <w:rFonts w:ascii="Times New Roman" w:hAnsi="Times New Roman"/>
          <w:b/>
          <w:sz w:val="24"/>
          <w:szCs w:val="24"/>
        </w:rPr>
        <w:t xml:space="preserve">Legal Lesson Learned: Case will now proceed to pre-trial discovery.  If </w:t>
      </w:r>
      <w:r w:rsidRPr="001F3D0F">
        <w:rPr>
          <w:rFonts w:ascii="Times New Roman" w:hAnsi="Times New Roman"/>
          <w:b/>
          <w:bCs/>
          <w:sz w:val="24"/>
          <w:szCs w:val="24"/>
        </w:rPr>
        <w:t>F</w:t>
      </w:r>
      <w:r w:rsidRPr="001F3D0F">
        <w:rPr>
          <w:rFonts w:ascii="Times New Roman" w:hAnsi="Times New Roman"/>
          <w:b/>
          <w:sz w:val="24"/>
          <w:szCs w:val="24"/>
        </w:rPr>
        <w:t xml:space="preserve">ire </w:t>
      </w:r>
      <w:r w:rsidRPr="001F3D0F">
        <w:rPr>
          <w:rFonts w:ascii="Times New Roman" w:hAnsi="Times New Roman"/>
          <w:b/>
          <w:bCs/>
          <w:sz w:val="24"/>
          <w:szCs w:val="24"/>
        </w:rPr>
        <w:t xml:space="preserve">or EMS </w:t>
      </w:r>
      <w:r w:rsidRPr="001F3D0F">
        <w:rPr>
          <w:rFonts w:ascii="Times New Roman" w:hAnsi="Times New Roman"/>
          <w:b/>
          <w:sz w:val="24"/>
          <w:szCs w:val="24"/>
        </w:rPr>
        <w:t xml:space="preserve">department requires personnel to have a GPS locator on their personal cell, consult with legal counsel about laws in your state on requiring personnel to sign a written consent. </w:t>
      </w:r>
    </w:p>
    <w:p w14:paraId="3C14BA89" w14:textId="77777777" w:rsidR="0020461D" w:rsidRPr="001F3D0F" w:rsidRDefault="0020461D" w:rsidP="0020461D">
      <w:pPr>
        <w:pStyle w:val="NoSpacing"/>
        <w:rPr>
          <w:rFonts w:ascii="Times New Roman" w:hAnsi="Times New Roman"/>
          <w:b/>
          <w:bCs/>
          <w:sz w:val="24"/>
          <w:szCs w:val="24"/>
        </w:rPr>
      </w:pPr>
    </w:p>
    <w:p w14:paraId="0244F4BD" w14:textId="77777777" w:rsidR="0020461D" w:rsidRPr="001F3D0F" w:rsidRDefault="0020461D" w:rsidP="0020461D">
      <w:pPr>
        <w:pStyle w:val="NoSpacing"/>
        <w:ind w:left="720"/>
        <w:rPr>
          <w:rFonts w:ascii="Times New Roman" w:hAnsi="Times New Roman"/>
          <w:sz w:val="24"/>
          <w:szCs w:val="24"/>
        </w:rPr>
      </w:pPr>
      <w:r w:rsidRPr="001F3D0F">
        <w:rPr>
          <w:rFonts w:ascii="Times New Roman" w:hAnsi="Times New Roman"/>
          <w:sz w:val="24"/>
          <w:szCs w:val="24"/>
        </w:rPr>
        <w:lastRenderedPageBreak/>
        <w:t xml:space="preserve">Note: See this article: “Stay Compliant: Employee GPS Tracking Laws by State.” </w:t>
      </w:r>
      <w:hyperlink r:id="rId2601" w:history="1">
        <w:r w:rsidRPr="001F3D0F">
          <w:rPr>
            <w:rStyle w:val="Hyperlink"/>
            <w:rFonts w:ascii="Times New Roman" w:hAnsi="Times New Roman"/>
            <w:sz w:val="24"/>
            <w:szCs w:val="24"/>
          </w:rPr>
          <w:t>https://timeero.com/resources-page/employee-gps-tracking-laws</w:t>
        </w:r>
      </w:hyperlink>
      <w:r w:rsidRPr="001F3D0F">
        <w:rPr>
          <w:rFonts w:ascii="Times New Roman" w:hAnsi="Times New Roman"/>
          <w:sz w:val="24"/>
          <w:szCs w:val="24"/>
        </w:rPr>
        <w:t xml:space="preserve"> </w:t>
      </w:r>
    </w:p>
    <w:p w14:paraId="2A6D9768" w14:textId="77777777" w:rsidR="0020461D" w:rsidRPr="001F3D0F" w:rsidRDefault="0020461D" w:rsidP="0020461D">
      <w:pPr>
        <w:pStyle w:val="NoSpacing"/>
        <w:ind w:firstLine="720"/>
        <w:rPr>
          <w:rFonts w:ascii="Times New Roman" w:hAnsi="Times New Roman"/>
          <w:sz w:val="24"/>
          <w:szCs w:val="24"/>
        </w:rPr>
      </w:pPr>
      <w:r w:rsidRPr="001F3D0F">
        <w:rPr>
          <w:rFonts w:ascii="Times New Roman" w:hAnsi="Times New Roman"/>
          <w:sz w:val="24"/>
          <w:szCs w:val="24"/>
        </w:rPr>
        <w:t xml:space="preserve">“Wondering if it’s legal to track your employees’ location with GPS? </w:t>
      </w:r>
    </w:p>
    <w:p w14:paraId="495632B8" w14:textId="77777777" w:rsidR="0020461D" w:rsidRPr="001F3D0F" w:rsidRDefault="0020461D" w:rsidP="0020461D">
      <w:pPr>
        <w:pStyle w:val="NoSpacing"/>
        <w:ind w:left="720"/>
        <w:rPr>
          <w:rFonts w:ascii="Times New Roman" w:hAnsi="Times New Roman"/>
          <w:sz w:val="24"/>
          <w:szCs w:val="24"/>
        </w:rPr>
      </w:pPr>
      <w:r w:rsidRPr="001F3D0F">
        <w:rPr>
          <w:rFonts w:ascii="Times New Roman" w:hAnsi="Times New Roman"/>
          <w:sz w:val="24"/>
          <w:szCs w:val="24"/>
        </w:rPr>
        <w:t>The answer isn't as simple as yes or no. While federal laws offer some guidance, state-specific regulations play a crucial role in determining what's permissible.‍ For example, in California, you must get explicit consent from your employees before tracking their location, even if they’re using company-owned vehicles.  But, in states like Georgia, there are no specific laws regarding GPS tracking.”</w:t>
      </w:r>
    </w:p>
    <w:p w14:paraId="0AE4A7B2" w14:textId="77777777" w:rsidR="0020461D" w:rsidRPr="006F2B87" w:rsidRDefault="0020461D" w:rsidP="0020461D">
      <w:pPr>
        <w:pStyle w:val="NoSpacing"/>
      </w:pPr>
    </w:p>
    <w:p w14:paraId="585E930F" w14:textId="77777777" w:rsidR="009701FE" w:rsidRDefault="009701FE" w:rsidP="00F91F9F">
      <w:pPr>
        <w:pStyle w:val="NoSpacing"/>
        <w:rPr>
          <w:rFonts w:ascii="Arial Black" w:hAnsi="Arial Black"/>
          <w:sz w:val="24"/>
          <w:szCs w:val="24"/>
        </w:rPr>
      </w:pPr>
    </w:p>
    <w:p w14:paraId="0FC4A08A" w14:textId="77777777" w:rsidR="009701FE" w:rsidRDefault="009701FE" w:rsidP="00F91F9F">
      <w:pPr>
        <w:pStyle w:val="NoSpacing"/>
        <w:rPr>
          <w:rFonts w:ascii="Arial Black" w:hAnsi="Arial Black"/>
          <w:sz w:val="24"/>
          <w:szCs w:val="24"/>
        </w:rPr>
      </w:pPr>
    </w:p>
    <w:p w14:paraId="580EF99E" w14:textId="77777777" w:rsidR="009701FE" w:rsidRDefault="009701FE" w:rsidP="00F91F9F">
      <w:pPr>
        <w:pStyle w:val="NoSpacing"/>
        <w:rPr>
          <w:rFonts w:ascii="Arial Black" w:hAnsi="Arial Black"/>
          <w:sz w:val="24"/>
          <w:szCs w:val="24"/>
        </w:rPr>
      </w:pPr>
    </w:p>
    <w:p w14:paraId="5BA545B6" w14:textId="77777777" w:rsidR="009701FE" w:rsidRDefault="009701FE" w:rsidP="00F91F9F">
      <w:pPr>
        <w:pStyle w:val="NoSpacing"/>
        <w:rPr>
          <w:rFonts w:ascii="Arial Black" w:hAnsi="Arial Black"/>
          <w:sz w:val="24"/>
          <w:szCs w:val="24"/>
        </w:rPr>
      </w:pPr>
    </w:p>
    <w:p w14:paraId="2CFB880A" w14:textId="518AF9FD" w:rsidR="007B4499" w:rsidRDefault="007B4499" w:rsidP="00F91F9F">
      <w:pPr>
        <w:pStyle w:val="NoSpacing"/>
        <w:rPr>
          <w:rFonts w:ascii="Arial Black" w:hAnsi="Arial Black"/>
          <w:sz w:val="24"/>
          <w:szCs w:val="24"/>
        </w:rPr>
      </w:pPr>
      <w:r>
        <w:rPr>
          <w:rFonts w:ascii="Arial Black" w:hAnsi="Arial Black"/>
          <w:sz w:val="24"/>
          <w:szCs w:val="24"/>
        </w:rPr>
        <w:t>16-123</w:t>
      </w:r>
    </w:p>
    <w:p w14:paraId="4F5E2AE5" w14:textId="32FE14A6" w:rsidR="00B927E4" w:rsidRDefault="00B927E4" w:rsidP="00B927E4">
      <w:pPr>
        <w:rPr>
          <w:rFonts w:ascii="Arial Black" w:hAnsi="Arial Black"/>
          <w:b/>
          <w:sz w:val="28"/>
          <w:szCs w:val="28"/>
        </w:rPr>
      </w:pPr>
      <w:r>
        <w:rPr>
          <w:rFonts w:ascii="Arial Black" w:hAnsi="Arial Black"/>
          <w:b/>
          <w:sz w:val="28"/>
          <w:szCs w:val="28"/>
        </w:rPr>
        <w:t xml:space="preserve">MI:  FF WHISTLEBLOWER – </w:t>
      </w:r>
      <w:r w:rsidR="000A6C09">
        <w:rPr>
          <w:rFonts w:ascii="Arial Black" w:hAnsi="Arial Black"/>
          <w:b/>
          <w:sz w:val="28"/>
          <w:szCs w:val="28"/>
        </w:rPr>
        <w:t xml:space="preserve">REPORTED </w:t>
      </w:r>
      <w:r>
        <w:rPr>
          <w:rFonts w:ascii="Arial Black" w:hAnsi="Arial Black"/>
          <w:b/>
          <w:sz w:val="28"/>
          <w:szCs w:val="28"/>
        </w:rPr>
        <w:t xml:space="preserve">TIMECARD FRAUD </w:t>
      </w:r>
      <w:r w:rsidR="00DC0946">
        <w:rPr>
          <w:rFonts w:ascii="Arial Black" w:hAnsi="Arial Black"/>
          <w:b/>
          <w:sz w:val="28"/>
          <w:szCs w:val="28"/>
        </w:rPr>
        <w:t>–</w:t>
      </w:r>
      <w:r>
        <w:rPr>
          <w:rFonts w:ascii="Arial Black" w:hAnsi="Arial Black"/>
          <w:b/>
          <w:sz w:val="28"/>
          <w:szCs w:val="28"/>
        </w:rPr>
        <w:t xml:space="preserve"> </w:t>
      </w:r>
      <w:r w:rsidR="00DC0946">
        <w:rPr>
          <w:rFonts w:ascii="Arial Black" w:hAnsi="Arial Black"/>
          <w:b/>
          <w:sz w:val="28"/>
          <w:szCs w:val="28"/>
        </w:rPr>
        <w:t xml:space="preserve">CASE </w:t>
      </w:r>
      <w:r>
        <w:rPr>
          <w:rFonts w:ascii="Arial Black" w:hAnsi="Arial Black"/>
          <w:b/>
          <w:sz w:val="28"/>
          <w:szCs w:val="28"/>
        </w:rPr>
        <w:t>PROCEED</w:t>
      </w:r>
    </w:p>
    <w:p w14:paraId="6AA06D7A" w14:textId="77777777" w:rsidR="00B927E4" w:rsidRPr="00B927E4" w:rsidRDefault="00B927E4" w:rsidP="00B927E4">
      <w:pPr>
        <w:pStyle w:val="NoSpacing"/>
        <w:rPr>
          <w:rFonts w:ascii="Times New Roman" w:hAnsi="Times New Roman"/>
          <w:sz w:val="24"/>
          <w:szCs w:val="24"/>
        </w:rPr>
      </w:pPr>
      <w:r w:rsidRPr="00B927E4">
        <w:rPr>
          <w:rFonts w:ascii="Times New Roman" w:hAnsi="Times New Roman"/>
          <w:sz w:val="24"/>
          <w:szCs w:val="24"/>
        </w:rPr>
        <w:t xml:space="preserve">On April 24, 2025, in </w:t>
      </w:r>
      <w:r w:rsidRPr="00B927E4">
        <w:rPr>
          <w:rFonts w:ascii="Times New Roman" w:hAnsi="Times New Roman"/>
          <w:sz w:val="24"/>
          <w:szCs w:val="24"/>
          <w:u w:val="single"/>
        </w:rPr>
        <w:t>Craig Williamson v. City of Riverview</w:t>
      </w:r>
      <w:r w:rsidRPr="00B927E4">
        <w:rPr>
          <w:rFonts w:ascii="Times New Roman" w:hAnsi="Times New Roman"/>
          <w:sz w:val="24"/>
          <w:szCs w:val="24"/>
        </w:rPr>
        <w:t xml:space="preserve">, the Court of Appeals of Michigan held (3 to 0) that trial court improperly dismissed his current lawsuit for being filed untimely.  Craig Williamson worked as a firefighter and officer for the </w:t>
      </w:r>
      <w:proofErr w:type="gramStart"/>
      <w:r w:rsidRPr="00B927E4">
        <w:rPr>
          <w:rFonts w:ascii="Times New Roman" w:hAnsi="Times New Roman"/>
          <w:sz w:val="24"/>
          <w:szCs w:val="24"/>
        </w:rPr>
        <w:t>City</w:t>
      </w:r>
      <w:proofErr w:type="gramEnd"/>
      <w:r w:rsidRPr="00B927E4">
        <w:rPr>
          <w:rFonts w:ascii="Times New Roman" w:hAnsi="Times New Roman"/>
          <w:sz w:val="24"/>
          <w:szCs w:val="24"/>
        </w:rPr>
        <w:t xml:space="preserve"> for  “several decades” and claims he suffered retaliation for reporting in 2015 “what he believed to be timecard fraud among some of his colleagues.” On May 30, 2018, plaintiff filed his first complaint in the Wayne Circuit Court, alleging the retaliatory actions taken against him in violation of the Whistleblowers’ Protection Act (WPA). In October 2018, the fire department charged plaintiff with violations of staffing policies; after a hearing, the fire department suspended plaintiff for 90 days and demoted him to lieutenant. On November 26, 2018, plaintiff filed a supplemental complaint, alleging additional violations of the WPA related to the staffing issue. Plaintiff alleged that defendant forced him to work alone or with only one other firefighter, had discriminated against him by suspending him on December 23, 2019, because he was asking co-workers to support him in this lawsuit, and had treated him “like a pariah in the workplace” since 2015 and continuing until his recent suspension. Plaintiff alleged that his “work environment has become hostile, intolerable and unsafe for Plaintiff as a result of Defendant’s retaliation.” </w:t>
      </w:r>
    </w:p>
    <w:p w14:paraId="2794DCCE" w14:textId="77777777" w:rsidR="00B927E4" w:rsidRDefault="00B927E4" w:rsidP="00B927E4">
      <w:pPr>
        <w:pStyle w:val="NoSpacing"/>
        <w:rPr>
          <w:rFonts w:ascii="Times New Roman" w:hAnsi="Times New Roman"/>
          <w:sz w:val="24"/>
          <w:szCs w:val="24"/>
        </w:rPr>
      </w:pPr>
      <w:hyperlink r:id="rId2602" w:history="1">
        <w:r w:rsidRPr="00B927E4">
          <w:rPr>
            <w:rStyle w:val="Hyperlink"/>
            <w:rFonts w:ascii="Times New Roman" w:hAnsi="Times New Roman"/>
            <w:sz w:val="24"/>
            <w:szCs w:val="24"/>
          </w:rPr>
          <w:t>https://cases.justia.com/michigan/court-of-appeals-unpublished/2025-368047.pdf?ts=1745586008</w:t>
        </w:r>
      </w:hyperlink>
      <w:r w:rsidRPr="00B927E4">
        <w:rPr>
          <w:rFonts w:ascii="Times New Roman" w:hAnsi="Times New Roman"/>
          <w:sz w:val="24"/>
          <w:szCs w:val="24"/>
        </w:rPr>
        <w:t xml:space="preserve"> </w:t>
      </w:r>
    </w:p>
    <w:p w14:paraId="318F69F5" w14:textId="77777777" w:rsidR="00EB44F4" w:rsidRDefault="00EB44F4" w:rsidP="00B927E4">
      <w:pPr>
        <w:pStyle w:val="NoSpacing"/>
        <w:rPr>
          <w:rFonts w:ascii="Times New Roman" w:hAnsi="Times New Roman"/>
          <w:sz w:val="24"/>
          <w:szCs w:val="24"/>
        </w:rPr>
      </w:pPr>
    </w:p>
    <w:p w14:paraId="6EEE63F8" w14:textId="77777777" w:rsidR="00EB44F4" w:rsidRPr="00EB44F4" w:rsidRDefault="00EB44F4" w:rsidP="00EB44F4">
      <w:pPr>
        <w:pStyle w:val="NoSpacing"/>
        <w:rPr>
          <w:rFonts w:ascii="Times New Roman" w:hAnsi="Times New Roman"/>
          <w:b/>
          <w:sz w:val="24"/>
          <w:szCs w:val="24"/>
        </w:rPr>
      </w:pPr>
      <w:r w:rsidRPr="00EB44F4">
        <w:rPr>
          <w:rFonts w:ascii="Times New Roman" w:hAnsi="Times New Roman"/>
          <w:b/>
          <w:sz w:val="24"/>
          <w:szCs w:val="24"/>
        </w:rPr>
        <w:t xml:space="preserve">Legal Lesson Learned: Courts are reluctant to dismiss whistleblower cases until pre-trial discovery is completed. </w:t>
      </w:r>
    </w:p>
    <w:p w14:paraId="4A7E2066" w14:textId="77777777" w:rsidR="00EB44F4" w:rsidRPr="00EB44F4" w:rsidRDefault="00EB44F4" w:rsidP="00EB44F4">
      <w:pPr>
        <w:pStyle w:val="NoSpacing"/>
        <w:rPr>
          <w:rFonts w:ascii="Times New Roman" w:hAnsi="Times New Roman"/>
          <w:bCs/>
          <w:sz w:val="24"/>
          <w:szCs w:val="24"/>
        </w:rPr>
      </w:pPr>
    </w:p>
    <w:p w14:paraId="63ADB3E8" w14:textId="77777777" w:rsidR="00EB44F4" w:rsidRPr="00EB44F4" w:rsidRDefault="00EB44F4" w:rsidP="00EB44F4">
      <w:pPr>
        <w:pStyle w:val="NoSpacing"/>
        <w:ind w:left="720"/>
        <w:rPr>
          <w:rFonts w:ascii="Times New Roman" w:hAnsi="Times New Roman"/>
          <w:bCs/>
          <w:sz w:val="24"/>
          <w:szCs w:val="24"/>
        </w:rPr>
      </w:pPr>
      <w:r w:rsidRPr="00EB44F4">
        <w:rPr>
          <w:rFonts w:ascii="Times New Roman" w:hAnsi="Times New Roman"/>
          <w:sz w:val="24"/>
          <w:szCs w:val="24"/>
        </w:rPr>
        <w:t>Note:  The Michigan Whistleblower Protect Act prohibits an employer from discharging, threatening, or otherwise discriminating against an employee “regarding the employee’s compensation, terms, conditions, location, or privileges of employment” because the employee reported, or was about to report, a violation or suspected violation of law to a public body, “verbally or in writing.” MCL 15.362</w:t>
      </w:r>
    </w:p>
    <w:p w14:paraId="758AF538" w14:textId="77777777" w:rsidR="00EB44F4" w:rsidRPr="00EB44F4" w:rsidRDefault="00EB44F4" w:rsidP="00B927E4">
      <w:pPr>
        <w:pStyle w:val="NoSpacing"/>
        <w:rPr>
          <w:rFonts w:ascii="Times New Roman" w:hAnsi="Times New Roman"/>
          <w:sz w:val="24"/>
          <w:szCs w:val="24"/>
        </w:rPr>
      </w:pPr>
    </w:p>
    <w:p w14:paraId="14E78B81" w14:textId="77777777" w:rsidR="00B927E4" w:rsidRPr="00B927E4" w:rsidRDefault="00B927E4" w:rsidP="00B927E4">
      <w:pPr>
        <w:pStyle w:val="NoSpacing"/>
        <w:rPr>
          <w:rFonts w:ascii="Times New Roman" w:hAnsi="Times New Roman"/>
          <w:sz w:val="24"/>
          <w:szCs w:val="24"/>
        </w:rPr>
      </w:pPr>
    </w:p>
    <w:p w14:paraId="57F0E3C0" w14:textId="77777777" w:rsidR="00B927E4" w:rsidRDefault="00B927E4" w:rsidP="00F91F9F">
      <w:pPr>
        <w:pStyle w:val="NoSpacing"/>
        <w:rPr>
          <w:rFonts w:ascii="Arial Black" w:hAnsi="Arial Black"/>
          <w:sz w:val="24"/>
          <w:szCs w:val="24"/>
        </w:rPr>
      </w:pPr>
    </w:p>
    <w:p w14:paraId="0B23CB25" w14:textId="77777777" w:rsidR="007B4499" w:rsidRDefault="007B4499" w:rsidP="00F91F9F">
      <w:pPr>
        <w:pStyle w:val="NoSpacing"/>
        <w:rPr>
          <w:rFonts w:ascii="Arial Black" w:hAnsi="Arial Black"/>
          <w:sz w:val="24"/>
          <w:szCs w:val="24"/>
        </w:rPr>
      </w:pPr>
    </w:p>
    <w:p w14:paraId="470C5165" w14:textId="77777777" w:rsidR="007B4499" w:rsidRDefault="007B4499" w:rsidP="00F91F9F">
      <w:pPr>
        <w:pStyle w:val="NoSpacing"/>
        <w:rPr>
          <w:rFonts w:ascii="Arial Black" w:hAnsi="Arial Black"/>
          <w:sz w:val="24"/>
          <w:szCs w:val="24"/>
        </w:rPr>
      </w:pPr>
    </w:p>
    <w:p w14:paraId="50931163" w14:textId="7734FE4A" w:rsidR="008E4442" w:rsidRDefault="008E4442" w:rsidP="00F91F9F">
      <w:pPr>
        <w:pStyle w:val="NoSpacing"/>
        <w:rPr>
          <w:rFonts w:ascii="Arial Black" w:hAnsi="Arial Black"/>
          <w:sz w:val="24"/>
          <w:szCs w:val="24"/>
        </w:rPr>
      </w:pPr>
      <w:r>
        <w:rPr>
          <w:rFonts w:ascii="Arial Black" w:hAnsi="Arial Black"/>
          <w:sz w:val="24"/>
          <w:szCs w:val="24"/>
        </w:rPr>
        <w:t>16-122</w:t>
      </w:r>
    </w:p>
    <w:p w14:paraId="5BBFAE15" w14:textId="77777777" w:rsidR="008E4442" w:rsidRDefault="008E4442" w:rsidP="00F91F9F">
      <w:pPr>
        <w:pStyle w:val="NoSpacing"/>
        <w:rPr>
          <w:rFonts w:ascii="Arial Black" w:hAnsi="Arial Black"/>
          <w:sz w:val="24"/>
          <w:szCs w:val="24"/>
        </w:rPr>
      </w:pPr>
    </w:p>
    <w:p w14:paraId="2C90BC01" w14:textId="77777777" w:rsidR="008E4442" w:rsidRDefault="008E4442" w:rsidP="008E4442">
      <w:pPr>
        <w:pStyle w:val="NoSpacing"/>
        <w:rPr>
          <w:rFonts w:ascii="Arial Black" w:hAnsi="Arial Black"/>
          <w:bCs/>
          <w:sz w:val="28"/>
          <w:szCs w:val="28"/>
        </w:rPr>
      </w:pPr>
      <w:r>
        <w:rPr>
          <w:rFonts w:ascii="Arial Black" w:hAnsi="Arial Black"/>
          <w:sz w:val="28"/>
          <w:szCs w:val="28"/>
        </w:rPr>
        <w:t>CO: CHIEF FIRED BY NEW BOARD – VIDEO / INSUR. LAPSE</w:t>
      </w:r>
    </w:p>
    <w:p w14:paraId="478935F3" w14:textId="77777777" w:rsidR="008E4442" w:rsidRDefault="008E4442" w:rsidP="008E4442">
      <w:pPr>
        <w:pStyle w:val="NoSpacing"/>
        <w:rPr>
          <w:rFonts w:ascii="Arial Black" w:hAnsi="Arial Black"/>
          <w:bCs/>
          <w:sz w:val="28"/>
          <w:szCs w:val="28"/>
        </w:rPr>
      </w:pPr>
    </w:p>
    <w:p w14:paraId="75E77EF8" w14:textId="77777777" w:rsidR="008E4442" w:rsidRPr="00803906" w:rsidRDefault="008E4442" w:rsidP="008E4442">
      <w:pPr>
        <w:pStyle w:val="NoSpacing"/>
        <w:rPr>
          <w:rFonts w:ascii="Times New Roman" w:hAnsi="Times New Roman"/>
          <w:bCs/>
          <w:sz w:val="24"/>
          <w:szCs w:val="24"/>
        </w:rPr>
      </w:pPr>
      <w:r w:rsidRPr="00803906">
        <w:rPr>
          <w:rFonts w:ascii="Times New Roman" w:hAnsi="Times New Roman"/>
          <w:sz w:val="24"/>
          <w:szCs w:val="24"/>
        </w:rPr>
        <w:t xml:space="preserve">On March 28, 2025, in </w:t>
      </w:r>
      <w:r w:rsidRPr="00803906">
        <w:rPr>
          <w:rFonts w:ascii="Times New Roman" w:hAnsi="Times New Roman"/>
          <w:sz w:val="24"/>
          <w:szCs w:val="24"/>
          <w:u w:val="single"/>
        </w:rPr>
        <w:t>Erik Holt v. Florissant Fire Protection District</w:t>
      </w:r>
      <w:r w:rsidRPr="00803906">
        <w:rPr>
          <w:rFonts w:ascii="Times New Roman" w:hAnsi="Times New Roman"/>
          <w:sz w:val="24"/>
          <w:szCs w:val="24"/>
        </w:rPr>
        <w:t xml:space="preserve">, U.S. District Court Judge </w:t>
      </w:r>
    </w:p>
    <w:p w14:paraId="4CFEEC2D" w14:textId="77777777" w:rsidR="008E4442" w:rsidRPr="00803906" w:rsidRDefault="008E4442" w:rsidP="008E4442">
      <w:pPr>
        <w:pStyle w:val="NoSpacing"/>
        <w:rPr>
          <w:rFonts w:ascii="Times New Roman" w:hAnsi="Times New Roman"/>
          <w:bCs/>
          <w:sz w:val="24"/>
          <w:szCs w:val="24"/>
        </w:rPr>
      </w:pPr>
      <w:r w:rsidRPr="00803906">
        <w:rPr>
          <w:rFonts w:ascii="Times New Roman" w:hAnsi="Times New Roman"/>
          <w:sz w:val="24"/>
          <w:szCs w:val="24"/>
        </w:rPr>
        <w:lastRenderedPageBreak/>
        <w:t xml:space="preserve">Nina Y. Wang, U.S. District Court of Colorado, granted the FD’s motion for summary judgment on the former Fire Chiefs sole remaining claim of First Amendment retaliation.  He was the only full-time employee of the Fire District since April 2022.  On May 2, 2023, an election was held at the Fire Station and mail in ballots for the FD Board, which resulted in the election of five non-incumbent candidates (taking office June 10).  The former Board President filed a civil lawsuit </w:t>
      </w:r>
      <w:proofErr w:type="gramStart"/>
      <w:r w:rsidRPr="00803906">
        <w:rPr>
          <w:rFonts w:ascii="Times New Roman" w:hAnsi="Times New Roman"/>
          <w:sz w:val="24"/>
          <w:szCs w:val="24"/>
        </w:rPr>
        <w:t>and also</w:t>
      </w:r>
      <w:proofErr w:type="gramEnd"/>
      <w:r w:rsidRPr="00803906">
        <w:rPr>
          <w:rFonts w:ascii="Times New Roman" w:hAnsi="Times New Roman"/>
          <w:sz w:val="24"/>
          <w:szCs w:val="24"/>
        </w:rPr>
        <w:t xml:space="preserve"> made a complaint to Teller County District Attorney's Office alleging the non-incumbents and their poll watchers violated state law against electioneering at polling places.  Without telling new Board President, on May 19 or 20 the Fire Chief met with DA investigator and turned over fire station security camera video of the May 2 voting at the station.  In early June the FD briefly lost insurance coverage for non-payment; the Fire Chief blamed new Board President, Paul del Toro, for freezing the district’s bank account without authorization. The Board fired Holt on June 22.  On Nov. 7, 2024, U.S. District Court Judge Wang dismissed most of the Chief’s initial lawsuit </w:t>
      </w:r>
      <w:proofErr w:type="gramStart"/>
      <w:r w:rsidRPr="00803906">
        <w:rPr>
          <w:rFonts w:ascii="Times New Roman" w:hAnsi="Times New Roman"/>
          <w:sz w:val="24"/>
          <w:szCs w:val="24"/>
        </w:rPr>
        <w:t>on the basis of</w:t>
      </w:r>
      <w:proofErr w:type="gramEnd"/>
      <w:r w:rsidRPr="00803906">
        <w:rPr>
          <w:rFonts w:ascii="Times New Roman" w:hAnsi="Times New Roman"/>
          <w:sz w:val="24"/>
          <w:szCs w:val="24"/>
        </w:rPr>
        <w:t xml:space="preserve"> governmental immunity – public entities such as FD are not liable under Colorado law for misconduct by its employees, even “willful or wanton misconduct.”  The Court allowed only the First Amendment retaliation claim to proceed – and now Judge Wang has dismissed that claim under </w:t>
      </w:r>
      <w:r w:rsidRPr="00803906">
        <w:rPr>
          <w:rFonts w:ascii="Times New Roman" w:hAnsi="Times New Roman"/>
          <w:i/>
          <w:iCs/>
          <w:sz w:val="24"/>
          <w:szCs w:val="24"/>
        </w:rPr>
        <w:t>Pickering v. Bd. Of Ed.</w:t>
      </w:r>
      <w:r w:rsidRPr="00803906">
        <w:rPr>
          <w:rFonts w:ascii="Times New Roman" w:hAnsi="Times New Roman"/>
          <w:sz w:val="24"/>
          <w:szCs w:val="24"/>
        </w:rPr>
        <w:t xml:space="preserve"> balancing test.  No First Amendment protection against retaliation since Fire Chief was not speaking as a citizen addressing matters of public concern.  </w:t>
      </w:r>
    </w:p>
    <w:p w14:paraId="6AB74C64" w14:textId="77777777" w:rsidR="008E4442" w:rsidRPr="00803906" w:rsidRDefault="008E4442" w:rsidP="008E4442">
      <w:pPr>
        <w:pStyle w:val="NoSpacing"/>
        <w:rPr>
          <w:rFonts w:ascii="Times New Roman" w:hAnsi="Times New Roman"/>
          <w:bCs/>
          <w:sz w:val="24"/>
          <w:szCs w:val="24"/>
        </w:rPr>
      </w:pPr>
      <w:hyperlink r:id="rId2603" w:history="1">
        <w:r w:rsidRPr="00803906">
          <w:rPr>
            <w:rStyle w:val="Hyperlink"/>
            <w:rFonts w:ascii="Times New Roman" w:hAnsi="Times New Roman"/>
            <w:sz w:val="24"/>
            <w:szCs w:val="24"/>
          </w:rPr>
          <w:t>https://public.fastcase.com/jaEE2PXzRXmZ99jOLMt1IhQHA9AMm9CcSN%2BGfYyS2p0Y8T4gWwr35mn7gDgy%2FrLSk1%2BX3TZDVCgonvjR5kmTn9ieZn6lPYykAdycfBPhja8%3D?utm_medium=email&amp;_hsenc=p2ANqtz-96viAoOgtBhpN3k-FXu0IciBKBTpaPEffa5PyEi7FQVITmUz8Kiu79qOEJdxGOe1egzOzFwK07j5P1hSXOAN4VGdmpNA&amp;_hsmi=226712652&amp;utm_content=226712652&amp;utm_source=hs_email</w:t>
        </w:r>
      </w:hyperlink>
      <w:r w:rsidRPr="00803906">
        <w:rPr>
          <w:rFonts w:ascii="Times New Roman" w:hAnsi="Times New Roman"/>
          <w:sz w:val="24"/>
          <w:szCs w:val="24"/>
        </w:rPr>
        <w:t xml:space="preserve">   </w:t>
      </w:r>
    </w:p>
    <w:p w14:paraId="2F92C4B2" w14:textId="77777777" w:rsidR="008E4442" w:rsidRPr="00803906" w:rsidRDefault="008E4442" w:rsidP="00F91F9F">
      <w:pPr>
        <w:pStyle w:val="NoSpacing"/>
        <w:rPr>
          <w:rFonts w:ascii="Times New Roman" w:hAnsi="Times New Roman"/>
          <w:sz w:val="24"/>
          <w:szCs w:val="24"/>
        </w:rPr>
      </w:pPr>
    </w:p>
    <w:p w14:paraId="2FB96EAB" w14:textId="77777777" w:rsidR="00803906" w:rsidRPr="00803906" w:rsidRDefault="00803906" w:rsidP="00803906">
      <w:pPr>
        <w:pStyle w:val="NoSpacing"/>
        <w:rPr>
          <w:rFonts w:ascii="Times New Roman" w:hAnsi="Times New Roman"/>
          <w:b/>
          <w:bCs/>
          <w:sz w:val="24"/>
          <w:szCs w:val="24"/>
        </w:rPr>
      </w:pPr>
      <w:r w:rsidRPr="00803906">
        <w:rPr>
          <w:rFonts w:ascii="Times New Roman" w:hAnsi="Times New Roman"/>
          <w:b/>
          <w:sz w:val="24"/>
          <w:szCs w:val="24"/>
        </w:rPr>
        <w:t xml:space="preserve">Legal Lesson Learned: </w:t>
      </w:r>
      <w:r w:rsidRPr="00803906">
        <w:rPr>
          <w:rFonts w:ascii="Times New Roman" w:hAnsi="Times New Roman"/>
          <w:b/>
          <w:i/>
          <w:iCs/>
          <w:sz w:val="24"/>
          <w:szCs w:val="24"/>
        </w:rPr>
        <w:t>Pickering</w:t>
      </w:r>
      <w:r w:rsidRPr="00803906">
        <w:rPr>
          <w:rFonts w:ascii="Times New Roman" w:hAnsi="Times New Roman"/>
          <w:b/>
          <w:sz w:val="24"/>
          <w:szCs w:val="24"/>
        </w:rPr>
        <w:t xml:space="preserve"> balancing test led to dismissal of this lawsuit – “interests of public employees in commenting on matters of public concern must be balanced with the employer's interests in promoting the efficiency of the public services.”</w:t>
      </w:r>
    </w:p>
    <w:p w14:paraId="77D774E7" w14:textId="77777777" w:rsidR="00803906" w:rsidRPr="00803906" w:rsidRDefault="00803906" w:rsidP="00803906">
      <w:pPr>
        <w:pStyle w:val="NoSpacing"/>
        <w:rPr>
          <w:rFonts w:ascii="Times New Roman" w:hAnsi="Times New Roman"/>
          <w:b/>
          <w:bCs/>
          <w:sz w:val="24"/>
          <w:szCs w:val="24"/>
        </w:rPr>
      </w:pPr>
    </w:p>
    <w:p w14:paraId="1FACB981" w14:textId="77777777" w:rsidR="00803906" w:rsidRPr="00803906" w:rsidRDefault="00803906" w:rsidP="00803906">
      <w:pPr>
        <w:pStyle w:val="NoSpacing"/>
        <w:ind w:left="720"/>
        <w:rPr>
          <w:rFonts w:ascii="Times New Roman" w:hAnsi="Times New Roman"/>
          <w:bCs/>
          <w:sz w:val="24"/>
          <w:szCs w:val="24"/>
        </w:rPr>
      </w:pPr>
      <w:r w:rsidRPr="00803906">
        <w:rPr>
          <w:rFonts w:ascii="Times New Roman" w:hAnsi="Times New Roman"/>
          <w:sz w:val="24"/>
          <w:szCs w:val="24"/>
        </w:rPr>
        <w:t xml:space="preserve">Note: See Nov. 24, </w:t>
      </w:r>
      <w:proofErr w:type="gramStart"/>
      <w:r w:rsidRPr="00803906">
        <w:rPr>
          <w:rFonts w:ascii="Times New Roman" w:hAnsi="Times New Roman"/>
          <w:sz w:val="24"/>
          <w:szCs w:val="24"/>
        </w:rPr>
        <w:t>2023</w:t>
      </w:r>
      <w:proofErr w:type="gramEnd"/>
      <w:r w:rsidRPr="00803906">
        <w:rPr>
          <w:rFonts w:ascii="Times New Roman" w:hAnsi="Times New Roman"/>
          <w:sz w:val="24"/>
          <w:szCs w:val="24"/>
        </w:rPr>
        <w:t xml:space="preserve"> article, “Federal judge partially dismisses ex-Florissant fire chief's wrongful termination claims. Erik Holt is continuing to pursue his First Amendment retaliation claim against his former </w:t>
      </w:r>
      <w:proofErr w:type="gramStart"/>
      <w:r w:rsidRPr="00803906">
        <w:rPr>
          <w:rFonts w:ascii="Times New Roman" w:hAnsi="Times New Roman"/>
          <w:sz w:val="24"/>
          <w:szCs w:val="24"/>
        </w:rPr>
        <w:t>employer.”</w:t>
      </w:r>
      <w:proofErr w:type="gramEnd"/>
      <w:r w:rsidRPr="00803906">
        <w:rPr>
          <w:rFonts w:ascii="Times New Roman" w:hAnsi="Times New Roman"/>
          <w:sz w:val="24"/>
          <w:szCs w:val="24"/>
        </w:rPr>
        <w:t xml:space="preserve"> </w:t>
      </w:r>
      <w:hyperlink r:id="rId2604" w:anchor="google_vignette" w:history="1">
        <w:r w:rsidRPr="00803906">
          <w:rPr>
            <w:rStyle w:val="Hyperlink"/>
            <w:rFonts w:ascii="Times New Roman" w:hAnsi="Times New Roman"/>
            <w:sz w:val="24"/>
            <w:szCs w:val="24"/>
          </w:rPr>
          <w:t>https://www.coloradopolitics.com/courts/federal-judge-partially-dismisses-ex-florissant-fire-chiefs-wrongful-termination-claims/article_7d67c6be-898a-11ee-b97e-7732fa191308.html#google_vignette</w:t>
        </w:r>
      </w:hyperlink>
      <w:r w:rsidRPr="00803906">
        <w:rPr>
          <w:rFonts w:ascii="Times New Roman" w:hAnsi="Times New Roman"/>
          <w:sz w:val="24"/>
          <w:szCs w:val="24"/>
        </w:rPr>
        <w:t xml:space="preserve"> </w:t>
      </w:r>
    </w:p>
    <w:p w14:paraId="40555FCE" w14:textId="77777777" w:rsidR="00803906" w:rsidRPr="00803906" w:rsidRDefault="00803906" w:rsidP="00803906">
      <w:pPr>
        <w:pStyle w:val="NoSpacing"/>
        <w:rPr>
          <w:rFonts w:ascii="Times New Roman" w:hAnsi="Times New Roman"/>
          <w:bCs/>
          <w:sz w:val="24"/>
          <w:szCs w:val="24"/>
        </w:rPr>
      </w:pPr>
    </w:p>
    <w:p w14:paraId="264948CA" w14:textId="77777777" w:rsidR="00803906" w:rsidRDefault="00803906" w:rsidP="00803906">
      <w:pPr>
        <w:pStyle w:val="NoSpacing"/>
        <w:ind w:left="720"/>
        <w:rPr>
          <w:bCs/>
        </w:rPr>
      </w:pPr>
      <w:r w:rsidRPr="00803906">
        <w:rPr>
          <w:rFonts w:ascii="Times New Roman" w:hAnsi="Times New Roman"/>
          <w:sz w:val="24"/>
          <w:szCs w:val="24"/>
        </w:rPr>
        <w:t xml:space="preserve">See Nov. 7, </w:t>
      </w:r>
      <w:proofErr w:type="gramStart"/>
      <w:r w:rsidRPr="00803906">
        <w:rPr>
          <w:rFonts w:ascii="Times New Roman" w:hAnsi="Times New Roman"/>
          <w:sz w:val="24"/>
          <w:szCs w:val="24"/>
        </w:rPr>
        <w:t>2024</w:t>
      </w:r>
      <w:proofErr w:type="gramEnd"/>
      <w:r w:rsidRPr="00803906">
        <w:rPr>
          <w:rFonts w:ascii="Times New Roman" w:hAnsi="Times New Roman"/>
          <w:sz w:val="24"/>
          <w:szCs w:val="24"/>
        </w:rPr>
        <w:t xml:space="preserve"> Court decision: </w:t>
      </w:r>
      <w:hyperlink r:id="rId2605" w:history="1">
        <w:r w:rsidRPr="00803906">
          <w:rPr>
            <w:rStyle w:val="Hyperlink"/>
            <w:rFonts w:ascii="Times New Roman" w:hAnsi="Times New Roman"/>
            <w:sz w:val="24"/>
            <w:szCs w:val="24"/>
          </w:rPr>
          <w:t>https://www.govinfo.gov/content/pkg/USCOURTS-cod-1_23-cv-01798/pdf/USCOURTS-cod-1_23-cv-01798-0.pdf</w:t>
        </w:r>
      </w:hyperlink>
      <w:r>
        <w:t xml:space="preserve"> </w:t>
      </w:r>
    </w:p>
    <w:p w14:paraId="59A52641" w14:textId="77777777" w:rsidR="00803906" w:rsidRDefault="00803906" w:rsidP="00F91F9F">
      <w:pPr>
        <w:pStyle w:val="NoSpacing"/>
        <w:rPr>
          <w:rFonts w:ascii="Arial Black" w:hAnsi="Arial Black"/>
          <w:sz w:val="24"/>
          <w:szCs w:val="24"/>
        </w:rPr>
      </w:pPr>
    </w:p>
    <w:p w14:paraId="180867B0" w14:textId="77777777" w:rsidR="008E4442" w:rsidRDefault="008E4442" w:rsidP="00F91F9F">
      <w:pPr>
        <w:pStyle w:val="NoSpacing"/>
        <w:rPr>
          <w:rFonts w:ascii="Arial Black" w:hAnsi="Arial Black"/>
          <w:sz w:val="24"/>
          <w:szCs w:val="24"/>
        </w:rPr>
      </w:pPr>
    </w:p>
    <w:p w14:paraId="34C0EC45" w14:textId="77777777" w:rsidR="008E4442" w:rsidRDefault="008E4442" w:rsidP="00F91F9F">
      <w:pPr>
        <w:pStyle w:val="NoSpacing"/>
        <w:rPr>
          <w:rFonts w:ascii="Arial Black" w:hAnsi="Arial Black"/>
          <w:sz w:val="24"/>
          <w:szCs w:val="24"/>
        </w:rPr>
      </w:pPr>
    </w:p>
    <w:p w14:paraId="7A27FEF6" w14:textId="157E9904" w:rsidR="00457219" w:rsidRDefault="00FD3A33" w:rsidP="00F91F9F">
      <w:pPr>
        <w:pStyle w:val="NoSpacing"/>
        <w:rPr>
          <w:rFonts w:ascii="Arial Black" w:hAnsi="Arial Black"/>
          <w:sz w:val="24"/>
          <w:szCs w:val="24"/>
        </w:rPr>
      </w:pPr>
      <w:r>
        <w:rPr>
          <w:rFonts w:ascii="Arial Black" w:hAnsi="Arial Black"/>
          <w:sz w:val="24"/>
          <w:szCs w:val="24"/>
        </w:rPr>
        <w:t>16-121</w:t>
      </w:r>
    </w:p>
    <w:p w14:paraId="5099BBA7" w14:textId="77777777" w:rsidR="008E4442" w:rsidRDefault="008E4442" w:rsidP="00FD3A33">
      <w:pPr>
        <w:rPr>
          <w:rFonts w:ascii="Arial Black" w:hAnsi="Arial Black"/>
          <w:b/>
          <w:sz w:val="28"/>
          <w:szCs w:val="28"/>
        </w:rPr>
      </w:pPr>
    </w:p>
    <w:p w14:paraId="7F4E000E" w14:textId="532A9835" w:rsidR="00FD3A33" w:rsidRPr="000B7F2C" w:rsidRDefault="00FD3A33" w:rsidP="00FD3A33">
      <w:pPr>
        <w:rPr>
          <w:rFonts w:ascii="Arial Black" w:hAnsi="Arial Black"/>
          <w:b/>
          <w:sz w:val="28"/>
          <w:szCs w:val="28"/>
        </w:rPr>
      </w:pPr>
      <w:r w:rsidRPr="000B7F2C">
        <w:rPr>
          <w:rFonts w:ascii="Arial Black" w:hAnsi="Arial Black"/>
          <w:b/>
          <w:sz w:val="28"/>
          <w:szCs w:val="28"/>
        </w:rPr>
        <w:t xml:space="preserve">CA: CHIEF FIRED B/C </w:t>
      </w:r>
      <w:r w:rsidR="000D4A64">
        <w:rPr>
          <w:rFonts w:ascii="Arial Black" w:hAnsi="Arial Black"/>
          <w:b/>
          <w:sz w:val="28"/>
          <w:szCs w:val="28"/>
        </w:rPr>
        <w:t>–</w:t>
      </w:r>
      <w:r w:rsidRPr="000B7F2C">
        <w:rPr>
          <w:rFonts w:ascii="Arial Black" w:hAnsi="Arial Black"/>
          <w:b/>
          <w:sz w:val="28"/>
          <w:szCs w:val="28"/>
        </w:rPr>
        <w:t xml:space="preserve"> </w:t>
      </w:r>
      <w:r w:rsidR="000D4A64">
        <w:rPr>
          <w:rFonts w:ascii="Arial Black" w:hAnsi="Arial Black"/>
          <w:b/>
          <w:sz w:val="28"/>
          <w:szCs w:val="28"/>
        </w:rPr>
        <w:t xml:space="preserve">AGAINST </w:t>
      </w:r>
      <w:r w:rsidRPr="000B7F2C">
        <w:rPr>
          <w:rFonts w:ascii="Arial Black" w:hAnsi="Arial Black"/>
          <w:b/>
          <w:sz w:val="28"/>
          <w:szCs w:val="28"/>
        </w:rPr>
        <w:t xml:space="preserve">CITY </w:t>
      </w:r>
      <w:r w:rsidR="000D4A64">
        <w:rPr>
          <w:rFonts w:ascii="Arial Black" w:hAnsi="Arial Black"/>
          <w:b/>
          <w:sz w:val="28"/>
          <w:szCs w:val="28"/>
        </w:rPr>
        <w:t xml:space="preserve">ADVICE </w:t>
      </w:r>
      <w:r w:rsidR="0046766E">
        <w:rPr>
          <w:rFonts w:ascii="Arial Black" w:hAnsi="Arial Black"/>
          <w:b/>
          <w:sz w:val="28"/>
          <w:szCs w:val="28"/>
        </w:rPr>
        <w:t>–</w:t>
      </w:r>
      <w:r w:rsidR="000D4A64">
        <w:rPr>
          <w:rFonts w:ascii="Arial Black" w:hAnsi="Arial Black"/>
          <w:b/>
          <w:sz w:val="28"/>
          <w:szCs w:val="28"/>
        </w:rPr>
        <w:t xml:space="preserve"> </w:t>
      </w:r>
      <w:r w:rsidR="0046766E">
        <w:rPr>
          <w:rFonts w:ascii="Arial Black" w:hAnsi="Arial Black"/>
          <w:b/>
          <w:sz w:val="28"/>
          <w:szCs w:val="28"/>
        </w:rPr>
        <w:t>CASE PROCEED</w:t>
      </w:r>
    </w:p>
    <w:p w14:paraId="6E6506EE" w14:textId="77777777" w:rsidR="00FD3A33" w:rsidRPr="00FD3A33" w:rsidRDefault="00FD3A33" w:rsidP="00FD3A33">
      <w:pPr>
        <w:rPr>
          <w:rFonts w:ascii="Times New Roman" w:hAnsi="Times New Roman"/>
          <w:sz w:val="24"/>
          <w:szCs w:val="24"/>
        </w:rPr>
      </w:pPr>
      <w:r w:rsidRPr="00FD3A33">
        <w:rPr>
          <w:rFonts w:ascii="Times New Roman" w:hAnsi="Times New Roman"/>
          <w:sz w:val="24"/>
          <w:szCs w:val="24"/>
        </w:rPr>
        <w:t xml:space="preserve">On Feb. 21, 2025, in </w:t>
      </w:r>
      <w:r w:rsidRPr="00FD3A33">
        <w:rPr>
          <w:rFonts w:ascii="Times New Roman" w:hAnsi="Times New Roman"/>
          <w:sz w:val="24"/>
          <w:szCs w:val="24"/>
          <w:u w:val="single"/>
        </w:rPr>
        <w:t>Patrick Vargas v. City of Tracy, South San Joaquin County Fire Authority; Randall Bradley, et al</w:t>
      </w:r>
      <w:r w:rsidRPr="00FD3A33">
        <w:rPr>
          <w:rFonts w:ascii="Times New Roman" w:hAnsi="Times New Roman"/>
          <w:sz w:val="24"/>
          <w:szCs w:val="24"/>
        </w:rPr>
        <w:t xml:space="preserve">., United States District Court Judge William B. </w:t>
      </w:r>
      <w:proofErr w:type="spellStart"/>
      <w:r w:rsidRPr="00FD3A33">
        <w:rPr>
          <w:rFonts w:ascii="Times New Roman" w:hAnsi="Times New Roman"/>
          <w:sz w:val="24"/>
          <w:szCs w:val="24"/>
        </w:rPr>
        <w:t>Shubb</w:t>
      </w:r>
      <w:proofErr w:type="spellEnd"/>
      <w:r w:rsidRPr="00FD3A33">
        <w:rPr>
          <w:rFonts w:ascii="Times New Roman" w:hAnsi="Times New Roman"/>
          <w:sz w:val="24"/>
          <w:szCs w:val="24"/>
        </w:rPr>
        <w:t xml:space="preserve">, U.S. District Court for Eastern District of California, denied the defense motion for summary judgment by County Fire Authority and Fire Chief Randall Bradley.  Battalion Chief Vargas’ wife on city council and opposed city fire department becoming county department.  He was suspended during investigation of harassment, but “City officials concluded that the harassment investigation did not provide a basis to terminate plaintiff and directed that plaintiff be removed from administrative leave and return to work, but [Fire Chief] Bradley terminated plaintiff on January 12, </w:t>
      </w:r>
      <w:r w:rsidRPr="00FD3A33">
        <w:rPr>
          <w:rFonts w:ascii="Times New Roman" w:hAnsi="Times New Roman"/>
          <w:sz w:val="24"/>
          <w:szCs w:val="24"/>
        </w:rPr>
        <w:lastRenderedPageBreak/>
        <w:t xml:space="preserve">2022.” </w:t>
      </w:r>
      <w:hyperlink r:id="rId2606" w:history="1">
        <w:r w:rsidRPr="00FD3A33">
          <w:rPr>
            <w:rStyle w:val="Hyperlink"/>
            <w:rFonts w:ascii="Times New Roman" w:hAnsi="Times New Roman"/>
            <w:sz w:val="24"/>
            <w:szCs w:val="24"/>
          </w:rPr>
          <w:t>https://public.fastcase.com/jaEE2PXzRXmZ99jOLMt1IvnyNWPww1WM4x9Gu%2FtN0VhNRAtIpNmmlJ0KM%2F7ZbO911LK6og3L2kiKY%2FASa5mScG8uOsEhAwFbnlzs62F6rSE%3D?utm_medium=email&amp;_hsenc=p2ANqtz-8WZqH_E7rdb_OeZm87WsAQDzZautt0uiTp2Bj7gwVxym265a6f7pCBzZ-RPNW5j-Z8_i7kqeL1it9h0mjMyyn0Q0mh5A&amp;_hsmi=226712652&amp;utm_content=226712652&amp;utm_source=hs_email</w:t>
        </w:r>
      </w:hyperlink>
      <w:r w:rsidRPr="00FD3A33">
        <w:rPr>
          <w:rFonts w:ascii="Times New Roman" w:hAnsi="Times New Roman"/>
          <w:sz w:val="24"/>
          <w:szCs w:val="24"/>
        </w:rPr>
        <w:t xml:space="preserve"> </w:t>
      </w:r>
    </w:p>
    <w:p w14:paraId="34C7BD64" w14:textId="77777777" w:rsidR="00FD3A33" w:rsidRPr="00FD3A33" w:rsidRDefault="00FD3A33" w:rsidP="00FD3A33">
      <w:pPr>
        <w:pStyle w:val="NoSpacing"/>
        <w:rPr>
          <w:rFonts w:ascii="Times New Roman" w:hAnsi="Times New Roman"/>
          <w:sz w:val="24"/>
          <w:szCs w:val="24"/>
        </w:rPr>
      </w:pPr>
      <w:r w:rsidRPr="00FD3A33">
        <w:rPr>
          <w:rFonts w:ascii="Times New Roman" w:hAnsi="Times New Roman"/>
          <w:sz w:val="24"/>
          <w:szCs w:val="24"/>
        </w:rPr>
        <w:t>The Court wrote:</w:t>
      </w:r>
    </w:p>
    <w:p w14:paraId="6DB97294" w14:textId="77777777" w:rsidR="00FD3A33" w:rsidRPr="00FD3A33" w:rsidRDefault="00FD3A33" w:rsidP="00FD3A33">
      <w:pPr>
        <w:pStyle w:val="NoSpacing"/>
        <w:rPr>
          <w:rFonts w:ascii="Times New Roman" w:hAnsi="Times New Roman"/>
          <w:sz w:val="24"/>
          <w:szCs w:val="24"/>
        </w:rPr>
      </w:pPr>
    </w:p>
    <w:p w14:paraId="7E6D7C04" w14:textId="77777777" w:rsidR="00FD3A33" w:rsidRPr="00FD3A33" w:rsidRDefault="00FD3A33" w:rsidP="00FD3A33">
      <w:pPr>
        <w:pStyle w:val="NoSpacing"/>
        <w:ind w:left="720"/>
        <w:rPr>
          <w:rFonts w:ascii="Times New Roman" w:hAnsi="Times New Roman"/>
          <w:sz w:val="24"/>
          <w:szCs w:val="24"/>
        </w:rPr>
      </w:pPr>
      <w:r w:rsidRPr="00FD3A33">
        <w:rPr>
          <w:rFonts w:ascii="Times New Roman" w:hAnsi="Times New Roman"/>
          <w:sz w:val="24"/>
          <w:szCs w:val="24"/>
        </w:rPr>
        <w:t>“Bradley brought allegations of timecard fraud to [City] Human Resources Director Kimberly Murdaugh on September 15, 2020 and third-party investigators ultimately found the allegation unsupported on March 23, 2021….On March 31, 2021, Bradley contacted Ms. Murdaugh and implored her to further investigate plaintiff, and harassment allegations against plaintiff surfaced on April 7, 2021, prompting a second investigation during which Bradley placed plaintiff on paid administrative leave. City officials concluded that the harassment investigation did not provide a basis to terminate plaintiff and directed that plaintiff be removed from administrative leave and return to work, but Bradley terminated plaintiff on January 12, 2022.</w:t>
      </w:r>
    </w:p>
    <w:p w14:paraId="493BA727" w14:textId="77777777" w:rsidR="00FD3A33" w:rsidRPr="00FD3A33" w:rsidRDefault="00FD3A33" w:rsidP="00FD3A33">
      <w:pPr>
        <w:pStyle w:val="NoSpacing"/>
        <w:rPr>
          <w:rFonts w:ascii="Times New Roman" w:hAnsi="Times New Roman"/>
          <w:sz w:val="24"/>
          <w:szCs w:val="24"/>
        </w:rPr>
      </w:pPr>
    </w:p>
    <w:p w14:paraId="10886D32" w14:textId="77777777" w:rsidR="00FD3A33" w:rsidRPr="00FD3A33" w:rsidRDefault="00FD3A33" w:rsidP="00FD3A33">
      <w:pPr>
        <w:pStyle w:val="NoSpacing"/>
        <w:ind w:firstLine="720"/>
        <w:rPr>
          <w:rFonts w:ascii="Times New Roman" w:hAnsi="Times New Roman"/>
          <w:sz w:val="24"/>
          <w:szCs w:val="24"/>
        </w:rPr>
      </w:pPr>
      <w:r w:rsidRPr="00FD3A33">
        <w:rPr>
          <w:rFonts w:ascii="Times New Roman" w:hAnsi="Times New Roman"/>
          <w:sz w:val="24"/>
          <w:szCs w:val="24"/>
        </w:rPr>
        <w:t>***</w:t>
      </w:r>
    </w:p>
    <w:p w14:paraId="5CD1CB76" w14:textId="77777777" w:rsidR="00FD3A33" w:rsidRPr="00FD3A33" w:rsidRDefault="00FD3A33" w:rsidP="00FD3A33">
      <w:pPr>
        <w:pStyle w:val="NoSpacing"/>
        <w:ind w:left="720"/>
        <w:rPr>
          <w:rFonts w:ascii="Times New Roman" w:hAnsi="Times New Roman"/>
          <w:sz w:val="24"/>
          <w:szCs w:val="24"/>
        </w:rPr>
      </w:pPr>
      <w:r w:rsidRPr="00FD3A33">
        <w:rPr>
          <w:rFonts w:ascii="Times New Roman" w:hAnsi="Times New Roman"/>
          <w:sz w:val="24"/>
          <w:szCs w:val="24"/>
        </w:rPr>
        <w:t xml:space="preserve">Plaintiff contends that Bradley, on behalf of the Fire Authority, took adverse employment actions against him based on Bradley's perception that plaintiff spoke negatively of the Plan [to replace city fire department with County department] to his wife, Ms. Vargas, who was a city councilor and was involved in the adoption and implementation of the Plan. Regardless of whether plaintiff </w:t>
      </w:r>
      <w:proofErr w:type="gramStart"/>
      <w:r w:rsidRPr="00FD3A33">
        <w:rPr>
          <w:rFonts w:ascii="Times New Roman" w:hAnsi="Times New Roman"/>
          <w:sz w:val="24"/>
          <w:szCs w:val="24"/>
        </w:rPr>
        <w:t>actually spoke</w:t>
      </w:r>
      <w:proofErr w:type="gramEnd"/>
      <w:r w:rsidRPr="00FD3A33">
        <w:rPr>
          <w:rFonts w:ascii="Times New Roman" w:hAnsi="Times New Roman"/>
          <w:sz w:val="24"/>
          <w:szCs w:val="24"/>
        </w:rPr>
        <w:t xml:space="preserve"> to his wife about the Plan, a retaliation claim based on ‘perceived speech’--i.e., speech that the plaintiff was incorrectly thought to have made -- is cognizable under the First Amendment.</w:t>
      </w:r>
    </w:p>
    <w:p w14:paraId="777765D3" w14:textId="77777777" w:rsidR="00FD3A33" w:rsidRPr="00FD3A33" w:rsidRDefault="00FD3A33" w:rsidP="00FD3A33">
      <w:pPr>
        <w:pStyle w:val="NoSpacing"/>
        <w:rPr>
          <w:rFonts w:ascii="Times New Roman" w:hAnsi="Times New Roman"/>
          <w:sz w:val="24"/>
          <w:szCs w:val="24"/>
        </w:rPr>
      </w:pPr>
    </w:p>
    <w:p w14:paraId="3A8A4870" w14:textId="77777777" w:rsidR="00FD3A33" w:rsidRPr="00FD3A33" w:rsidRDefault="00FD3A33" w:rsidP="00FD3A33">
      <w:pPr>
        <w:pStyle w:val="NoSpacing"/>
        <w:ind w:firstLine="720"/>
        <w:rPr>
          <w:rFonts w:ascii="Times New Roman" w:hAnsi="Times New Roman"/>
          <w:sz w:val="24"/>
          <w:szCs w:val="24"/>
        </w:rPr>
      </w:pPr>
      <w:r w:rsidRPr="00FD3A33">
        <w:rPr>
          <w:rFonts w:ascii="Times New Roman" w:hAnsi="Times New Roman"/>
          <w:sz w:val="24"/>
          <w:szCs w:val="24"/>
        </w:rPr>
        <w:t>***</w:t>
      </w:r>
    </w:p>
    <w:p w14:paraId="6609C308" w14:textId="77777777" w:rsidR="00FD3A33" w:rsidRPr="00FD3A33" w:rsidRDefault="00FD3A33" w:rsidP="00FD3A33">
      <w:pPr>
        <w:pStyle w:val="NoSpacing"/>
        <w:ind w:left="720"/>
        <w:rPr>
          <w:rFonts w:ascii="Times New Roman" w:hAnsi="Times New Roman"/>
          <w:sz w:val="24"/>
          <w:szCs w:val="24"/>
        </w:rPr>
      </w:pPr>
      <w:r w:rsidRPr="00FD3A33">
        <w:rPr>
          <w:rFonts w:ascii="Times New Roman" w:hAnsi="Times New Roman"/>
          <w:sz w:val="24"/>
          <w:szCs w:val="24"/>
        </w:rPr>
        <w:t>There is also evidence tending to show that Bradley's proffered reason for plaintiff's termination was pretextual. After an independent investigation found that the harassment investigation into plaintiff was biased by Bradley's involvement, City officials concluded that the harassment investigation's findings did not warrant termination and instructed Bradley to remove plaintiff from administrative leave, but Bradley terminated plaintiff regardless.”</w:t>
      </w:r>
    </w:p>
    <w:p w14:paraId="1F8BFBA6" w14:textId="77777777" w:rsidR="00FD3A33" w:rsidRPr="00FD3A33" w:rsidRDefault="00FD3A33" w:rsidP="00FD3A33">
      <w:pPr>
        <w:pStyle w:val="NoSpacing"/>
        <w:rPr>
          <w:rFonts w:ascii="Times New Roman" w:hAnsi="Times New Roman"/>
          <w:sz w:val="24"/>
          <w:szCs w:val="24"/>
        </w:rPr>
      </w:pPr>
    </w:p>
    <w:p w14:paraId="5841DECD" w14:textId="77777777" w:rsidR="00FD3A33" w:rsidRPr="00FD3A33" w:rsidRDefault="00FD3A33" w:rsidP="00FD3A33">
      <w:pPr>
        <w:pStyle w:val="NoSpacing"/>
        <w:rPr>
          <w:rFonts w:ascii="Times New Roman" w:hAnsi="Times New Roman"/>
          <w:b/>
          <w:bCs/>
          <w:sz w:val="24"/>
          <w:szCs w:val="24"/>
        </w:rPr>
      </w:pPr>
      <w:r w:rsidRPr="00FD3A33">
        <w:rPr>
          <w:rFonts w:ascii="Times New Roman" w:hAnsi="Times New Roman"/>
          <w:b/>
          <w:sz w:val="24"/>
          <w:szCs w:val="24"/>
        </w:rPr>
        <w:t>Legal Lesson Learned: Terminating a Battalion Chief, despite an independent investigation and city recommendation not to fire, raises serious suspicion of retaliation that can now go to a jury trial.</w:t>
      </w:r>
    </w:p>
    <w:p w14:paraId="720D53F5" w14:textId="77777777" w:rsidR="00FD3A33" w:rsidRDefault="00FD3A33" w:rsidP="00FD3A33">
      <w:pPr>
        <w:rPr>
          <w:bCs/>
        </w:rPr>
      </w:pPr>
    </w:p>
    <w:p w14:paraId="4147ECA3" w14:textId="77777777" w:rsidR="00FD3A33" w:rsidRDefault="00FD3A33" w:rsidP="00F91F9F">
      <w:pPr>
        <w:pStyle w:val="NoSpacing"/>
        <w:rPr>
          <w:rFonts w:ascii="Arial Black" w:hAnsi="Arial Black"/>
          <w:sz w:val="24"/>
          <w:szCs w:val="24"/>
        </w:rPr>
      </w:pPr>
    </w:p>
    <w:p w14:paraId="5498AE2F" w14:textId="77777777" w:rsidR="00457219" w:rsidRDefault="00457219" w:rsidP="00F91F9F">
      <w:pPr>
        <w:pStyle w:val="NoSpacing"/>
        <w:rPr>
          <w:rFonts w:ascii="Arial Black" w:hAnsi="Arial Black"/>
          <w:sz w:val="24"/>
          <w:szCs w:val="24"/>
        </w:rPr>
      </w:pPr>
    </w:p>
    <w:p w14:paraId="359452B6" w14:textId="6B6D2105" w:rsidR="008A7077" w:rsidRDefault="008A7077" w:rsidP="00F91F9F">
      <w:pPr>
        <w:pStyle w:val="NoSpacing"/>
        <w:rPr>
          <w:rFonts w:ascii="Arial Black" w:hAnsi="Arial Black"/>
          <w:sz w:val="24"/>
          <w:szCs w:val="24"/>
        </w:rPr>
      </w:pPr>
      <w:r>
        <w:rPr>
          <w:rFonts w:ascii="Arial Black" w:hAnsi="Arial Black"/>
          <w:sz w:val="24"/>
          <w:szCs w:val="24"/>
        </w:rPr>
        <w:t>16-120</w:t>
      </w:r>
    </w:p>
    <w:p w14:paraId="2E0B30AD" w14:textId="77777777" w:rsidR="008A7077" w:rsidRDefault="008A7077" w:rsidP="00F91F9F">
      <w:pPr>
        <w:pStyle w:val="NoSpacing"/>
        <w:rPr>
          <w:rFonts w:ascii="Arial Black" w:hAnsi="Arial Black"/>
          <w:sz w:val="24"/>
          <w:szCs w:val="24"/>
        </w:rPr>
      </w:pPr>
    </w:p>
    <w:p w14:paraId="6ACBAAEA" w14:textId="36061B21" w:rsidR="008A7077" w:rsidRDefault="008A7077" w:rsidP="008A7077">
      <w:pPr>
        <w:rPr>
          <w:rFonts w:ascii="Arial Black" w:hAnsi="Arial Black"/>
          <w:b/>
          <w:sz w:val="28"/>
          <w:szCs w:val="28"/>
        </w:rPr>
      </w:pPr>
      <w:r>
        <w:rPr>
          <w:rFonts w:ascii="Arial Black" w:hAnsi="Arial Black"/>
          <w:b/>
          <w:sz w:val="28"/>
          <w:szCs w:val="28"/>
        </w:rPr>
        <w:t xml:space="preserve">WV: OWNER </w:t>
      </w:r>
      <w:r w:rsidR="0046766E">
        <w:rPr>
          <w:rFonts w:ascii="Arial Black" w:hAnsi="Arial Black"/>
          <w:b/>
          <w:sz w:val="28"/>
          <w:szCs w:val="28"/>
        </w:rPr>
        <w:t>“</w:t>
      </w:r>
      <w:r>
        <w:rPr>
          <w:rFonts w:ascii="Arial Black" w:hAnsi="Arial Black"/>
          <w:b/>
          <w:sz w:val="28"/>
          <w:szCs w:val="28"/>
        </w:rPr>
        <w:t>STAT EMS</w:t>
      </w:r>
      <w:r w:rsidR="0046766E">
        <w:rPr>
          <w:rFonts w:ascii="Arial Black" w:hAnsi="Arial Black"/>
          <w:b/>
          <w:sz w:val="28"/>
          <w:szCs w:val="28"/>
        </w:rPr>
        <w:t>” COMPANY</w:t>
      </w:r>
      <w:r>
        <w:rPr>
          <w:rFonts w:ascii="Arial Black" w:hAnsi="Arial Black"/>
          <w:b/>
          <w:sz w:val="28"/>
          <w:szCs w:val="28"/>
        </w:rPr>
        <w:t xml:space="preserve"> – $3.3M UNPAID TAXES – CONV</w:t>
      </w:r>
      <w:r w:rsidR="0046766E">
        <w:rPr>
          <w:rFonts w:ascii="Arial Black" w:hAnsi="Arial Black"/>
          <w:b/>
          <w:sz w:val="28"/>
          <w:szCs w:val="28"/>
        </w:rPr>
        <w:t>ICTED</w:t>
      </w:r>
    </w:p>
    <w:p w14:paraId="2268C460" w14:textId="77777777" w:rsidR="008A7077" w:rsidRPr="00DF71DE" w:rsidRDefault="008A7077" w:rsidP="008A7077">
      <w:pPr>
        <w:pStyle w:val="NoSpacing"/>
        <w:rPr>
          <w:rFonts w:ascii="Times New Roman" w:hAnsi="Times New Roman"/>
          <w:sz w:val="24"/>
          <w:szCs w:val="24"/>
        </w:rPr>
      </w:pPr>
      <w:r w:rsidRPr="00DF71DE">
        <w:rPr>
          <w:rFonts w:ascii="Times New Roman" w:hAnsi="Times New Roman"/>
          <w:sz w:val="24"/>
          <w:szCs w:val="24"/>
        </w:rPr>
        <w:t xml:space="preserve">On Jan. 2, 2025, in </w:t>
      </w:r>
      <w:r w:rsidRPr="00DF71DE">
        <w:rPr>
          <w:rFonts w:ascii="Times New Roman" w:hAnsi="Times New Roman"/>
          <w:sz w:val="24"/>
          <w:szCs w:val="24"/>
          <w:u w:val="single"/>
        </w:rPr>
        <w:t>United States of America v. Christopher Smyth</w:t>
      </w:r>
      <w:r w:rsidRPr="00DF71DE">
        <w:rPr>
          <w:rFonts w:ascii="Times New Roman" w:hAnsi="Times New Roman"/>
          <w:sz w:val="24"/>
          <w:szCs w:val="24"/>
        </w:rPr>
        <w:t xml:space="preserve">, U.S. District Court Chief Judge Frank W. Volk denied the defendant’s request for a downward departure from the federal sentencing guidelines.  He was convicted by a jury on May 3, </w:t>
      </w:r>
      <w:proofErr w:type="gramStart"/>
      <w:r w:rsidRPr="00DF71DE">
        <w:rPr>
          <w:rFonts w:ascii="Times New Roman" w:hAnsi="Times New Roman"/>
          <w:sz w:val="24"/>
          <w:szCs w:val="24"/>
        </w:rPr>
        <w:t>2024</w:t>
      </w:r>
      <w:proofErr w:type="gramEnd"/>
      <w:r w:rsidRPr="00DF71DE">
        <w:rPr>
          <w:rFonts w:ascii="Times New Roman" w:hAnsi="Times New Roman"/>
          <w:sz w:val="24"/>
          <w:szCs w:val="24"/>
        </w:rPr>
        <w:t xml:space="preserve"> by a federal jury in Beckley, West Virginia, for failing to pay the taxes withheld from employees’ wages at an ambulance service he operated and for obstructing the IRS.   Judge Volk was not impressed by the argument that the defendant was motivated by a desire to protect his community by continuing critical emergency services.  “Simply put, Mr. Smyth could have paid the trust fund taxes he had </w:t>
      </w:r>
      <w:r w:rsidRPr="00DF71DE">
        <w:rPr>
          <w:rFonts w:ascii="Times New Roman" w:hAnsi="Times New Roman"/>
          <w:sz w:val="24"/>
          <w:szCs w:val="24"/>
        </w:rPr>
        <w:lastRenderedPageBreak/>
        <w:t xml:space="preserve">already collected from STAT EMS employees. He redirected the funds elsewhere.”  Mr. Smith will be sentenced on March 3, 2025. </w:t>
      </w:r>
      <w:hyperlink r:id="rId2607" w:history="1">
        <w:r w:rsidRPr="00DF71DE">
          <w:rPr>
            <w:rStyle w:val="Hyperlink"/>
            <w:rFonts w:ascii="Times New Roman" w:hAnsi="Times New Roman"/>
            <w:sz w:val="24"/>
            <w:szCs w:val="24"/>
          </w:rPr>
          <w:t>https://www.wvsd.uscourts.gov/sites/wvsd/files/opinions/MOO_20250102_5_22-cr-00182.pdf</w:t>
        </w:r>
      </w:hyperlink>
      <w:r w:rsidRPr="00DF71DE">
        <w:rPr>
          <w:rFonts w:ascii="Times New Roman" w:hAnsi="Times New Roman"/>
          <w:sz w:val="24"/>
          <w:szCs w:val="24"/>
        </w:rPr>
        <w:t xml:space="preserve"> </w:t>
      </w:r>
    </w:p>
    <w:p w14:paraId="284269F9" w14:textId="77777777" w:rsidR="008A7077" w:rsidRPr="00DF71DE" w:rsidRDefault="008A7077" w:rsidP="008A7077">
      <w:pPr>
        <w:pStyle w:val="NoSpacing"/>
        <w:rPr>
          <w:rFonts w:ascii="Times New Roman" w:hAnsi="Times New Roman"/>
          <w:sz w:val="24"/>
          <w:szCs w:val="24"/>
        </w:rPr>
      </w:pPr>
    </w:p>
    <w:p w14:paraId="16E839CB" w14:textId="77777777" w:rsidR="008A7077" w:rsidRPr="00DF71DE" w:rsidRDefault="008A7077" w:rsidP="008A7077">
      <w:pPr>
        <w:pStyle w:val="NoSpacing"/>
        <w:rPr>
          <w:rFonts w:ascii="Times New Roman" w:hAnsi="Times New Roman"/>
          <w:sz w:val="24"/>
          <w:szCs w:val="24"/>
        </w:rPr>
      </w:pPr>
      <w:r w:rsidRPr="00DF71DE">
        <w:rPr>
          <w:rFonts w:ascii="Times New Roman" w:hAnsi="Times New Roman"/>
          <w:sz w:val="24"/>
          <w:szCs w:val="24"/>
        </w:rPr>
        <w:t>The Court wrote:</w:t>
      </w:r>
    </w:p>
    <w:p w14:paraId="65FDED65" w14:textId="77777777" w:rsidR="008A7077" w:rsidRPr="00DF71DE" w:rsidRDefault="008A7077" w:rsidP="008A7077">
      <w:pPr>
        <w:pStyle w:val="NoSpacing"/>
        <w:rPr>
          <w:rFonts w:ascii="Times New Roman" w:hAnsi="Times New Roman"/>
          <w:sz w:val="24"/>
          <w:szCs w:val="24"/>
        </w:rPr>
      </w:pPr>
    </w:p>
    <w:p w14:paraId="598934ED" w14:textId="77777777" w:rsidR="008A7077" w:rsidRPr="00DF71DE" w:rsidRDefault="008A7077" w:rsidP="008A7077">
      <w:pPr>
        <w:pStyle w:val="NoSpacing"/>
        <w:ind w:firstLine="720"/>
        <w:rPr>
          <w:rFonts w:ascii="Times New Roman" w:hAnsi="Times New Roman"/>
          <w:sz w:val="24"/>
          <w:szCs w:val="24"/>
        </w:rPr>
      </w:pPr>
      <w:r w:rsidRPr="00DF71DE">
        <w:rPr>
          <w:rFonts w:ascii="Times New Roman" w:hAnsi="Times New Roman"/>
          <w:sz w:val="24"/>
          <w:szCs w:val="24"/>
        </w:rPr>
        <w:t>“Mr. Smyth contends his criminal conduct was motivated by a desire to protect his</w:t>
      </w:r>
    </w:p>
    <w:p w14:paraId="7FC03DE3" w14:textId="77777777" w:rsidR="008A7077" w:rsidRPr="00DF71DE" w:rsidRDefault="008A7077" w:rsidP="008A7077">
      <w:pPr>
        <w:pStyle w:val="NoSpacing"/>
        <w:ind w:left="720"/>
        <w:rPr>
          <w:rFonts w:ascii="Times New Roman" w:hAnsi="Times New Roman"/>
          <w:sz w:val="24"/>
          <w:szCs w:val="24"/>
        </w:rPr>
      </w:pPr>
      <w:r w:rsidRPr="00DF71DE">
        <w:rPr>
          <w:rFonts w:ascii="Times New Roman" w:hAnsi="Times New Roman"/>
          <w:sz w:val="24"/>
          <w:szCs w:val="24"/>
        </w:rPr>
        <w:t xml:space="preserve">community by continuing critical emergency services. [ECF 148 at 4]. He claims STAT EMS lacked sufficient funds to pay the trust fund taxes, </w:t>
      </w:r>
      <w:proofErr w:type="gramStart"/>
      <w:r w:rsidRPr="00DF71DE">
        <w:rPr>
          <w:rFonts w:ascii="Times New Roman" w:hAnsi="Times New Roman"/>
          <w:sz w:val="24"/>
          <w:szCs w:val="24"/>
        </w:rPr>
        <w:t>inasmuch as</w:t>
      </w:r>
      <w:proofErr w:type="gramEnd"/>
      <w:r w:rsidRPr="00DF71DE">
        <w:rPr>
          <w:rFonts w:ascii="Times New Roman" w:hAnsi="Times New Roman"/>
          <w:sz w:val="24"/>
          <w:szCs w:val="24"/>
        </w:rPr>
        <w:t xml:space="preserve"> </w:t>
      </w:r>
      <w:proofErr w:type="gramStart"/>
      <w:r w:rsidRPr="00DF71DE">
        <w:rPr>
          <w:rFonts w:ascii="Times New Roman" w:hAnsi="Times New Roman"/>
          <w:sz w:val="24"/>
          <w:szCs w:val="24"/>
        </w:rPr>
        <w:t>it earlier</w:t>
      </w:r>
      <w:proofErr w:type="gramEnd"/>
      <w:r w:rsidRPr="00DF71DE">
        <w:rPr>
          <w:rFonts w:ascii="Times New Roman" w:hAnsi="Times New Roman"/>
          <w:sz w:val="24"/>
          <w:szCs w:val="24"/>
        </w:rPr>
        <w:t xml:space="preserve"> absorbed two failed ambulance companies. [Id. at 3–4]. He further contends the IRS acknowledged the importance of the services by foregoing levy against STAT EMS or liquidating its assets. [Id. at 4]. For these reasons, he seeks the subject departure and a downward variance.</w:t>
      </w:r>
    </w:p>
    <w:p w14:paraId="0D132CD9" w14:textId="77777777" w:rsidR="008A7077" w:rsidRPr="00DF71DE" w:rsidRDefault="008A7077" w:rsidP="008A7077">
      <w:pPr>
        <w:pStyle w:val="NoSpacing"/>
        <w:rPr>
          <w:rFonts w:ascii="Times New Roman" w:hAnsi="Times New Roman"/>
          <w:sz w:val="24"/>
          <w:szCs w:val="24"/>
        </w:rPr>
      </w:pPr>
    </w:p>
    <w:p w14:paraId="33AC2C37" w14:textId="77777777" w:rsidR="008A7077" w:rsidRPr="00DF71DE" w:rsidRDefault="008A7077" w:rsidP="008A7077">
      <w:pPr>
        <w:pStyle w:val="NoSpacing"/>
        <w:ind w:firstLine="720"/>
        <w:rPr>
          <w:rFonts w:ascii="Times New Roman" w:hAnsi="Times New Roman"/>
          <w:sz w:val="24"/>
          <w:szCs w:val="24"/>
        </w:rPr>
      </w:pPr>
      <w:r w:rsidRPr="00DF71DE">
        <w:rPr>
          <w:rFonts w:ascii="Times New Roman" w:hAnsi="Times New Roman"/>
          <w:sz w:val="24"/>
          <w:szCs w:val="24"/>
        </w:rPr>
        <w:t>***</w:t>
      </w:r>
    </w:p>
    <w:p w14:paraId="6F291A56" w14:textId="77777777" w:rsidR="008A7077" w:rsidRPr="00DF71DE" w:rsidRDefault="008A7077" w:rsidP="008A7077">
      <w:pPr>
        <w:pStyle w:val="NoSpacing"/>
        <w:rPr>
          <w:rFonts w:ascii="Times New Roman" w:hAnsi="Times New Roman"/>
          <w:sz w:val="24"/>
          <w:szCs w:val="24"/>
        </w:rPr>
      </w:pPr>
    </w:p>
    <w:p w14:paraId="16E445B6" w14:textId="77777777" w:rsidR="008A7077" w:rsidRPr="00DF71DE" w:rsidRDefault="008A7077" w:rsidP="008A7077">
      <w:pPr>
        <w:pStyle w:val="NoSpacing"/>
        <w:ind w:left="720"/>
        <w:rPr>
          <w:rFonts w:ascii="Times New Roman" w:hAnsi="Times New Roman"/>
          <w:sz w:val="24"/>
          <w:szCs w:val="24"/>
        </w:rPr>
      </w:pPr>
      <w:r w:rsidRPr="00DF71DE">
        <w:rPr>
          <w:rFonts w:ascii="Times New Roman" w:hAnsi="Times New Roman"/>
          <w:sz w:val="24"/>
          <w:szCs w:val="24"/>
        </w:rPr>
        <w:t>Mr. Smyth’s decades-long dodge of his taxpayer obligations deprived the Sovereign of monies used to fund essential governmental services. It is our elected representatives who hold the privilege and responsibility for funding decisions. Instead of permitting those policy decisions to be made by the ones to whom the power is reserved, however, Mr. Smyth made his own funding allocation. And he seeks a reduction for doing so. The approach is quite distorted.</w:t>
      </w:r>
    </w:p>
    <w:p w14:paraId="4E532352" w14:textId="77777777" w:rsidR="008A7077" w:rsidRPr="00DF71DE" w:rsidRDefault="008A7077" w:rsidP="008A7077">
      <w:pPr>
        <w:pStyle w:val="NoSpacing"/>
        <w:rPr>
          <w:rFonts w:ascii="Times New Roman" w:hAnsi="Times New Roman"/>
          <w:sz w:val="24"/>
          <w:szCs w:val="24"/>
        </w:rPr>
      </w:pPr>
    </w:p>
    <w:p w14:paraId="667ED036" w14:textId="77777777" w:rsidR="008A7077" w:rsidRPr="00DF71DE" w:rsidRDefault="008A7077" w:rsidP="008A7077">
      <w:pPr>
        <w:pStyle w:val="NoSpacing"/>
        <w:ind w:firstLine="720"/>
        <w:rPr>
          <w:rFonts w:ascii="Times New Roman" w:hAnsi="Times New Roman"/>
          <w:sz w:val="24"/>
          <w:szCs w:val="24"/>
        </w:rPr>
      </w:pPr>
      <w:r w:rsidRPr="00DF71DE">
        <w:rPr>
          <w:rFonts w:ascii="Times New Roman" w:hAnsi="Times New Roman"/>
          <w:sz w:val="24"/>
          <w:szCs w:val="24"/>
        </w:rPr>
        <w:t>Mr. Smyth also contends his crimes resulted from insufficient funds after absorbing</w:t>
      </w:r>
    </w:p>
    <w:p w14:paraId="2A069623" w14:textId="77777777" w:rsidR="008A7077" w:rsidRPr="00DF71DE" w:rsidRDefault="008A7077" w:rsidP="008A7077">
      <w:pPr>
        <w:pStyle w:val="NoSpacing"/>
        <w:ind w:left="720"/>
        <w:rPr>
          <w:rFonts w:ascii="Times New Roman" w:hAnsi="Times New Roman"/>
          <w:sz w:val="24"/>
          <w:szCs w:val="24"/>
        </w:rPr>
      </w:pPr>
      <w:r w:rsidRPr="00DF71DE">
        <w:rPr>
          <w:rFonts w:ascii="Times New Roman" w:hAnsi="Times New Roman"/>
          <w:sz w:val="24"/>
          <w:szCs w:val="24"/>
        </w:rPr>
        <w:t xml:space="preserve">two failed ambulance services in 2014. [ECF 148 at 3–4]. That is inaccurate. His tax crimes started long prior. [See PSR at 5]. The trial surfaced not only Mr. Smyth’s failure to pay his trust fund taxes, but also his decision to pay himself, his family, his friends, and the businesses they operated. Mr. Smyth also managed to meet his tax obligations shortly after coming </w:t>
      </w:r>
      <w:proofErr w:type="gramStart"/>
      <w:r w:rsidRPr="00DF71DE">
        <w:rPr>
          <w:rFonts w:ascii="Times New Roman" w:hAnsi="Times New Roman"/>
          <w:sz w:val="24"/>
          <w:szCs w:val="24"/>
        </w:rPr>
        <w:t>under</w:t>
      </w:r>
      <w:proofErr w:type="gramEnd"/>
      <w:r w:rsidRPr="00DF71DE">
        <w:rPr>
          <w:rFonts w:ascii="Times New Roman" w:hAnsi="Times New Roman"/>
          <w:sz w:val="24"/>
          <w:szCs w:val="24"/>
        </w:rPr>
        <w:t xml:space="preserve"> criminal investigation. Simply put, Mr. Smyth could have paid the trust fund taxes he had already collected from STAT EMS employees. He redirected the funds elsewhere.</w:t>
      </w:r>
    </w:p>
    <w:p w14:paraId="59BA937B" w14:textId="77777777" w:rsidR="008A7077" w:rsidRPr="00DF71DE" w:rsidRDefault="008A7077" w:rsidP="008A7077">
      <w:pPr>
        <w:pStyle w:val="NoSpacing"/>
        <w:rPr>
          <w:rFonts w:ascii="Times New Roman" w:hAnsi="Times New Roman"/>
          <w:sz w:val="24"/>
          <w:szCs w:val="24"/>
        </w:rPr>
      </w:pPr>
    </w:p>
    <w:p w14:paraId="65B8BC8F" w14:textId="77777777" w:rsidR="008A7077" w:rsidRPr="00DF71DE" w:rsidRDefault="008A7077" w:rsidP="008A7077">
      <w:pPr>
        <w:pStyle w:val="NoSpacing"/>
        <w:ind w:firstLine="720"/>
        <w:rPr>
          <w:rFonts w:ascii="Times New Roman" w:hAnsi="Times New Roman"/>
          <w:sz w:val="24"/>
          <w:szCs w:val="24"/>
        </w:rPr>
      </w:pPr>
      <w:r w:rsidRPr="00DF71DE">
        <w:rPr>
          <w:rFonts w:ascii="Times New Roman" w:hAnsi="Times New Roman"/>
          <w:sz w:val="24"/>
          <w:szCs w:val="24"/>
        </w:rPr>
        <w:t>In sum, Mr. Smyth shorted the Sovereign and the tax-paying public. Under such</w:t>
      </w:r>
    </w:p>
    <w:p w14:paraId="7B26A2D8" w14:textId="77777777" w:rsidR="008A7077" w:rsidRPr="00DF71DE" w:rsidRDefault="008A7077" w:rsidP="008A7077">
      <w:pPr>
        <w:pStyle w:val="NoSpacing"/>
        <w:ind w:left="720"/>
        <w:rPr>
          <w:rFonts w:ascii="Times New Roman" w:hAnsi="Times New Roman"/>
          <w:sz w:val="24"/>
          <w:szCs w:val="24"/>
        </w:rPr>
      </w:pPr>
      <w:r w:rsidRPr="00DF71DE">
        <w:rPr>
          <w:rFonts w:ascii="Times New Roman" w:hAnsi="Times New Roman"/>
          <w:sz w:val="24"/>
          <w:szCs w:val="24"/>
        </w:rPr>
        <w:t>circumstances, a downward departure is inappropriate. A ruling on the variance request awaits further development by counsel at sentencing.”</w:t>
      </w:r>
    </w:p>
    <w:p w14:paraId="14424410" w14:textId="77777777" w:rsidR="008A7077" w:rsidRPr="00DF71DE" w:rsidRDefault="008A7077" w:rsidP="008A7077">
      <w:pPr>
        <w:pStyle w:val="NoSpacing"/>
        <w:ind w:left="720"/>
        <w:rPr>
          <w:rFonts w:ascii="Times New Roman" w:hAnsi="Times New Roman"/>
          <w:sz w:val="24"/>
          <w:szCs w:val="24"/>
        </w:rPr>
      </w:pPr>
    </w:p>
    <w:p w14:paraId="4D39DC93" w14:textId="77777777" w:rsidR="008A7077" w:rsidRPr="00DF71DE" w:rsidRDefault="008A7077" w:rsidP="008A7077">
      <w:pPr>
        <w:pStyle w:val="NoSpacing"/>
        <w:rPr>
          <w:rFonts w:ascii="Times New Roman" w:hAnsi="Times New Roman"/>
          <w:b/>
          <w:bCs/>
          <w:sz w:val="24"/>
          <w:szCs w:val="24"/>
        </w:rPr>
      </w:pPr>
      <w:r w:rsidRPr="00DF71DE">
        <w:rPr>
          <w:rFonts w:ascii="Times New Roman" w:hAnsi="Times New Roman"/>
          <w:b/>
          <w:sz w:val="24"/>
          <w:szCs w:val="24"/>
        </w:rPr>
        <w:t xml:space="preserve">Legal Lesson Learned:  Failure to pay taxes can result in jail time. </w:t>
      </w:r>
    </w:p>
    <w:p w14:paraId="3FCFC72C" w14:textId="77777777" w:rsidR="008A7077" w:rsidRPr="00DF71DE" w:rsidRDefault="008A7077" w:rsidP="008A7077">
      <w:pPr>
        <w:rPr>
          <w:rFonts w:ascii="Times New Roman" w:hAnsi="Times New Roman"/>
          <w:b/>
          <w:sz w:val="24"/>
          <w:szCs w:val="24"/>
        </w:rPr>
      </w:pPr>
    </w:p>
    <w:p w14:paraId="2118BFAC" w14:textId="77777777" w:rsidR="008A7077" w:rsidRPr="00DF71DE" w:rsidRDefault="008A7077" w:rsidP="008A7077">
      <w:pPr>
        <w:ind w:left="720"/>
        <w:rPr>
          <w:rFonts w:ascii="Times New Roman" w:hAnsi="Times New Roman"/>
          <w:bCs/>
          <w:sz w:val="24"/>
          <w:szCs w:val="24"/>
        </w:rPr>
      </w:pPr>
      <w:r w:rsidRPr="00DF71DE">
        <w:rPr>
          <w:rFonts w:ascii="Times New Roman" w:hAnsi="Times New Roman"/>
          <w:sz w:val="24"/>
          <w:szCs w:val="24"/>
        </w:rPr>
        <w:t>Note: See May 3, 2024, U.S. Department of Justice press release, “West Virginia Ambulance Services Business Owner Convicted of Tax Crimes.”</w:t>
      </w:r>
    </w:p>
    <w:p w14:paraId="4D7DF769" w14:textId="77777777" w:rsidR="008A7077" w:rsidRPr="00DF71DE" w:rsidRDefault="008A7077" w:rsidP="008A7077">
      <w:pPr>
        <w:ind w:left="720"/>
        <w:rPr>
          <w:rFonts w:ascii="Times New Roman" w:hAnsi="Times New Roman"/>
          <w:bCs/>
          <w:sz w:val="24"/>
          <w:szCs w:val="24"/>
        </w:rPr>
      </w:pPr>
      <w:r w:rsidRPr="00DF71DE">
        <w:rPr>
          <w:rFonts w:ascii="Times New Roman" w:hAnsi="Times New Roman"/>
          <w:sz w:val="24"/>
          <w:szCs w:val="24"/>
        </w:rPr>
        <w:t>“A federal jury in Beckley, West Virginia, convicted a man yesterday for failing to pay the taxes withheld from employees’ wages at an ambulance service he operated and for obstructing the IRS.   According to evidence presented at trial, from 2012 through part of 2017, Christopher Jason Smyth operated Stat EMS LLC, an ambulance service located in Pineville, West Virginia. Smyth created Stat EMS after a previous ambulance business Smyth operated accrued millions of dollars of employment tax liabilities and filed for bankruptcy. Smyth caused Stat EMS to be founded in the name of a nominee owner but continued operating the business in the same manner as before.</w:t>
      </w:r>
    </w:p>
    <w:p w14:paraId="74894D62" w14:textId="25178C41" w:rsidR="008A7077" w:rsidRPr="00DF71DE" w:rsidRDefault="008A7077" w:rsidP="008A7077">
      <w:pPr>
        <w:ind w:left="720"/>
        <w:rPr>
          <w:rFonts w:ascii="Times New Roman" w:hAnsi="Times New Roman"/>
          <w:bCs/>
          <w:sz w:val="24"/>
          <w:szCs w:val="24"/>
        </w:rPr>
      </w:pPr>
      <w:r w:rsidRPr="00DF71DE">
        <w:rPr>
          <w:rFonts w:ascii="Times New Roman" w:hAnsi="Times New Roman"/>
          <w:sz w:val="24"/>
          <w:szCs w:val="24"/>
        </w:rPr>
        <w:t xml:space="preserve">At Stat EMS, Smyth was responsible for withholding Social Security, Medicare and income taxes from employees’ wages and paying them to the IRS. For two quarters in 2016, Smyth, however, did not fully pay the taxes to the IRS. Instead, he paid various personal expenses and transferred funds to businesses </w:t>
      </w:r>
      <w:r w:rsidRPr="00DF71DE">
        <w:rPr>
          <w:rFonts w:ascii="Times New Roman" w:hAnsi="Times New Roman"/>
          <w:sz w:val="24"/>
          <w:szCs w:val="24"/>
        </w:rPr>
        <w:lastRenderedPageBreak/>
        <w:t xml:space="preserve">held by his friends and family. The IRS determined that Stat EMS accrued approximately $3.3 million in unpaid </w:t>
      </w:r>
      <w:proofErr w:type="gramStart"/>
      <w:r w:rsidR="00DF71DE" w:rsidRPr="00DF71DE">
        <w:rPr>
          <w:rFonts w:ascii="Times New Roman" w:hAnsi="Times New Roman"/>
          <w:sz w:val="24"/>
          <w:szCs w:val="24"/>
        </w:rPr>
        <w:t>taxes.</w:t>
      </w:r>
      <w:r w:rsidR="00DF71DE">
        <w:rPr>
          <w:rFonts w:ascii="Times New Roman" w:hAnsi="Times New Roman"/>
          <w:sz w:val="24"/>
          <w:szCs w:val="24"/>
        </w:rPr>
        <w:t>”</w:t>
      </w:r>
      <w:proofErr w:type="gramEnd"/>
    </w:p>
    <w:p w14:paraId="526AAB6D" w14:textId="77777777" w:rsidR="008A7077" w:rsidRDefault="008A7077" w:rsidP="008A7077">
      <w:pPr>
        <w:rPr>
          <w:b/>
        </w:rPr>
      </w:pPr>
    </w:p>
    <w:p w14:paraId="6DF1A81F" w14:textId="77777777" w:rsidR="008A7077" w:rsidRDefault="008A7077" w:rsidP="00F91F9F">
      <w:pPr>
        <w:pStyle w:val="NoSpacing"/>
        <w:rPr>
          <w:rFonts w:ascii="Arial Black" w:hAnsi="Arial Black"/>
          <w:sz w:val="24"/>
          <w:szCs w:val="24"/>
        </w:rPr>
      </w:pPr>
    </w:p>
    <w:p w14:paraId="2DE44799" w14:textId="77777777" w:rsidR="008A7077" w:rsidRDefault="008A7077" w:rsidP="00F91F9F">
      <w:pPr>
        <w:pStyle w:val="NoSpacing"/>
        <w:rPr>
          <w:rFonts w:ascii="Arial Black" w:hAnsi="Arial Black"/>
          <w:sz w:val="24"/>
          <w:szCs w:val="24"/>
        </w:rPr>
      </w:pPr>
    </w:p>
    <w:p w14:paraId="4FF3EEEA" w14:textId="77777777" w:rsidR="008A7077" w:rsidRDefault="008A7077" w:rsidP="00F91F9F">
      <w:pPr>
        <w:pStyle w:val="NoSpacing"/>
        <w:rPr>
          <w:rFonts w:ascii="Arial Black" w:hAnsi="Arial Black"/>
          <w:sz w:val="24"/>
          <w:szCs w:val="24"/>
        </w:rPr>
      </w:pPr>
    </w:p>
    <w:p w14:paraId="1A3E4068" w14:textId="299B901A" w:rsidR="00921B8A" w:rsidRDefault="00921B8A" w:rsidP="00F91F9F">
      <w:pPr>
        <w:pStyle w:val="NoSpacing"/>
        <w:rPr>
          <w:rFonts w:ascii="Arial Black" w:hAnsi="Arial Black"/>
          <w:sz w:val="24"/>
          <w:szCs w:val="24"/>
        </w:rPr>
      </w:pPr>
      <w:r>
        <w:rPr>
          <w:rFonts w:ascii="Arial Black" w:hAnsi="Arial Black"/>
          <w:sz w:val="24"/>
          <w:szCs w:val="24"/>
        </w:rPr>
        <w:t>16-119</w:t>
      </w:r>
    </w:p>
    <w:p w14:paraId="0BBF3020" w14:textId="77777777" w:rsidR="00921B8A" w:rsidRDefault="00921B8A" w:rsidP="00F91F9F">
      <w:pPr>
        <w:pStyle w:val="NoSpacing"/>
        <w:rPr>
          <w:rFonts w:ascii="Arial Black" w:hAnsi="Arial Black"/>
          <w:sz w:val="24"/>
          <w:szCs w:val="24"/>
        </w:rPr>
      </w:pPr>
    </w:p>
    <w:p w14:paraId="3F309FF6" w14:textId="77777777" w:rsidR="0063723E" w:rsidRPr="00913FB8" w:rsidRDefault="0063723E" w:rsidP="0063723E">
      <w:pPr>
        <w:pStyle w:val="NoSpacing"/>
        <w:rPr>
          <w:rFonts w:ascii="Arial Black" w:hAnsi="Arial Black"/>
          <w:sz w:val="28"/>
          <w:szCs w:val="28"/>
        </w:rPr>
      </w:pPr>
      <w:r>
        <w:rPr>
          <w:rFonts w:ascii="Arial Black" w:hAnsi="Arial Black"/>
          <w:sz w:val="28"/>
          <w:szCs w:val="28"/>
        </w:rPr>
        <w:t xml:space="preserve">MI: WHISTLEBLOWER, REPT BAD TIRES – LATER FIRED </w:t>
      </w:r>
    </w:p>
    <w:p w14:paraId="4775763C" w14:textId="77777777" w:rsidR="0063723E" w:rsidRDefault="0063723E" w:rsidP="0063723E">
      <w:pPr>
        <w:pStyle w:val="NoSpacing"/>
      </w:pPr>
    </w:p>
    <w:p w14:paraId="05A387C3" w14:textId="77777777" w:rsidR="00054479" w:rsidRPr="00054479" w:rsidRDefault="00054479" w:rsidP="00054479">
      <w:pPr>
        <w:pStyle w:val="NoSpacing"/>
        <w:rPr>
          <w:rFonts w:ascii="Times New Roman" w:hAnsi="Times New Roman"/>
          <w:sz w:val="24"/>
          <w:szCs w:val="24"/>
        </w:rPr>
      </w:pPr>
      <w:r w:rsidRPr="00054479">
        <w:rPr>
          <w:rFonts w:ascii="Times New Roman" w:hAnsi="Times New Roman"/>
          <w:sz w:val="24"/>
          <w:szCs w:val="24"/>
        </w:rPr>
        <w:t xml:space="preserve">On Dec. 19, 2024, in </w:t>
      </w:r>
      <w:r w:rsidRPr="00054479">
        <w:rPr>
          <w:rFonts w:ascii="Times New Roman" w:hAnsi="Times New Roman"/>
          <w:sz w:val="24"/>
          <w:szCs w:val="24"/>
          <w:u w:val="single"/>
        </w:rPr>
        <w:t>Dale Gorm v. Northern Bay Ambulance &amp; Rescue</w:t>
      </w:r>
      <w:r w:rsidRPr="00054479">
        <w:rPr>
          <w:rFonts w:ascii="Times New Roman" w:hAnsi="Times New Roman"/>
          <w:sz w:val="24"/>
          <w:szCs w:val="24"/>
        </w:rPr>
        <w:t xml:space="preserve">, the Michigan Court of Appeals held (3 to 0; unpublished decision) that the trial court improperly granted summary judgment to the ambulance company.  In 2022, Paramedic Gorm complained twice to Chairman of Board about poor tires on the ambulances </w:t>
      </w:r>
      <w:proofErr w:type="gramStart"/>
      <w:r w:rsidRPr="00054479">
        <w:rPr>
          <w:rFonts w:ascii="Times New Roman" w:hAnsi="Times New Roman"/>
          <w:sz w:val="24"/>
          <w:szCs w:val="24"/>
        </w:rPr>
        <w:t>and also</w:t>
      </w:r>
      <w:proofErr w:type="gramEnd"/>
      <w:r w:rsidRPr="00054479">
        <w:rPr>
          <w:rFonts w:ascii="Times New Roman" w:hAnsi="Times New Roman"/>
          <w:sz w:val="24"/>
          <w:szCs w:val="24"/>
        </w:rPr>
        <w:t xml:space="preserve"> complained that the Operations Manager, Ms. Jones, was doing poor job and should be fired.  The complaint was about two months prior to being fired.  On July 1, 2022, he inadvertently found on the common-use copier a document with EMS salary info and social security numbers, and he showed it two other EMS on duty.  He was fired July 14 for “privacy breach.” </w:t>
      </w:r>
      <w:hyperlink r:id="rId2608" w:history="1">
        <w:r w:rsidRPr="00054479">
          <w:rPr>
            <w:rStyle w:val="Hyperlink"/>
            <w:rFonts w:ascii="Times New Roman" w:hAnsi="Times New Roman"/>
            <w:sz w:val="24"/>
            <w:szCs w:val="24"/>
          </w:rPr>
          <w:t>https://cases.justia.com/michigan/court-of-appeals-unpublished/2024-368783.pdf?ts=1734703212</w:t>
        </w:r>
      </w:hyperlink>
      <w:r w:rsidRPr="00054479">
        <w:rPr>
          <w:rFonts w:ascii="Times New Roman" w:hAnsi="Times New Roman"/>
          <w:sz w:val="24"/>
          <w:szCs w:val="24"/>
        </w:rPr>
        <w:t xml:space="preserve"> </w:t>
      </w:r>
    </w:p>
    <w:p w14:paraId="0B490466" w14:textId="77777777" w:rsidR="00054479" w:rsidRDefault="00054479" w:rsidP="0063723E">
      <w:pPr>
        <w:pStyle w:val="NoSpacing"/>
        <w:rPr>
          <w:rFonts w:ascii="Times New Roman" w:hAnsi="Times New Roman"/>
          <w:sz w:val="24"/>
          <w:szCs w:val="24"/>
        </w:rPr>
      </w:pPr>
    </w:p>
    <w:p w14:paraId="5A8633E4" w14:textId="77777777" w:rsidR="00054479" w:rsidRDefault="00054479" w:rsidP="0063723E">
      <w:pPr>
        <w:pStyle w:val="NoSpacing"/>
        <w:rPr>
          <w:rFonts w:ascii="Times New Roman" w:hAnsi="Times New Roman"/>
          <w:sz w:val="24"/>
          <w:szCs w:val="24"/>
        </w:rPr>
      </w:pPr>
    </w:p>
    <w:p w14:paraId="0E41B549" w14:textId="18EDB9E4" w:rsidR="0063723E" w:rsidRPr="0063723E" w:rsidRDefault="0063723E" w:rsidP="0063723E">
      <w:pPr>
        <w:pStyle w:val="NoSpacing"/>
        <w:rPr>
          <w:rFonts w:ascii="Times New Roman" w:hAnsi="Times New Roman"/>
          <w:sz w:val="24"/>
          <w:szCs w:val="24"/>
        </w:rPr>
      </w:pPr>
      <w:r w:rsidRPr="0063723E">
        <w:rPr>
          <w:rFonts w:ascii="Times New Roman" w:hAnsi="Times New Roman"/>
          <w:sz w:val="24"/>
          <w:szCs w:val="24"/>
        </w:rPr>
        <w:t>The Cour</w:t>
      </w:r>
      <w:r w:rsidR="0080636C">
        <w:rPr>
          <w:rFonts w:ascii="Times New Roman" w:hAnsi="Times New Roman"/>
          <w:sz w:val="24"/>
          <w:szCs w:val="24"/>
        </w:rPr>
        <w:t>t wrote</w:t>
      </w:r>
      <w:r w:rsidRPr="0063723E">
        <w:rPr>
          <w:rFonts w:ascii="Times New Roman" w:hAnsi="Times New Roman"/>
          <w:sz w:val="24"/>
          <w:szCs w:val="24"/>
        </w:rPr>
        <w:t xml:space="preserve">: </w:t>
      </w:r>
    </w:p>
    <w:p w14:paraId="0A9C3108" w14:textId="77777777" w:rsidR="0080636C" w:rsidRDefault="0080636C" w:rsidP="0063723E">
      <w:pPr>
        <w:pStyle w:val="NoSpacing"/>
        <w:ind w:firstLine="720"/>
        <w:rPr>
          <w:rFonts w:ascii="Times New Roman" w:hAnsi="Times New Roman"/>
          <w:sz w:val="24"/>
          <w:szCs w:val="24"/>
        </w:rPr>
      </w:pPr>
    </w:p>
    <w:p w14:paraId="09D46BE5" w14:textId="73010EA8" w:rsidR="0063723E" w:rsidRPr="0063723E" w:rsidRDefault="0063723E" w:rsidP="0063723E">
      <w:pPr>
        <w:pStyle w:val="NoSpacing"/>
        <w:ind w:firstLine="720"/>
        <w:rPr>
          <w:rFonts w:ascii="Times New Roman" w:hAnsi="Times New Roman"/>
          <w:sz w:val="24"/>
          <w:szCs w:val="24"/>
        </w:rPr>
      </w:pPr>
      <w:r w:rsidRPr="0063723E">
        <w:rPr>
          <w:rFonts w:ascii="Times New Roman" w:hAnsi="Times New Roman"/>
          <w:sz w:val="24"/>
          <w:szCs w:val="24"/>
        </w:rPr>
        <w:t>“In sum, plaintiff presented sufficient circumstantial evidence to allow a reasonable fact-</w:t>
      </w:r>
    </w:p>
    <w:p w14:paraId="353BDEC7" w14:textId="2511A5E6" w:rsidR="0063723E" w:rsidRPr="0063723E" w:rsidRDefault="0063723E" w:rsidP="0063723E">
      <w:pPr>
        <w:pStyle w:val="NoSpacing"/>
        <w:ind w:left="720"/>
        <w:rPr>
          <w:rFonts w:ascii="Times New Roman" w:hAnsi="Times New Roman"/>
          <w:sz w:val="24"/>
          <w:szCs w:val="24"/>
        </w:rPr>
      </w:pPr>
      <w:r w:rsidRPr="0063723E">
        <w:rPr>
          <w:rFonts w:ascii="Times New Roman" w:hAnsi="Times New Roman"/>
          <w:sz w:val="24"/>
          <w:szCs w:val="24"/>
        </w:rPr>
        <w:t xml:space="preserve">finder to infer that plaintiff’s protected activity, i.e., reporting Jones’s failures to the Chairman, was a motivating factor in the decision to terminate him. A reasonable </w:t>
      </w:r>
      <w:proofErr w:type="gramStart"/>
      <w:r w:rsidRPr="0063723E">
        <w:rPr>
          <w:rFonts w:ascii="Times New Roman" w:hAnsi="Times New Roman"/>
          <w:sz w:val="24"/>
          <w:szCs w:val="24"/>
        </w:rPr>
        <w:t>fact-finder</w:t>
      </w:r>
      <w:proofErr w:type="gramEnd"/>
      <w:r w:rsidRPr="0063723E">
        <w:rPr>
          <w:rFonts w:ascii="Times New Roman" w:hAnsi="Times New Roman"/>
          <w:sz w:val="24"/>
          <w:szCs w:val="24"/>
        </w:rPr>
        <w:t xml:space="preserve"> could also infer that the proposed legitimate business reason—the privacy breach—was just a pretext. Therefore, there is an issue of fact as to why plaintiff was fired ‘upon which reasonable minds might differ.’ West, 469 Mich at 183.” </w:t>
      </w:r>
    </w:p>
    <w:p w14:paraId="30460BB9" w14:textId="77777777" w:rsidR="00850F47" w:rsidRDefault="00850F47" w:rsidP="002E3928">
      <w:pPr>
        <w:pStyle w:val="NoSpacing"/>
      </w:pPr>
    </w:p>
    <w:p w14:paraId="6110C56C" w14:textId="42FE4912" w:rsidR="002E3928" w:rsidRPr="00850F47" w:rsidRDefault="002E3928" w:rsidP="002E3928">
      <w:pPr>
        <w:pStyle w:val="NoSpacing"/>
        <w:rPr>
          <w:rFonts w:ascii="Times New Roman" w:hAnsi="Times New Roman"/>
          <w:sz w:val="24"/>
          <w:szCs w:val="24"/>
        </w:rPr>
      </w:pPr>
      <w:r w:rsidRPr="00850F47">
        <w:rPr>
          <w:rFonts w:ascii="Times New Roman" w:hAnsi="Times New Roman"/>
          <w:sz w:val="24"/>
          <w:szCs w:val="24"/>
        </w:rPr>
        <w:t>HOLDING:</w:t>
      </w:r>
    </w:p>
    <w:p w14:paraId="5B729953" w14:textId="77777777" w:rsidR="002E3928" w:rsidRPr="00850F47" w:rsidRDefault="002E3928" w:rsidP="002E3928">
      <w:pPr>
        <w:pStyle w:val="NoSpacing"/>
        <w:ind w:left="720"/>
        <w:rPr>
          <w:rFonts w:ascii="Times New Roman" w:hAnsi="Times New Roman"/>
          <w:sz w:val="24"/>
          <w:szCs w:val="24"/>
        </w:rPr>
      </w:pPr>
    </w:p>
    <w:p w14:paraId="5670DDDE" w14:textId="77777777" w:rsidR="002E3928" w:rsidRPr="00850F47" w:rsidRDefault="002E3928" w:rsidP="002E3928">
      <w:pPr>
        <w:pStyle w:val="NoSpacing"/>
        <w:ind w:left="720"/>
        <w:rPr>
          <w:rFonts w:ascii="Times New Roman" w:hAnsi="Times New Roman"/>
          <w:sz w:val="24"/>
          <w:szCs w:val="24"/>
        </w:rPr>
      </w:pPr>
      <w:r w:rsidRPr="00850F47">
        <w:rPr>
          <w:rFonts w:ascii="Times New Roman" w:hAnsi="Times New Roman"/>
          <w:sz w:val="24"/>
          <w:szCs w:val="24"/>
        </w:rPr>
        <w:t>“Plaintiff filed a lawsuit alleging that defendant retaliated against him in violation of the</w:t>
      </w:r>
    </w:p>
    <w:p w14:paraId="42FC69E3" w14:textId="77777777" w:rsidR="002E3928" w:rsidRPr="00850F47" w:rsidRDefault="002E3928" w:rsidP="002E3928">
      <w:pPr>
        <w:pStyle w:val="NoSpacing"/>
        <w:ind w:left="720"/>
        <w:rPr>
          <w:rFonts w:ascii="Times New Roman" w:hAnsi="Times New Roman"/>
          <w:sz w:val="24"/>
          <w:szCs w:val="24"/>
        </w:rPr>
      </w:pPr>
      <w:r w:rsidRPr="00850F47">
        <w:rPr>
          <w:rFonts w:ascii="Times New Roman" w:hAnsi="Times New Roman"/>
          <w:sz w:val="24"/>
          <w:szCs w:val="24"/>
        </w:rPr>
        <w:t>Whistleblowers’ Protection Act (WPA), MCL 15.369 et seq</w:t>
      </w:r>
      <w:proofErr w:type="gramStart"/>
      <w:r w:rsidRPr="00850F47">
        <w:rPr>
          <w:rFonts w:ascii="Times New Roman" w:hAnsi="Times New Roman"/>
          <w:sz w:val="24"/>
          <w:szCs w:val="24"/>
        </w:rPr>
        <w:t>.…</w:t>
      </w:r>
      <w:proofErr w:type="gramEnd"/>
      <w:r w:rsidRPr="00850F47">
        <w:rPr>
          <w:rFonts w:ascii="Times New Roman" w:hAnsi="Times New Roman"/>
          <w:sz w:val="24"/>
          <w:szCs w:val="24"/>
        </w:rPr>
        <w:t xml:space="preserve"> Pursuant to MCL 15.362, the WPA prohibits an employer from taking adverse employment action against an employee who </w:t>
      </w:r>
      <w:proofErr w:type="gramStart"/>
      <w:r w:rsidRPr="00850F47">
        <w:rPr>
          <w:rFonts w:ascii="Times New Roman" w:hAnsi="Times New Roman"/>
          <w:sz w:val="24"/>
          <w:szCs w:val="24"/>
        </w:rPr>
        <w:t>reports, ‘</w:t>
      </w:r>
      <w:proofErr w:type="gramEnd"/>
      <w:r w:rsidRPr="00850F47">
        <w:rPr>
          <w:rFonts w:ascii="Times New Roman" w:hAnsi="Times New Roman"/>
          <w:sz w:val="24"/>
          <w:szCs w:val="24"/>
        </w:rPr>
        <w:t>or is about to report, a violation or suspected violation</w:t>
      </w:r>
    </w:p>
    <w:p w14:paraId="6876F3F1" w14:textId="77777777" w:rsidR="002E3928" w:rsidRPr="00850F47" w:rsidRDefault="002E3928" w:rsidP="002E3928">
      <w:pPr>
        <w:pStyle w:val="NoSpacing"/>
        <w:ind w:left="720"/>
        <w:rPr>
          <w:rFonts w:ascii="Times New Roman" w:hAnsi="Times New Roman"/>
          <w:sz w:val="24"/>
          <w:szCs w:val="24"/>
        </w:rPr>
      </w:pPr>
      <w:r w:rsidRPr="00850F47">
        <w:rPr>
          <w:rFonts w:ascii="Times New Roman" w:hAnsi="Times New Roman"/>
          <w:sz w:val="24"/>
          <w:szCs w:val="24"/>
        </w:rPr>
        <w:t>of law to a public body,’ verbally or in writing.</w:t>
      </w:r>
    </w:p>
    <w:p w14:paraId="36795385" w14:textId="77777777" w:rsidR="002E3928" w:rsidRPr="00850F47" w:rsidRDefault="002E3928" w:rsidP="002E3928">
      <w:pPr>
        <w:pStyle w:val="NoSpacing"/>
        <w:ind w:left="720"/>
        <w:rPr>
          <w:rFonts w:ascii="Times New Roman" w:hAnsi="Times New Roman"/>
          <w:sz w:val="24"/>
          <w:szCs w:val="24"/>
        </w:rPr>
      </w:pPr>
    </w:p>
    <w:p w14:paraId="6785EF87" w14:textId="77777777" w:rsidR="002E3928" w:rsidRPr="00850F47" w:rsidRDefault="002E3928" w:rsidP="002E3928">
      <w:pPr>
        <w:pStyle w:val="NoSpacing"/>
        <w:ind w:left="720"/>
        <w:rPr>
          <w:rFonts w:ascii="Times New Roman" w:hAnsi="Times New Roman"/>
          <w:sz w:val="24"/>
          <w:szCs w:val="24"/>
        </w:rPr>
      </w:pPr>
      <w:r w:rsidRPr="00850F47">
        <w:rPr>
          <w:rFonts w:ascii="Times New Roman" w:hAnsi="Times New Roman"/>
          <w:sz w:val="24"/>
          <w:szCs w:val="24"/>
        </w:rPr>
        <w:t>***</w:t>
      </w:r>
    </w:p>
    <w:p w14:paraId="1843028F" w14:textId="77777777" w:rsidR="002E3928" w:rsidRPr="00850F47" w:rsidRDefault="002E3928" w:rsidP="002E3928">
      <w:pPr>
        <w:pStyle w:val="NoSpacing"/>
        <w:ind w:firstLine="720"/>
        <w:rPr>
          <w:rFonts w:ascii="Times New Roman" w:hAnsi="Times New Roman"/>
          <w:sz w:val="24"/>
          <w:szCs w:val="24"/>
        </w:rPr>
      </w:pPr>
      <w:r w:rsidRPr="00850F47">
        <w:rPr>
          <w:rFonts w:ascii="Times New Roman" w:hAnsi="Times New Roman"/>
          <w:sz w:val="24"/>
          <w:szCs w:val="24"/>
        </w:rPr>
        <w:t>In this case, plaintiff reported twice about poorly maintained tires. It is undisputed that</w:t>
      </w:r>
    </w:p>
    <w:p w14:paraId="5DC5ECBB" w14:textId="77777777" w:rsidR="002E3928" w:rsidRPr="00850F47" w:rsidRDefault="002E3928" w:rsidP="002E3928">
      <w:pPr>
        <w:pStyle w:val="NoSpacing"/>
        <w:ind w:firstLine="720"/>
        <w:rPr>
          <w:rFonts w:ascii="Times New Roman" w:hAnsi="Times New Roman"/>
          <w:sz w:val="24"/>
          <w:szCs w:val="24"/>
        </w:rPr>
      </w:pPr>
      <w:proofErr w:type="gramStart"/>
      <w:r w:rsidRPr="00850F47">
        <w:rPr>
          <w:rFonts w:ascii="Times New Roman" w:hAnsi="Times New Roman"/>
          <w:sz w:val="24"/>
          <w:szCs w:val="24"/>
        </w:rPr>
        <w:t>both</w:t>
      </w:r>
      <w:proofErr w:type="gramEnd"/>
      <w:r w:rsidRPr="00850F47">
        <w:rPr>
          <w:rFonts w:ascii="Times New Roman" w:hAnsi="Times New Roman"/>
          <w:sz w:val="24"/>
          <w:szCs w:val="24"/>
        </w:rPr>
        <w:t xml:space="preserve"> of those reports constitute a protected activity under the WPA.</w:t>
      </w:r>
    </w:p>
    <w:p w14:paraId="0D17B866" w14:textId="77777777" w:rsidR="002E3928" w:rsidRPr="00850F47" w:rsidRDefault="002E3928" w:rsidP="002E3928">
      <w:pPr>
        <w:pStyle w:val="NoSpacing"/>
        <w:ind w:firstLine="720"/>
        <w:rPr>
          <w:rFonts w:ascii="Times New Roman" w:hAnsi="Times New Roman"/>
          <w:sz w:val="24"/>
          <w:szCs w:val="24"/>
        </w:rPr>
      </w:pPr>
    </w:p>
    <w:p w14:paraId="6209DB33" w14:textId="77777777" w:rsidR="002E3928" w:rsidRPr="00850F47" w:rsidRDefault="002E3928" w:rsidP="002E3928">
      <w:pPr>
        <w:pStyle w:val="NoSpacing"/>
        <w:ind w:firstLine="720"/>
        <w:rPr>
          <w:rFonts w:ascii="Times New Roman" w:hAnsi="Times New Roman"/>
          <w:sz w:val="24"/>
          <w:szCs w:val="24"/>
        </w:rPr>
      </w:pPr>
      <w:r w:rsidRPr="00850F47">
        <w:rPr>
          <w:rFonts w:ascii="Times New Roman" w:hAnsi="Times New Roman"/>
          <w:sz w:val="24"/>
          <w:szCs w:val="24"/>
        </w:rPr>
        <w:t>***</w:t>
      </w:r>
    </w:p>
    <w:p w14:paraId="2F2B0B92" w14:textId="77777777" w:rsidR="002E3928" w:rsidRPr="00850F47" w:rsidRDefault="002E3928" w:rsidP="002E3928">
      <w:pPr>
        <w:pStyle w:val="NoSpacing"/>
        <w:ind w:left="720"/>
        <w:rPr>
          <w:rFonts w:ascii="Times New Roman" w:hAnsi="Times New Roman"/>
          <w:sz w:val="24"/>
          <w:szCs w:val="24"/>
        </w:rPr>
      </w:pPr>
      <w:r w:rsidRPr="00850F47">
        <w:rPr>
          <w:rFonts w:ascii="Times New Roman" w:hAnsi="Times New Roman"/>
          <w:sz w:val="24"/>
          <w:szCs w:val="24"/>
        </w:rPr>
        <w:t xml:space="preserve">There is no clear reason why Jones fired plaintiff but did not take any disciplinary actions against Granger, even though Granger </w:t>
      </w:r>
      <w:proofErr w:type="gramStart"/>
      <w:r w:rsidRPr="00850F47">
        <w:rPr>
          <w:rFonts w:ascii="Times New Roman" w:hAnsi="Times New Roman"/>
          <w:sz w:val="24"/>
          <w:szCs w:val="24"/>
        </w:rPr>
        <w:t>actually took</w:t>
      </w:r>
      <w:proofErr w:type="gramEnd"/>
      <w:r w:rsidRPr="00850F47">
        <w:rPr>
          <w:rFonts w:ascii="Times New Roman" w:hAnsi="Times New Roman"/>
          <w:sz w:val="24"/>
          <w:szCs w:val="24"/>
        </w:rPr>
        <w:t xml:space="preserve"> extra steps and indicated her plan to use private and sensitive information against her colleague, albeit jokingly. If a party submits documentary evidence to support his or her position, the jury should decide issues of </w:t>
      </w:r>
      <w:proofErr w:type="gramStart"/>
      <w:r w:rsidRPr="00850F47">
        <w:rPr>
          <w:rFonts w:ascii="Times New Roman" w:hAnsi="Times New Roman"/>
          <w:sz w:val="24"/>
          <w:szCs w:val="24"/>
        </w:rPr>
        <w:t>credibility.”</w:t>
      </w:r>
      <w:proofErr w:type="gramEnd"/>
    </w:p>
    <w:p w14:paraId="2167A3ED" w14:textId="77777777" w:rsidR="002E3928" w:rsidRPr="00850F47" w:rsidRDefault="002E3928" w:rsidP="002E3928">
      <w:pPr>
        <w:pStyle w:val="NoSpacing"/>
        <w:ind w:left="720"/>
        <w:rPr>
          <w:rFonts w:ascii="Times New Roman" w:hAnsi="Times New Roman"/>
          <w:sz w:val="24"/>
          <w:szCs w:val="24"/>
        </w:rPr>
      </w:pPr>
    </w:p>
    <w:p w14:paraId="2008844E" w14:textId="4F1FDF64" w:rsidR="002E3928" w:rsidRPr="00850F47" w:rsidRDefault="002E3928" w:rsidP="002E3928">
      <w:pPr>
        <w:pStyle w:val="NoSpacing"/>
        <w:rPr>
          <w:rFonts w:ascii="Times New Roman" w:hAnsi="Times New Roman"/>
          <w:b/>
          <w:bCs/>
          <w:sz w:val="24"/>
          <w:szCs w:val="24"/>
        </w:rPr>
      </w:pPr>
      <w:r w:rsidRPr="00850F47">
        <w:rPr>
          <w:rFonts w:ascii="Times New Roman" w:hAnsi="Times New Roman"/>
          <w:b/>
          <w:sz w:val="24"/>
          <w:szCs w:val="24"/>
        </w:rPr>
        <w:lastRenderedPageBreak/>
        <w:t>Legal Lesson Learned:  Employees, including “at will” employees</w:t>
      </w:r>
      <w:r w:rsidRPr="00850F47">
        <w:rPr>
          <w:rFonts w:ascii="Times New Roman" w:hAnsi="Times New Roman"/>
          <w:b/>
          <w:bCs/>
          <w:sz w:val="24"/>
          <w:szCs w:val="24"/>
        </w:rPr>
        <w:t>,</w:t>
      </w:r>
      <w:r w:rsidRPr="00850F47">
        <w:rPr>
          <w:rFonts w:ascii="Times New Roman" w:hAnsi="Times New Roman"/>
          <w:b/>
          <w:sz w:val="24"/>
          <w:szCs w:val="24"/>
        </w:rPr>
        <w:t xml:space="preserve"> are</w:t>
      </w:r>
      <w:r w:rsidR="00850F47">
        <w:rPr>
          <w:rFonts w:ascii="Times New Roman" w:hAnsi="Times New Roman"/>
          <w:b/>
          <w:sz w:val="24"/>
          <w:szCs w:val="24"/>
        </w:rPr>
        <w:t xml:space="preserve"> covered</w:t>
      </w:r>
      <w:r w:rsidRPr="00850F47">
        <w:rPr>
          <w:rFonts w:ascii="Times New Roman" w:hAnsi="Times New Roman"/>
          <w:b/>
          <w:sz w:val="24"/>
          <w:szCs w:val="24"/>
        </w:rPr>
        <w:t xml:space="preserve"> under the state’s Whistleblower’s Protection Act</w:t>
      </w:r>
      <w:r w:rsidRPr="00850F47">
        <w:rPr>
          <w:rFonts w:ascii="Times New Roman" w:hAnsi="Times New Roman"/>
          <w:b/>
          <w:bCs/>
          <w:sz w:val="24"/>
          <w:szCs w:val="24"/>
        </w:rPr>
        <w:t>.</w:t>
      </w:r>
    </w:p>
    <w:p w14:paraId="57B112F2" w14:textId="77777777" w:rsidR="0063723E" w:rsidRPr="00850F47" w:rsidRDefault="0063723E" w:rsidP="00F91F9F">
      <w:pPr>
        <w:pStyle w:val="NoSpacing"/>
        <w:rPr>
          <w:rFonts w:ascii="Times New Roman" w:hAnsi="Times New Roman"/>
          <w:sz w:val="24"/>
          <w:szCs w:val="24"/>
        </w:rPr>
      </w:pPr>
    </w:p>
    <w:p w14:paraId="77A11727" w14:textId="77777777" w:rsidR="00921B8A" w:rsidRDefault="00921B8A" w:rsidP="00F91F9F">
      <w:pPr>
        <w:pStyle w:val="NoSpacing"/>
        <w:rPr>
          <w:rFonts w:ascii="Arial Black" w:hAnsi="Arial Black"/>
          <w:sz w:val="24"/>
          <w:szCs w:val="24"/>
        </w:rPr>
      </w:pPr>
    </w:p>
    <w:p w14:paraId="41FAEF5D" w14:textId="77777777" w:rsidR="00921B8A" w:rsidRDefault="00921B8A" w:rsidP="00F91F9F">
      <w:pPr>
        <w:pStyle w:val="NoSpacing"/>
        <w:rPr>
          <w:rFonts w:ascii="Arial Black" w:hAnsi="Arial Black"/>
          <w:sz w:val="24"/>
          <w:szCs w:val="24"/>
        </w:rPr>
      </w:pPr>
    </w:p>
    <w:p w14:paraId="414A2F96" w14:textId="7A0236BD" w:rsidR="00034955" w:rsidRDefault="00034955" w:rsidP="00F91F9F">
      <w:pPr>
        <w:pStyle w:val="NoSpacing"/>
        <w:rPr>
          <w:rFonts w:ascii="Arial Black" w:hAnsi="Arial Black"/>
          <w:sz w:val="24"/>
          <w:szCs w:val="24"/>
        </w:rPr>
      </w:pPr>
      <w:r>
        <w:rPr>
          <w:rFonts w:ascii="Arial Black" w:hAnsi="Arial Black"/>
          <w:sz w:val="24"/>
          <w:szCs w:val="24"/>
        </w:rPr>
        <w:t>16-118</w:t>
      </w:r>
    </w:p>
    <w:p w14:paraId="3EDBF3D1" w14:textId="77777777" w:rsidR="00034955" w:rsidRDefault="00034955" w:rsidP="00F91F9F">
      <w:pPr>
        <w:pStyle w:val="NoSpacing"/>
        <w:rPr>
          <w:rFonts w:ascii="Arial Black" w:hAnsi="Arial Black"/>
          <w:sz w:val="24"/>
          <w:szCs w:val="24"/>
        </w:rPr>
      </w:pPr>
    </w:p>
    <w:p w14:paraId="01F143A2" w14:textId="77777777" w:rsidR="00512D69" w:rsidRPr="00CF26B4" w:rsidRDefault="00512D69" w:rsidP="00512D69">
      <w:pPr>
        <w:rPr>
          <w:rFonts w:ascii="Arial Black" w:hAnsi="Arial Black"/>
          <w:b/>
          <w:sz w:val="28"/>
          <w:szCs w:val="28"/>
        </w:rPr>
      </w:pPr>
      <w:r>
        <w:rPr>
          <w:rFonts w:ascii="Arial Black" w:hAnsi="Arial Black"/>
          <w:b/>
          <w:sz w:val="28"/>
          <w:szCs w:val="28"/>
        </w:rPr>
        <w:t>PA: AIR MEDICAL PILOT FIRED – NO PRE-FLIGHT CHECKLIST – “AT WILL” – VERY LARGE JURY VERDICT SET ASIDE</w:t>
      </w:r>
    </w:p>
    <w:p w14:paraId="1FBC5992" w14:textId="77777777" w:rsidR="00512D69" w:rsidRPr="006F7539" w:rsidRDefault="00512D69" w:rsidP="00512D69">
      <w:pPr>
        <w:pStyle w:val="NoSpacing"/>
        <w:rPr>
          <w:rFonts w:ascii="Times New Roman" w:hAnsi="Times New Roman"/>
          <w:sz w:val="24"/>
          <w:szCs w:val="24"/>
        </w:rPr>
      </w:pPr>
      <w:r w:rsidRPr="006F7539">
        <w:rPr>
          <w:rFonts w:ascii="Times New Roman" w:hAnsi="Times New Roman"/>
          <w:sz w:val="24"/>
          <w:szCs w:val="24"/>
        </w:rPr>
        <w:t xml:space="preserve">On Nov. 18, 2024, in </w:t>
      </w:r>
      <w:r w:rsidRPr="006F7539">
        <w:rPr>
          <w:rFonts w:ascii="Times New Roman" w:hAnsi="Times New Roman"/>
          <w:sz w:val="24"/>
          <w:szCs w:val="24"/>
          <w:u w:val="single"/>
        </w:rPr>
        <w:t>Patrick DeVore v. Metro Aviation, Inc., et al</w:t>
      </w:r>
      <w:r w:rsidRPr="006F7539">
        <w:rPr>
          <w:rFonts w:ascii="Times New Roman" w:hAnsi="Times New Roman"/>
          <w:sz w:val="24"/>
          <w:szCs w:val="24"/>
        </w:rPr>
        <w:t xml:space="preserve">., the Superior Court of Pennsylvania held (3 to 0) that the pilot was properly fired.  The Court wrote: “[T]he trial court erred in allowing DeVore to invoke the public policy exception and pursue a wrongful termination claim under the facts of this case. *** The jury awarded DeVore $1,142,582.00 in economic damages, as well as non-economic damages in the amounts of $500,000.000 for harm to reputation, $300,000.00 for pain and suffering, $300,000.00 for  embarrassment and humiliation, and $257,418.00 for loss of the ability to enjoy the pleasures of </w:t>
      </w:r>
      <w:proofErr w:type="gramStart"/>
      <w:r w:rsidRPr="006F7539">
        <w:rPr>
          <w:rFonts w:ascii="Times New Roman" w:hAnsi="Times New Roman"/>
          <w:sz w:val="24"/>
          <w:szCs w:val="24"/>
        </w:rPr>
        <w:t>life.”</w:t>
      </w:r>
      <w:proofErr w:type="gramEnd"/>
    </w:p>
    <w:p w14:paraId="17C506F7" w14:textId="77777777" w:rsidR="00512D69" w:rsidRPr="006F7539" w:rsidRDefault="00512D69" w:rsidP="00512D69">
      <w:pPr>
        <w:rPr>
          <w:rFonts w:ascii="Times New Roman" w:hAnsi="Times New Roman"/>
          <w:bCs/>
          <w:sz w:val="24"/>
          <w:szCs w:val="24"/>
        </w:rPr>
      </w:pPr>
      <w:hyperlink r:id="rId2609" w:history="1">
        <w:r w:rsidRPr="006F7539">
          <w:rPr>
            <w:rStyle w:val="Hyperlink"/>
            <w:rFonts w:ascii="Times New Roman" w:hAnsi="Times New Roman"/>
            <w:sz w:val="24"/>
            <w:szCs w:val="24"/>
          </w:rPr>
          <w:t>https://www.pacourts.us/assets/opinions/Superior/out/J-A22023-23o%20-%20106151918288524284.pdf?cb=1</w:t>
        </w:r>
      </w:hyperlink>
      <w:r w:rsidRPr="006F7539">
        <w:rPr>
          <w:rFonts w:ascii="Times New Roman" w:hAnsi="Times New Roman"/>
          <w:sz w:val="24"/>
          <w:szCs w:val="24"/>
        </w:rPr>
        <w:t xml:space="preserve"> </w:t>
      </w:r>
    </w:p>
    <w:p w14:paraId="35AF606C" w14:textId="5340E7B7" w:rsidR="006F7539" w:rsidRPr="006F7539" w:rsidRDefault="006F7539" w:rsidP="006F7539">
      <w:pPr>
        <w:pStyle w:val="NoSpacing"/>
        <w:rPr>
          <w:rFonts w:ascii="Times New Roman" w:hAnsi="Times New Roman"/>
          <w:b/>
          <w:bCs/>
          <w:sz w:val="24"/>
          <w:szCs w:val="24"/>
        </w:rPr>
      </w:pPr>
      <w:r w:rsidRPr="006F7539">
        <w:rPr>
          <w:rFonts w:ascii="Times New Roman" w:hAnsi="Times New Roman"/>
          <w:b/>
          <w:sz w:val="24"/>
          <w:szCs w:val="24"/>
        </w:rPr>
        <w:t xml:space="preserve">Legal Lesson Learned:  The pilot was an “at will” employee and was terminated for allegedly failing to perform a pre-flight checklist.   </w:t>
      </w:r>
    </w:p>
    <w:p w14:paraId="4E253BE1" w14:textId="77777777" w:rsidR="00034955" w:rsidRDefault="00034955" w:rsidP="00F91F9F">
      <w:pPr>
        <w:pStyle w:val="NoSpacing"/>
        <w:rPr>
          <w:rFonts w:ascii="Arial Black" w:hAnsi="Arial Black"/>
          <w:sz w:val="24"/>
          <w:szCs w:val="24"/>
        </w:rPr>
      </w:pPr>
    </w:p>
    <w:p w14:paraId="40EB049C" w14:textId="77777777" w:rsidR="00034955" w:rsidRDefault="00034955" w:rsidP="00F91F9F">
      <w:pPr>
        <w:pStyle w:val="NoSpacing"/>
        <w:rPr>
          <w:rFonts w:ascii="Arial Black" w:hAnsi="Arial Black"/>
          <w:sz w:val="24"/>
          <w:szCs w:val="24"/>
        </w:rPr>
      </w:pPr>
    </w:p>
    <w:p w14:paraId="267AB9E4" w14:textId="0576FD96" w:rsidR="001A19F9" w:rsidRDefault="001A19F9" w:rsidP="00F91F9F">
      <w:pPr>
        <w:pStyle w:val="NoSpacing"/>
        <w:rPr>
          <w:rFonts w:ascii="Arial Black" w:hAnsi="Arial Black"/>
          <w:sz w:val="24"/>
          <w:szCs w:val="24"/>
        </w:rPr>
      </w:pPr>
      <w:r>
        <w:rPr>
          <w:rFonts w:ascii="Arial Black" w:hAnsi="Arial Black"/>
          <w:sz w:val="24"/>
          <w:szCs w:val="24"/>
        </w:rPr>
        <w:t>16-117</w:t>
      </w:r>
    </w:p>
    <w:p w14:paraId="1199C76C" w14:textId="77777777" w:rsidR="00034955" w:rsidRDefault="00034955" w:rsidP="001A19F9">
      <w:pPr>
        <w:pStyle w:val="NoSpacing"/>
        <w:rPr>
          <w:rFonts w:ascii="Arial Black" w:hAnsi="Arial Black"/>
          <w:sz w:val="28"/>
          <w:szCs w:val="28"/>
        </w:rPr>
      </w:pPr>
    </w:p>
    <w:p w14:paraId="734D687A" w14:textId="17256B80" w:rsidR="001A19F9" w:rsidRDefault="001A19F9" w:rsidP="001A19F9">
      <w:pPr>
        <w:pStyle w:val="NoSpacing"/>
        <w:rPr>
          <w:rFonts w:ascii="Arial Black" w:hAnsi="Arial Black"/>
          <w:sz w:val="28"/>
          <w:szCs w:val="28"/>
        </w:rPr>
      </w:pPr>
      <w:r>
        <w:rPr>
          <w:rFonts w:ascii="Arial Black" w:hAnsi="Arial Black"/>
          <w:sz w:val="28"/>
          <w:szCs w:val="28"/>
        </w:rPr>
        <w:t>MI: FIREFIGHTER HAD SEX WITH 14-YEAR-OLD GIRL – FIRE CHIEF’S DAUGHTER – TO PRISON – 180 TO 540 MONTHS</w:t>
      </w:r>
    </w:p>
    <w:p w14:paraId="7BADFD1D" w14:textId="77777777" w:rsidR="001A19F9" w:rsidRDefault="001A19F9" w:rsidP="001A19F9">
      <w:pPr>
        <w:pStyle w:val="NoSpacing"/>
      </w:pPr>
    </w:p>
    <w:p w14:paraId="5CD437D8" w14:textId="77777777" w:rsidR="001A19F9" w:rsidRPr="00034955" w:rsidRDefault="001A19F9" w:rsidP="001A19F9">
      <w:pPr>
        <w:pStyle w:val="NoSpacing"/>
        <w:rPr>
          <w:rFonts w:ascii="Times New Roman" w:hAnsi="Times New Roman"/>
          <w:sz w:val="24"/>
          <w:szCs w:val="24"/>
        </w:rPr>
      </w:pPr>
      <w:r w:rsidRPr="00034955">
        <w:rPr>
          <w:rFonts w:ascii="Times New Roman" w:hAnsi="Times New Roman"/>
          <w:sz w:val="24"/>
          <w:szCs w:val="24"/>
        </w:rPr>
        <w:t xml:space="preserve">On Nov. 18, 2024, in </w:t>
      </w:r>
      <w:r w:rsidRPr="00034955">
        <w:rPr>
          <w:rFonts w:ascii="Times New Roman" w:hAnsi="Times New Roman"/>
          <w:sz w:val="24"/>
          <w:szCs w:val="24"/>
          <w:u w:val="single"/>
        </w:rPr>
        <w:t>People of State of Michigan v. Caleb Zechariah-Lee Kimel</w:t>
      </w:r>
      <w:r w:rsidRPr="00034955">
        <w:rPr>
          <w:rFonts w:ascii="Times New Roman" w:hAnsi="Times New Roman"/>
          <w:sz w:val="24"/>
          <w:szCs w:val="24"/>
        </w:rPr>
        <w:t xml:space="preserve">, the Court of Appeals of Michigan held (3 to 0; unpublished decision) that trial court judge properly sentenced the defendant to prison.  The Court wrote: “The trial court stated that it wanted defendant to think about how ‘for just a couple of moments of selfish gratification [he had] caused this child a lifetime of pain,’ she would never forget what defendant had done, and she would ‘need help for the rest of her life.’ … Accordingly, the trial court sentenced defendant, within the guidelines, to 180 to 540 months in prison for the CSC-I [criminal sexual conduct] conviction and 71 to 180 months in prison for the CSC-II convictions.” </w:t>
      </w:r>
      <w:hyperlink r:id="rId2610" w:history="1">
        <w:r w:rsidRPr="00034955">
          <w:rPr>
            <w:rStyle w:val="Hyperlink"/>
            <w:rFonts w:ascii="Times New Roman" w:hAnsi="Times New Roman"/>
            <w:sz w:val="24"/>
            <w:szCs w:val="24"/>
          </w:rPr>
          <w:t>https://cases.justia.com/michigan/court-of-appeals-unpublished/2024-365464.pdf?ts=1732024807</w:t>
        </w:r>
      </w:hyperlink>
      <w:r w:rsidRPr="00034955">
        <w:rPr>
          <w:rFonts w:ascii="Times New Roman" w:hAnsi="Times New Roman"/>
          <w:sz w:val="24"/>
          <w:szCs w:val="24"/>
        </w:rPr>
        <w:t xml:space="preserve"> </w:t>
      </w:r>
    </w:p>
    <w:p w14:paraId="207CEAEE" w14:textId="77777777" w:rsidR="001A19F9" w:rsidRPr="00034955" w:rsidRDefault="001A19F9" w:rsidP="00F91F9F">
      <w:pPr>
        <w:pStyle w:val="NoSpacing"/>
        <w:rPr>
          <w:rFonts w:ascii="Times New Roman" w:hAnsi="Times New Roman"/>
          <w:sz w:val="24"/>
          <w:szCs w:val="24"/>
        </w:rPr>
      </w:pPr>
    </w:p>
    <w:p w14:paraId="0E14CACB" w14:textId="77777777" w:rsidR="00034955" w:rsidRPr="00034955" w:rsidRDefault="00034955" w:rsidP="00034955">
      <w:pPr>
        <w:pStyle w:val="NoSpacing"/>
        <w:rPr>
          <w:rFonts w:ascii="Times New Roman" w:hAnsi="Times New Roman"/>
          <w:b/>
          <w:bCs/>
          <w:sz w:val="24"/>
          <w:szCs w:val="24"/>
        </w:rPr>
      </w:pPr>
      <w:r w:rsidRPr="00034955">
        <w:rPr>
          <w:rFonts w:ascii="Times New Roman" w:hAnsi="Times New Roman"/>
          <w:b/>
          <w:sz w:val="24"/>
          <w:szCs w:val="24"/>
        </w:rPr>
        <w:t xml:space="preserve">Legal Lesson Learned: Firefighter was properly sentenced to prison.  </w:t>
      </w:r>
    </w:p>
    <w:p w14:paraId="33E25CF4" w14:textId="77777777" w:rsidR="00034955" w:rsidRPr="00034955" w:rsidRDefault="00034955" w:rsidP="00F91F9F">
      <w:pPr>
        <w:pStyle w:val="NoSpacing"/>
        <w:rPr>
          <w:rFonts w:ascii="Times New Roman" w:hAnsi="Times New Roman"/>
          <w:sz w:val="24"/>
          <w:szCs w:val="24"/>
        </w:rPr>
      </w:pPr>
    </w:p>
    <w:p w14:paraId="48A461C4" w14:textId="77777777" w:rsidR="001A19F9" w:rsidRDefault="001A19F9" w:rsidP="00F91F9F">
      <w:pPr>
        <w:pStyle w:val="NoSpacing"/>
        <w:rPr>
          <w:rFonts w:ascii="Arial Black" w:hAnsi="Arial Black"/>
          <w:sz w:val="24"/>
          <w:szCs w:val="24"/>
        </w:rPr>
      </w:pPr>
    </w:p>
    <w:p w14:paraId="0160177C" w14:textId="77777777" w:rsidR="001A19F9" w:rsidRDefault="001A19F9" w:rsidP="00F91F9F">
      <w:pPr>
        <w:pStyle w:val="NoSpacing"/>
        <w:rPr>
          <w:rFonts w:ascii="Arial Black" w:hAnsi="Arial Black"/>
          <w:sz w:val="24"/>
          <w:szCs w:val="24"/>
        </w:rPr>
      </w:pPr>
    </w:p>
    <w:p w14:paraId="3A87ED5C" w14:textId="654774FE" w:rsidR="004E152C" w:rsidRDefault="004E152C" w:rsidP="00F91F9F">
      <w:pPr>
        <w:pStyle w:val="NoSpacing"/>
        <w:rPr>
          <w:rFonts w:ascii="Arial Black" w:hAnsi="Arial Black"/>
          <w:sz w:val="24"/>
          <w:szCs w:val="24"/>
        </w:rPr>
      </w:pPr>
      <w:r>
        <w:rPr>
          <w:rFonts w:ascii="Arial Black" w:hAnsi="Arial Black"/>
          <w:sz w:val="24"/>
          <w:szCs w:val="24"/>
        </w:rPr>
        <w:t>16-116</w:t>
      </w:r>
    </w:p>
    <w:p w14:paraId="569AC362" w14:textId="77777777" w:rsidR="004E152C" w:rsidRDefault="004E152C" w:rsidP="00F91F9F">
      <w:pPr>
        <w:pStyle w:val="NoSpacing"/>
        <w:rPr>
          <w:rFonts w:ascii="Arial Black" w:hAnsi="Arial Black"/>
          <w:sz w:val="24"/>
          <w:szCs w:val="24"/>
        </w:rPr>
      </w:pPr>
    </w:p>
    <w:p w14:paraId="2B59CC4E" w14:textId="77777777" w:rsidR="00684C64" w:rsidRPr="00D60720" w:rsidRDefault="00684C64" w:rsidP="00684C64">
      <w:pPr>
        <w:pStyle w:val="NoSpacing"/>
        <w:rPr>
          <w:rFonts w:ascii="Times New Roman" w:hAnsi="Times New Roman"/>
          <w:b/>
          <w:bCs/>
          <w:sz w:val="24"/>
          <w:szCs w:val="24"/>
        </w:rPr>
      </w:pPr>
      <w:r w:rsidRPr="00D60720">
        <w:rPr>
          <w:rFonts w:ascii="Times New Roman" w:hAnsi="Times New Roman"/>
          <w:b/>
          <w:bCs/>
          <w:sz w:val="24"/>
          <w:szCs w:val="24"/>
        </w:rPr>
        <w:t xml:space="preserve">NY: NO DEFAMATION -  REPORTED FF USING TOWING CO. FD BUSINESS - THEFT BUS SEAT / CATALYTIC CONVERTER </w:t>
      </w:r>
    </w:p>
    <w:p w14:paraId="2EFF8D4D" w14:textId="77777777" w:rsidR="00684C64" w:rsidRPr="00D60720" w:rsidRDefault="00684C64" w:rsidP="00684C64">
      <w:pPr>
        <w:pStyle w:val="NoSpacing"/>
        <w:rPr>
          <w:rFonts w:ascii="Times New Roman" w:hAnsi="Times New Roman"/>
          <w:sz w:val="24"/>
          <w:szCs w:val="24"/>
        </w:rPr>
      </w:pPr>
    </w:p>
    <w:p w14:paraId="1CDC88F5" w14:textId="77777777" w:rsidR="00684C64" w:rsidRPr="00D60720" w:rsidRDefault="00684C64" w:rsidP="00684C64">
      <w:pPr>
        <w:pStyle w:val="NoSpacing"/>
        <w:rPr>
          <w:rFonts w:ascii="Times New Roman" w:hAnsi="Times New Roman"/>
          <w:sz w:val="24"/>
          <w:szCs w:val="24"/>
        </w:rPr>
      </w:pPr>
      <w:r w:rsidRPr="00D60720">
        <w:rPr>
          <w:rFonts w:ascii="Times New Roman" w:hAnsi="Times New Roman"/>
          <w:sz w:val="24"/>
          <w:szCs w:val="24"/>
        </w:rPr>
        <w:t xml:space="preserve">On Oct. 17, 2024, in </w:t>
      </w:r>
      <w:r w:rsidRPr="00D60720">
        <w:rPr>
          <w:rFonts w:ascii="Times New Roman" w:hAnsi="Times New Roman"/>
          <w:sz w:val="24"/>
          <w:szCs w:val="24"/>
          <w:u w:val="single"/>
        </w:rPr>
        <w:t>Timothy Halpin v. George M. Banks, et al</w:t>
      </w:r>
      <w:r w:rsidRPr="00D60720">
        <w:rPr>
          <w:rFonts w:ascii="Times New Roman" w:hAnsi="Times New Roman"/>
          <w:sz w:val="24"/>
          <w:szCs w:val="24"/>
        </w:rPr>
        <w:t xml:space="preserve">., the New York Appellate Division, Third Department, held (5 to 0): “Appeal from an order of the Supreme Court (Kevin R. Bryant, J.), entered May 26, </w:t>
      </w:r>
      <w:proofErr w:type="gramStart"/>
      <w:r w:rsidRPr="00D60720">
        <w:rPr>
          <w:rFonts w:ascii="Times New Roman" w:hAnsi="Times New Roman"/>
          <w:sz w:val="24"/>
          <w:szCs w:val="24"/>
        </w:rPr>
        <w:lastRenderedPageBreak/>
        <w:t>2023</w:t>
      </w:r>
      <w:proofErr w:type="gramEnd"/>
      <w:r w:rsidRPr="00D60720">
        <w:rPr>
          <w:rFonts w:ascii="Times New Roman" w:hAnsi="Times New Roman"/>
          <w:sz w:val="24"/>
          <w:szCs w:val="24"/>
        </w:rPr>
        <w:t xml:space="preserve"> in Ulster County, which granted defendants' motion for summary judgment dismissing the complaint. *** Appeal from an order of the Supreme Court (Kevin R. Bryant, J.), entered May 26, </w:t>
      </w:r>
      <w:proofErr w:type="gramStart"/>
      <w:r w:rsidRPr="00D60720">
        <w:rPr>
          <w:rFonts w:ascii="Times New Roman" w:hAnsi="Times New Roman"/>
          <w:sz w:val="24"/>
          <w:szCs w:val="24"/>
        </w:rPr>
        <w:t>2023</w:t>
      </w:r>
      <w:proofErr w:type="gramEnd"/>
      <w:r w:rsidRPr="00D60720">
        <w:rPr>
          <w:rFonts w:ascii="Times New Roman" w:hAnsi="Times New Roman"/>
          <w:sz w:val="24"/>
          <w:szCs w:val="24"/>
        </w:rPr>
        <w:t xml:space="preserve"> in Ulster County, which granted defendants' motion for summary judgment dismissing the complaint. *** Supreme Court also properly dismissed the complaint against PEFD. The Board investigated plaintiff's complaint against Banks and is vested with discretion to determine if disciplinary action should be taken or if the matter should be closed (</w:t>
      </w:r>
      <w:r w:rsidRPr="00D60720">
        <w:rPr>
          <w:rFonts w:ascii="Times New Roman" w:hAnsi="Times New Roman"/>
          <w:i/>
          <w:iCs/>
          <w:sz w:val="24"/>
          <w:szCs w:val="24"/>
        </w:rPr>
        <w:t xml:space="preserve">see </w:t>
      </w:r>
      <w:r w:rsidRPr="00D60720">
        <w:rPr>
          <w:rFonts w:ascii="Times New Roman" w:hAnsi="Times New Roman"/>
          <w:sz w:val="24"/>
          <w:szCs w:val="24"/>
        </w:rPr>
        <w:t>Port Ewen Fire District Personnel Policy § 8).”</w:t>
      </w:r>
    </w:p>
    <w:p w14:paraId="537EEB81" w14:textId="77777777" w:rsidR="00684C64" w:rsidRPr="00D60720" w:rsidRDefault="00684C64" w:rsidP="00684C64">
      <w:pPr>
        <w:pStyle w:val="NoSpacing"/>
        <w:rPr>
          <w:rFonts w:ascii="Times New Roman" w:hAnsi="Times New Roman"/>
          <w:sz w:val="24"/>
          <w:szCs w:val="24"/>
        </w:rPr>
      </w:pPr>
      <w:r w:rsidRPr="00D60720">
        <w:rPr>
          <w:rFonts w:ascii="Times New Roman" w:hAnsi="Times New Roman"/>
          <w:sz w:val="24"/>
          <w:szCs w:val="24"/>
        </w:rPr>
        <w:t xml:space="preserve"> </w:t>
      </w:r>
      <w:hyperlink r:id="rId2611" w:history="1">
        <w:r w:rsidRPr="00D60720">
          <w:rPr>
            <w:rStyle w:val="Hyperlink"/>
            <w:rFonts w:ascii="Times New Roman" w:hAnsi="Times New Roman"/>
            <w:sz w:val="24"/>
            <w:szCs w:val="24"/>
          </w:rPr>
          <w:t>https://law.justia.com/cases/new-york/appellate-division-third-department/2024/cv-23-1185.html</w:t>
        </w:r>
      </w:hyperlink>
      <w:r w:rsidRPr="00D60720">
        <w:rPr>
          <w:rFonts w:ascii="Times New Roman" w:hAnsi="Times New Roman"/>
          <w:sz w:val="24"/>
          <w:szCs w:val="24"/>
        </w:rPr>
        <w:t xml:space="preserve"> </w:t>
      </w:r>
    </w:p>
    <w:p w14:paraId="27CA5DEB" w14:textId="77777777" w:rsidR="000F4991" w:rsidRPr="00D60720" w:rsidRDefault="000F4991" w:rsidP="00684C64">
      <w:pPr>
        <w:pStyle w:val="NoSpacing"/>
        <w:rPr>
          <w:rFonts w:ascii="Times New Roman" w:hAnsi="Times New Roman"/>
          <w:sz w:val="24"/>
          <w:szCs w:val="24"/>
        </w:rPr>
      </w:pPr>
    </w:p>
    <w:p w14:paraId="4315477F" w14:textId="77777777" w:rsidR="000F4991" w:rsidRPr="00D60720" w:rsidRDefault="000F4991" w:rsidP="000F4991">
      <w:pPr>
        <w:pStyle w:val="NoSpacing"/>
        <w:rPr>
          <w:rFonts w:ascii="Times New Roman" w:hAnsi="Times New Roman"/>
          <w:b/>
          <w:bCs/>
          <w:sz w:val="24"/>
          <w:szCs w:val="24"/>
        </w:rPr>
      </w:pPr>
      <w:r w:rsidRPr="00D60720">
        <w:rPr>
          <w:rFonts w:ascii="Times New Roman" w:hAnsi="Times New Roman"/>
          <w:b/>
          <w:sz w:val="24"/>
          <w:szCs w:val="24"/>
        </w:rPr>
        <w:t xml:space="preserve">Legal Lesson Learned:  Qualified privilege when </w:t>
      </w:r>
      <w:r w:rsidRPr="00D60720">
        <w:rPr>
          <w:rFonts w:ascii="Times New Roman" w:hAnsi="Times New Roman"/>
          <w:b/>
          <w:bCs/>
          <w:sz w:val="24"/>
          <w:szCs w:val="24"/>
        </w:rPr>
        <w:t xml:space="preserve">honestly </w:t>
      </w:r>
      <w:r w:rsidRPr="00D60720">
        <w:rPr>
          <w:rFonts w:ascii="Times New Roman" w:hAnsi="Times New Roman"/>
          <w:b/>
          <w:sz w:val="24"/>
          <w:szCs w:val="24"/>
        </w:rPr>
        <w:t xml:space="preserve">reporting possible wrongdoing to Fire Department Board. </w:t>
      </w:r>
    </w:p>
    <w:p w14:paraId="22649F31" w14:textId="77777777" w:rsidR="000F4991" w:rsidRDefault="000F4991" w:rsidP="000F4991">
      <w:pPr>
        <w:pStyle w:val="NoSpacing"/>
        <w:ind w:left="720"/>
      </w:pPr>
    </w:p>
    <w:p w14:paraId="221963C5" w14:textId="77777777" w:rsidR="000F4991" w:rsidRDefault="000F4991" w:rsidP="00684C64">
      <w:pPr>
        <w:pStyle w:val="NoSpacing"/>
      </w:pPr>
    </w:p>
    <w:p w14:paraId="14CB0D18" w14:textId="3DC14767" w:rsidR="004E152C" w:rsidRDefault="004E152C" w:rsidP="00F91F9F">
      <w:pPr>
        <w:pStyle w:val="NoSpacing"/>
        <w:rPr>
          <w:rFonts w:ascii="Arial Black" w:hAnsi="Arial Black"/>
          <w:sz w:val="24"/>
          <w:szCs w:val="24"/>
        </w:rPr>
      </w:pPr>
      <w:r>
        <w:rPr>
          <w:rFonts w:ascii="Arial Black" w:hAnsi="Arial Black"/>
          <w:sz w:val="24"/>
          <w:szCs w:val="24"/>
        </w:rPr>
        <w:t>16-115</w:t>
      </w:r>
    </w:p>
    <w:p w14:paraId="495CABB3" w14:textId="77777777" w:rsidR="004E152C" w:rsidRDefault="004E152C" w:rsidP="00F91F9F">
      <w:pPr>
        <w:pStyle w:val="NoSpacing"/>
        <w:rPr>
          <w:rFonts w:ascii="Arial Black" w:hAnsi="Arial Black"/>
          <w:sz w:val="24"/>
          <w:szCs w:val="24"/>
        </w:rPr>
      </w:pPr>
    </w:p>
    <w:p w14:paraId="4C95D845" w14:textId="3245D586" w:rsidR="0038724B" w:rsidRPr="00182CF1" w:rsidRDefault="0038724B" w:rsidP="0038724B">
      <w:pPr>
        <w:pStyle w:val="NoSpacing"/>
        <w:rPr>
          <w:rFonts w:ascii="Times New Roman" w:hAnsi="Times New Roman"/>
          <w:b/>
          <w:bCs/>
          <w:sz w:val="24"/>
          <w:szCs w:val="24"/>
        </w:rPr>
      </w:pPr>
      <w:r w:rsidRPr="00182CF1">
        <w:rPr>
          <w:rFonts w:ascii="Times New Roman" w:hAnsi="Times New Roman"/>
          <w:b/>
          <w:bCs/>
          <w:sz w:val="24"/>
          <w:szCs w:val="24"/>
        </w:rPr>
        <w:t>UT</w:t>
      </w:r>
      <w:r w:rsidR="00D1140F">
        <w:rPr>
          <w:rFonts w:ascii="Times New Roman" w:hAnsi="Times New Roman"/>
          <w:b/>
          <w:bCs/>
          <w:sz w:val="24"/>
          <w:szCs w:val="24"/>
        </w:rPr>
        <w:t>:</w:t>
      </w:r>
      <w:r w:rsidRPr="00182CF1">
        <w:rPr>
          <w:rFonts w:ascii="Times New Roman" w:hAnsi="Times New Roman"/>
          <w:b/>
          <w:bCs/>
          <w:sz w:val="24"/>
          <w:szCs w:val="24"/>
        </w:rPr>
        <w:t xml:space="preserve"> ASSISTANT FIRE CHIEF – PLED GUITY TO FORCIBLE RAPE OF FEMALE FF – SENTENCED 1-15 YEARS</w:t>
      </w:r>
    </w:p>
    <w:p w14:paraId="2B969AD2" w14:textId="77777777" w:rsidR="0038724B" w:rsidRPr="00182CF1" w:rsidRDefault="0038724B" w:rsidP="0038724B">
      <w:pPr>
        <w:pStyle w:val="NoSpacing"/>
        <w:rPr>
          <w:rFonts w:ascii="Times New Roman" w:hAnsi="Times New Roman"/>
          <w:b/>
          <w:bCs/>
          <w:sz w:val="24"/>
          <w:szCs w:val="24"/>
        </w:rPr>
      </w:pPr>
    </w:p>
    <w:p w14:paraId="4BBE3644" w14:textId="77777777" w:rsidR="0038724B" w:rsidRPr="00182CF1" w:rsidRDefault="0038724B" w:rsidP="0038724B">
      <w:pPr>
        <w:pStyle w:val="NoSpacing"/>
        <w:rPr>
          <w:rFonts w:ascii="Times New Roman" w:hAnsi="Times New Roman"/>
          <w:sz w:val="24"/>
          <w:szCs w:val="24"/>
        </w:rPr>
      </w:pPr>
      <w:r w:rsidRPr="00182CF1">
        <w:rPr>
          <w:rFonts w:ascii="Times New Roman" w:hAnsi="Times New Roman"/>
          <w:sz w:val="24"/>
          <w:szCs w:val="24"/>
        </w:rPr>
        <w:t xml:space="preserve">On Oct. 3, 2024, in  </w:t>
      </w:r>
      <w:r w:rsidRPr="00182CF1">
        <w:rPr>
          <w:rFonts w:ascii="Times New Roman" w:hAnsi="Times New Roman"/>
          <w:sz w:val="24"/>
          <w:szCs w:val="24"/>
          <w:u w:val="single"/>
        </w:rPr>
        <w:t>State of Utah v. Austin James Corry</w:t>
      </w:r>
      <w:r w:rsidRPr="00182CF1">
        <w:rPr>
          <w:rFonts w:ascii="Times New Roman" w:hAnsi="Times New Roman"/>
          <w:sz w:val="24"/>
          <w:szCs w:val="24"/>
        </w:rPr>
        <w:t>. The Utah Court of Appeals held (3 to 0): “Austin James Corry, an assistant fire chief, pled guilty to four counts of forcible sexual abuse of a female firefighter he supervised. In its presentence report, Adult Probation and Parole</w:t>
      </w:r>
    </w:p>
    <w:p w14:paraId="5B34AF96" w14:textId="77777777" w:rsidR="0038724B" w:rsidRPr="00182CF1" w:rsidRDefault="0038724B" w:rsidP="0038724B">
      <w:pPr>
        <w:pStyle w:val="NoSpacing"/>
        <w:rPr>
          <w:rFonts w:ascii="Times New Roman" w:hAnsi="Times New Roman"/>
          <w:sz w:val="24"/>
          <w:szCs w:val="24"/>
        </w:rPr>
      </w:pPr>
      <w:r w:rsidRPr="00182CF1">
        <w:rPr>
          <w:rFonts w:ascii="Times New Roman" w:hAnsi="Times New Roman"/>
          <w:sz w:val="24"/>
          <w:szCs w:val="24"/>
        </w:rPr>
        <w:t>(AP&amp;P) recommended a prison sentence even though the Utah Sentencing Commission’s Adult Sentencing &amp; Release Guidelines recommended that Corry serve up to 210 days in jail and Corry</w:t>
      </w:r>
    </w:p>
    <w:p w14:paraId="0F40E204" w14:textId="77777777" w:rsidR="0038724B" w:rsidRPr="00182CF1" w:rsidRDefault="0038724B" w:rsidP="0038724B">
      <w:pPr>
        <w:pStyle w:val="NoSpacing"/>
        <w:rPr>
          <w:rFonts w:ascii="Times New Roman" w:hAnsi="Times New Roman"/>
          <w:sz w:val="24"/>
          <w:szCs w:val="24"/>
        </w:rPr>
      </w:pPr>
      <w:r w:rsidRPr="00182CF1">
        <w:rPr>
          <w:rFonts w:ascii="Times New Roman" w:hAnsi="Times New Roman"/>
          <w:sz w:val="24"/>
          <w:szCs w:val="24"/>
        </w:rPr>
        <w:t xml:space="preserve">had already served more than 210 days in pretrial detention. *** We discern </w:t>
      </w:r>
      <w:proofErr w:type="gramStart"/>
      <w:r w:rsidRPr="00182CF1">
        <w:rPr>
          <w:rFonts w:ascii="Times New Roman" w:hAnsi="Times New Roman"/>
          <w:sz w:val="24"/>
          <w:szCs w:val="24"/>
        </w:rPr>
        <w:t>either</w:t>
      </w:r>
      <w:proofErr w:type="gramEnd"/>
      <w:r w:rsidRPr="00182CF1">
        <w:rPr>
          <w:rFonts w:ascii="Times New Roman" w:hAnsi="Times New Roman"/>
          <w:sz w:val="24"/>
          <w:szCs w:val="24"/>
        </w:rPr>
        <w:t xml:space="preserve"> no</w:t>
      </w:r>
    </w:p>
    <w:p w14:paraId="472B62BC" w14:textId="77777777" w:rsidR="0038724B" w:rsidRPr="00182CF1" w:rsidRDefault="0038724B" w:rsidP="0038724B">
      <w:pPr>
        <w:pStyle w:val="NoSpacing"/>
        <w:rPr>
          <w:rFonts w:ascii="Times New Roman" w:hAnsi="Times New Roman"/>
          <w:sz w:val="24"/>
          <w:szCs w:val="24"/>
        </w:rPr>
      </w:pPr>
      <w:r w:rsidRPr="00182CF1">
        <w:rPr>
          <w:rFonts w:ascii="Times New Roman" w:hAnsi="Times New Roman"/>
          <w:sz w:val="24"/>
          <w:szCs w:val="24"/>
        </w:rPr>
        <w:t xml:space="preserve">error or no prejudice related to each of these claims and therefore affirm Corry’s sentence.” </w:t>
      </w:r>
    </w:p>
    <w:p w14:paraId="6677915F" w14:textId="77777777" w:rsidR="0038724B" w:rsidRPr="00182CF1" w:rsidRDefault="0038724B" w:rsidP="0038724B">
      <w:pPr>
        <w:pStyle w:val="NoSpacing"/>
        <w:rPr>
          <w:rFonts w:ascii="Times New Roman" w:hAnsi="Times New Roman"/>
          <w:sz w:val="24"/>
          <w:szCs w:val="24"/>
        </w:rPr>
      </w:pPr>
      <w:hyperlink r:id="rId2612" w:history="1">
        <w:r w:rsidRPr="00182CF1">
          <w:rPr>
            <w:rStyle w:val="Hyperlink"/>
            <w:rFonts w:ascii="Times New Roman" w:hAnsi="Times New Roman"/>
            <w:sz w:val="24"/>
            <w:szCs w:val="24"/>
          </w:rPr>
          <w:t>https://cases.justia.com/utah/court-of-appeals-published/2024-20220074-ca.pdf?ts=172806708</w:t>
        </w:r>
      </w:hyperlink>
      <w:r w:rsidRPr="00182CF1">
        <w:rPr>
          <w:rFonts w:ascii="Times New Roman" w:hAnsi="Times New Roman"/>
          <w:sz w:val="24"/>
          <w:szCs w:val="24"/>
        </w:rPr>
        <w:t xml:space="preserve"> </w:t>
      </w:r>
    </w:p>
    <w:p w14:paraId="600A8F14" w14:textId="77777777" w:rsidR="00D60720" w:rsidRPr="00182CF1" w:rsidRDefault="00D60720" w:rsidP="00F91F9F">
      <w:pPr>
        <w:pStyle w:val="NoSpacing"/>
        <w:rPr>
          <w:rFonts w:ascii="Times New Roman" w:hAnsi="Times New Roman"/>
          <w:sz w:val="24"/>
          <w:szCs w:val="24"/>
        </w:rPr>
      </w:pPr>
    </w:p>
    <w:p w14:paraId="1CED42F5" w14:textId="77777777" w:rsidR="00182CF1" w:rsidRPr="00182CF1" w:rsidRDefault="00182CF1" w:rsidP="00182CF1">
      <w:pPr>
        <w:pStyle w:val="NoSpacing"/>
        <w:rPr>
          <w:rFonts w:ascii="Times New Roman" w:hAnsi="Times New Roman"/>
          <w:b/>
          <w:bCs/>
          <w:sz w:val="24"/>
          <w:szCs w:val="24"/>
        </w:rPr>
      </w:pPr>
      <w:r w:rsidRPr="00182CF1">
        <w:rPr>
          <w:rFonts w:ascii="Times New Roman" w:hAnsi="Times New Roman"/>
          <w:b/>
          <w:sz w:val="24"/>
          <w:szCs w:val="24"/>
        </w:rPr>
        <w:t>Legal Lesson Learned: A prison sentence was appropriate for this terrible conduct.</w:t>
      </w:r>
    </w:p>
    <w:p w14:paraId="4170BC1C" w14:textId="77777777" w:rsidR="00182CF1" w:rsidRDefault="00182CF1" w:rsidP="00F91F9F">
      <w:pPr>
        <w:pStyle w:val="NoSpacing"/>
        <w:rPr>
          <w:rFonts w:ascii="Arial Black" w:hAnsi="Arial Black"/>
          <w:sz w:val="24"/>
          <w:szCs w:val="24"/>
        </w:rPr>
      </w:pPr>
    </w:p>
    <w:p w14:paraId="30E88255" w14:textId="77777777" w:rsidR="00D60720" w:rsidRDefault="00D60720" w:rsidP="00F91F9F">
      <w:pPr>
        <w:pStyle w:val="NoSpacing"/>
        <w:rPr>
          <w:rFonts w:ascii="Arial Black" w:hAnsi="Arial Black"/>
          <w:sz w:val="24"/>
          <w:szCs w:val="24"/>
        </w:rPr>
      </w:pPr>
    </w:p>
    <w:p w14:paraId="7EB7C904" w14:textId="101FD985" w:rsidR="004E152C" w:rsidRDefault="004E152C" w:rsidP="00F91F9F">
      <w:pPr>
        <w:pStyle w:val="NoSpacing"/>
        <w:rPr>
          <w:rFonts w:ascii="Arial Black" w:hAnsi="Arial Black"/>
          <w:sz w:val="24"/>
          <w:szCs w:val="24"/>
        </w:rPr>
      </w:pPr>
      <w:r>
        <w:rPr>
          <w:rFonts w:ascii="Arial Black" w:hAnsi="Arial Black"/>
          <w:sz w:val="24"/>
          <w:szCs w:val="24"/>
        </w:rPr>
        <w:t>16-114</w:t>
      </w:r>
    </w:p>
    <w:p w14:paraId="1844E75E" w14:textId="77777777" w:rsidR="004E152C" w:rsidRDefault="004E152C" w:rsidP="00F91F9F">
      <w:pPr>
        <w:pStyle w:val="NoSpacing"/>
        <w:rPr>
          <w:rFonts w:ascii="Arial Black" w:hAnsi="Arial Black"/>
          <w:sz w:val="24"/>
          <w:szCs w:val="24"/>
        </w:rPr>
      </w:pPr>
    </w:p>
    <w:p w14:paraId="34F9FE01" w14:textId="77777777" w:rsidR="00DC3117" w:rsidRPr="00924F58" w:rsidRDefault="00DC3117" w:rsidP="00DC3117">
      <w:pPr>
        <w:pStyle w:val="NoSpacing"/>
        <w:rPr>
          <w:rFonts w:ascii="Times New Roman" w:hAnsi="Times New Roman"/>
          <w:b/>
          <w:bCs/>
          <w:sz w:val="24"/>
          <w:szCs w:val="24"/>
        </w:rPr>
      </w:pPr>
      <w:r w:rsidRPr="00924F58">
        <w:rPr>
          <w:rFonts w:ascii="Times New Roman" w:hAnsi="Times New Roman"/>
          <w:b/>
          <w:bCs/>
          <w:sz w:val="24"/>
          <w:szCs w:val="24"/>
        </w:rPr>
        <w:t>MI: WHISTLEBLOWER PROTECTION ACT – AC FIRED AFTER TOLD FD BOARD - FIRE CHIEF CONDUCT - CASE PROCEED</w:t>
      </w:r>
    </w:p>
    <w:p w14:paraId="75923DBC" w14:textId="77777777" w:rsidR="00DC3117" w:rsidRPr="00924F58" w:rsidRDefault="00DC3117" w:rsidP="00DC3117">
      <w:pPr>
        <w:pStyle w:val="NoSpacing"/>
        <w:rPr>
          <w:rFonts w:ascii="Times New Roman" w:hAnsi="Times New Roman"/>
          <w:b/>
          <w:bCs/>
          <w:sz w:val="24"/>
          <w:szCs w:val="24"/>
        </w:rPr>
      </w:pPr>
    </w:p>
    <w:p w14:paraId="0657392E" w14:textId="77777777" w:rsidR="00DC3117" w:rsidRPr="00924F58" w:rsidRDefault="00DC3117" w:rsidP="00DC3117">
      <w:pPr>
        <w:pStyle w:val="NoSpacing"/>
        <w:rPr>
          <w:rFonts w:ascii="Times New Roman" w:hAnsi="Times New Roman"/>
          <w:sz w:val="24"/>
          <w:szCs w:val="24"/>
        </w:rPr>
      </w:pPr>
      <w:r w:rsidRPr="00924F58">
        <w:rPr>
          <w:rFonts w:ascii="Times New Roman" w:hAnsi="Times New Roman"/>
          <w:sz w:val="24"/>
          <w:szCs w:val="24"/>
        </w:rPr>
        <w:t xml:space="preserve">On Sept. 5, 2024, in </w:t>
      </w:r>
      <w:r w:rsidRPr="00924F58">
        <w:rPr>
          <w:rFonts w:ascii="Times New Roman" w:hAnsi="Times New Roman"/>
          <w:sz w:val="24"/>
          <w:szCs w:val="24"/>
          <w:u w:val="single"/>
        </w:rPr>
        <w:t>Eric Dale v. Marshall Township</w:t>
      </w:r>
      <w:r w:rsidRPr="00924F58">
        <w:rPr>
          <w:rFonts w:ascii="Times New Roman" w:hAnsi="Times New Roman"/>
          <w:sz w:val="24"/>
          <w:szCs w:val="24"/>
        </w:rPr>
        <w:t xml:space="preserve">, the Michigan Court of Appeals held (3 to 0; unpublished opinion): “Because Dale established that he was engaged in a protected activity and that there was a causal connection between his protected activity and his termination, the trial court legally erred by holding that he failed to establish a prima facie case under the WPA [The Whistleblowers’ Protection Act]. Accordingly, we reverse the trial court’s grant of summary disposition to the township.” </w:t>
      </w:r>
    </w:p>
    <w:p w14:paraId="5B395221" w14:textId="77777777" w:rsidR="00DC3117" w:rsidRPr="00924F58" w:rsidRDefault="00DC3117" w:rsidP="00DC3117">
      <w:pPr>
        <w:pStyle w:val="NoSpacing"/>
        <w:rPr>
          <w:rFonts w:ascii="Times New Roman" w:hAnsi="Times New Roman"/>
          <w:sz w:val="24"/>
          <w:szCs w:val="24"/>
        </w:rPr>
      </w:pPr>
      <w:r w:rsidRPr="00924F58">
        <w:rPr>
          <w:rFonts w:ascii="Times New Roman" w:hAnsi="Times New Roman"/>
          <w:sz w:val="24"/>
          <w:szCs w:val="24"/>
        </w:rPr>
        <w:t xml:space="preserve"> </w:t>
      </w:r>
      <w:hyperlink r:id="rId2613" w:history="1">
        <w:r w:rsidRPr="00924F58">
          <w:rPr>
            <w:rStyle w:val="Hyperlink"/>
            <w:rFonts w:ascii="Times New Roman" w:hAnsi="Times New Roman"/>
            <w:sz w:val="24"/>
            <w:szCs w:val="24"/>
          </w:rPr>
          <w:t>https://www.courts.michigan.gov/siteassets/case-documents/uploads/OPINIONS/FINAL/COA/20240905_C364971_42_364971.OPN.PDF</w:t>
        </w:r>
      </w:hyperlink>
      <w:r w:rsidRPr="00924F58">
        <w:rPr>
          <w:rFonts w:ascii="Times New Roman" w:hAnsi="Times New Roman"/>
          <w:sz w:val="24"/>
          <w:szCs w:val="24"/>
        </w:rPr>
        <w:t xml:space="preserve"> </w:t>
      </w:r>
    </w:p>
    <w:p w14:paraId="4110B393" w14:textId="77777777" w:rsidR="00DC3117" w:rsidRPr="00924F58" w:rsidRDefault="00DC3117" w:rsidP="00DC3117">
      <w:pPr>
        <w:pStyle w:val="NoSpacing"/>
        <w:rPr>
          <w:rFonts w:ascii="Times New Roman" w:hAnsi="Times New Roman"/>
          <w:sz w:val="24"/>
          <w:szCs w:val="24"/>
        </w:rPr>
      </w:pPr>
    </w:p>
    <w:p w14:paraId="7A725BF0" w14:textId="77777777" w:rsidR="00924F58" w:rsidRPr="00924F58" w:rsidRDefault="00924F58" w:rsidP="00924F58">
      <w:pPr>
        <w:pStyle w:val="NoSpacing"/>
        <w:rPr>
          <w:rFonts w:ascii="Times New Roman" w:hAnsi="Times New Roman"/>
          <w:b/>
          <w:bCs/>
          <w:sz w:val="24"/>
          <w:szCs w:val="24"/>
        </w:rPr>
      </w:pPr>
      <w:r w:rsidRPr="00924F58">
        <w:rPr>
          <w:rFonts w:ascii="Times New Roman" w:hAnsi="Times New Roman"/>
          <w:b/>
          <w:sz w:val="24"/>
          <w:szCs w:val="24"/>
        </w:rPr>
        <w:t xml:space="preserve">Legal Lesson Learned: The State’s Whistleblower Protection Act is important protection against retaliation. </w:t>
      </w:r>
    </w:p>
    <w:p w14:paraId="103DF4EF" w14:textId="77777777" w:rsidR="00924F58" w:rsidRDefault="00924F58" w:rsidP="00924F58">
      <w:pPr>
        <w:rPr>
          <w:rFonts w:asciiTheme="majorHAnsi" w:hAnsiTheme="majorHAnsi"/>
          <w:b/>
          <w:bCs/>
          <w:sz w:val="28"/>
          <w:szCs w:val="28"/>
        </w:rPr>
      </w:pPr>
    </w:p>
    <w:p w14:paraId="19252D7B" w14:textId="77777777" w:rsidR="00DC3117" w:rsidRDefault="00DC3117" w:rsidP="00F91F9F">
      <w:pPr>
        <w:pStyle w:val="NoSpacing"/>
        <w:rPr>
          <w:rFonts w:ascii="Arial Black" w:hAnsi="Arial Black"/>
          <w:sz w:val="24"/>
          <w:szCs w:val="24"/>
        </w:rPr>
      </w:pPr>
    </w:p>
    <w:p w14:paraId="5B559D58" w14:textId="77777777" w:rsidR="00DC3117" w:rsidRDefault="00DC3117" w:rsidP="00F91F9F">
      <w:pPr>
        <w:pStyle w:val="NoSpacing"/>
        <w:rPr>
          <w:rFonts w:ascii="Arial Black" w:hAnsi="Arial Black"/>
          <w:sz w:val="24"/>
          <w:szCs w:val="24"/>
        </w:rPr>
      </w:pPr>
    </w:p>
    <w:p w14:paraId="626E1A76" w14:textId="77777777" w:rsidR="00DC3117" w:rsidRDefault="00DC3117" w:rsidP="00F91F9F">
      <w:pPr>
        <w:pStyle w:val="NoSpacing"/>
        <w:rPr>
          <w:rFonts w:ascii="Arial Black" w:hAnsi="Arial Black"/>
          <w:sz w:val="24"/>
          <w:szCs w:val="24"/>
        </w:rPr>
      </w:pPr>
    </w:p>
    <w:p w14:paraId="47879A3A" w14:textId="7E82290F" w:rsidR="005F3DA4" w:rsidRDefault="005F3DA4" w:rsidP="00F91F9F">
      <w:pPr>
        <w:pStyle w:val="NoSpacing"/>
        <w:rPr>
          <w:rFonts w:ascii="Arial Black" w:hAnsi="Arial Black"/>
          <w:sz w:val="24"/>
          <w:szCs w:val="24"/>
        </w:rPr>
      </w:pPr>
      <w:r>
        <w:rPr>
          <w:rFonts w:ascii="Arial Black" w:hAnsi="Arial Black"/>
          <w:sz w:val="24"/>
          <w:szCs w:val="24"/>
        </w:rPr>
        <w:lastRenderedPageBreak/>
        <w:t>16-113</w:t>
      </w:r>
      <w:r w:rsidR="004C0E50">
        <w:rPr>
          <w:rFonts w:ascii="Arial Black" w:hAnsi="Arial Black"/>
          <w:sz w:val="24"/>
          <w:szCs w:val="24"/>
        </w:rPr>
        <w:t xml:space="preserve"> </w:t>
      </w:r>
    </w:p>
    <w:p w14:paraId="05A2D13C" w14:textId="77777777" w:rsidR="005F3DA4" w:rsidRDefault="005F3DA4" w:rsidP="00F91F9F">
      <w:pPr>
        <w:pStyle w:val="NoSpacing"/>
        <w:rPr>
          <w:rFonts w:ascii="Arial Black" w:hAnsi="Arial Black"/>
          <w:sz w:val="24"/>
          <w:szCs w:val="24"/>
        </w:rPr>
      </w:pPr>
    </w:p>
    <w:p w14:paraId="67ABDE65" w14:textId="77777777" w:rsidR="00A313D5" w:rsidRPr="00711EF1" w:rsidRDefault="00A313D5" w:rsidP="00A313D5">
      <w:pPr>
        <w:pStyle w:val="NoSpacing"/>
        <w:rPr>
          <w:rFonts w:ascii="Arial Black" w:hAnsi="Arial Black"/>
          <w:sz w:val="28"/>
        </w:rPr>
      </w:pPr>
      <w:r>
        <w:rPr>
          <w:rFonts w:ascii="Arial Black" w:hAnsi="Arial Black"/>
          <w:sz w:val="28"/>
        </w:rPr>
        <w:t>MI: FIRE CHIEF 1</w:t>
      </w:r>
      <w:r w:rsidRPr="00114554">
        <w:rPr>
          <w:rFonts w:ascii="Arial Black" w:hAnsi="Arial Black"/>
          <w:sz w:val="28"/>
          <w:vertAlign w:val="superscript"/>
        </w:rPr>
        <w:t>ST</w:t>
      </w:r>
      <w:r>
        <w:rPr>
          <w:rFonts w:ascii="Arial Black" w:hAnsi="Arial Black"/>
          <w:sz w:val="28"/>
        </w:rPr>
        <w:t xml:space="preserve"> AMEND. RIGHT REFUSE TO CHANGE REPORT / LIE  – DEATH TWO BOYS, POOR FD SEARCH</w:t>
      </w:r>
    </w:p>
    <w:p w14:paraId="477FABE5" w14:textId="77777777" w:rsidR="00A313D5" w:rsidRDefault="00A313D5" w:rsidP="00A313D5">
      <w:pPr>
        <w:pStyle w:val="NoSpacing"/>
        <w:rPr>
          <w:szCs w:val="24"/>
        </w:rPr>
      </w:pPr>
    </w:p>
    <w:p w14:paraId="77E345FC" w14:textId="044BD4C7" w:rsidR="00A313D5" w:rsidRPr="00194CC1" w:rsidRDefault="00A313D5" w:rsidP="00A313D5">
      <w:pPr>
        <w:pStyle w:val="NoSpacing"/>
        <w:rPr>
          <w:rFonts w:ascii="Times New Roman" w:hAnsi="Times New Roman"/>
          <w:sz w:val="24"/>
          <w:szCs w:val="24"/>
        </w:rPr>
      </w:pPr>
      <w:r w:rsidRPr="00194CC1">
        <w:rPr>
          <w:rFonts w:ascii="Times New Roman" w:hAnsi="Times New Roman"/>
          <w:sz w:val="24"/>
          <w:szCs w:val="24"/>
        </w:rPr>
        <w:t xml:space="preserve">On Aug. 22, 2024, in </w:t>
      </w:r>
      <w:r w:rsidRPr="00194CC1">
        <w:rPr>
          <w:rFonts w:ascii="Times New Roman" w:hAnsi="Times New Roman"/>
          <w:sz w:val="24"/>
          <w:szCs w:val="24"/>
          <w:u w:val="single"/>
        </w:rPr>
        <w:t>Raymond C. Barton v. Sheldon Neeley</w:t>
      </w:r>
      <w:r w:rsidRPr="00194CC1">
        <w:rPr>
          <w:rFonts w:ascii="Times New Roman" w:hAnsi="Times New Roman"/>
          <w:sz w:val="24"/>
          <w:szCs w:val="24"/>
        </w:rPr>
        <w:t xml:space="preserve">, the U.S. Court of Appeals for Sixth Circuit (Cincinnati) held (3 to 0) that the Federal District Court Judge in Michigan properly denied the </w:t>
      </w:r>
      <w:proofErr w:type="gramStart"/>
      <w:r w:rsidRPr="00194CC1">
        <w:rPr>
          <w:rFonts w:ascii="Times New Roman" w:hAnsi="Times New Roman"/>
          <w:sz w:val="24"/>
          <w:szCs w:val="24"/>
        </w:rPr>
        <w:t>Mayor’s</w:t>
      </w:r>
      <w:proofErr w:type="gramEnd"/>
      <w:r w:rsidRPr="00194CC1">
        <w:rPr>
          <w:rFonts w:ascii="Times New Roman" w:hAnsi="Times New Roman"/>
          <w:sz w:val="24"/>
          <w:szCs w:val="24"/>
        </w:rPr>
        <w:t xml:space="preserve"> motion to dismiss the case on qualified immunity.  The Court wrote: “Two young African American boys died after two City of Flint firefighters failed to properly sweep a burning house. Then-City Fire Chief, plaintiff Raymond Barton, tried to discharge the firefighters for gross misconduct, but Flint’s Mayor, defendant Sheldon Neeley, intervened and allegedly covered up the firefighters’ malfeasance to advance his support from the firefighters’ union in an upcoming election. When Chief Barton refused Mayor Neeley’s directives to cover up the malfeasance, Neeley fired Barton. *** However, Barton’s speech at the city council meeting is not the only speech at issue in this case. Barton’s relevant speech also included (1) his refusal to change his report on his own, and (2) his refusal to make a public announcement saying that he initiated and agreed with the changed report. Indeed, Barton pleads that these refusals ultimately led to the termination of his employment. It is well established that the First Amendment protects “both the right to speak freely and the right to refrain from speaking at all.” Wooley v. Maynard, 430 U.S. 705, 714 (1977). After reviewing the content and context of this refusal-to-speak conduct, Fox, 605 F.3d at 348, we conclude that Barton sufficiently alleged that his unwillingness to lie in order to further Neeley’s political campaign was not within the scope of his official duties, see Boulton v.</w:t>
      </w:r>
      <w:r w:rsidR="00194CC1">
        <w:rPr>
          <w:rFonts w:ascii="Times New Roman" w:hAnsi="Times New Roman"/>
          <w:sz w:val="24"/>
          <w:szCs w:val="24"/>
        </w:rPr>
        <w:t xml:space="preserve"> </w:t>
      </w:r>
      <w:r w:rsidRPr="00194CC1">
        <w:rPr>
          <w:rFonts w:ascii="Times New Roman" w:hAnsi="Times New Roman"/>
          <w:sz w:val="24"/>
          <w:szCs w:val="24"/>
        </w:rPr>
        <w:t xml:space="preserve">Swanson, 795 F.3d 526, 534 (6th Cir. 2015) (explaining that the ‘exception to First Amendment protection’—speech made pursuant to one’s official duties—'must be read narrowly’). ***[W]e hold that it is clearly established that public employees cannot be compelled to make false statements on matters of public concern in response to threats of retaliation.”  </w:t>
      </w:r>
      <w:hyperlink r:id="rId2614" w:history="1">
        <w:r w:rsidRPr="00194CC1">
          <w:rPr>
            <w:rStyle w:val="Hyperlink"/>
            <w:rFonts w:ascii="Times New Roman" w:hAnsi="Times New Roman"/>
            <w:sz w:val="24"/>
            <w:szCs w:val="24"/>
          </w:rPr>
          <w:t>https://www.opn.ca6.uscourts.gov/opinions.pdf/24a0201p-06.pdf</w:t>
        </w:r>
      </w:hyperlink>
      <w:r w:rsidRPr="00194CC1">
        <w:rPr>
          <w:rFonts w:ascii="Times New Roman" w:hAnsi="Times New Roman"/>
          <w:sz w:val="24"/>
          <w:szCs w:val="24"/>
        </w:rPr>
        <w:t xml:space="preserve"> </w:t>
      </w:r>
    </w:p>
    <w:p w14:paraId="6500D19A" w14:textId="77777777" w:rsidR="00A313D5" w:rsidRPr="00194CC1" w:rsidRDefault="00A313D5" w:rsidP="00A313D5">
      <w:pPr>
        <w:pStyle w:val="NoSpacing"/>
        <w:rPr>
          <w:rFonts w:ascii="Times New Roman" w:hAnsi="Times New Roman"/>
          <w:sz w:val="24"/>
          <w:szCs w:val="24"/>
        </w:rPr>
      </w:pPr>
    </w:p>
    <w:p w14:paraId="6B75E0ED" w14:textId="77777777" w:rsidR="00A313D5" w:rsidRPr="00194CC1" w:rsidRDefault="00A313D5" w:rsidP="00A313D5">
      <w:pPr>
        <w:pStyle w:val="NoSpacing"/>
        <w:rPr>
          <w:rFonts w:ascii="Times New Roman" w:hAnsi="Times New Roman"/>
          <w:sz w:val="24"/>
          <w:szCs w:val="24"/>
        </w:rPr>
      </w:pPr>
    </w:p>
    <w:p w14:paraId="2442D817" w14:textId="77777777" w:rsidR="00A313D5" w:rsidRPr="00194CC1" w:rsidRDefault="00A313D5" w:rsidP="00A313D5">
      <w:pPr>
        <w:pStyle w:val="NoSpacing"/>
        <w:rPr>
          <w:rFonts w:ascii="Times New Roman" w:hAnsi="Times New Roman"/>
          <w:sz w:val="24"/>
          <w:szCs w:val="24"/>
        </w:rPr>
      </w:pPr>
      <w:r w:rsidRPr="00194CC1">
        <w:rPr>
          <w:rFonts w:ascii="Times New Roman" w:hAnsi="Times New Roman"/>
          <w:sz w:val="24"/>
          <w:szCs w:val="24"/>
        </w:rPr>
        <w:t>THE COURT HELD:</w:t>
      </w:r>
    </w:p>
    <w:p w14:paraId="3368A4BA" w14:textId="77777777" w:rsidR="00A313D5" w:rsidRPr="00194CC1" w:rsidRDefault="00A313D5" w:rsidP="00A313D5">
      <w:pPr>
        <w:pStyle w:val="NoSpacing"/>
        <w:rPr>
          <w:rFonts w:ascii="Times New Roman" w:hAnsi="Times New Roman"/>
          <w:sz w:val="24"/>
          <w:szCs w:val="24"/>
        </w:rPr>
      </w:pPr>
    </w:p>
    <w:p w14:paraId="50843A27" w14:textId="77777777" w:rsidR="00A313D5" w:rsidRPr="00194CC1" w:rsidRDefault="00A313D5" w:rsidP="00A313D5">
      <w:pPr>
        <w:pStyle w:val="NoSpacing"/>
        <w:ind w:left="720"/>
        <w:rPr>
          <w:rFonts w:ascii="Times New Roman" w:hAnsi="Times New Roman"/>
          <w:sz w:val="24"/>
          <w:szCs w:val="24"/>
        </w:rPr>
      </w:pPr>
      <w:r w:rsidRPr="00194CC1">
        <w:rPr>
          <w:rFonts w:ascii="Times New Roman" w:hAnsi="Times New Roman"/>
          <w:sz w:val="24"/>
          <w:szCs w:val="24"/>
        </w:rPr>
        <w:t xml:space="preserve">“The “critical question” is whether Barton’s official duties included taking actions that furthered Neeley’s reelection efforts. See id. At most, Barton’s refusals of  Neeley’s threats ‘merely concern[ed]’ his duties as Fire Chief, which is not enough to constitute public speech. See id.; Boulton, 795 F.3d at 534; </w:t>
      </w:r>
      <w:proofErr w:type="spellStart"/>
      <w:r w:rsidRPr="00194CC1">
        <w:rPr>
          <w:rFonts w:ascii="Times New Roman" w:hAnsi="Times New Roman"/>
          <w:sz w:val="24"/>
          <w:szCs w:val="24"/>
        </w:rPr>
        <w:t>Jackler</w:t>
      </w:r>
      <w:proofErr w:type="spellEnd"/>
      <w:r w:rsidRPr="00194CC1">
        <w:rPr>
          <w:rFonts w:ascii="Times New Roman" w:hAnsi="Times New Roman"/>
          <w:sz w:val="24"/>
          <w:szCs w:val="24"/>
        </w:rPr>
        <w:t>, 658 F.3d at 241 (‘In the context of the demands [by a superior] that [a public employee] retract his truthful statements and make statements that were false, we conclude that his refusals to accede to those demands constituted speech activity that was significantly different from the mere filing of his initial [r]</w:t>
      </w:r>
      <w:proofErr w:type="spellStart"/>
      <w:r w:rsidRPr="00194CC1">
        <w:rPr>
          <w:rFonts w:ascii="Times New Roman" w:hAnsi="Times New Roman"/>
          <w:sz w:val="24"/>
          <w:szCs w:val="24"/>
        </w:rPr>
        <w:t>eport</w:t>
      </w:r>
      <w:proofErr w:type="spellEnd"/>
      <w:r w:rsidRPr="00194CC1">
        <w:rPr>
          <w:rFonts w:ascii="Times New Roman" w:hAnsi="Times New Roman"/>
          <w:sz w:val="24"/>
          <w:szCs w:val="24"/>
        </w:rPr>
        <w:t xml:space="preserve">.’). In sum, Barton was (refraining from) speaking in his capacity as a private citizen when he declined to help Neeley win re-election and cover up racism within the fire department, which he alleges caused his termination as Fire Chief. </w:t>
      </w:r>
      <w:proofErr w:type="gramStart"/>
      <w:r w:rsidRPr="00194CC1">
        <w:rPr>
          <w:rFonts w:ascii="Times New Roman" w:hAnsi="Times New Roman"/>
          <w:sz w:val="24"/>
          <w:szCs w:val="24"/>
        </w:rPr>
        <w:t>So</w:t>
      </w:r>
      <w:proofErr w:type="gramEnd"/>
      <w:r w:rsidRPr="00194CC1">
        <w:rPr>
          <w:rFonts w:ascii="Times New Roman" w:hAnsi="Times New Roman"/>
          <w:sz w:val="24"/>
          <w:szCs w:val="24"/>
        </w:rPr>
        <w:t xml:space="preserve"> we affirm the district court’s holding that Barton plausibly alleged a violation of his constitutional </w:t>
      </w:r>
      <w:proofErr w:type="gramStart"/>
      <w:r w:rsidRPr="00194CC1">
        <w:rPr>
          <w:rFonts w:ascii="Times New Roman" w:hAnsi="Times New Roman"/>
          <w:sz w:val="24"/>
          <w:szCs w:val="24"/>
        </w:rPr>
        <w:t>rights.”</w:t>
      </w:r>
      <w:proofErr w:type="gramEnd"/>
    </w:p>
    <w:p w14:paraId="7BB7C80D" w14:textId="77777777" w:rsidR="00A313D5" w:rsidRPr="00194CC1" w:rsidRDefault="00A313D5" w:rsidP="00A313D5">
      <w:pPr>
        <w:pStyle w:val="NoSpacing"/>
        <w:rPr>
          <w:rFonts w:ascii="Times New Roman" w:hAnsi="Times New Roman"/>
          <w:sz w:val="24"/>
          <w:szCs w:val="24"/>
        </w:rPr>
      </w:pPr>
    </w:p>
    <w:p w14:paraId="4537AE55" w14:textId="77777777" w:rsidR="00A313D5" w:rsidRPr="00194CC1" w:rsidRDefault="00A313D5" w:rsidP="00A313D5">
      <w:pPr>
        <w:pStyle w:val="NoSpacing"/>
        <w:ind w:left="720"/>
        <w:rPr>
          <w:rFonts w:ascii="Times New Roman" w:hAnsi="Times New Roman"/>
          <w:sz w:val="24"/>
          <w:szCs w:val="24"/>
        </w:rPr>
      </w:pPr>
    </w:p>
    <w:p w14:paraId="0427CAB3" w14:textId="77777777" w:rsidR="00A313D5" w:rsidRPr="00194CC1" w:rsidRDefault="00A313D5" w:rsidP="00A313D5">
      <w:pPr>
        <w:pStyle w:val="NoSpacing"/>
        <w:rPr>
          <w:rFonts w:ascii="Times New Roman" w:hAnsi="Times New Roman"/>
          <w:b/>
          <w:bCs/>
          <w:sz w:val="24"/>
          <w:szCs w:val="24"/>
        </w:rPr>
      </w:pPr>
      <w:r w:rsidRPr="00194CC1">
        <w:rPr>
          <w:rFonts w:ascii="Times New Roman" w:hAnsi="Times New Roman"/>
          <w:b/>
          <w:bCs/>
          <w:sz w:val="24"/>
          <w:szCs w:val="24"/>
        </w:rPr>
        <w:t>Legal Lesson Learned: Great decision; can be great precedent in future cases.</w:t>
      </w:r>
    </w:p>
    <w:p w14:paraId="393102D0" w14:textId="77777777" w:rsidR="005F3DA4" w:rsidRDefault="005F3DA4" w:rsidP="00F91F9F">
      <w:pPr>
        <w:pStyle w:val="NoSpacing"/>
        <w:rPr>
          <w:rFonts w:ascii="Arial Black" w:hAnsi="Arial Black"/>
          <w:sz w:val="24"/>
          <w:szCs w:val="24"/>
        </w:rPr>
      </w:pPr>
    </w:p>
    <w:p w14:paraId="5091C95A" w14:textId="77777777" w:rsidR="005F3DA4" w:rsidRDefault="005F3DA4" w:rsidP="00F91F9F">
      <w:pPr>
        <w:pStyle w:val="NoSpacing"/>
        <w:rPr>
          <w:rFonts w:ascii="Arial Black" w:hAnsi="Arial Black"/>
          <w:sz w:val="24"/>
          <w:szCs w:val="24"/>
        </w:rPr>
      </w:pPr>
    </w:p>
    <w:p w14:paraId="36723288" w14:textId="77777777" w:rsidR="005F3DA4" w:rsidRDefault="005F3DA4" w:rsidP="00F91F9F">
      <w:pPr>
        <w:pStyle w:val="NoSpacing"/>
        <w:rPr>
          <w:rFonts w:ascii="Arial Black" w:hAnsi="Arial Black"/>
          <w:sz w:val="24"/>
          <w:szCs w:val="24"/>
        </w:rPr>
      </w:pPr>
    </w:p>
    <w:p w14:paraId="703C4748" w14:textId="03E655B2" w:rsidR="00CE27F4" w:rsidRDefault="00CE27F4" w:rsidP="00F91F9F">
      <w:pPr>
        <w:pStyle w:val="NoSpacing"/>
        <w:rPr>
          <w:rFonts w:ascii="Arial Black" w:hAnsi="Arial Black"/>
          <w:sz w:val="24"/>
          <w:szCs w:val="24"/>
        </w:rPr>
      </w:pPr>
      <w:r>
        <w:rPr>
          <w:rFonts w:ascii="Arial Black" w:hAnsi="Arial Black"/>
          <w:sz w:val="24"/>
          <w:szCs w:val="24"/>
        </w:rPr>
        <w:t>16-112</w:t>
      </w:r>
    </w:p>
    <w:p w14:paraId="61F0921F" w14:textId="77777777" w:rsidR="00FE25A3" w:rsidRDefault="00FE25A3" w:rsidP="00F91F9F">
      <w:pPr>
        <w:pStyle w:val="NoSpacing"/>
        <w:rPr>
          <w:rFonts w:ascii="Arial Black" w:hAnsi="Arial Black"/>
          <w:sz w:val="24"/>
          <w:szCs w:val="24"/>
        </w:rPr>
      </w:pPr>
    </w:p>
    <w:p w14:paraId="50F4DCE8" w14:textId="77777777" w:rsidR="00FE25A3" w:rsidRPr="007718BF" w:rsidRDefault="00FE25A3" w:rsidP="00FE25A3">
      <w:pPr>
        <w:rPr>
          <w:rFonts w:ascii="Arial Black" w:hAnsi="Arial Black"/>
          <w:sz w:val="28"/>
          <w:szCs w:val="28"/>
        </w:rPr>
      </w:pPr>
      <w:r>
        <w:rPr>
          <w:rFonts w:ascii="Arial Black" w:hAnsi="Arial Black"/>
          <w:sz w:val="28"/>
          <w:szCs w:val="28"/>
        </w:rPr>
        <w:lastRenderedPageBreak/>
        <w:t>NJ: FF FIRED - “DELIBERATE SHELL GAME” - RETURNED MILITARY LEAVE – BUT ALSO STAYED ON ACTIVE DUTY</w:t>
      </w:r>
    </w:p>
    <w:p w14:paraId="5CCB900A" w14:textId="77777777" w:rsidR="00FE25A3" w:rsidRPr="00DD5D06" w:rsidRDefault="00FE25A3" w:rsidP="00FE25A3">
      <w:pPr>
        <w:rPr>
          <w:rFonts w:ascii="Times New Roman" w:hAnsi="Times New Roman"/>
          <w:sz w:val="24"/>
          <w:szCs w:val="24"/>
        </w:rPr>
      </w:pPr>
      <w:r w:rsidRPr="00DD5D06">
        <w:rPr>
          <w:rFonts w:ascii="Times New Roman" w:hAnsi="Times New Roman"/>
          <w:sz w:val="24"/>
          <w:szCs w:val="24"/>
        </w:rPr>
        <w:t xml:space="preserve">On July 31, 2024, </w:t>
      </w:r>
      <w:r w:rsidRPr="00DD5D06">
        <w:rPr>
          <w:rFonts w:ascii="Times New Roman" w:hAnsi="Times New Roman"/>
          <w:sz w:val="24"/>
          <w:szCs w:val="24"/>
          <w:u w:val="single"/>
        </w:rPr>
        <w:t xml:space="preserve">In </w:t>
      </w:r>
      <w:proofErr w:type="gramStart"/>
      <w:r w:rsidRPr="00DD5D06">
        <w:rPr>
          <w:rFonts w:ascii="Times New Roman" w:hAnsi="Times New Roman"/>
          <w:sz w:val="24"/>
          <w:szCs w:val="24"/>
          <w:u w:val="single"/>
        </w:rPr>
        <w:t>The</w:t>
      </w:r>
      <w:proofErr w:type="gramEnd"/>
      <w:r w:rsidRPr="00DD5D06">
        <w:rPr>
          <w:rFonts w:ascii="Times New Roman" w:hAnsi="Times New Roman"/>
          <w:sz w:val="24"/>
          <w:szCs w:val="24"/>
          <w:u w:val="single"/>
        </w:rPr>
        <w:t xml:space="preserve"> Matter </w:t>
      </w:r>
      <w:proofErr w:type="gramStart"/>
      <w:r w:rsidRPr="00DD5D06">
        <w:rPr>
          <w:rFonts w:ascii="Times New Roman" w:hAnsi="Times New Roman"/>
          <w:sz w:val="24"/>
          <w:szCs w:val="24"/>
          <w:u w:val="single"/>
        </w:rPr>
        <w:t>Of</w:t>
      </w:r>
      <w:proofErr w:type="gramEnd"/>
      <w:r w:rsidRPr="00DD5D06">
        <w:rPr>
          <w:rFonts w:ascii="Times New Roman" w:hAnsi="Times New Roman"/>
          <w:sz w:val="24"/>
          <w:szCs w:val="24"/>
          <w:u w:val="single"/>
        </w:rPr>
        <w:t xml:space="preserve"> John Tayag-Kosky, Town </w:t>
      </w:r>
      <w:proofErr w:type="gramStart"/>
      <w:r w:rsidRPr="00DD5D06">
        <w:rPr>
          <w:rFonts w:ascii="Times New Roman" w:hAnsi="Times New Roman"/>
          <w:sz w:val="24"/>
          <w:szCs w:val="24"/>
          <w:u w:val="single"/>
        </w:rPr>
        <w:t>Of</w:t>
      </w:r>
      <w:proofErr w:type="gramEnd"/>
      <w:r w:rsidRPr="00DD5D06">
        <w:rPr>
          <w:rFonts w:ascii="Times New Roman" w:hAnsi="Times New Roman"/>
          <w:sz w:val="24"/>
          <w:szCs w:val="24"/>
          <w:u w:val="single"/>
        </w:rPr>
        <w:t xml:space="preserve"> Kearny Fire Department</w:t>
      </w:r>
      <w:r w:rsidRPr="00DD5D06">
        <w:rPr>
          <w:rFonts w:ascii="Times New Roman" w:hAnsi="Times New Roman"/>
          <w:sz w:val="24"/>
          <w:szCs w:val="24"/>
        </w:rPr>
        <w:t>, the Superior Court of New Jersey, Appellate Division, held (2 to 0; unpublished opinion), that the Civil Service Commission properly upheld the termination.  In 20</w:t>
      </w:r>
      <w:r>
        <w:rPr>
          <w:rFonts w:ascii="Times New Roman" w:hAnsi="Times New Roman"/>
          <w:sz w:val="24"/>
          <w:szCs w:val="24"/>
        </w:rPr>
        <w:t>1</w:t>
      </w:r>
      <w:r w:rsidRPr="00DD5D06">
        <w:rPr>
          <w:rFonts w:ascii="Times New Roman" w:hAnsi="Times New Roman"/>
          <w:sz w:val="24"/>
          <w:szCs w:val="24"/>
        </w:rPr>
        <w:t xml:space="preserve">4, when he returned from active duty to FD, he worked 24 / </w:t>
      </w:r>
      <w:proofErr w:type="gramStart"/>
      <w:r w:rsidRPr="00DD5D06">
        <w:rPr>
          <w:rFonts w:ascii="Times New Roman" w:hAnsi="Times New Roman"/>
          <w:sz w:val="24"/>
          <w:szCs w:val="24"/>
        </w:rPr>
        <w:t>72 hour</w:t>
      </w:r>
      <w:proofErr w:type="gramEnd"/>
      <w:r w:rsidRPr="00DD5D06">
        <w:rPr>
          <w:rFonts w:ascii="Times New Roman" w:hAnsi="Times New Roman"/>
          <w:sz w:val="24"/>
          <w:szCs w:val="24"/>
        </w:rPr>
        <w:t xml:space="preserve"> shift.  He </w:t>
      </w:r>
      <w:r>
        <w:rPr>
          <w:rFonts w:ascii="Times New Roman" w:hAnsi="Times New Roman"/>
          <w:sz w:val="24"/>
          <w:szCs w:val="24"/>
        </w:rPr>
        <w:t>“</w:t>
      </w:r>
      <w:r w:rsidRPr="00DD5D06">
        <w:rPr>
          <w:rFonts w:ascii="Times New Roman" w:hAnsi="Times New Roman"/>
          <w:sz w:val="24"/>
          <w:szCs w:val="24"/>
        </w:rPr>
        <w:t>actively concealed</w:t>
      </w:r>
      <w:r>
        <w:rPr>
          <w:rFonts w:ascii="Times New Roman" w:hAnsi="Times New Roman"/>
          <w:sz w:val="24"/>
          <w:szCs w:val="24"/>
        </w:rPr>
        <w:t>” from FD</w:t>
      </w:r>
      <w:r w:rsidRPr="00DD5D06">
        <w:rPr>
          <w:rFonts w:ascii="Times New Roman" w:hAnsi="Times New Roman"/>
          <w:sz w:val="24"/>
          <w:szCs w:val="24"/>
        </w:rPr>
        <w:t xml:space="preserve"> </w:t>
      </w:r>
      <w:r>
        <w:rPr>
          <w:rFonts w:ascii="Times New Roman" w:hAnsi="Times New Roman"/>
          <w:sz w:val="24"/>
          <w:szCs w:val="24"/>
        </w:rPr>
        <w:t xml:space="preserve">[2014-2018] </w:t>
      </w:r>
      <w:r w:rsidRPr="00DD5D06">
        <w:rPr>
          <w:rFonts w:ascii="Times New Roman" w:hAnsi="Times New Roman"/>
          <w:sz w:val="24"/>
          <w:szCs w:val="24"/>
        </w:rPr>
        <w:t>that he was still employed as a full-time military recruiter and an active-duty member of the Army National Guard</w:t>
      </w:r>
      <w:r>
        <w:rPr>
          <w:rFonts w:ascii="Times New Roman" w:hAnsi="Times New Roman"/>
          <w:sz w:val="24"/>
          <w:szCs w:val="24"/>
        </w:rPr>
        <w:t>, and concealed from Army he was working as a career FF</w:t>
      </w:r>
      <w:r w:rsidRPr="00DD5D06">
        <w:rPr>
          <w:rFonts w:ascii="Times New Roman" w:hAnsi="Times New Roman"/>
          <w:sz w:val="24"/>
          <w:szCs w:val="24"/>
        </w:rPr>
        <w:t xml:space="preserve">. The Court rejected his argument that under “progressive discipline” the firing was too harsh.  </w:t>
      </w:r>
      <w:hyperlink r:id="rId2615" w:history="1">
        <w:r w:rsidRPr="00DD5D06">
          <w:rPr>
            <w:rStyle w:val="Hyperlink"/>
            <w:rFonts w:ascii="Times New Roman" w:hAnsi="Times New Roman"/>
            <w:sz w:val="24"/>
            <w:szCs w:val="24"/>
          </w:rPr>
          <w:t>https://www.njcourts.gov/system/files/court-opinions/2024/a1537-22.pdf</w:t>
        </w:r>
      </w:hyperlink>
      <w:r w:rsidRPr="00DD5D06">
        <w:rPr>
          <w:rFonts w:ascii="Times New Roman" w:hAnsi="Times New Roman"/>
          <w:sz w:val="24"/>
          <w:szCs w:val="24"/>
        </w:rPr>
        <w:t xml:space="preserve"> </w:t>
      </w:r>
    </w:p>
    <w:p w14:paraId="0861AEB8" w14:textId="77777777" w:rsidR="00FE25A3" w:rsidRPr="007718BF" w:rsidRDefault="00FE25A3" w:rsidP="00FE25A3">
      <w:pPr>
        <w:rPr>
          <w:rFonts w:ascii="Times New Roman" w:hAnsi="Times New Roman"/>
          <w:sz w:val="24"/>
          <w:szCs w:val="24"/>
        </w:rPr>
      </w:pPr>
      <w:r w:rsidRPr="007718BF">
        <w:rPr>
          <w:rFonts w:ascii="Times New Roman" w:hAnsi="Times New Roman"/>
          <w:sz w:val="24"/>
          <w:szCs w:val="24"/>
        </w:rPr>
        <w:t>THE COURT HELD:</w:t>
      </w:r>
    </w:p>
    <w:p w14:paraId="26788F94" w14:textId="77777777" w:rsidR="00FE25A3" w:rsidRDefault="00FE25A3" w:rsidP="00FE25A3">
      <w:pPr>
        <w:ind w:left="720"/>
        <w:rPr>
          <w:rFonts w:ascii="Times New Roman" w:hAnsi="Times New Roman"/>
          <w:sz w:val="24"/>
          <w:szCs w:val="24"/>
        </w:rPr>
      </w:pPr>
      <w:r>
        <w:rPr>
          <w:rFonts w:ascii="Times New Roman" w:hAnsi="Times New Roman"/>
          <w:sz w:val="24"/>
          <w:szCs w:val="24"/>
        </w:rPr>
        <w:t>“</w:t>
      </w:r>
      <w:r w:rsidRPr="007718BF">
        <w:rPr>
          <w:rFonts w:ascii="Times New Roman" w:hAnsi="Times New Roman"/>
          <w:sz w:val="24"/>
          <w:szCs w:val="24"/>
        </w:rPr>
        <w:t>Kosky argues termination was not justified and violated</w:t>
      </w:r>
      <w:r>
        <w:rPr>
          <w:rFonts w:ascii="Times New Roman" w:hAnsi="Times New Roman"/>
          <w:sz w:val="24"/>
          <w:szCs w:val="24"/>
        </w:rPr>
        <w:t xml:space="preserve"> </w:t>
      </w:r>
      <w:r w:rsidRPr="007718BF">
        <w:rPr>
          <w:rFonts w:ascii="Times New Roman" w:hAnsi="Times New Roman"/>
          <w:sz w:val="24"/>
          <w:szCs w:val="24"/>
        </w:rPr>
        <w:t>principles of progressive discipline since he had no prior discipline or</w:t>
      </w:r>
      <w:r>
        <w:rPr>
          <w:rFonts w:ascii="Times New Roman" w:hAnsi="Times New Roman"/>
          <w:sz w:val="24"/>
          <w:szCs w:val="24"/>
        </w:rPr>
        <w:t xml:space="preserve"> </w:t>
      </w:r>
      <w:r w:rsidRPr="007718BF">
        <w:rPr>
          <w:rFonts w:ascii="Times New Roman" w:hAnsi="Times New Roman"/>
          <w:sz w:val="24"/>
          <w:szCs w:val="24"/>
        </w:rPr>
        <w:t>infractions with the Department. In making its determination on this issue, the</w:t>
      </w:r>
      <w:r>
        <w:rPr>
          <w:rFonts w:ascii="Times New Roman" w:hAnsi="Times New Roman"/>
          <w:sz w:val="24"/>
          <w:szCs w:val="24"/>
        </w:rPr>
        <w:t xml:space="preserve"> </w:t>
      </w:r>
      <w:r w:rsidRPr="007718BF">
        <w:rPr>
          <w:rFonts w:ascii="Times New Roman" w:hAnsi="Times New Roman"/>
          <w:sz w:val="24"/>
          <w:szCs w:val="24"/>
        </w:rPr>
        <w:t>Commission reviewed the ALJ's detailed findings and conclusions, including</w:t>
      </w:r>
      <w:r>
        <w:rPr>
          <w:rFonts w:ascii="Times New Roman" w:hAnsi="Times New Roman"/>
          <w:sz w:val="24"/>
          <w:szCs w:val="24"/>
        </w:rPr>
        <w:t xml:space="preserve"> </w:t>
      </w:r>
      <w:r w:rsidRPr="007718BF">
        <w:rPr>
          <w:rFonts w:ascii="Times New Roman" w:hAnsi="Times New Roman"/>
          <w:sz w:val="24"/>
          <w:szCs w:val="24"/>
        </w:rPr>
        <w:t>that Kosky's testimony was not credible and his actions warranted a departure</w:t>
      </w:r>
      <w:r>
        <w:rPr>
          <w:rFonts w:ascii="Times New Roman" w:hAnsi="Times New Roman"/>
          <w:sz w:val="24"/>
          <w:szCs w:val="24"/>
        </w:rPr>
        <w:t xml:space="preserve"> </w:t>
      </w:r>
      <w:r w:rsidRPr="007718BF">
        <w:rPr>
          <w:rFonts w:ascii="Times New Roman" w:hAnsi="Times New Roman"/>
          <w:sz w:val="24"/>
          <w:szCs w:val="24"/>
        </w:rPr>
        <w:t xml:space="preserve">from progressive discipline. Progressive discipline is not </w:t>
      </w:r>
      <w:r>
        <w:rPr>
          <w:rFonts w:ascii="Times New Roman" w:hAnsi="Times New Roman"/>
          <w:sz w:val="24"/>
          <w:szCs w:val="24"/>
        </w:rPr>
        <w:t>‘</w:t>
      </w:r>
      <w:r w:rsidRPr="007718BF">
        <w:rPr>
          <w:rFonts w:ascii="Times New Roman" w:hAnsi="Times New Roman"/>
          <w:sz w:val="24"/>
          <w:szCs w:val="24"/>
        </w:rPr>
        <w:t>a fixed and</w:t>
      </w:r>
      <w:r>
        <w:rPr>
          <w:rFonts w:ascii="Times New Roman" w:hAnsi="Times New Roman"/>
          <w:sz w:val="24"/>
          <w:szCs w:val="24"/>
        </w:rPr>
        <w:t xml:space="preserve"> </w:t>
      </w:r>
      <w:r w:rsidRPr="007718BF">
        <w:rPr>
          <w:rFonts w:ascii="Times New Roman" w:hAnsi="Times New Roman"/>
          <w:sz w:val="24"/>
          <w:szCs w:val="24"/>
        </w:rPr>
        <w:t>immutable rule to be followed without question</w:t>
      </w:r>
      <w:r>
        <w:rPr>
          <w:rFonts w:ascii="Times New Roman" w:hAnsi="Times New Roman"/>
          <w:sz w:val="24"/>
          <w:szCs w:val="24"/>
        </w:rPr>
        <w:t>’</w:t>
      </w:r>
      <w:r w:rsidRPr="007718BF">
        <w:rPr>
          <w:rFonts w:ascii="Times New Roman" w:hAnsi="Times New Roman"/>
          <w:sz w:val="24"/>
          <w:szCs w:val="24"/>
        </w:rPr>
        <w:t xml:space="preserve"> because </w:t>
      </w:r>
      <w:r>
        <w:rPr>
          <w:rFonts w:ascii="Times New Roman" w:hAnsi="Times New Roman"/>
          <w:sz w:val="24"/>
          <w:szCs w:val="24"/>
        </w:rPr>
        <w:t>‘</w:t>
      </w:r>
      <w:r w:rsidRPr="007718BF">
        <w:rPr>
          <w:rFonts w:ascii="Times New Roman" w:hAnsi="Times New Roman"/>
          <w:sz w:val="24"/>
          <w:szCs w:val="24"/>
        </w:rPr>
        <w:t>some disciplinary</w:t>
      </w:r>
      <w:r>
        <w:rPr>
          <w:rFonts w:ascii="Times New Roman" w:hAnsi="Times New Roman"/>
          <w:sz w:val="24"/>
          <w:szCs w:val="24"/>
        </w:rPr>
        <w:t xml:space="preserve"> </w:t>
      </w:r>
      <w:r w:rsidRPr="007718BF">
        <w:rPr>
          <w:rFonts w:ascii="Times New Roman" w:hAnsi="Times New Roman"/>
          <w:sz w:val="24"/>
          <w:szCs w:val="24"/>
        </w:rPr>
        <w:t>infractions are so serious that removal is appropriate notwithstanding a largely</w:t>
      </w:r>
      <w:r>
        <w:rPr>
          <w:rFonts w:ascii="Times New Roman" w:hAnsi="Times New Roman"/>
          <w:sz w:val="24"/>
          <w:szCs w:val="24"/>
        </w:rPr>
        <w:t xml:space="preserve"> </w:t>
      </w:r>
      <w:r w:rsidRPr="007718BF">
        <w:rPr>
          <w:rFonts w:ascii="Times New Roman" w:hAnsi="Times New Roman"/>
          <w:sz w:val="24"/>
          <w:szCs w:val="24"/>
        </w:rPr>
        <w:t>unblemished prior record.</w:t>
      </w:r>
      <w:r>
        <w:rPr>
          <w:rFonts w:ascii="Times New Roman" w:hAnsi="Times New Roman"/>
          <w:sz w:val="24"/>
          <w:szCs w:val="24"/>
        </w:rPr>
        <w:t>’</w:t>
      </w:r>
      <w:r w:rsidRPr="007718BF">
        <w:rPr>
          <w:rFonts w:ascii="Times New Roman" w:hAnsi="Times New Roman"/>
          <w:sz w:val="24"/>
          <w:szCs w:val="24"/>
        </w:rPr>
        <w:t xml:space="preserve"> Stallworth, 208 N.J. at 196 (citing Carter, 191 N.J.</w:t>
      </w:r>
      <w:r>
        <w:rPr>
          <w:rFonts w:ascii="Times New Roman" w:hAnsi="Times New Roman"/>
          <w:sz w:val="24"/>
          <w:szCs w:val="24"/>
        </w:rPr>
        <w:t xml:space="preserve"> </w:t>
      </w:r>
      <w:r w:rsidRPr="007718BF">
        <w:rPr>
          <w:rFonts w:ascii="Times New Roman" w:hAnsi="Times New Roman"/>
          <w:sz w:val="24"/>
          <w:szCs w:val="24"/>
        </w:rPr>
        <w:t>at 484); Herrmann, 192 N.J. at 34-36. The Commission's decision was clearly</w:t>
      </w:r>
      <w:r>
        <w:rPr>
          <w:rFonts w:ascii="Times New Roman" w:hAnsi="Times New Roman"/>
          <w:sz w:val="24"/>
          <w:szCs w:val="24"/>
        </w:rPr>
        <w:t xml:space="preserve"> </w:t>
      </w:r>
      <w:r w:rsidRPr="007718BF">
        <w:rPr>
          <w:rFonts w:ascii="Times New Roman" w:hAnsi="Times New Roman"/>
          <w:sz w:val="24"/>
          <w:szCs w:val="24"/>
        </w:rPr>
        <w:t>supported by the record which showed Kosky deliberately deceived the</w:t>
      </w:r>
      <w:r>
        <w:rPr>
          <w:rFonts w:ascii="Times New Roman" w:hAnsi="Times New Roman"/>
          <w:sz w:val="24"/>
          <w:szCs w:val="24"/>
        </w:rPr>
        <w:t xml:space="preserve"> </w:t>
      </w:r>
      <w:r w:rsidRPr="007718BF">
        <w:rPr>
          <w:rFonts w:ascii="Times New Roman" w:hAnsi="Times New Roman"/>
          <w:sz w:val="24"/>
          <w:szCs w:val="24"/>
        </w:rPr>
        <w:t xml:space="preserve">Department by failing to disclose he was holding two full-time positions </w:t>
      </w:r>
      <w:proofErr w:type="gramStart"/>
      <w:r w:rsidRPr="007718BF">
        <w:rPr>
          <w:rFonts w:ascii="Times New Roman" w:hAnsi="Times New Roman"/>
          <w:sz w:val="24"/>
          <w:szCs w:val="24"/>
        </w:rPr>
        <w:t>in an</w:t>
      </w:r>
      <w:r>
        <w:rPr>
          <w:rFonts w:ascii="Times New Roman" w:hAnsi="Times New Roman"/>
          <w:sz w:val="24"/>
          <w:szCs w:val="24"/>
        </w:rPr>
        <w:t xml:space="preserve"> </w:t>
      </w:r>
      <w:r w:rsidRPr="007718BF">
        <w:rPr>
          <w:rFonts w:ascii="Times New Roman" w:hAnsi="Times New Roman"/>
          <w:sz w:val="24"/>
          <w:szCs w:val="24"/>
        </w:rPr>
        <w:t>effort to</w:t>
      </w:r>
      <w:proofErr w:type="gramEnd"/>
      <w:r w:rsidRPr="007718BF">
        <w:rPr>
          <w:rFonts w:ascii="Times New Roman" w:hAnsi="Times New Roman"/>
          <w:sz w:val="24"/>
          <w:szCs w:val="24"/>
        </w:rPr>
        <w:t xml:space="preserve"> gain personal advantage in the form of additional pension and health</w:t>
      </w:r>
      <w:r>
        <w:rPr>
          <w:rFonts w:ascii="Times New Roman" w:hAnsi="Times New Roman"/>
          <w:sz w:val="24"/>
          <w:szCs w:val="24"/>
        </w:rPr>
        <w:t xml:space="preserve"> </w:t>
      </w:r>
      <w:r w:rsidRPr="007718BF">
        <w:rPr>
          <w:rFonts w:ascii="Times New Roman" w:hAnsi="Times New Roman"/>
          <w:sz w:val="24"/>
          <w:szCs w:val="24"/>
        </w:rPr>
        <w:t>benefits.</w:t>
      </w:r>
      <w:r>
        <w:rPr>
          <w:rFonts w:ascii="Times New Roman" w:hAnsi="Times New Roman"/>
          <w:sz w:val="24"/>
          <w:szCs w:val="24"/>
        </w:rPr>
        <w:t>”</w:t>
      </w:r>
    </w:p>
    <w:p w14:paraId="6F2EE934" w14:textId="77777777" w:rsidR="004C22AB" w:rsidRDefault="004C22AB" w:rsidP="004C22AB">
      <w:pPr>
        <w:rPr>
          <w:rFonts w:ascii="Times New Roman" w:hAnsi="Times New Roman"/>
          <w:b/>
          <w:bCs/>
          <w:sz w:val="24"/>
          <w:szCs w:val="24"/>
        </w:rPr>
      </w:pPr>
      <w:r w:rsidRPr="00346E64">
        <w:rPr>
          <w:rFonts w:ascii="Times New Roman" w:hAnsi="Times New Roman"/>
          <w:b/>
          <w:bCs/>
          <w:sz w:val="24"/>
          <w:szCs w:val="24"/>
        </w:rPr>
        <w:t xml:space="preserve">Legal Lesson Learned: </w:t>
      </w:r>
      <w:r>
        <w:rPr>
          <w:rFonts w:ascii="Times New Roman" w:hAnsi="Times New Roman"/>
          <w:b/>
          <w:bCs/>
          <w:sz w:val="24"/>
          <w:szCs w:val="24"/>
        </w:rPr>
        <w:t xml:space="preserve">Termination was appropriate; progressive discipline not appropriate who someone conducting a “deliberate shell game.” </w:t>
      </w:r>
    </w:p>
    <w:p w14:paraId="75B5586A" w14:textId="77777777" w:rsidR="004C22AB" w:rsidRPr="00270653" w:rsidRDefault="004C22AB" w:rsidP="004C22AB">
      <w:pPr>
        <w:ind w:left="720"/>
        <w:rPr>
          <w:rFonts w:ascii="Times New Roman" w:hAnsi="Times New Roman"/>
          <w:sz w:val="24"/>
          <w:szCs w:val="24"/>
        </w:rPr>
      </w:pPr>
      <w:r w:rsidRPr="00270653">
        <w:rPr>
          <w:rFonts w:ascii="Times New Roman" w:hAnsi="Times New Roman"/>
          <w:sz w:val="24"/>
          <w:szCs w:val="24"/>
        </w:rPr>
        <w:t xml:space="preserve">Note: Read the Civil Service Commission report. </w:t>
      </w:r>
      <w:hyperlink r:id="rId2616" w:history="1">
        <w:r w:rsidRPr="00270653">
          <w:rPr>
            <w:rStyle w:val="Hyperlink"/>
            <w:rFonts w:ascii="Times New Roman" w:hAnsi="Times New Roman"/>
            <w:sz w:val="24"/>
            <w:szCs w:val="24"/>
          </w:rPr>
          <w:t>https://www.nj.gov/csc/about/meetings/decisions/pdf/2023/01-18-23/A005%20TAYAG-KOSKY%20JOHN.pdf</w:t>
        </w:r>
      </w:hyperlink>
      <w:r w:rsidRPr="00270653">
        <w:rPr>
          <w:rFonts w:ascii="Times New Roman" w:hAnsi="Times New Roman"/>
          <w:sz w:val="24"/>
          <w:szCs w:val="24"/>
        </w:rPr>
        <w:t xml:space="preserve"> </w:t>
      </w:r>
    </w:p>
    <w:p w14:paraId="696E8BC4" w14:textId="77777777" w:rsidR="00FE25A3" w:rsidRDefault="00FE25A3" w:rsidP="00F91F9F">
      <w:pPr>
        <w:pStyle w:val="NoSpacing"/>
        <w:rPr>
          <w:rFonts w:ascii="Arial Black" w:hAnsi="Arial Black"/>
          <w:sz w:val="24"/>
          <w:szCs w:val="24"/>
        </w:rPr>
      </w:pPr>
    </w:p>
    <w:p w14:paraId="146E111B" w14:textId="77777777" w:rsidR="00CE27F4" w:rsidRDefault="00CE27F4" w:rsidP="00F91F9F">
      <w:pPr>
        <w:pStyle w:val="NoSpacing"/>
        <w:rPr>
          <w:rFonts w:ascii="Arial Black" w:hAnsi="Arial Black"/>
          <w:sz w:val="24"/>
          <w:szCs w:val="24"/>
        </w:rPr>
      </w:pPr>
    </w:p>
    <w:p w14:paraId="67ADA7A1" w14:textId="77777777" w:rsidR="00CE27F4" w:rsidRDefault="00CE27F4" w:rsidP="00F91F9F">
      <w:pPr>
        <w:pStyle w:val="NoSpacing"/>
        <w:rPr>
          <w:rFonts w:ascii="Arial Black" w:hAnsi="Arial Black"/>
          <w:sz w:val="24"/>
          <w:szCs w:val="24"/>
        </w:rPr>
      </w:pPr>
    </w:p>
    <w:p w14:paraId="58529998" w14:textId="5D92E6D0" w:rsidR="00B55AFC" w:rsidRDefault="00BB3D8E" w:rsidP="00F91F9F">
      <w:pPr>
        <w:pStyle w:val="NoSpacing"/>
        <w:rPr>
          <w:rFonts w:ascii="Arial Black" w:hAnsi="Arial Black"/>
          <w:sz w:val="24"/>
          <w:szCs w:val="24"/>
        </w:rPr>
      </w:pPr>
      <w:r>
        <w:rPr>
          <w:rFonts w:ascii="Arial Black" w:hAnsi="Arial Black"/>
          <w:sz w:val="24"/>
          <w:szCs w:val="24"/>
        </w:rPr>
        <w:t>16-111</w:t>
      </w:r>
    </w:p>
    <w:p w14:paraId="499ED00B" w14:textId="77777777" w:rsidR="00BB3D8E" w:rsidRDefault="00BB3D8E" w:rsidP="00F91F9F">
      <w:pPr>
        <w:pStyle w:val="NoSpacing"/>
        <w:rPr>
          <w:rFonts w:ascii="Arial Black" w:hAnsi="Arial Black"/>
          <w:sz w:val="24"/>
          <w:szCs w:val="24"/>
        </w:rPr>
      </w:pPr>
    </w:p>
    <w:p w14:paraId="43D6E405" w14:textId="77777777" w:rsidR="00B34746" w:rsidRDefault="00B34746" w:rsidP="00B34746">
      <w:pPr>
        <w:pStyle w:val="NoSpacing"/>
        <w:rPr>
          <w:rFonts w:ascii="Arial Black" w:hAnsi="Arial Black"/>
          <w:sz w:val="28"/>
          <w:szCs w:val="28"/>
        </w:rPr>
      </w:pPr>
      <w:r w:rsidRPr="0049649C">
        <w:rPr>
          <w:rFonts w:ascii="Arial Black" w:hAnsi="Arial Black"/>
          <w:sz w:val="28"/>
          <w:szCs w:val="28"/>
        </w:rPr>
        <w:t xml:space="preserve">CA: </w:t>
      </w:r>
      <w:r>
        <w:rPr>
          <w:rFonts w:ascii="Arial Black" w:hAnsi="Arial Black"/>
          <w:sz w:val="28"/>
          <w:szCs w:val="28"/>
        </w:rPr>
        <w:t xml:space="preserve">FIRE </w:t>
      </w:r>
      <w:r w:rsidRPr="0049649C">
        <w:rPr>
          <w:rFonts w:ascii="Arial Black" w:hAnsi="Arial Black"/>
          <w:sz w:val="28"/>
          <w:szCs w:val="28"/>
        </w:rPr>
        <w:t>CHIEF</w:t>
      </w:r>
      <w:r>
        <w:rPr>
          <w:rFonts w:ascii="Arial Black" w:hAnsi="Arial Black"/>
          <w:sz w:val="28"/>
          <w:szCs w:val="28"/>
        </w:rPr>
        <w:t xml:space="preserve"> FIRED – “RELIGIOUS DISCRIMINATION” CASE WAS DISMISSED – 9</w:t>
      </w:r>
      <w:r w:rsidRPr="005322F9">
        <w:rPr>
          <w:rFonts w:ascii="Arial Black" w:hAnsi="Arial Black"/>
          <w:sz w:val="28"/>
          <w:szCs w:val="28"/>
          <w:vertAlign w:val="superscript"/>
        </w:rPr>
        <w:t>th</w:t>
      </w:r>
      <w:r>
        <w:rPr>
          <w:rFonts w:ascii="Arial Black" w:hAnsi="Arial Black"/>
          <w:sz w:val="28"/>
          <w:szCs w:val="28"/>
        </w:rPr>
        <w:t xml:space="preserve"> CIR. NO “EN BANC” REVIEW</w:t>
      </w:r>
    </w:p>
    <w:p w14:paraId="25F66989" w14:textId="77777777" w:rsidR="00B34746" w:rsidRDefault="00B34746" w:rsidP="00B34746">
      <w:pPr>
        <w:pStyle w:val="NoSpacing"/>
      </w:pPr>
    </w:p>
    <w:p w14:paraId="793B7ED0" w14:textId="77777777" w:rsidR="00B34746" w:rsidRDefault="00B34746" w:rsidP="00B34746">
      <w:pPr>
        <w:pStyle w:val="NoSpacing"/>
        <w:rPr>
          <w:rFonts w:ascii="Times New Roman" w:hAnsi="Times New Roman"/>
          <w:sz w:val="24"/>
          <w:szCs w:val="24"/>
        </w:rPr>
      </w:pPr>
      <w:r w:rsidRPr="00675CE0">
        <w:rPr>
          <w:rFonts w:ascii="Times New Roman" w:hAnsi="Times New Roman"/>
          <w:sz w:val="24"/>
          <w:szCs w:val="24"/>
        </w:rPr>
        <w:t xml:space="preserve">On May 17, 2024, in </w:t>
      </w:r>
      <w:r w:rsidRPr="00675CE0">
        <w:rPr>
          <w:rFonts w:ascii="Times New Roman" w:hAnsi="Times New Roman"/>
          <w:sz w:val="24"/>
          <w:szCs w:val="24"/>
          <w:u w:val="single"/>
        </w:rPr>
        <w:t>Ronald Hittle v. City of Stockton, California</w:t>
      </w:r>
      <w:r w:rsidRPr="00675CE0">
        <w:rPr>
          <w:rFonts w:ascii="Times New Roman" w:hAnsi="Times New Roman"/>
          <w:sz w:val="24"/>
          <w:szCs w:val="24"/>
        </w:rPr>
        <w:t xml:space="preserve">, </w:t>
      </w:r>
      <w:r>
        <w:rPr>
          <w:rFonts w:ascii="Times New Roman" w:hAnsi="Times New Roman"/>
          <w:sz w:val="24"/>
          <w:szCs w:val="24"/>
        </w:rPr>
        <w:t>U.S. Court of Appeals for 9</w:t>
      </w:r>
      <w:r w:rsidRPr="00082FD4">
        <w:rPr>
          <w:rFonts w:ascii="Times New Roman" w:hAnsi="Times New Roman"/>
          <w:sz w:val="24"/>
          <w:szCs w:val="24"/>
          <w:vertAlign w:val="superscript"/>
        </w:rPr>
        <w:t>th</w:t>
      </w:r>
      <w:r>
        <w:rPr>
          <w:rFonts w:ascii="Times New Roman" w:hAnsi="Times New Roman"/>
          <w:sz w:val="24"/>
          <w:szCs w:val="24"/>
        </w:rPr>
        <w:t xml:space="preserve"> Circuit (San Francisco) a majority of the 29 Circuit Judges declined to hear his appeal, and </w:t>
      </w:r>
      <w:r w:rsidRPr="00675CE0">
        <w:rPr>
          <w:rFonts w:ascii="Times New Roman" w:hAnsi="Times New Roman"/>
          <w:sz w:val="24"/>
          <w:szCs w:val="24"/>
        </w:rPr>
        <w:t>the 3-</w:t>
      </w:r>
      <w:r>
        <w:rPr>
          <w:rFonts w:ascii="Times New Roman" w:hAnsi="Times New Roman"/>
          <w:sz w:val="24"/>
          <w:szCs w:val="24"/>
        </w:rPr>
        <w:t>J</w:t>
      </w:r>
      <w:r w:rsidRPr="00675CE0">
        <w:rPr>
          <w:rFonts w:ascii="Times New Roman" w:hAnsi="Times New Roman"/>
          <w:sz w:val="24"/>
          <w:szCs w:val="24"/>
        </w:rPr>
        <w:t xml:space="preserve">udge panel </w:t>
      </w:r>
      <w:r>
        <w:rPr>
          <w:rFonts w:ascii="Times New Roman" w:hAnsi="Times New Roman"/>
          <w:sz w:val="24"/>
          <w:szCs w:val="24"/>
        </w:rPr>
        <w:t xml:space="preserve">that originally denied his appeal on Aug. 4, </w:t>
      </w:r>
      <w:proofErr w:type="gramStart"/>
      <w:r>
        <w:rPr>
          <w:rFonts w:ascii="Times New Roman" w:hAnsi="Times New Roman"/>
          <w:sz w:val="24"/>
          <w:szCs w:val="24"/>
        </w:rPr>
        <w:t>2023</w:t>
      </w:r>
      <w:proofErr w:type="gramEnd"/>
      <w:r>
        <w:rPr>
          <w:rFonts w:ascii="Times New Roman" w:hAnsi="Times New Roman"/>
          <w:sz w:val="24"/>
          <w:szCs w:val="24"/>
        </w:rPr>
        <w:t xml:space="preserve"> issued a more detailed second decision.  The City fired Chief Hittle on Sept. 30, 2011 after it retained an outside attorney who wrote 250 page investigative report that included allegations the Chief had formed a “Christian Coalition” in FD, including taking three officers in a FD vehicle to Aug. 5 &amp; 6, 2020 a Christian “</w:t>
      </w:r>
      <w:r w:rsidRPr="005616B7">
        <w:rPr>
          <w:rFonts w:ascii="Times New Roman" w:hAnsi="Times New Roman"/>
          <w:sz w:val="24"/>
          <w:szCs w:val="24"/>
        </w:rPr>
        <w:t>Global Leadership Summit</w:t>
      </w:r>
      <w:r>
        <w:rPr>
          <w:rFonts w:ascii="Times New Roman" w:hAnsi="Times New Roman"/>
          <w:sz w:val="24"/>
          <w:szCs w:val="24"/>
        </w:rPr>
        <w:t xml:space="preserve">” conference at a church in Livermore, on city time.  The 3-Judge panel in its May 17, </w:t>
      </w:r>
      <w:proofErr w:type="gramStart"/>
      <w:r>
        <w:rPr>
          <w:rFonts w:ascii="Times New Roman" w:hAnsi="Times New Roman"/>
          <w:sz w:val="24"/>
          <w:szCs w:val="24"/>
        </w:rPr>
        <w:t>2024</w:t>
      </w:r>
      <w:proofErr w:type="gramEnd"/>
      <w:r>
        <w:rPr>
          <w:rFonts w:ascii="Times New Roman" w:hAnsi="Times New Roman"/>
          <w:sz w:val="24"/>
          <w:szCs w:val="24"/>
        </w:rPr>
        <w:t xml:space="preserve"> decision held:</w:t>
      </w:r>
    </w:p>
    <w:p w14:paraId="7A7CEDCA" w14:textId="77777777" w:rsidR="00B34746" w:rsidRDefault="00B34746" w:rsidP="00B34746">
      <w:pPr>
        <w:pStyle w:val="NoSpacing"/>
        <w:rPr>
          <w:rFonts w:ascii="Times New Roman" w:hAnsi="Times New Roman"/>
          <w:sz w:val="24"/>
          <w:szCs w:val="24"/>
        </w:rPr>
      </w:pPr>
    </w:p>
    <w:p w14:paraId="25BB64E2" w14:textId="77777777" w:rsidR="00B34746" w:rsidRDefault="00B34746" w:rsidP="00B34746">
      <w:pPr>
        <w:pStyle w:val="NoSpacing"/>
        <w:ind w:left="720"/>
        <w:rPr>
          <w:rFonts w:ascii="Times New Roman" w:hAnsi="Times New Roman"/>
          <w:sz w:val="24"/>
          <w:szCs w:val="24"/>
        </w:rPr>
      </w:pPr>
      <w:r>
        <w:rPr>
          <w:rFonts w:ascii="Times New Roman" w:hAnsi="Times New Roman"/>
          <w:sz w:val="24"/>
          <w:szCs w:val="24"/>
        </w:rPr>
        <w:lastRenderedPageBreak/>
        <w:t>“</w:t>
      </w:r>
      <w:r w:rsidRPr="00F62C43">
        <w:rPr>
          <w:rFonts w:ascii="Times New Roman" w:hAnsi="Times New Roman"/>
          <w:sz w:val="24"/>
          <w:szCs w:val="24"/>
        </w:rPr>
        <w:t xml:space="preserve">The </w:t>
      </w:r>
      <w:proofErr w:type="gramStart"/>
      <w:r w:rsidRPr="00F62C43">
        <w:rPr>
          <w:rFonts w:ascii="Times New Roman" w:hAnsi="Times New Roman"/>
          <w:sz w:val="24"/>
          <w:szCs w:val="24"/>
        </w:rPr>
        <w:t>City</w:t>
      </w:r>
      <w:proofErr w:type="gramEnd"/>
      <w:r w:rsidRPr="00F62C43">
        <w:rPr>
          <w:rFonts w:ascii="Times New Roman" w:hAnsi="Times New Roman"/>
          <w:sz w:val="24"/>
          <w:szCs w:val="24"/>
        </w:rPr>
        <w:t xml:space="preserve"> hired an outside independent</w:t>
      </w:r>
      <w:r>
        <w:rPr>
          <w:rFonts w:ascii="Times New Roman" w:hAnsi="Times New Roman"/>
          <w:sz w:val="24"/>
          <w:szCs w:val="24"/>
        </w:rPr>
        <w:t xml:space="preserve"> </w:t>
      </w:r>
      <w:r w:rsidRPr="00F62C43">
        <w:rPr>
          <w:rFonts w:ascii="Times New Roman" w:hAnsi="Times New Roman"/>
          <w:sz w:val="24"/>
          <w:szCs w:val="24"/>
        </w:rPr>
        <w:t>investigator, Trudy Largent (</w:t>
      </w:r>
      <w:r>
        <w:rPr>
          <w:rFonts w:ascii="Times New Roman" w:hAnsi="Times New Roman"/>
          <w:sz w:val="24"/>
          <w:szCs w:val="24"/>
        </w:rPr>
        <w:t>‘</w:t>
      </w:r>
      <w:r w:rsidRPr="00F62C43">
        <w:rPr>
          <w:rFonts w:ascii="Times New Roman" w:hAnsi="Times New Roman"/>
          <w:sz w:val="24"/>
          <w:szCs w:val="24"/>
        </w:rPr>
        <w:t>Largent</w:t>
      </w:r>
      <w:r>
        <w:rPr>
          <w:rFonts w:ascii="Times New Roman" w:hAnsi="Times New Roman"/>
          <w:sz w:val="24"/>
          <w:szCs w:val="24"/>
        </w:rPr>
        <w:t>’</w:t>
      </w:r>
      <w:r w:rsidRPr="00F62C43">
        <w:rPr>
          <w:rFonts w:ascii="Times New Roman" w:hAnsi="Times New Roman"/>
          <w:sz w:val="24"/>
          <w:szCs w:val="24"/>
        </w:rPr>
        <w:t>),</w:t>
      </w:r>
      <w:r>
        <w:rPr>
          <w:rFonts w:ascii="Times New Roman" w:hAnsi="Times New Roman"/>
          <w:sz w:val="24"/>
          <w:szCs w:val="24"/>
        </w:rPr>
        <w:t xml:space="preserve"> [CA attorney] </w:t>
      </w:r>
      <w:r w:rsidRPr="00F62C43">
        <w:rPr>
          <w:rFonts w:ascii="Times New Roman" w:hAnsi="Times New Roman"/>
          <w:sz w:val="24"/>
          <w:szCs w:val="24"/>
        </w:rPr>
        <w:t>to investigate</w:t>
      </w:r>
      <w:r>
        <w:rPr>
          <w:rFonts w:ascii="Times New Roman" w:hAnsi="Times New Roman"/>
          <w:sz w:val="24"/>
          <w:szCs w:val="24"/>
        </w:rPr>
        <w:t xml:space="preserve"> </w:t>
      </w:r>
      <w:r w:rsidRPr="00F62C43">
        <w:rPr>
          <w:rFonts w:ascii="Times New Roman" w:hAnsi="Times New Roman"/>
          <w:sz w:val="24"/>
          <w:szCs w:val="24"/>
        </w:rPr>
        <w:t>various allegations of misconduct. In a 250-page report</w:t>
      </w:r>
      <w:r>
        <w:rPr>
          <w:rFonts w:ascii="Times New Roman" w:hAnsi="Times New Roman"/>
          <w:sz w:val="24"/>
          <w:szCs w:val="24"/>
        </w:rPr>
        <w:t xml:space="preserve">  </w:t>
      </w:r>
      <w:r w:rsidRPr="009A57BD">
        <w:rPr>
          <w:rFonts w:ascii="Times New Roman" w:hAnsi="Times New Roman"/>
          <w:sz w:val="24"/>
          <w:szCs w:val="24"/>
        </w:rPr>
        <w:t xml:space="preserve">referencing over 50 exhibits, Largent sustained almost </w:t>
      </w:r>
      <w:proofErr w:type="gramStart"/>
      <w:r w:rsidRPr="009A57BD">
        <w:rPr>
          <w:rFonts w:ascii="Times New Roman" w:hAnsi="Times New Roman"/>
          <w:sz w:val="24"/>
          <w:szCs w:val="24"/>
        </w:rPr>
        <w:t>all of</w:t>
      </w:r>
      <w:proofErr w:type="gramEnd"/>
      <w:r>
        <w:rPr>
          <w:rFonts w:ascii="Times New Roman" w:hAnsi="Times New Roman"/>
          <w:sz w:val="24"/>
          <w:szCs w:val="24"/>
        </w:rPr>
        <w:t xml:space="preserve"> </w:t>
      </w:r>
      <w:r w:rsidRPr="009A57BD">
        <w:rPr>
          <w:rFonts w:ascii="Times New Roman" w:hAnsi="Times New Roman"/>
          <w:sz w:val="24"/>
          <w:szCs w:val="24"/>
        </w:rPr>
        <w:t>the allegations of misconduct against Hittle.</w:t>
      </w:r>
      <w:r>
        <w:rPr>
          <w:rFonts w:ascii="Times New Roman" w:hAnsi="Times New Roman"/>
          <w:sz w:val="24"/>
          <w:szCs w:val="24"/>
        </w:rPr>
        <w:t xml:space="preserve"> </w:t>
      </w:r>
      <w:r w:rsidRPr="009A57BD">
        <w:rPr>
          <w:rFonts w:ascii="Times New Roman" w:hAnsi="Times New Roman"/>
          <w:sz w:val="24"/>
          <w:szCs w:val="24"/>
        </w:rPr>
        <w:t>Largent’s Report specifically concluded that Hittle:</w:t>
      </w:r>
      <w:r>
        <w:rPr>
          <w:rFonts w:ascii="Times New Roman" w:hAnsi="Times New Roman"/>
          <w:sz w:val="24"/>
          <w:szCs w:val="24"/>
        </w:rPr>
        <w:t xml:space="preserve"> </w:t>
      </w:r>
      <w:r w:rsidRPr="009A57BD">
        <w:rPr>
          <w:rFonts w:ascii="Times New Roman" w:hAnsi="Times New Roman"/>
          <w:sz w:val="24"/>
          <w:szCs w:val="24"/>
        </w:rPr>
        <w:t>(1) lacked effectiveness and judgment in his ongoing</w:t>
      </w:r>
      <w:r>
        <w:rPr>
          <w:rFonts w:ascii="Times New Roman" w:hAnsi="Times New Roman"/>
          <w:sz w:val="24"/>
          <w:szCs w:val="24"/>
        </w:rPr>
        <w:t xml:space="preserve"> </w:t>
      </w:r>
      <w:r w:rsidRPr="009A57BD">
        <w:rPr>
          <w:rFonts w:ascii="Times New Roman" w:hAnsi="Times New Roman"/>
          <w:sz w:val="24"/>
          <w:szCs w:val="24"/>
        </w:rPr>
        <w:t>leadership of the Fire Department; (2) used City time and a</w:t>
      </w:r>
      <w:r>
        <w:rPr>
          <w:rFonts w:ascii="Times New Roman" w:hAnsi="Times New Roman"/>
          <w:sz w:val="24"/>
          <w:szCs w:val="24"/>
        </w:rPr>
        <w:t xml:space="preserve"> </w:t>
      </w:r>
      <w:r w:rsidRPr="009A57BD">
        <w:rPr>
          <w:rFonts w:ascii="Times New Roman" w:hAnsi="Times New Roman"/>
          <w:sz w:val="24"/>
          <w:szCs w:val="24"/>
        </w:rPr>
        <w:t>City vehicle to attend a religious event, and approved on-duty attendance of other Fire Department managers to do the</w:t>
      </w:r>
      <w:r>
        <w:rPr>
          <w:rFonts w:ascii="Times New Roman" w:hAnsi="Times New Roman"/>
          <w:sz w:val="24"/>
          <w:szCs w:val="24"/>
        </w:rPr>
        <w:t xml:space="preserve"> </w:t>
      </w:r>
      <w:r w:rsidRPr="009A57BD">
        <w:rPr>
          <w:rFonts w:ascii="Times New Roman" w:hAnsi="Times New Roman"/>
          <w:sz w:val="24"/>
          <w:szCs w:val="24"/>
        </w:rPr>
        <w:t>same; (3) failed to properly report his time off; (4) engaged</w:t>
      </w:r>
      <w:r>
        <w:rPr>
          <w:rFonts w:ascii="Times New Roman" w:hAnsi="Times New Roman"/>
          <w:sz w:val="24"/>
          <w:szCs w:val="24"/>
        </w:rPr>
        <w:t xml:space="preserve"> </w:t>
      </w:r>
      <w:r w:rsidRPr="009A57BD">
        <w:rPr>
          <w:rFonts w:ascii="Times New Roman" w:hAnsi="Times New Roman"/>
          <w:sz w:val="24"/>
          <w:szCs w:val="24"/>
        </w:rPr>
        <w:t>in potential favoritism of certain Fire Department employees</w:t>
      </w:r>
      <w:r>
        <w:rPr>
          <w:rFonts w:ascii="Times New Roman" w:hAnsi="Times New Roman"/>
          <w:sz w:val="24"/>
          <w:szCs w:val="24"/>
        </w:rPr>
        <w:t xml:space="preserve"> </w:t>
      </w:r>
      <w:r w:rsidRPr="009A57BD">
        <w:rPr>
          <w:rFonts w:ascii="Times New Roman" w:hAnsi="Times New Roman"/>
          <w:sz w:val="24"/>
          <w:szCs w:val="24"/>
        </w:rPr>
        <w:t>based on a financial conflict of interest not disclosed to the</w:t>
      </w:r>
      <w:r>
        <w:rPr>
          <w:rFonts w:ascii="Times New Roman" w:hAnsi="Times New Roman"/>
          <w:sz w:val="24"/>
          <w:szCs w:val="24"/>
        </w:rPr>
        <w:t xml:space="preserve"> </w:t>
      </w:r>
      <w:r w:rsidRPr="009A57BD">
        <w:rPr>
          <w:rFonts w:ascii="Times New Roman" w:hAnsi="Times New Roman"/>
          <w:sz w:val="24"/>
          <w:szCs w:val="24"/>
        </w:rPr>
        <w:t>City; (5) endorsed a private consultant’s business in</w:t>
      </w:r>
      <w:r>
        <w:rPr>
          <w:rFonts w:ascii="Times New Roman" w:hAnsi="Times New Roman"/>
          <w:sz w:val="24"/>
          <w:szCs w:val="24"/>
        </w:rPr>
        <w:t xml:space="preserve"> </w:t>
      </w:r>
      <w:r w:rsidRPr="009A57BD">
        <w:rPr>
          <w:rFonts w:ascii="Times New Roman" w:hAnsi="Times New Roman"/>
          <w:sz w:val="24"/>
          <w:szCs w:val="24"/>
        </w:rPr>
        <w:t>violation of City policy; and (6) had potentially conflicting</w:t>
      </w:r>
      <w:r>
        <w:rPr>
          <w:rFonts w:ascii="Times New Roman" w:hAnsi="Times New Roman"/>
          <w:sz w:val="24"/>
          <w:szCs w:val="24"/>
        </w:rPr>
        <w:t xml:space="preserve"> </w:t>
      </w:r>
      <w:r w:rsidRPr="009A57BD">
        <w:rPr>
          <w:rFonts w:ascii="Times New Roman" w:hAnsi="Times New Roman"/>
          <w:sz w:val="24"/>
          <w:szCs w:val="24"/>
        </w:rPr>
        <w:t>loyalties in his management role and responsibilities,</w:t>
      </w:r>
      <w:r>
        <w:rPr>
          <w:rFonts w:ascii="Times New Roman" w:hAnsi="Times New Roman"/>
          <w:sz w:val="24"/>
          <w:szCs w:val="24"/>
        </w:rPr>
        <w:t xml:space="preserve"> </w:t>
      </w:r>
      <w:r w:rsidRPr="009A57BD">
        <w:rPr>
          <w:rFonts w:ascii="Times New Roman" w:hAnsi="Times New Roman"/>
          <w:sz w:val="24"/>
          <w:szCs w:val="24"/>
        </w:rPr>
        <w:t>including Hittle’s relationship with the head of the local</w:t>
      </w:r>
      <w:r>
        <w:rPr>
          <w:rFonts w:ascii="Times New Roman" w:hAnsi="Times New Roman"/>
          <w:sz w:val="24"/>
          <w:szCs w:val="24"/>
        </w:rPr>
        <w:t xml:space="preserve"> </w:t>
      </w:r>
      <w:r w:rsidRPr="009A57BD">
        <w:rPr>
          <w:rFonts w:ascii="Times New Roman" w:hAnsi="Times New Roman"/>
          <w:sz w:val="24"/>
          <w:szCs w:val="24"/>
        </w:rPr>
        <w:t>firefighters’ union. Based on the independent findings and</w:t>
      </w:r>
      <w:r>
        <w:rPr>
          <w:rFonts w:ascii="Times New Roman" w:hAnsi="Times New Roman"/>
          <w:sz w:val="24"/>
          <w:szCs w:val="24"/>
        </w:rPr>
        <w:t xml:space="preserve"> </w:t>
      </w:r>
      <w:r w:rsidRPr="009A57BD">
        <w:rPr>
          <w:rFonts w:ascii="Times New Roman" w:hAnsi="Times New Roman"/>
          <w:sz w:val="24"/>
          <w:szCs w:val="24"/>
        </w:rPr>
        <w:t xml:space="preserve">conclusions set forth in Largent’s report, the </w:t>
      </w:r>
      <w:proofErr w:type="gramStart"/>
      <w:r w:rsidRPr="009A57BD">
        <w:rPr>
          <w:rFonts w:ascii="Times New Roman" w:hAnsi="Times New Roman"/>
          <w:sz w:val="24"/>
          <w:szCs w:val="24"/>
        </w:rPr>
        <w:t>City</w:t>
      </w:r>
      <w:proofErr w:type="gramEnd"/>
      <w:r w:rsidRPr="009A57BD">
        <w:rPr>
          <w:rFonts w:ascii="Times New Roman" w:hAnsi="Times New Roman"/>
          <w:sz w:val="24"/>
          <w:szCs w:val="24"/>
        </w:rPr>
        <w:t xml:space="preserve"> removed</w:t>
      </w:r>
      <w:r>
        <w:rPr>
          <w:rFonts w:ascii="Times New Roman" w:hAnsi="Times New Roman"/>
          <w:sz w:val="24"/>
          <w:szCs w:val="24"/>
        </w:rPr>
        <w:t xml:space="preserve"> </w:t>
      </w:r>
      <w:r w:rsidRPr="009A57BD">
        <w:rPr>
          <w:rFonts w:ascii="Times New Roman" w:hAnsi="Times New Roman"/>
          <w:sz w:val="24"/>
          <w:szCs w:val="24"/>
        </w:rPr>
        <w:t>Hittle from his position as Fire Chief.</w:t>
      </w:r>
    </w:p>
    <w:p w14:paraId="2119E761" w14:textId="77777777" w:rsidR="00B34746" w:rsidRDefault="00B34746" w:rsidP="00B34746">
      <w:pPr>
        <w:pStyle w:val="NoSpacing"/>
        <w:ind w:left="720"/>
        <w:rPr>
          <w:rFonts w:ascii="Times New Roman" w:hAnsi="Times New Roman"/>
          <w:sz w:val="24"/>
          <w:szCs w:val="24"/>
        </w:rPr>
      </w:pPr>
    </w:p>
    <w:p w14:paraId="79CE2D55" w14:textId="77777777" w:rsidR="00B34746" w:rsidRDefault="00B34746" w:rsidP="00B34746">
      <w:pPr>
        <w:pStyle w:val="NoSpacing"/>
        <w:ind w:left="720"/>
        <w:rPr>
          <w:rFonts w:ascii="Times New Roman" w:hAnsi="Times New Roman"/>
          <w:sz w:val="24"/>
          <w:szCs w:val="24"/>
        </w:rPr>
      </w:pPr>
      <w:r>
        <w:rPr>
          <w:rFonts w:ascii="Times New Roman" w:hAnsi="Times New Roman"/>
          <w:sz w:val="24"/>
          <w:szCs w:val="24"/>
        </w:rPr>
        <w:t>***</w:t>
      </w:r>
    </w:p>
    <w:p w14:paraId="75ADFF73" w14:textId="77777777" w:rsidR="00B34746" w:rsidRDefault="00B34746" w:rsidP="00B34746">
      <w:pPr>
        <w:pStyle w:val="NoSpacing"/>
        <w:ind w:left="720"/>
        <w:rPr>
          <w:rFonts w:ascii="Times New Roman" w:hAnsi="Times New Roman"/>
          <w:sz w:val="24"/>
          <w:szCs w:val="24"/>
        </w:rPr>
      </w:pPr>
    </w:p>
    <w:p w14:paraId="2F2DDC6F" w14:textId="77777777" w:rsidR="00B34746" w:rsidRDefault="00B34746" w:rsidP="00B34746">
      <w:pPr>
        <w:pStyle w:val="NoSpacing"/>
        <w:ind w:left="720"/>
        <w:rPr>
          <w:rFonts w:ascii="Times New Roman" w:hAnsi="Times New Roman"/>
          <w:sz w:val="24"/>
          <w:szCs w:val="24"/>
        </w:rPr>
      </w:pPr>
      <w:r w:rsidRPr="00E2791B">
        <w:rPr>
          <w:rFonts w:ascii="Times New Roman" w:hAnsi="Times New Roman"/>
          <w:sz w:val="24"/>
          <w:szCs w:val="24"/>
        </w:rPr>
        <w:t>To summarize, we hold that, based on the record before</w:t>
      </w:r>
      <w:r>
        <w:rPr>
          <w:rFonts w:ascii="Times New Roman" w:hAnsi="Times New Roman"/>
          <w:sz w:val="24"/>
          <w:szCs w:val="24"/>
        </w:rPr>
        <w:t xml:space="preserve"> </w:t>
      </w:r>
      <w:r w:rsidRPr="00E2791B">
        <w:rPr>
          <w:rFonts w:ascii="Times New Roman" w:hAnsi="Times New Roman"/>
          <w:sz w:val="24"/>
          <w:szCs w:val="24"/>
        </w:rPr>
        <w:t>us, the district court’s granting of summary judgment in</w:t>
      </w:r>
      <w:r>
        <w:rPr>
          <w:rFonts w:ascii="Times New Roman" w:hAnsi="Times New Roman"/>
          <w:sz w:val="24"/>
          <w:szCs w:val="24"/>
        </w:rPr>
        <w:t xml:space="preserve"> </w:t>
      </w:r>
      <w:r w:rsidRPr="00E2791B">
        <w:rPr>
          <w:rFonts w:ascii="Times New Roman" w:hAnsi="Times New Roman"/>
          <w:sz w:val="24"/>
          <w:szCs w:val="24"/>
        </w:rPr>
        <w:t>Defendants’ favor was appropriate where Defendants’</w:t>
      </w:r>
      <w:r>
        <w:rPr>
          <w:rFonts w:ascii="Times New Roman" w:hAnsi="Times New Roman"/>
          <w:sz w:val="24"/>
          <w:szCs w:val="24"/>
        </w:rPr>
        <w:t xml:space="preserve"> l</w:t>
      </w:r>
      <w:r w:rsidRPr="005A0758">
        <w:rPr>
          <w:rFonts w:ascii="Times New Roman" w:hAnsi="Times New Roman"/>
          <w:sz w:val="24"/>
          <w:szCs w:val="24"/>
        </w:rPr>
        <w:t>egitimate, non-discriminatory reasons for firing Hittle were,</w:t>
      </w:r>
      <w:r>
        <w:rPr>
          <w:rFonts w:ascii="Times New Roman" w:hAnsi="Times New Roman"/>
          <w:sz w:val="24"/>
          <w:szCs w:val="24"/>
        </w:rPr>
        <w:t xml:space="preserve"> </w:t>
      </w:r>
      <w:r w:rsidRPr="005A0758">
        <w:rPr>
          <w:rFonts w:ascii="Times New Roman" w:hAnsi="Times New Roman"/>
          <w:sz w:val="24"/>
          <w:szCs w:val="24"/>
        </w:rPr>
        <w:t>in sum, sufficient to rebut Hittle’s evidence of</w:t>
      </w:r>
      <w:r>
        <w:rPr>
          <w:rFonts w:ascii="Times New Roman" w:hAnsi="Times New Roman"/>
          <w:sz w:val="24"/>
          <w:szCs w:val="24"/>
        </w:rPr>
        <w:t xml:space="preserve"> </w:t>
      </w:r>
      <w:r w:rsidRPr="005A0758">
        <w:rPr>
          <w:rFonts w:ascii="Times New Roman" w:hAnsi="Times New Roman"/>
          <w:sz w:val="24"/>
          <w:szCs w:val="24"/>
        </w:rPr>
        <w:t>discrimination, and Hittle has failed to persuasively argue</w:t>
      </w:r>
      <w:r>
        <w:rPr>
          <w:rFonts w:ascii="Times New Roman" w:hAnsi="Times New Roman"/>
          <w:sz w:val="24"/>
          <w:szCs w:val="24"/>
        </w:rPr>
        <w:t xml:space="preserve"> </w:t>
      </w:r>
      <w:r w:rsidRPr="005A0758">
        <w:rPr>
          <w:rFonts w:ascii="Times New Roman" w:hAnsi="Times New Roman"/>
          <w:sz w:val="24"/>
          <w:szCs w:val="24"/>
        </w:rPr>
        <w:t>that these non-discriminatory reasons were pretextual.</w:t>
      </w:r>
      <w:r>
        <w:rPr>
          <w:rFonts w:ascii="Times New Roman" w:hAnsi="Times New Roman"/>
          <w:sz w:val="24"/>
          <w:szCs w:val="24"/>
        </w:rPr>
        <w:t xml:space="preserve"> </w:t>
      </w:r>
      <w:r w:rsidRPr="005A0758">
        <w:rPr>
          <w:rFonts w:ascii="Times New Roman" w:hAnsi="Times New Roman"/>
          <w:sz w:val="24"/>
          <w:szCs w:val="24"/>
        </w:rPr>
        <w:t>When discriminatory remarks are merely quoting third</w:t>
      </w:r>
      <w:r>
        <w:rPr>
          <w:rFonts w:ascii="Times New Roman" w:hAnsi="Times New Roman"/>
          <w:sz w:val="24"/>
          <w:szCs w:val="24"/>
        </w:rPr>
        <w:t xml:space="preserve"> </w:t>
      </w:r>
      <w:r w:rsidRPr="005A0758">
        <w:rPr>
          <w:rFonts w:ascii="Times New Roman" w:hAnsi="Times New Roman"/>
          <w:sz w:val="24"/>
          <w:szCs w:val="24"/>
        </w:rPr>
        <w:t>parties and the real issue is public perception or other forms</w:t>
      </w:r>
      <w:r>
        <w:rPr>
          <w:rFonts w:ascii="Times New Roman" w:hAnsi="Times New Roman"/>
          <w:sz w:val="24"/>
          <w:szCs w:val="24"/>
        </w:rPr>
        <w:t xml:space="preserve"> </w:t>
      </w:r>
      <w:r w:rsidRPr="005A0758">
        <w:rPr>
          <w:rFonts w:ascii="Times New Roman" w:hAnsi="Times New Roman"/>
          <w:sz w:val="24"/>
          <w:szCs w:val="24"/>
        </w:rPr>
        <w:t>of misconduct (such as engaging in an activity that does not</w:t>
      </w:r>
      <w:r>
        <w:rPr>
          <w:rFonts w:ascii="Times New Roman" w:hAnsi="Times New Roman"/>
          <w:sz w:val="24"/>
          <w:szCs w:val="24"/>
        </w:rPr>
        <w:t xml:space="preserve"> </w:t>
      </w:r>
      <w:r w:rsidRPr="005A0758">
        <w:rPr>
          <w:rFonts w:ascii="Times New Roman" w:hAnsi="Times New Roman"/>
          <w:sz w:val="24"/>
          <w:szCs w:val="24"/>
        </w:rPr>
        <w:t>benefit the employer), there is no genuine issue of material</w:t>
      </w:r>
      <w:r>
        <w:rPr>
          <w:rFonts w:ascii="Times New Roman" w:hAnsi="Times New Roman"/>
          <w:sz w:val="24"/>
          <w:szCs w:val="24"/>
        </w:rPr>
        <w:t xml:space="preserve"> </w:t>
      </w:r>
      <w:r w:rsidRPr="005A0758">
        <w:rPr>
          <w:rFonts w:ascii="Times New Roman" w:hAnsi="Times New Roman"/>
          <w:sz w:val="24"/>
          <w:szCs w:val="24"/>
        </w:rPr>
        <w:t>fact that the employer was discriminatory. For the foregoing</w:t>
      </w:r>
      <w:r>
        <w:rPr>
          <w:rFonts w:ascii="Times New Roman" w:hAnsi="Times New Roman"/>
          <w:sz w:val="24"/>
          <w:szCs w:val="24"/>
        </w:rPr>
        <w:t xml:space="preserve"> </w:t>
      </w:r>
      <w:r w:rsidRPr="005A0758">
        <w:rPr>
          <w:rFonts w:ascii="Times New Roman" w:hAnsi="Times New Roman"/>
          <w:sz w:val="24"/>
          <w:szCs w:val="24"/>
        </w:rPr>
        <w:t>reasons, the judgment of the district court is AFFIRMED.</w:t>
      </w:r>
      <w:r>
        <w:rPr>
          <w:rFonts w:ascii="Times New Roman" w:hAnsi="Times New Roman"/>
          <w:sz w:val="24"/>
          <w:szCs w:val="24"/>
        </w:rPr>
        <w:t xml:space="preserve">” </w:t>
      </w:r>
      <w:hyperlink r:id="rId2617" w:history="1">
        <w:r w:rsidRPr="00065774">
          <w:rPr>
            <w:rStyle w:val="Hyperlink"/>
            <w:rFonts w:ascii="Times New Roman" w:hAnsi="Times New Roman"/>
            <w:sz w:val="24"/>
            <w:szCs w:val="24"/>
          </w:rPr>
          <w:t>https://cases.justia.com/federal/appellate-courts/ca9/22-15485/22-15485-2024-05-17.pdf?ts=1715961637</w:t>
        </w:r>
      </w:hyperlink>
      <w:r>
        <w:rPr>
          <w:rFonts w:ascii="Times New Roman" w:hAnsi="Times New Roman"/>
          <w:sz w:val="24"/>
          <w:szCs w:val="24"/>
        </w:rPr>
        <w:t xml:space="preserve"> </w:t>
      </w:r>
    </w:p>
    <w:p w14:paraId="0D6E5955" w14:textId="77777777" w:rsidR="00B34746" w:rsidRDefault="00B34746" w:rsidP="00B34746">
      <w:pPr>
        <w:pStyle w:val="NoSpacing"/>
        <w:rPr>
          <w:rFonts w:ascii="Times New Roman" w:hAnsi="Times New Roman"/>
          <w:sz w:val="24"/>
          <w:szCs w:val="24"/>
        </w:rPr>
      </w:pPr>
    </w:p>
    <w:p w14:paraId="5E34946E" w14:textId="77777777" w:rsidR="006428AD" w:rsidRPr="00D36E4C" w:rsidRDefault="006428AD" w:rsidP="006428AD">
      <w:pPr>
        <w:pStyle w:val="NoSpacing"/>
        <w:rPr>
          <w:rFonts w:ascii="Times New Roman" w:hAnsi="Times New Roman"/>
          <w:b/>
          <w:bCs/>
          <w:sz w:val="24"/>
          <w:szCs w:val="24"/>
        </w:rPr>
      </w:pPr>
      <w:r>
        <w:rPr>
          <w:rFonts w:ascii="Times New Roman" w:hAnsi="Times New Roman"/>
          <w:b/>
          <w:bCs/>
          <w:sz w:val="24"/>
          <w:szCs w:val="24"/>
        </w:rPr>
        <w:t xml:space="preserve">Legal Lesson Learned: Religious discrimination claim is very difficult to prove, particularly after outside investigator submits a 250-page report detailing leadership issues. </w:t>
      </w:r>
    </w:p>
    <w:p w14:paraId="222F1ED3" w14:textId="77777777" w:rsidR="006428AD" w:rsidRDefault="006428AD" w:rsidP="006428AD">
      <w:pPr>
        <w:pStyle w:val="NoSpacing"/>
        <w:rPr>
          <w:rFonts w:ascii="Times New Roman" w:hAnsi="Times New Roman"/>
          <w:sz w:val="24"/>
          <w:szCs w:val="24"/>
        </w:rPr>
      </w:pPr>
    </w:p>
    <w:p w14:paraId="04BE367C" w14:textId="77777777" w:rsidR="006428AD" w:rsidRDefault="006428AD" w:rsidP="006428AD">
      <w:pPr>
        <w:pStyle w:val="NoSpacing"/>
        <w:ind w:left="720"/>
        <w:rPr>
          <w:rFonts w:ascii="Times New Roman" w:hAnsi="Times New Roman"/>
          <w:sz w:val="24"/>
          <w:szCs w:val="24"/>
        </w:rPr>
      </w:pPr>
      <w:r>
        <w:rPr>
          <w:rFonts w:ascii="Times New Roman" w:hAnsi="Times New Roman"/>
          <w:sz w:val="24"/>
          <w:szCs w:val="24"/>
        </w:rPr>
        <w:t xml:space="preserve">Note: Here is the 3-Judge panel’s original Aug. 4, </w:t>
      </w:r>
      <w:proofErr w:type="gramStart"/>
      <w:r>
        <w:rPr>
          <w:rFonts w:ascii="Times New Roman" w:hAnsi="Times New Roman"/>
          <w:sz w:val="24"/>
          <w:szCs w:val="24"/>
        </w:rPr>
        <w:t>2023</w:t>
      </w:r>
      <w:proofErr w:type="gramEnd"/>
      <w:r>
        <w:rPr>
          <w:rFonts w:ascii="Times New Roman" w:hAnsi="Times New Roman"/>
          <w:sz w:val="24"/>
          <w:szCs w:val="24"/>
        </w:rPr>
        <w:t xml:space="preserve"> decision: </w:t>
      </w:r>
      <w:hyperlink r:id="rId2618" w:history="1">
        <w:r w:rsidRPr="00065774">
          <w:rPr>
            <w:rStyle w:val="Hyperlink"/>
            <w:rFonts w:ascii="Times New Roman" w:hAnsi="Times New Roman"/>
            <w:sz w:val="24"/>
            <w:szCs w:val="24"/>
          </w:rPr>
          <w:t>https://cdn.ca9.uscourts.gov/datastore/opinions/2023/08/04/22-15485.pdf</w:t>
        </w:r>
      </w:hyperlink>
      <w:r>
        <w:rPr>
          <w:rFonts w:ascii="Times New Roman" w:hAnsi="Times New Roman"/>
          <w:sz w:val="24"/>
          <w:szCs w:val="24"/>
        </w:rPr>
        <w:t xml:space="preserve"> </w:t>
      </w:r>
    </w:p>
    <w:p w14:paraId="546F6C32" w14:textId="77777777" w:rsidR="00BB3D8E" w:rsidRDefault="00BB3D8E" w:rsidP="00F91F9F">
      <w:pPr>
        <w:pStyle w:val="NoSpacing"/>
        <w:rPr>
          <w:rFonts w:ascii="Arial Black" w:hAnsi="Arial Black"/>
          <w:sz w:val="24"/>
          <w:szCs w:val="24"/>
        </w:rPr>
      </w:pPr>
    </w:p>
    <w:p w14:paraId="714A47CA" w14:textId="77777777" w:rsidR="00BB3D8E" w:rsidRDefault="00BB3D8E" w:rsidP="00F91F9F">
      <w:pPr>
        <w:pStyle w:val="NoSpacing"/>
        <w:rPr>
          <w:rFonts w:ascii="Arial Black" w:hAnsi="Arial Black"/>
          <w:sz w:val="24"/>
          <w:szCs w:val="24"/>
        </w:rPr>
      </w:pPr>
    </w:p>
    <w:p w14:paraId="26DC3301" w14:textId="77777777" w:rsidR="00BB3D8E" w:rsidRDefault="00BB3D8E" w:rsidP="00F91F9F">
      <w:pPr>
        <w:pStyle w:val="NoSpacing"/>
        <w:rPr>
          <w:rFonts w:ascii="Arial Black" w:hAnsi="Arial Black"/>
          <w:sz w:val="24"/>
          <w:szCs w:val="24"/>
        </w:rPr>
      </w:pPr>
    </w:p>
    <w:p w14:paraId="3D67BB98" w14:textId="49B10366" w:rsidR="00B55AFC" w:rsidRDefault="00536594" w:rsidP="00F91F9F">
      <w:pPr>
        <w:pStyle w:val="NoSpacing"/>
        <w:rPr>
          <w:rFonts w:ascii="Arial Black" w:hAnsi="Arial Black"/>
          <w:sz w:val="24"/>
          <w:szCs w:val="24"/>
        </w:rPr>
      </w:pPr>
      <w:r>
        <w:rPr>
          <w:rFonts w:ascii="Arial Black" w:hAnsi="Arial Black"/>
          <w:sz w:val="24"/>
          <w:szCs w:val="24"/>
        </w:rPr>
        <w:t>16-110</w:t>
      </w:r>
    </w:p>
    <w:p w14:paraId="573E9808" w14:textId="77777777" w:rsidR="00536594" w:rsidRDefault="00536594" w:rsidP="00536594">
      <w:pPr>
        <w:pStyle w:val="NormalWeb"/>
        <w:shd w:val="clear" w:color="auto" w:fill="FFFFFF"/>
        <w:spacing w:before="0" w:beforeAutospacing="0"/>
        <w:rPr>
          <w:rFonts w:ascii="Arial Black" w:hAnsi="Arial Black"/>
          <w:sz w:val="28"/>
          <w:szCs w:val="28"/>
        </w:rPr>
      </w:pPr>
      <w:r>
        <w:rPr>
          <w:rFonts w:ascii="Arial Black" w:hAnsi="Arial Black"/>
          <w:sz w:val="28"/>
          <w:szCs w:val="28"/>
        </w:rPr>
        <w:t xml:space="preserve">OR: FIRE CHIEF FIRED – SUES FF / BOARD DEFAMATION -MUST PROVE “MALICE” – STRONG “ANTI-SLAPP” DEFENSE </w:t>
      </w:r>
    </w:p>
    <w:p w14:paraId="175B5B4D" w14:textId="77777777" w:rsidR="00536594" w:rsidRDefault="00536594" w:rsidP="00536594">
      <w:pPr>
        <w:pStyle w:val="NormalWeb"/>
        <w:shd w:val="clear" w:color="auto" w:fill="FFFFFF"/>
        <w:spacing w:before="0" w:beforeAutospacing="0"/>
      </w:pPr>
      <w:r>
        <w:t xml:space="preserve">On May 15, 2024, in </w:t>
      </w:r>
      <w:r w:rsidRPr="00A82D99">
        <w:rPr>
          <w:u w:val="single"/>
        </w:rPr>
        <w:t xml:space="preserve">Joel A. Medina v. Columbia River Fire &amp; Rescue, an Oregon Municipality, </w:t>
      </w:r>
      <w:r w:rsidRPr="00263156">
        <w:rPr>
          <w:u w:val="single"/>
        </w:rPr>
        <w:t>Rhonda Melton</w:t>
      </w:r>
      <w:r>
        <w:t xml:space="preserve">, </w:t>
      </w:r>
      <w:r w:rsidRPr="00A82D99">
        <w:rPr>
          <w:u w:val="single"/>
        </w:rPr>
        <w:t>et al.,</w:t>
      </w:r>
      <w:r>
        <w:t xml:space="preserve"> United States District Court Judge Marco A. Hernandez, U.S. District Court for the District of Oregon, held that lawsuit may proceed and Chief as a public official can only succeed as can prove “malice” by those who spoke to FD Board and posted items on social media.  The judge denied Rhonda Melton’s defense motion to immediately dismiss the case under the Oregon “anti-SLAPP” statute (strategic lawsuit against public participation) which is designed to protect public and reporters when commenting on public officials.   In April 2023, Defendant Rhonda Melton prepared and published statements on social media about Plaintiff.  In </w:t>
      </w:r>
      <w:proofErr w:type="gramStart"/>
      <w:r>
        <w:t>May,</w:t>
      </w:r>
      <w:proofErr w:type="gramEnd"/>
      <w:r>
        <w:t xml:space="preserve"> 2023, three new members were elected to the Board, who sought his termination, and in August the Board terminated him. The Court ordered that the lawsuit proceed with pretrial discovery, noting that the Fire Chief as a public official must prove “malice” to sue others for defamation. The Court held”</w:t>
      </w:r>
    </w:p>
    <w:p w14:paraId="26CA5E22" w14:textId="77777777" w:rsidR="00536594" w:rsidRDefault="00536594" w:rsidP="00536594">
      <w:pPr>
        <w:pStyle w:val="NormalWeb"/>
        <w:ind w:left="720"/>
      </w:pPr>
      <w:r>
        <w:t>“Defendant asserts that her statements, both verbal and written, fall under two of the four categories of protected speech in [Oregon anti-SLAPP statute] O.R.S. 31.150(2). Def. Mot. 7-8. The statute protects “[a]</w:t>
      </w:r>
      <w:proofErr w:type="spellStart"/>
      <w:r>
        <w:t>ny</w:t>
      </w:r>
      <w:proofErr w:type="spellEnd"/>
      <w:r>
        <w:t xml:space="preserve"> oral statement made, or written statement or other document presented, in a place open to the </w:t>
      </w:r>
      <w:r>
        <w:lastRenderedPageBreak/>
        <w:t>public or a public forum in connection with an issue of public interest” and “[a]</w:t>
      </w:r>
      <w:proofErr w:type="spellStart"/>
      <w:r>
        <w:t>ny</w:t>
      </w:r>
      <w:proofErr w:type="spellEnd"/>
      <w:r>
        <w:t xml:space="preserve"> other conduct in furtherance of the exercise of the constitutional right of petition or the constitutional right of free speech in connection with a public issue or an issue of public interest.” O.R.S. 31.150(2)(c) and (d). </w:t>
      </w:r>
      <w:proofErr w:type="gramStart"/>
      <w:r>
        <w:t>Defendant</w:t>
      </w:r>
      <w:proofErr w:type="gramEnd"/>
      <w:r>
        <w:t xml:space="preserve"> made oral statements at CRFR Board meetings and posted written statements on the Columbia County Transparency &amp; Accountability Facebook page. Melton Decl. ¶¶ 2-7, </w:t>
      </w:r>
      <w:proofErr w:type="spellStart"/>
      <w:r>
        <w:t>Exs</w:t>
      </w:r>
      <w:proofErr w:type="spellEnd"/>
      <w:r>
        <w:t xml:space="preserve">. 1-5; Medina Decl. ¶¶ 5, 6, 8, 11; </w:t>
      </w:r>
      <w:proofErr w:type="spellStart"/>
      <w:r>
        <w:t>Exs</w:t>
      </w:r>
      <w:proofErr w:type="spellEnd"/>
      <w:r>
        <w:t xml:space="preserve">. 2, 3, 5, 8. In these statements, Defendant criticized actions Plaintiff took as CRFR Chief and expressed concerns about CRFR leadership. Plaintiff acknowledges that Defendant has met her initial burden to show that her statements were made in a public forum and in connection with an issue of public interest. Pl. Resp. 3, ECF 42. The Court agrees that Defendant has met her initial burden under the anti-SLAPP statute. </w:t>
      </w:r>
    </w:p>
    <w:p w14:paraId="3C8A0AEE" w14:textId="77777777" w:rsidR="00536594" w:rsidRDefault="00536594" w:rsidP="00536594">
      <w:pPr>
        <w:pStyle w:val="NormalWeb"/>
        <w:ind w:left="720"/>
      </w:pPr>
      <w:r>
        <w:t>***</w:t>
      </w:r>
    </w:p>
    <w:p w14:paraId="16D2185E" w14:textId="77777777" w:rsidR="00536594" w:rsidRDefault="00536594" w:rsidP="00536594">
      <w:pPr>
        <w:pStyle w:val="NormalWeb"/>
        <w:shd w:val="clear" w:color="auto" w:fill="FFFFFF"/>
        <w:spacing w:before="0" w:beforeAutospacing="0"/>
        <w:ind w:left="720"/>
      </w:pPr>
      <w:r>
        <w:t xml:space="preserve">However, factual issues preclude a determination of whether Plaintiff is likely to succeed on his claims. The Court therefore concludes that Plaintiff is entitled to </w:t>
      </w:r>
      <w:proofErr w:type="gramStart"/>
      <w:r>
        <w:t>discovery on</w:t>
      </w:r>
      <w:proofErr w:type="gramEnd"/>
      <w:r>
        <w:t xml:space="preserve"> those factual issues.</w:t>
      </w:r>
    </w:p>
    <w:p w14:paraId="14FD81B4" w14:textId="77777777" w:rsidR="00536594" w:rsidRDefault="00536594" w:rsidP="00536594">
      <w:pPr>
        <w:pStyle w:val="NormalWeb"/>
        <w:shd w:val="clear" w:color="auto" w:fill="FFFFFF"/>
        <w:spacing w:before="0" w:beforeAutospacing="0"/>
        <w:ind w:firstLine="720"/>
      </w:pPr>
      <w:r>
        <w:t>***</w:t>
      </w:r>
    </w:p>
    <w:p w14:paraId="5C6588AB" w14:textId="77777777" w:rsidR="00536594" w:rsidRDefault="00536594" w:rsidP="00536594">
      <w:pPr>
        <w:pStyle w:val="NormalWeb"/>
        <w:shd w:val="clear" w:color="auto" w:fill="FFFFFF"/>
        <w:spacing w:before="0" w:beforeAutospacing="0"/>
        <w:ind w:left="720"/>
      </w:pPr>
      <w:r>
        <w:t>To the extent Defendant's statements are actionable under the First Amendment, Plaintiff must be permitted to engage in discovery to determine whether they are true or false. While the purpose of Oregon's anti-SLAPP statute is to avoid extended proceedings on claims that improperly chill free speech, the Court must balance this against Plaintiff's right to fully litigate his claims.</w:t>
      </w:r>
    </w:p>
    <w:p w14:paraId="3E38DD64" w14:textId="77777777" w:rsidR="00536594" w:rsidRDefault="00536594" w:rsidP="00536594">
      <w:pPr>
        <w:pStyle w:val="NormalWeb"/>
        <w:shd w:val="clear" w:color="auto" w:fill="FFFFFF"/>
        <w:spacing w:before="0" w:beforeAutospacing="0"/>
        <w:ind w:left="720"/>
      </w:pPr>
      <w:r>
        <w:t>***</w:t>
      </w:r>
    </w:p>
    <w:p w14:paraId="269213EE" w14:textId="77777777" w:rsidR="00536594" w:rsidRDefault="00536594" w:rsidP="00536594">
      <w:pPr>
        <w:pStyle w:val="NormalWeb"/>
        <w:shd w:val="clear" w:color="auto" w:fill="FFFFFF"/>
        <w:spacing w:before="0" w:beforeAutospacing="0"/>
        <w:ind w:left="720"/>
      </w:pPr>
      <w:r>
        <w:t xml:space="preserve">Plaintiff also acknowledges that because he was a public official at the time Defendant made the statements and they concerned his actions as chief, he must show that Defendant made them with knowledge that they were false or in reckless disregard of whether they were true or false. Pl. Resp. 6 (citing </w:t>
      </w:r>
      <w:r>
        <w:rPr>
          <w:rStyle w:val="Emphasis"/>
          <w:rFonts w:eastAsiaTheme="majorEastAsia"/>
        </w:rPr>
        <w:t>New York Times Co. v. Sullivan</w:t>
      </w:r>
      <w:r>
        <w:t xml:space="preserve">, 376 U.S. 254, 279-80 (1964)).”  </w:t>
      </w:r>
      <w:hyperlink r:id="rId2619" w:history="1">
        <w:r w:rsidRPr="00DF21B2">
          <w:rPr>
            <w:rStyle w:val="Hyperlink"/>
          </w:rPr>
          <w:t>https://casetext.com/case/medina-v-columbia-river-fire-rescue</w:t>
        </w:r>
      </w:hyperlink>
      <w:r>
        <w:t xml:space="preserve"> </w:t>
      </w:r>
    </w:p>
    <w:p w14:paraId="6A4450C9" w14:textId="77777777" w:rsidR="00BB3D8E" w:rsidRDefault="00BB3D8E" w:rsidP="00BB3D8E">
      <w:pPr>
        <w:pStyle w:val="NormalWeb"/>
        <w:rPr>
          <w:b/>
          <w:bCs/>
        </w:rPr>
      </w:pPr>
      <w:r w:rsidRPr="00354274">
        <w:rPr>
          <w:b/>
          <w:bCs/>
        </w:rPr>
        <w:t xml:space="preserve">Legal Lesson Learned: </w:t>
      </w:r>
      <w:r>
        <w:rPr>
          <w:b/>
          <w:bCs/>
        </w:rPr>
        <w:t>The former Fire Chief has an uphill challenge – he must prove “malice” and FD Board members and others also have the “anti-SLAPP” statute as a defense.</w:t>
      </w:r>
    </w:p>
    <w:p w14:paraId="59DC1585" w14:textId="77777777" w:rsidR="00BB3D8E" w:rsidRPr="007879D8" w:rsidRDefault="00BB3D8E" w:rsidP="00BB3D8E">
      <w:pPr>
        <w:pStyle w:val="NormalWeb"/>
        <w:ind w:left="720"/>
      </w:pPr>
      <w:r w:rsidRPr="007879D8">
        <w:t>Note:</w:t>
      </w:r>
      <w:r>
        <w:t xml:space="preserve"> See “Reporters Committee </w:t>
      </w:r>
      <w:proofErr w:type="gramStart"/>
      <w:r>
        <w:t>For</w:t>
      </w:r>
      <w:proofErr w:type="gramEnd"/>
      <w:r>
        <w:t xml:space="preserve"> Predom of the Press – Anti-SLAPP Legal Guide.” </w:t>
      </w:r>
      <w:hyperlink r:id="rId2620" w:history="1">
        <w:r w:rsidRPr="00DF21B2">
          <w:rPr>
            <w:rStyle w:val="Hyperlink"/>
          </w:rPr>
          <w:t>https://www.rcfp.org/anti-slapp-legal-guide/</w:t>
        </w:r>
      </w:hyperlink>
      <w:r>
        <w:t xml:space="preserve"> </w:t>
      </w:r>
    </w:p>
    <w:p w14:paraId="6B327BBC" w14:textId="77777777" w:rsidR="00BB3D8E" w:rsidRDefault="00BB3D8E" w:rsidP="00BB3D8E">
      <w:pPr>
        <w:pStyle w:val="NormalWeb"/>
        <w:ind w:left="1440"/>
      </w:pPr>
      <w:r>
        <w:t>“Anti-SLAPP laws provide defendants a way to quickly dismiss meritless lawsuits — known as SLAPPs or strategic lawsuits against public participation — filed against them for exercising speech, press, assembly, petition, or association rights. These laws aim to discourage the filing of SLAPP suits and prevent them from imposing significant litigation costs and chilling protected speech. In recent years, several states have adopted or amended their anti-SLAPP laws. As of May 2024, 34 states and the District of Columbia have anti-SLAPP laws, including Arizona, Arkansas, California, Colorado, Connecticut, Delaware, Florida, Georgia, Hawaii, Illinois, Indiana, Kansas, Kentucky, Louisiana, Maine, Maryland, Massachusetts, Minnesota, Missouri, Nebraska, Nevada, New Jersey, New Mexico, New York, Oklahoma, Oregon, Pennsylvania, Rhode Island, Tennessee, Texas, Utah, Vermont, Virginia, and Washington.”</w:t>
      </w:r>
    </w:p>
    <w:p w14:paraId="6A0830A2" w14:textId="77777777" w:rsidR="00536594" w:rsidRDefault="00536594" w:rsidP="00F91F9F">
      <w:pPr>
        <w:pStyle w:val="NoSpacing"/>
        <w:rPr>
          <w:rFonts w:ascii="Arial Black" w:hAnsi="Arial Black"/>
          <w:sz w:val="24"/>
          <w:szCs w:val="24"/>
        </w:rPr>
      </w:pPr>
    </w:p>
    <w:p w14:paraId="10143062" w14:textId="77777777" w:rsidR="00B55AFC" w:rsidRDefault="00B55AFC" w:rsidP="00F91F9F">
      <w:pPr>
        <w:pStyle w:val="NoSpacing"/>
        <w:rPr>
          <w:rFonts w:ascii="Arial Black" w:hAnsi="Arial Black"/>
          <w:sz w:val="24"/>
          <w:szCs w:val="24"/>
        </w:rPr>
      </w:pPr>
    </w:p>
    <w:p w14:paraId="5FCFCBF7" w14:textId="77777777" w:rsidR="00B55AFC" w:rsidRDefault="00B55AFC" w:rsidP="00F91F9F">
      <w:pPr>
        <w:pStyle w:val="NoSpacing"/>
        <w:rPr>
          <w:rFonts w:ascii="Arial Black" w:hAnsi="Arial Black"/>
          <w:sz w:val="24"/>
          <w:szCs w:val="24"/>
        </w:rPr>
      </w:pPr>
    </w:p>
    <w:p w14:paraId="69C00C79" w14:textId="7190EC8D" w:rsidR="00F91F9F" w:rsidRDefault="00F91F9F" w:rsidP="00F91F9F">
      <w:pPr>
        <w:pStyle w:val="NoSpacing"/>
        <w:rPr>
          <w:rFonts w:ascii="Arial Black" w:hAnsi="Arial Black"/>
          <w:sz w:val="24"/>
          <w:szCs w:val="24"/>
        </w:rPr>
      </w:pPr>
      <w:r>
        <w:rPr>
          <w:rFonts w:ascii="Arial Black" w:hAnsi="Arial Black"/>
          <w:sz w:val="24"/>
          <w:szCs w:val="24"/>
        </w:rPr>
        <w:lastRenderedPageBreak/>
        <w:t>16-109</w:t>
      </w:r>
    </w:p>
    <w:p w14:paraId="3FC639D7" w14:textId="77777777" w:rsidR="001D190A" w:rsidRDefault="001D190A" w:rsidP="00F326E5">
      <w:pPr>
        <w:pStyle w:val="NoSpacing"/>
        <w:rPr>
          <w:rFonts w:ascii="Arial Black" w:hAnsi="Arial Black"/>
          <w:sz w:val="24"/>
          <w:szCs w:val="24"/>
        </w:rPr>
      </w:pPr>
    </w:p>
    <w:p w14:paraId="4A3F40C7" w14:textId="77777777" w:rsidR="00F91F9F" w:rsidRPr="00E670DB" w:rsidRDefault="00F91F9F" w:rsidP="00F91F9F">
      <w:pPr>
        <w:pStyle w:val="NormalWeb"/>
        <w:spacing w:before="0" w:beforeAutospacing="0"/>
        <w:rPr>
          <w:rFonts w:ascii="Arial Black" w:hAnsi="Arial Black"/>
          <w:sz w:val="28"/>
          <w:szCs w:val="28"/>
        </w:rPr>
      </w:pPr>
      <w:r>
        <w:rPr>
          <w:rFonts w:ascii="Arial Black" w:hAnsi="Arial Black"/>
          <w:sz w:val="28"/>
          <w:szCs w:val="28"/>
        </w:rPr>
        <w:t>IL: FF PLED GUILTY – SEX 17-YR OLD FD CADET – AFTER RETIRED HIS PENSION WAS REVOKED - 5 YRS LATER</w:t>
      </w:r>
    </w:p>
    <w:p w14:paraId="77A4F6EB" w14:textId="77777777" w:rsidR="00F91F9F" w:rsidRDefault="00F91F9F" w:rsidP="00F91F9F">
      <w:pPr>
        <w:pStyle w:val="NoSpacing"/>
        <w:rPr>
          <w:rFonts w:ascii="Times New Roman" w:hAnsi="Times New Roman"/>
          <w:sz w:val="24"/>
          <w:szCs w:val="24"/>
        </w:rPr>
      </w:pPr>
      <w:r>
        <w:rPr>
          <w:rFonts w:ascii="Times New Roman" w:hAnsi="Times New Roman"/>
          <w:sz w:val="24"/>
          <w:szCs w:val="24"/>
        </w:rPr>
        <w:t xml:space="preserve">On March 20, 2024, in </w:t>
      </w:r>
      <w:r w:rsidRPr="00B524D0">
        <w:rPr>
          <w:rFonts w:ascii="Times New Roman" w:hAnsi="Times New Roman"/>
          <w:sz w:val="24"/>
          <w:szCs w:val="24"/>
          <w:u w:val="single"/>
        </w:rPr>
        <w:t>John Trapp v. City of Burbank Firefighters’ Pension Fund, et al</w:t>
      </w:r>
      <w:r>
        <w:rPr>
          <w:rFonts w:ascii="Times New Roman" w:hAnsi="Times New Roman"/>
          <w:sz w:val="24"/>
          <w:szCs w:val="24"/>
        </w:rPr>
        <w:t xml:space="preserve">., the Appellate Court of Illinois, First Judicial District, held (3 to 0) that the Pension Board and trial court judge properly held that the firefighter, who had sex with a 17 year-old-cadet when he was still employed as a firefighter, can lose his pension five years after he retired. </w:t>
      </w:r>
    </w:p>
    <w:p w14:paraId="3A9FDCBC" w14:textId="77777777" w:rsidR="00744AE5" w:rsidRDefault="00744AE5" w:rsidP="00744AE5">
      <w:pPr>
        <w:pStyle w:val="NoSpacing"/>
        <w:rPr>
          <w:rFonts w:ascii="Times New Roman" w:hAnsi="Times New Roman"/>
          <w:sz w:val="24"/>
          <w:szCs w:val="24"/>
          <w:shd w:val="clear" w:color="auto" w:fill="FFFFFF"/>
        </w:rPr>
      </w:pPr>
    </w:p>
    <w:p w14:paraId="0B8E65DE" w14:textId="6891C0D7" w:rsidR="00744AE5" w:rsidRPr="004C0299" w:rsidRDefault="00744AE5" w:rsidP="00744AE5">
      <w:pPr>
        <w:pStyle w:val="NoSpacing"/>
        <w:rPr>
          <w:rFonts w:ascii="Times New Roman" w:hAnsi="Times New Roman"/>
          <w:sz w:val="24"/>
          <w:szCs w:val="24"/>
        </w:rPr>
      </w:pPr>
      <w:r>
        <w:rPr>
          <w:rFonts w:ascii="Times New Roman" w:hAnsi="Times New Roman"/>
          <w:sz w:val="24"/>
          <w:szCs w:val="24"/>
          <w:shd w:val="clear" w:color="auto" w:fill="FFFFFF"/>
        </w:rPr>
        <w:t>THE COURT HELD:</w:t>
      </w:r>
    </w:p>
    <w:p w14:paraId="7B19102C" w14:textId="77777777" w:rsidR="00744AE5" w:rsidRDefault="00744AE5" w:rsidP="00F91F9F">
      <w:pPr>
        <w:pStyle w:val="NoSpacing"/>
        <w:rPr>
          <w:rFonts w:ascii="Times New Roman" w:hAnsi="Times New Roman"/>
          <w:sz w:val="24"/>
          <w:szCs w:val="24"/>
        </w:rPr>
      </w:pPr>
    </w:p>
    <w:p w14:paraId="67A09DF9" w14:textId="77777777" w:rsidR="00F91F9F" w:rsidRDefault="00F91F9F" w:rsidP="00F91F9F">
      <w:pPr>
        <w:pStyle w:val="NoSpacing"/>
        <w:ind w:left="720"/>
        <w:rPr>
          <w:rFonts w:ascii="Times New Roman" w:hAnsi="Times New Roman"/>
          <w:sz w:val="24"/>
          <w:szCs w:val="24"/>
        </w:rPr>
      </w:pPr>
      <w:r>
        <w:rPr>
          <w:rFonts w:ascii="Times New Roman" w:hAnsi="Times New Roman"/>
          <w:sz w:val="24"/>
          <w:szCs w:val="24"/>
        </w:rPr>
        <w:t>“</w:t>
      </w:r>
      <w:r w:rsidRPr="000B2A57">
        <w:rPr>
          <w:rFonts w:ascii="Times New Roman" w:hAnsi="Times New Roman"/>
          <w:sz w:val="24"/>
          <w:szCs w:val="24"/>
        </w:rPr>
        <w:t xml:space="preserve">Section 4-138 of the Code provides as follows: </w:t>
      </w:r>
      <w:r>
        <w:rPr>
          <w:rFonts w:ascii="Times New Roman" w:hAnsi="Times New Roman"/>
          <w:sz w:val="24"/>
          <w:szCs w:val="24"/>
        </w:rPr>
        <w:t>‘</w:t>
      </w:r>
      <w:r w:rsidRPr="000B2A57">
        <w:rPr>
          <w:rFonts w:ascii="Times New Roman" w:hAnsi="Times New Roman"/>
          <w:sz w:val="24"/>
          <w:szCs w:val="24"/>
        </w:rPr>
        <w:t>None of the benefits provided under this</w:t>
      </w:r>
      <w:r>
        <w:rPr>
          <w:rFonts w:ascii="Times New Roman" w:hAnsi="Times New Roman"/>
          <w:sz w:val="24"/>
          <w:szCs w:val="24"/>
        </w:rPr>
        <w:t xml:space="preserve"> </w:t>
      </w:r>
      <w:r w:rsidRPr="000B2A57">
        <w:rPr>
          <w:rFonts w:ascii="Times New Roman" w:hAnsi="Times New Roman"/>
          <w:sz w:val="24"/>
          <w:szCs w:val="24"/>
        </w:rPr>
        <w:t>Article shall be paid to any person who is convicted of any felony relating to or arising out of or</w:t>
      </w:r>
      <w:r>
        <w:rPr>
          <w:rFonts w:ascii="Times New Roman" w:hAnsi="Times New Roman"/>
          <w:sz w:val="24"/>
          <w:szCs w:val="24"/>
        </w:rPr>
        <w:t xml:space="preserve"> </w:t>
      </w:r>
      <w:r w:rsidRPr="000B2A57">
        <w:rPr>
          <w:rFonts w:ascii="Times New Roman" w:hAnsi="Times New Roman"/>
          <w:sz w:val="24"/>
          <w:szCs w:val="24"/>
        </w:rPr>
        <w:t>in connection with service as a firefighter.</w:t>
      </w:r>
      <w:r>
        <w:rPr>
          <w:rFonts w:ascii="Times New Roman" w:hAnsi="Times New Roman"/>
          <w:sz w:val="24"/>
          <w:szCs w:val="24"/>
        </w:rPr>
        <w:t>’</w:t>
      </w:r>
      <w:r w:rsidRPr="000B2A57">
        <w:rPr>
          <w:rFonts w:ascii="Times New Roman" w:hAnsi="Times New Roman"/>
          <w:sz w:val="24"/>
          <w:szCs w:val="24"/>
        </w:rPr>
        <w:t xml:space="preserve"> 40 ILCS 5/4-138 (West 2022).</w:t>
      </w:r>
    </w:p>
    <w:p w14:paraId="17D94535" w14:textId="77777777" w:rsidR="00F91F9F" w:rsidRDefault="00F91F9F" w:rsidP="00F91F9F">
      <w:pPr>
        <w:pStyle w:val="NoSpacing"/>
        <w:ind w:left="720"/>
        <w:rPr>
          <w:rFonts w:ascii="Times New Roman" w:hAnsi="Times New Roman"/>
          <w:sz w:val="24"/>
          <w:szCs w:val="24"/>
        </w:rPr>
      </w:pPr>
    </w:p>
    <w:p w14:paraId="0540BD60" w14:textId="77777777" w:rsidR="00F91F9F" w:rsidRDefault="00F91F9F" w:rsidP="00F91F9F">
      <w:pPr>
        <w:pStyle w:val="NoSpacing"/>
        <w:ind w:left="720"/>
        <w:rPr>
          <w:rFonts w:ascii="Times New Roman" w:hAnsi="Times New Roman"/>
          <w:sz w:val="24"/>
          <w:szCs w:val="24"/>
        </w:rPr>
      </w:pPr>
      <w:r>
        <w:rPr>
          <w:rFonts w:ascii="Times New Roman" w:hAnsi="Times New Roman"/>
          <w:sz w:val="24"/>
          <w:szCs w:val="24"/>
        </w:rPr>
        <w:t>***</w:t>
      </w:r>
    </w:p>
    <w:p w14:paraId="1FADCB6B" w14:textId="77777777" w:rsidR="00F91F9F" w:rsidRDefault="00F91F9F" w:rsidP="00F91F9F">
      <w:pPr>
        <w:pStyle w:val="NoSpacing"/>
        <w:rPr>
          <w:rFonts w:ascii="Times New Roman" w:hAnsi="Times New Roman"/>
          <w:sz w:val="24"/>
          <w:szCs w:val="24"/>
        </w:rPr>
      </w:pPr>
      <w:r>
        <w:rPr>
          <w:rFonts w:ascii="Times New Roman" w:hAnsi="Times New Roman"/>
          <w:sz w:val="24"/>
          <w:szCs w:val="24"/>
        </w:rPr>
        <w:tab/>
      </w:r>
    </w:p>
    <w:p w14:paraId="69617C8B" w14:textId="77777777" w:rsidR="00F91F9F" w:rsidRPr="000307C4" w:rsidRDefault="00F91F9F" w:rsidP="00F91F9F">
      <w:pPr>
        <w:pStyle w:val="NoSpacing"/>
        <w:ind w:firstLine="720"/>
        <w:rPr>
          <w:rFonts w:ascii="Times New Roman" w:hAnsi="Times New Roman"/>
          <w:sz w:val="24"/>
          <w:szCs w:val="24"/>
        </w:rPr>
      </w:pPr>
      <w:r w:rsidRPr="000307C4">
        <w:rPr>
          <w:rFonts w:ascii="Times New Roman" w:hAnsi="Times New Roman"/>
          <w:sz w:val="24"/>
          <w:szCs w:val="24"/>
        </w:rPr>
        <w:t>Here, plaintiff was plainly ineligible for a pension benefit under the terms of section</w:t>
      </w:r>
    </w:p>
    <w:p w14:paraId="5BF3D4EF" w14:textId="77777777" w:rsidR="00F91F9F" w:rsidRDefault="00F91F9F" w:rsidP="00F91F9F">
      <w:pPr>
        <w:pStyle w:val="NoSpacing"/>
        <w:ind w:left="720"/>
        <w:rPr>
          <w:rFonts w:ascii="Times New Roman" w:hAnsi="Times New Roman"/>
          <w:sz w:val="24"/>
          <w:szCs w:val="24"/>
        </w:rPr>
      </w:pPr>
      <w:r w:rsidRPr="000307C4">
        <w:rPr>
          <w:rFonts w:ascii="Times New Roman" w:hAnsi="Times New Roman"/>
          <w:sz w:val="24"/>
          <w:szCs w:val="24"/>
        </w:rPr>
        <w:t>4-138. The Board was therefore required by statute to divest plaintiff of his pension award because</w:t>
      </w:r>
      <w:r>
        <w:rPr>
          <w:rFonts w:ascii="Times New Roman" w:hAnsi="Times New Roman"/>
          <w:sz w:val="24"/>
          <w:szCs w:val="24"/>
        </w:rPr>
        <w:t xml:space="preserve"> </w:t>
      </w:r>
      <w:r w:rsidRPr="000307C4">
        <w:rPr>
          <w:rFonts w:ascii="Times New Roman" w:hAnsi="Times New Roman"/>
          <w:sz w:val="24"/>
          <w:szCs w:val="24"/>
        </w:rPr>
        <w:t>it no longer had the power to pay that money pursuant to section 4-138.</w:t>
      </w:r>
    </w:p>
    <w:p w14:paraId="343CB901" w14:textId="77777777" w:rsidR="00F91F9F" w:rsidRDefault="00F91F9F" w:rsidP="00F91F9F">
      <w:pPr>
        <w:pStyle w:val="NoSpacing"/>
        <w:ind w:left="720"/>
        <w:rPr>
          <w:rFonts w:ascii="Times New Roman" w:hAnsi="Times New Roman"/>
          <w:sz w:val="24"/>
          <w:szCs w:val="24"/>
        </w:rPr>
      </w:pPr>
    </w:p>
    <w:p w14:paraId="18922F96" w14:textId="77777777" w:rsidR="00F91F9F" w:rsidRPr="00642077" w:rsidRDefault="00F91F9F" w:rsidP="00F91F9F">
      <w:pPr>
        <w:pStyle w:val="NoSpacing"/>
        <w:ind w:firstLine="720"/>
        <w:rPr>
          <w:rFonts w:ascii="Times New Roman" w:hAnsi="Times New Roman"/>
          <w:sz w:val="24"/>
          <w:szCs w:val="24"/>
        </w:rPr>
      </w:pPr>
      <w:r w:rsidRPr="00642077">
        <w:rPr>
          <w:rFonts w:ascii="Times New Roman" w:hAnsi="Times New Roman"/>
          <w:sz w:val="24"/>
          <w:szCs w:val="24"/>
        </w:rPr>
        <w:t xml:space="preserve">Nonetheless, plaintiff argues </w:t>
      </w:r>
      <w:proofErr w:type="gramStart"/>
      <w:r w:rsidRPr="00642077">
        <w:rPr>
          <w:rFonts w:ascii="Times New Roman" w:hAnsi="Times New Roman"/>
          <w:sz w:val="24"/>
          <w:szCs w:val="24"/>
        </w:rPr>
        <w:t>that,</w:t>
      </w:r>
      <w:proofErr w:type="gramEnd"/>
      <w:r w:rsidRPr="00642077">
        <w:rPr>
          <w:rFonts w:ascii="Times New Roman" w:hAnsi="Times New Roman"/>
          <w:sz w:val="24"/>
          <w:szCs w:val="24"/>
        </w:rPr>
        <w:t xml:space="preserve"> at the time the Board granted his pension benefit</w:t>
      </w:r>
    </w:p>
    <w:p w14:paraId="3B384743" w14:textId="77777777" w:rsidR="00F91F9F" w:rsidRPr="00642077" w:rsidRDefault="00F91F9F" w:rsidP="00F91F9F">
      <w:pPr>
        <w:pStyle w:val="NoSpacing"/>
        <w:ind w:left="720"/>
        <w:rPr>
          <w:rFonts w:ascii="Times New Roman" w:hAnsi="Times New Roman"/>
          <w:sz w:val="24"/>
          <w:szCs w:val="24"/>
        </w:rPr>
      </w:pPr>
      <w:r w:rsidRPr="00642077">
        <w:rPr>
          <w:rFonts w:ascii="Times New Roman" w:hAnsi="Times New Roman"/>
          <w:sz w:val="24"/>
          <w:szCs w:val="24"/>
        </w:rPr>
        <w:t xml:space="preserve">application, it knew of the </w:t>
      </w:r>
      <w:r>
        <w:rPr>
          <w:rFonts w:ascii="Times New Roman" w:hAnsi="Times New Roman"/>
          <w:sz w:val="24"/>
          <w:szCs w:val="24"/>
        </w:rPr>
        <w:t>‘</w:t>
      </w:r>
      <w:r w:rsidRPr="00642077">
        <w:rPr>
          <w:rFonts w:ascii="Times New Roman" w:hAnsi="Times New Roman"/>
          <w:sz w:val="24"/>
          <w:szCs w:val="24"/>
        </w:rPr>
        <w:t>underlying facts of the allegations against [him]</w:t>
      </w:r>
      <w:r>
        <w:rPr>
          <w:rFonts w:ascii="Times New Roman" w:hAnsi="Times New Roman"/>
          <w:sz w:val="24"/>
          <w:szCs w:val="24"/>
        </w:rPr>
        <w:t>’</w:t>
      </w:r>
      <w:r w:rsidRPr="00642077">
        <w:rPr>
          <w:rFonts w:ascii="Times New Roman" w:hAnsi="Times New Roman"/>
          <w:sz w:val="24"/>
          <w:szCs w:val="24"/>
        </w:rPr>
        <w:t xml:space="preserve"> but failed to retain</w:t>
      </w:r>
      <w:r>
        <w:rPr>
          <w:rFonts w:ascii="Times New Roman" w:hAnsi="Times New Roman"/>
          <w:sz w:val="24"/>
          <w:szCs w:val="24"/>
        </w:rPr>
        <w:t xml:space="preserve"> </w:t>
      </w:r>
      <w:r w:rsidRPr="00642077">
        <w:rPr>
          <w:rFonts w:ascii="Times New Roman" w:hAnsi="Times New Roman"/>
          <w:sz w:val="24"/>
          <w:szCs w:val="24"/>
        </w:rPr>
        <w:t>jurisdiction</w:t>
      </w:r>
      <w:r>
        <w:rPr>
          <w:rFonts w:ascii="Times New Roman" w:hAnsi="Times New Roman"/>
          <w:sz w:val="24"/>
          <w:szCs w:val="24"/>
        </w:rPr>
        <w:t>’</w:t>
      </w:r>
      <w:r w:rsidRPr="00642077">
        <w:rPr>
          <w:rFonts w:ascii="Times New Roman" w:hAnsi="Times New Roman"/>
          <w:sz w:val="24"/>
          <w:szCs w:val="24"/>
        </w:rPr>
        <w:t xml:space="preserve"> pending the outcome of the investigation. Plaintiff then concludes that the Board’s</w:t>
      </w:r>
      <w:r>
        <w:rPr>
          <w:rFonts w:ascii="Times New Roman" w:hAnsi="Times New Roman"/>
          <w:sz w:val="24"/>
          <w:szCs w:val="24"/>
        </w:rPr>
        <w:t xml:space="preserve"> </w:t>
      </w:r>
      <w:r w:rsidRPr="00642077">
        <w:rPr>
          <w:rFonts w:ascii="Times New Roman" w:hAnsi="Times New Roman"/>
          <w:sz w:val="24"/>
          <w:szCs w:val="24"/>
        </w:rPr>
        <w:t xml:space="preserve">failure to do so deprived it of jurisdiction to </w:t>
      </w:r>
      <w:r>
        <w:rPr>
          <w:rFonts w:ascii="Times New Roman" w:hAnsi="Times New Roman"/>
          <w:sz w:val="24"/>
          <w:szCs w:val="24"/>
        </w:rPr>
        <w:t>‘</w:t>
      </w:r>
      <w:r w:rsidRPr="00642077">
        <w:rPr>
          <w:rFonts w:ascii="Times New Roman" w:hAnsi="Times New Roman"/>
          <w:sz w:val="24"/>
          <w:szCs w:val="24"/>
        </w:rPr>
        <w:t>review *** and reverse its September 12, 2017,</w:t>
      </w:r>
      <w:r>
        <w:rPr>
          <w:rFonts w:ascii="Times New Roman" w:hAnsi="Times New Roman"/>
          <w:sz w:val="24"/>
          <w:szCs w:val="24"/>
        </w:rPr>
        <w:t xml:space="preserve"> </w:t>
      </w:r>
      <w:r w:rsidRPr="00642077">
        <w:rPr>
          <w:rFonts w:ascii="Times New Roman" w:hAnsi="Times New Roman"/>
          <w:sz w:val="24"/>
          <w:szCs w:val="24"/>
        </w:rPr>
        <w:t>administrative decision.</w:t>
      </w:r>
      <w:r>
        <w:rPr>
          <w:rFonts w:ascii="Times New Roman" w:hAnsi="Times New Roman"/>
          <w:sz w:val="24"/>
          <w:szCs w:val="24"/>
        </w:rPr>
        <w:t>’</w:t>
      </w:r>
      <w:r w:rsidRPr="00642077">
        <w:rPr>
          <w:rFonts w:ascii="Times New Roman" w:hAnsi="Times New Roman"/>
          <w:sz w:val="24"/>
          <w:szCs w:val="24"/>
        </w:rPr>
        <w:t xml:space="preserve"> As noted above, the Board’s September 2022 decision was the result of</w:t>
      </w:r>
      <w:r>
        <w:rPr>
          <w:rFonts w:ascii="Times New Roman" w:hAnsi="Times New Roman"/>
          <w:sz w:val="24"/>
          <w:szCs w:val="24"/>
        </w:rPr>
        <w:t xml:space="preserve"> </w:t>
      </w:r>
      <w:r w:rsidRPr="00642077">
        <w:rPr>
          <w:rFonts w:ascii="Times New Roman" w:hAnsi="Times New Roman"/>
          <w:sz w:val="24"/>
          <w:szCs w:val="24"/>
        </w:rPr>
        <w:t>a new action, not a reversal of its September 2017 decision. Moreover, plaintiff’s suggestion that</w:t>
      </w:r>
      <w:r>
        <w:rPr>
          <w:rFonts w:ascii="Times New Roman" w:hAnsi="Times New Roman"/>
          <w:sz w:val="24"/>
          <w:szCs w:val="24"/>
        </w:rPr>
        <w:t xml:space="preserve"> </w:t>
      </w:r>
      <w:r w:rsidRPr="00642077">
        <w:rPr>
          <w:rFonts w:ascii="Times New Roman" w:hAnsi="Times New Roman"/>
          <w:sz w:val="24"/>
          <w:szCs w:val="24"/>
        </w:rPr>
        <w:t>the Board retain jurisdiction to enable it to divest a member of his award following a duty-related</w:t>
      </w:r>
      <w:r>
        <w:rPr>
          <w:rFonts w:ascii="Times New Roman" w:hAnsi="Times New Roman"/>
          <w:sz w:val="24"/>
          <w:szCs w:val="24"/>
        </w:rPr>
        <w:t xml:space="preserve"> </w:t>
      </w:r>
      <w:r w:rsidRPr="00642077">
        <w:rPr>
          <w:rFonts w:ascii="Times New Roman" w:hAnsi="Times New Roman"/>
          <w:sz w:val="24"/>
          <w:szCs w:val="24"/>
        </w:rPr>
        <w:t>felony conviction would require the Board to retain jurisdiction in every granting of a member’s</w:t>
      </w:r>
      <w:r>
        <w:rPr>
          <w:rFonts w:ascii="Times New Roman" w:hAnsi="Times New Roman"/>
          <w:sz w:val="24"/>
          <w:szCs w:val="24"/>
        </w:rPr>
        <w:t xml:space="preserve"> </w:t>
      </w:r>
      <w:r w:rsidRPr="00642077">
        <w:rPr>
          <w:rFonts w:ascii="Times New Roman" w:hAnsi="Times New Roman"/>
          <w:sz w:val="24"/>
          <w:szCs w:val="24"/>
        </w:rPr>
        <w:t>application for a pension benefit. Plaintiff provides no indication—and we have found none—that</w:t>
      </w:r>
      <w:r>
        <w:rPr>
          <w:rFonts w:ascii="Times New Roman" w:hAnsi="Times New Roman"/>
          <w:sz w:val="24"/>
          <w:szCs w:val="24"/>
        </w:rPr>
        <w:t xml:space="preserve"> </w:t>
      </w:r>
      <w:r w:rsidRPr="00642077">
        <w:rPr>
          <w:rFonts w:ascii="Times New Roman" w:hAnsi="Times New Roman"/>
          <w:sz w:val="24"/>
          <w:szCs w:val="24"/>
        </w:rPr>
        <w:t>the legislature intended such an absurdity.</w:t>
      </w:r>
      <w:r>
        <w:rPr>
          <w:rFonts w:ascii="Times New Roman" w:hAnsi="Times New Roman"/>
          <w:sz w:val="24"/>
          <w:szCs w:val="24"/>
        </w:rPr>
        <w:t xml:space="preserve">”  </w:t>
      </w:r>
      <w:hyperlink r:id="rId2621" w:history="1">
        <w:r w:rsidRPr="0090046C">
          <w:rPr>
            <w:rStyle w:val="Hyperlink"/>
            <w:rFonts w:ascii="Times New Roman" w:hAnsi="Times New Roman"/>
            <w:sz w:val="24"/>
            <w:szCs w:val="24"/>
          </w:rPr>
          <w:t>https://ilcourtsaudio.blob.core.windows.net/antilles-resources/resources/3038c42d-d9bb-4837-b172-ba33498af3cf/Trapp%20v.%20City%20of%20Burbank%20Firefighters'%20Pension%20Fund,%202024%20IL%20App%20(1st)%20231311-U.pdf</w:t>
        </w:r>
      </w:hyperlink>
      <w:r>
        <w:rPr>
          <w:rFonts w:ascii="Times New Roman" w:hAnsi="Times New Roman"/>
          <w:sz w:val="24"/>
          <w:szCs w:val="24"/>
        </w:rPr>
        <w:t xml:space="preserve"> </w:t>
      </w:r>
    </w:p>
    <w:p w14:paraId="7912B0E6" w14:textId="77777777" w:rsidR="00F91F9F" w:rsidRDefault="00F91F9F" w:rsidP="00F91F9F">
      <w:pPr>
        <w:pStyle w:val="NoSpacing"/>
        <w:rPr>
          <w:rFonts w:ascii="Times New Roman" w:hAnsi="Times New Roman"/>
          <w:sz w:val="24"/>
          <w:szCs w:val="24"/>
        </w:rPr>
      </w:pPr>
    </w:p>
    <w:p w14:paraId="4372954F" w14:textId="77777777" w:rsidR="00F91F9F" w:rsidRDefault="00F91F9F" w:rsidP="00F91F9F">
      <w:pPr>
        <w:pStyle w:val="NoSpacing"/>
        <w:ind w:left="720"/>
        <w:rPr>
          <w:rFonts w:ascii="Times New Roman" w:hAnsi="Times New Roman"/>
          <w:sz w:val="24"/>
          <w:szCs w:val="24"/>
        </w:rPr>
      </w:pPr>
    </w:p>
    <w:p w14:paraId="1DD6C195" w14:textId="77777777" w:rsidR="00F91F9F" w:rsidRPr="00A63E2B" w:rsidRDefault="00F91F9F" w:rsidP="00F91F9F">
      <w:pPr>
        <w:pStyle w:val="NoSpacing"/>
        <w:rPr>
          <w:rFonts w:ascii="Times New Roman" w:hAnsi="Times New Roman"/>
          <w:b/>
          <w:bCs/>
          <w:sz w:val="24"/>
          <w:szCs w:val="24"/>
        </w:rPr>
      </w:pPr>
      <w:r>
        <w:rPr>
          <w:rFonts w:ascii="Times New Roman" w:hAnsi="Times New Roman"/>
          <w:b/>
          <w:bCs/>
          <w:sz w:val="24"/>
          <w:szCs w:val="24"/>
        </w:rPr>
        <w:t xml:space="preserve">Legal Lesson Learned: A service-connected felony led to forfeiture of his pension; wonder why it took 5 years.  </w:t>
      </w:r>
    </w:p>
    <w:p w14:paraId="52CD285A" w14:textId="77777777" w:rsidR="00F91F9F" w:rsidRDefault="00F91F9F" w:rsidP="00F91F9F">
      <w:pPr>
        <w:pStyle w:val="NormalWeb"/>
        <w:spacing w:before="0" w:beforeAutospacing="0"/>
        <w:jc w:val="center"/>
      </w:pPr>
    </w:p>
    <w:p w14:paraId="2391D984" w14:textId="77777777" w:rsidR="00F91F9F" w:rsidRDefault="00F91F9F" w:rsidP="00F91F9F">
      <w:pPr>
        <w:pStyle w:val="NormalWeb"/>
        <w:spacing w:before="0" w:beforeAutospacing="0"/>
      </w:pPr>
    </w:p>
    <w:p w14:paraId="70BE8FFD" w14:textId="52177A6A" w:rsidR="00F91F9F" w:rsidRDefault="00F91F9F" w:rsidP="00F91F9F">
      <w:pPr>
        <w:pStyle w:val="NoSpacing"/>
        <w:rPr>
          <w:rFonts w:ascii="Arial Black" w:hAnsi="Arial Black"/>
          <w:sz w:val="24"/>
          <w:szCs w:val="24"/>
        </w:rPr>
      </w:pPr>
      <w:r>
        <w:rPr>
          <w:rFonts w:ascii="Arial Black" w:hAnsi="Arial Black"/>
          <w:sz w:val="24"/>
          <w:szCs w:val="24"/>
        </w:rPr>
        <w:t>16-108</w:t>
      </w:r>
    </w:p>
    <w:p w14:paraId="4D70B4C4" w14:textId="77777777" w:rsidR="00F91F9F" w:rsidRPr="002D1156" w:rsidRDefault="00F91F9F" w:rsidP="00F91F9F">
      <w:pPr>
        <w:pStyle w:val="NoSpacing"/>
        <w:rPr>
          <w:rFonts w:ascii="Times New Roman" w:hAnsi="Times New Roman"/>
          <w:color w:val="454545"/>
          <w:sz w:val="24"/>
          <w:szCs w:val="24"/>
        </w:rPr>
      </w:pPr>
    </w:p>
    <w:p w14:paraId="0C7BBDD4" w14:textId="77777777" w:rsidR="00F91F9F" w:rsidRDefault="00F91F9F" w:rsidP="00F91F9F">
      <w:pPr>
        <w:spacing w:before="100" w:beforeAutospacing="1" w:after="100" w:afterAutospacing="1" w:line="240" w:lineRule="auto"/>
        <w:rPr>
          <w:rFonts w:ascii="Arial Black" w:hAnsi="Arial Black"/>
          <w:sz w:val="28"/>
          <w:szCs w:val="28"/>
        </w:rPr>
      </w:pPr>
      <w:r>
        <w:rPr>
          <w:rFonts w:ascii="Arial Black" w:hAnsi="Arial Black"/>
          <w:sz w:val="28"/>
          <w:szCs w:val="28"/>
        </w:rPr>
        <w:t>WI: VOL. FF FIRED AFTER COMPLAINED ABOUT HOW PD QUESTIONED HIM - “WHISTLEBLOWER” CASE PROCEED</w:t>
      </w:r>
    </w:p>
    <w:p w14:paraId="022E131C" w14:textId="77777777" w:rsidR="00F91F9F" w:rsidRDefault="00F91F9F" w:rsidP="00F91F9F">
      <w:pPr>
        <w:spacing w:before="100" w:beforeAutospacing="1" w:after="100" w:afterAutospacing="1" w:line="240" w:lineRule="auto"/>
        <w:rPr>
          <w:rFonts w:ascii="Times New Roman" w:hAnsi="Times New Roman"/>
          <w:sz w:val="24"/>
          <w:szCs w:val="24"/>
        </w:rPr>
      </w:pPr>
      <w:r w:rsidRPr="0018036B">
        <w:rPr>
          <w:rFonts w:ascii="Times New Roman" w:hAnsi="Times New Roman"/>
          <w:sz w:val="24"/>
          <w:szCs w:val="24"/>
        </w:rPr>
        <w:lastRenderedPageBreak/>
        <w:t xml:space="preserve">On March 22, 2024, in </w:t>
      </w:r>
      <w:r w:rsidRPr="0018036B">
        <w:rPr>
          <w:rFonts w:ascii="Times New Roman" w:hAnsi="Times New Roman"/>
          <w:sz w:val="24"/>
          <w:szCs w:val="24"/>
          <w:u w:val="single"/>
        </w:rPr>
        <w:t xml:space="preserve">Matthew Donahue v. Village of </w:t>
      </w:r>
      <w:proofErr w:type="spellStart"/>
      <w:r w:rsidRPr="0018036B">
        <w:rPr>
          <w:rFonts w:ascii="Times New Roman" w:hAnsi="Times New Roman"/>
          <w:sz w:val="24"/>
          <w:szCs w:val="24"/>
          <w:u w:val="single"/>
        </w:rPr>
        <w:t>Elm</w:t>
      </w:r>
      <w:proofErr w:type="spellEnd"/>
      <w:r w:rsidRPr="0018036B">
        <w:rPr>
          <w:rFonts w:ascii="Times New Roman" w:hAnsi="Times New Roman"/>
          <w:sz w:val="24"/>
          <w:szCs w:val="24"/>
          <w:u w:val="single"/>
        </w:rPr>
        <w:t xml:space="preserve"> Grove, et al</w:t>
      </w:r>
      <w:r w:rsidRPr="0018036B">
        <w:rPr>
          <w:rFonts w:ascii="Times New Roman" w:hAnsi="Times New Roman"/>
          <w:sz w:val="24"/>
          <w:szCs w:val="24"/>
        </w:rPr>
        <w:t xml:space="preserve">., United States District Court Chief Judge Pamela Pepper, U.S. District Court for Eastern District of Wisconsin, held the volunteer’s claim </w:t>
      </w:r>
      <w:r>
        <w:rPr>
          <w:rFonts w:ascii="Times New Roman" w:hAnsi="Times New Roman"/>
          <w:sz w:val="24"/>
          <w:szCs w:val="24"/>
        </w:rPr>
        <w:t xml:space="preserve">of retaliation </w:t>
      </w:r>
      <w:r w:rsidRPr="0018036B">
        <w:rPr>
          <w:rFonts w:ascii="Times New Roman" w:hAnsi="Times New Roman"/>
          <w:sz w:val="24"/>
          <w:szCs w:val="24"/>
        </w:rPr>
        <w:t>may proceed to pre-trial discovery</w:t>
      </w:r>
      <w:r>
        <w:rPr>
          <w:rFonts w:ascii="Times New Roman" w:hAnsi="Times New Roman"/>
          <w:sz w:val="24"/>
          <w:szCs w:val="24"/>
        </w:rPr>
        <w:t xml:space="preserve">, after he files an Amended Complaint with more details. </w:t>
      </w:r>
      <w:r w:rsidRPr="003B51B9">
        <w:rPr>
          <w:rFonts w:ascii="Times New Roman" w:hAnsi="Times New Roman"/>
          <w:sz w:val="24"/>
          <w:szCs w:val="24"/>
        </w:rPr>
        <w:t xml:space="preserve">On March 6, 2019, he was questioned by officers from the </w:t>
      </w:r>
      <w:proofErr w:type="spellStart"/>
      <w:r w:rsidRPr="003B51B9">
        <w:rPr>
          <w:rFonts w:ascii="Times New Roman" w:hAnsi="Times New Roman"/>
          <w:sz w:val="24"/>
          <w:szCs w:val="24"/>
        </w:rPr>
        <w:t>Elm</w:t>
      </w:r>
      <w:proofErr w:type="spellEnd"/>
      <w:r w:rsidRPr="003B51B9">
        <w:rPr>
          <w:rFonts w:ascii="Times New Roman" w:hAnsi="Times New Roman"/>
          <w:sz w:val="24"/>
          <w:szCs w:val="24"/>
        </w:rPr>
        <w:t xml:space="preserve"> Grove and Brookfield Police Departments</w:t>
      </w:r>
      <w:r>
        <w:rPr>
          <w:rFonts w:ascii="Times New Roman" w:hAnsi="Times New Roman"/>
          <w:sz w:val="24"/>
          <w:szCs w:val="24"/>
        </w:rPr>
        <w:t xml:space="preserve"> after the PD received a complaint from Father Peter Berger of St. Mary’s Church. “</w:t>
      </w:r>
      <w:r w:rsidRPr="00D81337">
        <w:rPr>
          <w:rFonts w:ascii="Times New Roman" w:hAnsi="Times New Roman"/>
          <w:sz w:val="24"/>
          <w:szCs w:val="24"/>
        </w:rPr>
        <w:t>The plaintiff was a member of St. Mary's congregation; recently Father Berger had officiated at the plaintiff's marriage and on March 6, 2019, the two had exchanged emails regarding a personal issue ‘between the Church and [the plaintiff].</w:t>
      </w:r>
      <w:r>
        <w:rPr>
          <w:rFonts w:ascii="Times New Roman" w:hAnsi="Times New Roman"/>
          <w:sz w:val="24"/>
          <w:szCs w:val="24"/>
        </w:rPr>
        <w:t>”  The plaintiff filed complaint against PD, and Village Manager directed Fire Chief to investigate, leading to his termination.</w:t>
      </w:r>
    </w:p>
    <w:p w14:paraId="5F80AC92" w14:textId="77777777" w:rsidR="00744AE5" w:rsidRPr="004C0299" w:rsidRDefault="00744AE5" w:rsidP="00744AE5">
      <w:pPr>
        <w:pStyle w:val="NoSpacing"/>
        <w:rPr>
          <w:rFonts w:ascii="Times New Roman" w:hAnsi="Times New Roman"/>
          <w:sz w:val="24"/>
          <w:szCs w:val="24"/>
        </w:rPr>
      </w:pPr>
      <w:r>
        <w:rPr>
          <w:rFonts w:ascii="Times New Roman" w:hAnsi="Times New Roman"/>
          <w:sz w:val="24"/>
          <w:szCs w:val="24"/>
          <w:shd w:val="clear" w:color="auto" w:fill="FFFFFF"/>
        </w:rPr>
        <w:t>THE COURT HELD:</w:t>
      </w:r>
    </w:p>
    <w:p w14:paraId="3C9FC947" w14:textId="77777777" w:rsidR="00F91F9F" w:rsidRDefault="00F91F9F" w:rsidP="00F91F9F">
      <w:pPr>
        <w:pStyle w:val="NormalWeb"/>
        <w:ind w:left="720"/>
      </w:pPr>
      <w:r>
        <w:t xml:space="preserve">“Construing these allegations in the light most favorable to the plaintiff, the court concludes that the plaintiff has alleged that he engaged in activity protected by the First Amendment-making a complaint through his statement of charges. He has alleged that he suffered a deprivation that likely would deter his First Amendment activity in the future-he was subjected to an investigation, a hearing and removal. And he has alleged that the fact he made complaints caused the fire department to investigate him, which led to the commission's hearing and his removal. He has alleged that [Village Manager David] DeAngelis knew of his First Amendment activity (by alleging that DeAngelis received his statement of charges and advised the village board about them), that DeAngelis basically rejected the plaintiff's complaints by advising the board of trustees not to investigate them and by misrepresenting them and that DeAngelis caused at least one deprivation-the institution of a fire department investigation into the plaintiff-which led to the others. While the allegations against [Village Manager] DeAngelis are sparse, they are sufficient to state a plausible claim at the pleading stage.” </w:t>
      </w:r>
      <w:hyperlink r:id="rId2622" w:history="1">
        <w:r w:rsidRPr="00525B4E">
          <w:rPr>
            <w:rStyle w:val="Hyperlink"/>
          </w:rPr>
          <w:t>https://public.fastcase.com/H1P9uiW3J20SFp%2BGCG%2BxLf0QXfMdGqdqZlQXVQLOVSo%2BRVxC5joRx%2Bn0W0bwooepXLY2KUKQY%2FNa4DzAR11NEG8M8s0LDdmLgDmSoVIjHEI%3D?utm_medium=email&amp;_hsmi=226712652&amp;_hsenc=p2ANqtz--j20uR-GYo6WCSGz4uB5jXz0CJaW80ssMVqf4KPGqbFwk9_LUt6on4Dgf3xdmVustFIoMmyBcwEiGPMrkJq9j9MAGPKA&amp;utm_content=226712652&amp;utm_source=hs_email</w:t>
        </w:r>
      </w:hyperlink>
      <w:r>
        <w:t xml:space="preserve"> </w:t>
      </w:r>
    </w:p>
    <w:p w14:paraId="6FAC588A" w14:textId="77777777" w:rsidR="00F91F9F" w:rsidRPr="004C7B9F" w:rsidRDefault="00F91F9F" w:rsidP="00F91F9F">
      <w:pPr>
        <w:pStyle w:val="NormalWeb"/>
        <w:rPr>
          <w:b/>
          <w:bCs/>
        </w:rPr>
      </w:pPr>
      <w:r w:rsidRPr="004C7B9F">
        <w:rPr>
          <w:b/>
          <w:bCs/>
        </w:rPr>
        <w:t>Legal Lesson Learned:</w:t>
      </w:r>
      <w:r>
        <w:rPr>
          <w:b/>
          <w:bCs/>
        </w:rPr>
        <w:t xml:space="preserve"> Filing a complaint about alleged police misconduct is protected conduct under 1</w:t>
      </w:r>
      <w:r w:rsidRPr="00676A56">
        <w:rPr>
          <w:b/>
          <w:bCs/>
          <w:vertAlign w:val="superscript"/>
        </w:rPr>
        <w:t>st</w:t>
      </w:r>
      <w:r>
        <w:rPr>
          <w:b/>
          <w:bCs/>
        </w:rPr>
        <w:t xml:space="preserve"> Amendment and state whistleblower law.</w:t>
      </w:r>
    </w:p>
    <w:p w14:paraId="41CD8A76" w14:textId="77777777" w:rsidR="00F91F9F" w:rsidRDefault="00F91F9F" w:rsidP="00F91F9F">
      <w:pPr>
        <w:spacing w:before="100" w:beforeAutospacing="1" w:after="100" w:afterAutospacing="1" w:line="240" w:lineRule="auto"/>
        <w:outlineLvl w:val="0"/>
        <w:rPr>
          <w:rFonts w:ascii="Times New Roman" w:hAnsi="Times New Roman"/>
          <w:sz w:val="24"/>
          <w:szCs w:val="24"/>
        </w:rPr>
      </w:pPr>
    </w:p>
    <w:p w14:paraId="4966F504" w14:textId="348C765F" w:rsidR="00F91F9F" w:rsidRDefault="00F91F9F" w:rsidP="00F91F9F">
      <w:pPr>
        <w:pStyle w:val="NoSpacing"/>
        <w:rPr>
          <w:rFonts w:ascii="Arial Black" w:hAnsi="Arial Black"/>
          <w:sz w:val="24"/>
          <w:szCs w:val="24"/>
        </w:rPr>
      </w:pPr>
      <w:r>
        <w:rPr>
          <w:rFonts w:ascii="Arial Black" w:hAnsi="Arial Black"/>
          <w:sz w:val="24"/>
          <w:szCs w:val="24"/>
        </w:rPr>
        <w:t>16-107</w:t>
      </w:r>
    </w:p>
    <w:p w14:paraId="5DF4A4F1" w14:textId="77777777" w:rsidR="00F91F9F" w:rsidRDefault="00F91F9F" w:rsidP="00F91F9F">
      <w:pPr>
        <w:pStyle w:val="NoSpacing"/>
        <w:rPr>
          <w:rFonts w:ascii="Arial Black" w:hAnsi="Arial Black"/>
          <w:sz w:val="28"/>
          <w:szCs w:val="28"/>
        </w:rPr>
      </w:pPr>
    </w:p>
    <w:p w14:paraId="0D6889BF" w14:textId="77777777" w:rsidR="00F91F9F" w:rsidRPr="009140CD" w:rsidRDefault="00F91F9F" w:rsidP="00F91F9F">
      <w:pPr>
        <w:pStyle w:val="NoSpacing"/>
        <w:rPr>
          <w:rFonts w:ascii="Arial Black" w:hAnsi="Arial Black"/>
          <w:sz w:val="28"/>
          <w:szCs w:val="28"/>
        </w:rPr>
      </w:pPr>
      <w:r>
        <w:rPr>
          <w:rFonts w:ascii="Arial Black" w:hAnsi="Arial Black"/>
          <w:sz w:val="28"/>
          <w:szCs w:val="28"/>
        </w:rPr>
        <w:t>NH: POLICE OFFICER RESIGNATION / PD INTERNAL AFFAIRS DOCS OUT PERSONNEL FILE – CT. ORDERS DOCS RELEASED</w:t>
      </w:r>
    </w:p>
    <w:p w14:paraId="7E790FD7" w14:textId="77777777" w:rsidR="00F91F9F" w:rsidRDefault="00F91F9F" w:rsidP="00F91F9F">
      <w:pPr>
        <w:pStyle w:val="NoSpacing"/>
        <w:rPr>
          <w:rFonts w:ascii="Times New Roman" w:hAnsi="Times New Roman"/>
          <w:sz w:val="24"/>
          <w:szCs w:val="24"/>
        </w:rPr>
      </w:pPr>
    </w:p>
    <w:p w14:paraId="0561B8CC" w14:textId="77777777" w:rsidR="00F91F9F" w:rsidRDefault="00F91F9F" w:rsidP="00F91F9F">
      <w:pPr>
        <w:pStyle w:val="NoSpacing"/>
        <w:rPr>
          <w:rFonts w:ascii="Times New Roman" w:hAnsi="Times New Roman"/>
          <w:sz w:val="24"/>
          <w:szCs w:val="24"/>
        </w:rPr>
      </w:pPr>
      <w:r>
        <w:rPr>
          <w:rFonts w:ascii="Times New Roman" w:hAnsi="Times New Roman"/>
          <w:sz w:val="24"/>
          <w:szCs w:val="24"/>
        </w:rPr>
        <w:t xml:space="preserve">On March 20, 2024, in </w:t>
      </w:r>
      <w:r w:rsidRPr="00310885">
        <w:rPr>
          <w:rFonts w:ascii="Times New Roman" w:hAnsi="Times New Roman"/>
          <w:sz w:val="24"/>
          <w:szCs w:val="24"/>
          <w:u w:val="single"/>
        </w:rPr>
        <w:t>Jonathan Stone v. City of Claremont</w:t>
      </w:r>
      <w:r>
        <w:rPr>
          <w:rFonts w:ascii="Times New Roman" w:hAnsi="Times New Roman"/>
          <w:sz w:val="24"/>
          <w:szCs w:val="24"/>
        </w:rPr>
        <w:t xml:space="preserve">, the Supreme Court of New Hampshire, held (5 to 0) that the 2007 resignation agreement with former City police officer and his union, removing from his personnel file the internal affairs investigation and notice of termination, does not protect the requested records from disclosure. </w:t>
      </w:r>
    </w:p>
    <w:p w14:paraId="39169A74" w14:textId="77777777" w:rsidR="004305B6" w:rsidRPr="004C0299" w:rsidRDefault="004305B6" w:rsidP="004305B6">
      <w:pPr>
        <w:pStyle w:val="NoSpacing"/>
        <w:rPr>
          <w:rFonts w:ascii="Times New Roman" w:hAnsi="Times New Roman"/>
          <w:sz w:val="24"/>
          <w:szCs w:val="24"/>
        </w:rPr>
      </w:pPr>
      <w:r>
        <w:rPr>
          <w:rFonts w:ascii="Times New Roman" w:hAnsi="Times New Roman"/>
          <w:sz w:val="24"/>
          <w:szCs w:val="24"/>
          <w:shd w:val="clear" w:color="auto" w:fill="FFFFFF"/>
        </w:rPr>
        <w:t>THE COURT HELD:</w:t>
      </w:r>
    </w:p>
    <w:p w14:paraId="10FB302C" w14:textId="77777777" w:rsidR="00F91F9F" w:rsidRDefault="00F91F9F" w:rsidP="00F91F9F">
      <w:pPr>
        <w:pStyle w:val="NoSpacing"/>
        <w:rPr>
          <w:rFonts w:ascii="Times New Roman" w:hAnsi="Times New Roman"/>
          <w:sz w:val="24"/>
          <w:szCs w:val="24"/>
        </w:rPr>
      </w:pPr>
    </w:p>
    <w:p w14:paraId="0F73B518" w14:textId="77777777" w:rsidR="00F91F9F" w:rsidRPr="00B3168D" w:rsidRDefault="00F91F9F" w:rsidP="00F91F9F">
      <w:pPr>
        <w:pStyle w:val="NoSpacing"/>
        <w:ind w:left="720"/>
        <w:rPr>
          <w:rFonts w:ascii="Times New Roman" w:hAnsi="Times New Roman"/>
          <w:sz w:val="24"/>
          <w:szCs w:val="24"/>
        </w:rPr>
      </w:pPr>
      <w:r>
        <w:rPr>
          <w:rFonts w:ascii="Times New Roman" w:hAnsi="Times New Roman"/>
          <w:sz w:val="24"/>
          <w:szCs w:val="24"/>
        </w:rPr>
        <w:t>“</w:t>
      </w:r>
      <w:r w:rsidRPr="00B3168D">
        <w:rPr>
          <w:rFonts w:ascii="Times New Roman" w:hAnsi="Times New Roman"/>
          <w:sz w:val="24"/>
          <w:szCs w:val="24"/>
        </w:rPr>
        <w:t xml:space="preserve">The intervenors </w:t>
      </w:r>
      <w:r>
        <w:rPr>
          <w:rFonts w:ascii="Times New Roman" w:hAnsi="Times New Roman"/>
          <w:sz w:val="24"/>
          <w:szCs w:val="24"/>
        </w:rPr>
        <w:t xml:space="preserve">[ACLU and Union Leader Corp., Union Leader Corp] </w:t>
      </w:r>
      <w:r w:rsidRPr="00B3168D">
        <w:rPr>
          <w:rFonts w:ascii="Times New Roman" w:hAnsi="Times New Roman"/>
          <w:sz w:val="24"/>
          <w:szCs w:val="24"/>
        </w:rPr>
        <w:t>contend that the purging provision</w:t>
      </w:r>
      <w:r>
        <w:rPr>
          <w:rFonts w:ascii="Times New Roman" w:hAnsi="Times New Roman"/>
          <w:sz w:val="24"/>
          <w:szCs w:val="24"/>
        </w:rPr>
        <w:t xml:space="preserve"> </w:t>
      </w:r>
      <w:r w:rsidRPr="00B3168D">
        <w:rPr>
          <w:rFonts w:ascii="Times New Roman" w:hAnsi="Times New Roman"/>
          <w:sz w:val="24"/>
          <w:szCs w:val="24"/>
        </w:rPr>
        <w:t>of the Stipulated Award does not state that the relevant records will be</w:t>
      </w:r>
    </w:p>
    <w:p w14:paraId="64F71A88" w14:textId="77777777" w:rsidR="00F91F9F" w:rsidRDefault="00F91F9F" w:rsidP="00F91F9F">
      <w:pPr>
        <w:pStyle w:val="NoSpacing"/>
        <w:ind w:left="720"/>
        <w:rPr>
          <w:rFonts w:ascii="Times New Roman" w:hAnsi="Times New Roman"/>
          <w:sz w:val="24"/>
          <w:szCs w:val="24"/>
        </w:rPr>
      </w:pPr>
      <w:r w:rsidRPr="00B3168D">
        <w:rPr>
          <w:rFonts w:ascii="Times New Roman" w:hAnsi="Times New Roman"/>
          <w:sz w:val="24"/>
          <w:szCs w:val="24"/>
        </w:rPr>
        <w:t>destroyed or that they will cease to exist within the CPD. According to the</w:t>
      </w:r>
      <w:r>
        <w:rPr>
          <w:rFonts w:ascii="Times New Roman" w:hAnsi="Times New Roman"/>
          <w:sz w:val="24"/>
          <w:szCs w:val="24"/>
        </w:rPr>
        <w:t xml:space="preserve"> </w:t>
      </w:r>
      <w:r w:rsidRPr="00B3168D">
        <w:rPr>
          <w:rFonts w:ascii="Times New Roman" w:hAnsi="Times New Roman"/>
          <w:sz w:val="24"/>
          <w:szCs w:val="24"/>
        </w:rPr>
        <w:t>intervenors, the Stipulated Award provides only that the relevant records will</w:t>
      </w:r>
      <w:r>
        <w:rPr>
          <w:rFonts w:ascii="Times New Roman" w:hAnsi="Times New Roman"/>
          <w:sz w:val="24"/>
          <w:szCs w:val="24"/>
        </w:rPr>
        <w:t xml:space="preserve"> </w:t>
      </w:r>
      <w:r w:rsidRPr="00B3168D">
        <w:rPr>
          <w:rFonts w:ascii="Times New Roman" w:hAnsi="Times New Roman"/>
          <w:sz w:val="24"/>
          <w:szCs w:val="24"/>
        </w:rPr>
        <w:t>be purged from the plaintiff’s personnel file but does not state that the records</w:t>
      </w:r>
      <w:r>
        <w:rPr>
          <w:rFonts w:ascii="Times New Roman" w:hAnsi="Times New Roman"/>
          <w:sz w:val="24"/>
          <w:szCs w:val="24"/>
        </w:rPr>
        <w:t xml:space="preserve"> </w:t>
      </w:r>
      <w:r w:rsidRPr="00B3168D">
        <w:rPr>
          <w:rFonts w:ascii="Times New Roman" w:hAnsi="Times New Roman"/>
          <w:sz w:val="24"/>
          <w:szCs w:val="24"/>
        </w:rPr>
        <w:t>will be purged from all other locations. Similarly, the intervenors argue that</w:t>
      </w:r>
      <w:r>
        <w:rPr>
          <w:rFonts w:ascii="Times New Roman" w:hAnsi="Times New Roman"/>
          <w:sz w:val="24"/>
          <w:szCs w:val="24"/>
        </w:rPr>
        <w:t xml:space="preserve"> </w:t>
      </w:r>
      <w:r w:rsidRPr="00B3168D">
        <w:rPr>
          <w:rFonts w:ascii="Times New Roman" w:hAnsi="Times New Roman"/>
          <w:sz w:val="24"/>
          <w:szCs w:val="24"/>
        </w:rPr>
        <w:t xml:space="preserve">the </w:t>
      </w:r>
      <w:r w:rsidRPr="00B3168D">
        <w:rPr>
          <w:rFonts w:ascii="Times New Roman" w:hAnsi="Times New Roman"/>
          <w:sz w:val="24"/>
          <w:szCs w:val="24"/>
        </w:rPr>
        <w:lastRenderedPageBreak/>
        <w:t xml:space="preserve">confidentiality provision </w:t>
      </w:r>
      <w:r>
        <w:rPr>
          <w:rFonts w:ascii="Times New Roman" w:hAnsi="Times New Roman"/>
          <w:sz w:val="24"/>
          <w:szCs w:val="24"/>
        </w:rPr>
        <w:t>‘</w:t>
      </w:r>
      <w:r w:rsidRPr="00B3168D">
        <w:rPr>
          <w:rFonts w:ascii="Times New Roman" w:hAnsi="Times New Roman"/>
          <w:sz w:val="24"/>
          <w:szCs w:val="24"/>
        </w:rPr>
        <w:t>does not provide the blanket confidentiality that</w:t>
      </w:r>
      <w:r>
        <w:rPr>
          <w:rFonts w:ascii="Times New Roman" w:hAnsi="Times New Roman"/>
          <w:sz w:val="24"/>
          <w:szCs w:val="24"/>
        </w:rPr>
        <w:t xml:space="preserve"> </w:t>
      </w:r>
      <w:r w:rsidRPr="00B3168D">
        <w:rPr>
          <w:rFonts w:ascii="Times New Roman" w:hAnsi="Times New Roman"/>
          <w:sz w:val="24"/>
          <w:szCs w:val="24"/>
        </w:rPr>
        <w:t>[the plaintiff] asserts.</w:t>
      </w:r>
      <w:r>
        <w:rPr>
          <w:rFonts w:ascii="Times New Roman" w:hAnsi="Times New Roman"/>
          <w:sz w:val="24"/>
          <w:szCs w:val="24"/>
        </w:rPr>
        <w:t>’</w:t>
      </w:r>
      <w:r w:rsidRPr="00B3168D">
        <w:rPr>
          <w:rFonts w:ascii="Times New Roman" w:hAnsi="Times New Roman"/>
          <w:sz w:val="24"/>
          <w:szCs w:val="24"/>
        </w:rPr>
        <w:t xml:space="preserve"> Rather, the Stipulated Award </w:t>
      </w:r>
      <w:r>
        <w:rPr>
          <w:rFonts w:ascii="Times New Roman" w:hAnsi="Times New Roman"/>
          <w:sz w:val="24"/>
          <w:szCs w:val="24"/>
        </w:rPr>
        <w:t>‘</w:t>
      </w:r>
      <w:r w:rsidRPr="00B3168D">
        <w:rPr>
          <w:rFonts w:ascii="Times New Roman" w:hAnsi="Times New Roman"/>
          <w:sz w:val="24"/>
          <w:szCs w:val="24"/>
        </w:rPr>
        <w:t>makes clear that its</w:t>
      </w:r>
      <w:r>
        <w:rPr>
          <w:rFonts w:ascii="Times New Roman" w:hAnsi="Times New Roman"/>
          <w:sz w:val="24"/>
          <w:szCs w:val="24"/>
        </w:rPr>
        <w:t xml:space="preserve"> </w:t>
      </w:r>
      <w:r w:rsidRPr="00B3168D">
        <w:rPr>
          <w:rFonts w:ascii="Times New Roman" w:hAnsi="Times New Roman"/>
          <w:sz w:val="24"/>
          <w:szCs w:val="24"/>
        </w:rPr>
        <w:t>confidentiality provision applies ‘except to the extent required by . . . law,’</w:t>
      </w:r>
      <w:r>
        <w:rPr>
          <w:rFonts w:ascii="Times New Roman" w:hAnsi="Times New Roman"/>
          <w:sz w:val="24"/>
          <w:szCs w:val="24"/>
        </w:rPr>
        <w:t xml:space="preserve"> </w:t>
      </w:r>
      <w:r w:rsidRPr="00B3168D">
        <w:rPr>
          <w:rFonts w:ascii="Times New Roman" w:hAnsi="Times New Roman"/>
          <w:sz w:val="24"/>
          <w:szCs w:val="24"/>
        </w:rPr>
        <w:t>which includes the requirements of RSA ch. 91-A.</w:t>
      </w:r>
      <w:r>
        <w:rPr>
          <w:rFonts w:ascii="Times New Roman" w:hAnsi="Times New Roman"/>
          <w:sz w:val="24"/>
          <w:szCs w:val="24"/>
        </w:rPr>
        <w:t>’</w:t>
      </w:r>
      <w:r w:rsidRPr="00B3168D">
        <w:rPr>
          <w:rFonts w:ascii="Times New Roman" w:hAnsi="Times New Roman"/>
          <w:sz w:val="24"/>
          <w:szCs w:val="24"/>
        </w:rPr>
        <w:t xml:space="preserve"> We agree with the</w:t>
      </w:r>
      <w:r>
        <w:rPr>
          <w:rFonts w:ascii="Times New Roman" w:hAnsi="Times New Roman"/>
          <w:sz w:val="24"/>
          <w:szCs w:val="24"/>
        </w:rPr>
        <w:t xml:space="preserve"> </w:t>
      </w:r>
      <w:r w:rsidRPr="00B3168D">
        <w:rPr>
          <w:rFonts w:ascii="Times New Roman" w:hAnsi="Times New Roman"/>
          <w:sz w:val="24"/>
          <w:szCs w:val="24"/>
        </w:rPr>
        <w:t>intervenors.</w:t>
      </w:r>
    </w:p>
    <w:p w14:paraId="76C1B1D0" w14:textId="77777777" w:rsidR="00F91F9F" w:rsidRDefault="00F91F9F" w:rsidP="00F91F9F">
      <w:pPr>
        <w:pStyle w:val="NoSpacing"/>
        <w:ind w:left="720"/>
        <w:rPr>
          <w:rFonts w:ascii="Times New Roman" w:hAnsi="Times New Roman"/>
          <w:sz w:val="24"/>
          <w:szCs w:val="24"/>
        </w:rPr>
      </w:pPr>
    </w:p>
    <w:p w14:paraId="7FCF73AB" w14:textId="77777777" w:rsidR="00F91F9F" w:rsidRDefault="00F91F9F" w:rsidP="00F91F9F">
      <w:pPr>
        <w:pStyle w:val="NoSpacing"/>
        <w:ind w:left="720"/>
        <w:rPr>
          <w:rFonts w:ascii="Times New Roman" w:hAnsi="Times New Roman"/>
          <w:sz w:val="24"/>
          <w:szCs w:val="24"/>
        </w:rPr>
      </w:pPr>
      <w:r>
        <w:rPr>
          <w:rFonts w:ascii="Times New Roman" w:hAnsi="Times New Roman"/>
          <w:sz w:val="24"/>
          <w:szCs w:val="24"/>
        </w:rPr>
        <w:t>***</w:t>
      </w:r>
    </w:p>
    <w:p w14:paraId="549551BE" w14:textId="77777777" w:rsidR="00F91F9F" w:rsidRDefault="00F91F9F" w:rsidP="00F91F9F">
      <w:pPr>
        <w:pStyle w:val="NoSpacing"/>
        <w:rPr>
          <w:rFonts w:ascii="Times New Roman" w:hAnsi="Times New Roman"/>
          <w:sz w:val="24"/>
          <w:szCs w:val="24"/>
        </w:rPr>
      </w:pPr>
    </w:p>
    <w:p w14:paraId="7F6DD224" w14:textId="77777777" w:rsidR="00F91F9F" w:rsidRDefault="00F91F9F" w:rsidP="00F91F9F">
      <w:pPr>
        <w:pStyle w:val="NoSpacing"/>
        <w:ind w:left="720"/>
        <w:rPr>
          <w:rFonts w:ascii="Times New Roman" w:hAnsi="Times New Roman"/>
          <w:sz w:val="24"/>
          <w:szCs w:val="24"/>
        </w:rPr>
      </w:pPr>
      <w:r>
        <w:rPr>
          <w:rFonts w:ascii="Times New Roman" w:hAnsi="Times New Roman"/>
          <w:sz w:val="24"/>
          <w:szCs w:val="24"/>
        </w:rPr>
        <w:t>I</w:t>
      </w:r>
      <w:r w:rsidRPr="00B5597E">
        <w:rPr>
          <w:rFonts w:ascii="Times New Roman" w:hAnsi="Times New Roman"/>
          <w:sz w:val="24"/>
          <w:szCs w:val="24"/>
        </w:rPr>
        <w:t>n summary, we conclude that the 2007 Stipulated Award does not</w:t>
      </w:r>
      <w:r>
        <w:rPr>
          <w:rFonts w:ascii="Times New Roman" w:hAnsi="Times New Roman"/>
          <w:sz w:val="24"/>
          <w:szCs w:val="24"/>
        </w:rPr>
        <w:t xml:space="preserve"> </w:t>
      </w:r>
      <w:r w:rsidRPr="00B5597E">
        <w:rPr>
          <w:rFonts w:ascii="Times New Roman" w:hAnsi="Times New Roman"/>
          <w:sz w:val="24"/>
          <w:szCs w:val="24"/>
        </w:rPr>
        <w:t xml:space="preserve">protect the requested records at issue on appeal from </w:t>
      </w:r>
      <w:proofErr w:type="gramStart"/>
      <w:r w:rsidRPr="00B5597E">
        <w:rPr>
          <w:rFonts w:ascii="Times New Roman" w:hAnsi="Times New Roman"/>
          <w:sz w:val="24"/>
          <w:szCs w:val="24"/>
        </w:rPr>
        <w:t>disclosure.</w:t>
      </w:r>
      <w:r>
        <w:rPr>
          <w:rFonts w:ascii="Times New Roman" w:hAnsi="Times New Roman"/>
          <w:sz w:val="24"/>
          <w:szCs w:val="24"/>
        </w:rPr>
        <w:t>”</w:t>
      </w:r>
      <w:proofErr w:type="gramEnd"/>
      <w:r>
        <w:rPr>
          <w:rFonts w:ascii="Times New Roman" w:hAnsi="Times New Roman"/>
          <w:sz w:val="24"/>
          <w:szCs w:val="24"/>
        </w:rPr>
        <w:t xml:space="preserve"> </w:t>
      </w:r>
      <w:hyperlink r:id="rId2623" w:history="1">
        <w:r w:rsidRPr="0090046C">
          <w:rPr>
            <w:rStyle w:val="Hyperlink"/>
            <w:rFonts w:ascii="Times New Roman" w:hAnsi="Times New Roman"/>
            <w:sz w:val="24"/>
            <w:szCs w:val="24"/>
          </w:rPr>
          <w:t>https://www.courts.nh.gov/sites/g/files/ehbemt471/files/documents/2024-03/20230083stone.pdf</w:t>
        </w:r>
      </w:hyperlink>
      <w:r>
        <w:rPr>
          <w:rFonts w:ascii="Times New Roman" w:hAnsi="Times New Roman"/>
          <w:sz w:val="24"/>
          <w:szCs w:val="24"/>
        </w:rPr>
        <w:t xml:space="preserve"> </w:t>
      </w:r>
    </w:p>
    <w:p w14:paraId="3323B367" w14:textId="77777777" w:rsidR="00F91F9F" w:rsidRDefault="00F91F9F" w:rsidP="00F91F9F">
      <w:pPr>
        <w:pStyle w:val="NoSpacing"/>
        <w:ind w:left="720"/>
        <w:rPr>
          <w:rFonts w:ascii="Times New Roman" w:hAnsi="Times New Roman"/>
          <w:sz w:val="24"/>
          <w:szCs w:val="24"/>
        </w:rPr>
      </w:pPr>
    </w:p>
    <w:p w14:paraId="5EC0FC00" w14:textId="77777777" w:rsidR="00F91F9F" w:rsidRDefault="00F91F9F" w:rsidP="00F91F9F">
      <w:pPr>
        <w:rPr>
          <w:rFonts w:ascii="Times New Roman" w:hAnsi="Times New Roman"/>
          <w:sz w:val="24"/>
          <w:szCs w:val="24"/>
        </w:rPr>
      </w:pPr>
    </w:p>
    <w:p w14:paraId="2C906923" w14:textId="77777777" w:rsidR="00F91F9F" w:rsidRPr="00354746" w:rsidRDefault="00F91F9F" w:rsidP="00F91F9F">
      <w:pPr>
        <w:rPr>
          <w:rFonts w:ascii="Times New Roman" w:hAnsi="Times New Roman"/>
          <w:b/>
          <w:bCs/>
          <w:sz w:val="24"/>
          <w:szCs w:val="24"/>
        </w:rPr>
      </w:pPr>
      <w:r w:rsidRPr="00354746">
        <w:rPr>
          <w:rFonts w:ascii="Times New Roman" w:hAnsi="Times New Roman"/>
          <w:b/>
          <w:bCs/>
          <w:sz w:val="24"/>
          <w:szCs w:val="24"/>
        </w:rPr>
        <w:t xml:space="preserve">Legal Lesson Learned: </w:t>
      </w:r>
      <w:r>
        <w:rPr>
          <w:rFonts w:ascii="Times New Roman" w:hAnsi="Times New Roman"/>
          <w:b/>
          <w:bCs/>
          <w:sz w:val="24"/>
          <w:szCs w:val="24"/>
        </w:rPr>
        <w:t xml:space="preserve">It is common in a resignation agreement to remove investigative documents from a personnel file, but Court may later require disclosure under state public records statute. </w:t>
      </w:r>
    </w:p>
    <w:p w14:paraId="3B1E3516" w14:textId="77777777" w:rsidR="00F91F9F" w:rsidRDefault="00F91F9F" w:rsidP="00F91F9F">
      <w:pPr>
        <w:ind w:left="720"/>
        <w:rPr>
          <w:rFonts w:ascii="Times New Roman" w:hAnsi="Times New Roman"/>
          <w:sz w:val="24"/>
          <w:szCs w:val="24"/>
        </w:rPr>
      </w:pPr>
      <w:r w:rsidRPr="00AB7992">
        <w:rPr>
          <w:rFonts w:ascii="Times New Roman" w:hAnsi="Times New Roman"/>
          <w:sz w:val="24"/>
          <w:szCs w:val="24"/>
        </w:rPr>
        <w:t xml:space="preserve">Note: </w:t>
      </w:r>
      <w:r>
        <w:rPr>
          <w:rFonts w:ascii="Times New Roman" w:hAnsi="Times New Roman"/>
          <w:sz w:val="24"/>
          <w:szCs w:val="24"/>
        </w:rPr>
        <w:t xml:space="preserve">Justice Hantz Marconi concurred </w:t>
      </w:r>
      <w:proofErr w:type="gramStart"/>
      <w:r>
        <w:rPr>
          <w:rFonts w:ascii="Times New Roman" w:hAnsi="Times New Roman"/>
          <w:sz w:val="24"/>
          <w:szCs w:val="24"/>
        </w:rPr>
        <w:t>in</w:t>
      </w:r>
      <w:proofErr w:type="gramEnd"/>
      <w:r>
        <w:rPr>
          <w:rFonts w:ascii="Times New Roman" w:hAnsi="Times New Roman"/>
          <w:sz w:val="24"/>
          <w:szCs w:val="24"/>
        </w:rPr>
        <w:t xml:space="preserve"> the decision, but wrote a Concurring Opinion where he stated:</w:t>
      </w:r>
    </w:p>
    <w:p w14:paraId="10E770E0" w14:textId="77777777" w:rsidR="00F91F9F" w:rsidRPr="00597B2D" w:rsidRDefault="00F91F9F" w:rsidP="00F91F9F">
      <w:pPr>
        <w:pStyle w:val="NoSpacing"/>
        <w:ind w:left="720" w:firstLine="720"/>
        <w:rPr>
          <w:rFonts w:ascii="Times New Roman" w:hAnsi="Times New Roman"/>
          <w:sz w:val="24"/>
          <w:szCs w:val="24"/>
        </w:rPr>
      </w:pPr>
      <w:r>
        <w:rPr>
          <w:rFonts w:ascii="Times New Roman" w:hAnsi="Times New Roman"/>
          <w:sz w:val="24"/>
          <w:szCs w:val="24"/>
        </w:rPr>
        <w:t>“</w:t>
      </w:r>
      <w:r w:rsidRPr="00597B2D">
        <w:rPr>
          <w:rFonts w:ascii="Times New Roman" w:hAnsi="Times New Roman"/>
          <w:sz w:val="24"/>
          <w:szCs w:val="24"/>
        </w:rPr>
        <w:t>I am concerned that the majority’s opinion takes an incremental</w:t>
      </w:r>
    </w:p>
    <w:p w14:paraId="19E1F9B9" w14:textId="77777777" w:rsidR="00F91F9F" w:rsidRPr="00597B2D" w:rsidRDefault="00F91F9F" w:rsidP="00F91F9F">
      <w:pPr>
        <w:pStyle w:val="NoSpacing"/>
        <w:ind w:left="720" w:firstLine="720"/>
        <w:rPr>
          <w:rFonts w:ascii="Times New Roman" w:hAnsi="Times New Roman"/>
          <w:sz w:val="24"/>
          <w:szCs w:val="24"/>
        </w:rPr>
      </w:pPr>
      <w:r w:rsidRPr="00597B2D">
        <w:rPr>
          <w:rFonts w:ascii="Times New Roman" w:hAnsi="Times New Roman"/>
          <w:sz w:val="24"/>
          <w:szCs w:val="24"/>
        </w:rPr>
        <w:t>step, under the facts of this case, to preclude the use of confidential</w:t>
      </w:r>
    </w:p>
    <w:p w14:paraId="0D35F877" w14:textId="77777777" w:rsidR="00F91F9F" w:rsidRPr="00597B2D" w:rsidRDefault="00F91F9F" w:rsidP="00F91F9F">
      <w:pPr>
        <w:pStyle w:val="NoSpacing"/>
        <w:ind w:left="720" w:firstLine="720"/>
        <w:rPr>
          <w:rFonts w:ascii="Times New Roman" w:hAnsi="Times New Roman"/>
          <w:sz w:val="24"/>
          <w:szCs w:val="24"/>
        </w:rPr>
      </w:pPr>
      <w:r w:rsidRPr="00597B2D">
        <w:rPr>
          <w:rFonts w:ascii="Times New Roman" w:hAnsi="Times New Roman"/>
          <w:sz w:val="24"/>
          <w:szCs w:val="24"/>
        </w:rPr>
        <w:t>settlements by governmental entities. Such agreements can serve an</w:t>
      </w:r>
    </w:p>
    <w:p w14:paraId="6A89A0EE" w14:textId="77777777" w:rsidR="00F91F9F" w:rsidRPr="00597B2D" w:rsidRDefault="00F91F9F" w:rsidP="00F91F9F">
      <w:pPr>
        <w:pStyle w:val="NoSpacing"/>
        <w:ind w:left="720" w:firstLine="720"/>
        <w:rPr>
          <w:rFonts w:ascii="Times New Roman" w:hAnsi="Times New Roman"/>
          <w:sz w:val="24"/>
          <w:szCs w:val="24"/>
        </w:rPr>
      </w:pPr>
      <w:r w:rsidRPr="00597B2D">
        <w:rPr>
          <w:rFonts w:ascii="Times New Roman" w:hAnsi="Times New Roman"/>
          <w:sz w:val="24"/>
          <w:szCs w:val="24"/>
        </w:rPr>
        <w:t>important purpose, and our developing RSA 91-A jurisprudence, along with</w:t>
      </w:r>
    </w:p>
    <w:p w14:paraId="3CEFB10A" w14:textId="77777777" w:rsidR="00F91F9F" w:rsidRPr="00597B2D" w:rsidRDefault="00F91F9F" w:rsidP="00F91F9F">
      <w:pPr>
        <w:pStyle w:val="NoSpacing"/>
        <w:ind w:left="720" w:firstLine="720"/>
        <w:rPr>
          <w:rFonts w:ascii="Times New Roman" w:hAnsi="Times New Roman"/>
          <w:sz w:val="24"/>
          <w:szCs w:val="24"/>
        </w:rPr>
      </w:pPr>
      <w:r w:rsidRPr="00597B2D">
        <w:rPr>
          <w:rFonts w:ascii="Times New Roman" w:hAnsi="Times New Roman"/>
          <w:sz w:val="24"/>
          <w:szCs w:val="24"/>
        </w:rPr>
        <w:t>other record retention policies, may reduce or eliminate the availability of this</w:t>
      </w:r>
    </w:p>
    <w:p w14:paraId="526799A9" w14:textId="77777777" w:rsidR="00F91F9F" w:rsidRPr="00597B2D" w:rsidRDefault="00F91F9F" w:rsidP="00F91F9F">
      <w:pPr>
        <w:pStyle w:val="NoSpacing"/>
        <w:ind w:left="720" w:firstLine="720"/>
        <w:rPr>
          <w:rFonts w:ascii="Times New Roman" w:hAnsi="Times New Roman"/>
          <w:sz w:val="24"/>
          <w:szCs w:val="24"/>
        </w:rPr>
      </w:pPr>
      <w:r w:rsidRPr="00597B2D">
        <w:rPr>
          <w:rFonts w:ascii="Times New Roman" w:hAnsi="Times New Roman"/>
          <w:sz w:val="24"/>
          <w:szCs w:val="24"/>
        </w:rPr>
        <w:t>device. Restrictions on confidential settlement agreements with respect to</w:t>
      </w:r>
    </w:p>
    <w:p w14:paraId="6B7EB7BE" w14:textId="77777777" w:rsidR="00F91F9F" w:rsidRPr="00597B2D" w:rsidRDefault="00F91F9F" w:rsidP="00F91F9F">
      <w:pPr>
        <w:pStyle w:val="NoSpacing"/>
        <w:ind w:left="720" w:firstLine="720"/>
        <w:rPr>
          <w:rFonts w:ascii="Times New Roman" w:hAnsi="Times New Roman"/>
          <w:sz w:val="24"/>
          <w:szCs w:val="24"/>
        </w:rPr>
      </w:pPr>
      <w:r w:rsidRPr="00597B2D">
        <w:rPr>
          <w:rFonts w:ascii="Times New Roman" w:hAnsi="Times New Roman"/>
          <w:sz w:val="24"/>
          <w:szCs w:val="24"/>
        </w:rPr>
        <w:t>public employees, and in particular, law enforcement officers, raise policy</w:t>
      </w:r>
    </w:p>
    <w:p w14:paraId="775BDB92" w14:textId="77777777" w:rsidR="00F91F9F" w:rsidRPr="00597B2D" w:rsidRDefault="00F91F9F" w:rsidP="00F91F9F">
      <w:pPr>
        <w:pStyle w:val="NoSpacing"/>
        <w:ind w:left="1440"/>
        <w:rPr>
          <w:rFonts w:ascii="Times New Roman" w:hAnsi="Times New Roman"/>
          <w:sz w:val="24"/>
          <w:szCs w:val="24"/>
        </w:rPr>
      </w:pPr>
      <w:r w:rsidRPr="00597B2D">
        <w:rPr>
          <w:rFonts w:ascii="Times New Roman" w:hAnsi="Times New Roman"/>
          <w:sz w:val="24"/>
          <w:szCs w:val="24"/>
        </w:rPr>
        <w:t>considerations beyond the outcome of this case.</w:t>
      </w:r>
      <w:r>
        <w:rPr>
          <w:rFonts w:ascii="Times New Roman" w:hAnsi="Times New Roman"/>
          <w:sz w:val="24"/>
          <w:szCs w:val="24"/>
        </w:rPr>
        <w:t xml:space="preserve">” </w:t>
      </w:r>
      <w:hyperlink r:id="rId2624" w:history="1">
        <w:r w:rsidRPr="0090046C">
          <w:rPr>
            <w:rStyle w:val="Hyperlink"/>
            <w:rFonts w:ascii="Times New Roman" w:hAnsi="Times New Roman"/>
            <w:sz w:val="24"/>
            <w:szCs w:val="24"/>
          </w:rPr>
          <w:t>https://www.courts.nh.gov/sites/g/files/ehbemt471/files/documents/2024-03/20230083stone.pdf</w:t>
        </w:r>
      </w:hyperlink>
      <w:r>
        <w:rPr>
          <w:rFonts w:ascii="Times New Roman" w:hAnsi="Times New Roman"/>
          <w:sz w:val="24"/>
          <w:szCs w:val="24"/>
        </w:rPr>
        <w:t xml:space="preserve"> </w:t>
      </w:r>
    </w:p>
    <w:p w14:paraId="1A037171" w14:textId="77777777" w:rsidR="00F91F9F" w:rsidRDefault="00F91F9F" w:rsidP="00F91F9F">
      <w:pPr>
        <w:ind w:left="720"/>
        <w:rPr>
          <w:rFonts w:ascii="Times New Roman" w:hAnsi="Times New Roman"/>
          <w:sz w:val="24"/>
          <w:szCs w:val="24"/>
        </w:rPr>
      </w:pPr>
    </w:p>
    <w:p w14:paraId="1123CA34" w14:textId="77777777" w:rsidR="00F91F9F" w:rsidRPr="00AB7992" w:rsidRDefault="00F91F9F" w:rsidP="00F91F9F">
      <w:pPr>
        <w:ind w:left="1440"/>
        <w:rPr>
          <w:rFonts w:ascii="Times New Roman" w:hAnsi="Times New Roman"/>
          <w:sz w:val="24"/>
          <w:szCs w:val="24"/>
        </w:rPr>
      </w:pPr>
      <w:r w:rsidRPr="00AB7992">
        <w:rPr>
          <w:rFonts w:ascii="Times New Roman" w:hAnsi="Times New Roman"/>
          <w:sz w:val="24"/>
          <w:szCs w:val="24"/>
        </w:rPr>
        <w:t xml:space="preserve">See March 20, </w:t>
      </w:r>
      <w:proofErr w:type="gramStart"/>
      <w:r w:rsidRPr="00AB7992">
        <w:rPr>
          <w:rFonts w:ascii="Times New Roman" w:hAnsi="Times New Roman"/>
          <w:sz w:val="24"/>
          <w:szCs w:val="24"/>
        </w:rPr>
        <w:t>2024</w:t>
      </w:r>
      <w:proofErr w:type="gramEnd"/>
      <w:r w:rsidRPr="00AB7992">
        <w:rPr>
          <w:rFonts w:ascii="Times New Roman" w:hAnsi="Times New Roman"/>
          <w:sz w:val="24"/>
          <w:szCs w:val="24"/>
        </w:rPr>
        <w:t xml:space="preserve"> article, “Court denies ex-officer’s attempt to block records’ release.” </w:t>
      </w:r>
      <w:hyperlink r:id="rId2625" w:history="1">
        <w:r w:rsidRPr="0090046C">
          <w:rPr>
            <w:rStyle w:val="Hyperlink"/>
            <w:rFonts w:ascii="Times New Roman" w:hAnsi="Times New Roman"/>
            <w:sz w:val="24"/>
            <w:szCs w:val="24"/>
          </w:rPr>
          <w:t>https://www.vnews.com/Jonathan-Stone-loses-his-appeal-to-state-supreme-court-to-keep-personnel-records-private-54453646</w:t>
        </w:r>
      </w:hyperlink>
      <w:r>
        <w:rPr>
          <w:rFonts w:ascii="Times New Roman" w:hAnsi="Times New Roman"/>
          <w:sz w:val="24"/>
          <w:szCs w:val="24"/>
        </w:rPr>
        <w:t xml:space="preserve"> </w:t>
      </w:r>
    </w:p>
    <w:p w14:paraId="2510F1AD" w14:textId="77777777" w:rsidR="00F91F9F" w:rsidRDefault="00F91F9F" w:rsidP="00F91F9F">
      <w:pPr>
        <w:pStyle w:val="NormalWeb"/>
        <w:spacing w:before="0" w:beforeAutospacing="0"/>
        <w:ind w:left="1440"/>
      </w:pPr>
      <w:r>
        <w:t>“In a decision that could ripple across the law enforcement community around the state, the New Hampshire Supreme Court has ruled that a former Claremont officer and current state legislator’s disciplinary records relating to his time as a police officer for the city can be released to the public.”</w:t>
      </w:r>
    </w:p>
    <w:p w14:paraId="161449F3" w14:textId="77777777" w:rsidR="00F91F9F" w:rsidRDefault="00F91F9F" w:rsidP="00F91F9F">
      <w:pPr>
        <w:pStyle w:val="Heading1"/>
        <w:ind w:left="1440"/>
        <w:rPr>
          <w:sz w:val="24"/>
          <w:szCs w:val="24"/>
        </w:rPr>
      </w:pPr>
      <w:r w:rsidRPr="00EE2C86">
        <w:rPr>
          <w:sz w:val="24"/>
          <w:szCs w:val="24"/>
        </w:rPr>
        <w:t xml:space="preserve">See also Nov. 14, </w:t>
      </w:r>
      <w:proofErr w:type="gramStart"/>
      <w:r w:rsidRPr="00EE2C86">
        <w:rPr>
          <w:sz w:val="24"/>
          <w:szCs w:val="24"/>
        </w:rPr>
        <w:t>2023</w:t>
      </w:r>
      <w:proofErr w:type="gramEnd"/>
      <w:r w:rsidRPr="00EE2C86">
        <w:rPr>
          <w:sz w:val="24"/>
          <w:szCs w:val="24"/>
        </w:rPr>
        <w:t xml:space="preserve"> article, “Rep. Jon Stone’s Records </w:t>
      </w:r>
      <w:proofErr w:type="gramStart"/>
      <w:r w:rsidRPr="00EE2C86">
        <w:rPr>
          <w:sz w:val="24"/>
          <w:szCs w:val="24"/>
        </w:rPr>
        <w:t>As</w:t>
      </w:r>
      <w:proofErr w:type="gramEnd"/>
      <w:r w:rsidRPr="00EE2C86">
        <w:rPr>
          <w:sz w:val="24"/>
          <w:szCs w:val="24"/>
        </w:rPr>
        <w:t xml:space="preserve"> a Cop Are Humiliating, Lawyer Tells NH Supreme Court.”</w:t>
      </w:r>
      <w:r>
        <w:rPr>
          <w:sz w:val="24"/>
          <w:szCs w:val="24"/>
        </w:rPr>
        <w:t xml:space="preserve"> </w:t>
      </w:r>
      <w:hyperlink r:id="rId2626" w:history="1">
        <w:r w:rsidRPr="0090046C">
          <w:rPr>
            <w:rStyle w:val="Hyperlink"/>
            <w:sz w:val="24"/>
            <w:szCs w:val="24"/>
          </w:rPr>
          <w:t>https://indepthnh.org/2023/11/14/rep-jon-stones-records-as-a-cop-are-humiliating-lawyer-tells-nh-supreme-court/</w:t>
        </w:r>
      </w:hyperlink>
      <w:r>
        <w:rPr>
          <w:sz w:val="24"/>
          <w:szCs w:val="24"/>
        </w:rPr>
        <w:t xml:space="preserve"> </w:t>
      </w:r>
    </w:p>
    <w:p w14:paraId="2365A96C" w14:textId="77777777" w:rsidR="00F91F9F" w:rsidRDefault="00F91F9F" w:rsidP="00F91F9F">
      <w:pPr>
        <w:pStyle w:val="NormalWeb"/>
        <w:ind w:left="1440"/>
      </w:pPr>
      <w:r>
        <w:t>“Whatever is in the Claremont Police Department’s internal affairs records that state Rep. Jon Stone is trying to hide from the public, it’s bad, his lawyer told the New Hampshire Supreme Court on Tuesday.  ‘It will embarrass and humiliate my client, and it will embarrass and humiliate multiple people in the city of Claremont,</w:t>
      </w:r>
      <w:proofErr w:type="gramStart"/>
      <w:r>
        <w:t>’ attorney Peter DeCato said</w:t>
      </w:r>
      <w:proofErr w:type="gramEnd"/>
      <w:r>
        <w:t>. *** After Stone left the department, then Police Chief Alex Scott would subsequently file a Form B with the New Hampshire Police Standards and Training Council informing the council Stone was terminated for reasons of moral turpitude.”</w:t>
      </w:r>
    </w:p>
    <w:p w14:paraId="0E216C47" w14:textId="77777777" w:rsidR="00F91F9F" w:rsidRDefault="00F91F9F" w:rsidP="00F91F9F">
      <w:pPr>
        <w:spacing w:before="100" w:beforeAutospacing="1" w:after="100" w:afterAutospacing="1" w:line="240" w:lineRule="auto"/>
        <w:outlineLvl w:val="0"/>
        <w:rPr>
          <w:rFonts w:ascii="Times New Roman" w:hAnsi="Times New Roman"/>
          <w:sz w:val="24"/>
          <w:szCs w:val="24"/>
        </w:rPr>
      </w:pPr>
    </w:p>
    <w:p w14:paraId="3343A3AE" w14:textId="77777777" w:rsidR="00F91F9F" w:rsidRDefault="00F91F9F" w:rsidP="00F91F9F">
      <w:pPr>
        <w:spacing w:before="100" w:beforeAutospacing="1" w:after="100" w:afterAutospacing="1" w:line="240" w:lineRule="auto"/>
        <w:outlineLvl w:val="0"/>
        <w:rPr>
          <w:rFonts w:ascii="Times New Roman" w:hAnsi="Times New Roman"/>
          <w:sz w:val="24"/>
          <w:szCs w:val="24"/>
        </w:rPr>
      </w:pPr>
    </w:p>
    <w:p w14:paraId="44EB136A" w14:textId="77777777" w:rsidR="00F91F9F" w:rsidRDefault="00F91F9F" w:rsidP="00F91F9F">
      <w:pPr>
        <w:spacing w:before="100" w:beforeAutospacing="1" w:after="100" w:afterAutospacing="1" w:line="240" w:lineRule="auto"/>
        <w:outlineLvl w:val="0"/>
        <w:rPr>
          <w:rFonts w:ascii="Times New Roman" w:hAnsi="Times New Roman"/>
          <w:sz w:val="24"/>
          <w:szCs w:val="24"/>
        </w:rPr>
      </w:pPr>
    </w:p>
    <w:p w14:paraId="38FD1E4C" w14:textId="581332B8" w:rsidR="00F91F9F" w:rsidRDefault="00F91F9F" w:rsidP="00F91F9F">
      <w:pPr>
        <w:pStyle w:val="NoSpacing"/>
        <w:rPr>
          <w:rFonts w:ascii="Arial Black" w:hAnsi="Arial Black"/>
          <w:sz w:val="24"/>
          <w:szCs w:val="24"/>
        </w:rPr>
      </w:pPr>
      <w:r>
        <w:rPr>
          <w:rFonts w:ascii="Arial Black" w:hAnsi="Arial Black"/>
          <w:sz w:val="24"/>
          <w:szCs w:val="24"/>
        </w:rPr>
        <w:t>16-106</w:t>
      </w:r>
    </w:p>
    <w:p w14:paraId="11B4A05B" w14:textId="4FE9DF47" w:rsidR="00F91F9F" w:rsidRPr="004B4468" w:rsidRDefault="00F91F9F" w:rsidP="00F91F9F">
      <w:pPr>
        <w:spacing w:before="100" w:beforeAutospacing="1" w:after="100" w:afterAutospacing="1" w:line="240" w:lineRule="auto"/>
        <w:outlineLvl w:val="0"/>
        <w:rPr>
          <w:rFonts w:ascii="Arial Black" w:hAnsi="Arial Black"/>
          <w:sz w:val="28"/>
          <w:szCs w:val="28"/>
        </w:rPr>
      </w:pPr>
      <w:r>
        <w:rPr>
          <w:rFonts w:ascii="Arial Black" w:hAnsi="Arial Black"/>
          <w:sz w:val="28"/>
          <w:szCs w:val="28"/>
        </w:rPr>
        <w:t xml:space="preserve">WI: CIVIL UNREST – FF ORDERED TO EVACUATE STATION TO ANOTHER STATION – SAYS MIGHT “LAY UP” – FIRED </w:t>
      </w:r>
    </w:p>
    <w:p w14:paraId="59788AD7" w14:textId="77777777" w:rsidR="00F91F9F" w:rsidRDefault="00F91F9F" w:rsidP="00F91F9F">
      <w:pPr>
        <w:spacing w:before="100" w:beforeAutospacing="1" w:after="100" w:afterAutospacing="1" w:line="240" w:lineRule="auto"/>
        <w:outlineLvl w:val="0"/>
        <w:rPr>
          <w:rFonts w:ascii="Times New Roman" w:hAnsi="Times New Roman"/>
          <w:sz w:val="24"/>
          <w:szCs w:val="24"/>
        </w:rPr>
      </w:pPr>
      <w:proofErr w:type="gramStart"/>
      <w:r>
        <w:rPr>
          <w:rFonts w:ascii="Times New Roman" w:hAnsi="Times New Roman"/>
          <w:sz w:val="24"/>
          <w:szCs w:val="24"/>
        </w:rPr>
        <w:t>On March</w:t>
      </w:r>
      <w:proofErr w:type="gramEnd"/>
      <w:r>
        <w:rPr>
          <w:rFonts w:ascii="Times New Roman" w:hAnsi="Times New Roman"/>
          <w:sz w:val="24"/>
          <w:szCs w:val="24"/>
        </w:rPr>
        <w:t xml:space="preserve"> 5, 2024, </w:t>
      </w:r>
      <w:r w:rsidRPr="00577C94">
        <w:rPr>
          <w:rFonts w:ascii="Times New Roman" w:hAnsi="Times New Roman"/>
          <w:sz w:val="24"/>
          <w:szCs w:val="24"/>
          <w:u w:val="single"/>
        </w:rPr>
        <w:t>in Michael. S. Peden v. City of Milwaukee Board of Fire and Police Commissioners</w:t>
      </w:r>
      <w:r>
        <w:rPr>
          <w:rFonts w:ascii="Times New Roman" w:hAnsi="Times New Roman"/>
          <w:sz w:val="24"/>
          <w:szCs w:val="24"/>
        </w:rPr>
        <w:t xml:space="preserve">, the Court of Appeals of Wisconsin, District I, held (3 to 0; unpublished decision) that the Board properly upheld the termination after a fair hearing. </w:t>
      </w:r>
      <w:r w:rsidRPr="006D4804">
        <w:rPr>
          <w:rFonts w:ascii="Times New Roman" w:hAnsi="Times New Roman"/>
          <w:sz w:val="24"/>
          <w:szCs w:val="24"/>
        </w:rPr>
        <w:t>Peden explained that he believed that</w:t>
      </w:r>
      <w:r>
        <w:rPr>
          <w:rFonts w:ascii="Times New Roman" w:hAnsi="Times New Roman"/>
          <w:sz w:val="24"/>
          <w:szCs w:val="24"/>
        </w:rPr>
        <w:t xml:space="preserve"> another firefighter</w:t>
      </w:r>
      <w:r w:rsidRPr="006D4804">
        <w:rPr>
          <w:rFonts w:ascii="Times New Roman" w:hAnsi="Times New Roman"/>
          <w:sz w:val="24"/>
          <w:szCs w:val="24"/>
        </w:rPr>
        <w:t>, who had allegedly framed him in a past sexual assault case, was scheduled to be working at the other station</w:t>
      </w:r>
      <w:r>
        <w:rPr>
          <w:rFonts w:ascii="Times New Roman" w:hAnsi="Times New Roman"/>
          <w:sz w:val="24"/>
          <w:szCs w:val="24"/>
        </w:rPr>
        <w:t xml:space="preserve">; he never claimed he was actual ill. </w:t>
      </w:r>
    </w:p>
    <w:p w14:paraId="23D7E072" w14:textId="77777777" w:rsidR="004305B6" w:rsidRPr="004C0299" w:rsidRDefault="004305B6" w:rsidP="004305B6">
      <w:pPr>
        <w:pStyle w:val="NoSpacing"/>
        <w:rPr>
          <w:rFonts w:ascii="Times New Roman" w:hAnsi="Times New Roman"/>
          <w:sz w:val="24"/>
          <w:szCs w:val="24"/>
        </w:rPr>
      </w:pPr>
      <w:r>
        <w:rPr>
          <w:rFonts w:ascii="Times New Roman" w:hAnsi="Times New Roman"/>
          <w:sz w:val="24"/>
          <w:szCs w:val="24"/>
          <w:shd w:val="clear" w:color="auto" w:fill="FFFFFF"/>
        </w:rPr>
        <w:t>THE COURT HELD:</w:t>
      </w:r>
    </w:p>
    <w:p w14:paraId="00733466" w14:textId="77777777" w:rsidR="00F91F9F" w:rsidRPr="00792421" w:rsidRDefault="00F91F9F" w:rsidP="00F91F9F">
      <w:pPr>
        <w:spacing w:before="100" w:beforeAutospacing="1" w:after="100" w:afterAutospacing="1" w:line="240" w:lineRule="auto"/>
        <w:ind w:left="720"/>
        <w:outlineLvl w:val="0"/>
        <w:rPr>
          <w:rFonts w:ascii="Times New Roman" w:hAnsi="Times New Roman"/>
          <w:sz w:val="24"/>
          <w:szCs w:val="24"/>
        </w:rPr>
      </w:pPr>
      <w:r>
        <w:t>“</w:t>
      </w:r>
      <w:r w:rsidRPr="00792421">
        <w:rPr>
          <w:rFonts w:ascii="Times New Roman" w:hAnsi="Times New Roman"/>
          <w:sz w:val="24"/>
          <w:szCs w:val="24"/>
        </w:rPr>
        <w:t>The Board heard testimony from multiple witnesses, including Assistant Chief Aaron Lipski, Peden, Rebecca Coffee-Peden's former defense attorney who represented him in the sexual assault case-and psychotherapist Jay Schrinsky, who opined that Peden suffers from posttraumatic stress disorder (PTSD) stemming from the sexual assault case. The Board unanimously concluded that Peden should be terminated.</w:t>
      </w:r>
    </w:p>
    <w:p w14:paraId="5EADDBCF" w14:textId="77777777" w:rsidR="00F91F9F" w:rsidRDefault="00F91F9F" w:rsidP="00F91F9F">
      <w:pPr>
        <w:pStyle w:val="NormalWeb"/>
        <w:ind w:left="720"/>
      </w:pPr>
      <w:r>
        <w:t>***</w:t>
      </w:r>
    </w:p>
    <w:p w14:paraId="4ED67B3A" w14:textId="77777777" w:rsidR="00F91F9F" w:rsidRDefault="00F91F9F" w:rsidP="00F91F9F">
      <w:pPr>
        <w:pStyle w:val="NormalWeb"/>
        <w:ind w:left="720"/>
      </w:pPr>
      <w:r>
        <w:t>In this case, Peden was terminated for his refusal to comply with a direct order to transfer to a different station for the duration of his shift during civil unrest. As the City argued in closing at the administrative hearing, ‘[t]his case boils down to was [Peden] given a direct order? Was he capable of following that direct order? Did he choose not to follow that direct order?’ The circumstances surrounding the sexual assault case against Peden were not relevant.</w:t>
      </w:r>
    </w:p>
    <w:p w14:paraId="15423C03" w14:textId="77777777" w:rsidR="00F91F9F" w:rsidRDefault="00F91F9F" w:rsidP="00F91F9F">
      <w:pPr>
        <w:pStyle w:val="NormalWeb"/>
        <w:ind w:left="720"/>
      </w:pPr>
      <w:r>
        <w:t>***</w:t>
      </w:r>
    </w:p>
    <w:p w14:paraId="2904EDB2" w14:textId="77777777" w:rsidR="00F91F9F" w:rsidRDefault="00F91F9F" w:rsidP="00F91F9F">
      <w:pPr>
        <w:pStyle w:val="NormalWeb"/>
        <w:ind w:left="720"/>
      </w:pPr>
      <w:r w:rsidRPr="00DC5CF1">
        <w:t>Footnote 1:  In 2017, Peden was charged with second-degree sexual assault of another firefighter, Aleah Ellis. Jason Strzelecki, also a firefighter and Ellis's then-boyfriend, was interviewed in the investigation. In 2019, the criminal case was dismissed.</w:t>
      </w:r>
      <w:r>
        <w:t xml:space="preserve">”  </w:t>
      </w:r>
      <w:hyperlink r:id="rId2627" w:history="1">
        <w:r w:rsidRPr="0090149E">
          <w:rPr>
            <w:rStyle w:val="Hyperlink"/>
          </w:rPr>
          <w:t>https://public.fastcase.com/H1P9uiW3J20SFp%2BGCG%2BxLYnumIVIfsGACQtvjphi2XY03JuMe7fj8LYdA6mgqlK3BbmtQ%2FoJ5o3JnUu66xez4U0Yi6wQOqSsnYT7%2FU1%2BNuI%3D?utm_medium=email&amp;_hsmi=226712652&amp;_hsenc=p2ANqtz-_mOZCnm_LbXEmI1zB76drE4EDUF13YglxTvTeEnBHhjbPE-34_IMopnnbUF8mE8HxS5G0Ftb4dM_ZSxt2dhhqJsyxB9A&amp;utm_content=226712652&amp;utm_source=hs_email</w:t>
        </w:r>
      </w:hyperlink>
      <w:r>
        <w:t xml:space="preserve"> </w:t>
      </w:r>
    </w:p>
    <w:p w14:paraId="63E9E340" w14:textId="77777777" w:rsidR="00F91F9F" w:rsidRDefault="00F91F9F" w:rsidP="00F91F9F">
      <w:pPr>
        <w:spacing w:before="100" w:beforeAutospacing="1" w:after="100" w:afterAutospacing="1" w:line="240" w:lineRule="auto"/>
        <w:outlineLvl w:val="0"/>
        <w:rPr>
          <w:rFonts w:ascii="Times New Roman" w:hAnsi="Times New Roman"/>
          <w:b/>
          <w:bCs/>
          <w:sz w:val="24"/>
          <w:szCs w:val="24"/>
        </w:rPr>
      </w:pPr>
      <w:r w:rsidRPr="00122C10">
        <w:rPr>
          <w:rFonts w:ascii="Times New Roman" w:hAnsi="Times New Roman"/>
          <w:b/>
          <w:bCs/>
          <w:sz w:val="24"/>
          <w:szCs w:val="24"/>
        </w:rPr>
        <w:t>Legal Lesson Learned:</w:t>
      </w:r>
      <w:r>
        <w:rPr>
          <w:rFonts w:ascii="Times New Roman" w:hAnsi="Times New Roman"/>
          <w:b/>
          <w:bCs/>
          <w:sz w:val="24"/>
          <w:szCs w:val="24"/>
        </w:rPr>
        <w:t xml:space="preserve"> Violating a direct order can be basis for termination, particularly in a period of civil unrest where fire stations were being evacuated to protect the firefighters. </w:t>
      </w:r>
    </w:p>
    <w:p w14:paraId="0C2612DC" w14:textId="77777777" w:rsidR="00F91F9F" w:rsidRDefault="00F91F9F" w:rsidP="00F326E5">
      <w:pPr>
        <w:pStyle w:val="NoSpacing"/>
        <w:rPr>
          <w:rFonts w:ascii="Arial Black" w:hAnsi="Arial Black"/>
          <w:sz w:val="24"/>
          <w:szCs w:val="24"/>
        </w:rPr>
      </w:pPr>
    </w:p>
    <w:p w14:paraId="530D1534" w14:textId="77777777" w:rsidR="00F91F9F" w:rsidRDefault="00F91F9F" w:rsidP="00F326E5">
      <w:pPr>
        <w:pStyle w:val="NoSpacing"/>
        <w:rPr>
          <w:rFonts w:ascii="Arial Black" w:hAnsi="Arial Black"/>
          <w:sz w:val="24"/>
          <w:szCs w:val="24"/>
        </w:rPr>
      </w:pPr>
    </w:p>
    <w:p w14:paraId="0BA43EA7" w14:textId="77777777" w:rsidR="00F91F9F" w:rsidRDefault="00F91F9F" w:rsidP="00F326E5">
      <w:pPr>
        <w:pStyle w:val="NoSpacing"/>
        <w:rPr>
          <w:rFonts w:ascii="Arial Black" w:hAnsi="Arial Black"/>
          <w:sz w:val="24"/>
          <w:szCs w:val="24"/>
        </w:rPr>
      </w:pPr>
    </w:p>
    <w:p w14:paraId="377CCFDE" w14:textId="77777777" w:rsidR="00F91F9F" w:rsidRDefault="00F91F9F" w:rsidP="00F326E5">
      <w:pPr>
        <w:pStyle w:val="NoSpacing"/>
        <w:rPr>
          <w:rFonts w:ascii="Arial Black" w:hAnsi="Arial Black"/>
          <w:sz w:val="24"/>
          <w:szCs w:val="24"/>
        </w:rPr>
      </w:pPr>
    </w:p>
    <w:p w14:paraId="552C734D" w14:textId="37043548" w:rsidR="00D1090F" w:rsidRDefault="00D1090F" w:rsidP="00F326E5">
      <w:pPr>
        <w:pStyle w:val="NoSpacing"/>
        <w:rPr>
          <w:rFonts w:ascii="Arial Black" w:hAnsi="Arial Black"/>
          <w:sz w:val="24"/>
          <w:szCs w:val="24"/>
        </w:rPr>
      </w:pPr>
      <w:r>
        <w:rPr>
          <w:rFonts w:ascii="Arial Black" w:hAnsi="Arial Black"/>
          <w:sz w:val="24"/>
          <w:szCs w:val="24"/>
        </w:rPr>
        <w:t>16-105</w:t>
      </w:r>
    </w:p>
    <w:p w14:paraId="000C4F3D" w14:textId="77777777" w:rsidR="006E77A8" w:rsidRPr="00D26276" w:rsidRDefault="006E77A8" w:rsidP="006E77A8">
      <w:pPr>
        <w:spacing w:before="100" w:beforeAutospacing="1" w:after="100" w:afterAutospacing="1"/>
        <w:outlineLvl w:val="0"/>
        <w:rPr>
          <w:rFonts w:ascii="Arial Black" w:eastAsia="Times New Roman" w:hAnsi="Arial Black"/>
          <w:b/>
          <w:bCs/>
          <w:kern w:val="36"/>
          <w:sz w:val="28"/>
          <w:szCs w:val="28"/>
        </w:rPr>
      </w:pPr>
      <w:r>
        <w:rPr>
          <w:rFonts w:ascii="Arial Black" w:eastAsia="Times New Roman" w:hAnsi="Arial Black"/>
          <w:b/>
          <w:bCs/>
          <w:kern w:val="36"/>
          <w:sz w:val="28"/>
          <w:szCs w:val="28"/>
        </w:rPr>
        <w:lastRenderedPageBreak/>
        <w:t>OH: CINCINNATI FIRE CHIEF WAS FIRED – NOT “AT WILL” AFTER 6 MO. PROB. - ONLY “FOR CAUSE” – CASE PROCEED</w:t>
      </w:r>
    </w:p>
    <w:p w14:paraId="7348841D" w14:textId="77777777" w:rsidR="006E77A8" w:rsidRDefault="006E77A8" w:rsidP="006E77A8">
      <w:pPr>
        <w:pStyle w:val="NoSpacing"/>
        <w:rPr>
          <w:rFonts w:ascii="Times New Roman" w:hAnsi="Times New Roman"/>
          <w:sz w:val="24"/>
          <w:szCs w:val="24"/>
        </w:rPr>
      </w:pPr>
      <w:r>
        <w:rPr>
          <w:rFonts w:ascii="Times New Roman" w:hAnsi="Times New Roman"/>
          <w:sz w:val="24"/>
          <w:szCs w:val="24"/>
        </w:rPr>
        <w:t xml:space="preserve">On Feb. 7, 2023, in </w:t>
      </w:r>
      <w:r w:rsidRPr="00DC5906">
        <w:rPr>
          <w:rFonts w:ascii="Times New Roman" w:hAnsi="Times New Roman"/>
          <w:sz w:val="24"/>
          <w:szCs w:val="24"/>
          <w:u w:val="single"/>
        </w:rPr>
        <w:t>Michael Washington v. City of Cincinnati and Sheryl Long</w:t>
      </w:r>
      <w:r>
        <w:rPr>
          <w:rFonts w:ascii="Times New Roman" w:hAnsi="Times New Roman"/>
          <w:sz w:val="24"/>
          <w:szCs w:val="24"/>
        </w:rPr>
        <w:t>, U.S. District Court Judge Douglas R. Cole, U.S. District Court for Southern District of Ohio (Western Division) denied Citty’s motion for dismissal; finding that “</w:t>
      </w:r>
      <w:r w:rsidRPr="00945D7C">
        <w:rPr>
          <w:rFonts w:ascii="Times New Roman" w:hAnsi="Times New Roman"/>
          <w:sz w:val="24"/>
          <w:szCs w:val="24"/>
        </w:rPr>
        <w:t>Washington has validly pleaded claims for state and federal due process</w:t>
      </w:r>
      <w:r>
        <w:rPr>
          <w:rFonts w:ascii="Times New Roman" w:hAnsi="Times New Roman"/>
          <w:sz w:val="24"/>
          <w:szCs w:val="24"/>
        </w:rPr>
        <w:t xml:space="preserve"> </w:t>
      </w:r>
      <w:r w:rsidRPr="00945D7C">
        <w:rPr>
          <w:rFonts w:ascii="Times New Roman" w:hAnsi="Times New Roman"/>
          <w:sz w:val="24"/>
          <w:szCs w:val="24"/>
        </w:rPr>
        <w:t>violations, defamation, and entitlement to declaratory relief. Furthermore, based on</w:t>
      </w:r>
      <w:r>
        <w:rPr>
          <w:rFonts w:ascii="Times New Roman" w:hAnsi="Times New Roman"/>
          <w:sz w:val="24"/>
          <w:szCs w:val="24"/>
        </w:rPr>
        <w:t xml:space="preserve"> </w:t>
      </w:r>
      <w:r w:rsidRPr="00945D7C">
        <w:rPr>
          <w:rFonts w:ascii="Times New Roman" w:hAnsi="Times New Roman"/>
          <w:sz w:val="24"/>
          <w:szCs w:val="24"/>
        </w:rPr>
        <w:t xml:space="preserve">the allegations in the Amended Complaint, </w:t>
      </w:r>
      <w:r>
        <w:rPr>
          <w:rFonts w:ascii="Times New Roman" w:hAnsi="Times New Roman"/>
          <w:sz w:val="24"/>
          <w:szCs w:val="24"/>
        </w:rPr>
        <w:t>[City Mgr.]</w:t>
      </w:r>
      <w:r w:rsidRPr="00945D7C">
        <w:rPr>
          <w:rFonts w:ascii="Times New Roman" w:hAnsi="Times New Roman"/>
          <w:sz w:val="24"/>
          <w:szCs w:val="24"/>
        </w:rPr>
        <w:t>Long cannot rely on either qualified or</w:t>
      </w:r>
      <w:r>
        <w:rPr>
          <w:rFonts w:ascii="Times New Roman" w:hAnsi="Times New Roman"/>
          <w:sz w:val="24"/>
          <w:szCs w:val="24"/>
        </w:rPr>
        <w:t xml:space="preserve"> </w:t>
      </w:r>
      <w:r w:rsidRPr="00945D7C">
        <w:rPr>
          <w:rFonts w:ascii="Times New Roman" w:hAnsi="Times New Roman"/>
          <w:sz w:val="24"/>
          <w:szCs w:val="24"/>
        </w:rPr>
        <w:t>state-law immunity to extinguish the individual-capacity claims against her.</w:t>
      </w:r>
      <w:r>
        <w:rPr>
          <w:rFonts w:ascii="Times New Roman" w:hAnsi="Times New Roman"/>
          <w:sz w:val="24"/>
          <w:szCs w:val="24"/>
        </w:rPr>
        <w:t xml:space="preserve">” </w:t>
      </w:r>
    </w:p>
    <w:p w14:paraId="40014C24" w14:textId="77777777" w:rsidR="006E77A8" w:rsidRDefault="006E77A8" w:rsidP="006E77A8">
      <w:pPr>
        <w:pStyle w:val="NoSpacing"/>
        <w:rPr>
          <w:rFonts w:ascii="Times New Roman" w:hAnsi="Times New Roman"/>
          <w:sz w:val="24"/>
          <w:szCs w:val="24"/>
        </w:rPr>
      </w:pPr>
    </w:p>
    <w:p w14:paraId="0CD2CF15" w14:textId="77777777" w:rsidR="006E77A8" w:rsidRDefault="006E77A8" w:rsidP="006E77A8">
      <w:pPr>
        <w:pStyle w:val="NoSpacing"/>
        <w:rPr>
          <w:rFonts w:ascii="Times New Roman" w:hAnsi="Times New Roman"/>
          <w:sz w:val="24"/>
          <w:szCs w:val="24"/>
        </w:rPr>
      </w:pPr>
      <w:r>
        <w:rPr>
          <w:rFonts w:ascii="Times New Roman" w:hAnsi="Times New Roman"/>
          <w:sz w:val="24"/>
          <w:szCs w:val="24"/>
        </w:rPr>
        <w:t>The Court held:</w:t>
      </w:r>
    </w:p>
    <w:p w14:paraId="0E5F0F7B" w14:textId="77777777" w:rsidR="006E77A8" w:rsidRDefault="006E77A8" w:rsidP="006E77A8">
      <w:pPr>
        <w:pStyle w:val="NoSpacing"/>
        <w:ind w:firstLine="720"/>
        <w:rPr>
          <w:rFonts w:ascii="Times New Roman" w:hAnsi="Times New Roman"/>
          <w:sz w:val="24"/>
          <w:szCs w:val="24"/>
        </w:rPr>
      </w:pPr>
    </w:p>
    <w:p w14:paraId="6FE193A8" w14:textId="77777777" w:rsidR="006E77A8" w:rsidRPr="00D26276" w:rsidRDefault="006E77A8" w:rsidP="006E77A8">
      <w:pPr>
        <w:pStyle w:val="NoSpacing"/>
        <w:ind w:firstLine="720"/>
        <w:rPr>
          <w:rFonts w:ascii="Times New Roman" w:hAnsi="Times New Roman"/>
          <w:sz w:val="24"/>
          <w:szCs w:val="24"/>
        </w:rPr>
      </w:pPr>
      <w:r>
        <w:rPr>
          <w:rFonts w:ascii="Times New Roman" w:hAnsi="Times New Roman"/>
          <w:sz w:val="24"/>
          <w:szCs w:val="24"/>
        </w:rPr>
        <w:t>“</w:t>
      </w:r>
      <w:r w:rsidRPr="00D26276">
        <w:rPr>
          <w:rFonts w:ascii="Times New Roman" w:hAnsi="Times New Roman"/>
          <w:sz w:val="24"/>
          <w:szCs w:val="24"/>
        </w:rPr>
        <w:t>As explained further below, the Court concludes dismissal is unwarranted.</w:t>
      </w:r>
    </w:p>
    <w:p w14:paraId="3BEA9A27" w14:textId="77777777" w:rsidR="006E77A8" w:rsidRPr="00D26276" w:rsidRDefault="006E77A8" w:rsidP="006E77A8">
      <w:pPr>
        <w:pStyle w:val="NoSpacing"/>
        <w:ind w:firstLine="720"/>
        <w:rPr>
          <w:rFonts w:ascii="Times New Roman" w:hAnsi="Times New Roman"/>
          <w:sz w:val="24"/>
          <w:szCs w:val="24"/>
        </w:rPr>
      </w:pPr>
      <w:r w:rsidRPr="00D26276">
        <w:rPr>
          <w:rFonts w:ascii="Times New Roman" w:hAnsi="Times New Roman"/>
          <w:sz w:val="24"/>
          <w:szCs w:val="24"/>
        </w:rPr>
        <w:t>Washington has alleged a cognizable property interest in his employment under the</w:t>
      </w:r>
    </w:p>
    <w:p w14:paraId="3228A967" w14:textId="77777777" w:rsidR="006E77A8" w:rsidRPr="00D26276" w:rsidRDefault="006E77A8" w:rsidP="006E77A8">
      <w:pPr>
        <w:pStyle w:val="NoSpacing"/>
        <w:ind w:firstLine="720"/>
        <w:rPr>
          <w:rFonts w:ascii="Times New Roman" w:hAnsi="Times New Roman"/>
          <w:sz w:val="24"/>
          <w:szCs w:val="24"/>
        </w:rPr>
      </w:pPr>
      <w:r w:rsidRPr="00D26276">
        <w:rPr>
          <w:rFonts w:ascii="Times New Roman" w:hAnsi="Times New Roman"/>
          <w:sz w:val="24"/>
          <w:szCs w:val="24"/>
        </w:rPr>
        <w:t>City’s charter, which made him removable only “for cause.” Thus, Washington’s due</w:t>
      </w:r>
    </w:p>
    <w:p w14:paraId="5CF7A916" w14:textId="77777777" w:rsidR="006E77A8" w:rsidRPr="00D26276" w:rsidRDefault="006E77A8" w:rsidP="006E77A8">
      <w:pPr>
        <w:pStyle w:val="NoSpacing"/>
        <w:ind w:firstLine="720"/>
        <w:rPr>
          <w:rFonts w:ascii="Times New Roman" w:hAnsi="Times New Roman"/>
          <w:sz w:val="24"/>
          <w:szCs w:val="24"/>
        </w:rPr>
      </w:pPr>
      <w:r w:rsidRPr="00D26276">
        <w:rPr>
          <w:rFonts w:ascii="Times New Roman" w:hAnsi="Times New Roman"/>
          <w:sz w:val="24"/>
          <w:szCs w:val="24"/>
        </w:rPr>
        <w:t>process claims and attendant demand for declaratory relief premised on the due</w:t>
      </w:r>
    </w:p>
    <w:p w14:paraId="241E9493" w14:textId="77777777" w:rsidR="006E77A8" w:rsidRPr="00D26276" w:rsidRDefault="006E77A8" w:rsidP="006E77A8">
      <w:pPr>
        <w:pStyle w:val="NoSpacing"/>
        <w:ind w:firstLine="720"/>
        <w:rPr>
          <w:rFonts w:ascii="Times New Roman" w:hAnsi="Times New Roman"/>
          <w:sz w:val="24"/>
          <w:szCs w:val="24"/>
        </w:rPr>
      </w:pPr>
      <w:r w:rsidRPr="00D26276">
        <w:rPr>
          <w:rFonts w:ascii="Times New Roman" w:hAnsi="Times New Roman"/>
          <w:sz w:val="24"/>
          <w:szCs w:val="24"/>
        </w:rPr>
        <w:t>process violations clear the 12(b)(6) hurdle. The Amended Complaint also plausibly</w:t>
      </w:r>
    </w:p>
    <w:p w14:paraId="44368E3D" w14:textId="77777777" w:rsidR="006E77A8" w:rsidRPr="00D26276" w:rsidRDefault="006E77A8" w:rsidP="006E77A8">
      <w:pPr>
        <w:pStyle w:val="NoSpacing"/>
        <w:ind w:firstLine="720"/>
        <w:rPr>
          <w:rFonts w:ascii="Times New Roman" w:hAnsi="Times New Roman"/>
          <w:sz w:val="24"/>
          <w:szCs w:val="24"/>
        </w:rPr>
      </w:pPr>
      <w:r w:rsidRPr="00D26276">
        <w:rPr>
          <w:rFonts w:ascii="Times New Roman" w:hAnsi="Times New Roman"/>
          <w:sz w:val="24"/>
          <w:szCs w:val="24"/>
        </w:rPr>
        <w:t>states a claim for defamation—but Washington can proceed to the merits of this claim</w:t>
      </w:r>
    </w:p>
    <w:p w14:paraId="7BFB94E5" w14:textId="77777777" w:rsidR="006E77A8" w:rsidRPr="00D26276" w:rsidRDefault="006E77A8" w:rsidP="006E77A8">
      <w:pPr>
        <w:pStyle w:val="NoSpacing"/>
        <w:ind w:firstLine="720"/>
        <w:rPr>
          <w:rFonts w:ascii="Times New Roman" w:hAnsi="Times New Roman"/>
          <w:sz w:val="24"/>
          <w:szCs w:val="24"/>
        </w:rPr>
      </w:pPr>
      <w:r w:rsidRPr="00D26276">
        <w:rPr>
          <w:rFonts w:ascii="Times New Roman" w:hAnsi="Times New Roman"/>
          <w:sz w:val="24"/>
          <w:szCs w:val="24"/>
        </w:rPr>
        <w:t xml:space="preserve">on only two of the allegedly defamatory </w:t>
      </w:r>
      <w:proofErr w:type="gramStart"/>
      <w:r w:rsidRPr="00D26276">
        <w:rPr>
          <w:rFonts w:ascii="Times New Roman" w:hAnsi="Times New Roman"/>
          <w:sz w:val="24"/>
          <w:szCs w:val="24"/>
        </w:rPr>
        <w:t>statements</w:t>
      </w:r>
      <w:proofErr w:type="gramEnd"/>
      <w:r w:rsidRPr="00D26276">
        <w:rPr>
          <w:rFonts w:ascii="Times New Roman" w:hAnsi="Times New Roman"/>
          <w:sz w:val="24"/>
          <w:szCs w:val="24"/>
        </w:rPr>
        <w:t xml:space="preserve"> he identifies in the Amended</w:t>
      </w:r>
    </w:p>
    <w:p w14:paraId="7D8C141E" w14:textId="77777777" w:rsidR="006E77A8" w:rsidRPr="00D26276" w:rsidRDefault="006E77A8" w:rsidP="006E77A8">
      <w:pPr>
        <w:pStyle w:val="NoSpacing"/>
        <w:ind w:firstLine="720"/>
        <w:rPr>
          <w:rFonts w:ascii="Times New Roman" w:hAnsi="Times New Roman"/>
          <w:sz w:val="24"/>
          <w:szCs w:val="24"/>
        </w:rPr>
      </w:pPr>
      <w:r w:rsidRPr="00D26276">
        <w:rPr>
          <w:rFonts w:ascii="Times New Roman" w:hAnsi="Times New Roman"/>
          <w:sz w:val="24"/>
          <w:szCs w:val="24"/>
        </w:rPr>
        <w:t>Complaint. Finally, Long’s claims of immunity from suit in her individual capacity</w:t>
      </w:r>
    </w:p>
    <w:p w14:paraId="01ECB7B7" w14:textId="77777777" w:rsidR="006E77A8" w:rsidRPr="00D26276" w:rsidRDefault="006E77A8" w:rsidP="006E77A8">
      <w:pPr>
        <w:pStyle w:val="NoSpacing"/>
        <w:ind w:left="720"/>
        <w:rPr>
          <w:rFonts w:ascii="Times New Roman" w:hAnsi="Times New Roman"/>
          <w:sz w:val="24"/>
          <w:szCs w:val="24"/>
        </w:rPr>
      </w:pPr>
      <w:r w:rsidRPr="00D26276">
        <w:rPr>
          <w:rFonts w:ascii="Times New Roman" w:hAnsi="Times New Roman"/>
          <w:sz w:val="24"/>
          <w:szCs w:val="24"/>
        </w:rPr>
        <w:t>fall short at this stage of the litigation.</w:t>
      </w:r>
      <w:r>
        <w:rPr>
          <w:rFonts w:ascii="Times New Roman" w:hAnsi="Times New Roman"/>
          <w:sz w:val="24"/>
          <w:szCs w:val="24"/>
        </w:rPr>
        <w:t xml:space="preserve">” </w:t>
      </w:r>
      <w:hyperlink r:id="rId2628" w:history="1">
        <w:r w:rsidRPr="00216BB3">
          <w:rPr>
            <w:rStyle w:val="Hyperlink"/>
            <w:rFonts w:ascii="Times New Roman" w:hAnsi="Times New Roman"/>
            <w:sz w:val="24"/>
            <w:szCs w:val="24"/>
          </w:rPr>
          <w:t>https://cases.justia.com/federal/district-courts/ohio/ohsdce/1:2023cv00230/279336/13/0.pdf?ts=1707452867</w:t>
        </w:r>
      </w:hyperlink>
      <w:r>
        <w:rPr>
          <w:rFonts w:ascii="Times New Roman" w:hAnsi="Times New Roman"/>
          <w:sz w:val="24"/>
          <w:szCs w:val="24"/>
        </w:rPr>
        <w:t xml:space="preserve"> </w:t>
      </w:r>
    </w:p>
    <w:p w14:paraId="763C1CFC" w14:textId="77777777" w:rsidR="006E77A8" w:rsidRDefault="006E77A8" w:rsidP="006E77A8">
      <w:pPr>
        <w:pStyle w:val="NoSpacing"/>
        <w:rPr>
          <w:rFonts w:ascii="Times New Roman" w:hAnsi="Times New Roman"/>
          <w:b/>
          <w:bCs/>
          <w:sz w:val="24"/>
          <w:szCs w:val="24"/>
        </w:rPr>
      </w:pPr>
      <w:r w:rsidRPr="00BB6010">
        <w:rPr>
          <w:rFonts w:ascii="Times New Roman" w:hAnsi="Times New Roman"/>
          <w:b/>
          <w:bCs/>
          <w:sz w:val="24"/>
          <w:szCs w:val="24"/>
        </w:rPr>
        <w:t>Legal Lesson Learned:</w:t>
      </w:r>
      <w:r>
        <w:rPr>
          <w:rFonts w:ascii="Times New Roman" w:hAnsi="Times New Roman"/>
          <w:b/>
          <w:bCs/>
          <w:sz w:val="24"/>
          <w:szCs w:val="24"/>
        </w:rPr>
        <w:t xml:space="preserve"> Provide due process to Fire Chief or other senior officers, even if position is “unclassified” and not covered by civil service protection, including written notice of concerns, and then if concerns not addressed, a pre-disciplinary conference. </w:t>
      </w:r>
    </w:p>
    <w:p w14:paraId="7B30F823" w14:textId="77777777" w:rsidR="006E77A8" w:rsidRDefault="006E77A8" w:rsidP="006E77A8">
      <w:pPr>
        <w:pStyle w:val="NoSpacing"/>
        <w:rPr>
          <w:rFonts w:ascii="Times New Roman" w:hAnsi="Times New Roman"/>
          <w:b/>
          <w:bCs/>
          <w:sz w:val="24"/>
          <w:szCs w:val="24"/>
        </w:rPr>
      </w:pPr>
    </w:p>
    <w:p w14:paraId="20AC5C04" w14:textId="77777777" w:rsidR="006E77A8" w:rsidRPr="00F93B49" w:rsidRDefault="006E77A8" w:rsidP="006E77A8">
      <w:pPr>
        <w:pStyle w:val="NoSpacing"/>
        <w:rPr>
          <w:rFonts w:ascii="Times New Roman" w:hAnsi="Times New Roman"/>
          <w:sz w:val="24"/>
          <w:szCs w:val="24"/>
        </w:rPr>
      </w:pPr>
      <w:r>
        <w:rPr>
          <w:rFonts w:ascii="Times New Roman" w:hAnsi="Times New Roman"/>
          <w:b/>
          <w:bCs/>
          <w:sz w:val="24"/>
          <w:szCs w:val="24"/>
        </w:rPr>
        <w:tab/>
      </w:r>
      <w:r w:rsidRPr="00F93B49">
        <w:rPr>
          <w:rFonts w:ascii="Times New Roman" w:hAnsi="Times New Roman"/>
          <w:sz w:val="24"/>
          <w:szCs w:val="24"/>
        </w:rPr>
        <w:t>Note: The Court wrote: “And Washington alleges that he was given no pre-deprivation</w:t>
      </w:r>
    </w:p>
    <w:p w14:paraId="0F52BE54" w14:textId="77777777" w:rsidR="006E77A8" w:rsidRPr="00F93B49" w:rsidRDefault="006E77A8" w:rsidP="006E77A8">
      <w:pPr>
        <w:pStyle w:val="NoSpacing"/>
        <w:ind w:left="720"/>
        <w:rPr>
          <w:rFonts w:ascii="Times New Roman" w:hAnsi="Times New Roman"/>
          <w:sz w:val="24"/>
          <w:szCs w:val="24"/>
        </w:rPr>
      </w:pPr>
      <w:r w:rsidRPr="00F93B49">
        <w:rPr>
          <w:rFonts w:ascii="Times New Roman" w:hAnsi="Times New Roman"/>
          <w:sz w:val="24"/>
          <w:szCs w:val="24"/>
        </w:rPr>
        <w:t xml:space="preserve">notice or hearing </w:t>
      </w:r>
      <w:r>
        <w:rPr>
          <w:rFonts w:ascii="Times New Roman" w:hAnsi="Times New Roman"/>
          <w:sz w:val="24"/>
          <w:szCs w:val="24"/>
        </w:rPr>
        <w:t xml:space="preserve"> - </w:t>
      </w:r>
      <w:r w:rsidRPr="00F93B49">
        <w:rPr>
          <w:rFonts w:ascii="Times New Roman" w:hAnsi="Times New Roman"/>
          <w:sz w:val="24"/>
          <w:szCs w:val="24"/>
        </w:rPr>
        <w:t>thereby plausibly alleging a lack of adequate pre-deprivation process to challenge Long’s termination decision. Cleveland Bd. of Ed. v.</w:t>
      </w:r>
      <w:r>
        <w:rPr>
          <w:rFonts w:ascii="Times New Roman" w:hAnsi="Times New Roman"/>
          <w:sz w:val="24"/>
          <w:szCs w:val="24"/>
        </w:rPr>
        <w:t xml:space="preserve"> </w:t>
      </w:r>
      <w:r w:rsidRPr="00F93B49">
        <w:rPr>
          <w:rFonts w:ascii="Times New Roman" w:hAnsi="Times New Roman"/>
          <w:sz w:val="24"/>
          <w:szCs w:val="24"/>
        </w:rPr>
        <w:t>Loudermill, 470 U.S. 532, 542 (1985)</w:t>
      </w:r>
      <w:r>
        <w:rPr>
          <w:rFonts w:ascii="Times New Roman" w:hAnsi="Times New Roman"/>
          <w:sz w:val="24"/>
          <w:szCs w:val="24"/>
        </w:rPr>
        <w:t xml:space="preserve">. </w:t>
      </w:r>
    </w:p>
    <w:p w14:paraId="745C4AD2" w14:textId="77777777" w:rsidR="006E77A8" w:rsidRPr="003F6B2A" w:rsidRDefault="006E77A8" w:rsidP="006E77A8">
      <w:pPr>
        <w:spacing w:before="100" w:beforeAutospacing="1" w:after="100" w:afterAutospacing="1"/>
        <w:ind w:left="720"/>
        <w:outlineLvl w:val="0"/>
        <w:rPr>
          <w:rStyle w:val="Hyperlink"/>
          <w:rFonts w:ascii="Times New Roman" w:eastAsia="Times New Roman" w:hAnsi="Times New Roman"/>
          <w:kern w:val="36"/>
          <w:sz w:val="24"/>
          <w:szCs w:val="24"/>
        </w:rPr>
      </w:pPr>
      <w:r w:rsidRPr="003F6B2A">
        <w:rPr>
          <w:rFonts w:ascii="Times New Roman" w:eastAsia="Times New Roman" w:hAnsi="Times New Roman"/>
          <w:kern w:val="36"/>
          <w:sz w:val="24"/>
          <w:szCs w:val="24"/>
        </w:rPr>
        <w:t xml:space="preserve">See Feb. 8, </w:t>
      </w:r>
      <w:proofErr w:type="gramStart"/>
      <w:r w:rsidRPr="003F6B2A">
        <w:rPr>
          <w:rFonts w:ascii="Times New Roman" w:eastAsia="Times New Roman" w:hAnsi="Times New Roman"/>
          <w:kern w:val="36"/>
          <w:sz w:val="24"/>
          <w:szCs w:val="24"/>
        </w:rPr>
        <w:t>2024</w:t>
      </w:r>
      <w:proofErr w:type="gramEnd"/>
      <w:r w:rsidRPr="003F6B2A">
        <w:rPr>
          <w:rFonts w:ascii="Times New Roman" w:eastAsia="Times New Roman" w:hAnsi="Times New Roman"/>
          <w:kern w:val="36"/>
          <w:sz w:val="24"/>
          <w:szCs w:val="24"/>
        </w:rPr>
        <w:t xml:space="preserve"> article, “'First step towards justice': Court says ex-Cincinnati fire chief can sue city over firing.” </w:t>
      </w:r>
      <w:hyperlink r:id="rId2629" w:history="1">
        <w:r w:rsidRPr="003F6B2A">
          <w:rPr>
            <w:rStyle w:val="Hyperlink"/>
            <w:rFonts w:ascii="Times New Roman" w:eastAsia="Times New Roman" w:hAnsi="Times New Roman"/>
            <w:kern w:val="36"/>
            <w:sz w:val="24"/>
            <w:szCs w:val="24"/>
          </w:rPr>
          <w:t>https://www.cincinnati.com/story/news/politics/2024/02/08/court-former-fire-chief-michael-washington-can-sue-city/72523727007/</w:t>
        </w:r>
      </w:hyperlink>
    </w:p>
    <w:p w14:paraId="13AF3DDF" w14:textId="77777777" w:rsidR="006E77A8" w:rsidRDefault="006E77A8" w:rsidP="006E77A8">
      <w:pPr>
        <w:pStyle w:val="NormalWeb"/>
        <w:jc w:val="center"/>
      </w:pPr>
    </w:p>
    <w:p w14:paraId="23333F33" w14:textId="77777777" w:rsidR="006E77A8" w:rsidRDefault="006E77A8" w:rsidP="00F326E5">
      <w:pPr>
        <w:pStyle w:val="NoSpacing"/>
        <w:rPr>
          <w:rFonts w:ascii="Arial Black" w:hAnsi="Arial Black"/>
          <w:sz w:val="24"/>
          <w:szCs w:val="24"/>
        </w:rPr>
      </w:pPr>
    </w:p>
    <w:p w14:paraId="1EF89963" w14:textId="77777777" w:rsidR="00D1090F" w:rsidRDefault="00D1090F" w:rsidP="00F326E5">
      <w:pPr>
        <w:pStyle w:val="NoSpacing"/>
        <w:rPr>
          <w:rFonts w:ascii="Arial Black" w:hAnsi="Arial Black"/>
          <w:sz w:val="24"/>
          <w:szCs w:val="24"/>
        </w:rPr>
      </w:pPr>
    </w:p>
    <w:p w14:paraId="12056DFE" w14:textId="77777777" w:rsidR="00D1090F" w:rsidRDefault="00D1090F" w:rsidP="00F326E5">
      <w:pPr>
        <w:pStyle w:val="NoSpacing"/>
        <w:rPr>
          <w:rFonts w:ascii="Arial Black" w:hAnsi="Arial Black"/>
          <w:sz w:val="24"/>
          <w:szCs w:val="24"/>
        </w:rPr>
      </w:pPr>
    </w:p>
    <w:p w14:paraId="6644EEF6" w14:textId="25503B73" w:rsidR="00004BED" w:rsidRDefault="00004BED" w:rsidP="00F326E5">
      <w:pPr>
        <w:pStyle w:val="NoSpacing"/>
        <w:rPr>
          <w:rFonts w:ascii="Arial Black" w:hAnsi="Arial Black"/>
          <w:sz w:val="24"/>
          <w:szCs w:val="24"/>
        </w:rPr>
      </w:pPr>
      <w:r>
        <w:rPr>
          <w:rFonts w:ascii="Arial Black" w:hAnsi="Arial Black"/>
          <w:sz w:val="24"/>
          <w:szCs w:val="24"/>
        </w:rPr>
        <w:t>16-104</w:t>
      </w:r>
    </w:p>
    <w:p w14:paraId="01D2753C" w14:textId="77777777" w:rsidR="00004BED" w:rsidRPr="001C660F" w:rsidRDefault="00004BED" w:rsidP="00004BED">
      <w:pPr>
        <w:pStyle w:val="Heading1"/>
        <w:rPr>
          <w:rFonts w:ascii="Arial Black" w:hAnsi="Arial Black"/>
          <w:sz w:val="28"/>
          <w:szCs w:val="28"/>
        </w:rPr>
      </w:pPr>
      <w:r>
        <w:rPr>
          <w:rFonts w:ascii="Arial Black" w:hAnsi="Arial Black"/>
          <w:sz w:val="28"/>
          <w:szCs w:val="28"/>
        </w:rPr>
        <w:t>DC: FEMA -  SUSPENDED 13 DAYS – WELL DOCUMENTED REPRIMANDS – CASE DISMISSED, NO RETALIATION</w:t>
      </w:r>
    </w:p>
    <w:p w14:paraId="01E82C0F" w14:textId="77777777" w:rsidR="00004BED" w:rsidRDefault="00004BED" w:rsidP="00004BED">
      <w:pPr>
        <w:pStyle w:val="NoSpacing"/>
        <w:rPr>
          <w:rFonts w:ascii="Times New Roman" w:hAnsi="Times New Roman"/>
          <w:sz w:val="24"/>
          <w:szCs w:val="24"/>
        </w:rPr>
      </w:pPr>
      <w:r>
        <w:rPr>
          <w:rFonts w:ascii="Times New Roman" w:hAnsi="Times New Roman"/>
          <w:sz w:val="24"/>
          <w:szCs w:val="24"/>
        </w:rPr>
        <w:t xml:space="preserve">On Jan. 22, 2024, in </w:t>
      </w:r>
      <w:r w:rsidRPr="00D859E0">
        <w:rPr>
          <w:rFonts w:ascii="Times New Roman" w:hAnsi="Times New Roman"/>
          <w:sz w:val="24"/>
          <w:szCs w:val="24"/>
          <w:u w:val="single"/>
        </w:rPr>
        <w:t>Karl Rabenhorst v. Alejandro Mayorkas, Secretary, U.S. Department of Homeland Security</w:t>
      </w:r>
      <w:r>
        <w:rPr>
          <w:rFonts w:ascii="Times New Roman" w:hAnsi="Times New Roman"/>
          <w:sz w:val="24"/>
          <w:szCs w:val="24"/>
        </w:rPr>
        <w:t xml:space="preserve">, U.S. District Court Judge Manish S. Shah, U.S. District Court for Northern District of Illinois (Eastern Division), granted the Government’s motion for summary judgment.  </w:t>
      </w:r>
    </w:p>
    <w:p w14:paraId="42EEE3D7" w14:textId="77777777" w:rsidR="00004BED" w:rsidRDefault="00004BED" w:rsidP="00004BED">
      <w:pPr>
        <w:pStyle w:val="NoSpacing"/>
        <w:rPr>
          <w:rFonts w:ascii="Times New Roman" w:hAnsi="Times New Roman"/>
          <w:sz w:val="24"/>
          <w:szCs w:val="24"/>
        </w:rPr>
      </w:pPr>
    </w:p>
    <w:p w14:paraId="61A775E8" w14:textId="77777777" w:rsidR="00004BED" w:rsidRDefault="00004BED" w:rsidP="00004BED">
      <w:pPr>
        <w:pStyle w:val="NoSpacing"/>
        <w:ind w:left="720"/>
        <w:rPr>
          <w:rFonts w:ascii="Times New Roman" w:hAnsi="Times New Roman"/>
          <w:sz w:val="24"/>
          <w:szCs w:val="24"/>
        </w:rPr>
      </w:pPr>
      <w:r>
        <w:rPr>
          <w:rFonts w:ascii="Times New Roman" w:hAnsi="Times New Roman"/>
          <w:sz w:val="24"/>
          <w:szCs w:val="24"/>
        </w:rPr>
        <w:lastRenderedPageBreak/>
        <w:t>“</w:t>
      </w:r>
      <w:r w:rsidRPr="00395707">
        <w:rPr>
          <w:rFonts w:ascii="Times New Roman" w:hAnsi="Times New Roman"/>
          <w:sz w:val="24"/>
          <w:szCs w:val="24"/>
        </w:rPr>
        <w:t>Rabenhorst also fails to offer any evidence</w:t>
      </w:r>
      <w:r>
        <w:rPr>
          <w:rFonts w:ascii="Times New Roman" w:hAnsi="Times New Roman"/>
          <w:sz w:val="24"/>
          <w:szCs w:val="24"/>
        </w:rPr>
        <w:t xml:space="preserve"> </w:t>
      </w:r>
      <w:r w:rsidRPr="00395707">
        <w:rPr>
          <w:rFonts w:ascii="Times New Roman" w:hAnsi="Times New Roman"/>
          <w:sz w:val="24"/>
          <w:szCs w:val="24"/>
        </w:rPr>
        <w:t>of ambiguous statements of animus or similarly situated employees who were treated</w:t>
      </w:r>
      <w:r>
        <w:rPr>
          <w:rFonts w:ascii="Times New Roman" w:hAnsi="Times New Roman"/>
          <w:sz w:val="24"/>
          <w:szCs w:val="24"/>
        </w:rPr>
        <w:t xml:space="preserve"> </w:t>
      </w:r>
      <w:r w:rsidRPr="00395707">
        <w:rPr>
          <w:rFonts w:ascii="Times New Roman" w:hAnsi="Times New Roman"/>
          <w:sz w:val="24"/>
          <w:szCs w:val="24"/>
        </w:rPr>
        <w:t>differently. Rabenhorst has not presented any evidence that O’Leary’s reasons for the</w:t>
      </w:r>
      <w:r>
        <w:rPr>
          <w:rFonts w:ascii="Times New Roman" w:hAnsi="Times New Roman"/>
          <w:sz w:val="24"/>
          <w:szCs w:val="24"/>
        </w:rPr>
        <w:t xml:space="preserve"> </w:t>
      </w:r>
      <w:r w:rsidRPr="00395707">
        <w:rPr>
          <w:rFonts w:ascii="Times New Roman" w:hAnsi="Times New Roman"/>
          <w:sz w:val="24"/>
          <w:szCs w:val="24"/>
        </w:rPr>
        <w:t>suspension were pretextual. There is no evidence that would allow a jury to find that</w:t>
      </w:r>
      <w:r>
        <w:rPr>
          <w:rFonts w:ascii="Times New Roman" w:hAnsi="Times New Roman"/>
          <w:sz w:val="24"/>
          <w:szCs w:val="24"/>
        </w:rPr>
        <w:t xml:space="preserve"> </w:t>
      </w:r>
      <w:r w:rsidRPr="00395707">
        <w:rPr>
          <w:rFonts w:ascii="Times New Roman" w:hAnsi="Times New Roman"/>
          <w:sz w:val="24"/>
          <w:szCs w:val="24"/>
        </w:rPr>
        <w:t>O’Leary’s decision to suspend Rabenhorst without pay for 13 days was motivated by</w:t>
      </w:r>
      <w:r>
        <w:rPr>
          <w:rFonts w:ascii="Times New Roman" w:hAnsi="Times New Roman"/>
          <w:sz w:val="24"/>
          <w:szCs w:val="24"/>
        </w:rPr>
        <w:t xml:space="preserve"> </w:t>
      </w:r>
      <w:r w:rsidRPr="00395707">
        <w:rPr>
          <w:rFonts w:ascii="Times New Roman" w:hAnsi="Times New Roman"/>
          <w:sz w:val="24"/>
          <w:szCs w:val="24"/>
        </w:rPr>
        <w:t>anything but Rabenhorst’s misconduct.</w:t>
      </w:r>
      <w:r>
        <w:rPr>
          <w:rFonts w:ascii="Times New Roman" w:hAnsi="Times New Roman"/>
          <w:sz w:val="24"/>
          <w:szCs w:val="24"/>
        </w:rPr>
        <w:t xml:space="preserve">” </w:t>
      </w:r>
    </w:p>
    <w:p w14:paraId="036982FA" w14:textId="7063306D" w:rsidR="00004BED" w:rsidRDefault="00004BED" w:rsidP="00004BED">
      <w:pPr>
        <w:pStyle w:val="NoSpacing"/>
        <w:rPr>
          <w:rFonts w:ascii="Arial Black" w:hAnsi="Arial Black"/>
          <w:sz w:val="24"/>
          <w:szCs w:val="24"/>
        </w:rPr>
      </w:pPr>
      <w:hyperlink r:id="rId2630" w:history="1">
        <w:r w:rsidRPr="00624A20">
          <w:rPr>
            <w:rStyle w:val="Hyperlink"/>
            <w:rFonts w:ascii="Times New Roman" w:hAnsi="Times New Roman"/>
            <w:sz w:val="24"/>
            <w:szCs w:val="24"/>
          </w:rPr>
          <w:t>https://cases.justia.com/federal/district-courts/illinois/ilndce/1:2021cv03620/405182/52/0.pdf?ts=1706027592</w:t>
        </w:r>
      </w:hyperlink>
    </w:p>
    <w:p w14:paraId="2361AB0B" w14:textId="77777777" w:rsidR="00004BED" w:rsidRDefault="00004BED" w:rsidP="00F326E5">
      <w:pPr>
        <w:pStyle w:val="NoSpacing"/>
        <w:rPr>
          <w:rFonts w:ascii="Arial Black" w:hAnsi="Arial Black"/>
          <w:sz w:val="24"/>
          <w:szCs w:val="24"/>
        </w:rPr>
      </w:pPr>
    </w:p>
    <w:p w14:paraId="5805E9E1" w14:textId="77777777" w:rsidR="001B7DE1" w:rsidRDefault="001B7DE1" w:rsidP="001B7DE1">
      <w:pPr>
        <w:pStyle w:val="NoSpacing"/>
        <w:rPr>
          <w:b/>
          <w:bCs/>
        </w:rPr>
      </w:pPr>
      <w:r w:rsidRPr="004041F9">
        <w:rPr>
          <w:rFonts w:ascii="Times New Roman" w:hAnsi="Times New Roman"/>
          <w:b/>
          <w:bCs/>
          <w:sz w:val="24"/>
          <w:szCs w:val="24"/>
        </w:rPr>
        <w:t xml:space="preserve">Legal Lesson Learned: </w:t>
      </w:r>
      <w:r>
        <w:rPr>
          <w:rFonts w:ascii="Times New Roman" w:hAnsi="Times New Roman"/>
          <w:b/>
          <w:bCs/>
          <w:sz w:val="24"/>
          <w:szCs w:val="24"/>
        </w:rPr>
        <w:t xml:space="preserve">Thorough documentation of discipline led to dismissal of this lawsuit.  </w:t>
      </w:r>
    </w:p>
    <w:p w14:paraId="0AACF249" w14:textId="77777777" w:rsidR="00004BED" w:rsidRDefault="00004BED" w:rsidP="00F326E5">
      <w:pPr>
        <w:pStyle w:val="NoSpacing"/>
        <w:rPr>
          <w:rFonts w:ascii="Arial Black" w:hAnsi="Arial Black"/>
          <w:sz w:val="24"/>
          <w:szCs w:val="24"/>
        </w:rPr>
      </w:pPr>
    </w:p>
    <w:p w14:paraId="58796F2F" w14:textId="77777777" w:rsidR="001B7DE1" w:rsidRDefault="001B7DE1" w:rsidP="00F326E5">
      <w:pPr>
        <w:pStyle w:val="NoSpacing"/>
        <w:rPr>
          <w:rFonts w:ascii="Arial Black" w:hAnsi="Arial Black"/>
          <w:sz w:val="24"/>
          <w:szCs w:val="24"/>
        </w:rPr>
      </w:pPr>
    </w:p>
    <w:p w14:paraId="586C9110" w14:textId="77777777" w:rsidR="001B7DE1" w:rsidRDefault="001B7DE1" w:rsidP="00F326E5">
      <w:pPr>
        <w:pStyle w:val="NoSpacing"/>
        <w:rPr>
          <w:rFonts w:ascii="Arial Black" w:hAnsi="Arial Black"/>
          <w:sz w:val="24"/>
          <w:szCs w:val="24"/>
        </w:rPr>
      </w:pPr>
    </w:p>
    <w:p w14:paraId="1D8E9AEC" w14:textId="74EB8728" w:rsidR="001D190A" w:rsidRDefault="001D190A" w:rsidP="00F326E5">
      <w:pPr>
        <w:pStyle w:val="NoSpacing"/>
        <w:rPr>
          <w:rFonts w:ascii="Arial Black" w:hAnsi="Arial Black"/>
          <w:sz w:val="24"/>
          <w:szCs w:val="24"/>
        </w:rPr>
      </w:pPr>
      <w:r>
        <w:rPr>
          <w:rFonts w:ascii="Arial Black" w:hAnsi="Arial Black"/>
          <w:sz w:val="24"/>
          <w:szCs w:val="24"/>
        </w:rPr>
        <w:t>16-103</w:t>
      </w:r>
    </w:p>
    <w:p w14:paraId="312C76B5" w14:textId="77777777" w:rsidR="001D190A" w:rsidRDefault="001D190A" w:rsidP="00F326E5">
      <w:pPr>
        <w:pStyle w:val="NoSpacing"/>
        <w:rPr>
          <w:rFonts w:ascii="Arial Black" w:hAnsi="Arial Black"/>
          <w:sz w:val="24"/>
          <w:szCs w:val="24"/>
        </w:rPr>
      </w:pPr>
    </w:p>
    <w:p w14:paraId="35599DF1" w14:textId="77777777" w:rsidR="001D190A" w:rsidRPr="00A34D02" w:rsidRDefault="001D190A" w:rsidP="001D190A">
      <w:pPr>
        <w:pStyle w:val="NoSpacing"/>
        <w:rPr>
          <w:rFonts w:ascii="Arial Black" w:hAnsi="Arial Black"/>
          <w:sz w:val="28"/>
          <w:szCs w:val="28"/>
        </w:rPr>
      </w:pPr>
      <w:r>
        <w:rPr>
          <w:rFonts w:ascii="Arial Black" w:hAnsi="Arial Black"/>
          <w:sz w:val="28"/>
          <w:szCs w:val="28"/>
        </w:rPr>
        <w:t>WV: FF TERMINATION UPHELD - ARRESTS DOMESTIC VIOL – DISCHARGED FIREARM - CIVIL SERVICE COMM. REVERSED</w:t>
      </w:r>
    </w:p>
    <w:p w14:paraId="4A0CF2D4" w14:textId="77777777" w:rsidR="001D190A" w:rsidRDefault="001D190A" w:rsidP="001D190A">
      <w:pPr>
        <w:pStyle w:val="NoSpacing"/>
        <w:rPr>
          <w:rFonts w:ascii="Times New Roman" w:hAnsi="Times New Roman"/>
          <w:sz w:val="24"/>
          <w:szCs w:val="24"/>
        </w:rPr>
      </w:pPr>
    </w:p>
    <w:p w14:paraId="6DCC8568" w14:textId="77777777" w:rsidR="001D190A" w:rsidRDefault="001D190A" w:rsidP="001D190A">
      <w:pPr>
        <w:pStyle w:val="NoSpacing"/>
        <w:rPr>
          <w:rFonts w:ascii="Times New Roman" w:hAnsi="Times New Roman"/>
          <w:sz w:val="24"/>
          <w:szCs w:val="24"/>
        </w:rPr>
      </w:pPr>
      <w:r>
        <w:rPr>
          <w:rFonts w:ascii="Times New Roman" w:hAnsi="Times New Roman"/>
          <w:sz w:val="24"/>
          <w:szCs w:val="24"/>
        </w:rPr>
        <w:t xml:space="preserve">On Dec. 27, 2023, in </w:t>
      </w:r>
      <w:r w:rsidRPr="00ED4A72">
        <w:rPr>
          <w:rFonts w:ascii="Times New Roman" w:hAnsi="Times New Roman"/>
          <w:sz w:val="24"/>
          <w:szCs w:val="24"/>
          <w:u w:val="single"/>
        </w:rPr>
        <w:t>Nicholas Graley v. City of South Charleston</w:t>
      </w:r>
      <w:r>
        <w:rPr>
          <w:rFonts w:ascii="Times New Roman" w:hAnsi="Times New Roman"/>
          <w:sz w:val="24"/>
          <w:szCs w:val="24"/>
        </w:rPr>
        <w:t xml:space="preserve">, the Intermediate Court of Appeals of West Virginia held (3 to 0) that the firefighters </w:t>
      </w:r>
      <w:proofErr w:type="gramStart"/>
      <w:r>
        <w:rPr>
          <w:rFonts w:ascii="Times New Roman" w:hAnsi="Times New Roman"/>
          <w:sz w:val="24"/>
          <w:szCs w:val="24"/>
        </w:rPr>
        <w:t>was</w:t>
      </w:r>
      <w:proofErr w:type="gramEnd"/>
      <w:r>
        <w:rPr>
          <w:rFonts w:ascii="Times New Roman" w:hAnsi="Times New Roman"/>
          <w:sz w:val="24"/>
          <w:szCs w:val="24"/>
        </w:rPr>
        <w:t xml:space="preserve"> properly terminated, upholding the decision of the Circuit Court judge of </w:t>
      </w:r>
      <w:r w:rsidRPr="00A95B2F">
        <w:rPr>
          <w:rFonts w:ascii="Times New Roman" w:hAnsi="Times New Roman"/>
          <w:sz w:val="24"/>
          <w:szCs w:val="24"/>
        </w:rPr>
        <w:t xml:space="preserve">Kanawha </w:t>
      </w:r>
      <w:r>
        <w:rPr>
          <w:rFonts w:ascii="Times New Roman" w:hAnsi="Times New Roman"/>
          <w:sz w:val="24"/>
          <w:szCs w:val="24"/>
        </w:rPr>
        <w:t>County; the City’s Civil Service Commission decision to only suspend firefighter reversed.  The Court held: “</w:t>
      </w:r>
      <w:r w:rsidRPr="0023429B">
        <w:rPr>
          <w:rFonts w:ascii="Times New Roman" w:hAnsi="Times New Roman"/>
          <w:sz w:val="24"/>
          <w:szCs w:val="24"/>
        </w:rPr>
        <w:t>Further, the final order of the Commission is reversed because the Commission</w:t>
      </w:r>
      <w:r>
        <w:rPr>
          <w:rFonts w:ascii="Times New Roman" w:hAnsi="Times New Roman"/>
          <w:sz w:val="24"/>
          <w:szCs w:val="24"/>
        </w:rPr>
        <w:t xml:space="preserve"> </w:t>
      </w:r>
      <w:r w:rsidRPr="0023429B">
        <w:rPr>
          <w:rFonts w:ascii="Times New Roman" w:hAnsi="Times New Roman"/>
          <w:sz w:val="24"/>
          <w:szCs w:val="24"/>
        </w:rPr>
        <w:t>entirely failed to consider important aspects of the case and offered explanations that ran</w:t>
      </w:r>
      <w:r>
        <w:rPr>
          <w:rFonts w:ascii="Times New Roman" w:hAnsi="Times New Roman"/>
          <w:sz w:val="24"/>
          <w:szCs w:val="24"/>
        </w:rPr>
        <w:t xml:space="preserve"> </w:t>
      </w:r>
      <w:r w:rsidRPr="0023429B">
        <w:rPr>
          <w:rFonts w:ascii="Times New Roman" w:hAnsi="Times New Roman"/>
          <w:sz w:val="24"/>
          <w:szCs w:val="24"/>
        </w:rPr>
        <w:t>counter to the evidence.</w:t>
      </w:r>
      <w:r>
        <w:rPr>
          <w:rFonts w:ascii="Times New Roman" w:hAnsi="Times New Roman"/>
          <w:sz w:val="24"/>
          <w:szCs w:val="24"/>
        </w:rPr>
        <w:t xml:space="preserve"> </w:t>
      </w:r>
      <w:r w:rsidRPr="0023429B">
        <w:rPr>
          <w:rFonts w:ascii="Times New Roman" w:hAnsi="Times New Roman"/>
          <w:sz w:val="24"/>
          <w:szCs w:val="24"/>
        </w:rPr>
        <w:t>For instance, the Commission failed to consider any of the facts related to the May</w:t>
      </w:r>
      <w:r>
        <w:rPr>
          <w:rFonts w:ascii="Times New Roman" w:hAnsi="Times New Roman"/>
          <w:sz w:val="24"/>
          <w:szCs w:val="24"/>
        </w:rPr>
        <w:t xml:space="preserve"> </w:t>
      </w:r>
      <w:r w:rsidRPr="0023429B">
        <w:rPr>
          <w:rFonts w:ascii="Times New Roman" w:hAnsi="Times New Roman"/>
          <w:sz w:val="24"/>
          <w:szCs w:val="24"/>
        </w:rPr>
        <w:t>30, 2019, incident wherein Mr. Graley was involved in an altercation while drinking in</w:t>
      </w:r>
      <w:r>
        <w:rPr>
          <w:rFonts w:ascii="Times New Roman" w:hAnsi="Times New Roman"/>
          <w:sz w:val="24"/>
          <w:szCs w:val="24"/>
        </w:rPr>
        <w:t xml:space="preserve"> </w:t>
      </w:r>
      <w:r w:rsidRPr="0023429B">
        <w:rPr>
          <w:rFonts w:ascii="Times New Roman" w:hAnsi="Times New Roman"/>
          <w:sz w:val="24"/>
          <w:szCs w:val="24"/>
        </w:rPr>
        <w:t>public then followed members of that altercation home after being asked not to, discharged</w:t>
      </w:r>
      <w:r>
        <w:rPr>
          <w:rFonts w:ascii="Times New Roman" w:hAnsi="Times New Roman"/>
          <w:sz w:val="24"/>
          <w:szCs w:val="24"/>
        </w:rPr>
        <w:t xml:space="preserve"> </w:t>
      </w:r>
      <w:r w:rsidRPr="0023429B">
        <w:rPr>
          <w:rFonts w:ascii="Times New Roman" w:hAnsi="Times New Roman"/>
          <w:sz w:val="24"/>
          <w:szCs w:val="24"/>
        </w:rPr>
        <w:t>his firearm from his vehicle, and initially lied to law enforcement about his actions. The</w:t>
      </w:r>
      <w:r>
        <w:rPr>
          <w:rFonts w:ascii="Times New Roman" w:hAnsi="Times New Roman"/>
          <w:sz w:val="24"/>
          <w:szCs w:val="24"/>
        </w:rPr>
        <w:t xml:space="preserve"> </w:t>
      </w:r>
      <w:r w:rsidRPr="0023429B">
        <w:rPr>
          <w:rFonts w:ascii="Times New Roman" w:hAnsi="Times New Roman"/>
          <w:sz w:val="24"/>
          <w:szCs w:val="24"/>
        </w:rPr>
        <w:t>Commission also failed to consider that Mr. Graley lied about, or minimized, his actions</w:t>
      </w:r>
      <w:r>
        <w:rPr>
          <w:rFonts w:ascii="Times New Roman" w:hAnsi="Times New Roman"/>
          <w:sz w:val="24"/>
          <w:szCs w:val="24"/>
        </w:rPr>
        <w:t xml:space="preserve"> </w:t>
      </w:r>
      <w:r w:rsidRPr="0023429B">
        <w:rPr>
          <w:rFonts w:ascii="Times New Roman" w:hAnsi="Times New Roman"/>
          <w:sz w:val="24"/>
          <w:szCs w:val="24"/>
        </w:rPr>
        <w:t xml:space="preserve">concerning this incident to Chief </w:t>
      </w:r>
      <w:proofErr w:type="gramStart"/>
      <w:r w:rsidRPr="0023429B">
        <w:rPr>
          <w:rFonts w:ascii="Times New Roman" w:hAnsi="Times New Roman"/>
          <w:sz w:val="24"/>
          <w:szCs w:val="24"/>
        </w:rPr>
        <w:t>White.</w:t>
      </w:r>
      <w:r>
        <w:rPr>
          <w:rFonts w:ascii="Times New Roman" w:hAnsi="Times New Roman"/>
          <w:sz w:val="24"/>
          <w:szCs w:val="24"/>
        </w:rPr>
        <w:t>”</w:t>
      </w:r>
      <w:proofErr w:type="gramEnd"/>
      <w:r>
        <w:rPr>
          <w:rFonts w:ascii="Times New Roman" w:hAnsi="Times New Roman"/>
          <w:sz w:val="24"/>
          <w:szCs w:val="24"/>
        </w:rPr>
        <w:t xml:space="preserve">  </w:t>
      </w:r>
      <w:hyperlink r:id="rId2631" w:history="1">
        <w:r w:rsidRPr="00911235">
          <w:rPr>
            <w:rStyle w:val="Hyperlink"/>
            <w:rFonts w:ascii="Times New Roman" w:hAnsi="Times New Roman"/>
            <w:sz w:val="24"/>
            <w:szCs w:val="24"/>
          </w:rPr>
          <w:t>https://www.courtswv.gov/sites/default/pubfilesmnt/2023-12/22-ICA-267_MD.pdf</w:t>
        </w:r>
      </w:hyperlink>
      <w:r>
        <w:rPr>
          <w:rFonts w:ascii="Times New Roman" w:hAnsi="Times New Roman"/>
          <w:sz w:val="24"/>
          <w:szCs w:val="24"/>
        </w:rPr>
        <w:t xml:space="preserve"> </w:t>
      </w:r>
    </w:p>
    <w:p w14:paraId="27A990B8" w14:textId="77777777" w:rsidR="004E344B" w:rsidRDefault="004E344B" w:rsidP="004E344B">
      <w:pPr>
        <w:pStyle w:val="NormalWeb"/>
        <w:rPr>
          <w:b/>
          <w:bCs/>
        </w:rPr>
      </w:pPr>
      <w:r>
        <w:rPr>
          <w:b/>
          <w:bCs/>
        </w:rPr>
        <w:t>Legal Lesson Learned: Fire Chief properly terminated, not suspended firefighter; four Judges properly overruled Civil Service Commission.</w:t>
      </w:r>
    </w:p>
    <w:p w14:paraId="5AE1E8B7" w14:textId="77777777" w:rsidR="004E344B" w:rsidRDefault="004E344B" w:rsidP="00F326E5">
      <w:pPr>
        <w:pStyle w:val="NoSpacing"/>
        <w:rPr>
          <w:rFonts w:ascii="Arial Black" w:hAnsi="Arial Black"/>
          <w:sz w:val="24"/>
          <w:szCs w:val="24"/>
        </w:rPr>
      </w:pPr>
    </w:p>
    <w:p w14:paraId="55D05BAB" w14:textId="77777777" w:rsidR="001D190A" w:rsidRDefault="001D190A" w:rsidP="00F326E5">
      <w:pPr>
        <w:pStyle w:val="NoSpacing"/>
        <w:rPr>
          <w:rFonts w:ascii="Arial Black" w:hAnsi="Arial Black"/>
          <w:sz w:val="24"/>
          <w:szCs w:val="24"/>
        </w:rPr>
      </w:pPr>
    </w:p>
    <w:p w14:paraId="05462BEA" w14:textId="77777777" w:rsidR="001D190A" w:rsidRDefault="001D190A" w:rsidP="00F326E5">
      <w:pPr>
        <w:pStyle w:val="NoSpacing"/>
        <w:rPr>
          <w:rFonts w:ascii="Arial Black" w:hAnsi="Arial Black"/>
          <w:sz w:val="24"/>
          <w:szCs w:val="24"/>
        </w:rPr>
      </w:pPr>
    </w:p>
    <w:p w14:paraId="7EEFFA19" w14:textId="02DA218F" w:rsidR="00A01262" w:rsidRDefault="00ED6448" w:rsidP="00F326E5">
      <w:pPr>
        <w:pStyle w:val="NoSpacing"/>
        <w:rPr>
          <w:rFonts w:ascii="Arial Black" w:hAnsi="Arial Black"/>
          <w:sz w:val="24"/>
          <w:szCs w:val="24"/>
        </w:rPr>
      </w:pPr>
      <w:r>
        <w:rPr>
          <w:rFonts w:ascii="Arial Black" w:hAnsi="Arial Black"/>
          <w:sz w:val="24"/>
          <w:szCs w:val="24"/>
        </w:rPr>
        <w:t>16-102</w:t>
      </w:r>
    </w:p>
    <w:p w14:paraId="6B35D75F" w14:textId="77777777" w:rsidR="008B2E73" w:rsidRPr="006268B1" w:rsidRDefault="008B2E73" w:rsidP="008B2E73">
      <w:pPr>
        <w:pStyle w:val="NormalWeb"/>
        <w:rPr>
          <w:rFonts w:ascii="Arial Black" w:hAnsi="Arial Black"/>
          <w:b/>
          <w:bCs/>
          <w:sz w:val="28"/>
          <w:szCs w:val="28"/>
        </w:rPr>
      </w:pPr>
      <w:r>
        <w:rPr>
          <w:rFonts w:ascii="Arial Black" w:hAnsi="Arial Black"/>
          <w:b/>
          <w:bCs/>
          <w:sz w:val="28"/>
          <w:szCs w:val="28"/>
        </w:rPr>
        <w:t>CA: FD OFFICER WRONGFULLY FIRED – “INTENTIONAL”  VIOL. DUE PROCESS BY CHIEF – JURY: $3M DAMAGES</w:t>
      </w:r>
    </w:p>
    <w:p w14:paraId="0B944DE7" w14:textId="77777777" w:rsidR="008B2E73" w:rsidRDefault="008B2E73" w:rsidP="008B2E73">
      <w:pPr>
        <w:pStyle w:val="NoSpacing"/>
      </w:pPr>
      <w:r w:rsidRPr="00271EFB">
        <w:rPr>
          <w:rFonts w:ascii="Times New Roman" w:hAnsi="Times New Roman"/>
          <w:sz w:val="24"/>
          <w:szCs w:val="24"/>
        </w:rPr>
        <w:t xml:space="preserve">On Dec. 19, 2023, in </w:t>
      </w:r>
      <w:r w:rsidRPr="00271EFB">
        <w:rPr>
          <w:rFonts w:ascii="Times New Roman" w:hAnsi="Times New Roman"/>
          <w:sz w:val="24"/>
          <w:szCs w:val="24"/>
          <w:u w:val="single"/>
        </w:rPr>
        <w:t>Timothy O’Hara v. Liberty Rural County Fire Protection District, et al</w:t>
      </w:r>
      <w:r w:rsidRPr="00271EFB">
        <w:rPr>
          <w:rFonts w:ascii="Times New Roman" w:hAnsi="Times New Roman"/>
          <w:sz w:val="24"/>
          <w:szCs w:val="24"/>
        </w:rPr>
        <w:t xml:space="preserve">., the California Court of Appeals, Third District, San Joaquin, held (3 to 0; unpublished decision) that jury properly found the Fire Chief intentionally </w:t>
      </w:r>
      <w:r>
        <w:rPr>
          <w:rFonts w:ascii="Times New Roman" w:hAnsi="Times New Roman"/>
          <w:sz w:val="24"/>
          <w:szCs w:val="24"/>
        </w:rPr>
        <w:t>violated</w:t>
      </w:r>
      <w:r w:rsidRPr="00271EFB">
        <w:rPr>
          <w:rFonts w:ascii="Times New Roman" w:hAnsi="Times New Roman"/>
          <w:sz w:val="24"/>
          <w:szCs w:val="24"/>
        </w:rPr>
        <w:t xml:space="preserve"> the</w:t>
      </w:r>
      <w:r>
        <w:rPr>
          <w:rFonts w:ascii="Times New Roman" w:hAnsi="Times New Roman"/>
          <w:sz w:val="24"/>
          <w:szCs w:val="24"/>
        </w:rPr>
        <w:t xml:space="preserve"> CA </w:t>
      </w:r>
      <w:r w:rsidRPr="00907648">
        <w:rPr>
          <w:rFonts w:ascii="Times New Roman" w:hAnsi="Times New Roman"/>
          <w:sz w:val="24"/>
          <w:szCs w:val="24"/>
        </w:rPr>
        <w:t>Firefighters Procedural Bill of Rights Act</w:t>
      </w:r>
      <w:r w:rsidRPr="00271EFB">
        <w:rPr>
          <w:rFonts w:ascii="Times New Roman" w:hAnsi="Times New Roman"/>
          <w:sz w:val="24"/>
          <w:szCs w:val="24"/>
        </w:rPr>
        <w:t xml:space="preserve"> by denying Shift Supervisor</w:t>
      </w:r>
      <w:r>
        <w:rPr>
          <w:rFonts w:ascii="Times New Roman" w:hAnsi="Times New Roman"/>
          <w:sz w:val="24"/>
          <w:szCs w:val="24"/>
        </w:rPr>
        <w:t xml:space="preserve"> Tim O’Hara </w:t>
      </w:r>
      <w:r w:rsidRPr="00271EFB">
        <w:rPr>
          <w:rFonts w:ascii="Times New Roman" w:hAnsi="Times New Roman"/>
          <w:sz w:val="24"/>
          <w:szCs w:val="24"/>
        </w:rPr>
        <w:t xml:space="preserve">(12 years on FD) due process, and effectively ending his career in fire service at age 51.  The Court </w:t>
      </w:r>
      <w:proofErr w:type="gramStart"/>
      <w:r w:rsidRPr="00271EFB">
        <w:rPr>
          <w:rFonts w:ascii="Times New Roman" w:hAnsi="Times New Roman"/>
          <w:sz w:val="24"/>
          <w:szCs w:val="24"/>
        </w:rPr>
        <w:t xml:space="preserve">held: </w:t>
      </w:r>
      <w:r>
        <w:rPr>
          <w:rFonts w:ascii="Times New Roman" w:hAnsi="Times New Roman"/>
          <w:sz w:val="24"/>
          <w:szCs w:val="24"/>
        </w:rPr>
        <w:t>“</w:t>
      </w:r>
      <w:proofErr w:type="gramEnd"/>
      <w:r>
        <w:rPr>
          <w:rFonts w:ascii="Times New Roman" w:hAnsi="Times New Roman"/>
          <w:sz w:val="24"/>
          <w:szCs w:val="24"/>
        </w:rPr>
        <w:t xml:space="preserve">[Fire Chief] </w:t>
      </w:r>
      <w:r w:rsidRPr="00271EFB">
        <w:rPr>
          <w:rFonts w:ascii="Times New Roman" w:hAnsi="Times New Roman"/>
          <w:sz w:val="24"/>
          <w:szCs w:val="24"/>
        </w:rPr>
        <w:t>Seifert and the District give similarly short shrift to the deliberate</w:t>
      </w:r>
      <w:r>
        <w:rPr>
          <w:rFonts w:ascii="Times New Roman" w:hAnsi="Times New Roman"/>
          <w:sz w:val="24"/>
          <w:szCs w:val="24"/>
        </w:rPr>
        <w:t xml:space="preserve"> </w:t>
      </w:r>
      <w:r w:rsidRPr="00271EFB">
        <w:rPr>
          <w:rFonts w:ascii="Times New Roman" w:hAnsi="Times New Roman"/>
          <w:sz w:val="24"/>
          <w:szCs w:val="24"/>
        </w:rPr>
        <w:t>flouting standard with which the jury was instructed and offer no challenge to the special</w:t>
      </w:r>
      <w:r>
        <w:rPr>
          <w:rFonts w:ascii="Times New Roman" w:hAnsi="Times New Roman"/>
          <w:sz w:val="24"/>
          <w:szCs w:val="24"/>
        </w:rPr>
        <w:t xml:space="preserve"> </w:t>
      </w:r>
      <w:r w:rsidRPr="00271EFB">
        <w:rPr>
          <w:rFonts w:ascii="Times New Roman" w:hAnsi="Times New Roman"/>
          <w:sz w:val="24"/>
          <w:szCs w:val="24"/>
        </w:rPr>
        <w:t>verdict finding that Seifert intentionally trammeled O’Hara’s rights under the FPBOR.</w:t>
      </w:r>
      <w:r>
        <w:rPr>
          <w:rFonts w:ascii="Times New Roman" w:hAnsi="Times New Roman"/>
          <w:sz w:val="24"/>
          <w:szCs w:val="24"/>
        </w:rPr>
        <w:t xml:space="preserve"> </w:t>
      </w:r>
      <w:r w:rsidRPr="00271EFB">
        <w:rPr>
          <w:rFonts w:ascii="Times New Roman" w:hAnsi="Times New Roman"/>
          <w:sz w:val="24"/>
          <w:szCs w:val="24"/>
        </w:rPr>
        <w:t>Under the circumstances, we need not consider whether the evidence compels findings in</w:t>
      </w:r>
      <w:r>
        <w:rPr>
          <w:rFonts w:ascii="Times New Roman" w:hAnsi="Times New Roman"/>
          <w:sz w:val="24"/>
          <w:szCs w:val="24"/>
        </w:rPr>
        <w:t xml:space="preserve"> </w:t>
      </w:r>
      <w:r w:rsidRPr="00271EFB">
        <w:rPr>
          <w:rFonts w:ascii="Times New Roman" w:hAnsi="Times New Roman"/>
          <w:sz w:val="24"/>
          <w:szCs w:val="24"/>
        </w:rPr>
        <w:t>their favor on the theory they violated substantive due process by intentionally and</w:t>
      </w:r>
      <w:r>
        <w:rPr>
          <w:rFonts w:ascii="Times New Roman" w:hAnsi="Times New Roman"/>
          <w:sz w:val="24"/>
          <w:szCs w:val="24"/>
        </w:rPr>
        <w:t xml:space="preserve"> </w:t>
      </w:r>
      <w:r w:rsidRPr="00271EFB">
        <w:rPr>
          <w:rFonts w:ascii="Times New Roman" w:hAnsi="Times New Roman"/>
          <w:sz w:val="24"/>
          <w:szCs w:val="24"/>
        </w:rPr>
        <w:t>deliberately flouting the FPBOR as part of a personal vendetta against O’Hara. We need</w:t>
      </w:r>
      <w:r>
        <w:rPr>
          <w:rFonts w:ascii="Times New Roman" w:hAnsi="Times New Roman"/>
          <w:sz w:val="24"/>
          <w:szCs w:val="24"/>
        </w:rPr>
        <w:t xml:space="preserve"> </w:t>
      </w:r>
      <w:r w:rsidRPr="00271EFB">
        <w:rPr>
          <w:rFonts w:ascii="Times New Roman" w:hAnsi="Times New Roman"/>
          <w:sz w:val="24"/>
          <w:szCs w:val="24"/>
        </w:rPr>
        <w:t xml:space="preserve">only conclude that </w:t>
      </w:r>
      <w:r w:rsidRPr="00271EFB">
        <w:rPr>
          <w:rFonts w:ascii="Times New Roman" w:hAnsi="Times New Roman"/>
          <w:sz w:val="24"/>
          <w:szCs w:val="24"/>
        </w:rPr>
        <w:lastRenderedPageBreak/>
        <w:t>Seifert and the District have failed to show the evidence compels</w:t>
      </w:r>
      <w:r>
        <w:rPr>
          <w:rFonts w:ascii="Times New Roman" w:hAnsi="Times New Roman"/>
          <w:sz w:val="24"/>
          <w:szCs w:val="24"/>
        </w:rPr>
        <w:t xml:space="preserve"> </w:t>
      </w:r>
      <w:r w:rsidRPr="00271EFB">
        <w:rPr>
          <w:rFonts w:ascii="Times New Roman" w:hAnsi="Times New Roman"/>
          <w:sz w:val="24"/>
          <w:szCs w:val="24"/>
        </w:rPr>
        <w:t>findings in their favor on substantive due process as a matter of law. They likewise fail</w:t>
      </w:r>
      <w:r>
        <w:rPr>
          <w:rFonts w:ascii="Times New Roman" w:hAnsi="Times New Roman"/>
          <w:sz w:val="24"/>
          <w:szCs w:val="24"/>
        </w:rPr>
        <w:t xml:space="preserve"> </w:t>
      </w:r>
      <w:r w:rsidRPr="00271EFB">
        <w:rPr>
          <w:rFonts w:ascii="Times New Roman" w:hAnsi="Times New Roman"/>
          <w:sz w:val="24"/>
          <w:szCs w:val="24"/>
        </w:rPr>
        <w:t xml:space="preserve">to show the trial court </w:t>
      </w:r>
      <w:proofErr w:type="gramStart"/>
      <w:r w:rsidRPr="00271EFB">
        <w:rPr>
          <w:rFonts w:ascii="Times New Roman" w:hAnsi="Times New Roman"/>
          <w:sz w:val="24"/>
          <w:szCs w:val="24"/>
        </w:rPr>
        <w:t>erred</w:t>
      </w:r>
      <w:proofErr w:type="gramEnd"/>
      <w:r w:rsidRPr="00271EFB">
        <w:rPr>
          <w:rFonts w:ascii="Times New Roman" w:hAnsi="Times New Roman"/>
          <w:sz w:val="24"/>
          <w:szCs w:val="24"/>
        </w:rPr>
        <w:t xml:space="preserve"> in denying the motions for judgment notwithstanding the</w:t>
      </w:r>
      <w:r>
        <w:rPr>
          <w:rFonts w:ascii="Times New Roman" w:hAnsi="Times New Roman"/>
          <w:sz w:val="24"/>
          <w:szCs w:val="24"/>
        </w:rPr>
        <w:t xml:space="preserve"> </w:t>
      </w:r>
      <w:r w:rsidRPr="00271EFB">
        <w:rPr>
          <w:rFonts w:ascii="Times New Roman" w:hAnsi="Times New Roman"/>
          <w:sz w:val="24"/>
          <w:szCs w:val="24"/>
        </w:rPr>
        <w:t xml:space="preserve">verdict so far as the section 1983 cause of action was </w:t>
      </w:r>
      <w:proofErr w:type="gramStart"/>
      <w:r w:rsidRPr="00271EFB">
        <w:rPr>
          <w:rFonts w:ascii="Times New Roman" w:hAnsi="Times New Roman"/>
          <w:sz w:val="24"/>
          <w:szCs w:val="24"/>
        </w:rPr>
        <w:t>concerned.</w:t>
      </w:r>
      <w:r>
        <w:rPr>
          <w:rFonts w:ascii="Times New Roman" w:hAnsi="Times New Roman"/>
          <w:sz w:val="24"/>
          <w:szCs w:val="24"/>
        </w:rPr>
        <w:t>”</w:t>
      </w:r>
      <w:proofErr w:type="gramEnd"/>
      <w:r>
        <w:rPr>
          <w:rFonts w:ascii="Times New Roman" w:hAnsi="Times New Roman"/>
          <w:sz w:val="24"/>
          <w:szCs w:val="24"/>
        </w:rPr>
        <w:t xml:space="preserve"> </w:t>
      </w:r>
      <w:hyperlink r:id="rId2632" w:history="1">
        <w:r w:rsidRPr="0044657D">
          <w:rPr>
            <w:rStyle w:val="Hyperlink"/>
          </w:rPr>
          <w:t>https://www.courts.ca.gov/opinions/nonpub/C096135.PDF</w:t>
        </w:r>
      </w:hyperlink>
      <w:r>
        <w:t xml:space="preserve"> </w:t>
      </w:r>
    </w:p>
    <w:p w14:paraId="7E0B7735" w14:textId="77777777" w:rsidR="00460215" w:rsidRPr="002263B6" w:rsidRDefault="00460215" w:rsidP="00460215">
      <w:pPr>
        <w:pStyle w:val="NormalWeb"/>
        <w:rPr>
          <w:b/>
          <w:bCs/>
        </w:rPr>
      </w:pPr>
      <w:r w:rsidRPr="002263B6">
        <w:rPr>
          <w:b/>
          <w:bCs/>
        </w:rPr>
        <w:t>Legal Lesson Learned:</w:t>
      </w:r>
      <w:r>
        <w:rPr>
          <w:b/>
          <w:bCs/>
        </w:rPr>
        <w:t xml:space="preserve"> Very expensive lesson learned; the Fire Chief should have held a  pre-disciplinary conference, and the Fire Board should have provided a hearing. </w:t>
      </w:r>
    </w:p>
    <w:p w14:paraId="18E931DB" w14:textId="77777777" w:rsidR="00460215" w:rsidRDefault="00460215" w:rsidP="00460215">
      <w:pPr>
        <w:pStyle w:val="NormalWeb"/>
      </w:pPr>
    </w:p>
    <w:p w14:paraId="14F41ECC" w14:textId="6C38F8F9" w:rsidR="00787BFA" w:rsidRDefault="00787BFA" w:rsidP="00F326E5">
      <w:pPr>
        <w:pStyle w:val="NoSpacing"/>
        <w:rPr>
          <w:rFonts w:ascii="Arial Black" w:hAnsi="Arial Black"/>
          <w:sz w:val="24"/>
          <w:szCs w:val="24"/>
        </w:rPr>
      </w:pPr>
      <w:r>
        <w:rPr>
          <w:rFonts w:ascii="Arial Black" w:hAnsi="Arial Black"/>
          <w:sz w:val="24"/>
          <w:szCs w:val="24"/>
        </w:rPr>
        <w:t>16-101</w:t>
      </w:r>
    </w:p>
    <w:p w14:paraId="62B7F616" w14:textId="77777777" w:rsidR="00230D1C" w:rsidRDefault="00230D1C" w:rsidP="00230D1C">
      <w:pPr>
        <w:pStyle w:val="NormalWeb"/>
        <w:rPr>
          <w:rFonts w:ascii="Arial Black" w:hAnsi="Arial Black"/>
          <w:b/>
          <w:bCs/>
          <w:sz w:val="28"/>
          <w:szCs w:val="28"/>
        </w:rPr>
      </w:pPr>
      <w:r>
        <w:rPr>
          <w:rFonts w:ascii="Arial Black" w:hAnsi="Arial Black"/>
          <w:b/>
          <w:bCs/>
          <w:sz w:val="28"/>
          <w:szCs w:val="28"/>
        </w:rPr>
        <w:t>LA: ASSIST. FIRE CHIEF – DEMOTED 6 MO. PROB. PERIOD – TWO REPRIMANDS – CIVIL SERVICE BOARD REVERSED</w:t>
      </w:r>
    </w:p>
    <w:p w14:paraId="4668979D" w14:textId="77777777" w:rsidR="00230D1C" w:rsidRDefault="00230D1C" w:rsidP="00230D1C">
      <w:pPr>
        <w:pStyle w:val="NormalWeb"/>
        <w:rPr>
          <w:b/>
          <w:bCs/>
        </w:rPr>
      </w:pPr>
      <w:r w:rsidRPr="00BF4B35">
        <w:t xml:space="preserve">On Dec. 13, 2023, in </w:t>
      </w:r>
      <w:r w:rsidRPr="007D14BE">
        <w:rPr>
          <w:u w:val="single"/>
        </w:rPr>
        <w:t>E. “Ben” Zahn, III v. Kenner Municipal Fire and Police Civil Service  Board</w:t>
      </w:r>
      <w:r>
        <w:t xml:space="preserve">, the Court of Appeals of Louisiana, Fifth Circuit, held (3 to 0) that the Civil Service Board incorrectly ordered Joseph Sunseri reappointed as Assistant Fire Chief.  The Court wrote:” Mr. Sunseri received written reprimands on January 21, </w:t>
      </w:r>
      <w:proofErr w:type="gramStart"/>
      <w:r>
        <w:t>2019</w:t>
      </w:r>
      <w:proofErr w:type="gramEnd"/>
      <w:r>
        <w:t xml:space="preserve"> and March 29, 2019. The first reprimand was issued because he submitted ‘vague and then inappropriate documentation’ from several of his subordinate firefighters in response to an investigation of property damage that a citizen sustained while the department was responding to a call, in violation of several of the Department's Rules of Conduct. The second reprimand Mr. Sunseri received was for a violation of Rule of Conduct Article 50.2 - Conduct Unbecoming an Officer - after Mr. Sunseri questioned a request to perform welfare checks on Department members out on sick leave due to surgery and stated, ‘This is getting absurd.’ in a February 28, 2019 email addressed to Chief Ryan Bergeron, Chief of Administration Terence Morris, and Chief of Administration Charles Hudson…***The Board's findings do not provide a rational basis for the Board's conclusory finding that Kenner [Fire Department] did not provide Mr. Sunseri a fair opportunity to prove his ability in the position of Assistant Chief. It is not clear from the report what inferences the Board made, or which facts it determined Mr. Sunseri proved in support of his appeal (other than Kenner's failure to timely provide written notice of his rejection pursuant to La. R.S. 33:2495(C)). The lack of evidence to support the Board's decision left the district court no choice but to conclude that the Board's decision was arbitrary and </w:t>
      </w:r>
      <w:proofErr w:type="gramStart"/>
      <w:r>
        <w:t>capricious, and</w:t>
      </w:r>
      <w:proofErr w:type="gramEnd"/>
      <w:r>
        <w:t xml:space="preserve"> not made in good faith and for statutory cause.” </w:t>
      </w:r>
      <w:hyperlink r:id="rId2633" w:history="1">
        <w:r w:rsidRPr="009A4BDE">
          <w:rPr>
            <w:rStyle w:val="Hyperlink"/>
          </w:rPr>
          <w:t>https://casetext.com/case/zahn-v-kenner-mun-fire-police-civil-serv-bd</w:t>
        </w:r>
      </w:hyperlink>
      <w:r>
        <w:t xml:space="preserve"> </w:t>
      </w:r>
    </w:p>
    <w:p w14:paraId="087E81D0" w14:textId="77777777" w:rsidR="00ED6448" w:rsidRDefault="00ED6448" w:rsidP="00ED6448">
      <w:pPr>
        <w:pStyle w:val="NormalWeb"/>
        <w:rPr>
          <w:b/>
          <w:bCs/>
        </w:rPr>
      </w:pPr>
      <w:r>
        <w:rPr>
          <w:b/>
          <w:bCs/>
        </w:rPr>
        <w:t xml:space="preserve">Legal Lesson Learned: The Civil Service Board failed to write detailed “Finding of Fact” to support reinstatement decision. When appealing to the Board, the firefighter should consider videotaping and transcribing the proceedings. </w:t>
      </w:r>
    </w:p>
    <w:p w14:paraId="4A9F777E" w14:textId="77777777" w:rsidR="00230D1C" w:rsidRDefault="00230D1C" w:rsidP="00F326E5">
      <w:pPr>
        <w:pStyle w:val="NoSpacing"/>
        <w:rPr>
          <w:rFonts w:ascii="Arial Black" w:hAnsi="Arial Black"/>
          <w:sz w:val="24"/>
          <w:szCs w:val="24"/>
        </w:rPr>
      </w:pPr>
    </w:p>
    <w:p w14:paraId="7974626C" w14:textId="77777777" w:rsidR="00787BFA" w:rsidRDefault="00787BFA" w:rsidP="00F326E5">
      <w:pPr>
        <w:pStyle w:val="NoSpacing"/>
        <w:rPr>
          <w:rFonts w:ascii="Arial Black" w:hAnsi="Arial Black"/>
          <w:sz w:val="24"/>
          <w:szCs w:val="24"/>
        </w:rPr>
      </w:pPr>
    </w:p>
    <w:p w14:paraId="314CD559" w14:textId="77777777" w:rsidR="00787BFA" w:rsidRDefault="00787BFA" w:rsidP="00F326E5">
      <w:pPr>
        <w:pStyle w:val="NoSpacing"/>
        <w:rPr>
          <w:rFonts w:ascii="Arial Black" w:hAnsi="Arial Black"/>
          <w:sz w:val="24"/>
          <w:szCs w:val="24"/>
        </w:rPr>
      </w:pPr>
    </w:p>
    <w:p w14:paraId="67A876D4" w14:textId="00F0CF49" w:rsidR="009F4E32" w:rsidRDefault="00024992" w:rsidP="00F326E5">
      <w:pPr>
        <w:pStyle w:val="NoSpacing"/>
        <w:rPr>
          <w:rFonts w:ascii="Arial Black" w:hAnsi="Arial Black"/>
          <w:sz w:val="24"/>
          <w:szCs w:val="24"/>
        </w:rPr>
      </w:pPr>
      <w:r>
        <w:rPr>
          <w:rFonts w:ascii="Arial Black" w:hAnsi="Arial Black"/>
          <w:sz w:val="24"/>
          <w:szCs w:val="24"/>
        </w:rPr>
        <w:t>16-100</w:t>
      </w:r>
    </w:p>
    <w:p w14:paraId="7328B403" w14:textId="77777777" w:rsidR="00147626" w:rsidRDefault="00147626" w:rsidP="00147626">
      <w:pPr>
        <w:pStyle w:val="NormalWeb"/>
        <w:rPr>
          <w:rFonts w:ascii="Arial Black" w:hAnsi="Arial Black"/>
          <w:b/>
          <w:bCs/>
          <w:sz w:val="28"/>
          <w:szCs w:val="28"/>
        </w:rPr>
      </w:pPr>
      <w:r>
        <w:rPr>
          <w:rFonts w:ascii="Arial Black" w:hAnsi="Arial Black"/>
          <w:b/>
          <w:bCs/>
          <w:sz w:val="28"/>
          <w:szCs w:val="28"/>
        </w:rPr>
        <w:t>LA: ASSIST. FIRE CHIEF – DEMOTED 6 MO. PROB. PERIOD – TWO REPRIMANDS – CIVIL SERVICE BOARD REVERSED</w:t>
      </w:r>
    </w:p>
    <w:p w14:paraId="7B8ED50A" w14:textId="77777777" w:rsidR="00147626" w:rsidRDefault="00147626" w:rsidP="00147626">
      <w:pPr>
        <w:pStyle w:val="NormalWeb"/>
      </w:pPr>
      <w:r w:rsidRPr="00BF4B35">
        <w:t xml:space="preserve">On Dec. 13, 2023, in </w:t>
      </w:r>
      <w:r w:rsidRPr="007D14BE">
        <w:rPr>
          <w:u w:val="single"/>
        </w:rPr>
        <w:t>E. “Ben” Zahn, III v. Kenner Municipal Fire and Police Civil Service  Board</w:t>
      </w:r>
      <w:r>
        <w:t xml:space="preserve">, the Court of Appeals of Louisiana, Fifth Circuit, held (3 to 0) that the Civil Service Board incorrectly ordered Joseph Sunseri reappointed as Assistant Fire Chief.  The Court wrote:” Mr. Sunseri received written reprimands on January 21, </w:t>
      </w:r>
      <w:proofErr w:type="gramStart"/>
      <w:r>
        <w:lastRenderedPageBreak/>
        <w:t>2019</w:t>
      </w:r>
      <w:proofErr w:type="gramEnd"/>
      <w:r>
        <w:t xml:space="preserve"> and March 29, 2019. The first reprimand was issued because he submitted ‘vague and then inappropriate documentation’ from several of his subordinate firefighters in response to an investigation of property damage that a citizen sustained while the department was responding to a call, in violation of several of the Department's Rules of Conduct. The second reprimand Mr. Sunseri received was for a violation of Rule of Conduct Article 50.2 - Conduct Unbecoming an Officer - after Mr. Sunseri questioned a request to perform welfare checks on Department members out on sick leave due to surgery and stated, ‘This is getting absurd.’ in a February 28, 2019 email addressed to Chief Ryan Bergeron, Chief of Administration Terence Morris, and Chief of Administration Charles Hudson…***The Board's findings do not provide a rational basis for the Board's conclusory finding that Kenner [Fire Department] did not provide Mr. Sunseri a fair opportunity to prove his ability in the position of Assistant Chief. It is not clear from the report what inferences the Board made, or which facts it determined Mr. Sunseri proved in support of his appeal (other than Kenner's failure to timely provide written notice of his rejection pursuant to La. R.S. 33:2495(C)). The lack of evidence to support the Board's decision left the district court no choice but to conclude that the Board's decision was arbitrary and </w:t>
      </w:r>
      <w:proofErr w:type="gramStart"/>
      <w:r>
        <w:t>capricious, and</w:t>
      </w:r>
      <w:proofErr w:type="gramEnd"/>
      <w:r>
        <w:t xml:space="preserve"> not made in good faith and for statutory cause.” </w:t>
      </w:r>
      <w:hyperlink r:id="rId2634" w:history="1">
        <w:r w:rsidRPr="009A4BDE">
          <w:rPr>
            <w:rStyle w:val="Hyperlink"/>
          </w:rPr>
          <w:t>https://casetext.com/case/zahn-v-kenner-mun-fire-police-civil-serv-bd</w:t>
        </w:r>
      </w:hyperlink>
      <w:r>
        <w:t xml:space="preserve"> </w:t>
      </w:r>
    </w:p>
    <w:p w14:paraId="683A9D9D" w14:textId="77777777" w:rsidR="00787BFA" w:rsidRDefault="00787BFA" w:rsidP="00787BFA">
      <w:pPr>
        <w:pStyle w:val="NormalWeb"/>
        <w:rPr>
          <w:b/>
          <w:bCs/>
        </w:rPr>
      </w:pPr>
      <w:r>
        <w:rPr>
          <w:b/>
          <w:bCs/>
        </w:rPr>
        <w:t xml:space="preserve">Legal Lesson Learned: The Civil Service Board failed to write detailed “Finding of Fact” to support reinstatement decision. When appealing to the Board, the firefighter should consider videotaping and transcribing the proceedings. </w:t>
      </w:r>
    </w:p>
    <w:p w14:paraId="5119DCDB" w14:textId="77777777" w:rsidR="00787BFA" w:rsidRDefault="00787BFA" w:rsidP="00147626">
      <w:pPr>
        <w:pStyle w:val="NormalWeb"/>
        <w:rPr>
          <w:b/>
          <w:bCs/>
        </w:rPr>
      </w:pPr>
    </w:p>
    <w:p w14:paraId="796489F0" w14:textId="77777777" w:rsidR="00024992" w:rsidRDefault="00024992" w:rsidP="00F326E5">
      <w:pPr>
        <w:pStyle w:val="NoSpacing"/>
        <w:rPr>
          <w:rFonts w:ascii="Arial Black" w:hAnsi="Arial Black"/>
          <w:sz w:val="24"/>
          <w:szCs w:val="24"/>
        </w:rPr>
      </w:pPr>
    </w:p>
    <w:p w14:paraId="54F1B51B" w14:textId="77777777" w:rsidR="00024992" w:rsidRDefault="00024992" w:rsidP="00F326E5">
      <w:pPr>
        <w:pStyle w:val="NoSpacing"/>
        <w:rPr>
          <w:rFonts w:ascii="Arial Black" w:hAnsi="Arial Black"/>
          <w:sz w:val="24"/>
          <w:szCs w:val="24"/>
        </w:rPr>
      </w:pPr>
    </w:p>
    <w:p w14:paraId="23C5A7ED" w14:textId="77777777" w:rsidR="00024992" w:rsidRDefault="00024992" w:rsidP="00F326E5">
      <w:pPr>
        <w:pStyle w:val="NoSpacing"/>
        <w:rPr>
          <w:rFonts w:ascii="Arial Black" w:hAnsi="Arial Black"/>
          <w:sz w:val="24"/>
          <w:szCs w:val="24"/>
        </w:rPr>
      </w:pPr>
    </w:p>
    <w:p w14:paraId="6708A5EB" w14:textId="57BDB495" w:rsidR="009F4E32" w:rsidRDefault="009F4E32" w:rsidP="00F326E5">
      <w:pPr>
        <w:pStyle w:val="NoSpacing"/>
        <w:rPr>
          <w:rFonts w:ascii="Arial Black" w:hAnsi="Arial Black"/>
          <w:sz w:val="24"/>
          <w:szCs w:val="24"/>
        </w:rPr>
      </w:pPr>
      <w:r>
        <w:rPr>
          <w:rFonts w:ascii="Arial Black" w:hAnsi="Arial Black"/>
          <w:sz w:val="24"/>
          <w:szCs w:val="24"/>
        </w:rPr>
        <w:t>16-99</w:t>
      </w:r>
    </w:p>
    <w:p w14:paraId="02B7F1CC" w14:textId="77777777" w:rsidR="009F4E32" w:rsidRPr="00717F66" w:rsidRDefault="009F4E32" w:rsidP="009F4E32">
      <w:pPr>
        <w:pStyle w:val="NormalWeb"/>
        <w:rPr>
          <w:rFonts w:ascii="Arial Black" w:hAnsi="Arial Black"/>
          <w:b/>
          <w:bCs/>
          <w:sz w:val="28"/>
          <w:szCs w:val="28"/>
        </w:rPr>
      </w:pPr>
      <w:r>
        <w:rPr>
          <w:rFonts w:ascii="Arial Black" w:hAnsi="Arial Black"/>
          <w:b/>
          <w:bCs/>
          <w:sz w:val="28"/>
          <w:szCs w:val="28"/>
        </w:rPr>
        <w:t xml:space="preserve">IN: FF MEDICAL LEAVE – BUT WORKING MEDIC ANOTHER FD – FALSE DISAB. BENEFITS APPLICATION – FIRED  </w:t>
      </w:r>
    </w:p>
    <w:p w14:paraId="65C3D2A8" w14:textId="77777777" w:rsidR="009F4E32" w:rsidRDefault="009F4E32" w:rsidP="009F4E32">
      <w:pPr>
        <w:pStyle w:val="NormalWeb"/>
      </w:pPr>
      <w:r w:rsidRPr="00625E97">
        <w:t xml:space="preserve">On Dec. 8, 2023, in </w:t>
      </w:r>
      <w:r w:rsidRPr="00625E97">
        <w:rPr>
          <w:u w:val="single"/>
        </w:rPr>
        <w:t>Mark A. Goodlett v. Town of Clarksville and Town of Clarksville Fire Department,</w:t>
      </w:r>
      <w:r w:rsidRPr="00625E97">
        <w:t xml:space="preserve"> </w:t>
      </w:r>
      <w:r>
        <w:t xml:space="preserve">the Court of Appeals of Indiana held (3 to 0) that trial court judge properly upheld the termination of the firefighter. Progressive discipline policy is only a “guide.” The Court held:  “The Board [Town of Clarksville Board of Police and Fire Commissioners] properly exercised its authority under </w:t>
      </w:r>
      <w:hyperlink r:id="rId2635" w:history="1">
        <w:r>
          <w:rPr>
            <w:rStyle w:val="Hyperlink"/>
          </w:rPr>
          <w:t>Indiana Code section 36-8-3-4</w:t>
        </w:r>
      </w:hyperlink>
      <w:r>
        <w:t xml:space="preserve"> and the department's General Orders. Accordingly, the Board's decision to terminate Goodlett for neglect of duty, immoral conduct, conduct unbecoming an officer, violations of department rules, and breaches of discipline was not arbitrary and capricious, and it did not otherwise violate Goodlett's due process rights.” </w:t>
      </w:r>
      <w:hyperlink r:id="rId2636" w:history="1">
        <w:r w:rsidRPr="0024537E">
          <w:rPr>
            <w:rStyle w:val="Hyperlink"/>
          </w:rPr>
          <w:t>https://casetext.com/case/goodlett-v-town-of-clarksville</w:t>
        </w:r>
      </w:hyperlink>
      <w:r>
        <w:t xml:space="preserve"> </w:t>
      </w:r>
    </w:p>
    <w:p w14:paraId="508F3DA8" w14:textId="77777777" w:rsidR="00024992" w:rsidRPr="003845F4" w:rsidRDefault="00024992" w:rsidP="00024992">
      <w:pPr>
        <w:pStyle w:val="paragraph"/>
        <w:rPr>
          <w:b/>
          <w:bCs/>
        </w:rPr>
      </w:pPr>
      <w:r w:rsidRPr="003845F4">
        <w:rPr>
          <w:b/>
          <w:bCs/>
        </w:rPr>
        <w:t xml:space="preserve">Legal Lesson Learned:  </w:t>
      </w:r>
      <w:r>
        <w:rPr>
          <w:b/>
          <w:bCs/>
        </w:rPr>
        <w:t xml:space="preserve">Progressive discipline policy stated it is “merely a guide.” </w:t>
      </w:r>
    </w:p>
    <w:p w14:paraId="2FE51734" w14:textId="77777777" w:rsidR="009F4E32" w:rsidRDefault="009F4E32" w:rsidP="00F326E5">
      <w:pPr>
        <w:pStyle w:val="NoSpacing"/>
        <w:rPr>
          <w:rFonts w:ascii="Arial Black" w:hAnsi="Arial Black"/>
          <w:sz w:val="24"/>
          <w:szCs w:val="24"/>
        </w:rPr>
      </w:pPr>
    </w:p>
    <w:p w14:paraId="0221527B" w14:textId="77777777" w:rsidR="009F4E32" w:rsidRDefault="009F4E32" w:rsidP="00F326E5">
      <w:pPr>
        <w:pStyle w:val="NoSpacing"/>
        <w:rPr>
          <w:rFonts w:ascii="Arial Black" w:hAnsi="Arial Black"/>
          <w:sz w:val="24"/>
          <w:szCs w:val="24"/>
        </w:rPr>
      </w:pPr>
    </w:p>
    <w:p w14:paraId="7542A717" w14:textId="77777777" w:rsidR="0042334A" w:rsidRDefault="0042334A" w:rsidP="00F326E5">
      <w:pPr>
        <w:pStyle w:val="NoSpacing"/>
        <w:rPr>
          <w:rFonts w:ascii="Arial Black" w:hAnsi="Arial Black"/>
          <w:sz w:val="24"/>
          <w:szCs w:val="24"/>
        </w:rPr>
      </w:pPr>
    </w:p>
    <w:p w14:paraId="3EC4DE6C" w14:textId="13C88AEF" w:rsidR="0042334A" w:rsidRDefault="0042334A" w:rsidP="00F326E5">
      <w:pPr>
        <w:pStyle w:val="NoSpacing"/>
        <w:rPr>
          <w:rFonts w:ascii="Arial Black" w:hAnsi="Arial Black"/>
          <w:sz w:val="24"/>
          <w:szCs w:val="24"/>
        </w:rPr>
      </w:pPr>
      <w:r>
        <w:rPr>
          <w:rFonts w:ascii="Arial Black" w:hAnsi="Arial Black"/>
          <w:sz w:val="24"/>
          <w:szCs w:val="24"/>
        </w:rPr>
        <w:t>16-98</w:t>
      </w:r>
    </w:p>
    <w:p w14:paraId="3FC87A0E" w14:textId="77777777" w:rsidR="0042334A" w:rsidRDefault="0042334A" w:rsidP="00F326E5">
      <w:pPr>
        <w:pStyle w:val="NoSpacing"/>
        <w:rPr>
          <w:rFonts w:ascii="Arial Black" w:hAnsi="Arial Black"/>
          <w:sz w:val="24"/>
          <w:szCs w:val="24"/>
        </w:rPr>
      </w:pPr>
    </w:p>
    <w:p w14:paraId="4FEA0319" w14:textId="77777777" w:rsidR="00706FEC" w:rsidRDefault="00706FEC" w:rsidP="00706FEC">
      <w:pPr>
        <w:pStyle w:val="NoSpacing"/>
        <w:rPr>
          <w:rFonts w:ascii="Arial Black" w:hAnsi="Arial Black"/>
          <w:b/>
          <w:sz w:val="28"/>
          <w:szCs w:val="28"/>
        </w:rPr>
      </w:pPr>
      <w:r>
        <w:rPr>
          <w:rFonts w:ascii="Arial Black" w:hAnsi="Arial Black"/>
          <w:b/>
          <w:sz w:val="28"/>
          <w:szCs w:val="28"/>
        </w:rPr>
        <w:t>MI: FIRE CHIEF FIRED – MAYOR REFUSED TO FIRE TWO FF AFTER DEATH 2 BOYS – 1</w:t>
      </w:r>
      <w:r w:rsidRPr="002F340D">
        <w:rPr>
          <w:rFonts w:ascii="Arial Black" w:hAnsi="Arial Black"/>
          <w:b/>
          <w:sz w:val="28"/>
          <w:szCs w:val="28"/>
          <w:vertAlign w:val="superscript"/>
        </w:rPr>
        <w:t>st</w:t>
      </w:r>
      <w:r>
        <w:rPr>
          <w:rFonts w:ascii="Arial Black" w:hAnsi="Arial Black"/>
          <w:b/>
          <w:sz w:val="28"/>
          <w:szCs w:val="28"/>
        </w:rPr>
        <w:t xml:space="preserve"> AMEND. RETALIATION PROCEED </w:t>
      </w:r>
    </w:p>
    <w:p w14:paraId="1B2E4E73" w14:textId="77777777" w:rsidR="00706FEC" w:rsidRDefault="00706FEC" w:rsidP="00706FEC">
      <w:pPr>
        <w:pStyle w:val="NoSpacing"/>
        <w:rPr>
          <w:rFonts w:ascii="Times New Roman" w:hAnsi="Times New Roman"/>
          <w:bCs/>
          <w:sz w:val="24"/>
          <w:szCs w:val="24"/>
        </w:rPr>
      </w:pPr>
    </w:p>
    <w:p w14:paraId="28DFC9B5" w14:textId="4FB984F3" w:rsidR="00706FEC" w:rsidRDefault="00706FEC" w:rsidP="00706FEC">
      <w:pPr>
        <w:pStyle w:val="NoSpacing"/>
        <w:rPr>
          <w:rFonts w:ascii="Times New Roman" w:hAnsi="Times New Roman"/>
          <w:bCs/>
          <w:sz w:val="24"/>
          <w:szCs w:val="24"/>
        </w:rPr>
      </w:pPr>
      <w:r w:rsidRPr="00C755A6">
        <w:rPr>
          <w:rFonts w:ascii="Times New Roman" w:hAnsi="Times New Roman"/>
          <w:bCs/>
          <w:sz w:val="24"/>
          <w:szCs w:val="24"/>
        </w:rPr>
        <w:t xml:space="preserve">On Nov. 20, 2023, in </w:t>
      </w:r>
      <w:r w:rsidRPr="00AE5219">
        <w:rPr>
          <w:rFonts w:ascii="Times New Roman" w:hAnsi="Times New Roman"/>
          <w:bCs/>
          <w:sz w:val="24"/>
          <w:szCs w:val="24"/>
          <w:u w:val="single"/>
        </w:rPr>
        <w:t>Raymond C. Barton v. Sheldon Neely and City of Flint, Michigan</w:t>
      </w:r>
      <w:r>
        <w:rPr>
          <w:rFonts w:ascii="Times New Roman" w:hAnsi="Times New Roman"/>
          <w:bCs/>
          <w:sz w:val="24"/>
          <w:szCs w:val="24"/>
        </w:rPr>
        <w:t xml:space="preserve">, U.S. District Court Judge Nancy G. Edmunds held that the former Fire Chiefs claim of First Amendment retaliation may proceed against the Mayor and the City. The Court refused to grant qualified immunity to the </w:t>
      </w:r>
      <w:proofErr w:type="gramStart"/>
      <w:r>
        <w:rPr>
          <w:rFonts w:ascii="Times New Roman" w:hAnsi="Times New Roman"/>
          <w:bCs/>
          <w:sz w:val="24"/>
          <w:szCs w:val="24"/>
        </w:rPr>
        <w:t>Mayor</w:t>
      </w:r>
      <w:proofErr w:type="gramEnd"/>
      <w:r>
        <w:rPr>
          <w:rFonts w:ascii="Times New Roman" w:hAnsi="Times New Roman"/>
          <w:bCs/>
          <w:sz w:val="24"/>
          <w:szCs w:val="24"/>
        </w:rPr>
        <w:t xml:space="preserve"> and ordered pre-trial discovery to proceed.  While the Fire Chief was an “at will” employee, he is protected from retaliation for telling City Council that he recommended termination of two firefighters for failure to find two boys during search second floor of house fire.  </w:t>
      </w:r>
      <w:proofErr w:type="gramStart"/>
      <w:r>
        <w:rPr>
          <w:rFonts w:ascii="Times New Roman" w:hAnsi="Times New Roman"/>
          <w:bCs/>
          <w:sz w:val="24"/>
          <w:szCs w:val="24"/>
        </w:rPr>
        <w:t>Mayor’s</w:t>
      </w:r>
      <w:proofErr w:type="gramEnd"/>
      <w:r>
        <w:rPr>
          <w:rFonts w:ascii="Times New Roman" w:hAnsi="Times New Roman"/>
          <w:bCs/>
          <w:sz w:val="24"/>
          <w:szCs w:val="24"/>
        </w:rPr>
        <w:t xml:space="preserve"> repeatedly told Fire Chief to only suspend the firefighters since Mayor was running for reelection and wanted Union support. </w:t>
      </w:r>
      <w:hyperlink r:id="rId2637" w:history="1">
        <w:r w:rsidRPr="00553FEF">
          <w:rPr>
            <w:rStyle w:val="Hyperlink"/>
            <w:rFonts w:ascii="Times New Roman" w:hAnsi="Times New Roman"/>
            <w:bCs/>
            <w:sz w:val="24"/>
            <w:szCs w:val="24"/>
          </w:rPr>
          <w:t>https://cases.justia.com/federal/district-courts/michigan/miedce/2:2023cv10051/366865/15/0.pdf?ts=1700584910</w:t>
        </w:r>
      </w:hyperlink>
      <w:r>
        <w:rPr>
          <w:rFonts w:ascii="Times New Roman" w:hAnsi="Times New Roman"/>
          <w:bCs/>
          <w:sz w:val="24"/>
          <w:szCs w:val="24"/>
        </w:rPr>
        <w:t xml:space="preserve"> </w:t>
      </w:r>
    </w:p>
    <w:p w14:paraId="055ABC7F" w14:textId="77777777" w:rsidR="00286CE9" w:rsidRDefault="00286CE9" w:rsidP="00706FEC">
      <w:pPr>
        <w:pStyle w:val="NoSpacing"/>
        <w:rPr>
          <w:rFonts w:ascii="Times New Roman" w:hAnsi="Times New Roman"/>
          <w:bCs/>
          <w:sz w:val="24"/>
          <w:szCs w:val="24"/>
        </w:rPr>
      </w:pPr>
    </w:p>
    <w:p w14:paraId="62384D65" w14:textId="77777777" w:rsidR="00286CE9" w:rsidRDefault="00286CE9" w:rsidP="00286CE9">
      <w:pPr>
        <w:pStyle w:val="NoSpacing"/>
        <w:rPr>
          <w:rFonts w:ascii="Times New Roman" w:hAnsi="Times New Roman"/>
          <w:b/>
          <w:sz w:val="24"/>
          <w:szCs w:val="24"/>
        </w:rPr>
      </w:pPr>
      <w:r w:rsidRPr="00B662B4">
        <w:rPr>
          <w:rFonts w:ascii="Times New Roman" w:hAnsi="Times New Roman"/>
          <w:b/>
          <w:sz w:val="24"/>
          <w:szCs w:val="24"/>
        </w:rPr>
        <w:t>Legal Lesson Learned:</w:t>
      </w:r>
      <w:r>
        <w:rPr>
          <w:rFonts w:ascii="Times New Roman" w:hAnsi="Times New Roman"/>
          <w:b/>
          <w:sz w:val="24"/>
          <w:szCs w:val="24"/>
        </w:rPr>
        <w:t xml:space="preserve">  Even “at will” Fire Chiefs are protected from retaliation for his First Amendment comments to City Council as a private citizen. </w:t>
      </w:r>
    </w:p>
    <w:p w14:paraId="24FE1933" w14:textId="77777777" w:rsidR="00286CE9" w:rsidRDefault="00286CE9" w:rsidP="00286CE9">
      <w:pPr>
        <w:pStyle w:val="Heading1"/>
        <w:ind w:left="720"/>
        <w:rPr>
          <w:b w:val="0"/>
          <w:bCs w:val="0"/>
          <w:sz w:val="24"/>
          <w:szCs w:val="24"/>
        </w:rPr>
      </w:pPr>
      <w:r w:rsidRPr="00064C32">
        <w:rPr>
          <w:b w:val="0"/>
          <w:sz w:val="24"/>
          <w:szCs w:val="24"/>
        </w:rPr>
        <w:t>Note: See Nov. 2</w:t>
      </w:r>
      <w:r>
        <w:rPr>
          <w:b w:val="0"/>
          <w:sz w:val="24"/>
          <w:szCs w:val="24"/>
        </w:rPr>
        <w:t>0</w:t>
      </w:r>
      <w:r w:rsidRPr="00064C32">
        <w:rPr>
          <w:b w:val="0"/>
          <w:sz w:val="24"/>
          <w:szCs w:val="24"/>
        </w:rPr>
        <w:t xml:space="preserve">, </w:t>
      </w:r>
      <w:proofErr w:type="gramStart"/>
      <w:r w:rsidRPr="00064C32">
        <w:rPr>
          <w:b w:val="0"/>
          <w:sz w:val="24"/>
          <w:szCs w:val="24"/>
        </w:rPr>
        <w:t>2023</w:t>
      </w:r>
      <w:proofErr w:type="gramEnd"/>
      <w:r w:rsidRPr="00064C32">
        <w:rPr>
          <w:b w:val="0"/>
          <w:sz w:val="24"/>
          <w:szCs w:val="24"/>
        </w:rPr>
        <w:t xml:space="preserve"> article, </w:t>
      </w:r>
      <w:r w:rsidRPr="00A7321C">
        <w:rPr>
          <w:b w:val="0"/>
          <w:bCs w:val="0"/>
          <w:sz w:val="24"/>
          <w:szCs w:val="24"/>
        </w:rPr>
        <w:t xml:space="preserve">“Judge rules lawsuit filed by former fire chief against Flint mayor can continue.” </w:t>
      </w:r>
      <w:hyperlink r:id="rId2638" w:history="1">
        <w:r w:rsidRPr="00A7321C">
          <w:rPr>
            <w:rStyle w:val="Hyperlink"/>
            <w:b w:val="0"/>
            <w:bCs w:val="0"/>
            <w:sz w:val="24"/>
            <w:szCs w:val="24"/>
          </w:rPr>
          <w:t>https://midmichigannow.com/news/local/judge-rules-lawsuit-filed-by-former-fire-chief-against-flint-mayor-can-continue</w:t>
        </w:r>
      </w:hyperlink>
      <w:r w:rsidRPr="00A7321C">
        <w:rPr>
          <w:b w:val="0"/>
          <w:bCs w:val="0"/>
          <w:sz w:val="24"/>
          <w:szCs w:val="24"/>
        </w:rPr>
        <w:t xml:space="preserve"> </w:t>
      </w:r>
    </w:p>
    <w:p w14:paraId="43197685" w14:textId="77777777" w:rsidR="00286CE9" w:rsidRDefault="00286CE9" w:rsidP="00286CE9">
      <w:pPr>
        <w:pStyle w:val="NoSpacing"/>
        <w:ind w:firstLine="720"/>
        <w:rPr>
          <w:rFonts w:ascii="Times New Roman" w:hAnsi="Times New Roman"/>
          <w:bCs/>
          <w:sz w:val="24"/>
          <w:szCs w:val="24"/>
        </w:rPr>
      </w:pPr>
      <w:r>
        <w:rPr>
          <w:rFonts w:ascii="Times New Roman" w:hAnsi="Times New Roman"/>
          <w:bCs/>
          <w:sz w:val="24"/>
          <w:szCs w:val="24"/>
        </w:rPr>
        <w:t xml:space="preserve">The </w:t>
      </w:r>
      <w:r w:rsidRPr="00A05EF8">
        <w:rPr>
          <w:rFonts w:ascii="Times New Roman" w:hAnsi="Times New Roman"/>
          <w:bCs/>
          <w:sz w:val="24"/>
          <w:szCs w:val="24"/>
        </w:rPr>
        <w:t xml:space="preserve">Court </w:t>
      </w:r>
      <w:r>
        <w:rPr>
          <w:rFonts w:ascii="Times New Roman" w:hAnsi="Times New Roman"/>
          <w:bCs/>
          <w:sz w:val="24"/>
          <w:szCs w:val="24"/>
        </w:rPr>
        <w:t>referenced detailed facts from the Fire Chiefs amended complaint:</w:t>
      </w:r>
      <w:r w:rsidRPr="00A05EF8">
        <w:rPr>
          <w:rFonts w:ascii="Times New Roman" w:hAnsi="Times New Roman"/>
          <w:bCs/>
          <w:sz w:val="24"/>
          <w:szCs w:val="24"/>
        </w:rPr>
        <w:t xml:space="preserve"> </w:t>
      </w:r>
    </w:p>
    <w:p w14:paraId="42E4A09C" w14:textId="77777777" w:rsidR="00286CE9" w:rsidRDefault="00286CE9" w:rsidP="00286CE9">
      <w:pPr>
        <w:pStyle w:val="NoSpacing"/>
        <w:rPr>
          <w:rFonts w:ascii="Times New Roman" w:hAnsi="Times New Roman"/>
          <w:bCs/>
          <w:sz w:val="24"/>
          <w:szCs w:val="24"/>
        </w:rPr>
      </w:pPr>
    </w:p>
    <w:p w14:paraId="57F267C6" w14:textId="77777777" w:rsidR="00286CE9" w:rsidRPr="00E90346" w:rsidRDefault="00286CE9" w:rsidP="00286CE9">
      <w:pPr>
        <w:pStyle w:val="NoSpacing"/>
        <w:rPr>
          <w:rFonts w:ascii="Times New Roman" w:hAnsi="Times New Roman"/>
          <w:b/>
          <w:sz w:val="24"/>
          <w:szCs w:val="24"/>
        </w:rPr>
      </w:pPr>
      <w:r>
        <w:rPr>
          <w:rFonts w:ascii="Times New Roman" w:hAnsi="Times New Roman"/>
          <w:bCs/>
          <w:sz w:val="24"/>
          <w:szCs w:val="24"/>
        </w:rPr>
        <w:tab/>
      </w:r>
      <w:r>
        <w:rPr>
          <w:rFonts w:ascii="Times New Roman" w:hAnsi="Times New Roman"/>
          <w:b/>
          <w:sz w:val="24"/>
          <w:szCs w:val="24"/>
        </w:rPr>
        <w:t>“</w:t>
      </w:r>
      <w:r w:rsidRPr="00E90346">
        <w:rPr>
          <w:rFonts w:ascii="Times New Roman" w:hAnsi="Times New Roman"/>
          <w:bCs/>
          <w:sz w:val="24"/>
          <w:szCs w:val="24"/>
        </w:rPr>
        <w:t>This lawsuit arises out of the discharge of Plaintiff from his position as Flint City</w:t>
      </w:r>
    </w:p>
    <w:p w14:paraId="0983EE60" w14:textId="77777777" w:rsidR="00286CE9" w:rsidRDefault="00286CE9" w:rsidP="00286CE9">
      <w:pPr>
        <w:pStyle w:val="NoSpacing"/>
        <w:ind w:left="720"/>
        <w:rPr>
          <w:rFonts w:ascii="Times New Roman" w:hAnsi="Times New Roman"/>
          <w:bCs/>
          <w:sz w:val="24"/>
          <w:szCs w:val="24"/>
        </w:rPr>
      </w:pPr>
      <w:r w:rsidRPr="00E90346">
        <w:rPr>
          <w:rFonts w:ascii="Times New Roman" w:hAnsi="Times New Roman"/>
          <w:bCs/>
          <w:sz w:val="24"/>
          <w:szCs w:val="24"/>
        </w:rPr>
        <w:t xml:space="preserve">Fire Chief by Defendant Neely, Flint City Mayor. On May 28, 2022, a fire broke out at a house on Pulaski Street in Flint, Michigan. (ECF No. 2, PageID.18–19.) Six firefighters arrived at the scene of the fire, where they were told that residents were likely still inside. (Id. at PageID.19.) Two firefighters conducted a search for </w:t>
      </w:r>
      <w:proofErr w:type="gramStart"/>
      <w:r w:rsidRPr="00E90346">
        <w:rPr>
          <w:rFonts w:ascii="Times New Roman" w:hAnsi="Times New Roman"/>
          <w:bCs/>
          <w:sz w:val="24"/>
          <w:szCs w:val="24"/>
        </w:rPr>
        <w:t>persons</w:t>
      </w:r>
      <w:proofErr w:type="gramEnd"/>
      <w:r w:rsidRPr="00E90346">
        <w:rPr>
          <w:rFonts w:ascii="Times New Roman" w:hAnsi="Times New Roman"/>
          <w:bCs/>
          <w:sz w:val="24"/>
          <w:szCs w:val="24"/>
        </w:rPr>
        <w:t xml:space="preserve"> on the second floor of the home. (Id.) Both claimed they thoroughly searched all rooms on the upper level and used infrared equipment and thermal imaging to aid in the search. (Id.) The two firefighters then returned to the first floor and told the other firefighters there was no one else in the home. (Id.) At that point, a second set of firefighters went up to the second floor and immediately found two young boys in a bedroom. (Id. at PageID.20.) Neither boy was covered by any objects or obstructions and were visible to the naked eye. (Id.) The boys were discovered approximately seven minutes after the first two firefighters had asserted that the house was all clear. (Id.) The boys died </w:t>
      </w:r>
      <w:proofErr w:type="gramStart"/>
      <w:r w:rsidRPr="00E90346">
        <w:rPr>
          <w:rFonts w:ascii="Times New Roman" w:hAnsi="Times New Roman"/>
          <w:bCs/>
          <w:sz w:val="24"/>
          <w:szCs w:val="24"/>
        </w:rPr>
        <w:t>as a result of</w:t>
      </w:r>
      <w:proofErr w:type="gramEnd"/>
      <w:r w:rsidRPr="00E90346">
        <w:rPr>
          <w:rFonts w:ascii="Times New Roman" w:hAnsi="Times New Roman"/>
          <w:bCs/>
          <w:sz w:val="24"/>
          <w:szCs w:val="24"/>
        </w:rPr>
        <w:t xml:space="preserve"> the fire. (Id. at PageID.17.)</w:t>
      </w:r>
    </w:p>
    <w:p w14:paraId="255C8B61" w14:textId="77777777" w:rsidR="00286CE9" w:rsidRDefault="00286CE9" w:rsidP="00286CE9">
      <w:pPr>
        <w:pStyle w:val="NoSpacing"/>
        <w:ind w:left="720"/>
        <w:rPr>
          <w:rFonts w:ascii="Times New Roman" w:hAnsi="Times New Roman"/>
          <w:bCs/>
          <w:sz w:val="24"/>
          <w:szCs w:val="24"/>
        </w:rPr>
      </w:pPr>
    </w:p>
    <w:p w14:paraId="6A5BCC0C" w14:textId="77777777" w:rsidR="00286CE9" w:rsidRPr="00E90346" w:rsidRDefault="00286CE9" w:rsidP="00286CE9">
      <w:pPr>
        <w:pStyle w:val="NoSpacing"/>
        <w:ind w:left="720"/>
        <w:rPr>
          <w:rFonts w:ascii="Times New Roman" w:hAnsi="Times New Roman"/>
          <w:bCs/>
          <w:sz w:val="24"/>
          <w:szCs w:val="24"/>
        </w:rPr>
      </w:pPr>
      <w:r>
        <w:rPr>
          <w:rFonts w:ascii="Times New Roman" w:hAnsi="Times New Roman"/>
          <w:bCs/>
          <w:sz w:val="24"/>
          <w:szCs w:val="24"/>
        </w:rPr>
        <w:t>***</w:t>
      </w:r>
    </w:p>
    <w:p w14:paraId="5EAFD0F5" w14:textId="77777777" w:rsidR="00286CE9" w:rsidRPr="00E90346" w:rsidRDefault="00286CE9" w:rsidP="00286CE9">
      <w:pPr>
        <w:pStyle w:val="NoSpacing"/>
        <w:rPr>
          <w:rFonts w:ascii="Times New Roman" w:hAnsi="Times New Roman"/>
          <w:bCs/>
          <w:sz w:val="24"/>
          <w:szCs w:val="24"/>
        </w:rPr>
      </w:pPr>
    </w:p>
    <w:p w14:paraId="19F036BA" w14:textId="77777777" w:rsidR="00286CE9" w:rsidRDefault="00286CE9" w:rsidP="00286CE9">
      <w:pPr>
        <w:pStyle w:val="NoSpacing"/>
        <w:ind w:left="720"/>
        <w:rPr>
          <w:rFonts w:ascii="Times New Roman" w:hAnsi="Times New Roman"/>
          <w:bCs/>
          <w:sz w:val="24"/>
          <w:szCs w:val="24"/>
        </w:rPr>
      </w:pPr>
      <w:r w:rsidRPr="00E90346">
        <w:rPr>
          <w:rFonts w:ascii="Times New Roman" w:hAnsi="Times New Roman"/>
          <w:bCs/>
          <w:sz w:val="24"/>
          <w:szCs w:val="24"/>
        </w:rPr>
        <w:t>According to Plaintiff, the firefighters did not comply with the investigation and were unwilling to correct factual misrepresentations in their official reports on the fire. (Id. at PageID.21.)</w:t>
      </w:r>
    </w:p>
    <w:p w14:paraId="2F702A61" w14:textId="77777777" w:rsidR="00286CE9" w:rsidRDefault="00286CE9" w:rsidP="00286CE9">
      <w:pPr>
        <w:pStyle w:val="NoSpacing"/>
        <w:ind w:left="720"/>
        <w:rPr>
          <w:rFonts w:ascii="Times New Roman" w:hAnsi="Times New Roman"/>
          <w:bCs/>
          <w:sz w:val="24"/>
          <w:szCs w:val="24"/>
        </w:rPr>
      </w:pPr>
    </w:p>
    <w:p w14:paraId="7D16968A" w14:textId="77777777" w:rsidR="00286CE9" w:rsidRPr="00E90346" w:rsidRDefault="00286CE9" w:rsidP="00286CE9">
      <w:pPr>
        <w:pStyle w:val="NoSpacing"/>
        <w:ind w:left="720"/>
        <w:rPr>
          <w:rFonts w:ascii="Times New Roman" w:hAnsi="Times New Roman"/>
          <w:bCs/>
          <w:sz w:val="24"/>
          <w:szCs w:val="24"/>
        </w:rPr>
      </w:pPr>
      <w:r>
        <w:rPr>
          <w:rFonts w:ascii="Times New Roman" w:hAnsi="Times New Roman"/>
          <w:bCs/>
          <w:sz w:val="24"/>
          <w:szCs w:val="24"/>
        </w:rPr>
        <w:t>***</w:t>
      </w:r>
    </w:p>
    <w:p w14:paraId="669A1B06" w14:textId="77777777" w:rsidR="00286CE9" w:rsidRPr="00E90346" w:rsidRDefault="00286CE9" w:rsidP="00286CE9">
      <w:pPr>
        <w:pStyle w:val="NoSpacing"/>
        <w:rPr>
          <w:rFonts w:ascii="Times New Roman" w:hAnsi="Times New Roman"/>
          <w:bCs/>
          <w:sz w:val="24"/>
          <w:szCs w:val="24"/>
        </w:rPr>
      </w:pPr>
    </w:p>
    <w:p w14:paraId="410BAECA" w14:textId="77777777" w:rsidR="00286CE9" w:rsidRPr="00E90346" w:rsidRDefault="00286CE9" w:rsidP="00286CE9">
      <w:pPr>
        <w:pStyle w:val="NoSpacing"/>
        <w:ind w:firstLine="720"/>
        <w:rPr>
          <w:rFonts w:ascii="Times New Roman" w:hAnsi="Times New Roman"/>
          <w:bCs/>
          <w:sz w:val="24"/>
          <w:szCs w:val="24"/>
        </w:rPr>
      </w:pPr>
      <w:r w:rsidRPr="00E90346">
        <w:rPr>
          <w:rFonts w:ascii="Times New Roman" w:hAnsi="Times New Roman"/>
          <w:bCs/>
          <w:sz w:val="24"/>
          <w:szCs w:val="24"/>
        </w:rPr>
        <w:t>Plaintiff then recommended that the firefighters be suspended without pay pending</w:t>
      </w:r>
    </w:p>
    <w:p w14:paraId="783D4DA7" w14:textId="77777777" w:rsidR="00286CE9" w:rsidRPr="00E90346" w:rsidRDefault="00286CE9" w:rsidP="00286CE9">
      <w:pPr>
        <w:pStyle w:val="NoSpacing"/>
        <w:ind w:firstLine="720"/>
        <w:rPr>
          <w:rFonts w:ascii="Times New Roman" w:hAnsi="Times New Roman"/>
          <w:bCs/>
          <w:sz w:val="24"/>
          <w:szCs w:val="24"/>
        </w:rPr>
      </w:pPr>
      <w:r w:rsidRPr="00E90346">
        <w:rPr>
          <w:rFonts w:ascii="Times New Roman" w:hAnsi="Times New Roman"/>
          <w:bCs/>
          <w:sz w:val="24"/>
          <w:szCs w:val="24"/>
        </w:rPr>
        <w:t>a final investigation and discharged at the conclusion of the investigation. (Id.) When</w:t>
      </w:r>
    </w:p>
    <w:p w14:paraId="62D8EA70" w14:textId="77777777" w:rsidR="00286CE9" w:rsidRPr="00E90346" w:rsidRDefault="00286CE9" w:rsidP="00286CE9">
      <w:pPr>
        <w:pStyle w:val="NoSpacing"/>
        <w:ind w:firstLine="720"/>
        <w:rPr>
          <w:rFonts w:ascii="Times New Roman" w:hAnsi="Times New Roman"/>
          <w:bCs/>
          <w:sz w:val="24"/>
          <w:szCs w:val="24"/>
        </w:rPr>
      </w:pPr>
      <w:r w:rsidRPr="00E90346">
        <w:rPr>
          <w:rFonts w:ascii="Times New Roman" w:hAnsi="Times New Roman"/>
          <w:bCs/>
          <w:sz w:val="24"/>
          <w:szCs w:val="24"/>
        </w:rPr>
        <w:t>Plaintiff informed the city council and other city officials of his recommendations,</w:t>
      </w:r>
    </w:p>
    <w:p w14:paraId="36A6C4BF" w14:textId="77777777" w:rsidR="00286CE9" w:rsidRPr="00E90346" w:rsidRDefault="00286CE9" w:rsidP="00286CE9">
      <w:pPr>
        <w:pStyle w:val="NoSpacing"/>
        <w:ind w:firstLine="720"/>
        <w:rPr>
          <w:rFonts w:ascii="Times New Roman" w:hAnsi="Times New Roman"/>
          <w:bCs/>
          <w:sz w:val="24"/>
          <w:szCs w:val="24"/>
        </w:rPr>
      </w:pPr>
      <w:r w:rsidRPr="00E90346">
        <w:rPr>
          <w:rFonts w:ascii="Times New Roman" w:hAnsi="Times New Roman"/>
          <w:bCs/>
          <w:sz w:val="24"/>
          <w:szCs w:val="24"/>
        </w:rPr>
        <w:t>Defendant Neely instructed Plaintiff to change his factual findings and recommendations.</w:t>
      </w:r>
    </w:p>
    <w:p w14:paraId="36D6A91B" w14:textId="77777777" w:rsidR="00286CE9" w:rsidRPr="00E90346" w:rsidRDefault="00286CE9" w:rsidP="00286CE9">
      <w:pPr>
        <w:pStyle w:val="NoSpacing"/>
        <w:ind w:firstLine="720"/>
        <w:rPr>
          <w:rFonts w:ascii="Times New Roman" w:hAnsi="Times New Roman"/>
          <w:bCs/>
          <w:sz w:val="24"/>
          <w:szCs w:val="24"/>
        </w:rPr>
      </w:pPr>
      <w:r w:rsidRPr="00E90346">
        <w:rPr>
          <w:rFonts w:ascii="Times New Roman" w:hAnsi="Times New Roman"/>
          <w:bCs/>
          <w:sz w:val="24"/>
          <w:szCs w:val="24"/>
        </w:rPr>
        <w:t>(Id.) Plaintiff’s Amended Complaint states that Defendant Neely wanted Plaintiff to</w:t>
      </w:r>
    </w:p>
    <w:p w14:paraId="642242DA" w14:textId="77777777" w:rsidR="00286CE9" w:rsidRPr="00E90346" w:rsidRDefault="00286CE9" w:rsidP="00286CE9">
      <w:pPr>
        <w:pStyle w:val="NoSpacing"/>
        <w:ind w:firstLine="720"/>
        <w:rPr>
          <w:rFonts w:ascii="Times New Roman" w:hAnsi="Times New Roman"/>
          <w:bCs/>
          <w:sz w:val="24"/>
          <w:szCs w:val="24"/>
        </w:rPr>
      </w:pPr>
      <w:r>
        <w:rPr>
          <w:rFonts w:ascii="Times New Roman" w:hAnsi="Times New Roman"/>
          <w:bCs/>
          <w:sz w:val="24"/>
          <w:szCs w:val="24"/>
        </w:rPr>
        <w:t>‘</w:t>
      </w:r>
      <w:proofErr w:type="gramStart"/>
      <w:r w:rsidRPr="00E90346">
        <w:rPr>
          <w:rFonts w:ascii="Times New Roman" w:hAnsi="Times New Roman"/>
          <w:bCs/>
          <w:sz w:val="24"/>
          <w:szCs w:val="24"/>
        </w:rPr>
        <w:t>disguise</w:t>
      </w:r>
      <w:proofErr w:type="gramEnd"/>
      <w:r w:rsidRPr="00E90346">
        <w:rPr>
          <w:rFonts w:ascii="Times New Roman" w:hAnsi="Times New Roman"/>
          <w:bCs/>
          <w:sz w:val="24"/>
          <w:szCs w:val="24"/>
        </w:rPr>
        <w:t xml:space="preserve"> the firefighters’ misconduct, suspend the firefighters with pay, and drop his 3</w:t>
      </w:r>
    </w:p>
    <w:p w14:paraId="116BA16E" w14:textId="77777777" w:rsidR="00286CE9" w:rsidRPr="00E90346" w:rsidRDefault="00286CE9" w:rsidP="00286CE9">
      <w:pPr>
        <w:pStyle w:val="NoSpacing"/>
        <w:ind w:firstLine="720"/>
        <w:rPr>
          <w:rFonts w:ascii="Times New Roman" w:hAnsi="Times New Roman"/>
          <w:bCs/>
          <w:sz w:val="24"/>
          <w:szCs w:val="24"/>
        </w:rPr>
      </w:pPr>
      <w:r w:rsidRPr="00E90346">
        <w:rPr>
          <w:rFonts w:ascii="Times New Roman" w:hAnsi="Times New Roman"/>
          <w:bCs/>
          <w:sz w:val="24"/>
          <w:szCs w:val="24"/>
        </w:rPr>
        <w:t>recommendation that they be discharged.</w:t>
      </w:r>
      <w:r>
        <w:rPr>
          <w:rFonts w:ascii="Times New Roman" w:hAnsi="Times New Roman"/>
          <w:bCs/>
          <w:sz w:val="24"/>
          <w:szCs w:val="24"/>
        </w:rPr>
        <w:t>’</w:t>
      </w:r>
      <w:r w:rsidRPr="00E90346">
        <w:rPr>
          <w:rFonts w:ascii="Times New Roman" w:hAnsi="Times New Roman"/>
          <w:bCs/>
          <w:sz w:val="24"/>
          <w:szCs w:val="24"/>
        </w:rPr>
        <w:t xml:space="preserve"> (Id.) Defendant Neely then informed Plaintiff</w:t>
      </w:r>
    </w:p>
    <w:p w14:paraId="691CB294" w14:textId="77777777" w:rsidR="00286CE9" w:rsidRPr="00E90346" w:rsidRDefault="00286CE9" w:rsidP="00286CE9">
      <w:pPr>
        <w:pStyle w:val="NoSpacing"/>
        <w:ind w:firstLine="720"/>
        <w:rPr>
          <w:rFonts w:ascii="Times New Roman" w:hAnsi="Times New Roman"/>
          <w:bCs/>
          <w:sz w:val="24"/>
          <w:szCs w:val="24"/>
        </w:rPr>
      </w:pPr>
      <w:r w:rsidRPr="00E90346">
        <w:rPr>
          <w:rFonts w:ascii="Times New Roman" w:hAnsi="Times New Roman"/>
          <w:bCs/>
          <w:sz w:val="24"/>
          <w:szCs w:val="24"/>
        </w:rPr>
        <w:t>that Defendant Neely and his wife were up for election and re-election in their respective</w:t>
      </w:r>
    </w:p>
    <w:p w14:paraId="0CFBCBC2" w14:textId="77777777" w:rsidR="00286CE9" w:rsidRPr="00E90346" w:rsidRDefault="00286CE9" w:rsidP="00286CE9">
      <w:pPr>
        <w:pStyle w:val="NoSpacing"/>
        <w:ind w:firstLine="720"/>
        <w:rPr>
          <w:rFonts w:ascii="Times New Roman" w:hAnsi="Times New Roman"/>
          <w:bCs/>
          <w:sz w:val="24"/>
          <w:szCs w:val="24"/>
        </w:rPr>
      </w:pPr>
      <w:r w:rsidRPr="00E90346">
        <w:rPr>
          <w:rFonts w:ascii="Times New Roman" w:hAnsi="Times New Roman"/>
          <w:bCs/>
          <w:sz w:val="24"/>
          <w:szCs w:val="24"/>
        </w:rPr>
        <w:t>positions and needed the support of the firefighters’ union. (Id.) Plaintiff interpreted that</w:t>
      </w:r>
    </w:p>
    <w:p w14:paraId="32C48BD9" w14:textId="77777777" w:rsidR="00286CE9" w:rsidRPr="00E90346" w:rsidRDefault="00286CE9" w:rsidP="00286CE9">
      <w:pPr>
        <w:pStyle w:val="NoSpacing"/>
        <w:ind w:left="720"/>
        <w:rPr>
          <w:rFonts w:ascii="Times New Roman" w:hAnsi="Times New Roman"/>
          <w:bCs/>
          <w:sz w:val="24"/>
          <w:szCs w:val="24"/>
        </w:rPr>
      </w:pPr>
      <w:r w:rsidRPr="00E90346">
        <w:rPr>
          <w:rFonts w:ascii="Times New Roman" w:hAnsi="Times New Roman"/>
          <w:bCs/>
          <w:sz w:val="24"/>
          <w:szCs w:val="24"/>
        </w:rPr>
        <w:t>to mean that Defendant Neely wanted to “cover up [the firefighters’] wrongdoing and fraud for the sole purpose of winning personal political support from the firefighters’ union.” (Id.)</w:t>
      </w:r>
    </w:p>
    <w:p w14:paraId="3935CA6A" w14:textId="77777777" w:rsidR="00286CE9" w:rsidRPr="00E90346" w:rsidRDefault="00286CE9" w:rsidP="00286CE9">
      <w:pPr>
        <w:pStyle w:val="NoSpacing"/>
        <w:rPr>
          <w:rFonts w:ascii="Times New Roman" w:hAnsi="Times New Roman"/>
          <w:bCs/>
          <w:sz w:val="24"/>
          <w:szCs w:val="24"/>
        </w:rPr>
      </w:pPr>
    </w:p>
    <w:p w14:paraId="5FA32264" w14:textId="77777777" w:rsidR="00286CE9" w:rsidRPr="00E90346" w:rsidRDefault="00286CE9" w:rsidP="00286CE9">
      <w:pPr>
        <w:pStyle w:val="NoSpacing"/>
        <w:ind w:firstLine="720"/>
        <w:rPr>
          <w:rFonts w:ascii="Times New Roman" w:hAnsi="Times New Roman"/>
          <w:bCs/>
          <w:sz w:val="24"/>
          <w:szCs w:val="24"/>
        </w:rPr>
      </w:pPr>
      <w:r w:rsidRPr="00E90346">
        <w:rPr>
          <w:rFonts w:ascii="Times New Roman" w:hAnsi="Times New Roman"/>
          <w:bCs/>
          <w:sz w:val="24"/>
          <w:szCs w:val="24"/>
        </w:rPr>
        <w:t>Plaintiff refused to change his findings and recommendations or make false</w:t>
      </w:r>
    </w:p>
    <w:p w14:paraId="106B4706" w14:textId="77777777" w:rsidR="00286CE9" w:rsidRPr="00E90346" w:rsidRDefault="00286CE9" w:rsidP="00286CE9">
      <w:pPr>
        <w:pStyle w:val="NoSpacing"/>
        <w:ind w:firstLine="720"/>
        <w:rPr>
          <w:rFonts w:ascii="Times New Roman" w:hAnsi="Times New Roman"/>
          <w:bCs/>
          <w:sz w:val="24"/>
          <w:szCs w:val="24"/>
        </w:rPr>
      </w:pPr>
      <w:r w:rsidRPr="00E90346">
        <w:rPr>
          <w:rFonts w:ascii="Times New Roman" w:hAnsi="Times New Roman"/>
          <w:bCs/>
          <w:sz w:val="24"/>
          <w:szCs w:val="24"/>
        </w:rPr>
        <w:lastRenderedPageBreak/>
        <w:t>statements about the incident. (Id. at PageID.22.) Defendant Neely continued to insist</w:t>
      </w:r>
    </w:p>
    <w:p w14:paraId="7E906BD8" w14:textId="77777777" w:rsidR="00286CE9" w:rsidRPr="00E90346" w:rsidRDefault="00286CE9" w:rsidP="00286CE9">
      <w:pPr>
        <w:pStyle w:val="NoSpacing"/>
        <w:ind w:firstLine="720"/>
        <w:rPr>
          <w:rFonts w:ascii="Times New Roman" w:hAnsi="Times New Roman"/>
          <w:bCs/>
          <w:sz w:val="24"/>
          <w:szCs w:val="24"/>
        </w:rPr>
      </w:pPr>
      <w:proofErr w:type="gramStart"/>
      <w:r w:rsidRPr="00E90346">
        <w:rPr>
          <w:rFonts w:ascii="Times New Roman" w:hAnsi="Times New Roman"/>
          <w:bCs/>
          <w:sz w:val="24"/>
          <w:szCs w:val="24"/>
        </w:rPr>
        <w:t>Plaintiff</w:t>
      </w:r>
      <w:proofErr w:type="gramEnd"/>
      <w:r w:rsidRPr="00E90346">
        <w:rPr>
          <w:rFonts w:ascii="Times New Roman" w:hAnsi="Times New Roman"/>
          <w:bCs/>
          <w:sz w:val="24"/>
          <w:szCs w:val="24"/>
        </w:rPr>
        <w:t xml:space="preserve"> </w:t>
      </w:r>
      <w:proofErr w:type="gramStart"/>
      <w:r w:rsidRPr="00E90346">
        <w:rPr>
          <w:rFonts w:ascii="Times New Roman" w:hAnsi="Times New Roman"/>
          <w:bCs/>
          <w:sz w:val="24"/>
          <w:szCs w:val="24"/>
        </w:rPr>
        <w:t>change</w:t>
      </w:r>
      <w:proofErr w:type="gramEnd"/>
      <w:r w:rsidRPr="00E90346">
        <w:rPr>
          <w:rFonts w:ascii="Times New Roman" w:hAnsi="Times New Roman"/>
          <w:bCs/>
          <w:sz w:val="24"/>
          <w:szCs w:val="24"/>
        </w:rPr>
        <w:t xml:space="preserve"> his recommendations. (Id.) Plaintiff continued to refuse. (Id.)</w:t>
      </w:r>
    </w:p>
    <w:p w14:paraId="0586464B" w14:textId="77777777" w:rsidR="00286CE9" w:rsidRPr="00E90346" w:rsidRDefault="00286CE9" w:rsidP="00286CE9">
      <w:pPr>
        <w:pStyle w:val="NoSpacing"/>
        <w:rPr>
          <w:rFonts w:ascii="Times New Roman" w:hAnsi="Times New Roman"/>
          <w:bCs/>
          <w:sz w:val="24"/>
          <w:szCs w:val="24"/>
        </w:rPr>
      </w:pPr>
    </w:p>
    <w:p w14:paraId="0B435270" w14:textId="77777777" w:rsidR="00286CE9" w:rsidRPr="00E90346" w:rsidRDefault="00286CE9" w:rsidP="00286CE9">
      <w:pPr>
        <w:pStyle w:val="NoSpacing"/>
        <w:ind w:firstLine="720"/>
        <w:rPr>
          <w:rFonts w:ascii="Times New Roman" w:hAnsi="Times New Roman"/>
          <w:bCs/>
          <w:sz w:val="24"/>
          <w:szCs w:val="24"/>
        </w:rPr>
      </w:pPr>
      <w:r w:rsidRPr="00E90346">
        <w:rPr>
          <w:rFonts w:ascii="Times New Roman" w:hAnsi="Times New Roman"/>
          <w:bCs/>
          <w:sz w:val="24"/>
          <w:szCs w:val="24"/>
        </w:rPr>
        <w:t xml:space="preserve">In October 2023, Plaintiff learned that Defendant Neely had </w:t>
      </w:r>
      <w:r>
        <w:rPr>
          <w:rFonts w:ascii="Times New Roman" w:hAnsi="Times New Roman"/>
          <w:bCs/>
          <w:sz w:val="24"/>
          <w:szCs w:val="24"/>
        </w:rPr>
        <w:t>‘</w:t>
      </w:r>
      <w:r w:rsidRPr="00E90346">
        <w:rPr>
          <w:rFonts w:ascii="Times New Roman" w:hAnsi="Times New Roman"/>
          <w:bCs/>
          <w:sz w:val="24"/>
          <w:szCs w:val="24"/>
        </w:rPr>
        <w:t>unilaterally and</w:t>
      </w:r>
    </w:p>
    <w:p w14:paraId="30BE4617" w14:textId="77777777" w:rsidR="00286CE9" w:rsidRPr="00E90346" w:rsidRDefault="00286CE9" w:rsidP="00286CE9">
      <w:pPr>
        <w:pStyle w:val="NoSpacing"/>
        <w:ind w:firstLine="720"/>
        <w:rPr>
          <w:rFonts w:ascii="Times New Roman" w:hAnsi="Times New Roman"/>
          <w:bCs/>
          <w:sz w:val="24"/>
          <w:szCs w:val="24"/>
        </w:rPr>
      </w:pPr>
      <w:r w:rsidRPr="00E90346">
        <w:rPr>
          <w:rFonts w:ascii="Times New Roman" w:hAnsi="Times New Roman"/>
          <w:bCs/>
          <w:sz w:val="24"/>
          <w:szCs w:val="24"/>
        </w:rPr>
        <w:t>Surreptitiously</w:t>
      </w:r>
      <w:r>
        <w:rPr>
          <w:rFonts w:ascii="Times New Roman" w:hAnsi="Times New Roman"/>
          <w:bCs/>
          <w:sz w:val="24"/>
          <w:szCs w:val="24"/>
        </w:rPr>
        <w:t xml:space="preserve">’ </w:t>
      </w:r>
      <w:r w:rsidRPr="00E90346">
        <w:rPr>
          <w:rFonts w:ascii="Times New Roman" w:hAnsi="Times New Roman"/>
          <w:bCs/>
          <w:sz w:val="24"/>
          <w:szCs w:val="24"/>
        </w:rPr>
        <w:t>changed Plaintiff’s official recommendation. (Id.) Defendant Neely then</w:t>
      </w:r>
    </w:p>
    <w:p w14:paraId="0E93AB10" w14:textId="77777777" w:rsidR="00286CE9" w:rsidRPr="00E90346" w:rsidRDefault="00286CE9" w:rsidP="00286CE9">
      <w:pPr>
        <w:pStyle w:val="NoSpacing"/>
        <w:ind w:firstLine="720"/>
        <w:rPr>
          <w:rFonts w:ascii="Times New Roman" w:hAnsi="Times New Roman"/>
          <w:bCs/>
          <w:sz w:val="24"/>
          <w:szCs w:val="24"/>
        </w:rPr>
      </w:pPr>
      <w:r w:rsidRPr="00E90346">
        <w:rPr>
          <w:rFonts w:ascii="Times New Roman" w:hAnsi="Times New Roman"/>
          <w:bCs/>
          <w:sz w:val="24"/>
          <w:szCs w:val="24"/>
        </w:rPr>
        <w:t>instructed Plaintiff to make a public statement saying Plaintiff initiated the change and</w:t>
      </w:r>
    </w:p>
    <w:p w14:paraId="52163BF5" w14:textId="77777777" w:rsidR="00286CE9" w:rsidRPr="00E90346" w:rsidRDefault="00286CE9" w:rsidP="00286CE9">
      <w:pPr>
        <w:pStyle w:val="NoSpacing"/>
        <w:ind w:firstLine="720"/>
        <w:rPr>
          <w:rFonts w:ascii="Times New Roman" w:hAnsi="Times New Roman"/>
          <w:bCs/>
          <w:sz w:val="24"/>
          <w:szCs w:val="24"/>
        </w:rPr>
      </w:pPr>
      <w:r w:rsidRPr="00E90346">
        <w:rPr>
          <w:rFonts w:ascii="Times New Roman" w:hAnsi="Times New Roman"/>
          <w:bCs/>
          <w:sz w:val="24"/>
          <w:szCs w:val="24"/>
        </w:rPr>
        <w:t>agreed with it. (Id. at PageID.23.) Plaintiff refused. (Id.) Defendant Neely continued to</w:t>
      </w:r>
    </w:p>
    <w:p w14:paraId="3A071A38" w14:textId="77777777" w:rsidR="00286CE9" w:rsidRPr="00E90346" w:rsidRDefault="00286CE9" w:rsidP="00286CE9">
      <w:pPr>
        <w:pStyle w:val="NoSpacing"/>
        <w:ind w:firstLine="720"/>
        <w:rPr>
          <w:rFonts w:ascii="Times New Roman" w:hAnsi="Times New Roman"/>
          <w:bCs/>
          <w:sz w:val="24"/>
          <w:szCs w:val="24"/>
        </w:rPr>
      </w:pPr>
      <w:r w:rsidRPr="00E90346">
        <w:rPr>
          <w:rFonts w:ascii="Times New Roman" w:hAnsi="Times New Roman"/>
          <w:bCs/>
          <w:sz w:val="24"/>
          <w:szCs w:val="24"/>
        </w:rPr>
        <w:t>insist that Plaintiff make the public statement. (Id.) Plaintiff again refused and told</w:t>
      </w:r>
    </w:p>
    <w:p w14:paraId="3D85A59E" w14:textId="77777777" w:rsidR="00286CE9" w:rsidRPr="00E90346" w:rsidRDefault="00286CE9" w:rsidP="00286CE9">
      <w:pPr>
        <w:pStyle w:val="NoSpacing"/>
        <w:ind w:firstLine="720"/>
        <w:rPr>
          <w:rFonts w:ascii="Times New Roman" w:hAnsi="Times New Roman"/>
          <w:bCs/>
          <w:sz w:val="24"/>
          <w:szCs w:val="24"/>
        </w:rPr>
      </w:pPr>
      <w:r w:rsidRPr="00E90346">
        <w:rPr>
          <w:rFonts w:ascii="Times New Roman" w:hAnsi="Times New Roman"/>
          <w:bCs/>
          <w:sz w:val="24"/>
          <w:szCs w:val="24"/>
        </w:rPr>
        <w:t xml:space="preserve">Defendant </w:t>
      </w:r>
      <w:proofErr w:type="gramStart"/>
      <w:r w:rsidRPr="00E90346">
        <w:rPr>
          <w:rFonts w:ascii="Times New Roman" w:hAnsi="Times New Roman"/>
          <w:bCs/>
          <w:sz w:val="24"/>
          <w:szCs w:val="24"/>
        </w:rPr>
        <w:t>Neely</w:t>
      </w:r>
      <w:proofErr w:type="gramEnd"/>
      <w:r w:rsidRPr="00E90346">
        <w:rPr>
          <w:rFonts w:ascii="Times New Roman" w:hAnsi="Times New Roman"/>
          <w:bCs/>
          <w:sz w:val="24"/>
          <w:szCs w:val="24"/>
        </w:rPr>
        <w:t xml:space="preserve"> that he would not make false statements regarding his original findings</w:t>
      </w:r>
    </w:p>
    <w:p w14:paraId="4B2F7EFB" w14:textId="77777777" w:rsidR="00286CE9" w:rsidRPr="00E90346" w:rsidRDefault="00286CE9" w:rsidP="00286CE9">
      <w:pPr>
        <w:pStyle w:val="NoSpacing"/>
        <w:ind w:firstLine="720"/>
        <w:rPr>
          <w:rFonts w:ascii="Times New Roman" w:hAnsi="Times New Roman"/>
          <w:bCs/>
          <w:sz w:val="24"/>
          <w:szCs w:val="24"/>
        </w:rPr>
      </w:pPr>
      <w:r w:rsidRPr="00E90346">
        <w:rPr>
          <w:rFonts w:ascii="Times New Roman" w:hAnsi="Times New Roman"/>
          <w:bCs/>
          <w:sz w:val="24"/>
          <w:szCs w:val="24"/>
        </w:rPr>
        <w:t>and recommendations about the incident. (Id.)</w:t>
      </w:r>
    </w:p>
    <w:p w14:paraId="78274231" w14:textId="77777777" w:rsidR="00286CE9" w:rsidRPr="00C755A6" w:rsidRDefault="00286CE9" w:rsidP="00286CE9">
      <w:pPr>
        <w:pStyle w:val="NoSpacing"/>
        <w:ind w:left="720"/>
        <w:rPr>
          <w:rFonts w:ascii="Times New Roman" w:hAnsi="Times New Roman"/>
          <w:bCs/>
          <w:sz w:val="24"/>
          <w:szCs w:val="24"/>
        </w:rPr>
      </w:pPr>
    </w:p>
    <w:p w14:paraId="21CA1FF2" w14:textId="77777777" w:rsidR="00286CE9" w:rsidRDefault="00286CE9" w:rsidP="00706FEC">
      <w:pPr>
        <w:pStyle w:val="NoSpacing"/>
        <w:rPr>
          <w:rFonts w:ascii="Times New Roman" w:hAnsi="Times New Roman"/>
          <w:bCs/>
          <w:sz w:val="24"/>
          <w:szCs w:val="24"/>
        </w:rPr>
      </w:pPr>
    </w:p>
    <w:p w14:paraId="2C49EA4A" w14:textId="77777777" w:rsidR="00706FEC" w:rsidRDefault="00706FEC" w:rsidP="00706FEC">
      <w:pPr>
        <w:pStyle w:val="NoSpacing"/>
        <w:ind w:left="720"/>
        <w:rPr>
          <w:rFonts w:ascii="Times New Roman" w:hAnsi="Times New Roman"/>
          <w:bCs/>
          <w:sz w:val="24"/>
          <w:szCs w:val="24"/>
        </w:rPr>
      </w:pPr>
    </w:p>
    <w:p w14:paraId="626ECE37" w14:textId="21095888" w:rsidR="00706FEC" w:rsidRDefault="00286CE9" w:rsidP="00F326E5">
      <w:pPr>
        <w:pStyle w:val="NoSpacing"/>
        <w:rPr>
          <w:rFonts w:ascii="Arial Black" w:hAnsi="Arial Black"/>
          <w:sz w:val="24"/>
          <w:szCs w:val="24"/>
        </w:rPr>
      </w:pPr>
      <w:r>
        <w:rPr>
          <w:rFonts w:ascii="Arial Black" w:hAnsi="Arial Black"/>
          <w:sz w:val="24"/>
          <w:szCs w:val="24"/>
        </w:rPr>
        <w:t>16-</w:t>
      </w:r>
      <w:r w:rsidR="00E135DF">
        <w:rPr>
          <w:rFonts w:ascii="Arial Black" w:hAnsi="Arial Black"/>
          <w:sz w:val="24"/>
          <w:szCs w:val="24"/>
        </w:rPr>
        <w:t>97</w:t>
      </w:r>
    </w:p>
    <w:p w14:paraId="433690C3" w14:textId="77777777" w:rsidR="00920338" w:rsidRDefault="00920338" w:rsidP="00F326E5">
      <w:pPr>
        <w:pStyle w:val="NoSpacing"/>
        <w:rPr>
          <w:rFonts w:ascii="Arial Black" w:hAnsi="Arial Black"/>
          <w:sz w:val="24"/>
          <w:szCs w:val="24"/>
        </w:rPr>
      </w:pPr>
    </w:p>
    <w:p w14:paraId="23E67678" w14:textId="77777777" w:rsidR="00920338" w:rsidRDefault="00920338" w:rsidP="00920338">
      <w:pPr>
        <w:pStyle w:val="NormalWeb"/>
        <w:rPr>
          <w:rFonts w:ascii="Arial Black" w:hAnsi="Arial Black"/>
          <w:sz w:val="28"/>
          <w:szCs w:val="28"/>
        </w:rPr>
      </w:pPr>
      <w:r>
        <w:rPr>
          <w:rFonts w:ascii="Arial Black" w:hAnsi="Arial Black"/>
          <w:sz w:val="28"/>
          <w:szCs w:val="28"/>
        </w:rPr>
        <w:t>CO: NEW FIRE BOARD ELECTED – FIRED FIRE CHIEF – MAY SUE RETALIATION – HE REPORTED POSS. ELECTION FRAUD</w:t>
      </w:r>
    </w:p>
    <w:p w14:paraId="3836A862" w14:textId="5B5B9C47" w:rsidR="00920338" w:rsidRDefault="00920338" w:rsidP="00920338">
      <w:pPr>
        <w:pStyle w:val="NoSpacing"/>
        <w:rPr>
          <w:rStyle w:val="Hyperlink"/>
          <w:rFonts w:ascii="Times New Roman" w:hAnsi="Times New Roman"/>
          <w:sz w:val="24"/>
          <w:szCs w:val="24"/>
        </w:rPr>
      </w:pPr>
      <w:r w:rsidRPr="001D0A41">
        <w:rPr>
          <w:rFonts w:ascii="Times New Roman" w:hAnsi="Times New Roman"/>
          <w:sz w:val="24"/>
          <w:szCs w:val="24"/>
        </w:rPr>
        <w:t xml:space="preserve">On Nov. 17, 2023, in </w:t>
      </w:r>
      <w:r w:rsidRPr="001D0A41">
        <w:rPr>
          <w:rFonts w:ascii="Times New Roman" w:hAnsi="Times New Roman"/>
          <w:sz w:val="24"/>
          <w:szCs w:val="24"/>
          <w:u w:val="single"/>
        </w:rPr>
        <w:t>Erik Holt v. Florissant Fire Protection District</w:t>
      </w:r>
      <w:r w:rsidRPr="001D0A41">
        <w:rPr>
          <w:rFonts w:ascii="Times New Roman" w:hAnsi="Times New Roman"/>
          <w:sz w:val="24"/>
          <w:szCs w:val="24"/>
        </w:rPr>
        <w:t>, U.S. District Court Judge Nina Y. Wang, U.S. District Court for District of Colorado, held that the plaintiff’s 1</w:t>
      </w:r>
      <w:r w:rsidRPr="001D0A41">
        <w:rPr>
          <w:rFonts w:ascii="Times New Roman" w:hAnsi="Times New Roman"/>
          <w:sz w:val="24"/>
          <w:szCs w:val="24"/>
          <w:vertAlign w:val="superscript"/>
        </w:rPr>
        <w:t>st</w:t>
      </w:r>
      <w:r w:rsidRPr="001D0A41">
        <w:rPr>
          <w:rFonts w:ascii="Times New Roman" w:hAnsi="Times New Roman"/>
          <w:sz w:val="24"/>
          <w:szCs w:val="24"/>
        </w:rPr>
        <w:t xml:space="preserve"> Amendment retaliation claim may proceed to pre-trial discovery, but under Colorado law he cannot sue the Fire District for wrongful termination since it enjoys immunity under the Colorado Governmental Immunity Act (“CGIA”).  The Town held an election at the Fire District for Board </w:t>
      </w:r>
      <w:proofErr w:type="gramStart"/>
      <w:r w:rsidRPr="001D0A41">
        <w:rPr>
          <w:rFonts w:ascii="Times New Roman" w:hAnsi="Times New Roman"/>
          <w:sz w:val="24"/>
          <w:szCs w:val="24"/>
        </w:rPr>
        <w:t>members</w:t>
      </w:r>
      <w:proofErr w:type="gramEnd"/>
      <w:r w:rsidRPr="001D0A41">
        <w:rPr>
          <w:rFonts w:ascii="Times New Roman" w:hAnsi="Times New Roman"/>
          <w:sz w:val="24"/>
          <w:szCs w:val="24"/>
        </w:rPr>
        <w:t xml:space="preserve"> and five new members were elected, but Fire Chief was advised that there </w:t>
      </w:r>
      <w:proofErr w:type="gramStart"/>
      <w:r w:rsidRPr="001D0A41">
        <w:rPr>
          <w:rFonts w:ascii="Times New Roman" w:hAnsi="Times New Roman"/>
          <w:sz w:val="24"/>
          <w:szCs w:val="24"/>
        </w:rPr>
        <w:t>was</w:t>
      </w:r>
      <w:proofErr w:type="gramEnd"/>
      <w:r w:rsidRPr="001D0A41">
        <w:rPr>
          <w:rFonts w:ascii="Times New Roman" w:hAnsi="Times New Roman"/>
          <w:sz w:val="24"/>
          <w:szCs w:val="24"/>
        </w:rPr>
        <w:t xml:space="preserve"> intimidation and harassment of voters at the election and he gathered videotapes which he provided to criminal investigators.  </w:t>
      </w:r>
      <w:hyperlink r:id="rId2639" w:history="1">
        <w:r w:rsidRPr="001D0A41">
          <w:rPr>
            <w:rStyle w:val="Hyperlink"/>
            <w:rFonts w:ascii="Times New Roman" w:hAnsi="Times New Roman"/>
            <w:sz w:val="24"/>
            <w:szCs w:val="24"/>
          </w:rPr>
          <w:t>https://casetext.com/case/holt-v-florissant-fire-prot-dist</w:t>
        </w:r>
      </w:hyperlink>
    </w:p>
    <w:p w14:paraId="693F647D" w14:textId="77777777" w:rsidR="00F33C79" w:rsidRDefault="00F33C79" w:rsidP="00920338">
      <w:pPr>
        <w:pStyle w:val="NoSpacing"/>
        <w:rPr>
          <w:rStyle w:val="Hyperlink"/>
          <w:rFonts w:ascii="Times New Roman" w:hAnsi="Times New Roman"/>
          <w:sz w:val="24"/>
          <w:szCs w:val="24"/>
        </w:rPr>
      </w:pPr>
    </w:p>
    <w:p w14:paraId="3AE390AA" w14:textId="77777777" w:rsidR="00F33C79" w:rsidRDefault="00F33C79" w:rsidP="00F33C79">
      <w:pPr>
        <w:rPr>
          <w:rFonts w:ascii="Times New Roman" w:hAnsi="Times New Roman"/>
          <w:b/>
          <w:bCs/>
          <w:sz w:val="24"/>
          <w:szCs w:val="24"/>
        </w:rPr>
      </w:pPr>
      <w:r w:rsidRPr="00154003">
        <w:rPr>
          <w:rFonts w:ascii="Times New Roman" w:hAnsi="Times New Roman"/>
          <w:b/>
          <w:bCs/>
          <w:sz w:val="24"/>
          <w:szCs w:val="24"/>
        </w:rPr>
        <w:t xml:space="preserve">Legal Lesson Learned: The Fire Chief may now proceed with pre-trial discovery under his First Amendment claim of retaliation. </w:t>
      </w:r>
    </w:p>
    <w:p w14:paraId="3346B6E7" w14:textId="77777777" w:rsidR="00F33C79" w:rsidRDefault="00F33C79" w:rsidP="00920338">
      <w:pPr>
        <w:pStyle w:val="NoSpacing"/>
        <w:rPr>
          <w:rFonts w:ascii="Arial Black" w:hAnsi="Arial Black"/>
          <w:sz w:val="24"/>
          <w:szCs w:val="24"/>
        </w:rPr>
      </w:pPr>
    </w:p>
    <w:p w14:paraId="46D6E15C" w14:textId="77777777" w:rsidR="00F33C79" w:rsidRDefault="00F33C79" w:rsidP="00920338">
      <w:pPr>
        <w:pStyle w:val="NoSpacing"/>
        <w:rPr>
          <w:rFonts w:ascii="Arial Black" w:hAnsi="Arial Black"/>
          <w:sz w:val="24"/>
          <w:szCs w:val="24"/>
        </w:rPr>
      </w:pPr>
    </w:p>
    <w:p w14:paraId="0A0EB8E9" w14:textId="54E3E27F" w:rsidR="00F33C79" w:rsidRDefault="00F33C79" w:rsidP="00920338">
      <w:pPr>
        <w:pStyle w:val="NoSpacing"/>
        <w:rPr>
          <w:rFonts w:ascii="Arial Black" w:hAnsi="Arial Black"/>
          <w:sz w:val="24"/>
          <w:szCs w:val="24"/>
        </w:rPr>
      </w:pPr>
      <w:r>
        <w:rPr>
          <w:rFonts w:ascii="Arial Black" w:hAnsi="Arial Black"/>
          <w:sz w:val="24"/>
          <w:szCs w:val="24"/>
        </w:rPr>
        <w:t>16-96</w:t>
      </w:r>
    </w:p>
    <w:p w14:paraId="767DCC3B" w14:textId="77777777" w:rsidR="0046271A" w:rsidRDefault="0046271A" w:rsidP="0046271A">
      <w:pPr>
        <w:rPr>
          <w:rFonts w:ascii="Arial Black" w:hAnsi="Arial Black"/>
          <w:b/>
          <w:bCs/>
          <w:sz w:val="28"/>
          <w:szCs w:val="28"/>
        </w:rPr>
      </w:pPr>
      <w:r>
        <w:rPr>
          <w:rFonts w:ascii="Arial Black" w:hAnsi="Arial Black"/>
          <w:b/>
          <w:bCs/>
          <w:sz w:val="28"/>
          <w:szCs w:val="28"/>
        </w:rPr>
        <w:t>MA: BOSTON FF – SOCIAL MEDIA POSTS ATTACKING RELIGION, SEXUAL ORIENTATION, RACE - FIRED</w:t>
      </w:r>
    </w:p>
    <w:p w14:paraId="5310F73B" w14:textId="77777777" w:rsidR="0046271A" w:rsidRDefault="0046271A" w:rsidP="0046271A">
      <w:pPr>
        <w:rPr>
          <w:rFonts w:ascii="Times New Roman" w:hAnsi="Times New Roman"/>
          <w:sz w:val="24"/>
          <w:szCs w:val="24"/>
        </w:rPr>
      </w:pPr>
      <w:r w:rsidRPr="00C972D3">
        <w:rPr>
          <w:rFonts w:ascii="Times New Roman" w:hAnsi="Times New Roman"/>
          <w:sz w:val="24"/>
          <w:szCs w:val="24"/>
        </w:rPr>
        <w:t xml:space="preserve">On </w:t>
      </w:r>
      <w:r>
        <w:rPr>
          <w:rFonts w:ascii="Times New Roman" w:hAnsi="Times New Roman"/>
          <w:sz w:val="24"/>
          <w:szCs w:val="24"/>
        </w:rPr>
        <w:t xml:space="preserve">Nov. 6, 2023, in </w:t>
      </w:r>
      <w:r w:rsidRPr="00442665">
        <w:rPr>
          <w:rFonts w:ascii="Times New Roman" w:hAnsi="Times New Roman"/>
          <w:sz w:val="24"/>
          <w:szCs w:val="24"/>
          <w:u w:val="single"/>
        </w:rPr>
        <w:t>Octavius Rowe v. Civil Service Commission</w:t>
      </w:r>
      <w:r>
        <w:rPr>
          <w:rFonts w:ascii="Times New Roman" w:hAnsi="Times New Roman"/>
          <w:sz w:val="24"/>
          <w:szCs w:val="24"/>
        </w:rPr>
        <w:t xml:space="preserve">, the Appeals Court of Massachusetts held (3 to 0) that the Boston Fire Department and the city’s Civil Service Commission properly upheld the termination of the firefighter.  The Black firefighter claimed that white firefighters were treated less harshly, but two firefighters had resigned and a third received a suspension for less serious misconduct.   </w:t>
      </w:r>
      <w:hyperlink r:id="rId2640" w:history="1">
        <w:r w:rsidRPr="00182321">
          <w:rPr>
            <w:rStyle w:val="Hyperlink"/>
            <w:rFonts w:ascii="Times New Roman" w:hAnsi="Times New Roman"/>
            <w:sz w:val="24"/>
            <w:szCs w:val="24"/>
          </w:rPr>
          <w:t>https://caselaw.findlaw.com/court/ma-court-of-appeals/115411600.html</w:t>
        </w:r>
      </w:hyperlink>
      <w:r>
        <w:rPr>
          <w:rFonts w:ascii="Times New Roman" w:hAnsi="Times New Roman"/>
          <w:sz w:val="24"/>
          <w:szCs w:val="24"/>
        </w:rPr>
        <w:t xml:space="preserve"> </w:t>
      </w:r>
    </w:p>
    <w:p w14:paraId="4C47C07C" w14:textId="77777777" w:rsidR="00075DAE" w:rsidRDefault="00075DAE" w:rsidP="00075DAE">
      <w:pPr>
        <w:rPr>
          <w:rFonts w:ascii="Times New Roman" w:hAnsi="Times New Roman"/>
          <w:b/>
          <w:bCs/>
          <w:sz w:val="24"/>
          <w:szCs w:val="24"/>
        </w:rPr>
      </w:pPr>
      <w:r w:rsidRPr="00025468">
        <w:rPr>
          <w:rFonts w:ascii="Times New Roman" w:hAnsi="Times New Roman"/>
          <w:b/>
          <w:bCs/>
          <w:sz w:val="24"/>
          <w:szCs w:val="24"/>
        </w:rPr>
        <w:t>Legal Lesson Learned:</w:t>
      </w:r>
      <w:r>
        <w:rPr>
          <w:rFonts w:ascii="Times New Roman" w:hAnsi="Times New Roman"/>
          <w:b/>
          <w:bCs/>
          <w:sz w:val="24"/>
          <w:szCs w:val="24"/>
        </w:rPr>
        <w:t xml:space="preserve"> Social media posts by fire or EMS can result in discipline, including termination.</w:t>
      </w:r>
    </w:p>
    <w:p w14:paraId="5ED6EE38" w14:textId="77777777" w:rsidR="0046271A" w:rsidRDefault="0046271A" w:rsidP="00920338">
      <w:pPr>
        <w:pStyle w:val="NoSpacing"/>
        <w:rPr>
          <w:rFonts w:ascii="Arial Black" w:hAnsi="Arial Black"/>
          <w:sz w:val="24"/>
          <w:szCs w:val="24"/>
        </w:rPr>
      </w:pPr>
    </w:p>
    <w:p w14:paraId="07A94F39" w14:textId="77777777" w:rsidR="0042334A" w:rsidRDefault="0042334A" w:rsidP="00F326E5">
      <w:pPr>
        <w:pStyle w:val="NoSpacing"/>
        <w:rPr>
          <w:rFonts w:ascii="Arial Black" w:hAnsi="Arial Black"/>
          <w:sz w:val="24"/>
          <w:szCs w:val="24"/>
        </w:rPr>
      </w:pPr>
    </w:p>
    <w:p w14:paraId="0DA0457B" w14:textId="77777777" w:rsidR="0042334A" w:rsidRDefault="0042334A" w:rsidP="00F326E5">
      <w:pPr>
        <w:pStyle w:val="NoSpacing"/>
        <w:rPr>
          <w:rFonts w:ascii="Arial Black" w:hAnsi="Arial Black"/>
          <w:sz w:val="24"/>
          <w:szCs w:val="24"/>
        </w:rPr>
      </w:pPr>
    </w:p>
    <w:p w14:paraId="7CA5F048" w14:textId="0550F3A9" w:rsidR="000518BE" w:rsidRDefault="000518BE" w:rsidP="00F326E5">
      <w:pPr>
        <w:pStyle w:val="NoSpacing"/>
        <w:rPr>
          <w:rFonts w:ascii="Arial Black" w:hAnsi="Arial Black"/>
          <w:sz w:val="24"/>
          <w:szCs w:val="24"/>
        </w:rPr>
      </w:pPr>
      <w:r>
        <w:rPr>
          <w:rFonts w:ascii="Arial Black" w:hAnsi="Arial Black"/>
          <w:sz w:val="24"/>
          <w:szCs w:val="24"/>
        </w:rPr>
        <w:lastRenderedPageBreak/>
        <w:t>16-95</w:t>
      </w:r>
    </w:p>
    <w:p w14:paraId="54B09E71" w14:textId="77777777" w:rsidR="000518BE" w:rsidRDefault="000518BE" w:rsidP="000518BE">
      <w:pPr>
        <w:pStyle w:val="NormalWeb"/>
        <w:rPr>
          <w:rFonts w:ascii="Arial Black" w:hAnsi="Arial Black"/>
          <w:b/>
          <w:bCs/>
          <w:sz w:val="28"/>
          <w:szCs w:val="28"/>
        </w:rPr>
      </w:pPr>
      <w:r>
        <w:rPr>
          <w:rFonts w:ascii="Arial Black" w:hAnsi="Arial Black"/>
          <w:b/>
          <w:bCs/>
          <w:sz w:val="28"/>
          <w:szCs w:val="28"/>
        </w:rPr>
        <w:t>LA: “OFFICE ROMANCE” - WIFE OF ASSISTANT FIRE CHIEF DIVORCES - MARRIES DIST. CHIEF – FIRED – NO CASE</w:t>
      </w:r>
    </w:p>
    <w:p w14:paraId="08523464" w14:textId="16BB4525" w:rsidR="000518BE" w:rsidRPr="000518BE" w:rsidRDefault="000518BE" w:rsidP="000518BE">
      <w:pPr>
        <w:pStyle w:val="NoSpacing"/>
        <w:rPr>
          <w:rFonts w:ascii="Times New Roman" w:hAnsi="Times New Roman"/>
          <w:sz w:val="24"/>
          <w:szCs w:val="24"/>
        </w:rPr>
      </w:pPr>
      <w:r w:rsidRPr="000518BE">
        <w:rPr>
          <w:rFonts w:ascii="Times New Roman" w:hAnsi="Times New Roman"/>
          <w:sz w:val="24"/>
          <w:szCs w:val="24"/>
        </w:rPr>
        <w:t xml:space="preserve">On Oct. 19, 2023, in </w:t>
      </w:r>
      <w:r w:rsidRPr="000518BE">
        <w:rPr>
          <w:rFonts w:ascii="Times New Roman" w:hAnsi="Times New Roman"/>
          <w:sz w:val="24"/>
          <w:szCs w:val="24"/>
          <w:u w:val="single"/>
        </w:rPr>
        <w:t xml:space="preserve">Stacie </w:t>
      </w:r>
      <w:proofErr w:type="spellStart"/>
      <w:r w:rsidRPr="000518BE">
        <w:rPr>
          <w:rFonts w:ascii="Times New Roman" w:hAnsi="Times New Roman"/>
          <w:sz w:val="24"/>
          <w:szCs w:val="24"/>
          <w:u w:val="single"/>
        </w:rPr>
        <w:t>Dellucky</w:t>
      </w:r>
      <w:proofErr w:type="spellEnd"/>
      <w:r w:rsidRPr="000518BE">
        <w:rPr>
          <w:rFonts w:ascii="Times New Roman" w:hAnsi="Times New Roman"/>
          <w:sz w:val="24"/>
          <w:szCs w:val="24"/>
          <w:u w:val="single"/>
        </w:rPr>
        <w:t xml:space="preserve"> &amp; Frank Dellucky v. St. George Fire Protection District, et al.</w:t>
      </w:r>
      <w:r w:rsidRPr="000518BE">
        <w:rPr>
          <w:rFonts w:ascii="Times New Roman" w:hAnsi="Times New Roman"/>
          <w:sz w:val="24"/>
          <w:szCs w:val="24"/>
        </w:rPr>
        <w:t>, U.S. District Court Judge Brian A, Jackson granted defense motion for summary judgment. The Court held: “Specifically, Frank voluntarily resigned to avoid participating in an employee disciplinary investigation, after he sent sordid Facebook messages to the co-worker referenced above. (</w:t>
      </w:r>
      <w:r w:rsidRPr="000518BE">
        <w:rPr>
          <w:rStyle w:val="Emphasis"/>
          <w:rFonts w:ascii="Times New Roman" w:hAnsi="Times New Roman"/>
          <w:sz w:val="24"/>
          <w:szCs w:val="24"/>
        </w:rPr>
        <w:t>Id.</w:t>
      </w:r>
      <w:r w:rsidRPr="000518BE">
        <w:rPr>
          <w:rFonts w:ascii="Times New Roman" w:hAnsi="Times New Roman"/>
          <w:sz w:val="24"/>
          <w:szCs w:val="24"/>
        </w:rPr>
        <w:t xml:space="preserve"> ¶¶ 23-29). In conjunction with his resignation, Frank executed a Settlement Agreement with the </w:t>
      </w:r>
      <w:proofErr w:type="gramStart"/>
      <w:r w:rsidRPr="000518BE">
        <w:rPr>
          <w:rFonts w:ascii="Times New Roman" w:hAnsi="Times New Roman"/>
          <w:sz w:val="24"/>
          <w:szCs w:val="24"/>
        </w:rPr>
        <w:t>District, ‘</w:t>
      </w:r>
      <w:proofErr w:type="gramEnd"/>
      <w:r w:rsidRPr="000518BE">
        <w:rPr>
          <w:rFonts w:ascii="Times New Roman" w:hAnsi="Times New Roman"/>
          <w:sz w:val="24"/>
          <w:szCs w:val="24"/>
        </w:rPr>
        <w:t xml:space="preserve">through its duly authorized Fire Chief and Appointing Authority, Gerard C. Tarleton.’ *** Here, no evidence suggests that </w:t>
      </w:r>
      <w:proofErr w:type="gramStart"/>
      <w:r w:rsidRPr="000518BE">
        <w:rPr>
          <w:rFonts w:ascii="Times New Roman" w:hAnsi="Times New Roman"/>
          <w:sz w:val="24"/>
          <w:szCs w:val="24"/>
        </w:rPr>
        <w:t>Defendants' ‘</w:t>
      </w:r>
      <w:proofErr w:type="gramEnd"/>
      <w:r w:rsidRPr="000518BE">
        <w:rPr>
          <w:rFonts w:ascii="Times New Roman" w:hAnsi="Times New Roman"/>
          <w:sz w:val="24"/>
          <w:szCs w:val="24"/>
        </w:rPr>
        <w:t xml:space="preserve">policy’ against Stacie marrying Frank was aimed </w:t>
      </w:r>
      <w:proofErr w:type="gramStart"/>
      <w:r w:rsidRPr="000518BE">
        <w:rPr>
          <w:rFonts w:ascii="Times New Roman" w:hAnsi="Times New Roman"/>
          <w:sz w:val="24"/>
          <w:szCs w:val="24"/>
        </w:rPr>
        <w:t>to prohibit ‘</w:t>
      </w:r>
      <w:proofErr w:type="gramEnd"/>
      <w:r w:rsidRPr="000518BE">
        <w:rPr>
          <w:rFonts w:ascii="Times New Roman" w:hAnsi="Times New Roman"/>
          <w:sz w:val="24"/>
          <w:szCs w:val="24"/>
        </w:rPr>
        <w:t xml:space="preserve">one class of people from being with another.’ To the contrary, Defendants only prohibited Stacie from marrying Frank to avoid chain-of-command and workplace morale issues that would arise from Stacie being managed by Chad Roberson, the District's Assistant Fire Chief, and Stacie's ex-husband. Stacie disregarded this prohibition, married Frank, and lost her job. But this was merely an ‘incidental’ consequence because Defendants' actions did ‘not prohibit the relationship itself.’” </w:t>
      </w:r>
      <w:hyperlink r:id="rId2641" w:history="1">
        <w:r w:rsidRPr="000518BE">
          <w:rPr>
            <w:rStyle w:val="Hyperlink"/>
            <w:rFonts w:ascii="Times New Roman" w:hAnsi="Times New Roman"/>
            <w:sz w:val="24"/>
            <w:szCs w:val="24"/>
          </w:rPr>
          <w:t>https://cases.justia.com/federal/district-courts/louisiana/lamdce/3:2021cv00287/59089/59/0.pdf?ts=1697816120</w:t>
        </w:r>
      </w:hyperlink>
    </w:p>
    <w:p w14:paraId="684925B8" w14:textId="77777777" w:rsidR="000518BE" w:rsidRDefault="000518BE" w:rsidP="00F326E5">
      <w:pPr>
        <w:pStyle w:val="NoSpacing"/>
        <w:rPr>
          <w:rFonts w:ascii="Arial Black" w:hAnsi="Arial Black"/>
          <w:sz w:val="24"/>
          <w:szCs w:val="24"/>
        </w:rPr>
      </w:pPr>
    </w:p>
    <w:p w14:paraId="1A2A8C3E" w14:textId="77777777" w:rsidR="000518BE" w:rsidRDefault="000518BE" w:rsidP="000518BE">
      <w:pPr>
        <w:spacing w:after="100" w:line="240" w:lineRule="auto"/>
        <w:rPr>
          <w:rFonts w:ascii="Times New Roman" w:eastAsia="Times New Roman" w:hAnsi="Times New Roman"/>
          <w:b/>
          <w:bCs/>
          <w:sz w:val="24"/>
          <w:szCs w:val="24"/>
        </w:rPr>
      </w:pPr>
      <w:r>
        <w:rPr>
          <w:rFonts w:ascii="Times New Roman" w:eastAsia="Times New Roman" w:hAnsi="Times New Roman"/>
          <w:b/>
          <w:bCs/>
          <w:sz w:val="24"/>
          <w:szCs w:val="24"/>
        </w:rPr>
        <w:t xml:space="preserve">Legal Lesson Learned: Many Fire Departments and political subdivisions have anti-nepotism policies. </w:t>
      </w:r>
    </w:p>
    <w:p w14:paraId="6A548ADF" w14:textId="77777777" w:rsidR="000518BE" w:rsidRDefault="000518BE" w:rsidP="00F326E5">
      <w:pPr>
        <w:pStyle w:val="NoSpacing"/>
        <w:rPr>
          <w:rFonts w:ascii="Arial Black" w:hAnsi="Arial Black"/>
          <w:sz w:val="24"/>
          <w:szCs w:val="24"/>
        </w:rPr>
      </w:pPr>
    </w:p>
    <w:p w14:paraId="39307E82" w14:textId="77777777" w:rsidR="000518BE" w:rsidRDefault="000518BE" w:rsidP="00F326E5">
      <w:pPr>
        <w:pStyle w:val="NoSpacing"/>
        <w:rPr>
          <w:rFonts w:ascii="Arial Black" w:hAnsi="Arial Black"/>
          <w:sz w:val="24"/>
          <w:szCs w:val="24"/>
        </w:rPr>
      </w:pPr>
    </w:p>
    <w:p w14:paraId="7D51B9DA" w14:textId="4860808D" w:rsidR="009B0593" w:rsidRDefault="008F7EBA" w:rsidP="00F326E5">
      <w:pPr>
        <w:pStyle w:val="NoSpacing"/>
        <w:rPr>
          <w:rFonts w:ascii="Arial Black" w:hAnsi="Arial Black"/>
          <w:sz w:val="24"/>
          <w:szCs w:val="24"/>
        </w:rPr>
      </w:pPr>
      <w:r>
        <w:rPr>
          <w:rFonts w:ascii="Arial Black" w:hAnsi="Arial Black"/>
          <w:sz w:val="24"/>
          <w:szCs w:val="24"/>
        </w:rPr>
        <w:t>16-94</w:t>
      </w:r>
    </w:p>
    <w:p w14:paraId="06EF77C1" w14:textId="77777777" w:rsidR="008F7EBA" w:rsidRDefault="008F7EBA" w:rsidP="00F326E5">
      <w:pPr>
        <w:pStyle w:val="NoSpacing"/>
        <w:rPr>
          <w:rFonts w:ascii="Arial Black" w:hAnsi="Arial Black"/>
          <w:sz w:val="24"/>
          <w:szCs w:val="24"/>
        </w:rPr>
      </w:pPr>
    </w:p>
    <w:p w14:paraId="13F8432C" w14:textId="77777777" w:rsidR="008F7EBA" w:rsidRPr="000A219B" w:rsidRDefault="008F7EBA" w:rsidP="008F7EBA">
      <w:pPr>
        <w:pStyle w:val="NoSpacing"/>
        <w:rPr>
          <w:rFonts w:ascii="Arial Black" w:hAnsi="Arial Black"/>
          <w:sz w:val="28"/>
          <w:szCs w:val="28"/>
        </w:rPr>
      </w:pPr>
      <w:r>
        <w:rPr>
          <w:rFonts w:ascii="Arial Black" w:hAnsi="Arial Black"/>
          <w:sz w:val="28"/>
          <w:szCs w:val="28"/>
        </w:rPr>
        <w:t xml:space="preserve">TN: FD CAPT. DEMOTED - FACEBOOK POSTS GEORGE FLOYD RIOTS – CASE PROCEED / “BALACING TEST” </w:t>
      </w:r>
    </w:p>
    <w:p w14:paraId="3635BD6F" w14:textId="77777777" w:rsidR="008F7EBA" w:rsidRDefault="008F7EBA" w:rsidP="008F7EBA">
      <w:pPr>
        <w:pStyle w:val="NoSpacing"/>
        <w:rPr>
          <w:rFonts w:ascii="Times New Roman" w:hAnsi="Times New Roman"/>
          <w:sz w:val="24"/>
          <w:szCs w:val="24"/>
        </w:rPr>
      </w:pPr>
    </w:p>
    <w:p w14:paraId="46B12BFB" w14:textId="77777777" w:rsidR="008F7EBA" w:rsidRDefault="008F7EBA" w:rsidP="008F7EBA">
      <w:pPr>
        <w:pStyle w:val="NoSpacing"/>
        <w:rPr>
          <w:rFonts w:ascii="Times New Roman" w:hAnsi="Times New Roman"/>
          <w:sz w:val="24"/>
          <w:szCs w:val="24"/>
        </w:rPr>
      </w:pPr>
      <w:r>
        <w:rPr>
          <w:rFonts w:ascii="Times New Roman" w:hAnsi="Times New Roman"/>
          <w:sz w:val="24"/>
          <w:szCs w:val="24"/>
        </w:rPr>
        <w:t xml:space="preserve">On Sept. 19, 2023, in </w:t>
      </w:r>
      <w:r w:rsidRPr="003B777F">
        <w:rPr>
          <w:rFonts w:ascii="Times New Roman" w:hAnsi="Times New Roman"/>
          <w:sz w:val="24"/>
          <w:szCs w:val="24"/>
          <w:u w:val="single"/>
        </w:rPr>
        <w:t xml:space="preserve">Tracy R. Turner v. Metropolitan Government of Nashville </w:t>
      </w:r>
      <w:proofErr w:type="gramStart"/>
      <w:r w:rsidRPr="003B777F">
        <w:rPr>
          <w:rFonts w:ascii="Times New Roman" w:hAnsi="Times New Roman"/>
          <w:sz w:val="24"/>
          <w:szCs w:val="24"/>
          <w:u w:val="single"/>
        </w:rPr>
        <w:t>And</w:t>
      </w:r>
      <w:proofErr w:type="gramEnd"/>
      <w:r w:rsidRPr="003B777F">
        <w:rPr>
          <w:rFonts w:ascii="Times New Roman" w:hAnsi="Times New Roman"/>
          <w:sz w:val="24"/>
          <w:szCs w:val="24"/>
          <w:u w:val="single"/>
        </w:rPr>
        <w:t xml:space="preserve"> Davidson County,</w:t>
      </w:r>
      <w:r>
        <w:rPr>
          <w:rFonts w:ascii="Times New Roman" w:hAnsi="Times New Roman"/>
          <w:sz w:val="24"/>
          <w:szCs w:val="24"/>
        </w:rPr>
        <w:t xml:space="preserve"> U.S. District Court Judge Eli Richardson, U.S. District Court for the Middle District of Tennessee, Nashville Division, denied the City’s motion for summary judgment.  The </w:t>
      </w:r>
      <w:proofErr w:type="gramStart"/>
      <w:r>
        <w:rPr>
          <w:rFonts w:ascii="Times New Roman" w:hAnsi="Times New Roman"/>
          <w:sz w:val="24"/>
          <w:szCs w:val="24"/>
        </w:rPr>
        <w:t>Captain</w:t>
      </w:r>
      <w:proofErr w:type="gramEnd"/>
      <w:r>
        <w:rPr>
          <w:rFonts w:ascii="Times New Roman" w:hAnsi="Times New Roman"/>
          <w:sz w:val="24"/>
          <w:szCs w:val="24"/>
        </w:rPr>
        <w:t xml:space="preserve"> was demoted to firefighter, ordered to attend “sensitivity” training and moved to another station. While there were several calls from citizens about the posts, there was little evidence that the </w:t>
      </w:r>
      <w:proofErr w:type="gramStart"/>
      <w:r>
        <w:rPr>
          <w:rFonts w:ascii="Times New Roman" w:hAnsi="Times New Roman"/>
          <w:sz w:val="24"/>
          <w:szCs w:val="24"/>
        </w:rPr>
        <w:t>Captain’s</w:t>
      </w:r>
      <w:proofErr w:type="gramEnd"/>
      <w:r>
        <w:rPr>
          <w:rFonts w:ascii="Times New Roman" w:hAnsi="Times New Roman"/>
          <w:sz w:val="24"/>
          <w:szCs w:val="24"/>
        </w:rPr>
        <w:t xml:space="preserve"> posts had disruptive impact on the Fire Department. </w:t>
      </w:r>
    </w:p>
    <w:p w14:paraId="15F1222A" w14:textId="77777777" w:rsidR="008F7EBA" w:rsidRDefault="008F7EBA" w:rsidP="008F7EBA">
      <w:pPr>
        <w:pStyle w:val="NoSpacing"/>
        <w:rPr>
          <w:rFonts w:ascii="Times New Roman" w:hAnsi="Times New Roman"/>
          <w:sz w:val="24"/>
          <w:szCs w:val="24"/>
        </w:rPr>
      </w:pPr>
    </w:p>
    <w:p w14:paraId="5EB860E6" w14:textId="77777777" w:rsidR="008F7EBA" w:rsidRPr="003B777F" w:rsidRDefault="008F7EBA" w:rsidP="008F7EBA">
      <w:pPr>
        <w:pStyle w:val="NoSpacing"/>
        <w:ind w:left="720"/>
        <w:rPr>
          <w:rFonts w:ascii="Times New Roman" w:hAnsi="Times New Roman"/>
          <w:sz w:val="24"/>
          <w:szCs w:val="24"/>
        </w:rPr>
      </w:pPr>
      <w:r>
        <w:rPr>
          <w:rFonts w:ascii="Times New Roman" w:hAnsi="Times New Roman"/>
          <w:sz w:val="24"/>
          <w:szCs w:val="24"/>
        </w:rPr>
        <w:t>The Court held: “</w:t>
      </w:r>
      <w:r w:rsidRPr="003B777F">
        <w:rPr>
          <w:rFonts w:ascii="Times New Roman" w:hAnsi="Times New Roman"/>
          <w:sz w:val="24"/>
          <w:szCs w:val="24"/>
        </w:rPr>
        <w:t>From May through July 2020, Plaintiff posted on Facebook his opinions on several topics</w:t>
      </w:r>
      <w:r>
        <w:rPr>
          <w:rFonts w:ascii="Times New Roman" w:hAnsi="Times New Roman"/>
          <w:sz w:val="24"/>
          <w:szCs w:val="24"/>
        </w:rPr>
        <w:t xml:space="preserve"> </w:t>
      </w:r>
      <w:r w:rsidRPr="003B777F">
        <w:rPr>
          <w:rFonts w:ascii="Times New Roman" w:hAnsi="Times New Roman"/>
          <w:sz w:val="24"/>
          <w:szCs w:val="24"/>
        </w:rPr>
        <w:t>of national interest. For example, Plaintiff referred to people reacting violently to the death of</w:t>
      </w:r>
      <w:r>
        <w:rPr>
          <w:rFonts w:ascii="Times New Roman" w:hAnsi="Times New Roman"/>
          <w:sz w:val="24"/>
          <w:szCs w:val="24"/>
        </w:rPr>
        <w:t xml:space="preserve"> </w:t>
      </w:r>
      <w:r w:rsidRPr="003B777F">
        <w:rPr>
          <w:rFonts w:ascii="Times New Roman" w:hAnsi="Times New Roman"/>
          <w:sz w:val="24"/>
          <w:szCs w:val="24"/>
        </w:rPr>
        <w:t xml:space="preserve">George Floyd as </w:t>
      </w:r>
      <w:r>
        <w:rPr>
          <w:rFonts w:ascii="Times New Roman" w:hAnsi="Times New Roman"/>
          <w:sz w:val="24"/>
          <w:szCs w:val="24"/>
        </w:rPr>
        <w:t>‘</w:t>
      </w:r>
      <w:r w:rsidRPr="003B777F">
        <w:rPr>
          <w:rFonts w:ascii="Times New Roman" w:hAnsi="Times New Roman"/>
          <w:sz w:val="24"/>
          <w:szCs w:val="24"/>
        </w:rPr>
        <w:t>animals.</w:t>
      </w:r>
      <w:r>
        <w:rPr>
          <w:rFonts w:ascii="Times New Roman" w:hAnsi="Times New Roman"/>
          <w:sz w:val="24"/>
          <w:szCs w:val="24"/>
        </w:rPr>
        <w:t xml:space="preserve">’ </w:t>
      </w:r>
      <w:r w:rsidRPr="003B777F">
        <w:rPr>
          <w:rFonts w:ascii="Times New Roman" w:hAnsi="Times New Roman"/>
          <w:sz w:val="24"/>
          <w:szCs w:val="24"/>
        </w:rPr>
        <w:t xml:space="preserve">He made other posts referring to </w:t>
      </w:r>
      <w:r>
        <w:rPr>
          <w:rFonts w:ascii="Times New Roman" w:hAnsi="Times New Roman"/>
          <w:sz w:val="24"/>
          <w:szCs w:val="24"/>
        </w:rPr>
        <w:t>‘</w:t>
      </w:r>
      <w:r w:rsidRPr="003B777F">
        <w:rPr>
          <w:rFonts w:ascii="Times New Roman" w:hAnsi="Times New Roman"/>
          <w:sz w:val="24"/>
          <w:szCs w:val="24"/>
        </w:rPr>
        <w:t>Anti-Fa and BLM thugs,</w:t>
      </w:r>
      <w:r>
        <w:rPr>
          <w:rFonts w:ascii="Times New Roman" w:hAnsi="Times New Roman"/>
          <w:sz w:val="24"/>
          <w:szCs w:val="24"/>
        </w:rPr>
        <w:t>’</w:t>
      </w:r>
      <w:r w:rsidRPr="003B777F">
        <w:rPr>
          <w:rFonts w:ascii="Times New Roman" w:hAnsi="Times New Roman"/>
          <w:sz w:val="24"/>
          <w:szCs w:val="24"/>
        </w:rPr>
        <w:t xml:space="preserve"> and other</w:t>
      </w:r>
      <w:r>
        <w:rPr>
          <w:rFonts w:ascii="Times New Roman" w:hAnsi="Times New Roman"/>
          <w:sz w:val="24"/>
          <w:szCs w:val="24"/>
        </w:rPr>
        <w:t xml:space="preserve"> </w:t>
      </w:r>
      <w:r w:rsidRPr="003B777F">
        <w:rPr>
          <w:rFonts w:ascii="Times New Roman" w:hAnsi="Times New Roman"/>
          <w:sz w:val="24"/>
          <w:szCs w:val="24"/>
        </w:rPr>
        <w:t xml:space="preserve">generally negative posts about protestors, BLM, and the </w:t>
      </w:r>
      <w:r>
        <w:rPr>
          <w:rFonts w:ascii="Times New Roman" w:hAnsi="Times New Roman"/>
          <w:sz w:val="24"/>
          <w:szCs w:val="24"/>
        </w:rPr>
        <w:t>‘</w:t>
      </w:r>
      <w:r w:rsidRPr="003B777F">
        <w:rPr>
          <w:rFonts w:ascii="Times New Roman" w:hAnsi="Times New Roman"/>
          <w:sz w:val="24"/>
          <w:szCs w:val="24"/>
        </w:rPr>
        <w:t>Left agenda</w:t>
      </w:r>
      <w:r>
        <w:rPr>
          <w:rFonts w:ascii="Times New Roman" w:hAnsi="Times New Roman"/>
          <w:sz w:val="24"/>
          <w:szCs w:val="24"/>
        </w:rPr>
        <w:t xml:space="preserve">.’ </w:t>
      </w:r>
    </w:p>
    <w:p w14:paraId="626A47DF" w14:textId="77777777" w:rsidR="008F7EBA" w:rsidRDefault="008F7EBA" w:rsidP="008F7EBA">
      <w:pPr>
        <w:pStyle w:val="NoSpacing"/>
        <w:ind w:left="720"/>
        <w:rPr>
          <w:rFonts w:ascii="Times New Roman" w:hAnsi="Times New Roman"/>
          <w:sz w:val="24"/>
          <w:szCs w:val="24"/>
        </w:rPr>
      </w:pPr>
    </w:p>
    <w:p w14:paraId="22541A91" w14:textId="77777777" w:rsidR="008F7EBA" w:rsidRDefault="008F7EBA" w:rsidP="008F7EBA">
      <w:pPr>
        <w:pStyle w:val="NoSpacing"/>
        <w:ind w:left="720"/>
        <w:rPr>
          <w:rFonts w:ascii="Times New Roman" w:hAnsi="Times New Roman"/>
          <w:sz w:val="24"/>
          <w:szCs w:val="24"/>
        </w:rPr>
      </w:pPr>
      <w:r>
        <w:rPr>
          <w:rFonts w:ascii="Times New Roman" w:hAnsi="Times New Roman"/>
          <w:sz w:val="24"/>
          <w:szCs w:val="24"/>
        </w:rPr>
        <w:t>***</w:t>
      </w:r>
    </w:p>
    <w:p w14:paraId="0F8BFD60" w14:textId="77777777" w:rsidR="008F7EBA" w:rsidRDefault="008F7EBA" w:rsidP="008F7EBA">
      <w:pPr>
        <w:pStyle w:val="NoSpacing"/>
        <w:ind w:left="720"/>
        <w:rPr>
          <w:rFonts w:ascii="Times New Roman" w:hAnsi="Times New Roman"/>
          <w:sz w:val="24"/>
          <w:szCs w:val="24"/>
        </w:rPr>
      </w:pPr>
    </w:p>
    <w:p w14:paraId="08841768" w14:textId="77777777" w:rsidR="008F7EBA" w:rsidRDefault="008F7EBA" w:rsidP="008F7EBA">
      <w:pPr>
        <w:pStyle w:val="NoSpacing"/>
        <w:ind w:left="720"/>
        <w:rPr>
          <w:rFonts w:ascii="Times New Roman" w:hAnsi="Times New Roman"/>
          <w:sz w:val="24"/>
          <w:szCs w:val="24"/>
        </w:rPr>
      </w:pPr>
      <w:r w:rsidRPr="003B777F">
        <w:rPr>
          <w:rFonts w:ascii="Times New Roman" w:hAnsi="Times New Roman"/>
          <w:sz w:val="24"/>
          <w:szCs w:val="24"/>
        </w:rPr>
        <w:t>Defendant filed its motion for summary judgment and memoranda in support, arguing that</w:t>
      </w:r>
      <w:r>
        <w:rPr>
          <w:rFonts w:ascii="Times New Roman" w:hAnsi="Times New Roman"/>
          <w:sz w:val="24"/>
          <w:szCs w:val="24"/>
        </w:rPr>
        <w:t xml:space="preserve"> </w:t>
      </w:r>
      <w:r w:rsidRPr="003B777F">
        <w:rPr>
          <w:rFonts w:ascii="Times New Roman" w:hAnsi="Times New Roman"/>
          <w:sz w:val="24"/>
          <w:szCs w:val="24"/>
        </w:rPr>
        <w:t>(1) Plaintiff’s speech does not receive the highest level of protection under the First Amendment</w:t>
      </w:r>
      <w:r>
        <w:rPr>
          <w:rFonts w:ascii="Times New Roman" w:hAnsi="Times New Roman"/>
          <w:sz w:val="24"/>
          <w:szCs w:val="24"/>
        </w:rPr>
        <w:t xml:space="preserve"> </w:t>
      </w:r>
      <w:r w:rsidRPr="003B777F">
        <w:rPr>
          <w:rFonts w:ascii="Times New Roman" w:hAnsi="Times New Roman"/>
          <w:sz w:val="24"/>
          <w:szCs w:val="24"/>
        </w:rPr>
        <w:t>and (2) under so-called Pickering balancing (as established in Pickering v. Bd. Of Ed. Of Tup. High</w:t>
      </w:r>
      <w:r>
        <w:rPr>
          <w:rFonts w:ascii="Times New Roman" w:hAnsi="Times New Roman"/>
          <w:sz w:val="24"/>
          <w:szCs w:val="24"/>
        </w:rPr>
        <w:t xml:space="preserve"> </w:t>
      </w:r>
      <w:r w:rsidRPr="003B777F">
        <w:rPr>
          <w:rFonts w:ascii="Times New Roman" w:hAnsi="Times New Roman"/>
          <w:sz w:val="24"/>
          <w:szCs w:val="24"/>
        </w:rPr>
        <w:t>Sch. Dist. 205, Will Cnty., 391 U.S. 563, 568 (1968)</w:t>
      </w:r>
      <w:r>
        <w:rPr>
          <w:rFonts w:ascii="Times New Roman" w:hAnsi="Times New Roman"/>
          <w:sz w:val="24"/>
          <w:szCs w:val="24"/>
        </w:rPr>
        <w:t xml:space="preserve"> </w:t>
      </w:r>
      <w:r w:rsidRPr="003B777F">
        <w:rPr>
          <w:rFonts w:ascii="Times New Roman" w:hAnsi="Times New Roman"/>
          <w:sz w:val="24"/>
          <w:szCs w:val="24"/>
        </w:rPr>
        <w:t>(establishing that the Court must weigh the</w:t>
      </w:r>
      <w:r>
        <w:rPr>
          <w:rFonts w:ascii="Times New Roman" w:hAnsi="Times New Roman"/>
          <w:sz w:val="24"/>
          <w:szCs w:val="24"/>
        </w:rPr>
        <w:t xml:space="preserve"> </w:t>
      </w:r>
      <w:r w:rsidRPr="003B777F">
        <w:rPr>
          <w:rFonts w:ascii="Times New Roman" w:hAnsi="Times New Roman"/>
          <w:sz w:val="24"/>
          <w:szCs w:val="24"/>
        </w:rPr>
        <w:t>interests of the state against those of the public official in commenting on matters of public</w:t>
      </w:r>
      <w:r>
        <w:rPr>
          <w:rFonts w:ascii="Times New Roman" w:hAnsi="Times New Roman"/>
          <w:sz w:val="24"/>
          <w:szCs w:val="24"/>
        </w:rPr>
        <w:t xml:space="preserve"> </w:t>
      </w:r>
      <w:r w:rsidRPr="003B777F">
        <w:rPr>
          <w:rFonts w:ascii="Times New Roman" w:hAnsi="Times New Roman"/>
          <w:sz w:val="24"/>
          <w:szCs w:val="24"/>
        </w:rPr>
        <w:t>concern)), the Fire Department’s interest in public trust and efficiency outweigh Plaintiff’s</w:t>
      </w:r>
      <w:r>
        <w:rPr>
          <w:rFonts w:ascii="Times New Roman" w:hAnsi="Times New Roman"/>
          <w:sz w:val="24"/>
          <w:szCs w:val="24"/>
        </w:rPr>
        <w:t xml:space="preserve"> </w:t>
      </w:r>
      <w:r w:rsidRPr="003B777F">
        <w:rPr>
          <w:rFonts w:ascii="Times New Roman" w:hAnsi="Times New Roman"/>
          <w:sz w:val="24"/>
          <w:szCs w:val="24"/>
        </w:rPr>
        <w:t>countervailing speech interests.</w:t>
      </w:r>
    </w:p>
    <w:p w14:paraId="4E82A7DA" w14:textId="77777777" w:rsidR="008F7EBA" w:rsidRDefault="008F7EBA" w:rsidP="008F7EBA">
      <w:pPr>
        <w:pStyle w:val="NoSpacing"/>
        <w:ind w:left="720"/>
        <w:rPr>
          <w:rFonts w:ascii="Times New Roman" w:hAnsi="Times New Roman"/>
          <w:sz w:val="24"/>
          <w:szCs w:val="24"/>
        </w:rPr>
      </w:pPr>
    </w:p>
    <w:p w14:paraId="056E4372" w14:textId="77777777" w:rsidR="008F7EBA" w:rsidRDefault="008F7EBA" w:rsidP="008F7EBA">
      <w:pPr>
        <w:pStyle w:val="NoSpacing"/>
        <w:ind w:left="720"/>
        <w:rPr>
          <w:rFonts w:ascii="Times New Roman" w:hAnsi="Times New Roman"/>
          <w:sz w:val="24"/>
          <w:szCs w:val="24"/>
        </w:rPr>
      </w:pPr>
      <w:r>
        <w:rPr>
          <w:rFonts w:ascii="Times New Roman" w:hAnsi="Times New Roman"/>
          <w:sz w:val="24"/>
          <w:szCs w:val="24"/>
        </w:rPr>
        <w:t>***</w:t>
      </w:r>
    </w:p>
    <w:p w14:paraId="721E1971" w14:textId="77777777" w:rsidR="008F7EBA" w:rsidRDefault="008F7EBA" w:rsidP="008F7EBA">
      <w:pPr>
        <w:pStyle w:val="NoSpacing"/>
        <w:ind w:left="720"/>
        <w:rPr>
          <w:rFonts w:ascii="Times New Roman" w:hAnsi="Times New Roman"/>
          <w:sz w:val="24"/>
          <w:szCs w:val="24"/>
        </w:rPr>
      </w:pPr>
      <w:r w:rsidRPr="00057C7A">
        <w:rPr>
          <w:rFonts w:ascii="Times New Roman" w:hAnsi="Times New Roman"/>
          <w:sz w:val="24"/>
          <w:szCs w:val="24"/>
        </w:rPr>
        <w:lastRenderedPageBreak/>
        <w:t>And although Defendant relies on the testimony of Mark Young</w:t>
      </w:r>
      <w:r>
        <w:rPr>
          <w:rFonts w:ascii="Times New Roman" w:hAnsi="Times New Roman"/>
          <w:sz w:val="24"/>
          <w:szCs w:val="24"/>
        </w:rPr>
        <w:t xml:space="preserve"> [</w:t>
      </w:r>
      <w:r w:rsidRPr="00057C7A">
        <w:rPr>
          <w:rFonts w:ascii="Times New Roman" w:hAnsi="Times New Roman"/>
          <w:sz w:val="24"/>
          <w:szCs w:val="24"/>
        </w:rPr>
        <w:t>president of the local firefighter union</w:t>
      </w:r>
      <w:r>
        <w:rPr>
          <w:rFonts w:ascii="Times New Roman" w:hAnsi="Times New Roman"/>
          <w:sz w:val="24"/>
          <w:szCs w:val="24"/>
        </w:rPr>
        <w:t xml:space="preserve">] </w:t>
      </w:r>
      <w:r w:rsidRPr="00057C7A">
        <w:rPr>
          <w:rFonts w:ascii="Times New Roman" w:hAnsi="Times New Roman"/>
          <w:sz w:val="24"/>
          <w:szCs w:val="24"/>
        </w:rPr>
        <w:t>and Summers</w:t>
      </w:r>
      <w:r>
        <w:rPr>
          <w:rFonts w:ascii="Times New Roman" w:hAnsi="Times New Roman"/>
          <w:sz w:val="24"/>
          <w:szCs w:val="24"/>
        </w:rPr>
        <w:t xml:space="preserve"> [HR Director]</w:t>
      </w:r>
      <w:r w:rsidRPr="00057C7A">
        <w:rPr>
          <w:rFonts w:ascii="Times New Roman" w:hAnsi="Times New Roman"/>
          <w:sz w:val="24"/>
          <w:szCs w:val="24"/>
        </w:rPr>
        <w:t xml:space="preserve"> to establish</w:t>
      </w:r>
      <w:r>
        <w:rPr>
          <w:rFonts w:ascii="Times New Roman" w:hAnsi="Times New Roman"/>
          <w:sz w:val="24"/>
          <w:szCs w:val="24"/>
        </w:rPr>
        <w:t xml:space="preserve"> </w:t>
      </w:r>
      <w:r w:rsidRPr="00057C7A">
        <w:rPr>
          <w:rFonts w:ascii="Times New Roman" w:hAnsi="Times New Roman"/>
          <w:sz w:val="24"/>
          <w:szCs w:val="24"/>
        </w:rPr>
        <w:t>that NFD received many calls, their testimony fails to support that there was disruption to NFD’s</w:t>
      </w:r>
      <w:r>
        <w:rPr>
          <w:rFonts w:ascii="Times New Roman" w:hAnsi="Times New Roman"/>
          <w:sz w:val="24"/>
          <w:szCs w:val="24"/>
        </w:rPr>
        <w:t xml:space="preserve"> </w:t>
      </w:r>
      <w:r w:rsidRPr="00057C7A">
        <w:rPr>
          <w:rFonts w:ascii="Times New Roman" w:hAnsi="Times New Roman"/>
          <w:sz w:val="24"/>
          <w:szCs w:val="24"/>
        </w:rPr>
        <w:t>operations caused by Plaintiff’s speech. Summers testified that to his understanding, there was no</w:t>
      </w:r>
      <w:r>
        <w:rPr>
          <w:rFonts w:ascii="Times New Roman" w:hAnsi="Times New Roman"/>
          <w:sz w:val="24"/>
          <w:szCs w:val="24"/>
        </w:rPr>
        <w:t xml:space="preserve"> </w:t>
      </w:r>
      <w:r w:rsidRPr="00057C7A">
        <w:rPr>
          <w:rFonts w:ascii="Times New Roman" w:hAnsi="Times New Roman"/>
          <w:sz w:val="24"/>
          <w:szCs w:val="24"/>
        </w:rPr>
        <w:t xml:space="preserve">discernible disruption to NFD’s </w:t>
      </w:r>
      <w:r>
        <w:rPr>
          <w:rFonts w:ascii="Times New Roman" w:hAnsi="Times New Roman"/>
          <w:sz w:val="24"/>
          <w:szCs w:val="24"/>
        </w:rPr>
        <w:t>‘</w:t>
      </w:r>
      <w:r w:rsidRPr="00057C7A">
        <w:rPr>
          <w:rFonts w:ascii="Times New Roman" w:hAnsi="Times New Roman"/>
          <w:sz w:val="24"/>
          <w:szCs w:val="24"/>
        </w:rPr>
        <w:t>workflow</w:t>
      </w:r>
      <w:r>
        <w:rPr>
          <w:rFonts w:ascii="Times New Roman" w:hAnsi="Times New Roman"/>
          <w:sz w:val="24"/>
          <w:szCs w:val="24"/>
        </w:rPr>
        <w:t>’</w:t>
      </w:r>
      <w:r w:rsidRPr="00057C7A">
        <w:rPr>
          <w:rFonts w:ascii="Times New Roman" w:hAnsi="Times New Roman"/>
          <w:sz w:val="24"/>
          <w:szCs w:val="24"/>
        </w:rPr>
        <w:t xml:space="preserve"> </w:t>
      </w:r>
      <w:proofErr w:type="gramStart"/>
      <w:r w:rsidRPr="00057C7A">
        <w:rPr>
          <w:rFonts w:ascii="Times New Roman" w:hAnsi="Times New Roman"/>
          <w:sz w:val="24"/>
          <w:szCs w:val="24"/>
        </w:rPr>
        <w:t>as a result of</w:t>
      </w:r>
      <w:proofErr w:type="gramEnd"/>
      <w:r w:rsidRPr="00057C7A">
        <w:rPr>
          <w:rFonts w:ascii="Times New Roman" w:hAnsi="Times New Roman"/>
          <w:sz w:val="24"/>
          <w:szCs w:val="24"/>
        </w:rPr>
        <w:t xml:space="preserve"> that speech</w:t>
      </w:r>
      <w:r>
        <w:rPr>
          <w:rFonts w:ascii="Times New Roman" w:hAnsi="Times New Roman"/>
          <w:sz w:val="24"/>
          <w:szCs w:val="24"/>
        </w:rPr>
        <w:t xml:space="preserve"> … </w:t>
      </w:r>
      <w:r w:rsidRPr="00057C7A">
        <w:rPr>
          <w:rFonts w:ascii="Times New Roman" w:hAnsi="Times New Roman"/>
          <w:sz w:val="24"/>
          <w:szCs w:val="24"/>
        </w:rPr>
        <w:t xml:space="preserve"> and</w:t>
      </w:r>
      <w:r>
        <w:rPr>
          <w:rFonts w:ascii="Times New Roman" w:hAnsi="Times New Roman"/>
          <w:sz w:val="24"/>
          <w:szCs w:val="24"/>
        </w:rPr>
        <w:t xml:space="preserve"> </w:t>
      </w:r>
      <w:r w:rsidRPr="00057C7A">
        <w:rPr>
          <w:rFonts w:ascii="Times New Roman" w:hAnsi="Times New Roman"/>
          <w:sz w:val="24"/>
          <w:szCs w:val="24"/>
        </w:rPr>
        <w:t>Young testified to having no knowledge of the existence of various circumstances (effect on NFD</w:t>
      </w:r>
      <w:r>
        <w:rPr>
          <w:rFonts w:ascii="Times New Roman" w:hAnsi="Times New Roman"/>
          <w:sz w:val="24"/>
          <w:szCs w:val="24"/>
        </w:rPr>
        <w:t xml:space="preserve"> </w:t>
      </w:r>
      <w:r w:rsidRPr="00057C7A">
        <w:rPr>
          <w:rFonts w:ascii="Times New Roman" w:hAnsi="Times New Roman"/>
          <w:sz w:val="24"/>
          <w:szCs w:val="24"/>
        </w:rPr>
        <w:t>morale or close working relationships, unwillingness of NFD personnel to work with Plaintiff,</w:t>
      </w:r>
      <w:r>
        <w:rPr>
          <w:rFonts w:ascii="Times New Roman" w:hAnsi="Times New Roman"/>
          <w:sz w:val="24"/>
          <w:szCs w:val="24"/>
        </w:rPr>
        <w:t xml:space="preserve"> </w:t>
      </w:r>
      <w:r w:rsidRPr="00057C7A">
        <w:rPr>
          <w:rFonts w:ascii="Times New Roman" w:hAnsi="Times New Roman"/>
          <w:sz w:val="24"/>
          <w:szCs w:val="24"/>
        </w:rPr>
        <w:t>impairment of Plaintiff’s own performance as a firefighter, and undermining of NFD’s mission</w:t>
      </w:r>
      <w:r>
        <w:rPr>
          <w:rFonts w:ascii="Times New Roman" w:hAnsi="Times New Roman"/>
          <w:sz w:val="24"/>
          <w:szCs w:val="24"/>
        </w:rPr>
        <w:t xml:space="preserve">) … </w:t>
      </w:r>
      <w:r w:rsidRPr="00057C7A">
        <w:rPr>
          <w:rFonts w:ascii="Times New Roman" w:hAnsi="Times New Roman"/>
          <w:sz w:val="24"/>
          <w:szCs w:val="24"/>
        </w:rPr>
        <w:t xml:space="preserve"> that would be the kinds of things that would cause disruption; the Court</w:t>
      </w:r>
      <w:r>
        <w:rPr>
          <w:rFonts w:ascii="Times New Roman" w:hAnsi="Times New Roman"/>
          <w:sz w:val="24"/>
          <w:szCs w:val="24"/>
        </w:rPr>
        <w:t xml:space="preserve"> </w:t>
      </w:r>
      <w:r w:rsidRPr="00057C7A">
        <w:rPr>
          <w:rFonts w:ascii="Times New Roman" w:hAnsi="Times New Roman"/>
          <w:sz w:val="24"/>
          <w:szCs w:val="24"/>
        </w:rPr>
        <w:t>does not see where his testimony leaves room for an inference of disruption to NFD operations.</w:t>
      </w:r>
      <w:r>
        <w:rPr>
          <w:rFonts w:ascii="Times New Roman" w:hAnsi="Times New Roman"/>
          <w:sz w:val="24"/>
          <w:szCs w:val="24"/>
        </w:rPr>
        <w:t xml:space="preserve"> </w:t>
      </w:r>
      <w:r w:rsidRPr="00057C7A">
        <w:rPr>
          <w:rFonts w:ascii="Times New Roman" w:hAnsi="Times New Roman"/>
          <w:sz w:val="24"/>
          <w:szCs w:val="24"/>
        </w:rPr>
        <w:t>Thus, Defendant has not met its burden in showing that there is no genuine dispute of material fact</w:t>
      </w:r>
      <w:r>
        <w:rPr>
          <w:rFonts w:ascii="Times New Roman" w:hAnsi="Times New Roman"/>
          <w:sz w:val="24"/>
          <w:szCs w:val="24"/>
        </w:rPr>
        <w:t xml:space="preserve"> </w:t>
      </w:r>
      <w:r w:rsidRPr="00057C7A">
        <w:rPr>
          <w:rFonts w:ascii="Times New Roman" w:hAnsi="Times New Roman"/>
          <w:sz w:val="24"/>
          <w:szCs w:val="24"/>
        </w:rPr>
        <w:t>regarding factor (c), and this factor weighs in favor of Plaintiff</w:t>
      </w:r>
      <w:r>
        <w:rPr>
          <w:rFonts w:ascii="Times New Roman" w:hAnsi="Times New Roman"/>
          <w:sz w:val="24"/>
          <w:szCs w:val="24"/>
        </w:rPr>
        <w:t xml:space="preserve">…. </w:t>
      </w:r>
    </w:p>
    <w:p w14:paraId="07C30AA0" w14:textId="77777777" w:rsidR="008F7EBA" w:rsidRPr="000A219B" w:rsidRDefault="008F7EBA" w:rsidP="008F7EBA">
      <w:pPr>
        <w:pStyle w:val="NoSpacing"/>
        <w:ind w:firstLine="720"/>
        <w:rPr>
          <w:rFonts w:ascii="Times New Roman" w:hAnsi="Times New Roman"/>
          <w:sz w:val="24"/>
          <w:szCs w:val="24"/>
        </w:rPr>
      </w:pPr>
      <w:r w:rsidRPr="000A219B">
        <w:rPr>
          <w:rFonts w:ascii="Times New Roman" w:hAnsi="Times New Roman"/>
          <w:sz w:val="24"/>
          <w:szCs w:val="24"/>
        </w:rPr>
        <w:t>For the reasons discussed herein, the Court will deny Defendant’s motion for summary</w:t>
      </w:r>
    </w:p>
    <w:p w14:paraId="607B584A" w14:textId="77777777" w:rsidR="008F7EBA" w:rsidRDefault="008F7EBA" w:rsidP="008F7EBA">
      <w:pPr>
        <w:pStyle w:val="NoSpacing"/>
        <w:ind w:left="720"/>
        <w:rPr>
          <w:rFonts w:ascii="Times New Roman" w:hAnsi="Times New Roman"/>
          <w:sz w:val="24"/>
          <w:szCs w:val="24"/>
        </w:rPr>
      </w:pPr>
      <w:r w:rsidRPr="000A219B">
        <w:rPr>
          <w:rFonts w:ascii="Times New Roman" w:hAnsi="Times New Roman"/>
          <w:sz w:val="24"/>
          <w:szCs w:val="24"/>
        </w:rPr>
        <w:t>Judgment</w:t>
      </w:r>
      <w:r>
        <w:rPr>
          <w:rFonts w:ascii="Times New Roman" w:hAnsi="Times New Roman"/>
          <w:sz w:val="24"/>
          <w:szCs w:val="24"/>
        </w:rPr>
        <w:t xml:space="preserve">. </w:t>
      </w:r>
      <w:hyperlink r:id="rId2642" w:history="1">
        <w:r w:rsidRPr="00C13311">
          <w:rPr>
            <w:rStyle w:val="Hyperlink"/>
            <w:rFonts w:ascii="Times New Roman" w:hAnsi="Times New Roman"/>
            <w:sz w:val="24"/>
            <w:szCs w:val="24"/>
          </w:rPr>
          <w:t>https://cases.justia.com/federal/district-courts/tennessee/tnmdce/3:2021cv00042/85053/46/0.pdf?ts=1695225093</w:t>
        </w:r>
      </w:hyperlink>
      <w:r>
        <w:rPr>
          <w:rFonts w:ascii="Times New Roman" w:hAnsi="Times New Roman"/>
          <w:sz w:val="24"/>
          <w:szCs w:val="24"/>
        </w:rPr>
        <w:t xml:space="preserve"> </w:t>
      </w:r>
    </w:p>
    <w:p w14:paraId="2DE3B735" w14:textId="77777777" w:rsidR="008F7EBA" w:rsidRDefault="008F7EBA" w:rsidP="00F326E5">
      <w:pPr>
        <w:pStyle w:val="NoSpacing"/>
        <w:rPr>
          <w:rFonts w:ascii="Arial Black" w:hAnsi="Arial Black"/>
          <w:sz w:val="24"/>
          <w:szCs w:val="24"/>
        </w:rPr>
      </w:pPr>
    </w:p>
    <w:p w14:paraId="2319F427" w14:textId="77777777" w:rsidR="008F7EBA" w:rsidRPr="00057C7A" w:rsidRDefault="008F7EBA" w:rsidP="008F7EBA">
      <w:pPr>
        <w:pStyle w:val="NoSpacing"/>
        <w:rPr>
          <w:rFonts w:ascii="Times New Roman" w:hAnsi="Times New Roman"/>
          <w:b/>
          <w:bCs/>
          <w:sz w:val="24"/>
          <w:szCs w:val="24"/>
        </w:rPr>
      </w:pPr>
      <w:r w:rsidRPr="00057C7A">
        <w:rPr>
          <w:rFonts w:ascii="Times New Roman" w:hAnsi="Times New Roman"/>
          <w:b/>
          <w:bCs/>
          <w:sz w:val="24"/>
          <w:szCs w:val="24"/>
        </w:rPr>
        <w:t xml:space="preserve">Legal Lesson Learned: </w:t>
      </w:r>
      <w:r>
        <w:rPr>
          <w:rFonts w:ascii="Times New Roman" w:hAnsi="Times New Roman"/>
          <w:b/>
          <w:bCs/>
          <w:sz w:val="24"/>
          <w:szCs w:val="24"/>
        </w:rPr>
        <w:t xml:space="preserve"> The Pickering “balancing test” requires Court to examine the impact on FD of social media posts.  FD officers must be particularly cautious about posts that might appear racial in nature.</w:t>
      </w:r>
    </w:p>
    <w:p w14:paraId="35B84E4A" w14:textId="77777777" w:rsidR="008F7EBA" w:rsidRDefault="008F7EBA" w:rsidP="008F7EBA">
      <w:pPr>
        <w:pStyle w:val="NoSpacing"/>
        <w:rPr>
          <w:rFonts w:ascii="Times New Roman" w:hAnsi="Times New Roman"/>
          <w:sz w:val="24"/>
          <w:szCs w:val="24"/>
        </w:rPr>
      </w:pPr>
    </w:p>
    <w:p w14:paraId="7AA049B7" w14:textId="77777777" w:rsidR="008F7EBA" w:rsidRDefault="008F7EBA" w:rsidP="008F7EBA">
      <w:pPr>
        <w:pStyle w:val="NoSpacing"/>
        <w:rPr>
          <w:rFonts w:ascii="Times New Roman" w:hAnsi="Times New Roman"/>
          <w:sz w:val="24"/>
          <w:szCs w:val="24"/>
        </w:rPr>
      </w:pPr>
      <w:r>
        <w:rPr>
          <w:rFonts w:ascii="Times New Roman" w:hAnsi="Times New Roman"/>
          <w:sz w:val="24"/>
          <w:szCs w:val="24"/>
        </w:rPr>
        <w:tab/>
        <w:t>Note:  See Footnote 10 of the opinion:</w:t>
      </w:r>
    </w:p>
    <w:p w14:paraId="7238F3B4" w14:textId="77777777" w:rsidR="008F7EBA" w:rsidRDefault="008F7EBA" w:rsidP="008F7EBA">
      <w:pPr>
        <w:pStyle w:val="NoSpacing"/>
        <w:rPr>
          <w:rFonts w:ascii="Times New Roman" w:hAnsi="Times New Roman"/>
          <w:sz w:val="24"/>
          <w:szCs w:val="24"/>
        </w:rPr>
      </w:pPr>
    </w:p>
    <w:p w14:paraId="0DEA34E8" w14:textId="77777777" w:rsidR="008F7EBA" w:rsidRDefault="008F7EBA" w:rsidP="008F7EBA">
      <w:pPr>
        <w:pStyle w:val="NoSpacing"/>
        <w:ind w:left="1440"/>
        <w:rPr>
          <w:rFonts w:ascii="Times New Roman" w:hAnsi="Times New Roman"/>
          <w:sz w:val="24"/>
          <w:szCs w:val="24"/>
        </w:rPr>
      </w:pPr>
      <w:r>
        <w:rPr>
          <w:rFonts w:ascii="Times New Roman" w:hAnsi="Times New Roman"/>
          <w:sz w:val="24"/>
          <w:szCs w:val="24"/>
        </w:rPr>
        <w:t>“</w:t>
      </w:r>
      <w:r w:rsidRPr="00E2462F">
        <w:rPr>
          <w:rFonts w:ascii="Times New Roman" w:hAnsi="Times New Roman"/>
          <w:sz w:val="24"/>
          <w:szCs w:val="24"/>
        </w:rPr>
        <w:t>The Court declines to opine on whether these comments were necessarily racially biased, in the sense of</w:t>
      </w:r>
      <w:r>
        <w:rPr>
          <w:rFonts w:ascii="Times New Roman" w:hAnsi="Times New Roman"/>
          <w:sz w:val="24"/>
          <w:szCs w:val="24"/>
        </w:rPr>
        <w:t xml:space="preserve"> </w:t>
      </w:r>
      <w:r w:rsidRPr="00E2462F">
        <w:rPr>
          <w:rFonts w:ascii="Times New Roman" w:hAnsi="Times New Roman"/>
          <w:sz w:val="24"/>
          <w:szCs w:val="24"/>
        </w:rPr>
        <w:t>reflecting bias against Black members of the community, or whether instead they reflected a bias only</w:t>
      </w:r>
      <w:r>
        <w:rPr>
          <w:rFonts w:ascii="Times New Roman" w:hAnsi="Times New Roman"/>
          <w:sz w:val="24"/>
          <w:szCs w:val="24"/>
        </w:rPr>
        <w:t xml:space="preserve"> </w:t>
      </w:r>
      <w:r w:rsidRPr="00E2462F">
        <w:rPr>
          <w:rFonts w:ascii="Times New Roman" w:hAnsi="Times New Roman"/>
          <w:sz w:val="24"/>
          <w:szCs w:val="24"/>
        </w:rPr>
        <w:t>against two kinds of individuals —rioters, and members and supporters of Black Lives Matter—that, to say</w:t>
      </w:r>
      <w:r>
        <w:rPr>
          <w:rFonts w:ascii="Times New Roman" w:hAnsi="Times New Roman"/>
          <w:sz w:val="24"/>
          <w:szCs w:val="24"/>
        </w:rPr>
        <w:t xml:space="preserve"> </w:t>
      </w:r>
      <w:r w:rsidRPr="00E2462F">
        <w:rPr>
          <w:rFonts w:ascii="Times New Roman" w:hAnsi="Times New Roman"/>
          <w:sz w:val="24"/>
          <w:szCs w:val="24"/>
        </w:rPr>
        <w:t>the very least, obviously include persons who are not Black.</w:t>
      </w:r>
      <w:r>
        <w:rPr>
          <w:rFonts w:ascii="Times New Roman" w:hAnsi="Times New Roman"/>
          <w:sz w:val="24"/>
          <w:szCs w:val="24"/>
        </w:rPr>
        <w:t>”</w:t>
      </w:r>
    </w:p>
    <w:p w14:paraId="19578138" w14:textId="77777777" w:rsidR="008F7EBA" w:rsidRDefault="008F7EBA" w:rsidP="00F326E5">
      <w:pPr>
        <w:pStyle w:val="NoSpacing"/>
        <w:rPr>
          <w:rFonts w:ascii="Arial Black" w:hAnsi="Arial Black"/>
          <w:sz w:val="24"/>
          <w:szCs w:val="24"/>
        </w:rPr>
      </w:pPr>
    </w:p>
    <w:p w14:paraId="08EB4090" w14:textId="67037E16" w:rsidR="008F7EBA" w:rsidRDefault="008F7EBA" w:rsidP="00F326E5">
      <w:pPr>
        <w:pStyle w:val="NoSpacing"/>
        <w:rPr>
          <w:rFonts w:ascii="Arial Black" w:hAnsi="Arial Black"/>
          <w:sz w:val="24"/>
          <w:szCs w:val="24"/>
        </w:rPr>
      </w:pPr>
      <w:r>
        <w:rPr>
          <w:rFonts w:ascii="Arial Black" w:hAnsi="Arial Black"/>
          <w:sz w:val="24"/>
          <w:szCs w:val="24"/>
        </w:rPr>
        <w:t>16-93</w:t>
      </w:r>
    </w:p>
    <w:p w14:paraId="5298DF02" w14:textId="77777777" w:rsidR="008F7EBA" w:rsidRDefault="008F7EBA" w:rsidP="00F326E5">
      <w:pPr>
        <w:pStyle w:val="NoSpacing"/>
        <w:rPr>
          <w:rFonts w:ascii="Arial Black" w:hAnsi="Arial Black"/>
          <w:sz w:val="24"/>
          <w:szCs w:val="24"/>
        </w:rPr>
      </w:pPr>
    </w:p>
    <w:p w14:paraId="042E905A" w14:textId="77777777" w:rsidR="008F7EBA" w:rsidRPr="00E87A47" w:rsidRDefault="008F7EBA" w:rsidP="008F7EBA">
      <w:pPr>
        <w:rPr>
          <w:rFonts w:ascii="Arial Black" w:eastAsia="Times New Roman" w:hAnsi="Arial Black" w:cs="Segoe UI"/>
          <w:sz w:val="28"/>
          <w:szCs w:val="28"/>
        </w:rPr>
      </w:pPr>
      <w:r>
        <w:rPr>
          <w:rFonts w:ascii="Arial Black" w:eastAsia="Times New Roman" w:hAnsi="Arial Black" w:cs="Segoe UI"/>
          <w:sz w:val="28"/>
          <w:szCs w:val="28"/>
        </w:rPr>
        <w:t xml:space="preserve">NC: CHILD SEXUAL ASSAULTED BY FF AT FD – 24-30 YRS PRISON – VICTIM CAN NOW SUE WITHIN  2-YRS FF CONV. </w:t>
      </w:r>
    </w:p>
    <w:p w14:paraId="09647D7A" w14:textId="77777777" w:rsidR="008F7EBA" w:rsidRDefault="008F7EBA" w:rsidP="008F7EBA">
      <w:pPr>
        <w:pStyle w:val="NoSpacing"/>
        <w:rPr>
          <w:rFonts w:ascii="Times New Roman" w:hAnsi="Times New Roman"/>
          <w:sz w:val="24"/>
          <w:szCs w:val="24"/>
        </w:rPr>
      </w:pPr>
      <w:r w:rsidRPr="00040EC5">
        <w:rPr>
          <w:rFonts w:ascii="Times New Roman" w:hAnsi="Times New Roman"/>
          <w:sz w:val="24"/>
          <w:szCs w:val="24"/>
        </w:rPr>
        <w:t xml:space="preserve">On Sept. 12, 2023, in </w:t>
      </w:r>
      <w:r w:rsidRPr="00040EC5">
        <w:rPr>
          <w:rFonts w:ascii="Times New Roman" w:hAnsi="Times New Roman"/>
          <w:sz w:val="24"/>
          <w:szCs w:val="24"/>
          <w:u w:val="single"/>
        </w:rPr>
        <w:t>Michael Taylor v. The Piney Grove Volunteer Fire And Rescue Department, Inc., et al.</w:t>
      </w:r>
      <w:r w:rsidRPr="00040EC5">
        <w:rPr>
          <w:rFonts w:ascii="Times New Roman" w:hAnsi="Times New Roman"/>
          <w:sz w:val="24"/>
          <w:szCs w:val="24"/>
        </w:rPr>
        <w:t xml:space="preserve">, the Court of Appeals of North Carolina held (2 to 1) that the State Legislature can lawfully expand the statute of limitation for juveniles to sue </w:t>
      </w:r>
      <w:r>
        <w:rPr>
          <w:rFonts w:ascii="Times New Roman" w:hAnsi="Times New Roman"/>
          <w:sz w:val="24"/>
          <w:szCs w:val="24"/>
        </w:rPr>
        <w:t xml:space="preserve">when they become adults </w:t>
      </w:r>
      <w:r w:rsidRPr="00040EC5">
        <w:rPr>
          <w:rFonts w:ascii="Times New Roman" w:hAnsi="Times New Roman"/>
          <w:sz w:val="24"/>
          <w:szCs w:val="24"/>
        </w:rPr>
        <w:t xml:space="preserve">for child sexual abuse under the Sexual Assault Fast </w:t>
      </w:r>
      <w:r>
        <w:rPr>
          <w:rFonts w:ascii="Times New Roman" w:hAnsi="Times New Roman"/>
          <w:sz w:val="24"/>
          <w:szCs w:val="24"/>
        </w:rPr>
        <w:t>R</w:t>
      </w:r>
      <w:r w:rsidRPr="00040EC5">
        <w:rPr>
          <w:rFonts w:ascii="Times New Roman" w:hAnsi="Times New Roman"/>
          <w:sz w:val="24"/>
          <w:szCs w:val="24"/>
        </w:rPr>
        <w:t xml:space="preserve">eporting </w:t>
      </w:r>
      <w:r>
        <w:rPr>
          <w:rFonts w:ascii="Times New Roman" w:hAnsi="Times New Roman"/>
          <w:sz w:val="24"/>
          <w:szCs w:val="24"/>
        </w:rPr>
        <w:t>A</w:t>
      </w:r>
      <w:r w:rsidRPr="00040EC5">
        <w:rPr>
          <w:rFonts w:ascii="Times New Roman" w:hAnsi="Times New Roman"/>
          <w:sz w:val="24"/>
          <w:szCs w:val="24"/>
        </w:rPr>
        <w:t>nd Enforcement Act</w:t>
      </w:r>
      <w:r>
        <w:rPr>
          <w:rFonts w:ascii="Times New Roman" w:hAnsi="Times New Roman"/>
          <w:sz w:val="24"/>
          <w:szCs w:val="24"/>
        </w:rPr>
        <w:t xml:space="preserve"> (“</w:t>
      </w:r>
      <w:r w:rsidRPr="00040EC5">
        <w:rPr>
          <w:rFonts w:ascii="Times New Roman" w:hAnsi="Times New Roman"/>
          <w:sz w:val="24"/>
          <w:szCs w:val="24"/>
        </w:rPr>
        <w:t xml:space="preserve">SAFE Child Act”).  </w:t>
      </w:r>
      <w:r>
        <w:rPr>
          <w:rFonts w:ascii="Times New Roman" w:hAnsi="Times New Roman"/>
          <w:sz w:val="24"/>
          <w:szCs w:val="24"/>
        </w:rPr>
        <w:t>The North Carolina legislature amended the law to give child victims the right to sue two years after the conviction of the assailant. Michael Taylor turned 18 in April 2000; under prior law he had three years to sue the assailant (April 2003).  Under new statute, he could sue two years after the conviction of his assailant.  The firefighter pled guilty in 2019 to multiple counts of sexual assault and is now serving 24-to-</w:t>
      </w:r>
      <w:proofErr w:type="gramStart"/>
      <w:r>
        <w:rPr>
          <w:rFonts w:ascii="Times New Roman" w:hAnsi="Times New Roman"/>
          <w:sz w:val="24"/>
          <w:szCs w:val="24"/>
        </w:rPr>
        <w:t>30 year</w:t>
      </w:r>
      <w:proofErr w:type="gramEnd"/>
      <w:r>
        <w:rPr>
          <w:rFonts w:ascii="Times New Roman" w:hAnsi="Times New Roman"/>
          <w:sz w:val="24"/>
          <w:szCs w:val="24"/>
        </w:rPr>
        <w:t xml:space="preserve"> sentence in state prison.  The Court held that this lawsuit was timely filed on March 4, 2020.  </w:t>
      </w:r>
    </w:p>
    <w:p w14:paraId="6F2E6E4F" w14:textId="77777777" w:rsidR="008F7EBA" w:rsidRDefault="008F7EBA" w:rsidP="008F7EBA">
      <w:pPr>
        <w:pStyle w:val="NoSpacing"/>
        <w:rPr>
          <w:rFonts w:ascii="Times New Roman" w:hAnsi="Times New Roman"/>
          <w:sz w:val="24"/>
          <w:szCs w:val="24"/>
        </w:rPr>
      </w:pPr>
    </w:p>
    <w:p w14:paraId="634AC75B" w14:textId="77777777" w:rsidR="008F7EBA" w:rsidRDefault="008F7EBA" w:rsidP="008F7EBA">
      <w:pPr>
        <w:pStyle w:val="NoSpacing"/>
        <w:ind w:left="720" w:firstLine="60"/>
        <w:rPr>
          <w:rFonts w:ascii="Times New Roman" w:hAnsi="Times New Roman"/>
          <w:sz w:val="24"/>
          <w:szCs w:val="24"/>
        </w:rPr>
      </w:pPr>
      <w:r w:rsidRPr="00040EC5">
        <w:rPr>
          <w:rFonts w:ascii="Times New Roman" w:hAnsi="Times New Roman"/>
          <w:sz w:val="24"/>
          <w:szCs w:val="24"/>
        </w:rPr>
        <w:t>“Because we agree with Appellants that the North Carolina Constitution does not prohibit the General Assembly from reviving Plaintiff’s civil claims under the SAFE Child Act as set forth in McKinney, we reverse and remand the trial court’s order for further proceedings not inconsistent with this opinion.</w:t>
      </w:r>
    </w:p>
    <w:p w14:paraId="46CED53C" w14:textId="77777777" w:rsidR="008F7EBA" w:rsidRDefault="008F7EBA" w:rsidP="008F7EBA">
      <w:pPr>
        <w:pStyle w:val="NoSpacing"/>
        <w:ind w:left="720" w:firstLine="60"/>
        <w:rPr>
          <w:rFonts w:ascii="Times New Roman" w:hAnsi="Times New Roman"/>
          <w:sz w:val="24"/>
          <w:szCs w:val="24"/>
        </w:rPr>
      </w:pPr>
    </w:p>
    <w:p w14:paraId="07D73D36" w14:textId="77777777" w:rsidR="008F7EBA" w:rsidRDefault="008F7EBA" w:rsidP="008F7EBA">
      <w:pPr>
        <w:pStyle w:val="NoSpacing"/>
        <w:ind w:left="720" w:firstLine="60"/>
        <w:rPr>
          <w:rFonts w:ascii="Times New Roman" w:hAnsi="Times New Roman"/>
          <w:sz w:val="24"/>
          <w:szCs w:val="24"/>
        </w:rPr>
      </w:pPr>
      <w:r>
        <w:rPr>
          <w:rFonts w:ascii="Times New Roman" w:hAnsi="Times New Roman"/>
          <w:sz w:val="24"/>
          <w:szCs w:val="24"/>
        </w:rPr>
        <w:t>***</w:t>
      </w:r>
    </w:p>
    <w:p w14:paraId="6753EEFF" w14:textId="77777777" w:rsidR="008F7EBA" w:rsidRDefault="008F7EBA" w:rsidP="008F7EBA">
      <w:pPr>
        <w:pStyle w:val="NoSpacing"/>
        <w:ind w:left="720"/>
        <w:rPr>
          <w:rFonts w:ascii="Times New Roman" w:hAnsi="Times New Roman"/>
          <w:sz w:val="24"/>
          <w:szCs w:val="24"/>
        </w:rPr>
      </w:pPr>
      <w:r w:rsidRPr="002A67C8">
        <w:rPr>
          <w:rFonts w:ascii="Times New Roman" w:hAnsi="Times New Roman"/>
          <w:sz w:val="24"/>
          <w:szCs w:val="24"/>
        </w:rPr>
        <w:t>In the 2000s, 2010s, and early 2020s—and largely after Plaintiff’s tort claims</w:t>
      </w:r>
      <w:r>
        <w:rPr>
          <w:rFonts w:ascii="Times New Roman" w:hAnsi="Times New Roman"/>
          <w:sz w:val="24"/>
          <w:szCs w:val="24"/>
        </w:rPr>
        <w:t xml:space="preserve"> </w:t>
      </w:r>
      <w:r w:rsidRPr="002A67C8">
        <w:rPr>
          <w:rFonts w:ascii="Times New Roman" w:hAnsi="Times New Roman"/>
          <w:sz w:val="24"/>
          <w:szCs w:val="24"/>
        </w:rPr>
        <w:t>had expired—scientific research into childhood sexual trauma solidified around two</w:t>
      </w:r>
      <w:r>
        <w:rPr>
          <w:rFonts w:ascii="Times New Roman" w:hAnsi="Times New Roman"/>
          <w:sz w:val="24"/>
          <w:szCs w:val="24"/>
        </w:rPr>
        <w:t xml:space="preserve"> </w:t>
      </w:r>
      <w:r w:rsidRPr="002A67C8">
        <w:rPr>
          <w:rFonts w:ascii="Times New Roman" w:hAnsi="Times New Roman"/>
          <w:sz w:val="24"/>
          <w:szCs w:val="24"/>
        </w:rPr>
        <w:t>key facts: (1) victims of childhood sexual abuse frequently delayed disclosure of their</w:t>
      </w:r>
      <w:r>
        <w:rPr>
          <w:rFonts w:ascii="Times New Roman" w:hAnsi="Times New Roman"/>
          <w:sz w:val="24"/>
          <w:szCs w:val="24"/>
        </w:rPr>
        <w:t xml:space="preserve"> </w:t>
      </w:r>
      <w:r w:rsidRPr="002A67C8">
        <w:rPr>
          <w:rFonts w:ascii="Times New Roman" w:hAnsi="Times New Roman"/>
          <w:sz w:val="24"/>
          <w:szCs w:val="24"/>
        </w:rPr>
        <w:t>trauma well into adulthood; and (2) the abuse frequently resulted in lifelong injury</w:t>
      </w:r>
      <w:r>
        <w:rPr>
          <w:rFonts w:ascii="Times New Roman" w:hAnsi="Times New Roman"/>
          <w:sz w:val="24"/>
          <w:szCs w:val="24"/>
        </w:rPr>
        <w:t xml:space="preserve">…. </w:t>
      </w:r>
      <w:r w:rsidRPr="002A67C8">
        <w:rPr>
          <w:rFonts w:ascii="Times New Roman" w:hAnsi="Times New Roman"/>
          <w:sz w:val="24"/>
          <w:szCs w:val="24"/>
        </w:rPr>
        <w:t>Legislatures across the country responded to these scientific developments</w:t>
      </w:r>
      <w:r>
        <w:rPr>
          <w:rFonts w:ascii="Times New Roman" w:hAnsi="Times New Roman"/>
          <w:sz w:val="24"/>
          <w:szCs w:val="24"/>
        </w:rPr>
        <w:t xml:space="preserve"> </w:t>
      </w:r>
      <w:r w:rsidRPr="002A67C8">
        <w:rPr>
          <w:rFonts w:ascii="Times New Roman" w:hAnsi="Times New Roman"/>
          <w:sz w:val="24"/>
          <w:szCs w:val="24"/>
        </w:rPr>
        <w:lastRenderedPageBreak/>
        <w:t>by, among other actions, enacting statutes reviving stale civil claims for child sexual</w:t>
      </w:r>
      <w:r>
        <w:rPr>
          <w:rFonts w:ascii="Times New Roman" w:hAnsi="Times New Roman"/>
          <w:sz w:val="24"/>
          <w:szCs w:val="24"/>
        </w:rPr>
        <w:t xml:space="preserve"> </w:t>
      </w:r>
      <w:r w:rsidRPr="002A67C8">
        <w:rPr>
          <w:rFonts w:ascii="Times New Roman" w:hAnsi="Times New Roman"/>
          <w:sz w:val="24"/>
          <w:szCs w:val="24"/>
        </w:rPr>
        <w:t>abuse that had previously expired under the applicable statutes of limitation.</w:t>
      </w:r>
      <w:r>
        <w:rPr>
          <w:rFonts w:ascii="Times New Roman" w:hAnsi="Times New Roman"/>
          <w:sz w:val="24"/>
          <w:szCs w:val="24"/>
        </w:rPr>
        <w:t xml:space="preserve">” </w:t>
      </w:r>
    </w:p>
    <w:p w14:paraId="1A049730" w14:textId="77777777" w:rsidR="008F7EBA" w:rsidRPr="00040EC5" w:rsidRDefault="008F7EBA" w:rsidP="008F7EBA">
      <w:pPr>
        <w:pStyle w:val="NoSpacing"/>
        <w:ind w:left="720" w:firstLine="60"/>
        <w:rPr>
          <w:rFonts w:ascii="Times New Roman" w:hAnsi="Times New Roman"/>
          <w:sz w:val="24"/>
          <w:szCs w:val="24"/>
        </w:rPr>
      </w:pPr>
      <w:hyperlink r:id="rId2643" w:history="1">
        <w:r w:rsidRPr="002230B5">
          <w:rPr>
            <w:rStyle w:val="Hyperlink"/>
            <w:rFonts w:ascii="Times New Roman" w:hAnsi="Times New Roman"/>
            <w:sz w:val="24"/>
            <w:szCs w:val="24"/>
          </w:rPr>
          <w:t>https://cases.justia.com/north-carolina/court-of-appeals/2023-22-259.pdf?ts=1694553709</w:t>
        </w:r>
      </w:hyperlink>
      <w:r w:rsidRPr="00040EC5">
        <w:rPr>
          <w:rFonts w:ascii="Times New Roman" w:hAnsi="Times New Roman"/>
          <w:sz w:val="24"/>
          <w:szCs w:val="24"/>
        </w:rPr>
        <w:t xml:space="preserve"> </w:t>
      </w:r>
    </w:p>
    <w:p w14:paraId="52BA10CC" w14:textId="77777777" w:rsidR="008F7EBA" w:rsidRDefault="008F7EBA" w:rsidP="008F7EBA">
      <w:pPr>
        <w:pStyle w:val="NoSpacing"/>
        <w:rPr>
          <w:rFonts w:ascii="Times New Roman" w:hAnsi="Times New Roman"/>
          <w:b/>
          <w:bCs/>
          <w:sz w:val="24"/>
          <w:szCs w:val="24"/>
        </w:rPr>
      </w:pPr>
    </w:p>
    <w:p w14:paraId="7D98C8DC" w14:textId="402B2869" w:rsidR="008F7EBA" w:rsidRPr="002A67C8" w:rsidRDefault="008F7EBA" w:rsidP="008F7EBA">
      <w:pPr>
        <w:pStyle w:val="NoSpacing"/>
        <w:rPr>
          <w:rFonts w:ascii="Times New Roman" w:hAnsi="Times New Roman"/>
          <w:b/>
          <w:bCs/>
          <w:sz w:val="24"/>
          <w:szCs w:val="24"/>
        </w:rPr>
      </w:pPr>
      <w:r w:rsidRPr="002A67C8">
        <w:rPr>
          <w:rFonts w:ascii="Times New Roman" w:hAnsi="Times New Roman"/>
          <w:b/>
          <w:bCs/>
          <w:sz w:val="24"/>
          <w:szCs w:val="24"/>
        </w:rPr>
        <w:t>Legal Lesson Learned:</w:t>
      </w:r>
      <w:r>
        <w:rPr>
          <w:rFonts w:ascii="Times New Roman" w:hAnsi="Times New Roman"/>
          <w:b/>
          <w:bCs/>
          <w:sz w:val="24"/>
          <w:szCs w:val="24"/>
        </w:rPr>
        <w:t xml:space="preserve"> Many state legislatures have likewise expanded the statute of limitations for victims of sexual assault as children. </w:t>
      </w:r>
    </w:p>
    <w:p w14:paraId="695E9F13" w14:textId="77777777" w:rsidR="008F7EBA" w:rsidRDefault="008F7EBA" w:rsidP="008F7EBA">
      <w:pPr>
        <w:pStyle w:val="NoSpacing"/>
        <w:ind w:left="720"/>
        <w:rPr>
          <w:rFonts w:ascii="Times New Roman" w:hAnsi="Times New Roman"/>
          <w:sz w:val="24"/>
          <w:szCs w:val="24"/>
        </w:rPr>
      </w:pPr>
    </w:p>
    <w:p w14:paraId="6E097F2E" w14:textId="77777777" w:rsidR="008F7EBA" w:rsidRPr="00842639" w:rsidRDefault="008F7EBA" w:rsidP="008F7EBA">
      <w:pPr>
        <w:pStyle w:val="NoSpacing"/>
        <w:ind w:left="720"/>
        <w:rPr>
          <w:rFonts w:ascii="Times New Roman" w:hAnsi="Times New Roman"/>
          <w:sz w:val="24"/>
          <w:szCs w:val="24"/>
        </w:rPr>
      </w:pPr>
      <w:r w:rsidRPr="00842639">
        <w:rPr>
          <w:rFonts w:ascii="Times New Roman" w:hAnsi="Times New Roman"/>
          <w:sz w:val="24"/>
          <w:szCs w:val="24"/>
        </w:rPr>
        <w:t xml:space="preserve">Note: See June 26, </w:t>
      </w:r>
      <w:proofErr w:type="gramStart"/>
      <w:r w:rsidRPr="00842639">
        <w:rPr>
          <w:rFonts w:ascii="Times New Roman" w:hAnsi="Times New Roman"/>
          <w:sz w:val="24"/>
          <w:szCs w:val="24"/>
        </w:rPr>
        <w:t>2019</w:t>
      </w:r>
      <w:proofErr w:type="gramEnd"/>
      <w:r w:rsidRPr="00842639">
        <w:rPr>
          <w:rFonts w:ascii="Times New Roman" w:hAnsi="Times New Roman"/>
          <w:sz w:val="24"/>
          <w:szCs w:val="24"/>
        </w:rPr>
        <w:t xml:space="preserve"> article, 'He stole my innocence, my childhood, my virginity:' Former YMCA counselor convicted of child sex abuse.” A search warrant revealed at least eight possible victims, one of them who was 10 years old at the time.  </w:t>
      </w:r>
      <w:hyperlink r:id="rId2644" w:history="1">
        <w:r w:rsidRPr="00842639">
          <w:rPr>
            <w:rStyle w:val="Hyperlink"/>
            <w:rFonts w:ascii="Times New Roman" w:hAnsi="Times New Roman"/>
            <w:sz w:val="24"/>
            <w:szCs w:val="24"/>
          </w:rPr>
          <w:t>https://www.wxii12.com/article/former-ymca-counselor-volunteer-firefighter-pleads-guilty-to-sexually-assaulting-young-boys/28196918</w:t>
        </w:r>
      </w:hyperlink>
      <w:r w:rsidRPr="00842639">
        <w:rPr>
          <w:rFonts w:ascii="Times New Roman" w:hAnsi="Times New Roman"/>
          <w:sz w:val="24"/>
          <w:szCs w:val="24"/>
        </w:rPr>
        <w:t xml:space="preserve"> </w:t>
      </w:r>
    </w:p>
    <w:p w14:paraId="7D60FB66" w14:textId="77777777" w:rsidR="008F7EBA" w:rsidRDefault="008F7EBA" w:rsidP="008F7EBA">
      <w:pPr>
        <w:pStyle w:val="NormalWeb"/>
      </w:pPr>
    </w:p>
    <w:p w14:paraId="7BDB1E76" w14:textId="77777777" w:rsidR="008F7EBA" w:rsidRDefault="008F7EBA" w:rsidP="00F326E5">
      <w:pPr>
        <w:pStyle w:val="NoSpacing"/>
        <w:rPr>
          <w:rFonts w:ascii="Arial Black" w:hAnsi="Arial Black"/>
          <w:sz w:val="24"/>
          <w:szCs w:val="24"/>
        </w:rPr>
      </w:pPr>
    </w:p>
    <w:p w14:paraId="55B7855A" w14:textId="77777777" w:rsidR="008F7EBA" w:rsidRDefault="008F7EBA" w:rsidP="00F326E5">
      <w:pPr>
        <w:pStyle w:val="NoSpacing"/>
        <w:rPr>
          <w:rFonts w:ascii="Arial Black" w:hAnsi="Arial Black"/>
          <w:sz w:val="24"/>
          <w:szCs w:val="24"/>
        </w:rPr>
      </w:pPr>
    </w:p>
    <w:p w14:paraId="3C17A371" w14:textId="4D050C59" w:rsidR="009B0593" w:rsidRDefault="009B0593" w:rsidP="00F326E5">
      <w:pPr>
        <w:pStyle w:val="NoSpacing"/>
        <w:rPr>
          <w:rFonts w:ascii="Arial Black" w:hAnsi="Arial Black"/>
          <w:sz w:val="24"/>
          <w:szCs w:val="24"/>
        </w:rPr>
      </w:pPr>
      <w:r>
        <w:rPr>
          <w:rFonts w:ascii="Arial Black" w:hAnsi="Arial Black"/>
          <w:sz w:val="24"/>
          <w:szCs w:val="24"/>
        </w:rPr>
        <w:t>16-92</w:t>
      </w:r>
    </w:p>
    <w:p w14:paraId="45AECEE9" w14:textId="77777777" w:rsidR="009B0593" w:rsidRDefault="009B0593" w:rsidP="009B0593">
      <w:pPr>
        <w:pStyle w:val="NormalWeb"/>
        <w:rPr>
          <w:rFonts w:ascii="Arial Black" w:hAnsi="Arial Black"/>
          <w:b/>
          <w:bCs/>
          <w:sz w:val="28"/>
          <w:szCs w:val="28"/>
        </w:rPr>
      </w:pPr>
      <w:r>
        <w:rPr>
          <w:rFonts w:ascii="Arial Black" w:hAnsi="Arial Black"/>
          <w:b/>
          <w:bCs/>
          <w:sz w:val="28"/>
          <w:szCs w:val="28"/>
        </w:rPr>
        <w:t>CA: BORDER PATROL SUPERVISOR ARRESTED AT BAR - FALSELY TOLD EMS DIABETIC 1 – FIRED LACK CANDOR</w:t>
      </w:r>
    </w:p>
    <w:p w14:paraId="5E44AA5E" w14:textId="77777777" w:rsidR="009B0593" w:rsidRDefault="009B0593" w:rsidP="009B0593">
      <w:pPr>
        <w:pStyle w:val="NormalWeb"/>
      </w:pPr>
      <w:r>
        <w:t xml:space="preserve">On Aug. 18, 2023, in </w:t>
      </w:r>
      <w:r w:rsidRPr="00425C38">
        <w:rPr>
          <w:u w:val="single"/>
        </w:rPr>
        <w:t>Nick Santos v. Department of Homeland Security</w:t>
      </w:r>
      <w:r>
        <w:t xml:space="preserve">, the United States of America Merit Systems Protection Board (2 to 0) reversed Administrative Law Judge and upheld the termination of the Agent for lack of candor. </w:t>
      </w:r>
    </w:p>
    <w:p w14:paraId="0B48BD4E" w14:textId="77777777" w:rsidR="009B0593" w:rsidRDefault="009B0593" w:rsidP="009B0593">
      <w:pPr>
        <w:pStyle w:val="NormalWeb"/>
      </w:pPr>
      <w:r>
        <w:tab/>
        <w:t>The Board held:</w:t>
      </w:r>
    </w:p>
    <w:p w14:paraId="0093150F" w14:textId="77777777" w:rsidR="009B0593" w:rsidRPr="009B0593" w:rsidRDefault="009B0593" w:rsidP="009B0593">
      <w:pPr>
        <w:pStyle w:val="NormalWeb"/>
        <w:ind w:left="720"/>
      </w:pPr>
      <w:r>
        <w:t xml:space="preserve">“In this case, the agency has provided evidence that the appellant's </w:t>
      </w:r>
      <w:proofErr w:type="gramStart"/>
      <w:r>
        <w:t>off-duty</w:t>
      </w:r>
      <w:proofErr w:type="gramEnd"/>
      <w:r>
        <w:t xml:space="preserve"> conduct adversely affected its trust and confidence in the appellant's ability to serve as a Supervisory Border Patrol Agent. *** We have considered relevant mitigating factors, including the appellant's length of service, his record of performance-based awards, and the rehabilitative potential evidenced by his willingness to admit to conduct unbecoming. However, considering that the sustained charge of lack of candor could potentially result in the appellant's </w:t>
      </w:r>
      <w:r>
        <w:rPr>
          <w:rStyle w:val="Emphasis"/>
        </w:rPr>
        <w:t>Giglio</w:t>
      </w:r>
      <w:r>
        <w:t xml:space="preserve"> impairment [footnote 4] it is doubtful that an alternative sanction, such as a suspension or demotion to a nonsupervisory law enforcement position, would be a viable option in this case. We find that the penalty of </w:t>
      </w:r>
      <w:r w:rsidRPr="009B0593">
        <w:t>removal is within the bounds of reasonableness, and we therefore sustain it.</w:t>
      </w:r>
    </w:p>
    <w:p w14:paraId="6FF92FE1" w14:textId="259B8B03" w:rsidR="009B0593" w:rsidRPr="009B0593" w:rsidRDefault="009B0593" w:rsidP="009B0593">
      <w:pPr>
        <w:pStyle w:val="NoSpacing"/>
        <w:ind w:left="720"/>
        <w:rPr>
          <w:rFonts w:ascii="Times New Roman" w:hAnsi="Times New Roman"/>
          <w:sz w:val="24"/>
          <w:szCs w:val="24"/>
        </w:rPr>
      </w:pPr>
      <w:r w:rsidRPr="009B0593">
        <w:rPr>
          <w:rFonts w:ascii="Times New Roman" w:hAnsi="Times New Roman"/>
          <w:sz w:val="24"/>
          <w:szCs w:val="24"/>
        </w:rPr>
        <w:t xml:space="preserve">Footnote 4: </w:t>
      </w:r>
      <w:r w:rsidRPr="009B0593">
        <w:rPr>
          <w:rFonts w:ascii="Times New Roman" w:eastAsiaTheme="minorHAnsi" w:hAnsi="Times New Roman"/>
          <w:kern w:val="2"/>
          <w:sz w:val="24"/>
          <w:szCs w:val="24"/>
          <w14:ligatures w14:val="standardContextual"/>
        </w:rPr>
        <w:t xml:space="preserve">In </w:t>
      </w:r>
      <w:r w:rsidRPr="009B0593">
        <w:rPr>
          <w:rFonts w:ascii="Times New Roman" w:eastAsiaTheme="minorHAnsi" w:hAnsi="Times New Roman"/>
          <w:i/>
          <w:iCs/>
          <w:kern w:val="2"/>
          <w:sz w:val="24"/>
          <w:szCs w:val="24"/>
          <w14:ligatures w14:val="standardContextual"/>
        </w:rPr>
        <w:t>Giglio v. United States</w:t>
      </w:r>
      <w:r w:rsidRPr="009B0593">
        <w:rPr>
          <w:rFonts w:ascii="Times New Roman" w:eastAsiaTheme="minorHAnsi" w:hAnsi="Times New Roman"/>
          <w:kern w:val="2"/>
          <w:sz w:val="24"/>
          <w:szCs w:val="24"/>
          <w14:ligatures w14:val="standardContextual"/>
        </w:rPr>
        <w:t xml:space="preserve">, 405 U.S. 150, 154 (1972), the Supreme Court held that the Government must disclose evidence affecting the credibility of Government witnesses. Subsequent case law has extended this rule to require Government agencies to review the personnel files of Government witnesses and disclose material that could cast doubt on their credibility or potential for bias. </w:t>
      </w:r>
      <w:r w:rsidRPr="009B0593">
        <w:rPr>
          <w:rFonts w:ascii="Times New Roman" w:eastAsiaTheme="minorHAnsi" w:hAnsi="Times New Roman"/>
          <w:i/>
          <w:iCs/>
          <w:kern w:val="2"/>
          <w:sz w:val="24"/>
          <w:szCs w:val="24"/>
          <w14:ligatures w14:val="standardContextual"/>
        </w:rPr>
        <w:t>See United States v. Henthorn</w:t>
      </w:r>
      <w:r w:rsidRPr="009B0593">
        <w:rPr>
          <w:rFonts w:ascii="Times New Roman" w:eastAsiaTheme="minorHAnsi" w:hAnsi="Times New Roman"/>
          <w:kern w:val="2"/>
          <w:sz w:val="24"/>
          <w:szCs w:val="24"/>
          <w14:ligatures w14:val="standardContextual"/>
        </w:rPr>
        <w:t xml:space="preserve">, 931 F.2d 29, 30-31 (9th Cir. 1991).” </w:t>
      </w:r>
      <w:hyperlink r:id="rId2645" w:history="1">
        <w:r w:rsidRPr="009B0593">
          <w:rPr>
            <w:rStyle w:val="Hyperlink"/>
            <w:rFonts w:ascii="Times New Roman" w:eastAsiaTheme="majorEastAsia" w:hAnsi="Times New Roman"/>
            <w:sz w:val="24"/>
            <w:szCs w:val="24"/>
          </w:rPr>
          <w:t>https://www.mspb.gov/decisions/nonprecedential/SANTOS_NICK_SF_0752_20_0114_I_1_FINAL_ORDER_2060932.pdf</w:t>
        </w:r>
      </w:hyperlink>
    </w:p>
    <w:p w14:paraId="2173CA09" w14:textId="77777777" w:rsidR="009B0593" w:rsidRDefault="009B0593" w:rsidP="00F326E5">
      <w:pPr>
        <w:pStyle w:val="NoSpacing"/>
        <w:rPr>
          <w:rFonts w:ascii="Arial Black" w:hAnsi="Arial Black"/>
          <w:sz w:val="24"/>
          <w:szCs w:val="24"/>
        </w:rPr>
      </w:pPr>
    </w:p>
    <w:p w14:paraId="7AD918E2" w14:textId="77777777" w:rsidR="009B0593" w:rsidRDefault="009B0593" w:rsidP="009B0593">
      <w:pPr>
        <w:rPr>
          <w:rFonts w:ascii="Times New Roman" w:hAnsi="Times New Roman"/>
          <w:b/>
          <w:bCs/>
          <w:sz w:val="24"/>
          <w:szCs w:val="24"/>
        </w:rPr>
      </w:pPr>
      <w:r w:rsidRPr="0060003D">
        <w:rPr>
          <w:rFonts w:ascii="Times New Roman" w:hAnsi="Times New Roman"/>
          <w:b/>
          <w:bCs/>
          <w:sz w:val="24"/>
          <w:szCs w:val="24"/>
        </w:rPr>
        <w:t xml:space="preserve">Legal Lesson Learned: </w:t>
      </w:r>
      <w:r>
        <w:rPr>
          <w:rFonts w:ascii="Times New Roman" w:hAnsi="Times New Roman"/>
          <w:b/>
          <w:bCs/>
          <w:sz w:val="24"/>
          <w:szCs w:val="24"/>
        </w:rPr>
        <w:t xml:space="preserve"> Under the U.S. Supreme Court’s decision in Giglio v. United States. if this Supervisor Agent testifies in a criminal case the Government may need to disclose the “lack of candor” administrative charge.</w:t>
      </w:r>
    </w:p>
    <w:p w14:paraId="243AB25B" w14:textId="759C8F68" w:rsidR="009B0593" w:rsidRDefault="009B0593" w:rsidP="009B0593">
      <w:pPr>
        <w:pStyle w:val="NoSpacing"/>
        <w:ind w:left="720"/>
        <w:rPr>
          <w:rFonts w:ascii="Arial Black" w:hAnsi="Arial Black"/>
          <w:sz w:val="24"/>
          <w:szCs w:val="24"/>
        </w:rPr>
      </w:pPr>
      <w:r>
        <w:rPr>
          <w:rFonts w:ascii="Times New Roman" w:hAnsi="Times New Roman"/>
          <w:sz w:val="24"/>
          <w:szCs w:val="24"/>
        </w:rPr>
        <w:lastRenderedPageBreak/>
        <w:t xml:space="preserve">Note: </w:t>
      </w:r>
      <w:r w:rsidRPr="00B07F0E">
        <w:rPr>
          <w:rFonts w:ascii="Times New Roman" w:hAnsi="Times New Roman"/>
          <w:sz w:val="24"/>
          <w:szCs w:val="24"/>
        </w:rPr>
        <w:t xml:space="preserve">In </w:t>
      </w:r>
      <w:r w:rsidRPr="00B07F0E">
        <w:rPr>
          <w:rStyle w:val="Strong"/>
          <w:rFonts w:ascii="Times New Roman" w:hAnsi="Times New Roman"/>
          <w:sz w:val="24"/>
          <w:szCs w:val="24"/>
          <w:u w:val="single"/>
        </w:rPr>
        <w:t>Giglio v. United States</w:t>
      </w:r>
      <w:r w:rsidRPr="00B07F0E">
        <w:rPr>
          <w:rStyle w:val="Strong"/>
          <w:rFonts w:ascii="Times New Roman" w:hAnsi="Times New Roman"/>
          <w:sz w:val="24"/>
          <w:szCs w:val="24"/>
        </w:rPr>
        <w:t xml:space="preserve">, </w:t>
      </w:r>
      <w:hyperlink r:id="rId2646" w:history="1">
        <w:r w:rsidRPr="00B07F0E">
          <w:rPr>
            <w:rStyle w:val="Hyperlink"/>
            <w:rFonts w:ascii="Times New Roman" w:hAnsi="Times New Roman"/>
            <w:sz w:val="24"/>
            <w:szCs w:val="24"/>
          </w:rPr>
          <w:t>405 U.S. 150</w:t>
        </w:r>
      </w:hyperlink>
      <w:r w:rsidRPr="00B07F0E">
        <w:rPr>
          <w:rStyle w:val="Strong"/>
          <w:rFonts w:ascii="Times New Roman" w:hAnsi="Times New Roman"/>
          <w:sz w:val="24"/>
          <w:szCs w:val="24"/>
        </w:rPr>
        <w:t xml:space="preserve"> (1972), the U.S. Supreme Court </w:t>
      </w:r>
      <w:r>
        <w:rPr>
          <w:rStyle w:val="Strong"/>
          <w:rFonts w:ascii="Times New Roman" w:hAnsi="Times New Roman"/>
          <w:sz w:val="24"/>
          <w:szCs w:val="24"/>
        </w:rPr>
        <w:t xml:space="preserve">reversed the conviction of </w:t>
      </w:r>
      <w:r w:rsidRPr="00B07F0E">
        <w:rPr>
          <w:rFonts w:ascii="Times New Roman" w:eastAsia="Times New Roman" w:hAnsi="Times New Roman"/>
          <w:sz w:val="24"/>
          <w:szCs w:val="24"/>
        </w:rPr>
        <w:t xml:space="preserve">passing forged money </w:t>
      </w:r>
      <w:proofErr w:type="gramStart"/>
      <w:r w:rsidRPr="00B07F0E">
        <w:rPr>
          <w:rFonts w:ascii="Times New Roman" w:eastAsia="Times New Roman" w:hAnsi="Times New Roman"/>
          <w:sz w:val="24"/>
          <w:szCs w:val="24"/>
        </w:rPr>
        <w:t>orders, and</w:t>
      </w:r>
      <w:proofErr w:type="gramEnd"/>
      <w:r w:rsidRPr="00B07F0E">
        <w:rPr>
          <w:rFonts w:ascii="Times New Roman" w:eastAsia="Times New Roman" w:hAnsi="Times New Roman"/>
          <w:sz w:val="24"/>
          <w:szCs w:val="24"/>
        </w:rPr>
        <w:t xml:space="preserve"> </w:t>
      </w:r>
      <w:r>
        <w:rPr>
          <w:rFonts w:ascii="Times New Roman" w:eastAsia="Times New Roman" w:hAnsi="Times New Roman"/>
          <w:sz w:val="24"/>
          <w:szCs w:val="24"/>
        </w:rPr>
        <w:t xml:space="preserve">ordered a new trial.  </w:t>
      </w:r>
      <w:r w:rsidRPr="00B07F0E">
        <w:rPr>
          <w:rFonts w:ascii="Times New Roman" w:eastAsia="Times New Roman" w:hAnsi="Times New Roman"/>
          <w:sz w:val="24"/>
          <w:szCs w:val="24"/>
        </w:rPr>
        <w:t xml:space="preserve">While appeal was pending in the Court of Appeals, defense counsel discovered new evidence indicating that the Government had failed to disclose an alleged promise made to its key witness [bank teller who gave defendant </w:t>
      </w:r>
      <w:r w:rsidRPr="00B07F0E">
        <w:rPr>
          <w:rStyle w:val="headertext"/>
          <w:rFonts w:ascii="Times New Roman" w:hAnsi="Times New Roman"/>
          <w:sz w:val="24"/>
          <w:szCs w:val="24"/>
        </w:rPr>
        <w:t>one of the bank's customer signature cards]</w:t>
      </w:r>
      <w:r w:rsidRPr="00B07F0E">
        <w:rPr>
          <w:rFonts w:ascii="Times New Roman" w:eastAsia="Times New Roman" w:hAnsi="Times New Roman"/>
          <w:sz w:val="24"/>
          <w:szCs w:val="24"/>
        </w:rPr>
        <w:t xml:space="preserve"> that he would not be prosecuted if he testified for the Government.</w:t>
      </w:r>
      <w:r>
        <w:rPr>
          <w:rFonts w:ascii="Times New Roman" w:eastAsia="Times New Roman" w:hAnsi="Times New Roman"/>
          <w:sz w:val="24"/>
          <w:szCs w:val="24"/>
        </w:rPr>
        <w:t xml:space="preserve"> </w:t>
      </w:r>
      <w:hyperlink r:id="rId2647" w:history="1">
        <w:r w:rsidRPr="003B4116">
          <w:rPr>
            <w:rStyle w:val="Hyperlink"/>
            <w:rFonts w:ascii="Times New Roman" w:hAnsi="Times New Roman"/>
            <w:sz w:val="24"/>
            <w:szCs w:val="24"/>
          </w:rPr>
          <w:t>https://supreme.justia.com/cases/federal/us/405/150/</w:t>
        </w:r>
      </w:hyperlink>
    </w:p>
    <w:p w14:paraId="7BFD5CB6" w14:textId="77777777" w:rsidR="009B0593" w:rsidRDefault="009B0593" w:rsidP="00F326E5">
      <w:pPr>
        <w:pStyle w:val="NoSpacing"/>
        <w:rPr>
          <w:rFonts w:ascii="Arial Black" w:hAnsi="Arial Black"/>
          <w:sz w:val="24"/>
          <w:szCs w:val="24"/>
        </w:rPr>
      </w:pPr>
    </w:p>
    <w:p w14:paraId="0FB525D4" w14:textId="77777777" w:rsidR="0055155D" w:rsidRDefault="0055155D" w:rsidP="00F326E5">
      <w:pPr>
        <w:pStyle w:val="NoSpacing"/>
        <w:rPr>
          <w:rFonts w:ascii="Arial Black" w:hAnsi="Arial Black"/>
          <w:sz w:val="24"/>
          <w:szCs w:val="24"/>
        </w:rPr>
      </w:pPr>
    </w:p>
    <w:p w14:paraId="045E7499" w14:textId="43A44342" w:rsidR="009B0593" w:rsidRDefault="009B0593" w:rsidP="00F326E5">
      <w:pPr>
        <w:pStyle w:val="NoSpacing"/>
        <w:rPr>
          <w:rFonts w:ascii="Arial Black" w:hAnsi="Arial Black"/>
          <w:sz w:val="24"/>
          <w:szCs w:val="24"/>
        </w:rPr>
      </w:pPr>
      <w:r>
        <w:rPr>
          <w:rFonts w:ascii="Arial Black" w:hAnsi="Arial Black"/>
          <w:sz w:val="24"/>
          <w:szCs w:val="24"/>
        </w:rPr>
        <w:t>16-91</w:t>
      </w:r>
    </w:p>
    <w:p w14:paraId="40BF1727" w14:textId="77777777" w:rsidR="0055155D" w:rsidRDefault="0055155D" w:rsidP="00F326E5">
      <w:pPr>
        <w:pStyle w:val="NoSpacing"/>
        <w:rPr>
          <w:rFonts w:ascii="Arial Black" w:hAnsi="Arial Black"/>
          <w:sz w:val="24"/>
          <w:szCs w:val="24"/>
        </w:rPr>
      </w:pPr>
    </w:p>
    <w:p w14:paraId="4D050A68" w14:textId="77777777" w:rsidR="0055155D" w:rsidRPr="00C5347C" w:rsidRDefault="0055155D" w:rsidP="0055155D">
      <w:pPr>
        <w:pStyle w:val="NormalWeb"/>
        <w:rPr>
          <w:rFonts w:ascii="Arial Black" w:hAnsi="Arial Black"/>
          <w:b/>
          <w:bCs/>
          <w:sz w:val="28"/>
          <w:szCs w:val="28"/>
        </w:rPr>
      </w:pPr>
      <w:r>
        <w:rPr>
          <w:rFonts w:ascii="Arial Black" w:hAnsi="Arial Black"/>
          <w:b/>
          <w:bCs/>
          <w:sz w:val="28"/>
          <w:szCs w:val="28"/>
        </w:rPr>
        <w:t xml:space="preserve">TX: SIX FFs FIRED – OUTSIDE INVEST. THEY HARRASED CO-WORKERS – NOT RETALIATION UNION REQ. CHANGE SHIFT </w:t>
      </w:r>
    </w:p>
    <w:p w14:paraId="556D0375" w14:textId="77777777" w:rsidR="0055155D" w:rsidRDefault="0055155D" w:rsidP="0055155D">
      <w:pPr>
        <w:pStyle w:val="NormalWeb"/>
      </w:pPr>
      <w:r>
        <w:t xml:space="preserve">On Aug. 15, 2023, in </w:t>
      </w:r>
      <w:r w:rsidRPr="00C5347C">
        <w:rPr>
          <w:u w:val="single"/>
        </w:rPr>
        <w:t>Stan Kozlowsi, et al. v. William Buck, individually and in his official capacity as Fire Chief, et al</w:t>
      </w:r>
      <w:r>
        <w:t>., the U.S. Court of Appeals for 5</w:t>
      </w:r>
      <w:r w:rsidRPr="00C5347C">
        <w:rPr>
          <w:vertAlign w:val="superscript"/>
        </w:rPr>
        <w:t>th</w:t>
      </w:r>
      <w:r>
        <w:t xml:space="preserve"> Circuit (New Orlean), held (3 to 0) that the U.S. District Court judge properly dismissed their lawsuit.  The FD used an outside investigator to investigate allegations of harassment.  There was no proof of retaliation because union officers pushed for a shift change; the discipline was imposed nine months after Fire Chief approved union request for shift change.   </w:t>
      </w:r>
    </w:p>
    <w:p w14:paraId="522A8AE0" w14:textId="77777777" w:rsidR="0055155D" w:rsidRDefault="0055155D" w:rsidP="0055155D">
      <w:pPr>
        <w:pStyle w:val="NormalWeb"/>
        <w:ind w:left="720"/>
      </w:pPr>
      <w:r>
        <w:t>Court of Appeals held: “The firefighters insist they were disciplined because of their union activities. But their claims rest on speculation and hearsay. Because that is not enough to establish a genuine dispute of material fact as to causation, we AFFIRM.”</w:t>
      </w:r>
      <w:r w:rsidRPr="00A6118A">
        <w:t xml:space="preserve"> </w:t>
      </w:r>
      <w:hyperlink r:id="rId2648" w:history="1">
        <w:r w:rsidRPr="00955A98">
          <w:rPr>
            <w:rStyle w:val="Hyperlink"/>
            <w:rFonts w:eastAsiaTheme="majorEastAsia"/>
          </w:rPr>
          <w:t>https://law.justia.com/cases/federal/appellate-courts/ca5/22-40438/22-40438-2023-08-15.html</w:t>
        </w:r>
      </w:hyperlink>
      <w:r>
        <w:t xml:space="preserve"> </w:t>
      </w:r>
    </w:p>
    <w:p w14:paraId="4738EBFC" w14:textId="77777777" w:rsidR="0055155D" w:rsidRDefault="0055155D" w:rsidP="0055155D">
      <w:pPr>
        <w:pStyle w:val="NormalWeb"/>
        <w:rPr>
          <w:b/>
          <w:bCs/>
        </w:rPr>
      </w:pPr>
      <w:r w:rsidRPr="00B64C15">
        <w:rPr>
          <w:b/>
          <w:bCs/>
        </w:rPr>
        <w:t xml:space="preserve">Legal Lesson Learned: FD may retain an outside investigator to review complaints of harassment. </w:t>
      </w:r>
    </w:p>
    <w:p w14:paraId="49C95D17" w14:textId="77777777" w:rsidR="0055155D" w:rsidRDefault="0055155D" w:rsidP="00F326E5">
      <w:pPr>
        <w:pStyle w:val="NoSpacing"/>
        <w:rPr>
          <w:rFonts w:ascii="Arial Black" w:hAnsi="Arial Black"/>
          <w:sz w:val="24"/>
          <w:szCs w:val="24"/>
        </w:rPr>
      </w:pPr>
    </w:p>
    <w:p w14:paraId="76C7C136" w14:textId="77777777" w:rsidR="009B0593" w:rsidRDefault="009B0593" w:rsidP="00F326E5">
      <w:pPr>
        <w:pStyle w:val="NoSpacing"/>
        <w:rPr>
          <w:rFonts w:ascii="Arial Black" w:hAnsi="Arial Black"/>
          <w:sz w:val="24"/>
          <w:szCs w:val="24"/>
        </w:rPr>
      </w:pPr>
    </w:p>
    <w:p w14:paraId="18381D8D" w14:textId="36ABC595" w:rsidR="00F771FA" w:rsidRDefault="00F771FA" w:rsidP="00F326E5">
      <w:pPr>
        <w:pStyle w:val="NoSpacing"/>
        <w:rPr>
          <w:rFonts w:ascii="Arial Black" w:hAnsi="Arial Black"/>
          <w:sz w:val="24"/>
          <w:szCs w:val="24"/>
        </w:rPr>
      </w:pPr>
      <w:r>
        <w:rPr>
          <w:rFonts w:ascii="Arial Black" w:hAnsi="Arial Black"/>
          <w:sz w:val="24"/>
          <w:szCs w:val="24"/>
        </w:rPr>
        <w:t>16-90</w:t>
      </w:r>
    </w:p>
    <w:p w14:paraId="7657200C" w14:textId="77777777" w:rsidR="00F771FA" w:rsidRPr="008F62D2" w:rsidRDefault="00F771FA" w:rsidP="00F771FA">
      <w:pPr>
        <w:pStyle w:val="NormalWeb"/>
        <w:rPr>
          <w:rFonts w:ascii="Arial Black" w:hAnsi="Arial Black"/>
          <w:sz w:val="28"/>
          <w:szCs w:val="28"/>
        </w:rPr>
      </w:pPr>
      <w:r>
        <w:rPr>
          <w:rFonts w:ascii="Arial Black" w:hAnsi="Arial Black"/>
          <w:sz w:val="28"/>
          <w:szCs w:val="28"/>
        </w:rPr>
        <w:t>FL: B/C FIRED – NO WHISTLEBLOWER PROTECTION – REFUSED ORDER TO REPRIMAND FFs COVID VACCINATION</w:t>
      </w:r>
    </w:p>
    <w:p w14:paraId="077573AF" w14:textId="77777777" w:rsidR="00F771FA" w:rsidRPr="00F771FA" w:rsidRDefault="00F771FA" w:rsidP="00F771FA">
      <w:pPr>
        <w:pStyle w:val="NormalWeb"/>
      </w:pPr>
      <w:r w:rsidRPr="00F771FA">
        <w:t xml:space="preserve">On July 25, 2023, in </w:t>
      </w:r>
      <w:r w:rsidRPr="00F771FA">
        <w:rPr>
          <w:u w:val="single"/>
        </w:rPr>
        <w:t>Stephen M. Davis v. Orange County</w:t>
      </w:r>
      <w:r w:rsidRPr="00F771FA">
        <w:t xml:space="preserve">, U.S. District Court Judge Paul G. Byron. for Middle District of Florida, Orlando Division, granted the County’s motion to dismiss, holding that Florida Whistleblower Act only protects officers who refuse to follow an order that would create a “substantial and specific danger to the public's health, safety, or welfare.”  On October 5, 2021, Assistant Chief Kimberly Buffkin gave an order to the Battalion Chiefs to issue written reprimands for those employees on a provided list for failure to comply with the vaccination policy [FF not facing further discipline].  Battalion Chief Davis thought some on his list had complied, and he met with Assistant Chief and when he refused to issue </w:t>
      </w:r>
      <w:proofErr w:type="gramStart"/>
      <w:r w:rsidRPr="00F771FA">
        <w:t>reprimands</w:t>
      </w:r>
      <w:proofErr w:type="gramEnd"/>
      <w:r w:rsidRPr="00F771FA">
        <w:t xml:space="preserve"> he was immediately suspended and later fired on Oct. 13, </w:t>
      </w:r>
      <w:proofErr w:type="gramStart"/>
      <w:r w:rsidRPr="00F771FA">
        <w:t>2021</w:t>
      </w:r>
      <w:proofErr w:type="gramEnd"/>
      <w:r w:rsidRPr="00F771FA">
        <w:t xml:space="preserve"> after a pre-determination hearing. The Battalion Chief had previously joined a lawsuit in State court challenging any discipline of firefighters who refused to get vaccinated.  After his termination he went to arbitration and the arbitrator ruled against him. </w:t>
      </w:r>
    </w:p>
    <w:p w14:paraId="3FE3B5D9" w14:textId="77777777" w:rsidR="00F771FA" w:rsidRPr="00F771FA" w:rsidRDefault="00F771FA" w:rsidP="00F771FA">
      <w:pPr>
        <w:pStyle w:val="NormalWeb"/>
      </w:pPr>
      <w:r w:rsidRPr="00F771FA">
        <w:t xml:space="preserve">The Court held: </w:t>
      </w:r>
    </w:p>
    <w:p w14:paraId="1DC4254B" w14:textId="77777777" w:rsidR="00F771FA" w:rsidRPr="00F771FA" w:rsidRDefault="00F771FA" w:rsidP="00F771FA">
      <w:pPr>
        <w:pStyle w:val="NormalWeb"/>
      </w:pPr>
      <w:r w:rsidRPr="00F771FA">
        <w:lastRenderedPageBreak/>
        <w:t xml:space="preserve">“[N]o reasonable person in Plaintiff's position would have believed that Defendant would not wipe out this discipline from the records of its employees who did, in fact, comply with the policy after its human resource lists were accurately updated as Defendant, through Assistant Chief Buffkin, had reiterated would occur. </w:t>
      </w:r>
    </w:p>
    <w:p w14:paraId="08D77176" w14:textId="77777777" w:rsidR="00F771FA" w:rsidRPr="00F771FA" w:rsidRDefault="00F771FA" w:rsidP="00F771FA">
      <w:pPr>
        <w:pStyle w:val="NormalWeb"/>
      </w:pPr>
      <w:r w:rsidRPr="00F771FA">
        <w:t>***</w:t>
      </w:r>
    </w:p>
    <w:p w14:paraId="76741DB8" w14:textId="4C286CB8" w:rsidR="00F771FA" w:rsidRPr="00F771FA" w:rsidRDefault="00F771FA" w:rsidP="00F771FA">
      <w:pPr>
        <w:pStyle w:val="NoSpacing"/>
        <w:rPr>
          <w:rStyle w:val="Hyperlink"/>
          <w:rFonts w:ascii="Times New Roman" w:eastAsiaTheme="majorEastAsia" w:hAnsi="Times New Roman"/>
          <w:sz w:val="24"/>
          <w:szCs w:val="24"/>
        </w:rPr>
      </w:pPr>
      <w:r w:rsidRPr="00F771FA">
        <w:rPr>
          <w:rFonts w:ascii="Times New Roman" w:hAnsi="Times New Roman"/>
          <w:sz w:val="24"/>
          <w:szCs w:val="24"/>
        </w:rPr>
        <w:t xml:space="preserve">What is more, the insinuation that such a bureaucratic snafu could have plausibly created a ‘substantial and specific danger to the public's health, safety, or welfare’ is not tenable. </w:t>
      </w:r>
      <w:r w:rsidRPr="00F771FA">
        <w:rPr>
          <w:rStyle w:val="Emphasis"/>
          <w:rFonts w:ascii="Times New Roman" w:hAnsi="Times New Roman"/>
          <w:sz w:val="24"/>
          <w:szCs w:val="24"/>
        </w:rPr>
        <w:t>Id.</w:t>
      </w:r>
      <w:r w:rsidRPr="00F771FA">
        <w:rPr>
          <w:rFonts w:ascii="Times New Roman" w:hAnsi="Times New Roman"/>
          <w:sz w:val="24"/>
          <w:szCs w:val="24"/>
        </w:rPr>
        <w:t xml:space="preserve"> Accordingly, Plaintiff fails to plausibly allege he engaged in protected activity under the FWA [Florida Whistleblower Act] and thus fails to state such a claim.” </w:t>
      </w:r>
      <w:hyperlink r:id="rId2649" w:history="1">
        <w:r w:rsidRPr="00F771FA">
          <w:rPr>
            <w:rStyle w:val="Hyperlink"/>
            <w:rFonts w:ascii="Times New Roman" w:eastAsiaTheme="majorEastAsia" w:hAnsi="Times New Roman"/>
            <w:sz w:val="24"/>
            <w:szCs w:val="24"/>
          </w:rPr>
          <w:t>https://public.fastcase.com/ZZhmr5v9wN%2FXOe5IsQ%2FqD51KXiWhfZ5Tknms713VsyNiKeidGSjUYd5fLyeguf86yRHn46LHKSVIqu1aE%2FP%2F4wzm%2Bs9CN3Gxx%2Fta1hJ8xsU%3D?utm_medium=email&amp;_hsmi=226712652&amp;_hsenc=p2ANqtz--6hfqXp_6GwCwKFg5My80cUvTOTZgLDUuB3F-yLygp7svvTJd39SzNL3yXkJv1N0M6expfT3HAdh1FcYblCg0-pEKOfg&amp;utm_content=226712652&amp;utm_source=hs_email</w:t>
        </w:r>
      </w:hyperlink>
    </w:p>
    <w:p w14:paraId="65FEB787" w14:textId="77777777" w:rsidR="00F771FA" w:rsidRDefault="00F771FA" w:rsidP="00F771FA">
      <w:pPr>
        <w:pStyle w:val="NoSpacing"/>
        <w:rPr>
          <w:rStyle w:val="Hyperlink"/>
          <w:rFonts w:eastAsiaTheme="majorEastAsia"/>
        </w:rPr>
      </w:pPr>
    </w:p>
    <w:p w14:paraId="7736A1B1" w14:textId="77777777" w:rsidR="00F771FA" w:rsidRPr="00A95E8C" w:rsidRDefault="00F771FA" w:rsidP="00F771FA">
      <w:pPr>
        <w:pStyle w:val="NormalWeb"/>
        <w:rPr>
          <w:b/>
          <w:bCs/>
        </w:rPr>
      </w:pPr>
      <w:r w:rsidRPr="00A95E8C">
        <w:rPr>
          <w:b/>
          <w:bCs/>
        </w:rPr>
        <w:t>Legal Lesson Learned: The Florida whistleblower act allows refusal of an order only if following the order would have either created a “substantial and specific danger to the public's health, safety, or welfare” or constituted an “act or suspected act of gross mismanagement, malfeasance, misfeasance, gross waste of public funds, . . . or gross neglect of duty.” FLA. STAT. § 112.3187(5).</w:t>
      </w:r>
    </w:p>
    <w:p w14:paraId="0B7734F0" w14:textId="77777777" w:rsidR="00F771FA" w:rsidRDefault="00F771FA" w:rsidP="00F771FA">
      <w:pPr>
        <w:pStyle w:val="NoSpacing"/>
        <w:rPr>
          <w:rFonts w:ascii="Arial Black" w:hAnsi="Arial Black"/>
          <w:sz w:val="24"/>
          <w:szCs w:val="24"/>
        </w:rPr>
      </w:pPr>
    </w:p>
    <w:p w14:paraId="10F4071B" w14:textId="77777777" w:rsidR="00F771FA" w:rsidRDefault="00F771FA" w:rsidP="00F326E5">
      <w:pPr>
        <w:pStyle w:val="NoSpacing"/>
        <w:rPr>
          <w:rFonts w:ascii="Arial Black" w:hAnsi="Arial Black"/>
          <w:sz w:val="24"/>
          <w:szCs w:val="24"/>
        </w:rPr>
      </w:pPr>
    </w:p>
    <w:p w14:paraId="10B8D94A" w14:textId="3BD26185" w:rsidR="00D33F96" w:rsidRDefault="00D33F96" w:rsidP="00F326E5">
      <w:pPr>
        <w:pStyle w:val="NoSpacing"/>
        <w:rPr>
          <w:rFonts w:ascii="Arial Black" w:hAnsi="Arial Black"/>
          <w:sz w:val="24"/>
          <w:szCs w:val="24"/>
        </w:rPr>
      </w:pPr>
      <w:r>
        <w:rPr>
          <w:rFonts w:ascii="Arial Black" w:hAnsi="Arial Black"/>
          <w:sz w:val="24"/>
          <w:szCs w:val="24"/>
        </w:rPr>
        <w:t>16-89</w:t>
      </w:r>
    </w:p>
    <w:p w14:paraId="3001C671" w14:textId="77777777" w:rsidR="00F771FA" w:rsidRDefault="00F771FA" w:rsidP="00F326E5">
      <w:pPr>
        <w:pStyle w:val="NoSpacing"/>
        <w:rPr>
          <w:rFonts w:ascii="Arial Black" w:hAnsi="Arial Black"/>
          <w:sz w:val="24"/>
          <w:szCs w:val="24"/>
        </w:rPr>
      </w:pPr>
    </w:p>
    <w:p w14:paraId="39DE11FC" w14:textId="77777777" w:rsidR="00D33F96" w:rsidRDefault="00D33F96" w:rsidP="00D33F96">
      <w:pPr>
        <w:rPr>
          <w:rFonts w:ascii="Arial Black" w:hAnsi="Arial Black"/>
          <w:sz w:val="28"/>
          <w:szCs w:val="28"/>
        </w:rPr>
      </w:pPr>
      <w:r>
        <w:rPr>
          <w:rFonts w:ascii="Arial Black" w:hAnsi="Arial Black"/>
          <w:sz w:val="28"/>
          <w:szCs w:val="28"/>
        </w:rPr>
        <w:t>NY: STATE PASSES “FF BILL OF RIGHTS” LAW – INDEP.  HEARING OFFICERS FOR DISCIPLINE - CASE REMANDED</w:t>
      </w:r>
    </w:p>
    <w:p w14:paraId="1764CCDD" w14:textId="77777777" w:rsidR="00D33F96" w:rsidRDefault="00D33F96" w:rsidP="00D33F96">
      <w:pPr>
        <w:rPr>
          <w:rFonts w:ascii="Times New Roman" w:hAnsi="Times New Roman"/>
          <w:sz w:val="24"/>
          <w:szCs w:val="24"/>
        </w:rPr>
      </w:pPr>
      <w:r>
        <w:rPr>
          <w:rFonts w:ascii="Times New Roman" w:hAnsi="Times New Roman"/>
          <w:sz w:val="24"/>
          <w:szCs w:val="24"/>
        </w:rPr>
        <w:t xml:space="preserve">On June 22, 2023, </w:t>
      </w:r>
      <w:r w:rsidRPr="00655D75">
        <w:rPr>
          <w:rFonts w:ascii="Times New Roman" w:hAnsi="Times New Roman"/>
          <w:sz w:val="24"/>
          <w:szCs w:val="24"/>
          <w:u w:val="single"/>
        </w:rPr>
        <w:t>In The Matter of Local 32, International Association of Firefighters, AFL-CIO, Utica Professional Firefighters Association v. New York State Public Employment Relations Board</w:t>
      </w:r>
      <w:r>
        <w:rPr>
          <w:rFonts w:ascii="Times New Roman" w:hAnsi="Times New Roman"/>
          <w:sz w:val="24"/>
          <w:szCs w:val="24"/>
        </w:rPr>
        <w:t xml:space="preserve">, the Supreme Court of New York, Third Department, held (5 to 0) that in light of new State law, PERS </w:t>
      </w:r>
      <w:r w:rsidRPr="00FD3278">
        <w:rPr>
          <w:rFonts w:ascii="Times New Roman" w:hAnsi="Times New Roman"/>
          <w:sz w:val="24"/>
          <w:szCs w:val="24"/>
        </w:rPr>
        <w:t>[New York Public Employment Relations Board]</w:t>
      </w:r>
      <w:r>
        <w:rPr>
          <w:rFonts w:ascii="Times New Roman" w:hAnsi="Times New Roman"/>
          <w:sz w:val="24"/>
          <w:szCs w:val="24"/>
        </w:rPr>
        <w:t xml:space="preserve"> must be given new opportunity to decide whether City of Utica must negotiate changes in disciplinary interrogation practices. The new law, “</w:t>
      </w:r>
      <w:r w:rsidRPr="000B64C0">
        <w:rPr>
          <w:rFonts w:ascii="Times New Roman" w:hAnsi="Times New Roman"/>
          <w:sz w:val="24"/>
          <w:szCs w:val="24"/>
        </w:rPr>
        <w:t>New York State firefighter bill of rights act</w:t>
      </w:r>
      <w:r>
        <w:rPr>
          <w:rFonts w:ascii="Times New Roman" w:hAnsi="Times New Roman"/>
          <w:sz w:val="24"/>
          <w:szCs w:val="24"/>
        </w:rPr>
        <w:t>,</w:t>
      </w:r>
      <w:r w:rsidRPr="000B64C0">
        <w:rPr>
          <w:rFonts w:ascii="Times New Roman" w:hAnsi="Times New Roman"/>
          <w:sz w:val="24"/>
          <w:szCs w:val="24"/>
        </w:rPr>
        <w:t>”</w:t>
      </w:r>
      <w:r>
        <w:rPr>
          <w:rFonts w:ascii="Times New Roman" w:hAnsi="Times New Roman"/>
          <w:sz w:val="24"/>
          <w:szCs w:val="24"/>
        </w:rPr>
        <w:t xml:space="preserve"> effective March 1, 2023, provides that paid firefighters in cities less than one million population now have right to independent hearing officer before discipline, including termination, can be imposed.  The legislative history of the new law also addresses “presumption of negotiability” before a city may change its disciplinary practices. </w:t>
      </w:r>
    </w:p>
    <w:p w14:paraId="1113E55F" w14:textId="77777777" w:rsidR="00D33F96" w:rsidRPr="00EA61D4" w:rsidRDefault="00D33F96" w:rsidP="00D33F96">
      <w:pPr>
        <w:rPr>
          <w:rFonts w:ascii="Times New Roman" w:hAnsi="Times New Roman"/>
          <w:sz w:val="24"/>
          <w:szCs w:val="24"/>
        </w:rPr>
      </w:pPr>
      <w:r>
        <w:rPr>
          <w:rFonts w:ascii="Times New Roman" w:hAnsi="Times New Roman"/>
          <w:sz w:val="24"/>
          <w:szCs w:val="24"/>
        </w:rPr>
        <w:t>The Court held: “</w:t>
      </w:r>
      <w:r w:rsidRPr="000B64C0">
        <w:rPr>
          <w:rFonts w:ascii="Times New Roman" w:hAnsi="Times New Roman"/>
          <w:sz w:val="24"/>
          <w:szCs w:val="24"/>
        </w:rPr>
        <w:t xml:space="preserve">During the pendency of this appeal, the Legislature enacted the New York State Firefighter Bill of Rights Act (L 2022, ch 674), which amended both the Taylor Law and Civil Service Law § 75, addressing removal of and other disciplinary action against public employees. The Senate Introducer's memorandum in support of the bill recognized that "court decisions have noted that... several statutes contain[ ] provisions favoring the local control of police and fire discipline that would override the Taylor Law presumption of negotiability," and, against that backdrop, the Legislature saw it necessary to "declare it to be the public policy of the State of New York that[,] for firefighters, disciplinary procedures are terms and conditions of employment subject to mandatory negotiation under the Taylor Law" (Senate Introducer's Mem in Support of 2022 NY Senate Bill S8481, enacted as L 2022, ch 674). The act thus amends the </w:t>
      </w:r>
      <w:proofErr w:type="gramStart"/>
      <w:r w:rsidRPr="00EA61D4">
        <w:rPr>
          <w:rFonts w:ascii="Times New Roman" w:hAnsi="Times New Roman"/>
          <w:sz w:val="24"/>
          <w:szCs w:val="24"/>
        </w:rPr>
        <w:t xml:space="preserve">aforementioned </w:t>
      </w:r>
      <w:r w:rsidRPr="00EA61D4">
        <w:rPr>
          <w:rFonts w:ascii="Times New Roman" w:hAnsi="Times New Roman"/>
          <w:sz w:val="24"/>
          <w:szCs w:val="24"/>
        </w:rPr>
        <w:lastRenderedPageBreak/>
        <w:t>statutes</w:t>
      </w:r>
      <w:proofErr w:type="gramEnd"/>
      <w:r w:rsidRPr="000B64C0">
        <w:rPr>
          <w:rFonts w:ascii="Times New Roman" w:hAnsi="Times New Roman"/>
          <w:sz w:val="24"/>
          <w:szCs w:val="24"/>
        </w:rPr>
        <w:t xml:space="preserve"> accordingly (</w:t>
      </w:r>
      <w:r w:rsidRPr="000B64C0">
        <w:rPr>
          <w:rStyle w:val="Emphasis"/>
          <w:rFonts w:ascii="Times New Roman" w:hAnsi="Times New Roman"/>
          <w:sz w:val="24"/>
          <w:szCs w:val="24"/>
        </w:rPr>
        <w:t>see</w:t>
      </w:r>
      <w:r w:rsidRPr="000B64C0">
        <w:rPr>
          <w:rFonts w:ascii="Times New Roman" w:hAnsi="Times New Roman"/>
          <w:sz w:val="24"/>
          <w:szCs w:val="24"/>
        </w:rPr>
        <w:t xml:space="preserve"> Civil Service Law §§ 75 [2-a]; 201 [4]; 204-a [4]).</w:t>
      </w:r>
      <w:r>
        <w:rPr>
          <w:rFonts w:ascii="Times New Roman" w:hAnsi="Times New Roman"/>
          <w:sz w:val="24"/>
          <w:szCs w:val="24"/>
        </w:rPr>
        <w:t xml:space="preserve">” </w:t>
      </w:r>
      <w:hyperlink r:id="rId2650" w:history="1">
        <w:r w:rsidRPr="00EA61D4">
          <w:rPr>
            <w:rStyle w:val="Hyperlink"/>
            <w:sz w:val="24"/>
            <w:szCs w:val="24"/>
          </w:rPr>
          <w:t>https://law.justia.com/cases/new-york/appellate-division-third-department/2023/535052.html</w:t>
        </w:r>
      </w:hyperlink>
      <w:r w:rsidRPr="00EA61D4">
        <w:rPr>
          <w:rFonts w:ascii="Times New Roman" w:hAnsi="Times New Roman"/>
          <w:sz w:val="24"/>
          <w:szCs w:val="24"/>
        </w:rPr>
        <w:t xml:space="preserve">   </w:t>
      </w:r>
    </w:p>
    <w:p w14:paraId="138FDCDF" w14:textId="77777777" w:rsidR="00D33F96" w:rsidRPr="00FD3278" w:rsidRDefault="00D33F96" w:rsidP="00D33F96">
      <w:pPr>
        <w:rPr>
          <w:rFonts w:ascii="Times New Roman" w:hAnsi="Times New Roman"/>
          <w:b/>
          <w:bCs/>
          <w:sz w:val="24"/>
          <w:szCs w:val="24"/>
        </w:rPr>
      </w:pPr>
      <w:r w:rsidRPr="00FD3278">
        <w:rPr>
          <w:rFonts w:ascii="Times New Roman" w:hAnsi="Times New Roman"/>
          <w:b/>
          <w:bCs/>
          <w:sz w:val="24"/>
          <w:szCs w:val="24"/>
        </w:rPr>
        <w:t xml:space="preserve">Legal Lesson Learned: </w:t>
      </w:r>
      <w:r>
        <w:rPr>
          <w:rFonts w:ascii="Times New Roman" w:hAnsi="Times New Roman"/>
          <w:b/>
          <w:bCs/>
          <w:sz w:val="24"/>
          <w:szCs w:val="24"/>
        </w:rPr>
        <w:t xml:space="preserve">PERS will now decide if Utica Local’s charge is well founded.  </w:t>
      </w:r>
    </w:p>
    <w:p w14:paraId="1119234B" w14:textId="77777777" w:rsidR="00D33F96" w:rsidRDefault="00D33F96" w:rsidP="00D33F96">
      <w:pPr>
        <w:ind w:left="720"/>
        <w:rPr>
          <w:rFonts w:ascii="Times New Roman" w:hAnsi="Times New Roman"/>
          <w:sz w:val="24"/>
          <w:szCs w:val="24"/>
        </w:rPr>
      </w:pPr>
      <w:r>
        <w:rPr>
          <w:rFonts w:ascii="Times New Roman" w:hAnsi="Times New Roman"/>
          <w:sz w:val="24"/>
          <w:szCs w:val="24"/>
        </w:rPr>
        <w:t xml:space="preserve">Note: Several states have enacted a “Firefighter Bill of Rights” such as California, Florida, New Mexico and Illinois, which broadly address procedural rights in discipline, including written notice of charges.  This new NY law only addresses the right to third-party independent hearing officer.  </w:t>
      </w:r>
      <w:hyperlink r:id="rId2651" w:history="1">
        <w:r w:rsidRPr="00104E3B">
          <w:rPr>
            <w:rStyle w:val="Hyperlink"/>
            <w:sz w:val="24"/>
            <w:szCs w:val="24"/>
          </w:rPr>
          <w:t>https://legislation.nysenate.gov/pdf/bills/2021/S8481</w:t>
        </w:r>
      </w:hyperlink>
      <w:r>
        <w:rPr>
          <w:rFonts w:ascii="Times New Roman" w:hAnsi="Times New Roman"/>
          <w:sz w:val="24"/>
          <w:szCs w:val="24"/>
        </w:rPr>
        <w:t xml:space="preserve"> </w:t>
      </w:r>
    </w:p>
    <w:p w14:paraId="0C6BA447" w14:textId="77777777" w:rsidR="00D33F96" w:rsidRPr="00DD572C" w:rsidRDefault="00D33F96" w:rsidP="00D33F96">
      <w:pPr>
        <w:ind w:left="1440"/>
        <w:rPr>
          <w:rFonts w:ascii="Times New Roman" w:eastAsia="Times New Roman" w:hAnsi="Times New Roman"/>
          <w:sz w:val="24"/>
          <w:szCs w:val="24"/>
        </w:rPr>
      </w:pPr>
      <w:r>
        <w:rPr>
          <w:rFonts w:ascii="Times New Roman" w:hAnsi="Times New Roman"/>
          <w:sz w:val="24"/>
          <w:szCs w:val="24"/>
        </w:rPr>
        <w:t>“S</w:t>
      </w:r>
      <w:r w:rsidRPr="00DD572C">
        <w:rPr>
          <w:rFonts w:ascii="Times New Roman" w:eastAsia="Times New Roman" w:hAnsi="Times New Roman"/>
          <w:sz w:val="24"/>
          <w:szCs w:val="24"/>
        </w:rPr>
        <w:t>ection 75 of the civil service law is amended by adding a new</w:t>
      </w:r>
      <w:r>
        <w:rPr>
          <w:rFonts w:ascii="Times New Roman" w:eastAsia="Times New Roman" w:hAnsi="Times New Roman"/>
          <w:sz w:val="24"/>
          <w:szCs w:val="24"/>
        </w:rPr>
        <w:t xml:space="preserve"> </w:t>
      </w:r>
      <w:r w:rsidRPr="00DD572C">
        <w:rPr>
          <w:rFonts w:ascii="Times New Roman" w:eastAsia="Times New Roman" w:hAnsi="Times New Roman"/>
          <w:sz w:val="24"/>
          <w:szCs w:val="24"/>
        </w:rPr>
        <w:t>subdivision 2-a to read as follows:</w:t>
      </w:r>
    </w:p>
    <w:p w14:paraId="1889FBD5" w14:textId="77777777" w:rsidR="00D33F96" w:rsidRPr="00DD572C" w:rsidRDefault="00D33F96" w:rsidP="00D33F96">
      <w:pPr>
        <w:spacing w:before="100" w:beforeAutospacing="1" w:after="100" w:afterAutospacing="1" w:line="240" w:lineRule="auto"/>
        <w:ind w:left="1440"/>
        <w:rPr>
          <w:rFonts w:ascii="Times New Roman" w:eastAsia="Times New Roman" w:hAnsi="Times New Roman"/>
          <w:sz w:val="24"/>
          <w:szCs w:val="24"/>
        </w:rPr>
      </w:pPr>
      <w:r>
        <w:rPr>
          <w:rFonts w:ascii="Times New Roman" w:eastAsia="Times New Roman" w:hAnsi="Times New Roman"/>
          <w:sz w:val="24"/>
          <w:szCs w:val="24"/>
        </w:rPr>
        <w:t>“</w:t>
      </w:r>
      <w:r w:rsidRPr="00DD572C">
        <w:rPr>
          <w:rFonts w:ascii="Times New Roman" w:eastAsia="Times New Roman" w:hAnsi="Times New Roman"/>
          <w:sz w:val="24"/>
          <w:szCs w:val="24"/>
        </w:rPr>
        <w:t>2-a.</w:t>
      </w:r>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I</w:t>
      </w:r>
      <w:r w:rsidRPr="00DD572C">
        <w:rPr>
          <w:rFonts w:ascii="Times New Roman" w:eastAsia="Times New Roman" w:hAnsi="Times New Roman"/>
          <w:sz w:val="24"/>
          <w:szCs w:val="24"/>
        </w:rPr>
        <w:t>ndependent</w:t>
      </w:r>
      <w:proofErr w:type="gramEnd"/>
      <w:r w:rsidRPr="00DD572C">
        <w:rPr>
          <w:rFonts w:ascii="Times New Roman" w:eastAsia="Times New Roman" w:hAnsi="Times New Roman"/>
          <w:sz w:val="24"/>
          <w:szCs w:val="24"/>
        </w:rPr>
        <w:t xml:space="preserve"> hearing officer. (a) Notwithstanding any other</w:t>
      </w:r>
      <w:r>
        <w:rPr>
          <w:rFonts w:ascii="Times New Roman" w:eastAsia="Times New Roman" w:hAnsi="Times New Roman"/>
          <w:sz w:val="24"/>
          <w:szCs w:val="24"/>
        </w:rPr>
        <w:t xml:space="preserve"> </w:t>
      </w:r>
      <w:r w:rsidRPr="00DD572C">
        <w:rPr>
          <w:rFonts w:ascii="Times New Roman" w:eastAsia="Times New Roman" w:hAnsi="Times New Roman"/>
          <w:sz w:val="24"/>
          <w:szCs w:val="24"/>
        </w:rPr>
        <w:t>provision of law to the contrary, including but not limited to subdivision four of section seventy-six of this title, any paid officer or</w:t>
      </w:r>
      <w:r>
        <w:rPr>
          <w:rFonts w:ascii="Times New Roman" w:eastAsia="Times New Roman" w:hAnsi="Times New Roman"/>
          <w:sz w:val="24"/>
          <w:szCs w:val="24"/>
        </w:rPr>
        <w:t xml:space="preserve"> </w:t>
      </w:r>
      <w:r w:rsidRPr="00DD572C">
        <w:rPr>
          <w:rFonts w:ascii="Times New Roman" w:eastAsia="Times New Roman" w:hAnsi="Times New Roman"/>
          <w:sz w:val="24"/>
          <w:szCs w:val="24"/>
        </w:rPr>
        <w:t>member of an organized fire company or fire department of a city of less</w:t>
      </w:r>
      <w:r>
        <w:rPr>
          <w:rFonts w:ascii="Times New Roman" w:eastAsia="Times New Roman" w:hAnsi="Times New Roman"/>
          <w:sz w:val="24"/>
          <w:szCs w:val="24"/>
        </w:rPr>
        <w:t xml:space="preserve"> </w:t>
      </w:r>
      <w:r w:rsidRPr="00DD572C">
        <w:rPr>
          <w:rFonts w:ascii="Times New Roman" w:eastAsia="Times New Roman" w:hAnsi="Times New Roman"/>
          <w:sz w:val="24"/>
          <w:szCs w:val="24"/>
        </w:rPr>
        <w:t>than one million population, or town, village or fire district who is</w:t>
      </w:r>
      <w:r>
        <w:rPr>
          <w:rFonts w:ascii="Times New Roman" w:eastAsia="Times New Roman" w:hAnsi="Times New Roman"/>
          <w:sz w:val="24"/>
          <w:szCs w:val="24"/>
        </w:rPr>
        <w:t xml:space="preserve"> </w:t>
      </w:r>
      <w:r w:rsidRPr="00DD572C">
        <w:rPr>
          <w:rFonts w:ascii="Times New Roman" w:eastAsia="Times New Roman" w:hAnsi="Times New Roman"/>
          <w:sz w:val="24"/>
          <w:szCs w:val="24"/>
        </w:rPr>
        <w:t>represented by a certified or recognized employee organization pursuant</w:t>
      </w:r>
      <w:r>
        <w:rPr>
          <w:rFonts w:ascii="Times New Roman" w:eastAsia="Times New Roman" w:hAnsi="Times New Roman"/>
          <w:sz w:val="24"/>
          <w:szCs w:val="24"/>
        </w:rPr>
        <w:t xml:space="preserve"> </w:t>
      </w:r>
      <w:r w:rsidRPr="00DD572C">
        <w:rPr>
          <w:rFonts w:ascii="Times New Roman" w:eastAsia="Times New Roman" w:hAnsi="Times New Roman"/>
          <w:sz w:val="24"/>
          <w:szCs w:val="24"/>
        </w:rPr>
        <w:t>to article fourteen of this chapter shall not be subjected to the pena</w:t>
      </w:r>
      <w:r>
        <w:rPr>
          <w:rFonts w:ascii="Times New Roman" w:eastAsia="Times New Roman" w:hAnsi="Times New Roman"/>
          <w:sz w:val="24"/>
          <w:szCs w:val="24"/>
        </w:rPr>
        <w:t>l</w:t>
      </w:r>
      <w:r w:rsidRPr="00DD572C">
        <w:rPr>
          <w:rFonts w:ascii="Times New Roman" w:eastAsia="Times New Roman" w:hAnsi="Times New Roman"/>
          <w:sz w:val="24"/>
          <w:szCs w:val="24"/>
        </w:rPr>
        <w:t>ty of dismissal from service or any other discipline if the hearing,</w:t>
      </w:r>
      <w:r>
        <w:rPr>
          <w:rFonts w:ascii="Times New Roman" w:eastAsia="Times New Roman" w:hAnsi="Times New Roman"/>
          <w:sz w:val="24"/>
          <w:szCs w:val="24"/>
        </w:rPr>
        <w:t xml:space="preserve"> </w:t>
      </w:r>
      <w:r w:rsidRPr="00DD572C">
        <w:rPr>
          <w:rFonts w:ascii="Times New Roman" w:eastAsia="Times New Roman" w:hAnsi="Times New Roman"/>
          <w:sz w:val="24"/>
          <w:szCs w:val="24"/>
        </w:rPr>
        <w:t>upon such charge, has been conducted by someone other than an</w:t>
      </w:r>
      <w:r>
        <w:rPr>
          <w:rFonts w:ascii="Times New Roman" w:eastAsia="Times New Roman" w:hAnsi="Times New Roman"/>
          <w:sz w:val="24"/>
          <w:szCs w:val="24"/>
        </w:rPr>
        <w:t xml:space="preserve"> </w:t>
      </w:r>
      <w:r w:rsidRPr="00DD572C">
        <w:rPr>
          <w:rFonts w:ascii="Times New Roman" w:eastAsia="Times New Roman" w:hAnsi="Times New Roman"/>
          <w:sz w:val="24"/>
          <w:szCs w:val="24"/>
        </w:rPr>
        <w:t>independent hearing officer to be agreed to by the employer and the person</w:t>
      </w:r>
      <w:r>
        <w:rPr>
          <w:rFonts w:ascii="Times New Roman" w:eastAsia="Times New Roman" w:hAnsi="Times New Roman"/>
          <w:sz w:val="24"/>
          <w:szCs w:val="24"/>
        </w:rPr>
        <w:t xml:space="preserve"> </w:t>
      </w:r>
      <w:r w:rsidRPr="00DD572C">
        <w:rPr>
          <w:rFonts w:ascii="Times New Roman" w:eastAsia="Times New Roman" w:hAnsi="Times New Roman"/>
          <w:sz w:val="24"/>
          <w:szCs w:val="24"/>
        </w:rPr>
        <w:t>against whom disciplinary action is proposed.</w:t>
      </w:r>
      <w:r>
        <w:rPr>
          <w:rFonts w:ascii="Times New Roman" w:eastAsia="Times New Roman" w:hAnsi="Times New Roman"/>
          <w:sz w:val="24"/>
          <w:szCs w:val="24"/>
        </w:rPr>
        <w:t xml:space="preserve">” </w:t>
      </w:r>
    </w:p>
    <w:p w14:paraId="008ECB29" w14:textId="77777777" w:rsidR="00D33F96" w:rsidRDefault="00D33F96" w:rsidP="00D33F96">
      <w:pPr>
        <w:rPr>
          <w:rFonts w:ascii="Arial Black" w:hAnsi="Arial Black"/>
          <w:sz w:val="28"/>
          <w:szCs w:val="28"/>
        </w:rPr>
      </w:pPr>
    </w:p>
    <w:p w14:paraId="492F6261" w14:textId="3122BF31" w:rsidR="00D33F96" w:rsidRDefault="00D33F96" w:rsidP="00F326E5">
      <w:pPr>
        <w:pStyle w:val="NoSpacing"/>
        <w:rPr>
          <w:rFonts w:ascii="Arial Black" w:hAnsi="Arial Black"/>
          <w:sz w:val="24"/>
          <w:szCs w:val="24"/>
        </w:rPr>
      </w:pPr>
      <w:r>
        <w:rPr>
          <w:rFonts w:ascii="Arial Black" w:hAnsi="Arial Black"/>
          <w:sz w:val="24"/>
          <w:szCs w:val="24"/>
        </w:rPr>
        <w:t>16-88</w:t>
      </w:r>
    </w:p>
    <w:p w14:paraId="29D32E5E" w14:textId="77777777" w:rsidR="00D33F96" w:rsidRDefault="00D33F96" w:rsidP="00F326E5">
      <w:pPr>
        <w:pStyle w:val="NoSpacing"/>
        <w:rPr>
          <w:rFonts w:ascii="Arial Black" w:hAnsi="Arial Black"/>
          <w:sz w:val="24"/>
          <w:szCs w:val="24"/>
        </w:rPr>
      </w:pPr>
    </w:p>
    <w:p w14:paraId="5C591DED" w14:textId="77777777" w:rsidR="00D33F96" w:rsidRPr="00687D28" w:rsidRDefault="00D33F96" w:rsidP="00D33F96">
      <w:pPr>
        <w:spacing w:before="100" w:beforeAutospacing="1" w:after="100" w:afterAutospacing="1" w:line="240" w:lineRule="auto"/>
        <w:rPr>
          <w:rFonts w:ascii="Arial Black" w:eastAsia="Times New Roman" w:hAnsi="Arial Black"/>
          <w:sz w:val="28"/>
          <w:szCs w:val="28"/>
        </w:rPr>
      </w:pPr>
      <w:r>
        <w:rPr>
          <w:rFonts w:ascii="Arial Black" w:eastAsia="Times New Roman" w:hAnsi="Arial Black"/>
          <w:sz w:val="28"/>
          <w:szCs w:val="28"/>
        </w:rPr>
        <w:t>IL: ANGRY LT. PUSHED FEMALE LT. WALL 3 TIMES – SUSP. 24 HRS - NO PROOF FD CONDONED THIS CONDUCT</w:t>
      </w:r>
    </w:p>
    <w:p w14:paraId="61DDFFA9" w14:textId="77777777" w:rsidR="00D33F96" w:rsidRDefault="00D33F96" w:rsidP="00D33F96">
      <w:pPr>
        <w:pStyle w:val="NormalWeb"/>
      </w:pPr>
      <w:r>
        <w:t xml:space="preserve">On June 15, 2023, in </w:t>
      </w:r>
      <w:r w:rsidRPr="0096290C">
        <w:rPr>
          <w:u w:val="single"/>
        </w:rPr>
        <w:t>Michelle Giese v. City of Kankakee, Damon Schuldt and Nathan Boyce</w:t>
      </w:r>
      <w:r>
        <w:t>, the U.S. Court of Appeals for 7</w:t>
      </w:r>
      <w:r w:rsidRPr="0096290C">
        <w:rPr>
          <w:vertAlign w:val="superscript"/>
        </w:rPr>
        <w:t>th</w:t>
      </w:r>
      <w:r>
        <w:t xml:space="preserve"> Circuit (Chicago) held (3 to 0) that U.S. District Court had properly granted summary judgment to all defendants, and there was no proof FD condoning aggressive conduct or a “code of silence.” </w:t>
      </w:r>
    </w:p>
    <w:p w14:paraId="1CA5EC2F" w14:textId="77777777" w:rsidR="00D33F96" w:rsidRPr="0096290C" w:rsidRDefault="00D33F96" w:rsidP="00D33F96">
      <w:pPr>
        <w:pStyle w:val="NormalWeb"/>
      </w:pPr>
      <w:r>
        <w:t>The Court held: “</w:t>
      </w:r>
      <w:r w:rsidRPr="0096290C">
        <w:t>We are sympathetic to Giese, who continues to suffer mental and physical injuries from an attack that should never have occurred. But Giese's remedy, if any, is not in federal court.</w:t>
      </w:r>
      <w:r>
        <w:t xml:space="preserve"> *** </w:t>
      </w:r>
      <w:r w:rsidRPr="0096290C">
        <w:t xml:space="preserve">On the merits, Giese's claim fails because none of her evidence, separately or taken together, creates a genuine dispute regarding whether the defendants had </w:t>
      </w:r>
      <w:proofErr w:type="gramStart"/>
      <w:r w:rsidRPr="0096290C">
        <w:t>a practice</w:t>
      </w:r>
      <w:proofErr w:type="gramEnd"/>
      <w:r w:rsidRPr="0096290C">
        <w:t xml:space="preserve"> of condoning aggressive behavior, resulting in a constitutional injury. Although we have previously recognized that a defendant's </w:t>
      </w:r>
      <w:r>
        <w:t>‘</w:t>
      </w:r>
      <w:r w:rsidRPr="0096290C">
        <w:t>code of silence</w:t>
      </w:r>
      <w:r>
        <w:t>’</w:t>
      </w:r>
      <w:r w:rsidRPr="0096290C">
        <w:t xml:space="preserve"> can give rise to a valid </w:t>
      </w:r>
      <w:r w:rsidRPr="0096290C">
        <w:rPr>
          <w:i/>
          <w:iCs/>
        </w:rPr>
        <w:t>Monell</w:t>
      </w:r>
      <w:r w:rsidRPr="0096290C">
        <w:t xml:space="preserve"> claim, such a claim requires more than evidence of </w:t>
      </w:r>
      <w:r>
        <w:t>‘</w:t>
      </w:r>
      <w:r w:rsidRPr="0096290C">
        <w:t>individual misconduct by ... officers</w:t>
      </w:r>
      <w:r>
        <w:t>’</w:t>
      </w:r>
      <w:r w:rsidRPr="0096290C">
        <w:t xml:space="preserve">; it requires </w:t>
      </w:r>
      <w:r>
        <w:t>‘</w:t>
      </w:r>
      <w:r w:rsidRPr="0096290C">
        <w:t xml:space="preserve">a </w:t>
      </w:r>
      <w:r w:rsidRPr="0096290C">
        <w:rPr>
          <w:i/>
          <w:iCs/>
        </w:rPr>
        <w:t>widespread practice</w:t>
      </w:r>
      <w:r w:rsidRPr="0096290C">
        <w:t xml:space="preserve"> that permeates a critical mass of an institutional body.</w:t>
      </w:r>
      <w:r>
        <w:t>’</w:t>
      </w:r>
      <w:r w:rsidRPr="0096290C">
        <w:t xml:space="preserve"> </w:t>
      </w:r>
      <w:r w:rsidRPr="0096290C">
        <w:rPr>
          <w:i/>
          <w:iCs/>
        </w:rPr>
        <w:t>Rossi v. City of Chicago,</w:t>
      </w:r>
      <w:r w:rsidRPr="0096290C">
        <w:t xml:space="preserve"> 790 F.3d 729, 737 (7th Cir. 2015); </w:t>
      </w:r>
      <w:r w:rsidRPr="0096290C">
        <w:rPr>
          <w:i/>
          <w:iCs/>
        </w:rPr>
        <w:t>see also Sledd v. Lindsay</w:t>
      </w:r>
      <w:r w:rsidRPr="0096290C">
        <w:t>, 102 F.3d 282, 289 (7th Cir. 1996).</w:t>
      </w:r>
      <w:r>
        <w:t xml:space="preserve">” </w:t>
      </w:r>
      <w:hyperlink r:id="rId2652" w:history="1">
        <w:r w:rsidRPr="00812663">
          <w:rPr>
            <w:rStyle w:val="Hyperlink"/>
          </w:rPr>
          <w:t>https://caselaw.findlaw.com/court/us-7th-circuit/2204869.html</w:t>
        </w:r>
      </w:hyperlink>
      <w:r>
        <w:t xml:space="preserve"> </w:t>
      </w:r>
    </w:p>
    <w:p w14:paraId="0E0A2BA2" w14:textId="77777777" w:rsidR="00D33F96" w:rsidRPr="007B4180" w:rsidRDefault="00D33F96" w:rsidP="00D33F96">
      <w:pPr>
        <w:spacing w:before="100" w:beforeAutospacing="1" w:after="100" w:afterAutospacing="1" w:line="240" w:lineRule="auto"/>
        <w:rPr>
          <w:rFonts w:ascii="Times New Roman" w:eastAsia="Times New Roman" w:hAnsi="Times New Roman"/>
          <w:b/>
          <w:bCs/>
          <w:sz w:val="24"/>
          <w:szCs w:val="24"/>
        </w:rPr>
      </w:pPr>
      <w:r w:rsidRPr="007B4180">
        <w:rPr>
          <w:rFonts w:ascii="Times New Roman" w:eastAsia="Times New Roman" w:hAnsi="Times New Roman"/>
          <w:b/>
          <w:bCs/>
          <w:sz w:val="24"/>
          <w:szCs w:val="24"/>
        </w:rPr>
        <w:t xml:space="preserve">Legal Lesson Learned: </w:t>
      </w:r>
      <w:r>
        <w:rPr>
          <w:rFonts w:ascii="Times New Roman" w:eastAsia="Times New Roman" w:hAnsi="Times New Roman"/>
          <w:b/>
          <w:bCs/>
          <w:sz w:val="24"/>
          <w:szCs w:val="24"/>
        </w:rPr>
        <w:t>Plaintiff did not have evidence to prove alleged violent workplace or “code of silence.”</w:t>
      </w:r>
    </w:p>
    <w:p w14:paraId="042F589D" w14:textId="77777777" w:rsidR="00D33F96" w:rsidRDefault="00D33F96" w:rsidP="00F326E5">
      <w:pPr>
        <w:pStyle w:val="NoSpacing"/>
        <w:rPr>
          <w:rFonts w:ascii="Arial Black" w:hAnsi="Arial Black"/>
          <w:sz w:val="24"/>
          <w:szCs w:val="24"/>
        </w:rPr>
      </w:pPr>
    </w:p>
    <w:p w14:paraId="7B0F7E38" w14:textId="77777777" w:rsidR="00D33F96" w:rsidRDefault="00D33F96" w:rsidP="00F326E5">
      <w:pPr>
        <w:pStyle w:val="NoSpacing"/>
        <w:rPr>
          <w:rFonts w:ascii="Arial Black" w:hAnsi="Arial Black"/>
          <w:sz w:val="24"/>
          <w:szCs w:val="24"/>
        </w:rPr>
      </w:pPr>
    </w:p>
    <w:p w14:paraId="307BE832" w14:textId="77777777" w:rsidR="00D33F96" w:rsidRDefault="00D33F96" w:rsidP="00F326E5">
      <w:pPr>
        <w:pStyle w:val="NoSpacing"/>
        <w:rPr>
          <w:rFonts w:ascii="Arial Black" w:hAnsi="Arial Black"/>
          <w:sz w:val="24"/>
          <w:szCs w:val="24"/>
        </w:rPr>
      </w:pPr>
    </w:p>
    <w:p w14:paraId="4EBBDE3F" w14:textId="1C6A2E38" w:rsidR="00C032D6" w:rsidRDefault="00C032D6" w:rsidP="00F326E5">
      <w:pPr>
        <w:pStyle w:val="NoSpacing"/>
        <w:rPr>
          <w:rFonts w:ascii="Arial Black" w:hAnsi="Arial Black"/>
          <w:sz w:val="24"/>
          <w:szCs w:val="24"/>
        </w:rPr>
      </w:pPr>
      <w:r>
        <w:rPr>
          <w:rFonts w:ascii="Arial Black" w:hAnsi="Arial Black"/>
          <w:sz w:val="24"/>
          <w:szCs w:val="24"/>
        </w:rPr>
        <w:t>16-87</w:t>
      </w:r>
    </w:p>
    <w:p w14:paraId="4B41C1C2" w14:textId="77777777" w:rsidR="00C032D6" w:rsidRDefault="00C032D6" w:rsidP="00C032D6">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U.S. SUP. CT: FACEBOOK CYBERSTALKING POSTS TO FEMALE SINGER – PROS. PROVE DEF. INTENDED THREAT</w:t>
      </w:r>
    </w:p>
    <w:p w14:paraId="34B31C0C" w14:textId="77777777" w:rsidR="00C032D6" w:rsidRDefault="00C032D6" w:rsidP="00C032D6">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On June 27, 2023, in </w:t>
      </w:r>
      <w:r>
        <w:rPr>
          <w:rFonts w:ascii="Times New Roman" w:eastAsia="Times New Roman" w:hAnsi="Times New Roman"/>
          <w:sz w:val="24"/>
          <w:szCs w:val="24"/>
          <w:u w:val="single"/>
        </w:rPr>
        <w:t>Counterman v. Colorado</w:t>
      </w:r>
      <w:r>
        <w:rPr>
          <w:rFonts w:ascii="Times New Roman" w:eastAsia="Times New Roman" w:hAnsi="Times New Roman"/>
          <w:sz w:val="24"/>
          <w:szCs w:val="24"/>
        </w:rPr>
        <w:t>, the U.S. Supreme Court held (7 to 2) in an opinion by Justice Elena Kagan, that Billy Cunningham, who was convicted by a jury under state stalking statute, and sentenced to 4 ½ years in prison, after sending hundreds of Facebook posts to a local singer / musician. Several of his posts expressed anger at C. W. and envisaged harm befalling her: “Fuck off permanently….” “Staying in cyber life is going to kill you….” “You’re not being good for human relations. Die.”  The Court reversed the conviction since state prosecutors did not introduce any evidence, other than his Facebook posts, of his intentions to harm the singer.  If state decides to try him again, they must include proof that the “defendant had some understanding of his statements’ threatening character.”</w:t>
      </w:r>
      <w:r>
        <w:t xml:space="preserve"> </w:t>
      </w:r>
      <w:hyperlink r:id="rId2653" w:history="1">
        <w:r>
          <w:rPr>
            <w:rStyle w:val="Hyperlink"/>
            <w:sz w:val="24"/>
            <w:szCs w:val="24"/>
          </w:rPr>
          <w:t>https://www.supremecourt.gov/opinions/22pdf/22-138_43j7.pdf</w:t>
        </w:r>
      </w:hyperlink>
      <w:r>
        <w:rPr>
          <w:rFonts w:ascii="Times New Roman" w:eastAsia="Times New Roman" w:hAnsi="Times New Roman"/>
          <w:sz w:val="24"/>
          <w:szCs w:val="24"/>
        </w:rPr>
        <w:t xml:space="preserve"> </w:t>
      </w:r>
    </w:p>
    <w:p w14:paraId="73927333" w14:textId="77777777" w:rsidR="00C032D6" w:rsidRDefault="00C032D6" w:rsidP="00C032D6">
      <w:pPr>
        <w:spacing w:before="100" w:beforeAutospacing="1" w:after="100" w:afterAutospacing="1" w:line="240" w:lineRule="auto"/>
        <w:rPr>
          <w:rFonts w:ascii="Times New Roman" w:eastAsia="Times New Roman" w:hAnsi="Times New Roman"/>
          <w:b/>
          <w:bCs/>
          <w:sz w:val="24"/>
          <w:szCs w:val="24"/>
        </w:rPr>
      </w:pPr>
      <w:r>
        <w:rPr>
          <w:rFonts w:ascii="Times New Roman" w:eastAsia="Times New Roman" w:hAnsi="Times New Roman"/>
          <w:b/>
          <w:bCs/>
          <w:sz w:val="24"/>
          <w:szCs w:val="24"/>
        </w:rPr>
        <w:t>Legal Lesson Learned: Fire &amp; EMS Departments should review employee handbooks and confirm there is a section on threatening conduct, including online posts.</w:t>
      </w:r>
    </w:p>
    <w:p w14:paraId="545A6582" w14:textId="77777777" w:rsidR="00C032D6" w:rsidRDefault="00C032D6" w:rsidP="00C032D6">
      <w:pPr>
        <w:spacing w:before="100" w:beforeAutospacing="1" w:after="100" w:afterAutospacing="1" w:line="240" w:lineRule="auto"/>
        <w:ind w:left="720"/>
        <w:rPr>
          <w:rFonts w:ascii="Times New Roman" w:hAnsi="Times New Roman"/>
          <w:kern w:val="2"/>
          <w:sz w:val="24"/>
          <w:szCs w:val="24"/>
          <w14:ligatures w14:val="standardContextual"/>
        </w:rPr>
      </w:pPr>
      <w:r>
        <w:rPr>
          <w:rFonts w:ascii="Times New Roman" w:eastAsia="Times New Roman" w:hAnsi="Times New Roman"/>
          <w:sz w:val="24"/>
          <w:szCs w:val="24"/>
        </w:rPr>
        <w:t xml:space="preserve">Note: See photo of this stalker, and the victim: </w:t>
      </w:r>
      <w:hyperlink r:id="rId2654" w:history="1">
        <w:r>
          <w:rPr>
            <w:rStyle w:val="Hyperlink"/>
            <w:sz w:val="24"/>
            <w:szCs w:val="24"/>
          </w:rPr>
          <w:t>https://www.dailymail.co.uk/news/article-12240293/Man-accused-stalking-local-Colorado-musician-stalking-conviction-tossed-Supreme-Court.html</w:t>
        </w:r>
      </w:hyperlink>
      <w:r>
        <w:rPr>
          <w:rFonts w:ascii="Times New Roman" w:eastAsia="Times New Roman" w:hAnsi="Times New Roman"/>
          <w:sz w:val="24"/>
          <w:szCs w:val="24"/>
        </w:rPr>
        <w:t xml:space="preserve">. </w:t>
      </w:r>
      <w:r>
        <w:rPr>
          <w:rFonts w:ascii="Times New Roman" w:hAnsi="Times New Roman"/>
          <w:sz w:val="24"/>
          <w:szCs w:val="24"/>
        </w:rPr>
        <w:t>“Counterman had a history of making violent threats to women and was on supervised release from one such federal conviction during the two years he continuously messaged Whalen.”</w:t>
      </w:r>
    </w:p>
    <w:p w14:paraId="2AF52157" w14:textId="77777777" w:rsidR="00C032D6" w:rsidRDefault="00C032D6" w:rsidP="00C032D6">
      <w:pPr>
        <w:spacing w:before="100" w:beforeAutospacing="1" w:after="100" w:afterAutospacing="1" w:line="240" w:lineRule="auto"/>
        <w:ind w:left="720"/>
        <w:rPr>
          <w:rFonts w:ascii="Times New Roman" w:eastAsia="Times New Roman" w:hAnsi="Times New Roman"/>
          <w:sz w:val="24"/>
          <w:szCs w:val="24"/>
        </w:rPr>
      </w:pPr>
      <w:r>
        <w:rPr>
          <w:rFonts w:ascii="Times New Roman" w:hAnsi="Times New Roman"/>
          <w:sz w:val="24"/>
          <w:szCs w:val="24"/>
        </w:rPr>
        <w:t xml:space="preserve">On June 30, 2023, the U.S. Supreme Court has decided another First Amendment case: </w:t>
      </w:r>
      <w:r>
        <w:rPr>
          <w:rFonts w:ascii="Times New Roman" w:hAnsi="Times New Roman"/>
          <w:sz w:val="24"/>
          <w:szCs w:val="24"/>
          <w:u w:val="single"/>
        </w:rPr>
        <w:t>303 Creative LLC et al. v. Elenis, et al</w:t>
      </w:r>
      <w:r>
        <w:rPr>
          <w:rFonts w:ascii="Times New Roman" w:hAnsi="Times New Roman"/>
          <w:sz w:val="24"/>
          <w:szCs w:val="24"/>
        </w:rPr>
        <w:t>., holding (6 to 3) that Colorado Anti-Discrimination Act (CADA) cannot require wedding website owner to design websites for gay couples.  “</w:t>
      </w:r>
      <w:r>
        <w:rPr>
          <w:rFonts w:ascii="Times New Roman" w:eastAsia="Times New Roman" w:hAnsi="Times New Roman"/>
          <w:sz w:val="24"/>
          <w:szCs w:val="24"/>
        </w:rPr>
        <w:t xml:space="preserve">Specifically, she worries that, if she enters the wedding website business, the State will force her to convey messages inconsistent with her belief that marriage should be reserved to unions between one man and one woman. *** The First Amendment envisions the United States as a rich and complex place where all persons are free to think and speak as they wish, not as the government demands. Because Colorado seeks to deny that promise, the judgment is Reversed.” </w:t>
      </w:r>
      <w:hyperlink r:id="rId2655" w:history="1">
        <w:r>
          <w:rPr>
            <w:rStyle w:val="Hyperlink"/>
            <w:sz w:val="24"/>
            <w:szCs w:val="24"/>
          </w:rPr>
          <w:t>https://www.supremecourt.gov/opinions/22pdf/21-476_c185.pdf</w:t>
        </w:r>
      </w:hyperlink>
      <w:r>
        <w:rPr>
          <w:rFonts w:ascii="Times New Roman" w:eastAsia="Times New Roman" w:hAnsi="Times New Roman"/>
          <w:sz w:val="24"/>
          <w:szCs w:val="24"/>
        </w:rPr>
        <w:t xml:space="preserve"> </w:t>
      </w:r>
    </w:p>
    <w:p w14:paraId="190CDCC7" w14:textId="77777777" w:rsidR="00C032D6" w:rsidRDefault="00C032D6" w:rsidP="00C032D6">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 xml:space="preserve">Note: Online threatening conduct can take many forms.  On June 30, 2023, a former Deputy U.S. Marshal was sentenced to 10 years in prison for cyberstalking, perjury and obstruction. </w:t>
      </w:r>
      <w:hyperlink r:id="rId2656" w:history="1">
        <w:r>
          <w:rPr>
            <w:rStyle w:val="Hyperlink"/>
            <w:sz w:val="24"/>
            <w:szCs w:val="24"/>
          </w:rPr>
          <w:t>https://www.justice.gov/opa/pr/former-deputy-us-marshal-sentenced-cyberstalking-perjury-and-obstruction</w:t>
        </w:r>
      </w:hyperlink>
      <w:r>
        <w:rPr>
          <w:rFonts w:ascii="Times New Roman" w:eastAsia="Times New Roman" w:hAnsi="Times New Roman"/>
          <w:sz w:val="24"/>
          <w:szCs w:val="24"/>
        </w:rPr>
        <w:t xml:space="preserve"> </w:t>
      </w:r>
    </w:p>
    <w:p w14:paraId="1D7E6D6D" w14:textId="77777777" w:rsidR="00C032D6" w:rsidRDefault="00C032D6" w:rsidP="00C032D6">
      <w:pPr>
        <w:spacing w:before="100" w:beforeAutospacing="1" w:after="100" w:afterAutospacing="1" w:line="240" w:lineRule="auto"/>
        <w:ind w:left="1440"/>
        <w:rPr>
          <w:rFonts w:ascii="Times New Roman" w:hAnsi="Times New Roman"/>
          <w:kern w:val="2"/>
          <w:sz w:val="24"/>
          <w:szCs w:val="24"/>
          <w14:ligatures w14:val="standardContextual"/>
        </w:rPr>
      </w:pPr>
      <w:r>
        <w:rPr>
          <w:rFonts w:ascii="Times New Roman" w:hAnsi="Times New Roman"/>
          <w:sz w:val="24"/>
          <w:szCs w:val="24"/>
        </w:rPr>
        <w:t xml:space="preserve">“According to court documents and evidence presented at trial, Ian R. Diaz, 45, of Glendora, California, and his then-wife, an unindicted co-conspirator (CC-1), posed as a person with whom Diaz was formerly in a relationship (Jane Doe). In that guise, they sent themselves harassing and threatening electronic communications that contained apparent threats to harm CC-1; solicited and lured men found through Craigslist ‘personal’ advertisements to engage in so-called ‘rape fantasies’ in an attempt to stage a purported sexual assault on CC-1 orchestrated by Jane Doe; and staged one or more hoax sexual assaults and attempted sexual assaults on CC-1. Diaz and CC-1 then reported this conduct to local law enforcement, falsely claiming that Jane Doe posed a genuine and serious threat to Diaz and CC-1. Their actions caused local law enforcement to arrest, charge, and detain Jane Doe in jail for nearly three months for conduct for which Diaz and CC-1 framed </w:t>
      </w:r>
      <w:proofErr w:type="gramStart"/>
      <w:r>
        <w:rPr>
          <w:rFonts w:ascii="Times New Roman" w:hAnsi="Times New Roman"/>
          <w:sz w:val="24"/>
          <w:szCs w:val="24"/>
        </w:rPr>
        <w:t>her.”</w:t>
      </w:r>
      <w:proofErr w:type="gramEnd"/>
    </w:p>
    <w:p w14:paraId="2533B209" w14:textId="77777777" w:rsidR="00C032D6" w:rsidRDefault="00C032D6" w:rsidP="00F326E5">
      <w:pPr>
        <w:pStyle w:val="NoSpacing"/>
        <w:rPr>
          <w:rFonts w:ascii="Arial Black" w:hAnsi="Arial Black"/>
          <w:sz w:val="24"/>
          <w:szCs w:val="24"/>
        </w:rPr>
      </w:pPr>
    </w:p>
    <w:p w14:paraId="65A53843" w14:textId="77777777" w:rsidR="00C032D6" w:rsidRDefault="00C032D6" w:rsidP="00F326E5">
      <w:pPr>
        <w:pStyle w:val="NoSpacing"/>
        <w:rPr>
          <w:rFonts w:ascii="Arial Black" w:hAnsi="Arial Black"/>
          <w:sz w:val="24"/>
          <w:szCs w:val="24"/>
        </w:rPr>
      </w:pPr>
    </w:p>
    <w:p w14:paraId="69EE7B23" w14:textId="77777777" w:rsidR="00C032D6" w:rsidRDefault="00C032D6" w:rsidP="00F326E5">
      <w:pPr>
        <w:pStyle w:val="NoSpacing"/>
        <w:rPr>
          <w:rFonts w:ascii="Arial Black" w:hAnsi="Arial Black"/>
          <w:sz w:val="24"/>
          <w:szCs w:val="24"/>
        </w:rPr>
      </w:pPr>
    </w:p>
    <w:p w14:paraId="46092BEC" w14:textId="0E6C4061" w:rsidR="00A01262" w:rsidRDefault="00A01262" w:rsidP="00F326E5">
      <w:pPr>
        <w:pStyle w:val="NoSpacing"/>
        <w:rPr>
          <w:rFonts w:ascii="Arial Black" w:hAnsi="Arial Black"/>
          <w:sz w:val="24"/>
          <w:szCs w:val="24"/>
        </w:rPr>
      </w:pPr>
      <w:r>
        <w:rPr>
          <w:rFonts w:ascii="Arial Black" w:hAnsi="Arial Black"/>
          <w:sz w:val="24"/>
          <w:szCs w:val="24"/>
        </w:rPr>
        <w:t>16-86</w:t>
      </w:r>
    </w:p>
    <w:p w14:paraId="0B6CEF60" w14:textId="77777777" w:rsidR="00A01262" w:rsidRDefault="00A01262" w:rsidP="00F326E5">
      <w:pPr>
        <w:pStyle w:val="NoSpacing"/>
        <w:rPr>
          <w:rFonts w:ascii="Arial Black" w:hAnsi="Arial Black"/>
          <w:sz w:val="24"/>
          <w:szCs w:val="24"/>
        </w:rPr>
      </w:pPr>
    </w:p>
    <w:p w14:paraId="2E3F3D83" w14:textId="77777777" w:rsidR="00A01262" w:rsidRDefault="00A01262" w:rsidP="00A01262">
      <w:pPr>
        <w:pStyle w:val="NormalWeb"/>
        <w:rPr>
          <w:b/>
          <w:bCs/>
        </w:rPr>
      </w:pPr>
      <w:bookmarkStart w:id="592" w:name="_Hlk136860992"/>
      <w:r>
        <w:rPr>
          <w:rFonts w:ascii="Arial Black" w:hAnsi="Arial Black"/>
          <w:b/>
          <w:bCs/>
          <w:sz w:val="28"/>
          <w:szCs w:val="28"/>
        </w:rPr>
        <w:t>TX: HOUSTON ROCKETS PLAYER DROVE HIGH-WATER VEHICLE / SIREN – D/C SUSP. 3 DAYS NOT REPORTING</w:t>
      </w:r>
    </w:p>
    <w:bookmarkEnd w:id="592"/>
    <w:p w14:paraId="4B2783AF" w14:textId="77777777" w:rsidR="00A01262" w:rsidRDefault="00A01262" w:rsidP="00A01262">
      <w:pPr>
        <w:pStyle w:val="NormalWeb"/>
      </w:pPr>
      <w:r w:rsidRPr="00DB6B29">
        <w:t xml:space="preserve">On May 23, 2023, in </w:t>
      </w:r>
      <w:r w:rsidRPr="00DB6B29">
        <w:rPr>
          <w:u w:val="single"/>
        </w:rPr>
        <w:t>City of Houston v. Steven M. Dunbar</w:t>
      </w:r>
      <w:r>
        <w:t xml:space="preserve">, the Court of Appeals of Texas, Fourteenth District, held (3 to 1) that the 3-day suspension without pay for not submitting formal report of the incident was properly upheld by Civil Service Commission. The Court of Appeals reversed a District Court judge who had held a “trial de novo” and overturned the suspension.  </w:t>
      </w:r>
      <w:hyperlink r:id="rId2657" w:history="1">
        <w:r w:rsidRPr="009A7773">
          <w:rPr>
            <w:rStyle w:val="Hyperlink"/>
            <w:rFonts w:eastAsiaTheme="majorEastAsia"/>
          </w:rPr>
          <w:t>https://public.fastcase.com/ZZhmr5v9wN%2FXOe5IsQ%2FqD%2FO0LT6Pz0KJcARt671qvqgQi3DbocRDtQ4betl84jRGTGzfHSJMEalmGTdX9780fy05zDa4clbi%2BS%2BLkJBZYf4%3D?utm_medium=email&amp;_hsmi=226712652&amp;_hsenc=p2ANqtz-9l-n7ipvtzcORFmZd03PYol8SHQvcVi0Z6evQ7ScfpqYiZ21zByukFjNZtNWzEIrK0lXEwA0RlErFoyPgnUEJbLhoGpw&amp;utm_content=226712652&amp;utm_source=hs_email</w:t>
        </w:r>
      </w:hyperlink>
      <w:r>
        <w:t xml:space="preserve"> </w:t>
      </w:r>
    </w:p>
    <w:p w14:paraId="45F3BA26" w14:textId="77777777" w:rsidR="00A01262" w:rsidRDefault="00A01262" w:rsidP="00A01262">
      <w:pPr>
        <w:pStyle w:val="NormalWeb"/>
        <w:ind w:left="720"/>
      </w:pPr>
      <w:r>
        <w:t xml:space="preserve">“Dunbar nonetheless argues he had no duty to report the conduct he witnessed. Dunbar first argues that he did not have enough information to report any violation ‘by well-sustained charges,’ as prescribed by section 6.06. The evidence, however, shows that Dunbar witnessed a Houston Rockets player driving a high-water vehicle despite his knowledge that such vehicles could only be driven by HFD members with specific credentials, which would appear to be substantial evidence of a violation of the provisions listed above. Dunbar further argues that he could not determine whether a violation had taken place because he was aware of other events at which athletes had ridden on or driven HFD vehicles. Evidence of such incidents, however, does not dispel substantial evidence of a reportable violation in this </w:t>
      </w:r>
      <w:proofErr w:type="gramStart"/>
      <w:r>
        <w:t>instance.”</w:t>
      </w:r>
      <w:proofErr w:type="gramEnd"/>
      <w:r w:rsidRPr="00137F5F">
        <w:t xml:space="preserve"> </w:t>
      </w:r>
    </w:p>
    <w:p w14:paraId="0D09FDE5" w14:textId="77777777" w:rsidR="00A01262" w:rsidRPr="00137F5F" w:rsidRDefault="00A01262" w:rsidP="00A01262">
      <w:pPr>
        <w:pStyle w:val="NormalWeb"/>
        <w:rPr>
          <w:b/>
          <w:bCs/>
        </w:rPr>
      </w:pPr>
      <w:r w:rsidRPr="00137F5F">
        <w:rPr>
          <w:b/>
          <w:bCs/>
        </w:rPr>
        <w:t xml:space="preserve">Legal Lesson Learned:  </w:t>
      </w:r>
      <w:r>
        <w:rPr>
          <w:b/>
          <w:bCs/>
        </w:rPr>
        <w:t xml:space="preserve">Do not allow civilians to drive your apparatus, including professional athletes at a PR event. </w:t>
      </w:r>
    </w:p>
    <w:p w14:paraId="2FB42D6B" w14:textId="77777777" w:rsidR="00A01262" w:rsidRDefault="00A01262" w:rsidP="00F326E5">
      <w:pPr>
        <w:pStyle w:val="NoSpacing"/>
        <w:rPr>
          <w:rFonts w:ascii="Arial Black" w:hAnsi="Arial Black"/>
          <w:sz w:val="24"/>
          <w:szCs w:val="24"/>
        </w:rPr>
      </w:pPr>
    </w:p>
    <w:p w14:paraId="7B49B0FE" w14:textId="77777777" w:rsidR="00A01262" w:rsidRDefault="00A01262" w:rsidP="00F326E5">
      <w:pPr>
        <w:pStyle w:val="NoSpacing"/>
        <w:rPr>
          <w:rFonts w:ascii="Arial Black" w:hAnsi="Arial Black"/>
          <w:sz w:val="24"/>
          <w:szCs w:val="24"/>
        </w:rPr>
      </w:pPr>
    </w:p>
    <w:p w14:paraId="34ADBA42" w14:textId="68E6DA18" w:rsidR="006A02A4" w:rsidRDefault="006A02A4" w:rsidP="00F326E5">
      <w:pPr>
        <w:pStyle w:val="NoSpacing"/>
        <w:rPr>
          <w:rFonts w:ascii="Arial Black" w:hAnsi="Arial Black"/>
          <w:sz w:val="24"/>
          <w:szCs w:val="24"/>
        </w:rPr>
      </w:pPr>
      <w:r>
        <w:rPr>
          <w:rFonts w:ascii="Arial Black" w:hAnsi="Arial Black"/>
          <w:sz w:val="24"/>
          <w:szCs w:val="24"/>
        </w:rPr>
        <w:t>16-85</w:t>
      </w:r>
    </w:p>
    <w:p w14:paraId="260DA05A" w14:textId="77777777" w:rsidR="006A02A4" w:rsidRDefault="006A02A4" w:rsidP="006A02A4">
      <w:pPr>
        <w:pStyle w:val="NoSpacing"/>
        <w:rPr>
          <w:rStyle w:val="Emphasis"/>
          <w:rFonts w:ascii="Arial Black" w:hAnsi="Arial Black"/>
          <w:i w:val="0"/>
          <w:iCs w:val="0"/>
          <w:sz w:val="28"/>
          <w:szCs w:val="28"/>
        </w:rPr>
      </w:pPr>
    </w:p>
    <w:p w14:paraId="0B1723DE" w14:textId="57F67C5B" w:rsidR="006A02A4" w:rsidRPr="006A02A4" w:rsidRDefault="006A02A4" w:rsidP="006A02A4">
      <w:pPr>
        <w:pStyle w:val="NoSpacing"/>
        <w:rPr>
          <w:rStyle w:val="Emphasis"/>
          <w:rFonts w:ascii="Arial Black" w:hAnsi="Arial Black"/>
          <w:i w:val="0"/>
          <w:iCs w:val="0"/>
          <w:sz w:val="28"/>
          <w:szCs w:val="28"/>
        </w:rPr>
      </w:pPr>
      <w:r w:rsidRPr="006A02A4">
        <w:rPr>
          <w:rStyle w:val="Emphasis"/>
          <w:rFonts w:ascii="Arial Black" w:hAnsi="Arial Black"/>
          <w:i w:val="0"/>
          <w:iCs w:val="0"/>
          <w:sz w:val="28"/>
          <w:szCs w:val="28"/>
        </w:rPr>
        <w:t>IL (4/19/2023) – POLICE DISPATCHER FIRED – CONV. RESISTING PD – NO PD ENTRY HOME DISPUTE WITH KIDS</w:t>
      </w:r>
    </w:p>
    <w:p w14:paraId="11C7AB3B" w14:textId="77777777" w:rsidR="006A02A4" w:rsidRPr="006A02A4" w:rsidRDefault="006A02A4" w:rsidP="006A02A4">
      <w:pPr>
        <w:pStyle w:val="NoSpacing"/>
      </w:pPr>
    </w:p>
    <w:p w14:paraId="715CAAF3" w14:textId="77B7AEFE" w:rsidR="006A02A4" w:rsidRDefault="006A02A4" w:rsidP="00F326E5">
      <w:pPr>
        <w:pStyle w:val="NoSpacing"/>
        <w:rPr>
          <w:rFonts w:ascii="Arial Black" w:hAnsi="Arial Black"/>
          <w:sz w:val="24"/>
          <w:szCs w:val="24"/>
        </w:rPr>
      </w:pPr>
      <w:r w:rsidRPr="003C1643">
        <w:rPr>
          <w:rFonts w:ascii="Times New Roman" w:hAnsi="Times New Roman"/>
          <w:sz w:val="24"/>
          <w:szCs w:val="24"/>
          <w:u w:val="single"/>
        </w:rPr>
        <w:t xml:space="preserve">Nancy McDonald v. </w:t>
      </w:r>
      <w:proofErr w:type="spellStart"/>
      <w:r w:rsidRPr="003C1643">
        <w:rPr>
          <w:rFonts w:ascii="Times New Roman" w:hAnsi="Times New Roman"/>
          <w:sz w:val="24"/>
          <w:szCs w:val="24"/>
          <w:u w:val="single"/>
        </w:rPr>
        <w:t>Dupage</w:t>
      </w:r>
      <w:proofErr w:type="spellEnd"/>
      <w:r w:rsidRPr="003C1643">
        <w:rPr>
          <w:rFonts w:ascii="Times New Roman" w:hAnsi="Times New Roman"/>
          <w:sz w:val="24"/>
          <w:szCs w:val="24"/>
          <w:u w:val="single"/>
        </w:rPr>
        <w:t xml:space="preserve"> Public Safety Communications d/b/a Du-Comm</w:t>
      </w:r>
      <w:r w:rsidRPr="003C1643">
        <w:rPr>
          <w:rFonts w:ascii="Times New Roman" w:hAnsi="Times New Roman"/>
          <w:sz w:val="24"/>
          <w:szCs w:val="24"/>
        </w:rPr>
        <w:t xml:space="preserve">, U.S. District Court Judge Charles P. </w:t>
      </w:r>
      <w:proofErr w:type="spellStart"/>
      <w:r w:rsidRPr="003C1643">
        <w:rPr>
          <w:rFonts w:ascii="Times New Roman" w:hAnsi="Times New Roman"/>
          <w:sz w:val="24"/>
          <w:szCs w:val="24"/>
        </w:rPr>
        <w:t>Kocoras</w:t>
      </w:r>
      <w:proofErr w:type="spellEnd"/>
      <w:r w:rsidRPr="003C1643">
        <w:rPr>
          <w:rFonts w:ascii="Times New Roman" w:hAnsi="Times New Roman"/>
          <w:sz w:val="24"/>
          <w:szCs w:val="24"/>
        </w:rPr>
        <w:t xml:space="preserve">, U.S. District Court for Northern District of Illinois, Eastern Division.  </w:t>
      </w:r>
    </w:p>
    <w:p w14:paraId="4D44A7B5" w14:textId="77777777" w:rsidR="006A02A4" w:rsidRPr="003C1643" w:rsidRDefault="006A02A4" w:rsidP="006A02A4">
      <w:pPr>
        <w:pStyle w:val="NoSpacing"/>
        <w:rPr>
          <w:rFonts w:ascii="Times New Roman" w:hAnsi="Times New Roman"/>
          <w:sz w:val="24"/>
          <w:szCs w:val="24"/>
        </w:rPr>
      </w:pPr>
      <w:hyperlink r:id="rId2658" w:history="1">
        <w:r w:rsidRPr="003C1643">
          <w:rPr>
            <w:rStyle w:val="Hyperlink"/>
            <w:rFonts w:ascii="Times New Roman" w:hAnsi="Times New Roman"/>
            <w:sz w:val="24"/>
            <w:szCs w:val="24"/>
          </w:rPr>
          <w:t>https://public.fastcase.com/ZZhmr5v9wN%2FXOe5IsQ%2FqD%2FbRI5yk0CTLrJ1wUlp23a2jtoF9iRGzOsDdRZIWd9GyXFY2izvgsnflzL0%2FFWSL%2FPpsQUa%2FiEphINoTWEFNJVE%3D?utm_medium=email&amp;_hsmi=226712652&amp;_hsenc=p2ANqtz-8tSxN7q872uN51HDKRs8bBT2KkYc5se6Y34IcB-qusszHk_1kcdMtqv3s-tJTiEGYg-zZ48WEGXoPe6gX9Sz_hnuHHnA&amp;utm_content=226712652&amp;utm_source=hs_email</w:t>
        </w:r>
      </w:hyperlink>
      <w:r w:rsidRPr="003C1643">
        <w:rPr>
          <w:rFonts w:ascii="Times New Roman" w:hAnsi="Times New Roman"/>
          <w:sz w:val="24"/>
          <w:szCs w:val="24"/>
        </w:rPr>
        <w:t xml:space="preserve"> </w:t>
      </w:r>
    </w:p>
    <w:p w14:paraId="5DE2AEB5" w14:textId="77777777" w:rsidR="006A02A4" w:rsidRPr="003C1643" w:rsidRDefault="006A02A4" w:rsidP="006A02A4">
      <w:pPr>
        <w:pStyle w:val="NormalWeb"/>
        <w:rPr>
          <w:b/>
          <w:bCs/>
        </w:rPr>
      </w:pPr>
      <w:r w:rsidRPr="003C1643">
        <w:rPr>
          <w:b/>
          <w:bCs/>
        </w:rPr>
        <w:t xml:space="preserve">Legal Lesson Learned: A police dispatcher must avoid conduct leading to arrest for obstructing police. </w:t>
      </w:r>
    </w:p>
    <w:p w14:paraId="37EDCE52" w14:textId="77777777" w:rsidR="006A02A4" w:rsidRDefault="006A02A4" w:rsidP="00F326E5">
      <w:pPr>
        <w:pStyle w:val="NoSpacing"/>
        <w:rPr>
          <w:rFonts w:ascii="Arial Black" w:hAnsi="Arial Black"/>
          <w:sz w:val="24"/>
          <w:szCs w:val="24"/>
        </w:rPr>
      </w:pPr>
    </w:p>
    <w:p w14:paraId="5BEC1FA8" w14:textId="77777777" w:rsidR="006A02A4" w:rsidRDefault="006A02A4" w:rsidP="00F326E5">
      <w:pPr>
        <w:pStyle w:val="NoSpacing"/>
        <w:rPr>
          <w:rFonts w:ascii="Arial Black" w:hAnsi="Arial Black"/>
          <w:sz w:val="24"/>
          <w:szCs w:val="24"/>
        </w:rPr>
      </w:pPr>
    </w:p>
    <w:p w14:paraId="37AA26D6" w14:textId="3910FDFA" w:rsidR="007F5C26" w:rsidRDefault="00D66BAA" w:rsidP="00F326E5">
      <w:pPr>
        <w:pStyle w:val="NoSpacing"/>
        <w:rPr>
          <w:rFonts w:ascii="Arial Black" w:hAnsi="Arial Black"/>
          <w:sz w:val="24"/>
          <w:szCs w:val="24"/>
        </w:rPr>
      </w:pPr>
      <w:r>
        <w:rPr>
          <w:rFonts w:ascii="Arial Black" w:hAnsi="Arial Black"/>
          <w:sz w:val="24"/>
          <w:szCs w:val="24"/>
        </w:rPr>
        <w:t>16-84</w:t>
      </w:r>
    </w:p>
    <w:p w14:paraId="23F3B2E3" w14:textId="77777777" w:rsidR="00D66BAA" w:rsidRDefault="00D66BAA" w:rsidP="00D66BAA">
      <w:pPr>
        <w:pStyle w:val="NormalWeb"/>
        <w:rPr>
          <w:rFonts w:ascii="Arial Black" w:hAnsi="Arial Black" w:cs="Arial"/>
          <w:sz w:val="28"/>
          <w:szCs w:val="28"/>
        </w:rPr>
      </w:pPr>
      <w:r>
        <w:rPr>
          <w:rFonts w:ascii="Arial Black" w:hAnsi="Arial Black" w:cs="Arial"/>
          <w:sz w:val="28"/>
          <w:szCs w:val="28"/>
        </w:rPr>
        <w:t>FL: FIRE CHIEF HAS “ABSOLUTE IMMUNITY” DEFAMATION – 6 FF FIRED DEFACING BLACK LT’s FAMILY PICTURES</w:t>
      </w:r>
    </w:p>
    <w:p w14:paraId="5722628A" w14:textId="77777777" w:rsidR="00D66BAA" w:rsidRDefault="00D66BAA" w:rsidP="00D66BAA">
      <w:pPr>
        <w:pStyle w:val="NormalWeb"/>
      </w:pPr>
      <w:r>
        <w:t xml:space="preserve">On March 24, 2023, the Florida Supreme Court declined to hear the appeal of three firefighters, who were part of a group of six fired on Nov. 1, 2017. </w:t>
      </w:r>
      <w:hyperlink r:id="rId2659" w:history="1">
        <w:r>
          <w:rPr>
            <w:rStyle w:val="Hyperlink"/>
          </w:rPr>
          <w:t>https://public.fastcase.com/ppbqSQpNDaJE%2F8PlIk0b8GrZRoSxZNSyZ1IPMsly8LQqd8zJpEjl6u9Blu91YAS9</w:t>
        </w:r>
      </w:hyperlink>
      <w:r>
        <w:t xml:space="preserve">.  Three firefighters won their jobs back after arbitration and then sued the Fire Chief and City for defamation.  They alleged they were put in a false light when the Fire Chief issued a Press Release with their photos, and held a Press Conference that connected the three firefighters (A-Shift firefighters) not only with drawing of the phallic images on the family photos of a Black Lieutenant (occurred on Sept. 9, 2017, A-Shift), but also falsely connected them with and the placing of a string shaped like a noose over one of the Lt’s family photos (Sept. 10, 2017, B-Shift firefighters). </w:t>
      </w:r>
    </w:p>
    <w:p w14:paraId="5D2B2B30" w14:textId="77777777" w:rsidR="00D66BAA" w:rsidRDefault="00D66BAA" w:rsidP="00D66BAA">
      <w:pPr>
        <w:pStyle w:val="NormalWeb"/>
        <w:ind w:left="720"/>
      </w:pPr>
      <w:r>
        <w:t xml:space="preserve">The State Supreme Court thereby declined to set aside the Florida Third District Court of Appeals decision on Aug. 24, </w:t>
      </w:r>
      <w:proofErr w:type="gramStart"/>
      <w:r>
        <w:t>2022</w:t>
      </w:r>
      <w:proofErr w:type="gramEnd"/>
      <w:r>
        <w:t xml:space="preserve"> which held Fire Chief enjoys “absolute immunity” from defamation lawsuit.  Court of Appeals held (3 to 0), “In Florida, public officials are </w:t>
      </w:r>
      <w:proofErr w:type="gramStart"/>
      <w:r>
        <w:t>absolutely immune</w:t>
      </w:r>
      <w:proofErr w:type="gramEnd"/>
      <w:r>
        <w:t xml:space="preserve"> from suit for defamation </w:t>
      </w:r>
      <w:proofErr w:type="gramStart"/>
      <w:r>
        <w:t>as long as</w:t>
      </w:r>
      <w:proofErr w:type="gramEnd"/>
      <w:r>
        <w:t xml:space="preserve"> their allegedly defamatory statements were made within the scope of their duties….Here, Chief </w:t>
      </w:r>
      <w:proofErr w:type="spellStart"/>
      <w:r>
        <w:t>Zahralban</w:t>
      </w:r>
      <w:proofErr w:type="spellEnd"/>
      <w:r>
        <w:t xml:space="preserve"> is the director of the City’s fire-rescue department…. Therefore, Chief </w:t>
      </w:r>
      <w:proofErr w:type="spellStart"/>
      <w:r>
        <w:t>Zahralban</w:t>
      </w:r>
      <w:proofErr w:type="spellEnd"/>
      <w:r>
        <w:t xml:space="preserve"> and the City are </w:t>
      </w:r>
      <w:proofErr w:type="gramStart"/>
      <w:r>
        <w:t>absolutely immune</w:t>
      </w:r>
      <w:proofErr w:type="gramEnd"/>
      <w:r>
        <w:t xml:space="preserve"> from suit for Chief Zahralban’s written and oral statements relating to the City’s termination of the Respondents as the statements were made within the scope of Chief Zahralban’s duties as the director of the City’s fire-rescue department.” </w:t>
      </w:r>
      <w:hyperlink r:id="rId2660" w:history="1">
        <w:r>
          <w:rPr>
            <w:rStyle w:val="Hyperlink"/>
          </w:rPr>
          <w:t>https://law.justia.com/cases/florida/third-district-court-of-appeal/2022/3d21-2413.html</w:t>
        </w:r>
      </w:hyperlink>
      <w:r>
        <w:t xml:space="preserve"> </w:t>
      </w:r>
    </w:p>
    <w:p w14:paraId="5C24AF38" w14:textId="77777777" w:rsidR="00D66BAA" w:rsidRDefault="00D66BAA" w:rsidP="00D66BAA">
      <w:pPr>
        <w:pStyle w:val="NormalWeb"/>
        <w:ind w:left="720"/>
      </w:pPr>
      <w:r>
        <w:t xml:space="preserve">The Fire Chief issued a written Press Release on Nov. 2, 2017, and held a Press Conference on Nov. 3. The written Press Release stated, in part, as follows: </w:t>
      </w:r>
    </w:p>
    <w:p w14:paraId="0662EEEF" w14:textId="77777777" w:rsidR="00D66BAA" w:rsidRDefault="00D66BAA" w:rsidP="00D66BAA">
      <w:pPr>
        <w:pStyle w:val="NormalWeb"/>
        <w:ind w:left="1440"/>
      </w:pPr>
      <w:r>
        <w:t xml:space="preserve">“On September 9th, 2017, a member with the City of Miami Fire Rescue was a victim of a hideous, distasteful act of hate in one of our fire stations. This </w:t>
      </w:r>
      <w:proofErr w:type="gramStart"/>
      <w:r>
        <w:t>Lieutenant of</w:t>
      </w:r>
      <w:proofErr w:type="gramEnd"/>
      <w:r>
        <w:t xml:space="preserve"> 17 </w:t>
      </w:r>
      <w:proofErr w:type="gramStart"/>
      <w:r>
        <w:t>years with the department</w:t>
      </w:r>
      <w:proofErr w:type="gramEnd"/>
      <w:r>
        <w:t xml:space="preserve">, discovered his family photos were defaced with lewd and sexually explicit renderings and a </w:t>
      </w:r>
      <w:proofErr w:type="gramStart"/>
      <w:r>
        <w:t>noose</w:t>
      </w:r>
      <w:proofErr w:type="gramEnd"/>
      <w:r>
        <w:t xml:space="preserve"> draped over one [of] the photos. This was immediately reported to my staff and as a result, I personally responded to the station. Appalled by my observation, I immediately requested the Miami Police Department investigate the matter and temporarily transferred all personnel assigned to that station, </w:t>
      </w:r>
      <w:proofErr w:type="gramStart"/>
      <w:r>
        <w:t>per</w:t>
      </w:r>
      <w:proofErr w:type="gramEnd"/>
      <w:r>
        <w:t xml:space="preserve"> our department policy. During the investigation, findings determined eleven (11) personnel had some involvement with the incident and they were relieved of duty. Additional evidence discovered identified six (6) of those individuals directly involved and swift administrative action was implemented. Under my authority, a Captain, a Lieutenant and 4 firefighters were terminated for offenses surrounding egregious and hateful conduct.”</w:t>
      </w:r>
    </w:p>
    <w:p w14:paraId="1C74F668" w14:textId="77777777" w:rsidR="00D66BAA" w:rsidRDefault="00D66BAA" w:rsidP="00D66BAA">
      <w:pPr>
        <w:pStyle w:val="NormalWeb"/>
        <w:rPr>
          <w:b/>
          <w:bCs/>
        </w:rPr>
      </w:pPr>
      <w:r>
        <w:rPr>
          <w:b/>
          <w:bCs/>
        </w:rPr>
        <w:t xml:space="preserve">Legal Lesson Learned: Helpful Florida decision about a “hideous, distasteful act of hate.” </w:t>
      </w:r>
    </w:p>
    <w:p w14:paraId="4E1DB45E" w14:textId="77777777" w:rsidR="00D66BAA" w:rsidRDefault="00D66BAA" w:rsidP="00D66BAA">
      <w:pPr>
        <w:pStyle w:val="Heading1"/>
        <w:ind w:left="720"/>
        <w:rPr>
          <w:b w:val="0"/>
          <w:bCs w:val="0"/>
          <w:sz w:val="24"/>
          <w:szCs w:val="24"/>
        </w:rPr>
      </w:pPr>
      <w:r>
        <w:rPr>
          <w:b w:val="0"/>
          <w:bCs w:val="0"/>
          <w:sz w:val="24"/>
          <w:szCs w:val="24"/>
        </w:rPr>
        <w:t xml:space="preserve">Note: See March 27, </w:t>
      </w:r>
      <w:proofErr w:type="gramStart"/>
      <w:r>
        <w:rPr>
          <w:b w:val="0"/>
          <w:bCs w:val="0"/>
          <w:sz w:val="24"/>
          <w:szCs w:val="24"/>
        </w:rPr>
        <w:t>2023</w:t>
      </w:r>
      <w:proofErr w:type="gramEnd"/>
      <w:r>
        <w:rPr>
          <w:b w:val="0"/>
          <w:bCs w:val="0"/>
          <w:sz w:val="24"/>
          <w:szCs w:val="24"/>
        </w:rPr>
        <w:t xml:space="preserve"> Press Coverage: “Florida Supreme Court turns down Miami firefighter defamation case.” </w:t>
      </w:r>
      <w:hyperlink r:id="rId2661" w:history="1">
        <w:r>
          <w:rPr>
            <w:rStyle w:val="Hyperlink"/>
            <w:b w:val="0"/>
            <w:bCs w:val="0"/>
            <w:sz w:val="24"/>
            <w:szCs w:val="24"/>
          </w:rPr>
          <w:t>https://www.cbsnews.com/miami/news/florida-supreme-court-turns-down-miami-firefighter-defamation-case/</w:t>
        </w:r>
      </w:hyperlink>
      <w:r>
        <w:rPr>
          <w:b w:val="0"/>
          <w:bCs w:val="0"/>
          <w:sz w:val="24"/>
          <w:szCs w:val="24"/>
        </w:rPr>
        <w:t xml:space="preserve"> </w:t>
      </w:r>
    </w:p>
    <w:p w14:paraId="649D6A04" w14:textId="77777777" w:rsidR="00D66BAA" w:rsidRDefault="00D66BAA" w:rsidP="00D66BAA">
      <w:pPr>
        <w:pStyle w:val="NormalWeb"/>
      </w:pPr>
    </w:p>
    <w:p w14:paraId="342253C0" w14:textId="33E8A81E" w:rsidR="00D66BAA" w:rsidRDefault="00D66BAA" w:rsidP="00F326E5">
      <w:pPr>
        <w:pStyle w:val="NoSpacing"/>
        <w:rPr>
          <w:rFonts w:ascii="Arial Black" w:hAnsi="Arial Black"/>
          <w:sz w:val="24"/>
          <w:szCs w:val="24"/>
        </w:rPr>
      </w:pPr>
      <w:r>
        <w:rPr>
          <w:rFonts w:ascii="Arial Black" w:hAnsi="Arial Black"/>
          <w:sz w:val="24"/>
          <w:szCs w:val="24"/>
        </w:rPr>
        <w:lastRenderedPageBreak/>
        <w:t>16-83</w:t>
      </w:r>
    </w:p>
    <w:p w14:paraId="7F866694" w14:textId="621A3A3E" w:rsidR="00D66BAA" w:rsidRDefault="00D66BAA" w:rsidP="00F326E5">
      <w:pPr>
        <w:pStyle w:val="NoSpacing"/>
        <w:rPr>
          <w:rFonts w:ascii="Arial Black" w:hAnsi="Arial Black"/>
          <w:sz w:val="24"/>
          <w:szCs w:val="24"/>
        </w:rPr>
      </w:pPr>
    </w:p>
    <w:p w14:paraId="5DC9089D" w14:textId="77777777" w:rsidR="00D66BAA" w:rsidRDefault="00D66BAA" w:rsidP="00D66BAA">
      <w:pPr>
        <w:pStyle w:val="NormalWeb"/>
        <w:rPr>
          <w:rFonts w:ascii="Arial Black" w:hAnsi="Arial Black"/>
          <w:sz w:val="28"/>
          <w:szCs w:val="28"/>
        </w:rPr>
      </w:pPr>
      <w:r>
        <w:rPr>
          <w:rFonts w:ascii="Arial Black" w:hAnsi="Arial Black"/>
          <w:sz w:val="28"/>
          <w:szCs w:val="28"/>
        </w:rPr>
        <w:t>TN:  FF CONV. ASSAULT WITH .38 - FIRED – LIMITED CROSS-EXAM CHIEF OTHER FF DISCIPLINE WAS APPROPRIATE</w:t>
      </w:r>
    </w:p>
    <w:p w14:paraId="045C5504" w14:textId="77777777" w:rsidR="00D66BAA" w:rsidRDefault="00D66BAA" w:rsidP="00D66BAA">
      <w:pPr>
        <w:pStyle w:val="NormalWeb"/>
      </w:pPr>
      <w:r>
        <w:t xml:space="preserve">On March 21, 2023, in </w:t>
      </w:r>
      <w:r>
        <w:rPr>
          <w:u w:val="single"/>
        </w:rPr>
        <w:t>Paul Zachary Moss v. Shelby County Civil Service Merit Board</w:t>
      </w:r>
      <w:r>
        <w:t xml:space="preserve">, the Supreme Court of Tennessee, held (5 to 0) that the Civil Service Board properly limited cross-examination of the Fire Chief after he testified about his “uniform” policy of terminating firefighters convicted of misuse of firearms. The Court noted that at the Board hearing: “During cross-examination, counsel for Mr. Moss attempted to question Chief Benson about whether he had uniformly applied this policy to prior disciplinary incidents, specifically asking about a firefighter who had committed sexual assault. Chief Benson testified that ‘a firefighter who committed sexual </w:t>
      </w:r>
      <w:proofErr w:type="gramStart"/>
      <w:r>
        <w:t>battery</w:t>
      </w:r>
      <w:proofErr w:type="gramEnd"/>
      <w:r>
        <w:t xml:space="preserve"> would likely be terminated.’ When Mr. Moss's attorney asked Chief Benson why he had not terminated that </w:t>
      </w:r>
      <w:proofErr w:type="gramStart"/>
      <w:r>
        <w:t>particular firefighter</w:t>
      </w:r>
      <w:proofErr w:type="gramEnd"/>
      <w:r>
        <w:t xml:space="preserve">, counsel for the Fire Department objected to the line of questioning as irrelevant. The Board sustained the objection and declined to hear evidence relating to the prior discipline.”  The TN Court of Appeals held this violated the firefighters due process rights. </w:t>
      </w:r>
    </w:p>
    <w:p w14:paraId="65363618" w14:textId="77777777" w:rsidR="00D66BAA" w:rsidRDefault="00D66BAA" w:rsidP="00D66BAA">
      <w:pPr>
        <w:pStyle w:val="NormalWeb"/>
        <w:ind w:left="720"/>
      </w:pPr>
      <w:r>
        <w:t xml:space="preserve">The TN Supreme Court ruled overturned the Court of Appeals: “If allowed to stand, the Court of Appeals decision would confine civil service agencies to a level of imposed discipline in line with previous instances. For example, if a civil service agency wants to "crack down" on particularly troubling behavior within the agency, it would be limited to whatever discipline was previously meted out in the past, essentially nullifying any deterrent effect. There is also the issue of pragmatism. If Mr. Moss's argument carries the day, merit boards (and the courts to which their decisions are appealed) will sift through instances of past discipline to determine whether the prior instances are analogous to the cases before them. And, at the very least, Mr. Moss's position does not fit within the "limited scope of review" utilized by this Court in reviewing administrative agency decisions and would undermine the deference we have traditionally given to agencies </w:t>
      </w:r>
      <w:proofErr w:type="gramStart"/>
      <w:r>
        <w:t>with regard to</w:t>
      </w:r>
      <w:proofErr w:type="gramEnd"/>
      <w:r>
        <w:t xml:space="preserve"> personnel matters…. In sum, the Board's decision to exclude Mr. Moss's disparate discipline evidence was not a clear error in judgment…. The Board did not abuse its discretion in determining that the evidence was irrelevant to the issue of whether there was just cause to terminate Mr. Moss's employment.” </w:t>
      </w:r>
      <w:hyperlink r:id="rId2662" w:history="1">
        <w:r>
          <w:rPr>
            <w:rStyle w:val="Hyperlink"/>
          </w:rPr>
          <w:t>https://www.tncourts.gov/sites/default/files/OpinionsPDFVersion/MOSS%20-%20Majority%20Opinion.pdf</w:t>
        </w:r>
      </w:hyperlink>
      <w:r>
        <w:t xml:space="preserve"> </w:t>
      </w:r>
    </w:p>
    <w:p w14:paraId="6BC62709" w14:textId="77777777" w:rsidR="00D66BAA" w:rsidRDefault="00D66BAA" w:rsidP="00D66BAA">
      <w:pPr>
        <w:pStyle w:val="NormalWeb"/>
        <w:ind w:left="720"/>
      </w:pPr>
      <w:r>
        <w:t xml:space="preserve">“On November 1, 2013, several individuals held a political rally on an interstate overpass in Memphis. Rally participants held signs that advocated for the impeachment of then-President Barack Obama, and at least one individual wore a plastic mask depicting President Obama. Passing motorists reacted negatively to the demonstration. Fearful of the possibility of violence, participants called the Memphis Police </w:t>
      </w:r>
      <w:proofErr w:type="gramStart"/>
      <w:r>
        <w:t>Department (‘</w:t>
      </w:r>
      <w:proofErr w:type="gramEnd"/>
      <w:r>
        <w:t xml:space="preserve">MPD’) for assistance. </w:t>
      </w:r>
    </w:p>
    <w:p w14:paraId="2BD468D3" w14:textId="77777777" w:rsidR="00D66BAA" w:rsidRDefault="00D66BAA" w:rsidP="00D66BAA">
      <w:pPr>
        <w:pStyle w:val="NormalWeb"/>
        <w:ind w:left="720" w:firstLine="60"/>
      </w:pPr>
      <w:r>
        <w:t xml:space="preserve">Paul Zachary Moss arrived at the overpass after his wife, a rally attendee, said she </w:t>
      </w:r>
      <w:proofErr w:type="gramStart"/>
      <w:r>
        <w:t>feared for</w:t>
      </w:r>
      <w:proofErr w:type="gramEnd"/>
      <w:r>
        <w:t xml:space="preserve"> her safety. Mr. Moss approached the scene armed with a .38 caliber handgun. Upon learning that an attendee, Thomas Mason Ezzell, Jr., wore the ‘Obama mask,’ Mr. Moss became angry. The situation escalated into a physical altercation between Mr. Moss, Mr. Ezzell, and another rally attendee, Earl Mayfield. Mr. Moss pointed his handgun at both men, threatening to kill them. Mr. Ezzell and Mr. Mayfield relented, and Mr. Moss returned to his truck where he was disarmed and arrested by MPD officers. Mr. Moss informed the Fire Department about the incident. </w:t>
      </w:r>
    </w:p>
    <w:p w14:paraId="0EC63781" w14:textId="77777777" w:rsidR="00D66BAA" w:rsidRDefault="00D66BAA" w:rsidP="00D66BAA">
      <w:pPr>
        <w:pStyle w:val="NormalWeb"/>
        <w:ind w:left="720" w:firstLine="60"/>
      </w:pPr>
      <w:r>
        <w:t>***</w:t>
      </w:r>
    </w:p>
    <w:p w14:paraId="654C02F6" w14:textId="77777777" w:rsidR="00D66BAA" w:rsidRDefault="00D66BAA" w:rsidP="00D66BAA">
      <w:pPr>
        <w:spacing w:after="100" w:line="240" w:lineRule="auto"/>
        <w:ind w:left="720"/>
        <w:rPr>
          <w:rFonts w:ascii="Times New Roman" w:eastAsia="Times New Roman" w:hAnsi="Times New Roman"/>
          <w:sz w:val="24"/>
          <w:szCs w:val="24"/>
        </w:rPr>
      </w:pPr>
      <w:r>
        <w:rPr>
          <w:rFonts w:ascii="Times New Roman" w:eastAsia="Times New Roman" w:hAnsi="Times New Roman"/>
          <w:sz w:val="24"/>
          <w:szCs w:val="24"/>
        </w:rPr>
        <w:lastRenderedPageBreak/>
        <w:t xml:space="preserve">[At the Board hearing] Mr. Moss said he became upset and yelled at Mr. Ezzell because Mr. Moss's wife had been put in a dangerous situation. He admitted saying to Mr. Ezzell, ‘Are you stupid?’ He also acknowledged that he was ‘trying to be heard,’ but denied swinging at, grabbing, or punching Mr. Ezzell. Mr. Moss explained that Mr. Mayfield hit him from behind and put him on the ground in a headlock, and Mr. Ezzell tried to grab his arms. When Mr. Moss freed himself, he </w:t>
      </w:r>
      <w:proofErr w:type="gramStart"/>
      <w:r>
        <w:rPr>
          <w:rFonts w:ascii="Times New Roman" w:eastAsia="Times New Roman" w:hAnsi="Times New Roman"/>
          <w:sz w:val="24"/>
          <w:szCs w:val="24"/>
        </w:rPr>
        <w:t>pulled</w:t>
      </w:r>
      <w:proofErr w:type="gramEnd"/>
      <w:r>
        <w:rPr>
          <w:rFonts w:ascii="Times New Roman" w:eastAsia="Times New Roman" w:hAnsi="Times New Roman"/>
          <w:sz w:val="24"/>
          <w:szCs w:val="24"/>
        </w:rPr>
        <w:t xml:space="preserve"> his gun because he felt he was in imminent danger. The police arrested Mr. Moss and took him to the police station. After his release, Mr. Moss reported his arrest to his battalion chief. </w:t>
      </w:r>
    </w:p>
    <w:p w14:paraId="301A92ED" w14:textId="77777777" w:rsidR="00D66BAA" w:rsidRDefault="00D66BAA" w:rsidP="00D66BAA">
      <w:pPr>
        <w:spacing w:after="100" w:line="240" w:lineRule="auto"/>
        <w:ind w:left="720"/>
      </w:pPr>
      <w:r>
        <w:rPr>
          <w:rFonts w:ascii="Times New Roman" w:eastAsia="Times New Roman" w:hAnsi="Times New Roman"/>
          <w:sz w:val="24"/>
          <w:szCs w:val="24"/>
        </w:rPr>
        <w:t>***</w:t>
      </w:r>
    </w:p>
    <w:p w14:paraId="068355BC" w14:textId="77777777" w:rsidR="00D66BAA" w:rsidRDefault="00D66BAA" w:rsidP="00D66BAA">
      <w:pPr>
        <w:pStyle w:val="NormalWeb"/>
        <w:ind w:left="720" w:firstLine="60"/>
      </w:pPr>
      <w:r>
        <w:t xml:space="preserve">Later, a grand jury indicted Mr. Moss on two counts of aggravated assault. He entered an </w:t>
      </w:r>
      <w:r>
        <w:rPr>
          <w:rStyle w:val="Emphasis"/>
        </w:rPr>
        <w:t>Alford</w:t>
      </w:r>
      <w:r>
        <w:t xml:space="preserve"> plea to one count of aggravated assault. After successfully completing three years of judicial diversion, the diverted charge was </w:t>
      </w:r>
      <w:proofErr w:type="gramStart"/>
      <w:r>
        <w:t>dismissed.”</w:t>
      </w:r>
      <w:proofErr w:type="gramEnd"/>
    </w:p>
    <w:p w14:paraId="777CB348" w14:textId="77777777" w:rsidR="00D66BAA" w:rsidRDefault="00D66BAA" w:rsidP="00D66BAA">
      <w:pPr>
        <w:pStyle w:val="NormalWeb"/>
        <w:rPr>
          <w:rStyle w:val="Emphasis"/>
          <w:b/>
          <w:bCs/>
        </w:rPr>
      </w:pPr>
      <w:r>
        <w:rPr>
          <w:b/>
          <w:bCs/>
        </w:rPr>
        <w:t xml:space="preserve">Legal Lesson Learned: Serious facts involving improper use of </w:t>
      </w:r>
      <w:proofErr w:type="gramStart"/>
      <w:r>
        <w:rPr>
          <w:b/>
          <w:bCs/>
        </w:rPr>
        <w:t>firearm</w:t>
      </w:r>
      <w:proofErr w:type="gramEnd"/>
      <w:r>
        <w:rPr>
          <w:b/>
          <w:bCs/>
        </w:rPr>
        <w:t xml:space="preserve"> has led to termination. </w:t>
      </w:r>
    </w:p>
    <w:p w14:paraId="23394DBE" w14:textId="77777777" w:rsidR="00D66BAA" w:rsidRDefault="00D66BAA" w:rsidP="00F326E5">
      <w:pPr>
        <w:pStyle w:val="NoSpacing"/>
        <w:rPr>
          <w:rFonts w:ascii="Arial Black" w:hAnsi="Arial Black"/>
          <w:sz w:val="24"/>
          <w:szCs w:val="24"/>
        </w:rPr>
      </w:pPr>
    </w:p>
    <w:p w14:paraId="5058242C" w14:textId="77777777" w:rsidR="00D66BAA" w:rsidRDefault="00D66BAA" w:rsidP="00F326E5">
      <w:pPr>
        <w:pStyle w:val="NoSpacing"/>
        <w:rPr>
          <w:rFonts w:ascii="Arial Black" w:hAnsi="Arial Black"/>
          <w:sz w:val="24"/>
          <w:szCs w:val="24"/>
        </w:rPr>
      </w:pPr>
    </w:p>
    <w:p w14:paraId="58773990" w14:textId="77777777" w:rsidR="00D66BAA" w:rsidRDefault="00D66BAA" w:rsidP="00F326E5">
      <w:pPr>
        <w:pStyle w:val="NoSpacing"/>
        <w:rPr>
          <w:rFonts w:ascii="Arial Black" w:hAnsi="Arial Black"/>
          <w:sz w:val="24"/>
          <w:szCs w:val="24"/>
        </w:rPr>
      </w:pPr>
    </w:p>
    <w:p w14:paraId="0550BF23" w14:textId="60708A51" w:rsidR="00F55395" w:rsidRDefault="00F55395" w:rsidP="00F326E5">
      <w:pPr>
        <w:pStyle w:val="NoSpacing"/>
        <w:rPr>
          <w:rFonts w:ascii="Arial Black" w:hAnsi="Arial Black"/>
          <w:sz w:val="24"/>
          <w:szCs w:val="24"/>
        </w:rPr>
      </w:pPr>
      <w:r>
        <w:rPr>
          <w:rFonts w:ascii="Arial Black" w:hAnsi="Arial Black"/>
          <w:sz w:val="24"/>
          <w:szCs w:val="24"/>
        </w:rPr>
        <w:t>16-82</w:t>
      </w:r>
    </w:p>
    <w:p w14:paraId="1DDBF8C0" w14:textId="77777777" w:rsidR="00F55395" w:rsidRDefault="00F55395" w:rsidP="00F55395">
      <w:pPr>
        <w:pStyle w:val="NormalWeb"/>
        <w:rPr>
          <w:rFonts w:ascii="Arial Black" w:hAnsi="Arial Black"/>
          <w:sz w:val="28"/>
          <w:szCs w:val="28"/>
        </w:rPr>
      </w:pPr>
      <w:r>
        <w:rPr>
          <w:rFonts w:ascii="Arial Black" w:hAnsi="Arial Black"/>
          <w:sz w:val="28"/>
          <w:szCs w:val="28"/>
        </w:rPr>
        <w:t>IL: RACIST FACEBOOK POSTINGS – CHICAGO FF FIRED –CASE PROCEED DISCOVERY – “BALANCING” TEST</w:t>
      </w:r>
    </w:p>
    <w:p w14:paraId="1AE290EE" w14:textId="77777777" w:rsidR="00F55395" w:rsidRDefault="00F55395" w:rsidP="00F55395">
      <w:pPr>
        <w:pStyle w:val="NormalWeb"/>
      </w:pPr>
      <w:r>
        <w:t xml:space="preserve">On March 3, 2023, in </w:t>
      </w:r>
      <w:r w:rsidRPr="007543F8">
        <w:rPr>
          <w:u w:val="single"/>
        </w:rPr>
        <w:t>Sam Inendino v. Lori Lightfoot, City of Chicago, et al</w:t>
      </w:r>
      <w:r>
        <w:t xml:space="preserve">., U.S. District Court Judge Thomas M. Durkin, Northern District of Illinois, denied in part the City’s motion to dismiss.  The Judge wrote: “The Seventh Circuit, however, has advised courts that the relative balancing of the state's interests against the employee's interests should not be decided at the pleading stage because it is “preferable to leave to the defendant the burden of raising justification as an affirmative defense.” </w:t>
      </w:r>
      <w:r>
        <w:rPr>
          <w:rStyle w:val="Emphasis"/>
        </w:rPr>
        <w:t>Gustafson v. Jones</w:t>
      </w:r>
      <w:r>
        <w:t xml:space="preserve">, 117 F.3d 1015, 1019 (7th Cir. 1997); </w:t>
      </w:r>
      <w:r>
        <w:rPr>
          <w:rStyle w:val="Emphasis"/>
        </w:rPr>
        <w:t>Glass v. Dachel</w:t>
      </w:r>
      <w:r>
        <w:t xml:space="preserve">, 2 F.3d 733, 744 (7th Cir. 1993) (explaining that the state bears the burden of demonstrating an interest which outweighs the employee's interest in speaking). *** </w:t>
      </w:r>
      <w:r w:rsidRPr="00FB7CED">
        <w:t xml:space="preserve"> </w:t>
      </w:r>
      <w:r>
        <w:t xml:space="preserve">Therefore, and because the </w:t>
      </w:r>
      <w:r>
        <w:rPr>
          <w:rStyle w:val="Emphasis"/>
        </w:rPr>
        <w:t>Pickering</w:t>
      </w:r>
      <w:r>
        <w:t xml:space="preserve"> </w:t>
      </w:r>
      <w:r w:rsidRPr="00FB7CED">
        <w:rPr>
          <w:color w:val="000000" w:themeColor="text1"/>
        </w:rPr>
        <w:t>[</w:t>
      </w:r>
      <w:hyperlink r:id="rId2663" w:tgtFrame="_blank" w:history="1">
        <w:r w:rsidRPr="00FB7CED">
          <w:rPr>
            <w:rStyle w:val="Emphasis"/>
            <w:color w:val="000000" w:themeColor="text1"/>
          </w:rPr>
          <w:t xml:space="preserve">Pickering v. Board of Education, </w:t>
        </w:r>
        <w:r w:rsidRPr="00FB7CED">
          <w:rPr>
            <w:rStyle w:val="Hyperlink"/>
            <w:rFonts w:eastAsiaTheme="majorEastAsia"/>
            <w:color w:val="000000" w:themeColor="text1"/>
          </w:rPr>
          <w:t>391 U.S. 563 (1968)</w:t>
        </w:r>
      </w:hyperlink>
      <w:r w:rsidRPr="00FB7CED">
        <w:rPr>
          <w:rStyle w:val="s1"/>
        </w:rPr>
        <w:t>]</w:t>
      </w:r>
      <w:r>
        <w:rPr>
          <w:rStyle w:val="s1"/>
        </w:rPr>
        <w:t xml:space="preserve"> </w:t>
      </w:r>
      <w:r>
        <w:t>balancing test is highly fact dependent, its application ‘will be possible only after the parties have had an opportunity to conduct some discovery.’”</w:t>
      </w:r>
      <w:r w:rsidRPr="00FB7CED">
        <w:t xml:space="preserve"> </w:t>
      </w:r>
      <w:hyperlink r:id="rId2664" w:history="1">
        <w:r w:rsidRPr="00C863CC">
          <w:rPr>
            <w:rStyle w:val="Hyperlink"/>
            <w:rFonts w:eastAsiaTheme="majorEastAsia"/>
          </w:rPr>
          <w:t>https://public.fastcase.com/J%2FJP6pdidelsXxEE4k%2BLMjaDEWROmrH16cfc6gra3ASxsA6ABb5gmKr7dgTVPZFAyucR%2F24MD4mhTmh6U3JDqNSXBmdIcjdrjArbqC4ueHA%3D?utm_medium=email&amp;_hsmi=226712652&amp;_hsenc=p2ANqtz-8djIG1sQ_3FyKMXC40KW2oDEllslyVj_QIL_DW9IJ-72SY8jUMapn9qVvf0Txy9Aeh2fYzSIF_AEMjkupRX651B5mjNw&amp;utm_content=226712652&amp;utm_source=hs_email</w:t>
        </w:r>
      </w:hyperlink>
      <w:r>
        <w:t xml:space="preserve"> </w:t>
      </w:r>
    </w:p>
    <w:p w14:paraId="00DEB043" w14:textId="77777777" w:rsidR="00F55395" w:rsidRDefault="00F55395" w:rsidP="00F55395">
      <w:pPr>
        <w:pStyle w:val="NormalWeb"/>
        <w:ind w:left="720"/>
      </w:pPr>
      <w:proofErr w:type="spellStart"/>
      <w:r>
        <w:t>Inendino</w:t>
      </w:r>
      <w:proofErr w:type="spellEnd"/>
      <w:r>
        <w:t xml:space="preserve"> was employed as a Chicago firefighter and EMT beginning in May 2005….  He served as a firefighter with Engine 54 and Truck 20 in the Englewood neighborhood of Chicago without incident for sixteen years until he was terminated on June 8, 2021….  </w:t>
      </w:r>
      <w:proofErr w:type="spellStart"/>
      <w:r>
        <w:t>Inendino</w:t>
      </w:r>
      <w:proofErr w:type="spellEnd"/>
      <w:r>
        <w:t xml:space="preserve"> was well-respected within his workplace, acted as the cook in the firehouse, and never had any complaints against him by the public until the incidents at issue. </w:t>
      </w:r>
    </w:p>
    <w:p w14:paraId="7A1CBDD9" w14:textId="77777777" w:rsidR="00F55395" w:rsidRDefault="00F55395" w:rsidP="00F55395">
      <w:pPr>
        <w:pStyle w:val="NormalWeb"/>
        <w:ind w:left="720"/>
      </w:pPr>
      <w:r>
        <w:t>***</w:t>
      </w:r>
    </w:p>
    <w:p w14:paraId="3BAC20EC" w14:textId="77777777" w:rsidR="00F55395" w:rsidRDefault="00F55395" w:rsidP="00F55395">
      <w:pPr>
        <w:pStyle w:val="NormalWeb"/>
        <w:ind w:left="720"/>
      </w:pPr>
      <w:r>
        <w:t xml:space="preserve">In October 2019, </w:t>
      </w:r>
      <w:proofErr w:type="spellStart"/>
      <w:r>
        <w:t>Inendino</w:t>
      </w:r>
      <w:proofErr w:type="spellEnd"/>
      <w:r>
        <w:t xml:space="preserve"> commented on a Hispanic person's post which complained about the poster's brother's treatment by a Chicago Police Department lieutenant….  After some back and forth, </w:t>
      </w:r>
      <w:proofErr w:type="spellStart"/>
      <w:r>
        <w:t>Inendino</w:t>
      </w:r>
      <w:proofErr w:type="spellEnd"/>
      <w:r>
        <w:t xml:space="preserve"> </w:t>
      </w:r>
      <w:r>
        <w:lastRenderedPageBreak/>
        <w:t xml:space="preserve">stated, ‘Your comments are all weak... can't talk I have to go to work to pay for all your scumbag kids that </w:t>
      </w:r>
      <w:proofErr w:type="gramStart"/>
      <w:r>
        <w:t>you</w:t>
      </w:r>
      <w:proofErr w:type="gramEnd"/>
      <w:r>
        <w:t xml:space="preserve"> welfare fucks keep having,”’ and ‘[ . . .] that's a good come back. NOT get all HOOD on me YO. take your ass back over the border where </w:t>
      </w:r>
      <w:proofErr w:type="spellStart"/>
      <w:r>
        <w:t>ya</w:t>
      </w:r>
      <w:proofErr w:type="spellEnd"/>
      <w:r>
        <w:t xml:space="preserve"> belong. </w:t>
      </w:r>
      <w:proofErr w:type="spellStart"/>
      <w:proofErr w:type="gramStart"/>
      <w:r>
        <w:t>gotta</w:t>
      </w:r>
      <w:proofErr w:type="spellEnd"/>
      <w:proofErr w:type="gramEnd"/>
      <w:r>
        <w:t xml:space="preserve"> go I have a real job.’</w:t>
      </w:r>
    </w:p>
    <w:p w14:paraId="5577E31D" w14:textId="77777777" w:rsidR="00F55395" w:rsidRDefault="00F55395" w:rsidP="00F55395">
      <w:pPr>
        <w:pStyle w:val="NormalWeb"/>
        <w:ind w:left="720"/>
        <w:rPr>
          <w:rStyle w:val="Emphasis"/>
        </w:rPr>
      </w:pPr>
      <w:r>
        <w:t>***</w:t>
      </w:r>
      <w:r>
        <w:rPr>
          <w:rStyle w:val="Emphasis"/>
        </w:rPr>
        <w:t>.</w:t>
      </w:r>
    </w:p>
    <w:p w14:paraId="7350A028" w14:textId="77777777" w:rsidR="00F55395" w:rsidRDefault="00F55395" w:rsidP="00F55395">
      <w:pPr>
        <w:pStyle w:val="NormalWeb"/>
        <w:ind w:left="720"/>
      </w:pPr>
      <w:proofErr w:type="spellStart"/>
      <w:r>
        <w:t>Inendino's</w:t>
      </w:r>
      <w:proofErr w:type="spellEnd"/>
      <w:r>
        <w:t xml:space="preserve"> other Facebook posts contained in the OIG report contain a mix of fairly inflammatory politically and racially charged memes, including criticisms and personal attacks of [Chicago Mayor Lori] Lightfoot like, ‘you could take one out of the ghetto but can't take the ghetto out of them, what a dirty </w:t>
      </w:r>
      <w:proofErr w:type="spellStart"/>
      <w:r>
        <w:t>hoodrat</w:t>
      </w:r>
      <w:proofErr w:type="spellEnd"/>
      <w:r>
        <w:t xml:space="preserve"> she is,’ ‘hope she chokes on something,’ and ‘fluent in ghetto….’He also posted a petition to recall Lightfoot. </w:t>
      </w:r>
    </w:p>
    <w:p w14:paraId="771D0973" w14:textId="77777777" w:rsidR="00F55395" w:rsidRDefault="00F55395" w:rsidP="00F55395">
      <w:pPr>
        <w:pStyle w:val="NormalWeb"/>
        <w:ind w:left="720"/>
      </w:pPr>
      <w:r>
        <w:t>***</w:t>
      </w:r>
    </w:p>
    <w:p w14:paraId="300088C6" w14:textId="77777777" w:rsidR="00F55395" w:rsidRDefault="00F55395" w:rsidP="00F55395">
      <w:pPr>
        <w:pStyle w:val="NormalWeb"/>
        <w:ind w:left="720"/>
      </w:pPr>
      <w:r w:rsidRPr="007543F8">
        <w:t xml:space="preserve">Other examples contained in the OIG report include an image of pregnant black women, captioned, </w:t>
      </w:r>
      <w:r>
        <w:t>‘</w:t>
      </w:r>
      <w:r w:rsidRPr="007543F8">
        <w:t>the real housewives of public housing</w:t>
      </w:r>
      <w:r>
        <w:t xml:space="preserve">…; </w:t>
      </w:r>
      <w:r w:rsidRPr="007543F8">
        <w:t>various memes about black-on-black crime statistics</w:t>
      </w:r>
      <w:r>
        <w:t>…</w:t>
      </w:r>
      <w:r w:rsidRPr="007543F8">
        <w:t xml:space="preserve">; posts supporting a shooting at a protest in Kenosha, Wisconsin (including captions like, </w:t>
      </w:r>
      <w:r>
        <w:t>‘</w:t>
      </w:r>
      <w:r w:rsidRPr="007543F8">
        <w:t>Good for him should aim for the torso!!!</w:t>
      </w:r>
      <w:r>
        <w:t>’</w:t>
      </w:r>
      <w:r w:rsidRPr="007543F8">
        <w:t>)</w:t>
      </w:r>
      <w:r>
        <w:t>…</w:t>
      </w:r>
      <w:r w:rsidRPr="007543F8">
        <w:t>; comments about wanting to leave Chicago because of crime and protests</w:t>
      </w:r>
      <w:r>
        <w:t xml:space="preserve"> ….</w:t>
      </w:r>
      <w:r w:rsidRPr="007543F8">
        <w:t xml:space="preserve">; comments calling looters </w:t>
      </w:r>
      <w:r>
        <w:t>‘</w:t>
      </w:r>
      <w:r w:rsidRPr="007543F8">
        <w:t>animals</w:t>
      </w:r>
      <w:r>
        <w:t>’</w:t>
      </w:r>
      <w:r w:rsidRPr="007543F8">
        <w:t xml:space="preserve"> and implying they receive government aid</w:t>
      </w:r>
      <w:r>
        <w:t>…</w:t>
      </w:r>
      <w:r w:rsidRPr="007543F8">
        <w:t>; memes discussing why the shooting of Breonna Taylor was justified</w:t>
      </w:r>
      <w:r>
        <w:t xml:space="preserve"> …</w:t>
      </w:r>
      <w:r w:rsidRPr="007543F8">
        <w:t>; a post making fun of an Asian-American White House correspondent's accent</w:t>
      </w:r>
      <w:r>
        <w:t>…</w:t>
      </w:r>
      <w:r w:rsidRPr="007543F8">
        <w:t xml:space="preserve">; and a cartoon image of a truck running over stick figures with the caption, </w:t>
      </w:r>
      <w:r>
        <w:t>‘</w:t>
      </w:r>
      <w:r w:rsidRPr="007543F8">
        <w:t>All Lives Splatter. Nobody Cares About Your Protest. Keep Your Ass Out of the Road</w:t>
      </w:r>
      <w:r>
        <w:t xml:space="preserve">…’” </w:t>
      </w:r>
    </w:p>
    <w:p w14:paraId="1F8BE17C" w14:textId="77777777" w:rsidR="00F55395" w:rsidRPr="00AA1ACA" w:rsidRDefault="00F55395" w:rsidP="00F55395">
      <w:pPr>
        <w:pStyle w:val="NormalWeb"/>
        <w:rPr>
          <w:b/>
          <w:bCs/>
        </w:rPr>
      </w:pPr>
      <w:r w:rsidRPr="00AA1ACA">
        <w:rPr>
          <w:b/>
          <w:bCs/>
        </w:rPr>
        <w:t xml:space="preserve">Legal Lesson Learned: </w:t>
      </w:r>
      <w:r>
        <w:rPr>
          <w:b/>
          <w:bCs/>
        </w:rPr>
        <w:t>U</w:t>
      </w:r>
      <w:r w:rsidRPr="00AA1ACA">
        <w:rPr>
          <w:b/>
          <w:bCs/>
        </w:rPr>
        <w:t xml:space="preserve">nder the </w:t>
      </w:r>
      <w:r w:rsidRPr="00AA1ACA">
        <w:rPr>
          <w:b/>
          <w:bCs/>
          <w:u w:val="single"/>
        </w:rPr>
        <w:t xml:space="preserve">Pickering </w:t>
      </w:r>
      <w:r w:rsidRPr="00AA1ACA">
        <w:rPr>
          <w:b/>
          <w:bCs/>
        </w:rPr>
        <w:t xml:space="preserve">“balancing test” the City </w:t>
      </w:r>
      <w:r>
        <w:rPr>
          <w:b/>
          <w:bCs/>
        </w:rPr>
        <w:t xml:space="preserve">clearly </w:t>
      </w:r>
      <w:r w:rsidRPr="00AA1ACA">
        <w:rPr>
          <w:b/>
          <w:bCs/>
        </w:rPr>
        <w:t xml:space="preserve">has a legitimate interest in limiting </w:t>
      </w:r>
      <w:r>
        <w:rPr>
          <w:b/>
          <w:bCs/>
        </w:rPr>
        <w:t xml:space="preserve">Facebook posts that are </w:t>
      </w:r>
      <w:r w:rsidRPr="00AA1ACA">
        <w:rPr>
          <w:b/>
          <w:bCs/>
        </w:rPr>
        <w:t>highly offensive</w:t>
      </w:r>
      <w:r>
        <w:rPr>
          <w:b/>
          <w:bCs/>
        </w:rPr>
        <w:t xml:space="preserve"> to the public. </w:t>
      </w:r>
    </w:p>
    <w:p w14:paraId="4C02AE0D" w14:textId="77777777" w:rsidR="00F55395" w:rsidRDefault="00F55395" w:rsidP="00F326E5">
      <w:pPr>
        <w:pStyle w:val="NoSpacing"/>
        <w:rPr>
          <w:rFonts w:ascii="Arial Black" w:hAnsi="Arial Black"/>
          <w:sz w:val="24"/>
          <w:szCs w:val="24"/>
        </w:rPr>
      </w:pPr>
    </w:p>
    <w:p w14:paraId="63501D18" w14:textId="77777777" w:rsidR="00F55395" w:rsidRDefault="00F55395" w:rsidP="00F326E5">
      <w:pPr>
        <w:pStyle w:val="NoSpacing"/>
        <w:rPr>
          <w:rFonts w:ascii="Arial Black" w:hAnsi="Arial Black"/>
          <w:sz w:val="24"/>
          <w:szCs w:val="24"/>
        </w:rPr>
      </w:pPr>
    </w:p>
    <w:p w14:paraId="25F8105C" w14:textId="77777777" w:rsidR="00F55395" w:rsidRDefault="00F55395" w:rsidP="00F326E5">
      <w:pPr>
        <w:pStyle w:val="NoSpacing"/>
        <w:rPr>
          <w:rFonts w:ascii="Arial Black" w:hAnsi="Arial Black"/>
          <w:sz w:val="24"/>
          <w:szCs w:val="24"/>
        </w:rPr>
      </w:pPr>
    </w:p>
    <w:p w14:paraId="7229565A" w14:textId="13790D18" w:rsidR="00F31C1B" w:rsidRDefault="008A4533" w:rsidP="00F326E5">
      <w:pPr>
        <w:pStyle w:val="NoSpacing"/>
        <w:rPr>
          <w:rFonts w:ascii="Arial Black" w:hAnsi="Arial Black"/>
          <w:sz w:val="24"/>
          <w:szCs w:val="24"/>
        </w:rPr>
      </w:pPr>
      <w:r>
        <w:rPr>
          <w:rFonts w:ascii="Arial Black" w:hAnsi="Arial Black"/>
          <w:sz w:val="24"/>
          <w:szCs w:val="24"/>
        </w:rPr>
        <w:t>16-81</w:t>
      </w:r>
    </w:p>
    <w:p w14:paraId="09DDE34D" w14:textId="77777777" w:rsidR="008A4533" w:rsidRPr="00E15641" w:rsidRDefault="008A4533" w:rsidP="008A4533">
      <w:pPr>
        <w:pStyle w:val="NormalWeb"/>
        <w:rPr>
          <w:rFonts w:ascii="Arial Black" w:hAnsi="Arial Black"/>
          <w:b/>
          <w:bCs/>
          <w:sz w:val="28"/>
          <w:szCs w:val="28"/>
        </w:rPr>
      </w:pPr>
      <w:r>
        <w:rPr>
          <w:rFonts w:ascii="Arial Black" w:hAnsi="Arial Black"/>
          <w:b/>
          <w:bCs/>
          <w:sz w:val="28"/>
          <w:szCs w:val="28"/>
        </w:rPr>
        <w:t>OH: CLEVELAND EMS CAPTAIN FIRED – FACEBOOK POST – WISHED HE HAD KILLED TAMIR RICE – “BALANCING TEST”</w:t>
      </w:r>
    </w:p>
    <w:p w14:paraId="2065AA8F" w14:textId="77777777" w:rsidR="008A4533" w:rsidRDefault="008A4533" w:rsidP="008A4533">
      <w:pPr>
        <w:pStyle w:val="NormalWeb"/>
      </w:pPr>
      <w:r>
        <w:t xml:space="preserve">On Jan. 25, 2023, in </w:t>
      </w:r>
      <w:r w:rsidRPr="00DD39F8">
        <w:rPr>
          <w:u w:val="single"/>
        </w:rPr>
        <w:t>Jamie Marquardt v. Nicole Carlton, et al</w:t>
      </w:r>
      <w:r>
        <w:t xml:space="preserve">., the U.S. Court of Appeals for the Sixth Circuit (Cincinnati) held (3 to 0; unpublished decision) that U.S. District Court Judge in Cleveland properly granted summary judgment to the City of Cleveland; the City's interest as an employer outweighed Marquardt's free speech interest.  [T]he district court, applying the balancing test announced in </w:t>
      </w:r>
      <w:r>
        <w:rPr>
          <w:rStyle w:val="Emphasis"/>
        </w:rPr>
        <w:t>Pickering v. Board of Education</w:t>
      </w:r>
      <w:r>
        <w:t>, 391 U.S. 563 (1968), held that defendants were nonetheless entitled to summary judgment on Marquardt's First Amendment claim because the City's interest as an employer outweighed Marquardt's free speech interest. The Court of Appeals agreed. “Commissioner Carlton testified that she believed City services would be disrupted if Marquardt was identified as the author of the posts. Her conclusion, she explained, was informed by earlier ‘civil unrest within the City of Cleveland related to the Tamir Rice incident.’ Any visceral reaction to Marquardt's posts, Carlton predicted, would lead to further ‘protest[s],’ ‘disharmony amongst EMS staff,’ and employees ‘</w:t>
      </w:r>
      <w:proofErr w:type="spellStart"/>
      <w:r>
        <w:t>refus</w:t>
      </w:r>
      <w:proofErr w:type="spellEnd"/>
      <w:r>
        <w:t>[</w:t>
      </w:r>
      <w:proofErr w:type="spellStart"/>
      <w:r>
        <w:t>ing</w:t>
      </w:r>
      <w:proofErr w:type="spellEnd"/>
      <w:r>
        <w:t xml:space="preserve">] to work with Mr. Marquardt.’  Her conclusion is well taken. </w:t>
      </w:r>
      <w:hyperlink r:id="rId2665" w:history="1">
        <w:r w:rsidRPr="001F75F8">
          <w:rPr>
            <w:rStyle w:val="Hyperlink"/>
          </w:rPr>
          <w:t>https://law.justia.com/cases/federal/appellate-courts/ca6/21-3832/21-3832-2023-01-25.html</w:t>
        </w:r>
      </w:hyperlink>
      <w:r>
        <w:t xml:space="preserve"> </w:t>
      </w:r>
    </w:p>
    <w:p w14:paraId="774D0284" w14:textId="77777777" w:rsidR="008A4533" w:rsidRDefault="008A4533" w:rsidP="008A4533">
      <w:pPr>
        <w:pStyle w:val="NormalWeb"/>
        <w:ind w:left="720" w:firstLine="60"/>
      </w:pPr>
      <w:r>
        <w:t xml:space="preserve">“Eight years ago, twelve-year-old Tamir Rice was shot and killed by a police officer. What happened that day has been well documented. A 911 caller reported a ‘guy in the park with a pistol’ that was ‘probably fake.’ Dispatchers informed officers that there was a male sitting on a swing pointing a gun at </w:t>
      </w:r>
      <w:r>
        <w:lastRenderedPageBreak/>
        <w:t xml:space="preserve">people. Officers responded to the report. Within seconds of arriving at the park, one officer shot Rice. Rice's ‘pistol’ was later determined to be an airsoft gun with the orange toy markings removed. Cleveland EMS responded and transported Rice to the hospital. He died the next day from his injuries. Protestors, decrying the use of lethal force, flooded Cleveland's streets. The controversy over the shooting did not end in its immediate aftermath. Some fourteen months later, the event was once again the focus of national scrutiny when news broke that Cleveland EMS billed Rice's family $500 for his ambulance ride. </w:t>
      </w:r>
      <w:r>
        <w:rPr>
          <w:rStyle w:val="Emphasis"/>
        </w:rPr>
        <w:t>Marquardt v. Carlton</w:t>
      </w:r>
      <w:r>
        <w:t xml:space="preserve">, 971 F.3d 546, 550 (6th Cir. 2020) (citing Christine Hauser, </w:t>
      </w:r>
      <w:r>
        <w:rPr>
          <w:rStyle w:val="Emphasis"/>
        </w:rPr>
        <w:t>Cleveland Drops Attempt to Collect $500 From Tamir Rice Family</w:t>
      </w:r>
      <w:r>
        <w:t xml:space="preserve">, N.Y. Times (Feb. 11, 2016), </w:t>
      </w:r>
      <w:proofErr w:type="gramStart"/>
      <w:r>
        <w:t>https://www.nytimes.com/2016/02/12/us/cleveland-500-bill-tamir-rice-shooting.html</w:t>
      </w:r>
      <w:proofErr w:type="gramEnd"/>
      <w:r>
        <w:t xml:space="preserve"> (last accessed Jan. 23, 2023)).</w:t>
      </w:r>
    </w:p>
    <w:p w14:paraId="60668899" w14:textId="77777777" w:rsidR="008A4533" w:rsidRDefault="008A4533" w:rsidP="008A4533">
      <w:pPr>
        <w:pStyle w:val="NormalWeb"/>
        <w:ind w:left="720" w:firstLine="60"/>
      </w:pPr>
      <w:r>
        <w:t>***</w:t>
      </w:r>
    </w:p>
    <w:p w14:paraId="58933F28" w14:textId="77777777" w:rsidR="008A4533" w:rsidRDefault="008A4533" w:rsidP="008A4533">
      <w:pPr>
        <w:pStyle w:val="NormalWeb"/>
        <w:ind w:left="720" w:firstLine="60"/>
      </w:pPr>
      <w:r>
        <w:t xml:space="preserve">Just days later, two posts referring to the shooting appeared on the private Facebook page of Jamie Marquardt, a Cleveland EMS Captain. One stated, ‘Let me be the first on record to have the balls to say Tamir Rice should have been </w:t>
      </w:r>
      <w:proofErr w:type="gramStart"/>
      <w:r>
        <w:t>shot</w:t>
      </w:r>
      <w:proofErr w:type="gramEnd"/>
      <w:r>
        <w:t xml:space="preserve"> and I am glad he is dead</w:t>
      </w:r>
      <w:proofErr w:type="gramStart"/>
      <w:r>
        <w:t>.</w:t>
      </w:r>
      <w:proofErr w:type="gramEnd"/>
      <w:r>
        <w:t xml:space="preserve"> I wish I was in the park that day as he terrorized innocent patrons by pointing a gun at them walking around acting </w:t>
      </w:r>
      <w:proofErr w:type="gramStart"/>
      <w:r>
        <w:t>bad</w:t>
      </w:r>
      <w:proofErr w:type="gramEnd"/>
      <w:r>
        <w:t xml:space="preserve">. I am upset I did not get the chance to kill the little criminal fucker.’ The other said, ‘How would you feel if you were walking in the park and some ghetto rat pointed a gun </w:t>
      </w:r>
      <w:proofErr w:type="gramStart"/>
      <w:r>
        <w:t>in</w:t>
      </w:r>
      <w:proofErr w:type="gramEnd"/>
      <w:r>
        <w:t xml:space="preserve"> your face</w:t>
      </w:r>
      <w:proofErr w:type="gramStart"/>
      <w:r>
        <w:t>?</w:t>
      </w:r>
      <w:proofErr w:type="gramEnd"/>
      <w:r>
        <w:t xml:space="preserve"> Would you look to him as a hero? Cleveland sees this felony hood rat as a hero.’  Marquardt denied making the posts, deleted them, and created a new post disavowing their content.</w:t>
      </w:r>
    </w:p>
    <w:p w14:paraId="23EAB8C0" w14:textId="77777777" w:rsidR="008A4533" w:rsidRDefault="008A4533" w:rsidP="008A4533">
      <w:pPr>
        <w:pStyle w:val="NormalWeb"/>
        <w:ind w:left="720" w:firstLine="60"/>
      </w:pPr>
      <w:r>
        <w:t>***</w:t>
      </w:r>
    </w:p>
    <w:p w14:paraId="7EBE61B5" w14:textId="77777777" w:rsidR="008A4533" w:rsidRDefault="008A4533" w:rsidP="008A4533">
      <w:pPr>
        <w:pStyle w:val="NormalWeb"/>
        <w:ind w:left="720"/>
      </w:pPr>
      <w:r>
        <w:t xml:space="preserve">Two of Marquardt's co-workers, paramedics, saw the posts the morning they appeared. Both contacted EMS Captain Michael Threat. They expressed worry about Marquardt's wellbeing and the risk of "potential civil unrest" should the posts be seen by the public because there was already "a lot in the media" addressing the Rice incident. </w:t>
      </w:r>
    </w:p>
    <w:p w14:paraId="68B7534A" w14:textId="77777777" w:rsidR="008A4533" w:rsidRDefault="008A4533" w:rsidP="008A4533">
      <w:pPr>
        <w:pStyle w:val="NormalWeb"/>
        <w:ind w:left="720"/>
      </w:pPr>
      <w:r>
        <w:t xml:space="preserve">The reports made their way to EMS Commissioner Nicole Carlton. Carlton requested that the City's Office of Integrity Control investigate. During the investigation, Marquardt remained on the job, denying that he authored the posts. </w:t>
      </w:r>
    </w:p>
    <w:p w14:paraId="5C032582" w14:textId="77777777" w:rsidR="008A4533" w:rsidRDefault="008A4533" w:rsidP="008A4533">
      <w:pPr>
        <w:pStyle w:val="NormalWeb"/>
        <w:ind w:left="720"/>
      </w:pPr>
      <w:r>
        <w:t xml:space="preserve">Within three days of the posts appearing on Marquardt's Facebook page, they caught the eye of the Cleveland NAACP President, who condemned them in an article on Cleveland.com. By then, Marquardt acknowledges, the posts had become a national story. </w:t>
      </w:r>
    </w:p>
    <w:p w14:paraId="7FC2CE14" w14:textId="77777777" w:rsidR="008A4533" w:rsidRDefault="008A4533" w:rsidP="008A4533">
      <w:pPr>
        <w:pStyle w:val="NormalWeb"/>
        <w:ind w:left="720"/>
      </w:pPr>
      <w:r>
        <w:t xml:space="preserve">Roughly a month later, Carlton fired Marquardt, attributing authorship of the posts to him. By making those posts, Carlton concluded, Marquardt violated a host of policies-from EMS's mission statement, pledge to the community, and social media policy to the City's civil service commission rules. Marquardt's termination letter stated that the posts were inflammatory, caused disruption (emphasizing that Marquardt's co-workers ‘expressed concern for their own welfare and </w:t>
      </w:r>
      <w:proofErr w:type="gramStart"/>
      <w:r>
        <w:t>safety’)</w:t>
      </w:r>
      <w:proofErr w:type="gramEnd"/>
      <w:r>
        <w:t>, and cast the EMS division as ‘disrespectful of the tragedy.’</w:t>
      </w:r>
    </w:p>
    <w:p w14:paraId="6F68DE02" w14:textId="77777777" w:rsidR="008A4533" w:rsidRDefault="008A4533" w:rsidP="008A4533">
      <w:pPr>
        <w:pStyle w:val="NormalWeb"/>
        <w:ind w:left="720"/>
      </w:pPr>
      <w:r>
        <w:t>***</w:t>
      </w:r>
    </w:p>
    <w:p w14:paraId="2519DF99" w14:textId="77777777" w:rsidR="008A4533" w:rsidRDefault="008A4533" w:rsidP="008A4533">
      <w:pPr>
        <w:pStyle w:val="NormalWeb"/>
        <w:ind w:left="720"/>
      </w:pPr>
      <w:r>
        <w:t xml:space="preserve">All told, the charged speech at issue and its actual and predicted disruptive effect on the City's services tip the </w:t>
      </w:r>
      <w:r>
        <w:rPr>
          <w:rStyle w:val="Emphasis"/>
        </w:rPr>
        <w:t>Pickering</w:t>
      </w:r>
      <w:r>
        <w:t xml:space="preserve"> balance in its favor.”</w:t>
      </w:r>
    </w:p>
    <w:p w14:paraId="6CA3C792" w14:textId="77777777" w:rsidR="008A4533" w:rsidRPr="001D5000" w:rsidRDefault="008A4533" w:rsidP="008A4533">
      <w:pPr>
        <w:pStyle w:val="NormalWeb"/>
        <w:rPr>
          <w:b/>
          <w:bCs/>
        </w:rPr>
      </w:pPr>
      <w:r w:rsidRPr="001D5000">
        <w:rPr>
          <w:b/>
          <w:bCs/>
        </w:rPr>
        <w:t>Legal Lesson Learned:</w:t>
      </w:r>
      <w:r>
        <w:rPr>
          <w:b/>
          <w:bCs/>
        </w:rPr>
        <w:t xml:space="preserve"> Another career ended by stupid Facebook post. </w:t>
      </w:r>
    </w:p>
    <w:p w14:paraId="19486881" w14:textId="77777777" w:rsidR="008A4533" w:rsidRDefault="008A4533" w:rsidP="00F326E5">
      <w:pPr>
        <w:pStyle w:val="NoSpacing"/>
        <w:rPr>
          <w:rFonts w:ascii="Arial Black" w:hAnsi="Arial Black"/>
          <w:sz w:val="24"/>
          <w:szCs w:val="24"/>
        </w:rPr>
      </w:pPr>
    </w:p>
    <w:p w14:paraId="7A6DBC7D" w14:textId="77777777" w:rsidR="008A4533" w:rsidRDefault="008A4533" w:rsidP="00F326E5">
      <w:pPr>
        <w:pStyle w:val="NoSpacing"/>
        <w:rPr>
          <w:rFonts w:ascii="Arial Black" w:hAnsi="Arial Black"/>
          <w:sz w:val="24"/>
          <w:szCs w:val="24"/>
        </w:rPr>
      </w:pPr>
    </w:p>
    <w:p w14:paraId="5376902B" w14:textId="65FCB3C5" w:rsidR="008A4533" w:rsidRDefault="008A4533" w:rsidP="00F326E5">
      <w:pPr>
        <w:pStyle w:val="NoSpacing"/>
        <w:rPr>
          <w:rFonts w:ascii="Arial Black" w:hAnsi="Arial Black"/>
          <w:sz w:val="24"/>
          <w:szCs w:val="24"/>
        </w:rPr>
      </w:pPr>
      <w:r>
        <w:rPr>
          <w:rFonts w:ascii="Arial Black" w:hAnsi="Arial Black"/>
          <w:sz w:val="24"/>
          <w:szCs w:val="24"/>
        </w:rPr>
        <w:t>16-80</w:t>
      </w:r>
    </w:p>
    <w:p w14:paraId="28F382B1" w14:textId="20E98816" w:rsidR="008A4533" w:rsidRDefault="008A4533" w:rsidP="00F326E5">
      <w:pPr>
        <w:pStyle w:val="NoSpacing"/>
        <w:rPr>
          <w:rFonts w:ascii="Arial Black" w:hAnsi="Arial Black"/>
          <w:sz w:val="24"/>
          <w:szCs w:val="24"/>
        </w:rPr>
      </w:pPr>
    </w:p>
    <w:p w14:paraId="127A89A6" w14:textId="77777777" w:rsidR="008A4533" w:rsidRPr="00CE7EC2" w:rsidRDefault="008A4533" w:rsidP="008A4533">
      <w:pPr>
        <w:pStyle w:val="NormalWeb"/>
        <w:rPr>
          <w:rFonts w:ascii="Arial Black" w:hAnsi="Arial Black"/>
          <w:sz w:val="28"/>
          <w:szCs w:val="28"/>
        </w:rPr>
      </w:pPr>
      <w:r>
        <w:rPr>
          <w:rFonts w:ascii="Arial Black" w:hAnsi="Arial Black"/>
          <w:sz w:val="28"/>
          <w:szCs w:val="28"/>
        </w:rPr>
        <w:t xml:space="preserve">DC: U.S. AIR FORCE FIRE CHIEF – ALLOWED OVERTIME – FIRING REDUCED 14-DAY SUSP – LATE APPEAL BY AGENCY </w:t>
      </w:r>
    </w:p>
    <w:p w14:paraId="01FF5989" w14:textId="77777777" w:rsidR="008A4533" w:rsidRDefault="008A4533" w:rsidP="008A4533">
      <w:pPr>
        <w:pStyle w:val="NormalWeb"/>
      </w:pPr>
      <w:r>
        <w:t xml:space="preserve">On Jan. 18, 2023, in </w:t>
      </w:r>
      <w:r w:rsidRPr="009903F1">
        <w:rPr>
          <w:u w:val="single"/>
        </w:rPr>
        <w:t>Derick Eshelman v. Department of the Air Force</w:t>
      </w:r>
      <w:r>
        <w:t>, the U.S. Merit Systems Protection Board held (3 to 0; but concurring opinion) that they will not overturn the Administrative Judge’s decision since the Air Force missed filing an appeal through the e-Appeal system (only missed deadline by several minutes), without good explanation for the late filing.  The Fire Chief was assigned to a British air base, Royal Air Force (RAF) Croughton.  For three years he and other firefighters worked unauthorized overtime, at a higher rate of pay, at cost of approximately $263,000.  The Fire Chief’s supervisor sought to terminate him for conduct unbecoming an officer. The Chief acknowledged errors:  “</w:t>
      </w:r>
      <w:r w:rsidRPr="00DA4BE2">
        <w:t xml:space="preserve">Although I felt I had good reasons to work the embedded schedule, the extra money earned from the additional time worked was a benefit that was part of the decision. The money aspect made it worth doing all the extra hours and is and was simply the wrong thing to do. I </w:t>
      </w:r>
      <w:proofErr w:type="spellStart"/>
      <w:r w:rsidRPr="00DA4BE2">
        <w:t>tru</w:t>
      </w:r>
      <w:r>
        <w:t>e</w:t>
      </w:r>
      <w:r w:rsidRPr="00DA4BE2">
        <w:t>ly</w:t>
      </w:r>
      <w:proofErr w:type="spellEnd"/>
      <w:r w:rsidRPr="00DA4BE2">
        <w:t xml:space="preserve"> [sic] regret costing the Air Force </w:t>
      </w:r>
      <w:proofErr w:type="gramStart"/>
      <w:r w:rsidRPr="00DA4BE2">
        <w:t>the additional</w:t>
      </w:r>
      <w:proofErr w:type="gramEnd"/>
      <w:r w:rsidRPr="00DA4BE2">
        <w:t xml:space="preserve"> money . . . I should have listened to those around me and those trying to help get me on the right path.</w:t>
      </w:r>
      <w:r>
        <w:t xml:space="preserve">” The Board did not accept excuse for the late filing of the </w:t>
      </w:r>
      <w:proofErr w:type="gramStart"/>
      <w:r>
        <w:t>appeal, and</w:t>
      </w:r>
      <w:proofErr w:type="gramEnd"/>
      <w:r>
        <w:t xml:space="preserve"> held: “Although the agency's petition for review was untimely by mere minutes, we are not persuaded by the explanation provided. The agency's representative is familiar with the e-Appeal system, having used it throughout this appeal…. She is also familiar with the potential consequences of her untimeliness, having been sanctioned for her untimeliness below…. Nevertheless, the Board's e-Appeal logs indicate that she did not log into the system to begin the process of filing the petition for review until 11:38 p.m. on the day it was due…. Moreover, as detailed above, although the agency asserts that there were two failed attempts at filing the petition before the deadline to do so, the Board's e-Appeal logs reflect otherwise…. Accordingly, we dismiss the petition for review as untimely filed.” </w:t>
      </w:r>
      <w:hyperlink r:id="rId2666" w:history="1">
        <w:r w:rsidRPr="00D25822">
          <w:rPr>
            <w:rStyle w:val="Hyperlink"/>
          </w:rPr>
          <w:t>https://public.fastcase.com/J%2FJP6pdidelsXxEE4k%2BLMtME52xOaCaWV6UEDIP7bM8%2BFioZsbaXPEF4Uybj3YzCUfNXrAB4VqpO9mZPyOoJgEUGCgAECduXHqgYvcPti4I%3D?utm_medium=email&amp;_hsmi=226712652&amp;_hsenc=p2ANqtz--o5Z4w0RvL2X6ywspxSAhs9CG2i2QDJ7wcq_MEc7ECUlDYedCzwhXzcOpR3uJdZVvbiJhZF7E92unvtoIdalIehJ_GiA&amp;utm_content=226712652&amp;utm_source=hs_email</w:t>
        </w:r>
      </w:hyperlink>
      <w:r>
        <w:t xml:space="preserve"> </w:t>
      </w:r>
    </w:p>
    <w:p w14:paraId="3C1A8109" w14:textId="77777777" w:rsidR="008A4533" w:rsidRDefault="008A4533" w:rsidP="008A4533">
      <w:pPr>
        <w:pStyle w:val="NormalWeb"/>
      </w:pPr>
      <w:r>
        <w:t xml:space="preserve">Concurring Opinion by Member Tristan L. Leavitt made it clear she disagreed with reduced punishment.  </w:t>
      </w:r>
    </w:p>
    <w:p w14:paraId="5FD50CD0" w14:textId="77777777" w:rsidR="008A4533" w:rsidRDefault="008A4533" w:rsidP="008A4533">
      <w:pPr>
        <w:pStyle w:val="NormalWeb"/>
        <w:ind w:left="720"/>
      </w:pPr>
      <w:r>
        <w:t xml:space="preserve"> “I write separately to express my disagreement with the administrative judge's determination to mitigate the penalty of removal to a 14-day suspension.</w:t>
      </w:r>
    </w:p>
    <w:p w14:paraId="0B59708A" w14:textId="77777777" w:rsidR="008A4533" w:rsidRDefault="008A4533" w:rsidP="008A4533">
      <w:pPr>
        <w:pStyle w:val="NormalWeb"/>
        <w:ind w:left="720"/>
      </w:pPr>
      <w:r>
        <w:t>[The Fire Chief’s supervisor wrote] ‘The offense of working longer hours than authorized is a very serious one…’ He considered the appellant's supervisory role, finding ‘the level of trust required to be a manager and supervisor of other fire fighters has been tarnished significantly’ and that the appellant …cannot continue to service in the leadership role because his trustworthiness is in question.’”</w:t>
      </w:r>
    </w:p>
    <w:p w14:paraId="013F23F8" w14:textId="77777777" w:rsidR="008A4533" w:rsidRPr="008A4533" w:rsidRDefault="008A4533" w:rsidP="008A4533">
      <w:pPr>
        <w:pStyle w:val="NormalWeb"/>
        <w:rPr>
          <w:rStyle w:val="Emphasis"/>
          <w:b/>
          <w:bCs/>
          <w:i w:val="0"/>
          <w:iCs w:val="0"/>
        </w:rPr>
      </w:pPr>
      <w:r w:rsidRPr="008A4533">
        <w:rPr>
          <w:rStyle w:val="Emphasis"/>
          <w:b/>
          <w:bCs/>
          <w:i w:val="0"/>
          <w:iCs w:val="0"/>
        </w:rPr>
        <w:t>Legal Lesson Learned:  Late appeal by the U.S. Air Force representative.</w:t>
      </w:r>
    </w:p>
    <w:p w14:paraId="3A1667EB" w14:textId="089D777E" w:rsidR="008A4533" w:rsidRDefault="008A4533" w:rsidP="00F326E5">
      <w:pPr>
        <w:pStyle w:val="NoSpacing"/>
        <w:rPr>
          <w:rFonts w:ascii="Arial Black" w:hAnsi="Arial Black"/>
          <w:sz w:val="24"/>
          <w:szCs w:val="24"/>
        </w:rPr>
      </w:pPr>
    </w:p>
    <w:p w14:paraId="1BFDDD70" w14:textId="7C863EFF" w:rsidR="008A4533" w:rsidRDefault="008A4533" w:rsidP="00F326E5">
      <w:pPr>
        <w:pStyle w:val="NoSpacing"/>
        <w:rPr>
          <w:rFonts w:ascii="Arial Black" w:hAnsi="Arial Black"/>
          <w:sz w:val="24"/>
          <w:szCs w:val="24"/>
        </w:rPr>
      </w:pPr>
      <w:r>
        <w:rPr>
          <w:rFonts w:ascii="Arial Black" w:hAnsi="Arial Black"/>
          <w:sz w:val="24"/>
          <w:szCs w:val="24"/>
        </w:rPr>
        <w:t>16-79</w:t>
      </w:r>
    </w:p>
    <w:p w14:paraId="3E44D8C2" w14:textId="6ED28FAD" w:rsidR="008A4533" w:rsidRDefault="008A4533" w:rsidP="00F326E5">
      <w:pPr>
        <w:pStyle w:val="NoSpacing"/>
        <w:rPr>
          <w:rFonts w:ascii="Arial Black" w:hAnsi="Arial Black"/>
          <w:sz w:val="24"/>
          <w:szCs w:val="24"/>
        </w:rPr>
      </w:pPr>
    </w:p>
    <w:p w14:paraId="1E62A913" w14:textId="77777777" w:rsidR="008A4533" w:rsidRPr="00261417" w:rsidRDefault="008A4533" w:rsidP="008A4533">
      <w:pPr>
        <w:pStyle w:val="NormalWeb"/>
        <w:rPr>
          <w:rFonts w:ascii="Arial Black" w:hAnsi="Arial Black"/>
          <w:sz w:val="28"/>
          <w:szCs w:val="28"/>
        </w:rPr>
      </w:pPr>
      <w:r>
        <w:rPr>
          <w:rFonts w:ascii="Arial Black" w:hAnsi="Arial Black"/>
          <w:sz w:val="28"/>
          <w:szCs w:val="28"/>
        </w:rPr>
        <w:lastRenderedPageBreak/>
        <w:t>NJ: FF DISPUTE WITH ANOTHER FF – FIRED GUN INTO APARTMENT DOOR –TERMINATION UPHELD, LATE APPEAL</w:t>
      </w:r>
    </w:p>
    <w:p w14:paraId="49FCF174" w14:textId="77777777" w:rsidR="008A4533" w:rsidRDefault="008A4533" w:rsidP="008A4533">
      <w:pPr>
        <w:pStyle w:val="ekqk"/>
      </w:pPr>
      <w:r>
        <w:t xml:space="preserve">On Jan. 9, 2023, </w:t>
      </w:r>
      <w:r w:rsidRPr="00261417">
        <w:rPr>
          <w:u w:val="single"/>
        </w:rPr>
        <w:t xml:space="preserve">In The Matter Of </w:t>
      </w:r>
      <w:proofErr w:type="spellStart"/>
      <w:r w:rsidRPr="00261417">
        <w:rPr>
          <w:u w:val="single"/>
        </w:rPr>
        <w:t>Gamill</w:t>
      </w:r>
      <w:proofErr w:type="spellEnd"/>
      <w:r w:rsidRPr="00261417">
        <w:rPr>
          <w:u w:val="single"/>
        </w:rPr>
        <w:t xml:space="preserve"> Haidara, City of Newark, Fire Department</w:t>
      </w:r>
      <w:r>
        <w:t xml:space="preserve">, the Superior Court of New Jersey, Appellate Division, held (2 to 0) that the Civil Service Commission properly refused to hear his request for a hearing – he and his attorney failed to timely file the request.  After his arrest on March 1, </w:t>
      </w:r>
      <w:proofErr w:type="gramStart"/>
      <w:r>
        <w:t>2016</w:t>
      </w:r>
      <w:proofErr w:type="gramEnd"/>
      <w:r>
        <w:t xml:space="preserve"> for firing gun through apartment door of another Newark firefighter [see below article], he was suspended without pay and eventually terminated. He had 21 days (Aug. 13, 2018) to file his request for a hearing with the city’s Civil Service Commission; he retained an attorney and then left the country to help an ailing relative.  Upon return to USA on Sept. 16, 2018, he learned that no request for a hearing was ever filed; he retained another attorney who sought unsuccessfully to negotiate a return-to-work agreement, and didn’t file a request for hearing until May 30, 2019; it was denied by the Commission on July 1, 2019; subsequent request for reconsideration was also denied. The Court of Appeals agreed with the Commission. “On the facts presented here, Haidara's two-year delay in filing for reconsideration prejudiced the </w:t>
      </w:r>
      <w:proofErr w:type="gramStart"/>
      <w:r>
        <w:t>City</w:t>
      </w:r>
      <w:proofErr w:type="gramEnd"/>
      <w:r>
        <w:t xml:space="preserve">, thereby precluding a finding of good cause.” </w:t>
      </w:r>
      <w:hyperlink r:id="rId2667" w:history="1">
        <w:r w:rsidRPr="00346E6A">
          <w:rPr>
            <w:rStyle w:val="Hyperlink"/>
          </w:rPr>
          <w:t>https://www.njcourts.gov/sites/default/files/court-opinions/2023/a3688-20.pdf</w:t>
        </w:r>
      </w:hyperlink>
      <w:r>
        <w:t xml:space="preserve"> </w:t>
      </w:r>
    </w:p>
    <w:p w14:paraId="07C7C7C9" w14:textId="77777777" w:rsidR="008A4533" w:rsidRPr="00373FBE" w:rsidRDefault="008A4533" w:rsidP="008A4533">
      <w:pPr>
        <w:pStyle w:val="ekqk"/>
        <w:ind w:left="720"/>
        <w:rPr>
          <w:sz w:val="20"/>
          <w:szCs w:val="20"/>
        </w:rPr>
      </w:pPr>
      <w:r>
        <w:t xml:space="preserve">See March 2, </w:t>
      </w:r>
      <w:proofErr w:type="gramStart"/>
      <w:r>
        <w:t>2016</w:t>
      </w:r>
      <w:proofErr w:type="gramEnd"/>
      <w:r>
        <w:t xml:space="preserve"> article about his arrest: “</w:t>
      </w:r>
      <w:r w:rsidRPr="00373FBE">
        <w:rPr>
          <w:b/>
          <w:bCs/>
        </w:rPr>
        <w:t>At-home dispute between Newark firefighters end in gunfire, arrest</w:t>
      </w:r>
      <w:r>
        <w:rPr>
          <w:b/>
          <w:bCs/>
        </w:rPr>
        <w:t>.”</w:t>
      </w:r>
      <w:r w:rsidRPr="00373FBE">
        <w:rPr>
          <w:b/>
          <w:bCs/>
        </w:rPr>
        <w:t xml:space="preserve"> </w:t>
      </w:r>
      <w:hyperlink r:id="rId2668" w:history="1">
        <w:r w:rsidRPr="00373FBE">
          <w:rPr>
            <w:rStyle w:val="Hyperlink"/>
          </w:rPr>
          <w:t>https://abc7ny.com/newark-firefighters-firefighter-arrest-gunfire/1228031/</w:t>
        </w:r>
      </w:hyperlink>
      <w:r w:rsidRPr="00373FBE">
        <w:rPr>
          <w:sz w:val="20"/>
          <w:szCs w:val="20"/>
        </w:rPr>
        <w:t xml:space="preserve"> </w:t>
      </w:r>
    </w:p>
    <w:p w14:paraId="164818ED" w14:textId="77777777" w:rsidR="008A4533" w:rsidRDefault="008A4533" w:rsidP="008A4533">
      <w:pPr>
        <w:pStyle w:val="ekqk"/>
        <w:ind w:left="720"/>
      </w:pPr>
      <w:r>
        <w:t>“NEWARK, New Jersey -- Newark authorities say a dispute between two city firefighters at a home where they both live ended with one firing a shot through the other man's apartment door. Gamil Haidara faces several weapons charges. He's been suspended without pay. Authorities say the firefighters live in separate apartments at the Clifton Avenue home. They were arguing late Tuesday night when Haidara allegedly pulled out a gun. The victim ran into his apartment, and authorities say Haidara eventually fired one shot into the door before fleeing the building. Two police officers who happened to be in the area saw Haidara running with a gun in his hand. He was soon arrested. Haidara has been a city firefighter for eight years. Authorities say he was being treated at a hospital for ‘unspecified symptoms,’ but declined further comment. It wasn't known Wednesday if he's retained an attorney.”</w:t>
      </w:r>
    </w:p>
    <w:p w14:paraId="66F10AB2" w14:textId="77777777" w:rsidR="008A4533" w:rsidRPr="00174DB6" w:rsidRDefault="008A4533" w:rsidP="008A4533">
      <w:pPr>
        <w:pStyle w:val="ekqk"/>
        <w:rPr>
          <w:b/>
          <w:bCs/>
        </w:rPr>
      </w:pPr>
      <w:r w:rsidRPr="00174DB6">
        <w:rPr>
          <w:b/>
          <w:bCs/>
        </w:rPr>
        <w:t>Legal Lesson Learned</w:t>
      </w:r>
      <w:r>
        <w:rPr>
          <w:b/>
          <w:bCs/>
        </w:rPr>
        <w:t xml:space="preserve">: Termination for firing </w:t>
      </w:r>
      <w:proofErr w:type="gramStart"/>
      <w:r>
        <w:rPr>
          <w:b/>
          <w:bCs/>
        </w:rPr>
        <w:t>gun</w:t>
      </w:r>
      <w:proofErr w:type="gramEnd"/>
      <w:r>
        <w:rPr>
          <w:b/>
          <w:bCs/>
        </w:rPr>
        <w:t xml:space="preserve"> through apartment door is highly likely going to result in termination. </w:t>
      </w:r>
    </w:p>
    <w:p w14:paraId="5DFCB6D4" w14:textId="77777777" w:rsidR="00D55B6E" w:rsidRDefault="00D55B6E" w:rsidP="00F326E5">
      <w:pPr>
        <w:pStyle w:val="NoSpacing"/>
        <w:rPr>
          <w:rFonts w:ascii="Arial Black" w:hAnsi="Arial Black"/>
          <w:sz w:val="24"/>
          <w:szCs w:val="24"/>
        </w:rPr>
      </w:pPr>
    </w:p>
    <w:p w14:paraId="1EDED03E" w14:textId="0891D749" w:rsidR="008A4533" w:rsidRDefault="008A4533" w:rsidP="00F326E5">
      <w:pPr>
        <w:pStyle w:val="NoSpacing"/>
        <w:rPr>
          <w:rFonts w:ascii="Arial Black" w:hAnsi="Arial Black"/>
          <w:sz w:val="24"/>
          <w:szCs w:val="24"/>
        </w:rPr>
      </w:pPr>
      <w:r>
        <w:rPr>
          <w:rFonts w:ascii="Arial Black" w:hAnsi="Arial Black"/>
          <w:sz w:val="24"/>
          <w:szCs w:val="24"/>
        </w:rPr>
        <w:t>16-78</w:t>
      </w:r>
    </w:p>
    <w:p w14:paraId="65B76E9B" w14:textId="77777777" w:rsidR="008A4533" w:rsidRPr="00265C24" w:rsidRDefault="008A4533" w:rsidP="008A4533">
      <w:pPr>
        <w:pStyle w:val="NormalWeb"/>
        <w:rPr>
          <w:rFonts w:ascii="Arial Black" w:hAnsi="Arial Black"/>
          <w:sz w:val="28"/>
          <w:szCs w:val="28"/>
        </w:rPr>
      </w:pPr>
      <w:r>
        <w:rPr>
          <w:rFonts w:ascii="Arial Black" w:hAnsi="Arial Black"/>
          <w:sz w:val="28"/>
          <w:szCs w:val="28"/>
        </w:rPr>
        <w:t>CT: FF FIRED FIGHT IN STATION - ARRESTED – “HOSTILE WORKPLACE” CLAIM LACKS SPECIFICS – CAN REFILE</w:t>
      </w:r>
    </w:p>
    <w:p w14:paraId="491B2340" w14:textId="77777777" w:rsidR="008A4533" w:rsidRDefault="008A4533" w:rsidP="008A4533">
      <w:pPr>
        <w:pStyle w:val="NormalWeb"/>
      </w:pPr>
      <w:r>
        <w:t xml:space="preserve">On Jan. 6, 2023, in </w:t>
      </w:r>
      <w:r w:rsidRPr="00265C24">
        <w:rPr>
          <w:u w:val="single"/>
        </w:rPr>
        <w:t>Michael Apatow v. Town of Stratford, et al</w:t>
      </w:r>
      <w:r>
        <w:t>., U.S. District Court Judge Janet C. Hall, U.S. District Court for District of Connecticut, granted the defense motion to dismiss.  The firefighter alleges he has PTSD from hostilities from fellow firefighters.  After 13 years on the FD, he was fired on Dec. 20, 2018.  He was arrested and fired for another incident where a firefighter “hid essential components of the plaintiff's fire safety gear…. While tensions were high, another firefighter intervened and cornered Apatow…. This intimidation ‘</w:t>
      </w:r>
      <w:proofErr w:type="spellStart"/>
      <w:r>
        <w:t>forc</w:t>
      </w:r>
      <w:proofErr w:type="spellEnd"/>
      <w:r>
        <w:t xml:space="preserve">[ed Apatow]’ to defend himself.”  Judge held: “However, there are no allegations that the defendants lied to police or made a false report to induce Apatow's arrest. Indeed, Apatow readily admits that he participated in a physical altercation with a colleague…which appears to be the grounds for the call to police, his arrest, and his prosecution… Additionally, if Apatow is alleging that the circumstances of his termination - including the call to police, his arrest, and his subsequent prosecution-were extreme and outrageous, his claim </w:t>
      </w:r>
      <w:r>
        <w:lastRenderedPageBreak/>
        <w:t xml:space="preserve">also fails. ‘Connecticut courts have held that a report to the police typically does not constitute the type of ‘extreme and outrageous' conduct necessary to support a claim for intentional infliction of emotional distress.” </w:t>
      </w:r>
      <w:hyperlink r:id="rId2669" w:history="1">
        <w:r w:rsidRPr="00D25822">
          <w:rPr>
            <w:rStyle w:val="Hyperlink"/>
          </w:rPr>
          <w:t>https://public.fastcase.com/J%2FJP6pdidelsXxEE4k%2BLMvAA4wdVAozHclcXP6KMfdj8CYqWYkZ5IhtTDMjNxRFWt37yGVInB8Zz%2FIGBMgeG32vITwI53h9KaHKQGHtOktA%3D?utm_medium=email&amp;_hsmi=226712652&amp;_hsenc=p2ANqtz-_Mw2AEs2jMeK8CMsm-FXL9B_q1HIVWLrxWyxNhgUshAzXtvMAG3R8e40Q3eYuBvp5AUcCDxAlMrpInvyyHAC9DF5hGYw&amp;utm_content=226712652&amp;utm_source=hs_email</w:t>
        </w:r>
      </w:hyperlink>
      <w:r>
        <w:t xml:space="preserve"> </w:t>
      </w:r>
    </w:p>
    <w:p w14:paraId="3124259E" w14:textId="77777777" w:rsidR="008A4533" w:rsidRDefault="008A4533" w:rsidP="008A4533">
      <w:pPr>
        <w:pStyle w:val="NormalWeb"/>
      </w:pPr>
      <w:r>
        <w:t xml:space="preserve">Plaintiff alleges hostile workplace; given 21 days to refile with more details. </w:t>
      </w:r>
    </w:p>
    <w:p w14:paraId="52C3F04B" w14:textId="77777777" w:rsidR="008A4533" w:rsidRDefault="008A4533" w:rsidP="008A4533">
      <w:pPr>
        <w:pStyle w:val="NormalWeb"/>
        <w:ind w:left="720"/>
      </w:pPr>
      <w:r>
        <w:t xml:space="preserve">His “time with the SFD was also marred by epithets from his fellow firefighters in reference to his girlfriend's Black son as well as a working environment that was generally ‘exceedingly hostile and intimidating….’ Heated arguments were a regular occurrence in the firehouse, and these disagreements were known to escalate to violence… On one occasion, a colleague threw a wooden cutting board in a ‘frisbee-like’ manner at the plaintiff.  Apatow attempted to file a written complaint about the incident, but it was refused by the Assistant Chief, who directed him instead to ‘go out back and fight, fight it out….’ The firefighter who flung the cutting board at Apatow faced no disciplinary action, and supervisors at the SFD took ‘no steps’ to ameliorate the hostility among the firefighters…. The state of the work environment induced Post Traumatic Stress </w:t>
      </w:r>
      <w:proofErr w:type="gramStart"/>
      <w:r>
        <w:t>Disorder (‘</w:t>
      </w:r>
      <w:proofErr w:type="gramEnd"/>
      <w:r>
        <w:t xml:space="preserve">PTSD’) and cardiac distress for </w:t>
      </w:r>
      <w:proofErr w:type="gramStart"/>
      <w:r>
        <w:t>Apatow.”</w:t>
      </w:r>
      <w:proofErr w:type="gramEnd"/>
    </w:p>
    <w:p w14:paraId="41E65B8A" w14:textId="77777777" w:rsidR="008A4533" w:rsidRDefault="008A4533" w:rsidP="008A4533">
      <w:pPr>
        <w:pStyle w:val="NormalWeb"/>
        <w:ind w:left="720"/>
      </w:pPr>
      <w:r>
        <w:t>***</w:t>
      </w:r>
    </w:p>
    <w:p w14:paraId="3D52A55C" w14:textId="77777777" w:rsidR="008A4533" w:rsidRDefault="008A4533" w:rsidP="008A4533">
      <w:pPr>
        <w:pStyle w:val="NormalWeb"/>
        <w:ind w:left="720"/>
      </w:pPr>
      <w:r>
        <w:t xml:space="preserve">“The Complaint does not provide detail on the incident that the defendants allege led to Apatow's firing-noting only that the plaintiff was forced to ‘defendant [sic] himself,’ </w:t>
      </w:r>
    </w:p>
    <w:p w14:paraId="269E874D" w14:textId="77777777" w:rsidR="008A4533" w:rsidRDefault="008A4533" w:rsidP="008A4533">
      <w:pPr>
        <w:pStyle w:val="NormalWeb"/>
        <w:ind w:left="720"/>
      </w:pPr>
      <w:r>
        <w:t>***</w:t>
      </w:r>
    </w:p>
    <w:p w14:paraId="2AB95663" w14:textId="77777777" w:rsidR="008A4533" w:rsidRDefault="008A4533" w:rsidP="008A4533">
      <w:pPr>
        <w:pStyle w:val="NormalWeb"/>
        <w:ind w:left="720"/>
      </w:pPr>
      <w:r>
        <w:t>It is unclear from the Complaint and Apatow's Memorandum in Opposition precisely what conduct he alleges is extreme and outrageous. If Apatow intends to assert that it was the discrimination and retaliation he experienced at SFD, his claim fails.</w:t>
      </w:r>
    </w:p>
    <w:p w14:paraId="2333DD66" w14:textId="77777777" w:rsidR="008A4533" w:rsidRDefault="008A4533" w:rsidP="008A4533">
      <w:pPr>
        <w:pStyle w:val="NormalWeb"/>
        <w:ind w:left="720"/>
      </w:pPr>
      <w:r>
        <w:t>***</w:t>
      </w:r>
    </w:p>
    <w:p w14:paraId="17C145D5" w14:textId="77777777" w:rsidR="008A4533" w:rsidRDefault="008A4533" w:rsidP="008A4533">
      <w:pPr>
        <w:pStyle w:val="NormalWeb"/>
        <w:ind w:left="720"/>
      </w:pPr>
      <w:r>
        <w:t xml:space="preserve">Additionally, if Apatow is alleging that the circumstances of his termination- including the call to police, his arrest, and his subsequent prosecution-were extreme and outrageous, his claim also </w:t>
      </w:r>
      <w:proofErr w:type="gramStart"/>
      <w:r>
        <w:t>fails.”</w:t>
      </w:r>
      <w:proofErr w:type="gramEnd"/>
    </w:p>
    <w:p w14:paraId="6CA0C38F" w14:textId="77777777" w:rsidR="008A4533" w:rsidRPr="00EC4449" w:rsidRDefault="008A4533" w:rsidP="008A4533">
      <w:pPr>
        <w:pStyle w:val="NormalWeb"/>
        <w:rPr>
          <w:b/>
          <w:bCs/>
        </w:rPr>
      </w:pPr>
      <w:r w:rsidRPr="00EC4449">
        <w:rPr>
          <w:b/>
          <w:bCs/>
        </w:rPr>
        <w:t xml:space="preserve">Legal Lesson Learned: </w:t>
      </w:r>
      <w:r>
        <w:rPr>
          <w:b/>
          <w:bCs/>
        </w:rPr>
        <w:t>FD may call police for an assault by a firefighter.</w:t>
      </w:r>
    </w:p>
    <w:p w14:paraId="00AF7210" w14:textId="77777777" w:rsidR="008A4533" w:rsidRDefault="008A4533" w:rsidP="00F326E5">
      <w:pPr>
        <w:pStyle w:val="NoSpacing"/>
        <w:rPr>
          <w:rFonts w:ascii="Arial Black" w:hAnsi="Arial Black"/>
          <w:sz w:val="24"/>
          <w:szCs w:val="24"/>
        </w:rPr>
      </w:pPr>
    </w:p>
    <w:p w14:paraId="24E5C927" w14:textId="77777777" w:rsidR="008A4533" w:rsidRDefault="008A4533" w:rsidP="00F326E5">
      <w:pPr>
        <w:pStyle w:val="NoSpacing"/>
        <w:rPr>
          <w:rFonts w:ascii="Arial Black" w:hAnsi="Arial Black"/>
          <w:sz w:val="24"/>
          <w:szCs w:val="24"/>
        </w:rPr>
      </w:pPr>
    </w:p>
    <w:p w14:paraId="0F0729F3" w14:textId="77777777" w:rsidR="008A4533" w:rsidRDefault="008A4533" w:rsidP="00F326E5">
      <w:pPr>
        <w:pStyle w:val="NoSpacing"/>
        <w:rPr>
          <w:rFonts w:ascii="Arial Black" w:hAnsi="Arial Black"/>
          <w:sz w:val="24"/>
          <w:szCs w:val="24"/>
        </w:rPr>
      </w:pPr>
    </w:p>
    <w:p w14:paraId="1CC312D7" w14:textId="723C5148" w:rsidR="00F31C1B" w:rsidRDefault="00F31C1B" w:rsidP="00F326E5">
      <w:pPr>
        <w:pStyle w:val="NoSpacing"/>
        <w:rPr>
          <w:rFonts w:ascii="Arial Black" w:hAnsi="Arial Black"/>
          <w:sz w:val="24"/>
          <w:szCs w:val="24"/>
        </w:rPr>
      </w:pPr>
      <w:r>
        <w:rPr>
          <w:rFonts w:ascii="Arial Black" w:hAnsi="Arial Black"/>
          <w:sz w:val="24"/>
          <w:szCs w:val="24"/>
        </w:rPr>
        <w:t>16-77</w:t>
      </w:r>
    </w:p>
    <w:p w14:paraId="345D3183" w14:textId="044A0562" w:rsidR="00F31C1B" w:rsidRDefault="00F31C1B" w:rsidP="00F31C1B">
      <w:pPr>
        <w:pStyle w:val="NormalWeb"/>
        <w:rPr>
          <w:rFonts w:ascii="Arial Black" w:hAnsi="Arial Black"/>
          <w:b/>
          <w:bCs/>
          <w:sz w:val="28"/>
          <w:szCs w:val="28"/>
        </w:rPr>
      </w:pPr>
      <w:r>
        <w:rPr>
          <w:rFonts w:ascii="Arial Black" w:hAnsi="Arial Black"/>
          <w:b/>
          <w:bCs/>
          <w:sz w:val="28"/>
          <w:szCs w:val="28"/>
        </w:rPr>
        <w:t>NM: LT. DISCIPLINED FOR “PUSHING HIS RELIGION” – WORKPLACE HOSTILITY NOT SEVERE AND PERVASIVE</w:t>
      </w:r>
    </w:p>
    <w:p w14:paraId="7641358B" w14:textId="77777777" w:rsidR="00F31C1B" w:rsidRDefault="00F31C1B" w:rsidP="00F31C1B">
      <w:pPr>
        <w:pStyle w:val="NormalWeb"/>
      </w:pPr>
      <w:r>
        <w:t xml:space="preserve">On Nov. 30, 2022, in </w:t>
      </w:r>
      <w:r w:rsidRPr="00817A36">
        <w:rPr>
          <w:u w:val="single"/>
        </w:rPr>
        <w:t>Ryan S. Lucero v. City of Albuquerque</w:t>
      </w:r>
      <w:r>
        <w:t xml:space="preserve">, the Court of Appeals of New Mexico held (3 to 0) that trial court properly granted summary judgment for the city; the plaintiff was not disciplined for being a </w:t>
      </w:r>
      <w:r>
        <w:lastRenderedPageBreak/>
        <w:t xml:space="preserve">“conservative pro-Christian” but instead for his “pushing his politics and religion on people” while at work and his confrontation with his Captain at Station 5.     </w:t>
      </w:r>
    </w:p>
    <w:p w14:paraId="3EB01639" w14:textId="77777777" w:rsidR="00F31C1B" w:rsidRDefault="00F31C1B" w:rsidP="00F31C1B">
      <w:pPr>
        <w:pStyle w:val="NormalWeb"/>
        <w:ind w:left="720"/>
      </w:pPr>
      <w:r>
        <w:t>“Lucero further maintains that in May 2016, after he was promoted to lieutenant and assigned to Station 5, his captain, A.B., ‘made jokes behind [his] back.’ As proof that his treatment at Station 5 was based on religious animus, Lucero cites an incident with A.B. in June 2016. According to his deposition testimony, Lucero went to A.B.'s office to ask why there was friction between them. A.B.'s response was that he did not like how Lucero ‘push[ed] his politics and religion on people.’ After that, according to Lucero's affidavit, A.</w:t>
      </w:r>
      <w:proofErr w:type="gramStart"/>
      <w:r>
        <w:t>B. ‘</w:t>
      </w:r>
      <w:proofErr w:type="gramEnd"/>
      <w:r>
        <w:t>grabbed [him] and threw [him] against the wall.’</w:t>
      </w:r>
    </w:p>
    <w:p w14:paraId="045164F3" w14:textId="77777777" w:rsidR="00F31C1B" w:rsidRDefault="00F31C1B" w:rsidP="00F31C1B">
      <w:pPr>
        <w:pStyle w:val="NormalWeb"/>
        <w:ind w:left="720"/>
      </w:pPr>
      <w:r>
        <w:t xml:space="preserve">*** </w:t>
      </w:r>
    </w:p>
    <w:p w14:paraId="419A6265" w14:textId="77777777" w:rsidR="00F31C1B" w:rsidRDefault="00F31C1B" w:rsidP="00F31C1B">
      <w:pPr>
        <w:pStyle w:val="NormalWeb"/>
        <w:ind w:left="720"/>
      </w:pPr>
      <w:r>
        <w:t xml:space="preserve">In support of his retaliation claims, Lucero maintains that he was subjected to various retaliatory actions by the </w:t>
      </w:r>
      <w:proofErr w:type="gramStart"/>
      <w:r>
        <w:t>City</w:t>
      </w:r>
      <w:proofErr w:type="gramEnd"/>
      <w:r>
        <w:t xml:space="preserve"> following his report of the June incident to his area commander, in which he expressed his belief that he was being treated differently because of his religion. Such actions included being placed in a floating position and being denied opportunities for overtime and a transfer to his desired station.</w:t>
      </w:r>
    </w:p>
    <w:p w14:paraId="5ABD854C" w14:textId="77777777" w:rsidR="00F31C1B" w:rsidRDefault="00F31C1B" w:rsidP="00F31C1B">
      <w:pPr>
        <w:pStyle w:val="NormalWeb"/>
        <w:ind w:left="720"/>
      </w:pPr>
      <w:r>
        <w:t>***</w:t>
      </w:r>
    </w:p>
    <w:p w14:paraId="4351CE1E" w14:textId="33AF8ED3" w:rsidR="00F31C1B" w:rsidRPr="00F31C1B" w:rsidRDefault="00F31C1B" w:rsidP="00F31C1B">
      <w:pPr>
        <w:pStyle w:val="NoSpacing"/>
        <w:ind w:left="720"/>
        <w:rPr>
          <w:rFonts w:ascii="Times New Roman" w:hAnsi="Times New Roman"/>
          <w:sz w:val="24"/>
          <w:szCs w:val="24"/>
        </w:rPr>
      </w:pPr>
      <w:r w:rsidRPr="00F31C1B">
        <w:rPr>
          <w:rFonts w:ascii="Times New Roman" w:hAnsi="Times New Roman"/>
          <w:sz w:val="24"/>
          <w:szCs w:val="24"/>
        </w:rPr>
        <w:t xml:space="preserve">As relevant here, to make out a hostile work environment claim, Lucero must make two basic showings…. </w:t>
      </w:r>
      <w:proofErr w:type="gramStart"/>
      <w:r w:rsidRPr="00F31C1B">
        <w:rPr>
          <w:rFonts w:ascii="Times New Roman" w:hAnsi="Times New Roman"/>
          <w:sz w:val="24"/>
          <w:szCs w:val="24"/>
        </w:rPr>
        <w:t>First, that</w:t>
      </w:r>
      <w:proofErr w:type="gramEnd"/>
      <w:r w:rsidRPr="00F31C1B">
        <w:rPr>
          <w:rFonts w:ascii="Times New Roman" w:hAnsi="Times New Roman"/>
          <w:sz w:val="24"/>
          <w:szCs w:val="24"/>
        </w:rPr>
        <w:t xml:space="preserve"> he was subjected to an objectively and subjectively hostile work environment.... </w:t>
      </w:r>
      <w:r w:rsidRPr="00F31C1B">
        <w:rPr>
          <w:rStyle w:val="Emphasis"/>
          <w:rFonts w:ascii="Times New Roman" w:hAnsi="Times New Roman"/>
          <w:sz w:val="24"/>
          <w:szCs w:val="24"/>
        </w:rPr>
        <w:t>See id.</w:t>
      </w:r>
      <w:r w:rsidRPr="00F31C1B">
        <w:rPr>
          <w:rFonts w:ascii="Times New Roman" w:hAnsi="Times New Roman"/>
          <w:sz w:val="24"/>
          <w:szCs w:val="24"/>
        </w:rPr>
        <w:t xml:space="preserve">; </w:t>
      </w:r>
      <w:r w:rsidRPr="00F31C1B">
        <w:rPr>
          <w:rStyle w:val="Emphasis"/>
          <w:rFonts w:ascii="Times New Roman" w:hAnsi="Times New Roman"/>
          <w:sz w:val="24"/>
          <w:szCs w:val="24"/>
        </w:rPr>
        <w:t>see also Herald v. Bd. of Regents of Univ. of N.M.</w:t>
      </w:r>
      <w:r w:rsidRPr="00F31C1B">
        <w:rPr>
          <w:rFonts w:ascii="Times New Roman" w:hAnsi="Times New Roman"/>
          <w:sz w:val="24"/>
          <w:szCs w:val="24"/>
        </w:rPr>
        <w:t xml:space="preserve">, 2015-NMCA-104, ¶ 53, 357 P.3d 438 (providing that, to make out a hostile work environment claim, the harassing conduct must be ‘so severe and pervasive that the workplace is transformed into a hostile and abusive environment for the employee’….  Second, that the harassing conduct was based on his religion…. We accordingly affirm the district court's grant of summary judgment on Lucero's religious discrimination claim.” </w:t>
      </w:r>
      <w:hyperlink r:id="rId2670" w:history="1">
        <w:r w:rsidRPr="00F31C1B">
          <w:rPr>
            <w:rStyle w:val="Hyperlink"/>
            <w:rFonts w:ascii="Times New Roman" w:eastAsiaTheme="majorEastAsia" w:hAnsi="Times New Roman"/>
            <w:sz w:val="24"/>
            <w:szCs w:val="24"/>
          </w:rPr>
          <w:t>https://public.fastcase.com/J%2FJP6pdidelsXxEE4k%2BLMpGubXoiBI9N5c5PiCjiKje3s5hlj34tgYA4JUqhEnHu5%2B5A2YVGp5a5q0QWGlZ62xJPhOyoXNaYGEvkYwXaoTE%3D?utm_medium=email&amp;_hsmi=226712652&amp;_hsenc=p2ANqtz-8eQQAtjUmF0fegxTEoYBNzAO-SWgh5MKAZ8ooS_Vj6VgR_AfS9P2NoltKqIQKTjr9fMeFfYMtr9y658qMKNZJxq-ULqA&amp;utm_content=226712652&amp;utm_source=hs_email</w:t>
        </w:r>
      </w:hyperlink>
    </w:p>
    <w:p w14:paraId="3008616D" w14:textId="77777777" w:rsidR="00F31C1B" w:rsidRDefault="00F31C1B" w:rsidP="00F326E5">
      <w:pPr>
        <w:pStyle w:val="NoSpacing"/>
        <w:rPr>
          <w:rFonts w:ascii="Arial Black" w:hAnsi="Arial Black"/>
          <w:sz w:val="24"/>
          <w:szCs w:val="24"/>
        </w:rPr>
      </w:pPr>
    </w:p>
    <w:p w14:paraId="2ED991EB" w14:textId="77777777" w:rsidR="00F31C1B" w:rsidRPr="00F46331" w:rsidRDefault="00F31C1B" w:rsidP="00F31C1B">
      <w:pPr>
        <w:pStyle w:val="NormalWeb"/>
        <w:rPr>
          <w:b/>
          <w:bCs/>
        </w:rPr>
      </w:pPr>
      <w:r w:rsidRPr="00F46331">
        <w:rPr>
          <w:b/>
          <w:bCs/>
        </w:rPr>
        <w:t>Legal Lesson Learned:</w:t>
      </w:r>
      <w:r>
        <w:rPr>
          <w:b/>
          <w:bCs/>
        </w:rPr>
        <w:t xml:space="preserve"> Hostile work atmosphere claim requires proof of “severe” workplace environment. </w:t>
      </w:r>
    </w:p>
    <w:p w14:paraId="6BBFC075" w14:textId="77777777" w:rsidR="00F31C1B" w:rsidRDefault="00F31C1B" w:rsidP="00F31C1B">
      <w:pPr>
        <w:pStyle w:val="NormalWeb"/>
      </w:pPr>
      <w:r>
        <w:tab/>
        <w:t>Note: Court in Footnote 2 referenced plaintiff watching Fox News.</w:t>
      </w:r>
    </w:p>
    <w:p w14:paraId="36472B69" w14:textId="77777777" w:rsidR="00F31C1B" w:rsidRPr="00F46331" w:rsidRDefault="00F31C1B" w:rsidP="00F31C1B">
      <w:pPr>
        <w:pStyle w:val="NormalWeb"/>
        <w:ind w:left="720"/>
        <w:rPr>
          <w:b/>
          <w:bCs/>
        </w:rPr>
      </w:pPr>
      <w:r>
        <w:t>“</w:t>
      </w:r>
      <w:r w:rsidRPr="00F46331">
        <w:t xml:space="preserve">Although Lucero additionally asserts, in an affidavit he submitted in his response to the City's motion for summary judgment, that A.B. criticized him for watching a </w:t>
      </w:r>
      <w:r>
        <w:t>‘</w:t>
      </w:r>
      <w:r w:rsidRPr="00F46331">
        <w:t>conservative, pro-Christian news channel,</w:t>
      </w:r>
      <w:r>
        <w:t>’</w:t>
      </w:r>
      <w:r w:rsidRPr="00F46331">
        <w:t xml:space="preserve"> he does not rely on A.B.'s criticism of Lucero's news source as proof of religious animus. Moreover, the news source Lucero cites is apparently Fox News. In his deposition, Lucero agreed that </w:t>
      </w:r>
      <w:r>
        <w:t>‘</w:t>
      </w:r>
      <w:r w:rsidRPr="00F46331">
        <w:t>Fox News is a well-known Republican-affiliated news source</w:t>
      </w:r>
      <w:r>
        <w:t xml:space="preserve">’ </w:t>
      </w:r>
      <w:r w:rsidRPr="00F46331">
        <w:t xml:space="preserve">and testified that A.B.'s disapproval of Lucero watching Fox News was political, not religious. We observe that, although Lucero alleged discrimination based on </w:t>
      </w:r>
      <w:r>
        <w:t>‘</w:t>
      </w:r>
      <w:r w:rsidRPr="00F46331">
        <w:t>political views</w:t>
      </w:r>
      <w:r>
        <w:t>’</w:t>
      </w:r>
      <w:r w:rsidRPr="00F46331">
        <w:t xml:space="preserve"> in his administrative grievance, he did not advance such a claim in his complaint in district court, nor did he raise any claim based on the First Amendment to the United States Constitution. We therefore disregard his assertions concerning the news channel.</w:t>
      </w:r>
      <w:r>
        <w:t>”</w:t>
      </w:r>
    </w:p>
    <w:p w14:paraId="377023A8" w14:textId="77777777" w:rsidR="00F31C1B" w:rsidRDefault="00F31C1B" w:rsidP="00F326E5">
      <w:pPr>
        <w:pStyle w:val="NoSpacing"/>
        <w:rPr>
          <w:rFonts w:ascii="Arial Black" w:hAnsi="Arial Black"/>
          <w:sz w:val="24"/>
          <w:szCs w:val="24"/>
        </w:rPr>
      </w:pPr>
    </w:p>
    <w:p w14:paraId="0B2F40E7" w14:textId="77777777" w:rsidR="00F31C1B" w:rsidRDefault="00F31C1B" w:rsidP="00F326E5">
      <w:pPr>
        <w:pStyle w:val="NoSpacing"/>
        <w:rPr>
          <w:rFonts w:ascii="Arial Black" w:hAnsi="Arial Black"/>
          <w:sz w:val="24"/>
          <w:szCs w:val="24"/>
        </w:rPr>
      </w:pPr>
    </w:p>
    <w:p w14:paraId="4065D204" w14:textId="7376E746" w:rsidR="00F31C1B" w:rsidRDefault="00F31C1B" w:rsidP="00F326E5">
      <w:pPr>
        <w:pStyle w:val="NoSpacing"/>
        <w:rPr>
          <w:rFonts w:ascii="Arial Black" w:hAnsi="Arial Black"/>
          <w:sz w:val="24"/>
          <w:szCs w:val="24"/>
        </w:rPr>
      </w:pPr>
      <w:r>
        <w:rPr>
          <w:rFonts w:ascii="Arial Black" w:hAnsi="Arial Black"/>
          <w:sz w:val="24"/>
          <w:szCs w:val="24"/>
        </w:rPr>
        <w:t>16-76</w:t>
      </w:r>
    </w:p>
    <w:p w14:paraId="33934AE3" w14:textId="34ACB404" w:rsidR="00F31C1B" w:rsidRDefault="00F31C1B" w:rsidP="00F326E5">
      <w:pPr>
        <w:pStyle w:val="NoSpacing"/>
        <w:rPr>
          <w:rFonts w:ascii="Arial Black" w:hAnsi="Arial Black"/>
          <w:sz w:val="24"/>
          <w:szCs w:val="24"/>
        </w:rPr>
      </w:pPr>
    </w:p>
    <w:p w14:paraId="16874A0D" w14:textId="77777777" w:rsidR="00F31C1B" w:rsidRDefault="00F31C1B" w:rsidP="00F31C1B">
      <w:pPr>
        <w:pStyle w:val="NormalWeb"/>
        <w:rPr>
          <w:rFonts w:ascii="Arial Black" w:hAnsi="Arial Black"/>
          <w:sz w:val="28"/>
          <w:szCs w:val="28"/>
        </w:rPr>
      </w:pPr>
      <w:r>
        <w:rPr>
          <w:rFonts w:ascii="Arial Black" w:hAnsi="Arial Black"/>
          <w:sz w:val="28"/>
          <w:szCs w:val="28"/>
        </w:rPr>
        <w:t xml:space="preserve">IN: VOLUNTEER FF – PLED GULTY ARSON - 5 STRUCTURE FIRES, WANTED TO BE “HERO” – 20 YEARS PRISON </w:t>
      </w:r>
    </w:p>
    <w:p w14:paraId="5F308BDE" w14:textId="77777777" w:rsidR="00F31C1B" w:rsidRDefault="00F31C1B" w:rsidP="00F31C1B">
      <w:pPr>
        <w:pStyle w:val="NormalWeb"/>
      </w:pPr>
      <w:r>
        <w:t xml:space="preserve">On Nov. 29, 2022, in </w:t>
      </w:r>
      <w:r w:rsidRPr="00957183">
        <w:rPr>
          <w:u w:val="single"/>
        </w:rPr>
        <w:t>Adam Selbee v. State of Indiana</w:t>
      </w:r>
      <w:r>
        <w:t>, the Court of Appeals of Indiana held (3 to 0) that the defendant knowingly pled guilty after consulting with legal counsel; his claim of ineffective legal counsel is denied. Selbee pled guilty to the arson charges and was sentenced, pursuant to the terms of his plea agreement, to an aggregate term of thirty-two years, with twenty years executed and twelve years suspended to probation.</w:t>
      </w:r>
    </w:p>
    <w:p w14:paraId="6472B7DC" w14:textId="77777777" w:rsidR="00F31C1B" w:rsidRDefault="00F31C1B" w:rsidP="00F31C1B">
      <w:pPr>
        <w:pStyle w:val="NormalWeb"/>
        <w:ind w:left="720"/>
      </w:pPr>
      <w:r>
        <w:t>“Beginning in July of 2016, Selbee, using combustibles or ignitable liquid, set five structure fires and three ;hay bale fires….’ The structure fires included the following types of buildings: a gymnasium, a non-residential structure on a couple's property, and a residence. The fires were set on different days in July, September, and October of 2016. In addition to setting the fires, Selbee-who was a volunteer fire fighter and an EMT-later indicated that ‘he said [he] enjoyed responding to [the fires] and, and kind of being a hero</w:t>
      </w:r>
      <w:proofErr w:type="gramStart"/>
      <w:r>
        <w:t>.…</w:t>
      </w:r>
      <w:proofErr w:type="gramEnd"/>
      <w:r>
        <w:t xml:space="preserve"> He kind of got a pleasure from doing that…. ‘ </w:t>
      </w:r>
    </w:p>
    <w:p w14:paraId="20046890" w14:textId="77777777" w:rsidR="00F31C1B" w:rsidRPr="00376BC8" w:rsidRDefault="00F31C1B" w:rsidP="00F31C1B">
      <w:pPr>
        <w:pStyle w:val="NormalWeb"/>
        <w:ind w:left="720"/>
        <w:rPr>
          <w:rFonts w:ascii="Arial Black" w:hAnsi="Arial Black"/>
          <w:b/>
          <w:bCs/>
          <w:sz w:val="28"/>
          <w:szCs w:val="28"/>
        </w:rPr>
      </w:pPr>
      <w:r>
        <w:t>***</w:t>
      </w:r>
    </w:p>
    <w:p w14:paraId="6082D737" w14:textId="420DDF2E" w:rsidR="00F31C1B" w:rsidRPr="00F31C1B" w:rsidRDefault="00F31C1B" w:rsidP="00F31C1B">
      <w:pPr>
        <w:pStyle w:val="NoSpacing"/>
        <w:ind w:left="720"/>
        <w:rPr>
          <w:rStyle w:val="Hyperlink"/>
          <w:rFonts w:ascii="Times New Roman" w:eastAsiaTheme="majorEastAsia" w:hAnsi="Times New Roman"/>
          <w:sz w:val="24"/>
          <w:szCs w:val="24"/>
        </w:rPr>
      </w:pPr>
      <w:r w:rsidRPr="00F31C1B">
        <w:rPr>
          <w:rFonts w:ascii="Times New Roman" w:hAnsi="Times New Roman"/>
          <w:sz w:val="24"/>
          <w:szCs w:val="24"/>
        </w:rPr>
        <w:t xml:space="preserve">On May 25, 2017, Selbee entered into a plea agreement, under the terms of which Selbee agreed to plead guilty to all four arson counts in exchange for the dismissal of the criminal-mischief counts and a separate criminal case.” </w:t>
      </w:r>
      <w:hyperlink r:id="rId2671" w:history="1">
        <w:r w:rsidRPr="00F31C1B">
          <w:rPr>
            <w:rStyle w:val="Hyperlink"/>
            <w:rFonts w:ascii="Times New Roman" w:eastAsiaTheme="majorEastAsia" w:hAnsi="Times New Roman"/>
            <w:sz w:val="24"/>
            <w:szCs w:val="24"/>
          </w:rPr>
          <w:t>https://public.courts.in.gov/Decisions/api/Document/Opinion?Id=BlYPkLxVHgH9AX_il3izt1lEOiPnwm0plhkYRvgS1Eap1sEgbSi8um2d6l97LpRN0</w:t>
        </w:r>
      </w:hyperlink>
    </w:p>
    <w:p w14:paraId="2937AF1F" w14:textId="5845EFB5" w:rsidR="00F31C1B" w:rsidRDefault="00F31C1B" w:rsidP="00F31C1B">
      <w:pPr>
        <w:pStyle w:val="NoSpacing"/>
        <w:rPr>
          <w:rStyle w:val="Hyperlink"/>
          <w:rFonts w:eastAsiaTheme="majorEastAsia"/>
        </w:rPr>
      </w:pPr>
    </w:p>
    <w:p w14:paraId="2B5C197A" w14:textId="77777777" w:rsidR="00F31C1B" w:rsidRPr="00BF28F1" w:rsidRDefault="00F31C1B" w:rsidP="00F31C1B">
      <w:pPr>
        <w:pStyle w:val="NormalWeb"/>
        <w:rPr>
          <w:b/>
          <w:bCs/>
          <w:vertAlign w:val="superscript"/>
        </w:rPr>
      </w:pPr>
      <w:r w:rsidRPr="00BF28F1">
        <w:rPr>
          <w:b/>
          <w:bCs/>
        </w:rPr>
        <w:t>Legal Lesson Learned:</w:t>
      </w:r>
      <w:r>
        <w:rPr>
          <w:b/>
          <w:bCs/>
        </w:rPr>
        <w:t xml:space="preserve">  Arsons by firefighters seeking to be “heroes” is unfortunately a </w:t>
      </w:r>
      <w:proofErr w:type="spellStart"/>
      <w:proofErr w:type="gramStart"/>
      <w:r>
        <w:rPr>
          <w:b/>
          <w:bCs/>
        </w:rPr>
        <w:t>well known</w:t>
      </w:r>
      <w:proofErr w:type="spellEnd"/>
      <w:proofErr w:type="gramEnd"/>
      <w:r>
        <w:rPr>
          <w:b/>
          <w:bCs/>
        </w:rPr>
        <w:t xml:space="preserve"> issue. </w:t>
      </w:r>
    </w:p>
    <w:p w14:paraId="074A190B" w14:textId="77777777" w:rsidR="00F31C1B" w:rsidRPr="00BF28F1" w:rsidRDefault="00F31C1B" w:rsidP="00F31C1B">
      <w:pPr>
        <w:pStyle w:val="NormalWeb"/>
        <w:ind w:left="720"/>
      </w:pPr>
      <w:r w:rsidRPr="00BF28F1">
        <w:t>Note: See articles on firefighter</w:t>
      </w:r>
      <w:r>
        <w:t xml:space="preserve"> </w:t>
      </w:r>
      <w:r w:rsidRPr="00BF28F1">
        <w:t>arsonists.</w:t>
      </w:r>
    </w:p>
    <w:p w14:paraId="40AF658E" w14:textId="77777777" w:rsidR="00F31C1B" w:rsidRPr="00BF28F1" w:rsidRDefault="00F31C1B" w:rsidP="00F31C1B">
      <w:pPr>
        <w:pStyle w:val="NormalWeb"/>
        <w:ind w:left="720"/>
      </w:pPr>
      <w:hyperlink r:id="rId2672" w:history="1">
        <w:r w:rsidRPr="00BF28F1">
          <w:rPr>
            <w:rStyle w:val="Hyperlink"/>
            <w:rFonts w:eastAsiaTheme="majorEastAsia"/>
          </w:rPr>
          <w:t>https://www.nvfc.org/firefighter-arson/</w:t>
        </w:r>
      </w:hyperlink>
      <w:r w:rsidRPr="00BF28F1">
        <w:t xml:space="preserve"> </w:t>
      </w:r>
    </w:p>
    <w:p w14:paraId="23D7D905" w14:textId="77777777" w:rsidR="00F31C1B" w:rsidRPr="00BF28F1" w:rsidRDefault="00F31C1B" w:rsidP="00F31C1B">
      <w:pPr>
        <w:pStyle w:val="NormalWeb"/>
        <w:ind w:left="720"/>
      </w:pPr>
      <w:hyperlink r:id="rId2673" w:history="1">
        <w:r w:rsidRPr="00BF28F1">
          <w:rPr>
            <w:rStyle w:val="Hyperlink"/>
            <w:rFonts w:eastAsiaTheme="majorEastAsia"/>
          </w:rPr>
          <w:t>https://www.firerescue1.com/arson-investigation/articles/understanding-the-firefighter-arsonist-j06dtElH3OMZMwBS/</w:t>
        </w:r>
      </w:hyperlink>
      <w:r w:rsidRPr="00BF28F1">
        <w:t xml:space="preserve"> </w:t>
      </w:r>
    </w:p>
    <w:p w14:paraId="2AAD65E4" w14:textId="77777777" w:rsidR="00F31C1B" w:rsidRPr="00BF28F1" w:rsidRDefault="00F31C1B" w:rsidP="00F31C1B">
      <w:pPr>
        <w:pStyle w:val="NormalWeb"/>
        <w:ind w:left="720"/>
      </w:pPr>
      <w:hyperlink r:id="rId2674" w:history="1">
        <w:r w:rsidRPr="00BF28F1">
          <w:rPr>
            <w:rStyle w:val="Hyperlink"/>
            <w:rFonts w:eastAsiaTheme="majorEastAsia"/>
          </w:rPr>
          <w:t>https://www.cbc.ca/news/canada/edmonton/fires-set-by-firefighters-a-long-standing-problem-experts-say-1.3563183</w:t>
        </w:r>
      </w:hyperlink>
      <w:r w:rsidRPr="00BF28F1">
        <w:t xml:space="preserve"> </w:t>
      </w:r>
    </w:p>
    <w:p w14:paraId="592AA3D5" w14:textId="77777777" w:rsidR="00F31C1B" w:rsidRPr="00BF28F1" w:rsidRDefault="00F31C1B" w:rsidP="00F31C1B">
      <w:pPr>
        <w:pStyle w:val="NormalWeb"/>
        <w:ind w:left="720"/>
      </w:pPr>
      <w:hyperlink r:id="rId2675" w:history="1">
        <w:r w:rsidRPr="00BF28F1">
          <w:rPr>
            <w:rStyle w:val="Hyperlink"/>
            <w:rFonts w:eastAsiaTheme="majorEastAsia"/>
          </w:rPr>
          <w:t>https://burned.journalism.cuny.edu/the-diverse-minds-of-arsonists/</w:t>
        </w:r>
      </w:hyperlink>
      <w:r w:rsidRPr="00BF28F1">
        <w:t xml:space="preserve"> </w:t>
      </w:r>
    </w:p>
    <w:p w14:paraId="53DC1192" w14:textId="77777777" w:rsidR="00F31C1B" w:rsidRPr="00BF28F1" w:rsidRDefault="00F31C1B" w:rsidP="00F31C1B">
      <w:pPr>
        <w:pStyle w:val="NormalWeb"/>
        <w:ind w:left="720"/>
      </w:pPr>
      <w:hyperlink r:id="rId2676" w:history="1">
        <w:r w:rsidRPr="00BF28F1">
          <w:rPr>
            <w:rStyle w:val="Hyperlink"/>
            <w:rFonts w:eastAsiaTheme="majorEastAsia"/>
          </w:rPr>
          <w:t>https://edmontonjournal.com/news/crime/firefighters-who-start-fires-a-look-at-the-phenomenon-of-firefighter-arson</w:t>
        </w:r>
      </w:hyperlink>
      <w:r w:rsidRPr="00BF28F1">
        <w:t xml:space="preserve">  </w:t>
      </w:r>
    </w:p>
    <w:p w14:paraId="3C9AFD29" w14:textId="77777777" w:rsidR="00F31C1B" w:rsidRDefault="00F31C1B" w:rsidP="00F31C1B">
      <w:pPr>
        <w:pStyle w:val="NoSpacing"/>
        <w:rPr>
          <w:rFonts w:ascii="Times New Roman" w:hAnsi="Times New Roman"/>
          <w:sz w:val="24"/>
          <w:szCs w:val="24"/>
        </w:rPr>
      </w:pPr>
    </w:p>
    <w:p w14:paraId="56C106A9" w14:textId="77777777" w:rsidR="00F31C1B" w:rsidRDefault="00F31C1B" w:rsidP="00F326E5">
      <w:pPr>
        <w:pStyle w:val="NoSpacing"/>
        <w:rPr>
          <w:rFonts w:ascii="Arial Black" w:hAnsi="Arial Black"/>
          <w:sz w:val="24"/>
          <w:szCs w:val="24"/>
        </w:rPr>
      </w:pPr>
    </w:p>
    <w:p w14:paraId="3CF6CEF3" w14:textId="5A6F7CE6" w:rsidR="00F31C1B" w:rsidRDefault="00F31C1B" w:rsidP="00F326E5">
      <w:pPr>
        <w:pStyle w:val="NoSpacing"/>
        <w:rPr>
          <w:rFonts w:ascii="Arial Black" w:hAnsi="Arial Black"/>
          <w:sz w:val="24"/>
          <w:szCs w:val="24"/>
        </w:rPr>
      </w:pPr>
      <w:r>
        <w:rPr>
          <w:rFonts w:ascii="Arial Black" w:hAnsi="Arial Black"/>
          <w:sz w:val="24"/>
          <w:szCs w:val="24"/>
        </w:rPr>
        <w:t>16-75</w:t>
      </w:r>
    </w:p>
    <w:p w14:paraId="127C7C1B" w14:textId="77777777" w:rsidR="00F31C1B" w:rsidRDefault="00F31C1B" w:rsidP="00F326E5">
      <w:pPr>
        <w:pStyle w:val="NoSpacing"/>
        <w:rPr>
          <w:rFonts w:ascii="Arial Black" w:hAnsi="Arial Black"/>
          <w:sz w:val="24"/>
          <w:szCs w:val="24"/>
        </w:rPr>
      </w:pPr>
    </w:p>
    <w:p w14:paraId="73C4446A" w14:textId="77777777" w:rsidR="00F31C1B" w:rsidRDefault="00F31C1B" w:rsidP="00F31C1B">
      <w:pPr>
        <w:pStyle w:val="NormalWeb"/>
        <w:rPr>
          <w:rFonts w:ascii="Arial Black" w:hAnsi="Arial Black"/>
          <w:b/>
          <w:bCs/>
          <w:sz w:val="28"/>
          <w:szCs w:val="28"/>
        </w:rPr>
      </w:pPr>
      <w:r>
        <w:rPr>
          <w:rFonts w:ascii="Arial Black" w:hAnsi="Arial Black"/>
          <w:b/>
          <w:bCs/>
          <w:sz w:val="28"/>
          <w:szCs w:val="28"/>
        </w:rPr>
        <w:lastRenderedPageBreak/>
        <w:t xml:space="preserve">GA: BREACH CHAIN OF COMMAND – FF CALLED COUNTY COMM. AIDE – 5 TRUCKS OOS - DEMOTED, NO 1st. AMEND. </w:t>
      </w:r>
    </w:p>
    <w:p w14:paraId="4B818241" w14:textId="77777777" w:rsidR="00F31C1B" w:rsidRDefault="00F31C1B" w:rsidP="00F31C1B">
      <w:pPr>
        <w:pStyle w:val="NormalWeb"/>
      </w:pPr>
      <w:r w:rsidRPr="003F09C4">
        <w:t xml:space="preserve">On </w:t>
      </w:r>
      <w:r>
        <w:t xml:space="preserve">Nov. 22, 2022, in </w:t>
      </w:r>
      <w:r w:rsidRPr="003F09C4">
        <w:rPr>
          <w:u w:val="single"/>
        </w:rPr>
        <w:t>Scott Millspaugh v. Conn County Fire And Emergency Services</w:t>
      </w:r>
      <w:r>
        <w:t>, the U.S. Court of Appeals for the 11</w:t>
      </w:r>
      <w:r w:rsidRPr="003F09C4">
        <w:rPr>
          <w:vertAlign w:val="superscript"/>
        </w:rPr>
        <w:t>th</w:t>
      </w:r>
      <w:r>
        <w:t xml:space="preserve"> Circuit (Atlanta) held (3 to 0 ) (unpublished decision) that trial court properly granted summary judgment for Cobb County; the firefighter failed to go up chain of command about his concerns about apparatus and staffing before leaving voicemail with Commissioner’s assistant and was properly demoted from FF III to FF II. </w:t>
      </w:r>
    </w:p>
    <w:p w14:paraId="426ED93F" w14:textId="77777777" w:rsidR="00F31C1B" w:rsidRDefault="00F31C1B" w:rsidP="00F31C1B">
      <w:pPr>
        <w:pStyle w:val="NormalWeb"/>
        <w:ind w:left="720"/>
      </w:pPr>
      <w:r>
        <w:t>“[W[e hold that Millspaugh spoke as a public employee when leaving his voicemail and that his voicemail was not protected by the First Amendment. We also hold that the Individual Defendants were entitled to qualified immunity. We, therefore, affirm the district court's order granting summary judgment. ***   But even if Millspaugh's voicemail were protected speech under the First Amendment, the district court correctly determined that the Defendants' interest in promoting the efficiency of fire suppression services outweighed Millspaugh's interest in the speech.”</w:t>
      </w:r>
      <w:r>
        <w:rPr>
          <w:rStyle w:val="Emphasis"/>
        </w:rPr>
        <w:t xml:space="preserve"> </w:t>
      </w:r>
      <w:hyperlink r:id="rId2677" w:history="1">
        <w:r w:rsidRPr="003B3F7F">
          <w:rPr>
            <w:rStyle w:val="Hyperlink"/>
            <w:rFonts w:eastAsiaTheme="majorEastAsia"/>
          </w:rPr>
          <w:t>https://law.justia.com/cases/federal/appellate-courts/ca11/22-10132/22-10132-2022-11-22.html</w:t>
        </w:r>
      </w:hyperlink>
      <w:r>
        <w:t xml:space="preserve"> </w:t>
      </w:r>
    </w:p>
    <w:p w14:paraId="518BB491" w14:textId="77777777" w:rsidR="00F31C1B" w:rsidRPr="00E3663A" w:rsidRDefault="00F31C1B" w:rsidP="00F31C1B">
      <w:pPr>
        <w:pStyle w:val="NormalWeb"/>
        <w:rPr>
          <w:b/>
          <w:bCs/>
        </w:rPr>
      </w:pPr>
      <w:r w:rsidRPr="00E3663A">
        <w:rPr>
          <w:b/>
          <w:bCs/>
        </w:rPr>
        <w:t>Legal Lesson Learned:</w:t>
      </w:r>
      <w:r>
        <w:rPr>
          <w:b/>
          <w:bCs/>
        </w:rPr>
        <w:t xml:space="preserve"> Breaching chain of command can result in discipline.  First Amendment only protects firefighter’s speech when speaking as a citizen on a matter of interest to public. </w:t>
      </w:r>
    </w:p>
    <w:p w14:paraId="77E76750" w14:textId="77777777" w:rsidR="00F31C1B" w:rsidRDefault="00F31C1B" w:rsidP="00F326E5">
      <w:pPr>
        <w:pStyle w:val="NoSpacing"/>
        <w:rPr>
          <w:rFonts w:ascii="Arial Black" w:hAnsi="Arial Black"/>
          <w:sz w:val="24"/>
          <w:szCs w:val="24"/>
        </w:rPr>
      </w:pPr>
    </w:p>
    <w:p w14:paraId="7EFAB8DC" w14:textId="77777777" w:rsidR="00F31C1B" w:rsidRDefault="00F31C1B" w:rsidP="00F326E5">
      <w:pPr>
        <w:pStyle w:val="NoSpacing"/>
        <w:rPr>
          <w:rFonts w:ascii="Arial Black" w:hAnsi="Arial Black"/>
          <w:sz w:val="24"/>
          <w:szCs w:val="24"/>
        </w:rPr>
      </w:pPr>
    </w:p>
    <w:p w14:paraId="5FC06A8B" w14:textId="77777777" w:rsidR="00F31C1B" w:rsidRDefault="00F31C1B" w:rsidP="00F326E5">
      <w:pPr>
        <w:pStyle w:val="NoSpacing"/>
        <w:rPr>
          <w:rFonts w:ascii="Arial Black" w:hAnsi="Arial Black"/>
          <w:sz w:val="24"/>
          <w:szCs w:val="24"/>
        </w:rPr>
      </w:pPr>
    </w:p>
    <w:p w14:paraId="3020BE39" w14:textId="79F6D2A1" w:rsidR="00F31C1B" w:rsidRDefault="00F31C1B" w:rsidP="00F326E5">
      <w:pPr>
        <w:pStyle w:val="NoSpacing"/>
        <w:rPr>
          <w:rFonts w:ascii="Arial Black" w:hAnsi="Arial Black"/>
          <w:sz w:val="24"/>
          <w:szCs w:val="24"/>
        </w:rPr>
      </w:pPr>
      <w:r>
        <w:rPr>
          <w:rFonts w:ascii="Arial Black" w:hAnsi="Arial Black"/>
          <w:sz w:val="24"/>
          <w:szCs w:val="24"/>
        </w:rPr>
        <w:t>16-74</w:t>
      </w:r>
    </w:p>
    <w:p w14:paraId="0CFB752F" w14:textId="25CB537C" w:rsidR="00F31C1B" w:rsidRDefault="00F31C1B" w:rsidP="00F326E5">
      <w:pPr>
        <w:pStyle w:val="NoSpacing"/>
        <w:rPr>
          <w:rFonts w:ascii="Arial Black" w:hAnsi="Arial Black"/>
          <w:sz w:val="24"/>
          <w:szCs w:val="24"/>
        </w:rPr>
      </w:pPr>
    </w:p>
    <w:p w14:paraId="79FBC192" w14:textId="77777777" w:rsidR="009C612E" w:rsidRDefault="009C612E" w:rsidP="009C612E">
      <w:pPr>
        <w:pStyle w:val="NormalWeb"/>
        <w:rPr>
          <w:rFonts w:ascii="Arial Black" w:hAnsi="Arial Black"/>
          <w:b/>
          <w:bCs/>
          <w:sz w:val="28"/>
          <w:szCs w:val="28"/>
        </w:rPr>
      </w:pPr>
      <w:r>
        <w:rPr>
          <w:rFonts w:ascii="Arial Black" w:hAnsi="Arial Black"/>
          <w:b/>
          <w:bCs/>
          <w:sz w:val="28"/>
          <w:szCs w:val="28"/>
        </w:rPr>
        <w:t xml:space="preserve">CA: CAPT. FIRED - ASSUALT BROTHER (FF) AT PARTY – NO “WHISTLEBLOWER” DEFENSE FOR RPT. BROTHER’S FRAUD </w:t>
      </w:r>
    </w:p>
    <w:p w14:paraId="5648DBA7" w14:textId="77777777" w:rsidR="00F31C1B" w:rsidRDefault="00F31C1B" w:rsidP="00F31C1B">
      <w:pPr>
        <w:pStyle w:val="NormalWeb"/>
      </w:pPr>
      <w:r w:rsidRPr="00AC5A14">
        <w:t xml:space="preserve">On </w:t>
      </w:r>
      <w:r>
        <w:t xml:space="preserve">Nov. 14, 2022, in </w:t>
      </w:r>
      <w:r w:rsidRPr="000661F4">
        <w:rPr>
          <w:u w:val="single"/>
        </w:rPr>
        <w:t xml:space="preserve">Sean Olguin v. City of </w:t>
      </w:r>
      <w:proofErr w:type="spellStart"/>
      <w:r w:rsidRPr="000661F4">
        <w:rPr>
          <w:u w:val="single"/>
        </w:rPr>
        <w:t>Hollistter</w:t>
      </w:r>
      <w:proofErr w:type="spellEnd"/>
      <w:r>
        <w:t xml:space="preserve">, the California Court of Appeals, Sixth Circuit, held (3 to 0; unpublished opinion) that Captain was properly fired, after a pre-termination meeting with Fire Chief, and then hearing with City Manager.  During these meetings he claimed his </w:t>
      </w:r>
      <w:proofErr w:type="spellStart"/>
      <w:proofErr w:type="gramStart"/>
      <w:r>
        <w:t>bother</w:t>
      </w:r>
      <w:proofErr w:type="spellEnd"/>
      <w:proofErr w:type="gramEnd"/>
      <w:r>
        <w:t xml:space="preserve"> was committing insurance fraud by faking his injuries; but there is no causal link between plaintiff's disclosure and his termination.</w:t>
      </w:r>
    </w:p>
    <w:p w14:paraId="441F761A" w14:textId="77777777" w:rsidR="00F31C1B" w:rsidRDefault="00F31C1B" w:rsidP="00F31C1B">
      <w:pPr>
        <w:pStyle w:val="NormalWeb"/>
        <w:ind w:left="720"/>
      </w:pPr>
      <w:r>
        <w:t>“The allegations in plaintiff's complaint are based on his disclosure of unlawful conduct (in the form of insurance fraud) by plaintiff's brother, a city firefighter.</w:t>
      </w:r>
    </w:p>
    <w:p w14:paraId="06029486" w14:textId="77777777" w:rsidR="00F31C1B" w:rsidRDefault="00F31C1B" w:rsidP="00F31C1B">
      <w:pPr>
        <w:pStyle w:val="NormalWeb"/>
        <w:ind w:firstLine="720"/>
      </w:pPr>
      <w:r>
        <w:t>***</w:t>
      </w:r>
    </w:p>
    <w:p w14:paraId="044E737F" w14:textId="2C087A53" w:rsidR="00F31C1B" w:rsidRPr="00F31C1B" w:rsidRDefault="00F31C1B" w:rsidP="00F31C1B">
      <w:pPr>
        <w:pStyle w:val="NoSpacing"/>
        <w:ind w:left="720"/>
        <w:rPr>
          <w:rFonts w:ascii="Times New Roman" w:hAnsi="Times New Roman"/>
          <w:sz w:val="24"/>
          <w:szCs w:val="24"/>
        </w:rPr>
      </w:pPr>
      <w:r w:rsidRPr="00F31C1B">
        <w:rPr>
          <w:rFonts w:ascii="Times New Roman" w:hAnsi="Times New Roman"/>
          <w:sz w:val="24"/>
          <w:szCs w:val="24"/>
        </w:rPr>
        <w:t xml:space="preserve">Plaintiff's complaint nonetheless fails as a matter of law because it draws no causal link between plaintiff's disclosure and his termination. </w:t>
      </w:r>
      <w:proofErr w:type="gramStart"/>
      <w:r w:rsidRPr="00F31C1B">
        <w:rPr>
          <w:rFonts w:ascii="Times New Roman" w:hAnsi="Times New Roman"/>
          <w:sz w:val="24"/>
          <w:szCs w:val="24"/>
        </w:rPr>
        <w:t>Plaintiff was</w:t>
      </w:r>
      <w:proofErr w:type="gramEnd"/>
      <w:r w:rsidRPr="00F31C1B">
        <w:rPr>
          <w:rFonts w:ascii="Times New Roman" w:hAnsi="Times New Roman"/>
          <w:sz w:val="24"/>
          <w:szCs w:val="24"/>
        </w:rPr>
        <w:t xml:space="preserve"> issued a notice of intended termination in October 2019, following an extensive internal affairs investigation into the October 2018 altercation. Plaintiff's </w:t>
      </w:r>
      <w:r w:rsidRPr="00F31C1B">
        <w:rPr>
          <w:rStyle w:val="Emphasis"/>
          <w:rFonts w:ascii="Times New Roman" w:hAnsi="Times New Roman"/>
          <w:sz w:val="24"/>
          <w:szCs w:val="24"/>
        </w:rPr>
        <w:t>Skelly</w:t>
      </w:r>
      <w:r w:rsidRPr="00F31C1B">
        <w:rPr>
          <w:rFonts w:ascii="Times New Roman" w:hAnsi="Times New Roman"/>
          <w:sz w:val="24"/>
          <w:szCs w:val="24"/>
        </w:rPr>
        <w:t xml:space="preserve"> hearing-at which he challenged the misconduct charges in part through disclosure about his brother's alleged fraud-occurred after the investigation and notice of intended termination…. If the rules </w:t>
      </w:r>
      <w:proofErr w:type="gramStart"/>
      <w:r w:rsidRPr="00F31C1B">
        <w:rPr>
          <w:rFonts w:ascii="Times New Roman" w:hAnsi="Times New Roman"/>
          <w:sz w:val="24"/>
          <w:szCs w:val="24"/>
        </w:rPr>
        <w:t>were</w:t>
      </w:r>
      <w:proofErr w:type="gramEnd"/>
      <w:r w:rsidRPr="00F31C1B">
        <w:rPr>
          <w:rFonts w:ascii="Times New Roman" w:hAnsi="Times New Roman"/>
          <w:sz w:val="24"/>
          <w:szCs w:val="24"/>
        </w:rPr>
        <w:t xml:space="preserve"> otherwise, a plaintiff could orchestrate a retaliation claim by purporting to reveal an unlawful act of a coworker at any time during a disciplinary </w:t>
      </w:r>
      <w:proofErr w:type="gramStart"/>
      <w:r w:rsidRPr="00F31C1B">
        <w:rPr>
          <w:rFonts w:ascii="Times New Roman" w:hAnsi="Times New Roman"/>
          <w:sz w:val="24"/>
          <w:szCs w:val="24"/>
        </w:rPr>
        <w:t>process.”</w:t>
      </w:r>
      <w:proofErr w:type="gramEnd"/>
      <w:r w:rsidRPr="00F31C1B">
        <w:rPr>
          <w:rFonts w:ascii="Times New Roman" w:hAnsi="Times New Roman"/>
          <w:sz w:val="24"/>
          <w:szCs w:val="24"/>
        </w:rPr>
        <w:t xml:space="preserve"> </w:t>
      </w:r>
      <w:hyperlink r:id="rId2678" w:history="1">
        <w:r w:rsidRPr="00F31C1B">
          <w:rPr>
            <w:rStyle w:val="Hyperlink"/>
            <w:rFonts w:ascii="Times New Roman" w:eastAsiaTheme="majorEastAsia" w:hAnsi="Times New Roman"/>
            <w:sz w:val="24"/>
            <w:szCs w:val="24"/>
          </w:rPr>
          <w:t>https://casetext.com/case/olguin-v-city-of-hollister</w:t>
        </w:r>
      </w:hyperlink>
    </w:p>
    <w:p w14:paraId="474DF74A" w14:textId="39E88EFA" w:rsidR="00F31C1B" w:rsidRDefault="00F31C1B" w:rsidP="00F326E5">
      <w:pPr>
        <w:pStyle w:val="NoSpacing"/>
        <w:rPr>
          <w:rFonts w:ascii="Arial Black" w:hAnsi="Arial Black"/>
          <w:sz w:val="24"/>
          <w:szCs w:val="24"/>
        </w:rPr>
      </w:pPr>
    </w:p>
    <w:p w14:paraId="0F2DADE6" w14:textId="77777777" w:rsidR="00F31C1B" w:rsidRPr="00E56DA1" w:rsidRDefault="00F31C1B" w:rsidP="00F31C1B">
      <w:pPr>
        <w:pStyle w:val="NormalWeb"/>
        <w:rPr>
          <w:b/>
          <w:bCs/>
        </w:rPr>
      </w:pPr>
      <w:r w:rsidRPr="00E56DA1">
        <w:rPr>
          <w:b/>
          <w:bCs/>
        </w:rPr>
        <w:lastRenderedPageBreak/>
        <w:t>Legal Lesson Learned:</w:t>
      </w:r>
      <w:r>
        <w:rPr>
          <w:b/>
          <w:bCs/>
        </w:rPr>
        <w:t xml:space="preserve"> Off duty conduct can lead to termination. </w:t>
      </w:r>
    </w:p>
    <w:p w14:paraId="29C1E9A8" w14:textId="77777777" w:rsidR="00F31C1B" w:rsidRDefault="00F31C1B" w:rsidP="00F326E5">
      <w:pPr>
        <w:pStyle w:val="NoSpacing"/>
        <w:rPr>
          <w:rFonts w:ascii="Arial Black" w:hAnsi="Arial Black"/>
          <w:sz w:val="24"/>
          <w:szCs w:val="24"/>
        </w:rPr>
      </w:pPr>
    </w:p>
    <w:p w14:paraId="51FA653C" w14:textId="77777777" w:rsidR="00F31C1B" w:rsidRDefault="00F31C1B" w:rsidP="00F326E5">
      <w:pPr>
        <w:pStyle w:val="NoSpacing"/>
        <w:rPr>
          <w:rFonts w:ascii="Arial Black" w:hAnsi="Arial Black"/>
          <w:sz w:val="24"/>
          <w:szCs w:val="24"/>
        </w:rPr>
      </w:pPr>
    </w:p>
    <w:p w14:paraId="49FDFF09" w14:textId="732E4AD9" w:rsidR="00755E16" w:rsidRDefault="00755E16" w:rsidP="00F326E5">
      <w:pPr>
        <w:pStyle w:val="NoSpacing"/>
        <w:rPr>
          <w:rFonts w:ascii="Arial Black" w:hAnsi="Arial Black"/>
          <w:sz w:val="24"/>
          <w:szCs w:val="24"/>
        </w:rPr>
      </w:pPr>
      <w:r>
        <w:rPr>
          <w:rFonts w:ascii="Arial Black" w:hAnsi="Arial Black"/>
          <w:sz w:val="24"/>
          <w:szCs w:val="24"/>
        </w:rPr>
        <w:t>16-7</w:t>
      </w:r>
      <w:r w:rsidR="00487B06">
        <w:rPr>
          <w:rFonts w:ascii="Arial Black" w:hAnsi="Arial Black"/>
          <w:sz w:val="24"/>
          <w:szCs w:val="24"/>
        </w:rPr>
        <w:t>3</w:t>
      </w:r>
    </w:p>
    <w:p w14:paraId="57B7AD14" w14:textId="77777777" w:rsidR="00755E16" w:rsidRDefault="00755E16" w:rsidP="00755E16">
      <w:pPr>
        <w:pStyle w:val="NormalWeb"/>
        <w:rPr>
          <w:rFonts w:ascii="Arial Black" w:hAnsi="Arial Black"/>
          <w:b/>
          <w:bCs/>
          <w:sz w:val="28"/>
          <w:szCs w:val="28"/>
        </w:rPr>
      </w:pPr>
      <w:r>
        <w:rPr>
          <w:rFonts w:ascii="Arial Black" w:hAnsi="Arial Black"/>
          <w:b/>
          <w:bCs/>
          <w:sz w:val="28"/>
          <w:szCs w:val="28"/>
        </w:rPr>
        <w:t xml:space="preserve">OH: PRE-DISCIP. CONF. INADEQUATE – MEDIC FIRED UNAUTHORIZED BLOOD DRAW FOR PD – CASE PROCEED  </w:t>
      </w:r>
    </w:p>
    <w:p w14:paraId="3C77AEF5" w14:textId="77777777" w:rsidR="00755E16" w:rsidRDefault="00755E16" w:rsidP="00755E16">
      <w:pPr>
        <w:pStyle w:val="NormalWeb"/>
      </w:pPr>
      <w:r>
        <w:t xml:space="preserve">On Sept. 26, 2022, in </w:t>
      </w:r>
      <w:r>
        <w:rPr>
          <w:u w:val="single"/>
        </w:rPr>
        <w:t>Mitchell Plunk v. Chester Township</w:t>
      </w:r>
      <w:r>
        <w:t>, U.S. District Court Judge James S. Gwin, U.S. District Court for Northern District of Ohio, denied the Township’s motion for summary judgment in the paramedic’s lawsuit, who was fired after 9 years with the Township, who sued for violating his procedural due process rights.  The Medical Director apparently had concluded that the paramedic didn’t complete EMS run report about the blood draw he performed at the Police Station because he wanted the Medical Director at his other FD to confirm this was authorized.</w:t>
      </w:r>
    </w:p>
    <w:p w14:paraId="2B6EE0ED" w14:textId="567FCCE9" w:rsidR="00755E16" w:rsidRPr="00755E16" w:rsidRDefault="00755E16" w:rsidP="00755E16">
      <w:pPr>
        <w:pStyle w:val="NoSpacing"/>
        <w:ind w:left="720"/>
        <w:rPr>
          <w:rFonts w:ascii="Times New Roman" w:hAnsi="Times New Roman"/>
          <w:sz w:val="24"/>
          <w:szCs w:val="24"/>
        </w:rPr>
      </w:pPr>
      <w:r w:rsidRPr="00755E16">
        <w:rPr>
          <w:rFonts w:ascii="Times New Roman" w:hAnsi="Times New Roman"/>
          <w:sz w:val="24"/>
          <w:szCs w:val="24"/>
        </w:rPr>
        <w:t xml:space="preserve">“Before ending Plaintiff's long-held employment, Defendant gave Plunk a hearing. The hearing did not let Plaintiff challenge the medical director's decision…. Because Defendant Chester Township and the medical director acted in concert to remove Plaintiff Plunk without giving Plunk an opportunity to challenge their decision's basis, the Court </w:t>
      </w:r>
      <w:r w:rsidRPr="00755E16">
        <w:rPr>
          <w:rStyle w:val="Strong"/>
          <w:rFonts w:ascii="Times New Roman" w:hAnsi="Times New Roman"/>
          <w:sz w:val="24"/>
          <w:szCs w:val="24"/>
        </w:rPr>
        <w:t>DENIES</w:t>
      </w:r>
      <w:r w:rsidRPr="00755E16">
        <w:rPr>
          <w:rFonts w:ascii="Times New Roman" w:hAnsi="Times New Roman"/>
          <w:sz w:val="24"/>
          <w:szCs w:val="24"/>
        </w:rPr>
        <w:t xml:space="preserve"> Defendant's motion. </w:t>
      </w:r>
      <w:hyperlink r:id="rId2679" w:history="1">
        <w:r w:rsidRPr="00755E16">
          <w:rPr>
            <w:rStyle w:val="Hyperlink"/>
            <w:rFonts w:ascii="Times New Roman" w:hAnsi="Times New Roman"/>
            <w:sz w:val="24"/>
            <w:szCs w:val="24"/>
          </w:rPr>
          <w:t>https://public.fastcase.com/J%2FJP6pdidelsXxEE4k%2BLMjmPooMwsB33SF6fQbdKtm0G0C1GTVTWTSbOoR0BGdHWdmqT3nxx5N34mFb%2FQIY0wnFPK7Gz1IkNE53DDevS6vE%3D?utm_medium=email&amp;_hsmi=226712652&amp;_hsenc=p2ANqtz--MKBV4Y804r56tzWY_uVAuJIZ65L25irdtNU6ZdfUrAAPtscNAIDyxYykxQ2RxJby9_Fy5S6I1PNXJg84F7LwVp6Ejlw&amp;utm_content=226712652&amp;utm_source=hs_email</w:t>
        </w:r>
      </w:hyperlink>
    </w:p>
    <w:p w14:paraId="6C05649D" w14:textId="77777777" w:rsidR="00755E16" w:rsidRDefault="00755E16" w:rsidP="00F326E5">
      <w:pPr>
        <w:pStyle w:val="NoSpacing"/>
        <w:rPr>
          <w:rFonts w:ascii="Arial Black" w:hAnsi="Arial Black"/>
          <w:sz w:val="24"/>
          <w:szCs w:val="24"/>
        </w:rPr>
      </w:pPr>
    </w:p>
    <w:p w14:paraId="48CB180C" w14:textId="77777777" w:rsidR="00755E16" w:rsidRDefault="00755E16" w:rsidP="00F326E5">
      <w:pPr>
        <w:pStyle w:val="NoSpacing"/>
        <w:rPr>
          <w:rFonts w:ascii="Arial Black" w:hAnsi="Arial Black"/>
          <w:sz w:val="24"/>
          <w:szCs w:val="24"/>
        </w:rPr>
      </w:pPr>
    </w:p>
    <w:p w14:paraId="107FF0EA" w14:textId="77628554" w:rsidR="003E45EB" w:rsidRDefault="003E45EB" w:rsidP="00F326E5">
      <w:pPr>
        <w:pStyle w:val="NoSpacing"/>
        <w:rPr>
          <w:rFonts w:ascii="Arial Black" w:hAnsi="Arial Black"/>
          <w:sz w:val="24"/>
          <w:szCs w:val="24"/>
        </w:rPr>
      </w:pPr>
      <w:r>
        <w:rPr>
          <w:rFonts w:ascii="Arial Black" w:hAnsi="Arial Black"/>
          <w:sz w:val="24"/>
          <w:szCs w:val="24"/>
        </w:rPr>
        <w:t>16-7</w:t>
      </w:r>
      <w:r w:rsidR="00487B06">
        <w:rPr>
          <w:rFonts w:ascii="Arial Black" w:hAnsi="Arial Black"/>
          <w:sz w:val="24"/>
          <w:szCs w:val="24"/>
        </w:rPr>
        <w:t>2</w:t>
      </w:r>
    </w:p>
    <w:p w14:paraId="11447361" w14:textId="77777777" w:rsidR="003E45EB" w:rsidRDefault="003E45EB" w:rsidP="003E45EB">
      <w:pPr>
        <w:pStyle w:val="NoSpacing"/>
        <w:rPr>
          <w:rFonts w:ascii="Arial Black" w:hAnsi="Arial Black"/>
          <w:sz w:val="28"/>
          <w:szCs w:val="28"/>
        </w:rPr>
      </w:pPr>
    </w:p>
    <w:p w14:paraId="4DCD5863" w14:textId="2EB5D8A1" w:rsidR="003E45EB" w:rsidRPr="003C0A6A" w:rsidRDefault="003E45EB" w:rsidP="003E45EB">
      <w:pPr>
        <w:pStyle w:val="NoSpacing"/>
      </w:pPr>
      <w:r w:rsidRPr="006032BB">
        <w:rPr>
          <w:rFonts w:ascii="Arial Black" w:hAnsi="Arial Black"/>
          <w:sz w:val="28"/>
          <w:szCs w:val="28"/>
        </w:rPr>
        <w:t>OK: FIRE CHIEF FIRED</w:t>
      </w:r>
      <w:r>
        <w:rPr>
          <w:rFonts w:ascii="Arial Black" w:hAnsi="Arial Black"/>
          <w:sz w:val="28"/>
          <w:szCs w:val="28"/>
        </w:rPr>
        <w:t xml:space="preserve"> – LAWSUIT REINSTATED – MAY NOT BE “AT WILL” EMPLOYEE – LACK OF DUE PROCESS</w:t>
      </w:r>
    </w:p>
    <w:p w14:paraId="59C4B8E3" w14:textId="77777777" w:rsidR="003E45EB" w:rsidRPr="00B361A5" w:rsidRDefault="003E45EB" w:rsidP="003E45EB">
      <w:pPr>
        <w:pStyle w:val="NormalWeb"/>
      </w:pPr>
      <w:r>
        <w:t xml:space="preserve">On Aug. 19, 2022, in </w:t>
      </w:r>
      <w:r w:rsidRPr="006032BB">
        <w:rPr>
          <w:u w:val="single"/>
        </w:rPr>
        <w:t>Stephen Parmenter v. City of Nowata, Oklahoma</w:t>
      </w:r>
      <w:r>
        <w:t>, the U.S. Court of Appeals for Tenth Circuit (Denver) held (3 to 0) that trial court improperly granted summary judgment to the City and remanded the case.  “</w:t>
      </w:r>
      <w:r w:rsidRPr="00B361A5">
        <w:t>The United States District Court for the Northern District of Oklahoma granted the City's motion for summary judgment, holding (1) that Mr. Parmenter did not have a protected interest in his job and therefore was not entitled to procedural due process, and (2) that in any event he was provided adequate process. Mr. Parmenter appealed. We reverse and remand for further proceedings to determine whether Mr. Parmenter had a protected interest in his position, and if so whether he received sufficient process.</w:t>
      </w:r>
      <w:r>
        <w:t xml:space="preserve">” </w:t>
      </w:r>
      <w:hyperlink r:id="rId2680" w:history="1">
        <w:r w:rsidRPr="005E2F1B">
          <w:rPr>
            <w:rStyle w:val="Hyperlink"/>
            <w:rFonts w:eastAsiaTheme="majorEastAsia"/>
          </w:rPr>
          <w:t>https://law.justia.com/cases/federal/appellate-courts/ca10/20-5113/20-5113-2022-08-19.html</w:t>
        </w:r>
      </w:hyperlink>
      <w:r>
        <w:t xml:space="preserve"> </w:t>
      </w:r>
    </w:p>
    <w:p w14:paraId="7197605A" w14:textId="77777777" w:rsidR="003E45EB" w:rsidRPr="00FE6238" w:rsidRDefault="003E45EB" w:rsidP="003E45EB">
      <w:pPr>
        <w:spacing w:before="100" w:beforeAutospacing="1" w:after="100" w:afterAutospacing="1" w:line="240" w:lineRule="auto"/>
        <w:rPr>
          <w:rFonts w:ascii="Times New Roman" w:hAnsi="Times New Roman"/>
          <w:b/>
          <w:bCs/>
          <w:sz w:val="24"/>
          <w:szCs w:val="24"/>
        </w:rPr>
      </w:pPr>
      <w:r w:rsidRPr="00FE6238">
        <w:rPr>
          <w:rFonts w:ascii="Times New Roman" w:hAnsi="Times New Roman"/>
          <w:b/>
          <w:bCs/>
          <w:sz w:val="24"/>
          <w:szCs w:val="24"/>
        </w:rPr>
        <w:t xml:space="preserve">Legal Lesson Learned:  </w:t>
      </w:r>
      <w:r>
        <w:rPr>
          <w:rFonts w:ascii="Times New Roman" w:hAnsi="Times New Roman"/>
          <w:b/>
          <w:bCs/>
          <w:sz w:val="24"/>
          <w:szCs w:val="24"/>
        </w:rPr>
        <w:t xml:space="preserve">Even if employee is “at will” it is best practice to provide employee with written notice of charges and a pre-disciplinary meeting.  </w:t>
      </w:r>
    </w:p>
    <w:p w14:paraId="26BA2294" w14:textId="46336EDD" w:rsidR="003E45EB" w:rsidRDefault="00487B06" w:rsidP="00F326E5">
      <w:pPr>
        <w:pStyle w:val="NoSpacing"/>
        <w:rPr>
          <w:rFonts w:ascii="Arial Black" w:hAnsi="Arial Black"/>
          <w:sz w:val="24"/>
          <w:szCs w:val="24"/>
        </w:rPr>
      </w:pPr>
      <w:r>
        <w:rPr>
          <w:rFonts w:ascii="Arial Black" w:hAnsi="Arial Black"/>
          <w:sz w:val="24"/>
          <w:szCs w:val="24"/>
        </w:rPr>
        <w:t>16-71</w:t>
      </w:r>
    </w:p>
    <w:p w14:paraId="4657ADC9" w14:textId="77777777" w:rsidR="00487B06" w:rsidRPr="00487B06" w:rsidRDefault="00487B06" w:rsidP="00487B06">
      <w:pPr>
        <w:pStyle w:val="NormalWeb"/>
        <w:rPr>
          <w:rFonts w:ascii="Arial Black" w:hAnsi="Arial Black"/>
          <w:b/>
          <w:bCs/>
          <w:sz w:val="28"/>
          <w:szCs w:val="28"/>
        </w:rPr>
      </w:pPr>
      <w:r w:rsidRPr="00487B06">
        <w:rPr>
          <w:rFonts w:ascii="Arial Black" w:hAnsi="Arial Black"/>
          <w:b/>
          <w:bCs/>
          <w:sz w:val="28"/>
          <w:szCs w:val="28"/>
        </w:rPr>
        <w:lastRenderedPageBreak/>
        <w:t>OH: ORANGE TOWNSHIP FF REINSTATED – ARBITRATOR DECISION UPHELD</w:t>
      </w:r>
    </w:p>
    <w:p w14:paraId="2CB2DE4C" w14:textId="77777777" w:rsidR="00487B06" w:rsidRPr="00487B06" w:rsidRDefault="00487B06" w:rsidP="00487B06">
      <w:pPr>
        <w:pStyle w:val="NormalWeb"/>
        <w:rPr>
          <w:rStyle w:val="markedcontent"/>
        </w:rPr>
      </w:pPr>
      <w:r w:rsidRPr="00487B06">
        <w:rPr>
          <w:bCs/>
        </w:rPr>
        <w:t xml:space="preserve">On Aug. 8, 2022, in </w:t>
      </w:r>
      <w:r w:rsidRPr="00487B06">
        <w:rPr>
          <w:rStyle w:val="markedcontent"/>
        </w:rPr>
        <w:t xml:space="preserve">Orange Twp. v. </w:t>
      </w:r>
      <w:proofErr w:type="spellStart"/>
      <w:r w:rsidRPr="00487B06">
        <w:rPr>
          <w:rStyle w:val="markedcontent"/>
        </w:rPr>
        <w:t>Internatl</w:t>
      </w:r>
      <w:proofErr w:type="spellEnd"/>
      <w:r w:rsidRPr="00487B06">
        <w:rPr>
          <w:rStyle w:val="markedcontent"/>
        </w:rPr>
        <w:t xml:space="preserve">. Assn. of Fire Fighters Local 3816, 2022-Ohio-2757, Court of Appeals of Delaware County held (3 to 0) the firefighters to be reinstated. </w:t>
      </w:r>
      <w:hyperlink r:id="rId2681" w:history="1">
        <w:r w:rsidRPr="00487B06">
          <w:rPr>
            <w:rStyle w:val="Hyperlink"/>
          </w:rPr>
          <w:t>https://www.supremecourt.ohio.gov/rod/docs/pdf/5/2022/2022-Ohio-2757.pdf</w:t>
        </w:r>
      </w:hyperlink>
      <w:r w:rsidRPr="00487B06">
        <w:rPr>
          <w:rStyle w:val="markedcontent"/>
        </w:rPr>
        <w:t xml:space="preserve"> </w:t>
      </w:r>
    </w:p>
    <w:p w14:paraId="6506E120" w14:textId="77777777" w:rsidR="00487B06" w:rsidRPr="00487B06" w:rsidRDefault="00487B06" w:rsidP="00487B06">
      <w:pPr>
        <w:pStyle w:val="NormalWeb"/>
        <w:rPr>
          <w:rStyle w:val="markedcontent"/>
        </w:rPr>
      </w:pPr>
      <w:r w:rsidRPr="00487B06">
        <w:rPr>
          <w:rStyle w:val="markedcontent"/>
        </w:rPr>
        <w:t xml:space="preserve">“In October 2016, Marcus Musser started working as a part-time firefighter for appellant and was assigned to 1-Unit at Station 361. The </w:t>
      </w:r>
      <w:proofErr w:type="spellStart"/>
      <w:r w:rsidRPr="00487B06">
        <w:rPr>
          <w:rStyle w:val="markedcontent"/>
        </w:rPr>
        <w:t>grievants</w:t>
      </w:r>
      <w:proofErr w:type="spellEnd"/>
      <w:r w:rsidRPr="00487B06">
        <w:rPr>
          <w:rStyle w:val="markedcontent"/>
        </w:rPr>
        <w:t xml:space="preserve"> herein are fellow firefighter Bradley Belville and appellant's chain of command, Lieutenant David Martin and Captain John Hodges. In September 2019, Musser requested a transfer and was</w:t>
      </w:r>
      <w:r w:rsidRPr="00487B06">
        <w:br/>
      </w:r>
      <w:r w:rsidRPr="00487B06">
        <w:rPr>
          <w:rStyle w:val="markedcontent"/>
        </w:rPr>
        <w:t>subsequently transferred to 2-Unit. Fire Chief Matt Noble interviewed Musser regarding his transfer request.</w:t>
      </w:r>
      <w:r w:rsidRPr="00487B06">
        <w:br/>
      </w:r>
      <w:r w:rsidRPr="00487B06">
        <w:rPr>
          <w:rStyle w:val="markedcontent"/>
        </w:rPr>
        <w:t xml:space="preserve">Thereafter, Chief Noble conducted an investigation, held </w:t>
      </w:r>
      <w:proofErr w:type="spellStart"/>
      <w:r w:rsidRPr="00487B06">
        <w:rPr>
          <w:rStyle w:val="markedcontent"/>
        </w:rPr>
        <w:t>predisciplinary</w:t>
      </w:r>
      <w:proofErr w:type="spellEnd"/>
      <w:r w:rsidRPr="00487B06">
        <w:rPr>
          <w:rStyle w:val="markedcontent"/>
        </w:rPr>
        <w:t xml:space="preserve"> hearings, and in reports dated December 5, 2019, recommended the termination of the </w:t>
      </w:r>
      <w:proofErr w:type="spellStart"/>
      <w:r w:rsidRPr="00487B06">
        <w:rPr>
          <w:rStyle w:val="markedcontent"/>
        </w:rPr>
        <w:t>grievants</w:t>
      </w:r>
      <w:proofErr w:type="spellEnd"/>
      <w:r w:rsidRPr="00487B06">
        <w:rPr>
          <w:rStyle w:val="markedcontent"/>
        </w:rPr>
        <w:t xml:space="preserve"> for violating several sections of the Orange Township policies including threats or acts of physical violence against a coworker, abusive behavior, hazing, harassment of a</w:t>
      </w:r>
      <w:r w:rsidRPr="00487B06">
        <w:br/>
      </w:r>
      <w:r w:rsidRPr="00487B06">
        <w:rPr>
          <w:rStyle w:val="markedcontent"/>
        </w:rPr>
        <w:t xml:space="preserve">coworker, conduct unbecoming, neglect of duty, and failure to meet essential job functions. *** The arbitrator determined the facts did not rise to the level of just cause. Contract interpretation is left to the discretion of the arbitrator </w:t>
      </w:r>
      <w:proofErr w:type="gramStart"/>
      <w:r w:rsidRPr="00487B06">
        <w:rPr>
          <w:rStyle w:val="markedcontent"/>
        </w:rPr>
        <w:t>as long as</w:t>
      </w:r>
      <w:proofErr w:type="gramEnd"/>
      <w:r w:rsidRPr="00487B06">
        <w:rPr>
          <w:rStyle w:val="markedcontent"/>
        </w:rPr>
        <w:t xml:space="preserve"> it does not conflict with an express term in the CBA and/or cannot be rationally derived from the terms of the CBA. We cannot find either to apply in this case.”</w:t>
      </w:r>
    </w:p>
    <w:p w14:paraId="0BC1E463" w14:textId="77777777" w:rsidR="003E45EB" w:rsidRDefault="003E45EB" w:rsidP="00F326E5">
      <w:pPr>
        <w:pStyle w:val="NoSpacing"/>
        <w:rPr>
          <w:rFonts w:ascii="Arial Black" w:hAnsi="Arial Black"/>
          <w:sz w:val="24"/>
          <w:szCs w:val="24"/>
        </w:rPr>
      </w:pPr>
    </w:p>
    <w:p w14:paraId="2038F830" w14:textId="77777777" w:rsidR="00487B06" w:rsidRDefault="00487B06" w:rsidP="00F326E5">
      <w:pPr>
        <w:pStyle w:val="NoSpacing"/>
        <w:rPr>
          <w:rFonts w:ascii="Arial Black" w:hAnsi="Arial Black"/>
          <w:sz w:val="24"/>
          <w:szCs w:val="24"/>
        </w:rPr>
      </w:pPr>
    </w:p>
    <w:p w14:paraId="4A703F08" w14:textId="77777777" w:rsidR="00487B06" w:rsidRDefault="00487B06" w:rsidP="00F326E5">
      <w:pPr>
        <w:pStyle w:val="NoSpacing"/>
        <w:rPr>
          <w:rFonts w:ascii="Arial Black" w:hAnsi="Arial Black"/>
          <w:sz w:val="24"/>
          <w:szCs w:val="24"/>
        </w:rPr>
      </w:pPr>
    </w:p>
    <w:p w14:paraId="56A1E4B4" w14:textId="77777777" w:rsidR="00487B06" w:rsidRDefault="00487B06" w:rsidP="00F326E5">
      <w:pPr>
        <w:pStyle w:val="NoSpacing"/>
        <w:rPr>
          <w:rFonts w:ascii="Arial Black" w:hAnsi="Arial Black"/>
          <w:sz w:val="24"/>
          <w:szCs w:val="24"/>
        </w:rPr>
      </w:pPr>
    </w:p>
    <w:p w14:paraId="0B549152" w14:textId="77777777" w:rsidR="00487B06" w:rsidRDefault="00487B06" w:rsidP="00F326E5">
      <w:pPr>
        <w:pStyle w:val="NoSpacing"/>
        <w:rPr>
          <w:rFonts w:ascii="Arial Black" w:hAnsi="Arial Black"/>
          <w:sz w:val="24"/>
          <w:szCs w:val="24"/>
        </w:rPr>
      </w:pPr>
    </w:p>
    <w:p w14:paraId="12435A16" w14:textId="1BCFBB63" w:rsidR="007051EE" w:rsidRDefault="007051EE" w:rsidP="00F326E5">
      <w:pPr>
        <w:pStyle w:val="NoSpacing"/>
        <w:rPr>
          <w:rFonts w:ascii="Arial Black" w:hAnsi="Arial Black"/>
          <w:sz w:val="24"/>
          <w:szCs w:val="24"/>
        </w:rPr>
      </w:pPr>
      <w:r>
        <w:rPr>
          <w:rFonts w:ascii="Arial Black" w:hAnsi="Arial Black"/>
          <w:sz w:val="24"/>
          <w:szCs w:val="24"/>
        </w:rPr>
        <w:t>16-7</w:t>
      </w:r>
      <w:r w:rsidR="00C24A79">
        <w:rPr>
          <w:rFonts w:ascii="Arial Black" w:hAnsi="Arial Black"/>
          <w:sz w:val="24"/>
          <w:szCs w:val="24"/>
        </w:rPr>
        <w:t>0</w:t>
      </w:r>
    </w:p>
    <w:p w14:paraId="10978E10" w14:textId="77777777" w:rsidR="007051EE" w:rsidRPr="00B873A1" w:rsidRDefault="007051EE" w:rsidP="007051EE">
      <w:pPr>
        <w:spacing w:before="100" w:beforeAutospacing="1" w:after="100" w:afterAutospacing="1" w:line="240" w:lineRule="auto"/>
        <w:rPr>
          <w:rFonts w:ascii="Arial Black" w:eastAsia="Times New Roman" w:hAnsi="Arial Black"/>
          <w:b/>
          <w:bCs/>
          <w:sz w:val="28"/>
          <w:szCs w:val="28"/>
        </w:rPr>
      </w:pPr>
      <w:r w:rsidRPr="00B873A1">
        <w:rPr>
          <w:rFonts w:ascii="Arial Black" w:eastAsia="Times New Roman" w:hAnsi="Arial Black"/>
          <w:b/>
          <w:bCs/>
          <w:sz w:val="28"/>
          <w:szCs w:val="28"/>
        </w:rPr>
        <w:t xml:space="preserve">TX: LT. FIRED, REINSTATED AFTER 4 YRS – HIS INCOME DURING SUSPENSION MORE THAN </w:t>
      </w:r>
      <w:r>
        <w:rPr>
          <w:rFonts w:ascii="Arial Black" w:eastAsia="Times New Roman" w:hAnsi="Arial Black"/>
          <w:b/>
          <w:bCs/>
          <w:sz w:val="28"/>
          <w:szCs w:val="28"/>
        </w:rPr>
        <w:t xml:space="preserve">FF - </w:t>
      </w:r>
      <w:r w:rsidRPr="00B873A1">
        <w:rPr>
          <w:rFonts w:ascii="Arial Black" w:eastAsia="Times New Roman" w:hAnsi="Arial Black"/>
          <w:b/>
          <w:bCs/>
          <w:sz w:val="28"/>
          <w:szCs w:val="28"/>
        </w:rPr>
        <w:t>PARTIAL BACK PAY</w:t>
      </w:r>
    </w:p>
    <w:p w14:paraId="2131C279" w14:textId="77777777" w:rsidR="007051EE" w:rsidRDefault="007051EE" w:rsidP="007051EE">
      <w:pPr>
        <w:rPr>
          <w:rFonts w:ascii="Times New Roman" w:eastAsia="Times New Roman" w:hAnsi="Times New Roman"/>
          <w:sz w:val="24"/>
          <w:szCs w:val="24"/>
        </w:rPr>
      </w:pPr>
      <w:r w:rsidRPr="00293AC3">
        <w:rPr>
          <w:rFonts w:ascii="Times New Roman" w:eastAsia="Times New Roman" w:hAnsi="Times New Roman"/>
          <w:sz w:val="24"/>
          <w:szCs w:val="24"/>
        </w:rPr>
        <w:t xml:space="preserve">On July 28, 2022, in </w:t>
      </w:r>
      <w:r w:rsidRPr="00293AC3">
        <w:rPr>
          <w:rFonts w:ascii="Times New Roman" w:eastAsia="Times New Roman" w:hAnsi="Times New Roman"/>
          <w:sz w:val="24"/>
          <w:szCs w:val="24"/>
          <w:u w:val="single"/>
        </w:rPr>
        <w:t>Fabian Scott Butler v. City of Big Springs, Texas</w:t>
      </w:r>
      <w:r>
        <w:rPr>
          <w:rFonts w:ascii="Times New Roman" w:eastAsia="Times New Roman" w:hAnsi="Times New Roman"/>
          <w:sz w:val="24"/>
          <w:szCs w:val="24"/>
        </w:rPr>
        <w:t xml:space="preserve">, the TX Eleventh Circuit Court of Appeals reversed a trial court </w:t>
      </w:r>
      <w:proofErr w:type="gramStart"/>
      <w:r>
        <w:rPr>
          <w:rFonts w:ascii="Times New Roman" w:eastAsia="Times New Roman" w:hAnsi="Times New Roman"/>
          <w:sz w:val="24"/>
          <w:szCs w:val="24"/>
        </w:rPr>
        <w:t>that which</w:t>
      </w:r>
      <w:proofErr w:type="gramEnd"/>
      <w:r>
        <w:rPr>
          <w:rFonts w:ascii="Times New Roman" w:eastAsia="Times New Roman" w:hAnsi="Times New Roman"/>
          <w:sz w:val="24"/>
          <w:szCs w:val="24"/>
        </w:rPr>
        <w:t xml:space="preserve"> had agreed with City that Lt. Butler was not entitled to any back pay.  Court of Appeals held that Butler is entitled to back pay for any FD pay </w:t>
      </w:r>
      <w:proofErr w:type="gramStart"/>
      <w:r>
        <w:rPr>
          <w:rFonts w:ascii="Times New Roman" w:eastAsia="Times New Roman" w:hAnsi="Times New Roman"/>
          <w:sz w:val="24"/>
          <w:szCs w:val="24"/>
        </w:rPr>
        <w:t>periods</w:t>
      </w:r>
      <w:proofErr w:type="gramEnd"/>
      <w:r>
        <w:rPr>
          <w:rFonts w:ascii="Times New Roman" w:eastAsia="Times New Roman" w:hAnsi="Times New Roman"/>
          <w:sz w:val="24"/>
          <w:szCs w:val="24"/>
        </w:rPr>
        <w:t xml:space="preserve"> where his outside income was less than he would have made on FD.  </w:t>
      </w:r>
      <w:hyperlink r:id="rId2682" w:history="1">
        <w:r w:rsidRPr="00081EF4">
          <w:rPr>
            <w:rStyle w:val="Hyperlink"/>
            <w:rFonts w:ascii="Times New Roman" w:eastAsia="Times New Roman" w:hAnsi="Times New Roman"/>
            <w:sz w:val="24"/>
            <w:szCs w:val="24"/>
          </w:rPr>
          <w:t>https://cases.justia.com/texas/eleventh-court-of-appeals/2022-11-21-00026-cv.pdf?ts=1659010960</w:t>
        </w:r>
      </w:hyperlink>
      <w:r>
        <w:rPr>
          <w:rFonts w:ascii="Times New Roman" w:eastAsia="Times New Roman" w:hAnsi="Times New Roman"/>
          <w:sz w:val="24"/>
          <w:szCs w:val="24"/>
        </w:rPr>
        <w:t xml:space="preserve"> </w:t>
      </w:r>
    </w:p>
    <w:p w14:paraId="2987B6F8" w14:textId="77777777" w:rsidR="007051EE" w:rsidRDefault="007051EE" w:rsidP="007051EE">
      <w:pPr>
        <w:rPr>
          <w:rStyle w:val="markedcontent"/>
          <w:rFonts w:ascii="Times New Roman" w:hAnsi="Times New Roman"/>
          <w:b/>
          <w:bCs/>
          <w:sz w:val="24"/>
          <w:szCs w:val="24"/>
        </w:rPr>
      </w:pPr>
      <w:r w:rsidRPr="00104D9E">
        <w:rPr>
          <w:rStyle w:val="markedcontent"/>
          <w:rFonts w:ascii="Times New Roman" w:hAnsi="Times New Roman"/>
          <w:b/>
          <w:bCs/>
          <w:sz w:val="24"/>
          <w:szCs w:val="24"/>
        </w:rPr>
        <w:t xml:space="preserve">Legal Lesson Learned: </w:t>
      </w:r>
      <w:r>
        <w:rPr>
          <w:rStyle w:val="markedcontent"/>
          <w:rFonts w:ascii="Times New Roman" w:hAnsi="Times New Roman"/>
          <w:b/>
          <w:bCs/>
          <w:sz w:val="24"/>
          <w:szCs w:val="24"/>
        </w:rPr>
        <w:t xml:space="preserve">Progressive discipline; the offense needs to be extremely serious to terminate a career firefighter who has never previously been suspended. </w:t>
      </w:r>
    </w:p>
    <w:p w14:paraId="56832288" w14:textId="77777777" w:rsidR="007051EE" w:rsidRPr="00BF0238" w:rsidRDefault="007051EE" w:rsidP="007051EE">
      <w:pPr>
        <w:ind w:left="720"/>
        <w:rPr>
          <w:rStyle w:val="markedcontent"/>
          <w:rFonts w:ascii="Times New Roman" w:hAnsi="Times New Roman"/>
          <w:sz w:val="24"/>
          <w:szCs w:val="24"/>
        </w:rPr>
      </w:pPr>
      <w:r>
        <w:rPr>
          <w:rStyle w:val="markedcontent"/>
          <w:rFonts w:ascii="Times New Roman" w:hAnsi="Times New Roman"/>
          <w:sz w:val="24"/>
          <w:szCs w:val="24"/>
        </w:rPr>
        <w:t xml:space="preserve">Note:  Not clear why the fire department rehired the plaintiff on Sept. 23, 2019.  A search </w:t>
      </w:r>
      <w:proofErr w:type="gramStart"/>
      <w:r>
        <w:rPr>
          <w:rStyle w:val="markedcontent"/>
          <w:rFonts w:ascii="Times New Roman" w:hAnsi="Times New Roman"/>
          <w:sz w:val="24"/>
          <w:szCs w:val="24"/>
        </w:rPr>
        <w:t>of</w:t>
      </w:r>
      <w:proofErr w:type="gramEnd"/>
      <w:r>
        <w:rPr>
          <w:rStyle w:val="markedcontent"/>
          <w:rFonts w:ascii="Times New Roman" w:hAnsi="Times New Roman"/>
          <w:sz w:val="24"/>
          <w:szCs w:val="24"/>
        </w:rPr>
        <w:t xml:space="preserve"> Federal Court records reflects that on Sept. 4. 2015, the Plaintiff filed a lawsuit against the fire department in U.S. District Court, Northern District of Texas (Abilene Division), and on October 17, </w:t>
      </w:r>
      <w:proofErr w:type="gramStart"/>
      <w:r>
        <w:rPr>
          <w:rStyle w:val="markedcontent"/>
          <w:rFonts w:ascii="Times New Roman" w:hAnsi="Times New Roman"/>
          <w:sz w:val="24"/>
          <w:szCs w:val="24"/>
        </w:rPr>
        <w:t>2017</w:t>
      </w:r>
      <w:proofErr w:type="gramEnd"/>
      <w:r>
        <w:rPr>
          <w:rStyle w:val="markedcontent"/>
          <w:rFonts w:ascii="Times New Roman" w:hAnsi="Times New Roman"/>
          <w:sz w:val="24"/>
          <w:szCs w:val="24"/>
        </w:rPr>
        <w:t xml:space="preserve"> a jury held for the fire department. </w:t>
      </w:r>
      <w:hyperlink r:id="rId2683" w:history="1">
        <w:r w:rsidRPr="00BF0238">
          <w:rPr>
            <w:rStyle w:val="Hyperlink"/>
            <w:rFonts w:ascii="Times New Roman" w:hAnsi="Times New Roman"/>
            <w:sz w:val="24"/>
            <w:szCs w:val="24"/>
          </w:rPr>
          <w:t>Case Title Butler v. City of Big Spring.pdf</w:t>
        </w:r>
      </w:hyperlink>
      <w:r w:rsidRPr="00BF0238">
        <w:rPr>
          <w:rFonts w:ascii="Times New Roman" w:hAnsi="Times New Roman"/>
          <w:sz w:val="24"/>
          <w:szCs w:val="24"/>
        </w:rPr>
        <w:t xml:space="preserve">. </w:t>
      </w:r>
      <w:r>
        <w:rPr>
          <w:rFonts w:ascii="Times New Roman" w:hAnsi="Times New Roman"/>
          <w:sz w:val="24"/>
          <w:szCs w:val="24"/>
        </w:rPr>
        <w:t xml:space="preserve"> </w:t>
      </w:r>
    </w:p>
    <w:p w14:paraId="6B575653" w14:textId="77777777" w:rsidR="007051EE" w:rsidRDefault="007051EE" w:rsidP="00F326E5">
      <w:pPr>
        <w:pStyle w:val="NoSpacing"/>
        <w:rPr>
          <w:rFonts w:ascii="Arial Black" w:hAnsi="Arial Black"/>
          <w:sz w:val="24"/>
          <w:szCs w:val="24"/>
        </w:rPr>
      </w:pPr>
    </w:p>
    <w:p w14:paraId="6612A982" w14:textId="77777777" w:rsidR="007051EE" w:rsidRDefault="007051EE" w:rsidP="00F326E5">
      <w:pPr>
        <w:pStyle w:val="NoSpacing"/>
        <w:rPr>
          <w:rFonts w:ascii="Arial Black" w:hAnsi="Arial Black"/>
          <w:sz w:val="24"/>
          <w:szCs w:val="24"/>
        </w:rPr>
      </w:pPr>
    </w:p>
    <w:p w14:paraId="49755AB2" w14:textId="77777777" w:rsidR="007051EE" w:rsidRDefault="007051EE" w:rsidP="00F326E5">
      <w:pPr>
        <w:pStyle w:val="NoSpacing"/>
        <w:rPr>
          <w:rFonts w:ascii="Arial Black" w:hAnsi="Arial Black"/>
          <w:sz w:val="24"/>
          <w:szCs w:val="24"/>
        </w:rPr>
      </w:pPr>
    </w:p>
    <w:p w14:paraId="3F8FAD9F" w14:textId="74FDD8DC" w:rsidR="007051EE" w:rsidRDefault="007051EE" w:rsidP="00F326E5">
      <w:pPr>
        <w:pStyle w:val="NoSpacing"/>
        <w:rPr>
          <w:rFonts w:ascii="Arial Black" w:hAnsi="Arial Black"/>
          <w:sz w:val="24"/>
          <w:szCs w:val="24"/>
        </w:rPr>
      </w:pPr>
      <w:r>
        <w:rPr>
          <w:rFonts w:ascii="Arial Black" w:hAnsi="Arial Black"/>
          <w:sz w:val="24"/>
          <w:szCs w:val="24"/>
        </w:rPr>
        <w:t>16-69</w:t>
      </w:r>
    </w:p>
    <w:p w14:paraId="1C4FE465" w14:textId="77777777" w:rsidR="007051EE" w:rsidRDefault="007051EE" w:rsidP="007051EE">
      <w:pPr>
        <w:spacing w:before="100" w:beforeAutospacing="1" w:after="100" w:afterAutospacing="1" w:line="240" w:lineRule="auto"/>
        <w:rPr>
          <w:rFonts w:ascii="Arial Black" w:eastAsia="Times New Roman" w:hAnsi="Arial Black"/>
          <w:sz w:val="28"/>
          <w:szCs w:val="28"/>
        </w:rPr>
      </w:pPr>
      <w:r>
        <w:rPr>
          <w:rFonts w:ascii="Arial Black" w:eastAsia="Times New Roman" w:hAnsi="Arial Black"/>
          <w:sz w:val="28"/>
          <w:szCs w:val="28"/>
        </w:rPr>
        <w:t xml:space="preserve">MA: BACKGROUND CHECK – FD APPLICANT ARREST 7 YRS PRIOR HIT GIRLFRIEND – NO CONV / CAN SUE REPORT CO. </w:t>
      </w:r>
    </w:p>
    <w:p w14:paraId="3FF9BF72" w14:textId="77777777" w:rsidR="007051EE" w:rsidRDefault="007051EE" w:rsidP="007051EE">
      <w:pPr>
        <w:spacing w:before="100" w:beforeAutospacing="1" w:after="100" w:afterAutospacing="1" w:line="240" w:lineRule="auto"/>
        <w:rPr>
          <w:rFonts w:ascii="Times New Roman" w:hAnsi="Times New Roman"/>
          <w:sz w:val="24"/>
          <w:szCs w:val="24"/>
        </w:rPr>
      </w:pPr>
      <w:r>
        <w:rPr>
          <w:rFonts w:ascii="Times New Roman" w:eastAsia="Times New Roman" w:hAnsi="Times New Roman"/>
          <w:sz w:val="24"/>
          <w:szCs w:val="24"/>
        </w:rPr>
        <w:t xml:space="preserve">On July 7, 2022, in </w:t>
      </w:r>
      <w:r w:rsidRPr="0009131B">
        <w:rPr>
          <w:rFonts w:ascii="Times New Roman" w:eastAsia="Times New Roman" w:hAnsi="Times New Roman"/>
          <w:sz w:val="24"/>
          <w:szCs w:val="24"/>
          <w:u w:val="single"/>
        </w:rPr>
        <w:t>Gerald Meuse v. National P.I. Services, LLC et al</w:t>
      </w:r>
      <w:r>
        <w:rPr>
          <w:rFonts w:ascii="Times New Roman" w:eastAsia="Times New Roman" w:hAnsi="Times New Roman"/>
          <w:sz w:val="24"/>
          <w:szCs w:val="24"/>
        </w:rPr>
        <w:t xml:space="preserve">., U.S. District Court judge Allison D. Burroughs, U.S. District Court for the District of Massachusetts, held that the plaintiff may file an amended complaint against the defendant Consumer Reporting Agency (CRA) under the “seven-year lookback” limits in the federal Fair Credit Reporting Act, </w:t>
      </w:r>
      <w:r w:rsidRPr="005F79BA">
        <w:rPr>
          <w:rFonts w:ascii="Times New Roman" w:hAnsi="Times New Roman"/>
          <w:sz w:val="24"/>
          <w:szCs w:val="24"/>
        </w:rPr>
        <w:t>and</w:t>
      </w:r>
      <w:r>
        <w:rPr>
          <w:rFonts w:ascii="Times New Roman" w:hAnsi="Times New Roman"/>
          <w:sz w:val="24"/>
          <w:szCs w:val="24"/>
        </w:rPr>
        <w:t xml:space="preserve"> also prohibitions on use of arrest records under </w:t>
      </w:r>
      <w:r w:rsidRPr="005F79BA">
        <w:rPr>
          <w:rFonts w:ascii="Times New Roman" w:hAnsi="Times New Roman"/>
          <w:sz w:val="24"/>
          <w:szCs w:val="24"/>
        </w:rPr>
        <w:t>Massachusetts</w:t>
      </w:r>
      <w:r>
        <w:rPr>
          <w:rFonts w:ascii="Times New Roman" w:hAnsi="Times New Roman"/>
          <w:sz w:val="24"/>
          <w:szCs w:val="24"/>
        </w:rPr>
        <w:t xml:space="preserve"> laws. </w:t>
      </w:r>
      <w:r w:rsidRPr="005F79BA">
        <w:rPr>
          <w:rFonts w:ascii="Times New Roman" w:hAnsi="Times New Roman"/>
          <w:sz w:val="24"/>
          <w:szCs w:val="24"/>
        </w:rPr>
        <w:t xml:space="preserve"> </w:t>
      </w:r>
      <w:r>
        <w:rPr>
          <w:rFonts w:ascii="Times New Roman" w:hAnsi="Times New Roman"/>
          <w:sz w:val="24"/>
          <w:szCs w:val="24"/>
        </w:rPr>
        <w:t>“</w:t>
      </w:r>
      <w:r w:rsidRPr="0095474C">
        <w:rPr>
          <w:rFonts w:ascii="Times New Roman" w:hAnsi="Times New Roman"/>
          <w:sz w:val="24"/>
          <w:szCs w:val="24"/>
        </w:rPr>
        <w:t xml:space="preserve">Section 1681c(a)(2) provides that CRAs must exclude from consumer reports </w:t>
      </w:r>
      <w:r>
        <w:rPr>
          <w:rFonts w:ascii="Times New Roman" w:hAnsi="Times New Roman"/>
          <w:sz w:val="24"/>
          <w:szCs w:val="24"/>
        </w:rPr>
        <w:t>‘</w:t>
      </w:r>
      <w:r w:rsidRPr="0095474C">
        <w:rPr>
          <w:rFonts w:ascii="Times New Roman" w:hAnsi="Times New Roman"/>
          <w:sz w:val="24"/>
          <w:szCs w:val="24"/>
        </w:rPr>
        <w:t>[c]</w:t>
      </w:r>
      <w:proofErr w:type="spellStart"/>
      <w:r w:rsidRPr="0095474C">
        <w:rPr>
          <w:rFonts w:ascii="Times New Roman" w:hAnsi="Times New Roman"/>
          <w:sz w:val="24"/>
          <w:szCs w:val="24"/>
        </w:rPr>
        <w:t>ivil</w:t>
      </w:r>
      <w:proofErr w:type="spellEnd"/>
      <w:r w:rsidRPr="0095474C">
        <w:rPr>
          <w:rFonts w:ascii="Times New Roman" w:hAnsi="Times New Roman"/>
          <w:sz w:val="24"/>
          <w:szCs w:val="24"/>
        </w:rPr>
        <w:t xml:space="preserve"> suits . . . and records of arrest that, from the date of entry, antedate the report by more than seven years[.]</w:t>
      </w:r>
      <w:r>
        <w:rPr>
          <w:rFonts w:ascii="Times New Roman" w:hAnsi="Times New Roman"/>
          <w:sz w:val="24"/>
          <w:szCs w:val="24"/>
        </w:rPr>
        <w:t>’</w:t>
      </w:r>
      <w:r w:rsidRPr="0095474C">
        <w:rPr>
          <w:rFonts w:ascii="Times New Roman" w:hAnsi="Times New Roman"/>
          <w:sz w:val="24"/>
          <w:szCs w:val="24"/>
        </w:rPr>
        <w:t xml:space="preserve"> The Amended Complaint asserts that Defendant violated § 1681c(a) by </w:t>
      </w:r>
      <w:r>
        <w:rPr>
          <w:rFonts w:ascii="Times New Roman" w:hAnsi="Times New Roman"/>
          <w:sz w:val="24"/>
          <w:szCs w:val="24"/>
        </w:rPr>
        <w:t>‘</w:t>
      </w:r>
      <w:proofErr w:type="spellStart"/>
      <w:r w:rsidRPr="0095474C">
        <w:rPr>
          <w:rFonts w:ascii="Times New Roman" w:hAnsi="Times New Roman"/>
          <w:sz w:val="24"/>
          <w:szCs w:val="24"/>
        </w:rPr>
        <w:t>disclos</w:t>
      </w:r>
      <w:proofErr w:type="spellEnd"/>
      <w:r w:rsidRPr="0095474C">
        <w:rPr>
          <w:rFonts w:ascii="Times New Roman" w:hAnsi="Times New Roman"/>
          <w:sz w:val="24"/>
          <w:szCs w:val="24"/>
        </w:rPr>
        <w:t>[</w:t>
      </w:r>
      <w:proofErr w:type="spellStart"/>
      <w:r w:rsidRPr="0095474C">
        <w:rPr>
          <w:rFonts w:ascii="Times New Roman" w:hAnsi="Times New Roman"/>
          <w:sz w:val="24"/>
          <w:szCs w:val="24"/>
        </w:rPr>
        <w:t>ing</w:t>
      </w:r>
      <w:proofErr w:type="spellEnd"/>
      <w:r w:rsidRPr="0095474C">
        <w:rPr>
          <w:rFonts w:ascii="Times New Roman" w:hAnsi="Times New Roman"/>
          <w:sz w:val="24"/>
          <w:szCs w:val="24"/>
        </w:rPr>
        <w:t>] [in the October 2019 Report] that in 2011 Plaintiff was arrested</w:t>
      </w:r>
      <w:r>
        <w:rPr>
          <w:rFonts w:ascii="Times New Roman" w:hAnsi="Times New Roman"/>
          <w:sz w:val="24"/>
          <w:szCs w:val="24"/>
        </w:rPr>
        <w:t xml:space="preserve">….’ </w:t>
      </w:r>
      <w:r w:rsidRPr="0095474C">
        <w:rPr>
          <w:rFonts w:ascii="Times New Roman" w:hAnsi="Times New Roman"/>
          <w:sz w:val="24"/>
          <w:szCs w:val="24"/>
        </w:rPr>
        <w:t xml:space="preserve"> </w:t>
      </w:r>
      <w:proofErr w:type="gramStart"/>
      <w:r w:rsidRPr="0095474C">
        <w:rPr>
          <w:rFonts w:ascii="Times New Roman" w:hAnsi="Times New Roman"/>
          <w:sz w:val="24"/>
          <w:szCs w:val="24"/>
        </w:rPr>
        <w:t>Thus</w:t>
      </w:r>
      <w:proofErr w:type="gramEnd"/>
      <w:r w:rsidRPr="0095474C">
        <w:rPr>
          <w:rFonts w:ascii="Times New Roman" w:hAnsi="Times New Roman"/>
          <w:sz w:val="24"/>
          <w:szCs w:val="24"/>
        </w:rPr>
        <w:t xml:space="preserve"> it plainly alleges the inclusion of information-his arrest-prohibited by § 1681c(a)(2). Therefore, the Court finds that Plaintiff has plausibly alleged a violation of § 1681c(a)(2).</w:t>
      </w:r>
      <w:r>
        <w:rPr>
          <w:rFonts w:ascii="Times New Roman" w:hAnsi="Times New Roman"/>
          <w:sz w:val="24"/>
          <w:szCs w:val="24"/>
        </w:rPr>
        <w:t xml:space="preserve">”  </w:t>
      </w:r>
      <w:hyperlink r:id="rId2684" w:history="1">
        <w:r w:rsidRPr="00177C22">
          <w:rPr>
            <w:rStyle w:val="Hyperlink"/>
            <w:rFonts w:ascii="Times New Roman" w:hAnsi="Times New Roman"/>
            <w:sz w:val="24"/>
            <w:szCs w:val="24"/>
          </w:rPr>
          <w:t>https://public.fastcase.com/J%2FJP6pdidelsXxEE4k%2BLMrj3s4T1D9o6YeH1P6QHRjfPwtPh7UBJw6%2FlyLsxvHVQo4RL4odtX24b6W6EIP3%2BuhoyWwf2ZSyK36dgjdjOjEg%3D</w:t>
        </w:r>
      </w:hyperlink>
      <w:r>
        <w:rPr>
          <w:rFonts w:ascii="Times New Roman" w:hAnsi="Times New Roman"/>
          <w:sz w:val="24"/>
          <w:szCs w:val="24"/>
        </w:rPr>
        <w:t xml:space="preserve"> </w:t>
      </w:r>
    </w:p>
    <w:p w14:paraId="6C1B621E" w14:textId="77777777" w:rsidR="007051EE" w:rsidRPr="00E633FE" w:rsidRDefault="007051EE" w:rsidP="007051EE">
      <w:pPr>
        <w:spacing w:before="100" w:beforeAutospacing="1" w:after="100" w:afterAutospacing="1" w:line="240" w:lineRule="auto"/>
        <w:rPr>
          <w:rFonts w:ascii="Times New Roman" w:eastAsia="Times New Roman" w:hAnsi="Times New Roman"/>
          <w:b/>
          <w:bCs/>
          <w:sz w:val="24"/>
          <w:szCs w:val="24"/>
        </w:rPr>
      </w:pPr>
      <w:r w:rsidRPr="00E633FE">
        <w:rPr>
          <w:rFonts w:ascii="Times New Roman" w:eastAsia="Times New Roman" w:hAnsi="Times New Roman"/>
          <w:b/>
          <w:bCs/>
          <w:sz w:val="24"/>
          <w:szCs w:val="24"/>
        </w:rPr>
        <w:t xml:space="preserve">Legal Lesson Learned: </w:t>
      </w:r>
      <w:r>
        <w:rPr>
          <w:rFonts w:ascii="Times New Roman" w:eastAsia="Times New Roman" w:hAnsi="Times New Roman"/>
          <w:b/>
          <w:bCs/>
          <w:sz w:val="24"/>
          <w:szCs w:val="24"/>
        </w:rPr>
        <w:t xml:space="preserve">Fire &amp; EMS departments may hire consumer reporting agency to conduct a background check on an applicant; the report must comply with federal and state laws about arrests without convictions.  </w:t>
      </w:r>
    </w:p>
    <w:p w14:paraId="7190119B" w14:textId="77777777" w:rsidR="007051EE" w:rsidRDefault="007051EE" w:rsidP="007051EE">
      <w:pPr>
        <w:spacing w:before="100" w:beforeAutospacing="1" w:after="100" w:afterAutospacing="1" w:line="240" w:lineRule="auto"/>
        <w:ind w:left="720"/>
        <w:rPr>
          <w:rFonts w:ascii="Times New Roman" w:eastAsia="Times New Roman" w:hAnsi="Times New Roman"/>
          <w:sz w:val="24"/>
          <w:szCs w:val="24"/>
        </w:rPr>
      </w:pPr>
      <w:r w:rsidRPr="00314821">
        <w:rPr>
          <w:rFonts w:ascii="Times New Roman" w:eastAsia="Times New Roman" w:hAnsi="Times New Roman"/>
          <w:sz w:val="24"/>
          <w:szCs w:val="24"/>
        </w:rPr>
        <w:t xml:space="preserve">Note: </w:t>
      </w:r>
      <w:r>
        <w:rPr>
          <w:rFonts w:ascii="Times New Roman" w:eastAsia="Times New Roman" w:hAnsi="Times New Roman"/>
          <w:sz w:val="24"/>
          <w:szCs w:val="24"/>
        </w:rPr>
        <w:t xml:space="preserve">Some states prohibit prospective employers from asking applicants about arrest records where there was no conviction. The Court reviewed Massachusetts law. </w:t>
      </w:r>
    </w:p>
    <w:p w14:paraId="3F005920" w14:textId="77777777" w:rsidR="007051EE" w:rsidRDefault="007051EE" w:rsidP="007051EE">
      <w:pPr>
        <w:spacing w:before="100" w:beforeAutospacing="1" w:after="100" w:afterAutospacing="1" w:line="240" w:lineRule="auto"/>
        <w:ind w:left="720"/>
        <w:rPr>
          <w:rFonts w:ascii="Times New Roman" w:hAnsi="Times New Roman"/>
          <w:sz w:val="24"/>
          <w:szCs w:val="24"/>
        </w:rPr>
      </w:pPr>
      <w:r>
        <w:rPr>
          <w:rFonts w:ascii="Times New Roman" w:eastAsia="Times New Roman" w:hAnsi="Times New Roman"/>
          <w:sz w:val="24"/>
          <w:szCs w:val="24"/>
        </w:rPr>
        <w:t>“</w:t>
      </w:r>
      <w:r w:rsidRPr="00314821">
        <w:rPr>
          <w:rFonts w:ascii="Times New Roman" w:hAnsi="Times New Roman"/>
          <w:sz w:val="24"/>
          <w:szCs w:val="24"/>
        </w:rPr>
        <w:t xml:space="preserve">Chapter 151B, § 4(9), in part, prohibits </w:t>
      </w:r>
      <w:r>
        <w:rPr>
          <w:rFonts w:ascii="Times New Roman" w:hAnsi="Times New Roman"/>
          <w:sz w:val="24"/>
          <w:szCs w:val="24"/>
        </w:rPr>
        <w:t>‘</w:t>
      </w:r>
      <w:proofErr w:type="spellStart"/>
      <w:r w:rsidRPr="00314821">
        <w:rPr>
          <w:rFonts w:ascii="Times New Roman" w:hAnsi="Times New Roman"/>
          <w:sz w:val="24"/>
          <w:szCs w:val="24"/>
        </w:rPr>
        <w:t>discriminat</w:t>
      </w:r>
      <w:proofErr w:type="spellEnd"/>
      <w:r w:rsidRPr="00314821">
        <w:rPr>
          <w:rFonts w:ascii="Times New Roman" w:hAnsi="Times New Roman"/>
          <w:sz w:val="24"/>
          <w:szCs w:val="24"/>
        </w:rPr>
        <w:t>[ion] against any person by reason of his or her failure to furnish such information through a written application or oral inquiry or otherwise regarding: (</w:t>
      </w:r>
      <w:proofErr w:type="spellStart"/>
      <w:r w:rsidRPr="00314821">
        <w:rPr>
          <w:rFonts w:ascii="Times New Roman" w:hAnsi="Times New Roman"/>
          <w:sz w:val="24"/>
          <w:szCs w:val="24"/>
        </w:rPr>
        <w:t>i</w:t>
      </w:r>
      <w:proofErr w:type="spellEnd"/>
      <w:r w:rsidRPr="00314821">
        <w:rPr>
          <w:rFonts w:ascii="Times New Roman" w:hAnsi="Times New Roman"/>
          <w:sz w:val="24"/>
          <w:szCs w:val="24"/>
        </w:rPr>
        <w:t>) an arrest, detention, or disposition regarding any violation of law in which no conviction resulted.</w:t>
      </w:r>
      <w:r>
        <w:rPr>
          <w:rFonts w:ascii="Times New Roman" w:hAnsi="Times New Roman"/>
          <w:sz w:val="24"/>
          <w:szCs w:val="24"/>
        </w:rPr>
        <w:t>’</w:t>
      </w:r>
      <w:r w:rsidRPr="00314821">
        <w:rPr>
          <w:rFonts w:ascii="Times New Roman" w:hAnsi="Times New Roman"/>
          <w:sz w:val="24"/>
          <w:szCs w:val="24"/>
        </w:rPr>
        <w:t xml:space="preserve"> The statute also prohibits an employer, or their agent, from requesting any information regarding an arrest that did not result in a conviction. </w:t>
      </w:r>
      <w:r w:rsidRPr="00314821">
        <w:rPr>
          <w:rFonts w:ascii="Times New Roman" w:hAnsi="Times New Roman"/>
          <w:i/>
          <w:iCs/>
          <w:sz w:val="24"/>
          <w:szCs w:val="24"/>
        </w:rPr>
        <w:t>Id.</w:t>
      </w:r>
      <w:r w:rsidRPr="00314821">
        <w:rPr>
          <w:rFonts w:ascii="Times New Roman" w:hAnsi="Times New Roman"/>
          <w:sz w:val="24"/>
          <w:szCs w:val="24"/>
        </w:rPr>
        <w:t xml:space="preserve"> The statute does not, however, prohibit employers from obtaining information about criminal charges from another source. Indeed, the Supreme Judicial Court of Massachusetts has held that Chapter 151B, § 4(9) was intended </w:t>
      </w:r>
      <w:r>
        <w:rPr>
          <w:rFonts w:ascii="Times New Roman" w:hAnsi="Times New Roman"/>
          <w:sz w:val="24"/>
          <w:szCs w:val="24"/>
        </w:rPr>
        <w:t>‘</w:t>
      </w:r>
      <w:r w:rsidRPr="00314821">
        <w:rPr>
          <w:rFonts w:ascii="Times New Roman" w:hAnsi="Times New Roman"/>
          <w:sz w:val="24"/>
          <w:szCs w:val="24"/>
        </w:rPr>
        <w:t>to protect employees from such requests from their employers and not to proscribe employers from seeking such information elsewhere.</w:t>
      </w:r>
      <w:r>
        <w:rPr>
          <w:rFonts w:ascii="Times New Roman" w:hAnsi="Times New Roman"/>
          <w:sz w:val="24"/>
          <w:szCs w:val="24"/>
        </w:rPr>
        <w:t>’</w:t>
      </w:r>
      <w:r w:rsidRPr="00314821">
        <w:rPr>
          <w:rFonts w:ascii="Times New Roman" w:hAnsi="Times New Roman"/>
          <w:sz w:val="24"/>
          <w:szCs w:val="24"/>
        </w:rPr>
        <w:t xml:space="preserve"> </w:t>
      </w:r>
      <w:r w:rsidRPr="00314821">
        <w:rPr>
          <w:rFonts w:ascii="Times New Roman" w:hAnsi="Times New Roman"/>
          <w:i/>
          <w:iCs/>
          <w:sz w:val="24"/>
          <w:szCs w:val="24"/>
        </w:rPr>
        <w:t>Bynes v. School Comm. of Boston,</w:t>
      </w:r>
      <w:r w:rsidRPr="00314821">
        <w:rPr>
          <w:rFonts w:ascii="Times New Roman" w:hAnsi="Times New Roman"/>
          <w:sz w:val="24"/>
          <w:szCs w:val="24"/>
        </w:rPr>
        <w:t xml:space="preserve"> 411 Mass. 264, 268 (Mass. 1991).</w:t>
      </w:r>
      <w:r>
        <w:rPr>
          <w:rFonts w:ascii="Times New Roman" w:hAnsi="Times New Roman"/>
          <w:sz w:val="24"/>
          <w:szCs w:val="24"/>
        </w:rPr>
        <w:t xml:space="preserve">” </w:t>
      </w:r>
      <w:hyperlink r:id="rId2685" w:history="1">
        <w:r w:rsidRPr="00177C22">
          <w:rPr>
            <w:rStyle w:val="Hyperlink"/>
            <w:rFonts w:ascii="Times New Roman" w:hAnsi="Times New Roman"/>
            <w:sz w:val="24"/>
            <w:szCs w:val="24"/>
          </w:rPr>
          <w:t>https://public.fastcase.com/J%2FJP6pdidelsXxEE4k%2BLMrj3s4T1D9o6YeH1P6QHRjfPwtPh7UBJw6%2FlyLsxvHVQo4RL4odtX24b6W6EIP3%2BuhoyWwf2ZSyK36dgjdjOjEg%3D</w:t>
        </w:r>
      </w:hyperlink>
      <w:r>
        <w:rPr>
          <w:rFonts w:ascii="Times New Roman" w:hAnsi="Times New Roman"/>
          <w:sz w:val="24"/>
          <w:szCs w:val="24"/>
        </w:rPr>
        <w:t xml:space="preserve"> </w:t>
      </w:r>
    </w:p>
    <w:p w14:paraId="0B67F72C" w14:textId="77777777" w:rsidR="007051EE" w:rsidRDefault="007051EE" w:rsidP="007051EE">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Under Ohio law:</w:t>
      </w:r>
    </w:p>
    <w:p w14:paraId="2E81FE98" w14:textId="77777777" w:rsidR="007051EE" w:rsidRDefault="007051EE" w:rsidP="007051EE">
      <w:pPr>
        <w:pStyle w:val="NormalWeb"/>
        <w:ind w:left="720"/>
      </w:pPr>
      <w:r>
        <w:t xml:space="preserve">“Ohio employers are required to </w:t>
      </w:r>
      <w:r>
        <w:rPr>
          <w:rStyle w:val="Strong"/>
        </w:rPr>
        <w:t>provide advance, written notice</w:t>
      </w:r>
      <w:r>
        <w:t xml:space="preserve"> of their intent to conduct </w:t>
      </w:r>
      <w:hyperlink r:id="rId2686" w:history="1">
        <w:r>
          <w:rPr>
            <w:rStyle w:val="Hyperlink"/>
            <w:rFonts w:eastAsiaTheme="majorEastAsia"/>
          </w:rPr>
          <w:t>pre-employment background checks</w:t>
        </w:r>
      </w:hyperlink>
      <w:r>
        <w:t xml:space="preserve">. The FCRA also requires employers to secure their applicants’ written consent before conducting employment background checks. If a background check reveals negative information in Ohio, employers must adhere to the two-step </w:t>
      </w:r>
      <w:hyperlink r:id="rId2687" w:history="1">
        <w:r>
          <w:rPr>
            <w:rStyle w:val="Hyperlink"/>
            <w:rFonts w:eastAsiaTheme="majorEastAsia"/>
          </w:rPr>
          <w:t>adverse action process</w:t>
        </w:r>
      </w:hyperlink>
      <w:r>
        <w:t xml:space="preserve"> before a final hiring decision is made.</w:t>
      </w:r>
    </w:p>
    <w:p w14:paraId="4C10DC1E" w14:textId="77777777" w:rsidR="007051EE" w:rsidRDefault="007051EE" w:rsidP="007051EE">
      <w:pPr>
        <w:pStyle w:val="NormalWeb"/>
        <w:ind w:left="720"/>
      </w:pPr>
      <w:r>
        <w:t>***</w:t>
      </w:r>
    </w:p>
    <w:p w14:paraId="3DD94F01" w14:textId="77777777" w:rsidR="007051EE" w:rsidRDefault="007051EE" w:rsidP="007051EE">
      <w:pPr>
        <w:pStyle w:val="NormalWeb"/>
        <w:ind w:left="720"/>
      </w:pPr>
      <w:r>
        <w:t xml:space="preserve">Public employers must follow the </w:t>
      </w:r>
      <w:r>
        <w:rPr>
          <w:rStyle w:val="Strong"/>
        </w:rPr>
        <w:t>state’s ban-the-box law</w:t>
      </w:r>
      <w:r>
        <w:t xml:space="preserve">. The Department of Administrative Services issued </w:t>
      </w:r>
      <w:hyperlink r:id="rId2688" w:history="1">
        <w:r>
          <w:rPr>
            <w:rStyle w:val="Hyperlink"/>
            <w:rFonts w:eastAsiaTheme="majorEastAsia"/>
          </w:rPr>
          <w:t>policy HR-29</w:t>
        </w:r>
      </w:hyperlink>
      <w:r>
        <w:t xml:space="preserve"> in 2015. This law prohibits public-sector employers from asking questions about criminal </w:t>
      </w:r>
      <w:proofErr w:type="gramStart"/>
      <w:r>
        <w:t>history information</w:t>
      </w:r>
      <w:proofErr w:type="gramEnd"/>
      <w:r>
        <w:t xml:space="preserve"> during the early phases of the hiring process.</w:t>
      </w:r>
    </w:p>
    <w:p w14:paraId="54B8A69D" w14:textId="77777777" w:rsidR="007051EE" w:rsidRDefault="007051EE" w:rsidP="007051EE">
      <w:pPr>
        <w:pStyle w:val="NormalWeb"/>
        <w:ind w:left="720"/>
      </w:pPr>
      <w:r>
        <w:lastRenderedPageBreak/>
        <w:t xml:space="preserve">Under </w:t>
      </w:r>
      <w:hyperlink r:id="rId2689" w:history="1">
        <w:r>
          <w:rPr>
            <w:rStyle w:val="Hyperlink"/>
            <w:rFonts w:eastAsiaTheme="majorEastAsia"/>
          </w:rPr>
          <w:t>ORC § 2953.32</w:t>
        </w:r>
      </w:hyperlink>
      <w:r>
        <w:t xml:space="preserve">, eligible offenders may petition the court to have certain criminal records sealed or expunged. Employers </w:t>
      </w:r>
      <w:r>
        <w:rPr>
          <w:rStyle w:val="Strong"/>
        </w:rPr>
        <w:t>are not allowed to ask applicants or employees</w:t>
      </w:r>
      <w:r>
        <w:t xml:space="preserve"> about sealed, expunged, pardoned, or erased records.” </w:t>
      </w:r>
      <w:hyperlink r:id="rId2690" w:history="1">
        <w:r w:rsidRPr="00177C22">
          <w:rPr>
            <w:rStyle w:val="Hyperlink"/>
            <w:rFonts w:eastAsiaTheme="majorEastAsia"/>
          </w:rPr>
          <w:t>https://iprospectcheck.com/ohio-background-check/</w:t>
        </w:r>
      </w:hyperlink>
      <w:r>
        <w:t xml:space="preserve"> </w:t>
      </w:r>
    </w:p>
    <w:p w14:paraId="4ADCB94A" w14:textId="77777777" w:rsidR="007051EE" w:rsidRDefault="007051EE" w:rsidP="007051EE">
      <w:pPr>
        <w:spacing w:before="100" w:beforeAutospacing="1" w:after="100" w:afterAutospacing="1" w:line="240" w:lineRule="auto"/>
        <w:rPr>
          <w:rFonts w:ascii="Times New Roman" w:hAnsi="Times New Roman"/>
          <w:sz w:val="24"/>
          <w:szCs w:val="24"/>
        </w:rPr>
      </w:pPr>
    </w:p>
    <w:p w14:paraId="0D94B0D0" w14:textId="77777777" w:rsidR="007051EE" w:rsidRDefault="007051EE" w:rsidP="00F326E5">
      <w:pPr>
        <w:pStyle w:val="NoSpacing"/>
        <w:rPr>
          <w:rFonts w:ascii="Arial Black" w:hAnsi="Arial Black"/>
          <w:sz w:val="24"/>
          <w:szCs w:val="24"/>
        </w:rPr>
      </w:pPr>
    </w:p>
    <w:p w14:paraId="7595D729" w14:textId="77777777" w:rsidR="007051EE" w:rsidRDefault="007051EE" w:rsidP="00F326E5">
      <w:pPr>
        <w:pStyle w:val="NoSpacing"/>
        <w:rPr>
          <w:rFonts w:ascii="Arial Black" w:hAnsi="Arial Black"/>
          <w:sz w:val="24"/>
          <w:szCs w:val="24"/>
        </w:rPr>
      </w:pPr>
    </w:p>
    <w:p w14:paraId="24E0C573" w14:textId="77777777" w:rsidR="007051EE" w:rsidRDefault="007051EE" w:rsidP="00F326E5">
      <w:pPr>
        <w:pStyle w:val="NoSpacing"/>
        <w:rPr>
          <w:rFonts w:ascii="Arial Black" w:hAnsi="Arial Black"/>
          <w:sz w:val="24"/>
          <w:szCs w:val="24"/>
        </w:rPr>
      </w:pPr>
    </w:p>
    <w:p w14:paraId="16AA628D" w14:textId="106C46B2" w:rsidR="00BA51CC" w:rsidRDefault="00BA51CC" w:rsidP="00F326E5">
      <w:pPr>
        <w:pStyle w:val="NoSpacing"/>
        <w:rPr>
          <w:rFonts w:ascii="Arial Black" w:hAnsi="Arial Black"/>
          <w:sz w:val="24"/>
          <w:szCs w:val="24"/>
        </w:rPr>
      </w:pPr>
      <w:r>
        <w:rPr>
          <w:rFonts w:ascii="Arial Black" w:hAnsi="Arial Black"/>
          <w:sz w:val="24"/>
          <w:szCs w:val="24"/>
        </w:rPr>
        <w:t>16-68</w:t>
      </w:r>
    </w:p>
    <w:p w14:paraId="45C7ACD3" w14:textId="77777777" w:rsidR="00BA51CC" w:rsidRDefault="00BA51CC" w:rsidP="00BA51CC">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TN: NEW WIFE MAY HAVE ALTERED WILL OF DECEASED FF – BATT. CHIEF ONLY SIGNED AS WIT. ORIGINAL - REHIRED</w:t>
      </w:r>
    </w:p>
    <w:p w14:paraId="545B87A3" w14:textId="59E48596" w:rsidR="00BA51CC" w:rsidRDefault="00BA51CC" w:rsidP="00BA51CC">
      <w:pPr>
        <w:pStyle w:val="NoSpacing"/>
        <w:rPr>
          <w:rStyle w:val="Hyperlink"/>
          <w:rFonts w:ascii="Times New Roman" w:hAnsi="Times New Roman"/>
          <w:sz w:val="24"/>
          <w:szCs w:val="24"/>
        </w:rPr>
      </w:pPr>
      <w:r w:rsidRPr="003572C6">
        <w:rPr>
          <w:rFonts w:ascii="Times New Roman" w:eastAsia="Times New Roman" w:hAnsi="Times New Roman"/>
          <w:sz w:val="24"/>
          <w:szCs w:val="24"/>
        </w:rPr>
        <w:t xml:space="preserve">On April 26, 2022, </w:t>
      </w:r>
      <w:r w:rsidRPr="005A463F">
        <w:rPr>
          <w:rFonts w:ascii="Times New Roman" w:eastAsia="Times New Roman" w:hAnsi="Times New Roman"/>
          <w:sz w:val="24"/>
          <w:szCs w:val="24"/>
        </w:rPr>
        <w:t xml:space="preserve">in </w:t>
      </w:r>
      <w:r w:rsidRPr="003572C6">
        <w:rPr>
          <w:rFonts w:ascii="Times New Roman" w:eastAsia="Times New Roman" w:hAnsi="Times New Roman"/>
          <w:sz w:val="24"/>
          <w:szCs w:val="24"/>
          <w:u w:val="single"/>
        </w:rPr>
        <w:t>City of Memphis v. Beverly Prye</w:t>
      </w:r>
      <w:r>
        <w:rPr>
          <w:rFonts w:ascii="Times New Roman" w:eastAsia="Times New Roman" w:hAnsi="Times New Roman"/>
          <w:sz w:val="24"/>
          <w:szCs w:val="24"/>
        </w:rPr>
        <w:t xml:space="preserve">, the Court of Appeals of Tennessee in Jackson held (3 to 0) that the City failed to prove that Battalion Chief Prye, a 21-year member of the Memphis FD, knew that the Will of late </w:t>
      </w:r>
      <w:r w:rsidRPr="003572C6">
        <w:rPr>
          <w:rFonts w:ascii="Times New Roman" w:hAnsi="Times New Roman"/>
          <w:sz w:val="24"/>
          <w:szCs w:val="24"/>
        </w:rPr>
        <w:t>Ulysses Jones, Jr</w:t>
      </w:r>
      <w:r>
        <w:rPr>
          <w:rFonts w:ascii="Times New Roman" w:hAnsi="Times New Roman"/>
          <w:sz w:val="24"/>
          <w:szCs w:val="24"/>
        </w:rPr>
        <w:t xml:space="preserve">. was a forgery.  Mr. Jones was also employed with Memphis FD until his death in </w:t>
      </w:r>
      <w:proofErr w:type="gramStart"/>
      <w:r>
        <w:rPr>
          <w:rFonts w:ascii="Times New Roman" w:hAnsi="Times New Roman"/>
          <w:sz w:val="24"/>
          <w:szCs w:val="24"/>
        </w:rPr>
        <w:t>Nov. 2010, and</w:t>
      </w:r>
      <w:proofErr w:type="gramEnd"/>
      <w:r>
        <w:rPr>
          <w:rFonts w:ascii="Times New Roman" w:hAnsi="Times New Roman"/>
          <w:sz w:val="24"/>
          <w:szCs w:val="24"/>
        </w:rPr>
        <w:t xml:space="preserve"> told Ms. Prye of his intentions to marry his girlfriend, Ms. Sandra Richards. The Court raised the possibility that the Will that was submitted to Probate Court by Ms. Richards, leaving all his estate to her, might not have been the document witnessed by the Battalion Chief. </w:t>
      </w:r>
      <w:hyperlink r:id="rId2691" w:history="1">
        <w:r w:rsidRPr="00C8589E">
          <w:rPr>
            <w:rStyle w:val="Hyperlink"/>
            <w:rFonts w:ascii="Times New Roman" w:hAnsi="Times New Roman"/>
            <w:sz w:val="24"/>
            <w:szCs w:val="24"/>
          </w:rPr>
          <w:t>https://www.tncourts.gov/sites/default/files/pryebeverlyopn.pdf</w:t>
        </w:r>
      </w:hyperlink>
    </w:p>
    <w:p w14:paraId="655F7501" w14:textId="77777777" w:rsidR="00BA51CC" w:rsidRPr="00A302C2" w:rsidRDefault="00BA51CC" w:rsidP="00BA51CC">
      <w:pPr>
        <w:spacing w:before="100" w:beforeAutospacing="1" w:after="100" w:afterAutospacing="1" w:line="240" w:lineRule="auto"/>
        <w:rPr>
          <w:rFonts w:ascii="Times New Roman" w:hAnsi="Times New Roman"/>
          <w:sz w:val="24"/>
          <w:szCs w:val="24"/>
        </w:rPr>
      </w:pPr>
      <w:r w:rsidRPr="00D23681">
        <w:rPr>
          <w:rFonts w:ascii="Times New Roman" w:hAnsi="Times New Roman"/>
          <w:b/>
          <w:bCs/>
          <w:sz w:val="24"/>
          <w:szCs w:val="24"/>
        </w:rPr>
        <w:t>Legal Lesson Learned</w:t>
      </w:r>
      <w:r>
        <w:rPr>
          <w:rFonts w:ascii="Times New Roman" w:hAnsi="Times New Roman"/>
          <w:b/>
          <w:bCs/>
          <w:sz w:val="24"/>
          <w:szCs w:val="24"/>
        </w:rPr>
        <w:t xml:space="preserve">: Employee reinstated with full back pay and benefits. </w:t>
      </w:r>
    </w:p>
    <w:p w14:paraId="04E1CC18" w14:textId="77777777" w:rsidR="00BA51CC" w:rsidRDefault="00BA51CC" w:rsidP="00BA51CC">
      <w:pPr>
        <w:pStyle w:val="NoSpacing"/>
        <w:rPr>
          <w:rFonts w:ascii="Arial Black" w:hAnsi="Arial Black"/>
          <w:sz w:val="24"/>
          <w:szCs w:val="24"/>
        </w:rPr>
      </w:pPr>
    </w:p>
    <w:p w14:paraId="5839D367" w14:textId="77777777" w:rsidR="00BA51CC" w:rsidRDefault="00BA51CC" w:rsidP="00F326E5">
      <w:pPr>
        <w:pStyle w:val="NoSpacing"/>
        <w:rPr>
          <w:rFonts w:ascii="Arial Black" w:hAnsi="Arial Black"/>
          <w:sz w:val="24"/>
          <w:szCs w:val="24"/>
        </w:rPr>
      </w:pPr>
    </w:p>
    <w:p w14:paraId="0D8B812F" w14:textId="77777777" w:rsidR="00BA51CC" w:rsidRDefault="00BA51CC" w:rsidP="00F326E5">
      <w:pPr>
        <w:pStyle w:val="NoSpacing"/>
        <w:rPr>
          <w:rFonts w:ascii="Arial Black" w:hAnsi="Arial Black"/>
          <w:sz w:val="24"/>
          <w:szCs w:val="24"/>
        </w:rPr>
      </w:pPr>
    </w:p>
    <w:p w14:paraId="2FFF2718" w14:textId="3D700563" w:rsidR="00BA51CC" w:rsidRDefault="00BA51CC" w:rsidP="00F326E5">
      <w:pPr>
        <w:pStyle w:val="NoSpacing"/>
        <w:rPr>
          <w:rFonts w:ascii="Arial Black" w:hAnsi="Arial Black"/>
          <w:sz w:val="24"/>
          <w:szCs w:val="24"/>
        </w:rPr>
      </w:pPr>
      <w:r>
        <w:rPr>
          <w:rFonts w:ascii="Arial Black" w:hAnsi="Arial Black"/>
          <w:sz w:val="24"/>
          <w:szCs w:val="24"/>
        </w:rPr>
        <w:t>16-67</w:t>
      </w:r>
    </w:p>
    <w:p w14:paraId="69475352" w14:textId="77777777" w:rsidR="00BA51CC" w:rsidRPr="006A4F17" w:rsidRDefault="00BA51CC" w:rsidP="00BA51CC">
      <w:pPr>
        <w:spacing w:before="100" w:beforeAutospacing="1" w:after="100" w:afterAutospacing="1" w:line="240" w:lineRule="auto"/>
        <w:rPr>
          <w:rFonts w:ascii="Arial Black" w:eastAsia="Times New Roman" w:hAnsi="Arial Black"/>
          <w:sz w:val="28"/>
          <w:szCs w:val="28"/>
        </w:rPr>
      </w:pPr>
      <w:r>
        <w:rPr>
          <w:rFonts w:ascii="Arial Black" w:eastAsia="Times New Roman" w:hAnsi="Arial Black"/>
          <w:sz w:val="28"/>
          <w:szCs w:val="28"/>
        </w:rPr>
        <w:t>GA: FIRE CHIEF FIRED – AFFAIR – 1</w:t>
      </w:r>
      <w:r w:rsidRPr="00701857">
        <w:rPr>
          <w:rFonts w:ascii="Arial Black" w:eastAsia="Times New Roman" w:hAnsi="Arial Black"/>
          <w:sz w:val="28"/>
          <w:szCs w:val="28"/>
          <w:vertAlign w:val="superscript"/>
        </w:rPr>
        <w:t>st</w:t>
      </w:r>
      <w:r>
        <w:rPr>
          <w:rFonts w:ascii="Arial Black" w:eastAsia="Times New Roman" w:hAnsi="Arial Black"/>
          <w:sz w:val="28"/>
          <w:szCs w:val="28"/>
        </w:rPr>
        <w:t xml:space="preserve"> AMEND. RIGHT TO SPEAK – “SHOP WITH A HERO” SHOULD BE PRIVATE $</w:t>
      </w:r>
    </w:p>
    <w:p w14:paraId="04B5FBD7" w14:textId="01FF2257" w:rsidR="00BA51CC" w:rsidRDefault="00BA51CC" w:rsidP="00BA51CC">
      <w:pPr>
        <w:pStyle w:val="NoSpacing"/>
        <w:rPr>
          <w:rStyle w:val="Hyperlink"/>
          <w:rFonts w:ascii="Times New Roman" w:hAnsi="Times New Roman"/>
          <w:sz w:val="24"/>
          <w:szCs w:val="24"/>
        </w:rPr>
      </w:pPr>
      <w:r>
        <w:rPr>
          <w:rFonts w:ascii="Times New Roman" w:eastAsia="Times New Roman" w:hAnsi="Times New Roman"/>
          <w:sz w:val="24"/>
          <w:szCs w:val="24"/>
        </w:rPr>
        <w:t xml:space="preserve">On April 13, 2022, in </w:t>
      </w:r>
      <w:r w:rsidRPr="000428C8">
        <w:rPr>
          <w:rFonts w:ascii="Times New Roman" w:eastAsia="Times New Roman" w:hAnsi="Times New Roman"/>
          <w:sz w:val="24"/>
          <w:szCs w:val="24"/>
          <w:u w:val="single"/>
        </w:rPr>
        <w:t>William Owens v. Logan Propes, R,V, Watts and the City of Monroe</w:t>
      </w:r>
      <w:r>
        <w:rPr>
          <w:rFonts w:ascii="Times New Roman" w:eastAsia="Times New Roman" w:hAnsi="Times New Roman"/>
          <w:sz w:val="24"/>
          <w:szCs w:val="24"/>
        </w:rPr>
        <w:t>, U.S. District Court Judge Clay D. Land, U.S. District Court for the Middle District of Georgia (Athens Division), held that the former Fire Chief’s claim of breach of his 1</w:t>
      </w:r>
      <w:r w:rsidRPr="00D90B93">
        <w:rPr>
          <w:rFonts w:ascii="Times New Roman" w:eastAsia="Times New Roman" w:hAnsi="Times New Roman"/>
          <w:sz w:val="24"/>
          <w:szCs w:val="24"/>
          <w:vertAlign w:val="superscript"/>
        </w:rPr>
        <w:t>st</w:t>
      </w:r>
      <w:r>
        <w:rPr>
          <w:rFonts w:ascii="Times New Roman" w:eastAsia="Times New Roman" w:hAnsi="Times New Roman"/>
          <w:sz w:val="24"/>
          <w:szCs w:val="24"/>
        </w:rPr>
        <w:t xml:space="preserve"> Amendment right of free speech may proceed. </w:t>
      </w:r>
      <w:r>
        <w:rPr>
          <w:rFonts w:ascii="Times New Roman" w:hAnsi="Times New Roman"/>
          <w:sz w:val="24"/>
          <w:szCs w:val="24"/>
        </w:rPr>
        <w:t xml:space="preserve">In May, 2020 (about same time as the public comments), Police Chief R.V. Watts and City Administrator Logan Propes learned that the Fire Chief William Owens was having a relationship with K.I. (her son saw exchanges on her Apple watch), and </w:t>
      </w:r>
      <w:r w:rsidRPr="00190143">
        <w:rPr>
          <w:rFonts w:ascii="Times New Roman" w:hAnsi="Times New Roman"/>
          <w:sz w:val="24"/>
          <w:szCs w:val="24"/>
        </w:rPr>
        <w:t>Propes demanded that Owens resign and threatened that if he did not, Owens would be terminated for “conduct unbecoming” based on his relationship with K.I. Owens advised the City of the actions taken by Watts and Propes with regard to K.I.'s Apple watch. Soon after that, Owens was terminated from his job as fire chief.</w:t>
      </w:r>
      <w:r>
        <w:rPr>
          <w:rFonts w:ascii="Times New Roman" w:hAnsi="Times New Roman"/>
          <w:sz w:val="24"/>
          <w:szCs w:val="24"/>
        </w:rPr>
        <w:t xml:space="preserve"> </w:t>
      </w:r>
      <w:r>
        <w:rPr>
          <w:rFonts w:ascii="Times New Roman" w:eastAsia="Times New Roman" w:hAnsi="Times New Roman"/>
          <w:sz w:val="24"/>
          <w:szCs w:val="24"/>
        </w:rPr>
        <w:t xml:space="preserve">Owens alleges that his comments at a public meeting that the “Shop </w:t>
      </w:r>
      <w:proofErr w:type="gramStart"/>
      <w:r>
        <w:rPr>
          <w:rFonts w:ascii="Times New Roman" w:eastAsia="Times New Roman" w:hAnsi="Times New Roman"/>
          <w:sz w:val="24"/>
          <w:szCs w:val="24"/>
        </w:rPr>
        <w:t>With</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A</w:t>
      </w:r>
      <w:proofErr w:type="gramEnd"/>
      <w:r>
        <w:rPr>
          <w:rFonts w:ascii="Times New Roman" w:eastAsia="Times New Roman" w:hAnsi="Times New Roman"/>
          <w:sz w:val="24"/>
          <w:szCs w:val="24"/>
        </w:rPr>
        <w:t xml:space="preserve"> Hero” police and firefighter program should be funded by a private not-for-profit organization.  The program had been proposed by realtors, was administered by the City Administrator, and there were questions from members of the public about missing funds.  The trial judge held that the Fire Chiefs comments may have been a motivating factor in the City’s decision to terminate him.  Under the U.S. Supreme Court’s “balancing test” in Pickering v. Board of Education, 391 U.S. 563 (1968), the Fire Chief was speaking as a private citizen, not a public official.  The judge referenced, </w:t>
      </w:r>
      <w:r w:rsidRPr="00D25C58">
        <w:rPr>
          <w:rStyle w:val="Emphasis"/>
          <w:rFonts w:ascii="Times New Roman" w:hAnsi="Times New Roman"/>
          <w:sz w:val="24"/>
          <w:szCs w:val="24"/>
        </w:rPr>
        <w:t>Garcetti v. Ceballos</w:t>
      </w:r>
      <w:r w:rsidRPr="00D25C58">
        <w:rPr>
          <w:rFonts w:ascii="Times New Roman" w:hAnsi="Times New Roman"/>
          <w:sz w:val="24"/>
          <w:szCs w:val="24"/>
        </w:rPr>
        <w:t>, 547 U.S. 410, 417 (2006)</w:t>
      </w:r>
      <w:r>
        <w:rPr>
          <w:rFonts w:ascii="Times New Roman" w:hAnsi="Times New Roman"/>
          <w:sz w:val="24"/>
          <w:szCs w:val="24"/>
        </w:rPr>
        <w:t xml:space="preserve">, where U.S. Supreme Court held the </w:t>
      </w:r>
      <w:r w:rsidRPr="00D25C58">
        <w:rPr>
          <w:rFonts w:ascii="Times New Roman" w:hAnsi="Times New Roman"/>
          <w:sz w:val="24"/>
          <w:szCs w:val="24"/>
        </w:rPr>
        <w:t xml:space="preserve">First </w:t>
      </w:r>
      <w:r w:rsidRPr="00D25C58">
        <w:rPr>
          <w:rFonts w:ascii="Times New Roman" w:hAnsi="Times New Roman"/>
          <w:sz w:val="24"/>
          <w:szCs w:val="24"/>
        </w:rPr>
        <w:lastRenderedPageBreak/>
        <w:t xml:space="preserve">Amendment still provides some protection for a public employee who speaks (1) “as a citizen” (2) “addressing matters of public concern.” </w:t>
      </w:r>
      <w:r w:rsidRPr="00D25C58">
        <w:rPr>
          <w:rStyle w:val="Emphasis"/>
          <w:rFonts w:ascii="Times New Roman" w:hAnsi="Times New Roman"/>
          <w:sz w:val="24"/>
          <w:szCs w:val="24"/>
        </w:rPr>
        <w:t>Id.</w:t>
      </w:r>
      <w:r w:rsidRPr="00D25C58">
        <w:rPr>
          <w:rFonts w:ascii="Times New Roman" w:hAnsi="Times New Roman"/>
          <w:sz w:val="24"/>
          <w:szCs w:val="24"/>
        </w:rPr>
        <w:t xml:space="preserve"> If the employee speaks as a citizen</w:t>
      </w:r>
      <w:r>
        <w:rPr>
          <w:rFonts w:ascii="Times New Roman" w:hAnsi="Times New Roman"/>
          <w:sz w:val="24"/>
          <w:szCs w:val="24"/>
        </w:rPr>
        <w:t xml:space="preserve">.  </w:t>
      </w:r>
      <w:hyperlink r:id="rId2692" w:history="1">
        <w:r w:rsidRPr="00552F99">
          <w:rPr>
            <w:rStyle w:val="Hyperlink"/>
            <w:rFonts w:ascii="Times New Roman" w:hAnsi="Times New Roman"/>
            <w:sz w:val="24"/>
            <w:szCs w:val="24"/>
          </w:rPr>
          <w:t>https://casetext.com/case/owens-v-propes</w:t>
        </w:r>
      </w:hyperlink>
    </w:p>
    <w:p w14:paraId="33D50BFE" w14:textId="0F39E572" w:rsidR="00BA51CC" w:rsidRDefault="00BA51CC" w:rsidP="00BA51CC">
      <w:pPr>
        <w:pStyle w:val="NoSpacing"/>
        <w:rPr>
          <w:rStyle w:val="Hyperlink"/>
          <w:rFonts w:ascii="Times New Roman" w:hAnsi="Times New Roman"/>
          <w:sz w:val="24"/>
          <w:szCs w:val="24"/>
        </w:rPr>
      </w:pPr>
    </w:p>
    <w:p w14:paraId="7102314C" w14:textId="77777777" w:rsidR="00BA51CC" w:rsidRPr="00817FDB" w:rsidRDefault="00BA51CC" w:rsidP="00BA51CC">
      <w:pPr>
        <w:spacing w:before="100" w:beforeAutospacing="1" w:after="100" w:afterAutospacing="1" w:line="240" w:lineRule="auto"/>
        <w:rPr>
          <w:rFonts w:ascii="Times New Roman" w:eastAsia="Times New Roman" w:hAnsi="Times New Roman"/>
          <w:b/>
          <w:bCs/>
          <w:sz w:val="24"/>
          <w:szCs w:val="24"/>
        </w:rPr>
      </w:pPr>
      <w:r w:rsidRPr="00817FDB">
        <w:rPr>
          <w:rFonts w:ascii="Times New Roman" w:eastAsia="Times New Roman" w:hAnsi="Times New Roman"/>
          <w:b/>
          <w:bCs/>
          <w:sz w:val="24"/>
          <w:szCs w:val="24"/>
        </w:rPr>
        <w:t xml:space="preserve">Legal Lesson Learned: </w:t>
      </w:r>
      <w:r>
        <w:rPr>
          <w:rFonts w:ascii="Times New Roman" w:eastAsia="Times New Roman" w:hAnsi="Times New Roman"/>
          <w:b/>
          <w:bCs/>
          <w:sz w:val="24"/>
          <w:szCs w:val="24"/>
        </w:rPr>
        <w:t>Public officials, including fire chiefs and firefighters have only limited 1</w:t>
      </w:r>
      <w:r w:rsidRPr="00817FDB">
        <w:rPr>
          <w:rFonts w:ascii="Times New Roman" w:eastAsia="Times New Roman" w:hAnsi="Times New Roman"/>
          <w:b/>
          <w:bCs/>
          <w:sz w:val="24"/>
          <w:szCs w:val="24"/>
          <w:vertAlign w:val="superscript"/>
        </w:rPr>
        <w:t>st</w:t>
      </w:r>
      <w:r>
        <w:rPr>
          <w:rFonts w:ascii="Times New Roman" w:eastAsia="Times New Roman" w:hAnsi="Times New Roman"/>
          <w:b/>
          <w:bCs/>
          <w:sz w:val="24"/>
          <w:szCs w:val="24"/>
        </w:rPr>
        <w:t xml:space="preserve"> Amendment rights under the </w:t>
      </w:r>
      <w:r w:rsidRPr="00817EA6">
        <w:rPr>
          <w:rFonts w:ascii="Times New Roman" w:eastAsia="Times New Roman" w:hAnsi="Times New Roman"/>
          <w:b/>
          <w:bCs/>
          <w:i/>
          <w:iCs/>
          <w:sz w:val="24"/>
          <w:szCs w:val="24"/>
        </w:rPr>
        <w:t>Pickering</w:t>
      </w:r>
      <w:r>
        <w:rPr>
          <w:rFonts w:ascii="Times New Roman" w:eastAsia="Times New Roman" w:hAnsi="Times New Roman"/>
          <w:b/>
          <w:bCs/>
          <w:sz w:val="24"/>
          <w:szCs w:val="24"/>
        </w:rPr>
        <w:t xml:space="preserve"> “balancing test” when discussing official activities; here the trial court found that the Fire Chief was speaking as a private citizen. </w:t>
      </w:r>
    </w:p>
    <w:p w14:paraId="3B240C8C" w14:textId="7C2A13A9" w:rsidR="00BA51CC" w:rsidRPr="00BA51CC" w:rsidRDefault="00BA51CC" w:rsidP="00BA51CC">
      <w:pPr>
        <w:pStyle w:val="NoSpacing"/>
        <w:ind w:left="720"/>
        <w:rPr>
          <w:rFonts w:ascii="Times New Roman" w:hAnsi="Times New Roman"/>
          <w:sz w:val="24"/>
          <w:szCs w:val="24"/>
        </w:rPr>
      </w:pPr>
      <w:r w:rsidRPr="00BA51CC">
        <w:rPr>
          <w:rFonts w:ascii="Times New Roman" w:hAnsi="Times New Roman"/>
          <w:sz w:val="24"/>
          <w:szCs w:val="24"/>
        </w:rPr>
        <w:t xml:space="preserve">Note: See article (July 6, 2021): “Owens refused to resign; Fire chief's alleged relationship, financial management lead to firing.” </w:t>
      </w:r>
      <w:hyperlink r:id="rId2693" w:history="1">
        <w:r w:rsidRPr="00BA51CC">
          <w:rPr>
            <w:rStyle w:val="Hyperlink"/>
            <w:rFonts w:ascii="Times New Roman" w:hAnsi="Times New Roman"/>
            <w:sz w:val="24"/>
            <w:szCs w:val="24"/>
          </w:rPr>
          <w:t>https://www.waltontribune.com/article_108b8906-f48f-11ea-baf7-07788894fc4c.html</w:t>
        </w:r>
      </w:hyperlink>
    </w:p>
    <w:p w14:paraId="7F8BF022" w14:textId="77777777" w:rsidR="00BA51CC" w:rsidRDefault="00BA51CC" w:rsidP="00F326E5">
      <w:pPr>
        <w:pStyle w:val="NoSpacing"/>
        <w:rPr>
          <w:rFonts w:ascii="Arial Black" w:hAnsi="Arial Black"/>
          <w:sz w:val="24"/>
          <w:szCs w:val="24"/>
        </w:rPr>
      </w:pPr>
    </w:p>
    <w:p w14:paraId="26CCD078" w14:textId="77777777" w:rsidR="00BA51CC" w:rsidRDefault="00BA51CC" w:rsidP="00F326E5">
      <w:pPr>
        <w:pStyle w:val="NoSpacing"/>
        <w:rPr>
          <w:rFonts w:ascii="Arial Black" w:hAnsi="Arial Black"/>
          <w:sz w:val="24"/>
          <w:szCs w:val="24"/>
        </w:rPr>
      </w:pPr>
    </w:p>
    <w:p w14:paraId="4951670B" w14:textId="3688525F" w:rsidR="00BA51CC" w:rsidRDefault="00BA51CC" w:rsidP="00F326E5">
      <w:pPr>
        <w:pStyle w:val="NoSpacing"/>
        <w:rPr>
          <w:rFonts w:ascii="Arial Black" w:hAnsi="Arial Black"/>
          <w:sz w:val="24"/>
          <w:szCs w:val="24"/>
        </w:rPr>
      </w:pPr>
      <w:r>
        <w:rPr>
          <w:rFonts w:ascii="Arial Black" w:hAnsi="Arial Black"/>
          <w:sz w:val="24"/>
          <w:szCs w:val="24"/>
        </w:rPr>
        <w:t>16-66</w:t>
      </w:r>
    </w:p>
    <w:p w14:paraId="4A0E4F9E" w14:textId="77777777" w:rsidR="00BA51CC" w:rsidRPr="008635F6" w:rsidRDefault="00BA51CC" w:rsidP="00BA51CC">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FL: NAVAL FIRE TRAINING OFFICER FIRED - TOLD UPDATE TRAINING RECORDS – NO WHISTLEBLOWER RETALIATION</w:t>
      </w:r>
    </w:p>
    <w:p w14:paraId="0F6252C7" w14:textId="38A9CB3F" w:rsidR="00BA51CC" w:rsidRDefault="00BA51CC" w:rsidP="00BA51CC">
      <w:pPr>
        <w:pStyle w:val="NoSpacing"/>
        <w:rPr>
          <w:rStyle w:val="Hyperlink"/>
          <w:rFonts w:ascii="Times New Roman" w:hAnsi="Times New Roman"/>
          <w:sz w:val="24"/>
          <w:szCs w:val="24"/>
        </w:rPr>
      </w:pPr>
      <w:r w:rsidRPr="000A2685">
        <w:rPr>
          <w:rFonts w:ascii="Times New Roman" w:eastAsia="Times New Roman" w:hAnsi="Times New Roman"/>
          <w:sz w:val="24"/>
          <w:szCs w:val="24"/>
        </w:rPr>
        <w:t xml:space="preserve">On </w:t>
      </w:r>
      <w:r>
        <w:rPr>
          <w:rFonts w:ascii="Times New Roman" w:eastAsia="Times New Roman" w:hAnsi="Times New Roman"/>
          <w:sz w:val="24"/>
          <w:szCs w:val="24"/>
        </w:rPr>
        <w:t xml:space="preserve">April 1, 2022, in </w:t>
      </w:r>
      <w:r w:rsidRPr="000A2685">
        <w:rPr>
          <w:rFonts w:ascii="Times New Roman" w:eastAsia="Times New Roman" w:hAnsi="Times New Roman"/>
          <w:sz w:val="24"/>
          <w:szCs w:val="24"/>
          <w:u w:val="single"/>
        </w:rPr>
        <w:t>David A, Rickel v. Department of the Navy</w:t>
      </w:r>
      <w:r>
        <w:rPr>
          <w:rFonts w:ascii="Times New Roman" w:eastAsia="Times New Roman" w:hAnsi="Times New Roman"/>
          <w:sz w:val="24"/>
          <w:szCs w:val="24"/>
        </w:rPr>
        <w:t xml:space="preserve">, the U.S. Court of Appeals for Federal Circuit (D.C.) held (3 to 0) that there was substantial evidence to support the decision of </w:t>
      </w:r>
      <w:r w:rsidRPr="00A91835">
        <w:rPr>
          <w:rFonts w:ascii="Times New Roman" w:hAnsi="Times New Roman"/>
          <w:sz w:val="24"/>
          <w:szCs w:val="24"/>
        </w:rPr>
        <w:t>Merit Systems Protection Board</w:t>
      </w:r>
      <w:r>
        <w:rPr>
          <w:rFonts w:ascii="Times New Roman" w:hAnsi="Times New Roman"/>
          <w:sz w:val="24"/>
          <w:szCs w:val="24"/>
        </w:rPr>
        <w:t xml:space="preserve">, which upheld the termination decision by Captain Brian Weiss, Executive Officer of Naval Air Station Jacksonville.  The plaintiff was the only employee in the Fire Service training office. In late 2016, he applied for Deputy Fire </w:t>
      </w:r>
      <w:proofErr w:type="gramStart"/>
      <w:r>
        <w:rPr>
          <w:rFonts w:ascii="Times New Roman" w:hAnsi="Times New Roman"/>
          <w:sz w:val="24"/>
          <w:szCs w:val="24"/>
        </w:rPr>
        <w:t>Chief</w:t>
      </w:r>
      <w:proofErr w:type="gramEnd"/>
      <w:r>
        <w:rPr>
          <w:rFonts w:ascii="Times New Roman" w:hAnsi="Times New Roman"/>
          <w:sz w:val="24"/>
          <w:szCs w:val="24"/>
        </w:rPr>
        <w:t xml:space="preserve">, but </w:t>
      </w:r>
      <w:proofErr w:type="gramStart"/>
      <w:r>
        <w:rPr>
          <w:rFonts w:ascii="Times New Roman" w:hAnsi="Times New Roman"/>
          <w:sz w:val="24"/>
          <w:szCs w:val="24"/>
        </w:rPr>
        <w:t>position went to</w:t>
      </w:r>
      <w:proofErr w:type="gramEnd"/>
      <w:r>
        <w:rPr>
          <w:rFonts w:ascii="Times New Roman" w:hAnsi="Times New Roman"/>
          <w:sz w:val="24"/>
          <w:szCs w:val="24"/>
        </w:rPr>
        <w:t xml:space="preserve"> the </w:t>
      </w:r>
      <w:proofErr w:type="gramStart"/>
      <w:r>
        <w:rPr>
          <w:rFonts w:ascii="Times New Roman" w:hAnsi="Times New Roman"/>
          <w:sz w:val="24"/>
          <w:szCs w:val="24"/>
        </w:rPr>
        <w:t>current</w:t>
      </w:r>
      <w:proofErr w:type="gramEnd"/>
      <w:r>
        <w:rPr>
          <w:rFonts w:ascii="Times New Roman" w:hAnsi="Times New Roman"/>
          <w:sz w:val="24"/>
          <w:szCs w:val="24"/>
        </w:rPr>
        <w:t xml:space="preserve"> Assistant Chief of Operations.  The plaintiff sent an e-mail to Fire Chief, challenging the Assistant Chief’s “candor in his application” and further alleging there have been at least 5 other promotions who lacked credentials and therefore posed a “life safety risk” to the Navy. He was fired June 8, 2019 for repeated failure to update training records, including being ordered to do so on June 15, 2017; Dec. 2018; and in March 2019 the </w:t>
      </w:r>
      <w:r w:rsidRPr="00FB6C77">
        <w:rPr>
          <w:rFonts w:ascii="Times New Roman" w:hAnsi="Times New Roman"/>
          <w:sz w:val="24"/>
          <w:szCs w:val="24"/>
        </w:rPr>
        <w:t>Deputy Chief took between March 5 and March 25 to update the records, noting that it only took about 16.5 hours to "get the folders done and inspection ready</w:t>
      </w:r>
      <w:r>
        <w:rPr>
          <w:rFonts w:ascii="Times New Roman" w:hAnsi="Times New Roman"/>
          <w:sz w:val="24"/>
          <w:szCs w:val="24"/>
        </w:rPr>
        <w:t>.</w:t>
      </w:r>
      <w:r w:rsidRPr="00FB6C77">
        <w:rPr>
          <w:rFonts w:ascii="Times New Roman" w:hAnsi="Times New Roman"/>
          <w:sz w:val="24"/>
          <w:szCs w:val="24"/>
        </w:rPr>
        <w:t xml:space="preserve">" </w:t>
      </w:r>
      <w:r>
        <w:rPr>
          <w:rFonts w:ascii="Times New Roman" w:hAnsi="Times New Roman"/>
          <w:sz w:val="24"/>
          <w:szCs w:val="24"/>
        </w:rPr>
        <w:t xml:space="preserve"> </w:t>
      </w:r>
      <w:hyperlink r:id="rId2694" w:history="1">
        <w:r w:rsidRPr="00D45A3B">
          <w:rPr>
            <w:rStyle w:val="Hyperlink"/>
            <w:rFonts w:ascii="Times New Roman" w:hAnsi="Times New Roman"/>
            <w:sz w:val="24"/>
            <w:szCs w:val="24"/>
          </w:rPr>
          <w:t>https://law.justia.com/cases/federal/appellate-courts/cafc/20-2147/20-2147-2022-04-18.html</w:t>
        </w:r>
      </w:hyperlink>
    </w:p>
    <w:p w14:paraId="64E70D9F" w14:textId="0F026F85" w:rsidR="00BA51CC" w:rsidRDefault="00BA51CC" w:rsidP="00BA51CC">
      <w:pPr>
        <w:pStyle w:val="NoSpacing"/>
        <w:rPr>
          <w:rStyle w:val="Hyperlink"/>
          <w:rFonts w:ascii="Times New Roman" w:hAnsi="Times New Roman"/>
          <w:sz w:val="24"/>
          <w:szCs w:val="24"/>
        </w:rPr>
      </w:pPr>
    </w:p>
    <w:p w14:paraId="361806C7" w14:textId="77777777" w:rsidR="00BA51CC" w:rsidRPr="00C30B2C" w:rsidRDefault="00BA51CC" w:rsidP="00BA51CC">
      <w:pPr>
        <w:pStyle w:val="NormalWeb"/>
        <w:rPr>
          <w:b/>
          <w:bCs/>
        </w:rPr>
      </w:pPr>
      <w:r w:rsidRPr="00C30B2C">
        <w:rPr>
          <w:b/>
          <w:bCs/>
        </w:rPr>
        <w:t>Legal Lesson Learned:</w:t>
      </w:r>
      <w:r>
        <w:rPr>
          <w:b/>
          <w:bCs/>
        </w:rPr>
        <w:t xml:space="preserve"> “Whistleblower” claims can be defeated with detailed records proving refusal to follow orders. </w:t>
      </w:r>
    </w:p>
    <w:p w14:paraId="6B7D043A" w14:textId="77777777" w:rsidR="00BA51CC" w:rsidRDefault="00BA51CC" w:rsidP="00BA51CC">
      <w:pPr>
        <w:pStyle w:val="NoSpacing"/>
        <w:rPr>
          <w:rFonts w:ascii="Arial Black" w:hAnsi="Arial Black"/>
          <w:sz w:val="24"/>
          <w:szCs w:val="24"/>
        </w:rPr>
      </w:pPr>
    </w:p>
    <w:p w14:paraId="1762BAE3" w14:textId="77777777" w:rsidR="00BA51CC" w:rsidRDefault="00BA51CC" w:rsidP="00F326E5">
      <w:pPr>
        <w:pStyle w:val="NoSpacing"/>
        <w:rPr>
          <w:rFonts w:ascii="Arial Black" w:hAnsi="Arial Black"/>
          <w:sz w:val="24"/>
          <w:szCs w:val="24"/>
        </w:rPr>
      </w:pPr>
    </w:p>
    <w:p w14:paraId="52FF0F29" w14:textId="52EADE65" w:rsidR="007F5C26" w:rsidRDefault="007F5C26" w:rsidP="00F326E5">
      <w:pPr>
        <w:pStyle w:val="NoSpacing"/>
        <w:rPr>
          <w:rFonts w:ascii="Arial Black" w:hAnsi="Arial Black"/>
          <w:sz w:val="24"/>
          <w:szCs w:val="24"/>
        </w:rPr>
      </w:pPr>
      <w:r>
        <w:rPr>
          <w:rFonts w:ascii="Arial Black" w:hAnsi="Arial Black"/>
          <w:sz w:val="24"/>
          <w:szCs w:val="24"/>
        </w:rPr>
        <w:t>16-65 [also filed, Chap. 17]</w:t>
      </w:r>
    </w:p>
    <w:p w14:paraId="023E3E9D" w14:textId="77777777" w:rsidR="007F5C26" w:rsidRDefault="007F5C26" w:rsidP="007F5C26">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OH: ARBITRATOR MAY REDUCE PENALTY – NEW SHIFT RELIEF - ASSISTANT CHIEF’S LOSS PAY OVERTURNED</w:t>
      </w:r>
    </w:p>
    <w:p w14:paraId="28F4C635" w14:textId="77777777" w:rsidR="007F5C26" w:rsidRPr="00AA2A35" w:rsidRDefault="007F5C26" w:rsidP="007F5C26">
      <w:pPr>
        <w:spacing w:before="100" w:beforeAutospacing="1" w:after="100" w:afterAutospacing="1" w:line="240" w:lineRule="auto"/>
        <w:rPr>
          <w:rFonts w:ascii="Times New Roman" w:eastAsia="Times New Roman" w:hAnsi="Times New Roman"/>
          <w:sz w:val="24"/>
          <w:szCs w:val="24"/>
        </w:rPr>
      </w:pPr>
      <w:r w:rsidRPr="00AA2A35">
        <w:rPr>
          <w:rFonts w:ascii="Times New Roman" w:hAnsi="Times New Roman"/>
          <w:sz w:val="24"/>
          <w:szCs w:val="24"/>
        </w:rPr>
        <w:t xml:space="preserve">On March 17, 2022, in </w:t>
      </w:r>
      <w:r w:rsidRPr="00AA2A35">
        <w:rPr>
          <w:rFonts w:ascii="Times New Roman" w:hAnsi="Times New Roman"/>
          <w:sz w:val="24"/>
          <w:szCs w:val="24"/>
          <w:u w:val="single"/>
        </w:rPr>
        <w:t>Association of Cleveland Fire Fighters, Local 93 v. City of Cleveland</w:t>
      </w:r>
      <w:r w:rsidRPr="00AA2A35">
        <w:rPr>
          <w:rFonts w:ascii="Times New Roman" w:hAnsi="Times New Roman"/>
          <w:sz w:val="24"/>
          <w:szCs w:val="24"/>
        </w:rPr>
        <w:t>, the Court of Appeals of Ohio, 8</w:t>
      </w:r>
      <w:r w:rsidRPr="00AA2A35">
        <w:rPr>
          <w:rFonts w:ascii="Times New Roman" w:hAnsi="Times New Roman"/>
          <w:sz w:val="24"/>
          <w:szCs w:val="24"/>
          <w:vertAlign w:val="superscript"/>
        </w:rPr>
        <w:t>th</w:t>
      </w:r>
      <w:r w:rsidRPr="00AA2A35">
        <w:rPr>
          <w:rFonts w:ascii="Times New Roman" w:hAnsi="Times New Roman"/>
          <w:sz w:val="24"/>
          <w:szCs w:val="24"/>
        </w:rPr>
        <w:t xml:space="preserve"> District (Cuyahoga County), held (3 to 0) that a Common Pleas judge improperly set aside the arbitrator’s award which found the charge of “gross insubordination” by Assistant Fire Chief was not proven, but the facts supported a “conduct unbecoming” charge. The Assistant Fire Chief was charged with 16 charges for trying to get the vacationing Fire Chief to overturn Acting Fire Chiefs order to follow the new shift relief procedure (to save overtime money, when the incoming Assistant Chief called off, he can only be replaced by on duty officer of lesser rank).  The arbitrator had authority to vacate the most serious charge of </w:t>
      </w:r>
      <w:r w:rsidRPr="00AA2A35">
        <w:rPr>
          <w:rFonts w:ascii="Times New Roman" w:hAnsi="Times New Roman"/>
          <w:sz w:val="24"/>
          <w:szCs w:val="24"/>
        </w:rPr>
        <w:lastRenderedPageBreak/>
        <w:t xml:space="preserve">“gross insubordination” and the 24-hour suspension, and to direct the FD to change in his personnel file with an official reprimand for one of the lesser charges, “conduct unbecoming an employee in the public service,” with no loss of wages. </w:t>
      </w:r>
      <w:hyperlink r:id="rId2695" w:history="1">
        <w:r w:rsidRPr="00AA2A35">
          <w:rPr>
            <w:rStyle w:val="Hyperlink"/>
            <w:rFonts w:ascii="Times New Roman" w:eastAsia="Times New Roman" w:hAnsi="Times New Roman"/>
            <w:sz w:val="24"/>
            <w:szCs w:val="24"/>
          </w:rPr>
          <w:t>https://www.supremecourt.ohio.gov/rod/docs/pdf/8/2022/2022-Ohio-824.pdf</w:t>
        </w:r>
      </w:hyperlink>
      <w:r w:rsidRPr="00AA2A35">
        <w:rPr>
          <w:rFonts w:ascii="Times New Roman" w:eastAsia="Times New Roman" w:hAnsi="Times New Roman"/>
          <w:sz w:val="24"/>
          <w:szCs w:val="24"/>
        </w:rPr>
        <w:t xml:space="preserve"> </w:t>
      </w:r>
    </w:p>
    <w:p w14:paraId="5164A96F" w14:textId="77777777" w:rsidR="007F5C26" w:rsidRPr="00892AD5" w:rsidRDefault="007F5C26" w:rsidP="007F5C26">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w:t>
      </w:r>
      <w:r w:rsidRPr="00892AD5">
        <w:rPr>
          <w:rFonts w:ascii="Times New Roman" w:eastAsia="Times New Roman" w:hAnsi="Times New Roman"/>
          <w:sz w:val="24"/>
          <w:szCs w:val="24"/>
        </w:rPr>
        <w:t xml:space="preserve">In focusing solely on the question of gross insubordination, the Union disregards the fact that the parties stipulated to </w:t>
      </w:r>
      <w:r w:rsidRPr="00892AD5">
        <w:rPr>
          <w:rFonts w:ascii="Times New Roman" w:eastAsia="Times New Roman" w:hAnsi="Times New Roman"/>
          <w:i/>
          <w:iCs/>
          <w:sz w:val="24"/>
          <w:szCs w:val="24"/>
        </w:rPr>
        <w:t>two</w:t>
      </w:r>
      <w:r w:rsidRPr="00892AD5">
        <w:rPr>
          <w:rFonts w:ascii="Times New Roman" w:eastAsia="Times New Roman" w:hAnsi="Times New Roman"/>
          <w:sz w:val="24"/>
          <w:szCs w:val="24"/>
        </w:rPr>
        <w:t xml:space="preserve"> questions before submitting the matter to arbitration. The first question was whether the city had just cause to suspend </w:t>
      </w:r>
      <w:proofErr w:type="spellStart"/>
      <w:r w:rsidRPr="00892AD5">
        <w:rPr>
          <w:rFonts w:ascii="Times New Roman" w:eastAsia="Times New Roman" w:hAnsi="Times New Roman"/>
          <w:sz w:val="24"/>
          <w:szCs w:val="24"/>
        </w:rPr>
        <w:t>Viancourt</w:t>
      </w:r>
      <w:proofErr w:type="spellEnd"/>
      <w:r w:rsidRPr="00892AD5">
        <w:rPr>
          <w:rFonts w:ascii="Times New Roman" w:eastAsia="Times New Roman" w:hAnsi="Times New Roman"/>
          <w:sz w:val="24"/>
          <w:szCs w:val="24"/>
        </w:rPr>
        <w:t xml:space="preserve"> for a day and issue him an official reprimand. The question of just cause was not confined to "gross insubordination." Rather, the question concerned whether the city had just </w:t>
      </w:r>
      <w:proofErr w:type="gramStart"/>
      <w:r w:rsidRPr="00892AD5">
        <w:rPr>
          <w:rFonts w:ascii="Times New Roman" w:eastAsia="Times New Roman" w:hAnsi="Times New Roman"/>
          <w:sz w:val="24"/>
          <w:szCs w:val="24"/>
        </w:rPr>
        <w:t>cause</w:t>
      </w:r>
      <w:proofErr w:type="gramEnd"/>
      <w:r w:rsidRPr="00892AD5">
        <w:rPr>
          <w:rFonts w:ascii="Times New Roman" w:eastAsia="Times New Roman" w:hAnsi="Times New Roman"/>
          <w:sz w:val="24"/>
          <w:szCs w:val="24"/>
        </w:rPr>
        <w:t xml:space="preserve"> discipline </w:t>
      </w:r>
      <w:proofErr w:type="spellStart"/>
      <w:r w:rsidRPr="00892AD5">
        <w:rPr>
          <w:rFonts w:ascii="Times New Roman" w:eastAsia="Times New Roman" w:hAnsi="Times New Roman"/>
          <w:sz w:val="24"/>
          <w:szCs w:val="24"/>
        </w:rPr>
        <w:t>Viancourt</w:t>
      </w:r>
      <w:proofErr w:type="spellEnd"/>
      <w:r w:rsidRPr="00892AD5">
        <w:rPr>
          <w:rFonts w:ascii="Times New Roman" w:eastAsia="Times New Roman" w:hAnsi="Times New Roman"/>
          <w:sz w:val="24"/>
          <w:szCs w:val="24"/>
        </w:rPr>
        <w:t xml:space="preserve"> for his conduct. </w:t>
      </w:r>
    </w:p>
    <w:p w14:paraId="1DC4F16D" w14:textId="77777777" w:rsidR="007F5C26" w:rsidRDefault="007F5C26" w:rsidP="007F5C26">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 xml:space="preserve"> ***</w:t>
      </w:r>
    </w:p>
    <w:p w14:paraId="15D36C6B" w14:textId="276E9DDE" w:rsidR="007F5C26" w:rsidRDefault="007F5C26" w:rsidP="007F5C26">
      <w:pPr>
        <w:pStyle w:val="NoSpacing"/>
        <w:rPr>
          <w:rFonts w:ascii="Arial Black" w:hAnsi="Arial Black"/>
          <w:sz w:val="24"/>
          <w:szCs w:val="24"/>
        </w:rPr>
      </w:pPr>
      <w:r w:rsidRPr="0091695D">
        <w:rPr>
          <w:rFonts w:ascii="Times New Roman" w:hAnsi="Times New Roman"/>
          <w:sz w:val="24"/>
          <w:szCs w:val="24"/>
        </w:rPr>
        <w:t xml:space="preserve">The Union nevertheless maintains that the arbitrator exceeded his powers by creating a new charge not submitted to arbitration and issuing a penalty based on that charge. The charge of conduct unbecoming was not expressly submitted to arbitration in the parties' stipulated questions, but neither were the charges of gross insubordination or insubordination expressly submitted to arbitration. The questions to which the parties stipulated focused on remedies: the penalties </w:t>
      </w:r>
      <w:proofErr w:type="spellStart"/>
      <w:r w:rsidRPr="0091695D">
        <w:rPr>
          <w:rFonts w:ascii="Times New Roman" w:hAnsi="Times New Roman"/>
          <w:sz w:val="24"/>
          <w:szCs w:val="24"/>
        </w:rPr>
        <w:t>Viancourt</w:t>
      </w:r>
      <w:proofErr w:type="spellEnd"/>
      <w:r w:rsidRPr="0091695D">
        <w:rPr>
          <w:rFonts w:ascii="Times New Roman" w:hAnsi="Times New Roman"/>
          <w:sz w:val="24"/>
          <w:szCs w:val="24"/>
        </w:rPr>
        <w:t xml:space="preserve"> had received for his conduct and, if these penalties were unjustified, the penalty the arbitrator determined that </w:t>
      </w:r>
      <w:proofErr w:type="spellStart"/>
      <w:r w:rsidRPr="0091695D">
        <w:rPr>
          <w:rFonts w:ascii="Times New Roman" w:hAnsi="Times New Roman"/>
          <w:sz w:val="24"/>
          <w:szCs w:val="24"/>
        </w:rPr>
        <w:t>Viancourt</w:t>
      </w:r>
      <w:proofErr w:type="spellEnd"/>
      <w:r w:rsidRPr="0091695D">
        <w:rPr>
          <w:rFonts w:ascii="Times New Roman" w:hAnsi="Times New Roman"/>
          <w:sz w:val="24"/>
          <w:szCs w:val="24"/>
        </w:rPr>
        <w:t xml:space="preserve"> should receive for his conduct. The Union's claim that the arbitrator created a new charge by finding that </w:t>
      </w:r>
      <w:proofErr w:type="spellStart"/>
      <w:r w:rsidRPr="0091695D">
        <w:rPr>
          <w:rFonts w:ascii="Times New Roman" w:hAnsi="Times New Roman"/>
          <w:sz w:val="24"/>
          <w:szCs w:val="24"/>
        </w:rPr>
        <w:t>Viancourt</w:t>
      </w:r>
      <w:proofErr w:type="spellEnd"/>
      <w:r w:rsidRPr="0091695D">
        <w:rPr>
          <w:rFonts w:ascii="Times New Roman" w:hAnsi="Times New Roman"/>
          <w:sz w:val="24"/>
          <w:szCs w:val="24"/>
        </w:rPr>
        <w:t xml:space="preserve"> engaged in conduct unbecoming is not supported by the record. </w:t>
      </w:r>
      <w:proofErr w:type="spellStart"/>
      <w:r w:rsidRPr="0091695D">
        <w:rPr>
          <w:rFonts w:ascii="Times New Roman" w:hAnsi="Times New Roman"/>
          <w:sz w:val="24"/>
          <w:szCs w:val="24"/>
        </w:rPr>
        <w:t>Viancourt</w:t>
      </w:r>
      <w:proofErr w:type="spellEnd"/>
      <w:r w:rsidRPr="0091695D">
        <w:rPr>
          <w:rFonts w:ascii="Times New Roman" w:hAnsi="Times New Roman"/>
          <w:sz w:val="24"/>
          <w:szCs w:val="24"/>
        </w:rPr>
        <w:t xml:space="preserve"> was charged with 16 violations, which included the charge of conduct unbecoming. The Union's claim that any penalty based on that charge was improper is also not supported by the record because conduct unbecoming is punishable by official reprimand. The arbitrator's leaving this penalty intact is consistent with the discipline </w:t>
      </w:r>
      <w:proofErr w:type="gramStart"/>
      <w:r w:rsidRPr="0091695D">
        <w:rPr>
          <w:rFonts w:ascii="Times New Roman" w:hAnsi="Times New Roman"/>
          <w:sz w:val="24"/>
          <w:szCs w:val="24"/>
        </w:rPr>
        <w:t>guide.</w:t>
      </w:r>
      <w:r>
        <w:rPr>
          <w:rFonts w:ascii="Times New Roman" w:hAnsi="Times New Roman"/>
          <w:sz w:val="24"/>
          <w:szCs w:val="24"/>
        </w:rPr>
        <w:t>”</w:t>
      </w:r>
      <w:proofErr w:type="gramEnd"/>
      <w:r>
        <w:rPr>
          <w:rFonts w:ascii="Times New Roman" w:hAnsi="Times New Roman"/>
          <w:sz w:val="24"/>
          <w:szCs w:val="24"/>
        </w:rPr>
        <w:t xml:space="preserve"> </w:t>
      </w:r>
      <w:hyperlink r:id="rId2696" w:history="1">
        <w:r w:rsidRPr="0083693C">
          <w:rPr>
            <w:rStyle w:val="Hyperlink"/>
            <w:rFonts w:ascii="Times New Roman" w:eastAsia="Times New Roman" w:hAnsi="Times New Roman"/>
            <w:sz w:val="24"/>
            <w:szCs w:val="24"/>
          </w:rPr>
          <w:t>https://www.supremecourt.ohio.gov/rod/docs/pdf/8/2022/2022-Ohio-824.pdf</w:t>
        </w:r>
      </w:hyperlink>
    </w:p>
    <w:p w14:paraId="6DF075C2" w14:textId="77777777" w:rsidR="007F5C26" w:rsidRDefault="007F5C26" w:rsidP="00F326E5">
      <w:pPr>
        <w:pStyle w:val="NoSpacing"/>
        <w:rPr>
          <w:rFonts w:ascii="Arial Black" w:hAnsi="Arial Black"/>
          <w:sz w:val="24"/>
          <w:szCs w:val="24"/>
        </w:rPr>
      </w:pPr>
    </w:p>
    <w:p w14:paraId="4239BE0F" w14:textId="77777777" w:rsidR="007F5C26" w:rsidRPr="00FE655C" w:rsidRDefault="007F5C26" w:rsidP="007F5C26">
      <w:pPr>
        <w:spacing w:before="100" w:beforeAutospacing="1" w:after="100" w:afterAutospacing="1" w:line="240" w:lineRule="auto"/>
        <w:rPr>
          <w:rFonts w:ascii="Times New Roman" w:eastAsia="Times New Roman" w:hAnsi="Times New Roman"/>
          <w:b/>
          <w:bCs/>
          <w:sz w:val="24"/>
          <w:szCs w:val="24"/>
        </w:rPr>
      </w:pPr>
      <w:r w:rsidRPr="00FE655C">
        <w:rPr>
          <w:rFonts w:ascii="Times New Roman" w:eastAsia="Times New Roman" w:hAnsi="Times New Roman"/>
          <w:b/>
          <w:bCs/>
          <w:sz w:val="24"/>
          <w:szCs w:val="24"/>
        </w:rPr>
        <w:t xml:space="preserve">Legal Lesson Learned: </w:t>
      </w:r>
      <w:r>
        <w:rPr>
          <w:rFonts w:ascii="Times New Roman" w:eastAsia="Times New Roman" w:hAnsi="Times New Roman"/>
          <w:b/>
          <w:bCs/>
          <w:sz w:val="24"/>
          <w:szCs w:val="24"/>
        </w:rPr>
        <w:t xml:space="preserve">When submitting a disciplinary matter to arbitration, be very careful in the questions being submitted to the arbitrator. </w:t>
      </w:r>
    </w:p>
    <w:p w14:paraId="57AAB599" w14:textId="77777777" w:rsidR="007F5C26" w:rsidRDefault="007F5C26" w:rsidP="00F326E5">
      <w:pPr>
        <w:pStyle w:val="NoSpacing"/>
        <w:rPr>
          <w:rFonts w:ascii="Arial Black" w:hAnsi="Arial Black"/>
          <w:sz w:val="24"/>
          <w:szCs w:val="24"/>
        </w:rPr>
      </w:pPr>
    </w:p>
    <w:p w14:paraId="12BEE6AE" w14:textId="77777777" w:rsidR="007F5C26" w:rsidRDefault="007F5C26" w:rsidP="00F326E5">
      <w:pPr>
        <w:pStyle w:val="NoSpacing"/>
        <w:rPr>
          <w:rFonts w:ascii="Arial Black" w:hAnsi="Arial Black"/>
          <w:sz w:val="24"/>
          <w:szCs w:val="24"/>
        </w:rPr>
      </w:pPr>
    </w:p>
    <w:p w14:paraId="7C7F8807" w14:textId="77777777" w:rsidR="007F5C26" w:rsidRDefault="007F5C26" w:rsidP="00F326E5">
      <w:pPr>
        <w:pStyle w:val="NoSpacing"/>
        <w:rPr>
          <w:rFonts w:ascii="Arial Black" w:hAnsi="Arial Black"/>
          <w:sz w:val="24"/>
          <w:szCs w:val="24"/>
        </w:rPr>
      </w:pPr>
    </w:p>
    <w:p w14:paraId="62E9487A" w14:textId="77777777" w:rsidR="007F5C26" w:rsidRDefault="007F5C26" w:rsidP="00F326E5">
      <w:pPr>
        <w:pStyle w:val="NoSpacing"/>
        <w:rPr>
          <w:rFonts w:ascii="Arial Black" w:hAnsi="Arial Black"/>
          <w:sz w:val="24"/>
          <w:szCs w:val="24"/>
        </w:rPr>
      </w:pPr>
    </w:p>
    <w:p w14:paraId="31CDE0E7" w14:textId="77777777" w:rsidR="007F5C26" w:rsidRDefault="007F5C26" w:rsidP="00F326E5">
      <w:pPr>
        <w:pStyle w:val="NoSpacing"/>
        <w:rPr>
          <w:rFonts w:ascii="Arial Black" w:hAnsi="Arial Black"/>
          <w:sz w:val="24"/>
          <w:szCs w:val="24"/>
        </w:rPr>
      </w:pPr>
    </w:p>
    <w:p w14:paraId="35D884B2" w14:textId="2A8E57DF" w:rsidR="00680939" w:rsidRPr="007F5C26" w:rsidRDefault="00680939" w:rsidP="00F326E5">
      <w:pPr>
        <w:pStyle w:val="NoSpacing"/>
        <w:rPr>
          <w:rFonts w:ascii="Times New Roman" w:hAnsi="Times New Roman"/>
          <w:b/>
          <w:bCs/>
          <w:sz w:val="24"/>
          <w:szCs w:val="24"/>
        </w:rPr>
      </w:pPr>
      <w:r>
        <w:rPr>
          <w:rFonts w:ascii="Arial Black" w:hAnsi="Arial Black"/>
          <w:sz w:val="24"/>
          <w:szCs w:val="24"/>
        </w:rPr>
        <w:t>16-64</w:t>
      </w:r>
      <w:r w:rsidR="00D55139">
        <w:rPr>
          <w:rFonts w:ascii="Arial Black" w:hAnsi="Arial Black"/>
          <w:sz w:val="24"/>
          <w:szCs w:val="24"/>
        </w:rPr>
        <w:t xml:space="preserve"> </w:t>
      </w:r>
      <w:r w:rsidR="00D55139" w:rsidRPr="007F5C26">
        <w:rPr>
          <w:rFonts w:ascii="Times New Roman" w:hAnsi="Times New Roman"/>
          <w:b/>
          <w:bCs/>
          <w:sz w:val="24"/>
          <w:szCs w:val="24"/>
        </w:rPr>
        <w:t>[also filed, Chap. 13]</w:t>
      </w:r>
    </w:p>
    <w:p w14:paraId="467CA0E1" w14:textId="77777777" w:rsidR="00680939" w:rsidRPr="006C2163" w:rsidRDefault="00680939" w:rsidP="00680939">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 xml:space="preserve">DE: PARAMEDIC LICENSE SUSPENDED – PLED GUILTY - </w:t>
      </w:r>
      <w:r w:rsidRPr="006C2163">
        <w:rPr>
          <w:rFonts w:ascii="Arial Black" w:eastAsia="Times New Roman" w:hAnsi="Arial Black"/>
          <w:sz w:val="28"/>
          <w:szCs w:val="28"/>
        </w:rPr>
        <w:t>T</w:t>
      </w:r>
      <w:r>
        <w:rPr>
          <w:rFonts w:ascii="Arial Black" w:eastAsia="Times New Roman" w:hAnsi="Arial Black"/>
          <w:sz w:val="28"/>
          <w:szCs w:val="28"/>
        </w:rPr>
        <w:t xml:space="preserve">RESPASS INTENT PEER (PEERING ON SEPERATED WIFE) </w:t>
      </w:r>
    </w:p>
    <w:p w14:paraId="3634B207" w14:textId="77777777" w:rsidR="00680939" w:rsidRDefault="00680939" w:rsidP="00680939">
      <w:pPr>
        <w:spacing w:before="100" w:beforeAutospacing="1" w:after="100" w:afterAutospacing="1" w:line="240" w:lineRule="auto"/>
        <w:rPr>
          <w:rFonts w:ascii="Times New Roman" w:eastAsia="Times New Roman" w:hAnsi="Times New Roman"/>
          <w:sz w:val="24"/>
          <w:szCs w:val="24"/>
        </w:rPr>
      </w:pPr>
      <w:r w:rsidRPr="00280A60">
        <w:rPr>
          <w:rFonts w:ascii="Times New Roman" w:eastAsia="Times New Roman" w:hAnsi="Times New Roman"/>
          <w:sz w:val="24"/>
          <w:szCs w:val="24"/>
        </w:rPr>
        <w:t xml:space="preserve">On </w:t>
      </w:r>
      <w:r>
        <w:rPr>
          <w:rFonts w:ascii="Times New Roman" w:eastAsia="Times New Roman" w:hAnsi="Times New Roman"/>
          <w:sz w:val="24"/>
          <w:szCs w:val="24"/>
        </w:rPr>
        <w:t xml:space="preserve">Jan. 26, 2022, in </w:t>
      </w:r>
      <w:r w:rsidRPr="00280A60">
        <w:rPr>
          <w:rFonts w:ascii="Times New Roman" w:eastAsia="Times New Roman" w:hAnsi="Times New Roman"/>
          <w:sz w:val="24"/>
          <w:szCs w:val="24"/>
          <w:u w:val="single"/>
        </w:rPr>
        <w:t xml:space="preserve">Kevin Imhoff v. Delaware Board of Medical Licensure </w:t>
      </w:r>
      <w:r>
        <w:rPr>
          <w:rFonts w:ascii="Times New Roman" w:eastAsia="Times New Roman" w:hAnsi="Times New Roman"/>
          <w:sz w:val="24"/>
          <w:szCs w:val="24"/>
          <w:u w:val="single"/>
        </w:rPr>
        <w:t>a</w:t>
      </w:r>
      <w:r w:rsidRPr="00280A60">
        <w:rPr>
          <w:rFonts w:ascii="Times New Roman" w:eastAsia="Times New Roman" w:hAnsi="Times New Roman"/>
          <w:sz w:val="24"/>
          <w:szCs w:val="24"/>
          <w:u w:val="single"/>
        </w:rPr>
        <w:t>nd Discipline</w:t>
      </w:r>
      <w:r>
        <w:rPr>
          <w:rFonts w:ascii="Times New Roman" w:eastAsia="Times New Roman" w:hAnsi="Times New Roman"/>
          <w:sz w:val="24"/>
          <w:szCs w:val="24"/>
        </w:rPr>
        <w:t xml:space="preserve">, Judge Noel Primos of the he Superior Court of Delaware upheld the suspension of the paramedic’s license but remanded to case for Board to possibly reduce the 2-year suspension for failure to timely report his plea of guilty. In September 2019 he pled guilty to Criminal Mischief, Violation of Privacy, and Trespass with Intent to Peer or Peep, but didn’t report this within 30 days to the Board (apparently on bad advice of his criminal defense attorney).  In May 2020, when renewing his license, he reported the convictions. </w:t>
      </w:r>
      <w:hyperlink r:id="rId2697" w:history="1">
        <w:r w:rsidRPr="00A83547">
          <w:rPr>
            <w:rStyle w:val="Hyperlink"/>
            <w:rFonts w:ascii="Times New Roman" w:hAnsi="Times New Roman"/>
            <w:sz w:val="24"/>
            <w:szCs w:val="24"/>
          </w:rPr>
          <w:t>https://casetext.com/case/imhof-v-del-bd-of-med-licensure-discipline</w:t>
        </w:r>
      </w:hyperlink>
    </w:p>
    <w:p w14:paraId="1910E0BE" w14:textId="77777777" w:rsidR="00680939" w:rsidRPr="007B6144" w:rsidRDefault="00680939" w:rsidP="00680939">
      <w:pPr>
        <w:spacing w:before="100" w:beforeAutospacing="1" w:after="100" w:afterAutospacing="1" w:line="240" w:lineRule="auto"/>
        <w:jc w:val="both"/>
        <w:rPr>
          <w:rStyle w:val="markedcontent"/>
          <w:rFonts w:ascii="Times New Roman" w:hAnsi="Times New Roman"/>
          <w:b/>
          <w:bCs/>
          <w:sz w:val="24"/>
          <w:szCs w:val="24"/>
        </w:rPr>
      </w:pPr>
      <w:r w:rsidRPr="007B6144">
        <w:rPr>
          <w:rStyle w:val="markedcontent"/>
          <w:rFonts w:ascii="Times New Roman" w:hAnsi="Times New Roman"/>
          <w:b/>
          <w:bCs/>
          <w:sz w:val="24"/>
          <w:szCs w:val="24"/>
        </w:rPr>
        <w:t xml:space="preserve">Legal Lesson Learned: </w:t>
      </w:r>
      <w:r>
        <w:rPr>
          <w:rStyle w:val="markedcontent"/>
          <w:rFonts w:ascii="Times New Roman" w:hAnsi="Times New Roman"/>
          <w:b/>
          <w:bCs/>
          <w:sz w:val="24"/>
          <w:szCs w:val="24"/>
        </w:rPr>
        <w:t>Criminal misconduct can lead to suspension of EMS license.</w:t>
      </w:r>
    </w:p>
    <w:p w14:paraId="0A6E59ED" w14:textId="77777777" w:rsidR="00680939" w:rsidRDefault="00680939" w:rsidP="00F326E5">
      <w:pPr>
        <w:pStyle w:val="NoSpacing"/>
        <w:rPr>
          <w:rFonts w:ascii="Arial Black" w:hAnsi="Arial Black"/>
          <w:sz w:val="24"/>
          <w:szCs w:val="24"/>
        </w:rPr>
      </w:pPr>
    </w:p>
    <w:p w14:paraId="72A29ABB" w14:textId="77777777" w:rsidR="00680939" w:rsidRDefault="00680939" w:rsidP="00F326E5">
      <w:pPr>
        <w:pStyle w:val="NoSpacing"/>
        <w:rPr>
          <w:rFonts w:ascii="Arial Black" w:hAnsi="Arial Black"/>
          <w:sz w:val="24"/>
          <w:szCs w:val="24"/>
        </w:rPr>
      </w:pPr>
    </w:p>
    <w:p w14:paraId="7EEC580A" w14:textId="4E67793B" w:rsidR="00AC5DED" w:rsidRDefault="00AC5DED" w:rsidP="00F326E5">
      <w:pPr>
        <w:pStyle w:val="NoSpacing"/>
        <w:rPr>
          <w:rFonts w:ascii="Arial Black" w:hAnsi="Arial Black"/>
          <w:sz w:val="24"/>
          <w:szCs w:val="24"/>
        </w:rPr>
      </w:pPr>
      <w:r>
        <w:rPr>
          <w:rFonts w:ascii="Arial Black" w:hAnsi="Arial Black"/>
          <w:sz w:val="24"/>
          <w:szCs w:val="24"/>
        </w:rPr>
        <w:t>16-63</w:t>
      </w:r>
    </w:p>
    <w:p w14:paraId="459B6371" w14:textId="77777777" w:rsidR="00AC5DED" w:rsidRPr="007A29B7" w:rsidRDefault="00AC5DED" w:rsidP="00AC5DED">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IL: RESIDENCY - FF FIRED - 3 YRS RENTED HOUSE IN VILLAGE TO TENANTS – DENIED UNEMPLOYMENT</w:t>
      </w:r>
    </w:p>
    <w:p w14:paraId="7542CC06" w14:textId="77777777" w:rsidR="00AC5DED" w:rsidRDefault="00AC5DED" w:rsidP="00AC5DED">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On Dec. 23, 2021, in </w:t>
      </w:r>
      <w:r w:rsidRPr="00CD0344">
        <w:rPr>
          <w:rFonts w:ascii="Times New Roman" w:eastAsia="Times New Roman" w:hAnsi="Times New Roman"/>
          <w:sz w:val="24"/>
          <w:szCs w:val="24"/>
          <w:u w:val="single"/>
        </w:rPr>
        <w:t>John Cannici v. The Department of Employment Security Board of Review</w:t>
      </w:r>
      <w:r>
        <w:rPr>
          <w:rFonts w:ascii="Times New Roman" w:eastAsia="Times New Roman" w:hAnsi="Times New Roman"/>
          <w:sz w:val="24"/>
          <w:szCs w:val="24"/>
        </w:rPr>
        <w:t xml:space="preserve">, the Court of Appeals of Illinois, First District, held (3 to 0) that the firefighter was properly denied unemployment benefits since he was fired for failure to reside in the Village. </w:t>
      </w:r>
    </w:p>
    <w:p w14:paraId="5EF3AF5D" w14:textId="1E9A0A8D" w:rsidR="00AC5DED" w:rsidRDefault="00AC5DED" w:rsidP="00AC5DED">
      <w:pPr>
        <w:pStyle w:val="NoSpacing"/>
        <w:ind w:left="720"/>
        <w:rPr>
          <w:rFonts w:ascii="Arial Black" w:hAnsi="Arial Black"/>
          <w:sz w:val="24"/>
          <w:szCs w:val="24"/>
        </w:rPr>
      </w:pPr>
      <w:r>
        <w:rPr>
          <w:rFonts w:ascii="Times New Roman" w:hAnsi="Times New Roman"/>
          <w:sz w:val="24"/>
          <w:szCs w:val="24"/>
        </w:rPr>
        <w:t>“</w:t>
      </w:r>
      <w:r w:rsidRPr="007A29B7">
        <w:rPr>
          <w:rFonts w:ascii="Times New Roman" w:hAnsi="Times New Roman"/>
          <w:sz w:val="24"/>
          <w:szCs w:val="24"/>
        </w:rPr>
        <w:t xml:space="preserve">The Board's finding that Cannici resided in Orland Park was not against the manifest weight of the evidence because the undisputed evidence showed that, from June 2013 to June 2016, he occupied his house in Orland Park with his family as his principal residence and abode. During those three years, he never slept at the village house, which was occupied by tenants. Although Cannici stored some belongings there, paid the taxes and utilities, and continued to use it as his mailing address, there was no evidence that he </w:t>
      </w:r>
      <w:proofErr w:type="gramStart"/>
      <w:r w:rsidRPr="007A29B7">
        <w:rPr>
          <w:rFonts w:ascii="Times New Roman" w:hAnsi="Times New Roman"/>
          <w:sz w:val="24"/>
          <w:szCs w:val="24"/>
        </w:rPr>
        <w:t>actually did</w:t>
      </w:r>
      <w:proofErr w:type="gramEnd"/>
      <w:r w:rsidRPr="007A29B7">
        <w:rPr>
          <w:rFonts w:ascii="Times New Roman" w:hAnsi="Times New Roman"/>
          <w:sz w:val="24"/>
          <w:szCs w:val="24"/>
        </w:rPr>
        <w:t xml:space="preserve"> anything at his village house other than retrieve his mail from his tenants. He was not that house's resident, as defined in the Village's Code. He was its landlord.</w:t>
      </w:r>
      <w:r>
        <w:rPr>
          <w:rFonts w:ascii="Times New Roman" w:hAnsi="Times New Roman"/>
          <w:sz w:val="24"/>
          <w:szCs w:val="24"/>
        </w:rPr>
        <w:t xml:space="preserve">” </w:t>
      </w:r>
      <w:hyperlink r:id="rId2698" w:history="1">
        <w:r w:rsidRPr="00EC5853">
          <w:rPr>
            <w:rStyle w:val="Hyperlink"/>
            <w:rFonts w:ascii="Times New Roman" w:hAnsi="Times New Roman"/>
            <w:sz w:val="24"/>
            <w:szCs w:val="24"/>
          </w:rPr>
          <w:t>https://ilcourtsaudio.blob.core.windows.net/antilles-resources/resources/1d563ea4-a3fa-4fb5-af89-419baa2c8f0f/Cannici%20v.%20Dept%20of%20Employment%20Security%20Board%20of%20Review,%202021%20IL%20App%20(1st)%20181562.pdf</w:t>
        </w:r>
      </w:hyperlink>
    </w:p>
    <w:p w14:paraId="431E30B4" w14:textId="77777777" w:rsidR="00AC5DED" w:rsidRDefault="00AC5DED" w:rsidP="00F326E5">
      <w:pPr>
        <w:pStyle w:val="NoSpacing"/>
        <w:rPr>
          <w:rFonts w:ascii="Arial Black" w:hAnsi="Arial Black"/>
          <w:sz w:val="24"/>
          <w:szCs w:val="24"/>
        </w:rPr>
      </w:pPr>
    </w:p>
    <w:p w14:paraId="08DB5793" w14:textId="77777777" w:rsidR="00AC5DED" w:rsidRDefault="00AC5DED" w:rsidP="00AC5DED">
      <w:pPr>
        <w:spacing w:before="100" w:beforeAutospacing="1" w:after="100" w:afterAutospacing="1" w:line="240" w:lineRule="auto"/>
        <w:rPr>
          <w:rFonts w:ascii="Times New Roman" w:hAnsi="Times New Roman"/>
          <w:b/>
          <w:bCs/>
          <w:sz w:val="24"/>
          <w:szCs w:val="24"/>
        </w:rPr>
      </w:pPr>
      <w:r w:rsidRPr="00E72BFB">
        <w:rPr>
          <w:rFonts w:ascii="Times New Roman" w:hAnsi="Times New Roman"/>
          <w:b/>
          <w:bCs/>
          <w:sz w:val="24"/>
          <w:szCs w:val="24"/>
        </w:rPr>
        <w:t>Legal Lesson Learned:</w:t>
      </w:r>
      <w:r>
        <w:rPr>
          <w:rFonts w:ascii="Times New Roman" w:hAnsi="Times New Roman"/>
          <w:b/>
          <w:bCs/>
          <w:sz w:val="24"/>
          <w:szCs w:val="24"/>
        </w:rPr>
        <w:t xml:space="preserve"> The Village residency requirement was clear. </w:t>
      </w:r>
    </w:p>
    <w:p w14:paraId="61BB4744" w14:textId="77777777" w:rsidR="00AC5DED" w:rsidRPr="002F6E14" w:rsidRDefault="00AC5DED" w:rsidP="00AC5DED">
      <w:pPr>
        <w:spacing w:before="100" w:beforeAutospacing="1" w:after="100" w:afterAutospacing="1" w:line="240" w:lineRule="auto"/>
        <w:ind w:left="720"/>
        <w:rPr>
          <w:b/>
          <w:bCs/>
          <w:sz w:val="24"/>
          <w:szCs w:val="24"/>
        </w:rPr>
      </w:pPr>
      <w:r w:rsidRPr="004E2270">
        <w:rPr>
          <w:rFonts w:ascii="Times New Roman" w:hAnsi="Times New Roman"/>
          <w:sz w:val="24"/>
          <w:szCs w:val="24"/>
        </w:rPr>
        <w:t xml:space="preserve">Note:  </w:t>
      </w:r>
      <w:r>
        <w:rPr>
          <w:sz w:val="24"/>
          <w:szCs w:val="24"/>
        </w:rPr>
        <w:t xml:space="preserve">See another Court decision from </w:t>
      </w:r>
      <w:r w:rsidRPr="002F6E14">
        <w:rPr>
          <w:sz w:val="24"/>
          <w:szCs w:val="24"/>
        </w:rPr>
        <w:t>MA</w:t>
      </w:r>
      <w:r>
        <w:rPr>
          <w:sz w:val="24"/>
          <w:szCs w:val="24"/>
        </w:rPr>
        <w:t>: “</w:t>
      </w:r>
      <w:r w:rsidRPr="002F6E14">
        <w:rPr>
          <w:sz w:val="24"/>
          <w:szCs w:val="24"/>
        </w:rPr>
        <w:t>Judge: MA City Must Enforce Residency Rules</w:t>
      </w:r>
      <w:r>
        <w:rPr>
          <w:sz w:val="24"/>
          <w:szCs w:val="24"/>
        </w:rPr>
        <w:t>” (Dec. 31, 2021).</w:t>
      </w:r>
      <w:r w:rsidRPr="002F6E14">
        <w:rPr>
          <w:sz w:val="24"/>
          <w:szCs w:val="24"/>
        </w:rPr>
        <w:t xml:space="preserve"> </w:t>
      </w:r>
      <w:hyperlink r:id="rId2699" w:history="1">
        <w:r w:rsidRPr="00EC5853">
          <w:rPr>
            <w:rStyle w:val="Hyperlink"/>
            <w:sz w:val="24"/>
            <w:szCs w:val="24"/>
          </w:rPr>
          <w:t>https://www.firehouse.com/careers-education/news/21251649/judge-springfield-ma-city-must-enforce-residency-rules</w:t>
        </w:r>
      </w:hyperlink>
      <w:r>
        <w:rPr>
          <w:sz w:val="24"/>
          <w:szCs w:val="24"/>
        </w:rPr>
        <w:t xml:space="preserve"> </w:t>
      </w:r>
    </w:p>
    <w:p w14:paraId="68A9E3A0" w14:textId="77777777" w:rsidR="00AC5DED" w:rsidRDefault="00AC5DED" w:rsidP="00AC5DED">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 xml:space="preserve">See also:  </w:t>
      </w:r>
      <w:r w:rsidRPr="004E2270">
        <w:rPr>
          <w:rFonts w:ascii="Times New Roman" w:hAnsi="Times New Roman"/>
          <w:sz w:val="24"/>
          <w:szCs w:val="24"/>
        </w:rPr>
        <w:t>The Ohio Supreme Court, in Lima v State, June 10, 2009, 2009-Ohio-2597, has held 5-2, that a state law prohibiting general residency requirements for public</w:t>
      </w:r>
      <w:r w:rsidRPr="004E2270">
        <w:rPr>
          <w:rFonts w:ascii="Times New Roman" w:hAnsi="Times New Roman"/>
          <w:sz w:val="24"/>
          <w:szCs w:val="24"/>
        </w:rPr>
        <w:br/>
        <w:t xml:space="preserve">employees is valid and supersedes local laws to the contrary. </w:t>
      </w:r>
      <w:hyperlink r:id="rId2700" w:history="1">
        <w:r w:rsidRPr="00EC5853">
          <w:rPr>
            <w:rStyle w:val="Hyperlink"/>
            <w:rFonts w:ascii="Times New Roman" w:hAnsi="Times New Roman"/>
            <w:sz w:val="24"/>
            <w:szCs w:val="24"/>
          </w:rPr>
          <w:t>https://www.supremecourt.ohio.gov/rod/docs/pdf/0/2009/2009-ohio-2597.pdf</w:t>
        </w:r>
      </w:hyperlink>
      <w:r>
        <w:rPr>
          <w:rFonts w:ascii="Times New Roman" w:hAnsi="Times New Roman"/>
          <w:sz w:val="24"/>
          <w:szCs w:val="24"/>
        </w:rPr>
        <w:t xml:space="preserve"> </w:t>
      </w:r>
    </w:p>
    <w:p w14:paraId="588E6EDA" w14:textId="77777777" w:rsidR="00AC5DED" w:rsidRPr="004E2270" w:rsidRDefault="00AC5DED" w:rsidP="00AC5DED">
      <w:pPr>
        <w:pStyle w:val="Heading1"/>
        <w:ind w:left="720"/>
        <w:rPr>
          <w:b w:val="0"/>
          <w:bCs w:val="0"/>
          <w:sz w:val="24"/>
          <w:szCs w:val="24"/>
        </w:rPr>
      </w:pPr>
      <w:r w:rsidRPr="004E2270">
        <w:rPr>
          <w:b w:val="0"/>
          <w:bCs w:val="0"/>
          <w:sz w:val="24"/>
          <w:szCs w:val="24"/>
        </w:rPr>
        <w:t>Ohio Revised Code 9.481, Residency requirements prohibited for certain employees</w:t>
      </w:r>
      <w:r>
        <w:rPr>
          <w:b w:val="0"/>
          <w:bCs w:val="0"/>
          <w:sz w:val="24"/>
          <w:szCs w:val="24"/>
        </w:rPr>
        <w:t xml:space="preserve">, includes following, </w:t>
      </w:r>
      <w:hyperlink r:id="rId2701" w:history="1">
        <w:r w:rsidRPr="00EC5853">
          <w:rPr>
            <w:rStyle w:val="Hyperlink"/>
            <w:b w:val="0"/>
            <w:bCs w:val="0"/>
            <w:sz w:val="24"/>
            <w:szCs w:val="24"/>
          </w:rPr>
          <w:t>https://codes.ohio.gov/ohio-revised-code/section-9.481</w:t>
        </w:r>
      </w:hyperlink>
      <w:r>
        <w:rPr>
          <w:b w:val="0"/>
          <w:bCs w:val="0"/>
          <w:sz w:val="24"/>
          <w:szCs w:val="24"/>
        </w:rPr>
        <w:t xml:space="preserve"> :</w:t>
      </w:r>
    </w:p>
    <w:p w14:paraId="6B3F9974" w14:textId="77777777" w:rsidR="00AC5DED" w:rsidRPr="006A3BFE" w:rsidRDefault="00AC5DED" w:rsidP="00AC5DED">
      <w:pPr>
        <w:spacing w:before="100" w:beforeAutospacing="1" w:after="100" w:afterAutospacing="1" w:line="240" w:lineRule="auto"/>
        <w:ind w:left="1440"/>
        <w:rPr>
          <w:rFonts w:ascii="Times New Roman" w:eastAsia="Times New Roman" w:hAnsi="Times New Roman"/>
          <w:sz w:val="24"/>
          <w:szCs w:val="24"/>
        </w:rPr>
      </w:pPr>
      <w:r>
        <w:rPr>
          <w:rFonts w:ascii="Times New Roman" w:hAnsi="Times New Roman"/>
          <w:sz w:val="24"/>
          <w:szCs w:val="24"/>
        </w:rPr>
        <w:t>(</w:t>
      </w:r>
      <w:r w:rsidRPr="004E2270">
        <w:rPr>
          <w:rFonts w:ascii="Times New Roman" w:hAnsi="Times New Roman"/>
          <w:sz w:val="24"/>
          <w:szCs w:val="24"/>
        </w:rPr>
        <w:t>b) To ensure adequate response times by certain employees of political subdivisions to emergencies or disasters while ensuring that those employees generally are free to reside throughout the state, the electors of any political subdivision may file an initiative petition to submit a local law to the electorate, or the legislative authority of the political subdivision may adopt an ordinance or resolution, that requires any individual employed by that political subdivision, as a condition of employment, to reside either in the county where the political subdivision is located or in any adjacent county in this state.</w:t>
      </w:r>
      <w:r>
        <w:rPr>
          <w:rFonts w:ascii="Times New Roman" w:hAnsi="Times New Roman"/>
          <w:sz w:val="24"/>
          <w:szCs w:val="24"/>
        </w:rPr>
        <w:t>”</w:t>
      </w:r>
    </w:p>
    <w:p w14:paraId="2B4B5F67" w14:textId="77777777" w:rsidR="00AC5DED" w:rsidRDefault="00AC5DED" w:rsidP="00F326E5">
      <w:pPr>
        <w:pStyle w:val="NoSpacing"/>
        <w:rPr>
          <w:rFonts w:ascii="Arial Black" w:hAnsi="Arial Black"/>
          <w:sz w:val="24"/>
          <w:szCs w:val="24"/>
        </w:rPr>
      </w:pPr>
    </w:p>
    <w:p w14:paraId="2B6CD2AF" w14:textId="77777777" w:rsidR="00AC5DED" w:rsidRDefault="00AC5DED" w:rsidP="00F326E5">
      <w:pPr>
        <w:pStyle w:val="NoSpacing"/>
        <w:rPr>
          <w:rFonts w:ascii="Arial Black" w:hAnsi="Arial Black"/>
          <w:sz w:val="24"/>
          <w:szCs w:val="24"/>
        </w:rPr>
      </w:pPr>
    </w:p>
    <w:p w14:paraId="770AB2F3" w14:textId="0597CBA9" w:rsidR="00AC5DED" w:rsidRDefault="00AC5DED" w:rsidP="00F326E5">
      <w:pPr>
        <w:pStyle w:val="NoSpacing"/>
        <w:rPr>
          <w:rFonts w:ascii="Arial Black" w:hAnsi="Arial Black"/>
          <w:sz w:val="24"/>
          <w:szCs w:val="24"/>
        </w:rPr>
      </w:pPr>
      <w:r>
        <w:rPr>
          <w:rFonts w:ascii="Arial Black" w:hAnsi="Arial Black"/>
          <w:sz w:val="24"/>
          <w:szCs w:val="24"/>
        </w:rPr>
        <w:t>16-62</w:t>
      </w:r>
    </w:p>
    <w:p w14:paraId="4C1A8F47" w14:textId="77777777" w:rsidR="00AC5DED" w:rsidRDefault="00AC5DED" w:rsidP="00AC5DED">
      <w:pPr>
        <w:spacing w:before="100" w:beforeAutospacing="1" w:after="100" w:afterAutospacing="1" w:line="240" w:lineRule="auto"/>
        <w:ind w:hanging="90"/>
        <w:rPr>
          <w:rFonts w:ascii="Arial Black" w:hAnsi="Arial Black"/>
          <w:sz w:val="28"/>
          <w:szCs w:val="28"/>
        </w:rPr>
      </w:pPr>
      <w:r>
        <w:rPr>
          <w:rFonts w:ascii="Arial Black" w:hAnsi="Arial Black"/>
          <w:sz w:val="28"/>
          <w:szCs w:val="28"/>
        </w:rPr>
        <w:lastRenderedPageBreak/>
        <w:t xml:space="preserve">VA: BC FIRED – ALSO SALESMAN FOR AMBULANCE CO –HELPED BUY COUNTY BRUSH TRUCK – NO RETALIATION </w:t>
      </w:r>
    </w:p>
    <w:p w14:paraId="31F7658B" w14:textId="77777777" w:rsidR="00AC5DED" w:rsidRPr="00537726" w:rsidRDefault="00AC5DED" w:rsidP="00AC5DED">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On Dec. 22, 2021, in </w:t>
      </w:r>
      <w:r w:rsidRPr="00537726">
        <w:rPr>
          <w:rFonts w:ascii="Times New Roman" w:hAnsi="Times New Roman"/>
          <w:sz w:val="24"/>
          <w:szCs w:val="24"/>
          <w:u w:val="single"/>
        </w:rPr>
        <w:t>Clay O’Neal Fitzgerald v. Botetourt County, Virginia</w:t>
      </w:r>
      <w:r>
        <w:rPr>
          <w:rFonts w:ascii="Times New Roman" w:hAnsi="Times New Roman"/>
          <w:sz w:val="24"/>
          <w:szCs w:val="24"/>
        </w:rPr>
        <w:t xml:space="preserve">, United States Magistrate Judge </w:t>
      </w:r>
      <w:r w:rsidRPr="00537726">
        <w:rPr>
          <w:rFonts w:ascii="Times New Roman" w:hAnsi="Times New Roman"/>
          <w:sz w:val="24"/>
          <w:szCs w:val="24"/>
        </w:rPr>
        <w:t>Robert S. Ballou</w:t>
      </w:r>
      <w:r>
        <w:rPr>
          <w:rFonts w:ascii="Times New Roman" w:hAnsi="Times New Roman"/>
          <w:sz w:val="24"/>
          <w:szCs w:val="24"/>
        </w:rPr>
        <w:t xml:space="preserve">, U.S. District Court, Western District of Virginia (Roanoke Division), granted summary judgment to the County, finding that he was fired on May 16, 2018 from the County Fire &amp; EMS Department for his involvement as a salesman for Osage Ambulance and its sale of a bush truck to the County with authority. The plaintiff failed to prove that his firing was in retaliation for submitting an age discrimination grievance in 2014 and another complaint to the County Administrator in July 2017. </w:t>
      </w:r>
    </w:p>
    <w:p w14:paraId="7AFF5BA9" w14:textId="77777777" w:rsidR="00AC5DED" w:rsidRPr="00CF5AE2" w:rsidRDefault="00AC5DED" w:rsidP="00AC5DED">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r w:rsidRPr="00CF5AE2">
        <w:rPr>
          <w:rFonts w:ascii="Times New Roman" w:hAnsi="Times New Roman"/>
          <w:sz w:val="24"/>
          <w:szCs w:val="24"/>
        </w:rPr>
        <w:t>I find that no reasonable jury can conclude that Fitzgerald was authorized to purchase the brush truck and that this was a legitimate non-retaliatory reason for Fitzgerald's termination. The County satisfied its burden by presenting a legitimate non-retaliatory reason for the termination, while Fitzgerald failed to satisfy his burden by providing evidence that the unauthorized purchase was a pretext. The County's purchasing policy makes clear that a violation can result in termination. It is not the responsibility of this Court to evaluate whether an explicit policy violation was a good reason for Fitzgerald's termination. DeJarnette v. Corning, Inc., 133 F.3d 293, 298 (4th Cir. 1998).</w:t>
      </w:r>
      <w:r>
        <w:rPr>
          <w:rFonts w:ascii="Times New Roman" w:hAnsi="Times New Roman"/>
          <w:sz w:val="24"/>
          <w:szCs w:val="24"/>
        </w:rPr>
        <w:t xml:space="preserve">” </w:t>
      </w:r>
      <w:hyperlink r:id="rId2702" w:history="1">
        <w:r w:rsidRPr="00EC5853">
          <w:rPr>
            <w:rStyle w:val="Hyperlink"/>
            <w:rFonts w:ascii="Times New Roman" w:hAnsi="Times New Roman"/>
            <w:sz w:val="24"/>
            <w:szCs w:val="24"/>
          </w:rPr>
          <w:t>https://casetext.com/case/fitzgerald-v-botetourt-cnty</w:t>
        </w:r>
      </w:hyperlink>
      <w:r>
        <w:rPr>
          <w:rFonts w:ascii="Times New Roman" w:hAnsi="Times New Roman"/>
          <w:sz w:val="24"/>
          <w:szCs w:val="24"/>
        </w:rPr>
        <w:t xml:space="preserve"> </w:t>
      </w:r>
    </w:p>
    <w:p w14:paraId="1AB4B323" w14:textId="77777777" w:rsidR="00AC5DED" w:rsidRPr="00213018" w:rsidRDefault="00AC5DED" w:rsidP="00AC5DED">
      <w:pPr>
        <w:rPr>
          <w:rFonts w:ascii="Times New Roman" w:hAnsi="Times New Roman"/>
          <w:b/>
          <w:bCs/>
          <w:sz w:val="24"/>
          <w:szCs w:val="24"/>
        </w:rPr>
      </w:pPr>
      <w:r w:rsidRPr="00213018">
        <w:rPr>
          <w:rFonts w:ascii="Times New Roman" w:hAnsi="Times New Roman"/>
          <w:b/>
          <w:bCs/>
          <w:sz w:val="24"/>
          <w:szCs w:val="24"/>
        </w:rPr>
        <w:t xml:space="preserve">Legal Lesson Learned: Outside employment can lead to a conflict in interest. </w:t>
      </w:r>
    </w:p>
    <w:p w14:paraId="21490D93" w14:textId="77777777" w:rsidR="00AC5DED" w:rsidRPr="00213018" w:rsidRDefault="00AC5DED" w:rsidP="00AC5DED">
      <w:pPr>
        <w:ind w:left="720"/>
        <w:rPr>
          <w:rFonts w:ascii="Times New Roman" w:hAnsi="Times New Roman"/>
          <w:sz w:val="24"/>
          <w:szCs w:val="24"/>
        </w:rPr>
      </w:pPr>
      <w:r w:rsidRPr="00213018">
        <w:rPr>
          <w:rFonts w:ascii="Times New Roman" w:hAnsi="Times New Roman"/>
          <w:sz w:val="24"/>
          <w:szCs w:val="24"/>
        </w:rPr>
        <w:t xml:space="preserve">Note: The article by Matthew Britt, prior to his being hired as Fire Chief, raised some challenging issues regarding older firefighters retiring; not surprised that plaintiff referenced it in </w:t>
      </w:r>
      <w:proofErr w:type="gramStart"/>
      <w:r w:rsidRPr="00213018">
        <w:rPr>
          <w:rFonts w:ascii="Times New Roman" w:hAnsi="Times New Roman"/>
          <w:sz w:val="24"/>
          <w:szCs w:val="24"/>
        </w:rPr>
        <w:t>is</w:t>
      </w:r>
      <w:proofErr w:type="gramEnd"/>
      <w:r w:rsidRPr="00213018">
        <w:rPr>
          <w:rFonts w:ascii="Times New Roman" w:hAnsi="Times New Roman"/>
          <w:sz w:val="24"/>
          <w:szCs w:val="24"/>
        </w:rPr>
        <w:t xml:space="preserve"> age discrimination lawsuit.  </w:t>
      </w:r>
    </w:p>
    <w:p w14:paraId="0A9A7B4D" w14:textId="77777777" w:rsidR="00AC5DED" w:rsidRPr="00213018" w:rsidRDefault="00AC5DED" w:rsidP="00AC5DED">
      <w:pPr>
        <w:pStyle w:val="Heading1"/>
        <w:ind w:left="720"/>
        <w:rPr>
          <w:color w:val="666666"/>
          <w:sz w:val="24"/>
          <w:szCs w:val="24"/>
        </w:rPr>
      </w:pPr>
      <w:r w:rsidRPr="00213018">
        <w:rPr>
          <w:b w:val="0"/>
          <w:bCs w:val="0"/>
          <w:sz w:val="24"/>
          <w:szCs w:val="24"/>
        </w:rPr>
        <w:t xml:space="preserve">“Altruism: How Long Does </w:t>
      </w:r>
      <w:proofErr w:type="gramStart"/>
      <w:r w:rsidRPr="00213018">
        <w:rPr>
          <w:b w:val="0"/>
          <w:bCs w:val="0"/>
          <w:sz w:val="24"/>
          <w:szCs w:val="24"/>
        </w:rPr>
        <w:t>it</w:t>
      </w:r>
      <w:proofErr w:type="gramEnd"/>
      <w:r w:rsidRPr="00213018">
        <w:rPr>
          <w:b w:val="0"/>
          <w:bCs w:val="0"/>
          <w:sz w:val="24"/>
          <w:szCs w:val="24"/>
        </w:rPr>
        <w:t xml:space="preserve"> Last &amp; How Do We Retain It.” Sept. 14, 2016. </w:t>
      </w:r>
      <w:hyperlink r:id="rId2703" w:history="1">
        <w:r w:rsidRPr="00EC5853">
          <w:rPr>
            <w:rStyle w:val="Hyperlink"/>
            <w:b w:val="0"/>
            <w:bCs w:val="0"/>
            <w:sz w:val="24"/>
            <w:szCs w:val="24"/>
          </w:rPr>
          <w:t>https://www.firehouse.com/careers-education/article/12253067/altruism-and-the-fire-service-firefighter-education</w:t>
        </w:r>
      </w:hyperlink>
      <w:r>
        <w:rPr>
          <w:b w:val="0"/>
          <w:bCs w:val="0"/>
          <w:sz w:val="24"/>
          <w:szCs w:val="24"/>
        </w:rPr>
        <w:t xml:space="preserve"> </w:t>
      </w:r>
    </w:p>
    <w:p w14:paraId="6378E39B" w14:textId="77777777" w:rsidR="00AC5DED" w:rsidRPr="00213018" w:rsidRDefault="00AC5DED" w:rsidP="00AC5DED">
      <w:pPr>
        <w:spacing w:before="100" w:beforeAutospacing="1" w:after="100" w:afterAutospacing="1" w:line="240" w:lineRule="auto"/>
        <w:ind w:left="1440"/>
        <w:rPr>
          <w:rFonts w:ascii="Times New Roman" w:eastAsia="Times New Roman" w:hAnsi="Times New Roman"/>
          <w:b/>
          <w:bCs/>
          <w:sz w:val="24"/>
          <w:szCs w:val="24"/>
        </w:rPr>
      </w:pPr>
      <w:r w:rsidRPr="00213018">
        <w:rPr>
          <w:rFonts w:ascii="Times New Roman" w:hAnsi="Times New Roman"/>
          <w:sz w:val="24"/>
          <w:szCs w:val="24"/>
        </w:rPr>
        <w:t>“So, what am I asking? I’m asking the senior members to take your much deserved retirement and create opportunities for the next generation of fire service officers. Take that time and dedicate it to your family or other pursuits, but don’t be a stranger. Use that wealth of knowledge to come back and educate members through formal training and other opportunities. Your fire service family will always be here.”</w:t>
      </w:r>
    </w:p>
    <w:p w14:paraId="4C290E11" w14:textId="5E0D7E30" w:rsidR="00AC5DED" w:rsidRDefault="00AC5DED" w:rsidP="00F326E5">
      <w:pPr>
        <w:pStyle w:val="NoSpacing"/>
        <w:rPr>
          <w:rFonts w:ascii="Arial Black" w:hAnsi="Arial Black"/>
          <w:sz w:val="24"/>
          <w:szCs w:val="24"/>
        </w:rPr>
      </w:pPr>
    </w:p>
    <w:p w14:paraId="46AEEA61" w14:textId="77777777" w:rsidR="00AC5DED" w:rsidRDefault="00AC5DED" w:rsidP="00F326E5">
      <w:pPr>
        <w:pStyle w:val="NoSpacing"/>
        <w:rPr>
          <w:rFonts w:ascii="Arial Black" w:hAnsi="Arial Black"/>
          <w:sz w:val="24"/>
          <w:szCs w:val="24"/>
        </w:rPr>
      </w:pPr>
    </w:p>
    <w:p w14:paraId="798807EB" w14:textId="77777777" w:rsidR="00AC5DED" w:rsidRDefault="00AC5DED" w:rsidP="00F326E5">
      <w:pPr>
        <w:pStyle w:val="NoSpacing"/>
        <w:rPr>
          <w:rFonts w:ascii="Arial Black" w:hAnsi="Arial Black"/>
          <w:sz w:val="24"/>
          <w:szCs w:val="24"/>
        </w:rPr>
      </w:pPr>
    </w:p>
    <w:p w14:paraId="33177230" w14:textId="1997FC00" w:rsidR="00AC5DED" w:rsidRDefault="00AC5DED" w:rsidP="00F326E5">
      <w:pPr>
        <w:pStyle w:val="NoSpacing"/>
        <w:rPr>
          <w:rFonts w:ascii="Arial Black" w:hAnsi="Arial Black"/>
          <w:sz w:val="24"/>
          <w:szCs w:val="24"/>
        </w:rPr>
      </w:pPr>
      <w:r>
        <w:rPr>
          <w:rFonts w:ascii="Arial Black" w:hAnsi="Arial Black"/>
          <w:sz w:val="24"/>
          <w:szCs w:val="24"/>
        </w:rPr>
        <w:t>16-61</w:t>
      </w:r>
    </w:p>
    <w:p w14:paraId="256C5D70" w14:textId="77777777" w:rsidR="00AC5DED" w:rsidRPr="00FC677C" w:rsidRDefault="00AC5DED" w:rsidP="00AC5DED">
      <w:pPr>
        <w:pStyle w:val="Heading1"/>
        <w:rPr>
          <w:rFonts w:ascii="Arial Black" w:hAnsi="Arial Black"/>
          <w:sz w:val="28"/>
          <w:szCs w:val="28"/>
        </w:rPr>
      </w:pPr>
      <w:r>
        <w:rPr>
          <w:rFonts w:ascii="Arial Black" w:hAnsi="Arial Black"/>
          <w:sz w:val="28"/>
          <w:szCs w:val="28"/>
        </w:rPr>
        <w:t>CA: MEDIC EXPOSED BREAST UNCONSCIOUS FEMALE (19) – CONV. FELONY ASSAULT – JAIL - REGISTER SEX OFFENDER</w:t>
      </w:r>
    </w:p>
    <w:p w14:paraId="49496322" w14:textId="77777777" w:rsidR="00AC5DED" w:rsidRDefault="00AC5DED" w:rsidP="00AC5DED">
      <w:pPr>
        <w:pStyle w:val="Heading1"/>
        <w:rPr>
          <w:b w:val="0"/>
          <w:bCs w:val="0"/>
          <w:sz w:val="24"/>
          <w:szCs w:val="24"/>
        </w:rPr>
      </w:pPr>
      <w:r>
        <w:rPr>
          <w:b w:val="0"/>
          <w:bCs w:val="0"/>
          <w:sz w:val="24"/>
          <w:szCs w:val="24"/>
        </w:rPr>
        <w:t xml:space="preserve">On Dec. 8, 2021, in </w:t>
      </w:r>
      <w:r w:rsidRPr="00910334">
        <w:rPr>
          <w:b w:val="0"/>
          <w:bCs w:val="0"/>
          <w:sz w:val="24"/>
          <w:szCs w:val="24"/>
          <w:u w:val="single"/>
        </w:rPr>
        <w:t>The People v. Jared David Evans</w:t>
      </w:r>
      <w:r>
        <w:rPr>
          <w:b w:val="0"/>
          <w:bCs w:val="0"/>
          <w:sz w:val="24"/>
          <w:szCs w:val="24"/>
        </w:rPr>
        <w:t xml:space="preserve">, the California Court of Appeals, Third District (Sacramento), held (3 to 0; unpublished decision) that the jury correctly found the paramedic (age 32) guilty of felony assault, and was sentenced to 180 days in county jail, and to register as a sex offender  </w:t>
      </w:r>
      <w:r w:rsidRPr="001C34F3">
        <w:rPr>
          <w:b w:val="0"/>
          <w:bCs w:val="0"/>
          <w:sz w:val="24"/>
          <w:szCs w:val="24"/>
        </w:rPr>
        <w:t>According to reports, he did it in front of an intern and reportedly said, "Sorry, man, I had to."</w:t>
      </w:r>
      <w:r>
        <w:rPr>
          <w:b w:val="0"/>
          <w:bCs w:val="0"/>
          <w:sz w:val="24"/>
          <w:szCs w:val="24"/>
        </w:rPr>
        <w:t xml:space="preserve"> The Court also upheld the trial judge’s decision to not inform the jury that the </w:t>
      </w:r>
      <w:proofErr w:type="gramStart"/>
      <w:r>
        <w:rPr>
          <w:b w:val="0"/>
          <w:bCs w:val="0"/>
          <w:sz w:val="24"/>
          <w:szCs w:val="24"/>
        </w:rPr>
        <w:t>intern, who</w:t>
      </w:r>
      <w:proofErr w:type="gramEnd"/>
      <w:r>
        <w:rPr>
          <w:b w:val="0"/>
          <w:bCs w:val="0"/>
          <w:sz w:val="24"/>
          <w:szCs w:val="24"/>
        </w:rPr>
        <w:t xml:space="preserve"> testified at trial had shown EMS personnel nude photos of his girlfriend. </w:t>
      </w:r>
    </w:p>
    <w:p w14:paraId="76AB51C1" w14:textId="1F6CFA34" w:rsidR="00AC5DED" w:rsidRDefault="00AC5DED" w:rsidP="00AC5DED">
      <w:pPr>
        <w:pStyle w:val="NoSpacing"/>
        <w:ind w:left="720"/>
        <w:rPr>
          <w:rFonts w:ascii="Arial Black" w:hAnsi="Arial Black"/>
          <w:sz w:val="24"/>
          <w:szCs w:val="24"/>
        </w:rPr>
      </w:pPr>
      <w:r>
        <w:rPr>
          <w:rFonts w:ascii="Times New Roman" w:hAnsi="Times New Roman"/>
          <w:sz w:val="24"/>
          <w:szCs w:val="24"/>
        </w:rPr>
        <w:lastRenderedPageBreak/>
        <w:t>“</w:t>
      </w:r>
      <w:r w:rsidRPr="001C34F3">
        <w:rPr>
          <w:rFonts w:ascii="Times New Roman" w:hAnsi="Times New Roman"/>
          <w:sz w:val="24"/>
          <w:szCs w:val="24"/>
        </w:rPr>
        <w:t xml:space="preserve">Here, defendant brought </w:t>
      </w:r>
      <w:r>
        <w:rPr>
          <w:rFonts w:ascii="Times New Roman" w:hAnsi="Times New Roman"/>
          <w:sz w:val="24"/>
          <w:szCs w:val="24"/>
        </w:rPr>
        <w:t xml:space="preserve">[intern] </w:t>
      </w:r>
      <w:r w:rsidRPr="001C34F3">
        <w:rPr>
          <w:rFonts w:ascii="Times New Roman" w:hAnsi="Times New Roman"/>
          <w:sz w:val="24"/>
          <w:szCs w:val="24"/>
        </w:rPr>
        <w:t xml:space="preserve">Morris's attention to Doe's breasts, reached into her shirt, grabbed her breast, exposed it, and made a lewd comment. This is sufficient evidence that </w:t>
      </w:r>
      <w:proofErr w:type="gramStart"/>
      <w:r w:rsidRPr="001C34F3">
        <w:rPr>
          <w:rFonts w:ascii="Times New Roman" w:hAnsi="Times New Roman"/>
          <w:sz w:val="24"/>
          <w:szCs w:val="24"/>
        </w:rPr>
        <w:t>defendant</w:t>
      </w:r>
      <w:proofErr w:type="gramEnd"/>
      <w:r w:rsidRPr="001C34F3">
        <w:rPr>
          <w:rFonts w:ascii="Times New Roman" w:hAnsi="Times New Roman"/>
          <w:sz w:val="24"/>
          <w:szCs w:val="24"/>
        </w:rPr>
        <w:t xml:space="preserve"> committed the touching for the specific purpose of sexual gratification.</w:t>
      </w:r>
      <w:r>
        <w:rPr>
          <w:rFonts w:ascii="Times New Roman" w:hAnsi="Times New Roman"/>
          <w:sz w:val="24"/>
          <w:szCs w:val="24"/>
        </w:rPr>
        <w:t xml:space="preserve"> *** </w:t>
      </w:r>
      <w:r w:rsidRPr="00185759">
        <w:rPr>
          <w:rFonts w:ascii="Times New Roman" w:hAnsi="Times New Roman"/>
          <w:sz w:val="24"/>
          <w:szCs w:val="24"/>
        </w:rPr>
        <w:t xml:space="preserve">Among other things, defendant argues on appeal that the display of the nude images </w:t>
      </w:r>
      <w:r>
        <w:rPr>
          <w:rFonts w:ascii="Times New Roman" w:hAnsi="Times New Roman"/>
          <w:sz w:val="24"/>
          <w:szCs w:val="24"/>
        </w:rPr>
        <w:t xml:space="preserve">[by intern of his girlfriend to other EMS] </w:t>
      </w:r>
      <w:r w:rsidRPr="00185759">
        <w:rPr>
          <w:rFonts w:ascii="Times New Roman" w:hAnsi="Times New Roman"/>
          <w:sz w:val="24"/>
          <w:szCs w:val="24"/>
        </w:rPr>
        <w:t>went to Morris's intent and attitude toward women. The argument focuses on admissibility based on intent under Evidence Code section 1101, subdivision (b). But defendant did not argue in the trial court that the evidence was relevant to Morris's intent. He only argued Morris was immature about and lacked respect for women and, therefore, his claim to be an outstanding firefighter lacked credibility. Under the circumstances, defendant forfeited consideration on appeal of admissibility based on intent.</w:t>
      </w:r>
      <w:r>
        <w:rPr>
          <w:rFonts w:ascii="Times New Roman" w:hAnsi="Times New Roman"/>
          <w:sz w:val="24"/>
          <w:szCs w:val="24"/>
        </w:rPr>
        <w:t xml:space="preserve"> </w:t>
      </w:r>
      <w:r w:rsidRPr="00734BD0">
        <w:rPr>
          <w:rFonts w:ascii="Times New Roman" w:hAnsi="Times New Roman"/>
          <w:sz w:val="24"/>
          <w:szCs w:val="24"/>
        </w:rPr>
        <w:t>*** Although we nevertheless understand the gist of defendant's arguments regarding the evidence and are not unsympathetic, the trial court did not abuse its discretion in making its evidentiary determination.</w:t>
      </w:r>
      <w:r>
        <w:t xml:space="preserve"> </w:t>
      </w:r>
      <w:hyperlink r:id="rId2704" w:history="1">
        <w:r w:rsidRPr="00EC5853">
          <w:rPr>
            <w:rStyle w:val="Hyperlink"/>
          </w:rPr>
          <w:t>https://public.fastcase.com/9SKwsfNqTc6OieYDhNMyM%2B9QVlF%2Fi0C7FBtpVDfGBEJTuxz2gLXEBOyZ2MTUN6p67t66EUS4%2BwzN2KZQmb95HSCpSxhJK4uvhgP9XZ8nBIo%3D</w:t>
        </w:r>
      </w:hyperlink>
    </w:p>
    <w:p w14:paraId="654EF991" w14:textId="77777777" w:rsidR="00AC5DED" w:rsidRDefault="00AC5DED" w:rsidP="00F326E5">
      <w:pPr>
        <w:pStyle w:val="NoSpacing"/>
        <w:rPr>
          <w:rFonts w:ascii="Arial Black" w:hAnsi="Arial Black"/>
          <w:sz w:val="24"/>
          <w:szCs w:val="24"/>
        </w:rPr>
      </w:pPr>
    </w:p>
    <w:p w14:paraId="5CC44842" w14:textId="77777777" w:rsidR="00AC5DED" w:rsidRPr="00AF6390" w:rsidRDefault="00AC5DED" w:rsidP="00AC5DED">
      <w:pPr>
        <w:spacing w:before="100" w:beforeAutospacing="1" w:after="100" w:afterAutospacing="1" w:line="240" w:lineRule="auto"/>
        <w:rPr>
          <w:rFonts w:ascii="Times New Roman" w:eastAsia="Times New Roman" w:hAnsi="Times New Roman"/>
          <w:sz w:val="24"/>
          <w:szCs w:val="24"/>
        </w:rPr>
      </w:pPr>
      <w:r w:rsidRPr="00734BD0">
        <w:rPr>
          <w:rFonts w:ascii="Times New Roman" w:hAnsi="Times New Roman"/>
          <w:b/>
          <w:bCs/>
          <w:sz w:val="24"/>
          <w:szCs w:val="24"/>
        </w:rPr>
        <w:t>Legal Lesson Learned:</w:t>
      </w:r>
      <w:r>
        <w:rPr>
          <w:rFonts w:ascii="Times New Roman" w:hAnsi="Times New Roman"/>
          <w:b/>
          <w:bCs/>
          <w:sz w:val="24"/>
          <w:szCs w:val="24"/>
        </w:rPr>
        <w:t xml:space="preserve">  Stupid conduct by this paramedic resulted in felony conviction, jail time, reporting as </w:t>
      </w:r>
      <w:proofErr w:type="gramStart"/>
      <w:r>
        <w:rPr>
          <w:rFonts w:ascii="Times New Roman" w:hAnsi="Times New Roman"/>
          <w:b/>
          <w:bCs/>
          <w:sz w:val="24"/>
          <w:szCs w:val="24"/>
        </w:rPr>
        <w:t>a sexual</w:t>
      </w:r>
      <w:proofErr w:type="gramEnd"/>
      <w:r>
        <w:rPr>
          <w:rFonts w:ascii="Times New Roman" w:hAnsi="Times New Roman"/>
          <w:b/>
          <w:bCs/>
          <w:sz w:val="24"/>
          <w:szCs w:val="24"/>
        </w:rPr>
        <w:t xml:space="preserve"> offenders and loss of his chosen profession.</w:t>
      </w:r>
    </w:p>
    <w:p w14:paraId="7114E523" w14:textId="77777777" w:rsidR="00AC5DED" w:rsidRPr="001C34F3" w:rsidRDefault="00AC5DED" w:rsidP="00AC5DED">
      <w:pPr>
        <w:pStyle w:val="Heading1"/>
        <w:ind w:left="720"/>
        <w:rPr>
          <w:b w:val="0"/>
          <w:bCs w:val="0"/>
          <w:sz w:val="24"/>
          <w:szCs w:val="24"/>
        </w:rPr>
      </w:pPr>
      <w:r>
        <w:rPr>
          <w:b w:val="0"/>
          <w:bCs w:val="0"/>
          <w:sz w:val="24"/>
          <w:szCs w:val="24"/>
        </w:rPr>
        <w:t xml:space="preserve">Note: See June 12, </w:t>
      </w:r>
      <w:proofErr w:type="gramStart"/>
      <w:r>
        <w:rPr>
          <w:b w:val="0"/>
          <w:bCs w:val="0"/>
          <w:sz w:val="24"/>
          <w:szCs w:val="24"/>
        </w:rPr>
        <w:t>2017</w:t>
      </w:r>
      <w:proofErr w:type="gramEnd"/>
      <w:r>
        <w:rPr>
          <w:b w:val="0"/>
          <w:bCs w:val="0"/>
          <w:sz w:val="24"/>
          <w:szCs w:val="24"/>
        </w:rPr>
        <w:t xml:space="preserve"> article, “</w:t>
      </w:r>
      <w:r w:rsidRPr="001C34F3">
        <w:rPr>
          <w:b w:val="0"/>
          <w:bCs w:val="0"/>
          <w:sz w:val="24"/>
          <w:szCs w:val="24"/>
        </w:rPr>
        <w:t xml:space="preserve">Paramedic </w:t>
      </w:r>
      <w:proofErr w:type="gramStart"/>
      <w:r w:rsidRPr="001C34F3">
        <w:rPr>
          <w:b w:val="0"/>
          <w:bCs w:val="0"/>
          <w:sz w:val="24"/>
          <w:szCs w:val="24"/>
        </w:rPr>
        <w:t>And</w:t>
      </w:r>
      <w:proofErr w:type="gramEnd"/>
      <w:r w:rsidRPr="001C34F3">
        <w:rPr>
          <w:b w:val="0"/>
          <w:bCs w:val="0"/>
          <w:sz w:val="24"/>
          <w:szCs w:val="24"/>
        </w:rPr>
        <w:t xml:space="preserve"> Firefighter Fondle Teen Having Seizures, Jared David Evans Told Intern, 'I Had To</w:t>
      </w:r>
      <w:r>
        <w:rPr>
          <w:b w:val="0"/>
          <w:bCs w:val="0"/>
          <w:sz w:val="24"/>
          <w:szCs w:val="24"/>
        </w:rPr>
        <w:t>.</w:t>
      </w:r>
      <w:r w:rsidRPr="001C34F3">
        <w:rPr>
          <w:b w:val="0"/>
          <w:bCs w:val="0"/>
          <w:sz w:val="24"/>
          <w:szCs w:val="24"/>
        </w:rPr>
        <w:t>'</w:t>
      </w:r>
      <w:r>
        <w:rPr>
          <w:b w:val="0"/>
          <w:bCs w:val="0"/>
          <w:sz w:val="24"/>
          <w:szCs w:val="24"/>
        </w:rPr>
        <w:t xml:space="preserve">” </w:t>
      </w:r>
      <w:hyperlink r:id="rId2705" w:history="1">
        <w:r w:rsidRPr="00EC5853">
          <w:rPr>
            <w:rStyle w:val="Hyperlink"/>
            <w:b w:val="0"/>
            <w:bCs w:val="0"/>
            <w:sz w:val="24"/>
            <w:szCs w:val="24"/>
          </w:rPr>
          <w:t>https://www.inquisitr.com/4286305/paramedic-and-firefighter-fondle-teen-having-seizures-jared-david-evans-told-intern-i-had-to/</w:t>
        </w:r>
      </w:hyperlink>
      <w:r>
        <w:rPr>
          <w:b w:val="0"/>
          <w:bCs w:val="0"/>
          <w:sz w:val="24"/>
          <w:szCs w:val="24"/>
        </w:rPr>
        <w:t xml:space="preserve"> </w:t>
      </w:r>
    </w:p>
    <w:p w14:paraId="49A775C3" w14:textId="77777777" w:rsidR="00AC5DED" w:rsidRPr="009E51C8" w:rsidRDefault="00AC5DED" w:rsidP="00AC5DED">
      <w:pPr>
        <w:ind w:left="1440"/>
        <w:rPr>
          <w:rFonts w:ascii="Times New Roman" w:hAnsi="Times New Roman"/>
          <w:sz w:val="24"/>
          <w:szCs w:val="24"/>
        </w:rPr>
      </w:pPr>
      <w:r w:rsidRPr="009E51C8">
        <w:rPr>
          <w:rFonts w:ascii="Times New Roman" w:hAnsi="Times New Roman"/>
          <w:sz w:val="24"/>
          <w:szCs w:val="24"/>
        </w:rPr>
        <w:t xml:space="preserve">“According to KCRA Channel 3, </w:t>
      </w:r>
      <w:hyperlink r:id="rId2706" w:tgtFrame="_blank" w:history="1">
        <w:r w:rsidRPr="009E51C8">
          <w:rPr>
            <w:rFonts w:ascii="Times New Roman" w:hAnsi="Times New Roman"/>
            <w:sz w:val="24"/>
            <w:szCs w:val="24"/>
          </w:rPr>
          <w:t>Sacramento Fire Chief</w:t>
        </w:r>
      </w:hyperlink>
      <w:r w:rsidRPr="009E51C8">
        <w:rPr>
          <w:rFonts w:ascii="Times New Roman" w:hAnsi="Times New Roman"/>
          <w:sz w:val="24"/>
          <w:szCs w:val="24"/>
        </w:rPr>
        <w:t xml:space="preserve"> Walt White discussed the allegations against Jared David Evans. ‘When these allegations were brought to the attention of fire administration, we immediately notified the office of public safety and accountability and requested a full law enforcement investigation.’ ‘The Sacramento Fire Department takes all citizen complaints </w:t>
      </w:r>
      <w:proofErr w:type="gramStart"/>
      <w:r w:rsidRPr="009E51C8">
        <w:rPr>
          <w:rFonts w:ascii="Times New Roman" w:hAnsi="Times New Roman"/>
          <w:sz w:val="24"/>
          <w:szCs w:val="24"/>
        </w:rPr>
        <w:t>seriously, and</w:t>
      </w:r>
      <w:proofErr w:type="gramEnd"/>
      <w:r w:rsidRPr="009E51C8">
        <w:rPr>
          <w:rFonts w:ascii="Times New Roman" w:hAnsi="Times New Roman"/>
          <w:sz w:val="24"/>
          <w:szCs w:val="24"/>
        </w:rPr>
        <w:t xml:space="preserve"> works quickly to take appropriate actions to mitigate them. When this complaint was made to Fire Administration, it was immediately forwarded to Law Enforcement </w:t>
      </w:r>
      <w:proofErr w:type="gramStart"/>
      <w:r w:rsidRPr="009E51C8">
        <w:rPr>
          <w:rFonts w:ascii="Times New Roman" w:hAnsi="Times New Roman"/>
          <w:sz w:val="24"/>
          <w:szCs w:val="24"/>
        </w:rPr>
        <w:t>officials</w:t>
      </w:r>
      <w:proofErr w:type="gramEnd"/>
      <w:r w:rsidRPr="009E51C8">
        <w:rPr>
          <w:rFonts w:ascii="Times New Roman" w:hAnsi="Times New Roman"/>
          <w:sz w:val="24"/>
          <w:szCs w:val="24"/>
        </w:rPr>
        <w:t xml:space="preserve"> and a formal investigation was requested. Although the case is ongoing, and all facts are not yet known, the Sacramento Fire Department wants to assure the public that we are fully cooperating with the investigation and working to bring the matter to a successful conclusion.”</w:t>
      </w:r>
    </w:p>
    <w:p w14:paraId="3BC0791F" w14:textId="77777777" w:rsidR="00AC5DED" w:rsidRDefault="00AC5DED" w:rsidP="00F326E5">
      <w:pPr>
        <w:pStyle w:val="NoSpacing"/>
        <w:rPr>
          <w:rFonts w:ascii="Arial Black" w:hAnsi="Arial Black"/>
          <w:sz w:val="24"/>
          <w:szCs w:val="24"/>
        </w:rPr>
      </w:pPr>
    </w:p>
    <w:p w14:paraId="52C865FB" w14:textId="77777777" w:rsidR="00AC5DED" w:rsidRDefault="00AC5DED" w:rsidP="00F326E5">
      <w:pPr>
        <w:pStyle w:val="NoSpacing"/>
        <w:rPr>
          <w:rFonts w:ascii="Arial Black" w:hAnsi="Arial Black"/>
          <w:sz w:val="24"/>
          <w:szCs w:val="24"/>
        </w:rPr>
      </w:pPr>
    </w:p>
    <w:p w14:paraId="67A53459" w14:textId="61F36DCE" w:rsidR="00506EE7" w:rsidRDefault="00506EE7" w:rsidP="00F326E5">
      <w:pPr>
        <w:pStyle w:val="NoSpacing"/>
        <w:rPr>
          <w:rFonts w:ascii="Arial Black" w:hAnsi="Arial Black"/>
          <w:sz w:val="24"/>
          <w:szCs w:val="24"/>
        </w:rPr>
      </w:pPr>
      <w:r>
        <w:rPr>
          <w:rFonts w:ascii="Arial Black" w:hAnsi="Arial Black"/>
          <w:sz w:val="24"/>
          <w:szCs w:val="24"/>
        </w:rPr>
        <w:t>16-</w:t>
      </w:r>
      <w:r w:rsidR="007E3A28">
        <w:rPr>
          <w:rFonts w:ascii="Arial Black" w:hAnsi="Arial Black"/>
          <w:sz w:val="24"/>
          <w:szCs w:val="24"/>
        </w:rPr>
        <w:t>60</w:t>
      </w:r>
    </w:p>
    <w:p w14:paraId="4FBB6967" w14:textId="77777777" w:rsidR="00506EE7" w:rsidRPr="00A71D89" w:rsidRDefault="00506EE7" w:rsidP="00506EE7">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PA: VOL. FF MET 14-YR OLD AT STATION – SEXUAL RELATIONS FOR YEAR – JURY CONV - 8-16 YRS JAIL</w:t>
      </w:r>
    </w:p>
    <w:p w14:paraId="63C770CD" w14:textId="77777777" w:rsidR="00506EE7" w:rsidRDefault="00506EE7" w:rsidP="00506EE7">
      <w:pPr>
        <w:spacing w:after="100" w:line="240" w:lineRule="auto"/>
        <w:rPr>
          <w:rFonts w:ascii="Times New Roman" w:hAnsi="Times New Roman"/>
          <w:sz w:val="24"/>
          <w:szCs w:val="24"/>
        </w:rPr>
      </w:pPr>
      <w:r>
        <w:rPr>
          <w:rFonts w:ascii="Times New Roman" w:eastAsia="Times New Roman" w:hAnsi="Times New Roman"/>
          <w:sz w:val="24"/>
          <w:szCs w:val="24"/>
        </w:rPr>
        <w:t xml:space="preserve">On Nov. 22, 2021, in </w:t>
      </w:r>
      <w:r w:rsidRPr="00A71D89">
        <w:rPr>
          <w:rFonts w:ascii="Times New Roman" w:eastAsia="Times New Roman" w:hAnsi="Times New Roman"/>
          <w:sz w:val="24"/>
          <w:szCs w:val="24"/>
          <w:u w:val="single"/>
        </w:rPr>
        <w:t>Commonwealth of Pennsylvania v. Christopher Anthony Taylor</w:t>
      </w:r>
      <w:r>
        <w:rPr>
          <w:rFonts w:ascii="Times New Roman" w:eastAsia="Times New Roman" w:hAnsi="Times New Roman"/>
          <w:sz w:val="24"/>
          <w:szCs w:val="24"/>
        </w:rPr>
        <w:t xml:space="preserve">, Superior Court of Pennsylvania, held (3 to 0; “non-precedential decisional”) the Court of Appeals agreed with a trial court judge who denied his petition for Post-Conviction Relief.  On appeals he claimed ineffective assistance of counsel, but the trial court properly allowed into evidence the firefighters many e-mails with the minor, leading to his conviction of statutory sexual assault, </w:t>
      </w:r>
      <w:r w:rsidRPr="004979D4">
        <w:rPr>
          <w:rFonts w:ascii="Times New Roman" w:hAnsi="Times New Roman"/>
          <w:sz w:val="24"/>
          <w:szCs w:val="24"/>
        </w:rPr>
        <w:t>aggravated indecent assault-less than 16 years of age, indecent assault-less than 16 years of age, unlawful contact with a minor-sexual offenses, involuntary deviate sexual intercourse-less than 16 years of age, and corruption of minors</w:t>
      </w:r>
      <w:r>
        <w:rPr>
          <w:rFonts w:ascii="Times New Roman" w:hAnsi="Times New Roman"/>
          <w:sz w:val="24"/>
          <w:szCs w:val="24"/>
        </w:rPr>
        <w:t xml:space="preserve">.  </w:t>
      </w:r>
    </w:p>
    <w:p w14:paraId="753F6740" w14:textId="77777777" w:rsidR="00506EE7" w:rsidRDefault="00506EE7" w:rsidP="00506EE7">
      <w:pPr>
        <w:pStyle w:val="NormalWeb"/>
        <w:ind w:left="720"/>
      </w:pPr>
      <w:r>
        <w:lastRenderedPageBreak/>
        <w:t xml:space="preserve">“In his first claim, Taylor argues that his trial counsel rendered ineffective assistance by failing to object to the authenticity of the email communications between himself and the victim. Brief for Appellant at 12-13. Taylor asserts that, at trial, he testified that he did not recognize the emails…. Additionally, Taylor claims that the only authentication of the emails was that the victim had provided them to the police, who performed no examination of the victim's or Taylor's respective computers…. Taylor acknowledges that trial counsel objected to the emails at </w:t>
      </w:r>
      <w:proofErr w:type="gramStart"/>
      <w:r>
        <w:t>trial, but</w:t>
      </w:r>
      <w:proofErr w:type="gramEnd"/>
      <w:r>
        <w:t xml:space="preserve"> contends that the objection was generic and did not specifically challenge the authenticity of the emails…. Accordingly, Taylor has failed to establish his claim of ineffective assistance of counsel.  </w:t>
      </w:r>
      <w:hyperlink r:id="rId2707" w:history="1">
        <w:r w:rsidRPr="0085682C">
          <w:rPr>
            <w:rStyle w:val="Hyperlink"/>
          </w:rPr>
          <w:t>https://public.fastcase.com/9SKwsfNqTc6OieYDhNMyMwLbquMieQJJAkWYEouDi7ix05WUlxmQyjrVFv7KR6XMi0MhNDFBQq54%2Fpuo4ib1qnZU%2F1hDs4fMcaW2pIa9a%2BY%3D</w:t>
        </w:r>
      </w:hyperlink>
      <w:r>
        <w:t xml:space="preserve"> </w:t>
      </w:r>
    </w:p>
    <w:p w14:paraId="325128D9" w14:textId="77777777" w:rsidR="007E3A28" w:rsidRPr="0023548F" w:rsidRDefault="007E3A28" w:rsidP="007E3A28">
      <w:pPr>
        <w:spacing w:after="100" w:line="240" w:lineRule="auto"/>
        <w:rPr>
          <w:rFonts w:ascii="Times New Roman" w:eastAsia="Times New Roman" w:hAnsi="Times New Roman"/>
          <w:b/>
          <w:bCs/>
          <w:sz w:val="24"/>
          <w:szCs w:val="24"/>
        </w:rPr>
      </w:pPr>
      <w:r w:rsidRPr="0023548F">
        <w:rPr>
          <w:rFonts w:ascii="Times New Roman" w:hAnsi="Times New Roman"/>
          <w:b/>
          <w:bCs/>
          <w:sz w:val="24"/>
          <w:szCs w:val="24"/>
        </w:rPr>
        <w:t>Legal Lesson Learned:</w:t>
      </w:r>
      <w:r>
        <w:rPr>
          <w:rFonts w:ascii="Times New Roman" w:hAnsi="Times New Roman"/>
          <w:b/>
          <w:bCs/>
          <w:sz w:val="24"/>
          <w:szCs w:val="24"/>
        </w:rPr>
        <w:t xml:space="preserve">  This former volunteer firefighter now has lots of time in prison to think about his conduct.  </w:t>
      </w:r>
    </w:p>
    <w:p w14:paraId="1EFC4A4F" w14:textId="35A365FC" w:rsidR="00506EE7" w:rsidRDefault="00506EE7" w:rsidP="00F326E5">
      <w:pPr>
        <w:pStyle w:val="NoSpacing"/>
        <w:rPr>
          <w:rFonts w:ascii="Arial Black" w:hAnsi="Arial Black"/>
          <w:sz w:val="24"/>
          <w:szCs w:val="24"/>
        </w:rPr>
      </w:pPr>
    </w:p>
    <w:p w14:paraId="588C380E" w14:textId="050B45D2" w:rsidR="007E3A28" w:rsidRDefault="007E3A28" w:rsidP="00F326E5">
      <w:pPr>
        <w:pStyle w:val="NoSpacing"/>
        <w:rPr>
          <w:rFonts w:ascii="Arial Black" w:hAnsi="Arial Black"/>
          <w:sz w:val="24"/>
          <w:szCs w:val="24"/>
        </w:rPr>
      </w:pPr>
      <w:r>
        <w:rPr>
          <w:rFonts w:ascii="Arial Black" w:hAnsi="Arial Black"/>
          <w:sz w:val="24"/>
          <w:szCs w:val="24"/>
        </w:rPr>
        <w:t>16-59</w:t>
      </w:r>
    </w:p>
    <w:p w14:paraId="1C823D97" w14:textId="15A0A55C" w:rsidR="007E3A28" w:rsidRDefault="007E3A28" w:rsidP="00F326E5">
      <w:pPr>
        <w:pStyle w:val="NoSpacing"/>
        <w:rPr>
          <w:rFonts w:ascii="Arial Black" w:hAnsi="Arial Black"/>
          <w:sz w:val="24"/>
          <w:szCs w:val="24"/>
        </w:rPr>
      </w:pPr>
    </w:p>
    <w:p w14:paraId="13F1EDAB" w14:textId="77777777" w:rsidR="007E3A28" w:rsidRDefault="007E3A28" w:rsidP="007E3A28">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NJ: FF PROPERLY FIRED – PLED GUILTY AGGRAVATED ASSAULT IN BAR - 364 DAYS JAIL – FD LEARNED NO SHOW</w:t>
      </w:r>
    </w:p>
    <w:p w14:paraId="43376913" w14:textId="77777777" w:rsidR="007E3A28" w:rsidRDefault="007E3A28" w:rsidP="007E3A28">
      <w:pPr>
        <w:spacing w:before="100" w:beforeAutospacing="1" w:after="100" w:afterAutospacing="1" w:line="240" w:lineRule="auto"/>
      </w:pPr>
      <w:r w:rsidRPr="00F80533">
        <w:rPr>
          <w:rFonts w:ascii="Times New Roman" w:eastAsia="Times New Roman" w:hAnsi="Times New Roman"/>
          <w:sz w:val="24"/>
          <w:szCs w:val="24"/>
        </w:rPr>
        <w:t xml:space="preserve">On </w:t>
      </w:r>
      <w:r>
        <w:rPr>
          <w:rFonts w:ascii="Times New Roman" w:eastAsia="Times New Roman" w:hAnsi="Times New Roman"/>
          <w:sz w:val="24"/>
          <w:szCs w:val="24"/>
        </w:rPr>
        <w:t>Nov. 16, 2021</w:t>
      </w:r>
      <w:r w:rsidRPr="002A1A7D">
        <w:rPr>
          <w:rFonts w:ascii="Times New Roman" w:eastAsia="Times New Roman" w:hAnsi="Times New Roman"/>
          <w:sz w:val="24"/>
          <w:szCs w:val="24"/>
          <w:u w:val="single"/>
        </w:rPr>
        <w:t>, In The Matter Of Joseph Downar, The City of Newark Fire Department</w:t>
      </w:r>
      <w:r>
        <w:rPr>
          <w:rFonts w:ascii="Times New Roman" w:eastAsia="Times New Roman" w:hAnsi="Times New Roman"/>
          <w:sz w:val="24"/>
          <w:szCs w:val="24"/>
        </w:rPr>
        <w:t xml:space="preserve">, the Superior Court of New Jersey, Appellate Division, held (3 to 0) (unpublished decision) that the Civil Service Commission properly upheld the Fire Department’s decision to terminate the firefighter after a disciplinary hearing on March 15, 2018, for his conviction of third-degree aggravated assault, and failure to notice the Fire Department of his arrest, indictment, conviction and prison sentence.  The FD had no knowledge of the incident until Dec. 12, 2017, the day he began serving his jail term, and </w:t>
      </w:r>
      <w:proofErr w:type="gramStart"/>
      <w:r>
        <w:rPr>
          <w:rFonts w:ascii="Times New Roman" w:eastAsia="Times New Roman" w:hAnsi="Times New Roman"/>
          <w:sz w:val="24"/>
          <w:szCs w:val="24"/>
        </w:rPr>
        <w:t>he</w:t>
      </w:r>
      <w:proofErr w:type="gramEnd"/>
      <w:r>
        <w:rPr>
          <w:rFonts w:ascii="Times New Roman" w:eastAsia="Times New Roman" w:hAnsi="Times New Roman"/>
          <w:sz w:val="24"/>
          <w:szCs w:val="24"/>
        </w:rPr>
        <w:t xml:space="preserve"> union advised the department. </w:t>
      </w:r>
    </w:p>
    <w:p w14:paraId="3FC6E155" w14:textId="77777777" w:rsidR="007E3A28" w:rsidRDefault="007E3A28" w:rsidP="007E3A28">
      <w:pPr>
        <w:spacing w:before="100" w:beforeAutospacing="1" w:after="100" w:afterAutospacing="1" w:line="240" w:lineRule="auto"/>
        <w:ind w:left="720"/>
        <w:rPr>
          <w:rFonts w:ascii="Times New Roman" w:hAnsi="Times New Roman"/>
          <w:sz w:val="24"/>
          <w:szCs w:val="24"/>
        </w:rPr>
      </w:pPr>
      <w:r>
        <w:rPr>
          <w:rFonts w:ascii="Times New Roman" w:eastAsia="Times New Roman" w:hAnsi="Times New Roman"/>
          <w:sz w:val="24"/>
          <w:szCs w:val="24"/>
        </w:rPr>
        <w:t>“</w:t>
      </w:r>
      <w:proofErr w:type="spellStart"/>
      <w:r w:rsidRPr="008E3A70">
        <w:rPr>
          <w:rFonts w:ascii="Times New Roman" w:hAnsi="Times New Roman"/>
          <w:sz w:val="24"/>
          <w:szCs w:val="24"/>
        </w:rPr>
        <w:t>Downar</w:t>
      </w:r>
      <w:proofErr w:type="spellEnd"/>
      <w:r w:rsidRPr="008E3A70">
        <w:rPr>
          <w:rFonts w:ascii="Times New Roman" w:hAnsi="Times New Roman"/>
          <w:sz w:val="24"/>
          <w:szCs w:val="24"/>
        </w:rPr>
        <w:t xml:space="preserve"> was charged with failure to report his arrest, indictment, conviction, and sentence to management. The Department did not have a written policy, rule, or regulation requiring notification in place when the assault occurred. However, on January 4, 2017, the very day that </w:t>
      </w:r>
      <w:proofErr w:type="spellStart"/>
      <w:r w:rsidRPr="008E3A70">
        <w:rPr>
          <w:rFonts w:ascii="Times New Roman" w:hAnsi="Times New Roman"/>
          <w:sz w:val="24"/>
          <w:szCs w:val="24"/>
        </w:rPr>
        <w:t>Downar</w:t>
      </w:r>
      <w:proofErr w:type="spellEnd"/>
      <w:r w:rsidRPr="008E3A70">
        <w:rPr>
          <w:rFonts w:ascii="Times New Roman" w:hAnsi="Times New Roman"/>
          <w:sz w:val="24"/>
          <w:szCs w:val="24"/>
        </w:rPr>
        <w:t xml:space="preserve"> was arrested, the Department promulgated a written policy that became effective immediately, which required firefighters to report </w:t>
      </w:r>
      <w:r>
        <w:rPr>
          <w:rFonts w:ascii="Times New Roman" w:hAnsi="Times New Roman"/>
          <w:sz w:val="24"/>
          <w:szCs w:val="24"/>
        </w:rPr>
        <w:t>‘</w:t>
      </w:r>
      <w:r w:rsidRPr="008E3A70">
        <w:rPr>
          <w:rFonts w:ascii="Times New Roman" w:hAnsi="Times New Roman"/>
          <w:sz w:val="24"/>
          <w:szCs w:val="24"/>
        </w:rPr>
        <w:t>contact with any police agency as a victim, witness, or suspect (criminal or traffic complaints) . . . via an administrative submission . . . to their immediate supervisor upon their first day reporting back to duty.</w:t>
      </w:r>
      <w:r>
        <w:rPr>
          <w:rFonts w:ascii="Times New Roman" w:hAnsi="Times New Roman"/>
          <w:sz w:val="24"/>
          <w:szCs w:val="24"/>
        </w:rPr>
        <w:t>’</w:t>
      </w:r>
      <w:r w:rsidRPr="008E3A70">
        <w:rPr>
          <w:rFonts w:ascii="Times New Roman" w:hAnsi="Times New Roman"/>
          <w:sz w:val="24"/>
          <w:szCs w:val="24"/>
        </w:rPr>
        <w:t xml:space="preserve"> </w:t>
      </w:r>
      <w:proofErr w:type="spellStart"/>
      <w:r w:rsidRPr="008E3A70">
        <w:rPr>
          <w:rFonts w:ascii="Times New Roman" w:hAnsi="Times New Roman"/>
          <w:sz w:val="24"/>
          <w:szCs w:val="24"/>
        </w:rPr>
        <w:t>Downar</w:t>
      </w:r>
      <w:proofErr w:type="spellEnd"/>
      <w:r w:rsidRPr="008E3A70">
        <w:rPr>
          <w:rFonts w:ascii="Times New Roman" w:hAnsi="Times New Roman"/>
          <w:sz w:val="24"/>
          <w:szCs w:val="24"/>
        </w:rPr>
        <w:t xml:space="preserve"> does not dispute that the policy was the subject of roll call training and was conspicuously </w:t>
      </w:r>
      <w:proofErr w:type="gramStart"/>
      <w:r w:rsidRPr="008E3A70">
        <w:rPr>
          <w:rFonts w:ascii="Times New Roman" w:hAnsi="Times New Roman"/>
          <w:sz w:val="24"/>
          <w:szCs w:val="24"/>
        </w:rPr>
        <w:t>posted, and</w:t>
      </w:r>
      <w:proofErr w:type="gramEnd"/>
      <w:r w:rsidRPr="008E3A70">
        <w:rPr>
          <w:rFonts w:ascii="Times New Roman" w:hAnsi="Times New Roman"/>
          <w:sz w:val="24"/>
          <w:szCs w:val="24"/>
        </w:rPr>
        <w:t xml:space="preserve"> yet claims he was unaware he had to report the incident to his superiors. The ALJ found that testimony incredible.</w:t>
      </w:r>
    </w:p>
    <w:p w14:paraId="4BBF5524" w14:textId="77777777" w:rsidR="007E3A28" w:rsidRDefault="007E3A28" w:rsidP="007E3A28">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p>
    <w:p w14:paraId="06322910" w14:textId="77777777" w:rsidR="007E3A28" w:rsidRDefault="007E3A28" w:rsidP="007E3A28">
      <w:pPr>
        <w:spacing w:before="100" w:beforeAutospacing="1" w:after="100" w:afterAutospacing="1" w:line="240" w:lineRule="auto"/>
        <w:ind w:left="720" w:firstLine="60"/>
        <w:rPr>
          <w:rFonts w:ascii="Times New Roman" w:eastAsia="Times New Roman" w:hAnsi="Times New Roman"/>
          <w:sz w:val="24"/>
          <w:szCs w:val="24"/>
        </w:rPr>
      </w:pPr>
      <w:proofErr w:type="spellStart"/>
      <w:r w:rsidRPr="008E3A70">
        <w:rPr>
          <w:rFonts w:ascii="Times New Roman" w:eastAsia="Times New Roman" w:hAnsi="Times New Roman"/>
          <w:sz w:val="24"/>
          <w:szCs w:val="24"/>
        </w:rPr>
        <w:t>Downar</w:t>
      </w:r>
      <w:proofErr w:type="spellEnd"/>
      <w:r w:rsidRPr="008E3A70">
        <w:rPr>
          <w:rFonts w:ascii="Times New Roman" w:eastAsia="Times New Roman" w:hAnsi="Times New Roman"/>
          <w:sz w:val="24"/>
          <w:szCs w:val="24"/>
        </w:rPr>
        <w:t xml:space="preserve"> had no prior disciplinary history and received good performance reviews. He argues that removal was disproportionate to the offense, his first disciplinary infraction, and that the failure to apply progressive discipline was reversible error. We disagree. </w:t>
      </w:r>
    </w:p>
    <w:p w14:paraId="4D5DFC44" w14:textId="77777777" w:rsidR="007E3A28" w:rsidRDefault="007E3A28" w:rsidP="007E3A28">
      <w:pPr>
        <w:spacing w:before="100" w:beforeAutospacing="1" w:after="100" w:afterAutospacing="1" w:line="240" w:lineRule="auto"/>
        <w:ind w:left="720" w:firstLine="60"/>
        <w:rPr>
          <w:rFonts w:ascii="Times New Roman" w:eastAsia="Times New Roman" w:hAnsi="Times New Roman"/>
          <w:sz w:val="24"/>
          <w:szCs w:val="24"/>
        </w:rPr>
      </w:pPr>
      <w:r>
        <w:rPr>
          <w:rFonts w:ascii="Times New Roman" w:eastAsia="Times New Roman" w:hAnsi="Times New Roman"/>
          <w:sz w:val="24"/>
          <w:szCs w:val="24"/>
        </w:rPr>
        <w:t>***</w:t>
      </w:r>
    </w:p>
    <w:p w14:paraId="4EF479D0" w14:textId="1F741210" w:rsidR="007E3A28" w:rsidRDefault="007E3A28" w:rsidP="007E3A28">
      <w:pPr>
        <w:pStyle w:val="NoSpacing"/>
        <w:ind w:left="720"/>
        <w:rPr>
          <w:rStyle w:val="Hyperlink"/>
          <w:rFonts w:ascii="Times New Roman" w:hAnsi="Times New Roman"/>
          <w:sz w:val="24"/>
          <w:szCs w:val="24"/>
        </w:rPr>
      </w:pPr>
      <w:r w:rsidRPr="007E3A28">
        <w:rPr>
          <w:rFonts w:ascii="Times New Roman" w:hAnsi="Times New Roman"/>
          <w:sz w:val="24"/>
          <w:szCs w:val="24"/>
        </w:rPr>
        <w:t xml:space="preserve">Even though committed while </w:t>
      </w:r>
      <w:proofErr w:type="gramStart"/>
      <w:r w:rsidRPr="007E3A28">
        <w:rPr>
          <w:rFonts w:ascii="Times New Roman" w:hAnsi="Times New Roman"/>
          <w:sz w:val="24"/>
          <w:szCs w:val="24"/>
        </w:rPr>
        <w:t>off-duty</w:t>
      </w:r>
      <w:proofErr w:type="gramEnd"/>
      <w:r w:rsidRPr="007E3A28">
        <w:rPr>
          <w:rFonts w:ascii="Times New Roman" w:hAnsi="Times New Roman"/>
          <w:sz w:val="24"/>
          <w:szCs w:val="24"/>
        </w:rPr>
        <w:t xml:space="preserve">, the aggravated assault, coupled with the failure to report the incident, subsequent criminal prosecution, conviction, and sentence, and his resulting inability to perform duties during his jail term, constituted egregious misconduct. Here, the Commission's decision was supported by substantial credible evidence and was not arbitrary, capricious, or unreasonable despite the absence of prior disciplinary infractions. Removal does not shock our sense of fairness. </w:t>
      </w:r>
      <w:r w:rsidRPr="007E3A28">
        <w:rPr>
          <w:rFonts w:ascii="Times New Roman" w:hAnsi="Times New Roman"/>
          <w:sz w:val="24"/>
          <w:szCs w:val="24"/>
        </w:rPr>
        <w:lastRenderedPageBreak/>
        <w:t xml:space="preserve">Accordingly, we discern no basis to overturn the Commission's decision.”  </w:t>
      </w:r>
      <w:hyperlink r:id="rId2708" w:history="1">
        <w:r w:rsidRPr="007E3A28">
          <w:rPr>
            <w:rStyle w:val="Hyperlink"/>
            <w:rFonts w:ascii="Times New Roman" w:hAnsi="Times New Roman"/>
            <w:sz w:val="24"/>
            <w:szCs w:val="24"/>
          </w:rPr>
          <w:t>https://public.fastcase.com/9SKwsfNqTc6OieYDhNMyMyDFWJKG68%2FxrxDgF%2ByOzsjPpcL4jvi7QzZ2AR2rzbKPcZbDkGArV5tenVtyFKk%2FX7II2Lot3PKpssqnJQodheI%3</w:t>
        </w:r>
      </w:hyperlink>
    </w:p>
    <w:p w14:paraId="42E5B69F" w14:textId="019BBE31" w:rsidR="007E3A28" w:rsidRDefault="007E3A28" w:rsidP="007E3A28">
      <w:pPr>
        <w:pStyle w:val="NoSpacing"/>
        <w:ind w:left="720"/>
        <w:rPr>
          <w:rStyle w:val="Hyperlink"/>
          <w:rFonts w:ascii="Times New Roman" w:hAnsi="Times New Roman"/>
          <w:sz w:val="24"/>
          <w:szCs w:val="24"/>
        </w:rPr>
      </w:pPr>
    </w:p>
    <w:p w14:paraId="0962CB57" w14:textId="77777777" w:rsidR="007E3A28" w:rsidRPr="001D74E3" w:rsidRDefault="007E3A28" w:rsidP="007E3A28">
      <w:pPr>
        <w:pStyle w:val="NormalWeb"/>
        <w:rPr>
          <w:b/>
          <w:bCs/>
        </w:rPr>
      </w:pPr>
      <w:r w:rsidRPr="001D74E3">
        <w:rPr>
          <w:b/>
          <w:bCs/>
        </w:rPr>
        <w:t>Legal Lesson Learned:</w:t>
      </w:r>
      <w:r>
        <w:rPr>
          <w:b/>
          <w:bCs/>
        </w:rPr>
        <w:t xml:space="preserve"> Fire &amp; EMS Departments should adopt SOG requiring personnel to report arrests, convictions and jail sentences. </w:t>
      </w:r>
    </w:p>
    <w:p w14:paraId="2E1F7171" w14:textId="77777777" w:rsidR="007E3A28" w:rsidRPr="008E3A70" w:rsidRDefault="007E3A28" w:rsidP="007E3A28">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 xml:space="preserve">Note: See the Civil Service Commission decision of April 15, 2020: </w:t>
      </w:r>
      <w:hyperlink r:id="rId2709" w:history="1">
        <w:r w:rsidRPr="007C6FB3">
          <w:rPr>
            <w:rStyle w:val="Hyperlink"/>
            <w:rFonts w:ascii="Times New Roman" w:eastAsia="Times New Roman" w:hAnsi="Times New Roman"/>
            <w:sz w:val="24"/>
            <w:szCs w:val="24"/>
          </w:rPr>
          <w:t>https://www.nj.gov/csc/about/meetings/decisions/pdf/2020/4-15-20/A-004%204-15-20.pdf</w:t>
        </w:r>
      </w:hyperlink>
      <w:r>
        <w:rPr>
          <w:rFonts w:ascii="Times New Roman" w:eastAsia="Times New Roman" w:hAnsi="Times New Roman"/>
          <w:sz w:val="24"/>
          <w:szCs w:val="24"/>
        </w:rPr>
        <w:t xml:space="preserve"> </w:t>
      </w:r>
    </w:p>
    <w:p w14:paraId="4EDC1BC4" w14:textId="77777777" w:rsidR="007E3A28" w:rsidRPr="007E3A28" w:rsidRDefault="007E3A28" w:rsidP="007E3A28">
      <w:pPr>
        <w:pStyle w:val="NoSpacing"/>
        <w:ind w:left="720"/>
        <w:rPr>
          <w:rFonts w:ascii="Times New Roman" w:hAnsi="Times New Roman"/>
          <w:sz w:val="24"/>
          <w:szCs w:val="24"/>
        </w:rPr>
      </w:pPr>
    </w:p>
    <w:p w14:paraId="7B6906CC" w14:textId="77777777" w:rsidR="00506EE7" w:rsidRPr="007E3A28" w:rsidRDefault="00506EE7" w:rsidP="00F326E5">
      <w:pPr>
        <w:pStyle w:val="NoSpacing"/>
        <w:rPr>
          <w:rFonts w:ascii="Times New Roman" w:hAnsi="Times New Roman"/>
          <w:sz w:val="24"/>
          <w:szCs w:val="24"/>
        </w:rPr>
      </w:pPr>
    </w:p>
    <w:p w14:paraId="445E2BD0" w14:textId="47D61824" w:rsidR="00774A91" w:rsidRDefault="00774A91" w:rsidP="00F326E5">
      <w:pPr>
        <w:pStyle w:val="NoSpacing"/>
        <w:rPr>
          <w:rFonts w:ascii="Arial Black" w:hAnsi="Arial Black"/>
          <w:sz w:val="24"/>
          <w:szCs w:val="24"/>
        </w:rPr>
      </w:pPr>
      <w:r>
        <w:rPr>
          <w:rFonts w:ascii="Arial Black" w:hAnsi="Arial Black"/>
          <w:sz w:val="24"/>
          <w:szCs w:val="24"/>
        </w:rPr>
        <w:t>16-58</w:t>
      </w:r>
    </w:p>
    <w:p w14:paraId="22D16585" w14:textId="77777777" w:rsidR="00774A91" w:rsidRPr="004C3428" w:rsidRDefault="00774A91" w:rsidP="00774A91">
      <w:pPr>
        <w:spacing w:before="100" w:beforeAutospacing="1" w:after="100" w:afterAutospacing="1" w:line="240" w:lineRule="auto"/>
        <w:rPr>
          <w:rFonts w:ascii="Arial Black" w:eastAsia="Times New Roman" w:hAnsi="Arial Black"/>
          <w:b/>
          <w:bCs/>
          <w:sz w:val="28"/>
          <w:szCs w:val="28"/>
        </w:rPr>
      </w:pPr>
      <w:r w:rsidRPr="004C3428">
        <w:rPr>
          <w:rFonts w:ascii="Arial Black" w:eastAsia="Times New Roman" w:hAnsi="Arial Black"/>
          <w:b/>
          <w:bCs/>
          <w:sz w:val="28"/>
          <w:szCs w:val="28"/>
        </w:rPr>
        <w:t xml:space="preserve">OH: </w:t>
      </w:r>
      <w:r>
        <w:rPr>
          <w:rFonts w:ascii="Arial Black" w:eastAsia="Times New Roman" w:hAnsi="Arial Black"/>
          <w:b/>
          <w:bCs/>
          <w:sz w:val="28"/>
          <w:szCs w:val="28"/>
        </w:rPr>
        <w:t>NEW HAZING LAW – AIMED AT COLLEGE FRATERITIES –BUT ALSO MESSAGE FOR ALL ABOUT RISKS OF HAZING</w:t>
      </w:r>
    </w:p>
    <w:p w14:paraId="56306A52" w14:textId="77777777" w:rsidR="00774A91" w:rsidRDefault="00774A91" w:rsidP="00774A91">
      <w:pPr>
        <w:pStyle w:val="dropcap"/>
      </w:pPr>
      <w:r w:rsidRPr="004C3428">
        <w:t xml:space="preserve">On Oct. 7, 2021, the new “Collin’s Law” came into effect; named after Collin Wiant who died after a hazing incident at Ohio University in 2018. </w:t>
      </w:r>
      <w:r>
        <w:t xml:space="preserve">  On July 6, 2021, Governor Mike DeWine signed into law “The Ohio Anti-Hazing Act’ which is a criminal statute that amends Ohio Revised Code 2903.31. </w:t>
      </w:r>
      <w:hyperlink r:id="rId2710" w:history="1">
        <w:r w:rsidRPr="00386EA0">
          <w:rPr>
            <w:rStyle w:val="Hyperlink"/>
          </w:rPr>
          <w:t>https://codes.ohio.gov/ohio-revised-code/section-2903.31</w:t>
        </w:r>
      </w:hyperlink>
      <w:r>
        <w:t xml:space="preserve"> </w:t>
      </w:r>
    </w:p>
    <w:p w14:paraId="1A6B9ED0" w14:textId="77777777" w:rsidR="00774A91" w:rsidRDefault="00774A91" w:rsidP="00774A91">
      <w:pPr>
        <w:spacing w:before="100" w:beforeAutospacing="1" w:after="100" w:afterAutospacing="1" w:line="240" w:lineRule="auto"/>
        <w:ind w:left="720"/>
        <w:rPr>
          <w:rFonts w:ascii="Times New Roman" w:hAnsi="Times New Roman"/>
          <w:sz w:val="24"/>
          <w:szCs w:val="24"/>
        </w:rPr>
      </w:pPr>
      <w:r w:rsidRPr="008C25CB">
        <w:rPr>
          <w:rFonts w:ascii="Times New Roman" w:hAnsi="Times New Roman"/>
          <w:sz w:val="24"/>
          <w:szCs w:val="24"/>
        </w:rPr>
        <w:t>See article: “Fraternity members waited to call 911 as Collin Wiant was dying.” May 17, 2021. “Collin Wiant took the small canister filled with nitrous oxide, inhaled, and within</w:t>
      </w:r>
      <w:r>
        <w:rPr>
          <w:rFonts w:ascii="Times New Roman" w:hAnsi="Times New Roman"/>
          <w:sz w:val="24"/>
          <w:szCs w:val="24"/>
        </w:rPr>
        <w:t xml:space="preserve"> </w:t>
      </w:r>
      <w:r w:rsidRPr="008C25CB">
        <w:rPr>
          <w:rFonts w:ascii="Times New Roman" w:hAnsi="Times New Roman"/>
          <w:sz w:val="24"/>
          <w:szCs w:val="24"/>
        </w:rPr>
        <w:t xml:space="preserve">seconds fell backward onto a futon. </w:t>
      </w:r>
      <w:r w:rsidRPr="004C3428">
        <w:rPr>
          <w:rFonts w:ascii="Times New Roman" w:eastAsia="Times New Roman" w:hAnsi="Times New Roman"/>
          <w:sz w:val="24"/>
          <w:szCs w:val="24"/>
        </w:rPr>
        <w:t xml:space="preserve">His face drained of </w:t>
      </w:r>
      <w:proofErr w:type="gramStart"/>
      <w:r w:rsidRPr="004C3428">
        <w:rPr>
          <w:rFonts w:ascii="Times New Roman" w:eastAsia="Times New Roman" w:hAnsi="Times New Roman"/>
          <w:sz w:val="24"/>
          <w:szCs w:val="24"/>
        </w:rPr>
        <w:t>color</w:t>
      </w:r>
      <w:proofErr w:type="gramEnd"/>
      <w:r w:rsidRPr="004C3428">
        <w:rPr>
          <w:rFonts w:ascii="Times New Roman" w:eastAsia="Times New Roman" w:hAnsi="Times New Roman"/>
          <w:sz w:val="24"/>
          <w:szCs w:val="24"/>
        </w:rPr>
        <w:t xml:space="preserve"> and he began to make noises that alarmed the three Sigma Pi fraternity brothers nearb</w:t>
      </w:r>
      <w:r w:rsidRPr="008C25CB">
        <w:rPr>
          <w:rFonts w:ascii="Times New Roman" w:hAnsi="Times New Roman"/>
          <w:sz w:val="24"/>
          <w:szCs w:val="24"/>
        </w:rPr>
        <w:t>y. *** Joshua, who bought the “</w:t>
      </w:r>
      <w:proofErr w:type="spellStart"/>
      <w:r w:rsidRPr="008C25CB">
        <w:rPr>
          <w:rFonts w:ascii="Times New Roman" w:hAnsi="Times New Roman"/>
          <w:sz w:val="24"/>
          <w:szCs w:val="24"/>
        </w:rPr>
        <w:t>whippit</w:t>
      </w:r>
      <w:proofErr w:type="spellEnd"/>
      <w:r w:rsidRPr="008C25CB">
        <w:rPr>
          <w:rFonts w:ascii="Times New Roman" w:hAnsi="Times New Roman"/>
          <w:sz w:val="24"/>
          <w:szCs w:val="24"/>
        </w:rPr>
        <w:t xml:space="preserve">” canister from which Collin had inhaled the gas, pressed down on Collin’s chest </w:t>
      </w:r>
      <w:proofErr w:type="gramStart"/>
      <w:r w:rsidRPr="008C25CB">
        <w:rPr>
          <w:rFonts w:ascii="Times New Roman" w:hAnsi="Times New Roman"/>
          <w:sz w:val="24"/>
          <w:szCs w:val="24"/>
        </w:rPr>
        <w:t>over and over</w:t>
      </w:r>
      <w:proofErr w:type="gramEnd"/>
      <w:r w:rsidRPr="008C25CB">
        <w:rPr>
          <w:rFonts w:ascii="Times New Roman" w:hAnsi="Times New Roman"/>
          <w:sz w:val="24"/>
          <w:szCs w:val="24"/>
        </w:rPr>
        <w:t xml:space="preserve">. He was breathing into Collin’s mouth every 20 seconds. </w:t>
      </w:r>
      <w:r w:rsidRPr="004C3428">
        <w:rPr>
          <w:rFonts w:ascii="Times New Roman" w:eastAsia="Times New Roman" w:hAnsi="Times New Roman"/>
          <w:sz w:val="24"/>
          <w:szCs w:val="24"/>
        </w:rPr>
        <w:t>Paramedics arrived within minutes at the unofficial, off-campus home of the Sigma Pi fraternity.</w:t>
      </w:r>
      <w:r w:rsidRPr="008C25CB">
        <w:rPr>
          <w:rFonts w:ascii="Times New Roman" w:hAnsi="Times New Roman"/>
          <w:sz w:val="24"/>
          <w:szCs w:val="24"/>
        </w:rPr>
        <w:t xml:space="preserve"> </w:t>
      </w:r>
      <w:r w:rsidRPr="004C3428">
        <w:rPr>
          <w:rFonts w:ascii="Times New Roman" w:eastAsia="Times New Roman" w:hAnsi="Times New Roman"/>
          <w:sz w:val="24"/>
          <w:szCs w:val="24"/>
        </w:rPr>
        <w:t>But it was too late to save him.</w:t>
      </w:r>
      <w:r w:rsidRPr="008C25CB">
        <w:rPr>
          <w:rFonts w:ascii="Times New Roman" w:hAnsi="Times New Roman"/>
          <w:sz w:val="24"/>
          <w:szCs w:val="24"/>
        </w:rPr>
        <w:t xml:space="preserve"> </w:t>
      </w:r>
      <w:r w:rsidRPr="004C3428">
        <w:rPr>
          <w:rFonts w:ascii="Times New Roman" w:eastAsia="Times New Roman" w:hAnsi="Times New Roman"/>
          <w:sz w:val="24"/>
          <w:szCs w:val="24"/>
        </w:rPr>
        <w:t>Collin died at an Athens hospital shortly after 3 a.m. on Nov. 12, 2018.</w:t>
      </w:r>
      <w:r w:rsidRPr="008C25CB">
        <w:rPr>
          <w:rFonts w:ascii="Times New Roman" w:hAnsi="Times New Roman"/>
          <w:sz w:val="24"/>
          <w:szCs w:val="24"/>
        </w:rPr>
        <w:t xml:space="preserve">   </w:t>
      </w:r>
      <w:hyperlink r:id="rId2711" w:history="1">
        <w:r w:rsidRPr="008C25CB">
          <w:rPr>
            <w:rStyle w:val="Hyperlink"/>
            <w:sz w:val="24"/>
            <w:szCs w:val="24"/>
          </w:rPr>
          <w:t>https://www.dispatch.com/in-depth/news/2021/05/17/broken-pledge-fraternity-hazing-collin-wiant-death-ohio-university/5071265001/</w:t>
        </w:r>
      </w:hyperlink>
    </w:p>
    <w:p w14:paraId="2DB84EEE" w14:textId="77777777" w:rsidR="00774A91" w:rsidRDefault="00774A91" w:rsidP="00774A91">
      <w:pPr>
        <w:pStyle w:val="NormalWeb"/>
        <w:rPr>
          <w:b/>
          <w:bCs/>
        </w:rPr>
      </w:pPr>
      <w:r>
        <w:rPr>
          <w:b/>
          <w:bCs/>
        </w:rPr>
        <w:t xml:space="preserve">Legal Lesson Learned: Fire &amp; EMS departments should conduct training on their state laws on hazing. </w:t>
      </w:r>
    </w:p>
    <w:p w14:paraId="12B8D13D" w14:textId="77777777" w:rsidR="00774A91" w:rsidRDefault="00774A91" w:rsidP="00774A91">
      <w:pPr>
        <w:spacing w:before="100" w:beforeAutospacing="1" w:after="100" w:afterAutospacing="1" w:line="240" w:lineRule="auto"/>
        <w:ind w:left="720"/>
        <w:rPr>
          <w:b/>
          <w:bCs/>
        </w:rPr>
      </w:pPr>
      <w:r>
        <w:rPr>
          <w:rFonts w:ascii="Times New Roman" w:eastAsia="Times New Roman" w:hAnsi="Times New Roman"/>
          <w:sz w:val="24"/>
          <w:szCs w:val="24"/>
        </w:rPr>
        <w:t>Note:  “</w:t>
      </w:r>
      <w:r w:rsidRPr="00853D1E">
        <w:rPr>
          <w:rFonts w:ascii="Times New Roman" w:eastAsia="Times New Roman" w:hAnsi="Times New Roman"/>
          <w:sz w:val="24"/>
          <w:szCs w:val="24"/>
        </w:rPr>
        <w:t xml:space="preserve">Under the new 2903.31, </w:t>
      </w:r>
      <w:r>
        <w:rPr>
          <w:rFonts w:ascii="Times New Roman" w:eastAsia="Times New Roman" w:hAnsi="Times New Roman"/>
          <w:sz w:val="24"/>
          <w:szCs w:val="24"/>
        </w:rPr>
        <w:t>‘</w:t>
      </w:r>
      <w:r w:rsidRPr="00853D1E">
        <w:rPr>
          <w:rFonts w:ascii="Times New Roman" w:eastAsia="Times New Roman" w:hAnsi="Times New Roman"/>
          <w:sz w:val="24"/>
          <w:szCs w:val="24"/>
        </w:rPr>
        <w:t>hazing</w:t>
      </w:r>
      <w:r>
        <w:rPr>
          <w:rFonts w:ascii="Times New Roman" w:eastAsia="Times New Roman" w:hAnsi="Times New Roman"/>
          <w:sz w:val="24"/>
          <w:szCs w:val="24"/>
        </w:rPr>
        <w:t>’</w:t>
      </w:r>
      <w:r w:rsidRPr="00853D1E">
        <w:rPr>
          <w:rFonts w:ascii="Times New Roman" w:eastAsia="Times New Roman" w:hAnsi="Times New Roman"/>
          <w:sz w:val="24"/>
          <w:szCs w:val="24"/>
        </w:rPr>
        <w:t xml:space="preserve"> adds the language in bold:</w:t>
      </w:r>
      <w:r>
        <w:rPr>
          <w:rFonts w:ascii="Times New Roman" w:eastAsia="Times New Roman" w:hAnsi="Times New Roman"/>
          <w:sz w:val="24"/>
          <w:szCs w:val="24"/>
        </w:rPr>
        <w:t xml:space="preserve"> </w:t>
      </w:r>
      <w:r w:rsidRPr="00853D1E">
        <w:rPr>
          <w:rFonts w:ascii="Times New Roman" w:eastAsia="Times New Roman" w:hAnsi="Times New Roman"/>
          <w:sz w:val="24"/>
          <w:szCs w:val="24"/>
        </w:rPr>
        <w:t xml:space="preserve">(1) </w:t>
      </w:r>
      <w:r>
        <w:rPr>
          <w:rFonts w:ascii="Times New Roman" w:eastAsia="Times New Roman" w:hAnsi="Times New Roman"/>
          <w:sz w:val="24"/>
          <w:szCs w:val="24"/>
        </w:rPr>
        <w:t>‘</w:t>
      </w:r>
      <w:r w:rsidRPr="00853D1E">
        <w:rPr>
          <w:rFonts w:ascii="Times New Roman" w:eastAsia="Times New Roman" w:hAnsi="Times New Roman"/>
          <w:sz w:val="24"/>
          <w:szCs w:val="24"/>
        </w:rPr>
        <w:t>Hazing</w:t>
      </w:r>
      <w:r>
        <w:rPr>
          <w:rFonts w:ascii="Times New Roman" w:eastAsia="Times New Roman" w:hAnsi="Times New Roman"/>
          <w:sz w:val="24"/>
          <w:szCs w:val="24"/>
        </w:rPr>
        <w:t>’</w:t>
      </w:r>
      <w:r w:rsidRPr="00853D1E">
        <w:rPr>
          <w:rFonts w:ascii="Times New Roman" w:eastAsia="Times New Roman" w:hAnsi="Times New Roman"/>
          <w:sz w:val="24"/>
          <w:szCs w:val="24"/>
        </w:rPr>
        <w:t xml:space="preserve"> means doing any act or coercing another, including the victim, to do any act of initiation into any student or other organization </w:t>
      </w:r>
      <w:r w:rsidRPr="00853D1E">
        <w:rPr>
          <w:rFonts w:ascii="Times New Roman" w:eastAsia="Times New Roman" w:hAnsi="Times New Roman"/>
          <w:b/>
          <w:bCs/>
          <w:sz w:val="24"/>
          <w:szCs w:val="24"/>
        </w:rPr>
        <w:t>or any act to continue or reinstate membership in or affiliation with any student or other organization</w:t>
      </w:r>
      <w:r w:rsidRPr="00853D1E">
        <w:rPr>
          <w:rFonts w:ascii="Times New Roman" w:eastAsia="Times New Roman" w:hAnsi="Times New Roman"/>
          <w:sz w:val="24"/>
          <w:szCs w:val="24"/>
        </w:rPr>
        <w:t xml:space="preserve"> that causes or creates a substantial risk of causing mental or physical harm to any person, </w:t>
      </w:r>
      <w:r w:rsidRPr="00853D1E">
        <w:rPr>
          <w:rFonts w:ascii="Times New Roman" w:eastAsia="Times New Roman" w:hAnsi="Times New Roman"/>
          <w:b/>
          <w:bCs/>
          <w:sz w:val="24"/>
          <w:szCs w:val="24"/>
        </w:rPr>
        <w:t>including coercing another to consume alcohol or a drug of abuse, as defined in section 3719.011 of the Revised Code.</w:t>
      </w:r>
      <w:r>
        <w:rPr>
          <w:rFonts w:ascii="Times New Roman" w:eastAsia="Times New Roman" w:hAnsi="Times New Roman"/>
          <w:b/>
          <w:bCs/>
          <w:sz w:val="24"/>
          <w:szCs w:val="24"/>
        </w:rPr>
        <w:t xml:space="preserve">” </w:t>
      </w:r>
      <w:hyperlink r:id="rId2712" w:history="1">
        <w:r w:rsidRPr="00386EA0">
          <w:rPr>
            <w:rStyle w:val="Hyperlink"/>
            <w:sz w:val="24"/>
            <w:szCs w:val="24"/>
          </w:rPr>
          <w:t>https://www.rittgers.com/blog/2021/07/what-does-ohios-new-anti-hazing-law-mean/</w:t>
        </w:r>
      </w:hyperlink>
    </w:p>
    <w:p w14:paraId="1B3E152C" w14:textId="77777777" w:rsidR="00774A91" w:rsidRDefault="00774A91" w:rsidP="00F326E5">
      <w:pPr>
        <w:pStyle w:val="NoSpacing"/>
        <w:rPr>
          <w:rFonts w:ascii="Arial Black" w:hAnsi="Arial Black"/>
          <w:sz w:val="24"/>
          <w:szCs w:val="24"/>
        </w:rPr>
      </w:pPr>
    </w:p>
    <w:p w14:paraId="4B22399E" w14:textId="77777777" w:rsidR="00774A91" w:rsidRDefault="00774A91" w:rsidP="00F326E5">
      <w:pPr>
        <w:pStyle w:val="NoSpacing"/>
        <w:rPr>
          <w:rFonts w:ascii="Arial Black" w:hAnsi="Arial Black"/>
          <w:sz w:val="24"/>
          <w:szCs w:val="24"/>
        </w:rPr>
      </w:pPr>
    </w:p>
    <w:p w14:paraId="23E06B06" w14:textId="6BC3A1C7" w:rsidR="00BD1702" w:rsidRDefault="00BD1702" w:rsidP="00F326E5">
      <w:pPr>
        <w:pStyle w:val="NoSpacing"/>
        <w:rPr>
          <w:rFonts w:ascii="Arial Black" w:hAnsi="Arial Black"/>
          <w:sz w:val="24"/>
          <w:szCs w:val="24"/>
        </w:rPr>
      </w:pPr>
      <w:r>
        <w:rPr>
          <w:rFonts w:ascii="Arial Black" w:hAnsi="Arial Black"/>
          <w:sz w:val="24"/>
          <w:szCs w:val="24"/>
        </w:rPr>
        <w:t>16-57</w:t>
      </w:r>
    </w:p>
    <w:p w14:paraId="30FBF292" w14:textId="77777777" w:rsidR="00BD1702" w:rsidRDefault="00BD1702" w:rsidP="00BD1702">
      <w:pPr>
        <w:spacing w:before="100" w:beforeAutospacing="1" w:after="100" w:afterAutospacing="1" w:line="240" w:lineRule="auto"/>
        <w:ind w:left="90"/>
        <w:jc w:val="both"/>
        <w:rPr>
          <w:rFonts w:ascii="Arial Black" w:hAnsi="Arial Black"/>
          <w:sz w:val="28"/>
          <w:szCs w:val="28"/>
        </w:rPr>
      </w:pPr>
      <w:r>
        <w:rPr>
          <w:rFonts w:ascii="Arial Black" w:hAnsi="Arial Black"/>
          <w:sz w:val="28"/>
          <w:szCs w:val="28"/>
        </w:rPr>
        <w:t>VA: FF FIRED AFTER ARREST D.C. – RALLY AGAINST TRUMP – FIRE CHIEF DIDN’T HOLD PRE-TERMINATION HEARING</w:t>
      </w:r>
    </w:p>
    <w:p w14:paraId="4C95A45A" w14:textId="77777777" w:rsidR="00BD1702" w:rsidRDefault="00BD1702" w:rsidP="00BD1702">
      <w:pPr>
        <w:spacing w:before="100" w:beforeAutospacing="1" w:after="100" w:afterAutospacing="1" w:line="240" w:lineRule="auto"/>
        <w:ind w:left="90" w:hanging="90"/>
        <w:rPr>
          <w:rFonts w:ascii="Times New Roman" w:hAnsi="Times New Roman"/>
          <w:sz w:val="24"/>
          <w:szCs w:val="24"/>
        </w:rPr>
      </w:pPr>
      <w:r>
        <w:rPr>
          <w:rFonts w:ascii="Times New Roman" w:hAnsi="Times New Roman"/>
          <w:sz w:val="24"/>
          <w:szCs w:val="24"/>
        </w:rPr>
        <w:lastRenderedPageBreak/>
        <w:t xml:space="preserve">On Sept. 30, 2021, in </w:t>
      </w:r>
      <w:r>
        <w:rPr>
          <w:rFonts w:ascii="Times New Roman" w:hAnsi="Times New Roman"/>
          <w:sz w:val="24"/>
          <w:szCs w:val="24"/>
          <w:u w:val="single"/>
        </w:rPr>
        <w:t xml:space="preserve">Rosa </w:t>
      </w:r>
      <w:proofErr w:type="spellStart"/>
      <w:r>
        <w:rPr>
          <w:rFonts w:ascii="Times New Roman" w:hAnsi="Times New Roman"/>
          <w:sz w:val="24"/>
          <w:szCs w:val="24"/>
          <w:u w:val="single"/>
        </w:rPr>
        <w:t>Roncales</w:t>
      </w:r>
      <w:proofErr w:type="spellEnd"/>
      <w:r>
        <w:rPr>
          <w:rFonts w:ascii="Times New Roman" w:hAnsi="Times New Roman"/>
          <w:sz w:val="24"/>
          <w:szCs w:val="24"/>
          <w:u w:val="single"/>
        </w:rPr>
        <w:t xml:space="preserve"> v. Anthony McDowell, et al</w:t>
      </w:r>
      <w:r>
        <w:rPr>
          <w:rFonts w:ascii="Times New Roman" w:hAnsi="Times New Roman"/>
          <w:sz w:val="24"/>
          <w:szCs w:val="24"/>
        </w:rPr>
        <w:t xml:space="preserve">., United States District Court Judge </w:t>
      </w:r>
      <w:proofErr w:type="spellStart"/>
      <w:r>
        <w:rPr>
          <w:rFonts w:ascii="Times New Roman" w:hAnsi="Times New Roman"/>
          <w:sz w:val="24"/>
          <w:szCs w:val="24"/>
        </w:rPr>
        <w:t>Harnah</w:t>
      </w:r>
      <w:proofErr w:type="spellEnd"/>
      <w:r>
        <w:rPr>
          <w:rFonts w:ascii="Times New Roman" w:hAnsi="Times New Roman"/>
          <w:sz w:val="24"/>
          <w:szCs w:val="24"/>
        </w:rPr>
        <w:t xml:space="preserve"> Lauck, Eastern District of Virginia, denied the Fire Chief’s motion for summary judgment; while he met with her on day of her termination, he didn’t offer her a pre-termination hearing.  After her arrest, she was interviewed by County of Henrico Division of Fire officers on three occasions, who after talking with a D.C. Police detective, asked her whether she had a gas mask in her </w:t>
      </w:r>
      <w:proofErr w:type="gramStart"/>
      <w:r>
        <w:rPr>
          <w:rFonts w:ascii="Times New Roman" w:hAnsi="Times New Roman"/>
          <w:sz w:val="24"/>
          <w:szCs w:val="24"/>
        </w:rPr>
        <w:t>back pack</w:t>
      </w:r>
      <w:proofErr w:type="gramEnd"/>
      <w:r>
        <w:rPr>
          <w:rFonts w:ascii="Times New Roman" w:hAnsi="Times New Roman"/>
          <w:sz w:val="24"/>
          <w:szCs w:val="24"/>
        </w:rPr>
        <w:t xml:space="preserve">, and whether she covered up the </w:t>
      </w:r>
      <w:proofErr w:type="gramStart"/>
      <w:r>
        <w:rPr>
          <w:rFonts w:ascii="Times New Roman" w:hAnsi="Times New Roman"/>
          <w:sz w:val="24"/>
          <w:szCs w:val="24"/>
        </w:rPr>
        <w:t>back pack</w:t>
      </w:r>
      <w:proofErr w:type="gramEnd"/>
      <w:r>
        <w:rPr>
          <w:rFonts w:ascii="Times New Roman" w:hAnsi="Times New Roman"/>
          <w:sz w:val="24"/>
          <w:szCs w:val="24"/>
        </w:rPr>
        <w:t xml:space="preserve"> labels with black tape to avoid identification.  </w:t>
      </w:r>
    </w:p>
    <w:p w14:paraId="23CEFE51" w14:textId="77777777" w:rsidR="00BD1702" w:rsidRDefault="00BD1702" w:rsidP="00BD1702">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 xml:space="preserve">“The parties do not contest that Fire Chief McDowell failed to provide </w:t>
      </w:r>
      <w:proofErr w:type="spellStart"/>
      <w:r>
        <w:rPr>
          <w:rFonts w:ascii="Times New Roman" w:hAnsi="Times New Roman"/>
          <w:sz w:val="24"/>
          <w:szCs w:val="24"/>
        </w:rPr>
        <w:t>Roncales</w:t>
      </w:r>
      <w:proofErr w:type="spellEnd"/>
      <w:r>
        <w:rPr>
          <w:rFonts w:ascii="Times New Roman" w:hAnsi="Times New Roman"/>
          <w:sz w:val="24"/>
          <w:szCs w:val="24"/>
        </w:rPr>
        <w:t xml:space="preserve"> with a pre-termination hearing. And because </w:t>
      </w:r>
      <w:proofErr w:type="spellStart"/>
      <w:r>
        <w:rPr>
          <w:rFonts w:ascii="Times New Roman" w:hAnsi="Times New Roman"/>
          <w:sz w:val="24"/>
          <w:szCs w:val="24"/>
        </w:rPr>
        <w:t>Roncales</w:t>
      </w:r>
      <w:proofErr w:type="spellEnd"/>
      <w:r>
        <w:rPr>
          <w:rFonts w:ascii="Times New Roman" w:hAnsi="Times New Roman"/>
          <w:sz w:val="24"/>
          <w:szCs w:val="24"/>
        </w:rPr>
        <w:t xml:space="preserve"> presents evidence sufficient for a jury to reasonably find that Fire Chief McDowell's statements [in termination letter and memo to County Manager about her lack of honesty] deprived her of a liberty interest, any such deprivation therefore occurred ‘without due process of law….’ Because </w:t>
      </w:r>
      <w:proofErr w:type="spellStart"/>
      <w:r>
        <w:rPr>
          <w:rFonts w:ascii="Times New Roman" w:hAnsi="Times New Roman"/>
          <w:sz w:val="24"/>
          <w:szCs w:val="24"/>
        </w:rPr>
        <w:t>Roncales's</w:t>
      </w:r>
      <w:proofErr w:type="spellEnd"/>
      <w:r>
        <w:rPr>
          <w:rFonts w:ascii="Times New Roman" w:hAnsi="Times New Roman"/>
          <w:sz w:val="24"/>
          <w:szCs w:val="24"/>
        </w:rPr>
        <w:t xml:space="preserve"> right to a pre-termination hearing was clearly established at the time of his actions, Fire Chief McDowell is not entitled to qualified immunity on </w:t>
      </w:r>
      <w:proofErr w:type="spellStart"/>
      <w:r>
        <w:rPr>
          <w:rFonts w:ascii="Times New Roman" w:hAnsi="Times New Roman"/>
          <w:sz w:val="24"/>
          <w:szCs w:val="24"/>
        </w:rPr>
        <w:t>Roncales's</w:t>
      </w:r>
      <w:proofErr w:type="spellEnd"/>
      <w:r>
        <w:rPr>
          <w:rFonts w:ascii="Times New Roman" w:hAnsi="Times New Roman"/>
          <w:sz w:val="24"/>
          <w:szCs w:val="24"/>
        </w:rPr>
        <w:t xml:space="preserve"> due process claim.” </w:t>
      </w:r>
      <w:hyperlink r:id="rId2713" w:history="1">
        <w:r>
          <w:rPr>
            <w:rStyle w:val="Hyperlink"/>
            <w:sz w:val="24"/>
            <w:szCs w:val="24"/>
          </w:rPr>
          <w:t>https://www.leagle.com/decision/infdco20211006817</w:t>
        </w:r>
      </w:hyperlink>
      <w:r>
        <w:rPr>
          <w:rFonts w:ascii="Times New Roman" w:hAnsi="Times New Roman"/>
          <w:sz w:val="24"/>
          <w:szCs w:val="24"/>
        </w:rPr>
        <w:t xml:space="preserve">  </w:t>
      </w:r>
    </w:p>
    <w:p w14:paraId="53BAB123" w14:textId="77777777" w:rsidR="00BD1702" w:rsidRDefault="00BD1702" w:rsidP="00BD1702">
      <w:pPr>
        <w:spacing w:before="100" w:beforeAutospacing="1" w:after="100" w:afterAutospacing="1" w:line="240" w:lineRule="auto"/>
        <w:jc w:val="both"/>
        <w:rPr>
          <w:rFonts w:ascii="Times New Roman" w:hAnsi="Times New Roman"/>
          <w:b/>
          <w:bCs/>
          <w:sz w:val="24"/>
          <w:szCs w:val="24"/>
        </w:rPr>
      </w:pPr>
      <w:r>
        <w:rPr>
          <w:rFonts w:ascii="Times New Roman" w:hAnsi="Times New Roman"/>
          <w:b/>
          <w:bCs/>
          <w:sz w:val="24"/>
          <w:szCs w:val="24"/>
        </w:rPr>
        <w:t xml:space="preserve">Legal Lesson Learned:  Provide a pre-termination hearing, record the session so there is recorded evidence of any admissions. </w:t>
      </w:r>
    </w:p>
    <w:p w14:paraId="24C00E08" w14:textId="3C2A6867" w:rsidR="00BD1702" w:rsidRDefault="00BD1702" w:rsidP="00BD1702">
      <w:pPr>
        <w:pStyle w:val="NoSpacing"/>
        <w:rPr>
          <w:rFonts w:ascii="Arial Black" w:hAnsi="Arial Black"/>
          <w:sz w:val="24"/>
          <w:szCs w:val="24"/>
        </w:rPr>
      </w:pPr>
      <w:r>
        <w:rPr>
          <w:rFonts w:ascii="Times New Roman" w:eastAsia="Times New Roman" w:hAnsi="Times New Roman"/>
          <w:sz w:val="24"/>
          <w:szCs w:val="24"/>
        </w:rPr>
        <w:t>Note:  See TV video on two fires that occurred on Jan. 26, 2020. “</w:t>
      </w:r>
      <w:r>
        <w:rPr>
          <w:rFonts w:ascii="Times New Roman" w:hAnsi="Times New Roman"/>
          <w:sz w:val="24"/>
          <w:szCs w:val="24"/>
        </w:rPr>
        <w:t xml:space="preserve">59-year-old woman loses life after house goes up in flames on Cleveland’s West Side, 3 adults and 4 children safely out.” </w:t>
      </w:r>
      <w:hyperlink r:id="rId2714" w:history="1">
        <w:r>
          <w:rPr>
            <w:rStyle w:val="Hyperlink"/>
            <w:sz w:val="24"/>
            <w:szCs w:val="24"/>
          </w:rPr>
          <w:t>https://www.cleveland19.com/2020/01/26/year-old-woman-loses-life-after-house-goes-up-flames-clevelands-west-side-adults-children-safely-out/</w:t>
        </w:r>
      </w:hyperlink>
    </w:p>
    <w:p w14:paraId="3B58B0AB" w14:textId="77777777" w:rsidR="00BD1702" w:rsidRDefault="00BD1702" w:rsidP="00F326E5">
      <w:pPr>
        <w:pStyle w:val="NoSpacing"/>
        <w:rPr>
          <w:rFonts w:ascii="Arial Black" w:hAnsi="Arial Black"/>
          <w:sz w:val="24"/>
          <w:szCs w:val="24"/>
        </w:rPr>
      </w:pPr>
    </w:p>
    <w:p w14:paraId="117FEADC" w14:textId="77777777" w:rsidR="00BD1702" w:rsidRDefault="00BD1702" w:rsidP="00F326E5">
      <w:pPr>
        <w:pStyle w:val="NoSpacing"/>
        <w:rPr>
          <w:rFonts w:ascii="Arial Black" w:hAnsi="Arial Black"/>
          <w:sz w:val="24"/>
          <w:szCs w:val="24"/>
        </w:rPr>
      </w:pPr>
    </w:p>
    <w:p w14:paraId="6D05210E" w14:textId="547E6F47" w:rsidR="002F610D" w:rsidRDefault="002F610D" w:rsidP="00F326E5">
      <w:pPr>
        <w:pStyle w:val="NoSpacing"/>
        <w:rPr>
          <w:rFonts w:ascii="Arial Black" w:hAnsi="Arial Black"/>
          <w:sz w:val="24"/>
          <w:szCs w:val="24"/>
        </w:rPr>
      </w:pPr>
      <w:r>
        <w:rPr>
          <w:rFonts w:ascii="Arial Black" w:hAnsi="Arial Black"/>
          <w:sz w:val="24"/>
          <w:szCs w:val="24"/>
        </w:rPr>
        <w:t>16-56</w:t>
      </w:r>
    </w:p>
    <w:p w14:paraId="660FDC1A" w14:textId="77777777" w:rsidR="002F610D" w:rsidRPr="00C30127" w:rsidRDefault="002F610D" w:rsidP="002F610D">
      <w:pPr>
        <w:pStyle w:val="Heading1"/>
        <w:rPr>
          <w:rFonts w:ascii="Arial Black" w:hAnsi="Arial Black"/>
          <w:b w:val="0"/>
          <w:bCs w:val="0"/>
          <w:sz w:val="28"/>
          <w:szCs w:val="28"/>
        </w:rPr>
      </w:pPr>
      <w:bookmarkStart w:id="593" w:name="_Hlk81842686"/>
      <w:r w:rsidRPr="00C30127">
        <w:rPr>
          <w:rFonts w:ascii="Arial Black" w:hAnsi="Arial Black"/>
          <w:b w:val="0"/>
          <w:bCs w:val="0"/>
          <w:sz w:val="28"/>
          <w:szCs w:val="28"/>
        </w:rPr>
        <w:t xml:space="preserve">TX: </w:t>
      </w:r>
      <w:r>
        <w:rPr>
          <w:rFonts w:ascii="Arial Black" w:hAnsi="Arial Black"/>
          <w:b w:val="0"/>
          <w:bCs w:val="0"/>
          <w:sz w:val="28"/>
          <w:szCs w:val="28"/>
        </w:rPr>
        <w:t>FF LAWSUIT DISMISSED - FIRED FOR NOT DISCLOSING HE WAS FIRED 10-YEARS EARLIER ANOTHER FD - THEFT</w:t>
      </w:r>
    </w:p>
    <w:bookmarkEnd w:id="593"/>
    <w:p w14:paraId="097BCECE" w14:textId="77777777" w:rsidR="002F610D" w:rsidRDefault="002F610D" w:rsidP="002F610D">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On Aug. 26, 2021, in </w:t>
      </w:r>
      <w:r w:rsidRPr="00C30127">
        <w:rPr>
          <w:rFonts w:ascii="Times New Roman" w:eastAsia="Times New Roman" w:hAnsi="Times New Roman"/>
          <w:sz w:val="24"/>
          <w:szCs w:val="24"/>
          <w:u w:val="single"/>
        </w:rPr>
        <w:t>Brandon Lewis v. Fire Chief Larry DiCamillo, Stafford Fire Marshal’s Office and City of Stafford</w:t>
      </w:r>
      <w:r>
        <w:rPr>
          <w:rFonts w:ascii="Times New Roman" w:eastAsia="Times New Roman" w:hAnsi="Times New Roman"/>
          <w:sz w:val="24"/>
          <w:szCs w:val="24"/>
        </w:rPr>
        <w:t>, the Court of Appeals of Texas, First District, held (3 to 0) that trial court properly dismissed the lawsuit.</w:t>
      </w:r>
    </w:p>
    <w:p w14:paraId="6DB963E3" w14:textId="77777777" w:rsidR="002F610D" w:rsidRDefault="002F610D" w:rsidP="002F610D">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r w:rsidRPr="00796AAC">
        <w:rPr>
          <w:rFonts w:ascii="Times New Roman" w:hAnsi="Times New Roman"/>
          <w:sz w:val="24"/>
          <w:szCs w:val="24"/>
        </w:rPr>
        <w:t xml:space="preserve">On September 4, 2018, Lewis was terminated from his position as an Inspector/Investigator with the Stafford Fire Department. About two weeks before, on August 22nd, Chief Di Camillo received information from Peter E. Alvarado, the Emergency Management Coordinator for the Stafford Fire Marshal's Office, about Lewis's prior employment with the Missouri City Fire Department. Alvarado had been informed by the Missouri City Fire Marshal's Office ("MCFMO") that Lewis was not allowed to conduct business or aid in investigations in Missouri City because Lewis, previously an intern with the MCFMO, was fired from the Missouri City Fire Department after being accused of stealing a book. Alvarado reviewed Lewis's employment files and found that Lewis did not list his previous work for the Missouri City Fire Department on his applications, his personal history statement, or his resume. Alvarado provided this information to Chief </w:t>
      </w:r>
      <w:proofErr w:type="gramStart"/>
      <w:r w:rsidRPr="00796AAC">
        <w:rPr>
          <w:rFonts w:ascii="Times New Roman" w:hAnsi="Times New Roman"/>
          <w:sz w:val="24"/>
          <w:szCs w:val="24"/>
        </w:rPr>
        <w:t>Di</w:t>
      </w:r>
      <w:proofErr w:type="gramEnd"/>
      <w:r w:rsidRPr="00796AAC">
        <w:rPr>
          <w:rFonts w:ascii="Times New Roman" w:hAnsi="Times New Roman"/>
          <w:sz w:val="24"/>
          <w:szCs w:val="24"/>
        </w:rPr>
        <w:t xml:space="preserve"> Camillo in a signed, written memorandum (the </w:t>
      </w:r>
      <w:r>
        <w:rPr>
          <w:rFonts w:ascii="Times New Roman" w:hAnsi="Times New Roman"/>
          <w:sz w:val="24"/>
          <w:szCs w:val="24"/>
        </w:rPr>
        <w:t>‘</w:t>
      </w:r>
      <w:r w:rsidRPr="00796AAC">
        <w:rPr>
          <w:rFonts w:ascii="Times New Roman" w:hAnsi="Times New Roman"/>
          <w:sz w:val="24"/>
          <w:szCs w:val="24"/>
        </w:rPr>
        <w:t>August 22nd Memorandum</w:t>
      </w:r>
      <w:r>
        <w:rPr>
          <w:rFonts w:ascii="Times New Roman" w:hAnsi="Times New Roman"/>
          <w:sz w:val="24"/>
          <w:szCs w:val="24"/>
        </w:rPr>
        <w:t>’</w:t>
      </w:r>
      <w:r w:rsidRPr="00796AAC">
        <w:rPr>
          <w:rFonts w:ascii="Times New Roman" w:hAnsi="Times New Roman"/>
          <w:sz w:val="24"/>
          <w:szCs w:val="24"/>
        </w:rPr>
        <w:t>).</w:t>
      </w:r>
      <w:r>
        <w:rPr>
          <w:rFonts w:ascii="Times New Roman" w:hAnsi="Times New Roman"/>
          <w:sz w:val="24"/>
          <w:szCs w:val="24"/>
        </w:rPr>
        <w:t xml:space="preserve"> </w:t>
      </w:r>
    </w:p>
    <w:p w14:paraId="7C39FE5C" w14:textId="77777777" w:rsidR="002F610D" w:rsidRDefault="002F610D" w:rsidP="002F610D">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p>
    <w:p w14:paraId="57E01C36" w14:textId="77777777" w:rsidR="002F610D" w:rsidRPr="00796AAC" w:rsidRDefault="002F610D" w:rsidP="002F610D">
      <w:pPr>
        <w:spacing w:before="100" w:beforeAutospacing="1" w:after="100" w:afterAutospacing="1" w:line="240" w:lineRule="auto"/>
        <w:ind w:left="720"/>
        <w:rPr>
          <w:rFonts w:ascii="Times New Roman" w:eastAsia="Times New Roman" w:hAnsi="Times New Roman"/>
          <w:sz w:val="24"/>
          <w:szCs w:val="24"/>
        </w:rPr>
      </w:pPr>
      <w:r w:rsidRPr="00796AAC">
        <w:rPr>
          <w:rFonts w:ascii="Times New Roman" w:hAnsi="Times New Roman"/>
          <w:sz w:val="24"/>
          <w:szCs w:val="24"/>
        </w:rPr>
        <w:t xml:space="preserve">The </w:t>
      </w:r>
      <w:r>
        <w:rPr>
          <w:rFonts w:ascii="Times New Roman" w:hAnsi="Times New Roman"/>
          <w:sz w:val="24"/>
          <w:szCs w:val="24"/>
        </w:rPr>
        <w:t>‘</w:t>
      </w:r>
      <w:r w:rsidRPr="00796AAC">
        <w:rPr>
          <w:rFonts w:ascii="Times New Roman" w:hAnsi="Times New Roman"/>
          <w:sz w:val="24"/>
          <w:szCs w:val="24"/>
        </w:rPr>
        <w:t xml:space="preserve">overarching statutory </w:t>
      </w:r>
      <w:proofErr w:type="gramStart"/>
      <w:r w:rsidRPr="00796AAC">
        <w:rPr>
          <w:rFonts w:ascii="Times New Roman" w:hAnsi="Times New Roman"/>
          <w:sz w:val="24"/>
          <w:szCs w:val="24"/>
        </w:rPr>
        <w:t>purposes</w:t>
      </w:r>
      <w:r>
        <w:rPr>
          <w:rFonts w:ascii="Times New Roman" w:hAnsi="Times New Roman"/>
          <w:sz w:val="24"/>
          <w:szCs w:val="24"/>
        </w:rPr>
        <w:t>’</w:t>
      </w:r>
      <w:proofErr w:type="gramEnd"/>
      <w:r>
        <w:rPr>
          <w:rFonts w:ascii="Times New Roman" w:hAnsi="Times New Roman"/>
          <w:sz w:val="24"/>
          <w:szCs w:val="24"/>
        </w:rPr>
        <w:t xml:space="preserve"> </w:t>
      </w:r>
      <w:r w:rsidRPr="00796AAC">
        <w:rPr>
          <w:rFonts w:ascii="Times New Roman" w:hAnsi="Times New Roman"/>
          <w:sz w:val="24"/>
          <w:szCs w:val="24"/>
        </w:rPr>
        <w:t xml:space="preserve">of Chapter 614's </w:t>
      </w:r>
      <w:proofErr w:type="gramStart"/>
      <w:r w:rsidRPr="00796AAC">
        <w:rPr>
          <w:rFonts w:ascii="Times New Roman" w:hAnsi="Times New Roman"/>
          <w:sz w:val="24"/>
          <w:szCs w:val="24"/>
        </w:rPr>
        <w:t xml:space="preserve">requirements </w:t>
      </w:r>
      <w:r>
        <w:rPr>
          <w:rFonts w:ascii="Times New Roman" w:hAnsi="Times New Roman"/>
          <w:sz w:val="24"/>
          <w:szCs w:val="24"/>
        </w:rPr>
        <w:t>[signed complaint]</w:t>
      </w:r>
      <w:proofErr w:type="gramEnd"/>
      <w:r>
        <w:rPr>
          <w:rFonts w:ascii="Times New Roman" w:hAnsi="Times New Roman"/>
          <w:sz w:val="24"/>
          <w:szCs w:val="24"/>
        </w:rPr>
        <w:t xml:space="preserve"> </w:t>
      </w:r>
      <w:r w:rsidRPr="00796AAC">
        <w:rPr>
          <w:rFonts w:ascii="Times New Roman" w:hAnsi="Times New Roman"/>
          <w:sz w:val="24"/>
          <w:szCs w:val="24"/>
        </w:rPr>
        <w:t xml:space="preserve">are to (1) reduce the risk that adverse employment actions will be based on unsubstantiated complaints, and (2) ensure the affected employee receives sufficient information to enable him to defend against the allegations. </w:t>
      </w:r>
      <w:r w:rsidRPr="00796AAC">
        <w:rPr>
          <w:rStyle w:val="Emphasis"/>
          <w:rFonts w:ascii="Times New Roman" w:hAnsi="Times New Roman"/>
          <w:sz w:val="24"/>
          <w:szCs w:val="24"/>
        </w:rPr>
        <w:t>Id.</w:t>
      </w:r>
      <w:r w:rsidRPr="00796AAC">
        <w:rPr>
          <w:rFonts w:ascii="Times New Roman" w:hAnsi="Times New Roman"/>
          <w:sz w:val="24"/>
          <w:szCs w:val="24"/>
        </w:rPr>
        <w:t xml:space="preserve"> </w:t>
      </w:r>
      <w:r w:rsidRPr="00796AAC">
        <w:rPr>
          <w:rFonts w:ascii="Times New Roman" w:hAnsi="Times New Roman"/>
          <w:sz w:val="24"/>
          <w:szCs w:val="24"/>
        </w:rPr>
        <w:lastRenderedPageBreak/>
        <w:t>Lewis was provided detailed information in both the August 22nd Memorandum and the Complaint Notification to allow him to investigate the allegations against him related to his failure to disclose his prior employment on his City of Stafford applications. He was also afforded ample opportunity to defend himself against these allegations during the appeal process</w:t>
      </w:r>
      <w:r>
        <w:rPr>
          <w:rFonts w:ascii="Times New Roman" w:hAnsi="Times New Roman"/>
          <w:sz w:val="24"/>
          <w:szCs w:val="24"/>
        </w:rPr>
        <w:t>.”</w:t>
      </w:r>
      <w:r w:rsidRPr="00796AAC">
        <w:rPr>
          <w:rFonts w:ascii="Times New Roman" w:eastAsia="Times New Roman" w:hAnsi="Times New Roman"/>
          <w:sz w:val="24"/>
          <w:szCs w:val="24"/>
        </w:rPr>
        <w:t xml:space="preserve"> </w:t>
      </w:r>
      <w:hyperlink r:id="rId2715" w:history="1">
        <w:r w:rsidRPr="007D2E44">
          <w:rPr>
            <w:rStyle w:val="Hyperlink"/>
            <w:sz w:val="24"/>
            <w:szCs w:val="24"/>
          </w:rPr>
          <w:t>https://public.fastcase.com/9SKwsfNqTc6OieYDhNMyM4E5bpqRXbc1vzIOBkY5d575kmIDNjPft14UGJ0ygjci</w:t>
        </w:r>
      </w:hyperlink>
      <w:r>
        <w:rPr>
          <w:rFonts w:ascii="Times New Roman" w:eastAsia="Times New Roman" w:hAnsi="Times New Roman"/>
          <w:sz w:val="24"/>
          <w:szCs w:val="24"/>
        </w:rPr>
        <w:t xml:space="preserve"> </w:t>
      </w:r>
    </w:p>
    <w:p w14:paraId="177A6F05" w14:textId="77777777" w:rsidR="002F610D" w:rsidRPr="006B6F95" w:rsidRDefault="002F610D" w:rsidP="002F610D">
      <w:pPr>
        <w:pStyle w:val="NormalWeb"/>
        <w:rPr>
          <w:b/>
          <w:bCs/>
        </w:rPr>
      </w:pPr>
      <w:r w:rsidRPr="006B6F95">
        <w:rPr>
          <w:b/>
          <w:bCs/>
        </w:rPr>
        <w:t xml:space="preserve">Legal Lesson Learned: </w:t>
      </w:r>
      <w:r>
        <w:rPr>
          <w:b/>
          <w:bCs/>
        </w:rPr>
        <w:t xml:space="preserve"> Fire service applicants must honestly complete application form, including disclosure of prior Fire Department or other employer terminations.  </w:t>
      </w:r>
      <w:proofErr w:type="gramStart"/>
      <w:r>
        <w:rPr>
          <w:b/>
          <w:bCs/>
        </w:rPr>
        <w:t>A best</w:t>
      </w:r>
      <w:proofErr w:type="gramEnd"/>
      <w:r>
        <w:rPr>
          <w:b/>
          <w:bCs/>
        </w:rPr>
        <w:t xml:space="preserve"> practice also includes asking applicants to authorize prior employers in writing to disclose their employment and disciplinary records. </w:t>
      </w:r>
    </w:p>
    <w:p w14:paraId="60EFB79B" w14:textId="77777777" w:rsidR="002F610D" w:rsidRDefault="002F610D" w:rsidP="00F326E5">
      <w:pPr>
        <w:pStyle w:val="NoSpacing"/>
        <w:rPr>
          <w:rFonts w:ascii="Arial Black" w:hAnsi="Arial Black"/>
          <w:sz w:val="24"/>
          <w:szCs w:val="24"/>
        </w:rPr>
      </w:pPr>
    </w:p>
    <w:p w14:paraId="2EF2E387" w14:textId="77777777" w:rsidR="002F610D" w:rsidRDefault="002F610D" w:rsidP="00F326E5">
      <w:pPr>
        <w:pStyle w:val="NoSpacing"/>
        <w:rPr>
          <w:rFonts w:ascii="Arial Black" w:hAnsi="Arial Black"/>
          <w:sz w:val="24"/>
          <w:szCs w:val="24"/>
        </w:rPr>
      </w:pPr>
    </w:p>
    <w:p w14:paraId="1D4608CE" w14:textId="78D21815" w:rsidR="002F610D" w:rsidRDefault="002F610D" w:rsidP="00F326E5">
      <w:pPr>
        <w:pStyle w:val="NoSpacing"/>
        <w:rPr>
          <w:rFonts w:ascii="Arial Black" w:hAnsi="Arial Black"/>
          <w:sz w:val="24"/>
          <w:szCs w:val="24"/>
        </w:rPr>
      </w:pPr>
      <w:r>
        <w:rPr>
          <w:rFonts w:ascii="Arial Black" w:hAnsi="Arial Black"/>
          <w:sz w:val="24"/>
          <w:szCs w:val="24"/>
        </w:rPr>
        <w:t>16-55</w:t>
      </w:r>
    </w:p>
    <w:p w14:paraId="151745A5" w14:textId="38D77EA5" w:rsidR="002F610D" w:rsidRDefault="002F610D" w:rsidP="00F326E5">
      <w:pPr>
        <w:pStyle w:val="NoSpacing"/>
        <w:rPr>
          <w:rFonts w:ascii="Arial Black" w:hAnsi="Arial Black"/>
          <w:sz w:val="24"/>
          <w:szCs w:val="24"/>
        </w:rPr>
      </w:pPr>
    </w:p>
    <w:p w14:paraId="43040B8F" w14:textId="77777777" w:rsidR="002F610D" w:rsidRDefault="002F610D" w:rsidP="002F610D">
      <w:pPr>
        <w:rPr>
          <w:rFonts w:ascii="Arial Black" w:hAnsi="Arial Black"/>
          <w:sz w:val="28"/>
          <w:szCs w:val="28"/>
        </w:rPr>
      </w:pPr>
      <w:bookmarkStart w:id="594" w:name="_Hlk81842740"/>
      <w:r>
        <w:rPr>
          <w:rFonts w:ascii="Arial Black" w:hAnsi="Arial Black"/>
          <w:sz w:val="28"/>
          <w:szCs w:val="28"/>
        </w:rPr>
        <w:t>MA: FIRE CHIEF FINED $10,000 BY STATE ETHICS COMMISSION – HELPED GET HIS SON GET HIRED ON FD</w:t>
      </w:r>
    </w:p>
    <w:bookmarkEnd w:id="594"/>
    <w:p w14:paraId="0D3C3C4D" w14:textId="77777777" w:rsidR="002F610D" w:rsidRDefault="002F610D" w:rsidP="002F610D">
      <w:pPr>
        <w:rPr>
          <w:rFonts w:ascii="Times New Roman" w:hAnsi="Times New Roman"/>
          <w:sz w:val="24"/>
          <w:szCs w:val="24"/>
        </w:rPr>
      </w:pPr>
      <w:r>
        <w:rPr>
          <w:rFonts w:ascii="Times New Roman" w:hAnsi="Times New Roman"/>
          <w:sz w:val="24"/>
          <w:szCs w:val="24"/>
        </w:rPr>
        <w:t>On Aug. 5, 2021, the Massachusetts Ethics Commission issued a Press Release: “</w:t>
      </w:r>
      <w:r w:rsidRPr="001111FF">
        <w:rPr>
          <w:rFonts w:ascii="Times New Roman" w:hAnsi="Times New Roman"/>
          <w:sz w:val="24"/>
          <w:szCs w:val="24"/>
        </w:rPr>
        <w:t xml:space="preserve">Wellesley Fire Chief Richard DeLorie has admitted to violating the </w:t>
      </w:r>
      <w:proofErr w:type="gramStart"/>
      <w:r w:rsidRPr="001111FF">
        <w:rPr>
          <w:rFonts w:ascii="Times New Roman" w:hAnsi="Times New Roman"/>
          <w:sz w:val="24"/>
          <w:szCs w:val="24"/>
        </w:rPr>
        <w:t>conflict of interest</w:t>
      </w:r>
      <w:proofErr w:type="gramEnd"/>
      <w:r w:rsidRPr="001111FF">
        <w:rPr>
          <w:rFonts w:ascii="Times New Roman" w:hAnsi="Times New Roman"/>
          <w:sz w:val="24"/>
          <w:szCs w:val="24"/>
        </w:rPr>
        <w:t xml:space="preserve"> law by participating in the town’s hiring of his son as a firefighter and using his official position to alter the hiring process to favor his son. DeLorie paid a $10,000 civil penalty, signed a disposition agreement approved by the State Ethics Commission, and waived his right to contest the Commission’s findings.</w:t>
      </w:r>
      <w:r>
        <w:rPr>
          <w:rFonts w:ascii="Times New Roman" w:hAnsi="Times New Roman"/>
          <w:sz w:val="24"/>
          <w:szCs w:val="24"/>
        </w:rPr>
        <w:t xml:space="preserve">”  </w:t>
      </w:r>
      <w:hyperlink r:id="rId2716" w:history="1">
        <w:r w:rsidRPr="00C10414">
          <w:rPr>
            <w:rStyle w:val="Hyperlink"/>
            <w:sz w:val="24"/>
            <w:szCs w:val="24"/>
          </w:rPr>
          <w:t>https://www.mass.gov/news/wellesley-fire-chief-richard-delorie-pays-10000-civil-penalty-for-violating-conflict-of-interest-law</w:t>
        </w:r>
      </w:hyperlink>
      <w:r>
        <w:rPr>
          <w:rFonts w:ascii="Times New Roman" w:hAnsi="Times New Roman"/>
          <w:sz w:val="24"/>
          <w:szCs w:val="24"/>
        </w:rPr>
        <w:t xml:space="preserve"> </w:t>
      </w:r>
    </w:p>
    <w:p w14:paraId="61292555" w14:textId="77777777" w:rsidR="002F610D" w:rsidRPr="001111FF" w:rsidRDefault="002F610D" w:rsidP="002F610D">
      <w:pPr>
        <w:spacing w:before="100" w:beforeAutospacing="1" w:after="100" w:afterAutospacing="1" w:line="240" w:lineRule="auto"/>
        <w:rPr>
          <w:rFonts w:ascii="Times New Roman" w:eastAsia="Times New Roman" w:hAnsi="Times New Roman"/>
          <w:b/>
          <w:bCs/>
          <w:sz w:val="24"/>
          <w:szCs w:val="24"/>
        </w:rPr>
      </w:pPr>
      <w:r w:rsidRPr="001111FF">
        <w:rPr>
          <w:rFonts w:ascii="Times New Roman" w:eastAsia="Times New Roman" w:hAnsi="Times New Roman"/>
          <w:b/>
          <w:bCs/>
          <w:sz w:val="24"/>
          <w:szCs w:val="24"/>
        </w:rPr>
        <w:t>Legal Lesson Learned:</w:t>
      </w:r>
      <w:r>
        <w:rPr>
          <w:rFonts w:ascii="Times New Roman" w:eastAsia="Times New Roman" w:hAnsi="Times New Roman"/>
          <w:b/>
          <w:bCs/>
          <w:sz w:val="24"/>
          <w:szCs w:val="24"/>
        </w:rPr>
        <w:t xml:space="preserve"> Recusal means </w:t>
      </w:r>
      <w:proofErr w:type="gramStart"/>
      <w:r>
        <w:rPr>
          <w:rFonts w:ascii="Times New Roman" w:eastAsia="Times New Roman" w:hAnsi="Times New Roman"/>
          <w:b/>
          <w:bCs/>
          <w:sz w:val="24"/>
          <w:szCs w:val="24"/>
        </w:rPr>
        <w:t>stay</w:t>
      </w:r>
      <w:proofErr w:type="gramEnd"/>
      <w:r>
        <w:rPr>
          <w:rFonts w:ascii="Times New Roman" w:eastAsia="Times New Roman" w:hAnsi="Times New Roman"/>
          <w:b/>
          <w:bCs/>
          <w:sz w:val="24"/>
          <w:szCs w:val="24"/>
        </w:rPr>
        <w:t xml:space="preserve"> completely out of the hiring process. </w:t>
      </w:r>
    </w:p>
    <w:p w14:paraId="028A2971" w14:textId="77777777" w:rsidR="002F610D" w:rsidRPr="00A76835" w:rsidRDefault="002F610D" w:rsidP="002F610D">
      <w:pPr>
        <w:pStyle w:val="NoSpacing"/>
        <w:ind w:left="720"/>
        <w:rPr>
          <w:rFonts w:ascii="Times New Roman" w:hAnsi="Times New Roman"/>
          <w:b/>
          <w:bCs/>
          <w:sz w:val="24"/>
          <w:szCs w:val="24"/>
        </w:rPr>
      </w:pPr>
      <w:r w:rsidRPr="005503CE">
        <w:rPr>
          <w:rFonts w:ascii="Times New Roman" w:eastAsia="Times New Roman" w:hAnsi="Times New Roman"/>
          <w:sz w:val="24"/>
          <w:szCs w:val="24"/>
        </w:rPr>
        <w:t xml:space="preserve">Note: See Aug. 5, </w:t>
      </w:r>
      <w:proofErr w:type="gramStart"/>
      <w:r w:rsidRPr="005503CE">
        <w:rPr>
          <w:rFonts w:ascii="Times New Roman" w:eastAsia="Times New Roman" w:hAnsi="Times New Roman"/>
          <w:sz w:val="24"/>
          <w:szCs w:val="24"/>
        </w:rPr>
        <w:t>2021</w:t>
      </w:r>
      <w:proofErr w:type="gramEnd"/>
      <w:r w:rsidRPr="005503CE">
        <w:rPr>
          <w:rFonts w:ascii="Times New Roman" w:eastAsia="Times New Roman" w:hAnsi="Times New Roman"/>
          <w:sz w:val="24"/>
          <w:szCs w:val="24"/>
        </w:rPr>
        <w:t xml:space="preserve"> article, </w:t>
      </w:r>
      <w:r w:rsidRPr="005503CE">
        <w:rPr>
          <w:rFonts w:ascii="Times New Roman" w:hAnsi="Times New Roman"/>
          <w:sz w:val="24"/>
          <w:szCs w:val="24"/>
        </w:rPr>
        <w:t xml:space="preserve">“Wellesley Fire Chief Richard DeLorie Fined $10,000 For Helping Son Get Hired </w:t>
      </w:r>
      <w:proofErr w:type="gramStart"/>
      <w:r w:rsidRPr="005503CE">
        <w:rPr>
          <w:rFonts w:ascii="Times New Roman" w:hAnsi="Times New Roman"/>
          <w:sz w:val="24"/>
          <w:szCs w:val="24"/>
        </w:rPr>
        <w:t>As</w:t>
      </w:r>
      <w:proofErr w:type="gramEnd"/>
      <w:r w:rsidRPr="005503CE">
        <w:rPr>
          <w:rFonts w:ascii="Times New Roman" w:hAnsi="Times New Roman"/>
          <w:sz w:val="24"/>
          <w:szCs w:val="24"/>
        </w:rPr>
        <w:t xml:space="preserve"> Firefighter.” </w:t>
      </w:r>
      <w:hyperlink r:id="rId2717" w:history="1">
        <w:r w:rsidRPr="005503CE">
          <w:rPr>
            <w:rStyle w:val="Hyperlink"/>
            <w:sz w:val="24"/>
            <w:szCs w:val="24"/>
          </w:rPr>
          <w:t>https://boston.cbslocal.com/2021/08/05/wellesley-fire-chief-richard-delorie-conflict-of-interest/</w:t>
        </w:r>
      </w:hyperlink>
      <w:r w:rsidRPr="005503CE">
        <w:rPr>
          <w:rFonts w:ascii="Times New Roman" w:hAnsi="Times New Roman"/>
          <w:sz w:val="24"/>
          <w:szCs w:val="24"/>
        </w:rPr>
        <w:t xml:space="preserve"> </w:t>
      </w:r>
    </w:p>
    <w:p w14:paraId="3E224028" w14:textId="77777777" w:rsidR="002F610D" w:rsidRDefault="002F610D" w:rsidP="00F326E5">
      <w:pPr>
        <w:pStyle w:val="NoSpacing"/>
        <w:rPr>
          <w:rFonts w:ascii="Arial Black" w:hAnsi="Arial Black"/>
          <w:sz w:val="24"/>
          <w:szCs w:val="24"/>
        </w:rPr>
      </w:pPr>
    </w:p>
    <w:p w14:paraId="1C711EB9" w14:textId="77777777" w:rsidR="002F610D" w:rsidRDefault="002F610D" w:rsidP="00F326E5">
      <w:pPr>
        <w:pStyle w:val="NoSpacing"/>
        <w:rPr>
          <w:rFonts w:ascii="Arial Black" w:hAnsi="Arial Black"/>
          <w:sz w:val="24"/>
          <w:szCs w:val="24"/>
        </w:rPr>
      </w:pPr>
    </w:p>
    <w:p w14:paraId="3D69809B" w14:textId="22CC8E05" w:rsidR="008A0333" w:rsidRDefault="008A0333" w:rsidP="00F326E5">
      <w:pPr>
        <w:pStyle w:val="NoSpacing"/>
        <w:rPr>
          <w:rFonts w:ascii="Arial Black" w:hAnsi="Arial Black"/>
          <w:sz w:val="24"/>
          <w:szCs w:val="24"/>
        </w:rPr>
      </w:pPr>
      <w:r>
        <w:rPr>
          <w:rFonts w:ascii="Arial Black" w:hAnsi="Arial Black"/>
          <w:sz w:val="24"/>
          <w:szCs w:val="24"/>
        </w:rPr>
        <w:t>16-54</w:t>
      </w:r>
    </w:p>
    <w:p w14:paraId="0E0D1BF4" w14:textId="27F61D02" w:rsidR="008A0333" w:rsidRDefault="008A0333" w:rsidP="00F326E5">
      <w:pPr>
        <w:pStyle w:val="NoSpacing"/>
        <w:rPr>
          <w:rFonts w:ascii="Arial Black" w:hAnsi="Arial Black"/>
          <w:sz w:val="24"/>
          <w:szCs w:val="24"/>
        </w:rPr>
      </w:pPr>
    </w:p>
    <w:p w14:paraId="17D74F00" w14:textId="77777777" w:rsidR="008A0333" w:rsidRDefault="008A0333" w:rsidP="008A0333">
      <w:pPr>
        <w:pStyle w:val="NoSpacing"/>
        <w:rPr>
          <w:rFonts w:ascii="Arial Black" w:hAnsi="Arial Black"/>
          <w:sz w:val="28"/>
          <w:szCs w:val="28"/>
        </w:rPr>
      </w:pPr>
      <w:r>
        <w:rPr>
          <w:rFonts w:ascii="Arial Black" w:hAnsi="Arial Black"/>
          <w:sz w:val="28"/>
          <w:szCs w:val="28"/>
        </w:rPr>
        <w:t>CA: UNION PRES. MEDICAL LEAVE BAD BACK - RAN 8-MILE RACE - FIRING TOO HARSH, RETALIATION – LIGHT DUTY</w:t>
      </w:r>
    </w:p>
    <w:p w14:paraId="39FE65F4" w14:textId="77777777" w:rsidR="008A0333" w:rsidRDefault="008A0333" w:rsidP="008A0333">
      <w:pPr>
        <w:pStyle w:val="p1"/>
      </w:pPr>
      <w:r>
        <w:t xml:space="preserve">On June 16, 2021, in </w:t>
      </w:r>
      <w:r w:rsidRPr="001A6E48">
        <w:rPr>
          <w:u w:val="single"/>
        </w:rPr>
        <w:t>City of South Pasadena v. Public Employment Relations Board (Owen Cliff Snider</w:t>
      </w:r>
      <w:r>
        <w:t xml:space="preserve">), the California Supreme Court declined to hear the City’s appeal; on Feb. 26, 2021 the Court of Appeals (3 to 0; unpublished decision), held for the firefighter, finding that while some discipline may have been appropriate, the Administrative Law Judge and the Public Employment Relations Board correctly held that firing was too harsh, and punishment appeared to be in retaliation for Union’s filing an unfair labor charge when FD ordered the firefighter back to work on a city light duty policy which was not in Collective Bargaining Agreement. </w:t>
      </w:r>
    </w:p>
    <w:p w14:paraId="6F9A08E5" w14:textId="77777777" w:rsidR="008A0333" w:rsidRDefault="008A0333" w:rsidP="008A0333">
      <w:pPr>
        <w:pStyle w:val="p1"/>
        <w:ind w:left="720" w:firstLine="60"/>
      </w:pPr>
      <w:r>
        <w:t xml:space="preserve">“Although we uphold PERB's finding that the City's decision to </w:t>
      </w:r>
      <w:r>
        <w:rPr>
          <w:i/>
          <w:iCs/>
        </w:rPr>
        <w:t>terminate</w:t>
      </w:r>
      <w:r>
        <w:t xml:space="preserve"> Snider was a form of retaliation for the exercise of his rights to bargain over the light-duty policy, our conclusion does not imply that the City could not have subjected Snider to </w:t>
      </w:r>
      <w:r>
        <w:rPr>
          <w:i/>
          <w:iCs/>
        </w:rPr>
        <w:t>some form</w:t>
      </w:r>
      <w:r>
        <w:t xml:space="preserve"> of discipline without running afoul of </w:t>
      </w:r>
      <w:r>
        <w:lastRenderedPageBreak/>
        <w:t xml:space="preserve">the MMBA.”  </w:t>
      </w:r>
      <w:hyperlink r:id="rId2718" w:history="1">
        <w:r w:rsidRPr="0004297D">
          <w:rPr>
            <w:rStyle w:val="Hyperlink"/>
          </w:rPr>
          <w:t>https://appellatecases.courtinfo.ca.gov/search/case/disposition.cfm?dist=0&amp;doc_id=2345572&amp;doc_no=S268086&amp;request_token=NiIwLSEmTkw5W1BRSSItTENJQEg0UDxTJSBeRzJSUCAgCg%3D%3D</w:t>
        </w:r>
      </w:hyperlink>
      <w:r>
        <w:t xml:space="preserve"> .  </w:t>
      </w:r>
    </w:p>
    <w:p w14:paraId="2A2E4C80" w14:textId="77777777" w:rsidR="008A0333" w:rsidRPr="00A03FED" w:rsidRDefault="008A0333" w:rsidP="008A0333">
      <w:pPr>
        <w:pStyle w:val="NoSpacing"/>
        <w:rPr>
          <w:rFonts w:ascii="Times New Roman" w:hAnsi="Times New Roman"/>
          <w:b/>
          <w:bCs/>
          <w:sz w:val="24"/>
          <w:szCs w:val="24"/>
        </w:rPr>
      </w:pPr>
      <w:r w:rsidRPr="00A03FED">
        <w:rPr>
          <w:rFonts w:ascii="Times New Roman" w:hAnsi="Times New Roman"/>
          <w:b/>
          <w:bCs/>
          <w:sz w:val="24"/>
          <w:szCs w:val="24"/>
        </w:rPr>
        <w:t xml:space="preserve">Legal Lesson Learned: </w:t>
      </w:r>
      <w:r>
        <w:rPr>
          <w:rFonts w:ascii="Times New Roman" w:hAnsi="Times New Roman"/>
          <w:b/>
          <w:bCs/>
          <w:sz w:val="24"/>
          <w:szCs w:val="24"/>
        </w:rPr>
        <w:t xml:space="preserve"> Fire Department policy on injury leave should clearly discuss limitations physical exercise and other strenuous activities; a light duty policy is an effective management tool to encourage return to full duty. </w:t>
      </w:r>
    </w:p>
    <w:p w14:paraId="4D39852B" w14:textId="77777777" w:rsidR="008A0333" w:rsidRDefault="008A0333" w:rsidP="008A0333">
      <w:pPr>
        <w:pStyle w:val="p1"/>
        <w:ind w:left="720"/>
      </w:pPr>
      <w:r>
        <w:t xml:space="preserve">Calif. Supreme Court order: </w:t>
      </w:r>
      <w:hyperlink r:id="rId2719" w:history="1">
        <w:r w:rsidRPr="002625ED">
          <w:rPr>
            <w:rStyle w:val="Hyperlink"/>
          </w:rPr>
          <w:t>https://appellatecases.courtinfo.ca.gov/search/case/disposition.cfm?dist=0&amp;doc_id=2345572&amp;doc_no=S268086&amp;request_token=NiIwLSEmTkw5W1BRSSItTENJQEg0UDxTJSBeRzJSUCAgCg%3D%3D</w:t>
        </w:r>
      </w:hyperlink>
      <w:r>
        <w:t xml:space="preserve"> </w:t>
      </w:r>
    </w:p>
    <w:p w14:paraId="32B6A514" w14:textId="77777777" w:rsidR="008A0333" w:rsidRPr="00A03FED" w:rsidRDefault="008A0333" w:rsidP="008A0333">
      <w:pPr>
        <w:pStyle w:val="p1"/>
        <w:ind w:left="720"/>
      </w:pPr>
      <w:r w:rsidRPr="00A03FED">
        <w:t xml:space="preserve">See June 21, </w:t>
      </w:r>
      <w:proofErr w:type="gramStart"/>
      <w:r w:rsidRPr="00A03FED">
        <w:t>2021</w:t>
      </w:r>
      <w:proofErr w:type="gramEnd"/>
      <w:r w:rsidRPr="00A03FED">
        <w:t xml:space="preserve"> article: “The City of South Pasadena illegally dismissed a firefighter | Supreme Court denies review | The South Pasadena; </w:t>
      </w:r>
      <w:hyperlink r:id="rId2720" w:history="1">
        <w:r w:rsidRPr="00A03FED">
          <w:rPr>
            <w:rStyle w:val="Hyperlink"/>
          </w:rPr>
          <w:t>https://laborlawlosangeles.com/the-city-of-south-pasadena-illegally-dismissed-a-firefighter-supreme-court-denies-review-the-south-pasadenan/</w:t>
        </w:r>
      </w:hyperlink>
      <w:r w:rsidRPr="00A03FED">
        <w:t xml:space="preserve"> </w:t>
      </w:r>
    </w:p>
    <w:p w14:paraId="23E7BDAB" w14:textId="77777777" w:rsidR="008A0333" w:rsidRPr="003F349F" w:rsidRDefault="008A0333" w:rsidP="008A0333">
      <w:pPr>
        <w:pStyle w:val="p1"/>
        <w:ind w:left="720"/>
      </w:pPr>
      <w:r>
        <w:t xml:space="preserve">See IAFF: </w:t>
      </w:r>
      <w:r w:rsidRPr="003D5D8C">
        <w:rPr>
          <w:rStyle w:val="Strong"/>
        </w:rPr>
        <w:t>“Owen ‘Cliff’ Snider v. City of South Pasadena, California -</w:t>
      </w:r>
      <w:r>
        <w:rPr>
          <w:rStyle w:val="Strong"/>
        </w:rPr>
        <w:t xml:space="preserve"> </w:t>
      </w:r>
      <w:r w:rsidRPr="00A03FED">
        <w:rPr>
          <w:b/>
          <w:bCs/>
        </w:rPr>
        <w:br/>
      </w:r>
      <w:r>
        <w:t>“</w:t>
      </w:r>
      <w:r w:rsidRPr="00A03FED">
        <w:t xml:space="preserve">In this Guardian Policy case, the City of South Pasadena terminated Local 3657 President Cliff Snider, in retaliation for his union leadership activities. President Snider was enforcing the right to bargain over changes in working conditions, first by requesting to bargain, and later by filing an Unfair Labor Practice (ULP) charge over the City’s refusal to bargain. After an earlier back injury, and while he was on paid sick leave, Snider participated in an 8-mile </w:t>
      </w:r>
      <w:r>
        <w:t>‘</w:t>
      </w:r>
      <w:r w:rsidRPr="00A03FED">
        <w:t>Spartan Race.</w:t>
      </w:r>
      <w:r>
        <w:t>’</w:t>
      </w:r>
      <w:r w:rsidRPr="00A03FED">
        <w:t xml:space="preserve"> Chief Mario Rueda terminated Snider on the asserted grounds of dishonesty, abuse of sick leave, bad faith, and failure to notify a supervisor that he felt well enough to return to duty.</w:t>
      </w:r>
      <w:r>
        <w:t>”</w:t>
      </w:r>
      <w:r w:rsidRPr="00A03FED">
        <w:t xml:space="preserve"> </w:t>
      </w:r>
      <w:hyperlink r:id="rId2721" w:history="1">
        <w:r w:rsidRPr="00A03FED">
          <w:rPr>
            <w:rStyle w:val="Hyperlink"/>
          </w:rPr>
          <w:t>https://convention2018.iaff.org/general-counsels-report/</w:t>
        </w:r>
      </w:hyperlink>
      <w:r w:rsidRPr="00A03FED">
        <w:t xml:space="preserve"> </w:t>
      </w:r>
    </w:p>
    <w:p w14:paraId="27C3A680" w14:textId="77777777" w:rsidR="008A0333" w:rsidRDefault="008A0333" w:rsidP="00F326E5">
      <w:pPr>
        <w:pStyle w:val="NoSpacing"/>
        <w:rPr>
          <w:rFonts w:ascii="Arial Black" w:hAnsi="Arial Black"/>
          <w:sz w:val="24"/>
          <w:szCs w:val="24"/>
        </w:rPr>
      </w:pPr>
    </w:p>
    <w:p w14:paraId="6D530949" w14:textId="77777777" w:rsidR="008A0333" w:rsidRDefault="008A0333" w:rsidP="00F326E5">
      <w:pPr>
        <w:pStyle w:val="NoSpacing"/>
        <w:rPr>
          <w:rFonts w:ascii="Arial Black" w:hAnsi="Arial Black"/>
          <w:sz w:val="24"/>
          <w:szCs w:val="24"/>
        </w:rPr>
      </w:pPr>
    </w:p>
    <w:p w14:paraId="1F020492" w14:textId="1377931A" w:rsidR="00B03268" w:rsidRPr="00B03268" w:rsidRDefault="00B03268" w:rsidP="00F326E5">
      <w:pPr>
        <w:pStyle w:val="NoSpacing"/>
        <w:rPr>
          <w:rFonts w:ascii="Times New Roman" w:hAnsi="Times New Roman"/>
          <w:sz w:val="24"/>
          <w:szCs w:val="24"/>
        </w:rPr>
      </w:pPr>
      <w:r>
        <w:rPr>
          <w:rFonts w:ascii="Arial Black" w:hAnsi="Arial Black"/>
          <w:sz w:val="24"/>
          <w:szCs w:val="24"/>
        </w:rPr>
        <w:t xml:space="preserve">16-53 </w:t>
      </w:r>
      <w:r>
        <w:rPr>
          <w:rFonts w:ascii="Times New Roman" w:hAnsi="Times New Roman"/>
          <w:sz w:val="24"/>
          <w:szCs w:val="24"/>
        </w:rPr>
        <w:t>[also filed, Chap. 11]</w:t>
      </w:r>
    </w:p>
    <w:p w14:paraId="46BA1FC3" w14:textId="6D6145CB" w:rsidR="00B03268" w:rsidRDefault="00B03268" w:rsidP="00F326E5">
      <w:pPr>
        <w:pStyle w:val="NoSpacing"/>
        <w:rPr>
          <w:rFonts w:ascii="Arial Black" w:hAnsi="Arial Black"/>
          <w:sz w:val="24"/>
          <w:szCs w:val="24"/>
        </w:rPr>
      </w:pPr>
    </w:p>
    <w:p w14:paraId="140497D3" w14:textId="77777777" w:rsidR="00B03268" w:rsidRPr="003A1BB2" w:rsidRDefault="00B03268" w:rsidP="00B03268">
      <w:pPr>
        <w:pStyle w:val="NoSpacing"/>
        <w:rPr>
          <w:rFonts w:ascii="Arial Black" w:hAnsi="Arial Black"/>
          <w:sz w:val="28"/>
          <w:szCs w:val="28"/>
        </w:rPr>
      </w:pPr>
      <w:r>
        <w:rPr>
          <w:rFonts w:ascii="Arial Black" w:hAnsi="Arial Black"/>
          <w:sz w:val="28"/>
          <w:szCs w:val="28"/>
        </w:rPr>
        <w:t>NV: AT-WILL HOSPITAL PARAMEDIC - TERMINATED WITHIN 1-YR PROBATIONARY PERIOD – LAWSUIT DISMISSED</w:t>
      </w:r>
    </w:p>
    <w:p w14:paraId="0F412CC2" w14:textId="77777777" w:rsidR="00B03268" w:rsidRDefault="00B03268" w:rsidP="00B03268">
      <w:pPr>
        <w:pStyle w:val="NoSpacing"/>
      </w:pPr>
    </w:p>
    <w:p w14:paraId="525EBD4E" w14:textId="77777777" w:rsidR="00B03268" w:rsidRPr="00D106AE" w:rsidRDefault="00B03268" w:rsidP="00B03268">
      <w:pPr>
        <w:pStyle w:val="NoSpacing"/>
        <w:rPr>
          <w:rFonts w:ascii="Times New Roman" w:hAnsi="Times New Roman"/>
          <w:sz w:val="24"/>
          <w:szCs w:val="24"/>
        </w:rPr>
      </w:pPr>
      <w:r>
        <w:rPr>
          <w:rFonts w:ascii="Times New Roman" w:hAnsi="Times New Roman"/>
          <w:sz w:val="24"/>
          <w:szCs w:val="24"/>
        </w:rPr>
        <w:t xml:space="preserve">On May 13, 2021, in </w:t>
      </w:r>
      <w:r w:rsidRPr="00D106AE">
        <w:rPr>
          <w:rFonts w:ascii="Times New Roman" w:hAnsi="Times New Roman"/>
          <w:sz w:val="24"/>
          <w:szCs w:val="24"/>
          <w:u w:val="single"/>
        </w:rPr>
        <w:t>Todd P. Evans v. Lander County Hospital District, d/b/a Battle Mountain General Hospital</w:t>
      </w:r>
      <w:r w:rsidRPr="00D106AE">
        <w:rPr>
          <w:rFonts w:ascii="Times New Roman" w:hAnsi="Times New Roman"/>
          <w:sz w:val="24"/>
          <w:szCs w:val="24"/>
        </w:rPr>
        <w:t xml:space="preserve">, U.S. District Court Judge Larry R. Hicks, U.S. District Court, District of Nevada, </w:t>
      </w:r>
      <w:r>
        <w:rPr>
          <w:rFonts w:ascii="Times New Roman" w:hAnsi="Times New Roman"/>
          <w:sz w:val="24"/>
          <w:szCs w:val="24"/>
        </w:rPr>
        <w:t>held that the paramedic did not file or otherwise orally make a complaint of FLSA violation, and he was an at-will employee that can be terminated without cause by the hospital.</w:t>
      </w:r>
    </w:p>
    <w:p w14:paraId="17914755" w14:textId="77777777" w:rsidR="00B03268" w:rsidRDefault="00B03268" w:rsidP="00B03268">
      <w:pPr>
        <w:spacing w:before="100" w:beforeAutospacing="1" w:after="100" w:afterAutospacing="1"/>
        <w:ind w:left="720"/>
        <w:rPr>
          <w:rFonts w:ascii="Times New Roman" w:eastAsia="Times New Roman" w:hAnsi="Times New Roman"/>
          <w:sz w:val="24"/>
          <w:szCs w:val="24"/>
        </w:rPr>
      </w:pPr>
      <w:r>
        <w:rPr>
          <w:rFonts w:ascii="Times New Roman" w:eastAsia="Times New Roman" w:hAnsi="Times New Roman"/>
          <w:sz w:val="24"/>
          <w:szCs w:val="24"/>
        </w:rPr>
        <w:t>“</w:t>
      </w:r>
      <w:r w:rsidRPr="003A1BB2">
        <w:rPr>
          <w:rFonts w:ascii="Times New Roman" w:eastAsia="Times New Roman" w:hAnsi="Times New Roman"/>
          <w:sz w:val="24"/>
          <w:szCs w:val="24"/>
        </w:rPr>
        <w:t xml:space="preserve">Again, based on Evans' testimony, the Court finds that Evans' statements during the April 2019 meeting do not constitute filling a complaint with the BMGH as contemplated by the FLSA anti-retaliation statute. The content of this meeting was the financial and economic status of the EMS Department and was focused on how Evans' suggested alterations to the department, including transitioning the volunteer EMTs to paid staff, would make the department more fiscally responsible and increase staff. While Evans did address the FLSA and again suggested that the volunteer program may be violating the federal statute, he did not specify an illegality related to the program and did not provide Trustee Roberts with any documentation related to the FLSA. A reasonable employer would have seen Evans' statements as an attempt to recruit a board member to support his budget proposal, not an assertion of </w:t>
      </w:r>
      <w:r w:rsidRPr="003A1BB2">
        <w:rPr>
          <w:rFonts w:ascii="Times New Roman" w:eastAsia="Times New Roman" w:hAnsi="Times New Roman"/>
          <w:sz w:val="24"/>
          <w:szCs w:val="24"/>
        </w:rPr>
        <w:lastRenderedPageBreak/>
        <w:t>the employment rights of the volunteer EMTs in the program. Accordingly, his statements cannot be considered a filed complaint under the FLSA anti-retaliation statute.</w:t>
      </w:r>
    </w:p>
    <w:p w14:paraId="3B6A543B" w14:textId="77777777" w:rsidR="00B03268" w:rsidRDefault="00B03268" w:rsidP="00B03268">
      <w:pPr>
        <w:spacing w:before="100" w:beforeAutospacing="1" w:after="100" w:afterAutospacing="1"/>
        <w:ind w:left="720"/>
        <w:rPr>
          <w:rFonts w:ascii="Times New Roman" w:eastAsia="Times New Roman" w:hAnsi="Times New Roman"/>
          <w:sz w:val="24"/>
          <w:szCs w:val="24"/>
        </w:rPr>
      </w:pPr>
      <w:r>
        <w:rPr>
          <w:rFonts w:ascii="Times New Roman" w:eastAsia="Times New Roman" w:hAnsi="Times New Roman"/>
          <w:sz w:val="24"/>
          <w:szCs w:val="24"/>
        </w:rPr>
        <w:t>***</w:t>
      </w:r>
    </w:p>
    <w:p w14:paraId="792E38CB" w14:textId="77777777" w:rsidR="00B03268" w:rsidRPr="003A1BB2" w:rsidRDefault="00B03268" w:rsidP="00B03268">
      <w:pPr>
        <w:spacing w:before="100" w:beforeAutospacing="1" w:after="100" w:afterAutospacing="1"/>
        <w:ind w:left="720"/>
        <w:rPr>
          <w:rFonts w:ascii="Times New Roman" w:eastAsia="Times New Roman" w:hAnsi="Times New Roman"/>
          <w:sz w:val="24"/>
          <w:szCs w:val="24"/>
        </w:rPr>
      </w:pPr>
      <w:r w:rsidRPr="00D106AE">
        <w:rPr>
          <w:rFonts w:ascii="Times New Roman" w:hAnsi="Times New Roman"/>
          <w:sz w:val="24"/>
          <w:szCs w:val="24"/>
        </w:rPr>
        <w:t xml:space="preserve">Evans' fourth cause of action alleges Defendant breached its oral employment contract in which BMGH agreed to pay Evans a salary of $115,000.00 per year plus a travel stipend of no more than $500.00 per month. ECF No. 1 ¶¶ 55-58. Defendant argues that it could not have breached an employment contract that did not exist as Evans was an at-will employee. Having reviewed the record, there can be no dispute that Evans was an at-will </w:t>
      </w:r>
      <w:proofErr w:type="gramStart"/>
      <w:r w:rsidRPr="00D106AE">
        <w:rPr>
          <w:rFonts w:ascii="Times New Roman" w:hAnsi="Times New Roman"/>
          <w:sz w:val="24"/>
          <w:szCs w:val="24"/>
        </w:rPr>
        <w:t>employee.</w:t>
      </w:r>
      <w:r>
        <w:rPr>
          <w:rFonts w:ascii="Times New Roman" w:hAnsi="Times New Roman"/>
          <w:sz w:val="24"/>
          <w:szCs w:val="24"/>
        </w:rPr>
        <w:t>”</w:t>
      </w:r>
      <w:proofErr w:type="gramEnd"/>
      <w:r>
        <w:rPr>
          <w:rFonts w:ascii="Times New Roman" w:hAnsi="Times New Roman"/>
          <w:sz w:val="24"/>
          <w:szCs w:val="24"/>
        </w:rPr>
        <w:t xml:space="preserve"> </w:t>
      </w:r>
      <w:hyperlink r:id="rId2722" w:history="1">
        <w:r w:rsidRPr="00C724D5">
          <w:rPr>
            <w:rStyle w:val="Hyperlink"/>
            <w:sz w:val="24"/>
            <w:szCs w:val="24"/>
          </w:rPr>
          <w:t>https://www.leagle.com/decision/infdco20210518900</w:t>
        </w:r>
      </w:hyperlink>
      <w:r>
        <w:rPr>
          <w:rFonts w:ascii="Times New Roman" w:eastAsia="Times New Roman" w:hAnsi="Times New Roman"/>
          <w:sz w:val="24"/>
          <w:szCs w:val="24"/>
        </w:rPr>
        <w:t xml:space="preserve"> </w:t>
      </w:r>
    </w:p>
    <w:p w14:paraId="46248971" w14:textId="77777777" w:rsidR="00B03268" w:rsidRPr="00E7248E" w:rsidRDefault="00B03268" w:rsidP="00B03268">
      <w:pPr>
        <w:pStyle w:val="NormalWeb"/>
        <w:rPr>
          <w:b/>
          <w:bCs/>
        </w:rPr>
      </w:pPr>
      <w:r w:rsidRPr="00E7248E">
        <w:rPr>
          <w:b/>
          <w:bCs/>
        </w:rPr>
        <w:t>Legal Lesson Learned:</w:t>
      </w:r>
      <w:r>
        <w:rPr>
          <w:b/>
          <w:bCs/>
        </w:rPr>
        <w:t xml:space="preserve"> At will employees can be terminated, with or without cause.  </w:t>
      </w:r>
    </w:p>
    <w:p w14:paraId="47BF614D" w14:textId="77777777" w:rsidR="00B03268" w:rsidRDefault="00B03268" w:rsidP="00F326E5">
      <w:pPr>
        <w:pStyle w:val="NoSpacing"/>
        <w:rPr>
          <w:rFonts w:ascii="Arial Black" w:hAnsi="Arial Black"/>
          <w:sz w:val="24"/>
          <w:szCs w:val="24"/>
        </w:rPr>
      </w:pPr>
    </w:p>
    <w:p w14:paraId="6D399EB4" w14:textId="77777777" w:rsidR="00B03268" w:rsidRDefault="00B03268" w:rsidP="00F326E5">
      <w:pPr>
        <w:pStyle w:val="NoSpacing"/>
        <w:rPr>
          <w:rFonts w:ascii="Arial Black" w:hAnsi="Arial Black"/>
          <w:sz w:val="24"/>
          <w:szCs w:val="24"/>
        </w:rPr>
      </w:pPr>
    </w:p>
    <w:p w14:paraId="5A22BC84" w14:textId="2B761CBF" w:rsidR="0066298F" w:rsidRDefault="00EC1BFB" w:rsidP="00F326E5">
      <w:pPr>
        <w:pStyle w:val="NoSpacing"/>
        <w:rPr>
          <w:rFonts w:ascii="Arial Black" w:hAnsi="Arial Black"/>
          <w:sz w:val="24"/>
          <w:szCs w:val="24"/>
        </w:rPr>
      </w:pPr>
      <w:r>
        <w:rPr>
          <w:rFonts w:ascii="Arial Black" w:hAnsi="Arial Black"/>
          <w:sz w:val="24"/>
          <w:szCs w:val="24"/>
        </w:rPr>
        <w:t>16-52</w:t>
      </w:r>
    </w:p>
    <w:p w14:paraId="737DA396" w14:textId="68512AB5" w:rsidR="00EC1BFB" w:rsidRDefault="00EC1BFB" w:rsidP="00F326E5">
      <w:pPr>
        <w:pStyle w:val="NoSpacing"/>
        <w:rPr>
          <w:rFonts w:ascii="Arial Black" w:hAnsi="Arial Black"/>
          <w:sz w:val="24"/>
          <w:szCs w:val="24"/>
        </w:rPr>
      </w:pPr>
    </w:p>
    <w:p w14:paraId="735C93CC" w14:textId="77777777" w:rsidR="00EC1BFB" w:rsidRPr="00207CF4" w:rsidRDefault="00EC1BFB" w:rsidP="00EC1BFB">
      <w:pPr>
        <w:pStyle w:val="NoSpacing"/>
        <w:rPr>
          <w:rFonts w:ascii="Arial Black" w:hAnsi="Arial Black"/>
          <w:sz w:val="28"/>
          <w:szCs w:val="28"/>
        </w:rPr>
      </w:pPr>
      <w:r>
        <w:rPr>
          <w:rFonts w:ascii="Arial Black" w:hAnsi="Arial Black"/>
          <w:sz w:val="28"/>
          <w:szCs w:val="28"/>
        </w:rPr>
        <w:t>OH: ALLEGED TREATENING COMMENTS FIRE CHIEF – CITY LAW NO VIOL - UNION NO RIGHT 3</w:t>
      </w:r>
      <w:r w:rsidRPr="00CF4AA5">
        <w:rPr>
          <w:rFonts w:ascii="Arial Black" w:hAnsi="Arial Black"/>
          <w:sz w:val="28"/>
          <w:szCs w:val="28"/>
          <w:vertAlign w:val="superscript"/>
        </w:rPr>
        <w:t>rd</w:t>
      </w:r>
      <w:r>
        <w:rPr>
          <w:rFonts w:ascii="Arial Black" w:hAnsi="Arial Black"/>
          <w:sz w:val="28"/>
          <w:szCs w:val="28"/>
        </w:rPr>
        <w:t xml:space="preserve"> PARTY INVESTIGATOR </w:t>
      </w:r>
    </w:p>
    <w:p w14:paraId="419EEDEC" w14:textId="77777777" w:rsidR="00EC1BFB" w:rsidRDefault="00EC1BFB" w:rsidP="00EC1BFB">
      <w:pPr>
        <w:pStyle w:val="NoSpacing"/>
      </w:pPr>
    </w:p>
    <w:p w14:paraId="091A5778" w14:textId="77777777" w:rsidR="00EC1BFB" w:rsidRDefault="00EC1BFB" w:rsidP="00EC1BFB">
      <w:pPr>
        <w:pStyle w:val="NoSpacing"/>
        <w:rPr>
          <w:rFonts w:ascii="Times New Roman" w:hAnsi="Times New Roman"/>
          <w:sz w:val="24"/>
          <w:szCs w:val="24"/>
        </w:rPr>
      </w:pPr>
      <w:r>
        <w:rPr>
          <w:rFonts w:ascii="Times New Roman" w:hAnsi="Times New Roman"/>
          <w:sz w:val="24"/>
          <w:szCs w:val="24"/>
        </w:rPr>
        <w:t xml:space="preserve">On Feb. 23, 2021, in </w:t>
      </w:r>
      <w:r w:rsidRPr="00207CF4">
        <w:rPr>
          <w:rFonts w:ascii="Times New Roman" w:hAnsi="Times New Roman"/>
          <w:sz w:val="24"/>
          <w:szCs w:val="24"/>
          <w:u w:val="single"/>
        </w:rPr>
        <w:t>State Ex Rel. Youngstown Professional Firefighters IAFF Local 312, et al. v. City of Youngstown</w:t>
      </w:r>
      <w:r>
        <w:rPr>
          <w:rFonts w:ascii="Times New Roman" w:hAnsi="Times New Roman"/>
          <w:sz w:val="24"/>
          <w:szCs w:val="24"/>
        </w:rPr>
        <w:t xml:space="preserve">, the Court of Appeals of Ohio, Seventh Appellate District (Mahoning County), 2021 Ohio 539, held (3 to 0) that the union has no clear legal right to the appointment of an independent, neutral investigator, and therefore the Court dismissed the union’s original action [did not go to a trial court] seeking a “Writ of Mandamus.”  The Fire Chief at a FD meeting announced the </w:t>
      </w:r>
      <w:proofErr w:type="gramStart"/>
      <w:r>
        <w:rPr>
          <w:rFonts w:ascii="Times New Roman" w:hAnsi="Times New Roman"/>
          <w:sz w:val="24"/>
          <w:szCs w:val="24"/>
        </w:rPr>
        <w:t>City</w:t>
      </w:r>
      <w:proofErr w:type="gramEnd"/>
      <w:r>
        <w:rPr>
          <w:rFonts w:ascii="Times New Roman" w:hAnsi="Times New Roman"/>
          <w:sz w:val="24"/>
          <w:szCs w:val="24"/>
        </w:rPr>
        <w:t xml:space="preserve"> was reducing Battalion Chiefs from six to four, and a firefighter shouted, </w:t>
      </w:r>
      <w:r w:rsidRPr="007327A3">
        <w:rPr>
          <w:rFonts w:ascii="Times New Roman" w:eastAsia="Times New Roman" w:hAnsi="Times New Roman"/>
          <w:sz w:val="24"/>
          <w:szCs w:val="24"/>
        </w:rPr>
        <w:t>"My mom knows every judge and</w:t>
      </w:r>
      <w:r>
        <w:rPr>
          <w:rFonts w:ascii="Times New Roman" w:eastAsia="Times New Roman" w:hAnsi="Times New Roman"/>
          <w:sz w:val="24"/>
          <w:szCs w:val="24"/>
        </w:rPr>
        <w:t xml:space="preserve"> </w:t>
      </w:r>
      <w:r w:rsidRPr="007327A3">
        <w:rPr>
          <w:rFonts w:ascii="Times New Roman" w:eastAsia="Times New Roman" w:hAnsi="Times New Roman"/>
          <w:sz w:val="24"/>
          <w:szCs w:val="24"/>
        </w:rPr>
        <w:t xml:space="preserve">every attorney and if I get </w:t>
      </w:r>
      <w:proofErr w:type="gramStart"/>
      <w:r w:rsidRPr="007327A3">
        <w:rPr>
          <w:rFonts w:ascii="Times New Roman" w:eastAsia="Times New Roman" w:hAnsi="Times New Roman"/>
          <w:sz w:val="24"/>
          <w:szCs w:val="24"/>
        </w:rPr>
        <w:t>hurt</w:t>
      </w:r>
      <w:proofErr w:type="gramEnd"/>
      <w:r w:rsidRPr="007327A3">
        <w:rPr>
          <w:rFonts w:ascii="Times New Roman" w:eastAsia="Times New Roman" w:hAnsi="Times New Roman"/>
          <w:sz w:val="24"/>
          <w:szCs w:val="24"/>
        </w:rPr>
        <w:t xml:space="preserve"> I'm going to own you, the fucking Mayor and the fucking City." </w:t>
      </w:r>
      <w:r>
        <w:rPr>
          <w:rFonts w:ascii="Times New Roman" w:eastAsia="Times New Roman" w:hAnsi="Times New Roman"/>
          <w:sz w:val="24"/>
          <w:szCs w:val="24"/>
        </w:rPr>
        <w:t xml:space="preserve"> The firefighter asked next day to meet with the Chief to apologize.  The Chief </w:t>
      </w:r>
      <w:proofErr w:type="gramStart"/>
      <w:r>
        <w:rPr>
          <w:rFonts w:ascii="Times New Roman" w:eastAsia="Times New Roman" w:hAnsi="Times New Roman"/>
          <w:sz w:val="24"/>
          <w:szCs w:val="24"/>
        </w:rPr>
        <w:t>declined, and</w:t>
      </w:r>
      <w:proofErr w:type="gramEnd"/>
      <w:r>
        <w:rPr>
          <w:rFonts w:ascii="Times New Roman" w:eastAsia="Times New Roman" w:hAnsi="Times New Roman"/>
          <w:sz w:val="24"/>
          <w:szCs w:val="24"/>
        </w:rPr>
        <w:t xml:space="preserve"> later explained at the firefighter’s </w:t>
      </w:r>
      <w:proofErr w:type="spellStart"/>
      <w:r>
        <w:rPr>
          <w:rFonts w:ascii="Times New Roman" w:eastAsia="Times New Roman" w:hAnsi="Times New Roman"/>
          <w:sz w:val="24"/>
          <w:szCs w:val="24"/>
        </w:rPr>
        <w:t>predisciplinary</w:t>
      </w:r>
      <w:proofErr w:type="spellEnd"/>
      <w:r>
        <w:rPr>
          <w:rFonts w:ascii="Times New Roman" w:eastAsia="Times New Roman" w:hAnsi="Times New Roman"/>
          <w:sz w:val="24"/>
          <w:szCs w:val="24"/>
        </w:rPr>
        <w:t xml:space="preserve"> meeting that he declined to meet since he was upset and might </w:t>
      </w:r>
      <w:r w:rsidRPr="003C2A4F">
        <w:rPr>
          <w:rFonts w:ascii="Times New Roman" w:hAnsi="Times New Roman"/>
          <w:sz w:val="24"/>
          <w:szCs w:val="24"/>
        </w:rPr>
        <w:t>"put him through a wall."</w:t>
      </w:r>
    </w:p>
    <w:p w14:paraId="06F5653D" w14:textId="77777777" w:rsidR="00EC1BFB" w:rsidRDefault="00EC1BFB" w:rsidP="00EC1BFB">
      <w:pPr>
        <w:pStyle w:val="NoSpacing"/>
        <w:rPr>
          <w:rFonts w:ascii="Times New Roman" w:hAnsi="Times New Roman"/>
          <w:sz w:val="24"/>
          <w:szCs w:val="24"/>
        </w:rPr>
      </w:pPr>
    </w:p>
    <w:p w14:paraId="0F397921" w14:textId="77777777" w:rsidR="00EC1BFB" w:rsidRPr="003C2A4F" w:rsidRDefault="00EC1BFB" w:rsidP="00EC1BFB">
      <w:pPr>
        <w:pStyle w:val="NoSpacing"/>
        <w:ind w:left="720"/>
        <w:rPr>
          <w:rFonts w:ascii="Times New Roman" w:eastAsia="Times New Roman" w:hAnsi="Times New Roman"/>
          <w:b/>
          <w:bCs/>
          <w:sz w:val="24"/>
          <w:szCs w:val="24"/>
        </w:rPr>
      </w:pPr>
      <w:r>
        <w:rPr>
          <w:rFonts w:ascii="Times New Roman" w:hAnsi="Times New Roman"/>
          <w:sz w:val="24"/>
          <w:szCs w:val="24"/>
        </w:rPr>
        <w:t>“</w:t>
      </w:r>
      <w:r w:rsidRPr="003C2A4F">
        <w:rPr>
          <w:rFonts w:ascii="Times New Roman" w:hAnsi="Times New Roman"/>
          <w:sz w:val="24"/>
          <w:szCs w:val="24"/>
        </w:rPr>
        <w:t>In summary, Relators do not have a clear legal right pursuant to section 163.63 of the Youngstown Codified Ordinances (</w:t>
      </w:r>
      <w:r>
        <w:rPr>
          <w:rFonts w:ascii="Times New Roman" w:hAnsi="Times New Roman"/>
          <w:sz w:val="24"/>
          <w:szCs w:val="24"/>
        </w:rPr>
        <w:t>‘</w:t>
      </w:r>
      <w:r w:rsidRPr="003C2A4F">
        <w:rPr>
          <w:rFonts w:ascii="Times New Roman" w:hAnsi="Times New Roman"/>
          <w:sz w:val="24"/>
          <w:szCs w:val="24"/>
        </w:rPr>
        <w:t>YCO</w:t>
      </w:r>
      <w:r>
        <w:rPr>
          <w:rFonts w:ascii="Times New Roman" w:hAnsi="Times New Roman"/>
          <w:sz w:val="24"/>
          <w:szCs w:val="24"/>
        </w:rPr>
        <w:t>’</w:t>
      </w:r>
      <w:r w:rsidRPr="003C2A4F">
        <w:rPr>
          <w:rFonts w:ascii="Times New Roman" w:hAnsi="Times New Roman"/>
          <w:sz w:val="24"/>
          <w:szCs w:val="24"/>
        </w:rPr>
        <w:t>) to the appointment of an independent, neutral investigator, and the City does not have a clear legal duty pursuant to YCO 163.63 to appoint such an investigator. Accordingly, the writ, to the extent that it is predicated upon the appointment of an independent, neutral investigator, is dismissed.</w:t>
      </w:r>
      <w:r>
        <w:rPr>
          <w:rFonts w:ascii="Times New Roman" w:hAnsi="Times New Roman"/>
          <w:sz w:val="24"/>
          <w:szCs w:val="24"/>
        </w:rPr>
        <w:t xml:space="preserve">” </w:t>
      </w:r>
      <w:hyperlink r:id="rId2723" w:history="1">
        <w:r w:rsidRPr="00D60E44">
          <w:rPr>
            <w:rStyle w:val="Hyperlink"/>
            <w:sz w:val="24"/>
            <w:szCs w:val="24"/>
          </w:rPr>
          <w:t>https://public.fastcase.com/Wl%2B2t%2BeVuI35%2FN70vAMFZry7Wdfw%2FJOcYD0w2Kcl2Q1FxaIYO1NAtHxZOlhNOguL</w:t>
        </w:r>
      </w:hyperlink>
      <w:r>
        <w:rPr>
          <w:rFonts w:ascii="Times New Roman" w:hAnsi="Times New Roman"/>
          <w:sz w:val="24"/>
          <w:szCs w:val="24"/>
        </w:rPr>
        <w:t xml:space="preserve"> </w:t>
      </w:r>
    </w:p>
    <w:p w14:paraId="0CE04CAE" w14:textId="77777777" w:rsidR="00EC1BFB" w:rsidRDefault="00EC1BFB" w:rsidP="00F326E5">
      <w:pPr>
        <w:pStyle w:val="NoSpacing"/>
        <w:rPr>
          <w:rFonts w:ascii="Arial Black" w:hAnsi="Arial Black"/>
          <w:sz w:val="24"/>
          <w:szCs w:val="24"/>
        </w:rPr>
      </w:pPr>
    </w:p>
    <w:p w14:paraId="16BD07C0" w14:textId="77777777" w:rsidR="00EC1BFB" w:rsidRDefault="00EC1BFB" w:rsidP="00EC1BFB">
      <w:pPr>
        <w:spacing w:before="100" w:beforeAutospacing="1" w:after="100" w:afterAutospacing="1" w:line="240" w:lineRule="auto"/>
        <w:rPr>
          <w:rFonts w:ascii="Times New Roman" w:hAnsi="Times New Roman"/>
          <w:b/>
          <w:bCs/>
          <w:sz w:val="24"/>
          <w:szCs w:val="24"/>
        </w:rPr>
      </w:pPr>
      <w:bookmarkStart w:id="595" w:name="_Hlk66950362"/>
      <w:r w:rsidRPr="00DA2B2C">
        <w:rPr>
          <w:rFonts w:ascii="Times New Roman" w:hAnsi="Times New Roman"/>
          <w:b/>
          <w:bCs/>
          <w:sz w:val="24"/>
          <w:szCs w:val="24"/>
        </w:rPr>
        <w:t>Legal Lesson Learned:</w:t>
      </w:r>
      <w:r>
        <w:rPr>
          <w:rFonts w:ascii="Times New Roman" w:hAnsi="Times New Roman"/>
          <w:b/>
          <w:bCs/>
          <w:sz w:val="24"/>
          <w:szCs w:val="24"/>
        </w:rPr>
        <w:t xml:space="preserve"> Chief officers must be careful to avoid using any terms that could be perceived as threatening. </w:t>
      </w:r>
    </w:p>
    <w:p w14:paraId="6CDF1D19" w14:textId="77777777" w:rsidR="00EC1BFB" w:rsidRPr="00DA2B2C" w:rsidRDefault="00EC1BFB" w:rsidP="00EC1BFB">
      <w:pPr>
        <w:pStyle w:val="NoSpacing"/>
        <w:ind w:left="720" w:firstLine="60"/>
        <w:rPr>
          <w:rFonts w:ascii="Times New Roman" w:hAnsi="Times New Roman"/>
          <w:sz w:val="24"/>
          <w:szCs w:val="24"/>
        </w:rPr>
      </w:pPr>
      <w:r w:rsidRPr="00DA2B2C">
        <w:rPr>
          <w:rFonts w:ascii="Times New Roman" w:hAnsi="Times New Roman"/>
          <w:sz w:val="24"/>
          <w:szCs w:val="24"/>
        </w:rPr>
        <w:t xml:space="preserve">Note: See article about this case.  “Appeals court rules in favor of city of Youngstown in firefighters' union dispute.” </w:t>
      </w:r>
      <w:r>
        <w:rPr>
          <w:rFonts w:ascii="Times New Roman" w:hAnsi="Times New Roman"/>
          <w:sz w:val="24"/>
          <w:szCs w:val="24"/>
        </w:rPr>
        <w:t xml:space="preserve">(March 3, 2021) </w:t>
      </w:r>
      <w:hyperlink r:id="rId2724" w:history="1">
        <w:r w:rsidRPr="00D60E44">
          <w:rPr>
            <w:rStyle w:val="Hyperlink"/>
            <w:sz w:val="24"/>
            <w:szCs w:val="24"/>
          </w:rPr>
          <w:t>https://www.wfmj.com/story/41405965/chief-working-under-last-chance-agreement-angers-youngstown-firefighters</w:t>
        </w:r>
      </w:hyperlink>
      <w:r w:rsidRPr="00DA2B2C">
        <w:rPr>
          <w:rFonts w:ascii="Times New Roman" w:hAnsi="Times New Roman"/>
          <w:sz w:val="24"/>
          <w:szCs w:val="24"/>
        </w:rPr>
        <w:t xml:space="preserve"> </w:t>
      </w:r>
    </w:p>
    <w:p w14:paraId="466C4BCE" w14:textId="77777777" w:rsidR="00EC1BFB" w:rsidRPr="0015474E" w:rsidRDefault="00EC1BFB" w:rsidP="00EC1BFB">
      <w:pPr>
        <w:spacing w:before="100" w:beforeAutospacing="1" w:after="100" w:afterAutospacing="1" w:line="240" w:lineRule="auto"/>
        <w:rPr>
          <w:rFonts w:ascii="Times New Roman" w:eastAsia="Times New Roman" w:hAnsi="Times New Roman"/>
          <w:sz w:val="24"/>
          <w:szCs w:val="24"/>
        </w:rPr>
      </w:pPr>
    </w:p>
    <w:p w14:paraId="50512281" w14:textId="77777777" w:rsidR="00EC1BFB" w:rsidRDefault="00EC1BFB" w:rsidP="00F326E5">
      <w:pPr>
        <w:pStyle w:val="NoSpacing"/>
        <w:rPr>
          <w:rFonts w:ascii="Arial Black" w:hAnsi="Arial Black"/>
          <w:sz w:val="24"/>
          <w:szCs w:val="24"/>
        </w:rPr>
      </w:pPr>
    </w:p>
    <w:p w14:paraId="13994F1D" w14:textId="77777777" w:rsidR="00EC1BFB" w:rsidRDefault="00EC1BFB" w:rsidP="00F326E5">
      <w:pPr>
        <w:pStyle w:val="NoSpacing"/>
        <w:rPr>
          <w:rFonts w:ascii="Arial Black" w:hAnsi="Arial Black"/>
          <w:sz w:val="24"/>
          <w:szCs w:val="24"/>
        </w:rPr>
      </w:pPr>
    </w:p>
    <w:p w14:paraId="7C709F7B" w14:textId="77777777" w:rsidR="00EC1BFB" w:rsidRDefault="00EC1BFB" w:rsidP="00F326E5">
      <w:pPr>
        <w:pStyle w:val="NoSpacing"/>
        <w:rPr>
          <w:rFonts w:ascii="Arial Black" w:hAnsi="Arial Black"/>
          <w:sz w:val="24"/>
          <w:szCs w:val="24"/>
        </w:rPr>
      </w:pPr>
    </w:p>
    <w:p w14:paraId="49957FE6" w14:textId="7B7CC3CE" w:rsidR="00EB2493" w:rsidRDefault="00EB2493" w:rsidP="00F326E5">
      <w:pPr>
        <w:pStyle w:val="NoSpacing"/>
        <w:rPr>
          <w:rFonts w:ascii="Arial Black" w:hAnsi="Arial Black"/>
          <w:sz w:val="24"/>
          <w:szCs w:val="24"/>
        </w:rPr>
      </w:pPr>
      <w:r>
        <w:rPr>
          <w:rFonts w:ascii="Arial Black" w:hAnsi="Arial Black"/>
          <w:sz w:val="24"/>
          <w:szCs w:val="24"/>
        </w:rPr>
        <w:t>16-51</w:t>
      </w:r>
    </w:p>
    <w:p w14:paraId="7EA31AA0" w14:textId="77777777" w:rsidR="00EB2493" w:rsidRPr="00EE15C8" w:rsidRDefault="00EB2493" w:rsidP="00EB2493">
      <w:pPr>
        <w:rPr>
          <w:rFonts w:ascii="Arial Black" w:hAnsi="Arial Black"/>
          <w:sz w:val="28"/>
          <w:szCs w:val="28"/>
        </w:rPr>
      </w:pPr>
      <w:r>
        <w:rPr>
          <w:rFonts w:ascii="Arial Black" w:hAnsi="Arial Black"/>
          <w:sz w:val="28"/>
          <w:szCs w:val="28"/>
        </w:rPr>
        <w:t xml:space="preserve">IL: HORSEPLAY – CHICAGO FF GRABBED GENITALS OF MEDIC PROBIE – FF FIRED – MEDIC’S FED. CASE DISMISSED </w:t>
      </w:r>
    </w:p>
    <w:p w14:paraId="52416462" w14:textId="77777777" w:rsidR="00EB2493" w:rsidRDefault="00EB2493" w:rsidP="00EB2493">
      <w:pPr>
        <w:rPr>
          <w:rFonts w:ascii="Times New Roman" w:hAnsi="Times New Roman"/>
          <w:sz w:val="24"/>
          <w:szCs w:val="24"/>
        </w:rPr>
      </w:pPr>
      <w:r w:rsidRPr="004377F8">
        <w:rPr>
          <w:rFonts w:ascii="Times New Roman" w:hAnsi="Times New Roman"/>
          <w:sz w:val="24"/>
          <w:szCs w:val="24"/>
        </w:rPr>
        <w:t xml:space="preserve">On Feb. 23, 2021, in </w:t>
      </w:r>
      <w:r w:rsidRPr="004377F8">
        <w:rPr>
          <w:rFonts w:ascii="Times New Roman" w:hAnsi="Times New Roman"/>
          <w:sz w:val="24"/>
          <w:szCs w:val="24"/>
          <w:u w:val="single"/>
        </w:rPr>
        <w:t>Patrick Blake v, William Regan and The City of Chicago</w:t>
      </w:r>
      <w:r>
        <w:rPr>
          <w:rFonts w:ascii="Times New Roman" w:hAnsi="Times New Roman"/>
          <w:sz w:val="24"/>
          <w:szCs w:val="24"/>
        </w:rPr>
        <w:t xml:space="preserve">, U.S. District Court Judge Manish S. Shan, U.S. District Court for the Northern District of Illinois (Eastern Division), granted the defendants’ motion to dismiss; horseplay conduct was basis of discipline, improper, but facts don’t support a Federal claim of “deprivation of constitutional rights.” </w:t>
      </w:r>
    </w:p>
    <w:bookmarkEnd w:id="595"/>
    <w:p w14:paraId="31B4F1F9" w14:textId="77777777" w:rsidR="00EB2493" w:rsidRDefault="00EB2493" w:rsidP="00EB2493">
      <w:pPr>
        <w:ind w:left="720"/>
        <w:rPr>
          <w:rFonts w:ascii="Times New Roman" w:hAnsi="Times New Roman"/>
          <w:sz w:val="24"/>
          <w:szCs w:val="24"/>
        </w:rPr>
      </w:pPr>
      <w:r>
        <w:rPr>
          <w:rFonts w:ascii="Times New Roman" w:hAnsi="Times New Roman"/>
          <w:sz w:val="24"/>
          <w:szCs w:val="24"/>
        </w:rPr>
        <w:t>“</w:t>
      </w:r>
      <w:r w:rsidRPr="004377F8">
        <w:rPr>
          <w:rFonts w:ascii="Times New Roman" w:hAnsi="Times New Roman"/>
          <w:sz w:val="24"/>
          <w:szCs w:val="24"/>
        </w:rPr>
        <w:t xml:space="preserve">After Chicago firefighter William Regan was found not guilty of battery in state court, former paramedic-trainee Patrick Blake filed this Section 1983 lawsuit against Regan, alleging that Regan seized Blake in violation of the Fourth Amendment when Regan grabbed Blake's genitals. Blake also filed </w:t>
      </w:r>
      <w:r w:rsidRPr="004377F8">
        <w:rPr>
          <w:rFonts w:ascii="Times New Roman" w:hAnsi="Times New Roman"/>
          <w:i/>
          <w:iCs/>
          <w:sz w:val="24"/>
          <w:szCs w:val="24"/>
        </w:rPr>
        <w:t>Monell</w:t>
      </w:r>
      <w:r w:rsidRPr="004377F8">
        <w:rPr>
          <w:rFonts w:ascii="Times New Roman" w:hAnsi="Times New Roman"/>
          <w:sz w:val="24"/>
          <w:szCs w:val="24"/>
        </w:rPr>
        <w:t xml:space="preserve"> and indemnification claims against Regan's employer, the City of Chicago. For the reasons stated below, the defendants' motions to dismiss are granted.</w:t>
      </w:r>
    </w:p>
    <w:p w14:paraId="05B3A64B" w14:textId="77777777" w:rsidR="00EB2493" w:rsidRPr="004377F8" w:rsidRDefault="00EB2493" w:rsidP="00EB2493">
      <w:pPr>
        <w:ind w:left="720"/>
        <w:rPr>
          <w:rFonts w:ascii="Times New Roman" w:hAnsi="Times New Roman"/>
          <w:sz w:val="24"/>
          <w:szCs w:val="24"/>
        </w:rPr>
      </w:pPr>
      <w:r>
        <w:rPr>
          <w:rFonts w:ascii="Times New Roman" w:hAnsi="Times New Roman"/>
          <w:sz w:val="24"/>
          <w:szCs w:val="24"/>
        </w:rPr>
        <w:t>***</w:t>
      </w:r>
    </w:p>
    <w:p w14:paraId="57FF2DA3" w14:textId="77777777" w:rsidR="00EB2493" w:rsidRDefault="00EB2493" w:rsidP="00EB2493">
      <w:pPr>
        <w:ind w:left="720"/>
        <w:rPr>
          <w:rFonts w:ascii="Times New Roman" w:hAnsi="Times New Roman"/>
          <w:sz w:val="24"/>
          <w:szCs w:val="24"/>
        </w:rPr>
      </w:pPr>
      <w:r w:rsidRPr="004377F8">
        <w:rPr>
          <w:rFonts w:ascii="Times New Roman" w:hAnsi="Times New Roman"/>
          <w:sz w:val="24"/>
          <w:szCs w:val="24"/>
        </w:rPr>
        <w:t>Since Blake fails to allege a deprivation of constitutional rights under color of state law, his § 1983 claims against Regan and the City of Chicago fail.</w:t>
      </w:r>
    </w:p>
    <w:p w14:paraId="7386AE5D" w14:textId="77777777" w:rsidR="00EB2493" w:rsidRDefault="00EB2493" w:rsidP="00EB2493">
      <w:pPr>
        <w:ind w:left="720"/>
        <w:rPr>
          <w:rFonts w:ascii="Times New Roman" w:hAnsi="Times New Roman"/>
          <w:sz w:val="24"/>
          <w:szCs w:val="24"/>
        </w:rPr>
      </w:pPr>
      <w:r>
        <w:rPr>
          <w:rFonts w:ascii="Times New Roman" w:hAnsi="Times New Roman"/>
          <w:sz w:val="24"/>
          <w:szCs w:val="24"/>
        </w:rPr>
        <w:t>***</w:t>
      </w:r>
    </w:p>
    <w:p w14:paraId="10DC120F" w14:textId="77777777" w:rsidR="00EB2493" w:rsidRDefault="00EB2493" w:rsidP="00EB2493">
      <w:pPr>
        <w:pStyle w:val="NormalWeb"/>
        <w:ind w:left="720"/>
      </w:pPr>
      <w:r>
        <w:t xml:space="preserve">The allegations of the complaint make it certain that Blake was free to </w:t>
      </w:r>
      <w:proofErr w:type="gramStart"/>
      <w:r>
        <w:t>leave</w:t>
      </w:r>
      <w:proofErr w:type="gramEnd"/>
      <w:r>
        <w:t xml:space="preserve"> and Regan acted out of private authority. Blake's § 1983 claims against Regan and the City are dismissed with </w:t>
      </w:r>
      <w:proofErr w:type="spellStart"/>
      <w:r>
        <w:t>prejudice.</w:t>
      </w:r>
      <w:hyperlink r:id="rId2725" w:anchor="fr7" w:history="1">
        <w:r w:rsidR="00814FB6">
          <w:rPr>
            <w:rStyle w:val="Hyperlink"/>
            <w:rFonts w:ascii="Calibri" w:eastAsia="Calibri" w:hAnsi="Calibri"/>
            <w:sz w:val="22"/>
            <w:szCs w:val="22"/>
          </w:rPr>
          <w:t>https</w:t>
        </w:r>
        <w:proofErr w:type="spellEnd"/>
        <w:r w:rsidR="00814FB6">
          <w:rPr>
            <w:rStyle w:val="Hyperlink"/>
            <w:rFonts w:ascii="Calibri" w:eastAsia="Calibri" w:hAnsi="Calibri"/>
            <w:sz w:val="22"/>
            <w:szCs w:val="22"/>
          </w:rPr>
          <w:t>://public.fastcase.com/ - fr7</w:t>
        </w:r>
      </w:hyperlink>
      <w:r>
        <w:rPr>
          <w:sz w:val="20"/>
          <w:szCs w:val="20"/>
          <w:vertAlign w:val="superscript"/>
        </w:rPr>
        <w:t xml:space="preserve"> </w:t>
      </w:r>
      <w:r>
        <w:t xml:space="preserve"> Blake's state-law indemnification claim is based on the same conduct as his constitutional claim. A tort judgment is a prerequisite to any claim of payment under the Illinois Tort Immunity Act, and Blake cannot obtain one if he fails to allege </w:t>
      </w:r>
      <w:proofErr w:type="gramStart"/>
      <w:r>
        <w:t>a constitutional</w:t>
      </w:r>
      <w:proofErr w:type="gramEnd"/>
      <w:r>
        <w:t xml:space="preserve"> tort. </w:t>
      </w:r>
      <w:r>
        <w:rPr>
          <w:i/>
          <w:iCs/>
        </w:rPr>
        <w:t>See</w:t>
      </w:r>
      <w:r>
        <w:t xml:space="preserve"> 745 ILCS § 10/9-102.</w:t>
      </w:r>
      <w:r>
        <w:rPr>
          <w:sz w:val="20"/>
          <w:szCs w:val="20"/>
          <w:vertAlign w:val="superscript"/>
        </w:rPr>
        <w:t xml:space="preserve"> </w:t>
      </w:r>
      <w:r>
        <w:t xml:space="preserve"> </w:t>
      </w:r>
      <w:bookmarkStart w:id="596" w:name="_Hlk66950392"/>
      <w:r w:rsidR="00F00958">
        <w:fldChar w:fldCharType="begin"/>
      </w:r>
      <w:r w:rsidR="00F00958">
        <w:instrText xml:space="preserve"> HYPERLINK "https://cases.justia.com/federal/district-courts/illinois/ilndce/1:2020cv04065/377664/27/0.pdf" </w:instrText>
      </w:r>
      <w:r w:rsidR="00F00958">
        <w:fldChar w:fldCharType="separate"/>
      </w:r>
      <w:r w:rsidRPr="00800310">
        <w:rPr>
          <w:rStyle w:val="Hyperlink"/>
        </w:rPr>
        <w:t>https://cases.justia.com/federal/district-courts/illinois/ilndce/1:2020cv04065/377664/27/0.pdf</w:t>
      </w:r>
      <w:r w:rsidR="00F00958">
        <w:rPr>
          <w:rStyle w:val="Hyperlink"/>
        </w:rPr>
        <w:fldChar w:fldCharType="end"/>
      </w:r>
      <w:r>
        <w:t xml:space="preserve"> </w:t>
      </w:r>
    </w:p>
    <w:p w14:paraId="0DA4A54D" w14:textId="77777777" w:rsidR="00EB2493" w:rsidRDefault="00EB2493" w:rsidP="00EB2493">
      <w:pPr>
        <w:pStyle w:val="NormalWeb"/>
      </w:pPr>
      <w:r w:rsidRPr="00192F79">
        <w:rPr>
          <w:b/>
          <w:bCs/>
        </w:rPr>
        <w:t>Legal Lesson Learned:</w:t>
      </w:r>
      <w:r>
        <w:rPr>
          <w:b/>
          <w:bCs/>
        </w:rPr>
        <w:t xml:space="preserve"> Horseplay in this case crossed the line; what a terrible example of inappropriate conduct by a training officer. </w:t>
      </w:r>
    </w:p>
    <w:bookmarkEnd w:id="596"/>
    <w:p w14:paraId="5DC2361F" w14:textId="77777777" w:rsidR="00EB2493" w:rsidRDefault="00EB2493" w:rsidP="00F326E5">
      <w:pPr>
        <w:pStyle w:val="NoSpacing"/>
        <w:rPr>
          <w:rFonts w:ascii="Arial Black" w:hAnsi="Arial Black"/>
          <w:sz w:val="24"/>
          <w:szCs w:val="24"/>
        </w:rPr>
      </w:pPr>
    </w:p>
    <w:p w14:paraId="673C9AF3" w14:textId="77777777" w:rsidR="00EB2493" w:rsidRDefault="00EB2493" w:rsidP="00F326E5">
      <w:pPr>
        <w:pStyle w:val="NoSpacing"/>
        <w:rPr>
          <w:rFonts w:ascii="Arial Black" w:hAnsi="Arial Black"/>
          <w:sz w:val="24"/>
          <w:szCs w:val="24"/>
        </w:rPr>
      </w:pPr>
    </w:p>
    <w:p w14:paraId="7F1F2584" w14:textId="77777777" w:rsidR="00EB2493" w:rsidRDefault="00EB2493" w:rsidP="00F326E5">
      <w:pPr>
        <w:pStyle w:val="NoSpacing"/>
        <w:rPr>
          <w:rFonts w:ascii="Arial Black" w:hAnsi="Arial Black"/>
          <w:sz w:val="24"/>
          <w:szCs w:val="24"/>
        </w:rPr>
      </w:pPr>
    </w:p>
    <w:p w14:paraId="37342B32" w14:textId="1B113B5D" w:rsidR="00AD5461" w:rsidRDefault="00AD5461" w:rsidP="00F326E5">
      <w:pPr>
        <w:pStyle w:val="NoSpacing"/>
        <w:rPr>
          <w:rFonts w:ascii="Arial Black" w:hAnsi="Arial Black"/>
          <w:sz w:val="24"/>
          <w:szCs w:val="24"/>
        </w:rPr>
      </w:pPr>
      <w:bookmarkStart w:id="597" w:name="_Hlk66950424"/>
      <w:r>
        <w:rPr>
          <w:rFonts w:ascii="Arial Black" w:hAnsi="Arial Black"/>
          <w:sz w:val="24"/>
          <w:szCs w:val="24"/>
        </w:rPr>
        <w:t>16-50</w:t>
      </w:r>
    </w:p>
    <w:p w14:paraId="76AD4517" w14:textId="77777777" w:rsidR="00AD5461" w:rsidRPr="005B755E" w:rsidRDefault="00AD5461" w:rsidP="00AD5461">
      <w:pPr>
        <w:pStyle w:val="NoSpacing"/>
        <w:rPr>
          <w:rFonts w:ascii="Arial Black" w:hAnsi="Arial Black"/>
          <w:sz w:val="28"/>
          <w:szCs w:val="28"/>
        </w:rPr>
      </w:pPr>
      <w:r>
        <w:rPr>
          <w:rFonts w:ascii="Arial Black" w:hAnsi="Arial Black"/>
          <w:sz w:val="28"/>
          <w:szCs w:val="28"/>
        </w:rPr>
        <w:t>IL: FD CAPTAIN DRUGGED YOUNG MALE FF WITH CIALIS AND KETAMINE – SEX ASSAULT - 36 YEARS IN PRISON</w:t>
      </w:r>
    </w:p>
    <w:p w14:paraId="7040843B" w14:textId="77777777" w:rsidR="00AD5461" w:rsidRDefault="00AD5461" w:rsidP="00AD5461">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On Jan. 22, 2021, in </w:t>
      </w:r>
      <w:r w:rsidRPr="005B755E">
        <w:rPr>
          <w:rFonts w:ascii="Times New Roman" w:hAnsi="Times New Roman"/>
          <w:sz w:val="24"/>
          <w:szCs w:val="24"/>
          <w:u w:val="single"/>
        </w:rPr>
        <w:t>The People of The State of Illinois v. David J. Dunn</w:t>
      </w:r>
      <w:r>
        <w:rPr>
          <w:rFonts w:ascii="Times New Roman" w:hAnsi="Times New Roman"/>
          <w:sz w:val="24"/>
          <w:szCs w:val="24"/>
        </w:rPr>
        <w:t xml:space="preserve">, the Illinois Court of Appeals for the Fourth District, </w:t>
      </w:r>
      <w:r w:rsidRPr="00172C02">
        <w:rPr>
          <w:rFonts w:ascii="Times New Roman" w:eastAsia="Times New Roman" w:hAnsi="Times New Roman"/>
          <w:sz w:val="24"/>
          <w:szCs w:val="24"/>
        </w:rPr>
        <w:t>2021 IL App (4th) 180552-U</w:t>
      </w:r>
      <w:r>
        <w:rPr>
          <w:rFonts w:ascii="Times New Roman" w:eastAsia="Times New Roman" w:hAnsi="Times New Roman"/>
          <w:sz w:val="24"/>
          <w:szCs w:val="24"/>
        </w:rPr>
        <w:t xml:space="preserve">, </w:t>
      </w:r>
      <w:r>
        <w:rPr>
          <w:rFonts w:ascii="Times New Roman" w:hAnsi="Times New Roman"/>
          <w:sz w:val="24"/>
          <w:szCs w:val="24"/>
        </w:rPr>
        <w:t xml:space="preserve">held (3 to 0) that jury properly convicted the Captain; at his going away party, before leaving to Alaska to become a Fire Chief, he put Cialis in victim’s beer, and then ketamine, and videotaped his assaulting the victim. </w:t>
      </w:r>
    </w:p>
    <w:bookmarkEnd w:id="597"/>
    <w:p w14:paraId="761DB574" w14:textId="77777777" w:rsidR="00AD5461" w:rsidRPr="005B755E" w:rsidRDefault="00AD5461" w:rsidP="00AD5461">
      <w:pPr>
        <w:spacing w:before="100" w:beforeAutospacing="1" w:after="100" w:afterAutospacing="1" w:line="240" w:lineRule="auto"/>
        <w:ind w:left="720"/>
        <w:rPr>
          <w:rFonts w:ascii="Times New Roman" w:hAnsi="Times New Roman"/>
          <w:sz w:val="24"/>
          <w:szCs w:val="24"/>
        </w:rPr>
      </w:pPr>
      <w:r w:rsidRPr="005B755E">
        <w:rPr>
          <w:rFonts w:ascii="Times New Roman" w:hAnsi="Times New Roman"/>
          <w:sz w:val="24"/>
          <w:szCs w:val="24"/>
        </w:rPr>
        <w:lastRenderedPageBreak/>
        <w:t xml:space="preserve">"Based upon the testimony, the evidence presented at trial, at some point in the evening in question, this defendant, by his own admission, put Cialis in the victim's beer. That was obviously designed for one purpose and one purpose only. The victim became intoxicated, the defendant then introduced ketamine into his system, and when the crowd dispersed, the defendant raped the victim and videotaped it, that reprehensible, deplorable offense. </w:t>
      </w:r>
      <w:proofErr w:type="gramStart"/>
      <w:r w:rsidRPr="005B755E">
        <w:rPr>
          <w:rFonts w:ascii="Times New Roman" w:hAnsi="Times New Roman"/>
          <w:sz w:val="24"/>
          <w:szCs w:val="24"/>
        </w:rPr>
        <w:t>So</w:t>
      </w:r>
      <w:proofErr w:type="gramEnd"/>
      <w:r w:rsidRPr="005B755E">
        <w:rPr>
          <w:rFonts w:ascii="Times New Roman" w:hAnsi="Times New Roman"/>
          <w:sz w:val="24"/>
          <w:szCs w:val="24"/>
        </w:rPr>
        <w:t xml:space="preserve"> the history, character, and condition of the defendant, in looking at the circumstances surrounding the offense, indicates that a sentence in excess of the minimum on counts three and four is appropriate."</w:t>
      </w:r>
      <w:r>
        <w:rPr>
          <w:rFonts w:ascii="Times New Roman" w:hAnsi="Times New Roman"/>
          <w:sz w:val="24"/>
          <w:szCs w:val="24"/>
        </w:rPr>
        <w:t xml:space="preserve"> </w:t>
      </w:r>
      <w:bookmarkStart w:id="598" w:name="_Hlk66950453"/>
      <w:r w:rsidR="00F00958">
        <w:fldChar w:fldCharType="begin"/>
      </w:r>
      <w:r w:rsidR="00F00958">
        <w:instrText xml:space="preserve"> HYPERLINK "https://courts.illinois.gov/R23_Orders/AppellateCourt/2021/4thDistrict/4180552_R23.pdf" </w:instrText>
      </w:r>
      <w:r w:rsidR="00F00958">
        <w:fldChar w:fldCharType="separate"/>
      </w:r>
      <w:r w:rsidRPr="00490C3C">
        <w:rPr>
          <w:rStyle w:val="Hyperlink"/>
          <w:rFonts w:ascii="Times New Roman" w:hAnsi="Times New Roman"/>
          <w:sz w:val="24"/>
          <w:szCs w:val="24"/>
        </w:rPr>
        <w:t>https://courts.illinois.gov/R23_Orders/AppellateCourt/2021/4thDistrict/4180552_R23.pdf</w:t>
      </w:r>
      <w:r w:rsidR="00F00958">
        <w:rPr>
          <w:rStyle w:val="Hyperlink"/>
          <w:rFonts w:ascii="Times New Roman" w:hAnsi="Times New Roman"/>
          <w:sz w:val="24"/>
          <w:szCs w:val="24"/>
        </w:rPr>
        <w:fldChar w:fldCharType="end"/>
      </w:r>
      <w:r>
        <w:rPr>
          <w:rFonts w:ascii="Times New Roman" w:hAnsi="Times New Roman"/>
          <w:sz w:val="24"/>
          <w:szCs w:val="24"/>
        </w:rPr>
        <w:t xml:space="preserve"> </w:t>
      </w:r>
    </w:p>
    <w:p w14:paraId="6112B883" w14:textId="77777777" w:rsidR="00AD5461" w:rsidRDefault="00AD5461" w:rsidP="00AD5461">
      <w:pPr>
        <w:pStyle w:val="NoSpacing"/>
        <w:rPr>
          <w:rFonts w:ascii="Times New Roman" w:hAnsi="Times New Roman"/>
          <w:b/>
          <w:bCs/>
          <w:sz w:val="24"/>
          <w:szCs w:val="24"/>
        </w:rPr>
      </w:pPr>
      <w:r w:rsidRPr="00172C02">
        <w:rPr>
          <w:rFonts w:ascii="Times New Roman" w:hAnsi="Times New Roman"/>
          <w:b/>
          <w:bCs/>
          <w:sz w:val="24"/>
          <w:szCs w:val="24"/>
        </w:rPr>
        <w:t>Legal Lesson Learned:</w:t>
      </w:r>
      <w:r>
        <w:rPr>
          <w:rFonts w:ascii="Times New Roman" w:hAnsi="Times New Roman"/>
          <w:b/>
          <w:bCs/>
          <w:sz w:val="24"/>
          <w:szCs w:val="24"/>
        </w:rPr>
        <w:t xml:space="preserve">  The 36-year sentence reflects the seriousness of the defendant’s conduct. </w:t>
      </w:r>
    </w:p>
    <w:bookmarkEnd w:id="598"/>
    <w:p w14:paraId="3993D05D" w14:textId="77777777" w:rsidR="00AD5461" w:rsidRDefault="00AD5461" w:rsidP="00F326E5">
      <w:pPr>
        <w:pStyle w:val="NoSpacing"/>
        <w:rPr>
          <w:rFonts w:ascii="Arial Black" w:hAnsi="Arial Black"/>
          <w:sz w:val="24"/>
          <w:szCs w:val="24"/>
        </w:rPr>
      </w:pPr>
    </w:p>
    <w:p w14:paraId="63C33ABC" w14:textId="77777777" w:rsidR="00AD5461" w:rsidRDefault="00AD5461" w:rsidP="00F326E5">
      <w:pPr>
        <w:pStyle w:val="NoSpacing"/>
        <w:rPr>
          <w:rFonts w:ascii="Arial Black" w:hAnsi="Arial Black"/>
          <w:sz w:val="24"/>
          <w:szCs w:val="24"/>
        </w:rPr>
      </w:pPr>
    </w:p>
    <w:p w14:paraId="5186A85F" w14:textId="77777777" w:rsidR="00AD5461" w:rsidRDefault="00AD5461" w:rsidP="00F326E5">
      <w:pPr>
        <w:pStyle w:val="NoSpacing"/>
        <w:rPr>
          <w:rFonts w:ascii="Arial Black" w:hAnsi="Arial Black"/>
          <w:sz w:val="24"/>
          <w:szCs w:val="24"/>
        </w:rPr>
      </w:pPr>
    </w:p>
    <w:p w14:paraId="2AECD8FD" w14:textId="53B13D39" w:rsidR="00F20BCE" w:rsidRPr="00AD5461" w:rsidRDefault="00F20BCE" w:rsidP="00F326E5">
      <w:pPr>
        <w:pStyle w:val="NoSpacing"/>
        <w:rPr>
          <w:rFonts w:ascii="Times New Roman" w:hAnsi="Times New Roman"/>
          <w:sz w:val="24"/>
          <w:szCs w:val="24"/>
        </w:rPr>
      </w:pPr>
      <w:r>
        <w:rPr>
          <w:rFonts w:ascii="Arial Black" w:hAnsi="Arial Black"/>
          <w:sz w:val="24"/>
          <w:szCs w:val="24"/>
        </w:rPr>
        <w:t xml:space="preserve">16-49 </w:t>
      </w:r>
      <w:r w:rsidRPr="00AD5461">
        <w:rPr>
          <w:rFonts w:ascii="Times New Roman" w:hAnsi="Times New Roman"/>
          <w:sz w:val="24"/>
          <w:szCs w:val="24"/>
        </w:rPr>
        <w:t>[also filed, Chap. 6]</w:t>
      </w:r>
    </w:p>
    <w:p w14:paraId="6F437A34" w14:textId="77777777" w:rsidR="00F20BCE" w:rsidRDefault="00F20BCE" w:rsidP="00F20BCE">
      <w:pPr>
        <w:spacing w:before="100" w:beforeAutospacing="1" w:after="100" w:afterAutospacing="1" w:line="240" w:lineRule="auto"/>
        <w:rPr>
          <w:rFonts w:ascii="Arial Black" w:hAnsi="Arial Black" w:cstheme="minorBidi"/>
          <w:sz w:val="28"/>
          <w:szCs w:val="28"/>
        </w:rPr>
      </w:pPr>
      <w:r>
        <w:rPr>
          <w:rFonts w:ascii="Arial Black" w:hAnsi="Arial Black"/>
          <w:sz w:val="28"/>
          <w:szCs w:val="28"/>
        </w:rPr>
        <w:t>MA: INTERNAL INVEST. OF TREASURER - EMPLOYEES PROVIDE INFO – PROTECTED FROM DEFAMATION – NO SPITE OR ILL WILL</w:t>
      </w:r>
    </w:p>
    <w:p w14:paraId="0AB3FCF4" w14:textId="77777777" w:rsidR="00F20BCE" w:rsidRDefault="00F20BCE" w:rsidP="00F20BCE">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On Dec. 10, 2020, in </w:t>
      </w:r>
      <w:r>
        <w:rPr>
          <w:rFonts w:ascii="Times New Roman" w:hAnsi="Times New Roman"/>
          <w:sz w:val="24"/>
          <w:szCs w:val="24"/>
          <w:u w:val="single"/>
        </w:rPr>
        <w:t>Diane Lawless v, Cheryl Estrella</w:t>
      </w:r>
      <w:r>
        <w:rPr>
          <w:rFonts w:ascii="Times New Roman" w:hAnsi="Times New Roman"/>
          <w:sz w:val="24"/>
          <w:szCs w:val="24"/>
        </w:rPr>
        <w:t xml:space="preserve">, the Massachusetts Court of Appeals held (3 to 0) that the trial court properly granted summary judgment and dismissed the lawsuit filed by the former Town Treasurer against a Senior Clerk who provided investigators with a 6-page e-mail documenting misconduct by the Treasurer. </w:t>
      </w:r>
    </w:p>
    <w:p w14:paraId="35FBCB06" w14:textId="77777777" w:rsidR="00F20BCE" w:rsidRDefault="00F20BCE" w:rsidP="00F20BCE">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 xml:space="preserve">“We conclude that an opinion based on disclosed, nondefamatory facts is not defamatory and that many of the allegedly defamatory statements constitute such opinions. Further concluding that an employee has a conditional privilege to provide information concerning another employee upon the request of a supervisor and that the plaintiff failed to raise a genuine issue of material fact that would allow a jury to find that this privilege was abused regarding the other statements, we affirm.” </w:t>
      </w:r>
      <w:hyperlink r:id="rId2726" w:history="1">
        <w:r>
          <w:rPr>
            <w:rStyle w:val="Hyperlink"/>
          </w:rPr>
          <w:t>https://www.massmunilaw.org/wp-content/uploads/2020/12/DIANE-LAWLESS-v.-CHERYL-ESTRELLA.pdf</w:t>
        </w:r>
      </w:hyperlink>
      <w:r>
        <w:rPr>
          <w:rFonts w:ascii="Times New Roman" w:hAnsi="Times New Roman"/>
          <w:sz w:val="24"/>
          <w:szCs w:val="24"/>
        </w:rPr>
        <w:t xml:space="preserve"> </w:t>
      </w:r>
    </w:p>
    <w:p w14:paraId="3A575859" w14:textId="77777777" w:rsidR="00F20BCE" w:rsidRDefault="00F20BCE" w:rsidP="00F20BCE">
      <w:pPr>
        <w:spacing w:before="100" w:beforeAutospacing="1" w:after="100" w:afterAutospacing="1" w:line="240" w:lineRule="auto"/>
        <w:rPr>
          <w:rFonts w:ascii="Times New Roman" w:hAnsi="Times New Roman"/>
          <w:b/>
          <w:bCs/>
          <w:sz w:val="24"/>
          <w:szCs w:val="24"/>
        </w:rPr>
      </w:pPr>
      <w:r>
        <w:rPr>
          <w:rFonts w:ascii="Times New Roman" w:hAnsi="Times New Roman"/>
          <w:b/>
          <w:bCs/>
          <w:sz w:val="24"/>
          <w:szCs w:val="24"/>
        </w:rPr>
        <w:t>Legal Lesson Learned: Internal investigations of a public official will often involve co-workers providing statements.  The “conditional privilege” is an important protection of these co-workers.</w:t>
      </w:r>
    </w:p>
    <w:p w14:paraId="43E52121" w14:textId="77777777" w:rsidR="00F20BCE" w:rsidRDefault="00F20BCE" w:rsidP="00F20BCE">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 xml:space="preserve">Note: The Court of Appeals referenced a Fire Department case where a co-worker also enjoyed protection from defamation lawsuit under the “conditional privilege.”  Kevin Barrows v. Wareham Fire District (Mass Court of Appeals; Oct. 12, 2012). </w:t>
      </w:r>
      <w:hyperlink r:id="rId2727" w:history="1">
        <w:r>
          <w:rPr>
            <w:rStyle w:val="Hyperlink"/>
          </w:rPr>
          <w:t>http://masscases.com/cases/app/82/82massappct623.html</w:t>
        </w:r>
      </w:hyperlink>
      <w:r>
        <w:t xml:space="preserve"> </w:t>
      </w:r>
    </w:p>
    <w:p w14:paraId="38E9753D" w14:textId="77777777" w:rsidR="00F20BCE" w:rsidRDefault="00F20BCE" w:rsidP="00F326E5">
      <w:pPr>
        <w:pStyle w:val="NoSpacing"/>
        <w:rPr>
          <w:rFonts w:ascii="Arial Black" w:hAnsi="Arial Black"/>
          <w:sz w:val="24"/>
          <w:szCs w:val="24"/>
        </w:rPr>
      </w:pPr>
    </w:p>
    <w:p w14:paraId="7C1B0B49" w14:textId="654744B4" w:rsidR="00F20BCE" w:rsidRDefault="00F20BCE" w:rsidP="00F326E5">
      <w:pPr>
        <w:pStyle w:val="NoSpacing"/>
        <w:rPr>
          <w:rFonts w:ascii="Arial Black" w:hAnsi="Arial Black"/>
          <w:sz w:val="24"/>
          <w:szCs w:val="24"/>
        </w:rPr>
      </w:pPr>
      <w:r>
        <w:rPr>
          <w:rFonts w:ascii="Arial Black" w:hAnsi="Arial Black"/>
          <w:sz w:val="24"/>
          <w:szCs w:val="24"/>
        </w:rPr>
        <w:t>16-48</w:t>
      </w:r>
    </w:p>
    <w:p w14:paraId="0A5DFC25" w14:textId="77777777" w:rsidR="00F20BCE" w:rsidRDefault="00F20BCE" w:rsidP="00F20BCE">
      <w:pPr>
        <w:spacing w:before="100" w:beforeAutospacing="1" w:after="100" w:afterAutospacing="1" w:line="240" w:lineRule="auto"/>
        <w:rPr>
          <w:rFonts w:ascii="Arial Black" w:eastAsiaTheme="minorHAnsi" w:hAnsi="Arial Black" w:cstheme="minorBidi"/>
          <w:sz w:val="28"/>
          <w:szCs w:val="28"/>
        </w:rPr>
      </w:pPr>
      <w:r>
        <w:rPr>
          <w:rFonts w:ascii="Arial Black" w:hAnsi="Arial Black"/>
          <w:sz w:val="28"/>
          <w:szCs w:val="28"/>
        </w:rPr>
        <w:t>OH: FF FIRED - FACEBOOK POSTS, TURNOUT GEAR, BAD GRANT DATA – TOWNSHIP CAN FIRE WITHOUT FIRE CHIEF RECOMM.</w:t>
      </w:r>
    </w:p>
    <w:p w14:paraId="529EC153" w14:textId="77777777" w:rsidR="00F20BCE" w:rsidRDefault="00F20BCE" w:rsidP="00F20BCE">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On Nov. 25, 2020, in </w:t>
      </w:r>
      <w:r>
        <w:rPr>
          <w:rFonts w:ascii="Times New Roman" w:hAnsi="Times New Roman"/>
          <w:sz w:val="24"/>
          <w:szCs w:val="24"/>
          <w:u w:val="single"/>
        </w:rPr>
        <w:t>Karl D. Gerhart v. Union Township Board of Trustees</w:t>
      </w:r>
      <w:r>
        <w:rPr>
          <w:rFonts w:ascii="Times New Roman" w:hAnsi="Times New Roman"/>
          <w:sz w:val="24"/>
          <w:szCs w:val="24"/>
        </w:rPr>
        <w:t xml:space="preserve">, the Court of Appeals of Ohio, Fourth Appellate District (Ross County), 2020 Ohio 5615, held (3 to 0) that the firefighter was properly fired by the Township under Ohio Revised Code, even if the FD’s manual calls for the Fire Chief to recommend termination. </w:t>
      </w:r>
    </w:p>
    <w:p w14:paraId="2F6B7B99" w14:textId="77777777" w:rsidR="00F20BCE" w:rsidRDefault="00F20BCE" w:rsidP="00F20BCE">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lastRenderedPageBreak/>
        <w:t xml:space="preserve">“[Defendant] thus argues that the disciplinary manual required the chief to recommend to the board of trustees his removal.  </w:t>
      </w:r>
    </w:p>
    <w:p w14:paraId="49716C61" w14:textId="77777777" w:rsidR="00F20BCE" w:rsidRDefault="00F20BCE" w:rsidP="00F20BCE">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R.C. 505.38 provides for the removal of firefighters in accordance with R.C. 733.35. R.C. 733.35 provides that a firefighter may be removed if he ‘has been guilty, in the performance of his official duty, of bribery, misfeasance, malfeasance, nonfeasance, misconduct in office, gross neglect of duty, gross immorality, or habitual drunkenness.’</w:t>
      </w:r>
    </w:p>
    <w:p w14:paraId="1F57B03D" w14:textId="77777777" w:rsidR="00F20BCE" w:rsidRDefault="00F20BCE" w:rsidP="00F20BCE">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 xml:space="preserve">In the case sub judice, the board of trustees’ cited reasons for terminating appellant tracks the language contained in R.C. 733.35, i.e., misfeasance, malfeasance, and misconduct in office.” </w:t>
      </w:r>
      <w:hyperlink r:id="rId2728" w:history="1">
        <w:r>
          <w:rPr>
            <w:rStyle w:val="Hyperlink"/>
          </w:rPr>
          <w:t>https://www.supremecourt.ohio.gov/rod/docs/pdf/4/2020/2020-Ohio-5615.pdf</w:t>
        </w:r>
      </w:hyperlink>
      <w:r>
        <w:rPr>
          <w:rFonts w:ascii="Times New Roman" w:hAnsi="Times New Roman"/>
          <w:sz w:val="24"/>
          <w:szCs w:val="24"/>
        </w:rPr>
        <w:t xml:space="preserve"> </w:t>
      </w:r>
    </w:p>
    <w:p w14:paraId="63AA2E38" w14:textId="77777777" w:rsidR="00F20BCE" w:rsidRDefault="00F20BCE" w:rsidP="00F20BCE">
      <w:pP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 xml:space="preserve">Legal Lesson Learned: The evidence presented to the Township Trustees supported his termination. </w:t>
      </w:r>
    </w:p>
    <w:p w14:paraId="13D26AF5" w14:textId="77777777" w:rsidR="00F20BCE" w:rsidRDefault="00F20BCE" w:rsidP="00F326E5">
      <w:pPr>
        <w:pStyle w:val="NoSpacing"/>
        <w:rPr>
          <w:rFonts w:ascii="Arial Black" w:hAnsi="Arial Black"/>
          <w:sz w:val="24"/>
          <w:szCs w:val="24"/>
        </w:rPr>
      </w:pPr>
    </w:p>
    <w:p w14:paraId="1A434715" w14:textId="77777777" w:rsidR="00F20BCE" w:rsidRDefault="00F20BCE" w:rsidP="00F326E5">
      <w:pPr>
        <w:pStyle w:val="NoSpacing"/>
        <w:rPr>
          <w:rFonts w:ascii="Arial Black" w:hAnsi="Arial Black"/>
          <w:sz w:val="24"/>
          <w:szCs w:val="24"/>
        </w:rPr>
      </w:pPr>
    </w:p>
    <w:p w14:paraId="4E93B618" w14:textId="348CD7E5" w:rsidR="00663A6A" w:rsidRDefault="00663A6A" w:rsidP="00F326E5">
      <w:pPr>
        <w:pStyle w:val="NoSpacing"/>
        <w:rPr>
          <w:rFonts w:ascii="Arial Black" w:hAnsi="Arial Black"/>
          <w:sz w:val="24"/>
          <w:szCs w:val="24"/>
        </w:rPr>
      </w:pPr>
      <w:r>
        <w:rPr>
          <w:rFonts w:ascii="Arial Black" w:hAnsi="Arial Black"/>
          <w:sz w:val="24"/>
          <w:szCs w:val="24"/>
        </w:rPr>
        <w:t>16-47</w:t>
      </w:r>
    </w:p>
    <w:p w14:paraId="0547978D" w14:textId="268DBC70" w:rsidR="00663A6A" w:rsidRDefault="00663A6A" w:rsidP="00F326E5">
      <w:pPr>
        <w:pStyle w:val="NoSpacing"/>
        <w:rPr>
          <w:rFonts w:ascii="Arial Black" w:hAnsi="Arial Black"/>
          <w:sz w:val="24"/>
          <w:szCs w:val="24"/>
        </w:rPr>
      </w:pPr>
    </w:p>
    <w:p w14:paraId="19B0A905" w14:textId="77777777" w:rsidR="00663A6A" w:rsidRPr="00A30759" w:rsidRDefault="00663A6A" w:rsidP="00663A6A">
      <w:pPr>
        <w:pStyle w:val="NoSpacing"/>
        <w:rPr>
          <w:rFonts w:ascii="Arial Black" w:hAnsi="Arial Black"/>
          <w:sz w:val="28"/>
          <w:szCs w:val="28"/>
        </w:rPr>
      </w:pPr>
      <w:r>
        <w:rPr>
          <w:rFonts w:ascii="Arial Black" w:hAnsi="Arial Black"/>
          <w:sz w:val="28"/>
          <w:szCs w:val="28"/>
        </w:rPr>
        <w:t>OK: FIRE CHIEF FIRED – WRITTEN WARNING, 1-YR LATER NEVER WORKED FF SHIFT, OTHER ISSUES - FIRED FOR “GOOD CAUSE”</w:t>
      </w:r>
    </w:p>
    <w:p w14:paraId="2950E5A2" w14:textId="77777777" w:rsidR="00663A6A" w:rsidRDefault="00663A6A" w:rsidP="00663A6A">
      <w:pPr>
        <w:tabs>
          <w:tab w:val="left" w:pos="7150"/>
        </w:tabs>
        <w:spacing w:before="100" w:beforeAutospacing="1" w:after="100" w:afterAutospacing="1" w:line="240" w:lineRule="auto"/>
        <w:rPr>
          <w:rFonts w:ascii="Times New Roman" w:hAnsi="Times New Roman"/>
          <w:sz w:val="24"/>
          <w:szCs w:val="24"/>
        </w:rPr>
      </w:pPr>
      <w:r>
        <w:rPr>
          <w:rFonts w:ascii="Times New Roman" w:eastAsia="Times New Roman" w:hAnsi="Times New Roman"/>
          <w:sz w:val="24"/>
          <w:szCs w:val="24"/>
        </w:rPr>
        <w:t>On Nov. 4</w:t>
      </w:r>
      <w:proofErr w:type="gramStart"/>
      <w:r>
        <w:rPr>
          <w:rFonts w:ascii="Times New Roman" w:eastAsia="Times New Roman" w:hAnsi="Times New Roman"/>
          <w:sz w:val="24"/>
          <w:szCs w:val="24"/>
        </w:rPr>
        <w:t xml:space="preserve"> 2020</w:t>
      </w:r>
      <w:proofErr w:type="gramEnd"/>
      <w:r>
        <w:rPr>
          <w:rFonts w:ascii="Times New Roman" w:eastAsia="Times New Roman" w:hAnsi="Times New Roman"/>
          <w:sz w:val="24"/>
          <w:szCs w:val="24"/>
        </w:rPr>
        <w:t xml:space="preserve">, in </w:t>
      </w:r>
      <w:r w:rsidRPr="00A30759">
        <w:rPr>
          <w:rFonts w:ascii="Times New Roman" w:eastAsia="Times New Roman" w:hAnsi="Times New Roman"/>
          <w:sz w:val="24"/>
          <w:szCs w:val="24"/>
          <w:u w:val="single"/>
        </w:rPr>
        <w:t>Stephen Parmenter v. City of Nowata, Oklahoma</w:t>
      </w:r>
      <w:r>
        <w:rPr>
          <w:rFonts w:ascii="Times New Roman" w:eastAsia="Times New Roman" w:hAnsi="Times New Roman"/>
          <w:sz w:val="24"/>
          <w:szCs w:val="24"/>
        </w:rPr>
        <w:t xml:space="preserve">, U.S. District Court Judge Terence C. Kern, U.S. District Court for the Northern District of Oklahoma, granted the City’s motion for summary judgment.  The Fire Chief worked for a Chartered City which empowered the City Manager to terminate heads of department and others “at will.”  In Aug. 2017, the City Manager issued written reprimand documenting numerous personnel issues; the Manager also added a requirement the Chief work one shift per week, which he never did for following year. </w:t>
      </w:r>
    </w:p>
    <w:p w14:paraId="1F862FE6" w14:textId="77777777" w:rsidR="00663A6A" w:rsidRPr="00A30759" w:rsidRDefault="00663A6A" w:rsidP="00663A6A">
      <w:pPr>
        <w:pStyle w:val="NoSpacing"/>
        <w:ind w:left="720"/>
        <w:rPr>
          <w:rFonts w:ascii="Times New Roman" w:hAnsi="Times New Roman"/>
          <w:sz w:val="24"/>
          <w:szCs w:val="24"/>
        </w:rPr>
      </w:pPr>
      <w:r>
        <w:rPr>
          <w:rFonts w:ascii="Times New Roman" w:hAnsi="Times New Roman"/>
          <w:sz w:val="24"/>
          <w:szCs w:val="24"/>
        </w:rPr>
        <w:t>“</w:t>
      </w:r>
      <w:r w:rsidRPr="00A30759">
        <w:rPr>
          <w:rFonts w:ascii="Times New Roman" w:hAnsi="Times New Roman"/>
          <w:sz w:val="24"/>
          <w:szCs w:val="24"/>
        </w:rPr>
        <w:t xml:space="preserve">Moreover, even assuming 11 O.S. §19-104 applies to Parmenter's claim, the undisputed record establishes that he was fired for </w:t>
      </w:r>
      <w:r>
        <w:rPr>
          <w:rFonts w:ascii="Times New Roman" w:hAnsi="Times New Roman"/>
          <w:sz w:val="24"/>
          <w:szCs w:val="24"/>
        </w:rPr>
        <w:t>‘</w:t>
      </w:r>
      <w:r w:rsidRPr="00A30759">
        <w:rPr>
          <w:rFonts w:ascii="Times New Roman" w:hAnsi="Times New Roman"/>
          <w:sz w:val="24"/>
          <w:szCs w:val="24"/>
        </w:rPr>
        <w:t>good and sufficient cause.</w:t>
      </w:r>
      <w:r>
        <w:rPr>
          <w:rFonts w:ascii="Times New Roman" w:hAnsi="Times New Roman"/>
          <w:sz w:val="24"/>
          <w:szCs w:val="24"/>
        </w:rPr>
        <w:t>’</w:t>
      </w:r>
      <w:r w:rsidRPr="00A30759">
        <w:rPr>
          <w:rFonts w:ascii="Times New Roman" w:hAnsi="Times New Roman"/>
          <w:sz w:val="24"/>
          <w:szCs w:val="24"/>
        </w:rPr>
        <w:t xml:space="preserve"> On August 31, 2017, he received a formal, documented reprimand listing numerous issues </w:t>
      </w:r>
      <w:proofErr w:type="gramStart"/>
      <w:r w:rsidRPr="00A30759">
        <w:rPr>
          <w:rFonts w:ascii="Times New Roman" w:hAnsi="Times New Roman"/>
          <w:sz w:val="24"/>
          <w:szCs w:val="24"/>
        </w:rPr>
        <w:t>and also</w:t>
      </w:r>
      <w:proofErr w:type="gramEnd"/>
      <w:r w:rsidRPr="00A30759">
        <w:rPr>
          <w:rFonts w:ascii="Times New Roman" w:hAnsi="Times New Roman"/>
          <w:sz w:val="24"/>
          <w:szCs w:val="24"/>
        </w:rPr>
        <w:t xml:space="preserve"> ordering him to work at least one regular shift per week as a firefighter. Accordingly, he was aware that any further infractions could lead to disciplinary action—including termination—against him. For well over a year after the written reprimand, Carrick continued to address items listed in the written reprimand. During that time, and in contravention of the reprimand, he failed to work a single fire shift. Moreover, after meeting with fire department employees, Carrick learned of other issues—including that department morale was abysmal due to favoritism of one employee over the others, and that employees were trading shifts without documenting the trades, and then directly compensating each other for covered shifts. </w:t>
      </w:r>
    </w:p>
    <w:p w14:paraId="79E85F4C" w14:textId="77777777" w:rsidR="00663A6A" w:rsidRDefault="00663A6A" w:rsidP="00663A6A">
      <w:pPr>
        <w:pStyle w:val="NoSpacing"/>
        <w:rPr>
          <w:rFonts w:ascii="Times New Roman" w:hAnsi="Times New Roman"/>
          <w:sz w:val="24"/>
          <w:szCs w:val="24"/>
        </w:rPr>
      </w:pPr>
    </w:p>
    <w:p w14:paraId="629CD128" w14:textId="77777777" w:rsidR="00663A6A" w:rsidRPr="00A30759" w:rsidRDefault="00663A6A" w:rsidP="00663A6A">
      <w:pPr>
        <w:pStyle w:val="NoSpacing"/>
        <w:ind w:left="720"/>
        <w:rPr>
          <w:rFonts w:ascii="Times New Roman" w:eastAsia="Times New Roman" w:hAnsi="Times New Roman"/>
          <w:sz w:val="24"/>
          <w:szCs w:val="24"/>
        </w:rPr>
      </w:pPr>
      <w:r w:rsidRPr="00A30759">
        <w:rPr>
          <w:rFonts w:ascii="Times New Roman" w:hAnsi="Times New Roman"/>
          <w:sz w:val="24"/>
          <w:szCs w:val="24"/>
        </w:rPr>
        <w:t xml:space="preserve">The undisputed record supports the City's position that Parmenter's termination was for </w:t>
      </w:r>
      <w:r>
        <w:rPr>
          <w:rFonts w:ascii="Times New Roman" w:hAnsi="Times New Roman"/>
          <w:sz w:val="24"/>
          <w:szCs w:val="24"/>
        </w:rPr>
        <w:t>‘</w:t>
      </w:r>
      <w:r w:rsidRPr="00A30759">
        <w:rPr>
          <w:rFonts w:ascii="Times New Roman" w:hAnsi="Times New Roman"/>
          <w:sz w:val="24"/>
          <w:szCs w:val="24"/>
        </w:rPr>
        <w:t>good and sufficient cause.</w:t>
      </w:r>
      <w:r>
        <w:rPr>
          <w:rFonts w:ascii="Times New Roman" w:hAnsi="Times New Roman"/>
          <w:sz w:val="24"/>
          <w:szCs w:val="24"/>
        </w:rPr>
        <w:t xml:space="preserve">’” </w:t>
      </w:r>
      <w:hyperlink r:id="rId2729" w:history="1">
        <w:r w:rsidRPr="00BA14DC">
          <w:rPr>
            <w:rStyle w:val="Hyperlink"/>
            <w:rFonts w:ascii="Times New Roman" w:hAnsi="Times New Roman"/>
            <w:sz w:val="24"/>
            <w:szCs w:val="24"/>
          </w:rPr>
          <w:t>https://casetext.com/case/parmenter-v-city-of-nowata</w:t>
        </w:r>
      </w:hyperlink>
      <w:r>
        <w:rPr>
          <w:rFonts w:ascii="Times New Roman" w:hAnsi="Times New Roman"/>
          <w:sz w:val="24"/>
          <w:szCs w:val="24"/>
        </w:rPr>
        <w:t xml:space="preserve"> </w:t>
      </w:r>
    </w:p>
    <w:p w14:paraId="2682E1B7" w14:textId="53898DAA" w:rsidR="00663A6A" w:rsidRDefault="00663A6A" w:rsidP="00F326E5">
      <w:pPr>
        <w:pStyle w:val="NoSpacing"/>
        <w:rPr>
          <w:rFonts w:ascii="Arial Black" w:hAnsi="Arial Black"/>
          <w:sz w:val="24"/>
          <w:szCs w:val="24"/>
        </w:rPr>
      </w:pPr>
    </w:p>
    <w:p w14:paraId="7F359E5B" w14:textId="77777777" w:rsidR="00663A6A" w:rsidRPr="00B00DFD" w:rsidRDefault="00663A6A" w:rsidP="00663A6A">
      <w:pPr>
        <w:spacing w:before="100" w:beforeAutospacing="1" w:after="100" w:afterAutospacing="1" w:line="240" w:lineRule="auto"/>
        <w:rPr>
          <w:rFonts w:ascii="Times New Roman" w:eastAsia="Times New Roman" w:hAnsi="Times New Roman"/>
          <w:b/>
          <w:bCs/>
          <w:sz w:val="24"/>
          <w:szCs w:val="24"/>
        </w:rPr>
      </w:pPr>
      <w:r w:rsidRPr="00B00DFD">
        <w:rPr>
          <w:rFonts w:ascii="Times New Roman" w:eastAsia="Times New Roman" w:hAnsi="Times New Roman"/>
          <w:b/>
          <w:bCs/>
          <w:sz w:val="24"/>
          <w:szCs w:val="24"/>
        </w:rPr>
        <w:t>Legal Lesson Learned:</w:t>
      </w:r>
      <w:r>
        <w:rPr>
          <w:rFonts w:ascii="Times New Roman" w:eastAsia="Times New Roman" w:hAnsi="Times New Roman"/>
          <w:b/>
          <w:bCs/>
          <w:sz w:val="24"/>
          <w:szCs w:val="24"/>
        </w:rPr>
        <w:t xml:space="preserve"> The City Manager thoroughly documented the employment concerns; she also provided “due process” to the “at will” Fire Chief.  </w:t>
      </w:r>
    </w:p>
    <w:p w14:paraId="5F0C8ACC" w14:textId="77777777" w:rsidR="00663A6A" w:rsidRDefault="00663A6A" w:rsidP="00F326E5">
      <w:pPr>
        <w:pStyle w:val="NoSpacing"/>
        <w:rPr>
          <w:rFonts w:ascii="Arial Black" w:hAnsi="Arial Black"/>
          <w:sz w:val="24"/>
          <w:szCs w:val="24"/>
        </w:rPr>
      </w:pPr>
    </w:p>
    <w:p w14:paraId="6B5C843D" w14:textId="77777777" w:rsidR="00663A6A" w:rsidRDefault="00663A6A" w:rsidP="00F326E5">
      <w:pPr>
        <w:pStyle w:val="NoSpacing"/>
        <w:rPr>
          <w:rFonts w:ascii="Arial Black" w:hAnsi="Arial Black"/>
          <w:sz w:val="24"/>
          <w:szCs w:val="24"/>
        </w:rPr>
      </w:pPr>
    </w:p>
    <w:p w14:paraId="0C75D0B9" w14:textId="13BD9728" w:rsidR="00663A6A" w:rsidRDefault="00663A6A" w:rsidP="00F326E5">
      <w:pPr>
        <w:pStyle w:val="NoSpacing"/>
        <w:rPr>
          <w:rFonts w:ascii="Arial Black" w:hAnsi="Arial Black"/>
          <w:sz w:val="24"/>
          <w:szCs w:val="24"/>
        </w:rPr>
      </w:pPr>
      <w:r>
        <w:rPr>
          <w:rFonts w:ascii="Arial Black" w:hAnsi="Arial Black"/>
          <w:sz w:val="24"/>
          <w:szCs w:val="24"/>
        </w:rPr>
        <w:t>16-46</w:t>
      </w:r>
    </w:p>
    <w:p w14:paraId="6B2CFC09" w14:textId="37CDC39B" w:rsidR="00663A6A" w:rsidRDefault="00663A6A" w:rsidP="00F326E5">
      <w:pPr>
        <w:pStyle w:val="NoSpacing"/>
        <w:rPr>
          <w:rFonts w:ascii="Arial Black" w:hAnsi="Arial Black"/>
          <w:sz w:val="24"/>
          <w:szCs w:val="24"/>
        </w:rPr>
      </w:pPr>
    </w:p>
    <w:p w14:paraId="544B97FA" w14:textId="77777777" w:rsidR="00663A6A" w:rsidRPr="000C02CA" w:rsidRDefault="00663A6A" w:rsidP="00663A6A">
      <w:pPr>
        <w:pStyle w:val="NoSpacing"/>
        <w:rPr>
          <w:rFonts w:ascii="Arial Black" w:hAnsi="Arial Black"/>
          <w:sz w:val="28"/>
          <w:szCs w:val="28"/>
        </w:rPr>
      </w:pPr>
      <w:r>
        <w:rPr>
          <w:rFonts w:ascii="Arial Black" w:hAnsi="Arial Black"/>
          <w:sz w:val="28"/>
          <w:szCs w:val="28"/>
        </w:rPr>
        <w:lastRenderedPageBreak/>
        <w:t>NJ: RECUIT FIRED AFTER GRADUATING - CHIEF KNEW HE HAD ALTERED INSURANCE CARD NEW RESIDENCE - REINSTATED</w:t>
      </w:r>
    </w:p>
    <w:p w14:paraId="73124402" w14:textId="77777777" w:rsidR="00663A6A" w:rsidRDefault="00663A6A" w:rsidP="00663A6A">
      <w:pPr>
        <w:pStyle w:val="NoSpacing"/>
      </w:pPr>
    </w:p>
    <w:p w14:paraId="1EC7FA0A" w14:textId="77777777" w:rsidR="00663A6A" w:rsidRDefault="00663A6A" w:rsidP="00663A6A">
      <w:pPr>
        <w:pStyle w:val="NoSpacing"/>
        <w:rPr>
          <w:rFonts w:ascii="Times New Roman" w:hAnsi="Times New Roman"/>
          <w:sz w:val="24"/>
          <w:szCs w:val="24"/>
        </w:rPr>
      </w:pPr>
      <w:r w:rsidRPr="00472D0A">
        <w:rPr>
          <w:rFonts w:ascii="Times New Roman" w:hAnsi="Times New Roman"/>
          <w:sz w:val="24"/>
          <w:szCs w:val="24"/>
        </w:rPr>
        <w:t xml:space="preserve">On Oct. 19, 2020, </w:t>
      </w:r>
      <w:r w:rsidRPr="00472D0A">
        <w:rPr>
          <w:rFonts w:ascii="Times New Roman" w:hAnsi="Times New Roman"/>
          <w:sz w:val="24"/>
          <w:szCs w:val="24"/>
          <w:u w:val="single"/>
        </w:rPr>
        <w:t xml:space="preserve">In </w:t>
      </w:r>
      <w:proofErr w:type="gramStart"/>
      <w:r w:rsidRPr="00472D0A">
        <w:rPr>
          <w:rFonts w:ascii="Times New Roman" w:hAnsi="Times New Roman"/>
          <w:sz w:val="24"/>
          <w:szCs w:val="24"/>
          <w:u w:val="single"/>
        </w:rPr>
        <w:t>The</w:t>
      </w:r>
      <w:proofErr w:type="gramEnd"/>
      <w:r w:rsidRPr="00472D0A">
        <w:rPr>
          <w:rFonts w:ascii="Times New Roman" w:hAnsi="Times New Roman"/>
          <w:sz w:val="24"/>
          <w:szCs w:val="24"/>
          <w:u w:val="single"/>
        </w:rPr>
        <w:t xml:space="preserve"> Matter </w:t>
      </w:r>
      <w:proofErr w:type="gramStart"/>
      <w:r w:rsidRPr="00472D0A">
        <w:rPr>
          <w:rFonts w:ascii="Times New Roman" w:hAnsi="Times New Roman"/>
          <w:sz w:val="24"/>
          <w:szCs w:val="24"/>
          <w:u w:val="single"/>
        </w:rPr>
        <w:t>Of</w:t>
      </w:r>
      <w:proofErr w:type="gramEnd"/>
      <w:r w:rsidRPr="00472D0A">
        <w:rPr>
          <w:rFonts w:ascii="Times New Roman" w:hAnsi="Times New Roman"/>
          <w:sz w:val="24"/>
          <w:szCs w:val="24"/>
          <w:u w:val="single"/>
        </w:rPr>
        <w:t xml:space="preserve"> Christopher D’Amico, City of Plainfield Fire Department</w:t>
      </w:r>
      <w:r w:rsidRPr="00472D0A">
        <w:rPr>
          <w:rFonts w:ascii="Times New Roman" w:hAnsi="Times New Roman"/>
          <w:sz w:val="24"/>
          <w:szCs w:val="24"/>
        </w:rPr>
        <w:t xml:space="preserve">, </w:t>
      </w:r>
      <w:r>
        <w:rPr>
          <w:rFonts w:ascii="Times New Roman" w:hAnsi="Times New Roman"/>
          <w:sz w:val="24"/>
          <w:szCs w:val="24"/>
        </w:rPr>
        <w:t xml:space="preserve">the Superior Court of New Jersey (Appellate Division) held (3 to 0) that the Civil Service Commission properly reinstated the firefighter.  The Fire Chief knew of the altered card and </w:t>
      </w:r>
      <w:proofErr w:type="gramStart"/>
      <w:r>
        <w:rPr>
          <w:rFonts w:ascii="Times New Roman" w:hAnsi="Times New Roman"/>
          <w:sz w:val="24"/>
          <w:szCs w:val="24"/>
        </w:rPr>
        <w:t>has allowed</w:t>
      </w:r>
      <w:proofErr w:type="gramEnd"/>
      <w:r>
        <w:rPr>
          <w:rFonts w:ascii="Times New Roman" w:hAnsi="Times New Roman"/>
          <w:sz w:val="24"/>
          <w:szCs w:val="24"/>
        </w:rPr>
        <w:t xml:space="preserve"> the firefighter to enter recruit school. </w:t>
      </w:r>
    </w:p>
    <w:p w14:paraId="78D0081A" w14:textId="77777777" w:rsidR="00663A6A" w:rsidRPr="00472D0A" w:rsidRDefault="00663A6A" w:rsidP="00663A6A">
      <w:pPr>
        <w:pStyle w:val="NoSpacing"/>
        <w:rPr>
          <w:rFonts w:ascii="Times New Roman" w:hAnsi="Times New Roman"/>
          <w:sz w:val="24"/>
          <w:szCs w:val="24"/>
        </w:rPr>
      </w:pPr>
    </w:p>
    <w:p w14:paraId="5FD3CFAB" w14:textId="77777777" w:rsidR="00663A6A" w:rsidRPr="00472D0A" w:rsidRDefault="00663A6A" w:rsidP="00663A6A">
      <w:pPr>
        <w:pStyle w:val="NoSpacing"/>
        <w:ind w:left="720"/>
        <w:rPr>
          <w:rFonts w:ascii="Times New Roman" w:hAnsi="Times New Roman"/>
          <w:sz w:val="24"/>
          <w:szCs w:val="24"/>
        </w:rPr>
      </w:pPr>
      <w:r>
        <w:rPr>
          <w:rFonts w:ascii="Times New Roman" w:hAnsi="Times New Roman"/>
          <w:sz w:val="24"/>
          <w:szCs w:val="24"/>
        </w:rPr>
        <w:t>“</w:t>
      </w:r>
      <w:r w:rsidRPr="00472D0A">
        <w:rPr>
          <w:rFonts w:ascii="Times New Roman" w:hAnsi="Times New Roman"/>
          <w:sz w:val="24"/>
          <w:szCs w:val="24"/>
        </w:rPr>
        <w:t>After reviewing the City</w:t>
      </w:r>
      <w:r>
        <w:rPr>
          <w:rFonts w:ascii="Times New Roman" w:hAnsi="Times New Roman"/>
          <w:sz w:val="24"/>
          <w:szCs w:val="24"/>
        </w:rPr>
        <w:t>’</w:t>
      </w:r>
      <w:r w:rsidRPr="00472D0A">
        <w:rPr>
          <w:rFonts w:ascii="Times New Roman" w:hAnsi="Times New Roman"/>
          <w:sz w:val="24"/>
          <w:szCs w:val="24"/>
        </w:rPr>
        <w:t>s exceptions, the Commission</w:t>
      </w:r>
      <w:r>
        <w:rPr>
          <w:rFonts w:ascii="Times New Roman" w:hAnsi="Times New Roman"/>
          <w:sz w:val="24"/>
          <w:szCs w:val="24"/>
        </w:rPr>
        <w:t xml:space="preserve"> </w:t>
      </w:r>
      <w:r w:rsidRPr="00472D0A">
        <w:rPr>
          <w:rFonts w:ascii="Times New Roman" w:hAnsi="Times New Roman"/>
          <w:sz w:val="24"/>
          <w:szCs w:val="24"/>
        </w:rPr>
        <w:t>agreed with the ALJ. It held D</w:t>
      </w:r>
      <w:r>
        <w:rPr>
          <w:rFonts w:ascii="Times New Roman" w:hAnsi="Times New Roman"/>
          <w:sz w:val="24"/>
          <w:szCs w:val="24"/>
        </w:rPr>
        <w:t>’</w:t>
      </w:r>
      <w:r w:rsidRPr="00472D0A">
        <w:rPr>
          <w:rFonts w:ascii="Times New Roman" w:hAnsi="Times New Roman"/>
          <w:sz w:val="24"/>
          <w:szCs w:val="24"/>
        </w:rPr>
        <w:t>Amico provided</w:t>
      </w:r>
      <w:r>
        <w:rPr>
          <w:rFonts w:ascii="Times New Roman" w:hAnsi="Times New Roman"/>
          <w:sz w:val="24"/>
          <w:szCs w:val="24"/>
        </w:rPr>
        <w:t xml:space="preserve"> </w:t>
      </w:r>
      <w:r w:rsidRPr="00472D0A">
        <w:rPr>
          <w:rFonts w:ascii="Times New Roman" w:hAnsi="Times New Roman"/>
          <w:sz w:val="24"/>
          <w:szCs w:val="24"/>
        </w:rPr>
        <w:t>his true address on the card and the addition of correct information</w:t>
      </w:r>
      <w:r>
        <w:rPr>
          <w:rFonts w:ascii="Times New Roman" w:hAnsi="Times New Roman"/>
          <w:sz w:val="24"/>
          <w:szCs w:val="24"/>
        </w:rPr>
        <w:t xml:space="preserve"> </w:t>
      </w:r>
      <w:r w:rsidRPr="00472D0A">
        <w:rPr>
          <w:rFonts w:ascii="Times New Roman" w:hAnsi="Times New Roman"/>
          <w:sz w:val="24"/>
          <w:szCs w:val="24"/>
        </w:rPr>
        <w:t xml:space="preserve">on the document did not indicate a lack of character or morals to be a firefighter. Even if it were, the Commission concluded the </w:t>
      </w:r>
      <w:proofErr w:type="gramStart"/>
      <w:r w:rsidRPr="00472D0A">
        <w:rPr>
          <w:rFonts w:ascii="Times New Roman" w:hAnsi="Times New Roman"/>
          <w:sz w:val="24"/>
          <w:szCs w:val="24"/>
        </w:rPr>
        <w:t>City</w:t>
      </w:r>
      <w:proofErr w:type="gramEnd"/>
      <w:r w:rsidRPr="00472D0A">
        <w:rPr>
          <w:rFonts w:ascii="Times New Roman" w:hAnsi="Times New Roman"/>
          <w:sz w:val="24"/>
          <w:szCs w:val="24"/>
        </w:rPr>
        <w:t xml:space="preserve"> was aware of the altered document in May 2017,</w:t>
      </w:r>
      <w:r>
        <w:rPr>
          <w:rFonts w:ascii="Times New Roman" w:hAnsi="Times New Roman"/>
          <w:sz w:val="24"/>
          <w:szCs w:val="24"/>
        </w:rPr>
        <w:t xml:space="preserve"> </w:t>
      </w:r>
      <w:r w:rsidRPr="00472D0A">
        <w:rPr>
          <w:rFonts w:ascii="Times New Roman" w:hAnsi="Times New Roman"/>
          <w:sz w:val="24"/>
          <w:szCs w:val="24"/>
        </w:rPr>
        <w:t>before D</w:t>
      </w:r>
      <w:r>
        <w:rPr>
          <w:rFonts w:ascii="Times New Roman" w:hAnsi="Times New Roman"/>
          <w:sz w:val="24"/>
          <w:szCs w:val="24"/>
        </w:rPr>
        <w:t>’</w:t>
      </w:r>
      <w:r w:rsidRPr="00472D0A">
        <w:rPr>
          <w:rFonts w:ascii="Times New Roman" w:hAnsi="Times New Roman"/>
          <w:sz w:val="24"/>
          <w:szCs w:val="24"/>
        </w:rPr>
        <w:t>Amico was hired and attended the</w:t>
      </w:r>
      <w:r>
        <w:rPr>
          <w:rFonts w:ascii="Times New Roman" w:hAnsi="Times New Roman"/>
          <w:sz w:val="24"/>
          <w:szCs w:val="24"/>
        </w:rPr>
        <w:t xml:space="preserve"> </w:t>
      </w:r>
      <w:r w:rsidRPr="00472D0A">
        <w:rPr>
          <w:rFonts w:ascii="Times New Roman" w:hAnsi="Times New Roman"/>
          <w:sz w:val="24"/>
          <w:szCs w:val="24"/>
        </w:rPr>
        <w:t>fire</w:t>
      </w:r>
      <w:r>
        <w:rPr>
          <w:rFonts w:ascii="Times New Roman" w:hAnsi="Times New Roman"/>
          <w:sz w:val="24"/>
          <w:szCs w:val="24"/>
        </w:rPr>
        <w:t xml:space="preserve"> </w:t>
      </w:r>
      <w:r w:rsidRPr="00472D0A">
        <w:rPr>
          <w:rFonts w:ascii="Times New Roman" w:hAnsi="Times New Roman"/>
          <w:sz w:val="24"/>
          <w:szCs w:val="24"/>
        </w:rPr>
        <w:t>academy. In addition, because D</w:t>
      </w:r>
      <w:r>
        <w:rPr>
          <w:rFonts w:ascii="Times New Roman" w:hAnsi="Times New Roman"/>
          <w:sz w:val="24"/>
          <w:szCs w:val="24"/>
        </w:rPr>
        <w:t>’</w:t>
      </w:r>
      <w:r w:rsidRPr="00472D0A">
        <w:rPr>
          <w:rFonts w:ascii="Times New Roman" w:hAnsi="Times New Roman"/>
          <w:sz w:val="24"/>
          <w:szCs w:val="24"/>
        </w:rPr>
        <w:t xml:space="preserve">Amico was on the job for only three or four hours at the time he was terminated, the Commission concluded the </w:t>
      </w:r>
      <w:proofErr w:type="gramStart"/>
      <w:r w:rsidRPr="00472D0A">
        <w:rPr>
          <w:rFonts w:ascii="Times New Roman" w:hAnsi="Times New Roman"/>
          <w:sz w:val="24"/>
          <w:szCs w:val="24"/>
        </w:rPr>
        <w:t>City</w:t>
      </w:r>
      <w:proofErr w:type="gramEnd"/>
      <w:r w:rsidRPr="00472D0A">
        <w:rPr>
          <w:rFonts w:ascii="Times New Roman" w:hAnsi="Times New Roman"/>
          <w:sz w:val="24"/>
          <w:szCs w:val="24"/>
        </w:rPr>
        <w:t xml:space="preserve"> had the burden of proving D</w:t>
      </w:r>
      <w:r>
        <w:rPr>
          <w:rFonts w:ascii="Times New Roman" w:hAnsi="Times New Roman"/>
          <w:sz w:val="24"/>
          <w:szCs w:val="24"/>
        </w:rPr>
        <w:t>’</w:t>
      </w:r>
      <w:r w:rsidRPr="00472D0A">
        <w:rPr>
          <w:rFonts w:ascii="Times New Roman" w:hAnsi="Times New Roman"/>
          <w:sz w:val="24"/>
          <w:szCs w:val="24"/>
        </w:rPr>
        <w:t>Amico was guilty of the charges. Based on its findings, the Commission reinstated D</w:t>
      </w:r>
      <w:r>
        <w:rPr>
          <w:rFonts w:ascii="Times New Roman" w:hAnsi="Times New Roman"/>
          <w:sz w:val="24"/>
          <w:szCs w:val="24"/>
        </w:rPr>
        <w:t>’</w:t>
      </w:r>
      <w:r w:rsidRPr="00472D0A">
        <w:rPr>
          <w:rFonts w:ascii="Times New Roman" w:hAnsi="Times New Roman"/>
          <w:sz w:val="24"/>
          <w:szCs w:val="24"/>
        </w:rPr>
        <w:t>Amico, and awarded</w:t>
      </w:r>
      <w:r>
        <w:rPr>
          <w:rFonts w:ascii="Times New Roman" w:hAnsi="Times New Roman"/>
          <w:sz w:val="24"/>
          <w:szCs w:val="24"/>
        </w:rPr>
        <w:t xml:space="preserve"> </w:t>
      </w:r>
      <w:r w:rsidRPr="00472D0A">
        <w:rPr>
          <w:rFonts w:ascii="Times New Roman" w:hAnsi="Times New Roman"/>
          <w:sz w:val="24"/>
          <w:szCs w:val="24"/>
        </w:rPr>
        <w:t>him</w:t>
      </w:r>
      <w:r>
        <w:rPr>
          <w:rFonts w:ascii="Times New Roman" w:hAnsi="Times New Roman"/>
          <w:sz w:val="24"/>
          <w:szCs w:val="24"/>
        </w:rPr>
        <w:t xml:space="preserve"> </w:t>
      </w:r>
      <w:r w:rsidRPr="00472D0A">
        <w:rPr>
          <w:rFonts w:ascii="Times New Roman" w:hAnsi="Times New Roman"/>
          <w:sz w:val="24"/>
          <w:szCs w:val="24"/>
        </w:rPr>
        <w:t>back pay, benefits,</w:t>
      </w:r>
      <w:r>
        <w:rPr>
          <w:rFonts w:ascii="Times New Roman" w:hAnsi="Times New Roman"/>
          <w:sz w:val="24"/>
          <w:szCs w:val="24"/>
        </w:rPr>
        <w:t xml:space="preserve"> </w:t>
      </w:r>
      <w:r w:rsidRPr="00472D0A">
        <w:rPr>
          <w:rFonts w:ascii="Times New Roman" w:hAnsi="Times New Roman"/>
          <w:sz w:val="24"/>
          <w:szCs w:val="24"/>
        </w:rPr>
        <w:t>and seniority status.</w:t>
      </w:r>
      <w:r>
        <w:rPr>
          <w:rFonts w:ascii="Times New Roman" w:hAnsi="Times New Roman"/>
          <w:sz w:val="24"/>
          <w:szCs w:val="24"/>
        </w:rPr>
        <w:t xml:space="preserve">” </w:t>
      </w:r>
      <w:hyperlink r:id="rId2730" w:history="1">
        <w:r w:rsidRPr="00AA126E">
          <w:rPr>
            <w:rStyle w:val="Hyperlink"/>
            <w:rFonts w:ascii="Times New Roman" w:hAnsi="Times New Roman"/>
            <w:sz w:val="24"/>
            <w:szCs w:val="24"/>
          </w:rPr>
          <w:t>https://njcourts.gov/attorneys/assets/opinions/appellate/unpublished/a4576-18.pdf?c=len</w:t>
        </w:r>
      </w:hyperlink>
      <w:r>
        <w:rPr>
          <w:rFonts w:ascii="Times New Roman" w:hAnsi="Times New Roman"/>
          <w:sz w:val="24"/>
          <w:szCs w:val="24"/>
        </w:rPr>
        <w:t xml:space="preserve"> </w:t>
      </w:r>
    </w:p>
    <w:p w14:paraId="4D9600FB" w14:textId="77777777" w:rsidR="00663A6A" w:rsidRPr="00213E82" w:rsidRDefault="00663A6A" w:rsidP="00663A6A">
      <w:pPr>
        <w:pStyle w:val="Heading1"/>
        <w:rPr>
          <w:sz w:val="24"/>
          <w:szCs w:val="24"/>
        </w:rPr>
      </w:pPr>
      <w:r w:rsidRPr="00213E82">
        <w:rPr>
          <w:sz w:val="24"/>
          <w:szCs w:val="24"/>
        </w:rPr>
        <w:t xml:space="preserve">Legal Lesson Learned: </w:t>
      </w:r>
      <w:r>
        <w:rPr>
          <w:sz w:val="24"/>
          <w:szCs w:val="24"/>
        </w:rPr>
        <w:t xml:space="preserve">Recruit was fortunate to have a Fire Chief who supported him. If city </w:t>
      </w:r>
      <w:proofErr w:type="gramStart"/>
      <w:r>
        <w:rPr>
          <w:sz w:val="24"/>
          <w:szCs w:val="24"/>
        </w:rPr>
        <w:t>needed</w:t>
      </w:r>
      <w:proofErr w:type="gramEnd"/>
      <w:r>
        <w:rPr>
          <w:sz w:val="24"/>
          <w:szCs w:val="24"/>
        </w:rPr>
        <w:t xml:space="preserve"> more proof of your residency, ask for additional time to prove you moved into the city. </w:t>
      </w:r>
    </w:p>
    <w:p w14:paraId="0EB06B69" w14:textId="77777777" w:rsidR="00663A6A" w:rsidRDefault="00663A6A" w:rsidP="00663A6A">
      <w:pPr>
        <w:pStyle w:val="Heading1"/>
        <w:ind w:left="720"/>
      </w:pPr>
      <w:r>
        <w:rPr>
          <w:b w:val="0"/>
          <w:bCs w:val="0"/>
          <w:sz w:val="24"/>
          <w:szCs w:val="24"/>
        </w:rPr>
        <w:t>Note: This case was featured in trade press. “</w:t>
      </w:r>
      <w:r w:rsidRPr="00213E82">
        <w:rPr>
          <w:b w:val="0"/>
          <w:bCs w:val="0"/>
          <w:sz w:val="24"/>
          <w:szCs w:val="24"/>
        </w:rPr>
        <w:t>NJ Firefighter Fired Three Hours Into First Day Can Stay on Job, Court Rules</w:t>
      </w:r>
      <w:r>
        <w:rPr>
          <w:b w:val="0"/>
          <w:bCs w:val="0"/>
          <w:sz w:val="24"/>
          <w:szCs w:val="24"/>
        </w:rPr>
        <w:t xml:space="preserve">” (Nov. 2, 2020): </w:t>
      </w:r>
      <w:hyperlink r:id="rId2731" w:history="1">
        <w:r w:rsidRPr="00214867">
          <w:rPr>
            <w:rStyle w:val="Hyperlink"/>
            <w:b w:val="0"/>
            <w:bCs w:val="0"/>
            <w:sz w:val="24"/>
            <w:szCs w:val="24"/>
          </w:rPr>
          <w:t>https://www.fireengineering.com/2020/11/02/495783/nj-firefighter-fired-three-hours-into-first-day-can-stay-on-job-court-rules/?utm_medium=email&amp;utm_campaign=2020-11-03&amp;utm_source=fe_daily_newsletter</w:t>
        </w:r>
      </w:hyperlink>
      <w:r w:rsidRPr="00214867">
        <w:rPr>
          <w:b w:val="0"/>
          <w:bCs w:val="0"/>
          <w:sz w:val="24"/>
          <w:szCs w:val="24"/>
        </w:rPr>
        <w:t xml:space="preserve"> </w:t>
      </w:r>
    </w:p>
    <w:p w14:paraId="05273E84" w14:textId="77777777" w:rsidR="00663A6A" w:rsidRDefault="00663A6A" w:rsidP="00F326E5">
      <w:pPr>
        <w:pStyle w:val="NoSpacing"/>
        <w:rPr>
          <w:rFonts w:ascii="Arial Black" w:hAnsi="Arial Black"/>
          <w:sz w:val="24"/>
          <w:szCs w:val="24"/>
        </w:rPr>
      </w:pPr>
    </w:p>
    <w:p w14:paraId="32BD0D5B" w14:textId="77777777" w:rsidR="00663A6A" w:rsidRDefault="00663A6A" w:rsidP="00F326E5">
      <w:pPr>
        <w:pStyle w:val="NoSpacing"/>
        <w:rPr>
          <w:rFonts w:ascii="Arial Black" w:hAnsi="Arial Black"/>
          <w:sz w:val="24"/>
          <w:szCs w:val="24"/>
        </w:rPr>
      </w:pPr>
    </w:p>
    <w:p w14:paraId="6EA637F2" w14:textId="77777777" w:rsidR="00663A6A" w:rsidRDefault="00663A6A" w:rsidP="00F326E5">
      <w:pPr>
        <w:pStyle w:val="NoSpacing"/>
        <w:rPr>
          <w:rFonts w:ascii="Arial Black" w:hAnsi="Arial Black"/>
          <w:sz w:val="24"/>
          <w:szCs w:val="24"/>
        </w:rPr>
      </w:pPr>
    </w:p>
    <w:p w14:paraId="4ED2251A" w14:textId="1ED50ED1" w:rsidR="00102FD0" w:rsidRDefault="00102FD0" w:rsidP="00F326E5">
      <w:pPr>
        <w:pStyle w:val="NoSpacing"/>
        <w:rPr>
          <w:rFonts w:ascii="Arial Black" w:hAnsi="Arial Black"/>
          <w:sz w:val="24"/>
          <w:szCs w:val="24"/>
        </w:rPr>
      </w:pPr>
      <w:r>
        <w:rPr>
          <w:rFonts w:ascii="Arial Black" w:hAnsi="Arial Black"/>
          <w:sz w:val="24"/>
          <w:szCs w:val="24"/>
        </w:rPr>
        <w:t>16-45</w:t>
      </w:r>
    </w:p>
    <w:p w14:paraId="310AF3AA" w14:textId="77777777" w:rsidR="00102FD0" w:rsidRPr="007C11CE" w:rsidRDefault="00102FD0" w:rsidP="00102FD0">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LA: ASSISTANT CHIEF - LYING TO CHIEF ABOUT LUNCH PRESENTATION – PURGED CELL PHONE TEXTS – TERMINATION UPHELD</w:t>
      </w:r>
    </w:p>
    <w:p w14:paraId="0C328F5C" w14:textId="77777777" w:rsidR="00102FD0" w:rsidRDefault="00102FD0" w:rsidP="00102FD0">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On. Oct. 20, 2020, in </w:t>
      </w:r>
      <w:r w:rsidRPr="007C11CE">
        <w:rPr>
          <w:rFonts w:ascii="Times New Roman" w:eastAsia="Times New Roman" w:hAnsi="Times New Roman"/>
          <w:sz w:val="24"/>
          <w:szCs w:val="24"/>
          <w:u w:val="single"/>
        </w:rPr>
        <w:t>Frederick N. Meiners, III v. St. Tammany Parish Fire Protection District No. 4, et al.</w:t>
      </w:r>
      <w:r>
        <w:rPr>
          <w:rFonts w:ascii="Times New Roman" w:eastAsia="Times New Roman" w:hAnsi="Times New Roman"/>
          <w:sz w:val="24"/>
          <w:szCs w:val="24"/>
        </w:rPr>
        <w:t>, the Supreme Court of Louisiana, held (6 to 1) that the District Court judge had no authority to overturn the Civil Service Board’s decision upholding the termination.</w:t>
      </w:r>
    </w:p>
    <w:p w14:paraId="0AB284A8" w14:textId="77777777" w:rsidR="00102FD0" w:rsidRDefault="00102FD0" w:rsidP="00102FD0">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w:t>
      </w:r>
      <w:r w:rsidRPr="008D33F4">
        <w:rPr>
          <w:rFonts w:ascii="Times New Roman" w:hAnsi="Times New Roman"/>
          <w:sz w:val="24"/>
          <w:szCs w:val="24"/>
        </w:rPr>
        <w:t xml:space="preserve">We acknowledge the district court did not specifically impose a new sanction; rather, the district court's judgment simply states </w:t>
      </w:r>
      <w:r>
        <w:rPr>
          <w:rFonts w:ascii="Times New Roman" w:hAnsi="Times New Roman"/>
          <w:sz w:val="24"/>
          <w:szCs w:val="24"/>
        </w:rPr>
        <w:t>‘</w:t>
      </w:r>
      <w:r w:rsidRPr="008D33F4">
        <w:rPr>
          <w:rFonts w:ascii="Times New Roman" w:hAnsi="Times New Roman"/>
          <w:sz w:val="24"/>
          <w:szCs w:val="24"/>
        </w:rPr>
        <w:t>remanded to the St. Tammany Parish Fire Protection District No. 4 Civil Service Board for further proceedings in accordance with this Judgment and the written reasons issued by the Court on November 14, 2018.</w:t>
      </w:r>
      <w:r>
        <w:rPr>
          <w:rFonts w:ascii="Times New Roman" w:hAnsi="Times New Roman"/>
          <w:sz w:val="24"/>
          <w:szCs w:val="24"/>
        </w:rPr>
        <w:t xml:space="preserve">’ </w:t>
      </w:r>
      <w:r w:rsidRPr="008D33F4">
        <w:rPr>
          <w:rFonts w:ascii="Times New Roman" w:hAnsi="Times New Roman"/>
          <w:sz w:val="24"/>
          <w:szCs w:val="24"/>
        </w:rPr>
        <w:t>Nonetheless, the clear implication of the court's judgment is that termination is excessive, and the Board must therefore revise its decision to impose a lesser sanction. Thus, although the district court did not explicitly dictate the sanction, it defined the parameters of the sanction as being something other than termination. This action clearly goes beyond the authority granted to the district court under La. R.S. 33:2561(E).</w:t>
      </w:r>
      <w:r>
        <w:rPr>
          <w:rFonts w:ascii="Times New Roman" w:hAnsi="Times New Roman"/>
          <w:sz w:val="24"/>
          <w:szCs w:val="24"/>
        </w:rPr>
        <w:t xml:space="preserve">” </w:t>
      </w:r>
      <w:hyperlink r:id="rId2732" w:history="1">
        <w:r w:rsidRPr="000B4E4B">
          <w:rPr>
            <w:rStyle w:val="Hyperlink"/>
            <w:rFonts w:ascii="Times New Roman" w:eastAsia="Times New Roman" w:hAnsi="Times New Roman"/>
            <w:sz w:val="24"/>
            <w:szCs w:val="24"/>
          </w:rPr>
          <w:t>https://www.lasc.org/Opinions/2020/20-0491.CC.OPN.pdf</w:t>
        </w:r>
      </w:hyperlink>
      <w:r>
        <w:rPr>
          <w:rFonts w:ascii="Times New Roman" w:eastAsia="Times New Roman" w:hAnsi="Times New Roman"/>
          <w:sz w:val="24"/>
          <w:szCs w:val="24"/>
        </w:rPr>
        <w:t xml:space="preserve"> </w:t>
      </w:r>
    </w:p>
    <w:p w14:paraId="52D5FC6C" w14:textId="77777777" w:rsidR="00102FD0" w:rsidRPr="001149D1" w:rsidRDefault="00102FD0" w:rsidP="00102FD0">
      <w:pPr>
        <w:spacing w:after="100" w:line="240" w:lineRule="auto"/>
        <w:rPr>
          <w:rFonts w:ascii="Times New Roman" w:eastAsia="Times New Roman" w:hAnsi="Times New Roman"/>
          <w:b/>
          <w:bCs/>
          <w:sz w:val="24"/>
          <w:szCs w:val="24"/>
        </w:rPr>
      </w:pPr>
      <w:r w:rsidRPr="001149D1">
        <w:rPr>
          <w:rFonts w:ascii="Times New Roman" w:eastAsia="Times New Roman" w:hAnsi="Times New Roman"/>
          <w:b/>
          <w:bCs/>
          <w:sz w:val="24"/>
          <w:szCs w:val="24"/>
        </w:rPr>
        <w:lastRenderedPageBreak/>
        <w:t xml:space="preserve">Legal Lesson Learned: </w:t>
      </w:r>
      <w:r>
        <w:rPr>
          <w:rFonts w:ascii="Times New Roman" w:eastAsia="Times New Roman" w:hAnsi="Times New Roman"/>
          <w:b/>
          <w:bCs/>
          <w:sz w:val="24"/>
          <w:szCs w:val="24"/>
        </w:rPr>
        <w:t>When under investigation for lying to a superior officer, conduct involving destruction of evidence (deleting texts from cell phone) can have very serious consequences.</w:t>
      </w:r>
    </w:p>
    <w:p w14:paraId="623547A8" w14:textId="77777777" w:rsidR="00102FD0" w:rsidRDefault="00102FD0" w:rsidP="00F326E5">
      <w:pPr>
        <w:pStyle w:val="NoSpacing"/>
        <w:rPr>
          <w:rFonts w:ascii="Arial Black" w:hAnsi="Arial Black"/>
          <w:sz w:val="24"/>
          <w:szCs w:val="24"/>
        </w:rPr>
      </w:pPr>
    </w:p>
    <w:p w14:paraId="10B4883D" w14:textId="77777777" w:rsidR="00102FD0" w:rsidRDefault="00102FD0" w:rsidP="00F326E5">
      <w:pPr>
        <w:pStyle w:val="NoSpacing"/>
        <w:rPr>
          <w:rFonts w:ascii="Arial Black" w:hAnsi="Arial Black"/>
          <w:sz w:val="24"/>
          <w:szCs w:val="24"/>
        </w:rPr>
      </w:pPr>
    </w:p>
    <w:p w14:paraId="55EA79D9" w14:textId="6EE6360D" w:rsidR="00B532F6" w:rsidRDefault="00B532F6" w:rsidP="00F326E5">
      <w:pPr>
        <w:pStyle w:val="NoSpacing"/>
        <w:rPr>
          <w:rFonts w:ascii="Arial Black" w:hAnsi="Arial Black"/>
          <w:sz w:val="24"/>
          <w:szCs w:val="24"/>
        </w:rPr>
      </w:pPr>
      <w:r>
        <w:rPr>
          <w:rFonts w:ascii="Arial Black" w:hAnsi="Arial Black"/>
          <w:sz w:val="24"/>
          <w:szCs w:val="24"/>
        </w:rPr>
        <w:t>16-44</w:t>
      </w:r>
    </w:p>
    <w:p w14:paraId="13FF3A83" w14:textId="77777777" w:rsidR="00B532F6" w:rsidRPr="00036F0B" w:rsidRDefault="00B532F6" w:rsidP="00B532F6">
      <w:pPr>
        <w:pStyle w:val="NormalWeb"/>
        <w:rPr>
          <w:rFonts w:ascii="Arial Black" w:hAnsi="Arial Black"/>
          <w:sz w:val="28"/>
          <w:szCs w:val="28"/>
        </w:rPr>
      </w:pPr>
      <w:r w:rsidRPr="00036F0B">
        <w:rPr>
          <w:rFonts w:ascii="Arial Black" w:hAnsi="Arial Black"/>
          <w:sz w:val="28"/>
          <w:szCs w:val="28"/>
        </w:rPr>
        <w:t xml:space="preserve">CA: </w:t>
      </w:r>
      <w:r>
        <w:rPr>
          <w:rFonts w:ascii="Arial Black" w:hAnsi="Arial Black"/>
          <w:sz w:val="28"/>
          <w:szCs w:val="28"/>
        </w:rPr>
        <w:t>CAPTAIN’S EXAM - INTERVIEW QUESTIONS LEAKED TO 3 - DEMOTED, REAPPOINTED, THEN DEMOTED AGAIN – OVERTURNED</w:t>
      </w:r>
    </w:p>
    <w:p w14:paraId="41746CFC" w14:textId="77777777" w:rsidR="00B532F6" w:rsidRDefault="00B532F6" w:rsidP="00B532F6">
      <w:pPr>
        <w:pStyle w:val="NormalWeb"/>
      </w:pPr>
      <w:r>
        <w:t xml:space="preserve">On Sept. 23, 2020, in </w:t>
      </w:r>
      <w:r w:rsidRPr="00CF230F">
        <w:rPr>
          <w:u w:val="single"/>
        </w:rPr>
        <w:t>Justin Chaplain, et al. v. State Personnel Board and Department of Forestry And Fire Protection</w:t>
      </w:r>
      <w:r>
        <w:t xml:space="preserve">, the Court of Appeals of the State of California, First Appellate District (Division One), held (3 to 0) that the State Personnel Board is reversed; CAL FIRE could not reimpose demotion of two Captains, since those firefighters had never appealed from their original demotion.   Third Captain did appeal so Board does have jurisdiction over his case [hopefully CAL FIRE will likewise re-promote him]. </w:t>
      </w:r>
    </w:p>
    <w:p w14:paraId="2A85DEA2" w14:textId="77777777" w:rsidR="00B532F6" w:rsidRDefault="00B532F6" w:rsidP="00B532F6">
      <w:pPr>
        <w:pStyle w:val="NormalWeb"/>
        <w:ind w:left="720"/>
      </w:pPr>
      <w:r>
        <w:t xml:space="preserve">“Here, the firefighters [Justine Chaplain and Justin Michels] have consistently claimed that the Board lacked the legal authority to proceed against them twice for the same behavior. Their specific argument that a substitution of disciplinary charges must occur before an action is concluded is based on principles related to statutory finality, not on those related to limitation periods. </w:t>
      </w:r>
    </w:p>
    <w:p w14:paraId="6CBAB395" w14:textId="77777777" w:rsidR="00B532F6" w:rsidRDefault="00B532F6" w:rsidP="00B532F6">
      <w:pPr>
        <w:pStyle w:val="NormalWeb"/>
        <w:ind w:left="720"/>
      </w:pPr>
      <w:r>
        <w:t xml:space="preserve">On the merits, we agree with the firefighters that once a disciplinary action becomes final, the employer is prohibited from withdrawing it and initiating a new adverse action. </w:t>
      </w:r>
      <w:r w:rsidRPr="00F81757">
        <w:t>The plain language of section 19575 could not be clearer: an appointing</w:t>
      </w:r>
      <w:r>
        <w:t xml:space="preserve"> </w:t>
      </w:r>
      <w:r w:rsidRPr="00F81757">
        <w:t>power's discipline is final where no appeal is taken within 30 calendar day</w:t>
      </w:r>
      <w:r>
        <w:t>s.</w:t>
      </w:r>
    </w:p>
    <w:p w14:paraId="518846F3" w14:textId="77777777" w:rsidR="00B532F6" w:rsidRDefault="00B532F6" w:rsidP="00B532F6">
      <w:pPr>
        <w:pStyle w:val="NormalWeb"/>
        <w:ind w:left="720"/>
      </w:pPr>
      <w:r>
        <w:t>***</w:t>
      </w:r>
    </w:p>
    <w:p w14:paraId="7416C0CD" w14:textId="77777777" w:rsidR="00B532F6" w:rsidRDefault="00B532F6" w:rsidP="00B532F6">
      <w:pPr>
        <w:pStyle w:val="NormalWeb"/>
        <w:ind w:left="720"/>
      </w:pPr>
      <w:r>
        <w:t xml:space="preserve">Our analysis is different, however, for </w:t>
      </w:r>
      <w:proofErr w:type="spellStart"/>
      <w:r>
        <w:t>Schonig</w:t>
      </w:r>
      <w:proofErr w:type="spellEnd"/>
      <w:r>
        <w:t xml:space="preserve">, who appealed the first notice of adverse action to the Board. His discipline thus was not final under section 19575 when CAL FIRE served him with the new notice of adverse action.” </w:t>
      </w:r>
      <w:hyperlink r:id="rId2733" w:history="1">
        <w:r w:rsidRPr="00443DB2">
          <w:rPr>
            <w:rStyle w:val="Hyperlink"/>
          </w:rPr>
          <w:t>https://www.courts.ca.gov/opinions/documents/A155107.PDF</w:t>
        </w:r>
      </w:hyperlink>
      <w:r>
        <w:t xml:space="preserve"> </w:t>
      </w:r>
    </w:p>
    <w:p w14:paraId="7D626152" w14:textId="77777777" w:rsidR="00B532F6" w:rsidRDefault="00B532F6" w:rsidP="00B532F6">
      <w:pPr>
        <w:spacing w:before="100" w:beforeAutospacing="1" w:after="100" w:afterAutospacing="1" w:line="240" w:lineRule="auto"/>
        <w:rPr>
          <w:rFonts w:ascii="Times New Roman" w:eastAsia="Times New Roman" w:hAnsi="Times New Roman"/>
          <w:b/>
          <w:bCs/>
          <w:sz w:val="24"/>
          <w:szCs w:val="24"/>
        </w:rPr>
      </w:pPr>
      <w:r w:rsidRPr="007A07AB">
        <w:rPr>
          <w:rFonts w:ascii="Times New Roman" w:eastAsia="Times New Roman" w:hAnsi="Times New Roman"/>
          <w:b/>
          <w:bCs/>
          <w:sz w:val="24"/>
          <w:szCs w:val="24"/>
        </w:rPr>
        <w:t>Legal Lessons Learned:</w:t>
      </w:r>
      <w:r>
        <w:rPr>
          <w:rFonts w:ascii="Times New Roman" w:eastAsia="Times New Roman" w:hAnsi="Times New Roman"/>
          <w:b/>
          <w:bCs/>
          <w:sz w:val="24"/>
          <w:szCs w:val="24"/>
        </w:rPr>
        <w:t xml:space="preserve"> The FD did not adequately prove that there was new evidence or other good cause to re-impose discipline a second time.  </w:t>
      </w:r>
    </w:p>
    <w:p w14:paraId="423C7A67" w14:textId="77777777" w:rsidR="00B532F6" w:rsidRPr="007A07AB" w:rsidRDefault="00B532F6" w:rsidP="00B532F6">
      <w:pPr>
        <w:pStyle w:val="Heading1"/>
        <w:ind w:left="720"/>
        <w:rPr>
          <w:b w:val="0"/>
          <w:bCs w:val="0"/>
          <w:sz w:val="24"/>
          <w:szCs w:val="24"/>
        </w:rPr>
      </w:pPr>
      <w:r w:rsidRPr="007A07AB">
        <w:rPr>
          <w:b w:val="0"/>
          <w:bCs w:val="0"/>
          <w:sz w:val="24"/>
          <w:szCs w:val="24"/>
        </w:rPr>
        <w:t xml:space="preserve">Note:  </w:t>
      </w:r>
    </w:p>
    <w:p w14:paraId="2530A5C0" w14:textId="77777777" w:rsidR="00B532F6" w:rsidRPr="00D37249" w:rsidRDefault="00B532F6" w:rsidP="00B532F6">
      <w:pPr>
        <w:ind w:left="720"/>
        <w:rPr>
          <w:rFonts w:ascii="Times New Roman" w:hAnsi="Times New Roman"/>
          <w:sz w:val="24"/>
          <w:szCs w:val="24"/>
        </w:rPr>
      </w:pPr>
      <w:r w:rsidRPr="00D37249">
        <w:rPr>
          <w:rFonts w:ascii="Times New Roman" w:eastAsia="Times New Roman" w:hAnsi="Times New Roman"/>
          <w:sz w:val="24"/>
          <w:szCs w:val="24"/>
        </w:rPr>
        <w:t xml:space="preserve">See June 14, </w:t>
      </w:r>
      <w:proofErr w:type="gramStart"/>
      <w:r w:rsidRPr="00D37249">
        <w:rPr>
          <w:rFonts w:ascii="Times New Roman" w:eastAsia="Times New Roman" w:hAnsi="Times New Roman"/>
          <w:sz w:val="24"/>
          <w:szCs w:val="24"/>
        </w:rPr>
        <w:t>2015</w:t>
      </w:r>
      <w:proofErr w:type="gramEnd"/>
      <w:r w:rsidRPr="00D37249">
        <w:rPr>
          <w:rFonts w:ascii="Times New Roman" w:eastAsia="Times New Roman" w:hAnsi="Times New Roman"/>
          <w:sz w:val="24"/>
          <w:szCs w:val="24"/>
        </w:rPr>
        <w:t xml:space="preserve"> article: </w:t>
      </w:r>
      <w:r w:rsidRPr="00D37249">
        <w:rPr>
          <w:rFonts w:ascii="Times New Roman" w:hAnsi="Times New Roman"/>
          <w:sz w:val="24"/>
          <w:szCs w:val="24"/>
        </w:rPr>
        <w:t>“New Cal Fire demotions challenged, reveal more alleged cheating details.” “</w:t>
      </w:r>
      <w:r w:rsidRPr="00D37249">
        <w:rPr>
          <w:rFonts w:ascii="Times New Roman" w:eastAsia="Times New Roman" w:hAnsi="Times New Roman"/>
          <w:sz w:val="24"/>
          <w:szCs w:val="24"/>
        </w:rPr>
        <w:t xml:space="preserve">Michels, </w:t>
      </w:r>
      <w:proofErr w:type="spellStart"/>
      <w:r w:rsidRPr="00D37249">
        <w:rPr>
          <w:rFonts w:ascii="Times New Roman" w:eastAsia="Times New Roman" w:hAnsi="Times New Roman"/>
          <w:sz w:val="24"/>
          <w:szCs w:val="24"/>
        </w:rPr>
        <w:t>Schonig</w:t>
      </w:r>
      <w:proofErr w:type="spellEnd"/>
      <w:r w:rsidRPr="00D37249">
        <w:rPr>
          <w:rFonts w:ascii="Times New Roman" w:eastAsia="Times New Roman" w:hAnsi="Times New Roman"/>
          <w:sz w:val="24"/>
          <w:szCs w:val="24"/>
        </w:rPr>
        <w:t xml:space="preserve"> and Chaplin allegedly received text messages last year from then-Cal Fire Academy instructor Orville Fleming that contained interview questions and answers for temporary fire captain jobs at the Ione training facility. Fleming was on the interview panel that ranked candidates, </w:t>
      </w:r>
      <w:proofErr w:type="gramStart"/>
      <w:r w:rsidRPr="00D37249">
        <w:rPr>
          <w:rFonts w:ascii="Times New Roman" w:eastAsia="Times New Roman" w:hAnsi="Times New Roman"/>
          <w:sz w:val="24"/>
          <w:szCs w:val="24"/>
        </w:rPr>
        <w:t>according</w:t>
      </w:r>
      <w:proofErr w:type="gramEnd"/>
      <w:r w:rsidRPr="00D37249">
        <w:rPr>
          <w:rFonts w:ascii="Times New Roman" w:eastAsia="Times New Roman" w:hAnsi="Times New Roman"/>
          <w:sz w:val="24"/>
          <w:szCs w:val="24"/>
        </w:rPr>
        <w:t xml:space="preserve"> the new batch of state records obtained via Public Records Act </w:t>
      </w:r>
      <w:proofErr w:type="gramStart"/>
      <w:r w:rsidRPr="00D37249">
        <w:rPr>
          <w:rFonts w:ascii="Times New Roman" w:eastAsia="Times New Roman" w:hAnsi="Times New Roman"/>
          <w:sz w:val="24"/>
          <w:szCs w:val="24"/>
        </w:rPr>
        <w:t>request.”</w:t>
      </w:r>
      <w:proofErr w:type="gramEnd"/>
      <w:r>
        <w:rPr>
          <w:rFonts w:ascii="Times New Roman" w:eastAsia="Times New Roman" w:hAnsi="Times New Roman"/>
          <w:sz w:val="24"/>
          <w:szCs w:val="24"/>
        </w:rPr>
        <w:t xml:space="preserve"> </w:t>
      </w:r>
      <w:hyperlink r:id="rId2734" w:history="1">
        <w:r w:rsidRPr="00443DB2">
          <w:rPr>
            <w:rStyle w:val="Hyperlink"/>
            <w:rFonts w:ascii="Times New Roman" w:hAnsi="Times New Roman"/>
            <w:sz w:val="24"/>
            <w:szCs w:val="24"/>
          </w:rPr>
          <w:t>https://www.sacbee.com/news/politics-government/the-state-worker/article23903194.html</w:t>
        </w:r>
      </w:hyperlink>
      <w:r w:rsidRPr="00D37249">
        <w:rPr>
          <w:rFonts w:ascii="Times New Roman" w:hAnsi="Times New Roman"/>
          <w:sz w:val="24"/>
          <w:szCs w:val="24"/>
        </w:rPr>
        <w:t xml:space="preserve"> </w:t>
      </w:r>
    </w:p>
    <w:p w14:paraId="0FE447D9" w14:textId="1AB47CD9" w:rsidR="00B532F6" w:rsidRPr="00B532F6" w:rsidRDefault="00B532F6" w:rsidP="00B532F6">
      <w:pPr>
        <w:pStyle w:val="NoSpacing"/>
        <w:ind w:left="720"/>
        <w:rPr>
          <w:rFonts w:ascii="Times New Roman" w:hAnsi="Times New Roman"/>
          <w:sz w:val="24"/>
          <w:szCs w:val="24"/>
        </w:rPr>
      </w:pPr>
      <w:r w:rsidRPr="00B532F6">
        <w:rPr>
          <w:rFonts w:ascii="Times New Roman" w:hAnsi="Times New Roman"/>
          <w:sz w:val="24"/>
          <w:szCs w:val="24"/>
        </w:rPr>
        <w:t xml:space="preserve">See June 24, </w:t>
      </w:r>
      <w:proofErr w:type="gramStart"/>
      <w:r w:rsidRPr="00B532F6">
        <w:rPr>
          <w:rFonts w:ascii="Times New Roman" w:hAnsi="Times New Roman"/>
          <w:sz w:val="24"/>
          <w:szCs w:val="24"/>
        </w:rPr>
        <w:t>2015</w:t>
      </w:r>
      <w:proofErr w:type="gramEnd"/>
      <w:r w:rsidRPr="00B532F6">
        <w:rPr>
          <w:rFonts w:ascii="Times New Roman" w:hAnsi="Times New Roman"/>
          <w:sz w:val="24"/>
          <w:szCs w:val="24"/>
        </w:rPr>
        <w:t xml:space="preserve"> article, “Ex-Cal Fire battalion chief convicted of stabbing girlfriend to death.”  </w:t>
      </w:r>
      <w:hyperlink r:id="rId2735" w:history="1">
        <w:r w:rsidRPr="001F33D6">
          <w:rPr>
            <w:rStyle w:val="Hyperlink"/>
            <w:rFonts w:ascii="Times New Roman" w:hAnsi="Times New Roman"/>
            <w:sz w:val="24"/>
            <w:szCs w:val="24"/>
          </w:rPr>
          <w:t>https://www.latimes.com/local/lanow/la-me-ln-ex-cal-fire-chief-convicted-stabbing-girlfriend-20150624-story.html</w:t>
        </w:r>
      </w:hyperlink>
    </w:p>
    <w:p w14:paraId="0D06CA8A" w14:textId="77777777" w:rsidR="00B532F6" w:rsidRDefault="00B532F6" w:rsidP="00F326E5">
      <w:pPr>
        <w:pStyle w:val="NoSpacing"/>
        <w:rPr>
          <w:rFonts w:ascii="Arial Black" w:hAnsi="Arial Black"/>
          <w:sz w:val="24"/>
          <w:szCs w:val="24"/>
        </w:rPr>
      </w:pPr>
    </w:p>
    <w:p w14:paraId="146E9F23" w14:textId="1F514D14" w:rsidR="00B532F6" w:rsidRDefault="00B532F6" w:rsidP="00F326E5">
      <w:pPr>
        <w:pStyle w:val="NoSpacing"/>
        <w:rPr>
          <w:rFonts w:ascii="Arial Black" w:hAnsi="Arial Black"/>
          <w:sz w:val="24"/>
          <w:szCs w:val="24"/>
        </w:rPr>
      </w:pPr>
      <w:r>
        <w:rPr>
          <w:rFonts w:ascii="Arial Black" w:hAnsi="Arial Black"/>
          <w:sz w:val="24"/>
          <w:szCs w:val="24"/>
        </w:rPr>
        <w:t>16-43</w:t>
      </w:r>
    </w:p>
    <w:p w14:paraId="6768CAA3" w14:textId="77777777" w:rsidR="00B532F6" w:rsidRPr="00295AB9" w:rsidRDefault="00B532F6" w:rsidP="00B532F6">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lastRenderedPageBreak/>
        <w:t>TX: DISTRICT CHIEF POSTED COMMENTS ABOUT TRANSFER OPENING - FF SOCIAL MEDIA GROUP – DISCIPLINE UPHELD, FD POLICY BREACH</w:t>
      </w:r>
    </w:p>
    <w:p w14:paraId="3A32CD0F" w14:textId="77777777" w:rsidR="00B532F6" w:rsidRPr="008850B0" w:rsidRDefault="00B532F6" w:rsidP="00B532F6">
      <w:pPr>
        <w:spacing w:before="100" w:beforeAutospacing="1" w:after="100" w:afterAutospacing="1" w:line="240" w:lineRule="auto"/>
        <w:rPr>
          <w:rFonts w:ascii="Times New Roman" w:eastAsia="Times New Roman" w:hAnsi="Times New Roman"/>
          <w:sz w:val="24"/>
          <w:szCs w:val="24"/>
        </w:rPr>
      </w:pPr>
      <w:r w:rsidRPr="00295AB9">
        <w:rPr>
          <w:rFonts w:ascii="Times New Roman" w:eastAsia="Times New Roman" w:hAnsi="Times New Roman"/>
          <w:sz w:val="24"/>
          <w:szCs w:val="24"/>
        </w:rPr>
        <w:t xml:space="preserve">On Sept. 16, 2020, in </w:t>
      </w:r>
      <w:r w:rsidRPr="00295AB9">
        <w:rPr>
          <w:rFonts w:ascii="Times New Roman" w:eastAsia="Times New Roman" w:hAnsi="Times New Roman"/>
          <w:sz w:val="24"/>
          <w:szCs w:val="24"/>
          <w:u w:val="single"/>
        </w:rPr>
        <w:t>Steven M. Dunbar v. Samuel Pena, Houston Fire Chief and Robert I. Garcia, Houston Assistant Fire Chief</w:t>
      </w:r>
      <w:r>
        <w:rPr>
          <w:rFonts w:ascii="Times New Roman" w:eastAsia="Times New Roman" w:hAnsi="Times New Roman"/>
          <w:sz w:val="24"/>
          <w:szCs w:val="24"/>
        </w:rPr>
        <w:t xml:space="preserve">, the U.S. Court of Appeals for Fifth Circuit (New Orleans) held (3 to 0) that the Houston Fire Department lawfully suspended District Chief Dunbar (3 days, later reduced to one day) and transferred him to an administrative position in another FD district.  The posting concerned a transfer opportunity, which is not a matter of public concern and therefore not protected under First Amendment. The District Chief posted </w:t>
      </w:r>
      <w:r w:rsidRPr="008850B0">
        <w:rPr>
          <w:rFonts w:ascii="Times New Roman" w:eastAsia="Times New Roman" w:hAnsi="Times New Roman"/>
          <w:sz w:val="24"/>
          <w:szCs w:val="24"/>
        </w:rPr>
        <w:t xml:space="preserve">on a </w:t>
      </w:r>
      <w:r w:rsidRPr="008850B0">
        <w:rPr>
          <w:rFonts w:ascii="Times New Roman" w:hAnsi="Times New Roman"/>
          <w:sz w:val="24"/>
          <w:szCs w:val="24"/>
        </w:rPr>
        <w:t>private social media group for HFD firefighters</w:t>
      </w:r>
      <w:r>
        <w:rPr>
          <w:rFonts w:ascii="Times New Roman" w:hAnsi="Times New Roman"/>
          <w:sz w:val="24"/>
          <w:szCs w:val="24"/>
        </w:rPr>
        <w:t xml:space="preserve">: </w:t>
      </w:r>
      <w:r w:rsidRPr="008850B0">
        <w:rPr>
          <w:rFonts w:ascii="Times New Roman" w:hAnsi="Times New Roman"/>
          <w:sz w:val="24"/>
          <w:szCs w:val="24"/>
        </w:rPr>
        <w:t xml:space="preserve">"If you are thinking about putting in for a spot in District 64 on C-shift you better have your </w:t>
      </w:r>
      <w:proofErr w:type="spellStart"/>
      <w:r w:rsidRPr="008850B0">
        <w:rPr>
          <w:rFonts w:ascii="Times New Roman" w:hAnsi="Times New Roman"/>
          <w:sz w:val="24"/>
          <w:szCs w:val="24"/>
        </w:rPr>
        <w:t>sh</w:t>
      </w:r>
      <w:proofErr w:type="spellEnd"/>
      <w:r w:rsidRPr="008850B0">
        <w:rPr>
          <w:rFonts w:ascii="Times New Roman" w:hAnsi="Times New Roman"/>
          <w:sz w:val="24"/>
          <w:szCs w:val="24"/>
        </w:rPr>
        <w:t xml:space="preserve">** together. Wanna play games like </w:t>
      </w:r>
      <w:proofErr w:type="gramStart"/>
      <w:r w:rsidRPr="008850B0">
        <w:rPr>
          <w:rFonts w:ascii="Times New Roman" w:hAnsi="Times New Roman"/>
          <w:sz w:val="24"/>
          <w:szCs w:val="24"/>
        </w:rPr>
        <w:t>previously-assigned</w:t>
      </w:r>
      <w:proofErr w:type="gramEnd"/>
      <w:r w:rsidRPr="008850B0">
        <w:rPr>
          <w:rFonts w:ascii="Times New Roman" w:hAnsi="Times New Roman"/>
          <w:sz w:val="24"/>
          <w:szCs w:val="24"/>
        </w:rPr>
        <w:t xml:space="preserve"> members? You will be miserable...promise."</w:t>
      </w:r>
    </w:p>
    <w:p w14:paraId="49F18194" w14:textId="77777777" w:rsidR="00B532F6" w:rsidRPr="008850B0" w:rsidRDefault="00B532F6" w:rsidP="00B532F6">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r w:rsidRPr="008850B0">
        <w:rPr>
          <w:rFonts w:ascii="Times New Roman" w:hAnsi="Times New Roman"/>
          <w:sz w:val="24"/>
          <w:szCs w:val="24"/>
        </w:rPr>
        <w:t xml:space="preserve">Public employees are entitled to circumscribed constitutional protections in connection with their governmental duties, but they </w:t>
      </w:r>
      <w:r>
        <w:rPr>
          <w:rFonts w:ascii="Times New Roman" w:hAnsi="Times New Roman"/>
          <w:sz w:val="24"/>
          <w:szCs w:val="24"/>
        </w:rPr>
        <w:t>‘</w:t>
      </w:r>
      <w:r w:rsidRPr="008850B0">
        <w:rPr>
          <w:rFonts w:ascii="Times New Roman" w:hAnsi="Times New Roman"/>
          <w:sz w:val="24"/>
          <w:szCs w:val="24"/>
        </w:rPr>
        <w:t>do not surrender all their First Amendment rights by reason of their employment. Rather, the First Amendment protects a public employee's right, in certain circumstances, to speak as a citizen addressing matters of public concern.</w:t>
      </w:r>
      <w:r>
        <w:rPr>
          <w:rFonts w:ascii="Times New Roman" w:hAnsi="Times New Roman"/>
          <w:sz w:val="24"/>
          <w:szCs w:val="24"/>
        </w:rPr>
        <w:t>’</w:t>
      </w:r>
      <w:r w:rsidRPr="008850B0">
        <w:rPr>
          <w:rFonts w:ascii="Times New Roman" w:hAnsi="Times New Roman"/>
          <w:sz w:val="24"/>
          <w:szCs w:val="24"/>
        </w:rPr>
        <w:t xml:space="preserve"> </w:t>
      </w:r>
      <w:r w:rsidRPr="008850B0">
        <w:rPr>
          <w:rFonts w:ascii="Times New Roman" w:hAnsi="Times New Roman"/>
          <w:i/>
          <w:iCs/>
          <w:sz w:val="24"/>
          <w:szCs w:val="24"/>
        </w:rPr>
        <w:t>Garcetti v</w:t>
      </w:r>
      <w:r w:rsidRPr="008850B0">
        <w:rPr>
          <w:rFonts w:ascii="Times New Roman" w:hAnsi="Times New Roman"/>
          <w:sz w:val="24"/>
          <w:szCs w:val="24"/>
        </w:rPr>
        <w:t xml:space="preserve">. </w:t>
      </w:r>
      <w:r w:rsidRPr="008850B0">
        <w:rPr>
          <w:rFonts w:ascii="Times New Roman" w:hAnsi="Times New Roman"/>
          <w:i/>
          <w:iCs/>
          <w:sz w:val="24"/>
          <w:szCs w:val="24"/>
        </w:rPr>
        <w:t>Ceballos</w:t>
      </w:r>
      <w:r w:rsidRPr="008850B0">
        <w:rPr>
          <w:rFonts w:ascii="Times New Roman" w:hAnsi="Times New Roman"/>
          <w:sz w:val="24"/>
          <w:szCs w:val="24"/>
        </w:rPr>
        <w:t xml:space="preserve">, 547 U.S. 410, 417 (2006). Therefore, to be protected against adverse employment action in retaliation for speech, a public employee must speak in the employee's </w:t>
      </w:r>
      <w:r>
        <w:rPr>
          <w:rFonts w:ascii="Times New Roman" w:hAnsi="Times New Roman"/>
          <w:sz w:val="24"/>
          <w:szCs w:val="24"/>
        </w:rPr>
        <w:t>‘</w:t>
      </w:r>
      <w:r w:rsidRPr="008850B0">
        <w:rPr>
          <w:rFonts w:ascii="Times New Roman" w:hAnsi="Times New Roman"/>
          <w:sz w:val="24"/>
          <w:szCs w:val="24"/>
        </w:rPr>
        <w:t>capacity as a citizen,</w:t>
      </w:r>
      <w:r>
        <w:rPr>
          <w:rFonts w:ascii="Times New Roman" w:hAnsi="Times New Roman"/>
          <w:sz w:val="24"/>
          <w:szCs w:val="24"/>
        </w:rPr>
        <w:t>’</w:t>
      </w:r>
      <w:r w:rsidRPr="008850B0">
        <w:rPr>
          <w:rFonts w:ascii="Times New Roman" w:hAnsi="Times New Roman"/>
          <w:sz w:val="24"/>
          <w:szCs w:val="24"/>
        </w:rPr>
        <w:t xml:space="preserve"> rather than pursuant to the employee's </w:t>
      </w:r>
      <w:r>
        <w:rPr>
          <w:rFonts w:ascii="Times New Roman" w:hAnsi="Times New Roman"/>
          <w:sz w:val="24"/>
          <w:szCs w:val="24"/>
        </w:rPr>
        <w:t>‘</w:t>
      </w:r>
      <w:r w:rsidRPr="008850B0">
        <w:rPr>
          <w:rFonts w:ascii="Times New Roman" w:hAnsi="Times New Roman"/>
          <w:sz w:val="24"/>
          <w:szCs w:val="24"/>
        </w:rPr>
        <w:t>official duties,</w:t>
      </w:r>
      <w:r>
        <w:rPr>
          <w:rFonts w:ascii="Times New Roman" w:hAnsi="Times New Roman"/>
          <w:sz w:val="24"/>
          <w:szCs w:val="24"/>
        </w:rPr>
        <w:t>’</w:t>
      </w:r>
      <w:r w:rsidRPr="008850B0">
        <w:rPr>
          <w:rFonts w:ascii="Times New Roman" w:hAnsi="Times New Roman"/>
          <w:sz w:val="24"/>
          <w:szCs w:val="24"/>
        </w:rPr>
        <w:t xml:space="preserve"> and the employee must address a matter of public concern. </w:t>
      </w:r>
      <w:r w:rsidRPr="008850B0">
        <w:rPr>
          <w:rFonts w:ascii="Times New Roman" w:hAnsi="Times New Roman"/>
          <w:i/>
          <w:iCs/>
          <w:sz w:val="24"/>
          <w:szCs w:val="24"/>
        </w:rPr>
        <w:t>Id</w:t>
      </w:r>
      <w:r w:rsidRPr="008850B0">
        <w:rPr>
          <w:rFonts w:ascii="Times New Roman" w:hAnsi="Times New Roman"/>
          <w:sz w:val="24"/>
          <w:szCs w:val="24"/>
        </w:rPr>
        <w:t xml:space="preserve">. at 417, 421. </w:t>
      </w:r>
      <w:proofErr w:type="gramStart"/>
      <w:r w:rsidRPr="008850B0">
        <w:rPr>
          <w:rFonts w:ascii="Times New Roman" w:hAnsi="Times New Roman"/>
          <w:sz w:val="24"/>
          <w:szCs w:val="24"/>
        </w:rPr>
        <w:t xml:space="preserve">Otherwise, </w:t>
      </w:r>
      <w:r>
        <w:rPr>
          <w:rFonts w:ascii="Times New Roman" w:hAnsi="Times New Roman"/>
          <w:sz w:val="24"/>
          <w:szCs w:val="24"/>
        </w:rPr>
        <w:t>‘</w:t>
      </w:r>
      <w:proofErr w:type="gramEnd"/>
      <w:r w:rsidRPr="008850B0">
        <w:rPr>
          <w:rFonts w:ascii="Times New Roman" w:hAnsi="Times New Roman"/>
          <w:sz w:val="24"/>
          <w:szCs w:val="24"/>
        </w:rPr>
        <w:t>the employee has no First Amendment cause of action based on his or her employer's reaction to the speech.</w:t>
      </w:r>
      <w:r>
        <w:rPr>
          <w:rFonts w:ascii="Times New Roman" w:hAnsi="Times New Roman"/>
          <w:sz w:val="24"/>
          <w:szCs w:val="24"/>
        </w:rPr>
        <w:t>’</w:t>
      </w:r>
      <w:r w:rsidRPr="008850B0">
        <w:rPr>
          <w:rFonts w:ascii="Times New Roman" w:hAnsi="Times New Roman"/>
          <w:sz w:val="24"/>
          <w:szCs w:val="24"/>
        </w:rPr>
        <w:t xml:space="preserve"> </w:t>
      </w:r>
      <w:r w:rsidRPr="008850B0">
        <w:rPr>
          <w:rFonts w:ascii="Times New Roman" w:hAnsi="Times New Roman"/>
          <w:i/>
          <w:iCs/>
          <w:sz w:val="24"/>
          <w:szCs w:val="24"/>
        </w:rPr>
        <w:t>Id</w:t>
      </w:r>
      <w:r w:rsidRPr="008850B0">
        <w:rPr>
          <w:rFonts w:ascii="Times New Roman" w:hAnsi="Times New Roman"/>
          <w:sz w:val="24"/>
          <w:szCs w:val="24"/>
        </w:rPr>
        <w:t>. at 418.</w:t>
      </w:r>
      <w:r>
        <w:rPr>
          <w:rFonts w:ascii="Times New Roman" w:hAnsi="Times New Roman"/>
          <w:sz w:val="24"/>
          <w:szCs w:val="24"/>
        </w:rPr>
        <w:t xml:space="preserve"> </w:t>
      </w:r>
    </w:p>
    <w:p w14:paraId="333DDD8A" w14:textId="4A2E1669" w:rsidR="00B532F6" w:rsidRDefault="00B532F6" w:rsidP="00B532F6">
      <w:pPr>
        <w:pStyle w:val="NoSpacing"/>
        <w:rPr>
          <w:rStyle w:val="Hyperlink"/>
          <w:rFonts w:ascii="Times New Roman" w:hAnsi="Times New Roman"/>
          <w:sz w:val="24"/>
          <w:szCs w:val="24"/>
        </w:rPr>
      </w:pPr>
      <w:r w:rsidRPr="008850B0">
        <w:rPr>
          <w:rFonts w:ascii="Times New Roman" w:hAnsi="Times New Roman"/>
          <w:sz w:val="24"/>
          <w:szCs w:val="24"/>
        </w:rPr>
        <w:t xml:space="preserve">By contrast, employee-to-employee communications concerning </w:t>
      </w:r>
      <w:proofErr w:type="gramStart"/>
      <w:r w:rsidRPr="008850B0">
        <w:rPr>
          <w:rFonts w:ascii="Times New Roman" w:hAnsi="Times New Roman"/>
          <w:sz w:val="24"/>
          <w:szCs w:val="24"/>
        </w:rPr>
        <w:t>particular transfer</w:t>
      </w:r>
      <w:proofErr w:type="gramEnd"/>
      <w:r w:rsidRPr="008850B0">
        <w:rPr>
          <w:rFonts w:ascii="Times New Roman" w:hAnsi="Times New Roman"/>
          <w:sz w:val="24"/>
          <w:szCs w:val="24"/>
        </w:rPr>
        <w:t xml:space="preserve"> decisions generally do not implicate matters of public concern</w:t>
      </w:r>
      <w:r>
        <w:rPr>
          <w:rFonts w:ascii="Times New Roman" w:hAnsi="Times New Roman"/>
          <w:sz w:val="24"/>
          <w:szCs w:val="24"/>
        </w:rPr>
        <w:t xml:space="preserve">…. </w:t>
      </w:r>
      <w:hyperlink r:id="rId2736" w:history="1">
        <w:r w:rsidRPr="005E64DB">
          <w:rPr>
            <w:rStyle w:val="Hyperlink"/>
            <w:rFonts w:ascii="Times New Roman" w:hAnsi="Times New Roman"/>
            <w:sz w:val="24"/>
            <w:szCs w:val="24"/>
          </w:rPr>
          <w:t>http://www.ca5.uscourts.gov/opinions/unpub/20/20-20087.0.pdf</w:t>
        </w:r>
      </w:hyperlink>
    </w:p>
    <w:p w14:paraId="60FA9DE6" w14:textId="77777777" w:rsidR="00B532F6" w:rsidRPr="00DA4DDB" w:rsidRDefault="00B532F6" w:rsidP="00B532F6">
      <w:pPr>
        <w:spacing w:before="100" w:beforeAutospacing="1" w:after="100" w:afterAutospacing="1" w:line="240" w:lineRule="auto"/>
        <w:rPr>
          <w:rFonts w:ascii="Times New Roman" w:eastAsia="Times New Roman" w:hAnsi="Times New Roman"/>
          <w:b/>
          <w:bCs/>
          <w:sz w:val="24"/>
          <w:szCs w:val="24"/>
        </w:rPr>
      </w:pPr>
      <w:r w:rsidRPr="00DA4DDB">
        <w:rPr>
          <w:rFonts w:ascii="Times New Roman" w:hAnsi="Times New Roman"/>
          <w:b/>
          <w:bCs/>
          <w:sz w:val="24"/>
          <w:szCs w:val="24"/>
        </w:rPr>
        <w:t>Legal Lessons Learned:</w:t>
      </w:r>
      <w:r>
        <w:rPr>
          <w:rFonts w:ascii="Times New Roman" w:hAnsi="Times New Roman"/>
          <w:b/>
          <w:bCs/>
          <w:sz w:val="24"/>
          <w:szCs w:val="24"/>
        </w:rPr>
        <w:t xml:space="preserve"> Social media posts about internal FD matters are not protected under First Amendment.  </w:t>
      </w:r>
    </w:p>
    <w:p w14:paraId="09886929" w14:textId="77777777" w:rsidR="00B532F6" w:rsidRDefault="00B532F6" w:rsidP="00B532F6">
      <w:pPr>
        <w:spacing w:before="100" w:beforeAutospacing="1" w:after="100" w:afterAutospacing="1" w:line="240" w:lineRule="auto"/>
        <w:ind w:left="720"/>
        <w:rPr>
          <w:rFonts w:ascii="Times New Roman" w:hAnsi="Times New Roman"/>
          <w:sz w:val="24"/>
          <w:szCs w:val="24"/>
        </w:rPr>
      </w:pPr>
      <w:r w:rsidRPr="00DA4DDB">
        <w:rPr>
          <w:rFonts w:ascii="Times New Roman" w:eastAsia="Times New Roman" w:hAnsi="Times New Roman"/>
          <w:sz w:val="24"/>
          <w:szCs w:val="24"/>
        </w:rPr>
        <w:t>Note:</w:t>
      </w:r>
      <w:r>
        <w:rPr>
          <w:rFonts w:ascii="Times New Roman" w:eastAsia="Times New Roman" w:hAnsi="Times New Roman"/>
          <w:b/>
          <w:bCs/>
          <w:sz w:val="24"/>
          <w:szCs w:val="24"/>
        </w:rPr>
        <w:t xml:space="preserve"> </w:t>
      </w:r>
      <w:r w:rsidRPr="00DA4DDB">
        <w:rPr>
          <w:rFonts w:ascii="Times New Roman" w:hAnsi="Times New Roman"/>
          <w:sz w:val="24"/>
          <w:szCs w:val="24"/>
        </w:rPr>
        <w:t xml:space="preserve">Under HFD's transfer guidelines, </w:t>
      </w:r>
      <w:r>
        <w:rPr>
          <w:rFonts w:ascii="Times New Roman" w:hAnsi="Times New Roman"/>
          <w:sz w:val="24"/>
          <w:szCs w:val="24"/>
        </w:rPr>
        <w:t>‘</w:t>
      </w:r>
      <w:r w:rsidRPr="00DA4DDB">
        <w:rPr>
          <w:rFonts w:ascii="Times New Roman" w:hAnsi="Times New Roman"/>
          <w:sz w:val="24"/>
          <w:szCs w:val="24"/>
        </w:rPr>
        <w:t>No member will communicate with [a] member requesting [a] transfer, including the incoming officer, to promote or influence the candidacy of a member or to discourage a member from applying for a posted or anticipated vacancy. Any violation of this directive will result in disciplinary action.</w:t>
      </w:r>
      <w:r>
        <w:rPr>
          <w:rFonts w:ascii="Times New Roman" w:hAnsi="Times New Roman"/>
          <w:sz w:val="24"/>
          <w:szCs w:val="24"/>
        </w:rPr>
        <w:t>’</w:t>
      </w:r>
      <w:r w:rsidRPr="00DA4DDB">
        <w:rPr>
          <w:rFonts w:ascii="Times New Roman" w:hAnsi="Times New Roman"/>
          <w:sz w:val="24"/>
          <w:szCs w:val="24"/>
        </w:rPr>
        <w:t xml:space="preserve"> A similar statement was included in the memorandum announcing the transfer opportunity.</w:t>
      </w:r>
    </w:p>
    <w:p w14:paraId="651E9302" w14:textId="77777777" w:rsidR="00B532F6" w:rsidRDefault="00B532F6" w:rsidP="00B532F6">
      <w:pPr>
        <w:pStyle w:val="NoSpacing"/>
        <w:rPr>
          <w:rFonts w:ascii="Arial Black" w:hAnsi="Arial Black"/>
          <w:sz w:val="24"/>
          <w:szCs w:val="24"/>
        </w:rPr>
      </w:pPr>
    </w:p>
    <w:p w14:paraId="70AEF6E3" w14:textId="77777777" w:rsidR="00B532F6" w:rsidRDefault="00B532F6" w:rsidP="00F326E5">
      <w:pPr>
        <w:pStyle w:val="NoSpacing"/>
        <w:rPr>
          <w:rFonts w:ascii="Arial Black" w:hAnsi="Arial Black"/>
          <w:sz w:val="24"/>
          <w:szCs w:val="24"/>
        </w:rPr>
      </w:pPr>
    </w:p>
    <w:p w14:paraId="11A21A4E" w14:textId="72DBADFF" w:rsidR="00CD02AE" w:rsidRDefault="00CD02AE" w:rsidP="00F326E5">
      <w:pPr>
        <w:pStyle w:val="NoSpacing"/>
        <w:rPr>
          <w:rFonts w:ascii="Arial Black" w:hAnsi="Arial Black"/>
          <w:sz w:val="24"/>
          <w:szCs w:val="24"/>
        </w:rPr>
      </w:pPr>
      <w:r>
        <w:rPr>
          <w:rFonts w:ascii="Arial Black" w:hAnsi="Arial Black"/>
          <w:sz w:val="24"/>
          <w:szCs w:val="24"/>
        </w:rPr>
        <w:t>16-42</w:t>
      </w:r>
    </w:p>
    <w:p w14:paraId="2C2D18AC" w14:textId="77777777" w:rsidR="00CD02AE" w:rsidRDefault="00CD02AE" w:rsidP="00CD02AE">
      <w:pPr>
        <w:tabs>
          <w:tab w:val="left" w:pos="6680"/>
        </w:tabs>
        <w:spacing w:before="100" w:beforeAutospacing="1" w:after="100" w:afterAutospacing="1" w:line="240" w:lineRule="auto"/>
        <w:rPr>
          <w:rFonts w:ascii="Arial Black" w:hAnsi="Arial Black"/>
          <w:sz w:val="28"/>
          <w:szCs w:val="28"/>
        </w:rPr>
      </w:pPr>
      <w:r>
        <w:rPr>
          <w:rFonts w:ascii="Arial Black" w:hAnsi="Arial Black"/>
          <w:sz w:val="28"/>
          <w:szCs w:val="28"/>
        </w:rPr>
        <w:t>WA: FIRE CHIEF TERMINATED – CONTRACT REQUIRES “CAUSE” – LAWSUIT MAY PROCEED TO TRIAL</w:t>
      </w:r>
    </w:p>
    <w:p w14:paraId="59183A33" w14:textId="77777777" w:rsidR="00CD02AE" w:rsidRDefault="00CD02AE" w:rsidP="00CD02AE">
      <w:pPr>
        <w:tabs>
          <w:tab w:val="left" w:pos="6680"/>
        </w:tabs>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On Aug. 19, 2020, in </w:t>
      </w:r>
      <w:r>
        <w:rPr>
          <w:rFonts w:ascii="Times New Roman" w:hAnsi="Times New Roman"/>
          <w:sz w:val="24"/>
          <w:szCs w:val="24"/>
          <w:u w:val="single"/>
        </w:rPr>
        <w:t>David W. Bathke v. City of Ocean Shores &amp; Crystal Dingler</w:t>
      </w:r>
      <w:r>
        <w:rPr>
          <w:rFonts w:ascii="Times New Roman" w:hAnsi="Times New Roman"/>
          <w:sz w:val="24"/>
          <w:szCs w:val="24"/>
        </w:rPr>
        <w:t>, U.S. District Court Judge Benjamin H. Settle, U.S. District Court, Western District of Washington at Tacoma, held that the City’s motion for summary judgment was denied concerning the “breach of contract” claim.  As to Bathke's other claims, the Court grants Defendants' motion for summary judgment and dismisses Bathke's claims for retaliation, promissory fraud, and negligent misrepresentation.</w:t>
      </w:r>
    </w:p>
    <w:p w14:paraId="117DADD1" w14:textId="77777777" w:rsidR="00CD02AE" w:rsidRDefault="00CD02AE" w:rsidP="00CD02AE">
      <w:pPr>
        <w:spacing w:before="100" w:beforeAutospacing="1" w:after="100" w:afterAutospacing="1" w:line="240" w:lineRule="auto"/>
        <w:ind w:left="540"/>
        <w:rPr>
          <w:rFonts w:ascii="Times New Roman" w:eastAsia="Times New Roman" w:hAnsi="Times New Roman"/>
          <w:sz w:val="24"/>
          <w:szCs w:val="24"/>
        </w:rPr>
      </w:pPr>
      <w:r>
        <w:rPr>
          <w:rFonts w:ascii="Times New Roman" w:eastAsia="Times New Roman" w:hAnsi="Times New Roman"/>
          <w:sz w:val="24"/>
          <w:szCs w:val="24"/>
        </w:rPr>
        <w:lastRenderedPageBreak/>
        <w:t xml:space="preserve">"In a wrongful termination case, whether an employer properly determined it had just cause for termination is a question for the trier of fact." </w:t>
      </w:r>
      <w:r>
        <w:rPr>
          <w:rFonts w:ascii="Times New Roman" w:eastAsia="Times New Roman" w:hAnsi="Times New Roman"/>
          <w:i/>
          <w:iCs/>
          <w:sz w:val="24"/>
          <w:szCs w:val="24"/>
        </w:rPr>
        <w:t>Lund v</w:t>
      </w:r>
      <w:r>
        <w:rPr>
          <w:rFonts w:ascii="Times New Roman" w:eastAsia="Times New Roman" w:hAnsi="Times New Roman"/>
          <w:sz w:val="24"/>
          <w:szCs w:val="24"/>
        </w:rPr>
        <w:t xml:space="preserve">. </w:t>
      </w:r>
      <w:r>
        <w:rPr>
          <w:rFonts w:ascii="Times New Roman" w:eastAsia="Times New Roman" w:hAnsi="Times New Roman"/>
          <w:i/>
          <w:iCs/>
          <w:sz w:val="24"/>
          <w:szCs w:val="24"/>
        </w:rPr>
        <w:t>Grant Cty</w:t>
      </w:r>
      <w:r>
        <w:rPr>
          <w:rFonts w:ascii="Times New Roman" w:eastAsia="Times New Roman" w:hAnsi="Times New Roman"/>
          <w:sz w:val="24"/>
          <w:szCs w:val="24"/>
        </w:rPr>
        <w:t xml:space="preserve">. </w:t>
      </w:r>
      <w:r>
        <w:rPr>
          <w:rFonts w:ascii="Times New Roman" w:eastAsia="Times New Roman" w:hAnsi="Times New Roman"/>
          <w:i/>
          <w:iCs/>
          <w:sz w:val="24"/>
          <w:szCs w:val="24"/>
        </w:rPr>
        <w:t>Pub</w:t>
      </w:r>
      <w:r>
        <w:rPr>
          <w:rFonts w:ascii="Times New Roman" w:eastAsia="Times New Roman" w:hAnsi="Times New Roman"/>
          <w:sz w:val="24"/>
          <w:szCs w:val="24"/>
        </w:rPr>
        <w:t xml:space="preserve">. </w:t>
      </w:r>
      <w:r>
        <w:rPr>
          <w:rFonts w:ascii="Times New Roman" w:eastAsia="Times New Roman" w:hAnsi="Times New Roman"/>
          <w:i/>
          <w:iCs/>
          <w:sz w:val="24"/>
          <w:szCs w:val="24"/>
        </w:rPr>
        <w:t>Hosp</w:t>
      </w:r>
      <w:r>
        <w:rPr>
          <w:rFonts w:ascii="Times New Roman" w:eastAsia="Times New Roman" w:hAnsi="Times New Roman"/>
          <w:sz w:val="24"/>
          <w:szCs w:val="24"/>
        </w:rPr>
        <w:t xml:space="preserve">. </w:t>
      </w:r>
      <w:r>
        <w:rPr>
          <w:rFonts w:ascii="Times New Roman" w:eastAsia="Times New Roman" w:hAnsi="Times New Roman"/>
          <w:i/>
          <w:iCs/>
          <w:sz w:val="24"/>
          <w:szCs w:val="24"/>
        </w:rPr>
        <w:t>Dist</w:t>
      </w:r>
      <w:r>
        <w:rPr>
          <w:rFonts w:ascii="Times New Roman" w:eastAsia="Times New Roman" w:hAnsi="Times New Roman"/>
          <w:sz w:val="24"/>
          <w:szCs w:val="24"/>
        </w:rPr>
        <w:t xml:space="preserve">. </w:t>
      </w:r>
      <w:r>
        <w:rPr>
          <w:rFonts w:ascii="Times New Roman" w:eastAsia="Times New Roman" w:hAnsi="Times New Roman"/>
          <w:i/>
          <w:iCs/>
          <w:sz w:val="24"/>
          <w:szCs w:val="24"/>
        </w:rPr>
        <w:t>No</w:t>
      </w:r>
      <w:r>
        <w:rPr>
          <w:rFonts w:ascii="Times New Roman" w:eastAsia="Times New Roman" w:hAnsi="Times New Roman"/>
          <w:sz w:val="24"/>
          <w:szCs w:val="24"/>
        </w:rPr>
        <w:t xml:space="preserve">. </w:t>
      </w:r>
      <w:r>
        <w:rPr>
          <w:rFonts w:ascii="Times New Roman" w:eastAsia="Times New Roman" w:hAnsi="Times New Roman"/>
          <w:i/>
          <w:iCs/>
          <w:sz w:val="24"/>
          <w:szCs w:val="24"/>
        </w:rPr>
        <w:t>2</w:t>
      </w:r>
      <w:r>
        <w:rPr>
          <w:rFonts w:ascii="Times New Roman" w:eastAsia="Times New Roman" w:hAnsi="Times New Roman"/>
          <w:sz w:val="24"/>
          <w:szCs w:val="24"/>
        </w:rPr>
        <w:t xml:space="preserve">, 85 </w:t>
      </w:r>
      <w:proofErr w:type="spellStart"/>
      <w:r>
        <w:rPr>
          <w:rFonts w:ascii="Times New Roman" w:eastAsia="Times New Roman" w:hAnsi="Times New Roman"/>
          <w:sz w:val="24"/>
          <w:szCs w:val="24"/>
        </w:rPr>
        <w:t>Wn</w:t>
      </w:r>
      <w:proofErr w:type="spellEnd"/>
      <w:r>
        <w:rPr>
          <w:rFonts w:ascii="Times New Roman" w:eastAsia="Times New Roman" w:hAnsi="Times New Roman"/>
          <w:sz w:val="24"/>
          <w:szCs w:val="24"/>
        </w:rPr>
        <w:t xml:space="preserve">. App. 223, 228 (1997). *** “In this case, Bathke's declaration and supporting evidence sufficiently creates a question of fact on the issue of whether the City had just cause to terminate him. In reply, Defendants attempt to undermine the holding in </w:t>
      </w:r>
      <w:r>
        <w:rPr>
          <w:rFonts w:ascii="Times New Roman" w:eastAsia="Times New Roman" w:hAnsi="Times New Roman"/>
          <w:i/>
          <w:iCs/>
          <w:sz w:val="24"/>
          <w:szCs w:val="24"/>
        </w:rPr>
        <w:t>Lund</w:t>
      </w:r>
      <w:r>
        <w:rPr>
          <w:rFonts w:ascii="Times New Roman" w:eastAsia="Times New Roman" w:hAnsi="Times New Roman"/>
          <w:sz w:val="24"/>
          <w:szCs w:val="24"/>
        </w:rPr>
        <w:t xml:space="preserve"> by misquoting employment discrimination cases…. Defendants, however, fail to provide any persuasive authority or reason to take this question of fact away from the </w:t>
      </w:r>
      <w:proofErr w:type="gramStart"/>
      <w:r>
        <w:rPr>
          <w:rFonts w:ascii="Times New Roman" w:eastAsia="Times New Roman" w:hAnsi="Times New Roman"/>
          <w:sz w:val="24"/>
          <w:szCs w:val="24"/>
        </w:rPr>
        <w:t>factfinder</w:t>
      </w:r>
      <w:proofErr w:type="gramEnd"/>
      <w:r>
        <w:rPr>
          <w:rFonts w:ascii="Times New Roman" w:eastAsia="Times New Roman" w:hAnsi="Times New Roman"/>
          <w:sz w:val="24"/>
          <w:szCs w:val="24"/>
        </w:rPr>
        <w:t xml:space="preserve">. Therefore, the Court denies Defendants' motion on Bathke's breach of contract </w:t>
      </w:r>
      <w:proofErr w:type="gramStart"/>
      <w:r>
        <w:rPr>
          <w:rFonts w:ascii="Times New Roman" w:eastAsia="Times New Roman" w:hAnsi="Times New Roman"/>
          <w:sz w:val="24"/>
          <w:szCs w:val="24"/>
        </w:rPr>
        <w:t>claim.”</w:t>
      </w:r>
      <w:proofErr w:type="gramEnd"/>
      <w:r>
        <w:rPr>
          <w:rFonts w:ascii="Times New Roman" w:eastAsia="Times New Roman" w:hAnsi="Times New Roman"/>
          <w:sz w:val="24"/>
          <w:szCs w:val="24"/>
        </w:rPr>
        <w:t xml:space="preserve"> </w:t>
      </w:r>
      <w:hyperlink r:id="rId2737" w:history="1">
        <w:r>
          <w:rPr>
            <w:rStyle w:val="Hyperlink"/>
            <w:sz w:val="24"/>
            <w:szCs w:val="24"/>
          </w:rPr>
          <w:t>https://public.fastcase.com/Wl%2B2t%2BeVuI35%2FN70vAMFZiys29g9i6WW2vOdml2B4dJUoMj0gy8QWoByD0pzloLe</w:t>
        </w:r>
      </w:hyperlink>
      <w:r>
        <w:rPr>
          <w:rFonts w:ascii="Times New Roman" w:eastAsia="Times New Roman" w:hAnsi="Times New Roman"/>
          <w:sz w:val="24"/>
          <w:szCs w:val="24"/>
        </w:rPr>
        <w:t xml:space="preserve"> </w:t>
      </w:r>
    </w:p>
    <w:p w14:paraId="038DCA5E" w14:textId="77777777" w:rsidR="00CD02AE" w:rsidRDefault="00CD02AE" w:rsidP="00CD02AE">
      <w:pPr>
        <w:spacing w:before="100" w:beforeAutospacing="1" w:after="100" w:afterAutospacing="1" w:line="240" w:lineRule="auto"/>
        <w:rPr>
          <w:rFonts w:ascii="Times New Roman" w:eastAsia="Times New Roman" w:hAnsi="Times New Roman"/>
          <w:b/>
          <w:bCs/>
          <w:sz w:val="24"/>
          <w:szCs w:val="24"/>
        </w:rPr>
      </w:pPr>
      <w:r>
        <w:rPr>
          <w:rFonts w:ascii="Times New Roman" w:hAnsi="Times New Roman"/>
          <w:b/>
          <w:bCs/>
          <w:sz w:val="24"/>
          <w:szCs w:val="24"/>
        </w:rPr>
        <w:t>Legal Lessons Learned: Fire Chiefs, when accepting a new position, should include in their agreement that they cannot be fired except for “cause.”</w:t>
      </w:r>
    </w:p>
    <w:p w14:paraId="7ED60B59" w14:textId="77777777" w:rsidR="00CD02AE" w:rsidRDefault="00CD02AE" w:rsidP="00F326E5">
      <w:pPr>
        <w:pStyle w:val="NoSpacing"/>
        <w:rPr>
          <w:rFonts w:ascii="Arial Black" w:hAnsi="Arial Black"/>
          <w:sz w:val="24"/>
          <w:szCs w:val="24"/>
        </w:rPr>
      </w:pPr>
    </w:p>
    <w:p w14:paraId="09E21C5B" w14:textId="77777777" w:rsidR="00CD02AE" w:rsidRDefault="00CD02AE" w:rsidP="00F326E5">
      <w:pPr>
        <w:pStyle w:val="NoSpacing"/>
        <w:rPr>
          <w:rFonts w:ascii="Arial Black" w:hAnsi="Arial Black"/>
          <w:sz w:val="24"/>
          <w:szCs w:val="24"/>
        </w:rPr>
      </w:pPr>
    </w:p>
    <w:p w14:paraId="46958558" w14:textId="2F9F35DD" w:rsidR="00CD02AE" w:rsidRDefault="00CD02AE" w:rsidP="00F326E5">
      <w:pPr>
        <w:pStyle w:val="NoSpacing"/>
        <w:rPr>
          <w:rFonts w:ascii="Arial Black" w:hAnsi="Arial Black"/>
          <w:sz w:val="24"/>
          <w:szCs w:val="24"/>
        </w:rPr>
      </w:pPr>
      <w:r>
        <w:rPr>
          <w:rFonts w:ascii="Arial Black" w:hAnsi="Arial Black"/>
          <w:sz w:val="24"/>
          <w:szCs w:val="24"/>
        </w:rPr>
        <w:t>16-41</w:t>
      </w:r>
    </w:p>
    <w:p w14:paraId="61062D0C" w14:textId="44FB0126" w:rsidR="00CD02AE" w:rsidRDefault="00CD02AE" w:rsidP="00F326E5">
      <w:pPr>
        <w:pStyle w:val="NoSpacing"/>
        <w:rPr>
          <w:rFonts w:ascii="Arial Black" w:hAnsi="Arial Black"/>
          <w:sz w:val="24"/>
          <w:szCs w:val="24"/>
        </w:rPr>
      </w:pPr>
    </w:p>
    <w:p w14:paraId="66835412" w14:textId="77777777" w:rsidR="00CD02AE" w:rsidRDefault="00CD02AE" w:rsidP="00CD02AE">
      <w:pPr>
        <w:rPr>
          <w:rFonts w:ascii="Arial Black" w:hAnsi="Arial Black" w:cstheme="minorBidi"/>
          <w:sz w:val="28"/>
          <w:szCs w:val="28"/>
        </w:rPr>
      </w:pPr>
      <w:r>
        <w:rPr>
          <w:rFonts w:ascii="Arial Black" w:hAnsi="Arial Black"/>
          <w:sz w:val="28"/>
          <w:szCs w:val="28"/>
        </w:rPr>
        <w:t>OH: EMS CAPTAIN FIRED – FACEBOOK POST ABOUT DEATH TAMIR RICE – LAWSUIT REINSTATED, “PUBLIC CONCERN”</w:t>
      </w:r>
    </w:p>
    <w:p w14:paraId="573D34F1" w14:textId="77777777" w:rsidR="00CD02AE" w:rsidRDefault="00CD02AE" w:rsidP="00CD02AE">
      <w:pPr>
        <w:rPr>
          <w:rFonts w:ascii="Times New Roman" w:hAnsi="Times New Roman"/>
          <w:sz w:val="24"/>
          <w:szCs w:val="24"/>
        </w:rPr>
      </w:pPr>
      <w:r>
        <w:rPr>
          <w:rFonts w:ascii="Times New Roman" w:hAnsi="Times New Roman"/>
          <w:sz w:val="24"/>
          <w:szCs w:val="24"/>
        </w:rPr>
        <w:t xml:space="preserve">On Aug. 19, 2020, in </w:t>
      </w:r>
      <w:r>
        <w:rPr>
          <w:rFonts w:ascii="Times New Roman" w:hAnsi="Times New Roman"/>
          <w:sz w:val="24"/>
          <w:szCs w:val="24"/>
          <w:u w:val="single"/>
        </w:rPr>
        <w:t>Jamie Marquardt v. Nicole Carlton &amp; City of Cleveland</w:t>
      </w:r>
      <w:r>
        <w:rPr>
          <w:rFonts w:ascii="Times New Roman" w:hAnsi="Times New Roman"/>
          <w:sz w:val="24"/>
          <w:szCs w:val="24"/>
        </w:rPr>
        <w:t>, the U.S. Court of Appeals for the 6</w:t>
      </w:r>
      <w:r>
        <w:rPr>
          <w:rFonts w:ascii="Times New Roman" w:hAnsi="Times New Roman"/>
          <w:sz w:val="24"/>
          <w:szCs w:val="24"/>
          <w:vertAlign w:val="superscript"/>
        </w:rPr>
        <w:t>th</w:t>
      </w:r>
      <w:r>
        <w:rPr>
          <w:rFonts w:ascii="Times New Roman" w:hAnsi="Times New Roman"/>
          <w:sz w:val="24"/>
          <w:szCs w:val="24"/>
        </w:rPr>
        <w:t xml:space="preserve"> Circuit (Cincinnati) held (3 to 0) that the U.S. District Court judge in Cleveland improperly granted the city’s motion for summary judgment. </w:t>
      </w:r>
    </w:p>
    <w:p w14:paraId="6224EBCC" w14:textId="77777777" w:rsidR="00CD02AE" w:rsidRDefault="00CD02AE" w:rsidP="00CD02AE">
      <w:pPr>
        <w:ind w:left="720"/>
        <w:rPr>
          <w:rFonts w:ascii="Times New Roman" w:hAnsi="Times New Roman"/>
          <w:b/>
          <w:bCs/>
          <w:sz w:val="24"/>
          <w:szCs w:val="24"/>
        </w:rPr>
      </w:pPr>
      <w:r>
        <w:rPr>
          <w:rFonts w:ascii="Times New Roman" w:hAnsi="Times New Roman"/>
          <w:sz w:val="24"/>
          <w:szCs w:val="24"/>
        </w:rPr>
        <w:t xml:space="preserve">“Because Marquardt's social media posts addressed a matter of public concern, the district court erred in granting summary judgment on that basis.”  </w:t>
      </w:r>
      <w:hyperlink r:id="rId2738" w:history="1">
        <w:r>
          <w:rPr>
            <w:rStyle w:val="Hyperlink"/>
            <w:sz w:val="24"/>
            <w:szCs w:val="24"/>
          </w:rPr>
          <w:t>https://www.opn.ca6.uscourts.gov/opinions.pdf/20a0268p-06.pdf</w:t>
        </w:r>
      </w:hyperlink>
      <w:r>
        <w:rPr>
          <w:rFonts w:ascii="Times New Roman" w:hAnsi="Times New Roman"/>
          <w:sz w:val="24"/>
          <w:szCs w:val="24"/>
        </w:rPr>
        <w:t xml:space="preserve"> </w:t>
      </w:r>
    </w:p>
    <w:p w14:paraId="64AF7E75" w14:textId="77777777" w:rsidR="00CD02AE" w:rsidRDefault="00CD02AE" w:rsidP="00CD02AE">
      <w:pPr>
        <w:spacing w:before="100" w:beforeAutospacing="1" w:after="100" w:afterAutospacing="1" w:line="240" w:lineRule="auto"/>
        <w:rPr>
          <w:sz w:val="40"/>
          <w:szCs w:val="40"/>
        </w:rPr>
      </w:pPr>
      <w:r>
        <w:rPr>
          <w:rFonts w:ascii="Times New Roman" w:eastAsia="Times New Roman" w:hAnsi="Times New Roman"/>
          <w:b/>
          <w:bCs/>
          <w:sz w:val="24"/>
          <w:szCs w:val="24"/>
        </w:rPr>
        <w:t>Legal Lessons Learned: Social Media posts are resulting in terminations in the fire service; employers must carefully review whether the matter is of “public concern” before imposing discipline.</w:t>
      </w:r>
    </w:p>
    <w:p w14:paraId="6C67D5D6" w14:textId="77777777" w:rsidR="00CD02AE" w:rsidRDefault="00CD02AE" w:rsidP="00F326E5">
      <w:pPr>
        <w:pStyle w:val="NoSpacing"/>
        <w:rPr>
          <w:rFonts w:ascii="Arial Black" w:hAnsi="Arial Black"/>
          <w:sz w:val="24"/>
          <w:szCs w:val="24"/>
        </w:rPr>
      </w:pPr>
    </w:p>
    <w:p w14:paraId="59E110A1" w14:textId="77777777" w:rsidR="00CD02AE" w:rsidRDefault="00CD02AE" w:rsidP="00F326E5">
      <w:pPr>
        <w:pStyle w:val="NoSpacing"/>
        <w:rPr>
          <w:rFonts w:ascii="Arial Black" w:hAnsi="Arial Black"/>
          <w:sz w:val="24"/>
          <w:szCs w:val="24"/>
        </w:rPr>
      </w:pPr>
    </w:p>
    <w:p w14:paraId="171736AA" w14:textId="7129564F" w:rsidR="001A653A" w:rsidRDefault="001A653A" w:rsidP="00F326E5">
      <w:pPr>
        <w:pStyle w:val="NoSpacing"/>
        <w:rPr>
          <w:rFonts w:ascii="Arial Black" w:hAnsi="Arial Black"/>
          <w:sz w:val="24"/>
          <w:szCs w:val="24"/>
        </w:rPr>
      </w:pPr>
      <w:r>
        <w:rPr>
          <w:rFonts w:ascii="Arial Black" w:hAnsi="Arial Black"/>
          <w:sz w:val="24"/>
          <w:szCs w:val="24"/>
        </w:rPr>
        <w:t>16-40</w:t>
      </w:r>
    </w:p>
    <w:p w14:paraId="3D1B1C35" w14:textId="5415F8AA" w:rsidR="001A653A" w:rsidRDefault="001A653A" w:rsidP="00F326E5">
      <w:pPr>
        <w:pStyle w:val="NoSpacing"/>
        <w:rPr>
          <w:rFonts w:ascii="Arial Black" w:hAnsi="Arial Black"/>
          <w:sz w:val="24"/>
          <w:szCs w:val="24"/>
        </w:rPr>
      </w:pPr>
    </w:p>
    <w:p w14:paraId="712EF66B" w14:textId="77777777" w:rsidR="001A653A" w:rsidRPr="00C7439B" w:rsidRDefault="001A653A" w:rsidP="001A653A">
      <w:pPr>
        <w:pStyle w:val="NoSpacing"/>
        <w:rPr>
          <w:rFonts w:ascii="Arial Black" w:hAnsi="Arial Black"/>
          <w:sz w:val="28"/>
          <w:szCs w:val="28"/>
        </w:rPr>
      </w:pPr>
      <w:r w:rsidRPr="00C7439B">
        <w:rPr>
          <w:rFonts w:ascii="Arial Black" w:hAnsi="Arial Black"/>
          <w:sz w:val="28"/>
          <w:szCs w:val="28"/>
        </w:rPr>
        <w:t xml:space="preserve">NY: </w:t>
      </w:r>
      <w:r>
        <w:rPr>
          <w:rFonts w:ascii="Arial Black" w:hAnsi="Arial Black"/>
          <w:sz w:val="28"/>
          <w:szCs w:val="28"/>
        </w:rPr>
        <w:t>CAREER FF / UNION SECRETARY FIRED FOR PUNCHING VOL. FF IN FACE – COMBINATION FD - LAWSUIT DISMISSED</w:t>
      </w:r>
    </w:p>
    <w:p w14:paraId="31B06354" w14:textId="77777777" w:rsidR="001A653A" w:rsidRDefault="001A653A" w:rsidP="001A653A">
      <w:pPr>
        <w:spacing w:before="100" w:beforeAutospacing="1" w:after="100" w:afterAutospacing="1" w:line="240" w:lineRule="auto"/>
        <w:rPr>
          <w:b/>
          <w:bCs/>
        </w:rPr>
      </w:pPr>
      <w:r w:rsidRPr="00C7439B">
        <w:rPr>
          <w:rFonts w:ascii="Times New Roman" w:hAnsi="Times New Roman"/>
          <w:sz w:val="24"/>
          <w:szCs w:val="24"/>
        </w:rPr>
        <w:t xml:space="preserve">On </w:t>
      </w:r>
      <w:r>
        <w:rPr>
          <w:rFonts w:ascii="Times New Roman" w:hAnsi="Times New Roman"/>
          <w:sz w:val="24"/>
          <w:szCs w:val="24"/>
        </w:rPr>
        <w:t xml:space="preserve">July 10, 2020, in </w:t>
      </w:r>
      <w:r w:rsidRPr="00C7439B">
        <w:rPr>
          <w:rFonts w:ascii="Times New Roman" w:hAnsi="Times New Roman"/>
          <w:sz w:val="24"/>
          <w:szCs w:val="24"/>
          <w:u w:val="single"/>
        </w:rPr>
        <w:t>Brian McNamara v. The City of Long Beach</w:t>
      </w:r>
      <w:r>
        <w:rPr>
          <w:rFonts w:ascii="Times New Roman" w:hAnsi="Times New Roman"/>
          <w:sz w:val="24"/>
          <w:szCs w:val="24"/>
          <w:u w:val="single"/>
        </w:rPr>
        <w:t>,</w:t>
      </w:r>
      <w:r w:rsidRPr="00C7439B">
        <w:rPr>
          <w:rFonts w:ascii="Times New Roman" w:hAnsi="Times New Roman"/>
          <w:sz w:val="24"/>
          <w:szCs w:val="24"/>
          <w:u w:val="single"/>
        </w:rPr>
        <w:t xml:space="preserve"> et al</w:t>
      </w:r>
      <w:r>
        <w:rPr>
          <w:rFonts w:ascii="Times New Roman" w:hAnsi="Times New Roman"/>
          <w:sz w:val="24"/>
          <w:szCs w:val="24"/>
        </w:rPr>
        <w:t xml:space="preserve">., U.S. District Court Senior Judge Denis R. Hurley, Eastern District of New York (Central Islip, NY) granted summary judgment to the </w:t>
      </w:r>
      <w:proofErr w:type="gramStart"/>
      <w:r>
        <w:rPr>
          <w:rFonts w:ascii="Times New Roman" w:hAnsi="Times New Roman"/>
          <w:sz w:val="24"/>
          <w:szCs w:val="24"/>
        </w:rPr>
        <w:t>City</w:t>
      </w:r>
      <w:proofErr w:type="gramEnd"/>
      <w:r>
        <w:rPr>
          <w:rFonts w:ascii="Times New Roman" w:hAnsi="Times New Roman"/>
          <w:sz w:val="24"/>
          <w:szCs w:val="24"/>
        </w:rPr>
        <w:t xml:space="preserve">.   The Judge found that the formal misconduct charges were proved in a three-day hearing before the City Manager, and plaintiff failed to show that his activities as Union secretary, including articles he published, or that he was generally disliked by volunteer firefighters, was reason he was terminated. The Court wrote: </w:t>
      </w:r>
      <w:r w:rsidRPr="00473009">
        <w:rPr>
          <w:rFonts w:ascii="Times New Roman" w:eastAsia="Times New Roman" w:hAnsi="Times New Roman"/>
          <w:sz w:val="24"/>
          <w:szCs w:val="24"/>
        </w:rPr>
        <w:t xml:space="preserve">Plaintiff picked up an audio recorder and went to the firehouse, where further </w:t>
      </w:r>
      <w:proofErr w:type="gramStart"/>
      <w:r w:rsidRPr="00473009">
        <w:rPr>
          <w:rFonts w:ascii="Times New Roman" w:eastAsia="Times New Roman" w:hAnsi="Times New Roman"/>
          <w:sz w:val="24"/>
          <w:szCs w:val="24"/>
        </w:rPr>
        <w:t>altercations</w:t>
      </w:r>
      <w:proofErr w:type="gramEnd"/>
      <w:r w:rsidRPr="00473009">
        <w:rPr>
          <w:rFonts w:ascii="Times New Roman" w:eastAsia="Times New Roman" w:hAnsi="Times New Roman"/>
          <w:sz w:val="24"/>
          <w:szCs w:val="24"/>
        </w:rPr>
        <w:t xml:space="preserve"> ensued, including the previously mentioned incident with Jacobi. Such behavior is unbecoming in any profession, and it is not surprising that Defendants would react adversely to it. Thus, for the foregoing reasons, Plaintiff has failed to show a material issue of fact as to a causal relationship between his allegedly protected speech or union membership and his </w:t>
      </w:r>
      <w:proofErr w:type="gramStart"/>
      <w:r w:rsidRPr="00473009">
        <w:rPr>
          <w:rFonts w:ascii="Times New Roman" w:eastAsia="Times New Roman" w:hAnsi="Times New Roman"/>
          <w:sz w:val="24"/>
          <w:szCs w:val="24"/>
        </w:rPr>
        <w:lastRenderedPageBreak/>
        <w:t>termination.</w:t>
      </w:r>
      <w:r>
        <w:rPr>
          <w:rFonts w:ascii="Times New Roman" w:eastAsia="Times New Roman" w:hAnsi="Times New Roman"/>
          <w:sz w:val="24"/>
          <w:szCs w:val="24"/>
        </w:rPr>
        <w:t>”</w:t>
      </w:r>
      <w:proofErr w:type="gramEnd"/>
      <w:r>
        <w:rPr>
          <w:rFonts w:ascii="Times New Roman" w:eastAsia="Times New Roman" w:hAnsi="Times New Roman"/>
          <w:sz w:val="24"/>
          <w:szCs w:val="24"/>
        </w:rPr>
        <w:t xml:space="preserve"> </w:t>
      </w:r>
      <w:hyperlink r:id="rId2739" w:history="1">
        <w:r w:rsidRPr="000603D4">
          <w:rPr>
            <w:rStyle w:val="Hyperlink"/>
            <w:rFonts w:ascii="Times New Roman" w:hAnsi="Times New Roman"/>
            <w:sz w:val="24"/>
            <w:szCs w:val="24"/>
          </w:rPr>
          <w:t>https://public.fastcase.com/Wl%2B2t%2BeVuI35%2FN70vAMFZqQ7Gx1lZ4VLPzvmh59TfRHYGD4c0wvhFgn%2Bs0ncYh62</w:t>
        </w:r>
      </w:hyperlink>
      <w:r>
        <w:rPr>
          <w:rFonts w:ascii="Times New Roman" w:eastAsia="Times New Roman" w:hAnsi="Times New Roman"/>
          <w:sz w:val="24"/>
          <w:szCs w:val="24"/>
        </w:rPr>
        <w:t xml:space="preserve"> </w:t>
      </w:r>
    </w:p>
    <w:p w14:paraId="169359F7" w14:textId="77777777" w:rsidR="001A653A" w:rsidRPr="00A32A53" w:rsidRDefault="001A653A" w:rsidP="001A653A">
      <w:pPr>
        <w:spacing w:before="100" w:beforeAutospacing="1" w:after="100" w:afterAutospacing="1" w:line="240" w:lineRule="auto"/>
        <w:rPr>
          <w:rFonts w:ascii="Times New Roman" w:eastAsia="Times New Roman" w:hAnsi="Times New Roman"/>
          <w:b/>
          <w:bCs/>
          <w:sz w:val="24"/>
          <w:szCs w:val="24"/>
        </w:rPr>
      </w:pPr>
      <w:r w:rsidRPr="00A32A53">
        <w:rPr>
          <w:rFonts w:ascii="Times New Roman" w:eastAsia="Times New Roman" w:hAnsi="Times New Roman"/>
          <w:b/>
          <w:bCs/>
          <w:sz w:val="24"/>
          <w:szCs w:val="24"/>
        </w:rPr>
        <w:t xml:space="preserve">Legal Lessons Learned: </w:t>
      </w:r>
      <w:r>
        <w:rPr>
          <w:rFonts w:ascii="Times New Roman" w:eastAsia="Times New Roman" w:hAnsi="Times New Roman"/>
          <w:b/>
          <w:bCs/>
          <w:sz w:val="24"/>
          <w:szCs w:val="24"/>
        </w:rPr>
        <w:t xml:space="preserve">Violent assault on a fellow firefighter, whether volunteer or career, is completely unacceptable. </w:t>
      </w:r>
    </w:p>
    <w:p w14:paraId="69F182AC" w14:textId="77777777" w:rsidR="001A653A" w:rsidRDefault="001A653A" w:rsidP="00F326E5">
      <w:pPr>
        <w:pStyle w:val="NoSpacing"/>
        <w:rPr>
          <w:rFonts w:ascii="Arial Black" w:hAnsi="Arial Black"/>
          <w:sz w:val="24"/>
          <w:szCs w:val="24"/>
        </w:rPr>
      </w:pPr>
    </w:p>
    <w:p w14:paraId="33575056" w14:textId="77777777" w:rsidR="001A653A" w:rsidRDefault="001A653A" w:rsidP="00F326E5">
      <w:pPr>
        <w:pStyle w:val="NoSpacing"/>
        <w:rPr>
          <w:rFonts w:ascii="Arial Black" w:hAnsi="Arial Black"/>
          <w:sz w:val="24"/>
          <w:szCs w:val="24"/>
        </w:rPr>
      </w:pPr>
    </w:p>
    <w:p w14:paraId="49D50DA7" w14:textId="7098DCB0" w:rsidR="001A653A" w:rsidRPr="001A653A" w:rsidRDefault="001A653A" w:rsidP="00F326E5">
      <w:pPr>
        <w:pStyle w:val="NoSpacing"/>
        <w:rPr>
          <w:rFonts w:ascii="Times New Roman" w:hAnsi="Times New Roman"/>
          <w:sz w:val="24"/>
          <w:szCs w:val="24"/>
        </w:rPr>
      </w:pPr>
      <w:r>
        <w:rPr>
          <w:rFonts w:ascii="Arial Black" w:hAnsi="Arial Black"/>
          <w:sz w:val="24"/>
          <w:szCs w:val="24"/>
        </w:rPr>
        <w:t xml:space="preserve">16-39 </w:t>
      </w:r>
      <w:r w:rsidRPr="001A653A">
        <w:rPr>
          <w:rFonts w:ascii="Times New Roman" w:hAnsi="Times New Roman"/>
          <w:sz w:val="24"/>
          <w:szCs w:val="24"/>
        </w:rPr>
        <w:t xml:space="preserve">[also filed, Chap. 7] </w:t>
      </w:r>
    </w:p>
    <w:p w14:paraId="1B7C3F1D" w14:textId="088DFD1A" w:rsidR="001A653A" w:rsidRDefault="001A653A" w:rsidP="00F326E5">
      <w:pPr>
        <w:pStyle w:val="NoSpacing"/>
        <w:rPr>
          <w:rFonts w:ascii="Arial Black" w:hAnsi="Arial Black"/>
          <w:sz w:val="24"/>
          <w:szCs w:val="24"/>
        </w:rPr>
      </w:pPr>
    </w:p>
    <w:p w14:paraId="34AD30AD" w14:textId="77777777" w:rsidR="001A653A" w:rsidRDefault="001A653A" w:rsidP="001A653A">
      <w:pPr>
        <w:pStyle w:val="NoSpacing"/>
        <w:rPr>
          <w:rFonts w:ascii="Arial Black" w:hAnsi="Arial Black"/>
          <w:sz w:val="28"/>
          <w:szCs w:val="28"/>
        </w:rPr>
      </w:pPr>
      <w:r w:rsidRPr="007B1E77">
        <w:rPr>
          <w:rFonts w:ascii="Arial Black" w:hAnsi="Arial Black"/>
          <w:sz w:val="28"/>
          <w:szCs w:val="28"/>
        </w:rPr>
        <w:t xml:space="preserve">KY: </w:t>
      </w:r>
      <w:r>
        <w:rPr>
          <w:rFonts w:ascii="Arial Black" w:hAnsi="Arial Black"/>
          <w:sz w:val="28"/>
          <w:szCs w:val="28"/>
        </w:rPr>
        <w:t>FF MET 17-YEAR-OLD AT FIRE STATION – CONVICTED HAVING SEX WITH MINOR - TOOK VIDEOS AND PHOTOS</w:t>
      </w:r>
    </w:p>
    <w:p w14:paraId="733124C7" w14:textId="77777777" w:rsidR="001A653A" w:rsidRDefault="001A653A" w:rsidP="001A653A">
      <w:pPr>
        <w:pStyle w:val="NoSpacing"/>
        <w:rPr>
          <w:rFonts w:ascii="Times New Roman" w:hAnsi="Times New Roman"/>
          <w:sz w:val="24"/>
          <w:szCs w:val="24"/>
        </w:rPr>
      </w:pPr>
      <w:r w:rsidRPr="007B1E77">
        <w:rPr>
          <w:rFonts w:ascii="Times New Roman" w:hAnsi="Times New Roman"/>
          <w:sz w:val="24"/>
          <w:szCs w:val="24"/>
        </w:rPr>
        <w:t xml:space="preserve">On July 7, 2020, in </w:t>
      </w:r>
      <w:r w:rsidRPr="007B1E77">
        <w:rPr>
          <w:rFonts w:ascii="Times New Roman" w:hAnsi="Times New Roman"/>
          <w:sz w:val="24"/>
          <w:szCs w:val="24"/>
          <w:u w:val="single"/>
        </w:rPr>
        <w:t>United States of America v. William Michael Fields</w:t>
      </w:r>
      <w:r w:rsidRPr="007B1E77">
        <w:rPr>
          <w:rFonts w:ascii="Times New Roman" w:hAnsi="Times New Roman"/>
          <w:sz w:val="24"/>
          <w:szCs w:val="24"/>
        </w:rPr>
        <w:t xml:space="preserve">, </w:t>
      </w:r>
      <w:r>
        <w:rPr>
          <w:rFonts w:ascii="Times New Roman" w:hAnsi="Times New Roman"/>
          <w:sz w:val="24"/>
          <w:szCs w:val="24"/>
        </w:rPr>
        <w:t xml:space="preserve">U.S. District Court Chief Judge Danny C. Reeves, Eastern District of Kentucky, denied the defendant’s motion for judgment of acquittal, or a new trial. The Court wrote: </w:t>
      </w:r>
      <w:r w:rsidRPr="007B1E77">
        <w:rPr>
          <w:rFonts w:ascii="Times New Roman" w:hAnsi="Times New Roman"/>
          <w:sz w:val="24"/>
          <w:szCs w:val="24"/>
        </w:rPr>
        <w:t xml:space="preserve">“Based on the foregoing, there was ample evidence from which the jury could have concluded that, on March 17 and 23, 2019, Fields employed, used, persuaded, induced, or coerced the minor victim to engage in </w:t>
      </w:r>
    </w:p>
    <w:p w14:paraId="3F5CCE85" w14:textId="77777777" w:rsidR="001A653A" w:rsidRDefault="001A653A" w:rsidP="001A653A">
      <w:pPr>
        <w:pStyle w:val="NoSpacing"/>
        <w:rPr>
          <w:rFonts w:ascii="Times New Roman" w:hAnsi="Times New Roman"/>
          <w:sz w:val="24"/>
          <w:szCs w:val="24"/>
        </w:rPr>
      </w:pPr>
    </w:p>
    <w:p w14:paraId="666B9144" w14:textId="77777777" w:rsidR="001A653A" w:rsidRDefault="001A653A" w:rsidP="001A653A">
      <w:pPr>
        <w:pStyle w:val="NoSpacing"/>
        <w:rPr>
          <w:rFonts w:ascii="Times New Roman" w:hAnsi="Times New Roman"/>
          <w:sz w:val="24"/>
          <w:szCs w:val="24"/>
        </w:rPr>
      </w:pPr>
      <w:r w:rsidRPr="007B1E77">
        <w:rPr>
          <w:rFonts w:ascii="Times New Roman" w:hAnsi="Times New Roman"/>
          <w:sz w:val="24"/>
          <w:szCs w:val="24"/>
        </w:rPr>
        <w:t>sexually explicit conduct for the purpose of producing a visual depiction of that conduct and that the visual depiction was produced or transmitted using materials that were mailed, shipped, or transported in or affecting interstate commerce by any means, including computer.</w:t>
      </w:r>
      <w:r>
        <w:rPr>
          <w:rFonts w:ascii="Times New Roman" w:hAnsi="Times New Roman"/>
          <w:sz w:val="24"/>
          <w:szCs w:val="24"/>
        </w:rPr>
        <w:t xml:space="preserve">” </w:t>
      </w:r>
      <w:hyperlink r:id="rId2740" w:history="1">
        <w:r w:rsidRPr="00FE7BCF">
          <w:rPr>
            <w:rStyle w:val="Hyperlink"/>
            <w:rFonts w:ascii="Times New Roman" w:hAnsi="Times New Roman"/>
            <w:sz w:val="24"/>
            <w:szCs w:val="24"/>
          </w:rPr>
          <w:t>https://casetext.com/case/united-states-v-fields-198</w:t>
        </w:r>
      </w:hyperlink>
      <w:r>
        <w:rPr>
          <w:rFonts w:ascii="Times New Roman" w:hAnsi="Times New Roman"/>
          <w:sz w:val="24"/>
          <w:szCs w:val="24"/>
        </w:rPr>
        <w:t xml:space="preserve"> </w:t>
      </w:r>
    </w:p>
    <w:p w14:paraId="4A337F73" w14:textId="2FC1D1E3" w:rsidR="001A653A" w:rsidRDefault="001A653A" w:rsidP="00F326E5">
      <w:pPr>
        <w:pStyle w:val="NoSpacing"/>
        <w:rPr>
          <w:rFonts w:ascii="Arial Black" w:hAnsi="Arial Black"/>
          <w:sz w:val="24"/>
          <w:szCs w:val="24"/>
        </w:rPr>
      </w:pPr>
    </w:p>
    <w:p w14:paraId="75AFBF74" w14:textId="77777777" w:rsidR="001A653A" w:rsidRDefault="001A653A" w:rsidP="001A653A">
      <w:pPr>
        <w:pStyle w:val="NoSpacing"/>
        <w:tabs>
          <w:tab w:val="left" w:pos="2780"/>
        </w:tabs>
        <w:rPr>
          <w:rFonts w:ascii="Times New Roman" w:hAnsi="Times New Roman"/>
          <w:b/>
          <w:bCs/>
          <w:sz w:val="24"/>
          <w:szCs w:val="24"/>
        </w:rPr>
      </w:pPr>
      <w:r w:rsidRPr="00602C23">
        <w:rPr>
          <w:rFonts w:ascii="Times New Roman" w:hAnsi="Times New Roman"/>
          <w:b/>
          <w:bCs/>
          <w:sz w:val="24"/>
          <w:szCs w:val="24"/>
        </w:rPr>
        <w:t>Legal Lesson Learned</w:t>
      </w:r>
      <w:r>
        <w:rPr>
          <w:rFonts w:ascii="Times New Roman" w:hAnsi="Times New Roman"/>
          <w:b/>
          <w:bCs/>
          <w:sz w:val="24"/>
          <w:szCs w:val="24"/>
        </w:rPr>
        <w:t xml:space="preserve">: A firefighter having sex with a minor can be convicted of a federal offense if a video or photos is posted on Internet. </w:t>
      </w:r>
    </w:p>
    <w:p w14:paraId="399DCC34" w14:textId="77777777" w:rsidR="001A653A" w:rsidRDefault="001A653A" w:rsidP="00F326E5">
      <w:pPr>
        <w:pStyle w:val="NoSpacing"/>
        <w:rPr>
          <w:rFonts w:ascii="Arial Black" w:hAnsi="Arial Black"/>
          <w:sz w:val="24"/>
          <w:szCs w:val="24"/>
        </w:rPr>
      </w:pPr>
    </w:p>
    <w:p w14:paraId="0C5C2967" w14:textId="77777777" w:rsidR="001A653A" w:rsidRDefault="001A653A" w:rsidP="00F326E5">
      <w:pPr>
        <w:pStyle w:val="NoSpacing"/>
        <w:rPr>
          <w:rFonts w:ascii="Arial Black" w:hAnsi="Arial Black"/>
          <w:sz w:val="24"/>
          <w:szCs w:val="24"/>
        </w:rPr>
      </w:pPr>
    </w:p>
    <w:p w14:paraId="62589F10" w14:textId="0D79952A" w:rsidR="001A653A" w:rsidRDefault="001A653A" w:rsidP="00F326E5">
      <w:pPr>
        <w:pStyle w:val="NoSpacing"/>
        <w:rPr>
          <w:rFonts w:ascii="Arial Black" w:hAnsi="Arial Black"/>
          <w:sz w:val="24"/>
          <w:szCs w:val="24"/>
        </w:rPr>
      </w:pPr>
      <w:r>
        <w:rPr>
          <w:rFonts w:ascii="Arial Black" w:hAnsi="Arial Black"/>
          <w:sz w:val="24"/>
          <w:szCs w:val="24"/>
        </w:rPr>
        <w:t>16-38</w:t>
      </w:r>
    </w:p>
    <w:p w14:paraId="0AD151BB" w14:textId="1B391A33" w:rsidR="001A653A" w:rsidRDefault="001A653A" w:rsidP="00F326E5">
      <w:pPr>
        <w:pStyle w:val="NoSpacing"/>
        <w:rPr>
          <w:rFonts w:ascii="Arial Black" w:hAnsi="Arial Black"/>
          <w:sz w:val="24"/>
          <w:szCs w:val="24"/>
        </w:rPr>
      </w:pPr>
    </w:p>
    <w:p w14:paraId="6590CE23" w14:textId="77777777" w:rsidR="001A653A" w:rsidRPr="00901FCB" w:rsidRDefault="001A653A" w:rsidP="001A653A">
      <w:pPr>
        <w:pStyle w:val="NoSpacing"/>
        <w:rPr>
          <w:rFonts w:ascii="Arial Black" w:hAnsi="Arial Black"/>
          <w:sz w:val="28"/>
          <w:szCs w:val="28"/>
        </w:rPr>
      </w:pPr>
      <w:r w:rsidRPr="00901FCB">
        <w:rPr>
          <w:rFonts w:ascii="Arial Black" w:hAnsi="Arial Black"/>
          <w:sz w:val="28"/>
          <w:szCs w:val="28"/>
        </w:rPr>
        <w:t xml:space="preserve">NJ: </w:t>
      </w:r>
      <w:r>
        <w:rPr>
          <w:rFonts w:ascii="Arial Black" w:hAnsi="Arial Black"/>
          <w:sz w:val="28"/>
          <w:szCs w:val="28"/>
        </w:rPr>
        <w:t>PENSION FRAUD – FF SENTENCED 7 YEARS IN PRISON – MARSHAL ARTS INSTRUCTOR – VIDEO OF COMPETITION</w:t>
      </w:r>
    </w:p>
    <w:p w14:paraId="7F40F2BF" w14:textId="77777777" w:rsidR="001A653A" w:rsidRDefault="001A653A" w:rsidP="001A653A">
      <w:pPr>
        <w:pStyle w:val="NoSpacing"/>
        <w:rPr>
          <w:rFonts w:ascii="Times New Roman" w:hAnsi="Times New Roman"/>
          <w:sz w:val="24"/>
          <w:szCs w:val="24"/>
        </w:rPr>
      </w:pPr>
    </w:p>
    <w:p w14:paraId="79AD8803" w14:textId="77777777" w:rsidR="001A653A" w:rsidRDefault="001A653A" w:rsidP="001A653A">
      <w:pPr>
        <w:pStyle w:val="NoSpacing"/>
        <w:tabs>
          <w:tab w:val="left" w:pos="6170"/>
        </w:tabs>
        <w:rPr>
          <w:rFonts w:ascii="Times New Roman" w:hAnsi="Times New Roman"/>
          <w:sz w:val="24"/>
          <w:szCs w:val="24"/>
        </w:rPr>
      </w:pPr>
      <w:r>
        <w:rPr>
          <w:rFonts w:ascii="Times New Roman" w:hAnsi="Times New Roman"/>
          <w:sz w:val="24"/>
          <w:szCs w:val="24"/>
        </w:rPr>
        <w:t xml:space="preserve">On June 30, 2020, in </w:t>
      </w:r>
      <w:r w:rsidRPr="00FE7716">
        <w:rPr>
          <w:rFonts w:ascii="Times New Roman" w:hAnsi="Times New Roman"/>
          <w:sz w:val="24"/>
          <w:szCs w:val="24"/>
          <w:u w:val="single"/>
        </w:rPr>
        <w:t>State of New Jersey v. Shane Streater</w:t>
      </w:r>
      <w:r>
        <w:rPr>
          <w:rFonts w:ascii="Times New Roman" w:hAnsi="Times New Roman"/>
          <w:sz w:val="24"/>
          <w:szCs w:val="24"/>
        </w:rPr>
        <w:t>, the Superior Court of New Jersey, Appellate Division, held (2 to 0) that jury’s conviction of the former Camden, NJ firefighter is affirmed. The prosecution called as witnesses two medical doctors who had submitted letters in support of his disability; they told the jury that after watching the video they were never informed of his martial arts activities.  The Court wrote: “</w:t>
      </w:r>
      <w:r w:rsidRPr="00901FCB">
        <w:rPr>
          <w:rFonts w:ascii="Times New Roman" w:hAnsi="Times New Roman"/>
          <w:sz w:val="24"/>
          <w:szCs w:val="24"/>
        </w:rPr>
        <w:t>Here, the State adduced abundant evidence of defendant's fraud, including the testimony of three doctors who examined him and stated defendant's actions on the videotape of his martial arts competition were inconsistent with defendant's complaints of pain and disability.</w:t>
      </w:r>
      <w:r>
        <w:rPr>
          <w:rFonts w:ascii="Times New Roman" w:hAnsi="Times New Roman"/>
          <w:sz w:val="24"/>
          <w:szCs w:val="24"/>
        </w:rPr>
        <w:t xml:space="preserve">” </w:t>
      </w:r>
      <w:hyperlink r:id="rId2741" w:history="1">
        <w:r w:rsidRPr="00524935">
          <w:rPr>
            <w:rStyle w:val="Hyperlink"/>
            <w:rFonts w:ascii="Times New Roman" w:hAnsi="Times New Roman"/>
            <w:sz w:val="24"/>
            <w:szCs w:val="24"/>
          </w:rPr>
          <w:t>https://njcourts.gov/attorneys/assets/opinions/appellate/unpublished/a1619-18.pdf?c=D1L</w:t>
        </w:r>
      </w:hyperlink>
      <w:r>
        <w:rPr>
          <w:rFonts w:ascii="Times New Roman" w:hAnsi="Times New Roman"/>
          <w:sz w:val="24"/>
          <w:szCs w:val="24"/>
        </w:rPr>
        <w:t xml:space="preserve"> </w:t>
      </w:r>
    </w:p>
    <w:p w14:paraId="78AED0E5" w14:textId="48E8B08F" w:rsidR="001A653A" w:rsidRDefault="001A653A" w:rsidP="00F326E5">
      <w:pPr>
        <w:pStyle w:val="NoSpacing"/>
        <w:rPr>
          <w:rFonts w:ascii="Arial Black" w:hAnsi="Arial Black"/>
          <w:sz w:val="24"/>
          <w:szCs w:val="24"/>
        </w:rPr>
      </w:pPr>
    </w:p>
    <w:p w14:paraId="6601AF98" w14:textId="77777777" w:rsidR="001A653A" w:rsidRDefault="001A653A" w:rsidP="001A653A">
      <w:pPr>
        <w:pStyle w:val="NoSpacing"/>
        <w:rPr>
          <w:rFonts w:ascii="Times New Roman" w:hAnsi="Times New Roman"/>
          <w:b/>
          <w:bCs/>
          <w:sz w:val="24"/>
          <w:szCs w:val="24"/>
        </w:rPr>
      </w:pPr>
      <w:r w:rsidRPr="0046700F">
        <w:rPr>
          <w:rFonts w:ascii="Times New Roman" w:hAnsi="Times New Roman"/>
          <w:b/>
          <w:bCs/>
          <w:sz w:val="24"/>
          <w:szCs w:val="24"/>
        </w:rPr>
        <w:t>Legal Lessons Learned:</w:t>
      </w:r>
      <w:r>
        <w:rPr>
          <w:rFonts w:ascii="Times New Roman" w:hAnsi="Times New Roman"/>
          <w:b/>
          <w:bCs/>
          <w:sz w:val="24"/>
          <w:szCs w:val="24"/>
        </w:rPr>
        <w:t xml:space="preserve"> The 7-year prison sentence certainly “sends a message.”</w:t>
      </w:r>
    </w:p>
    <w:p w14:paraId="69BA5865" w14:textId="77777777" w:rsidR="001A653A" w:rsidRDefault="001A653A" w:rsidP="001A653A">
      <w:pPr>
        <w:pStyle w:val="NoSpacing"/>
        <w:rPr>
          <w:rFonts w:ascii="Times New Roman" w:hAnsi="Times New Roman"/>
          <w:b/>
          <w:bCs/>
          <w:sz w:val="24"/>
          <w:szCs w:val="24"/>
        </w:rPr>
      </w:pPr>
    </w:p>
    <w:p w14:paraId="2CDE1666" w14:textId="77777777" w:rsidR="001A653A" w:rsidRDefault="001A653A" w:rsidP="001A653A">
      <w:pPr>
        <w:pStyle w:val="NoSpacing"/>
        <w:rPr>
          <w:rFonts w:ascii="Times New Roman" w:hAnsi="Times New Roman"/>
          <w:sz w:val="24"/>
          <w:szCs w:val="24"/>
        </w:rPr>
      </w:pPr>
      <w:r>
        <w:rPr>
          <w:rFonts w:ascii="Times New Roman" w:hAnsi="Times New Roman"/>
          <w:b/>
          <w:bCs/>
          <w:sz w:val="24"/>
          <w:szCs w:val="24"/>
        </w:rPr>
        <w:tab/>
      </w:r>
      <w:r w:rsidRPr="00B4050E">
        <w:rPr>
          <w:rFonts w:ascii="Times New Roman" w:hAnsi="Times New Roman"/>
          <w:sz w:val="24"/>
          <w:szCs w:val="24"/>
        </w:rPr>
        <w:t>Note: Trial Court judge also ordered the defendant to pay $82,488.22 in restitution.</w:t>
      </w:r>
    </w:p>
    <w:p w14:paraId="5F0E1C9F" w14:textId="77777777" w:rsidR="001A653A" w:rsidRDefault="001A653A" w:rsidP="001A653A">
      <w:pPr>
        <w:pStyle w:val="NoSpacing"/>
        <w:rPr>
          <w:rFonts w:ascii="Times New Roman" w:hAnsi="Times New Roman"/>
          <w:sz w:val="24"/>
          <w:szCs w:val="24"/>
        </w:rPr>
      </w:pPr>
      <w:r>
        <w:rPr>
          <w:rFonts w:ascii="Times New Roman" w:hAnsi="Times New Roman"/>
          <w:sz w:val="24"/>
          <w:szCs w:val="24"/>
        </w:rPr>
        <w:tab/>
        <w:t xml:space="preserve">See newspaper coverage: </w:t>
      </w:r>
    </w:p>
    <w:p w14:paraId="3B6CEA3C" w14:textId="77777777" w:rsidR="001A653A" w:rsidRDefault="001A653A" w:rsidP="001A653A">
      <w:pPr>
        <w:pStyle w:val="NoSpacing"/>
        <w:ind w:left="720"/>
        <w:rPr>
          <w:rFonts w:ascii="Times New Roman" w:hAnsi="Times New Roman"/>
          <w:sz w:val="24"/>
          <w:szCs w:val="24"/>
        </w:rPr>
      </w:pPr>
      <w:r>
        <w:rPr>
          <w:rFonts w:ascii="Times New Roman" w:hAnsi="Times New Roman"/>
          <w:sz w:val="24"/>
          <w:szCs w:val="24"/>
        </w:rPr>
        <w:t xml:space="preserve">Watch the YouTube video and TV story (March 18, 2015): </w:t>
      </w:r>
      <w:hyperlink r:id="rId2742" w:history="1">
        <w:r w:rsidRPr="00524935">
          <w:rPr>
            <w:rStyle w:val="Hyperlink"/>
            <w:rFonts w:ascii="Times New Roman" w:hAnsi="Times New Roman"/>
            <w:sz w:val="24"/>
            <w:szCs w:val="24"/>
          </w:rPr>
          <w:t>https://www.nbcphiladelphia.com/news/local/firefighter-fraudulently-collected-disability-pension/151491/</w:t>
        </w:r>
      </w:hyperlink>
      <w:r>
        <w:rPr>
          <w:rFonts w:ascii="Times New Roman" w:hAnsi="Times New Roman"/>
          <w:sz w:val="24"/>
          <w:szCs w:val="24"/>
        </w:rPr>
        <w:t xml:space="preserve"> </w:t>
      </w:r>
    </w:p>
    <w:p w14:paraId="5C62DDE8" w14:textId="77777777" w:rsidR="001A653A" w:rsidRPr="00DB11E1" w:rsidRDefault="001A653A" w:rsidP="001A653A">
      <w:pPr>
        <w:pStyle w:val="NoSpacing"/>
        <w:ind w:left="720"/>
        <w:rPr>
          <w:rFonts w:ascii="Times New Roman" w:eastAsia="Times New Roman" w:hAnsi="Times New Roman"/>
          <w:b/>
          <w:bCs/>
          <w:sz w:val="24"/>
          <w:szCs w:val="24"/>
        </w:rPr>
      </w:pPr>
      <w:r>
        <w:rPr>
          <w:rFonts w:ascii="Times New Roman" w:hAnsi="Times New Roman"/>
          <w:sz w:val="24"/>
          <w:szCs w:val="24"/>
        </w:rPr>
        <w:lastRenderedPageBreak/>
        <w:t>“</w:t>
      </w:r>
      <w:r w:rsidRPr="00B4050E">
        <w:rPr>
          <w:rFonts w:ascii="Times New Roman" w:hAnsi="Times New Roman"/>
          <w:sz w:val="24"/>
          <w:szCs w:val="24"/>
        </w:rPr>
        <w:t>Ex-N.J. firefighter convicted of stealing disability pension while earning black belt</w:t>
      </w:r>
      <w:r>
        <w:rPr>
          <w:rFonts w:ascii="Times New Roman" w:hAnsi="Times New Roman"/>
          <w:sz w:val="24"/>
          <w:szCs w:val="24"/>
        </w:rPr>
        <w:t>”</w:t>
      </w:r>
      <w:r w:rsidRPr="00B4050E">
        <w:rPr>
          <w:rFonts w:ascii="Times New Roman" w:hAnsi="Times New Roman"/>
          <w:sz w:val="24"/>
          <w:szCs w:val="24"/>
        </w:rPr>
        <w:t xml:space="preserve"> (April 12, 2016): </w:t>
      </w:r>
      <w:hyperlink r:id="rId2743" w:history="1">
        <w:r w:rsidRPr="00B4050E">
          <w:rPr>
            <w:rStyle w:val="Hyperlink"/>
            <w:rFonts w:ascii="Times New Roman" w:hAnsi="Times New Roman"/>
            <w:sz w:val="24"/>
            <w:szCs w:val="24"/>
          </w:rPr>
          <w:t>https://www.nj.com/news/2016/04/ex-nj_firefighter_convicted_of_stealing_disability.html</w:t>
        </w:r>
      </w:hyperlink>
      <w:r w:rsidRPr="00B4050E">
        <w:rPr>
          <w:rFonts w:ascii="Times New Roman" w:hAnsi="Times New Roman"/>
          <w:sz w:val="24"/>
          <w:szCs w:val="24"/>
        </w:rPr>
        <w:t xml:space="preserve"> </w:t>
      </w:r>
    </w:p>
    <w:p w14:paraId="21CA3937" w14:textId="77777777" w:rsidR="001A653A" w:rsidRDefault="001A653A" w:rsidP="00F326E5">
      <w:pPr>
        <w:pStyle w:val="NoSpacing"/>
        <w:rPr>
          <w:rFonts w:ascii="Arial Black" w:hAnsi="Arial Black"/>
          <w:sz w:val="24"/>
          <w:szCs w:val="24"/>
        </w:rPr>
      </w:pPr>
    </w:p>
    <w:p w14:paraId="7E752396" w14:textId="77777777" w:rsidR="001A653A" w:rsidRDefault="001A653A" w:rsidP="00F326E5">
      <w:pPr>
        <w:pStyle w:val="NoSpacing"/>
        <w:rPr>
          <w:rFonts w:ascii="Arial Black" w:hAnsi="Arial Black"/>
          <w:sz w:val="24"/>
          <w:szCs w:val="24"/>
        </w:rPr>
      </w:pPr>
    </w:p>
    <w:p w14:paraId="1C8ED012" w14:textId="77777777" w:rsidR="001A653A" w:rsidRDefault="001A653A" w:rsidP="00F326E5">
      <w:pPr>
        <w:pStyle w:val="NoSpacing"/>
        <w:rPr>
          <w:rFonts w:ascii="Arial Black" w:hAnsi="Arial Black"/>
          <w:sz w:val="24"/>
          <w:szCs w:val="24"/>
        </w:rPr>
      </w:pPr>
    </w:p>
    <w:p w14:paraId="6ED87FA1" w14:textId="6EE32EFF" w:rsidR="00A950CC" w:rsidRDefault="00A950CC" w:rsidP="00F326E5">
      <w:pPr>
        <w:pStyle w:val="NoSpacing"/>
        <w:rPr>
          <w:rFonts w:ascii="Arial Black" w:hAnsi="Arial Black"/>
          <w:sz w:val="24"/>
          <w:szCs w:val="24"/>
        </w:rPr>
      </w:pPr>
      <w:r>
        <w:rPr>
          <w:rFonts w:ascii="Arial Black" w:hAnsi="Arial Black"/>
          <w:sz w:val="24"/>
          <w:szCs w:val="24"/>
        </w:rPr>
        <w:t>16-37</w:t>
      </w:r>
    </w:p>
    <w:p w14:paraId="05A66B3E" w14:textId="77777777" w:rsidR="00A950CC" w:rsidRPr="00B2496D" w:rsidRDefault="00A950CC" w:rsidP="00A950CC">
      <w:pPr>
        <w:spacing w:before="100" w:beforeAutospacing="1" w:after="100" w:afterAutospacing="1" w:line="240" w:lineRule="auto"/>
        <w:rPr>
          <w:rFonts w:ascii="Arial Black" w:hAnsi="Arial Black" w:cs="Arial"/>
          <w:sz w:val="28"/>
          <w:szCs w:val="28"/>
        </w:rPr>
      </w:pPr>
      <w:r w:rsidRPr="00B2496D">
        <w:rPr>
          <w:rFonts w:ascii="Arial Black" w:hAnsi="Arial Black" w:cs="Arial"/>
          <w:sz w:val="28"/>
          <w:szCs w:val="28"/>
        </w:rPr>
        <w:t xml:space="preserve">TN: </w:t>
      </w:r>
      <w:r>
        <w:rPr>
          <w:rFonts w:ascii="Arial Black" w:hAnsi="Arial Black" w:cs="Arial"/>
          <w:sz w:val="28"/>
          <w:szCs w:val="28"/>
        </w:rPr>
        <w:t>TAPE RECORDER SECRETLY PLACED UNDER TABLE FIRE HALL – TO RECORD “GOSSIP” – VIOLATION OF TN LAW – 5 FF AWARDED $10,000 EACH &amp; ATTORNEY FEES</w:t>
      </w:r>
    </w:p>
    <w:p w14:paraId="5C6CD714" w14:textId="77777777" w:rsidR="00A950CC" w:rsidRPr="00DF718A" w:rsidRDefault="00A950CC" w:rsidP="00A950CC">
      <w:pPr>
        <w:spacing w:before="100" w:beforeAutospacing="1" w:after="100" w:afterAutospacing="1" w:line="240" w:lineRule="auto"/>
        <w:rPr>
          <w:rFonts w:ascii="Times New Roman" w:hAnsi="Times New Roman"/>
          <w:sz w:val="24"/>
          <w:szCs w:val="24"/>
        </w:rPr>
      </w:pPr>
      <w:r w:rsidRPr="00B2496D">
        <w:rPr>
          <w:rFonts w:ascii="Times New Roman" w:hAnsi="Times New Roman"/>
          <w:sz w:val="24"/>
          <w:szCs w:val="24"/>
        </w:rPr>
        <w:t xml:space="preserve">On May 8, 2020, in </w:t>
      </w:r>
      <w:r w:rsidRPr="00DF718A">
        <w:rPr>
          <w:rFonts w:ascii="Times New Roman" w:hAnsi="Times New Roman"/>
          <w:sz w:val="24"/>
          <w:szCs w:val="24"/>
          <w:u w:val="single"/>
        </w:rPr>
        <w:t>Ronald Ledford, et al, v. John Ben Sneed and Ray Wilson, Jr.</w:t>
      </w:r>
      <w:r>
        <w:rPr>
          <w:rFonts w:ascii="Times New Roman" w:hAnsi="Times New Roman"/>
          <w:sz w:val="24"/>
          <w:szCs w:val="24"/>
        </w:rPr>
        <w:t>, the Court of Appeals of Tennessee at Knoxville, held (3 to 0) that “</w:t>
      </w:r>
      <w:r w:rsidRPr="00DF718A">
        <w:rPr>
          <w:rFonts w:ascii="Times New Roman" w:hAnsi="Times New Roman"/>
          <w:sz w:val="24"/>
          <w:szCs w:val="24"/>
        </w:rPr>
        <w:t>Defendants’</w:t>
      </w:r>
      <w:r>
        <w:rPr>
          <w:rFonts w:ascii="Times New Roman" w:hAnsi="Times New Roman"/>
          <w:sz w:val="24"/>
          <w:szCs w:val="24"/>
        </w:rPr>
        <w:t xml:space="preserve"> </w:t>
      </w:r>
      <w:r w:rsidRPr="00DF718A">
        <w:rPr>
          <w:rFonts w:ascii="Times New Roman" w:hAnsi="Times New Roman"/>
          <w:sz w:val="24"/>
          <w:szCs w:val="24"/>
        </w:rPr>
        <w:t>vague assertions that they would be listening were</w:t>
      </w:r>
      <w:r>
        <w:rPr>
          <w:rFonts w:ascii="Times New Roman" w:hAnsi="Times New Roman"/>
          <w:sz w:val="24"/>
          <w:szCs w:val="24"/>
        </w:rPr>
        <w:t xml:space="preserve"> </w:t>
      </w:r>
      <w:r w:rsidRPr="00DF718A">
        <w:rPr>
          <w:rFonts w:ascii="Times New Roman" w:hAnsi="Times New Roman"/>
          <w:sz w:val="24"/>
          <w:szCs w:val="24"/>
        </w:rPr>
        <w:t>also not enough to garner consent from Plaintiffs to record their conversations via a tape recorder</w:t>
      </w:r>
      <w:r>
        <w:rPr>
          <w:rFonts w:ascii="Times New Roman" w:hAnsi="Times New Roman"/>
          <w:sz w:val="24"/>
          <w:szCs w:val="24"/>
        </w:rPr>
        <w:t xml:space="preserve"> </w:t>
      </w:r>
      <w:r w:rsidRPr="00DF718A">
        <w:rPr>
          <w:rFonts w:ascii="Times New Roman" w:hAnsi="Times New Roman"/>
          <w:sz w:val="24"/>
          <w:szCs w:val="24"/>
        </w:rPr>
        <w:t>taped under the table</w:t>
      </w:r>
      <w:r>
        <w:rPr>
          <w:rFonts w:ascii="Times New Roman" w:hAnsi="Times New Roman"/>
          <w:sz w:val="24"/>
          <w:szCs w:val="24"/>
        </w:rPr>
        <w:t xml:space="preserve">.” </w:t>
      </w:r>
      <w:hyperlink r:id="rId2744" w:history="1">
        <w:r w:rsidRPr="008C168C">
          <w:rPr>
            <w:rStyle w:val="Hyperlink"/>
            <w:sz w:val="24"/>
            <w:szCs w:val="24"/>
          </w:rPr>
          <w:t>http://www.tncourts.gov/sites/default/files/ronald_ledford_et_al._v._john_ben_sneed_et_al..pdf</w:t>
        </w:r>
      </w:hyperlink>
      <w:r>
        <w:rPr>
          <w:rFonts w:ascii="Times New Roman" w:hAnsi="Times New Roman"/>
          <w:sz w:val="24"/>
          <w:szCs w:val="24"/>
        </w:rPr>
        <w:t xml:space="preserve"> </w:t>
      </w:r>
    </w:p>
    <w:p w14:paraId="767D458B" w14:textId="77777777" w:rsidR="00A950CC" w:rsidRPr="00E504C8" w:rsidRDefault="00A950CC" w:rsidP="00A950CC">
      <w:pPr>
        <w:spacing w:before="100" w:beforeAutospacing="1" w:after="100" w:afterAutospacing="1" w:line="240" w:lineRule="auto"/>
        <w:rPr>
          <w:rFonts w:ascii="Times New Roman" w:hAnsi="Times New Roman"/>
          <w:b/>
          <w:bCs/>
          <w:sz w:val="24"/>
          <w:szCs w:val="24"/>
        </w:rPr>
      </w:pPr>
      <w:r w:rsidRPr="00E504C8">
        <w:rPr>
          <w:rFonts w:ascii="Times New Roman" w:hAnsi="Times New Roman"/>
          <w:b/>
          <w:bCs/>
          <w:sz w:val="24"/>
          <w:szCs w:val="24"/>
        </w:rPr>
        <w:t>Legal Lessons Learned:</w:t>
      </w:r>
      <w:r>
        <w:rPr>
          <w:rFonts w:ascii="Times New Roman" w:hAnsi="Times New Roman"/>
          <w:b/>
          <w:bCs/>
          <w:sz w:val="24"/>
          <w:szCs w:val="24"/>
        </w:rPr>
        <w:t xml:space="preserve"> Secretly placing tape recorders can lead to both civil, and in some states, criminal liability.  </w:t>
      </w:r>
    </w:p>
    <w:p w14:paraId="174AF1ED" w14:textId="77777777" w:rsidR="00A950CC" w:rsidRDefault="00A950CC" w:rsidP="00F326E5">
      <w:pPr>
        <w:pStyle w:val="NoSpacing"/>
        <w:rPr>
          <w:rFonts w:ascii="Arial Black" w:hAnsi="Arial Black"/>
          <w:sz w:val="24"/>
          <w:szCs w:val="24"/>
        </w:rPr>
      </w:pPr>
    </w:p>
    <w:p w14:paraId="19C3A7CF" w14:textId="77777777" w:rsidR="00A950CC" w:rsidRDefault="00A950CC" w:rsidP="00F326E5">
      <w:pPr>
        <w:pStyle w:val="NoSpacing"/>
        <w:rPr>
          <w:rFonts w:ascii="Arial Black" w:hAnsi="Arial Black"/>
          <w:sz w:val="24"/>
          <w:szCs w:val="24"/>
        </w:rPr>
      </w:pPr>
    </w:p>
    <w:p w14:paraId="29847EC0" w14:textId="02A547E4" w:rsidR="00A950CC" w:rsidRDefault="00A950CC" w:rsidP="00F326E5">
      <w:pPr>
        <w:pStyle w:val="NoSpacing"/>
        <w:rPr>
          <w:rFonts w:ascii="Arial Black" w:hAnsi="Arial Black"/>
          <w:sz w:val="24"/>
          <w:szCs w:val="24"/>
        </w:rPr>
      </w:pPr>
      <w:r>
        <w:rPr>
          <w:rFonts w:ascii="Arial Black" w:hAnsi="Arial Black"/>
          <w:sz w:val="24"/>
          <w:szCs w:val="24"/>
        </w:rPr>
        <w:t>16-36</w:t>
      </w:r>
    </w:p>
    <w:p w14:paraId="07D21FE4" w14:textId="77777777" w:rsidR="00A950CC" w:rsidRPr="00F200DE" w:rsidRDefault="00A950CC" w:rsidP="00A950CC">
      <w:pPr>
        <w:spacing w:before="100" w:beforeAutospacing="1" w:after="100" w:afterAutospacing="1" w:line="240" w:lineRule="auto"/>
        <w:rPr>
          <w:rFonts w:ascii="Arial Black" w:hAnsi="Arial Black" w:cs="Arial"/>
          <w:sz w:val="28"/>
          <w:szCs w:val="28"/>
        </w:rPr>
      </w:pPr>
      <w:r w:rsidRPr="00F200DE">
        <w:rPr>
          <w:rFonts w:ascii="Arial Black" w:hAnsi="Arial Black" w:cs="Arial"/>
          <w:sz w:val="28"/>
          <w:szCs w:val="28"/>
        </w:rPr>
        <w:t xml:space="preserve">CA: </w:t>
      </w:r>
      <w:r>
        <w:rPr>
          <w:rFonts w:ascii="Arial Black" w:hAnsi="Arial Black" w:cs="Arial"/>
          <w:sz w:val="28"/>
          <w:szCs w:val="28"/>
        </w:rPr>
        <w:t xml:space="preserve">FF SEXUAL E-MAILS TO 16-YR-OLD GIRL HE MET AT FIRE STATION TOUR – ALSO CONDUCT TOWARDS FEMALE FF – TERMINATION UPHELD, EMBARASSMENT TO FD </w:t>
      </w:r>
    </w:p>
    <w:p w14:paraId="231E0F8C" w14:textId="77777777" w:rsidR="00A950CC" w:rsidRPr="00381D99" w:rsidRDefault="00A950CC" w:rsidP="00A950CC">
      <w:pPr>
        <w:spacing w:before="100" w:beforeAutospacing="1" w:after="100" w:afterAutospacing="1" w:line="240" w:lineRule="auto"/>
        <w:ind w:left="450"/>
        <w:rPr>
          <w:rFonts w:ascii="Times New Roman" w:eastAsia="Times New Roman" w:hAnsi="Times New Roman"/>
          <w:b/>
          <w:bCs/>
          <w:sz w:val="24"/>
          <w:szCs w:val="24"/>
        </w:rPr>
      </w:pPr>
      <w:r w:rsidRPr="00381D99">
        <w:rPr>
          <w:rFonts w:ascii="Times New Roman" w:hAnsi="Times New Roman"/>
          <w:sz w:val="24"/>
          <w:szCs w:val="24"/>
        </w:rPr>
        <w:t xml:space="preserve">On May 7, 2020, in </w:t>
      </w:r>
      <w:r w:rsidRPr="00381D99">
        <w:rPr>
          <w:rFonts w:ascii="Times New Roman" w:hAnsi="Times New Roman"/>
          <w:sz w:val="24"/>
          <w:szCs w:val="24"/>
          <w:u w:val="single"/>
        </w:rPr>
        <w:t>Grant Seibert v. City of San Jose</w:t>
      </w:r>
      <w:r>
        <w:rPr>
          <w:rFonts w:ascii="Times New Roman" w:hAnsi="Times New Roman"/>
          <w:sz w:val="24"/>
          <w:szCs w:val="24"/>
        </w:rPr>
        <w:t>, the Court of Appeal of State of California, Sixth Appellate District, held (3 to 0) in unreported opinion, “</w:t>
      </w:r>
      <w:r w:rsidRPr="009B52FF">
        <w:rPr>
          <w:rFonts w:ascii="Times New Roman" w:hAnsi="Times New Roman"/>
          <w:sz w:val="24"/>
          <w:szCs w:val="24"/>
        </w:rPr>
        <w:t>Insofar as Seibert sexualized his job, his actions reasonably could be found to be disrespectful to the general public, which is rightly entitled to expect professionalism from its public servants. In addition, insofar as those actions</w:t>
      </w:r>
      <w:r>
        <w:rPr>
          <w:rFonts w:ascii="Times New Roman" w:hAnsi="Times New Roman"/>
          <w:sz w:val="24"/>
          <w:szCs w:val="24"/>
        </w:rPr>
        <w:t xml:space="preserve"> </w:t>
      </w:r>
      <w:r w:rsidRPr="009B52FF">
        <w:rPr>
          <w:rFonts w:ascii="Times New Roman" w:hAnsi="Times New Roman"/>
          <w:sz w:val="24"/>
          <w:szCs w:val="24"/>
        </w:rPr>
        <w:t>tended to</w:t>
      </w:r>
      <w:r>
        <w:rPr>
          <w:rFonts w:ascii="Times New Roman" w:hAnsi="Times New Roman"/>
          <w:sz w:val="24"/>
          <w:szCs w:val="24"/>
        </w:rPr>
        <w:t xml:space="preserve"> </w:t>
      </w:r>
      <w:r w:rsidRPr="009B52FF">
        <w:rPr>
          <w:rFonts w:ascii="Times New Roman" w:hAnsi="Times New Roman"/>
          <w:sz w:val="24"/>
          <w:szCs w:val="24"/>
        </w:rPr>
        <w:t>undercut the public’s</w:t>
      </w:r>
      <w:r>
        <w:rPr>
          <w:rFonts w:ascii="Times New Roman" w:hAnsi="Times New Roman"/>
          <w:sz w:val="24"/>
          <w:szCs w:val="24"/>
        </w:rPr>
        <w:t xml:space="preserve"> </w:t>
      </w:r>
      <w:r w:rsidRPr="009B52FF">
        <w:rPr>
          <w:rFonts w:ascii="Times New Roman" w:hAnsi="Times New Roman"/>
          <w:sz w:val="24"/>
          <w:szCs w:val="24"/>
        </w:rPr>
        <w:t>trust</w:t>
      </w:r>
      <w:r>
        <w:rPr>
          <w:rFonts w:ascii="Times New Roman" w:hAnsi="Times New Roman"/>
          <w:sz w:val="24"/>
          <w:szCs w:val="24"/>
        </w:rPr>
        <w:t xml:space="preserve"> </w:t>
      </w:r>
      <w:r w:rsidRPr="009B52FF">
        <w:rPr>
          <w:rFonts w:ascii="Times New Roman" w:hAnsi="Times New Roman"/>
          <w:sz w:val="24"/>
          <w:szCs w:val="24"/>
        </w:rPr>
        <w:t>of and respect</w:t>
      </w:r>
      <w:r>
        <w:rPr>
          <w:rFonts w:ascii="Times New Roman" w:hAnsi="Times New Roman"/>
          <w:sz w:val="24"/>
          <w:szCs w:val="24"/>
        </w:rPr>
        <w:t xml:space="preserve"> </w:t>
      </w:r>
      <w:r w:rsidRPr="009B52FF">
        <w:rPr>
          <w:rFonts w:ascii="Times New Roman" w:hAnsi="Times New Roman"/>
          <w:sz w:val="24"/>
          <w:szCs w:val="24"/>
        </w:rPr>
        <w:t>for the Department and its members, the trial court could reasonably find that those actions were detrimental to the public service,</w:t>
      </w:r>
      <w:r>
        <w:rPr>
          <w:rFonts w:ascii="Times New Roman" w:hAnsi="Times New Roman"/>
          <w:sz w:val="24"/>
          <w:szCs w:val="24"/>
        </w:rPr>
        <w:t xml:space="preserve"> </w:t>
      </w:r>
      <w:r w:rsidRPr="009B52FF">
        <w:rPr>
          <w:rFonts w:ascii="Times New Roman" w:hAnsi="Times New Roman"/>
          <w:sz w:val="24"/>
          <w:szCs w:val="24"/>
        </w:rPr>
        <w:t>which was</w:t>
      </w:r>
      <w:r>
        <w:rPr>
          <w:rFonts w:ascii="Times New Roman" w:hAnsi="Times New Roman"/>
          <w:sz w:val="24"/>
          <w:szCs w:val="24"/>
        </w:rPr>
        <w:t xml:space="preserve"> </w:t>
      </w:r>
      <w:r w:rsidRPr="009B52FF">
        <w:rPr>
          <w:rFonts w:ascii="Times New Roman" w:hAnsi="Times New Roman"/>
          <w:sz w:val="24"/>
          <w:szCs w:val="24"/>
        </w:rPr>
        <w:t>a cause for discipline</w:t>
      </w:r>
      <w:r>
        <w:rPr>
          <w:rFonts w:ascii="Times New Roman" w:hAnsi="Times New Roman"/>
          <w:sz w:val="24"/>
          <w:szCs w:val="24"/>
        </w:rPr>
        <w:t xml:space="preserve"> </w:t>
      </w:r>
      <w:r w:rsidRPr="009B52FF">
        <w:rPr>
          <w:rFonts w:ascii="Times New Roman" w:hAnsi="Times New Roman"/>
          <w:sz w:val="24"/>
          <w:szCs w:val="24"/>
        </w:rPr>
        <w:t>specified in charge</w:t>
      </w:r>
      <w:r>
        <w:rPr>
          <w:rFonts w:ascii="Times New Roman" w:hAnsi="Times New Roman"/>
          <w:sz w:val="24"/>
          <w:szCs w:val="24"/>
        </w:rPr>
        <w:t xml:space="preserve"> </w:t>
      </w:r>
      <w:r w:rsidRPr="009B52FF">
        <w:rPr>
          <w:rFonts w:ascii="Times New Roman" w:hAnsi="Times New Roman"/>
          <w:sz w:val="24"/>
          <w:szCs w:val="24"/>
        </w:rPr>
        <w:t>No.1</w:t>
      </w:r>
      <w:r>
        <w:rPr>
          <w:rFonts w:ascii="Times New Roman" w:hAnsi="Times New Roman"/>
          <w:sz w:val="24"/>
          <w:szCs w:val="24"/>
        </w:rPr>
        <w:t xml:space="preserve">.” </w:t>
      </w:r>
      <w:hyperlink r:id="rId2745" w:history="1">
        <w:r w:rsidRPr="008C168C">
          <w:rPr>
            <w:rStyle w:val="Hyperlink"/>
            <w:sz w:val="24"/>
            <w:szCs w:val="24"/>
          </w:rPr>
          <w:t>https://www.courts.ca.gov/opinions/nonpub/H046246.PDF</w:t>
        </w:r>
      </w:hyperlink>
      <w:r>
        <w:rPr>
          <w:rFonts w:ascii="Times New Roman" w:hAnsi="Times New Roman"/>
          <w:sz w:val="24"/>
          <w:szCs w:val="24"/>
        </w:rPr>
        <w:t xml:space="preserve">   </w:t>
      </w:r>
    </w:p>
    <w:p w14:paraId="692C7F00" w14:textId="77777777" w:rsidR="00A950CC" w:rsidRPr="001A6E95" w:rsidRDefault="00A950CC" w:rsidP="00A950CC">
      <w:pPr>
        <w:spacing w:before="100" w:beforeAutospacing="1" w:after="100" w:afterAutospacing="1" w:line="240" w:lineRule="auto"/>
        <w:rPr>
          <w:rFonts w:ascii="Times New Roman" w:hAnsi="Times New Roman"/>
          <w:b/>
          <w:bCs/>
          <w:sz w:val="24"/>
          <w:szCs w:val="24"/>
        </w:rPr>
      </w:pPr>
      <w:r w:rsidRPr="001A6E95">
        <w:rPr>
          <w:rFonts w:ascii="Times New Roman" w:hAnsi="Times New Roman"/>
          <w:b/>
          <w:bCs/>
          <w:sz w:val="24"/>
          <w:szCs w:val="24"/>
        </w:rPr>
        <w:t>Legal Lessons Learned:</w:t>
      </w:r>
      <w:r>
        <w:rPr>
          <w:rFonts w:ascii="Times New Roman" w:hAnsi="Times New Roman"/>
          <w:b/>
          <w:bCs/>
          <w:sz w:val="24"/>
          <w:szCs w:val="24"/>
        </w:rPr>
        <w:t xml:space="preserve"> The firefighter’s e-mails clearly can bring embarrassment to the Fire Department. </w:t>
      </w:r>
    </w:p>
    <w:p w14:paraId="2FFA47F8" w14:textId="77777777" w:rsidR="00A950CC" w:rsidRDefault="00A950CC" w:rsidP="00F326E5">
      <w:pPr>
        <w:pStyle w:val="NoSpacing"/>
        <w:rPr>
          <w:rFonts w:ascii="Arial Black" w:hAnsi="Arial Black"/>
          <w:sz w:val="24"/>
          <w:szCs w:val="24"/>
        </w:rPr>
      </w:pPr>
    </w:p>
    <w:p w14:paraId="1111B8BD" w14:textId="77777777" w:rsidR="00A950CC" w:rsidRDefault="00A950CC" w:rsidP="00F326E5">
      <w:pPr>
        <w:pStyle w:val="NoSpacing"/>
        <w:rPr>
          <w:rFonts w:ascii="Arial Black" w:hAnsi="Arial Black"/>
          <w:sz w:val="24"/>
          <w:szCs w:val="24"/>
        </w:rPr>
      </w:pPr>
    </w:p>
    <w:p w14:paraId="5719CE4B" w14:textId="77777777" w:rsidR="00A950CC" w:rsidRDefault="00A950CC" w:rsidP="00F326E5">
      <w:pPr>
        <w:pStyle w:val="NoSpacing"/>
        <w:rPr>
          <w:rFonts w:ascii="Arial Black" w:hAnsi="Arial Black"/>
          <w:sz w:val="24"/>
          <w:szCs w:val="24"/>
        </w:rPr>
      </w:pPr>
    </w:p>
    <w:p w14:paraId="64D327E8" w14:textId="6FE8F55C" w:rsidR="00FA7B26" w:rsidRDefault="00FA7B26" w:rsidP="00F326E5">
      <w:pPr>
        <w:pStyle w:val="NoSpacing"/>
        <w:rPr>
          <w:rFonts w:ascii="Arial Black" w:hAnsi="Arial Black"/>
          <w:sz w:val="24"/>
          <w:szCs w:val="24"/>
        </w:rPr>
      </w:pPr>
      <w:r>
        <w:rPr>
          <w:rFonts w:ascii="Arial Black" w:hAnsi="Arial Black"/>
          <w:sz w:val="24"/>
          <w:szCs w:val="24"/>
        </w:rPr>
        <w:t>16-35</w:t>
      </w:r>
    </w:p>
    <w:p w14:paraId="3D201ADA" w14:textId="13B2DFBC" w:rsidR="00FA7B26" w:rsidRDefault="00FA7B26" w:rsidP="00F326E5">
      <w:pPr>
        <w:pStyle w:val="NoSpacing"/>
        <w:rPr>
          <w:rFonts w:ascii="Arial Black" w:hAnsi="Arial Black"/>
          <w:sz w:val="24"/>
          <w:szCs w:val="24"/>
        </w:rPr>
      </w:pPr>
    </w:p>
    <w:p w14:paraId="0FA37BA9" w14:textId="77777777" w:rsidR="00A950CC" w:rsidRPr="000751CF" w:rsidRDefault="00A950CC" w:rsidP="00A950CC">
      <w:pPr>
        <w:pStyle w:val="Heading1"/>
        <w:rPr>
          <w:rFonts w:ascii="Arial Black" w:hAnsi="Arial Black"/>
          <w:sz w:val="28"/>
          <w:szCs w:val="28"/>
        </w:rPr>
      </w:pPr>
      <w:r w:rsidRPr="000751CF">
        <w:rPr>
          <w:rFonts w:ascii="Arial Black" w:hAnsi="Arial Black"/>
          <w:sz w:val="28"/>
          <w:szCs w:val="28"/>
        </w:rPr>
        <w:lastRenderedPageBreak/>
        <w:t xml:space="preserve">KY: </w:t>
      </w:r>
      <w:r>
        <w:rPr>
          <w:rFonts w:ascii="Arial Black" w:hAnsi="Arial Black"/>
          <w:sz w:val="28"/>
          <w:szCs w:val="28"/>
        </w:rPr>
        <w:t xml:space="preserve"> FD LIEUTENANT – INVEST. EXPOSED HIMSELF TO MINOR - PONOGRAPHY FOUND ON HIS FD COMPUTER – FIRE CHIEF [HIS FATHER] SIGNED CONSENT TO SEARCH</w:t>
      </w:r>
    </w:p>
    <w:p w14:paraId="503DEE29" w14:textId="0DCBABE8" w:rsidR="00FA7B26" w:rsidRPr="00A950CC" w:rsidRDefault="00A950CC" w:rsidP="00A950CC">
      <w:pPr>
        <w:pStyle w:val="NoSpacing"/>
        <w:rPr>
          <w:rFonts w:ascii="Times New Roman" w:hAnsi="Times New Roman"/>
          <w:sz w:val="24"/>
          <w:szCs w:val="24"/>
        </w:rPr>
      </w:pPr>
      <w:r w:rsidRPr="00A950CC">
        <w:rPr>
          <w:rFonts w:ascii="Times New Roman" w:hAnsi="Times New Roman"/>
          <w:sz w:val="24"/>
          <w:szCs w:val="24"/>
        </w:rPr>
        <w:t xml:space="preserve">On May 4, 2020, in </w:t>
      </w:r>
      <w:r w:rsidRPr="00A950CC">
        <w:rPr>
          <w:rFonts w:ascii="Times New Roman" w:hAnsi="Times New Roman"/>
          <w:sz w:val="24"/>
          <w:szCs w:val="24"/>
          <w:u w:val="single"/>
        </w:rPr>
        <w:t>United States of America v. Robert Christopher England</w:t>
      </w:r>
      <w:r w:rsidRPr="00A950CC">
        <w:rPr>
          <w:rFonts w:ascii="Times New Roman" w:hAnsi="Times New Roman"/>
          <w:sz w:val="24"/>
          <w:szCs w:val="24"/>
        </w:rPr>
        <w:t xml:space="preserve">, U.S. District Court Judge Claria Horn Boom, Eastern District of Kentucky / Southern Division (at London) held that the FD computer was properly searched with the written consent of the Fire Chief, in agreement with recommendation of U.S. Magistrate who heard motion to suppress. </w:t>
      </w:r>
      <w:hyperlink r:id="rId2746" w:history="1">
        <w:r w:rsidRPr="00A950CC">
          <w:rPr>
            <w:rStyle w:val="Hyperlink"/>
            <w:rFonts w:ascii="Times New Roman" w:hAnsi="Times New Roman"/>
            <w:sz w:val="24"/>
            <w:szCs w:val="24"/>
          </w:rPr>
          <w:t>https://public.fastcase.com/Wl%2B2t%2BeVuI35%2FN70vAMFZoCDqhYmNsbFLjWVRK8omsgUzbu2OUiVNTenINejQyEj</w:t>
        </w:r>
      </w:hyperlink>
    </w:p>
    <w:p w14:paraId="386B6220" w14:textId="77777777" w:rsidR="00FA7B26" w:rsidRDefault="00FA7B26" w:rsidP="00F326E5">
      <w:pPr>
        <w:pStyle w:val="NoSpacing"/>
        <w:rPr>
          <w:rFonts w:ascii="Arial Black" w:hAnsi="Arial Black"/>
          <w:sz w:val="24"/>
          <w:szCs w:val="24"/>
        </w:rPr>
      </w:pPr>
    </w:p>
    <w:p w14:paraId="538AC333" w14:textId="77777777" w:rsidR="00A950CC" w:rsidRPr="00784956" w:rsidRDefault="00A950CC" w:rsidP="00A950CC">
      <w:pPr>
        <w:pStyle w:val="NormalWeb"/>
        <w:tabs>
          <w:tab w:val="left" w:pos="2940"/>
        </w:tabs>
        <w:rPr>
          <w:b/>
          <w:bCs/>
        </w:rPr>
      </w:pPr>
      <w:r w:rsidRPr="00784956">
        <w:rPr>
          <w:b/>
          <w:bCs/>
        </w:rPr>
        <w:t>Legal Lessons Learned</w:t>
      </w:r>
      <w:r>
        <w:rPr>
          <w:b/>
          <w:bCs/>
        </w:rPr>
        <w:t xml:space="preserve">: FDs should have a computer use policy that allows FD to audit the contents of the computer, and to authorize others (including law enforcement) to access contents. </w:t>
      </w:r>
    </w:p>
    <w:p w14:paraId="0D6F6268" w14:textId="77777777" w:rsidR="00A950CC" w:rsidRPr="00E504C8" w:rsidRDefault="00A950CC" w:rsidP="00A950CC">
      <w:pPr>
        <w:spacing w:before="100" w:beforeAutospacing="1" w:after="100" w:afterAutospacing="1" w:line="240" w:lineRule="auto"/>
        <w:ind w:left="720"/>
        <w:rPr>
          <w:rFonts w:ascii="Times New Roman" w:hAnsi="Times New Roman"/>
          <w:sz w:val="24"/>
          <w:szCs w:val="24"/>
        </w:rPr>
      </w:pPr>
      <w:r w:rsidRPr="00E504C8">
        <w:rPr>
          <w:rFonts w:ascii="Times New Roman" w:hAnsi="Times New Roman"/>
          <w:sz w:val="24"/>
          <w:szCs w:val="24"/>
        </w:rPr>
        <w:t xml:space="preserve">Note: California's wiretapping law is a </w:t>
      </w:r>
      <w:hyperlink r:id="rId2747" w:tooltip="Recording Phone Calls and Conversations" w:history="1">
        <w:r w:rsidRPr="00E504C8">
          <w:rPr>
            <w:rStyle w:val="Hyperlink"/>
            <w:sz w:val="24"/>
            <w:szCs w:val="24"/>
          </w:rPr>
          <w:t>"two-party consent" law</w:t>
        </w:r>
      </w:hyperlink>
      <w:r w:rsidRPr="00E504C8">
        <w:rPr>
          <w:rFonts w:ascii="Times New Roman" w:hAnsi="Times New Roman"/>
          <w:sz w:val="24"/>
          <w:szCs w:val="24"/>
        </w:rPr>
        <w:t xml:space="preserve">. California makes it a crime to record or eavesdrop on any confidential communication, including a private conversation or telephone call, </w:t>
      </w:r>
      <w:r w:rsidRPr="00E504C8">
        <w:rPr>
          <w:rFonts w:ascii="Times New Roman" w:hAnsi="Times New Roman"/>
          <w:b/>
          <w:bCs/>
          <w:sz w:val="24"/>
          <w:szCs w:val="24"/>
        </w:rPr>
        <w:t xml:space="preserve">without the consent of </w:t>
      </w:r>
      <w:r w:rsidRPr="00E504C8">
        <w:rPr>
          <w:rStyle w:val="Strong"/>
          <w:rFonts w:ascii="Times New Roman" w:hAnsi="Times New Roman"/>
          <w:sz w:val="24"/>
          <w:szCs w:val="24"/>
        </w:rPr>
        <w:t>all parties to the conversation</w:t>
      </w:r>
      <w:r w:rsidRPr="00E504C8">
        <w:rPr>
          <w:rFonts w:ascii="Times New Roman" w:hAnsi="Times New Roman"/>
          <w:sz w:val="24"/>
          <w:szCs w:val="24"/>
        </w:rPr>
        <w:t xml:space="preserve">. See </w:t>
      </w:r>
      <w:hyperlink r:id="rId2748" w:tooltip="http://www.leginfo.ca.gov/cgi-bin/displaycode?section=pen&amp;group=00001-01000&amp;file=630-638" w:history="1">
        <w:r w:rsidRPr="00E504C8">
          <w:rPr>
            <w:rStyle w:val="Hyperlink"/>
            <w:sz w:val="24"/>
            <w:szCs w:val="24"/>
          </w:rPr>
          <w:t>Cal. Penal Code § 632</w:t>
        </w:r>
      </w:hyperlink>
      <w:r w:rsidRPr="00E504C8">
        <w:rPr>
          <w:rFonts w:ascii="Times New Roman" w:hAnsi="Times New Roman"/>
          <w:sz w:val="24"/>
          <w:szCs w:val="24"/>
        </w:rPr>
        <w:t xml:space="preserve">. </w:t>
      </w:r>
      <w:hyperlink r:id="rId2749" w:history="1">
        <w:r w:rsidRPr="00E504C8">
          <w:rPr>
            <w:rStyle w:val="Hyperlink"/>
            <w:sz w:val="24"/>
            <w:szCs w:val="24"/>
          </w:rPr>
          <w:t>https://www.dmlp.org/legal-guide/california-recording-law</w:t>
        </w:r>
      </w:hyperlink>
      <w:r w:rsidRPr="00E504C8">
        <w:rPr>
          <w:rFonts w:ascii="Times New Roman" w:hAnsi="Times New Roman"/>
          <w:sz w:val="24"/>
          <w:szCs w:val="24"/>
        </w:rPr>
        <w:t xml:space="preserve"> </w:t>
      </w:r>
    </w:p>
    <w:p w14:paraId="051EF252" w14:textId="77777777" w:rsidR="00A950CC" w:rsidRPr="00E504C8" w:rsidRDefault="00A950CC" w:rsidP="00A950CC">
      <w:pPr>
        <w:spacing w:before="100" w:beforeAutospacing="1" w:after="100" w:afterAutospacing="1" w:line="240" w:lineRule="auto"/>
        <w:ind w:left="720"/>
        <w:rPr>
          <w:rFonts w:ascii="Times New Roman" w:eastAsia="Times New Roman" w:hAnsi="Times New Roman"/>
          <w:b/>
          <w:bCs/>
          <w:sz w:val="24"/>
          <w:szCs w:val="24"/>
        </w:rPr>
      </w:pPr>
      <w:r w:rsidRPr="00E504C8">
        <w:rPr>
          <w:rFonts w:ascii="Times New Roman" w:hAnsi="Times New Roman"/>
          <w:sz w:val="24"/>
          <w:szCs w:val="24"/>
        </w:rPr>
        <w:t xml:space="preserve">Ohio's wiretapping law is a </w:t>
      </w:r>
      <w:hyperlink r:id="rId2750" w:tooltip="Recording Phone Calls and Conversations" w:history="1">
        <w:r w:rsidRPr="00E504C8">
          <w:rPr>
            <w:rStyle w:val="Hyperlink"/>
            <w:sz w:val="24"/>
            <w:szCs w:val="24"/>
          </w:rPr>
          <w:t>"one-party consent" law</w:t>
        </w:r>
      </w:hyperlink>
      <w:r w:rsidRPr="00E504C8">
        <w:rPr>
          <w:rFonts w:ascii="Times New Roman" w:hAnsi="Times New Roman"/>
          <w:sz w:val="24"/>
          <w:szCs w:val="24"/>
        </w:rPr>
        <w:t xml:space="preserve">. Ohio law makes it a crime to intercept or record any "wire, oral, or electronic communication" </w:t>
      </w:r>
      <w:r w:rsidRPr="00E504C8">
        <w:rPr>
          <w:rStyle w:val="Strong"/>
          <w:rFonts w:ascii="Times New Roman" w:hAnsi="Times New Roman"/>
          <w:sz w:val="24"/>
          <w:szCs w:val="24"/>
        </w:rPr>
        <w:t>unless one party to the conversation consents</w:t>
      </w:r>
      <w:r w:rsidRPr="00E504C8">
        <w:rPr>
          <w:rFonts w:ascii="Times New Roman" w:hAnsi="Times New Roman"/>
          <w:sz w:val="24"/>
          <w:szCs w:val="24"/>
        </w:rPr>
        <w:t>.</w:t>
      </w:r>
      <w:r w:rsidRPr="00E504C8">
        <w:rPr>
          <w:rFonts w:ascii="Times New Roman" w:hAnsi="Times New Roman"/>
          <w:b/>
          <w:bCs/>
          <w:sz w:val="24"/>
          <w:szCs w:val="24"/>
        </w:rPr>
        <w:t xml:space="preserve"> </w:t>
      </w:r>
      <w:hyperlink r:id="rId2751" w:tooltip="http://codes.ohio.gov/orc/2933.52" w:history="1">
        <w:r w:rsidRPr="00E504C8">
          <w:rPr>
            <w:rStyle w:val="Hyperlink"/>
            <w:sz w:val="24"/>
            <w:szCs w:val="24"/>
          </w:rPr>
          <w:t>Ohio Rev. Code § 2933.52</w:t>
        </w:r>
      </w:hyperlink>
      <w:r w:rsidRPr="00E504C8">
        <w:rPr>
          <w:rFonts w:ascii="Times New Roman" w:hAnsi="Times New Roman"/>
          <w:sz w:val="24"/>
          <w:szCs w:val="24"/>
        </w:rPr>
        <w:t xml:space="preserve">. Thus, if you operate in Ohio, you may record a conversation or phone call if you </w:t>
      </w:r>
      <w:proofErr w:type="gramStart"/>
      <w:r w:rsidRPr="00E504C8">
        <w:rPr>
          <w:rFonts w:ascii="Times New Roman" w:hAnsi="Times New Roman"/>
          <w:sz w:val="24"/>
          <w:szCs w:val="24"/>
        </w:rPr>
        <w:t>are</w:t>
      </w:r>
      <w:proofErr w:type="gramEnd"/>
      <w:r w:rsidRPr="00E504C8">
        <w:rPr>
          <w:rFonts w:ascii="Times New Roman" w:hAnsi="Times New Roman"/>
          <w:sz w:val="24"/>
          <w:szCs w:val="24"/>
        </w:rPr>
        <w:t xml:space="preserve"> a party to the conversation or </w:t>
      </w:r>
      <w:proofErr w:type="gramStart"/>
      <w:r w:rsidRPr="00E504C8">
        <w:rPr>
          <w:rFonts w:ascii="Times New Roman" w:hAnsi="Times New Roman"/>
          <w:sz w:val="24"/>
          <w:szCs w:val="24"/>
        </w:rPr>
        <w:t>you get</w:t>
      </w:r>
      <w:proofErr w:type="gramEnd"/>
      <w:r w:rsidRPr="00E504C8">
        <w:rPr>
          <w:rFonts w:ascii="Times New Roman" w:hAnsi="Times New Roman"/>
          <w:sz w:val="24"/>
          <w:szCs w:val="24"/>
        </w:rPr>
        <w:t xml:space="preserve"> permission from one party to the conversation in advance. That said, if you intend to record conversations involving people located in more than one state, you should play it safe and get the consent of all parties. </w:t>
      </w:r>
      <w:hyperlink r:id="rId2752" w:history="1">
        <w:r w:rsidRPr="00E504C8">
          <w:rPr>
            <w:rStyle w:val="Hyperlink"/>
            <w:sz w:val="24"/>
            <w:szCs w:val="24"/>
          </w:rPr>
          <w:t>https://www.dmlp.org/legal-guide/ohio/ohio-recording-law</w:t>
        </w:r>
      </w:hyperlink>
      <w:r w:rsidRPr="00E504C8">
        <w:rPr>
          <w:rFonts w:ascii="Times New Roman" w:hAnsi="Times New Roman"/>
          <w:sz w:val="24"/>
          <w:szCs w:val="24"/>
        </w:rPr>
        <w:t xml:space="preserve"> </w:t>
      </w:r>
    </w:p>
    <w:p w14:paraId="40846BD8" w14:textId="77777777" w:rsidR="00FA7B26" w:rsidRDefault="00FA7B26" w:rsidP="00F326E5">
      <w:pPr>
        <w:pStyle w:val="NoSpacing"/>
        <w:rPr>
          <w:rFonts w:ascii="Arial Black" w:hAnsi="Arial Black"/>
          <w:sz w:val="24"/>
          <w:szCs w:val="24"/>
        </w:rPr>
      </w:pPr>
    </w:p>
    <w:p w14:paraId="6E7FBDE1" w14:textId="77777777" w:rsidR="00FA7B26" w:rsidRDefault="00FA7B26" w:rsidP="00F326E5">
      <w:pPr>
        <w:pStyle w:val="NoSpacing"/>
        <w:rPr>
          <w:rFonts w:ascii="Arial Black" w:hAnsi="Arial Black"/>
          <w:sz w:val="24"/>
          <w:szCs w:val="24"/>
        </w:rPr>
      </w:pPr>
    </w:p>
    <w:p w14:paraId="05EE8D37" w14:textId="332A07F3" w:rsidR="00FA7B26" w:rsidRDefault="00FA7B26" w:rsidP="00F326E5">
      <w:pPr>
        <w:pStyle w:val="NoSpacing"/>
        <w:rPr>
          <w:rFonts w:ascii="Arial Black" w:hAnsi="Arial Black"/>
          <w:sz w:val="24"/>
          <w:szCs w:val="24"/>
        </w:rPr>
      </w:pPr>
      <w:r>
        <w:rPr>
          <w:rFonts w:ascii="Arial Black" w:hAnsi="Arial Black"/>
          <w:sz w:val="24"/>
          <w:szCs w:val="24"/>
        </w:rPr>
        <w:t>16-34</w:t>
      </w:r>
    </w:p>
    <w:p w14:paraId="7ED57073" w14:textId="5D47F558" w:rsidR="00FA7B26" w:rsidRDefault="00FA7B26" w:rsidP="00F326E5">
      <w:pPr>
        <w:pStyle w:val="NoSpacing"/>
        <w:rPr>
          <w:rFonts w:ascii="Arial Black" w:hAnsi="Arial Black"/>
          <w:sz w:val="24"/>
          <w:szCs w:val="24"/>
        </w:rPr>
      </w:pPr>
    </w:p>
    <w:p w14:paraId="7C2BD847" w14:textId="77777777" w:rsidR="00FA7B26" w:rsidRPr="004820BE" w:rsidRDefault="00FA7B26" w:rsidP="00FA7B26">
      <w:pPr>
        <w:spacing w:before="100" w:beforeAutospacing="1" w:after="100" w:afterAutospacing="1" w:line="240" w:lineRule="auto"/>
        <w:rPr>
          <w:rFonts w:ascii="Arial Black" w:eastAsia="Times New Roman" w:hAnsi="Arial Black"/>
          <w:sz w:val="28"/>
          <w:szCs w:val="28"/>
        </w:rPr>
      </w:pPr>
      <w:r w:rsidRPr="004820BE">
        <w:rPr>
          <w:rFonts w:ascii="Arial Black" w:eastAsia="Times New Roman" w:hAnsi="Arial Black"/>
          <w:sz w:val="28"/>
          <w:szCs w:val="28"/>
        </w:rPr>
        <w:t xml:space="preserve">MA: </w:t>
      </w:r>
      <w:r>
        <w:rPr>
          <w:rFonts w:ascii="Arial Black" w:eastAsia="Times New Roman" w:hAnsi="Arial Black"/>
          <w:sz w:val="28"/>
          <w:szCs w:val="28"/>
        </w:rPr>
        <w:t>CAPTAIN -– CONV. 5 COUNTS LARCENY – VENDOR GIFTS – JUDGE ALLOWED PROS. TELL JURY OPENING STATEMENT HE ALSO “SWAPPED” RECRUITS CLOTHING</w:t>
      </w:r>
    </w:p>
    <w:p w14:paraId="2C9C1DB1" w14:textId="22A20161" w:rsidR="00FA7B26" w:rsidRDefault="00FA7B26" w:rsidP="00FA7B26">
      <w:pPr>
        <w:pStyle w:val="NoSpacing"/>
        <w:rPr>
          <w:rStyle w:val="Hyperlink"/>
          <w:sz w:val="24"/>
          <w:szCs w:val="24"/>
        </w:rPr>
      </w:pPr>
      <w:r>
        <w:rPr>
          <w:rFonts w:ascii="Times New Roman" w:eastAsia="Times New Roman" w:hAnsi="Times New Roman"/>
          <w:sz w:val="24"/>
          <w:szCs w:val="24"/>
        </w:rPr>
        <w:t xml:space="preserve">On April 27, 2019, in </w:t>
      </w:r>
      <w:r w:rsidRPr="0040733F">
        <w:rPr>
          <w:rFonts w:ascii="Times New Roman" w:eastAsia="Times New Roman" w:hAnsi="Times New Roman"/>
          <w:sz w:val="24"/>
          <w:szCs w:val="24"/>
          <w:u w:val="single"/>
        </w:rPr>
        <w:t>Commonwealth v. Edward A. Scigliano, Fourth</w:t>
      </w:r>
      <w:r>
        <w:rPr>
          <w:rFonts w:ascii="Times New Roman" w:eastAsia="Times New Roman" w:hAnsi="Times New Roman"/>
          <w:sz w:val="24"/>
          <w:szCs w:val="24"/>
        </w:rPr>
        <w:t xml:space="preserve">,  the Commonwealth of Massachusetts Appeals Court, held in a summary decision (3 to 0) that his conviction is affirmed.  </w:t>
      </w:r>
      <w:r w:rsidRPr="0040733F">
        <w:rPr>
          <w:rFonts w:ascii="Times New Roman" w:eastAsia="Times New Roman" w:hAnsi="Times New Roman"/>
          <w:sz w:val="24"/>
          <w:szCs w:val="24"/>
        </w:rPr>
        <w:t>“</w:t>
      </w:r>
      <w:r w:rsidRPr="0040733F">
        <w:rPr>
          <w:rFonts w:ascii="Times New Roman" w:hAnsi="Times New Roman"/>
          <w:sz w:val="24"/>
          <w:szCs w:val="24"/>
        </w:rPr>
        <w:t>The Commonwealth properly introduced evidence that the defendant previously "swapped" goods purchased by the city for other goods from which he derived a personal benefit because it "tended to rebut the defense of innocent intent and make more probable the existence of the requisite illegal intent, that of committing a larceny," during the transactions alleged in the indictments.”</w:t>
      </w:r>
      <w:r>
        <w:rPr>
          <w:rFonts w:ascii="Times New Roman" w:hAnsi="Times New Roman"/>
          <w:sz w:val="24"/>
          <w:szCs w:val="24"/>
        </w:rPr>
        <w:t xml:space="preserve"> </w:t>
      </w:r>
      <w:hyperlink r:id="rId2753" w:history="1">
        <w:r w:rsidRPr="002F2B5F">
          <w:rPr>
            <w:rStyle w:val="Hyperlink"/>
            <w:sz w:val="24"/>
            <w:szCs w:val="24"/>
          </w:rPr>
          <w:t>https://public.fastcase.com/Wl%2B2t%2BeVuI35%2FN70vAMFZiqDSx6E0DPFzBbugd7jDu14ZTk4ABsQUj2F%2Fw3WIuoM</w:t>
        </w:r>
      </w:hyperlink>
    </w:p>
    <w:p w14:paraId="468EC205" w14:textId="77777777" w:rsidR="00FA7B26" w:rsidRDefault="00FA7B26" w:rsidP="00FA7B26">
      <w:pPr>
        <w:spacing w:before="100" w:beforeAutospacing="1" w:after="100" w:afterAutospacing="1" w:line="240" w:lineRule="auto"/>
        <w:rPr>
          <w:rFonts w:ascii="Times New Roman" w:eastAsia="Times New Roman" w:hAnsi="Times New Roman"/>
          <w:b/>
          <w:bCs/>
          <w:sz w:val="24"/>
          <w:szCs w:val="24"/>
        </w:rPr>
      </w:pPr>
      <w:r w:rsidRPr="00BB7625">
        <w:rPr>
          <w:rFonts w:ascii="Times New Roman" w:eastAsia="Times New Roman" w:hAnsi="Times New Roman"/>
          <w:b/>
          <w:bCs/>
          <w:sz w:val="24"/>
          <w:szCs w:val="24"/>
        </w:rPr>
        <w:lastRenderedPageBreak/>
        <w:t>Legal Lessons Learned:</w:t>
      </w:r>
      <w:r>
        <w:rPr>
          <w:rFonts w:ascii="Times New Roman" w:eastAsia="Times New Roman" w:hAnsi="Times New Roman"/>
          <w:b/>
          <w:bCs/>
          <w:sz w:val="24"/>
          <w:szCs w:val="24"/>
        </w:rPr>
        <w:t xml:space="preserve"> The prosecutor properly obtained Trial Judge’s permission to discuss the uncharged act of “swapping” recruit clothes. </w:t>
      </w:r>
    </w:p>
    <w:p w14:paraId="0C698137" w14:textId="77777777" w:rsidR="00FA7B26" w:rsidRDefault="00FA7B26" w:rsidP="00FA7B26">
      <w:pPr>
        <w:pStyle w:val="NoSpacing"/>
        <w:rPr>
          <w:rFonts w:ascii="Arial Black" w:hAnsi="Arial Black"/>
          <w:sz w:val="24"/>
          <w:szCs w:val="24"/>
        </w:rPr>
      </w:pPr>
    </w:p>
    <w:p w14:paraId="06A65F06" w14:textId="77777777" w:rsidR="00FA7B26" w:rsidRDefault="00FA7B26" w:rsidP="00F326E5">
      <w:pPr>
        <w:pStyle w:val="NoSpacing"/>
        <w:rPr>
          <w:rFonts w:ascii="Arial Black" w:hAnsi="Arial Black"/>
          <w:sz w:val="24"/>
          <w:szCs w:val="24"/>
        </w:rPr>
      </w:pPr>
    </w:p>
    <w:p w14:paraId="25867CD2" w14:textId="2BAC28CF" w:rsidR="000F18B0" w:rsidRDefault="000F18B0" w:rsidP="00F326E5">
      <w:pPr>
        <w:pStyle w:val="NoSpacing"/>
        <w:rPr>
          <w:rFonts w:ascii="Arial Black" w:hAnsi="Arial Black"/>
          <w:sz w:val="24"/>
          <w:szCs w:val="24"/>
        </w:rPr>
      </w:pPr>
      <w:r>
        <w:rPr>
          <w:rFonts w:ascii="Arial Black" w:hAnsi="Arial Black"/>
          <w:sz w:val="24"/>
          <w:szCs w:val="24"/>
        </w:rPr>
        <w:t>16-33</w:t>
      </w:r>
    </w:p>
    <w:p w14:paraId="6897EAD8" w14:textId="27195C2D" w:rsidR="000F18B0" w:rsidRDefault="000F18B0" w:rsidP="00F326E5">
      <w:pPr>
        <w:pStyle w:val="NoSpacing"/>
        <w:rPr>
          <w:rFonts w:ascii="Arial Black" w:hAnsi="Arial Black"/>
          <w:sz w:val="24"/>
          <w:szCs w:val="24"/>
        </w:rPr>
      </w:pPr>
    </w:p>
    <w:p w14:paraId="245DE339" w14:textId="77777777" w:rsidR="000F18B0" w:rsidRPr="00BE2E07" w:rsidRDefault="000F18B0" w:rsidP="000F18B0">
      <w:pPr>
        <w:pStyle w:val="NoSpacing"/>
        <w:rPr>
          <w:rFonts w:ascii="Arial Black" w:hAnsi="Arial Black"/>
          <w:b/>
          <w:bCs/>
          <w:sz w:val="28"/>
          <w:szCs w:val="28"/>
        </w:rPr>
      </w:pPr>
      <w:bookmarkStart w:id="599" w:name="_Hlk39772923"/>
      <w:bookmarkStart w:id="600" w:name="_Hlk41155291"/>
      <w:r>
        <w:rPr>
          <w:rFonts w:ascii="Arial Black" w:hAnsi="Arial Black"/>
          <w:bCs/>
          <w:sz w:val="28"/>
          <w:szCs w:val="28"/>
        </w:rPr>
        <w:t xml:space="preserve">CA: PROBATIONARY FF – FIRED DURING 1-YR PROB.  PERIOD – NO RIGHT TO CIVIL SERVICE HEARING </w:t>
      </w:r>
    </w:p>
    <w:p w14:paraId="40E2D9BF" w14:textId="77777777" w:rsidR="000F18B0" w:rsidRDefault="000F18B0" w:rsidP="000F18B0">
      <w:pPr>
        <w:pStyle w:val="NoSpacing"/>
        <w:rPr>
          <w:b/>
          <w:bCs/>
          <w:sz w:val="24"/>
          <w:szCs w:val="24"/>
        </w:rPr>
      </w:pPr>
    </w:p>
    <w:p w14:paraId="59C85EA2" w14:textId="77777777" w:rsidR="000F18B0" w:rsidRPr="00D61723" w:rsidRDefault="000F18B0" w:rsidP="000F18B0">
      <w:pPr>
        <w:pStyle w:val="NoSpacing"/>
        <w:rPr>
          <w:rFonts w:ascii="Times New Roman" w:hAnsi="Times New Roman"/>
          <w:b/>
          <w:bCs/>
          <w:sz w:val="24"/>
          <w:szCs w:val="24"/>
        </w:rPr>
      </w:pPr>
      <w:r w:rsidRPr="00D61723">
        <w:rPr>
          <w:rFonts w:ascii="Times New Roman" w:hAnsi="Times New Roman"/>
          <w:bCs/>
          <w:sz w:val="24"/>
          <w:szCs w:val="24"/>
        </w:rPr>
        <w:t xml:space="preserve">On April 24, 2020, in </w:t>
      </w:r>
      <w:r w:rsidRPr="00D61723">
        <w:rPr>
          <w:rFonts w:ascii="Times New Roman" w:hAnsi="Times New Roman"/>
          <w:bCs/>
          <w:sz w:val="24"/>
          <w:szCs w:val="24"/>
          <w:u w:val="single"/>
        </w:rPr>
        <w:t>Josh McCauley v. City of San Diego</w:t>
      </w:r>
      <w:r w:rsidRPr="00D61723">
        <w:rPr>
          <w:rFonts w:ascii="Times New Roman" w:hAnsi="Times New Roman"/>
          <w:bCs/>
          <w:sz w:val="24"/>
          <w:szCs w:val="24"/>
        </w:rPr>
        <w:t xml:space="preserve">, the California Court of Appeal (Fourth Appellate District / Division One) held (3 to 0) in unpublished opinion, that the trial court properly granted the City’s motion to dismiss.   Probationary firefighters have no civil service protection, are not covered by the Collective Bargaining Agreement, and Fire Academy Manual is not a contract of employment. Court did not discuss why he was fired, other than: “He met with the Department Chief to discuss the failure to be hired permanently. The City's attorney represented that McCauley had filed an internal grievance during his employment and it was addressed by the </w:t>
      </w:r>
      <w:proofErr w:type="gramStart"/>
      <w:r w:rsidRPr="00D61723">
        <w:rPr>
          <w:rFonts w:ascii="Times New Roman" w:hAnsi="Times New Roman"/>
          <w:bCs/>
          <w:sz w:val="24"/>
          <w:szCs w:val="24"/>
        </w:rPr>
        <w:t>City</w:t>
      </w:r>
      <w:proofErr w:type="gramEnd"/>
      <w:r w:rsidRPr="00D61723">
        <w:rPr>
          <w:rFonts w:ascii="Times New Roman" w:hAnsi="Times New Roman"/>
          <w:bCs/>
          <w:sz w:val="24"/>
          <w:szCs w:val="24"/>
        </w:rPr>
        <w:t>.”</w:t>
      </w:r>
    </w:p>
    <w:p w14:paraId="76E35C6B" w14:textId="77777777" w:rsidR="000F18B0" w:rsidRPr="00D61723" w:rsidRDefault="000F18B0" w:rsidP="000F18B0">
      <w:pPr>
        <w:pStyle w:val="NoSpacing"/>
        <w:rPr>
          <w:rFonts w:ascii="Times New Roman" w:hAnsi="Times New Roman"/>
          <w:b/>
          <w:bCs/>
          <w:sz w:val="24"/>
          <w:szCs w:val="24"/>
        </w:rPr>
      </w:pPr>
    </w:p>
    <w:p w14:paraId="24EB6C53" w14:textId="26608A4A" w:rsidR="000F18B0" w:rsidRPr="00D61723" w:rsidRDefault="000F18B0" w:rsidP="000F18B0">
      <w:pPr>
        <w:pStyle w:val="NoSpacing"/>
        <w:ind w:left="720"/>
        <w:rPr>
          <w:rFonts w:ascii="Times New Roman" w:hAnsi="Times New Roman"/>
          <w:b/>
          <w:bCs/>
          <w:sz w:val="24"/>
          <w:szCs w:val="24"/>
        </w:rPr>
      </w:pPr>
      <w:r w:rsidRPr="00D61723">
        <w:rPr>
          <w:rFonts w:ascii="Times New Roman" w:hAnsi="Times New Roman"/>
          <w:bCs/>
          <w:sz w:val="24"/>
          <w:szCs w:val="24"/>
        </w:rPr>
        <w:t xml:space="preserve">“McCauley acknowledges that he is not a party to any collective bargaining agreement. He claims that the Department's Basic Fire Academy Manual (Manual) constituted "an express written contract ‘with the City that governed the terms of </w:t>
      </w:r>
      <w:proofErr w:type="gramStart"/>
      <w:r w:rsidRPr="00D61723">
        <w:rPr>
          <w:rFonts w:ascii="Times New Roman" w:hAnsi="Times New Roman"/>
          <w:bCs/>
          <w:sz w:val="24"/>
          <w:szCs w:val="24"/>
        </w:rPr>
        <w:t>his</w:t>
      </w:r>
      <w:proofErr w:type="gramEnd"/>
      <w:r w:rsidRPr="00D61723">
        <w:rPr>
          <w:rFonts w:ascii="Times New Roman" w:hAnsi="Times New Roman"/>
          <w:bCs/>
          <w:sz w:val="24"/>
          <w:szCs w:val="24"/>
        </w:rPr>
        <w:t xml:space="preserve"> probationary status. He attaches a copy of the Manual to his complaint, but neither in his complaint nor in his brief on appeal does he identify any portion of that Manual that governs his probationary employment.</w:t>
      </w:r>
      <w:r>
        <w:rPr>
          <w:rFonts w:ascii="Times New Roman" w:hAnsi="Times New Roman"/>
          <w:bCs/>
          <w:sz w:val="24"/>
          <w:szCs w:val="24"/>
        </w:rPr>
        <w:t xml:space="preserve"> *** </w:t>
      </w:r>
      <w:r w:rsidRPr="00D61723">
        <w:rPr>
          <w:rFonts w:ascii="Times New Roman" w:hAnsi="Times New Roman"/>
          <w:bCs/>
          <w:sz w:val="24"/>
          <w:szCs w:val="24"/>
        </w:rPr>
        <w:t xml:space="preserve">Again, the plain, unambiguous words of the Manual refer only to recruits, not to probationary employees. The Manual mentions termination from the Basic Fire Academy, but nothing about probationary employees or the guarantee of a permanent job. The Manual provides neither </w:t>
      </w:r>
      <w:proofErr w:type="gramStart"/>
      <w:r w:rsidRPr="00D61723">
        <w:rPr>
          <w:rFonts w:ascii="Times New Roman" w:hAnsi="Times New Roman"/>
          <w:bCs/>
          <w:sz w:val="24"/>
          <w:szCs w:val="24"/>
        </w:rPr>
        <w:t>conditions</w:t>
      </w:r>
      <w:proofErr w:type="gramEnd"/>
      <w:r w:rsidRPr="00D61723">
        <w:rPr>
          <w:rFonts w:ascii="Times New Roman" w:hAnsi="Times New Roman"/>
          <w:bCs/>
          <w:sz w:val="24"/>
          <w:szCs w:val="24"/>
        </w:rPr>
        <w:t xml:space="preserve"> for permanent employment </w:t>
      </w:r>
      <w:proofErr w:type="gramStart"/>
      <w:r w:rsidRPr="00D61723">
        <w:rPr>
          <w:rFonts w:ascii="Times New Roman" w:hAnsi="Times New Roman"/>
          <w:bCs/>
          <w:sz w:val="24"/>
          <w:szCs w:val="24"/>
        </w:rPr>
        <w:t>not</w:t>
      </w:r>
      <w:proofErr w:type="gramEnd"/>
      <w:r w:rsidRPr="00D61723">
        <w:rPr>
          <w:rFonts w:ascii="Times New Roman" w:hAnsi="Times New Roman"/>
          <w:bCs/>
          <w:sz w:val="24"/>
          <w:szCs w:val="24"/>
        </w:rPr>
        <w:t xml:space="preserve"> entitlement to government employment. McCauley has not identified any regulations of the City or of the Department under which he could state an alternate claim.”</w:t>
      </w:r>
    </w:p>
    <w:p w14:paraId="76A77C9F" w14:textId="77777777" w:rsidR="000F18B0" w:rsidRPr="00D61723" w:rsidRDefault="000F18B0" w:rsidP="000F18B0">
      <w:pPr>
        <w:pStyle w:val="NoSpacing"/>
        <w:ind w:left="720"/>
        <w:rPr>
          <w:rFonts w:ascii="Times New Roman" w:eastAsia="Times New Roman" w:hAnsi="Times New Roman"/>
          <w:b/>
          <w:bCs/>
          <w:sz w:val="24"/>
          <w:szCs w:val="24"/>
        </w:rPr>
      </w:pPr>
      <w:hyperlink r:id="rId2754" w:history="1">
        <w:r w:rsidRPr="00D61723">
          <w:rPr>
            <w:rStyle w:val="Hyperlink"/>
            <w:rFonts w:ascii="Times New Roman" w:hAnsi="Times New Roman"/>
            <w:b/>
            <w:sz w:val="24"/>
            <w:szCs w:val="24"/>
          </w:rPr>
          <w:t>https://www.courts.ca.gov/opinions/nonpub/D074721.PDF</w:t>
        </w:r>
      </w:hyperlink>
      <w:r w:rsidRPr="00D61723">
        <w:rPr>
          <w:rFonts w:ascii="Times New Roman" w:eastAsia="Times New Roman" w:hAnsi="Times New Roman"/>
          <w:bCs/>
          <w:sz w:val="24"/>
          <w:szCs w:val="24"/>
        </w:rPr>
        <w:t xml:space="preserve"> </w:t>
      </w:r>
      <w:bookmarkEnd w:id="599"/>
    </w:p>
    <w:p w14:paraId="12F1FFEB" w14:textId="77777777" w:rsidR="000F18B0" w:rsidRDefault="000F18B0" w:rsidP="00F326E5">
      <w:pPr>
        <w:pStyle w:val="NoSpacing"/>
        <w:rPr>
          <w:rFonts w:ascii="Arial Black" w:hAnsi="Arial Black"/>
          <w:sz w:val="24"/>
          <w:szCs w:val="24"/>
        </w:rPr>
      </w:pPr>
    </w:p>
    <w:p w14:paraId="56DD36D0" w14:textId="3DEFB717" w:rsidR="00407100" w:rsidRPr="00D61723" w:rsidRDefault="00407100" w:rsidP="00407100">
      <w:pPr>
        <w:pStyle w:val="NoSpacing"/>
        <w:rPr>
          <w:rFonts w:ascii="Times New Roman" w:hAnsi="Times New Roman"/>
          <w:b/>
          <w:bCs/>
          <w:sz w:val="24"/>
          <w:szCs w:val="24"/>
        </w:rPr>
      </w:pPr>
      <w:bookmarkStart w:id="601" w:name="_Hlk40516796"/>
      <w:r w:rsidRPr="00D61723">
        <w:rPr>
          <w:rFonts w:ascii="Times New Roman" w:hAnsi="Times New Roman"/>
          <w:b/>
          <w:bCs/>
          <w:sz w:val="24"/>
          <w:szCs w:val="24"/>
        </w:rPr>
        <w:t xml:space="preserve">Legal Lessons Learned: Probationary firefighters are not covered by civil service or </w:t>
      </w:r>
      <w:r w:rsidR="000164B1">
        <w:rPr>
          <w:rFonts w:ascii="Times New Roman" w:hAnsi="Times New Roman"/>
          <w:b/>
          <w:bCs/>
          <w:sz w:val="24"/>
          <w:szCs w:val="24"/>
        </w:rPr>
        <w:t xml:space="preserve">most </w:t>
      </w:r>
      <w:r w:rsidRPr="00D61723">
        <w:rPr>
          <w:rFonts w:ascii="Times New Roman" w:hAnsi="Times New Roman"/>
          <w:b/>
          <w:bCs/>
          <w:sz w:val="24"/>
          <w:szCs w:val="24"/>
        </w:rPr>
        <w:t>CBA</w:t>
      </w:r>
      <w:r w:rsidR="000164B1">
        <w:rPr>
          <w:rFonts w:ascii="Times New Roman" w:hAnsi="Times New Roman"/>
          <w:b/>
          <w:bCs/>
          <w:sz w:val="24"/>
          <w:szCs w:val="24"/>
        </w:rPr>
        <w:t>s</w:t>
      </w:r>
      <w:r w:rsidRPr="00D61723">
        <w:rPr>
          <w:rFonts w:ascii="Times New Roman" w:hAnsi="Times New Roman"/>
          <w:b/>
          <w:bCs/>
          <w:sz w:val="24"/>
          <w:szCs w:val="24"/>
        </w:rPr>
        <w:t xml:space="preserve">. </w:t>
      </w:r>
    </w:p>
    <w:bookmarkEnd w:id="601"/>
    <w:p w14:paraId="7F8C9FE0" w14:textId="77777777" w:rsidR="00407100" w:rsidRDefault="00407100" w:rsidP="00407100">
      <w:pPr>
        <w:pStyle w:val="NoSpacing"/>
        <w:ind w:firstLine="720"/>
        <w:rPr>
          <w:rFonts w:ascii="Times New Roman" w:hAnsi="Times New Roman"/>
          <w:bCs/>
          <w:sz w:val="24"/>
          <w:szCs w:val="24"/>
        </w:rPr>
      </w:pPr>
    </w:p>
    <w:p w14:paraId="50DE5E2B" w14:textId="77777777" w:rsidR="00407100" w:rsidRPr="00D61723" w:rsidRDefault="00407100" w:rsidP="00407100">
      <w:pPr>
        <w:pStyle w:val="NoSpacing"/>
        <w:ind w:firstLine="720"/>
        <w:rPr>
          <w:rFonts w:ascii="Times New Roman" w:hAnsi="Times New Roman"/>
          <w:b/>
          <w:bCs/>
          <w:sz w:val="24"/>
          <w:szCs w:val="24"/>
        </w:rPr>
      </w:pPr>
      <w:r w:rsidRPr="00D61723">
        <w:rPr>
          <w:rFonts w:ascii="Times New Roman" w:hAnsi="Times New Roman"/>
          <w:bCs/>
          <w:sz w:val="24"/>
          <w:szCs w:val="24"/>
        </w:rPr>
        <w:t>Note:    Court described the limited legal remedies of a probationary firefighter.</w:t>
      </w:r>
    </w:p>
    <w:p w14:paraId="7DCF72F5" w14:textId="77777777" w:rsidR="00407100" w:rsidRPr="00D61723" w:rsidRDefault="00407100" w:rsidP="00407100">
      <w:pPr>
        <w:pStyle w:val="NoSpacing"/>
        <w:ind w:left="1440"/>
        <w:rPr>
          <w:rFonts w:ascii="Times New Roman" w:hAnsi="Times New Roman"/>
          <w:b/>
          <w:bCs/>
          <w:sz w:val="24"/>
          <w:szCs w:val="24"/>
        </w:rPr>
      </w:pPr>
      <w:r w:rsidRPr="00D61723">
        <w:rPr>
          <w:rFonts w:ascii="Times New Roman" w:hAnsi="Times New Roman"/>
          <w:bCs/>
          <w:sz w:val="24"/>
          <w:szCs w:val="24"/>
        </w:rPr>
        <w:t xml:space="preserve">“McCauley had other remedies to pursue employment-related wrongs.  ‘A probationary employee may not be rejected for the exercise of a constitutional right [citation] for engaging in an activity protected by labor statutes.’ (Trustees of Cal. State University v. Public Employment Relations Bd. (1992) 6 Cal.App.4th 1107, 1130; Bogacki, supra,5 Cal.3d at p. 778.) He had statutory rights including the right to pursue a discrimination claim under the Fair Employment and Housing Act and the right to workers' compensation in case of </w:t>
      </w:r>
      <w:proofErr w:type="gramStart"/>
      <w:r w:rsidRPr="00D61723">
        <w:rPr>
          <w:rFonts w:ascii="Times New Roman" w:hAnsi="Times New Roman"/>
          <w:bCs/>
          <w:sz w:val="24"/>
          <w:szCs w:val="24"/>
        </w:rPr>
        <w:t>injury.”</w:t>
      </w:r>
      <w:proofErr w:type="gramEnd"/>
    </w:p>
    <w:bookmarkEnd w:id="600"/>
    <w:p w14:paraId="1A7A0AF5" w14:textId="77777777" w:rsidR="00407100" w:rsidRPr="00D61723" w:rsidRDefault="00407100" w:rsidP="00407100">
      <w:pPr>
        <w:pStyle w:val="NoSpacing"/>
        <w:rPr>
          <w:rFonts w:ascii="Times New Roman" w:eastAsia="Times New Roman" w:hAnsi="Times New Roman"/>
          <w:b/>
          <w:bCs/>
          <w:sz w:val="24"/>
          <w:szCs w:val="24"/>
        </w:rPr>
      </w:pPr>
    </w:p>
    <w:p w14:paraId="5703067C" w14:textId="77777777" w:rsidR="00407100" w:rsidRPr="00D61723" w:rsidRDefault="00407100" w:rsidP="00407100">
      <w:pPr>
        <w:pStyle w:val="NoSpacing"/>
        <w:rPr>
          <w:rFonts w:ascii="Times New Roman" w:eastAsia="Times New Roman" w:hAnsi="Times New Roman"/>
          <w:b/>
          <w:bCs/>
          <w:sz w:val="24"/>
          <w:szCs w:val="24"/>
        </w:rPr>
      </w:pPr>
    </w:p>
    <w:p w14:paraId="500E0598" w14:textId="77777777" w:rsidR="000F18B0" w:rsidRDefault="000F18B0" w:rsidP="00F326E5">
      <w:pPr>
        <w:pStyle w:val="NoSpacing"/>
        <w:rPr>
          <w:rFonts w:ascii="Arial Black" w:hAnsi="Arial Black"/>
          <w:sz w:val="24"/>
          <w:szCs w:val="24"/>
        </w:rPr>
      </w:pPr>
    </w:p>
    <w:p w14:paraId="2476742A" w14:textId="336F4DF2" w:rsidR="000F18B0" w:rsidRDefault="000F18B0" w:rsidP="00F326E5">
      <w:pPr>
        <w:pStyle w:val="NoSpacing"/>
        <w:rPr>
          <w:rFonts w:ascii="Arial Black" w:hAnsi="Arial Black"/>
          <w:sz w:val="24"/>
          <w:szCs w:val="24"/>
        </w:rPr>
      </w:pPr>
      <w:r>
        <w:rPr>
          <w:rFonts w:ascii="Arial Black" w:hAnsi="Arial Black"/>
          <w:sz w:val="24"/>
          <w:szCs w:val="24"/>
        </w:rPr>
        <w:t>16-32</w:t>
      </w:r>
    </w:p>
    <w:p w14:paraId="64796BAE" w14:textId="77777777" w:rsidR="000F18B0" w:rsidRDefault="000F18B0" w:rsidP="00F326E5">
      <w:pPr>
        <w:pStyle w:val="NoSpacing"/>
        <w:rPr>
          <w:rFonts w:ascii="Arial Black" w:hAnsi="Arial Black"/>
          <w:sz w:val="24"/>
          <w:szCs w:val="24"/>
        </w:rPr>
      </w:pPr>
    </w:p>
    <w:p w14:paraId="670A788F" w14:textId="77777777" w:rsidR="000F18B0" w:rsidRDefault="000F18B0" w:rsidP="000F18B0">
      <w:pPr>
        <w:pStyle w:val="NoSpacing"/>
        <w:rPr>
          <w:rFonts w:ascii="Arial Black" w:hAnsi="Arial Black"/>
          <w:sz w:val="28"/>
          <w:szCs w:val="28"/>
        </w:rPr>
      </w:pPr>
      <w:r>
        <w:rPr>
          <w:rFonts w:ascii="Arial Black" w:hAnsi="Arial Black"/>
          <w:sz w:val="28"/>
          <w:szCs w:val="28"/>
        </w:rPr>
        <w:t xml:space="preserve">NY: BULLYING – VOL. FF SUSPENDED – FIRED WHEN WALKED OUT AT START OF PRE-DISCIPLINAY HEARING </w:t>
      </w:r>
    </w:p>
    <w:p w14:paraId="17BFEB7B" w14:textId="77777777" w:rsidR="000F18B0" w:rsidRDefault="000F18B0" w:rsidP="000F18B0">
      <w:pPr>
        <w:pStyle w:val="NoSpacing"/>
      </w:pPr>
    </w:p>
    <w:p w14:paraId="4051EB6B" w14:textId="7F4A3EFA" w:rsidR="000F18B0" w:rsidRDefault="000F18B0" w:rsidP="000F18B0">
      <w:pPr>
        <w:pStyle w:val="NoSpacing"/>
        <w:rPr>
          <w:rFonts w:ascii="Times New Roman" w:hAnsi="Times New Roman"/>
          <w:bCs/>
          <w:sz w:val="24"/>
          <w:szCs w:val="24"/>
        </w:rPr>
      </w:pPr>
      <w:r w:rsidRPr="00D61723">
        <w:rPr>
          <w:rFonts w:ascii="Times New Roman" w:hAnsi="Times New Roman"/>
          <w:bCs/>
          <w:sz w:val="24"/>
          <w:szCs w:val="24"/>
        </w:rPr>
        <w:lastRenderedPageBreak/>
        <w:t xml:space="preserve">On April 23, 2020, in </w:t>
      </w:r>
      <w:r w:rsidRPr="00D61723">
        <w:rPr>
          <w:rFonts w:ascii="Times New Roman" w:hAnsi="Times New Roman"/>
          <w:bCs/>
          <w:sz w:val="24"/>
          <w:szCs w:val="24"/>
          <w:u w:val="single"/>
        </w:rPr>
        <w:t>Andrew Lerer v. Raymond Canario, &amp; Village of Spring Valley, &amp; Spring Valley Fire Department</w:t>
      </w:r>
      <w:r w:rsidRPr="00D61723">
        <w:rPr>
          <w:rFonts w:ascii="Times New Roman" w:hAnsi="Times New Roman"/>
          <w:bCs/>
          <w:sz w:val="24"/>
          <w:szCs w:val="24"/>
        </w:rPr>
        <w:t>, U.S. District Court Judge Louis Briccetti, United States District Court for the Southern District of New</w:t>
      </w:r>
    </w:p>
    <w:p w14:paraId="21C14A2E" w14:textId="77777777" w:rsidR="000F18B0" w:rsidRPr="00D61723" w:rsidRDefault="000F18B0" w:rsidP="000F18B0">
      <w:pPr>
        <w:pStyle w:val="NoSpacing"/>
        <w:rPr>
          <w:rFonts w:ascii="Times New Roman" w:hAnsi="Times New Roman"/>
          <w:b/>
          <w:bCs/>
          <w:sz w:val="24"/>
          <w:szCs w:val="24"/>
        </w:rPr>
      </w:pPr>
      <w:proofErr w:type="gramStart"/>
      <w:r w:rsidRPr="00D61723">
        <w:rPr>
          <w:rFonts w:ascii="Times New Roman" w:hAnsi="Times New Roman"/>
          <w:bCs/>
          <w:sz w:val="24"/>
          <w:szCs w:val="24"/>
        </w:rPr>
        <w:t>York,</w:t>
      </w:r>
      <w:proofErr w:type="gramEnd"/>
      <w:r w:rsidRPr="00D61723">
        <w:rPr>
          <w:rFonts w:ascii="Times New Roman" w:hAnsi="Times New Roman"/>
          <w:bCs/>
          <w:sz w:val="24"/>
          <w:szCs w:val="24"/>
        </w:rPr>
        <w:t xml:space="preserve"> granted the defendants’ motion to dismiss.   The volunteer firefighter, who filed this lawsuit </w:t>
      </w:r>
      <w:r w:rsidRPr="00D61723">
        <w:rPr>
          <w:rFonts w:ascii="Times New Roman" w:hAnsi="Times New Roman"/>
          <w:bCs/>
          <w:i/>
          <w:iCs/>
          <w:sz w:val="24"/>
          <w:szCs w:val="24"/>
        </w:rPr>
        <w:t>pro se</w:t>
      </w:r>
      <w:r w:rsidRPr="00D61723">
        <w:rPr>
          <w:rFonts w:ascii="Times New Roman" w:hAnsi="Times New Roman"/>
          <w:bCs/>
          <w:sz w:val="24"/>
          <w:szCs w:val="24"/>
        </w:rPr>
        <w:t xml:space="preserve"> [without an attorney], showed up for his </w:t>
      </w:r>
      <w:proofErr w:type="gramStart"/>
      <w:r w:rsidRPr="00D61723">
        <w:rPr>
          <w:rFonts w:ascii="Times New Roman" w:hAnsi="Times New Roman"/>
          <w:bCs/>
          <w:sz w:val="24"/>
          <w:szCs w:val="24"/>
        </w:rPr>
        <w:t>termination hearing</w:t>
      </w:r>
      <w:proofErr w:type="gramEnd"/>
      <w:r w:rsidRPr="00D61723">
        <w:rPr>
          <w:rFonts w:ascii="Times New Roman" w:hAnsi="Times New Roman"/>
          <w:bCs/>
          <w:sz w:val="24"/>
          <w:szCs w:val="24"/>
        </w:rPr>
        <w:t xml:space="preserve"> at 6:53 pm, but walked out before it started at 7:00 pm.  </w:t>
      </w:r>
    </w:p>
    <w:p w14:paraId="0F47862E" w14:textId="77777777" w:rsidR="000F18B0" w:rsidRPr="00D61723" w:rsidRDefault="000F18B0" w:rsidP="000F18B0">
      <w:pPr>
        <w:pStyle w:val="NoSpacing"/>
        <w:rPr>
          <w:rFonts w:ascii="Times New Roman" w:hAnsi="Times New Roman"/>
          <w:b/>
          <w:bCs/>
          <w:sz w:val="24"/>
          <w:szCs w:val="24"/>
        </w:rPr>
      </w:pPr>
    </w:p>
    <w:p w14:paraId="60413562" w14:textId="45F3406B" w:rsidR="000F18B0" w:rsidRDefault="000F18B0" w:rsidP="000F18B0">
      <w:pPr>
        <w:pStyle w:val="NoSpacing"/>
        <w:ind w:left="720"/>
        <w:rPr>
          <w:rFonts w:ascii="Arial Black" w:hAnsi="Arial Black"/>
          <w:sz w:val="24"/>
          <w:szCs w:val="24"/>
        </w:rPr>
      </w:pPr>
      <w:r w:rsidRPr="00D61723">
        <w:rPr>
          <w:rFonts w:ascii="Times New Roman" w:hAnsi="Times New Roman"/>
          <w:bCs/>
          <w:sz w:val="24"/>
          <w:szCs w:val="24"/>
        </w:rPr>
        <w:t xml:space="preserve">“Once an employer has knowledge of some type of workplace harassment or improper conduct, ‘the law imposes upon the employer a duty to take reasonable steps to eliminate it.’ </w:t>
      </w:r>
      <w:r w:rsidRPr="00D61723">
        <w:rPr>
          <w:rFonts w:ascii="Times New Roman" w:hAnsi="Times New Roman"/>
          <w:bCs/>
          <w:sz w:val="24"/>
          <w:szCs w:val="24"/>
          <w:u w:val="single"/>
        </w:rPr>
        <w:t>Torres v. Pisano</w:t>
      </w:r>
      <w:r w:rsidRPr="00D61723">
        <w:rPr>
          <w:rFonts w:ascii="Times New Roman" w:hAnsi="Times New Roman"/>
          <w:bCs/>
          <w:sz w:val="24"/>
          <w:szCs w:val="24"/>
        </w:rPr>
        <w:t xml:space="preserve">, 116 F.3d 625, 636 (2d Cir. 1997). Under the circumstances, that defendants provisionally denied plaintiff, pending a hearing and determination, access to municipal property and opportunities to respond to fire alarms or otherwise participate in SVFD activities does not plausibly suggest defendants exercised governmental power without a reasonable justification in the service of a legitimate governmental interest. </w:t>
      </w:r>
      <w:hyperlink r:id="rId2755" w:history="1">
        <w:r w:rsidRPr="00D61723">
          <w:rPr>
            <w:rStyle w:val="Hyperlink"/>
            <w:rFonts w:ascii="Times New Roman" w:hAnsi="Times New Roman"/>
            <w:b/>
            <w:sz w:val="24"/>
            <w:szCs w:val="24"/>
          </w:rPr>
          <w:t>https://public.fastcase.com/Wl%2B2t%2BeVuI35%2FN70vAMFZp9w48IhR7rqnPPjn28%2FbaO7JZNoqz%2Fb8m3w7iUI6Fbj</w:t>
        </w:r>
      </w:hyperlink>
      <w:r>
        <w:rPr>
          <w:rFonts w:ascii="Arial Black" w:hAnsi="Arial Black"/>
          <w:sz w:val="24"/>
          <w:szCs w:val="24"/>
        </w:rPr>
        <w:br/>
      </w:r>
    </w:p>
    <w:p w14:paraId="6128CC35" w14:textId="77777777" w:rsidR="000F18B0" w:rsidRPr="00D61723" w:rsidRDefault="000F18B0" w:rsidP="000F18B0">
      <w:pPr>
        <w:pStyle w:val="NoSpacing"/>
        <w:rPr>
          <w:rFonts w:ascii="Times New Roman" w:hAnsi="Times New Roman"/>
          <w:b/>
          <w:bCs/>
          <w:sz w:val="24"/>
          <w:szCs w:val="24"/>
        </w:rPr>
      </w:pPr>
      <w:r w:rsidRPr="00D61723">
        <w:rPr>
          <w:rFonts w:ascii="Times New Roman" w:hAnsi="Times New Roman"/>
          <w:b/>
          <w:bCs/>
          <w:sz w:val="24"/>
          <w:szCs w:val="24"/>
        </w:rPr>
        <w:t xml:space="preserve">Legal Lessons Learned: Fire Chief acted promptly in suspending the firefighter; when he walks out of his </w:t>
      </w:r>
      <w:r>
        <w:rPr>
          <w:rFonts w:ascii="Times New Roman" w:hAnsi="Times New Roman"/>
          <w:b/>
          <w:bCs/>
          <w:sz w:val="24"/>
          <w:szCs w:val="24"/>
        </w:rPr>
        <w:t>pre-</w:t>
      </w:r>
      <w:r w:rsidRPr="00D61723">
        <w:rPr>
          <w:rFonts w:ascii="Times New Roman" w:hAnsi="Times New Roman"/>
          <w:b/>
          <w:bCs/>
          <w:sz w:val="24"/>
          <w:szCs w:val="24"/>
        </w:rPr>
        <w:t>termination hearing he can hardly complain about lack of due process.</w:t>
      </w:r>
    </w:p>
    <w:p w14:paraId="4F85832B" w14:textId="77777777" w:rsidR="000F18B0" w:rsidRDefault="000F18B0" w:rsidP="00F326E5">
      <w:pPr>
        <w:pStyle w:val="NoSpacing"/>
        <w:rPr>
          <w:rFonts w:ascii="Arial Black" w:hAnsi="Arial Black"/>
          <w:sz w:val="24"/>
          <w:szCs w:val="24"/>
        </w:rPr>
      </w:pPr>
    </w:p>
    <w:p w14:paraId="49948115" w14:textId="77777777" w:rsidR="000F18B0" w:rsidRDefault="000F18B0" w:rsidP="00F326E5">
      <w:pPr>
        <w:pStyle w:val="NoSpacing"/>
        <w:rPr>
          <w:rFonts w:ascii="Arial Black" w:hAnsi="Arial Black"/>
          <w:sz w:val="24"/>
          <w:szCs w:val="24"/>
        </w:rPr>
      </w:pPr>
    </w:p>
    <w:p w14:paraId="1B8F3C10" w14:textId="64FFEF84" w:rsidR="000F18B0" w:rsidRDefault="000F18B0" w:rsidP="00F326E5">
      <w:pPr>
        <w:pStyle w:val="NoSpacing"/>
        <w:rPr>
          <w:rFonts w:ascii="Arial Black" w:hAnsi="Arial Black"/>
          <w:sz w:val="24"/>
          <w:szCs w:val="24"/>
        </w:rPr>
      </w:pPr>
      <w:r>
        <w:rPr>
          <w:rFonts w:ascii="Arial Black" w:hAnsi="Arial Black"/>
          <w:sz w:val="24"/>
          <w:szCs w:val="24"/>
        </w:rPr>
        <w:t>16-31</w:t>
      </w:r>
    </w:p>
    <w:p w14:paraId="2F5857BE" w14:textId="6B2AE6E4" w:rsidR="000F18B0" w:rsidRDefault="000F18B0" w:rsidP="00F326E5">
      <w:pPr>
        <w:pStyle w:val="NoSpacing"/>
        <w:rPr>
          <w:rFonts w:ascii="Arial Black" w:hAnsi="Arial Black"/>
          <w:sz w:val="24"/>
          <w:szCs w:val="24"/>
        </w:rPr>
      </w:pPr>
    </w:p>
    <w:p w14:paraId="1A247882" w14:textId="77777777" w:rsidR="000F18B0" w:rsidRPr="0088009C" w:rsidRDefault="000F18B0" w:rsidP="000F18B0">
      <w:pPr>
        <w:pStyle w:val="NoSpacing"/>
        <w:rPr>
          <w:rFonts w:ascii="Arial Black" w:hAnsi="Arial Black"/>
          <w:sz w:val="28"/>
          <w:szCs w:val="28"/>
        </w:rPr>
      </w:pPr>
      <w:bookmarkStart w:id="602" w:name="_Hlk38953050"/>
      <w:r w:rsidRPr="0088009C">
        <w:rPr>
          <w:rFonts w:ascii="Arial Black" w:hAnsi="Arial Black"/>
          <w:sz w:val="28"/>
          <w:szCs w:val="28"/>
        </w:rPr>
        <w:t xml:space="preserve">UT: </w:t>
      </w:r>
      <w:r>
        <w:rPr>
          <w:rFonts w:ascii="Arial Black" w:hAnsi="Arial Black"/>
          <w:sz w:val="28"/>
          <w:szCs w:val="28"/>
        </w:rPr>
        <w:t xml:space="preserve"> RAPE AT FIRE STATION - ASSISTANT FIRE CHIEF ARRESTED – ALSO ALLEGEDLY RAPED FF -TOWN IMMUNITY</w:t>
      </w:r>
    </w:p>
    <w:p w14:paraId="042FDBD6" w14:textId="77777777" w:rsidR="000F18B0" w:rsidRDefault="000F18B0" w:rsidP="000F18B0">
      <w:pPr>
        <w:pStyle w:val="NormalWeb"/>
      </w:pPr>
      <w:r>
        <w:t xml:space="preserve">On April 22, 2020, in </w:t>
      </w:r>
      <w:r w:rsidRPr="0088009C">
        <w:rPr>
          <w:u w:val="single"/>
        </w:rPr>
        <w:t>Whitney Otteley v. Austin James Corry and Kanosh Town, Utah</w:t>
      </w:r>
      <w:r>
        <w:t xml:space="preserve">, U.S. District Court Judge David Nuffer, U.S. District Court for the District of Utah, granted the Town’s motion to dismiss. Under state law, the Town enjoys governmental immunity, and cannot be sued for “negligent hiring, supervision, or retention.”  The lawsuit against Austin Corry was not dismissed. [See TV Video about new charges - Austin Corry rapes of </w:t>
      </w:r>
      <w:proofErr w:type="gramStart"/>
      <w:r>
        <w:t>an</w:t>
      </w:r>
      <w:proofErr w:type="gramEnd"/>
      <w:r>
        <w:t xml:space="preserve"> duty firefighter:  </w:t>
      </w:r>
      <w:hyperlink r:id="rId2756" w:history="1">
        <w:r w:rsidRPr="00833271">
          <w:rPr>
            <w:rStyle w:val="Hyperlink"/>
          </w:rPr>
          <w:t>https://www.abc4.com/news/justice-files/the-justice-files-a-rape-in-rural-utah/</w:t>
        </w:r>
      </w:hyperlink>
      <w:r>
        <w:t xml:space="preserve"> . Austin Corry’s father, the Fire Chief, was charged and pled guilty to obstruction of justice for not reporting her rape complaint to police.] </w:t>
      </w:r>
    </w:p>
    <w:bookmarkEnd w:id="602"/>
    <w:p w14:paraId="67E8B4FB" w14:textId="4D71827C" w:rsidR="000F18B0" w:rsidRDefault="000F18B0" w:rsidP="000F18B0">
      <w:pPr>
        <w:pStyle w:val="NoSpacing"/>
        <w:rPr>
          <w:rStyle w:val="Hyperlink"/>
        </w:rPr>
      </w:pPr>
      <w:r>
        <w:t xml:space="preserve">“Under the [Governmental Immunity Act of Utah]GIA, as applied in </w:t>
      </w:r>
      <w:r>
        <w:rPr>
          <w:i/>
          <w:iCs/>
        </w:rPr>
        <w:t>Larsen</w:t>
      </w:r>
      <w:r>
        <w:t xml:space="preserve"> [</w:t>
      </w:r>
      <w:r>
        <w:rPr>
          <w:i/>
          <w:iCs/>
        </w:rPr>
        <w:t>v</w:t>
      </w:r>
      <w:r>
        <w:t xml:space="preserve">. </w:t>
      </w:r>
      <w:r>
        <w:rPr>
          <w:i/>
          <w:iCs/>
        </w:rPr>
        <w:t>Davis County School District</w:t>
      </w:r>
      <w:r>
        <w:t xml:space="preserve">, Utah Court of Appeals, Nov. 30, 2017; </w:t>
      </w:r>
      <w:hyperlink r:id="rId2757" w:history="1">
        <w:r w:rsidRPr="00833271">
          <w:rPr>
            <w:rStyle w:val="Hyperlink"/>
          </w:rPr>
          <w:t>https://cases.justia.com/utah/court-of-appeals-published/2017-20160099-ca.pdf?ts=1512166432</w:t>
        </w:r>
      </w:hyperlink>
      <w:r>
        <w:rPr>
          <w:b/>
          <w:bCs/>
        </w:rPr>
        <w:t xml:space="preserve"> </w:t>
      </w:r>
      <w:r>
        <w:rPr>
          <w:i/>
          <w:iCs/>
        </w:rPr>
        <w:t xml:space="preserve"> </w:t>
      </w:r>
      <w:r>
        <w:t>] and explained above, Kanosh is immune from suit because Austin Corry's misconduct (including his assault, battery, false imprisonment, and infliction of mental anguish on Ottley) was a proximate cause of Ottley's claimed injury.</w:t>
      </w:r>
      <w:bookmarkStart w:id="603" w:name="fn42"/>
      <w:r>
        <w:rPr>
          <w:sz w:val="20"/>
          <w:szCs w:val="20"/>
          <w:vertAlign w:val="superscript"/>
        </w:rPr>
        <w:fldChar w:fldCharType="begin"/>
      </w:r>
      <w:r>
        <w:rPr>
          <w:sz w:val="20"/>
          <w:szCs w:val="20"/>
          <w:vertAlign w:val="superscript"/>
        </w:rPr>
        <w:instrText xml:space="preserve"> HYPERLINK "https://public.fastcase.com/" \l "fr42" </w:instrText>
      </w:r>
      <w:r>
        <w:rPr>
          <w:sz w:val="20"/>
          <w:szCs w:val="20"/>
          <w:vertAlign w:val="superscript"/>
        </w:rPr>
      </w:r>
      <w:r>
        <w:rPr>
          <w:sz w:val="20"/>
          <w:szCs w:val="20"/>
          <w:vertAlign w:val="superscript"/>
        </w:rPr>
        <w:fldChar w:fldCharType="separate"/>
      </w:r>
      <w:r>
        <w:rPr>
          <w:rStyle w:val="Hyperlink"/>
          <w:sz w:val="20"/>
          <w:szCs w:val="20"/>
          <w:vertAlign w:val="superscript"/>
        </w:rPr>
        <w:t>42</w:t>
      </w:r>
      <w:r>
        <w:rPr>
          <w:sz w:val="20"/>
          <w:szCs w:val="20"/>
          <w:vertAlign w:val="superscript"/>
        </w:rPr>
        <w:fldChar w:fldCharType="end"/>
      </w:r>
      <w:bookmarkEnd w:id="603"/>
      <w:r>
        <w:rPr>
          <w:sz w:val="20"/>
          <w:szCs w:val="20"/>
          <w:vertAlign w:val="superscript"/>
        </w:rPr>
        <w:t xml:space="preserve"> </w:t>
      </w:r>
      <w:r>
        <w:t xml:space="preserve">Because of this, Ottley fails to state a claim against Kanosh on which relief may be granted as a matter of law.” </w:t>
      </w:r>
      <w:hyperlink r:id="rId2758" w:history="1">
        <w:r w:rsidRPr="00833271">
          <w:rPr>
            <w:rStyle w:val="Hyperlink"/>
          </w:rPr>
          <w:t>https://public.fastcase.com/Wl%2B2t%2BeVuI35%2FN70vAMFZpe9nZQy4%2Fh5OlPwYBiXwZiKHRqMJ6M13sKp4yP4%2F%2BSx</w:t>
        </w:r>
      </w:hyperlink>
    </w:p>
    <w:p w14:paraId="16A7BE9E" w14:textId="3C4878A2" w:rsidR="000F18B0" w:rsidRDefault="000F18B0" w:rsidP="000F18B0">
      <w:pPr>
        <w:pStyle w:val="NoSpacing"/>
        <w:rPr>
          <w:rStyle w:val="Hyperlink"/>
        </w:rPr>
      </w:pPr>
    </w:p>
    <w:p w14:paraId="56F0BAD6" w14:textId="77777777" w:rsidR="000F18B0" w:rsidRPr="00D61723" w:rsidRDefault="000F18B0" w:rsidP="000F18B0">
      <w:pPr>
        <w:rPr>
          <w:rFonts w:ascii="Times New Roman" w:eastAsia="Times New Roman" w:hAnsi="Times New Roman"/>
          <w:sz w:val="24"/>
          <w:szCs w:val="24"/>
        </w:rPr>
      </w:pPr>
      <w:r w:rsidRPr="00D61723">
        <w:rPr>
          <w:rFonts w:ascii="Times New Roman" w:hAnsi="Times New Roman"/>
          <w:b/>
          <w:bCs/>
          <w:sz w:val="24"/>
          <w:szCs w:val="24"/>
        </w:rPr>
        <w:t>Legal Lessons Learned: This is terrible conduct by both the Assistant Chief and his father, the Fire Chief.  [Not found any articles on outcome of former Assistant Chief’s trial.]</w:t>
      </w:r>
    </w:p>
    <w:p w14:paraId="6C3C7E07" w14:textId="77777777" w:rsidR="000F18B0" w:rsidRDefault="000F18B0" w:rsidP="000F18B0">
      <w:pPr>
        <w:pStyle w:val="NoSpacing"/>
        <w:ind w:left="720"/>
        <w:rPr>
          <w:rFonts w:ascii="Times New Roman" w:hAnsi="Times New Roman"/>
          <w:bCs/>
          <w:sz w:val="24"/>
          <w:szCs w:val="24"/>
        </w:rPr>
      </w:pPr>
      <w:r w:rsidRPr="00D61723">
        <w:rPr>
          <w:rFonts w:ascii="Times New Roman" w:hAnsi="Times New Roman"/>
          <w:bCs/>
          <w:sz w:val="24"/>
          <w:szCs w:val="24"/>
        </w:rPr>
        <w:t xml:space="preserve">Note:  See Dec. 3, </w:t>
      </w:r>
      <w:proofErr w:type="gramStart"/>
      <w:r w:rsidRPr="00D61723">
        <w:rPr>
          <w:rFonts w:ascii="Times New Roman" w:hAnsi="Times New Roman"/>
          <w:bCs/>
          <w:sz w:val="24"/>
          <w:szCs w:val="24"/>
        </w:rPr>
        <w:t>2019</w:t>
      </w:r>
      <w:proofErr w:type="gramEnd"/>
      <w:r w:rsidRPr="00D61723">
        <w:rPr>
          <w:rFonts w:ascii="Times New Roman" w:hAnsi="Times New Roman"/>
          <w:bCs/>
          <w:sz w:val="24"/>
          <w:szCs w:val="24"/>
        </w:rPr>
        <w:t xml:space="preserve"> article, “Millard County fire chief charged with raping two women will face trial in Utah County,” </w:t>
      </w:r>
      <w:hyperlink r:id="rId2759" w:history="1">
        <w:r w:rsidRPr="00D61723">
          <w:rPr>
            <w:rStyle w:val="Hyperlink"/>
            <w:rFonts w:ascii="Times New Roman" w:hAnsi="Times New Roman"/>
            <w:b/>
            <w:sz w:val="24"/>
            <w:szCs w:val="24"/>
          </w:rPr>
          <w:t>https://www.heraldextra.com/news/local/crime-and-courts/millard-county-fire-chief-charged-with-raping-two-women-will/article_32fa3eae-85cc-5928-a493-88a75082f506.html</w:t>
        </w:r>
      </w:hyperlink>
      <w:r w:rsidRPr="00D61723">
        <w:rPr>
          <w:rFonts w:ascii="Times New Roman" w:hAnsi="Times New Roman"/>
          <w:bCs/>
          <w:sz w:val="24"/>
          <w:szCs w:val="24"/>
        </w:rPr>
        <w:t xml:space="preserve">.  “The [raped firefighter] also reportedly told Corry’s father, Scott Corry, 62, about </w:t>
      </w:r>
      <w:r w:rsidRPr="00D61723">
        <w:rPr>
          <w:rFonts w:ascii="Times New Roman" w:hAnsi="Times New Roman"/>
          <w:bCs/>
          <w:sz w:val="24"/>
          <w:szCs w:val="24"/>
        </w:rPr>
        <w:lastRenderedPageBreak/>
        <w:t xml:space="preserve">the alleged rapes in 2018. However, Scott Corry told investigators he was “trying to protect his son and he never got around to” filing </w:t>
      </w:r>
    </w:p>
    <w:p w14:paraId="67BBCE06" w14:textId="77777777" w:rsidR="000F18B0" w:rsidRDefault="000F18B0" w:rsidP="000F18B0">
      <w:pPr>
        <w:pStyle w:val="NoSpacing"/>
        <w:ind w:left="720"/>
        <w:rPr>
          <w:rFonts w:ascii="Times New Roman" w:hAnsi="Times New Roman"/>
          <w:bCs/>
          <w:sz w:val="24"/>
          <w:szCs w:val="24"/>
        </w:rPr>
      </w:pPr>
    </w:p>
    <w:p w14:paraId="2ADBA335" w14:textId="77777777" w:rsidR="000F18B0" w:rsidRPr="00D61723" w:rsidRDefault="000F18B0" w:rsidP="000F18B0">
      <w:pPr>
        <w:pStyle w:val="NoSpacing"/>
        <w:ind w:left="720"/>
        <w:rPr>
          <w:rFonts w:ascii="Times New Roman" w:hAnsi="Times New Roman"/>
          <w:b/>
          <w:bCs/>
          <w:sz w:val="24"/>
          <w:szCs w:val="24"/>
        </w:rPr>
      </w:pPr>
      <w:r w:rsidRPr="00D61723">
        <w:rPr>
          <w:rFonts w:ascii="Times New Roman" w:hAnsi="Times New Roman"/>
          <w:bCs/>
          <w:sz w:val="24"/>
          <w:szCs w:val="24"/>
        </w:rPr>
        <w:t xml:space="preserve">reports on the claims. </w:t>
      </w:r>
      <w:r w:rsidRPr="00D61723">
        <w:rPr>
          <w:rFonts w:ascii="Times New Roman" w:eastAsia="Times New Roman" w:hAnsi="Times New Roman"/>
          <w:bCs/>
          <w:sz w:val="24"/>
          <w:szCs w:val="24"/>
        </w:rPr>
        <w:t>He was charged in July with obstruction of justice, a second-degree felony, and official misconduct, a class B misdemeanor.</w:t>
      </w:r>
      <w:r w:rsidRPr="00D61723">
        <w:rPr>
          <w:rFonts w:ascii="Times New Roman" w:hAnsi="Times New Roman"/>
          <w:bCs/>
          <w:sz w:val="24"/>
          <w:szCs w:val="24"/>
        </w:rPr>
        <w:t>”</w:t>
      </w:r>
    </w:p>
    <w:p w14:paraId="4348B266" w14:textId="77777777" w:rsidR="000F18B0" w:rsidRDefault="000F18B0" w:rsidP="000F18B0">
      <w:pPr>
        <w:pStyle w:val="NoSpacing"/>
        <w:rPr>
          <w:rFonts w:ascii="Arial Black" w:hAnsi="Arial Black"/>
          <w:sz w:val="24"/>
          <w:szCs w:val="24"/>
        </w:rPr>
      </w:pPr>
    </w:p>
    <w:p w14:paraId="570E76E5" w14:textId="77777777" w:rsidR="000F18B0" w:rsidRDefault="000F18B0" w:rsidP="00F326E5">
      <w:pPr>
        <w:pStyle w:val="NoSpacing"/>
        <w:rPr>
          <w:rFonts w:ascii="Arial Black" w:hAnsi="Arial Black"/>
          <w:sz w:val="24"/>
          <w:szCs w:val="24"/>
        </w:rPr>
      </w:pPr>
    </w:p>
    <w:p w14:paraId="0E307C64" w14:textId="77777777" w:rsidR="000F18B0" w:rsidRDefault="000F18B0" w:rsidP="00F326E5">
      <w:pPr>
        <w:pStyle w:val="NoSpacing"/>
        <w:rPr>
          <w:rFonts w:ascii="Arial Black" w:hAnsi="Arial Black"/>
          <w:sz w:val="24"/>
          <w:szCs w:val="24"/>
        </w:rPr>
      </w:pPr>
    </w:p>
    <w:p w14:paraId="75E8E514" w14:textId="60F410AC" w:rsidR="000F18B0" w:rsidRDefault="000F18B0" w:rsidP="00F326E5">
      <w:pPr>
        <w:pStyle w:val="NoSpacing"/>
        <w:rPr>
          <w:rFonts w:ascii="Arial Black" w:hAnsi="Arial Black"/>
          <w:sz w:val="24"/>
          <w:szCs w:val="24"/>
        </w:rPr>
      </w:pPr>
      <w:r>
        <w:rPr>
          <w:rFonts w:ascii="Arial Black" w:hAnsi="Arial Black"/>
          <w:sz w:val="24"/>
          <w:szCs w:val="24"/>
        </w:rPr>
        <w:t>16-30</w:t>
      </w:r>
    </w:p>
    <w:p w14:paraId="4672FB04" w14:textId="44149C5F" w:rsidR="000F18B0" w:rsidRDefault="000F18B0" w:rsidP="00F326E5">
      <w:pPr>
        <w:pStyle w:val="NoSpacing"/>
        <w:rPr>
          <w:rFonts w:ascii="Arial Black" w:hAnsi="Arial Black"/>
          <w:sz w:val="24"/>
          <w:szCs w:val="24"/>
        </w:rPr>
      </w:pPr>
    </w:p>
    <w:p w14:paraId="0B13AB67" w14:textId="77777777" w:rsidR="000F18B0" w:rsidRDefault="000F18B0" w:rsidP="000F18B0">
      <w:pPr>
        <w:pStyle w:val="NoSpacing"/>
        <w:rPr>
          <w:rFonts w:ascii="Arial Black" w:hAnsi="Arial Black" w:cs="Arial"/>
          <w:sz w:val="28"/>
          <w:szCs w:val="28"/>
        </w:rPr>
      </w:pPr>
      <w:bookmarkStart w:id="604" w:name="_Hlk39772998"/>
      <w:r w:rsidRPr="006B3428">
        <w:rPr>
          <w:rFonts w:ascii="Arial Black" w:hAnsi="Arial Black" w:cs="Arial"/>
          <w:sz w:val="28"/>
          <w:szCs w:val="28"/>
        </w:rPr>
        <w:t xml:space="preserve">CA: </w:t>
      </w:r>
      <w:r>
        <w:rPr>
          <w:rFonts w:ascii="Arial Black" w:hAnsi="Arial Black" w:cs="Arial"/>
          <w:sz w:val="28"/>
          <w:szCs w:val="28"/>
        </w:rPr>
        <w:t xml:space="preserve">THREATENING COMMENTS TO OFFICER – OFF DUTY INCIDENT WITH HIS DOG – 48-HOUR SUSPENSIONS UPHELD </w:t>
      </w:r>
    </w:p>
    <w:p w14:paraId="0CA33F0D" w14:textId="77777777" w:rsidR="000F18B0" w:rsidRDefault="000F18B0" w:rsidP="000F18B0">
      <w:pPr>
        <w:pStyle w:val="NoSpacing"/>
        <w:rPr>
          <w:b/>
          <w:bCs/>
          <w:sz w:val="24"/>
          <w:szCs w:val="24"/>
        </w:rPr>
      </w:pPr>
    </w:p>
    <w:p w14:paraId="6DB684C6" w14:textId="77777777" w:rsidR="000F18B0" w:rsidRPr="00D61723" w:rsidRDefault="000F18B0" w:rsidP="000F18B0">
      <w:pPr>
        <w:pStyle w:val="NoSpacing"/>
        <w:rPr>
          <w:rFonts w:ascii="Times New Roman" w:hAnsi="Times New Roman"/>
          <w:b/>
          <w:bCs/>
          <w:sz w:val="24"/>
          <w:szCs w:val="24"/>
        </w:rPr>
      </w:pPr>
      <w:r w:rsidRPr="00D61723">
        <w:rPr>
          <w:rFonts w:ascii="Times New Roman" w:hAnsi="Times New Roman"/>
          <w:bCs/>
          <w:sz w:val="24"/>
          <w:szCs w:val="24"/>
        </w:rPr>
        <w:t xml:space="preserve">On April 22, 2020, in </w:t>
      </w:r>
      <w:r w:rsidRPr="00D61723">
        <w:rPr>
          <w:rFonts w:ascii="Times New Roman" w:hAnsi="Times New Roman"/>
          <w:bCs/>
          <w:sz w:val="24"/>
          <w:szCs w:val="24"/>
          <w:u w:val="single"/>
        </w:rPr>
        <w:t>Michael Meoli v. San Diego Civil Service Commission</w:t>
      </w:r>
      <w:r w:rsidRPr="00D61723">
        <w:rPr>
          <w:rFonts w:ascii="Times New Roman" w:hAnsi="Times New Roman"/>
          <w:bCs/>
          <w:sz w:val="24"/>
          <w:szCs w:val="24"/>
        </w:rPr>
        <w:t>, the Court of Appeal (4</w:t>
      </w:r>
      <w:r w:rsidRPr="00D61723">
        <w:rPr>
          <w:rFonts w:ascii="Times New Roman" w:hAnsi="Times New Roman"/>
          <w:bCs/>
          <w:sz w:val="24"/>
          <w:szCs w:val="24"/>
          <w:vertAlign w:val="superscript"/>
        </w:rPr>
        <w:t>th</w:t>
      </w:r>
      <w:r w:rsidRPr="00D61723">
        <w:rPr>
          <w:rFonts w:ascii="Times New Roman" w:hAnsi="Times New Roman"/>
          <w:bCs/>
          <w:sz w:val="24"/>
          <w:szCs w:val="24"/>
        </w:rPr>
        <w:t xml:space="preserve"> Appellate District / Division One) held (3 to 0) in unpublished opinion, that the trial court properly confirmed the decision of the Civil Service Commission, that the two 24-hour suspensions were appropriate.</w:t>
      </w:r>
    </w:p>
    <w:p w14:paraId="0E10A2D5" w14:textId="77777777" w:rsidR="000F18B0" w:rsidRPr="00D61723" w:rsidRDefault="000F18B0" w:rsidP="000F18B0">
      <w:pPr>
        <w:pStyle w:val="NoSpacing"/>
        <w:rPr>
          <w:rFonts w:ascii="Times New Roman" w:hAnsi="Times New Roman"/>
          <w:b/>
          <w:bCs/>
          <w:sz w:val="24"/>
          <w:szCs w:val="24"/>
        </w:rPr>
      </w:pPr>
    </w:p>
    <w:p w14:paraId="2F438572" w14:textId="77777777" w:rsidR="000F18B0" w:rsidRPr="00D61723" w:rsidRDefault="000F18B0" w:rsidP="000F18B0">
      <w:pPr>
        <w:pStyle w:val="NoSpacing"/>
        <w:ind w:left="720"/>
        <w:rPr>
          <w:rFonts w:ascii="Times New Roman" w:hAnsi="Times New Roman"/>
          <w:b/>
          <w:bCs/>
          <w:sz w:val="24"/>
          <w:szCs w:val="24"/>
        </w:rPr>
      </w:pPr>
      <w:r w:rsidRPr="00D61723">
        <w:rPr>
          <w:rFonts w:ascii="Times New Roman" w:hAnsi="Times New Roman"/>
          <w:bCs/>
          <w:sz w:val="24"/>
          <w:szCs w:val="24"/>
        </w:rPr>
        <w:t xml:space="preserve">“[California Firefighter’s Bill of Rights] Government Code section 3253 deals with a firefighter's rights when he or she ‘is under investigation and subjected to interrogation.’ Meoli argues that City violated subdivisions(b), (g), and (h) of section 3253 during the February 2012 incident at the fire station. As we explained ante, the trial court found that the delivery of the Notice communicated to Meoli that an investigation and interrogation would take place in the future. Although Meoli acknowledges this ruling by the trial court, he argues that it was ‘not supported by the law or any reasoned analysis of the applicable statute[].’ However, Meoli does not explain this alleged error, since he fails to discuss the trial court's rulings, the applicable standard, or the evidence to support a violation of the applicable </w:t>
      </w:r>
      <w:proofErr w:type="gramStart"/>
      <w:r w:rsidRPr="00D61723">
        <w:rPr>
          <w:rFonts w:ascii="Times New Roman" w:hAnsi="Times New Roman"/>
          <w:bCs/>
          <w:sz w:val="24"/>
          <w:szCs w:val="24"/>
        </w:rPr>
        <w:t>standard.”</w:t>
      </w:r>
      <w:proofErr w:type="gramEnd"/>
      <w:r w:rsidRPr="00D61723">
        <w:rPr>
          <w:rFonts w:ascii="Times New Roman" w:hAnsi="Times New Roman"/>
          <w:bCs/>
          <w:sz w:val="24"/>
          <w:szCs w:val="24"/>
        </w:rPr>
        <w:t xml:space="preserve"> </w:t>
      </w:r>
      <w:hyperlink r:id="rId2760" w:history="1">
        <w:r w:rsidRPr="00D61723">
          <w:rPr>
            <w:rStyle w:val="Hyperlink"/>
            <w:rFonts w:ascii="Times New Roman" w:hAnsi="Times New Roman"/>
            <w:b/>
            <w:sz w:val="24"/>
            <w:szCs w:val="24"/>
          </w:rPr>
          <w:t>https://www.courts.ca.gov/opinions/nonpub/D074758.PDF</w:t>
        </w:r>
      </w:hyperlink>
      <w:r w:rsidRPr="00D61723">
        <w:rPr>
          <w:rFonts w:ascii="Times New Roman" w:hAnsi="Times New Roman"/>
          <w:bCs/>
          <w:sz w:val="24"/>
          <w:szCs w:val="24"/>
        </w:rPr>
        <w:t xml:space="preserve"> </w:t>
      </w:r>
    </w:p>
    <w:bookmarkEnd w:id="604"/>
    <w:p w14:paraId="2F00DF95" w14:textId="77777777" w:rsidR="000F18B0" w:rsidRDefault="000F18B0" w:rsidP="000F18B0">
      <w:pPr>
        <w:pStyle w:val="NoSpacing"/>
        <w:rPr>
          <w:rFonts w:ascii="Times New Roman" w:hAnsi="Times New Roman"/>
          <w:b/>
          <w:bCs/>
          <w:sz w:val="24"/>
          <w:szCs w:val="24"/>
        </w:rPr>
      </w:pPr>
    </w:p>
    <w:p w14:paraId="037F51F2" w14:textId="6E899408" w:rsidR="000F18B0" w:rsidRPr="00D61723" w:rsidRDefault="000F18B0" w:rsidP="000F18B0">
      <w:pPr>
        <w:pStyle w:val="NoSpacing"/>
        <w:rPr>
          <w:rFonts w:ascii="Times New Roman" w:hAnsi="Times New Roman"/>
          <w:b/>
          <w:bCs/>
          <w:sz w:val="24"/>
          <w:szCs w:val="24"/>
        </w:rPr>
      </w:pPr>
      <w:bookmarkStart w:id="605" w:name="_Hlk40516840"/>
      <w:r w:rsidRPr="00D61723">
        <w:rPr>
          <w:rFonts w:ascii="Times New Roman" w:hAnsi="Times New Roman"/>
          <w:b/>
          <w:bCs/>
          <w:sz w:val="24"/>
          <w:szCs w:val="24"/>
        </w:rPr>
        <w:t xml:space="preserve">Legal Lessons Learned: Threats against a FD officer are not to be tolerated; nor claims off duty that you are a police officer. </w:t>
      </w:r>
    </w:p>
    <w:bookmarkEnd w:id="605"/>
    <w:p w14:paraId="46776C7B" w14:textId="77777777" w:rsidR="000F18B0" w:rsidRPr="00D61723" w:rsidRDefault="000F18B0" w:rsidP="000F18B0">
      <w:pPr>
        <w:pStyle w:val="NoSpacing"/>
        <w:rPr>
          <w:b/>
          <w:bCs/>
          <w:sz w:val="24"/>
          <w:szCs w:val="24"/>
        </w:rPr>
      </w:pPr>
    </w:p>
    <w:p w14:paraId="65BFD322" w14:textId="77777777" w:rsidR="000F18B0" w:rsidRDefault="000F18B0" w:rsidP="00F326E5">
      <w:pPr>
        <w:pStyle w:val="NoSpacing"/>
        <w:rPr>
          <w:rFonts w:ascii="Arial Black" w:hAnsi="Arial Black"/>
          <w:sz w:val="24"/>
          <w:szCs w:val="24"/>
        </w:rPr>
      </w:pPr>
    </w:p>
    <w:p w14:paraId="2F424284" w14:textId="77777777" w:rsidR="000F18B0" w:rsidRDefault="000F18B0" w:rsidP="00F326E5">
      <w:pPr>
        <w:pStyle w:val="NoSpacing"/>
        <w:rPr>
          <w:rFonts w:ascii="Arial Black" w:hAnsi="Arial Black"/>
          <w:sz w:val="24"/>
          <w:szCs w:val="24"/>
        </w:rPr>
      </w:pPr>
    </w:p>
    <w:p w14:paraId="0E9AE6BB" w14:textId="77777777" w:rsidR="000F18B0" w:rsidRDefault="000F18B0" w:rsidP="00F326E5">
      <w:pPr>
        <w:pStyle w:val="NoSpacing"/>
        <w:rPr>
          <w:rFonts w:ascii="Arial Black" w:hAnsi="Arial Black"/>
          <w:sz w:val="24"/>
          <w:szCs w:val="24"/>
        </w:rPr>
      </w:pPr>
    </w:p>
    <w:p w14:paraId="1B663376" w14:textId="1BFE8757" w:rsidR="000F18B0" w:rsidRDefault="000F18B0" w:rsidP="00F326E5">
      <w:pPr>
        <w:pStyle w:val="NoSpacing"/>
        <w:rPr>
          <w:rFonts w:ascii="Arial Black" w:hAnsi="Arial Black"/>
          <w:sz w:val="24"/>
          <w:szCs w:val="24"/>
        </w:rPr>
      </w:pPr>
      <w:r>
        <w:rPr>
          <w:rFonts w:ascii="Arial Black" w:hAnsi="Arial Black"/>
          <w:sz w:val="24"/>
          <w:szCs w:val="24"/>
        </w:rPr>
        <w:t>16-29</w:t>
      </w:r>
    </w:p>
    <w:p w14:paraId="39796E42" w14:textId="0287A8CE" w:rsidR="000F18B0" w:rsidRDefault="000F18B0" w:rsidP="00F326E5">
      <w:pPr>
        <w:pStyle w:val="NoSpacing"/>
        <w:rPr>
          <w:rFonts w:ascii="Arial Black" w:hAnsi="Arial Black"/>
          <w:sz w:val="24"/>
          <w:szCs w:val="24"/>
        </w:rPr>
      </w:pPr>
    </w:p>
    <w:p w14:paraId="099B4ECC" w14:textId="77777777" w:rsidR="000F18B0" w:rsidRPr="00084E23" w:rsidRDefault="000F18B0" w:rsidP="000F18B0">
      <w:pPr>
        <w:pStyle w:val="NoSpacing"/>
        <w:rPr>
          <w:rFonts w:ascii="Arial Black" w:hAnsi="Arial Black"/>
          <w:sz w:val="28"/>
          <w:szCs w:val="28"/>
        </w:rPr>
      </w:pPr>
      <w:bookmarkStart w:id="606" w:name="_Hlk40516939"/>
      <w:r w:rsidRPr="00084E23">
        <w:rPr>
          <w:rFonts w:ascii="Arial Black" w:hAnsi="Arial Black"/>
          <w:sz w:val="28"/>
          <w:szCs w:val="28"/>
        </w:rPr>
        <w:t>VA:</w:t>
      </w:r>
      <w:r>
        <w:rPr>
          <w:rFonts w:ascii="Arial Black" w:hAnsi="Arial Black"/>
          <w:sz w:val="28"/>
          <w:szCs w:val="28"/>
        </w:rPr>
        <w:t xml:space="preserve"> SOCIAL MEDIA - ANTI-TRUMP FACEBOOK - ARRESTED D.C. PROTEST – FIRED NO HEARING – LAWSUIT PROCEED</w:t>
      </w:r>
    </w:p>
    <w:p w14:paraId="262A9F69" w14:textId="77777777" w:rsidR="000F18B0" w:rsidRDefault="000F18B0" w:rsidP="000F18B0">
      <w:pPr>
        <w:pStyle w:val="NoSpacing"/>
        <w:rPr>
          <w:rFonts w:ascii="VAArial Black" w:hAnsi="VAArial Black"/>
          <w:sz w:val="28"/>
          <w:szCs w:val="28"/>
        </w:rPr>
      </w:pPr>
    </w:p>
    <w:p w14:paraId="3D178C12" w14:textId="3F637B1A" w:rsidR="000F18B0" w:rsidRDefault="000F18B0" w:rsidP="000F18B0">
      <w:pPr>
        <w:pStyle w:val="NoSpacing"/>
        <w:rPr>
          <w:rFonts w:ascii="Times New Roman" w:hAnsi="Times New Roman"/>
          <w:bCs/>
          <w:sz w:val="24"/>
          <w:szCs w:val="24"/>
        </w:rPr>
      </w:pPr>
      <w:r w:rsidRPr="00D61723">
        <w:rPr>
          <w:rFonts w:ascii="Times New Roman" w:hAnsi="Times New Roman"/>
          <w:bCs/>
          <w:sz w:val="24"/>
          <w:szCs w:val="24"/>
        </w:rPr>
        <w:t xml:space="preserve">On March 31, 2020, in </w:t>
      </w:r>
      <w:r w:rsidRPr="00D61723">
        <w:rPr>
          <w:rFonts w:ascii="Times New Roman" w:hAnsi="Times New Roman"/>
          <w:bCs/>
          <w:sz w:val="24"/>
          <w:szCs w:val="24"/>
          <w:u w:val="single"/>
        </w:rPr>
        <w:t xml:space="preserve">Rosa </w:t>
      </w:r>
      <w:proofErr w:type="spellStart"/>
      <w:r w:rsidRPr="00D61723">
        <w:rPr>
          <w:rFonts w:ascii="Times New Roman" w:hAnsi="Times New Roman"/>
          <w:bCs/>
          <w:sz w:val="24"/>
          <w:szCs w:val="24"/>
          <w:u w:val="single"/>
        </w:rPr>
        <w:t>Roncales</w:t>
      </w:r>
      <w:proofErr w:type="spellEnd"/>
      <w:r w:rsidRPr="00D61723">
        <w:rPr>
          <w:rFonts w:ascii="Times New Roman" w:hAnsi="Times New Roman"/>
          <w:bCs/>
          <w:sz w:val="24"/>
          <w:szCs w:val="24"/>
          <w:u w:val="single"/>
        </w:rPr>
        <w:t xml:space="preserve"> v. County of Henrico, Anthony McDowell, Alec Oughton, Scotty Roberts and Eugene Gerald</w:t>
      </w:r>
      <w:r w:rsidRPr="00D61723">
        <w:rPr>
          <w:rFonts w:ascii="Times New Roman" w:hAnsi="Times New Roman"/>
          <w:bCs/>
          <w:sz w:val="24"/>
          <w:szCs w:val="24"/>
        </w:rPr>
        <w:t xml:space="preserve">, U.S. District Court Judge M. Hannah Lauck, U.S. District Court for the Eastern District of Virginia (Richmond Division), reviewing the allegations by the firefighter in the Complaint, but without holding a hearing, denied qualified immunity claims of the four supervisors. “At this procedural posture, however, the Court concludes </w:t>
      </w:r>
    </w:p>
    <w:p w14:paraId="4B656FDF" w14:textId="77777777" w:rsidR="000F18B0" w:rsidRPr="00D61723" w:rsidRDefault="000F18B0" w:rsidP="000F18B0">
      <w:pPr>
        <w:pStyle w:val="NoSpacing"/>
        <w:rPr>
          <w:rFonts w:ascii="Times New Roman" w:hAnsi="Times New Roman"/>
          <w:b/>
          <w:bCs/>
          <w:sz w:val="24"/>
          <w:szCs w:val="24"/>
        </w:rPr>
      </w:pPr>
      <w:r w:rsidRPr="00D61723">
        <w:rPr>
          <w:rFonts w:ascii="Times New Roman" w:hAnsi="Times New Roman"/>
          <w:bCs/>
          <w:sz w:val="24"/>
          <w:szCs w:val="24"/>
        </w:rPr>
        <w:t xml:space="preserve">that qualified immunity does not protect McDowell, Oughton, Roberts, or Gerald from liability. The Court will deny the Motion to Dismiss as to the individual Defendants.”  </w:t>
      </w:r>
      <w:bookmarkEnd w:id="606"/>
      <w:r w:rsidRPr="00D61723">
        <w:rPr>
          <w:rFonts w:ascii="Times New Roman" w:hAnsi="Times New Roman"/>
          <w:bCs/>
          <w:sz w:val="24"/>
          <w:szCs w:val="24"/>
        </w:rPr>
        <w:t xml:space="preserve">The County was </w:t>
      </w:r>
      <w:r>
        <w:rPr>
          <w:rFonts w:ascii="Times New Roman" w:hAnsi="Times New Roman"/>
          <w:bCs/>
          <w:sz w:val="24"/>
          <w:szCs w:val="24"/>
        </w:rPr>
        <w:t xml:space="preserve">dismissed </w:t>
      </w:r>
      <w:r w:rsidRPr="00D61723">
        <w:rPr>
          <w:rFonts w:ascii="Times New Roman" w:hAnsi="Times New Roman"/>
          <w:bCs/>
          <w:sz w:val="24"/>
          <w:szCs w:val="24"/>
        </w:rPr>
        <w:t>from the case.</w:t>
      </w:r>
    </w:p>
    <w:p w14:paraId="0D8195FB" w14:textId="77777777" w:rsidR="000F18B0" w:rsidRPr="00D61723" w:rsidRDefault="000F18B0" w:rsidP="000F18B0">
      <w:pPr>
        <w:pStyle w:val="NormalWeb"/>
        <w:ind w:left="720"/>
      </w:pPr>
      <w:r w:rsidRPr="00D61723">
        <w:lastRenderedPageBreak/>
        <w:t xml:space="preserve">“Here, </w:t>
      </w:r>
      <w:proofErr w:type="spellStart"/>
      <w:r w:rsidRPr="00D61723">
        <w:t>Roncales</w:t>
      </w:r>
      <w:proofErr w:type="spellEnd"/>
      <w:r w:rsidRPr="00D61723">
        <w:t xml:space="preserve"> alleges that she never received a name-clearing hearing or the opportunity to present her case before her employment ended at the Henrico Fire Department. Specifically, </w:t>
      </w:r>
      <w:proofErr w:type="spellStart"/>
      <w:r w:rsidRPr="00D61723">
        <w:t>Roncales</w:t>
      </w:r>
      <w:proofErr w:type="spellEnd"/>
      <w:r w:rsidRPr="00D61723">
        <w:t xml:space="preserve"> claims that Defendants questioned her regarding her participation in a political protest, that she did not have the opportunity to speak to her legal counsel before questioning, that video evidence existed that would have shown she participated in only non-violent protest, that she ‘told her superiors that her legal counsel had possession of a video demonstrating" the veracity of her claims, (</w:t>
      </w:r>
      <w:proofErr w:type="spellStart"/>
      <w:r w:rsidRPr="00D61723">
        <w:t>Compl</w:t>
      </w:r>
      <w:proofErr w:type="spellEnd"/>
      <w:r w:rsidRPr="00D61723">
        <w:t xml:space="preserve">. ¶ 34), and that Defendants used the event as a pretext to terminate her employment from the Henrico Fire Department for her political beliefs. For this claim, </w:t>
      </w:r>
      <w:proofErr w:type="spellStart"/>
      <w:r w:rsidRPr="00D61723">
        <w:t>Roncales</w:t>
      </w:r>
      <w:proofErr w:type="spellEnd"/>
      <w:r w:rsidRPr="00D61723">
        <w:t xml:space="preserve"> maintains that she was ‘deprived of the fair and unbiased opportunity for a hearing, whether name-clearing or otherwise, to rebut the Defendants' representations, and to present her side of the story.’ (</w:t>
      </w:r>
      <w:proofErr w:type="spellStart"/>
      <w:r w:rsidRPr="00D61723">
        <w:t>Compl</w:t>
      </w:r>
      <w:proofErr w:type="spellEnd"/>
      <w:r w:rsidRPr="00D61723">
        <w:t xml:space="preserve">. ¶ 60.) Based on these allegations, </w:t>
      </w:r>
      <w:proofErr w:type="spellStart"/>
      <w:r w:rsidRPr="00D61723">
        <w:t>Roncales</w:t>
      </w:r>
      <w:proofErr w:type="spellEnd"/>
      <w:r w:rsidRPr="00D61723">
        <w:t xml:space="preserve"> sufficiently alleges her Due Process Claim.” </w:t>
      </w:r>
      <w:hyperlink r:id="rId2761" w:history="1">
        <w:r w:rsidRPr="00D61723">
          <w:rPr>
            <w:rStyle w:val="Hyperlink"/>
          </w:rPr>
          <w:t>https://public.fastcase.com/Wl%2B2t%2BeVuI35%2FN70vAMFZp5z3tSAREAgVcTB%2FIqZH8qtvSAHBObLTQiDe9yLc084</w:t>
        </w:r>
      </w:hyperlink>
      <w:r w:rsidRPr="00D61723">
        <w:t xml:space="preserve"> </w:t>
      </w:r>
    </w:p>
    <w:p w14:paraId="7DC4F572" w14:textId="2743DB69" w:rsidR="000F18B0" w:rsidRPr="000164B1" w:rsidRDefault="000F18B0" w:rsidP="000F18B0">
      <w:pPr>
        <w:pStyle w:val="NoSpacing"/>
        <w:rPr>
          <w:rFonts w:ascii="Times New Roman" w:hAnsi="Times New Roman"/>
          <w:sz w:val="24"/>
          <w:szCs w:val="24"/>
        </w:rPr>
      </w:pPr>
      <w:bookmarkStart w:id="607" w:name="_Hlk40517047"/>
      <w:r w:rsidRPr="00D61723">
        <w:rPr>
          <w:rFonts w:ascii="Times New Roman" w:hAnsi="Times New Roman"/>
          <w:b/>
          <w:bCs/>
          <w:sz w:val="24"/>
          <w:szCs w:val="24"/>
        </w:rPr>
        <w:t xml:space="preserve">Legal Lessons Learned: FDs should provide a pre-disciplinary hearing prior to making a termination decision.  </w:t>
      </w:r>
      <w:r w:rsidR="000164B1" w:rsidRPr="000164B1">
        <w:rPr>
          <w:rFonts w:ascii="Times New Roman" w:hAnsi="Times New Roman"/>
          <w:sz w:val="24"/>
          <w:szCs w:val="24"/>
        </w:rPr>
        <w:t xml:space="preserve">Note:  Read the </w:t>
      </w:r>
      <w:r w:rsidRPr="000164B1">
        <w:rPr>
          <w:rFonts w:ascii="Times New Roman" w:hAnsi="Times New Roman"/>
          <w:sz w:val="24"/>
          <w:szCs w:val="24"/>
        </w:rPr>
        <w:t xml:space="preserve">U.S. Supreme Court decision in Cleveland Bd. of Educ. v. Loudermill, 470 U.S. 532 (1985), </w:t>
      </w:r>
      <w:hyperlink r:id="rId2762" w:history="1">
        <w:r w:rsidRPr="000164B1">
          <w:rPr>
            <w:rStyle w:val="Hyperlink"/>
            <w:rFonts w:ascii="Times New Roman" w:hAnsi="Times New Roman"/>
            <w:sz w:val="24"/>
            <w:szCs w:val="24"/>
          </w:rPr>
          <w:t>https://supreme.justia.com/cases/federal/us/470/532/</w:t>
        </w:r>
      </w:hyperlink>
      <w:r w:rsidRPr="000164B1">
        <w:rPr>
          <w:rFonts w:ascii="Times New Roman" w:hAnsi="Times New Roman"/>
          <w:sz w:val="24"/>
          <w:szCs w:val="24"/>
        </w:rPr>
        <w:t xml:space="preserve"> .  </w:t>
      </w:r>
    </w:p>
    <w:bookmarkEnd w:id="607"/>
    <w:p w14:paraId="0809192B" w14:textId="77777777" w:rsidR="000F18B0" w:rsidRPr="00D61723" w:rsidRDefault="000F18B0" w:rsidP="000F18B0">
      <w:pPr>
        <w:pStyle w:val="NoSpacing"/>
        <w:rPr>
          <w:rFonts w:ascii="Times New Roman" w:hAnsi="Times New Roman"/>
          <w:sz w:val="24"/>
          <w:szCs w:val="24"/>
        </w:rPr>
      </w:pPr>
    </w:p>
    <w:p w14:paraId="29639D9C" w14:textId="77777777" w:rsidR="000F18B0" w:rsidRDefault="000F18B0" w:rsidP="00F326E5">
      <w:pPr>
        <w:pStyle w:val="NoSpacing"/>
        <w:rPr>
          <w:rFonts w:ascii="Arial Black" w:hAnsi="Arial Black"/>
          <w:sz w:val="24"/>
          <w:szCs w:val="24"/>
        </w:rPr>
      </w:pPr>
    </w:p>
    <w:p w14:paraId="7FD335C0" w14:textId="77777777" w:rsidR="000F18B0" w:rsidRDefault="000F18B0" w:rsidP="00F326E5">
      <w:pPr>
        <w:pStyle w:val="NoSpacing"/>
        <w:rPr>
          <w:rFonts w:ascii="Arial Black" w:hAnsi="Arial Black"/>
          <w:sz w:val="24"/>
          <w:szCs w:val="24"/>
        </w:rPr>
      </w:pPr>
    </w:p>
    <w:p w14:paraId="7A05F3E4" w14:textId="3AD105AB" w:rsidR="000F18B0" w:rsidRDefault="000F18B0" w:rsidP="00F326E5">
      <w:pPr>
        <w:pStyle w:val="NoSpacing"/>
        <w:rPr>
          <w:rFonts w:ascii="Arial Black" w:hAnsi="Arial Black"/>
          <w:sz w:val="24"/>
          <w:szCs w:val="24"/>
        </w:rPr>
      </w:pPr>
      <w:r>
        <w:rPr>
          <w:rFonts w:ascii="Arial Black" w:hAnsi="Arial Black"/>
          <w:sz w:val="24"/>
          <w:szCs w:val="24"/>
        </w:rPr>
        <w:t>16-28</w:t>
      </w:r>
    </w:p>
    <w:p w14:paraId="6A898452" w14:textId="2EE580D5" w:rsidR="000F18B0" w:rsidRDefault="000F18B0" w:rsidP="00F326E5">
      <w:pPr>
        <w:pStyle w:val="NoSpacing"/>
        <w:rPr>
          <w:rFonts w:ascii="Arial Black" w:hAnsi="Arial Black"/>
          <w:sz w:val="24"/>
          <w:szCs w:val="24"/>
        </w:rPr>
      </w:pPr>
    </w:p>
    <w:p w14:paraId="5EA4C568" w14:textId="77777777" w:rsidR="000F18B0" w:rsidRPr="00EC2027" w:rsidRDefault="000F18B0" w:rsidP="000F18B0">
      <w:pPr>
        <w:pStyle w:val="NoSpacing"/>
        <w:rPr>
          <w:rFonts w:ascii="Arial Black" w:hAnsi="Arial Black"/>
          <w:sz w:val="28"/>
          <w:szCs w:val="28"/>
        </w:rPr>
      </w:pPr>
      <w:bookmarkStart w:id="608" w:name="_Hlk39773080"/>
      <w:r>
        <w:rPr>
          <w:rFonts w:ascii="Arial Black" w:hAnsi="Arial Black"/>
          <w:sz w:val="28"/>
          <w:szCs w:val="28"/>
        </w:rPr>
        <w:t>MI: FIRED FOR MISCHARGING HRS, DOUBLE DIPPING – FF CLAIMS RETALIATION, VERY RELIGIOUS – CASE PROCEED</w:t>
      </w:r>
    </w:p>
    <w:p w14:paraId="72360989" w14:textId="77777777" w:rsidR="000F18B0" w:rsidRDefault="000F18B0" w:rsidP="000F18B0">
      <w:pPr>
        <w:pStyle w:val="NoSpacing"/>
        <w:rPr>
          <w:b/>
          <w:bCs/>
          <w:sz w:val="24"/>
          <w:szCs w:val="24"/>
        </w:rPr>
      </w:pPr>
    </w:p>
    <w:p w14:paraId="1E18B60C" w14:textId="77777777" w:rsidR="000F18B0" w:rsidRPr="00D61723" w:rsidRDefault="000F18B0" w:rsidP="000F18B0">
      <w:pPr>
        <w:pStyle w:val="NoSpacing"/>
        <w:rPr>
          <w:rFonts w:ascii="Times New Roman" w:hAnsi="Times New Roman"/>
          <w:b/>
          <w:bCs/>
          <w:sz w:val="24"/>
          <w:szCs w:val="24"/>
        </w:rPr>
      </w:pPr>
      <w:r w:rsidRPr="00D61723">
        <w:rPr>
          <w:rFonts w:ascii="Times New Roman" w:hAnsi="Times New Roman"/>
          <w:bCs/>
          <w:sz w:val="24"/>
          <w:szCs w:val="24"/>
        </w:rPr>
        <w:t xml:space="preserve">On Nov. 22, 2019, in </w:t>
      </w:r>
      <w:r w:rsidRPr="00D61723">
        <w:rPr>
          <w:rFonts w:ascii="Times New Roman" w:hAnsi="Times New Roman"/>
          <w:bCs/>
          <w:sz w:val="24"/>
          <w:szCs w:val="24"/>
          <w:u w:val="single"/>
        </w:rPr>
        <w:t>Peter Hudson v. City of Highland Park, Michigan; Derek Hillman; Makini Jackson</w:t>
      </w:r>
      <w:r w:rsidRPr="00D61723">
        <w:rPr>
          <w:rFonts w:ascii="Times New Roman" w:hAnsi="Times New Roman"/>
          <w:bCs/>
          <w:sz w:val="24"/>
          <w:szCs w:val="24"/>
        </w:rPr>
        <w:t>,  the U.S. Court of Appeals for the 6</w:t>
      </w:r>
      <w:r w:rsidRPr="00D61723">
        <w:rPr>
          <w:rFonts w:ascii="Times New Roman" w:hAnsi="Times New Roman"/>
          <w:bCs/>
          <w:sz w:val="24"/>
          <w:szCs w:val="24"/>
          <w:vertAlign w:val="superscript"/>
        </w:rPr>
        <w:t>th</w:t>
      </w:r>
      <w:r w:rsidRPr="00D61723">
        <w:rPr>
          <w:rFonts w:ascii="Times New Roman" w:hAnsi="Times New Roman"/>
          <w:bCs/>
          <w:sz w:val="24"/>
          <w:szCs w:val="24"/>
        </w:rPr>
        <w:t xml:space="preserve"> Circuit, held (2 to 1) that FF may proceed in lawsuit against the Fire Chief for retaliation for exercising his free-speech rights, and after FF filed complaint with OSHA. “At any rate, the point, at least at the pleading stage, is one of inferences—that Hillman fired Hudson for reasons other than violating the fire station’s payroll polices. Not every allegation has to substantiate a plaintiff’s claim directly…. That’s why we have circumstantial evidence.” The majority, however, rejected his “hostile work atmosphere” Title VII claim. </w:t>
      </w:r>
    </w:p>
    <w:p w14:paraId="350CA5C7" w14:textId="77777777" w:rsidR="000F18B0" w:rsidRPr="00D61723" w:rsidRDefault="000F18B0" w:rsidP="000F18B0">
      <w:pPr>
        <w:pStyle w:val="NoSpacing"/>
        <w:rPr>
          <w:rFonts w:ascii="Times New Roman" w:hAnsi="Times New Roman"/>
          <w:b/>
          <w:bCs/>
          <w:sz w:val="24"/>
          <w:szCs w:val="24"/>
        </w:rPr>
      </w:pPr>
    </w:p>
    <w:p w14:paraId="37B6B646" w14:textId="5E2BC3CF" w:rsidR="000F18B0" w:rsidRDefault="000F18B0" w:rsidP="000F18B0">
      <w:pPr>
        <w:pStyle w:val="NoSpacing"/>
        <w:ind w:left="720"/>
        <w:rPr>
          <w:rFonts w:ascii="Times New Roman" w:hAnsi="Times New Roman"/>
          <w:bCs/>
          <w:sz w:val="24"/>
          <w:szCs w:val="24"/>
        </w:rPr>
      </w:pPr>
      <w:r w:rsidRPr="00D61723">
        <w:rPr>
          <w:rFonts w:ascii="Times New Roman" w:hAnsi="Times New Roman"/>
          <w:bCs/>
          <w:sz w:val="24"/>
          <w:szCs w:val="24"/>
        </w:rPr>
        <w:t xml:space="preserve">“For many people of faith, their religion is not an abstraction. It has consequences for how they behave and may require them to be witnesses and examples for their faith. That reality does not permit differential treatment of them because they criticize behavior on moral grounds stemming from religious </w:t>
      </w:r>
      <w:proofErr w:type="gramStart"/>
      <w:r w:rsidRPr="00D61723">
        <w:rPr>
          <w:rFonts w:ascii="Times New Roman" w:hAnsi="Times New Roman"/>
          <w:bCs/>
          <w:sz w:val="24"/>
          <w:szCs w:val="24"/>
        </w:rPr>
        <w:t>convictions</w:t>
      </w:r>
      <w:proofErr w:type="gramEnd"/>
      <w:r w:rsidRPr="00D61723">
        <w:rPr>
          <w:rFonts w:ascii="Times New Roman" w:hAnsi="Times New Roman"/>
          <w:bCs/>
          <w:sz w:val="24"/>
          <w:szCs w:val="24"/>
        </w:rPr>
        <w:t xml:space="preserve"> as </w:t>
      </w:r>
    </w:p>
    <w:p w14:paraId="777B7185" w14:textId="77777777" w:rsidR="000F18B0" w:rsidRPr="00D61723" w:rsidRDefault="000F18B0" w:rsidP="000F18B0">
      <w:pPr>
        <w:pStyle w:val="NoSpacing"/>
        <w:ind w:left="720"/>
        <w:rPr>
          <w:rFonts w:ascii="Times New Roman" w:hAnsi="Times New Roman"/>
          <w:b/>
          <w:bCs/>
          <w:sz w:val="24"/>
          <w:szCs w:val="24"/>
        </w:rPr>
      </w:pPr>
      <w:r w:rsidRPr="00D61723">
        <w:rPr>
          <w:rFonts w:ascii="Times New Roman" w:hAnsi="Times New Roman"/>
          <w:bCs/>
          <w:sz w:val="24"/>
          <w:szCs w:val="24"/>
        </w:rPr>
        <w:t xml:space="preserve">opposed to moral grounds stemming from secular convictions. ‘Let firemen be firemen’ is not a cognizable defense to Title VII claims based on gender discrimination, race discrimination, or faith-based discrimination. Even so, Hudson’s disparate treatment claim fails at a minimum at the last step. He cannot show that the city’s justification for his discharge amounted to a pretextual basis for discriminating against him because of his faith. The fire department put forth a legitimate, non-discriminatory reason for treating Hudson differently. He falsified his </w:t>
      </w:r>
      <w:proofErr w:type="gramStart"/>
      <w:r w:rsidRPr="00D61723">
        <w:rPr>
          <w:rFonts w:ascii="Times New Roman" w:hAnsi="Times New Roman"/>
          <w:bCs/>
          <w:sz w:val="24"/>
          <w:szCs w:val="24"/>
        </w:rPr>
        <w:t>time-sheets</w:t>
      </w:r>
      <w:proofErr w:type="gramEnd"/>
      <w:r w:rsidRPr="00D61723">
        <w:rPr>
          <w:rFonts w:ascii="Times New Roman" w:hAnsi="Times New Roman"/>
          <w:bCs/>
          <w:sz w:val="24"/>
          <w:szCs w:val="24"/>
        </w:rPr>
        <w:t xml:space="preserve"> while other firefighters did not.”</w:t>
      </w:r>
    </w:p>
    <w:p w14:paraId="55BEF034" w14:textId="77777777" w:rsidR="000F18B0" w:rsidRPr="00D61723" w:rsidRDefault="000F18B0" w:rsidP="000F18B0">
      <w:pPr>
        <w:pStyle w:val="NoSpacing"/>
        <w:ind w:left="720"/>
        <w:rPr>
          <w:rFonts w:ascii="Times New Roman" w:hAnsi="Times New Roman"/>
          <w:b/>
          <w:bCs/>
          <w:sz w:val="24"/>
          <w:szCs w:val="24"/>
        </w:rPr>
      </w:pPr>
      <w:hyperlink r:id="rId2763" w:history="1">
        <w:r w:rsidRPr="00D61723">
          <w:rPr>
            <w:rStyle w:val="Hyperlink"/>
            <w:rFonts w:ascii="Times New Roman" w:hAnsi="Times New Roman"/>
            <w:b/>
            <w:sz w:val="24"/>
            <w:szCs w:val="24"/>
          </w:rPr>
          <w:t>https://www.opn.ca6.uscourts.gov/opinions.pdf/19a0286p-06.pdf</w:t>
        </w:r>
      </w:hyperlink>
      <w:r w:rsidRPr="00D61723">
        <w:rPr>
          <w:rFonts w:ascii="Times New Roman" w:hAnsi="Times New Roman"/>
          <w:bCs/>
          <w:sz w:val="24"/>
          <w:szCs w:val="24"/>
        </w:rPr>
        <w:t xml:space="preserve"> </w:t>
      </w:r>
    </w:p>
    <w:p w14:paraId="358C339C" w14:textId="77777777" w:rsidR="000F18B0" w:rsidRDefault="000F18B0" w:rsidP="00F326E5">
      <w:pPr>
        <w:pStyle w:val="NoSpacing"/>
        <w:rPr>
          <w:rFonts w:ascii="Arial Black" w:hAnsi="Arial Black"/>
          <w:sz w:val="24"/>
          <w:szCs w:val="24"/>
        </w:rPr>
      </w:pPr>
    </w:p>
    <w:bookmarkEnd w:id="608"/>
    <w:p w14:paraId="46B150E9" w14:textId="77777777" w:rsidR="000F18B0" w:rsidRPr="00D61723" w:rsidRDefault="000F18B0" w:rsidP="000F18B0">
      <w:pPr>
        <w:pStyle w:val="NoSpacing"/>
        <w:rPr>
          <w:rFonts w:ascii="Times New Roman" w:hAnsi="Times New Roman"/>
          <w:b/>
          <w:bCs/>
          <w:sz w:val="24"/>
          <w:szCs w:val="24"/>
        </w:rPr>
      </w:pPr>
      <w:r w:rsidRPr="00D61723">
        <w:rPr>
          <w:rFonts w:ascii="Times New Roman" w:hAnsi="Times New Roman"/>
          <w:b/>
          <w:bCs/>
          <w:sz w:val="24"/>
          <w:szCs w:val="24"/>
        </w:rPr>
        <w:t>Legal Lessons Learned: If the allegations of on</w:t>
      </w:r>
      <w:r>
        <w:rPr>
          <w:rFonts w:ascii="Times New Roman" w:hAnsi="Times New Roman"/>
          <w:b/>
          <w:bCs/>
          <w:sz w:val="24"/>
          <w:szCs w:val="24"/>
        </w:rPr>
        <w:t xml:space="preserve"> </w:t>
      </w:r>
      <w:r w:rsidRPr="00D61723">
        <w:rPr>
          <w:rFonts w:ascii="Times New Roman" w:hAnsi="Times New Roman"/>
          <w:b/>
          <w:bCs/>
          <w:sz w:val="24"/>
          <w:szCs w:val="24"/>
        </w:rPr>
        <w:t xml:space="preserve">duty sex, pornography, and similar items are true, the FD needs new leadership. </w:t>
      </w:r>
    </w:p>
    <w:p w14:paraId="7D06FED1" w14:textId="3AB32090" w:rsidR="000F18B0" w:rsidRDefault="000F18B0" w:rsidP="00F326E5">
      <w:pPr>
        <w:pStyle w:val="NoSpacing"/>
        <w:rPr>
          <w:rFonts w:ascii="Arial Black" w:hAnsi="Arial Black"/>
          <w:sz w:val="24"/>
          <w:szCs w:val="24"/>
        </w:rPr>
      </w:pPr>
    </w:p>
    <w:p w14:paraId="04F50444" w14:textId="77777777" w:rsidR="000F18B0" w:rsidRDefault="000F18B0" w:rsidP="00F326E5">
      <w:pPr>
        <w:pStyle w:val="NoSpacing"/>
        <w:rPr>
          <w:rFonts w:ascii="Arial Black" w:hAnsi="Arial Black"/>
          <w:sz w:val="24"/>
          <w:szCs w:val="24"/>
        </w:rPr>
      </w:pPr>
    </w:p>
    <w:p w14:paraId="7E367CCF" w14:textId="516A7B3F" w:rsidR="0066298F" w:rsidRDefault="0066298F" w:rsidP="00F326E5">
      <w:pPr>
        <w:pStyle w:val="NoSpacing"/>
        <w:rPr>
          <w:rFonts w:ascii="Arial Black" w:hAnsi="Arial Black"/>
          <w:sz w:val="24"/>
          <w:szCs w:val="24"/>
        </w:rPr>
      </w:pPr>
      <w:r>
        <w:rPr>
          <w:rFonts w:ascii="Arial Black" w:hAnsi="Arial Black"/>
          <w:sz w:val="24"/>
          <w:szCs w:val="24"/>
        </w:rPr>
        <w:t>16-27</w:t>
      </w:r>
    </w:p>
    <w:p w14:paraId="6F23AF0E" w14:textId="46FF9C7A" w:rsidR="0066298F" w:rsidRDefault="0066298F" w:rsidP="00F326E5">
      <w:pPr>
        <w:pStyle w:val="NoSpacing"/>
        <w:rPr>
          <w:rFonts w:ascii="Arial Black" w:hAnsi="Arial Black"/>
          <w:sz w:val="24"/>
          <w:szCs w:val="24"/>
        </w:rPr>
      </w:pPr>
    </w:p>
    <w:p w14:paraId="3774EEE8" w14:textId="77777777" w:rsidR="0066298F" w:rsidRPr="002E0D86" w:rsidRDefault="0066298F" w:rsidP="0066298F">
      <w:pPr>
        <w:pStyle w:val="NoSpacing"/>
        <w:rPr>
          <w:rFonts w:ascii="Arial Black" w:hAnsi="Arial Black"/>
          <w:sz w:val="28"/>
          <w:szCs w:val="28"/>
        </w:rPr>
      </w:pPr>
      <w:r w:rsidRPr="002E0D86">
        <w:rPr>
          <w:rFonts w:ascii="Arial Black" w:hAnsi="Arial Black"/>
          <w:sz w:val="28"/>
          <w:szCs w:val="28"/>
        </w:rPr>
        <w:t xml:space="preserve">TN: </w:t>
      </w:r>
      <w:r>
        <w:rPr>
          <w:rFonts w:ascii="Arial Black" w:hAnsi="Arial Black"/>
          <w:sz w:val="28"/>
          <w:szCs w:val="28"/>
        </w:rPr>
        <w:t xml:space="preserve">FF OFF DUTY, POINTED FIREARM AT TWO MEN AT POLITICAL RALLY – FIRED - GIVEN “LOUDERMILL HEARING” BY FIRE CHIEF </w:t>
      </w:r>
    </w:p>
    <w:p w14:paraId="1BFDFEFE" w14:textId="77777777" w:rsidR="0066298F" w:rsidRDefault="0066298F" w:rsidP="0066298F">
      <w:pPr>
        <w:pStyle w:val="NoSpacing"/>
        <w:rPr>
          <w:b/>
          <w:bCs/>
          <w:sz w:val="24"/>
          <w:szCs w:val="24"/>
        </w:rPr>
      </w:pPr>
    </w:p>
    <w:p w14:paraId="7A2C1F66" w14:textId="77777777" w:rsidR="0066298F" w:rsidRPr="00665BD0" w:rsidRDefault="0066298F" w:rsidP="0066298F">
      <w:pPr>
        <w:pStyle w:val="NoSpacing"/>
        <w:rPr>
          <w:rFonts w:ascii="Times New Roman" w:hAnsi="Times New Roman"/>
          <w:b/>
          <w:bCs/>
          <w:sz w:val="24"/>
          <w:szCs w:val="24"/>
        </w:rPr>
      </w:pPr>
      <w:r w:rsidRPr="00665BD0">
        <w:rPr>
          <w:rFonts w:ascii="Times New Roman" w:hAnsi="Times New Roman"/>
          <w:bCs/>
          <w:sz w:val="24"/>
          <w:szCs w:val="24"/>
        </w:rPr>
        <w:t xml:space="preserve">On March 18, 2020, in </w:t>
      </w:r>
      <w:r w:rsidRPr="00665BD0">
        <w:rPr>
          <w:rFonts w:ascii="Times New Roman" w:hAnsi="Times New Roman"/>
          <w:bCs/>
          <w:sz w:val="24"/>
          <w:szCs w:val="24"/>
          <w:u w:val="single"/>
        </w:rPr>
        <w:t>Paul Zachary Moss v. Shelby County Civil Service Merit Board</w:t>
      </w:r>
      <w:r w:rsidRPr="00665BD0">
        <w:rPr>
          <w:rFonts w:ascii="Times New Roman" w:hAnsi="Times New Roman"/>
          <w:bCs/>
          <w:sz w:val="24"/>
          <w:szCs w:val="24"/>
        </w:rPr>
        <w:t xml:space="preserve">, the Supreme Court of Tennessee, at Jackson, held (5 to 0) that the FD provided due process to the firefighter, reversing the decision by the TN Court of Appeals.  In addition to the </w:t>
      </w:r>
      <w:proofErr w:type="gramStart"/>
      <w:r w:rsidRPr="00665BD0">
        <w:rPr>
          <w:rFonts w:ascii="Times New Roman" w:hAnsi="Times New Roman"/>
          <w:bCs/>
          <w:sz w:val="24"/>
          <w:szCs w:val="24"/>
        </w:rPr>
        <w:t>November,</w:t>
      </w:r>
      <w:proofErr w:type="gramEnd"/>
      <w:r w:rsidRPr="00665BD0">
        <w:rPr>
          <w:rFonts w:ascii="Times New Roman" w:hAnsi="Times New Roman"/>
          <w:bCs/>
          <w:sz w:val="24"/>
          <w:szCs w:val="24"/>
        </w:rPr>
        <w:t xml:space="preserve"> 2013 aggravated assault with firearm, the Fire Chief during the pre-termination </w:t>
      </w:r>
      <w:r w:rsidRPr="00665BD0">
        <w:rPr>
          <w:rFonts w:ascii="Times New Roman" w:hAnsi="Times New Roman"/>
          <w:bCs/>
          <w:i/>
          <w:iCs/>
          <w:sz w:val="24"/>
          <w:szCs w:val="24"/>
        </w:rPr>
        <w:t xml:space="preserve">Loudermill </w:t>
      </w:r>
      <w:r w:rsidRPr="00665BD0">
        <w:rPr>
          <w:rFonts w:ascii="Times New Roman" w:hAnsi="Times New Roman"/>
          <w:bCs/>
          <w:sz w:val="24"/>
          <w:szCs w:val="24"/>
        </w:rPr>
        <w:t>hearing also inquired about police records which showed that in March 2011, police arrested Mr. Moss on charges of public intoxication and possession of a firearm while under the influence of alcohol. Police records also showed that in October 2012, a police officer responded to a domestic violence call during which Mrs. Moss stated that Mr. Moss had assaulted her</w:t>
      </w:r>
      <w:r w:rsidRPr="00665BD0">
        <w:rPr>
          <w:rFonts w:ascii="Times New Roman" w:hAnsi="Times New Roman"/>
          <w:sz w:val="24"/>
          <w:szCs w:val="24"/>
        </w:rPr>
        <w:t>.</w:t>
      </w:r>
    </w:p>
    <w:p w14:paraId="09BD970D" w14:textId="77777777" w:rsidR="0066298F" w:rsidRDefault="0066298F" w:rsidP="0066298F">
      <w:pPr>
        <w:pStyle w:val="NoSpacing"/>
        <w:ind w:left="720"/>
        <w:rPr>
          <w:rFonts w:ascii="Times New Roman" w:hAnsi="Times New Roman"/>
          <w:bCs/>
          <w:sz w:val="24"/>
          <w:szCs w:val="24"/>
        </w:rPr>
      </w:pPr>
    </w:p>
    <w:p w14:paraId="49587F1A" w14:textId="77777777" w:rsidR="0066298F" w:rsidRPr="00665BD0" w:rsidRDefault="0066298F" w:rsidP="0066298F">
      <w:pPr>
        <w:pStyle w:val="NoSpacing"/>
        <w:ind w:left="720"/>
        <w:rPr>
          <w:rFonts w:ascii="Times New Roman" w:hAnsi="Times New Roman"/>
          <w:b/>
          <w:bCs/>
          <w:sz w:val="24"/>
          <w:szCs w:val="24"/>
        </w:rPr>
      </w:pPr>
      <w:r w:rsidRPr="00665BD0">
        <w:rPr>
          <w:rFonts w:ascii="Times New Roman" w:hAnsi="Times New Roman"/>
          <w:bCs/>
          <w:sz w:val="24"/>
          <w:szCs w:val="24"/>
        </w:rPr>
        <w:t xml:space="preserve">“Based on the pre-termination </w:t>
      </w:r>
      <w:r w:rsidRPr="00665BD0">
        <w:rPr>
          <w:rFonts w:ascii="Times New Roman" w:hAnsi="Times New Roman"/>
          <w:bCs/>
          <w:i/>
          <w:iCs/>
          <w:sz w:val="24"/>
          <w:szCs w:val="24"/>
        </w:rPr>
        <w:t xml:space="preserve">Loudermill </w:t>
      </w:r>
      <w:r w:rsidRPr="00665BD0">
        <w:rPr>
          <w:rFonts w:ascii="Times New Roman" w:hAnsi="Times New Roman"/>
          <w:bCs/>
          <w:sz w:val="24"/>
          <w:szCs w:val="24"/>
        </w:rPr>
        <w:t xml:space="preserve">notice, the questions during the </w:t>
      </w:r>
      <w:r w:rsidRPr="00665BD0">
        <w:rPr>
          <w:rFonts w:ascii="Times New Roman" w:hAnsi="Times New Roman"/>
          <w:bCs/>
          <w:i/>
          <w:iCs/>
          <w:sz w:val="24"/>
          <w:szCs w:val="24"/>
        </w:rPr>
        <w:t xml:space="preserve">Loudermill </w:t>
      </w:r>
      <w:r w:rsidRPr="00665BD0">
        <w:rPr>
          <w:rFonts w:ascii="Times New Roman" w:hAnsi="Times New Roman"/>
          <w:bCs/>
          <w:sz w:val="24"/>
          <w:szCs w:val="24"/>
        </w:rPr>
        <w:t xml:space="preserve">hearing, and the contents of the termination letter, we conclude that Mr. Moss had sufficient notice that his conduct during the November 2013 altercation and his answers about the 2011 and 2012 incidents were reasons for his termination. Mr. Moss received adequate notice of the factual allegations against him and had an opportunity to prepare for his hearing before the Board. His contention that the Fire Department violated his due process rights lacks merit.” </w:t>
      </w:r>
      <w:hyperlink r:id="rId2764" w:history="1">
        <w:r w:rsidRPr="00665BD0">
          <w:rPr>
            <w:rStyle w:val="Hyperlink"/>
            <w:rFonts w:ascii="Times New Roman" w:hAnsi="Times New Roman"/>
            <w:b/>
            <w:sz w:val="24"/>
            <w:szCs w:val="24"/>
          </w:rPr>
          <w:t>http://www.tncourts.gov/sites/default/files/moss.paul_.opn_.pdf</w:t>
        </w:r>
      </w:hyperlink>
      <w:r w:rsidRPr="00665BD0">
        <w:rPr>
          <w:rFonts w:ascii="Times New Roman" w:hAnsi="Times New Roman"/>
          <w:bCs/>
          <w:sz w:val="24"/>
          <w:szCs w:val="24"/>
        </w:rPr>
        <w:t xml:space="preserve"> </w:t>
      </w:r>
    </w:p>
    <w:p w14:paraId="5722DFD7" w14:textId="6BD9C000" w:rsidR="0066298F" w:rsidRDefault="0066298F" w:rsidP="00F326E5">
      <w:pPr>
        <w:pStyle w:val="NoSpacing"/>
        <w:rPr>
          <w:rFonts w:ascii="Arial Black" w:hAnsi="Arial Black"/>
          <w:sz w:val="24"/>
          <w:szCs w:val="24"/>
        </w:rPr>
      </w:pPr>
    </w:p>
    <w:p w14:paraId="0BADF1DA" w14:textId="77777777" w:rsidR="0066298F" w:rsidRPr="00665BD0" w:rsidRDefault="0066298F" w:rsidP="0066298F">
      <w:pPr>
        <w:pStyle w:val="NoSpacing"/>
        <w:rPr>
          <w:rFonts w:ascii="Times New Roman" w:hAnsi="Times New Roman"/>
          <w:b/>
          <w:bCs/>
          <w:sz w:val="24"/>
          <w:szCs w:val="24"/>
        </w:rPr>
      </w:pPr>
      <w:r w:rsidRPr="00665BD0">
        <w:rPr>
          <w:rFonts w:ascii="Times New Roman" w:hAnsi="Times New Roman"/>
          <w:b/>
          <w:bCs/>
          <w:sz w:val="24"/>
          <w:szCs w:val="24"/>
        </w:rPr>
        <w:t xml:space="preserve">Legal Lessons Learned: The FD wisely </w:t>
      </w:r>
      <w:r>
        <w:rPr>
          <w:rFonts w:ascii="Times New Roman" w:hAnsi="Times New Roman"/>
          <w:b/>
          <w:bCs/>
          <w:sz w:val="24"/>
          <w:szCs w:val="24"/>
        </w:rPr>
        <w:t xml:space="preserve">issued the firefighter </w:t>
      </w:r>
      <w:r w:rsidRPr="00665BD0">
        <w:rPr>
          <w:rFonts w:ascii="Times New Roman" w:hAnsi="Times New Roman"/>
          <w:b/>
          <w:bCs/>
          <w:sz w:val="24"/>
          <w:szCs w:val="24"/>
        </w:rPr>
        <w:t xml:space="preserve">a written notice of potential violations of FD </w:t>
      </w:r>
      <w:proofErr w:type="gramStart"/>
      <w:r w:rsidRPr="00665BD0">
        <w:rPr>
          <w:rFonts w:ascii="Times New Roman" w:hAnsi="Times New Roman"/>
          <w:b/>
          <w:bCs/>
          <w:sz w:val="24"/>
          <w:szCs w:val="24"/>
        </w:rPr>
        <w:t>policies, and</w:t>
      </w:r>
      <w:proofErr w:type="gramEnd"/>
      <w:r w:rsidRPr="00665BD0">
        <w:rPr>
          <w:rFonts w:ascii="Times New Roman" w:hAnsi="Times New Roman"/>
          <w:b/>
          <w:bCs/>
          <w:sz w:val="24"/>
          <w:szCs w:val="24"/>
        </w:rPr>
        <w:t xml:space="preserve"> </w:t>
      </w:r>
      <w:r>
        <w:rPr>
          <w:rFonts w:ascii="Times New Roman" w:hAnsi="Times New Roman"/>
          <w:b/>
          <w:bCs/>
          <w:sz w:val="24"/>
          <w:szCs w:val="24"/>
        </w:rPr>
        <w:t xml:space="preserve">provided </w:t>
      </w:r>
      <w:r w:rsidRPr="00665BD0">
        <w:rPr>
          <w:rFonts w:ascii="Times New Roman" w:hAnsi="Times New Roman"/>
          <w:b/>
          <w:bCs/>
          <w:sz w:val="24"/>
          <w:szCs w:val="24"/>
        </w:rPr>
        <w:t xml:space="preserve">a </w:t>
      </w:r>
      <w:r w:rsidRPr="00665BD0">
        <w:rPr>
          <w:rFonts w:ascii="Times New Roman" w:hAnsi="Times New Roman"/>
          <w:b/>
          <w:bCs/>
          <w:i/>
          <w:iCs/>
          <w:sz w:val="24"/>
          <w:szCs w:val="24"/>
        </w:rPr>
        <w:t xml:space="preserve">Loudermill </w:t>
      </w:r>
      <w:r w:rsidRPr="00665BD0">
        <w:rPr>
          <w:rFonts w:ascii="Times New Roman" w:hAnsi="Times New Roman"/>
          <w:b/>
          <w:bCs/>
          <w:sz w:val="24"/>
          <w:szCs w:val="24"/>
        </w:rPr>
        <w:t xml:space="preserve">meeting with the Fire Chief and Deputy Chief.  </w:t>
      </w:r>
    </w:p>
    <w:p w14:paraId="2B23E381" w14:textId="77777777" w:rsidR="0066298F" w:rsidRPr="00665BD0" w:rsidRDefault="0066298F" w:rsidP="0066298F">
      <w:pPr>
        <w:pStyle w:val="NoSpacing"/>
        <w:tabs>
          <w:tab w:val="left" w:pos="3270"/>
        </w:tabs>
        <w:rPr>
          <w:rFonts w:ascii="Times New Roman" w:hAnsi="Times New Roman"/>
          <w:b/>
          <w:bCs/>
          <w:sz w:val="24"/>
          <w:szCs w:val="24"/>
        </w:rPr>
      </w:pPr>
    </w:p>
    <w:p w14:paraId="1ADBA541" w14:textId="77777777" w:rsidR="0066298F" w:rsidRPr="006B490F" w:rsidRDefault="0066298F" w:rsidP="0066298F">
      <w:pPr>
        <w:pStyle w:val="NoSpacing"/>
        <w:rPr>
          <w:b/>
          <w:bCs/>
          <w:sz w:val="24"/>
          <w:szCs w:val="24"/>
        </w:rPr>
      </w:pPr>
    </w:p>
    <w:p w14:paraId="6A3B0A77" w14:textId="77777777" w:rsidR="0066298F" w:rsidRDefault="0066298F" w:rsidP="00F326E5">
      <w:pPr>
        <w:pStyle w:val="NoSpacing"/>
        <w:rPr>
          <w:rFonts w:ascii="Arial Black" w:hAnsi="Arial Black"/>
          <w:sz w:val="24"/>
          <w:szCs w:val="24"/>
        </w:rPr>
      </w:pPr>
    </w:p>
    <w:p w14:paraId="3651EEF2" w14:textId="6C4D3D71" w:rsidR="0066298F" w:rsidRDefault="0066298F" w:rsidP="00F326E5">
      <w:pPr>
        <w:pStyle w:val="NoSpacing"/>
        <w:rPr>
          <w:rFonts w:ascii="Arial Black" w:hAnsi="Arial Black"/>
          <w:sz w:val="24"/>
          <w:szCs w:val="24"/>
        </w:rPr>
      </w:pPr>
      <w:r>
        <w:rPr>
          <w:rFonts w:ascii="Arial Black" w:hAnsi="Arial Black"/>
          <w:sz w:val="24"/>
          <w:szCs w:val="24"/>
        </w:rPr>
        <w:t>16-26</w:t>
      </w:r>
    </w:p>
    <w:p w14:paraId="7CEC38C2" w14:textId="0D4A5CD2" w:rsidR="0066298F" w:rsidRDefault="0066298F" w:rsidP="00F326E5">
      <w:pPr>
        <w:pStyle w:val="NoSpacing"/>
        <w:rPr>
          <w:rFonts w:ascii="Arial Black" w:hAnsi="Arial Black"/>
          <w:sz w:val="24"/>
          <w:szCs w:val="24"/>
        </w:rPr>
      </w:pPr>
    </w:p>
    <w:p w14:paraId="04AEEBCE" w14:textId="77777777" w:rsidR="0066298F" w:rsidRPr="00186EE7" w:rsidRDefault="0066298F" w:rsidP="0066298F">
      <w:pPr>
        <w:pStyle w:val="NoSpacing"/>
        <w:rPr>
          <w:rFonts w:ascii="Arial Black" w:hAnsi="Arial Black"/>
          <w:b/>
          <w:bCs/>
          <w:sz w:val="28"/>
          <w:szCs w:val="28"/>
        </w:rPr>
      </w:pPr>
      <w:r>
        <w:rPr>
          <w:rFonts w:ascii="Arial Black" w:hAnsi="Arial Black"/>
          <w:bCs/>
          <w:sz w:val="28"/>
          <w:szCs w:val="28"/>
        </w:rPr>
        <w:t>IN: FF REPEATEDLY LATE FOR WORK &amp; ABSENT WITHOUT LEAVE – PROGRESSIVE DISCIPLINE – TERMINATION UPHELD</w:t>
      </w:r>
    </w:p>
    <w:p w14:paraId="4598FECC" w14:textId="77777777" w:rsidR="0066298F" w:rsidRDefault="0066298F" w:rsidP="0066298F">
      <w:pPr>
        <w:pStyle w:val="NoSpacing"/>
        <w:rPr>
          <w:b/>
          <w:bCs/>
          <w:sz w:val="24"/>
          <w:szCs w:val="24"/>
        </w:rPr>
      </w:pPr>
    </w:p>
    <w:p w14:paraId="1973C475" w14:textId="77777777" w:rsidR="0066298F" w:rsidRPr="00665BD0" w:rsidRDefault="0066298F" w:rsidP="0066298F">
      <w:pPr>
        <w:pStyle w:val="NoSpacing"/>
        <w:rPr>
          <w:rFonts w:ascii="Times New Roman" w:hAnsi="Times New Roman"/>
          <w:b/>
          <w:bCs/>
          <w:sz w:val="24"/>
          <w:szCs w:val="24"/>
        </w:rPr>
      </w:pPr>
      <w:r w:rsidRPr="00665BD0">
        <w:rPr>
          <w:rFonts w:ascii="Times New Roman" w:hAnsi="Times New Roman"/>
          <w:bCs/>
          <w:sz w:val="24"/>
          <w:szCs w:val="24"/>
        </w:rPr>
        <w:t xml:space="preserve">On March 6, 2020, in </w:t>
      </w:r>
      <w:r w:rsidRPr="00665BD0">
        <w:rPr>
          <w:rFonts w:ascii="Times New Roman" w:hAnsi="Times New Roman"/>
          <w:bCs/>
          <w:sz w:val="24"/>
          <w:szCs w:val="24"/>
          <w:u w:val="single"/>
        </w:rPr>
        <w:t>Kevin D. Jones v. City of Muncie Fire Merit Commission</w:t>
      </w:r>
      <w:r w:rsidRPr="00665BD0">
        <w:rPr>
          <w:rFonts w:ascii="Times New Roman" w:hAnsi="Times New Roman"/>
          <w:bCs/>
          <w:sz w:val="24"/>
          <w:szCs w:val="24"/>
        </w:rPr>
        <w:t xml:space="preserve">, the Court of Appeals of Indiana, held (3 to 0) that the trial court properly upheld the Commission. </w:t>
      </w:r>
    </w:p>
    <w:p w14:paraId="09448902" w14:textId="77777777" w:rsidR="0066298F" w:rsidRPr="00665BD0" w:rsidRDefault="0066298F" w:rsidP="0066298F">
      <w:pPr>
        <w:pStyle w:val="NoSpacing"/>
        <w:rPr>
          <w:rFonts w:ascii="Times New Roman" w:hAnsi="Times New Roman"/>
          <w:b/>
          <w:bCs/>
          <w:sz w:val="24"/>
          <w:szCs w:val="24"/>
        </w:rPr>
      </w:pPr>
    </w:p>
    <w:p w14:paraId="2548D6AA" w14:textId="77777777" w:rsidR="0066298F" w:rsidRPr="00665BD0" w:rsidRDefault="0066298F" w:rsidP="0066298F">
      <w:pPr>
        <w:pStyle w:val="NoSpacing"/>
        <w:ind w:left="720"/>
        <w:rPr>
          <w:rFonts w:ascii="Times New Roman" w:hAnsi="Times New Roman"/>
          <w:b/>
          <w:bCs/>
          <w:sz w:val="24"/>
          <w:szCs w:val="24"/>
        </w:rPr>
      </w:pPr>
      <w:r w:rsidRPr="00665BD0">
        <w:rPr>
          <w:rFonts w:ascii="Times New Roman" w:hAnsi="Times New Roman"/>
          <w:bCs/>
          <w:sz w:val="24"/>
          <w:szCs w:val="24"/>
        </w:rPr>
        <w:t xml:space="preserve">“We, therefore, conclude that there was substantial, relevant evidence presented to support the decision by the Commission to terminate Johanns’s employment. The evidence presented was sufficient to lead a reasonable person to support the conclusion to terminate the employment of Johanns, and the decision was not arbitrary and capricious. The trial court did not err in upholding the Commission’s decision. *** The Commission found that Johanns’s overall performance as a firefighter was poor, that he neglected his duties as a firefighter, disobeyed orders, and was absent without leave and concluded that Johanns’s employment should be terminated.” </w:t>
      </w:r>
      <w:hyperlink r:id="rId2765" w:history="1">
        <w:r w:rsidRPr="00665BD0">
          <w:rPr>
            <w:rStyle w:val="Hyperlink"/>
            <w:rFonts w:ascii="Times New Roman" w:hAnsi="Times New Roman"/>
            <w:b/>
            <w:sz w:val="24"/>
            <w:szCs w:val="24"/>
          </w:rPr>
          <w:t>https://www.in.gov/judiciary/opinions/pdf/03062003jsk.pdf</w:t>
        </w:r>
      </w:hyperlink>
      <w:r w:rsidRPr="00665BD0">
        <w:rPr>
          <w:rFonts w:ascii="Times New Roman" w:hAnsi="Times New Roman"/>
          <w:bCs/>
          <w:sz w:val="24"/>
          <w:szCs w:val="24"/>
        </w:rPr>
        <w:t xml:space="preserve"> </w:t>
      </w:r>
    </w:p>
    <w:p w14:paraId="60A80EB8" w14:textId="77777777" w:rsidR="0066298F" w:rsidRDefault="0066298F" w:rsidP="0066298F">
      <w:pPr>
        <w:pStyle w:val="NoSpacing"/>
        <w:rPr>
          <w:rFonts w:ascii="Times New Roman" w:hAnsi="Times New Roman"/>
          <w:b/>
          <w:bCs/>
          <w:sz w:val="24"/>
          <w:szCs w:val="24"/>
        </w:rPr>
      </w:pPr>
    </w:p>
    <w:p w14:paraId="00FEFEDF" w14:textId="3AC14E23" w:rsidR="0066298F" w:rsidRPr="00665BD0" w:rsidRDefault="0066298F" w:rsidP="0066298F">
      <w:pPr>
        <w:pStyle w:val="NoSpacing"/>
        <w:rPr>
          <w:rFonts w:ascii="Times New Roman" w:hAnsi="Times New Roman"/>
          <w:b/>
          <w:bCs/>
          <w:sz w:val="24"/>
          <w:szCs w:val="24"/>
        </w:rPr>
      </w:pPr>
      <w:r w:rsidRPr="00665BD0">
        <w:rPr>
          <w:rFonts w:ascii="Times New Roman" w:hAnsi="Times New Roman"/>
          <w:b/>
          <w:bCs/>
          <w:sz w:val="24"/>
          <w:szCs w:val="24"/>
        </w:rPr>
        <w:t xml:space="preserve">Legal Lessons Learned: The FD followed progressive </w:t>
      </w:r>
      <w:proofErr w:type="gramStart"/>
      <w:r w:rsidRPr="00665BD0">
        <w:rPr>
          <w:rFonts w:ascii="Times New Roman" w:hAnsi="Times New Roman"/>
          <w:b/>
          <w:bCs/>
          <w:sz w:val="24"/>
          <w:szCs w:val="24"/>
        </w:rPr>
        <w:t>discipline,</w:t>
      </w:r>
      <w:r w:rsidR="00B0089C">
        <w:rPr>
          <w:rFonts w:ascii="Times New Roman" w:hAnsi="Times New Roman"/>
          <w:b/>
          <w:bCs/>
          <w:sz w:val="24"/>
          <w:szCs w:val="24"/>
        </w:rPr>
        <w:t xml:space="preserve">  </w:t>
      </w:r>
      <w:r w:rsidRPr="00665BD0">
        <w:rPr>
          <w:rFonts w:ascii="Times New Roman" w:hAnsi="Times New Roman"/>
          <w:b/>
          <w:bCs/>
          <w:sz w:val="24"/>
          <w:szCs w:val="24"/>
        </w:rPr>
        <w:t>and</w:t>
      </w:r>
      <w:proofErr w:type="gramEnd"/>
      <w:r w:rsidRPr="00665BD0">
        <w:rPr>
          <w:rFonts w:ascii="Times New Roman" w:hAnsi="Times New Roman"/>
          <w:b/>
          <w:bCs/>
          <w:sz w:val="24"/>
          <w:szCs w:val="24"/>
        </w:rPr>
        <w:t xml:space="preserve"> documented </w:t>
      </w:r>
      <w:r>
        <w:rPr>
          <w:rFonts w:ascii="Times New Roman" w:hAnsi="Times New Roman"/>
          <w:b/>
          <w:bCs/>
          <w:sz w:val="24"/>
          <w:szCs w:val="24"/>
        </w:rPr>
        <w:t xml:space="preserve">the </w:t>
      </w:r>
      <w:r w:rsidRPr="00665BD0">
        <w:rPr>
          <w:rFonts w:ascii="Times New Roman" w:hAnsi="Times New Roman"/>
          <w:b/>
          <w:bCs/>
          <w:sz w:val="24"/>
          <w:szCs w:val="24"/>
        </w:rPr>
        <w:t xml:space="preserve">poor performance issues.   </w:t>
      </w:r>
    </w:p>
    <w:p w14:paraId="78D7AA58" w14:textId="77777777" w:rsidR="0066298F" w:rsidRDefault="0066298F" w:rsidP="00F326E5">
      <w:pPr>
        <w:pStyle w:val="NoSpacing"/>
        <w:rPr>
          <w:rFonts w:ascii="Arial Black" w:hAnsi="Arial Black"/>
          <w:sz w:val="24"/>
          <w:szCs w:val="24"/>
        </w:rPr>
      </w:pPr>
    </w:p>
    <w:p w14:paraId="7A92CDB5" w14:textId="5BD66274" w:rsidR="0066298F" w:rsidRDefault="0066298F" w:rsidP="00F326E5">
      <w:pPr>
        <w:pStyle w:val="NoSpacing"/>
        <w:rPr>
          <w:rFonts w:ascii="Arial Black" w:hAnsi="Arial Black"/>
          <w:sz w:val="24"/>
          <w:szCs w:val="24"/>
        </w:rPr>
      </w:pPr>
      <w:r>
        <w:rPr>
          <w:rFonts w:ascii="Arial Black" w:hAnsi="Arial Black"/>
          <w:sz w:val="24"/>
          <w:szCs w:val="24"/>
        </w:rPr>
        <w:t>16-25</w:t>
      </w:r>
    </w:p>
    <w:p w14:paraId="4A8BDF0C" w14:textId="72F8A034" w:rsidR="0066298F" w:rsidRDefault="0066298F" w:rsidP="00F326E5">
      <w:pPr>
        <w:pStyle w:val="NoSpacing"/>
        <w:rPr>
          <w:rFonts w:ascii="Arial Black" w:hAnsi="Arial Black"/>
          <w:sz w:val="24"/>
          <w:szCs w:val="24"/>
        </w:rPr>
      </w:pPr>
    </w:p>
    <w:p w14:paraId="04AE90C4" w14:textId="77777777" w:rsidR="0066298F" w:rsidRPr="005D736B" w:rsidRDefault="0066298F" w:rsidP="0066298F">
      <w:pPr>
        <w:pStyle w:val="NoSpacing"/>
        <w:rPr>
          <w:rFonts w:ascii="Arial Black" w:hAnsi="Arial Black"/>
          <w:sz w:val="28"/>
          <w:szCs w:val="28"/>
        </w:rPr>
      </w:pPr>
      <w:r w:rsidRPr="005D736B">
        <w:rPr>
          <w:rFonts w:ascii="Arial Black" w:hAnsi="Arial Black"/>
          <w:sz w:val="28"/>
          <w:szCs w:val="28"/>
        </w:rPr>
        <w:lastRenderedPageBreak/>
        <w:t xml:space="preserve">AR: </w:t>
      </w:r>
      <w:r>
        <w:rPr>
          <w:rFonts w:ascii="Arial Black" w:hAnsi="Arial Black"/>
          <w:sz w:val="28"/>
          <w:szCs w:val="28"/>
        </w:rPr>
        <w:t xml:space="preserve">PROB. </w:t>
      </w:r>
      <w:r w:rsidRPr="005D736B">
        <w:rPr>
          <w:rFonts w:ascii="Arial Black" w:hAnsi="Arial Black"/>
          <w:sz w:val="28"/>
          <w:szCs w:val="28"/>
        </w:rPr>
        <w:t>FF</w:t>
      </w:r>
      <w:r>
        <w:rPr>
          <w:rFonts w:ascii="Arial Black" w:hAnsi="Arial Black"/>
          <w:sz w:val="28"/>
          <w:szCs w:val="28"/>
        </w:rPr>
        <w:t xml:space="preserve"> – WARNED OF POOR JOB PERFORMANCE – FIRED – VERY WELL DOCUMENTED – </w:t>
      </w:r>
      <w:r w:rsidRPr="005D736B">
        <w:rPr>
          <w:rFonts w:ascii="Arial Black" w:hAnsi="Arial Black"/>
          <w:sz w:val="28"/>
          <w:szCs w:val="28"/>
        </w:rPr>
        <w:t>NO</w:t>
      </w:r>
      <w:r>
        <w:rPr>
          <w:rFonts w:ascii="Arial Black" w:hAnsi="Arial Black"/>
          <w:sz w:val="28"/>
          <w:szCs w:val="28"/>
        </w:rPr>
        <w:t xml:space="preserve"> RETALIATION FOR HIS WORK COMP CLAIM</w:t>
      </w:r>
      <w:r w:rsidRPr="005D736B">
        <w:rPr>
          <w:rFonts w:ascii="Arial Black" w:hAnsi="Arial Black"/>
          <w:sz w:val="28"/>
          <w:szCs w:val="28"/>
        </w:rPr>
        <w:t xml:space="preserve"> </w:t>
      </w:r>
      <w:r>
        <w:rPr>
          <w:rFonts w:ascii="Arial Black" w:hAnsi="Arial Black"/>
          <w:sz w:val="28"/>
          <w:szCs w:val="28"/>
        </w:rPr>
        <w:t xml:space="preserve"> </w:t>
      </w:r>
    </w:p>
    <w:p w14:paraId="37F46574" w14:textId="77777777" w:rsidR="0066298F" w:rsidRDefault="0066298F" w:rsidP="0066298F">
      <w:pPr>
        <w:pStyle w:val="NoSpacing"/>
      </w:pPr>
    </w:p>
    <w:p w14:paraId="35E4DA19" w14:textId="77777777" w:rsidR="0066298F" w:rsidRPr="00665BD0" w:rsidRDefault="0066298F" w:rsidP="0066298F">
      <w:pPr>
        <w:pStyle w:val="NoSpacing"/>
        <w:rPr>
          <w:rFonts w:ascii="Times New Roman" w:hAnsi="Times New Roman"/>
          <w:b/>
          <w:bCs/>
          <w:sz w:val="24"/>
          <w:szCs w:val="24"/>
        </w:rPr>
      </w:pPr>
      <w:r w:rsidRPr="00665BD0">
        <w:rPr>
          <w:rFonts w:ascii="Times New Roman" w:hAnsi="Times New Roman"/>
          <w:bCs/>
          <w:sz w:val="24"/>
          <w:szCs w:val="24"/>
        </w:rPr>
        <w:t xml:space="preserve">On March 5, 2020, in </w:t>
      </w:r>
      <w:r w:rsidRPr="00665BD0">
        <w:rPr>
          <w:rFonts w:ascii="Times New Roman" w:hAnsi="Times New Roman"/>
          <w:bCs/>
          <w:sz w:val="24"/>
          <w:szCs w:val="24"/>
          <w:u w:val="single"/>
        </w:rPr>
        <w:t>Michael Burroughs v. City of Tucson</w:t>
      </w:r>
      <w:r w:rsidRPr="00665BD0">
        <w:rPr>
          <w:rFonts w:ascii="Times New Roman" w:hAnsi="Times New Roman"/>
          <w:bCs/>
          <w:sz w:val="24"/>
          <w:szCs w:val="24"/>
        </w:rPr>
        <w:t xml:space="preserve">, the U.S. Court of Appeals for the Ninth Circuit (San Francisco), held (3 to 0) in an unpublished decision that the trial court properly granted summary judgment to the City.  He was repeated informed of his “Job </w:t>
      </w:r>
      <w:proofErr w:type="gramStart"/>
      <w:r w:rsidRPr="00665BD0">
        <w:rPr>
          <w:rFonts w:ascii="Times New Roman" w:hAnsi="Times New Roman"/>
          <w:bCs/>
          <w:sz w:val="24"/>
          <w:szCs w:val="24"/>
        </w:rPr>
        <w:t>In</w:t>
      </w:r>
      <w:proofErr w:type="gramEnd"/>
      <w:r w:rsidRPr="00665BD0">
        <w:rPr>
          <w:rFonts w:ascii="Times New Roman" w:hAnsi="Times New Roman"/>
          <w:bCs/>
          <w:sz w:val="24"/>
          <w:szCs w:val="24"/>
        </w:rPr>
        <w:t xml:space="preserve"> Jeopardy” status after barely graduating from the Training Academy. For example: “On or about October 19, 2015, Plaintiff was given TFD's Performance Evaluation for Probationary Firefighter. Plaintiff's evaluation indicated that he needed improvement on eight (8) out of seventeen (17) categories for which he was provided feedback.”  He was terminated on November 10, 2015 [don’t know when he filed Workers Comp claim.]</w:t>
      </w:r>
    </w:p>
    <w:p w14:paraId="278FCB73" w14:textId="77777777" w:rsidR="0066298F" w:rsidRPr="00665BD0" w:rsidRDefault="0066298F" w:rsidP="0066298F">
      <w:pPr>
        <w:pStyle w:val="NoSpacing"/>
        <w:rPr>
          <w:rFonts w:ascii="Times New Roman" w:hAnsi="Times New Roman"/>
          <w:b/>
          <w:bCs/>
          <w:sz w:val="24"/>
          <w:szCs w:val="24"/>
        </w:rPr>
      </w:pPr>
    </w:p>
    <w:p w14:paraId="5A1EC3A1" w14:textId="77777777" w:rsidR="0066298F" w:rsidRDefault="0066298F" w:rsidP="0066298F">
      <w:pPr>
        <w:pStyle w:val="NoSpacing"/>
        <w:ind w:left="720"/>
        <w:rPr>
          <w:rFonts w:ascii="Times New Roman" w:hAnsi="Times New Roman"/>
          <w:bCs/>
          <w:sz w:val="24"/>
          <w:szCs w:val="24"/>
        </w:rPr>
      </w:pPr>
      <w:r w:rsidRPr="00665BD0">
        <w:rPr>
          <w:rFonts w:ascii="Times New Roman" w:hAnsi="Times New Roman"/>
          <w:bCs/>
          <w:sz w:val="24"/>
          <w:szCs w:val="24"/>
        </w:rPr>
        <w:t>“Michael Burroughs appeals the adverse summary judgment in favor of the City of Tucson on his claims of disability discrimination in violation of Title I of the Americans with Disabilities Act,42 U.S.C.§§12111–</w:t>
      </w:r>
    </w:p>
    <w:p w14:paraId="6943D0F3" w14:textId="77777777" w:rsidR="0066298F" w:rsidRPr="00665BD0" w:rsidRDefault="0066298F" w:rsidP="0066298F">
      <w:pPr>
        <w:pStyle w:val="NoSpacing"/>
        <w:ind w:left="720"/>
        <w:rPr>
          <w:rFonts w:ascii="Times New Roman" w:hAnsi="Times New Roman"/>
          <w:b/>
          <w:bCs/>
          <w:sz w:val="24"/>
          <w:szCs w:val="24"/>
        </w:rPr>
      </w:pPr>
      <w:r w:rsidRPr="00665BD0">
        <w:rPr>
          <w:rFonts w:ascii="Times New Roman" w:hAnsi="Times New Roman"/>
          <w:bCs/>
          <w:sz w:val="24"/>
          <w:szCs w:val="24"/>
        </w:rPr>
        <w:t>12117 (“ADA”), and retaliation for exercising his workers’ compensation rights in violation of the Arizona Employment Protection Act, A.R.S.§23-1501(A)(3)(c)(iii). We have jurisdiction under 28 U.S.C.§1291, and we affirm.</w:t>
      </w:r>
    </w:p>
    <w:p w14:paraId="69B3F5D5" w14:textId="77777777" w:rsidR="0066298F" w:rsidRPr="00665BD0" w:rsidRDefault="0066298F" w:rsidP="0066298F">
      <w:pPr>
        <w:pStyle w:val="NoSpacing"/>
        <w:ind w:left="720"/>
        <w:rPr>
          <w:rFonts w:ascii="Times New Roman" w:hAnsi="Times New Roman"/>
          <w:b/>
          <w:bCs/>
          <w:sz w:val="24"/>
          <w:szCs w:val="24"/>
        </w:rPr>
      </w:pPr>
    </w:p>
    <w:p w14:paraId="37EADA60" w14:textId="77777777" w:rsidR="0066298F" w:rsidRPr="00665BD0" w:rsidRDefault="0066298F" w:rsidP="0066298F">
      <w:pPr>
        <w:pStyle w:val="NoSpacing"/>
        <w:ind w:left="720"/>
        <w:rPr>
          <w:rFonts w:ascii="Times New Roman" w:hAnsi="Times New Roman"/>
          <w:b/>
          <w:bCs/>
          <w:sz w:val="24"/>
          <w:szCs w:val="24"/>
        </w:rPr>
      </w:pPr>
      <w:r w:rsidRPr="00665BD0">
        <w:rPr>
          <w:rFonts w:ascii="Times New Roman" w:hAnsi="Times New Roman"/>
          <w:bCs/>
          <w:sz w:val="24"/>
          <w:szCs w:val="24"/>
        </w:rPr>
        <w:t xml:space="preserve">When Burroughs hurt his back at the fire academy, a </w:t>
      </w:r>
      <w:proofErr w:type="gramStart"/>
      <w:r w:rsidRPr="00665BD0">
        <w:rPr>
          <w:rFonts w:ascii="Times New Roman" w:hAnsi="Times New Roman"/>
          <w:bCs/>
          <w:sz w:val="24"/>
          <w:szCs w:val="24"/>
        </w:rPr>
        <w:t>City</w:t>
      </w:r>
      <w:proofErr w:type="gramEnd"/>
      <w:r w:rsidRPr="00665BD0">
        <w:rPr>
          <w:rFonts w:ascii="Times New Roman" w:hAnsi="Times New Roman"/>
          <w:bCs/>
          <w:sz w:val="24"/>
          <w:szCs w:val="24"/>
        </w:rPr>
        <w:t xml:space="preserve"> physician evaluated his injury, diagnosed him with a ‘lumbar strain,’ and released him back to work without restriction. Another City physician reached the same conclusion two days later when Burroughs complained of difficulty sitting. And finally, after yet another medical evaluation deeming him fit for duty, Burroughs graduated from the fire academy and started working at his first station. Faced with these medical opinions based on physical examinations, Burroughs’s only contrary evidence is his own conclusory self-assessment. Not quite a genuine factual dispute.”</w:t>
      </w:r>
    </w:p>
    <w:p w14:paraId="47C8613A" w14:textId="77777777" w:rsidR="0066298F" w:rsidRPr="00665BD0" w:rsidRDefault="0066298F" w:rsidP="0066298F">
      <w:pPr>
        <w:pStyle w:val="NoSpacing"/>
        <w:ind w:left="720"/>
        <w:rPr>
          <w:rFonts w:ascii="Times New Roman" w:hAnsi="Times New Roman"/>
          <w:b/>
          <w:bCs/>
          <w:sz w:val="24"/>
          <w:szCs w:val="24"/>
        </w:rPr>
      </w:pPr>
      <w:hyperlink r:id="rId2766" w:history="1">
        <w:r w:rsidRPr="00665BD0">
          <w:rPr>
            <w:rStyle w:val="Hyperlink"/>
            <w:rFonts w:ascii="Times New Roman" w:hAnsi="Times New Roman"/>
            <w:b/>
            <w:sz w:val="24"/>
            <w:szCs w:val="24"/>
          </w:rPr>
          <w:t>https://cases.justia.com/federal/appellate-courts/ca9/18-16994/18-16994-2020-03-05.pdf?ts=1583442068</w:t>
        </w:r>
      </w:hyperlink>
      <w:r w:rsidRPr="00665BD0">
        <w:rPr>
          <w:rFonts w:ascii="Times New Roman" w:hAnsi="Times New Roman"/>
          <w:bCs/>
          <w:sz w:val="24"/>
          <w:szCs w:val="24"/>
        </w:rPr>
        <w:t xml:space="preserve"> </w:t>
      </w:r>
    </w:p>
    <w:p w14:paraId="4726EAB8" w14:textId="6D46CB6E" w:rsidR="0066298F" w:rsidRDefault="0066298F" w:rsidP="00F326E5">
      <w:pPr>
        <w:pStyle w:val="NoSpacing"/>
        <w:rPr>
          <w:rFonts w:ascii="Arial Black" w:hAnsi="Arial Black"/>
          <w:sz w:val="24"/>
          <w:szCs w:val="24"/>
        </w:rPr>
      </w:pPr>
    </w:p>
    <w:p w14:paraId="10CDC48E" w14:textId="77777777" w:rsidR="0066298F" w:rsidRDefault="0066298F" w:rsidP="0066298F">
      <w:pPr>
        <w:pStyle w:val="NoSpacing"/>
        <w:rPr>
          <w:rFonts w:ascii="Times New Roman" w:eastAsia="Times New Roman" w:hAnsi="Times New Roman"/>
          <w:b/>
          <w:bCs/>
          <w:sz w:val="24"/>
          <w:szCs w:val="24"/>
        </w:rPr>
      </w:pPr>
      <w:r w:rsidRPr="00665BD0">
        <w:rPr>
          <w:rFonts w:ascii="Times New Roman" w:hAnsi="Times New Roman"/>
          <w:b/>
          <w:bCs/>
          <w:sz w:val="24"/>
          <w:szCs w:val="24"/>
        </w:rPr>
        <w:t xml:space="preserve">Legal Lessons Learned: The FD did a great job documenting </w:t>
      </w:r>
      <w:proofErr w:type="gramStart"/>
      <w:r w:rsidRPr="00665BD0">
        <w:rPr>
          <w:rFonts w:ascii="Times New Roman" w:hAnsi="Times New Roman"/>
          <w:b/>
          <w:bCs/>
          <w:sz w:val="24"/>
          <w:szCs w:val="24"/>
        </w:rPr>
        <w:t xml:space="preserve">the </w:t>
      </w:r>
      <w:r>
        <w:rPr>
          <w:rFonts w:ascii="Times New Roman" w:hAnsi="Times New Roman"/>
          <w:b/>
          <w:bCs/>
          <w:sz w:val="24"/>
          <w:szCs w:val="24"/>
        </w:rPr>
        <w:t>poor</w:t>
      </w:r>
      <w:proofErr w:type="gramEnd"/>
      <w:r>
        <w:rPr>
          <w:rFonts w:ascii="Times New Roman" w:hAnsi="Times New Roman"/>
          <w:b/>
          <w:bCs/>
          <w:sz w:val="24"/>
          <w:szCs w:val="24"/>
        </w:rPr>
        <w:t xml:space="preserve"> work performance. </w:t>
      </w:r>
    </w:p>
    <w:p w14:paraId="4FF7213D" w14:textId="77777777" w:rsidR="0066298F" w:rsidRDefault="0066298F" w:rsidP="00F326E5">
      <w:pPr>
        <w:pStyle w:val="NoSpacing"/>
        <w:rPr>
          <w:rFonts w:ascii="Arial Black" w:hAnsi="Arial Black"/>
          <w:sz w:val="24"/>
          <w:szCs w:val="24"/>
        </w:rPr>
      </w:pPr>
    </w:p>
    <w:p w14:paraId="7B8856C3" w14:textId="77777777" w:rsidR="0066298F" w:rsidRDefault="0066298F" w:rsidP="00F326E5">
      <w:pPr>
        <w:pStyle w:val="NoSpacing"/>
        <w:rPr>
          <w:rFonts w:ascii="Arial Black" w:hAnsi="Arial Black"/>
          <w:sz w:val="24"/>
          <w:szCs w:val="24"/>
        </w:rPr>
      </w:pPr>
    </w:p>
    <w:p w14:paraId="6D513E6E" w14:textId="6CEA81F4" w:rsidR="007A1E7A" w:rsidRDefault="007A1E7A" w:rsidP="00F326E5">
      <w:pPr>
        <w:pStyle w:val="NoSpacing"/>
        <w:rPr>
          <w:rFonts w:ascii="Arial Black" w:hAnsi="Arial Black"/>
          <w:sz w:val="24"/>
          <w:szCs w:val="24"/>
        </w:rPr>
      </w:pPr>
      <w:r>
        <w:rPr>
          <w:rFonts w:ascii="Arial Black" w:hAnsi="Arial Black"/>
          <w:sz w:val="24"/>
          <w:szCs w:val="24"/>
        </w:rPr>
        <w:t>16-24</w:t>
      </w:r>
    </w:p>
    <w:p w14:paraId="62B045D2" w14:textId="2D785B8D" w:rsidR="007A1E7A" w:rsidRDefault="007A1E7A" w:rsidP="00F326E5">
      <w:pPr>
        <w:pStyle w:val="NoSpacing"/>
        <w:rPr>
          <w:rFonts w:ascii="Arial Black" w:hAnsi="Arial Black"/>
          <w:sz w:val="24"/>
          <w:szCs w:val="24"/>
        </w:rPr>
      </w:pPr>
    </w:p>
    <w:p w14:paraId="73E22A4B" w14:textId="77777777" w:rsidR="007A1E7A" w:rsidRPr="00C34E57" w:rsidRDefault="007A1E7A" w:rsidP="007A1E7A">
      <w:pPr>
        <w:pStyle w:val="NoSpacing"/>
        <w:rPr>
          <w:rFonts w:ascii="Arial Black" w:hAnsi="Arial Black"/>
          <w:sz w:val="28"/>
          <w:szCs w:val="28"/>
        </w:rPr>
      </w:pPr>
      <w:r w:rsidRPr="00C34E57">
        <w:rPr>
          <w:rFonts w:ascii="Arial Black" w:hAnsi="Arial Black"/>
          <w:sz w:val="28"/>
          <w:szCs w:val="28"/>
        </w:rPr>
        <w:t xml:space="preserve">MI: </w:t>
      </w:r>
      <w:r>
        <w:rPr>
          <w:rFonts w:ascii="Arial Black" w:hAnsi="Arial Black"/>
          <w:sz w:val="28"/>
          <w:szCs w:val="28"/>
        </w:rPr>
        <w:t>POLICE CHIEF FIRED – MERGER TWO 911 SYSTEMS - POSTED TAXPAYERS “GETTING THE SHAFT” –– LAWSUIT TO PROCEED</w:t>
      </w:r>
    </w:p>
    <w:p w14:paraId="467D7DA6" w14:textId="77777777" w:rsidR="007A1E7A" w:rsidRPr="004B30C8" w:rsidRDefault="007A1E7A" w:rsidP="007A1E7A">
      <w:pPr>
        <w:spacing w:before="100" w:beforeAutospacing="1" w:after="100" w:afterAutospacing="1" w:line="240" w:lineRule="auto"/>
        <w:rPr>
          <w:rFonts w:ascii="Times New Roman" w:hAnsi="Times New Roman"/>
          <w:sz w:val="24"/>
          <w:szCs w:val="24"/>
        </w:rPr>
      </w:pPr>
      <w:r w:rsidRPr="004B30C8">
        <w:rPr>
          <w:rFonts w:ascii="Times New Roman" w:eastAsia="Times New Roman" w:hAnsi="Times New Roman"/>
          <w:sz w:val="24"/>
          <w:szCs w:val="24"/>
        </w:rPr>
        <w:t xml:space="preserve">On March 2, 2020, in </w:t>
      </w:r>
      <w:r w:rsidRPr="004B30C8">
        <w:rPr>
          <w:rFonts w:ascii="Times New Roman" w:eastAsia="Times New Roman" w:hAnsi="Times New Roman"/>
          <w:sz w:val="24"/>
          <w:szCs w:val="24"/>
          <w:u w:val="single"/>
        </w:rPr>
        <w:t>Chad Hayse v. City of Melvindale</w:t>
      </w:r>
      <w:r w:rsidRPr="004B30C8">
        <w:rPr>
          <w:rFonts w:ascii="Times New Roman" w:eastAsia="Times New Roman" w:hAnsi="Times New Roman"/>
          <w:sz w:val="24"/>
          <w:szCs w:val="24"/>
        </w:rPr>
        <w:t xml:space="preserve">, U.S. District Court Judge </w:t>
      </w:r>
      <w:r w:rsidRPr="004B30C8">
        <w:rPr>
          <w:rFonts w:ascii="Times New Roman" w:hAnsi="Times New Roman"/>
          <w:sz w:val="24"/>
          <w:szCs w:val="24"/>
        </w:rPr>
        <w:t xml:space="preserve">Linda V. Parker, Eastern District of Michigan (Southern Division) denied the City’s motion for summary judgment. The City fired the Police Chief after he posted comments on Facebook page in opposition to the merger of the City’s 911 dispatch with the City of Dearborn’s dispatch; hot issue on which the City Council of Melvindale was going to soon vote. </w:t>
      </w:r>
    </w:p>
    <w:p w14:paraId="574A33A0" w14:textId="77777777" w:rsidR="007A1E7A" w:rsidRPr="004B30C8" w:rsidRDefault="007A1E7A" w:rsidP="007A1E7A">
      <w:pPr>
        <w:pStyle w:val="NoSpacing"/>
        <w:ind w:left="720"/>
        <w:rPr>
          <w:rFonts w:ascii="Times New Roman" w:eastAsia="Times New Roman" w:hAnsi="Times New Roman"/>
          <w:sz w:val="24"/>
          <w:szCs w:val="24"/>
        </w:rPr>
      </w:pPr>
      <w:r w:rsidRPr="004B30C8">
        <w:rPr>
          <w:rFonts w:ascii="Times New Roman" w:hAnsi="Times New Roman"/>
          <w:bCs/>
          <w:sz w:val="24"/>
          <w:szCs w:val="24"/>
        </w:rPr>
        <w:t xml:space="preserve">“In 2016, City Council readied itself to vote on the proposed merger of Melvindale's and the City of Dearborn's police dispatch systems. Discussions and debates abounded in public meetings, several of which were held over a two-month period. *** </w:t>
      </w:r>
      <w:r w:rsidRPr="004B30C8">
        <w:rPr>
          <w:rFonts w:ascii="Times New Roman" w:eastAsia="Times New Roman" w:hAnsi="Times New Roman"/>
          <w:bCs/>
          <w:sz w:val="24"/>
          <w:szCs w:val="24"/>
        </w:rPr>
        <w:t>Based on the record, the Court is unable to conclude that Defendants reasonably predicted that the ‘shaft’ comment would cause disruption within the police department. One reason is that the "shaft" comment did not contain ‘particularly inflammatory</w:t>
      </w:r>
      <w:proofErr w:type="gramStart"/>
      <w:r w:rsidRPr="004B30C8">
        <w:rPr>
          <w:rFonts w:ascii="Times New Roman" w:eastAsia="Times New Roman" w:hAnsi="Times New Roman"/>
          <w:bCs/>
          <w:sz w:val="24"/>
          <w:szCs w:val="24"/>
        </w:rPr>
        <w:t xml:space="preserve">,’ </w:t>
      </w:r>
      <w:r w:rsidRPr="004B30C8">
        <w:rPr>
          <w:rFonts w:ascii="Times New Roman" w:eastAsia="Times New Roman" w:hAnsi="Times New Roman"/>
          <w:bCs/>
          <w:sz w:val="24"/>
          <w:szCs w:val="24"/>
        </w:rPr>
        <w:lastRenderedPageBreak/>
        <w:t>‘</w:t>
      </w:r>
      <w:proofErr w:type="gramEnd"/>
      <w:r w:rsidRPr="004B30C8">
        <w:rPr>
          <w:rFonts w:ascii="Times New Roman" w:eastAsia="Times New Roman" w:hAnsi="Times New Roman"/>
          <w:bCs/>
          <w:sz w:val="24"/>
          <w:szCs w:val="24"/>
        </w:rPr>
        <w:t xml:space="preserve">abusive,’ or ‘exceptionally insulting’ language that could stir controversy among members of the police department. </w:t>
      </w:r>
      <w:r w:rsidRPr="004B30C8">
        <w:rPr>
          <w:rFonts w:ascii="Times New Roman" w:eastAsia="Times New Roman" w:hAnsi="Times New Roman"/>
          <w:bCs/>
          <w:i/>
          <w:iCs/>
          <w:sz w:val="24"/>
          <w:szCs w:val="24"/>
        </w:rPr>
        <w:t>See Rodgers</w:t>
      </w:r>
      <w:r w:rsidRPr="004B30C8">
        <w:rPr>
          <w:rFonts w:ascii="Times New Roman" w:eastAsia="Times New Roman" w:hAnsi="Times New Roman"/>
          <w:bCs/>
          <w:sz w:val="24"/>
          <w:szCs w:val="24"/>
        </w:rPr>
        <w:t xml:space="preserve">, 344 F.3d at 601. Another reason is that the public's reaction to the ‘shaft’ comment, as detailed in Defendants' arguments, provides little insight into what predictions Defendants made about how the comment would disrupt the police department. Accordingly, the Court finds that the balancing test weighs in Plaintiff's favor and the ‘shaft’ comment was constitutionally protected activity.” </w:t>
      </w:r>
      <w:hyperlink r:id="rId2767" w:history="1">
        <w:r w:rsidRPr="004B30C8">
          <w:rPr>
            <w:rStyle w:val="Hyperlink"/>
            <w:rFonts w:ascii="Times New Roman" w:eastAsia="Times New Roman" w:hAnsi="Times New Roman"/>
            <w:bCs/>
            <w:sz w:val="24"/>
            <w:szCs w:val="24"/>
          </w:rPr>
          <w:t>https://public.fastcase.com/Wl%2B2t%2BeVuI35%2FN70vAMFZsbNGaY2qJ5U2CI4LnVCoihkt6wfuyNvOKbs8su8KP1J</w:t>
        </w:r>
      </w:hyperlink>
      <w:r w:rsidRPr="004B30C8">
        <w:rPr>
          <w:rFonts w:ascii="Times New Roman" w:eastAsia="Times New Roman" w:hAnsi="Times New Roman"/>
          <w:sz w:val="24"/>
          <w:szCs w:val="24"/>
        </w:rPr>
        <w:t xml:space="preserve"> </w:t>
      </w:r>
    </w:p>
    <w:p w14:paraId="7D5D0051" w14:textId="511A75DF" w:rsidR="007A1E7A" w:rsidRDefault="007A1E7A" w:rsidP="00F326E5">
      <w:pPr>
        <w:pStyle w:val="NoSpacing"/>
        <w:rPr>
          <w:rFonts w:ascii="Arial Black" w:hAnsi="Arial Black"/>
          <w:sz w:val="24"/>
          <w:szCs w:val="24"/>
        </w:rPr>
      </w:pPr>
    </w:p>
    <w:p w14:paraId="5957F815" w14:textId="77777777" w:rsidR="007A1E7A" w:rsidRPr="004B30C8" w:rsidRDefault="007A1E7A" w:rsidP="007A1E7A">
      <w:pPr>
        <w:pStyle w:val="NoSpacing"/>
        <w:rPr>
          <w:rFonts w:ascii="Times New Roman" w:hAnsi="Times New Roman"/>
          <w:b/>
          <w:bCs/>
          <w:sz w:val="24"/>
          <w:szCs w:val="24"/>
        </w:rPr>
      </w:pPr>
      <w:r w:rsidRPr="004B30C8">
        <w:rPr>
          <w:rFonts w:ascii="Times New Roman" w:hAnsi="Times New Roman"/>
          <w:b/>
          <w:bCs/>
          <w:sz w:val="24"/>
          <w:szCs w:val="24"/>
        </w:rPr>
        <w:t xml:space="preserve">Legal Lessons Learned: Emergency responders, including Fire &amp; EMS, must be very cautious posting comments on any internal FD issues.  In this case, the issue was clearly </w:t>
      </w:r>
      <w:proofErr w:type="gramStart"/>
      <w:r w:rsidRPr="004B30C8">
        <w:rPr>
          <w:rFonts w:ascii="Times New Roman" w:hAnsi="Times New Roman"/>
          <w:b/>
          <w:bCs/>
          <w:sz w:val="24"/>
          <w:szCs w:val="24"/>
        </w:rPr>
        <w:t>an</w:t>
      </w:r>
      <w:proofErr w:type="gramEnd"/>
      <w:r w:rsidRPr="004B30C8">
        <w:rPr>
          <w:rFonts w:ascii="Times New Roman" w:hAnsi="Times New Roman"/>
          <w:b/>
          <w:bCs/>
          <w:sz w:val="24"/>
          <w:szCs w:val="24"/>
        </w:rPr>
        <w:t xml:space="preserve">  public matter, and the Court reviewed the U.S. Supreme Court’s “balancing test” and the fact that the Facebook post “was one of many made on a Facebook page visited by many Melvindale residents.”</w:t>
      </w:r>
    </w:p>
    <w:p w14:paraId="7F28BFEE" w14:textId="77777777" w:rsidR="007A1E7A" w:rsidRDefault="007A1E7A" w:rsidP="00F326E5">
      <w:pPr>
        <w:pStyle w:val="NoSpacing"/>
        <w:rPr>
          <w:rFonts w:ascii="Arial Black" w:hAnsi="Arial Black"/>
          <w:sz w:val="24"/>
          <w:szCs w:val="24"/>
        </w:rPr>
      </w:pPr>
    </w:p>
    <w:p w14:paraId="290216E9" w14:textId="77777777" w:rsidR="007A1E7A" w:rsidRDefault="007A1E7A" w:rsidP="00F326E5">
      <w:pPr>
        <w:pStyle w:val="NoSpacing"/>
        <w:rPr>
          <w:rFonts w:ascii="Arial Black" w:hAnsi="Arial Black"/>
          <w:sz w:val="24"/>
          <w:szCs w:val="24"/>
        </w:rPr>
      </w:pPr>
    </w:p>
    <w:p w14:paraId="68D12EC1" w14:textId="1F73654E" w:rsidR="00021E64" w:rsidRDefault="00021E64" w:rsidP="00F326E5">
      <w:pPr>
        <w:pStyle w:val="NoSpacing"/>
        <w:rPr>
          <w:rFonts w:ascii="Arial Black" w:hAnsi="Arial Black"/>
          <w:sz w:val="24"/>
          <w:szCs w:val="24"/>
        </w:rPr>
      </w:pPr>
      <w:r>
        <w:rPr>
          <w:rFonts w:ascii="Arial Black" w:hAnsi="Arial Black"/>
          <w:sz w:val="24"/>
          <w:szCs w:val="24"/>
        </w:rPr>
        <w:t>16-23</w:t>
      </w:r>
    </w:p>
    <w:p w14:paraId="4E62F865" w14:textId="77777777" w:rsidR="00021E64" w:rsidRDefault="00021E64" w:rsidP="00021E64">
      <w:pPr>
        <w:spacing w:before="100" w:beforeAutospacing="1" w:after="100" w:afterAutospacing="1"/>
        <w:rPr>
          <w:rFonts w:ascii="Arial Black" w:eastAsia="Times New Roman" w:hAnsi="Arial Black"/>
          <w:b/>
          <w:sz w:val="28"/>
          <w:szCs w:val="28"/>
        </w:rPr>
      </w:pPr>
      <w:r w:rsidRPr="002F5F03">
        <w:rPr>
          <w:rFonts w:ascii="Arial Black" w:eastAsia="Times New Roman" w:hAnsi="Arial Black"/>
          <w:sz w:val="28"/>
          <w:szCs w:val="28"/>
        </w:rPr>
        <w:t xml:space="preserve">TX: </w:t>
      </w:r>
      <w:r>
        <w:rPr>
          <w:rFonts w:ascii="Arial Black" w:eastAsia="Times New Roman" w:hAnsi="Arial Black"/>
          <w:sz w:val="28"/>
          <w:szCs w:val="28"/>
        </w:rPr>
        <w:t xml:space="preserve"> OFF-DUTY FF SLAPPED 70+ YEAR OLD, COMPLAINED FF’S KIDS BLOCKING VIEW – HEARING OFFICER REVERSED TERMINATION </w:t>
      </w:r>
    </w:p>
    <w:p w14:paraId="45E01B93" w14:textId="77777777" w:rsidR="00021E64" w:rsidRPr="00614DDC" w:rsidRDefault="00021E64" w:rsidP="00021E64">
      <w:pPr>
        <w:spacing w:before="100" w:beforeAutospacing="1" w:after="100" w:afterAutospacing="1"/>
        <w:rPr>
          <w:rFonts w:ascii="Times New Roman" w:eastAsia="Times New Roman" w:hAnsi="Times New Roman"/>
          <w:b/>
          <w:sz w:val="24"/>
          <w:szCs w:val="24"/>
        </w:rPr>
      </w:pPr>
      <w:r w:rsidRPr="00614DDC">
        <w:rPr>
          <w:rFonts w:ascii="Times New Roman" w:eastAsia="Times New Roman" w:hAnsi="Times New Roman"/>
          <w:sz w:val="24"/>
          <w:szCs w:val="24"/>
        </w:rPr>
        <w:t xml:space="preserve">On Jan. 23, 2020, in </w:t>
      </w:r>
      <w:r w:rsidRPr="00614DDC">
        <w:rPr>
          <w:rFonts w:ascii="Times New Roman" w:eastAsia="Times New Roman" w:hAnsi="Times New Roman"/>
          <w:sz w:val="24"/>
          <w:szCs w:val="24"/>
          <w:u w:val="single"/>
        </w:rPr>
        <w:t>City of Fort Worth v. Shea O’Neill</w:t>
      </w:r>
      <w:r w:rsidRPr="00614DDC">
        <w:rPr>
          <w:rFonts w:ascii="Times New Roman" w:eastAsia="Times New Roman" w:hAnsi="Times New Roman"/>
          <w:sz w:val="24"/>
          <w:szCs w:val="24"/>
        </w:rPr>
        <w:t xml:space="preserve">, Court of Appeals for Second Appellate District of Texas at Fort Worth (vote 3 to 0), rejected the City’s appeal from the Hearing Officer’s finding that firefighters due process rights were violated when FD internal affairs failed to conduct an adequate internal investigation.  Case </w:t>
      </w:r>
      <w:proofErr w:type="gramStart"/>
      <w:r w:rsidRPr="00614DDC">
        <w:rPr>
          <w:rFonts w:ascii="Times New Roman" w:eastAsia="Times New Roman" w:hAnsi="Times New Roman"/>
          <w:sz w:val="24"/>
          <w:szCs w:val="24"/>
        </w:rPr>
        <w:t>remanded</w:t>
      </w:r>
      <w:proofErr w:type="gramEnd"/>
      <w:r w:rsidRPr="00614DDC">
        <w:rPr>
          <w:rFonts w:ascii="Times New Roman" w:eastAsia="Times New Roman" w:hAnsi="Times New Roman"/>
          <w:sz w:val="24"/>
          <w:szCs w:val="24"/>
        </w:rPr>
        <w:t xml:space="preserve"> to trial court, however, on whether Hearing Officer improperly conducted Internet search about medication victim uses [aspirin and Lipitor] that could cause nosebleed.  </w:t>
      </w:r>
    </w:p>
    <w:p w14:paraId="40DBE167" w14:textId="418EAAEC" w:rsidR="00021E64" w:rsidRDefault="00021E64" w:rsidP="00021E64">
      <w:pPr>
        <w:pStyle w:val="NoSpacing"/>
        <w:rPr>
          <w:rFonts w:ascii="Arial Black" w:hAnsi="Arial Black"/>
          <w:sz w:val="24"/>
          <w:szCs w:val="24"/>
        </w:rPr>
      </w:pPr>
      <w:r w:rsidRPr="00614DDC">
        <w:rPr>
          <w:rFonts w:ascii="Times New Roman" w:eastAsia="Times New Roman" w:hAnsi="Times New Roman"/>
          <w:sz w:val="24"/>
          <w:szCs w:val="24"/>
        </w:rPr>
        <w:t xml:space="preserve">“In support of its appellate issue, the City first asserts that the hearing examiner's decision was procured by unlawful means because she relied on evidence not presented at the hearing—specifically, her independent Internet research on the side effects of aspirin and Lipitor, both of which Woods testified to taking daily. According to the hearing examiner's research, both medications can cause ‘unusual bleeding,’ and Lipitor can ‘specifically cause nosebleed.’” </w:t>
      </w:r>
      <w:hyperlink r:id="rId2768" w:history="1">
        <w:r w:rsidRPr="00614DDC">
          <w:rPr>
            <w:rStyle w:val="Hyperlink"/>
            <w:rFonts w:ascii="Times New Roman" w:hAnsi="Times New Roman"/>
            <w:b/>
            <w:sz w:val="24"/>
            <w:szCs w:val="24"/>
          </w:rPr>
          <w:t>https://public.fastcase.com/Wl%2B2t%2BeVuI35%2FN70vAMFZlZAOd3Yf30gW5GUDA4he8qcwsisxdvBFlR%2Bm9b1UDwt</w:t>
        </w:r>
      </w:hyperlink>
    </w:p>
    <w:p w14:paraId="7EAECEF3" w14:textId="77777777" w:rsidR="00021E64" w:rsidRPr="00614DDC" w:rsidRDefault="00021E64" w:rsidP="00021E64">
      <w:pPr>
        <w:pStyle w:val="NormalWeb"/>
        <w:tabs>
          <w:tab w:val="left" w:pos="2930"/>
        </w:tabs>
        <w:rPr>
          <w:b/>
          <w:bCs/>
        </w:rPr>
      </w:pPr>
      <w:r w:rsidRPr="00614DDC">
        <w:rPr>
          <w:b/>
          <w:bCs/>
        </w:rPr>
        <w:t xml:space="preserve">Legal Lessons Learned:  Courts are </w:t>
      </w:r>
      <w:r>
        <w:rPr>
          <w:b/>
          <w:bCs/>
        </w:rPr>
        <w:t xml:space="preserve">very </w:t>
      </w:r>
      <w:r w:rsidRPr="00614DDC">
        <w:rPr>
          <w:b/>
          <w:bCs/>
        </w:rPr>
        <w:t>reluctant to overturn decision</w:t>
      </w:r>
      <w:r>
        <w:rPr>
          <w:b/>
          <w:bCs/>
        </w:rPr>
        <w:t xml:space="preserve"> of a </w:t>
      </w:r>
      <w:r w:rsidRPr="00614DDC">
        <w:rPr>
          <w:b/>
          <w:bCs/>
        </w:rPr>
        <w:t>Civil Service hearing officer</w:t>
      </w:r>
      <w:r>
        <w:rPr>
          <w:b/>
          <w:bCs/>
        </w:rPr>
        <w:t xml:space="preserve">, who has conducted the hearings and personally observe the witnesses. </w:t>
      </w:r>
      <w:r w:rsidRPr="00614DDC">
        <w:rPr>
          <w:b/>
          <w:bCs/>
        </w:rPr>
        <w:t xml:space="preserve"> </w:t>
      </w:r>
    </w:p>
    <w:p w14:paraId="3C86B204" w14:textId="77777777" w:rsidR="00021E64" w:rsidRDefault="00021E64" w:rsidP="00F326E5">
      <w:pPr>
        <w:pStyle w:val="NoSpacing"/>
        <w:rPr>
          <w:rFonts w:ascii="Arial Black" w:hAnsi="Arial Black"/>
          <w:sz w:val="24"/>
          <w:szCs w:val="24"/>
        </w:rPr>
      </w:pPr>
    </w:p>
    <w:p w14:paraId="2EDF681E" w14:textId="77777777" w:rsidR="00021E64" w:rsidRDefault="00021E64" w:rsidP="00F326E5">
      <w:pPr>
        <w:pStyle w:val="NoSpacing"/>
        <w:rPr>
          <w:rFonts w:ascii="Arial Black" w:hAnsi="Arial Black"/>
          <w:sz w:val="24"/>
          <w:szCs w:val="24"/>
        </w:rPr>
      </w:pPr>
    </w:p>
    <w:p w14:paraId="57695355" w14:textId="77777777" w:rsidR="00021E64" w:rsidRDefault="00021E64" w:rsidP="00F326E5">
      <w:pPr>
        <w:pStyle w:val="NoSpacing"/>
        <w:rPr>
          <w:rFonts w:ascii="Arial Black" w:hAnsi="Arial Black"/>
          <w:sz w:val="24"/>
          <w:szCs w:val="24"/>
        </w:rPr>
      </w:pPr>
    </w:p>
    <w:p w14:paraId="36DB57C0" w14:textId="4BAA180C" w:rsidR="00297434" w:rsidRDefault="00420322" w:rsidP="00F326E5">
      <w:pPr>
        <w:pStyle w:val="NoSpacing"/>
        <w:rPr>
          <w:rFonts w:ascii="Arial Black" w:hAnsi="Arial Black"/>
          <w:sz w:val="24"/>
          <w:szCs w:val="24"/>
        </w:rPr>
      </w:pPr>
      <w:r>
        <w:rPr>
          <w:rFonts w:ascii="Arial Black" w:hAnsi="Arial Black"/>
          <w:sz w:val="24"/>
          <w:szCs w:val="24"/>
        </w:rPr>
        <w:t>16-22</w:t>
      </w:r>
    </w:p>
    <w:p w14:paraId="01CF9D83" w14:textId="14DA602B" w:rsidR="00420322" w:rsidRDefault="00420322" w:rsidP="00F326E5">
      <w:pPr>
        <w:pStyle w:val="NoSpacing"/>
        <w:rPr>
          <w:rFonts w:ascii="Arial Black" w:hAnsi="Arial Black"/>
          <w:sz w:val="24"/>
          <w:szCs w:val="24"/>
        </w:rPr>
      </w:pPr>
    </w:p>
    <w:p w14:paraId="77B7DDAB" w14:textId="77777777" w:rsidR="00420322" w:rsidRPr="00A8607B" w:rsidRDefault="00420322" w:rsidP="00420322">
      <w:pPr>
        <w:rPr>
          <w:rFonts w:ascii="Arial Black" w:hAnsi="Arial Black"/>
          <w:sz w:val="28"/>
          <w:szCs w:val="28"/>
        </w:rPr>
      </w:pPr>
      <w:r w:rsidRPr="00A8607B">
        <w:rPr>
          <w:rFonts w:ascii="Arial Black" w:hAnsi="Arial Black"/>
          <w:sz w:val="28"/>
          <w:szCs w:val="28"/>
        </w:rPr>
        <w:t xml:space="preserve">TN: </w:t>
      </w:r>
      <w:r>
        <w:rPr>
          <w:rFonts w:ascii="Arial Black" w:hAnsi="Arial Black"/>
          <w:sz w:val="28"/>
          <w:szCs w:val="28"/>
        </w:rPr>
        <w:t>SOCIAL MEDIA – NASHVILLE PD OFFICER’S FACEBOOK POSTS - PD KILLING DRIVER MN - “GROSSLY UNPROFESSIONAL” - FIRING UPHELD</w:t>
      </w:r>
    </w:p>
    <w:p w14:paraId="63BFD3BE" w14:textId="77777777" w:rsidR="00420322" w:rsidRDefault="00420322" w:rsidP="00420322">
      <w:pPr>
        <w:rPr>
          <w:rFonts w:ascii="Times New Roman" w:hAnsi="Times New Roman"/>
          <w:sz w:val="24"/>
          <w:szCs w:val="24"/>
        </w:rPr>
      </w:pPr>
      <w:r w:rsidRPr="00A8607B">
        <w:rPr>
          <w:rFonts w:ascii="Times New Roman" w:hAnsi="Times New Roman"/>
          <w:sz w:val="24"/>
          <w:szCs w:val="24"/>
        </w:rPr>
        <w:lastRenderedPageBreak/>
        <w:t xml:space="preserve">On </w:t>
      </w:r>
      <w:r>
        <w:rPr>
          <w:rFonts w:ascii="Times New Roman" w:hAnsi="Times New Roman"/>
          <w:sz w:val="24"/>
          <w:szCs w:val="24"/>
        </w:rPr>
        <w:t xml:space="preserve">Dec. 20, 2019, in </w:t>
      </w:r>
      <w:r w:rsidRPr="005F63F4">
        <w:rPr>
          <w:rFonts w:ascii="Times New Roman" w:hAnsi="Times New Roman"/>
          <w:sz w:val="24"/>
          <w:szCs w:val="24"/>
          <w:u w:val="single"/>
        </w:rPr>
        <w:t>Anthony Venable v. Metropolitan Government of Nashville and Davidson County</w:t>
      </w:r>
      <w:r>
        <w:rPr>
          <w:rFonts w:ascii="Times New Roman" w:hAnsi="Times New Roman"/>
          <w:sz w:val="24"/>
          <w:szCs w:val="24"/>
        </w:rPr>
        <w:t>, Chief Judge Waverly D. Crenshaw, Jr.,  U.S. District Court, Middle District of Tennessee (Nashville Division) granted Nashville’s motion for summary judgment and dismissed the lawsuit by the former police officer, finding his Facebook comments “grossly unprofessional.”</w:t>
      </w:r>
    </w:p>
    <w:p w14:paraId="512B0C25" w14:textId="77777777" w:rsidR="00420322" w:rsidRPr="005F63F4" w:rsidRDefault="00420322" w:rsidP="00420322">
      <w:pPr>
        <w:ind w:left="720"/>
        <w:rPr>
          <w:rFonts w:ascii="Times New Roman" w:hAnsi="Times New Roman"/>
          <w:sz w:val="24"/>
          <w:szCs w:val="24"/>
        </w:rPr>
      </w:pPr>
      <w:r>
        <w:rPr>
          <w:rFonts w:ascii="Times New Roman" w:hAnsi="Times New Roman"/>
          <w:sz w:val="24"/>
          <w:szCs w:val="24"/>
        </w:rPr>
        <w:t>“</w:t>
      </w:r>
      <w:r w:rsidRPr="005F63F4">
        <w:rPr>
          <w:rFonts w:ascii="Times New Roman" w:hAnsi="Times New Roman"/>
          <w:sz w:val="24"/>
          <w:szCs w:val="24"/>
        </w:rPr>
        <w:t>In addition to the “not bring</w:t>
      </w:r>
      <w:r>
        <w:rPr>
          <w:rFonts w:ascii="Times New Roman" w:hAnsi="Times New Roman"/>
          <w:sz w:val="24"/>
          <w:szCs w:val="24"/>
        </w:rPr>
        <w:t xml:space="preserve"> </w:t>
      </w:r>
      <w:r w:rsidRPr="005F63F4">
        <w:rPr>
          <w:rFonts w:ascii="Times New Roman" w:hAnsi="Times New Roman"/>
          <w:sz w:val="24"/>
          <w:szCs w:val="24"/>
        </w:rPr>
        <w:t>discredit” language, the MNPD policy</w:t>
      </w:r>
      <w:r>
        <w:rPr>
          <w:rFonts w:ascii="Times New Roman" w:hAnsi="Times New Roman"/>
          <w:sz w:val="24"/>
          <w:szCs w:val="24"/>
        </w:rPr>
        <w:t xml:space="preserve"> </w:t>
      </w:r>
      <w:r w:rsidRPr="005F63F4">
        <w:rPr>
          <w:rFonts w:ascii="Times New Roman" w:hAnsi="Times New Roman"/>
          <w:sz w:val="24"/>
          <w:szCs w:val="24"/>
        </w:rPr>
        <w:t>contains an explanation</w:t>
      </w:r>
      <w:r>
        <w:rPr>
          <w:rFonts w:ascii="Times New Roman" w:hAnsi="Times New Roman"/>
          <w:sz w:val="24"/>
          <w:szCs w:val="24"/>
        </w:rPr>
        <w:t xml:space="preserve"> </w:t>
      </w:r>
      <w:r w:rsidRPr="005F63F4">
        <w:rPr>
          <w:rFonts w:ascii="Times New Roman" w:hAnsi="Times New Roman"/>
          <w:sz w:val="24"/>
          <w:szCs w:val="24"/>
        </w:rPr>
        <w:t>of why</w:t>
      </w:r>
      <w:r>
        <w:rPr>
          <w:rFonts w:ascii="Times New Roman" w:hAnsi="Times New Roman"/>
          <w:sz w:val="24"/>
          <w:szCs w:val="24"/>
        </w:rPr>
        <w:t xml:space="preserve"> </w:t>
      </w:r>
      <w:r w:rsidRPr="005F63F4">
        <w:rPr>
          <w:rFonts w:ascii="Times New Roman" w:hAnsi="Times New Roman"/>
          <w:sz w:val="24"/>
          <w:szCs w:val="24"/>
        </w:rPr>
        <w:t>police officers are held to a higher standard, and why</w:t>
      </w:r>
      <w:r>
        <w:rPr>
          <w:rFonts w:ascii="Times New Roman" w:hAnsi="Times New Roman"/>
          <w:sz w:val="24"/>
          <w:szCs w:val="24"/>
        </w:rPr>
        <w:t xml:space="preserve"> </w:t>
      </w:r>
      <w:r w:rsidRPr="005F63F4">
        <w:rPr>
          <w:rFonts w:ascii="Times New Roman" w:hAnsi="Times New Roman"/>
          <w:sz w:val="24"/>
          <w:szCs w:val="24"/>
        </w:rPr>
        <w:t>inappropriate conduct can be</w:t>
      </w:r>
      <w:r>
        <w:rPr>
          <w:rFonts w:ascii="Times New Roman" w:hAnsi="Times New Roman"/>
          <w:sz w:val="24"/>
          <w:szCs w:val="24"/>
        </w:rPr>
        <w:t xml:space="preserve"> </w:t>
      </w:r>
      <w:r w:rsidRPr="005F63F4">
        <w:rPr>
          <w:rFonts w:ascii="Times New Roman" w:hAnsi="Times New Roman"/>
          <w:sz w:val="24"/>
          <w:szCs w:val="24"/>
        </w:rPr>
        <w:t>detrimental to the department. An ordinary</w:t>
      </w:r>
      <w:r>
        <w:rPr>
          <w:rFonts w:ascii="Times New Roman" w:hAnsi="Times New Roman"/>
          <w:sz w:val="24"/>
          <w:szCs w:val="24"/>
        </w:rPr>
        <w:t xml:space="preserve"> </w:t>
      </w:r>
      <w:r w:rsidRPr="005F63F4">
        <w:rPr>
          <w:rFonts w:ascii="Times New Roman" w:hAnsi="Times New Roman"/>
          <w:sz w:val="24"/>
          <w:szCs w:val="24"/>
        </w:rPr>
        <w:t>person, exercising ordinary</w:t>
      </w:r>
      <w:r>
        <w:rPr>
          <w:rFonts w:ascii="Times New Roman" w:hAnsi="Times New Roman"/>
          <w:sz w:val="24"/>
          <w:szCs w:val="24"/>
        </w:rPr>
        <w:t xml:space="preserve"> </w:t>
      </w:r>
      <w:r w:rsidRPr="005F63F4">
        <w:rPr>
          <w:rFonts w:ascii="Times New Roman" w:hAnsi="Times New Roman"/>
          <w:sz w:val="24"/>
          <w:szCs w:val="24"/>
        </w:rPr>
        <w:t>common sense, could</w:t>
      </w:r>
      <w:r>
        <w:rPr>
          <w:rFonts w:ascii="Times New Roman" w:hAnsi="Times New Roman"/>
          <w:sz w:val="24"/>
          <w:szCs w:val="24"/>
        </w:rPr>
        <w:t xml:space="preserve"> </w:t>
      </w:r>
      <w:r w:rsidRPr="005F63F4">
        <w:rPr>
          <w:rFonts w:ascii="Times New Roman" w:hAnsi="Times New Roman"/>
          <w:sz w:val="24"/>
          <w:szCs w:val="24"/>
        </w:rPr>
        <w:t>understand that Venable’s inflammatory</w:t>
      </w:r>
      <w:r>
        <w:rPr>
          <w:rFonts w:ascii="Times New Roman" w:hAnsi="Times New Roman"/>
          <w:sz w:val="24"/>
          <w:szCs w:val="24"/>
        </w:rPr>
        <w:t xml:space="preserve"> </w:t>
      </w:r>
      <w:r w:rsidRPr="005F63F4">
        <w:rPr>
          <w:rFonts w:ascii="Times New Roman" w:hAnsi="Times New Roman"/>
          <w:sz w:val="24"/>
          <w:szCs w:val="24"/>
        </w:rPr>
        <w:t>Facebook comments, where he drew</w:t>
      </w:r>
      <w:r>
        <w:rPr>
          <w:rFonts w:ascii="Times New Roman" w:hAnsi="Times New Roman"/>
          <w:sz w:val="24"/>
          <w:szCs w:val="24"/>
        </w:rPr>
        <w:t xml:space="preserve"> </w:t>
      </w:r>
      <w:r w:rsidRPr="005F63F4">
        <w:rPr>
          <w:rFonts w:ascii="Times New Roman" w:hAnsi="Times New Roman"/>
          <w:sz w:val="24"/>
          <w:szCs w:val="24"/>
        </w:rPr>
        <w:t>upon his law</w:t>
      </w:r>
      <w:r>
        <w:rPr>
          <w:rFonts w:ascii="Times New Roman" w:hAnsi="Times New Roman"/>
          <w:sz w:val="24"/>
          <w:szCs w:val="24"/>
        </w:rPr>
        <w:t xml:space="preserve"> </w:t>
      </w:r>
      <w:r w:rsidRPr="005F63F4">
        <w:rPr>
          <w:rFonts w:ascii="Times New Roman" w:hAnsi="Times New Roman"/>
          <w:sz w:val="24"/>
          <w:szCs w:val="24"/>
        </w:rPr>
        <w:t>enforcement background, would reflect negatively</w:t>
      </w:r>
      <w:r>
        <w:rPr>
          <w:rFonts w:ascii="Times New Roman" w:hAnsi="Times New Roman"/>
          <w:sz w:val="24"/>
          <w:szCs w:val="24"/>
        </w:rPr>
        <w:t xml:space="preserve"> </w:t>
      </w:r>
      <w:r w:rsidRPr="005F63F4">
        <w:rPr>
          <w:rFonts w:ascii="Times New Roman" w:hAnsi="Times New Roman"/>
          <w:sz w:val="24"/>
          <w:szCs w:val="24"/>
        </w:rPr>
        <w:t>on the MNPD and constitute a</w:t>
      </w:r>
      <w:r>
        <w:rPr>
          <w:rFonts w:ascii="Times New Roman" w:hAnsi="Times New Roman"/>
          <w:sz w:val="24"/>
          <w:szCs w:val="24"/>
        </w:rPr>
        <w:t xml:space="preserve"> </w:t>
      </w:r>
      <w:r w:rsidRPr="005F63F4">
        <w:rPr>
          <w:rFonts w:ascii="Times New Roman" w:hAnsi="Times New Roman"/>
          <w:sz w:val="24"/>
          <w:szCs w:val="24"/>
        </w:rPr>
        <w:t>violation</w:t>
      </w:r>
      <w:r>
        <w:rPr>
          <w:rFonts w:ascii="Times New Roman" w:hAnsi="Times New Roman"/>
          <w:sz w:val="24"/>
          <w:szCs w:val="24"/>
        </w:rPr>
        <w:t xml:space="preserve"> </w:t>
      </w:r>
      <w:r w:rsidRPr="005F63F4">
        <w:rPr>
          <w:rFonts w:ascii="Times New Roman" w:hAnsi="Times New Roman"/>
          <w:sz w:val="24"/>
          <w:szCs w:val="24"/>
        </w:rPr>
        <w:t>of the</w:t>
      </w:r>
      <w:r>
        <w:rPr>
          <w:rFonts w:ascii="Times New Roman" w:hAnsi="Times New Roman"/>
          <w:sz w:val="24"/>
          <w:szCs w:val="24"/>
        </w:rPr>
        <w:t xml:space="preserve"> </w:t>
      </w:r>
      <w:r w:rsidRPr="005F63F4">
        <w:rPr>
          <w:rFonts w:ascii="Times New Roman" w:hAnsi="Times New Roman"/>
          <w:sz w:val="24"/>
          <w:szCs w:val="24"/>
        </w:rPr>
        <w:t>Conduct</w:t>
      </w:r>
      <w:r>
        <w:rPr>
          <w:rFonts w:ascii="Times New Roman" w:hAnsi="Times New Roman"/>
          <w:sz w:val="24"/>
          <w:szCs w:val="24"/>
        </w:rPr>
        <w:t xml:space="preserve"> </w:t>
      </w:r>
      <w:r w:rsidRPr="005F63F4">
        <w:rPr>
          <w:rFonts w:ascii="Times New Roman" w:hAnsi="Times New Roman"/>
          <w:sz w:val="24"/>
          <w:szCs w:val="24"/>
        </w:rPr>
        <w:t>Unbecoming</w:t>
      </w:r>
      <w:r>
        <w:rPr>
          <w:rFonts w:ascii="Times New Roman" w:hAnsi="Times New Roman"/>
          <w:sz w:val="24"/>
          <w:szCs w:val="24"/>
        </w:rPr>
        <w:t xml:space="preserve"> </w:t>
      </w:r>
      <w:r w:rsidRPr="005F63F4">
        <w:rPr>
          <w:rFonts w:ascii="Times New Roman" w:hAnsi="Times New Roman"/>
          <w:sz w:val="24"/>
          <w:szCs w:val="24"/>
        </w:rPr>
        <w:t>policy.</w:t>
      </w:r>
      <w:r>
        <w:rPr>
          <w:rFonts w:ascii="Times New Roman" w:hAnsi="Times New Roman"/>
          <w:sz w:val="24"/>
          <w:szCs w:val="24"/>
        </w:rPr>
        <w:t xml:space="preserve"> </w:t>
      </w:r>
      <w:r w:rsidRPr="005F63F4">
        <w:rPr>
          <w:rFonts w:ascii="Times New Roman" w:hAnsi="Times New Roman"/>
          <w:sz w:val="24"/>
          <w:szCs w:val="24"/>
        </w:rPr>
        <w:t>Any</w:t>
      </w:r>
      <w:r>
        <w:rPr>
          <w:rFonts w:ascii="Times New Roman" w:hAnsi="Times New Roman"/>
          <w:sz w:val="24"/>
          <w:szCs w:val="24"/>
        </w:rPr>
        <w:t xml:space="preserve"> </w:t>
      </w:r>
      <w:r w:rsidRPr="005F63F4">
        <w:rPr>
          <w:rFonts w:ascii="Times New Roman" w:hAnsi="Times New Roman"/>
          <w:sz w:val="24"/>
          <w:szCs w:val="24"/>
        </w:rPr>
        <w:t>doubt about this is eliminated by</w:t>
      </w:r>
      <w:r>
        <w:rPr>
          <w:rFonts w:ascii="Times New Roman" w:hAnsi="Times New Roman"/>
          <w:sz w:val="24"/>
          <w:szCs w:val="24"/>
        </w:rPr>
        <w:t xml:space="preserve"> </w:t>
      </w:r>
      <w:r w:rsidRPr="005F63F4">
        <w:rPr>
          <w:rFonts w:ascii="Times New Roman" w:hAnsi="Times New Roman"/>
          <w:sz w:val="24"/>
          <w:szCs w:val="24"/>
        </w:rPr>
        <w:t>warning</w:t>
      </w:r>
      <w:r>
        <w:rPr>
          <w:rFonts w:ascii="Times New Roman" w:hAnsi="Times New Roman"/>
          <w:sz w:val="24"/>
          <w:szCs w:val="24"/>
        </w:rPr>
        <w:t xml:space="preserve"> </w:t>
      </w:r>
      <w:r w:rsidRPr="005F63F4">
        <w:rPr>
          <w:rFonts w:ascii="Times New Roman" w:hAnsi="Times New Roman"/>
          <w:sz w:val="24"/>
          <w:szCs w:val="24"/>
        </w:rPr>
        <w:t xml:space="preserve">statements </w:t>
      </w:r>
      <w:proofErr w:type="gramStart"/>
      <w:r w:rsidRPr="005F63F4">
        <w:rPr>
          <w:rFonts w:ascii="Times New Roman" w:hAnsi="Times New Roman"/>
          <w:sz w:val="24"/>
          <w:szCs w:val="24"/>
        </w:rPr>
        <w:t>of</w:t>
      </w:r>
      <w:proofErr w:type="gramEnd"/>
      <w:r w:rsidRPr="005F63F4">
        <w:rPr>
          <w:rFonts w:ascii="Times New Roman" w:hAnsi="Times New Roman"/>
          <w:sz w:val="24"/>
          <w:szCs w:val="24"/>
        </w:rPr>
        <w:t xml:space="preserve"> other</w:t>
      </w:r>
      <w:r>
        <w:rPr>
          <w:rFonts w:ascii="Times New Roman" w:hAnsi="Times New Roman"/>
          <w:sz w:val="24"/>
          <w:szCs w:val="24"/>
        </w:rPr>
        <w:t xml:space="preserve"> </w:t>
      </w:r>
      <w:r w:rsidRPr="005F63F4">
        <w:rPr>
          <w:rFonts w:ascii="Times New Roman" w:hAnsi="Times New Roman"/>
          <w:sz w:val="24"/>
          <w:szCs w:val="24"/>
        </w:rPr>
        <w:t xml:space="preserve">participants that his comments were </w:t>
      </w:r>
      <w:r>
        <w:rPr>
          <w:rFonts w:ascii="Times New Roman" w:hAnsi="Times New Roman"/>
          <w:sz w:val="24"/>
          <w:szCs w:val="24"/>
        </w:rPr>
        <w:t>‘</w:t>
      </w:r>
      <w:r w:rsidRPr="005F63F4">
        <w:rPr>
          <w:rFonts w:ascii="Times New Roman" w:hAnsi="Times New Roman"/>
          <w:sz w:val="24"/>
          <w:szCs w:val="24"/>
        </w:rPr>
        <w:t>grossly</w:t>
      </w:r>
      <w:r>
        <w:rPr>
          <w:rFonts w:ascii="Times New Roman" w:hAnsi="Times New Roman"/>
          <w:sz w:val="24"/>
          <w:szCs w:val="24"/>
        </w:rPr>
        <w:t xml:space="preserve"> </w:t>
      </w:r>
      <w:r w:rsidRPr="005F63F4">
        <w:rPr>
          <w:rFonts w:ascii="Times New Roman" w:hAnsi="Times New Roman"/>
          <w:sz w:val="24"/>
          <w:szCs w:val="24"/>
        </w:rPr>
        <w:t>unprofessional,</w:t>
      </w:r>
      <w:r>
        <w:rPr>
          <w:rFonts w:ascii="Times New Roman" w:hAnsi="Times New Roman"/>
          <w:sz w:val="24"/>
          <w:szCs w:val="24"/>
        </w:rPr>
        <w:t>’</w:t>
      </w:r>
      <w:r w:rsidRPr="005F63F4">
        <w:rPr>
          <w:rFonts w:ascii="Times New Roman" w:hAnsi="Times New Roman"/>
          <w:sz w:val="24"/>
          <w:szCs w:val="24"/>
        </w:rPr>
        <w:t xml:space="preserve"> and could get him </w:t>
      </w:r>
      <w:r>
        <w:rPr>
          <w:rFonts w:ascii="Times New Roman" w:hAnsi="Times New Roman"/>
          <w:sz w:val="24"/>
          <w:szCs w:val="24"/>
        </w:rPr>
        <w:t>‘</w:t>
      </w:r>
      <w:r w:rsidRPr="005F63F4">
        <w:rPr>
          <w:rFonts w:ascii="Times New Roman" w:hAnsi="Times New Roman"/>
          <w:sz w:val="24"/>
          <w:szCs w:val="24"/>
        </w:rPr>
        <w:t>in serious</w:t>
      </w:r>
      <w:r>
        <w:rPr>
          <w:rFonts w:ascii="Times New Roman" w:hAnsi="Times New Roman"/>
          <w:sz w:val="24"/>
          <w:szCs w:val="24"/>
        </w:rPr>
        <w:t xml:space="preserve"> </w:t>
      </w:r>
      <w:r w:rsidRPr="005F63F4">
        <w:rPr>
          <w:rFonts w:ascii="Times New Roman" w:hAnsi="Times New Roman"/>
          <w:sz w:val="24"/>
          <w:szCs w:val="24"/>
        </w:rPr>
        <w:t>trouble.</w:t>
      </w:r>
      <w:r>
        <w:rPr>
          <w:rFonts w:ascii="Times New Roman" w:hAnsi="Times New Roman"/>
          <w:sz w:val="24"/>
          <w:szCs w:val="24"/>
        </w:rPr>
        <w:t>’</w:t>
      </w:r>
      <w:r w:rsidRPr="005F63F4">
        <w:t xml:space="preserve"> </w:t>
      </w:r>
      <w:hyperlink r:id="rId2769" w:history="1">
        <w:r w:rsidRPr="00FD1AA3">
          <w:rPr>
            <w:rStyle w:val="Hyperlink"/>
            <w:rFonts w:ascii="Times New Roman" w:hAnsi="Times New Roman"/>
            <w:sz w:val="24"/>
            <w:szCs w:val="24"/>
          </w:rPr>
          <w:t>https://cases.justia.com/federal/district-courts/tennessee/tnmdce/3:2018cv00148/73469/36/0.pdf?ts=1576934308</w:t>
        </w:r>
      </w:hyperlink>
      <w:r>
        <w:rPr>
          <w:rFonts w:ascii="Times New Roman" w:hAnsi="Times New Roman"/>
          <w:sz w:val="24"/>
          <w:szCs w:val="24"/>
        </w:rPr>
        <w:t xml:space="preserve"> </w:t>
      </w:r>
    </w:p>
    <w:p w14:paraId="58FF9F1A" w14:textId="77777777" w:rsidR="00B8368A" w:rsidRDefault="00B8368A" w:rsidP="00B8368A">
      <w:pPr>
        <w:pStyle w:val="NoSpacing"/>
        <w:rPr>
          <w:rFonts w:ascii="Times New Roman" w:hAnsi="Times New Roman"/>
          <w:b/>
          <w:bCs/>
          <w:sz w:val="24"/>
          <w:szCs w:val="24"/>
        </w:rPr>
      </w:pPr>
      <w:r w:rsidRPr="00B8368A">
        <w:rPr>
          <w:rFonts w:ascii="Times New Roman" w:hAnsi="Times New Roman"/>
          <w:b/>
          <w:bCs/>
          <w:sz w:val="24"/>
          <w:szCs w:val="24"/>
        </w:rPr>
        <w:t>Legal Lessons Learned:</w:t>
      </w:r>
      <w:r>
        <w:rPr>
          <w:rFonts w:ascii="Times New Roman" w:hAnsi="Times New Roman"/>
          <w:b/>
          <w:bCs/>
          <w:sz w:val="24"/>
          <w:szCs w:val="24"/>
        </w:rPr>
        <w:t xml:space="preserve"> </w:t>
      </w:r>
      <w:r w:rsidRPr="00B8368A">
        <w:rPr>
          <w:rFonts w:ascii="Times New Roman" w:hAnsi="Times New Roman"/>
          <w:b/>
          <w:bCs/>
          <w:sz w:val="24"/>
          <w:szCs w:val="24"/>
        </w:rPr>
        <w:t>Fire &amp; EMS Departments should have a policy that warns personnel that Social Media posts that adversely reflect on the Department can lead to discipline, including termination.</w:t>
      </w:r>
    </w:p>
    <w:p w14:paraId="738ED37D" w14:textId="502FE8B7" w:rsidR="00B8368A" w:rsidRPr="00B8368A" w:rsidRDefault="00B8368A" w:rsidP="00B8368A">
      <w:pPr>
        <w:pStyle w:val="NoSpacing"/>
        <w:ind w:firstLine="720"/>
        <w:rPr>
          <w:rFonts w:ascii="Times New Roman" w:hAnsi="Times New Roman"/>
          <w:b/>
          <w:bCs/>
          <w:sz w:val="24"/>
          <w:szCs w:val="24"/>
        </w:rPr>
      </w:pPr>
      <w:r w:rsidRPr="00B8368A">
        <w:rPr>
          <w:rFonts w:ascii="Times New Roman" w:hAnsi="Times New Roman"/>
          <w:sz w:val="24"/>
          <w:szCs w:val="24"/>
        </w:rPr>
        <w:t>See Pho</w:t>
      </w:r>
      <w:r>
        <w:rPr>
          <w:rFonts w:ascii="Times New Roman" w:hAnsi="Times New Roman"/>
          <w:sz w:val="24"/>
          <w:szCs w:val="24"/>
        </w:rPr>
        <w:t>e</w:t>
      </w:r>
      <w:r w:rsidRPr="00B8368A">
        <w:rPr>
          <w:rFonts w:ascii="Times New Roman" w:hAnsi="Times New Roman"/>
          <w:sz w:val="24"/>
          <w:szCs w:val="24"/>
        </w:rPr>
        <w:t xml:space="preserve">nix FD’s Social Media policy: </w:t>
      </w:r>
      <w:hyperlink r:id="rId2770" w:history="1">
        <w:r w:rsidRPr="00B8368A">
          <w:rPr>
            <w:rStyle w:val="Hyperlink"/>
            <w:rFonts w:ascii="Times New Roman" w:hAnsi="Times New Roman"/>
            <w:sz w:val="24"/>
            <w:szCs w:val="24"/>
          </w:rPr>
          <w:t>https://www.phoenix.gov/firesite/Documents/fire_mp_10518.pdf</w:t>
        </w:r>
      </w:hyperlink>
      <w:r w:rsidRPr="00B8368A">
        <w:rPr>
          <w:rFonts w:ascii="Times New Roman" w:hAnsi="Times New Roman"/>
          <w:sz w:val="24"/>
          <w:szCs w:val="24"/>
        </w:rPr>
        <w:t xml:space="preserve"> </w:t>
      </w:r>
    </w:p>
    <w:p w14:paraId="44D97879" w14:textId="77777777" w:rsidR="00B8368A" w:rsidRDefault="00B8368A" w:rsidP="00297434">
      <w:pPr>
        <w:spacing w:before="100" w:beforeAutospacing="1" w:after="100" w:afterAutospacing="1" w:line="240" w:lineRule="auto"/>
        <w:rPr>
          <w:rFonts w:ascii="Arial Black" w:hAnsi="Arial Black"/>
          <w:sz w:val="24"/>
          <w:szCs w:val="24"/>
        </w:rPr>
      </w:pPr>
    </w:p>
    <w:p w14:paraId="3C9E15DE" w14:textId="49545F51" w:rsidR="00420322" w:rsidRDefault="00420322" w:rsidP="00297434">
      <w:pPr>
        <w:spacing w:before="100" w:beforeAutospacing="1" w:after="100" w:afterAutospacing="1" w:line="240" w:lineRule="auto"/>
        <w:rPr>
          <w:rFonts w:ascii="Arial Black" w:hAnsi="Arial Black"/>
          <w:sz w:val="24"/>
          <w:szCs w:val="24"/>
        </w:rPr>
      </w:pPr>
      <w:r>
        <w:rPr>
          <w:rFonts w:ascii="Arial Black" w:hAnsi="Arial Black"/>
          <w:sz w:val="24"/>
          <w:szCs w:val="24"/>
        </w:rPr>
        <w:t>16-21</w:t>
      </w:r>
    </w:p>
    <w:p w14:paraId="487853E6" w14:textId="77777777" w:rsidR="00420322" w:rsidRDefault="00420322" w:rsidP="00420322">
      <w:pPr>
        <w:spacing w:before="100" w:beforeAutospacing="1" w:after="100" w:afterAutospacing="1" w:line="240" w:lineRule="auto"/>
        <w:rPr>
          <w:rFonts w:ascii="Times New Roman" w:eastAsia="Times New Roman" w:hAnsi="Times New Roman"/>
          <w:b/>
          <w:bCs/>
          <w:sz w:val="24"/>
          <w:szCs w:val="24"/>
        </w:rPr>
      </w:pPr>
      <w:bookmarkStart w:id="609" w:name="_Hlk29226291"/>
      <w:r w:rsidRPr="0066266D">
        <w:rPr>
          <w:rFonts w:ascii="Arial Black" w:eastAsia="Times New Roman" w:hAnsi="Arial Black"/>
          <w:b/>
          <w:bCs/>
          <w:sz w:val="28"/>
          <w:szCs w:val="28"/>
        </w:rPr>
        <w:t>OH</w:t>
      </w:r>
      <w:r>
        <w:rPr>
          <w:rFonts w:ascii="Arial Black" w:eastAsia="Times New Roman" w:hAnsi="Arial Black"/>
          <w:b/>
          <w:bCs/>
          <w:sz w:val="28"/>
          <w:szCs w:val="28"/>
        </w:rPr>
        <w:t>: LT. DEMOTED / SUSPENDED – UPHELD BUT TOWNSHIP MINUTES ON REASON FOR GOING INTO EXEC. SESSION NEED CLARIFICATION</w:t>
      </w:r>
    </w:p>
    <w:p w14:paraId="4B37777F" w14:textId="77777777" w:rsidR="00420322" w:rsidRDefault="00420322" w:rsidP="00420322">
      <w:pPr>
        <w:spacing w:before="100" w:beforeAutospacing="1" w:after="100" w:afterAutospacing="1" w:line="240" w:lineRule="auto"/>
        <w:rPr>
          <w:rFonts w:ascii="Arial" w:hAnsi="Arial" w:cs="Arial"/>
          <w:sz w:val="30"/>
          <w:szCs w:val="30"/>
        </w:rPr>
      </w:pPr>
      <w:r w:rsidRPr="00B84F37">
        <w:rPr>
          <w:rFonts w:ascii="Times New Roman" w:hAnsi="Times New Roman"/>
          <w:sz w:val="24"/>
          <w:szCs w:val="24"/>
        </w:rPr>
        <w:t xml:space="preserve">On Dec. 9, 2019, in </w:t>
      </w:r>
      <w:r w:rsidRPr="00B84F37">
        <w:rPr>
          <w:rFonts w:ascii="Times New Roman" w:hAnsi="Times New Roman"/>
          <w:sz w:val="24"/>
          <w:szCs w:val="24"/>
          <w:u w:val="single"/>
        </w:rPr>
        <w:t>Douglas Bode v. Concord Township</w:t>
      </w:r>
      <w:r>
        <w:rPr>
          <w:rFonts w:ascii="Times New Roman" w:hAnsi="Times New Roman"/>
          <w:sz w:val="24"/>
          <w:szCs w:val="24"/>
        </w:rPr>
        <w:t>, the Ohio Court of Appeals for the Eleventh District (Lake County) upheld the demotion of part-time Lieutenant to part-time firefighter / paramedic, and his suspension for six months, but found technical violation of Open Meeting Act since minutes of the Township public meeting did not reflect the reason for going into executive session.</w:t>
      </w:r>
    </w:p>
    <w:p w14:paraId="0F4628C8" w14:textId="633427FE" w:rsidR="00420322" w:rsidRPr="00B8368A" w:rsidRDefault="00420322" w:rsidP="00B8368A">
      <w:pPr>
        <w:pStyle w:val="NoSpacing"/>
        <w:ind w:left="720"/>
        <w:rPr>
          <w:rFonts w:ascii="Times New Roman" w:hAnsi="Times New Roman"/>
          <w:sz w:val="24"/>
          <w:szCs w:val="24"/>
        </w:rPr>
      </w:pPr>
      <w:r w:rsidRPr="00B101CE">
        <w:rPr>
          <w:rFonts w:ascii="Times New Roman" w:hAnsi="Times New Roman"/>
          <w:sz w:val="24"/>
          <w:szCs w:val="24"/>
        </w:rPr>
        <w:t xml:space="preserve">“We determine the Board committed a technical violation of Ohio’s Open Meetings Act (the ‘OMA’) so that an injunction ordering the Board to comply with the OMA is appropriate, but we do not invalidate Mr. Bode’s suspension and demotion approved by the Board. *** Here, it is undisputed that the meeting minutes were deficient in identifying the purpose of the executive session </w:t>
      </w:r>
      <w:proofErr w:type="gramStart"/>
      <w:r w:rsidRPr="00B101CE">
        <w:rPr>
          <w:rFonts w:ascii="Times New Roman" w:hAnsi="Times New Roman"/>
          <w:sz w:val="24"/>
          <w:szCs w:val="24"/>
        </w:rPr>
        <w:t>with regard to</w:t>
      </w:r>
      <w:proofErr w:type="gramEnd"/>
      <w:r w:rsidRPr="00B101CE">
        <w:rPr>
          <w:rFonts w:ascii="Times New Roman" w:hAnsi="Times New Roman"/>
          <w:sz w:val="24"/>
          <w:szCs w:val="24"/>
        </w:rPr>
        <w:t xml:space="preserve"> Mr. Bode. No reason for entering executive session was stated; therefore, the Board has failed to comply with R.C. 121.22(G)(1). </w:t>
      </w:r>
      <w:hyperlink r:id="rId2771" w:history="1">
        <w:r w:rsidR="00B8368A" w:rsidRPr="001B5B01">
          <w:rPr>
            <w:rStyle w:val="Hyperlink"/>
            <w:rFonts w:ascii="Times New Roman" w:eastAsia="Times New Roman" w:hAnsi="Times New Roman"/>
            <w:sz w:val="24"/>
            <w:szCs w:val="24"/>
          </w:rPr>
          <w:t>https://www.supremecourt.ohio.gov/rod/docs/pdf/11/2019/2019-Ohio-5062.pdf</w:t>
        </w:r>
      </w:hyperlink>
      <w:bookmarkEnd w:id="609"/>
    </w:p>
    <w:p w14:paraId="4C86A07D" w14:textId="1D69C176" w:rsidR="00420322" w:rsidRDefault="00B8368A" w:rsidP="00297434">
      <w:pPr>
        <w:spacing w:before="100" w:beforeAutospacing="1" w:after="100" w:afterAutospacing="1" w:line="240" w:lineRule="auto"/>
        <w:rPr>
          <w:rFonts w:ascii="Times New Roman" w:hAnsi="Times New Roman"/>
          <w:b/>
          <w:bCs/>
          <w:sz w:val="24"/>
          <w:szCs w:val="24"/>
        </w:rPr>
      </w:pPr>
      <w:r w:rsidRPr="00B8368A">
        <w:rPr>
          <w:rFonts w:ascii="Times New Roman" w:hAnsi="Times New Roman"/>
          <w:b/>
          <w:bCs/>
          <w:sz w:val="24"/>
          <w:szCs w:val="24"/>
        </w:rPr>
        <w:t xml:space="preserve">Legal Lessons Learned: Minutes of public meetings, prior to going into Executive Session, should </w:t>
      </w:r>
      <w:proofErr w:type="gramStart"/>
      <w:r w:rsidRPr="00B8368A">
        <w:rPr>
          <w:rFonts w:ascii="Times New Roman" w:hAnsi="Times New Roman"/>
          <w:b/>
          <w:bCs/>
          <w:sz w:val="24"/>
          <w:szCs w:val="24"/>
        </w:rPr>
        <w:t>careful</w:t>
      </w:r>
      <w:proofErr w:type="gramEnd"/>
      <w:r w:rsidRPr="00B8368A">
        <w:rPr>
          <w:rFonts w:ascii="Times New Roman" w:hAnsi="Times New Roman"/>
          <w:b/>
          <w:bCs/>
          <w:sz w:val="24"/>
          <w:szCs w:val="24"/>
        </w:rPr>
        <w:t xml:space="preserve"> be </w:t>
      </w:r>
      <w:r>
        <w:rPr>
          <w:rFonts w:ascii="Times New Roman" w:hAnsi="Times New Roman"/>
          <w:b/>
          <w:bCs/>
          <w:sz w:val="24"/>
          <w:szCs w:val="24"/>
        </w:rPr>
        <w:t>prepared t</w:t>
      </w:r>
      <w:r w:rsidRPr="00B8368A">
        <w:rPr>
          <w:rFonts w:ascii="Times New Roman" w:hAnsi="Times New Roman"/>
          <w:b/>
          <w:bCs/>
          <w:sz w:val="24"/>
          <w:szCs w:val="24"/>
        </w:rPr>
        <w:t>o avoid costly litigation.</w:t>
      </w:r>
    </w:p>
    <w:p w14:paraId="7D2F863C" w14:textId="233D98BF" w:rsidR="00B8368A" w:rsidRDefault="00B8368A" w:rsidP="00297434">
      <w:pPr>
        <w:spacing w:before="100" w:beforeAutospacing="1" w:after="100" w:afterAutospacing="1" w:line="240" w:lineRule="auto"/>
        <w:rPr>
          <w:rFonts w:ascii="Times New Roman" w:hAnsi="Times New Roman"/>
          <w:b/>
          <w:bCs/>
          <w:sz w:val="24"/>
          <w:szCs w:val="24"/>
        </w:rPr>
      </w:pPr>
    </w:p>
    <w:p w14:paraId="0D198F10" w14:textId="77777777" w:rsidR="00B8368A" w:rsidRPr="00B8368A" w:rsidRDefault="00B8368A" w:rsidP="00297434">
      <w:pPr>
        <w:spacing w:before="100" w:beforeAutospacing="1" w:after="100" w:afterAutospacing="1" w:line="240" w:lineRule="auto"/>
        <w:rPr>
          <w:rFonts w:ascii="Times New Roman" w:hAnsi="Times New Roman"/>
          <w:b/>
          <w:bCs/>
          <w:sz w:val="24"/>
          <w:szCs w:val="24"/>
        </w:rPr>
      </w:pPr>
    </w:p>
    <w:p w14:paraId="78892DE8" w14:textId="17B9C350" w:rsidR="00297434" w:rsidRDefault="00297434" w:rsidP="00297434">
      <w:pPr>
        <w:spacing w:before="100" w:beforeAutospacing="1" w:after="100" w:afterAutospacing="1" w:line="240" w:lineRule="auto"/>
        <w:rPr>
          <w:rFonts w:ascii="Arial Black" w:hAnsi="Arial Black"/>
          <w:sz w:val="28"/>
          <w:szCs w:val="28"/>
        </w:rPr>
      </w:pPr>
      <w:r>
        <w:rPr>
          <w:rFonts w:ascii="Arial Black" w:hAnsi="Arial Black"/>
          <w:sz w:val="24"/>
          <w:szCs w:val="24"/>
        </w:rPr>
        <w:t>16-20</w:t>
      </w:r>
      <w:r>
        <w:rPr>
          <w:rFonts w:ascii="Arial Black" w:hAnsi="Arial Black"/>
          <w:sz w:val="24"/>
          <w:szCs w:val="24"/>
        </w:rPr>
        <w:br/>
      </w:r>
      <w:r>
        <w:rPr>
          <w:rFonts w:ascii="Arial Black" w:hAnsi="Arial Black"/>
          <w:sz w:val="24"/>
          <w:szCs w:val="24"/>
        </w:rPr>
        <w:br/>
      </w:r>
      <w:r>
        <w:rPr>
          <w:rFonts w:ascii="Arial Black" w:hAnsi="Arial Black"/>
          <w:sz w:val="28"/>
          <w:szCs w:val="28"/>
        </w:rPr>
        <w:lastRenderedPageBreak/>
        <w:t>OR:  SHORTLY AFTER UNION FORMED - FD STARTED USING PRIVATE INVESTIGATOR, SUPERVISOR NOTES – UNFAIR LABOR PRACTICE</w:t>
      </w:r>
    </w:p>
    <w:p w14:paraId="1D82CDA4" w14:textId="05B1E746" w:rsidR="00297434" w:rsidRDefault="00297434" w:rsidP="00297434">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On Dec. 5, 2019, in </w:t>
      </w:r>
      <w:r>
        <w:rPr>
          <w:rFonts w:ascii="Times New Roman" w:hAnsi="Times New Roman"/>
          <w:sz w:val="24"/>
          <w:szCs w:val="24"/>
          <w:u w:val="single"/>
        </w:rPr>
        <w:t>Crook County Firefighters Association, IAFF Local 5115 v. Crook County Fire &amp; Rescue</w:t>
      </w:r>
      <w:r>
        <w:rPr>
          <w:rFonts w:ascii="Times New Roman" w:hAnsi="Times New Roman"/>
          <w:sz w:val="24"/>
          <w:szCs w:val="24"/>
        </w:rPr>
        <w:t xml:space="preserve">, the Oregon Employment Relations Board found that the Fire Department “committed an unfair labor practice” after the Local was formed in </w:t>
      </w:r>
      <w:proofErr w:type="gramStart"/>
      <w:r>
        <w:rPr>
          <w:rFonts w:ascii="Times New Roman" w:hAnsi="Times New Roman"/>
          <w:sz w:val="24"/>
          <w:szCs w:val="24"/>
        </w:rPr>
        <w:t>September,</w:t>
      </w:r>
      <w:proofErr w:type="gramEnd"/>
      <w:r>
        <w:rPr>
          <w:rFonts w:ascii="Times New Roman" w:hAnsi="Times New Roman"/>
          <w:sz w:val="24"/>
          <w:szCs w:val="24"/>
        </w:rPr>
        <w:t xml:space="preserve"> 2017.</w:t>
      </w:r>
    </w:p>
    <w:p w14:paraId="3E17C30D" w14:textId="77777777" w:rsidR="00297434" w:rsidRDefault="00297434" w:rsidP="00297434">
      <w:pPr>
        <w:pStyle w:val="NoSpacing"/>
        <w:ind w:left="720"/>
        <w:rPr>
          <w:rFonts w:ascii="Times New Roman" w:hAnsi="Times New Roman"/>
          <w:sz w:val="24"/>
          <w:szCs w:val="24"/>
        </w:rPr>
      </w:pPr>
      <w:r>
        <w:rPr>
          <w:rFonts w:ascii="Times New Roman" w:hAnsi="Times New Roman"/>
          <w:sz w:val="24"/>
          <w:szCs w:val="24"/>
        </w:rPr>
        <w:t xml:space="preserve">“To briefly summarize: after the employees organized, the </w:t>
      </w:r>
      <w:proofErr w:type="gramStart"/>
      <w:r>
        <w:rPr>
          <w:rFonts w:ascii="Times New Roman" w:hAnsi="Times New Roman"/>
          <w:sz w:val="24"/>
          <w:szCs w:val="24"/>
        </w:rPr>
        <w:t>District</w:t>
      </w:r>
      <w:proofErr w:type="gramEnd"/>
      <w:r>
        <w:rPr>
          <w:rFonts w:ascii="Times New Roman" w:hAnsi="Times New Roman"/>
          <w:sz w:val="24"/>
          <w:szCs w:val="24"/>
        </w:rPr>
        <w:t xml:space="preserve"> started using a private, third-party investigator to investigate some, but not all, complaints or concerns about employee conduct, and started using supervisory notes to more comprehensively and formally document employee conduct, and coaching and counseling. When employees expressed concerns about the potentially negative employment implications of the </w:t>
      </w:r>
      <w:proofErr w:type="gramStart"/>
      <w:r>
        <w:rPr>
          <w:rFonts w:ascii="Times New Roman" w:hAnsi="Times New Roman"/>
          <w:sz w:val="24"/>
          <w:szCs w:val="24"/>
        </w:rPr>
        <w:t>District's</w:t>
      </w:r>
      <w:proofErr w:type="gramEnd"/>
      <w:r>
        <w:rPr>
          <w:rFonts w:ascii="Times New Roman" w:hAnsi="Times New Roman"/>
          <w:sz w:val="24"/>
          <w:szCs w:val="24"/>
        </w:rPr>
        <w:t xml:space="preserve"> actions, or perceived differences in how Association supporters were being treated, and asked for explanations, the chiefs, on multiple occasions, expressly attributed the employer's actions to ‘the union.’ Given the parties' history, including the fact that the employees had only recently organized, Association-represented employees could reasonably fear that exercising their PECBA-guaranteed rights would result in undesired changes (i.e., increased formality and  documentation),  as well as heightened scrutiny and less favorable judgments from their </w:t>
      </w:r>
      <w:proofErr w:type="gramStart"/>
      <w:r>
        <w:rPr>
          <w:rFonts w:ascii="Times New Roman" w:hAnsi="Times New Roman"/>
          <w:sz w:val="24"/>
          <w:szCs w:val="24"/>
        </w:rPr>
        <w:t>supervisors.”</w:t>
      </w:r>
      <w:proofErr w:type="gramEnd"/>
    </w:p>
    <w:p w14:paraId="30A2A596" w14:textId="31E17E39" w:rsidR="00297434" w:rsidRDefault="00297434" w:rsidP="00297434">
      <w:pPr>
        <w:pStyle w:val="NoSpacing"/>
        <w:ind w:left="720"/>
        <w:rPr>
          <w:rFonts w:ascii="Times New Roman" w:hAnsi="Times New Roman"/>
          <w:sz w:val="24"/>
          <w:szCs w:val="24"/>
        </w:rPr>
      </w:pPr>
      <w:hyperlink r:id="rId2772" w:history="1">
        <w:r>
          <w:rPr>
            <w:rStyle w:val="Hyperlink"/>
            <w:rFonts w:ascii="Times New Roman" w:hAnsi="Times New Roman"/>
            <w:sz w:val="24"/>
            <w:szCs w:val="24"/>
          </w:rPr>
          <w:t>https://apps.fastcase.com/Research/Pages/Document.aspx?LTID=ymjJQ%2bnA3gcD0uwW%2fXT8m74LrRSQo4n%2fvIMvSs06sm8gvhQE4Uja7b0PnhuF%2f4C2xuQogpx6q5d2KkmcmH7G9BxVUizxwq9%2bCSXj%2fVTkPcKayiYbCxXnu3qAsQnurF1%2fEGlhVwGun1DCyEjfhN2WDA%3d%3d</w:t>
        </w:r>
      </w:hyperlink>
      <w:r>
        <w:rPr>
          <w:rFonts w:ascii="Times New Roman" w:hAnsi="Times New Roman"/>
          <w:sz w:val="24"/>
          <w:szCs w:val="24"/>
        </w:rPr>
        <w:t xml:space="preserve"> </w:t>
      </w:r>
    </w:p>
    <w:p w14:paraId="32B42FCB" w14:textId="459A457A" w:rsidR="00297434" w:rsidRDefault="00297434" w:rsidP="00297434">
      <w:pPr>
        <w:pStyle w:val="NoSpacing"/>
        <w:ind w:left="720"/>
        <w:rPr>
          <w:rFonts w:ascii="Times New Roman" w:hAnsi="Times New Roman"/>
          <w:sz w:val="24"/>
          <w:szCs w:val="24"/>
        </w:rPr>
      </w:pPr>
    </w:p>
    <w:p w14:paraId="60847410" w14:textId="77777777" w:rsidR="00297434" w:rsidRDefault="00297434" w:rsidP="00297434">
      <w:pPr>
        <w:pStyle w:val="NoSpacing"/>
        <w:rPr>
          <w:rFonts w:ascii="Times New Roman" w:hAnsi="Times New Roman"/>
          <w:b/>
          <w:bCs/>
          <w:sz w:val="24"/>
          <w:szCs w:val="24"/>
        </w:rPr>
      </w:pPr>
      <w:r>
        <w:rPr>
          <w:rFonts w:ascii="Times New Roman" w:hAnsi="Times New Roman"/>
          <w:b/>
          <w:bCs/>
          <w:sz w:val="24"/>
          <w:szCs w:val="24"/>
        </w:rPr>
        <w:t xml:space="preserve">Legal Lessons Learned: New disciplinary processes implemented shortly after a union has been formed can lead to a “unfair labor practice” complaint.  Under Oregon statutes, it is an unfair labor practice to: </w:t>
      </w:r>
      <w:r>
        <w:rPr>
          <w:rStyle w:val="outlineheading2"/>
          <w:rFonts w:ascii="Times New Roman" w:hAnsi="Times New Roman"/>
          <w:b/>
          <w:bCs/>
          <w:sz w:val="24"/>
          <w:szCs w:val="24"/>
        </w:rPr>
        <w:t xml:space="preserve"> “(a)</w:t>
      </w:r>
      <w:r>
        <w:rPr>
          <w:rFonts w:ascii="Times New Roman" w:hAnsi="Times New Roman"/>
          <w:b/>
          <w:bCs/>
          <w:sz w:val="24"/>
          <w:szCs w:val="24"/>
        </w:rPr>
        <w:t xml:space="preserve"> Interfere with, restrain or coerce any employee in or because of the exercise of any right guaranteed under ORS </w:t>
      </w:r>
      <w:hyperlink r:id="rId2773" w:history="1">
        <w:r>
          <w:rPr>
            <w:rStyle w:val="Hyperlink"/>
            <w:rFonts w:ascii="Times New Roman" w:hAnsi="Times New Roman"/>
            <w:b/>
            <w:bCs/>
            <w:sz w:val="24"/>
            <w:szCs w:val="24"/>
          </w:rPr>
          <w:t xml:space="preserve">243.650 </w:t>
        </w:r>
        <w:r>
          <w:rPr>
            <w:rStyle w:val="annotation"/>
            <w:rFonts w:ascii="Times New Roman" w:hAnsi="Times New Roman"/>
            <w:b/>
            <w:bCs/>
            <w:sz w:val="24"/>
            <w:szCs w:val="24"/>
          </w:rPr>
          <w:t>(Definitions for ORS 243.650 to 243.782)</w:t>
        </w:r>
      </w:hyperlink>
      <w:r>
        <w:rPr>
          <w:rFonts w:ascii="Times New Roman" w:hAnsi="Times New Roman"/>
          <w:b/>
          <w:bCs/>
          <w:sz w:val="24"/>
          <w:szCs w:val="24"/>
        </w:rPr>
        <w:t xml:space="preserve"> to </w:t>
      </w:r>
      <w:hyperlink r:id="rId2774" w:history="1">
        <w:r>
          <w:rPr>
            <w:rStyle w:val="Hyperlink"/>
            <w:rFonts w:ascii="Times New Roman" w:hAnsi="Times New Roman"/>
            <w:b/>
            <w:bCs/>
            <w:sz w:val="24"/>
            <w:szCs w:val="24"/>
          </w:rPr>
          <w:t xml:space="preserve">243.782 </w:t>
        </w:r>
        <w:r>
          <w:rPr>
            <w:rStyle w:val="annotation"/>
            <w:rFonts w:ascii="Times New Roman" w:hAnsi="Times New Roman"/>
            <w:b/>
            <w:bCs/>
            <w:sz w:val="24"/>
            <w:szCs w:val="24"/>
          </w:rPr>
          <w:t>(Representation by counsel authorized)</w:t>
        </w:r>
      </w:hyperlink>
      <w:r>
        <w:rPr>
          <w:rFonts w:ascii="Times New Roman" w:hAnsi="Times New Roman"/>
          <w:b/>
          <w:bCs/>
          <w:sz w:val="24"/>
          <w:szCs w:val="24"/>
        </w:rPr>
        <w:t xml:space="preserve">.”  </w:t>
      </w:r>
      <w:hyperlink r:id="rId2775" w:history="1">
        <w:r>
          <w:rPr>
            <w:rStyle w:val="Hyperlink"/>
            <w:rFonts w:ascii="Times New Roman" w:hAnsi="Times New Roman"/>
            <w:b/>
            <w:bCs/>
            <w:sz w:val="24"/>
            <w:szCs w:val="24"/>
          </w:rPr>
          <w:t>https://www.oregonlaws.org/ors/243.672</w:t>
        </w:r>
      </w:hyperlink>
      <w:r>
        <w:rPr>
          <w:rFonts w:ascii="Times New Roman" w:hAnsi="Times New Roman"/>
          <w:b/>
          <w:bCs/>
          <w:sz w:val="24"/>
          <w:szCs w:val="24"/>
        </w:rPr>
        <w:t xml:space="preserve"> </w:t>
      </w:r>
    </w:p>
    <w:p w14:paraId="54657ABA" w14:textId="77777777" w:rsidR="00297434" w:rsidRDefault="00297434" w:rsidP="00297434">
      <w:pPr>
        <w:pStyle w:val="NoSpacing"/>
        <w:rPr>
          <w:rFonts w:ascii="Times New Roman" w:hAnsi="Times New Roman"/>
          <w:b/>
          <w:bCs/>
          <w:sz w:val="24"/>
          <w:szCs w:val="24"/>
        </w:rPr>
      </w:pPr>
    </w:p>
    <w:p w14:paraId="4A684524" w14:textId="15022546" w:rsidR="00297434" w:rsidRDefault="00297434" w:rsidP="00297434">
      <w:pPr>
        <w:pStyle w:val="NoSpacing"/>
        <w:rPr>
          <w:rFonts w:ascii="Times New Roman" w:hAnsi="Times New Roman"/>
          <w:sz w:val="24"/>
          <w:szCs w:val="24"/>
        </w:rPr>
      </w:pPr>
    </w:p>
    <w:p w14:paraId="68147D2A" w14:textId="6AB7397E" w:rsidR="00297434" w:rsidRDefault="00297434" w:rsidP="00F326E5">
      <w:pPr>
        <w:pStyle w:val="NoSpacing"/>
        <w:rPr>
          <w:rFonts w:ascii="Arial Black" w:hAnsi="Arial Black"/>
          <w:sz w:val="24"/>
          <w:szCs w:val="24"/>
        </w:rPr>
      </w:pPr>
    </w:p>
    <w:p w14:paraId="6732209A" w14:textId="77777777" w:rsidR="00297434" w:rsidRDefault="00297434" w:rsidP="00F326E5">
      <w:pPr>
        <w:pStyle w:val="NoSpacing"/>
        <w:rPr>
          <w:rFonts w:ascii="Arial Black" w:hAnsi="Arial Black"/>
          <w:sz w:val="24"/>
          <w:szCs w:val="24"/>
        </w:rPr>
      </w:pPr>
    </w:p>
    <w:p w14:paraId="25088449" w14:textId="7512A433" w:rsidR="00297434" w:rsidRDefault="00297434" w:rsidP="00F326E5">
      <w:pPr>
        <w:pStyle w:val="NoSpacing"/>
        <w:rPr>
          <w:rFonts w:ascii="Arial Black" w:hAnsi="Arial Black"/>
          <w:sz w:val="24"/>
          <w:szCs w:val="24"/>
        </w:rPr>
      </w:pPr>
      <w:r>
        <w:rPr>
          <w:rFonts w:ascii="Arial Black" w:hAnsi="Arial Black"/>
          <w:sz w:val="24"/>
          <w:szCs w:val="24"/>
        </w:rPr>
        <w:t>16-19</w:t>
      </w:r>
    </w:p>
    <w:p w14:paraId="51ED5777" w14:textId="7C2DC461" w:rsidR="00297434" w:rsidRDefault="00297434" w:rsidP="00F326E5">
      <w:pPr>
        <w:pStyle w:val="NoSpacing"/>
        <w:rPr>
          <w:rFonts w:ascii="Arial Black" w:hAnsi="Arial Black"/>
          <w:sz w:val="24"/>
          <w:szCs w:val="24"/>
        </w:rPr>
      </w:pPr>
    </w:p>
    <w:p w14:paraId="08BCD668" w14:textId="77777777" w:rsidR="00297434" w:rsidRDefault="00297434" w:rsidP="00297434">
      <w:pPr>
        <w:pStyle w:val="NoSpacing"/>
        <w:rPr>
          <w:rFonts w:ascii="Arial Black" w:hAnsi="Arial Black"/>
          <w:sz w:val="28"/>
          <w:szCs w:val="28"/>
        </w:rPr>
      </w:pPr>
      <w:r>
        <w:rPr>
          <w:rFonts w:ascii="Arial Black" w:hAnsi="Arial Black"/>
          <w:sz w:val="28"/>
          <w:szCs w:val="28"/>
        </w:rPr>
        <w:t>LA: FF “BILL OF RIGHTS” VIOLATED – FF INTERVIEWED BY SENIOR FD OFFICER AFTER ARREST FOR ROAD RAGE</w:t>
      </w:r>
    </w:p>
    <w:p w14:paraId="4F79F69F" w14:textId="77777777" w:rsidR="00297434" w:rsidRDefault="00297434" w:rsidP="00297434">
      <w:pPr>
        <w:pStyle w:val="NoSpacing"/>
        <w:rPr>
          <w:rFonts w:ascii="Times New Roman" w:hAnsi="Times New Roman"/>
          <w:sz w:val="24"/>
          <w:szCs w:val="24"/>
        </w:rPr>
      </w:pPr>
    </w:p>
    <w:p w14:paraId="14F71D5D" w14:textId="77777777" w:rsidR="00297434" w:rsidRDefault="00297434" w:rsidP="00297434">
      <w:pPr>
        <w:pStyle w:val="NoSpacing"/>
        <w:rPr>
          <w:rFonts w:ascii="Times New Roman" w:hAnsi="Times New Roman"/>
          <w:sz w:val="24"/>
          <w:szCs w:val="24"/>
        </w:rPr>
      </w:pPr>
      <w:r>
        <w:rPr>
          <w:rFonts w:ascii="Times New Roman" w:hAnsi="Times New Roman"/>
          <w:sz w:val="24"/>
          <w:szCs w:val="24"/>
        </w:rPr>
        <w:t xml:space="preserve">On Dec. 4, 2019, in </w:t>
      </w:r>
      <w:r>
        <w:rPr>
          <w:rFonts w:ascii="Times New Roman" w:hAnsi="Times New Roman"/>
          <w:sz w:val="24"/>
          <w:szCs w:val="24"/>
          <w:u w:val="single"/>
        </w:rPr>
        <w:t>Jonathan Farrelly v. Jefferson Parish East Bank Consolidated Fire District</w:t>
      </w:r>
      <w:r>
        <w:rPr>
          <w:rFonts w:ascii="Times New Roman" w:hAnsi="Times New Roman"/>
          <w:sz w:val="24"/>
          <w:szCs w:val="24"/>
        </w:rPr>
        <w:t>, the Fifth Circuit Court of Appeals held (3 to 0) that FD violated the Firefighter Bill of Rights.</w:t>
      </w:r>
    </w:p>
    <w:p w14:paraId="672E25F7" w14:textId="77777777" w:rsidR="00297434" w:rsidRDefault="00297434" w:rsidP="00297434">
      <w:pPr>
        <w:pStyle w:val="NoSpacing"/>
        <w:rPr>
          <w:rFonts w:ascii="Times New Roman" w:hAnsi="Times New Roman"/>
          <w:sz w:val="24"/>
          <w:szCs w:val="24"/>
        </w:rPr>
      </w:pPr>
    </w:p>
    <w:p w14:paraId="707362DF" w14:textId="77777777" w:rsidR="00297434" w:rsidRDefault="00297434" w:rsidP="00297434">
      <w:pPr>
        <w:pStyle w:val="NoSpacing"/>
        <w:ind w:left="720"/>
        <w:rPr>
          <w:rFonts w:ascii="Times New Roman" w:hAnsi="Times New Roman"/>
          <w:sz w:val="24"/>
          <w:szCs w:val="24"/>
        </w:rPr>
      </w:pPr>
      <w:r>
        <w:rPr>
          <w:rFonts w:ascii="Times New Roman" w:hAnsi="Times New Roman"/>
          <w:sz w:val="24"/>
          <w:szCs w:val="24"/>
        </w:rPr>
        <w:t xml:space="preserve">“Without the presence of counsel, Farrelly was asked to discuss facts relating to a pending criminal prosecution. While the Firefighter Bill of Rights provides that statements made </w:t>
      </w:r>
      <w:proofErr w:type="gramStart"/>
      <w:r>
        <w:rPr>
          <w:rFonts w:ascii="Times New Roman" w:hAnsi="Times New Roman"/>
          <w:sz w:val="24"/>
          <w:szCs w:val="24"/>
        </w:rPr>
        <w:t>during the course of</w:t>
      </w:r>
      <w:proofErr w:type="gramEnd"/>
      <w:r>
        <w:rPr>
          <w:rFonts w:ascii="Times New Roman" w:hAnsi="Times New Roman"/>
          <w:sz w:val="24"/>
          <w:szCs w:val="24"/>
        </w:rPr>
        <w:t xml:space="preserve"> an administrative investigation shall not be admissible in a criminal proceeding, Farrelly was not informed of these rights at the time of the meeting. La. R.S. 33:2181(B)(7). He was not advised whether his disclosures to his employers could adversely affect his impending criminal case. He may have felt that he had to answer the questions of his superiors as Department Rules and Regulation, Article X Section 3:06 states ‘[a]</w:t>
      </w:r>
      <w:proofErr w:type="spellStart"/>
      <w:r>
        <w:rPr>
          <w:rFonts w:ascii="Times New Roman" w:hAnsi="Times New Roman"/>
          <w:sz w:val="24"/>
          <w:szCs w:val="24"/>
        </w:rPr>
        <w:t>ny</w:t>
      </w:r>
      <w:proofErr w:type="spellEnd"/>
      <w:r>
        <w:rPr>
          <w:rFonts w:ascii="Times New Roman" w:hAnsi="Times New Roman"/>
          <w:sz w:val="24"/>
          <w:szCs w:val="24"/>
        </w:rPr>
        <w:t xml:space="preserve"> member who, when so directed by authority, refuses to answer questions or render statements, material, etc. relevant to any Department investigation shall be subject to disciplinary action.’ Furthermore, when the Department seeks information regarding conduct that results in an arrest, the details of the conduct can be confirmed through the police report.” </w:t>
      </w:r>
    </w:p>
    <w:p w14:paraId="38B166AD" w14:textId="0957C172" w:rsidR="00297434" w:rsidRDefault="00297434" w:rsidP="00297434">
      <w:pPr>
        <w:pStyle w:val="NoSpacing"/>
        <w:rPr>
          <w:rStyle w:val="Hyperlink"/>
          <w:rFonts w:ascii="Times New Roman" w:hAnsi="Times New Roman"/>
          <w:sz w:val="24"/>
          <w:szCs w:val="24"/>
        </w:rPr>
      </w:pPr>
      <w:hyperlink r:id="rId2776" w:history="1">
        <w:r>
          <w:rPr>
            <w:rStyle w:val="Hyperlink"/>
            <w:rFonts w:ascii="Times New Roman" w:hAnsi="Times New Roman"/>
            <w:sz w:val="24"/>
            <w:szCs w:val="24"/>
          </w:rPr>
          <w:t>http://www.fifthcircuit.org/dmzdocs/OI/PO/2019/D2D01276-0CAB-4C3C-8746-E6A5E19BC45A.pdf</w:t>
        </w:r>
      </w:hyperlink>
    </w:p>
    <w:p w14:paraId="06A4D58F" w14:textId="7CA189B1" w:rsidR="00297434" w:rsidRDefault="00297434" w:rsidP="00297434">
      <w:pPr>
        <w:pStyle w:val="NoSpacing"/>
        <w:rPr>
          <w:rStyle w:val="Hyperlink"/>
          <w:rFonts w:ascii="Times New Roman" w:hAnsi="Times New Roman"/>
          <w:sz w:val="24"/>
          <w:szCs w:val="24"/>
        </w:rPr>
      </w:pPr>
    </w:p>
    <w:p w14:paraId="71024EE5" w14:textId="77777777" w:rsidR="00297434" w:rsidRDefault="00297434" w:rsidP="00297434">
      <w:pPr>
        <w:pStyle w:val="NoSpacing"/>
        <w:ind w:left="-90"/>
        <w:rPr>
          <w:rFonts w:ascii="Times New Roman" w:hAnsi="Times New Roman"/>
          <w:b/>
          <w:bCs/>
          <w:sz w:val="24"/>
          <w:szCs w:val="24"/>
        </w:rPr>
      </w:pPr>
      <w:r>
        <w:rPr>
          <w:rFonts w:ascii="Times New Roman" w:hAnsi="Times New Roman"/>
          <w:b/>
          <w:bCs/>
          <w:sz w:val="24"/>
          <w:szCs w:val="24"/>
        </w:rPr>
        <w:t xml:space="preserve">Legal Lessons Learned: When the FF returned to work, he should have only been interviewed by his immediate supervisors, who in turn could advise the senior officers what they had learned.   See the Louisiana statute: FIRE EMPLOYEE'S RIGHTS: </w:t>
      </w:r>
    </w:p>
    <w:p w14:paraId="0099A3F4" w14:textId="77777777" w:rsidR="00297434" w:rsidRDefault="00297434" w:rsidP="00297434">
      <w:pPr>
        <w:pStyle w:val="NoSpacing"/>
        <w:ind w:left="720"/>
        <w:rPr>
          <w:rFonts w:ascii="Times New Roman" w:hAnsi="Times New Roman"/>
          <w:sz w:val="24"/>
          <w:szCs w:val="24"/>
        </w:rPr>
      </w:pPr>
      <w:r>
        <w:rPr>
          <w:rFonts w:ascii="Times New Roman" w:hAnsi="Times New Roman"/>
          <w:b/>
          <w:bCs/>
          <w:sz w:val="24"/>
          <w:szCs w:val="24"/>
        </w:rPr>
        <w:t>(2)</w:t>
      </w:r>
      <w:r>
        <w:t xml:space="preserve"> </w:t>
      </w:r>
      <w:r>
        <w:rPr>
          <w:rFonts w:ascii="Times New Roman" w:hAnsi="Times New Roman"/>
          <w:b/>
          <w:bCs/>
          <w:sz w:val="24"/>
          <w:szCs w:val="24"/>
        </w:rPr>
        <w:t xml:space="preserve">"Interrogation" includes but is not limited to any formal interview, inquiry, or questioning of any fire employee by the appointing authority or the appointing authority's designee regarding misconduct, allegations of misconduct, or policy violation. An initial inquiry conducted by the fire employee's immediate supervisors </w:t>
      </w:r>
      <w:r w:rsidRPr="00880E83">
        <w:rPr>
          <w:rFonts w:ascii="Times New Roman" w:hAnsi="Times New Roman"/>
          <w:b/>
          <w:bCs/>
          <w:sz w:val="24"/>
          <w:szCs w:val="24"/>
        </w:rPr>
        <w:t>shall not be considered an interrogation.</w:t>
      </w:r>
      <w:r>
        <w:rPr>
          <w:rFonts w:ascii="Times New Roman" w:hAnsi="Times New Roman"/>
          <w:sz w:val="24"/>
          <w:szCs w:val="24"/>
        </w:rPr>
        <w:t xml:space="preserve"> </w:t>
      </w:r>
      <w:hyperlink r:id="rId2777" w:history="1">
        <w:r>
          <w:rPr>
            <w:rStyle w:val="Hyperlink"/>
            <w:rFonts w:ascii="Times New Roman" w:hAnsi="Times New Roman"/>
            <w:sz w:val="24"/>
            <w:szCs w:val="24"/>
          </w:rPr>
          <w:t>https://law.justia.com/codes/louisiana/2012/rs/title33/rs33-2181/</w:t>
        </w:r>
      </w:hyperlink>
      <w:r>
        <w:rPr>
          <w:rFonts w:ascii="Times New Roman" w:hAnsi="Times New Roman"/>
          <w:sz w:val="24"/>
          <w:szCs w:val="24"/>
        </w:rPr>
        <w:t xml:space="preserve"> </w:t>
      </w:r>
    </w:p>
    <w:p w14:paraId="4EFE3344" w14:textId="0901A95F" w:rsidR="00297434" w:rsidRDefault="00297434" w:rsidP="00297434">
      <w:pPr>
        <w:pStyle w:val="NoSpacing"/>
        <w:rPr>
          <w:rStyle w:val="Hyperlink"/>
          <w:rFonts w:ascii="Times New Roman" w:hAnsi="Times New Roman"/>
          <w:sz w:val="24"/>
          <w:szCs w:val="24"/>
        </w:rPr>
      </w:pPr>
    </w:p>
    <w:p w14:paraId="1FCB6A0B" w14:textId="0E5CB4CA" w:rsidR="00297434" w:rsidRPr="00297434" w:rsidRDefault="00297434" w:rsidP="00297434">
      <w:pPr>
        <w:pStyle w:val="NoSpacing"/>
        <w:rPr>
          <w:rFonts w:ascii="Times New Roman" w:hAnsi="Times New Roman"/>
          <w:sz w:val="24"/>
          <w:szCs w:val="24"/>
        </w:rPr>
      </w:pPr>
    </w:p>
    <w:p w14:paraId="62BB590D" w14:textId="77777777" w:rsidR="00297434" w:rsidRDefault="00297434" w:rsidP="00F326E5">
      <w:pPr>
        <w:pStyle w:val="NoSpacing"/>
        <w:rPr>
          <w:rFonts w:ascii="Arial Black" w:hAnsi="Arial Black"/>
          <w:sz w:val="24"/>
          <w:szCs w:val="24"/>
        </w:rPr>
      </w:pPr>
    </w:p>
    <w:p w14:paraId="0E96E3D4" w14:textId="4BC56513" w:rsidR="00297434" w:rsidRDefault="00297434" w:rsidP="00F326E5">
      <w:pPr>
        <w:pStyle w:val="NoSpacing"/>
        <w:rPr>
          <w:rFonts w:ascii="Arial Black" w:hAnsi="Arial Black"/>
          <w:sz w:val="24"/>
          <w:szCs w:val="24"/>
        </w:rPr>
      </w:pPr>
      <w:r>
        <w:rPr>
          <w:rFonts w:ascii="Arial Black" w:hAnsi="Arial Black"/>
          <w:sz w:val="24"/>
          <w:szCs w:val="24"/>
        </w:rPr>
        <w:t>16-18</w:t>
      </w:r>
    </w:p>
    <w:p w14:paraId="6EC374A3" w14:textId="5B5E7492" w:rsidR="00297434" w:rsidRDefault="00297434" w:rsidP="00F326E5">
      <w:pPr>
        <w:pStyle w:val="NoSpacing"/>
        <w:rPr>
          <w:rFonts w:ascii="Arial Black" w:hAnsi="Arial Black"/>
          <w:sz w:val="24"/>
          <w:szCs w:val="24"/>
        </w:rPr>
      </w:pPr>
    </w:p>
    <w:p w14:paraId="13E438D3" w14:textId="77777777" w:rsidR="00297434" w:rsidRDefault="00297434" w:rsidP="00297434">
      <w:pPr>
        <w:pStyle w:val="Heading1"/>
        <w:rPr>
          <w:rFonts w:ascii="Arial Black" w:hAnsi="Arial Black"/>
          <w:sz w:val="28"/>
          <w:szCs w:val="28"/>
        </w:rPr>
      </w:pPr>
      <w:r>
        <w:rPr>
          <w:rFonts w:ascii="Arial Black" w:hAnsi="Arial Black"/>
          <w:sz w:val="28"/>
          <w:szCs w:val="28"/>
        </w:rPr>
        <w:t>MI: FF COMPLAINED PORN, OSHA VIOLATIONS – FIRED FOR MISCHARGING TIME - “RETALIATION” CLAIM REINSTATED</w:t>
      </w:r>
    </w:p>
    <w:p w14:paraId="3564B60B" w14:textId="77777777" w:rsidR="00297434" w:rsidRDefault="00297434" w:rsidP="00297434">
      <w:pPr>
        <w:pStyle w:val="Heading1"/>
        <w:rPr>
          <w:b w:val="0"/>
          <w:bCs w:val="0"/>
          <w:sz w:val="24"/>
          <w:szCs w:val="24"/>
        </w:rPr>
      </w:pPr>
      <w:r>
        <w:rPr>
          <w:b w:val="0"/>
          <w:bCs w:val="0"/>
          <w:sz w:val="24"/>
          <w:szCs w:val="24"/>
        </w:rPr>
        <w:t xml:space="preserve">On Nov. 22, 2019, in </w:t>
      </w:r>
      <w:r>
        <w:rPr>
          <w:b w:val="0"/>
          <w:bCs w:val="0"/>
          <w:sz w:val="24"/>
          <w:szCs w:val="24"/>
          <w:u w:val="single"/>
        </w:rPr>
        <w:t>Peter Hudson v. City of Highland Park, Michigan, Derek Hillman; Makini Jackson</w:t>
      </w:r>
      <w:r>
        <w:rPr>
          <w:b w:val="0"/>
          <w:bCs w:val="0"/>
          <w:sz w:val="24"/>
          <w:szCs w:val="24"/>
        </w:rPr>
        <w:t>, the U.S. Court of Appeals for the 6</w:t>
      </w:r>
      <w:r>
        <w:rPr>
          <w:b w:val="0"/>
          <w:bCs w:val="0"/>
          <w:sz w:val="24"/>
          <w:szCs w:val="24"/>
          <w:vertAlign w:val="superscript"/>
        </w:rPr>
        <w:t>th</w:t>
      </w:r>
      <w:r>
        <w:rPr>
          <w:b w:val="0"/>
          <w:bCs w:val="0"/>
          <w:sz w:val="24"/>
          <w:szCs w:val="24"/>
        </w:rPr>
        <w:t xml:space="preserve"> Circuit (Cincinnati) held (3 to 0) that lawsuit should be reinstated against Fire Chief Dereck Hillman. </w:t>
      </w:r>
    </w:p>
    <w:p w14:paraId="73A89118" w14:textId="77777777" w:rsidR="00297434" w:rsidRDefault="00297434" w:rsidP="00297434">
      <w:pPr>
        <w:pStyle w:val="Heading1"/>
        <w:ind w:left="720"/>
        <w:rPr>
          <w:b w:val="0"/>
          <w:bCs w:val="0"/>
          <w:sz w:val="24"/>
          <w:szCs w:val="24"/>
        </w:rPr>
      </w:pPr>
      <w:r>
        <w:rPr>
          <w:b w:val="0"/>
          <w:bCs w:val="0"/>
          <w:sz w:val="24"/>
          <w:szCs w:val="24"/>
        </w:rPr>
        <w:t xml:space="preserve">“As to [Fire Chief Dereck] Hillman, Hudson’s claim stands on firmer ground. While the question is close, his amended complaint contained enough plausible allegations to move to the discovery stage of the case. For five years, Hudson openly criticized his co-workers’ behavior because he felt it hampered their ability to fight fires. Hillman knew about these comments (some concerned his behavior) and tolerated other firefighters’ dereliction of duty (some of them missed calls to respond to fires). As time passed, Hudson put his complaints into action. A year before his discharge, he filed a complaint with the Occupational Safety and Health Administration, alleging that the firefighters’ cavorting led to deficiencies in the station’s equipment. Hillman, at some point, told another firefighter that he had grown tired of Hudson’s complaints. Hillman eventually found a way to get rid of Hudson: He had falsified his timecard. Hillman fired him on that basis, even though he knew another firefighter had done the same thing. Hudson tells us why: ‘[Hillman] objected to Hudson’s religious convictions and wanted to stop Hudson[’s] outspokenness against the immorality of Hillman and the firemen.’ Id.at 15. Considering these </w:t>
      </w:r>
      <w:proofErr w:type="gramStart"/>
      <w:r>
        <w:rPr>
          <w:b w:val="0"/>
          <w:bCs w:val="0"/>
          <w:sz w:val="24"/>
          <w:szCs w:val="24"/>
        </w:rPr>
        <w:t>allegations as a whole, it’s</w:t>
      </w:r>
      <w:proofErr w:type="gramEnd"/>
      <w:r>
        <w:rPr>
          <w:b w:val="0"/>
          <w:bCs w:val="0"/>
          <w:sz w:val="24"/>
          <w:szCs w:val="24"/>
        </w:rPr>
        <w:t xml:space="preserve"> fair to say that they meet the notice pleading requirements of plausible allegations that Hillman fired Hudson because of his speech.” </w:t>
      </w:r>
      <w:hyperlink r:id="rId2778" w:history="1">
        <w:r>
          <w:rPr>
            <w:rStyle w:val="Hyperlink"/>
            <w:b w:val="0"/>
            <w:bCs w:val="0"/>
            <w:sz w:val="24"/>
            <w:szCs w:val="24"/>
          </w:rPr>
          <w:t>https://www.opn.ca6.uscourts.gov/opinions.pdf/19a0286p-06.pdf</w:t>
        </w:r>
      </w:hyperlink>
      <w:r>
        <w:rPr>
          <w:b w:val="0"/>
          <w:bCs w:val="0"/>
          <w:sz w:val="24"/>
          <w:szCs w:val="24"/>
        </w:rPr>
        <w:t xml:space="preserve"> </w:t>
      </w:r>
    </w:p>
    <w:p w14:paraId="427C3E4F" w14:textId="77777777" w:rsidR="00297434" w:rsidRDefault="00297434" w:rsidP="00297434">
      <w:pPr>
        <w:pStyle w:val="NoSpacing"/>
        <w:rPr>
          <w:rFonts w:ascii="Times New Roman" w:hAnsi="Times New Roman"/>
          <w:b/>
          <w:bCs/>
          <w:sz w:val="24"/>
          <w:szCs w:val="24"/>
        </w:rPr>
      </w:pPr>
      <w:r>
        <w:rPr>
          <w:rFonts w:ascii="Times New Roman" w:hAnsi="Times New Roman"/>
          <w:b/>
          <w:bCs/>
          <w:sz w:val="24"/>
          <w:szCs w:val="24"/>
        </w:rPr>
        <w:t xml:space="preserve">Legal Lessons Learned: Federal courts will carefully review claims of “retaliation” when firefighter is fired after an internal complaint, or OSHA complaint, has been submitted by the firefighter. </w:t>
      </w:r>
    </w:p>
    <w:p w14:paraId="336F3FAE" w14:textId="77777777" w:rsidR="00297434" w:rsidRPr="00297434" w:rsidRDefault="00297434" w:rsidP="00297434">
      <w:pPr>
        <w:pStyle w:val="NoSpacing"/>
        <w:ind w:left="720"/>
        <w:rPr>
          <w:rFonts w:ascii="Times New Roman" w:hAnsi="Times New Roman"/>
          <w:sz w:val="24"/>
          <w:szCs w:val="24"/>
        </w:rPr>
      </w:pPr>
    </w:p>
    <w:p w14:paraId="51AAD97C" w14:textId="1590725E" w:rsidR="00297434" w:rsidRPr="00297434" w:rsidRDefault="00297434" w:rsidP="00F326E5">
      <w:pPr>
        <w:pStyle w:val="NoSpacing"/>
        <w:rPr>
          <w:rFonts w:ascii="Times New Roman" w:hAnsi="Times New Roman"/>
          <w:sz w:val="24"/>
          <w:szCs w:val="24"/>
        </w:rPr>
      </w:pPr>
    </w:p>
    <w:p w14:paraId="4B0F877B" w14:textId="77777777" w:rsidR="00297434" w:rsidRDefault="00297434" w:rsidP="00F326E5">
      <w:pPr>
        <w:pStyle w:val="NoSpacing"/>
        <w:rPr>
          <w:rFonts w:ascii="Arial Black" w:hAnsi="Arial Black"/>
          <w:sz w:val="24"/>
          <w:szCs w:val="24"/>
        </w:rPr>
      </w:pPr>
    </w:p>
    <w:p w14:paraId="0E0E34AC" w14:textId="4DAEEEE4" w:rsidR="00A06387" w:rsidRDefault="00A06387" w:rsidP="00F326E5">
      <w:pPr>
        <w:pStyle w:val="NoSpacing"/>
        <w:rPr>
          <w:rFonts w:ascii="Arial Black" w:hAnsi="Arial Black"/>
          <w:sz w:val="24"/>
          <w:szCs w:val="24"/>
        </w:rPr>
      </w:pPr>
      <w:r>
        <w:rPr>
          <w:rFonts w:ascii="Arial Black" w:hAnsi="Arial Black"/>
          <w:sz w:val="24"/>
          <w:szCs w:val="24"/>
        </w:rPr>
        <w:t>16-17</w:t>
      </w:r>
    </w:p>
    <w:p w14:paraId="40F01D0C" w14:textId="56973B56" w:rsidR="00A06387" w:rsidRDefault="00A06387" w:rsidP="00F326E5">
      <w:pPr>
        <w:pStyle w:val="NoSpacing"/>
        <w:rPr>
          <w:rFonts w:ascii="Arial Black" w:hAnsi="Arial Black"/>
          <w:sz w:val="24"/>
          <w:szCs w:val="24"/>
        </w:rPr>
      </w:pPr>
    </w:p>
    <w:p w14:paraId="6EFD4534" w14:textId="77777777" w:rsidR="00A06387" w:rsidRPr="00AE7062" w:rsidRDefault="00A06387" w:rsidP="00A06387">
      <w:pPr>
        <w:pStyle w:val="NoSpacing"/>
        <w:rPr>
          <w:rFonts w:ascii="Arial Black" w:hAnsi="Arial Black"/>
          <w:sz w:val="28"/>
          <w:szCs w:val="28"/>
        </w:rPr>
      </w:pPr>
      <w:r w:rsidRPr="00AE7062">
        <w:rPr>
          <w:rFonts w:ascii="Arial Black" w:hAnsi="Arial Black"/>
          <w:sz w:val="28"/>
          <w:szCs w:val="28"/>
        </w:rPr>
        <w:t>TX</w:t>
      </w:r>
      <w:r>
        <w:rPr>
          <w:rFonts w:ascii="Arial Black" w:hAnsi="Arial Black"/>
          <w:sz w:val="28"/>
          <w:szCs w:val="28"/>
        </w:rPr>
        <w:t xml:space="preserve">: FF’S </w:t>
      </w:r>
      <w:r w:rsidRPr="00AE7062">
        <w:rPr>
          <w:rFonts w:ascii="Arial Black" w:hAnsi="Arial Black"/>
          <w:sz w:val="28"/>
          <w:szCs w:val="28"/>
        </w:rPr>
        <w:t xml:space="preserve">INTERNAL COMPLAINTS ABOUT FIRE CHIEF - NOT PROTECTED FIRST AMENDMENT – </w:t>
      </w:r>
      <w:r>
        <w:rPr>
          <w:rFonts w:ascii="Arial Black" w:hAnsi="Arial Black"/>
          <w:sz w:val="28"/>
          <w:szCs w:val="28"/>
        </w:rPr>
        <w:t xml:space="preserve">NOT </w:t>
      </w:r>
      <w:r w:rsidRPr="00AE7062">
        <w:rPr>
          <w:rFonts w:ascii="Arial Black" w:hAnsi="Arial Black"/>
          <w:sz w:val="28"/>
          <w:szCs w:val="28"/>
        </w:rPr>
        <w:t>“PUBLIC CONCERN”</w:t>
      </w:r>
    </w:p>
    <w:p w14:paraId="0554C073" w14:textId="77777777" w:rsidR="00A06387" w:rsidRDefault="00A06387" w:rsidP="00A06387">
      <w:pPr>
        <w:pStyle w:val="NoSpacing"/>
        <w:rPr>
          <w:rFonts w:ascii="TXArial Black" w:hAnsi="TXArial Black"/>
          <w:sz w:val="28"/>
          <w:szCs w:val="28"/>
        </w:rPr>
      </w:pPr>
    </w:p>
    <w:p w14:paraId="1F67BD31" w14:textId="77777777" w:rsidR="00A06387" w:rsidRPr="00B8368A" w:rsidRDefault="00A06387" w:rsidP="00A06387">
      <w:pPr>
        <w:pStyle w:val="NoSpacing"/>
        <w:rPr>
          <w:rFonts w:ascii="Times New Roman" w:hAnsi="Times New Roman"/>
          <w:b/>
          <w:bCs/>
          <w:sz w:val="24"/>
          <w:szCs w:val="24"/>
        </w:rPr>
      </w:pPr>
      <w:r w:rsidRPr="00B8368A">
        <w:rPr>
          <w:rFonts w:ascii="Times New Roman" w:hAnsi="Times New Roman"/>
          <w:bCs/>
          <w:sz w:val="24"/>
          <w:szCs w:val="24"/>
        </w:rPr>
        <w:t xml:space="preserve">On Oct. 10, 2019, in </w:t>
      </w:r>
      <w:r w:rsidRPr="00B8368A">
        <w:rPr>
          <w:rFonts w:ascii="Times New Roman" w:hAnsi="Times New Roman"/>
          <w:bCs/>
          <w:sz w:val="24"/>
          <w:szCs w:val="24"/>
          <w:u w:val="single"/>
        </w:rPr>
        <w:t>Billy Fratus v, The City of Baumont</w:t>
      </w:r>
      <w:r w:rsidRPr="00B8368A">
        <w:rPr>
          <w:rFonts w:ascii="Times New Roman" w:hAnsi="Times New Roman"/>
          <w:bCs/>
          <w:sz w:val="24"/>
          <w:szCs w:val="24"/>
        </w:rPr>
        <w:t>, the Court of Appeals, Ninth District of Texas at Beaumont, held (3 to 0) that trial court properly dismissed the firefighter’s lawsuit alleging he was fired [later reinstated] in retaliation for his internal complaints.</w:t>
      </w:r>
    </w:p>
    <w:p w14:paraId="69D1CA3A" w14:textId="77777777" w:rsidR="00A06387" w:rsidRPr="00B8368A" w:rsidRDefault="00A06387" w:rsidP="00A06387">
      <w:pPr>
        <w:pStyle w:val="NoSpacing"/>
        <w:rPr>
          <w:rFonts w:ascii="Times New Roman" w:hAnsi="Times New Roman"/>
          <w:b/>
          <w:bCs/>
          <w:sz w:val="24"/>
          <w:szCs w:val="24"/>
        </w:rPr>
      </w:pPr>
    </w:p>
    <w:p w14:paraId="4E878CC7" w14:textId="775730D5" w:rsidR="00A06387" w:rsidRPr="00B8368A" w:rsidRDefault="00A06387" w:rsidP="00A06387">
      <w:pPr>
        <w:pStyle w:val="NoSpacing"/>
        <w:ind w:left="720"/>
        <w:rPr>
          <w:rFonts w:ascii="Times New Roman" w:hAnsi="Times New Roman"/>
          <w:b/>
          <w:bCs/>
          <w:sz w:val="24"/>
          <w:szCs w:val="24"/>
        </w:rPr>
      </w:pPr>
      <w:r w:rsidRPr="00B8368A">
        <w:rPr>
          <w:rFonts w:ascii="Times New Roman" w:hAnsi="Times New Roman"/>
          <w:bCs/>
          <w:sz w:val="24"/>
          <w:szCs w:val="24"/>
        </w:rPr>
        <w:t>“The speech Fratus claims is protected under the Texas constitution is (1) that he ‘joined the public outcry against Huff when she illegally fired’ a firefighter, (2) he ‘made it quite clear and said that he opposed Huff or any command officer sexually harassing members of the department,’ and (3) he ‘publicly opposed Huff’s public, on duty support’ of a former firefighter in a criminal prosecution. According to the City, Fratus failed to allege how these instances of speech constituted a matter of public concern.</w:t>
      </w:r>
      <w:r w:rsidR="00B8368A">
        <w:rPr>
          <w:rFonts w:ascii="Times New Roman" w:hAnsi="Times New Roman"/>
          <w:bCs/>
          <w:sz w:val="24"/>
          <w:szCs w:val="24"/>
        </w:rPr>
        <w:t xml:space="preserve"> *** </w:t>
      </w:r>
      <w:r w:rsidRPr="00B8368A">
        <w:rPr>
          <w:rFonts w:ascii="Times New Roman" w:hAnsi="Times New Roman"/>
          <w:bCs/>
          <w:sz w:val="24"/>
          <w:szCs w:val="24"/>
        </w:rPr>
        <w:t xml:space="preserve">On this record, we conclude that Fratus has failed to plead a prima facie </w:t>
      </w:r>
      <w:proofErr w:type="gramStart"/>
      <w:r w:rsidRPr="00B8368A">
        <w:rPr>
          <w:rFonts w:ascii="Times New Roman" w:hAnsi="Times New Roman"/>
          <w:bCs/>
          <w:sz w:val="24"/>
          <w:szCs w:val="24"/>
        </w:rPr>
        <w:t>free speech</w:t>
      </w:r>
      <w:proofErr w:type="gramEnd"/>
      <w:r w:rsidRPr="00B8368A">
        <w:rPr>
          <w:rFonts w:ascii="Times New Roman" w:hAnsi="Times New Roman"/>
          <w:bCs/>
          <w:sz w:val="24"/>
          <w:szCs w:val="24"/>
        </w:rPr>
        <w:t xml:space="preserve"> claim because he failed to meet his burden of showing he engaged in speech primarily as a citizen involving a matter of public </w:t>
      </w:r>
      <w:proofErr w:type="gramStart"/>
      <w:r w:rsidRPr="00B8368A">
        <w:rPr>
          <w:rFonts w:ascii="Times New Roman" w:hAnsi="Times New Roman"/>
          <w:bCs/>
          <w:sz w:val="24"/>
          <w:szCs w:val="24"/>
        </w:rPr>
        <w:t>concern.”</w:t>
      </w:r>
      <w:proofErr w:type="gramEnd"/>
      <w:r w:rsidRPr="00B8368A">
        <w:rPr>
          <w:rFonts w:ascii="Times New Roman" w:hAnsi="Times New Roman"/>
          <w:bCs/>
          <w:sz w:val="24"/>
          <w:szCs w:val="24"/>
        </w:rPr>
        <w:t xml:space="preserve"> </w:t>
      </w:r>
    </w:p>
    <w:p w14:paraId="41309253" w14:textId="77777777" w:rsidR="00A06387" w:rsidRPr="00B8368A" w:rsidRDefault="00A06387" w:rsidP="00A06387">
      <w:pPr>
        <w:pStyle w:val="NoSpacing"/>
        <w:ind w:left="720"/>
        <w:rPr>
          <w:rFonts w:ascii="Times New Roman" w:hAnsi="Times New Roman"/>
          <w:b/>
          <w:bCs/>
          <w:sz w:val="24"/>
          <w:szCs w:val="24"/>
        </w:rPr>
      </w:pPr>
      <w:hyperlink r:id="rId2779" w:history="1">
        <w:r w:rsidRPr="00B8368A">
          <w:rPr>
            <w:rStyle w:val="Hyperlink"/>
            <w:rFonts w:ascii="Times New Roman" w:hAnsi="Times New Roman"/>
            <w:bCs/>
            <w:sz w:val="24"/>
            <w:szCs w:val="24"/>
          </w:rPr>
          <w:t>http://www.search.txcourts.gov/SearchMedia.aspx?MediaVersionID=c3f113f2-1ba2-49ff-a2ab-1b5420c141ac&amp;coa=coa09&amp;DT=Opinion&amp;MediaID=ad82a5f3-c7c6-4b28-8fe8-0de313580d94</w:t>
        </w:r>
      </w:hyperlink>
      <w:r w:rsidRPr="00B8368A">
        <w:rPr>
          <w:rFonts w:ascii="Times New Roman" w:hAnsi="Times New Roman"/>
          <w:bCs/>
          <w:sz w:val="24"/>
          <w:szCs w:val="24"/>
        </w:rPr>
        <w:t xml:space="preserve"> </w:t>
      </w:r>
    </w:p>
    <w:p w14:paraId="0BFF6939" w14:textId="77777777" w:rsidR="00A06387" w:rsidRPr="00B8368A" w:rsidRDefault="00A06387" w:rsidP="00A06387">
      <w:pPr>
        <w:pStyle w:val="NoSpacing"/>
        <w:rPr>
          <w:rFonts w:ascii="Times New Roman" w:hAnsi="Times New Roman"/>
          <w:b/>
          <w:bCs/>
          <w:sz w:val="24"/>
          <w:szCs w:val="24"/>
        </w:rPr>
      </w:pPr>
    </w:p>
    <w:p w14:paraId="04587631" w14:textId="77777777" w:rsidR="00B8368A" w:rsidRDefault="00A06387" w:rsidP="00A06387">
      <w:pPr>
        <w:pStyle w:val="NoSpacing"/>
        <w:rPr>
          <w:rFonts w:ascii="Times New Roman" w:hAnsi="Times New Roman"/>
          <w:sz w:val="24"/>
          <w:szCs w:val="24"/>
        </w:rPr>
      </w:pPr>
      <w:r w:rsidRPr="00B8368A">
        <w:rPr>
          <w:rFonts w:ascii="Times New Roman" w:hAnsi="Times New Roman"/>
          <w:b/>
          <w:bCs/>
          <w:sz w:val="24"/>
          <w:szCs w:val="24"/>
        </w:rPr>
        <w:t>Legal Lessons Learned: Firefighters and other public employees have limited First Amendment rights, unless speech relates to items of “public concern.”</w:t>
      </w:r>
      <w:r w:rsidRPr="00B8368A">
        <w:rPr>
          <w:rFonts w:ascii="Times New Roman" w:hAnsi="Times New Roman"/>
          <w:sz w:val="24"/>
          <w:szCs w:val="24"/>
        </w:rPr>
        <w:t xml:space="preserve">  </w:t>
      </w:r>
    </w:p>
    <w:p w14:paraId="302858C7" w14:textId="50BAE7B4" w:rsidR="00A06387" w:rsidRPr="00B8368A" w:rsidRDefault="00A06387" w:rsidP="00B8368A">
      <w:pPr>
        <w:pStyle w:val="NoSpacing"/>
        <w:ind w:left="720"/>
        <w:rPr>
          <w:rFonts w:ascii="Times New Roman" w:hAnsi="Times New Roman"/>
          <w:b/>
          <w:bCs/>
          <w:sz w:val="24"/>
          <w:szCs w:val="24"/>
        </w:rPr>
      </w:pPr>
      <w:r w:rsidRPr="00B8368A">
        <w:rPr>
          <w:rFonts w:ascii="Times New Roman" w:hAnsi="Times New Roman"/>
          <w:bCs/>
          <w:sz w:val="24"/>
          <w:szCs w:val="24"/>
        </w:rPr>
        <w:t>An example</w:t>
      </w:r>
      <w:r w:rsidRPr="00B8368A">
        <w:rPr>
          <w:rFonts w:ascii="Times New Roman" w:hAnsi="Times New Roman"/>
          <w:sz w:val="24"/>
          <w:szCs w:val="24"/>
        </w:rPr>
        <w:t xml:space="preserve"> </w:t>
      </w:r>
      <w:r w:rsidRPr="00B8368A">
        <w:rPr>
          <w:rFonts w:ascii="Times New Roman" w:hAnsi="Times New Roman"/>
          <w:bCs/>
          <w:sz w:val="24"/>
          <w:szCs w:val="24"/>
        </w:rPr>
        <w:t xml:space="preserve">on an item that would be covered – public comments on proposed tax levy.  See the U.S. Supreme Court’s decision in Pickering v. Board of Education, 391 U.S. 563 (1968) (establishing the so-called “balancing test”), where the Court reversed the termination of a teacher who sent letter to local newspaper about proposed school board tax levy: </w:t>
      </w:r>
      <w:r w:rsidRPr="00B8368A">
        <w:rPr>
          <w:rStyle w:val="headertext"/>
          <w:rFonts w:ascii="Times New Roman" w:hAnsi="Times New Roman"/>
          <w:bCs/>
          <w:sz w:val="24"/>
          <w:szCs w:val="24"/>
        </w:rPr>
        <w:t xml:space="preserve">“Appellant Marvin L. Pickering, a teacher in Township High School District 205, Will County, Illinois, was dismissed from his position by the appellee Board of Education for sending a letter to a local newspaper in connection with a recently proposed tax increase that was critical of the way in which the Board and the district superintendent of schools had handled past proposals to raise new revenue for the schools. *** </w:t>
      </w:r>
      <w:r w:rsidRPr="00B8368A">
        <w:rPr>
          <w:rFonts w:ascii="Times New Roman" w:hAnsi="Times New Roman"/>
          <w:bCs/>
          <w:sz w:val="24"/>
          <w:szCs w:val="24"/>
        </w:rPr>
        <w:t xml:space="preserve">In these circumstances, we conclude that the interest of the school administration in limiting teachers' opportunities to contribute to public debate is not significantly greater than its interest in limiting a similar contribution by any member of the </w:t>
      </w:r>
      <w:proofErr w:type="gramStart"/>
      <w:r w:rsidRPr="00B8368A">
        <w:rPr>
          <w:rFonts w:ascii="Times New Roman" w:hAnsi="Times New Roman"/>
          <w:bCs/>
          <w:sz w:val="24"/>
          <w:szCs w:val="24"/>
        </w:rPr>
        <w:t>general public</w:t>
      </w:r>
      <w:proofErr w:type="gramEnd"/>
      <w:r w:rsidRPr="00B8368A">
        <w:rPr>
          <w:rFonts w:ascii="Times New Roman" w:hAnsi="Times New Roman"/>
          <w:bCs/>
          <w:sz w:val="24"/>
          <w:szCs w:val="24"/>
        </w:rPr>
        <w:t xml:space="preserve">. </w:t>
      </w:r>
      <w:hyperlink r:id="rId2780" w:history="1">
        <w:r w:rsidRPr="00B8368A">
          <w:rPr>
            <w:rStyle w:val="Hyperlink"/>
            <w:rFonts w:ascii="Times New Roman" w:hAnsi="Times New Roman"/>
            <w:bCs/>
            <w:sz w:val="24"/>
            <w:szCs w:val="24"/>
          </w:rPr>
          <w:t>https://supreme.justia.com/cases/federal/us/391/563</w:t>
        </w:r>
      </w:hyperlink>
      <w:r w:rsidRPr="00B8368A">
        <w:rPr>
          <w:rFonts w:ascii="Times New Roman" w:hAnsi="Times New Roman"/>
          <w:bCs/>
          <w:sz w:val="24"/>
          <w:szCs w:val="24"/>
        </w:rPr>
        <w:t xml:space="preserve"> </w:t>
      </w:r>
    </w:p>
    <w:p w14:paraId="4CB0E108" w14:textId="77777777" w:rsidR="001D2278" w:rsidRDefault="001D2278" w:rsidP="00F326E5">
      <w:pPr>
        <w:pStyle w:val="NoSpacing"/>
        <w:rPr>
          <w:rFonts w:ascii="Arial Black" w:hAnsi="Arial Black"/>
          <w:sz w:val="24"/>
          <w:szCs w:val="24"/>
        </w:rPr>
      </w:pPr>
    </w:p>
    <w:p w14:paraId="2F434A7E" w14:textId="77777777" w:rsidR="001D2278" w:rsidRDefault="001D2278" w:rsidP="00F326E5">
      <w:pPr>
        <w:pStyle w:val="NoSpacing"/>
        <w:rPr>
          <w:rFonts w:ascii="Arial Black" w:hAnsi="Arial Black"/>
          <w:sz w:val="24"/>
          <w:szCs w:val="24"/>
        </w:rPr>
      </w:pPr>
    </w:p>
    <w:p w14:paraId="005EB006" w14:textId="38B5BDE8" w:rsidR="00A06387" w:rsidRDefault="00A06387" w:rsidP="00F326E5">
      <w:pPr>
        <w:pStyle w:val="NoSpacing"/>
        <w:rPr>
          <w:rFonts w:ascii="Arial Black" w:hAnsi="Arial Black"/>
          <w:sz w:val="24"/>
          <w:szCs w:val="24"/>
        </w:rPr>
      </w:pPr>
      <w:r>
        <w:rPr>
          <w:rFonts w:ascii="Arial Black" w:hAnsi="Arial Black"/>
          <w:sz w:val="24"/>
          <w:szCs w:val="24"/>
        </w:rPr>
        <w:t>16-16</w:t>
      </w:r>
    </w:p>
    <w:p w14:paraId="5F85AF12" w14:textId="269A1EC8" w:rsidR="00A06387" w:rsidRDefault="00A06387" w:rsidP="00F326E5">
      <w:pPr>
        <w:pStyle w:val="NoSpacing"/>
        <w:rPr>
          <w:rFonts w:ascii="Arial Black" w:hAnsi="Arial Black"/>
          <w:sz w:val="24"/>
          <w:szCs w:val="24"/>
        </w:rPr>
      </w:pPr>
    </w:p>
    <w:p w14:paraId="4A2D7DE9" w14:textId="77777777" w:rsidR="00A06387" w:rsidRPr="006B193B" w:rsidRDefault="00A06387" w:rsidP="00A06387">
      <w:pPr>
        <w:pStyle w:val="NoSpacing"/>
        <w:rPr>
          <w:rFonts w:ascii="Arial Black" w:hAnsi="Arial Black"/>
          <w:sz w:val="28"/>
          <w:szCs w:val="28"/>
        </w:rPr>
      </w:pPr>
      <w:r>
        <w:rPr>
          <w:rFonts w:ascii="Arial Black" w:hAnsi="Arial Black"/>
          <w:sz w:val="28"/>
          <w:szCs w:val="28"/>
        </w:rPr>
        <w:t>TX: “LAST CHANCE AGREEMENT” - BREACHED WITHIN TWO YEARS, SICK LEAVE ABUSE – FIRED – LAWSUIT DISMISSED</w:t>
      </w:r>
    </w:p>
    <w:p w14:paraId="4E441EE0" w14:textId="77777777" w:rsidR="00A06387" w:rsidRDefault="00A06387" w:rsidP="00A06387">
      <w:pPr>
        <w:pStyle w:val="NoSpacing"/>
      </w:pPr>
    </w:p>
    <w:p w14:paraId="26614467" w14:textId="77777777" w:rsidR="00A06387" w:rsidRPr="00B8368A" w:rsidRDefault="00A06387" w:rsidP="00A06387">
      <w:pPr>
        <w:pStyle w:val="NoSpacing"/>
        <w:rPr>
          <w:rFonts w:ascii="Times New Roman" w:hAnsi="Times New Roman"/>
          <w:b/>
          <w:bCs/>
          <w:sz w:val="24"/>
          <w:szCs w:val="24"/>
        </w:rPr>
      </w:pPr>
      <w:r w:rsidRPr="00B8368A">
        <w:rPr>
          <w:rFonts w:ascii="Times New Roman" w:hAnsi="Times New Roman"/>
          <w:bCs/>
          <w:sz w:val="24"/>
          <w:szCs w:val="24"/>
        </w:rPr>
        <w:t xml:space="preserve">On Oct. 3, 2019, in </w:t>
      </w:r>
      <w:r w:rsidRPr="00B8368A">
        <w:rPr>
          <w:rFonts w:ascii="Times New Roman" w:hAnsi="Times New Roman"/>
          <w:bCs/>
          <w:sz w:val="24"/>
          <w:szCs w:val="24"/>
          <w:u w:val="single"/>
        </w:rPr>
        <w:t>Michael Scott Nix v. City of Beaumont, Texas</w:t>
      </w:r>
      <w:r w:rsidRPr="00B8368A">
        <w:rPr>
          <w:rFonts w:ascii="Times New Roman" w:hAnsi="Times New Roman"/>
          <w:bCs/>
          <w:sz w:val="24"/>
          <w:szCs w:val="24"/>
        </w:rPr>
        <w:t xml:space="preserve">, the Court of Appeals, Ninth District of Texas ay Beaumont, the Court held (3 to 0) that trial court properly dismissed his lawsuit seeking a declaration that the City violated his rights when he was “indefinitely suspended” [terminated] on Sept. 13, 2019 for sick leave abuse during the two-year period following the Last Chance Agreement of April 2, 2015 where he served a 90-day suspension for prior disciplinary conduct. </w:t>
      </w:r>
    </w:p>
    <w:p w14:paraId="7C89F2C3" w14:textId="77777777" w:rsidR="00A06387" w:rsidRPr="00B8368A" w:rsidRDefault="00A06387" w:rsidP="00A06387">
      <w:pPr>
        <w:pStyle w:val="NoSpacing"/>
        <w:rPr>
          <w:rFonts w:ascii="Times New Roman" w:hAnsi="Times New Roman"/>
          <w:b/>
          <w:bCs/>
          <w:sz w:val="24"/>
          <w:szCs w:val="24"/>
        </w:rPr>
      </w:pPr>
    </w:p>
    <w:p w14:paraId="533330C1" w14:textId="77777777" w:rsidR="00A06387" w:rsidRPr="00B8368A" w:rsidRDefault="00A06387" w:rsidP="00A06387">
      <w:pPr>
        <w:pStyle w:val="NoSpacing"/>
        <w:ind w:left="720"/>
        <w:rPr>
          <w:rFonts w:ascii="Times New Roman" w:hAnsi="Times New Roman"/>
          <w:b/>
          <w:bCs/>
          <w:sz w:val="24"/>
          <w:szCs w:val="24"/>
        </w:rPr>
      </w:pPr>
      <w:r w:rsidRPr="00B8368A">
        <w:rPr>
          <w:rFonts w:ascii="Times New Roman" w:hAnsi="Times New Roman"/>
          <w:bCs/>
          <w:sz w:val="24"/>
          <w:szCs w:val="24"/>
        </w:rPr>
        <w:t xml:space="preserve">“Importantly, Nix agreed in writing to voluntarily accept his 2015 disciplinary suspension, with no right to appeal the terms and conditions of the Agreement or the Chief’s decision to indefinitely suspend his employment in 2015. See Tex. Loc. Gov’t Code Ann. § 143.052(g). When Nix accepted the Agreement in 2015, he had the opportunity to refuse the Chief’s offer and appeal his suspension to the [Civil Service] Commission; however, Nix agreed to waive his right to appeal, including the right to appeal the Chief’s 2017 decision determining that Nix had violated the Agreement and reinstating his indefinite suspension.” </w:t>
      </w:r>
      <w:hyperlink r:id="rId2781" w:history="1">
        <w:r w:rsidRPr="00B8368A">
          <w:rPr>
            <w:rStyle w:val="Hyperlink"/>
            <w:rFonts w:ascii="Times New Roman" w:hAnsi="Times New Roman"/>
            <w:bCs/>
            <w:sz w:val="24"/>
            <w:szCs w:val="24"/>
          </w:rPr>
          <w:t>https://cases.justia.com/texas/ninth-court-of-appeals/2019-09-18-00407-cv-0.pdf?ts=1570180546</w:t>
        </w:r>
      </w:hyperlink>
      <w:r w:rsidRPr="00B8368A">
        <w:rPr>
          <w:rFonts w:ascii="Times New Roman" w:hAnsi="Times New Roman"/>
          <w:bCs/>
          <w:sz w:val="24"/>
          <w:szCs w:val="24"/>
        </w:rPr>
        <w:t xml:space="preserve"> </w:t>
      </w:r>
    </w:p>
    <w:p w14:paraId="78305F63" w14:textId="77777777" w:rsidR="00B8368A" w:rsidRDefault="00B8368A" w:rsidP="00A06387">
      <w:pPr>
        <w:pStyle w:val="NoSpacing"/>
        <w:rPr>
          <w:rFonts w:ascii="Times New Roman" w:hAnsi="Times New Roman"/>
          <w:b/>
          <w:bCs/>
          <w:sz w:val="24"/>
          <w:szCs w:val="24"/>
        </w:rPr>
      </w:pPr>
    </w:p>
    <w:p w14:paraId="38D1D096" w14:textId="164BE22C" w:rsidR="00A06387" w:rsidRPr="00B8368A" w:rsidRDefault="00A06387" w:rsidP="00A06387">
      <w:pPr>
        <w:pStyle w:val="NoSpacing"/>
        <w:rPr>
          <w:rFonts w:ascii="Times New Roman" w:hAnsi="Times New Roman"/>
          <w:b/>
          <w:bCs/>
          <w:sz w:val="24"/>
          <w:szCs w:val="24"/>
        </w:rPr>
      </w:pPr>
      <w:r w:rsidRPr="00B8368A">
        <w:rPr>
          <w:rFonts w:ascii="Times New Roman" w:hAnsi="Times New Roman"/>
          <w:b/>
          <w:bCs/>
          <w:sz w:val="24"/>
          <w:szCs w:val="24"/>
        </w:rPr>
        <w:t xml:space="preserve">Legal Lessons Learned: Last Chance Agreements are an effective method to give a firefighter “one last chance.”  </w:t>
      </w:r>
    </w:p>
    <w:p w14:paraId="6DE23726" w14:textId="77777777" w:rsidR="00A06387" w:rsidRDefault="00A06387" w:rsidP="00A06387">
      <w:pPr>
        <w:pStyle w:val="NoSpacing"/>
        <w:rPr>
          <w:sz w:val="35"/>
          <w:szCs w:val="35"/>
        </w:rPr>
      </w:pPr>
    </w:p>
    <w:p w14:paraId="79C5C1C0" w14:textId="72C85C03" w:rsidR="0005503D" w:rsidRPr="00A67C57" w:rsidRDefault="0005503D" w:rsidP="0005503D">
      <w:pPr>
        <w:pStyle w:val="NoSpacing"/>
        <w:rPr>
          <w:rFonts w:ascii="Times New Roman" w:hAnsi="Times New Roman"/>
          <w:sz w:val="24"/>
          <w:szCs w:val="24"/>
        </w:rPr>
      </w:pPr>
    </w:p>
    <w:p w14:paraId="019B9EF3" w14:textId="77777777" w:rsidR="00A06387" w:rsidRDefault="00A06387" w:rsidP="00F326E5">
      <w:pPr>
        <w:pStyle w:val="NoSpacing"/>
        <w:rPr>
          <w:rFonts w:ascii="Arial Black" w:hAnsi="Arial Black"/>
          <w:sz w:val="24"/>
          <w:szCs w:val="24"/>
        </w:rPr>
      </w:pPr>
    </w:p>
    <w:p w14:paraId="77F7ADFA" w14:textId="77777777" w:rsidR="00A06387" w:rsidRDefault="00A06387" w:rsidP="00F326E5">
      <w:pPr>
        <w:pStyle w:val="NoSpacing"/>
        <w:rPr>
          <w:rFonts w:ascii="Arial Black" w:hAnsi="Arial Black"/>
          <w:sz w:val="24"/>
          <w:szCs w:val="24"/>
        </w:rPr>
      </w:pPr>
    </w:p>
    <w:p w14:paraId="60CC1237" w14:textId="4B93963E" w:rsidR="00F326E5" w:rsidRDefault="000C4DF5" w:rsidP="00F326E5">
      <w:pPr>
        <w:pStyle w:val="NoSpacing"/>
        <w:rPr>
          <w:b/>
          <w:sz w:val="24"/>
          <w:szCs w:val="24"/>
        </w:rPr>
      </w:pPr>
      <w:r>
        <w:rPr>
          <w:rFonts w:ascii="Arial Black" w:hAnsi="Arial Black"/>
          <w:sz w:val="24"/>
          <w:szCs w:val="24"/>
        </w:rPr>
        <w:t>16-1</w:t>
      </w:r>
      <w:r w:rsidR="00F4486C">
        <w:rPr>
          <w:rFonts w:ascii="Arial Black" w:hAnsi="Arial Black"/>
          <w:sz w:val="24"/>
          <w:szCs w:val="24"/>
        </w:rPr>
        <w:t>5</w:t>
      </w:r>
    </w:p>
    <w:p w14:paraId="7E5A0305" w14:textId="77777777" w:rsidR="00527EDF" w:rsidRDefault="00527EDF" w:rsidP="00D161A5">
      <w:pPr>
        <w:pStyle w:val="NoSpacing"/>
        <w:rPr>
          <w:sz w:val="24"/>
          <w:szCs w:val="24"/>
        </w:rPr>
      </w:pPr>
      <w:bookmarkStart w:id="610" w:name="_Hlk6756675"/>
    </w:p>
    <w:p w14:paraId="07BB351A" w14:textId="14D114D7" w:rsidR="00527EDF" w:rsidRPr="00AD1DCC" w:rsidRDefault="00527EDF" w:rsidP="00527EDF">
      <w:pPr>
        <w:pStyle w:val="NoSpacing"/>
        <w:rPr>
          <w:rFonts w:ascii="Arial Black" w:hAnsi="Arial Black"/>
          <w:sz w:val="28"/>
          <w:szCs w:val="28"/>
        </w:rPr>
      </w:pPr>
      <w:bookmarkStart w:id="611" w:name="_Hlk10127684"/>
      <w:r w:rsidRPr="00AD1DCC">
        <w:rPr>
          <w:rFonts w:ascii="Arial Black" w:hAnsi="Arial Black"/>
          <w:sz w:val="28"/>
          <w:szCs w:val="28"/>
        </w:rPr>
        <w:t>IL</w:t>
      </w:r>
      <w:r>
        <w:rPr>
          <w:rFonts w:ascii="Arial Black" w:hAnsi="Arial Black"/>
          <w:sz w:val="28"/>
          <w:szCs w:val="28"/>
        </w:rPr>
        <w:t xml:space="preserve">:  RESIDENCY – FF FIRED – PAST THREE YEARS DID NOT RESIDE IN VILLAGE – MAIL DROP LOCATION IS NOT RESIDENCY </w:t>
      </w:r>
    </w:p>
    <w:p w14:paraId="33F0E9BB" w14:textId="77777777" w:rsidR="00527EDF" w:rsidRDefault="00527EDF" w:rsidP="00527EDF">
      <w:pPr>
        <w:pStyle w:val="NoSpacing"/>
        <w:rPr>
          <w:sz w:val="30"/>
          <w:szCs w:val="30"/>
        </w:rPr>
      </w:pPr>
    </w:p>
    <w:p w14:paraId="3C43891E" w14:textId="77777777" w:rsidR="00527EDF" w:rsidRDefault="00527EDF" w:rsidP="00527EDF">
      <w:pPr>
        <w:pStyle w:val="NoSpacing"/>
        <w:rPr>
          <w:rFonts w:ascii="Times New Roman" w:hAnsi="Times New Roman"/>
          <w:sz w:val="24"/>
          <w:szCs w:val="24"/>
        </w:rPr>
      </w:pPr>
      <w:r w:rsidRPr="00AD1DCC">
        <w:rPr>
          <w:rFonts w:ascii="Times New Roman" w:hAnsi="Times New Roman"/>
          <w:sz w:val="24"/>
          <w:szCs w:val="24"/>
        </w:rPr>
        <w:t>On</w:t>
      </w:r>
      <w:r>
        <w:rPr>
          <w:rFonts w:ascii="Times New Roman" w:hAnsi="Times New Roman"/>
          <w:sz w:val="24"/>
          <w:szCs w:val="24"/>
        </w:rPr>
        <w:t xml:space="preserve"> May 29, 2019, in </w:t>
      </w:r>
      <w:r w:rsidRPr="00AD1DCC">
        <w:rPr>
          <w:rFonts w:ascii="Times New Roman" w:hAnsi="Times New Roman"/>
          <w:sz w:val="24"/>
          <w:szCs w:val="24"/>
          <w:u w:val="single"/>
        </w:rPr>
        <w:t>John Cannici v. Village of Melrose Park</w:t>
      </w:r>
      <w:r>
        <w:rPr>
          <w:rFonts w:ascii="Times New Roman" w:hAnsi="Times New Roman"/>
          <w:sz w:val="24"/>
          <w:szCs w:val="24"/>
        </w:rPr>
        <w:t xml:space="preserve">, the Appellate Court of Illinois, First District, </w:t>
      </w:r>
      <w:r w:rsidRPr="00AD1DCC">
        <w:rPr>
          <w:rFonts w:ascii="Times New Roman" w:hAnsi="Times New Roman"/>
          <w:sz w:val="24"/>
          <w:szCs w:val="24"/>
        </w:rPr>
        <w:t>2019 IL App (1st) 181422-U</w:t>
      </w:r>
      <w:r>
        <w:rPr>
          <w:rFonts w:ascii="Times New Roman" w:hAnsi="Times New Roman"/>
          <w:sz w:val="24"/>
          <w:szCs w:val="24"/>
        </w:rPr>
        <w:t xml:space="preserve">,  held (3 to 0) that the fire fighter was properly terminated for violating residency ordinance. </w:t>
      </w:r>
    </w:p>
    <w:p w14:paraId="05F02A1B" w14:textId="77777777" w:rsidR="00527EDF" w:rsidRPr="00AD1DCC" w:rsidRDefault="00527EDF" w:rsidP="00527EDF">
      <w:pPr>
        <w:pStyle w:val="NoSpacing"/>
        <w:rPr>
          <w:rFonts w:ascii="Times New Roman" w:hAnsi="Times New Roman"/>
          <w:sz w:val="24"/>
          <w:szCs w:val="24"/>
        </w:rPr>
      </w:pPr>
    </w:p>
    <w:p w14:paraId="698BF7FE" w14:textId="77777777" w:rsidR="00527EDF" w:rsidRDefault="00527EDF" w:rsidP="00527EDF">
      <w:pPr>
        <w:pStyle w:val="NoSpacing"/>
        <w:ind w:left="720"/>
        <w:rPr>
          <w:rFonts w:ascii="Times New Roman" w:hAnsi="Times New Roman"/>
          <w:sz w:val="24"/>
          <w:szCs w:val="24"/>
        </w:rPr>
      </w:pPr>
      <w:r>
        <w:rPr>
          <w:rFonts w:ascii="Times New Roman" w:hAnsi="Times New Roman"/>
          <w:sz w:val="24"/>
          <w:szCs w:val="24"/>
        </w:rPr>
        <w:t>“</w:t>
      </w:r>
      <w:r w:rsidRPr="00AD1DCC">
        <w:rPr>
          <w:rFonts w:ascii="Times New Roman" w:hAnsi="Times New Roman"/>
          <w:sz w:val="24"/>
          <w:szCs w:val="24"/>
        </w:rPr>
        <w:t xml:space="preserve">The Board did not indicate that it found fault with Cannici’s earlier arrangement where he lived in the </w:t>
      </w:r>
      <w:r>
        <w:rPr>
          <w:rFonts w:ascii="Times New Roman" w:hAnsi="Times New Roman"/>
          <w:sz w:val="24"/>
          <w:szCs w:val="24"/>
        </w:rPr>
        <w:t xml:space="preserve">[Melrose Park] </w:t>
      </w:r>
      <w:r w:rsidRPr="00AD1DCC">
        <w:rPr>
          <w:rFonts w:ascii="Times New Roman" w:hAnsi="Times New Roman"/>
          <w:sz w:val="24"/>
          <w:szCs w:val="24"/>
        </w:rPr>
        <w:t xml:space="preserve">Norwood house for a majority of the week and would spend his weekends at the Orland Park house. Although this arrangement included physical absence from the Norwood house for </w:t>
      </w:r>
      <w:r>
        <w:rPr>
          <w:rFonts w:ascii="Times New Roman" w:hAnsi="Times New Roman"/>
          <w:sz w:val="24"/>
          <w:szCs w:val="24"/>
        </w:rPr>
        <w:t>‘</w:t>
      </w:r>
      <w:r w:rsidRPr="00AD1DCC">
        <w:rPr>
          <w:rFonts w:ascii="Times New Roman" w:hAnsi="Times New Roman"/>
          <w:sz w:val="24"/>
          <w:szCs w:val="24"/>
        </w:rPr>
        <w:t>some</w:t>
      </w:r>
      <w:r>
        <w:rPr>
          <w:rFonts w:ascii="Times New Roman" w:hAnsi="Times New Roman"/>
          <w:sz w:val="24"/>
          <w:szCs w:val="24"/>
        </w:rPr>
        <w:t>’</w:t>
      </w:r>
      <w:r w:rsidRPr="00AD1DCC">
        <w:rPr>
          <w:rFonts w:ascii="Times New Roman" w:hAnsi="Times New Roman"/>
          <w:sz w:val="24"/>
          <w:szCs w:val="24"/>
        </w:rPr>
        <w:t xml:space="preserve"> of the time, this was not a violation of the residency ordinance as he still lived in the Norwood house for </w:t>
      </w:r>
      <w:proofErr w:type="gramStart"/>
      <w:r w:rsidRPr="00AD1DCC">
        <w:rPr>
          <w:rFonts w:ascii="Times New Roman" w:hAnsi="Times New Roman"/>
          <w:sz w:val="24"/>
          <w:szCs w:val="24"/>
        </w:rPr>
        <w:t>the majority of</w:t>
      </w:r>
      <w:proofErr w:type="gramEnd"/>
      <w:r w:rsidRPr="00AD1DCC">
        <w:rPr>
          <w:rFonts w:ascii="Times New Roman" w:hAnsi="Times New Roman"/>
          <w:sz w:val="24"/>
          <w:szCs w:val="24"/>
        </w:rPr>
        <w:t xml:space="preserve"> his time and treated it as his primary home or abode. However, when he leased the Norwood house to the </w:t>
      </w:r>
      <w:proofErr w:type="spellStart"/>
      <w:r w:rsidRPr="00AD1DCC">
        <w:rPr>
          <w:rFonts w:ascii="Times New Roman" w:hAnsi="Times New Roman"/>
          <w:sz w:val="24"/>
          <w:szCs w:val="24"/>
        </w:rPr>
        <w:t>Cichons</w:t>
      </w:r>
      <w:proofErr w:type="spellEnd"/>
      <w:r w:rsidRPr="00AD1DCC">
        <w:rPr>
          <w:rFonts w:ascii="Times New Roman" w:hAnsi="Times New Roman"/>
          <w:sz w:val="24"/>
          <w:szCs w:val="24"/>
        </w:rPr>
        <w:t xml:space="preserve">, he no longer used the Norwood house as his primary home and spent practically no time in the </w:t>
      </w:r>
    </w:p>
    <w:p w14:paraId="39B5AF3A" w14:textId="77777777" w:rsidR="00527EDF" w:rsidRDefault="00527EDF" w:rsidP="00527EDF">
      <w:pPr>
        <w:pStyle w:val="NoSpacing"/>
        <w:ind w:left="720"/>
        <w:rPr>
          <w:rFonts w:ascii="Times New Roman" w:hAnsi="Times New Roman"/>
          <w:sz w:val="24"/>
          <w:szCs w:val="24"/>
        </w:rPr>
      </w:pPr>
      <w:r w:rsidRPr="00AD1DCC">
        <w:rPr>
          <w:rFonts w:ascii="Times New Roman" w:hAnsi="Times New Roman"/>
          <w:sz w:val="24"/>
          <w:szCs w:val="24"/>
        </w:rPr>
        <w:t>Norwood house, except the time spent picking up his mail.</w:t>
      </w:r>
      <w:r>
        <w:rPr>
          <w:rFonts w:ascii="Times New Roman" w:hAnsi="Times New Roman"/>
          <w:sz w:val="24"/>
          <w:szCs w:val="24"/>
        </w:rPr>
        <w:t xml:space="preserve">” </w:t>
      </w:r>
      <w:hyperlink r:id="rId2782" w:history="1">
        <w:r w:rsidRPr="00AD1DCC">
          <w:rPr>
            <w:rStyle w:val="Hyperlink"/>
            <w:rFonts w:ascii="Times New Roman" w:hAnsi="Times New Roman"/>
            <w:sz w:val="24"/>
            <w:szCs w:val="24"/>
          </w:rPr>
          <w:t>http://www.illinoiscourts.gov/R23_Orders/AppellateCourt/2019/1stDistrict/1181422_R23.pdf</w:t>
        </w:r>
      </w:hyperlink>
      <w:r w:rsidRPr="00AD1DCC">
        <w:rPr>
          <w:rFonts w:ascii="Times New Roman" w:hAnsi="Times New Roman"/>
          <w:sz w:val="24"/>
          <w:szCs w:val="24"/>
        </w:rPr>
        <w:t xml:space="preserve"> </w:t>
      </w:r>
    </w:p>
    <w:p w14:paraId="0A1029C0" w14:textId="77777777" w:rsidR="00527EDF" w:rsidRDefault="00527EDF" w:rsidP="00527EDF">
      <w:pPr>
        <w:pStyle w:val="NoSpacing"/>
        <w:ind w:left="720"/>
        <w:rPr>
          <w:rFonts w:ascii="Times New Roman" w:hAnsi="Times New Roman"/>
          <w:sz w:val="24"/>
          <w:szCs w:val="24"/>
        </w:rPr>
      </w:pPr>
    </w:p>
    <w:p w14:paraId="55EB236B" w14:textId="77777777" w:rsidR="00527EDF" w:rsidRDefault="00527EDF" w:rsidP="00527EDF">
      <w:pPr>
        <w:pStyle w:val="Heading1"/>
        <w:rPr>
          <w:sz w:val="24"/>
          <w:szCs w:val="24"/>
        </w:rPr>
      </w:pPr>
      <w:bookmarkStart w:id="612" w:name="_Hlk10127722"/>
      <w:bookmarkEnd w:id="611"/>
      <w:r w:rsidRPr="004E23C9">
        <w:rPr>
          <w:sz w:val="24"/>
          <w:szCs w:val="24"/>
        </w:rPr>
        <w:t xml:space="preserve">Legal Lessons Learned:  Some states, such as Ohio, have enacted statutes that have set aside municipal residency requirements. </w:t>
      </w:r>
    </w:p>
    <w:p w14:paraId="38BAA28D" w14:textId="77777777" w:rsidR="00527EDF" w:rsidRDefault="00527EDF" w:rsidP="00527EDF">
      <w:pPr>
        <w:pStyle w:val="Heading1"/>
        <w:ind w:left="720"/>
        <w:rPr>
          <w:b w:val="0"/>
          <w:sz w:val="24"/>
          <w:szCs w:val="24"/>
        </w:rPr>
      </w:pPr>
      <w:r w:rsidRPr="004E23C9">
        <w:rPr>
          <w:b w:val="0"/>
          <w:sz w:val="24"/>
          <w:szCs w:val="24"/>
        </w:rPr>
        <w:t xml:space="preserve">See article, “Ohio Supreme Court rules against city residency requirements,” June 10, 2009, </w:t>
      </w:r>
      <w:hyperlink r:id="rId2783" w:history="1">
        <w:r w:rsidRPr="00D10EF5">
          <w:rPr>
            <w:rStyle w:val="Hyperlink"/>
            <w:b w:val="0"/>
            <w:sz w:val="24"/>
            <w:szCs w:val="24"/>
          </w:rPr>
          <w:t>https://www.cleveland.com/cityhall/2009/06/ohio_supreme_court_deals_a_leg.html</w:t>
        </w:r>
      </w:hyperlink>
      <w:r w:rsidRPr="004E23C9">
        <w:rPr>
          <w:b w:val="0"/>
          <w:sz w:val="24"/>
          <w:szCs w:val="24"/>
        </w:rPr>
        <w:t xml:space="preserve"> </w:t>
      </w:r>
    </w:p>
    <w:p w14:paraId="6AFADD87" w14:textId="77777777" w:rsidR="00527EDF" w:rsidRDefault="00527EDF" w:rsidP="00527EDF">
      <w:pPr>
        <w:pStyle w:val="Heading1"/>
        <w:ind w:firstLine="720"/>
        <w:rPr>
          <w:b w:val="0"/>
          <w:sz w:val="24"/>
          <w:szCs w:val="24"/>
        </w:rPr>
      </w:pPr>
      <w:r>
        <w:rPr>
          <w:b w:val="0"/>
          <w:sz w:val="24"/>
          <w:szCs w:val="24"/>
        </w:rPr>
        <w:t>Ohio Supreme Court o</w:t>
      </w:r>
      <w:r w:rsidRPr="004E23C9">
        <w:rPr>
          <w:b w:val="0"/>
          <w:sz w:val="24"/>
          <w:szCs w:val="24"/>
        </w:rPr>
        <w:t xml:space="preserve">pinion: </w:t>
      </w:r>
      <w:hyperlink r:id="rId2784" w:tgtFrame="_blank" w:tooltip="Link opens new window" w:history="1">
        <w:r w:rsidRPr="004E23C9">
          <w:rPr>
            <w:rStyle w:val="Hyperlink"/>
            <w:b w:val="0"/>
            <w:sz w:val="24"/>
            <w:szCs w:val="24"/>
          </w:rPr>
          <w:t>http://www.supremecourt.ohio.gov/rod/docs/pdf/0/2009/2009-Ohio-2597.pdf</w:t>
        </w:r>
      </w:hyperlink>
      <w:r w:rsidRPr="004E23C9">
        <w:rPr>
          <w:b w:val="0"/>
          <w:sz w:val="24"/>
          <w:szCs w:val="24"/>
        </w:rPr>
        <w:t xml:space="preserve"> </w:t>
      </w:r>
    </w:p>
    <w:p w14:paraId="351169DF" w14:textId="77777777" w:rsidR="00527EDF" w:rsidRDefault="00527EDF" w:rsidP="00527EDF">
      <w:pPr>
        <w:pStyle w:val="Heading1"/>
        <w:ind w:left="1440"/>
        <w:rPr>
          <w:b w:val="0"/>
          <w:sz w:val="24"/>
          <w:szCs w:val="24"/>
        </w:rPr>
      </w:pPr>
      <w:r>
        <w:rPr>
          <w:b w:val="0"/>
          <w:sz w:val="24"/>
          <w:szCs w:val="24"/>
        </w:rPr>
        <w:t>“</w:t>
      </w:r>
      <w:r w:rsidRPr="00C35227">
        <w:rPr>
          <w:b w:val="0"/>
          <w:sz w:val="24"/>
          <w:szCs w:val="24"/>
        </w:rPr>
        <w:t xml:space="preserve">R.C. 9.481(B)(1) states that </w:t>
      </w:r>
      <w:r>
        <w:rPr>
          <w:b w:val="0"/>
          <w:sz w:val="24"/>
          <w:szCs w:val="24"/>
        </w:rPr>
        <w:t>‘</w:t>
      </w:r>
      <w:r w:rsidRPr="00C35227">
        <w:rPr>
          <w:b w:val="0"/>
          <w:sz w:val="24"/>
          <w:szCs w:val="24"/>
        </w:rPr>
        <w:t xml:space="preserve">no political subdivision shall require any of its employees, as a condition of employment, to reside in any specific area of the state.” The issue in this case is whether R.C. 9.481 was enacted pursuant to the authority granted to the General Assembly by Section 34, Article II of the Ohio Constitution. If it </w:t>
      </w:r>
      <w:proofErr w:type="gramStart"/>
      <w:r w:rsidRPr="00C35227">
        <w:rPr>
          <w:b w:val="0"/>
          <w:sz w:val="24"/>
          <w:szCs w:val="24"/>
        </w:rPr>
        <w:t>was so</w:t>
      </w:r>
      <w:proofErr w:type="gramEnd"/>
      <w:r w:rsidRPr="00C35227">
        <w:rPr>
          <w:b w:val="0"/>
          <w:sz w:val="24"/>
          <w:szCs w:val="24"/>
        </w:rPr>
        <w:t xml:space="preserve"> enacted, its provisions override any conflicting law of a political subdivision, including residency requirements imposed by municipalities pursuant to the Home Rule Amendment, Section 3, Article XVIII of the Ohio Constitution. We hold that R.C. 9.481 was enacted pursuant to the authority granted by Section 34 and that the local laws before us in this case therefore cannot stand.”</w:t>
      </w:r>
    </w:p>
    <w:p w14:paraId="78176427" w14:textId="77777777" w:rsidR="00527EDF" w:rsidRPr="004E23C9" w:rsidRDefault="00527EDF" w:rsidP="00527EDF">
      <w:pPr>
        <w:pStyle w:val="Heading1"/>
        <w:ind w:left="720"/>
        <w:rPr>
          <w:b w:val="0"/>
          <w:sz w:val="24"/>
          <w:szCs w:val="24"/>
        </w:rPr>
      </w:pPr>
      <w:r>
        <w:rPr>
          <w:b w:val="0"/>
          <w:sz w:val="24"/>
          <w:szCs w:val="24"/>
        </w:rPr>
        <w:t xml:space="preserve">Ohio communities can adopt ordinance requiring firefighters and police officers to live in the county, or an adjacent county. </w:t>
      </w:r>
    </w:p>
    <w:p w14:paraId="346A2BB2" w14:textId="77777777" w:rsidR="00527EDF" w:rsidRPr="004E23C9" w:rsidRDefault="00527EDF" w:rsidP="00527EDF">
      <w:pPr>
        <w:pStyle w:val="Heading2"/>
        <w:ind w:firstLine="720"/>
        <w:rPr>
          <w:rFonts w:ascii="Times New Roman" w:hAnsi="Times New Roman"/>
          <w:sz w:val="24"/>
          <w:szCs w:val="24"/>
        </w:rPr>
      </w:pPr>
      <w:r w:rsidRPr="004E23C9">
        <w:rPr>
          <w:rFonts w:ascii="Times New Roman" w:hAnsi="Times New Roman"/>
          <w:sz w:val="24"/>
          <w:szCs w:val="24"/>
        </w:rPr>
        <w:lastRenderedPageBreak/>
        <w:t>9.481 Residency requirements prohibited for certain employees.</w:t>
      </w:r>
    </w:p>
    <w:p w14:paraId="681B2B7F" w14:textId="77777777" w:rsidR="00527EDF" w:rsidRDefault="00527EDF" w:rsidP="00527EDF">
      <w:pPr>
        <w:pStyle w:val="NoSpacing"/>
        <w:rPr>
          <w:rFonts w:ascii="Times New Roman" w:hAnsi="Times New Roman"/>
          <w:b/>
          <w:sz w:val="24"/>
          <w:szCs w:val="24"/>
        </w:rPr>
      </w:pPr>
    </w:p>
    <w:p w14:paraId="75608D30" w14:textId="77777777" w:rsidR="00527EDF" w:rsidRDefault="00527EDF" w:rsidP="00527EDF">
      <w:pPr>
        <w:pStyle w:val="NoSpacing"/>
        <w:ind w:left="1440"/>
        <w:rPr>
          <w:rFonts w:ascii="Times New Roman" w:hAnsi="Times New Roman"/>
          <w:sz w:val="24"/>
          <w:szCs w:val="24"/>
        </w:rPr>
      </w:pPr>
      <w:r>
        <w:rPr>
          <w:rFonts w:ascii="Times New Roman" w:hAnsi="Times New Roman"/>
          <w:sz w:val="24"/>
          <w:szCs w:val="24"/>
        </w:rPr>
        <w:t xml:space="preserve">(b) </w:t>
      </w:r>
      <w:r w:rsidRPr="004E23C9">
        <w:rPr>
          <w:rFonts w:ascii="Times New Roman" w:hAnsi="Times New Roman"/>
          <w:sz w:val="24"/>
          <w:szCs w:val="24"/>
        </w:rPr>
        <w:t>To ensure adequate response times by certain employees of political subdivisions to emergencies or disasters while ensuring that those employees generally are free to reside throughout the state, the electors of any political subdivision may file an initiative petition to submit a local law to the electorate, or the legislative authority of the political subdivision may adopt an ordinance or resolution, that requires any individual employed by that political subdivision, as a condition of employment, to reside either in the county where the political subdivision is located or in any adjacent county in this state</w:t>
      </w:r>
      <w:r>
        <w:rPr>
          <w:rFonts w:ascii="Times New Roman" w:hAnsi="Times New Roman"/>
          <w:sz w:val="24"/>
          <w:szCs w:val="24"/>
        </w:rPr>
        <w:t>.</w:t>
      </w:r>
    </w:p>
    <w:p w14:paraId="1415536A" w14:textId="77777777" w:rsidR="00527EDF" w:rsidRPr="00C35227" w:rsidRDefault="00527EDF" w:rsidP="00527EDF">
      <w:pPr>
        <w:pStyle w:val="NoSpacing"/>
        <w:ind w:left="720" w:firstLine="720"/>
        <w:rPr>
          <w:rFonts w:ascii="Times New Roman" w:hAnsi="Times New Roman"/>
          <w:sz w:val="24"/>
          <w:szCs w:val="24"/>
        </w:rPr>
      </w:pPr>
      <w:hyperlink r:id="rId2785" w:history="1">
        <w:r w:rsidRPr="00D10EF5">
          <w:rPr>
            <w:rStyle w:val="Hyperlink"/>
            <w:rFonts w:ascii="Times New Roman" w:hAnsi="Times New Roman"/>
            <w:sz w:val="24"/>
            <w:szCs w:val="24"/>
          </w:rPr>
          <w:t>http://codes.ohio.gov/orc/gp9.481</w:t>
        </w:r>
      </w:hyperlink>
      <w:r w:rsidRPr="00C35227">
        <w:rPr>
          <w:rFonts w:ascii="Times New Roman" w:hAnsi="Times New Roman"/>
          <w:sz w:val="24"/>
          <w:szCs w:val="24"/>
        </w:rPr>
        <w:t xml:space="preserve"> </w:t>
      </w:r>
    </w:p>
    <w:p w14:paraId="112DCF6B" w14:textId="77777777" w:rsidR="00527EDF" w:rsidRPr="004E23C9" w:rsidRDefault="00527EDF" w:rsidP="00527EDF">
      <w:pPr>
        <w:pStyle w:val="NoSpacing"/>
        <w:rPr>
          <w:rFonts w:ascii="Times New Roman" w:hAnsi="Times New Roman"/>
          <w:b/>
          <w:sz w:val="24"/>
          <w:szCs w:val="24"/>
        </w:rPr>
      </w:pPr>
    </w:p>
    <w:p w14:paraId="257B0168" w14:textId="77777777" w:rsidR="00527EDF" w:rsidRPr="004E23C9" w:rsidRDefault="00527EDF" w:rsidP="00527EDF">
      <w:pPr>
        <w:pStyle w:val="Heading2"/>
        <w:ind w:firstLine="720"/>
        <w:rPr>
          <w:rFonts w:ascii="Times New Roman" w:hAnsi="Times New Roman"/>
          <w:sz w:val="24"/>
          <w:szCs w:val="24"/>
        </w:rPr>
      </w:pPr>
      <w:r w:rsidRPr="004E23C9">
        <w:rPr>
          <w:rFonts w:ascii="Times New Roman" w:hAnsi="Times New Roman"/>
          <w:sz w:val="24"/>
          <w:szCs w:val="24"/>
        </w:rPr>
        <w:t>9.61 Residency not required for fire chief.</w:t>
      </w:r>
    </w:p>
    <w:p w14:paraId="7AF1BBD5" w14:textId="77777777" w:rsidR="00527EDF" w:rsidRDefault="00527EDF" w:rsidP="00527EDF">
      <w:pPr>
        <w:pStyle w:val="NormalWeb"/>
        <w:ind w:left="1440"/>
        <w:rPr>
          <w:b/>
        </w:rPr>
      </w:pPr>
      <w:r>
        <w:t xml:space="preserve">(B) Nothing in the Revised Code requires, or shall be construed to require, that the fire chief of a firefighting agency </w:t>
      </w:r>
      <w:proofErr w:type="gramStart"/>
      <w:r>
        <w:t>reside</w:t>
      </w:r>
      <w:proofErr w:type="gramEnd"/>
      <w:r>
        <w:t xml:space="preserve"> in the territory of the firefighting agency. </w:t>
      </w:r>
      <w:hyperlink r:id="rId2786" w:history="1">
        <w:r w:rsidRPr="00180BB5">
          <w:rPr>
            <w:rStyle w:val="Hyperlink"/>
          </w:rPr>
          <w:t>http://codes.ohio.gov/orc/gp9.61</w:t>
        </w:r>
      </w:hyperlink>
      <w:r>
        <w:t xml:space="preserve"> </w:t>
      </w:r>
      <w:bookmarkEnd w:id="612"/>
    </w:p>
    <w:p w14:paraId="5BFA5465" w14:textId="17147AE4" w:rsidR="00527EDF" w:rsidRDefault="00527EDF" w:rsidP="00D161A5">
      <w:pPr>
        <w:pStyle w:val="NoSpacing"/>
        <w:rPr>
          <w:sz w:val="24"/>
          <w:szCs w:val="24"/>
        </w:rPr>
      </w:pPr>
    </w:p>
    <w:p w14:paraId="13F7E4F7" w14:textId="77777777" w:rsidR="0097592D" w:rsidRDefault="0097592D" w:rsidP="00D161A5">
      <w:pPr>
        <w:pStyle w:val="NoSpacing"/>
        <w:rPr>
          <w:rFonts w:ascii="Arial Black" w:hAnsi="Arial Black"/>
          <w:sz w:val="24"/>
          <w:szCs w:val="24"/>
        </w:rPr>
      </w:pPr>
    </w:p>
    <w:p w14:paraId="2C71E8D7" w14:textId="77777777" w:rsidR="0097592D" w:rsidRDefault="0097592D" w:rsidP="00D161A5">
      <w:pPr>
        <w:pStyle w:val="NoSpacing"/>
        <w:rPr>
          <w:rFonts w:ascii="Arial Black" w:hAnsi="Arial Black"/>
          <w:sz w:val="24"/>
          <w:szCs w:val="24"/>
        </w:rPr>
      </w:pPr>
    </w:p>
    <w:p w14:paraId="6F0F0ACF" w14:textId="281799BE" w:rsidR="00F4486C" w:rsidRDefault="00F4486C" w:rsidP="00D161A5">
      <w:pPr>
        <w:pStyle w:val="NoSpacing"/>
        <w:rPr>
          <w:rFonts w:ascii="Arial Black" w:hAnsi="Arial Black"/>
          <w:sz w:val="24"/>
          <w:szCs w:val="24"/>
        </w:rPr>
      </w:pPr>
      <w:r>
        <w:rPr>
          <w:rFonts w:ascii="Arial Black" w:hAnsi="Arial Black"/>
          <w:sz w:val="24"/>
          <w:szCs w:val="24"/>
        </w:rPr>
        <w:t>16-14</w:t>
      </w:r>
    </w:p>
    <w:p w14:paraId="75771D97" w14:textId="75B73166" w:rsidR="00F4486C" w:rsidRDefault="00F4486C" w:rsidP="00D161A5">
      <w:pPr>
        <w:pStyle w:val="NoSpacing"/>
        <w:rPr>
          <w:rFonts w:ascii="Arial Black" w:hAnsi="Arial Black"/>
          <w:sz w:val="24"/>
          <w:szCs w:val="24"/>
        </w:rPr>
      </w:pPr>
    </w:p>
    <w:p w14:paraId="315CCA1E" w14:textId="77777777" w:rsidR="00F4486C" w:rsidRPr="00F4486C" w:rsidRDefault="00F4486C" w:rsidP="00D161A5">
      <w:pPr>
        <w:pStyle w:val="NoSpacing"/>
        <w:rPr>
          <w:rFonts w:ascii="Arial Black" w:hAnsi="Arial Black" w:cs="Arial"/>
          <w:sz w:val="28"/>
          <w:szCs w:val="28"/>
        </w:rPr>
      </w:pPr>
      <w:r w:rsidRPr="00F4486C">
        <w:rPr>
          <w:rFonts w:ascii="Arial Black" w:hAnsi="Arial Black" w:cs="Arial"/>
          <w:sz w:val="28"/>
          <w:szCs w:val="28"/>
        </w:rPr>
        <w:t xml:space="preserve">FL: NARCOTICS OFFICER - $1,300 MISSING – VOLUNTARY STATEMENTS ADMISSIBLE – AFTER TOLD JOB AT RISK, “GARRITY” WARNING REQ. </w:t>
      </w:r>
    </w:p>
    <w:p w14:paraId="7A692E83" w14:textId="77777777" w:rsidR="00F4486C" w:rsidRPr="00F4486C" w:rsidRDefault="00F4486C" w:rsidP="00D161A5">
      <w:pPr>
        <w:pStyle w:val="NoSpacing"/>
        <w:rPr>
          <w:rFonts w:ascii="Arial Black" w:hAnsi="Arial Black" w:cs="Arial"/>
          <w:sz w:val="28"/>
          <w:szCs w:val="28"/>
        </w:rPr>
      </w:pPr>
    </w:p>
    <w:p w14:paraId="0FEF0686" w14:textId="2C907FAA" w:rsidR="00F4486C" w:rsidRPr="0036327D" w:rsidRDefault="00F4486C" w:rsidP="00D161A5">
      <w:pPr>
        <w:pStyle w:val="NoSpacing"/>
        <w:rPr>
          <w:rFonts w:ascii="Times New Roman" w:hAnsi="Times New Roman"/>
          <w:sz w:val="24"/>
          <w:szCs w:val="24"/>
        </w:rPr>
      </w:pPr>
      <w:r w:rsidRPr="0036327D">
        <w:rPr>
          <w:rFonts w:ascii="Times New Roman" w:hAnsi="Times New Roman"/>
          <w:sz w:val="24"/>
          <w:szCs w:val="24"/>
        </w:rPr>
        <w:t xml:space="preserve">On April 10, 2019, in State of Florida v. Armando Socarras, 2019 WL 1548623 (Fla. Dist. Ct. App. 2019), the Third District Court of Appeal, held (3 to 0) that the officer’s first two </w:t>
      </w:r>
      <w:proofErr w:type="gramStart"/>
      <w:r w:rsidRPr="0036327D">
        <w:rPr>
          <w:rFonts w:ascii="Times New Roman" w:hAnsi="Times New Roman"/>
          <w:sz w:val="24"/>
          <w:szCs w:val="24"/>
        </w:rPr>
        <w:t>statement</w:t>
      </w:r>
      <w:proofErr w:type="gramEnd"/>
      <w:r w:rsidRPr="0036327D">
        <w:rPr>
          <w:rFonts w:ascii="Times New Roman" w:hAnsi="Times New Roman"/>
          <w:sz w:val="24"/>
          <w:szCs w:val="24"/>
        </w:rPr>
        <w:t xml:space="preserve"> to Internal Affairs are admissible. “Finally, Socarras did not reference the missing currency in his initial statement, and, unprompted, volunteered an exculpatory explanation in his second statement. As in Murphy, Socarras ‘apparently felt no compunction about adamantly denying’ he engaged in criminal activity, strongly suggesting any subjective belief of employment sanctions ‘did not overwhelm his resistance.’ 465 U.S. at 438, 104 S. Ct. at 1148. </w:t>
      </w:r>
      <w:hyperlink r:id="rId2787" w:history="1">
        <w:r w:rsidRPr="0036327D">
          <w:rPr>
            <w:rStyle w:val="Hyperlink"/>
            <w:rFonts w:ascii="Times New Roman" w:hAnsi="Times New Roman"/>
            <w:sz w:val="24"/>
            <w:szCs w:val="24"/>
          </w:rPr>
          <w:t>https://www.law.com/newyorklawjournal/2019/04/29/new-lactation-room-laws-what-employers-need-to-know/</w:t>
        </w:r>
      </w:hyperlink>
      <w:r w:rsidRPr="0036327D">
        <w:rPr>
          <w:rFonts w:ascii="Times New Roman" w:hAnsi="Times New Roman"/>
          <w:sz w:val="24"/>
          <w:szCs w:val="24"/>
        </w:rPr>
        <w:t xml:space="preserve"> </w:t>
      </w:r>
    </w:p>
    <w:p w14:paraId="3E7E7074" w14:textId="13ACE7DD" w:rsidR="00F4486C" w:rsidRPr="0036327D" w:rsidRDefault="00F4486C" w:rsidP="00D161A5">
      <w:pPr>
        <w:pStyle w:val="NoSpacing"/>
        <w:rPr>
          <w:rFonts w:ascii="Times New Roman" w:hAnsi="Times New Roman"/>
          <w:sz w:val="24"/>
          <w:szCs w:val="24"/>
        </w:rPr>
      </w:pPr>
    </w:p>
    <w:p w14:paraId="6B47B4F7" w14:textId="3AA4288C" w:rsidR="00F4486C" w:rsidRPr="0036327D" w:rsidRDefault="00F4486C" w:rsidP="00D161A5">
      <w:pPr>
        <w:pStyle w:val="NoSpacing"/>
        <w:rPr>
          <w:rFonts w:ascii="Times New Roman" w:hAnsi="Times New Roman"/>
          <w:b/>
          <w:bCs/>
          <w:sz w:val="24"/>
          <w:szCs w:val="24"/>
        </w:rPr>
      </w:pPr>
      <w:r w:rsidRPr="0036327D">
        <w:rPr>
          <w:rFonts w:ascii="Times New Roman" w:hAnsi="Times New Roman"/>
          <w:b/>
          <w:bCs/>
          <w:sz w:val="24"/>
          <w:szCs w:val="24"/>
        </w:rPr>
        <w:t>Legal Lessons Learned: When conducting an internal investigation, advise the “target” of the investigation of both their Miranda rights to remain silent, and their Garrity rights that their statements may lead to disciplinary action.</w:t>
      </w:r>
    </w:p>
    <w:p w14:paraId="44E6994D" w14:textId="0D15F975" w:rsidR="00F4486C" w:rsidRPr="0036327D" w:rsidRDefault="00F4486C" w:rsidP="00D161A5">
      <w:pPr>
        <w:pStyle w:val="NoSpacing"/>
        <w:rPr>
          <w:rFonts w:ascii="Times New Roman" w:hAnsi="Times New Roman"/>
          <w:sz w:val="24"/>
          <w:szCs w:val="24"/>
        </w:rPr>
      </w:pPr>
    </w:p>
    <w:p w14:paraId="07D8471C" w14:textId="07CEC2E9" w:rsidR="00F4486C" w:rsidRPr="0036327D" w:rsidRDefault="00F4486C" w:rsidP="00F4486C">
      <w:pPr>
        <w:pStyle w:val="NoSpacing"/>
        <w:ind w:left="720"/>
        <w:rPr>
          <w:rFonts w:ascii="Times New Roman" w:hAnsi="Times New Roman"/>
          <w:sz w:val="24"/>
          <w:szCs w:val="24"/>
        </w:rPr>
      </w:pPr>
      <w:r w:rsidRPr="0036327D">
        <w:rPr>
          <w:rFonts w:ascii="Times New Roman" w:hAnsi="Times New Roman"/>
          <w:sz w:val="24"/>
          <w:szCs w:val="24"/>
        </w:rPr>
        <w:t xml:space="preserve">See, for example, Lansing Fire Department </w:t>
      </w:r>
      <w:proofErr w:type="gramStart"/>
      <w:r w:rsidRPr="0036327D">
        <w:rPr>
          <w:rFonts w:ascii="Times New Roman" w:hAnsi="Times New Roman"/>
          <w:sz w:val="24"/>
          <w:szCs w:val="24"/>
        </w:rPr>
        <w:t>advise</w:t>
      </w:r>
      <w:proofErr w:type="gramEnd"/>
      <w:r w:rsidRPr="0036327D">
        <w:rPr>
          <w:rFonts w:ascii="Times New Roman" w:hAnsi="Times New Roman"/>
          <w:sz w:val="24"/>
          <w:szCs w:val="24"/>
        </w:rPr>
        <w:t xml:space="preserve"> on Garrity rights: FIFTH AMENDMENT APPLIES TO INTERROGATIONS OF PUBLIC EMPLOYEES (GARRITY RIGHTS)</w:t>
      </w:r>
      <w:r w:rsidR="00B8368A">
        <w:rPr>
          <w:rFonts w:ascii="Times New Roman" w:hAnsi="Times New Roman"/>
          <w:sz w:val="24"/>
          <w:szCs w:val="24"/>
        </w:rPr>
        <w:t xml:space="preserve">: </w:t>
      </w:r>
    </w:p>
    <w:p w14:paraId="1F0FC48A" w14:textId="18477175" w:rsidR="00F4486C" w:rsidRPr="0036327D" w:rsidRDefault="00F4486C" w:rsidP="00F4486C">
      <w:pPr>
        <w:pStyle w:val="NoSpacing"/>
        <w:ind w:left="720"/>
        <w:rPr>
          <w:rFonts w:ascii="Times New Roman" w:hAnsi="Times New Roman"/>
          <w:sz w:val="24"/>
          <w:szCs w:val="24"/>
        </w:rPr>
      </w:pPr>
      <w:r w:rsidRPr="0036327D">
        <w:rPr>
          <w:rFonts w:ascii="Times New Roman" w:hAnsi="Times New Roman"/>
          <w:sz w:val="24"/>
          <w:szCs w:val="24"/>
        </w:rPr>
        <w:t xml:space="preserve">Public employees have certain constitutional rights that apply in their employment that may not apply to private employees. For example, in Garrity v. New Jersey, the Supreme Court held that statements obtained </w:t>
      </w:r>
      <w:proofErr w:type="gramStart"/>
      <w:r w:rsidRPr="0036327D">
        <w:rPr>
          <w:rFonts w:ascii="Times New Roman" w:hAnsi="Times New Roman"/>
          <w:sz w:val="24"/>
          <w:szCs w:val="24"/>
        </w:rPr>
        <w:t>in the course of</w:t>
      </w:r>
      <w:proofErr w:type="gramEnd"/>
      <w:r w:rsidRPr="0036327D">
        <w:rPr>
          <w:rFonts w:ascii="Times New Roman" w:hAnsi="Times New Roman"/>
          <w:sz w:val="24"/>
          <w:szCs w:val="24"/>
        </w:rPr>
        <w:t xml:space="preserve"> an investigatory interview under threat of termination from public employment couldn’t be used as evidence against the employee in subsequent criminal proceedings.  If, however, you refuse to answer questions after you have been assured that your statements cannot be used against you in a subsequent criminal proceeding, the refusal to answer questions </w:t>
      </w:r>
      <w:proofErr w:type="spellStart"/>
      <w:r w:rsidRPr="0036327D">
        <w:rPr>
          <w:rFonts w:ascii="Times New Roman" w:hAnsi="Times New Roman"/>
          <w:sz w:val="24"/>
          <w:szCs w:val="24"/>
        </w:rPr>
        <w:t>thereaftermay</w:t>
      </w:r>
      <w:proofErr w:type="spellEnd"/>
      <w:r w:rsidRPr="0036327D">
        <w:rPr>
          <w:rFonts w:ascii="Times New Roman" w:hAnsi="Times New Roman"/>
          <w:sz w:val="24"/>
          <w:szCs w:val="24"/>
        </w:rPr>
        <w:t xml:space="preserve"> lead to the imposition of discipline for insubordination. Further, while the statements you make may not be used against you in a subsequent criminal proceeding, they can still form the basis for discipline on the </w:t>
      </w:r>
      <w:r w:rsidRPr="0036327D">
        <w:rPr>
          <w:rFonts w:ascii="Times New Roman" w:hAnsi="Times New Roman"/>
          <w:sz w:val="24"/>
          <w:szCs w:val="24"/>
        </w:rPr>
        <w:lastRenderedPageBreak/>
        <w:t xml:space="preserve">underlying work-related </w:t>
      </w:r>
      <w:proofErr w:type="spellStart"/>
      <w:r w:rsidRPr="0036327D">
        <w:rPr>
          <w:rFonts w:ascii="Times New Roman" w:hAnsi="Times New Roman"/>
          <w:sz w:val="24"/>
          <w:szCs w:val="24"/>
        </w:rPr>
        <w:t>charge.To</w:t>
      </w:r>
      <w:proofErr w:type="spellEnd"/>
      <w:r w:rsidRPr="0036327D">
        <w:rPr>
          <w:rFonts w:ascii="Times New Roman" w:hAnsi="Times New Roman"/>
          <w:sz w:val="24"/>
          <w:szCs w:val="24"/>
        </w:rPr>
        <w:t xml:space="preserve"> ensure that your Garrity rights are protected, you should ask the following questions: 1)If I refuse to talk, can I be disciplined for the refusal? 2) Can that discipline include termination from employment? 3) Are my answers for internal and administrative purposes only and are not to be used for criminal prosecution? </w:t>
      </w:r>
      <w:hyperlink r:id="rId2788" w:history="1">
        <w:r w:rsidRPr="0036327D">
          <w:rPr>
            <w:rStyle w:val="Hyperlink"/>
            <w:rFonts w:ascii="Times New Roman" w:hAnsi="Times New Roman"/>
            <w:sz w:val="24"/>
            <w:szCs w:val="24"/>
          </w:rPr>
          <w:t>http://www.iaff421.org/?zone=/unionactive/private_view_page.cfm&amp;page=Know20Your20Rights21</w:t>
        </w:r>
      </w:hyperlink>
      <w:r w:rsidRPr="0036327D">
        <w:rPr>
          <w:rFonts w:ascii="Times New Roman" w:hAnsi="Times New Roman"/>
          <w:sz w:val="24"/>
          <w:szCs w:val="24"/>
        </w:rPr>
        <w:t xml:space="preserve"> </w:t>
      </w:r>
    </w:p>
    <w:p w14:paraId="11E527EB" w14:textId="77777777" w:rsidR="00F4486C" w:rsidRPr="0036327D" w:rsidRDefault="00F4486C" w:rsidP="00D161A5">
      <w:pPr>
        <w:pStyle w:val="NoSpacing"/>
        <w:rPr>
          <w:rFonts w:ascii="Times New Roman" w:hAnsi="Times New Roman"/>
          <w:sz w:val="24"/>
          <w:szCs w:val="24"/>
        </w:rPr>
      </w:pPr>
    </w:p>
    <w:p w14:paraId="0ED7EB70" w14:textId="77777777" w:rsidR="00F4486C" w:rsidRPr="0036327D" w:rsidRDefault="00F4486C" w:rsidP="00D161A5">
      <w:pPr>
        <w:pStyle w:val="NoSpacing"/>
        <w:rPr>
          <w:rFonts w:ascii="Times New Roman" w:hAnsi="Times New Roman"/>
          <w:sz w:val="24"/>
          <w:szCs w:val="24"/>
        </w:rPr>
      </w:pPr>
    </w:p>
    <w:p w14:paraId="50BC4223" w14:textId="41EBD1AF" w:rsidR="00527EDF" w:rsidRDefault="000C4DF5" w:rsidP="00D161A5">
      <w:pPr>
        <w:pStyle w:val="NoSpacing"/>
        <w:rPr>
          <w:sz w:val="24"/>
          <w:szCs w:val="24"/>
        </w:rPr>
      </w:pPr>
      <w:r>
        <w:rPr>
          <w:rFonts w:ascii="Arial Black" w:hAnsi="Arial Black"/>
          <w:sz w:val="24"/>
          <w:szCs w:val="24"/>
        </w:rPr>
        <w:t>16-13</w:t>
      </w:r>
    </w:p>
    <w:p w14:paraId="3E5308D2" w14:textId="77777777" w:rsidR="00527EDF" w:rsidRDefault="00527EDF" w:rsidP="00D161A5">
      <w:pPr>
        <w:pStyle w:val="NoSpacing"/>
        <w:rPr>
          <w:sz w:val="24"/>
          <w:szCs w:val="24"/>
        </w:rPr>
      </w:pPr>
    </w:p>
    <w:p w14:paraId="2CF673B7" w14:textId="7D62DA45" w:rsidR="00D161A5" w:rsidRDefault="00D161A5" w:rsidP="00D161A5">
      <w:pPr>
        <w:pStyle w:val="NoSpacing"/>
        <w:rPr>
          <w:rFonts w:ascii="OnTimes New Roman" w:hAnsi="OnTimes New Roman"/>
          <w:sz w:val="24"/>
          <w:szCs w:val="24"/>
        </w:rPr>
      </w:pPr>
      <w:r w:rsidRPr="004C0054">
        <w:rPr>
          <w:rFonts w:ascii="Arial Black" w:hAnsi="Arial Black" w:cs="Arial"/>
          <w:sz w:val="28"/>
          <w:szCs w:val="28"/>
        </w:rPr>
        <w:t xml:space="preserve">KS:  </w:t>
      </w:r>
      <w:r>
        <w:rPr>
          <w:rFonts w:ascii="Arial Black" w:hAnsi="Arial Black" w:cs="Arial"/>
          <w:sz w:val="28"/>
          <w:szCs w:val="28"/>
        </w:rPr>
        <w:t xml:space="preserve">IAFF ATTORNEY HELPED FF IN GRIEVANCE </w:t>
      </w:r>
      <w:r w:rsidR="00B8368A">
        <w:rPr>
          <w:rFonts w:ascii="Arial Black" w:hAnsi="Arial Black" w:cs="Arial"/>
          <w:sz w:val="28"/>
          <w:szCs w:val="28"/>
        </w:rPr>
        <w:t>–</w:t>
      </w:r>
      <w:r>
        <w:rPr>
          <w:rFonts w:ascii="Arial Black" w:hAnsi="Arial Black" w:cs="Arial"/>
          <w:sz w:val="28"/>
          <w:szCs w:val="28"/>
        </w:rPr>
        <w:t xml:space="preserve"> </w:t>
      </w:r>
      <w:r w:rsidR="00B8368A">
        <w:rPr>
          <w:rFonts w:ascii="Arial Black" w:hAnsi="Arial Black" w:cs="Arial"/>
          <w:sz w:val="28"/>
          <w:szCs w:val="28"/>
        </w:rPr>
        <w:t xml:space="preserve">HE WAS </w:t>
      </w:r>
      <w:r>
        <w:rPr>
          <w:rFonts w:ascii="Arial Black" w:hAnsi="Arial Black" w:cs="Arial"/>
          <w:sz w:val="28"/>
          <w:szCs w:val="28"/>
        </w:rPr>
        <w:t xml:space="preserve">NOT HIS PERSONAL COUNSEL </w:t>
      </w:r>
    </w:p>
    <w:p w14:paraId="2567CDC2" w14:textId="77777777" w:rsidR="00B8368A" w:rsidRDefault="00D161A5" w:rsidP="00D161A5">
      <w:pPr>
        <w:pStyle w:val="NoSpacing"/>
        <w:rPr>
          <w:rFonts w:ascii="Times New Roman" w:hAnsi="Times New Roman"/>
          <w:sz w:val="24"/>
          <w:szCs w:val="24"/>
        </w:rPr>
      </w:pPr>
      <w:r w:rsidRPr="00B8368A">
        <w:rPr>
          <w:rFonts w:ascii="Times New Roman" w:hAnsi="Times New Roman"/>
          <w:sz w:val="24"/>
          <w:szCs w:val="24"/>
        </w:rPr>
        <w:t xml:space="preserve">On March 25, 2019, in </w:t>
      </w:r>
      <w:r w:rsidRPr="00B8368A">
        <w:rPr>
          <w:rFonts w:ascii="Times New Roman" w:hAnsi="Times New Roman"/>
          <w:sz w:val="24"/>
          <w:szCs w:val="24"/>
          <w:u w:val="single"/>
        </w:rPr>
        <w:t>Randall Austin Ester v. Christopher Buell, et al</w:t>
      </w:r>
      <w:r w:rsidRPr="00B8368A">
        <w:rPr>
          <w:rFonts w:ascii="Times New Roman" w:hAnsi="Times New Roman"/>
          <w:sz w:val="24"/>
          <w:szCs w:val="24"/>
        </w:rPr>
        <w:t xml:space="preserve">., U.S. Magistrate Judge Gwynne E. </w:t>
      </w:r>
      <w:proofErr w:type="spellStart"/>
      <w:r w:rsidRPr="00B8368A">
        <w:rPr>
          <w:rFonts w:ascii="Times New Roman" w:hAnsi="Times New Roman"/>
          <w:sz w:val="24"/>
          <w:szCs w:val="24"/>
        </w:rPr>
        <w:t>Birzar</w:t>
      </w:r>
      <w:proofErr w:type="spellEnd"/>
      <w:r w:rsidRPr="00B8368A">
        <w:rPr>
          <w:rFonts w:ascii="Times New Roman" w:hAnsi="Times New Roman"/>
          <w:sz w:val="24"/>
          <w:szCs w:val="24"/>
        </w:rPr>
        <w:t xml:space="preserve">, U.S. District Court for Kansas, denied plaintiff’s motion to have IAFF Local 64 attorney disqualified from representing IAFF in his racial discrimination lawsuit.  The Magistrate held, </w:t>
      </w:r>
    </w:p>
    <w:p w14:paraId="25D8AA3D" w14:textId="77777777" w:rsidR="00B8368A" w:rsidRDefault="00B8368A" w:rsidP="00D161A5">
      <w:pPr>
        <w:pStyle w:val="NoSpacing"/>
        <w:rPr>
          <w:rFonts w:ascii="Times New Roman" w:hAnsi="Times New Roman"/>
          <w:sz w:val="24"/>
          <w:szCs w:val="24"/>
        </w:rPr>
      </w:pPr>
    </w:p>
    <w:p w14:paraId="05C1FBF1" w14:textId="1A4D62EC" w:rsidR="00D161A5" w:rsidRPr="00B8368A" w:rsidRDefault="00D161A5" w:rsidP="00B8368A">
      <w:pPr>
        <w:pStyle w:val="NoSpacing"/>
        <w:ind w:left="720"/>
        <w:rPr>
          <w:rFonts w:ascii="Times New Roman" w:hAnsi="Times New Roman"/>
          <w:sz w:val="24"/>
          <w:szCs w:val="24"/>
        </w:rPr>
      </w:pPr>
      <w:r w:rsidRPr="00B8368A">
        <w:rPr>
          <w:rFonts w:ascii="Times New Roman" w:hAnsi="Times New Roman"/>
          <w:sz w:val="24"/>
          <w:szCs w:val="24"/>
        </w:rPr>
        <w:t xml:space="preserve">“The totality of the evidence, viewed in conjunction with the caselaw, weighs against formation of an attorney-client relationship. Written documents identify Mr. Brown as ‘attorney for the union.’” </w:t>
      </w:r>
      <w:hyperlink r:id="rId2789" w:history="1">
        <w:r w:rsidRPr="00B8368A">
          <w:rPr>
            <w:rStyle w:val="Hyperlink"/>
            <w:rFonts w:ascii="Times New Roman" w:hAnsi="Times New Roman"/>
            <w:sz w:val="24"/>
            <w:szCs w:val="24"/>
          </w:rPr>
          <w:t>https://ecf.ksd.uscourts.gov/cgi-bin/show_public_doc?2018cv2084-60</w:t>
        </w:r>
      </w:hyperlink>
      <w:r w:rsidRPr="00B8368A">
        <w:rPr>
          <w:rFonts w:ascii="Times New Roman" w:hAnsi="Times New Roman"/>
          <w:sz w:val="24"/>
          <w:szCs w:val="24"/>
        </w:rPr>
        <w:t xml:space="preserve"> </w:t>
      </w:r>
    </w:p>
    <w:p w14:paraId="7A7B8B4C" w14:textId="77777777" w:rsidR="00B8368A" w:rsidRDefault="00B8368A" w:rsidP="00D161A5">
      <w:pPr>
        <w:pStyle w:val="NoSpacing"/>
        <w:rPr>
          <w:rFonts w:ascii="Times New Roman" w:hAnsi="Times New Roman"/>
          <w:b/>
          <w:sz w:val="24"/>
          <w:szCs w:val="24"/>
        </w:rPr>
      </w:pPr>
    </w:p>
    <w:p w14:paraId="7DEAF276" w14:textId="545C782F" w:rsidR="00D161A5" w:rsidRPr="00B8368A" w:rsidRDefault="00D161A5" w:rsidP="00D161A5">
      <w:pPr>
        <w:pStyle w:val="NoSpacing"/>
        <w:rPr>
          <w:rFonts w:ascii="Times New Roman" w:hAnsi="Times New Roman"/>
          <w:b/>
          <w:sz w:val="24"/>
          <w:szCs w:val="24"/>
        </w:rPr>
      </w:pPr>
      <w:r w:rsidRPr="00B8368A">
        <w:rPr>
          <w:rFonts w:ascii="Times New Roman" w:hAnsi="Times New Roman"/>
          <w:b/>
          <w:sz w:val="24"/>
          <w:szCs w:val="24"/>
        </w:rPr>
        <w:t xml:space="preserve">Legal Lessons Learned:  IAFF Local’s attorney is not personal attorney for grievant. </w:t>
      </w:r>
    </w:p>
    <w:p w14:paraId="0791BB7C" w14:textId="77777777" w:rsidR="009C7552" w:rsidRDefault="009C7552" w:rsidP="00D161A5">
      <w:pPr>
        <w:pStyle w:val="NoSpacing"/>
        <w:rPr>
          <w:b/>
          <w:sz w:val="24"/>
          <w:szCs w:val="24"/>
        </w:rPr>
      </w:pPr>
    </w:p>
    <w:bookmarkEnd w:id="610"/>
    <w:p w14:paraId="62CCDF3C" w14:textId="77777777" w:rsidR="00D161A5" w:rsidRPr="009C7552" w:rsidRDefault="00D161A5" w:rsidP="00D161A5">
      <w:pPr>
        <w:pStyle w:val="NoSpacing"/>
        <w:rPr>
          <w:bCs/>
          <w:sz w:val="24"/>
          <w:szCs w:val="24"/>
        </w:rPr>
      </w:pPr>
    </w:p>
    <w:p w14:paraId="41C1185A" w14:textId="77777777" w:rsidR="00D161A5" w:rsidRDefault="00D161A5" w:rsidP="00F326E5">
      <w:pPr>
        <w:pStyle w:val="NoSpacing"/>
        <w:rPr>
          <w:sz w:val="24"/>
          <w:szCs w:val="24"/>
        </w:rPr>
      </w:pPr>
    </w:p>
    <w:p w14:paraId="768CCFA3" w14:textId="130692C9" w:rsidR="000C4DF5" w:rsidRDefault="000C4DF5" w:rsidP="000C4DF5">
      <w:pPr>
        <w:pStyle w:val="NoSpacing"/>
        <w:rPr>
          <w:rFonts w:ascii="Arial Black" w:hAnsi="Arial Black"/>
          <w:sz w:val="24"/>
          <w:szCs w:val="24"/>
        </w:rPr>
      </w:pPr>
      <w:r>
        <w:rPr>
          <w:rFonts w:ascii="Arial Black" w:hAnsi="Arial Black"/>
          <w:sz w:val="24"/>
          <w:szCs w:val="24"/>
        </w:rPr>
        <w:t>16-12</w:t>
      </w:r>
    </w:p>
    <w:p w14:paraId="715D8B60" w14:textId="77777777" w:rsidR="00D161A5" w:rsidRDefault="00D161A5" w:rsidP="00F326E5">
      <w:pPr>
        <w:pStyle w:val="NoSpacing"/>
        <w:rPr>
          <w:sz w:val="24"/>
          <w:szCs w:val="24"/>
        </w:rPr>
      </w:pPr>
    </w:p>
    <w:p w14:paraId="471FE08E" w14:textId="77777777" w:rsidR="00D161A5" w:rsidRDefault="00D161A5" w:rsidP="00F326E5">
      <w:pPr>
        <w:pStyle w:val="NoSpacing"/>
        <w:rPr>
          <w:sz w:val="24"/>
          <w:szCs w:val="24"/>
        </w:rPr>
      </w:pPr>
    </w:p>
    <w:p w14:paraId="0FE3A5B8" w14:textId="4493E0B1" w:rsidR="00F326E5" w:rsidRPr="003668D6" w:rsidRDefault="00F326E5" w:rsidP="00F326E5">
      <w:pPr>
        <w:pStyle w:val="NoSpacing"/>
        <w:rPr>
          <w:rFonts w:ascii="Arial Black" w:hAnsi="Arial Black"/>
          <w:b/>
          <w:bCs/>
          <w:sz w:val="28"/>
          <w:szCs w:val="28"/>
        </w:rPr>
      </w:pPr>
      <w:bookmarkStart w:id="613" w:name="_Hlk7348878"/>
      <w:r w:rsidRPr="003668D6">
        <w:rPr>
          <w:rFonts w:ascii="Arial Black" w:hAnsi="Arial Black"/>
          <w:bCs/>
          <w:sz w:val="28"/>
          <w:szCs w:val="28"/>
        </w:rPr>
        <w:t>MA:  NEPOTISM - FIRE CHIEF</w:t>
      </w:r>
      <w:r>
        <w:rPr>
          <w:rFonts w:ascii="Arial Black" w:hAnsi="Arial Black"/>
          <w:bCs/>
          <w:sz w:val="28"/>
          <w:szCs w:val="28"/>
        </w:rPr>
        <w:t xml:space="preserve">’S NIECE AND BROTHER ON FD – </w:t>
      </w:r>
      <w:r w:rsidR="00D161A5">
        <w:rPr>
          <w:rFonts w:ascii="Arial Black" w:hAnsi="Arial Black"/>
          <w:bCs/>
          <w:sz w:val="28"/>
          <w:szCs w:val="28"/>
        </w:rPr>
        <w:t>RESIGNED PENDING AN INVESTGATION</w:t>
      </w:r>
      <w:r>
        <w:rPr>
          <w:rFonts w:ascii="Arial Black" w:hAnsi="Arial Black"/>
          <w:bCs/>
          <w:sz w:val="28"/>
          <w:szCs w:val="28"/>
        </w:rPr>
        <w:t xml:space="preserve"> </w:t>
      </w:r>
    </w:p>
    <w:p w14:paraId="674E8EA9" w14:textId="77777777" w:rsidR="00B8368A" w:rsidRDefault="00F326E5" w:rsidP="00F326E5">
      <w:pPr>
        <w:pStyle w:val="NoSpacing"/>
        <w:rPr>
          <w:rFonts w:ascii="Times New Roman" w:hAnsi="Times New Roman"/>
          <w:sz w:val="24"/>
          <w:szCs w:val="24"/>
        </w:rPr>
      </w:pPr>
      <w:r w:rsidRPr="00B8368A">
        <w:rPr>
          <w:rFonts w:ascii="Times New Roman" w:hAnsi="Times New Roman"/>
          <w:sz w:val="24"/>
          <w:szCs w:val="24"/>
        </w:rPr>
        <w:t xml:space="preserve">On Jan. 19, 2019, in </w:t>
      </w:r>
      <w:r w:rsidRPr="00B8368A">
        <w:rPr>
          <w:rFonts w:ascii="Times New Roman" w:hAnsi="Times New Roman"/>
          <w:sz w:val="24"/>
          <w:szCs w:val="24"/>
          <w:u w:val="single"/>
        </w:rPr>
        <w:t>Kevin Robinson v. Town of Marshfield, et al</w:t>
      </w:r>
      <w:r w:rsidRPr="00B8368A">
        <w:rPr>
          <w:rFonts w:ascii="Times New Roman" w:hAnsi="Times New Roman"/>
          <w:sz w:val="24"/>
          <w:szCs w:val="24"/>
        </w:rPr>
        <w:t xml:space="preserve">, U.S. District Court Judge Nathaniel M. Gorton granted the Town’s motion for summary judgment, and dismissed the former Fire Chief’s lawsuit: </w:t>
      </w:r>
    </w:p>
    <w:p w14:paraId="33B1FD9A" w14:textId="77777777" w:rsidR="00B8368A" w:rsidRDefault="00B8368A" w:rsidP="00F326E5">
      <w:pPr>
        <w:pStyle w:val="NoSpacing"/>
        <w:rPr>
          <w:rFonts w:ascii="Times New Roman" w:hAnsi="Times New Roman"/>
          <w:sz w:val="24"/>
          <w:szCs w:val="24"/>
        </w:rPr>
      </w:pPr>
    </w:p>
    <w:p w14:paraId="2B59403D" w14:textId="4BC3DAE9" w:rsidR="00F326E5" w:rsidRPr="00B8368A" w:rsidRDefault="00F326E5" w:rsidP="00B8368A">
      <w:pPr>
        <w:pStyle w:val="NoSpacing"/>
        <w:ind w:left="720"/>
        <w:rPr>
          <w:rStyle w:val="Hyperlink"/>
          <w:rFonts w:ascii="Times New Roman" w:hAnsi="Times New Roman"/>
          <w:bCs/>
          <w:sz w:val="24"/>
          <w:szCs w:val="24"/>
        </w:rPr>
      </w:pPr>
      <w:r w:rsidRPr="00B8368A">
        <w:rPr>
          <w:rFonts w:ascii="Times New Roman" w:hAnsi="Times New Roman"/>
          <w:sz w:val="24"/>
          <w:szCs w:val="24"/>
        </w:rPr>
        <w:t xml:space="preserve">“The Chief has not met his burden of showing intentional interference. First, defendants’ conduct does not rise to the level of spiteful or malignant purpose because there was a legitimate interest in temporarily removing the Chief during the investigation of his alleged ethical misconduct. Moreover, even if this Court assumes arguendo that the Chief has met his prima facie burden of showing improper motive through age discrimination, the Chief has failed to show that such discrimination was the controlling factor in the alleged interference.” </w:t>
      </w:r>
      <w:hyperlink r:id="rId2790" w:history="1">
        <w:r w:rsidRPr="00B8368A">
          <w:rPr>
            <w:rStyle w:val="Hyperlink"/>
            <w:rFonts w:ascii="Times New Roman" w:hAnsi="Times New Roman"/>
            <w:sz w:val="24"/>
            <w:szCs w:val="24"/>
          </w:rPr>
          <w:t>https://www.courtlistener.com/recap/gov.uscourts.mad.185693/gov.uscourts.mad.185693.65.0.pdf</w:t>
        </w:r>
      </w:hyperlink>
    </w:p>
    <w:p w14:paraId="08E3688B" w14:textId="77777777" w:rsidR="00B8368A" w:rsidRDefault="00B8368A" w:rsidP="00F326E5">
      <w:pPr>
        <w:pStyle w:val="NoSpacing"/>
        <w:rPr>
          <w:rFonts w:ascii="Times New Roman" w:hAnsi="Times New Roman"/>
          <w:b/>
          <w:sz w:val="24"/>
          <w:szCs w:val="24"/>
        </w:rPr>
      </w:pPr>
    </w:p>
    <w:p w14:paraId="1A022713" w14:textId="22E6BCBD" w:rsidR="00F326E5" w:rsidRPr="00B8368A" w:rsidRDefault="00F326E5" w:rsidP="00F326E5">
      <w:pPr>
        <w:pStyle w:val="NoSpacing"/>
        <w:rPr>
          <w:rFonts w:ascii="Times New Roman" w:hAnsi="Times New Roman"/>
          <w:b/>
          <w:sz w:val="24"/>
          <w:szCs w:val="24"/>
        </w:rPr>
      </w:pPr>
      <w:r w:rsidRPr="00B8368A">
        <w:rPr>
          <w:rFonts w:ascii="Times New Roman" w:hAnsi="Times New Roman"/>
          <w:b/>
          <w:sz w:val="24"/>
          <w:szCs w:val="24"/>
        </w:rPr>
        <w:t>Legal Lessons Learned:  Fire Chiefs, in states that do not prohibit close family members on their FD, must be extremely careful to avoid even an “appearance” of conflicts of interest.</w:t>
      </w:r>
    </w:p>
    <w:p w14:paraId="5B32A854" w14:textId="77777777" w:rsidR="00F326E5" w:rsidRPr="00B8368A" w:rsidRDefault="00F326E5" w:rsidP="00F326E5">
      <w:pPr>
        <w:pStyle w:val="NoSpacing"/>
        <w:rPr>
          <w:rFonts w:ascii="Times New Roman" w:hAnsi="Times New Roman"/>
          <w:b/>
          <w:sz w:val="24"/>
          <w:szCs w:val="24"/>
        </w:rPr>
      </w:pPr>
    </w:p>
    <w:p w14:paraId="4170938E" w14:textId="77777777" w:rsidR="00F326E5" w:rsidRPr="00B8368A" w:rsidRDefault="00F326E5" w:rsidP="00F326E5">
      <w:pPr>
        <w:pStyle w:val="NoSpacing"/>
        <w:ind w:left="720"/>
        <w:rPr>
          <w:rFonts w:ascii="Times New Roman" w:hAnsi="Times New Roman"/>
          <w:sz w:val="24"/>
          <w:szCs w:val="24"/>
        </w:rPr>
      </w:pPr>
      <w:r w:rsidRPr="00B8368A">
        <w:rPr>
          <w:rFonts w:ascii="Times New Roman" w:hAnsi="Times New Roman"/>
          <w:sz w:val="24"/>
          <w:szCs w:val="24"/>
        </w:rPr>
        <w:t xml:space="preserve">See list of state statutes on Nepotism: “Some states may take a broader approach by denying any relative of a qualifying official from being hired by the same branch of government. Other states might more narrowly prevent a public official from having direct supervisory or hiring authority over a relative. A legislator even advocating on behalf of a relative before a hiring or appointing authority might be a violation in some states.” </w:t>
      </w:r>
      <w:hyperlink r:id="rId2791" w:history="1">
        <w:r w:rsidRPr="00B8368A">
          <w:rPr>
            <w:rStyle w:val="Hyperlink"/>
            <w:rFonts w:ascii="Times New Roman" w:hAnsi="Times New Roman"/>
            <w:sz w:val="24"/>
            <w:szCs w:val="24"/>
          </w:rPr>
          <w:t>http://www.ncsl.org/research/ethics/50-state-table-nepotism-restrictions.aspx</w:t>
        </w:r>
      </w:hyperlink>
      <w:r w:rsidRPr="00B8368A">
        <w:rPr>
          <w:rFonts w:ascii="Times New Roman" w:hAnsi="Times New Roman"/>
          <w:sz w:val="24"/>
          <w:szCs w:val="24"/>
        </w:rPr>
        <w:t xml:space="preserve"> </w:t>
      </w:r>
    </w:p>
    <w:p w14:paraId="16D97DCA" w14:textId="77777777" w:rsidR="00F326E5" w:rsidRPr="00B8368A" w:rsidRDefault="00F326E5" w:rsidP="00F326E5">
      <w:pPr>
        <w:pStyle w:val="NoSpacing"/>
        <w:ind w:left="720"/>
        <w:rPr>
          <w:rFonts w:ascii="Times New Roman" w:hAnsi="Times New Roman"/>
          <w:sz w:val="24"/>
          <w:szCs w:val="24"/>
        </w:rPr>
      </w:pPr>
      <w:r w:rsidRPr="00B8368A">
        <w:rPr>
          <w:rFonts w:ascii="Times New Roman" w:hAnsi="Times New Roman"/>
          <w:sz w:val="24"/>
          <w:szCs w:val="24"/>
        </w:rPr>
        <w:lastRenderedPageBreak/>
        <w:t xml:space="preserve">See also Ohio Ethics Commission – Information Sheet No. 1, RESTRICTIONS ON NEPOTISM OR HIRING FAMILY MEMBERS: </w:t>
      </w:r>
      <w:hyperlink r:id="rId2792" w:history="1">
        <w:r w:rsidRPr="00B8368A">
          <w:rPr>
            <w:rStyle w:val="Hyperlink"/>
            <w:rFonts w:ascii="Times New Roman" w:hAnsi="Times New Roman"/>
            <w:sz w:val="24"/>
            <w:szCs w:val="24"/>
          </w:rPr>
          <w:t>https://www.ethics.ohio.gov/education/factsheets/InfoSheet1-Nepotism.pdf</w:t>
        </w:r>
      </w:hyperlink>
      <w:r w:rsidRPr="00B8368A">
        <w:rPr>
          <w:rFonts w:ascii="Times New Roman" w:hAnsi="Times New Roman"/>
          <w:sz w:val="24"/>
          <w:szCs w:val="24"/>
        </w:rPr>
        <w:t xml:space="preserve"> </w:t>
      </w:r>
    </w:p>
    <w:p w14:paraId="30BB61A3" w14:textId="24EA80D9" w:rsidR="00F326E5" w:rsidRPr="00B8368A" w:rsidRDefault="00F326E5" w:rsidP="00F326E5">
      <w:pPr>
        <w:pStyle w:val="NoSpacing"/>
        <w:ind w:left="720"/>
        <w:rPr>
          <w:rFonts w:ascii="Times New Roman" w:hAnsi="Times New Roman"/>
          <w:sz w:val="24"/>
          <w:szCs w:val="24"/>
        </w:rPr>
      </w:pPr>
    </w:p>
    <w:bookmarkEnd w:id="613"/>
    <w:p w14:paraId="4C5B09EA" w14:textId="77777777" w:rsidR="00B8368A" w:rsidRDefault="00B8368A" w:rsidP="000C4DF5">
      <w:pPr>
        <w:pStyle w:val="NoSpacing"/>
        <w:rPr>
          <w:rFonts w:ascii="Arial Black" w:hAnsi="Arial Black"/>
          <w:sz w:val="24"/>
          <w:szCs w:val="24"/>
        </w:rPr>
      </w:pPr>
    </w:p>
    <w:p w14:paraId="776AD545" w14:textId="77777777" w:rsidR="00B8368A" w:rsidRDefault="00B8368A" w:rsidP="000C4DF5">
      <w:pPr>
        <w:pStyle w:val="NoSpacing"/>
        <w:rPr>
          <w:rFonts w:ascii="Arial Black" w:hAnsi="Arial Black"/>
          <w:sz w:val="24"/>
          <w:szCs w:val="24"/>
        </w:rPr>
      </w:pPr>
    </w:p>
    <w:p w14:paraId="748490EF" w14:textId="5B982907" w:rsidR="00F326E5" w:rsidRDefault="000C4DF5" w:rsidP="000C4DF5">
      <w:pPr>
        <w:pStyle w:val="NoSpacing"/>
        <w:rPr>
          <w:rFonts w:ascii="Arial Black" w:hAnsi="Arial Black"/>
          <w:sz w:val="24"/>
          <w:szCs w:val="24"/>
        </w:rPr>
      </w:pPr>
      <w:r>
        <w:rPr>
          <w:rFonts w:ascii="Arial Black" w:hAnsi="Arial Black"/>
          <w:sz w:val="24"/>
          <w:szCs w:val="24"/>
        </w:rPr>
        <w:t>16-11</w:t>
      </w:r>
    </w:p>
    <w:p w14:paraId="75AC1771" w14:textId="77777777" w:rsidR="000C4DF5" w:rsidRDefault="000C4DF5" w:rsidP="000C4DF5">
      <w:pPr>
        <w:pStyle w:val="NoSpacing"/>
        <w:rPr>
          <w:rFonts w:ascii="Arial Black" w:hAnsi="Arial Black"/>
          <w:sz w:val="40"/>
          <w:szCs w:val="40"/>
        </w:rPr>
      </w:pPr>
    </w:p>
    <w:p w14:paraId="1CB9144B" w14:textId="781FAE87" w:rsidR="00F326E5" w:rsidRPr="004815FF" w:rsidRDefault="00F326E5" w:rsidP="00F326E5">
      <w:pPr>
        <w:pStyle w:val="NoSpacing"/>
        <w:rPr>
          <w:rFonts w:ascii="Arial Black" w:hAnsi="Arial Black"/>
          <w:b/>
          <w:sz w:val="28"/>
          <w:szCs w:val="28"/>
        </w:rPr>
      </w:pPr>
      <w:bookmarkStart w:id="614" w:name="_Hlk7348937"/>
      <w:r w:rsidRPr="004815FF">
        <w:rPr>
          <w:rFonts w:ascii="Arial Black" w:hAnsi="Arial Black"/>
          <w:b/>
          <w:sz w:val="28"/>
          <w:szCs w:val="28"/>
        </w:rPr>
        <w:t xml:space="preserve">NJ: STATE POLICE LAB OFFICER INDICTED; FALSELY CERTIFIED </w:t>
      </w:r>
      <w:r w:rsidR="00D161A5">
        <w:rPr>
          <w:rFonts w:ascii="Arial Black" w:hAnsi="Arial Black"/>
          <w:b/>
          <w:sz w:val="28"/>
          <w:szCs w:val="28"/>
        </w:rPr>
        <w:t xml:space="preserve">HE </w:t>
      </w:r>
      <w:r w:rsidRPr="004815FF">
        <w:rPr>
          <w:rFonts w:ascii="Arial Black" w:hAnsi="Arial Black"/>
          <w:b/>
          <w:sz w:val="28"/>
          <w:szCs w:val="28"/>
        </w:rPr>
        <w:t>HAD CALIBRATED DUI EQUIPMENT</w:t>
      </w:r>
    </w:p>
    <w:p w14:paraId="034C3147" w14:textId="77777777" w:rsidR="00F326E5" w:rsidRPr="00B8368A" w:rsidRDefault="00F326E5" w:rsidP="00F326E5">
      <w:pPr>
        <w:rPr>
          <w:rFonts w:ascii="Times New Roman" w:eastAsia="Times New Roman" w:hAnsi="Times New Roman"/>
          <w:sz w:val="24"/>
          <w:szCs w:val="24"/>
        </w:rPr>
      </w:pPr>
      <w:r w:rsidRPr="00B8368A">
        <w:rPr>
          <w:rFonts w:ascii="Times New Roman" w:eastAsia="Times New Roman" w:hAnsi="Times New Roman"/>
          <w:sz w:val="24"/>
          <w:szCs w:val="24"/>
        </w:rPr>
        <w:t xml:space="preserve">On Nov. 13, 2018, in </w:t>
      </w:r>
      <w:r w:rsidRPr="00B8368A">
        <w:rPr>
          <w:rFonts w:ascii="Times New Roman" w:eastAsia="Times New Roman" w:hAnsi="Times New Roman"/>
          <w:sz w:val="24"/>
          <w:szCs w:val="24"/>
          <w:u w:val="single"/>
        </w:rPr>
        <w:t>State v. Eileen Cassidy</w:t>
      </w:r>
      <w:r w:rsidRPr="00B8368A">
        <w:rPr>
          <w:rFonts w:ascii="Times New Roman" w:eastAsia="Times New Roman" w:hAnsi="Times New Roman"/>
          <w:sz w:val="24"/>
          <w:szCs w:val="24"/>
        </w:rPr>
        <w:t xml:space="preserve">, the New Jersey Supreme Court held: “The Court considers the admissibility of breath test results produced by Alcotest machines not calibrated using a thermometer that produces temperature measurements traceable to the standards set by the National Institute of Standards and Technology (NIST)…. The Special Master determined that the State had not shown that other states’ practices revealed general  acceptance of the reliability of Alcotest results without the use of a NIST-traceable thermometer. Because the Special Master’s findings are supported by substantial credible evidence in the record, the Court adopts them.” </w:t>
      </w:r>
      <w:hyperlink r:id="rId2793" w:history="1">
        <w:r w:rsidRPr="00B8368A">
          <w:rPr>
            <w:rStyle w:val="Hyperlink"/>
            <w:rFonts w:ascii="Times New Roman" w:hAnsi="Times New Roman"/>
            <w:sz w:val="24"/>
            <w:szCs w:val="24"/>
          </w:rPr>
          <w:t>https://www.njcourts.gov/attorneys/assets/opinions/supreme/a_58_16.pdf</w:t>
        </w:r>
      </w:hyperlink>
      <w:r w:rsidRPr="00B8368A">
        <w:rPr>
          <w:rFonts w:ascii="Times New Roman" w:eastAsia="Times New Roman" w:hAnsi="Times New Roman"/>
          <w:sz w:val="24"/>
          <w:szCs w:val="24"/>
        </w:rPr>
        <w:t xml:space="preserve"> </w:t>
      </w:r>
    </w:p>
    <w:p w14:paraId="1D0B34D5" w14:textId="77777777" w:rsidR="00F326E5" w:rsidRPr="00B8368A" w:rsidRDefault="00F326E5" w:rsidP="00F326E5">
      <w:pPr>
        <w:rPr>
          <w:rFonts w:ascii="Times New Roman" w:eastAsia="Times New Roman" w:hAnsi="Times New Roman"/>
          <w:b/>
          <w:sz w:val="24"/>
          <w:szCs w:val="24"/>
        </w:rPr>
      </w:pPr>
      <w:r w:rsidRPr="00B8368A">
        <w:rPr>
          <w:rFonts w:ascii="Times New Roman" w:eastAsia="Times New Roman" w:hAnsi="Times New Roman"/>
          <w:b/>
          <w:sz w:val="24"/>
          <w:szCs w:val="24"/>
        </w:rPr>
        <w:t xml:space="preserve">Legal Lessons Learned: False certifications can lead to unwarranted convictions, and criminal charges. EMS personnel must likewise follow EMS protocols, or patient injury or death may occur; false EMS run reports can also lead to termination of employment and even criminal charges.  </w:t>
      </w:r>
    </w:p>
    <w:p w14:paraId="18356700" w14:textId="53BD2B4A" w:rsidR="00BD7B94" w:rsidRDefault="00BD7B94" w:rsidP="00F326E5">
      <w:pPr>
        <w:rPr>
          <w:rStyle w:val="Hyperlink"/>
          <w:sz w:val="24"/>
          <w:szCs w:val="24"/>
        </w:rPr>
      </w:pPr>
    </w:p>
    <w:p w14:paraId="01E94A2A" w14:textId="6C502B7F" w:rsidR="000C4DF5" w:rsidRDefault="000C4DF5" w:rsidP="000C4DF5">
      <w:pPr>
        <w:pStyle w:val="NoSpacing"/>
        <w:rPr>
          <w:rFonts w:ascii="Arial Black" w:hAnsi="Arial Black"/>
          <w:sz w:val="24"/>
          <w:szCs w:val="24"/>
        </w:rPr>
      </w:pPr>
      <w:r>
        <w:rPr>
          <w:rFonts w:ascii="Arial Black" w:hAnsi="Arial Black"/>
          <w:sz w:val="24"/>
          <w:szCs w:val="24"/>
        </w:rPr>
        <w:t>16-10</w:t>
      </w:r>
    </w:p>
    <w:p w14:paraId="18ED8E0F" w14:textId="77777777" w:rsidR="00F326E5" w:rsidRDefault="00F326E5" w:rsidP="00F326E5">
      <w:pPr>
        <w:rPr>
          <w:b/>
          <w:sz w:val="24"/>
          <w:szCs w:val="24"/>
        </w:rPr>
      </w:pPr>
    </w:p>
    <w:p w14:paraId="6C6F9702" w14:textId="72777524" w:rsidR="00F326E5" w:rsidRPr="00FA036E" w:rsidRDefault="00F326E5" w:rsidP="00F326E5">
      <w:pPr>
        <w:rPr>
          <w:rFonts w:ascii="Arial Black" w:hAnsi="Arial Black"/>
          <w:sz w:val="28"/>
          <w:szCs w:val="28"/>
        </w:rPr>
      </w:pPr>
      <w:bookmarkStart w:id="615" w:name="_Hlk7348973"/>
      <w:bookmarkEnd w:id="614"/>
      <w:r>
        <w:rPr>
          <w:rFonts w:ascii="Arial Black" w:hAnsi="Arial Black"/>
          <w:sz w:val="28"/>
          <w:szCs w:val="28"/>
        </w:rPr>
        <w:t>TN:  FF REINSTATED - SCUFFLE AT OFF-DUTY RALLY / FIREARM - REINSTATED – CHARGES NOT PROVEN</w:t>
      </w:r>
    </w:p>
    <w:p w14:paraId="3D6D801E" w14:textId="77777777" w:rsidR="00B8368A" w:rsidRDefault="00F326E5" w:rsidP="00F326E5">
      <w:pPr>
        <w:rPr>
          <w:rFonts w:ascii="Times New Roman" w:eastAsia="Times New Roman" w:hAnsi="Times New Roman"/>
          <w:sz w:val="24"/>
          <w:szCs w:val="24"/>
        </w:rPr>
      </w:pPr>
      <w:r w:rsidRPr="00B8368A">
        <w:rPr>
          <w:rFonts w:ascii="Times New Roman" w:eastAsia="Times New Roman" w:hAnsi="Times New Roman"/>
          <w:sz w:val="24"/>
          <w:szCs w:val="24"/>
        </w:rPr>
        <w:t xml:space="preserve">On Oct. 10, 2018, in </w:t>
      </w:r>
      <w:r w:rsidRPr="00B8368A">
        <w:rPr>
          <w:rFonts w:ascii="Times New Roman" w:eastAsia="Times New Roman" w:hAnsi="Times New Roman"/>
          <w:sz w:val="24"/>
          <w:szCs w:val="24"/>
          <w:u w:val="single"/>
        </w:rPr>
        <w:t>Paul Zachary Moss v. Shelby County Civil Service Board</w:t>
      </w:r>
      <w:r w:rsidRPr="00B8368A">
        <w:rPr>
          <w:rFonts w:ascii="Times New Roman" w:eastAsia="Times New Roman" w:hAnsi="Times New Roman"/>
          <w:sz w:val="24"/>
          <w:szCs w:val="24"/>
        </w:rPr>
        <w:t xml:space="preserve">, the Court of Appeals of Tennessee (at Jackson) held (3 to 0) that the Civil Service Board is reversed, and firefighter is reinstated to Shelby County Fire Department.  </w:t>
      </w:r>
    </w:p>
    <w:p w14:paraId="1706CB8E" w14:textId="2CD8CF00" w:rsidR="00F326E5" w:rsidRPr="00B8368A" w:rsidRDefault="00F326E5" w:rsidP="00B8368A">
      <w:pPr>
        <w:ind w:left="720"/>
        <w:rPr>
          <w:rFonts w:ascii="Times New Roman" w:eastAsia="Times New Roman" w:hAnsi="Times New Roman"/>
          <w:sz w:val="24"/>
          <w:szCs w:val="24"/>
        </w:rPr>
      </w:pPr>
      <w:r w:rsidRPr="00B8368A">
        <w:rPr>
          <w:rFonts w:ascii="Times New Roman" w:eastAsia="Times New Roman" w:hAnsi="Times New Roman"/>
          <w:sz w:val="24"/>
          <w:szCs w:val="24"/>
        </w:rPr>
        <w:t xml:space="preserve">“Appellant contends that the decision upholding his termination should be reversed due to a violation of his due process rights. We agree and reverse…. Further, [Mr. Moss on appeal noted] that the ‘two charges asserted in the </w:t>
      </w:r>
      <w:r w:rsidRPr="00B8368A">
        <w:rPr>
          <w:rFonts w:ascii="Times New Roman" w:eastAsia="Times New Roman" w:hAnsi="Times New Roman"/>
          <w:i/>
          <w:sz w:val="24"/>
          <w:szCs w:val="24"/>
        </w:rPr>
        <w:t xml:space="preserve">Loudermill </w:t>
      </w:r>
      <w:r w:rsidRPr="00B8368A">
        <w:rPr>
          <w:rFonts w:ascii="Times New Roman" w:eastAsia="Times New Roman" w:hAnsi="Times New Roman"/>
          <w:sz w:val="24"/>
          <w:szCs w:val="24"/>
        </w:rPr>
        <w:t>notice were proven to be without factual basis as Chief Benson and Chief Burress both acknowledged that Mr. Moss gave notice of being taken to the Memphis Police Department on the night of the events and Mr. Moss had not been convicted of a felony.’”</w:t>
      </w:r>
      <w:hyperlink r:id="rId2794" w:history="1">
        <w:r w:rsidRPr="00B8368A">
          <w:rPr>
            <w:rStyle w:val="Hyperlink"/>
            <w:rFonts w:ascii="Times New Roman" w:hAnsi="Times New Roman"/>
            <w:sz w:val="24"/>
            <w:szCs w:val="24"/>
          </w:rPr>
          <w:t>http://www.tsc.state.tn.us/sites/default/files/mosspaulzacharyopn.pdf</w:t>
        </w:r>
      </w:hyperlink>
      <w:r w:rsidRPr="00B8368A">
        <w:rPr>
          <w:rFonts w:ascii="Times New Roman" w:eastAsia="Times New Roman" w:hAnsi="Times New Roman"/>
          <w:sz w:val="24"/>
          <w:szCs w:val="24"/>
        </w:rPr>
        <w:t xml:space="preserve"> </w:t>
      </w:r>
    </w:p>
    <w:p w14:paraId="7ABBB616" w14:textId="77777777" w:rsidR="00F326E5" w:rsidRPr="00B8368A" w:rsidRDefault="00F326E5" w:rsidP="00F326E5">
      <w:pPr>
        <w:rPr>
          <w:rFonts w:ascii="Times New Roman" w:hAnsi="Times New Roman"/>
          <w:b/>
          <w:sz w:val="24"/>
          <w:szCs w:val="24"/>
        </w:rPr>
      </w:pPr>
      <w:r w:rsidRPr="00B8368A">
        <w:rPr>
          <w:rFonts w:ascii="Times New Roman" w:hAnsi="Times New Roman"/>
          <w:b/>
          <w:sz w:val="24"/>
          <w:szCs w:val="24"/>
        </w:rPr>
        <w:t>Legal Lessons Learned:  Due process requires proof of the specific charges; if the FD had also included a charge of “conduct unbecoming” this case may have had a different result.</w:t>
      </w:r>
    </w:p>
    <w:p w14:paraId="69EB45FF" w14:textId="77777777" w:rsidR="000C4DF5" w:rsidRDefault="000C4DF5" w:rsidP="000C4DF5">
      <w:pPr>
        <w:pStyle w:val="NoSpacing"/>
        <w:rPr>
          <w:rFonts w:ascii="Arial Black" w:hAnsi="Arial Black"/>
          <w:sz w:val="24"/>
          <w:szCs w:val="24"/>
        </w:rPr>
      </w:pPr>
    </w:p>
    <w:p w14:paraId="0A5B7C7C" w14:textId="77777777" w:rsidR="00B8368A" w:rsidRDefault="00B8368A" w:rsidP="000C4DF5">
      <w:pPr>
        <w:pStyle w:val="NoSpacing"/>
        <w:rPr>
          <w:rFonts w:ascii="Arial Black" w:hAnsi="Arial Black"/>
          <w:sz w:val="24"/>
          <w:szCs w:val="24"/>
        </w:rPr>
      </w:pPr>
    </w:p>
    <w:p w14:paraId="0E457058" w14:textId="1489ED26" w:rsidR="00F326E5" w:rsidRDefault="000C4DF5" w:rsidP="000C4DF5">
      <w:pPr>
        <w:pStyle w:val="NoSpacing"/>
        <w:rPr>
          <w:sz w:val="24"/>
          <w:szCs w:val="24"/>
        </w:rPr>
      </w:pPr>
      <w:bookmarkStart w:id="616" w:name="_Hlk80769537"/>
      <w:r>
        <w:rPr>
          <w:rFonts w:ascii="Arial Black" w:hAnsi="Arial Black"/>
          <w:sz w:val="24"/>
          <w:szCs w:val="24"/>
        </w:rPr>
        <w:lastRenderedPageBreak/>
        <w:t>16-9</w:t>
      </w:r>
    </w:p>
    <w:p w14:paraId="18F3874F" w14:textId="6BD5C8E8" w:rsidR="00F326E5" w:rsidRPr="00237787" w:rsidRDefault="00F326E5" w:rsidP="00F326E5">
      <w:pPr>
        <w:pStyle w:val="Heading1"/>
        <w:rPr>
          <w:sz w:val="24"/>
          <w:szCs w:val="24"/>
        </w:rPr>
      </w:pPr>
      <w:bookmarkStart w:id="617" w:name="_Hlk7349033"/>
      <w:bookmarkEnd w:id="615"/>
      <w:r w:rsidRPr="004815FF">
        <w:rPr>
          <w:rFonts w:ascii="Arial Black" w:hAnsi="Arial Black"/>
          <w:sz w:val="28"/>
          <w:szCs w:val="28"/>
        </w:rPr>
        <w:t>TX: FREE SPEECH - PD OFFICER LAWSUIT MAY PROCEED - FIRED ORGANIZING POLICE ASSOCIATION</w:t>
      </w:r>
      <w:r>
        <w:rPr>
          <w:rFonts w:ascii="Arial Black" w:hAnsi="Arial Black"/>
          <w:sz w:val="24"/>
          <w:szCs w:val="24"/>
        </w:rPr>
        <w:t xml:space="preserve"> </w:t>
      </w:r>
      <w:r w:rsidRPr="00237787">
        <w:rPr>
          <w:sz w:val="24"/>
          <w:szCs w:val="24"/>
        </w:rPr>
        <w:t>[also filed, Chap. 1]</w:t>
      </w:r>
    </w:p>
    <w:p w14:paraId="34E73E98" w14:textId="77777777" w:rsidR="00B8368A" w:rsidRDefault="00F326E5" w:rsidP="00F326E5">
      <w:pPr>
        <w:rPr>
          <w:rFonts w:ascii="Times New Roman" w:hAnsi="Times New Roman"/>
          <w:sz w:val="24"/>
          <w:szCs w:val="24"/>
        </w:rPr>
      </w:pPr>
      <w:r w:rsidRPr="00B8368A">
        <w:rPr>
          <w:rFonts w:ascii="Times New Roman" w:hAnsi="Times New Roman"/>
          <w:sz w:val="24"/>
          <w:szCs w:val="24"/>
        </w:rPr>
        <w:t xml:space="preserve">On Aug. 31, 2018, in </w:t>
      </w:r>
      <w:r w:rsidRPr="00B8368A">
        <w:rPr>
          <w:rFonts w:ascii="Times New Roman" w:hAnsi="Times New Roman"/>
          <w:sz w:val="24"/>
          <w:szCs w:val="24"/>
          <w:u w:val="single"/>
        </w:rPr>
        <w:t>Marcus Mote v. Debra Walthall</w:t>
      </w:r>
      <w:r w:rsidRPr="00B8368A">
        <w:rPr>
          <w:rFonts w:ascii="Times New Roman" w:hAnsi="Times New Roman"/>
          <w:sz w:val="24"/>
          <w:szCs w:val="24"/>
        </w:rPr>
        <w:t>, the U.S. Court of Appeals for 5</w:t>
      </w:r>
      <w:r w:rsidRPr="00B8368A">
        <w:rPr>
          <w:rFonts w:ascii="Times New Roman" w:hAnsi="Times New Roman"/>
          <w:sz w:val="24"/>
          <w:szCs w:val="24"/>
          <w:vertAlign w:val="superscript"/>
        </w:rPr>
        <w:t>th</w:t>
      </w:r>
      <w:r w:rsidRPr="00B8368A">
        <w:rPr>
          <w:rFonts w:ascii="Times New Roman" w:hAnsi="Times New Roman"/>
          <w:sz w:val="24"/>
          <w:szCs w:val="24"/>
        </w:rPr>
        <w:t xml:space="preserve"> Circuit held (3 to 0) that Police Chief Debra Walthall is not entitled to qualified immunity, and Officer Mote’s lawsuit against her may proceed.  Officer Mote sought before he was fired to organize police officers with the City of </w:t>
      </w:r>
      <w:proofErr w:type="spellStart"/>
      <w:r w:rsidRPr="00B8368A">
        <w:rPr>
          <w:rFonts w:ascii="Times New Roman" w:hAnsi="Times New Roman"/>
          <w:sz w:val="24"/>
          <w:szCs w:val="24"/>
        </w:rPr>
        <w:t>Corith</w:t>
      </w:r>
      <w:proofErr w:type="spellEnd"/>
      <w:r w:rsidRPr="00B8368A">
        <w:rPr>
          <w:rFonts w:ascii="Times New Roman" w:hAnsi="Times New Roman"/>
          <w:sz w:val="24"/>
          <w:szCs w:val="24"/>
        </w:rPr>
        <w:t>, TX into a “</w:t>
      </w:r>
      <w:proofErr w:type="spellStart"/>
      <w:r w:rsidRPr="00B8368A">
        <w:rPr>
          <w:rFonts w:ascii="Times New Roman" w:hAnsi="Times New Roman"/>
          <w:sz w:val="24"/>
          <w:szCs w:val="24"/>
        </w:rPr>
        <w:t>Corith</w:t>
      </w:r>
      <w:proofErr w:type="spellEnd"/>
      <w:r w:rsidRPr="00B8368A">
        <w:rPr>
          <w:rFonts w:ascii="Times New Roman" w:hAnsi="Times New Roman"/>
          <w:sz w:val="24"/>
          <w:szCs w:val="24"/>
        </w:rPr>
        <w:t xml:space="preserve"> Police Officers Association” [no collective bargaining rights under TX law], affiliated with the Texas Municipal Police Association.  The Court wrote, </w:t>
      </w:r>
    </w:p>
    <w:p w14:paraId="346D7918" w14:textId="096CFB09" w:rsidR="00F326E5" w:rsidRPr="00B8368A" w:rsidRDefault="00F326E5" w:rsidP="00B8368A">
      <w:pPr>
        <w:ind w:left="720"/>
        <w:rPr>
          <w:rFonts w:ascii="Times New Roman" w:eastAsia="Times New Roman" w:hAnsi="Times New Roman"/>
          <w:sz w:val="24"/>
          <w:szCs w:val="24"/>
        </w:rPr>
      </w:pPr>
      <w:r w:rsidRPr="00B8368A">
        <w:rPr>
          <w:rFonts w:ascii="Times New Roman" w:hAnsi="Times New Roman"/>
          <w:sz w:val="24"/>
          <w:szCs w:val="24"/>
        </w:rPr>
        <w:t>“</w:t>
      </w:r>
      <w:r w:rsidRPr="00B8368A">
        <w:rPr>
          <w:rFonts w:ascii="Times New Roman" w:eastAsia="Times New Roman" w:hAnsi="Times New Roman"/>
          <w:sz w:val="24"/>
          <w:szCs w:val="24"/>
        </w:rPr>
        <w:t>The First Amendment protects the right of all persons to associate together in groups to ‘</w:t>
      </w:r>
      <w:proofErr w:type="spellStart"/>
      <w:r w:rsidRPr="00B8368A">
        <w:rPr>
          <w:rFonts w:ascii="Times New Roman" w:eastAsia="Times New Roman" w:hAnsi="Times New Roman"/>
          <w:sz w:val="24"/>
          <w:szCs w:val="24"/>
        </w:rPr>
        <w:t>advanc</w:t>
      </w:r>
      <w:proofErr w:type="spellEnd"/>
      <w:r w:rsidRPr="00B8368A">
        <w:rPr>
          <w:rFonts w:ascii="Times New Roman" w:eastAsia="Times New Roman" w:hAnsi="Times New Roman"/>
          <w:sz w:val="24"/>
          <w:szCs w:val="24"/>
        </w:rPr>
        <w:t>[e] beliefs and ideas.’ Put another way, ‘the [F]</w:t>
      </w:r>
      <w:proofErr w:type="spellStart"/>
      <w:r w:rsidRPr="00B8368A">
        <w:rPr>
          <w:rFonts w:ascii="Times New Roman" w:eastAsia="Times New Roman" w:hAnsi="Times New Roman"/>
          <w:sz w:val="24"/>
          <w:szCs w:val="24"/>
        </w:rPr>
        <w:t>irst</w:t>
      </w:r>
      <w:proofErr w:type="spellEnd"/>
      <w:r w:rsidRPr="00B8368A">
        <w:rPr>
          <w:rFonts w:ascii="Times New Roman" w:eastAsia="Times New Roman" w:hAnsi="Times New Roman"/>
          <w:sz w:val="24"/>
          <w:szCs w:val="24"/>
        </w:rPr>
        <w:t xml:space="preserve"> [A]</w:t>
      </w:r>
      <w:proofErr w:type="spellStart"/>
      <w:r w:rsidRPr="00B8368A">
        <w:rPr>
          <w:rFonts w:ascii="Times New Roman" w:eastAsia="Times New Roman" w:hAnsi="Times New Roman"/>
          <w:sz w:val="24"/>
          <w:szCs w:val="24"/>
        </w:rPr>
        <w:t>mendment</w:t>
      </w:r>
      <w:proofErr w:type="spellEnd"/>
      <w:r w:rsidRPr="00B8368A">
        <w:rPr>
          <w:rFonts w:ascii="Times New Roman" w:eastAsia="Times New Roman" w:hAnsi="Times New Roman"/>
          <w:sz w:val="24"/>
          <w:szCs w:val="24"/>
        </w:rPr>
        <w:t xml:space="preserve"> protects the right of all persons to associate together in groups to further their lawful interests.’ When groups </w:t>
      </w:r>
      <w:proofErr w:type="gramStart"/>
      <w:r w:rsidRPr="00B8368A">
        <w:rPr>
          <w:rFonts w:ascii="Times New Roman" w:eastAsia="Times New Roman" w:hAnsi="Times New Roman"/>
          <w:sz w:val="24"/>
          <w:szCs w:val="24"/>
        </w:rPr>
        <w:t>gather together</w:t>
      </w:r>
      <w:proofErr w:type="gramEnd"/>
      <w:r w:rsidRPr="00B8368A">
        <w:rPr>
          <w:rFonts w:ascii="Times New Roman" w:eastAsia="Times New Roman" w:hAnsi="Times New Roman"/>
          <w:sz w:val="24"/>
          <w:szCs w:val="24"/>
        </w:rPr>
        <w:t xml:space="preserve"> for this </w:t>
      </w:r>
      <w:proofErr w:type="gramStart"/>
      <w:r w:rsidRPr="00B8368A">
        <w:rPr>
          <w:rFonts w:ascii="Times New Roman" w:eastAsia="Times New Roman" w:hAnsi="Times New Roman"/>
          <w:sz w:val="24"/>
          <w:szCs w:val="24"/>
        </w:rPr>
        <w:t>purpose, ‘</w:t>
      </w:r>
      <w:proofErr w:type="gramEnd"/>
      <w:r w:rsidRPr="00B8368A">
        <w:rPr>
          <w:rFonts w:ascii="Times New Roman" w:eastAsia="Times New Roman" w:hAnsi="Times New Roman"/>
          <w:sz w:val="24"/>
          <w:szCs w:val="24"/>
        </w:rPr>
        <w:t xml:space="preserve">it cannot be seriously doubted’ that they comprise associations protected by the First Amendment. *** </w:t>
      </w:r>
      <w:r w:rsidRPr="00B8368A">
        <w:rPr>
          <w:rFonts w:ascii="Times New Roman" w:hAnsi="Times New Roman"/>
          <w:sz w:val="24"/>
          <w:szCs w:val="24"/>
        </w:rPr>
        <w:t xml:space="preserve">We conclude that Mote’s right to speak </w:t>
      </w:r>
      <w:r w:rsidRPr="00B8368A">
        <w:rPr>
          <w:rFonts w:ascii="Times New Roman" w:eastAsia="Times New Roman" w:hAnsi="Times New Roman"/>
          <w:sz w:val="24"/>
          <w:szCs w:val="24"/>
        </w:rPr>
        <w:t xml:space="preserve">in furtherance of forming the CPOA was clearly established as an integral part of his association rights. *** We agree with the district court that Mote’s association and speech rights to engage in the activities he alleged were clearly established. We therefore DISMISS the appeal.” </w:t>
      </w:r>
      <w:hyperlink r:id="rId2795" w:history="1">
        <w:r w:rsidRPr="00B8368A">
          <w:rPr>
            <w:rStyle w:val="Hyperlink"/>
            <w:rFonts w:ascii="Times New Roman" w:hAnsi="Times New Roman"/>
            <w:sz w:val="24"/>
            <w:szCs w:val="24"/>
          </w:rPr>
          <w:t>https://cases.justia.com/federal/appellate-courts/ca5/17-40754/17-40754-2018-08-31.pdf?ts=1535736678</w:t>
        </w:r>
      </w:hyperlink>
      <w:r w:rsidRPr="00B8368A">
        <w:rPr>
          <w:rFonts w:ascii="Times New Roman" w:eastAsia="Times New Roman" w:hAnsi="Times New Roman"/>
          <w:sz w:val="24"/>
          <w:szCs w:val="24"/>
        </w:rPr>
        <w:t xml:space="preserve"> </w:t>
      </w:r>
    </w:p>
    <w:p w14:paraId="66CB6BFA" w14:textId="272BB028" w:rsidR="00F326E5" w:rsidRPr="00B8368A" w:rsidRDefault="00F326E5" w:rsidP="00F326E5">
      <w:pPr>
        <w:rPr>
          <w:rFonts w:ascii="Times New Roman" w:eastAsia="Times New Roman" w:hAnsi="Times New Roman"/>
          <w:b/>
          <w:sz w:val="24"/>
          <w:szCs w:val="24"/>
        </w:rPr>
      </w:pPr>
      <w:r w:rsidRPr="00B8368A">
        <w:rPr>
          <w:rFonts w:ascii="Times New Roman" w:eastAsia="Times New Roman" w:hAnsi="Times New Roman"/>
          <w:b/>
          <w:sz w:val="24"/>
          <w:szCs w:val="24"/>
        </w:rPr>
        <w:t xml:space="preserve">Legal Lessons Learned: Very strong opinion concerning free speech rights of public employees.  Fire &amp; EMS departments should adopt a “Social Media” policy that recognizes free speech </w:t>
      </w:r>
      <w:proofErr w:type="gramStart"/>
      <w:r w:rsidRPr="00B8368A">
        <w:rPr>
          <w:rFonts w:ascii="Times New Roman" w:eastAsia="Times New Roman" w:hAnsi="Times New Roman"/>
          <w:b/>
          <w:sz w:val="24"/>
          <w:szCs w:val="24"/>
        </w:rPr>
        <w:t>rights,</w:t>
      </w:r>
      <w:r w:rsidR="00B8368A">
        <w:rPr>
          <w:rFonts w:ascii="Times New Roman" w:eastAsia="Times New Roman" w:hAnsi="Times New Roman"/>
          <w:b/>
          <w:sz w:val="24"/>
          <w:szCs w:val="24"/>
        </w:rPr>
        <w:t xml:space="preserve"> </w:t>
      </w:r>
      <w:r w:rsidRPr="00B8368A">
        <w:rPr>
          <w:rFonts w:ascii="Times New Roman" w:eastAsia="Times New Roman" w:hAnsi="Times New Roman"/>
          <w:b/>
          <w:sz w:val="24"/>
          <w:szCs w:val="24"/>
        </w:rPr>
        <w:t>but</w:t>
      </w:r>
      <w:proofErr w:type="gramEnd"/>
      <w:r w:rsidRPr="00B8368A">
        <w:rPr>
          <w:rFonts w:ascii="Times New Roman" w:eastAsia="Times New Roman" w:hAnsi="Times New Roman"/>
          <w:b/>
          <w:sz w:val="24"/>
          <w:szCs w:val="24"/>
        </w:rPr>
        <w:t xml:space="preserve"> </w:t>
      </w:r>
      <w:r w:rsidR="00B8368A">
        <w:rPr>
          <w:rFonts w:ascii="Times New Roman" w:eastAsia="Times New Roman" w:hAnsi="Times New Roman"/>
          <w:b/>
          <w:sz w:val="24"/>
          <w:szCs w:val="24"/>
        </w:rPr>
        <w:t xml:space="preserve">also </w:t>
      </w:r>
      <w:r w:rsidRPr="00B8368A">
        <w:rPr>
          <w:rFonts w:ascii="Times New Roman" w:eastAsia="Times New Roman" w:hAnsi="Times New Roman"/>
          <w:b/>
          <w:sz w:val="24"/>
          <w:szCs w:val="24"/>
        </w:rPr>
        <w:t>cautions members to not publicly discuss internal matters</w:t>
      </w:r>
      <w:r w:rsidRPr="00B8368A">
        <w:rPr>
          <w:rFonts w:ascii="Times New Roman" w:eastAsia="Times New Roman" w:hAnsi="Times New Roman"/>
          <w:sz w:val="24"/>
          <w:szCs w:val="24"/>
        </w:rPr>
        <w:t>.</w:t>
      </w:r>
    </w:p>
    <w:bookmarkEnd w:id="616"/>
    <w:bookmarkEnd w:id="617"/>
    <w:p w14:paraId="24FA42FE" w14:textId="77777777" w:rsidR="00F326E5" w:rsidRDefault="00F326E5" w:rsidP="00F326E5">
      <w:pPr>
        <w:pStyle w:val="Heading1"/>
        <w:rPr>
          <w:sz w:val="24"/>
          <w:szCs w:val="24"/>
        </w:rPr>
      </w:pPr>
    </w:p>
    <w:p w14:paraId="2FE8D6B4" w14:textId="199E56F3" w:rsidR="00F326E5" w:rsidRDefault="000C4DF5" w:rsidP="000C4DF5">
      <w:pPr>
        <w:pStyle w:val="NoSpacing"/>
        <w:rPr>
          <w:rFonts w:ascii="Arial Black" w:hAnsi="Arial Black"/>
          <w:sz w:val="24"/>
          <w:szCs w:val="24"/>
        </w:rPr>
      </w:pPr>
      <w:r>
        <w:rPr>
          <w:rFonts w:ascii="Arial Black" w:hAnsi="Arial Black"/>
          <w:sz w:val="24"/>
          <w:szCs w:val="24"/>
        </w:rPr>
        <w:t>16-8</w:t>
      </w:r>
    </w:p>
    <w:p w14:paraId="42F20CEE" w14:textId="77777777" w:rsidR="000C4DF5" w:rsidRDefault="000C4DF5" w:rsidP="000C4DF5">
      <w:pPr>
        <w:pStyle w:val="NoSpacing"/>
        <w:rPr>
          <w:sz w:val="24"/>
          <w:szCs w:val="24"/>
        </w:rPr>
      </w:pPr>
    </w:p>
    <w:p w14:paraId="1281755C" w14:textId="03895C9A" w:rsidR="00F326E5" w:rsidRDefault="00F326E5" w:rsidP="00F326E5">
      <w:pPr>
        <w:pStyle w:val="NoSpacing"/>
        <w:rPr>
          <w:rFonts w:ascii="Arial Black" w:hAnsi="Arial Black"/>
          <w:b/>
          <w:sz w:val="24"/>
          <w:szCs w:val="24"/>
        </w:rPr>
      </w:pPr>
      <w:bookmarkStart w:id="618" w:name="_Hlk7349133"/>
      <w:r w:rsidRPr="0038317F">
        <w:rPr>
          <w:rFonts w:ascii="Arial Black" w:hAnsi="Arial Black"/>
          <w:sz w:val="28"/>
          <w:szCs w:val="28"/>
        </w:rPr>
        <w:t>FL: T</w:t>
      </w:r>
      <w:r>
        <w:rPr>
          <w:rFonts w:ascii="Arial Black" w:hAnsi="Arial Black"/>
          <w:sz w:val="28"/>
          <w:szCs w:val="28"/>
        </w:rPr>
        <w:t>WO DISPATCHERS FIRED – DID NOT ALERT POLICE OF “HIGH HAZARD” PERSON –</w:t>
      </w:r>
      <w:r w:rsidR="00A50C92">
        <w:rPr>
          <w:rFonts w:ascii="Arial Black" w:hAnsi="Arial Black"/>
          <w:sz w:val="28"/>
          <w:szCs w:val="28"/>
        </w:rPr>
        <w:t xml:space="preserve"> POLICE </w:t>
      </w:r>
      <w:r>
        <w:rPr>
          <w:rFonts w:ascii="Arial Black" w:hAnsi="Arial Black"/>
          <w:sz w:val="28"/>
          <w:szCs w:val="28"/>
        </w:rPr>
        <w:t>OFFICER</w:t>
      </w:r>
      <w:r w:rsidRPr="0038317F">
        <w:rPr>
          <w:rFonts w:ascii="Arial Black" w:hAnsi="Arial Black"/>
          <w:sz w:val="28"/>
          <w:szCs w:val="28"/>
        </w:rPr>
        <w:t xml:space="preserve"> </w:t>
      </w:r>
      <w:r w:rsidR="00A50C92">
        <w:rPr>
          <w:rFonts w:ascii="Arial Black" w:hAnsi="Arial Black"/>
          <w:sz w:val="28"/>
          <w:szCs w:val="28"/>
        </w:rPr>
        <w:t>KILLED</w:t>
      </w:r>
    </w:p>
    <w:p w14:paraId="0B800638" w14:textId="77777777" w:rsidR="00F326E5" w:rsidRPr="00E600C4" w:rsidRDefault="00F326E5" w:rsidP="00F326E5">
      <w:pPr>
        <w:pStyle w:val="NoSpacing"/>
        <w:rPr>
          <w:rFonts w:ascii="Times New Roman" w:hAnsi="Times New Roman"/>
          <w:sz w:val="24"/>
          <w:szCs w:val="24"/>
        </w:rPr>
      </w:pPr>
      <w:r w:rsidRPr="00E600C4">
        <w:rPr>
          <w:rFonts w:ascii="Times New Roman" w:hAnsi="Times New Roman"/>
          <w:sz w:val="24"/>
          <w:szCs w:val="24"/>
        </w:rPr>
        <w:t xml:space="preserve">On June 13, 2018, in </w:t>
      </w:r>
      <w:r w:rsidRPr="00E600C4">
        <w:rPr>
          <w:rFonts w:ascii="Times New Roman" w:hAnsi="Times New Roman"/>
          <w:sz w:val="24"/>
          <w:szCs w:val="24"/>
          <w:u w:val="single"/>
        </w:rPr>
        <w:t>Darryl Newman, Gwendolyn Forehand v. Consolidated Dispatch Agency</w:t>
      </w:r>
      <w:r w:rsidRPr="00E600C4">
        <w:rPr>
          <w:rFonts w:ascii="Times New Roman" w:hAnsi="Times New Roman"/>
          <w:sz w:val="24"/>
          <w:szCs w:val="24"/>
        </w:rPr>
        <w:t xml:space="preserve">, the U.S. </w:t>
      </w:r>
      <w:proofErr w:type="spellStart"/>
      <w:r w:rsidRPr="00E600C4">
        <w:rPr>
          <w:rFonts w:ascii="Times New Roman" w:hAnsi="Times New Roman"/>
          <w:sz w:val="24"/>
          <w:szCs w:val="24"/>
        </w:rPr>
        <w:t>CourtOf</w:t>
      </w:r>
      <w:proofErr w:type="spellEnd"/>
      <w:r w:rsidRPr="00E600C4">
        <w:rPr>
          <w:rFonts w:ascii="Times New Roman" w:hAnsi="Times New Roman"/>
          <w:sz w:val="24"/>
          <w:szCs w:val="24"/>
        </w:rPr>
        <w:t xml:space="preserve"> Appeals for the 11</w:t>
      </w:r>
      <w:r w:rsidRPr="00E600C4">
        <w:rPr>
          <w:rFonts w:ascii="Times New Roman" w:hAnsi="Times New Roman"/>
          <w:sz w:val="24"/>
          <w:szCs w:val="24"/>
          <w:vertAlign w:val="superscript"/>
        </w:rPr>
        <w:t>th</w:t>
      </w:r>
      <w:r w:rsidRPr="00E600C4">
        <w:rPr>
          <w:rFonts w:ascii="Times New Roman" w:hAnsi="Times New Roman"/>
          <w:sz w:val="24"/>
          <w:szCs w:val="24"/>
        </w:rPr>
        <w:t xml:space="preserve"> District (Atlanta, GA), held (3 to 0) in an unpublished opinion:</w:t>
      </w:r>
    </w:p>
    <w:p w14:paraId="0DE3CDCA" w14:textId="77777777" w:rsidR="00E600C4" w:rsidRDefault="00E600C4" w:rsidP="00F326E5">
      <w:pPr>
        <w:ind w:left="720"/>
        <w:rPr>
          <w:rFonts w:ascii="Times New Roman" w:eastAsia="Times New Roman" w:hAnsi="Times New Roman"/>
          <w:sz w:val="24"/>
          <w:szCs w:val="24"/>
        </w:rPr>
      </w:pPr>
    </w:p>
    <w:p w14:paraId="18E79E53" w14:textId="6621DBD2" w:rsidR="00F326E5" w:rsidRPr="00E600C4" w:rsidRDefault="00F326E5" w:rsidP="00F326E5">
      <w:pPr>
        <w:ind w:left="720"/>
        <w:rPr>
          <w:rFonts w:ascii="Times New Roman" w:eastAsia="Times New Roman" w:hAnsi="Times New Roman"/>
          <w:sz w:val="24"/>
          <w:szCs w:val="24"/>
        </w:rPr>
      </w:pPr>
      <w:r w:rsidRPr="00E600C4">
        <w:rPr>
          <w:rFonts w:ascii="Times New Roman" w:eastAsia="Times New Roman" w:hAnsi="Times New Roman"/>
          <w:sz w:val="24"/>
          <w:szCs w:val="24"/>
        </w:rPr>
        <w:t>“We are unpersuaded by the Appellants’ argument that their termination was arbitrary because there was no CDA [the Agency] protocol requiring them to check the ‘premises hazard’ tab, they were never warned of a requirement to look at ‘premises hazards,’ and no other PSCOs had been fired for failure to access the tab. Even if clicking on the tab was discretionary, the Appellants were nevertheless required to gather and disseminate pertinent information, pertinent information was available to them, and they failed to access it. They were aware of this responsibility based on their two decades of experience, and they knew how to access the ‘premises hazard’ tab.  Moreover, there is no evidence that any other PSCO’s failure to open the tab resulted in the death of a first responder.”</w:t>
      </w:r>
      <w:r w:rsidR="00E600C4">
        <w:rPr>
          <w:rFonts w:ascii="Times New Roman" w:eastAsia="Times New Roman" w:hAnsi="Times New Roman"/>
          <w:sz w:val="24"/>
          <w:szCs w:val="24"/>
        </w:rPr>
        <w:t xml:space="preserve"> </w:t>
      </w:r>
      <w:hyperlink r:id="rId2796" w:history="1">
        <w:r w:rsidRPr="00E600C4">
          <w:rPr>
            <w:rStyle w:val="Hyperlink"/>
            <w:rFonts w:ascii="Times New Roman" w:hAnsi="Times New Roman"/>
            <w:sz w:val="24"/>
            <w:szCs w:val="24"/>
          </w:rPr>
          <w:t>http://media.ca11.uscourts.gov/opinions/unpub/files/201715398.pdf</w:t>
        </w:r>
      </w:hyperlink>
      <w:r w:rsidRPr="00E600C4">
        <w:rPr>
          <w:rFonts w:ascii="Times New Roman" w:eastAsia="Times New Roman" w:hAnsi="Times New Roman"/>
          <w:sz w:val="24"/>
          <w:szCs w:val="24"/>
        </w:rPr>
        <w:t xml:space="preserve"> </w:t>
      </w:r>
    </w:p>
    <w:p w14:paraId="08CF5695" w14:textId="77777777" w:rsidR="00E600C4" w:rsidRDefault="00F326E5" w:rsidP="00E600C4">
      <w:pPr>
        <w:pStyle w:val="Heading1"/>
        <w:rPr>
          <w:sz w:val="24"/>
          <w:szCs w:val="24"/>
        </w:rPr>
      </w:pPr>
      <w:r w:rsidRPr="00E600C4">
        <w:rPr>
          <w:sz w:val="24"/>
          <w:szCs w:val="24"/>
        </w:rPr>
        <w:lastRenderedPageBreak/>
        <w:t xml:space="preserve">Legal Lessons Learned:  Fire, EMS and Police must be warned of high hazard locations.  Please share this case with your 911 Dispatch </w:t>
      </w:r>
      <w:proofErr w:type="gramStart"/>
      <w:r w:rsidRPr="00E600C4">
        <w:rPr>
          <w:sz w:val="24"/>
          <w:szCs w:val="24"/>
        </w:rPr>
        <w:t>agency, and</w:t>
      </w:r>
      <w:proofErr w:type="gramEnd"/>
      <w:r w:rsidRPr="00E600C4">
        <w:rPr>
          <w:sz w:val="24"/>
          <w:szCs w:val="24"/>
        </w:rPr>
        <w:t xml:space="preserve"> confirm they have a protocol in </w:t>
      </w:r>
      <w:proofErr w:type="gramStart"/>
      <w:r w:rsidRPr="00E600C4">
        <w:rPr>
          <w:sz w:val="24"/>
          <w:szCs w:val="24"/>
        </w:rPr>
        <w:t>place</w:t>
      </w:r>
      <w:proofErr w:type="gramEnd"/>
      <w:r w:rsidRPr="00E600C4">
        <w:rPr>
          <w:sz w:val="24"/>
          <w:szCs w:val="24"/>
        </w:rPr>
        <w:t xml:space="preserve"> and it is followed 100% of time.  </w:t>
      </w:r>
      <w:bookmarkEnd w:id="618"/>
    </w:p>
    <w:p w14:paraId="2277836F" w14:textId="26F10EBE" w:rsidR="00F326E5" w:rsidRPr="00E600C4" w:rsidRDefault="00F326E5" w:rsidP="00E600C4">
      <w:pPr>
        <w:pStyle w:val="Heading1"/>
        <w:ind w:left="720"/>
        <w:rPr>
          <w:b w:val="0"/>
          <w:bCs w:val="0"/>
          <w:sz w:val="24"/>
          <w:szCs w:val="24"/>
        </w:rPr>
      </w:pPr>
      <w:r w:rsidRPr="00E600C4">
        <w:rPr>
          <w:b w:val="0"/>
          <w:bCs w:val="0"/>
          <w:sz w:val="24"/>
          <w:szCs w:val="24"/>
        </w:rPr>
        <w:t xml:space="preserve">See news report and TV video of this terrible scene: “Police identify gunman, Florida deputy killed in shootout” - </w:t>
      </w:r>
      <w:hyperlink r:id="rId2797" w:history="1">
        <w:r w:rsidRPr="00E600C4">
          <w:rPr>
            <w:rStyle w:val="Hyperlink"/>
            <w:b w:val="0"/>
            <w:bCs w:val="0"/>
            <w:sz w:val="24"/>
            <w:szCs w:val="24"/>
          </w:rPr>
          <w:t>https://www.usatoday.com/story/news/nation/2014/11/23/florida-deputy-ambush-killed-identified/19446091/</w:t>
        </w:r>
      </w:hyperlink>
    </w:p>
    <w:p w14:paraId="5DF9ED8C" w14:textId="77777777" w:rsidR="00F326E5" w:rsidRPr="00B66B0C" w:rsidRDefault="00F326E5" w:rsidP="00F326E5">
      <w:pPr>
        <w:ind w:left="720"/>
        <w:rPr>
          <w:rFonts w:eastAsia="Times New Roman"/>
          <w:b/>
          <w:sz w:val="24"/>
          <w:szCs w:val="24"/>
        </w:rPr>
      </w:pPr>
    </w:p>
    <w:p w14:paraId="2A331137" w14:textId="13C32D8E" w:rsidR="000C4DF5" w:rsidRDefault="000C4DF5" w:rsidP="000C4DF5">
      <w:pPr>
        <w:pStyle w:val="NoSpacing"/>
        <w:rPr>
          <w:rFonts w:ascii="Arial Black" w:hAnsi="Arial Black"/>
          <w:sz w:val="24"/>
          <w:szCs w:val="24"/>
        </w:rPr>
      </w:pPr>
      <w:bookmarkStart w:id="619" w:name="_Hlk80769557"/>
      <w:r>
        <w:rPr>
          <w:rFonts w:ascii="Arial Black" w:hAnsi="Arial Black"/>
          <w:sz w:val="24"/>
          <w:szCs w:val="24"/>
        </w:rPr>
        <w:t>16-7</w:t>
      </w:r>
    </w:p>
    <w:p w14:paraId="581B04DA" w14:textId="77777777" w:rsidR="00F326E5" w:rsidRDefault="00F326E5" w:rsidP="00F326E5">
      <w:pPr>
        <w:pStyle w:val="NoSpacing"/>
        <w:rPr>
          <w:rFonts w:ascii="Arial Black" w:hAnsi="Arial Black"/>
          <w:b/>
          <w:sz w:val="24"/>
          <w:szCs w:val="24"/>
        </w:rPr>
      </w:pPr>
    </w:p>
    <w:p w14:paraId="1F95F5BD" w14:textId="47B23E36" w:rsidR="00F326E5" w:rsidRPr="00270075" w:rsidRDefault="00F326E5" w:rsidP="00F326E5">
      <w:pPr>
        <w:rPr>
          <w:b/>
          <w:sz w:val="24"/>
          <w:szCs w:val="24"/>
        </w:rPr>
      </w:pPr>
      <w:bookmarkStart w:id="620" w:name="_Hlk7349211"/>
      <w:r w:rsidRPr="00F707DC">
        <w:rPr>
          <w:rFonts w:ascii="Arial Black" w:hAnsi="Arial Black"/>
          <w:sz w:val="28"/>
          <w:szCs w:val="28"/>
        </w:rPr>
        <w:t>PA:  DOT E</w:t>
      </w:r>
      <w:r>
        <w:rPr>
          <w:rFonts w:ascii="Arial Black" w:hAnsi="Arial Black"/>
          <w:sz w:val="28"/>
          <w:szCs w:val="28"/>
        </w:rPr>
        <w:t xml:space="preserve">MPLOYEE FIRED FOR </w:t>
      </w:r>
      <w:r w:rsidRPr="00F707DC">
        <w:rPr>
          <w:rFonts w:ascii="Arial Black" w:hAnsi="Arial Black"/>
          <w:sz w:val="28"/>
          <w:szCs w:val="28"/>
        </w:rPr>
        <w:t>FACEBOOK P</w:t>
      </w:r>
      <w:r>
        <w:rPr>
          <w:rFonts w:ascii="Arial Black" w:hAnsi="Arial Black"/>
          <w:sz w:val="28"/>
          <w:szCs w:val="28"/>
        </w:rPr>
        <w:t xml:space="preserve">OSTS ON BAD SCHOOL BUS DRIVERS – REINSTATED </w:t>
      </w:r>
      <w:r w:rsidRPr="00270075">
        <w:rPr>
          <w:b/>
          <w:sz w:val="24"/>
          <w:szCs w:val="24"/>
        </w:rPr>
        <w:t>[also filed, Chap. 1]</w:t>
      </w:r>
    </w:p>
    <w:p w14:paraId="570125A1" w14:textId="77777777" w:rsidR="00F326E5" w:rsidRPr="00E600C4" w:rsidRDefault="00F326E5" w:rsidP="00F326E5">
      <w:pPr>
        <w:pStyle w:val="NoSpacing"/>
        <w:rPr>
          <w:rFonts w:ascii="Times New Roman" w:hAnsi="Times New Roman"/>
          <w:sz w:val="24"/>
          <w:szCs w:val="24"/>
        </w:rPr>
      </w:pPr>
      <w:r w:rsidRPr="00E600C4">
        <w:rPr>
          <w:rFonts w:ascii="Times New Roman" w:hAnsi="Times New Roman"/>
          <w:sz w:val="24"/>
          <w:szCs w:val="24"/>
        </w:rPr>
        <w:t xml:space="preserve">On June 12, 2018, in </w:t>
      </w:r>
      <w:r w:rsidRPr="00E600C4">
        <w:rPr>
          <w:rFonts w:ascii="Times New Roman" w:hAnsi="Times New Roman"/>
          <w:sz w:val="24"/>
          <w:szCs w:val="24"/>
          <w:u w:val="single"/>
        </w:rPr>
        <w:t>Rachel L. Carr v. Commonwealth of Pennsylvania / Department of Transportation and Civil Service Commission</w:t>
      </w:r>
      <w:r w:rsidRPr="00E600C4">
        <w:rPr>
          <w:rFonts w:ascii="Times New Roman" w:hAnsi="Times New Roman"/>
          <w:sz w:val="24"/>
          <w:szCs w:val="24"/>
        </w:rPr>
        <w:t>, the Commonwealth Court of Pennsylvania held (3 to 0) that the employee’s FACEBOOK posts about local school bus drivers were “inappropriate” but were protected since it “touched on a matter of public concern.” The Court wrote: “After a thorough review of the record and a conscientious analysis of the factors articulated by the United States Supreme Court, we conclude that the Department’s generalized interest in the safety of the traveling public does not outweigh Carr’s specific interest in commenting on the safety of a particular bus driver. While Carr’s comments are undoubtedly inappropriate, such comments still receive protection under the First Amendment.”</w:t>
      </w:r>
    </w:p>
    <w:p w14:paraId="620D86C0" w14:textId="77777777" w:rsidR="00F326E5" w:rsidRPr="00E600C4" w:rsidRDefault="00F326E5" w:rsidP="00F326E5">
      <w:pPr>
        <w:pStyle w:val="NoSpacing"/>
        <w:rPr>
          <w:rFonts w:ascii="Times New Roman" w:hAnsi="Times New Roman"/>
          <w:sz w:val="24"/>
          <w:szCs w:val="24"/>
        </w:rPr>
      </w:pPr>
      <w:hyperlink r:id="rId2798" w:history="1">
        <w:r w:rsidRPr="00E600C4">
          <w:rPr>
            <w:rStyle w:val="Hyperlink"/>
            <w:rFonts w:ascii="Times New Roman" w:hAnsi="Times New Roman"/>
            <w:sz w:val="24"/>
            <w:szCs w:val="24"/>
          </w:rPr>
          <w:t>http://www.pacourts.us/assets/opinions/Commonwealth/out/380md17_6-12-18.pdf</w:t>
        </w:r>
      </w:hyperlink>
      <w:r w:rsidRPr="00E600C4">
        <w:rPr>
          <w:rFonts w:ascii="Times New Roman" w:hAnsi="Times New Roman"/>
          <w:sz w:val="24"/>
          <w:szCs w:val="24"/>
        </w:rPr>
        <w:t xml:space="preserve"> </w:t>
      </w:r>
    </w:p>
    <w:p w14:paraId="07115E3B" w14:textId="77777777" w:rsidR="00E600C4" w:rsidRDefault="00E600C4" w:rsidP="00F326E5">
      <w:pPr>
        <w:pStyle w:val="NoSpacing"/>
        <w:rPr>
          <w:rFonts w:ascii="Times New Roman" w:hAnsi="Times New Roman"/>
          <w:b/>
          <w:sz w:val="24"/>
          <w:szCs w:val="24"/>
        </w:rPr>
      </w:pPr>
    </w:p>
    <w:p w14:paraId="3BF757DB" w14:textId="5845C131" w:rsidR="00F326E5" w:rsidRPr="00E600C4" w:rsidRDefault="00F326E5" w:rsidP="00F326E5">
      <w:pPr>
        <w:pStyle w:val="NoSpacing"/>
        <w:rPr>
          <w:rFonts w:ascii="Times New Roman" w:hAnsi="Times New Roman"/>
          <w:b/>
          <w:sz w:val="24"/>
          <w:szCs w:val="24"/>
        </w:rPr>
      </w:pPr>
      <w:r w:rsidRPr="00E600C4">
        <w:rPr>
          <w:rFonts w:ascii="Times New Roman" w:hAnsi="Times New Roman"/>
          <w:b/>
          <w:sz w:val="24"/>
          <w:szCs w:val="24"/>
        </w:rPr>
        <w:t>Legal Lessons Learned:  Fire &amp; EMS Departments should have a Social Media Policy that clearly advises personnel that their “</w:t>
      </w:r>
      <w:proofErr w:type="gramStart"/>
      <w:r w:rsidRPr="00E600C4">
        <w:rPr>
          <w:rFonts w:ascii="Times New Roman" w:hAnsi="Times New Roman"/>
          <w:b/>
          <w:sz w:val="24"/>
          <w:szCs w:val="24"/>
        </w:rPr>
        <w:t>Free Speech</w:t>
      </w:r>
      <w:proofErr w:type="gramEnd"/>
      <w:r w:rsidRPr="00E600C4">
        <w:rPr>
          <w:rFonts w:ascii="Times New Roman" w:hAnsi="Times New Roman"/>
          <w:b/>
          <w:sz w:val="24"/>
          <w:szCs w:val="24"/>
        </w:rPr>
        <w:t xml:space="preserve"> rights” are limited when discussing FD internal matters. </w:t>
      </w:r>
    </w:p>
    <w:p w14:paraId="1AF239D0" w14:textId="77777777" w:rsidR="00F326E5" w:rsidRPr="00E600C4" w:rsidRDefault="00F326E5" w:rsidP="00F326E5">
      <w:pPr>
        <w:pStyle w:val="NoSpacing"/>
        <w:rPr>
          <w:rFonts w:ascii="Times New Roman" w:hAnsi="Times New Roman"/>
          <w:sz w:val="24"/>
          <w:szCs w:val="24"/>
        </w:rPr>
      </w:pPr>
      <w:r w:rsidRPr="00E600C4">
        <w:rPr>
          <w:rFonts w:ascii="Times New Roman" w:hAnsi="Times New Roman"/>
          <w:sz w:val="24"/>
          <w:szCs w:val="24"/>
        </w:rPr>
        <w:t xml:space="preserve"> </w:t>
      </w:r>
    </w:p>
    <w:bookmarkEnd w:id="619"/>
    <w:bookmarkEnd w:id="620"/>
    <w:p w14:paraId="6EFE3B3A" w14:textId="77777777" w:rsidR="000C4DF5" w:rsidRDefault="000C4DF5" w:rsidP="000C4DF5">
      <w:pPr>
        <w:pStyle w:val="NoSpacing"/>
        <w:rPr>
          <w:rFonts w:ascii="Arial Black" w:hAnsi="Arial Black"/>
          <w:sz w:val="24"/>
          <w:szCs w:val="24"/>
        </w:rPr>
      </w:pPr>
    </w:p>
    <w:p w14:paraId="4EE43A7D" w14:textId="18E6F2D3" w:rsidR="00A50C92" w:rsidRDefault="000C4DF5" w:rsidP="000C4DF5">
      <w:pPr>
        <w:pStyle w:val="NoSpacing"/>
        <w:rPr>
          <w:sz w:val="24"/>
          <w:szCs w:val="24"/>
          <w:lang w:val="en"/>
        </w:rPr>
      </w:pPr>
      <w:r>
        <w:rPr>
          <w:rFonts w:ascii="Arial Black" w:hAnsi="Arial Black"/>
          <w:sz w:val="24"/>
          <w:szCs w:val="24"/>
        </w:rPr>
        <w:t>16-6</w:t>
      </w:r>
    </w:p>
    <w:p w14:paraId="59A09E74" w14:textId="1C097549" w:rsidR="00F326E5" w:rsidRPr="00F707DC" w:rsidRDefault="00F326E5" w:rsidP="00F326E5">
      <w:pPr>
        <w:spacing w:before="100" w:beforeAutospacing="1" w:after="100" w:afterAutospacing="1"/>
        <w:outlineLvl w:val="0"/>
        <w:rPr>
          <w:sz w:val="28"/>
          <w:szCs w:val="28"/>
        </w:rPr>
      </w:pPr>
      <w:bookmarkStart w:id="621" w:name="_Hlk7349280"/>
      <w:r w:rsidRPr="00F707DC">
        <w:rPr>
          <w:rFonts w:ascii="Arial Black" w:hAnsi="Arial Black"/>
          <w:sz w:val="28"/>
          <w:szCs w:val="28"/>
        </w:rPr>
        <w:t xml:space="preserve">TX: CAPTAIN SUPENDED FOR NOT SUBMITTING DOCTOR’S REPORT </w:t>
      </w:r>
      <w:r w:rsidR="00A50C92">
        <w:rPr>
          <w:rFonts w:ascii="Arial Black" w:hAnsi="Arial Black"/>
          <w:sz w:val="28"/>
          <w:szCs w:val="28"/>
        </w:rPr>
        <w:t>–</w:t>
      </w:r>
      <w:r w:rsidRPr="00F707DC">
        <w:rPr>
          <w:rFonts w:ascii="Arial Black" w:hAnsi="Arial Black"/>
          <w:sz w:val="28"/>
          <w:szCs w:val="28"/>
        </w:rPr>
        <w:t xml:space="preserve"> </w:t>
      </w:r>
      <w:r w:rsidR="00A50C92">
        <w:rPr>
          <w:rFonts w:ascii="Arial Black" w:hAnsi="Arial Black"/>
          <w:sz w:val="28"/>
          <w:szCs w:val="28"/>
        </w:rPr>
        <w:t xml:space="preserve">REVERSED, </w:t>
      </w:r>
      <w:r w:rsidRPr="00F707DC">
        <w:rPr>
          <w:rFonts w:ascii="Arial Black" w:hAnsi="Arial Black"/>
          <w:sz w:val="28"/>
          <w:szCs w:val="28"/>
        </w:rPr>
        <w:t xml:space="preserve">FD FAILED TO DISCIPLINE </w:t>
      </w:r>
      <w:r>
        <w:rPr>
          <w:rFonts w:ascii="Arial Black" w:hAnsi="Arial Black"/>
          <w:sz w:val="28"/>
          <w:szCs w:val="28"/>
        </w:rPr>
        <w:t xml:space="preserve">IN </w:t>
      </w:r>
      <w:r w:rsidRPr="00F707DC">
        <w:rPr>
          <w:rFonts w:ascii="Arial Black" w:hAnsi="Arial Black"/>
          <w:sz w:val="28"/>
          <w:szCs w:val="28"/>
        </w:rPr>
        <w:t>180 DAYS</w:t>
      </w:r>
      <w:r w:rsidRPr="00F707DC">
        <w:rPr>
          <w:sz w:val="28"/>
          <w:szCs w:val="28"/>
        </w:rPr>
        <w:t xml:space="preserve"> </w:t>
      </w:r>
    </w:p>
    <w:p w14:paraId="01EBA355" w14:textId="77777777" w:rsidR="00F326E5" w:rsidRPr="00E600C4" w:rsidRDefault="00F326E5" w:rsidP="00F326E5">
      <w:pPr>
        <w:spacing w:before="100" w:beforeAutospacing="1" w:after="100" w:afterAutospacing="1"/>
        <w:outlineLvl w:val="0"/>
        <w:rPr>
          <w:rFonts w:ascii="Times New Roman" w:eastAsia="Times New Roman" w:hAnsi="Times New Roman"/>
          <w:sz w:val="24"/>
          <w:szCs w:val="24"/>
        </w:rPr>
      </w:pPr>
      <w:r w:rsidRPr="00E600C4">
        <w:rPr>
          <w:rFonts w:ascii="Times New Roman" w:hAnsi="Times New Roman"/>
          <w:sz w:val="24"/>
          <w:szCs w:val="24"/>
        </w:rPr>
        <w:t xml:space="preserve">On April 17, 2018, in </w:t>
      </w:r>
      <w:r w:rsidRPr="00E600C4">
        <w:rPr>
          <w:rFonts w:ascii="Times New Roman" w:hAnsi="Times New Roman"/>
          <w:sz w:val="24"/>
          <w:szCs w:val="24"/>
          <w:u w:val="single"/>
        </w:rPr>
        <w:t>Steven Dunbar v. City of Houston</w:t>
      </w:r>
      <w:r w:rsidRPr="00E600C4">
        <w:rPr>
          <w:rFonts w:ascii="Times New Roman" w:hAnsi="Times New Roman"/>
          <w:sz w:val="24"/>
          <w:szCs w:val="24"/>
        </w:rPr>
        <w:t xml:space="preserve">, the State of Texas in the Fourteenth Court of Appeals, held that the </w:t>
      </w:r>
      <w:proofErr w:type="gramStart"/>
      <w:r w:rsidRPr="00E600C4">
        <w:rPr>
          <w:rFonts w:ascii="Times New Roman" w:hAnsi="Times New Roman"/>
          <w:sz w:val="24"/>
          <w:szCs w:val="24"/>
        </w:rPr>
        <w:t>Captain’s</w:t>
      </w:r>
      <w:proofErr w:type="gramEnd"/>
      <w:r w:rsidRPr="00E600C4">
        <w:rPr>
          <w:rFonts w:ascii="Times New Roman" w:hAnsi="Times New Roman"/>
          <w:sz w:val="24"/>
          <w:szCs w:val="24"/>
        </w:rPr>
        <w:t xml:space="preserve"> 10-day suspension is reversed.  The “</w:t>
      </w:r>
      <w:r w:rsidRPr="00E600C4">
        <w:rPr>
          <w:rFonts w:ascii="Times New Roman" w:eastAsia="Times New Roman" w:hAnsi="Times New Roman"/>
          <w:sz w:val="24"/>
          <w:szCs w:val="24"/>
        </w:rPr>
        <w:t xml:space="preserve">Department was aware of the violation not later than August 2014, and thus, his suspension more than 180 days later is void.” </w:t>
      </w:r>
      <w:hyperlink r:id="rId2799" w:history="1">
        <w:r w:rsidRPr="00E600C4">
          <w:rPr>
            <w:rStyle w:val="Hyperlink"/>
            <w:rFonts w:ascii="Times New Roman" w:hAnsi="Times New Roman"/>
            <w:sz w:val="24"/>
            <w:szCs w:val="24"/>
          </w:rPr>
          <w:t>https://cases.justia.com/texas/fourteenth-court-of-appeals/2018-14-17-00156-cv.pdf?ts=1523970132</w:t>
        </w:r>
      </w:hyperlink>
      <w:r w:rsidRPr="00E600C4">
        <w:rPr>
          <w:rFonts w:ascii="Times New Roman" w:eastAsia="Times New Roman" w:hAnsi="Times New Roman"/>
          <w:sz w:val="24"/>
          <w:szCs w:val="24"/>
        </w:rPr>
        <w:t xml:space="preserve"> </w:t>
      </w:r>
    </w:p>
    <w:p w14:paraId="47E5A987" w14:textId="77777777" w:rsidR="00F326E5" w:rsidRPr="00E600C4" w:rsidRDefault="00F326E5" w:rsidP="00F326E5">
      <w:pPr>
        <w:rPr>
          <w:rFonts w:ascii="Times New Roman" w:eastAsia="Times New Roman" w:hAnsi="Times New Roman"/>
          <w:b/>
          <w:sz w:val="24"/>
          <w:szCs w:val="24"/>
        </w:rPr>
      </w:pPr>
      <w:r w:rsidRPr="00E600C4">
        <w:rPr>
          <w:rFonts w:ascii="Times New Roman" w:eastAsia="Times New Roman" w:hAnsi="Times New Roman"/>
          <w:b/>
          <w:sz w:val="24"/>
          <w:szCs w:val="24"/>
        </w:rPr>
        <w:t>Legal Lessons Learned:  Texas statute requiring discipline within 180 days must be strictly followed; the clock begins to run when the department FIRST becomes aware of the violation.</w:t>
      </w:r>
    </w:p>
    <w:bookmarkEnd w:id="621"/>
    <w:p w14:paraId="50A57BFB" w14:textId="77777777" w:rsidR="00F326E5" w:rsidRPr="00E600C4" w:rsidRDefault="00F326E5" w:rsidP="00F326E5">
      <w:pPr>
        <w:ind w:left="720"/>
        <w:rPr>
          <w:rFonts w:ascii="Times New Roman" w:eastAsia="Times New Roman" w:hAnsi="Times New Roman"/>
          <w:sz w:val="24"/>
          <w:szCs w:val="24"/>
        </w:rPr>
      </w:pPr>
    </w:p>
    <w:p w14:paraId="77923827" w14:textId="77777777" w:rsidR="00F326E5" w:rsidRDefault="00F326E5" w:rsidP="00F326E5">
      <w:pPr>
        <w:ind w:left="720"/>
        <w:rPr>
          <w:rFonts w:eastAsia="Times New Roman"/>
          <w:sz w:val="24"/>
          <w:szCs w:val="24"/>
        </w:rPr>
      </w:pPr>
    </w:p>
    <w:p w14:paraId="496FEAB8" w14:textId="160C5FD0" w:rsidR="000C4DF5" w:rsidRDefault="000C4DF5" w:rsidP="00F326E5">
      <w:pPr>
        <w:pStyle w:val="NoSpacing"/>
        <w:rPr>
          <w:rFonts w:ascii="Arial Black" w:hAnsi="Arial Black"/>
          <w:b/>
          <w:sz w:val="28"/>
          <w:szCs w:val="28"/>
        </w:rPr>
      </w:pPr>
      <w:bookmarkStart w:id="622" w:name="_Hlk7349318"/>
      <w:r>
        <w:rPr>
          <w:rFonts w:ascii="Arial Black" w:hAnsi="Arial Black"/>
          <w:sz w:val="24"/>
          <w:szCs w:val="24"/>
        </w:rPr>
        <w:t>16-5</w:t>
      </w:r>
    </w:p>
    <w:p w14:paraId="5670CD67" w14:textId="77777777" w:rsidR="000C4DF5" w:rsidRDefault="000C4DF5" w:rsidP="00F326E5">
      <w:pPr>
        <w:pStyle w:val="NoSpacing"/>
        <w:rPr>
          <w:rFonts w:ascii="Arial Black" w:hAnsi="Arial Black"/>
          <w:b/>
          <w:sz w:val="28"/>
          <w:szCs w:val="28"/>
        </w:rPr>
      </w:pPr>
    </w:p>
    <w:p w14:paraId="3F81268E" w14:textId="658C67A3" w:rsidR="00F326E5" w:rsidRDefault="00F326E5" w:rsidP="00F326E5">
      <w:pPr>
        <w:pStyle w:val="NoSpacing"/>
        <w:rPr>
          <w:b/>
          <w:sz w:val="24"/>
          <w:szCs w:val="24"/>
        </w:rPr>
      </w:pPr>
      <w:r w:rsidRPr="005E290F">
        <w:rPr>
          <w:rFonts w:ascii="Arial Black" w:hAnsi="Arial Black"/>
          <w:b/>
          <w:sz w:val="28"/>
          <w:szCs w:val="28"/>
        </w:rPr>
        <w:t xml:space="preserve">TN: FIREFIGHTER </w:t>
      </w:r>
      <w:r>
        <w:rPr>
          <w:rFonts w:ascii="Arial Black" w:hAnsi="Arial Black"/>
          <w:b/>
          <w:sz w:val="28"/>
          <w:szCs w:val="28"/>
        </w:rPr>
        <w:t xml:space="preserve">FIRED FOR </w:t>
      </w:r>
      <w:r w:rsidRPr="005E290F">
        <w:rPr>
          <w:rFonts w:ascii="Arial Black" w:hAnsi="Arial Black"/>
          <w:b/>
          <w:sz w:val="28"/>
          <w:szCs w:val="28"/>
        </w:rPr>
        <w:t>MA</w:t>
      </w:r>
      <w:r>
        <w:rPr>
          <w:rFonts w:ascii="Arial Black" w:hAnsi="Arial Black"/>
          <w:b/>
          <w:sz w:val="28"/>
          <w:szCs w:val="28"/>
        </w:rPr>
        <w:t>KING</w:t>
      </w:r>
      <w:r w:rsidRPr="005E290F">
        <w:rPr>
          <w:rFonts w:ascii="Arial Black" w:hAnsi="Arial Black"/>
          <w:b/>
          <w:sz w:val="28"/>
          <w:szCs w:val="28"/>
        </w:rPr>
        <w:t xml:space="preserve"> SEXUALLY HARASSING PHONE CALLS ON DUTY</w:t>
      </w:r>
      <w:r>
        <w:rPr>
          <w:rFonts w:ascii="Arial Black" w:hAnsi="Arial Black"/>
          <w:b/>
          <w:sz w:val="28"/>
          <w:szCs w:val="28"/>
        </w:rPr>
        <w:t xml:space="preserve"> – NO RETALIATION</w:t>
      </w:r>
    </w:p>
    <w:p w14:paraId="014BF7F3" w14:textId="77777777" w:rsidR="00E600C4" w:rsidRDefault="00F326E5" w:rsidP="00F326E5">
      <w:pPr>
        <w:pStyle w:val="NoSpacing"/>
        <w:rPr>
          <w:rFonts w:ascii="Times New Roman" w:hAnsi="Times New Roman"/>
          <w:sz w:val="24"/>
          <w:szCs w:val="24"/>
        </w:rPr>
      </w:pPr>
      <w:r w:rsidRPr="00E600C4">
        <w:rPr>
          <w:rFonts w:ascii="Times New Roman" w:hAnsi="Times New Roman"/>
          <w:sz w:val="24"/>
          <w:szCs w:val="24"/>
        </w:rPr>
        <w:t xml:space="preserve">On March 23, 2018, in </w:t>
      </w:r>
      <w:r w:rsidRPr="00E600C4">
        <w:rPr>
          <w:rFonts w:ascii="Times New Roman" w:hAnsi="Times New Roman"/>
          <w:sz w:val="24"/>
          <w:szCs w:val="24"/>
          <w:u w:val="single"/>
        </w:rPr>
        <w:t>Joseph Sweat v. City of McMinnville</w:t>
      </w:r>
      <w:r w:rsidRPr="00E600C4">
        <w:rPr>
          <w:rFonts w:ascii="Times New Roman" w:hAnsi="Times New Roman"/>
          <w:sz w:val="24"/>
          <w:szCs w:val="24"/>
        </w:rPr>
        <w:t xml:space="preserve">, the Court of Appeals of Tennessee </w:t>
      </w:r>
      <w:proofErr w:type="gramStart"/>
      <w:r w:rsidRPr="00E600C4">
        <w:rPr>
          <w:rFonts w:ascii="Times New Roman" w:hAnsi="Times New Roman"/>
          <w:sz w:val="24"/>
          <w:szCs w:val="24"/>
        </w:rPr>
        <w:t>At</w:t>
      </w:r>
      <w:proofErr w:type="gramEnd"/>
      <w:r w:rsidRPr="00E600C4">
        <w:rPr>
          <w:rFonts w:ascii="Times New Roman" w:hAnsi="Times New Roman"/>
          <w:sz w:val="24"/>
          <w:szCs w:val="24"/>
        </w:rPr>
        <w:t xml:space="preserve"> Nashville, held (3 to 0) that the trial court properly dismissed the firefighter’s lawsuit, since he was unable to prove that the City’s proffered reasons for the discharge </w:t>
      </w:r>
      <w:proofErr w:type="gramStart"/>
      <w:r w:rsidRPr="00E600C4">
        <w:rPr>
          <w:rFonts w:ascii="Times New Roman" w:hAnsi="Times New Roman"/>
          <w:sz w:val="24"/>
          <w:szCs w:val="24"/>
        </w:rPr>
        <w:t>was</w:t>
      </w:r>
      <w:proofErr w:type="gramEnd"/>
      <w:r w:rsidRPr="00E600C4">
        <w:rPr>
          <w:rFonts w:ascii="Times New Roman" w:hAnsi="Times New Roman"/>
          <w:sz w:val="24"/>
          <w:szCs w:val="24"/>
        </w:rPr>
        <w:t xml:space="preserve"> pretextual, including: </w:t>
      </w:r>
    </w:p>
    <w:p w14:paraId="28B6DCA4" w14:textId="77777777" w:rsidR="00E600C4" w:rsidRDefault="00E600C4" w:rsidP="00F326E5">
      <w:pPr>
        <w:pStyle w:val="NoSpacing"/>
        <w:rPr>
          <w:rFonts w:ascii="Times New Roman" w:hAnsi="Times New Roman"/>
          <w:sz w:val="24"/>
          <w:szCs w:val="24"/>
        </w:rPr>
      </w:pPr>
    </w:p>
    <w:p w14:paraId="58B0EF20" w14:textId="741DB683" w:rsidR="00F326E5" w:rsidRPr="00E600C4" w:rsidRDefault="00F326E5" w:rsidP="00E600C4">
      <w:pPr>
        <w:pStyle w:val="NoSpacing"/>
        <w:ind w:left="720"/>
        <w:rPr>
          <w:rStyle w:val="Hyperlink"/>
          <w:rFonts w:ascii="Times New Roman" w:hAnsi="Times New Roman"/>
          <w:sz w:val="24"/>
          <w:szCs w:val="24"/>
        </w:rPr>
      </w:pPr>
      <w:r w:rsidRPr="00E600C4">
        <w:rPr>
          <w:rFonts w:ascii="Times New Roman" w:hAnsi="Times New Roman"/>
          <w:sz w:val="24"/>
          <w:szCs w:val="24"/>
        </w:rPr>
        <w:t xml:space="preserve">“Although Plaintiff never acknowledged that he made sexually harassing phone calls, he admitted in his deposition that at one time, firefighters kept a ‘list on the desk of the fire station’ containing the names of single women that they had gotten off the internet, and that he called one of these women ‘to talk.’” </w:t>
      </w:r>
      <w:hyperlink r:id="rId2800" w:history="1">
        <w:r w:rsidRPr="00E600C4">
          <w:rPr>
            <w:rStyle w:val="Hyperlink"/>
            <w:rFonts w:ascii="Times New Roman" w:hAnsi="Times New Roman"/>
            <w:sz w:val="24"/>
            <w:szCs w:val="24"/>
          </w:rPr>
          <w:t>file:///C:/Users/lawre/AppData/Local/Microsoft/Windows/INetCache/IE/7HZ56W7X/sweat.joseph.opn_.pdf</w:t>
        </w:r>
      </w:hyperlink>
    </w:p>
    <w:p w14:paraId="21C570D7" w14:textId="77777777" w:rsidR="00E600C4" w:rsidRDefault="00E600C4" w:rsidP="00F326E5">
      <w:pPr>
        <w:rPr>
          <w:rFonts w:ascii="Times New Roman" w:hAnsi="Times New Roman"/>
          <w:b/>
          <w:sz w:val="24"/>
          <w:szCs w:val="24"/>
        </w:rPr>
      </w:pPr>
    </w:p>
    <w:p w14:paraId="16D27ACA" w14:textId="6EA94C0E" w:rsidR="00F326E5" w:rsidRPr="00E600C4" w:rsidRDefault="00E600C4" w:rsidP="00F326E5">
      <w:pPr>
        <w:rPr>
          <w:rFonts w:ascii="Times New Roman" w:hAnsi="Times New Roman"/>
          <w:b/>
          <w:sz w:val="24"/>
          <w:szCs w:val="24"/>
        </w:rPr>
      </w:pPr>
      <w:r>
        <w:rPr>
          <w:rFonts w:ascii="Times New Roman" w:hAnsi="Times New Roman"/>
          <w:b/>
          <w:sz w:val="24"/>
          <w:szCs w:val="24"/>
        </w:rPr>
        <w:t xml:space="preserve">Legal Lessons Learned: </w:t>
      </w:r>
      <w:r w:rsidR="00F326E5" w:rsidRPr="00E600C4">
        <w:rPr>
          <w:rFonts w:ascii="Times New Roman" w:hAnsi="Times New Roman"/>
          <w:b/>
          <w:sz w:val="24"/>
          <w:szCs w:val="24"/>
        </w:rPr>
        <w:t xml:space="preserve">FD may impose discipline, even if the firefighter is one of the 27 firefighters who signed </w:t>
      </w:r>
      <w:proofErr w:type="gramStart"/>
      <w:r w:rsidR="00F326E5" w:rsidRPr="00E600C4">
        <w:rPr>
          <w:rFonts w:ascii="Times New Roman" w:hAnsi="Times New Roman"/>
          <w:b/>
          <w:sz w:val="24"/>
          <w:szCs w:val="24"/>
        </w:rPr>
        <w:t>memo</w:t>
      </w:r>
      <w:proofErr w:type="gramEnd"/>
      <w:r w:rsidR="00F326E5" w:rsidRPr="00E600C4">
        <w:rPr>
          <w:rFonts w:ascii="Times New Roman" w:hAnsi="Times New Roman"/>
          <w:b/>
          <w:sz w:val="24"/>
          <w:szCs w:val="24"/>
        </w:rPr>
        <w:t xml:space="preserve"> about safety issues.</w:t>
      </w:r>
    </w:p>
    <w:p w14:paraId="23BD5AE5" w14:textId="77777777" w:rsidR="00F326E5" w:rsidRDefault="00F326E5" w:rsidP="00F326E5">
      <w:pPr>
        <w:ind w:left="720"/>
        <w:rPr>
          <w:rFonts w:eastAsia="Times New Roman"/>
          <w:sz w:val="24"/>
          <w:szCs w:val="24"/>
        </w:rPr>
      </w:pPr>
    </w:p>
    <w:p w14:paraId="4138CADE" w14:textId="77777777" w:rsidR="00E600C4" w:rsidRDefault="00E600C4" w:rsidP="000C4DF5">
      <w:pPr>
        <w:pStyle w:val="NoSpacing"/>
        <w:rPr>
          <w:rFonts w:ascii="Arial Black" w:hAnsi="Arial Black"/>
          <w:sz w:val="24"/>
          <w:szCs w:val="24"/>
        </w:rPr>
      </w:pPr>
    </w:p>
    <w:p w14:paraId="2DE477E0" w14:textId="77777777" w:rsidR="00E600C4" w:rsidRDefault="00E600C4" w:rsidP="000C4DF5">
      <w:pPr>
        <w:pStyle w:val="NoSpacing"/>
        <w:rPr>
          <w:rFonts w:ascii="Arial Black" w:hAnsi="Arial Black"/>
          <w:sz w:val="24"/>
          <w:szCs w:val="24"/>
        </w:rPr>
      </w:pPr>
    </w:p>
    <w:p w14:paraId="3254CFEB" w14:textId="3ACB8CC7" w:rsidR="00F326E5" w:rsidRDefault="000C4DF5" w:rsidP="000C4DF5">
      <w:pPr>
        <w:pStyle w:val="NoSpacing"/>
        <w:rPr>
          <w:rFonts w:ascii="Arial Black" w:hAnsi="Arial Black"/>
          <w:sz w:val="24"/>
          <w:szCs w:val="24"/>
        </w:rPr>
      </w:pPr>
      <w:r>
        <w:rPr>
          <w:rFonts w:ascii="Arial Black" w:hAnsi="Arial Black"/>
          <w:sz w:val="24"/>
          <w:szCs w:val="24"/>
        </w:rPr>
        <w:t>16-4</w:t>
      </w:r>
    </w:p>
    <w:p w14:paraId="0A269660" w14:textId="77777777" w:rsidR="000C4DF5" w:rsidRPr="000C4DF5" w:rsidRDefault="000C4DF5" w:rsidP="000C4DF5">
      <w:pPr>
        <w:pStyle w:val="NoSpacing"/>
        <w:rPr>
          <w:rFonts w:ascii="Arial Black" w:hAnsi="Arial Black"/>
          <w:sz w:val="24"/>
          <w:szCs w:val="24"/>
        </w:rPr>
      </w:pPr>
    </w:p>
    <w:p w14:paraId="7AB94435" w14:textId="41C5B9E8" w:rsidR="00F326E5" w:rsidRPr="00A50C92" w:rsidRDefault="00F326E5" w:rsidP="00F326E5">
      <w:pPr>
        <w:pStyle w:val="NoSpacing"/>
        <w:rPr>
          <w:rFonts w:ascii="Times New Roman" w:hAnsi="Times New Roman"/>
          <w:b/>
          <w:sz w:val="24"/>
          <w:szCs w:val="24"/>
        </w:rPr>
      </w:pPr>
      <w:bookmarkStart w:id="623" w:name="_Hlk515214458"/>
      <w:bookmarkStart w:id="624" w:name="_Hlk7349390"/>
      <w:bookmarkStart w:id="625" w:name="_Hlk7185851"/>
      <w:bookmarkEnd w:id="622"/>
      <w:r>
        <w:rPr>
          <w:rFonts w:ascii="Arial Black" w:hAnsi="Arial Black"/>
          <w:sz w:val="28"/>
          <w:szCs w:val="28"/>
        </w:rPr>
        <w:t xml:space="preserve">RI: FF VIDEOTAPED </w:t>
      </w:r>
      <w:proofErr w:type="gramStart"/>
      <w:r>
        <w:rPr>
          <w:rFonts w:ascii="Arial Black" w:hAnsi="Arial Black"/>
          <w:sz w:val="28"/>
          <w:szCs w:val="28"/>
        </w:rPr>
        <w:t>WEIGHT LIFTING</w:t>
      </w:r>
      <w:proofErr w:type="gramEnd"/>
      <w:r>
        <w:rPr>
          <w:rFonts w:ascii="Arial Black" w:hAnsi="Arial Black"/>
          <w:sz w:val="28"/>
          <w:szCs w:val="28"/>
        </w:rPr>
        <w:t xml:space="preserve"> – DISABILITY PENSION BENEFITS TERMINATED </w:t>
      </w:r>
      <w:r w:rsidR="00A50C92" w:rsidRPr="00A50C92">
        <w:rPr>
          <w:rFonts w:ascii="Times New Roman" w:hAnsi="Times New Roman"/>
          <w:sz w:val="24"/>
          <w:szCs w:val="24"/>
        </w:rPr>
        <w:t>[also filed, Chap. 6]</w:t>
      </w:r>
    </w:p>
    <w:p w14:paraId="307A9D4A" w14:textId="5663B4FA" w:rsidR="00F326E5" w:rsidRPr="00E600C4" w:rsidRDefault="00F326E5" w:rsidP="00F326E5">
      <w:pPr>
        <w:pStyle w:val="NoSpacing"/>
        <w:rPr>
          <w:rFonts w:ascii="Times New Roman" w:hAnsi="Times New Roman"/>
          <w:sz w:val="24"/>
          <w:szCs w:val="24"/>
        </w:rPr>
      </w:pPr>
      <w:r w:rsidRPr="00E600C4">
        <w:rPr>
          <w:rFonts w:ascii="Times New Roman" w:hAnsi="Times New Roman"/>
          <w:sz w:val="24"/>
          <w:szCs w:val="24"/>
        </w:rPr>
        <w:t xml:space="preserve">On Feb. 21, 2018, in </w:t>
      </w:r>
      <w:r w:rsidRPr="00E600C4">
        <w:rPr>
          <w:rFonts w:ascii="Times New Roman" w:hAnsi="Times New Roman"/>
          <w:sz w:val="24"/>
          <w:szCs w:val="24"/>
          <w:u w:val="single"/>
        </w:rPr>
        <w:t>John Sauro v. James Lombardi</w:t>
      </w:r>
      <w:r w:rsidRPr="00E600C4">
        <w:rPr>
          <w:rFonts w:ascii="Times New Roman" w:hAnsi="Times New Roman"/>
          <w:sz w:val="24"/>
          <w:szCs w:val="24"/>
        </w:rPr>
        <w:t xml:space="preserve">, in his capacity as Treasurer of the City of Providence, et al., the State Supreme Court held, “we conclude that the decision of the trial justice declaring that the plaintiff’s pension benefits should be reinstated and he should be placed on a waiting list to resume active service was erroneous, overlooked material evidence, and was clearly wrong.” </w:t>
      </w:r>
      <w:hyperlink r:id="rId2801" w:history="1">
        <w:r w:rsidRPr="00E600C4">
          <w:rPr>
            <w:rStyle w:val="Hyperlink"/>
            <w:rFonts w:ascii="Times New Roman" w:hAnsi="Times New Roman"/>
            <w:sz w:val="24"/>
            <w:szCs w:val="24"/>
          </w:rPr>
          <w:t>file:///C:/Users/lawre/AppData/Local/Microsoft/Windows/INetCache/IE/7HZ56W7X/16-170.pdf</w:t>
        </w:r>
      </w:hyperlink>
      <w:r w:rsidRPr="00E600C4">
        <w:rPr>
          <w:rFonts w:ascii="Times New Roman" w:hAnsi="Times New Roman"/>
          <w:sz w:val="24"/>
          <w:szCs w:val="24"/>
        </w:rPr>
        <w:t xml:space="preserve"> </w:t>
      </w:r>
    </w:p>
    <w:bookmarkEnd w:id="623"/>
    <w:p w14:paraId="7E4F4870" w14:textId="77777777" w:rsidR="00E600C4" w:rsidRDefault="00E600C4" w:rsidP="00F326E5">
      <w:pPr>
        <w:pStyle w:val="NoSpacing"/>
        <w:rPr>
          <w:rFonts w:ascii="Times New Roman" w:hAnsi="Times New Roman"/>
          <w:b/>
          <w:sz w:val="24"/>
          <w:szCs w:val="24"/>
        </w:rPr>
      </w:pPr>
    </w:p>
    <w:p w14:paraId="6AF0F96B" w14:textId="18C951AE" w:rsidR="00F326E5" w:rsidRPr="00E600C4" w:rsidRDefault="00F326E5" w:rsidP="00F326E5">
      <w:pPr>
        <w:pStyle w:val="NoSpacing"/>
        <w:rPr>
          <w:rFonts w:ascii="Times New Roman" w:hAnsi="Times New Roman"/>
          <w:b/>
          <w:sz w:val="24"/>
          <w:szCs w:val="24"/>
        </w:rPr>
      </w:pPr>
      <w:r w:rsidRPr="00E600C4">
        <w:rPr>
          <w:rFonts w:ascii="Times New Roman" w:hAnsi="Times New Roman"/>
          <w:b/>
          <w:sz w:val="24"/>
          <w:szCs w:val="24"/>
        </w:rPr>
        <w:t xml:space="preserve">Legal Lessons Learned: Accidental disability pension benefits are for those with a continuing work-place injury; cases like this </w:t>
      </w:r>
      <w:proofErr w:type="gramStart"/>
      <w:r w:rsidRPr="00E600C4">
        <w:rPr>
          <w:rFonts w:ascii="Times New Roman" w:hAnsi="Times New Roman"/>
          <w:b/>
          <w:sz w:val="24"/>
          <w:szCs w:val="24"/>
        </w:rPr>
        <w:t>lead</w:t>
      </w:r>
      <w:proofErr w:type="gramEnd"/>
      <w:r w:rsidRPr="00E600C4">
        <w:rPr>
          <w:rFonts w:ascii="Times New Roman" w:hAnsi="Times New Roman"/>
          <w:b/>
          <w:sz w:val="24"/>
          <w:szCs w:val="24"/>
        </w:rPr>
        <w:t xml:space="preserve"> to public perception of pension fraud. </w:t>
      </w:r>
    </w:p>
    <w:p w14:paraId="4DADA5D9" w14:textId="77777777" w:rsidR="00E600C4" w:rsidRDefault="00E600C4" w:rsidP="00F326E5">
      <w:pPr>
        <w:pStyle w:val="NoSpacing"/>
        <w:ind w:left="720"/>
        <w:rPr>
          <w:rFonts w:ascii="Times New Roman" w:hAnsi="Times New Roman"/>
          <w:sz w:val="24"/>
          <w:szCs w:val="24"/>
        </w:rPr>
      </w:pPr>
    </w:p>
    <w:p w14:paraId="399D8066" w14:textId="429AF4C9" w:rsidR="00F326E5" w:rsidRPr="00E600C4" w:rsidRDefault="00F326E5" w:rsidP="00F326E5">
      <w:pPr>
        <w:pStyle w:val="NoSpacing"/>
        <w:ind w:left="720"/>
        <w:rPr>
          <w:rFonts w:ascii="Times New Roman" w:hAnsi="Times New Roman"/>
          <w:sz w:val="24"/>
          <w:szCs w:val="24"/>
        </w:rPr>
      </w:pPr>
      <w:r w:rsidRPr="00E600C4">
        <w:rPr>
          <w:rFonts w:ascii="Times New Roman" w:hAnsi="Times New Roman"/>
          <w:sz w:val="24"/>
          <w:szCs w:val="24"/>
        </w:rPr>
        <w:t xml:space="preserve">See TV story and undercover video of </w:t>
      </w:r>
      <w:proofErr w:type="gramStart"/>
      <w:r w:rsidRPr="00E600C4">
        <w:rPr>
          <w:rFonts w:ascii="Times New Roman" w:hAnsi="Times New Roman"/>
          <w:sz w:val="24"/>
          <w:szCs w:val="24"/>
        </w:rPr>
        <w:t>retiree</w:t>
      </w:r>
      <w:proofErr w:type="gramEnd"/>
      <w:r w:rsidRPr="00E600C4">
        <w:rPr>
          <w:rFonts w:ascii="Times New Roman" w:hAnsi="Times New Roman"/>
          <w:sz w:val="24"/>
          <w:szCs w:val="24"/>
        </w:rPr>
        <w:t xml:space="preserve"> lifting weights: </w:t>
      </w:r>
      <w:hyperlink r:id="rId2802" w:history="1">
        <w:r w:rsidRPr="00E600C4">
          <w:rPr>
            <w:rStyle w:val="Hyperlink"/>
            <w:rFonts w:ascii="Times New Roman" w:hAnsi="Times New Roman"/>
            <w:sz w:val="24"/>
            <w:szCs w:val="24"/>
          </w:rPr>
          <w:t>http://www.wpri.com/news/supreme-court-sides-with-providence-in-dispute-over-weightlifting-firefighters-disability-pension/1082484435</w:t>
        </w:r>
      </w:hyperlink>
      <w:bookmarkEnd w:id="624"/>
      <w:r w:rsidRPr="00E600C4">
        <w:rPr>
          <w:rFonts w:ascii="Times New Roman" w:hAnsi="Times New Roman"/>
          <w:sz w:val="24"/>
          <w:szCs w:val="24"/>
        </w:rPr>
        <w:t xml:space="preserve"> </w:t>
      </w:r>
    </w:p>
    <w:bookmarkEnd w:id="625"/>
    <w:p w14:paraId="6A538CB6" w14:textId="77777777" w:rsidR="00F326E5" w:rsidRPr="00E600C4" w:rsidRDefault="00F326E5" w:rsidP="00F326E5">
      <w:pPr>
        <w:ind w:left="720"/>
        <w:rPr>
          <w:rFonts w:ascii="Times New Roman" w:eastAsia="Times New Roman" w:hAnsi="Times New Roman"/>
          <w:sz w:val="24"/>
          <w:szCs w:val="24"/>
        </w:rPr>
      </w:pPr>
    </w:p>
    <w:p w14:paraId="224A2325" w14:textId="77777777" w:rsidR="00F326E5" w:rsidRDefault="00F326E5" w:rsidP="00F326E5">
      <w:pPr>
        <w:pStyle w:val="NoSpacing"/>
        <w:rPr>
          <w:sz w:val="24"/>
          <w:szCs w:val="24"/>
        </w:rPr>
      </w:pPr>
    </w:p>
    <w:p w14:paraId="7AD5997F" w14:textId="7FBF798F" w:rsidR="000C4DF5" w:rsidRDefault="000C4DF5" w:rsidP="000C4DF5">
      <w:pPr>
        <w:pStyle w:val="NoSpacing"/>
        <w:rPr>
          <w:rFonts w:ascii="Arial Black" w:hAnsi="Arial Black"/>
          <w:sz w:val="24"/>
          <w:szCs w:val="24"/>
        </w:rPr>
      </w:pPr>
      <w:bookmarkStart w:id="626" w:name="_Hlk7349425"/>
      <w:r>
        <w:rPr>
          <w:rFonts w:ascii="Arial Black" w:hAnsi="Arial Black"/>
          <w:sz w:val="24"/>
          <w:szCs w:val="24"/>
        </w:rPr>
        <w:t>16-3</w:t>
      </w:r>
    </w:p>
    <w:p w14:paraId="7DCE9FCE" w14:textId="77777777" w:rsidR="000C4DF5" w:rsidRDefault="000C4DF5" w:rsidP="00F326E5">
      <w:pPr>
        <w:pStyle w:val="NoSpacing"/>
        <w:rPr>
          <w:rFonts w:ascii="Arial Black" w:hAnsi="Arial Black"/>
          <w:b/>
          <w:sz w:val="28"/>
          <w:szCs w:val="28"/>
        </w:rPr>
      </w:pPr>
    </w:p>
    <w:p w14:paraId="1133140B" w14:textId="027FD9AE" w:rsidR="00F326E5" w:rsidRDefault="00F326E5" w:rsidP="00F326E5">
      <w:pPr>
        <w:pStyle w:val="NoSpacing"/>
        <w:rPr>
          <w:rFonts w:ascii="Arial Black" w:hAnsi="Arial Black"/>
          <w:b/>
          <w:sz w:val="28"/>
          <w:szCs w:val="28"/>
        </w:rPr>
      </w:pPr>
      <w:r>
        <w:rPr>
          <w:rFonts w:ascii="Arial Black" w:hAnsi="Arial Black"/>
          <w:b/>
          <w:sz w:val="28"/>
          <w:szCs w:val="28"/>
        </w:rPr>
        <w:t>WA: CAPTAIN FIRED, INTERNAL E-MAILS ON RELIGION – LAWSUIT REISTATED, NO FD POLICY</w:t>
      </w:r>
    </w:p>
    <w:p w14:paraId="3644B859" w14:textId="77777777" w:rsidR="00E600C4" w:rsidRDefault="00F326E5" w:rsidP="00F326E5">
      <w:pPr>
        <w:pStyle w:val="NoSpacing"/>
        <w:rPr>
          <w:rFonts w:ascii="Times New Roman" w:hAnsi="Times New Roman"/>
          <w:sz w:val="24"/>
          <w:szCs w:val="24"/>
        </w:rPr>
      </w:pPr>
      <w:r w:rsidRPr="00E600C4">
        <w:rPr>
          <w:rFonts w:ascii="Times New Roman" w:hAnsi="Times New Roman"/>
          <w:sz w:val="24"/>
          <w:szCs w:val="24"/>
        </w:rPr>
        <w:t xml:space="preserve">On Jan. 25, 2018, in </w:t>
      </w:r>
      <w:r w:rsidRPr="00E600C4">
        <w:rPr>
          <w:rFonts w:ascii="Times New Roman" w:hAnsi="Times New Roman"/>
          <w:sz w:val="24"/>
          <w:szCs w:val="24"/>
          <w:u w:val="single"/>
        </w:rPr>
        <w:t>Jonathan J. Sprague v. Spokane Valley Fire Department, et al</w:t>
      </w:r>
      <w:r w:rsidRPr="00E600C4">
        <w:rPr>
          <w:rFonts w:ascii="Times New Roman" w:hAnsi="Times New Roman"/>
          <w:sz w:val="24"/>
          <w:szCs w:val="24"/>
        </w:rPr>
        <w:t xml:space="preserve">., the Supreme Court of the State of Washington, held (5 to 4) that </w:t>
      </w:r>
    </w:p>
    <w:p w14:paraId="75136235" w14:textId="77777777" w:rsidR="00E600C4" w:rsidRDefault="00E600C4" w:rsidP="00F326E5">
      <w:pPr>
        <w:pStyle w:val="NoSpacing"/>
        <w:rPr>
          <w:rFonts w:ascii="Times New Roman" w:hAnsi="Times New Roman"/>
          <w:sz w:val="24"/>
          <w:szCs w:val="24"/>
        </w:rPr>
      </w:pPr>
    </w:p>
    <w:p w14:paraId="6F94960D" w14:textId="49D41CF1" w:rsidR="00F326E5" w:rsidRPr="00E600C4" w:rsidRDefault="00F326E5" w:rsidP="00E600C4">
      <w:pPr>
        <w:pStyle w:val="NoSpacing"/>
        <w:ind w:left="720"/>
        <w:rPr>
          <w:rStyle w:val="Hyperlink"/>
          <w:rFonts w:ascii="Times New Roman" w:hAnsi="Times New Roman"/>
          <w:sz w:val="24"/>
          <w:szCs w:val="24"/>
        </w:rPr>
      </w:pPr>
      <w:r w:rsidRPr="00E600C4">
        <w:rPr>
          <w:rFonts w:ascii="Times New Roman" w:hAnsi="Times New Roman"/>
          <w:sz w:val="24"/>
          <w:szCs w:val="24"/>
        </w:rPr>
        <w:lastRenderedPageBreak/>
        <w:t xml:space="preserve">“Sprague has met his initial burden to show that SVFD's restrictions on his speech violated the First Amendment. On remand, the burden will shift to SVFD to show by a preponderance of the evidence that it would have reached the same decision as to respondent's employment termination even in the absence of the protected conduct.” </w:t>
      </w:r>
      <w:hyperlink r:id="rId2803" w:history="1">
        <w:r w:rsidRPr="00E600C4">
          <w:rPr>
            <w:rStyle w:val="Hyperlink"/>
            <w:rFonts w:ascii="Times New Roman" w:hAnsi="Times New Roman"/>
            <w:sz w:val="24"/>
            <w:szCs w:val="24"/>
          </w:rPr>
          <w:t>file:///C:/Users/lawre/AppData/Local/Microsoft/Windows/INetCache/IE/NZ9VF3P4/Christian-Firefighter.pdf</w:t>
        </w:r>
      </w:hyperlink>
    </w:p>
    <w:p w14:paraId="6590AA94" w14:textId="77777777" w:rsidR="00E600C4" w:rsidRDefault="00E600C4" w:rsidP="00F326E5">
      <w:pPr>
        <w:pStyle w:val="NoSpacing"/>
        <w:rPr>
          <w:rFonts w:ascii="Times New Roman" w:hAnsi="Times New Roman"/>
          <w:b/>
          <w:sz w:val="24"/>
          <w:szCs w:val="24"/>
        </w:rPr>
      </w:pPr>
    </w:p>
    <w:p w14:paraId="324D696F" w14:textId="03AB816B" w:rsidR="00F326E5" w:rsidRPr="00E600C4" w:rsidRDefault="00F326E5" w:rsidP="00F326E5">
      <w:pPr>
        <w:pStyle w:val="NoSpacing"/>
        <w:rPr>
          <w:rFonts w:ascii="Times New Roman" w:hAnsi="Times New Roman"/>
          <w:b/>
          <w:sz w:val="24"/>
          <w:szCs w:val="24"/>
        </w:rPr>
      </w:pPr>
      <w:r w:rsidRPr="00E600C4">
        <w:rPr>
          <w:rFonts w:ascii="Times New Roman" w:hAnsi="Times New Roman"/>
          <w:b/>
          <w:sz w:val="24"/>
          <w:szCs w:val="24"/>
        </w:rPr>
        <w:t xml:space="preserve">Legal Lessons Learned: FDs should have a written electronic communications policy, including prohibition on e-mails that can be disruptive to workplace.   </w:t>
      </w:r>
    </w:p>
    <w:p w14:paraId="4F55B2C2" w14:textId="77777777" w:rsidR="00F326E5" w:rsidRDefault="00F326E5" w:rsidP="00F326E5">
      <w:pPr>
        <w:pStyle w:val="NoSpacing"/>
        <w:rPr>
          <w:sz w:val="24"/>
          <w:szCs w:val="24"/>
        </w:rPr>
      </w:pPr>
      <w:bookmarkStart w:id="627" w:name="_Hlk515214745"/>
      <w:bookmarkEnd w:id="626"/>
    </w:p>
    <w:p w14:paraId="25B7ADD8" w14:textId="77777777" w:rsidR="00F326E5" w:rsidRDefault="00F326E5" w:rsidP="00F326E5">
      <w:pPr>
        <w:pStyle w:val="NoSpacing"/>
        <w:rPr>
          <w:sz w:val="24"/>
          <w:szCs w:val="24"/>
        </w:rPr>
      </w:pPr>
    </w:p>
    <w:p w14:paraId="0837A0FB" w14:textId="0BDEEEE7" w:rsidR="000C4DF5" w:rsidRDefault="000C4DF5" w:rsidP="00F326E5">
      <w:pPr>
        <w:pStyle w:val="NoSpacing"/>
        <w:rPr>
          <w:rFonts w:ascii="Arial Black" w:hAnsi="Arial Black"/>
          <w:b/>
          <w:sz w:val="28"/>
          <w:szCs w:val="28"/>
        </w:rPr>
      </w:pPr>
      <w:bookmarkStart w:id="628" w:name="_Hlk7349456"/>
      <w:r>
        <w:rPr>
          <w:rFonts w:ascii="Arial Black" w:hAnsi="Arial Black"/>
          <w:sz w:val="24"/>
          <w:szCs w:val="24"/>
        </w:rPr>
        <w:t>16-2</w:t>
      </w:r>
    </w:p>
    <w:p w14:paraId="592B144A" w14:textId="77777777" w:rsidR="000C4DF5" w:rsidRDefault="000C4DF5" w:rsidP="00F326E5">
      <w:pPr>
        <w:pStyle w:val="NoSpacing"/>
        <w:rPr>
          <w:rFonts w:ascii="Arial Black" w:hAnsi="Arial Black"/>
          <w:b/>
          <w:sz w:val="28"/>
          <w:szCs w:val="28"/>
        </w:rPr>
      </w:pPr>
    </w:p>
    <w:p w14:paraId="12950A7E" w14:textId="5927711C" w:rsidR="00F326E5" w:rsidRDefault="00F326E5" w:rsidP="00F326E5">
      <w:pPr>
        <w:pStyle w:val="NoSpacing"/>
        <w:rPr>
          <w:b/>
          <w:sz w:val="24"/>
          <w:szCs w:val="24"/>
        </w:rPr>
      </w:pPr>
      <w:r>
        <w:rPr>
          <w:rFonts w:ascii="Arial Black" w:hAnsi="Arial Black"/>
          <w:b/>
          <w:sz w:val="28"/>
          <w:szCs w:val="28"/>
        </w:rPr>
        <w:t xml:space="preserve">IN: STATE BOARD REVOKES DEPUTY CHIEF’S FF CERTIFICATES – CHILD EXPOITATION &amp; PORN CONVICTION </w:t>
      </w:r>
    </w:p>
    <w:bookmarkEnd w:id="627"/>
    <w:p w14:paraId="758B4FAC" w14:textId="77777777" w:rsidR="00E600C4" w:rsidRDefault="00F326E5" w:rsidP="00F326E5">
      <w:pPr>
        <w:pStyle w:val="NoSpacing"/>
        <w:rPr>
          <w:rFonts w:ascii="Times New Roman" w:hAnsi="Times New Roman"/>
          <w:sz w:val="24"/>
          <w:szCs w:val="24"/>
        </w:rPr>
      </w:pPr>
      <w:r w:rsidRPr="00E600C4">
        <w:rPr>
          <w:rFonts w:ascii="Times New Roman" w:hAnsi="Times New Roman"/>
          <w:sz w:val="24"/>
          <w:szCs w:val="24"/>
        </w:rPr>
        <w:t xml:space="preserve">On Jan. 17, 2018, in </w:t>
      </w:r>
      <w:r w:rsidRPr="00E600C4">
        <w:rPr>
          <w:rFonts w:ascii="Times New Roman" w:hAnsi="Times New Roman"/>
          <w:sz w:val="24"/>
          <w:szCs w:val="24"/>
          <w:u w:val="single"/>
        </w:rPr>
        <w:t xml:space="preserve">State Of Indiana Board </w:t>
      </w:r>
      <w:proofErr w:type="gramStart"/>
      <w:r w:rsidRPr="00E600C4">
        <w:rPr>
          <w:rFonts w:ascii="Times New Roman" w:hAnsi="Times New Roman"/>
          <w:sz w:val="24"/>
          <w:szCs w:val="24"/>
          <w:u w:val="single"/>
        </w:rPr>
        <w:t>Of</w:t>
      </w:r>
      <w:proofErr w:type="gramEnd"/>
      <w:r w:rsidRPr="00E600C4">
        <w:rPr>
          <w:rFonts w:ascii="Times New Roman" w:hAnsi="Times New Roman"/>
          <w:sz w:val="24"/>
          <w:szCs w:val="24"/>
          <w:u w:val="single"/>
        </w:rPr>
        <w:t xml:space="preserve"> Firefighting </w:t>
      </w:r>
      <w:proofErr w:type="gramStart"/>
      <w:r w:rsidRPr="00E600C4">
        <w:rPr>
          <w:rFonts w:ascii="Times New Roman" w:hAnsi="Times New Roman"/>
          <w:sz w:val="24"/>
          <w:szCs w:val="24"/>
          <w:u w:val="single"/>
        </w:rPr>
        <w:t>And</w:t>
      </w:r>
      <w:proofErr w:type="gramEnd"/>
      <w:r w:rsidRPr="00E600C4">
        <w:rPr>
          <w:rFonts w:ascii="Times New Roman" w:hAnsi="Times New Roman"/>
          <w:sz w:val="24"/>
          <w:szCs w:val="24"/>
          <w:u w:val="single"/>
        </w:rPr>
        <w:t xml:space="preserve"> Personnel Standards v. John T. Cline</w:t>
      </w:r>
      <w:r w:rsidRPr="00E600C4">
        <w:rPr>
          <w:rFonts w:ascii="Times New Roman" w:hAnsi="Times New Roman"/>
          <w:sz w:val="24"/>
          <w:szCs w:val="24"/>
        </w:rPr>
        <w:t xml:space="preserve">, the Court of Appeals of Indiana held that the Board’s decision to revoke his certifications as a Firefighter was affirmed, since he failed to file a timely appeal. </w:t>
      </w:r>
    </w:p>
    <w:p w14:paraId="7AC04123" w14:textId="73DF6FC6" w:rsidR="00F326E5" w:rsidRPr="00E600C4" w:rsidRDefault="00F326E5" w:rsidP="00E600C4">
      <w:pPr>
        <w:pStyle w:val="NoSpacing"/>
        <w:ind w:left="720"/>
        <w:rPr>
          <w:rStyle w:val="Hyperlink"/>
          <w:rFonts w:ascii="Times New Roman" w:hAnsi="Times New Roman"/>
          <w:sz w:val="24"/>
          <w:szCs w:val="24"/>
        </w:rPr>
      </w:pPr>
      <w:r w:rsidRPr="00E600C4">
        <w:rPr>
          <w:rFonts w:ascii="Times New Roman" w:hAnsi="Times New Roman"/>
          <w:sz w:val="24"/>
          <w:szCs w:val="24"/>
        </w:rPr>
        <w:t xml:space="preserve">“To effect statutory compliance, Cline was required to file the agency record or file a motion for an extension of time by May 9, 2016.  He did not do </w:t>
      </w:r>
      <w:proofErr w:type="gramStart"/>
      <w:r w:rsidRPr="00E600C4">
        <w:rPr>
          <w:rFonts w:ascii="Times New Roman" w:hAnsi="Times New Roman"/>
          <w:sz w:val="24"/>
          <w:szCs w:val="24"/>
        </w:rPr>
        <w:t>so</w:t>
      </w:r>
      <w:proofErr w:type="gramEnd"/>
      <w:r w:rsidRPr="00E600C4">
        <w:rPr>
          <w:rFonts w:ascii="Times New Roman" w:hAnsi="Times New Roman"/>
          <w:sz w:val="24"/>
          <w:szCs w:val="24"/>
        </w:rPr>
        <w:t xml:space="preserve"> and the trial court should have dismissed the petition for judicial review.” </w:t>
      </w:r>
      <w:hyperlink r:id="rId2804" w:history="1">
        <w:r w:rsidRPr="00E600C4">
          <w:rPr>
            <w:rStyle w:val="Hyperlink"/>
            <w:rFonts w:ascii="Times New Roman" w:hAnsi="Times New Roman"/>
            <w:sz w:val="24"/>
            <w:szCs w:val="24"/>
          </w:rPr>
          <w:t>file:///C:/Users/lawre/AppData/Local/Microsoft/Windows/INetCache/IE/XO250S7T/01171801lmb.pdf</w:t>
        </w:r>
      </w:hyperlink>
    </w:p>
    <w:p w14:paraId="4ED3A0FE" w14:textId="77777777" w:rsidR="00E600C4" w:rsidRDefault="00E600C4" w:rsidP="00F326E5">
      <w:pPr>
        <w:rPr>
          <w:rFonts w:ascii="Times New Roman" w:hAnsi="Times New Roman"/>
          <w:b/>
          <w:sz w:val="24"/>
          <w:szCs w:val="24"/>
        </w:rPr>
      </w:pPr>
    </w:p>
    <w:p w14:paraId="3C8FD2DA" w14:textId="7C7C7CFB" w:rsidR="00F326E5" w:rsidRPr="00E600C4" w:rsidRDefault="00F326E5" w:rsidP="00F326E5">
      <w:pPr>
        <w:rPr>
          <w:rFonts w:ascii="Times New Roman" w:hAnsi="Times New Roman"/>
          <w:b/>
          <w:sz w:val="24"/>
          <w:szCs w:val="24"/>
        </w:rPr>
      </w:pPr>
      <w:r w:rsidRPr="00E600C4">
        <w:rPr>
          <w:rFonts w:ascii="Times New Roman" w:hAnsi="Times New Roman"/>
          <w:b/>
          <w:sz w:val="24"/>
          <w:szCs w:val="24"/>
        </w:rPr>
        <w:t>Legal Lessons Learned:  In filing an appeal, deadlines must be met unless there are extenuating circumstances.</w:t>
      </w:r>
    </w:p>
    <w:bookmarkEnd w:id="628"/>
    <w:p w14:paraId="7498C7D7" w14:textId="77777777" w:rsidR="00F326E5" w:rsidRPr="00AE5408" w:rsidRDefault="00F326E5" w:rsidP="00F326E5">
      <w:pPr>
        <w:pStyle w:val="NoSpacing"/>
        <w:rPr>
          <w:b/>
          <w:sz w:val="24"/>
          <w:szCs w:val="24"/>
        </w:rPr>
      </w:pPr>
    </w:p>
    <w:p w14:paraId="24376A5C" w14:textId="27D41B33" w:rsidR="00F326E5" w:rsidRDefault="000C4DF5" w:rsidP="000C4DF5">
      <w:pPr>
        <w:pStyle w:val="NoSpacing"/>
        <w:rPr>
          <w:rFonts w:ascii="Arial Black" w:hAnsi="Arial Black"/>
          <w:sz w:val="24"/>
          <w:szCs w:val="24"/>
        </w:rPr>
      </w:pPr>
      <w:bookmarkStart w:id="629" w:name="_Hlk80769585"/>
      <w:r>
        <w:rPr>
          <w:rFonts w:ascii="Arial Black" w:hAnsi="Arial Black"/>
          <w:sz w:val="24"/>
          <w:szCs w:val="24"/>
        </w:rPr>
        <w:t>16-1</w:t>
      </w:r>
    </w:p>
    <w:p w14:paraId="0F242EB9" w14:textId="77777777" w:rsidR="00E600C4" w:rsidRDefault="00E600C4" w:rsidP="000C4DF5">
      <w:pPr>
        <w:pStyle w:val="NoSpacing"/>
        <w:rPr>
          <w:rFonts w:ascii="Arial Black" w:hAnsi="Arial Black"/>
          <w:sz w:val="24"/>
          <w:szCs w:val="24"/>
        </w:rPr>
      </w:pPr>
    </w:p>
    <w:p w14:paraId="7CF80A95" w14:textId="78C9E408" w:rsidR="00F326E5" w:rsidRDefault="00F326E5" w:rsidP="00F326E5">
      <w:pPr>
        <w:pStyle w:val="NoSpacing"/>
        <w:rPr>
          <w:b/>
          <w:sz w:val="24"/>
          <w:szCs w:val="24"/>
        </w:rPr>
      </w:pPr>
      <w:bookmarkStart w:id="630" w:name="_Hlk7349488"/>
      <w:r w:rsidRPr="009213BD">
        <w:rPr>
          <w:rFonts w:ascii="Arial Black" w:hAnsi="Arial Black" w:cs="Arial"/>
          <w:sz w:val="28"/>
          <w:szCs w:val="28"/>
        </w:rPr>
        <w:t xml:space="preserve">IL: SOCIAL MEDIA POSTS - DEPUTY FIRE CHIEF FIRED AFTER “POLITICAL COMMENTARY” ON FACEBOOK </w:t>
      </w:r>
    </w:p>
    <w:p w14:paraId="1C037220" w14:textId="77777777" w:rsidR="00026281" w:rsidRDefault="00026281" w:rsidP="00F326E5">
      <w:pPr>
        <w:pStyle w:val="NoSpacing"/>
        <w:rPr>
          <w:rFonts w:ascii="Times New Roman" w:hAnsi="Times New Roman"/>
          <w:sz w:val="24"/>
          <w:szCs w:val="24"/>
        </w:rPr>
      </w:pPr>
    </w:p>
    <w:p w14:paraId="01BD175A" w14:textId="2DD33E22" w:rsidR="00E600C4" w:rsidRDefault="00F326E5" w:rsidP="00F326E5">
      <w:pPr>
        <w:pStyle w:val="NoSpacing"/>
        <w:rPr>
          <w:rFonts w:ascii="Times New Roman" w:hAnsi="Times New Roman"/>
          <w:sz w:val="24"/>
          <w:szCs w:val="24"/>
        </w:rPr>
      </w:pPr>
      <w:r w:rsidRPr="00E600C4">
        <w:rPr>
          <w:rFonts w:ascii="Times New Roman" w:hAnsi="Times New Roman"/>
          <w:sz w:val="24"/>
          <w:szCs w:val="24"/>
        </w:rPr>
        <w:t xml:space="preserve">On Jan. 11, 2018, in </w:t>
      </w:r>
      <w:r w:rsidRPr="00E600C4">
        <w:rPr>
          <w:rFonts w:ascii="Times New Roman" w:hAnsi="Times New Roman"/>
          <w:sz w:val="24"/>
          <w:szCs w:val="24"/>
          <w:u w:val="single"/>
        </w:rPr>
        <w:t>Richard Banske v. City of Calumet City</w:t>
      </w:r>
      <w:r w:rsidRPr="00E600C4">
        <w:rPr>
          <w:rFonts w:ascii="Times New Roman" w:hAnsi="Times New Roman"/>
          <w:sz w:val="24"/>
          <w:szCs w:val="24"/>
        </w:rPr>
        <w:t xml:space="preserve">, U.S. District Court, Northern District of Illinois (Case No. 17C5263), Judge Harry D. </w:t>
      </w:r>
      <w:proofErr w:type="spellStart"/>
      <w:r w:rsidRPr="00E600C4">
        <w:rPr>
          <w:rFonts w:ascii="Times New Roman" w:hAnsi="Times New Roman"/>
          <w:sz w:val="24"/>
          <w:szCs w:val="24"/>
        </w:rPr>
        <w:t>Leinenweber</w:t>
      </w:r>
      <w:proofErr w:type="spellEnd"/>
      <w:r w:rsidRPr="00E600C4">
        <w:rPr>
          <w:rFonts w:ascii="Times New Roman" w:hAnsi="Times New Roman"/>
          <w:sz w:val="24"/>
          <w:szCs w:val="24"/>
        </w:rPr>
        <w:t xml:space="preserve"> granted City’s motion to dismiss. </w:t>
      </w:r>
    </w:p>
    <w:p w14:paraId="78E394BD" w14:textId="77777777" w:rsidR="00E600C4" w:rsidRDefault="00E600C4" w:rsidP="00F326E5">
      <w:pPr>
        <w:pStyle w:val="NoSpacing"/>
        <w:rPr>
          <w:rFonts w:ascii="Times New Roman" w:hAnsi="Times New Roman"/>
          <w:sz w:val="24"/>
          <w:szCs w:val="24"/>
        </w:rPr>
      </w:pPr>
    </w:p>
    <w:p w14:paraId="52BAFB0D" w14:textId="4E3596B6" w:rsidR="00F326E5" w:rsidRPr="00E600C4" w:rsidRDefault="00F326E5" w:rsidP="00E600C4">
      <w:pPr>
        <w:pStyle w:val="NoSpacing"/>
        <w:ind w:left="720"/>
        <w:rPr>
          <w:rFonts w:ascii="Times New Roman" w:hAnsi="Times New Roman"/>
          <w:sz w:val="24"/>
          <w:szCs w:val="24"/>
        </w:rPr>
      </w:pPr>
      <w:r w:rsidRPr="00E600C4">
        <w:rPr>
          <w:rFonts w:ascii="Times New Roman" w:hAnsi="Times New Roman"/>
          <w:sz w:val="24"/>
          <w:szCs w:val="24"/>
        </w:rPr>
        <w:t>“[A] policymaking employee may be discharged ‘when that individual has engaged in speech on a matter of public concern in a manner that is critical of superiors or their stated policies.’</w:t>
      </w:r>
      <w:r w:rsidR="00E600C4">
        <w:rPr>
          <w:rFonts w:ascii="Times New Roman" w:hAnsi="Times New Roman"/>
          <w:sz w:val="24"/>
          <w:szCs w:val="24"/>
        </w:rPr>
        <w:t xml:space="preserve"> </w:t>
      </w:r>
      <w:r w:rsidRPr="00E600C4">
        <w:rPr>
          <w:rFonts w:ascii="Times New Roman" w:hAnsi="Times New Roman"/>
          <w:sz w:val="24"/>
          <w:szCs w:val="24"/>
        </w:rPr>
        <w:t xml:space="preserve">Hagan, 867 F.3d at 826 (quoting Kiddy-Brown v. Blagojevich, 408 F.3d 346, 358 (7th Cir. 2005)). *** Without well pled factual allegations, the Court is left to guess whether </w:t>
      </w:r>
      <w:proofErr w:type="spellStart"/>
      <w:r w:rsidRPr="00E600C4">
        <w:rPr>
          <w:rFonts w:ascii="Times New Roman" w:hAnsi="Times New Roman"/>
          <w:sz w:val="24"/>
          <w:szCs w:val="24"/>
        </w:rPr>
        <w:t>Banske's</w:t>
      </w:r>
      <w:proofErr w:type="spellEnd"/>
      <w:r w:rsidRPr="00E600C4">
        <w:rPr>
          <w:rFonts w:ascii="Times New Roman" w:hAnsi="Times New Roman"/>
          <w:sz w:val="24"/>
          <w:szCs w:val="24"/>
        </w:rPr>
        <w:t xml:space="preserve"> at-issue speech touches upon a subject of public concern. This the Court will not do. The Complaint fails to establish that </w:t>
      </w:r>
      <w:proofErr w:type="spellStart"/>
      <w:r w:rsidRPr="00E600C4">
        <w:rPr>
          <w:rFonts w:ascii="Times New Roman" w:hAnsi="Times New Roman"/>
          <w:sz w:val="24"/>
          <w:szCs w:val="24"/>
        </w:rPr>
        <w:t>Banske</w:t>
      </w:r>
      <w:proofErr w:type="spellEnd"/>
      <w:r w:rsidRPr="00E600C4">
        <w:rPr>
          <w:rFonts w:ascii="Times New Roman" w:hAnsi="Times New Roman"/>
          <w:sz w:val="24"/>
          <w:szCs w:val="24"/>
        </w:rPr>
        <w:t xml:space="preserve"> engaged in constitutionally protected speech, so it fails to state a claim upon which relief may be granted.” </w:t>
      </w:r>
    </w:p>
    <w:p w14:paraId="6A3E048D" w14:textId="7003543D" w:rsidR="00F326E5" w:rsidRPr="00E600C4" w:rsidRDefault="00E600C4" w:rsidP="00E600C4">
      <w:pPr>
        <w:pStyle w:val="NoSpacing"/>
        <w:ind w:firstLine="720"/>
        <w:rPr>
          <w:rFonts w:ascii="Times New Roman" w:hAnsi="Times New Roman"/>
          <w:sz w:val="24"/>
          <w:szCs w:val="24"/>
        </w:rPr>
      </w:pPr>
      <w:hyperlink r:id="rId2805" w:history="1">
        <w:r w:rsidRPr="001B5B01">
          <w:rPr>
            <w:rStyle w:val="Hyperlink"/>
            <w:rFonts w:ascii="Times New Roman" w:hAnsi="Times New Roman"/>
            <w:sz w:val="24"/>
            <w:szCs w:val="24"/>
          </w:rPr>
          <w:t>https://casetext.com/case/banske-v-city-of-calumet-city</w:t>
        </w:r>
      </w:hyperlink>
      <w:r w:rsidR="00F326E5" w:rsidRPr="00E600C4">
        <w:rPr>
          <w:rFonts w:ascii="Times New Roman" w:hAnsi="Times New Roman"/>
          <w:sz w:val="24"/>
          <w:szCs w:val="24"/>
        </w:rPr>
        <w:t xml:space="preserve"> </w:t>
      </w:r>
    </w:p>
    <w:p w14:paraId="6BBC4089" w14:textId="77777777" w:rsidR="00E600C4" w:rsidRDefault="00E600C4" w:rsidP="00F326E5">
      <w:pPr>
        <w:rPr>
          <w:rFonts w:ascii="Times New Roman" w:eastAsia="Times New Roman" w:hAnsi="Times New Roman"/>
          <w:b/>
          <w:sz w:val="24"/>
          <w:szCs w:val="24"/>
        </w:rPr>
      </w:pPr>
    </w:p>
    <w:p w14:paraId="68418577" w14:textId="49E1851B" w:rsidR="00F326E5" w:rsidRPr="00E600C4" w:rsidRDefault="00F326E5" w:rsidP="00F326E5">
      <w:pPr>
        <w:rPr>
          <w:rFonts w:ascii="Times New Roman" w:eastAsia="Times New Roman" w:hAnsi="Times New Roman"/>
          <w:b/>
          <w:sz w:val="24"/>
          <w:szCs w:val="24"/>
        </w:rPr>
      </w:pPr>
      <w:r w:rsidRPr="00E600C4">
        <w:rPr>
          <w:rFonts w:ascii="Times New Roman" w:eastAsia="Times New Roman" w:hAnsi="Times New Roman"/>
          <w:b/>
          <w:sz w:val="24"/>
          <w:szCs w:val="24"/>
        </w:rPr>
        <w:t>Legal Lessons Learned: Fire, EMS, police and other public employees have only limited First Amendment rights under the “balancing test” of U.S. Supreme Court’s decision in Pickering v. Board of Education, 391 U.S. 563 (1968).</w:t>
      </w:r>
    </w:p>
    <w:p w14:paraId="34AA03D1" w14:textId="77777777" w:rsidR="00F326E5" w:rsidRPr="00E600C4" w:rsidRDefault="00F326E5" w:rsidP="00F326E5">
      <w:pPr>
        <w:ind w:left="720"/>
        <w:rPr>
          <w:rFonts w:ascii="Times New Roman" w:hAnsi="Times New Roman"/>
          <w:sz w:val="24"/>
          <w:szCs w:val="24"/>
        </w:rPr>
      </w:pPr>
      <w:r w:rsidRPr="00E600C4">
        <w:rPr>
          <w:rFonts w:ascii="Times New Roman" w:eastAsia="Times New Roman" w:hAnsi="Times New Roman"/>
          <w:sz w:val="24"/>
          <w:szCs w:val="24"/>
        </w:rPr>
        <w:lastRenderedPageBreak/>
        <w:t xml:space="preserve">Pickering decision:  “Appellant Marvin L. Pickering, a teacher in Township High School District 205, Will County, Illinois, was dismissed from his position by the appellee Board of Education for sending a letter to a local newspaper in connection with a recently proposed tax increase that was critical of the way in which the Board and the district superintendent of schools had handled past proposals to raise new revenue for the schools. *** In sum, we hold that, in a case such as this, absent proof of false statements knowingly or recklessly made by him, a teacher's exercise of his right to speak on issues of public importance may not furnish the basis for his dismissal from public employment. *** Footnote 3: It is possible to conceive of some positions in public employment in which the need for confidentiality is so great that even completely correct public statements might furnish a permissible ground for dismissal.” </w:t>
      </w:r>
      <w:hyperlink r:id="rId2806" w:history="1">
        <w:r w:rsidRPr="00E600C4">
          <w:rPr>
            <w:rStyle w:val="Hyperlink"/>
            <w:rFonts w:ascii="Times New Roman" w:hAnsi="Times New Roman"/>
            <w:sz w:val="24"/>
            <w:szCs w:val="24"/>
          </w:rPr>
          <w:t>https://supreme.justia.com/cases/federal/us/391/563/</w:t>
        </w:r>
      </w:hyperlink>
      <w:r w:rsidRPr="00E600C4">
        <w:rPr>
          <w:rFonts w:ascii="Times New Roman" w:eastAsia="Times New Roman" w:hAnsi="Times New Roman"/>
          <w:sz w:val="24"/>
          <w:szCs w:val="24"/>
        </w:rPr>
        <w:t xml:space="preserve"> </w:t>
      </w:r>
    </w:p>
    <w:bookmarkEnd w:id="629"/>
    <w:bookmarkEnd w:id="630"/>
    <w:p w14:paraId="79613DBE" w14:textId="77777777" w:rsidR="00F326E5" w:rsidRPr="00E600C4" w:rsidRDefault="00F326E5" w:rsidP="00F326E5">
      <w:pPr>
        <w:pStyle w:val="NoSpacing"/>
        <w:rPr>
          <w:rFonts w:ascii="Times New Roman" w:hAnsi="Times New Roman"/>
          <w:b/>
          <w:sz w:val="24"/>
          <w:szCs w:val="24"/>
        </w:rPr>
      </w:pPr>
    </w:p>
    <w:p w14:paraId="228A938B" w14:textId="77777777" w:rsidR="00F326E5" w:rsidRDefault="00F326E5" w:rsidP="00F326E5">
      <w:pPr>
        <w:rPr>
          <w:rFonts w:ascii="Arial Black" w:hAnsi="Arial Black"/>
          <w:sz w:val="40"/>
          <w:szCs w:val="40"/>
        </w:rPr>
      </w:pPr>
      <w:r>
        <w:rPr>
          <w:rFonts w:ascii="Arial Black" w:hAnsi="Arial Black"/>
          <w:sz w:val="40"/>
          <w:szCs w:val="40"/>
        </w:rPr>
        <w:br w:type="page"/>
      </w:r>
    </w:p>
    <w:p w14:paraId="394AF62A" w14:textId="77777777" w:rsidR="00F326E5" w:rsidRDefault="00F326E5" w:rsidP="00F326E5">
      <w:pPr>
        <w:rPr>
          <w:rFonts w:ascii="Arial Black" w:hAnsi="Arial Black"/>
          <w:sz w:val="40"/>
          <w:szCs w:val="40"/>
        </w:rPr>
      </w:pPr>
    </w:p>
    <w:p w14:paraId="057E46DD" w14:textId="77777777" w:rsidR="007D737C" w:rsidRDefault="007D737C" w:rsidP="00F326E5">
      <w:pPr>
        <w:pStyle w:val="NoSpacing"/>
        <w:rPr>
          <w:rFonts w:ascii="Arial Black" w:hAnsi="Arial Black"/>
          <w:sz w:val="40"/>
          <w:szCs w:val="40"/>
        </w:rPr>
      </w:pPr>
    </w:p>
    <w:p w14:paraId="0D87F7EB" w14:textId="77777777" w:rsidR="007D737C" w:rsidRDefault="007D737C" w:rsidP="00F326E5">
      <w:pPr>
        <w:pStyle w:val="NoSpacing"/>
        <w:rPr>
          <w:rFonts w:ascii="Arial Black" w:hAnsi="Arial Black"/>
          <w:sz w:val="40"/>
          <w:szCs w:val="40"/>
        </w:rPr>
      </w:pPr>
    </w:p>
    <w:p w14:paraId="62B52445" w14:textId="77777777" w:rsidR="007D737C" w:rsidRDefault="007D737C" w:rsidP="00F326E5">
      <w:pPr>
        <w:pStyle w:val="NoSpacing"/>
        <w:rPr>
          <w:rFonts w:ascii="Arial Black" w:hAnsi="Arial Black"/>
          <w:sz w:val="40"/>
          <w:szCs w:val="40"/>
        </w:rPr>
      </w:pPr>
    </w:p>
    <w:p w14:paraId="7D46D5E7" w14:textId="77777777" w:rsidR="007D737C" w:rsidRDefault="007D737C" w:rsidP="00F326E5">
      <w:pPr>
        <w:pStyle w:val="NoSpacing"/>
        <w:rPr>
          <w:rFonts w:ascii="Arial Black" w:hAnsi="Arial Black"/>
          <w:sz w:val="40"/>
          <w:szCs w:val="40"/>
        </w:rPr>
      </w:pPr>
    </w:p>
    <w:p w14:paraId="21A16390" w14:textId="77777777" w:rsidR="007D737C" w:rsidRDefault="007D737C" w:rsidP="00F326E5">
      <w:pPr>
        <w:pStyle w:val="NoSpacing"/>
        <w:rPr>
          <w:rFonts w:ascii="Arial Black" w:hAnsi="Arial Black"/>
          <w:sz w:val="40"/>
          <w:szCs w:val="40"/>
        </w:rPr>
      </w:pPr>
    </w:p>
    <w:p w14:paraId="7A49A248" w14:textId="77777777" w:rsidR="007D737C" w:rsidRDefault="007D737C" w:rsidP="00F326E5">
      <w:pPr>
        <w:pStyle w:val="NoSpacing"/>
        <w:rPr>
          <w:rFonts w:ascii="Arial Black" w:hAnsi="Arial Black"/>
          <w:sz w:val="40"/>
          <w:szCs w:val="40"/>
        </w:rPr>
      </w:pPr>
    </w:p>
    <w:p w14:paraId="37B81F85" w14:textId="77777777" w:rsidR="007D737C" w:rsidRDefault="007D737C" w:rsidP="00F326E5">
      <w:pPr>
        <w:pStyle w:val="NoSpacing"/>
        <w:rPr>
          <w:rFonts w:ascii="Arial Black" w:hAnsi="Arial Black"/>
          <w:sz w:val="40"/>
          <w:szCs w:val="40"/>
        </w:rPr>
      </w:pPr>
    </w:p>
    <w:p w14:paraId="21026785" w14:textId="77777777" w:rsidR="007D737C" w:rsidRDefault="007D737C" w:rsidP="00F326E5">
      <w:pPr>
        <w:pStyle w:val="NoSpacing"/>
        <w:rPr>
          <w:rFonts w:ascii="Arial Black" w:hAnsi="Arial Black"/>
          <w:sz w:val="40"/>
          <w:szCs w:val="40"/>
        </w:rPr>
      </w:pPr>
    </w:p>
    <w:p w14:paraId="58E7CD43" w14:textId="77777777" w:rsidR="007D737C" w:rsidRDefault="007D737C" w:rsidP="00F326E5">
      <w:pPr>
        <w:pStyle w:val="NoSpacing"/>
        <w:rPr>
          <w:rFonts w:ascii="Arial Black" w:hAnsi="Arial Black"/>
          <w:sz w:val="40"/>
          <w:szCs w:val="40"/>
        </w:rPr>
      </w:pPr>
    </w:p>
    <w:p w14:paraId="3AF486A0" w14:textId="77777777" w:rsidR="007D737C" w:rsidRDefault="007D737C" w:rsidP="00F326E5">
      <w:pPr>
        <w:pStyle w:val="NoSpacing"/>
        <w:rPr>
          <w:rFonts w:ascii="Arial Black" w:hAnsi="Arial Black"/>
          <w:sz w:val="40"/>
          <w:szCs w:val="40"/>
        </w:rPr>
      </w:pPr>
    </w:p>
    <w:p w14:paraId="39D57225" w14:textId="77777777" w:rsidR="007D737C" w:rsidRDefault="007D737C" w:rsidP="00F326E5">
      <w:pPr>
        <w:pStyle w:val="NoSpacing"/>
        <w:rPr>
          <w:rFonts w:ascii="Arial Black" w:hAnsi="Arial Black"/>
          <w:sz w:val="40"/>
          <w:szCs w:val="40"/>
        </w:rPr>
      </w:pPr>
    </w:p>
    <w:p w14:paraId="36375DD5" w14:textId="77777777" w:rsidR="007D737C" w:rsidRDefault="007D737C" w:rsidP="00F326E5">
      <w:pPr>
        <w:pStyle w:val="NoSpacing"/>
        <w:rPr>
          <w:rFonts w:ascii="Arial Black" w:hAnsi="Arial Black"/>
          <w:sz w:val="40"/>
          <w:szCs w:val="40"/>
        </w:rPr>
      </w:pPr>
    </w:p>
    <w:p w14:paraId="708D307C" w14:textId="77777777" w:rsidR="007D737C" w:rsidRDefault="007D737C" w:rsidP="00F326E5">
      <w:pPr>
        <w:pStyle w:val="NoSpacing"/>
        <w:rPr>
          <w:rFonts w:ascii="Arial Black" w:hAnsi="Arial Black"/>
          <w:sz w:val="40"/>
          <w:szCs w:val="40"/>
        </w:rPr>
      </w:pPr>
    </w:p>
    <w:p w14:paraId="0CD66998" w14:textId="77777777" w:rsidR="007D737C" w:rsidRDefault="007D737C" w:rsidP="00F326E5">
      <w:pPr>
        <w:pStyle w:val="NoSpacing"/>
        <w:rPr>
          <w:rFonts w:ascii="Arial Black" w:hAnsi="Arial Black"/>
          <w:sz w:val="40"/>
          <w:szCs w:val="40"/>
        </w:rPr>
      </w:pPr>
    </w:p>
    <w:p w14:paraId="704F54FE" w14:textId="77777777" w:rsidR="007D737C" w:rsidRDefault="007D737C" w:rsidP="00F326E5">
      <w:pPr>
        <w:pStyle w:val="NoSpacing"/>
        <w:rPr>
          <w:rFonts w:ascii="Arial Black" w:hAnsi="Arial Black"/>
          <w:sz w:val="40"/>
          <w:szCs w:val="40"/>
        </w:rPr>
      </w:pPr>
    </w:p>
    <w:p w14:paraId="786ACB54" w14:textId="77777777" w:rsidR="007D737C" w:rsidRDefault="007D737C" w:rsidP="00F326E5">
      <w:pPr>
        <w:pStyle w:val="NoSpacing"/>
        <w:rPr>
          <w:rFonts w:ascii="Arial Black" w:hAnsi="Arial Black"/>
          <w:sz w:val="40"/>
          <w:szCs w:val="40"/>
        </w:rPr>
      </w:pPr>
    </w:p>
    <w:p w14:paraId="171A34E8" w14:textId="77777777" w:rsidR="007D737C" w:rsidRDefault="007D737C" w:rsidP="00F326E5">
      <w:pPr>
        <w:pStyle w:val="NoSpacing"/>
        <w:rPr>
          <w:rFonts w:ascii="Arial Black" w:hAnsi="Arial Black"/>
          <w:sz w:val="40"/>
          <w:szCs w:val="40"/>
        </w:rPr>
      </w:pPr>
    </w:p>
    <w:p w14:paraId="53786010" w14:textId="77777777" w:rsidR="007D737C" w:rsidRDefault="007D737C" w:rsidP="00F326E5">
      <w:pPr>
        <w:pStyle w:val="NoSpacing"/>
        <w:rPr>
          <w:rFonts w:ascii="Arial Black" w:hAnsi="Arial Black"/>
          <w:sz w:val="40"/>
          <w:szCs w:val="40"/>
        </w:rPr>
      </w:pPr>
    </w:p>
    <w:p w14:paraId="3EA0567B" w14:textId="77777777" w:rsidR="007D737C" w:rsidRDefault="007D737C" w:rsidP="00F326E5">
      <w:pPr>
        <w:pStyle w:val="NoSpacing"/>
        <w:rPr>
          <w:rFonts w:ascii="Arial Black" w:hAnsi="Arial Black"/>
          <w:sz w:val="40"/>
          <w:szCs w:val="40"/>
        </w:rPr>
      </w:pPr>
    </w:p>
    <w:p w14:paraId="51B49BA6" w14:textId="77777777" w:rsidR="007D737C" w:rsidRDefault="007D737C" w:rsidP="00F326E5">
      <w:pPr>
        <w:pStyle w:val="NoSpacing"/>
        <w:rPr>
          <w:rFonts w:ascii="Arial Black" w:hAnsi="Arial Black"/>
          <w:sz w:val="40"/>
          <w:szCs w:val="40"/>
        </w:rPr>
      </w:pPr>
    </w:p>
    <w:p w14:paraId="365462F2" w14:textId="77777777" w:rsidR="007D737C" w:rsidRDefault="007D737C" w:rsidP="00F326E5">
      <w:pPr>
        <w:pStyle w:val="NoSpacing"/>
        <w:rPr>
          <w:rFonts w:ascii="Arial Black" w:hAnsi="Arial Black"/>
          <w:sz w:val="40"/>
          <w:szCs w:val="40"/>
        </w:rPr>
      </w:pPr>
    </w:p>
    <w:p w14:paraId="597CD230" w14:textId="77777777" w:rsidR="007D737C" w:rsidRDefault="007D737C" w:rsidP="00F326E5">
      <w:pPr>
        <w:pStyle w:val="NoSpacing"/>
        <w:rPr>
          <w:rFonts w:ascii="Arial Black" w:hAnsi="Arial Black"/>
          <w:sz w:val="40"/>
          <w:szCs w:val="40"/>
        </w:rPr>
      </w:pPr>
    </w:p>
    <w:p w14:paraId="05FA94B7" w14:textId="77777777" w:rsidR="007D737C" w:rsidRDefault="007D737C" w:rsidP="00F326E5">
      <w:pPr>
        <w:pStyle w:val="NoSpacing"/>
        <w:rPr>
          <w:rFonts w:ascii="Arial Black" w:hAnsi="Arial Black"/>
          <w:sz w:val="40"/>
          <w:szCs w:val="40"/>
        </w:rPr>
      </w:pPr>
    </w:p>
    <w:p w14:paraId="0BD28BB8" w14:textId="2FBE1B58" w:rsidR="00F326E5" w:rsidRDefault="00F326E5" w:rsidP="00F326E5">
      <w:pPr>
        <w:pStyle w:val="NoSpacing"/>
        <w:rPr>
          <w:rFonts w:ascii="Arial Black" w:hAnsi="Arial Black"/>
          <w:sz w:val="40"/>
          <w:szCs w:val="40"/>
        </w:rPr>
      </w:pPr>
      <w:r w:rsidRPr="007732FA">
        <w:rPr>
          <w:rFonts w:ascii="Arial Black" w:hAnsi="Arial Black"/>
          <w:sz w:val="40"/>
          <w:szCs w:val="40"/>
        </w:rPr>
        <w:lastRenderedPageBreak/>
        <w:t>Chap. 17</w:t>
      </w:r>
      <w:r w:rsidRPr="007732FA">
        <w:rPr>
          <w:rFonts w:ascii="Arial Black" w:hAnsi="Arial Black"/>
          <w:sz w:val="40"/>
          <w:szCs w:val="40"/>
        </w:rPr>
        <w:tab/>
        <w:t>Arbitration</w:t>
      </w:r>
      <w:r w:rsidR="005E16F7">
        <w:rPr>
          <w:rFonts w:ascii="Arial Black" w:hAnsi="Arial Black"/>
          <w:sz w:val="40"/>
          <w:szCs w:val="40"/>
        </w:rPr>
        <w:t>,</w:t>
      </w:r>
      <w:r w:rsidR="00EF7B5C">
        <w:rPr>
          <w:rFonts w:ascii="Arial Black" w:hAnsi="Arial Black"/>
          <w:sz w:val="40"/>
          <w:szCs w:val="40"/>
        </w:rPr>
        <w:t xml:space="preserve"> </w:t>
      </w:r>
      <w:r w:rsidRPr="007732FA">
        <w:rPr>
          <w:rFonts w:ascii="Arial Black" w:hAnsi="Arial Black"/>
          <w:sz w:val="40"/>
          <w:szCs w:val="40"/>
        </w:rPr>
        <w:t>Mediation</w:t>
      </w:r>
      <w:r w:rsidR="005E16F7">
        <w:rPr>
          <w:rFonts w:ascii="Arial Black" w:hAnsi="Arial Black"/>
          <w:sz w:val="40"/>
          <w:szCs w:val="40"/>
        </w:rPr>
        <w:t>, including Labor Relations</w:t>
      </w:r>
    </w:p>
    <w:p w14:paraId="2746B8E2" w14:textId="77777777" w:rsidR="00F326E5" w:rsidRDefault="00F326E5" w:rsidP="00F326E5">
      <w:pPr>
        <w:pStyle w:val="NoSpacing"/>
        <w:rPr>
          <w:sz w:val="24"/>
          <w:szCs w:val="24"/>
        </w:rPr>
      </w:pPr>
    </w:p>
    <w:p w14:paraId="4E41E78A" w14:textId="01CB3ADF" w:rsidR="00945BA7" w:rsidRDefault="00945BA7" w:rsidP="00945BA7">
      <w:pPr>
        <w:pStyle w:val="NoSpacing"/>
        <w:rPr>
          <w:rFonts w:ascii="Arial Black" w:hAnsi="Arial Black"/>
          <w:b/>
          <w:sz w:val="28"/>
          <w:szCs w:val="28"/>
        </w:rPr>
      </w:pPr>
      <w:r>
        <w:rPr>
          <w:rFonts w:ascii="Arial Black" w:hAnsi="Arial Black"/>
          <w:b/>
          <w:sz w:val="28"/>
          <w:szCs w:val="28"/>
        </w:rPr>
        <w:t>17-64</w:t>
      </w:r>
    </w:p>
    <w:p w14:paraId="63C1BFF8" w14:textId="77777777" w:rsidR="00945BA7" w:rsidRDefault="00945BA7" w:rsidP="00945BA7">
      <w:pPr>
        <w:pStyle w:val="NoSpacing"/>
        <w:rPr>
          <w:rFonts w:ascii="Arial Black" w:hAnsi="Arial Black"/>
          <w:b/>
          <w:sz w:val="28"/>
          <w:szCs w:val="28"/>
        </w:rPr>
      </w:pPr>
    </w:p>
    <w:p w14:paraId="52FCFC53" w14:textId="515C7A04" w:rsidR="00945BA7" w:rsidRDefault="00945BA7" w:rsidP="00945BA7">
      <w:pPr>
        <w:pStyle w:val="NoSpacing"/>
        <w:rPr>
          <w:rFonts w:ascii="Arial Black" w:hAnsi="Arial Black"/>
          <w:b/>
          <w:sz w:val="28"/>
          <w:szCs w:val="28"/>
        </w:rPr>
      </w:pPr>
      <w:r>
        <w:rPr>
          <w:rFonts w:ascii="Arial Black" w:hAnsi="Arial Black"/>
          <w:b/>
          <w:sz w:val="28"/>
          <w:szCs w:val="28"/>
        </w:rPr>
        <w:t xml:space="preserve">LA: UNION FF OFF CIVIL SER BOARD – ETHICS CASE MOOT </w:t>
      </w:r>
    </w:p>
    <w:p w14:paraId="4E68DEC2" w14:textId="77777777" w:rsidR="00945BA7" w:rsidRDefault="00945BA7" w:rsidP="00945BA7">
      <w:pPr>
        <w:pStyle w:val="NoSpacing"/>
        <w:rPr>
          <w:bCs/>
        </w:rPr>
      </w:pPr>
    </w:p>
    <w:p w14:paraId="283693D1" w14:textId="77777777" w:rsidR="00945BA7" w:rsidRDefault="00945BA7" w:rsidP="00945BA7">
      <w:pPr>
        <w:pStyle w:val="NoSpacing"/>
        <w:rPr>
          <w:b/>
        </w:rPr>
      </w:pPr>
      <w:r>
        <w:t xml:space="preserve">On July 17, 2026, in </w:t>
      </w:r>
      <w:r w:rsidRPr="0068190C">
        <w:rPr>
          <w:u w:val="single"/>
        </w:rPr>
        <w:t xml:space="preserve">Local 1374, Jefferson Parish Firefighters Association v. </w:t>
      </w:r>
      <w:proofErr w:type="spellStart"/>
      <w:r w:rsidRPr="0068190C">
        <w:rPr>
          <w:u w:val="single"/>
        </w:rPr>
        <w:t>LaKoshia</w:t>
      </w:r>
      <w:proofErr w:type="spellEnd"/>
      <w:r w:rsidRPr="0068190C">
        <w:rPr>
          <w:u w:val="single"/>
        </w:rPr>
        <w:t xml:space="preserve"> R. Roberts, in her official capacity as Chairwoman of the Louisiana Board of Ethics, et al</w:t>
      </w:r>
      <w:r>
        <w:t xml:space="preserve">., the United States Court of Appeals for Fifth Circuit (New Orleans) held (3 to 0) that since Fire Captain / IAFF VP has resigned from Jefferson Parish Civil Service Board, the state’s Board of Ethics ruling prohibiting union from hiring lawyers to represent union members appealing discipline before the Board while their VP is on the Board is a moot issue. </w:t>
      </w:r>
      <w:hyperlink r:id="rId2807" w:history="1">
        <w:r w:rsidRPr="0068671B">
          <w:rPr>
            <w:rStyle w:val="Hyperlink"/>
            <w:b/>
          </w:rPr>
          <w:t>https://cases.justia.com/federal/appellate-courts/ca5/25-30305/25-30305-2026-07-17.pdf?ts=1784331031</w:t>
        </w:r>
      </w:hyperlink>
      <w:r>
        <w:rPr>
          <w:b/>
        </w:rPr>
        <w:t xml:space="preserve"> </w:t>
      </w:r>
    </w:p>
    <w:p w14:paraId="50D17C83" w14:textId="77777777" w:rsidR="00945BA7" w:rsidRDefault="00945BA7" w:rsidP="00945BA7">
      <w:pPr>
        <w:pStyle w:val="NoSpacing"/>
        <w:rPr>
          <w:bCs/>
        </w:rPr>
      </w:pPr>
      <w:r>
        <w:t xml:space="preserve"> </w:t>
      </w:r>
    </w:p>
    <w:p w14:paraId="0FA2814A" w14:textId="77777777" w:rsidR="00945BA7" w:rsidRDefault="00945BA7" w:rsidP="00945BA7">
      <w:pPr>
        <w:pStyle w:val="NoSpacing"/>
        <w:rPr>
          <w:bCs/>
        </w:rPr>
      </w:pPr>
    </w:p>
    <w:p w14:paraId="6846A33C" w14:textId="77777777" w:rsidR="00945BA7" w:rsidRDefault="00945BA7" w:rsidP="00945BA7">
      <w:pPr>
        <w:pStyle w:val="NoSpacing"/>
      </w:pPr>
      <w:r>
        <w:t>THE COURT WROTE:  “</w:t>
      </w:r>
      <w:r w:rsidRPr="00996DD0">
        <w:t>Craig Burkett, a fire captain, was on the Jefferson Parish Fire Civil</w:t>
      </w:r>
      <w:r>
        <w:t xml:space="preserve"> </w:t>
      </w:r>
      <w:r w:rsidRPr="00996DD0">
        <w:t>Service Board (</w:t>
      </w:r>
      <w:r>
        <w:t>‘</w:t>
      </w:r>
      <w:r w:rsidRPr="00996DD0">
        <w:t>CSB</w:t>
      </w:r>
      <w:r>
        <w:t>’</w:t>
      </w:r>
      <w:r w:rsidRPr="00996DD0">
        <w:t>) and served as the Vice President of the Jefferson</w:t>
      </w:r>
      <w:r>
        <w:t xml:space="preserve"> </w:t>
      </w:r>
      <w:r w:rsidRPr="00996DD0">
        <w:t>Parish Firefighters Association, Local 1374 (</w:t>
      </w:r>
      <w:r>
        <w:t>‘</w:t>
      </w:r>
      <w:r w:rsidRPr="00996DD0">
        <w:t>the Union</w:t>
      </w:r>
      <w:r>
        <w:t>’</w:t>
      </w:r>
      <w:r w:rsidRPr="00996DD0">
        <w:t>), a union representing Burkett’s fire department. Before Burkett’s election to the CSB, the</w:t>
      </w:r>
      <w:r>
        <w:t xml:space="preserve"> </w:t>
      </w:r>
      <w:r w:rsidRPr="00996DD0">
        <w:t>Union would pay to retain legal counsel for Union members appearing before</w:t>
      </w:r>
      <w:r>
        <w:t xml:space="preserve"> </w:t>
      </w:r>
      <w:r w:rsidRPr="00996DD0">
        <w:t>the CSB. The Union stopped paying for legal counsel in 2018 because the</w:t>
      </w:r>
      <w:r>
        <w:t xml:space="preserve"> </w:t>
      </w:r>
      <w:r w:rsidRPr="00996DD0">
        <w:t>Louisiana Board of Ethics issued an advisory opinion stating that such an</w:t>
      </w:r>
      <w:r>
        <w:t xml:space="preserve"> </w:t>
      </w:r>
      <w:r w:rsidRPr="00996DD0">
        <w:t>arrangement violated state law so long as Burkett served on the CSB</w:t>
      </w:r>
      <w:r>
        <w:t>…. T</w:t>
      </w:r>
      <w:r w:rsidRPr="006307DD">
        <w:t>he Union appealed to the Louisiana First Circuit Court of Appeal, asserting that the declaratory opinion misinterpreted</w:t>
      </w:r>
      <w:r>
        <w:t xml:space="preserve"> </w:t>
      </w:r>
      <w:r w:rsidRPr="006307DD">
        <w:t>the relevant provision of Louisiana law; the Union then sued in federal court,</w:t>
      </w:r>
      <w:r>
        <w:t xml:space="preserve"> </w:t>
      </w:r>
      <w:r w:rsidRPr="006307DD">
        <w:t>asserting that the declaratory opinion violated its First Amendment rights</w:t>
      </w:r>
      <w:r>
        <w:t xml:space="preserve">. </w:t>
      </w:r>
      <w:r w:rsidRPr="00996DD0">
        <w:t>The district court granted the Union a preliminary injunction on First</w:t>
      </w:r>
      <w:r>
        <w:t xml:space="preserve"> </w:t>
      </w:r>
      <w:r w:rsidRPr="00996DD0">
        <w:t>Amendment grounds</w:t>
      </w:r>
      <w:r>
        <w:t xml:space="preserve"> … </w:t>
      </w:r>
      <w:r w:rsidRPr="00996DD0">
        <w:t>The state appealed, claiming that the district court</w:t>
      </w:r>
      <w:r>
        <w:t xml:space="preserve"> </w:t>
      </w:r>
      <w:r w:rsidRPr="00996DD0">
        <w:t>erred in failing to abstain and that the court abused its discretion in granting</w:t>
      </w:r>
      <w:r>
        <w:t xml:space="preserve"> </w:t>
      </w:r>
      <w:r w:rsidRPr="00996DD0">
        <w:t>the preliminary injunction</w:t>
      </w:r>
      <w:r>
        <w:t xml:space="preserve">…. </w:t>
      </w:r>
      <w:r w:rsidRPr="008A1FCD">
        <w:t>On the eve of oral argument, this court was informed that Burkett had</w:t>
      </w:r>
      <w:r>
        <w:t xml:space="preserve"> </w:t>
      </w:r>
      <w:r w:rsidRPr="008A1FCD">
        <w:t>resigned from the CSB. That factual development moots the appeal and the</w:t>
      </w:r>
      <w:r>
        <w:t xml:space="preserve"> </w:t>
      </w:r>
      <w:r w:rsidRPr="008A1FCD">
        <w:t xml:space="preserve">entire case. </w:t>
      </w:r>
    </w:p>
    <w:p w14:paraId="78F12D34" w14:textId="77777777" w:rsidR="00945BA7" w:rsidRDefault="00945BA7" w:rsidP="00945BA7">
      <w:pPr>
        <w:pStyle w:val="NoSpacing"/>
      </w:pPr>
    </w:p>
    <w:p w14:paraId="5760201F" w14:textId="77777777" w:rsidR="00945BA7" w:rsidRDefault="00945BA7" w:rsidP="00945BA7">
      <w:pPr>
        <w:pStyle w:val="NoSpacing"/>
      </w:pPr>
      <w:r>
        <w:t>***</w:t>
      </w:r>
    </w:p>
    <w:p w14:paraId="1DBD2566" w14:textId="77777777" w:rsidR="00945BA7" w:rsidRDefault="00945BA7" w:rsidP="00945BA7">
      <w:pPr>
        <w:pStyle w:val="NoSpacing"/>
      </w:pPr>
    </w:p>
    <w:p w14:paraId="7C506F40" w14:textId="77777777" w:rsidR="00945BA7" w:rsidRDefault="00945BA7" w:rsidP="00945BA7">
      <w:pPr>
        <w:pStyle w:val="NoSpacing"/>
      </w:pPr>
      <w:r w:rsidRPr="008A1FCD">
        <w:t>We vacate the injunction and remand to the district court to dismiss for want of jurisdiction</w:t>
      </w:r>
      <w:r>
        <w:t>….At a minimum, there is no reasonable expectation that the Union will be subjected to the same action again. There is no evidence in the record that an officer of the Union ever held office on the CSB before Burkett, and there has been no indication that an officer of the Union intends to serve on the CSB again. On these facts, all that the Union has shown is a theoretical possibility that it will be subject to the same governmental action.”</w:t>
      </w:r>
    </w:p>
    <w:p w14:paraId="34C8E91B" w14:textId="77777777" w:rsidR="00945BA7" w:rsidRDefault="00945BA7" w:rsidP="00945BA7">
      <w:pPr>
        <w:pStyle w:val="NoSpacing"/>
        <w:rPr>
          <w:b/>
        </w:rPr>
      </w:pPr>
    </w:p>
    <w:p w14:paraId="1AA37838" w14:textId="77777777" w:rsidR="00945BA7" w:rsidRPr="00E16F2F" w:rsidRDefault="00945BA7" w:rsidP="00945BA7">
      <w:pPr>
        <w:pStyle w:val="NoSpacing"/>
        <w:rPr>
          <w:b/>
          <w:bCs/>
        </w:rPr>
      </w:pPr>
      <w:r>
        <w:rPr>
          <w:b/>
        </w:rPr>
        <w:t xml:space="preserve">Legal lesson learned: Union VPs election to Civil Service Board that hears disciplinary appeals raises ethics issues. </w:t>
      </w:r>
    </w:p>
    <w:p w14:paraId="0C47B3CB" w14:textId="77777777" w:rsidR="00945BA7" w:rsidRDefault="00945BA7" w:rsidP="00945BA7">
      <w:pPr>
        <w:pStyle w:val="NoSpacing"/>
      </w:pPr>
    </w:p>
    <w:p w14:paraId="35C9361C" w14:textId="77777777" w:rsidR="00945BA7" w:rsidRPr="008A1FCD" w:rsidRDefault="00945BA7" w:rsidP="00945BA7">
      <w:pPr>
        <w:pStyle w:val="NoSpacing"/>
      </w:pPr>
    </w:p>
    <w:p w14:paraId="032D8EF7" w14:textId="77777777" w:rsidR="00945BA7" w:rsidRDefault="00945BA7" w:rsidP="00945BA7">
      <w:pPr>
        <w:pStyle w:val="NoSpacing"/>
        <w:rPr>
          <w:b/>
        </w:rPr>
      </w:pPr>
    </w:p>
    <w:p w14:paraId="05D25574" w14:textId="77777777" w:rsidR="00945BA7" w:rsidRDefault="00945BA7" w:rsidP="00945BA7">
      <w:pPr>
        <w:pStyle w:val="NoSpacing"/>
        <w:rPr>
          <w:b/>
        </w:rPr>
      </w:pPr>
    </w:p>
    <w:p w14:paraId="30BFE374" w14:textId="5ACDF16E" w:rsidR="00945BA7" w:rsidRPr="00945BA7" w:rsidRDefault="00945BA7" w:rsidP="00945BA7">
      <w:pPr>
        <w:pStyle w:val="NoSpacing"/>
        <w:rPr>
          <w:rFonts w:ascii="Arial Black" w:hAnsi="Arial Black"/>
          <w:sz w:val="24"/>
          <w:szCs w:val="24"/>
        </w:rPr>
      </w:pPr>
      <w:r w:rsidRPr="00945BA7">
        <w:rPr>
          <w:rFonts w:ascii="Arial Black" w:hAnsi="Arial Black"/>
          <w:sz w:val="24"/>
          <w:szCs w:val="24"/>
        </w:rPr>
        <w:t>17-64</w:t>
      </w:r>
    </w:p>
    <w:p w14:paraId="798B908A" w14:textId="77777777" w:rsidR="00945BA7" w:rsidRDefault="00945BA7" w:rsidP="00945BA7">
      <w:pPr>
        <w:pStyle w:val="NoSpacing"/>
      </w:pPr>
    </w:p>
    <w:p w14:paraId="4C85B860" w14:textId="77777777" w:rsidR="00945BA7" w:rsidRPr="00E37B00" w:rsidRDefault="00945BA7" w:rsidP="00945BA7">
      <w:pPr>
        <w:pStyle w:val="NoSpacing"/>
        <w:rPr>
          <w:rFonts w:ascii="Arial Black" w:hAnsi="Arial Black"/>
          <w:sz w:val="28"/>
          <w:szCs w:val="28"/>
        </w:rPr>
      </w:pPr>
      <w:r w:rsidRPr="00E37B00">
        <w:rPr>
          <w:rFonts w:ascii="Arial Black" w:hAnsi="Arial Black"/>
          <w:sz w:val="28"/>
          <w:szCs w:val="28"/>
        </w:rPr>
        <w:t xml:space="preserve">CA: UNION FF – CRASH / 2 DAY SUSP – </w:t>
      </w:r>
      <w:r>
        <w:rPr>
          <w:rFonts w:ascii="Arial Black" w:hAnsi="Arial Black"/>
          <w:sz w:val="28"/>
          <w:szCs w:val="28"/>
        </w:rPr>
        <w:t>1</w:t>
      </w:r>
      <w:r w:rsidRPr="002C0EBB">
        <w:rPr>
          <w:rFonts w:ascii="Arial Black" w:hAnsi="Arial Black"/>
          <w:sz w:val="28"/>
          <w:szCs w:val="28"/>
          <w:vertAlign w:val="superscript"/>
        </w:rPr>
        <w:t>st</w:t>
      </w:r>
      <w:r>
        <w:rPr>
          <w:rFonts w:ascii="Arial Black" w:hAnsi="Arial Black"/>
          <w:sz w:val="28"/>
          <w:szCs w:val="28"/>
        </w:rPr>
        <w:t xml:space="preserve"> </w:t>
      </w:r>
      <w:r w:rsidRPr="00E37B00">
        <w:rPr>
          <w:rFonts w:ascii="Arial Black" w:hAnsi="Arial Black"/>
          <w:sz w:val="28"/>
          <w:szCs w:val="28"/>
        </w:rPr>
        <w:t xml:space="preserve">APPEAL BOARD </w:t>
      </w:r>
    </w:p>
    <w:p w14:paraId="40FF0F8B" w14:textId="77777777" w:rsidR="00945BA7" w:rsidRDefault="00945BA7" w:rsidP="00945BA7">
      <w:pPr>
        <w:pStyle w:val="NoSpacing"/>
        <w:rPr>
          <w:rFonts w:ascii="Arial Black" w:hAnsi="Arial Black"/>
          <w:sz w:val="28"/>
          <w:szCs w:val="28"/>
        </w:rPr>
      </w:pPr>
    </w:p>
    <w:p w14:paraId="14042B14" w14:textId="77777777" w:rsidR="00945BA7" w:rsidRPr="0056766E" w:rsidRDefault="00945BA7" w:rsidP="00945BA7">
      <w:pPr>
        <w:pStyle w:val="NoSpacing"/>
        <w:rPr>
          <w:bCs/>
        </w:rPr>
      </w:pPr>
      <w:r>
        <w:t xml:space="preserve">On July 8, 2026, in </w:t>
      </w:r>
      <w:r w:rsidRPr="002C6D8B">
        <w:rPr>
          <w:u w:val="single"/>
        </w:rPr>
        <w:t>Corey Schwartz v. City of Compton</w:t>
      </w:r>
      <w:r>
        <w:t xml:space="preserve">, the </w:t>
      </w:r>
      <w:r w:rsidRPr="002C6D8B">
        <w:t>California Court of Appeals, Second District, Fourth Division</w:t>
      </w:r>
      <w:r>
        <w:t xml:space="preserve"> held (3 to 0; unpublished decision) that trial court properly dismissed his “whistleblower” retaliation complaint until he first exhausts his administrative remedy by filing a charge with the state’s Public Employment Relations Board.  In 2022, he helped </w:t>
      </w:r>
      <w:r w:rsidRPr="00511D76">
        <w:t>IAFF Local 2216</w:t>
      </w:r>
      <w:r>
        <w:t xml:space="preserve"> write a report on needed Station Repairs, and then led union picketing, and in March 2023 </w:t>
      </w:r>
      <w:r>
        <w:lastRenderedPageBreak/>
        <w:t xml:space="preserve">contacted city officials about working conditions. </w:t>
      </w:r>
      <w:r w:rsidRPr="0056766E">
        <w:t>The following</w:t>
      </w:r>
      <w:r>
        <w:t xml:space="preserve"> </w:t>
      </w:r>
      <w:r w:rsidRPr="0056766E">
        <w:t>month, the City issued Schwartz a Notice of Intent to Suspend</w:t>
      </w:r>
      <w:r>
        <w:t xml:space="preserve"> </w:t>
      </w:r>
      <w:r w:rsidRPr="0056766E">
        <w:t xml:space="preserve">Schwartz for two shifts without pay in relation to </w:t>
      </w:r>
      <w:proofErr w:type="gramStart"/>
      <w:r w:rsidRPr="0056766E">
        <w:t>a traffic</w:t>
      </w:r>
      <w:proofErr w:type="gramEnd"/>
    </w:p>
    <w:p w14:paraId="7EF56119" w14:textId="77777777" w:rsidR="00945BA7" w:rsidRDefault="00945BA7" w:rsidP="00945BA7">
      <w:pPr>
        <w:pStyle w:val="NoSpacing"/>
        <w:rPr>
          <w:bCs/>
        </w:rPr>
      </w:pPr>
      <w:r w:rsidRPr="0056766E">
        <w:t>collision involving a Fire Department vehicle</w:t>
      </w:r>
      <w:r>
        <w:t xml:space="preserve">. </w:t>
      </w:r>
      <w:hyperlink r:id="rId2808" w:history="1">
        <w:r w:rsidRPr="00841548">
          <w:rPr>
            <w:rStyle w:val="Hyperlink"/>
          </w:rPr>
          <w:t>https://www4.courts.ca.gov/opinions/nonpub/B347429.PDF</w:t>
        </w:r>
      </w:hyperlink>
      <w:r>
        <w:t xml:space="preserve"> </w:t>
      </w:r>
    </w:p>
    <w:p w14:paraId="269AFD2F" w14:textId="77777777" w:rsidR="00945BA7" w:rsidRDefault="00945BA7" w:rsidP="00945BA7">
      <w:pPr>
        <w:pStyle w:val="NoSpacing"/>
        <w:rPr>
          <w:bCs/>
        </w:rPr>
      </w:pPr>
    </w:p>
    <w:p w14:paraId="22EFCCB7" w14:textId="77777777" w:rsidR="00945BA7" w:rsidRPr="002C6D8B" w:rsidRDefault="00945BA7" w:rsidP="00945BA7">
      <w:pPr>
        <w:pStyle w:val="NoSpacing"/>
        <w:rPr>
          <w:bCs/>
        </w:rPr>
      </w:pPr>
      <w:r>
        <w:t>THE COURT WROTE:</w:t>
      </w:r>
    </w:p>
    <w:p w14:paraId="648D5DBF" w14:textId="77777777" w:rsidR="00945BA7" w:rsidRPr="002C6D8B" w:rsidRDefault="00945BA7" w:rsidP="00945BA7">
      <w:pPr>
        <w:pStyle w:val="NoSpacing"/>
        <w:rPr>
          <w:bCs/>
        </w:rPr>
      </w:pPr>
    </w:p>
    <w:p w14:paraId="1E525D5A" w14:textId="77777777" w:rsidR="00945BA7" w:rsidRDefault="00945BA7" w:rsidP="00945BA7">
      <w:pPr>
        <w:pStyle w:val="NoSpacing"/>
      </w:pPr>
      <w:r>
        <w:t>“Schwartz next argues PERB does not have jurisdiction over his action because PERB ‘does not enforce other independent statutory schemes,’ such as Labor Code section 1102.5 [whistleblower statute]. This argument misses the point. The question is whether the factual allegations underlying Schwartz’s claims could arguably support a claim under the MMBA [unfair labor complaints - M</w:t>
      </w:r>
      <w:r w:rsidRPr="00654420">
        <w:t>eyers-Milias-Brown Act, Government Code section 3500 et seq</w:t>
      </w:r>
      <w:r>
        <w:t>,] not whether PERB specifically enforces claims under Labor Code 1102.5…. Schwartz lastly argues that filing a charge with PERB would be futile because PERB is “not equipped to deal with interpretations of ‘independent statutory schemes’ such as Labor Code section 1102.5 and, therefore, Schwartz will be left with ‘inadequate remedies.’ But PERB has jurisdiction to hear claims under the MMBA; thus, Schwartz has an effective remedy before PERB for retaliation for participation in protected union activities even if the same alleged conduct may support a claim for whistleblower retaliation under Labor Code section 1102.5. If PERB ultimately concludes the allegations do not, in fact, state a prima facie case of retaliation under the MMBA, the complainant may then file a complaint in the superior court. He must first, however, exhaust his administrative remedies.”</w:t>
      </w:r>
    </w:p>
    <w:p w14:paraId="58D40DED" w14:textId="77777777" w:rsidR="00945BA7" w:rsidRDefault="00945BA7" w:rsidP="00945BA7">
      <w:pPr>
        <w:pStyle w:val="NoSpacing"/>
      </w:pPr>
    </w:p>
    <w:p w14:paraId="5A271AD5" w14:textId="77777777" w:rsidR="00945BA7" w:rsidRDefault="00945BA7" w:rsidP="00945BA7">
      <w:pPr>
        <w:pStyle w:val="NoSpacing"/>
        <w:rPr>
          <w:b/>
          <w:bCs/>
        </w:rPr>
      </w:pPr>
      <w:r>
        <w:rPr>
          <w:b/>
        </w:rPr>
        <w:t xml:space="preserve">Legal lesson learned: The Union officer must exhaust his administrative remedies before going to court claiming retaliation as a whistleblower. </w:t>
      </w:r>
    </w:p>
    <w:p w14:paraId="683BF815" w14:textId="77777777" w:rsidR="002C229D" w:rsidRDefault="002C229D" w:rsidP="00171FE4">
      <w:pPr>
        <w:pStyle w:val="NoSpacing"/>
        <w:rPr>
          <w:rFonts w:ascii="Arial Black" w:hAnsi="Arial Black"/>
          <w:sz w:val="24"/>
          <w:szCs w:val="24"/>
        </w:rPr>
      </w:pPr>
    </w:p>
    <w:p w14:paraId="78997E5C" w14:textId="77777777" w:rsidR="002C229D" w:rsidRDefault="002C229D" w:rsidP="00171FE4">
      <w:pPr>
        <w:pStyle w:val="NoSpacing"/>
        <w:rPr>
          <w:rFonts w:ascii="Arial Black" w:hAnsi="Arial Black"/>
          <w:sz w:val="24"/>
          <w:szCs w:val="24"/>
        </w:rPr>
      </w:pPr>
    </w:p>
    <w:p w14:paraId="734DF2B6" w14:textId="77777777" w:rsidR="002C229D" w:rsidRDefault="002C229D" w:rsidP="00171FE4">
      <w:pPr>
        <w:pStyle w:val="NoSpacing"/>
        <w:rPr>
          <w:rFonts w:ascii="Arial Black" w:hAnsi="Arial Black"/>
          <w:sz w:val="24"/>
          <w:szCs w:val="24"/>
        </w:rPr>
      </w:pPr>
    </w:p>
    <w:p w14:paraId="205EB846" w14:textId="339196AB" w:rsidR="00171FE4" w:rsidRDefault="00171FE4" w:rsidP="00171FE4">
      <w:pPr>
        <w:pStyle w:val="NoSpacing"/>
        <w:rPr>
          <w:rFonts w:ascii="Arial Black" w:hAnsi="Arial Black"/>
          <w:sz w:val="24"/>
          <w:szCs w:val="24"/>
        </w:rPr>
      </w:pPr>
      <w:r>
        <w:rPr>
          <w:rFonts w:ascii="Arial Black" w:hAnsi="Arial Black"/>
          <w:sz w:val="24"/>
          <w:szCs w:val="24"/>
        </w:rPr>
        <w:t>17-63</w:t>
      </w:r>
    </w:p>
    <w:p w14:paraId="1AF76808" w14:textId="77777777" w:rsidR="00171FE4" w:rsidRDefault="00171FE4" w:rsidP="0022286E">
      <w:pPr>
        <w:pStyle w:val="NoSpacing"/>
        <w:rPr>
          <w:rFonts w:ascii="Arial Black" w:hAnsi="Arial Black"/>
          <w:b/>
          <w:sz w:val="28"/>
          <w:szCs w:val="28"/>
        </w:rPr>
      </w:pPr>
    </w:p>
    <w:p w14:paraId="133B99C6" w14:textId="0AE554EB" w:rsidR="0022286E" w:rsidRDefault="0022286E" w:rsidP="0022286E">
      <w:pPr>
        <w:pStyle w:val="NoSpacing"/>
        <w:rPr>
          <w:rFonts w:ascii="Arial Black" w:hAnsi="Arial Black"/>
          <w:b/>
          <w:sz w:val="28"/>
          <w:szCs w:val="28"/>
        </w:rPr>
      </w:pPr>
      <w:r>
        <w:rPr>
          <w:rFonts w:ascii="Arial Black" w:hAnsi="Arial Black"/>
          <w:b/>
          <w:sz w:val="28"/>
          <w:szCs w:val="28"/>
        </w:rPr>
        <w:t xml:space="preserve">CO: FIRE CHIEF – IMMUNITY – FIRED IAFF PRES. PER CBA </w:t>
      </w:r>
    </w:p>
    <w:p w14:paraId="7086F8D3" w14:textId="77777777" w:rsidR="0022286E" w:rsidRDefault="0022286E" w:rsidP="0022286E">
      <w:pPr>
        <w:pStyle w:val="NoSpacing"/>
        <w:rPr>
          <w:rFonts w:ascii="Arial Black" w:hAnsi="Arial Black"/>
          <w:b/>
          <w:sz w:val="28"/>
          <w:szCs w:val="28"/>
        </w:rPr>
      </w:pPr>
    </w:p>
    <w:p w14:paraId="0504A3D4" w14:textId="77777777" w:rsidR="0022286E" w:rsidRDefault="0022286E" w:rsidP="0022286E">
      <w:pPr>
        <w:pStyle w:val="NoSpacing"/>
        <w:rPr>
          <w:bCs/>
        </w:rPr>
      </w:pPr>
      <w:r>
        <w:t xml:space="preserve">On June 22, 2026, in </w:t>
      </w:r>
      <w:r w:rsidRPr="0072211A">
        <w:rPr>
          <w:u w:val="single"/>
        </w:rPr>
        <w:t>Benjamin Carter v. David Beebe</w:t>
      </w:r>
      <w:r>
        <w:t>, the United States Court of Appeals for the Tenth Circuit (Denver) held (3 to 0) that trial court should have dismissed this lawsuit against Fire Chief David Meebe; the Chief followed the collective bargaining agreement, investigated “confrontational” conduct of Union President who was upset that a new recruit (</w:t>
      </w:r>
      <w:r w:rsidRPr="007C2593">
        <w:t>Jehovah’s Witness</w:t>
      </w:r>
      <w:r>
        <w:t xml:space="preserve">) received a uniform without the American flag as a religious accommodation, and fired the firefighter without a hearing. The CBA did not require the FD to provide a </w:t>
      </w:r>
      <w:r w:rsidRPr="001E1D22">
        <w:rPr>
          <w:i/>
          <w:iCs/>
        </w:rPr>
        <w:t xml:space="preserve">Loudermill </w:t>
      </w:r>
      <w:r>
        <w:t>hearing [</w:t>
      </w:r>
      <w:r w:rsidRPr="0043758B">
        <w:rPr>
          <w:u w:val="single"/>
        </w:rPr>
        <w:t>Cleveland Board of Education v. James Loudremill,</w:t>
      </w:r>
      <w:r>
        <w:t xml:space="preserve"> March 19, 1985], and therefore the Fire Chief enjoys qualified immunity. The Court wrote: “And because he has not met his burden of establishing that Chief Beebe violated clearly established constitutional law, Chief Beebe is entitled to qualified immunity on Mr. Carter’s procedural due process claim.”</w:t>
      </w:r>
    </w:p>
    <w:p w14:paraId="1E0DA228" w14:textId="77777777" w:rsidR="0022286E" w:rsidRPr="00A363EA" w:rsidRDefault="0022286E" w:rsidP="0022286E">
      <w:pPr>
        <w:pStyle w:val="NoSpacing"/>
        <w:rPr>
          <w:bCs/>
        </w:rPr>
      </w:pPr>
      <w:hyperlink r:id="rId2809" w:history="1">
        <w:r w:rsidRPr="00014504">
          <w:rPr>
            <w:rStyle w:val="Hyperlink"/>
          </w:rPr>
          <w:t>https://cases.justia.com/federal/appellate-courts/ca10/25-1424/25-1424-2026-06-22.pdf?ts=1782145915</w:t>
        </w:r>
      </w:hyperlink>
      <w:r>
        <w:t xml:space="preserve">  </w:t>
      </w:r>
    </w:p>
    <w:p w14:paraId="0C129D78" w14:textId="77777777" w:rsidR="0022286E" w:rsidRDefault="0022286E" w:rsidP="0022286E">
      <w:pPr>
        <w:pStyle w:val="NoSpacing"/>
        <w:rPr>
          <w:b/>
        </w:rPr>
      </w:pPr>
    </w:p>
    <w:p w14:paraId="412FBC44" w14:textId="77777777" w:rsidR="0022286E" w:rsidRDefault="0022286E" w:rsidP="0022286E">
      <w:pPr>
        <w:pStyle w:val="NoSpacing"/>
        <w:rPr>
          <w:b/>
        </w:rPr>
      </w:pPr>
      <w:r w:rsidRPr="00246EB8">
        <w:rPr>
          <w:b/>
        </w:rPr>
        <w:t xml:space="preserve">FACTS: </w:t>
      </w:r>
    </w:p>
    <w:p w14:paraId="5F5654F8" w14:textId="77777777" w:rsidR="0022286E" w:rsidRDefault="0022286E" w:rsidP="0022286E">
      <w:pPr>
        <w:pStyle w:val="NoSpacing"/>
        <w:rPr>
          <w:b/>
        </w:rPr>
      </w:pPr>
    </w:p>
    <w:p w14:paraId="0E0686E3" w14:textId="77777777" w:rsidR="0022286E" w:rsidRDefault="0022286E" w:rsidP="0022286E">
      <w:pPr>
        <w:pStyle w:val="NoSpacing"/>
      </w:pPr>
      <w:r>
        <w:t>“Mr. Carter began working for MVFPD in 2009….Since then, he has been a member of Mountain View Professional Firefighters, Local 3214, International Association of Firefighters (the ‘Union’)…. He has served on the Union’s executive board since 2012 and was elected Union President on January 1, 2023…. ‘Mr. Carter was the Union’s lead negotiator’ and a signatory ‘on the CBA that governed’ his termination.</w:t>
      </w:r>
    </w:p>
    <w:p w14:paraId="2B716F4F" w14:textId="77777777" w:rsidR="0022286E" w:rsidRDefault="0022286E" w:rsidP="0022286E">
      <w:pPr>
        <w:pStyle w:val="NoSpacing"/>
      </w:pPr>
    </w:p>
    <w:p w14:paraId="39C7F00F" w14:textId="77777777" w:rsidR="0022286E" w:rsidRDefault="0022286E" w:rsidP="0022286E">
      <w:pPr>
        <w:pStyle w:val="NoSpacing"/>
      </w:pPr>
      <w:r>
        <w:t>***</w:t>
      </w:r>
    </w:p>
    <w:p w14:paraId="4651386E" w14:textId="77777777" w:rsidR="0022286E" w:rsidRDefault="0022286E" w:rsidP="0022286E">
      <w:pPr>
        <w:pStyle w:val="NoSpacing"/>
      </w:pPr>
      <w:r>
        <w:t>The CBA provides that Union members may be discharged only for ‘just cause.’ … It outlines the process MVFPD officials must follow to terminate an employee….It ‘does not include a right to a post-termination hearing’ and says that the Fire Chief is the final decisionmaker on all disciplinary matters.</w:t>
      </w:r>
    </w:p>
    <w:p w14:paraId="34EEAAA7" w14:textId="77777777" w:rsidR="0022286E" w:rsidRDefault="0022286E" w:rsidP="0022286E">
      <w:pPr>
        <w:pStyle w:val="NoSpacing"/>
      </w:pPr>
    </w:p>
    <w:p w14:paraId="4315A894" w14:textId="77777777" w:rsidR="0022286E" w:rsidRDefault="0022286E" w:rsidP="0022286E">
      <w:pPr>
        <w:pStyle w:val="NoSpacing"/>
      </w:pPr>
      <w:r>
        <w:lastRenderedPageBreak/>
        <w:t>In January 2023, Mr. Carter was upset to learn that a new MVFPD recruit asked not to have an American flag on his gear…. He expressed frustration to higher-ranking MVFPD employees and Human Resources…. One Human Resources employee described Mr. Carter’s comments as ‘unnecessarily confrontational, dismissive, and belittling.’ … After learning that the recruit’s request was for a religious accommodation, Mr. Carter shared that information with 14 other MVFPD employees and made ‘negative and potentially harassing’ comments.</w:t>
      </w:r>
    </w:p>
    <w:p w14:paraId="30F0FC6D" w14:textId="77777777" w:rsidR="0022286E" w:rsidRDefault="0022286E" w:rsidP="0022286E">
      <w:pPr>
        <w:pStyle w:val="NoSpacing"/>
      </w:pPr>
    </w:p>
    <w:p w14:paraId="2810A017" w14:textId="77777777" w:rsidR="0022286E" w:rsidRDefault="0022286E" w:rsidP="0022286E">
      <w:pPr>
        <w:pStyle w:val="NoSpacing"/>
      </w:pPr>
      <w:r>
        <w:t>In February 2023, Chief Beebe placed Mr. Carter on administrative leave and initiated an investigation into his conduct…. After following the CBA’s disciplinary procedures, Chief Beebe fired Mr. Carter…. He did not give Mr. Carter a post-termination hearing.”</w:t>
      </w:r>
    </w:p>
    <w:p w14:paraId="20DA5891" w14:textId="77777777" w:rsidR="0022286E" w:rsidRDefault="0022286E" w:rsidP="0022286E">
      <w:pPr>
        <w:pStyle w:val="NoSpacing"/>
      </w:pPr>
    </w:p>
    <w:p w14:paraId="73846DB7" w14:textId="77777777" w:rsidR="0022286E" w:rsidRDefault="0022286E" w:rsidP="0022286E">
      <w:pPr>
        <w:pStyle w:val="NoSpacing"/>
      </w:pPr>
      <w:r w:rsidRPr="008268FC">
        <w:rPr>
          <w:b/>
        </w:rPr>
        <w:t>COURT HELD</w:t>
      </w:r>
      <w:r>
        <w:t>:</w:t>
      </w:r>
    </w:p>
    <w:p w14:paraId="3A720AC7" w14:textId="77777777" w:rsidR="0022286E" w:rsidRDefault="0022286E" w:rsidP="0022286E">
      <w:pPr>
        <w:pStyle w:val="NoSpacing"/>
      </w:pPr>
    </w:p>
    <w:p w14:paraId="44145387" w14:textId="77777777" w:rsidR="0022286E" w:rsidRDefault="0022286E" w:rsidP="0022286E">
      <w:pPr>
        <w:pStyle w:val="NoSpacing"/>
      </w:pPr>
      <w:r>
        <w:t>“</w:t>
      </w:r>
      <w:r w:rsidRPr="00793C32">
        <w:t>Fire Chief David Beebe fired Benjamin Carter from his position as a firefighter</w:t>
      </w:r>
      <w:r>
        <w:t xml:space="preserve"> </w:t>
      </w:r>
      <w:r w:rsidRPr="00793C32">
        <w:t>with the Mountain View Fire Protection District (</w:t>
      </w:r>
      <w:r>
        <w:t>‘</w:t>
      </w:r>
      <w:r w:rsidRPr="00793C32">
        <w:t>MVFPD</w:t>
      </w:r>
      <w:r>
        <w:t>’</w:t>
      </w:r>
      <w:r w:rsidRPr="00793C32">
        <w:t>). In doing so, he followed</w:t>
      </w:r>
      <w:r>
        <w:t xml:space="preserve"> </w:t>
      </w:r>
      <w:r w:rsidRPr="00793C32">
        <w:t xml:space="preserve">the disciplinary process in the collective bargaining </w:t>
      </w:r>
      <w:proofErr w:type="gramStart"/>
      <w:r w:rsidRPr="00793C32">
        <w:t>agreement (</w:t>
      </w:r>
      <w:r>
        <w:t>‘</w:t>
      </w:r>
      <w:proofErr w:type="gramEnd"/>
      <w:r w:rsidRPr="00793C32">
        <w:t>CBA</w:t>
      </w:r>
      <w:r>
        <w:t>’</w:t>
      </w:r>
      <w:r w:rsidRPr="00793C32">
        <w:t>) between Mr. Carter’s union and the MVFPD. Mr. Carter sued Chief Beebe under 42 U.S.C.</w:t>
      </w:r>
      <w:r>
        <w:t xml:space="preserve"> </w:t>
      </w:r>
      <w:r w:rsidRPr="00793C32">
        <w:t>§ 1983 for violating his Fourteenth Amendment right to procedural due process. The</w:t>
      </w:r>
      <w:r>
        <w:t xml:space="preserve"> </w:t>
      </w:r>
      <w:r w:rsidRPr="00793C32">
        <w:t>district court denied Chief Beebe qualified immunity and granted Mr. Carter summary</w:t>
      </w:r>
      <w:r>
        <w:t xml:space="preserve"> </w:t>
      </w:r>
      <w:r w:rsidRPr="00793C32">
        <w:t>judgment. Exercising jurisdiction under 28 U.S.C. § 1291, we reverse</w:t>
      </w:r>
      <w:r>
        <w:t>.</w:t>
      </w:r>
    </w:p>
    <w:p w14:paraId="5AD536B6" w14:textId="77777777" w:rsidR="0022286E" w:rsidRDefault="0022286E" w:rsidP="0022286E">
      <w:pPr>
        <w:pStyle w:val="NoSpacing"/>
      </w:pPr>
    </w:p>
    <w:p w14:paraId="40A0C7B2" w14:textId="77777777" w:rsidR="0022286E" w:rsidRDefault="0022286E" w:rsidP="0022286E">
      <w:pPr>
        <w:pStyle w:val="NoSpacing"/>
      </w:pPr>
      <w:r>
        <w:t>***</w:t>
      </w:r>
    </w:p>
    <w:p w14:paraId="7319E0DC" w14:textId="77777777" w:rsidR="0022286E" w:rsidRDefault="0022286E" w:rsidP="0022286E">
      <w:pPr>
        <w:pStyle w:val="NoSpacing"/>
      </w:pPr>
      <w:r>
        <w:t xml:space="preserve">Mr. Carter has not cited a Supreme Court, Tenth Circuit, or other circuit case that has applied </w:t>
      </w:r>
      <w:r w:rsidRPr="008726EA">
        <w:rPr>
          <w:i/>
          <w:iCs/>
        </w:rPr>
        <w:t>Loudermill</w:t>
      </w:r>
      <w:r>
        <w:t xml:space="preserve"> to a CBA. He instead relies on general statements of procedural due process law rather than cases that establish ‘the violative nature of particular conduct’ at issue here. Mullenix, 577 U.S. at 12. A contract between the union and the public employer is not the same as a state statute. Mr. Carter therefore has not shown that ‘every reasonable official would have understood’ that the CBA, a contractually bargained-for disciplinary procedure, violated the Constitution. Redmond v. Crowther,</w:t>
      </w:r>
      <w:r w:rsidRPr="009F6B33">
        <w:t xml:space="preserve"> </w:t>
      </w:r>
      <w:r>
        <w:t>882 F.3d 927, 935 (10th Cir. 2018) (quotations omitted).5 And because he has not met his burden of establishing that Chief Beebe violated clearly established constitutional law, Chief Beebe is entitled to qualified immunity on Mr. Carter’s procedural due process claim.”</w:t>
      </w:r>
    </w:p>
    <w:p w14:paraId="42D45906" w14:textId="77777777" w:rsidR="0022286E" w:rsidRPr="009204D5" w:rsidRDefault="0022286E" w:rsidP="0022286E">
      <w:pPr>
        <w:pStyle w:val="NoSpacing"/>
        <w:rPr>
          <w:b/>
          <w:bCs/>
        </w:rPr>
      </w:pPr>
    </w:p>
    <w:p w14:paraId="676813D1" w14:textId="77777777" w:rsidR="0022286E" w:rsidRPr="00F53AA1" w:rsidRDefault="0022286E" w:rsidP="0022286E">
      <w:pPr>
        <w:pStyle w:val="NoSpacing"/>
        <w:rPr>
          <w:b/>
          <w:bCs/>
        </w:rPr>
      </w:pPr>
      <w:r w:rsidRPr="00F53AA1">
        <w:rPr>
          <w:b/>
        </w:rPr>
        <w:t xml:space="preserve">Legal lesson learned: CBA did not require </w:t>
      </w:r>
      <w:r w:rsidRPr="00F53AA1">
        <w:rPr>
          <w:b/>
          <w:i/>
          <w:iCs/>
        </w:rPr>
        <w:t xml:space="preserve">Loudermill </w:t>
      </w:r>
      <w:r w:rsidRPr="00F53AA1">
        <w:rPr>
          <w:b/>
        </w:rPr>
        <w:t xml:space="preserve">pre-termination or pos-termination hearing. However, providing a “due process” hearing can avoid unnecessary litigation. </w:t>
      </w:r>
    </w:p>
    <w:p w14:paraId="1ECD348F" w14:textId="77777777" w:rsidR="0022286E" w:rsidRPr="00F53AA1" w:rsidRDefault="0022286E" w:rsidP="0022286E">
      <w:pPr>
        <w:pStyle w:val="NoSpacing"/>
        <w:rPr>
          <w:b/>
          <w:bCs/>
          <w:i/>
          <w:iCs/>
        </w:rPr>
      </w:pPr>
    </w:p>
    <w:p w14:paraId="4166208D" w14:textId="77777777" w:rsidR="0022286E" w:rsidRPr="007C2593" w:rsidRDefault="0022286E" w:rsidP="0022286E">
      <w:pPr>
        <w:pStyle w:val="NoSpacing"/>
        <w:ind w:left="720"/>
      </w:pPr>
      <w:r>
        <w:t xml:space="preserve">Note: See this June 22, </w:t>
      </w:r>
      <w:proofErr w:type="gramStart"/>
      <w:r>
        <w:t>2026</w:t>
      </w:r>
      <w:proofErr w:type="gramEnd"/>
      <w:r>
        <w:t xml:space="preserve"> article: “1</w:t>
      </w:r>
      <w:r w:rsidRPr="00C77494">
        <w:t>0th Circuit grants Boulder-Weld district’s fire chief immunity for firing union leader</w:t>
      </w:r>
      <w:r>
        <w:t xml:space="preserve">.” </w:t>
      </w:r>
      <w:r w:rsidRPr="000854AC">
        <w:t>The events that triggered Carter’s termination began on Jan. 30, 2023. At the time, Carter was the newly elected president of the union. Although he was not on duty that day, he went to the station to handle gear for new employees. A supplier was making a delivery and mentioned he received a request to remove the American flag from a specific new hire’s protective equipment.</w:t>
      </w:r>
      <w:r>
        <w:t xml:space="preserve"> </w:t>
      </w:r>
      <w:r w:rsidRPr="007C2593">
        <w:t>While multiple people noted in statements that the gear did not have the American flag on it to begin with, Carter reportedly became upset and raised the issue with a captain. He learned that the new employee had requested a religious accommodation as a Jehovah’s Witness, and that Beebe approved it.</w:t>
      </w:r>
      <w:r>
        <w:t xml:space="preserve"> </w:t>
      </w:r>
      <w:r w:rsidRPr="007C2593">
        <w:t xml:space="preserve">Carter, who was under the impression he could speak with others about the issue, discussed </w:t>
      </w:r>
      <w:proofErr w:type="gramStart"/>
      <w:r w:rsidRPr="007C2593">
        <w:t>the religious</w:t>
      </w:r>
      <w:proofErr w:type="gramEnd"/>
      <w:r w:rsidRPr="007C2593">
        <w:t xml:space="preserve"> accommodation with around 14 other employees.</w:t>
      </w:r>
      <w:r>
        <w:t xml:space="preserve"> </w:t>
      </w:r>
      <w:r w:rsidRPr="00221F17">
        <w:t>Leadership met on Feb. 6 and decided to investigate Carter’s conduct. The district then placed Carter on administrative leave. The deputy chief spent the month of February investigating and concluded that Carter should be charged with insubordination, the dissemination of confidential information and other misconduct.</w:t>
      </w:r>
      <w:r>
        <w:t>”</w:t>
      </w:r>
      <w:r w:rsidRPr="00523D68">
        <w:t xml:space="preserve"> </w:t>
      </w:r>
      <w:hyperlink r:id="rId2810" w:anchor="google_vignette" w:history="1">
        <w:r w:rsidRPr="00494C21">
          <w:rPr>
            <w:rStyle w:val="Hyperlink"/>
          </w:rPr>
          <w:t>https://www.coloradopolitics.com/2026/06/22/10th-circuit-grants-boulder-weld-districts-fire-chief-immunity-for-firing-union-leader/#google_vignette</w:t>
        </w:r>
      </w:hyperlink>
      <w:r>
        <w:t xml:space="preserve"> </w:t>
      </w:r>
    </w:p>
    <w:p w14:paraId="05FB8975" w14:textId="77777777" w:rsidR="0022286E" w:rsidRPr="00C77494" w:rsidRDefault="0022286E" w:rsidP="0022286E">
      <w:pPr>
        <w:pStyle w:val="NoSpacing"/>
        <w:ind w:left="720"/>
        <w:rPr>
          <w:bCs/>
        </w:rPr>
      </w:pPr>
    </w:p>
    <w:p w14:paraId="1DD504E1" w14:textId="77777777" w:rsidR="0022286E" w:rsidRPr="0043758B" w:rsidRDefault="0022286E" w:rsidP="0022286E">
      <w:pPr>
        <w:pStyle w:val="NoSpacing"/>
        <w:rPr>
          <w:bCs/>
        </w:rPr>
      </w:pPr>
    </w:p>
    <w:p w14:paraId="1028E822" w14:textId="77777777" w:rsidR="0022286E" w:rsidRDefault="0022286E" w:rsidP="0022286E">
      <w:pPr>
        <w:pStyle w:val="NoSpacing"/>
        <w:rPr>
          <w:rFonts w:ascii="Arial Black" w:hAnsi="Arial Black"/>
          <w:b/>
          <w:sz w:val="28"/>
          <w:szCs w:val="28"/>
        </w:rPr>
      </w:pPr>
    </w:p>
    <w:p w14:paraId="3CEDDDE9" w14:textId="3A1320FD" w:rsidR="00171FE4" w:rsidRDefault="00171FE4" w:rsidP="00171FE4">
      <w:pPr>
        <w:pStyle w:val="NoSpacing"/>
        <w:rPr>
          <w:rFonts w:ascii="Arial Black" w:hAnsi="Arial Black"/>
          <w:sz w:val="24"/>
          <w:szCs w:val="24"/>
        </w:rPr>
      </w:pPr>
      <w:r>
        <w:rPr>
          <w:rFonts w:ascii="Arial Black" w:hAnsi="Arial Black"/>
          <w:sz w:val="24"/>
          <w:szCs w:val="24"/>
        </w:rPr>
        <w:t>17-62</w:t>
      </w:r>
    </w:p>
    <w:p w14:paraId="0F57FAD9" w14:textId="77777777" w:rsidR="00171FE4" w:rsidRDefault="00171FE4" w:rsidP="0022286E">
      <w:pPr>
        <w:rPr>
          <w:rFonts w:ascii="Arial Black" w:hAnsi="Arial Black"/>
          <w:b/>
          <w:sz w:val="28"/>
          <w:szCs w:val="28"/>
        </w:rPr>
      </w:pPr>
    </w:p>
    <w:p w14:paraId="127BA30D" w14:textId="698E336E" w:rsidR="0022286E" w:rsidRPr="00443BC5" w:rsidRDefault="0022286E" w:rsidP="0022286E">
      <w:pPr>
        <w:rPr>
          <w:rFonts w:ascii="Arial Black" w:hAnsi="Arial Black"/>
          <w:b/>
          <w:sz w:val="28"/>
          <w:szCs w:val="28"/>
        </w:rPr>
      </w:pPr>
      <w:r>
        <w:rPr>
          <w:rFonts w:ascii="Arial Black" w:hAnsi="Arial Black"/>
          <w:b/>
          <w:sz w:val="28"/>
          <w:szCs w:val="28"/>
        </w:rPr>
        <w:lastRenderedPageBreak/>
        <w:t>NC: UNION PRES. – RETAL – COUNCIL / PUBLIC CONCERN</w:t>
      </w:r>
    </w:p>
    <w:p w14:paraId="2C2AD7CE" w14:textId="77777777" w:rsidR="0022286E" w:rsidRDefault="0022286E" w:rsidP="0022286E">
      <w:pPr>
        <w:rPr>
          <w:b/>
        </w:rPr>
      </w:pPr>
      <w:r>
        <w:t xml:space="preserve">On June 18, 2026, in </w:t>
      </w:r>
      <w:r w:rsidRPr="000A7833">
        <w:rPr>
          <w:u w:val="single"/>
        </w:rPr>
        <w:t>Robert Tempeton v. City of High Point</w:t>
      </w:r>
      <w:r>
        <w:t xml:space="preserve">, U.S. District Court Judge Thomas D. Schroeder, United States District Court for Middle District of North Carolina, denied the </w:t>
      </w:r>
      <w:r w:rsidRPr="00196D0E">
        <w:t xml:space="preserve">motion for summary judgment </w:t>
      </w:r>
      <w:proofErr w:type="gramStart"/>
      <w:r w:rsidRPr="00196D0E">
        <w:t>on the basis of</w:t>
      </w:r>
      <w:proofErr w:type="gramEnd"/>
      <w:r w:rsidRPr="00196D0E">
        <w:t xml:space="preserve"> qualified immunity</w:t>
      </w:r>
      <w:r>
        <w:t xml:space="preserve"> of two members of City Council: </w:t>
      </w:r>
      <w:r w:rsidRPr="00764B00">
        <w:t>Brian Evans, and Thomas Reid</w:t>
      </w:r>
      <w:r>
        <w:t>. There is evidence of retaliation against the President of IAFF Local</w:t>
      </w:r>
      <w:r w:rsidRPr="003E7DA1">
        <w:t xml:space="preserve"> 673</w:t>
      </w:r>
      <w:r>
        <w:t xml:space="preserve"> for addressing City Council on matters of public concern.  The retaliation includes transferring </w:t>
      </w:r>
      <w:proofErr w:type="spellStart"/>
      <w:r>
        <w:t>Tempeton</w:t>
      </w:r>
      <w:proofErr w:type="spellEnd"/>
      <w:r>
        <w:t>, a 25-year member of the FD to a slower station, and numerous “counseling forms.” The Court wrote: “</w:t>
      </w:r>
      <w:r w:rsidRPr="00861D6D">
        <w:t>For the reasons expressed at the hearing, however, Templeton has offered sufficient evidence to establish a genuine dispute of material fact as to whether HPFD took adverse employment actions against him linked to his First Amendment expression.</w:t>
      </w:r>
      <w:r>
        <w:t xml:space="preserve">”  </w:t>
      </w:r>
      <w:hyperlink r:id="rId2811" w:history="1">
        <w:r w:rsidRPr="004E2277">
          <w:rPr>
            <w:rStyle w:val="Hyperlink"/>
            <w:b/>
          </w:rPr>
          <w:t>https://www.casemine.com/judgement/us/6a367934174bb89f9fdb2ff2</w:t>
        </w:r>
      </w:hyperlink>
      <w:r>
        <w:rPr>
          <w:b/>
        </w:rPr>
        <w:t xml:space="preserve"> </w:t>
      </w:r>
    </w:p>
    <w:p w14:paraId="02A5C884" w14:textId="77777777" w:rsidR="0022286E" w:rsidRDefault="0022286E" w:rsidP="0022286E">
      <w:pPr>
        <w:rPr>
          <w:bCs/>
        </w:rPr>
      </w:pPr>
      <w:r>
        <w:t xml:space="preserve"> </w:t>
      </w:r>
    </w:p>
    <w:p w14:paraId="2D0A18CA" w14:textId="77777777" w:rsidR="0022286E" w:rsidRDefault="0022286E" w:rsidP="0022286E">
      <w:pPr>
        <w:rPr>
          <w:b/>
        </w:rPr>
      </w:pPr>
      <w:r>
        <w:rPr>
          <w:b/>
        </w:rPr>
        <w:t>FACTS:</w:t>
      </w:r>
    </w:p>
    <w:p w14:paraId="7765D6FF" w14:textId="77777777" w:rsidR="0022286E" w:rsidRPr="007F7AB4" w:rsidRDefault="0022286E" w:rsidP="0022286E">
      <w:pPr>
        <w:pStyle w:val="NoSpacing"/>
      </w:pPr>
      <w:r w:rsidRPr="007F7AB4">
        <w:t> </w:t>
      </w:r>
      <w:r>
        <w:t>“</w:t>
      </w:r>
      <w:r w:rsidRPr="007F7AB4">
        <w:t>Plaintiff Robert Templeton began his employment with the High Point Fire Department (</w:t>
      </w:r>
      <w:r>
        <w:t>‘</w:t>
      </w:r>
      <w:r w:rsidRPr="007F7AB4">
        <w:t>HPFD</w:t>
      </w:r>
      <w:r>
        <w:t>’</w:t>
      </w:r>
      <w:r w:rsidRPr="007F7AB4">
        <w:t>) in June 2000</w:t>
      </w:r>
      <w:r>
        <w:t xml:space="preserve">…. </w:t>
      </w:r>
      <w:r w:rsidRPr="007F7AB4">
        <w:t>He currently holds the rank of Fire Captain II</w:t>
      </w:r>
      <w:r>
        <w:t xml:space="preserve">…. </w:t>
      </w:r>
      <w:r w:rsidRPr="007F7AB4">
        <w:t xml:space="preserve">Templeton </w:t>
      </w:r>
    </w:p>
    <w:p w14:paraId="18F5EEC6" w14:textId="77777777" w:rsidR="0022286E" w:rsidRDefault="0022286E" w:rsidP="0022286E">
      <w:pPr>
        <w:pStyle w:val="NoSpacing"/>
      </w:pPr>
      <w:r w:rsidRPr="007F7AB4">
        <w:t>became President of Local 673 of the International Association of Fire Fighters (</w:t>
      </w:r>
      <w:r>
        <w:t>‘</w:t>
      </w:r>
      <w:r w:rsidRPr="007F7AB4">
        <w:t>IAFF</w:t>
      </w:r>
      <w:r>
        <w:t>’</w:t>
      </w:r>
      <w:r w:rsidRPr="007F7AB4">
        <w:t>) in January 2023</w:t>
      </w:r>
      <w:r>
        <w:t xml:space="preserve">…. </w:t>
      </w:r>
      <w:r w:rsidRPr="007F7AB4">
        <w:t>The IAFF is a labor union which represents more than 360,000 firefighters, paramedics, and emergency responders in the United States and Canada</w:t>
      </w:r>
      <w:r>
        <w:t xml:space="preserve">…. </w:t>
      </w:r>
      <w:r w:rsidRPr="007F7AB4">
        <w:t>IAFF Local 673 had fewer than ten members at the beginning of Templeton's tenure as President, despite there being approximately 240 HPFD employees</w:t>
      </w:r>
      <w:r>
        <w:t>….</w:t>
      </w:r>
    </w:p>
    <w:p w14:paraId="2DD5D867" w14:textId="77777777" w:rsidR="0022286E" w:rsidRPr="007F7AB4" w:rsidRDefault="0022286E" w:rsidP="0022286E">
      <w:pPr>
        <w:pStyle w:val="NoSpacing"/>
      </w:pPr>
      <w:r w:rsidRPr="007F7AB4">
        <w:t xml:space="preserve"> </w:t>
      </w:r>
    </w:p>
    <w:p w14:paraId="7FDBC347" w14:textId="77777777" w:rsidR="0022286E" w:rsidRDefault="0022286E" w:rsidP="0022286E">
      <w:pPr>
        <w:pStyle w:val="NoSpacing"/>
      </w:pPr>
      <w:r w:rsidRPr="007F7AB4">
        <w:t xml:space="preserve">Shortly after starting as President, Templeton reached out to the High Point Mayor, High Point City Council, and the High Point City Manager to express his views on what he considered </w:t>
      </w:r>
      <w:r>
        <w:t>‘</w:t>
      </w:r>
      <w:r w:rsidRPr="007F7AB4">
        <w:t>matters of public concern,</w:t>
      </w:r>
      <w:r>
        <w:t>’</w:t>
      </w:r>
      <w:r w:rsidRPr="007F7AB4">
        <w:t xml:space="preserve"> </w:t>
      </w:r>
      <w:r>
        <w:t>‘</w:t>
      </w:r>
      <w:proofErr w:type="spellStart"/>
      <w:r w:rsidRPr="007F7AB4">
        <w:t>includ</w:t>
      </w:r>
      <w:proofErr w:type="spellEnd"/>
      <w:r w:rsidRPr="007F7AB4">
        <w:t>[</w:t>
      </w:r>
      <w:proofErr w:type="spellStart"/>
      <w:r w:rsidRPr="007F7AB4">
        <w:t>ing</w:t>
      </w:r>
      <w:proofErr w:type="spellEnd"/>
      <w:r w:rsidRPr="007F7AB4">
        <w:t>] staffing shortages and pay-related issues.</w:t>
      </w:r>
      <w:r>
        <w:t>’ ….</w:t>
      </w:r>
      <w:r w:rsidRPr="007F7AB4">
        <w:t>On February 6, 2023, he addressed the High Point City Council about such concerns</w:t>
      </w:r>
      <w:r>
        <w:t xml:space="preserve">…. </w:t>
      </w:r>
    </w:p>
    <w:p w14:paraId="2CDF6F28" w14:textId="77777777" w:rsidR="0022286E" w:rsidRDefault="0022286E" w:rsidP="0022286E">
      <w:pPr>
        <w:pStyle w:val="NoSpacing"/>
      </w:pPr>
    </w:p>
    <w:p w14:paraId="12B82ED2" w14:textId="77777777" w:rsidR="0022286E" w:rsidRDefault="0022286E" w:rsidP="0022286E">
      <w:pPr>
        <w:pStyle w:val="NoSpacing"/>
      </w:pPr>
      <w:r w:rsidRPr="007F7AB4">
        <w:t xml:space="preserve">In the fall of that </w:t>
      </w:r>
      <w:proofErr w:type="gramStart"/>
      <w:r w:rsidRPr="007F7AB4">
        <w:t>year</w:t>
      </w:r>
      <w:proofErr w:type="gramEnd"/>
      <w:r w:rsidRPr="007F7AB4">
        <w:t xml:space="preserve"> he met with Cyril Jefferson, then a candidate for Mayor of High Point; news of that meeting spread throughout HPFD, and HPFD leadership, according to Templeton, backed Jefferson's opponent</w:t>
      </w:r>
      <w:r>
        <w:t xml:space="preserve">…. </w:t>
      </w:r>
      <w:r w:rsidRPr="007F7AB4">
        <w:t>Several weeks after this meeting, on October 24, Templeton received the lowest performance review of his career</w:t>
      </w:r>
      <w:r>
        <w:t xml:space="preserve">…. </w:t>
      </w:r>
      <w:r w:rsidRPr="007F7AB4">
        <w:t>Local 673 nevertheless endorsed Jefferson for mayor on October 30. (</w:t>
      </w:r>
      <w:r w:rsidRPr="007F7AB4">
        <w:rPr>
          <w:i/>
          <w:iCs/>
        </w:rPr>
        <w:t>Id.</w:t>
      </w:r>
      <w:r w:rsidRPr="007F7AB4">
        <w:t>) Templeton posted on social media about Local 673's support for Jefferson, both before and after Jefferson won the mayorship in November</w:t>
      </w:r>
      <w:r>
        <w:t>….</w:t>
      </w:r>
    </w:p>
    <w:p w14:paraId="3EE8E73C" w14:textId="77777777" w:rsidR="0022286E" w:rsidRDefault="0022286E" w:rsidP="0022286E">
      <w:pPr>
        <w:pStyle w:val="NoSpacing"/>
      </w:pPr>
    </w:p>
    <w:p w14:paraId="07FBC470" w14:textId="77777777" w:rsidR="0022286E" w:rsidRDefault="0022286E" w:rsidP="0022286E">
      <w:pPr>
        <w:pStyle w:val="NoSpacing"/>
      </w:pPr>
      <w:r>
        <w:t>***</w:t>
      </w:r>
    </w:p>
    <w:p w14:paraId="60ABB5C8" w14:textId="77777777" w:rsidR="0022286E" w:rsidRDefault="0022286E" w:rsidP="0022286E">
      <w:pPr>
        <w:pStyle w:val="NoSpacing"/>
      </w:pPr>
    </w:p>
    <w:p w14:paraId="3669A33B" w14:textId="77777777" w:rsidR="0022286E" w:rsidRDefault="0022286E" w:rsidP="0022286E">
      <w:pPr>
        <w:pStyle w:val="NoSpacing"/>
      </w:pPr>
      <w:r w:rsidRPr="00127CE3">
        <w:t xml:space="preserve">On March 6, </w:t>
      </w:r>
      <w:proofErr w:type="gramStart"/>
      <w:r w:rsidRPr="00127CE3">
        <w:t>2023</w:t>
      </w:r>
      <w:proofErr w:type="gramEnd"/>
      <w:r>
        <w:t xml:space="preserve"> … </w:t>
      </w:r>
      <w:r w:rsidRPr="00127CE3">
        <w:t>Templeton received a counseling form for his decision to execute a “suicide run” - deliberately driving on the left (wrong) side of the road to arrive more quickly at the scene of an emergency</w:t>
      </w:r>
      <w:r>
        <w:t xml:space="preserve">…. </w:t>
      </w:r>
    </w:p>
    <w:p w14:paraId="0DA7E5A7" w14:textId="77777777" w:rsidR="0022286E" w:rsidRDefault="0022286E" w:rsidP="0022286E">
      <w:pPr>
        <w:pStyle w:val="NoSpacing"/>
      </w:pPr>
    </w:p>
    <w:p w14:paraId="7D21FBA0" w14:textId="77777777" w:rsidR="0022286E" w:rsidRDefault="0022286E" w:rsidP="0022286E">
      <w:pPr>
        <w:pStyle w:val="NoSpacing"/>
      </w:pPr>
      <w:r>
        <w:t>***</w:t>
      </w:r>
    </w:p>
    <w:p w14:paraId="1BBF1FAA" w14:textId="77777777" w:rsidR="0022286E" w:rsidRDefault="0022286E" w:rsidP="0022286E">
      <w:pPr>
        <w:pStyle w:val="NoSpacing"/>
      </w:pPr>
      <w:r w:rsidRPr="00F23095">
        <w:t>On September 7, 2023, Templeton received a counseling form for his objection to carrying out a training exercise during high temperatures</w:t>
      </w:r>
      <w:r>
        <w:t xml:space="preserve">…. </w:t>
      </w:r>
      <w:r w:rsidRPr="00A02BF8">
        <w:t>Templeton declares that he has never heard of an HPFD employee being disciplined for deciding to carry out a suicide run or objecting to training exercises during high temperatures.</w:t>
      </w:r>
    </w:p>
    <w:p w14:paraId="0E2E7E06" w14:textId="77777777" w:rsidR="0022286E" w:rsidRDefault="0022286E" w:rsidP="0022286E">
      <w:pPr>
        <w:pStyle w:val="NoSpacing"/>
      </w:pPr>
    </w:p>
    <w:p w14:paraId="28A567AD" w14:textId="77777777" w:rsidR="0022286E" w:rsidRDefault="0022286E" w:rsidP="0022286E">
      <w:pPr>
        <w:pStyle w:val="NoSpacing"/>
      </w:pPr>
      <w:r>
        <w:t>***</w:t>
      </w:r>
    </w:p>
    <w:p w14:paraId="6C8713DD" w14:textId="77777777" w:rsidR="0022286E" w:rsidRDefault="0022286E" w:rsidP="0022286E">
      <w:pPr>
        <w:pStyle w:val="NoSpacing"/>
      </w:pPr>
      <w:r w:rsidRPr="00045AFF">
        <w:t>Templeton was involuntarily transferred to Station 11 from Station 4 on November 27, 2023; he had not requested a transfer</w:t>
      </w:r>
      <w:r>
        <w:t xml:space="preserve">…. </w:t>
      </w:r>
      <w:r w:rsidRPr="00045AFF">
        <w:t xml:space="preserve">Station 11 is a </w:t>
      </w:r>
      <w:r>
        <w:t>‘</w:t>
      </w:r>
      <w:r w:rsidRPr="00045AFF">
        <w:t>punishment station</w:t>
      </w:r>
      <w:r>
        <w:t>’</w:t>
      </w:r>
      <w:r w:rsidRPr="00045AFF">
        <w:t xml:space="preserve"> because, Templeton declares, higher call volume is correlated with higher performance reviews, which in turn corresponds to higher compensation</w:t>
      </w:r>
      <w:r>
        <w:t>….</w:t>
      </w:r>
      <w:r w:rsidRPr="00045AFF">
        <w:t xml:space="preserve"> Station 11 is one of the slowest stations in High Point, while Station 4 is one of the busiest</w:t>
      </w:r>
      <w:r>
        <w:t xml:space="preserve">…. </w:t>
      </w:r>
    </w:p>
    <w:p w14:paraId="1511F215" w14:textId="77777777" w:rsidR="0022286E" w:rsidRDefault="0022286E" w:rsidP="0022286E">
      <w:pPr>
        <w:pStyle w:val="NoSpacing"/>
      </w:pPr>
    </w:p>
    <w:p w14:paraId="6C80DF93" w14:textId="77777777" w:rsidR="0022286E" w:rsidRDefault="0022286E" w:rsidP="0022286E">
      <w:pPr>
        <w:pStyle w:val="NoSpacing"/>
      </w:pPr>
      <w:r>
        <w:t>***</w:t>
      </w:r>
    </w:p>
    <w:p w14:paraId="270E0357" w14:textId="77777777" w:rsidR="0022286E" w:rsidRDefault="0022286E" w:rsidP="0022286E">
      <w:pPr>
        <w:pStyle w:val="NoSpacing"/>
      </w:pPr>
      <w:r w:rsidRPr="0067275E">
        <w:lastRenderedPageBreak/>
        <w:t>On March 29, 2024, Defendant Reid, the fire chief, retired, and Defendant Evans was named interim fire chief</w:t>
      </w:r>
      <w:r>
        <w:t xml:space="preserve">…. </w:t>
      </w:r>
      <w:r w:rsidRPr="0067275E">
        <w:t>In April, Evans met with Templeton about his union speaking and told him that fire department concerns needed to be raised through the chain of command</w:t>
      </w:r>
      <w:r>
        <w:t>….</w:t>
      </w:r>
      <w:r w:rsidRPr="0067275E">
        <w:t>Templeton filed a grievance thereafter</w:t>
      </w:r>
      <w:r>
        <w:t>….</w:t>
      </w:r>
    </w:p>
    <w:p w14:paraId="5FA2DAAC" w14:textId="77777777" w:rsidR="0022286E" w:rsidRDefault="0022286E" w:rsidP="0022286E">
      <w:pPr>
        <w:pStyle w:val="NoSpacing"/>
      </w:pPr>
    </w:p>
    <w:p w14:paraId="05ABEFED" w14:textId="77777777" w:rsidR="0022286E" w:rsidRDefault="0022286E" w:rsidP="0022286E">
      <w:pPr>
        <w:pStyle w:val="NoSpacing"/>
      </w:pPr>
      <w:r>
        <w:t>***</w:t>
      </w:r>
    </w:p>
    <w:p w14:paraId="301FF8BE" w14:textId="77777777" w:rsidR="0022286E" w:rsidRDefault="0022286E" w:rsidP="0022286E">
      <w:pPr>
        <w:pStyle w:val="NoSpacing"/>
      </w:pPr>
      <w:r w:rsidRPr="00C5729B">
        <w:t xml:space="preserve">On April 8, 2024, Templeton received a counseling form signed by Evans, advising him that his </w:t>
      </w:r>
      <w:r>
        <w:t>‘</w:t>
      </w:r>
      <w:r w:rsidRPr="00C5729B">
        <w:t>conversations with members of City Council in reference to Fire Department concerns . . . violate[] departmental policy (chain of command)</w:t>
      </w:r>
      <w:r>
        <w:t xml:space="preserve">…. </w:t>
      </w:r>
    </w:p>
    <w:p w14:paraId="559659DA" w14:textId="77777777" w:rsidR="0022286E" w:rsidRDefault="0022286E" w:rsidP="0022286E">
      <w:pPr>
        <w:pStyle w:val="NoSpacing"/>
      </w:pPr>
    </w:p>
    <w:p w14:paraId="0401EF51" w14:textId="77777777" w:rsidR="0022286E" w:rsidRDefault="0022286E" w:rsidP="0022286E">
      <w:pPr>
        <w:pStyle w:val="NoSpacing"/>
      </w:pPr>
      <w:r>
        <w:t>***</w:t>
      </w:r>
    </w:p>
    <w:p w14:paraId="5946B836" w14:textId="77777777" w:rsidR="0022286E" w:rsidRDefault="0022286E" w:rsidP="0022286E">
      <w:pPr>
        <w:pStyle w:val="NoSpacing"/>
      </w:pPr>
      <w:r w:rsidRPr="00024CDC">
        <w:t>On May 28, Templeton met with High Point officials to discuss his grievance; present at the meeting were High Point Human Resources Director Scherrie Lowery, Angela Kirkwood, and HPFD leadership, including Evans</w:t>
      </w:r>
      <w:r>
        <w:t xml:space="preserve">…. </w:t>
      </w:r>
      <w:r w:rsidRPr="00024CDC">
        <w:t>At this meeting, Kirkwood repeatedly told Templeton that he was not prohibited from speaking as a citizen on matters of public concern. (</w:t>
      </w:r>
      <w:r w:rsidRPr="00024CDC">
        <w:rPr>
          <w:i/>
          <w:iCs/>
        </w:rPr>
        <w:t>See generally</w:t>
      </w:r>
      <w:r w:rsidRPr="00024CDC">
        <w:t xml:space="preserve"> Audio Recording of Plaintiff's May 28, </w:t>
      </w:r>
      <w:proofErr w:type="gramStart"/>
      <w:r w:rsidRPr="00024CDC">
        <w:t>2024</w:t>
      </w:r>
      <w:proofErr w:type="gramEnd"/>
      <w:r w:rsidRPr="00024CDC">
        <w:t xml:space="preserve"> Meeting (Exhibit C to Doc. 26).) But Kirkwood and others repeatedly expressed their view that </w:t>
      </w:r>
      <w:r>
        <w:t>‘</w:t>
      </w:r>
      <w:r w:rsidRPr="00024CDC">
        <w:t>fire department concerns</w:t>
      </w:r>
      <w:r>
        <w:t>’</w:t>
      </w:r>
      <w:r w:rsidRPr="00024CDC">
        <w:t xml:space="preserve"> should be brought up through HPFD's chain of command, rather than directly to members of High Point's governance</w:t>
      </w:r>
      <w:r>
        <w:t xml:space="preserve">…. </w:t>
      </w:r>
      <w:r w:rsidRPr="00024CDC">
        <w:t xml:space="preserve">A member of HPFD leadership, possibly Evans, also expressed a narrow view of what constituted a matter of public concern. He stated as an example that the closure of six fire stations would be a matter of public concern, but that the issues Templeton had been raising were specific to HPFD - and these were </w:t>
      </w:r>
      <w:r>
        <w:t>‘</w:t>
      </w:r>
      <w:r w:rsidRPr="00024CDC">
        <w:t>two different things.</w:t>
      </w:r>
      <w:r>
        <w:t xml:space="preserve">’ </w:t>
      </w:r>
    </w:p>
    <w:p w14:paraId="0915DBE4" w14:textId="77777777" w:rsidR="0022286E" w:rsidRDefault="0022286E" w:rsidP="0022286E">
      <w:pPr>
        <w:pStyle w:val="NoSpacing"/>
      </w:pPr>
    </w:p>
    <w:p w14:paraId="26A17F5D" w14:textId="77777777" w:rsidR="0022286E" w:rsidRDefault="0022286E" w:rsidP="0022286E">
      <w:pPr>
        <w:pStyle w:val="NoSpacing"/>
      </w:pPr>
      <w:r>
        <w:t>***</w:t>
      </w:r>
    </w:p>
    <w:p w14:paraId="1C9FDBD8" w14:textId="77777777" w:rsidR="0022286E" w:rsidRDefault="0022286E" w:rsidP="0022286E">
      <w:pPr>
        <w:pStyle w:val="NoSpacing"/>
      </w:pPr>
      <w:r w:rsidRPr="003D29B6">
        <w:t>Templeton filed this lawsuit on August 9, 2024.</w:t>
      </w:r>
      <w:r>
        <w:t>”</w:t>
      </w:r>
    </w:p>
    <w:p w14:paraId="3BC1A4C4" w14:textId="77777777" w:rsidR="0022286E" w:rsidRDefault="0022286E" w:rsidP="0022286E">
      <w:pPr>
        <w:pStyle w:val="NoSpacing"/>
      </w:pPr>
    </w:p>
    <w:p w14:paraId="0EDACEFE" w14:textId="77777777" w:rsidR="0022286E" w:rsidRDefault="0022286E" w:rsidP="0022286E">
      <w:pPr>
        <w:pStyle w:val="NoSpacing"/>
      </w:pPr>
      <w:r>
        <w:t>***</w:t>
      </w:r>
    </w:p>
    <w:p w14:paraId="7B43AD4D" w14:textId="77777777" w:rsidR="0022286E" w:rsidRDefault="0022286E" w:rsidP="0022286E">
      <w:pPr>
        <w:pStyle w:val="NoSpacing"/>
      </w:pPr>
      <w:r w:rsidRPr="00E57DDD">
        <w:t xml:space="preserve"> On September 6, 2024, Templeton was involved in a </w:t>
      </w:r>
      <w:r>
        <w:t>‘</w:t>
      </w:r>
      <w:r w:rsidRPr="00E57DDD">
        <w:t>verbal altercation</w:t>
      </w:r>
      <w:r>
        <w:t>’</w:t>
      </w:r>
      <w:r w:rsidRPr="00E57DDD">
        <w:t xml:space="preserve"> with a community member while he responded to an emergency call; HPFD ordered him </w:t>
      </w:r>
      <w:r>
        <w:t>‘</w:t>
      </w:r>
      <w:r w:rsidRPr="00E57DDD">
        <w:t xml:space="preserve">to undergo mandatory EAP </w:t>
      </w:r>
      <w:proofErr w:type="gramStart"/>
      <w:r w:rsidRPr="00E57DDD">
        <w:t>sessions</w:t>
      </w:r>
      <w:r>
        <w:t>’</w:t>
      </w:r>
      <w:proofErr w:type="gramEnd"/>
      <w:r w:rsidRPr="00E57DDD">
        <w:t xml:space="preserve"> after the incident. </w:t>
      </w:r>
    </w:p>
    <w:p w14:paraId="6E5C6AAA" w14:textId="77777777" w:rsidR="0022286E" w:rsidRDefault="0022286E" w:rsidP="0022286E">
      <w:pPr>
        <w:pStyle w:val="NoSpacing"/>
      </w:pPr>
    </w:p>
    <w:p w14:paraId="6A74FA29" w14:textId="77777777" w:rsidR="0022286E" w:rsidRDefault="0022286E" w:rsidP="0022286E">
      <w:pPr>
        <w:pStyle w:val="NoSpacing"/>
      </w:pPr>
      <w:r>
        <w:t>***</w:t>
      </w:r>
    </w:p>
    <w:p w14:paraId="24ADE138" w14:textId="77777777" w:rsidR="0022286E" w:rsidRDefault="0022286E" w:rsidP="0022286E">
      <w:pPr>
        <w:pStyle w:val="NoSpacing"/>
      </w:pPr>
      <w:r w:rsidRPr="00E57DDD">
        <w:t>Finally, on December 30, 2024, Templeton was disciplined for failing to timely respond to an emergency call notification.</w:t>
      </w:r>
      <w:r>
        <w:t>”</w:t>
      </w:r>
    </w:p>
    <w:p w14:paraId="3DA5F184" w14:textId="77777777" w:rsidR="0022286E" w:rsidRDefault="0022286E" w:rsidP="0022286E">
      <w:pPr>
        <w:pStyle w:val="NoSpacing"/>
      </w:pPr>
    </w:p>
    <w:p w14:paraId="222F3C6E" w14:textId="77777777" w:rsidR="0022286E" w:rsidRDefault="0022286E" w:rsidP="0022286E">
      <w:pPr>
        <w:pStyle w:val="NoSpacing"/>
        <w:rPr>
          <w:b/>
          <w:bCs/>
        </w:rPr>
      </w:pPr>
      <w:r w:rsidRPr="00E627FC">
        <w:rPr>
          <w:b/>
        </w:rPr>
        <w:t xml:space="preserve">COURT HELD: </w:t>
      </w:r>
    </w:p>
    <w:p w14:paraId="092E1BE2" w14:textId="77777777" w:rsidR="0022286E" w:rsidRDefault="0022286E" w:rsidP="0022286E">
      <w:pPr>
        <w:pStyle w:val="NoSpacing"/>
        <w:rPr>
          <w:b/>
          <w:bCs/>
        </w:rPr>
      </w:pPr>
    </w:p>
    <w:p w14:paraId="48F0715C" w14:textId="77777777" w:rsidR="0022286E" w:rsidRDefault="0022286E" w:rsidP="0022286E">
      <w:pPr>
        <w:pStyle w:val="NoSpacing"/>
      </w:pPr>
      <w:r>
        <w:t>“</w:t>
      </w:r>
      <w:r w:rsidRPr="005C5C80">
        <w:t xml:space="preserve">Templeton has offered evidence that he spoke to mayoral candidates, city council members, fire department employees, and the public at large about </w:t>
      </w:r>
      <w:r>
        <w:t>‘</w:t>
      </w:r>
      <w:r w:rsidRPr="005C5C80">
        <w:t>pay compression issues, recruitment and retention issues, safety-related issues, [and] staffing shortages.</w:t>
      </w:r>
      <w:r>
        <w:t xml:space="preserve">’ … </w:t>
      </w:r>
      <w:r w:rsidRPr="005C5C80">
        <w:t xml:space="preserve">These issues concern the ability of the HPFD to carry out its vital work protecting life and property; indeed, Templeton's concerns go to the safety of the community. Speech on these matters has been clearly established as a matter of public concern within the Fourth Circuit at least as far back as 2002. </w:t>
      </w:r>
      <w:r w:rsidRPr="005C5C80">
        <w:rPr>
          <w:i/>
          <w:iCs/>
        </w:rPr>
        <w:t>See, e.g.</w:t>
      </w:r>
      <w:r w:rsidRPr="005C5C80">
        <w:t xml:space="preserve">, </w:t>
      </w:r>
      <w:r w:rsidRPr="005C5C80">
        <w:rPr>
          <w:i/>
          <w:iCs/>
        </w:rPr>
        <w:t>Lilienthal</w:t>
      </w:r>
      <w:r w:rsidRPr="005C5C80">
        <w:t xml:space="preserve">, 275 F.Supp.2d at 691, 694 (first concluding that </w:t>
      </w:r>
      <w:r>
        <w:t>‘</w:t>
      </w:r>
      <w:r w:rsidRPr="005C5C80">
        <w:t>fire department issues such as safety, equipment, staffing, and response time are subjects in which ‘the public or the community is likely to be truly concerned' and ‘interested,</w:t>
      </w:r>
      <w:r>
        <w:t>’</w:t>
      </w:r>
      <w:r w:rsidRPr="005C5C80">
        <w:t xml:space="preserve"> and then concluding that </w:t>
      </w:r>
      <w:r>
        <w:t>‘</w:t>
      </w:r>
      <w:r w:rsidRPr="005C5C80">
        <w:t>in September 2002, it was clearly established that a fire chief's disagreement with a firefighter's views on fire department safety issues and the firefighter's manner of expressing those views is insufficient to justify conditioning continued employment upon the cessation of the protected expression based on a perceived threat of disruption</w:t>
      </w:r>
      <w:r>
        <w:t>’</w:t>
      </w:r>
      <w:r w:rsidRPr="005C5C80">
        <w:t xml:space="preserve">). </w:t>
      </w:r>
    </w:p>
    <w:p w14:paraId="4B39C278" w14:textId="77777777" w:rsidR="0022286E" w:rsidRDefault="0022286E" w:rsidP="0022286E">
      <w:pPr>
        <w:pStyle w:val="NoSpacing"/>
      </w:pPr>
    </w:p>
    <w:p w14:paraId="01E64C97" w14:textId="77777777" w:rsidR="0022286E" w:rsidRDefault="0022286E" w:rsidP="0022286E">
      <w:pPr>
        <w:pStyle w:val="NoSpacing"/>
      </w:pPr>
      <w:r>
        <w:t>***</w:t>
      </w:r>
    </w:p>
    <w:p w14:paraId="7B14EBE8" w14:textId="77777777" w:rsidR="0022286E" w:rsidRDefault="0022286E" w:rsidP="0022286E">
      <w:pPr>
        <w:pStyle w:val="NoSpacing"/>
      </w:pPr>
      <w:r w:rsidRPr="001661DB">
        <w:t>Because Templeton has shown that his right to speak about the ability of HPFD to carry out its mission was clearly established as a matter of public concern, any retaliation by reducing the speaker's income would constitute a clearly established violation of that right.</w:t>
      </w:r>
      <w:r>
        <w:t>”</w:t>
      </w:r>
    </w:p>
    <w:p w14:paraId="6CAB262E" w14:textId="77777777" w:rsidR="0022286E" w:rsidRDefault="0022286E" w:rsidP="0022286E">
      <w:pPr>
        <w:pStyle w:val="NoSpacing"/>
      </w:pPr>
    </w:p>
    <w:p w14:paraId="7CE4B010" w14:textId="77777777" w:rsidR="0022286E" w:rsidRPr="00DF4879" w:rsidRDefault="0022286E" w:rsidP="0022286E">
      <w:pPr>
        <w:pStyle w:val="NoSpacing"/>
        <w:rPr>
          <w:b/>
          <w:bCs/>
        </w:rPr>
      </w:pPr>
      <w:r>
        <w:rPr>
          <w:b/>
        </w:rPr>
        <w:t>Legal lesson learned: Union President has 1</w:t>
      </w:r>
      <w:r w:rsidRPr="00DF4879">
        <w:rPr>
          <w:b/>
          <w:vertAlign w:val="superscript"/>
        </w:rPr>
        <w:t>st</w:t>
      </w:r>
      <w:r>
        <w:rPr>
          <w:b/>
        </w:rPr>
        <w:t xml:space="preserve"> Amendment right to address City Council on matters of public concern; case will now proceed. </w:t>
      </w:r>
    </w:p>
    <w:p w14:paraId="045311E2" w14:textId="77777777" w:rsidR="001333DA" w:rsidRDefault="001333DA" w:rsidP="00744D51">
      <w:pPr>
        <w:pStyle w:val="NoSpacing"/>
        <w:rPr>
          <w:rFonts w:ascii="Arial Black" w:hAnsi="Arial Black"/>
          <w:sz w:val="24"/>
          <w:szCs w:val="24"/>
        </w:rPr>
      </w:pPr>
    </w:p>
    <w:p w14:paraId="4E197143" w14:textId="77777777" w:rsidR="001333DA" w:rsidRDefault="001333DA" w:rsidP="00744D51">
      <w:pPr>
        <w:pStyle w:val="NoSpacing"/>
        <w:rPr>
          <w:rFonts w:ascii="Arial Black" w:hAnsi="Arial Black"/>
          <w:sz w:val="24"/>
          <w:szCs w:val="24"/>
        </w:rPr>
      </w:pPr>
    </w:p>
    <w:p w14:paraId="42F68B20" w14:textId="77777777" w:rsidR="001333DA" w:rsidRDefault="001333DA" w:rsidP="00744D51">
      <w:pPr>
        <w:pStyle w:val="NoSpacing"/>
        <w:rPr>
          <w:rFonts w:ascii="Arial Black" w:hAnsi="Arial Black"/>
          <w:sz w:val="24"/>
          <w:szCs w:val="24"/>
        </w:rPr>
      </w:pPr>
    </w:p>
    <w:p w14:paraId="56C0C780" w14:textId="411AFA06" w:rsidR="009A2956" w:rsidRDefault="00AB7553" w:rsidP="00744D51">
      <w:pPr>
        <w:pStyle w:val="NoSpacing"/>
        <w:rPr>
          <w:rFonts w:ascii="Arial Black" w:hAnsi="Arial Black"/>
          <w:sz w:val="24"/>
          <w:szCs w:val="24"/>
        </w:rPr>
      </w:pPr>
      <w:r>
        <w:rPr>
          <w:rFonts w:ascii="Arial Black" w:hAnsi="Arial Black"/>
          <w:sz w:val="24"/>
          <w:szCs w:val="24"/>
        </w:rPr>
        <w:t>17-61</w:t>
      </w:r>
    </w:p>
    <w:p w14:paraId="661A31FA" w14:textId="77777777" w:rsidR="00AB7553" w:rsidRDefault="00AB7553" w:rsidP="00744D51">
      <w:pPr>
        <w:pStyle w:val="NoSpacing"/>
        <w:rPr>
          <w:rFonts w:ascii="Arial Black" w:hAnsi="Arial Black"/>
          <w:sz w:val="24"/>
          <w:szCs w:val="24"/>
        </w:rPr>
      </w:pPr>
    </w:p>
    <w:p w14:paraId="29F0D0FD" w14:textId="77777777" w:rsidR="00AB7553" w:rsidRDefault="00AB7553" w:rsidP="00AB7553">
      <w:pPr>
        <w:rPr>
          <w:rFonts w:ascii="Arial Black" w:hAnsi="Arial Black"/>
          <w:sz w:val="28"/>
          <w:szCs w:val="28"/>
        </w:rPr>
      </w:pPr>
      <w:r>
        <w:rPr>
          <w:rFonts w:ascii="Arial Black" w:hAnsi="Arial Black"/>
          <w:sz w:val="28"/>
          <w:szCs w:val="28"/>
        </w:rPr>
        <w:t>LA: IAFF SEC. – CHIEF’S NEW CAR – FIRED / CASE PROCEED</w:t>
      </w:r>
    </w:p>
    <w:p w14:paraId="168E4E48" w14:textId="77777777" w:rsidR="00AB7553" w:rsidRDefault="00AB7553" w:rsidP="00AB7553">
      <w:r>
        <w:t xml:space="preserve">On May 22. 2026, in </w:t>
      </w:r>
      <w:r w:rsidRPr="007E0CBE">
        <w:rPr>
          <w:u w:val="single"/>
        </w:rPr>
        <w:t>Jonathan Gramm v. Desoto Parish Fire District 9, et al</w:t>
      </w:r>
      <w:r>
        <w:t>. , U.S. District Court Judge S. Maurice Hicks, Jr., United States District Court for Western District of Louisiana, Shreveport Division, denied the FD’s motion for summary judgment.  THE COURT WROTE: “</w:t>
      </w:r>
      <w:r w:rsidRPr="002D6022">
        <w:t>Accordingly, viewing the evidence in the light most favorable to Gramm, the Court finds that genuine disputes of material fact remain as to whether Gramm spoke as a citizen on a matter of public concern. The record contains evidence from which a reasonable factfinder could conclude that Gramm contacted Commissioners as a citizen and union representative to address a public budget matter, not pursuant to his ordinary duties as a Fire Captain.</w:t>
      </w:r>
      <w:r>
        <w:t xml:space="preserve">”  </w:t>
      </w:r>
      <w:hyperlink r:id="rId2812" w:history="1">
        <w:r w:rsidRPr="00126634">
          <w:rPr>
            <w:rStyle w:val="Hyperlink"/>
          </w:rPr>
          <w:t>https://public.fastcase.com/Jhe1Qn%2BmJndQYQU6z%2FeNm%2FDGnkNPmF%2FGN9ENyHmXzZguwABevXHo%2FJOs4DZQ3ccvXn%2B8i7GPeSKXZ%2FJuUaa2eSmBPBV%2FroWj%2BWUiix8FppM%3D?utm_medium=email&amp;_hsenc=p2ANqtz-9ln45T61k1McKPYzdFhYaqHVpy9H3-ipNGhojNaHNF5Osr6BUzI4NGniJzh20R42JdVxn_jn5CFBBvjphJmsP_Zy8_gA&amp;_hsmi=226712652&amp;utm_content=226712652&amp;utm_source=hs_email</w:t>
        </w:r>
      </w:hyperlink>
      <w:r>
        <w:t xml:space="preserve">      </w:t>
      </w:r>
    </w:p>
    <w:p w14:paraId="6C5DE7DC" w14:textId="77777777" w:rsidR="00AB7553" w:rsidRDefault="00AB7553" w:rsidP="00AB7553">
      <w:r>
        <w:t>THE COUR HELD:</w:t>
      </w:r>
    </w:p>
    <w:p w14:paraId="6994DC9A" w14:textId="77777777" w:rsidR="00AB7553" w:rsidRDefault="00AB7553" w:rsidP="00AB7553">
      <w:pPr>
        <w:ind w:left="720"/>
      </w:pPr>
      <w:r>
        <w:t>“</w:t>
      </w:r>
      <w:r w:rsidRPr="00AC65CE">
        <w:t xml:space="preserve">Gramm was employed by DFD9 as a Fire Captain </w:t>
      </w:r>
      <w:proofErr w:type="gramStart"/>
      <w:r w:rsidRPr="00AC65CE">
        <w:t>and also</w:t>
      </w:r>
      <w:proofErr w:type="gramEnd"/>
      <w:r w:rsidRPr="00AC65CE">
        <w:t xml:space="preserve"> served as secretary</w:t>
      </w:r>
      <w:r>
        <w:t xml:space="preserve"> / </w:t>
      </w:r>
      <w:r w:rsidRPr="00AC65CE">
        <w:t xml:space="preserve">treasurer for Local 5138 (the </w:t>
      </w:r>
      <w:r>
        <w:t>‘</w:t>
      </w:r>
      <w:r w:rsidRPr="00AC65CE">
        <w:t>union</w:t>
      </w:r>
      <w:r>
        <w:t>’</w:t>
      </w:r>
      <w:r w:rsidRPr="00AC65CE">
        <w:t>)</w:t>
      </w:r>
      <w:r>
        <w:t xml:space="preserve">…. </w:t>
      </w:r>
      <w:r w:rsidRPr="00AC65CE">
        <w:t>In September 2023, an agenda for an upcoming Board of Commissioners meeting was posted at the fire station and included an item concerning the proposed purchase of a vehicle for Chief King. Thereafter, firefighters discussed the proposed purchase during working hours at the station and expressed concerns regarding the allocation of district funds. Gramm contends that the firefighters believed available funds would be better spent on firefighting equipment and improvements to station conditions</w:t>
      </w:r>
      <w:r>
        <w:t xml:space="preserve">…. </w:t>
      </w:r>
      <w:r w:rsidRPr="00AC65CE">
        <w:t xml:space="preserve"> Because the firefighters were unable to attend the Board of Commissioner's meeting, they allegedly elected Gramm to contact the Commissioners directly because he was the union secretary</w:t>
      </w:r>
      <w:r>
        <w:t xml:space="preserve"> </w:t>
      </w:r>
      <w:r w:rsidRPr="00AC65CE">
        <w:t xml:space="preserve">treasurer. </w:t>
      </w:r>
    </w:p>
    <w:p w14:paraId="0EDFFF8D" w14:textId="77777777" w:rsidR="00AB7553" w:rsidRDefault="00AB7553" w:rsidP="00AB7553">
      <w:pPr>
        <w:ind w:left="720"/>
      </w:pPr>
      <w:r>
        <w:t>***</w:t>
      </w:r>
    </w:p>
    <w:p w14:paraId="425B8483" w14:textId="77777777" w:rsidR="00AB7553" w:rsidRDefault="00AB7553" w:rsidP="00AB7553">
      <w:pPr>
        <w:ind w:left="720"/>
      </w:pPr>
      <w:r w:rsidRPr="00555B08">
        <w:t>On September 18, 2023, while off duty, Gramm telephoned Commissioners Ross Tilbury and Bobby Ettredge regarding the concerns</w:t>
      </w:r>
      <w:r>
        <w:t xml:space="preserve">…. </w:t>
      </w:r>
      <w:r w:rsidRPr="00555B08">
        <w:t xml:space="preserve"> It is undisputed that Gramm contacted the Commissioners without first discussing the matter with Chief King. It is likewise undisputed that Memorandum 18001 prohibited DFD9 personnel from contacting Board members regarding official district business without first conferring with their immediate supervisor</w:t>
      </w:r>
      <w:r>
        <w:t xml:space="preserve">…. </w:t>
      </w:r>
      <w:r w:rsidRPr="00555B08">
        <w:t xml:space="preserve"> Gramm acknowledges that he reviewed Memorandum 18001 when it was issued and understood that if he failed to comply with its directives, it would be considered insubordination. </w:t>
      </w:r>
    </w:p>
    <w:p w14:paraId="4BF76996" w14:textId="77777777" w:rsidR="00AB7553" w:rsidRDefault="00AB7553" w:rsidP="00AB7553">
      <w:pPr>
        <w:ind w:left="720"/>
      </w:pPr>
      <w:r>
        <w:t>***</w:t>
      </w:r>
    </w:p>
    <w:p w14:paraId="6D9A6AB8" w14:textId="77777777" w:rsidR="00AB7553" w:rsidRDefault="00AB7553" w:rsidP="00AB7553">
      <w:pPr>
        <w:ind w:left="720"/>
      </w:pPr>
      <w:r w:rsidRPr="008F7E43">
        <w:t>However, the speech at issue involved public funds and public safety. Gramm's interest in speaking to government officials about whether taxpayer funds should be spent on a new chief's vehicle or on firefighting equipment is substantial. Moreover, the present record contains little to no evidence that Gramm's speech caused any actual disruption except for his termination and this lawsuit</w:t>
      </w:r>
      <w:r>
        <w:t xml:space="preserve">…. </w:t>
      </w:r>
      <w:r w:rsidRPr="008F7E43">
        <w:t xml:space="preserve">Additionally, Defendants' own position </w:t>
      </w:r>
      <w:proofErr w:type="gramStart"/>
      <w:r w:rsidRPr="008F7E43">
        <w:t>that</w:t>
      </w:r>
      <w:proofErr w:type="gramEnd"/>
      <w:r w:rsidRPr="008F7E43">
        <w:t xml:space="preserve"> Gramm could have raised the same concerns at a Board </w:t>
      </w:r>
      <w:proofErr w:type="gramStart"/>
      <w:r w:rsidRPr="008F7E43">
        <w:t>meeting</w:t>
      </w:r>
      <w:proofErr w:type="gramEnd"/>
      <w:r w:rsidRPr="008F7E43">
        <w:t xml:space="preserve"> weakens the argument that the substance of the speech itself was inherently disruptive. Defendants primarily contend that the manner of communication-calling Commissioners before the meeting rather than appearing publicly at the meeting or first </w:t>
      </w:r>
      <w:r w:rsidRPr="008F7E43">
        <w:lastRenderedPageBreak/>
        <w:t>speaking with Chief King-created the discipline problem. That may be a legitimate consideration, but it does not conclusively outweigh Gramm's First Amendment interests at this stage.</w:t>
      </w:r>
      <w:r>
        <w:t>”</w:t>
      </w:r>
    </w:p>
    <w:p w14:paraId="57FCFCC5" w14:textId="77777777" w:rsidR="00AB7553" w:rsidRPr="00655A6F" w:rsidRDefault="00AB7553" w:rsidP="00AB7553">
      <w:pPr>
        <w:rPr>
          <w:b/>
          <w:bCs/>
        </w:rPr>
      </w:pPr>
      <w:r>
        <w:rPr>
          <w:b/>
        </w:rPr>
        <w:t xml:space="preserve">Legal lesson learned: </w:t>
      </w:r>
      <w:r w:rsidRPr="00655A6F">
        <w:rPr>
          <w:b/>
        </w:rPr>
        <w:t>Union Secretary protected</w:t>
      </w:r>
      <w:r>
        <w:rPr>
          <w:b/>
        </w:rPr>
        <w:t xml:space="preserve"> from retaliation under First </w:t>
      </w:r>
      <w:r w:rsidRPr="00655A6F">
        <w:rPr>
          <w:b/>
        </w:rPr>
        <w:t>Amendment if court finds he communicated to Commissioners as a citizen on a matter of public concern.</w:t>
      </w:r>
    </w:p>
    <w:p w14:paraId="08D336FA" w14:textId="77777777" w:rsidR="00AB7553" w:rsidRDefault="00AB7553" w:rsidP="00744D51">
      <w:pPr>
        <w:pStyle w:val="NoSpacing"/>
        <w:rPr>
          <w:rFonts w:ascii="Arial Black" w:hAnsi="Arial Black"/>
          <w:sz w:val="24"/>
          <w:szCs w:val="24"/>
        </w:rPr>
      </w:pPr>
    </w:p>
    <w:p w14:paraId="22870782" w14:textId="77777777" w:rsidR="009A2956" w:rsidRDefault="009A2956" w:rsidP="00744D51">
      <w:pPr>
        <w:pStyle w:val="NoSpacing"/>
        <w:rPr>
          <w:rFonts w:ascii="Arial Black" w:hAnsi="Arial Black"/>
          <w:sz w:val="24"/>
          <w:szCs w:val="24"/>
        </w:rPr>
      </w:pPr>
    </w:p>
    <w:p w14:paraId="462EAE46" w14:textId="77777777" w:rsidR="009A2956" w:rsidRDefault="009A2956" w:rsidP="00744D51">
      <w:pPr>
        <w:pStyle w:val="NoSpacing"/>
        <w:rPr>
          <w:rFonts w:ascii="Arial Black" w:hAnsi="Arial Black"/>
          <w:sz w:val="24"/>
          <w:szCs w:val="24"/>
        </w:rPr>
      </w:pPr>
    </w:p>
    <w:p w14:paraId="606063A9" w14:textId="3137D68D" w:rsidR="00744D51" w:rsidRDefault="00744D51" w:rsidP="00744D51">
      <w:pPr>
        <w:pStyle w:val="NoSpacing"/>
        <w:rPr>
          <w:rFonts w:ascii="Arial Black" w:hAnsi="Arial Black"/>
          <w:sz w:val="24"/>
          <w:szCs w:val="24"/>
        </w:rPr>
      </w:pPr>
      <w:r>
        <w:rPr>
          <w:rFonts w:ascii="Arial Black" w:hAnsi="Arial Black"/>
          <w:sz w:val="24"/>
          <w:szCs w:val="24"/>
        </w:rPr>
        <w:t>17-60</w:t>
      </w:r>
    </w:p>
    <w:p w14:paraId="521A3F22" w14:textId="77777777" w:rsidR="002718E8" w:rsidRDefault="002718E8" w:rsidP="002718E8">
      <w:pPr>
        <w:pStyle w:val="NoSpacing"/>
        <w:rPr>
          <w:rFonts w:ascii="Arial Black" w:hAnsi="Arial Black"/>
          <w:b/>
          <w:sz w:val="28"/>
          <w:szCs w:val="28"/>
        </w:rPr>
      </w:pPr>
    </w:p>
    <w:p w14:paraId="3775D24C" w14:textId="6DC8F98B" w:rsidR="002718E8" w:rsidRPr="00C51375" w:rsidRDefault="002718E8" w:rsidP="002718E8">
      <w:pPr>
        <w:pStyle w:val="NoSpacing"/>
        <w:rPr>
          <w:rFonts w:ascii="Arial Black" w:hAnsi="Arial Black"/>
          <w:b/>
          <w:sz w:val="28"/>
          <w:szCs w:val="28"/>
        </w:rPr>
      </w:pPr>
      <w:r>
        <w:rPr>
          <w:rFonts w:ascii="Arial Black" w:hAnsi="Arial Black"/>
          <w:b/>
          <w:sz w:val="28"/>
          <w:szCs w:val="28"/>
        </w:rPr>
        <w:t>NC: PD UNION – PIO “NASTINESS” – NOT DEFAMATION</w:t>
      </w:r>
    </w:p>
    <w:p w14:paraId="3E1182CE" w14:textId="77777777" w:rsidR="002718E8" w:rsidRDefault="002718E8" w:rsidP="002718E8">
      <w:pPr>
        <w:pStyle w:val="NoSpacing"/>
        <w:rPr>
          <w:b/>
        </w:rPr>
      </w:pPr>
    </w:p>
    <w:p w14:paraId="40D3E078" w14:textId="77777777" w:rsidR="002718E8" w:rsidRDefault="002718E8" w:rsidP="002718E8">
      <w:pPr>
        <w:pStyle w:val="NoSpacing"/>
      </w:pPr>
      <w:r>
        <w:t xml:space="preserve">On March 4, 2026, in </w:t>
      </w:r>
      <w:r w:rsidRPr="00020CF6">
        <w:rPr>
          <w:u w:val="single"/>
        </w:rPr>
        <w:t xml:space="preserve">Sanda </w:t>
      </w:r>
      <w:proofErr w:type="spellStart"/>
      <w:r w:rsidRPr="00020CF6">
        <w:rPr>
          <w:u w:val="single"/>
        </w:rPr>
        <w:t>D’Elosua</w:t>
      </w:r>
      <w:proofErr w:type="spellEnd"/>
      <w:r w:rsidRPr="00020CF6">
        <w:rPr>
          <w:u w:val="single"/>
        </w:rPr>
        <w:t xml:space="preserve"> Vastola v. Charlotte Mecklenburg Lodge 9, Fraternal Order of Police, Inc. and Daniel Redfocd, President</w:t>
      </w:r>
      <w:r w:rsidRPr="005A7818">
        <w:t>, the Court of Appeals of North Carolina</w:t>
      </w:r>
      <w:r>
        <w:t xml:space="preserve"> held (3 to 0) that trial court properly dismissed slander / libel lawsuit by the PD Director of Public Affairs; the Union’s “purely subjective opinion” about PIO is not defamation.  Four police officers were killed on April 29, 2024, and she </w:t>
      </w:r>
      <w:r w:rsidRPr="0073205F">
        <w:t xml:space="preserve">declined to </w:t>
      </w:r>
      <w:r>
        <w:t xml:space="preserve">refute or otherwise </w:t>
      </w:r>
      <w:r w:rsidRPr="0073205F">
        <w:t>respond to many of the</w:t>
      </w:r>
      <w:r>
        <w:t xml:space="preserve"> </w:t>
      </w:r>
      <w:r w:rsidRPr="0073205F">
        <w:t>questions</w:t>
      </w:r>
      <w:r>
        <w:t xml:space="preserve"> by local press that allegedly </w:t>
      </w:r>
      <w:r w:rsidRPr="0072685F">
        <w:t>certain officers of the department “who logged off and did</w:t>
      </w:r>
      <w:r>
        <w:t xml:space="preserve"> </w:t>
      </w:r>
      <w:r w:rsidRPr="0072685F">
        <w:t>not show up during the incident.”</w:t>
      </w:r>
      <w:r>
        <w:t xml:space="preserve">  The Union in </w:t>
      </w:r>
      <w:proofErr w:type="gramStart"/>
      <w:r>
        <w:t>a number of</w:t>
      </w:r>
      <w:proofErr w:type="gramEnd"/>
      <w:r>
        <w:t xml:space="preserve"> FACEBOOK posts and press interviews referenced her “nattiness” and questioner </w:t>
      </w:r>
      <w:r w:rsidRPr="008A2F1A">
        <w:t>her</w:t>
      </w:r>
      <w:r>
        <w:t xml:space="preserve"> </w:t>
      </w:r>
      <w:r w:rsidRPr="008A2F1A">
        <w:t>professionalism</w:t>
      </w:r>
      <w:r>
        <w:t xml:space="preserve"> in responding to a serious press inquiry.  </w:t>
      </w:r>
    </w:p>
    <w:p w14:paraId="1B5727F3" w14:textId="77777777" w:rsidR="002718E8" w:rsidRDefault="002718E8" w:rsidP="002718E8">
      <w:pPr>
        <w:pStyle w:val="NoSpacing"/>
        <w:rPr>
          <w:bCs/>
        </w:rPr>
      </w:pPr>
      <w:hyperlink r:id="rId2813" w:history="1">
        <w:r w:rsidRPr="000855F8">
          <w:rPr>
            <w:rStyle w:val="Hyperlink"/>
          </w:rPr>
          <w:t>https://cases.justia.com/north-carolina/court-of-appeals/2026-25-761.pdf?ts=1772641555</w:t>
        </w:r>
      </w:hyperlink>
    </w:p>
    <w:p w14:paraId="79A44C46" w14:textId="77777777" w:rsidR="002718E8" w:rsidRDefault="002718E8" w:rsidP="002718E8">
      <w:pPr>
        <w:pStyle w:val="NoSpacing"/>
        <w:rPr>
          <w:bCs/>
        </w:rPr>
      </w:pPr>
    </w:p>
    <w:p w14:paraId="2F0EFFB5" w14:textId="77777777" w:rsidR="002718E8" w:rsidRDefault="002718E8" w:rsidP="002718E8">
      <w:pPr>
        <w:pStyle w:val="NoSpacing"/>
      </w:pPr>
      <w:r>
        <w:t xml:space="preserve">THE COURT WROTE: </w:t>
      </w:r>
    </w:p>
    <w:p w14:paraId="6D749A58" w14:textId="77777777" w:rsidR="002718E8" w:rsidRDefault="002718E8" w:rsidP="002718E8">
      <w:pPr>
        <w:pStyle w:val="NoSpacing"/>
      </w:pPr>
    </w:p>
    <w:p w14:paraId="2D5208C6" w14:textId="77777777" w:rsidR="002718E8" w:rsidRDefault="002718E8" w:rsidP="002718E8">
      <w:pPr>
        <w:pStyle w:val="NoSpacing"/>
        <w:ind w:left="720"/>
        <w:rPr>
          <w:bCs/>
        </w:rPr>
      </w:pPr>
      <w:r>
        <w:t>“</w:t>
      </w:r>
      <w:r w:rsidRPr="00604DB5">
        <w:t>A statement expressing a purely subjective opinion about a person—regardless</w:t>
      </w:r>
      <w:r>
        <w:t xml:space="preserve"> </w:t>
      </w:r>
      <w:r w:rsidRPr="00604DB5">
        <w:t xml:space="preserve">of whether that person is </w:t>
      </w:r>
      <w:proofErr w:type="gramStart"/>
      <w:r w:rsidRPr="00604DB5">
        <w:t>a public figure,</w:t>
      </w:r>
      <w:proofErr w:type="gramEnd"/>
      <w:r w:rsidRPr="00604DB5">
        <w:t xml:space="preserve"> whether the statement was made publicly,</w:t>
      </w:r>
      <w:r>
        <w:t xml:space="preserve"> </w:t>
      </w:r>
      <w:r w:rsidRPr="00604DB5">
        <w:t>or whether the statement caused harm—is not defamatory. As the statements here</w:t>
      </w:r>
      <w:r>
        <w:t xml:space="preserve"> </w:t>
      </w:r>
      <w:r w:rsidRPr="00604DB5">
        <w:t>expressed purely subjective opinions, the trial court correctly dismissed Plaintiff’s</w:t>
      </w:r>
      <w:r>
        <w:t xml:space="preserve"> </w:t>
      </w:r>
      <w:r w:rsidRPr="00604DB5">
        <w:t>slander and libel claims.</w:t>
      </w:r>
    </w:p>
    <w:p w14:paraId="3F274F80" w14:textId="77777777" w:rsidR="002718E8" w:rsidRDefault="002718E8" w:rsidP="002718E8">
      <w:pPr>
        <w:pStyle w:val="NoSpacing"/>
        <w:ind w:left="720"/>
        <w:rPr>
          <w:bCs/>
        </w:rPr>
      </w:pPr>
    </w:p>
    <w:p w14:paraId="6221A47C" w14:textId="77777777" w:rsidR="002718E8" w:rsidRDefault="002718E8" w:rsidP="002718E8">
      <w:pPr>
        <w:pStyle w:val="NoSpacing"/>
        <w:ind w:left="720"/>
      </w:pPr>
      <w:r>
        <w:t>***</w:t>
      </w:r>
    </w:p>
    <w:p w14:paraId="3FB011B9" w14:textId="77777777" w:rsidR="002718E8" w:rsidRDefault="002718E8" w:rsidP="002718E8">
      <w:pPr>
        <w:pStyle w:val="NoSpacing"/>
        <w:ind w:left="720"/>
      </w:pPr>
      <w:r>
        <w:t>Plaintiff declined to respond to many of the questions based on the belief that they constituted private personnel records under N.C.G.S. § 160A-</w:t>
      </w:r>
      <w:proofErr w:type="gramStart"/>
      <w:r>
        <w:t>168, and</w:t>
      </w:r>
      <w:proofErr w:type="gramEnd"/>
      <w:r>
        <w:t xml:space="preserve"> described the story as ‘a slam job that would damage the very men and women who are still recovering from this heinous incident.’ When the story was run, it characterized the Charlotte-Mecklenburg Police Department as lacking in transparency.</w:t>
      </w:r>
    </w:p>
    <w:p w14:paraId="60A4B687" w14:textId="77777777" w:rsidR="002718E8" w:rsidRDefault="002718E8" w:rsidP="002718E8">
      <w:pPr>
        <w:pStyle w:val="NoSpacing"/>
        <w:ind w:left="720"/>
      </w:pPr>
    </w:p>
    <w:p w14:paraId="29FB4E75" w14:textId="77777777" w:rsidR="002718E8" w:rsidRDefault="002718E8" w:rsidP="002718E8">
      <w:pPr>
        <w:pStyle w:val="NoSpacing"/>
        <w:ind w:left="720"/>
      </w:pPr>
      <w:r>
        <w:t>***</w:t>
      </w:r>
    </w:p>
    <w:p w14:paraId="28FDAA2F" w14:textId="77777777" w:rsidR="002718E8" w:rsidRDefault="002718E8" w:rsidP="002718E8">
      <w:pPr>
        <w:pStyle w:val="NoSpacing"/>
        <w:ind w:left="720"/>
      </w:pPr>
      <w:r>
        <w:t>Here, none of the statements that Plaintiff identifies in her complaint can be</w:t>
      </w:r>
    </w:p>
    <w:p w14:paraId="26769216" w14:textId="77777777" w:rsidR="002718E8" w:rsidRDefault="002718E8" w:rsidP="002718E8">
      <w:pPr>
        <w:pStyle w:val="NoSpacing"/>
        <w:ind w:left="720"/>
      </w:pPr>
      <w:r>
        <w:t>seriously understood as containing factual content. While perhaps deeply</w:t>
      </w:r>
    </w:p>
    <w:p w14:paraId="2DCF14A2" w14:textId="77777777" w:rsidR="002718E8" w:rsidRDefault="002718E8" w:rsidP="002718E8">
      <w:pPr>
        <w:pStyle w:val="NoSpacing"/>
        <w:ind w:left="720"/>
      </w:pPr>
      <w:r>
        <w:t>unflattering, accusing Plaintiff of ‘nastiness,’ opining that her actions constitute</w:t>
      </w:r>
    </w:p>
    <w:p w14:paraId="7C575EFE" w14:textId="77777777" w:rsidR="002718E8" w:rsidRDefault="002718E8" w:rsidP="002718E8">
      <w:pPr>
        <w:pStyle w:val="NoSpacing"/>
        <w:ind w:left="720"/>
      </w:pPr>
      <w:r>
        <w:t>‘</w:t>
      </w:r>
      <w:proofErr w:type="gramStart"/>
      <w:r>
        <w:t>failures</w:t>
      </w:r>
      <w:proofErr w:type="gramEnd"/>
      <w:r>
        <w:t xml:space="preserve"> as a person with power[,]’ characterizing her statements as ‘dismissive’ or</w:t>
      </w:r>
    </w:p>
    <w:p w14:paraId="3EE435CD" w14:textId="77777777" w:rsidR="002718E8" w:rsidRDefault="002718E8" w:rsidP="002718E8">
      <w:pPr>
        <w:pStyle w:val="NoSpacing"/>
        <w:ind w:left="720"/>
      </w:pPr>
      <w:r>
        <w:t xml:space="preserve">‘snap[ping] back with insults[,]’ or expressing that she made ‘poor </w:t>
      </w:r>
      <w:proofErr w:type="gramStart"/>
      <w:r>
        <w:t>decisions’</w:t>
      </w:r>
      <w:proofErr w:type="gramEnd"/>
      <w:r>
        <w:t xml:space="preserve"> or a</w:t>
      </w:r>
    </w:p>
    <w:p w14:paraId="53F0D94E" w14:textId="77777777" w:rsidR="002718E8" w:rsidRDefault="002718E8" w:rsidP="002718E8">
      <w:pPr>
        <w:pStyle w:val="NoSpacing"/>
        <w:ind w:left="720"/>
      </w:pPr>
      <w:r>
        <w:t>‘[g]</w:t>
      </w:r>
      <w:proofErr w:type="spellStart"/>
      <w:r>
        <w:t>arbage</w:t>
      </w:r>
      <w:proofErr w:type="spellEnd"/>
      <w:r>
        <w:t xml:space="preserve"> response’ are all decidedly subjective opinions offered to characterize her</w:t>
      </w:r>
    </w:p>
    <w:p w14:paraId="59CD6B63" w14:textId="77777777" w:rsidR="002718E8" w:rsidRDefault="002718E8" w:rsidP="002718E8">
      <w:pPr>
        <w:pStyle w:val="NoSpacing"/>
        <w:ind w:left="720"/>
      </w:pPr>
      <w:r>
        <w:t>behavior, not factual claims regarding the contents of her behavior.</w:t>
      </w:r>
    </w:p>
    <w:p w14:paraId="389D9DF1" w14:textId="77777777" w:rsidR="002718E8" w:rsidRDefault="002718E8" w:rsidP="002718E8">
      <w:pPr>
        <w:pStyle w:val="NoSpacing"/>
        <w:ind w:left="720"/>
      </w:pPr>
    </w:p>
    <w:p w14:paraId="11C0EC63" w14:textId="77777777" w:rsidR="002718E8" w:rsidRDefault="002718E8" w:rsidP="002718E8">
      <w:pPr>
        <w:pStyle w:val="NoSpacing"/>
        <w:ind w:left="720"/>
      </w:pPr>
      <w:r>
        <w:t>***</w:t>
      </w:r>
    </w:p>
    <w:p w14:paraId="31395088" w14:textId="77777777" w:rsidR="002718E8" w:rsidRDefault="002718E8" w:rsidP="002718E8">
      <w:pPr>
        <w:pStyle w:val="NoSpacing"/>
        <w:ind w:left="720"/>
      </w:pPr>
      <w:r>
        <w:t>The United States Supreme Court has said that ‘debate on public issues should</w:t>
      </w:r>
    </w:p>
    <w:p w14:paraId="7ED33E94" w14:textId="77777777" w:rsidR="002718E8" w:rsidRDefault="002718E8" w:rsidP="002718E8">
      <w:pPr>
        <w:pStyle w:val="NoSpacing"/>
        <w:ind w:left="720"/>
      </w:pPr>
      <w:r>
        <w:t>be uninhibited, robust, and wide-open, and . . . may well include vehement, caustic,</w:t>
      </w:r>
    </w:p>
    <w:p w14:paraId="0914B76B" w14:textId="77777777" w:rsidR="002718E8" w:rsidRDefault="002718E8" w:rsidP="002718E8">
      <w:pPr>
        <w:pStyle w:val="NoSpacing"/>
        <w:ind w:left="720"/>
      </w:pPr>
      <w:r>
        <w:t>and sometimes unpleasantly sharp attacks on government and public</w:t>
      </w:r>
    </w:p>
    <w:p w14:paraId="7ACD3CE3" w14:textId="77777777" w:rsidR="002718E8" w:rsidRDefault="002718E8" w:rsidP="002718E8">
      <w:pPr>
        <w:pStyle w:val="NoSpacing"/>
        <w:ind w:left="720"/>
      </w:pPr>
      <w:r>
        <w:t>officials[,]’ New York Times Co. v. Sullivan, 376 U.S. 254, 270 (1964); accordingly,</w:t>
      </w:r>
    </w:p>
    <w:p w14:paraId="2EA5D96F" w14:textId="77777777" w:rsidR="002718E8" w:rsidRDefault="002718E8" w:rsidP="002718E8">
      <w:pPr>
        <w:pStyle w:val="NoSpacing"/>
        <w:ind w:left="720"/>
      </w:pPr>
      <w:r>
        <w:t>‘</w:t>
      </w:r>
      <w:proofErr w:type="gramStart"/>
      <w:r>
        <w:t>public</w:t>
      </w:r>
      <w:proofErr w:type="gramEnd"/>
      <w:r>
        <w:t xml:space="preserve"> figures bear the burden of proving that alleged defamatory statements</w:t>
      </w:r>
    </w:p>
    <w:p w14:paraId="2B9352AA" w14:textId="77777777" w:rsidR="002718E8" w:rsidRDefault="002718E8" w:rsidP="002718E8">
      <w:pPr>
        <w:pStyle w:val="NoSpacing"/>
        <w:ind w:left="720"/>
      </w:pPr>
      <w:r>
        <w:t xml:space="preserve">against them were published with actual malice </w:t>
      </w:r>
      <w:proofErr w:type="gramStart"/>
      <w:r>
        <w:t>in order to</w:t>
      </w:r>
      <w:proofErr w:type="gramEnd"/>
      <w:r>
        <w:t xml:space="preserve"> recover damages.’</w:t>
      </w:r>
    </w:p>
    <w:p w14:paraId="4DD70758" w14:textId="77777777" w:rsidR="002718E8" w:rsidRDefault="002718E8" w:rsidP="002718E8">
      <w:pPr>
        <w:pStyle w:val="NoSpacing"/>
        <w:ind w:left="720"/>
      </w:pPr>
    </w:p>
    <w:p w14:paraId="4D418EAA" w14:textId="77777777" w:rsidR="002718E8" w:rsidRDefault="002718E8" w:rsidP="002718E8">
      <w:pPr>
        <w:pStyle w:val="NoSpacing"/>
        <w:ind w:left="720"/>
      </w:pPr>
      <w:r>
        <w:t>***</w:t>
      </w:r>
    </w:p>
    <w:p w14:paraId="670AE579" w14:textId="77777777" w:rsidR="002718E8" w:rsidRDefault="002718E8" w:rsidP="002718E8">
      <w:pPr>
        <w:pStyle w:val="NoSpacing"/>
        <w:ind w:left="720"/>
      </w:pPr>
      <w:r>
        <w:t>Thus, even assuming arguendo that Plaintiff is not a public figure and that these statements publicly disparaged her to her material harm, they contain no factual content and therefore cannot, as a matter of law, be understood as defamatory.”</w:t>
      </w:r>
    </w:p>
    <w:p w14:paraId="28124B5E" w14:textId="77777777" w:rsidR="002718E8" w:rsidRDefault="002718E8" w:rsidP="002718E8">
      <w:pPr>
        <w:pStyle w:val="NoSpacing"/>
        <w:ind w:left="720"/>
      </w:pPr>
    </w:p>
    <w:p w14:paraId="60E22B04" w14:textId="77777777" w:rsidR="002718E8" w:rsidRPr="002A2731" w:rsidRDefault="002718E8" w:rsidP="002718E8">
      <w:pPr>
        <w:pStyle w:val="NoSpacing"/>
        <w:rPr>
          <w:b/>
          <w:bCs/>
        </w:rPr>
      </w:pPr>
      <w:r>
        <w:rPr>
          <w:b/>
        </w:rPr>
        <w:t xml:space="preserve">Legal lesson learned: Pure expression of opinion about person’s lack of professionalism is not defamation; if plaintiff was a “public figure” that she would also have to prove “malice.” </w:t>
      </w:r>
    </w:p>
    <w:p w14:paraId="5F99186F" w14:textId="77777777" w:rsidR="002718E8" w:rsidRDefault="002718E8" w:rsidP="002718E8">
      <w:pPr>
        <w:pStyle w:val="NoSpacing"/>
      </w:pPr>
    </w:p>
    <w:p w14:paraId="0F4B4E51" w14:textId="77777777" w:rsidR="002718E8" w:rsidRDefault="002718E8" w:rsidP="002718E8">
      <w:pPr>
        <w:pStyle w:val="NoSpacing"/>
        <w:ind w:left="720"/>
        <w:rPr>
          <w:b/>
        </w:rPr>
      </w:pPr>
      <w:r>
        <w:t xml:space="preserve">Note: See this </w:t>
      </w:r>
      <w:r w:rsidRPr="00AE38CC">
        <w:t xml:space="preserve">April 8, </w:t>
      </w:r>
      <w:proofErr w:type="gramStart"/>
      <w:r w:rsidRPr="00AE38CC">
        <w:t>2026</w:t>
      </w:r>
      <w:proofErr w:type="gramEnd"/>
      <w:r>
        <w:t xml:space="preserve"> article</w:t>
      </w:r>
      <w:r w:rsidRPr="00AE38CC">
        <w:t>: Court sides with Char-Meck FOP in CMPD employee defamation case.</w:t>
      </w:r>
      <w:r>
        <w:rPr>
          <w:b/>
        </w:rPr>
        <w:t xml:space="preserve"> </w:t>
      </w:r>
      <w:hyperlink r:id="rId2814" w:history="1">
        <w:r w:rsidRPr="007C46E6">
          <w:rPr>
            <w:rStyle w:val="Hyperlink"/>
            <w:b/>
          </w:rPr>
          <w:t>https://www.qcnews.com/charlotte/court-sides-with-char-meck-fop-in-cmpd-employee-defamation-case/</w:t>
        </w:r>
      </w:hyperlink>
      <w:r>
        <w:rPr>
          <w:b/>
        </w:rPr>
        <w:t xml:space="preserve"> </w:t>
      </w:r>
    </w:p>
    <w:p w14:paraId="570833CB" w14:textId="77777777" w:rsidR="002718E8" w:rsidRDefault="002718E8" w:rsidP="002718E8">
      <w:pPr>
        <w:pStyle w:val="NoSpacing"/>
        <w:ind w:left="720"/>
        <w:rPr>
          <w:b/>
        </w:rPr>
      </w:pPr>
    </w:p>
    <w:p w14:paraId="70B7DFB0" w14:textId="77777777" w:rsidR="002718E8" w:rsidRDefault="002718E8" w:rsidP="002718E8">
      <w:pPr>
        <w:pStyle w:val="NoSpacing"/>
        <w:ind w:left="720"/>
        <w:rPr>
          <w:b/>
        </w:rPr>
      </w:pPr>
    </w:p>
    <w:p w14:paraId="590D672F" w14:textId="77777777" w:rsidR="002718E8" w:rsidRDefault="002718E8" w:rsidP="002718E8">
      <w:pPr>
        <w:pStyle w:val="NoSpacing"/>
        <w:ind w:left="720"/>
        <w:rPr>
          <w:bCs/>
        </w:rPr>
      </w:pPr>
      <w:r w:rsidRPr="00885714">
        <w:t>April 29, 2025: One year later: A timeline of the tragic April 29th shootout that shook Charlotte</w:t>
      </w:r>
      <w:r>
        <w:t xml:space="preserve">. </w:t>
      </w:r>
      <w:hyperlink r:id="rId2815" w:history="1">
        <w:r w:rsidRPr="0041562E">
          <w:rPr>
            <w:rStyle w:val="Hyperlink"/>
          </w:rPr>
          <w:t>https://www.qcnews.com/shannon-park-shooting/one-year-later-a-timeline-of-the-tragic-april-29th-shootout-that-shook-charlotte/</w:t>
        </w:r>
      </w:hyperlink>
      <w:r>
        <w:t xml:space="preserve"> </w:t>
      </w:r>
    </w:p>
    <w:p w14:paraId="723C66D7" w14:textId="77777777" w:rsidR="002718E8" w:rsidRDefault="002718E8" w:rsidP="002718E8">
      <w:pPr>
        <w:pStyle w:val="NoSpacing"/>
        <w:ind w:left="720"/>
      </w:pPr>
      <w:r w:rsidRPr="000F59E3">
        <w:t>“1:30 p.m. – Attempted warrant service turns deadly</w:t>
      </w:r>
      <w:r w:rsidRPr="00F1715E">
        <w:br/>
        <w:t>The U.S. Marshals Fugitive Task Force arrived at a home on Galway Drive to serve a warrant to 39-year-old Terry Hughes, wanted for felony gun possession out of Lincoln County. As officers approached the residence, Hughes opened fire without warning.</w:t>
      </w:r>
    </w:p>
    <w:p w14:paraId="12422E1C" w14:textId="77777777" w:rsidR="002718E8" w:rsidRPr="007907B2" w:rsidRDefault="002718E8" w:rsidP="002718E8">
      <w:pPr>
        <w:pStyle w:val="NoSpacing"/>
        <w:ind w:left="720"/>
        <w:rPr>
          <w:bCs/>
        </w:rPr>
      </w:pPr>
      <w:r w:rsidRPr="000F59E3">
        <w:t>Within minutes – officers down</w:t>
      </w:r>
      <w:r w:rsidRPr="007907B2">
        <w:br/>
        <w:t xml:space="preserve">Law enforcement scrambled as bullets tore through the quiet east Charlotte neighborhood. “Shots fired, shots fired!” rang out over police radios. </w:t>
      </w:r>
    </w:p>
    <w:p w14:paraId="0FEFA026" w14:textId="77777777" w:rsidR="002718E8" w:rsidRDefault="002718E8" w:rsidP="002718E8">
      <w:pPr>
        <w:pStyle w:val="NoSpacing"/>
        <w:ind w:left="720"/>
        <w:rPr>
          <w:bCs/>
        </w:rPr>
      </w:pPr>
      <w:r w:rsidRPr="007907B2">
        <w:t>Officers reported being pinned down as Hughes fired from a second-story window using a semi-automatic AR-15 and a 40-caliber handgun.</w:t>
      </w:r>
    </w:p>
    <w:p w14:paraId="76DF7937" w14:textId="77777777" w:rsidR="002718E8" w:rsidRPr="005B3ECE" w:rsidRDefault="002718E8" w:rsidP="002718E8">
      <w:pPr>
        <w:pStyle w:val="NoSpacing"/>
        <w:ind w:left="720"/>
        <w:rPr>
          <w:bCs/>
        </w:rPr>
      </w:pPr>
      <w:r w:rsidRPr="005B3ECE">
        <w:t xml:space="preserve">“I got shots fired. </w:t>
      </w:r>
      <w:proofErr w:type="gramStart"/>
      <w:r w:rsidRPr="005B3ECE">
        <w:t>He’s</w:t>
      </w:r>
      <w:proofErr w:type="gramEnd"/>
      <w:r w:rsidRPr="005B3ECE">
        <w:t xml:space="preserve"> top window barricaded himself. Several officers are pinned,” one responder radioed in.</w:t>
      </w:r>
    </w:p>
    <w:p w14:paraId="763A21A6" w14:textId="77777777" w:rsidR="002718E8" w:rsidRPr="005B3ECE" w:rsidRDefault="002718E8" w:rsidP="002718E8">
      <w:pPr>
        <w:pStyle w:val="NoSpacing"/>
        <w:ind w:left="720"/>
        <w:rPr>
          <w:bCs/>
        </w:rPr>
      </w:pPr>
      <w:r w:rsidRPr="000F59E3">
        <w:t>More than three hours – a barrage of gunfire</w:t>
      </w:r>
      <w:r w:rsidRPr="005B3ECE">
        <w:br/>
        <w:t xml:space="preserve">For over three hours, Hughes exchanged fire with law enforcement, reportedly discharging over 100 rounds. Dozens of police units and SWAT officers swarmed the area </w:t>
      </w:r>
      <w:proofErr w:type="gramStart"/>
      <w:r w:rsidRPr="005B3ECE">
        <w:t>as</w:t>
      </w:r>
      <w:proofErr w:type="gramEnd"/>
      <w:r w:rsidRPr="005B3ECE">
        <w:t xml:space="preserve"> efforts to extract the wounded intensified.</w:t>
      </w:r>
    </w:p>
    <w:p w14:paraId="2F29C216" w14:textId="77777777" w:rsidR="002718E8" w:rsidRPr="005B3ECE" w:rsidRDefault="002718E8" w:rsidP="002718E8">
      <w:pPr>
        <w:pStyle w:val="NoSpacing"/>
        <w:ind w:left="720"/>
        <w:rPr>
          <w:bCs/>
        </w:rPr>
      </w:pPr>
      <w:r w:rsidRPr="000F59E3">
        <w:t>Shortly after 4:30 p.m. – standoff ends</w:t>
      </w:r>
      <w:r w:rsidRPr="005B3ECE">
        <w:br/>
        <w:t>Hughes was eventually shot and killed when he emerged from the second-story window. But the damage had already been done.</w:t>
      </w:r>
    </w:p>
    <w:p w14:paraId="7007854E" w14:textId="77777777" w:rsidR="002718E8" w:rsidRPr="005B3ECE" w:rsidRDefault="002718E8" w:rsidP="002718E8">
      <w:pPr>
        <w:pStyle w:val="NoSpacing"/>
        <w:ind w:left="720"/>
        <w:rPr>
          <w:bCs/>
        </w:rPr>
      </w:pPr>
      <w:r w:rsidRPr="000F59E3">
        <w:t>That evening – officers confirmed dead</w:t>
      </w:r>
      <w:r w:rsidRPr="000F59E3">
        <w:br/>
      </w:r>
      <w:r w:rsidRPr="005B3ECE">
        <w:t>Three members of the Task Force — North Carolina Department of Adult Correction Investigators Sam Poloche and William Elliot, and Deputy U.S. Marshal Thomas Weeks — were pronounced dead at the hospital. CMPD Officer Joshua Eyer, a six-year veteran, was critically injured and passed away later that evening.</w:t>
      </w:r>
      <w:r>
        <w:t>”</w:t>
      </w:r>
    </w:p>
    <w:p w14:paraId="3E1AB0D1" w14:textId="77777777" w:rsidR="00920DD8" w:rsidRDefault="00920DD8" w:rsidP="00F326E5">
      <w:pPr>
        <w:pStyle w:val="NoSpacing"/>
        <w:rPr>
          <w:rFonts w:ascii="Arial Black" w:hAnsi="Arial Black"/>
          <w:sz w:val="24"/>
          <w:szCs w:val="24"/>
        </w:rPr>
      </w:pPr>
    </w:p>
    <w:p w14:paraId="58BF32B5" w14:textId="77777777" w:rsidR="00A70464" w:rsidRDefault="00A70464" w:rsidP="00F326E5">
      <w:pPr>
        <w:pStyle w:val="NoSpacing"/>
        <w:rPr>
          <w:rFonts w:ascii="Arial Black" w:hAnsi="Arial Black"/>
          <w:sz w:val="24"/>
          <w:szCs w:val="24"/>
        </w:rPr>
      </w:pPr>
    </w:p>
    <w:p w14:paraId="0B17965C" w14:textId="77777777" w:rsidR="00A70464" w:rsidRDefault="00A70464" w:rsidP="00F326E5">
      <w:pPr>
        <w:pStyle w:val="NoSpacing"/>
        <w:rPr>
          <w:rFonts w:ascii="Arial Black" w:hAnsi="Arial Black"/>
          <w:sz w:val="24"/>
          <w:szCs w:val="24"/>
        </w:rPr>
      </w:pPr>
    </w:p>
    <w:p w14:paraId="5025983E" w14:textId="3A091FD9" w:rsidR="00920DD8" w:rsidRDefault="00920DD8" w:rsidP="00F326E5">
      <w:pPr>
        <w:pStyle w:val="NoSpacing"/>
        <w:rPr>
          <w:rFonts w:ascii="Arial Black" w:hAnsi="Arial Black"/>
          <w:sz w:val="24"/>
          <w:szCs w:val="24"/>
        </w:rPr>
      </w:pPr>
      <w:r>
        <w:rPr>
          <w:rFonts w:ascii="Arial Black" w:hAnsi="Arial Black"/>
          <w:sz w:val="24"/>
          <w:szCs w:val="24"/>
        </w:rPr>
        <w:t>17-59</w:t>
      </w:r>
    </w:p>
    <w:p w14:paraId="3A6D3D97" w14:textId="77777777" w:rsidR="00920DD8" w:rsidRDefault="00920DD8" w:rsidP="00F326E5">
      <w:pPr>
        <w:pStyle w:val="NoSpacing"/>
        <w:rPr>
          <w:rFonts w:ascii="Arial Black" w:hAnsi="Arial Black"/>
          <w:sz w:val="24"/>
          <w:szCs w:val="24"/>
        </w:rPr>
      </w:pPr>
    </w:p>
    <w:p w14:paraId="10318CC9" w14:textId="77777777" w:rsidR="00920DD8" w:rsidRPr="00694417" w:rsidRDefault="00920DD8" w:rsidP="00920DD8">
      <w:pPr>
        <w:pStyle w:val="NoSpacing"/>
        <w:rPr>
          <w:rFonts w:ascii="Arial Black" w:hAnsi="Arial Black"/>
          <w:sz w:val="28"/>
          <w:szCs w:val="28"/>
        </w:rPr>
      </w:pPr>
      <w:r>
        <w:rPr>
          <w:rFonts w:ascii="Arial Black" w:hAnsi="Arial Black"/>
          <w:sz w:val="28"/>
          <w:szCs w:val="28"/>
        </w:rPr>
        <w:t xml:space="preserve">IL: PREG LEAVE – 112 DAYS - SENIORITY RECORD FIXED </w:t>
      </w:r>
    </w:p>
    <w:p w14:paraId="57F2B8E9" w14:textId="77777777" w:rsidR="00920DD8" w:rsidRDefault="00920DD8" w:rsidP="00920DD8">
      <w:pPr>
        <w:pStyle w:val="NoSpacing"/>
      </w:pPr>
    </w:p>
    <w:p w14:paraId="15AC9DD6" w14:textId="77777777" w:rsidR="00920DD8" w:rsidRDefault="00920DD8" w:rsidP="00920DD8">
      <w:pPr>
        <w:pStyle w:val="NoSpacing"/>
      </w:pPr>
      <w:r>
        <w:t xml:space="preserve">On March 10, 2026, in </w:t>
      </w:r>
      <w:r w:rsidRPr="00D3705A">
        <w:rPr>
          <w:u w:val="single"/>
        </w:rPr>
        <w:t>Sarah Schmidt v. City of Naperville</w:t>
      </w:r>
      <w:r>
        <w:t xml:space="preserve">, U.S. District Court Judge </w:t>
      </w:r>
      <w:r w:rsidRPr="00B729AD">
        <w:t>Steven C. Seeger</w:t>
      </w:r>
      <w:r>
        <w:t xml:space="preserve">. United States District Court for the Northern District of Illinois, Eastern Division, granted the City’s motion for summary judgment.  Plaintiff took maternity leave for first child starting in November 2012, and second child in June 2014, but the Fire Department mistakenly didn’t reduce 112 days of unpaid leave until the 2020 seniority list.  </w:t>
      </w:r>
      <w:r w:rsidRPr="00B36ADD">
        <w:t xml:space="preserve">In September 2022, </w:t>
      </w:r>
      <w:r>
        <w:t xml:space="preserve">it also </w:t>
      </w:r>
      <w:r w:rsidRPr="00B36ADD">
        <w:t>expressly flagged that correction</w:t>
      </w:r>
      <w:r>
        <w:t>, but it never told the firefighter or her union</w:t>
      </w:r>
      <w:r w:rsidRPr="00B36ADD">
        <w:t>.</w:t>
      </w:r>
      <w:r>
        <w:t xml:space="preserve">  She learned about the correction in June 2023 and filed EEOC charge.  EEOC charges must be filed within 300 days – way after the change was flagged, and the Court stated: “</w:t>
      </w:r>
      <w:r w:rsidRPr="00694417">
        <w:t>The bottom line is that Schmidt slept on her rights.</w:t>
      </w:r>
      <w:r>
        <w:t>”</w:t>
      </w:r>
    </w:p>
    <w:p w14:paraId="1A2FD065" w14:textId="77777777" w:rsidR="00920DD8" w:rsidRDefault="00920DD8" w:rsidP="00920DD8">
      <w:pPr>
        <w:pStyle w:val="NoSpacing"/>
      </w:pPr>
      <w:hyperlink r:id="rId2816" w:history="1">
        <w:r w:rsidRPr="00502BCE">
          <w:rPr>
            <w:rStyle w:val="Hyperlink"/>
          </w:rPr>
          <w:t>https://cases.justia.com/federal/district-courts/illinois/ilndce/1:2024cv01517/455667/32/0.pdf?ts=1773244215</w:t>
        </w:r>
      </w:hyperlink>
      <w:r>
        <w:t xml:space="preserve"> </w:t>
      </w:r>
    </w:p>
    <w:p w14:paraId="375A6844" w14:textId="77777777" w:rsidR="00920DD8" w:rsidRDefault="00920DD8" w:rsidP="00920DD8">
      <w:pPr>
        <w:pStyle w:val="NoSpacing"/>
      </w:pPr>
    </w:p>
    <w:p w14:paraId="225ECDAD" w14:textId="77777777" w:rsidR="00920DD8" w:rsidRPr="0020661A" w:rsidRDefault="00920DD8" w:rsidP="00920DD8">
      <w:pPr>
        <w:pStyle w:val="NoSpacing"/>
      </w:pPr>
      <w:r>
        <w:t>THE COURT HELD:  “</w:t>
      </w:r>
      <w:r w:rsidRPr="0020661A">
        <w:t xml:space="preserve">On September 22, 2022, </w:t>
      </w:r>
      <w:r w:rsidRPr="00FB6E6E">
        <w:t> Division Chief Daniel</w:t>
      </w:r>
      <w:r>
        <w:t>]</w:t>
      </w:r>
      <w:r w:rsidRPr="00FB6E6E">
        <w:t xml:space="preserve"> Smith</w:t>
      </w:r>
      <w:r w:rsidRPr="0020661A">
        <w:t xml:space="preserve"> published the 2023 seniority list. For the first time, Smith added a notation that called attention to the reduction in Schmidt's seniority. </w:t>
      </w:r>
    </w:p>
    <w:p w14:paraId="2A051893" w14:textId="77777777" w:rsidR="00920DD8" w:rsidRDefault="00920DD8" w:rsidP="00920DD8">
      <w:pPr>
        <w:pStyle w:val="NoSpacing"/>
        <w:ind w:left="540"/>
      </w:pPr>
    </w:p>
    <w:p w14:paraId="208C981F" w14:textId="77777777" w:rsidR="00920DD8" w:rsidRDefault="00920DD8" w:rsidP="00920DD8">
      <w:pPr>
        <w:pStyle w:val="NoSpacing"/>
        <w:ind w:left="540"/>
      </w:pPr>
      <w:r w:rsidRPr="0020661A">
        <w:t xml:space="preserve">“Schmidt </w:t>
      </w:r>
      <w:proofErr w:type="spellStart"/>
      <w:r w:rsidRPr="0020661A">
        <w:t>seniorty</w:t>
      </w:r>
      <w:proofErr w:type="spellEnd"/>
      <w:r w:rsidRPr="0020661A">
        <w:t xml:space="preserve"> [sic] reduced by 112 days. 2 [leave of absences] 11/12 &amp; 6/14.” </w:t>
      </w:r>
    </w:p>
    <w:p w14:paraId="4CB49322" w14:textId="77777777" w:rsidR="00920DD8" w:rsidRDefault="00920DD8" w:rsidP="00920DD8">
      <w:pPr>
        <w:pStyle w:val="NoSpacing"/>
        <w:ind w:left="540"/>
      </w:pPr>
    </w:p>
    <w:p w14:paraId="467D7032" w14:textId="77777777" w:rsidR="00920DD8" w:rsidRDefault="00920DD8" w:rsidP="00920DD8">
      <w:pPr>
        <w:pStyle w:val="NoSpacing"/>
      </w:pPr>
      <w:r w:rsidRPr="0020661A">
        <w:t xml:space="preserve">The numbers at the end reflected the months and years when Schmidt took leave, meaning November 2012 and June 2014. </w:t>
      </w:r>
    </w:p>
    <w:p w14:paraId="5545F6C5" w14:textId="77777777" w:rsidR="00920DD8" w:rsidRDefault="00920DD8" w:rsidP="00920DD8">
      <w:pPr>
        <w:pStyle w:val="NoSpacing"/>
      </w:pPr>
    </w:p>
    <w:p w14:paraId="7818BDC7" w14:textId="77777777" w:rsidR="00920DD8" w:rsidRDefault="00920DD8" w:rsidP="00920DD8">
      <w:pPr>
        <w:pStyle w:val="NoSpacing"/>
      </w:pPr>
      <w:r>
        <w:t>***</w:t>
      </w:r>
    </w:p>
    <w:p w14:paraId="68356FCE" w14:textId="77777777" w:rsidR="00920DD8" w:rsidRPr="0020661A" w:rsidRDefault="00920DD8" w:rsidP="00920DD8">
      <w:pPr>
        <w:pStyle w:val="NoSpacing"/>
      </w:pPr>
    </w:p>
    <w:p w14:paraId="650F1D0E" w14:textId="77777777" w:rsidR="00920DD8" w:rsidRDefault="00920DD8" w:rsidP="00920DD8">
      <w:pPr>
        <w:pStyle w:val="NoSpacing"/>
      </w:pPr>
      <w:r w:rsidRPr="001D3766">
        <w:t>The list is available to the employees, but the fire department does not send the list directly to the employees, either. Employees do not receive an email or other notification when Smith publishes the seniority list</w:t>
      </w:r>
      <w:r>
        <w:t xml:space="preserve">…. </w:t>
      </w:r>
      <w:r w:rsidRPr="0076125A">
        <w:t> Even so, the publication of the list does take place at the same time as the sweepstakes for vacation time. Every year, the fire department sends an official notice that bidding on the upcoming year's vacation days has begun.</w:t>
      </w:r>
      <w:r>
        <w:t>”</w:t>
      </w:r>
    </w:p>
    <w:p w14:paraId="0FDA9F85" w14:textId="77777777" w:rsidR="00920DD8" w:rsidRDefault="00920DD8" w:rsidP="00920DD8">
      <w:pPr>
        <w:pStyle w:val="NoSpacing"/>
      </w:pPr>
    </w:p>
    <w:p w14:paraId="51266757" w14:textId="77777777" w:rsidR="00920DD8" w:rsidRDefault="00920DD8" w:rsidP="00920DD8">
      <w:pPr>
        <w:pStyle w:val="NoSpacing"/>
        <w:rPr>
          <w:b/>
          <w:bCs/>
        </w:rPr>
      </w:pPr>
      <w:r>
        <w:rPr>
          <w:b/>
        </w:rPr>
        <w:t>***</w:t>
      </w:r>
    </w:p>
    <w:p w14:paraId="49574D05" w14:textId="77777777" w:rsidR="00920DD8" w:rsidRDefault="00920DD8" w:rsidP="00920DD8">
      <w:pPr>
        <w:pStyle w:val="NoSpacing"/>
      </w:pPr>
    </w:p>
    <w:p w14:paraId="35329F8B" w14:textId="77777777" w:rsidR="00920DD8" w:rsidRDefault="00920DD8" w:rsidP="00920DD8">
      <w:pPr>
        <w:pStyle w:val="NoSpacing"/>
      </w:pPr>
      <w:r w:rsidRPr="00EC7E1B">
        <w:t>During her tenure, Schmidt took two pregnancy-related periods of unpaid leave lasting longer than 30 days. In 2012, Schmidt was pregnant and took unpaid leave from November 30, 2012, to January 13, 2013</w:t>
      </w:r>
      <w:r>
        <w:t xml:space="preserve">…. </w:t>
      </w:r>
      <w:r w:rsidRPr="00EC7E1B">
        <w:t>In 2014, Schmidt had another child, taking unpaid leave from June 8 to August 24, 2014</w:t>
      </w:r>
      <w:r>
        <w:t xml:space="preserve">…. </w:t>
      </w:r>
      <w:r w:rsidRPr="00590CEE">
        <w:t xml:space="preserve">So, Schmidt took unpaid leave twice, and each absence lasted longer than 30 consecutive days. She took unpaid leave for a total of 112 days. Under the CBA, Schmidt was not entitled to seniority credit for that </w:t>
      </w:r>
      <w:proofErr w:type="gramStart"/>
      <w:r w:rsidRPr="00590CEE">
        <w:t>period of time</w:t>
      </w:r>
      <w:proofErr w:type="gramEnd"/>
      <w:r w:rsidRPr="00590CEE">
        <w:t xml:space="preserve">. </w:t>
      </w:r>
      <w:r w:rsidRPr="00590CEE">
        <w:rPr>
          <w:i/>
          <w:iCs/>
        </w:rPr>
        <w:t>See</w:t>
      </w:r>
      <w:r w:rsidRPr="00590CEE">
        <w:t xml:space="preserve"> CBA, at § 8.1 (</w:t>
      </w:r>
      <w:proofErr w:type="spellStart"/>
      <w:r w:rsidRPr="00590CEE">
        <w:t>Dckt</w:t>
      </w:r>
      <w:proofErr w:type="spellEnd"/>
      <w:r w:rsidRPr="00590CEE">
        <w:t>. No. 26-2).</w:t>
      </w:r>
      <w:r>
        <w:t>”</w:t>
      </w:r>
    </w:p>
    <w:p w14:paraId="721F7275" w14:textId="77777777" w:rsidR="00920DD8" w:rsidRDefault="00920DD8" w:rsidP="00920DD8">
      <w:pPr>
        <w:pStyle w:val="NoSpacing"/>
      </w:pPr>
    </w:p>
    <w:p w14:paraId="3B76DFFA" w14:textId="77777777" w:rsidR="00920DD8" w:rsidRPr="007E1C7E" w:rsidRDefault="00920DD8" w:rsidP="00920DD8">
      <w:pPr>
        <w:pStyle w:val="NoSpacing"/>
        <w:rPr>
          <w:b/>
          <w:bCs/>
        </w:rPr>
      </w:pPr>
      <w:r w:rsidRPr="007E1C7E">
        <w:rPr>
          <w:b/>
        </w:rPr>
        <w:t>Legal lesson learned:</w:t>
      </w:r>
      <w:r>
        <w:rPr>
          <w:b/>
        </w:rPr>
        <w:t xml:space="preserve"> The Fire Department, when it learned of its mistake in not reducing the seniority, “flagged” the correction on the 2023 seniority list; perhaps they could have avoided the EEOC charge and this litigation if they had simply advised her (and her union) of the correction. </w:t>
      </w:r>
    </w:p>
    <w:p w14:paraId="5A7B3BD5" w14:textId="77777777" w:rsidR="00920DD8" w:rsidRDefault="00920DD8" w:rsidP="00920DD8">
      <w:pPr>
        <w:pStyle w:val="NoSpacing"/>
      </w:pPr>
    </w:p>
    <w:p w14:paraId="44B33531" w14:textId="77777777" w:rsidR="00920DD8" w:rsidRPr="00EF7DF1" w:rsidRDefault="00920DD8" w:rsidP="00920DD8">
      <w:pPr>
        <w:pStyle w:val="NoSpacing"/>
        <w:ind w:left="720"/>
      </w:pPr>
      <w:r>
        <w:t>Note: The Court stated: “</w:t>
      </w:r>
      <w:r w:rsidRPr="00EF7DF1">
        <w:t xml:space="preserve">For whatever reason, no one from the fire department reached out to Schmidt directly and drew her attention to the correction. And for whatever reason, Schmidt did not notice the correction in the 2020 seniority list, or the 2021 seniority list, or the 2022 seniority list. Schmidt didn't realize that the fire department had reduced her seniority until June </w:t>
      </w:r>
      <w:proofErr w:type="gramStart"/>
      <w:r w:rsidRPr="00EF7DF1">
        <w:t>2023.</w:t>
      </w:r>
      <w:r>
        <w:t>”</w:t>
      </w:r>
      <w:proofErr w:type="gramEnd"/>
    </w:p>
    <w:p w14:paraId="2A0C7856" w14:textId="77777777" w:rsidR="00920DD8" w:rsidRDefault="00920DD8" w:rsidP="00920DD8">
      <w:pPr>
        <w:pStyle w:val="NoSpacing"/>
        <w:ind w:left="720"/>
      </w:pPr>
    </w:p>
    <w:p w14:paraId="3B71456C" w14:textId="77777777" w:rsidR="00920DD8" w:rsidRDefault="00920DD8" w:rsidP="00920DD8">
      <w:pPr>
        <w:pStyle w:val="NoSpacing"/>
        <w:ind w:left="720"/>
      </w:pPr>
    </w:p>
    <w:p w14:paraId="03811355" w14:textId="77777777" w:rsidR="00920DD8" w:rsidRDefault="00920DD8" w:rsidP="00920DD8">
      <w:pPr>
        <w:pStyle w:val="NoSpacing"/>
        <w:rPr>
          <w:b/>
        </w:rPr>
      </w:pPr>
    </w:p>
    <w:p w14:paraId="09CF6838" w14:textId="77777777" w:rsidR="00920DD8" w:rsidRDefault="00920DD8" w:rsidP="00920DD8">
      <w:pPr>
        <w:pStyle w:val="NoSpacing"/>
      </w:pPr>
    </w:p>
    <w:p w14:paraId="74DDD2A1" w14:textId="77777777" w:rsidR="00920DD8" w:rsidRDefault="00920DD8" w:rsidP="00920DD8">
      <w:pPr>
        <w:pStyle w:val="NoSpacing"/>
        <w:rPr>
          <w:bCs/>
        </w:rPr>
      </w:pPr>
    </w:p>
    <w:p w14:paraId="440BB528" w14:textId="77777777" w:rsidR="00920DD8" w:rsidRDefault="00920DD8" w:rsidP="00F326E5">
      <w:pPr>
        <w:pStyle w:val="NoSpacing"/>
        <w:rPr>
          <w:rFonts w:ascii="Arial Black" w:hAnsi="Arial Black"/>
          <w:sz w:val="24"/>
          <w:szCs w:val="24"/>
        </w:rPr>
      </w:pPr>
    </w:p>
    <w:p w14:paraId="55F76264" w14:textId="77777777" w:rsidR="00920DD8" w:rsidRDefault="00920DD8" w:rsidP="00F326E5">
      <w:pPr>
        <w:pStyle w:val="NoSpacing"/>
        <w:rPr>
          <w:rFonts w:ascii="Arial Black" w:hAnsi="Arial Black"/>
          <w:sz w:val="24"/>
          <w:szCs w:val="24"/>
        </w:rPr>
      </w:pPr>
    </w:p>
    <w:p w14:paraId="115F9665" w14:textId="4D4E7550" w:rsidR="0022047A" w:rsidRDefault="0022047A" w:rsidP="00F326E5">
      <w:pPr>
        <w:pStyle w:val="NoSpacing"/>
        <w:rPr>
          <w:rFonts w:ascii="Arial Black" w:hAnsi="Arial Black"/>
          <w:sz w:val="24"/>
          <w:szCs w:val="24"/>
        </w:rPr>
      </w:pPr>
      <w:r>
        <w:rPr>
          <w:rFonts w:ascii="Arial Black" w:hAnsi="Arial Black"/>
          <w:sz w:val="24"/>
          <w:szCs w:val="24"/>
        </w:rPr>
        <w:t>17-</w:t>
      </w:r>
      <w:r w:rsidR="00420A23">
        <w:rPr>
          <w:rFonts w:ascii="Arial Black" w:hAnsi="Arial Black"/>
          <w:sz w:val="24"/>
          <w:szCs w:val="24"/>
        </w:rPr>
        <w:t>58</w:t>
      </w:r>
    </w:p>
    <w:p w14:paraId="387E7D68" w14:textId="77777777" w:rsidR="00420A23" w:rsidRPr="00B177C5" w:rsidRDefault="00420A23" w:rsidP="00420A23">
      <w:pPr>
        <w:pStyle w:val="NoSpacing"/>
        <w:rPr>
          <w:rFonts w:ascii="Arial Black" w:hAnsi="Arial Black"/>
          <w:sz w:val="28"/>
          <w:szCs w:val="28"/>
        </w:rPr>
      </w:pPr>
      <w:r>
        <w:rPr>
          <w:rFonts w:ascii="Arial Black" w:hAnsi="Arial Black"/>
          <w:sz w:val="28"/>
          <w:szCs w:val="28"/>
        </w:rPr>
        <w:t>SC: UNION PRES. FIRED – CASE PROCEED – 1</w:t>
      </w:r>
      <w:r w:rsidRPr="005C3937">
        <w:rPr>
          <w:rFonts w:ascii="Arial Black" w:hAnsi="Arial Black"/>
          <w:sz w:val="28"/>
          <w:szCs w:val="28"/>
          <w:vertAlign w:val="superscript"/>
        </w:rPr>
        <w:t>st</w:t>
      </w:r>
      <w:r>
        <w:rPr>
          <w:rFonts w:ascii="Arial Black" w:hAnsi="Arial Black"/>
          <w:sz w:val="28"/>
          <w:szCs w:val="28"/>
        </w:rPr>
        <w:t xml:space="preserve"> AMEND.  </w:t>
      </w:r>
    </w:p>
    <w:p w14:paraId="679DDE63" w14:textId="77777777" w:rsidR="00420A23" w:rsidRDefault="00420A23" w:rsidP="00420A23">
      <w:pPr>
        <w:pStyle w:val="NoSpacing"/>
      </w:pPr>
    </w:p>
    <w:p w14:paraId="2E69737A" w14:textId="77777777" w:rsidR="00420A23" w:rsidRDefault="00420A23" w:rsidP="00420A23">
      <w:r>
        <w:t xml:space="preserve">On February 3, 2026, in </w:t>
      </w:r>
      <w:r w:rsidRPr="004A13ED">
        <w:rPr>
          <w:u w:val="single"/>
        </w:rPr>
        <w:t>Gregory Cargill v. The City of Greenville, et al</w:t>
      </w:r>
      <w:r>
        <w:t>., U.S. District Court Judge Jacquelyn D. Austin</w:t>
      </w:r>
      <w:r w:rsidRPr="002764C6">
        <w:t>, United States District Court for the District of South Carolina, Greenville Division</w:t>
      </w:r>
      <w:r>
        <w:t>. Denied the City’s motion to dismiss. Firefighter Cargill was President of IAFF Local 2261 and requested a meeting with the Fire Chief; o</w:t>
      </w:r>
      <w:r w:rsidRPr="00A04EFF">
        <w:t xml:space="preserve">n August 28, 2024, Chief Horton responded by email stating the City would not engage in collective bargaining with Local 2261 but that he would meet with Plaintiff “Chief to firefighter,” and he directed Plaintiff to go through the chain of command to set up the meeting or for any other communications. </w:t>
      </w:r>
      <w:r>
        <w:t xml:space="preserve">Cargill attended City Council meeting on September 9, 2024, spoke with member of the Council, on October 12, 2024 he sent letter on Union Letterhead to City Manager about poor morale, and then was fired by the Fire Chief on October 20, 2024. </w:t>
      </w:r>
      <w:hyperlink r:id="rId2817" w:history="1">
        <w:r w:rsidRPr="00734647">
          <w:rPr>
            <w:rStyle w:val="Hyperlink"/>
          </w:rPr>
          <w:t>https://public.fastcase.com/Jhe1Qn%2BmJndQYQU6z%2FeNmxCPiZizVlc11JYA3odTB4IhzrCNgoXQd5cis%2BDwnvItMWV</w:t>
        </w:r>
        <w:r w:rsidRPr="00734647">
          <w:rPr>
            <w:rStyle w:val="Hyperlink"/>
          </w:rPr>
          <w:lastRenderedPageBreak/>
          <w:t>DGFMSfq0NQT9Gs0Nt1TNd1VW0h9sJNC6uT%2FjNAHc%3D?utm_medium=email&amp;_hsenc=p2ANqtz-8-aEXaYfaNma4DTW9HUN_1FUQQoclWpkG9e_9BTRsreHlU-cWJ1LgKYyHosOTXLG__w-panONGFSrnN_jSAOz_10UwNA&amp;_hsmi=226712652&amp;utm_content=226712652&amp;utm_source=hs_email</w:t>
        </w:r>
      </w:hyperlink>
      <w:r>
        <w:t xml:space="preserve"> </w:t>
      </w:r>
    </w:p>
    <w:p w14:paraId="1E7FDE4C" w14:textId="77777777" w:rsidR="00420A23" w:rsidRDefault="00420A23" w:rsidP="00420A23">
      <w:pPr>
        <w:pStyle w:val="NoSpacing"/>
      </w:pPr>
      <w:r>
        <w:t>THE COURT HELD: “</w:t>
      </w:r>
      <w:r w:rsidRPr="007B7961">
        <w:t xml:space="preserve">In particular, under the balancing test developed by the Supreme Court in </w:t>
      </w:r>
      <w:r w:rsidRPr="007B7961">
        <w:rPr>
          <w:i/>
          <w:iCs/>
        </w:rPr>
        <w:t>Pickering</w:t>
      </w:r>
      <w:r w:rsidRPr="007B7961">
        <w:t xml:space="preserve"> and </w:t>
      </w:r>
      <w:r w:rsidRPr="007B7961">
        <w:rPr>
          <w:i/>
          <w:iCs/>
        </w:rPr>
        <w:t>Connick</w:t>
      </w:r>
      <w:r w:rsidRPr="007B7961">
        <w:t xml:space="preserve">, “the First Amendment does not protect public employees when their speech interests are outweighed by the government's interest in providing efficient and effective services to the public.” </w:t>
      </w:r>
      <w:r w:rsidRPr="007B7961">
        <w:rPr>
          <w:i/>
          <w:iCs/>
        </w:rPr>
        <w:t xml:space="preserve">Lawson v. Union </w:t>
      </w:r>
      <w:proofErr w:type="spellStart"/>
      <w:r w:rsidRPr="007B7961">
        <w:rPr>
          <w:i/>
          <w:iCs/>
        </w:rPr>
        <w:t>Cty</w:t>
      </w:r>
      <w:proofErr w:type="spellEnd"/>
      <w:r w:rsidRPr="007B7961">
        <w:rPr>
          <w:i/>
          <w:iCs/>
        </w:rPr>
        <w:t>. Clerk of Court</w:t>
      </w:r>
      <w:r w:rsidRPr="007B7961">
        <w:t>, 828 F.3d 239, 247 (4th Cir. 2016).</w:t>
      </w:r>
      <w:r>
        <w:t xml:space="preserve"> </w:t>
      </w:r>
    </w:p>
    <w:p w14:paraId="2A7FCE52" w14:textId="77777777" w:rsidR="00420A23" w:rsidRDefault="00420A23" w:rsidP="00420A23">
      <w:pPr>
        <w:pStyle w:val="NoSpacing"/>
      </w:pPr>
      <w:r w:rsidRPr="00870424">
        <w:t xml:space="preserve">Accordingly, the Court concludes that Plaintiff has adequately pled that his speech was as a private citizen on a matter of public concern. </w:t>
      </w:r>
      <w:r w:rsidRPr="00870424">
        <w:rPr>
          <w:i/>
          <w:iCs/>
        </w:rPr>
        <w:t>See Liverman</w:t>
      </w:r>
      <w:r w:rsidRPr="00870424">
        <w:t xml:space="preserve">, 844 F.3d at 410 (holding speech was on a matter of public concern when the matter </w:t>
      </w:r>
      <w:r>
        <w:t>‘</w:t>
      </w:r>
      <w:r w:rsidRPr="00870424">
        <w:t>addressed was of more than personal import</w:t>
      </w:r>
      <w:r>
        <w:t>’</w:t>
      </w:r>
      <w:r w:rsidRPr="00870424">
        <w:t>).</w:t>
      </w:r>
      <w:r>
        <w:t>”</w:t>
      </w:r>
    </w:p>
    <w:p w14:paraId="041AE8EC" w14:textId="77777777" w:rsidR="00420A23" w:rsidRPr="003F10C2" w:rsidRDefault="00420A23" w:rsidP="00420A23">
      <w:pPr>
        <w:pStyle w:val="NoSpacing"/>
        <w:rPr>
          <w:b/>
          <w:bCs/>
        </w:rPr>
      </w:pPr>
    </w:p>
    <w:p w14:paraId="17666401" w14:textId="77777777" w:rsidR="00420A23" w:rsidRPr="00C45C5D" w:rsidRDefault="00420A23" w:rsidP="00420A23">
      <w:pPr>
        <w:pStyle w:val="NoSpacing"/>
        <w:rPr>
          <w:b/>
          <w:bCs/>
        </w:rPr>
      </w:pPr>
      <w:r w:rsidRPr="003F10C2">
        <w:rPr>
          <w:b/>
        </w:rPr>
        <w:t xml:space="preserve">Legal lesson learned: </w:t>
      </w:r>
      <w:r>
        <w:rPr>
          <w:b/>
        </w:rPr>
        <w:t xml:space="preserve">The Union President was communicating on matters of a public concern. </w:t>
      </w:r>
    </w:p>
    <w:p w14:paraId="4E172BAA" w14:textId="77777777" w:rsidR="00420A23" w:rsidRPr="003F10C2" w:rsidRDefault="00420A23" w:rsidP="00420A23">
      <w:pPr>
        <w:rPr>
          <w:b/>
          <w:bCs/>
        </w:rPr>
      </w:pPr>
    </w:p>
    <w:p w14:paraId="69F30687" w14:textId="77777777" w:rsidR="00420A23" w:rsidRPr="002764C6" w:rsidRDefault="00420A23" w:rsidP="00420A23"/>
    <w:p w14:paraId="19DFC468" w14:textId="77777777" w:rsidR="00420A23" w:rsidRDefault="00420A23" w:rsidP="00F326E5">
      <w:pPr>
        <w:pStyle w:val="NoSpacing"/>
        <w:rPr>
          <w:rFonts w:ascii="Arial Black" w:hAnsi="Arial Black"/>
          <w:sz w:val="24"/>
          <w:szCs w:val="24"/>
        </w:rPr>
      </w:pPr>
    </w:p>
    <w:p w14:paraId="35712AC9" w14:textId="77777777" w:rsidR="0022047A" w:rsidRDefault="0022047A" w:rsidP="00F326E5">
      <w:pPr>
        <w:pStyle w:val="NoSpacing"/>
        <w:rPr>
          <w:rFonts w:ascii="Arial Black" w:hAnsi="Arial Black"/>
          <w:sz w:val="24"/>
          <w:szCs w:val="24"/>
        </w:rPr>
      </w:pPr>
    </w:p>
    <w:p w14:paraId="31D202F7" w14:textId="77777777" w:rsidR="0022047A" w:rsidRDefault="0022047A" w:rsidP="00F326E5">
      <w:pPr>
        <w:pStyle w:val="NoSpacing"/>
        <w:rPr>
          <w:rFonts w:ascii="Arial Black" w:hAnsi="Arial Black"/>
          <w:sz w:val="24"/>
          <w:szCs w:val="24"/>
        </w:rPr>
      </w:pPr>
    </w:p>
    <w:p w14:paraId="0B0F6658" w14:textId="77777777" w:rsidR="0022047A" w:rsidRDefault="0022047A" w:rsidP="00F326E5">
      <w:pPr>
        <w:pStyle w:val="NoSpacing"/>
        <w:rPr>
          <w:rFonts w:ascii="Arial Black" w:hAnsi="Arial Black"/>
          <w:sz w:val="24"/>
          <w:szCs w:val="24"/>
        </w:rPr>
      </w:pPr>
    </w:p>
    <w:p w14:paraId="1EA97DAA" w14:textId="60C89BD7" w:rsidR="00D92FBD" w:rsidRDefault="00D92FBD" w:rsidP="00F326E5">
      <w:pPr>
        <w:pStyle w:val="NoSpacing"/>
        <w:rPr>
          <w:rFonts w:ascii="Arial Black" w:hAnsi="Arial Black"/>
          <w:sz w:val="24"/>
          <w:szCs w:val="24"/>
        </w:rPr>
      </w:pPr>
      <w:r>
        <w:rPr>
          <w:rFonts w:ascii="Arial Black" w:hAnsi="Arial Black"/>
          <w:sz w:val="24"/>
          <w:szCs w:val="24"/>
        </w:rPr>
        <w:t>17-57</w:t>
      </w:r>
    </w:p>
    <w:p w14:paraId="3EC77202" w14:textId="77777777" w:rsidR="00EA62D5" w:rsidRDefault="00EA62D5" w:rsidP="00F326E5">
      <w:pPr>
        <w:pStyle w:val="NoSpacing"/>
        <w:rPr>
          <w:rFonts w:ascii="Arial Black" w:hAnsi="Arial Black"/>
          <w:sz w:val="24"/>
          <w:szCs w:val="24"/>
        </w:rPr>
      </w:pPr>
    </w:p>
    <w:p w14:paraId="1C7453A6" w14:textId="10B1C6B5" w:rsidR="00EA62D5" w:rsidRPr="00753591" w:rsidRDefault="00EA62D5" w:rsidP="00EA62D5">
      <w:pPr>
        <w:pStyle w:val="NoSpacing"/>
        <w:rPr>
          <w:rFonts w:ascii="Arial Black" w:hAnsi="Arial Black"/>
          <w:sz w:val="28"/>
          <w:szCs w:val="28"/>
        </w:rPr>
      </w:pPr>
      <w:r>
        <w:rPr>
          <w:rFonts w:ascii="Arial Black" w:hAnsi="Arial Black"/>
          <w:sz w:val="28"/>
          <w:szCs w:val="28"/>
        </w:rPr>
        <w:t xml:space="preserve">CA: UNION PRES – </w:t>
      </w:r>
      <w:r w:rsidR="00645B9B">
        <w:rPr>
          <w:rFonts w:ascii="Arial Black" w:hAnsi="Arial Black"/>
          <w:sz w:val="28"/>
          <w:szCs w:val="28"/>
        </w:rPr>
        <w:t>STESS –</w:t>
      </w:r>
      <w:r w:rsidR="001276F8">
        <w:rPr>
          <w:rFonts w:ascii="Arial Black" w:hAnsi="Arial Black"/>
          <w:sz w:val="28"/>
          <w:szCs w:val="28"/>
        </w:rPr>
        <w:t xml:space="preserve"> </w:t>
      </w:r>
      <w:r>
        <w:rPr>
          <w:rFonts w:ascii="Arial Black" w:hAnsi="Arial Black"/>
          <w:sz w:val="28"/>
          <w:szCs w:val="28"/>
        </w:rPr>
        <w:t>ORDERED TAKE PSYCH EXAM</w:t>
      </w:r>
    </w:p>
    <w:p w14:paraId="35B9DB4D" w14:textId="77777777" w:rsidR="00EA62D5" w:rsidRDefault="00EA62D5" w:rsidP="00EA62D5">
      <w:pPr>
        <w:pStyle w:val="NoSpacing"/>
      </w:pPr>
    </w:p>
    <w:p w14:paraId="361EE434" w14:textId="77777777" w:rsidR="00EA62D5" w:rsidRDefault="00EA62D5" w:rsidP="00EA62D5">
      <w:pPr>
        <w:pStyle w:val="NoSpacing"/>
      </w:pPr>
      <w:r>
        <w:t xml:space="preserve">On Oct. 13, 2025, in </w:t>
      </w:r>
      <w:r w:rsidRPr="007B5174">
        <w:rPr>
          <w:u w:val="single"/>
        </w:rPr>
        <w:t>Ryan Mack v. City of Guadalupe, et al</w:t>
      </w:r>
      <w:r>
        <w:t xml:space="preserve">., </w:t>
      </w:r>
      <w:r w:rsidRPr="008C0CEB">
        <w:t>California Court of Appeal, Second District</w:t>
      </w:r>
      <w:r>
        <w:t xml:space="preserve"> held (3 to 0, unpublished decision) that trial court properly granted summary judgment to the defendants.  The firefighter was a Captain and a vocal Union President; on March 8, 2022, he took sick leave.  The Fire Chief called him to about his level of stress. and he replied,</w:t>
      </w:r>
      <w:r w:rsidRPr="007C4EF8">
        <w:t xml:space="preserve"> “I do not feel 100 percent, and</w:t>
      </w:r>
      <w:r>
        <w:t xml:space="preserve"> </w:t>
      </w:r>
      <w:r w:rsidRPr="007C4EF8">
        <w:t>I don’t feel capable of doing the job right now.”</w:t>
      </w:r>
      <w:r>
        <w:t xml:space="preserve"> On March 10, 2022, Human Resources manager advised him he was being ordered to take psychological and physical exam; he passed both and returned to work in April.  He continued work for next year and resigned on June 5, 2025. </w:t>
      </w:r>
      <w:hyperlink r:id="rId2818" w:history="1">
        <w:r w:rsidRPr="0024236A">
          <w:rPr>
            <w:rStyle w:val="Hyperlink"/>
          </w:rPr>
          <w:t>https://www4.courts.ca.gov/opinions/nonpub/B342205.PDF</w:t>
        </w:r>
      </w:hyperlink>
      <w:r>
        <w:t xml:space="preserve"> </w:t>
      </w:r>
    </w:p>
    <w:p w14:paraId="5A256074" w14:textId="77777777" w:rsidR="00EA62D5" w:rsidRDefault="00EA62D5" w:rsidP="00EA62D5">
      <w:pPr>
        <w:pStyle w:val="NoSpacing"/>
      </w:pPr>
    </w:p>
    <w:p w14:paraId="66F21981" w14:textId="77777777" w:rsidR="00EA62D5" w:rsidRDefault="00EA62D5" w:rsidP="00EA62D5">
      <w:pPr>
        <w:pStyle w:val="NoSpacing"/>
      </w:pPr>
      <w:r>
        <w:t xml:space="preserve">THE COURT HELD:  </w:t>
      </w:r>
    </w:p>
    <w:p w14:paraId="70C9621F" w14:textId="77777777" w:rsidR="00EA62D5" w:rsidRDefault="00EA62D5" w:rsidP="00EA62D5">
      <w:pPr>
        <w:pStyle w:val="NoSpacing"/>
      </w:pPr>
    </w:p>
    <w:p w14:paraId="78C62D8E" w14:textId="77777777" w:rsidR="00EA62D5" w:rsidRDefault="00EA62D5" w:rsidP="00EA62D5">
      <w:pPr>
        <w:pStyle w:val="NoSpacing"/>
        <w:ind w:left="720"/>
      </w:pPr>
      <w:r>
        <w:t>“We conclude appellant did not suffer an adverse employment action as a matter of law. Thus, summary adjudication was proper as to his discrimination and retaliation claims.</w:t>
      </w:r>
    </w:p>
    <w:p w14:paraId="65CE88CF" w14:textId="77777777" w:rsidR="00EA62D5" w:rsidRDefault="00EA62D5" w:rsidP="00EA62D5">
      <w:pPr>
        <w:pStyle w:val="NoSpacing"/>
        <w:ind w:left="720"/>
      </w:pPr>
    </w:p>
    <w:p w14:paraId="3F636084" w14:textId="77777777" w:rsidR="00EA62D5" w:rsidRDefault="00EA62D5" w:rsidP="00EA62D5">
      <w:pPr>
        <w:pStyle w:val="NoSpacing"/>
        <w:ind w:left="720"/>
      </w:pPr>
      <w:r>
        <w:t>***</w:t>
      </w:r>
    </w:p>
    <w:p w14:paraId="627A7055" w14:textId="77777777" w:rsidR="00EA62D5" w:rsidRDefault="00EA62D5" w:rsidP="00EA62D5">
      <w:pPr>
        <w:pStyle w:val="NoSpacing"/>
        <w:ind w:left="720"/>
      </w:pPr>
      <w:proofErr w:type="spellStart"/>
      <w:r>
        <w:t>Areasonable</w:t>
      </w:r>
      <w:proofErr w:type="spellEnd"/>
      <w:r>
        <w:t xml:space="preserve"> trier of fact could not find that the fitness for duty order was an adverse employment action. The City’s policy manual expressly authorized fitness for duty examinations. The City’s personnel policy does not list fitness for duty examinations in its discipline tiers, and Chief Cash declared he ‘did not mean it as discipline.’ Appellant was paid while on leave pending the two examinations. After passing the examinations, he was </w:t>
      </w:r>
      <w:proofErr w:type="gramStart"/>
      <w:r>
        <w:t>cleared</w:t>
      </w:r>
      <w:proofErr w:type="gramEnd"/>
      <w:r>
        <w:t xml:space="preserve"> to return to full duty in April, the month after the fitness for duty order issued. That order did not cause appellant professional harm, and such harm cannot reasonably be inferred from appellant’s resignation over a year later.”</w:t>
      </w:r>
    </w:p>
    <w:p w14:paraId="0E34588E" w14:textId="77777777" w:rsidR="00EA62D5" w:rsidRDefault="00EA62D5" w:rsidP="00EA62D5">
      <w:pPr>
        <w:pStyle w:val="NoSpacing"/>
        <w:ind w:left="720"/>
      </w:pPr>
    </w:p>
    <w:p w14:paraId="0935F3BD" w14:textId="0208A6D1" w:rsidR="00EA62D5" w:rsidRPr="009A4666" w:rsidRDefault="00EA62D5" w:rsidP="00EA62D5">
      <w:pPr>
        <w:pStyle w:val="NoSpacing"/>
        <w:rPr>
          <w:b/>
          <w:bCs/>
        </w:rPr>
      </w:pPr>
      <w:r>
        <w:rPr>
          <w:b/>
        </w:rPr>
        <w:t xml:space="preserve">Lesson learned: Psychological exam is not an adverse employment action. </w:t>
      </w:r>
    </w:p>
    <w:p w14:paraId="75D45D51" w14:textId="77777777" w:rsidR="00EA62D5" w:rsidRDefault="00EA62D5" w:rsidP="00EA62D5">
      <w:pPr>
        <w:pStyle w:val="NoSpacing"/>
        <w:rPr>
          <w:b/>
        </w:rPr>
      </w:pPr>
    </w:p>
    <w:p w14:paraId="7708821C" w14:textId="77777777" w:rsidR="00EA62D5" w:rsidRDefault="00EA62D5" w:rsidP="00F326E5">
      <w:pPr>
        <w:pStyle w:val="NoSpacing"/>
        <w:rPr>
          <w:rFonts w:ascii="Arial Black" w:hAnsi="Arial Black"/>
          <w:sz w:val="24"/>
          <w:szCs w:val="24"/>
        </w:rPr>
      </w:pPr>
    </w:p>
    <w:p w14:paraId="1DA1A392" w14:textId="77777777" w:rsidR="00D92FBD" w:rsidRDefault="00D92FBD" w:rsidP="00F326E5">
      <w:pPr>
        <w:pStyle w:val="NoSpacing"/>
        <w:rPr>
          <w:rFonts w:ascii="Arial Black" w:hAnsi="Arial Black"/>
          <w:sz w:val="24"/>
          <w:szCs w:val="24"/>
        </w:rPr>
      </w:pPr>
    </w:p>
    <w:p w14:paraId="4FF68C78" w14:textId="77777777" w:rsidR="00D92FBD" w:rsidRDefault="00D92FBD" w:rsidP="00F326E5">
      <w:pPr>
        <w:pStyle w:val="NoSpacing"/>
        <w:rPr>
          <w:rFonts w:ascii="Arial Black" w:hAnsi="Arial Black"/>
          <w:sz w:val="24"/>
          <w:szCs w:val="24"/>
        </w:rPr>
      </w:pPr>
    </w:p>
    <w:p w14:paraId="4A3DC83D" w14:textId="77777777" w:rsidR="00D92FBD" w:rsidRDefault="00D92FBD" w:rsidP="00F326E5">
      <w:pPr>
        <w:pStyle w:val="NoSpacing"/>
        <w:rPr>
          <w:rFonts w:ascii="Arial Black" w:hAnsi="Arial Black"/>
          <w:sz w:val="24"/>
          <w:szCs w:val="24"/>
        </w:rPr>
      </w:pPr>
    </w:p>
    <w:p w14:paraId="483BD300" w14:textId="4077AD3D" w:rsidR="007D54CE" w:rsidRDefault="00AD0728" w:rsidP="00F326E5">
      <w:pPr>
        <w:pStyle w:val="NoSpacing"/>
        <w:rPr>
          <w:rFonts w:ascii="Arial Black" w:hAnsi="Arial Black"/>
          <w:sz w:val="24"/>
          <w:szCs w:val="24"/>
        </w:rPr>
      </w:pPr>
      <w:r>
        <w:rPr>
          <w:rFonts w:ascii="Arial Black" w:hAnsi="Arial Black"/>
          <w:sz w:val="24"/>
          <w:szCs w:val="24"/>
        </w:rPr>
        <w:t>17-</w:t>
      </w:r>
      <w:r w:rsidR="002E26A8">
        <w:rPr>
          <w:rFonts w:ascii="Arial Black" w:hAnsi="Arial Black"/>
          <w:sz w:val="24"/>
          <w:szCs w:val="24"/>
        </w:rPr>
        <w:t>56</w:t>
      </w:r>
    </w:p>
    <w:p w14:paraId="2C14FDE4" w14:textId="77777777" w:rsidR="0079784D" w:rsidRDefault="0079784D" w:rsidP="002E26A8">
      <w:pPr>
        <w:rPr>
          <w:rFonts w:ascii="Arial Black" w:hAnsi="Arial Black"/>
          <w:sz w:val="28"/>
          <w:szCs w:val="28"/>
        </w:rPr>
      </w:pPr>
    </w:p>
    <w:p w14:paraId="0B19B00D" w14:textId="4C81D6A9" w:rsidR="002E26A8" w:rsidRDefault="002E26A8" w:rsidP="002E26A8">
      <w:pPr>
        <w:rPr>
          <w:rFonts w:ascii="Arial Black" w:hAnsi="Arial Black"/>
          <w:sz w:val="28"/>
          <w:szCs w:val="28"/>
        </w:rPr>
      </w:pPr>
      <w:r>
        <w:rPr>
          <w:rFonts w:ascii="Arial Black" w:hAnsi="Arial Black"/>
          <w:sz w:val="28"/>
          <w:szCs w:val="28"/>
        </w:rPr>
        <w:t>GA: FD WENT PART-TIME - NO BENEFITS – EVEN WK 40 HRS</w:t>
      </w:r>
    </w:p>
    <w:p w14:paraId="7383AABA" w14:textId="77777777" w:rsidR="002E26A8" w:rsidRDefault="002E26A8" w:rsidP="002E26A8">
      <w:pPr>
        <w:pStyle w:val="NoSpacing"/>
        <w:rPr>
          <w:bCs/>
        </w:rPr>
      </w:pPr>
      <w:r>
        <w:t xml:space="preserve">On September 8, 2025, in </w:t>
      </w:r>
      <w:r w:rsidRPr="00387901">
        <w:rPr>
          <w:u w:val="single"/>
        </w:rPr>
        <w:t>David Bibble</w:t>
      </w:r>
      <w:r>
        <w:rPr>
          <w:u w:val="single"/>
        </w:rPr>
        <w:t>, et al</w:t>
      </w:r>
      <w:r w:rsidRPr="00387901">
        <w:rPr>
          <w:u w:val="single"/>
        </w:rPr>
        <w:t xml:space="preserve"> v. City of Roswell</w:t>
      </w:r>
      <w:r>
        <w:t xml:space="preserve">, the </w:t>
      </w:r>
      <w:r w:rsidRPr="00C866E2">
        <w:t>Court of Appeals of Georgia, Third Division</w:t>
      </w:r>
      <w:r>
        <w:t xml:space="preserve"> held (3 to 0) that part-time firefighters, who may voluntarily work over 40 hours, are not entitled to retirement or other benefits of full-time city employees, including retirement. In 2000, FD transitioned from mostly career to part-time.</w:t>
      </w:r>
    </w:p>
    <w:p w14:paraId="1D3990C4" w14:textId="77777777" w:rsidR="002E26A8" w:rsidRDefault="002E26A8" w:rsidP="002E26A8">
      <w:pPr>
        <w:pStyle w:val="NoSpacing"/>
        <w:rPr>
          <w:bCs/>
        </w:rPr>
      </w:pPr>
    </w:p>
    <w:p w14:paraId="447377F5" w14:textId="77777777" w:rsidR="002E26A8" w:rsidRDefault="002E26A8" w:rsidP="002E26A8">
      <w:pPr>
        <w:pStyle w:val="NoSpacing"/>
        <w:rPr>
          <w:bCs/>
        </w:rPr>
      </w:pPr>
      <w:r w:rsidRPr="006D5938">
        <w:rPr>
          <w:b/>
        </w:rPr>
        <w:t>THE COURT HELD:</w:t>
      </w:r>
      <w:r>
        <w:t xml:space="preserve"> “[T]</w:t>
      </w:r>
      <w:r w:rsidRPr="00222A64">
        <w:t>he City did not require part-time firefighters to work a full-time</w:t>
      </w:r>
      <w:r>
        <w:t xml:space="preserve"> </w:t>
      </w:r>
      <w:r w:rsidRPr="00222A64">
        <w:t xml:space="preserve">firefighter schedule of 24 hours on/48 hours off, nor </w:t>
      </w:r>
      <w:proofErr w:type="gramStart"/>
      <w:r w:rsidRPr="00222A64">
        <w:t>were</w:t>
      </w:r>
      <w:proofErr w:type="gramEnd"/>
      <w:r w:rsidRPr="00222A64">
        <w:t xml:space="preserve"> they were required to work</w:t>
      </w:r>
      <w:r>
        <w:t xml:space="preserve"> </w:t>
      </w:r>
      <w:r w:rsidRPr="00222A64">
        <w:t>40 hours per week. Rather, part-time firefighters were required to work one twelve-hour weekday shift per week and one twelve-hour weekend shift per week. They were</w:t>
      </w:r>
      <w:r>
        <w:t xml:space="preserve"> </w:t>
      </w:r>
      <w:r w:rsidRPr="00222A64">
        <w:t xml:space="preserve">not required to be </w:t>
      </w:r>
      <w:proofErr w:type="gramStart"/>
      <w:r w:rsidRPr="00222A64">
        <w:t>on-call</w:t>
      </w:r>
      <w:proofErr w:type="gramEnd"/>
      <w:r w:rsidRPr="00222A64">
        <w:t>, they were not subject to being held over, and they were not</w:t>
      </w:r>
      <w:r>
        <w:t xml:space="preserve"> </w:t>
      </w:r>
      <w:r w:rsidRPr="00222A64">
        <w:t>required to work if they were unavailable. And they indicated when they were available</w:t>
      </w:r>
      <w:r>
        <w:t xml:space="preserve"> </w:t>
      </w:r>
      <w:r w:rsidRPr="00222A64">
        <w:t>to work. If any part-time firefighter chose to work more than the minimum</w:t>
      </w:r>
      <w:r>
        <w:t xml:space="preserve"> </w:t>
      </w:r>
      <w:r w:rsidRPr="00222A64">
        <w:t>requirement, they did so voluntarily</w:t>
      </w:r>
      <w:r>
        <w:t xml:space="preserve">….  Although many firefighters in part-time positions often worked more than 40 hours per week, the undisputed facts show that the plaintiffs were employed in part-time positions and worked extra hours voluntarily…. Even if the City’s scheduling of part-time firefighters to work additional hours without extending to them the benefits of full-time employment was unfair in some broad sense, ‘we are not at liberty to ignore the specific terms of the parties’ written agreement and rewrite or revise a contract under the guise of construing it.” Copeland v. Home Grown Music, Inc., 358 Ga. App. 743, 750 (1) (856 SE2d 325) (2021) (punctuation and footnote omitted).” </w:t>
      </w:r>
      <w:hyperlink r:id="rId2819" w:history="1">
        <w:r w:rsidRPr="008C7245">
          <w:rPr>
            <w:rStyle w:val="Hyperlink"/>
          </w:rPr>
          <w:t>https://cases.justia.com/georgia/court-of-appeals/2025-a25a0947.pdf?ts=1757355224</w:t>
        </w:r>
      </w:hyperlink>
    </w:p>
    <w:p w14:paraId="1CCDDA28" w14:textId="77777777" w:rsidR="002E26A8" w:rsidRDefault="002E26A8" w:rsidP="002E26A8">
      <w:pPr>
        <w:rPr>
          <w:bCs/>
        </w:rPr>
      </w:pPr>
    </w:p>
    <w:p w14:paraId="2036F671" w14:textId="77777777" w:rsidR="002E26A8" w:rsidRPr="00EF6273" w:rsidRDefault="002E26A8" w:rsidP="002E26A8">
      <w:pPr>
        <w:rPr>
          <w:b/>
        </w:rPr>
      </w:pPr>
      <w:r w:rsidRPr="00EF6273">
        <w:rPr>
          <w:b/>
        </w:rPr>
        <w:t>KEY FACTS:</w:t>
      </w:r>
    </w:p>
    <w:p w14:paraId="77991295" w14:textId="77777777" w:rsidR="002E26A8" w:rsidRPr="007E2916" w:rsidRDefault="002E26A8" w:rsidP="002E26A8">
      <w:pPr>
        <w:pStyle w:val="NoSpacing"/>
        <w:ind w:left="720"/>
        <w:rPr>
          <w:bCs/>
        </w:rPr>
      </w:pPr>
      <w:r>
        <w:t>“</w:t>
      </w:r>
      <w:r w:rsidRPr="007E2916">
        <w:t>As relevant to these appeals,</w:t>
      </w:r>
      <w:r>
        <w:t xml:space="preserve"> ‘</w:t>
      </w:r>
      <w:r w:rsidRPr="007E2916">
        <w:t>[</w:t>
      </w:r>
      <w:proofErr w:type="spellStart"/>
      <w:r w:rsidRPr="007E2916">
        <w:t>i</w:t>
      </w:r>
      <w:proofErr w:type="spellEnd"/>
      <w:r w:rsidRPr="007E2916">
        <w:t>]n 2000, the City converted from a system of employing mostly full-time</w:t>
      </w:r>
      <w:r>
        <w:t xml:space="preserve">  </w:t>
      </w:r>
      <w:r w:rsidRPr="007E2916">
        <w:t>firefighters – with some reliance on volunteer firefighters – to a system of employing</w:t>
      </w:r>
      <w:r>
        <w:t xml:space="preserve"> </w:t>
      </w:r>
      <w:r w:rsidRPr="007E2916">
        <w:t>a significant number of ‘part-time’ firefighters who are not entitled to the same</w:t>
      </w:r>
      <w:r>
        <w:t xml:space="preserve"> </w:t>
      </w:r>
      <w:r w:rsidRPr="007E2916">
        <w:t>benefits as full-time City employees.</w:t>
      </w:r>
      <w:r>
        <w:t>’</w:t>
      </w:r>
      <w:r w:rsidRPr="007E2916">
        <w:t xml:space="preserve"> Id. at 828. David Bible and Brian Rogers</w:t>
      </w:r>
    </w:p>
    <w:p w14:paraId="466ACD8C" w14:textId="77777777" w:rsidR="002E26A8" w:rsidRPr="007E2916" w:rsidRDefault="002E26A8" w:rsidP="002E26A8">
      <w:pPr>
        <w:pStyle w:val="NoSpacing"/>
        <w:ind w:firstLine="720"/>
        <w:rPr>
          <w:bCs/>
        </w:rPr>
      </w:pPr>
      <w:r w:rsidRPr="007E2916">
        <w:t>worked for the City’s Fire Department from 1992 until 2017, and from 2006 to 2018,</w:t>
      </w:r>
    </w:p>
    <w:p w14:paraId="0A5C5199" w14:textId="77777777" w:rsidR="002E26A8" w:rsidRPr="007E2916" w:rsidRDefault="002E26A8" w:rsidP="002E26A8">
      <w:pPr>
        <w:pStyle w:val="NoSpacing"/>
        <w:ind w:firstLine="720"/>
        <w:rPr>
          <w:bCs/>
        </w:rPr>
      </w:pPr>
      <w:r w:rsidRPr="007E2916">
        <w:t xml:space="preserve">respectively. Id. at 828. In August 2017, Bible and Rogers filed suit against the </w:t>
      </w:r>
      <w:proofErr w:type="gramStart"/>
      <w:r w:rsidRPr="007E2916">
        <w:t>City</w:t>
      </w:r>
      <w:proofErr w:type="gramEnd"/>
    </w:p>
    <w:p w14:paraId="12B316FA" w14:textId="77777777" w:rsidR="002E26A8" w:rsidRPr="007E2916" w:rsidRDefault="002E26A8" w:rsidP="002E26A8">
      <w:pPr>
        <w:pStyle w:val="NoSpacing"/>
        <w:ind w:firstLine="720"/>
        <w:rPr>
          <w:bCs/>
        </w:rPr>
      </w:pPr>
      <w:r w:rsidRPr="007E2916">
        <w:t xml:space="preserve">seeking to represent a class of </w:t>
      </w:r>
      <w:proofErr w:type="gramStart"/>
      <w:r w:rsidRPr="007E2916">
        <w:t>similarly-situated</w:t>
      </w:r>
      <w:proofErr w:type="gramEnd"/>
      <w:r w:rsidRPr="007E2916">
        <w:t xml:space="preserve"> firefighters, claiming that although</w:t>
      </w:r>
    </w:p>
    <w:p w14:paraId="7B8537BA" w14:textId="77777777" w:rsidR="002E26A8" w:rsidRPr="007E2916" w:rsidRDefault="002E26A8" w:rsidP="002E26A8">
      <w:pPr>
        <w:pStyle w:val="NoSpacing"/>
        <w:ind w:firstLine="720"/>
        <w:rPr>
          <w:bCs/>
        </w:rPr>
      </w:pPr>
      <w:proofErr w:type="gramStart"/>
      <w:r w:rsidRPr="007E2916">
        <w:t>they</w:t>
      </w:r>
      <w:proofErr w:type="gramEnd"/>
      <w:r w:rsidRPr="007E2916">
        <w:t xml:space="preserve"> worked at least 40 hours per week, they were improperly classified as part-time,</w:t>
      </w:r>
    </w:p>
    <w:p w14:paraId="40B7E2A4" w14:textId="77777777" w:rsidR="002E26A8" w:rsidRDefault="002E26A8" w:rsidP="002E26A8">
      <w:pPr>
        <w:pStyle w:val="NoSpacing"/>
        <w:ind w:left="720"/>
        <w:rPr>
          <w:bCs/>
        </w:rPr>
      </w:pPr>
      <w:r w:rsidRPr="007E2916">
        <w:t>which deprived them of full-time employee benefits under the City’s Human</w:t>
      </w:r>
      <w:r>
        <w:t xml:space="preserve"> </w:t>
      </w:r>
      <w:r w:rsidRPr="007E2916">
        <w:t>Resources Policies and Procedures Manual (</w:t>
      </w:r>
      <w:r>
        <w:t>‘</w:t>
      </w:r>
      <w:r w:rsidRPr="007E2916">
        <w:t>Policy Manual</w:t>
      </w:r>
      <w:r>
        <w:t>’</w:t>
      </w:r>
      <w:r w:rsidRPr="007E2916">
        <w:t>)</w:t>
      </w:r>
      <w:r>
        <w:t xml:space="preserve"> </w:t>
      </w:r>
      <w:r w:rsidRPr="009C4E57">
        <w:t>Specifically, they</w:t>
      </w:r>
      <w:r>
        <w:t xml:space="preserve"> </w:t>
      </w:r>
      <w:r w:rsidRPr="009C4E57">
        <w:t>sought retirement benefits under the City’s Defined Benefit Pension Plan, which</w:t>
      </w:r>
      <w:r>
        <w:t xml:space="preserve"> </w:t>
      </w:r>
      <w:r w:rsidRPr="009C4E57">
        <w:t>covered employees prior to March 1, 2011, and the City’s Defined Contribution Plan,</w:t>
      </w:r>
      <w:r>
        <w:t xml:space="preserve"> </w:t>
      </w:r>
      <w:r w:rsidRPr="009C4E57">
        <w:t>which covered employees hired on or after March 1, 2011</w:t>
      </w:r>
      <w:r>
        <w:t>.</w:t>
      </w:r>
    </w:p>
    <w:p w14:paraId="697E8205" w14:textId="77777777" w:rsidR="002E26A8" w:rsidRDefault="002E26A8" w:rsidP="002E26A8">
      <w:pPr>
        <w:pStyle w:val="NoSpacing"/>
        <w:ind w:left="720"/>
        <w:rPr>
          <w:bCs/>
        </w:rPr>
      </w:pPr>
    </w:p>
    <w:p w14:paraId="354EEEDB" w14:textId="77777777" w:rsidR="002E26A8" w:rsidRDefault="002E26A8" w:rsidP="002E26A8">
      <w:pPr>
        <w:pStyle w:val="NoSpacing"/>
        <w:ind w:left="720"/>
        <w:rPr>
          <w:bCs/>
        </w:rPr>
      </w:pPr>
      <w:r>
        <w:t>***</w:t>
      </w:r>
    </w:p>
    <w:p w14:paraId="302E16C2" w14:textId="77777777" w:rsidR="002E26A8" w:rsidRDefault="002E26A8" w:rsidP="002E26A8">
      <w:pPr>
        <w:pStyle w:val="NoSpacing"/>
        <w:ind w:left="720"/>
        <w:rPr>
          <w:bCs/>
        </w:rPr>
      </w:pPr>
      <w:r>
        <w:t>S</w:t>
      </w:r>
      <w:r w:rsidRPr="001E7C14">
        <w:t>ince 1983, the Policy Manual, as well as the</w:t>
      </w:r>
      <w:r>
        <w:t xml:space="preserve"> </w:t>
      </w:r>
      <w:r w:rsidRPr="001E7C14">
        <w:t>resolutions implementing it, stated that it could be amended by the City Council at</w:t>
      </w:r>
      <w:r>
        <w:t xml:space="preserve"> </w:t>
      </w:r>
      <w:r w:rsidRPr="001E7C14">
        <w:t xml:space="preserve">any time. The July 2002 version stated that the </w:t>
      </w:r>
      <w:r>
        <w:t>‘</w:t>
      </w:r>
      <w:r w:rsidRPr="001E7C14">
        <w:t>City reserves the right to amend,</w:t>
      </w:r>
      <w:r>
        <w:t xml:space="preserve"> </w:t>
      </w:r>
      <w:r w:rsidRPr="001E7C14">
        <w:t>modify, change, replace, suspend, or cancel any of its policies and procedures,</w:t>
      </w:r>
      <w:r>
        <w:t xml:space="preserve"> </w:t>
      </w:r>
      <w:r w:rsidRPr="001E7C14">
        <w:t>including this Manual, at any time, with or without notice, for any reason or no</w:t>
      </w:r>
      <w:r>
        <w:t xml:space="preserve"> </w:t>
      </w:r>
      <w:r w:rsidRPr="001E7C14">
        <w:t>reason[.]</w:t>
      </w:r>
      <w:r>
        <w:t>’</w:t>
      </w:r>
      <w:r w:rsidRPr="001E7C14">
        <w:t xml:space="preserve"> Once again, both named plaintiffs acknowledged receiving letters from the</w:t>
      </w:r>
      <w:r>
        <w:t xml:space="preserve"> </w:t>
      </w:r>
      <w:r w:rsidRPr="001E7C14">
        <w:t>City which accompanied the Policy Manual and stated that the Policy Manual was</w:t>
      </w:r>
      <w:r>
        <w:t xml:space="preserve"> </w:t>
      </w:r>
      <w:r w:rsidRPr="001E7C14">
        <w:t>subject to review and change by the City at any time. See OCGA § 13-1-1 (</w:t>
      </w:r>
      <w:r>
        <w:t>‘</w:t>
      </w:r>
      <w:r w:rsidRPr="001E7C14">
        <w:t>A contract</w:t>
      </w:r>
      <w:r>
        <w:t xml:space="preserve"> </w:t>
      </w:r>
      <w:r w:rsidRPr="001E7C14">
        <w:t>is an agreement between two or more parties for the doing or not doing of some</w:t>
      </w:r>
      <w:r>
        <w:t xml:space="preserve"> </w:t>
      </w:r>
      <w:r w:rsidRPr="001E7C14">
        <w:t>specified thing.</w:t>
      </w:r>
      <w:r>
        <w:t>’</w:t>
      </w:r>
      <w:r w:rsidRPr="001E7C14">
        <w:t>).</w:t>
      </w:r>
      <w:r>
        <w:t>”</w:t>
      </w:r>
    </w:p>
    <w:p w14:paraId="732BEA17" w14:textId="77777777" w:rsidR="002E26A8" w:rsidRDefault="002E26A8" w:rsidP="002E26A8">
      <w:pPr>
        <w:pStyle w:val="NoSpacing"/>
        <w:ind w:left="720"/>
      </w:pPr>
    </w:p>
    <w:p w14:paraId="76C0577C" w14:textId="77777777" w:rsidR="002E26A8" w:rsidRDefault="002E26A8" w:rsidP="002E26A8">
      <w:pPr>
        <w:pStyle w:val="NoSpacing"/>
        <w:rPr>
          <w:b/>
          <w:bCs/>
        </w:rPr>
      </w:pPr>
      <w:r>
        <w:rPr>
          <w:b/>
        </w:rPr>
        <w:t xml:space="preserve">Legal lesson learned: Part-time personnel who voluntarily offer to work over 40 hours in a work week do not therefore become </w:t>
      </w:r>
      <w:proofErr w:type="gramStart"/>
      <w:r>
        <w:rPr>
          <w:b/>
        </w:rPr>
        <w:t>full time</w:t>
      </w:r>
      <w:proofErr w:type="gramEnd"/>
      <w:r>
        <w:rPr>
          <w:b/>
        </w:rPr>
        <w:t xml:space="preserve"> employees entitled to full-time benefits. </w:t>
      </w:r>
    </w:p>
    <w:p w14:paraId="60893741" w14:textId="77777777" w:rsidR="002E26A8" w:rsidRDefault="002E26A8" w:rsidP="00F326E5">
      <w:pPr>
        <w:pStyle w:val="NoSpacing"/>
        <w:rPr>
          <w:rFonts w:ascii="Arial Black" w:hAnsi="Arial Black"/>
          <w:sz w:val="24"/>
          <w:szCs w:val="24"/>
        </w:rPr>
      </w:pPr>
    </w:p>
    <w:p w14:paraId="2C7A8C2E" w14:textId="77777777" w:rsidR="00AD0728" w:rsidRDefault="00AD0728" w:rsidP="00FD6F7D">
      <w:pPr>
        <w:pStyle w:val="NoSpacing"/>
        <w:rPr>
          <w:rFonts w:ascii="Arial Black" w:hAnsi="Arial Black"/>
          <w:sz w:val="24"/>
          <w:szCs w:val="24"/>
        </w:rPr>
      </w:pPr>
    </w:p>
    <w:p w14:paraId="3586ADE4" w14:textId="77777777" w:rsidR="00AD0728" w:rsidRDefault="00AD0728" w:rsidP="00FD6F7D">
      <w:pPr>
        <w:pStyle w:val="NoSpacing"/>
        <w:rPr>
          <w:rFonts w:ascii="Arial Black" w:hAnsi="Arial Black"/>
          <w:sz w:val="24"/>
          <w:szCs w:val="24"/>
        </w:rPr>
      </w:pPr>
    </w:p>
    <w:p w14:paraId="7D88F7F2" w14:textId="77777777" w:rsidR="00AD0728" w:rsidRDefault="00AD0728" w:rsidP="00FD6F7D">
      <w:pPr>
        <w:pStyle w:val="NoSpacing"/>
        <w:rPr>
          <w:rFonts w:ascii="Arial Black" w:hAnsi="Arial Black"/>
          <w:sz w:val="24"/>
          <w:szCs w:val="24"/>
        </w:rPr>
      </w:pPr>
    </w:p>
    <w:p w14:paraId="35B6232D" w14:textId="0AC9DF52" w:rsidR="00834E72" w:rsidRDefault="00834E72" w:rsidP="00FD6F7D">
      <w:pPr>
        <w:pStyle w:val="NoSpacing"/>
        <w:rPr>
          <w:rFonts w:ascii="Arial Black" w:hAnsi="Arial Black"/>
          <w:sz w:val="24"/>
          <w:szCs w:val="24"/>
        </w:rPr>
      </w:pPr>
      <w:r>
        <w:rPr>
          <w:rFonts w:ascii="Arial Black" w:hAnsi="Arial Black"/>
          <w:sz w:val="24"/>
          <w:szCs w:val="24"/>
        </w:rPr>
        <w:t>17-55</w:t>
      </w:r>
    </w:p>
    <w:p w14:paraId="0A0DAA3F" w14:textId="77777777" w:rsidR="003D1961" w:rsidRDefault="003D1961" w:rsidP="00834E72">
      <w:pPr>
        <w:rPr>
          <w:rFonts w:ascii="Arial Black" w:hAnsi="Arial Black"/>
          <w:b/>
          <w:sz w:val="28"/>
          <w:szCs w:val="28"/>
        </w:rPr>
      </w:pPr>
    </w:p>
    <w:p w14:paraId="79909903" w14:textId="5928B752" w:rsidR="00834E72" w:rsidRDefault="00834E72" w:rsidP="00834E72">
      <w:pPr>
        <w:rPr>
          <w:rFonts w:ascii="Arial Black" w:hAnsi="Arial Black"/>
          <w:b/>
          <w:sz w:val="28"/>
          <w:szCs w:val="28"/>
        </w:rPr>
      </w:pPr>
      <w:r>
        <w:rPr>
          <w:rFonts w:ascii="Arial Black" w:hAnsi="Arial Black"/>
          <w:b/>
          <w:sz w:val="28"/>
          <w:szCs w:val="28"/>
        </w:rPr>
        <w:t>TX: HOUSTON - $650M BACK PAY – A/Cs SUE BE INCLUDED</w:t>
      </w:r>
    </w:p>
    <w:p w14:paraId="3B4B024C" w14:textId="77777777" w:rsidR="00834E72" w:rsidRPr="008E3387" w:rsidRDefault="00834E72" w:rsidP="00834E72">
      <w:pPr>
        <w:pStyle w:val="NoSpacing"/>
        <w:rPr>
          <w:rFonts w:ascii="Times New Roman" w:hAnsi="Times New Roman"/>
          <w:bCs/>
          <w:sz w:val="24"/>
          <w:szCs w:val="24"/>
        </w:rPr>
      </w:pPr>
      <w:r w:rsidRPr="008E3387">
        <w:rPr>
          <w:rFonts w:ascii="Times New Roman" w:hAnsi="Times New Roman"/>
          <w:sz w:val="24"/>
          <w:szCs w:val="24"/>
        </w:rPr>
        <w:t xml:space="preserve">On July 15, 2025, in </w:t>
      </w:r>
      <w:r w:rsidRPr="008E3387">
        <w:rPr>
          <w:rFonts w:ascii="Times New Roman" w:hAnsi="Times New Roman"/>
          <w:sz w:val="24"/>
          <w:szCs w:val="24"/>
          <w:u w:val="single"/>
        </w:rPr>
        <w:t>City of Houston, Texas v. Alfredo Martinez, et al</w:t>
      </w:r>
      <w:r w:rsidRPr="008E3387">
        <w:rPr>
          <w:rFonts w:ascii="Times New Roman" w:hAnsi="Times New Roman"/>
          <w:sz w:val="24"/>
          <w:szCs w:val="24"/>
        </w:rPr>
        <w:t xml:space="preserve">., the Texas Fourteenth Court of Appeals held (3 to 0) that 13 Assistant Fire Chiefs may intervene in case that has been pending for eight years and may sue the Houston Professional Fire Fighters’ Association, Local 341, for breach of the duty of fair representation.  Court also held that City has immunity.  In March 2024, the Association and City negotiated $650 million back pay settlement; the Assistant Fire Chiefs were “shocked” when the Association told them they were not included in the settlement, and they seek declaratory and compensatory relief.  The Association originally acted as the fire fighters’ exclusive bargaining agent and asserted claims on behalf of </w:t>
      </w:r>
      <w:proofErr w:type="gramStart"/>
      <w:r w:rsidRPr="008E3387">
        <w:rPr>
          <w:rFonts w:ascii="Times New Roman" w:hAnsi="Times New Roman"/>
          <w:sz w:val="24"/>
          <w:szCs w:val="24"/>
        </w:rPr>
        <w:t>all of</w:t>
      </w:r>
      <w:proofErr w:type="gramEnd"/>
      <w:r w:rsidRPr="008E3387">
        <w:rPr>
          <w:rFonts w:ascii="Times New Roman" w:hAnsi="Times New Roman"/>
          <w:sz w:val="24"/>
          <w:szCs w:val="24"/>
        </w:rPr>
        <w:t xml:space="preserve"> the City’s “fire fighters.” But then the </w:t>
      </w:r>
      <w:proofErr w:type="gramStart"/>
      <w:r w:rsidRPr="008E3387">
        <w:rPr>
          <w:rFonts w:ascii="Times New Roman" w:hAnsi="Times New Roman"/>
          <w:sz w:val="24"/>
          <w:szCs w:val="24"/>
        </w:rPr>
        <w:t>City</w:t>
      </w:r>
      <w:proofErr w:type="gramEnd"/>
      <w:r w:rsidRPr="008E3387">
        <w:rPr>
          <w:rFonts w:ascii="Times New Roman" w:hAnsi="Times New Roman"/>
          <w:sz w:val="24"/>
          <w:szCs w:val="24"/>
        </w:rPr>
        <w:t xml:space="preserve"> and the Association agreed that the Association would not act as the Assistant Chiefs’ bargaining agent and characterized the back pay as “overtime.” THE COURT HELD: “The gravamen of their complaint against the Association is that the Association, as the fire fighters’ exclusive bargaining agent, owed them the duty to bargain on their behalf for compensation comparable to the prevailing compensation for similar work in the private sector, and that the Association breached that duty by failing to act as their bargaining agent at all or by otherwise preventing them from benefiting from the settlement agreement. Their claims against the Association can properly be characterized as requests for the trial court to enforce the Association’s statutory duty to act as the Intervenors’ [Assistant Fire Chiefs] bargaining agent and to collectively bargain on their behalf. The trial court has jurisdiction to address such claims under section 174.251 of the FPERA [Texas Fire and Police Employee Relations Act] as well as under its general jurisdiction. *** We conclude that the Association has failed to show its entitlement to mandamus relief.” </w:t>
      </w:r>
      <w:hyperlink r:id="rId2820" w:history="1">
        <w:r w:rsidRPr="008E3387">
          <w:rPr>
            <w:rStyle w:val="Hyperlink"/>
            <w:rFonts w:ascii="Times New Roman" w:hAnsi="Times New Roman"/>
            <w:sz w:val="24"/>
            <w:szCs w:val="24"/>
          </w:rPr>
          <w:t>https://cases.justia.com/texas/fourteenth-court-of-appeals/2025-14-24-00613-cv.pdf?ts=1752594731</w:t>
        </w:r>
      </w:hyperlink>
      <w:r w:rsidRPr="008E3387">
        <w:rPr>
          <w:rFonts w:ascii="Times New Roman" w:hAnsi="Times New Roman"/>
          <w:sz w:val="24"/>
          <w:szCs w:val="24"/>
        </w:rPr>
        <w:t xml:space="preserve"> </w:t>
      </w:r>
    </w:p>
    <w:p w14:paraId="496D1A23" w14:textId="77777777" w:rsidR="00834E72" w:rsidRPr="008E3387" w:rsidRDefault="00834E72" w:rsidP="00FD6F7D">
      <w:pPr>
        <w:pStyle w:val="NoSpacing"/>
        <w:rPr>
          <w:rFonts w:ascii="Times New Roman" w:hAnsi="Times New Roman"/>
          <w:sz w:val="24"/>
          <w:szCs w:val="24"/>
        </w:rPr>
      </w:pPr>
    </w:p>
    <w:p w14:paraId="7696809A" w14:textId="77777777" w:rsidR="008E3387" w:rsidRPr="008E3387" w:rsidRDefault="008E3387" w:rsidP="008E3387">
      <w:pPr>
        <w:pStyle w:val="NoSpacing"/>
        <w:rPr>
          <w:rFonts w:ascii="Times New Roman" w:hAnsi="Times New Roman"/>
          <w:b/>
          <w:sz w:val="24"/>
          <w:szCs w:val="24"/>
        </w:rPr>
      </w:pPr>
      <w:r w:rsidRPr="008E3387">
        <w:rPr>
          <w:rFonts w:ascii="Times New Roman" w:hAnsi="Times New Roman"/>
          <w:b/>
          <w:sz w:val="24"/>
          <w:szCs w:val="24"/>
        </w:rPr>
        <w:t xml:space="preserve">Legal lesson learned: Unions have a duty of fair representation of all its members; this case will now proceed to pre-trial discovery. </w:t>
      </w:r>
    </w:p>
    <w:p w14:paraId="06D0956D" w14:textId="77777777" w:rsidR="008E3387" w:rsidRPr="008E3387" w:rsidRDefault="008E3387" w:rsidP="008E3387">
      <w:pPr>
        <w:pStyle w:val="NoSpacing"/>
        <w:rPr>
          <w:rFonts w:ascii="Times New Roman" w:hAnsi="Times New Roman"/>
          <w:bCs/>
          <w:sz w:val="24"/>
          <w:szCs w:val="24"/>
        </w:rPr>
      </w:pPr>
    </w:p>
    <w:p w14:paraId="0B012548" w14:textId="77777777" w:rsidR="008E3387" w:rsidRPr="008E3387" w:rsidRDefault="008E3387" w:rsidP="008E3387">
      <w:pPr>
        <w:pStyle w:val="NoSpacing"/>
        <w:ind w:left="720"/>
        <w:rPr>
          <w:rFonts w:ascii="Times New Roman" w:hAnsi="Times New Roman"/>
          <w:bCs/>
          <w:sz w:val="24"/>
          <w:szCs w:val="24"/>
        </w:rPr>
      </w:pPr>
      <w:r w:rsidRPr="008E3387">
        <w:rPr>
          <w:rFonts w:ascii="Times New Roman" w:hAnsi="Times New Roman"/>
          <w:sz w:val="24"/>
          <w:szCs w:val="24"/>
        </w:rPr>
        <w:t xml:space="preserve">Note: The Court also held that City has immunity in this lawsuit. “The City contends that the FPERA does not waive immunity from the Intervenors’ claims for proceeds from the settlement agreement or for a declaration of their rights under it. In this, the </w:t>
      </w:r>
      <w:proofErr w:type="gramStart"/>
      <w:r w:rsidRPr="008E3387">
        <w:rPr>
          <w:rFonts w:ascii="Times New Roman" w:hAnsi="Times New Roman"/>
          <w:sz w:val="24"/>
          <w:szCs w:val="24"/>
        </w:rPr>
        <w:t>City</w:t>
      </w:r>
      <w:proofErr w:type="gramEnd"/>
      <w:r w:rsidRPr="008E3387">
        <w:rPr>
          <w:rFonts w:ascii="Times New Roman" w:hAnsi="Times New Roman"/>
          <w:sz w:val="24"/>
          <w:szCs w:val="24"/>
        </w:rPr>
        <w:t xml:space="preserve"> is correct…. But we agree with the </w:t>
      </w:r>
      <w:proofErr w:type="gramStart"/>
      <w:r w:rsidRPr="008E3387">
        <w:rPr>
          <w:rFonts w:ascii="Times New Roman" w:hAnsi="Times New Roman"/>
          <w:sz w:val="24"/>
          <w:szCs w:val="24"/>
        </w:rPr>
        <w:t>City</w:t>
      </w:r>
      <w:proofErr w:type="gramEnd"/>
      <w:r w:rsidRPr="008E3387">
        <w:rPr>
          <w:rFonts w:ascii="Times New Roman" w:hAnsi="Times New Roman"/>
          <w:sz w:val="24"/>
          <w:szCs w:val="24"/>
        </w:rPr>
        <w:t xml:space="preserve"> that it is immune from suit on the Intervenors’ foregoing requests for declaratory relief and on their claims for proceeds from the settlement agreement. Because those are not claims to enforce the FPERA, the </w:t>
      </w:r>
      <w:proofErr w:type="gramStart"/>
      <w:r w:rsidRPr="008E3387">
        <w:rPr>
          <w:rFonts w:ascii="Times New Roman" w:hAnsi="Times New Roman"/>
          <w:sz w:val="24"/>
          <w:szCs w:val="24"/>
        </w:rPr>
        <w:t>City</w:t>
      </w:r>
      <w:proofErr w:type="gramEnd"/>
      <w:r w:rsidRPr="008E3387">
        <w:rPr>
          <w:rFonts w:ascii="Times New Roman" w:hAnsi="Times New Roman"/>
          <w:sz w:val="24"/>
          <w:szCs w:val="24"/>
        </w:rPr>
        <w:t xml:space="preserve"> retains immunity as to those claims.</w:t>
      </w:r>
    </w:p>
    <w:p w14:paraId="5C9C6333" w14:textId="77777777" w:rsidR="008E3387" w:rsidRPr="008E3387" w:rsidRDefault="008E3387" w:rsidP="00FD6F7D">
      <w:pPr>
        <w:pStyle w:val="NoSpacing"/>
        <w:rPr>
          <w:rFonts w:ascii="Times New Roman" w:hAnsi="Times New Roman"/>
          <w:sz w:val="24"/>
          <w:szCs w:val="24"/>
        </w:rPr>
      </w:pPr>
    </w:p>
    <w:p w14:paraId="1BBA292E" w14:textId="77777777" w:rsidR="00834E72" w:rsidRDefault="00834E72" w:rsidP="00FD6F7D">
      <w:pPr>
        <w:pStyle w:val="NoSpacing"/>
        <w:rPr>
          <w:rFonts w:ascii="Arial Black" w:hAnsi="Arial Black"/>
          <w:sz w:val="24"/>
          <w:szCs w:val="24"/>
        </w:rPr>
      </w:pPr>
    </w:p>
    <w:p w14:paraId="279B9BD1" w14:textId="77777777" w:rsidR="00834E72" w:rsidRDefault="00834E72" w:rsidP="00FD6F7D">
      <w:pPr>
        <w:pStyle w:val="NoSpacing"/>
        <w:rPr>
          <w:rFonts w:ascii="Arial Black" w:hAnsi="Arial Black"/>
          <w:sz w:val="24"/>
          <w:szCs w:val="24"/>
        </w:rPr>
      </w:pPr>
    </w:p>
    <w:p w14:paraId="0176BBC6" w14:textId="4FCA86A1" w:rsidR="00FD6F7D" w:rsidRDefault="00FD6F7D" w:rsidP="00FD6F7D">
      <w:pPr>
        <w:pStyle w:val="NoSpacing"/>
        <w:rPr>
          <w:rFonts w:ascii="Arial Black" w:hAnsi="Arial Black"/>
          <w:sz w:val="24"/>
          <w:szCs w:val="24"/>
        </w:rPr>
      </w:pPr>
      <w:r>
        <w:rPr>
          <w:rFonts w:ascii="Arial Black" w:hAnsi="Arial Black"/>
          <w:sz w:val="24"/>
          <w:szCs w:val="24"/>
        </w:rPr>
        <w:t>17-54</w:t>
      </w:r>
    </w:p>
    <w:p w14:paraId="4643DA90" w14:textId="7A5A9E45" w:rsidR="00FD6F7D" w:rsidRDefault="00FD6F7D" w:rsidP="00F326E5">
      <w:pPr>
        <w:pStyle w:val="NoSpacing"/>
        <w:rPr>
          <w:rFonts w:ascii="Arial Black" w:hAnsi="Arial Black"/>
          <w:sz w:val="24"/>
          <w:szCs w:val="24"/>
        </w:rPr>
      </w:pPr>
    </w:p>
    <w:p w14:paraId="0102EE78" w14:textId="77777777" w:rsidR="00316D92" w:rsidRPr="005F2110" w:rsidRDefault="00316D92" w:rsidP="00316D92">
      <w:pPr>
        <w:rPr>
          <w:rFonts w:ascii="Arial Black" w:hAnsi="Arial Black"/>
          <w:b/>
          <w:sz w:val="28"/>
          <w:szCs w:val="28"/>
        </w:rPr>
      </w:pPr>
      <w:r>
        <w:rPr>
          <w:rFonts w:ascii="Arial Black" w:hAnsi="Arial Black"/>
          <w:b/>
          <w:sz w:val="28"/>
          <w:szCs w:val="28"/>
        </w:rPr>
        <w:t xml:space="preserve">LA: IAFF OFFICER / CAPT. FIRED – CALLED BOARD MEMBERS </w:t>
      </w:r>
    </w:p>
    <w:p w14:paraId="0A1922EA" w14:textId="1030CAB9" w:rsidR="007D737C" w:rsidRPr="000F7D4E" w:rsidRDefault="00A57516" w:rsidP="00520903">
      <w:pPr>
        <w:pStyle w:val="NoSpacing"/>
        <w:rPr>
          <w:rFonts w:ascii="Times New Roman" w:hAnsi="Times New Roman"/>
          <w:sz w:val="24"/>
          <w:szCs w:val="24"/>
        </w:rPr>
      </w:pPr>
      <w:r w:rsidRPr="000F7D4E">
        <w:rPr>
          <w:rFonts w:ascii="Times New Roman" w:hAnsi="Times New Roman"/>
          <w:sz w:val="24"/>
          <w:szCs w:val="24"/>
        </w:rPr>
        <w:t xml:space="preserve">On June 12, 2025, in </w:t>
      </w:r>
      <w:r w:rsidRPr="000F7D4E">
        <w:rPr>
          <w:rFonts w:ascii="Times New Roman" w:hAnsi="Times New Roman"/>
          <w:sz w:val="24"/>
          <w:szCs w:val="24"/>
          <w:u w:val="single"/>
        </w:rPr>
        <w:t>Jonathan Gramm v. Fire District 9, Desoto Parish, et al</w:t>
      </w:r>
      <w:r w:rsidRPr="000F7D4E">
        <w:rPr>
          <w:rFonts w:ascii="Times New Roman" w:hAnsi="Times New Roman"/>
          <w:sz w:val="24"/>
          <w:szCs w:val="24"/>
        </w:rPr>
        <w:t xml:space="preserve">., U.S. District Court Judge S. Maurice Hicks, Jr., United States District Court for Western District of Louisiana, Shreveport Division, denied the Desoto Parish motion to dismiss the case; Jonathan Gramm has a First Amendment claim that will proceed to pre-trial discovery.  He was hired in 2014, is a Captain, and in July 2017 helped organize IAFF Local 5138, </w:t>
      </w:r>
      <w:r w:rsidRPr="000F7D4E">
        <w:rPr>
          <w:rFonts w:ascii="Times New Roman" w:hAnsi="Times New Roman"/>
          <w:sz w:val="24"/>
          <w:szCs w:val="24"/>
        </w:rPr>
        <w:lastRenderedPageBreak/>
        <w:t xml:space="preserve">and elected its Secretary-Treasurer. On September 18, </w:t>
      </w:r>
      <w:proofErr w:type="gramStart"/>
      <w:r w:rsidRPr="000F7D4E">
        <w:rPr>
          <w:rFonts w:ascii="Times New Roman" w:hAnsi="Times New Roman"/>
          <w:sz w:val="24"/>
          <w:szCs w:val="24"/>
        </w:rPr>
        <w:t>2023</w:t>
      </w:r>
      <w:proofErr w:type="gramEnd"/>
      <w:r w:rsidRPr="000F7D4E">
        <w:rPr>
          <w:rFonts w:ascii="Times New Roman" w:hAnsi="Times New Roman"/>
          <w:sz w:val="24"/>
          <w:szCs w:val="24"/>
        </w:rPr>
        <w:t xml:space="preserve"> learned that an upcoming meeting of the Fire Board was going to vote on new </w:t>
      </w:r>
      <w:proofErr w:type="gramStart"/>
      <w:r w:rsidRPr="000F7D4E">
        <w:rPr>
          <w:rFonts w:ascii="Times New Roman" w:hAnsi="Times New Roman"/>
          <w:sz w:val="24"/>
          <w:szCs w:val="24"/>
        </w:rPr>
        <w:t>vehicle</w:t>
      </w:r>
      <w:proofErr w:type="gramEnd"/>
      <w:r w:rsidRPr="000F7D4E">
        <w:rPr>
          <w:rFonts w:ascii="Times New Roman" w:hAnsi="Times New Roman"/>
          <w:sz w:val="24"/>
          <w:szCs w:val="24"/>
        </w:rPr>
        <w:t xml:space="preserve"> for the Fire Chief.  At the union’s request, </w:t>
      </w:r>
      <w:proofErr w:type="gramStart"/>
      <w:r w:rsidRPr="000F7D4E">
        <w:rPr>
          <w:rFonts w:ascii="Times New Roman" w:hAnsi="Times New Roman"/>
          <w:sz w:val="24"/>
          <w:szCs w:val="24"/>
        </w:rPr>
        <w:t>Gramm</w:t>
      </w:r>
      <w:proofErr w:type="gramEnd"/>
      <w:r w:rsidRPr="000F7D4E">
        <w:rPr>
          <w:rFonts w:ascii="Times New Roman" w:hAnsi="Times New Roman"/>
          <w:sz w:val="24"/>
          <w:szCs w:val="24"/>
        </w:rPr>
        <w:t xml:space="preserve"> while off </w:t>
      </w:r>
      <w:proofErr w:type="gramStart"/>
      <w:r w:rsidRPr="000F7D4E">
        <w:rPr>
          <w:rFonts w:ascii="Times New Roman" w:hAnsi="Times New Roman"/>
          <w:sz w:val="24"/>
          <w:szCs w:val="24"/>
        </w:rPr>
        <w:t>duty</w:t>
      </w:r>
      <w:proofErr w:type="gramEnd"/>
      <w:r w:rsidRPr="000F7D4E">
        <w:rPr>
          <w:rFonts w:ascii="Times New Roman" w:hAnsi="Times New Roman"/>
          <w:sz w:val="24"/>
          <w:szCs w:val="24"/>
        </w:rPr>
        <w:t xml:space="preserve"> called two Commissioners on their cell phones to express opposition to new vehicle purchase.  The following morning the Fire Chief King put him on administrative leave; he was fired on Nov. 27, 2023.  THE COURT HELD: “[T]he Court finds that Gramm has sufficiently pled a plausible claim for relief as to Counts I and III. He alleges that he engaged in </w:t>
      </w:r>
      <w:proofErr w:type="gramStart"/>
      <w:r w:rsidRPr="000F7D4E">
        <w:rPr>
          <w:rFonts w:ascii="Times New Roman" w:hAnsi="Times New Roman"/>
          <w:sz w:val="24"/>
          <w:szCs w:val="24"/>
        </w:rPr>
        <w:t>an</w:t>
      </w:r>
      <w:r w:rsidR="00FD6F7D">
        <w:rPr>
          <w:rFonts w:ascii="Times New Roman" w:hAnsi="Times New Roman"/>
          <w:sz w:val="24"/>
          <w:szCs w:val="24"/>
        </w:rPr>
        <w:t xml:space="preserve"> </w:t>
      </w:r>
      <w:r w:rsidRPr="000F7D4E">
        <w:rPr>
          <w:rFonts w:ascii="Times New Roman" w:hAnsi="Times New Roman"/>
          <w:sz w:val="24"/>
          <w:szCs w:val="24"/>
        </w:rPr>
        <w:t>external</w:t>
      </w:r>
      <w:proofErr w:type="gramEnd"/>
      <w:r w:rsidRPr="000F7D4E">
        <w:rPr>
          <w:rFonts w:ascii="Times New Roman" w:hAnsi="Times New Roman"/>
          <w:sz w:val="24"/>
          <w:szCs w:val="24"/>
        </w:rPr>
        <w:t xml:space="preserve"> communication when he complained to the Commissioners over the phone regarding the distribution of public funds. This communication can support a claim for free speech retaliation, as it was made outside of Gramm's duty as a firefighter captain and addressed an issue that could qualify as a matter for public concern. Therefore, Defendants' Motion with respect to Counts I and III is DENIED. Gramm's claims under § 1983 for a violation of his rights to free speech and to petition pursuant to the First and Fourteenth Amendments remain.” </w:t>
      </w:r>
      <w:hyperlink r:id="rId2821" w:history="1">
        <w:r w:rsidRPr="000F7D4E">
          <w:rPr>
            <w:rStyle w:val="Hyperlink"/>
            <w:rFonts w:ascii="Times New Roman" w:hAnsi="Times New Roman"/>
            <w:sz w:val="24"/>
            <w:szCs w:val="24"/>
          </w:rPr>
          <w:t>https://public.fastcase.com/jaEE2PXzRXmZ99jOLMt1Ir%2Bgd4DeQSRcdUE7IJV4ZHQFjK4R6%2FaVKxoGJags6yJ8?utm_medium=email&amp;_hsenc=p2ANqtz-9_dtoT8MCHWol7MkpFQEKniJ3EcCAHTOONesHADifFFZppYBhmnp0t7X96SaR0z0JseLLFRZzCLhs4WSwU0MvvvFbR6g&amp;_hsmi=226712652&amp;utm_content=226712652&amp;utm_source=hs_email</w:t>
        </w:r>
      </w:hyperlink>
    </w:p>
    <w:p w14:paraId="6A8A222F" w14:textId="77777777" w:rsidR="007D737C" w:rsidRPr="000F7D4E" w:rsidRDefault="007D737C" w:rsidP="00520903">
      <w:pPr>
        <w:pStyle w:val="NoSpacing"/>
        <w:rPr>
          <w:rFonts w:ascii="Times New Roman" w:hAnsi="Times New Roman"/>
          <w:sz w:val="24"/>
          <w:szCs w:val="24"/>
        </w:rPr>
      </w:pPr>
    </w:p>
    <w:p w14:paraId="59CFFFA7" w14:textId="090BD99B" w:rsidR="000F7D4E" w:rsidRPr="000F7D4E" w:rsidRDefault="000F7D4E" w:rsidP="000F7D4E">
      <w:pPr>
        <w:rPr>
          <w:rFonts w:ascii="Times New Roman" w:hAnsi="Times New Roman"/>
          <w:b/>
          <w:sz w:val="24"/>
          <w:szCs w:val="24"/>
        </w:rPr>
      </w:pPr>
      <w:r w:rsidRPr="000F7D4E">
        <w:rPr>
          <w:rFonts w:ascii="Times New Roman" w:hAnsi="Times New Roman"/>
          <w:b/>
          <w:sz w:val="24"/>
          <w:szCs w:val="24"/>
        </w:rPr>
        <w:t xml:space="preserve">Legal lesson learned:  </w:t>
      </w:r>
      <w:r w:rsidRPr="000F7D4E">
        <w:rPr>
          <w:rFonts w:ascii="Times New Roman" w:hAnsi="Times New Roman"/>
          <w:b/>
          <w:bCs/>
          <w:sz w:val="24"/>
          <w:szCs w:val="24"/>
        </w:rPr>
        <w:t xml:space="preserve">When union is going to present to Board, union </w:t>
      </w:r>
      <w:r w:rsidRPr="000F7D4E">
        <w:rPr>
          <w:rFonts w:ascii="Times New Roman" w:hAnsi="Times New Roman"/>
          <w:b/>
          <w:sz w:val="24"/>
          <w:szCs w:val="24"/>
        </w:rPr>
        <w:t xml:space="preserve">President should </w:t>
      </w:r>
      <w:r w:rsidRPr="000F7D4E">
        <w:rPr>
          <w:rFonts w:ascii="Times New Roman" w:hAnsi="Times New Roman"/>
          <w:b/>
          <w:bCs/>
          <w:sz w:val="24"/>
          <w:szCs w:val="24"/>
        </w:rPr>
        <w:t xml:space="preserve">first </w:t>
      </w:r>
      <w:r w:rsidRPr="000F7D4E">
        <w:rPr>
          <w:rFonts w:ascii="Times New Roman" w:hAnsi="Times New Roman"/>
          <w:b/>
          <w:sz w:val="24"/>
          <w:szCs w:val="24"/>
        </w:rPr>
        <w:t>inform Fire Chief</w:t>
      </w:r>
      <w:r w:rsidR="008051F6">
        <w:rPr>
          <w:rFonts w:ascii="Times New Roman" w:hAnsi="Times New Roman"/>
          <w:b/>
          <w:sz w:val="24"/>
          <w:szCs w:val="24"/>
        </w:rPr>
        <w:t xml:space="preserve"> prior to presentation. </w:t>
      </w:r>
      <w:r w:rsidRPr="000F7D4E">
        <w:rPr>
          <w:rFonts w:ascii="Times New Roman" w:hAnsi="Times New Roman"/>
          <w:b/>
          <w:bCs/>
          <w:sz w:val="24"/>
          <w:szCs w:val="24"/>
        </w:rPr>
        <w:t xml:space="preserve"> </w:t>
      </w:r>
    </w:p>
    <w:p w14:paraId="44C1CC86" w14:textId="77777777" w:rsidR="000F7D4E" w:rsidRDefault="000F7D4E" w:rsidP="00520903">
      <w:pPr>
        <w:pStyle w:val="NoSpacing"/>
        <w:rPr>
          <w:rFonts w:ascii="Arial Black" w:hAnsi="Arial Black"/>
          <w:sz w:val="28"/>
          <w:szCs w:val="28"/>
        </w:rPr>
      </w:pPr>
    </w:p>
    <w:p w14:paraId="34DD16E3" w14:textId="2AEF4FCD" w:rsidR="00FD6F7D" w:rsidRDefault="00FD6F7D" w:rsidP="00FD6F7D">
      <w:pPr>
        <w:pStyle w:val="NoSpacing"/>
        <w:rPr>
          <w:rFonts w:ascii="Arial Black" w:hAnsi="Arial Black"/>
          <w:sz w:val="24"/>
          <w:szCs w:val="24"/>
        </w:rPr>
      </w:pPr>
      <w:r>
        <w:rPr>
          <w:rFonts w:ascii="Arial Black" w:hAnsi="Arial Black"/>
          <w:sz w:val="24"/>
          <w:szCs w:val="24"/>
        </w:rPr>
        <w:t>17-53</w:t>
      </w:r>
    </w:p>
    <w:p w14:paraId="6987BDD3" w14:textId="77777777" w:rsidR="007D737C" w:rsidRDefault="007D737C" w:rsidP="00520903">
      <w:pPr>
        <w:pStyle w:val="NoSpacing"/>
        <w:rPr>
          <w:rFonts w:ascii="Arial Black" w:hAnsi="Arial Black"/>
          <w:sz w:val="28"/>
          <w:szCs w:val="28"/>
        </w:rPr>
      </w:pPr>
    </w:p>
    <w:p w14:paraId="30539A88" w14:textId="504E5E62" w:rsidR="00520903" w:rsidRPr="006F2B87" w:rsidRDefault="00520903" w:rsidP="00520903">
      <w:pPr>
        <w:pStyle w:val="NoSpacing"/>
        <w:rPr>
          <w:rFonts w:ascii="Arial Black" w:hAnsi="Arial Black"/>
          <w:sz w:val="28"/>
          <w:szCs w:val="28"/>
        </w:rPr>
      </w:pPr>
      <w:r w:rsidRPr="006F2B87">
        <w:rPr>
          <w:rFonts w:ascii="Arial Black" w:hAnsi="Arial Black"/>
          <w:sz w:val="28"/>
          <w:szCs w:val="28"/>
        </w:rPr>
        <w:t xml:space="preserve">CA:  TWO CAPTAINS </w:t>
      </w:r>
      <w:r w:rsidR="007E3F8D">
        <w:rPr>
          <w:rFonts w:ascii="Arial Black" w:hAnsi="Arial Black"/>
          <w:sz w:val="28"/>
          <w:szCs w:val="28"/>
        </w:rPr>
        <w:t xml:space="preserve">– POOR INTERVIEWS - </w:t>
      </w:r>
      <w:r w:rsidRPr="006F2B87">
        <w:rPr>
          <w:rFonts w:ascii="Arial Black" w:hAnsi="Arial Black"/>
          <w:sz w:val="28"/>
          <w:szCs w:val="28"/>
        </w:rPr>
        <w:t>NO</w:t>
      </w:r>
      <w:r>
        <w:rPr>
          <w:rFonts w:ascii="Arial Black" w:hAnsi="Arial Black"/>
          <w:sz w:val="28"/>
          <w:szCs w:val="28"/>
        </w:rPr>
        <w:t xml:space="preserve">T </w:t>
      </w:r>
      <w:r w:rsidRPr="006F2B87">
        <w:rPr>
          <w:rFonts w:ascii="Arial Black" w:hAnsi="Arial Black"/>
          <w:sz w:val="28"/>
          <w:szCs w:val="28"/>
        </w:rPr>
        <w:t xml:space="preserve">RETALIATION </w:t>
      </w:r>
    </w:p>
    <w:p w14:paraId="125C2708" w14:textId="77777777" w:rsidR="00520903" w:rsidRPr="006F2B87" w:rsidRDefault="00520903" w:rsidP="00520903">
      <w:pPr>
        <w:pStyle w:val="NoSpacing"/>
      </w:pPr>
    </w:p>
    <w:p w14:paraId="7452064A" w14:textId="77777777" w:rsidR="00520903" w:rsidRPr="00520903" w:rsidRDefault="00520903" w:rsidP="00520903">
      <w:pPr>
        <w:pStyle w:val="NoSpacing"/>
        <w:rPr>
          <w:rFonts w:ascii="Times New Roman" w:hAnsi="Times New Roman"/>
          <w:sz w:val="24"/>
          <w:szCs w:val="24"/>
        </w:rPr>
      </w:pPr>
      <w:r w:rsidRPr="00520903">
        <w:rPr>
          <w:rFonts w:ascii="Times New Roman" w:hAnsi="Times New Roman"/>
          <w:sz w:val="24"/>
          <w:szCs w:val="24"/>
        </w:rPr>
        <w:t xml:space="preserve">On May 16, 2025, in </w:t>
      </w:r>
      <w:r w:rsidRPr="00520903">
        <w:rPr>
          <w:rFonts w:ascii="Times New Roman" w:hAnsi="Times New Roman"/>
          <w:sz w:val="24"/>
          <w:szCs w:val="24"/>
          <w:u w:val="single"/>
        </w:rPr>
        <w:t>David Shenbaum and Timothy O'Brien v. City of Manhattan Beach</w:t>
      </w:r>
      <w:r w:rsidRPr="00520903">
        <w:rPr>
          <w:rFonts w:ascii="Times New Roman" w:hAnsi="Times New Roman"/>
          <w:sz w:val="24"/>
          <w:szCs w:val="24"/>
        </w:rPr>
        <w:t xml:space="preserve">, Chief U.S. Magistrate Judge Katen L. Stevenson. </w:t>
      </w:r>
      <w:proofErr w:type="gramStart"/>
      <w:r w:rsidRPr="00520903">
        <w:rPr>
          <w:rFonts w:ascii="Times New Roman" w:hAnsi="Times New Roman"/>
          <w:sz w:val="24"/>
          <w:szCs w:val="24"/>
        </w:rPr>
        <w:t>United States District Court for Central District of California,</w:t>
      </w:r>
      <w:proofErr w:type="gramEnd"/>
      <w:r w:rsidRPr="00520903">
        <w:rPr>
          <w:rFonts w:ascii="Times New Roman" w:hAnsi="Times New Roman"/>
          <w:sz w:val="24"/>
          <w:szCs w:val="24"/>
        </w:rPr>
        <w:t xml:space="preserve"> granted the </w:t>
      </w:r>
      <w:proofErr w:type="gramStart"/>
      <w:r w:rsidRPr="00520903">
        <w:rPr>
          <w:rFonts w:ascii="Times New Roman" w:hAnsi="Times New Roman"/>
          <w:sz w:val="24"/>
          <w:szCs w:val="24"/>
        </w:rPr>
        <w:t>City</w:t>
      </w:r>
      <w:proofErr w:type="gramEnd"/>
      <w:r w:rsidRPr="00520903">
        <w:rPr>
          <w:rFonts w:ascii="Times New Roman" w:hAnsi="Times New Roman"/>
          <w:sz w:val="24"/>
          <w:szCs w:val="24"/>
        </w:rPr>
        <w:t xml:space="preserve"> summary judgment, finding there was no proof of retaliation.  The two Captains claimed they were not promoted in retaliation for (1) their union voting in 2018 “No Confidence” in the fire chief and three battalion chiefs, and (2) union lawsuit on Nov. 3, </w:t>
      </w:r>
      <w:proofErr w:type="gramStart"/>
      <w:r w:rsidRPr="00520903">
        <w:rPr>
          <w:rFonts w:ascii="Times New Roman" w:hAnsi="Times New Roman"/>
          <w:sz w:val="24"/>
          <w:szCs w:val="24"/>
        </w:rPr>
        <w:t>2022</w:t>
      </w:r>
      <w:proofErr w:type="gramEnd"/>
      <w:r w:rsidRPr="00520903">
        <w:rPr>
          <w:rFonts w:ascii="Times New Roman" w:hAnsi="Times New Roman"/>
          <w:sz w:val="24"/>
          <w:szCs w:val="24"/>
        </w:rPr>
        <w:t xml:space="preserve"> challenging city reducing the pay of Battalion Chiefs.  </w:t>
      </w:r>
    </w:p>
    <w:p w14:paraId="09C8416B" w14:textId="77777777" w:rsidR="00520903" w:rsidRPr="00520903" w:rsidRDefault="00520903" w:rsidP="00520903">
      <w:pPr>
        <w:pStyle w:val="NoSpacing"/>
        <w:rPr>
          <w:rFonts w:ascii="Times New Roman" w:hAnsi="Times New Roman"/>
          <w:sz w:val="24"/>
          <w:szCs w:val="24"/>
        </w:rPr>
      </w:pPr>
    </w:p>
    <w:p w14:paraId="62825526" w14:textId="57AE9D86" w:rsidR="00520903" w:rsidRPr="00520903" w:rsidRDefault="00520903" w:rsidP="00520903">
      <w:pPr>
        <w:pStyle w:val="NoSpacing"/>
        <w:rPr>
          <w:rFonts w:ascii="Times New Roman" w:hAnsi="Times New Roman"/>
          <w:sz w:val="24"/>
          <w:szCs w:val="24"/>
        </w:rPr>
      </w:pPr>
      <w:r w:rsidRPr="00520903">
        <w:rPr>
          <w:rFonts w:ascii="Times New Roman" w:hAnsi="Times New Roman"/>
          <w:sz w:val="24"/>
          <w:szCs w:val="24"/>
        </w:rPr>
        <w:t xml:space="preserve">The Court wrote:   “In December 2022, Fire Chief Michael Lang and the City replaced the Battalion Chief position with the Division Chief position and opened the position to internal candidates only… Five internal candidates applied for the Division Chief position, including Plaintiffs…. Chief Lang subsequently announced that the traditional examination and interview process would be replaced with an interview-only process…. Chief Lang selected an external panel of fire chiefs to conduct the Division Chief interviews, which included Monrovia Fire Chief Jeremy Sanchez, Arcadia Fire Chief Chen Suen, and La Verne Fire Chief Chris Nigg (collectively ‘Fire Chief Panelists’)…. On January 17, 2023, the Fire Chief Panelists conducted interviews for all Division Chief candidates, including Plaintiffs…. The Fire Chief Panelists concurred that both </w:t>
      </w:r>
      <w:proofErr w:type="spellStart"/>
      <w:r w:rsidRPr="00520903">
        <w:rPr>
          <w:rFonts w:ascii="Times New Roman" w:hAnsi="Times New Roman"/>
          <w:sz w:val="24"/>
          <w:szCs w:val="24"/>
        </w:rPr>
        <w:t>Shenbaum</w:t>
      </w:r>
      <w:proofErr w:type="spellEnd"/>
      <w:r w:rsidRPr="00520903">
        <w:rPr>
          <w:rFonts w:ascii="Times New Roman" w:hAnsi="Times New Roman"/>
          <w:sz w:val="24"/>
          <w:szCs w:val="24"/>
        </w:rPr>
        <w:t xml:space="preserve"> and O'Brien should receive failing scores based on their responses and conduct during their interviews…. Specifically, the Fire Chief Panelists gave </w:t>
      </w:r>
      <w:proofErr w:type="spellStart"/>
      <w:r w:rsidRPr="00520903">
        <w:rPr>
          <w:rFonts w:ascii="Times New Roman" w:hAnsi="Times New Roman"/>
          <w:sz w:val="24"/>
          <w:szCs w:val="24"/>
        </w:rPr>
        <w:t>Shenbaum</w:t>
      </w:r>
      <w:proofErr w:type="spellEnd"/>
      <w:r w:rsidRPr="00520903">
        <w:rPr>
          <w:rFonts w:ascii="Times New Roman" w:hAnsi="Times New Roman"/>
          <w:sz w:val="24"/>
          <w:szCs w:val="24"/>
        </w:rPr>
        <w:t xml:space="preserve"> a failing score in the ‘Judgment and Decision Making’ category and commented that he used profanity in his interview…. </w:t>
      </w:r>
    </w:p>
    <w:p w14:paraId="62C8C72B" w14:textId="3D09843F" w:rsidR="001F3D0F" w:rsidRDefault="00520903" w:rsidP="00520903">
      <w:pPr>
        <w:pStyle w:val="NoSpacing"/>
        <w:rPr>
          <w:rFonts w:ascii="Times New Roman" w:hAnsi="Times New Roman"/>
          <w:sz w:val="24"/>
          <w:szCs w:val="24"/>
        </w:rPr>
      </w:pPr>
      <w:hyperlink r:id="rId2822" w:history="1">
        <w:r w:rsidRPr="00520903">
          <w:rPr>
            <w:rStyle w:val="Hyperlink"/>
            <w:rFonts w:ascii="Times New Roman" w:hAnsi="Times New Roman"/>
            <w:sz w:val="24"/>
            <w:szCs w:val="24"/>
          </w:rPr>
          <w:t>https://public.fastcase.com/jaEE2PXzRXmZ99jOLMt1IhwREi1fEuXa5IBCMUROo3DApdLLsb4vyoe8B%2BNXnfOO?utm_medium=email&amp;_hsenc=p2ANqtz-8ABWS4rvuUksFiiSiWwUxDOv17WyJKZy-5as8oPUYz_An6byDKPPy12elR6z5qE4TfB84ipL9se-rQu7mIzXpACN0LEw&amp;_hsmi=226712652&amp;utm_content=226712652&amp;utm_source=hs_email</w:t>
        </w:r>
      </w:hyperlink>
    </w:p>
    <w:p w14:paraId="404205E9" w14:textId="77777777" w:rsidR="00FE6DEF" w:rsidRDefault="00FE6DEF" w:rsidP="00520903">
      <w:pPr>
        <w:pStyle w:val="NoSpacing"/>
        <w:rPr>
          <w:rFonts w:ascii="Times New Roman" w:hAnsi="Times New Roman"/>
          <w:sz w:val="24"/>
          <w:szCs w:val="24"/>
        </w:rPr>
      </w:pPr>
    </w:p>
    <w:p w14:paraId="7C190A3F" w14:textId="0C38BC4C" w:rsidR="00FE6DEF" w:rsidRDefault="00FE6DEF" w:rsidP="00520903">
      <w:pPr>
        <w:pStyle w:val="NoSpacing"/>
        <w:rPr>
          <w:rFonts w:ascii="Times New Roman" w:hAnsi="Times New Roman"/>
          <w:sz w:val="24"/>
          <w:szCs w:val="24"/>
        </w:rPr>
      </w:pPr>
      <w:r>
        <w:rPr>
          <w:rFonts w:ascii="Times New Roman" w:hAnsi="Times New Roman"/>
          <w:sz w:val="24"/>
          <w:szCs w:val="24"/>
        </w:rPr>
        <w:t>The Court held:</w:t>
      </w:r>
    </w:p>
    <w:p w14:paraId="4763BFB7" w14:textId="77777777" w:rsidR="00FE6DEF" w:rsidRDefault="00FE6DEF" w:rsidP="00520903">
      <w:pPr>
        <w:pStyle w:val="NoSpacing"/>
        <w:rPr>
          <w:rFonts w:ascii="Times New Roman" w:hAnsi="Times New Roman"/>
          <w:sz w:val="24"/>
          <w:szCs w:val="24"/>
        </w:rPr>
      </w:pPr>
    </w:p>
    <w:p w14:paraId="6267576F" w14:textId="19D92B83" w:rsidR="00FE6DEF" w:rsidRPr="00520903" w:rsidRDefault="00FE6DEF" w:rsidP="00FE6DEF">
      <w:pPr>
        <w:pStyle w:val="NoSpacing"/>
        <w:ind w:left="720"/>
        <w:rPr>
          <w:rFonts w:ascii="Times New Roman" w:hAnsi="Times New Roman"/>
          <w:sz w:val="24"/>
          <w:szCs w:val="24"/>
        </w:rPr>
      </w:pPr>
      <w:r>
        <w:rPr>
          <w:rFonts w:ascii="Times New Roman" w:hAnsi="Times New Roman"/>
          <w:sz w:val="24"/>
          <w:szCs w:val="24"/>
        </w:rPr>
        <w:t>“</w:t>
      </w:r>
      <w:r w:rsidRPr="00520903">
        <w:rPr>
          <w:rFonts w:ascii="Times New Roman" w:hAnsi="Times New Roman"/>
          <w:sz w:val="24"/>
          <w:szCs w:val="24"/>
        </w:rPr>
        <w:t xml:space="preserve">The Fire Chief Panelists gave O'Brien failing scores for ‘Leadership and Management’ and ‘Innovation and Strategic Thinking.’ *** Yet, here, Plaintiffs only speculate that the Fire Panelists had any </w:t>
      </w:r>
      <w:r w:rsidRPr="00520903">
        <w:rPr>
          <w:rFonts w:ascii="Times New Roman" w:hAnsi="Times New Roman"/>
          <w:sz w:val="24"/>
          <w:szCs w:val="24"/>
        </w:rPr>
        <w:lastRenderedPageBreak/>
        <w:t xml:space="preserve">knowledge of the lawsuit. In fact, all three members of the Fire Chief Panelists attested that they were not aware of or notified of any pending lawsuit by Plaintiffs against the </w:t>
      </w:r>
      <w:proofErr w:type="gramStart"/>
      <w:r w:rsidRPr="00520903">
        <w:rPr>
          <w:rFonts w:ascii="Times New Roman" w:hAnsi="Times New Roman"/>
          <w:sz w:val="24"/>
          <w:szCs w:val="24"/>
        </w:rPr>
        <w:t>City.”</w:t>
      </w:r>
      <w:proofErr w:type="gramEnd"/>
    </w:p>
    <w:p w14:paraId="23111BE1" w14:textId="77777777" w:rsidR="00FE6DEF" w:rsidRDefault="00FE6DEF" w:rsidP="00520903">
      <w:pPr>
        <w:pStyle w:val="NoSpacing"/>
        <w:rPr>
          <w:rFonts w:ascii="Arial Black" w:hAnsi="Arial Black"/>
          <w:sz w:val="24"/>
          <w:szCs w:val="24"/>
        </w:rPr>
      </w:pPr>
    </w:p>
    <w:p w14:paraId="6D30922C" w14:textId="77777777" w:rsidR="00C01A1F" w:rsidRDefault="00C01A1F" w:rsidP="00C01A1F">
      <w:pPr>
        <w:pStyle w:val="NoSpacing"/>
        <w:rPr>
          <w:rFonts w:ascii="Times New Roman" w:hAnsi="Times New Roman"/>
          <w:b/>
          <w:sz w:val="24"/>
          <w:szCs w:val="24"/>
        </w:rPr>
      </w:pPr>
      <w:r w:rsidRPr="00C01A1F">
        <w:rPr>
          <w:rFonts w:ascii="Times New Roman" w:hAnsi="Times New Roman"/>
          <w:b/>
          <w:sz w:val="24"/>
          <w:szCs w:val="24"/>
        </w:rPr>
        <w:t xml:space="preserve">Legal Lesson Learned: No proof that No Confidence vote by union. or recent lawsuit, caused three outside Fire Chiefs to rate two Captains as “failed.” </w:t>
      </w:r>
    </w:p>
    <w:p w14:paraId="4A72D866" w14:textId="77777777" w:rsidR="00A50A87" w:rsidRDefault="00A50A87" w:rsidP="00C01A1F">
      <w:pPr>
        <w:pStyle w:val="NoSpacing"/>
        <w:rPr>
          <w:rFonts w:ascii="Times New Roman" w:hAnsi="Times New Roman"/>
          <w:b/>
          <w:sz w:val="24"/>
          <w:szCs w:val="24"/>
        </w:rPr>
      </w:pPr>
    </w:p>
    <w:p w14:paraId="4C7A1C0E" w14:textId="77777777" w:rsidR="00C2714E" w:rsidRDefault="00C2714E" w:rsidP="00A50A87">
      <w:pPr>
        <w:pStyle w:val="NoSpacing"/>
        <w:rPr>
          <w:rFonts w:ascii="Arial Black" w:hAnsi="Arial Black"/>
          <w:sz w:val="28"/>
          <w:szCs w:val="28"/>
        </w:rPr>
      </w:pPr>
    </w:p>
    <w:p w14:paraId="635D5792" w14:textId="77777777" w:rsidR="00FD6F7D" w:rsidRDefault="00FD6F7D" w:rsidP="00A50A87">
      <w:pPr>
        <w:pStyle w:val="NoSpacing"/>
        <w:rPr>
          <w:rFonts w:ascii="Arial Black" w:hAnsi="Arial Black"/>
          <w:sz w:val="28"/>
          <w:szCs w:val="28"/>
        </w:rPr>
      </w:pPr>
    </w:p>
    <w:p w14:paraId="3A0B53FB" w14:textId="2D1FB7DB" w:rsidR="00FD6F7D" w:rsidRDefault="00FD6F7D" w:rsidP="00FD6F7D">
      <w:pPr>
        <w:pStyle w:val="NoSpacing"/>
        <w:rPr>
          <w:rFonts w:ascii="Arial Black" w:hAnsi="Arial Black"/>
          <w:sz w:val="24"/>
          <w:szCs w:val="24"/>
        </w:rPr>
      </w:pPr>
      <w:r>
        <w:rPr>
          <w:rFonts w:ascii="Arial Black" w:hAnsi="Arial Black"/>
          <w:sz w:val="24"/>
          <w:szCs w:val="24"/>
        </w:rPr>
        <w:t>17-52</w:t>
      </w:r>
    </w:p>
    <w:p w14:paraId="77C0C9D1" w14:textId="77777777" w:rsidR="00FD6F7D" w:rsidRDefault="00FD6F7D" w:rsidP="00A50A87">
      <w:pPr>
        <w:pStyle w:val="NoSpacing"/>
        <w:rPr>
          <w:rFonts w:ascii="Arial Black" w:hAnsi="Arial Black"/>
          <w:sz w:val="28"/>
          <w:szCs w:val="28"/>
        </w:rPr>
      </w:pPr>
    </w:p>
    <w:p w14:paraId="1B2AE45B" w14:textId="0EF568C3" w:rsidR="00A50A87" w:rsidRDefault="00A50A87" w:rsidP="00A50A87">
      <w:pPr>
        <w:pStyle w:val="NoSpacing"/>
        <w:rPr>
          <w:rFonts w:ascii="Arial Black" w:hAnsi="Arial Black"/>
          <w:sz w:val="28"/>
          <w:szCs w:val="28"/>
        </w:rPr>
      </w:pPr>
      <w:r w:rsidRPr="006F2B87">
        <w:rPr>
          <w:rFonts w:ascii="Arial Black" w:hAnsi="Arial Black"/>
          <w:sz w:val="28"/>
          <w:szCs w:val="28"/>
        </w:rPr>
        <w:t xml:space="preserve">CT: </w:t>
      </w:r>
      <w:r w:rsidRPr="004617B4">
        <w:rPr>
          <w:rFonts w:ascii="Arial Black" w:hAnsi="Arial Black"/>
          <w:sz w:val="28"/>
          <w:szCs w:val="28"/>
        </w:rPr>
        <w:t>RETALIATION - LT. JOB - 6 DAYS AFTER GRIEVANCE</w:t>
      </w:r>
    </w:p>
    <w:p w14:paraId="5787419C" w14:textId="77777777" w:rsidR="00A50A87" w:rsidRPr="006F2B87" w:rsidRDefault="00A50A87" w:rsidP="00A50A87">
      <w:pPr>
        <w:pStyle w:val="NoSpacing"/>
        <w:rPr>
          <w:b/>
          <w:bCs/>
        </w:rPr>
      </w:pPr>
    </w:p>
    <w:p w14:paraId="7AECF39B" w14:textId="77777777" w:rsidR="00A50A87" w:rsidRPr="00C2714E" w:rsidRDefault="00A50A87" w:rsidP="00A50A87">
      <w:pPr>
        <w:pStyle w:val="NoSpacing"/>
        <w:rPr>
          <w:rFonts w:ascii="Times New Roman" w:hAnsi="Times New Roman"/>
          <w:bCs/>
          <w:sz w:val="24"/>
          <w:szCs w:val="24"/>
        </w:rPr>
      </w:pPr>
      <w:r w:rsidRPr="00C2714E">
        <w:rPr>
          <w:rFonts w:ascii="Times New Roman" w:hAnsi="Times New Roman"/>
          <w:sz w:val="24"/>
          <w:szCs w:val="24"/>
        </w:rPr>
        <w:t xml:space="preserve">On May 12, 2025, in </w:t>
      </w:r>
      <w:r w:rsidRPr="00C2714E">
        <w:rPr>
          <w:rFonts w:ascii="Times New Roman" w:hAnsi="Times New Roman"/>
          <w:sz w:val="24"/>
          <w:szCs w:val="24"/>
          <w:u w:val="single"/>
        </w:rPr>
        <w:t>Town of Suffield v. State Board of Labor Relations and Suffield Firefighters Assoc. Local 3565, IAFF</w:t>
      </w:r>
      <w:r w:rsidRPr="00C2714E">
        <w:rPr>
          <w:rFonts w:ascii="Times New Roman" w:hAnsi="Times New Roman"/>
          <w:sz w:val="24"/>
          <w:szCs w:val="24"/>
        </w:rPr>
        <w:t xml:space="preserve">, the Superior Court of Connecticut (Judicial District of New Britain) held (Judge Matthew J. Budzik; unpublished decision) that Town’s appeal was denied.  </w:t>
      </w:r>
    </w:p>
    <w:p w14:paraId="6F4A7DC3" w14:textId="77777777" w:rsidR="00A50A87" w:rsidRPr="00C2714E" w:rsidRDefault="00A50A87" w:rsidP="00A50A87">
      <w:pPr>
        <w:pStyle w:val="NoSpacing"/>
        <w:rPr>
          <w:rFonts w:ascii="Times New Roman" w:hAnsi="Times New Roman"/>
          <w:bCs/>
          <w:sz w:val="24"/>
          <w:szCs w:val="24"/>
        </w:rPr>
      </w:pPr>
    </w:p>
    <w:p w14:paraId="09479BA6" w14:textId="17C796CE" w:rsidR="00A50A87" w:rsidRPr="00C2714E" w:rsidRDefault="00A50A87" w:rsidP="00A50A87">
      <w:pPr>
        <w:pStyle w:val="NoSpacing"/>
        <w:rPr>
          <w:rFonts w:ascii="Times New Roman" w:hAnsi="Times New Roman"/>
          <w:b/>
          <w:bCs/>
          <w:sz w:val="24"/>
          <w:szCs w:val="24"/>
        </w:rPr>
      </w:pPr>
      <w:r w:rsidRPr="00C2714E">
        <w:rPr>
          <w:rFonts w:ascii="Times New Roman" w:hAnsi="Times New Roman"/>
          <w:sz w:val="24"/>
          <w:szCs w:val="24"/>
        </w:rPr>
        <w:t xml:space="preserve">The Court wrote: [The State Board] “may make the reasonable factual inference, based on very close temporal proximity, that the board’s [Town’s Board of Selectman] March 15, </w:t>
      </w:r>
      <w:proofErr w:type="gramStart"/>
      <w:r w:rsidRPr="00C2714E">
        <w:rPr>
          <w:rFonts w:ascii="Times New Roman" w:hAnsi="Times New Roman"/>
          <w:sz w:val="24"/>
          <w:szCs w:val="24"/>
        </w:rPr>
        <w:t>2023</w:t>
      </w:r>
      <w:proofErr w:type="gramEnd"/>
      <w:r w:rsidRPr="00C2714E">
        <w:rPr>
          <w:rFonts w:ascii="Times New Roman" w:hAnsi="Times New Roman"/>
          <w:sz w:val="24"/>
          <w:szCs w:val="24"/>
        </w:rPr>
        <w:t xml:space="preserve"> vote to defund the lieutenant position was in retaliation for the [union’s] filing of the March 9, </w:t>
      </w:r>
      <w:proofErr w:type="gramStart"/>
      <w:r w:rsidRPr="00C2714E">
        <w:rPr>
          <w:rFonts w:ascii="Times New Roman" w:hAnsi="Times New Roman"/>
          <w:sz w:val="24"/>
          <w:szCs w:val="24"/>
        </w:rPr>
        <w:t>2023</w:t>
      </w:r>
      <w:proofErr w:type="gramEnd"/>
      <w:r w:rsidRPr="00C2714E">
        <w:rPr>
          <w:rFonts w:ascii="Times New Roman" w:hAnsi="Times New Roman"/>
          <w:sz w:val="24"/>
          <w:szCs w:val="24"/>
        </w:rPr>
        <w:t xml:space="preserve"> grievance.”  </w:t>
      </w:r>
      <w:hyperlink r:id="rId2823" w:history="1">
        <w:r w:rsidRPr="00C2714E">
          <w:rPr>
            <w:rStyle w:val="Hyperlink"/>
            <w:rFonts w:ascii="Times New Roman" w:hAnsi="Times New Roman"/>
            <w:sz w:val="24"/>
            <w:szCs w:val="24"/>
          </w:rPr>
          <w:t>https://civilinquiry.jud.ct.gov/DocumentInquiry/DocumentInquiry.aspx?DocumentNo=29998787</w:t>
        </w:r>
      </w:hyperlink>
    </w:p>
    <w:p w14:paraId="7B649D2A" w14:textId="77777777" w:rsidR="00C01A1F" w:rsidRPr="00C2714E" w:rsidRDefault="00C01A1F" w:rsidP="00C01A1F">
      <w:pPr>
        <w:pStyle w:val="NoSpacing"/>
        <w:rPr>
          <w:rFonts w:ascii="Times New Roman" w:hAnsi="Times New Roman"/>
          <w:b/>
          <w:bCs/>
          <w:sz w:val="24"/>
          <w:szCs w:val="24"/>
        </w:rPr>
      </w:pPr>
    </w:p>
    <w:p w14:paraId="7ED72127" w14:textId="77777777" w:rsidR="00842AFE" w:rsidRPr="00BB45E5" w:rsidRDefault="00842AFE" w:rsidP="00842AFE">
      <w:pPr>
        <w:pStyle w:val="NoSpacing"/>
        <w:rPr>
          <w:rFonts w:ascii="Times New Roman" w:hAnsi="Times New Roman"/>
          <w:b/>
          <w:bCs/>
          <w:sz w:val="24"/>
          <w:szCs w:val="24"/>
        </w:rPr>
      </w:pPr>
      <w:r w:rsidRPr="00BB45E5">
        <w:rPr>
          <w:rFonts w:ascii="Times New Roman" w:hAnsi="Times New Roman"/>
          <w:b/>
          <w:sz w:val="24"/>
          <w:szCs w:val="24"/>
        </w:rPr>
        <w:t xml:space="preserve">Legal Lesson Learned: To avoid a retaliation charge, </w:t>
      </w:r>
      <w:r w:rsidRPr="00BB45E5">
        <w:rPr>
          <w:rFonts w:ascii="Times New Roman" w:hAnsi="Times New Roman"/>
          <w:b/>
          <w:bCs/>
          <w:sz w:val="24"/>
          <w:szCs w:val="24"/>
        </w:rPr>
        <w:t xml:space="preserve">document in </w:t>
      </w:r>
      <w:r w:rsidRPr="00BB45E5">
        <w:rPr>
          <w:rFonts w:ascii="Times New Roman" w:hAnsi="Times New Roman"/>
          <w:b/>
          <w:sz w:val="24"/>
          <w:szCs w:val="24"/>
        </w:rPr>
        <w:t xml:space="preserve">detail the business reasons for eliminating the Lieutenant position and the formal vote of the Board.  </w:t>
      </w:r>
    </w:p>
    <w:p w14:paraId="1E1FD8AB" w14:textId="77777777" w:rsidR="00842AFE" w:rsidRPr="00BB45E5" w:rsidRDefault="00842AFE" w:rsidP="00842AFE">
      <w:pPr>
        <w:pStyle w:val="NoSpacing"/>
        <w:rPr>
          <w:rFonts w:ascii="Times New Roman" w:hAnsi="Times New Roman"/>
          <w:b/>
          <w:bCs/>
          <w:sz w:val="24"/>
          <w:szCs w:val="24"/>
        </w:rPr>
      </w:pPr>
    </w:p>
    <w:p w14:paraId="46C7E991" w14:textId="77777777" w:rsidR="00842AFE" w:rsidRPr="006F2B87" w:rsidRDefault="00842AFE" w:rsidP="00842AFE">
      <w:pPr>
        <w:pStyle w:val="NoSpacing"/>
        <w:ind w:left="720"/>
        <w:rPr>
          <w:b/>
          <w:bCs/>
        </w:rPr>
      </w:pPr>
      <w:r w:rsidRPr="00BB45E5">
        <w:rPr>
          <w:rFonts w:ascii="Times New Roman" w:hAnsi="Times New Roman"/>
          <w:sz w:val="24"/>
          <w:szCs w:val="24"/>
        </w:rPr>
        <w:t xml:space="preserve">Note: See May 21, </w:t>
      </w:r>
      <w:proofErr w:type="gramStart"/>
      <w:r w:rsidRPr="00BB45E5">
        <w:rPr>
          <w:rFonts w:ascii="Times New Roman" w:hAnsi="Times New Roman"/>
          <w:sz w:val="24"/>
          <w:szCs w:val="24"/>
        </w:rPr>
        <w:t>2025</w:t>
      </w:r>
      <w:proofErr w:type="gramEnd"/>
      <w:r w:rsidRPr="00BB45E5">
        <w:rPr>
          <w:rFonts w:ascii="Times New Roman" w:hAnsi="Times New Roman"/>
          <w:sz w:val="24"/>
          <w:szCs w:val="24"/>
        </w:rPr>
        <w:t xml:space="preserve"> article on this decision.  “Court upholds finding of retaliation against Suffield firefighter.” </w:t>
      </w:r>
      <w:hyperlink r:id="rId2824" w:history="1">
        <w:r w:rsidRPr="00BB45E5">
          <w:rPr>
            <w:rStyle w:val="Hyperlink"/>
            <w:rFonts w:ascii="Times New Roman" w:hAnsi="Times New Roman"/>
            <w:sz w:val="24"/>
            <w:szCs w:val="24"/>
          </w:rPr>
          <w:t>https://insideinvestigator.org/court-upholds-finding-of-retaliation-against-suffield-firefighter/</w:t>
        </w:r>
      </w:hyperlink>
      <w:r w:rsidRPr="006F2B87">
        <w:rPr>
          <w:b/>
        </w:rPr>
        <w:t xml:space="preserve"> </w:t>
      </w:r>
    </w:p>
    <w:p w14:paraId="64F57AB0" w14:textId="77777777" w:rsidR="001F3D0F" w:rsidRDefault="001F3D0F" w:rsidP="00F326E5">
      <w:pPr>
        <w:pStyle w:val="NoSpacing"/>
        <w:rPr>
          <w:rFonts w:ascii="Arial Black" w:hAnsi="Arial Black"/>
          <w:sz w:val="24"/>
          <w:szCs w:val="24"/>
        </w:rPr>
      </w:pPr>
    </w:p>
    <w:p w14:paraId="49EDC6DF" w14:textId="77777777" w:rsidR="00C01A1F" w:rsidRDefault="00C01A1F" w:rsidP="00F326E5">
      <w:pPr>
        <w:pStyle w:val="NoSpacing"/>
        <w:rPr>
          <w:rFonts w:ascii="Arial Black" w:hAnsi="Arial Black"/>
          <w:sz w:val="24"/>
          <w:szCs w:val="24"/>
        </w:rPr>
      </w:pPr>
    </w:p>
    <w:p w14:paraId="2A37A3C4" w14:textId="77777777" w:rsidR="00C01A1F" w:rsidRDefault="00C01A1F" w:rsidP="00F326E5">
      <w:pPr>
        <w:pStyle w:val="NoSpacing"/>
        <w:rPr>
          <w:rFonts w:ascii="Arial Black" w:hAnsi="Arial Black"/>
          <w:sz w:val="24"/>
          <w:szCs w:val="24"/>
        </w:rPr>
      </w:pPr>
    </w:p>
    <w:p w14:paraId="107D0EBA" w14:textId="77777777" w:rsidR="00C01A1F" w:rsidRDefault="00C01A1F" w:rsidP="00F326E5">
      <w:pPr>
        <w:pStyle w:val="NoSpacing"/>
        <w:rPr>
          <w:rFonts w:ascii="Arial Black" w:hAnsi="Arial Black"/>
          <w:sz w:val="24"/>
          <w:szCs w:val="24"/>
        </w:rPr>
      </w:pPr>
    </w:p>
    <w:p w14:paraId="51BD56CF" w14:textId="77777777" w:rsidR="001F3D0F" w:rsidRDefault="001F3D0F" w:rsidP="00F326E5">
      <w:pPr>
        <w:pStyle w:val="NoSpacing"/>
        <w:rPr>
          <w:rFonts w:ascii="Arial Black" w:hAnsi="Arial Black"/>
          <w:sz w:val="24"/>
          <w:szCs w:val="24"/>
        </w:rPr>
      </w:pPr>
    </w:p>
    <w:p w14:paraId="250A1293" w14:textId="387092D2" w:rsidR="007D54CE" w:rsidRDefault="007D54CE" w:rsidP="00F326E5">
      <w:pPr>
        <w:pStyle w:val="NoSpacing"/>
        <w:rPr>
          <w:rFonts w:ascii="Arial Black" w:hAnsi="Arial Black"/>
          <w:sz w:val="24"/>
          <w:szCs w:val="24"/>
        </w:rPr>
      </w:pPr>
      <w:r>
        <w:rPr>
          <w:rFonts w:ascii="Arial Black" w:hAnsi="Arial Black"/>
          <w:sz w:val="24"/>
          <w:szCs w:val="24"/>
        </w:rPr>
        <w:t>17-51</w:t>
      </w:r>
    </w:p>
    <w:p w14:paraId="2FBC0744" w14:textId="77777777" w:rsidR="001F3D0F" w:rsidRDefault="001F3D0F" w:rsidP="007D54CE">
      <w:pPr>
        <w:rPr>
          <w:rFonts w:ascii="Arial Black" w:hAnsi="Arial Black"/>
          <w:sz w:val="28"/>
          <w:szCs w:val="28"/>
        </w:rPr>
      </w:pPr>
    </w:p>
    <w:p w14:paraId="45E13185" w14:textId="7C324633" w:rsidR="007D54CE" w:rsidRPr="00226994" w:rsidRDefault="007D54CE" w:rsidP="007D54CE">
      <w:pPr>
        <w:rPr>
          <w:rFonts w:ascii="Arial Black" w:hAnsi="Arial Black"/>
          <w:sz w:val="28"/>
          <w:szCs w:val="28"/>
        </w:rPr>
      </w:pPr>
      <w:r>
        <w:rPr>
          <w:rFonts w:ascii="Arial Black" w:hAnsi="Arial Black"/>
          <w:sz w:val="28"/>
          <w:szCs w:val="28"/>
        </w:rPr>
        <w:t>MA: FF – SUSP. 4 TOURS – UNION E-MAIL FIX SIDEWALK</w:t>
      </w:r>
    </w:p>
    <w:p w14:paraId="4C71D40F" w14:textId="6B358EA2" w:rsidR="007D54CE" w:rsidRPr="00C7167A" w:rsidRDefault="007D54CE" w:rsidP="007D54CE">
      <w:pPr>
        <w:pStyle w:val="NoSpacing"/>
        <w:rPr>
          <w:rFonts w:ascii="Times New Roman" w:hAnsi="Times New Roman"/>
          <w:sz w:val="24"/>
          <w:szCs w:val="24"/>
        </w:rPr>
      </w:pPr>
      <w:r w:rsidRPr="00C7167A">
        <w:rPr>
          <w:rFonts w:ascii="Times New Roman" w:hAnsi="Times New Roman"/>
          <w:sz w:val="24"/>
          <w:szCs w:val="24"/>
        </w:rPr>
        <w:t xml:space="preserve">On April 18, 2025, in </w:t>
      </w:r>
      <w:r w:rsidRPr="00C7167A">
        <w:rPr>
          <w:rFonts w:ascii="Times New Roman" w:hAnsi="Times New Roman"/>
          <w:sz w:val="24"/>
          <w:szCs w:val="24"/>
          <w:u w:val="single"/>
        </w:rPr>
        <w:t>James P. Riley and Boston Fire Firefighters International Association of Firefighters, Local 718 v. City of Boston, et al.</w:t>
      </w:r>
      <w:r w:rsidRPr="00C7167A">
        <w:rPr>
          <w:rFonts w:ascii="Times New Roman" w:hAnsi="Times New Roman"/>
          <w:sz w:val="24"/>
          <w:szCs w:val="24"/>
        </w:rPr>
        <w:t xml:space="preserve">, U.S. District Court Judge Allison D. Burroughs, United States District Court for the District of Massachusetts, denied the City’s motion to dismiss.  Firefighter Riley, a 16-year member of the FD, sent an e-mail on September 26, </w:t>
      </w:r>
      <w:proofErr w:type="gramStart"/>
      <w:r w:rsidRPr="00C7167A">
        <w:rPr>
          <w:rFonts w:ascii="Times New Roman" w:hAnsi="Times New Roman"/>
          <w:sz w:val="24"/>
          <w:szCs w:val="24"/>
        </w:rPr>
        <w:t>2023</w:t>
      </w:r>
      <w:proofErr w:type="gramEnd"/>
      <w:r w:rsidRPr="00C7167A">
        <w:rPr>
          <w:rFonts w:ascii="Times New Roman" w:hAnsi="Times New Roman"/>
          <w:sz w:val="24"/>
          <w:szCs w:val="24"/>
        </w:rPr>
        <w:t xml:space="preserve"> on his Union e-mail as an Executive Board Member of the Union (with permission of Union President) to city’s Chief of Streets Department to repair a sidewalk handicap ramp in front of his Fire Station.  His Captain had previously sent five e-mail requests to the FD’s Facilities Division (April 21, 2021; February 11, 2022; March 20, 2022; June 16, 2022; April 20, 2023).  On Oct. 11, 2023, the FD’s Deputy Chief of Personnel suspended Riley for four shifts, claiming he “used his Local 718 Union title in an attempt to intimidate the City of Boston official into action.” </w:t>
      </w:r>
      <w:hyperlink r:id="rId2825" w:history="1">
        <w:r w:rsidRPr="00C7167A">
          <w:rPr>
            <w:rStyle w:val="Hyperlink"/>
            <w:rFonts w:ascii="Times New Roman" w:hAnsi="Times New Roman"/>
            <w:sz w:val="24"/>
            <w:szCs w:val="24"/>
          </w:rPr>
          <w:t>https://public.fastcase.com/jaEE2PXzRXmZ99jOLMt1IpPvzvvllZ7Rrt4VKwyGVntYyQb9IRuNiNqVshy4%2</w:t>
        </w:r>
        <w:r w:rsidRPr="00C7167A">
          <w:rPr>
            <w:rStyle w:val="Hyperlink"/>
            <w:rFonts w:ascii="Times New Roman" w:hAnsi="Times New Roman"/>
            <w:sz w:val="24"/>
            <w:szCs w:val="24"/>
          </w:rPr>
          <w:lastRenderedPageBreak/>
          <w:t>Bl2z%2BsY6VEZuB3eEVHjKlzOdk%2FP8W50g7Bl84BsJ%2BT14tOs%3D?utm_medium=email&amp;_hsenc=p2ANqtz-8_cjXUjI5LfLOi5ALG6MFLDFJJrn3rZsNciOMXnsNsHK54iflcoWeqPuq6ELEpSWLnjpVW4QqFeFKVqziKDzXrD-fT4Q&amp;_hsmi=226712652&amp;utm_content=226712652&amp;utm_source=hs_email</w:t>
        </w:r>
      </w:hyperlink>
    </w:p>
    <w:p w14:paraId="12496A04" w14:textId="77777777" w:rsidR="007D54CE" w:rsidRDefault="007D54CE" w:rsidP="00F326E5">
      <w:pPr>
        <w:pStyle w:val="NoSpacing"/>
        <w:rPr>
          <w:rFonts w:ascii="Arial Black" w:hAnsi="Arial Black"/>
          <w:sz w:val="24"/>
          <w:szCs w:val="24"/>
        </w:rPr>
      </w:pPr>
    </w:p>
    <w:p w14:paraId="78079659" w14:textId="77777777" w:rsidR="00D364BB" w:rsidRPr="00B82297" w:rsidRDefault="00D364BB" w:rsidP="00D364BB">
      <w:pPr>
        <w:pStyle w:val="NoSpacing"/>
        <w:rPr>
          <w:rFonts w:ascii="Times New Roman" w:hAnsi="Times New Roman"/>
          <w:b/>
          <w:bCs/>
          <w:sz w:val="24"/>
          <w:szCs w:val="24"/>
        </w:rPr>
      </w:pPr>
      <w:r w:rsidRPr="00B82297">
        <w:rPr>
          <w:rFonts w:ascii="Times New Roman" w:hAnsi="Times New Roman"/>
          <w:b/>
          <w:sz w:val="24"/>
          <w:szCs w:val="24"/>
        </w:rPr>
        <w:t>Legal Lesson Learned: Firefighters have 1</w:t>
      </w:r>
      <w:r w:rsidRPr="00B82297">
        <w:rPr>
          <w:rFonts w:ascii="Times New Roman" w:hAnsi="Times New Roman"/>
          <w:b/>
          <w:sz w:val="24"/>
          <w:szCs w:val="24"/>
          <w:vertAlign w:val="superscript"/>
        </w:rPr>
        <w:t>st</w:t>
      </w:r>
      <w:r w:rsidRPr="00B82297">
        <w:rPr>
          <w:rFonts w:ascii="Times New Roman" w:hAnsi="Times New Roman"/>
          <w:b/>
          <w:sz w:val="24"/>
          <w:szCs w:val="24"/>
        </w:rPr>
        <w:t xml:space="preserve"> Amendment right to engage in protected speech not disruptive to the fire department.  </w:t>
      </w:r>
    </w:p>
    <w:p w14:paraId="561FCBD7" w14:textId="77777777" w:rsidR="00D364BB" w:rsidRPr="00B82297" w:rsidRDefault="00D364BB" w:rsidP="00D364BB">
      <w:pPr>
        <w:pStyle w:val="NoSpacing"/>
        <w:rPr>
          <w:rFonts w:ascii="Times New Roman" w:hAnsi="Times New Roman"/>
          <w:b/>
          <w:sz w:val="24"/>
          <w:szCs w:val="24"/>
        </w:rPr>
      </w:pPr>
    </w:p>
    <w:p w14:paraId="1CDBEC85" w14:textId="77777777" w:rsidR="00D364BB" w:rsidRPr="00B82297" w:rsidRDefault="00D364BB" w:rsidP="00D364BB">
      <w:pPr>
        <w:ind w:left="720"/>
        <w:rPr>
          <w:rFonts w:ascii="Times New Roman" w:hAnsi="Times New Roman"/>
          <w:bCs/>
          <w:sz w:val="24"/>
          <w:szCs w:val="24"/>
        </w:rPr>
      </w:pPr>
      <w:r w:rsidRPr="00B82297">
        <w:rPr>
          <w:rFonts w:ascii="Times New Roman" w:hAnsi="Times New Roman"/>
          <w:sz w:val="24"/>
          <w:szCs w:val="24"/>
        </w:rPr>
        <w:t xml:space="preserve">Note: Read the lawsuit Complaint. </w:t>
      </w:r>
      <w:hyperlink r:id="rId2826" w:history="1">
        <w:r w:rsidRPr="00B82297">
          <w:rPr>
            <w:rStyle w:val="Hyperlink"/>
            <w:rFonts w:ascii="Times New Roman" w:hAnsi="Times New Roman"/>
            <w:sz w:val="24"/>
            <w:szCs w:val="24"/>
          </w:rPr>
          <w:t>https://www.universalhub.com/files/jpfirefighter-complaint.pdf</w:t>
        </w:r>
      </w:hyperlink>
    </w:p>
    <w:p w14:paraId="0C7B5A6A" w14:textId="77777777" w:rsidR="007D54CE" w:rsidRDefault="007D54CE" w:rsidP="00F326E5">
      <w:pPr>
        <w:pStyle w:val="NoSpacing"/>
        <w:rPr>
          <w:rFonts w:ascii="Arial Black" w:hAnsi="Arial Black"/>
          <w:sz w:val="24"/>
          <w:szCs w:val="24"/>
        </w:rPr>
      </w:pPr>
    </w:p>
    <w:p w14:paraId="36352946" w14:textId="77777777" w:rsidR="007D54CE" w:rsidRDefault="007D54CE" w:rsidP="00F326E5">
      <w:pPr>
        <w:pStyle w:val="NoSpacing"/>
        <w:rPr>
          <w:rFonts w:ascii="Arial Black" w:hAnsi="Arial Black"/>
          <w:sz w:val="24"/>
          <w:szCs w:val="24"/>
        </w:rPr>
      </w:pPr>
    </w:p>
    <w:p w14:paraId="4897F819" w14:textId="734842BC" w:rsidR="00766306" w:rsidRDefault="00F367A4" w:rsidP="00F326E5">
      <w:pPr>
        <w:pStyle w:val="NoSpacing"/>
        <w:rPr>
          <w:rFonts w:ascii="Arial Black" w:hAnsi="Arial Black"/>
          <w:sz w:val="24"/>
          <w:szCs w:val="24"/>
        </w:rPr>
      </w:pPr>
      <w:r>
        <w:rPr>
          <w:rFonts w:ascii="Arial Black" w:hAnsi="Arial Black"/>
          <w:sz w:val="24"/>
          <w:szCs w:val="24"/>
        </w:rPr>
        <w:t>17-50</w:t>
      </w:r>
    </w:p>
    <w:p w14:paraId="7E9429B4" w14:textId="77777777" w:rsidR="00F367A4" w:rsidRDefault="00F367A4" w:rsidP="00F326E5">
      <w:pPr>
        <w:pStyle w:val="NoSpacing"/>
        <w:rPr>
          <w:rFonts w:ascii="Arial Black" w:hAnsi="Arial Black"/>
          <w:sz w:val="24"/>
          <w:szCs w:val="24"/>
        </w:rPr>
      </w:pPr>
    </w:p>
    <w:p w14:paraId="687F640E" w14:textId="77777777" w:rsidR="006958A3" w:rsidRPr="00620D8B" w:rsidRDefault="006958A3" w:rsidP="006958A3">
      <w:pPr>
        <w:pStyle w:val="NoSpacing"/>
        <w:rPr>
          <w:rFonts w:ascii="Arial Black" w:hAnsi="Arial Black"/>
          <w:bCs/>
          <w:sz w:val="28"/>
          <w:szCs w:val="28"/>
        </w:rPr>
      </w:pPr>
      <w:r>
        <w:rPr>
          <w:rFonts w:ascii="Arial Black" w:hAnsi="Arial Black"/>
          <w:sz w:val="28"/>
          <w:szCs w:val="28"/>
        </w:rPr>
        <w:t>NH: POLICE &amp; FIRE – CAN’T BE IN SAME UNION IN TOWN</w:t>
      </w:r>
    </w:p>
    <w:p w14:paraId="7A2E6199" w14:textId="77777777" w:rsidR="006958A3" w:rsidRDefault="006958A3" w:rsidP="006958A3">
      <w:pPr>
        <w:pStyle w:val="NoSpacing"/>
        <w:rPr>
          <w:bCs/>
        </w:rPr>
      </w:pPr>
    </w:p>
    <w:p w14:paraId="606315BA" w14:textId="77777777" w:rsidR="006958A3" w:rsidRPr="008A2AE6" w:rsidRDefault="006958A3" w:rsidP="006958A3">
      <w:pPr>
        <w:pStyle w:val="NoSpacing"/>
        <w:rPr>
          <w:rFonts w:ascii="Times New Roman" w:hAnsi="Times New Roman"/>
          <w:bCs/>
          <w:sz w:val="24"/>
          <w:szCs w:val="24"/>
        </w:rPr>
      </w:pPr>
      <w:r w:rsidRPr="008A2AE6">
        <w:rPr>
          <w:rFonts w:ascii="Times New Roman" w:hAnsi="Times New Roman"/>
          <w:sz w:val="24"/>
          <w:szCs w:val="24"/>
        </w:rPr>
        <w:t xml:space="preserve">On March 26, 2025, in </w:t>
      </w:r>
      <w:r w:rsidRPr="008A2AE6">
        <w:rPr>
          <w:rFonts w:ascii="Times New Roman" w:hAnsi="Times New Roman"/>
          <w:sz w:val="24"/>
          <w:szCs w:val="24"/>
          <w:u w:val="single"/>
        </w:rPr>
        <w:t xml:space="preserve">Appeal </w:t>
      </w:r>
      <w:proofErr w:type="gramStart"/>
      <w:r w:rsidRPr="008A2AE6">
        <w:rPr>
          <w:rFonts w:ascii="Times New Roman" w:hAnsi="Times New Roman"/>
          <w:sz w:val="24"/>
          <w:szCs w:val="24"/>
          <w:u w:val="single"/>
        </w:rPr>
        <w:t>Of</w:t>
      </w:r>
      <w:proofErr w:type="gramEnd"/>
      <w:r w:rsidRPr="008A2AE6">
        <w:rPr>
          <w:rFonts w:ascii="Times New Roman" w:hAnsi="Times New Roman"/>
          <w:sz w:val="24"/>
          <w:szCs w:val="24"/>
          <w:u w:val="single"/>
        </w:rPr>
        <w:t xml:space="preserve"> Town </w:t>
      </w:r>
      <w:proofErr w:type="gramStart"/>
      <w:r w:rsidRPr="008A2AE6">
        <w:rPr>
          <w:rFonts w:ascii="Times New Roman" w:hAnsi="Times New Roman"/>
          <w:sz w:val="24"/>
          <w:szCs w:val="24"/>
          <w:u w:val="single"/>
        </w:rPr>
        <w:t>Of</w:t>
      </w:r>
      <w:proofErr w:type="gramEnd"/>
      <w:r w:rsidRPr="008A2AE6">
        <w:rPr>
          <w:rFonts w:ascii="Times New Roman" w:hAnsi="Times New Roman"/>
          <w:sz w:val="24"/>
          <w:szCs w:val="24"/>
          <w:u w:val="single"/>
        </w:rPr>
        <w:t xml:space="preserve"> Barnstead, (New Hampshire Public Employee Labor Relations Board)</w:t>
      </w:r>
      <w:r w:rsidRPr="008A2AE6">
        <w:rPr>
          <w:rFonts w:ascii="Times New Roman" w:hAnsi="Times New Roman"/>
          <w:sz w:val="24"/>
          <w:szCs w:val="24"/>
        </w:rPr>
        <w:t xml:space="preserve"> the New Hampshire Supreme Court held (4 to 0) that the New Hampshire Public Employee Labor Relations Board (PELRB) improperly certified a bargaining unit comprised of employees from the Town’s police and fire departments. “Notwithstanding the PELRB’s findings, which derive primarily from the fact that police and fire department employees all work for the Town, we conclude that the record does not support the conclusion that there exists a community of interest in working conditions such that it is reasonable for the employees to negotiate jointly.” </w:t>
      </w:r>
      <w:hyperlink r:id="rId2827" w:history="1">
        <w:r w:rsidRPr="008A2AE6">
          <w:rPr>
            <w:rStyle w:val="Hyperlink"/>
            <w:rFonts w:ascii="Times New Roman" w:hAnsi="Times New Roman"/>
            <w:sz w:val="24"/>
            <w:szCs w:val="24"/>
          </w:rPr>
          <w:t>https://cases.justia.com/new-hampshire/supreme-court/2025-2024-0097.pdf?ts=1742996506</w:t>
        </w:r>
      </w:hyperlink>
      <w:r w:rsidRPr="008A2AE6">
        <w:rPr>
          <w:rFonts w:ascii="Times New Roman" w:hAnsi="Times New Roman"/>
          <w:sz w:val="24"/>
          <w:szCs w:val="24"/>
        </w:rPr>
        <w:t xml:space="preserve"> </w:t>
      </w:r>
    </w:p>
    <w:p w14:paraId="4329DFB0" w14:textId="77777777" w:rsidR="00F367A4" w:rsidRPr="008A2AE6" w:rsidRDefault="00F367A4" w:rsidP="00F326E5">
      <w:pPr>
        <w:pStyle w:val="NoSpacing"/>
        <w:rPr>
          <w:rFonts w:ascii="Times New Roman" w:hAnsi="Times New Roman"/>
          <w:sz w:val="24"/>
          <w:szCs w:val="24"/>
        </w:rPr>
      </w:pPr>
    </w:p>
    <w:p w14:paraId="47C071E1" w14:textId="77777777" w:rsidR="008A2AE6" w:rsidRPr="008A2AE6" w:rsidRDefault="008A2AE6" w:rsidP="008A2AE6">
      <w:pPr>
        <w:pStyle w:val="NoSpacing"/>
        <w:rPr>
          <w:rFonts w:ascii="Times New Roman" w:hAnsi="Times New Roman"/>
          <w:b/>
          <w:sz w:val="24"/>
          <w:szCs w:val="24"/>
        </w:rPr>
      </w:pPr>
      <w:r w:rsidRPr="008A2AE6">
        <w:rPr>
          <w:rFonts w:ascii="Times New Roman" w:hAnsi="Times New Roman"/>
          <w:b/>
          <w:sz w:val="24"/>
          <w:szCs w:val="24"/>
        </w:rPr>
        <w:t xml:space="preserve">Legal Lesson Learned: Police and fire have different duties and under NH law should not be in the same collective bargaining unit. </w:t>
      </w:r>
    </w:p>
    <w:p w14:paraId="3CDDA6D2" w14:textId="77777777" w:rsidR="008A2AE6" w:rsidRPr="008A2AE6" w:rsidRDefault="008A2AE6" w:rsidP="008A2AE6">
      <w:pPr>
        <w:rPr>
          <w:rFonts w:ascii="Times New Roman" w:hAnsi="Times New Roman"/>
          <w:sz w:val="24"/>
          <w:szCs w:val="24"/>
        </w:rPr>
      </w:pPr>
    </w:p>
    <w:p w14:paraId="45CC4002" w14:textId="77777777" w:rsidR="008A2AE6" w:rsidRDefault="008A2AE6" w:rsidP="00F326E5">
      <w:pPr>
        <w:pStyle w:val="NoSpacing"/>
        <w:rPr>
          <w:rFonts w:ascii="Arial Black" w:hAnsi="Arial Black"/>
          <w:sz w:val="24"/>
          <w:szCs w:val="24"/>
        </w:rPr>
      </w:pPr>
    </w:p>
    <w:p w14:paraId="30B3392F" w14:textId="77777777" w:rsidR="00F367A4" w:rsidRDefault="00F367A4" w:rsidP="00F326E5">
      <w:pPr>
        <w:pStyle w:val="NoSpacing"/>
        <w:rPr>
          <w:rFonts w:ascii="Arial Black" w:hAnsi="Arial Black"/>
          <w:sz w:val="24"/>
          <w:szCs w:val="24"/>
        </w:rPr>
      </w:pPr>
    </w:p>
    <w:p w14:paraId="78E0A541" w14:textId="77777777" w:rsidR="00F367A4" w:rsidRDefault="00F367A4" w:rsidP="00F326E5">
      <w:pPr>
        <w:pStyle w:val="NoSpacing"/>
        <w:rPr>
          <w:rFonts w:ascii="Arial Black" w:hAnsi="Arial Black"/>
          <w:sz w:val="24"/>
          <w:szCs w:val="24"/>
        </w:rPr>
      </w:pPr>
    </w:p>
    <w:p w14:paraId="23057ED1" w14:textId="66A5920B" w:rsidR="00766306" w:rsidRDefault="00766306" w:rsidP="00F326E5">
      <w:pPr>
        <w:pStyle w:val="NoSpacing"/>
        <w:rPr>
          <w:rFonts w:ascii="Arial Black" w:hAnsi="Arial Black"/>
          <w:sz w:val="24"/>
          <w:szCs w:val="24"/>
        </w:rPr>
      </w:pPr>
      <w:r>
        <w:rPr>
          <w:rFonts w:ascii="Arial Black" w:hAnsi="Arial Black"/>
          <w:sz w:val="24"/>
          <w:szCs w:val="24"/>
        </w:rPr>
        <w:t>17-49</w:t>
      </w:r>
    </w:p>
    <w:p w14:paraId="11690BCB" w14:textId="77777777" w:rsidR="00766306" w:rsidRDefault="00766306" w:rsidP="00F326E5">
      <w:pPr>
        <w:pStyle w:val="NoSpacing"/>
        <w:rPr>
          <w:rFonts w:ascii="Arial Black" w:hAnsi="Arial Black"/>
          <w:sz w:val="24"/>
          <w:szCs w:val="24"/>
        </w:rPr>
      </w:pPr>
    </w:p>
    <w:p w14:paraId="03376A93" w14:textId="77777777" w:rsidR="00766306" w:rsidRPr="00447084" w:rsidRDefault="00766306" w:rsidP="00766306">
      <w:pPr>
        <w:pStyle w:val="NoSpacing"/>
        <w:rPr>
          <w:rFonts w:ascii="Arial Black" w:hAnsi="Arial Black"/>
          <w:bCs/>
          <w:sz w:val="28"/>
          <w:szCs w:val="28"/>
        </w:rPr>
      </w:pPr>
      <w:r>
        <w:rPr>
          <w:rFonts w:ascii="Arial Black" w:hAnsi="Arial Black"/>
          <w:sz w:val="28"/>
          <w:szCs w:val="28"/>
        </w:rPr>
        <w:t>NY: FDNY - COVID - LEAVE W/O PAY – NO ARBITRABLE</w:t>
      </w:r>
    </w:p>
    <w:p w14:paraId="00002D5F" w14:textId="77777777" w:rsidR="00766306" w:rsidRDefault="00766306" w:rsidP="00766306">
      <w:pPr>
        <w:pStyle w:val="NoSpacing"/>
        <w:rPr>
          <w:bCs/>
        </w:rPr>
      </w:pPr>
    </w:p>
    <w:p w14:paraId="21D9502F" w14:textId="77777777" w:rsidR="00766306" w:rsidRPr="00F367A4" w:rsidRDefault="00766306" w:rsidP="00766306">
      <w:pPr>
        <w:pStyle w:val="NoSpacing"/>
        <w:rPr>
          <w:rFonts w:ascii="Times New Roman" w:hAnsi="Times New Roman"/>
          <w:sz w:val="24"/>
          <w:szCs w:val="24"/>
        </w:rPr>
      </w:pPr>
      <w:r w:rsidRPr="00F367A4">
        <w:rPr>
          <w:rFonts w:ascii="Times New Roman" w:hAnsi="Times New Roman"/>
          <w:sz w:val="24"/>
          <w:szCs w:val="24"/>
        </w:rPr>
        <w:t xml:space="preserve">On March 18, 2025, in </w:t>
      </w:r>
      <w:r w:rsidRPr="00F367A4">
        <w:rPr>
          <w:rFonts w:ascii="Times New Roman" w:hAnsi="Times New Roman"/>
          <w:sz w:val="24"/>
          <w:szCs w:val="24"/>
          <w:u w:val="single"/>
        </w:rPr>
        <w:t xml:space="preserve">In </w:t>
      </w:r>
      <w:proofErr w:type="gramStart"/>
      <w:r w:rsidRPr="00F367A4">
        <w:rPr>
          <w:rFonts w:ascii="Times New Roman" w:hAnsi="Times New Roman"/>
          <w:sz w:val="24"/>
          <w:szCs w:val="24"/>
          <w:u w:val="single"/>
        </w:rPr>
        <w:t>The</w:t>
      </w:r>
      <w:proofErr w:type="gramEnd"/>
      <w:r w:rsidRPr="00F367A4">
        <w:rPr>
          <w:rFonts w:ascii="Times New Roman" w:hAnsi="Times New Roman"/>
          <w:sz w:val="24"/>
          <w:szCs w:val="24"/>
          <w:u w:val="single"/>
        </w:rPr>
        <w:t xml:space="preserve"> Matter of Uniformed Firefighters Association of Greater New York, Local 94, IAFF, AFL-CIO v. The City of New York</w:t>
      </w:r>
      <w:r w:rsidRPr="00F367A4">
        <w:rPr>
          <w:rFonts w:ascii="Times New Roman" w:hAnsi="Times New Roman"/>
          <w:sz w:val="24"/>
          <w:szCs w:val="24"/>
        </w:rPr>
        <w:t xml:space="preserve">, the NY Supreme Court, Appellate Division, First Department, held (5 to 0) that the trial court judge properly upheld the decision of New York City Board of Collective Bargaining (BCB) that the union’s grievance regarding placing firefighters on leave without pay (LWOP) was not arbitrable.  “The Board rationally found … that there was no ‘reasonable relationship between the subject matter of the dispute and the general subject matter of the CBA.’” </w:t>
      </w:r>
      <w:hyperlink r:id="rId2828" w:history="1">
        <w:r w:rsidRPr="00F367A4">
          <w:rPr>
            <w:rStyle w:val="Hyperlink"/>
            <w:rFonts w:ascii="Times New Roman" w:hAnsi="Times New Roman"/>
            <w:sz w:val="24"/>
            <w:szCs w:val="24"/>
          </w:rPr>
          <w:t>https://caselaw.findlaw.com/court/ny-supreme-court-appellate-division/117059772.html</w:t>
        </w:r>
      </w:hyperlink>
      <w:r w:rsidRPr="00F367A4">
        <w:rPr>
          <w:rFonts w:ascii="Times New Roman" w:hAnsi="Times New Roman"/>
          <w:sz w:val="24"/>
          <w:szCs w:val="24"/>
        </w:rPr>
        <w:t xml:space="preserve"> </w:t>
      </w:r>
    </w:p>
    <w:p w14:paraId="28E5EE2A" w14:textId="77777777" w:rsidR="00766306" w:rsidRPr="00F367A4" w:rsidRDefault="00766306" w:rsidP="00766306">
      <w:pPr>
        <w:pStyle w:val="NoSpacing"/>
        <w:rPr>
          <w:rFonts w:ascii="Times New Roman" w:hAnsi="Times New Roman"/>
          <w:sz w:val="24"/>
          <w:szCs w:val="24"/>
        </w:rPr>
      </w:pPr>
    </w:p>
    <w:p w14:paraId="1CC02AD5" w14:textId="77777777" w:rsidR="00F367A4" w:rsidRPr="00F367A4" w:rsidRDefault="00F367A4" w:rsidP="00F367A4">
      <w:pPr>
        <w:pStyle w:val="NoSpacing"/>
        <w:rPr>
          <w:rFonts w:ascii="Times New Roman" w:hAnsi="Times New Roman"/>
          <w:b/>
          <w:bCs/>
          <w:sz w:val="24"/>
          <w:szCs w:val="24"/>
        </w:rPr>
      </w:pPr>
      <w:r w:rsidRPr="00F367A4">
        <w:rPr>
          <w:rFonts w:ascii="Times New Roman" w:hAnsi="Times New Roman"/>
          <w:b/>
          <w:sz w:val="24"/>
          <w:szCs w:val="24"/>
        </w:rPr>
        <w:t>Legal Lesson Learned:  The CBA does not restrict the FD from placing fire department from putting firefighters on leave without pay “when these members fail to satisfy a condition of employment.”</w:t>
      </w:r>
    </w:p>
    <w:p w14:paraId="4EFAB67B" w14:textId="77777777" w:rsidR="00766306" w:rsidRPr="00F367A4" w:rsidRDefault="00766306" w:rsidP="00F326E5">
      <w:pPr>
        <w:pStyle w:val="NoSpacing"/>
        <w:rPr>
          <w:rFonts w:ascii="Times New Roman" w:hAnsi="Times New Roman"/>
          <w:sz w:val="24"/>
          <w:szCs w:val="24"/>
        </w:rPr>
      </w:pPr>
    </w:p>
    <w:p w14:paraId="1775034F" w14:textId="77777777" w:rsidR="00766306" w:rsidRDefault="00766306" w:rsidP="00F326E5">
      <w:pPr>
        <w:pStyle w:val="NoSpacing"/>
        <w:rPr>
          <w:rFonts w:ascii="Arial Black" w:hAnsi="Arial Black"/>
          <w:sz w:val="24"/>
          <w:szCs w:val="24"/>
        </w:rPr>
      </w:pPr>
    </w:p>
    <w:p w14:paraId="269EB134" w14:textId="24DEEE9F" w:rsidR="00673952" w:rsidRDefault="00673952" w:rsidP="00F326E5">
      <w:pPr>
        <w:pStyle w:val="NoSpacing"/>
        <w:rPr>
          <w:rFonts w:ascii="Arial Black" w:hAnsi="Arial Black"/>
          <w:sz w:val="24"/>
          <w:szCs w:val="24"/>
        </w:rPr>
      </w:pPr>
      <w:r>
        <w:rPr>
          <w:rFonts w:ascii="Arial Black" w:hAnsi="Arial Black"/>
          <w:sz w:val="24"/>
          <w:szCs w:val="24"/>
        </w:rPr>
        <w:lastRenderedPageBreak/>
        <w:t>17-48</w:t>
      </w:r>
    </w:p>
    <w:p w14:paraId="43691976" w14:textId="77777777" w:rsidR="00673952" w:rsidRDefault="00673952" w:rsidP="00F326E5">
      <w:pPr>
        <w:pStyle w:val="NoSpacing"/>
        <w:rPr>
          <w:rFonts w:ascii="Arial Black" w:hAnsi="Arial Black"/>
          <w:sz w:val="24"/>
          <w:szCs w:val="24"/>
        </w:rPr>
      </w:pPr>
    </w:p>
    <w:p w14:paraId="7475A88C" w14:textId="77777777" w:rsidR="00673952" w:rsidRPr="00041DFC" w:rsidRDefault="00673952" w:rsidP="00673952">
      <w:pPr>
        <w:pStyle w:val="NoSpacing"/>
        <w:rPr>
          <w:rFonts w:ascii="Arial Black" w:hAnsi="Arial Black"/>
          <w:sz w:val="28"/>
          <w:szCs w:val="28"/>
        </w:rPr>
      </w:pPr>
      <w:r>
        <w:rPr>
          <w:rFonts w:ascii="Arial Black" w:hAnsi="Arial Black"/>
          <w:sz w:val="28"/>
          <w:szCs w:val="28"/>
        </w:rPr>
        <w:t>IL: CBA - INJURED FF – WORK COMP AT PART-TIME RATE</w:t>
      </w:r>
    </w:p>
    <w:p w14:paraId="60CFF8F2" w14:textId="77777777" w:rsidR="00673952" w:rsidRPr="00673952" w:rsidRDefault="00673952" w:rsidP="00673952">
      <w:pPr>
        <w:pStyle w:val="NoSpacing"/>
        <w:rPr>
          <w:rFonts w:ascii="Times New Roman" w:hAnsi="Times New Roman"/>
          <w:sz w:val="24"/>
          <w:szCs w:val="24"/>
        </w:rPr>
      </w:pPr>
    </w:p>
    <w:p w14:paraId="258E3FF2" w14:textId="77777777" w:rsidR="00673952" w:rsidRPr="00673952" w:rsidRDefault="00673952" w:rsidP="00673952">
      <w:pPr>
        <w:pStyle w:val="NoSpacing"/>
        <w:rPr>
          <w:rFonts w:ascii="Times New Roman" w:hAnsi="Times New Roman"/>
          <w:sz w:val="24"/>
          <w:szCs w:val="24"/>
        </w:rPr>
      </w:pPr>
      <w:r w:rsidRPr="00673952">
        <w:rPr>
          <w:rFonts w:ascii="Times New Roman" w:hAnsi="Times New Roman"/>
          <w:sz w:val="24"/>
          <w:szCs w:val="24"/>
        </w:rPr>
        <w:t xml:space="preserve">On Jan. 17, 2025, in </w:t>
      </w:r>
      <w:r w:rsidRPr="00673952">
        <w:rPr>
          <w:rFonts w:ascii="Times New Roman" w:hAnsi="Times New Roman"/>
          <w:sz w:val="24"/>
          <w:szCs w:val="24"/>
          <w:u w:val="single"/>
        </w:rPr>
        <w:t>Village of Roselle v. The Illinois Worker’s Compensation Commission, et al. (Glen Thomas, Appellee)</w:t>
      </w:r>
      <w:r w:rsidRPr="00673952">
        <w:rPr>
          <w:rFonts w:ascii="Times New Roman" w:hAnsi="Times New Roman"/>
          <w:sz w:val="24"/>
          <w:szCs w:val="24"/>
        </w:rPr>
        <w:t xml:space="preserve">, the Court of Appeals of Illinois, Third District held (5 to 0) reversed an Arbitrator and the Commission on the calculation of the “wage-differential” award to Village part-time firefighter Glen Thomas.  He suffered a permanent partial disability (shoulder injury at fire on Feb. 17, 2015) but was able to return to work full time as a public service employee with the Village until </w:t>
      </w:r>
      <w:proofErr w:type="gramStart"/>
      <w:r w:rsidRPr="00673952">
        <w:rPr>
          <w:rFonts w:ascii="Times New Roman" w:hAnsi="Times New Roman"/>
          <w:sz w:val="24"/>
          <w:szCs w:val="24"/>
        </w:rPr>
        <w:t>retiring</w:t>
      </w:r>
      <w:proofErr w:type="gramEnd"/>
      <w:r w:rsidRPr="00673952">
        <w:rPr>
          <w:rFonts w:ascii="Times New Roman" w:hAnsi="Times New Roman"/>
          <w:sz w:val="24"/>
          <w:szCs w:val="24"/>
        </w:rPr>
        <w:t xml:space="preserve"> on April 29, 2022.  He is entitled under state law to a “wage-differential award</w:t>
      </w:r>
      <w:proofErr w:type="gramStart"/>
      <w:r w:rsidRPr="00673952">
        <w:rPr>
          <w:rFonts w:ascii="Times New Roman" w:hAnsi="Times New Roman"/>
          <w:sz w:val="24"/>
          <w:szCs w:val="24"/>
        </w:rPr>
        <w:t>”</w:t>
      </w:r>
      <w:proofErr w:type="gramEnd"/>
      <w:r w:rsidRPr="00673952">
        <w:rPr>
          <w:rFonts w:ascii="Times New Roman" w:hAnsi="Times New Roman"/>
          <w:sz w:val="24"/>
          <w:szCs w:val="24"/>
        </w:rPr>
        <w:t xml:space="preserve"> but the Court held it is to be calculated only based on normal firefighter pay of $19.15 per hour, not the CBA rate of 1.5 times his public works pay rate ($32.55, using 1.5 multiplier times $21.70). He will therefore receive $374.19 per week </w:t>
      </w:r>
      <w:proofErr w:type="gramStart"/>
      <w:r w:rsidRPr="00673952">
        <w:rPr>
          <w:rFonts w:ascii="Times New Roman" w:hAnsi="Times New Roman"/>
          <w:sz w:val="24"/>
          <w:szCs w:val="24"/>
        </w:rPr>
        <w:t>until</w:t>
      </w:r>
      <w:proofErr w:type="gramEnd"/>
      <w:r w:rsidRPr="00673952">
        <w:rPr>
          <w:rFonts w:ascii="Times New Roman" w:hAnsi="Times New Roman"/>
          <w:sz w:val="24"/>
          <w:szCs w:val="24"/>
        </w:rPr>
        <w:t xml:space="preserve"> social security and not $636.03 per week that the Arbitrator and Commission awarded him. </w:t>
      </w:r>
      <w:hyperlink r:id="rId2829" w:history="1">
        <w:r w:rsidRPr="00673952">
          <w:rPr>
            <w:rStyle w:val="Hyperlink"/>
            <w:rFonts w:ascii="Times New Roman" w:hAnsi="Times New Roman"/>
            <w:sz w:val="24"/>
            <w:szCs w:val="24"/>
          </w:rPr>
          <w:t>https://ilcourtsaudio.blob.core.windows.net/antilles-resources/resources/7509d61b-3a3a-4986-bb3a-7cce5964f936/Village%20of%20Roselle%20v.%20Illinois%20Workers'%20Compensation%20Comm'n,%202025%20IL%20App%20(3rd)%20240306WC-U.pdf</w:t>
        </w:r>
      </w:hyperlink>
      <w:r w:rsidRPr="00673952">
        <w:rPr>
          <w:rFonts w:ascii="Times New Roman" w:hAnsi="Times New Roman"/>
          <w:sz w:val="24"/>
          <w:szCs w:val="24"/>
        </w:rPr>
        <w:t xml:space="preserve"> </w:t>
      </w:r>
    </w:p>
    <w:p w14:paraId="5D37ED32" w14:textId="77777777" w:rsidR="00673952" w:rsidRPr="00673952" w:rsidRDefault="00673952" w:rsidP="00673952">
      <w:pPr>
        <w:pStyle w:val="NoSpacing"/>
        <w:rPr>
          <w:rFonts w:ascii="Times New Roman" w:hAnsi="Times New Roman"/>
          <w:sz w:val="24"/>
          <w:szCs w:val="24"/>
        </w:rPr>
      </w:pPr>
    </w:p>
    <w:p w14:paraId="45937F8A" w14:textId="77777777" w:rsidR="00673952" w:rsidRPr="00673952" w:rsidRDefault="00673952" w:rsidP="00673952">
      <w:pPr>
        <w:rPr>
          <w:rFonts w:ascii="Times New Roman" w:hAnsi="Times New Roman"/>
          <w:sz w:val="24"/>
          <w:szCs w:val="24"/>
        </w:rPr>
      </w:pPr>
      <w:r w:rsidRPr="00673952">
        <w:rPr>
          <w:rFonts w:ascii="Times New Roman" w:hAnsi="Times New Roman"/>
          <w:sz w:val="24"/>
          <w:szCs w:val="24"/>
        </w:rPr>
        <w:t>The Court held:</w:t>
      </w:r>
    </w:p>
    <w:p w14:paraId="4690ABF2" w14:textId="77777777" w:rsidR="00673952" w:rsidRPr="00673952" w:rsidRDefault="00673952" w:rsidP="00673952">
      <w:pPr>
        <w:pStyle w:val="NoSpacing"/>
        <w:ind w:left="720"/>
        <w:rPr>
          <w:rFonts w:ascii="Times New Roman" w:hAnsi="Times New Roman"/>
          <w:sz w:val="24"/>
          <w:szCs w:val="24"/>
        </w:rPr>
      </w:pPr>
      <w:r w:rsidRPr="00673952">
        <w:rPr>
          <w:rFonts w:ascii="Times New Roman" w:hAnsi="Times New Roman"/>
          <w:sz w:val="24"/>
          <w:szCs w:val="24"/>
        </w:rPr>
        <w:t xml:space="preserve">“On February 17, 2015, he was 48 years old and had been working for the Village for 15 years as a full-time public works employee and as a part-time firefighter paramedic. On that date, claimant was injured while fighting a fire. Although he was unable to ever resume work as a firefighter after the accident, he returned to his full-time duties as a public works employee on September 22, 2016. On September 28, 2021, claimant was involved in a non-work-related motorcycle accident. He was completely off work, using medical leave and </w:t>
      </w:r>
      <w:proofErr w:type="gramStart"/>
      <w:r w:rsidRPr="00673952">
        <w:rPr>
          <w:rFonts w:ascii="Times New Roman" w:hAnsi="Times New Roman"/>
          <w:sz w:val="24"/>
          <w:szCs w:val="24"/>
        </w:rPr>
        <w:t>all of</w:t>
      </w:r>
      <w:proofErr w:type="gramEnd"/>
      <w:r w:rsidRPr="00673952">
        <w:rPr>
          <w:rFonts w:ascii="Times New Roman" w:hAnsi="Times New Roman"/>
          <w:sz w:val="24"/>
          <w:szCs w:val="24"/>
        </w:rPr>
        <w:t xml:space="preserve"> his accrued vacation and sick time, until he retired from the Village on April 29, 2022.</w:t>
      </w:r>
    </w:p>
    <w:p w14:paraId="37214273" w14:textId="77777777" w:rsidR="00673952" w:rsidRPr="00673952" w:rsidRDefault="00673952" w:rsidP="00673952">
      <w:pPr>
        <w:pStyle w:val="NoSpacing"/>
        <w:ind w:left="720"/>
        <w:rPr>
          <w:rFonts w:ascii="Times New Roman" w:hAnsi="Times New Roman"/>
          <w:sz w:val="24"/>
          <w:szCs w:val="24"/>
        </w:rPr>
      </w:pPr>
    </w:p>
    <w:p w14:paraId="11FEFFF6" w14:textId="77777777" w:rsidR="00673952" w:rsidRPr="00673952" w:rsidRDefault="00673952" w:rsidP="00673952">
      <w:pPr>
        <w:pStyle w:val="NoSpacing"/>
        <w:ind w:left="720"/>
        <w:rPr>
          <w:rFonts w:ascii="Times New Roman" w:hAnsi="Times New Roman"/>
          <w:sz w:val="24"/>
          <w:szCs w:val="24"/>
        </w:rPr>
      </w:pPr>
      <w:r w:rsidRPr="00673952">
        <w:rPr>
          <w:rFonts w:ascii="Times New Roman" w:hAnsi="Times New Roman"/>
          <w:sz w:val="24"/>
          <w:szCs w:val="24"/>
        </w:rPr>
        <w:t>***</w:t>
      </w:r>
    </w:p>
    <w:p w14:paraId="7EAE2D19" w14:textId="77777777" w:rsidR="00673952" w:rsidRPr="00673952" w:rsidRDefault="00673952" w:rsidP="00673952">
      <w:pPr>
        <w:ind w:left="720"/>
        <w:rPr>
          <w:rFonts w:ascii="Times New Roman" w:hAnsi="Times New Roman"/>
          <w:sz w:val="24"/>
          <w:szCs w:val="24"/>
        </w:rPr>
      </w:pPr>
      <w:r w:rsidRPr="00673952">
        <w:rPr>
          <w:rFonts w:ascii="Times New Roman" w:hAnsi="Times New Roman"/>
          <w:sz w:val="24"/>
          <w:szCs w:val="24"/>
        </w:rPr>
        <w:t xml:space="preserve">The calculation of wage-differential benefits should be based on claimant’s hourly rate as a part-time firefighter/paramedic. It is claimant’s earning capacity as a firefighter that was affected due to the accident. Applying </w:t>
      </w:r>
      <w:proofErr w:type="gramStart"/>
      <w:r w:rsidRPr="00673952">
        <w:rPr>
          <w:rFonts w:ascii="Times New Roman" w:hAnsi="Times New Roman"/>
          <w:sz w:val="24"/>
          <w:szCs w:val="24"/>
        </w:rPr>
        <w:t>claimant’s</w:t>
      </w:r>
      <w:proofErr w:type="gramEnd"/>
      <w:r w:rsidRPr="00673952">
        <w:rPr>
          <w:rFonts w:ascii="Times New Roman" w:hAnsi="Times New Roman"/>
          <w:sz w:val="24"/>
          <w:szCs w:val="24"/>
        </w:rPr>
        <w:t xml:space="preserve"> public works employee hourly rate and the 1.5 multiplier to a wage-differential calculation would not accurately reflect the reduced earning capacity of a retired full-time village employee who was prevented from ever working as a firefighter due to his work-related injury. In other words, after retiring, claimant is not missing out on his public works full-time position pay due to the accident. Instead, he is missing out on his hourly rate as a firefighter only.</w:t>
      </w:r>
    </w:p>
    <w:p w14:paraId="7B0502C7" w14:textId="77777777" w:rsidR="00673952" w:rsidRPr="00673952" w:rsidRDefault="00673952" w:rsidP="00673952">
      <w:pPr>
        <w:ind w:left="720"/>
        <w:rPr>
          <w:rFonts w:ascii="Times New Roman" w:hAnsi="Times New Roman"/>
          <w:sz w:val="24"/>
          <w:szCs w:val="24"/>
        </w:rPr>
      </w:pPr>
      <w:r w:rsidRPr="00673952">
        <w:rPr>
          <w:rFonts w:ascii="Times New Roman" w:hAnsi="Times New Roman"/>
          <w:sz w:val="24"/>
          <w:szCs w:val="24"/>
        </w:rPr>
        <w:t>***</w:t>
      </w:r>
    </w:p>
    <w:p w14:paraId="0A487F50" w14:textId="77777777" w:rsidR="00673952" w:rsidRPr="00673952" w:rsidRDefault="00673952" w:rsidP="00673952">
      <w:pPr>
        <w:ind w:left="720"/>
        <w:rPr>
          <w:rFonts w:ascii="Times New Roman" w:hAnsi="Times New Roman"/>
          <w:sz w:val="24"/>
          <w:szCs w:val="24"/>
        </w:rPr>
      </w:pPr>
      <w:r w:rsidRPr="00673952">
        <w:rPr>
          <w:rFonts w:ascii="Times New Roman" w:hAnsi="Times New Roman"/>
          <w:sz w:val="24"/>
          <w:szCs w:val="24"/>
        </w:rPr>
        <w:t>The Village is correct that the multiplier does not apply upon claimant’s retirement. However, the Village is incorrect that the calculation of benefits should be based on claimant’s public works employee hourly rate. The calculation of wage-differential benefits should be based on claimant’s hourly rate as a part-time firefighter/paramedic.”</w:t>
      </w:r>
    </w:p>
    <w:p w14:paraId="1A48CCA6" w14:textId="77777777" w:rsidR="00673952" w:rsidRPr="00673952" w:rsidRDefault="00673952" w:rsidP="00673952">
      <w:pPr>
        <w:rPr>
          <w:rFonts w:ascii="Times New Roman" w:hAnsi="Times New Roman"/>
          <w:b/>
          <w:bCs/>
          <w:sz w:val="24"/>
          <w:szCs w:val="24"/>
        </w:rPr>
      </w:pPr>
      <w:r w:rsidRPr="00673952">
        <w:rPr>
          <w:rFonts w:ascii="Times New Roman" w:hAnsi="Times New Roman"/>
          <w:b/>
          <w:sz w:val="24"/>
          <w:szCs w:val="24"/>
        </w:rPr>
        <w:t xml:space="preserve">Legal Lesson Learned:  When drafting CBA for part-time firefighters who are also </w:t>
      </w:r>
      <w:proofErr w:type="gramStart"/>
      <w:r w:rsidRPr="00673952">
        <w:rPr>
          <w:rFonts w:ascii="Times New Roman" w:hAnsi="Times New Roman"/>
          <w:b/>
          <w:sz w:val="24"/>
          <w:szCs w:val="24"/>
        </w:rPr>
        <w:t>full time</w:t>
      </w:r>
      <w:proofErr w:type="gramEnd"/>
      <w:r w:rsidRPr="00673952">
        <w:rPr>
          <w:rFonts w:ascii="Times New Roman" w:hAnsi="Times New Roman"/>
          <w:b/>
          <w:sz w:val="24"/>
          <w:szCs w:val="24"/>
        </w:rPr>
        <w:t xml:space="preserve"> Village </w:t>
      </w:r>
      <w:proofErr w:type="gramStart"/>
      <w:r w:rsidRPr="00673952">
        <w:rPr>
          <w:rFonts w:ascii="Times New Roman" w:hAnsi="Times New Roman"/>
          <w:b/>
          <w:sz w:val="24"/>
          <w:szCs w:val="24"/>
        </w:rPr>
        <w:t>employee</w:t>
      </w:r>
      <w:proofErr w:type="gramEnd"/>
      <w:r w:rsidRPr="00673952">
        <w:rPr>
          <w:rFonts w:ascii="Times New Roman" w:hAnsi="Times New Roman"/>
          <w:b/>
          <w:sz w:val="24"/>
          <w:szCs w:val="24"/>
        </w:rPr>
        <w:t xml:space="preserve">, include a provision on calculation of a wage-differential award. </w:t>
      </w:r>
    </w:p>
    <w:p w14:paraId="297479E9" w14:textId="77777777" w:rsidR="00673952" w:rsidRDefault="00673952" w:rsidP="00F326E5">
      <w:pPr>
        <w:pStyle w:val="NoSpacing"/>
        <w:rPr>
          <w:rFonts w:ascii="Arial Black" w:hAnsi="Arial Black"/>
          <w:sz w:val="24"/>
          <w:szCs w:val="24"/>
        </w:rPr>
      </w:pPr>
    </w:p>
    <w:p w14:paraId="0A4F5B3E" w14:textId="77777777" w:rsidR="00673952" w:rsidRDefault="00673952" w:rsidP="00F326E5">
      <w:pPr>
        <w:pStyle w:val="NoSpacing"/>
        <w:rPr>
          <w:rFonts w:ascii="Arial Black" w:hAnsi="Arial Black"/>
          <w:sz w:val="24"/>
          <w:szCs w:val="24"/>
        </w:rPr>
      </w:pPr>
    </w:p>
    <w:p w14:paraId="480238C5" w14:textId="77777777" w:rsidR="00673952" w:rsidRDefault="00673952" w:rsidP="00F326E5">
      <w:pPr>
        <w:pStyle w:val="NoSpacing"/>
        <w:rPr>
          <w:rFonts w:ascii="Arial Black" w:hAnsi="Arial Black"/>
          <w:sz w:val="24"/>
          <w:szCs w:val="24"/>
        </w:rPr>
      </w:pPr>
    </w:p>
    <w:p w14:paraId="7EFD7357" w14:textId="216C04D6" w:rsidR="004B129E" w:rsidRDefault="009F5629" w:rsidP="00F326E5">
      <w:pPr>
        <w:pStyle w:val="NoSpacing"/>
        <w:rPr>
          <w:rFonts w:ascii="Arial Black" w:hAnsi="Arial Black"/>
          <w:sz w:val="24"/>
          <w:szCs w:val="24"/>
        </w:rPr>
      </w:pPr>
      <w:r>
        <w:rPr>
          <w:rFonts w:ascii="Arial Black" w:hAnsi="Arial Black"/>
          <w:sz w:val="24"/>
          <w:szCs w:val="24"/>
        </w:rPr>
        <w:lastRenderedPageBreak/>
        <w:t>17-47</w:t>
      </w:r>
    </w:p>
    <w:p w14:paraId="7A33D2B3" w14:textId="77777777" w:rsidR="009F5629" w:rsidRDefault="009F5629" w:rsidP="00F326E5">
      <w:pPr>
        <w:pStyle w:val="NoSpacing"/>
        <w:rPr>
          <w:rFonts w:ascii="Arial Black" w:hAnsi="Arial Black"/>
          <w:sz w:val="24"/>
          <w:szCs w:val="24"/>
        </w:rPr>
      </w:pPr>
    </w:p>
    <w:p w14:paraId="176F88BF" w14:textId="77777777" w:rsidR="009F5629" w:rsidRPr="00530558" w:rsidRDefault="009F5629" w:rsidP="009F5629">
      <w:pPr>
        <w:pStyle w:val="NoSpacing"/>
        <w:rPr>
          <w:rFonts w:ascii="Arial Black" w:hAnsi="Arial Black"/>
          <w:b/>
          <w:sz w:val="28"/>
          <w:szCs w:val="28"/>
        </w:rPr>
      </w:pPr>
      <w:r>
        <w:rPr>
          <w:rFonts w:ascii="Arial Black" w:hAnsi="Arial Black"/>
          <w:b/>
          <w:sz w:val="28"/>
          <w:szCs w:val="28"/>
        </w:rPr>
        <w:t>OH: FIRE ENGINE MFG – DELAY – ARBITRATION</w:t>
      </w:r>
    </w:p>
    <w:p w14:paraId="2CDDD131" w14:textId="77777777" w:rsidR="009F5629" w:rsidRDefault="009F5629" w:rsidP="009F5629">
      <w:pPr>
        <w:pStyle w:val="NoSpacing"/>
        <w:rPr>
          <w:b/>
        </w:rPr>
      </w:pPr>
    </w:p>
    <w:p w14:paraId="7DCEE8FC" w14:textId="77777777" w:rsidR="00942EF0" w:rsidRPr="00546738" w:rsidRDefault="00942EF0" w:rsidP="00546738">
      <w:pPr>
        <w:pStyle w:val="NoSpacing"/>
        <w:rPr>
          <w:rFonts w:ascii="Times New Roman" w:hAnsi="Times New Roman"/>
          <w:bCs/>
          <w:sz w:val="24"/>
          <w:szCs w:val="24"/>
        </w:rPr>
      </w:pPr>
      <w:r w:rsidRPr="00546738">
        <w:rPr>
          <w:rFonts w:ascii="Times New Roman" w:hAnsi="Times New Roman"/>
          <w:sz w:val="24"/>
          <w:szCs w:val="24"/>
        </w:rPr>
        <w:t xml:space="preserve">On Dec. 23, 2024, in </w:t>
      </w:r>
      <w:r w:rsidRPr="00546738">
        <w:rPr>
          <w:rFonts w:ascii="Times New Roman" w:hAnsi="Times New Roman"/>
          <w:sz w:val="24"/>
          <w:szCs w:val="24"/>
          <w:u w:val="single"/>
        </w:rPr>
        <w:t>Dorset Township Board of Trustees v. T-Line EV, LLC</w:t>
      </w:r>
      <w:r w:rsidRPr="00546738">
        <w:rPr>
          <w:rFonts w:ascii="Times New Roman" w:hAnsi="Times New Roman"/>
          <w:sz w:val="24"/>
          <w:szCs w:val="24"/>
        </w:rPr>
        <w:t>, the Ohio Court of Appeals for 11</w:t>
      </w:r>
      <w:r w:rsidRPr="00546738">
        <w:rPr>
          <w:rFonts w:ascii="Times New Roman" w:hAnsi="Times New Roman"/>
          <w:sz w:val="24"/>
          <w:szCs w:val="24"/>
          <w:vertAlign w:val="superscript"/>
        </w:rPr>
        <w:t>th</w:t>
      </w:r>
      <w:r w:rsidRPr="00546738">
        <w:rPr>
          <w:rFonts w:ascii="Times New Roman" w:hAnsi="Times New Roman"/>
          <w:sz w:val="24"/>
          <w:szCs w:val="24"/>
        </w:rPr>
        <w:t xml:space="preserve"> Appellate District (Ashtabula County), held (3 to 0) that trial court improperly set aside the arbitrator’s decision that found in favor of the Township.  The arbitrator awarded a “Delay Penalty” under the contract 0.5% per week (80 weeks; $7,500 based on $150,000 contract) and ordered T-Line to return their down payment ($75,000), pay for the 2007 Ferrar chassis supplied by the Township ($35000), and reimburse the Township $1,925 filing fee for the American Arbitration Association.  </w:t>
      </w:r>
      <w:hyperlink r:id="rId2830" w:history="1">
        <w:r w:rsidRPr="00546738">
          <w:rPr>
            <w:rStyle w:val="Hyperlink"/>
            <w:rFonts w:ascii="Times New Roman" w:hAnsi="Times New Roman"/>
            <w:sz w:val="24"/>
            <w:szCs w:val="24"/>
          </w:rPr>
          <w:t>https://www.supremecourt.ohio.gov/rod/docs/pdf/11/2024/2024-Ohio-6002.pdf</w:t>
        </w:r>
      </w:hyperlink>
      <w:r w:rsidRPr="00546738">
        <w:rPr>
          <w:rFonts w:ascii="Times New Roman" w:hAnsi="Times New Roman"/>
          <w:sz w:val="24"/>
          <w:szCs w:val="24"/>
        </w:rPr>
        <w:t xml:space="preserve"> </w:t>
      </w:r>
    </w:p>
    <w:p w14:paraId="05CD1771" w14:textId="77777777" w:rsidR="00942EF0" w:rsidRPr="00546738" w:rsidRDefault="00942EF0" w:rsidP="00942EF0">
      <w:pPr>
        <w:pStyle w:val="NoSpacing"/>
        <w:rPr>
          <w:rFonts w:ascii="Times New Roman" w:hAnsi="Times New Roman"/>
          <w:bCs/>
          <w:sz w:val="24"/>
          <w:szCs w:val="24"/>
        </w:rPr>
      </w:pPr>
    </w:p>
    <w:p w14:paraId="54AF1B6B" w14:textId="4F53A7BD" w:rsidR="009F5629" w:rsidRPr="00525719" w:rsidRDefault="009F5629" w:rsidP="009F5629">
      <w:pPr>
        <w:pStyle w:val="NoSpacing"/>
        <w:rPr>
          <w:rFonts w:ascii="Times New Roman" w:hAnsi="Times New Roman"/>
          <w:bCs/>
          <w:sz w:val="24"/>
          <w:szCs w:val="24"/>
        </w:rPr>
      </w:pPr>
      <w:r w:rsidRPr="00525719">
        <w:rPr>
          <w:rFonts w:ascii="Times New Roman" w:hAnsi="Times New Roman"/>
          <w:sz w:val="24"/>
          <w:szCs w:val="24"/>
        </w:rPr>
        <w:t>The Court of Appeals wrote:</w:t>
      </w:r>
    </w:p>
    <w:p w14:paraId="5CBBB0CF" w14:textId="77777777" w:rsidR="009F5629" w:rsidRPr="00525719" w:rsidRDefault="009F5629" w:rsidP="009F5629">
      <w:pPr>
        <w:pStyle w:val="NoSpacing"/>
        <w:rPr>
          <w:rFonts w:ascii="Times New Roman" w:hAnsi="Times New Roman"/>
          <w:bCs/>
          <w:sz w:val="24"/>
          <w:szCs w:val="24"/>
        </w:rPr>
      </w:pPr>
    </w:p>
    <w:p w14:paraId="277AE658" w14:textId="77777777" w:rsidR="009F5629" w:rsidRPr="00525719" w:rsidRDefault="009F5629" w:rsidP="009F5629">
      <w:pPr>
        <w:pStyle w:val="NoSpacing"/>
        <w:ind w:left="720"/>
        <w:rPr>
          <w:rFonts w:ascii="Times New Roman" w:hAnsi="Times New Roman"/>
          <w:bCs/>
          <w:sz w:val="24"/>
          <w:szCs w:val="24"/>
        </w:rPr>
      </w:pPr>
      <w:r w:rsidRPr="00525719">
        <w:rPr>
          <w:rFonts w:ascii="Times New Roman" w:hAnsi="Times New Roman"/>
          <w:sz w:val="24"/>
          <w:szCs w:val="24"/>
        </w:rPr>
        <w:t>“T-Line argued that the arbitration award should be vacated because Dorset Township was in possession of the Pumper with the improvements and that it would be inequitable to allow Dorset Township to both have the Pumper and the arbitration award.</w:t>
      </w:r>
    </w:p>
    <w:p w14:paraId="30E37C16" w14:textId="77777777" w:rsidR="009F5629" w:rsidRPr="00525719" w:rsidRDefault="009F5629" w:rsidP="009F5629">
      <w:pPr>
        <w:pStyle w:val="NoSpacing"/>
        <w:ind w:left="720"/>
        <w:rPr>
          <w:rFonts w:ascii="Times New Roman" w:hAnsi="Times New Roman"/>
          <w:bCs/>
          <w:sz w:val="24"/>
          <w:szCs w:val="24"/>
        </w:rPr>
      </w:pPr>
    </w:p>
    <w:p w14:paraId="221C21B9" w14:textId="77777777" w:rsidR="009F5629" w:rsidRPr="00525719" w:rsidRDefault="009F5629" w:rsidP="009F5629">
      <w:pPr>
        <w:pStyle w:val="NoSpacing"/>
        <w:ind w:left="720"/>
        <w:rPr>
          <w:rFonts w:ascii="Times New Roman" w:hAnsi="Times New Roman"/>
          <w:bCs/>
          <w:sz w:val="24"/>
          <w:szCs w:val="24"/>
        </w:rPr>
      </w:pPr>
      <w:r w:rsidRPr="00525719">
        <w:rPr>
          <w:rFonts w:ascii="Times New Roman" w:hAnsi="Times New Roman"/>
          <w:sz w:val="24"/>
          <w:szCs w:val="24"/>
        </w:rPr>
        <w:t>***</w:t>
      </w:r>
    </w:p>
    <w:p w14:paraId="2C4685DB" w14:textId="77777777" w:rsidR="009F5629" w:rsidRPr="00525719" w:rsidRDefault="009F5629" w:rsidP="009F5629">
      <w:pPr>
        <w:pStyle w:val="NoSpacing"/>
        <w:ind w:left="720"/>
        <w:rPr>
          <w:rFonts w:ascii="Times New Roman" w:hAnsi="Times New Roman"/>
          <w:bCs/>
          <w:sz w:val="24"/>
          <w:szCs w:val="24"/>
        </w:rPr>
      </w:pPr>
      <w:r w:rsidRPr="00525719">
        <w:rPr>
          <w:rFonts w:ascii="Times New Roman" w:hAnsi="Times New Roman"/>
          <w:sz w:val="24"/>
          <w:szCs w:val="24"/>
        </w:rPr>
        <w:t>The arbitration award was issued on November 22, 2022. Dorset Township filed its complaint seeking confirmation of the award on March 15, 2023. Pursuant to this</w:t>
      </w:r>
    </w:p>
    <w:p w14:paraId="2889FF9F" w14:textId="77777777" w:rsidR="009F5629" w:rsidRPr="00525719" w:rsidRDefault="009F5629" w:rsidP="009F5629">
      <w:pPr>
        <w:pStyle w:val="NoSpacing"/>
        <w:ind w:left="720"/>
        <w:rPr>
          <w:rFonts w:ascii="Times New Roman" w:hAnsi="Times New Roman"/>
          <w:bCs/>
          <w:sz w:val="24"/>
          <w:szCs w:val="24"/>
        </w:rPr>
      </w:pPr>
      <w:r w:rsidRPr="00525719">
        <w:rPr>
          <w:rFonts w:ascii="Times New Roman" w:hAnsi="Times New Roman"/>
          <w:sz w:val="24"/>
          <w:szCs w:val="24"/>
        </w:rPr>
        <w:t>provision, R.C. 2711.09, Dorset Township’s application for confirmation of the award was timely filed.</w:t>
      </w:r>
    </w:p>
    <w:p w14:paraId="5120412A" w14:textId="77777777" w:rsidR="009F5629" w:rsidRPr="00525719" w:rsidRDefault="009F5629" w:rsidP="009F5629">
      <w:pPr>
        <w:pStyle w:val="NoSpacing"/>
        <w:ind w:left="720"/>
        <w:rPr>
          <w:rFonts w:ascii="Times New Roman" w:hAnsi="Times New Roman"/>
          <w:bCs/>
          <w:sz w:val="24"/>
          <w:szCs w:val="24"/>
        </w:rPr>
      </w:pPr>
    </w:p>
    <w:p w14:paraId="5D70D042" w14:textId="77777777" w:rsidR="009F5629" w:rsidRPr="00525719" w:rsidRDefault="009F5629" w:rsidP="009F5629">
      <w:pPr>
        <w:pStyle w:val="NoSpacing"/>
        <w:ind w:left="720"/>
        <w:rPr>
          <w:rFonts w:ascii="Times New Roman" w:hAnsi="Times New Roman"/>
          <w:bCs/>
          <w:sz w:val="24"/>
          <w:szCs w:val="24"/>
        </w:rPr>
      </w:pPr>
      <w:r w:rsidRPr="00525719">
        <w:rPr>
          <w:rFonts w:ascii="Times New Roman" w:hAnsi="Times New Roman"/>
          <w:sz w:val="24"/>
          <w:szCs w:val="24"/>
        </w:rPr>
        <w:t>***</w:t>
      </w:r>
    </w:p>
    <w:p w14:paraId="4BF25250" w14:textId="77777777" w:rsidR="009F5629" w:rsidRPr="00525719" w:rsidRDefault="009F5629" w:rsidP="009F5629">
      <w:pPr>
        <w:pStyle w:val="NoSpacing"/>
        <w:ind w:left="720"/>
        <w:rPr>
          <w:rFonts w:ascii="Times New Roman" w:hAnsi="Times New Roman"/>
          <w:bCs/>
          <w:sz w:val="24"/>
          <w:szCs w:val="24"/>
        </w:rPr>
      </w:pPr>
      <w:r w:rsidRPr="00525719">
        <w:rPr>
          <w:rFonts w:ascii="Times New Roman" w:hAnsi="Times New Roman"/>
          <w:sz w:val="24"/>
          <w:szCs w:val="24"/>
        </w:rPr>
        <w:t>Ohio case law interpreting R.C. 2711.13 confirms the plain language of the</w:t>
      </w:r>
    </w:p>
    <w:p w14:paraId="2A4C94D7" w14:textId="77777777" w:rsidR="009F5629" w:rsidRPr="00525719" w:rsidRDefault="009F5629" w:rsidP="009F5629">
      <w:pPr>
        <w:pStyle w:val="NoSpacing"/>
        <w:ind w:left="720"/>
        <w:rPr>
          <w:rFonts w:ascii="Times New Roman" w:hAnsi="Times New Roman"/>
          <w:bCs/>
          <w:sz w:val="24"/>
          <w:szCs w:val="24"/>
        </w:rPr>
      </w:pPr>
      <w:r w:rsidRPr="00525719">
        <w:rPr>
          <w:rFonts w:ascii="Times New Roman" w:hAnsi="Times New Roman"/>
          <w:sz w:val="24"/>
          <w:szCs w:val="24"/>
        </w:rPr>
        <w:t>statute. ‘A party seeking to modify or vacate an arbitration award has up to three months</w:t>
      </w:r>
    </w:p>
    <w:p w14:paraId="56F6C469" w14:textId="77777777" w:rsidR="009F5629" w:rsidRPr="00525719" w:rsidRDefault="009F5629" w:rsidP="009F5629">
      <w:pPr>
        <w:pStyle w:val="NoSpacing"/>
        <w:ind w:left="720"/>
        <w:rPr>
          <w:rFonts w:ascii="Times New Roman" w:hAnsi="Times New Roman"/>
          <w:bCs/>
          <w:sz w:val="24"/>
          <w:szCs w:val="24"/>
        </w:rPr>
      </w:pPr>
      <w:r w:rsidRPr="00525719">
        <w:rPr>
          <w:rFonts w:ascii="Times New Roman" w:hAnsi="Times New Roman"/>
          <w:sz w:val="24"/>
          <w:szCs w:val="24"/>
        </w:rPr>
        <w:t>from the date of the award to file its motion.’ … Here, T-Line’s application to vacate the arbitration award was filed on June 27, 2023, while the arbitration award was issued on November 21, 2022. It is apparent that T-Line’s motion was out of rule.</w:t>
      </w:r>
    </w:p>
    <w:p w14:paraId="53D9D4D9" w14:textId="77777777" w:rsidR="009F5629" w:rsidRPr="00525719" w:rsidRDefault="009F5629" w:rsidP="009F5629">
      <w:pPr>
        <w:pStyle w:val="NoSpacing"/>
        <w:ind w:left="720"/>
        <w:rPr>
          <w:rFonts w:ascii="Times New Roman" w:hAnsi="Times New Roman"/>
          <w:bCs/>
          <w:sz w:val="24"/>
          <w:szCs w:val="24"/>
        </w:rPr>
      </w:pPr>
    </w:p>
    <w:p w14:paraId="66C76777" w14:textId="77777777" w:rsidR="009F5629" w:rsidRPr="00525719" w:rsidRDefault="009F5629" w:rsidP="009F5629">
      <w:pPr>
        <w:pStyle w:val="NoSpacing"/>
        <w:ind w:left="720"/>
        <w:rPr>
          <w:rFonts w:ascii="Times New Roman" w:hAnsi="Times New Roman"/>
          <w:bCs/>
          <w:sz w:val="24"/>
          <w:szCs w:val="24"/>
        </w:rPr>
      </w:pPr>
      <w:r w:rsidRPr="00525719">
        <w:rPr>
          <w:rFonts w:ascii="Times New Roman" w:hAnsi="Times New Roman"/>
          <w:sz w:val="24"/>
          <w:szCs w:val="24"/>
        </w:rPr>
        <w:t>***</w:t>
      </w:r>
    </w:p>
    <w:p w14:paraId="0AD929E2" w14:textId="77777777" w:rsidR="009F5629" w:rsidRPr="00525719" w:rsidRDefault="009F5629" w:rsidP="009F5629">
      <w:pPr>
        <w:pStyle w:val="NoSpacing"/>
        <w:ind w:left="720"/>
        <w:rPr>
          <w:rFonts w:ascii="Times New Roman" w:hAnsi="Times New Roman"/>
          <w:bCs/>
          <w:sz w:val="24"/>
          <w:szCs w:val="24"/>
        </w:rPr>
      </w:pPr>
      <w:r w:rsidRPr="00525719">
        <w:rPr>
          <w:rFonts w:ascii="Times New Roman" w:hAnsi="Times New Roman"/>
          <w:sz w:val="24"/>
          <w:szCs w:val="24"/>
        </w:rPr>
        <w:t xml:space="preserve">Proceeding </w:t>
      </w:r>
      <w:proofErr w:type="gramStart"/>
      <w:r w:rsidRPr="00525719">
        <w:rPr>
          <w:rFonts w:ascii="Times New Roman" w:hAnsi="Times New Roman"/>
          <w:sz w:val="24"/>
          <w:szCs w:val="24"/>
        </w:rPr>
        <w:t>on</w:t>
      </w:r>
      <w:proofErr w:type="gramEnd"/>
      <w:r w:rsidRPr="00525719">
        <w:rPr>
          <w:rFonts w:ascii="Times New Roman" w:hAnsi="Times New Roman"/>
          <w:sz w:val="24"/>
          <w:szCs w:val="24"/>
        </w:rPr>
        <w:t xml:space="preserve"> the timely application of Dorset Township to confirm the award, the trial court was required to confirm the award as no timely application to modify or vacate was made. The record shows that the trial court exceeded its authority in not doing so.”</w:t>
      </w:r>
    </w:p>
    <w:p w14:paraId="4123DA03" w14:textId="3A14797E" w:rsidR="009F5629" w:rsidRPr="00525719" w:rsidRDefault="009F5629" w:rsidP="00525719">
      <w:pPr>
        <w:pStyle w:val="NoSpacing"/>
        <w:ind w:firstLine="720"/>
        <w:rPr>
          <w:rFonts w:ascii="Times New Roman" w:hAnsi="Times New Roman"/>
          <w:sz w:val="24"/>
          <w:szCs w:val="24"/>
        </w:rPr>
      </w:pPr>
      <w:r w:rsidRPr="00525719">
        <w:rPr>
          <w:rFonts w:ascii="Times New Roman" w:hAnsi="Times New Roman"/>
          <w:sz w:val="24"/>
          <w:szCs w:val="24"/>
        </w:rPr>
        <w:t xml:space="preserve"> </w:t>
      </w:r>
    </w:p>
    <w:p w14:paraId="64BFC785" w14:textId="77777777" w:rsidR="009F5629" w:rsidRPr="00525719" w:rsidRDefault="009F5629" w:rsidP="00F326E5">
      <w:pPr>
        <w:pStyle w:val="NoSpacing"/>
        <w:rPr>
          <w:rFonts w:ascii="Times New Roman" w:hAnsi="Times New Roman"/>
          <w:sz w:val="24"/>
          <w:szCs w:val="24"/>
        </w:rPr>
      </w:pPr>
    </w:p>
    <w:p w14:paraId="5B07D855" w14:textId="77777777" w:rsidR="009E2025" w:rsidRPr="009E2025" w:rsidRDefault="009E2025" w:rsidP="009E2025">
      <w:pPr>
        <w:pStyle w:val="NoSpacing"/>
        <w:rPr>
          <w:rFonts w:ascii="Times New Roman" w:hAnsi="Times New Roman"/>
          <w:bCs/>
          <w:sz w:val="24"/>
          <w:szCs w:val="24"/>
        </w:rPr>
      </w:pPr>
      <w:r w:rsidRPr="009E2025">
        <w:rPr>
          <w:rFonts w:ascii="Times New Roman" w:hAnsi="Times New Roman"/>
          <w:sz w:val="24"/>
          <w:szCs w:val="24"/>
        </w:rPr>
        <w:t>HOLDING:</w:t>
      </w:r>
    </w:p>
    <w:p w14:paraId="570310D1" w14:textId="77777777" w:rsidR="009E2025" w:rsidRPr="009E2025" w:rsidRDefault="009E2025" w:rsidP="009E2025">
      <w:pPr>
        <w:pStyle w:val="NoSpacing"/>
        <w:rPr>
          <w:rFonts w:ascii="Times New Roman" w:hAnsi="Times New Roman"/>
          <w:bCs/>
          <w:sz w:val="24"/>
          <w:szCs w:val="24"/>
        </w:rPr>
      </w:pPr>
    </w:p>
    <w:p w14:paraId="2BA8F6E5" w14:textId="77777777" w:rsidR="009E2025" w:rsidRPr="009E2025" w:rsidRDefault="009E2025" w:rsidP="009E2025">
      <w:pPr>
        <w:pStyle w:val="NoSpacing"/>
        <w:ind w:left="720"/>
        <w:rPr>
          <w:rFonts w:ascii="Times New Roman" w:hAnsi="Times New Roman"/>
          <w:bCs/>
          <w:sz w:val="24"/>
          <w:szCs w:val="24"/>
        </w:rPr>
      </w:pPr>
      <w:r w:rsidRPr="009E2025">
        <w:rPr>
          <w:rFonts w:ascii="Times New Roman" w:hAnsi="Times New Roman"/>
          <w:sz w:val="24"/>
          <w:szCs w:val="24"/>
        </w:rPr>
        <w:t>“Accordingly, the decision of the Ashtabula County Court of Common Pleas is reversed and remanded for a decision consistent with this Court’s opinion. As the applicable law and facts do not provide a basis for the trial court to do anything other than confirm the arbitrator’s award, the trial court is expressly directed to do so.”</w:t>
      </w:r>
    </w:p>
    <w:p w14:paraId="0C148849" w14:textId="77777777" w:rsidR="009E2025" w:rsidRPr="009E2025" w:rsidRDefault="009E2025" w:rsidP="009E2025">
      <w:pPr>
        <w:pStyle w:val="NoSpacing"/>
        <w:ind w:left="720"/>
        <w:rPr>
          <w:rFonts w:ascii="Times New Roman" w:hAnsi="Times New Roman"/>
          <w:bCs/>
          <w:sz w:val="24"/>
          <w:szCs w:val="24"/>
        </w:rPr>
      </w:pPr>
    </w:p>
    <w:p w14:paraId="0ABD0AE0" w14:textId="31B5AA31" w:rsidR="009E2025" w:rsidRPr="009E2025" w:rsidRDefault="009E2025" w:rsidP="009E2025">
      <w:pPr>
        <w:pStyle w:val="NoSpacing"/>
        <w:rPr>
          <w:rFonts w:ascii="Times New Roman" w:hAnsi="Times New Roman"/>
          <w:b/>
          <w:sz w:val="24"/>
          <w:szCs w:val="24"/>
        </w:rPr>
      </w:pPr>
      <w:r w:rsidRPr="009E2025">
        <w:rPr>
          <w:rFonts w:ascii="Times New Roman" w:hAnsi="Times New Roman"/>
          <w:b/>
          <w:sz w:val="24"/>
          <w:szCs w:val="24"/>
        </w:rPr>
        <w:t xml:space="preserve">Legal Lesson Learned:  An arbitration provision in a contract to purchase or refurbish an engine is an effective way to resolve </w:t>
      </w:r>
      <w:r>
        <w:rPr>
          <w:rFonts w:ascii="Times New Roman" w:hAnsi="Times New Roman"/>
          <w:b/>
          <w:sz w:val="24"/>
          <w:szCs w:val="24"/>
        </w:rPr>
        <w:t xml:space="preserve">a </w:t>
      </w:r>
      <w:r w:rsidRPr="009E2025">
        <w:rPr>
          <w:rFonts w:ascii="Times New Roman" w:hAnsi="Times New Roman"/>
          <w:b/>
          <w:sz w:val="24"/>
          <w:szCs w:val="24"/>
        </w:rPr>
        <w:t>dispute</w:t>
      </w:r>
      <w:r>
        <w:rPr>
          <w:rFonts w:ascii="Times New Roman" w:hAnsi="Times New Roman"/>
          <w:b/>
          <w:sz w:val="24"/>
          <w:szCs w:val="24"/>
        </w:rPr>
        <w:t xml:space="preserve">.  </w:t>
      </w:r>
      <w:r w:rsidRPr="009E2025">
        <w:rPr>
          <w:rFonts w:ascii="Times New Roman" w:hAnsi="Times New Roman"/>
          <w:b/>
          <w:sz w:val="24"/>
          <w:szCs w:val="24"/>
        </w:rPr>
        <w:t xml:space="preserve"> </w:t>
      </w:r>
    </w:p>
    <w:p w14:paraId="1156E940" w14:textId="77777777" w:rsidR="009E2025" w:rsidRPr="009E2025" w:rsidRDefault="009E2025" w:rsidP="009E2025">
      <w:pPr>
        <w:pStyle w:val="NoSpacing"/>
        <w:rPr>
          <w:rFonts w:ascii="Times New Roman" w:hAnsi="Times New Roman"/>
          <w:bCs/>
          <w:sz w:val="24"/>
          <w:szCs w:val="24"/>
        </w:rPr>
      </w:pPr>
    </w:p>
    <w:p w14:paraId="00FDEB1B" w14:textId="77777777" w:rsidR="009F5629" w:rsidRDefault="009F5629" w:rsidP="00F326E5">
      <w:pPr>
        <w:pStyle w:val="NoSpacing"/>
        <w:rPr>
          <w:rFonts w:ascii="Arial Black" w:hAnsi="Arial Black"/>
          <w:sz w:val="24"/>
          <w:szCs w:val="24"/>
        </w:rPr>
      </w:pPr>
    </w:p>
    <w:p w14:paraId="10DCC2F9" w14:textId="77777777" w:rsidR="009E2025" w:rsidRDefault="009E2025" w:rsidP="00F326E5">
      <w:pPr>
        <w:pStyle w:val="NoSpacing"/>
        <w:rPr>
          <w:rFonts w:ascii="Arial Black" w:hAnsi="Arial Black"/>
          <w:sz w:val="24"/>
          <w:szCs w:val="24"/>
        </w:rPr>
      </w:pPr>
    </w:p>
    <w:p w14:paraId="61A3913E" w14:textId="77777777" w:rsidR="009E2025" w:rsidRDefault="009E2025" w:rsidP="00F326E5">
      <w:pPr>
        <w:pStyle w:val="NoSpacing"/>
        <w:rPr>
          <w:rFonts w:ascii="Arial Black" w:hAnsi="Arial Black"/>
          <w:sz w:val="24"/>
          <w:szCs w:val="24"/>
        </w:rPr>
      </w:pPr>
    </w:p>
    <w:p w14:paraId="455974B2" w14:textId="2C562CB5" w:rsidR="004B129E" w:rsidRDefault="004B129E" w:rsidP="00F326E5">
      <w:pPr>
        <w:pStyle w:val="NoSpacing"/>
        <w:rPr>
          <w:rFonts w:ascii="Arial Black" w:hAnsi="Arial Black"/>
          <w:sz w:val="24"/>
          <w:szCs w:val="24"/>
        </w:rPr>
      </w:pPr>
      <w:r>
        <w:rPr>
          <w:rFonts w:ascii="Arial Black" w:hAnsi="Arial Black"/>
          <w:sz w:val="24"/>
          <w:szCs w:val="24"/>
        </w:rPr>
        <w:t>17-46</w:t>
      </w:r>
    </w:p>
    <w:p w14:paraId="2504D6D1" w14:textId="77777777" w:rsidR="004B129E" w:rsidRDefault="004B129E" w:rsidP="00F326E5">
      <w:pPr>
        <w:pStyle w:val="NoSpacing"/>
        <w:rPr>
          <w:rFonts w:ascii="Arial Black" w:hAnsi="Arial Black"/>
          <w:sz w:val="24"/>
          <w:szCs w:val="24"/>
        </w:rPr>
      </w:pPr>
    </w:p>
    <w:p w14:paraId="02C54256" w14:textId="77777777" w:rsidR="00884D9E" w:rsidRPr="00FB08AF" w:rsidRDefault="00884D9E" w:rsidP="00884D9E">
      <w:pPr>
        <w:rPr>
          <w:rFonts w:ascii="Times New Roman" w:hAnsi="Times New Roman"/>
          <w:b/>
          <w:sz w:val="24"/>
          <w:szCs w:val="24"/>
        </w:rPr>
      </w:pPr>
      <w:r w:rsidRPr="00FB08AF">
        <w:rPr>
          <w:rFonts w:ascii="Times New Roman" w:hAnsi="Times New Roman"/>
          <w:b/>
          <w:sz w:val="24"/>
          <w:szCs w:val="24"/>
        </w:rPr>
        <w:t>OH: FIRE CHIEF – LT. APPOINTED INTERIM – CIVIL SERVICE EXAM - REPLACED BY A/C WHO SCORED HIGHEST</w:t>
      </w:r>
    </w:p>
    <w:p w14:paraId="648E98CF" w14:textId="77777777" w:rsidR="00884D9E" w:rsidRPr="00FB08AF" w:rsidRDefault="00884D9E" w:rsidP="00884D9E">
      <w:pPr>
        <w:pStyle w:val="NoSpacing"/>
        <w:rPr>
          <w:rFonts w:ascii="Times New Roman" w:hAnsi="Times New Roman"/>
          <w:sz w:val="24"/>
          <w:szCs w:val="24"/>
        </w:rPr>
      </w:pPr>
      <w:r w:rsidRPr="00FB08AF">
        <w:rPr>
          <w:rFonts w:ascii="Times New Roman" w:hAnsi="Times New Roman"/>
          <w:sz w:val="24"/>
          <w:szCs w:val="24"/>
        </w:rPr>
        <w:t xml:space="preserve">On Oct. 31, 2024, in </w:t>
      </w:r>
      <w:r w:rsidRPr="00FB08AF">
        <w:rPr>
          <w:rFonts w:ascii="Times New Roman" w:hAnsi="Times New Roman"/>
          <w:sz w:val="24"/>
          <w:szCs w:val="24"/>
          <w:u w:val="single"/>
        </w:rPr>
        <w:t>The State ex rel. Patrick Johnson v. Mark Higgins</w:t>
      </w:r>
      <w:r w:rsidRPr="00FB08AF">
        <w:rPr>
          <w:rFonts w:ascii="Times New Roman" w:hAnsi="Times New Roman"/>
          <w:sz w:val="24"/>
          <w:szCs w:val="24"/>
        </w:rPr>
        <w:t xml:space="preserve">, the Supreme Court of Ohio held (7 to 0): “Higgins is currently serving as chief of the fire department of the City of Brook Park, a position to which Johnson claims legal entitlement. Johnson seeks a writ ousting Higgins from the position and declaring that Johnson is entitled to the position. We deny the writ.” </w:t>
      </w:r>
      <w:hyperlink r:id="rId2831" w:history="1">
        <w:r w:rsidRPr="00FB08AF">
          <w:rPr>
            <w:rStyle w:val="Hyperlink"/>
            <w:rFonts w:ascii="Times New Roman" w:hAnsi="Times New Roman"/>
            <w:b/>
            <w:sz w:val="24"/>
            <w:szCs w:val="24"/>
          </w:rPr>
          <w:t>https://www.supremecourt.ohio.gov/rod/docs/pdf/0/2024/2024-Ohio-5174.pdf</w:t>
        </w:r>
      </w:hyperlink>
    </w:p>
    <w:p w14:paraId="4D89268D" w14:textId="77777777" w:rsidR="00884D9E" w:rsidRPr="00FB08AF" w:rsidRDefault="00884D9E" w:rsidP="00884D9E">
      <w:pPr>
        <w:pStyle w:val="NoSpacing"/>
        <w:rPr>
          <w:rFonts w:ascii="Times New Roman" w:hAnsi="Times New Roman"/>
          <w:sz w:val="24"/>
          <w:szCs w:val="24"/>
        </w:rPr>
      </w:pPr>
    </w:p>
    <w:p w14:paraId="5FFAC62F" w14:textId="77777777" w:rsidR="00F76365" w:rsidRPr="00FB08AF" w:rsidRDefault="00F76365" w:rsidP="00F76365">
      <w:pPr>
        <w:pStyle w:val="NoSpacing"/>
        <w:rPr>
          <w:rFonts w:ascii="Times New Roman" w:hAnsi="Times New Roman"/>
          <w:b/>
          <w:bCs/>
          <w:sz w:val="24"/>
          <w:szCs w:val="24"/>
        </w:rPr>
      </w:pPr>
      <w:r w:rsidRPr="00FB08AF">
        <w:rPr>
          <w:rFonts w:ascii="Times New Roman" w:hAnsi="Times New Roman"/>
          <w:b/>
          <w:sz w:val="24"/>
          <w:szCs w:val="24"/>
        </w:rPr>
        <w:t>Legal Lesson Learned: Civil Service process was followed</w:t>
      </w:r>
      <w:r w:rsidRPr="00FB08AF">
        <w:rPr>
          <w:rFonts w:ascii="Times New Roman" w:hAnsi="Times New Roman"/>
          <w:b/>
          <w:bCs/>
          <w:sz w:val="24"/>
          <w:szCs w:val="24"/>
        </w:rPr>
        <w:t>.</w:t>
      </w:r>
      <w:r w:rsidRPr="00FB08AF">
        <w:rPr>
          <w:rFonts w:ascii="Times New Roman" w:hAnsi="Times New Roman"/>
          <w:b/>
          <w:sz w:val="24"/>
          <w:szCs w:val="24"/>
        </w:rPr>
        <w:t xml:space="preserve"> </w:t>
      </w:r>
    </w:p>
    <w:p w14:paraId="3291D370" w14:textId="77777777" w:rsidR="00F76365" w:rsidRPr="00FB08AF" w:rsidRDefault="00F76365" w:rsidP="00F76365">
      <w:pPr>
        <w:rPr>
          <w:rFonts w:ascii="Times New Roman" w:hAnsi="Times New Roman"/>
          <w:sz w:val="24"/>
          <w:szCs w:val="24"/>
        </w:rPr>
      </w:pPr>
    </w:p>
    <w:p w14:paraId="02362F25" w14:textId="13DEB49F" w:rsidR="004B129E" w:rsidRDefault="004B129E" w:rsidP="00F326E5">
      <w:pPr>
        <w:pStyle w:val="NoSpacing"/>
        <w:rPr>
          <w:rFonts w:ascii="Arial Black" w:hAnsi="Arial Black"/>
          <w:sz w:val="24"/>
          <w:szCs w:val="24"/>
        </w:rPr>
      </w:pPr>
      <w:r>
        <w:rPr>
          <w:rFonts w:ascii="Arial Black" w:hAnsi="Arial Black"/>
          <w:sz w:val="24"/>
          <w:szCs w:val="24"/>
        </w:rPr>
        <w:t>17-45</w:t>
      </w:r>
    </w:p>
    <w:p w14:paraId="762B200F" w14:textId="77777777" w:rsidR="004B129E" w:rsidRDefault="004B129E" w:rsidP="00F326E5">
      <w:pPr>
        <w:pStyle w:val="NoSpacing"/>
        <w:rPr>
          <w:rFonts w:ascii="Arial Black" w:hAnsi="Arial Black"/>
          <w:sz w:val="24"/>
          <w:szCs w:val="24"/>
        </w:rPr>
      </w:pPr>
    </w:p>
    <w:p w14:paraId="1773B998" w14:textId="77777777" w:rsidR="00FE74F8" w:rsidRPr="009376A9" w:rsidRDefault="00FE74F8" w:rsidP="00FE74F8">
      <w:pPr>
        <w:pStyle w:val="NoSpacing"/>
        <w:rPr>
          <w:rFonts w:ascii="Times New Roman" w:hAnsi="Times New Roman"/>
          <w:b/>
          <w:bCs/>
          <w:sz w:val="24"/>
          <w:szCs w:val="24"/>
        </w:rPr>
      </w:pPr>
      <w:r w:rsidRPr="009376A9">
        <w:rPr>
          <w:rFonts w:ascii="Times New Roman" w:hAnsi="Times New Roman"/>
          <w:b/>
          <w:bCs/>
          <w:sz w:val="24"/>
          <w:szCs w:val="24"/>
        </w:rPr>
        <w:t xml:space="preserve">IL: SHIFT TRADES FOR LT.  – FIRE CHIEF CHANGED 25-YR POLICY – ONLY FF ON PROMOTION LIST - MUST BARGAIN </w:t>
      </w:r>
    </w:p>
    <w:p w14:paraId="26CA52F5" w14:textId="77777777" w:rsidR="009376A9" w:rsidRDefault="009376A9" w:rsidP="00452883">
      <w:pPr>
        <w:pStyle w:val="NoSpacing"/>
        <w:rPr>
          <w:rFonts w:ascii="Times New Roman" w:hAnsi="Times New Roman"/>
          <w:sz w:val="24"/>
          <w:szCs w:val="24"/>
        </w:rPr>
      </w:pPr>
    </w:p>
    <w:p w14:paraId="477FCE96" w14:textId="2C85DF0A" w:rsidR="00452883" w:rsidRPr="009376A9" w:rsidRDefault="00452883" w:rsidP="00452883">
      <w:pPr>
        <w:pStyle w:val="NoSpacing"/>
        <w:rPr>
          <w:rFonts w:ascii="Times New Roman" w:hAnsi="Times New Roman"/>
          <w:bCs/>
          <w:sz w:val="24"/>
          <w:szCs w:val="24"/>
        </w:rPr>
      </w:pPr>
      <w:r w:rsidRPr="009376A9">
        <w:rPr>
          <w:rFonts w:ascii="Times New Roman" w:hAnsi="Times New Roman"/>
          <w:sz w:val="24"/>
          <w:szCs w:val="24"/>
        </w:rPr>
        <w:t xml:space="preserve">On Oct. 28, 2024, in </w:t>
      </w:r>
      <w:r w:rsidRPr="009376A9">
        <w:rPr>
          <w:rFonts w:ascii="Times New Roman" w:hAnsi="Times New Roman"/>
          <w:sz w:val="24"/>
          <w:szCs w:val="24"/>
          <w:u w:val="single"/>
        </w:rPr>
        <w:t>City of Park Ridge v. Illinois Labor Relations Board</w:t>
      </w:r>
      <w:r w:rsidRPr="009376A9">
        <w:rPr>
          <w:rFonts w:ascii="Times New Roman" w:hAnsi="Times New Roman"/>
          <w:sz w:val="24"/>
          <w:szCs w:val="24"/>
        </w:rPr>
        <w:t xml:space="preserve">, the Illinois Appellate Court, First Judicial District, held (3 to 0): “(1) the shift trade qualification policy was a mandatory subject of bargaining; (2) the Union did not waive its right to bargain over the qualifications for shift trades; and (3) the City’s unilateral change of the shift trade qualification policy without giving notice and opportunity to bargain the change violated sections 10(a)(1), 10(a)(4), and 14(l) of the Illinois Public Labor Relations Act since the change occurred during interest arbitration.” </w:t>
      </w:r>
    </w:p>
    <w:p w14:paraId="625F27E4" w14:textId="0D2538F2" w:rsidR="00FB08AF" w:rsidRPr="009376A9" w:rsidRDefault="00452883" w:rsidP="00452883">
      <w:pPr>
        <w:pStyle w:val="NoSpacing"/>
        <w:rPr>
          <w:rStyle w:val="Hyperlink"/>
          <w:rFonts w:ascii="Times New Roman" w:hAnsi="Times New Roman"/>
          <w:sz w:val="24"/>
          <w:szCs w:val="24"/>
        </w:rPr>
      </w:pPr>
      <w:hyperlink r:id="rId2832" w:history="1">
        <w:r w:rsidRPr="009376A9">
          <w:rPr>
            <w:rStyle w:val="Hyperlink"/>
            <w:rFonts w:ascii="Times New Roman" w:hAnsi="Times New Roman"/>
            <w:sz w:val="24"/>
            <w:szCs w:val="24"/>
          </w:rPr>
          <w:t>https://ilcourtsaudio.blob.core.windows.net/antilles-resources/resources/a7e1e4b9-d57b-4bd7-9b5d-a27198847cd7/City%20of%20Park%20Ridge%20v.%20IL%20Labor%20Relations%20Bd%202024%20IL%20App%20(1st)%20221924-U.pdf</w:t>
        </w:r>
      </w:hyperlink>
    </w:p>
    <w:p w14:paraId="2F0AE996" w14:textId="77777777" w:rsidR="009376A9" w:rsidRPr="009376A9" w:rsidRDefault="009376A9" w:rsidP="009376A9">
      <w:pPr>
        <w:pStyle w:val="NoSpacing"/>
        <w:rPr>
          <w:rFonts w:ascii="Times New Roman" w:hAnsi="Times New Roman"/>
          <w:b/>
          <w:sz w:val="24"/>
          <w:szCs w:val="24"/>
        </w:rPr>
      </w:pPr>
    </w:p>
    <w:p w14:paraId="22301176" w14:textId="458DC8F1" w:rsidR="009376A9" w:rsidRPr="009376A9" w:rsidRDefault="009376A9" w:rsidP="009376A9">
      <w:pPr>
        <w:pStyle w:val="NoSpacing"/>
        <w:rPr>
          <w:rFonts w:ascii="Times New Roman" w:hAnsi="Times New Roman"/>
          <w:b/>
          <w:sz w:val="24"/>
          <w:szCs w:val="24"/>
        </w:rPr>
      </w:pPr>
      <w:r w:rsidRPr="009376A9">
        <w:rPr>
          <w:rFonts w:ascii="Times New Roman" w:hAnsi="Times New Roman"/>
          <w:b/>
          <w:sz w:val="24"/>
          <w:szCs w:val="24"/>
        </w:rPr>
        <w:t xml:space="preserve">Legal Lesson Learned: Court held that change in shift trade policy is subject of collective bargaining. </w:t>
      </w:r>
    </w:p>
    <w:p w14:paraId="291A9D95" w14:textId="77777777" w:rsidR="009376A9" w:rsidRDefault="009376A9" w:rsidP="009376A9">
      <w:pPr>
        <w:pStyle w:val="NoSpacing"/>
        <w:ind w:left="720"/>
        <w:rPr>
          <w:bCs/>
        </w:rPr>
      </w:pPr>
    </w:p>
    <w:p w14:paraId="69920754" w14:textId="77777777" w:rsidR="009376A9" w:rsidRDefault="009376A9" w:rsidP="00452883">
      <w:pPr>
        <w:pStyle w:val="NoSpacing"/>
        <w:rPr>
          <w:rFonts w:ascii="Arial Black" w:hAnsi="Arial Black"/>
          <w:sz w:val="24"/>
          <w:szCs w:val="24"/>
        </w:rPr>
      </w:pPr>
    </w:p>
    <w:p w14:paraId="556F09C8" w14:textId="73BB5EA7" w:rsidR="004B129E" w:rsidRDefault="004B129E" w:rsidP="00F326E5">
      <w:pPr>
        <w:pStyle w:val="NoSpacing"/>
        <w:rPr>
          <w:rFonts w:ascii="Arial Black" w:hAnsi="Arial Black"/>
          <w:sz w:val="24"/>
          <w:szCs w:val="24"/>
        </w:rPr>
      </w:pPr>
      <w:r>
        <w:rPr>
          <w:rFonts w:ascii="Arial Black" w:hAnsi="Arial Black"/>
          <w:sz w:val="24"/>
          <w:szCs w:val="24"/>
        </w:rPr>
        <w:t>17-44</w:t>
      </w:r>
    </w:p>
    <w:p w14:paraId="1D92A7EF" w14:textId="77777777" w:rsidR="004B129E" w:rsidRDefault="004B129E" w:rsidP="00F326E5">
      <w:pPr>
        <w:pStyle w:val="NoSpacing"/>
        <w:rPr>
          <w:rFonts w:ascii="Arial Black" w:hAnsi="Arial Black"/>
          <w:sz w:val="24"/>
          <w:szCs w:val="24"/>
        </w:rPr>
      </w:pPr>
    </w:p>
    <w:p w14:paraId="752AC39F" w14:textId="77777777" w:rsidR="00B35974" w:rsidRPr="002F0AF8" w:rsidRDefault="00B35974" w:rsidP="00B35974">
      <w:pPr>
        <w:rPr>
          <w:rFonts w:ascii="Times New Roman" w:hAnsi="Times New Roman"/>
          <w:b/>
          <w:bCs/>
          <w:sz w:val="24"/>
          <w:szCs w:val="24"/>
        </w:rPr>
      </w:pPr>
      <w:r w:rsidRPr="002F0AF8">
        <w:rPr>
          <w:rFonts w:ascii="Times New Roman" w:hAnsi="Times New Roman"/>
          <w:b/>
          <w:bCs/>
          <w:sz w:val="24"/>
          <w:szCs w:val="24"/>
        </w:rPr>
        <w:t>NY: ARBITRATOR HELD FOR 2 UTICA FF - CALLED IN FAMILY EMERGENCIES DAY BEFORE SHIFT – NOT COMP TIME</w:t>
      </w:r>
    </w:p>
    <w:p w14:paraId="139A460E" w14:textId="77777777" w:rsidR="004D3039" w:rsidRPr="002F0AF8" w:rsidRDefault="004D3039" w:rsidP="004D3039">
      <w:pPr>
        <w:pStyle w:val="NoSpacing"/>
        <w:rPr>
          <w:rFonts w:ascii="Times New Roman" w:hAnsi="Times New Roman"/>
          <w:sz w:val="24"/>
          <w:szCs w:val="24"/>
        </w:rPr>
      </w:pPr>
      <w:r w:rsidRPr="002F0AF8">
        <w:rPr>
          <w:rFonts w:ascii="Times New Roman" w:hAnsi="Times New Roman"/>
          <w:sz w:val="24"/>
          <w:szCs w:val="24"/>
        </w:rPr>
        <w:t xml:space="preserve">On Oct. 4, 2024, in </w:t>
      </w:r>
      <w:r w:rsidRPr="002F0AF8">
        <w:rPr>
          <w:rFonts w:ascii="Times New Roman" w:hAnsi="Times New Roman"/>
          <w:sz w:val="24"/>
          <w:szCs w:val="24"/>
          <w:u w:val="single"/>
        </w:rPr>
        <w:t>Matter of Local 32, Intl. Assn. of Fire Fighters, A.F.L.-C.I.O.-C.L.C. (City of Utica</w:t>
      </w:r>
      <w:r w:rsidRPr="002F0AF8">
        <w:rPr>
          <w:rFonts w:ascii="Times New Roman" w:hAnsi="Times New Roman"/>
          <w:sz w:val="24"/>
          <w:szCs w:val="24"/>
        </w:rPr>
        <w:t xml:space="preserve">), the New York Appellate Division, Fourth Department, held (5 to 0): “It is hereby ORDERED that the order insofar as appealed from is unanimously reversed on the law without costs, the petition is granted in its entirety and the arbitration award is confirmed in its entirety. *** The arbitrator determined, inter alia, that the firefighters were entitled to paid emergency leave for the time in question and directed respondent to restore the charged compensatory time.” </w:t>
      </w:r>
      <w:hyperlink r:id="rId2833" w:history="1">
        <w:r w:rsidRPr="002F0AF8">
          <w:rPr>
            <w:rStyle w:val="Hyperlink"/>
            <w:rFonts w:ascii="Times New Roman" w:hAnsi="Times New Roman"/>
            <w:sz w:val="24"/>
            <w:szCs w:val="24"/>
          </w:rPr>
          <w:t>https://law.justia.com/cases/new-york/appellate-division-fourth-department/2024/647-ca-23-01601.html</w:t>
        </w:r>
      </w:hyperlink>
      <w:r w:rsidRPr="002F0AF8">
        <w:rPr>
          <w:rFonts w:ascii="Times New Roman" w:hAnsi="Times New Roman"/>
          <w:sz w:val="24"/>
          <w:szCs w:val="24"/>
        </w:rPr>
        <w:t xml:space="preserve"> </w:t>
      </w:r>
    </w:p>
    <w:p w14:paraId="207E4355" w14:textId="77777777" w:rsidR="004D3039" w:rsidRPr="002F0AF8" w:rsidRDefault="004D3039" w:rsidP="004D3039">
      <w:pPr>
        <w:pStyle w:val="NoSpacing"/>
        <w:rPr>
          <w:rFonts w:ascii="Times New Roman" w:hAnsi="Times New Roman"/>
          <w:bCs/>
          <w:sz w:val="24"/>
          <w:szCs w:val="24"/>
        </w:rPr>
      </w:pPr>
    </w:p>
    <w:p w14:paraId="5D0DEAA3" w14:textId="77777777" w:rsidR="002F0AF8" w:rsidRPr="002F0AF8" w:rsidRDefault="002F0AF8" w:rsidP="002F0AF8">
      <w:pPr>
        <w:pStyle w:val="NoSpacing"/>
        <w:rPr>
          <w:rFonts w:ascii="Times New Roman" w:hAnsi="Times New Roman"/>
          <w:b/>
          <w:bCs/>
          <w:sz w:val="24"/>
          <w:szCs w:val="24"/>
        </w:rPr>
      </w:pPr>
      <w:r w:rsidRPr="002F0AF8">
        <w:rPr>
          <w:rFonts w:ascii="Times New Roman" w:hAnsi="Times New Roman"/>
          <w:b/>
          <w:sz w:val="24"/>
          <w:szCs w:val="24"/>
        </w:rPr>
        <w:t xml:space="preserve">Legal Lesson Learned: Arbitrator decision upheld. </w:t>
      </w:r>
    </w:p>
    <w:p w14:paraId="09469E12" w14:textId="77777777" w:rsidR="00B35974" w:rsidRDefault="00B35974" w:rsidP="00F326E5">
      <w:pPr>
        <w:pStyle w:val="NoSpacing"/>
        <w:rPr>
          <w:rFonts w:ascii="Arial Black" w:hAnsi="Arial Black"/>
          <w:sz w:val="24"/>
          <w:szCs w:val="24"/>
        </w:rPr>
      </w:pPr>
    </w:p>
    <w:p w14:paraId="253BE4C1" w14:textId="77777777" w:rsidR="00B35974" w:rsidRDefault="00B35974" w:rsidP="00F326E5">
      <w:pPr>
        <w:pStyle w:val="NoSpacing"/>
        <w:rPr>
          <w:rFonts w:ascii="Arial Black" w:hAnsi="Arial Black"/>
          <w:sz w:val="24"/>
          <w:szCs w:val="24"/>
        </w:rPr>
      </w:pPr>
    </w:p>
    <w:p w14:paraId="00E7EB28" w14:textId="3AF6B2F3" w:rsidR="004B129E" w:rsidRDefault="004B129E" w:rsidP="00F326E5">
      <w:pPr>
        <w:pStyle w:val="NoSpacing"/>
        <w:rPr>
          <w:rFonts w:ascii="Arial Black" w:hAnsi="Arial Black"/>
          <w:sz w:val="24"/>
          <w:szCs w:val="24"/>
        </w:rPr>
      </w:pPr>
      <w:r>
        <w:rPr>
          <w:rFonts w:ascii="Arial Black" w:hAnsi="Arial Black"/>
          <w:sz w:val="24"/>
          <w:szCs w:val="24"/>
        </w:rPr>
        <w:t>17-43</w:t>
      </w:r>
    </w:p>
    <w:p w14:paraId="77C6AED5" w14:textId="77777777" w:rsidR="004B129E" w:rsidRDefault="004B129E" w:rsidP="00F326E5">
      <w:pPr>
        <w:pStyle w:val="NoSpacing"/>
        <w:rPr>
          <w:rFonts w:ascii="Arial Black" w:hAnsi="Arial Black"/>
          <w:sz w:val="24"/>
          <w:szCs w:val="24"/>
        </w:rPr>
      </w:pPr>
    </w:p>
    <w:p w14:paraId="58C17DCD" w14:textId="77777777" w:rsidR="00925AD0" w:rsidRPr="001668D8" w:rsidRDefault="00925AD0" w:rsidP="00925AD0">
      <w:pPr>
        <w:pStyle w:val="NoSpacing"/>
        <w:rPr>
          <w:rFonts w:ascii="Times New Roman" w:hAnsi="Times New Roman"/>
          <w:b/>
          <w:bCs/>
          <w:sz w:val="24"/>
          <w:szCs w:val="24"/>
        </w:rPr>
      </w:pPr>
      <w:r w:rsidRPr="001668D8">
        <w:rPr>
          <w:rFonts w:ascii="Times New Roman" w:hAnsi="Times New Roman"/>
          <w:b/>
          <w:bCs/>
          <w:sz w:val="24"/>
          <w:szCs w:val="24"/>
        </w:rPr>
        <w:lastRenderedPageBreak/>
        <w:t xml:space="preserve">OH: CLEVELAND FD – PLAN TO PUT CAMERAS ON AMBULANCES – CANCELLED -  MUST BE BARGAINING </w:t>
      </w:r>
    </w:p>
    <w:p w14:paraId="5D623BF5" w14:textId="23F76BA4" w:rsidR="002F0AF8" w:rsidRPr="001668D8" w:rsidRDefault="002F0AF8" w:rsidP="00F326E5">
      <w:pPr>
        <w:pStyle w:val="NoSpacing"/>
        <w:rPr>
          <w:rFonts w:ascii="Times New Roman" w:hAnsi="Times New Roman"/>
          <w:sz w:val="24"/>
          <w:szCs w:val="24"/>
        </w:rPr>
      </w:pPr>
    </w:p>
    <w:p w14:paraId="0326CD13" w14:textId="77777777" w:rsidR="00AF72C9" w:rsidRPr="001668D8" w:rsidRDefault="00AF72C9" w:rsidP="00AF72C9">
      <w:pPr>
        <w:pStyle w:val="NoSpacing"/>
        <w:rPr>
          <w:rFonts w:ascii="Times New Roman" w:hAnsi="Times New Roman"/>
          <w:sz w:val="24"/>
          <w:szCs w:val="24"/>
        </w:rPr>
      </w:pPr>
      <w:r w:rsidRPr="001668D8">
        <w:rPr>
          <w:rFonts w:ascii="Times New Roman" w:hAnsi="Times New Roman"/>
          <w:sz w:val="24"/>
          <w:szCs w:val="24"/>
        </w:rPr>
        <w:t xml:space="preserve">On Oct. 3, 2024, in </w:t>
      </w:r>
      <w:r w:rsidRPr="001668D8">
        <w:rPr>
          <w:rFonts w:ascii="Times New Roman" w:hAnsi="Times New Roman"/>
          <w:sz w:val="24"/>
          <w:szCs w:val="24"/>
          <w:u w:val="single"/>
        </w:rPr>
        <w:t>City of Cleveland v. State Employment Relations Board, et al</w:t>
      </w:r>
      <w:r w:rsidRPr="001668D8">
        <w:rPr>
          <w:rFonts w:ascii="Times New Roman" w:hAnsi="Times New Roman"/>
          <w:sz w:val="24"/>
          <w:szCs w:val="24"/>
        </w:rPr>
        <w:t>., the Court of Appeals of Ohio, Eight Appellate District (Cuyahoga County), held (3 to 0): “Plaintiff-appellant City of Cleveland (the ‘City’) appeals the trial court’s judgment affirming the decision of defendant-appellee State Employment Relations Board (the ‘SERB’) in favor of defendant-appellee union Cleveland Association of Rescue Employees (the ‘Union’ or ‘CARE’). The court upheld SERB’s finding that the City violated R.C. 4117.11(A)(5) by refusing to bargain</w:t>
      </w:r>
    </w:p>
    <w:p w14:paraId="029600A9" w14:textId="77777777" w:rsidR="00AF72C9" w:rsidRPr="001668D8" w:rsidRDefault="00AF72C9" w:rsidP="00AF72C9">
      <w:pPr>
        <w:pStyle w:val="NoSpacing"/>
        <w:rPr>
          <w:rFonts w:ascii="Times New Roman" w:hAnsi="Times New Roman"/>
          <w:sz w:val="24"/>
          <w:szCs w:val="24"/>
        </w:rPr>
      </w:pPr>
      <w:r w:rsidRPr="001668D8">
        <w:rPr>
          <w:rFonts w:ascii="Times New Roman" w:hAnsi="Times New Roman"/>
          <w:sz w:val="24"/>
          <w:szCs w:val="24"/>
        </w:rPr>
        <w:t xml:space="preserve">collectively with the Union over the effects of the installation of dashboard audio/visual cameras in the City’s emergency medical </w:t>
      </w:r>
      <w:proofErr w:type="gramStart"/>
      <w:r w:rsidRPr="001668D8">
        <w:rPr>
          <w:rFonts w:ascii="Times New Roman" w:hAnsi="Times New Roman"/>
          <w:sz w:val="24"/>
          <w:szCs w:val="24"/>
        </w:rPr>
        <w:t>service (‘</w:t>
      </w:r>
      <w:proofErr w:type="gramEnd"/>
      <w:r w:rsidRPr="001668D8">
        <w:rPr>
          <w:rFonts w:ascii="Times New Roman" w:hAnsi="Times New Roman"/>
          <w:sz w:val="24"/>
          <w:szCs w:val="24"/>
        </w:rPr>
        <w:t xml:space="preserve">EMS’) </w:t>
      </w:r>
      <w:proofErr w:type="gramStart"/>
      <w:r w:rsidRPr="001668D8">
        <w:rPr>
          <w:rFonts w:ascii="Times New Roman" w:hAnsi="Times New Roman"/>
          <w:sz w:val="24"/>
          <w:szCs w:val="24"/>
        </w:rPr>
        <w:t>vehicles (‘</w:t>
      </w:r>
      <w:proofErr w:type="gramEnd"/>
      <w:r w:rsidRPr="001668D8">
        <w:rPr>
          <w:rFonts w:ascii="Times New Roman" w:hAnsi="Times New Roman"/>
          <w:sz w:val="24"/>
          <w:szCs w:val="24"/>
        </w:rPr>
        <w:t xml:space="preserve">ambulances’). *** For the following reasons, we affirm the trial court’s judgment.”  </w:t>
      </w:r>
    </w:p>
    <w:p w14:paraId="4FA4140F" w14:textId="77777777" w:rsidR="00AF72C9" w:rsidRPr="001668D8" w:rsidRDefault="00AF72C9" w:rsidP="00AF72C9">
      <w:pPr>
        <w:pStyle w:val="NoSpacing"/>
        <w:rPr>
          <w:rFonts w:ascii="Times New Roman" w:hAnsi="Times New Roman"/>
          <w:sz w:val="24"/>
          <w:szCs w:val="24"/>
        </w:rPr>
      </w:pPr>
      <w:hyperlink r:id="rId2834" w:history="1">
        <w:r w:rsidRPr="001668D8">
          <w:rPr>
            <w:rStyle w:val="Hyperlink"/>
            <w:rFonts w:ascii="Times New Roman" w:hAnsi="Times New Roman"/>
            <w:sz w:val="24"/>
            <w:szCs w:val="24"/>
          </w:rPr>
          <w:t>https://www.supremecourt.ohio.gov/rod/docs/pdf/8/2024/2024-Ohio-4787.pdf</w:t>
        </w:r>
      </w:hyperlink>
      <w:r w:rsidRPr="001668D8">
        <w:rPr>
          <w:rFonts w:ascii="Times New Roman" w:hAnsi="Times New Roman"/>
          <w:sz w:val="24"/>
          <w:szCs w:val="24"/>
        </w:rPr>
        <w:t xml:space="preserve"> </w:t>
      </w:r>
    </w:p>
    <w:p w14:paraId="41340168" w14:textId="77777777" w:rsidR="00AF72C9" w:rsidRPr="001668D8" w:rsidRDefault="00AF72C9" w:rsidP="00F326E5">
      <w:pPr>
        <w:pStyle w:val="NoSpacing"/>
        <w:rPr>
          <w:rFonts w:ascii="Times New Roman" w:hAnsi="Times New Roman"/>
          <w:sz w:val="24"/>
          <w:szCs w:val="24"/>
        </w:rPr>
      </w:pPr>
    </w:p>
    <w:p w14:paraId="4C90C5C2" w14:textId="77777777" w:rsidR="00D27807" w:rsidRPr="001668D8" w:rsidRDefault="00D27807" w:rsidP="00D27807">
      <w:pPr>
        <w:pStyle w:val="NoSpacing"/>
        <w:rPr>
          <w:rFonts w:ascii="Times New Roman" w:hAnsi="Times New Roman"/>
          <w:b/>
          <w:bCs/>
          <w:sz w:val="24"/>
          <w:szCs w:val="24"/>
        </w:rPr>
      </w:pPr>
      <w:r w:rsidRPr="001668D8">
        <w:rPr>
          <w:rFonts w:ascii="Times New Roman" w:hAnsi="Times New Roman"/>
          <w:b/>
          <w:sz w:val="24"/>
          <w:szCs w:val="24"/>
        </w:rPr>
        <w:t xml:space="preserve">Legal Lesson Learned: </w:t>
      </w:r>
      <w:r w:rsidRPr="001668D8">
        <w:rPr>
          <w:rFonts w:ascii="Times New Roman" w:hAnsi="Times New Roman"/>
          <w:b/>
          <w:bCs/>
          <w:sz w:val="24"/>
          <w:szCs w:val="24"/>
        </w:rPr>
        <w:t xml:space="preserve">Court held that putting </w:t>
      </w:r>
      <w:r w:rsidRPr="001668D8">
        <w:rPr>
          <w:rFonts w:ascii="Times New Roman" w:hAnsi="Times New Roman"/>
          <w:b/>
          <w:sz w:val="24"/>
          <w:szCs w:val="24"/>
        </w:rPr>
        <w:t>video camera</w:t>
      </w:r>
      <w:r w:rsidRPr="001668D8">
        <w:rPr>
          <w:rFonts w:ascii="Times New Roman" w:hAnsi="Times New Roman"/>
          <w:b/>
          <w:bCs/>
          <w:sz w:val="24"/>
          <w:szCs w:val="24"/>
        </w:rPr>
        <w:t>s</w:t>
      </w:r>
      <w:r w:rsidRPr="001668D8">
        <w:rPr>
          <w:rFonts w:ascii="Times New Roman" w:hAnsi="Times New Roman"/>
          <w:b/>
          <w:sz w:val="24"/>
          <w:szCs w:val="24"/>
        </w:rPr>
        <w:t xml:space="preserve"> in ambulances must be collectively bargained. </w:t>
      </w:r>
    </w:p>
    <w:p w14:paraId="06F6FE91" w14:textId="77777777" w:rsidR="00D27807" w:rsidRPr="001668D8" w:rsidRDefault="00D27807" w:rsidP="00F326E5">
      <w:pPr>
        <w:pStyle w:val="NoSpacing"/>
        <w:rPr>
          <w:rFonts w:ascii="Times New Roman" w:hAnsi="Times New Roman"/>
          <w:sz w:val="24"/>
          <w:szCs w:val="24"/>
        </w:rPr>
      </w:pPr>
    </w:p>
    <w:p w14:paraId="39317A1C" w14:textId="77777777" w:rsidR="002F0AF8" w:rsidRDefault="002F0AF8" w:rsidP="00F326E5">
      <w:pPr>
        <w:pStyle w:val="NoSpacing"/>
        <w:rPr>
          <w:rFonts w:ascii="Arial Black" w:hAnsi="Arial Black"/>
          <w:sz w:val="24"/>
          <w:szCs w:val="24"/>
        </w:rPr>
      </w:pPr>
    </w:p>
    <w:p w14:paraId="7175C004" w14:textId="1CA320E4" w:rsidR="004B129E" w:rsidRDefault="004B129E" w:rsidP="00F326E5">
      <w:pPr>
        <w:pStyle w:val="NoSpacing"/>
        <w:rPr>
          <w:rFonts w:ascii="Arial Black" w:hAnsi="Arial Black"/>
          <w:sz w:val="24"/>
          <w:szCs w:val="24"/>
        </w:rPr>
      </w:pPr>
      <w:r>
        <w:rPr>
          <w:rFonts w:ascii="Arial Black" w:hAnsi="Arial Black"/>
          <w:sz w:val="24"/>
          <w:szCs w:val="24"/>
        </w:rPr>
        <w:t>17-42</w:t>
      </w:r>
    </w:p>
    <w:p w14:paraId="5C6D292F" w14:textId="77777777" w:rsidR="001668D8" w:rsidRDefault="001668D8" w:rsidP="00F326E5">
      <w:pPr>
        <w:pStyle w:val="NoSpacing"/>
        <w:rPr>
          <w:rFonts w:ascii="Arial Black" w:hAnsi="Arial Black"/>
          <w:sz w:val="24"/>
          <w:szCs w:val="24"/>
        </w:rPr>
      </w:pPr>
    </w:p>
    <w:p w14:paraId="61968CB6" w14:textId="5F3677FD" w:rsidR="00D125A2" w:rsidRPr="007B3AE9" w:rsidRDefault="00D125A2" w:rsidP="00D125A2">
      <w:pPr>
        <w:rPr>
          <w:rFonts w:ascii="Times New Roman" w:hAnsi="Times New Roman"/>
          <w:b/>
          <w:bCs/>
          <w:sz w:val="24"/>
          <w:szCs w:val="24"/>
        </w:rPr>
      </w:pPr>
      <w:r w:rsidRPr="007B3AE9">
        <w:rPr>
          <w:rFonts w:ascii="Times New Roman" w:hAnsi="Times New Roman"/>
          <w:b/>
          <w:bCs/>
          <w:sz w:val="24"/>
          <w:szCs w:val="24"/>
        </w:rPr>
        <w:t>IA:  PSO PROGRAM (POLICE &amp; FIRE) - 8 CAREER FF LAYOFF –</w:t>
      </w:r>
      <w:r w:rsidR="007B3AE9" w:rsidRPr="007B3AE9">
        <w:rPr>
          <w:rFonts w:ascii="Times New Roman" w:hAnsi="Times New Roman"/>
          <w:b/>
          <w:bCs/>
          <w:sz w:val="24"/>
          <w:szCs w:val="24"/>
        </w:rPr>
        <w:t xml:space="preserve"> </w:t>
      </w:r>
      <w:r w:rsidRPr="007B3AE9">
        <w:rPr>
          <w:rFonts w:ascii="Times New Roman" w:hAnsi="Times New Roman"/>
          <w:b/>
          <w:bCs/>
          <w:sz w:val="24"/>
          <w:szCs w:val="24"/>
        </w:rPr>
        <w:t xml:space="preserve">UNION ANIMUS – </w:t>
      </w:r>
      <w:r w:rsidR="009073FB" w:rsidRPr="007B3AE9">
        <w:rPr>
          <w:rFonts w:ascii="Times New Roman" w:hAnsi="Times New Roman"/>
          <w:b/>
          <w:bCs/>
          <w:sz w:val="24"/>
          <w:szCs w:val="24"/>
        </w:rPr>
        <w:t xml:space="preserve">CASE REMANDED FOR </w:t>
      </w:r>
      <w:r w:rsidR="00951563" w:rsidRPr="007B3AE9">
        <w:rPr>
          <w:rFonts w:ascii="Times New Roman" w:hAnsi="Times New Roman"/>
          <w:b/>
          <w:bCs/>
          <w:sz w:val="24"/>
          <w:szCs w:val="24"/>
        </w:rPr>
        <w:t>UNION</w:t>
      </w:r>
      <w:r w:rsidR="007B3AE9" w:rsidRPr="007B3AE9">
        <w:rPr>
          <w:rFonts w:ascii="Times New Roman" w:hAnsi="Times New Roman"/>
          <w:b/>
          <w:bCs/>
          <w:sz w:val="24"/>
          <w:szCs w:val="24"/>
        </w:rPr>
        <w:t xml:space="preserve"> REMEDY</w:t>
      </w:r>
    </w:p>
    <w:p w14:paraId="2974B70E" w14:textId="67A11C9F" w:rsidR="001668D8" w:rsidRPr="00951563" w:rsidRDefault="00D125A2" w:rsidP="00D125A2">
      <w:pPr>
        <w:pStyle w:val="NoSpacing"/>
        <w:rPr>
          <w:rStyle w:val="Hyperlink"/>
          <w:rFonts w:ascii="Times New Roman" w:hAnsi="Times New Roman"/>
          <w:sz w:val="24"/>
          <w:szCs w:val="24"/>
        </w:rPr>
      </w:pPr>
      <w:r w:rsidRPr="00951563">
        <w:rPr>
          <w:rFonts w:ascii="Times New Roman" w:hAnsi="Times New Roman"/>
          <w:sz w:val="24"/>
          <w:szCs w:val="24"/>
        </w:rPr>
        <w:t xml:space="preserve">In Oct. 2, 2024, in </w:t>
      </w:r>
      <w:r w:rsidRPr="00951563">
        <w:rPr>
          <w:rFonts w:ascii="Times New Roman" w:hAnsi="Times New Roman"/>
          <w:sz w:val="24"/>
          <w:szCs w:val="24"/>
          <w:u w:val="single"/>
        </w:rPr>
        <w:t>International Association of Fire Fighters, Local 1366 v. City of Cedar Falls</w:t>
      </w:r>
      <w:r w:rsidRPr="00951563">
        <w:rPr>
          <w:rFonts w:ascii="Times New Roman" w:hAnsi="Times New Roman"/>
          <w:sz w:val="24"/>
          <w:szCs w:val="24"/>
        </w:rPr>
        <w:t xml:space="preserve">  </w:t>
      </w:r>
      <w:r w:rsidRPr="00951563">
        <w:rPr>
          <w:rFonts w:ascii="Times New Roman" w:hAnsi="Times New Roman"/>
          <w:sz w:val="24"/>
          <w:szCs w:val="24"/>
          <w:u w:val="single"/>
        </w:rPr>
        <w:t>and the Iowa Public Employment Relations Board</w:t>
      </w:r>
      <w:r w:rsidRPr="00951563">
        <w:rPr>
          <w:rFonts w:ascii="Times New Roman" w:hAnsi="Times New Roman"/>
          <w:sz w:val="24"/>
          <w:szCs w:val="24"/>
        </w:rPr>
        <w:t xml:space="preserve">, where the Court of Appeals of Iowa held: “The International Association of Firefighters, Local 1366 (the Union) filed a prohibited practice complaint against the City of Cedar Falls (the City) after its city council passed a resolution to fully transition to a public safety officer (PSO) program to provide traditional police officer and firefighter services. The passage of the resolution led to eight traditional firefighters represented by the Union being placed on administrative leave pending layoff. *** The agency found ‘overwhelming’ evidence of union animus by the </w:t>
      </w:r>
      <w:proofErr w:type="gramStart"/>
      <w:r w:rsidRPr="00951563">
        <w:rPr>
          <w:rFonts w:ascii="Times New Roman" w:hAnsi="Times New Roman"/>
          <w:sz w:val="24"/>
          <w:szCs w:val="24"/>
        </w:rPr>
        <w:t>City</w:t>
      </w:r>
      <w:proofErr w:type="gramEnd"/>
      <w:r w:rsidRPr="00951563">
        <w:rPr>
          <w:rFonts w:ascii="Times New Roman" w:hAnsi="Times New Roman"/>
          <w:sz w:val="24"/>
          <w:szCs w:val="24"/>
        </w:rPr>
        <w:t xml:space="preserve"> that led to its decision to ‘place the firefighters on administrative leave pending </w:t>
      </w:r>
      <w:proofErr w:type="gramStart"/>
      <w:r w:rsidRPr="00951563">
        <w:rPr>
          <w:rFonts w:ascii="Times New Roman" w:hAnsi="Times New Roman"/>
          <w:sz w:val="24"/>
          <w:szCs w:val="24"/>
        </w:rPr>
        <w:t>layoff’</w:t>
      </w:r>
      <w:proofErr w:type="gramEnd"/>
      <w:r w:rsidRPr="00951563">
        <w:rPr>
          <w:rFonts w:ascii="Times New Roman" w:hAnsi="Times New Roman"/>
          <w:sz w:val="24"/>
          <w:szCs w:val="24"/>
        </w:rPr>
        <w:t xml:space="preserve"> rendering it a prohibited practice. Yet the agency determined the City's decision to lay off the firefighters was not </w:t>
      </w:r>
      <w:proofErr w:type="gramStart"/>
      <w:r w:rsidRPr="00951563">
        <w:rPr>
          <w:rFonts w:ascii="Times New Roman" w:hAnsi="Times New Roman"/>
          <w:sz w:val="24"/>
          <w:szCs w:val="24"/>
        </w:rPr>
        <w:t>a prohibited</w:t>
      </w:r>
      <w:proofErr w:type="gramEnd"/>
      <w:r w:rsidRPr="00951563">
        <w:rPr>
          <w:rFonts w:ascii="Times New Roman" w:hAnsi="Times New Roman"/>
          <w:sz w:val="24"/>
          <w:szCs w:val="24"/>
        </w:rPr>
        <w:t xml:space="preserve"> practice. *** For the reasons set forth above, we hold the agency's decision in its remedy order to deny the Union firefighters' request for damages resulting from the layoff violated </w:t>
      </w:r>
      <w:hyperlink r:id="rId2835" w:history="1">
        <w:r w:rsidRPr="00951563">
          <w:rPr>
            <w:rStyle w:val="Hyperlink"/>
            <w:rFonts w:ascii="Times New Roman" w:hAnsi="Times New Roman"/>
            <w:sz w:val="24"/>
            <w:szCs w:val="24"/>
          </w:rPr>
          <w:t>Iowa Code section 17A.19(10)(i)</w:t>
        </w:r>
      </w:hyperlink>
      <w:r w:rsidRPr="00951563">
        <w:rPr>
          <w:rFonts w:ascii="Times New Roman" w:hAnsi="Times New Roman"/>
          <w:sz w:val="24"/>
          <w:szCs w:val="24"/>
        </w:rPr>
        <w:t xml:space="preserve">. Accordingly, we believe the district court correctly reversed the agency's decision in its remedy order.” </w:t>
      </w:r>
      <w:hyperlink r:id="rId2836" w:history="1">
        <w:r w:rsidRPr="00951563">
          <w:rPr>
            <w:rStyle w:val="Hyperlink"/>
            <w:rFonts w:ascii="Times New Roman" w:hAnsi="Times New Roman"/>
            <w:sz w:val="24"/>
            <w:szCs w:val="24"/>
          </w:rPr>
          <w:t>https://casetext.com/case/intl-assn-of-fire-fighters-local-1366-v-city-of-cedar-falls</w:t>
        </w:r>
      </w:hyperlink>
    </w:p>
    <w:p w14:paraId="56599B81" w14:textId="77777777" w:rsidR="00C115E0" w:rsidRPr="00951563" w:rsidRDefault="00C115E0" w:rsidP="00D125A2">
      <w:pPr>
        <w:pStyle w:val="NoSpacing"/>
        <w:rPr>
          <w:rStyle w:val="Hyperlink"/>
          <w:rFonts w:ascii="Times New Roman" w:hAnsi="Times New Roman"/>
          <w:sz w:val="24"/>
          <w:szCs w:val="24"/>
        </w:rPr>
      </w:pPr>
    </w:p>
    <w:p w14:paraId="62303956" w14:textId="77777777" w:rsidR="00C115E0" w:rsidRPr="00951563" w:rsidRDefault="00C115E0" w:rsidP="00C115E0">
      <w:pPr>
        <w:rPr>
          <w:rFonts w:ascii="Times New Roman" w:hAnsi="Times New Roman"/>
          <w:b/>
          <w:bCs/>
          <w:sz w:val="24"/>
          <w:szCs w:val="24"/>
        </w:rPr>
      </w:pPr>
      <w:r w:rsidRPr="00951563">
        <w:rPr>
          <w:rFonts w:ascii="Times New Roman" w:hAnsi="Times New Roman"/>
          <w:b/>
          <w:sz w:val="24"/>
          <w:szCs w:val="24"/>
        </w:rPr>
        <w:t xml:space="preserve">Legal Lesson Learned: The PERB must now consider an appropriate remedy for the union. </w:t>
      </w:r>
    </w:p>
    <w:p w14:paraId="5437226B" w14:textId="77777777" w:rsidR="00C115E0" w:rsidRDefault="00C115E0" w:rsidP="00D125A2">
      <w:pPr>
        <w:pStyle w:val="NoSpacing"/>
        <w:rPr>
          <w:rFonts w:ascii="Arial Black" w:hAnsi="Arial Black"/>
          <w:sz w:val="24"/>
          <w:szCs w:val="24"/>
        </w:rPr>
      </w:pPr>
    </w:p>
    <w:p w14:paraId="33F2A28A" w14:textId="77777777" w:rsidR="004B129E" w:rsidRDefault="004B129E" w:rsidP="00F326E5">
      <w:pPr>
        <w:pStyle w:val="NoSpacing"/>
        <w:rPr>
          <w:rFonts w:ascii="Arial Black" w:hAnsi="Arial Black"/>
          <w:sz w:val="24"/>
          <w:szCs w:val="24"/>
        </w:rPr>
      </w:pPr>
    </w:p>
    <w:p w14:paraId="5C2ADEC0" w14:textId="4D543E9B" w:rsidR="00F91F9F" w:rsidRDefault="00F51CB3" w:rsidP="00F326E5">
      <w:pPr>
        <w:pStyle w:val="NoSpacing"/>
        <w:rPr>
          <w:rFonts w:ascii="Arial Black" w:hAnsi="Arial Black"/>
          <w:sz w:val="24"/>
          <w:szCs w:val="24"/>
        </w:rPr>
      </w:pPr>
      <w:r>
        <w:rPr>
          <w:rFonts w:ascii="Arial Black" w:hAnsi="Arial Black"/>
          <w:sz w:val="24"/>
          <w:szCs w:val="24"/>
        </w:rPr>
        <w:t>17-41</w:t>
      </w:r>
    </w:p>
    <w:p w14:paraId="338A406B" w14:textId="77777777" w:rsidR="00F51CB3" w:rsidRPr="00FF5CD2" w:rsidRDefault="00F51CB3" w:rsidP="00F51CB3">
      <w:pPr>
        <w:pStyle w:val="NoSpacing"/>
        <w:rPr>
          <w:rFonts w:ascii="Arial Black" w:hAnsi="Arial Black"/>
          <w:b/>
          <w:bCs/>
          <w:sz w:val="28"/>
        </w:rPr>
      </w:pPr>
      <w:r>
        <w:rPr>
          <w:rFonts w:ascii="Arial Black" w:hAnsi="Arial Black"/>
          <w:b/>
          <w:bCs/>
          <w:sz w:val="28"/>
        </w:rPr>
        <w:t xml:space="preserve">OH: CLEVELAND MUST BARGAIN WITH UNION TO HIRE 20 PART-TIME MEDICS – NOT A MANAGEMENT RIGHT </w:t>
      </w:r>
    </w:p>
    <w:p w14:paraId="59D61FF0" w14:textId="77777777" w:rsidR="00F51CB3" w:rsidRDefault="00F51CB3" w:rsidP="00F51CB3">
      <w:pPr>
        <w:pStyle w:val="NoSpacing"/>
        <w:rPr>
          <w:b/>
          <w:bCs/>
          <w:szCs w:val="24"/>
        </w:rPr>
      </w:pPr>
    </w:p>
    <w:p w14:paraId="06941694" w14:textId="77777777" w:rsidR="00F51CB3" w:rsidRPr="00F51CB3" w:rsidRDefault="00F51CB3" w:rsidP="00F51CB3">
      <w:pPr>
        <w:rPr>
          <w:rFonts w:ascii="Times New Roman" w:hAnsi="Times New Roman"/>
          <w:b/>
          <w:bCs/>
          <w:sz w:val="24"/>
          <w:szCs w:val="24"/>
        </w:rPr>
      </w:pPr>
      <w:r w:rsidRPr="00F51CB3">
        <w:rPr>
          <w:rFonts w:ascii="Times New Roman" w:hAnsi="Times New Roman"/>
          <w:sz w:val="24"/>
          <w:szCs w:val="24"/>
        </w:rPr>
        <w:t xml:space="preserve">On August 8, 2024, in </w:t>
      </w:r>
      <w:r w:rsidRPr="00F51CB3">
        <w:rPr>
          <w:rFonts w:ascii="Times New Roman" w:hAnsi="Times New Roman"/>
          <w:sz w:val="24"/>
          <w:szCs w:val="24"/>
          <w:u w:val="single"/>
        </w:rPr>
        <w:t>City of Cleveland v. State Employment Relations Board, et al.</w:t>
      </w:r>
      <w:r w:rsidRPr="00F51CB3">
        <w:rPr>
          <w:rFonts w:ascii="Times New Roman" w:hAnsi="Times New Roman"/>
          <w:sz w:val="24"/>
          <w:szCs w:val="24"/>
        </w:rPr>
        <w:t xml:space="preserve">, the Court of Appeals of Ohio, Eight District (Cuyahoga County) held (3 to 0) that the city has no management right to hire part-time paramedics without bargaining with the Cleveland Association of Rescue Employees, I.L.A, Local 1975 ("CARE").  The city lost before SERB, lost before trial court, and lost on this appeal. The Court wrote: “The </w:t>
      </w:r>
      <w:r w:rsidRPr="00F51CB3">
        <w:rPr>
          <w:rFonts w:ascii="Times New Roman" w:hAnsi="Times New Roman"/>
          <w:sz w:val="24"/>
          <w:szCs w:val="24"/>
        </w:rPr>
        <w:lastRenderedPageBreak/>
        <w:t xml:space="preserve">issue of whether an employer may reassign bargaining unit work to non-bargaining unit employees has long been held to require negotiation. Because of this, we cannot say the trial court abused its discretion by finding the City's refusal to bargain was not good-faith bargaining. Finally, we cannot say the trial court abused its discretion by finding that the City's actions in approving part-time paramedic positions, posting those positions, accepting applications, and not rescinding its plan made the issue ripe for review by SERB.” </w:t>
      </w:r>
      <w:hyperlink r:id="rId2837" w:history="1">
        <w:r w:rsidRPr="00F51CB3">
          <w:rPr>
            <w:rStyle w:val="Hyperlink"/>
            <w:rFonts w:ascii="Times New Roman" w:hAnsi="Times New Roman"/>
            <w:sz w:val="24"/>
            <w:szCs w:val="24"/>
          </w:rPr>
          <w:t>https://www.supremecourt.ohio.gov/rod/docs/pdf/8/2024/2024-Ohio-3018.pdf</w:t>
        </w:r>
      </w:hyperlink>
      <w:r w:rsidRPr="00F51CB3">
        <w:rPr>
          <w:rFonts w:ascii="Times New Roman" w:hAnsi="Times New Roman"/>
          <w:b/>
          <w:bCs/>
          <w:sz w:val="24"/>
          <w:szCs w:val="24"/>
        </w:rPr>
        <w:t xml:space="preserve"> </w:t>
      </w:r>
    </w:p>
    <w:p w14:paraId="7A32DDD1" w14:textId="77777777" w:rsidR="00F51CB3" w:rsidRPr="00F51CB3" w:rsidRDefault="00F51CB3" w:rsidP="00F51CB3">
      <w:pPr>
        <w:pStyle w:val="NoSpacing"/>
        <w:rPr>
          <w:rFonts w:ascii="Times New Roman" w:hAnsi="Times New Roman"/>
          <w:sz w:val="24"/>
          <w:szCs w:val="24"/>
        </w:rPr>
      </w:pPr>
      <w:r w:rsidRPr="00F51CB3">
        <w:rPr>
          <w:rFonts w:ascii="Times New Roman" w:hAnsi="Times New Roman"/>
          <w:sz w:val="24"/>
          <w:szCs w:val="24"/>
        </w:rPr>
        <w:t xml:space="preserve">THE COURT HELD: </w:t>
      </w:r>
    </w:p>
    <w:p w14:paraId="0C7481A8" w14:textId="77777777" w:rsidR="00F51CB3" w:rsidRPr="00F51CB3" w:rsidRDefault="00F51CB3" w:rsidP="00F51CB3">
      <w:pPr>
        <w:pStyle w:val="NoSpacing"/>
        <w:rPr>
          <w:rFonts w:ascii="Times New Roman" w:hAnsi="Times New Roman"/>
          <w:sz w:val="24"/>
          <w:szCs w:val="24"/>
        </w:rPr>
      </w:pPr>
    </w:p>
    <w:p w14:paraId="6C9EBEB4" w14:textId="77777777" w:rsidR="00F51CB3" w:rsidRPr="00F51CB3" w:rsidRDefault="00F51CB3" w:rsidP="00F51CB3">
      <w:pPr>
        <w:pStyle w:val="NoSpacing"/>
        <w:ind w:left="720"/>
        <w:rPr>
          <w:rFonts w:ascii="Times New Roman" w:hAnsi="Times New Roman"/>
          <w:sz w:val="24"/>
          <w:szCs w:val="24"/>
        </w:rPr>
      </w:pPr>
      <w:r w:rsidRPr="00F51CB3">
        <w:rPr>
          <w:rFonts w:ascii="Times New Roman" w:hAnsi="Times New Roman"/>
          <w:sz w:val="24"/>
          <w:szCs w:val="24"/>
        </w:rPr>
        <w:t>“In order for the City to have the ability to reassign work to non-bargaining unit members</w:t>
      </w:r>
      <w:r w:rsidRPr="00F51CB3">
        <w:rPr>
          <w:rFonts w:ascii="Times New Roman" w:hAnsi="Times New Roman"/>
          <w:b/>
          <w:bCs/>
          <w:sz w:val="24"/>
          <w:szCs w:val="24"/>
        </w:rPr>
        <w:t xml:space="preserve"> without</w:t>
      </w:r>
      <w:r w:rsidRPr="00F51CB3">
        <w:rPr>
          <w:rFonts w:ascii="Times New Roman" w:hAnsi="Times New Roman"/>
          <w:sz w:val="24"/>
          <w:szCs w:val="24"/>
        </w:rPr>
        <w:t xml:space="preserve"> negotiating with CARE, there must be a reservation of that right in the CBA or a specific waiver of such right in the CBA. *** </w:t>
      </w:r>
      <w:proofErr w:type="gramStart"/>
      <w:r w:rsidRPr="00F51CB3">
        <w:rPr>
          <w:rFonts w:ascii="Times New Roman" w:hAnsi="Times New Roman"/>
          <w:sz w:val="24"/>
          <w:szCs w:val="24"/>
        </w:rPr>
        <w:t>In order to</w:t>
      </w:r>
      <w:proofErr w:type="gramEnd"/>
      <w:r w:rsidRPr="00F51CB3">
        <w:rPr>
          <w:rFonts w:ascii="Times New Roman" w:hAnsi="Times New Roman"/>
          <w:sz w:val="24"/>
          <w:szCs w:val="24"/>
        </w:rPr>
        <w:t xml:space="preserve"> unilaterally reassign bargaining unit work, the </w:t>
      </w:r>
      <w:proofErr w:type="gramStart"/>
      <w:r w:rsidRPr="00F51CB3">
        <w:rPr>
          <w:rFonts w:ascii="Times New Roman" w:hAnsi="Times New Roman"/>
          <w:sz w:val="24"/>
          <w:szCs w:val="24"/>
        </w:rPr>
        <w:t>City</w:t>
      </w:r>
      <w:proofErr w:type="gramEnd"/>
      <w:r w:rsidRPr="00F51CB3">
        <w:rPr>
          <w:rFonts w:ascii="Times New Roman" w:hAnsi="Times New Roman"/>
          <w:sz w:val="24"/>
          <w:szCs w:val="24"/>
        </w:rPr>
        <w:t xml:space="preserve"> would have to point to a specific waiver by CARE in the CBA. The CBA does provide a waiver on CARE's part as to ‘the exercise of any rights reserved to and retained by it pursuant to either Section 4117.08(C) of the Revised Code or pursuant to this Article of this Agreement.’ The ability to reassign work does not appear in the list of reserved rights under Article 3(</w:t>
      </w:r>
      <w:proofErr w:type="gramStart"/>
      <w:r w:rsidRPr="00F51CB3">
        <w:rPr>
          <w:rFonts w:ascii="Times New Roman" w:hAnsi="Times New Roman"/>
          <w:sz w:val="24"/>
          <w:szCs w:val="24"/>
        </w:rPr>
        <w:t>A)-</w:t>
      </w:r>
      <w:proofErr w:type="gramEnd"/>
      <w:r w:rsidRPr="00F51CB3">
        <w:rPr>
          <w:rFonts w:ascii="Times New Roman" w:hAnsi="Times New Roman"/>
          <w:sz w:val="24"/>
          <w:szCs w:val="24"/>
        </w:rPr>
        <w:t xml:space="preserve">(K), nor does such appear in R.C. 4117.08(C). Further, R.C. 4117.08(C) specifically requires that a public employer negotiate issues that ‘affect wages, hours, terms and conditions of employment, and the continuation, modification, or deletion of an existing provision of a collective bargaining </w:t>
      </w:r>
      <w:proofErr w:type="gramStart"/>
      <w:r w:rsidRPr="00F51CB3">
        <w:rPr>
          <w:rFonts w:ascii="Times New Roman" w:hAnsi="Times New Roman"/>
          <w:sz w:val="24"/>
          <w:szCs w:val="24"/>
        </w:rPr>
        <w:t>agreement..</w:t>
      </w:r>
      <w:proofErr w:type="gramEnd"/>
      <w:r w:rsidRPr="00F51CB3">
        <w:rPr>
          <w:rFonts w:ascii="Times New Roman" w:hAnsi="Times New Roman"/>
          <w:sz w:val="24"/>
          <w:szCs w:val="24"/>
        </w:rPr>
        <w:t>’”</w:t>
      </w:r>
    </w:p>
    <w:p w14:paraId="2106F3D5" w14:textId="77777777" w:rsidR="00F51CB3" w:rsidRPr="00F51CB3" w:rsidRDefault="00F51CB3" w:rsidP="00F51CB3">
      <w:pPr>
        <w:pStyle w:val="NoSpacing"/>
        <w:rPr>
          <w:rFonts w:ascii="Times New Roman" w:hAnsi="Times New Roman"/>
          <w:sz w:val="24"/>
          <w:szCs w:val="24"/>
        </w:rPr>
      </w:pPr>
    </w:p>
    <w:p w14:paraId="064D23AE" w14:textId="77777777" w:rsidR="00F51CB3" w:rsidRDefault="00F51CB3" w:rsidP="00F51CB3">
      <w:pPr>
        <w:jc w:val="center"/>
        <w:rPr>
          <w:b/>
          <w:bCs/>
          <w:szCs w:val="24"/>
        </w:rPr>
      </w:pPr>
    </w:p>
    <w:p w14:paraId="3970B2DB" w14:textId="77777777" w:rsidR="00F51CB3" w:rsidRDefault="00F51CB3" w:rsidP="00F326E5">
      <w:pPr>
        <w:pStyle w:val="NoSpacing"/>
        <w:rPr>
          <w:rFonts w:ascii="Arial Black" w:hAnsi="Arial Black"/>
          <w:sz w:val="24"/>
          <w:szCs w:val="24"/>
        </w:rPr>
      </w:pPr>
    </w:p>
    <w:p w14:paraId="3416F17B" w14:textId="77777777" w:rsidR="00F51CB3" w:rsidRDefault="00F51CB3" w:rsidP="00F326E5">
      <w:pPr>
        <w:pStyle w:val="NoSpacing"/>
        <w:rPr>
          <w:rFonts w:ascii="Arial Black" w:hAnsi="Arial Black"/>
          <w:sz w:val="24"/>
          <w:szCs w:val="24"/>
        </w:rPr>
      </w:pPr>
    </w:p>
    <w:p w14:paraId="3F29C6D6" w14:textId="77777777" w:rsidR="00F51CB3" w:rsidRDefault="00F51CB3" w:rsidP="00F326E5">
      <w:pPr>
        <w:pStyle w:val="NoSpacing"/>
        <w:rPr>
          <w:rFonts w:ascii="Arial Black" w:hAnsi="Arial Black"/>
          <w:sz w:val="24"/>
          <w:szCs w:val="24"/>
        </w:rPr>
      </w:pPr>
    </w:p>
    <w:p w14:paraId="51FEF0FA" w14:textId="6F3AD5D2" w:rsidR="006428AD" w:rsidRDefault="006428AD" w:rsidP="00F326E5">
      <w:pPr>
        <w:pStyle w:val="NoSpacing"/>
        <w:rPr>
          <w:rFonts w:ascii="Arial Black" w:hAnsi="Arial Black"/>
          <w:sz w:val="24"/>
          <w:szCs w:val="24"/>
        </w:rPr>
      </w:pPr>
      <w:r>
        <w:rPr>
          <w:rFonts w:ascii="Arial Black" w:hAnsi="Arial Black"/>
          <w:sz w:val="24"/>
          <w:szCs w:val="24"/>
        </w:rPr>
        <w:t>17-40</w:t>
      </w:r>
    </w:p>
    <w:p w14:paraId="17F89F76" w14:textId="77777777" w:rsidR="006068BE" w:rsidRDefault="006068BE" w:rsidP="006068BE">
      <w:pPr>
        <w:pStyle w:val="NormalWeb"/>
        <w:rPr>
          <w:rFonts w:ascii="Arial Black" w:hAnsi="Arial Black"/>
          <w:sz w:val="28"/>
          <w:szCs w:val="28"/>
        </w:rPr>
      </w:pPr>
      <w:r>
        <w:rPr>
          <w:rFonts w:ascii="Arial Black" w:hAnsi="Arial Black"/>
          <w:sz w:val="28"/>
          <w:szCs w:val="28"/>
        </w:rPr>
        <w:t>TX: IAFF UNION PRES. FIRED – FOR NOT DISCLOSING PRIOR AUSTIN FD JOB – “BALANCING TEST” – CASE PROCEED</w:t>
      </w:r>
    </w:p>
    <w:p w14:paraId="380A1F59" w14:textId="77777777" w:rsidR="006068BE" w:rsidRDefault="006068BE" w:rsidP="006068BE">
      <w:pPr>
        <w:pStyle w:val="NormalWeb"/>
      </w:pPr>
      <w:r>
        <w:t xml:space="preserve">On May 3, 2024, in </w:t>
      </w:r>
      <w:r w:rsidRPr="009F2444">
        <w:rPr>
          <w:u w:val="single"/>
        </w:rPr>
        <w:t>Michael Teague v. Travis County Emergency Services District 8 and Troy Wenzel</w:t>
      </w:r>
      <w:r>
        <w:t xml:space="preserve">, United State Magistrate Judge Susan Hightower issued a Report and Recommendation the U.S. District Court deny the defendants’ motion to dismiss.  Teague was hired as firefighter in Oct. 2020, and elected President of Local 4820 in Oct. 2022, and served as President until fired in </w:t>
      </w:r>
      <w:proofErr w:type="gramStart"/>
      <w:r>
        <w:t>March,</w:t>
      </w:r>
      <w:proofErr w:type="gramEnd"/>
      <w:r>
        <w:t xml:space="preserve"> 2023. Teague alleges ESD 8 stated in a March 20, </w:t>
      </w:r>
      <w:proofErr w:type="gramStart"/>
      <w:r>
        <w:t>2023</w:t>
      </w:r>
      <w:proofErr w:type="gramEnd"/>
      <w:r>
        <w:t xml:space="preserve"> letter that his employment was terminated because he “falsified” his job application by failing to list his employment with the Austin Fire Department. The Magistrate Judge wrote:  </w:t>
      </w:r>
    </w:p>
    <w:p w14:paraId="77617CFC" w14:textId="77777777" w:rsidR="006068BE" w:rsidRDefault="006068BE" w:rsidP="006068BE">
      <w:pPr>
        <w:pStyle w:val="NormalWeb"/>
        <w:ind w:left="720"/>
      </w:pPr>
      <w:r>
        <w:t xml:space="preserve">“Teague alleges that in his role as Local 4820 President, he repeatedly spoke up about matters of public concern affecting ESD 8 fire fighters in public settings from October 2022 through March 2023. </w:t>
      </w:r>
      <w:proofErr w:type="spellStart"/>
      <w:r>
        <w:t>Dkt</w:t>
      </w:r>
      <w:proofErr w:type="spellEnd"/>
      <w:r>
        <w:t xml:space="preserve">. 10 ¶ 26. He that Defendants were aware of his association with the union and his speech activities. </w:t>
      </w:r>
      <w:r>
        <w:rPr>
          <w:rStyle w:val="Emphasis"/>
          <w:rFonts w:eastAsiaTheme="majorEastAsia"/>
        </w:rPr>
        <w:t>Id.</w:t>
      </w:r>
      <w:r>
        <w:t xml:space="preserve"> ¶ 58. Teague also alleges that he was retaliated against and ultimately terminated for engaging in such speech. </w:t>
      </w:r>
      <w:r>
        <w:rPr>
          <w:rStyle w:val="Emphasis"/>
          <w:rFonts w:eastAsiaTheme="majorEastAsia"/>
        </w:rPr>
        <w:t>Id.</w:t>
      </w:r>
      <w:r>
        <w:t xml:space="preserve"> ¶¶ 34, 36. The Court finds that Teague's allegations and the close timing between his speech activities and his termination are sufficient to show a causal connection at this stage of the proceedings. </w:t>
      </w:r>
      <w:r>
        <w:rPr>
          <w:rStyle w:val="Emphasis"/>
          <w:rFonts w:eastAsiaTheme="majorEastAsia"/>
        </w:rPr>
        <w:t>See Benfield v. Magee</w:t>
      </w:r>
      <w:r>
        <w:t xml:space="preserve">, 945 F.3d 333, 337 (5th Cir. 2019) (‘Close timing between an employee's protected activity and an adverse action against him may provide the causal connection required to make out a prima facie retaliation case.’); </w:t>
      </w:r>
      <w:r>
        <w:rPr>
          <w:rStyle w:val="Emphasis"/>
          <w:rFonts w:eastAsiaTheme="majorEastAsia"/>
        </w:rPr>
        <w:t>Burnside,</w:t>
      </w:r>
      <w:r>
        <w:t xml:space="preserve"> 773 F.3d at 628 (allegations that employee was transferred three weeks after engaging in speech activities were sufficient to allow a plausible inference of a causal connection); </w:t>
      </w:r>
      <w:r>
        <w:rPr>
          <w:rStyle w:val="Emphasis"/>
          <w:rFonts w:eastAsiaTheme="majorEastAsia"/>
        </w:rPr>
        <w:t>Evans v. City of Houston</w:t>
      </w:r>
      <w:r>
        <w:t xml:space="preserve">, 246 F.3d 344, 354 (5th Cir. 2001) (noting that ‘a time lapse of up to four months has been found sufficient to satisfy the causal connection). </w:t>
      </w:r>
    </w:p>
    <w:p w14:paraId="7204BFB6" w14:textId="77777777" w:rsidR="006068BE" w:rsidRDefault="006068BE" w:rsidP="006068BE">
      <w:pPr>
        <w:pStyle w:val="NormalWeb"/>
        <w:ind w:left="720"/>
      </w:pPr>
      <w:r>
        <w:lastRenderedPageBreak/>
        <w:t xml:space="preserve">The Court finds that Teague has alleged sufficient facts to state a plausible </w:t>
      </w:r>
      <w:r>
        <w:rPr>
          <w:rStyle w:val="Emphasis"/>
          <w:rFonts w:eastAsiaTheme="majorEastAsia"/>
        </w:rPr>
        <w:t>prima facie</w:t>
      </w:r>
      <w:r>
        <w:t xml:space="preserve"> case of First Amendment free speech/petition retaliation.” </w:t>
      </w:r>
      <w:hyperlink r:id="rId2838" w:history="1">
        <w:r w:rsidRPr="00FA0156">
          <w:rPr>
            <w:rStyle w:val="Hyperlink"/>
          </w:rPr>
          <w:t>https://casetext.com/case/teague-v-travis-cnty-emergency-servs-dist</w:t>
        </w:r>
      </w:hyperlink>
      <w:r>
        <w:t xml:space="preserve"> </w:t>
      </w:r>
    </w:p>
    <w:p w14:paraId="2582AEDA" w14:textId="77777777" w:rsidR="0085092C" w:rsidRPr="000743CA" w:rsidRDefault="0085092C" w:rsidP="0085092C">
      <w:pPr>
        <w:pStyle w:val="NormalWeb"/>
        <w:rPr>
          <w:b/>
          <w:bCs/>
        </w:rPr>
      </w:pPr>
      <w:r>
        <w:rPr>
          <w:b/>
          <w:bCs/>
        </w:rPr>
        <w:t xml:space="preserve">Legal Lesson Learned:  The lawsuit will now proceed with pre-trial discovery/ </w:t>
      </w:r>
    </w:p>
    <w:p w14:paraId="217AAC93" w14:textId="77777777" w:rsidR="0085092C" w:rsidRDefault="0085092C" w:rsidP="0085092C">
      <w:pPr>
        <w:pStyle w:val="NormalWeb"/>
        <w:spacing w:before="0" w:beforeAutospacing="0"/>
        <w:ind w:left="720"/>
        <w:rPr>
          <w:b/>
          <w:bCs/>
          <w:color w:val="454545"/>
          <w:shd w:val="clear" w:color="auto" w:fill="FFFFFF"/>
        </w:rPr>
      </w:pPr>
      <w:r w:rsidRPr="00E43324">
        <w:rPr>
          <w:color w:val="454545"/>
          <w:shd w:val="clear" w:color="auto" w:fill="FFFFFF"/>
        </w:rPr>
        <w:t>Note:</w:t>
      </w:r>
      <w:r>
        <w:rPr>
          <w:b/>
          <w:bCs/>
          <w:color w:val="454545"/>
          <w:shd w:val="clear" w:color="auto" w:fill="FFFFFF"/>
        </w:rPr>
        <w:t xml:space="preserve"> </w:t>
      </w:r>
      <w:r w:rsidRPr="00E43324">
        <w:rPr>
          <w:color w:val="454545"/>
          <w:shd w:val="clear" w:color="auto" w:fill="FFFFFF"/>
        </w:rPr>
        <w:t>The Magistrate discussed the “balancing test.</w:t>
      </w:r>
      <w:r>
        <w:rPr>
          <w:color w:val="454545"/>
          <w:shd w:val="clear" w:color="auto" w:fill="FFFFFF"/>
        </w:rPr>
        <w:t>”</w:t>
      </w:r>
      <w:r>
        <w:rPr>
          <w:b/>
          <w:bCs/>
          <w:color w:val="454545"/>
          <w:shd w:val="clear" w:color="auto" w:fill="FFFFFF"/>
        </w:rPr>
        <w:t xml:space="preserve">  </w:t>
      </w:r>
    </w:p>
    <w:p w14:paraId="7A3B52E6" w14:textId="77777777" w:rsidR="0085092C" w:rsidRDefault="0085092C" w:rsidP="0085092C">
      <w:pPr>
        <w:pStyle w:val="NormalWeb"/>
        <w:spacing w:before="0" w:beforeAutospacing="0"/>
        <w:ind w:left="1440"/>
      </w:pPr>
      <w:r>
        <w:t xml:space="preserve">“In </w:t>
      </w:r>
      <w:r>
        <w:rPr>
          <w:rStyle w:val="Emphasis"/>
          <w:rFonts w:eastAsiaTheme="majorEastAsia"/>
        </w:rPr>
        <w:t>Pickering v. Bd. of Ed. of Twp. High Sch. Dist. 205, Will Cnty.</w:t>
      </w:r>
      <w:r>
        <w:t xml:space="preserve">, 391 U.S. 563 (1968), the Court laid the framework for analyzing ‘whether the employee's interest or the government's interest should prevail in cases where the government seeks to curtail the speech of its employees.’ </w:t>
      </w:r>
      <w:r>
        <w:rPr>
          <w:rStyle w:val="Emphasis"/>
          <w:rFonts w:eastAsiaTheme="majorEastAsia"/>
        </w:rPr>
        <w:t>Lane</w:t>
      </w:r>
      <w:r>
        <w:t>, 573 U.S. at 236. This balancing test requires’“</w:t>
      </w:r>
      <w:proofErr w:type="spellStart"/>
      <w:r>
        <w:t>balanc</w:t>
      </w:r>
      <w:proofErr w:type="spellEnd"/>
      <w:r>
        <w:t>[</w:t>
      </w:r>
      <w:proofErr w:type="spellStart"/>
      <w:r>
        <w:t>ing</w:t>
      </w:r>
      <w:proofErr w:type="spellEnd"/>
      <w:r>
        <w:t xml:space="preserve">] . . . the interests of the [public employee], as a citizen, in commenting upon matters of public concern and the interest of the State, as an employer, in promoting the efficiency of the public services it performs through its employees.’ </w:t>
      </w:r>
      <w:r>
        <w:rPr>
          <w:rStyle w:val="Emphasis"/>
          <w:rFonts w:eastAsiaTheme="majorEastAsia"/>
        </w:rPr>
        <w:t>Pickering</w:t>
      </w:r>
      <w:r>
        <w:t>, 391 U.S. at 568. This is known as the “</w:t>
      </w:r>
      <w:r>
        <w:rPr>
          <w:rStyle w:val="Emphasis"/>
          <w:rFonts w:eastAsiaTheme="majorEastAsia"/>
        </w:rPr>
        <w:t>Pickering</w:t>
      </w:r>
      <w:r>
        <w:t xml:space="preserve"> balancing test.” </w:t>
      </w:r>
      <w:r>
        <w:rPr>
          <w:rStyle w:val="Emphasis"/>
          <w:rFonts w:eastAsiaTheme="majorEastAsia"/>
        </w:rPr>
        <w:t xml:space="preserve">Bd. of </w:t>
      </w:r>
      <w:proofErr w:type="spellStart"/>
      <w:r>
        <w:rPr>
          <w:rStyle w:val="Emphasis"/>
          <w:rFonts w:eastAsiaTheme="majorEastAsia"/>
        </w:rPr>
        <w:t>Cnty</w:t>
      </w:r>
      <w:proofErr w:type="spellEnd"/>
      <w:r>
        <w:rPr>
          <w:rStyle w:val="Emphasis"/>
          <w:rFonts w:eastAsiaTheme="majorEastAsia"/>
        </w:rPr>
        <w:t xml:space="preserve">. Comm'rs, Wabaunsee </w:t>
      </w:r>
      <w:proofErr w:type="spellStart"/>
      <w:r>
        <w:rPr>
          <w:rStyle w:val="Emphasis"/>
          <w:rFonts w:eastAsiaTheme="majorEastAsia"/>
        </w:rPr>
        <w:t>Cnty</w:t>
      </w:r>
      <w:proofErr w:type="spellEnd"/>
      <w:r>
        <w:rPr>
          <w:rStyle w:val="Emphasis"/>
          <w:rFonts w:eastAsiaTheme="majorEastAsia"/>
        </w:rPr>
        <w:t>., Kan. v. Umbehr</w:t>
      </w:r>
      <w:r>
        <w:t xml:space="preserve">, 518 U.S. 668, 668 (1996). In </w:t>
      </w:r>
      <w:r>
        <w:rPr>
          <w:rStyle w:val="Emphasis"/>
          <w:rFonts w:eastAsiaTheme="majorEastAsia"/>
        </w:rPr>
        <w:t>Pickering</w:t>
      </w:r>
      <w:r>
        <w:t xml:space="preserve">, the Court struck the balance in favor of the public employee, extending First Amendment protection to a teacher who was fired after writing a letter to the editor of a local newspaper criticizing the school board that employed him. </w:t>
      </w:r>
      <w:r>
        <w:rPr>
          <w:rStyle w:val="Emphasis"/>
          <w:rFonts w:eastAsiaTheme="majorEastAsia"/>
        </w:rPr>
        <w:t>Id.</w:t>
      </w:r>
      <w:r>
        <w:t xml:space="preserve"> at 573.”</w:t>
      </w:r>
    </w:p>
    <w:p w14:paraId="1163C8BE" w14:textId="77777777" w:rsidR="006428AD" w:rsidRDefault="006428AD" w:rsidP="00F326E5">
      <w:pPr>
        <w:pStyle w:val="NoSpacing"/>
        <w:rPr>
          <w:rFonts w:ascii="Arial Black" w:hAnsi="Arial Black"/>
          <w:sz w:val="24"/>
          <w:szCs w:val="24"/>
        </w:rPr>
      </w:pPr>
    </w:p>
    <w:p w14:paraId="1D45BDF5" w14:textId="77777777" w:rsidR="006428AD" w:rsidRDefault="006428AD" w:rsidP="00F326E5">
      <w:pPr>
        <w:pStyle w:val="NoSpacing"/>
        <w:rPr>
          <w:rFonts w:ascii="Arial Black" w:hAnsi="Arial Black"/>
          <w:sz w:val="24"/>
          <w:szCs w:val="24"/>
        </w:rPr>
      </w:pPr>
    </w:p>
    <w:p w14:paraId="4C5F040B" w14:textId="3C6F84C8" w:rsidR="00F91F9F" w:rsidRDefault="00026281" w:rsidP="00F326E5">
      <w:pPr>
        <w:pStyle w:val="NoSpacing"/>
        <w:rPr>
          <w:rFonts w:ascii="Arial Black" w:hAnsi="Arial Black"/>
          <w:sz w:val="24"/>
          <w:szCs w:val="24"/>
        </w:rPr>
      </w:pPr>
      <w:r>
        <w:rPr>
          <w:rFonts w:ascii="Arial Black" w:hAnsi="Arial Black"/>
          <w:sz w:val="24"/>
          <w:szCs w:val="24"/>
        </w:rPr>
        <w:t>17-39</w:t>
      </w:r>
    </w:p>
    <w:p w14:paraId="3D0A1195" w14:textId="77777777" w:rsidR="00026281" w:rsidRDefault="00026281" w:rsidP="00F326E5">
      <w:pPr>
        <w:pStyle w:val="NoSpacing"/>
        <w:rPr>
          <w:rFonts w:ascii="Arial Black" w:hAnsi="Arial Black"/>
          <w:sz w:val="24"/>
          <w:szCs w:val="24"/>
        </w:rPr>
      </w:pPr>
    </w:p>
    <w:p w14:paraId="552A4CFA" w14:textId="77777777" w:rsidR="00026281" w:rsidRDefault="00026281" w:rsidP="00026281">
      <w:pPr>
        <w:pStyle w:val="NormalWeb"/>
        <w:spacing w:before="0" w:beforeAutospacing="0"/>
        <w:rPr>
          <w:rFonts w:ascii="Arial Black" w:hAnsi="Arial Black"/>
          <w:sz w:val="28"/>
          <w:szCs w:val="28"/>
        </w:rPr>
      </w:pPr>
      <w:r>
        <w:rPr>
          <w:rFonts w:ascii="Arial Black" w:hAnsi="Arial Black"/>
          <w:sz w:val="28"/>
          <w:szCs w:val="28"/>
        </w:rPr>
        <w:t>OH: CITY ELIMINATED 3 BC – ORDERED TO REINSTATE - GRIEVANCE DELAY – ARBITRATOR DECIDE IF FILED TIMELY</w:t>
      </w:r>
    </w:p>
    <w:p w14:paraId="52D7F234" w14:textId="77777777" w:rsidR="00026281" w:rsidRDefault="00026281" w:rsidP="00026281">
      <w:pPr>
        <w:pStyle w:val="NormalWeb"/>
        <w:spacing w:before="0" w:beforeAutospacing="0"/>
      </w:pPr>
      <w:r>
        <w:t xml:space="preserve">On March 13, 2024, in </w:t>
      </w:r>
      <w:r w:rsidRPr="00BC4EF0">
        <w:rPr>
          <w:u w:val="single"/>
        </w:rPr>
        <w:t>Youngstown Professional Firefighters, IAFF Local 312 v. City of Youngstown</w:t>
      </w:r>
      <w:r>
        <w:t xml:space="preserve">, the Ohio Court of Appeals for Seventh District held (3 to 0) that City cannot refuse to arbitrate because they believe the Grievance was not filed within 14-days; the union says it is a continuing violation of CBA, and the arbitrator can decide this procedural issue.  The parties have been in litigation for five years over Battalion Chief positions.  In September 2019 the City decided to eliminate three Battalion Chief positions through attrition, and union filed charges with State Employment Relations Board that this was in retaliation for union pushing city to upgrade their radios.  The Board ordered City to reinstate those three positions, and in Dec. 2021, the Court of Appeals for the Seventh District agreed with the union and the Board. Two Captains have since been promoted to Battalion Chief (March 2022 and February 2023), but third Battalion Chief position has never been filed since 2021 retirement of Chief Caggiano.  </w:t>
      </w:r>
    </w:p>
    <w:p w14:paraId="60637A20" w14:textId="77777777" w:rsidR="004305B6" w:rsidRPr="004C0299" w:rsidRDefault="004305B6" w:rsidP="004305B6">
      <w:pPr>
        <w:pStyle w:val="NoSpacing"/>
        <w:rPr>
          <w:rFonts w:ascii="Times New Roman" w:hAnsi="Times New Roman"/>
          <w:sz w:val="24"/>
          <w:szCs w:val="24"/>
        </w:rPr>
      </w:pPr>
      <w:r>
        <w:rPr>
          <w:rFonts w:ascii="Times New Roman" w:hAnsi="Times New Roman"/>
          <w:sz w:val="24"/>
          <w:szCs w:val="24"/>
          <w:shd w:val="clear" w:color="auto" w:fill="FFFFFF"/>
        </w:rPr>
        <w:t>THE COURT HELD:</w:t>
      </w:r>
    </w:p>
    <w:p w14:paraId="36D0B057" w14:textId="77777777" w:rsidR="004D2264" w:rsidRDefault="004D2264" w:rsidP="00026281">
      <w:pPr>
        <w:pStyle w:val="NormalWeb"/>
        <w:spacing w:before="0" w:beforeAutospacing="0"/>
        <w:ind w:left="720"/>
      </w:pPr>
    </w:p>
    <w:p w14:paraId="4173977F" w14:textId="030A2240" w:rsidR="00026281" w:rsidRDefault="00026281" w:rsidP="00026281">
      <w:pPr>
        <w:pStyle w:val="NormalWeb"/>
        <w:spacing w:before="0" w:beforeAutospacing="0"/>
        <w:ind w:left="720"/>
      </w:pPr>
      <w:r>
        <w:t>“The grievance at issue in this appeal, Grievance 22-007, asserts ‘the City's refusal to reinstate Battalion Chief positions, violating a [State Employment Relations Board Unfair Labor Practice] decision and other court rulings, has resulted in violations of the CBA, safety concerns and compensation denied to our members since December 2019. (Grievance 22-007, p. 1.) The grievance further asserts the City has ‘yet to acknowledge another vacancy in the rank of Battalion Chief created on 6/5/2021 by the retirement of [Battalion Chief] Sil Caggiano.’</w:t>
      </w:r>
    </w:p>
    <w:p w14:paraId="0A87BE7A" w14:textId="77777777" w:rsidR="00026281" w:rsidRDefault="00026281" w:rsidP="00026281">
      <w:pPr>
        <w:pStyle w:val="NormalWeb"/>
        <w:spacing w:before="0" w:beforeAutospacing="0"/>
        <w:ind w:left="720"/>
      </w:pPr>
      <w:r>
        <w:t>***</w:t>
      </w:r>
    </w:p>
    <w:p w14:paraId="14A311E9" w14:textId="77777777" w:rsidR="00026281" w:rsidRDefault="00026281" w:rsidP="00026281">
      <w:pPr>
        <w:pStyle w:val="NormalWeb"/>
        <w:spacing w:before="0" w:beforeAutospacing="0"/>
        <w:ind w:left="720"/>
      </w:pPr>
      <w:r>
        <w:lastRenderedPageBreak/>
        <w:t xml:space="preserve">For the foregoing reasons, we find the timeliness of </w:t>
      </w:r>
      <w:proofErr w:type="gramStart"/>
      <w:r>
        <w:t>the grievance</w:t>
      </w:r>
      <w:proofErr w:type="gramEnd"/>
      <w:r>
        <w:t xml:space="preserve"> is a procedural issue, which requires an interpretation of the CBA, and must be determined by the arbitrator. </w:t>
      </w:r>
      <w:proofErr w:type="gramStart"/>
      <w:r>
        <w:t>As a consequence</w:t>
      </w:r>
      <w:proofErr w:type="gramEnd"/>
      <w:r>
        <w:t xml:space="preserve">, the City's assignments of error have no merit and the judgment entry of the trial court sustaining the complaint to compel arbitration is affirmed.” </w:t>
      </w:r>
      <w:hyperlink r:id="rId2839" w:history="1">
        <w:r w:rsidRPr="00AA5DF9">
          <w:rPr>
            <w:rStyle w:val="Hyperlink"/>
          </w:rPr>
          <w:t>https://casetext.com/case/youngstown-profl-firefighters-iaff-local-312-v-city-of-youngstown</w:t>
        </w:r>
      </w:hyperlink>
      <w:r>
        <w:t xml:space="preserve"> </w:t>
      </w:r>
    </w:p>
    <w:p w14:paraId="7E9D565F" w14:textId="77777777" w:rsidR="00026281" w:rsidRDefault="00026281" w:rsidP="00026281">
      <w:pPr>
        <w:spacing w:after="100" w:line="240" w:lineRule="auto"/>
        <w:ind w:left="720"/>
        <w:rPr>
          <w:rFonts w:ascii="Times New Roman" w:hAnsi="Times New Roman"/>
          <w:sz w:val="24"/>
          <w:szCs w:val="24"/>
        </w:rPr>
      </w:pPr>
    </w:p>
    <w:p w14:paraId="7507819B" w14:textId="77777777" w:rsidR="00026281" w:rsidRPr="006015DE" w:rsidRDefault="00026281" w:rsidP="00026281">
      <w:pPr>
        <w:spacing w:after="100" w:line="240" w:lineRule="auto"/>
        <w:rPr>
          <w:rFonts w:ascii="Times New Roman" w:eastAsia="Times New Roman" w:hAnsi="Times New Roman"/>
          <w:b/>
          <w:bCs/>
          <w:sz w:val="24"/>
          <w:szCs w:val="24"/>
        </w:rPr>
      </w:pPr>
      <w:r w:rsidRPr="007B7A20">
        <w:rPr>
          <w:rFonts w:ascii="Times New Roman" w:hAnsi="Times New Roman"/>
          <w:b/>
          <w:bCs/>
          <w:sz w:val="24"/>
          <w:szCs w:val="24"/>
        </w:rPr>
        <w:t>Legal Lesson Learned:</w:t>
      </w:r>
      <w:r>
        <w:rPr>
          <w:rFonts w:ascii="Times New Roman" w:hAnsi="Times New Roman"/>
          <w:b/>
          <w:bCs/>
          <w:sz w:val="24"/>
          <w:szCs w:val="24"/>
        </w:rPr>
        <w:t xml:space="preserve"> Arbitrators can decide the timeliness of a grievance. </w:t>
      </w:r>
    </w:p>
    <w:p w14:paraId="3C0412B7" w14:textId="77777777" w:rsidR="00026281" w:rsidRPr="007B7A20" w:rsidRDefault="00026281" w:rsidP="00026281">
      <w:pPr>
        <w:pStyle w:val="NoSpacing"/>
        <w:rPr>
          <w:rFonts w:ascii="Times New Roman" w:hAnsi="Times New Roman"/>
          <w:b/>
          <w:bCs/>
          <w:sz w:val="24"/>
          <w:szCs w:val="24"/>
        </w:rPr>
      </w:pPr>
    </w:p>
    <w:p w14:paraId="034ED69E" w14:textId="77777777" w:rsidR="00026281" w:rsidRPr="004A34D8" w:rsidRDefault="00026281" w:rsidP="00026281">
      <w:pPr>
        <w:pStyle w:val="NoSpacing"/>
        <w:ind w:left="720"/>
        <w:rPr>
          <w:rFonts w:ascii="Times New Roman" w:hAnsi="Times New Roman"/>
          <w:sz w:val="24"/>
          <w:szCs w:val="24"/>
        </w:rPr>
      </w:pPr>
      <w:r>
        <w:rPr>
          <w:rFonts w:ascii="Times New Roman" w:hAnsi="Times New Roman"/>
          <w:sz w:val="24"/>
          <w:szCs w:val="24"/>
        </w:rPr>
        <w:t>Note: See M</w:t>
      </w:r>
      <w:r w:rsidRPr="004A34D8">
        <w:rPr>
          <w:rFonts w:ascii="Times New Roman" w:hAnsi="Times New Roman"/>
          <w:sz w:val="24"/>
          <w:szCs w:val="24"/>
        </w:rPr>
        <w:t xml:space="preserve">arch 16, </w:t>
      </w:r>
      <w:proofErr w:type="gramStart"/>
      <w:r w:rsidRPr="004A34D8">
        <w:rPr>
          <w:rFonts w:ascii="Times New Roman" w:hAnsi="Times New Roman"/>
          <w:sz w:val="24"/>
          <w:szCs w:val="24"/>
        </w:rPr>
        <w:t>2024</w:t>
      </w:r>
      <w:proofErr w:type="gramEnd"/>
      <w:r w:rsidRPr="004A34D8">
        <w:rPr>
          <w:rFonts w:ascii="Times New Roman" w:hAnsi="Times New Roman"/>
          <w:sz w:val="24"/>
          <w:szCs w:val="24"/>
        </w:rPr>
        <w:t xml:space="preserve"> article, “City’s request to dismiss fire union case falters.” </w:t>
      </w:r>
      <w:hyperlink r:id="rId2840" w:history="1">
        <w:r w:rsidRPr="00AA5DF9">
          <w:rPr>
            <w:rStyle w:val="Hyperlink"/>
            <w:rFonts w:ascii="Times New Roman" w:hAnsi="Times New Roman"/>
            <w:sz w:val="24"/>
            <w:szCs w:val="24"/>
          </w:rPr>
          <w:t>https://www.vindy.com/news/local-news/2024/03/citys-request-to-dismiss-fire-union-case-falters/</w:t>
        </w:r>
      </w:hyperlink>
      <w:r w:rsidRPr="004A34D8">
        <w:rPr>
          <w:rFonts w:ascii="Times New Roman" w:hAnsi="Times New Roman"/>
          <w:sz w:val="24"/>
          <w:szCs w:val="24"/>
        </w:rPr>
        <w:t xml:space="preserve"> </w:t>
      </w:r>
    </w:p>
    <w:p w14:paraId="028C209A" w14:textId="77777777" w:rsidR="00026281" w:rsidRDefault="00026281" w:rsidP="00026281">
      <w:pPr>
        <w:pStyle w:val="NormalWeb"/>
        <w:ind w:left="720"/>
      </w:pPr>
      <w:r>
        <w:t>“This issue was the latest in a series of arguments between the two sides on battalion chief positions with the union continuously winning court cases.”</w:t>
      </w:r>
    </w:p>
    <w:p w14:paraId="3852A254" w14:textId="77777777" w:rsidR="00026281" w:rsidRDefault="00026281" w:rsidP="00F326E5">
      <w:pPr>
        <w:pStyle w:val="NoSpacing"/>
        <w:rPr>
          <w:rFonts w:ascii="Arial Black" w:hAnsi="Arial Black"/>
          <w:sz w:val="24"/>
          <w:szCs w:val="24"/>
        </w:rPr>
      </w:pPr>
    </w:p>
    <w:p w14:paraId="31460E7B" w14:textId="77777777" w:rsidR="00F91F9F" w:rsidRDefault="00F91F9F" w:rsidP="00F326E5">
      <w:pPr>
        <w:pStyle w:val="NoSpacing"/>
        <w:rPr>
          <w:rFonts w:ascii="Arial Black" w:hAnsi="Arial Black"/>
          <w:sz w:val="24"/>
          <w:szCs w:val="24"/>
        </w:rPr>
      </w:pPr>
    </w:p>
    <w:p w14:paraId="58C60AEE" w14:textId="742B0404" w:rsidR="004E344B" w:rsidRDefault="007D66BE" w:rsidP="00F326E5">
      <w:pPr>
        <w:pStyle w:val="NoSpacing"/>
        <w:rPr>
          <w:rFonts w:ascii="Arial Black" w:hAnsi="Arial Black"/>
          <w:sz w:val="24"/>
          <w:szCs w:val="24"/>
        </w:rPr>
      </w:pPr>
      <w:r>
        <w:rPr>
          <w:rFonts w:ascii="Arial Black" w:hAnsi="Arial Black"/>
          <w:sz w:val="24"/>
          <w:szCs w:val="24"/>
        </w:rPr>
        <w:t>17-38</w:t>
      </w:r>
    </w:p>
    <w:p w14:paraId="5B581454" w14:textId="77777777" w:rsidR="006D0326" w:rsidRDefault="006D0326" w:rsidP="006D0326">
      <w:pPr>
        <w:pStyle w:val="NormalWeb"/>
      </w:pPr>
      <w:r>
        <w:rPr>
          <w:rFonts w:ascii="Arial Black" w:hAnsi="Arial Black"/>
          <w:sz w:val="28"/>
          <w:szCs w:val="28"/>
        </w:rPr>
        <w:t xml:space="preserve">CT: AMR – CUT SHIFTS DURING COVID – UNION REQ. CALL DATA – CASE BACK TO NLRB – CBA HAS “DISASTER” PROV. </w:t>
      </w:r>
    </w:p>
    <w:p w14:paraId="5D10C357" w14:textId="77777777" w:rsidR="006D0326" w:rsidRPr="00213A36" w:rsidRDefault="006D0326" w:rsidP="006D0326">
      <w:pPr>
        <w:pStyle w:val="NormalWeb"/>
      </w:pPr>
      <w:r>
        <w:t xml:space="preserve">On Feb. 16, 2024, in </w:t>
      </w:r>
      <w:r w:rsidRPr="00213A36">
        <w:rPr>
          <w:u w:val="single"/>
        </w:rPr>
        <w:t>American Response of Connecticut, Inc. v. National Labor Relations Board</w:t>
      </w:r>
      <w:r>
        <w:t xml:space="preserve">, the U.S. Court of Appeals for the District of Columbia, held (3 to 0) that the NLRB must rehear AMR’s defense that the “Local Disaster” provision in collective bargaining agreement excused company from providing call data and other information to union. </w:t>
      </w:r>
    </w:p>
    <w:p w14:paraId="6722BEDD" w14:textId="77777777" w:rsidR="006D0326" w:rsidRDefault="006D0326" w:rsidP="006D0326">
      <w:pPr>
        <w:pStyle w:val="NormalWeb"/>
      </w:pPr>
      <w:r>
        <w:t>The Court held:</w:t>
      </w:r>
    </w:p>
    <w:p w14:paraId="3B011175" w14:textId="77777777" w:rsidR="006D0326" w:rsidRDefault="006D0326" w:rsidP="006D0326">
      <w:pPr>
        <w:pStyle w:val="NoSpacing"/>
        <w:ind w:left="720"/>
        <w:rPr>
          <w:rFonts w:ascii="Times New Roman" w:hAnsi="Times New Roman"/>
          <w:sz w:val="24"/>
          <w:szCs w:val="24"/>
        </w:rPr>
      </w:pPr>
      <w:r>
        <w:rPr>
          <w:rFonts w:ascii="Times New Roman" w:hAnsi="Times New Roman"/>
          <w:sz w:val="24"/>
          <w:szCs w:val="24"/>
        </w:rPr>
        <w:t>“</w:t>
      </w:r>
      <w:r w:rsidRPr="003B7CA1">
        <w:rPr>
          <w:rFonts w:ascii="Times New Roman" w:hAnsi="Times New Roman"/>
          <w:sz w:val="24"/>
          <w:szCs w:val="24"/>
        </w:rPr>
        <w:t>We do not</w:t>
      </w:r>
      <w:r>
        <w:rPr>
          <w:rFonts w:ascii="Times New Roman" w:hAnsi="Times New Roman"/>
          <w:sz w:val="24"/>
          <w:szCs w:val="24"/>
        </w:rPr>
        <w:t xml:space="preserve"> </w:t>
      </w:r>
      <w:r w:rsidRPr="003B7CA1">
        <w:rPr>
          <w:rFonts w:ascii="Times New Roman" w:hAnsi="Times New Roman"/>
          <w:sz w:val="24"/>
          <w:szCs w:val="24"/>
        </w:rPr>
        <w:t>decide whether § 23.03 excused AMR, either directly or</w:t>
      </w:r>
      <w:r>
        <w:rPr>
          <w:rFonts w:ascii="Times New Roman" w:hAnsi="Times New Roman"/>
          <w:sz w:val="24"/>
          <w:szCs w:val="24"/>
        </w:rPr>
        <w:t xml:space="preserve"> </w:t>
      </w:r>
      <w:r w:rsidRPr="003B7CA1">
        <w:rPr>
          <w:rFonts w:ascii="Times New Roman" w:hAnsi="Times New Roman"/>
          <w:sz w:val="24"/>
          <w:szCs w:val="24"/>
        </w:rPr>
        <w:t>indirectly, from the obligation to respond to these information</w:t>
      </w:r>
      <w:r>
        <w:rPr>
          <w:rFonts w:ascii="Times New Roman" w:hAnsi="Times New Roman"/>
          <w:sz w:val="24"/>
          <w:szCs w:val="24"/>
        </w:rPr>
        <w:t xml:space="preserve"> </w:t>
      </w:r>
      <w:r w:rsidRPr="003B7CA1">
        <w:rPr>
          <w:rFonts w:ascii="Times New Roman" w:hAnsi="Times New Roman"/>
          <w:sz w:val="24"/>
          <w:szCs w:val="24"/>
        </w:rPr>
        <w:t>requests. Because these interpretive issues were not fully</w:t>
      </w:r>
      <w:r>
        <w:rPr>
          <w:rFonts w:ascii="Times New Roman" w:hAnsi="Times New Roman"/>
          <w:sz w:val="24"/>
          <w:szCs w:val="24"/>
        </w:rPr>
        <w:t xml:space="preserve"> </w:t>
      </w:r>
      <w:r w:rsidRPr="003B7CA1">
        <w:rPr>
          <w:rFonts w:ascii="Times New Roman" w:hAnsi="Times New Roman"/>
          <w:sz w:val="24"/>
          <w:szCs w:val="24"/>
        </w:rPr>
        <w:t xml:space="preserve">briefed, we vacate the order and </w:t>
      </w:r>
      <w:proofErr w:type="gramStart"/>
      <w:r w:rsidRPr="003B7CA1">
        <w:rPr>
          <w:rFonts w:ascii="Times New Roman" w:hAnsi="Times New Roman"/>
          <w:sz w:val="24"/>
          <w:szCs w:val="24"/>
        </w:rPr>
        <w:t>remand</w:t>
      </w:r>
      <w:proofErr w:type="gramEnd"/>
      <w:r w:rsidRPr="003B7CA1">
        <w:rPr>
          <w:rFonts w:ascii="Times New Roman" w:hAnsi="Times New Roman"/>
          <w:sz w:val="24"/>
          <w:szCs w:val="24"/>
        </w:rPr>
        <w:t xml:space="preserve"> for the Board to</w:t>
      </w:r>
      <w:r>
        <w:rPr>
          <w:rFonts w:ascii="Times New Roman" w:hAnsi="Times New Roman"/>
          <w:sz w:val="24"/>
          <w:szCs w:val="24"/>
        </w:rPr>
        <w:t xml:space="preserve"> </w:t>
      </w:r>
      <w:r w:rsidRPr="003B7CA1">
        <w:rPr>
          <w:rFonts w:ascii="Times New Roman" w:hAnsi="Times New Roman"/>
          <w:sz w:val="24"/>
          <w:szCs w:val="24"/>
        </w:rPr>
        <w:t>consider these issues in the first instance. The Board should</w:t>
      </w:r>
      <w:r>
        <w:rPr>
          <w:rFonts w:ascii="Times New Roman" w:hAnsi="Times New Roman"/>
          <w:sz w:val="24"/>
          <w:szCs w:val="24"/>
        </w:rPr>
        <w:t xml:space="preserve"> </w:t>
      </w:r>
      <w:r w:rsidRPr="003B7CA1">
        <w:rPr>
          <w:rFonts w:ascii="Times New Roman" w:hAnsi="Times New Roman"/>
          <w:sz w:val="24"/>
          <w:szCs w:val="24"/>
        </w:rPr>
        <w:t>also consider whether AMR forfeited or failed to exhaust this</w:t>
      </w:r>
      <w:r>
        <w:rPr>
          <w:rFonts w:ascii="Times New Roman" w:hAnsi="Times New Roman"/>
          <w:sz w:val="24"/>
          <w:szCs w:val="24"/>
        </w:rPr>
        <w:t xml:space="preserve"> </w:t>
      </w:r>
      <w:r w:rsidRPr="003B7CA1">
        <w:rPr>
          <w:rFonts w:ascii="Times New Roman" w:hAnsi="Times New Roman"/>
          <w:sz w:val="24"/>
          <w:szCs w:val="24"/>
        </w:rPr>
        <w:t>defense with respect to any of the information requests. As</w:t>
      </w:r>
      <w:r>
        <w:rPr>
          <w:rFonts w:ascii="Times New Roman" w:hAnsi="Times New Roman"/>
          <w:sz w:val="24"/>
          <w:szCs w:val="24"/>
        </w:rPr>
        <w:t xml:space="preserve"> </w:t>
      </w:r>
      <w:r w:rsidRPr="003B7CA1">
        <w:rPr>
          <w:rFonts w:ascii="Times New Roman" w:hAnsi="Times New Roman"/>
          <w:sz w:val="24"/>
          <w:szCs w:val="24"/>
        </w:rPr>
        <w:t xml:space="preserve">resolution of this threshold contractual issue may </w:t>
      </w:r>
      <w:proofErr w:type="gramStart"/>
      <w:r w:rsidRPr="003B7CA1">
        <w:rPr>
          <w:rFonts w:ascii="Times New Roman" w:hAnsi="Times New Roman"/>
          <w:sz w:val="24"/>
          <w:szCs w:val="24"/>
        </w:rPr>
        <w:t>impact</w:t>
      </w:r>
      <w:proofErr w:type="gramEnd"/>
      <w:r w:rsidRPr="003B7CA1">
        <w:rPr>
          <w:rFonts w:ascii="Times New Roman" w:hAnsi="Times New Roman"/>
          <w:sz w:val="24"/>
          <w:szCs w:val="24"/>
        </w:rPr>
        <w:t xml:space="preserve"> the</w:t>
      </w:r>
      <w:r>
        <w:rPr>
          <w:rFonts w:ascii="Times New Roman" w:hAnsi="Times New Roman"/>
          <w:sz w:val="24"/>
          <w:szCs w:val="24"/>
        </w:rPr>
        <w:t xml:space="preserve"> </w:t>
      </w:r>
      <w:r w:rsidRPr="003B7CA1">
        <w:rPr>
          <w:rFonts w:ascii="Times New Roman" w:hAnsi="Times New Roman"/>
          <w:sz w:val="24"/>
          <w:szCs w:val="24"/>
        </w:rPr>
        <w:t>other issues presented, we do not consider them here.</w:t>
      </w:r>
      <w:r>
        <w:rPr>
          <w:rFonts w:ascii="Times New Roman" w:hAnsi="Times New Roman"/>
          <w:sz w:val="24"/>
          <w:szCs w:val="24"/>
        </w:rPr>
        <w:t xml:space="preserve"> </w:t>
      </w:r>
      <w:r w:rsidRPr="003F32C1">
        <w:rPr>
          <w:rFonts w:ascii="Times New Roman" w:hAnsi="Times New Roman"/>
          <w:sz w:val="24"/>
          <w:szCs w:val="24"/>
        </w:rPr>
        <w:t>We address only</w:t>
      </w:r>
      <w:r>
        <w:rPr>
          <w:rFonts w:ascii="Times New Roman" w:hAnsi="Times New Roman"/>
          <w:sz w:val="24"/>
          <w:szCs w:val="24"/>
        </w:rPr>
        <w:t xml:space="preserve"> </w:t>
      </w:r>
      <w:r w:rsidRPr="003F32C1">
        <w:rPr>
          <w:rFonts w:ascii="Times New Roman" w:hAnsi="Times New Roman"/>
          <w:sz w:val="24"/>
          <w:szCs w:val="24"/>
        </w:rPr>
        <w:t>one of those defenses, namely that the Union, through the</w:t>
      </w:r>
      <w:r>
        <w:rPr>
          <w:rFonts w:ascii="Times New Roman" w:hAnsi="Times New Roman"/>
          <w:sz w:val="24"/>
          <w:szCs w:val="24"/>
        </w:rPr>
        <w:t xml:space="preserve"> </w:t>
      </w:r>
      <w:r w:rsidRPr="003F32C1">
        <w:rPr>
          <w:rFonts w:ascii="Times New Roman" w:hAnsi="Times New Roman"/>
          <w:sz w:val="24"/>
          <w:szCs w:val="24"/>
        </w:rPr>
        <w:t xml:space="preserve">collective bargaining </w:t>
      </w:r>
      <w:proofErr w:type="gramStart"/>
      <w:r w:rsidRPr="003F32C1">
        <w:rPr>
          <w:rFonts w:ascii="Times New Roman" w:hAnsi="Times New Roman"/>
          <w:sz w:val="24"/>
          <w:szCs w:val="24"/>
        </w:rPr>
        <w:t xml:space="preserve">agreement, </w:t>
      </w:r>
      <w:r>
        <w:rPr>
          <w:rFonts w:ascii="Times New Roman" w:hAnsi="Times New Roman"/>
          <w:sz w:val="24"/>
          <w:szCs w:val="24"/>
        </w:rPr>
        <w:t>‘</w:t>
      </w:r>
      <w:proofErr w:type="gramEnd"/>
      <w:r w:rsidRPr="003F32C1">
        <w:rPr>
          <w:rFonts w:ascii="Times New Roman" w:hAnsi="Times New Roman"/>
          <w:sz w:val="24"/>
          <w:szCs w:val="24"/>
        </w:rPr>
        <w:t>waived any rights to the</w:t>
      </w:r>
      <w:r>
        <w:rPr>
          <w:rFonts w:ascii="Times New Roman" w:hAnsi="Times New Roman"/>
          <w:sz w:val="24"/>
          <w:szCs w:val="24"/>
        </w:rPr>
        <w:t xml:space="preserve"> </w:t>
      </w:r>
      <w:r w:rsidRPr="003F32C1">
        <w:rPr>
          <w:rFonts w:ascii="Times New Roman" w:hAnsi="Times New Roman"/>
          <w:sz w:val="24"/>
          <w:szCs w:val="24"/>
        </w:rPr>
        <w:t>requested information.</w:t>
      </w:r>
      <w:r>
        <w:rPr>
          <w:rFonts w:ascii="Times New Roman" w:hAnsi="Times New Roman"/>
          <w:sz w:val="24"/>
          <w:szCs w:val="24"/>
        </w:rPr>
        <w:t>’</w:t>
      </w:r>
    </w:p>
    <w:p w14:paraId="330781EF" w14:textId="77777777" w:rsidR="006D0326" w:rsidRDefault="006D0326" w:rsidP="006D0326">
      <w:pPr>
        <w:pStyle w:val="NoSpacing"/>
        <w:ind w:left="720"/>
        <w:rPr>
          <w:rFonts w:ascii="Times New Roman" w:hAnsi="Times New Roman"/>
          <w:sz w:val="24"/>
          <w:szCs w:val="24"/>
        </w:rPr>
      </w:pPr>
    </w:p>
    <w:p w14:paraId="42106BCA" w14:textId="77777777" w:rsidR="006D0326" w:rsidRDefault="006D0326" w:rsidP="006D0326">
      <w:pPr>
        <w:pStyle w:val="NoSpacing"/>
        <w:ind w:left="720"/>
        <w:rPr>
          <w:rFonts w:ascii="Times New Roman" w:hAnsi="Times New Roman"/>
          <w:sz w:val="24"/>
          <w:szCs w:val="24"/>
        </w:rPr>
      </w:pPr>
      <w:r>
        <w:rPr>
          <w:rFonts w:ascii="Times New Roman" w:hAnsi="Times New Roman"/>
          <w:sz w:val="24"/>
          <w:szCs w:val="24"/>
        </w:rPr>
        <w:t>***</w:t>
      </w:r>
    </w:p>
    <w:p w14:paraId="0B04068B" w14:textId="77777777" w:rsidR="006D0326" w:rsidRPr="001242C8" w:rsidRDefault="006D0326" w:rsidP="006D0326">
      <w:pPr>
        <w:pStyle w:val="NoSpacing"/>
        <w:ind w:left="720"/>
        <w:rPr>
          <w:rFonts w:ascii="Times New Roman" w:hAnsi="Times New Roman"/>
          <w:sz w:val="24"/>
          <w:szCs w:val="24"/>
        </w:rPr>
      </w:pPr>
      <w:r w:rsidRPr="001242C8">
        <w:rPr>
          <w:rFonts w:ascii="Times New Roman" w:hAnsi="Times New Roman"/>
          <w:sz w:val="24"/>
          <w:szCs w:val="24"/>
        </w:rPr>
        <w:t>The Board here concluded that it was unnecessary to</w:t>
      </w:r>
      <w:r>
        <w:rPr>
          <w:rFonts w:ascii="Times New Roman" w:hAnsi="Times New Roman"/>
          <w:sz w:val="24"/>
          <w:szCs w:val="24"/>
        </w:rPr>
        <w:t xml:space="preserve"> </w:t>
      </w:r>
      <w:r w:rsidRPr="001242C8">
        <w:rPr>
          <w:rFonts w:ascii="Times New Roman" w:hAnsi="Times New Roman"/>
          <w:sz w:val="24"/>
          <w:szCs w:val="24"/>
        </w:rPr>
        <w:t>consider AMR’s contractual defense before determining that</w:t>
      </w:r>
      <w:r>
        <w:rPr>
          <w:rFonts w:ascii="Times New Roman" w:hAnsi="Times New Roman"/>
          <w:sz w:val="24"/>
          <w:szCs w:val="24"/>
        </w:rPr>
        <w:t xml:space="preserve"> </w:t>
      </w:r>
      <w:r w:rsidRPr="001242C8">
        <w:rPr>
          <w:rFonts w:ascii="Times New Roman" w:hAnsi="Times New Roman"/>
          <w:sz w:val="24"/>
          <w:szCs w:val="24"/>
        </w:rPr>
        <w:t>AMR’s refusal to provide information constituted a statutory</w:t>
      </w:r>
    </w:p>
    <w:p w14:paraId="347BB406" w14:textId="77777777" w:rsidR="006D0326" w:rsidRDefault="006D0326" w:rsidP="006D0326">
      <w:pPr>
        <w:pStyle w:val="NoSpacing"/>
        <w:ind w:left="720"/>
        <w:rPr>
          <w:rFonts w:ascii="Times New Roman" w:hAnsi="Times New Roman"/>
          <w:sz w:val="24"/>
          <w:szCs w:val="24"/>
        </w:rPr>
      </w:pPr>
      <w:r w:rsidRPr="001242C8">
        <w:rPr>
          <w:rFonts w:ascii="Times New Roman" w:hAnsi="Times New Roman"/>
          <w:sz w:val="24"/>
          <w:szCs w:val="24"/>
        </w:rPr>
        <w:t>failure to bargain. In addition to violating the NLRA’s</w:t>
      </w:r>
      <w:r>
        <w:rPr>
          <w:rFonts w:ascii="Times New Roman" w:hAnsi="Times New Roman"/>
          <w:sz w:val="24"/>
          <w:szCs w:val="24"/>
        </w:rPr>
        <w:t xml:space="preserve"> </w:t>
      </w:r>
      <w:r w:rsidRPr="001242C8">
        <w:rPr>
          <w:rFonts w:ascii="Times New Roman" w:hAnsi="Times New Roman"/>
          <w:sz w:val="24"/>
          <w:szCs w:val="24"/>
        </w:rPr>
        <w:t>requirement that the Board enforce contracts, this approach</w:t>
      </w:r>
      <w:r>
        <w:rPr>
          <w:rFonts w:ascii="Times New Roman" w:hAnsi="Times New Roman"/>
          <w:sz w:val="24"/>
          <w:szCs w:val="24"/>
        </w:rPr>
        <w:t xml:space="preserve"> </w:t>
      </w:r>
      <w:r w:rsidRPr="001242C8">
        <w:rPr>
          <w:rFonts w:ascii="Times New Roman" w:hAnsi="Times New Roman"/>
          <w:sz w:val="24"/>
          <w:szCs w:val="24"/>
        </w:rPr>
        <w:t xml:space="preserve">breaks with longstanding Board </w:t>
      </w:r>
      <w:proofErr w:type="gramStart"/>
      <w:r w:rsidRPr="001242C8">
        <w:rPr>
          <w:rFonts w:ascii="Times New Roman" w:hAnsi="Times New Roman"/>
          <w:sz w:val="24"/>
          <w:szCs w:val="24"/>
        </w:rPr>
        <w:t>precedent.</w:t>
      </w:r>
      <w:r>
        <w:rPr>
          <w:rFonts w:ascii="Times New Roman" w:hAnsi="Times New Roman"/>
          <w:sz w:val="24"/>
          <w:szCs w:val="24"/>
        </w:rPr>
        <w:t>”</w:t>
      </w:r>
      <w:proofErr w:type="gramEnd"/>
    </w:p>
    <w:p w14:paraId="08B6267F" w14:textId="77777777" w:rsidR="006D0326" w:rsidRDefault="006D0326" w:rsidP="006D0326">
      <w:pPr>
        <w:pStyle w:val="NoSpacing"/>
        <w:ind w:left="720"/>
        <w:rPr>
          <w:rFonts w:ascii="Times New Roman" w:hAnsi="Times New Roman"/>
          <w:sz w:val="24"/>
          <w:szCs w:val="24"/>
        </w:rPr>
      </w:pPr>
      <w:hyperlink r:id="rId2841" w:history="1">
        <w:r w:rsidRPr="00E007C4">
          <w:rPr>
            <w:rStyle w:val="Hyperlink"/>
            <w:rFonts w:ascii="Times New Roman" w:hAnsi="Times New Roman"/>
            <w:sz w:val="24"/>
            <w:szCs w:val="24"/>
          </w:rPr>
          <w:t>https://www.cadc.uscourts.gov/internet/opinions.nsf/AF29B804749163DE85258AC500547458/$file/22-1261-2040755.pdf</w:t>
        </w:r>
      </w:hyperlink>
      <w:r>
        <w:rPr>
          <w:rFonts w:ascii="Times New Roman" w:hAnsi="Times New Roman"/>
          <w:sz w:val="24"/>
          <w:szCs w:val="24"/>
        </w:rPr>
        <w:t xml:space="preserve"> </w:t>
      </w:r>
    </w:p>
    <w:p w14:paraId="4EEF8138" w14:textId="77777777" w:rsidR="006D0326" w:rsidRDefault="006D0326" w:rsidP="006D0326">
      <w:pPr>
        <w:pStyle w:val="NoSpacing"/>
        <w:ind w:left="720"/>
        <w:rPr>
          <w:rFonts w:ascii="Times New Roman" w:hAnsi="Times New Roman"/>
          <w:sz w:val="24"/>
          <w:szCs w:val="24"/>
        </w:rPr>
      </w:pPr>
    </w:p>
    <w:p w14:paraId="5E70B0CC" w14:textId="3344CE3B" w:rsidR="006D0326" w:rsidRPr="00815DDD" w:rsidRDefault="006D0326" w:rsidP="006D0326">
      <w:pPr>
        <w:pStyle w:val="NoSpacing"/>
        <w:ind w:left="720"/>
        <w:rPr>
          <w:rFonts w:ascii="Times New Roman" w:hAnsi="Times New Roman"/>
          <w:sz w:val="24"/>
          <w:szCs w:val="24"/>
        </w:rPr>
      </w:pPr>
      <w:r w:rsidRPr="00815DDD">
        <w:rPr>
          <w:rFonts w:ascii="Times New Roman" w:hAnsi="Times New Roman"/>
          <w:sz w:val="24"/>
          <w:szCs w:val="24"/>
        </w:rPr>
        <w:t>.</w:t>
      </w:r>
      <w:r>
        <w:rPr>
          <w:rFonts w:ascii="Times New Roman" w:hAnsi="Times New Roman"/>
          <w:sz w:val="24"/>
          <w:szCs w:val="24"/>
        </w:rPr>
        <w:t>”</w:t>
      </w:r>
    </w:p>
    <w:p w14:paraId="243B76A0" w14:textId="77777777" w:rsidR="006D0326" w:rsidRDefault="006D0326" w:rsidP="006D0326">
      <w:pPr>
        <w:pStyle w:val="NoSpacing"/>
        <w:rPr>
          <w:rFonts w:ascii="Times New Roman" w:hAnsi="Times New Roman"/>
          <w:sz w:val="24"/>
          <w:szCs w:val="24"/>
        </w:rPr>
      </w:pPr>
    </w:p>
    <w:p w14:paraId="18429CE9" w14:textId="77777777" w:rsidR="006D0326" w:rsidRPr="004C10F3" w:rsidRDefault="006D0326" w:rsidP="006D0326">
      <w:pPr>
        <w:pStyle w:val="NoSpacing"/>
        <w:rPr>
          <w:rFonts w:ascii="Times New Roman" w:hAnsi="Times New Roman"/>
          <w:b/>
          <w:bCs/>
          <w:sz w:val="24"/>
          <w:szCs w:val="24"/>
        </w:rPr>
      </w:pPr>
      <w:r w:rsidRPr="004C10F3">
        <w:rPr>
          <w:rFonts w:ascii="Times New Roman" w:hAnsi="Times New Roman"/>
          <w:b/>
          <w:bCs/>
          <w:sz w:val="24"/>
          <w:szCs w:val="24"/>
        </w:rPr>
        <w:t xml:space="preserve">Legal Lesson Learned: </w:t>
      </w:r>
      <w:r>
        <w:rPr>
          <w:rFonts w:ascii="Times New Roman" w:hAnsi="Times New Roman"/>
          <w:b/>
          <w:bCs/>
          <w:sz w:val="24"/>
          <w:szCs w:val="24"/>
        </w:rPr>
        <w:t>Employers and unions are bound by the terms of their CBA, and NLRB must recognize those provisions.</w:t>
      </w:r>
    </w:p>
    <w:p w14:paraId="4E8A66BE" w14:textId="77777777" w:rsidR="006D0326" w:rsidRDefault="006D0326" w:rsidP="006D0326">
      <w:pPr>
        <w:pStyle w:val="NoSpacing"/>
        <w:rPr>
          <w:rFonts w:ascii="Times New Roman" w:hAnsi="Times New Roman"/>
          <w:sz w:val="24"/>
          <w:szCs w:val="24"/>
        </w:rPr>
      </w:pPr>
    </w:p>
    <w:p w14:paraId="2E946788" w14:textId="77777777" w:rsidR="006D0326" w:rsidRDefault="006D0326" w:rsidP="006D0326">
      <w:pPr>
        <w:pStyle w:val="NoSpacing"/>
        <w:rPr>
          <w:rFonts w:ascii="Times New Roman" w:hAnsi="Times New Roman"/>
          <w:sz w:val="24"/>
          <w:szCs w:val="24"/>
        </w:rPr>
      </w:pPr>
    </w:p>
    <w:p w14:paraId="5AF85EDE" w14:textId="77777777" w:rsidR="007D66BE" w:rsidRDefault="007D66BE" w:rsidP="00F326E5">
      <w:pPr>
        <w:pStyle w:val="NoSpacing"/>
        <w:rPr>
          <w:rFonts w:ascii="Arial Black" w:hAnsi="Arial Black"/>
          <w:sz w:val="24"/>
          <w:szCs w:val="24"/>
        </w:rPr>
      </w:pPr>
    </w:p>
    <w:p w14:paraId="073BE876" w14:textId="77777777" w:rsidR="007D66BE" w:rsidRDefault="007D66BE" w:rsidP="00F326E5">
      <w:pPr>
        <w:pStyle w:val="NoSpacing"/>
        <w:rPr>
          <w:rFonts w:ascii="Arial Black" w:hAnsi="Arial Black"/>
          <w:sz w:val="24"/>
          <w:szCs w:val="24"/>
        </w:rPr>
      </w:pPr>
    </w:p>
    <w:p w14:paraId="75ECFB90" w14:textId="77777777" w:rsidR="007D66BE" w:rsidRDefault="007D66BE" w:rsidP="00F326E5">
      <w:pPr>
        <w:pStyle w:val="NoSpacing"/>
        <w:rPr>
          <w:rFonts w:ascii="Arial Black" w:hAnsi="Arial Black"/>
          <w:sz w:val="24"/>
          <w:szCs w:val="24"/>
        </w:rPr>
      </w:pPr>
    </w:p>
    <w:p w14:paraId="113846BB" w14:textId="20519C7C" w:rsidR="004E344B" w:rsidRDefault="004E344B" w:rsidP="00F326E5">
      <w:pPr>
        <w:pStyle w:val="NoSpacing"/>
        <w:rPr>
          <w:rFonts w:ascii="Arial Black" w:hAnsi="Arial Black"/>
          <w:sz w:val="24"/>
          <w:szCs w:val="24"/>
        </w:rPr>
      </w:pPr>
      <w:r>
        <w:rPr>
          <w:rFonts w:ascii="Arial Black" w:hAnsi="Arial Black"/>
          <w:sz w:val="24"/>
          <w:szCs w:val="24"/>
        </w:rPr>
        <w:t>17-37</w:t>
      </w:r>
    </w:p>
    <w:p w14:paraId="6E55B954" w14:textId="77777777" w:rsidR="00C0427B" w:rsidRPr="001150A5" w:rsidRDefault="00C0427B" w:rsidP="00C0427B">
      <w:pPr>
        <w:pStyle w:val="NormalWeb"/>
        <w:rPr>
          <w:rFonts w:ascii="Arial Black" w:hAnsi="Arial Black"/>
          <w:sz w:val="28"/>
          <w:szCs w:val="28"/>
        </w:rPr>
      </w:pPr>
      <w:r>
        <w:rPr>
          <w:rFonts w:ascii="Arial Black" w:hAnsi="Arial Black"/>
          <w:sz w:val="28"/>
          <w:szCs w:val="28"/>
        </w:rPr>
        <w:t xml:space="preserve">OH: ARBITRATION - “RULE OF 3” FOR PROMOTION TO LT. - CITY DIDN’T HAVE SELECT HIGHEST SCORING CANDIDATE </w:t>
      </w:r>
    </w:p>
    <w:p w14:paraId="2E4849DF" w14:textId="16D11A97" w:rsidR="00C0427B" w:rsidRPr="00D01745" w:rsidRDefault="00C0427B" w:rsidP="00C0427B">
      <w:pPr>
        <w:pStyle w:val="NoSpacing"/>
        <w:rPr>
          <w:rFonts w:ascii="Times New Roman" w:hAnsi="Times New Roman"/>
          <w:sz w:val="24"/>
          <w:szCs w:val="24"/>
        </w:rPr>
      </w:pPr>
      <w:r w:rsidRPr="00D01745">
        <w:rPr>
          <w:rFonts w:ascii="Times New Roman" w:hAnsi="Times New Roman"/>
          <w:sz w:val="24"/>
          <w:szCs w:val="24"/>
        </w:rPr>
        <w:t xml:space="preserve">On Dec. 19, 2023, in </w:t>
      </w:r>
      <w:r w:rsidRPr="00D01745">
        <w:rPr>
          <w:rFonts w:ascii="Times New Roman" w:hAnsi="Times New Roman"/>
          <w:sz w:val="24"/>
          <w:szCs w:val="24"/>
          <w:u w:val="single"/>
        </w:rPr>
        <w:t>International Association of Fire Fighters, Local 67 [Brandon Lauck] v. City of Columbus</w:t>
      </w:r>
      <w:r w:rsidRPr="00D01745">
        <w:rPr>
          <w:rFonts w:ascii="Times New Roman" w:hAnsi="Times New Roman"/>
          <w:sz w:val="24"/>
          <w:szCs w:val="24"/>
        </w:rPr>
        <w:t xml:space="preserve">, the Court of Appeals of Ohio, Tenth District held (3 to 0) that Judge on Franklin County Court of Common Pleas incorrectly overturned arbitrator; City did not have to promote firefighter Brandon Lauck to Lieutenant even if he was highest scoring candidate.  The Court wrote: </w:t>
      </w:r>
      <w:r>
        <w:rPr>
          <w:rFonts w:ascii="Times New Roman" w:hAnsi="Times New Roman"/>
          <w:sz w:val="24"/>
          <w:szCs w:val="24"/>
        </w:rPr>
        <w:t>“</w:t>
      </w:r>
      <w:r w:rsidRPr="00D01745">
        <w:rPr>
          <w:rFonts w:ascii="Times New Roman" w:hAnsi="Times New Roman"/>
          <w:sz w:val="24"/>
          <w:szCs w:val="24"/>
        </w:rPr>
        <w:t>Before the arbitrator, the Union argued the promotion decision was improper</w:t>
      </w:r>
      <w:r w:rsidR="00BC649D">
        <w:rPr>
          <w:rFonts w:ascii="Times New Roman" w:hAnsi="Times New Roman"/>
          <w:sz w:val="24"/>
          <w:szCs w:val="24"/>
        </w:rPr>
        <w:t xml:space="preserve"> </w:t>
      </w:r>
      <w:r w:rsidRPr="00D01745">
        <w:rPr>
          <w:rFonts w:ascii="Times New Roman" w:hAnsi="Times New Roman"/>
          <w:sz w:val="24"/>
          <w:szCs w:val="24"/>
        </w:rPr>
        <w:t>and violated CBA Section 10.1 because it was inconsistent with the City’s past practice of</w:t>
      </w:r>
    </w:p>
    <w:p w14:paraId="02E78268" w14:textId="7CB94B83" w:rsidR="00C0427B" w:rsidRPr="00EC48F0" w:rsidRDefault="00C0427B" w:rsidP="00C0427B">
      <w:pPr>
        <w:pStyle w:val="NoSpacing"/>
        <w:rPr>
          <w:rFonts w:ascii="Times New Roman" w:hAnsi="Times New Roman"/>
          <w:sz w:val="24"/>
          <w:szCs w:val="24"/>
        </w:rPr>
      </w:pPr>
      <w:r w:rsidRPr="00D01745">
        <w:rPr>
          <w:rFonts w:ascii="Times New Roman" w:hAnsi="Times New Roman"/>
          <w:sz w:val="24"/>
          <w:szCs w:val="24"/>
        </w:rPr>
        <w:t>selecting the eligible candidate with the highest examination score for promotion, because</w:t>
      </w:r>
      <w:r w:rsidR="00BC649D">
        <w:rPr>
          <w:rFonts w:ascii="Times New Roman" w:hAnsi="Times New Roman"/>
          <w:sz w:val="24"/>
          <w:szCs w:val="24"/>
        </w:rPr>
        <w:t xml:space="preserve"> </w:t>
      </w:r>
      <w:r w:rsidRPr="00D01745">
        <w:rPr>
          <w:rFonts w:ascii="Times New Roman" w:hAnsi="Times New Roman"/>
          <w:sz w:val="24"/>
          <w:szCs w:val="24"/>
        </w:rPr>
        <w:t>Firefighter Lauck was not provided any reason for why he was not promoted, and because</w:t>
      </w:r>
      <w:r w:rsidR="00BC649D">
        <w:rPr>
          <w:rFonts w:ascii="Times New Roman" w:hAnsi="Times New Roman"/>
          <w:sz w:val="24"/>
          <w:szCs w:val="24"/>
        </w:rPr>
        <w:t xml:space="preserve"> </w:t>
      </w:r>
      <w:r w:rsidRPr="00D01745">
        <w:rPr>
          <w:rFonts w:ascii="Times New Roman" w:hAnsi="Times New Roman"/>
          <w:sz w:val="24"/>
          <w:szCs w:val="24"/>
        </w:rPr>
        <w:t>his involvement in a traffic accident years ago may have been considered as a factor against</w:t>
      </w:r>
      <w:r w:rsidR="00BC649D">
        <w:rPr>
          <w:rFonts w:ascii="Times New Roman" w:hAnsi="Times New Roman"/>
          <w:sz w:val="24"/>
          <w:szCs w:val="24"/>
        </w:rPr>
        <w:t xml:space="preserve"> </w:t>
      </w:r>
      <w:r w:rsidRPr="00D01745">
        <w:rPr>
          <w:rFonts w:ascii="Times New Roman" w:hAnsi="Times New Roman"/>
          <w:sz w:val="24"/>
          <w:szCs w:val="24"/>
        </w:rPr>
        <w:t>his promotion.</w:t>
      </w:r>
      <w:r>
        <w:rPr>
          <w:rFonts w:ascii="Times New Roman" w:hAnsi="Times New Roman"/>
          <w:sz w:val="24"/>
          <w:szCs w:val="24"/>
        </w:rPr>
        <w:t xml:space="preserve"> *** I</w:t>
      </w:r>
      <w:r w:rsidRPr="00EC48F0">
        <w:rPr>
          <w:rFonts w:ascii="Times New Roman" w:hAnsi="Times New Roman"/>
          <w:sz w:val="24"/>
          <w:szCs w:val="24"/>
        </w:rPr>
        <w:t>n denying the Union’s grievance, the arbitrator expressly considered and</w:t>
      </w:r>
      <w:r w:rsidR="00BC649D">
        <w:rPr>
          <w:rFonts w:ascii="Times New Roman" w:hAnsi="Times New Roman"/>
          <w:sz w:val="24"/>
          <w:szCs w:val="24"/>
        </w:rPr>
        <w:t xml:space="preserve"> </w:t>
      </w:r>
      <w:r w:rsidRPr="00EC48F0">
        <w:rPr>
          <w:rFonts w:ascii="Times New Roman" w:hAnsi="Times New Roman"/>
          <w:sz w:val="24"/>
          <w:szCs w:val="24"/>
        </w:rPr>
        <w:t>rejected the Union’s contention that Firefighter Lauck was not treated in a reasonable, fair,</w:t>
      </w:r>
    </w:p>
    <w:p w14:paraId="569F1BE9" w14:textId="1797B230" w:rsidR="00C0427B" w:rsidRDefault="00C0427B" w:rsidP="00C0427B">
      <w:pPr>
        <w:pStyle w:val="NoSpacing"/>
      </w:pPr>
      <w:r w:rsidRPr="00EC48F0">
        <w:rPr>
          <w:rFonts w:ascii="Times New Roman" w:hAnsi="Times New Roman"/>
          <w:sz w:val="24"/>
          <w:szCs w:val="24"/>
        </w:rPr>
        <w:t xml:space="preserve">and non-discriminatory </w:t>
      </w:r>
      <w:proofErr w:type="gramStart"/>
      <w:r w:rsidRPr="00EC48F0">
        <w:rPr>
          <w:rFonts w:ascii="Times New Roman" w:hAnsi="Times New Roman"/>
          <w:sz w:val="24"/>
          <w:szCs w:val="24"/>
        </w:rPr>
        <w:t>manner</w:t>
      </w:r>
      <w:proofErr w:type="gramEnd"/>
      <w:r w:rsidRPr="00EC48F0">
        <w:rPr>
          <w:rFonts w:ascii="Times New Roman" w:hAnsi="Times New Roman"/>
          <w:sz w:val="24"/>
          <w:szCs w:val="24"/>
        </w:rPr>
        <w:t xml:space="preserve"> as required by CBA Section 10.1. Thus, the Union’s</w:t>
      </w:r>
      <w:r w:rsidR="00BC649D">
        <w:rPr>
          <w:rFonts w:ascii="Times New Roman" w:hAnsi="Times New Roman"/>
          <w:sz w:val="24"/>
          <w:szCs w:val="24"/>
        </w:rPr>
        <w:t xml:space="preserve"> </w:t>
      </w:r>
      <w:r w:rsidRPr="00EC48F0">
        <w:rPr>
          <w:rFonts w:ascii="Times New Roman" w:hAnsi="Times New Roman"/>
          <w:sz w:val="24"/>
          <w:szCs w:val="24"/>
        </w:rPr>
        <w:t>evidence and related arguments did not persuade the arbitrator</w:t>
      </w:r>
      <w:r>
        <w:rPr>
          <w:rFonts w:ascii="Times New Roman" w:hAnsi="Times New Roman"/>
          <w:sz w:val="24"/>
          <w:szCs w:val="24"/>
        </w:rPr>
        <w:t xml:space="preserve">. *** </w:t>
      </w:r>
      <w:r w:rsidRPr="00890952">
        <w:rPr>
          <w:rFonts w:ascii="Times New Roman" w:hAnsi="Times New Roman"/>
          <w:sz w:val="24"/>
          <w:szCs w:val="24"/>
        </w:rPr>
        <w:t xml:space="preserve">Therefore, we conclude the trial court </w:t>
      </w:r>
      <w:proofErr w:type="gramStart"/>
      <w:r w:rsidRPr="00890952">
        <w:rPr>
          <w:rFonts w:ascii="Times New Roman" w:hAnsi="Times New Roman"/>
          <w:sz w:val="24"/>
          <w:szCs w:val="24"/>
        </w:rPr>
        <w:t>erred</w:t>
      </w:r>
      <w:proofErr w:type="gramEnd"/>
      <w:r w:rsidRPr="00890952">
        <w:rPr>
          <w:rFonts w:ascii="Times New Roman" w:hAnsi="Times New Roman"/>
          <w:sz w:val="24"/>
          <w:szCs w:val="24"/>
        </w:rPr>
        <w:t xml:space="preserve"> in finding the arbitrator failed to</w:t>
      </w:r>
      <w:r>
        <w:rPr>
          <w:rFonts w:ascii="Times New Roman" w:hAnsi="Times New Roman"/>
          <w:sz w:val="24"/>
          <w:szCs w:val="24"/>
        </w:rPr>
        <w:t xml:space="preserve"> </w:t>
      </w:r>
      <w:r w:rsidRPr="00890952">
        <w:rPr>
          <w:rFonts w:ascii="Times New Roman" w:hAnsi="Times New Roman"/>
          <w:sz w:val="24"/>
          <w:szCs w:val="24"/>
        </w:rPr>
        <w:t xml:space="preserve">determine whether the </w:t>
      </w:r>
      <w:proofErr w:type="gramStart"/>
      <w:r w:rsidRPr="00890952">
        <w:rPr>
          <w:rFonts w:ascii="Times New Roman" w:hAnsi="Times New Roman"/>
          <w:sz w:val="24"/>
          <w:szCs w:val="24"/>
        </w:rPr>
        <w:t>City</w:t>
      </w:r>
      <w:proofErr w:type="gramEnd"/>
      <w:r w:rsidRPr="00890952">
        <w:rPr>
          <w:rFonts w:ascii="Times New Roman" w:hAnsi="Times New Roman"/>
          <w:sz w:val="24"/>
          <w:szCs w:val="24"/>
        </w:rPr>
        <w:t xml:space="preserve"> violated CBA Section 10.1’s requirements when it did not</w:t>
      </w:r>
      <w:r>
        <w:rPr>
          <w:rFonts w:ascii="Times New Roman" w:hAnsi="Times New Roman"/>
          <w:sz w:val="24"/>
          <w:szCs w:val="24"/>
        </w:rPr>
        <w:t xml:space="preserve"> </w:t>
      </w:r>
      <w:r w:rsidRPr="0081501B">
        <w:rPr>
          <w:rFonts w:ascii="Times New Roman" w:hAnsi="Times New Roman"/>
          <w:sz w:val="24"/>
          <w:szCs w:val="24"/>
        </w:rPr>
        <w:t>promote Firefighter Lauck to Fire Lieutenant, and the trial court erred in vacating the</w:t>
      </w:r>
      <w:r>
        <w:rPr>
          <w:rFonts w:ascii="Times New Roman" w:hAnsi="Times New Roman"/>
          <w:sz w:val="24"/>
          <w:szCs w:val="24"/>
        </w:rPr>
        <w:t xml:space="preserve"> </w:t>
      </w:r>
      <w:r w:rsidRPr="0081501B">
        <w:rPr>
          <w:rFonts w:ascii="Times New Roman" w:hAnsi="Times New Roman"/>
          <w:sz w:val="24"/>
          <w:szCs w:val="24"/>
        </w:rPr>
        <w:t>arbitrator’s award based on this incorrect finding. On these bases, we sustain the City’s first</w:t>
      </w:r>
      <w:r>
        <w:rPr>
          <w:rFonts w:ascii="Times New Roman" w:hAnsi="Times New Roman"/>
          <w:sz w:val="24"/>
          <w:szCs w:val="24"/>
        </w:rPr>
        <w:t xml:space="preserve"> </w:t>
      </w:r>
      <w:r w:rsidRPr="0081501B">
        <w:rPr>
          <w:rFonts w:ascii="Times New Roman" w:hAnsi="Times New Roman"/>
          <w:sz w:val="24"/>
          <w:szCs w:val="24"/>
        </w:rPr>
        <w:t>and second assignments of error.</w:t>
      </w:r>
      <w:r>
        <w:rPr>
          <w:rFonts w:ascii="Times New Roman" w:hAnsi="Times New Roman"/>
          <w:sz w:val="24"/>
          <w:szCs w:val="24"/>
        </w:rPr>
        <w:t xml:space="preserve">” </w:t>
      </w:r>
      <w:hyperlink r:id="rId2842" w:history="1">
        <w:r w:rsidRPr="0044657D">
          <w:rPr>
            <w:rStyle w:val="Hyperlink"/>
          </w:rPr>
          <w:t>https://cases.justia.com/ohio/tenth-district-court-of-appeals/2023-23ap-37.pdf?ts=1703012831</w:t>
        </w:r>
      </w:hyperlink>
      <w:r>
        <w:t xml:space="preserve"> </w:t>
      </w:r>
    </w:p>
    <w:p w14:paraId="35C8AB05" w14:textId="77777777" w:rsidR="00C0427B" w:rsidRDefault="00C0427B" w:rsidP="00F326E5">
      <w:pPr>
        <w:pStyle w:val="NoSpacing"/>
        <w:rPr>
          <w:rFonts w:ascii="Arial Black" w:hAnsi="Arial Black"/>
          <w:sz w:val="24"/>
          <w:szCs w:val="24"/>
        </w:rPr>
      </w:pPr>
    </w:p>
    <w:p w14:paraId="3C0CA1E6" w14:textId="77777777" w:rsidR="00B15008" w:rsidRPr="008E05C8" w:rsidRDefault="00B15008" w:rsidP="00B15008">
      <w:pPr>
        <w:pStyle w:val="NoSpacing"/>
        <w:rPr>
          <w:rFonts w:ascii="Times New Roman" w:hAnsi="Times New Roman"/>
          <w:b/>
          <w:bCs/>
          <w:sz w:val="24"/>
          <w:szCs w:val="24"/>
        </w:rPr>
      </w:pPr>
      <w:r w:rsidRPr="008E05C8">
        <w:rPr>
          <w:rFonts w:ascii="Times New Roman" w:hAnsi="Times New Roman"/>
          <w:b/>
          <w:bCs/>
          <w:sz w:val="24"/>
          <w:szCs w:val="24"/>
        </w:rPr>
        <w:t>Legal Lesson Learned:</w:t>
      </w:r>
      <w:r>
        <w:rPr>
          <w:rFonts w:ascii="Times New Roman" w:hAnsi="Times New Roman"/>
          <w:b/>
          <w:bCs/>
          <w:sz w:val="24"/>
          <w:szCs w:val="24"/>
        </w:rPr>
        <w:t xml:space="preserve"> “Rule of Three” was followed; City did not need to select the candidate with highest score even that was a common past practice.</w:t>
      </w:r>
    </w:p>
    <w:p w14:paraId="4BABBBE3" w14:textId="77777777" w:rsidR="00B15008" w:rsidRPr="00020C6B" w:rsidRDefault="00B15008" w:rsidP="00B15008">
      <w:pPr>
        <w:pStyle w:val="NormalWeb"/>
        <w:ind w:left="720"/>
      </w:pPr>
      <w:r w:rsidRPr="00020C6B">
        <w:t xml:space="preserve">Note: Union referenced a lawsuit against firefighter Brandon Lauck. See this Complaint filed against Brandon G. Lauck after July 16, </w:t>
      </w:r>
      <w:proofErr w:type="gramStart"/>
      <w:r w:rsidRPr="00020C6B">
        <w:t>2018</w:t>
      </w:r>
      <w:proofErr w:type="gramEnd"/>
      <w:r w:rsidRPr="00020C6B">
        <w:t xml:space="preserve"> rear end accident on I-270. </w:t>
      </w:r>
      <w:hyperlink r:id="rId2843" w:history="1">
        <w:r w:rsidRPr="00020C6B">
          <w:rPr>
            <w:rStyle w:val="Hyperlink"/>
          </w:rPr>
          <w:t>https://trellis.law/doc/60559021/complaint-filed</w:t>
        </w:r>
      </w:hyperlink>
      <w:r w:rsidRPr="00020C6B">
        <w:t xml:space="preserve"> </w:t>
      </w:r>
    </w:p>
    <w:p w14:paraId="22128889" w14:textId="77777777" w:rsidR="00B15008" w:rsidRDefault="00B15008" w:rsidP="00F326E5">
      <w:pPr>
        <w:pStyle w:val="NoSpacing"/>
        <w:rPr>
          <w:rFonts w:ascii="Arial Black" w:hAnsi="Arial Black"/>
          <w:sz w:val="24"/>
          <w:szCs w:val="24"/>
        </w:rPr>
      </w:pPr>
    </w:p>
    <w:p w14:paraId="4F23B9DA" w14:textId="77777777" w:rsidR="004E344B" w:rsidRDefault="004E344B" w:rsidP="00F326E5">
      <w:pPr>
        <w:pStyle w:val="NoSpacing"/>
        <w:rPr>
          <w:rFonts w:ascii="Arial Black" w:hAnsi="Arial Black"/>
          <w:sz w:val="24"/>
          <w:szCs w:val="24"/>
        </w:rPr>
      </w:pPr>
    </w:p>
    <w:p w14:paraId="45168707" w14:textId="77777777" w:rsidR="004E344B" w:rsidRDefault="004E344B" w:rsidP="00F326E5">
      <w:pPr>
        <w:pStyle w:val="NoSpacing"/>
        <w:rPr>
          <w:rFonts w:ascii="Arial Black" w:hAnsi="Arial Black"/>
          <w:sz w:val="24"/>
          <w:szCs w:val="24"/>
        </w:rPr>
      </w:pPr>
    </w:p>
    <w:p w14:paraId="1AC375F6" w14:textId="77777777" w:rsidR="004E344B" w:rsidRDefault="004E344B" w:rsidP="00F326E5">
      <w:pPr>
        <w:pStyle w:val="NoSpacing"/>
        <w:rPr>
          <w:rFonts w:ascii="Arial Black" w:hAnsi="Arial Black"/>
          <w:sz w:val="24"/>
          <w:szCs w:val="24"/>
        </w:rPr>
      </w:pPr>
    </w:p>
    <w:p w14:paraId="645D2355" w14:textId="0C46FF79" w:rsidR="00075DAE" w:rsidRDefault="00075DAE" w:rsidP="00F326E5">
      <w:pPr>
        <w:pStyle w:val="NoSpacing"/>
        <w:rPr>
          <w:rFonts w:ascii="Arial Black" w:hAnsi="Arial Black"/>
          <w:sz w:val="24"/>
          <w:szCs w:val="24"/>
        </w:rPr>
      </w:pPr>
      <w:r>
        <w:rPr>
          <w:rFonts w:ascii="Arial Black" w:hAnsi="Arial Black"/>
          <w:sz w:val="24"/>
          <w:szCs w:val="24"/>
        </w:rPr>
        <w:t>17-36</w:t>
      </w:r>
    </w:p>
    <w:p w14:paraId="1985E476" w14:textId="77777777" w:rsidR="00075DAE" w:rsidRDefault="00075DAE" w:rsidP="00F326E5">
      <w:pPr>
        <w:pStyle w:val="NoSpacing"/>
        <w:rPr>
          <w:rFonts w:ascii="Arial Black" w:hAnsi="Arial Black"/>
          <w:sz w:val="24"/>
          <w:szCs w:val="24"/>
        </w:rPr>
      </w:pPr>
    </w:p>
    <w:p w14:paraId="325CE8B7" w14:textId="77777777" w:rsidR="00B94F72" w:rsidRDefault="00B94F72" w:rsidP="00B94F72">
      <w:pPr>
        <w:pStyle w:val="NoSpacing"/>
        <w:rPr>
          <w:rFonts w:ascii="Arial Black" w:hAnsi="Arial Black"/>
          <w:b/>
          <w:sz w:val="28"/>
          <w:szCs w:val="28"/>
        </w:rPr>
      </w:pPr>
      <w:r>
        <w:rPr>
          <w:rFonts w:ascii="Arial Black" w:hAnsi="Arial Black"/>
          <w:b/>
          <w:sz w:val="28"/>
          <w:szCs w:val="28"/>
        </w:rPr>
        <w:t>CT: ARBITRATOR UPHOLDS DISCIPLINE - COVID19, NO MASK, TEMP CHECK, ARGUMENT - 15 DAYS VACATION</w:t>
      </w:r>
    </w:p>
    <w:p w14:paraId="31589451" w14:textId="77777777" w:rsidR="00B94F72" w:rsidRDefault="00B94F72" w:rsidP="00B94F72">
      <w:pPr>
        <w:pStyle w:val="NoSpacing"/>
        <w:rPr>
          <w:rFonts w:ascii="Arial Black" w:hAnsi="Arial Black"/>
          <w:b/>
          <w:sz w:val="28"/>
          <w:szCs w:val="28"/>
        </w:rPr>
      </w:pPr>
    </w:p>
    <w:p w14:paraId="2E3EA71E" w14:textId="77777777" w:rsidR="00B94F72" w:rsidRPr="009338B7" w:rsidRDefault="00B94F72" w:rsidP="00B94F72">
      <w:pPr>
        <w:pStyle w:val="NoSpacing"/>
        <w:rPr>
          <w:rFonts w:ascii="Times New Roman" w:hAnsi="Times New Roman"/>
          <w:bCs/>
          <w:sz w:val="24"/>
          <w:szCs w:val="24"/>
        </w:rPr>
      </w:pPr>
      <w:r w:rsidRPr="00737152">
        <w:rPr>
          <w:rFonts w:ascii="Times New Roman" w:hAnsi="Times New Roman"/>
          <w:bCs/>
          <w:sz w:val="24"/>
          <w:szCs w:val="24"/>
        </w:rPr>
        <w:t xml:space="preserve">On </w:t>
      </w:r>
      <w:r>
        <w:rPr>
          <w:rFonts w:ascii="Times New Roman" w:hAnsi="Times New Roman"/>
          <w:bCs/>
          <w:sz w:val="24"/>
          <w:szCs w:val="24"/>
        </w:rPr>
        <w:t xml:space="preserve">Nov. 6, 2023, in </w:t>
      </w:r>
      <w:r w:rsidRPr="00555FCC">
        <w:rPr>
          <w:rFonts w:ascii="Times New Roman" w:hAnsi="Times New Roman"/>
          <w:bCs/>
          <w:sz w:val="24"/>
          <w:szCs w:val="24"/>
          <w:u w:val="single"/>
        </w:rPr>
        <w:t>Nicola Tamburo v. City of Stamford</w:t>
      </w:r>
      <w:r>
        <w:rPr>
          <w:rFonts w:ascii="Times New Roman" w:hAnsi="Times New Roman"/>
          <w:bCs/>
          <w:sz w:val="24"/>
          <w:szCs w:val="24"/>
        </w:rPr>
        <w:t xml:space="preserve">, Judge Edward T. Krumeich, judge trial referee of Stamford / Norwalk Judicial District, in unpublished opinion, held that arbitrator properly upheld the discipline of FF / EMT Tamburo, finding there was evidence of “just cause” for the discipline. </w:t>
      </w:r>
      <w:hyperlink r:id="rId2844" w:history="1">
        <w:r w:rsidRPr="00A417BB">
          <w:rPr>
            <w:rStyle w:val="Hyperlink"/>
            <w:rFonts w:ascii="Times New Roman" w:hAnsi="Times New Roman"/>
            <w:bCs/>
            <w:sz w:val="24"/>
            <w:szCs w:val="24"/>
          </w:rPr>
          <w:t>https://jud.ct.gov/Superiorcourt/MOD/DocumentPreview.aspx?RandomKey=6CFC6C5D-9DDA-4D98-859D-8C6104A0B311</w:t>
        </w:r>
      </w:hyperlink>
      <w:r w:rsidRPr="009338B7">
        <w:rPr>
          <w:rFonts w:ascii="Times New Roman" w:hAnsi="Times New Roman"/>
          <w:bCs/>
          <w:sz w:val="24"/>
          <w:szCs w:val="24"/>
        </w:rPr>
        <w:t xml:space="preserve"> </w:t>
      </w:r>
    </w:p>
    <w:p w14:paraId="7699A5D8" w14:textId="77777777" w:rsidR="00075DAE" w:rsidRDefault="00075DAE" w:rsidP="00F326E5">
      <w:pPr>
        <w:pStyle w:val="NoSpacing"/>
        <w:rPr>
          <w:rFonts w:ascii="Arial Black" w:hAnsi="Arial Black"/>
          <w:sz w:val="24"/>
          <w:szCs w:val="24"/>
        </w:rPr>
      </w:pPr>
    </w:p>
    <w:p w14:paraId="31BD6933" w14:textId="77777777" w:rsidR="00D92F5B" w:rsidRDefault="00D92F5B" w:rsidP="00D92F5B">
      <w:pPr>
        <w:pStyle w:val="NoSpacing"/>
        <w:rPr>
          <w:rFonts w:ascii="Times New Roman" w:hAnsi="Times New Roman"/>
          <w:b/>
          <w:sz w:val="24"/>
          <w:szCs w:val="24"/>
        </w:rPr>
      </w:pPr>
      <w:r>
        <w:rPr>
          <w:rFonts w:ascii="Times New Roman" w:hAnsi="Times New Roman"/>
          <w:b/>
          <w:sz w:val="24"/>
          <w:szCs w:val="24"/>
        </w:rPr>
        <w:t xml:space="preserve">Legal Lesson Learned: Just cause for the discipline was proven. </w:t>
      </w:r>
    </w:p>
    <w:p w14:paraId="4A799F3F" w14:textId="77777777" w:rsidR="00D92F5B" w:rsidRDefault="00D92F5B" w:rsidP="00D92F5B">
      <w:pPr>
        <w:rPr>
          <w:rFonts w:ascii="Times New Roman" w:hAnsi="Times New Roman"/>
          <w:sz w:val="24"/>
          <w:szCs w:val="24"/>
        </w:rPr>
      </w:pPr>
    </w:p>
    <w:p w14:paraId="61707174" w14:textId="77777777" w:rsidR="00D92F5B" w:rsidRDefault="00D92F5B" w:rsidP="00F326E5">
      <w:pPr>
        <w:pStyle w:val="NoSpacing"/>
        <w:rPr>
          <w:rFonts w:ascii="Arial Black" w:hAnsi="Arial Black"/>
          <w:sz w:val="24"/>
          <w:szCs w:val="24"/>
        </w:rPr>
      </w:pPr>
    </w:p>
    <w:p w14:paraId="6E9247C9" w14:textId="77777777" w:rsidR="00075DAE" w:rsidRDefault="00075DAE" w:rsidP="00F326E5">
      <w:pPr>
        <w:pStyle w:val="NoSpacing"/>
        <w:rPr>
          <w:rFonts w:ascii="Arial Black" w:hAnsi="Arial Black"/>
          <w:sz w:val="24"/>
          <w:szCs w:val="24"/>
        </w:rPr>
      </w:pPr>
    </w:p>
    <w:p w14:paraId="71A873EF" w14:textId="64215A4E" w:rsidR="002F7B74" w:rsidRDefault="000518BE" w:rsidP="00F326E5">
      <w:pPr>
        <w:pStyle w:val="NoSpacing"/>
        <w:rPr>
          <w:rFonts w:ascii="Arial Black" w:hAnsi="Arial Black"/>
          <w:sz w:val="24"/>
          <w:szCs w:val="24"/>
        </w:rPr>
      </w:pPr>
      <w:r>
        <w:rPr>
          <w:rFonts w:ascii="Arial Black" w:hAnsi="Arial Black"/>
          <w:sz w:val="24"/>
          <w:szCs w:val="24"/>
        </w:rPr>
        <w:t>17-35</w:t>
      </w:r>
    </w:p>
    <w:p w14:paraId="6DF2BBAE" w14:textId="77777777" w:rsidR="000518BE" w:rsidRDefault="000518BE" w:rsidP="000518BE">
      <w:pPr>
        <w:pStyle w:val="NormalWeb"/>
        <w:rPr>
          <w:rFonts w:ascii="Arial Black" w:hAnsi="Arial Black"/>
          <w:b/>
          <w:bCs/>
          <w:sz w:val="28"/>
          <w:szCs w:val="28"/>
        </w:rPr>
      </w:pPr>
      <w:r>
        <w:rPr>
          <w:rFonts w:ascii="Arial Black" w:hAnsi="Arial Black"/>
          <w:b/>
          <w:bCs/>
          <w:sz w:val="28"/>
          <w:szCs w:val="28"/>
        </w:rPr>
        <w:t>AR: UNION VP TOLD CITY IAFF PLANS LAWSUIT – VP FIRED FOR ALLEGED “LYING” JOB APPLICATION - CASE PROCEED</w:t>
      </w:r>
    </w:p>
    <w:p w14:paraId="783A4194" w14:textId="1416F83A" w:rsidR="000518BE" w:rsidRDefault="000518BE" w:rsidP="000518BE">
      <w:pPr>
        <w:pStyle w:val="NoSpacing"/>
        <w:rPr>
          <w:rStyle w:val="Hyperlink"/>
          <w:rFonts w:ascii="Times New Roman" w:hAnsi="Times New Roman"/>
          <w:sz w:val="24"/>
          <w:szCs w:val="24"/>
        </w:rPr>
      </w:pPr>
      <w:r w:rsidRPr="000518BE">
        <w:rPr>
          <w:rFonts w:ascii="Times New Roman" w:hAnsi="Times New Roman"/>
          <w:sz w:val="24"/>
          <w:szCs w:val="24"/>
        </w:rPr>
        <w:t xml:space="preserve">On Oct. 13, 2023, in </w:t>
      </w:r>
      <w:r w:rsidRPr="000518BE">
        <w:rPr>
          <w:rFonts w:ascii="Times New Roman" w:hAnsi="Times New Roman"/>
          <w:sz w:val="24"/>
          <w:szCs w:val="24"/>
          <w:u w:val="single"/>
        </w:rPr>
        <w:t>Shannon Glynn v. City of El Mirage</w:t>
      </w:r>
      <w:r w:rsidRPr="000518BE">
        <w:rPr>
          <w:rFonts w:ascii="Times New Roman" w:hAnsi="Times New Roman"/>
          <w:sz w:val="24"/>
          <w:szCs w:val="24"/>
        </w:rPr>
        <w:t xml:space="preserve">, U.S. District Court Judge Michael T. Liburdi, U.S. District Court for District of Arizona, denied the defense motion for summary judgment on some of the firefighter’s claims.  He had worked at Buckeye FD for 26 years, and in his application to El Mirage FD he disclosed that he resigned in lieu of termination after a citizen complaint. In </w:t>
      </w:r>
      <w:proofErr w:type="gramStart"/>
      <w:r w:rsidRPr="000518BE">
        <w:rPr>
          <w:rFonts w:ascii="Times New Roman" w:hAnsi="Times New Roman"/>
          <w:sz w:val="24"/>
          <w:szCs w:val="24"/>
        </w:rPr>
        <w:t>March,</w:t>
      </w:r>
      <w:proofErr w:type="gramEnd"/>
      <w:r w:rsidRPr="000518BE">
        <w:rPr>
          <w:rFonts w:ascii="Times New Roman" w:hAnsi="Times New Roman"/>
          <w:sz w:val="24"/>
          <w:szCs w:val="24"/>
        </w:rPr>
        <w:t xml:space="preserve"> 2021, he interviewed with the City Hiring Board where he explained that his Buckeye Fire Department resignation related to an incident involving a former girlfriend and her ex-husband (the ‘Buckeye Incident’). He was hired – one-year probationary period - and then promoted in Oct. 2021 as a fire engineer – another one-year probation – and he again disclosed the Buckeye Incident. The Court held: “Drawing all reasonable inferences in Mr. Glynn's favor, and as further explained below, the Court finds that Mr. Glynn pleads sufficient factual allegations to support ‘a series of acts’ that could establish a ‘causal connection’ between Defendants' wrongful conduct and the constitutional violations.” </w:t>
      </w:r>
      <w:hyperlink r:id="rId2845" w:history="1">
        <w:r w:rsidRPr="000518BE">
          <w:rPr>
            <w:rStyle w:val="Hyperlink"/>
            <w:rFonts w:ascii="Times New Roman" w:hAnsi="Times New Roman"/>
            <w:sz w:val="24"/>
            <w:szCs w:val="24"/>
          </w:rPr>
          <w:t>https://cases.justia.com/federal/district-courts/arizona/azdce/2:2023cv00612/1330978/17/0.pdf?ts=1697297155</w:t>
        </w:r>
      </w:hyperlink>
    </w:p>
    <w:p w14:paraId="578145D5" w14:textId="77777777" w:rsidR="000518BE" w:rsidRDefault="000518BE" w:rsidP="000518BE">
      <w:pPr>
        <w:pStyle w:val="NormalWeb"/>
        <w:rPr>
          <w:b/>
          <w:bCs/>
        </w:rPr>
      </w:pPr>
      <w:r>
        <w:rPr>
          <w:b/>
          <w:bCs/>
        </w:rPr>
        <w:t xml:space="preserve">Legal Lesson Learned: Facts alleged by VP certainly raises possible constitutional violations.  </w:t>
      </w:r>
    </w:p>
    <w:p w14:paraId="1254BA71" w14:textId="77777777" w:rsidR="000518BE" w:rsidRDefault="000518BE" w:rsidP="000518BE">
      <w:pPr>
        <w:pStyle w:val="NoSpacing"/>
        <w:rPr>
          <w:rFonts w:ascii="Times New Roman" w:hAnsi="Times New Roman"/>
          <w:sz w:val="24"/>
          <w:szCs w:val="24"/>
        </w:rPr>
      </w:pPr>
    </w:p>
    <w:p w14:paraId="6B3F5CDA" w14:textId="0A97961A" w:rsidR="000518BE" w:rsidRDefault="000518BE" w:rsidP="00F326E5">
      <w:pPr>
        <w:pStyle w:val="NoSpacing"/>
        <w:rPr>
          <w:rFonts w:ascii="Arial Black" w:hAnsi="Arial Black"/>
          <w:sz w:val="24"/>
          <w:szCs w:val="24"/>
        </w:rPr>
      </w:pPr>
      <w:r>
        <w:rPr>
          <w:rFonts w:ascii="Arial Black" w:hAnsi="Arial Black"/>
          <w:sz w:val="24"/>
          <w:szCs w:val="24"/>
        </w:rPr>
        <w:t>17-34</w:t>
      </w:r>
    </w:p>
    <w:p w14:paraId="09FD7F42" w14:textId="77777777" w:rsidR="000518BE" w:rsidRDefault="000518BE" w:rsidP="00F326E5">
      <w:pPr>
        <w:pStyle w:val="NoSpacing"/>
        <w:rPr>
          <w:rFonts w:ascii="Arial Black" w:hAnsi="Arial Black"/>
          <w:sz w:val="24"/>
          <w:szCs w:val="24"/>
        </w:rPr>
      </w:pPr>
    </w:p>
    <w:p w14:paraId="4E2EF1D7" w14:textId="77777777" w:rsidR="000518BE" w:rsidRDefault="000518BE" w:rsidP="000518BE">
      <w:pPr>
        <w:pStyle w:val="NormalWeb"/>
        <w:rPr>
          <w:rFonts w:ascii="Arial Black" w:hAnsi="Arial Black"/>
          <w:sz w:val="28"/>
          <w:szCs w:val="28"/>
        </w:rPr>
      </w:pPr>
      <w:r>
        <w:rPr>
          <w:rFonts w:ascii="Arial Black" w:hAnsi="Arial Black"/>
          <w:sz w:val="28"/>
          <w:szCs w:val="28"/>
        </w:rPr>
        <w:t xml:space="preserve">NJ: ARBITRATION AWARD TO TOWNSHIP SET ASIDE – TWP ADMIN. MUST TESTIFY PLAN TO STOP EMS RESPONSE  </w:t>
      </w:r>
    </w:p>
    <w:p w14:paraId="0B74D23B" w14:textId="7A0091FB" w:rsidR="000518BE" w:rsidRPr="000518BE" w:rsidRDefault="000518BE" w:rsidP="000518BE">
      <w:pPr>
        <w:pStyle w:val="NoSpacing"/>
        <w:rPr>
          <w:rFonts w:ascii="Times New Roman" w:hAnsi="Times New Roman"/>
          <w:sz w:val="24"/>
          <w:szCs w:val="24"/>
        </w:rPr>
      </w:pPr>
      <w:r w:rsidRPr="000518BE">
        <w:rPr>
          <w:rFonts w:ascii="Times New Roman" w:hAnsi="Times New Roman"/>
          <w:sz w:val="24"/>
          <w:szCs w:val="24"/>
        </w:rPr>
        <w:t xml:space="preserve">On Oct. 10, 2023, in </w:t>
      </w:r>
      <w:r w:rsidRPr="000518BE">
        <w:rPr>
          <w:rFonts w:ascii="Times New Roman" w:hAnsi="Times New Roman"/>
          <w:sz w:val="24"/>
          <w:szCs w:val="24"/>
          <w:u w:val="single"/>
        </w:rPr>
        <w:t>International Association of Fire Fighters, Local 1197 v. Township of Edison</w:t>
      </w:r>
      <w:r w:rsidRPr="000518BE">
        <w:rPr>
          <w:rFonts w:ascii="Times New Roman" w:hAnsi="Times New Roman"/>
          <w:sz w:val="24"/>
          <w:szCs w:val="24"/>
        </w:rPr>
        <w:t xml:space="preserve">, the Superior Court of New Jersey, Appellate Division, held (2 to 0) that arbitrator’s decision denying Local’s grievance which trial court affirmed, is reversed.  The Court held: “During oral argument [before trial court], petitioner's counsel asserted that ‘in support of a final offer,’ the Township business administrator on March 13, 2018, had stated ‘in front of everybody’ that ‘the Fire Department was no longer needed for EMS response due to the Police Department responding to all 9-1-1 calls.’ He argued the testimony about the Township business administrator's statement was admissible because it was made ‘in support of a final offer, not a mediator settlement.’*** Because the court erred in failing to find the arbitrator had erroneously excluded the testimony about the Township's business administrator's statement, we reverse the denial of the petition to vacate the arbitration award and remand for proceeding consistent with the opinion.” </w:t>
      </w:r>
      <w:hyperlink r:id="rId2846" w:history="1">
        <w:r w:rsidRPr="000518BE">
          <w:rPr>
            <w:rStyle w:val="Hyperlink"/>
            <w:rFonts w:ascii="Times New Roman" w:hAnsi="Times New Roman"/>
            <w:sz w:val="24"/>
            <w:szCs w:val="24"/>
          </w:rPr>
          <w:t>https://cases.justia.com/new-jersey/appellate-division-unpublished/2023-a-1747-21.pdf?ts=1696950933</w:t>
        </w:r>
      </w:hyperlink>
    </w:p>
    <w:p w14:paraId="11FC6C67" w14:textId="77777777" w:rsidR="000518BE" w:rsidRDefault="000518BE" w:rsidP="00F326E5">
      <w:pPr>
        <w:pStyle w:val="NoSpacing"/>
        <w:rPr>
          <w:rFonts w:ascii="Arial Black" w:hAnsi="Arial Black"/>
          <w:sz w:val="24"/>
          <w:szCs w:val="24"/>
        </w:rPr>
      </w:pPr>
    </w:p>
    <w:p w14:paraId="5BBCEE3F" w14:textId="77777777" w:rsidR="000518BE" w:rsidRDefault="000518BE" w:rsidP="000518BE">
      <w:pPr>
        <w:spacing w:after="100" w:line="240" w:lineRule="auto"/>
        <w:rPr>
          <w:rFonts w:ascii="Times New Roman" w:hAnsi="Times New Roman"/>
          <w:b/>
          <w:bCs/>
          <w:sz w:val="24"/>
          <w:szCs w:val="24"/>
        </w:rPr>
      </w:pPr>
      <w:r>
        <w:rPr>
          <w:rFonts w:ascii="Times New Roman" w:hAnsi="Times New Roman"/>
          <w:b/>
          <w:bCs/>
          <w:sz w:val="24"/>
          <w:szCs w:val="24"/>
        </w:rPr>
        <w:lastRenderedPageBreak/>
        <w:t xml:space="preserve">Legal Lesson Learned: The arbitration award is now vacated; grievance to be proceed back to arbitration. </w:t>
      </w:r>
    </w:p>
    <w:p w14:paraId="7A0CDAB9" w14:textId="77777777" w:rsidR="000518BE" w:rsidRDefault="000518BE" w:rsidP="000518BE">
      <w:pPr>
        <w:spacing w:after="100" w:line="240" w:lineRule="auto"/>
        <w:rPr>
          <w:rFonts w:ascii="Times New Roman" w:hAnsi="Times New Roman"/>
          <w:b/>
          <w:bCs/>
          <w:sz w:val="24"/>
          <w:szCs w:val="24"/>
        </w:rPr>
      </w:pPr>
    </w:p>
    <w:p w14:paraId="343E7936" w14:textId="77777777" w:rsidR="000518BE" w:rsidRDefault="000518BE" w:rsidP="00F326E5">
      <w:pPr>
        <w:pStyle w:val="NoSpacing"/>
        <w:rPr>
          <w:rFonts w:ascii="Arial Black" w:hAnsi="Arial Black"/>
          <w:sz w:val="24"/>
          <w:szCs w:val="24"/>
        </w:rPr>
      </w:pPr>
    </w:p>
    <w:p w14:paraId="222FB3E9" w14:textId="00F251F9" w:rsidR="002F7B74" w:rsidRDefault="002F7B74" w:rsidP="00F326E5">
      <w:pPr>
        <w:pStyle w:val="NoSpacing"/>
        <w:rPr>
          <w:rFonts w:ascii="Arial Black" w:hAnsi="Arial Black"/>
          <w:sz w:val="24"/>
          <w:szCs w:val="24"/>
        </w:rPr>
      </w:pPr>
      <w:r>
        <w:rPr>
          <w:rFonts w:ascii="Arial Black" w:hAnsi="Arial Black"/>
          <w:sz w:val="24"/>
          <w:szCs w:val="24"/>
        </w:rPr>
        <w:t>17-33</w:t>
      </w:r>
    </w:p>
    <w:p w14:paraId="73D01EE4" w14:textId="77777777" w:rsidR="002F7B74" w:rsidRPr="00F2484F" w:rsidRDefault="002F7B74" w:rsidP="002F7B74">
      <w:pPr>
        <w:pStyle w:val="NormalWeb"/>
        <w:rPr>
          <w:rFonts w:ascii="Arial Black" w:hAnsi="Arial Black"/>
          <w:b/>
          <w:bCs/>
          <w:sz w:val="28"/>
          <w:szCs w:val="28"/>
        </w:rPr>
      </w:pPr>
      <w:r>
        <w:rPr>
          <w:rFonts w:ascii="Arial Black" w:hAnsi="Arial Black"/>
          <w:b/>
          <w:bCs/>
          <w:sz w:val="28"/>
          <w:szCs w:val="28"/>
        </w:rPr>
        <w:t xml:space="preserve">OH: FIRE CHIEF “RETIRE / REHIRE” IMPROPER – CITY CIVIL SERVICE COMM. TO HOLD COMPETITVE PROMOTION EXAM </w:t>
      </w:r>
    </w:p>
    <w:p w14:paraId="123DF862" w14:textId="77777777" w:rsidR="002F7B74" w:rsidRDefault="002F7B74" w:rsidP="002F7B74">
      <w:pPr>
        <w:pStyle w:val="NormalWeb"/>
      </w:pPr>
      <w:r>
        <w:t xml:space="preserve">On Aug. 29, 2023, </w:t>
      </w:r>
      <w:r w:rsidRPr="00F2484F">
        <w:t xml:space="preserve">in </w:t>
      </w:r>
      <w:r w:rsidRPr="00C14243">
        <w:rPr>
          <w:u w:val="single"/>
        </w:rPr>
        <w:t xml:space="preserve">State ex rel. </w:t>
      </w:r>
      <w:proofErr w:type="spellStart"/>
      <w:r w:rsidRPr="00C14243">
        <w:rPr>
          <w:u w:val="single"/>
        </w:rPr>
        <w:t>Internatl</w:t>
      </w:r>
      <w:proofErr w:type="spellEnd"/>
      <w:r w:rsidRPr="00C14243">
        <w:rPr>
          <w:u w:val="single"/>
        </w:rPr>
        <w:t xml:space="preserve">. Assn. of Fire Fighters, Local 1536, AFL-CIO v. </w:t>
      </w:r>
      <w:proofErr w:type="spellStart"/>
      <w:r w:rsidRPr="00C14243">
        <w:rPr>
          <w:u w:val="single"/>
        </w:rPr>
        <w:t>Sakacs</w:t>
      </w:r>
      <w:proofErr w:type="spellEnd"/>
      <w:r w:rsidRPr="00C14243">
        <w:rPr>
          <w:u w:val="single"/>
        </w:rPr>
        <w:t>,</w:t>
      </w:r>
      <w:r>
        <w:rPr>
          <w:u w:val="single"/>
        </w:rPr>
        <w:t xml:space="preserve"> </w:t>
      </w:r>
      <w:r w:rsidRPr="00F2484F">
        <w:t>the Ohio Supreme Court</w:t>
      </w:r>
      <w:r>
        <w:rPr>
          <w:u w:val="single"/>
        </w:rPr>
        <w:t xml:space="preserve"> </w:t>
      </w:r>
      <w:r w:rsidRPr="00F2484F">
        <w:t xml:space="preserve">held (7 to 0) </w:t>
      </w:r>
      <w:r>
        <w:t xml:space="preserve">that City of Wickliffe violated Ohio Rev. Code Section 124.48, Fire Department Vacancies, when it allowed Fire Chief James Powers to retire on January 6, 2020, and then rehired him the next day so he could collect both a pension and his salary (a practice known as “double dipping”).  Court held that a “vacancy” occurred when the Fire Chief retired. </w:t>
      </w:r>
    </w:p>
    <w:p w14:paraId="6E6E7C46" w14:textId="77777777" w:rsidR="002F7B74" w:rsidRDefault="002F7B74" w:rsidP="002F7B74">
      <w:pPr>
        <w:pStyle w:val="NormalWeb"/>
        <w:ind w:left="720"/>
      </w:pPr>
      <w:r>
        <w:t>The Court held: “</w:t>
      </w:r>
      <w:r w:rsidRPr="00F2484F">
        <w:t>We conclude that under the plain language of R.C. 124.48, a vacancy occurs when the incumbent in a promoted-rank position in a fire department retires and therefore the position must be filled through the process set forth in R.C. 124.48.</w:t>
      </w:r>
      <w:r>
        <w:t>”</w:t>
      </w:r>
      <w:r w:rsidRPr="005244BC">
        <w:t xml:space="preserve"> </w:t>
      </w:r>
      <w:hyperlink r:id="rId2847" w:history="1">
        <w:r w:rsidRPr="00934E1E">
          <w:rPr>
            <w:rStyle w:val="Hyperlink"/>
            <w:rFonts w:eastAsiaTheme="majorEastAsia"/>
          </w:rPr>
          <w:t>https://www.supremecourt.ohio.gov/rod/docs/pdf/0/2023/2023-Ohio-2976.pdf</w:t>
        </w:r>
      </w:hyperlink>
      <w:r>
        <w:t xml:space="preserve"> </w:t>
      </w:r>
    </w:p>
    <w:p w14:paraId="1FA27DDF" w14:textId="77777777" w:rsidR="002F7B74" w:rsidRDefault="002F7B74" w:rsidP="002F7B74">
      <w:pPr>
        <w:pStyle w:val="NormalWeb"/>
        <w:ind w:left="720" w:firstLine="720"/>
      </w:pPr>
      <w:r>
        <w:t xml:space="preserve">Section 124.48 provides:  </w:t>
      </w:r>
      <w:hyperlink r:id="rId2848" w:history="1">
        <w:r w:rsidRPr="00934E1E">
          <w:rPr>
            <w:rStyle w:val="Hyperlink"/>
            <w:rFonts w:eastAsiaTheme="majorEastAsia"/>
          </w:rPr>
          <w:t>https://codes.ohio.gov/ohio-revised-code/section-124.48</w:t>
        </w:r>
      </w:hyperlink>
      <w:r>
        <w:t xml:space="preserve"> </w:t>
      </w:r>
    </w:p>
    <w:p w14:paraId="37C391FA" w14:textId="77777777" w:rsidR="002F7B74" w:rsidRDefault="002F7B74" w:rsidP="002F7B74">
      <w:pPr>
        <w:pStyle w:val="NormalWeb"/>
        <w:ind w:left="1440"/>
      </w:pPr>
      <w:r>
        <w:t xml:space="preserve">“Whenever a vacancy occurs in a promoted rank in a fire department and no eligible list for that rank exists, the appointing authority shall certify the fact to the civil service commission. The civil service commission, within sixty days of the vacancy, shall conduct a competitive promotional examination. After the examination has been held, an eligible list shall be established, and the civil service commission shall certify to the appointing authority the name of the person on the list receiving the highest grade. Upon the certification, the appointing authority shall appoint the person so certified within ten days. </w:t>
      </w:r>
    </w:p>
    <w:p w14:paraId="64C405F9" w14:textId="77777777" w:rsidR="002F7B74" w:rsidRDefault="002F7B74" w:rsidP="002F7B74">
      <w:pPr>
        <w:pStyle w:val="NormalWeb"/>
        <w:ind w:left="1440"/>
      </w:pPr>
      <w:r>
        <w:t>When an eligible list exists and a vacancy occurs in a position for which the list was established, the appointing authority shall certify the fact to the civil service commission. The person standing highest on the list shall be certified to the appointing authority, and that person shall be appointed within ten days.”</w:t>
      </w:r>
    </w:p>
    <w:p w14:paraId="4BEAB88E" w14:textId="77777777" w:rsidR="002F7B74" w:rsidRPr="004168A4" w:rsidRDefault="002F7B74" w:rsidP="002F7B74">
      <w:pPr>
        <w:pStyle w:val="NoSpacing"/>
        <w:rPr>
          <w:rFonts w:ascii="Times New Roman" w:hAnsi="Times New Roman"/>
          <w:b/>
          <w:bCs/>
          <w:sz w:val="24"/>
          <w:szCs w:val="24"/>
        </w:rPr>
      </w:pPr>
      <w:r w:rsidRPr="004168A4">
        <w:rPr>
          <w:rFonts w:ascii="Times New Roman" w:hAnsi="Times New Roman"/>
          <w:b/>
          <w:bCs/>
          <w:sz w:val="24"/>
          <w:szCs w:val="24"/>
        </w:rPr>
        <w:t>Legal Lesson Learned:</w:t>
      </w:r>
      <w:r>
        <w:rPr>
          <w:rFonts w:ascii="Times New Roman" w:hAnsi="Times New Roman"/>
          <w:b/>
          <w:bCs/>
          <w:sz w:val="24"/>
          <w:szCs w:val="24"/>
        </w:rPr>
        <w:t xml:space="preserve">  This decision impacts all Ohio cities and other political subdivisions with fire officials in a classified civil service position. </w:t>
      </w:r>
    </w:p>
    <w:p w14:paraId="06B70139" w14:textId="77777777" w:rsidR="002F7B74" w:rsidRDefault="002F7B74" w:rsidP="002F7B74">
      <w:pPr>
        <w:pStyle w:val="Heading2"/>
      </w:pPr>
      <w:r>
        <w:tab/>
      </w:r>
    </w:p>
    <w:p w14:paraId="35B68ED2" w14:textId="77777777" w:rsidR="002F7B74" w:rsidRPr="002F7B74" w:rsidRDefault="002F7B74" w:rsidP="002F7B74">
      <w:pPr>
        <w:pStyle w:val="Heading2"/>
        <w:ind w:left="720"/>
        <w:rPr>
          <w:rFonts w:ascii="Times New Roman" w:hAnsi="Times New Roman"/>
          <w:b w:val="0"/>
          <w:bCs w:val="0"/>
          <w:i w:val="0"/>
          <w:iCs w:val="0"/>
          <w:sz w:val="24"/>
          <w:szCs w:val="24"/>
        </w:rPr>
      </w:pPr>
      <w:r w:rsidRPr="002F7B74">
        <w:rPr>
          <w:rFonts w:ascii="Times New Roman" w:hAnsi="Times New Roman"/>
          <w:b w:val="0"/>
          <w:bCs w:val="0"/>
          <w:i w:val="0"/>
          <w:iCs w:val="0"/>
          <w:sz w:val="24"/>
          <w:szCs w:val="24"/>
        </w:rPr>
        <w:t xml:space="preserve">Note:  See Aug. 29, </w:t>
      </w:r>
      <w:proofErr w:type="gramStart"/>
      <w:r w:rsidRPr="002F7B74">
        <w:rPr>
          <w:rFonts w:ascii="Times New Roman" w:hAnsi="Times New Roman"/>
          <w:b w:val="0"/>
          <w:bCs w:val="0"/>
          <w:i w:val="0"/>
          <w:iCs w:val="0"/>
          <w:sz w:val="24"/>
          <w:szCs w:val="24"/>
        </w:rPr>
        <w:t>2023</w:t>
      </w:r>
      <w:proofErr w:type="gramEnd"/>
      <w:r w:rsidRPr="002F7B74">
        <w:rPr>
          <w:rFonts w:ascii="Times New Roman" w:hAnsi="Times New Roman"/>
          <w:b w:val="0"/>
          <w:bCs w:val="0"/>
          <w:i w:val="0"/>
          <w:iCs w:val="0"/>
          <w:sz w:val="24"/>
          <w:szCs w:val="24"/>
        </w:rPr>
        <w:t xml:space="preserve"> article, ‘Retire/Rehire’ Plan Violated Civil Service Law.” </w:t>
      </w:r>
      <w:hyperlink r:id="rId2849" w:history="1">
        <w:r w:rsidRPr="002F7B74">
          <w:rPr>
            <w:rStyle w:val="Hyperlink"/>
            <w:rFonts w:ascii="Times New Roman" w:hAnsi="Times New Roman"/>
            <w:b w:val="0"/>
            <w:bCs w:val="0"/>
            <w:i w:val="0"/>
            <w:iCs w:val="0"/>
            <w:sz w:val="24"/>
            <w:szCs w:val="24"/>
          </w:rPr>
          <w:t>https://www.courtnewsohio.gov/cases/2023/SCO/0829/220988.asp</w:t>
        </w:r>
      </w:hyperlink>
      <w:r w:rsidRPr="002F7B74">
        <w:rPr>
          <w:rFonts w:ascii="Times New Roman" w:hAnsi="Times New Roman"/>
          <w:b w:val="0"/>
          <w:bCs w:val="0"/>
          <w:i w:val="0"/>
          <w:iCs w:val="0"/>
          <w:sz w:val="24"/>
          <w:szCs w:val="24"/>
        </w:rPr>
        <w:t xml:space="preserve"> </w:t>
      </w:r>
    </w:p>
    <w:p w14:paraId="3791E116" w14:textId="77777777" w:rsidR="002F7B74" w:rsidRPr="002F7B74" w:rsidRDefault="002F7B74" w:rsidP="002F7B74">
      <w:pPr>
        <w:spacing w:before="100" w:beforeAutospacing="1" w:after="100" w:afterAutospacing="1" w:line="240" w:lineRule="auto"/>
        <w:jc w:val="center"/>
        <w:rPr>
          <w:rFonts w:ascii="Times New Roman" w:eastAsia="Times New Roman" w:hAnsi="Times New Roman"/>
          <w:b/>
          <w:bCs/>
          <w:sz w:val="24"/>
          <w:szCs w:val="24"/>
        </w:rPr>
      </w:pPr>
    </w:p>
    <w:p w14:paraId="08C11F08" w14:textId="77777777" w:rsidR="002F7B74" w:rsidRDefault="002F7B74" w:rsidP="00F326E5">
      <w:pPr>
        <w:pStyle w:val="NoSpacing"/>
        <w:rPr>
          <w:rFonts w:ascii="Arial Black" w:hAnsi="Arial Black"/>
          <w:sz w:val="24"/>
          <w:szCs w:val="24"/>
        </w:rPr>
      </w:pPr>
    </w:p>
    <w:p w14:paraId="5F8C7D72" w14:textId="77777777" w:rsidR="002F7B74" w:rsidRDefault="002F7B74" w:rsidP="00F326E5">
      <w:pPr>
        <w:pStyle w:val="NoSpacing"/>
        <w:rPr>
          <w:rFonts w:ascii="Arial Black" w:hAnsi="Arial Black"/>
          <w:sz w:val="24"/>
          <w:szCs w:val="24"/>
        </w:rPr>
      </w:pPr>
    </w:p>
    <w:p w14:paraId="5D714CF9" w14:textId="5F97D9D4" w:rsidR="00D33F96" w:rsidRDefault="0055155D" w:rsidP="00F326E5">
      <w:pPr>
        <w:pStyle w:val="NoSpacing"/>
        <w:rPr>
          <w:rFonts w:ascii="Arial Black" w:hAnsi="Arial Black"/>
          <w:sz w:val="24"/>
          <w:szCs w:val="24"/>
        </w:rPr>
      </w:pPr>
      <w:r>
        <w:rPr>
          <w:rFonts w:ascii="Arial Black" w:hAnsi="Arial Black"/>
          <w:sz w:val="24"/>
          <w:szCs w:val="24"/>
        </w:rPr>
        <w:t>17-32</w:t>
      </w:r>
    </w:p>
    <w:p w14:paraId="1A2B75FF" w14:textId="77777777" w:rsidR="0055155D" w:rsidRDefault="0055155D" w:rsidP="00F326E5">
      <w:pPr>
        <w:pStyle w:val="NoSpacing"/>
        <w:rPr>
          <w:rFonts w:ascii="Arial Black" w:hAnsi="Arial Black"/>
          <w:sz w:val="24"/>
          <w:szCs w:val="24"/>
        </w:rPr>
      </w:pPr>
    </w:p>
    <w:p w14:paraId="20022481" w14:textId="77777777" w:rsidR="0055155D" w:rsidRDefault="0055155D" w:rsidP="0055155D">
      <w:pPr>
        <w:spacing w:after="100" w:line="240" w:lineRule="auto"/>
      </w:pPr>
      <w:r>
        <w:rPr>
          <w:rFonts w:ascii="Arial Black" w:hAnsi="Arial Black"/>
          <w:sz w:val="28"/>
          <w:szCs w:val="28"/>
        </w:rPr>
        <w:t>RI:  UNDER CBA - TOWN / UNION SELECTED NEUTRAL 3</w:t>
      </w:r>
      <w:r w:rsidRPr="0024198A">
        <w:rPr>
          <w:rFonts w:ascii="Arial Black" w:hAnsi="Arial Black"/>
          <w:sz w:val="28"/>
          <w:szCs w:val="28"/>
          <w:vertAlign w:val="superscript"/>
        </w:rPr>
        <w:t>rd</w:t>
      </w:r>
      <w:r>
        <w:rPr>
          <w:rFonts w:ascii="Arial Black" w:hAnsi="Arial Black"/>
          <w:sz w:val="28"/>
          <w:szCs w:val="28"/>
        </w:rPr>
        <w:t xml:space="preserve"> PARTY PHYSICIAN - CHEST PAINS NOT JOB RELATED</w:t>
      </w:r>
    </w:p>
    <w:p w14:paraId="0D3F23D6" w14:textId="77777777" w:rsidR="0055155D" w:rsidRDefault="0055155D" w:rsidP="0055155D">
      <w:pPr>
        <w:spacing w:after="100" w:line="240" w:lineRule="auto"/>
        <w:rPr>
          <w:rFonts w:ascii="Times New Roman" w:hAnsi="Times New Roman"/>
          <w:sz w:val="24"/>
          <w:szCs w:val="24"/>
        </w:rPr>
      </w:pPr>
      <w:r>
        <w:rPr>
          <w:rFonts w:ascii="Times New Roman" w:hAnsi="Times New Roman"/>
          <w:sz w:val="24"/>
          <w:szCs w:val="24"/>
        </w:rPr>
        <w:t xml:space="preserve">On Aug. 21, 2023, in </w:t>
      </w:r>
      <w:r w:rsidRPr="004B5612">
        <w:rPr>
          <w:rFonts w:ascii="Times New Roman" w:hAnsi="Times New Roman"/>
          <w:sz w:val="24"/>
          <w:szCs w:val="24"/>
          <w:u w:val="single"/>
        </w:rPr>
        <w:t>Fred Melnyk v, Town of Little Compton</w:t>
      </w:r>
      <w:r>
        <w:rPr>
          <w:rFonts w:ascii="Times New Roman" w:hAnsi="Times New Roman"/>
          <w:sz w:val="24"/>
          <w:szCs w:val="24"/>
        </w:rPr>
        <w:t xml:space="preserve">, the U.S. Court of Appeals for First District (Boston) held (3 to 0; unpublished decision) that trial court judge granted Town’s motion for summary judgment.  The FF was put on Administrative Leave for chest pains from April 13, </w:t>
      </w:r>
      <w:proofErr w:type="gramStart"/>
      <w:r>
        <w:rPr>
          <w:rFonts w:ascii="Times New Roman" w:hAnsi="Times New Roman"/>
          <w:sz w:val="24"/>
          <w:szCs w:val="24"/>
        </w:rPr>
        <w:t>2028</w:t>
      </w:r>
      <w:proofErr w:type="gramEnd"/>
      <w:r>
        <w:rPr>
          <w:rFonts w:ascii="Times New Roman" w:hAnsi="Times New Roman"/>
          <w:sz w:val="24"/>
          <w:szCs w:val="24"/>
        </w:rPr>
        <w:t xml:space="preserve"> until termination in </w:t>
      </w:r>
      <w:proofErr w:type="gramStart"/>
      <w:r>
        <w:rPr>
          <w:rFonts w:ascii="Times New Roman" w:hAnsi="Times New Roman"/>
          <w:sz w:val="24"/>
          <w:szCs w:val="24"/>
        </w:rPr>
        <w:t>March,</w:t>
      </w:r>
      <w:proofErr w:type="gramEnd"/>
      <w:r>
        <w:rPr>
          <w:rFonts w:ascii="Times New Roman" w:hAnsi="Times New Roman"/>
          <w:sz w:val="24"/>
          <w:szCs w:val="24"/>
        </w:rPr>
        <w:t xml:space="preserve"> 2019. There was no breach of the Collective Bargaining Agreement since the CBA provides that when FF’s physician, and Town’s physician disagree on cause of a firefighter’s medical issue, the Town and the Union shall select a neutral 3</w:t>
      </w:r>
      <w:r w:rsidRPr="00B40900">
        <w:rPr>
          <w:rFonts w:ascii="Times New Roman" w:hAnsi="Times New Roman"/>
          <w:sz w:val="24"/>
          <w:szCs w:val="24"/>
          <w:vertAlign w:val="superscript"/>
        </w:rPr>
        <w:t>rd</w:t>
      </w:r>
      <w:r>
        <w:rPr>
          <w:rFonts w:ascii="Times New Roman" w:hAnsi="Times New Roman"/>
          <w:sz w:val="24"/>
          <w:szCs w:val="24"/>
        </w:rPr>
        <w:t xml:space="preserve"> physician whose decision is binding.  That 3</w:t>
      </w:r>
      <w:r w:rsidRPr="001E2B05">
        <w:rPr>
          <w:rFonts w:ascii="Times New Roman" w:hAnsi="Times New Roman"/>
          <w:sz w:val="24"/>
          <w:szCs w:val="24"/>
          <w:vertAlign w:val="superscript"/>
        </w:rPr>
        <w:t>rd</w:t>
      </w:r>
      <w:r>
        <w:rPr>
          <w:rFonts w:ascii="Times New Roman" w:hAnsi="Times New Roman"/>
          <w:sz w:val="24"/>
          <w:szCs w:val="24"/>
        </w:rPr>
        <w:t xml:space="preserve"> physician concluded chest pain </w:t>
      </w:r>
      <w:proofErr w:type="gramStart"/>
      <w:r>
        <w:rPr>
          <w:rFonts w:ascii="Times New Roman" w:hAnsi="Times New Roman"/>
          <w:sz w:val="24"/>
          <w:szCs w:val="24"/>
        </w:rPr>
        <w:t>not</w:t>
      </w:r>
      <w:proofErr w:type="gramEnd"/>
      <w:r>
        <w:rPr>
          <w:rFonts w:ascii="Times New Roman" w:hAnsi="Times New Roman"/>
          <w:sz w:val="24"/>
          <w:szCs w:val="24"/>
        </w:rPr>
        <w:t xml:space="preserve"> caused by the job. </w:t>
      </w:r>
    </w:p>
    <w:p w14:paraId="4A4E7A58" w14:textId="77777777" w:rsidR="0055155D" w:rsidRDefault="0055155D" w:rsidP="0055155D">
      <w:pPr>
        <w:spacing w:after="100" w:line="240" w:lineRule="auto"/>
        <w:rPr>
          <w:rFonts w:ascii="Times New Roman" w:hAnsi="Times New Roman"/>
          <w:sz w:val="24"/>
          <w:szCs w:val="24"/>
        </w:rPr>
      </w:pPr>
      <w:r>
        <w:rPr>
          <w:rFonts w:ascii="Times New Roman" w:hAnsi="Times New Roman"/>
          <w:sz w:val="24"/>
          <w:szCs w:val="24"/>
        </w:rPr>
        <w:tab/>
        <w:t>The Court held:</w:t>
      </w:r>
    </w:p>
    <w:p w14:paraId="3FB86540" w14:textId="77777777" w:rsidR="0055155D" w:rsidRDefault="0055155D" w:rsidP="0055155D">
      <w:pPr>
        <w:spacing w:after="100" w:line="240" w:lineRule="auto"/>
        <w:ind w:left="720"/>
        <w:rPr>
          <w:rFonts w:ascii="Times New Roman" w:hAnsi="Times New Roman"/>
          <w:sz w:val="24"/>
          <w:szCs w:val="24"/>
        </w:rPr>
      </w:pPr>
      <w:r>
        <w:rPr>
          <w:rFonts w:ascii="Times New Roman" w:hAnsi="Times New Roman"/>
          <w:sz w:val="24"/>
          <w:szCs w:val="24"/>
        </w:rPr>
        <w:t>“</w:t>
      </w:r>
      <w:r w:rsidRPr="00B40900">
        <w:rPr>
          <w:rFonts w:ascii="Times New Roman" w:hAnsi="Times New Roman"/>
          <w:sz w:val="24"/>
          <w:szCs w:val="24"/>
        </w:rPr>
        <w:t xml:space="preserve">Melnyk appears to take issue with the form of the opinion rendered by the Town's physician, highlighting how the physician's treatment notes from Melnyk's exam say nothing about whether Melnyk's ailment was job-related. The MOA, however, does not dictate the form of the physician's opinion or prohibit the Town's physician from rendering his opinion after, rather than contemporaneously with, Melnyk's office visit. Moreover, both the Town and the Union agreed that the note from the Town's physician was satisfactory and triggered the need for a third opinion. At bottom, Melnyk has not put forth any evidence to show that the note from the Town's physician did not mean what it said -- his </w:t>
      </w:r>
      <w:r>
        <w:rPr>
          <w:rFonts w:ascii="Times New Roman" w:hAnsi="Times New Roman"/>
          <w:sz w:val="24"/>
          <w:szCs w:val="24"/>
        </w:rPr>
        <w:t>‘</w:t>
      </w:r>
      <w:r w:rsidRPr="00B40900">
        <w:rPr>
          <w:rFonts w:ascii="Times New Roman" w:hAnsi="Times New Roman"/>
          <w:sz w:val="24"/>
          <w:szCs w:val="24"/>
        </w:rPr>
        <w:t>opinion is that [Melnyk's injury] [was] not job-related.</w:t>
      </w:r>
      <w:r>
        <w:rPr>
          <w:rFonts w:ascii="Times New Roman" w:hAnsi="Times New Roman"/>
          <w:sz w:val="24"/>
          <w:szCs w:val="24"/>
        </w:rPr>
        <w:t>’</w:t>
      </w:r>
      <w:r w:rsidRPr="00B40900">
        <w:rPr>
          <w:rFonts w:ascii="Times New Roman" w:hAnsi="Times New Roman"/>
          <w:sz w:val="24"/>
          <w:szCs w:val="24"/>
        </w:rPr>
        <w:t xml:space="preserve"> As such, there is no genuine issue of material fact as to whether the defendants breached the MOA by not obtaining an opinion from the Town's physician.</w:t>
      </w:r>
    </w:p>
    <w:p w14:paraId="20111594" w14:textId="77777777" w:rsidR="0055155D" w:rsidRDefault="0055155D" w:rsidP="0055155D">
      <w:pPr>
        <w:spacing w:after="100" w:line="240" w:lineRule="auto"/>
        <w:ind w:left="720"/>
        <w:rPr>
          <w:rFonts w:ascii="Times New Roman" w:hAnsi="Times New Roman"/>
          <w:sz w:val="24"/>
          <w:szCs w:val="24"/>
        </w:rPr>
      </w:pPr>
      <w:r>
        <w:rPr>
          <w:rFonts w:ascii="Times New Roman" w:hAnsi="Times New Roman"/>
          <w:sz w:val="24"/>
          <w:szCs w:val="24"/>
        </w:rPr>
        <w:t>***</w:t>
      </w:r>
    </w:p>
    <w:p w14:paraId="4A7593A0" w14:textId="77777777" w:rsidR="0055155D" w:rsidRPr="00B40900" w:rsidRDefault="0055155D" w:rsidP="0055155D">
      <w:pPr>
        <w:spacing w:after="100" w:line="240" w:lineRule="auto"/>
        <w:ind w:left="720"/>
        <w:rPr>
          <w:rFonts w:ascii="Times New Roman" w:hAnsi="Times New Roman"/>
          <w:sz w:val="24"/>
          <w:szCs w:val="24"/>
        </w:rPr>
      </w:pPr>
      <w:r w:rsidRPr="00B40900">
        <w:rPr>
          <w:rFonts w:ascii="Times New Roman" w:hAnsi="Times New Roman"/>
          <w:sz w:val="24"/>
          <w:szCs w:val="24"/>
        </w:rPr>
        <w:t>A third physician was selected by the Town and the Union, and he opined that Melnyk's condition was not job-related. Consequently, Melnyk was assessed sick time for time missed. In March 2019, having exhausted his remaining leave time and being unable to return to his duties, Melnyk was terminated.</w:t>
      </w:r>
      <w:r>
        <w:rPr>
          <w:rFonts w:ascii="Times New Roman" w:hAnsi="Times New Roman"/>
          <w:sz w:val="24"/>
          <w:szCs w:val="24"/>
        </w:rPr>
        <w:t xml:space="preserve">” </w:t>
      </w:r>
      <w:hyperlink r:id="rId2850" w:history="1">
        <w:r w:rsidRPr="00CD12AF">
          <w:rPr>
            <w:rStyle w:val="Hyperlink"/>
            <w:rFonts w:ascii="Times New Roman" w:hAnsi="Times New Roman"/>
            <w:sz w:val="24"/>
            <w:szCs w:val="24"/>
          </w:rPr>
          <w:t>http://media.ca1.uscourts.gov/pdf.opinions/22-1320U-01A.pdf</w:t>
        </w:r>
      </w:hyperlink>
      <w:r>
        <w:rPr>
          <w:rFonts w:ascii="Times New Roman" w:hAnsi="Times New Roman"/>
          <w:sz w:val="24"/>
          <w:szCs w:val="24"/>
        </w:rPr>
        <w:t xml:space="preserve"> </w:t>
      </w:r>
    </w:p>
    <w:p w14:paraId="1BAD3832" w14:textId="77777777" w:rsidR="0055155D" w:rsidRDefault="0055155D" w:rsidP="0055155D">
      <w:pPr>
        <w:spacing w:after="100" w:line="240" w:lineRule="auto"/>
        <w:rPr>
          <w:rFonts w:ascii="Times New Roman" w:hAnsi="Times New Roman"/>
          <w:sz w:val="24"/>
          <w:szCs w:val="24"/>
        </w:rPr>
      </w:pPr>
    </w:p>
    <w:p w14:paraId="2E9C301D" w14:textId="77777777" w:rsidR="0055155D" w:rsidRDefault="0055155D" w:rsidP="0055155D">
      <w:pPr>
        <w:pStyle w:val="NormalWeb"/>
      </w:pPr>
      <w:r w:rsidRPr="001E2B05">
        <w:rPr>
          <w:b/>
          <w:bCs/>
        </w:rPr>
        <w:t xml:space="preserve">Legal Lesson Learned: </w:t>
      </w:r>
      <w:r>
        <w:rPr>
          <w:b/>
          <w:bCs/>
        </w:rPr>
        <w:t>Selection by Town and Union of a neutral third physician was consistent with CBA.</w:t>
      </w:r>
    </w:p>
    <w:p w14:paraId="7BD11AE8" w14:textId="77777777" w:rsidR="0055155D" w:rsidRDefault="0055155D" w:rsidP="00F326E5">
      <w:pPr>
        <w:pStyle w:val="NoSpacing"/>
        <w:rPr>
          <w:rFonts w:ascii="Arial Black" w:hAnsi="Arial Black"/>
          <w:sz w:val="24"/>
          <w:szCs w:val="24"/>
        </w:rPr>
      </w:pPr>
    </w:p>
    <w:p w14:paraId="255C0642" w14:textId="77777777" w:rsidR="00D33F96" w:rsidRDefault="00D33F96" w:rsidP="00F326E5">
      <w:pPr>
        <w:pStyle w:val="NoSpacing"/>
        <w:rPr>
          <w:rFonts w:ascii="Arial Black" w:hAnsi="Arial Black"/>
          <w:sz w:val="24"/>
          <w:szCs w:val="24"/>
        </w:rPr>
      </w:pPr>
    </w:p>
    <w:p w14:paraId="0F0F466D" w14:textId="3B23C4DE" w:rsidR="00D33F96" w:rsidRDefault="00D33F96" w:rsidP="00F326E5">
      <w:pPr>
        <w:pStyle w:val="NoSpacing"/>
        <w:rPr>
          <w:rFonts w:ascii="Arial Black" w:hAnsi="Arial Black"/>
          <w:sz w:val="24"/>
          <w:szCs w:val="24"/>
        </w:rPr>
      </w:pPr>
      <w:r>
        <w:rPr>
          <w:rFonts w:ascii="Arial Black" w:hAnsi="Arial Black"/>
          <w:sz w:val="24"/>
          <w:szCs w:val="24"/>
        </w:rPr>
        <w:t>17-31</w:t>
      </w:r>
    </w:p>
    <w:p w14:paraId="5588F274" w14:textId="77777777" w:rsidR="00D33F96" w:rsidRDefault="00D33F96" w:rsidP="00D33F96">
      <w:pPr>
        <w:spacing w:before="100" w:beforeAutospacing="1" w:after="100" w:afterAutospacing="1" w:line="240" w:lineRule="auto"/>
        <w:rPr>
          <w:rFonts w:ascii="Arial Black" w:hAnsi="Arial Black"/>
          <w:sz w:val="28"/>
          <w:szCs w:val="28"/>
        </w:rPr>
      </w:pPr>
      <w:r>
        <w:rPr>
          <w:rFonts w:ascii="Arial Black" w:hAnsi="Arial Black"/>
          <w:sz w:val="28"/>
          <w:szCs w:val="28"/>
        </w:rPr>
        <w:t>OH: YOUNGSTOWN CAPT. – DENIED PROMOTION – UNDER CBA ARBITRATION ONLY REMEDY – EVEN DELAYED UNION</w:t>
      </w:r>
    </w:p>
    <w:p w14:paraId="01CA3F3C" w14:textId="77777777" w:rsidR="00D33F96" w:rsidRDefault="00D33F96" w:rsidP="00D33F96">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On July 6, 2023, in </w:t>
      </w:r>
      <w:r w:rsidRPr="001F7141">
        <w:rPr>
          <w:rFonts w:ascii="Times New Roman" w:hAnsi="Times New Roman"/>
          <w:sz w:val="24"/>
          <w:szCs w:val="24"/>
          <w:u w:val="single"/>
        </w:rPr>
        <w:t>The State ex rel. Casey et al. v. Brown, Mayor, et al</w:t>
      </w:r>
      <w:r>
        <w:rPr>
          <w:rFonts w:ascii="Times New Roman" w:hAnsi="Times New Roman"/>
          <w:sz w:val="24"/>
          <w:szCs w:val="24"/>
        </w:rPr>
        <w:t xml:space="preserve">., the Supreme Court of Ohio held (7 to 0), in a per curium decision [not authored by a single judge; appeal was also decided without need for oral argument], that the Ohio Court of Appeals for the Seventh District correctly held that the Captain has an adequate remedy through arbitration under the collection bargaining agreement, even if the arbitration has been delayed because Local 312 President is waiting for an arbitration decision by another Captain. He and others took a promotion exam in Oct. 2021 when a battalion chief retired; if he ultimately wins in arbitration, then he gets back pay with interest. </w:t>
      </w:r>
    </w:p>
    <w:p w14:paraId="6611D799" w14:textId="46E89446" w:rsidR="00D33F96" w:rsidRDefault="00D33F96" w:rsidP="00D33F96">
      <w:pPr>
        <w:pStyle w:val="NoSpacing"/>
        <w:rPr>
          <w:rStyle w:val="Hyperlink"/>
          <w:sz w:val="24"/>
          <w:szCs w:val="24"/>
        </w:rPr>
      </w:pPr>
      <w:r>
        <w:rPr>
          <w:rFonts w:ascii="Times New Roman" w:hAnsi="Times New Roman"/>
          <w:sz w:val="24"/>
          <w:szCs w:val="24"/>
        </w:rPr>
        <w:lastRenderedPageBreak/>
        <w:t xml:space="preserve">The Court held: </w:t>
      </w:r>
      <w:r w:rsidRPr="006B2F09">
        <w:rPr>
          <w:rFonts w:ascii="Times New Roman" w:hAnsi="Times New Roman"/>
          <w:sz w:val="24"/>
          <w:szCs w:val="24"/>
        </w:rPr>
        <w:t xml:space="preserve">“In summary, Casey had an adequate remedy in the ordinary course of the law to advance his grievance by way of the CBA because his claim was </w:t>
      </w:r>
      <w:proofErr w:type="spellStart"/>
      <w:r w:rsidRPr="006B2F09">
        <w:rPr>
          <w:rFonts w:ascii="Times New Roman" w:hAnsi="Times New Roman"/>
          <w:sz w:val="24"/>
          <w:szCs w:val="24"/>
        </w:rPr>
        <w:t>grievable</w:t>
      </w:r>
      <w:proofErr w:type="spellEnd"/>
      <w:r w:rsidRPr="006B2F09">
        <w:rPr>
          <w:rFonts w:ascii="Times New Roman" w:hAnsi="Times New Roman"/>
          <w:sz w:val="24"/>
          <w:szCs w:val="24"/>
        </w:rPr>
        <w:t xml:space="preserve">. *** </w:t>
      </w:r>
      <w:r w:rsidRPr="00D1130B">
        <w:rPr>
          <w:rFonts w:ascii="Times New Roman" w:hAnsi="Times New Roman"/>
          <w:sz w:val="24"/>
          <w:szCs w:val="24"/>
        </w:rPr>
        <w:t>Casey's argument is internally inconsistent. On the one hand, he concedes that so long as he was able to seek relief through the CBA's grievance procedure, his remedy under the CBA was adequate. But, the argument runs, once he received an unfavorable decision by way of the union president's decision to decline to advance his grievance to arbitration, the remedy became inadequate, clearing the way for this action. It follows that if his remedy was at one time adequate-as he concedes that it was-then that is enough.</w:t>
      </w:r>
      <w:r>
        <w:rPr>
          <w:rFonts w:ascii="Times New Roman" w:hAnsi="Times New Roman"/>
          <w:sz w:val="24"/>
          <w:szCs w:val="24"/>
        </w:rPr>
        <w:t>”</w:t>
      </w:r>
      <w:r w:rsidRPr="00D1130B">
        <w:rPr>
          <w:rFonts w:ascii="Times New Roman" w:hAnsi="Times New Roman"/>
          <w:sz w:val="24"/>
          <w:szCs w:val="24"/>
        </w:rPr>
        <w:t xml:space="preserve">  </w:t>
      </w:r>
      <w:hyperlink r:id="rId2851" w:history="1">
        <w:r w:rsidRPr="00812663">
          <w:rPr>
            <w:rStyle w:val="Hyperlink"/>
            <w:sz w:val="24"/>
            <w:szCs w:val="24"/>
          </w:rPr>
          <w:t>https://www.supremecourt.ohio.gov/rod/docs/pdf/0/2023/2023-Ohio-2264.pdf</w:t>
        </w:r>
      </w:hyperlink>
    </w:p>
    <w:p w14:paraId="589B922B" w14:textId="77777777" w:rsidR="005F448F" w:rsidRDefault="005F448F" w:rsidP="00D33F96">
      <w:pPr>
        <w:pStyle w:val="NoSpacing"/>
        <w:rPr>
          <w:rStyle w:val="Hyperlink"/>
          <w:sz w:val="24"/>
          <w:szCs w:val="24"/>
        </w:rPr>
      </w:pPr>
    </w:p>
    <w:p w14:paraId="2812EE79" w14:textId="77777777" w:rsidR="005F448F" w:rsidRDefault="005F448F" w:rsidP="00D33F96">
      <w:pPr>
        <w:pStyle w:val="NoSpacing"/>
        <w:rPr>
          <w:rStyle w:val="Hyperlink"/>
          <w:sz w:val="24"/>
          <w:szCs w:val="24"/>
        </w:rPr>
      </w:pPr>
    </w:p>
    <w:p w14:paraId="273E2FCD" w14:textId="77777777" w:rsidR="005F448F" w:rsidRPr="00742D8E" w:rsidRDefault="005F448F" w:rsidP="005F448F">
      <w:pPr>
        <w:spacing w:before="100" w:beforeAutospacing="1" w:after="100" w:afterAutospacing="1" w:line="240" w:lineRule="auto"/>
        <w:rPr>
          <w:rFonts w:ascii="Times New Roman" w:hAnsi="Times New Roman"/>
          <w:b/>
          <w:bCs/>
          <w:sz w:val="24"/>
          <w:szCs w:val="24"/>
        </w:rPr>
      </w:pPr>
      <w:r w:rsidRPr="00742D8E">
        <w:rPr>
          <w:rFonts w:ascii="Times New Roman" w:hAnsi="Times New Roman"/>
          <w:b/>
          <w:bCs/>
          <w:sz w:val="24"/>
          <w:szCs w:val="24"/>
        </w:rPr>
        <w:t xml:space="preserve">Legal Lesson Learned: </w:t>
      </w:r>
      <w:r>
        <w:rPr>
          <w:rFonts w:ascii="Times New Roman" w:hAnsi="Times New Roman"/>
          <w:b/>
          <w:bCs/>
          <w:sz w:val="24"/>
          <w:szCs w:val="24"/>
        </w:rPr>
        <w:t xml:space="preserve">The </w:t>
      </w:r>
      <w:proofErr w:type="gramStart"/>
      <w:r>
        <w:rPr>
          <w:rFonts w:ascii="Times New Roman" w:hAnsi="Times New Roman"/>
          <w:b/>
          <w:bCs/>
          <w:sz w:val="24"/>
          <w:szCs w:val="24"/>
        </w:rPr>
        <w:t>Captain’s</w:t>
      </w:r>
      <w:proofErr w:type="gramEnd"/>
      <w:r>
        <w:rPr>
          <w:rFonts w:ascii="Times New Roman" w:hAnsi="Times New Roman"/>
          <w:b/>
          <w:bCs/>
          <w:sz w:val="24"/>
          <w:szCs w:val="24"/>
        </w:rPr>
        <w:t xml:space="preserve"> sole remedy is to seek arbitration under CBA. </w:t>
      </w:r>
    </w:p>
    <w:p w14:paraId="17BC8984" w14:textId="77777777" w:rsidR="005F448F" w:rsidRPr="00D67B2F" w:rsidRDefault="005F448F" w:rsidP="005F448F">
      <w:pPr>
        <w:spacing w:before="100" w:beforeAutospacing="1" w:after="100" w:afterAutospacing="1" w:line="240" w:lineRule="auto"/>
        <w:ind w:left="720" w:firstLine="50"/>
        <w:rPr>
          <w:rFonts w:ascii="Times New Roman" w:hAnsi="Times New Roman"/>
          <w:sz w:val="24"/>
          <w:szCs w:val="24"/>
        </w:rPr>
      </w:pPr>
      <w:r>
        <w:rPr>
          <w:rFonts w:ascii="Times New Roman" w:hAnsi="Times New Roman"/>
          <w:sz w:val="24"/>
          <w:szCs w:val="24"/>
        </w:rPr>
        <w:t xml:space="preserve">Note: See decision in </w:t>
      </w:r>
      <w:r w:rsidRPr="00D67B2F">
        <w:rPr>
          <w:rFonts w:ascii="Times New Roman" w:hAnsi="Times New Roman"/>
          <w:i/>
          <w:iCs/>
          <w:sz w:val="24"/>
          <w:szCs w:val="24"/>
        </w:rPr>
        <w:t>Youngstown II</w:t>
      </w:r>
      <w:r>
        <w:rPr>
          <w:rFonts w:ascii="Times New Roman" w:hAnsi="Times New Roman"/>
          <w:sz w:val="24"/>
          <w:szCs w:val="24"/>
        </w:rPr>
        <w:t xml:space="preserve">; Dec. 13, 2021; </w:t>
      </w:r>
      <w:hyperlink r:id="rId2852" w:history="1">
        <w:r w:rsidRPr="00E97EE7">
          <w:rPr>
            <w:rStyle w:val="Hyperlink"/>
            <w:sz w:val="24"/>
            <w:szCs w:val="24"/>
          </w:rPr>
          <w:t>https://casetext.com/case/state-v-state-empt-relations-bd-2</w:t>
        </w:r>
      </w:hyperlink>
      <w:r>
        <w:rPr>
          <w:rFonts w:ascii="Times New Roman" w:hAnsi="Times New Roman"/>
          <w:sz w:val="24"/>
          <w:szCs w:val="24"/>
        </w:rPr>
        <w:t xml:space="preserve"> </w:t>
      </w:r>
    </w:p>
    <w:p w14:paraId="36F44FB7" w14:textId="77777777" w:rsidR="005F448F" w:rsidRDefault="005F448F" w:rsidP="005F448F">
      <w:pPr>
        <w:spacing w:before="100" w:beforeAutospacing="1" w:after="100" w:afterAutospacing="1" w:line="240" w:lineRule="auto"/>
        <w:ind w:left="1440" w:firstLine="60"/>
      </w:pPr>
      <w:r>
        <w:rPr>
          <w:rFonts w:ascii="Times New Roman" w:hAnsi="Times New Roman"/>
          <w:sz w:val="24"/>
          <w:szCs w:val="24"/>
        </w:rPr>
        <w:t>“</w:t>
      </w:r>
      <w:r w:rsidRPr="00D67B2F">
        <w:rPr>
          <w:rFonts w:ascii="Times New Roman" w:hAnsi="Times New Roman"/>
          <w:sz w:val="24"/>
          <w:szCs w:val="24"/>
        </w:rPr>
        <w:t>On November 12, 2019, Union learned that City planned to pass legislation to eliminate the three Battalion Chief positions</w:t>
      </w:r>
      <w:r>
        <w:rPr>
          <w:rFonts w:ascii="Times New Roman" w:hAnsi="Times New Roman"/>
          <w:sz w:val="24"/>
          <w:szCs w:val="24"/>
        </w:rPr>
        <w:t xml:space="preserve"> [apparently to pay for $285,000 radio upgrade demanded by Union]. </w:t>
      </w:r>
      <w:r w:rsidRPr="00D67B2F">
        <w:rPr>
          <w:rFonts w:ascii="Times New Roman" w:hAnsi="Times New Roman"/>
          <w:sz w:val="24"/>
          <w:szCs w:val="24"/>
        </w:rPr>
        <w:t>The next day, City Council passed Ordinance No. 19-336 to amend Section 1 of Ordinance 19-47, to abolish three Battalion Chief positions by attrition. That Ordinance was later determined to be an unlawful retaliation against Union.</w:t>
      </w:r>
      <w:r>
        <w:rPr>
          <w:rFonts w:ascii="Times New Roman" w:hAnsi="Times New Roman"/>
          <w:sz w:val="24"/>
          <w:szCs w:val="24"/>
        </w:rPr>
        <w:t xml:space="preserve">” </w:t>
      </w:r>
    </w:p>
    <w:p w14:paraId="55A2F340" w14:textId="77777777" w:rsidR="005F448F" w:rsidRDefault="005F448F" w:rsidP="005F448F"/>
    <w:p w14:paraId="0FB4C2A2" w14:textId="77777777" w:rsidR="005F448F" w:rsidRDefault="005F448F" w:rsidP="00D33F96">
      <w:pPr>
        <w:pStyle w:val="NoSpacing"/>
        <w:rPr>
          <w:rStyle w:val="Hyperlink"/>
          <w:sz w:val="24"/>
          <w:szCs w:val="24"/>
        </w:rPr>
      </w:pPr>
    </w:p>
    <w:p w14:paraId="79B69899" w14:textId="77777777" w:rsidR="005F448F" w:rsidRDefault="005F448F" w:rsidP="00D33F96">
      <w:pPr>
        <w:pStyle w:val="NoSpacing"/>
        <w:rPr>
          <w:rFonts w:ascii="Arial Black" w:hAnsi="Arial Black"/>
          <w:sz w:val="24"/>
          <w:szCs w:val="24"/>
        </w:rPr>
      </w:pPr>
    </w:p>
    <w:p w14:paraId="16255685" w14:textId="77777777" w:rsidR="00D33F96" w:rsidRDefault="00D33F96" w:rsidP="00F326E5">
      <w:pPr>
        <w:pStyle w:val="NoSpacing"/>
        <w:rPr>
          <w:rFonts w:ascii="Arial Black" w:hAnsi="Arial Black"/>
          <w:sz w:val="24"/>
          <w:szCs w:val="24"/>
        </w:rPr>
      </w:pPr>
    </w:p>
    <w:p w14:paraId="7DABB8AD" w14:textId="580D6D42" w:rsidR="00D66BAA" w:rsidRDefault="006A02A4" w:rsidP="00F326E5">
      <w:pPr>
        <w:pStyle w:val="NoSpacing"/>
        <w:rPr>
          <w:rFonts w:ascii="Arial Black" w:hAnsi="Arial Black"/>
          <w:sz w:val="24"/>
          <w:szCs w:val="24"/>
        </w:rPr>
      </w:pPr>
      <w:r>
        <w:rPr>
          <w:rFonts w:ascii="Arial Black" w:hAnsi="Arial Black"/>
          <w:sz w:val="24"/>
          <w:szCs w:val="24"/>
        </w:rPr>
        <w:t>17-30</w:t>
      </w:r>
    </w:p>
    <w:p w14:paraId="58F27F57" w14:textId="77777777" w:rsidR="006A02A4" w:rsidRDefault="006A02A4" w:rsidP="006A02A4">
      <w:pPr>
        <w:pStyle w:val="NoSpacing"/>
        <w:rPr>
          <w:rFonts w:ascii="Arial Black" w:hAnsi="Arial Black"/>
          <w:sz w:val="28"/>
          <w:szCs w:val="28"/>
        </w:rPr>
      </w:pPr>
    </w:p>
    <w:p w14:paraId="42AF42DD" w14:textId="784061BD" w:rsidR="006A02A4" w:rsidRPr="003036A7" w:rsidRDefault="006A02A4" w:rsidP="006A02A4">
      <w:pPr>
        <w:pStyle w:val="NoSpacing"/>
        <w:rPr>
          <w:rFonts w:ascii="Arial Black" w:hAnsi="Arial Black"/>
          <w:sz w:val="28"/>
          <w:szCs w:val="28"/>
        </w:rPr>
      </w:pPr>
      <w:r w:rsidRPr="003036A7">
        <w:rPr>
          <w:rFonts w:ascii="Arial Black" w:hAnsi="Arial Black"/>
          <w:sz w:val="28"/>
          <w:szCs w:val="28"/>
        </w:rPr>
        <w:t>VA (4/20/2023): FIRE CAPT / IAFF OFFICIAL - BACKED MAYOR</w:t>
      </w:r>
      <w:r>
        <w:rPr>
          <w:rFonts w:ascii="Arial Black" w:hAnsi="Arial Black"/>
          <w:sz w:val="28"/>
          <w:szCs w:val="28"/>
        </w:rPr>
        <w:t>’S</w:t>
      </w:r>
      <w:r w:rsidRPr="003036A7">
        <w:rPr>
          <w:rFonts w:ascii="Arial Black" w:hAnsi="Arial Black"/>
          <w:sz w:val="28"/>
          <w:szCs w:val="28"/>
        </w:rPr>
        <w:t xml:space="preserve"> OPPONENT – FACEBOOK - FIRED - CASE PROCEED</w:t>
      </w:r>
    </w:p>
    <w:p w14:paraId="58A4FB6A" w14:textId="77777777" w:rsidR="006A02A4" w:rsidRDefault="006A02A4" w:rsidP="006A02A4">
      <w:pPr>
        <w:pStyle w:val="NoSpacing"/>
      </w:pPr>
    </w:p>
    <w:p w14:paraId="648AFA40" w14:textId="4C4DF743" w:rsidR="006A02A4" w:rsidRDefault="006A02A4" w:rsidP="006A02A4">
      <w:pPr>
        <w:pStyle w:val="NoSpacing"/>
        <w:rPr>
          <w:rStyle w:val="Hyperlink"/>
          <w:rFonts w:ascii="Times New Roman" w:hAnsi="Times New Roman"/>
          <w:sz w:val="24"/>
          <w:szCs w:val="24"/>
        </w:rPr>
      </w:pPr>
      <w:r w:rsidRPr="003C1643">
        <w:rPr>
          <w:rFonts w:ascii="Times New Roman" w:hAnsi="Times New Roman"/>
          <w:sz w:val="24"/>
          <w:szCs w:val="24"/>
          <w:u w:val="single"/>
        </w:rPr>
        <w:t xml:space="preserve">Martin J. </w:t>
      </w:r>
      <w:proofErr w:type="spellStart"/>
      <w:r w:rsidRPr="003C1643">
        <w:rPr>
          <w:rFonts w:ascii="Times New Roman" w:hAnsi="Times New Roman"/>
          <w:sz w:val="24"/>
          <w:szCs w:val="24"/>
          <w:u w:val="single"/>
        </w:rPr>
        <w:t>Misjuns</w:t>
      </w:r>
      <w:proofErr w:type="spellEnd"/>
      <w:r w:rsidRPr="003C1643">
        <w:rPr>
          <w:rFonts w:ascii="Times New Roman" w:hAnsi="Times New Roman"/>
          <w:sz w:val="24"/>
          <w:szCs w:val="24"/>
          <w:u w:val="single"/>
        </w:rPr>
        <w:t xml:space="preserve"> v. Lynchburg Fire Department</w:t>
      </w:r>
      <w:r w:rsidRPr="003C1643">
        <w:rPr>
          <w:rFonts w:ascii="Times New Roman" w:hAnsi="Times New Roman"/>
          <w:sz w:val="24"/>
          <w:szCs w:val="24"/>
        </w:rPr>
        <w:t xml:space="preserve">, U.S. District Court Judge Norman K. Moon, U.S. District Court for Western District of Virginia, Lynchburg District. </w:t>
      </w:r>
      <w:hyperlink r:id="rId2853" w:history="1">
        <w:r w:rsidRPr="003C1643">
          <w:rPr>
            <w:rStyle w:val="Hyperlink"/>
            <w:rFonts w:ascii="Times New Roman" w:hAnsi="Times New Roman"/>
            <w:sz w:val="24"/>
            <w:szCs w:val="24"/>
          </w:rPr>
          <w:t>https://law.justia.com/cases/federal/district-courts/virginia/vawdce/6:2021cv00025/122367/36/</w:t>
        </w:r>
      </w:hyperlink>
    </w:p>
    <w:p w14:paraId="6AA6F2A7" w14:textId="77777777" w:rsidR="006A02A4" w:rsidRPr="003C1643" w:rsidRDefault="006A02A4" w:rsidP="006A02A4">
      <w:pPr>
        <w:pStyle w:val="NormalWeb"/>
        <w:rPr>
          <w:b/>
          <w:bCs/>
        </w:rPr>
      </w:pPr>
      <w:r w:rsidRPr="003C1643">
        <w:rPr>
          <w:b/>
          <w:bCs/>
        </w:rPr>
        <w:t xml:space="preserve">Legal Lesson Learned:  Firefighters enjoy First Amendment rights on matters of public concern. </w:t>
      </w:r>
    </w:p>
    <w:p w14:paraId="07C6A4A5" w14:textId="77777777" w:rsidR="006A02A4" w:rsidRDefault="006A02A4" w:rsidP="006A02A4">
      <w:pPr>
        <w:pStyle w:val="NoSpacing"/>
        <w:rPr>
          <w:rFonts w:ascii="Arial Black" w:hAnsi="Arial Black"/>
          <w:sz w:val="24"/>
          <w:szCs w:val="24"/>
        </w:rPr>
      </w:pPr>
    </w:p>
    <w:p w14:paraId="1C4E9D27" w14:textId="77777777" w:rsidR="006A02A4" w:rsidRDefault="006A02A4" w:rsidP="00F326E5">
      <w:pPr>
        <w:pStyle w:val="NoSpacing"/>
        <w:rPr>
          <w:rFonts w:ascii="Arial Black" w:hAnsi="Arial Black"/>
          <w:sz w:val="24"/>
          <w:szCs w:val="24"/>
        </w:rPr>
      </w:pPr>
    </w:p>
    <w:p w14:paraId="19E3F293" w14:textId="77777777" w:rsidR="006A02A4" w:rsidRDefault="006A02A4" w:rsidP="00F326E5">
      <w:pPr>
        <w:pStyle w:val="NoSpacing"/>
        <w:rPr>
          <w:rFonts w:ascii="Arial Black" w:hAnsi="Arial Black"/>
          <w:sz w:val="24"/>
          <w:szCs w:val="24"/>
        </w:rPr>
      </w:pPr>
    </w:p>
    <w:p w14:paraId="774C153A" w14:textId="0EEFA043" w:rsidR="00D66BAA" w:rsidRDefault="00D66BAA" w:rsidP="00F326E5">
      <w:pPr>
        <w:pStyle w:val="NoSpacing"/>
        <w:rPr>
          <w:rFonts w:ascii="Arial Black" w:hAnsi="Arial Black"/>
          <w:sz w:val="24"/>
          <w:szCs w:val="24"/>
        </w:rPr>
      </w:pPr>
      <w:r>
        <w:rPr>
          <w:rFonts w:ascii="Arial Black" w:hAnsi="Arial Black"/>
          <w:sz w:val="24"/>
          <w:szCs w:val="24"/>
        </w:rPr>
        <w:t>17-29</w:t>
      </w:r>
    </w:p>
    <w:p w14:paraId="594A5E35" w14:textId="77777777" w:rsidR="00D66BAA" w:rsidRDefault="00D66BAA" w:rsidP="00D66BAA">
      <w:pPr>
        <w:pStyle w:val="NormalWeb"/>
        <w:rPr>
          <w:rFonts w:ascii="Arial Black" w:hAnsi="Arial Black"/>
          <w:sz w:val="28"/>
          <w:szCs w:val="28"/>
        </w:rPr>
      </w:pPr>
      <w:r>
        <w:rPr>
          <w:rFonts w:ascii="Arial Black" w:hAnsi="Arial Black"/>
          <w:sz w:val="28"/>
          <w:szCs w:val="28"/>
        </w:rPr>
        <w:t>TX: STATE SUP. CT. STRIKES DOWN CITY OF HOUSTON FIRE / POLICE “PAY PARITY” – VOTED BY RESIDENTS 2018</w:t>
      </w:r>
    </w:p>
    <w:p w14:paraId="150D0DA5" w14:textId="77777777" w:rsidR="00D66BAA" w:rsidRDefault="00D66BAA" w:rsidP="00D66BAA">
      <w:pPr>
        <w:pStyle w:val="NormalWeb"/>
        <w:rPr>
          <w:vertAlign w:val="superscript"/>
        </w:rPr>
      </w:pPr>
      <w:r>
        <w:t xml:space="preserve">On March 31, 2023, </w:t>
      </w:r>
      <w:r>
        <w:rPr>
          <w:u w:val="single"/>
        </w:rPr>
        <w:t>in City of Houston v. Houston Professional Fire Fighters’ Association, Local 341</w:t>
      </w:r>
      <w:r>
        <w:t xml:space="preserve">, consolidated with </w:t>
      </w:r>
      <w:r>
        <w:rPr>
          <w:u w:val="single"/>
        </w:rPr>
        <w:t>Houston Police Officer’s Union v. Houston</w:t>
      </w:r>
      <w:r>
        <w:t xml:space="preserve"> </w:t>
      </w:r>
      <w:r>
        <w:rPr>
          <w:u w:val="single"/>
        </w:rPr>
        <w:t xml:space="preserve">Professional Fire Fighters’ Association, Local </w:t>
      </w:r>
      <w:r>
        <w:rPr>
          <w:u w:val="single"/>
        </w:rPr>
        <w:lastRenderedPageBreak/>
        <w:t>341</w:t>
      </w:r>
      <w:r>
        <w:t>, the Texas Supreme Court held that the 2018 “Pay-Parity” change to City Charter [known as Proposition B], requiring firefighters be paid same as police officers, violates State law.  The State law is known as “The Fire and Police Employee Relations Act in Local Government Code Chapter 174.” Chapter 174 is a comprehensive framework that governs collective bargaining for those municipal employers whose voters have adopted it [adopted by Houston voters in 2003], and under that State law since Local 341 has reached an impasse with the City [last CBA was 2011-2017], they are entitled to Court intervention to reach  pay agreement that is "substantially equal" to those in comparable private-sector employment.</w:t>
      </w:r>
    </w:p>
    <w:p w14:paraId="30D1261E" w14:textId="77777777" w:rsidR="00D66BAA" w:rsidRDefault="00D66BAA" w:rsidP="00D66BAA">
      <w:pPr>
        <w:pStyle w:val="NormalWeb"/>
      </w:pPr>
      <w:r>
        <w:t>The Texas Supreme Court held:</w:t>
      </w:r>
    </w:p>
    <w:p w14:paraId="62B0290F" w14:textId="77777777" w:rsidR="00D66BAA" w:rsidRDefault="00D66BAA" w:rsidP="00D66BAA">
      <w:pPr>
        <w:pStyle w:val="NormalWeb"/>
        <w:ind w:left="720"/>
      </w:pPr>
      <w:r>
        <w:t xml:space="preserve">“We hold that Chapter 174 establishes reasonable standards for judicial enforcement such that it does not violate the constitutional separation of powers. Accordingly, we reject the City's constitutional challenge to judicial enforcement of the statute's compensation standard. We further hold that the Fire Fighters met all prerequisites for seeking Chapter 174 enforcement, and thus the statute waives the City's immunity from the Fire Fighters' lawsuit for Chapter 174 compensation. Finally, we hold that Chapter 174 preempts the pay-parity amendment. Local law may not supplant Chapter 174's rule of decision by requiring an inconsistent compensation measurement. Because the court of appeals held differently, we </w:t>
      </w:r>
      <w:proofErr w:type="gramStart"/>
      <w:r>
        <w:t>reverse</w:t>
      </w:r>
      <w:proofErr w:type="gramEnd"/>
      <w:r>
        <w:t xml:space="preserve"> its judgment in the second suit. We affirm its judgment in the initial suit and remand the case to the trial court for further proceedings to establish whether the City has complied with Chapter 174's compensation standards and, if not, to set appropriate firefighter compensation.” </w:t>
      </w:r>
      <w:hyperlink r:id="rId2854" w:history="1">
        <w:r>
          <w:rPr>
            <w:rStyle w:val="Hyperlink"/>
          </w:rPr>
          <w:t>https://search.txcourts.gov/SearchMedia.aspx?MediaVersionID=b6a5eb11-d9ee-4713-9079-a7fc018a0d0c&amp;coa=cossup&amp;DT=OPINION&amp;MediaID=180a364b-e3a9-4c3b-bb68-7b88944c20ad</w:t>
        </w:r>
      </w:hyperlink>
      <w:r>
        <w:t xml:space="preserve"> </w:t>
      </w:r>
    </w:p>
    <w:p w14:paraId="1B240E53" w14:textId="77777777" w:rsidR="00D66BAA" w:rsidRDefault="00D66BAA" w:rsidP="00D66BAA">
      <w:pPr>
        <w:pStyle w:val="NormalWeb"/>
        <w:ind w:left="720"/>
      </w:pPr>
      <w:r>
        <w:t xml:space="preserve">“Local regulations are preempted when they prescribe a governing rule that is inconsistent with a state statute's standards, even if enforcement of the local law might hypothetically result in the same outcome as enforcement of the statute. A court enforcing Chapter 174 may happen to reach a result consistent with the pay-parity amendment. In such cases, no inconsistency exists. The pay-parity amendment, however, never functions as the governing rule of decision in such an instance because it can never force a result different from that which Chapter 174 compels. Local regulations are not ‘ancillary </w:t>
      </w:r>
      <w:proofErr w:type="gramStart"/>
      <w:r>
        <w:t>to</w:t>
      </w:r>
      <w:proofErr w:type="gramEnd"/>
      <w:r>
        <w:t xml:space="preserve"> and in harmony with’ state statutes when they prescribe a different rule of decision that coincidentally converges with the statutory </w:t>
      </w:r>
      <w:proofErr w:type="gramStart"/>
      <w:r>
        <w:t>rule.”</w:t>
      </w:r>
      <w:proofErr w:type="gramEnd"/>
    </w:p>
    <w:p w14:paraId="514652E1" w14:textId="77777777" w:rsidR="00D66BAA" w:rsidRDefault="00D66BAA" w:rsidP="00D66BAA">
      <w:pPr>
        <w:pStyle w:val="NormalWeb"/>
        <w:rPr>
          <w:b/>
          <w:bCs/>
        </w:rPr>
      </w:pPr>
      <w:r>
        <w:rPr>
          <w:b/>
          <w:bCs/>
        </w:rPr>
        <w:t xml:space="preserve">Legal Lesson Learned:  The City of Houston and Police Union have won their challenge to Prob B; but the City must now go to collective bargaining with Local 341. </w:t>
      </w:r>
    </w:p>
    <w:p w14:paraId="11E65B95" w14:textId="77777777" w:rsidR="00D66BAA" w:rsidRDefault="00D66BAA" w:rsidP="00D66BAA">
      <w:pPr>
        <w:pStyle w:val="ekqk"/>
        <w:ind w:left="720"/>
        <w:rPr>
          <w:b/>
          <w:bCs/>
        </w:rPr>
      </w:pPr>
      <w:r>
        <w:t xml:space="preserve">Note: See March 31, </w:t>
      </w:r>
      <w:proofErr w:type="gramStart"/>
      <w:r>
        <w:t>2023</w:t>
      </w:r>
      <w:proofErr w:type="gramEnd"/>
      <w:r>
        <w:t xml:space="preserve"> article, “Texas Supreme Court strikes down 'Prop B' years after Houston voted for firefighter pay parity.” Both Houston city officials and the </w:t>
      </w:r>
      <w:proofErr w:type="gramStart"/>
      <w:r>
        <w:t>firefighters</w:t>
      </w:r>
      <w:proofErr w:type="gramEnd"/>
      <w:r>
        <w:t xml:space="preserve"> union took home a win in the ruling, and both are claiming victory… However, Thursday's decision wasn't just a win for those opposed to Prop B. The court also ruled in favor of the firefighter's union in another case about a state law that handles firefighter pay. The law, which the Supreme Court ruled is constitutional, says firefighters </w:t>
      </w:r>
      <w:proofErr w:type="gramStart"/>
      <w:r>
        <w:t>have to</w:t>
      </w:r>
      <w:proofErr w:type="gramEnd"/>
      <w:r>
        <w:t xml:space="preserve"> be paid substantially equal to similar jobs in the private sector, and that the two sides should use collective bargaining to reach a </w:t>
      </w:r>
      <w:proofErr w:type="gramStart"/>
      <w:r>
        <w:t>deal.”</w:t>
      </w:r>
      <w:proofErr w:type="gramEnd"/>
      <w:r>
        <w:t xml:space="preserve"> </w:t>
      </w:r>
      <w:hyperlink r:id="rId2855" w:history="1">
        <w:r>
          <w:rPr>
            <w:rStyle w:val="Hyperlink"/>
          </w:rPr>
          <w:t>https://abc13.com/prop-b-update-houston-firefighter-pay-parity-texas-supreme-court-proposition-struck-down/13057363/</w:t>
        </w:r>
      </w:hyperlink>
      <w:r>
        <w:rPr>
          <w:b/>
          <w:bCs/>
        </w:rPr>
        <w:t xml:space="preserve"> </w:t>
      </w:r>
    </w:p>
    <w:p w14:paraId="4D540E70" w14:textId="77777777" w:rsidR="00D66BAA" w:rsidRDefault="00D66BAA" w:rsidP="00D66BAA">
      <w:pPr>
        <w:pStyle w:val="NormalWeb"/>
      </w:pPr>
    </w:p>
    <w:p w14:paraId="4B09FD61" w14:textId="0ABF6B9E" w:rsidR="00D66BAA" w:rsidRDefault="00D66BAA" w:rsidP="00F326E5">
      <w:pPr>
        <w:pStyle w:val="NoSpacing"/>
        <w:rPr>
          <w:rFonts w:ascii="Arial Black" w:hAnsi="Arial Black"/>
          <w:sz w:val="24"/>
          <w:szCs w:val="24"/>
        </w:rPr>
      </w:pPr>
      <w:r>
        <w:rPr>
          <w:rFonts w:ascii="Arial Black" w:hAnsi="Arial Black"/>
          <w:sz w:val="24"/>
          <w:szCs w:val="24"/>
        </w:rPr>
        <w:t>17-28</w:t>
      </w:r>
    </w:p>
    <w:p w14:paraId="290A746F" w14:textId="77777777" w:rsidR="00D66BAA" w:rsidRDefault="00D66BAA" w:rsidP="00D66BAA">
      <w:pPr>
        <w:pStyle w:val="NormalWeb"/>
        <w:rPr>
          <w:rFonts w:ascii="Arial Black" w:hAnsi="Arial Black"/>
          <w:sz w:val="28"/>
          <w:szCs w:val="28"/>
        </w:rPr>
      </w:pPr>
      <w:r>
        <w:rPr>
          <w:rFonts w:ascii="Arial Black" w:hAnsi="Arial Black"/>
          <w:sz w:val="28"/>
          <w:szCs w:val="28"/>
        </w:rPr>
        <w:t>CT: CBA UNCLEAR ON SICK PAY – TWO FF RESIGNED, NOW  GETTING PENSION - CITY WINS NEW TRIAL ON SICK PAY</w:t>
      </w:r>
    </w:p>
    <w:p w14:paraId="11217EAC" w14:textId="77777777" w:rsidR="00D66BAA" w:rsidRDefault="00D66BAA" w:rsidP="00D66BAA">
      <w:pPr>
        <w:pStyle w:val="NormalWeb"/>
      </w:pPr>
      <w:r>
        <w:lastRenderedPageBreak/>
        <w:t xml:space="preserve">On March 28, 2023, in </w:t>
      </w:r>
      <w:r>
        <w:rPr>
          <w:u w:val="single"/>
        </w:rPr>
        <w:t>Dickie K. Murchison, Jr. and John J. Bigham v. City of Waterbury</w:t>
      </w:r>
      <w:r>
        <w:t xml:space="preserve">, the Court of Appeals of Connecticut held that the trial court’s award of sick pay of $28,307.98 to Murchison, and $33,451.55 to Bigham is reversed. Each firefighter resigned after 20 years, but prior to 25 years to be eligible for retirement.  Now each firefighter is eligible for deferred vested pension benefits after the twenty-fifth anniversary of their respective hire dates, and they also now want unused sick pay.  The CBA does not explicitly address whether they are now entitled to unused sick pay. On appeal the City first claims that the trial court erred in awarding the plaintiffs terminal leave </w:t>
      </w:r>
      <w:proofErr w:type="gramStart"/>
      <w:r>
        <w:t>pay</w:t>
      </w:r>
      <w:proofErr w:type="gramEnd"/>
      <w:r>
        <w:t xml:space="preserve">, arguing that the plaintiffs only </w:t>
      </w:r>
      <w:r>
        <w:rPr>
          <w:rStyle w:val="Emphasis"/>
        </w:rPr>
        <w:t>resigned</w:t>
      </w:r>
      <w:r>
        <w:t xml:space="preserve"> from employment with the defendant, and did not "retire," for purposes of the terminal leave pay provision.  </w:t>
      </w:r>
    </w:p>
    <w:p w14:paraId="4D0556BD" w14:textId="77777777" w:rsidR="00D66BAA" w:rsidRDefault="00D66BAA" w:rsidP="00D66BAA">
      <w:pPr>
        <w:pStyle w:val="NormalWeb"/>
        <w:ind w:left="720"/>
      </w:pPr>
      <w:r>
        <w:t xml:space="preserve">The Court of Appeals agreed. “The [City] claims that, because there was no evidence in the record that it drafted the agreement, the trial court erred in construing any ambiguity in the terminal leave pay provision against it. The plaintiffs counter that, regardless of any ambiguity in the provision, the evidence established that the term ‘retirement’ refers to the date that they became eligible to collect, and/or began collecting, their pension benefits. We agree with the defendant.” </w:t>
      </w:r>
      <w:hyperlink r:id="rId2856" w:history="1">
        <w:r>
          <w:rPr>
            <w:rStyle w:val="Hyperlink"/>
          </w:rPr>
          <w:t>https://www.jud.ct.gov/external/supapp/Cases/AROap/AP218/218AP115.pdf</w:t>
        </w:r>
      </w:hyperlink>
      <w:r>
        <w:t xml:space="preserve"> </w:t>
      </w:r>
    </w:p>
    <w:p w14:paraId="60DD6AB9" w14:textId="77777777" w:rsidR="00D66BAA" w:rsidRDefault="00D66BAA" w:rsidP="00D66BAA">
      <w:pPr>
        <w:pStyle w:val="NormalWeb"/>
        <w:ind w:left="720"/>
      </w:pPr>
      <w:r>
        <w:t xml:space="preserve">“The language at issue in the present case is found in the terminal leave pay provision of the agreement, the relevant text of which previously has been set forth in full in this opinion. That provision details that firefighter employees become eligible for terminal leave </w:t>
      </w:r>
      <w:proofErr w:type="gramStart"/>
      <w:r>
        <w:t>pay ‘[</w:t>
      </w:r>
      <w:proofErr w:type="gramEnd"/>
      <w:r>
        <w:t>u]</w:t>
      </w:r>
      <w:proofErr w:type="spellStart"/>
      <w:r>
        <w:t>pon</w:t>
      </w:r>
      <w:proofErr w:type="spellEnd"/>
      <w:r>
        <w:t xml:space="preserve"> . . . retirement,’ where the first of four installments is due, as is relevant here, on the ‘date of retirement.’ The term ‘retirement’ is not defined in the terminal leave pay provision or anywhere else in the agreement. In the absence of such a definition and in order to interpret the use of that term in the terminal leave pay provision, the parties have turned to the various uses and definitions of the term "retirement" in the ordinance, the relevant text of which also has been set forth previously in this opinion.</w:t>
      </w:r>
    </w:p>
    <w:p w14:paraId="295421C9" w14:textId="77777777" w:rsidR="00D66BAA" w:rsidRDefault="00D66BAA" w:rsidP="00D66BAA">
      <w:pPr>
        <w:pStyle w:val="NormalWeb"/>
        <w:ind w:left="720"/>
      </w:pPr>
      <w:r>
        <w:t>***</w:t>
      </w:r>
    </w:p>
    <w:p w14:paraId="1BA0E90C" w14:textId="77777777" w:rsidR="00D66BAA" w:rsidRDefault="00D66BAA" w:rsidP="00D66BAA">
      <w:pPr>
        <w:pStyle w:val="NormalWeb"/>
        <w:ind w:left="720"/>
      </w:pPr>
      <w:r>
        <w:t>In sum, we conclude that the term ‘retirement’ as used in the terminal leave pay provision is ambiguous because it is susceptible to more than one reasonable interpretation. Because the [trial] court failed to resolve that ambiguity, it could not have properly found that the plaintiffs were entitled to terminal leave pay.</w:t>
      </w:r>
    </w:p>
    <w:p w14:paraId="071940B6" w14:textId="77777777" w:rsidR="00D66BAA" w:rsidRDefault="00D66BAA" w:rsidP="00D66BAA">
      <w:pPr>
        <w:pStyle w:val="NormalWeb"/>
        <w:ind w:left="720"/>
      </w:pPr>
      <w:r>
        <w:t>***</w:t>
      </w:r>
    </w:p>
    <w:p w14:paraId="6ED4474D" w14:textId="77777777" w:rsidR="00D66BAA" w:rsidRDefault="00D66BAA" w:rsidP="00D66BAA">
      <w:pPr>
        <w:pStyle w:val="NormalWeb"/>
        <w:ind w:left="720"/>
      </w:pPr>
      <w:r>
        <w:t xml:space="preserve">The judgment is reversed and the case is remanded for a new </w:t>
      </w:r>
      <w:proofErr w:type="gramStart"/>
      <w:r>
        <w:t>trial.”</w:t>
      </w:r>
      <w:proofErr w:type="gramEnd"/>
    </w:p>
    <w:p w14:paraId="60C05639" w14:textId="77777777" w:rsidR="00D66BAA" w:rsidRDefault="00D66BAA" w:rsidP="00D66BAA">
      <w:pPr>
        <w:pStyle w:val="NormalWeb"/>
        <w:rPr>
          <w:b/>
          <w:bCs/>
        </w:rPr>
      </w:pPr>
      <w:r>
        <w:rPr>
          <w:b/>
          <w:bCs/>
        </w:rPr>
        <w:t xml:space="preserve">Legal Lesson Learned: When a CBA is unclear about when firefighters are eligible for unused sick pay, the ambiguity cannot be used against the City without proof the City drafted the CBA provision. </w:t>
      </w:r>
    </w:p>
    <w:p w14:paraId="4DB8AF49" w14:textId="77777777" w:rsidR="00D66BAA" w:rsidRDefault="00D66BAA" w:rsidP="00D66BAA">
      <w:pPr>
        <w:pStyle w:val="NormalWeb"/>
        <w:ind w:left="720"/>
      </w:pPr>
      <w:r>
        <w:t xml:space="preserve">Note: On </w:t>
      </w:r>
      <w:proofErr w:type="gramStart"/>
      <w:r>
        <w:t>Aug,</w:t>
      </w:r>
      <w:proofErr w:type="gramEnd"/>
      <w:r>
        <w:t xml:space="preserve"> 14, 2018, Judge Brazzel-Massaro denied summary judgment for either side, and ordered the case be tried. “In sum, the bargaining agreement and ordinance are susceptible to more than one reasonable interpretation and are therefore ambiguous.” See unpublished decision. </w:t>
      </w:r>
      <w:hyperlink r:id="rId2857" w:history="1">
        <w:r>
          <w:rPr>
            <w:rStyle w:val="Hyperlink"/>
          </w:rPr>
          <w:t>https://casetext.com/case/murchison-v-city-of-waterbury</w:t>
        </w:r>
      </w:hyperlink>
      <w:r>
        <w:t xml:space="preserve"> </w:t>
      </w:r>
    </w:p>
    <w:p w14:paraId="4129508C" w14:textId="77777777" w:rsidR="00D66BAA" w:rsidRDefault="00D66BAA" w:rsidP="00D66BAA">
      <w:pPr>
        <w:pStyle w:val="NormalWeb"/>
        <w:ind w:left="720"/>
      </w:pPr>
      <w:r>
        <w:t xml:space="preserve">On Nov. 7, 2019, the case went to trial before a different Judge – bench trial (no jury) before Judge Gordon.  On October 1, 2021, the trial court judge issued a memorandum of decision rendering judgment in favor of the plaintiffs, awarding terminal leave pay in the amounts of $28,307.98 to Murchison and $33,451.55 to Bigham. This appeal followed. </w:t>
      </w:r>
    </w:p>
    <w:p w14:paraId="6903DA35" w14:textId="77777777" w:rsidR="00D66BAA" w:rsidRDefault="00D66BAA" w:rsidP="00D66BAA">
      <w:pPr>
        <w:pStyle w:val="NormalWeb"/>
        <w:jc w:val="center"/>
        <w:rPr>
          <w:b/>
          <w:bCs/>
        </w:rPr>
      </w:pPr>
    </w:p>
    <w:p w14:paraId="74023875" w14:textId="143CE01C" w:rsidR="00D66BAA" w:rsidRDefault="00D66BAA" w:rsidP="00F326E5">
      <w:pPr>
        <w:pStyle w:val="NoSpacing"/>
        <w:rPr>
          <w:rFonts w:ascii="Arial Black" w:hAnsi="Arial Black"/>
          <w:sz w:val="24"/>
          <w:szCs w:val="24"/>
        </w:rPr>
      </w:pPr>
    </w:p>
    <w:p w14:paraId="4FFDEF8E" w14:textId="77777777" w:rsidR="00D66BAA" w:rsidRDefault="00D66BAA" w:rsidP="00F326E5">
      <w:pPr>
        <w:pStyle w:val="NoSpacing"/>
        <w:rPr>
          <w:rFonts w:ascii="Arial Black" w:hAnsi="Arial Black"/>
          <w:sz w:val="24"/>
          <w:szCs w:val="24"/>
        </w:rPr>
      </w:pPr>
    </w:p>
    <w:p w14:paraId="29964F1C" w14:textId="77777777" w:rsidR="00D66BAA" w:rsidRDefault="00D66BAA" w:rsidP="00F326E5">
      <w:pPr>
        <w:pStyle w:val="NoSpacing"/>
        <w:rPr>
          <w:rFonts w:ascii="Arial Black" w:hAnsi="Arial Black"/>
          <w:sz w:val="24"/>
          <w:szCs w:val="24"/>
        </w:rPr>
      </w:pPr>
    </w:p>
    <w:p w14:paraId="576D8954" w14:textId="3CD7459C" w:rsidR="00465DC0" w:rsidRDefault="00465DC0" w:rsidP="00F326E5">
      <w:pPr>
        <w:pStyle w:val="NoSpacing"/>
        <w:rPr>
          <w:rFonts w:ascii="Arial Black" w:hAnsi="Arial Black"/>
          <w:sz w:val="24"/>
          <w:szCs w:val="24"/>
        </w:rPr>
      </w:pPr>
      <w:r>
        <w:rPr>
          <w:rFonts w:ascii="Arial Black" w:hAnsi="Arial Black"/>
          <w:sz w:val="24"/>
          <w:szCs w:val="24"/>
        </w:rPr>
        <w:t>17-27</w:t>
      </w:r>
    </w:p>
    <w:p w14:paraId="34A39FA0" w14:textId="77777777" w:rsidR="00465DC0" w:rsidRPr="00F3276E" w:rsidRDefault="00465DC0" w:rsidP="00465DC0">
      <w:pPr>
        <w:pStyle w:val="NormalWeb"/>
        <w:rPr>
          <w:rFonts w:ascii="Arial Black" w:hAnsi="Arial Black"/>
          <w:sz w:val="28"/>
          <w:szCs w:val="28"/>
        </w:rPr>
      </w:pPr>
      <w:r w:rsidRPr="00F3276E">
        <w:rPr>
          <w:rFonts w:ascii="Arial Black" w:hAnsi="Arial Black"/>
          <w:sz w:val="28"/>
          <w:szCs w:val="28"/>
        </w:rPr>
        <w:t xml:space="preserve">NLRB – REVERSES TWO PRIOR RULINGS - SEVERANCE AGREEMENTS </w:t>
      </w:r>
      <w:r>
        <w:rPr>
          <w:rFonts w:ascii="Arial Black" w:hAnsi="Arial Black"/>
          <w:sz w:val="28"/>
          <w:szCs w:val="28"/>
        </w:rPr>
        <w:t xml:space="preserve">– NO </w:t>
      </w:r>
      <w:r w:rsidRPr="00F3276E">
        <w:rPr>
          <w:rFonts w:ascii="Arial Black" w:hAnsi="Arial Black"/>
          <w:sz w:val="28"/>
          <w:szCs w:val="28"/>
        </w:rPr>
        <w:t xml:space="preserve">DISCLOSURE </w:t>
      </w:r>
      <w:r>
        <w:rPr>
          <w:rFonts w:ascii="Arial Black" w:hAnsi="Arial Black"/>
          <w:sz w:val="28"/>
          <w:szCs w:val="28"/>
        </w:rPr>
        <w:t xml:space="preserve">/ NO </w:t>
      </w:r>
      <w:r w:rsidRPr="00F3276E">
        <w:rPr>
          <w:rFonts w:ascii="Arial Black" w:hAnsi="Arial Black"/>
          <w:sz w:val="28"/>
          <w:szCs w:val="28"/>
        </w:rPr>
        <w:t xml:space="preserve">“DISPARAGE” </w:t>
      </w:r>
    </w:p>
    <w:p w14:paraId="042F7E8B" w14:textId="77777777" w:rsidR="00465DC0" w:rsidRDefault="00465DC0" w:rsidP="00465DC0">
      <w:pPr>
        <w:pStyle w:val="Heading1"/>
        <w:rPr>
          <w:rStyle w:val="field"/>
          <w:b w:val="0"/>
          <w:bCs w:val="0"/>
          <w:sz w:val="24"/>
          <w:szCs w:val="24"/>
        </w:rPr>
      </w:pPr>
      <w:r w:rsidRPr="00216DC5">
        <w:rPr>
          <w:rStyle w:val="field"/>
          <w:b w:val="0"/>
          <w:bCs w:val="0"/>
          <w:sz w:val="24"/>
          <w:szCs w:val="24"/>
        </w:rPr>
        <w:t xml:space="preserve">On Feb. 21, 2023, </w:t>
      </w:r>
      <w:r>
        <w:rPr>
          <w:rStyle w:val="field"/>
          <w:b w:val="0"/>
          <w:bCs w:val="0"/>
          <w:sz w:val="24"/>
          <w:szCs w:val="24"/>
        </w:rPr>
        <w:t xml:space="preserve">in </w:t>
      </w:r>
      <w:r w:rsidRPr="00216DC5">
        <w:rPr>
          <w:b w:val="0"/>
          <w:bCs w:val="0"/>
          <w:sz w:val="24"/>
          <w:szCs w:val="24"/>
          <w:u w:val="single"/>
        </w:rPr>
        <w:t>McLaren Macomb and Local 40 RN Staff Council, Office and Professional Employees, International Union (OPEIU), AFL–CIO</w:t>
      </w:r>
      <w:r>
        <w:rPr>
          <w:b w:val="0"/>
          <w:bCs w:val="0"/>
          <w:sz w:val="24"/>
          <w:szCs w:val="24"/>
        </w:rPr>
        <w:t>, the National Labor Relations Board departed from two prior decisions in 2020, and held (3 to 1) that a hospital in Mt. Clemens, Michigan, with 2,300 employees, during the COVID period in June 2020 permanently furloughed 11 service employees who were members of this Local. Each employee signed a Severance Agreement that not only released the hospital from any claims arising from their employment, but further prohibited then from disparaging the hospital, and required confidentiality about the terms of the agreement, except to spouse or tax preparer or attorney. The NLRB General Counsel filed a complaint against the hospital, since breach of these provisions could lead to loss of severance benefits.  The NLRB agreed: “</w:t>
      </w:r>
      <w:r w:rsidRPr="006F2BFB">
        <w:rPr>
          <w:b w:val="0"/>
          <w:bCs w:val="0"/>
          <w:sz w:val="24"/>
          <w:szCs w:val="24"/>
        </w:rPr>
        <w:t>Examining the language of the severance agreement</w:t>
      </w:r>
      <w:r>
        <w:rPr>
          <w:b w:val="0"/>
          <w:bCs w:val="0"/>
          <w:sz w:val="24"/>
          <w:szCs w:val="24"/>
        </w:rPr>
        <w:t xml:space="preserve"> </w:t>
      </w:r>
      <w:r w:rsidRPr="006F2BFB">
        <w:rPr>
          <w:b w:val="0"/>
          <w:bCs w:val="0"/>
          <w:sz w:val="24"/>
          <w:szCs w:val="24"/>
        </w:rPr>
        <w:t>here, we conclude that the non</w:t>
      </w:r>
      <w:r>
        <w:rPr>
          <w:b w:val="0"/>
          <w:bCs w:val="0"/>
          <w:sz w:val="24"/>
          <w:szCs w:val="24"/>
        </w:rPr>
        <w:t>-</w:t>
      </w:r>
      <w:r w:rsidRPr="006F2BFB">
        <w:rPr>
          <w:b w:val="0"/>
          <w:bCs w:val="0"/>
          <w:sz w:val="24"/>
          <w:szCs w:val="24"/>
        </w:rPr>
        <w:t>disparagement and confidentiality provisions interfere with, restrain, or coerce</w:t>
      </w:r>
      <w:r>
        <w:rPr>
          <w:b w:val="0"/>
          <w:bCs w:val="0"/>
          <w:sz w:val="24"/>
          <w:szCs w:val="24"/>
        </w:rPr>
        <w:t xml:space="preserve"> </w:t>
      </w:r>
      <w:r w:rsidRPr="006F2BFB">
        <w:rPr>
          <w:b w:val="0"/>
          <w:bCs w:val="0"/>
          <w:sz w:val="24"/>
          <w:szCs w:val="24"/>
        </w:rPr>
        <w:t>employees’ exercise of Section 7 rights.</w:t>
      </w:r>
      <w:r>
        <w:rPr>
          <w:b w:val="0"/>
          <w:bCs w:val="0"/>
          <w:sz w:val="24"/>
          <w:szCs w:val="24"/>
        </w:rPr>
        <w:t xml:space="preserve">” </w:t>
      </w:r>
      <w:hyperlink r:id="rId2858" w:history="1">
        <w:r w:rsidRPr="003F256B">
          <w:rPr>
            <w:rStyle w:val="Hyperlink"/>
            <w:rFonts w:eastAsiaTheme="majorEastAsia"/>
            <w:b w:val="0"/>
            <w:bCs w:val="0"/>
            <w:sz w:val="24"/>
            <w:szCs w:val="24"/>
          </w:rPr>
          <w:t>file:///C:/Users/lawre/Downloads/Board%20Decision.pdf</w:t>
        </w:r>
      </w:hyperlink>
      <w:r>
        <w:rPr>
          <w:rStyle w:val="field"/>
          <w:b w:val="0"/>
          <w:bCs w:val="0"/>
          <w:sz w:val="24"/>
          <w:szCs w:val="24"/>
        </w:rPr>
        <w:t xml:space="preserve"> </w:t>
      </w:r>
    </w:p>
    <w:p w14:paraId="2D163D90" w14:textId="77777777" w:rsidR="00465DC0" w:rsidRDefault="00465DC0" w:rsidP="00465DC0">
      <w:pPr>
        <w:pStyle w:val="Heading1"/>
        <w:rPr>
          <w:rStyle w:val="field"/>
          <w:b w:val="0"/>
          <w:bCs w:val="0"/>
          <w:sz w:val="24"/>
          <w:szCs w:val="24"/>
        </w:rPr>
      </w:pPr>
      <w:r>
        <w:rPr>
          <w:rStyle w:val="field"/>
          <w:b w:val="0"/>
          <w:bCs w:val="0"/>
          <w:sz w:val="24"/>
          <w:szCs w:val="24"/>
        </w:rPr>
        <w:tab/>
        <w:t xml:space="preserve">The NLRB issued a Press Release about this significant decision. </w:t>
      </w:r>
    </w:p>
    <w:p w14:paraId="49449773" w14:textId="77777777" w:rsidR="00465DC0" w:rsidRPr="00216DC5" w:rsidRDefault="00465DC0" w:rsidP="00465DC0">
      <w:pPr>
        <w:pStyle w:val="Heading1"/>
        <w:ind w:left="720"/>
        <w:rPr>
          <w:sz w:val="24"/>
          <w:szCs w:val="24"/>
        </w:rPr>
      </w:pPr>
      <w:r>
        <w:rPr>
          <w:rStyle w:val="field"/>
          <w:sz w:val="24"/>
          <w:szCs w:val="24"/>
        </w:rPr>
        <w:t>“</w:t>
      </w:r>
      <w:r w:rsidRPr="00216DC5">
        <w:rPr>
          <w:rStyle w:val="field"/>
          <w:sz w:val="24"/>
          <w:szCs w:val="24"/>
        </w:rPr>
        <w:t xml:space="preserve">Board Rules that Employers May Not Offer Severance Agreements Requiring Employees to Broadly Waive Labor Law Rights </w:t>
      </w:r>
    </w:p>
    <w:p w14:paraId="67730452" w14:textId="77777777" w:rsidR="00465DC0" w:rsidRDefault="00465DC0" w:rsidP="00465DC0">
      <w:pPr>
        <w:pStyle w:val="NormalWeb"/>
        <w:ind w:left="720"/>
      </w:pPr>
      <w:r>
        <w:t xml:space="preserve">Today, the Board </w:t>
      </w:r>
      <w:hyperlink r:id="rId2859" w:history="1">
        <w:r>
          <w:rPr>
            <w:rStyle w:val="Hyperlink"/>
            <w:rFonts w:eastAsiaTheme="majorEastAsia"/>
          </w:rPr>
          <w:t xml:space="preserve">issued a decision in </w:t>
        </w:r>
        <w:r>
          <w:rPr>
            <w:rStyle w:val="Emphasis"/>
            <w:color w:val="0000FF"/>
            <w:u w:val="single"/>
          </w:rPr>
          <w:t>McLaren Macomb</w:t>
        </w:r>
      </w:hyperlink>
      <w:r>
        <w:rPr>
          <w:rStyle w:val="Emphasis"/>
        </w:rPr>
        <w:t xml:space="preserve">, </w:t>
      </w:r>
      <w:r>
        <w:t>returning to longstanding precedent holding that employers may not offer employees severance agreements that require employees to broadly waive their rights under the National Labor Relations Act. The decision involved severance agreements offered to furloughed employees that prohibited them from making statements that could disparage the employer and from disclosing the terms of the agreement itself.  </w:t>
      </w:r>
    </w:p>
    <w:p w14:paraId="4279AD0F" w14:textId="77777777" w:rsidR="00465DC0" w:rsidRDefault="00465DC0" w:rsidP="00465DC0">
      <w:pPr>
        <w:pStyle w:val="NormalWeb"/>
        <w:ind w:left="720"/>
      </w:pPr>
      <w:r>
        <w:t xml:space="preserve">The decision reverses the previous Board’s decisions in </w:t>
      </w:r>
      <w:r>
        <w:rPr>
          <w:rStyle w:val="Emphasis"/>
        </w:rPr>
        <w:t>Baylor University Medical Center</w:t>
      </w:r>
      <w:r>
        <w:t xml:space="preserve"> and </w:t>
      </w:r>
      <w:r>
        <w:rPr>
          <w:rStyle w:val="Emphasis"/>
        </w:rPr>
        <w:t xml:space="preserve">IGT d/b/a International Game Technology, </w:t>
      </w:r>
      <w:r>
        <w:t>issued in 2020</w:t>
      </w:r>
      <w:r>
        <w:rPr>
          <w:rStyle w:val="Emphasis"/>
        </w:rPr>
        <w:t>,</w:t>
      </w:r>
      <w:r>
        <w:t xml:space="preserve"> which abandoned prior precedent in finding that offering similar severance agreements to employees was not unlawful, by itself.  </w:t>
      </w:r>
    </w:p>
    <w:p w14:paraId="50F0E82C" w14:textId="77777777" w:rsidR="00465DC0" w:rsidRDefault="00465DC0" w:rsidP="00465DC0">
      <w:pPr>
        <w:pStyle w:val="NormalWeb"/>
        <w:ind w:left="720"/>
      </w:pPr>
      <w:r>
        <w:t xml:space="preserve">Today’s decision, in contrast, explains that simply offering employees a severance agreement that requires them to broadly give up their rights under Section 7 of the Act violates Section 8(a)(1) of the Act. The Board observed that the employer’s offer </w:t>
      </w:r>
      <w:proofErr w:type="gramStart"/>
      <w:r>
        <w:t>is itself</w:t>
      </w:r>
      <w:proofErr w:type="gramEnd"/>
      <w:r>
        <w:t xml:space="preserve"> an attempt to deter employees from exercising their statutory rights, at a time when employees may feel they must give up their rights </w:t>
      </w:r>
      <w:proofErr w:type="gramStart"/>
      <w:r>
        <w:t>in order to</w:t>
      </w:r>
      <w:proofErr w:type="gramEnd"/>
      <w:r>
        <w:t xml:space="preserve"> get the benefits provided in the agreement.      </w:t>
      </w:r>
    </w:p>
    <w:p w14:paraId="4507C403" w14:textId="77777777" w:rsidR="00465DC0" w:rsidRDefault="00465DC0" w:rsidP="00465DC0">
      <w:pPr>
        <w:pStyle w:val="NormalWeb"/>
        <w:ind w:left="720"/>
      </w:pPr>
      <w:r>
        <w:t>‘It’s long been understood by the Board and the courts that employers cannot ask individual employees to choose between receiving benefits and exercising their rights under the National Labor Relations Act.  Today’s decision upholds this important principle and restores longstanding precedent,’ said Chairman Lauren McFerran.   </w:t>
      </w:r>
    </w:p>
    <w:p w14:paraId="55F793BC" w14:textId="77777777" w:rsidR="00465DC0" w:rsidRDefault="00465DC0" w:rsidP="00465DC0">
      <w:pPr>
        <w:pStyle w:val="NormalWeb"/>
        <w:ind w:left="720"/>
      </w:pPr>
      <w:r>
        <w:t xml:space="preserve">Members Wilcox and Prouty joined Chairman McFerran in issuing the decision. Member Kaplan dissented.” </w:t>
      </w:r>
      <w:hyperlink r:id="rId2860" w:history="1">
        <w:r w:rsidRPr="003F256B">
          <w:rPr>
            <w:rStyle w:val="Hyperlink"/>
            <w:rFonts w:eastAsiaTheme="majorEastAsia"/>
          </w:rPr>
          <w:t>https://www.nlrb.gov/news-outreach/news-story/board-rules-that-employers-may-not-offer-severance-agreements-requiring</w:t>
        </w:r>
      </w:hyperlink>
      <w:r>
        <w:t xml:space="preserve"> </w:t>
      </w:r>
    </w:p>
    <w:p w14:paraId="15EB7BAD" w14:textId="77777777" w:rsidR="00465DC0" w:rsidRPr="006F2BFB" w:rsidRDefault="00465DC0" w:rsidP="00465DC0">
      <w:pPr>
        <w:pStyle w:val="Heading1"/>
        <w:rPr>
          <w:rStyle w:val="field"/>
          <w:sz w:val="24"/>
          <w:szCs w:val="24"/>
        </w:rPr>
      </w:pPr>
      <w:r w:rsidRPr="006F2BFB">
        <w:rPr>
          <w:rStyle w:val="field"/>
          <w:sz w:val="24"/>
          <w:szCs w:val="24"/>
        </w:rPr>
        <w:lastRenderedPageBreak/>
        <w:t xml:space="preserve">Legal Lesson Learned: </w:t>
      </w:r>
      <w:r>
        <w:rPr>
          <w:rStyle w:val="field"/>
          <w:sz w:val="24"/>
          <w:szCs w:val="24"/>
        </w:rPr>
        <w:t xml:space="preserve">Fire &amp; EMS Departments should consult Legal Counsel about this significant change by NLRB. See two prior decisions, and dissenting opinion by NLRB Member Marvin Kaplan. </w:t>
      </w:r>
    </w:p>
    <w:p w14:paraId="05F4504D" w14:textId="77777777" w:rsidR="00465DC0" w:rsidRDefault="00465DC0" w:rsidP="00465DC0">
      <w:pPr>
        <w:pStyle w:val="Heading1"/>
        <w:ind w:left="720"/>
        <w:rPr>
          <w:rStyle w:val="field"/>
          <w:b w:val="0"/>
          <w:bCs w:val="0"/>
          <w:sz w:val="24"/>
          <w:szCs w:val="24"/>
        </w:rPr>
      </w:pPr>
      <w:r>
        <w:rPr>
          <w:rStyle w:val="field"/>
          <w:b w:val="0"/>
          <w:bCs w:val="0"/>
          <w:sz w:val="24"/>
          <w:szCs w:val="24"/>
        </w:rPr>
        <w:t xml:space="preserve">Note: See two decisions in 2020 now being rejected. </w:t>
      </w:r>
    </w:p>
    <w:p w14:paraId="08B95326" w14:textId="77777777" w:rsidR="00465DC0" w:rsidRPr="009F5DB1" w:rsidRDefault="00465DC0" w:rsidP="00465DC0">
      <w:pPr>
        <w:pStyle w:val="Heading1"/>
        <w:ind w:left="1440"/>
        <w:rPr>
          <w:rStyle w:val="field"/>
          <w:b w:val="0"/>
          <w:bCs w:val="0"/>
          <w:sz w:val="24"/>
          <w:szCs w:val="24"/>
        </w:rPr>
      </w:pPr>
      <w:r w:rsidRPr="00A00396">
        <w:rPr>
          <w:b w:val="0"/>
          <w:bCs w:val="0"/>
          <w:sz w:val="24"/>
          <w:szCs w:val="24"/>
          <w:u w:val="single"/>
        </w:rPr>
        <w:t>Baylor University Medical Center and Dora S. Camacho</w:t>
      </w:r>
      <w:r w:rsidRPr="00CB15E1">
        <w:rPr>
          <w:b w:val="0"/>
          <w:bCs w:val="0"/>
          <w:sz w:val="24"/>
          <w:szCs w:val="24"/>
        </w:rPr>
        <w:t>. Case 16–CA–195335</w:t>
      </w:r>
      <w:r w:rsidRPr="00CB15E1">
        <w:rPr>
          <w:b w:val="0"/>
          <w:bCs w:val="0"/>
          <w:sz w:val="24"/>
          <w:szCs w:val="24"/>
        </w:rPr>
        <w:br/>
        <w:t>March 16, 2020</w:t>
      </w:r>
      <w:r>
        <w:rPr>
          <w:b w:val="0"/>
          <w:bCs w:val="0"/>
          <w:sz w:val="24"/>
          <w:szCs w:val="24"/>
        </w:rPr>
        <w:t xml:space="preserve">.  </w:t>
      </w:r>
      <w:hyperlink r:id="rId2861" w:history="1">
        <w:r w:rsidRPr="003F256B">
          <w:rPr>
            <w:rStyle w:val="Hyperlink"/>
            <w:rFonts w:eastAsiaTheme="majorEastAsia"/>
            <w:b w:val="0"/>
            <w:bCs w:val="0"/>
            <w:sz w:val="24"/>
            <w:szCs w:val="24"/>
          </w:rPr>
          <w:t>http://www.lanermuchin.com/assets/htmldocuments/Board%20Decision-%20Baylor.pdf</w:t>
        </w:r>
      </w:hyperlink>
      <w:r>
        <w:rPr>
          <w:b w:val="0"/>
          <w:bCs w:val="0"/>
          <w:sz w:val="24"/>
          <w:szCs w:val="24"/>
        </w:rPr>
        <w:t xml:space="preserve"> </w:t>
      </w:r>
      <w:r w:rsidRPr="00CB15E1">
        <w:rPr>
          <w:b w:val="0"/>
          <w:bCs w:val="0"/>
          <w:sz w:val="24"/>
          <w:szCs w:val="24"/>
        </w:rPr>
        <w:br/>
      </w:r>
      <w:r>
        <w:rPr>
          <w:b w:val="0"/>
          <w:bCs w:val="0"/>
          <w:sz w:val="24"/>
          <w:szCs w:val="24"/>
        </w:rPr>
        <w:t>“</w:t>
      </w:r>
      <w:r w:rsidRPr="00CB15E1">
        <w:rPr>
          <w:b w:val="0"/>
          <w:bCs w:val="0"/>
          <w:sz w:val="24"/>
          <w:szCs w:val="24"/>
        </w:rPr>
        <w:t>Baylor fired Camacho on September 30, 2016.</w:t>
      </w:r>
      <w:r>
        <w:rPr>
          <w:b w:val="0"/>
          <w:bCs w:val="0"/>
          <w:sz w:val="24"/>
          <w:szCs w:val="24"/>
        </w:rPr>
        <w:t xml:space="preserve"> </w:t>
      </w:r>
      <w:r w:rsidRPr="00CB15E1">
        <w:rPr>
          <w:b w:val="0"/>
          <w:bCs w:val="0"/>
          <w:sz w:val="24"/>
          <w:szCs w:val="24"/>
        </w:rPr>
        <w:t>On October</w:t>
      </w:r>
      <w:r>
        <w:rPr>
          <w:b w:val="0"/>
          <w:bCs w:val="0"/>
          <w:sz w:val="24"/>
          <w:szCs w:val="24"/>
        </w:rPr>
        <w:t xml:space="preserve"> </w:t>
      </w:r>
      <w:r w:rsidRPr="00CB15E1">
        <w:rPr>
          <w:b w:val="0"/>
          <w:bCs w:val="0"/>
          <w:sz w:val="24"/>
          <w:szCs w:val="24"/>
        </w:rPr>
        <w:t xml:space="preserve">4, it offered her over $10,000 in exchange for signing a </w:t>
      </w:r>
      <w:r>
        <w:rPr>
          <w:b w:val="0"/>
          <w:bCs w:val="0"/>
          <w:sz w:val="24"/>
          <w:szCs w:val="24"/>
        </w:rPr>
        <w:t xml:space="preserve">… </w:t>
      </w:r>
      <w:r w:rsidRPr="00CB15E1">
        <w:rPr>
          <w:b w:val="0"/>
          <w:bCs w:val="0"/>
          <w:sz w:val="24"/>
          <w:szCs w:val="24"/>
        </w:rPr>
        <w:t>Separation Agreement</w:t>
      </w:r>
      <w:r>
        <w:rPr>
          <w:b w:val="0"/>
          <w:bCs w:val="0"/>
          <w:sz w:val="24"/>
          <w:szCs w:val="24"/>
        </w:rPr>
        <w:t xml:space="preserve"> [that contained waiver of future claims; non-disparagement; non-disclosure.]</w:t>
      </w:r>
      <w:r w:rsidRPr="00CB15E1">
        <w:rPr>
          <w:b w:val="0"/>
          <w:bCs w:val="0"/>
          <w:sz w:val="24"/>
          <w:szCs w:val="24"/>
        </w:rPr>
        <w:t xml:space="preserve"> She refused to sign the Separation Agreement</w:t>
      </w:r>
      <w:r>
        <w:rPr>
          <w:b w:val="0"/>
          <w:bCs w:val="0"/>
          <w:sz w:val="24"/>
          <w:szCs w:val="24"/>
        </w:rPr>
        <w:t xml:space="preserve"> </w:t>
      </w:r>
      <w:r w:rsidRPr="00CB15E1">
        <w:rPr>
          <w:b w:val="0"/>
          <w:bCs w:val="0"/>
          <w:sz w:val="24"/>
          <w:szCs w:val="24"/>
        </w:rPr>
        <w:t>and, instead, brought the instant charge challenging the legality</w:t>
      </w:r>
      <w:r>
        <w:rPr>
          <w:b w:val="0"/>
          <w:bCs w:val="0"/>
          <w:sz w:val="24"/>
          <w:szCs w:val="24"/>
        </w:rPr>
        <w:t xml:space="preserve"> </w:t>
      </w:r>
      <w:r w:rsidRPr="00CB15E1">
        <w:rPr>
          <w:b w:val="0"/>
          <w:bCs w:val="0"/>
          <w:sz w:val="24"/>
          <w:szCs w:val="24"/>
        </w:rPr>
        <w:t>of the agreement.</w:t>
      </w:r>
      <w:r>
        <w:rPr>
          <w:b w:val="0"/>
          <w:bCs w:val="0"/>
          <w:sz w:val="24"/>
          <w:szCs w:val="24"/>
        </w:rPr>
        <w:t xml:space="preserve"> *** </w:t>
      </w:r>
      <w:r w:rsidRPr="009F5DB1">
        <w:rPr>
          <w:b w:val="0"/>
          <w:bCs w:val="0"/>
          <w:sz w:val="24"/>
          <w:szCs w:val="24"/>
        </w:rPr>
        <w:t>In these circumstances, we find that the mere proffer of</w:t>
      </w:r>
      <w:r>
        <w:rPr>
          <w:b w:val="0"/>
          <w:bCs w:val="0"/>
          <w:sz w:val="24"/>
          <w:szCs w:val="24"/>
        </w:rPr>
        <w:t xml:space="preserve"> </w:t>
      </w:r>
      <w:r w:rsidRPr="009F5DB1">
        <w:rPr>
          <w:b w:val="0"/>
          <w:bCs w:val="0"/>
          <w:sz w:val="24"/>
          <w:szCs w:val="24"/>
        </w:rPr>
        <w:t>severance agreements containing the three challenged provisions did not reasonably tend to interfere with, restrain,</w:t>
      </w:r>
      <w:r>
        <w:rPr>
          <w:b w:val="0"/>
          <w:bCs w:val="0"/>
          <w:sz w:val="24"/>
          <w:szCs w:val="24"/>
        </w:rPr>
        <w:t xml:space="preserve"> </w:t>
      </w:r>
      <w:r w:rsidRPr="009F5DB1">
        <w:rPr>
          <w:b w:val="0"/>
          <w:bCs w:val="0"/>
          <w:sz w:val="24"/>
          <w:szCs w:val="24"/>
        </w:rPr>
        <w:t>or coerce employees in the exercise of rights under the</w:t>
      </w:r>
      <w:r>
        <w:rPr>
          <w:b w:val="0"/>
          <w:bCs w:val="0"/>
          <w:sz w:val="24"/>
          <w:szCs w:val="24"/>
        </w:rPr>
        <w:t xml:space="preserve"> </w:t>
      </w:r>
      <w:r w:rsidRPr="009F5DB1">
        <w:rPr>
          <w:b w:val="0"/>
          <w:bCs w:val="0"/>
          <w:sz w:val="24"/>
          <w:szCs w:val="24"/>
        </w:rPr>
        <w:t>Act.7 Accordingly, we reverse the judge in part and dismiss the complaint.</w:t>
      </w:r>
    </w:p>
    <w:p w14:paraId="48B77C9F" w14:textId="77777777" w:rsidR="00465DC0" w:rsidRPr="00A00396" w:rsidRDefault="00465DC0" w:rsidP="00465DC0">
      <w:pPr>
        <w:pStyle w:val="Heading1"/>
        <w:ind w:left="1440"/>
        <w:rPr>
          <w:rStyle w:val="field"/>
          <w:b w:val="0"/>
          <w:bCs w:val="0"/>
          <w:sz w:val="24"/>
          <w:szCs w:val="24"/>
        </w:rPr>
      </w:pPr>
      <w:r w:rsidRPr="00A00396">
        <w:rPr>
          <w:b w:val="0"/>
          <w:bCs w:val="0"/>
          <w:sz w:val="24"/>
          <w:szCs w:val="24"/>
          <w:u w:val="single"/>
        </w:rPr>
        <w:t>GT d/b/a International Game Technology and International Union of Operating Engineers Local Union 501, AFL-CIO</w:t>
      </w:r>
      <w:r w:rsidRPr="009F5DB1">
        <w:rPr>
          <w:b w:val="0"/>
          <w:bCs w:val="0"/>
          <w:sz w:val="24"/>
          <w:szCs w:val="24"/>
        </w:rPr>
        <w:t>. November 24, 2020</w:t>
      </w:r>
      <w:r>
        <w:rPr>
          <w:b w:val="0"/>
          <w:bCs w:val="0"/>
          <w:sz w:val="24"/>
          <w:szCs w:val="24"/>
        </w:rPr>
        <w:t xml:space="preserve">. </w:t>
      </w:r>
      <w:hyperlink r:id="rId2862" w:history="1">
        <w:r w:rsidRPr="003F256B">
          <w:rPr>
            <w:rStyle w:val="Hyperlink"/>
            <w:rFonts w:eastAsiaTheme="majorEastAsia"/>
            <w:b w:val="0"/>
            <w:bCs w:val="0"/>
            <w:sz w:val="24"/>
            <w:szCs w:val="24"/>
          </w:rPr>
          <w:t>https://www.jacksonlewis.com/sites/default/files/docs/IGTBoardDecision.pdf</w:t>
        </w:r>
      </w:hyperlink>
      <w:r>
        <w:rPr>
          <w:b w:val="0"/>
          <w:bCs w:val="0"/>
          <w:sz w:val="24"/>
          <w:szCs w:val="24"/>
        </w:rPr>
        <w:t xml:space="preserve">  “</w:t>
      </w:r>
      <w:r w:rsidRPr="009F5DB1">
        <w:rPr>
          <w:b w:val="0"/>
          <w:bCs w:val="0"/>
          <w:sz w:val="24"/>
          <w:szCs w:val="24"/>
        </w:rPr>
        <w:t>The Respondent is a multinational company that assembles, installs, removes, services, and repairs gaming machines. It has a practice of offering the Agreement to employees terminated as a result of the elimination of their</w:t>
      </w:r>
      <w:r>
        <w:rPr>
          <w:b w:val="0"/>
          <w:bCs w:val="0"/>
          <w:sz w:val="24"/>
          <w:szCs w:val="24"/>
        </w:rPr>
        <w:t xml:space="preserve"> </w:t>
      </w:r>
      <w:r w:rsidRPr="009F5DB1">
        <w:rPr>
          <w:b w:val="0"/>
          <w:bCs w:val="0"/>
          <w:sz w:val="24"/>
          <w:szCs w:val="24"/>
        </w:rPr>
        <w:t>positions</w:t>
      </w:r>
      <w:r>
        <w:rPr>
          <w:b w:val="0"/>
          <w:bCs w:val="0"/>
          <w:sz w:val="24"/>
          <w:szCs w:val="24"/>
        </w:rPr>
        <w:t xml:space="preserve"> [with two weeks of pay]….I</w:t>
      </w:r>
      <w:r w:rsidRPr="00A00396">
        <w:rPr>
          <w:b w:val="0"/>
          <w:bCs w:val="0"/>
          <w:sz w:val="24"/>
          <w:szCs w:val="24"/>
        </w:rPr>
        <w:t>n conclusion, because the Agreement is entirely voluntary, does not affect pay or benefits that were established</w:t>
      </w:r>
      <w:r>
        <w:rPr>
          <w:b w:val="0"/>
          <w:bCs w:val="0"/>
          <w:sz w:val="24"/>
          <w:szCs w:val="24"/>
        </w:rPr>
        <w:t xml:space="preserve"> </w:t>
      </w:r>
      <w:r w:rsidRPr="00A00396">
        <w:rPr>
          <w:b w:val="0"/>
          <w:bCs w:val="0"/>
          <w:sz w:val="24"/>
          <w:szCs w:val="24"/>
        </w:rPr>
        <w:t xml:space="preserve">as terms of employment, and has not been proffered coercively, we find that the </w:t>
      </w:r>
      <w:proofErr w:type="spellStart"/>
      <w:r w:rsidRPr="00A00396">
        <w:rPr>
          <w:b w:val="0"/>
          <w:bCs w:val="0"/>
          <w:sz w:val="24"/>
          <w:szCs w:val="24"/>
        </w:rPr>
        <w:t>nondisparagement</w:t>
      </w:r>
      <w:proofErr w:type="spellEnd"/>
      <w:r w:rsidRPr="00A00396">
        <w:rPr>
          <w:b w:val="0"/>
          <w:bCs w:val="0"/>
          <w:sz w:val="24"/>
          <w:szCs w:val="24"/>
        </w:rPr>
        <w:t xml:space="preserve"> provision</w:t>
      </w:r>
      <w:r>
        <w:rPr>
          <w:b w:val="0"/>
          <w:bCs w:val="0"/>
          <w:sz w:val="24"/>
          <w:szCs w:val="24"/>
        </w:rPr>
        <w:t xml:space="preserve"> </w:t>
      </w:r>
      <w:r w:rsidRPr="00A00396">
        <w:rPr>
          <w:b w:val="0"/>
          <w:bCs w:val="0"/>
          <w:sz w:val="24"/>
          <w:szCs w:val="24"/>
        </w:rPr>
        <w:t>would not tend to interfere with, restrain, or coerce employees in the exercise of their rights under the Act.</w:t>
      </w:r>
      <w:r>
        <w:rPr>
          <w:b w:val="0"/>
          <w:bCs w:val="0"/>
          <w:sz w:val="24"/>
          <w:szCs w:val="24"/>
        </w:rPr>
        <w:t>”</w:t>
      </w:r>
    </w:p>
    <w:p w14:paraId="4234B2DB" w14:textId="77777777" w:rsidR="00465DC0" w:rsidRDefault="00465DC0" w:rsidP="00465DC0">
      <w:pPr>
        <w:pStyle w:val="Heading1"/>
        <w:ind w:left="720"/>
        <w:rPr>
          <w:rStyle w:val="field"/>
          <w:b w:val="0"/>
          <w:bCs w:val="0"/>
          <w:sz w:val="24"/>
          <w:szCs w:val="24"/>
        </w:rPr>
      </w:pPr>
      <w:r>
        <w:rPr>
          <w:rStyle w:val="field"/>
          <w:b w:val="0"/>
          <w:bCs w:val="0"/>
          <w:sz w:val="24"/>
          <w:szCs w:val="24"/>
        </w:rPr>
        <w:t xml:space="preserve">See dissent </w:t>
      </w:r>
      <w:proofErr w:type="gramStart"/>
      <w:r>
        <w:rPr>
          <w:rStyle w:val="field"/>
          <w:b w:val="0"/>
          <w:bCs w:val="0"/>
          <w:sz w:val="24"/>
          <w:szCs w:val="24"/>
        </w:rPr>
        <w:t>by</w:t>
      </w:r>
      <w:proofErr w:type="gramEnd"/>
      <w:r>
        <w:rPr>
          <w:rStyle w:val="field"/>
          <w:b w:val="0"/>
          <w:bCs w:val="0"/>
          <w:sz w:val="24"/>
          <w:szCs w:val="24"/>
        </w:rPr>
        <w:t xml:space="preserve"> NLRB member Marvin E. Kaplan: </w:t>
      </w:r>
    </w:p>
    <w:p w14:paraId="7ABE6641" w14:textId="77777777" w:rsidR="00465DC0" w:rsidRPr="00CB15E1" w:rsidRDefault="00465DC0" w:rsidP="00465DC0">
      <w:pPr>
        <w:pStyle w:val="Heading1"/>
        <w:ind w:left="1440"/>
        <w:rPr>
          <w:rStyle w:val="field"/>
          <w:b w:val="0"/>
          <w:bCs w:val="0"/>
          <w:sz w:val="24"/>
          <w:szCs w:val="24"/>
        </w:rPr>
      </w:pPr>
      <w:r>
        <w:rPr>
          <w:b w:val="0"/>
          <w:bCs w:val="0"/>
          <w:sz w:val="24"/>
          <w:szCs w:val="24"/>
        </w:rPr>
        <w:t>“</w:t>
      </w:r>
      <w:r w:rsidRPr="00CB15E1">
        <w:rPr>
          <w:b w:val="0"/>
          <w:bCs w:val="0"/>
          <w:sz w:val="24"/>
          <w:szCs w:val="24"/>
        </w:rPr>
        <w:t>Baylor and IGT were sound, pragmatic decisions fully</w:t>
      </w:r>
      <w:r>
        <w:rPr>
          <w:b w:val="0"/>
          <w:bCs w:val="0"/>
          <w:sz w:val="24"/>
          <w:szCs w:val="24"/>
        </w:rPr>
        <w:t xml:space="preserve"> </w:t>
      </w:r>
      <w:r w:rsidRPr="00CB15E1">
        <w:rPr>
          <w:b w:val="0"/>
          <w:bCs w:val="0"/>
          <w:sz w:val="24"/>
          <w:szCs w:val="24"/>
        </w:rPr>
        <w:t>consistent with the Act, and my colleagues have failed to</w:t>
      </w:r>
      <w:r>
        <w:rPr>
          <w:b w:val="0"/>
          <w:bCs w:val="0"/>
          <w:sz w:val="24"/>
          <w:szCs w:val="24"/>
        </w:rPr>
        <w:t xml:space="preserve"> </w:t>
      </w:r>
      <w:r w:rsidRPr="00CB15E1">
        <w:rPr>
          <w:b w:val="0"/>
          <w:bCs w:val="0"/>
          <w:sz w:val="24"/>
          <w:szCs w:val="24"/>
        </w:rPr>
        <w:t xml:space="preserve">establish sufficient grounds for overturning those decisions. Contrary to my colleagues’ assertions, the holdings in Baylor and IGT did not conflict with </w:t>
      </w:r>
      <w:r>
        <w:rPr>
          <w:b w:val="0"/>
          <w:bCs w:val="0"/>
          <w:sz w:val="24"/>
          <w:szCs w:val="24"/>
        </w:rPr>
        <w:t>‘</w:t>
      </w:r>
      <w:r w:rsidRPr="00CB15E1">
        <w:rPr>
          <w:b w:val="0"/>
          <w:bCs w:val="0"/>
          <w:sz w:val="24"/>
          <w:szCs w:val="24"/>
        </w:rPr>
        <w:t>long-standing precedent.</w:t>
      </w:r>
      <w:r>
        <w:rPr>
          <w:b w:val="0"/>
          <w:bCs w:val="0"/>
          <w:sz w:val="24"/>
          <w:szCs w:val="24"/>
        </w:rPr>
        <w:t>’</w:t>
      </w:r>
      <w:r w:rsidRPr="00CB15E1">
        <w:rPr>
          <w:b w:val="0"/>
          <w:bCs w:val="0"/>
          <w:sz w:val="24"/>
          <w:szCs w:val="24"/>
        </w:rPr>
        <w:t xml:space="preserve"> None of the cases cited by my colleagues found that an employer, never having suggested</w:t>
      </w:r>
      <w:r>
        <w:rPr>
          <w:b w:val="0"/>
          <w:bCs w:val="0"/>
          <w:sz w:val="24"/>
          <w:szCs w:val="24"/>
        </w:rPr>
        <w:t xml:space="preserve"> </w:t>
      </w:r>
      <w:r w:rsidRPr="00CB15E1">
        <w:rPr>
          <w:b w:val="0"/>
          <w:bCs w:val="0"/>
          <w:sz w:val="24"/>
          <w:szCs w:val="24"/>
        </w:rPr>
        <w:t xml:space="preserve">any proclivity to </w:t>
      </w:r>
      <w:proofErr w:type="gramStart"/>
      <w:r w:rsidRPr="00CB15E1">
        <w:rPr>
          <w:b w:val="0"/>
          <w:bCs w:val="0"/>
          <w:sz w:val="24"/>
          <w:szCs w:val="24"/>
        </w:rPr>
        <w:t>violate</w:t>
      </w:r>
      <w:proofErr w:type="gramEnd"/>
      <w:r w:rsidRPr="00CB15E1">
        <w:rPr>
          <w:b w:val="0"/>
          <w:bCs w:val="0"/>
          <w:sz w:val="24"/>
          <w:szCs w:val="24"/>
        </w:rPr>
        <w:t xml:space="preserve"> the Act, violated the Act by</w:t>
      </w:r>
      <w:r>
        <w:rPr>
          <w:b w:val="0"/>
          <w:bCs w:val="0"/>
          <w:sz w:val="24"/>
          <w:szCs w:val="24"/>
        </w:rPr>
        <w:t xml:space="preserve"> </w:t>
      </w:r>
      <w:r w:rsidRPr="00CB15E1">
        <w:rPr>
          <w:b w:val="0"/>
          <w:bCs w:val="0"/>
          <w:sz w:val="24"/>
          <w:szCs w:val="24"/>
        </w:rPr>
        <w:t>proffering a severance agreement that could possibly be</w:t>
      </w:r>
      <w:r>
        <w:rPr>
          <w:b w:val="0"/>
          <w:bCs w:val="0"/>
          <w:sz w:val="24"/>
          <w:szCs w:val="24"/>
        </w:rPr>
        <w:t xml:space="preserve"> </w:t>
      </w:r>
      <w:r w:rsidRPr="00CB15E1">
        <w:rPr>
          <w:b w:val="0"/>
          <w:bCs w:val="0"/>
          <w:sz w:val="24"/>
          <w:szCs w:val="24"/>
        </w:rPr>
        <w:t>interpreted as limiting Section 7 rights. Indeed, the instant case does not present those circumstances. Nevertheless, my colleagues have used this case to overrule</w:t>
      </w:r>
      <w:r>
        <w:rPr>
          <w:b w:val="0"/>
          <w:bCs w:val="0"/>
          <w:sz w:val="24"/>
          <w:szCs w:val="24"/>
        </w:rPr>
        <w:t xml:space="preserve"> </w:t>
      </w:r>
      <w:r w:rsidRPr="00CB15E1">
        <w:rPr>
          <w:b w:val="0"/>
          <w:bCs w:val="0"/>
          <w:sz w:val="24"/>
          <w:szCs w:val="24"/>
        </w:rPr>
        <w:t xml:space="preserve">extant </w:t>
      </w:r>
      <w:proofErr w:type="gramStart"/>
      <w:r w:rsidRPr="00CB15E1">
        <w:rPr>
          <w:b w:val="0"/>
          <w:bCs w:val="0"/>
          <w:sz w:val="24"/>
          <w:szCs w:val="24"/>
        </w:rPr>
        <w:t>law</w:t>
      </w:r>
      <w:proofErr w:type="gramEnd"/>
      <w:r w:rsidRPr="00CB15E1">
        <w:rPr>
          <w:b w:val="0"/>
          <w:bCs w:val="0"/>
          <w:sz w:val="24"/>
          <w:szCs w:val="24"/>
        </w:rPr>
        <w:t xml:space="preserve"> that </w:t>
      </w:r>
      <w:proofErr w:type="gramStart"/>
      <w:r w:rsidRPr="00CB15E1">
        <w:rPr>
          <w:b w:val="0"/>
          <w:bCs w:val="0"/>
          <w:sz w:val="24"/>
          <w:szCs w:val="24"/>
        </w:rPr>
        <w:t>was</w:t>
      </w:r>
      <w:proofErr w:type="gramEnd"/>
      <w:r w:rsidRPr="00CB15E1">
        <w:rPr>
          <w:b w:val="0"/>
          <w:bCs w:val="0"/>
          <w:sz w:val="24"/>
          <w:szCs w:val="24"/>
        </w:rPr>
        <w:t xml:space="preserve"> consistent with finding the violation</w:t>
      </w:r>
      <w:r>
        <w:rPr>
          <w:b w:val="0"/>
          <w:bCs w:val="0"/>
          <w:sz w:val="24"/>
          <w:szCs w:val="24"/>
        </w:rPr>
        <w:t xml:space="preserve"> </w:t>
      </w:r>
      <w:r w:rsidRPr="00CB15E1">
        <w:rPr>
          <w:b w:val="0"/>
          <w:bCs w:val="0"/>
          <w:sz w:val="24"/>
          <w:szCs w:val="24"/>
        </w:rPr>
        <w:t xml:space="preserve">in this case </w:t>
      </w:r>
      <w:proofErr w:type="gramStart"/>
      <w:r w:rsidRPr="00CB15E1">
        <w:rPr>
          <w:b w:val="0"/>
          <w:bCs w:val="0"/>
          <w:sz w:val="24"/>
          <w:szCs w:val="24"/>
        </w:rPr>
        <w:t>in order to</w:t>
      </w:r>
      <w:proofErr w:type="gramEnd"/>
      <w:r w:rsidRPr="00CB15E1">
        <w:rPr>
          <w:b w:val="0"/>
          <w:bCs w:val="0"/>
          <w:sz w:val="24"/>
          <w:szCs w:val="24"/>
        </w:rPr>
        <w:t xml:space="preserve"> change the law, in effect, for cases</w:t>
      </w:r>
      <w:r>
        <w:rPr>
          <w:b w:val="0"/>
          <w:bCs w:val="0"/>
          <w:sz w:val="24"/>
          <w:szCs w:val="24"/>
        </w:rPr>
        <w:t xml:space="preserve"> </w:t>
      </w:r>
      <w:r w:rsidRPr="00CB15E1">
        <w:rPr>
          <w:b w:val="0"/>
          <w:bCs w:val="0"/>
          <w:sz w:val="24"/>
          <w:szCs w:val="24"/>
        </w:rPr>
        <w:t>not involving the facts presented in this case. Not only</w:t>
      </w:r>
      <w:r>
        <w:rPr>
          <w:b w:val="0"/>
          <w:bCs w:val="0"/>
          <w:sz w:val="24"/>
          <w:szCs w:val="24"/>
        </w:rPr>
        <w:t xml:space="preserve"> </w:t>
      </w:r>
      <w:r w:rsidRPr="00CB15E1">
        <w:rPr>
          <w:b w:val="0"/>
          <w:bCs w:val="0"/>
          <w:sz w:val="24"/>
          <w:szCs w:val="24"/>
        </w:rPr>
        <w:t>does this new standard go beyond what is necessary to</w:t>
      </w:r>
      <w:r w:rsidRPr="00CB15E1">
        <w:rPr>
          <w:b w:val="0"/>
          <w:bCs w:val="0"/>
          <w:sz w:val="24"/>
          <w:szCs w:val="24"/>
        </w:rPr>
        <w:br/>
        <w:t>decide this case but, for the reasons I have discussed, my</w:t>
      </w:r>
      <w:r>
        <w:rPr>
          <w:b w:val="0"/>
          <w:bCs w:val="0"/>
          <w:sz w:val="24"/>
          <w:szCs w:val="24"/>
        </w:rPr>
        <w:t xml:space="preserve"> </w:t>
      </w:r>
      <w:r w:rsidRPr="00CB15E1">
        <w:rPr>
          <w:b w:val="0"/>
          <w:bCs w:val="0"/>
          <w:sz w:val="24"/>
          <w:szCs w:val="24"/>
        </w:rPr>
        <w:t>colleagues’ finding of a threat violation under this new</w:t>
      </w:r>
      <w:r>
        <w:rPr>
          <w:b w:val="0"/>
          <w:bCs w:val="0"/>
          <w:sz w:val="24"/>
          <w:szCs w:val="24"/>
        </w:rPr>
        <w:t xml:space="preserve"> </w:t>
      </w:r>
      <w:r w:rsidRPr="00CB15E1">
        <w:rPr>
          <w:b w:val="0"/>
          <w:bCs w:val="0"/>
          <w:sz w:val="24"/>
          <w:szCs w:val="24"/>
        </w:rPr>
        <w:t>standard is neither correct under Board law nor consistent with the General Counsel’s complaint and litigation of this matter. Accordingly, I must respectfully dissent from this aspect of my colleagues’ decision.</w:t>
      </w:r>
      <w:r>
        <w:rPr>
          <w:b w:val="0"/>
          <w:bCs w:val="0"/>
          <w:sz w:val="24"/>
          <w:szCs w:val="24"/>
        </w:rPr>
        <w:t>”</w:t>
      </w:r>
    </w:p>
    <w:p w14:paraId="540B75CB" w14:textId="6CC4D6F8" w:rsidR="00D478CB" w:rsidRDefault="0055155D" w:rsidP="00F326E5">
      <w:pPr>
        <w:pStyle w:val="NoSpacing"/>
        <w:rPr>
          <w:rFonts w:ascii="Arial Black" w:hAnsi="Arial Black"/>
          <w:sz w:val="24"/>
          <w:szCs w:val="24"/>
        </w:rPr>
      </w:pPr>
      <w:r>
        <w:rPr>
          <w:rFonts w:ascii="Arial Black" w:hAnsi="Arial Black"/>
          <w:sz w:val="24"/>
          <w:szCs w:val="24"/>
        </w:rPr>
        <w:t>17-26</w:t>
      </w:r>
    </w:p>
    <w:p w14:paraId="6D9866CD" w14:textId="77777777" w:rsidR="000C3B06" w:rsidRDefault="000C3B06" w:rsidP="000C3B06">
      <w:pPr>
        <w:pStyle w:val="Heading1"/>
        <w:rPr>
          <w:rStyle w:val="markedcontent"/>
          <w:rFonts w:ascii="Arial Black" w:hAnsi="Arial Black"/>
          <w:sz w:val="28"/>
          <w:szCs w:val="28"/>
        </w:rPr>
      </w:pPr>
      <w:r>
        <w:rPr>
          <w:rStyle w:val="markedcontent"/>
          <w:rFonts w:ascii="Arial Black" w:hAnsi="Arial Black"/>
          <w:sz w:val="28"/>
          <w:szCs w:val="28"/>
        </w:rPr>
        <w:t>IN: MAYOR RETALIATED AGAINST UNION– CHANGED SCHEDULE 24/48 TO 8/24 -  INJUNCTION AGAINST CHANGE</w:t>
      </w:r>
    </w:p>
    <w:p w14:paraId="0AACB7FE" w14:textId="77777777" w:rsidR="000C3B06" w:rsidRDefault="000C3B06" w:rsidP="000C3B06">
      <w:pPr>
        <w:pStyle w:val="Heading1"/>
        <w:rPr>
          <w:rStyle w:val="markedcontent"/>
          <w:b w:val="0"/>
          <w:bCs w:val="0"/>
          <w:sz w:val="24"/>
          <w:szCs w:val="24"/>
        </w:rPr>
      </w:pPr>
      <w:r w:rsidRPr="00C605B3">
        <w:rPr>
          <w:rStyle w:val="markedcontent"/>
          <w:b w:val="0"/>
          <w:bCs w:val="0"/>
          <w:sz w:val="24"/>
          <w:szCs w:val="24"/>
        </w:rPr>
        <w:t xml:space="preserve">On Dec. 21, 2022, in </w:t>
      </w:r>
      <w:r w:rsidRPr="00C605B3">
        <w:rPr>
          <w:rStyle w:val="markedcontent"/>
          <w:b w:val="0"/>
          <w:bCs w:val="0"/>
          <w:sz w:val="24"/>
          <w:szCs w:val="24"/>
          <w:u w:val="single"/>
        </w:rPr>
        <w:t>International Association of Firefighters, Local 365, et al. v. City of East Chicago and Anthony Copeland</w:t>
      </w:r>
      <w:r>
        <w:rPr>
          <w:rStyle w:val="markedcontent"/>
          <w:b w:val="0"/>
          <w:bCs w:val="0"/>
          <w:sz w:val="24"/>
          <w:szCs w:val="24"/>
        </w:rPr>
        <w:t xml:space="preserve">, the U.S. Court of Appeals for Seventh Circuit (Chicago), held (3 to 0) that the change in </w:t>
      </w:r>
      <w:r>
        <w:rPr>
          <w:rStyle w:val="markedcontent"/>
          <w:b w:val="0"/>
          <w:bCs w:val="0"/>
          <w:sz w:val="24"/>
          <w:szCs w:val="24"/>
        </w:rPr>
        <w:lastRenderedPageBreak/>
        <w:t xml:space="preserve">work schedule from 24/48 to 8/24 was in retaliation for union’s First Amendment activities, including support of the Mayor Anthony Copeland’s opponent in 2019, firefighters’ protest at his inauguration, their endorsement and election of six members of city’s Common Council,  their successful lobbying for increase in firefighter pay ordinance [which Mayor vetoed], and union rejection on Dec. 2, 2019 of proposed agreement to return to 24/48 schedule if union agreed to stop all lobbying.  </w:t>
      </w:r>
      <w:r w:rsidRPr="00545D9F">
        <w:rPr>
          <w:rStyle w:val="markedcontent"/>
          <w:b w:val="0"/>
          <w:bCs w:val="0"/>
          <w:sz w:val="24"/>
          <w:szCs w:val="24"/>
        </w:rPr>
        <w:t>On December 23, 2019, the Common</w:t>
      </w:r>
      <w:r>
        <w:rPr>
          <w:rStyle w:val="markedcontent"/>
          <w:b w:val="0"/>
          <w:bCs w:val="0"/>
          <w:sz w:val="24"/>
          <w:szCs w:val="24"/>
        </w:rPr>
        <w:t xml:space="preserve"> </w:t>
      </w:r>
      <w:r w:rsidRPr="00545D9F">
        <w:rPr>
          <w:rStyle w:val="markedcontent"/>
          <w:b w:val="0"/>
          <w:bCs w:val="0"/>
          <w:sz w:val="24"/>
          <w:szCs w:val="24"/>
        </w:rPr>
        <w:t>Council passed Ordinance 19-0029, which set the firefighters’</w:t>
      </w:r>
      <w:r>
        <w:rPr>
          <w:rStyle w:val="markedcontent"/>
          <w:b w:val="0"/>
          <w:bCs w:val="0"/>
          <w:sz w:val="24"/>
          <w:szCs w:val="24"/>
        </w:rPr>
        <w:t xml:space="preserve"> </w:t>
      </w:r>
      <w:r w:rsidRPr="00545D9F">
        <w:rPr>
          <w:rStyle w:val="markedcontent"/>
          <w:b w:val="0"/>
          <w:bCs w:val="0"/>
          <w:sz w:val="24"/>
          <w:szCs w:val="24"/>
        </w:rPr>
        <w:t>work schedule back to the 24/48 schedule. Copeland vetoed</w:t>
      </w:r>
      <w:r>
        <w:rPr>
          <w:rStyle w:val="markedcontent"/>
          <w:b w:val="0"/>
          <w:bCs w:val="0"/>
          <w:sz w:val="24"/>
          <w:szCs w:val="24"/>
        </w:rPr>
        <w:t xml:space="preserve"> </w:t>
      </w:r>
      <w:r w:rsidRPr="00545D9F">
        <w:rPr>
          <w:rStyle w:val="markedcontent"/>
          <w:b w:val="0"/>
          <w:bCs w:val="0"/>
          <w:sz w:val="24"/>
          <w:szCs w:val="24"/>
        </w:rPr>
        <w:t>the ordinance, but the Council passed the ordinance over the</w:t>
      </w:r>
      <w:r>
        <w:rPr>
          <w:rStyle w:val="markedcontent"/>
          <w:b w:val="0"/>
          <w:bCs w:val="0"/>
          <w:sz w:val="24"/>
          <w:szCs w:val="24"/>
        </w:rPr>
        <w:t xml:space="preserve"> </w:t>
      </w:r>
      <w:r w:rsidRPr="00545D9F">
        <w:rPr>
          <w:rStyle w:val="markedcontent"/>
          <w:b w:val="0"/>
          <w:bCs w:val="0"/>
          <w:sz w:val="24"/>
          <w:szCs w:val="24"/>
        </w:rPr>
        <w:t>veto.</w:t>
      </w:r>
      <w:r>
        <w:rPr>
          <w:rStyle w:val="markedcontent"/>
          <w:b w:val="0"/>
          <w:bCs w:val="0"/>
          <w:sz w:val="24"/>
          <w:szCs w:val="24"/>
        </w:rPr>
        <w:t xml:space="preserve"> </w:t>
      </w:r>
      <w:r w:rsidRPr="00545D9F">
        <w:rPr>
          <w:rStyle w:val="markedcontent"/>
          <w:b w:val="0"/>
          <w:bCs w:val="0"/>
          <w:sz w:val="24"/>
          <w:szCs w:val="24"/>
        </w:rPr>
        <w:t>On March 4, 2021, the Lake County Superior Court issued a decision agreeing with Copeland and</w:t>
      </w:r>
      <w:r>
        <w:rPr>
          <w:rStyle w:val="markedcontent"/>
          <w:b w:val="0"/>
          <w:bCs w:val="0"/>
          <w:sz w:val="24"/>
          <w:szCs w:val="24"/>
        </w:rPr>
        <w:t xml:space="preserve"> </w:t>
      </w:r>
      <w:r w:rsidRPr="00545D9F">
        <w:rPr>
          <w:rStyle w:val="markedcontent"/>
          <w:b w:val="0"/>
          <w:bCs w:val="0"/>
          <w:sz w:val="24"/>
          <w:szCs w:val="24"/>
        </w:rPr>
        <w:t>struck down the ordinance—leaving the 8/24 schedule in effect.</w:t>
      </w:r>
      <w:r>
        <w:rPr>
          <w:rStyle w:val="markedcontent"/>
          <w:b w:val="0"/>
          <w:bCs w:val="0"/>
          <w:sz w:val="24"/>
          <w:szCs w:val="24"/>
        </w:rPr>
        <w:t xml:space="preserve"> The union then sought a preliminary injunction in Federal court.  U.S. District Court Judge Phillip P. Simon (Northern District of Indiana) concluded after a two-day preliminary injunction hearing that the </w:t>
      </w:r>
      <w:proofErr w:type="gramStart"/>
      <w:r>
        <w:rPr>
          <w:rStyle w:val="markedcontent"/>
          <w:b w:val="0"/>
          <w:bCs w:val="0"/>
          <w:sz w:val="24"/>
          <w:szCs w:val="24"/>
        </w:rPr>
        <w:t>Mayor’s</w:t>
      </w:r>
      <w:proofErr w:type="gramEnd"/>
      <w:r>
        <w:rPr>
          <w:rStyle w:val="markedcontent"/>
          <w:b w:val="0"/>
          <w:bCs w:val="0"/>
          <w:sz w:val="24"/>
          <w:szCs w:val="24"/>
        </w:rPr>
        <w:t xml:space="preserve"> actions were motivated by the Local 365 First Amendment activities and on March 28, </w:t>
      </w:r>
      <w:proofErr w:type="gramStart"/>
      <w:r>
        <w:rPr>
          <w:rStyle w:val="markedcontent"/>
          <w:b w:val="0"/>
          <w:bCs w:val="0"/>
          <w:sz w:val="24"/>
          <w:szCs w:val="24"/>
        </w:rPr>
        <w:t>2021</w:t>
      </w:r>
      <w:proofErr w:type="gramEnd"/>
      <w:r>
        <w:rPr>
          <w:rStyle w:val="markedcontent"/>
          <w:b w:val="0"/>
          <w:bCs w:val="0"/>
          <w:sz w:val="24"/>
          <w:szCs w:val="24"/>
        </w:rPr>
        <w:t xml:space="preserve"> ordered City to return to 24/48 schedule.   </w:t>
      </w:r>
    </w:p>
    <w:p w14:paraId="1F1B45F2" w14:textId="77777777" w:rsidR="000C3B06" w:rsidRDefault="000C3B06" w:rsidP="000C3B06">
      <w:pPr>
        <w:pStyle w:val="Heading1"/>
        <w:ind w:left="720"/>
        <w:rPr>
          <w:rStyle w:val="markedcontent"/>
          <w:b w:val="0"/>
          <w:bCs w:val="0"/>
          <w:sz w:val="24"/>
          <w:szCs w:val="24"/>
        </w:rPr>
      </w:pPr>
      <w:r>
        <w:rPr>
          <w:rStyle w:val="markedcontent"/>
          <w:b w:val="0"/>
          <w:bCs w:val="0"/>
          <w:sz w:val="24"/>
          <w:szCs w:val="24"/>
        </w:rPr>
        <w:t>“[W]e f</w:t>
      </w:r>
      <w:r w:rsidRPr="00036C7B">
        <w:rPr>
          <w:rStyle w:val="markedcontent"/>
          <w:b w:val="0"/>
          <w:bCs w:val="0"/>
          <w:sz w:val="24"/>
          <w:szCs w:val="24"/>
        </w:rPr>
        <w:t>ind that the district court did</w:t>
      </w:r>
      <w:r>
        <w:rPr>
          <w:rStyle w:val="markedcontent"/>
          <w:b w:val="0"/>
          <w:bCs w:val="0"/>
          <w:sz w:val="24"/>
          <w:szCs w:val="24"/>
        </w:rPr>
        <w:t xml:space="preserve"> </w:t>
      </w:r>
      <w:r w:rsidRPr="00036C7B">
        <w:rPr>
          <w:rStyle w:val="markedcontent"/>
          <w:b w:val="0"/>
          <w:bCs w:val="0"/>
          <w:sz w:val="24"/>
          <w:szCs w:val="24"/>
        </w:rPr>
        <w:t>not err in determining that the defendants’ actions were motivated by the Fire Fighters’ First Amendment activity; that</w:t>
      </w:r>
      <w:r>
        <w:rPr>
          <w:rStyle w:val="markedcontent"/>
          <w:b w:val="0"/>
          <w:bCs w:val="0"/>
          <w:sz w:val="24"/>
          <w:szCs w:val="24"/>
        </w:rPr>
        <w:t xml:space="preserve"> </w:t>
      </w:r>
      <w:r w:rsidRPr="00036C7B">
        <w:rPr>
          <w:rStyle w:val="markedcontent"/>
          <w:b w:val="0"/>
          <w:bCs w:val="0"/>
          <w:sz w:val="24"/>
          <w:szCs w:val="24"/>
        </w:rPr>
        <w:t>there was no evidence that the 8/24 schedule was expected to</w:t>
      </w:r>
      <w:r>
        <w:rPr>
          <w:rStyle w:val="markedcontent"/>
          <w:b w:val="0"/>
          <w:bCs w:val="0"/>
          <w:sz w:val="24"/>
          <w:szCs w:val="24"/>
        </w:rPr>
        <w:t xml:space="preserve"> </w:t>
      </w:r>
      <w:r w:rsidRPr="00036C7B">
        <w:rPr>
          <w:rStyle w:val="markedcontent"/>
          <w:b w:val="0"/>
          <w:bCs w:val="0"/>
          <w:sz w:val="24"/>
          <w:szCs w:val="24"/>
        </w:rPr>
        <w:t xml:space="preserve">result in cost-savings for the </w:t>
      </w:r>
      <w:proofErr w:type="gramStart"/>
      <w:r w:rsidRPr="00036C7B">
        <w:rPr>
          <w:rStyle w:val="markedcontent"/>
          <w:b w:val="0"/>
          <w:bCs w:val="0"/>
          <w:sz w:val="24"/>
          <w:szCs w:val="24"/>
        </w:rPr>
        <w:t>City</w:t>
      </w:r>
      <w:proofErr w:type="gramEnd"/>
      <w:r w:rsidRPr="00036C7B">
        <w:rPr>
          <w:rStyle w:val="markedcontent"/>
          <w:b w:val="0"/>
          <w:bCs w:val="0"/>
          <w:sz w:val="24"/>
          <w:szCs w:val="24"/>
        </w:rPr>
        <w:t>; and that the Fire Fighters</w:t>
      </w:r>
      <w:r>
        <w:rPr>
          <w:rStyle w:val="markedcontent"/>
          <w:b w:val="0"/>
          <w:bCs w:val="0"/>
          <w:sz w:val="24"/>
          <w:szCs w:val="24"/>
        </w:rPr>
        <w:t xml:space="preserve"> </w:t>
      </w:r>
      <w:r w:rsidRPr="00036C7B">
        <w:rPr>
          <w:rStyle w:val="markedcontent"/>
          <w:b w:val="0"/>
          <w:bCs w:val="0"/>
          <w:sz w:val="24"/>
          <w:szCs w:val="24"/>
        </w:rPr>
        <w:t xml:space="preserve">would suffer irreparable harms without an injunction. We </w:t>
      </w:r>
      <w:r>
        <w:rPr>
          <w:rStyle w:val="markedcontent"/>
          <w:b w:val="0"/>
          <w:bCs w:val="0"/>
          <w:sz w:val="24"/>
          <w:szCs w:val="24"/>
        </w:rPr>
        <w:t xml:space="preserve"> </w:t>
      </w:r>
      <w:r w:rsidRPr="00036C7B">
        <w:rPr>
          <w:rStyle w:val="markedcontent"/>
          <w:b w:val="0"/>
          <w:bCs w:val="0"/>
          <w:sz w:val="24"/>
          <w:szCs w:val="24"/>
        </w:rPr>
        <w:t>additionally find that the district court did not abuse its discretion in balancing the equities in this case, considering the severity of the harms the Fire Fighters have experienced and the</w:t>
      </w:r>
      <w:r>
        <w:rPr>
          <w:rStyle w:val="markedcontent"/>
          <w:b w:val="0"/>
          <w:bCs w:val="0"/>
          <w:sz w:val="24"/>
          <w:szCs w:val="24"/>
        </w:rPr>
        <w:t xml:space="preserve"> </w:t>
      </w:r>
      <w:r w:rsidRPr="00036C7B">
        <w:rPr>
          <w:rStyle w:val="markedcontent"/>
          <w:b w:val="0"/>
          <w:bCs w:val="0"/>
          <w:sz w:val="24"/>
          <w:szCs w:val="24"/>
        </w:rPr>
        <w:t>lack of evidence supporting the defendants’ alleged harms.</w:t>
      </w:r>
      <w:r w:rsidRPr="00036C7B">
        <w:rPr>
          <w:b w:val="0"/>
          <w:bCs w:val="0"/>
          <w:sz w:val="24"/>
          <w:szCs w:val="24"/>
        </w:rPr>
        <w:br/>
      </w:r>
      <w:r w:rsidRPr="00036C7B">
        <w:rPr>
          <w:rStyle w:val="markedcontent"/>
          <w:b w:val="0"/>
          <w:bCs w:val="0"/>
          <w:sz w:val="24"/>
          <w:szCs w:val="24"/>
        </w:rPr>
        <w:t>The decision of the district court is therefore AFFIRMED.</w:t>
      </w:r>
      <w:r>
        <w:rPr>
          <w:rStyle w:val="markedcontent"/>
          <w:b w:val="0"/>
          <w:bCs w:val="0"/>
          <w:sz w:val="24"/>
          <w:szCs w:val="24"/>
        </w:rPr>
        <w:t xml:space="preserve">” </w:t>
      </w:r>
      <w:hyperlink r:id="rId2863" w:history="1">
        <w:r w:rsidRPr="00BA5840">
          <w:rPr>
            <w:rStyle w:val="Hyperlink"/>
            <w:rFonts w:eastAsiaTheme="majorEastAsia"/>
            <w:b w:val="0"/>
            <w:bCs w:val="0"/>
            <w:sz w:val="24"/>
            <w:szCs w:val="24"/>
          </w:rPr>
          <w:t>https://caselaw.findlaw.com/us-7th-circuit/2104809.html</w:t>
        </w:r>
      </w:hyperlink>
      <w:r>
        <w:rPr>
          <w:rStyle w:val="markedcontent"/>
          <w:b w:val="0"/>
          <w:bCs w:val="0"/>
          <w:sz w:val="24"/>
          <w:szCs w:val="24"/>
        </w:rPr>
        <w:t xml:space="preserve"> </w:t>
      </w:r>
    </w:p>
    <w:p w14:paraId="74571101" w14:textId="77777777" w:rsidR="000C3B06" w:rsidRPr="00112028" w:rsidRDefault="000C3B06" w:rsidP="000C3B06">
      <w:pPr>
        <w:pStyle w:val="Heading1"/>
        <w:rPr>
          <w:rStyle w:val="markedcontent"/>
          <w:sz w:val="24"/>
          <w:szCs w:val="24"/>
        </w:rPr>
      </w:pPr>
      <w:r w:rsidRPr="00112028">
        <w:rPr>
          <w:rStyle w:val="markedcontent"/>
          <w:sz w:val="24"/>
          <w:szCs w:val="24"/>
        </w:rPr>
        <w:t xml:space="preserve">Legal Lesson Learned: Union’s First Amendment rights were protected from retaliation by the </w:t>
      </w:r>
      <w:proofErr w:type="gramStart"/>
      <w:r w:rsidRPr="00112028">
        <w:rPr>
          <w:rStyle w:val="markedcontent"/>
          <w:sz w:val="24"/>
          <w:szCs w:val="24"/>
        </w:rPr>
        <w:t>Mayor</w:t>
      </w:r>
      <w:proofErr w:type="gramEnd"/>
      <w:r w:rsidRPr="00112028">
        <w:rPr>
          <w:rStyle w:val="markedcontent"/>
          <w:sz w:val="24"/>
          <w:szCs w:val="24"/>
        </w:rPr>
        <w:t>. Interesting fact: Mayor Anthony Copeland</w:t>
      </w:r>
      <w:r>
        <w:rPr>
          <w:rStyle w:val="markedcontent"/>
          <w:sz w:val="24"/>
          <w:szCs w:val="24"/>
        </w:rPr>
        <w:t xml:space="preserve"> was </w:t>
      </w:r>
      <w:r w:rsidRPr="00112028">
        <w:rPr>
          <w:rStyle w:val="markedcontent"/>
          <w:sz w:val="24"/>
          <w:szCs w:val="24"/>
        </w:rPr>
        <w:t xml:space="preserve">a former firefighter of twenty-six years. </w:t>
      </w:r>
      <w:r w:rsidRPr="00112028">
        <w:rPr>
          <w:sz w:val="24"/>
          <w:szCs w:val="24"/>
        </w:rPr>
        <w:br/>
      </w:r>
    </w:p>
    <w:p w14:paraId="7F15422B" w14:textId="77777777" w:rsidR="000C3B06" w:rsidRDefault="000C3B06" w:rsidP="00F326E5">
      <w:pPr>
        <w:pStyle w:val="NoSpacing"/>
        <w:rPr>
          <w:rFonts w:ascii="Arial Black" w:hAnsi="Arial Black"/>
          <w:sz w:val="24"/>
          <w:szCs w:val="24"/>
        </w:rPr>
      </w:pPr>
    </w:p>
    <w:p w14:paraId="4B83653C" w14:textId="77777777" w:rsidR="000C3B06" w:rsidRDefault="000C3B06" w:rsidP="00F326E5">
      <w:pPr>
        <w:pStyle w:val="NoSpacing"/>
        <w:rPr>
          <w:rFonts w:ascii="Arial Black" w:hAnsi="Arial Black"/>
          <w:sz w:val="24"/>
          <w:szCs w:val="24"/>
        </w:rPr>
      </w:pPr>
    </w:p>
    <w:p w14:paraId="56E1E513" w14:textId="77777777" w:rsidR="000C3B06" w:rsidRDefault="000C3B06" w:rsidP="00F326E5">
      <w:pPr>
        <w:pStyle w:val="NoSpacing"/>
        <w:rPr>
          <w:rFonts w:ascii="Arial Black" w:hAnsi="Arial Black"/>
          <w:sz w:val="24"/>
          <w:szCs w:val="24"/>
        </w:rPr>
      </w:pPr>
    </w:p>
    <w:p w14:paraId="161B1174" w14:textId="0ACF89B0" w:rsidR="000C3B06" w:rsidRDefault="000C3B06" w:rsidP="00F326E5">
      <w:pPr>
        <w:pStyle w:val="NoSpacing"/>
        <w:rPr>
          <w:rFonts w:ascii="Arial Black" w:hAnsi="Arial Black"/>
          <w:sz w:val="24"/>
          <w:szCs w:val="24"/>
        </w:rPr>
      </w:pPr>
      <w:r>
        <w:rPr>
          <w:rFonts w:ascii="Arial Black" w:hAnsi="Arial Black"/>
          <w:sz w:val="24"/>
          <w:szCs w:val="24"/>
        </w:rPr>
        <w:t>17-25</w:t>
      </w:r>
    </w:p>
    <w:p w14:paraId="3ADFD6BE" w14:textId="77777777" w:rsidR="000C3B06" w:rsidRPr="002631BE" w:rsidRDefault="000C3B06" w:rsidP="000C3B06">
      <w:pPr>
        <w:pStyle w:val="NormalWeb"/>
        <w:rPr>
          <w:rFonts w:ascii="Arial Black" w:hAnsi="Arial Black"/>
          <w:sz w:val="28"/>
          <w:szCs w:val="28"/>
        </w:rPr>
      </w:pPr>
      <w:r>
        <w:rPr>
          <w:rFonts w:ascii="Arial Black" w:hAnsi="Arial Black"/>
          <w:sz w:val="28"/>
          <w:szCs w:val="28"/>
        </w:rPr>
        <w:t xml:space="preserve">NY: YONKERS MUST CONTINUE TO PAY DISABELED FFs UNDER AGE 65 – HOLIDAY, CHECK-IN, BUT NOT NIGHT PAY </w:t>
      </w:r>
    </w:p>
    <w:p w14:paraId="383DF849" w14:textId="77777777" w:rsidR="000C3B06" w:rsidRDefault="000C3B06" w:rsidP="000C3B06">
      <w:pPr>
        <w:pStyle w:val="NormalWeb"/>
      </w:pPr>
      <w:r>
        <w:t xml:space="preserve">On Dec. 15, 2022, in </w:t>
      </w:r>
      <w:r w:rsidRPr="00126012">
        <w:rPr>
          <w:u w:val="single"/>
        </w:rPr>
        <w:t>In The Matter Of John Borelli, et al. v. City of Younkers</w:t>
      </w:r>
      <w:r>
        <w:t>, the New York Court of Appeals held (4 to 2) that 39 disabled firefighters, who are under age 65 and therefore by State law receive supplemental payments to equal the pay of current firefighters at same pay grade, are entitled to Holiday Pay and Check-In Pay (required to report for duty 12 minutes early) since all current firefighters receive, but they are not entitled to Night Differential since only firefighters work nights get that pay.  The State of New York has had statutes since 1938 protecting firefighters disabled in the line of duty, and in 1977 enacted General Municipal Law § 207-a (2) which provides that until a disabled firefighter reaches the mandatory retirement age of 65, their municipal employer must make up the difference between the state's disability pension benefits and the firefighters' "regular salary or wages."</w:t>
      </w:r>
    </w:p>
    <w:p w14:paraId="3C6AEA60" w14:textId="77777777" w:rsidR="000C3B06" w:rsidRPr="00C9121A" w:rsidRDefault="000C3B06" w:rsidP="000C3B06">
      <w:pPr>
        <w:pStyle w:val="NormalWeb"/>
        <w:ind w:left="1440"/>
      </w:pPr>
      <w:r>
        <w:t xml:space="preserve">“It is clear from the CBAs that all firefighters are entitled to receive holiday pay and check-in pay based solely on the performance of regular job duties. The provisions of the CBAs governing check-in pay require that firefighters be present for duty 12 minutes prior to the commencement of their tours of duty to receive instruction, equipment, and for other miscellaneous duties. They specify, without qualification, that each employee "shall receive an additional [5½] days [of pay]" per year. The provisions governing holiday pay provide that firefighters shall be paid for </w:t>
      </w:r>
      <w:r>
        <w:lastRenderedPageBreak/>
        <w:t xml:space="preserve">12 holidays," </w:t>
      </w:r>
      <w:r>
        <w:rPr>
          <w:rStyle w:val="Emphasis"/>
        </w:rPr>
        <w:t>whether worked or not</w:t>
      </w:r>
      <w:r>
        <w:t xml:space="preserve">" (emphasis added). Hence, all active-duty firefighters performing their regular job duties are contractually entitled to receive both check-in pay and holiday pay. “ </w:t>
      </w:r>
      <w:hyperlink r:id="rId2864" w:history="1">
        <w:r w:rsidRPr="00237809">
          <w:rPr>
            <w:rStyle w:val="Hyperlink"/>
            <w:rFonts w:eastAsiaTheme="majorEastAsia"/>
          </w:rPr>
          <w:t>https://law.justia.com/cases/new-york/court-of-appeals/2022/95.html</w:t>
        </w:r>
      </w:hyperlink>
      <w:r>
        <w:t xml:space="preserve"> </w:t>
      </w:r>
    </w:p>
    <w:p w14:paraId="6CAE4741" w14:textId="77777777" w:rsidR="000C3B06" w:rsidRPr="00D15F79" w:rsidRDefault="000C3B06" w:rsidP="000C3B06">
      <w:pPr>
        <w:pStyle w:val="NormalWeb"/>
        <w:rPr>
          <w:b/>
          <w:bCs/>
        </w:rPr>
      </w:pPr>
      <w:r w:rsidRPr="00D15F79">
        <w:rPr>
          <w:b/>
          <w:bCs/>
        </w:rPr>
        <w:t>Legal Lesson Learned:</w:t>
      </w:r>
      <w:r>
        <w:rPr>
          <w:b/>
          <w:bCs/>
        </w:rPr>
        <w:t xml:space="preserve"> For decades Yonkers has made these “special pays</w:t>
      </w:r>
      <w:proofErr w:type="gramStart"/>
      <w:r>
        <w:rPr>
          <w:b/>
          <w:bCs/>
        </w:rPr>
        <w:t>”</w:t>
      </w:r>
      <w:proofErr w:type="gramEnd"/>
      <w:r>
        <w:rPr>
          <w:b/>
          <w:bCs/>
        </w:rPr>
        <w:t xml:space="preserve"> and the NY’s Highest court will require they continue this practice. </w:t>
      </w:r>
    </w:p>
    <w:p w14:paraId="74F07568" w14:textId="77777777" w:rsidR="000C3B06" w:rsidRPr="002476FF" w:rsidRDefault="000C3B06" w:rsidP="000C3B06">
      <w:pPr>
        <w:pStyle w:val="NormalWeb"/>
        <w:ind w:left="720"/>
      </w:pPr>
      <w:r w:rsidRPr="002476FF">
        <w:t>Note: Two dissenting Justices</w:t>
      </w:r>
      <w:r>
        <w:t xml:space="preserve"> noted </w:t>
      </w:r>
      <w:r w:rsidRPr="002476FF">
        <w:t>“A proper interpretation of this statutory term is critical; any unwarranted expansion of the definition undermines the goals of the legislation, forcing municipalities to spend more on disability payments and less on active fire protection.”</w:t>
      </w:r>
      <w:r>
        <w:t xml:space="preserve"> The Justices noted that City of Yonkers has faced a financial difficulty, including $7.4 million gap in their Public School District budget. </w:t>
      </w:r>
      <w:hyperlink r:id="rId2865" w:history="1">
        <w:r w:rsidRPr="002C395C">
          <w:rPr>
            <w:rStyle w:val="Hyperlink"/>
          </w:rPr>
          <w:t>https://law.justia.com/cases/new-york/court-of-appeals/2022/95.html</w:t>
        </w:r>
      </w:hyperlink>
      <w:r>
        <w:t xml:space="preserve"> </w:t>
      </w:r>
    </w:p>
    <w:p w14:paraId="47D50D18" w14:textId="77777777" w:rsidR="000C3B06" w:rsidRDefault="000C3B06" w:rsidP="000C3B06">
      <w:pPr>
        <w:pStyle w:val="NormalWeb"/>
        <w:ind w:left="720"/>
      </w:pPr>
      <w:r w:rsidRPr="003C6E0D">
        <w:t xml:space="preserve">Note: </w:t>
      </w:r>
      <w:r>
        <w:t xml:space="preserve">See this companion case.  On Dec. 15, 2022, in </w:t>
      </w:r>
      <w:r w:rsidRPr="001D3F7D">
        <w:rPr>
          <w:u w:val="single"/>
        </w:rPr>
        <w:t>In The Matter Of City of Yonkers v. Yonkers Fire Fighters, Local 628</w:t>
      </w:r>
      <w:r>
        <w:t xml:space="preserve">, the New York Court of Appeals held (6 to 0) that the City must arbitrate with Local 628 over their plan to discontinue their practice since at least 1995 to pay “special pay” (including holiday pay, check-in pay for reporting to duty 12 minutes early, and night differential) not only to active duty firefighters, but also to disabled firefighters who have not yet reached age 65. </w:t>
      </w:r>
      <w:hyperlink r:id="rId2866" w:history="1">
        <w:r w:rsidRPr="00237809">
          <w:rPr>
            <w:rStyle w:val="Hyperlink"/>
            <w:rFonts w:eastAsiaTheme="majorEastAsia"/>
          </w:rPr>
          <w:t>https://www.nycourts.gov/ctapps/Decisions/2022/Dec22/96opn22-Decision.pdf \</w:t>
        </w:r>
      </w:hyperlink>
    </w:p>
    <w:p w14:paraId="306557A3" w14:textId="77777777" w:rsidR="000C3B06" w:rsidRDefault="000C3B06" w:rsidP="00F326E5">
      <w:pPr>
        <w:pStyle w:val="NoSpacing"/>
        <w:rPr>
          <w:rFonts w:ascii="Arial Black" w:hAnsi="Arial Black"/>
          <w:sz w:val="24"/>
          <w:szCs w:val="24"/>
        </w:rPr>
      </w:pPr>
    </w:p>
    <w:p w14:paraId="74BDB962" w14:textId="77777777" w:rsidR="000C3B06" w:rsidRDefault="000C3B06" w:rsidP="00F326E5">
      <w:pPr>
        <w:pStyle w:val="NoSpacing"/>
        <w:rPr>
          <w:rFonts w:ascii="Arial Black" w:hAnsi="Arial Black"/>
          <w:sz w:val="24"/>
          <w:szCs w:val="24"/>
        </w:rPr>
      </w:pPr>
    </w:p>
    <w:p w14:paraId="6289588B" w14:textId="277954FA" w:rsidR="009C612E" w:rsidRDefault="009C612E" w:rsidP="00F326E5">
      <w:pPr>
        <w:pStyle w:val="NoSpacing"/>
        <w:rPr>
          <w:rFonts w:ascii="Arial Black" w:hAnsi="Arial Black"/>
          <w:sz w:val="24"/>
          <w:szCs w:val="24"/>
        </w:rPr>
      </w:pPr>
      <w:r>
        <w:rPr>
          <w:rFonts w:ascii="Arial Black" w:hAnsi="Arial Black"/>
          <w:sz w:val="24"/>
          <w:szCs w:val="24"/>
        </w:rPr>
        <w:t>17-24</w:t>
      </w:r>
    </w:p>
    <w:p w14:paraId="76FAC3CB" w14:textId="77777777" w:rsidR="009C612E" w:rsidRDefault="009C612E" w:rsidP="009C612E">
      <w:pPr>
        <w:pStyle w:val="NormalWeb"/>
        <w:rPr>
          <w:rFonts w:ascii="Arial Black" w:hAnsi="Arial Black"/>
          <w:sz w:val="28"/>
          <w:szCs w:val="28"/>
        </w:rPr>
      </w:pPr>
      <w:r>
        <w:rPr>
          <w:rFonts w:ascii="Arial Black" w:hAnsi="Arial Black"/>
          <w:sz w:val="28"/>
          <w:szCs w:val="28"/>
        </w:rPr>
        <w:t>TX: AUSTIN - CBA 5,600 HOURS FOR UNION OFFICERS IS LAWFUL – TAXPAYERS LAWSUIT FRIVOLOUS, PENALTY</w:t>
      </w:r>
    </w:p>
    <w:p w14:paraId="0D363C49" w14:textId="77777777" w:rsidR="009C612E" w:rsidRDefault="009C612E" w:rsidP="009C612E">
      <w:pPr>
        <w:pStyle w:val="NormalWeb"/>
      </w:pPr>
      <w:r>
        <w:t xml:space="preserve">On Nov. 22, 2022, in </w:t>
      </w:r>
      <w:r w:rsidRPr="00825D12">
        <w:rPr>
          <w:u w:val="single"/>
        </w:rPr>
        <w:t>Roger Borgelt</w:t>
      </w:r>
      <w:r>
        <w:rPr>
          <w:u w:val="single"/>
        </w:rPr>
        <w:t xml:space="preserve">, Mark Pulliam, Jay Wiley, </w:t>
      </w:r>
      <w:r w:rsidRPr="00825D12">
        <w:rPr>
          <w:u w:val="single"/>
        </w:rPr>
        <w:t>et al. v. Austin Firefighters Association, IAFF Local 975, et al</w:t>
      </w:r>
      <w:r>
        <w:t xml:space="preserve">., the Court of Appeals of Texas, Third District (Austin) held (3 to 0) that trial court properly dismissed lawsuit by two taxpayers who claimed the granting of paid time to Association President violated the Texas Constitution's "Gift Clauses." Trial court also imposed $75,000 </w:t>
      </w:r>
      <w:proofErr w:type="gramStart"/>
      <w:r>
        <w:t>sanction</w:t>
      </w:r>
      <w:proofErr w:type="gramEnd"/>
      <w:r>
        <w:t xml:space="preserve"> and attorney fees against Pulliam and Wiley for filing a frivolous lawsuit. </w:t>
      </w:r>
    </w:p>
    <w:p w14:paraId="74B3619B" w14:textId="77777777" w:rsidR="009C612E" w:rsidRDefault="009C612E" w:rsidP="009C612E">
      <w:pPr>
        <w:pStyle w:val="NormalWeb"/>
        <w:ind w:left="720"/>
      </w:pPr>
      <w:r>
        <w:t>“Borgelt and the State's argument fails because Borgelt and the State ignore the fact that, as the trial court found, the Association's mission-facilitating good labor relations between the AFD and its public-servant employees, furthering professional standards for firefighters, and promoting firefighter and public safety-overlaps with the mission of the AFD, and the two organizations' missions are not mutually exclusive. Thus, work done on behalf of the Association by firefighters who are using Association Leave not only furthers the mission of the Association but also furthers AFD's mission and public purpose of providing safe and efficient fire safety and emergency services.</w:t>
      </w:r>
    </w:p>
    <w:p w14:paraId="20B47424" w14:textId="77777777" w:rsidR="009C612E" w:rsidRDefault="009C612E" w:rsidP="009C612E">
      <w:pPr>
        <w:pStyle w:val="NormalWeb"/>
        <w:ind w:left="720"/>
      </w:pPr>
      <w:r>
        <w:t>***</w:t>
      </w:r>
    </w:p>
    <w:p w14:paraId="45D8543B" w14:textId="77777777" w:rsidR="009C612E" w:rsidRDefault="009C612E" w:rsidP="009C612E">
      <w:pPr>
        <w:pStyle w:val="NormalWeb"/>
        <w:ind w:left="720"/>
      </w:pPr>
      <w:r>
        <w:t xml:space="preserve">We conclude that the trial court did not abuse its discretion by determining that a $75,000 sanction was required to deter further similar actions by Pulliam or Wiley…. Wiley admitted to using the lawsuit as publicity to support his political platform as a ’fiscal conservative’ seeking ‘union reform’ and ‘right-to-work laws’ in Texas. In 2016, when this suit was initially filed, and again in 2018, Wiley ran in the Republican primaries for seats in the Texas House of Representatives.”  </w:t>
      </w:r>
      <w:hyperlink r:id="rId2867" w:history="1">
        <w:r w:rsidRPr="00386BA5">
          <w:rPr>
            <w:rStyle w:val="Hyperlink"/>
            <w:rFonts w:eastAsiaTheme="majorEastAsia"/>
          </w:rPr>
          <w:t>https://law.justia.com/cases/texas/third-court-of-appeals/2022/03-21-00227-cv.html</w:t>
        </w:r>
      </w:hyperlink>
      <w:r>
        <w:rPr>
          <w:rStyle w:val="Hyperlink"/>
          <w:rFonts w:eastAsiaTheme="majorEastAsia"/>
        </w:rPr>
        <w:t xml:space="preserve"> </w:t>
      </w:r>
    </w:p>
    <w:p w14:paraId="2829A5C7" w14:textId="77777777" w:rsidR="009C612E" w:rsidRPr="00BF256B" w:rsidRDefault="009C612E" w:rsidP="009C612E">
      <w:pPr>
        <w:pStyle w:val="NormalWeb"/>
        <w:rPr>
          <w:b/>
          <w:bCs/>
        </w:rPr>
      </w:pPr>
      <w:r w:rsidRPr="00BF256B">
        <w:rPr>
          <w:b/>
          <w:bCs/>
        </w:rPr>
        <w:lastRenderedPageBreak/>
        <w:t>Legal Lesson Learned:</w:t>
      </w:r>
      <w:r>
        <w:rPr>
          <w:b/>
          <w:bCs/>
        </w:rPr>
        <w:t xml:space="preserve"> CBA provision for paid time for union officers is lawful. </w:t>
      </w:r>
    </w:p>
    <w:p w14:paraId="65AF781B" w14:textId="77777777" w:rsidR="009C612E" w:rsidRDefault="009C612E" w:rsidP="00F326E5">
      <w:pPr>
        <w:pStyle w:val="NoSpacing"/>
        <w:rPr>
          <w:rFonts w:ascii="Arial Black" w:hAnsi="Arial Black"/>
          <w:sz w:val="24"/>
          <w:szCs w:val="24"/>
        </w:rPr>
      </w:pPr>
    </w:p>
    <w:p w14:paraId="5F1F5E65" w14:textId="77777777" w:rsidR="009C612E" w:rsidRDefault="009C612E" w:rsidP="00F326E5">
      <w:pPr>
        <w:pStyle w:val="NoSpacing"/>
        <w:rPr>
          <w:rFonts w:ascii="Arial Black" w:hAnsi="Arial Black"/>
          <w:sz w:val="24"/>
          <w:szCs w:val="24"/>
        </w:rPr>
      </w:pPr>
    </w:p>
    <w:p w14:paraId="000CCD96" w14:textId="7B42FC91" w:rsidR="009C612E" w:rsidRDefault="009C612E" w:rsidP="00F326E5">
      <w:pPr>
        <w:pStyle w:val="NoSpacing"/>
        <w:rPr>
          <w:rFonts w:ascii="Arial Black" w:hAnsi="Arial Black"/>
          <w:sz w:val="24"/>
          <w:szCs w:val="24"/>
        </w:rPr>
      </w:pPr>
      <w:r>
        <w:rPr>
          <w:rFonts w:ascii="Arial Black" w:hAnsi="Arial Black"/>
          <w:sz w:val="24"/>
          <w:szCs w:val="24"/>
        </w:rPr>
        <w:t>17-23</w:t>
      </w:r>
    </w:p>
    <w:p w14:paraId="53E040CF" w14:textId="5D232209" w:rsidR="009C612E" w:rsidRDefault="009C612E" w:rsidP="00F326E5">
      <w:pPr>
        <w:pStyle w:val="NoSpacing"/>
        <w:rPr>
          <w:rFonts w:ascii="Arial Black" w:hAnsi="Arial Black"/>
          <w:sz w:val="24"/>
          <w:szCs w:val="24"/>
        </w:rPr>
      </w:pPr>
    </w:p>
    <w:p w14:paraId="79C8D959" w14:textId="77777777" w:rsidR="009C612E" w:rsidRPr="00483F12" w:rsidRDefault="009C612E" w:rsidP="009C612E">
      <w:pPr>
        <w:pStyle w:val="NormalWeb"/>
        <w:rPr>
          <w:rFonts w:ascii="Arial Black" w:hAnsi="Arial Black"/>
          <w:b/>
          <w:bCs/>
          <w:sz w:val="28"/>
          <w:szCs w:val="28"/>
        </w:rPr>
      </w:pPr>
      <w:r w:rsidRPr="00483F12">
        <w:rPr>
          <w:rFonts w:ascii="Arial Black" w:hAnsi="Arial Black"/>
          <w:b/>
          <w:bCs/>
          <w:sz w:val="28"/>
          <w:szCs w:val="28"/>
        </w:rPr>
        <w:t xml:space="preserve">PA: </w:t>
      </w:r>
      <w:r>
        <w:rPr>
          <w:rFonts w:ascii="Arial Black" w:hAnsi="Arial Black"/>
          <w:b/>
          <w:bCs/>
          <w:sz w:val="28"/>
          <w:szCs w:val="28"/>
        </w:rPr>
        <w:t xml:space="preserve"> CBA - FF PENSION 75% - ARBITRATOR UPHELD - CITY ORDINANCE CAN’T REDUCE WIDOWS PENSION TO 50%</w:t>
      </w:r>
    </w:p>
    <w:p w14:paraId="29472EE8" w14:textId="77777777" w:rsidR="009C612E" w:rsidRDefault="009C612E" w:rsidP="009C612E">
      <w:pPr>
        <w:pStyle w:val="NormalWeb"/>
      </w:pPr>
      <w:r w:rsidRPr="00B936FB">
        <w:t xml:space="preserve">On </w:t>
      </w:r>
      <w:r>
        <w:t xml:space="preserve">Nov. 22, 2022, in </w:t>
      </w:r>
      <w:r w:rsidRPr="00B936FB">
        <w:rPr>
          <w:u w:val="single"/>
        </w:rPr>
        <w:t>City of New Castle v. International Association of Firefighters, Local 160</w:t>
      </w:r>
      <w:r>
        <w:t xml:space="preserve">, the Commonwealth Court of Pennsylvania held (3 to 0) that the arbitrator’s decision will be enforced; firefighter’s widow is entitled to the same 75% of final average compensation he was receiving per CBA.  The </w:t>
      </w:r>
      <w:proofErr w:type="gramStart"/>
      <w:r>
        <w:t>City</w:t>
      </w:r>
      <w:proofErr w:type="gramEnd"/>
      <w:r>
        <w:t xml:space="preserve"> cannot pass an ordinance that violates the CBA and </w:t>
      </w:r>
      <w:proofErr w:type="gramStart"/>
      <w:r>
        <w:t>pay</w:t>
      </w:r>
      <w:proofErr w:type="gramEnd"/>
      <w:r>
        <w:t xml:space="preserve"> the widow only 50%. </w:t>
      </w:r>
    </w:p>
    <w:p w14:paraId="2ADF52A0" w14:textId="77777777" w:rsidR="009C612E" w:rsidRDefault="009C612E" w:rsidP="009C612E">
      <w:pPr>
        <w:pStyle w:val="NormalWeb"/>
        <w:ind w:left="720"/>
      </w:pPr>
      <w:r>
        <w:rPr>
          <w:rStyle w:val="markedcontent"/>
        </w:rPr>
        <w:t>“</w:t>
      </w:r>
      <w:r w:rsidRPr="006B2B41">
        <w:rPr>
          <w:rStyle w:val="markedcontent"/>
        </w:rPr>
        <w:t>The arbitrator found that the parties did not agree to change the survivor</w:t>
      </w:r>
      <w:r>
        <w:rPr>
          <w:rStyle w:val="markedcontent"/>
        </w:rPr>
        <w:t xml:space="preserve"> </w:t>
      </w:r>
      <w:r w:rsidRPr="006B2B41">
        <w:rPr>
          <w:rStyle w:val="markedcontent"/>
        </w:rPr>
        <w:t>benefit in the 1998 CBA from what it had been in 1997; the Union was not aware</w:t>
      </w:r>
      <w:r>
        <w:rPr>
          <w:rStyle w:val="markedcontent"/>
        </w:rPr>
        <w:t xml:space="preserve"> </w:t>
      </w:r>
      <w:r w:rsidRPr="006B2B41">
        <w:rPr>
          <w:rStyle w:val="markedcontent"/>
        </w:rPr>
        <w:t>that Ordinance 7343 had been enacted in December of 1997; and the Union never</w:t>
      </w:r>
      <w:r>
        <w:rPr>
          <w:rStyle w:val="markedcontent"/>
        </w:rPr>
        <w:t xml:space="preserve"> </w:t>
      </w:r>
      <w:r w:rsidRPr="006B2B41">
        <w:rPr>
          <w:rStyle w:val="markedcontent"/>
        </w:rPr>
        <w:t>agreed to reduce the survivor benefit to 50% as provided in Ordinance 7343</w:t>
      </w:r>
      <w:r>
        <w:rPr>
          <w:rStyle w:val="markedcontent"/>
        </w:rPr>
        <w:t xml:space="preserve">…. </w:t>
      </w:r>
      <w:r w:rsidRPr="006B2B41">
        <w:rPr>
          <w:rStyle w:val="markedcontent"/>
        </w:rPr>
        <w:t>The arbitrator arrived at a reasoned interpretation of the 1998 CBA,</w:t>
      </w:r>
      <w:r>
        <w:rPr>
          <w:rStyle w:val="markedcontent"/>
        </w:rPr>
        <w:t xml:space="preserve"> </w:t>
      </w:r>
      <w:r w:rsidRPr="006B2B41">
        <w:rPr>
          <w:rStyle w:val="markedcontent"/>
        </w:rPr>
        <w:t>concluding that the City violated the parties’ agreement by paying Stone’s surviving</w:t>
      </w:r>
      <w:r>
        <w:rPr>
          <w:rStyle w:val="markedcontent"/>
        </w:rPr>
        <w:t xml:space="preserve"> </w:t>
      </w:r>
      <w:r w:rsidRPr="006B2B41">
        <w:rPr>
          <w:rStyle w:val="markedcontent"/>
        </w:rPr>
        <w:t xml:space="preserve">spouse a pension lower than what Stone had received in his </w:t>
      </w:r>
      <w:proofErr w:type="gramStart"/>
      <w:r w:rsidRPr="006B2B41">
        <w:rPr>
          <w:rStyle w:val="markedcontent"/>
        </w:rPr>
        <w:t>lifetime.</w:t>
      </w:r>
      <w:r>
        <w:rPr>
          <w:rStyle w:val="markedcontent"/>
        </w:rPr>
        <w:t>”</w:t>
      </w:r>
      <w:proofErr w:type="gramEnd"/>
      <w:r>
        <w:rPr>
          <w:rStyle w:val="markedcontent"/>
        </w:rPr>
        <w:t xml:space="preserve">  </w:t>
      </w:r>
      <w:hyperlink r:id="rId2868" w:history="1">
        <w:r w:rsidRPr="00236501">
          <w:rPr>
            <w:rStyle w:val="Hyperlink"/>
            <w:rFonts w:eastAsiaTheme="majorEastAsia"/>
          </w:rPr>
          <w:t>https://law.justia.com/cases/pennsylvania/commonwealth-court/2022/242-c-d-2022.html</w:t>
        </w:r>
      </w:hyperlink>
    </w:p>
    <w:p w14:paraId="2EB7A9E8" w14:textId="77777777" w:rsidR="009C612E" w:rsidRPr="00514515" w:rsidRDefault="009C612E" w:rsidP="009C612E">
      <w:pPr>
        <w:spacing w:before="100" w:beforeAutospacing="1" w:after="100" w:afterAutospacing="1" w:line="240" w:lineRule="auto"/>
        <w:rPr>
          <w:rFonts w:ascii="Times New Roman" w:eastAsia="Times New Roman" w:hAnsi="Times New Roman"/>
          <w:b/>
          <w:bCs/>
          <w:sz w:val="24"/>
          <w:szCs w:val="24"/>
        </w:rPr>
      </w:pPr>
      <w:r w:rsidRPr="00483F12">
        <w:rPr>
          <w:rFonts w:ascii="Times New Roman" w:hAnsi="Times New Roman"/>
          <w:b/>
          <w:bCs/>
          <w:sz w:val="24"/>
          <w:szCs w:val="24"/>
        </w:rPr>
        <w:t>Legal Lesson Learned:</w:t>
      </w:r>
      <w:r>
        <w:rPr>
          <w:rFonts w:ascii="Times New Roman" w:hAnsi="Times New Roman"/>
          <w:b/>
          <w:bCs/>
          <w:sz w:val="24"/>
          <w:szCs w:val="24"/>
        </w:rPr>
        <w:t xml:space="preserve">  The collectively bargained CBA controls; not a unilaterally enacted ordinance. </w:t>
      </w:r>
    </w:p>
    <w:p w14:paraId="27DD8F22" w14:textId="77777777" w:rsidR="009C612E" w:rsidRDefault="009C612E" w:rsidP="00F326E5">
      <w:pPr>
        <w:pStyle w:val="NoSpacing"/>
        <w:rPr>
          <w:rFonts w:ascii="Arial Black" w:hAnsi="Arial Black"/>
          <w:sz w:val="24"/>
          <w:szCs w:val="24"/>
        </w:rPr>
      </w:pPr>
    </w:p>
    <w:p w14:paraId="1DC8A3E5" w14:textId="77777777" w:rsidR="009C612E" w:rsidRDefault="009C612E" w:rsidP="00F326E5">
      <w:pPr>
        <w:pStyle w:val="NoSpacing"/>
        <w:rPr>
          <w:rFonts w:ascii="Arial Black" w:hAnsi="Arial Black"/>
          <w:sz w:val="24"/>
          <w:szCs w:val="24"/>
        </w:rPr>
      </w:pPr>
    </w:p>
    <w:p w14:paraId="112AA814" w14:textId="063797D6" w:rsidR="00804F3A" w:rsidRDefault="00804F3A" w:rsidP="00F326E5">
      <w:pPr>
        <w:pStyle w:val="NoSpacing"/>
        <w:rPr>
          <w:rFonts w:ascii="Arial Black" w:hAnsi="Arial Black"/>
          <w:sz w:val="24"/>
          <w:szCs w:val="24"/>
        </w:rPr>
      </w:pPr>
      <w:r>
        <w:rPr>
          <w:rFonts w:ascii="Arial Black" w:hAnsi="Arial Black"/>
          <w:sz w:val="24"/>
          <w:szCs w:val="24"/>
        </w:rPr>
        <w:t>17-22</w:t>
      </w:r>
    </w:p>
    <w:p w14:paraId="75467A12" w14:textId="77777777" w:rsidR="00804F3A" w:rsidRPr="00F17782" w:rsidRDefault="00804F3A" w:rsidP="00804F3A">
      <w:pPr>
        <w:pStyle w:val="NormalWeb"/>
        <w:rPr>
          <w:rFonts w:ascii="Arial Black" w:hAnsi="Arial Black"/>
          <w:b/>
          <w:bCs/>
          <w:sz w:val="28"/>
          <w:szCs w:val="28"/>
        </w:rPr>
      </w:pPr>
      <w:r>
        <w:rPr>
          <w:rFonts w:ascii="Arial Black" w:hAnsi="Arial Black"/>
          <w:b/>
          <w:bCs/>
          <w:sz w:val="28"/>
          <w:szCs w:val="28"/>
        </w:rPr>
        <w:t xml:space="preserve">OH: MINIMUM MANNING 10 FF – CITY IN 2016 BELOW FOR THREE YEARS – OWES BACKPAY / INTEREST $1,188.219 </w:t>
      </w:r>
    </w:p>
    <w:p w14:paraId="2BC5F4C9" w14:textId="77777777" w:rsidR="00804F3A" w:rsidRDefault="00804F3A" w:rsidP="00804F3A">
      <w:pPr>
        <w:pStyle w:val="NormalWeb"/>
      </w:pPr>
      <w:r w:rsidRPr="00F17782">
        <w:t xml:space="preserve">On </w:t>
      </w:r>
      <w:r>
        <w:t xml:space="preserve">Oct. 13, 2022, in </w:t>
      </w:r>
      <w:r w:rsidRPr="00F17782">
        <w:rPr>
          <w:u w:val="single"/>
        </w:rPr>
        <w:t>East Cleveland IAFF 500, et al. v. City of East Cleveland, et al</w:t>
      </w:r>
      <w:r>
        <w:t xml:space="preserve">.,  the Court of appeals of Ohio, Eight District (Cuyahoga County) held (3 to 0) that the March 2017 arbitration award for the union is enforceable. The arbitrator found that the City breached the CBA starting April 12, </w:t>
      </w:r>
      <w:proofErr w:type="gramStart"/>
      <w:r>
        <w:t>2016</w:t>
      </w:r>
      <w:proofErr w:type="gramEnd"/>
      <w:r>
        <w:t xml:space="preserve"> and required the City to immediately restoring staffing to ten (10) firefighters per shift and restore back pay to all affected firefighters who would have been entitled to overtime on the call-out list after April 12, 2016. </w:t>
      </w:r>
    </w:p>
    <w:p w14:paraId="182C4457" w14:textId="398908A2" w:rsidR="00804F3A" w:rsidRDefault="00804F3A" w:rsidP="00804F3A">
      <w:pPr>
        <w:pStyle w:val="NoSpacing"/>
        <w:rPr>
          <w:rStyle w:val="Hyperlink"/>
          <w:rFonts w:eastAsiaTheme="majorEastAsia"/>
        </w:rPr>
      </w:pPr>
      <w:r>
        <w:t xml:space="preserve">“We find that the trial court's award of damages in the amount of $1,188,219.36 is consistent with the March 12, </w:t>
      </w:r>
      <w:proofErr w:type="gramStart"/>
      <w:r>
        <w:t>2017</w:t>
      </w:r>
      <w:proofErr w:type="gramEnd"/>
      <w:r>
        <w:t xml:space="preserve"> Arbitration Award. The trial court heard testimony that through 2018, 2019, and 2020 the City had not restored staffing to ten firefighters per shift for every shift as required by the Arbitration Award and determined, consistent with the evidence presented, that certain affected firefighters were owed a total aggregated amount of $1,188,219.36 in backpay.” </w:t>
      </w:r>
      <w:hyperlink r:id="rId2869" w:history="1">
        <w:r w:rsidRPr="007662E8">
          <w:rPr>
            <w:rStyle w:val="Hyperlink"/>
            <w:rFonts w:eastAsiaTheme="majorEastAsia"/>
          </w:rPr>
          <w:t>https://public.fastcase.com/J%2FJP6pdidelsXxEE4k%2BLMtVWis%2BjrVT91gBFG4uyJWEPcpNLWXxLmz%2FQC7BVJHEFVVKmRnSKx2JFHo6ASClx4LYOJwrUPHRSA%2B3C21y5uNo%3D?utm_medium=email&amp;_hsmi=226712652&amp;_hsenc=p2ANqtz-_Z7uUMGtz89TwJ8h7fDGtfvV3sIYognKNnX4gprWQ41uEM6WKF6eTc5YmYCWiY12JCxBXlLKEbrm5nDUGgSrncCZSdVg&amp;utm_content=226712652&amp;utm_source=hs_email</w:t>
        </w:r>
      </w:hyperlink>
    </w:p>
    <w:p w14:paraId="591D1308" w14:textId="4B6FEE20" w:rsidR="00804F3A" w:rsidRDefault="00804F3A" w:rsidP="00804F3A">
      <w:pPr>
        <w:pStyle w:val="NoSpacing"/>
        <w:rPr>
          <w:rStyle w:val="Hyperlink"/>
          <w:rFonts w:eastAsiaTheme="majorEastAsia"/>
        </w:rPr>
      </w:pPr>
    </w:p>
    <w:p w14:paraId="7F8EEB09" w14:textId="77777777" w:rsidR="00804F3A" w:rsidRPr="008B1952" w:rsidRDefault="00804F3A" w:rsidP="00804F3A">
      <w:pPr>
        <w:pStyle w:val="NormalWeb"/>
        <w:rPr>
          <w:b/>
          <w:bCs/>
        </w:rPr>
      </w:pPr>
      <w:r w:rsidRPr="008B1952">
        <w:rPr>
          <w:b/>
          <w:bCs/>
        </w:rPr>
        <w:lastRenderedPageBreak/>
        <w:t>Legal Lesson Learned:</w:t>
      </w:r>
      <w:r>
        <w:rPr>
          <w:b/>
          <w:bCs/>
        </w:rPr>
        <w:t xml:space="preserve"> The arbitration award has been upheld. </w:t>
      </w:r>
    </w:p>
    <w:p w14:paraId="200F21C3" w14:textId="77777777" w:rsidR="00804F3A" w:rsidRDefault="00804F3A" w:rsidP="00804F3A">
      <w:pPr>
        <w:pStyle w:val="NoSpacing"/>
        <w:rPr>
          <w:rFonts w:ascii="Arial Black" w:hAnsi="Arial Black"/>
          <w:sz w:val="24"/>
          <w:szCs w:val="24"/>
        </w:rPr>
      </w:pPr>
    </w:p>
    <w:p w14:paraId="1513D998" w14:textId="77777777" w:rsidR="00804F3A" w:rsidRDefault="00804F3A" w:rsidP="00F326E5">
      <w:pPr>
        <w:pStyle w:val="NoSpacing"/>
        <w:rPr>
          <w:rFonts w:ascii="Arial Black" w:hAnsi="Arial Black"/>
          <w:sz w:val="24"/>
          <w:szCs w:val="24"/>
        </w:rPr>
      </w:pPr>
    </w:p>
    <w:p w14:paraId="584CD62D" w14:textId="77777777" w:rsidR="00804F3A" w:rsidRDefault="00804F3A" w:rsidP="00F326E5">
      <w:pPr>
        <w:pStyle w:val="NoSpacing"/>
        <w:rPr>
          <w:rFonts w:ascii="Arial Black" w:hAnsi="Arial Black"/>
          <w:sz w:val="24"/>
          <w:szCs w:val="24"/>
        </w:rPr>
      </w:pPr>
    </w:p>
    <w:p w14:paraId="0330FA48" w14:textId="358F5F6E" w:rsidR="00755E16" w:rsidRDefault="00755E16" w:rsidP="00F326E5">
      <w:pPr>
        <w:pStyle w:val="NoSpacing"/>
        <w:rPr>
          <w:rFonts w:ascii="Arial Black" w:hAnsi="Arial Black"/>
          <w:sz w:val="24"/>
          <w:szCs w:val="24"/>
        </w:rPr>
      </w:pPr>
      <w:r>
        <w:rPr>
          <w:rFonts w:ascii="Arial Black" w:hAnsi="Arial Black"/>
          <w:sz w:val="24"/>
          <w:szCs w:val="24"/>
        </w:rPr>
        <w:t>17-21</w:t>
      </w:r>
    </w:p>
    <w:p w14:paraId="60FD7AB3" w14:textId="775913C5" w:rsidR="00755E16" w:rsidRDefault="00755E16" w:rsidP="00F326E5">
      <w:pPr>
        <w:pStyle w:val="NoSpacing"/>
        <w:rPr>
          <w:rFonts w:ascii="Arial Black" w:hAnsi="Arial Black"/>
          <w:sz w:val="24"/>
          <w:szCs w:val="24"/>
        </w:rPr>
      </w:pPr>
    </w:p>
    <w:p w14:paraId="1E2C8E64" w14:textId="77777777" w:rsidR="00755E16" w:rsidRDefault="00755E16" w:rsidP="00755E16">
      <w:pPr>
        <w:pStyle w:val="NormalWeb"/>
        <w:rPr>
          <w:rFonts w:ascii="Arial Black" w:hAnsi="Arial Black"/>
          <w:b/>
          <w:bCs/>
          <w:sz w:val="28"/>
          <w:szCs w:val="28"/>
        </w:rPr>
      </w:pPr>
      <w:r>
        <w:rPr>
          <w:rFonts w:ascii="Arial Black" w:hAnsi="Arial Black"/>
          <w:b/>
          <w:bCs/>
          <w:sz w:val="28"/>
          <w:szCs w:val="28"/>
        </w:rPr>
        <w:t>FL: FF INJURIES OVER 11 YRS – SHORT TERM DISABILITY BENEFITS BUT USED SICK LEAVE – WINS BACK SICK LEAVE</w:t>
      </w:r>
    </w:p>
    <w:p w14:paraId="2E5F5012" w14:textId="77777777" w:rsidR="00755E16" w:rsidRDefault="00755E16" w:rsidP="00755E16">
      <w:pPr>
        <w:pStyle w:val="NormalWeb"/>
      </w:pPr>
      <w:r>
        <w:t xml:space="preserve">On Sept. 30, 2022, in </w:t>
      </w:r>
      <w:r>
        <w:rPr>
          <w:u w:val="single"/>
        </w:rPr>
        <w:t>Metro Dade Firefighters, IAFF Local 1403 v. Miami-Dade County</w:t>
      </w:r>
      <w:r>
        <w:t xml:space="preserve">, the Florida Court of Appeals, Third District, held (3 to 0) that the arbitrator did not exceed his authority when awarding the restoration of sick leave to a firefighter for an eleven-year period [Oct. 2006 until Nov. 2017] preceding an award of long-term disability benefits.  Per CBA and City Code, “an employee who suffers a service-connected disability shall not use or be charged sick leave if he is granted disability leave or disability payments.” </w:t>
      </w:r>
    </w:p>
    <w:p w14:paraId="198F8FCB" w14:textId="77777777" w:rsidR="00755E16" w:rsidRDefault="00755E16" w:rsidP="00755E16">
      <w:pPr>
        <w:pStyle w:val="NormalWeb"/>
        <w:ind w:left="720"/>
      </w:pPr>
      <w:r>
        <w:t xml:space="preserve">:Because we find that the arbitrator did not exceed his powers, we are constrained to reverse the circuit court's order vacating the arbitration award. *** The arbitrator decided only the issue submitted to arbitration. He interpreted and applied Section 2-56.26, finding that the provision required the County to restore all of Mr. Calvo's leave time for the period of time from his first on-the-job injury through his retirement after a finding of long-term disability because all of this time was taken as a result of Mr. Calvo's various compensable injuries and the lingering effects of these injuries.”  </w:t>
      </w:r>
      <w:hyperlink r:id="rId2870" w:history="1">
        <w:r>
          <w:rPr>
            <w:rStyle w:val="Hyperlink"/>
          </w:rPr>
          <w:t>https://public.fastcase.com/J%2FJP6pdidelsXxEE4k%2BLMpuDgtfUlpNK4l%2BfqZzcsS95ieNoHEqDlI1ajn81HayMXO5%2FuX2%2ByvyKSn9EyfaN7KpFENL2lTAAz2wo8HtdPeY%3D?utm_medium=email&amp;_hsmi=226712652&amp;_hsenc=p2ANqtz-9t2-miGpzcz6HjEKBpKrn-zhw54ySyRz_VGgy44f1dByScW7c1n8avO_4RXLWc5afGZGbJubbxw9DhHyQbca8WHl796A&amp;utm_content=226712652&amp;utm_source=hs_email</w:t>
        </w:r>
      </w:hyperlink>
      <w:r>
        <w:t xml:space="preserve"> </w:t>
      </w:r>
    </w:p>
    <w:p w14:paraId="4AB91874" w14:textId="77777777" w:rsidR="00755E16" w:rsidRDefault="00755E16" w:rsidP="00755E16">
      <w:pPr>
        <w:pStyle w:val="NormalWeb"/>
        <w:rPr>
          <w:b/>
          <w:bCs/>
        </w:rPr>
      </w:pPr>
      <w:r>
        <w:rPr>
          <w:rFonts w:eastAsiaTheme="minorHAnsi"/>
          <w:b/>
          <w:bCs/>
        </w:rPr>
        <w:t xml:space="preserve">Legal Lesson Learned: Grievances and arbitrations can be avoided if CBA is explicit about whether sick leave can be charged for an employee who suffers a service-connected disability. </w:t>
      </w:r>
    </w:p>
    <w:p w14:paraId="2D44FD60" w14:textId="77777777" w:rsidR="00755E16" w:rsidRDefault="00755E16" w:rsidP="00F326E5">
      <w:pPr>
        <w:pStyle w:val="NoSpacing"/>
        <w:rPr>
          <w:rFonts w:ascii="Arial Black" w:hAnsi="Arial Black"/>
          <w:sz w:val="24"/>
          <w:szCs w:val="24"/>
        </w:rPr>
      </w:pPr>
    </w:p>
    <w:p w14:paraId="1E44D6E9" w14:textId="77777777" w:rsidR="00755E16" w:rsidRDefault="00755E16" w:rsidP="00F326E5">
      <w:pPr>
        <w:pStyle w:val="NoSpacing"/>
        <w:rPr>
          <w:rFonts w:ascii="Arial Black" w:hAnsi="Arial Black"/>
          <w:sz w:val="24"/>
          <w:szCs w:val="24"/>
        </w:rPr>
      </w:pPr>
    </w:p>
    <w:p w14:paraId="4D17E43E" w14:textId="77777777" w:rsidR="00755E16" w:rsidRDefault="00755E16" w:rsidP="00F326E5">
      <w:pPr>
        <w:pStyle w:val="NoSpacing"/>
        <w:rPr>
          <w:rFonts w:ascii="Arial Black" w:hAnsi="Arial Black"/>
          <w:sz w:val="24"/>
          <w:szCs w:val="24"/>
        </w:rPr>
      </w:pPr>
    </w:p>
    <w:p w14:paraId="799D704E" w14:textId="51F55DAF" w:rsidR="00D478CB" w:rsidRDefault="00D478CB" w:rsidP="00F326E5">
      <w:pPr>
        <w:pStyle w:val="NoSpacing"/>
        <w:rPr>
          <w:rFonts w:ascii="Arial Black" w:hAnsi="Arial Black"/>
          <w:sz w:val="24"/>
          <w:szCs w:val="24"/>
        </w:rPr>
      </w:pPr>
      <w:r>
        <w:rPr>
          <w:rFonts w:ascii="Arial Black" w:hAnsi="Arial Black"/>
          <w:sz w:val="24"/>
          <w:szCs w:val="24"/>
        </w:rPr>
        <w:t>17-20</w:t>
      </w:r>
    </w:p>
    <w:p w14:paraId="5C74311E" w14:textId="27D276D3" w:rsidR="00D478CB" w:rsidRDefault="00D478CB" w:rsidP="00F326E5">
      <w:pPr>
        <w:pStyle w:val="NoSpacing"/>
        <w:rPr>
          <w:rFonts w:ascii="Arial Black" w:hAnsi="Arial Black"/>
          <w:sz w:val="24"/>
          <w:szCs w:val="24"/>
        </w:rPr>
      </w:pPr>
    </w:p>
    <w:p w14:paraId="62E44961" w14:textId="77777777" w:rsidR="00311ABE" w:rsidRPr="00182E4B" w:rsidRDefault="00311ABE" w:rsidP="00311ABE">
      <w:pPr>
        <w:spacing w:before="100" w:beforeAutospacing="1" w:after="100" w:afterAutospacing="1" w:line="240" w:lineRule="auto"/>
        <w:rPr>
          <w:rFonts w:ascii="Arial Black" w:eastAsia="Times New Roman" w:hAnsi="Arial Black"/>
          <w:sz w:val="28"/>
          <w:szCs w:val="28"/>
        </w:rPr>
      </w:pPr>
      <w:bookmarkStart w:id="631" w:name="_Hlk112724937"/>
      <w:r>
        <w:rPr>
          <w:rFonts w:ascii="Arial Black" w:eastAsia="Times New Roman" w:hAnsi="Arial Black"/>
          <w:sz w:val="28"/>
          <w:szCs w:val="28"/>
        </w:rPr>
        <w:t>AK: FORMER UNION PRESIDENT – PASSED OVER PROMOTION B/C – CHIEF LEARNED “BELITTLING” CREWS</w:t>
      </w:r>
    </w:p>
    <w:p w14:paraId="6AE007D8" w14:textId="77777777" w:rsidR="00311ABE" w:rsidRDefault="00311ABE" w:rsidP="00311ABE">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On Aug. 24, 2022, in </w:t>
      </w:r>
      <w:r w:rsidRPr="00182E4B">
        <w:rPr>
          <w:rFonts w:ascii="Times New Roman" w:hAnsi="Times New Roman"/>
          <w:sz w:val="24"/>
          <w:szCs w:val="24"/>
          <w:u w:val="single"/>
        </w:rPr>
        <w:t>Damon Reed v. City of Conway, Arkansas, et al.</w:t>
      </w:r>
      <w:r>
        <w:rPr>
          <w:rFonts w:ascii="Times New Roman" w:hAnsi="Times New Roman"/>
          <w:sz w:val="24"/>
          <w:szCs w:val="24"/>
        </w:rPr>
        <w:t xml:space="preserve">,  U.S. District Court Judge Lee , P. Rudofssky, U.S. District Court for Eastern District of Arkansas (Central Division) granted summary judgment for the City and Fire Chief Michael Winter on Captain Reed’s complaint alleging First Amendment retaliation.  </w:t>
      </w:r>
      <w:r w:rsidRPr="00C300FC">
        <w:rPr>
          <w:rFonts w:ascii="Times New Roman" w:hAnsi="Times New Roman"/>
          <w:sz w:val="24"/>
          <w:szCs w:val="24"/>
        </w:rPr>
        <w:t xml:space="preserve">“First, Mr. Reed points to the fact that he was the unanimous vote of the Chiefs panel for the May 2018 promotion. He says that this </w:t>
      </w:r>
      <w:r>
        <w:rPr>
          <w:rFonts w:ascii="Times New Roman" w:hAnsi="Times New Roman"/>
          <w:sz w:val="24"/>
          <w:szCs w:val="24"/>
        </w:rPr>
        <w:t>‘</w:t>
      </w:r>
      <w:r w:rsidRPr="00C300FC">
        <w:rPr>
          <w:rFonts w:ascii="Times New Roman" w:hAnsi="Times New Roman"/>
          <w:sz w:val="24"/>
          <w:szCs w:val="24"/>
        </w:rPr>
        <w:t>favorable review</w:t>
      </w:r>
      <w:r>
        <w:rPr>
          <w:rFonts w:ascii="Times New Roman" w:hAnsi="Times New Roman"/>
          <w:sz w:val="24"/>
          <w:szCs w:val="24"/>
        </w:rPr>
        <w:t>’</w:t>
      </w:r>
      <w:r w:rsidRPr="00C300FC">
        <w:rPr>
          <w:rFonts w:ascii="Times New Roman" w:hAnsi="Times New Roman"/>
          <w:sz w:val="24"/>
          <w:szCs w:val="24"/>
        </w:rPr>
        <w:t xml:space="preserve"> is evidence of pretext. The fatal flaw with this argument is timing. Recall that the Chiefs panel voted for Mr. Reed in January of 2018. Chief Winter did not receive the complaints about Mr. Reed until months after the vote, when word got out that Mr. Reed would be getting </w:t>
      </w:r>
      <w:r w:rsidRPr="00C300FC">
        <w:rPr>
          <w:rFonts w:ascii="Times New Roman" w:hAnsi="Times New Roman"/>
          <w:sz w:val="24"/>
          <w:szCs w:val="24"/>
        </w:rPr>
        <w:lastRenderedPageBreak/>
        <w:t xml:space="preserve">promoted. </w:t>
      </w:r>
      <w:proofErr w:type="gramStart"/>
      <w:r w:rsidRPr="00C300FC">
        <w:rPr>
          <w:rFonts w:ascii="Times New Roman" w:hAnsi="Times New Roman"/>
          <w:sz w:val="24"/>
          <w:szCs w:val="24"/>
        </w:rPr>
        <w:t>So</w:t>
      </w:r>
      <w:proofErr w:type="gramEnd"/>
      <w:r w:rsidRPr="00C300FC">
        <w:rPr>
          <w:rFonts w:ascii="Times New Roman" w:hAnsi="Times New Roman"/>
          <w:sz w:val="24"/>
          <w:szCs w:val="24"/>
        </w:rPr>
        <w:t xml:space="preserve"> neither Chief Winter nor the Chiefs panel knew, at the time of this so-called favorable review, that Mr. Reed was belittling subordinates.</w:t>
      </w:r>
      <w:r>
        <w:rPr>
          <w:rFonts w:ascii="Times New Roman" w:hAnsi="Times New Roman"/>
          <w:sz w:val="24"/>
          <w:szCs w:val="24"/>
        </w:rPr>
        <w:t xml:space="preserve">” </w:t>
      </w:r>
      <w:hyperlink r:id="rId2871" w:history="1">
        <w:r w:rsidRPr="005B4B72">
          <w:rPr>
            <w:rStyle w:val="Hyperlink"/>
            <w:rFonts w:ascii="Times New Roman" w:hAnsi="Times New Roman"/>
          </w:rPr>
          <w:t>https://casetext.com/case/reed-v-city-of-conway</w:t>
        </w:r>
      </w:hyperlink>
      <w:r>
        <w:rPr>
          <w:rFonts w:ascii="Times New Roman" w:hAnsi="Times New Roman"/>
          <w:sz w:val="24"/>
          <w:szCs w:val="24"/>
        </w:rPr>
        <w:t xml:space="preserve"> </w:t>
      </w:r>
    </w:p>
    <w:bookmarkEnd w:id="631"/>
    <w:p w14:paraId="50254F13" w14:textId="77777777" w:rsidR="00311ABE" w:rsidRDefault="00311ABE" w:rsidP="00F326E5">
      <w:pPr>
        <w:pStyle w:val="NoSpacing"/>
        <w:rPr>
          <w:rFonts w:ascii="Arial Black" w:hAnsi="Arial Black"/>
          <w:sz w:val="24"/>
          <w:szCs w:val="24"/>
        </w:rPr>
      </w:pPr>
    </w:p>
    <w:p w14:paraId="6494EABE" w14:textId="77777777" w:rsidR="00D478CB" w:rsidRDefault="00D478CB" w:rsidP="00F326E5">
      <w:pPr>
        <w:pStyle w:val="NoSpacing"/>
        <w:rPr>
          <w:rFonts w:ascii="Arial Black" w:hAnsi="Arial Black"/>
          <w:sz w:val="24"/>
          <w:szCs w:val="24"/>
        </w:rPr>
      </w:pPr>
    </w:p>
    <w:p w14:paraId="22E980A2" w14:textId="27EA5A3F" w:rsidR="00D478CB" w:rsidRDefault="00D478CB" w:rsidP="00F326E5">
      <w:pPr>
        <w:pStyle w:val="NoSpacing"/>
        <w:rPr>
          <w:rFonts w:ascii="Arial Black" w:hAnsi="Arial Black"/>
          <w:sz w:val="24"/>
          <w:szCs w:val="24"/>
        </w:rPr>
      </w:pPr>
      <w:r>
        <w:rPr>
          <w:rFonts w:ascii="Arial Black" w:hAnsi="Arial Black"/>
          <w:sz w:val="24"/>
          <w:szCs w:val="24"/>
        </w:rPr>
        <w:t>17-19</w:t>
      </w:r>
    </w:p>
    <w:p w14:paraId="143388E6" w14:textId="77777777" w:rsidR="00D478CB" w:rsidRPr="0066767F" w:rsidRDefault="00D478CB" w:rsidP="00D478CB">
      <w:pPr>
        <w:spacing w:before="100" w:beforeAutospacing="1" w:after="100" w:afterAutospacing="1" w:line="240" w:lineRule="auto"/>
        <w:rPr>
          <w:rFonts w:ascii="Arial Black" w:hAnsi="Arial Black"/>
          <w:sz w:val="28"/>
          <w:szCs w:val="28"/>
        </w:rPr>
      </w:pPr>
      <w:r>
        <w:rPr>
          <w:rFonts w:ascii="Arial Black" w:hAnsi="Arial Black"/>
          <w:sz w:val="28"/>
          <w:szCs w:val="28"/>
        </w:rPr>
        <w:t xml:space="preserve">OH: CAPTAIN NO. 1 LIST B/C – CITY DOESN’T WANT TO FILL JOB - UNION WON’T ARBITRATE – LAWSUIT DISMISSED </w:t>
      </w:r>
    </w:p>
    <w:p w14:paraId="6C2CF803" w14:textId="18179222" w:rsidR="00D478CB" w:rsidRDefault="00D478CB" w:rsidP="00D478CB">
      <w:pPr>
        <w:pStyle w:val="NoSpacing"/>
        <w:rPr>
          <w:rFonts w:ascii="Arial Black" w:hAnsi="Arial Black"/>
          <w:sz w:val="24"/>
          <w:szCs w:val="24"/>
        </w:rPr>
      </w:pPr>
      <w:r>
        <w:rPr>
          <w:rFonts w:ascii="Times New Roman" w:hAnsi="Times New Roman"/>
          <w:sz w:val="24"/>
          <w:szCs w:val="24"/>
        </w:rPr>
        <w:t xml:space="preserve">On Aug. 11, 2022, in </w:t>
      </w:r>
      <w:r w:rsidRPr="00636166">
        <w:rPr>
          <w:rFonts w:ascii="Times New Roman" w:hAnsi="Times New Roman"/>
          <w:sz w:val="24"/>
          <w:szCs w:val="24"/>
          <w:u w:val="single"/>
        </w:rPr>
        <w:t>The State Of Ohio, Ex Re. John M. Casey, et al. v. Jamael Tito Brown, et al</w:t>
      </w:r>
      <w:r>
        <w:rPr>
          <w:rFonts w:ascii="Times New Roman" w:hAnsi="Times New Roman"/>
          <w:sz w:val="24"/>
          <w:szCs w:val="24"/>
        </w:rPr>
        <w:t xml:space="preserve">., the Court of Appeals of Ohio, Seventh District (Mahoning County), </w:t>
      </w:r>
      <w:r w:rsidRPr="00636166">
        <w:rPr>
          <w:rFonts w:ascii="Times New Roman" w:eastAsia="Times New Roman" w:hAnsi="Times New Roman"/>
          <w:sz w:val="24"/>
          <w:szCs w:val="24"/>
        </w:rPr>
        <w:t>2022-Ohio-2843</w:t>
      </w:r>
      <w:r>
        <w:rPr>
          <w:rFonts w:ascii="Times New Roman" w:eastAsia="Times New Roman" w:hAnsi="Times New Roman"/>
          <w:sz w:val="24"/>
          <w:szCs w:val="24"/>
        </w:rPr>
        <w:t xml:space="preserve">, </w:t>
      </w:r>
      <w:r>
        <w:rPr>
          <w:rFonts w:ascii="Times New Roman" w:hAnsi="Times New Roman"/>
          <w:sz w:val="24"/>
          <w:szCs w:val="24"/>
        </w:rPr>
        <w:t xml:space="preserve">held (3 to 0) that the </w:t>
      </w:r>
      <w:proofErr w:type="gramStart"/>
      <w:r>
        <w:rPr>
          <w:rFonts w:ascii="Times New Roman" w:hAnsi="Times New Roman"/>
          <w:sz w:val="24"/>
          <w:szCs w:val="24"/>
        </w:rPr>
        <w:t>Captain’s</w:t>
      </w:r>
      <w:proofErr w:type="gramEnd"/>
      <w:r>
        <w:rPr>
          <w:rFonts w:ascii="Times New Roman" w:hAnsi="Times New Roman"/>
          <w:sz w:val="24"/>
          <w:szCs w:val="24"/>
        </w:rPr>
        <w:t xml:space="preserve"> taxpayer lawsuit against the City is dismissed.   Plaintiff as a </w:t>
      </w:r>
      <w:r w:rsidRPr="00E20815">
        <w:rPr>
          <w:rFonts w:ascii="Times New Roman" w:hAnsi="Times New Roman"/>
          <w:sz w:val="24"/>
          <w:szCs w:val="24"/>
        </w:rPr>
        <w:t>member of the Youngstown Professional Firefighters, IAFF, Local 312</w:t>
      </w:r>
      <w:r>
        <w:rPr>
          <w:rFonts w:ascii="Times New Roman" w:hAnsi="Times New Roman"/>
          <w:sz w:val="24"/>
          <w:szCs w:val="24"/>
        </w:rPr>
        <w:t xml:space="preserve">; Union President under CBA decides when to pursue arbitration.    Plaintiff’s so option is to file unfair labor </w:t>
      </w:r>
      <w:proofErr w:type="gramStart"/>
      <w:r>
        <w:rPr>
          <w:rFonts w:ascii="Times New Roman" w:hAnsi="Times New Roman"/>
          <w:sz w:val="24"/>
          <w:szCs w:val="24"/>
        </w:rPr>
        <w:t>charge</w:t>
      </w:r>
      <w:proofErr w:type="gramEnd"/>
      <w:r>
        <w:rPr>
          <w:rFonts w:ascii="Times New Roman" w:hAnsi="Times New Roman"/>
          <w:sz w:val="24"/>
          <w:szCs w:val="24"/>
        </w:rPr>
        <w:t xml:space="preserve"> against the union. </w:t>
      </w:r>
      <w:hyperlink r:id="rId2872" w:history="1">
        <w:r w:rsidRPr="00696C47">
          <w:rPr>
            <w:rStyle w:val="Hyperlink"/>
            <w:rFonts w:ascii="Times New Roman" w:hAnsi="Times New Roman"/>
          </w:rPr>
          <w:t>https://public.fastcase.com/J%2FJP6pdidelsXxEE4k%2BLMgRuGoPztfGYl4rgyWIW4hR9R3ye4G%2Brlx4oNbvfkD7bo5Sl3SUFyCNYsXscEScOvl5B7KBk99Bt%2FA1OCEhfyl0%3D</w:t>
        </w:r>
      </w:hyperlink>
    </w:p>
    <w:p w14:paraId="5616EA70" w14:textId="77777777" w:rsidR="00D478CB" w:rsidRPr="00E94E96" w:rsidRDefault="00D478CB" w:rsidP="00D478CB">
      <w:pPr>
        <w:spacing w:before="100" w:beforeAutospacing="1" w:after="100" w:afterAutospacing="1" w:line="240" w:lineRule="auto"/>
        <w:rPr>
          <w:rFonts w:ascii="Times New Roman" w:hAnsi="Times New Roman"/>
          <w:b/>
          <w:bCs/>
          <w:sz w:val="24"/>
          <w:szCs w:val="24"/>
        </w:rPr>
      </w:pPr>
      <w:r w:rsidRPr="00E94E96">
        <w:rPr>
          <w:rFonts w:ascii="Times New Roman" w:hAnsi="Times New Roman"/>
          <w:b/>
          <w:bCs/>
          <w:sz w:val="24"/>
          <w:szCs w:val="24"/>
        </w:rPr>
        <w:t xml:space="preserve">Legal Lesson Learned: </w:t>
      </w:r>
      <w:r>
        <w:rPr>
          <w:rFonts w:ascii="Times New Roman" w:hAnsi="Times New Roman"/>
          <w:b/>
          <w:bCs/>
          <w:sz w:val="24"/>
          <w:szCs w:val="24"/>
        </w:rPr>
        <w:t>The Union under the CBA has sole discretion on when to pursue an arbitration.</w:t>
      </w:r>
    </w:p>
    <w:p w14:paraId="5B60A40A" w14:textId="77777777" w:rsidR="00D478CB" w:rsidRDefault="00D478CB" w:rsidP="00F326E5">
      <w:pPr>
        <w:pStyle w:val="NoSpacing"/>
        <w:rPr>
          <w:rFonts w:ascii="Arial Black" w:hAnsi="Arial Black"/>
          <w:sz w:val="24"/>
          <w:szCs w:val="24"/>
        </w:rPr>
      </w:pPr>
    </w:p>
    <w:p w14:paraId="06B0936A" w14:textId="77777777" w:rsidR="00D478CB" w:rsidRDefault="00D478CB" w:rsidP="00F326E5">
      <w:pPr>
        <w:pStyle w:val="NoSpacing"/>
        <w:rPr>
          <w:rFonts w:ascii="Arial Black" w:hAnsi="Arial Black"/>
          <w:sz w:val="24"/>
          <w:szCs w:val="24"/>
        </w:rPr>
      </w:pPr>
    </w:p>
    <w:p w14:paraId="2932F533" w14:textId="2581FC16" w:rsidR="00C24A79" w:rsidRDefault="00C24A79" w:rsidP="00F326E5">
      <w:pPr>
        <w:pStyle w:val="NoSpacing"/>
        <w:rPr>
          <w:rFonts w:ascii="Arial Black" w:hAnsi="Arial Black"/>
          <w:sz w:val="24"/>
          <w:szCs w:val="24"/>
        </w:rPr>
      </w:pPr>
      <w:r>
        <w:rPr>
          <w:rFonts w:ascii="Arial Black" w:hAnsi="Arial Black"/>
          <w:sz w:val="24"/>
          <w:szCs w:val="24"/>
        </w:rPr>
        <w:t>17-18</w:t>
      </w:r>
    </w:p>
    <w:p w14:paraId="0877C9C5" w14:textId="77777777" w:rsidR="00C24A79" w:rsidRPr="007B00F4" w:rsidRDefault="00C24A79" w:rsidP="00C24A79">
      <w:pPr>
        <w:spacing w:before="100" w:beforeAutospacing="1" w:after="100" w:afterAutospacing="1" w:line="240" w:lineRule="auto"/>
        <w:rPr>
          <w:rFonts w:ascii="Arial Black" w:hAnsi="Arial Black"/>
          <w:sz w:val="28"/>
          <w:szCs w:val="28"/>
        </w:rPr>
      </w:pPr>
      <w:r>
        <w:rPr>
          <w:rFonts w:ascii="Arial Black" w:hAnsi="Arial Black"/>
          <w:sz w:val="28"/>
          <w:szCs w:val="28"/>
        </w:rPr>
        <w:t xml:space="preserve">OH: CBA IMPASSE – FACT-FINDING, ARBITRATION, COURT -16 EMS CAPTAINS WIN 2% PAY INCREASE BACK TO 2016 </w:t>
      </w:r>
    </w:p>
    <w:p w14:paraId="76844455" w14:textId="77777777" w:rsidR="00C24A79" w:rsidRPr="0039678C" w:rsidRDefault="00C24A79" w:rsidP="00C24A79">
      <w:pPr>
        <w:spacing w:before="100" w:beforeAutospacing="1" w:after="100" w:afterAutospacing="1" w:line="240" w:lineRule="auto"/>
        <w:rPr>
          <w:rFonts w:ascii="Times New Roman" w:eastAsia="Times New Roman" w:hAnsi="Times New Roman"/>
          <w:sz w:val="24"/>
          <w:szCs w:val="24"/>
        </w:rPr>
      </w:pPr>
      <w:r>
        <w:rPr>
          <w:rFonts w:ascii="Times New Roman" w:hAnsi="Times New Roman"/>
          <w:sz w:val="24"/>
          <w:szCs w:val="24"/>
        </w:rPr>
        <w:t xml:space="preserve">On July 21, 2022, in </w:t>
      </w:r>
      <w:r w:rsidRPr="007B00F4">
        <w:rPr>
          <w:rFonts w:ascii="Times New Roman" w:hAnsi="Times New Roman"/>
          <w:sz w:val="24"/>
          <w:szCs w:val="24"/>
          <w:u w:val="single"/>
        </w:rPr>
        <w:t>City of Cleveland v. Communication Workers Of America, Local 4340</w:t>
      </w:r>
      <w:r>
        <w:rPr>
          <w:rFonts w:ascii="Times New Roman" w:hAnsi="Times New Roman"/>
          <w:sz w:val="24"/>
          <w:szCs w:val="24"/>
        </w:rPr>
        <w:t xml:space="preserve">, the </w:t>
      </w:r>
      <w:r w:rsidRPr="007B00F4">
        <w:rPr>
          <w:rFonts w:ascii="Times New Roman" w:eastAsia="Times New Roman" w:hAnsi="Times New Roman"/>
          <w:sz w:val="24"/>
          <w:szCs w:val="24"/>
        </w:rPr>
        <w:t>Court of Appeals of Ohio, Eighth District</w:t>
      </w:r>
      <w:r>
        <w:rPr>
          <w:rFonts w:ascii="Times New Roman" w:eastAsia="Times New Roman" w:hAnsi="Times New Roman"/>
          <w:sz w:val="24"/>
          <w:szCs w:val="24"/>
        </w:rPr>
        <w:t xml:space="preserve"> (</w:t>
      </w:r>
      <w:r w:rsidRPr="007B00F4">
        <w:rPr>
          <w:rFonts w:ascii="Times New Roman" w:eastAsia="Times New Roman" w:hAnsi="Times New Roman"/>
          <w:sz w:val="24"/>
          <w:szCs w:val="24"/>
        </w:rPr>
        <w:t>Cuyahoga</w:t>
      </w:r>
      <w:r>
        <w:rPr>
          <w:rFonts w:ascii="Times New Roman" w:eastAsia="Times New Roman" w:hAnsi="Times New Roman"/>
          <w:sz w:val="24"/>
          <w:szCs w:val="24"/>
        </w:rPr>
        <w:t xml:space="preserve"> County), </w:t>
      </w:r>
      <w:r w:rsidRPr="00633DB2">
        <w:rPr>
          <w:rFonts w:ascii="Times New Roman" w:eastAsia="Times New Roman" w:hAnsi="Times New Roman"/>
          <w:sz w:val="24"/>
          <w:szCs w:val="24"/>
        </w:rPr>
        <w:t xml:space="preserve">2022-Ohio-2498, </w:t>
      </w:r>
      <w:r>
        <w:rPr>
          <w:rFonts w:ascii="Times New Roman" w:eastAsia="Times New Roman" w:hAnsi="Times New Roman"/>
          <w:sz w:val="24"/>
          <w:szCs w:val="24"/>
        </w:rPr>
        <w:t xml:space="preserve">held 3 to 0 that trial court properly upheld the arbitrator’s decision; 12 EMS Captains entitled to 2% pay increase for 2016-2019 period based on fact-finders’ Final Report.  </w:t>
      </w:r>
      <w:hyperlink r:id="rId2873" w:history="1">
        <w:r w:rsidRPr="00355029">
          <w:rPr>
            <w:rStyle w:val="Hyperlink"/>
            <w:rFonts w:ascii="Times New Roman" w:eastAsia="Times New Roman" w:hAnsi="Times New Roman"/>
            <w:sz w:val="24"/>
            <w:szCs w:val="24"/>
          </w:rPr>
          <w:t>https://www.supremecourt.ohio.gov/rod/docs/pdf/8/2022/2022-Ohio-2498.pdf</w:t>
        </w:r>
      </w:hyperlink>
      <w:r>
        <w:rPr>
          <w:rFonts w:ascii="Times New Roman" w:eastAsia="Times New Roman" w:hAnsi="Times New Roman"/>
          <w:sz w:val="24"/>
          <w:szCs w:val="24"/>
        </w:rPr>
        <w:t xml:space="preserve"> </w:t>
      </w:r>
    </w:p>
    <w:p w14:paraId="2C5FBD17" w14:textId="77777777" w:rsidR="00C24A79" w:rsidRPr="00633DB2" w:rsidRDefault="00C24A79" w:rsidP="00C24A79">
      <w:pPr>
        <w:spacing w:before="100" w:beforeAutospacing="1" w:after="100" w:afterAutospacing="1" w:line="240" w:lineRule="auto"/>
        <w:rPr>
          <w:rFonts w:ascii="Times New Roman" w:eastAsia="Times New Roman" w:hAnsi="Times New Roman"/>
          <w:b/>
          <w:bCs/>
          <w:sz w:val="24"/>
          <w:szCs w:val="24"/>
        </w:rPr>
      </w:pPr>
      <w:r w:rsidRPr="006450B8">
        <w:rPr>
          <w:rFonts w:ascii="Times New Roman" w:hAnsi="Times New Roman"/>
          <w:b/>
          <w:bCs/>
          <w:sz w:val="24"/>
          <w:szCs w:val="24"/>
        </w:rPr>
        <w:t>Legal Lesson Learned: The Ohio Revised Code provides for fact-finding for resolution of bargaining impasse</w:t>
      </w:r>
      <w:r>
        <w:rPr>
          <w:rFonts w:ascii="Times New Roman" w:hAnsi="Times New Roman"/>
          <w:b/>
          <w:bCs/>
          <w:sz w:val="24"/>
          <w:szCs w:val="24"/>
        </w:rPr>
        <w:t xml:space="preserve">; the Courts will generally uphold. </w:t>
      </w:r>
    </w:p>
    <w:p w14:paraId="4162DAFC" w14:textId="77777777" w:rsidR="00C24A79" w:rsidRDefault="00C24A79" w:rsidP="00F326E5">
      <w:pPr>
        <w:pStyle w:val="NoSpacing"/>
        <w:rPr>
          <w:rFonts w:ascii="Arial Black" w:hAnsi="Arial Black"/>
          <w:sz w:val="24"/>
          <w:szCs w:val="24"/>
        </w:rPr>
      </w:pPr>
    </w:p>
    <w:p w14:paraId="3EC24F38" w14:textId="77777777" w:rsidR="00C24A79" w:rsidRDefault="00C24A79" w:rsidP="00F326E5">
      <w:pPr>
        <w:pStyle w:val="NoSpacing"/>
        <w:rPr>
          <w:rFonts w:ascii="Arial Black" w:hAnsi="Arial Black"/>
          <w:sz w:val="24"/>
          <w:szCs w:val="24"/>
        </w:rPr>
      </w:pPr>
    </w:p>
    <w:p w14:paraId="42D1818B" w14:textId="77777777" w:rsidR="00C24A79" w:rsidRDefault="00C24A79" w:rsidP="00F326E5">
      <w:pPr>
        <w:pStyle w:val="NoSpacing"/>
        <w:rPr>
          <w:rFonts w:ascii="Arial Black" w:hAnsi="Arial Black"/>
          <w:sz w:val="24"/>
          <w:szCs w:val="24"/>
        </w:rPr>
      </w:pPr>
    </w:p>
    <w:p w14:paraId="5A7642EF" w14:textId="3F65E365" w:rsidR="00156E5D" w:rsidRDefault="00156E5D" w:rsidP="00F326E5">
      <w:pPr>
        <w:pStyle w:val="NoSpacing"/>
        <w:rPr>
          <w:rFonts w:ascii="Arial Black" w:hAnsi="Arial Black"/>
          <w:sz w:val="24"/>
          <w:szCs w:val="24"/>
        </w:rPr>
      </w:pPr>
      <w:r>
        <w:rPr>
          <w:rFonts w:ascii="Arial Black" w:hAnsi="Arial Black"/>
          <w:sz w:val="24"/>
          <w:szCs w:val="24"/>
        </w:rPr>
        <w:t>17-17</w:t>
      </w:r>
    </w:p>
    <w:p w14:paraId="29FEA5E1" w14:textId="292E7C36" w:rsidR="00156E5D" w:rsidRDefault="00156E5D" w:rsidP="00F326E5">
      <w:pPr>
        <w:pStyle w:val="NoSpacing"/>
        <w:rPr>
          <w:rFonts w:ascii="Arial Black" w:hAnsi="Arial Black"/>
          <w:sz w:val="24"/>
          <w:szCs w:val="24"/>
        </w:rPr>
      </w:pPr>
    </w:p>
    <w:p w14:paraId="34CB2E5F" w14:textId="37851BF4" w:rsidR="00156E5D" w:rsidRDefault="00156E5D" w:rsidP="00156E5D">
      <w:pPr>
        <w:rPr>
          <w:rFonts w:ascii="Arial Black" w:hAnsi="Arial Black"/>
          <w:b/>
          <w:sz w:val="24"/>
          <w:szCs w:val="24"/>
        </w:rPr>
      </w:pPr>
      <w:r>
        <w:rPr>
          <w:rFonts w:ascii="Arial Black" w:hAnsi="Arial Black"/>
          <w:b/>
          <w:sz w:val="24"/>
          <w:szCs w:val="24"/>
        </w:rPr>
        <w:t>6-92 [also filed, Chap. 6]</w:t>
      </w:r>
    </w:p>
    <w:p w14:paraId="71BEC741" w14:textId="77777777" w:rsidR="00156E5D" w:rsidRDefault="00156E5D" w:rsidP="00156E5D">
      <w:pPr>
        <w:spacing w:before="100" w:beforeAutospacing="1" w:after="100" w:afterAutospacing="1" w:line="240" w:lineRule="auto"/>
        <w:rPr>
          <w:rFonts w:ascii="Arial Black" w:eastAsia="Times New Roman" w:hAnsi="Arial Black"/>
          <w:sz w:val="28"/>
          <w:szCs w:val="28"/>
        </w:rPr>
      </w:pPr>
      <w:r>
        <w:rPr>
          <w:rFonts w:ascii="Arial Black" w:eastAsia="Times New Roman" w:hAnsi="Arial Black"/>
          <w:sz w:val="28"/>
          <w:szCs w:val="28"/>
        </w:rPr>
        <w:t xml:space="preserve">OH: FIRE CHIEF “RETIRE / REHIRE” NEXT DAY IS LAWFUL – CIVIL SERVICE POSTING JOB ONLY WHEN A “VACANCY” </w:t>
      </w:r>
    </w:p>
    <w:p w14:paraId="3EEEF329" w14:textId="77777777" w:rsidR="00156E5D" w:rsidRDefault="00156E5D" w:rsidP="00156E5D">
      <w:pPr>
        <w:spacing w:before="100" w:beforeAutospacing="1" w:after="100" w:afterAutospacing="1" w:line="240" w:lineRule="auto"/>
        <w:rPr>
          <w:rFonts w:ascii="Times New Roman" w:hAnsi="Times New Roman"/>
          <w:sz w:val="24"/>
          <w:szCs w:val="24"/>
        </w:rPr>
      </w:pPr>
      <w:r>
        <w:rPr>
          <w:rFonts w:ascii="Times New Roman" w:hAnsi="Times New Roman"/>
          <w:sz w:val="24"/>
          <w:szCs w:val="24"/>
        </w:rPr>
        <w:lastRenderedPageBreak/>
        <w:t xml:space="preserve">On June 27, 2022, in </w:t>
      </w:r>
      <w:r>
        <w:rPr>
          <w:rFonts w:ascii="Times New Roman" w:hAnsi="Times New Roman"/>
          <w:sz w:val="24"/>
          <w:szCs w:val="24"/>
          <w:u w:val="single"/>
        </w:rPr>
        <w:t xml:space="preserve">State of Ohio ex re. The International Association of Fire Fighters, Local 1536, AFL-CIO v. John Barbush, In His Official Capacity </w:t>
      </w:r>
      <w:proofErr w:type="gramStart"/>
      <w:r>
        <w:rPr>
          <w:rFonts w:ascii="Times New Roman" w:hAnsi="Times New Roman"/>
          <w:sz w:val="24"/>
          <w:szCs w:val="24"/>
          <w:u w:val="single"/>
        </w:rPr>
        <w:t>As</w:t>
      </w:r>
      <w:proofErr w:type="gramEnd"/>
      <w:r>
        <w:rPr>
          <w:rFonts w:ascii="Times New Roman" w:hAnsi="Times New Roman"/>
          <w:sz w:val="24"/>
          <w:szCs w:val="24"/>
          <w:u w:val="single"/>
        </w:rPr>
        <w:t xml:space="preserve"> Maor </w:t>
      </w:r>
      <w:proofErr w:type="gramStart"/>
      <w:r>
        <w:rPr>
          <w:rFonts w:ascii="Times New Roman" w:hAnsi="Times New Roman"/>
          <w:sz w:val="24"/>
          <w:szCs w:val="24"/>
          <w:u w:val="single"/>
        </w:rPr>
        <w:t>And</w:t>
      </w:r>
      <w:proofErr w:type="gramEnd"/>
      <w:r>
        <w:rPr>
          <w:rFonts w:ascii="Times New Roman" w:hAnsi="Times New Roman"/>
          <w:sz w:val="24"/>
          <w:szCs w:val="24"/>
          <w:u w:val="single"/>
        </w:rPr>
        <w:t xml:space="preserve"> Director </w:t>
      </w:r>
      <w:proofErr w:type="gramStart"/>
      <w:r>
        <w:rPr>
          <w:rFonts w:ascii="Times New Roman" w:hAnsi="Times New Roman"/>
          <w:sz w:val="24"/>
          <w:szCs w:val="24"/>
          <w:u w:val="single"/>
        </w:rPr>
        <w:t>Of</w:t>
      </w:r>
      <w:proofErr w:type="gramEnd"/>
      <w:r>
        <w:rPr>
          <w:rFonts w:ascii="Times New Roman" w:hAnsi="Times New Roman"/>
          <w:sz w:val="24"/>
          <w:szCs w:val="24"/>
          <w:u w:val="single"/>
        </w:rPr>
        <w:t xml:space="preserve"> Public Safety, et. al., and James G. Powers</w:t>
      </w:r>
      <w:r>
        <w:rPr>
          <w:rFonts w:ascii="Times New Roman" w:hAnsi="Times New Roman"/>
          <w:sz w:val="24"/>
          <w:szCs w:val="24"/>
        </w:rPr>
        <w:t xml:space="preserve">, the Court of Appeals of Ohio, Eleventh District (Lake County), held (2 to 1) that trial court properly held that there was no “vacancy” in the Fire Chiefs position since he retired on Jan. 6, 2020, and was rehired the next day. Local 1536 argued [and the Dissenting Judge agreed] that the position should have been </w:t>
      </w:r>
      <w:proofErr w:type="gramStart"/>
      <w:r>
        <w:rPr>
          <w:rFonts w:ascii="Times New Roman" w:hAnsi="Times New Roman"/>
          <w:sz w:val="24"/>
          <w:szCs w:val="24"/>
        </w:rPr>
        <w:t>submitted</w:t>
      </w:r>
      <w:proofErr w:type="gramEnd"/>
      <w:r>
        <w:rPr>
          <w:rFonts w:ascii="Times New Roman" w:hAnsi="Times New Roman"/>
          <w:sz w:val="24"/>
          <w:szCs w:val="24"/>
        </w:rPr>
        <w:t xml:space="preserve"> the City’s Civil Service Commission, and the position filled through a competitive promotional examination process where four Captains were eligible to apply. </w:t>
      </w:r>
      <w:hyperlink r:id="rId2874" w:history="1">
        <w:r>
          <w:rPr>
            <w:rStyle w:val="Hyperlink"/>
            <w:sz w:val="24"/>
            <w:szCs w:val="24"/>
          </w:rPr>
          <w:t>https://www.leagle.com/decision/inohco20220627386</w:t>
        </w:r>
      </w:hyperlink>
      <w:r>
        <w:rPr>
          <w:rFonts w:ascii="Times New Roman" w:hAnsi="Times New Roman"/>
          <w:sz w:val="24"/>
          <w:szCs w:val="24"/>
        </w:rPr>
        <w:t xml:space="preserve"> </w:t>
      </w:r>
    </w:p>
    <w:p w14:paraId="6FF3511F" w14:textId="77777777" w:rsidR="00156E5D" w:rsidRDefault="00156E5D" w:rsidP="00156E5D">
      <w:pPr>
        <w:spacing w:before="100" w:beforeAutospacing="1" w:after="100" w:afterAutospacing="1" w:line="240" w:lineRule="auto"/>
        <w:rPr>
          <w:rFonts w:ascii="Times New Roman" w:eastAsia="Times New Roman" w:hAnsi="Times New Roman"/>
          <w:b/>
          <w:bCs/>
          <w:sz w:val="24"/>
          <w:szCs w:val="24"/>
        </w:rPr>
      </w:pPr>
      <w:r>
        <w:rPr>
          <w:rFonts w:ascii="Times New Roman" w:hAnsi="Times New Roman"/>
          <w:b/>
          <w:bCs/>
          <w:sz w:val="24"/>
          <w:szCs w:val="24"/>
        </w:rPr>
        <w:t xml:space="preserve">Legal Lesson Learned: In Ohio, other fire chiefs have also done “retire / rehire.” </w:t>
      </w:r>
    </w:p>
    <w:p w14:paraId="647BFB4F" w14:textId="77777777" w:rsidR="00156E5D" w:rsidRPr="00102BDF" w:rsidRDefault="00156E5D" w:rsidP="00156E5D">
      <w:pPr>
        <w:pStyle w:val="Heading1"/>
        <w:ind w:left="720"/>
        <w:rPr>
          <w:b w:val="0"/>
          <w:bCs w:val="0"/>
          <w:sz w:val="24"/>
          <w:szCs w:val="24"/>
        </w:rPr>
      </w:pPr>
      <w:r w:rsidRPr="00102BDF">
        <w:rPr>
          <w:b w:val="0"/>
          <w:bCs w:val="0"/>
          <w:sz w:val="24"/>
          <w:szCs w:val="24"/>
        </w:rPr>
        <w:t xml:space="preserve">For example, see: “Fairfield able to rehire retired fire chief” (March 15, 2011): </w:t>
      </w:r>
      <w:hyperlink r:id="rId2875" w:history="1">
        <w:r w:rsidRPr="00102BDF">
          <w:rPr>
            <w:rStyle w:val="Hyperlink"/>
            <w:b w:val="0"/>
            <w:bCs w:val="0"/>
            <w:sz w:val="24"/>
            <w:szCs w:val="24"/>
          </w:rPr>
          <w:t>https://www.journal-news.com/news/local/fairfield-able-rehire-retired-fire-chief/JMPkJQCqJ2eIDqbu2eI8RK/</w:t>
        </w:r>
      </w:hyperlink>
      <w:r w:rsidRPr="00102BDF">
        <w:rPr>
          <w:b w:val="0"/>
          <w:bCs w:val="0"/>
          <w:sz w:val="24"/>
          <w:szCs w:val="24"/>
        </w:rPr>
        <w:t xml:space="preserve"> </w:t>
      </w:r>
    </w:p>
    <w:p w14:paraId="0364F905" w14:textId="77777777" w:rsidR="00156E5D" w:rsidRPr="00102BDF" w:rsidRDefault="00156E5D" w:rsidP="00156E5D">
      <w:pPr>
        <w:pStyle w:val="Heading1"/>
        <w:ind w:left="720"/>
        <w:rPr>
          <w:b w:val="0"/>
          <w:bCs w:val="0"/>
          <w:sz w:val="24"/>
          <w:szCs w:val="24"/>
        </w:rPr>
      </w:pPr>
      <w:r w:rsidRPr="00102BDF">
        <w:rPr>
          <w:b w:val="0"/>
          <w:bCs w:val="0"/>
          <w:sz w:val="24"/>
          <w:szCs w:val="24"/>
        </w:rPr>
        <w:t xml:space="preserve">“West Carrollton to rehire fire chief after Valentine’s week retirement” (Feb. 13, 2019): </w:t>
      </w:r>
      <w:hyperlink r:id="rId2876" w:history="1">
        <w:r w:rsidRPr="00102BDF">
          <w:rPr>
            <w:rStyle w:val="Hyperlink"/>
            <w:b w:val="0"/>
            <w:bCs w:val="0"/>
            <w:sz w:val="24"/>
            <w:szCs w:val="24"/>
          </w:rPr>
          <w:t>https://www.daytondailynews.com/news/west-carrollton-rehire-fire-chief-after-valentine-week-retirement/XSsYoJpSmxdkIIZtoGUpzJ/</w:t>
        </w:r>
      </w:hyperlink>
      <w:r w:rsidRPr="00102BDF">
        <w:rPr>
          <w:b w:val="0"/>
          <w:bCs w:val="0"/>
          <w:sz w:val="24"/>
          <w:szCs w:val="24"/>
        </w:rPr>
        <w:t xml:space="preserve"> </w:t>
      </w:r>
    </w:p>
    <w:p w14:paraId="53B1D6D5" w14:textId="77777777" w:rsidR="00156E5D" w:rsidRDefault="00156E5D" w:rsidP="00156E5D">
      <w:pPr>
        <w:rPr>
          <w:rFonts w:ascii="Arial Black" w:hAnsi="Arial Black"/>
          <w:b/>
          <w:sz w:val="24"/>
          <w:szCs w:val="24"/>
        </w:rPr>
      </w:pPr>
    </w:p>
    <w:p w14:paraId="688B950C" w14:textId="77777777" w:rsidR="00156E5D" w:rsidRDefault="00156E5D" w:rsidP="00156E5D">
      <w:pPr>
        <w:rPr>
          <w:rFonts w:ascii="Arial Black" w:hAnsi="Arial Black"/>
          <w:b/>
          <w:sz w:val="24"/>
          <w:szCs w:val="24"/>
        </w:rPr>
      </w:pPr>
    </w:p>
    <w:p w14:paraId="775FE46D" w14:textId="77777777" w:rsidR="00156E5D" w:rsidRDefault="00156E5D" w:rsidP="00F326E5">
      <w:pPr>
        <w:pStyle w:val="NoSpacing"/>
        <w:rPr>
          <w:rFonts w:ascii="Arial Black" w:hAnsi="Arial Black"/>
          <w:sz w:val="24"/>
          <w:szCs w:val="24"/>
        </w:rPr>
      </w:pPr>
    </w:p>
    <w:p w14:paraId="4C0DB81D" w14:textId="77777777" w:rsidR="00156E5D" w:rsidRDefault="00156E5D" w:rsidP="00F326E5">
      <w:pPr>
        <w:pStyle w:val="NoSpacing"/>
        <w:rPr>
          <w:rFonts w:ascii="Arial Black" w:hAnsi="Arial Black"/>
          <w:sz w:val="24"/>
          <w:szCs w:val="24"/>
        </w:rPr>
      </w:pPr>
    </w:p>
    <w:p w14:paraId="2060F756" w14:textId="05F2BB72" w:rsidR="009579EB" w:rsidRDefault="009579EB" w:rsidP="00F326E5">
      <w:pPr>
        <w:pStyle w:val="NoSpacing"/>
        <w:rPr>
          <w:rFonts w:ascii="Arial Black" w:hAnsi="Arial Black"/>
          <w:sz w:val="24"/>
          <w:szCs w:val="24"/>
        </w:rPr>
      </w:pPr>
      <w:r>
        <w:rPr>
          <w:rFonts w:ascii="Arial Black" w:hAnsi="Arial Black"/>
          <w:sz w:val="24"/>
          <w:szCs w:val="24"/>
        </w:rPr>
        <w:t>17-16</w:t>
      </w:r>
    </w:p>
    <w:p w14:paraId="70E76EA8" w14:textId="77777777" w:rsidR="009579EB" w:rsidRPr="003E559C" w:rsidRDefault="009579EB" w:rsidP="009579EB">
      <w:pPr>
        <w:spacing w:before="100" w:beforeAutospacing="1" w:after="100" w:afterAutospacing="1" w:line="240" w:lineRule="auto"/>
        <w:rPr>
          <w:rFonts w:ascii="Arial Black" w:hAnsi="Arial Black"/>
          <w:sz w:val="28"/>
          <w:szCs w:val="28"/>
        </w:rPr>
      </w:pPr>
      <w:r>
        <w:rPr>
          <w:rFonts w:ascii="Arial Black" w:hAnsi="Arial Black"/>
          <w:sz w:val="28"/>
          <w:szCs w:val="28"/>
        </w:rPr>
        <w:t>NY: NEW SICK LEAVE POLICY – FD MUST BARGAIN - DOCTOR’S NOTE AFTER 2 WORKDAYS SICK, WAS 3 DAYS</w:t>
      </w:r>
    </w:p>
    <w:p w14:paraId="798D245B" w14:textId="77777777" w:rsidR="009579EB" w:rsidRPr="003E559C" w:rsidRDefault="009579EB" w:rsidP="009579EB">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On May 25, 2022, in </w:t>
      </w:r>
      <w:r w:rsidRPr="003E559C">
        <w:rPr>
          <w:rFonts w:ascii="Times New Roman" w:eastAsia="Times New Roman" w:hAnsi="Times New Roman"/>
          <w:sz w:val="24"/>
          <w:szCs w:val="24"/>
        </w:rPr>
        <w:t xml:space="preserve">the </w:t>
      </w:r>
      <w:r w:rsidRPr="003E559C">
        <w:rPr>
          <w:rFonts w:ascii="Times New Roman" w:eastAsia="Times New Roman" w:hAnsi="Times New Roman"/>
          <w:sz w:val="24"/>
          <w:szCs w:val="24"/>
          <w:u w:val="single"/>
        </w:rPr>
        <w:t>Matter of Village of Scarsdale v. New York State Public Employment Relations Board, et al</w:t>
      </w:r>
      <w:r w:rsidRPr="003E559C">
        <w:rPr>
          <w:rFonts w:ascii="Times New Roman" w:eastAsia="Times New Roman" w:hAnsi="Times New Roman"/>
          <w:sz w:val="24"/>
          <w:szCs w:val="24"/>
        </w:rPr>
        <w:t>.</w:t>
      </w:r>
      <w:r>
        <w:rPr>
          <w:rFonts w:ascii="Times New Roman" w:eastAsia="Times New Roman" w:hAnsi="Times New Roman"/>
          <w:b/>
          <w:bCs/>
          <w:sz w:val="24"/>
          <w:szCs w:val="24"/>
        </w:rPr>
        <w:t xml:space="preserve">, </w:t>
      </w:r>
      <w:r w:rsidRPr="009155CF">
        <w:rPr>
          <w:rFonts w:ascii="Times New Roman" w:eastAsia="Times New Roman" w:hAnsi="Times New Roman"/>
          <w:sz w:val="24"/>
          <w:szCs w:val="24"/>
        </w:rPr>
        <w:t>2022 NY Slip Op 03392,</w:t>
      </w:r>
      <w:r>
        <w:rPr>
          <w:rFonts w:ascii="Times New Roman" w:eastAsia="Times New Roman" w:hAnsi="Times New Roman"/>
          <w:b/>
          <w:bCs/>
          <w:sz w:val="24"/>
          <w:szCs w:val="24"/>
        </w:rPr>
        <w:t xml:space="preserve"> </w:t>
      </w:r>
      <w:r w:rsidRPr="003E559C">
        <w:rPr>
          <w:rFonts w:ascii="Times New Roman" w:eastAsia="Times New Roman" w:hAnsi="Times New Roman"/>
          <w:sz w:val="24"/>
          <w:szCs w:val="24"/>
        </w:rPr>
        <w:t>the</w:t>
      </w:r>
      <w:r>
        <w:rPr>
          <w:rFonts w:ascii="Times New Roman" w:eastAsia="Times New Roman" w:hAnsi="Times New Roman"/>
          <w:b/>
          <w:bCs/>
          <w:sz w:val="24"/>
          <w:szCs w:val="24"/>
        </w:rPr>
        <w:t xml:space="preserve"> </w:t>
      </w:r>
      <w:r w:rsidRPr="003E559C">
        <w:rPr>
          <w:rFonts w:ascii="Times New Roman" w:eastAsia="Times New Roman" w:hAnsi="Times New Roman"/>
          <w:sz w:val="24"/>
          <w:szCs w:val="24"/>
        </w:rPr>
        <w:t>Supreme Court of New York, Second Department, held</w:t>
      </w:r>
      <w:r>
        <w:rPr>
          <w:rFonts w:ascii="Times New Roman" w:eastAsia="Times New Roman" w:hAnsi="Times New Roman"/>
          <w:b/>
          <w:bCs/>
          <w:sz w:val="24"/>
          <w:szCs w:val="24"/>
        </w:rPr>
        <w:t xml:space="preserve"> </w:t>
      </w:r>
      <w:r w:rsidRPr="009155CF">
        <w:rPr>
          <w:rFonts w:ascii="Times New Roman" w:eastAsia="Times New Roman" w:hAnsi="Times New Roman"/>
          <w:sz w:val="24"/>
          <w:szCs w:val="24"/>
        </w:rPr>
        <w:t>(4 to 0)</w:t>
      </w:r>
      <w:r>
        <w:rPr>
          <w:rFonts w:ascii="Times New Roman" w:eastAsia="Times New Roman" w:hAnsi="Times New Roman"/>
          <w:b/>
          <w:bCs/>
          <w:sz w:val="24"/>
          <w:szCs w:val="24"/>
        </w:rPr>
        <w:t xml:space="preserve"> </w:t>
      </w:r>
      <w:r>
        <w:rPr>
          <w:rFonts w:ascii="Times New Roman" w:eastAsia="Times New Roman" w:hAnsi="Times New Roman"/>
          <w:sz w:val="24"/>
          <w:szCs w:val="24"/>
        </w:rPr>
        <w:t xml:space="preserve">that the Board properly held that the new “Sick Leave Management Program” (SLMP) was a change in work conditions that must be bargained, including (a) doctor’s note after 2 missed work days, rather than three work days; (b) new rules on off-duty employment on sick leave; (c) eligibility for voluntary overtime; (d) quarterly and annual counseling for excessive sick leave. </w:t>
      </w:r>
      <w:hyperlink r:id="rId2877" w:history="1">
        <w:r w:rsidRPr="00682519">
          <w:rPr>
            <w:rStyle w:val="Hyperlink"/>
            <w:rFonts w:ascii="Times New Roman" w:eastAsia="Times New Roman" w:hAnsi="Times New Roman"/>
            <w:sz w:val="24"/>
            <w:szCs w:val="24"/>
          </w:rPr>
          <w:t>https://public.fastcase.com/waZtJvSA54UAurM2rmIZzyOaN7WzTWghSlgppuqvnsAjPkds9FfvjtUo5GbcF9G%2FNhiGhSGO5JepPmFj8bD%2B4C9gVbj%2FhO0NJpef3auh%2BAw%3D</w:t>
        </w:r>
      </w:hyperlink>
      <w:r>
        <w:rPr>
          <w:rFonts w:ascii="Times New Roman" w:eastAsia="Times New Roman" w:hAnsi="Times New Roman"/>
          <w:sz w:val="24"/>
          <w:szCs w:val="24"/>
        </w:rPr>
        <w:t xml:space="preserve"> </w:t>
      </w:r>
    </w:p>
    <w:p w14:paraId="128AB0A9" w14:textId="77777777" w:rsidR="009579EB" w:rsidRPr="00514E42" w:rsidRDefault="009579EB" w:rsidP="009579EB">
      <w:pPr>
        <w:spacing w:before="100" w:beforeAutospacing="1" w:after="100" w:afterAutospacing="1" w:line="240" w:lineRule="auto"/>
        <w:rPr>
          <w:rFonts w:ascii="Times New Roman" w:hAnsi="Times New Roman"/>
          <w:b/>
          <w:bCs/>
          <w:sz w:val="24"/>
          <w:szCs w:val="24"/>
        </w:rPr>
      </w:pPr>
      <w:r w:rsidRPr="00514E42">
        <w:rPr>
          <w:rFonts w:ascii="Times New Roman" w:hAnsi="Times New Roman"/>
          <w:b/>
          <w:bCs/>
          <w:sz w:val="24"/>
          <w:szCs w:val="24"/>
        </w:rPr>
        <w:t xml:space="preserve">Legal Lesson Learned: </w:t>
      </w:r>
      <w:r>
        <w:rPr>
          <w:rFonts w:ascii="Times New Roman" w:hAnsi="Times New Roman"/>
          <w:b/>
          <w:bCs/>
          <w:sz w:val="24"/>
          <w:szCs w:val="24"/>
        </w:rPr>
        <w:t xml:space="preserve">Under New York law, these substantial changes in sick leave policy had to be collectively bargained. </w:t>
      </w:r>
    </w:p>
    <w:p w14:paraId="00F2596B" w14:textId="77777777" w:rsidR="009579EB" w:rsidRDefault="009579EB" w:rsidP="00F326E5">
      <w:pPr>
        <w:pStyle w:val="NoSpacing"/>
        <w:rPr>
          <w:rFonts w:ascii="Arial Black" w:hAnsi="Arial Black"/>
          <w:sz w:val="24"/>
          <w:szCs w:val="24"/>
        </w:rPr>
      </w:pPr>
    </w:p>
    <w:p w14:paraId="35FD0ED8" w14:textId="77777777" w:rsidR="009579EB" w:rsidRDefault="009579EB" w:rsidP="00F326E5">
      <w:pPr>
        <w:pStyle w:val="NoSpacing"/>
        <w:rPr>
          <w:rFonts w:ascii="Arial Black" w:hAnsi="Arial Black"/>
          <w:sz w:val="24"/>
          <w:szCs w:val="24"/>
        </w:rPr>
      </w:pPr>
    </w:p>
    <w:p w14:paraId="5AA53551" w14:textId="31BB9909" w:rsidR="009579EB" w:rsidRDefault="009579EB" w:rsidP="00F326E5">
      <w:pPr>
        <w:pStyle w:val="NoSpacing"/>
        <w:rPr>
          <w:rFonts w:ascii="Arial Black" w:hAnsi="Arial Black"/>
          <w:sz w:val="24"/>
          <w:szCs w:val="24"/>
        </w:rPr>
      </w:pPr>
      <w:r>
        <w:rPr>
          <w:rFonts w:ascii="Arial Black" w:hAnsi="Arial Black"/>
          <w:sz w:val="24"/>
          <w:szCs w:val="24"/>
        </w:rPr>
        <w:t>17-15</w:t>
      </w:r>
    </w:p>
    <w:p w14:paraId="5A426956" w14:textId="77777777" w:rsidR="009579EB" w:rsidRDefault="009579EB" w:rsidP="00F326E5">
      <w:pPr>
        <w:pStyle w:val="NoSpacing"/>
        <w:rPr>
          <w:rFonts w:ascii="Arial Black" w:hAnsi="Arial Black"/>
          <w:sz w:val="24"/>
          <w:szCs w:val="24"/>
        </w:rPr>
      </w:pPr>
    </w:p>
    <w:p w14:paraId="1E0818D0" w14:textId="77777777" w:rsidR="00E13917" w:rsidRDefault="00E13917" w:rsidP="00E13917">
      <w:pPr>
        <w:spacing w:before="100" w:beforeAutospacing="1" w:after="100" w:afterAutospacing="1" w:line="240" w:lineRule="auto"/>
        <w:rPr>
          <w:rStyle w:val="markedcontent"/>
          <w:rFonts w:ascii="Arial Black" w:hAnsi="Arial Black" w:cs="Arial"/>
          <w:sz w:val="28"/>
          <w:szCs w:val="28"/>
        </w:rPr>
      </w:pPr>
      <w:r>
        <w:rPr>
          <w:rStyle w:val="markedcontent"/>
          <w:rFonts w:ascii="Arial Black" w:hAnsi="Arial Black" w:cs="Arial"/>
          <w:sz w:val="28"/>
          <w:szCs w:val="28"/>
        </w:rPr>
        <w:t>FL: IAFF PRESIDENT, 2 LTs – RETALIATION - AFTER UNFAIR LABOR CHARGE - ANNUAL PHYSICALS OMITTED KEY TESTS</w:t>
      </w:r>
    </w:p>
    <w:p w14:paraId="37ACB2B0" w14:textId="77777777" w:rsidR="00E13917" w:rsidRPr="00AA23CE" w:rsidRDefault="00E13917" w:rsidP="00E13917">
      <w:pPr>
        <w:spacing w:before="100" w:beforeAutospacing="1" w:after="100" w:afterAutospacing="1" w:line="240" w:lineRule="auto"/>
        <w:rPr>
          <w:rStyle w:val="markedcontent"/>
          <w:rFonts w:ascii="Times New Roman" w:hAnsi="Times New Roman"/>
          <w:sz w:val="24"/>
          <w:szCs w:val="24"/>
        </w:rPr>
      </w:pPr>
      <w:r>
        <w:rPr>
          <w:rStyle w:val="markedcontent"/>
          <w:rFonts w:ascii="Times New Roman" w:hAnsi="Times New Roman"/>
          <w:sz w:val="24"/>
          <w:szCs w:val="24"/>
        </w:rPr>
        <w:lastRenderedPageBreak/>
        <w:t xml:space="preserve">On May 19, 2022, in </w:t>
      </w:r>
      <w:r w:rsidRPr="007529E0">
        <w:rPr>
          <w:rStyle w:val="markedcontent"/>
          <w:rFonts w:ascii="Times New Roman" w:hAnsi="Times New Roman"/>
          <w:sz w:val="24"/>
          <w:szCs w:val="24"/>
          <w:u w:val="single"/>
        </w:rPr>
        <w:t>Lakeland Profession Firefighters Local 4173 v. City of Lakeland</w:t>
      </w:r>
      <w:r>
        <w:rPr>
          <w:rStyle w:val="markedcontent"/>
          <w:rFonts w:ascii="Times New Roman" w:hAnsi="Times New Roman"/>
          <w:sz w:val="24"/>
          <w:szCs w:val="24"/>
        </w:rPr>
        <w:t xml:space="preserve">, Hearing Officer Robert W. Hanson with the State of Florida Public Employees Relations Commission, after a hearing, issued a Recommended Order that the FD: (a) immediately rescind the written reprimand issued against Union President Shannon Turbeville; (b) expunge all personnel files concerning the reprimand; (c) immediately return two Lieutenants, Matthew Burns and Michael Gilman, to their original stations; (d) pay the Union’s attorney fees.  The Union President was reprimanded after he asked to bargain over why Life Span company, that provided annual physicals were omitting testing required under CBA and NFPA 1582.  </w:t>
      </w:r>
      <w:r w:rsidRPr="00AA23CE">
        <w:rPr>
          <w:rStyle w:val="markedcontent"/>
          <w:rFonts w:ascii="Times New Roman" w:hAnsi="Times New Roman"/>
          <w:sz w:val="24"/>
          <w:szCs w:val="24"/>
        </w:rPr>
        <w:t xml:space="preserve">“The omitted tests and screenings included a chest x-ray, various cancer screenings, a tuberculosis skin test, a pulmonary function test, and infectious disease screenings.” </w:t>
      </w:r>
      <w:hyperlink r:id="rId2878" w:history="1">
        <w:r w:rsidRPr="00682519">
          <w:rPr>
            <w:rStyle w:val="Hyperlink"/>
            <w:rFonts w:ascii="Times New Roman" w:hAnsi="Times New Roman"/>
            <w:sz w:val="24"/>
            <w:szCs w:val="24"/>
          </w:rPr>
          <w:t>http://perc.myflorida.com/download.aspx/Prefix=CA/CaseYr=21/CaseNo=012/File=CA21012_Ord10_05192022_163540.pdf</w:t>
        </w:r>
      </w:hyperlink>
      <w:r>
        <w:rPr>
          <w:rStyle w:val="markedcontent"/>
          <w:rFonts w:ascii="Times New Roman" w:hAnsi="Times New Roman"/>
          <w:sz w:val="24"/>
          <w:szCs w:val="24"/>
        </w:rPr>
        <w:t xml:space="preserve"> </w:t>
      </w:r>
    </w:p>
    <w:p w14:paraId="17627867" w14:textId="77777777" w:rsidR="00E13917" w:rsidRPr="00370437" w:rsidRDefault="00E13917" w:rsidP="00E13917">
      <w:pPr>
        <w:spacing w:before="100" w:beforeAutospacing="1" w:after="100" w:afterAutospacing="1" w:line="240" w:lineRule="auto"/>
        <w:rPr>
          <w:rStyle w:val="markedcontent"/>
          <w:rFonts w:ascii="Times New Roman" w:hAnsi="Times New Roman"/>
          <w:b/>
          <w:bCs/>
          <w:sz w:val="24"/>
          <w:szCs w:val="24"/>
        </w:rPr>
      </w:pPr>
      <w:r w:rsidRPr="00370437">
        <w:rPr>
          <w:rStyle w:val="markedcontent"/>
          <w:rFonts w:ascii="Times New Roman" w:hAnsi="Times New Roman"/>
          <w:b/>
          <w:bCs/>
          <w:sz w:val="24"/>
          <w:szCs w:val="24"/>
        </w:rPr>
        <w:t xml:space="preserve">Legal Lesson Learned: </w:t>
      </w:r>
      <w:r>
        <w:rPr>
          <w:rStyle w:val="markedcontent"/>
          <w:rFonts w:ascii="Times New Roman" w:hAnsi="Times New Roman"/>
          <w:b/>
          <w:bCs/>
          <w:sz w:val="24"/>
          <w:szCs w:val="24"/>
        </w:rPr>
        <w:t xml:space="preserve">Retaliation for lawful Union activities is a serious charge; transferring a Lt. 18 days after he submitted a sworn statement in support of Union President’s unfair labor charge is very questionable management decision. The City may decide to appeal to the full Commission. </w:t>
      </w:r>
    </w:p>
    <w:p w14:paraId="31CDAF41" w14:textId="37B1D711" w:rsidR="00E13917" w:rsidRDefault="00E13917" w:rsidP="00E13917">
      <w:pPr>
        <w:pStyle w:val="NoSpacing"/>
        <w:rPr>
          <w:rFonts w:ascii="Arial Black" w:hAnsi="Arial Black"/>
          <w:sz w:val="24"/>
          <w:szCs w:val="24"/>
        </w:rPr>
      </w:pPr>
      <w:r w:rsidRPr="00882956">
        <w:rPr>
          <w:rStyle w:val="markedcontent"/>
          <w:sz w:val="24"/>
          <w:szCs w:val="24"/>
        </w:rPr>
        <w:t xml:space="preserve">Note: See May 20, </w:t>
      </w:r>
      <w:proofErr w:type="gramStart"/>
      <w:r w:rsidRPr="00882956">
        <w:rPr>
          <w:rStyle w:val="markedcontent"/>
          <w:sz w:val="24"/>
          <w:szCs w:val="24"/>
        </w:rPr>
        <w:t>2022</w:t>
      </w:r>
      <w:proofErr w:type="gramEnd"/>
      <w:r w:rsidRPr="00882956">
        <w:rPr>
          <w:rStyle w:val="markedcontent"/>
          <w:sz w:val="24"/>
          <w:szCs w:val="24"/>
        </w:rPr>
        <w:t xml:space="preserve"> article, “</w:t>
      </w:r>
      <w:r w:rsidRPr="00882956">
        <w:rPr>
          <w:sz w:val="24"/>
          <w:szCs w:val="24"/>
        </w:rPr>
        <w:t>Lakeland cited for unfair labor practices in retaliation against fire department employees.”</w:t>
      </w:r>
      <w:r>
        <w:t xml:space="preserve"> </w:t>
      </w:r>
      <w:hyperlink r:id="rId2879" w:history="1">
        <w:r w:rsidRPr="00882956">
          <w:rPr>
            <w:rStyle w:val="Hyperlink"/>
            <w:sz w:val="24"/>
            <w:szCs w:val="24"/>
          </w:rPr>
          <w:t>https://www.theledger.com/story/news/local/2022/05/20/lakeland-fire-department-leaders-retaliated-against-union-members-commission-says/9852984002/?mc_cid=a677467851&amp;mc_eid=3f2d24c371</w:t>
        </w:r>
      </w:hyperlink>
    </w:p>
    <w:p w14:paraId="5132440A" w14:textId="77777777" w:rsidR="00E13917" w:rsidRDefault="00E13917" w:rsidP="00F326E5">
      <w:pPr>
        <w:pStyle w:val="NoSpacing"/>
        <w:rPr>
          <w:rFonts w:ascii="Arial Black" w:hAnsi="Arial Black"/>
          <w:sz w:val="24"/>
          <w:szCs w:val="24"/>
        </w:rPr>
      </w:pPr>
    </w:p>
    <w:p w14:paraId="28173990" w14:textId="77777777" w:rsidR="00E13917" w:rsidRDefault="00E13917" w:rsidP="00F326E5">
      <w:pPr>
        <w:pStyle w:val="NoSpacing"/>
        <w:rPr>
          <w:rFonts w:ascii="Arial Black" w:hAnsi="Arial Black"/>
          <w:sz w:val="24"/>
          <w:szCs w:val="24"/>
        </w:rPr>
      </w:pPr>
    </w:p>
    <w:p w14:paraId="27B723B1" w14:textId="106905FB" w:rsidR="007F5C26" w:rsidRDefault="007F5C26" w:rsidP="00F326E5">
      <w:pPr>
        <w:pStyle w:val="NoSpacing"/>
        <w:rPr>
          <w:rFonts w:ascii="Arial Black" w:hAnsi="Arial Black"/>
          <w:sz w:val="24"/>
          <w:szCs w:val="24"/>
        </w:rPr>
      </w:pPr>
      <w:r>
        <w:rPr>
          <w:rFonts w:ascii="Arial Black" w:hAnsi="Arial Black"/>
          <w:sz w:val="24"/>
          <w:szCs w:val="24"/>
        </w:rPr>
        <w:t>17-14</w:t>
      </w:r>
    </w:p>
    <w:p w14:paraId="497D7230" w14:textId="77777777" w:rsidR="007F5C26" w:rsidRPr="00BB59F3" w:rsidRDefault="007F5C26" w:rsidP="007F5C26">
      <w:pPr>
        <w:spacing w:before="100" w:beforeAutospacing="1" w:after="100" w:afterAutospacing="1" w:line="240" w:lineRule="auto"/>
        <w:rPr>
          <w:rFonts w:ascii="Arial Black" w:eastAsia="Times New Roman" w:hAnsi="Arial Black"/>
          <w:b/>
          <w:bCs/>
          <w:sz w:val="28"/>
          <w:szCs w:val="28"/>
        </w:rPr>
      </w:pPr>
      <w:bookmarkStart w:id="632" w:name="_Hlk99462812"/>
      <w:r w:rsidRPr="00BB59F3">
        <w:rPr>
          <w:rFonts w:ascii="Arial Black" w:eastAsia="Times New Roman" w:hAnsi="Arial Black"/>
          <w:b/>
          <w:bCs/>
          <w:sz w:val="28"/>
          <w:szCs w:val="28"/>
        </w:rPr>
        <w:t xml:space="preserve">IN: IAFF </w:t>
      </w:r>
      <w:r>
        <w:rPr>
          <w:rFonts w:ascii="Arial Black" w:eastAsia="Times New Roman" w:hAnsi="Arial Black"/>
          <w:b/>
          <w:bCs/>
          <w:sz w:val="28"/>
          <w:szCs w:val="28"/>
        </w:rPr>
        <w:t xml:space="preserve">LOCAL </w:t>
      </w:r>
      <w:r w:rsidRPr="00BB59F3">
        <w:rPr>
          <w:rFonts w:ascii="Arial Black" w:eastAsia="Times New Roman" w:hAnsi="Arial Black"/>
          <w:b/>
          <w:bCs/>
          <w:sz w:val="28"/>
          <w:szCs w:val="28"/>
        </w:rPr>
        <w:t>GETS INJUNCTION – SHIFTS</w:t>
      </w:r>
      <w:r>
        <w:rPr>
          <w:rFonts w:ascii="Arial Black" w:eastAsia="Times New Roman" w:hAnsi="Arial Black"/>
          <w:b/>
          <w:bCs/>
          <w:sz w:val="28"/>
          <w:szCs w:val="28"/>
        </w:rPr>
        <w:t xml:space="preserve"> CHANGED 8/24 - </w:t>
      </w:r>
      <w:r w:rsidRPr="00BB59F3">
        <w:rPr>
          <w:rFonts w:ascii="Arial Black" w:eastAsia="Times New Roman" w:hAnsi="Arial Black"/>
          <w:b/>
          <w:bCs/>
          <w:sz w:val="28"/>
          <w:szCs w:val="28"/>
        </w:rPr>
        <w:t xml:space="preserve">RETALIATION </w:t>
      </w:r>
      <w:r>
        <w:rPr>
          <w:rFonts w:ascii="Arial Black" w:eastAsia="Times New Roman" w:hAnsi="Arial Black"/>
          <w:b/>
          <w:bCs/>
          <w:sz w:val="28"/>
          <w:szCs w:val="28"/>
        </w:rPr>
        <w:t xml:space="preserve">BY </w:t>
      </w:r>
      <w:r w:rsidRPr="00BB59F3">
        <w:rPr>
          <w:rFonts w:ascii="Arial Black" w:eastAsia="Times New Roman" w:hAnsi="Arial Black"/>
          <w:b/>
          <w:bCs/>
          <w:sz w:val="28"/>
          <w:szCs w:val="28"/>
        </w:rPr>
        <w:t xml:space="preserve">MAYOR </w:t>
      </w:r>
      <w:r>
        <w:rPr>
          <w:rFonts w:ascii="Arial Black" w:eastAsia="Times New Roman" w:hAnsi="Arial Black"/>
          <w:b/>
          <w:bCs/>
          <w:sz w:val="28"/>
          <w:szCs w:val="28"/>
        </w:rPr>
        <w:t xml:space="preserve">– UNION </w:t>
      </w:r>
      <w:r w:rsidRPr="00BB59F3">
        <w:rPr>
          <w:rFonts w:ascii="Arial Black" w:eastAsia="Times New Roman" w:hAnsi="Arial Black"/>
          <w:b/>
          <w:bCs/>
          <w:sz w:val="28"/>
          <w:szCs w:val="28"/>
        </w:rPr>
        <w:t>SUPPORTED OPPONENT</w:t>
      </w:r>
    </w:p>
    <w:p w14:paraId="6C92871B" w14:textId="77777777" w:rsidR="007F5C26" w:rsidRPr="00D96F1A" w:rsidRDefault="007F5C26" w:rsidP="007F5C26">
      <w:pPr>
        <w:spacing w:before="100" w:beforeAutospacing="1" w:after="100" w:afterAutospacing="1" w:line="240" w:lineRule="auto"/>
        <w:rPr>
          <w:rFonts w:ascii="Times New Roman" w:eastAsia="Times New Roman" w:hAnsi="Times New Roman"/>
          <w:sz w:val="24"/>
          <w:szCs w:val="24"/>
        </w:rPr>
      </w:pPr>
      <w:r>
        <w:rPr>
          <w:rFonts w:ascii="Times New Roman" w:hAnsi="Times New Roman"/>
          <w:sz w:val="24"/>
          <w:szCs w:val="24"/>
        </w:rPr>
        <w:t xml:space="preserve">On March 24, 2022, in </w:t>
      </w:r>
      <w:r w:rsidRPr="00527093">
        <w:rPr>
          <w:rFonts w:ascii="Times New Roman" w:hAnsi="Times New Roman"/>
          <w:sz w:val="24"/>
          <w:szCs w:val="24"/>
          <w:u w:val="single"/>
        </w:rPr>
        <w:t>IAFF Local 365, et al. v. City of East Chicago</w:t>
      </w:r>
      <w:r>
        <w:rPr>
          <w:rFonts w:ascii="Times New Roman" w:hAnsi="Times New Roman"/>
          <w:sz w:val="24"/>
          <w:szCs w:val="24"/>
        </w:rPr>
        <w:t xml:space="preserve">, U.S. District Court Judge Philip P. Simon, U.S. District Court for Northern District of Indiana (Hammond Division) issued a preliminary injunction against the City, finding the Mayor (a retired firefighter) changed the 24 / 48 shift in retaliation for the Local (which does not have a CBA) supporting an opponent in 2019.  The judge held a hearing in Oct. 2021, and held the city offered little financial proof the </w:t>
      </w:r>
      <w:proofErr w:type="gramStart"/>
      <w:r>
        <w:rPr>
          <w:rFonts w:ascii="Times New Roman" w:hAnsi="Times New Roman"/>
          <w:sz w:val="24"/>
          <w:szCs w:val="24"/>
        </w:rPr>
        <w:t>Mayor’s</w:t>
      </w:r>
      <w:proofErr w:type="gramEnd"/>
      <w:r>
        <w:rPr>
          <w:rFonts w:ascii="Times New Roman" w:hAnsi="Times New Roman"/>
          <w:sz w:val="24"/>
          <w:szCs w:val="24"/>
        </w:rPr>
        <w:t xml:space="preserve"> swing shift saves money. In his Preliminary Injunction, the judge ordered the </w:t>
      </w:r>
      <w:proofErr w:type="gramStart"/>
      <w:r>
        <w:rPr>
          <w:rFonts w:ascii="Times New Roman" w:hAnsi="Times New Roman"/>
          <w:sz w:val="24"/>
          <w:szCs w:val="24"/>
        </w:rPr>
        <w:t>City</w:t>
      </w:r>
      <w:proofErr w:type="gramEnd"/>
      <w:r>
        <w:rPr>
          <w:rFonts w:ascii="Times New Roman" w:hAnsi="Times New Roman"/>
          <w:sz w:val="24"/>
          <w:szCs w:val="24"/>
        </w:rPr>
        <w:t xml:space="preserve"> to “</w:t>
      </w:r>
      <w:r w:rsidRPr="00527093">
        <w:rPr>
          <w:rFonts w:ascii="Times New Roman" w:hAnsi="Times New Roman"/>
          <w:sz w:val="24"/>
          <w:szCs w:val="24"/>
        </w:rPr>
        <w:t>immediately begin the process of reinstating the 24/48 schedule for its firefighters. Because it may take a few weeks to fully implement the new schedule, East Chicago will have until April 18, 2022, to have the schedule in place.</w:t>
      </w:r>
      <w:r>
        <w:rPr>
          <w:rFonts w:ascii="Times New Roman" w:hAnsi="Times New Roman"/>
          <w:sz w:val="24"/>
          <w:szCs w:val="24"/>
        </w:rPr>
        <w:t xml:space="preserve">” </w:t>
      </w:r>
      <w:hyperlink r:id="rId2880" w:history="1">
        <w:r w:rsidRPr="00CA2C0A">
          <w:rPr>
            <w:rStyle w:val="Hyperlink"/>
            <w:rFonts w:ascii="Times New Roman" w:eastAsia="Times New Roman" w:hAnsi="Times New Roman"/>
            <w:sz w:val="24"/>
            <w:szCs w:val="24"/>
          </w:rPr>
          <w:t>https://law.justia.com/cases/federal/district-courts/indiana/inndce/2:2021cv00154/106960/76/</w:t>
        </w:r>
      </w:hyperlink>
      <w:r>
        <w:rPr>
          <w:rFonts w:ascii="Times New Roman" w:eastAsia="Times New Roman" w:hAnsi="Times New Roman"/>
          <w:sz w:val="24"/>
          <w:szCs w:val="24"/>
        </w:rPr>
        <w:t xml:space="preserve"> </w:t>
      </w:r>
    </w:p>
    <w:p w14:paraId="4C5617AF" w14:textId="77777777" w:rsidR="007F5C26" w:rsidRPr="00D96F1A" w:rsidRDefault="007F5C26" w:rsidP="007F5C26">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w:t>
      </w:r>
      <w:r w:rsidRPr="00D96F1A">
        <w:rPr>
          <w:rFonts w:ascii="Times New Roman" w:eastAsia="Times New Roman" w:hAnsi="Times New Roman"/>
          <w:sz w:val="24"/>
          <w:szCs w:val="24"/>
        </w:rPr>
        <w:t xml:space="preserve">Firefighters across the nation generally work a 24/48-hour shift, that is, they are on duty for 24 hours and then off for 48 hours. Most fire departments in the country adhere to this schedule. The City of East Chicago does not. Instead, East Chicago requires its firefighters to work 8 hours on, then 24 hours off. This leads to a perpetually rotating schedule which can wreak havoc on the lives of firefighters. It </w:t>
      </w:r>
      <w:proofErr w:type="gramStart"/>
      <w:r w:rsidRPr="00D96F1A">
        <w:rPr>
          <w:rFonts w:ascii="Times New Roman" w:eastAsia="Times New Roman" w:hAnsi="Times New Roman"/>
          <w:sz w:val="24"/>
          <w:szCs w:val="24"/>
        </w:rPr>
        <w:t>effects</w:t>
      </w:r>
      <w:proofErr w:type="gramEnd"/>
      <w:r w:rsidRPr="00D96F1A">
        <w:rPr>
          <w:rFonts w:ascii="Times New Roman" w:eastAsia="Times New Roman" w:hAnsi="Times New Roman"/>
          <w:sz w:val="24"/>
          <w:szCs w:val="24"/>
        </w:rPr>
        <w:t xml:space="preserve"> their personal lives and health, prevents a consistent sleep schedule, and makes it difficult to obtain reliable childcare. No. other department in the country imposes this schedule. </w:t>
      </w:r>
    </w:p>
    <w:p w14:paraId="1DD77E9A" w14:textId="77777777" w:rsidR="007F5C26" w:rsidRPr="00D96F1A" w:rsidRDefault="007F5C26" w:rsidP="007F5C26">
      <w:pPr>
        <w:spacing w:before="100" w:beforeAutospacing="1" w:after="100" w:afterAutospacing="1" w:line="240" w:lineRule="auto"/>
        <w:ind w:left="720"/>
        <w:rPr>
          <w:rFonts w:ascii="Times New Roman" w:eastAsia="Times New Roman" w:hAnsi="Times New Roman"/>
          <w:sz w:val="24"/>
          <w:szCs w:val="24"/>
        </w:rPr>
      </w:pPr>
      <w:r w:rsidRPr="00D96F1A">
        <w:rPr>
          <w:rFonts w:ascii="Times New Roman" w:eastAsia="Times New Roman" w:hAnsi="Times New Roman"/>
          <w:sz w:val="24"/>
          <w:szCs w:val="24"/>
        </w:rPr>
        <w:t xml:space="preserve">Why is East Chicago an outlier? The firefighters say it is retaliation from Mayor Anthony Copeland because they exercised their First Amendment rights in their backing of a rival mayoral candidate and in their lobbying efforts with East Chicago's legislative body, the Common Council. The firefighters seek a preliminary injunction ordering the </w:t>
      </w:r>
      <w:proofErr w:type="gramStart"/>
      <w:r w:rsidRPr="00D96F1A">
        <w:rPr>
          <w:rFonts w:ascii="Times New Roman" w:eastAsia="Times New Roman" w:hAnsi="Times New Roman"/>
          <w:sz w:val="24"/>
          <w:szCs w:val="24"/>
        </w:rPr>
        <w:t>City</w:t>
      </w:r>
      <w:proofErr w:type="gramEnd"/>
      <w:r w:rsidRPr="00D96F1A">
        <w:rPr>
          <w:rFonts w:ascii="Times New Roman" w:eastAsia="Times New Roman" w:hAnsi="Times New Roman"/>
          <w:sz w:val="24"/>
          <w:szCs w:val="24"/>
        </w:rPr>
        <w:t xml:space="preserve"> to </w:t>
      </w:r>
      <w:proofErr w:type="gramStart"/>
      <w:r w:rsidRPr="00D96F1A">
        <w:rPr>
          <w:rFonts w:ascii="Times New Roman" w:eastAsia="Times New Roman" w:hAnsi="Times New Roman"/>
          <w:sz w:val="24"/>
          <w:szCs w:val="24"/>
        </w:rPr>
        <w:t>revert back</w:t>
      </w:r>
      <w:proofErr w:type="gramEnd"/>
      <w:r w:rsidRPr="00D96F1A">
        <w:rPr>
          <w:rFonts w:ascii="Times New Roman" w:eastAsia="Times New Roman" w:hAnsi="Times New Roman"/>
          <w:sz w:val="24"/>
          <w:szCs w:val="24"/>
        </w:rPr>
        <w:t xml:space="preserve"> to the 24/48 schedule. East Chicago says it is a cost saving measure. I held a two-day hearing to get to the bottom of the issue. Because the firefighters have established a likelihood of succeeding on their First Amendment political retaliation claim, and </w:t>
      </w:r>
      <w:r w:rsidRPr="00D96F1A">
        <w:rPr>
          <w:rFonts w:ascii="Times New Roman" w:eastAsia="Times New Roman" w:hAnsi="Times New Roman"/>
          <w:sz w:val="24"/>
          <w:szCs w:val="24"/>
        </w:rPr>
        <w:lastRenderedPageBreak/>
        <w:t>they will suffer irreparable harm if the schedule remains intact, a preliminary injunction will be issued.</w:t>
      </w:r>
      <w:r>
        <w:rPr>
          <w:rFonts w:ascii="Times New Roman" w:eastAsia="Times New Roman" w:hAnsi="Times New Roman"/>
          <w:sz w:val="24"/>
          <w:szCs w:val="24"/>
        </w:rPr>
        <w:t xml:space="preserve">” </w:t>
      </w:r>
      <w:hyperlink r:id="rId2881" w:history="1">
        <w:r w:rsidRPr="00CA2C0A">
          <w:rPr>
            <w:rStyle w:val="Hyperlink"/>
            <w:rFonts w:ascii="Times New Roman" w:eastAsia="Times New Roman" w:hAnsi="Times New Roman"/>
            <w:sz w:val="24"/>
            <w:szCs w:val="24"/>
          </w:rPr>
          <w:t>https://law.justia.com/cases/federal/district-courts/indiana/inndce/2:2021cv00154/106960/76/</w:t>
        </w:r>
      </w:hyperlink>
      <w:r>
        <w:rPr>
          <w:rFonts w:ascii="Times New Roman" w:eastAsia="Times New Roman" w:hAnsi="Times New Roman"/>
          <w:sz w:val="24"/>
          <w:szCs w:val="24"/>
        </w:rPr>
        <w:t xml:space="preserve"> </w:t>
      </w:r>
    </w:p>
    <w:bookmarkEnd w:id="632"/>
    <w:p w14:paraId="5871E0ED" w14:textId="77777777" w:rsidR="007F5C26" w:rsidRPr="005D7300" w:rsidRDefault="007F5C26" w:rsidP="007F5C26">
      <w:pPr>
        <w:pStyle w:val="NormalWeb"/>
        <w:rPr>
          <w:b/>
          <w:bCs/>
        </w:rPr>
      </w:pPr>
      <w:r w:rsidRPr="005D7300">
        <w:rPr>
          <w:b/>
          <w:bCs/>
        </w:rPr>
        <w:t xml:space="preserve">Legal Lesson Learned: </w:t>
      </w:r>
      <w:r>
        <w:rPr>
          <w:b/>
          <w:bCs/>
        </w:rPr>
        <w:t xml:space="preserve"> An IAFF Local’s support of a </w:t>
      </w:r>
      <w:proofErr w:type="gramStart"/>
      <w:r>
        <w:rPr>
          <w:b/>
          <w:bCs/>
        </w:rPr>
        <w:t>Mayor’s</w:t>
      </w:r>
      <w:proofErr w:type="gramEnd"/>
      <w:r>
        <w:rPr>
          <w:b/>
          <w:bCs/>
        </w:rPr>
        <w:t xml:space="preserve"> opponent in an election is protected under the First Amendment.  The city will likely appeal this Preliminary Injunction.</w:t>
      </w:r>
    </w:p>
    <w:p w14:paraId="6D2F452B" w14:textId="23CEBB17" w:rsidR="007F5C26" w:rsidRDefault="007F5C26" w:rsidP="007F5C26">
      <w:pPr>
        <w:pStyle w:val="NoSpacing"/>
        <w:rPr>
          <w:rFonts w:ascii="Arial Black" w:hAnsi="Arial Black"/>
          <w:sz w:val="24"/>
          <w:szCs w:val="24"/>
        </w:rPr>
      </w:pPr>
      <w:r w:rsidRPr="000C5C0C">
        <w:rPr>
          <w:sz w:val="24"/>
          <w:szCs w:val="24"/>
        </w:rPr>
        <w:t xml:space="preserve">Note: See March 29, </w:t>
      </w:r>
      <w:proofErr w:type="gramStart"/>
      <w:r w:rsidRPr="000C5C0C">
        <w:rPr>
          <w:sz w:val="24"/>
          <w:szCs w:val="24"/>
        </w:rPr>
        <w:t>2022</w:t>
      </w:r>
      <w:proofErr w:type="gramEnd"/>
      <w:r w:rsidRPr="000C5C0C">
        <w:rPr>
          <w:sz w:val="24"/>
          <w:szCs w:val="24"/>
        </w:rPr>
        <w:t xml:space="preserve"> article about the case: “Judge orders East Chicago to give firefighters back their old work shifts.” </w:t>
      </w:r>
      <w:hyperlink r:id="rId2882" w:history="1">
        <w:r w:rsidRPr="008956D3">
          <w:rPr>
            <w:rStyle w:val="Hyperlink"/>
            <w:rFonts w:eastAsiaTheme="majorEastAsia"/>
            <w:sz w:val="24"/>
            <w:szCs w:val="24"/>
          </w:rPr>
          <w:t>https://www.nwitimes.com/news/local/lake/east-chicago/judge-orders-east-chicago-to-give-firefighters-back-their-old-work-shifts/article_0a0ebd36-f823-513f-a2fc-d1d6d95613d7.html</w:t>
        </w:r>
      </w:hyperlink>
    </w:p>
    <w:p w14:paraId="4D817CF2" w14:textId="77777777" w:rsidR="007F5C26" w:rsidRDefault="007F5C26" w:rsidP="00F326E5">
      <w:pPr>
        <w:pStyle w:val="NoSpacing"/>
        <w:rPr>
          <w:rFonts w:ascii="Arial Black" w:hAnsi="Arial Black"/>
          <w:sz w:val="24"/>
          <w:szCs w:val="24"/>
        </w:rPr>
      </w:pPr>
    </w:p>
    <w:p w14:paraId="3CC22B94" w14:textId="77777777" w:rsidR="007F5C26" w:rsidRDefault="007F5C26" w:rsidP="00F326E5">
      <w:pPr>
        <w:pStyle w:val="NoSpacing"/>
        <w:rPr>
          <w:rFonts w:ascii="Arial Black" w:hAnsi="Arial Black"/>
          <w:sz w:val="24"/>
          <w:szCs w:val="24"/>
        </w:rPr>
      </w:pPr>
    </w:p>
    <w:p w14:paraId="7941ED4E" w14:textId="7BA324A8" w:rsidR="007F5C26" w:rsidRDefault="007F5C26" w:rsidP="00F326E5">
      <w:pPr>
        <w:pStyle w:val="NoSpacing"/>
        <w:rPr>
          <w:rFonts w:ascii="Arial Black" w:hAnsi="Arial Black"/>
          <w:sz w:val="24"/>
          <w:szCs w:val="24"/>
        </w:rPr>
      </w:pPr>
      <w:r>
        <w:rPr>
          <w:rFonts w:ascii="Arial Black" w:hAnsi="Arial Black"/>
          <w:sz w:val="24"/>
          <w:szCs w:val="24"/>
        </w:rPr>
        <w:t>17-13 [also filed, Chap. 16]</w:t>
      </w:r>
    </w:p>
    <w:p w14:paraId="25F468D7" w14:textId="2C66D6CD" w:rsidR="007F5C26" w:rsidRDefault="007F5C26" w:rsidP="00F326E5">
      <w:pPr>
        <w:pStyle w:val="NoSpacing"/>
        <w:rPr>
          <w:rFonts w:ascii="Arial Black" w:hAnsi="Arial Black"/>
          <w:sz w:val="24"/>
          <w:szCs w:val="24"/>
        </w:rPr>
      </w:pPr>
    </w:p>
    <w:p w14:paraId="12D95429" w14:textId="77777777" w:rsidR="007F5C26" w:rsidRDefault="007F5C26" w:rsidP="007F5C26">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OH: ARBITRATOR MAY REDUCE PENALTY – NEW SHIFT RELIEF - ASSISTANT CHIEF’S LOSS PAY OVERTURNED</w:t>
      </w:r>
    </w:p>
    <w:p w14:paraId="367E5F38" w14:textId="77777777" w:rsidR="007F5C26" w:rsidRPr="00AA2A35" w:rsidRDefault="007F5C26" w:rsidP="007F5C26">
      <w:pPr>
        <w:spacing w:before="100" w:beforeAutospacing="1" w:after="100" w:afterAutospacing="1" w:line="240" w:lineRule="auto"/>
        <w:rPr>
          <w:rFonts w:ascii="Times New Roman" w:eastAsia="Times New Roman" w:hAnsi="Times New Roman"/>
          <w:sz w:val="24"/>
          <w:szCs w:val="24"/>
        </w:rPr>
      </w:pPr>
      <w:r w:rsidRPr="00AA2A35">
        <w:rPr>
          <w:rFonts w:ascii="Times New Roman" w:hAnsi="Times New Roman"/>
          <w:sz w:val="24"/>
          <w:szCs w:val="24"/>
        </w:rPr>
        <w:t xml:space="preserve">On March 17, 2022, in </w:t>
      </w:r>
      <w:r w:rsidRPr="00AA2A35">
        <w:rPr>
          <w:rFonts w:ascii="Times New Roman" w:hAnsi="Times New Roman"/>
          <w:sz w:val="24"/>
          <w:szCs w:val="24"/>
          <w:u w:val="single"/>
        </w:rPr>
        <w:t>Association of Cleveland Fire Fighters, Local 93 v. City of Cleveland</w:t>
      </w:r>
      <w:r w:rsidRPr="00AA2A35">
        <w:rPr>
          <w:rFonts w:ascii="Times New Roman" w:hAnsi="Times New Roman"/>
          <w:sz w:val="24"/>
          <w:szCs w:val="24"/>
        </w:rPr>
        <w:t>, the Court of Appeals of Ohio, 8</w:t>
      </w:r>
      <w:r w:rsidRPr="00AA2A35">
        <w:rPr>
          <w:rFonts w:ascii="Times New Roman" w:hAnsi="Times New Roman"/>
          <w:sz w:val="24"/>
          <w:szCs w:val="24"/>
          <w:vertAlign w:val="superscript"/>
        </w:rPr>
        <w:t>th</w:t>
      </w:r>
      <w:r w:rsidRPr="00AA2A35">
        <w:rPr>
          <w:rFonts w:ascii="Times New Roman" w:hAnsi="Times New Roman"/>
          <w:sz w:val="24"/>
          <w:szCs w:val="24"/>
        </w:rPr>
        <w:t xml:space="preserve"> District (Cuyahoga County), held (3 to 0) that a Common Pleas judge improperly set aside the arbitrator’s award which found the charge of “gross insubordination” by Assistant Fire Chief was not proven, but the facts supported a “conduct unbecoming” charge. The Assistant Fire Chief was charged with 16 charges for trying to get the vacationing Fire Chief to overturn Acting Fire Chiefs order to follow the new shift relief procedure (to save overtime money, when the incoming Assistant Chief called off, he can only be replaced by on duty officer of lesser rank).  The arbitrator had authority to vacate the most serious charge of “gross insubordination” and the 24-hour suspension, and to direct the FD to change in his personnel file with an official reprimand for one of the lesser charges, “conduct unbecoming an employee in the public service,” with no loss of wages. </w:t>
      </w:r>
      <w:hyperlink r:id="rId2883" w:history="1">
        <w:r w:rsidRPr="00AA2A35">
          <w:rPr>
            <w:rStyle w:val="Hyperlink"/>
            <w:rFonts w:ascii="Times New Roman" w:eastAsia="Times New Roman" w:hAnsi="Times New Roman"/>
            <w:sz w:val="24"/>
            <w:szCs w:val="24"/>
          </w:rPr>
          <w:t>https://www.supremecourt.ohio.gov/rod/docs/pdf/8/2022/2022-Ohio-824.pdf</w:t>
        </w:r>
      </w:hyperlink>
      <w:r w:rsidRPr="00AA2A35">
        <w:rPr>
          <w:rFonts w:ascii="Times New Roman" w:eastAsia="Times New Roman" w:hAnsi="Times New Roman"/>
          <w:sz w:val="24"/>
          <w:szCs w:val="24"/>
        </w:rPr>
        <w:t xml:space="preserve"> </w:t>
      </w:r>
    </w:p>
    <w:p w14:paraId="2917B545" w14:textId="77777777" w:rsidR="007F5C26" w:rsidRPr="00892AD5" w:rsidRDefault="007F5C26" w:rsidP="007F5C26">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w:t>
      </w:r>
      <w:r w:rsidRPr="00892AD5">
        <w:rPr>
          <w:rFonts w:ascii="Times New Roman" w:eastAsia="Times New Roman" w:hAnsi="Times New Roman"/>
          <w:sz w:val="24"/>
          <w:szCs w:val="24"/>
        </w:rPr>
        <w:t xml:space="preserve">In focusing solely on the question of gross insubordination, the Union disregards the fact that the parties stipulated to </w:t>
      </w:r>
      <w:r w:rsidRPr="00892AD5">
        <w:rPr>
          <w:rFonts w:ascii="Times New Roman" w:eastAsia="Times New Roman" w:hAnsi="Times New Roman"/>
          <w:i/>
          <w:iCs/>
          <w:sz w:val="24"/>
          <w:szCs w:val="24"/>
        </w:rPr>
        <w:t>two</w:t>
      </w:r>
      <w:r w:rsidRPr="00892AD5">
        <w:rPr>
          <w:rFonts w:ascii="Times New Roman" w:eastAsia="Times New Roman" w:hAnsi="Times New Roman"/>
          <w:sz w:val="24"/>
          <w:szCs w:val="24"/>
        </w:rPr>
        <w:t xml:space="preserve"> questions before submitting the matter to arbitration. The first question was whether the city had just cause to suspend </w:t>
      </w:r>
      <w:proofErr w:type="spellStart"/>
      <w:r w:rsidRPr="00892AD5">
        <w:rPr>
          <w:rFonts w:ascii="Times New Roman" w:eastAsia="Times New Roman" w:hAnsi="Times New Roman"/>
          <w:sz w:val="24"/>
          <w:szCs w:val="24"/>
        </w:rPr>
        <w:t>Viancourt</w:t>
      </w:r>
      <w:proofErr w:type="spellEnd"/>
      <w:r w:rsidRPr="00892AD5">
        <w:rPr>
          <w:rFonts w:ascii="Times New Roman" w:eastAsia="Times New Roman" w:hAnsi="Times New Roman"/>
          <w:sz w:val="24"/>
          <w:szCs w:val="24"/>
        </w:rPr>
        <w:t xml:space="preserve"> for a day and issue him an official reprimand. The question of just cause was not confined to "gross insubordination." Rather, the question concerned whether the city had just </w:t>
      </w:r>
      <w:proofErr w:type="gramStart"/>
      <w:r w:rsidRPr="00892AD5">
        <w:rPr>
          <w:rFonts w:ascii="Times New Roman" w:eastAsia="Times New Roman" w:hAnsi="Times New Roman"/>
          <w:sz w:val="24"/>
          <w:szCs w:val="24"/>
        </w:rPr>
        <w:t>cause</w:t>
      </w:r>
      <w:proofErr w:type="gramEnd"/>
      <w:r w:rsidRPr="00892AD5">
        <w:rPr>
          <w:rFonts w:ascii="Times New Roman" w:eastAsia="Times New Roman" w:hAnsi="Times New Roman"/>
          <w:sz w:val="24"/>
          <w:szCs w:val="24"/>
        </w:rPr>
        <w:t xml:space="preserve"> discipline </w:t>
      </w:r>
      <w:proofErr w:type="spellStart"/>
      <w:r w:rsidRPr="00892AD5">
        <w:rPr>
          <w:rFonts w:ascii="Times New Roman" w:eastAsia="Times New Roman" w:hAnsi="Times New Roman"/>
          <w:sz w:val="24"/>
          <w:szCs w:val="24"/>
        </w:rPr>
        <w:t>Viancourt</w:t>
      </w:r>
      <w:proofErr w:type="spellEnd"/>
      <w:r w:rsidRPr="00892AD5">
        <w:rPr>
          <w:rFonts w:ascii="Times New Roman" w:eastAsia="Times New Roman" w:hAnsi="Times New Roman"/>
          <w:sz w:val="24"/>
          <w:szCs w:val="24"/>
        </w:rPr>
        <w:t xml:space="preserve"> for his conduct. </w:t>
      </w:r>
    </w:p>
    <w:p w14:paraId="0D91EE50" w14:textId="77777777" w:rsidR="007F5C26" w:rsidRDefault="007F5C26" w:rsidP="007F5C26">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 xml:space="preserve"> ***</w:t>
      </w:r>
    </w:p>
    <w:p w14:paraId="32702929" w14:textId="77777777" w:rsidR="007F5C26" w:rsidRDefault="007F5C26" w:rsidP="007F5C26">
      <w:pPr>
        <w:pStyle w:val="NoSpacing"/>
        <w:rPr>
          <w:rFonts w:ascii="Arial Black" w:hAnsi="Arial Black"/>
          <w:sz w:val="24"/>
          <w:szCs w:val="24"/>
        </w:rPr>
      </w:pPr>
      <w:r w:rsidRPr="0091695D">
        <w:rPr>
          <w:rFonts w:ascii="Times New Roman" w:hAnsi="Times New Roman"/>
          <w:sz w:val="24"/>
          <w:szCs w:val="24"/>
        </w:rPr>
        <w:t xml:space="preserve">The Union nevertheless maintains that the arbitrator exceeded his powers by creating a new charge not submitted to arbitration and issuing a penalty based on that charge. The charge of conduct unbecoming was not expressly submitted to arbitration in the parties' stipulated questions, but neither were the charges of gross insubordination or insubordination expressly submitted to arbitration. The questions to which the parties stipulated focused on remedies: the penalties </w:t>
      </w:r>
      <w:proofErr w:type="spellStart"/>
      <w:r w:rsidRPr="0091695D">
        <w:rPr>
          <w:rFonts w:ascii="Times New Roman" w:hAnsi="Times New Roman"/>
          <w:sz w:val="24"/>
          <w:szCs w:val="24"/>
        </w:rPr>
        <w:t>Viancourt</w:t>
      </w:r>
      <w:proofErr w:type="spellEnd"/>
      <w:r w:rsidRPr="0091695D">
        <w:rPr>
          <w:rFonts w:ascii="Times New Roman" w:hAnsi="Times New Roman"/>
          <w:sz w:val="24"/>
          <w:szCs w:val="24"/>
        </w:rPr>
        <w:t xml:space="preserve"> had received for his conduct and, if these penalties were unjustified, the penalty the arbitrator determined that </w:t>
      </w:r>
      <w:proofErr w:type="spellStart"/>
      <w:r w:rsidRPr="0091695D">
        <w:rPr>
          <w:rFonts w:ascii="Times New Roman" w:hAnsi="Times New Roman"/>
          <w:sz w:val="24"/>
          <w:szCs w:val="24"/>
        </w:rPr>
        <w:t>Viancourt</w:t>
      </w:r>
      <w:proofErr w:type="spellEnd"/>
      <w:r w:rsidRPr="0091695D">
        <w:rPr>
          <w:rFonts w:ascii="Times New Roman" w:hAnsi="Times New Roman"/>
          <w:sz w:val="24"/>
          <w:szCs w:val="24"/>
        </w:rPr>
        <w:t xml:space="preserve"> should receive for his conduct. The Union's claim that the arbitrator created a new charge by finding that </w:t>
      </w:r>
      <w:proofErr w:type="spellStart"/>
      <w:r w:rsidRPr="0091695D">
        <w:rPr>
          <w:rFonts w:ascii="Times New Roman" w:hAnsi="Times New Roman"/>
          <w:sz w:val="24"/>
          <w:szCs w:val="24"/>
        </w:rPr>
        <w:t>Viancourt</w:t>
      </w:r>
      <w:proofErr w:type="spellEnd"/>
      <w:r w:rsidRPr="0091695D">
        <w:rPr>
          <w:rFonts w:ascii="Times New Roman" w:hAnsi="Times New Roman"/>
          <w:sz w:val="24"/>
          <w:szCs w:val="24"/>
        </w:rPr>
        <w:t xml:space="preserve"> engaged in conduct unbecoming is not supported by the record. </w:t>
      </w:r>
      <w:proofErr w:type="spellStart"/>
      <w:r w:rsidRPr="0091695D">
        <w:rPr>
          <w:rFonts w:ascii="Times New Roman" w:hAnsi="Times New Roman"/>
          <w:sz w:val="24"/>
          <w:szCs w:val="24"/>
        </w:rPr>
        <w:t>Viancourt</w:t>
      </w:r>
      <w:proofErr w:type="spellEnd"/>
      <w:r w:rsidRPr="0091695D">
        <w:rPr>
          <w:rFonts w:ascii="Times New Roman" w:hAnsi="Times New Roman"/>
          <w:sz w:val="24"/>
          <w:szCs w:val="24"/>
        </w:rPr>
        <w:t xml:space="preserve"> was charged with 16 violations, which included the charge of conduct unbecoming. The Union's claim that any penalty based on that charge was improper is also not supported by the record because conduct unbecoming is punishable by official reprimand. The arbitrator's leaving this penalty intact is consistent with the discipline </w:t>
      </w:r>
      <w:proofErr w:type="gramStart"/>
      <w:r w:rsidRPr="0091695D">
        <w:rPr>
          <w:rFonts w:ascii="Times New Roman" w:hAnsi="Times New Roman"/>
          <w:sz w:val="24"/>
          <w:szCs w:val="24"/>
        </w:rPr>
        <w:t>guide.</w:t>
      </w:r>
      <w:r>
        <w:rPr>
          <w:rFonts w:ascii="Times New Roman" w:hAnsi="Times New Roman"/>
          <w:sz w:val="24"/>
          <w:szCs w:val="24"/>
        </w:rPr>
        <w:t>”</w:t>
      </w:r>
      <w:proofErr w:type="gramEnd"/>
      <w:r>
        <w:rPr>
          <w:rFonts w:ascii="Times New Roman" w:hAnsi="Times New Roman"/>
          <w:sz w:val="24"/>
          <w:szCs w:val="24"/>
        </w:rPr>
        <w:t xml:space="preserve"> </w:t>
      </w:r>
      <w:hyperlink r:id="rId2884" w:history="1">
        <w:r w:rsidRPr="0083693C">
          <w:rPr>
            <w:rStyle w:val="Hyperlink"/>
            <w:rFonts w:ascii="Times New Roman" w:eastAsia="Times New Roman" w:hAnsi="Times New Roman"/>
            <w:sz w:val="24"/>
            <w:szCs w:val="24"/>
          </w:rPr>
          <w:t>https://www.supremecourt.ohio.gov/rod/docs/pdf/8/2022/2022-Ohio-824.pdf</w:t>
        </w:r>
      </w:hyperlink>
    </w:p>
    <w:p w14:paraId="13E7E948" w14:textId="77777777" w:rsidR="007F5C26" w:rsidRDefault="007F5C26" w:rsidP="007F5C26">
      <w:pPr>
        <w:pStyle w:val="NoSpacing"/>
        <w:rPr>
          <w:rFonts w:ascii="Arial Black" w:hAnsi="Arial Black"/>
          <w:sz w:val="24"/>
          <w:szCs w:val="24"/>
        </w:rPr>
      </w:pPr>
    </w:p>
    <w:p w14:paraId="42ED2B66" w14:textId="77777777" w:rsidR="007F5C26" w:rsidRPr="00FE655C" w:rsidRDefault="007F5C26" w:rsidP="007F5C26">
      <w:pPr>
        <w:spacing w:before="100" w:beforeAutospacing="1" w:after="100" w:afterAutospacing="1" w:line="240" w:lineRule="auto"/>
        <w:rPr>
          <w:rFonts w:ascii="Times New Roman" w:eastAsia="Times New Roman" w:hAnsi="Times New Roman"/>
          <w:b/>
          <w:bCs/>
          <w:sz w:val="24"/>
          <w:szCs w:val="24"/>
        </w:rPr>
      </w:pPr>
      <w:r w:rsidRPr="00FE655C">
        <w:rPr>
          <w:rFonts w:ascii="Times New Roman" w:eastAsia="Times New Roman" w:hAnsi="Times New Roman"/>
          <w:b/>
          <w:bCs/>
          <w:sz w:val="24"/>
          <w:szCs w:val="24"/>
        </w:rPr>
        <w:lastRenderedPageBreak/>
        <w:t xml:space="preserve">Legal Lesson Learned: </w:t>
      </w:r>
      <w:r>
        <w:rPr>
          <w:rFonts w:ascii="Times New Roman" w:eastAsia="Times New Roman" w:hAnsi="Times New Roman"/>
          <w:b/>
          <w:bCs/>
          <w:sz w:val="24"/>
          <w:szCs w:val="24"/>
        </w:rPr>
        <w:t xml:space="preserve">When submitting a disciplinary matter to arbitration, be very careful in the questions being submitted to the arbitrator. </w:t>
      </w:r>
    </w:p>
    <w:p w14:paraId="004B3006" w14:textId="77777777" w:rsidR="007F5C26" w:rsidRDefault="007F5C26" w:rsidP="00F326E5">
      <w:pPr>
        <w:pStyle w:val="NoSpacing"/>
        <w:rPr>
          <w:rFonts w:ascii="Arial Black" w:hAnsi="Arial Black"/>
          <w:sz w:val="24"/>
          <w:szCs w:val="24"/>
        </w:rPr>
      </w:pPr>
    </w:p>
    <w:p w14:paraId="51F27980" w14:textId="77777777" w:rsidR="007F5C26" w:rsidRDefault="007F5C26" w:rsidP="00F326E5">
      <w:pPr>
        <w:pStyle w:val="NoSpacing"/>
        <w:rPr>
          <w:rFonts w:ascii="Arial Black" w:hAnsi="Arial Black"/>
          <w:sz w:val="24"/>
          <w:szCs w:val="24"/>
        </w:rPr>
      </w:pPr>
    </w:p>
    <w:p w14:paraId="5704D6E6" w14:textId="77777777" w:rsidR="007F5C26" w:rsidRDefault="007F5C26" w:rsidP="00F326E5">
      <w:pPr>
        <w:pStyle w:val="NoSpacing"/>
        <w:rPr>
          <w:rFonts w:ascii="Arial Black" w:hAnsi="Arial Black"/>
          <w:sz w:val="24"/>
          <w:szCs w:val="24"/>
        </w:rPr>
      </w:pPr>
    </w:p>
    <w:p w14:paraId="0C49F57D" w14:textId="5E2BF28C" w:rsidR="00680939" w:rsidRDefault="00680939" w:rsidP="00F326E5">
      <w:pPr>
        <w:pStyle w:val="NoSpacing"/>
        <w:rPr>
          <w:rFonts w:ascii="Arial Black" w:hAnsi="Arial Black"/>
          <w:sz w:val="24"/>
          <w:szCs w:val="24"/>
        </w:rPr>
      </w:pPr>
      <w:r>
        <w:rPr>
          <w:rFonts w:ascii="Arial Black" w:hAnsi="Arial Black"/>
          <w:sz w:val="24"/>
          <w:szCs w:val="24"/>
        </w:rPr>
        <w:t>17-12 [also filed, Chap. 2]</w:t>
      </w:r>
    </w:p>
    <w:p w14:paraId="6E775F67" w14:textId="77777777" w:rsidR="00680939" w:rsidRPr="000007E3" w:rsidRDefault="00680939" w:rsidP="00680939">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NY: CBA – 5 FF MINIMUM MANNING – CHIEF CANNOT UNILATERALLY CHANGE – ARBITRATION TO PROCEED</w:t>
      </w:r>
    </w:p>
    <w:p w14:paraId="7493E907" w14:textId="77777777" w:rsidR="00680939" w:rsidRDefault="00680939" w:rsidP="00680939">
      <w:pPr>
        <w:spacing w:before="100" w:beforeAutospacing="1" w:after="100" w:afterAutospacing="1" w:line="240" w:lineRule="auto"/>
        <w:rPr>
          <w:rFonts w:ascii="Times New Roman" w:hAnsi="Times New Roman"/>
          <w:sz w:val="24"/>
          <w:szCs w:val="24"/>
        </w:rPr>
      </w:pPr>
      <w:r>
        <w:rPr>
          <w:rFonts w:ascii="Times New Roman" w:eastAsia="Times New Roman" w:hAnsi="Times New Roman"/>
          <w:sz w:val="24"/>
          <w:szCs w:val="24"/>
        </w:rPr>
        <w:t xml:space="preserve">On Jan. 13, 2022, </w:t>
      </w:r>
      <w:r w:rsidRPr="00DA4E6C">
        <w:rPr>
          <w:rFonts w:ascii="Times New Roman" w:eastAsia="Times New Roman" w:hAnsi="Times New Roman"/>
          <w:sz w:val="24"/>
          <w:szCs w:val="24"/>
          <w:u w:val="single"/>
        </w:rPr>
        <w:t xml:space="preserve">In the Matter of the Arbitration Between </w:t>
      </w:r>
      <w:proofErr w:type="gramStart"/>
      <w:r w:rsidRPr="00DA4E6C">
        <w:rPr>
          <w:rFonts w:ascii="Times New Roman" w:eastAsia="Times New Roman" w:hAnsi="Times New Roman"/>
          <w:sz w:val="24"/>
          <w:szCs w:val="24"/>
          <w:u w:val="single"/>
        </w:rPr>
        <w:t>The</w:t>
      </w:r>
      <w:proofErr w:type="gramEnd"/>
      <w:r w:rsidRPr="00DA4E6C">
        <w:rPr>
          <w:rFonts w:ascii="Times New Roman" w:eastAsia="Times New Roman" w:hAnsi="Times New Roman"/>
          <w:sz w:val="24"/>
          <w:szCs w:val="24"/>
          <w:u w:val="single"/>
        </w:rPr>
        <w:t xml:space="preserve"> City of Ogdensburg and IAFF Local 1792</w:t>
      </w:r>
      <w:r>
        <w:rPr>
          <w:rFonts w:ascii="Times New Roman" w:eastAsia="Times New Roman" w:hAnsi="Times New Roman"/>
          <w:sz w:val="24"/>
          <w:szCs w:val="24"/>
        </w:rPr>
        <w:t xml:space="preserve">, the Superior Court of New York (Third Department), held (5 to 0) that the trial court improperly granted the City’s </w:t>
      </w:r>
      <w:proofErr w:type="gramStart"/>
      <w:r>
        <w:rPr>
          <w:rFonts w:ascii="Times New Roman" w:eastAsia="Times New Roman" w:hAnsi="Times New Roman"/>
          <w:sz w:val="24"/>
          <w:szCs w:val="24"/>
        </w:rPr>
        <w:t>motion to</w:t>
      </w:r>
      <w:proofErr w:type="gramEnd"/>
      <w:r>
        <w:rPr>
          <w:rFonts w:ascii="Times New Roman" w:eastAsia="Times New Roman" w:hAnsi="Times New Roman"/>
          <w:sz w:val="24"/>
          <w:szCs w:val="24"/>
        </w:rPr>
        <w:t xml:space="preserve"> </w:t>
      </w:r>
      <w:r w:rsidRPr="00DA4E6C">
        <w:rPr>
          <w:rFonts w:ascii="Times New Roman" w:hAnsi="Times New Roman"/>
          <w:sz w:val="24"/>
          <w:szCs w:val="24"/>
        </w:rPr>
        <w:t>permanently stay arbitration between the parties.</w:t>
      </w:r>
      <w:r>
        <w:rPr>
          <w:rFonts w:ascii="Times New Roman" w:hAnsi="Times New Roman"/>
          <w:sz w:val="24"/>
          <w:szCs w:val="24"/>
        </w:rPr>
        <w:t xml:space="preserve">  The CBA provides for arbitration, and “</w:t>
      </w:r>
      <w:r w:rsidRPr="00BA6C00">
        <w:rPr>
          <w:rFonts w:ascii="Times New Roman" w:hAnsi="Times New Roman"/>
          <w:sz w:val="24"/>
          <w:szCs w:val="24"/>
        </w:rPr>
        <w:t>having adequate personnel on hand would be essential to ensure firefighter safety as well as success in fighting the fires.</w:t>
      </w:r>
      <w:r>
        <w:rPr>
          <w:rFonts w:ascii="Times New Roman" w:hAnsi="Times New Roman"/>
          <w:sz w:val="24"/>
          <w:szCs w:val="24"/>
        </w:rPr>
        <w:t xml:space="preserve">” </w:t>
      </w:r>
      <w:hyperlink r:id="rId2885" w:history="1">
        <w:r w:rsidRPr="00A83547">
          <w:rPr>
            <w:rStyle w:val="Hyperlink"/>
            <w:rFonts w:ascii="Times New Roman" w:hAnsi="Times New Roman"/>
            <w:sz w:val="24"/>
            <w:szCs w:val="24"/>
          </w:rPr>
          <w:t>https://casetext.com/case/in-re-arbitration-between-city-of-ogdensburg</w:t>
        </w:r>
      </w:hyperlink>
      <w:r>
        <w:rPr>
          <w:rFonts w:ascii="Times New Roman" w:hAnsi="Times New Roman"/>
          <w:sz w:val="24"/>
          <w:szCs w:val="24"/>
        </w:rPr>
        <w:t xml:space="preserve"> </w:t>
      </w:r>
    </w:p>
    <w:p w14:paraId="0042665F" w14:textId="77777777" w:rsidR="00680939" w:rsidRDefault="00680939" w:rsidP="00680939">
      <w:pPr>
        <w:spacing w:before="100" w:beforeAutospacing="1" w:after="100" w:afterAutospacing="1" w:line="240" w:lineRule="auto"/>
      </w:pPr>
      <w:r>
        <w:rPr>
          <w:rFonts w:ascii="Times New Roman" w:eastAsia="Times New Roman" w:hAnsi="Times New Roman"/>
          <w:b/>
          <w:bCs/>
          <w:sz w:val="24"/>
          <w:szCs w:val="24"/>
        </w:rPr>
        <w:t xml:space="preserve">Legal Lesson Learned:  If CBA includes provision on minimum manning per shift, it cannot be unilaterally changed. </w:t>
      </w:r>
    </w:p>
    <w:p w14:paraId="726A2E19" w14:textId="77777777" w:rsidR="00680939" w:rsidRDefault="00680939" w:rsidP="00F326E5">
      <w:pPr>
        <w:pStyle w:val="NoSpacing"/>
        <w:rPr>
          <w:rFonts w:ascii="Arial Black" w:hAnsi="Arial Black"/>
          <w:sz w:val="24"/>
          <w:szCs w:val="24"/>
        </w:rPr>
      </w:pPr>
    </w:p>
    <w:p w14:paraId="28C3C174" w14:textId="77777777" w:rsidR="00680939" w:rsidRDefault="00680939" w:rsidP="00F326E5">
      <w:pPr>
        <w:pStyle w:val="NoSpacing"/>
        <w:rPr>
          <w:rFonts w:ascii="Arial Black" w:hAnsi="Arial Black"/>
          <w:sz w:val="24"/>
          <w:szCs w:val="24"/>
        </w:rPr>
      </w:pPr>
    </w:p>
    <w:p w14:paraId="115DD7F8" w14:textId="0C5B61CE" w:rsidR="00644810" w:rsidRDefault="00644810" w:rsidP="00F326E5">
      <w:pPr>
        <w:pStyle w:val="NoSpacing"/>
        <w:rPr>
          <w:rFonts w:ascii="Arial Black" w:hAnsi="Arial Black"/>
          <w:sz w:val="24"/>
          <w:szCs w:val="24"/>
        </w:rPr>
      </w:pPr>
      <w:r>
        <w:rPr>
          <w:rFonts w:ascii="Arial Black" w:hAnsi="Arial Black"/>
          <w:sz w:val="24"/>
          <w:szCs w:val="24"/>
        </w:rPr>
        <w:t>17-11</w:t>
      </w:r>
    </w:p>
    <w:p w14:paraId="33389946" w14:textId="77777777" w:rsidR="00644810" w:rsidRDefault="00644810" w:rsidP="00644810">
      <w:pPr>
        <w:spacing w:before="100" w:beforeAutospacing="1" w:after="100" w:afterAutospacing="1" w:line="240" w:lineRule="auto"/>
        <w:rPr>
          <w:rFonts w:ascii="Arial Black" w:eastAsia="Times New Roman" w:hAnsi="Arial Black"/>
          <w:b/>
          <w:bCs/>
          <w:sz w:val="28"/>
          <w:szCs w:val="28"/>
        </w:rPr>
      </w:pPr>
      <w:r>
        <w:rPr>
          <w:rFonts w:ascii="Arial Black" w:eastAsia="Times New Roman" w:hAnsi="Arial Black"/>
          <w:b/>
          <w:bCs/>
          <w:sz w:val="28"/>
          <w:szCs w:val="28"/>
        </w:rPr>
        <w:t>OH: UNFAIR LABOR PRACTICE – UNION’S GRIEVANCE FIX RADIOS – RETALIATION – CITY ORDINANCE BCs 6 TO 3</w:t>
      </w:r>
    </w:p>
    <w:p w14:paraId="1D5CE514" w14:textId="77777777" w:rsidR="00644810" w:rsidRPr="00C95A92" w:rsidRDefault="00644810" w:rsidP="00644810">
      <w:pPr>
        <w:spacing w:before="100" w:beforeAutospacing="1" w:after="100" w:afterAutospacing="1" w:line="240" w:lineRule="auto"/>
        <w:rPr>
          <w:rFonts w:ascii="Times New Roman" w:eastAsia="Times New Roman" w:hAnsi="Times New Roman"/>
          <w:sz w:val="24"/>
          <w:szCs w:val="24"/>
        </w:rPr>
      </w:pPr>
      <w:r w:rsidRPr="0004196A">
        <w:rPr>
          <w:rFonts w:ascii="Times New Roman" w:eastAsia="Times New Roman" w:hAnsi="Times New Roman"/>
          <w:sz w:val="24"/>
          <w:szCs w:val="24"/>
        </w:rPr>
        <w:t xml:space="preserve">On </w:t>
      </w:r>
      <w:r>
        <w:rPr>
          <w:rFonts w:ascii="Times New Roman" w:eastAsia="Times New Roman" w:hAnsi="Times New Roman"/>
          <w:sz w:val="24"/>
          <w:szCs w:val="24"/>
        </w:rPr>
        <w:t xml:space="preserve">Dec. 13, 2021, in </w:t>
      </w:r>
      <w:r w:rsidRPr="0004196A">
        <w:rPr>
          <w:rFonts w:ascii="Times New Roman" w:eastAsia="Times New Roman" w:hAnsi="Times New Roman"/>
          <w:sz w:val="24"/>
          <w:szCs w:val="24"/>
          <w:u w:val="single"/>
        </w:rPr>
        <w:t>State of Ohio, City of Youngstown v. State Employment Relations Board</w:t>
      </w:r>
      <w:r>
        <w:rPr>
          <w:rFonts w:ascii="Times New Roman" w:eastAsia="Times New Roman" w:hAnsi="Times New Roman"/>
          <w:sz w:val="24"/>
          <w:szCs w:val="24"/>
        </w:rPr>
        <w:t xml:space="preserve">, the Ohio Court of Appeals, Seventh District (Mahoning County) held (3 to 0) that trial court, and SERB properly found that the City’s ordinance </w:t>
      </w:r>
      <w:r w:rsidRPr="00975F2E">
        <w:rPr>
          <w:rFonts w:ascii="Times New Roman" w:eastAsia="Times New Roman" w:hAnsi="Times New Roman"/>
          <w:sz w:val="24"/>
          <w:szCs w:val="24"/>
        </w:rPr>
        <w:t>eliminati</w:t>
      </w:r>
      <w:r>
        <w:rPr>
          <w:rFonts w:ascii="Times New Roman" w:eastAsia="Times New Roman" w:hAnsi="Times New Roman"/>
          <w:sz w:val="24"/>
          <w:szCs w:val="24"/>
        </w:rPr>
        <w:t xml:space="preserve">ng three </w:t>
      </w:r>
      <w:r w:rsidRPr="00975F2E">
        <w:rPr>
          <w:rFonts w:ascii="Times New Roman" w:eastAsia="Times New Roman" w:hAnsi="Times New Roman"/>
          <w:sz w:val="24"/>
          <w:szCs w:val="24"/>
        </w:rPr>
        <w:t>Battalion Chief positions was in retaliation for [Union's] pursuing the radio equipment grievance</w:t>
      </w:r>
      <w:r>
        <w:rPr>
          <w:rFonts w:ascii="Times New Roman" w:eastAsia="Times New Roman" w:hAnsi="Times New Roman"/>
          <w:sz w:val="24"/>
          <w:szCs w:val="24"/>
        </w:rPr>
        <w:t xml:space="preserve"> (2017 new portage radio system; needed fixes at cost of about </w:t>
      </w:r>
      <w:r w:rsidRPr="00347FD8">
        <w:rPr>
          <w:rFonts w:ascii="Times New Roman" w:eastAsia="Times New Roman" w:hAnsi="Times New Roman"/>
          <w:sz w:val="24"/>
          <w:szCs w:val="24"/>
        </w:rPr>
        <w:t>$285,000</w:t>
      </w:r>
      <w:r>
        <w:rPr>
          <w:rFonts w:ascii="Times New Roman" w:eastAsia="Times New Roman" w:hAnsi="Times New Roman"/>
          <w:sz w:val="24"/>
          <w:szCs w:val="24"/>
        </w:rPr>
        <w:t xml:space="preserve">). </w:t>
      </w:r>
      <w:r w:rsidRPr="00347FD8">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Pr="00C95A92">
        <w:rPr>
          <w:rFonts w:ascii="Times New Roman" w:hAnsi="Times New Roman"/>
          <w:sz w:val="24"/>
          <w:szCs w:val="24"/>
        </w:rPr>
        <w:t>Each battalion chief reduction saves about $130,000 annually.</w:t>
      </w:r>
    </w:p>
    <w:p w14:paraId="0FCCF128" w14:textId="77777777" w:rsidR="00644810" w:rsidRPr="00614F11" w:rsidRDefault="00644810" w:rsidP="00644810">
      <w:pPr>
        <w:spacing w:after="100" w:line="240" w:lineRule="auto"/>
        <w:ind w:left="720"/>
        <w:rPr>
          <w:rFonts w:ascii="Times New Roman" w:eastAsia="Times New Roman" w:hAnsi="Times New Roman"/>
          <w:sz w:val="24"/>
          <w:szCs w:val="24"/>
        </w:rPr>
      </w:pPr>
      <w:r>
        <w:rPr>
          <w:rFonts w:ascii="Times New Roman" w:hAnsi="Times New Roman"/>
          <w:sz w:val="24"/>
          <w:szCs w:val="24"/>
        </w:rPr>
        <w:t>“</w:t>
      </w:r>
      <w:r w:rsidRPr="00975F2E">
        <w:rPr>
          <w:rFonts w:ascii="Times New Roman" w:hAnsi="Times New Roman"/>
          <w:sz w:val="24"/>
          <w:szCs w:val="24"/>
        </w:rPr>
        <w:t xml:space="preserve">City's alleged inability to pay </w:t>
      </w:r>
      <w:r>
        <w:rPr>
          <w:rFonts w:ascii="Times New Roman" w:hAnsi="Times New Roman"/>
          <w:sz w:val="24"/>
          <w:szCs w:val="24"/>
        </w:rPr>
        <w:t>[</w:t>
      </w:r>
      <w:r w:rsidRPr="00347FD8">
        <w:rPr>
          <w:rFonts w:ascii="Times New Roman" w:eastAsia="Times New Roman" w:hAnsi="Times New Roman"/>
          <w:sz w:val="24"/>
          <w:szCs w:val="24"/>
        </w:rPr>
        <w:t xml:space="preserve">$285, 000 </w:t>
      </w:r>
      <w:r>
        <w:rPr>
          <w:rFonts w:ascii="Times New Roman" w:eastAsia="Times New Roman" w:hAnsi="Times New Roman"/>
          <w:sz w:val="24"/>
          <w:szCs w:val="24"/>
        </w:rPr>
        <w:t xml:space="preserve">to fix the radio problem] </w:t>
      </w:r>
      <w:r w:rsidRPr="00975F2E">
        <w:rPr>
          <w:rFonts w:ascii="Times New Roman" w:hAnsi="Times New Roman"/>
          <w:sz w:val="24"/>
          <w:szCs w:val="24"/>
        </w:rPr>
        <w:t xml:space="preserve">did not constitute a managerial business reason for eliminating the positions. The record supports SERB's determination that City's claim that its elimination of bargaining unit positions was a part of City's restructuring or reorganizing plan for the Fire Department was baseless and not a legitimate reason to eliminate the three positions. In fact, City failed to provide details or supporting information for its </w:t>
      </w:r>
      <w:r>
        <w:rPr>
          <w:rFonts w:ascii="Times New Roman" w:hAnsi="Times New Roman"/>
          <w:sz w:val="24"/>
          <w:szCs w:val="24"/>
        </w:rPr>
        <w:t>‘</w:t>
      </w:r>
      <w:r w:rsidRPr="00975F2E">
        <w:rPr>
          <w:rFonts w:ascii="Times New Roman" w:hAnsi="Times New Roman"/>
          <w:sz w:val="24"/>
          <w:szCs w:val="24"/>
        </w:rPr>
        <w:t>restructuring</w:t>
      </w:r>
      <w:r>
        <w:rPr>
          <w:rFonts w:ascii="Times New Roman" w:hAnsi="Times New Roman"/>
          <w:sz w:val="24"/>
          <w:szCs w:val="24"/>
        </w:rPr>
        <w:t>’</w:t>
      </w:r>
      <w:r w:rsidRPr="00975F2E">
        <w:rPr>
          <w:rFonts w:ascii="Times New Roman" w:hAnsi="Times New Roman"/>
          <w:sz w:val="24"/>
          <w:szCs w:val="24"/>
        </w:rPr>
        <w:t xml:space="preserve"> plan. Also, the total 2019 call data </w:t>
      </w:r>
      <w:proofErr w:type="gramStart"/>
      <w:r w:rsidRPr="00975F2E">
        <w:rPr>
          <w:rFonts w:ascii="Times New Roman" w:hAnsi="Times New Roman"/>
          <w:sz w:val="24"/>
          <w:szCs w:val="24"/>
        </w:rPr>
        <w:t>illustrates</w:t>
      </w:r>
      <w:proofErr w:type="gramEnd"/>
      <w:r w:rsidRPr="00975F2E">
        <w:rPr>
          <w:rFonts w:ascii="Times New Roman" w:hAnsi="Times New Roman"/>
          <w:sz w:val="24"/>
          <w:szCs w:val="24"/>
        </w:rPr>
        <w:t xml:space="preserve"> that fire calls </w:t>
      </w:r>
      <w:proofErr w:type="gramStart"/>
      <w:r w:rsidRPr="00975F2E">
        <w:rPr>
          <w:rFonts w:ascii="Times New Roman" w:hAnsi="Times New Roman"/>
          <w:sz w:val="24"/>
          <w:szCs w:val="24"/>
        </w:rPr>
        <w:t>were not decreasing</w:t>
      </w:r>
      <w:proofErr w:type="gramEnd"/>
      <w:r w:rsidRPr="00975F2E">
        <w:rPr>
          <w:rFonts w:ascii="Times New Roman" w:hAnsi="Times New Roman"/>
          <w:sz w:val="24"/>
          <w:szCs w:val="24"/>
        </w:rPr>
        <w:t xml:space="preserve"> over the past six years. SERB clearly determined City's proffered reasons for eliminating the positions were pretextual and thus, Ordinance 19-336, i.e., the </w:t>
      </w:r>
      <w:r>
        <w:rPr>
          <w:rFonts w:ascii="Times New Roman" w:hAnsi="Times New Roman"/>
          <w:sz w:val="24"/>
          <w:szCs w:val="24"/>
        </w:rPr>
        <w:t>‘</w:t>
      </w:r>
      <w:r w:rsidRPr="00975F2E">
        <w:rPr>
          <w:rFonts w:ascii="Times New Roman" w:hAnsi="Times New Roman"/>
          <w:sz w:val="24"/>
          <w:szCs w:val="24"/>
        </w:rPr>
        <w:t>attrition</w:t>
      </w:r>
      <w:r>
        <w:rPr>
          <w:rFonts w:ascii="Times New Roman" w:hAnsi="Times New Roman"/>
          <w:sz w:val="24"/>
          <w:szCs w:val="24"/>
        </w:rPr>
        <w:t>’</w:t>
      </w:r>
      <w:r w:rsidRPr="00975F2E">
        <w:rPr>
          <w:rFonts w:ascii="Times New Roman" w:hAnsi="Times New Roman"/>
          <w:sz w:val="24"/>
          <w:szCs w:val="24"/>
        </w:rPr>
        <w:t xml:space="preserve"> Ordinance, was an unlawful retaliation against Union for advancing a grievance to arbitration.</w:t>
      </w:r>
      <w:r>
        <w:rPr>
          <w:rFonts w:ascii="Times New Roman" w:hAnsi="Times New Roman"/>
          <w:sz w:val="24"/>
          <w:szCs w:val="24"/>
          <w:vertAlign w:val="superscript"/>
        </w:rPr>
        <w:t>”</w:t>
      </w:r>
      <w:r w:rsidRPr="00614F11">
        <w:rPr>
          <w:rFonts w:ascii="Times New Roman" w:eastAsia="Times New Roman" w:hAnsi="Times New Roman"/>
          <w:sz w:val="24"/>
          <w:szCs w:val="24"/>
        </w:rPr>
        <w:t xml:space="preserve"> </w:t>
      </w:r>
      <w:r>
        <w:rPr>
          <w:rFonts w:ascii="Times New Roman" w:eastAsia="Times New Roman" w:hAnsi="Times New Roman"/>
          <w:sz w:val="24"/>
          <w:szCs w:val="24"/>
        </w:rPr>
        <w:t xml:space="preserve"> </w:t>
      </w:r>
      <w:hyperlink r:id="rId2886" w:history="1">
        <w:r w:rsidRPr="00E6191A">
          <w:rPr>
            <w:rStyle w:val="Hyperlink"/>
            <w:rFonts w:ascii="Times New Roman" w:eastAsia="Times New Roman" w:hAnsi="Times New Roman"/>
            <w:sz w:val="24"/>
            <w:szCs w:val="24"/>
          </w:rPr>
          <w:t>https://www.supremecourt.ohio.gov/rod/docs/pdf/7/2021/2021-Ohio-4552.pdf</w:t>
        </w:r>
      </w:hyperlink>
      <w:r>
        <w:rPr>
          <w:rFonts w:ascii="Times New Roman" w:eastAsia="Times New Roman" w:hAnsi="Times New Roman"/>
          <w:sz w:val="24"/>
          <w:szCs w:val="24"/>
        </w:rPr>
        <w:t xml:space="preserve"> </w:t>
      </w:r>
    </w:p>
    <w:p w14:paraId="28FC673B" w14:textId="77777777" w:rsidR="00644810" w:rsidRPr="00213018" w:rsidRDefault="00644810" w:rsidP="00644810">
      <w:pPr>
        <w:pStyle w:val="Heading1"/>
        <w:ind w:left="720"/>
        <w:rPr>
          <w:b w:val="0"/>
          <w:bCs w:val="0"/>
          <w:sz w:val="24"/>
          <w:szCs w:val="24"/>
        </w:rPr>
      </w:pPr>
      <w:r w:rsidRPr="009241CF">
        <w:rPr>
          <w:b w:val="0"/>
          <w:bCs w:val="0"/>
          <w:sz w:val="24"/>
          <w:szCs w:val="24"/>
        </w:rPr>
        <w:t xml:space="preserve">Note:  The City of Youngstown has had serious financial issues </w:t>
      </w:r>
      <w:proofErr w:type="gramStart"/>
      <w:r w:rsidRPr="009241CF">
        <w:rPr>
          <w:b w:val="0"/>
          <w:bCs w:val="0"/>
          <w:sz w:val="24"/>
          <w:szCs w:val="24"/>
        </w:rPr>
        <w:t>impacting</w:t>
      </w:r>
      <w:proofErr w:type="gramEnd"/>
      <w:r w:rsidRPr="009241CF">
        <w:rPr>
          <w:b w:val="0"/>
          <w:bCs w:val="0"/>
          <w:sz w:val="24"/>
          <w:szCs w:val="24"/>
        </w:rPr>
        <w:t xml:space="preserve"> the fire department. See Feb. 28, </w:t>
      </w:r>
      <w:proofErr w:type="gramStart"/>
      <w:r w:rsidRPr="009241CF">
        <w:rPr>
          <w:b w:val="0"/>
          <w:bCs w:val="0"/>
          <w:sz w:val="24"/>
          <w:szCs w:val="24"/>
        </w:rPr>
        <w:t>2021</w:t>
      </w:r>
      <w:proofErr w:type="gramEnd"/>
      <w:r w:rsidRPr="009241CF">
        <w:rPr>
          <w:b w:val="0"/>
          <w:bCs w:val="0"/>
          <w:sz w:val="24"/>
          <w:szCs w:val="24"/>
        </w:rPr>
        <w:t xml:space="preserve"> article, “Judge rules city treated fire union unfairly.”</w:t>
      </w:r>
      <w:r w:rsidRPr="009241CF">
        <w:t xml:space="preserve"> </w:t>
      </w:r>
      <w:hyperlink r:id="rId2887" w:history="1">
        <w:r w:rsidRPr="00213018">
          <w:rPr>
            <w:rStyle w:val="Hyperlink"/>
            <w:b w:val="0"/>
            <w:bCs w:val="0"/>
            <w:sz w:val="24"/>
            <w:szCs w:val="24"/>
          </w:rPr>
          <w:t>https://www.vindy.com/news/local-news/2021/02/judge-rules-city-treated-fire-union-unfairly/</w:t>
        </w:r>
      </w:hyperlink>
      <w:r w:rsidRPr="00213018">
        <w:rPr>
          <w:b w:val="0"/>
          <w:bCs w:val="0"/>
          <w:sz w:val="24"/>
          <w:szCs w:val="24"/>
        </w:rPr>
        <w:t xml:space="preserve"> </w:t>
      </w:r>
    </w:p>
    <w:p w14:paraId="7610FCCD" w14:textId="77777777" w:rsidR="00644810" w:rsidRPr="009241CF" w:rsidRDefault="00644810" w:rsidP="00644810">
      <w:pPr>
        <w:spacing w:before="100" w:beforeAutospacing="1" w:after="100" w:afterAutospacing="1" w:line="240" w:lineRule="auto"/>
        <w:ind w:left="1440"/>
        <w:rPr>
          <w:rFonts w:ascii="Times New Roman" w:eastAsia="Times New Roman" w:hAnsi="Times New Roman"/>
          <w:sz w:val="24"/>
          <w:szCs w:val="24"/>
        </w:rPr>
      </w:pPr>
      <w:r>
        <w:rPr>
          <w:rFonts w:ascii="Times New Roman" w:eastAsia="Times New Roman" w:hAnsi="Times New Roman"/>
          <w:sz w:val="24"/>
          <w:szCs w:val="24"/>
        </w:rPr>
        <w:lastRenderedPageBreak/>
        <w:t>“</w:t>
      </w:r>
      <w:r w:rsidRPr="009241CF">
        <w:rPr>
          <w:rFonts w:ascii="Times New Roman" w:eastAsia="Times New Roman" w:hAnsi="Times New Roman"/>
          <w:sz w:val="24"/>
          <w:szCs w:val="24"/>
        </w:rPr>
        <w:t>The administration closed fire stations last June on a rotating basis because the fire department exceeded its yearly overtime budget in the first five months of the year. The union objected, saying the decision was dangerous and the city not filling positions caused the overtime issue.</w:t>
      </w:r>
    </w:p>
    <w:p w14:paraId="04BF316C" w14:textId="77777777" w:rsidR="00644810" w:rsidRPr="009241CF" w:rsidRDefault="00644810" w:rsidP="00644810">
      <w:pPr>
        <w:spacing w:before="100" w:beforeAutospacing="1" w:after="100" w:afterAutospacing="1" w:line="240" w:lineRule="auto"/>
        <w:ind w:left="1440"/>
        <w:rPr>
          <w:rFonts w:ascii="Times New Roman" w:eastAsia="Times New Roman" w:hAnsi="Times New Roman"/>
          <w:sz w:val="24"/>
          <w:szCs w:val="24"/>
        </w:rPr>
      </w:pPr>
      <w:r w:rsidRPr="009241CF">
        <w:rPr>
          <w:rFonts w:ascii="Times New Roman" w:eastAsia="Times New Roman" w:hAnsi="Times New Roman"/>
          <w:sz w:val="24"/>
          <w:szCs w:val="24"/>
        </w:rPr>
        <w:t>The city closed stations on a rotating basis for about three months in 2018 because of overtime costs.</w:t>
      </w:r>
    </w:p>
    <w:p w14:paraId="35D7B3E8" w14:textId="77777777" w:rsidR="00644810" w:rsidRPr="009241CF" w:rsidRDefault="00644810" w:rsidP="00644810">
      <w:pPr>
        <w:spacing w:before="100" w:beforeAutospacing="1" w:after="100" w:afterAutospacing="1" w:line="240" w:lineRule="auto"/>
        <w:ind w:left="1440"/>
        <w:rPr>
          <w:rFonts w:ascii="Times New Roman" w:eastAsia="Times New Roman" w:hAnsi="Times New Roman"/>
          <w:sz w:val="24"/>
          <w:szCs w:val="24"/>
        </w:rPr>
      </w:pPr>
      <w:r w:rsidRPr="009241CF">
        <w:rPr>
          <w:rFonts w:ascii="Times New Roman" w:eastAsia="Times New Roman" w:hAnsi="Times New Roman"/>
          <w:sz w:val="24"/>
          <w:szCs w:val="24"/>
        </w:rPr>
        <w:t xml:space="preserve">The union issued a no-confidence vote against </w:t>
      </w:r>
      <w:r>
        <w:rPr>
          <w:rFonts w:ascii="Times New Roman" w:eastAsia="Times New Roman" w:hAnsi="Times New Roman"/>
          <w:sz w:val="24"/>
          <w:szCs w:val="24"/>
        </w:rPr>
        <w:t xml:space="preserve">[Fire Chief Barry] </w:t>
      </w:r>
      <w:r w:rsidRPr="009241CF">
        <w:rPr>
          <w:rFonts w:ascii="Times New Roman" w:eastAsia="Times New Roman" w:hAnsi="Times New Roman"/>
          <w:sz w:val="24"/>
          <w:szCs w:val="24"/>
        </w:rPr>
        <w:t xml:space="preserve">Finley in December 2019 after expressing concern about his leadership, and the city closed Fire Station No. 7 on the North Side that same month over the objections of the </w:t>
      </w:r>
      <w:proofErr w:type="gramStart"/>
      <w:r w:rsidRPr="009241CF">
        <w:rPr>
          <w:rFonts w:ascii="Times New Roman" w:eastAsia="Times New Roman" w:hAnsi="Times New Roman"/>
          <w:sz w:val="24"/>
          <w:szCs w:val="24"/>
        </w:rPr>
        <w:t>union.</w:t>
      </w:r>
      <w:r>
        <w:rPr>
          <w:rFonts w:ascii="Times New Roman" w:eastAsia="Times New Roman" w:hAnsi="Times New Roman"/>
          <w:sz w:val="24"/>
          <w:szCs w:val="24"/>
        </w:rPr>
        <w:t>”</w:t>
      </w:r>
      <w:proofErr w:type="gramEnd"/>
    </w:p>
    <w:p w14:paraId="6CD1445D" w14:textId="77777777" w:rsidR="00644810" w:rsidRDefault="00644810" w:rsidP="00F326E5">
      <w:pPr>
        <w:pStyle w:val="NoSpacing"/>
        <w:rPr>
          <w:rFonts w:ascii="Arial Black" w:hAnsi="Arial Black"/>
          <w:sz w:val="24"/>
          <w:szCs w:val="24"/>
        </w:rPr>
      </w:pPr>
    </w:p>
    <w:p w14:paraId="3984A789" w14:textId="77777777" w:rsidR="00644810" w:rsidRDefault="00644810" w:rsidP="00F326E5">
      <w:pPr>
        <w:pStyle w:val="NoSpacing"/>
        <w:rPr>
          <w:rFonts w:ascii="Arial Black" w:hAnsi="Arial Black"/>
          <w:sz w:val="24"/>
          <w:szCs w:val="24"/>
        </w:rPr>
      </w:pPr>
    </w:p>
    <w:p w14:paraId="1AC95D9B" w14:textId="77777777" w:rsidR="00644810" w:rsidRDefault="00644810" w:rsidP="00F326E5">
      <w:pPr>
        <w:pStyle w:val="NoSpacing"/>
        <w:rPr>
          <w:rFonts w:ascii="Arial Black" w:hAnsi="Arial Black"/>
          <w:sz w:val="24"/>
          <w:szCs w:val="24"/>
        </w:rPr>
      </w:pPr>
    </w:p>
    <w:p w14:paraId="64FA62B8" w14:textId="77777777" w:rsidR="00644810" w:rsidRDefault="00644810" w:rsidP="00F326E5">
      <w:pPr>
        <w:pStyle w:val="NoSpacing"/>
        <w:rPr>
          <w:rFonts w:ascii="Arial Black" w:hAnsi="Arial Black"/>
          <w:sz w:val="24"/>
          <w:szCs w:val="24"/>
        </w:rPr>
      </w:pPr>
    </w:p>
    <w:p w14:paraId="06EFD7A5" w14:textId="3A18D043" w:rsidR="007E3A28" w:rsidRDefault="007E3A28" w:rsidP="00F326E5">
      <w:pPr>
        <w:pStyle w:val="NoSpacing"/>
        <w:rPr>
          <w:rFonts w:ascii="Arial Black" w:hAnsi="Arial Black"/>
          <w:sz w:val="24"/>
          <w:szCs w:val="24"/>
        </w:rPr>
      </w:pPr>
      <w:r>
        <w:rPr>
          <w:rFonts w:ascii="Arial Black" w:hAnsi="Arial Black"/>
          <w:sz w:val="24"/>
          <w:szCs w:val="24"/>
        </w:rPr>
        <w:t>17-10</w:t>
      </w:r>
    </w:p>
    <w:p w14:paraId="24DCD890" w14:textId="77777777" w:rsidR="007E3A28" w:rsidRDefault="007E3A28" w:rsidP="007E3A28">
      <w:pPr>
        <w:spacing w:before="100" w:beforeAutospacing="1" w:after="100" w:afterAutospacing="1" w:line="240" w:lineRule="auto"/>
      </w:pPr>
      <w:r>
        <w:rPr>
          <w:rFonts w:ascii="Arial Black" w:hAnsi="Arial Black"/>
          <w:sz w:val="28"/>
          <w:szCs w:val="28"/>
        </w:rPr>
        <w:t>NJ: “RULE OF THREE” – NO. 1 ON LIST BYPASSED – NO. 2 PROMOTED DEPUTY CHIEF – NO PROOF FIRE CHIEF / CITY WAS ANTI-UNION</w:t>
      </w:r>
    </w:p>
    <w:p w14:paraId="476CD3DE" w14:textId="77777777" w:rsidR="007E3A28" w:rsidRDefault="007E3A28" w:rsidP="007E3A28">
      <w:pPr>
        <w:spacing w:before="100" w:beforeAutospacing="1" w:after="100" w:afterAutospacing="1" w:line="240" w:lineRule="auto"/>
        <w:rPr>
          <w:rFonts w:ascii="Times New Roman" w:hAnsi="Times New Roman"/>
          <w:sz w:val="24"/>
          <w:szCs w:val="24"/>
        </w:rPr>
      </w:pPr>
      <w:r w:rsidRPr="00394F8F">
        <w:rPr>
          <w:rFonts w:ascii="Times New Roman" w:hAnsi="Times New Roman"/>
          <w:sz w:val="24"/>
          <w:szCs w:val="24"/>
        </w:rPr>
        <w:t xml:space="preserve">On </w:t>
      </w:r>
      <w:r>
        <w:rPr>
          <w:rFonts w:ascii="Times New Roman" w:hAnsi="Times New Roman"/>
          <w:sz w:val="24"/>
          <w:szCs w:val="24"/>
        </w:rPr>
        <w:t xml:space="preserve">Nov. 3, 2021, </w:t>
      </w:r>
      <w:r w:rsidRPr="00325E3C">
        <w:rPr>
          <w:rFonts w:ascii="Times New Roman" w:hAnsi="Times New Roman"/>
          <w:sz w:val="24"/>
          <w:szCs w:val="24"/>
          <w:u w:val="single"/>
        </w:rPr>
        <w:t>In</w:t>
      </w:r>
      <w:r>
        <w:rPr>
          <w:rFonts w:ascii="Times New Roman" w:hAnsi="Times New Roman"/>
          <w:sz w:val="24"/>
          <w:szCs w:val="24"/>
          <w:u w:val="single"/>
        </w:rPr>
        <w:t xml:space="preserve"> </w:t>
      </w:r>
      <w:r w:rsidRPr="00325E3C">
        <w:rPr>
          <w:rFonts w:ascii="Times New Roman" w:hAnsi="Times New Roman"/>
          <w:sz w:val="24"/>
          <w:szCs w:val="24"/>
          <w:u w:val="single"/>
        </w:rPr>
        <w:t>The Matter Of Jason Ryan, Hamilton Township Fire District Number 2</w:t>
      </w:r>
      <w:r>
        <w:rPr>
          <w:rFonts w:ascii="Times New Roman" w:hAnsi="Times New Roman"/>
          <w:sz w:val="24"/>
          <w:szCs w:val="24"/>
        </w:rPr>
        <w:t xml:space="preserve">, the Superior Court of New Jersey, Appellate Division, held (2 to 0; unpublished decision) that Jason Ryan, while having the highest promotion exam score, failed to present evidence that the Board of Fire Commissioners and the Fire Chief bypassed him because he was a union steward and Vice President for the New Jersey Firefighters’ Mutual Benevolent Association (Local No. 284).  The Board has previously promoted union officers, and in 2008 Ryan was promoted to Captain, bypassing a candidate ahead of him on the eligibility list. The Board sent him a detailed “Statement of Reasons” letter that reviewed the reasons for selecting Sullivan, as required under the New Jersey “Rule of Three” statute. </w:t>
      </w:r>
    </w:p>
    <w:p w14:paraId="3508D765" w14:textId="77777777" w:rsidR="007E3A28" w:rsidRDefault="007E3A28" w:rsidP="007E3A28">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r w:rsidRPr="001C412B">
        <w:rPr>
          <w:rFonts w:ascii="Times New Roman" w:hAnsi="Times New Roman"/>
          <w:sz w:val="24"/>
          <w:szCs w:val="24"/>
        </w:rPr>
        <w:t>Petitioner did not meet his initial burden because he failed to present any evidence that he was bypassed because of his union involvement. Indeed, the only evidence petitioner offered was his characterization of several incidents and resulting discipline. These incidents, however, are insufficient to demonstrate the Board or the Commission was motivated by anti-union animus.</w:t>
      </w:r>
    </w:p>
    <w:p w14:paraId="2F3C1F2D" w14:textId="77777777" w:rsidR="007E3A28" w:rsidRPr="00394F8F" w:rsidRDefault="007E3A28" w:rsidP="007E3A28">
      <w:pPr>
        <w:spacing w:before="100" w:beforeAutospacing="1" w:after="100" w:afterAutospacing="1" w:line="240" w:lineRule="auto"/>
        <w:ind w:left="720"/>
        <w:rPr>
          <w:rFonts w:ascii="Times New Roman" w:eastAsia="Times New Roman" w:hAnsi="Times New Roman"/>
          <w:sz w:val="24"/>
          <w:szCs w:val="24"/>
        </w:rPr>
      </w:pPr>
      <w:r w:rsidRPr="00394F8F">
        <w:rPr>
          <w:rFonts w:ascii="Times New Roman" w:eastAsia="Times New Roman" w:hAnsi="Times New Roman"/>
          <w:sz w:val="24"/>
          <w:szCs w:val="24"/>
        </w:rPr>
        <w:t xml:space="preserve">And, as the Commission noted, the Board had recently promoted two union-affiliated firefighters. </w:t>
      </w:r>
    </w:p>
    <w:p w14:paraId="3084C0E3" w14:textId="77777777" w:rsidR="007E3A28" w:rsidRPr="00394F8F" w:rsidRDefault="007E3A28" w:rsidP="007E3A28">
      <w:pPr>
        <w:spacing w:before="100" w:beforeAutospacing="1" w:after="100" w:afterAutospacing="1" w:line="240" w:lineRule="auto"/>
        <w:ind w:left="720"/>
        <w:rPr>
          <w:rFonts w:ascii="Times New Roman" w:eastAsia="Times New Roman" w:hAnsi="Times New Roman"/>
          <w:sz w:val="24"/>
          <w:szCs w:val="24"/>
        </w:rPr>
      </w:pPr>
      <w:r w:rsidRPr="00394F8F">
        <w:rPr>
          <w:rFonts w:ascii="Times New Roman" w:eastAsia="Times New Roman" w:hAnsi="Times New Roman"/>
          <w:sz w:val="24"/>
          <w:szCs w:val="24"/>
        </w:rPr>
        <w:t xml:space="preserve">Moreover, the Commission correctly concluded the Board had provided legitimate, non-discriminatory reasons for bypassing petitioner. Although </w:t>
      </w:r>
      <w:r>
        <w:rPr>
          <w:rFonts w:ascii="Times New Roman" w:eastAsia="Times New Roman" w:hAnsi="Times New Roman"/>
          <w:sz w:val="24"/>
          <w:szCs w:val="24"/>
        </w:rPr>
        <w:t xml:space="preserve">[Blair] </w:t>
      </w:r>
      <w:r w:rsidRPr="00394F8F">
        <w:rPr>
          <w:rFonts w:ascii="Times New Roman" w:eastAsia="Times New Roman" w:hAnsi="Times New Roman"/>
          <w:sz w:val="24"/>
          <w:szCs w:val="24"/>
        </w:rPr>
        <w:t xml:space="preserve">Sullivan had a slightly lower test score, the Commission explained why he was the </w:t>
      </w:r>
      <w:r>
        <w:rPr>
          <w:rFonts w:ascii="Times New Roman" w:eastAsia="Times New Roman" w:hAnsi="Times New Roman"/>
          <w:sz w:val="24"/>
          <w:szCs w:val="24"/>
        </w:rPr>
        <w:t>‘</w:t>
      </w:r>
      <w:r w:rsidRPr="00394F8F">
        <w:rPr>
          <w:rFonts w:ascii="Times New Roman" w:eastAsia="Times New Roman" w:hAnsi="Times New Roman"/>
          <w:sz w:val="24"/>
          <w:szCs w:val="24"/>
        </w:rPr>
        <w:t xml:space="preserve">best candidate for the position based on his fitness, merit, experience, service to the </w:t>
      </w:r>
      <w:proofErr w:type="gramStart"/>
      <w:r w:rsidRPr="00394F8F">
        <w:rPr>
          <w:rFonts w:ascii="Times New Roman" w:eastAsia="Times New Roman" w:hAnsi="Times New Roman"/>
          <w:sz w:val="24"/>
          <w:szCs w:val="24"/>
        </w:rPr>
        <w:t>District</w:t>
      </w:r>
      <w:proofErr w:type="gramEnd"/>
      <w:r w:rsidRPr="00394F8F">
        <w:rPr>
          <w:rFonts w:ascii="Times New Roman" w:eastAsia="Times New Roman" w:hAnsi="Times New Roman"/>
          <w:sz w:val="24"/>
          <w:szCs w:val="24"/>
        </w:rPr>
        <w:t>, and passion for the Deputy Fire Chief Position.</w:t>
      </w:r>
      <w:r>
        <w:rPr>
          <w:rFonts w:ascii="Times New Roman" w:eastAsia="Times New Roman" w:hAnsi="Times New Roman"/>
          <w:sz w:val="24"/>
          <w:szCs w:val="24"/>
        </w:rPr>
        <w:t xml:space="preserve">’” </w:t>
      </w:r>
      <w:hyperlink r:id="rId2888" w:history="1">
        <w:r w:rsidRPr="00316766">
          <w:rPr>
            <w:rStyle w:val="Hyperlink"/>
            <w:rFonts w:ascii="Times New Roman" w:eastAsia="Times New Roman" w:hAnsi="Times New Roman"/>
            <w:sz w:val="24"/>
            <w:szCs w:val="24"/>
          </w:rPr>
          <w:t>https://casetext.com/case/in-re-ryan-542034</w:t>
        </w:r>
      </w:hyperlink>
      <w:r>
        <w:rPr>
          <w:rFonts w:ascii="Times New Roman" w:eastAsia="Times New Roman" w:hAnsi="Times New Roman"/>
          <w:sz w:val="24"/>
          <w:szCs w:val="24"/>
        </w:rPr>
        <w:t xml:space="preserve"> </w:t>
      </w:r>
    </w:p>
    <w:p w14:paraId="187A061D" w14:textId="77777777" w:rsidR="007E3A28" w:rsidRPr="00D9180B" w:rsidRDefault="007E3A28" w:rsidP="007E3A28">
      <w:pPr>
        <w:spacing w:before="100" w:beforeAutospacing="1" w:after="100" w:afterAutospacing="1" w:line="240" w:lineRule="auto"/>
        <w:rPr>
          <w:rFonts w:ascii="Times New Roman" w:eastAsia="Times New Roman" w:hAnsi="Times New Roman"/>
          <w:b/>
          <w:bCs/>
          <w:sz w:val="24"/>
          <w:szCs w:val="24"/>
        </w:rPr>
      </w:pPr>
      <w:r w:rsidRPr="00107160">
        <w:rPr>
          <w:rFonts w:ascii="Times New Roman" w:eastAsia="Times New Roman" w:hAnsi="Times New Roman"/>
          <w:b/>
          <w:bCs/>
          <w:sz w:val="24"/>
          <w:szCs w:val="24"/>
        </w:rPr>
        <w:t>Legal Lesson Learned:</w:t>
      </w:r>
      <w:r>
        <w:rPr>
          <w:rFonts w:ascii="Times New Roman" w:eastAsia="Times New Roman" w:hAnsi="Times New Roman"/>
          <w:b/>
          <w:bCs/>
          <w:sz w:val="24"/>
          <w:szCs w:val="24"/>
        </w:rPr>
        <w:t xml:space="preserve"> The Board wisely prepared a detailed “Statement of Reasons” for selecting No. 2 person as the Deputy Fire Chief. </w:t>
      </w:r>
    </w:p>
    <w:p w14:paraId="436F6E07" w14:textId="77777777" w:rsidR="007E3A28" w:rsidRDefault="007E3A28" w:rsidP="00F326E5">
      <w:pPr>
        <w:pStyle w:val="NoSpacing"/>
        <w:rPr>
          <w:rFonts w:ascii="Arial Black" w:hAnsi="Arial Black"/>
          <w:sz w:val="24"/>
          <w:szCs w:val="24"/>
        </w:rPr>
      </w:pPr>
    </w:p>
    <w:p w14:paraId="718412D6" w14:textId="77777777" w:rsidR="007E3A28" w:rsidRDefault="007E3A28" w:rsidP="00F326E5">
      <w:pPr>
        <w:pStyle w:val="NoSpacing"/>
        <w:rPr>
          <w:rFonts w:ascii="Arial Black" w:hAnsi="Arial Black"/>
          <w:sz w:val="24"/>
          <w:szCs w:val="24"/>
        </w:rPr>
      </w:pPr>
    </w:p>
    <w:p w14:paraId="5D72F480" w14:textId="3A307EFA" w:rsidR="005217D5" w:rsidRDefault="002F610D" w:rsidP="00F326E5">
      <w:pPr>
        <w:pStyle w:val="NoSpacing"/>
        <w:rPr>
          <w:rFonts w:ascii="Arial Black" w:hAnsi="Arial Black"/>
          <w:sz w:val="24"/>
          <w:szCs w:val="24"/>
        </w:rPr>
      </w:pPr>
      <w:r>
        <w:rPr>
          <w:rFonts w:ascii="Arial Black" w:hAnsi="Arial Black"/>
          <w:sz w:val="24"/>
          <w:szCs w:val="24"/>
        </w:rPr>
        <w:t>17-9</w:t>
      </w:r>
    </w:p>
    <w:p w14:paraId="7DE7FC92" w14:textId="77777777" w:rsidR="002F610D" w:rsidRPr="008952B2" w:rsidRDefault="002F610D" w:rsidP="002F610D">
      <w:pPr>
        <w:pStyle w:val="NormalWeb"/>
        <w:rPr>
          <w:rStyle w:val="markedcontent"/>
          <w:rFonts w:ascii="Arial Black" w:hAnsi="Arial Black"/>
          <w:sz w:val="28"/>
          <w:szCs w:val="28"/>
        </w:rPr>
      </w:pPr>
      <w:bookmarkStart w:id="633" w:name="_Hlk81842929"/>
      <w:r>
        <w:rPr>
          <w:rStyle w:val="markedcontent"/>
          <w:rFonts w:ascii="Arial Black" w:hAnsi="Arial Black"/>
          <w:sz w:val="28"/>
          <w:szCs w:val="28"/>
        </w:rPr>
        <w:lastRenderedPageBreak/>
        <w:t xml:space="preserve">NB: UNION PRES. FIRED - ASSAULT IN BAR, “WHITE POWER” – ARBITRATOR REVERSES, 5 SHIFT SUSPENSION </w:t>
      </w:r>
    </w:p>
    <w:bookmarkEnd w:id="633"/>
    <w:p w14:paraId="47D16F0A" w14:textId="77777777" w:rsidR="002F610D" w:rsidRPr="00BC5562" w:rsidRDefault="002F610D" w:rsidP="002F610D">
      <w:pPr>
        <w:pStyle w:val="NormalWeb"/>
        <w:rPr>
          <w:rStyle w:val="markedcontent"/>
        </w:rPr>
      </w:pPr>
      <w:r w:rsidRPr="00BC5562">
        <w:rPr>
          <w:rStyle w:val="markedcontent"/>
        </w:rPr>
        <w:t xml:space="preserve">On Aug. 6, 2021, in </w:t>
      </w:r>
      <w:r w:rsidRPr="00BC5562">
        <w:rPr>
          <w:rStyle w:val="markedcontent"/>
          <w:u w:val="single"/>
        </w:rPr>
        <w:t xml:space="preserve">City of Omaha v. Professional Firefighters Association of Omaha, </w:t>
      </w:r>
      <w:r w:rsidRPr="00BC5562">
        <w:rPr>
          <w:u w:val="single"/>
        </w:rPr>
        <w:br/>
      </w:r>
      <w:r w:rsidRPr="00BC5562">
        <w:rPr>
          <w:rStyle w:val="markedcontent"/>
          <w:u w:val="single"/>
        </w:rPr>
        <w:t>Local 385, AFL-CIO</w:t>
      </w:r>
      <w:r w:rsidRPr="00BC5562">
        <w:rPr>
          <w:rStyle w:val="markedcontent"/>
        </w:rPr>
        <w:t xml:space="preserve">, the Nebraska Supreme Court held (6 to 0) that the arbitrator’s decision reinstating Union President Steve LeClair must be enforced; the city failed to prove that the arbitration award because the arbitrator exceeded her powers. The City appealed to state District Court, which dismissed the City’s appeal and ordered the City to reimburse union for $16,000 in attorney fees for filing a “frivolous” appeal.  The Nebraska Supreme Court agreed that termination was too </w:t>
      </w:r>
      <w:proofErr w:type="gramStart"/>
      <w:r w:rsidRPr="00BC5562">
        <w:rPr>
          <w:rStyle w:val="markedcontent"/>
        </w:rPr>
        <w:t>harsh, but</w:t>
      </w:r>
      <w:proofErr w:type="gramEnd"/>
      <w:r w:rsidRPr="00BC5562">
        <w:rPr>
          <w:rStyle w:val="markedcontent"/>
        </w:rPr>
        <w:t xml:space="preserve"> set aside the attorney fees award. </w:t>
      </w:r>
    </w:p>
    <w:p w14:paraId="10B766E2" w14:textId="489DB22B" w:rsidR="002F610D" w:rsidRDefault="002F610D" w:rsidP="002F610D">
      <w:pPr>
        <w:pStyle w:val="NoSpacing"/>
        <w:rPr>
          <w:rFonts w:ascii="Arial Black" w:hAnsi="Arial Black"/>
          <w:sz w:val="24"/>
          <w:szCs w:val="24"/>
        </w:rPr>
      </w:pPr>
      <w:r w:rsidRPr="002F610D">
        <w:rPr>
          <w:rStyle w:val="markedcontent"/>
          <w:rFonts w:ascii="Times New Roman" w:hAnsi="Times New Roman"/>
          <w:sz w:val="24"/>
          <w:szCs w:val="24"/>
        </w:rPr>
        <w:t>“Equally quick work can be made of the City’s claim that the arbitrator exceeded her powers by ‘</w:t>
      </w:r>
      <w:proofErr w:type="spellStart"/>
      <w:r w:rsidRPr="002F610D">
        <w:rPr>
          <w:rStyle w:val="markedcontent"/>
          <w:rFonts w:ascii="Times New Roman" w:hAnsi="Times New Roman"/>
          <w:sz w:val="24"/>
          <w:szCs w:val="24"/>
        </w:rPr>
        <w:t>substitut</w:t>
      </w:r>
      <w:proofErr w:type="spellEnd"/>
      <w:r w:rsidRPr="002F610D">
        <w:rPr>
          <w:rStyle w:val="markedcontent"/>
          <w:rFonts w:ascii="Times New Roman" w:hAnsi="Times New Roman"/>
          <w:sz w:val="24"/>
          <w:szCs w:val="24"/>
        </w:rPr>
        <w:t>[</w:t>
      </w:r>
      <w:proofErr w:type="spellStart"/>
      <w:r w:rsidRPr="002F610D">
        <w:rPr>
          <w:rStyle w:val="markedcontent"/>
          <w:rFonts w:ascii="Times New Roman" w:hAnsi="Times New Roman"/>
          <w:sz w:val="24"/>
          <w:szCs w:val="24"/>
        </w:rPr>
        <w:t>ing</w:t>
      </w:r>
      <w:proofErr w:type="spellEnd"/>
      <w:r w:rsidRPr="002F610D">
        <w:rPr>
          <w:rStyle w:val="markedcontent"/>
          <w:rFonts w:ascii="Times New Roman" w:hAnsi="Times New Roman"/>
          <w:sz w:val="24"/>
          <w:szCs w:val="24"/>
        </w:rPr>
        <w:t xml:space="preserve">] her own discipline.’ Brief for appellant at 31. This objection is aimed at the arbitrator’s order that LeClair should lose five shifts of backpay for his actions. The </w:t>
      </w:r>
      <w:proofErr w:type="gramStart"/>
      <w:r w:rsidRPr="002F610D">
        <w:rPr>
          <w:rStyle w:val="markedcontent"/>
          <w:rFonts w:ascii="Times New Roman" w:hAnsi="Times New Roman"/>
          <w:sz w:val="24"/>
          <w:szCs w:val="24"/>
        </w:rPr>
        <w:t>City</w:t>
      </w:r>
      <w:proofErr w:type="gramEnd"/>
      <w:r w:rsidRPr="002F610D">
        <w:rPr>
          <w:rStyle w:val="markedcontent"/>
          <w:rFonts w:ascii="Times New Roman" w:hAnsi="Times New Roman"/>
          <w:sz w:val="24"/>
          <w:szCs w:val="24"/>
        </w:rPr>
        <w:t xml:space="preserve"> claims the arbitrator did not have the power to craft her own discipline for LeClair’s actions. The City, however, has not directed us to authority that supports its argument.”</w:t>
      </w:r>
      <w:r w:rsidRPr="007365A2">
        <w:t xml:space="preserve"> </w:t>
      </w:r>
      <w:hyperlink r:id="rId2889" w:history="1">
        <w:r w:rsidRPr="007365A2">
          <w:rPr>
            <w:rStyle w:val="Hyperlink"/>
          </w:rPr>
          <w:t>file:///C:/Users/lawre/AppData/Local/Temp/N00008009PUB.pdf</w:t>
        </w:r>
      </w:hyperlink>
    </w:p>
    <w:p w14:paraId="13FD71FE" w14:textId="21FEC079" w:rsidR="002F610D" w:rsidRDefault="002F610D" w:rsidP="00F326E5">
      <w:pPr>
        <w:pStyle w:val="NoSpacing"/>
        <w:rPr>
          <w:rFonts w:ascii="Arial Black" w:hAnsi="Arial Black"/>
          <w:sz w:val="24"/>
          <w:szCs w:val="24"/>
        </w:rPr>
      </w:pPr>
    </w:p>
    <w:p w14:paraId="1128ED2B" w14:textId="77777777" w:rsidR="002F610D" w:rsidRPr="006D4E82" w:rsidRDefault="002F610D" w:rsidP="002F610D">
      <w:pPr>
        <w:pStyle w:val="NormalWeb"/>
        <w:tabs>
          <w:tab w:val="left" w:pos="3330"/>
        </w:tabs>
        <w:rPr>
          <w:b/>
          <w:bCs/>
        </w:rPr>
      </w:pPr>
      <w:r w:rsidRPr="006D4E82">
        <w:rPr>
          <w:rStyle w:val="markedcontent"/>
          <w:b/>
          <w:bCs/>
        </w:rPr>
        <w:t>Legal Lesson Learned:</w:t>
      </w:r>
      <w:r>
        <w:rPr>
          <w:rStyle w:val="markedcontent"/>
          <w:b/>
          <w:bCs/>
        </w:rPr>
        <w:t xml:space="preserve"> Courts generally enforce arbitrator decisions.  </w:t>
      </w:r>
      <w:r>
        <w:rPr>
          <w:rStyle w:val="markedcontent"/>
          <w:b/>
          <w:bCs/>
        </w:rPr>
        <w:tab/>
        <w:t xml:space="preserve"> </w:t>
      </w:r>
    </w:p>
    <w:p w14:paraId="452AAC83" w14:textId="6A1F3A59" w:rsidR="002F610D" w:rsidRDefault="002F610D" w:rsidP="002F610D">
      <w:pPr>
        <w:pStyle w:val="NoSpacing"/>
        <w:rPr>
          <w:rFonts w:ascii="Arial Black" w:hAnsi="Arial Black"/>
          <w:sz w:val="24"/>
          <w:szCs w:val="24"/>
        </w:rPr>
      </w:pPr>
      <w:r>
        <w:t xml:space="preserve">Note: See Aug. 11, </w:t>
      </w:r>
      <w:proofErr w:type="gramStart"/>
      <w:r>
        <w:t>2021</w:t>
      </w:r>
      <w:proofErr w:type="gramEnd"/>
      <w:r>
        <w:t xml:space="preserve"> article, “</w:t>
      </w:r>
      <w:r w:rsidRPr="00826CE9">
        <w:t xml:space="preserve">Nebraska Supreme Court Sides </w:t>
      </w:r>
      <w:proofErr w:type="gramStart"/>
      <w:r w:rsidRPr="00826CE9">
        <w:t>With</w:t>
      </w:r>
      <w:proofErr w:type="gramEnd"/>
      <w:r w:rsidRPr="00826CE9">
        <w:t xml:space="preserve"> Omaha Fire Union Chief </w:t>
      </w:r>
      <w:proofErr w:type="gramStart"/>
      <w:r w:rsidRPr="00826CE9">
        <w:t>In</w:t>
      </w:r>
      <w:proofErr w:type="gramEnd"/>
      <w:r w:rsidRPr="00826CE9">
        <w:t xml:space="preserve"> Dispute </w:t>
      </w:r>
      <w:proofErr w:type="gramStart"/>
      <w:r w:rsidRPr="00826CE9">
        <w:t>With</w:t>
      </w:r>
      <w:proofErr w:type="gramEnd"/>
      <w:r w:rsidRPr="00826CE9">
        <w:t xml:space="preserve"> City.   </w:t>
      </w:r>
      <w:r w:rsidRPr="00492A28">
        <w:t>appeal the discipline to an independent arbitrator.</w:t>
      </w:r>
      <w:r>
        <w:t xml:space="preserve">” </w:t>
      </w:r>
      <w:hyperlink r:id="rId2890" w:history="1">
        <w:r w:rsidRPr="00472D9E">
          <w:rPr>
            <w:rStyle w:val="Hyperlink"/>
          </w:rPr>
          <w:t>https://www.ketv.com/article/nebraska-supreme-court-sides-with-omaha-fire-union-chief-in-dispute-with-city/37244601#</w:t>
        </w:r>
      </w:hyperlink>
    </w:p>
    <w:p w14:paraId="254FEC65" w14:textId="77777777" w:rsidR="002F610D" w:rsidRDefault="002F610D" w:rsidP="00F326E5">
      <w:pPr>
        <w:pStyle w:val="NoSpacing"/>
        <w:rPr>
          <w:rFonts w:ascii="Arial Black" w:hAnsi="Arial Black"/>
          <w:sz w:val="24"/>
          <w:szCs w:val="24"/>
        </w:rPr>
      </w:pPr>
    </w:p>
    <w:p w14:paraId="0157EB83" w14:textId="7D0AE068" w:rsidR="005217D5" w:rsidRDefault="005217D5" w:rsidP="00F326E5">
      <w:pPr>
        <w:pStyle w:val="NoSpacing"/>
        <w:rPr>
          <w:rFonts w:ascii="Arial Black" w:hAnsi="Arial Black"/>
          <w:sz w:val="24"/>
          <w:szCs w:val="24"/>
        </w:rPr>
      </w:pPr>
      <w:r>
        <w:rPr>
          <w:rFonts w:ascii="Arial Black" w:hAnsi="Arial Black"/>
          <w:sz w:val="24"/>
          <w:szCs w:val="24"/>
        </w:rPr>
        <w:t>17-8</w:t>
      </w:r>
    </w:p>
    <w:p w14:paraId="30C4BB9D" w14:textId="065E42B1" w:rsidR="005217D5" w:rsidRDefault="005217D5" w:rsidP="00F326E5">
      <w:pPr>
        <w:pStyle w:val="NoSpacing"/>
        <w:rPr>
          <w:rFonts w:ascii="Arial Black" w:hAnsi="Arial Black"/>
          <w:sz w:val="24"/>
          <w:szCs w:val="24"/>
        </w:rPr>
      </w:pPr>
    </w:p>
    <w:p w14:paraId="1E90D6FF" w14:textId="77777777" w:rsidR="005217D5" w:rsidRPr="001F43B5" w:rsidRDefault="005217D5" w:rsidP="005217D5">
      <w:pPr>
        <w:rPr>
          <w:rStyle w:val="markedcontent"/>
          <w:rFonts w:ascii="Arial Black" w:hAnsi="Arial Black"/>
          <w:sz w:val="28"/>
          <w:szCs w:val="28"/>
        </w:rPr>
      </w:pPr>
      <w:r w:rsidRPr="001F43B5">
        <w:rPr>
          <w:rStyle w:val="markedcontent"/>
          <w:rFonts w:ascii="Arial Black" w:hAnsi="Arial Black"/>
          <w:sz w:val="28"/>
          <w:szCs w:val="28"/>
        </w:rPr>
        <w:t xml:space="preserve">DE: </w:t>
      </w:r>
      <w:r>
        <w:rPr>
          <w:rStyle w:val="markedcontent"/>
          <w:rFonts w:ascii="Arial Black" w:hAnsi="Arial Black"/>
          <w:sz w:val="28"/>
          <w:szCs w:val="28"/>
        </w:rPr>
        <w:t>STATION BROWNOUTS - FIRE CHIEF SCHEDULE CHANGE 24/72 TO 24/48 – NEW CBA MUST BE SPECIFIC</w:t>
      </w:r>
    </w:p>
    <w:p w14:paraId="3594A74A" w14:textId="77777777" w:rsidR="005217D5" w:rsidRDefault="005217D5" w:rsidP="005217D5">
      <w:pPr>
        <w:rPr>
          <w:rStyle w:val="markedcontent"/>
          <w:rFonts w:ascii="Times New Roman" w:hAnsi="Times New Roman"/>
          <w:sz w:val="24"/>
          <w:szCs w:val="24"/>
        </w:rPr>
      </w:pPr>
      <w:r>
        <w:rPr>
          <w:rStyle w:val="markedcontent"/>
          <w:rFonts w:ascii="Times New Roman" w:hAnsi="Times New Roman"/>
          <w:sz w:val="24"/>
          <w:szCs w:val="24"/>
        </w:rPr>
        <w:t xml:space="preserve">On June 28, 2021, in </w:t>
      </w:r>
      <w:r w:rsidRPr="001F43B5">
        <w:rPr>
          <w:rStyle w:val="markedcontent"/>
          <w:rFonts w:ascii="Times New Roman" w:hAnsi="Times New Roman"/>
          <w:sz w:val="24"/>
          <w:szCs w:val="24"/>
          <w:u w:val="single"/>
        </w:rPr>
        <w:t>International Association of Firefighters, Local 1590 v. City of Wilmington</w:t>
      </w:r>
      <w:r>
        <w:rPr>
          <w:rStyle w:val="markedcontent"/>
          <w:rFonts w:ascii="Times New Roman" w:hAnsi="Times New Roman"/>
          <w:sz w:val="24"/>
          <w:szCs w:val="24"/>
        </w:rPr>
        <w:t xml:space="preserve">, the Court of Chancery of the State of Delaware (Vice Chancellor </w:t>
      </w:r>
      <w:r w:rsidRPr="001F43B5">
        <w:rPr>
          <w:rStyle w:val="markedcontent"/>
          <w:rFonts w:ascii="Times New Roman" w:hAnsi="Times New Roman"/>
          <w:sz w:val="24"/>
          <w:szCs w:val="24"/>
        </w:rPr>
        <w:t>Paul A. Fioravanti, Jr.</w:t>
      </w:r>
      <w:r>
        <w:rPr>
          <w:rStyle w:val="markedcontent"/>
          <w:rFonts w:ascii="Times New Roman" w:hAnsi="Times New Roman"/>
          <w:sz w:val="24"/>
          <w:szCs w:val="24"/>
        </w:rPr>
        <w:t xml:space="preserve">) ordered the case back to the Public Employee Relations Board because the city’s final offer only described the new schedule (24/48 schedule with 17 Kelly Days) “as an example” in the Collective Bargaining Agreement. Judge agreed with IAFF that this gave the  Fire Chief inappropriate discretion to change the schedule in future without collective bargaining. </w:t>
      </w:r>
    </w:p>
    <w:p w14:paraId="22E293A2" w14:textId="77777777" w:rsidR="005217D5" w:rsidRDefault="005217D5" w:rsidP="005217D5">
      <w:pPr>
        <w:ind w:left="720"/>
        <w:rPr>
          <w:rStyle w:val="markedcontent"/>
          <w:rFonts w:ascii="Times New Roman" w:hAnsi="Times New Roman"/>
          <w:sz w:val="24"/>
          <w:szCs w:val="24"/>
        </w:rPr>
      </w:pPr>
      <w:r>
        <w:rPr>
          <w:rStyle w:val="markedcontent"/>
          <w:rFonts w:ascii="Times New Roman" w:hAnsi="Times New Roman"/>
          <w:sz w:val="24"/>
          <w:szCs w:val="24"/>
        </w:rPr>
        <w:t>“</w:t>
      </w:r>
      <w:r w:rsidRPr="00C4258E">
        <w:rPr>
          <w:rStyle w:val="markedcontent"/>
          <w:rFonts w:ascii="Times New Roman" w:hAnsi="Times New Roman"/>
          <w:sz w:val="24"/>
          <w:szCs w:val="24"/>
        </w:rPr>
        <w:t xml:space="preserve">The City’s LBFO, however, did not establish a 24/48 schedule. Although the BIA Decision states that the City’s proposal </w:t>
      </w:r>
      <w:r>
        <w:rPr>
          <w:rStyle w:val="markedcontent"/>
          <w:rFonts w:ascii="Times New Roman" w:hAnsi="Times New Roman"/>
          <w:sz w:val="24"/>
          <w:szCs w:val="24"/>
        </w:rPr>
        <w:t>‘</w:t>
      </w:r>
      <w:r w:rsidRPr="00C4258E">
        <w:rPr>
          <w:rStyle w:val="markedcontent"/>
          <w:rFonts w:ascii="Times New Roman" w:hAnsi="Times New Roman"/>
          <w:sz w:val="24"/>
          <w:szCs w:val="24"/>
        </w:rPr>
        <w:t>specifically</w:t>
      </w:r>
      <w:r>
        <w:rPr>
          <w:rStyle w:val="markedcontent"/>
          <w:rFonts w:ascii="Times New Roman" w:hAnsi="Times New Roman"/>
          <w:sz w:val="24"/>
          <w:szCs w:val="24"/>
        </w:rPr>
        <w:t>’</w:t>
      </w:r>
      <w:r w:rsidRPr="00C4258E">
        <w:rPr>
          <w:rStyle w:val="markedcontent"/>
          <w:rFonts w:ascii="Times New Roman" w:hAnsi="Times New Roman"/>
          <w:sz w:val="24"/>
          <w:szCs w:val="24"/>
        </w:rPr>
        <w:t xml:space="preserve"> called for a 24/48 schedule to replace the 24/72 schedule, the plain language of the City’s LBFO does not support that construction. The City’s LBFO struck the language from the 2016 CBA that outlined a 24/72 </w:t>
      </w:r>
      <w:proofErr w:type="gramStart"/>
      <w:r w:rsidRPr="00C4258E">
        <w:rPr>
          <w:rStyle w:val="markedcontent"/>
          <w:rFonts w:ascii="Times New Roman" w:hAnsi="Times New Roman"/>
          <w:sz w:val="24"/>
          <w:szCs w:val="24"/>
        </w:rPr>
        <w:t>schedule</w:t>
      </w:r>
      <w:r>
        <w:rPr>
          <w:rStyle w:val="markedcontent"/>
          <w:rFonts w:ascii="Times New Roman" w:hAnsi="Times New Roman"/>
          <w:sz w:val="24"/>
          <w:szCs w:val="24"/>
        </w:rPr>
        <w:t xml:space="preserve">, </w:t>
      </w:r>
      <w:r w:rsidRPr="00C4258E">
        <w:rPr>
          <w:rStyle w:val="markedcontent"/>
          <w:rFonts w:ascii="Times New Roman" w:hAnsi="Times New Roman"/>
          <w:sz w:val="24"/>
          <w:szCs w:val="24"/>
        </w:rPr>
        <w:t>but</w:t>
      </w:r>
      <w:proofErr w:type="gramEnd"/>
      <w:r w:rsidRPr="00C4258E">
        <w:rPr>
          <w:rStyle w:val="markedcontent"/>
          <w:rFonts w:ascii="Times New Roman" w:hAnsi="Times New Roman"/>
          <w:sz w:val="24"/>
          <w:szCs w:val="24"/>
        </w:rPr>
        <w:t xml:space="preserve"> did not replace it with analogous language providing a 24/48 schedule. Tab 4 at 1, 10. Instead, the City’s LBFO </w:t>
      </w:r>
      <w:proofErr w:type="gramStart"/>
      <w:r w:rsidRPr="00C4258E">
        <w:rPr>
          <w:rStyle w:val="markedcontent"/>
          <w:rFonts w:ascii="Times New Roman" w:hAnsi="Times New Roman"/>
          <w:sz w:val="24"/>
          <w:szCs w:val="24"/>
        </w:rPr>
        <w:t>provided that</w:t>
      </w:r>
      <w:proofErr w:type="gramEnd"/>
      <w:r w:rsidRPr="00C4258E">
        <w:rPr>
          <w:rStyle w:val="markedcontent"/>
          <w:rFonts w:ascii="Times New Roman" w:hAnsi="Times New Roman"/>
          <w:sz w:val="24"/>
          <w:szCs w:val="24"/>
        </w:rPr>
        <w:t xml:space="preserve"> firefighters would work a shift of an unspecified length </w:t>
      </w:r>
      <w:r>
        <w:rPr>
          <w:rStyle w:val="markedcontent"/>
          <w:rFonts w:ascii="Times New Roman" w:hAnsi="Times New Roman"/>
          <w:sz w:val="24"/>
          <w:szCs w:val="24"/>
        </w:rPr>
        <w:t>‘</w:t>
      </w:r>
      <w:r w:rsidRPr="00C4258E">
        <w:rPr>
          <w:rStyle w:val="markedcontent"/>
          <w:rFonts w:ascii="Times New Roman" w:hAnsi="Times New Roman"/>
          <w:sz w:val="24"/>
          <w:szCs w:val="24"/>
        </w:rPr>
        <w:t xml:space="preserve">as determined off </w:t>
      </w:r>
      <w:r>
        <w:rPr>
          <w:rStyle w:val="markedcontent"/>
          <w:rFonts w:ascii="Times New Roman" w:hAnsi="Times New Roman"/>
          <w:sz w:val="24"/>
          <w:szCs w:val="24"/>
        </w:rPr>
        <w:t>‘</w:t>
      </w:r>
      <w:r w:rsidRPr="00C4258E">
        <w:rPr>
          <w:rStyle w:val="markedcontent"/>
          <w:rFonts w:ascii="Times New Roman" w:hAnsi="Times New Roman"/>
          <w:sz w:val="24"/>
          <w:szCs w:val="24"/>
        </w:rPr>
        <w:t>under a work schedule as established by the Chief of Fire.</w:t>
      </w:r>
      <w:r>
        <w:rPr>
          <w:rStyle w:val="markedcontent"/>
          <w:rFonts w:ascii="Times New Roman" w:hAnsi="Times New Roman"/>
          <w:sz w:val="24"/>
          <w:szCs w:val="24"/>
        </w:rPr>
        <w:t>’</w:t>
      </w:r>
      <w:r w:rsidRPr="00C4258E">
        <w:rPr>
          <w:rStyle w:val="markedcontent"/>
          <w:rFonts w:ascii="Times New Roman" w:hAnsi="Times New Roman"/>
          <w:sz w:val="24"/>
          <w:szCs w:val="24"/>
        </w:rPr>
        <w:t xml:space="preserve"> Id. To be sure, the City’s LBFO stated, </w:t>
      </w:r>
      <w:r>
        <w:rPr>
          <w:rStyle w:val="markedcontent"/>
          <w:rFonts w:ascii="Times New Roman" w:hAnsi="Times New Roman"/>
          <w:sz w:val="24"/>
          <w:szCs w:val="24"/>
        </w:rPr>
        <w:t>‘</w:t>
      </w:r>
      <w:r w:rsidRPr="00C4258E">
        <w:rPr>
          <w:rStyle w:val="markedcontent"/>
          <w:rFonts w:ascii="Times New Roman" w:hAnsi="Times New Roman"/>
          <w:sz w:val="24"/>
          <w:szCs w:val="24"/>
        </w:rPr>
        <w:t>[a]s an example,</w:t>
      </w:r>
      <w:r>
        <w:rPr>
          <w:rStyle w:val="markedcontent"/>
          <w:rFonts w:ascii="Times New Roman" w:hAnsi="Times New Roman"/>
          <w:sz w:val="24"/>
          <w:szCs w:val="24"/>
        </w:rPr>
        <w:t>’</w:t>
      </w:r>
      <w:r w:rsidRPr="00C4258E">
        <w:rPr>
          <w:rStyle w:val="markedcontent"/>
          <w:rFonts w:ascii="Times New Roman" w:hAnsi="Times New Roman"/>
          <w:sz w:val="24"/>
          <w:szCs w:val="24"/>
        </w:rPr>
        <w:t xml:space="preserve"> that the Chief of Fire could </w:t>
      </w:r>
      <w:r>
        <w:rPr>
          <w:rStyle w:val="markedcontent"/>
          <w:rFonts w:ascii="Times New Roman" w:hAnsi="Times New Roman"/>
          <w:sz w:val="24"/>
          <w:szCs w:val="24"/>
        </w:rPr>
        <w:t>‘</w:t>
      </w:r>
      <w:r w:rsidRPr="00C4258E">
        <w:rPr>
          <w:rStyle w:val="markedcontent"/>
          <w:rFonts w:ascii="Times New Roman" w:hAnsi="Times New Roman"/>
          <w:sz w:val="24"/>
          <w:szCs w:val="24"/>
        </w:rPr>
        <w:t>implement a three[-]platoon system with a Complete Tour of Duty of [24] hours on, followed by [48] hours off.</w:t>
      </w:r>
      <w:r>
        <w:rPr>
          <w:rStyle w:val="markedcontent"/>
          <w:rFonts w:ascii="Times New Roman" w:hAnsi="Times New Roman"/>
          <w:sz w:val="24"/>
          <w:szCs w:val="24"/>
        </w:rPr>
        <w:t>’</w:t>
      </w:r>
      <w:r w:rsidRPr="00C4258E">
        <w:rPr>
          <w:rStyle w:val="markedcontent"/>
          <w:rFonts w:ascii="Times New Roman" w:hAnsi="Times New Roman"/>
          <w:sz w:val="24"/>
          <w:szCs w:val="24"/>
        </w:rPr>
        <w:t xml:space="preserve"> Id. at 10. But that schedule is expressly identified only as </w:t>
      </w:r>
      <w:r>
        <w:rPr>
          <w:rStyle w:val="markedcontent"/>
          <w:rFonts w:ascii="Times New Roman" w:hAnsi="Times New Roman"/>
          <w:sz w:val="24"/>
          <w:szCs w:val="24"/>
        </w:rPr>
        <w:t>‘</w:t>
      </w:r>
      <w:r w:rsidRPr="00C4258E">
        <w:rPr>
          <w:rStyle w:val="markedcontent"/>
          <w:rFonts w:ascii="Times New Roman" w:hAnsi="Times New Roman"/>
          <w:sz w:val="24"/>
          <w:szCs w:val="24"/>
        </w:rPr>
        <w:t>an example,</w:t>
      </w:r>
      <w:r>
        <w:rPr>
          <w:rStyle w:val="markedcontent"/>
          <w:rFonts w:ascii="Times New Roman" w:hAnsi="Times New Roman"/>
          <w:sz w:val="24"/>
          <w:szCs w:val="24"/>
        </w:rPr>
        <w:t>’</w:t>
      </w:r>
      <w:r w:rsidRPr="00C4258E">
        <w:rPr>
          <w:rStyle w:val="markedcontent"/>
          <w:rFonts w:ascii="Times New Roman" w:hAnsi="Times New Roman"/>
          <w:sz w:val="24"/>
          <w:szCs w:val="24"/>
        </w:rPr>
        <w:t xml:space="preserve"> and the City’s LBFO does not bind the Chief of Fire to any </w:t>
      </w:r>
      <w:proofErr w:type="gramStart"/>
      <w:r w:rsidRPr="00C4258E">
        <w:rPr>
          <w:rStyle w:val="markedcontent"/>
          <w:rFonts w:ascii="Times New Roman" w:hAnsi="Times New Roman"/>
          <w:sz w:val="24"/>
          <w:szCs w:val="24"/>
        </w:rPr>
        <w:t>particular work</w:t>
      </w:r>
      <w:proofErr w:type="gramEnd"/>
      <w:r w:rsidRPr="00C4258E">
        <w:rPr>
          <w:rStyle w:val="markedcontent"/>
          <w:rFonts w:ascii="Times New Roman" w:hAnsi="Times New Roman"/>
          <w:sz w:val="24"/>
          <w:szCs w:val="24"/>
        </w:rPr>
        <w:t xml:space="preserve"> schedule, even from the outset of the new system’s implementation.</w:t>
      </w:r>
      <w:r w:rsidRPr="00C4258E">
        <w:rPr>
          <w:rFonts w:ascii="Times New Roman" w:hAnsi="Times New Roman"/>
          <w:sz w:val="24"/>
          <w:szCs w:val="24"/>
        </w:rPr>
        <w:br/>
      </w:r>
    </w:p>
    <w:p w14:paraId="694667D8" w14:textId="77777777" w:rsidR="005217D5" w:rsidRPr="00C4258E" w:rsidRDefault="005217D5" w:rsidP="005217D5">
      <w:pPr>
        <w:ind w:left="720"/>
        <w:rPr>
          <w:rStyle w:val="markedcontent"/>
          <w:rFonts w:ascii="Times New Roman" w:hAnsi="Times New Roman"/>
          <w:sz w:val="24"/>
          <w:szCs w:val="24"/>
        </w:rPr>
      </w:pPr>
      <w:r>
        <w:rPr>
          <w:rStyle w:val="markedcontent"/>
          <w:rFonts w:ascii="Times New Roman" w:hAnsi="Times New Roman"/>
          <w:sz w:val="24"/>
          <w:szCs w:val="24"/>
        </w:rPr>
        <w:lastRenderedPageBreak/>
        <w:t>***</w:t>
      </w:r>
    </w:p>
    <w:p w14:paraId="69312CCE" w14:textId="4F32F2BD" w:rsidR="005217D5" w:rsidRDefault="005217D5" w:rsidP="005217D5">
      <w:pPr>
        <w:pStyle w:val="NoSpacing"/>
        <w:ind w:left="720"/>
        <w:rPr>
          <w:rStyle w:val="Hyperlink"/>
          <w:sz w:val="24"/>
          <w:szCs w:val="24"/>
        </w:rPr>
      </w:pPr>
      <w:r>
        <w:rPr>
          <w:rStyle w:val="markedcontent"/>
          <w:rFonts w:ascii="Times New Roman" w:hAnsi="Times New Roman"/>
          <w:sz w:val="24"/>
          <w:szCs w:val="24"/>
        </w:rPr>
        <w:t>“</w:t>
      </w:r>
      <w:r w:rsidRPr="001F43B5">
        <w:rPr>
          <w:rStyle w:val="markedcontent"/>
          <w:rFonts w:ascii="Times New Roman" w:hAnsi="Times New Roman"/>
          <w:sz w:val="24"/>
          <w:szCs w:val="24"/>
        </w:rPr>
        <w:t xml:space="preserve">The Executive Director </w:t>
      </w:r>
      <w:r>
        <w:rPr>
          <w:rStyle w:val="markedcontent"/>
          <w:rFonts w:ascii="Times New Roman" w:hAnsi="Times New Roman"/>
          <w:sz w:val="24"/>
          <w:szCs w:val="24"/>
        </w:rPr>
        <w:t xml:space="preserve">[of the PERB] </w:t>
      </w:r>
      <w:r w:rsidRPr="001F43B5">
        <w:rPr>
          <w:rStyle w:val="markedcontent"/>
          <w:rFonts w:ascii="Times New Roman" w:hAnsi="Times New Roman"/>
          <w:sz w:val="24"/>
          <w:szCs w:val="24"/>
        </w:rPr>
        <w:t>erred by performing her statutory analysis only</w:t>
      </w:r>
      <w:r>
        <w:rPr>
          <w:rStyle w:val="markedcontent"/>
          <w:rFonts w:ascii="Times New Roman" w:hAnsi="Times New Roman"/>
          <w:sz w:val="24"/>
          <w:szCs w:val="24"/>
        </w:rPr>
        <w:t xml:space="preserve"> </w:t>
      </w:r>
      <w:r w:rsidRPr="001F43B5">
        <w:rPr>
          <w:rStyle w:val="markedcontent"/>
          <w:rFonts w:ascii="Times New Roman" w:hAnsi="Times New Roman"/>
          <w:sz w:val="24"/>
          <w:szCs w:val="24"/>
        </w:rPr>
        <w:t xml:space="preserve">on the unwritten </w:t>
      </w:r>
      <w:r>
        <w:rPr>
          <w:rStyle w:val="markedcontent"/>
          <w:rFonts w:ascii="Times New Roman" w:hAnsi="Times New Roman"/>
          <w:sz w:val="24"/>
          <w:szCs w:val="24"/>
        </w:rPr>
        <w:t>‘</w:t>
      </w:r>
      <w:r w:rsidRPr="001F43B5">
        <w:rPr>
          <w:rStyle w:val="markedcontent"/>
          <w:rFonts w:ascii="Times New Roman" w:hAnsi="Times New Roman"/>
          <w:sz w:val="24"/>
          <w:szCs w:val="24"/>
        </w:rPr>
        <w:t>essence</w:t>
      </w:r>
      <w:r>
        <w:rPr>
          <w:rStyle w:val="markedcontent"/>
          <w:rFonts w:ascii="Times New Roman" w:hAnsi="Times New Roman"/>
          <w:sz w:val="24"/>
          <w:szCs w:val="24"/>
        </w:rPr>
        <w:t xml:space="preserve">’ </w:t>
      </w:r>
      <w:r w:rsidRPr="001F43B5">
        <w:rPr>
          <w:rStyle w:val="markedcontent"/>
          <w:rFonts w:ascii="Times New Roman" w:hAnsi="Times New Roman"/>
          <w:sz w:val="24"/>
          <w:szCs w:val="24"/>
        </w:rPr>
        <w:t>of the City’s LBFO</w:t>
      </w:r>
      <w:r>
        <w:rPr>
          <w:rStyle w:val="markedcontent"/>
          <w:rFonts w:ascii="Times New Roman" w:hAnsi="Times New Roman"/>
          <w:sz w:val="24"/>
          <w:szCs w:val="24"/>
        </w:rPr>
        <w:t xml:space="preserve"> [Last Best Final Offer]….</w:t>
      </w:r>
      <w:r w:rsidRPr="001F43B5">
        <w:rPr>
          <w:rStyle w:val="markedcontent"/>
          <w:rFonts w:ascii="Times New Roman" w:hAnsi="Times New Roman"/>
          <w:sz w:val="24"/>
          <w:szCs w:val="24"/>
        </w:rPr>
        <w:t>The PERB’s affirmance of the BIA Decision therefore constituted an error as a matter of law. For the foregoing reasons, the PERB’s decision affirming the BIA Decision is hereby reversed. The parties’ dispute is remanded to the PERB for further proceedings consistent with this Order.</w:t>
      </w:r>
      <w:r>
        <w:rPr>
          <w:rStyle w:val="markedcontent"/>
          <w:rFonts w:ascii="Times New Roman" w:hAnsi="Times New Roman"/>
          <w:sz w:val="24"/>
          <w:szCs w:val="24"/>
        </w:rPr>
        <w:t xml:space="preserve">” </w:t>
      </w:r>
      <w:hyperlink r:id="rId2891" w:history="1">
        <w:r w:rsidRPr="002F4BDF">
          <w:rPr>
            <w:rStyle w:val="Hyperlink"/>
            <w:sz w:val="24"/>
            <w:szCs w:val="24"/>
          </w:rPr>
          <w:t>https://perb.delaware.gov/wp-content/uploads/sites/127/2021/07/2020-0765-Order-of-reversal-and-remand-6-28-21-website.pdf</w:t>
        </w:r>
      </w:hyperlink>
    </w:p>
    <w:p w14:paraId="709717EC" w14:textId="6F7D9BB6" w:rsidR="005217D5" w:rsidRDefault="005217D5" w:rsidP="005217D5">
      <w:pPr>
        <w:pStyle w:val="NoSpacing"/>
        <w:ind w:left="720"/>
        <w:rPr>
          <w:rStyle w:val="Hyperlink"/>
          <w:sz w:val="24"/>
          <w:szCs w:val="24"/>
        </w:rPr>
      </w:pPr>
    </w:p>
    <w:p w14:paraId="5CE17FE6" w14:textId="77777777" w:rsidR="005217D5" w:rsidRPr="00C4258E" w:rsidRDefault="005217D5" w:rsidP="005217D5">
      <w:pPr>
        <w:rPr>
          <w:rStyle w:val="markedcontent"/>
          <w:rFonts w:ascii="Times New Roman" w:hAnsi="Times New Roman"/>
          <w:b/>
          <w:bCs/>
          <w:sz w:val="24"/>
          <w:szCs w:val="24"/>
        </w:rPr>
      </w:pPr>
      <w:r w:rsidRPr="00C4258E">
        <w:rPr>
          <w:rStyle w:val="markedcontent"/>
          <w:rFonts w:ascii="Times New Roman" w:hAnsi="Times New Roman"/>
          <w:b/>
          <w:bCs/>
          <w:sz w:val="24"/>
          <w:szCs w:val="24"/>
        </w:rPr>
        <w:t>Legal Lesson Learned:</w:t>
      </w:r>
      <w:r>
        <w:rPr>
          <w:rStyle w:val="markedcontent"/>
          <w:rFonts w:ascii="Times New Roman" w:hAnsi="Times New Roman"/>
          <w:b/>
          <w:bCs/>
          <w:sz w:val="24"/>
          <w:szCs w:val="24"/>
        </w:rPr>
        <w:t xml:space="preserve"> Collective Bargaining Agreements should contain clear and precise language on work schedule, Kelly Days, and minimum manning.</w:t>
      </w:r>
    </w:p>
    <w:p w14:paraId="51F472F8" w14:textId="77777777" w:rsidR="005217D5" w:rsidRPr="00C4258E" w:rsidRDefault="005217D5" w:rsidP="005217D5">
      <w:pPr>
        <w:pStyle w:val="Heading1"/>
        <w:ind w:left="720"/>
        <w:rPr>
          <w:b w:val="0"/>
          <w:bCs w:val="0"/>
          <w:sz w:val="24"/>
          <w:szCs w:val="24"/>
        </w:rPr>
      </w:pPr>
      <w:r w:rsidRPr="00EA0A4B">
        <w:rPr>
          <w:rStyle w:val="markedcontent"/>
          <w:b w:val="0"/>
          <w:bCs w:val="0"/>
          <w:sz w:val="24"/>
          <w:szCs w:val="24"/>
        </w:rPr>
        <w:t xml:space="preserve">Note: See June 30, </w:t>
      </w:r>
      <w:proofErr w:type="gramStart"/>
      <w:r w:rsidRPr="00EA0A4B">
        <w:rPr>
          <w:rStyle w:val="markedcontent"/>
          <w:b w:val="0"/>
          <w:bCs w:val="0"/>
          <w:sz w:val="24"/>
          <w:szCs w:val="24"/>
        </w:rPr>
        <w:t>2021</w:t>
      </w:r>
      <w:proofErr w:type="gramEnd"/>
      <w:r w:rsidRPr="00EA0A4B">
        <w:rPr>
          <w:rStyle w:val="markedcontent"/>
          <w:b w:val="0"/>
          <w:bCs w:val="0"/>
          <w:sz w:val="24"/>
          <w:szCs w:val="24"/>
        </w:rPr>
        <w:t xml:space="preserve"> article:</w:t>
      </w:r>
      <w:r>
        <w:rPr>
          <w:rStyle w:val="markedcontent"/>
          <w:sz w:val="24"/>
          <w:szCs w:val="24"/>
        </w:rPr>
        <w:t xml:space="preserve"> “</w:t>
      </w:r>
      <w:r w:rsidRPr="00C4258E">
        <w:rPr>
          <w:b w:val="0"/>
          <w:bCs w:val="0"/>
          <w:sz w:val="24"/>
          <w:szCs w:val="24"/>
        </w:rPr>
        <w:t>Wilmington firefighters union wins Chancery Court appeal in battle over shift change</w:t>
      </w:r>
      <w:r>
        <w:rPr>
          <w:b w:val="0"/>
          <w:bCs w:val="0"/>
          <w:sz w:val="24"/>
          <w:szCs w:val="24"/>
        </w:rPr>
        <w:t xml:space="preserve">.” </w:t>
      </w:r>
      <w:hyperlink r:id="rId2892" w:history="1">
        <w:r w:rsidRPr="00DB7C29">
          <w:rPr>
            <w:rStyle w:val="Hyperlink"/>
            <w:sz w:val="24"/>
            <w:szCs w:val="24"/>
          </w:rPr>
          <w:t>https://www.wdel.com/news/wilmington-firefighters-union-wins-chancery-court-appeal-in-battle-over-shift-change/article_9402edda-d9b1-11eb-909c-07bcb0bff090.html</w:t>
        </w:r>
      </w:hyperlink>
      <w:r w:rsidRPr="00DB7C29">
        <w:rPr>
          <w:b w:val="0"/>
          <w:bCs w:val="0"/>
          <w:sz w:val="24"/>
          <w:szCs w:val="24"/>
        </w:rPr>
        <w:t xml:space="preserve">  </w:t>
      </w:r>
    </w:p>
    <w:p w14:paraId="29EB7AD2" w14:textId="77777777" w:rsidR="005217D5" w:rsidRPr="005217D5" w:rsidRDefault="005217D5" w:rsidP="005217D5">
      <w:pPr>
        <w:pStyle w:val="Heading2"/>
        <w:ind w:left="720"/>
        <w:rPr>
          <w:rFonts w:ascii="Times New Roman" w:hAnsi="Times New Roman"/>
          <w:b w:val="0"/>
          <w:bCs w:val="0"/>
          <w:i w:val="0"/>
          <w:iCs w:val="0"/>
          <w:sz w:val="24"/>
          <w:szCs w:val="24"/>
        </w:rPr>
      </w:pPr>
      <w:r w:rsidRPr="005217D5">
        <w:rPr>
          <w:rStyle w:val="markedcontent"/>
          <w:rFonts w:ascii="Times New Roman" w:hAnsi="Times New Roman"/>
          <w:b w:val="0"/>
          <w:bCs w:val="0"/>
          <w:i w:val="0"/>
          <w:iCs w:val="0"/>
          <w:sz w:val="24"/>
          <w:szCs w:val="24"/>
        </w:rPr>
        <w:t xml:space="preserve">July 2, </w:t>
      </w:r>
      <w:proofErr w:type="gramStart"/>
      <w:r w:rsidRPr="005217D5">
        <w:rPr>
          <w:rStyle w:val="markedcontent"/>
          <w:rFonts w:ascii="Times New Roman" w:hAnsi="Times New Roman"/>
          <w:b w:val="0"/>
          <w:bCs w:val="0"/>
          <w:i w:val="0"/>
          <w:iCs w:val="0"/>
          <w:sz w:val="24"/>
          <w:szCs w:val="24"/>
        </w:rPr>
        <w:t>2021</w:t>
      </w:r>
      <w:proofErr w:type="gramEnd"/>
      <w:r w:rsidRPr="005217D5">
        <w:rPr>
          <w:rStyle w:val="markedcontent"/>
          <w:rFonts w:ascii="Times New Roman" w:hAnsi="Times New Roman"/>
          <w:b w:val="0"/>
          <w:bCs w:val="0"/>
          <w:i w:val="0"/>
          <w:iCs w:val="0"/>
          <w:sz w:val="24"/>
          <w:szCs w:val="24"/>
        </w:rPr>
        <w:t xml:space="preserve"> article: “</w:t>
      </w:r>
      <w:r w:rsidRPr="005217D5">
        <w:rPr>
          <w:rFonts w:ascii="Times New Roman" w:hAnsi="Times New Roman"/>
          <w:b w:val="0"/>
          <w:bCs w:val="0"/>
          <w:i w:val="0"/>
          <w:iCs w:val="0"/>
          <w:sz w:val="24"/>
          <w:szCs w:val="24"/>
        </w:rPr>
        <w:t xml:space="preserve">Wilmington firefighters union wins Chancery Court appeal in battle over shift change.” </w:t>
      </w:r>
      <w:hyperlink r:id="rId2893" w:history="1">
        <w:r w:rsidRPr="005217D5">
          <w:rPr>
            <w:rStyle w:val="Hyperlink"/>
            <w:rFonts w:ascii="Times New Roman" w:hAnsi="Times New Roman"/>
            <w:b w:val="0"/>
            <w:bCs w:val="0"/>
            <w:i w:val="0"/>
            <w:iCs w:val="0"/>
            <w:sz w:val="24"/>
            <w:szCs w:val="24"/>
          </w:rPr>
          <w:t>https://www.dailydispatch.com/StateNews/DE/2021/July/02/Wilmington.firefighters.union.wins.Chancery.Court.appeal.in.battle.over.shift.change.aspx</w:t>
        </w:r>
      </w:hyperlink>
      <w:r w:rsidRPr="005217D5">
        <w:rPr>
          <w:rFonts w:ascii="Times New Roman" w:hAnsi="Times New Roman"/>
          <w:b w:val="0"/>
          <w:bCs w:val="0"/>
          <w:i w:val="0"/>
          <w:iCs w:val="0"/>
          <w:sz w:val="24"/>
          <w:szCs w:val="24"/>
        </w:rPr>
        <w:t xml:space="preserve"> </w:t>
      </w:r>
    </w:p>
    <w:p w14:paraId="40CB935F" w14:textId="77777777" w:rsidR="005217D5" w:rsidRPr="005217D5" w:rsidRDefault="005217D5" w:rsidP="005217D5">
      <w:pPr>
        <w:pStyle w:val="NoSpacing"/>
        <w:ind w:left="720"/>
        <w:rPr>
          <w:rFonts w:ascii="Times New Roman" w:hAnsi="Times New Roman"/>
          <w:sz w:val="24"/>
          <w:szCs w:val="24"/>
        </w:rPr>
      </w:pPr>
    </w:p>
    <w:p w14:paraId="0F2C13C1" w14:textId="77777777" w:rsidR="005217D5" w:rsidRPr="005217D5" w:rsidRDefault="005217D5" w:rsidP="00F326E5">
      <w:pPr>
        <w:pStyle w:val="NoSpacing"/>
        <w:rPr>
          <w:rFonts w:ascii="Times New Roman" w:hAnsi="Times New Roman"/>
          <w:sz w:val="24"/>
          <w:szCs w:val="24"/>
        </w:rPr>
      </w:pPr>
    </w:p>
    <w:p w14:paraId="28341132" w14:textId="24F2BC3C" w:rsidR="00407100" w:rsidRDefault="007B49E7" w:rsidP="00F326E5">
      <w:pPr>
        <w:pStyle w:val="NoSpacing"/>
        <w:rPr>
          <w:rFonts w:ascii="Arial Black" w:hAnsi="Arial Black"/>
          <w:sz w:val="24"/>
          <w:szCs w:val="24"/>
        </w:rPr>
      </w:pPr>
      <w:r>
        <w:rPr>
          <w:rFonts w:ascii="Arial Black" w:hAnsi="Arial Black"/>
          <w:sz w:val="24"/>
          <w:szCs w:val="24"/>
        </w:rPr>
        <w:t>17-7</w:t>
      </w:r>
    </w:p>
    <w:p w14:paraId="162A1E60" w14:textId="68DC14DA" w:rsidR="007B49E7" w:rsidRDefault="007B49E7" w:rsidP="00F326E5">
      <w:pPr>
        <w:pStyle w:val="NoSpacing"/>
        <w:rPr>
          <w:rFonts w:ascii="Arial Black" w:hAnsi="Arial Black"/>
          <w:sz w:val="24"/>
          <w:szCs w:val="24"/>
        </w:rPr>
      </w:pPr>
    </w:p>
    <w:p w14:paraId="78F363C8" w14:textId="119764C9" w:rsidR="007B49E7" w:rsidRDefault="007B49E7" w:rsidP="007B49E7">
      <w:pPr>
        <w:rPr>
          <w:rFonts w:ascii="Arial Black" w:hAnsi="Arial Black"/>
          <w:sz w:val="28"/>
          <w:szCs w:val="28"/>
        </w:rPr>
      </w:pPr>
      <w:r>
        <w:rPr>
          <w:rFonts w:ascii="Arial Black" w:hAnsi="Arial Black"/>
          <w:sz w:val="28"/>
          <w:szCs w:val="28"/>
        </w:rPr>
        <w:t>IL: MASTERBATING FF - PUBLIC AREA OUTSIDE FIRE STATION – ARBITRATOR REVERSED - TERMINATION UPHELD</w:t>
      </w:r>
    </w:p>
    <w:p w14:paraId="2C47EBAA" w14:textId="77777777" w:rsidR="007B49E7" w:rsidRDefault="007B49E7" w:rsidP="007B49E7">
      <w:pPr>
        <w:rPr>
          <w:rFonts w:ascii="Times New Roman" w:hAnsi="Times New Roman"/>
          <w:sz w:val="24"/>
          <w:szCs w:val="24"/>
        </w:rPr>
      </w:pPr>
      <w:r>
        <w:rPr>
          <w:rFonts w:ascii="Times New Roman" w:hAnsi="Times New Roman"/>
          <w:sz w:val="24"/>
          <w:szCs w:val="24"/>
        </w:rPr>
        <w:t xml:space="preserve">On Oct. 2, 2020, in </w:t>
      </w:r>
      <w:r w:rsidRPr="00E3069C">
        <w:rPr>
          <w:rFonts w:ascii="Times New Roman" w:hAnsi="Times New Roman"/>
          <w:sz w:val="24"/>
          <w:szCs w:val="24"/>
          <w:u w:val="single"/>
        </w:rPr>
        <w:t>City of Chicago v. Chicago Fire Fighters Union, Local No. 2, and James Gray</w:t>
      </w:r>
      <w:r>
        <w:rPr>
          <w:rFonts w:ascii="Times New Roman" w:hAnsi="Times New Roman"/>
          <w:sz w:val="24"/>
          <w:szCs w:val="24"/>
        </w:rPr>
        <w:t xml:space="preserve">, Judge Celia Gamrath, Circuit Court of Cook County, Illinois (Chancery Division), granted the City’s motion to vacate the Arbitrator’s decision to reinstate the firefighter.  </w:t>
      </w:r>
    </w:p>
    <w:p w14:paraId="5E28A3E9" w14:textId="77777777" w:rsidR="007B49E7" w:rsidRDefault="007B49E7" w:rsidP="007B49E7">
      <w:pPr>
        <w:ind w:left="720"/>
        <w:rPr>
          <w:bCs/>
        </w:rPr>
      </w:pPr>
      <w:r>
        <w:rPr>
          <w:rFonts w:ascii="Times New Roman" w:hAnsi="Times New Roman"/>
          <w:sz w:val="24"/>
          <w:szCs w:val="24"/>
        </w:rPr>
        <w:t>“</w:t>
      </w:r>
      <w:r w:rsidRPr="00E3069C">
        <w:rPr>
          <w:rFonts w:ascii="Times New Roman" w:hAnsi="Times New Roman"/>
          <w:sz w:val="24"/>
          <w:szCs w:val="24"/>
        </w:rPr>
        <w:t xml:space="preserve">Ultimately, this Court is charged with determining whether (1) there is a public policy against sexual harassment in the workplace, and (2) whether </w:t>
      </w:r>
      <w:r>
        <w:rPr>
          <w:rFonts w:ascii="Times New Roman" w:hAnsi="Times New Roman"/>
          <w:sz w:val="24"/>
          <w:szCs w:val="24"/>
        </w:rPr>
        <w:t xml:space="preserve">[Arbitrator] </w:t>
      </w:r>
      <w:proofErr w:type="spellStart"/>
      <w:r w:rsidRPr="00E3069C">
        <w:rPr>
          <w:rFonts w:ascii="Times New Roman" w:hAnsi="Times New Roman"/>
          <w:sz w:val="24"/>
          <w:szCs w:val="24"/>
        </w:rPr>
        <w:t>Roumell's</w:t>
      </w:r>
      <w:proofErr w:type="spellEnd"/>
      <w:r w:rsidRPr="00E3069C">
        <w:rPr>
          <w:rFonts w:ascii="Times New Roman" w:hAnsi="Times New Roman"/>
          <w:sz w:val="24"/>
          <w:szCs w:val="24"/>
        </w:rPr>
        <w:t xml:space="preserve"> Award and Supplemental Award violated said public policy by mandating the reinstatement of an employee who, by the arbitrator's o\ m findings, engaged in viewing pornography, exposed himself, and masturbated while at work, capable of being seen by passersby.</w:t>
      </w:r>
      <w:r>
        <w:rPr>
          <w:rFonts w:ascii="Times New Roman" w:hAnsi="Times New Roman"/>
          <w:sz w:val="24"/>
          <w:szCs w:val="24"/>
        </w:rPr>
        <w:t xml:space="preserve"> </w:t>
      </w:r>
      <w:r w:rsidRPr="00E3069C">
        <w:rPr>
          <w:rFonts w:ascii="Times New Roman" w:hAnsi="Times New Roman"/>
          <w:sz w:val="24"/>
          <w:szCs w:val="24"/>
        </w:rPr>
        <w:t xml:space="preserve">Despite </w:t>
      </w:r>
      <w:proofErr w:type="spellStart"/>
      <w:r w:rsidRPr="00E3069C">
        <w:rPr>
          <w:rFonts w:ascii="Times New Roman" w:hAnsi="Times New Roman"/>
          <w:sz w:val="24"/>
          <w:szCs w:val="24"/>
        </w:rPr>
        <w:t>Roumell's</w:t>
      </w:r>
      <w:proofErr w:type="spellEnd"/>
      <w:r w:rsidRPr="00E3069C">
        <w:rPr>
          <w:rFonts w:ascii="Times New Roman" w:hAnsi="Times New Roman"/>
          <w:sz w:val="24"/>
          <w:szCs w:val="24"/>
        </w:rPr>
        <w:t xml:space="preserve"> reliance on the Dr. O'Grady letter as demonstrative of the unlikelihood that Gray would repeat this behavior again, the fact of the matter is that Gray's actions, spanning years, were acts of sexual harassment that alienated his coworkers and created a hostile work environment. The arbitrator's decision to essentially impose no discipline and to reinstate Gray with full seniority is incongruous with the dominant public policy against sexual harassment in the workp</w:t>
      </w:r>
      <w:r>
        <w:rPr>
          <w:rFonts w:ascii="Times New Roman" w:hAnsi="Times New Roman"/>
          <w:sz w:val="24"/>
          <w:szCs w:val="24"/>
        </w:rPr>
        <w:t>l</w:t>
      </w:r>
      <w:r w:rsidRPr="00E3069C">
        <w:rPr>
          <w:rFonts w:ascii="Times New Roman" w:hAnsi="Times New Roman"/>
          <w:sz w:val="24"/>
          <w:szCs w:val="24"/>
        </w:rPr>
        <w:t>ace. It also has the impermissible effect of eviscerating the City's ability to take appropriate actions to enforce this clear and dominant public policy and prevent and discourage future acts of harassment.</w:t>
      </w:r>
      <w:r>
        <w:rPr>
          <w:rFonts w:ascii="Times New Roman" w:hAnsi="Times New Roman"/>
          <w:sz w:val="24"/>
          <w:szCs w:val="24"/>
        </w:rPr>
        <w:t xml:space="preserve">” </w:t>
      </w:r>
    </w:p>
    <w:p w14:paraId="5825029A" w14:textId="77777777" w:rsidR="007B49E7" w:rsidRPr="004267A1" w:rsidRDefault="007B49E7" w:rsidP="007B49E7">
      <w:pPr>
        <w:pStyle w:val="NormalWeb"/>
        <w:jc w:val="center"/>
        <w:rPr>
          <w:bCs/>
        </w:rPr>
      </w:pPr>
      <w:hyperlink r:id="rId2894" w:history="1">
        <w:r w:rsidRPr="00E10E69">
          <w:rPr>
            <w:rStyle w:val="Hyperlink"/>
            <w:bCs/>
          </w:rPr>
          <w:t>file:///C:/Users/lawre/AppData/Local/Temp/%7BC42BFBAC-7840-4BDD-BFF7-18D383BA9C81%7D/19%20CH%2012662%20City%20of%20Chicago%20v.%20Chicago%20Fire%20Fighters%20Union%20Final%20Order%20(12.2.20).pdf</w:t>
        </w:r>
      </w:hyperlink>
      <w:r w:rsidRPr="004267A1">
        <w:rPr>
          <w:bCs/>
        </w:rPr>
        <w:t xml:space="preserve"> </w:t>
      </w:r>
    </w:p>
    <w:p w14:paraId="1EE1A96F" w14:textId="77777777" w:rsidR="007B49E7" w:rsidRPr="00FA5981" w:rsidRDefault="007B49E7" w:rsidP="007B49E7">
      <w:pPr>
        <w:pStyle w:val="NormalWeb"/>
        <w:rPr>
          <w:b/>
        </w:rPr>
      </w:pPr>
      <w:r w:rsidRPr="00FA5981">
        <w:rPr>
          <w:b/>
        </w:rPr>
        <w:lastRenderedPageBreak/>
        <w:t>Legal Lesson Learned:</w:t>
      </w:r>
      <w:r>
        <w:rPr>
          <w:b/>
        </w:rPr>
        <w:t xml:space="preserve"> Report this type of conduct immediately; urge FF to seek help through EAP or other psychological care. </w:t>
      </w:r>
    </w:p>
    <w:p w14:paraId="5E18D013" w14:textId="77777777" w:rsidR="007B49E7" w:rsidRDefault="007B49E7" w:rsidP="00F326E5">
      <w:pPr>
        <w:pStyle w:val="NoSpacing"/>
        <w:rPr>
          <w:rFonts w:ascii="Arial Black" w:hAnsi="Arial Black"/>
          <w:sz w:val="24"/>
          <w:szCs w:val="24"/>
        </w:rPr>
      </w:pPr>
    </w:p>
    <w:p w14:paraId="2A4EA7CF" w14:textId="77777777" w:rsidR="007B49E7" w:rsidRDefault="007B49E7" w:rsidP="00F326E5">
      <w:pPr>
        <w:pStyle w:val="NoSpacing"/>
        <w:rPr>
          <w:rFonts w:ascii="Arial Black" w:hAnsi="Arial Black"/>
          <w:sz w:val="24"/>
          <w:szCs w:val="24"/>
        </w:rPr>
      </w:pPr>
    </w:p>
    <w:p w14:paraId="5E1EDF12" w14:textId="77777777" w:rsidR="007B49E7" w:rsidRDefault="007B49E7" w:rsidP="00F326E5">
      <w:pPr>
        <w:pStyle w:val="NoSpacing"/>
        <w:rPr>
          <w:rFonts w:ascii="Arial Black" w:hAnsi="Arial Black"/>
          <w:sz w:val="24"/>
          <w:szCs w:val="24"/>
        </w:rPr>
      </w:pPr>
    </w:p>
    <w:p w14:paraId="70AF7EB3" w14:textId="26888339" w:rsidR="00B532F6" w:rsidRDefault="00B532F6" w:rsidP="00F326E5">
      <w:pPr>
        <w:pStyle w:val="NoSpacing"/>
        <w:rPr>
          <w:rFonts w:ascii="Arial Black" w:hAnsi="Arial Black"/>
          <w:sz w:val="24"/>
          <w:szCs w:val="24"/>
        </w:rPr>
      </w:pPr>
      <w:r>
        <w:rPr>
          <w:rFonts w:ascii="Arial Black" w:hAnsi="Arial Black"/>
          <w:sz w:val="24"/>
          <w:szCs w:val="24"/>
        </w:rPr>
        <w:t>17-6</w:t>
      </w:r>
    </w:p>
    <w:p w14:paraId="5E639729" w14:textId="2DAAEE6A" w:rsidR="00B532F6" w:rsidRDefault="00B532F6" w:rsidP="00F326E5">
      <w:pPr>
        <w:pStyle w:val="NoSpacing"/>
        <w:rPr>
          <w:rFonts w:ascii="Arial Black" w:hAnsi="Arial Black"/>
          <w:sz w:val="24"/>
          <w:szCs w:val="24"/>
        </w:rPr>
      </w:pPr>
    </w:p>
    <w:p w14:paraId="56E7774E" w14:textId="77777777" w:rsidR="00B532F6" w:rsidRPr="006E50D9" w:rsidRDefault="00B532F6" w:rsidP="00B532F6">
      <w:pPr>
        <w:rPr>
          <w:rFonts w:ascii="Arial Black" w:hAnsi="Arial Black"/>
          <w:sz w:val="28"/>
          <w:szCs w:val="28"/>
        </w:rPr>
      </w:pPr>
      <w:r w:rsidRPr="006E50D9">
        <w:rPr>
          <w:rFonts w:ascii="Arial Black" w:hAnsi="Arial Black"/>
          <w:sz w:val="28"/>
          <w:szCs w:val="28"/>
        </w:rPr>
        <w:t>OR: $25M BUDGET SHORTFALL – UNION PRES. AGREED TO STAFFING, CHANGES - 26 FF JOBS SAVED – UNFAIR LABOR CHARGE DISMISSED</w:t>
      </w:r>
    </w:p>
    <w:p w14:paraId="08D8D43D" w14:textId="77777777" w:rsidR="00B532F6" w:rsidRPr="000B00E6" w:rsidRDefault="00B532F6" w:rsidP="00B532F6">
      <w:pPr>
        <w:pStyle w:val="NoSpacing"/>
        <w:rPr>
          <w:rFonts w:ascii="Times New Roman" w:hAnsi="Times New Roman"/>
          <w:sz w:val="24"/>
          <w:szCs w:val="24"/>
        </w:rPr>
      </w:pPr>
      <w:r>
        <w:rPr>
          <w:rFonts w:ascii="Times New Roman" w:hAnsi="Times New Roman"/>
          <w:sz w:val="24"/>
          <w:szCs w:val="24"/>
        </w:rPr>
        <w:t xml:space="preserve">On Sept. 24, 2020, in </w:t>
      </w:r>
      <w:r w:rsidRPr="00323A71">
        <w:rPr>
          <w:rFonts w:ascii="Times New Roman" w:hAnsi="Times New Roman"/>
          <w:sz w:val="24"/>
          <w:szCs w:val="24"/>
          <w:u w:val="single"/>
        </w:rPr>
        <w:t>Portland Fire Firefighters’ Association, IAFF Local 43 v. City of Portland</w:t>
      </w:r>
      <w:r>
        <w:rPr>
          <w:rFonts w:ascii="Times New Roman" w:hAnsi="Times New Roman"/>
          <w:sz w:val="24"/>
          <w:szCs w:val="24"/>
        </w:rPr>
        <w:t xml:space="preserve">, the Employment Relations Board of the State of Oregon, held that union is bound by its agreement not to file contest to budget cuts and eliminating Dive Team, transferring Safety Chief and Chief Investigator to management positions, and other management changes. </w:t>
      </w:r>
      <w:r w:rsidRPr="000B00E6">
        <w:rPr>
          <w:rFonts w:ascii="Times New Roman" w:hAnsi="Times New Roman"/>
          <w:sz w:val="24"/>
          <w:szCs w:val="24"/>
        </w:rPr>
        <w:t xml:space="preserve">The </w:t>
      </w:r>
      <w:r>
        <w:rPr>
          <w:rFonts w:ascii="Times New Roman" w:hAnsi="Times New Roman"/>
          <w:sz w:val="24"/>
          <w:szCs w:val="24"/>
        </w:rPr>
        <w:t xml:space="preserve">FD </w:t>
      </w:r>
      <w:r w:rsidRPr="000B00E6">
        <w:rPr>
          <w:rFonts w:ascii="Times New Roman" w:hAnsi="Times New Roman"/>
          <w:sz w:val="24"/>
          <w:szCs w:val="24"/>
        </w:rPr>
        <w:t xml:space="preserve">developed its proposed budget through a budgetary advisory committee (BAC). The Union's president, </w:t>
      </w:r>
      <w:r>
        <w:rPr>
          <w:rFonts w:ascii="Times New Roman" w:hAnsi="Times New Roman"/>
          <w:sz w:val="24"/>
          <w:szCs w:val="24"/>
        </w:rPr>
        <w:t xml:space="preserve">Alan </w:t>
      </w:r>
      <w:r w:rsidRPr="000B00E6">
        <w:rPr>
          <w:rFonts w:ascii="Times New Roman" w:hAnsi="Times New Roman"/>
          <w:sz w:val="24"/>
          <w:szCs w:val="24"/>
        </w:rPr>
        <w:t>Ferschweiler, served on the BAC.</w:t>
      </w:r>
      <w:r>
        <w:rPr>
          <w:rFonts w:ascii="Times New Roman" w:hAnsi="Times New Roman"/>
          <w:sz w:val="24"/>
          <w:szCs w:val="24"/>
        </w:rPr>
        <w:t xml:space="preserve"> </w:t>
      </w:r>
      <w:r w:rsidRPr="000B00E6">
        <w:rPr>
          <w:rFonts w:ascii="Times New Roman" w:hAnsi="Times New Roman"/>
          <w:sz w:val="24"/>
          <w:szCs w:val="24"/>
        </w:rPr>
        <w:t xml:space="preserve">Between May 9 and approximately May 23, </w:t>
      </w:r>
      <w:proofErr w:type="gramStart"/>
      <w:r>
        <w:rPr>
          <w:rFonts w:ascii="Times New Roman" w:hAnsi="Times New Roman"/>
          <w:sz w:val="24"/>
          <w:szCs w:val="24"/>
        </w:rPr>
        <w:t>2013</w:t>
      </w:r>
      <w:proofErr w:type="gramEnd"/>
      <w:r>
        <w:rPr>
          <w:rFonts w:ascii="Times New Roman" w:hAnsi="Times New Roman"/>
          <w:sz w:val="24"/>
          <w:szCs w:val="24"/>
        </w:rPr>
        <w:t xml:space="preserve"> </w:t>
      </w:r>
      <w:r w:rsidRPr="000B00E6">
        <w:rPr>
          <w:rFonts w:ascii="Times New Roman" w:hAnsi="Times New Roman"/>
          <w:sz w:val="24"/>
          <w:szCs w:val="24"/>
        </w:rPr>
        <w:t>Ferschweiler met three times with Siegel, the mayor's budget liaison, to discuss and negotiate how the Bureau would implement the budget cuts, including consideration of the availability of a federal grant (the SAFER grant) that might fill budget gaps. Fire Chief Janssens attended one of those meetings.</w:t>
      </w:r>
    </w:p>
    <w:p w14:paraId="0152E707" w14:textId="77777777" w:rsidR="00B532F6" w:rsidRDefault="00B532F6" w:rsidP="00B532F6">
      <w:pPr>
        <w:pStyle w:val="NoSpacing"/>
        <w:rPr>
          <w:rFonts w:ascii="Times New Roman" w:hAnsi="Times New Roman"/>
          <w:sz w:val="24"/>
          <w:szCs w:val="24"/>
        </w:rPr>
      </w:pPr>
    </w:p>
    <w:p w14:paraId="6475BA3A" w14:textId="77777777" w:rsidR="00B532F6" w:rsidRDefault="00B532F6" w:rsidP="00B532F6">
      <w:pPr>
        <w:pStyle w:val="NoSpacing"/>
        <w:ind w:left="720"/>
        <w:rPr>
          <w:rFonts w:ascii="Times New Roman" w:hAnsi="Times New Roman"/>
          <w:sz w:val="24"/>
          <w:szCs w:val="24"/>
        </w:rPr>
      </w:pPr>
      <w:r>
        <w:rPr>
          <w:rFonts w:ascii="Times New Roman" w:hAnsi="Times New Roman"/>
          <w:sz w:val="24"/>
          <w:szCs w:val="24"/>
        </w:rPr>
        <w:t>“</w:t>
      </w:r>
      <w:r w:rsidRPr="006B1711">
        <w:rPr>
          <w:rFonts w:ascii="Times New Roman" w:hAnsi="Times New Roman"/>
          <w:sz w:val="24"/>
          <w:szCs w:val="24"/>
        </w:rPr>
        <w:t xml:space="preserve">Thus, the City and the Union agreed to the following terms: (1) two double companies would be consolidated into single companies with each station's truck and engine being replaced with a quint; (2) two additional RRVs </w:t>
      </w:r>
      <w:r>
        <w:rPr>
          <w:rFonts w:ascii="Times New Roman" w:hAnsi="Times New Roman"/>
          <w:sz w:val="24"/>
          <w:szCs w:val="24"/>
        </w:rPr>
        <w:t xml:space="preserve">[Rapid Response Vehicles] </w:t>
      </w:r>
      <w:r w:rsidRPr="006B1711">
        <w:rPr>
          <w:rFonts w:ascii="Times New Roman" w:hAnsi="Times New Roman"/>
          <w:sz w:val="24"/>
          <w:szCs w:val="24"/>
        </w:rPr>
        <w:t>would be added (for a total of four); (3) the Union would not oppose or contest these changes; (4) the bargaining unit members would retain their COLA; (5) all stations would be kept open; and (6) the City would apply for the SAFER grant, notwithstanding the mayor's earlier concern that a short-term funding mechanism was merely a "band-aid," with the understanding that receiving the grant would prevent 26 bargaining unit members from being laid off.</w:t>
      </w:r>
    </w:p>
    <w:p w14:paraId="1376363D" w14:textId="77777777" w:rsidR="00B532F6" w:rsidRDefault="00B532F6" w:rsidP="00B532F6">
      <w:pPr>
        <w:pStyle w:val="NoSpacing"/>
        <w:ind w:left="720"/>
        <w:rPr>
          <w:rFonts w:ascii="Times New Roman" w:hAnsi="Times New Roman"/>
          <w:sz w:val="24"/>
          <w:szCs w:val="24"/>
        </w:rPr>
      </w:pPr>
    </w:p>
    <w:p w14:paraId="390B8812" w14:textId="77777777" w:rsidR="00B532F6" w:rsidRDefault="00B532F6" w:rsidP="00B532F6">
      <w:pPr>
        <w:pStyle w:val="NoSpacing"/>
        <w:ind w:left="720"/>
        <w:rPr>
          <w:rFonts w:ascii="Times New Roman" w:hAnsi="Times New Roman"/>
          <w:sz w:val="24"/>
          <w:szCs w:val="24"/>
        </w:rPr>
      </w:pPr>
      <w:r>
        <w:rPr>
          <w:rFonts w:ascii="Times New Roman" w:hAnsi="Times New Roman"/>
          <w:sz w:val="24"/>
          <w:szCs w:val="24"/>
        </w:rPr>
        <w:t>***</w:t>
      </w:r>
    </w:p>
    <w:p w14:paraId="0A6FE013" w14:textId="77777777" w:rsidR="00B532F6" w:rsidRDefault="00B532F6" w:rsidP="00B532F6">
      <w:pPr>
        <w:pStyle w:val="NoSpacing"/>
        <w:ind w:left="720"/>
        <w:rPr>
          <w:rFonts w:ascii="Times New Roman" w:hAnsi="Times New Roman"/>
          <w:sz w:val="24"/>
          <w:szCs w:val="24"/>
        </w:rPr>
      </w:pPr>
    </w:p>
    <w:p w14:paraId="00F401F6" w14:textId="77777777" w:rsidR="00B532F6" w:rsidRDefault="00B532F6" w:rsidP="00B532F6">
      <w:pPr>
        <w:pStyle w:val="NoSpacing"/>
        <w:ind w:left="720"/>
        <w:rPr>
          <w:rFonts w:ascii="Times New Roman" w:hAnsi="Times New Roman"/>
          <w:sz w:val="24"/>
          <w:szCs w:val="24"/>
        </w:rPr>
      </w:pPr>
      <w:r w:rsidRPr="006B1711">
        <w:rPr>
          <w:rFonts w:ascii="Times New Roman" w:hAnsi="Times New Roman"/>
          <w:sz w:val="24"/>
          <w:szCs w:val="24"/>
        </w:rPr>
        <w:t>The Union never requested to bargain about any of the operational changes agreed to above, which are also the subject of this unfair labor practice complaint.</w:t>
      </w:r>
    </w:p>
    <w:p w14:paraId="2BFBF1AA" w14:textId="77777777" w:rsidR="00B532F6" w:rsidRDefault="00B532F6" w:rsidP="00B532F6">
      <w:pPr>
        <w:pStyle w:val="NoSpacing"/>
        <w:ind w:left="720"/>
        <w:rPr>
          <w:rFonts w:ascii="Times New Roman" w:hAnsi="Times New Roman"/>
          <w:sz w:val="24"/>
          <w:szCs w:val="24"/>
        </w:rPr>
      </w:pPr>
    </w:p>
    <w:p w14:paraId="7B72E28B" w14:textId="77777777" w:rsidR="00B532F6" w:rsidRDefault="00B532F6" w:rsidP="00B532F6">
      <w:pPr>
        <w:pStyle w:val="NoSpacing"/>
        <w:ind w:left="720"/>
        <w:rPr>
          <w:rFonts w:ascii="Times New Roman" w:hAnsi="Times New Roman"/>
          <w:sz w:val="24"/>
          <w:szCs w:val="24"/>
        </w:rPr>
      </w:pPr>
      <w:r>
        <w:rPr>
          <w:rFonts w:ascii="Times New Roman" w:hAnsi="Times New Roman"/>
          <w:sz w:val="24"/>
          <w:szCs w:val="24"/>
        </w:rPr>
        <w:t>***</w:t>
      </w:r>
    </w:p>
    <w:p w14:paraId="0169E766" w14:textId="77777777" w:rsidR="00B532F6" w:rsidRDefault="00B532F6" w:rsidP="00B532F6">
      <w:pPr>
        <w:pStyle w:val="NoSpacing"/>
        <w:ind w:left="720"/>
        <w:rPr>
          <w:rFonts w:ascii="Times New Roman" w:hAnsi="Times New Roman"/>
          <w:sz w:val="24"/>
          <w:szCs w:val="24"/>
        </w:rPr>
      </w:pPr>
      <w:r w:rsidRPr="006B1711">
        <w:rPr>
          <w:rFonts w:ascii="Times New Roman" w:hAnsi="Times New Roman"/>
          <w:sz w:val="24"/>
          <w:szCs w:val="24"/>
        </w:rPr>
        <w:t xml:space="preserve">Finally, we disagree with any contention that the Union should prevail on a (1)(e) unilateral change claim where the Union agreed not to contest those unilateral changes. Rather, as set forth above, we conclude that such an express action precludes the filing of </w:t>
      </w:r>
      <w:proofErr w:type="gramStart"/>
      <w:r w:rsidRPr="006B1711">
        <w:rPr>
          <w:rFonts w:ascii="Times New Roman" w:hAnsi="Times New Roman"/>
          <w:sz w:val="24"/>
          <w:szCs w:val="24"/>
        </w:rPr>
        <w:t>a (1)(e)</w:t>
      </w:r>
      <w:proofErr w:type="gramEnd"/>
      <w:r w:rsidRPr="006B1711">
        <w:rPr>
          <w:rFonts w:ascii="Times New Roman" w:hAnsi="Times New Roman"/>
          <w:sz w:val="24"/>
          <w:szCs w:val="24"/>
        </w:rPr>
        <w:t xml:space="preserve"> unilateral change claim. In reaching this conclusion, we reiterate that, unlike other budget discussions, the agreement here included a Union agreement not to contest the specific operational changes that are now the bases for the (1)(e) claim.</w:t>
      </w:r>
      <w:r>
        <w:rPr>
          <w:rFonts w:ascii="Times New Roman" w:hAnsi="Times New Roman"/>
          <w:sz w:val="24"/>
          <w:szCs w:val="24"/>
        </w:rPr>
        <w:t>”</w:t>
      </w:r>
    </w:p>
    <w:p w14:paraId="56DED758" w14:textId="77777777" w:rsidR="00B532F6" w:rsidRPr="00C7458A" w:rsidRDefault="00B532F6" w:rsidP="00B532F6">
      <w:pPr>
        <w:ind w:left="720"/>
        <w:rPr>
          <w:rFonts w:ascii="Times New Roman" w:eastAsia="Times New Roman" w:hAnsi="Times New Roman"/>
          <w:sz w:val="24"/>
          <w:szCs w:val="24"/>
        </w:rPr>
      </w:pPr>
      <w:hyperlink r:id="rId2895" w:history="1">
        <w:r w:rsidRPr="00C7458A">
          <w:rPr>
            <w:rStyle w:val="Hyperlink"/>
            <w:rFonts w:ascii="Times New Roman" w:eastAsia="Times New Roman" w:hAnsi="Times New Roman"/>
            <w:sz w:val="24"/>
            <w:szCs w:val="24"/>
          </w:rPr>
          <w:t>https://public.fastcase.com/Wl%2B2t%2BeVuI35%2FN70vAMFZl7A1gE73iKGMMI%2FPLrMqXgHwn%2FVp9h90PlANd5CkjNU</w:t>
        </w:r>
      </w:hyperlink>
      <w:r w:rsidRPr="00C7458A">
        <w:rPr>
          <w:rFonts w:ascii="Times New Roman" w:eastAsia="Times New Roman" w:hAnsi="Times New Roman"/>
          <w:sz w:val="24"/>
          <w:szCs w:val="24"/>
        </w:rPr>
        <w:t xml:space="preserve"> </w:t>
      </w:r>
    </w:p>
    <w:p w14:paraId="21F2E384" w14:textId="77777777" w:rsidR="00B532F6" w:rsidRPr="006B1711" w:rsidRDefault="00B532F6" w:rsidP="00B532F6">
      <w:pPr>
        <w:rPr>
          <w:rFonts w:ascii="Times New Roman" w:hAnsi="Times New Roman"/>
          <w:b/>
          <w:bCs/>
          <w:sz w:val="24"/>
          <w:szCs w:val="24"/>
        </w:rPr>
      </w:pPr>
      <w:r w:rsidRPr="006B1711">
        <w:rPr>
          <w:rFonts w:ascii="Times New Roman" w:hAnsi="Times New Roman"/>
          <w:b/>
          <w:bCs/>
          <w:sz w:val="24"/>
          <w:szCs w:val="24"/>
        </w:rPr>
        <w:t xml:space="preserve">Legal Lessons Learned: </w:t>
      </w:r>
      <w:r>
        <w:rPr>
          <w:rFonts w:ascii="Times New Roman" w:hAnsi="Times New Roman"/>
          <w:b/>
          <w:bCs/>
          <w:sz w:val="24"/>
          <w:szCs w:val="24"/>
        </w:rPr>
        <w:t xml:space="preserve"> Unfair Labor Practice complaint properly dismissed; Union President was active participant in budget process. </w:t>
      </w:r>
    </w:p>
    <w:p w14:paraId="11892F47" w14:textId="77777777" w:rsidR="00B532F6" w:rsidRDefault="00B532F6" w:rsidP="00F326E5">
      <w:pPr>
        <w:pStyle w:val="NoSpacing"/>
        <w:rPr>
          <w:rFonts w:ascii="Arial Black" w:hAnsi="Arial Black"/>
          <w:sz w:val="24"/>
          <w:szCs w:val="24"/>
        </w:rPr>
      </w:pPr>
    </w:p>
    <w:p w14:paraId="6DC91CF0" w14:textId="77777777" w:rsidR="00B532F6" w:rsidRDefault="00B532F6" w:rsidP="00F326E5">
      <w:pPr>
        <w:pStyle w:val="NoSpacing"/>
        <w:rPr>
          <w:rFonts w:ascii="Arial Black" w:hAnsi="Arial Black"/>
          <w:sz w:val="24"/>
          <w:szCs w:val="24"/>
        </w:rPr>
      </w:pPr>
    </w:p>
    <w:p w14:paraId="692E6A21" w14:textId="179C99E8" w:rsidR="0003275C" w:rsidRDefault="0003275C" w:rsidP="00F326E5">
      <w:pPr>
        <w:pStyle w:val="NoSpacing"/>
        <w:rPr>
          <w:rFonts w:ascii="Arial Black" w:hAnsi="Arial Black"/>
          <w:sz w:val="24"/>
          <w:szCs w:val="24"/>
        </w:rPr>
      </w:pPr>
      <w:r>
        <w:rPr>
          <w:rFonts w:ascii="Arial Black" w:hAnsi="Arial Black"/>
          <w:sz w:val="24"/>
          <w:szCs w:val="24"/>
        </w:rPr>
        <w:t>17-5</w:t>
      </w:r>
    </w:p>
    <w:p w14:paraId="196596E2" w14:textId="695A1246" w:rsidR="0003275C" w:rsidRDefault="0003275C" w:rsidP="00F326E5">
      <w:pPr>
        <w:pStyle w:val="NoSpacing"/>
        <w:rPr>
          <w:rFonts w:ascii="Arial Black" w:hAnsi="Arial Black"/>
          <w:sz w:val="24"/>
          <w:szCs w:val="24"/>
        </w:rPr>
      </w:pPr>
    </w:p>
    <w:p w14:paraId="105DF025" w14:textId="77777777" w:rsidR="0003275C" w:rsidRDefault="0003275C" w:rsidP="0003275C">
      <w:pPr>
        <w:pStyle w:val="NoSpacing"/>
        <w:rPr>
          <w:rFonts w:ascii="Arial Black" w:hAnsi="Arial Black"/>
          <w:sz w:val="28"/>
          <w:szCs w:val="28"/>
        </w:rPr>
      </w:pPr>
      <w:bookmarkStart w:id="634" w:name="_Hlk66950562"/>
      <w:r>
        <w:rPr>
          <w:rFonts w:ascii="Arial Black" w:hAnsi="Arial Black"/>
          <w:sz w:val="28"/>
          <w:szCs w:val="28"/>
        </w:rPr>
        <w:t>NJ</w:t>
      </w:r>
      <w:r w:rsidRPr="002E3EF7">
        <w:rPr>
          <w:rFonts w:ascii="Arial Black" w:hAnsi="Arial Black"/>
          <w:sz w:val="28"/>
          <w:szCs w:val="28"/>
        </w:rPr>
        <w:t xml:space="preserve">: </w:t>
      </w:r>
      <w:r>
        <w:rPr>
          <w:rFonts w:ascii="Arial Black" w:hAnsi="Arial Black"/>
          <w:sz w:val="28"/>
          <w:szCs w:val="28"/>
        </w:rPr>
        <w:t>FD REORGANIZED - 4 NEW LT. POSITIONS – REVERSED ARBITRATOR – NOT ENTITLED TO “ACTING CAPTAIN” PAY</w:t>
      </w:r>
    </w:p>
    <w:p w14:paraId="7ED270C9" w14:textId="77777777" w:rsidR="0003275C" w:rsidRDefault="0003275C" w:rsidP="0003275C">
      <w:pPr>
        <w:pStyle w:val="NoSpacing"/>
        <w:rPr>
          <w:rFonts w:ascii="Times New Roman" w:hAnsi="Times New Roman"/>
          <w:sz w:val="24"/>
          <w:szCs w:val="24"/>
        </w:rPr>
      </w:pPr>
    </w:p>
    <w:p w14:paraId="622679BA" w14:textId="7840484B" w:rsidR="0003275C" w:rsidRDefault="0003275C" w:rsidP="0003275C">
      <w:pPr>
        <w:pStyle w:val="NoSpacing"/>
        <w:rPr>
          <w:rFonts w:ascii="Times New Roman" w:hAnsi="Times New Roman"/>
          <w:sz w:val="24"/>
          <w:szCs w:val="24"/>
        </w:rPr>
      </w:pPr>
      <w:r w:rsidRPr="00002A3F">
        <w:rPr>
          <w:rFonts w:ascii="Times New Roman" w:hAnsi="Times New Roman"/>
          <w:sz w:val="24"/>
          <w:szCs w:val="24"/>
        </w:rPr>
        <w:t xml:space="preserve">On </w:t>
      </w:r>
      <w:r>
        <w:rPr>
          <w:rFonts w:ascii="Times New Roman" w:hAnsi="Times New Roman"/>
          <w:sz w:val="24"/>
          <w:szCs w:val="24"/>
        </w:rPr>
        <w:t xml:space="preserve">June 25, 2020, in </w:t>
      </w:r>
      <w:r w:rsidRPr="00002A3F">
        <w:rPr>
          <w:rFonts w:ascii="Times New Roman" w:hAnsi="Times New Roman"/>
          <w:sz w:val="24"/>
          <w:szCs w:val="24"/>
          <w:u w:val="single"/>
        </w:rPr>
        <w:t>Borough of Carteret v. Firefighters Mutual Benefit Association, Local 67</w:t>
      </w:r>
      <w:r>
        <w:rPr>
          <w:rFonts w:ascii="Times New Roman" w:hAnsi="Times New Roman"/>
          <w:sz w:val="24"/>
          <w:szCs w:val="24"/>
        </w:rPr>
        <w:t xml:space="preserve">,  the Superior Court of New Jersey, Appellate Division held (2 to 0; unpublished decision) that the trial judge improperly upheld the Arbitrator’s award of “acting Captain” back pay to the four Lieutenants.  Under the Collective Bargaining Agreement in effect when the Lieutenants were hired, senior firefighters who filled in for Captains were paid the </w:t>
      </w:r>
      <w:proofErr w:type="gramStart"/>
      <w:r>
        <w:rPr>
          <w:rFonts w:ascii="Times New Roman" w:hAnsi="Times New Roman"/>
          <w:sz w:val="24"/>
          <w:szCs w:val="24"/>
        </w:rPr>
        <w:t>Captains</w:t>
      </w:r>
      <w:proofErr w:type="gramEnd"/>
      <w:r>
        <w:rPr>
          <w:rFonts w:ascii="Times New Roman" w:hAnsi="Times New Roman"/>
          <w:sz w:val="24"/>
          <w:szCs w:val="24"/>
        </w:rPr>
        <w:t xml:space="preserve"> hourly rate.  When the Union filed the Grievance, the four new Lieutenants have been working for the past four years on the Lieutenant’s pay ($1,500 per year above FF pay) and never requested “Acting Captain” pay when fulfilling a Captain’s shift duties. The Court held, “</w:t>
      </w:r>
      <w:r w:rsidRPr="00A362F1">
        <w:rPr>
          <w:rFonts w:ascii="Times New Roman" w:hAnsi="Times New Roman"/>
          <w:sz w:val="24"/>
          <w:szCs w:val="24"/>
        </w:rPr>
        <w:t xml:space="preserve">It is not insignificant the arbitrator rejected the Borough's </w:t>
      </w:r>
      <w:r>
        <w:rPr>
          <w:rFonts w:ascii="Times New Roman" w:hAnsi="Times New Roman"/>
          <w:sz w:val="24"/>
          <w:szCs w:val="24"/>
        </w:rPr>
        <w:t>‘</w:t>
      </w:r>
      <w:r w:rsidRPr="00A362F1">
        <w:rPr>
          <w:rFonts w:ascii="Times New Roman" w:hAnsi="Times New Roman"/>
          <w:sz w:val="24"/>
          <w:szCs w:val="24"/>
        </w:rPr>
        <w:t>past practice</w:t>
      </w:r>
      <w:r>
        <w:rPr>
          <w:rFonts w:ascii="Times New Roman" w:hAnsi="Times New Roman"/>
          <w:sz w:val="24"/>
          <w:szCs w:val="24"/>
        </w:rPr>
        <w:t>’</w:t>
      </w:r>
      <w:r w:rsidRPr="00A362F1">
        <w:rPr>
          <w:rFonts w:ascii="Times New Roman" w:hAnsi="Times New Roman"/>
          <w:sz w:val="24"/>
          <w:szCs w:val="24"/>
        </w:rPr>
        <w:t xml:space="preserve"> argument and gave virtually no consideration to the lieutenants performing their job duties, including acting in the place of a fire captain in his or her absence, for four years without a request for any pay beyond that to </w:t>
      </w:r>
    </w:p>
    <w:p w14:paraId="7918B320" w14:textId="77777777" w:rsidR="0003275C" w:rsidRDefault="0003275C" w:rsidP="0003275C">
      <w:pPr>
        <w:pStyle w:val="NoSpacing"/>
        <w:rPr>
          <w:rFonts w:ascii="Times New Roman" w:eastAsia="Times New Roman" w:hAnsi="Times New Roman"/>
          <w:b/>
          <w:bCs/>
          <w:sz w:val="24"/>
          <w:szCs w:val="24"/>
        </w:rPr>
      </w:pPr>
      <w:r w:rsidRPr="00A362F1">
        <w:rPr>
          <w:rFonts w:ascii="Times New Roman" w:hAnsi="Times New Roman"/>
          <w:sz w:val="24"/>
          <w:szCs w:val="24"/>
        </w:rPr>
        <w:t>which they were entitled</w:t>
      </w:r>
      <w:r>
        <w:rPr>
          <w:rFonts w:ascii="Times New Roman" w:hAnsi="Times New Roman"/>
          <w:sz w:val="24"/>
          <w:szCs w:val="24"/>
        </w:rPr>
        <w:t xml:space="preserve"> </w:t>
      </w:r>
      <w:r w:rsidRPr="00A362F1">
        <w:rPr>
          <w:rFonts w:ascii="Times New Roman" w:hAnsi="Times New Roman"/>
          <w:sz w:val="24"/>
          <w:szCs w:val="24"/>
        </w:rPr>
        <w:t>under</w:t>
      </w:r>
      <w:r>
        <w:rPr>
          <w:rFonts w:ascii="Times New Roman" w:hAnsi="Times New Roman"/>
          <w:sz w:val="24"/>
          <w:szCs w:val="24"/>
        </w:rPr>
        <w:t xml:space="preserve"> </w:t>
      </w:r>
      <w:r w:rsidRPr="00A362F1">
        <w:rPr>
          <w:rFonts w:ascii="Times New Roman" w:hAnsi="Times New Roman"/>
          <w:sz w:val="24"/>
          <w:szCs w:val="24"/>
        </w:rPr>
        <w:t>the Borough's salary ordinance.</w:t>
      </w:r>
      <w:r>
        <w:rPr>
          <w:rFonts w:ascii="Times New Roman" w:hAnsi="Times New Roman"/>
          <w:sz w:val="24"/>
          <w:szCs w:val="24"/>
        </w:rPr>
        <w:t xml:space="preserve">” </w:t>
      </w:r>
      <w:hyperlink r:id="rId2896" w:history="1">
        <w:r w:rsidRPr="006B0F65">
          <w:rPr>
            <w:rStyle w:val="Hyperlink"/>
            <w:rFonts w:ascii="Times New Roman" w:hAnsi="Times New Roman"/>
            <w:sz w:val="24"/>
            <w:szCs w:val="24"/>
          </w:rPr>
          <w:t>https://njcourts.gov/attorneys/assets/opinions/appellate/unpublished/a2277-18.pdf</w:t>
        </w:r>
      </w:hyperlink>
      <w:r>
        <w:rPr>
          <w:rFonts w:ascii="Times New Roman" w:hAnsi="Times New Roman"/>
          <w:sz w:val="24"/>
          <w:szCs w:val="24"/>
        </w:rPr>
        <w:t xml:space="preserve"> </w:t>
      </w:r>
    </w:p>
    <w:p w14:paraId="3F7BEDC8" w14:textId="77777777" w:rsidR="0003275C" w:rsidRDefault="0003275C" w:rsidP="00F326E5">
      <w:pPr>
        <w:pStyle w:val="NoSpacing"/>
        <w:rPr>
          <w:rFonts w:ascii="Arial Black" w:hAnsi="Arial Black"/>
          <w:sz w:val="24"/>
          <w:szCs w:val="24"/>
        </w:rPr>
      </w:pPr>
    </w:p>
    <w:p w14:paraId="49C4AC30" w14:textId="77777777" w:rsidR="0003275C" w:rsidRPr="00BF19C3" w:rsidRDefault="0003275C" w:rsidP="0003275C">
      <w:pPr>
        <w:pStyle w:val="NoSpacing"/>
        <w:tabs>
          <w:tab w:val="left" w:pos="2800"/>
        </w:tabs>
        <w:rPr>
          <w:rFonts w:ascii="Times New Roman" w:hAnsi="Times New Roman"/>
          <w:b/>
          <w:bCs/>
        </w:rPr>
      </w:pPr>
      <w:r w:rsidRPr="00BF19C3">
        <w:rPr>
          <w:rFonts w:ascii="Times New Roman" w:hAnsi="Times New Roman"/>
          <w:b/>
          <w:bCs/>
        </w:rPr>
        <w:t>Legal Lessons Learned</w:t>
      </w:r>
      <w:r>
        <w:rPr>
          <w:rFonts w:ascii="Times New Roman" w:hAnsi="Times New Roman"/>
          <w:b/>
          <w:bCs/>
        </w:rPr>
        <w:t xml:space="preserve">: If FD is reorganizing with new Lieutenant positions, negotiate an amended Collective Bargaining Agreement so that the City, the Union and all personal have a clear agreement on the pay and duties of the new Lieutenants, and whether they are eligible for “Acting Captain” pay. </w:t>
      </w:r>
    </w:p>
    <w:bookmarkEnd w:id="634"/>
    <w:p w14:paraId="06F0F33D" w14:textId="221F4F99" w:rsidR="0003275C" w:rsidRDefault="0003275C" w:rsidP="00F326E5">
      <w:pPr>
        <w:pStyle w:val="NoSpacing"/>
        <w:rPr>
          <w:rFonts w:ascii="Arial Black" w:hAnsi="Arial Black"/>
          <w:sz w:val="24"/>
          <w:szCs w:val="24"/>
        </w:rPr>
      </w:pPr>
    </w:p>
    <w:p w14:paraId="263D6179" w14:textId="1BD11DF9" w:rsidR="0003275C" w:rsidRDefault="0003275C" w:rsidP="00F326E5">
      <w:pPr>
        <w:pStyle w:val="NoSpacing"/>
        <w:rPr>
          <w:rFonts w:ascii="Arial Black" w:hAnsi="Arial Black"/>
          <w:sz w:val="24"/>
          <w:szCs w:val="24"/>
        </w:rPr>
      </w:pPr>
    </w:p>
    <w:p w14:paraId="4077AA15" w14:textId="77777777" w:rsidR="0003275C" w:rsidRDefault="0003275C" w:rsidP="00F326E5">
      <w:pPr>
        <w:pStyle w:val="NoSpacing"/>
        <w:rPr>
          <w:rFonts w:ascii="Arial Black" w:hAnsi="Arial Black"/>
          <w:sz w:val="24"/>
          <w:szCs w:val="24"/>
        </w:rPr>
      </w:pPr>
    </w:p>
    <w:p w14:paraId="43BB32A5" w14:textId="34AA5E50" w:rsidR="00407100" w:rsidRDefault="00407100" w:rsidP="00F326E5">
      <w:pPr>
        <w:pStyle w:val="NoSpacing"/>
        <w:rPr>
          <w:rFonts w:ascii="Arial Black" w:hAnsi="Arial Black"/>
          <w:sz w:val="24"/>
          <w:szCs w:val="24"/>
        </w:rPr>
      </w:pPr>
      <w:bookmarkStart w:id="635" w:name="_Hlk66950624"/>
      <w:r>
        <w:rPr>
          <w:rFonts w:ascii="Arial Black" w:hAnsi="Arial Black"/>
          <w:sz w:val="24"/>
          <w:szCs w:val="24"/>
        </w:rPr>
        <w:t>17-4</w:t>
      </w:r>
    </w:p>
    <w:p w14:paraId="5171C576" w14:textId="77777777" w:rsidR="00407100" w:rsidRPr="00714787" w:rsidRDefault="00407100" w:rsidP="00407100">
      <w:pPr>
        <w:pStyle w:val="NormalWeb"/>
        <w:rPr>
          <w:rFonts w:ascii="Arial Black" w:hAnsi="Arial Black" w:cs="Arial"/>
          <w:sz w:val="28"/>
          <w:szCs w:val="28"/>
        </w:rPr>
      </w:pPr>
      <w:bookmarkStart w:id="636" w:name="_Hlk39773193"/>
      <w:r w:rsidRPr="00714787">
        <w:rPr>
          <w:rFonts w:ascii="Arial Black" w:hAnsi="Arial Black" w:cs="Arial"/>
          <w:sz w:val="28"/>
          <w:szCs w:val="28"/>
        </w:rPr>
        <w:t xml:space="preserve">TX: </w:t>
      </w:r>
      <w:r>
        <w:rPr>
          <w:rFonts w:ascii="Arial Black" w:hAnsi="Arial Black" w:cs="Arial"/>
          <w:sz w:val="28"/>
          <w:szCs w:val="28"/>
        </w:rPr>
        <w:t xml:space="preserve">HOUSTON FD – 3 FFs FAILED PARAMEDIC SCHOOL – FIRED, NO ADMIN APPEAL - ARBITRATOR ORDERS RE-HIRED </w:t>
      </w:r>
    </w:p>
    <w:p w14:paraId="67D89F3B" w14:textId="7CD72420" w:rsidR="00407100" w:rsidRDefault="00407100" w:rsidP="00407100">
      <w:pPr>
        <w:pStyle w:val="NormalWeb"/>
      </w:pPr>
      <w:r w:rsidRPr="007D12E1">
        <w:t xml:space="preserve">On </w:t>
      </w:r>
      <w:bookmarkStart w:id="637" w:name="_Hlk39860160"/>
      <w:r>
        <w:t xml:space="preserve">March 31, 2020, in </w:t>
      </w:r>
      <w:r w:rsidRPr="007D12E1">
        <w:rPr>
          <w:u w:val="single"/>
        </w:rPr>
        <w:t>City of Houston v. Houston Professional Fire Fighters’ Association, Local 341</w:t>
      </w:r>
      <w:bookmarkEnd w:id="637"/>
      <w:r>
        <w:t>, the Texas Fourteenth Court of Appeals held (3 to 0) that the trial court properly upheld the Arbitrator’s decision.  The grievance was filed after the FD in 2014 for the first time fired three permanent, non-probationary firefighters without an administrative appeal “f</w:t>
      </w:r>
      <w:r w:rsidRPr="007D12E1">
        <w:t>or failure to achieve paramedic certification.</w:t>
      </w:r>
      <w:r>
        <w:t xml:space="preserve">”  The arbitrator held that the grievance was filed timely, that the FD changed </w:t>
      </w:r>
      <w:proofErr w:type="gramStart"/>
      <w:r>
        <w:t>a working condition</w:t>
      </w:r>
      <w:proofErr w:type="gramEnd"/>
      <w:r>
        <w:t xml:space="preserve"> in breach of the CBA, and the appropriate remedy was reinstatement </w:t>
      </w:r>
      <w:proofErr w:type="gramStart"/>
      <w:r>
        <w:t>of</w:t>
      </w:r>
      <w:proofErr w:type="gramEnd"/>
      <w:r>
        <w:t xml:space="preserve"> three firefighters. </w:t>
      </w:r>
    </w:p>
    <w:bookmarkEnd w:id="635"/>
    <w:p w14:paraId="352B192E" w14:textId="5BC830B3" w:rsidR="00407100" w:rsidRDefault="00407100" w:rsidP="00407100">
      <w:pPr>
        <w:pStyle w:val="NoSpacing"/>
        <w:ind w:left="720"/>
        <w:rPr>
          <w:rStyle w:val="Hyperlink"/>
          <w:rFonts w:ascii="Times New Roman" w:hAnsi="Times New Roman"/>
          <w:sz w:val="24"/>
          <w:szCs w:val="24"/>
        </w:rPr>
      </w:pPr>
      <w:r w:rsidRPr="00407100">
        <w:rPr>
          <w:rFonts w:ascii="Times New Roman" w:hAnsi="Times New Roman"/>
          <w:sz w:val="24"/>
          <w:szCs w:val="24"/>
        </w:rPr>
        <w:t xml:space="preserve">“The City asserts the arbitrator had no jurisdiction to order reinstatement of the terminated employees because the CBA did not specifically grant the arbitrator the authority to reinstate…. Texas courts likewise have reached the conclusion that ‘an arbitrator has broad discretion in fashioning an appropriate remedy.’ Forest Oil Corp. v. El </w:t>
      </w:r>
      <w:proofErr w:type="spellStart"/>
      <w:r w:rsidRPr="00407100">
        <w:rPr>
          <w:rFonts w:ascii="Times New Roman" w:hAnsi="Times New Roman"/>
          <w:sz w:val="24"/>
          <w:szCs w:val="24"/>
        </w:rPr>
        <w:t>Rucio</w:t>
      </w:r>
      <w:proofErr w:type="spellEnd"/>
      <w:r w:rsidRPr="00407100">
        <w:rPr>
          <w:rFonts w:ascii="Times New Roman" w:hAnsi="Times New Roman"/>
          <w:sz w:val="24"/>
          <w:szCs w:val="24"/>
        </w:rPr>
        <w:t xml:space="preserve"> Land &amp; Cattle Co., Inc., 446 S.W.3d 58, 82 (Tex. App.—Houston [1st Dist.] 2014), aff’d,518 S.W.3d 422 (Tex. 2017); see </w:t>
      </w:r>
      <w:proofErr w:type="spellStart"/>
      <w:r w:rsidRPr="00407100">
        <w:rPr>
          <w:rFonts w:ascii="Times New Roman" w:hAnsi="Times New Roman"/>
          <w:sz w:val="24"/>
          <w:szCs w:val="24"/>
        </w:rPr>
        <w:t>Daniewicz</w:t>
      </w:r>
      <w:proofErr w:type="spellEnd"/>
      <w:r w:rsidRPr="00407100">
        <w:rPr>
          <w:rFonts w:ascii="Times New Roman" w:hAnsi="Times New Roman"/>
          <w:sz w:val="24"/>
          <w:szCs w:val="24"/>
        </w:rPr>
        <w:t xml:space="preserve"> v. </w:t>
      </w:r>
      <w:proofErr w:type="spellStart"/>
      <w:r w:rsidRPr="00407100">
        <w:rPr>
          <w:rFonts w:ascii="Times New Roman" w:hAnsi="Times New Roman"/>
          <w:sz w:val="24"/>
          <w:szCs w:val="24"/>
        </w:rPr>
        <w:t>Thermo</w:t>
      </w:r>
      <w:proofErr w:type="spellEnd"/>
      <w:r w:rsidRPr="00407100">
        <w:rPr>
          <w:rFonts w:ascii="Times New Roman" w:hAnsi="Times New Roman"/>
          <w:sz w:val="24"/>
          <w:szCs w:val="24"/>
        </w:rPr>
        <w:t xml:space="preserve"> Instrument Sys., Inc., 992 S.W.2d 713, 718 (Tex. App.—Austin 1999, pet. denied</w:t>
      </w:r>
      <w:proofErr w:type="gramStart"/>
      <w:r w:rsidRPr="00407100">
        <w:rPr>
          <w:rFonts w:ascii="Times New Roman" w:hAnsi="Times New Roman"/>
          <w:sz w:val="24"/>
          <w:szCs w:val="24"/>
        </w:rPr>
        <w:t>)(‘</w:t>
      </w:r>
      <w:proofErr w:type="gramEnd"/>
      <w:r w:rsidRPr="00407100">
        <w:rPr>
          <w:rFonts w:ascii="Times New Roman" w:hAnsi="Times New Roman"/>
          <w:sz w:val="24"/>
          <w:szCs w:val="24"/>
        </w:rPr>
        <w:t>[A]</w:t>
      </w:r>
      <w:proofErr w:type="spellStart"/>
      <w:r w:rsidRPr="00407100">
        <w:rPr>
          <w:rFonts w:ascii="Times New Roman" w:hAnsi="Times New Roman"/>
          <w:sz w:val="24"/>
          <w:szCs w:val="24"/>
        </w:rPr>
        <w:t>rbitrators</w:t>
      </w:r>
      <w:proofErr w:type="spellEnd"/>
      <w:r w:rsidRPr="00407100">
        <w:rPr>
          <w:rFonts w:ascii="Times New Roman" w:hAnsi="Times New Roman"/>
          <w:sz w:val="24"/>
          <w:szCs w:val="24"/>
        </w:rPr>
        <w:t xml:space="preserve"> have traditionally enjoyed broad leeway to fashion remedies.’). In the CBA, the parties do not prohibit reinstatement as a remedy. The common-law grounds for vacating an arbitration award are exceedingly narrow and do not include an arbitrator’s error in applying the law. See Jefferson </w:t>
      </w:r>
      <w:proofErr w:type="spellStart"/>
      <w:r w:rsidRPr="00407100">
        <w:rPr>
          <w:rFonts w:ascii="Times New Roman" w:hAnsi="Times New Roman"/>
          <w:sz w:val="24"/>
          <w:szCs w:val="24"/>
        </w:rPr>
        <w:t>Cty</w:t>
      </w:r>
      <w:proofErr w:type="spellEnd"/>
      <w:r w:rsidRPr="00407100">
        <w:rPr>
          <w:rFonts w:ascii="Times New Roman" w:hAnsi="Times New Roman"/>
          <w:sz w:val="24"/>
          <w:szCs w:val="24"/>
        </w:rPr>
        <w:t xml:space="preserve">., 546 S.W.3d at 674.We conclude that the arbitrator did not exceed her authority in ordering reinstatement of the terminated employees.” </w:t>
      </w:r>
      <w:bookmarkStart w:id="638" w:name="_Hlk39860179"/>
      <w:bookmarkStart w:id="639" w:name="_Hlk66950656"/>
      <w:r w:rsidR="00B0089C">
        <w:fldChar w:fldCharType="begin"/>
      </w:r>
      <w:r w:rsidR="00B0089C">
        <w:instrText xml:space="preserve"> HYPERLINK "http://www.search.txcourts.gov/SearchMedia.aspx?MediaVersionID=626f97ca-ee1f-49a9-84b9-cd95d90130e2&amp;MediaID=cb138ca2-8cd7-449e-b059-6b73f43cbe76&amp;coa=%22%20+%20this.CurrentWebState.CurrentCourt%20+%20@%22&amp;DT=Opinion" </w:instrText>
      </w:r>
      <w:r w:rsidR="00B0089C">
        <w:fldChar w:fldCharType="separate"/>
      </w:r>
      <w:r w:rsidRPr="00407100">
        <w:rPr>
          <w:rStyle w:val="Hyperlink"/>
          <w:rFonts w:ascii="Times New Roman" w:hAnsi="Times New Roman"/>
          <w:sz w:val="24"/>
          <w:szCs w:val="24"/>
        </w:rPr>
        <w:t>http://www.search.txcourts.gov/SearchMedia.aspx?MediaVersionID=626f97ca-ee1f-49a9-84b9-</w:t>
      </w:r>
      <w:r w:rsidRPr="00407100">
        <w:rPr>
          <w:rStyle w:val="Hyperlink"/>
          <w:rFonts w:ascii="Times New Roman" w:hAnsi="Times New Roman"/>
          <w:sz w:val="24"/>
          <w:szCs w:val="24"/>
        </w:rPr>
        <w:lastRenderedPageBreak/>
        <w:t>cd95d90130e2&amp;MediaID=cb138ca2-8cd7-449e-b059-6b73f43cbe76&amp;coa=%22%20+%20this.CurrentWebState.CurrentCourt%20+%20@%22&amp;DT=Opinion</w:t>
      </w:r>
      <w:r w:rsidR="00B0089C">
        <w:rPr>
          <w:rStyle w:val="Hyperlink"/>
          <w:rFonts w:ascii="Times New Roman" w:hAnsi="Times New Roman"/>
          <w:sz w:val="24"/>
          <w:szCs w:val="24"/>
        </w:rPr>
        <w:fldChar w:fldCharType="end"/>
      </w:r>
    </w:p>
    <w:bookmarkEnd w:id="636"/>
    <w:p w14:paraId="2A013931" w14:textId="0BFBD170" w:rsidR="00407100" w:rsidRDefault="00407100" w:rsidP="00407100">
      <w:pPr>
        <w:pStyle w:val="NoSpacing"/>
        <w:ind w:left="720"/>
        <w:rPr>
          <w:rStyle w:val="Hyperlink"/>
          <w:rFonts w:ascii="Times New Roman" w:hAnsi="Times New Roman"/>
          <w:sz w:val="24"/>
          <w:szCs w:val="24"/>
        </w:rPr>
      </w:pPr>
    </w:p>
    <w:p w14:paraId="1868A896" w14:textId="77777777" w:rsidR="00407100" w:rsidRPr="00EE7DDA" w:rsidRDefault="00407100" w:rsidP="00407100">
      <w:pPr>
        <w:pStyle w:val="NoSpacing"/>
        <w:rPr>
          <w:rFonts w:ascii="Times New Roman" w:hAnsi="Times New Roman"/>
          <w:b/>
          <w:bCs/>
          <w:sz w:val="24"/>
          <w:szCs w:val="24"/>
        </w:rPr>
      </w:pPr>
      <w:bookmarkStart w:id="640" w:name="_Hlk40517172"/>
      <w:bookmarkEnd w:id="638"/>
      <w:r w:rsidRPr="00EE7DDA">
        <w:rPr>
          <w:rFonts w:ascii="Times New Roman" w:hAnsi="Times New Roman"/>
          <w:b/>
          <w:bCs/>
          <w:sz w:val="24"/>
          <w:szCs w:val="24"/>
        </w:rPr>
        <w:t xml:space="preserve">Legal Lessons Learned: Arbitrators have broad authority to determine timeliness of </w:t>
      </w:r>
      <w:proofErr w:type="gramStart"/>
      <w:r w:rsidRPr="00EE7DDA">
        <w:rPr>
          <w:rFonts w:ascii="Times New Roman" w:hAnsi="Times New Roman"/>
          <w:b/>
          <w:bCs/>
          <w:sz w:val="24"/>
          <w:szCs w:val="24"/>
        </w:rPr>
        <w:t>a grievance</w:t>
      </w:r>
      <w:proofErr w:type="gramEnd"/>
      <w:r w:rsidRPr="00EE7DDA">
        <w:rPr>
          <w:rFonts w:ascii="Times New Roman" w:hAnsi="Times New Roman"/>
          <w:b/>
          <w:bCs/>
          <w:sz w:val="24"/>
          <w:szCs w:val="24"/>
        </w:rPr>
        <w:t xml:space="preserve">, and appropriate remedy for breach of CBA. </w:t>
      </w:r>
    </w:p>
    <w:bookmarkEnd w:id="639"/>
    <w:bookmarkEnd w:id="640"/>
    <w:p w14:paraId="569E77D9" w14:textId="77777777" w:rsidR="00407100" w:rsidRPr="00407100" w:rsidRDefault="00407100" w:rsidP="00407100">
      <w:pPr>
        <w:pStyle w:val="NoSpacing"/>
        <w:ind w:left="720"/>
        <w:rPr>
          <w:rFonts w:ascii="Times New Roman" w:hAnsi="Times New Roman"/>
          <w:sz w:val="24"/>
          <w:szCs w:val="24"/>
        </w:rPr>
      </w:pPr>
    </w:p>
    <w:p w14:paraId="2EB103C6" w14:textId="77777777" w:rsidR="00407100" w:rsidRDefault="00407100" w:rsidP="00F326E5">
      <w:pPr>
        <w:pStyle w:val="NoSpacing"/>
        <w:rPr>
          <w:rFonts w:ascii="Arial Black" w:hAnsi="Arial Black"/>
          <w:sz w:val="24"/>
          <w:szCs w:val="24"/>
        </w:rPr>
      </w:pPr>
    </w:p>
    <w:p w14:paraId="72AF88B5" w14:textId="3EFDEE70" w:rsidR="007A1E7A" w:rsidRDefault="007A1E7A" w:rsidP="00F326E5">
      <w:pPr>
        <w:pStyle w:val="NoSpacing"/>
        <w:rPr>
          <w:rFonts w:ascii="Arial Black" w:hAnsi="Arial Black"/>
          <w:sz w:val="24"/>
          <w:szCs w:val="24"/>
        </w:rPr>
      </w:pPr>
      <w:r>
        <w:rPr>
          <w:rFonts w:ascii="Arial Black" w:hAnsi="Arial Black"/>
          <w:sz w:val="24"/>
          <w:szCs w:val="24"/>
        </w:rPr>
        <w:t>17-3</w:t>
      </w:r>
    </w:p>
    <w:p w14:paraId="44BC6CD3" w14:textId="5660370E" w:rsidR="007A1E7A" w:rsidRDefault="007A1E7A" w:rsidP="007A1E7A">
      <w:pPr>
        <w:spacing w:before="100" w:beforeAutospacing="1" w:after="100" w:afterAutospacing="1" w:line="240" w:lineRule="auto"/>
        <w:rPr>
          <w:rFonts w:ascii="Arial Black" w:hAnsi="Arial Black"/>
          <w:sz w:val="28"/>
          <w:szCs w:val="28"/>
        </w:rPr>
      </w:pPr>
      <w:bookmarkStart w:id="641" w:name="_Hlk39773254"/>
      <w:r>
        <w:rPr>
          <w:rFonts w:ascii="Arial Black" w:hAnsi="Arial Black"/>
          <w:sz w:val="28"/>
          <w:szCs w:val="28"/>
        </w:rPr>
        <w:t xml:space="preserve">OH: COLUMBUS FD SOUGHT TO CONVERT NUMEROUS FD JOBS </w:t>
      </w:r>
      <w:r w:rsidR="00407100">
        <w:rPr>
          <w:rFonts w:ascii="Arial Black" w:hAnsi="Arial Black"/>
          <w:sz w:val="28"/>
          <w:szCs w:val="28"/>
        </w:rPr>
        <w:t xml:space="preserve">TO </w:t>
      </w:r>
      <w:r>
        <w:rPr>
          <w:rFonts w:ascii="Arial Black" w:hAnsi="Arial Black"/>
          <w:sz w:val="28"/>
          <w:szCs w:val="28"/>
        </w:rPr>
        <w:t xml:space="preserve">“CIVIL” POSITIONS - LOCAL 67 </w:t>
      </w:r>
      <w:proofErr w:type="gramStart"/>
      <w:r>
        <w:rPr>
          <w:rFonts w:ascii="Arial Black" w:hAnsi="Arial Black"/>
          <w:sz w:val="28"/>
          <w:szCs w:val="28"/>
        </w:rPr>
        <w:t>GRIEVANCE</w:t>
      </w:r>
      <w:proofErr w:type="gramEnd"/>
      <w:r>
        <w:rPr>
          <w:rFonts w:ascii="Arial Black" w:hAnsi="Arial Black"/>
          <w:sz w:val="28"/>
          <w:szCs w:val="28"/>
        </w:rPr>
        <w:t xml:space="preserve"> UPHELD</w:t>
      </w:r>
    </w:p>
    <w:p w14:paraId="0BA7AF1A" w14:textId="77777777" w:rsidR="007A1E7A" w:rsidRPr="004B30C8" w:rsidRDefault="007A1E7A" w:rsidP="007A1E7A">
      <w:pPr>
        <w:spacing w:before="100" w:beforeAutospacing="1" w:after="100" w:afterAutospacing="1" w:line="240" w:lineRule="auto"/>
        <w:rPr>
          <w:rFonts w:ascii="Times New Roman" w:hAnsi="Times New Roman"/>
          <w:sz w:val="24"/>
          <w:szCs w:val="24"/>
        </w:rPr>
      </w:pPr>
      <w:r w:rsidRPr="004B30C8">
        <w:rPr>
          <w:rFonts w:ascii="Times New Roman" w:hAnsi="Times New Roman"/>
          <w:sz w:val="24"/>
          <w:szCs w:val="24"/>
        </w:rPr>
        <w:t xml:space="preserve">On </w:t>
      </w:r>
      <w:bookmarkStart w:id="642" w:name="_Hlk39860957"/>
      <w:r w:rsidRPr="004B30C8">
        <w:rPr>
          <w:rFonts w:ascii="Times New Roman" w:hAnsi="Times New Roman"/>
          <w:sz w:val="24"/>
          <w:szCs w:val="24"/>
        </w:rPr>
        <w:t xml:space="preserve">Feb. 4, 2020, in </w:t>
      </w:r>
      <w:r w:rsidRPr="004B30C8">
        <w:rPr>
          <w:rFonts w:ascii="Times New Roman" w:hAnsi="Times New Roman"/>
          <w:sz w:val="24"/>
          <w:szCs w:val="24"/>
          <w:u w:val="single"/>
        </w:rPr>
        <w:t>City of Columbus v. IAFF Local 67</w:t>
      </w:r>
      <w:bookmarkEnd w:id="642"/>
      <w:r w:rsidRPr="004B30C8">
        <w:rPr>
          <w:rFonts w:ascii="Times New Roman" w:hAnsi="Times New Roman"/>
          <w:sz w:val="24"/>
          <w:szCs w:val="24"/>
        </w:rPr>
        <w:t xml:space="preserve">, the Ohio Court of Appeals </w:t>
      </w:r>
      <w:proofErr w:type="gramStart"/>
      <w:r w:rsidRPr="004B30C8">
        <w:rPr>
          <w:rFonts w:ascii="Times New Roman" w:hAnsi="Times New Roman"/>
          <w:sz w:val="24"/>
          <w:szCs w:val="24"/>
        </w:rPr>
        <w:t>For</w:t>
      </w:r>
      <w:proofErr w:type="gramEnd"/>
      <w:r w:rsidRPr="004B30C8">
        <w:rPr>
          <w:rFonts w:ascii="Times New Roman" w:hAnsi="Times New Roman"/>
          <w:sz w:val="24"/>
          <w:szCs w:val="24"/>
        </w:rPr>
        <w:t xml:space="preserve"> Tenth District, held (3 to 0) </w:t>
      </w:r>
      <w:proofErr w:type="gramStart"/>
      <w:r w:rsidRPr="004B30C8">
        <w:rPr>
          <w:rFonts w:ascii="Times New Roman" w:hAnsi="Times New Roman"/>
          <w:sz w:val="24"/>
          <w:szCs w:val="24"/>
        </w:rPr>
        <w:t>affirmed</w:t>
      </w:r>
      <w:proofErr w:type="gramEnd"/>
      <w:r w:rsidRPr="004B30C8">
        <w:rPr>
          <w:rFonts w:ascii="Times New Roman" w:hAnsi="Times New Roman"/>
          <w:sz w:val="24"/>
          <w:szCs w:val="24"/>
        </w:rPr>
        <w:t xml:space="preserve"> the decision of the Franklin County Court of Common Pleas judge  upholding the arbitrator’s decision in favor of Local 67. </w:t>
      </w:r>
      <w:r w:rsidRPr="004B30C8">
        <w:rPr>
          <w:rFonts w:ascii="Times New Roman" w:hAnsi="Times New Roman"/>
          <w:sz w:val="24"/>
          <w:szCs w:val="24"/>
        </w:rPr>
        <w:tab/>
      </w:r>
    </w:p>
    <w:p w14:paraId="3AF520C2" w14:textId="7B81FA57" w:rsidR="007A1E7A" w:rsidRPr="004B30C8" w:rsidRDefault="007A1E7A" w:rsidP="007A1E7A">
      <w:pPr>
        <w:pStyle w:val="NoSpacing"/>
        <w:ind w:left="720"/>
        <w:rPr>
          <w:rFonts w:ascii="Times New Roman" w:hAnsi="Times New Roman"/>
          <w:b/>
          <w:bCs/>
          <w:sz w:val="24"/>
          <w:szCs w:val="24"/>
        </w:rPr>
      </w:pPr>
      <w:r w:rsidRPr="004B30C8">
        <w:rPr>
          <w:rFonts w:ascii="Times New Roman" w:hAnsi="Times New Roman"/>
          <w:bCs/>
          <w:sz w:val="24"/>
          <w:szCs w:val="24"/>
        </w:rPr>
        <w:t>“On October 19, 2015, a battalion chief representing the Office of the Fire Chief for the City of Columbus Division of Fire (</w:t>
      </w:r>
      <w:r w:rsidR="000209F5">
        <w:rPr>
          <w:rFonts w:ascii="Times New Roman" w:hAnsi="Times New Roman"/>
          <w:bCs/>
          <w:sz w:val="24"/>
          <w:szCs w:val="24"/>
        </w:rPr>
        <w:t>‘</w:t>
      </w:r>
      <w:r w:rsidRPr="004B30C8">
        <w:rPr>
          <w:rFonts w:ascii="Times New Roman" w:hAnsi="Times New Roman"/>
          <w:bCs/>
          <w:sz w:val="24"/>
          <w:szCs w:val="24"/>
        </w:rPr>
        <w:t>Division</w:t>
      </w:r>
      <w:r w:rsidR="000209F5">
        <w:rPr>
          <w:rFonts w:ascii="Times New Roman" w:hAnsi="Times New Roman"/>
          <w:bCs/>
          <w:sz w:val="24"/>
          <w:szCs w:val="24"/>
        </w:rPr>
        <w:t>’</w:t>
      </w:r>
      <w:r w:rsidRPr="004B30C8">
        <w:rPr>
          <w:rFonts w:ascii="Times New Roman" w:hAnsi="Times New Roman"/>
          <w:bCs/>
          <w:sz w:val="24"/>
          <w:szCs w:val="24"/>
        </w:rPr>
        <w:t xml:space="preserve">), sent an e-mail to the President of Local 67. (Ex. JT2 at 4, exhibit to July 27, </w:t>
      </w:r>
      <w:proofErr w:type="gramStart"/>
      <w:r w:rsidRPr="004B30C8">
        <w:rPr>
          <w:rFonts w:ascii="Times New Roman" w:hAnsi="Times New Roman"/>
          <w:bCs/>
          <w:sz w:val="24"/>
          <w:szCs w:val="24"/>
        </w:rPr>
        <w:t>2017</w:t>
      </w:r>
      <w:proofErr w:type="gramEnd"/>
      <w:r w:rsidRPr="004B30C8">
        <w:rPr>
          <w:rFonts w:ascii="Times New Roman" w:hAnsi="Times New Roman"/>
          <w:bCs/>
          <w:sz w:val="24"/>
          <w:szCs w:val="24"/>
        </w:rPr>
        <w:t xml:space="preserve"> Local 67 Application to Confirm.) The e-mail indicated that the </w:t>
      </w:r>
      <w:r w:rsidR="000209F5">
        <w:rPr>
          <w:rFonts w:ascii="Times New Roman" w:hAnsi="Times New Roman"/>
          <w:bCs/>
          <w:sz w:val="24"/>
          <w:szCs w:val="24"/>
        </w:rPr>
        <w:t>‘</w:t>
      </w:r>
      <w:r w:rsidRPr="004B30C8">
        <w:rPr>
          <w:rFonts w:ascii="Times New Roman" w:hAnsi="Times New Roman"/>
          <w:bCs/>
          <w:sz w:val="24"/>
          <w:szCs w:val="24"/>
        </w:rPr>
        <w:t>directors office decided</w:t>
      </w:r>
      <w:r w:rsidR="000209F5">
        <w:rPr>
          <w:rFonts w:ascii="Times New Roman" w:hAnsi="Times New Roman"/>
          <w:bCs/>
          <w:sz w:val="24"/>
          <w:szCs w:val="24"/>
        </w:rPr>
        <w:t>’</w:t>
      </w:r>
      <w:r w:rsidRPr="004B30C8">
        <w:rPr>
          <w:rFonts w:ascii="Times New Roman" w:hAnsi="Times New Roman"/>
          <w:bCs/>
          <w:sz w:val="24"/>
          <w:szCs w:val="24"/>
        </w:rPr>
        <w:t xml:space="preserve"> to </w:t>
      </w:r>
      <w:proofErr w:type="gramStart"/>
      <w:r w:rsidRPr="004B30C8">
        <w:rPr>
          <w:rFonts w:ascii="Times New Roman" w:hAnsi="Times New Roman"/>
          <w:bCs/>
          <w:sz w:val="24"/>
          <w:szCs w:val="24"/>
        </w:rPr>
        <w:t>civilianize</w:t>
      </w:r>
      <w:proofErr w:type="gramEnd"/>
      <w:r w:rsidRPr="004B30C8">
        <w:rPr>
          <w:rFonts w:ascii="Times New Roman" w:hAnsi="Times New Roman"/>
          <w:bCs/>
          <w:sz w:val="24"/>
          <w:szCs w:val="24"/>
        </w:rPr>
        <w:t xml:space="preserve"> certain special assignments then filled by uniformed firefighters. Id. Attached to the e-mail was a document listing 17 positions that the City intended to civilianize: ‘RMS,’ ‘Fitness Coordinator,’ ‘Special Events Coord,’ ‘EMS Supply Tech,’ ‘ES-1 Liaison,’ ‘Training Video,’ ‘FAO Radio Specialist,’ ‘Public CPR Trainer,’ ‘R&amp;D Specialist,’ ‘R&amp;D Specialist,’ ‘R&amp;D Specification,’ ‘I.T. Coordinator,’ ‘Apprenticeship Asst.,’ ‘FAO Trainer,’ ‘Community Relations,’ ‘In Service Training, and ‘ES-1 Office Aid. ***  The CBA nowhere asserts, affirms, or implies a broad right of the City to </w:t>
      </w:r>
      <w:proofErr w:type="gramStart"/>
      <w:r w:rsidRPr="004B30C8">
        <w:rPr>
          <w:rFonts w:ascii="Times New Roman" w:hAnsi="Times New Roman"/>
          <w:bCs/>
          <w:sz w:val="24"/>
          <w:szCs w:val="24"/>
        </w:rPr>
        <w:t>civilianize</w:t>
      </w:r>
      <w:proofErr w:type="gramEnd"/>
      <w:r w:rsidRPr="004B30C8">
        <w:rPr>
          <w:rFonts w:ascii="Times New Roman" w:hAnsi="Times New Roman"/>
          <w:bCs/>
          <w:sz w:val="24"/>
          <w:szCs w:val="24"/>
        </w:rPr>
        <w:t xml:space="preserve"> bargaining unit positions. The CBA provides no general right to </w:t>
      </w:r>
      <w:proofErr w:type="gramStart"/>
      <w:r w:rsidRPr="004B30C8">
        <w:rPr>
          <w:rFonts w:ascii="Times New Roman" w:hAnsi="Times New Roman"/>
          <w:bCs/>
          <w:sz w:val="24"/>
          <w:szCs w:val="24"/>
        </w:rPr>
        <w:t>civilianize</w:t>
      </w:r>
      <w:proofErr w:type="gramEnd"/>
      <w:r w:rsidRPr="004B30C8">
        <w:rPr>
          <w:rFonts w:ascii="Times New Roman" w:hAnsi="Times New Roman"/>
          <w:bCs/>
          <w:sz w:val="24"/>
          <w:szCs w:val="24"/>
        </w:rPr>
        <w:t xml:space="preserve"> the City. Nor do the terms of the CBA, taken as a whole, suggest that Section 7.2 should be read as a narrow exception to a general right to </w:t>
      </w:r>
      <w:proofErr w:type="gramStart"/>
      <w:r w:rsidRPr="004B30C8">
        <w:rPr>
          <w:rFonts w:ascii="Times New Roman" w:hAnsi="Times New Roman"/>
          <w:bCs/>
          <w:sz w:val="24"/>
          <w:szCs w:val="24"/>
        </w:rPr>
        <w:t>civilianize</w:t>
      </w:r>
      <w:proofErr w:type="gramEnd"/>
      <w:r w:rsidRPr="004B30C8">
        <w:rPr>
          <w:rFonts w:ascii="Times New Roman" w:hAnsi="Times New Roman"/>
          <w:bCs/>
          <w:sz w:val="24"/>
          <w:szCs w:val="24"/>
        </w:rPr>
        <w:t xml:space="preserve">. Rather the CBA contains, and the arbitrator found, a broad prohibition on civilianizing positions within the Division.  </w:t>
      </w:r>
      <w:bookmarkStart w:id="643" w:name="_Hlk39860985"/>
      <w:r w:rsidR="00B0089C">
        <w:fldChar w:fldCharType="begin"/>
      </w:r>
      <w:r w:rsidR="00B0089C">
        <w:instrText xml:space="preserve"> HYPERLINK "https://www.supremecourt.ohio.gov/rod/docs/pdf/10/2020/2020-Ohio-356.pdf" </w:instrText>
      </w:r>
      <w:r w:rsidR="00B0089C">
        <w:fldChar w:fldCharType="separate"/>
      </w:r>
      <w:r w:rsidRPr="004B30C8">
        <w:rPr>
          <w:rStyle w:val="Hyperlink"/>
          <w:rFonts w:ascii="Times New Roman" w:hAnsi="Times New Roman"/>
          <w:bCs/>
          <w:sz w:val="24"/>
          <w:szCs w:val="24"/>
        </w:rPr>
        <w:t>https://www.supremecourt.ohio.gov/rod/docs/pdf/10/2020/2020-Ohio-356.pdf</w:t>
      </w:r>
      <w:r w:rsidR="00B0089C">
        <w:rPr>
          <w:rStyle w:val="Hyperlink"/>
          <w:rFonts w:ascii="Times New Roman" w:hAnsi="Times New Roman"/>
          <w:bCs/>
          <w:sz w:val="24"/>
          <w:szCs w:val="24"/>
        </w:rPr>
        <w:fldChar w:fldCharType="end"/>
      </w:r>
      <w:r w:rsidRPr="004B30C8">
        <w:rPr>
          <w:rFonts w:ascii="Times New Roman" w:hAnsi="Times New Roman"/>
          <w:bCs/>
          <w:sz w:val="24"/>
          <w:szCs w:val="24"/>
        </w:rPr>
        <w:t xml:space="preserve"> </w:t>
      </w:r>
      <w:bookmarkEnd w:id="643"/>
    </w:p>
    <w:bookmarkEnd w:id="641"/>
    <w:p w14:paraId="488F1F8B" w14:textId="53D9A376" w:rsidR="007A1E7A" w:rsidRDefault="007A1E7A" w:rsidP="00F326E5">
      <w:pPr>
        <w:pStyle w:val="NoSpacing"/>
        <w:rPr>
          <w:rFonts w:ascii="Arial Black" w:hAnsi="Arial Black"/>
          <w:sz w:val="24"/>
          <w:szCs w:val="24"/>
        </w:rPr>
      </w:pPr>
    </w:p>
    <w:p w14:paraId="1F0BC464" w14:textId="40814CBB" w:rsidR="007A1E7A" w:rsidRPr="004B30C8" w:rsidRDefault="007A1E7A" w:rsidP="007A1E7A">
      <w:pPr>
        <w:pStyle w:val="NoSpacing"/>
        <w:rPr>
          <w:rFonts w:ascii="Times New Roman" w:hAnsi="Times New Roman"/>
          <w:b/>
          <w:bCs/>
          <w:sz w:val="24"/>
          <w:szCs w:val="24"/>
        </w:rPr>
      </w:pPr>
      <w:bookmarkStart w:id="644" w:name="_Hlk40517239"/>
      <w:r w:rsidRPr="004B30C8">
        <w:rPr>
          <w:rFonts w:ascii="Times New Roman" w:hAnsi="Times New Roman"/>
          <w:b/>
          <w:bCs/>
          <w:sz w:val="24"/>
          <w:szCs w:val="24"/>
        </w:rPr>
        <w:t>Legal Lessons Learned: The arbitrator, and the Courts, relied heavily on the City’s prior cooperation with Local 67</w:t>
      </w:r>
      <w:r w:rsidR="00A76634">
        <w:rPr>
          <w:rFonts w:ascii="Times New Roman" w:hAnsi="Times New Roman"/>
          <w:b/>
          <w:bCs/>
          <w:sz w:val="24"/>
          <w:szCs w:val="24"/>
        </w:rPr>
        <w:t>.</w:t>
      </w:r>
    </w:p>
    <w:bookmarkEnd w:id="644"/>
    <w:p w14:paraId="5F60C8FF" w14:textId="77777777" w:rsidR="007A1E7A" w:rsidRDefault="007A1E7A" w:rsidP="00F326E5">
      <w:pPr>
        <w:pStyle w:val="NoSpacing"/>
        <w:rPr>
          <w:rFonts w:ascii="Arial Black" w:hAnsi="Arial Black"/>
          <w:sz w:val="24"/>
          <w:szCs w:val="24"/>
        </w:rPr>
      </w:pPr>
    </w:p>
    <w:p w14:paraId="0750E27F" w14:textId="77777777" w:rsidR="007A1E7A" w:rsidRDefault="007A1E7A" w:rsidP="00F326E5">
      <w:pPr>
        <w:pStyle w:val="NoSpacing"/>
        <w:rPr>
          <w:rFonts w:ascii="Arial Black" w:hAnsi="Arial Black"/>
          <w:sz w:val="24"/>
          <w:szCs w:val="24"/>
        </w:rPr>
      </w:pPr>
    </w:p>
    <w:p w14:paraId="412CFE29" w14:textId="77777777" w:rsidR="007A1E7A" w:rsidRDefault="007A1E7A" w:rsidP="00F326E5">
      <w:pPr>
        <w:pStyle w:val="NoSpacing"/>
        <w:rPr>
          <w:rFonts w:ascii="Arial Black" w:hAnsi="Arial Black"/>
          <w:sz w:val="24"/>
          <w:szCs w:val="24"/>
        </w:rPr>
      </w:pPr>
    </w:p>
    <w:p w14:paraId="293ACADC" w14:textId="77777777" w:rsidR="007A1E7A" w:rsidRDefault="007A1E7A" w:rsidP="00F326E5">
      <w:pPr>
        <w:pStyle w:val="NoSpacing"/>
        <w:rPr>
          <w:rFonts w:ascii="Arial Black" w:hAnsi="Arial Black"/>
          <w:sz w:val="24"/>
          <w:szCs w:val="24"/>
        </w:rPr>
      </w:pPr>
    </w:p>
    <w:p w14:paraId="7DEB1699" w14:textId="761F48DA" w:rsidR="00A06387" w:rsidRPr="00A06387" w:rsidRDefault="00A06387" w:rsidP="00F326E5">
      <w:pPr>
        <w:pStyle w:val="NoSpacing"/>
        <w:rPr>
          <w:rFonts w:ascii="Arial Black" w:hAnsi="Arial Black"/>
          <w:sz w:val="24"/>
          <w:szCs w:val="24"/>
        </w:rPr>
      </w:pPr>
      <w:r w:rsidRPr="00A06387">
        <w:rPr>
          <w:rFonts w:ascii="Arial Black" w:hAnsi="Arial Black"/>
          <w:sz w:val="24"/>
          <w:szCs w:val="24"/>
        </w:rPr>
        <w:t xml:space="preserve">17-2  </w:t>
      </w:r>
    </w:p>
    <w:p w14:paraId="20866ECF" w14:textId="77777777" w:rsidR="00A06387" w:rsidRDefault="00A06387" w:rsidP="00F326E5">
      <w:pPr>
        <w:pStyle w:val="NoSpacing"/>
        <w:rPr>
          <w:rFonts w:ascii="Arial Black" w:hAnsi="Arial Black"/>
          <w:sz w:val="28"/>
          <w:szCs w:val="28"/>
        </w:rPr>
      </w:pPr>
    </w:p>
    <w:p w14:paraId="5F2F81ED" w14:textId="6A73F7E8" w:rsidR="00F326E5" w:rsidRPr="00A06387" w:rsidRDefault="00A06387" w:rsidP="00F326E5">
      <w:pPr>
        <w:pStyle w:val="NoSpacing"/>
        <w:rPr>
          <w:rFonts w:ascii="Arial Black" w:hAnsi="Arial Black"/>
          <w:sz w:val="28"/>
          <w:szCs w:val="28"/>
        </w:rPr>
      </w:pPr>
      <w:bookmarkStart w:id="645" w:name="_Hlk23516868"/>
      <w:bookmarkStart w:id="646" w:name="_Hlk39773361"/>
      <w:r>
        <w:rPr>
          <w:rFonts w:ascii="Arial Black" w:hAnsi="Arial Black"/>
          <w:sz w:val="28"/>
          <w:szCs w:val="28"/>
        </w:rPr>
        <w:t xml:space="preserve">NY: </w:t>
      </w:r>
      <w:r w:rsidRPr="00A06387">
        <w:rPr>
          <w:rFonts w:ascii="Arial Black" w:hAnsi="Arial Black"/>
          <w:sz w:val="28"/>
          <w:szCs w:val="28"/>
        </w:rPr>
        <w:t>NEW FD PARAMEDIC TRAINING – UNION ALLEGES BREACH OF CBA – GRIEVANCE CAN GO TO ARBITRATION</w:t>
      </w:r>
    </w:p>
    <w:bookmarkEnd w:id="645"/>
    <w:p w14:paraId="458EE45A" w14:textId="77777777" w:rsidR="00A06387" w:rsidRDefault="00A06387" w:rsidP="00A06387">
      <w:pPr>
        <w:pStyle w:val="NoSpacing"/>
        <w:rPr>
          <w:rFonts w:ascii="On Times New Roman" w:hAnsi="On Times New Roman"/>
          <w:bCs/>
          <w:sz w:val="24"/>
          <w:szCs w:val="24"/>
        </w:rPr>
      </w:pPr>
    </w:p>
    <w:p w14:paraId="4971F7D4" w14:textId="122FB023" w:rsidR="00A06387" w:rsidRPr="00E600C4" w:rsidRDefault="00A06387" w:rsidP="00A06387">
      <w:pPr>
        <w:pStyle w:val="NoSpacing"/>
        <w:rPr>
          <w:rFonts w:ascii="Times New Roman" w:hAnsi="Times New Roman"/>
          <w:b/>
          <w:bCs/>
          <w:sz w:val="24"/>
          <w:szCs w:val="24"/>
        </w:rPr>
      </w:pPr>
      <w:r w:rsidRPr="00E600C4">
        <w:rPr>
          <w:rFonts w:ascii="Times New Roman" w:hAnsi="Times New Roman"/>
          <w:bCs/>
          <w:sz w:val="24"/>
          <w:szCs w:val="24"/>
        </w:rPr>
        <w:t xml:space="preserve">On Oct. 30, 2019, in </w:t>
      </w:r>
      <w:r w:rsidRPr="00E600C4">
        <w:rPr>
          <w:rFonts w:ascii="Times New Roman" w:hAnsi="Times New Roman"/>
          <w:bCs/>
          <w:sz w:val="24"/>
          <w:szCs w:val="24"/>
          <w:u w:val="single"/>
        </w:rPr>
        <w:t xml:space="preserve">Matter </w:t>
      </w:r>
      <w:proofErr w:type="gramStart"/>
      <w:r w:rsidRPr="00E600C4">
        <w:rPr>
          <w:rFonts w:ascii="Times New Roman" w:hAnsi="Times New Roman"/>
          <w:bCs/>
          <w:sz w:val="24"/>
          <w:szCs w:val="24"/>
          <w:u w:val="single"/>
        </w:rPr>
        <w:t>Of</w:t>
      </w:r>
      <w:proofErr w:type="gramEnd"/>
      <w:r w:rsidRPr="00E600C4">
        <w:rPr>
          <w:rFonts w:ascii="Times New Roman" w:hAnsi="Times New Roman"/>
          <w:bCs/>
          <w:sz w:val="24"/>
          <w:szCs w:val="24"/>
          <w:u w:val="single"/>
        </w:rPr>
        <w:t xml:space="preserve"> City of Yonkers v. Yonkers Fire Fighters, Local 628,</w:t>
      </w:r>
      <w:r w:rsidRPr="00E600C4">
        <w:rPr>
          <w:rFonts w:ascii="Times New Roman" w:hAnsi="Times New Roman"/>
          <w:bCs/>
          <w:sz w:val="24"/>
          <w:szCs w:val="24"/>
        </w:rPr>
        <w:t xml:space="preserve"> the Supreme Court of New York,  Appellate Division (Second Judicial District), held 5 to 0 that a Judge in Westchester County (dated September 20, 2016) improperly granted the City’s petition to permanently stay arbitration.   </w:t>
      </w:r>
    </w:p>
    <w:p w14:paraId="343D676B" w14:textId="77777777" w:rsidR="00A06387" w:rsidRPr="00E600C4" w:rsidRDefault="00A06387" w:rsidP="00A06387">
      <w:pPr>
        <w:pStyle w:val="NoSpacing"/>
        <w:rPr>
          <w:rFonts w:ascii="Times New Roman" w:hAnsi="Times New Roman"/>
          <w:b/>
          <w:bCs/>
          <w:sz w:val="24"/>
          <w:szCs w:val="24"/>
        </w:rPr>
      </w:pPr>
    </w:p>
    <w:p w14:paraId="7208C993" w14:textId="77C54431" w:rsidR="00A06387" w:rsidRPr="00E600C4" w:rsidRDefault="00A06387" w:rsidP="00A06387">
      <w:pPr>
        <w:pStyle w:val="NoSpacing"/>
        <w:ind w:left="720"/>
        <w:rPr>
          <w:rFonts w:ascii="Times New Roman" w:hAnsi="Times New Roman"/>
          <w:b/>
          <w:bCs/>
          <w:sz w:val="24"/>
          <w:szCs w:val="24"/>
        </w:rPr>
      </w:pPr>
      <w:r w:rsidRPr="00E600C4">
        <w:rPr>
          <w:rFonts w:ascii="Times New Roman" w:hAnsi="Times New Roman"/>
          <w:bCs/>
          <w:sz w:val="24"/>
          <w:szCs w:val="24"/>
        </w:rPr>
        <w:t xml:space="preserve">“According to Local 628, the City, by offering a paramedic training course to its firefighters, violated article 33 of the CBA, which contains various provisions concerning the EMS Program, including a </w:t>
      </w:r>
      <w:r w:rsidRPr="00E600C4">
        <w:rPr>
          <w:rFonts w:ascii="Times New Roman" w:hAnsi="Times New Roman"/>
          <w:bCs/>
          <w:sz w:val="24"/>
          <w:szCs w:val="24"/>
        </w:rPr>
        <w:lastRenderedPageBreak/>
        <w:t>provision stating that the ‘EMS Program shall mean the level of services provided as of the date of this Agreement.’ Contrary to the City's contention, a reasonable relationship exists between Local 628's grievance and the general subject matter of the CBA.</w:t>
      </w:r>
      <w:r w:rsidR="005B7BBD">
        <w:rPr>
          <w:rFonts w:ascii="Times New Roman" w:hAnsi="Times New Roman"/>
          <w:bCs/>
          <w:sz w:val="24"/>
          <w:szCs w:val="24"/>
        </w:rPr>
        <w:t xml:space="preserve"> </w:t>
      </w:r>
      <w:r w:rsidRPr="00E600C4">
        <w:rPr>
          <w:rFonts w:ascii="Times New Roman" w:hAnsi="Times New Roman"/>
          <w:bCs/>
          <w:sz w:val="24"/>
          <w:szCs w:val="24"/>
        </w:rPr>
        <w:t>***</w:t>
      </w:r>
      <w:r w:rsidR="005B7BBD">
        <w:rPr>
          <w:rFonts w:ascii="Times New Roman" w:hAnsi="Times New Roman"/>
          <w:bCs/>
          <w:sz w:val="24"/>
          <w:szCs w:val="24"/>
        </w:rPr>
        <w:t xml:space="preserve"> </w:t>
      </w:r>
      <w:r w:rsidRPr="00E600C4">
        <w:rPr>
          <w:rFonts w:ascii="Times New Roman" w:hAnsi="Times New Roman"/>
          <w:bCs/>
          <w:sz w:val="24"/>
          <w:szCs w:val="24"/>
        </w:rPr>
        <w:t>Where, as here, the relevant arbitration provision of the CBA is broad, providing for arbitration of any grievance ‘involving the interpretation or application of any provision of this Agreement,’ a court ‘should merely determine whether there is a reasonable relationship between the subject matter of the dispute and the general subject matter of the CBA.’”</w:t>
      </w:r>
    </w:p>
    <w:p w14:paraId="562A0D5A" w14:textId="77777777" w:rsidR="00A06387" w:rsidRPr="00E600C4" w:rsidRDefault="00A06387" w:rsidP="00A06387">
      <w:pPr>
        <w:pStyle w:val="NoSpacing"/>
        <w:ind w:left="720"/>
        <w:rPr>
          <w:rFonts w:ascii="Times New Roman" w:hAnsi="Times New Roman"/>
          <w:b/>
          <w:bCs/>
          <w:sz w:val="24"/>
          <w:szCs w:val="24"/>
        </w:rPr>
      </w:pPr>
      <w:hyperlink r:id="rId2897" w:history="1">
        <w:r w:rsidRPr="00E600C4">
          <w:rPr>
            <w:rStyle w:val="Hyperlink"/>
            <w:rFonts w:ascii="Times New Roman" w:hAnsi="Times New Roman"/>
            <w:bCs/>
            <w:sz w:val="24"/>
            <w:szCs w:val="24"/>
          </w:rPr>
          <w:t>https://law.justia.com/cases/new-york/appellate-division-second-department/2019/2016-10658.html</w:t>
        </w:r>
      </w:hyperlink>
      <w:r w:rsidRPr="00E600C4">
        <w:rPr>
          <w:rFonts w:ascii="Times New Roman" w:hAnsi="Times New Roman"/>
          <w:bCs/>
          <w:sz w:val="24"/>
          <w:szCs w:val="24"/>
        </w:rPr>
        <w:t xml:space="preserve"> </w:t>
      </w:r>
    </w:p>
    <w:bookmarkEnd w:id="646"/>
    <w:p w14:paraId="683B8002" w14:textId="77777777" w:rsidR="00A06387" w:rsidRPr="00E600C4" w:rsidRDefault="00A06387" w:rsidP="00A06387">
      <w:pPr>
        <w:pStyle w:val="NoSpacing"/>
        <w:rPr>
          <w:rFonts w:ascii="Times New Roman" w:hAnsi="Times New Roman"/>
          <w:b/>
          <w:bCs/>
          <w:sz w:val="24"/>
          <w:szCs w:val="24"/>
        </w:rPr>
      </w:pPr>
    </w:p>
    <w:p w14:paraId="4B6129AF" w14:textId="609832D4" w:rsidR="00A06387" w:rsidRPr="00E600C4" w:rsidRDefault="00A06387" w:rsidP="00F326E5">
      <w:pPr>
        <w:pStyle w:val="NoSpacing"/>
        <w:rPr>
          <w:rFonts w:ascii="Times New Roman" w:hAnsi="Times New Roman"/>
          <w:sz w:val="24"/>
          <w:szCs w:val="24"/>
        </w:rPr>
      </w:pPr>
      <w:bookmarkStart w:id="647" w:name="_Hlk40517276"/>
      <w:r w:rsidRPr="00E600C4">
        <w:rPr>
          <w:rFonts w:ascii="Times New Roman" w:hAnsi="Times New Roman"/>
          <w:b/>
          <w:bCs/>
          <w:sz w:val="24"/>
          <w:szCs w:val="24"/>
        </w:rPr>
        <w:t>Legal Lessons Learned: Courts favor arbitration to resolve labor disputes</w:t>
      </w:r>
      <w:r w:rsidRPr="00E600C4">
        <w:rPr>
          <w:rFonts w:ascii="Times New Roman" w:hAnsi="Times New Roman"/>
          <w:sz w:val="24"/>
          <w:szCs w:val="24"/>
        </w:rPr>
        <w:t xml:space="preserve">.  </w:t>
      </w:r>
    </w:p>
    <w:p w14:paraId="57848C94" w14:textId="32A6D4F1" w:rsidR="00A06387" w:rsidRDefault="00A06387" w:rsidP="000C4DF5">
      <w:pPr>
        <w:pStyle w:val="NoSpacing"/>
        <w:rPr>
          <w:rFonts w:ascii="Arial Black" w:hAnsi="Arial Black"/>
          <w:sz w:val="24"/>
          <w:szCs w:val="24"/>
        </w:rPr>
      </w:pPr>
      <w:bookmarkStart w:id="648" w:name="_Hlk6757078"/>
      <w:bookmarkEnd w:id="647"/>
    </w:p>
    <w:p w14:paraId="311BDA0F" w14:textId="77777777" w:rsidR="00A06387" w:rsidRDefault="00A06387" w:rsidP="000C4DF5">
      <w:pPr>
        <w:pStyle w:val="NoSpacing"/>
        <w:rPr>
          <w:rFonts w:ascii="Arial Black" w:hAnsi="Arial Black"/>
          <w:sz w:val="24"/>
          <w:szCs w:val="24"/>
        </w:rPr>
      </w:pPr>
    </w:p>
    <w:p w14:paraId="0205C73B" w14:textId="1311E8C7" w:rsidR="000C4DF5" w:rsidRDefault="000C4DF5" w:rsidP="000C4DF5">
      <w:pPr>
        <w:pStyle w:val="NoSpacing"/>
        <w:rPr>
          <w:rFonts w:ascii="Arial Black" w:hAnsi="Arial Black"/>
          <w:sz w:val="24"/>
          <w:szCs w:val="24"/>
        </w:rPr>
      </w:pPr>
      <w:r>
        <w:rPr>
          <w:rFonts w:ascii="Arial Black" w:hAnsi="Arial Black"/>
          <w:sz w:val="24"/>
          <w:szCs w:val="24"/>
        </w:rPr>
        <w:t>17-1</w:t>
      </w:r>
    </w:p>
    <w:p w14:paraId="790B5E4D" w14:textId="6B832E97" w:rsidR="002B1283" w:rsidRPr="00EE07D9" w:rsidRDefault="002B1283" w:rsidP="002B1283">
      <w:pPr>
        <w:rPr>
          <w:rFonts w:ascii="Arial Black" w:hAnsi="Arial Black"/>
          <w:sz w:val="28"/>
          <w:szCs w:val="28"/>
        </w:rPr>
      </w:pPr>
      <w:r>
        <w:rPr>
          <w:rFonts w:ascii="Arial Black" w:hAnsi="Arial Black"/>
          <w:sz w:val="28"/>
          <w:szCs w:val="28"/>
        </w:rPr>
        <w:t xml:space="preserve">IL:  CT OVERTURNS ARBITRATOR – PURGING POLICE DISCIPLINE RECORDS IS VIOLATION OF STATE’S PUBLIC POLICY </w:t>
      </w:r>
    </w:p>
    <w:p w14:paraId="442DA037" w14:textId="77777777" w:rsidR="002B1283" w:rsidRDefault="002B1283" w:rsidP="002B1283">
      <w:pPr>
        <w:pStyle w:val="NoSpacing"/>
        <w:rPr>
          <w:rFonts w:ascii="Times New Roman" w:hAnsi="Times New Roman"/>
          <w:sz w:val="24"/>
          <w:szCs w:val="24"/>
        </w:rPr>
      </w:pPr>
      <w:r w:rsidRPr="009F6E0A">
        <w:rPr>
          <w:rFonts w:ascii="Times New Roman" w:hAnsi="Times New Roman"/>
          <w:sz w:val="24"/>
          <w:szCs w:val="24"/>
        </w:rPr>
        <w:t xml:space="preserve">On March 29, 2019, in </w:t>
      </w:r>
      <w:r w:rsidRPr="009F6E0A">
        <w:rPr>
          <w:rFonts w:ascii="Times New Roman" w:hAnsi="Times New Roman"/>
          <w:sz w:val="24"/>
          <w:szCs w:val="24"/>
          <w:u w:val="single"/>
        </w:rPr>
        <w:t>City of Chicago v. Fraternal Order of Police, Chicago Lodge No. 7</w:t>
      </w:r>
      <w:r w:rsidRPr="009F6E0A">
        <w:rPr>
          <w:rFonts w:ascii="Times New Roman" w:hAnsi="Times New Roman"/>
          <w:sz w:val="24"/>
          <w:szCs w:val="24"/>
        </w:rPr>
        <w:t>, the Illinois Appellate Court (1</w:t>
      </w:r>
      <w:r w:rsidRPr="009F6E0A">
        <w:rPr>
          <w:rFonts w:ascii="Times New Roman" w:hAnsi="Times New Roman"/>
          <w:sz w:val="24"/>
          <w:szCs w:val="24"/>
          <w:vertAlign w:val="superscript"/>
        </w:rPr>
        <w:t>st</w:t>
      </w:r>
      <w:r w:rsidRPr="009F6E0A">
        <w:rPr>
          <w:rFonts w:ascii="Times New Roman" w:hAnsi="Times New Roman"/>
          <w:sz w:val="24"/>
          <w:szCs w:val="24"/>
        </w:rPr>
        <w:t xml:space="preserve"> District) held (3 to</w:t>
      </w:r>
      <w:r>
        <w:rPr>
          <w:rFonts w:ascii="Times New Roman" w:hAnsi="Times New Roman"/>
          <w:sz w:val="24"/>
          <w:szCs w:val="24"/>
        </w:rPr>
        <w:t xml:space="preserve"> 0</w:t>
      </w:r>
      <w:r w:rsidRPr="009F6E0A">
        <w:rPr>
          <w:rFonts w:ascii="Times New Roman" w:hAnsi="Times New Roman"/>
          <w:sz w:val="24"/>
          <w:szCs w:val="24"/>
        </w:rPr>
        <w:t>) that an arbitrator’s decision upholding FOP’s grievance must be set aside</w:t>
      </w:r>
      <w:r>
        <w:rPr>
          <w:rFonts w:ascii="Times New Roman" w:hAnsi="Times New Roman"/>
          <w:sz w:val="24"/>
          <w:szCs w:val="24"/>
        </w:rPr>
        <w:t xml:space="preserve">. </w:t>
      </w:r>
    </w:p>
    <w:p w14:paraId="4BD9ED12" w14:textId="77777777" w:rsidR="002B1283" w:rsidRDefault="002B1283" w:rsidP="002B1283">
      <w:pPr>
        <w:pStyle w:val="NoSpacing"/>
        <w:ind w:left="720"/>
        <w:rPr>
          <w:rFonts w:ascii="Times New Roman" w:hAnsi="Times New Roman"/>
          <w:sz w:val="24"/>
          <w:szCs w:val="24"/>
        </w:rPr>
      </w:pPr>
    </w:p>
    <w:p w14:paraId="0268AD40" w14:textId="77777777" w:rsidR="002B1283" w:rsidRDefault="002B1283" w:rsidP="002B1283">
      <w:pPr>
        <w:pStyle w:val="NoSpacing"/>
        <w:ind w:left="720"/>
        <w:rPr>
          <w:rFonts w:ascii="Times New Roman" w:hAnsi="Times New Roman"/>
          <w:sz w:val="24"/>
          <w:szCs w:val="24"/>
        </w:rPr>
      </w:pPr>
      <w:r>
        <w:rPr>
          <w:rFonts w:ascii="Times New Roman" w:hAnsi="Times New Roman"/>
          <w:sz w:val="24"/>
          <w:szCs w:val="24"/>
        </w:rPr>
        <w:t>“</w:t>
      </w:r>
      <w:r w:rsidRPr="009F6E0A">
        <w:rPr>
          <w:rFonts w:ascii="Times New Roman" w:hAnsi="Times New Roman"/>
          <w:sz w:val="24"/>
          <w:szCs w:val="24"/>
        </w:rPr>
        <w:t>The arbitration award requiring destruction of the records pursuant to section 8.4 of the CBA clearly violated well-defined Illinois public policy requiring the proper retention of important public records.</w:t>
      </w:r>
      <w:r>
        <w:rPr>
          <w:rFonts w:ascii="Times New Roman" w:hAnsi="Times New Roman"/>
          <w:sz w:val="24"/>
          <w:szCs w:val="24"/>
        </w:rPr>
        <w:t>”</w:t>
      </w:r>
    </w:p>
    <w:p w14:paraId="04CB1E56" w14:textId="77777777" w:rsidR="002B1283" w:rsidRDefault="002B1283" w:rsidP="002B1283">
      <w:pPr>
        <w:pStyle w:val="NoSpacing"/>
        <w:ind w:firstLine="720"/>
      </w:pPr>
      <w:r>
        <w:rPr>
          <w:rFonts w:ascii="Times New Roman" w:hAnsi="Times New Roman"/>
          <w:sz w:val="24"/>
          <w:szCs w:val="24"/>
        </w:rPr>
        <w:t xml:space="preserve"> </w:t>
      </w:r>
      <w:hyperlink r:id="rId2898" w:history="1">
        <w:r w:rsidRPr="00EA4578">
          <w:rPr>
            <w:rStyle w:val="Hyperlink"/>
          </w:rPr>
          <w:t>http://www.illinoiscourts.gov/Opinions/AppellateCourt/2019/1stDistrict/1172907.pdf</w:t>
        </w:r>
      </w:hyperlink>
      <w:r>
        <w:t xml:space="preserve"> </w:t>
      </w:r>
    </w:p>
    <w:p w14:paraId="7F57718D" w14:textId="77777777" w:rsidR="002B1283" w:rsidRDefault="002B1283" w:rsidP="002B1283">
      <w:pPr>
        <w:pStyle w:val="NoSpacing"/>
        <w:ind w:left="720"/>
        <w:rPr>
          <w:rFonts w:ascii="Times New Roman" w:hAnsi="Times New Roman"/>
          <w:sz w:val="24"/>
          <w:szCs w:val="24"/>
        </w:rPr>
      </w:pPr>
    </w:p>
    <w:p w14:paraId="44F61CE6" w14:textId="77777777" w:rsidR="002B1283" w:rsidRDefault="002B1283" w:rsidP="002B1283">
      <w:pPr>
        <w:pStyle w:val="NoSpacing"/>
        <w:rPr>
          <w:rFonts w:ascii="Times New Roman" w:hAnsi="Times New Roman"/>
          <w:b/>
          <w:bCs/>
          <w:sz w:val="24"/>
          <w:szCs w:val="24"/>
        </w:rPr>
      </w:pPr>
      <w:r w:rsidRPr="00FE69A5">
        <w:rPr>
          <w:rFonts w:ascii="Times New Roman" w:hAnsi="Times New Roman"/>
          <w:b/>
          <w:bCs/>
          <w:sz w:val="24"/>
          <w:szCs w:val="24"/>
        </w:rPr>
        <w:t xml:space="preserve">Legal Lessons Learned: </w:t>
      </w:r>
      <w:r>
        <w:rPr>
          <w:rFonts w:ascii="Times New Roman" w:hAnsi="Times New Roman"/>
          <w:b/>
          <w:bCs/>
          <w:sz w:val="24"/>
          <w:szCs w:val="24"/>
        </w:rPr>
        <w:t xml:space="preserve"> Purging of disciplinary records, even if authorized under a CBA,  can result in public records litigation.  </w:t>
      </w:r>
    </w:p>
    <w:p w14:paraId="30BF6D83" w14:textId="77777777" w:rsidR="002B1283" w:rsidRDefault="002B1283" w:rsidP="002B1283">
      <w:pPr>
        <w:pStyle w:val="NoSpacing"/>
        <w:rPr>
          <w:rFonts w:ascii="Times New Roman" w:hAnsi="Times New Roman"/>
          <w:b/>
          <w:bCs/>
          <w:sz w:val="24"/>
          <w:szCs w:val="24"/>
        </w:rPr>
      </w:pPr>
    </w:p>
    <w:p w14:paraId="3AD8F8C8" w14:textId="77777777" w:rsidR="002B1283" w:rsidRPr="00224971" w:rsidRDefault="002B1283" w:rsidP="002B1283">
      <w:pPr>
        <w:pStyle w:val="NoSpacing"/>
        <w:ind w:left="720"/>
        <w:rPr>
          <w:rFonts w:ascii="Times New Roman" w:hAnsi="Times New Roman"/>
          <w:sz w:val="24"/>
          <w:szCs w:val="24"/>
        </w:rPr>
      </w:pPr>
      <w:r>
        <w:rPr>
          <w:rFonts w:ascii="Times New Roman" w:hAnsi="Times New Roman"/>
          <w:sz w:val="24"/>
          <w:szCs w:val="24"/>
        </w:rPr>
        <w:t xml:space="preserve">The Court referenced a Chicago FD case where an arbitrator was overturned based on public policy.  </w:t>
      </w:r>
      <w:r w:rsidRPr="005E3D73">
        <w:rPr>
          <w:rFonts w:ascii="Times New Roman" w:hAnsi="Times New Roman"/>
          <w:sz w:val="24"/>
          <w:szCs w:val="24"/>
          <w:u w:val="single"/>
        </w:rPr>
        <w:t>Chicago Fire Fighters Union Local No. 2 v. City of Chicago</w:t>
      </w:r>
      <w:r w:rsidRPr="00224971">
        <w:rPr>
          <w:rFonts w:ascii="Times New Roman" w:hAnsi="Times New Roman"/>
          <w:sz w:val="24"/>
          <w:szCs w:val="24"/>
        </w:rPr>
        <w:t>, 323 Ill. App. 3d 168, 176-77 (2001)</w:t>
      </w:r>
      <w:r>
        <w:rPr>
          <w:rFonts w:ascii="Times New Roman" w:hAnsi="Times New Roman"/>
          <w:sz w:val="24"/>
          <w:szCs w:val="24"/>
        </w:rPr>
        <w:t>:</w:t>
      </w:r>
      <w:r w:rsidRPr="00224971">
        <w:rPr>
          <w:rFonts w:ascii="Times New Roman" w:hAnsi="Times New Roman"/>
          <w:sz w:val="24"/>
          <w:szCs w:val="24"/>
        </w:rPr>
        <w:t xml:space="preserve">  </w:t>
      </w:r>
      <w:hyperlink r:id="rId2899" w:history="1">
        <w:r w:rsidRPr="00823390">
          <w:rPr>
            <w:rStyle w:val="Hyperlink"/>
            <w:rFonts w:ascii="Times New Roman" w:hAnsi="Times New Roman"/>
            <w:sz w:val="24"/>
            <w:szCs w:val="24"/>
          </w:rPr>
          <w:t>https://law.justia.com/cases/illinois/court-of-appeals-first-appellate-district/2000/1992647.html</w:t>
        </w:r>
      </w:hyperlink>
      <w:r w:rsidRPr="00224971">
        <w:rPr>
          <w:rFonts w:ascii="Times New Roman" w:hAnsi="Times New Roman"/>
          <w:sz w:val="24"/>
          <w:szCs w:val="24"/>
        </w:rPr>
        <w:t xml:space="preserve"> </w:t>
      </w:r>
    </w:p>
    <w:p w14:paraId="30CCE15B" w14:textId="77777777" w:rsidR="002B1283" w:rsidRDefault="002B1283" w:rsidP="002B1283">
      <w:pPr>
        <w:pStyle w:val="NoSpacing"/>
        <w:ind w:left="1440"/>
        <w:rPr>
          <w:rFonts w:ascii="Times New Roman" w:hAnsi="Times New Roman"/>
          <w:sz w:val="24"/>
          <w:szCs w:val="24"/>
        </w:rPr>
      </w:pPr>
    </w:p>
    <w:p w14:paraId="3EEE2B96" w14:textId="77777777" w:rsidR="002B1283" w:rsidRPr="005E3D73" w:rsidRDefault="002B1283" w:rsidP="002B1283">
      <w:pPr>
        <w:pStyle w:val="NoSpacing"/>
        <w:ind w:left="1440"/>
        <w:rPr>
          <w:rFonts w:ascii="Times New Roman" w:hAnsi="Times New Roman"/>
          <w:sz w:val="24"/>
          <w:szCs w:val="24"/>
        </w:rPr>
      </w:pPr>
      <w:r w:rsidRPr="005E3D73">
        <w:rPr>
          <w:rFonts w:ascii="Times New Roman" w:hAnsi="Times New Roman"/>
          <w:sz w:val="24"/>
          <w:szCs w:val="24"/>
        </w:rPr>
        <w:t xml:space="preserve">“In May 1997, CFD Internal Affairs Division (‘IAD’) Executive Assistant Mark Edinburg learned of the existence of a videotape of an unauthorized retirement party held on April 12, 1990, at the CFD firehouse known as Engine 100. The videotape depicted firefighters drinking alcoholic beverages inside the firehouse; leaving the firehouse in fire trucks to respond to fire calls; some participants making offensive racial, gender and ethnic slurs; and some engaging in other conduct such as exposing their bare buttocks and genitals. Edinburg viewed the videotape on May 9, 1997. *** This matter calls upon the court to address a serious matter of public policy affecting the health, safety and welfare of the citizens of the city of Chicago.  *** The conduct at issue in the present case was recorded on </w:t>
      </w:r>
      <w:proofErr w:type="gramStart"/>
      <w:r w:rsidRPr="005E3D73">
        <w:rPr>
          <w:rFonts w:ascii="Times New Roman" w:hAnsi="Times New Roman"/>
          <w:sz w:val="24"/>
          <w:szCs w:val="24"/>
        </w:rPr>
        <w:t>video-tape</w:t>
      </w:r>
      <w:proofErr w:type="gramEnd"/>
      <w:r w:rsidRPr="005E3D73">
        <w:rPr>
          <w:rFonts w:ascii="Times New Roman" w:hAnsi="Times New Roman"/>
          <w:sz w:val="24"/>
          <w:szCs w:val="24"/>
        </w:rPr>
        <w:t xml:space="preserve"> and reveals public safety workers in an on-going state of intoxication, some participants setting about to perform their duties by way of responding to an alarm for a fire. Nevertheless, the arbitrator ordered reinstatement and barred all discipline and sanctions without considering the merits of the case. Firefighters have </w:t>
      </w:r>
      <w:proofErr w:type="gramStart"/>
      <w:r w:rsidRPr="005E3D73">
        <w:rPr>
          <w:rFonts w:ascii="Times New Roman" w:hAnsi="Times New Roman"/>
          <w:sz w:val="24"/>
          <w:szCs w:val="24"/>
        </w:rPr>
        <w:t>the</w:t>
      </w:r>
      <w:proofErr w:type="gramEnd"/>
      <w:r w:rsidRPr="005E3D73">
        <w:rPr>
          <w:rFonts w:ascii="Times New Roman" w:hAnsi="Times New Roman"/>
          <w:sz w:val="24"/>
          <w:szCs w:val="24"/>
        </w:rPr>
        <w:t xml:space="preserve"> extraordinary responsibility for carrying out the well-stated public policy of safe and effective fire prevention. Firefighters must be prepared to respond immediately to emergency conditions at all times, and in all weather conditions, whenever the alarm bell in the firehouse sounds. For these reasons, and for </w:t>
      </w:r>
      <w:proofErr w:type="gramStart"/>
      <w:r w:rsidRPr="005E3D73">
        <w:rPr>
          <w:rFonts w:ascii="Times New Roman" w:hAnsi="Times New Roman"/>
          <w:sz w:val="24"/>
          <w:szCs w:val="24"/>
        </w:rPr>
        <w:t>all of</w:t>
      </w:r>
      <w:proofErr w:type="gramEnd"/>
      <w:r w:rsidRPr="005E3D73">
        <w:rPr>
          <w:rFonts w:ascii="Times New Roman" w:hAnsi="Times New Roman"/>
          <w:sz w:val="24"/>
          <w:szCs w:val="24"/>
        </w:rPr>
        <w:t xml:space="preserve"> the reasons cited by our supreme court in AFCSME II, 173 Ill. 2d 299 et seq., we adhere to our original opinion as set forth above.”]</w:t>
      </w:r>
    </w:p>
    <w:p w14:paraId="520AF6ED" w14:textId="77777777" w:rsidR="002B1283" w:rsidRPr="005E3D73" w:rsidRDefault="002B1283" w:rsidP="002B1283">
      <w:pPr>
        <w:pStyle w:val="NoSpacing"/>
        <w:rPr>
          <w:rFonts w:ascii="Times New Roman" w:hAnsi="Times New Roman"/>
          <w:sz w:val="24"/>
          <w:szCs w:val="24"/>
        </w:rPr>
      </w:pPr>
    </w:p>
    <w:p w14:paraId="53FBA1B8" w14:textId="77777777" w:rsidR="00AE0ACC" w:rsidRDefault="00AE0ACC" w:rsidP="00AE0ACC">
      <w:pPr>
        <w:pStyle w:val="NoSpacing"/>
        <w:rPr>
          <w:sz w:val="24"/>
          <w:szCs w:val="24"/>
        </w:rPr>
      </w:pPr>
    </w:p>
    <w:p w14:paraId="02C9FCFD" w14:textId="77777777" w:rsidR="000C4DF5" w:rsidRDefault="000C4DF5" w:rsidP="00F326E5">
      <w:pPr>
        <w:rPr>
          <w:rFonts w:ascii="Arial Black" w:hAnsi="Arial Black"/>
          <w:sz w:val="28"/>
          <w:szCs w:val="28"/>
        </w:rPr>
      </w:pPr>
    </w:p>
    <w:p w14:paraId="71D7A959" w14:textId="0DDFC4E6" w:rsidR="000C4DF5" w:rsidRDefault="000C4DF5" w:rsidP="000C4DF5">
      <w:pPr>
        <w:pStyle w:val="NoSpacing"/>
        <w:rPr>
          <w:rFonts w:ascii="Arial Black" w:hAnsi="Arial Black"/>
          <w:sz w:val="24"/>
          <w:szCs w:val="24"/>
        </w:rPr>
      </w:pPr>
      <w:r>
        <w:rPr>
          <w:rFonts w:ascii="Arial Black" w:hAnsi="Arial Black"/>
          <w:sz w:val="24"/>
          <w:szCs w:val="24"/>
        </w:rPr>
        <w:t>17-2</w:t>
      </w:r>
    </w:p>
    <w:p w14:paraId="51D19F43" w14:textId="77777777" w:rsidR="000C4DF5" w:rsidRDefault="000C4DF5" w:rsidP="00F326E5">
      <w:pPr>
        <w:rPr>
          <w:rFonts w:ascii="Arial Black" w:hAnsi="Arial Black"/>
          <w:sz w:val="28"/>
          <w:szCs w:val="28"/>
        </w:rPr>
      </w:pPr>
    </w:p>
    <w:p w14:paraId="3C985A68" w14:textId="19FB1E99" w:rsidR="00F326E5" w:rsidRDefault="00F326E5" w:rsidP="00F326E5">
      <w:pPr>
        <w:rPr>
          <w:rFonts w:ascii="Arial Black" w:hAnsi="Arial Black"/>
          <w:sz w:val="28"/>
          <w:szCs w:val="28"/>
        </w:rPr>
      </w:pPr>
      <w:r w:rsidRPr="00252C5C">
        <w:rPr>
          <w:rFonts w:ascii="Arial Black" w:hAnsi="Arial Black"/>
          <w:sz w:val="28"/>
          <w:szCs w:val="28"/>
        </w:rPr>
        <w:t>NY: MIN</w:t>
      </w:r>
      <w:r>
        <w:rPr>
          <w:rFonts w:ascii="Arial Black" w:hAnsi="Arial Black"/>
          <w:sz w:val="28"/>
          <w:szCs w:val="28"/>
        </w:rPr>
        <w:t xml:space="preserve">IMUM </w:t>
      </w:r>
      <w:r w:rsidRPr="00252C5C">
        <w:rPr>
          <w:rFonts w:ascii="Arial Black" w:hAnsi="Arial Black"/>
          <w:sz w:val="28"/>
          <w:szCs w:val="28"/>
        </w:rPr>
        <w:t>MANNING</w:t>
      </w:r>
      <w:r>
        <w:rPr>
          <w:rFonts w:ascii="Arial Black" w:hAnsi="Arial Black"/>
          <w:sz w:val="28"/>
          <w:szCs w:val="28"/>
        </w:rPr>
        <w:t xml:space="preserve"> PER SHIFT - ARBITRATION - 15 FF / SHIFT – 8 CAPTAINS DEMOTED IN 2015 </w:t>
      </w:r>
    </w:p>
    <w:p w14:paraId="3BD1248B" w14:textId="77777777" w:rsidR="00F326E5" w:rsidRPr="00E600C4" w:rsidRDefault="00F326E5" w:rsidP="00F326E5">
      <w:pPr>
        <w:rPr>
          <w:rFonts w:ascii="Times New Roman" w:hAnsi="Times New Roman"/>
          <w:sz w:val="24"/>
          <w:szCs w:val="24"/>
        </w:rPr>
      </w:pPr>
      <w:r w:rsidRPr="00E600C4">
        <w:rPr>
          <w:rFonts w:ascii="Times New Roman" w:hAnsi="Times New Roman"/>
          <w:sz w:val="24"/>
          <w:szCs w:val="24"/>
        </w:rPr>
        <w:t xml:space="preserve">On </w:t>
      </w:r>
      <w:bookmarkStart w:id="649" w:name="_Hlk39861135"/>
      <w:r w:rsidRPr="00E600C4">
        <w:rPr>
          <w:rFonts w:ascii="Times New Roman" w:hAnsi="Times New Roman"/>
          <w:sz w:val="24"/>
          <w:szCs w:val="24"/>
        </w:rPr>
        <w:t xml:space="preserve">Feb. 1, 2019, </w:t>
      </w:r>
      <w:r w:rsidRPr="00E600C4">
        <w:rPr>
          <w:rFonts w:ascii="Times New Roman" w:hAnsi="Times New Roman"/>
          <w:sz w:val="24"/>
          <w:szCs w:val="24"/>
          <w:u w:val="single"/>
        </w:rPr>
        <w:t>City of Watertown v. Watertown Professional Firefighters Association, Local 191</w:t>
      </w:r>
      <w:bookmarkEnd w:id="649"/>
      <w:r w:rsidRPr="00E600C4">
        <w:rPr>
          <w:rFonts w:ascii="Times New Roman" w:hAnsi="Times New Roman"/>
          <w:sz w:val="24"/>
          <w:szCs w:val="24"/>
          <w:u w:val="single"/>
        </w:rPr>
        <w:t>,</w:t>
      </w:r>
      <w:r w:rsidRPr="00E600C4">
        <w:rPr>
          <w:rFonts w:ascii="Times New Roman" w:hAnsi="Times New Roman"/>
          <w:sz w:val="24"/>
          <w:szCs w:val="24"/>
        </w:rPr>
        <w:t xml:space="preserve"> </w:t>
      </w:r>
      <w:r w:rsidRPr="00E600C4">
        <w:rPr>
          <w:rFonts w:ascii="Times New Roman" w:hAnsi="Times New Roman"/>
          <w:bCs/>
          <w:sz w:val="24"/>
          <w:szCs w:val="24"/>
        </w:rPr>
        <w:t xml:space="preserve">2019 NY Slip Op 00753, </w:t>
      </w:r>
      <w:r w:rsidRPr="00E600C4">
        <w:rPr>
          <w:rFonts w:ascii="Times New Roman" w:hAnsi="Times New Roman"/>
          <w:sz w:val="24"/>
          <w:szCs w:val="24"/>
        </w:rPr>
        <w:t xml:space="preserve">the New York Supreme Court, Appellant Division, overturned a lower court’s decision and held (5 to 0) that any changes in minimum manning shall go to arbitration under the collective bargaining agreement. “Contrary to the City's contention, the staffing provisions do not operate to mandate a total number of firefighters that must be employed; rather, they relate solely to the minimum number of firefighters required to be present during shifts and regular operations….”  </w:t>
      </w:r>
      <w:bookmarkStart w:id="650" w:name="_Hlk39861149"/>
      <w:r w:rsidR="00B0089C">
        <w:fldChar w:fldCharType="begin"/>
      </w:r>
      <w:r w:rsidR="00B0089C">
        <w:instrText xml:space="preserve"> HYPERLINK "https://law.justia.com/cases/new-york/appellate-division-fourth-department/2019/1134-ca-18-00961.html" </w:instrText>
      </w:r>
      <w:r w:rsidR="00B0089C">
        <w:fldChar w:fldCharType="separate"/>
      </w:r>
      <w:r w:rsidRPr="00E600C4">
        <w:rPr>
          <w:rStyle w:val="Hyperlink"/>
          <w:rFonts w:ascii="Times New Roman" w:hAnsi="Times New Roman"/>
          <w:sz w:val="24"/>
          <w:szCs w:val="24"/>
        </w:rPr>
        <w:t>https://law.justia.com/cases/new-york/appellate-division-fourth-department/2019/1134-ca-18-00961.html</w:t>
      </w:r>
      <w:r w:rsidR="00B0089C">
        <w:rPr>
          <w:rStyle w:val="Hyperlink"/>
          <w:rFonts w:ascii="Times New Roman" w:hAnsi="Times New Roman"/>
          <w:sz w:val="24"/>
          <w:szCs w:val="24"/>
        </w:rPr>
        <w:fldChar w:fldCharType="end"/>
      </w:r>
      <w:r w:rsidRPr="00E600C4">
        <w:rPr>
          <w:rFonts w:ascii="Times New Roman" w:hAnsi="Times New Roman"/>
          <w:sz w:val="24"/>
          <w:szCs w:val="24"/>
        </w:rPr>
        <w:t xml:space="preserve"> </w:t>
      </w:r>
    </w:p>
    <w:bookmarkEnd w:id="650"/>
    <w:p w14:paraId="6173BD63" w14:textId="77777777" w:rsidR="00F326E5" w:rsidRPr="00E600C4" w:rsidRDefault="00F326E5" w:rsidP="00F326E5">
      <w:pPr>
        <w:pStyle w:val="NormalWeb"/>
        <w:rPr>
          <w:b/>
        </w:rPr>
      </w:pPr>
      <w:r w:rsidRPr="00E600C4">
        <w:rPr>
          <w:b/>
        </w:rPr>
        <w:t xml:space="preserve">Legal Lessons Learned:  Courts favor arbitration regarding CBA disputes, unless it </w:t>
      </w:r>
      <w:proofErr w:type="gramStart"/>
      <w:r w:rsidRPr="00E600C4">
        <w:rPr>
          <w:b/>
        </w:rPr>
        <w:t>involved</w:t>
      </w:r>
      <w:proofErr w:type="gramEnd"/>
      <w:r w:rsidRPr="00E600C4">
        <w:rPr>
          <w:b/>
        </w:rPr>
        <w:t xml:space="preserve"> items that are clearly management right (such as lay-offs). </w:t>
      </w:r>
    </w:p>
    <w:p w14:paraId="0E34539E" w14:textId="77777777" w:rsidR="00F326E5" w:rsidRPr="00E600C4" w:rsidRDefault="00F326E5" w:rsidP="00F326E5">
      <w:pPr>
        <w:pStyle w:val="NormalWeb"/>
        <w:ind w:left="720"/>
      </w:pPr>
      <w:r w:rsidRPr="00E600C4">
        <w:t xml:space="preserve">Note: The City has reportedly decided to ask New York’s highest court [Court of Appeals – 7 Justices] to hear their appeal.  See Feb. 5, </w:t>
      </w:r>
      <w:proofErr w:type="gramStart"/>
      <w:r w:rsidRPr="00E600C4">
        <w:t>2019</w:t>
      </w:r>
      <w:proofErr w:type="gramEnd"/>
      <w:r w:rsidRPr="00E600C4">
        <w:t xml:space="preserve"> article: “</w:t>
      </w:r>
      <w:r w:rsidRPr="00E600C4">
        <w:rPr>
          <w:color w:val="000000"/>
        </w:rPr>
        <w:t xml:space="preserve">City to Take Firefighters Union to NY Supreme Court.”  </w:t>
      </w:r>
      <w:r w:rsidRPr="00E600C4">
        <w:t xml:space="preserve">“WATERTOWN — Three days after losing a lower court’s ruling, the city is taking steps to take an arbitration case against the city’s firefighters’ union to the state’s highest court. *** Coming out of a lengthy executive session, Mayor Joseph M. Butler Jr. said on Monday night the City Council agreed to file the appeal with the Court of Appeals, the state’s highest court…. With the highest court granting just a few of those requests, the city must petition the Court of Appeals and convince the seven-judge panel to take the case because the lower court’s decision was unanimous. ‘It’s a long shot,’ the mayor </w:t>
      </w:r>
      <w:proofErr w:type="gramStart"/>
      <w:r w:rsidRPr="00E600C4">
        <w:t>said.”</w:t>
      </w:r>
      <w:proofErr w:type="gramEnd"/>
      <w:r w:rsidRPr="00E600C4">
        <w:t xml:space="preserve">  </w:t>
      </w:r>
      <w:hyperlink r:id="rId2900" w:history="1">
        <w:r w:rsidRPr="00E600C4">
          <w:rPr>
            <w:rStyle w:val="Hyperlink"/>
          </w:rPr>
          <w:t>https://www.firehouse.com/careers-education/news/21056124/watertownofficials-wants-to-take-firefighters-union-to-new-york-supreme-court</w:t>
        </w:r>
      </w:hyperlink>
      <w:r w:rsidRPr="00E600C4">
        <w:t xml:space="preserve"> </w:t>
      </w:r>
    </w:p>
    <w:p w14:paraId="087889E7" w14:textId="77777777" w:rsidR="00F326E5" w:rsidRPr="00E600C4" w:rsidRDefault="00F326E5" w:rsidP="00F326E5">
      <w:pPr>
        <w:pStyle w:val="NormalWeb"/>
        <w:ind w:left="720"/>
      </w:pPr>
      <w:r w:rsidRPr="00E600C4">
        <w:t xml:space="preserve">See also Feb. 7, </w:t>
      </w:r>
      <w:proofErr w:type="gramStart"/>
      <w:r w:rsidRPr="00E600C4">
        <w:t>2019</w:t>
      </w:r>
      <w:proofErr w:type="gramEnd"/>
      <w:r w:rsidRPr="00E600C4">
        <w:t xml:space="preserve"> article: “Lawyer Fees </w:t>
      </w:r>
      <w:proofErr w:type="gramStart"/>
      <w:r w:rsidRPr="00E600C4">
        <w:t>For</w:t>
      </w:r>
      <w:proofErr w:type="gramEnd"/>
      <w:r w:rsidRPr="00E600C4">
        <w:t xml:space="preserve"> Watertown Fire Department Dispute Nearing $800,000.” </w:t>
      </w:r>
      <w:hyperlink r:id="rId2901" w:history="1">
        <w:r w:rsidRPr="00E600C4">
          <w:rPr>
            <w:rStyle w:val="Hyperlink"/>
          </w:rPr>
          <w:t>https://www.watertowndailytimes.com/news03/lawyer-fees-for-watertown-fire-department-dispute-nearing-800000-20190207</w:t>
        </w:r>
      </w:hyperlink>
      <w:r w:rsidRPr="00E600C4">
        <w:t xml:space="preserve"> </w:t>
      </w:r>
    </w:p>
    <w:p w14:paraId="5A54C6CC" w14:textId="2D23F488" w:rsidR="00F326E5" w:rsidRPr="00E600C4" w:rsidRDefault="00F326E5" w:rsidP="00E600C4">
      <w:pPr>
        <w:pStyle w:val="NormalWeb"/>
        <w:ind w:left="720"/>
      </w:pPr>
      <w:bookmarkStart w:id="651" w:name="_Hlk39861081"/>
      <w:r w:rsidRPr="00E600C4">
        <w:t xml:space="preserve">Feb. 1, 2019: NY - Watertown Firefighters Win Legal </w:t>
      </w:r>
      <w:r w:rsidR="00E600C4">
        <w:t xml:space="preserve">Victory: </w:t>
      </w:r>
      <w:hyperlink r:id="rId2902" w:history="1">
        <w:r w:rsidRPr="00E600C4">
          <w:rPr>
            <w:rStyle w:val="Hyperlink"/>
          </w:rPr>
          <w:t>https://www.wwnytv.com/story/39893183/watertown-firefighters-win-legal-victory</w:t>
        </w:r>
      </w:hyperlink>
      <w:bookmarkEnd w:id="651"/>
      <w:r w:rsidRPr="00E600C4">
        <w:t xml:space="preserve"> </w:t>
      </w:r>
    </w:p>
    <w:p w14:paraId="348ED6E4" w14:textId="77777777" w:rsidR="00CA57F1" w:rsidRDefault="00CA57F1" w:rsidP="00F326E5">
      <w:pPr>
        <w:rPr>
          <w:sz w:val="24"/>
          <w:szCs w:val="24"/>
        </w:rPr>
      </w:pPr>
      <w:bookmarkStart w:id="652" w:name="_Hlk7349662"/>
      <w:bookmarkEnd w:id="648"/>
    </w:p>
    <w:p w14:paraId="54D21001" w14:textId="77777777" w:rsidR="00CA57F1" w:rsidRDefault="00CA57F1" w:rsidP="00F326E5">
      <w:pPr>
        <w:rPr>
          <w:sz w:val="24"/>
          <w:szCs w:val="24"/>
        </w:rPr>
      </w:pPr>
    </w:p>
    <w:p w14:paraId="7BEDE829" w14:textId="77777777" w:rsidR="00CA57F1" w:rsidRDefault="00CA57F1" w:rsidP="00F326E5">
      <w:pPr>
        <w:rPr>
          <w:sz w:val="24"/>
          <w:szCs w:val="24"/>
        </w:rPr>
      </w:pPr>
    </w:p>
    <w:p w14:paraId="795075B7" w14:textId="77777777" w:rsidR="000C4DF5" w:rsidRDefault="000C4DF5" w:rsidP="00F326E5">
      <w:pPr>
        <w:rPr>
          <w:rFonts w:ascii="Arial Black" w:hAnsi="Arial Black"/>
          <w:b/>
          <w:sz w:val="28"/>
          <w:szCs w:val="28"/>
        </w:rPr>
      </w:pPr>
    </w:p>
    <w:p w14:paraId="2D825C6D" w14:textId="6514FF16" w:rsidR="000C4DF5" w:rsidRDefault="000C4DF5" w:rsidP="000C4DF5">
      <w:pPr>
        <w:pStyle w:val="NoSpacing"/>
        <w:rPr>
          <w:rFonts w:ascii="Arial Black" w:hAnsi="Arial Black"/>
          <w:sz w:val="24"/>
          <w:szCs w:val="24"/>
        </w:rPr>
      </w:pPr>
      <w:r>
        <w:rPr>
          <w:rFonts w:ascii="Arial Black" w:hAnsi="Arial Black"/>
          <w:sz w:val="24"/>
          <w:szCs w:val="24"/>
        </w:rPr>
        <w:t>17-1</w:t>
      </w:r>
    </w:p>
    <w:p w14:paraId="695CF07A" w14:textId="77777777" w:rsidR="000C4DF5" w:rsidRDefault="000C4DF5" w:rsidP="00F326E5">
      <w:pPr>
        <w:rPr>
          <w:rFonts w:ascii="Arial Black" w:hAnsi="Arial Black"/>
          <w:b/>
          <w:sz w:val="28"/>
          <w:szCs w:val="28"/>
        </w:rPr>
      </w:pPr>
    </w:p>
    <w:p w14:paraId="285D138A" w14:textId="1EC0E6A4" w:rsidR="00F326E5" w:rsidRPr="005157CA" w:rsidRDefault="00F326E5" w:rsidP="00F326E5">
      <w:pPr>
        <w:rPr>
          <w:b/>
          <w:sz w:val="24"/>
          <w:szCs w:val="24"/>
        </w:rPr>
      </w:pPr>
      <w:r w:rsidRPr="00512C93">
        <w:rPr>
          <w:rFonts w:ascii="Arial Black" w:hAnsi="Arial Black"/>
          <w:b/>
          <w:sz w:val="28"/>
          <w:szCs w:val="28"/>
        </w:rPr>
        <w:lastRenderedPageBreak/>
        <w:t xml:space="preserve">U.S. </w:t>
      </w:r>
      <w:r>
        <w:rPr>
          <w:rFonts w:ascii="Arial Black" w:hAnsi="Arial Black"/>
          <w:b/>
          <w:sz w:val="28"/>
          <w:szCs w:val="28"/>
        </w:rPr>
        <w:t xml:space="preserve">SUPREME COURT: ARBITRATION BINDING ON ACCOUNTANT – EMPLOYEE THEREFORE CAN’T SUE </w:t>
      </w:r>
    </w:p>
    <w:p w14:paraId="15C34DDC" w14:textId="77777777" w:rsidR="00F326E5" w:rsidRPr="00E600C4" w:rsidRDefault="00F326E5" w:rsidP="00F326E5">
      <w:pPr>
        <w:pStyle w:val="NoSpacing"/>
        <w:rPr>
          <w:rFonts w:ascii="Times New Roman" w:hAnsi="Times New Roman"/>
          <w:sz w:val="24"/>
          <w:szCs w:val="24"/>
        </w:rPr>
      </w:pPr>
      <w:r w:rsidRPr="00E600C4">
        <w:rPr>
          <w:rFonts w:ascii="Times New Roman" w:hAnsi="Times New Roman"/>
          <w:sz w:val="24"/>
          <w:szCs w:val="24"/>
        </w:rPr>
        <w:t xml:space="preserve">On May 21, 2018, in </w:t>
      </w:r>
      <w:r w:rsidRPr="00E600C4">
        <w:rPr>
          <w:rFonts w:ascii="Times New Roman" w:hAnsi="Times New Roman"/>
          <w:sz w:val="24"/>
          <w:szCs w:val="24"/>
          <w:u w:val="single"/>
        </w:rPr>
        <w:t>Epic Systems Corp. v. Lewis</w:t>
      </w:r>
      <w:r w:rsidRPr="00E600C4">
        <w:rPr>
          <w:rFonts w:ascii="Times New Roman" w:hAnsi="Times New Roman"/>
          <w:sz w:val="24"/>
          <w:szCs w:val="24"/>
        </w:rPr>
        <w:t>, the U.S. Supreme Court (5 to 4), 584 U.S. ___ (2018), in a decision written by newly appointed Justice Gorsuch, held:</w:t>
      </w:r>
    </w:p>
    <w:p w14:paraId="54B05E62" w14:textId="77777777" w:rsidR="00E600C4" w:rsidRDefault="00E600C4" w:rsidP="00F326E5">
      <w:pPr>
        <w:pStyle w:val="NoSpacing"/>
        <w:ind w:left="720"/>
        <w:rPr>
          <w:rFonts w:ascii="Times New Roman" w:eastAsia="Times New Roman" w:hAnsi="Times New Roman"/>
          <w:sz w:val="24"/>
          <w:szCs w:val="24"/>
        </w:rPr>
      </w:pPr>
    </w:p>
    <w:p w14:paraId="008E9CCC" w14:textId="57F45D69" w:rsidR="00F326E5" w:rsidRPr="00E600C4" w:rsidRDefault="00F326E5" w:rsidP="00F326E5">
      <w:pPr>
        <w:pStyle w:val="NoSpacing"/>
        <w:ind w:left="720"/>
        <w:rPr>
          <w:rFonts w:ascii="Times New Roman" w:hAnsi="Times New Roman"/>
          <w:sz w:val="24"/>
          <w:szCs w:val="24"/>
        </w:rPr>
      </w:pPr>
      <w:r w:rsidRPr="00E600C4">
        <w:rPr>
          <w:rFonts w:ascii="Times New Roman" w:eastAsia="Times New Roman" w:hAnsi="Times New Roman"/>
          <w:sz w:val="24"/>
          <w:szCs w:val="24"/>
        </w:rPr>
        <w:t xml:space="preserve">“Should employees and employers be allowed to agree that any disputes between them will be resolved through one-on-one arbitration? Or should employees always be permitted to bring their claims in class or collective actions, no matter what they agreed with their employers?  As a matter of policy these questions are surely debatable. But as a matter of law the answer is clear. In the Federal Arbitration Act, Congress has instructed federal courts to enforce arbitration agreements according to their terms—including terms providing for individualized proceedings.” </w:t>
      </w:r>
      <w:hyperlink r:id="rId2903" w:history="1">
        <w:r w:rsidRPr="00E600C4">
          <w:rPr>
            <w:rStyle w:val="Hyperlink"/>
            <w:rFonts w:ascii="Times New Roman" w:hAnsi="Times New Roman"/>
            <w:sz w:val="24"/>
            <w:szCs w:val="24"/>
          </w:rPr>
          <w:t>https://www.supremecourt.gov/opinions/17pdf/16-285_q8l1.pdf</w:t>
        </w:r>
      </w:hyperlink>
    </w:p>
    <w:p w14:paraId="7A21EBDA" w14:textId="36776981" w:rsidR="00F326E5" w:rsidRPr="00E600C4" w:rsidRDefault="00F326E5" w:rsidP="00F326E5">
      <w:pPr>
        <w:pStyle w:val="statutory-body-3em"/>
        <w:rPr>
          <w:b/>
        </w:rPr>
      </w:pPr>
      <w:r w:rsidRPr="00E600C4">
        <w:rPr>
          <w:b/>
        </w:rPr>
        <w:t xml:space="preserve">Legal Lessons Learned:  Many employers, including private ambulance companies, will now be encouraged to have new hires sign an arbitration document.  </w:t>
      </w:r>
      <w:r w:rsidR="000C4DF5" w:rsidRPr="00E600C4">
        <w:rPr>
          <w:b/>
        </w:rPr>
        <w:t xml:space="preserve">  </w:t>
      </w:r>
    </w:p>
    <w:p w14:paraId="0261F310" w14:textId="77777777" w:rsidR="00F326E5" w:rsidRPr="00E600C4" w:rsidRDefault="00F326E5" w:rsidP="00F326E5">
      <w:pPr>
        <w:pStyle w:val="statutory-body-3em"/>
        <w:ind w:left="720"/>
      </w:pPr>
      <w:r w:rsidRPr="00E600C4">
        <w:t xml:space="preserve">AFL-CIO President Richard Trauma was quoted, “Five justices on the Supreme Court decided that it is acceptable for working people to have their legal rights taken away by corporations in order to keep their jobs.” </w:t>
      </w:r>
      <w:hyperlink r:id="rId2904" w:history="1">
        <w:r w:rsidRPr="00E600C4">
          <w:rPr>
            <w:rStyle w:val="Hyperlink"/>
          </w:rPr>
          <w:t>https://www.sfgate.com/news/article/Supreme-Court-rules-that-companies-can-require-12931130.php</w:t>
        </w:r>
      </w:hyperlink>
      <w:r w:rsidRPr="00E600C4">
        <w:t xml:space="preserve"> </w:t>
      </w:r>
    </w:p>
    <w:p w14:paraId="02B66098" w14:textId="67A86A1F" w:rsidR="00F326E5" w:rsidRPr="00E600C4" w:rsidRDefault="00F326E5" w:rsidP="00F326E5">
      <w:pPr>
        <w:pStyle w:val="NormalWeb"/>
        <w:ind w:left="720"/>
      </w:pPr>
      <w:r w:rsidRPr="00E600C4">
        <w:t xml:space="preserve">Note:  </w:t>
      </w:r>
      <w:r w:rsidR="0003275C">
        <w:t>S</w:t>
      </w:r>
      <w:r w:rsidRPr="00E600C4">
        <w:t xml:space="preserve">ee Jan. 15, 2019 U.S. Supreme Court decision in New Prime, Inc. v. Oliveira, </w:t>
      </w:r>
      <w:r w:rsidRPr="00E600C4">
        <w:rPr>
          <w:rStyle w:val="Strong"/>
        </w:rPr>
        <w:t>Holding</w:t>
      </w:r>
      <w:r w:rsidRPr="00E600C4">
        <w:rPr>
          <w:b/>
        </w:rPr>
        <w:t>:</w:t>
      </w:r>
      <w:r w:rsidRPr="00E600C4">
        <w:t xml:space="preserve"> A court should determine whether the Federal Arbitration Act’s Section 1 exclusion for disputes involving the “contracts of employment” of certain transportation workers applies before ordering arbitration; here, truck driver Dominic Oliveira’s independent contractor operating agreement with New Prime Inc. falls within that exception. </w:t>
      </w:r>
      <w:r w:rsidRPr="00E600C4">
        <w:rPr>
          <w:rStyle w:val="Strong"/>
        </w:rPr>
        <w:t>Judgment</w:t>
      </w:r>
      <w:r w:rsidRPr="00E600C4">
        <w:rPr>
          <w:b/>
        </w:rPr>
        <w:t xml:space="preserve">: </w:t>
      </w:r>
      <w:hyperlink r:id="rId2905" w:tgtFrame="_blank" w:history="1">
        <w:r w:rsidRPr="00E600C4">
          <w:rPr>
            <w:rStyle w:val="Hyperlink"/>
          </w:rPr>
          <w:t>Affirmed</w:t>
        </w:r>
      </w:hyperlink>
      <w:r w:rsidRPr="00E600C4">
        <w:t xml:space="preserve">, 8-0, in an opinion by Justice Gorsuch on January 15, 2019. Justice Ginsburg filed a concurring opinion. Justice Kavanaugh took no part in the consideration or decision of the case. </w:t>
      </w:r>
      <w:hyperlink r:id="rId2906" w:history="1">
        <w:r w:rsidRPr="00E600C4">
          <w:rPr>
            <w:rStyle w:val="Hyperlink"/>
          </w:rPr>
          <w:t>https://www.scotusblog.com/case-files/cases/new-prime-inc-v-oliveira/</w:t>
        </w:r>
      </w:hyperlink>
      <w:r w:rsidRPr="00E600C4">
        <w:t xml:space="preserve"> </w:t>
      </w:r>
    </w:p>
    <w:p w14:paraId="29A4480B" w14:textId="77777777" w:rsidR="00F326E5" w:rsidRPr="0038317F" w:rsidRDefault="00F326E5" w:rsidP="00F326E5">
      <w:pPr>
        <w:pStyle w:val="NoSpacing"/>
        <w:rPr>
          <w:rFonts w:ascii="Arial Black" w:hAnsi="Arial Black"/>
          <w:sz w:val="40"/>
          <w:szCs w:val="40"/>
        </w:rPr>
      </w:pPr>
    </w:p>
    <w:p w14:paraId="1E6C878A" w14:textId="77777777" w:rsidR="00F326E5" w:rsidRDefault="00F326E5" w:rsidP="00F326E5">
      <w:pPr>
        <w:pStyle w:val="NoSpacing"/>
        <w:rPr>
          <w:rFonts w:ascii="Arial Black" w:hAnsi="Arial Black"/>
          <w:sz w:val="40"/>
          <w:szCs w:val="40"/>
        </w:rPr>
      </w:pPr>
    </w:p>
    <w:bookmarkEnd w:id="652"/>
    <w:p w14:paraId="44987826" w14:textId="77777777" w:rsidR="00F326E5" w:rsidRDefault="00F326E5" w:rsidP="00F326E5">
      <w:pPr>
        <w:rPr>
          <w:rFonts w:ascii="Arial Black" w:hAnsi="Arial Black"/>
          <w:sz w:val="40"/>
          <w:szCs w:val="40"/>
        </w:rPr>
      </w:pPr>
      <w:r>
        <w:rPr>
          <w:rFonts w:ascii="Arial Black" w:hAnsi="Arial Black"/>
          <w:sz w:val="40"/>
          <w:szCs w:val="40"/>
        </w:rPr>
        <w:br w:type="page"/>
      </w:r>
    </w:p>
    <w:p w14:paraId="0D227104" w14:textId="6F47691A" w:rsidR="00DF36E6" w:rsidRDefault="00DF36E6">
      <w:pPr>
        <w:spacing w:after="0" w:line="240" w:lineRule="auto"/>
        <w:rPr>
          <w:rFonts w:ascii="Arial Black" w:hAnsi="Arial Black"/>
          <w:sz w:val="40"/>
          <w:szCs w:val="40"/>
        </w:rPr>
      </w:pPr>
      <w:r>
        <w:rPr>
          <w:rFonts w:ascii="Arial Black" w:hAnsi="Arial Black"/>
          <w:sz w:val="40"/>
          <w:szCs w:val="40"/>
        </w:rPr>
        <w:lastRenderedPageBreak/>
        <w:br w:type="page"/>
      </w:r>
    </w:p>
    <w:p w14:paraId="28461A6E" w14:textId="6E7A6496" w:rsidR="00F326E5" w:rsidRPr="007732FA" w:rsidRDefault="00F326E5" w:rsidP="00F326E5">
      <w:pPr>
        <w:pStyle w:val="NoSpacing"/>
        <w:rPr>
          <w:rFonts w:ascii="Arial Black" w:hAnsi="Arial Black"/>
          <w:sz w:val="40"/>
          <w:szCs w:val="40"/>
        </w:rPr>
      </w:pPr>
      <w:r w:rsidRPr="007732FA">
        <w:rPr>
          <w:rFonts w:ascii="Arial Black" w:hAnsi="Arial Black"/>
          <w:sz w:val="40"/>
          <w:szCs w:val="40"/>
        </w:rPr>
        <w:lastRenderedPageBreak/>
        <w:t xml:space="preserve">Chap. 18 </w:t>
      </w:r>
      <w:r w:rsidRPr="007732FA">
        <w:rPr>
          <w:rFonts w:ascii="Arial Black" w:hAnsi="Arial Black"/>
          <w:sz w:val="40"/>
          <w:szCs w:val="40"/>
        </w:rPr>
        <w:tab/>
      </w:r>
      <w:r w:rsidRPr="007732FA">
        <w:rPr>
          <w:rFonts w:ascii="Arial Black" w:hAnsi="Arial Black"/>
          <w:sz w:val="40"/>
          <w:szCs w:val="40"/>
        </w:rPr>
        <w:tab/>
        <w:t>Legislation</w:t>
      </w:r>
      <w:r w:rsidR="00B15008">
        <w:rPr>
          <w:rFonts w:ascii="Arial Black" w:hAnsi="Arial Black"/>
          <w:sz w:val="40"/>
          <w:szCs w:val="40"/>
        </w:rPr>
        <w:t>, incl. Public Records</w:t>
      </w:r>
      <w:r w:rsidRPr="007732FA">
        <w:rPr>
          <w:rFonts w:ascii="Arial Black" w:hAnsi="Arial Black"/>
          <w:sz w:val="40"/>
          <w:szCs w:val="40"/>
        </w:rPr>
        <w:tab/>
      </w:r>
    </w:p>
    <w:p w14:paraId="2470B286" w14:textId="77777777" w:rsidR="00F326E5" w:rsidRDefault="00F326E5" w:rsidP="00F326E5">
      <w:pPr>
        <w:pStyle w:val="NoSpacing"/>
        <w:rPr>
          <w:rFonts w:ascii="Arial Black" w:hAnsi="Arial Black"/>
          <w:sz w:val="28"/>
          <w:szCs w:val="28"/>
        </w:rPr>
      </w:pPr>
    </w:p>
    <w:p w14:paraId="07083131" w14:textId="7918240F" w:rsidR="00A4294E" w:rsidRDefault="00A4294E" w:rsidP="00237A65">
      <w:pPr>
        <w:pStyle w:val="NoSpacing"/>
        <w:rPr>
          <w:rFonts w:ascii="Arial Black" w:hAnsi="Arial Black"/>
          <w:sz w:val="28"/>
          <w:szCs w:val="28"/>
        </w:rPr>
      </w:pPr>
      <w:bookmarkStart w:id="653" w:name="_Hlk66950840"/>
      <w:bookmarkStart w:id="654" w:name="_Hlk7349738"/>
      <w:r>
        <w:rPr>
          <w:rFonts w:ascii="Arial Black" w:hAnsi="Arial Black"/>
          <w:sz w:val="24"/>
          <w:szCs w:val="24"/>
        </w:rPr>
        <w:t>18-34 [also filed Chap.13]</w:t>
      </w:r>
    </w:p>
    <w:p w14:paraId="0A01DFF6" w14:textId="77777777" w:rsidR="00A4294E" w:rsidRDefault="00A4294E" w:rsidP="00237A65">
      <w:pPr>
        <w:pStyle w:val="NoSpacing"/>
        <w:rPr>
          <w:rFonts w:ascii="Arial Black" w:hAnsi="Arial Black"/>
          <w:sz w:val="28"/>
          <w:szCs w:val="28"/>
        </w:rPr>
      </w:pPr>
    </w:p>
    <w:p w14:paraId="5A62591E" w14:textId="6053CD8F" w:rsidR="00237A65" w:rsidRPr="00554749" w:rsidRDefault="00237A65" w:rsidP="00237A65">
      <w:pPr>
        <w:pStyle w:val="NoSpacing"/>
        <w:rPr>
          <w:rFonts w:ascii="Arial Black" w:hAnsi="Arial Black"/>
          <w:sz w:val="28"/>
          <w:szCs w:val="28"/>
        </w:rPr>
      </w:pPr>
      <w:r>
        <w:rPr>
          <w:rFonts w:ascii="Arial Black" w:hAnsi="Arial Black"/>
          <w:sz w:val="28"/>
          <w:szCs w:val="28"/>
        </w:rPr>
        <w:t>CO: BABY “SAFE HAVEN LAW” – MOM STAYS “ANONYMOUS”</w:t>
      </w:r>
    </w:p>
    <w:p w14:paraId="0A01C139" w14:textId="77777777" w:rsidR="00237A65" w:rsidRDefault="00237A65" w:rsidP="00237A65">
      <w:pPr>
        <w:pStyle w:val="NoSpacing"/>
      </w:pPr>
    </w:p>
    <w:p w14:paraId="005E5BB6" w14:textId="77777777" w:rsidR="00237A65" w:rsidRDefault="00237A65" w:rsidP="00237A65">
      <w:r>
        <w:t xml:space="preserve">On June 8, 2026, </w:t>
      </w:r>
      <w:r w:rsidRPr="0018279B">
        <w:rPr>
          <w:u w:val="single"/>
        </w:rPr>
        <w:t>In Re The People of the State of Colorado, In The Interest of Minor Child:</w:t>
      </w:r>
      <w:r>
        <w:rPr>
          <w:u w:val="single"/>
        </w:rPr>
        <w:t xml:space="preserve"> </w:t>
      </w:r>
      <w:r w:rsidRPr="0018279B">
        <w:rPr>
          <w:u w:val="single"/>
        </w:rPr>
        <w:t>G.D.M. v. Morgan County Department of Human Services</w:t>
      </w:r>
      <w:r>
        <w:t xml:space="preserve">, </w:t>
      </w:r>
      <w:r w:rsidRPr="0018279B">
        <w:t>the Supreme Court of Colorado, En Banc</w:t>
      </w:r>
      <w:r>
        <w:t xml:space="preserve"> (6 to 1) held that with baby born in ambulance in hospital parking lot, and mother told EMS she wanted to give the baby up for adoption, the County Department of Human Services had no right to know mother’s or father’s identity. The Court wrote: “</w:t>
      </w:r>
      <w:r w:rsidRPr="00B548EE">
        <w:t>Together, these tools of construction speak in a quiet but unmistakable voice, leading us to infer that parents who avail themselves of this law are entitled to anonymity and confidentiality.</w:t>
      </w:r>
      <w:r>
        <w:t xml:space="preserve">” </w:t>
      </w:r>
      <w:hyperlink r:id="rId2907" w:history="1">
        <w:r w:rsidRPr="003E6F82">
          <w:rPr>
            <w:rStyle w:val="Hyperlink"/>
          </w:rPr>
          <w:t>https://caselaw.findlaw.com/court/co-supreme-court/111256.html</w:t>
        </w:r>
      </w:hyperlink>
      <w:r>
        <w:t xml:space="preserve"> </w:t>
      </w:r>
    </w:p>
    <w:p w14:paraId="3EF10AD7" w14:textId="77777777" w:rsidR="00237A65" w:rsidRDefault="00237A65" w:rsidP="00237A65">
      <w:pPr>
        <w:rPr>
          <w:b/>
        </w:rPr>
      </w:pPr>
    </w:p>
    <w:p w14:paraId="4039BD03" w14:textId="77777777" w:rsidR="00237A65" w:rsidRDefault="00237A65" w:rsidP="00237A65">
      <w:pPr>
        <w:rPr>
          <w:b/>
        </w:rPr>
      </w:pPr>
      <w:r>
        <w:rPr>
          <w:b/>
        </w:rPr>
        <w:t>FACTS:</w:t>
      </w:r>
    </w:p>
    <w:p w14:paraId="0214FB54" w14:textId="77777777" w:rsidR="00237A65" w:rsidRPr="00CA4A65" w:rsidRDefault="00237A65" w:rsidP="00237A65">
      <w:pPr>
        <w:pStyle w:val="NoSpacing"/>
      </w:pPr>
      <w:r>
        <w:t>“</w:t>
      </w:r>
      <w:r w:rsidRPr="00CA4A65">
        <w:t>In this case, M.O.M. (</w:t>
      </w:r>
      <w:r>
        <w:t>‘</w:t>
      </w:r>
      <w:r w:rsidRPr="00CA4A65">
        <w:t>Birth Mother</w:t>
      </w:r>
      <w:r>
        <w:t>’</w:t>
      </w:r>
      <w:r w:rsidRPr="00CA4A65">
        <w:t xml:space="preserve">) gave birth to G.D.M. in the back of an ambulance in the parking lot of a hospital. She immediately told medical staff that she neither wanted nor had the means to care for G.D.M. She added that the baby's father was not in the picture, so she wanted to give the baby up for adoption. </w:t>
      </w:r>
    </w:p>
    <w:p w14:paraId="79FA73D1" w14:textId="77777777" w:rsidR="00237A65" w:rsidRDefault="00237A65" w:rsidP="00237A65">
      <w:pPr>
        <w:pStyle w:val="NoSpacing"/>
      </w:pPr>
      <w:r w:rsidRPr="00CA4A65">
        <w:t>       </w:t>
      </w:r>
    </w:p>
    <w:p w14:paraId="183A22E0" w14:textId="77777777" w:rsidR="00237A65" w:rsidRDefault="00237A65" w:rsidP="00237A65">
      <w:pPr>
        <w:pStyle w:val="NoSpacing"/>
      </w:pPr>
      <w:r w:rsidRPr="00CA4A65">
        <w:t xml:space="preserve">The Morgan County Department of Human </w:t>
      </w:r>
      <w:proofErr w:type="gramStart"/>
      <w:r w:rsidRPr="00CA4A65">
        <w:t>Services (</w:t>
      </w:r>
      <w:r>
        <w:t>‘</w:t>
      </w:r>
      <w:r w:rsidRPr="00CA4A65">
        <w:t>MCDHS</w:t>
      </w:r>
      <w:r>
        <w:t>’</w:t>
      </w:r>
      <w:r w:rsidRPr="00CA4A65">
        <w:t>)</w:t>
      </w:r>
      <w:proofErr w:type="gramEnd"/>
      <w:r w:rsidRPr="00CA4A65">
        <w:t xml:space="preserve"> promptly initiated this dependency or </w:t>
      </w:r>
      <w:proofErr w:type="gramStart"/>
      <w:r w:rsidRPr="00CA4A65">
        <w:t>neglect</w:t>
      </w:r>
      <w:proofErr w:type="gramEnd"/>
      <w:r w:rsidRPr="00CA4A65">
        <w:t xml:space="preserve"> proceeding. Treating this case like any other abandonment matter, MCDHS </w:t>
      </w:r>
      <w:proofErr w:type="gramStart"/>
      <w:r w:rsidRPr="00CA4A65">
        <w:t>conducted an investigation</w:t>
      </w:r>
      <w:proofErr w:type="gramEnd"/>
      <w:r w:rsidRPr="00CA4A65">
        <w:t xml:space="preserve"> and, after discovering Birth Mother's identity, undertook </w:t>
      </w:r>
      <w:r>
        <w:t>‘</w:t>
      </w:r>
      <w:r w:rsidRPr="00CA4A65">
        <w:t xml:space="preserve">due </w:t>
      </w:r>
      <w:proofErr w:type="gramStart"/>
      <w:r w:rsidRPr="00CA4A65">
        <w:t>diligence</w:t>
      </w:r>
      <w:r>
        <w:t>’</w:t>
      </w:r>
      <w:proofErr w:type="gramEnd"/>
      <w:r>
        <w:t xml:space="preserve"> </w:t>
      </w:r>
      <w:r w:rsidRPr="00CA4A65">
        <w:t xml:space="preserve">efforts by contacting her family members in search of appropriate placement options. When the juvenile court realized what was occurring, it intervened to </w:t>
      </w:r>
      <w:proofErr w:type="gramStart"/>
      <w:r w:rsidRPr="00CA4A65">
        <w:t>course correct</w:t>
      </w:r>
      <w:proofErr w:type="gramEnd"/>
      <w:r w:rsidRPr="00CA4A65">
        <w:t xml:space="preserve"> by written order. The </w:t>
      </w:r>
      <w:r>
        <w:t xml:space="preserve"> </w:t>
      </w:r>
      <w:r w:rsidRPr="00CA4A65">
        <w:t>court halted MCDHS's efforts, concluding that Birth Mother had a right to anonymity and confidentiality under the Safe Haven Law.</w:t>
      </w:r>
    </w:p>
    <w:p w14:paraId="09589EDB" w14:textId="77777777" w:rsidR="00237A65" w:rsidRDefault="00237A65" w:rsidP="00237A65">
      <w:pPr>
        <w:pStyle w:val="NoSpacing"/>
      </w:pPr>
    </w:p>
    <w:p w14:paraId="27D2E2DE" w14:textId="77777777" w:rsidR="00237A65" w:rsidRDefault="00237A65" w:rsidP="00237A65">
      <w:pPr>
        <w:pStyle w:val="NoSpacing"/>
      </w:pPr>
      <w:r w:rsidRPr="00DC2200">
        <w:t>MCDHS disagreed. It filed a C.A.R. 21 petition asking us to shed light on the question, and we issued an order to show cause. MCDHS contends that the juvenile court went astray in determining that Birth Mother is entitled to anonymity and confidentiality under the Safe Haven Law. As a result, MCDHS asserts, the court improperly blocked its efforts to identify appropriate placement options for G.D.M. among Birth Mother's family members</w:t>
      </w:r>
      <w:r>
        <w:t xml:space="preserve">.” </w:t>
      </w:r>
    </w:p>
    <w:p w14:paraId="60563809" w14:textId="77777777" w:rsidR="00237A65" w:rsidRDefault="00237A65" w:rsidP="00237A65">
      <w:pPr>
        <w:pStyle w:val="NoSpacing"/>
      </w:pPr>
    </w:p>
    <w:p w14:paraId="66B0A5DB" w14:textId="77777777" w:rsidR="00237A65" w:rsidRDefault="00237A65" w:rsidP="00237A65">
      <w:pPr>
        <w:pStyle w:val="NoSpacing"/>
        <w:rPr>
          <w:b/>
          <w:bCs/>
        </w:rPr>
      </w:pPr>
      <w:r w:rsidRPr="001F38F4">
        <w:rPr>
          <w:b/>
        </w:rPr>
        <w:t xml:space="preserve">COURT HELD: </w:t>
      </w:r>
    </w:p>
    <w:p w14:paraId="21D7B4AD" w14:textId="77777777" w:rsidR="00237A65" w:rsidRDefault="00237A65" w:rsidP="00237A65">
      <w:pPr>
        <w:pStyle w:val="NoSpacing"/>
        <w:rPr>
          <w:b/>
          <w:bCs/>
        </w:rPr>
      </w:pPr>
    </w:p>
    <w:p w14:paraId="6B3B1CD3" w14:textId="77777777" w:rsidR="00237A65" w:rsidRDefault="00237A65" w:rsidP="00237A65">
      <w:pPr>
        <w:pStyle w:val="NoSpacing"/>
      </w:pPr>
      <w:r>
        <w:t>“</w:t>
      </w:r>
      <w:r w:rsidRPr="0090196A">
        <w:t xml:space="preserve">Colorado's Safe Haven Law, section 19-3-304.5(1)(b), C.R.S. (2025), affords parents of newborns a vital refuge: It allows them to voluntarily relinquish a child who is seventy-two hours old or younger into the protective hands of either a firefighter (when the firefighter is at a fire station) or certain hospital or clinic staff members (when they are at a hospital or community clinic emergency center), as long as the parent does </w:t>
      </w:r>
      <w:r>
        <w:t>‘</w:t>
      </w:r>
      <w:r w:rsidRPr="0090196A">
        <w:t>not express an intent to return for the child.</w:t>
      </w:r>
      <w:r>
        <w:t>’</w:t>
      </w:r>
      <w:r w:rsidRPr="0090196A">
        <w:t xml:space="preserve"> In extending this lifeline, the legislature also provided an assurance: Any parent who takes advantage of the Safe Haven Law</w:t>
      </w:r>
      <w:r>
        <w:t xml:space="preserve">’ </w:t>
      </w:r>
      <w:r w:rsidRPr="0090196A">
        <w:t>shall not, for that reason alone, be found to be responsible in a confirmed report of abuse or neglect.</w:t>
      </w:r>
      <w:r>
        <w:t>’</w:t>
      </w:r>
      <w:r w:rsidRPr="0090196A">
        <w:t xml:space="preserve"> § 19-3-304.5(8). </w:t>
      </w:r>
    </w:p>
    <w:p w14:paraId="55CDAB89" w14:textId="77777777" w:rsidR="00237A65" w:rsidRDefault="00237A65" w:rsidP="00237A65">
      <w:pPr>
        <w:pStyle w:val="NoSpacing"/>
      </w:pPr>
    </w:p>
    <w:p w14:paraId="4E3A7B5D" w14:textId="77777777" w:rsidR="00237A65" w:rsidRDefault="00237A65" w:rsidP="00237A65">
      <w:pPr>
        <w:pStyle w:val="NoSpacing"/>
      </w:pPr>
      <w:r>
        <w:t>***</w:t>
      </w:r>
    </w:p>
    <w:p w14:paraId="349B7B66" w14:textId="77777777" w:rsidR="00237A65" w:rsidRDefault="00237A65" w:rsidP="00237A65">
      <w:pPr>
        <w:pStyle w:val="NoSpacing"/>
      </w:pPr>
      <w:r w:rsidRPr="0082533A">
        <w:t>In short, the statute's broader provisions and the architecture they blueprint signal that the legislature meant to bestow a parent who properly invokes the Safe Haven Law with anonymity and confidentiality.</w:t>
      </w:r>
      <w:r>
        <w:t>”</w:t>
      </w:r>
    </w:p>
    <w:p w14:paraId="4BD9BF03" w14:textId="77777777" w:rsidR="00237A65" w:rsidRDefault="00237A65" w:rsidP="00237A65">
      <w:pPr>
        <w:pStyle w:val="NoSpacing"/>
      </w:pPr>
    </w:p>
    <w:p w14:paraId="7B81B073" w14:textId="77777777" w:rsidR="00237A65" w:rsidRDefault="00237A65" w:rsidP="00237A65">
      <w:pPr>
        <w:pStyle w:val="NoSpacing"/>
        <w:rPr>
          <w:b/>
          <w:bCs/>
        </w:rPr>
      </w:pPr>
      <w:r w:rsidRPr="0082533A">
        <w:rPr>
          <w:b/>
        </w:rPr>
        <w:t xml:space="preserve">Legal lesson learned: </w:t>
      </w:r>
      <w:r>
        <w:rPr>
          <w:b/>
        </w:rPr>
        <w:t xml:space="preserve">Excellent decision; helpful if statutes are explicit that mother can remain anonymous. </w:t>
      </w:r>
    </w:p>
    <w:p w14:paraId="4F5FE8AE" w14:textId="77777777" w:rsidR="00237A65" w:rsidRDefault="00237A65" w:rsidP="000C4DF5">
      <w:pPr>
        <w:pStyle w:val="NoSpacing"/>
        <w:rPr>
          <w:rFonts w:ascii="Arial Black" w:hAnsi="Arial Black"/>
          <w:sz w:val="24"/>
          <w:szCs w:val="24"/>
        </w:rPr>
      </w:pPr>
    </w:p>
    <w:p w14:paraId="7B9C3B5C" w14:textId="77777777" w:rsidR="00237A65" w:rsidRDefault="00237A65" w:rsidP="000C4DF5">
      <w:pPr>
        <w:pStyle w:val="NoSpacing"/>
        <w:rPr>
          <w:rFonts w:ascii="Arial Black" w:hAnsi="Arial Black"/>
          <w:sz w:val="24"/>
          <w:szCs w:val="24"/>
        </w:rPr>
      </w:pPr>
    </w:p>
    <w:p w14:paraId="585F3EE7" w14:textId="77777777" w:rsidR="00237A65" w:rsidRDefault="00237A65" w:rsidP="000C4DF5">
      <w:pPr>
        <w:pStyle w:val="NoSpacing"/>
        <w:rPr>
          <w:rFonts w:ascii="Arial Black" w:hAnsi="Arial Black"/>
          <w:sz w:val="24"/>
          <w:szCs w:val="24"/>
        </w:rPr>
      </w:pPr>
    </w:p>
    <w:p w14:paraId="7D8E6269" w14:textId="77777777" w:rsidR="00237A65" w:rsidRDefault="00237A65" w:rsidP="000C4DF5">
      <w:pPr>
        <w:pStyle w:val="NoSpacing"/>
        <w:rPr>
          <w:rFonts w:ascii="Arial Black" w:hAnsi="Arial Black"/>
          <w:sz w:val="24"/>
          <w:szCs w:val="24"/>
        </w:rPr>
      </w:pPr>
    </w:p>
    <w:p w14:paraId="301CBB46" w14:textId="58FD03FA" w:rsidR="006F24F3" w:rsidRDefault="006F24F3" w:rsidP="000C4DF5">
      <w:pPr>
        <w:pStyle w:val="NoSpacing"/>
        <w:rPr>
          <w:rFonts w:ascii="Arial Black" w:hAnsi="Arial Black"/>
          <w:sz w:val="24"/>
          <w:szCs w:val="24"/>
        </w:rPr>
      </w:pPr>
      <w:r>
        <w:rPr>
          <w:rFonts w:ascii="Arial Black" w:hAnsi="Arial Black"/>
          <w:sz w:val="24"/>
          <w:szCs w:val="24"/>
        </w:rPr>
        <w:t>18-3</w:t>
      </w:r>
      <w:r w:rsidR="00191CD7">
        <w:rPr>
          <w:rFonts w:ascii="Arial Black" w:hAnsi="Arial Black"/>
          <w:sz w:val="24"/>
          <w:szCs w:val="24"/>
        </w:rPr>
        <w:t>3</w:t>
      </w:r>
    </w:p>
    <w:p w14:paraId="480B3161" w14:textId="77777777" w:rsidR="00191CD7" w:rsidRDefault="00191CD7" w:rsidP="000C4DF5">
      <w:pPr>
        <w:pStyle w:val="NoSpacing"/>
        <w:rPr>
          <w:rFonts w:ascii="Arial Black" w:hAnsi="Arial Black"/>
          <w:sz w:val="24"/>
          <w:szCs w:val="24"/>
        </w:rPr>
      </w:pPr>
    </w:p>
    <w:p w14:paraId="58D0AEEC" w14:textId="188D256F" w:rsidR="00191CD7" w:rsidRPr="00191CD7" w:rsidRDefault="00191CD7" w:rsidP="00191CD7">
      <w:pPr>
        <w:pStyle w:val="NoSpacing"/>
        <w:rPr>
          <w:rFonts w:ascii="Times New Roman" w:hAnsi="Times New Roman"/>
          <w:b/>
          <w:sz w:val="24"/>
          <w:szCs w:val="24"/>
        </w:rPr>
      </w:pPr>
      <w:r>
        <w:rPr>
          <w:rFonts w:ascii="Arial Black" w:hAnsi="Arial Black"/>
          <w:b/>
          <w:sz w:val="28"/>
          <w:szCs w:val="28"/>
        </w:rPr>
        <w:t xml:space="preserve">CT: NEW DROP LAW – NOT FF UNDER 55 – CASE PROCEED  </w:t>
      </w:r>
      <w:r w:rsidRPr="00191CD7">
        <w:rPr>
          <w:rFonts w:ascii="Times New Roman" w:hAnsi="Times New Roman"/>
          <w:b/>
          <w:sz w:val="24"/>
          <w:szCs w:val="24"/>
        </w:rPr>
        <w:t xml:space="preserve">[also filed, Chap. </w:t>
      </w:r>
      <w:r w:rsidR="00D95AF9">
        <w:rPr>
          <w:rFonts w:ascii="Times New Roman" w:hAnsi="Times New Roman"/>
          <w:b/>
          <w:sz w:val="24"/>
          <w:szCs w:val="24"/>
        </w:rPr>
        <w:t>6</w:t>
      </w:r>
      <w:r w:rsidRPr="00191CD7">
        <w:rPr>
          <w:rFonts w:ascii="Times New Roman" w:hAnsi="Times New Roman"/>
          <w:b/>
          <w:sz w:val="24"/>
          <w:szCs w:val="24"/>
        </w:rPr>
        <w:t>]</w:t>
      </w:r>
    </w:p>
    <w:p w14:paraId="58D37B95" w14:textId="77777777" w:rsidR="00191CD7" w:rsidRDefault="00191CD7" w:rsidP="00191CD7">
      <w:pPr>
        <w:pStyle w:val="NoSpacing"/>
      </w:pPr>
    </w:p>
    <w:p w14:paraId="4438F9E4" w14:textId="77777777" w:rsidR="00191CD7" w:rsidRDefault="00191CD7" w:rsidP="00191CD7">
      <w:pPr>
        <w:pStyle w:val="NoSpacing"/>
      </w:pPr>
      <w:r>
        <w:t xml:space="preserve">On February 4, 2026, in </w:t>
      </w:r>
      <w:r w:rsidRPr="004C7896">
        <w:rPr>
          <w:u w:val="single"/>
        </w:rPr>
        <w:t>David Dobbs, IAFF Local 834</w:t>
      </w:r>
      <w:r>
        <w:rPr>
          <w:u w:val="single"/>
        </w:rPr>
        <w:t xml:space="preserve">, et al. </w:t>
      </w:r>
      <w:r w:rsidRPr="004C7896">
        <w:rPr>
          <w:u w:val="single"/>
        </w:rPr>
        <w:t xml:space="preserve"> v. Brian Vahey, Chair of the State of Connecticut Municipal Employees Retirement Commission, et al</w:t>
      </w:r>
      <w:r w:rsidRPr="004C7896">
        <w:t>., U.S.</w:t>
      </w:r>
      <w:r>
        <w:rPr>
          <w:u w:val="single"/>
        </w:rPr>
        <w:t xml:space="preserve"> </w:t>
      </w:r>
      <w:r>
        <w:t xml:space="preserve">District Court Judge </w:t>
      </w:r>
    </w:p>
    <w:p w14:paraId="58D775D8" w14:textId="77777777" w:rsidR="00191CD7" w:rsidRDefault="00191CD7" w:rsidP="00191CD7">
      <w:pPr>
        <w:pStyle w:val="NoSpacing"/>
      </w:pPr>
      <w:r w:rsidRPr="004F64AC">
        <w:t xml:space="preserve">Sarala V. </w:t>
      </w:r>
      <w:proofErr w:type="spellStart"/>
      <w:r w:rsidRPr="004F64AC">
        <w:t>Nagala</w:t>
      </w:r>
      <w:proofErr w:type="spellEnd"/>
      <w:r w:rsidRPr="00357297">
        <w:t>, United States United States District Court for the District of Connecticut</w:t>
      </w:r>
      <w:r>
        <w:t>, denied the Commission’s motion to dismiss (</w:t>
      </w:r>
      <w:proofErr w:type="gramStart"/>
      <w:r>
        <w:t>and also</w:t>
      </w:r>
      <w:proofErr w:type="gramEnd"/>
      <w:r>
        <w:t xml:space="preserve"> Bridgeport firefighters and Union’s motion for preliminary injunction); case will now proceed with pre-trial discovery.  The Bridgeport firefighters and Local 834 argue that it is age discrimination under the new DROP program to allow some public safety employees (including Plaintiffs) to be eligible to retire—for instance, if they have completed twenty-five years of service—but ineligible to enter the DROP, because they are not yet age 55 and have not completed thirty years of service.  </w:t>
      </w:r>
      <w:hyperlink r:id="rId2908" w:history="1">
        <w:r w:rsidRPr="00FF19A6">
          <w:rPr>
            <w:rStyle w:val="Hyperlink"/>
          </w:rPr>
          <w:t>https://ecf.ctd.uscourts.gov/cgi-bin/show_public_doc?2025cv0824-74</w:t>
        </w:r>
      </w:hyperlink>
      <w:r>
        <w:t xml:space="preserve"> </w:t>
      </w:r>
    </w:p>
    <w:p w14:paraId="5CD0CD63" w14:textId="77777777" w:rsidR="00191CD7" w:rsidRDefault="00191CD7" w:rsidP="00191CD7">
      <w:pPr>
        <w:pStyle w:val="NoSpacing"/>
      </w:pPr>
    </w:p>
    <w:p w14:paraId="51643AB6" w14:textId="77777777" w:rsidR="00191CD7" w:rsidRDefault="00191CD7" w:rsidP="00191CD7">
      <w:pPr>
        <w:pStyle w:val="NoSpacing"/>
      </w:pPr>
      <w:r>
        <w:t xml:space="preserve">THE COURT HELD: “Effective July 1, 2025, certain members of the Connecticut Municipal Employees’ Retirement System who are otherwise eligible to retire can elect to defer their retirement allowance, while continuing their employment for up to five years, under a Deferred Retirement Option Plan (‘DROP’)…. </w:t>
      </w:r>
      <w:r w:rsidRPr="00D22380">
        <w:t>Under the statute adopted by the Connecticut legislature, the Connecticut State Employees</w:t>
      </w:r>
      <w:r>
        <w:t xml:space="preserve"> </w:t>
      </w:r>
      <w:r w:rsidRPr="00D22380">
        <w:t xml:space="preserve">Retirement Commission </w:t>
      </w:r>
      <w:r>
        <w:t>‘</w:t>
      </w:r>
      <w:r w:rsidRPr="00D22380">
        <w:t>may create</w:t>
      </w:r>
      <w:r>
        <w:t>’</w:t>
      </w:r>
      <w:r w:rsidRPr="00D22380">
        <w:t xml:space="preserve"> a DROP, which </w:t>
      </w:r>
      <w:r>
        <w:t>‘</w:t>
      </w:r>
      <w:r w:rsidRPr="00D22380">
        <w:t>shall include a fixed period of time for</w:t>
      </w:r>
      <w:r>
        <w:t xml:space="preserve"> </w:t>
      </w:r>
      <w:r w:rsidRPr="00D22380">
        <w:t>member participation, not to exceed five years, and a specified rate of interest credit for member</w:t>
      </w:r>
      <w:r>
        <w:t xml:space="preserve"> </w:t>
      </w:r>
      <w:r w:rsidRPr="00D22380">
        <w:t>accounts.” Conn. Gen. Stat. § 7-459b(b)</w:t>
      </w:r>
      <w:r>
        <w:t xml:space="preserve">…. As relevant here, retirement-eligible firefighters may join the DROP at age 57 with five years of continuous service, at age 55 with 25 years of aggregate service, or with 30 years of aggregate service regardless of age. The Individual Plaintiffs, firefighters with the Bridgeport Fire Department,1 are eligible for retirement allowances by virtue of their tenure with the Fire Department, but are all under age 55, and therefore ineligible to join the DROP. *** First, the Court notes that Defendants’ argument about the rationality of the age classification—that it incentivizes skilled employees to delay their retirement beyond the date they are first eligible to collect pension benefits, thereby extending the period during which the employees contribute to the plan and delaying the time at which they begin to receive payments— are not in fact arguments about the rationality of the challenged age classification at all: they are simply arguments about the rationality of adopting a DROP as a whole….  </w:t>
      </w:r>
      <w:proofErr w:type="gramStart"/>
      <w:r>
        <w:t>(‘[</w:t>
      </w:r>
      <w:proofErr w:type="gramEnd"/>
      <w:r>
        <w:t>The DROP] is also intended to encourage . . . skilled employees to stick around and delay their retirement’). Defendants do not meaningfully explain why this reasoning would apply differently to retirement-eligible firefighters who are under age 55 than to those who are age 55 or older. The desire to keep skilled employees working for a longer period and to delay paying benefits applies to all employees, regardless of age, and therefore does not squarely address the age-55 requirement Plaintiffs challenge here.”</w:t>
      </w:r>
    </w:p>
    <w:p w14:paraId="0D2D399A" w14:textId="77777777" w:rsidR="00191CD7" w:rsidRDefault="00191CD7" w:rsidP="00191CD7">
      <w:pPr>
        <w:pStyle w:val="NoSpacing"/>
      </w:pPr>
    </w:p>
    <w:p w14:paraId="1B07887D" w14:textId="77777777" w:rsidR="00191CD7" w:rsidRDefault="00191CD7" w:rsidP="00191CD7">
      <w:pPr>
        <w:pStyle w:val="NoSpacing"/>
        <w:rPr>
          <w:b/>
          <w:bCs/>
        </w:rPr>
      </w:pPr>
      <w:r w:rsidRPr="007A4F40">
        <w:rPr>
          <w:b/>
        </w:rPr>
        <w:t xml:space="preserve">Legal lesson learned: </w:t>
      </w:r>
      <w:r>
        <w:rPr>
          <w:b/>
        </w:rPr>
        <w:t xml:space="preserve">The case will now proceed with pre-trial discovery; the Commission will then likely file a motion for summary judgment that addresses the cost reasons for keeping eligibility at age 55 or older. </w:t>
      </w:r>
    </w:p>
    <w:p w14:paraId="0B0BD817" w14:textId="77777777" w:rsidR="00191CD7" w:rsidRDefault="00191CD7" w:rsidP="00191CD7">
      <w:pPr>
        <w:pStyle w:val="NoSpacing"/>
        <w:rPr>
          <w:b/>
          <w:bCs/>
        </w:rPr>
      </w:pPr>
    </w:p>
    <w:p w14:paraId="606D9211" w14:textId="77777777" w:rsidR="00191CD7" w:rsidRDefault="00191CD7" w:rsidP="00191CD7">
      <w:pPr>
        <w:pStyle w:val="NoSpacing"/>
      </w:pPr>
      <w:r>
        <w:tab/>
        <w:t xml:space="preserve">Note: See Ohio DROP. </w:t>
      </w:r>
      <w:hyperlink r:id="rId2909" w:history="1">
        <w:r w:rsidRPr="00FF19A6">
          <w:rPr>
            <w:rStyle w:val="Hyperlink"/>
          </w:rPr>
          <w:t>https://www.op-f.org/files/mgdrop.pdf</w:t>
        </w:r>
      </w:hyperlink>
      <w:r>
        <w:t xml:space="preserve"> </w:t>
      </w:r>
    </w:p>
    <w:p w14:paraId="66897A5A" w14:textId="77777777" w:rsidR="00191CD7" w:rsidRDefault="00191CD7" w:rsidP="00191CD7">
      <w:pPr>
        <w:pStyle w:val="NoSpacing"/>
        <w:ind w:left="720"/>
      </w:pPr>
      <w:r>
        <w:t>“If you are eligible for a normal service retirement you can enter the DROP</w:t>
      </w:r>
    </w:p>
    <w:p w14:paraId="4327C947" w14:textId="77777777" w:rsidR="00191CD7" w:rsidRDefault="00191CD7" w:rsidP="00191CD7">
      <w:pPr>
        <w:pStyle w:val="NoSpacing"/>
        <w:ind w:firstLine="720"/>
      </w:pPr>
      <w:r>
        <w:t>program by delaying retirement and continuing to work as a police officer or</w:t>
      </w:r>
    </w:p>
    <w:p w14:paraId="686188EC" w14:textId="77777777" w:rsidR="00191CD7" w:rsidRDefault="00191CD7" w:rsidP="00191CD7">
      <w:pPr>
        <w:pStyle w:val="NoSpacing"/>
        <w:ind w:firstLine="720"/>
      </w:pPr>
      <w:r>
        <w:t>firefighter. For those who were OP&amp;F members on or before July 1, 2013,</w:t>
      </w:r>
    </w:p>
    <w:p w14:paraId="00CEC7AA" w14:textId="77777777" w:rsidR="00191CD7" w:rsidRDefault="00191CD7" w:rsidP="00191CD7">
      <w:pPr>
        <w:pStyle w:val="NoSpacing"/>
        <w:ind w:firstLine="720"/>
      </w:pPr>
      <w:proofErr w:type="gramStart"/>
      <w:r>
        <w:t>normal</w:t>
      </w:r>
      <w:proofErr w:type="gramEnd"/>
      <w:r>
        <w:t xml:space="preserve"> service retirement eligibility is at least 48 years of age with at least 25 years</w:t>
      </w:r>
    </w:p>
    <w:p w14:paraId="17CE76E3" w14:textId="77777777" w:rsidR="00191CD7" w:rsidRDefault="00191CD7" w:rsidP="00191CD7">
      <w:pPr>
        <w:pStyle w:val="NoSpacing"/>
        <w:ind w:firstLine="720"/>
      </w:pPr>
      <w:r>
        <w:t>of service. For members hired into an OP&amp;F-covered position after July 1, 2013,</w:t>
      </w:r>
    </w:p>
    <w:p w14:paraId="66B3A9CC" w14:textId="77777777" w:rsidR="00191CD7" w:rsidRPr="004749CB" w:rsidRDefault="00191CD7" w:rsidP="00191CD7">
      <w:pPr>
        <w:pStyle w:val="NoSpacing"/>
        <w:ind w:firstLine="720"/>
      </w:pPr>
      <w:r>
        <w:t>normal service retirement is age 52 with at least 25 years of service.”</w:t>
      </w:r>
    </w:p>
    <w:p w14:paraId="1585D975" w14:textId="77777777" w:rsidR="00191CD7" w:rsidRDefault="00191CD7" w:rsidP="00191CD7">
      <w:pPr>
        <w:pStyle w:val="NoSpacing"/>
      </w:pPr>
    </w:p>
    <w:p w14:paraId="4AF40D4F" w14:textId="77777777" w:rsidR="00191CD7" w:rsidRDefault="00191CD7" w:rsidP="00191CD7">
      <w:pPr>
        <w:pStyle w:val="NoSpacing"/>
      </w:pPr>
    </w:p>
    <w:p w14:paraId="6A51A26A" w14:textId="77777777" w:rsidR="00191CD7" w:rsidRDefault="00191CD7" w:rsidP="000C4DF5">
      <w:pPr>
        <w:pStyle w:val="NoSpacing"/>
        <w:rPr>
          <w:rFonts w:ascii="Arial Black" w:hAnsi="Arial Black"/>
          <w:sz w:val="24"/>
          <w:szCs w:val="24"/>
        </w:rPr>
      </w:pPr>
    </w:p>
    <w:p w14:paraId="6B8C9190" w14:textId="77777777" w:rsidR="006F24F3" w:rsidRDefault="006F24F3" w:rsidP="000C4DF5">
      <w:pPr>
        <w:pStyle w:val="NoSpacing"/>
        <w:rPr>
          <w:rFonts w:ascii="Arial Black" w:hAnsi="Arial Black"/>
          <w:sz w:val="24"/>
          <w:szCs w:val="24"/>
        </w:rPr>
      </w:pPr>
    </w:p>
    <w:p w14:paraId="7E4D0B21" w14:textId="33AF242C" w:rsidR="006F24F3" w:rsidRDefault="00D95AF9" w:rsidP="000C4DF5">
      <w:pPr>
        <w:pStyle w:val="NoSpacing"/>
        <w:rPr>
          <w:rFonts w:ascii="Arial Black" w:hAnsi="Arial Black"/>
          <w:sz w:val="24"/>
          <w:szCs w:val="24"/>
        </w:rPr>
      </w:pPr>
      <w:r>
        <w:rPr>
          <w:rFonts w:ascii="Arial Black" w:hAnsi="Arial Black"/>
          <w:sz w:val="24"/>
          <w:szCs w:val="24"/>
        </w:rPr>
        <w:lastRenderedPageBreak/>
        <w:t>18-32</w:t>
      </w:r>
    </w:p>
    <w:p w14:paraId="5FF7FDD2" w14:textId="77777777" w:rsidR="00740EF2" w:rsidRDefault="00740EF2" w:rsidP="000C4DF5">
      <w:pPr>
        <w:pStyle w:val="NoSpacing"/>
        <w:rPr>
          <w:rFonts w:ascii="Arial Black" w:hAnsi="Arial Black"/>
          <w:sz w:val="24"/>
          <w:szCs w:val="24"/>
        </w:rPr>
      </w:pPr>
    </w:p>
    <w:p w14:paraId="19BC6712" w14:textId="37DFFE8F" w:rsidR="00740EF2" w:rsidRPr="00956699" w:rsidRDefault="00740EF2" w:rsidP="00740EF2">
      <w:pPr>
        <w:pStyle w:val="NoSpacing"/>
        <w:rPr>
          <w:rFonts w:ascii="Times New Roman" w:hAnsi="Times New Roman"/>
          <w:b/>
          <w:bCs/>
          <w:sz w:val="24"/>
          <w:szCs w:val="24"/>
        </w:rPr>
      </w:pPr>
      <w:r>
        <w:rPr>
          <w:rFonts w:ascii="Arial Black" w:hAnsi="Arial Black"/>
          <w:sz w:val="28"/>
          <w:szCs w:val="28"/>
        </w:rPr>
        <w:t>FL: “HALO LAW”  – 25 FEET NO APPROACH ZONE</w:t>
      </w:r>
      <w:r>
        <w:t xml:space="preserve">  </w:t>
      </w:r>
      <w:r w:rsidRPr="00E96FEA">
        <w:rPr>
          <w:rFonts w:ascii="Arial Black" w:hAnsi="Arial Black"/>
          <w:sz w:val="28"/>
          <w:szCs w:val="28"/>
        </w:rPr>
        <w:t xml:space="preserve">- </w:t>
      </w:r>
      <w:r>
        <w:rPr>
          <w:rFonts w:ascii="Arial Black" w:hAnsi="Arial Black"/>
          <w:sz w:val="28"/>
          <w:szCs w:val="28"/>
        </w:rPr>
        <w:t xml:space="preserve">Eff. </w:t>
      </w:r>
      <w:r w:rsidRPr="00E96FEA">
        <w:rPr>
          <w:rFonts w:ascii="Arial Black" w:hAnsi="Arial Black"/>
          <w:sz w:val="28"/>
          <w:szCs w:val="28"/>
        </w:rPr>
        <w:t>1/1/2025</w:t>
      </w:r>
      <w:r>
        <w:rPr>
          <w:rFonts w:ascii="Arial Black" w:hAnsi="Arial Black"/>
          <w:sz w:val="28"/>
          <w:szCs w:val="28"/>
        </w:rPr>
        <w:t xml:space="preserve">  </w:t>
      </w:r>
      <w:r w:rsidRPr="00956699">
        <w:rPr>
          <w:rFonts w:ascii="Times New Roman" w:hAnsi="Times New Roman"/>
          <w:b/>
          <w:bCs/>
          <w:sz w:val="24"/>
          <w:szCs w:val="24"/>
        </w:rPr>
        <w:t>[als</w:t>
      </w:r>
      <w:r w:rsidR="00956699" w:rsidRPr="00956699">
        <w:rPr>
          <w:rFonts w:ascii="Times New Roman" w:hAnsi="Times New Roman"/>
          <w:b/>
          <w:bCs/>
          <w:sz w:val="24"/>
          <w:szCs w:val="24"/>
        </w:rPr>
        <w:t>o filed, Chap. 2]</w:t>
      </w:r>
    </w:p>
    <w:p w14:paraId="6BCAD223" w14:textId="77777777" w:rsidR="00740EF2" w:rsidRDefault="00740EF2" w:rsidP="00740EF2">
      <w:pPr>
        <w:pStyle w:val="NoSpacing"/>
      </w:pPr>
    </w:p>
    <w:p w14:paraId="5EEC762F" w14:textId="77777777" w:rsidR="00740EF2" w:rsidRPr="009564B9" w:rsidRDefault="00740EF2" w:rsidP="00740EF2">
      <w:pPr>
        <w:pStyle w:val="NoSpacing"/>
        <w:rPr>
          <w:b/>
        </w:rPr>
      </w:pPr>
      <w:r>
        <w:t xml:space="preserve">On January 1, 2025, the new “Halo Law” became effective. On April 12, 2024, Governor Ron DeSantis </w:t>
      </w:r>
      <w:proofErr w:type="gramStart"/>
      <w:r>
        <w:t>signed into law</w:t>
      </w:r>
      <w:proofErr w:type="gramEnd"/>
      <w:r>
        <w:t xml:space="preserve"> the Halo Law, passed under House Bill 184, </w:t>
      </w:r>
      <w:r w:rsidRPr="009564B9">
        <w:t>Impeding, Threatening, or Harassing First Responders</w:t>
      </w:r>
      <w:r>
        <w:t xml:space="preserve">. </w:t>
      </w:r>
      <w:hyperlink r:id="rId2910" w:history="1">
        <w:r w:rsidRPr="00734647">
          <w:rPr>
            <w:rStyle w:val="Hyperlink"/>
          </w:rPr>
          <w:t>https://www.flhouse.gov/Sections/Bills/billsdetail.aspx?BillId=78745</w:t>
        </w:r>
      </w:hyperlink>
      <w:r>
        <w:t xml:space="preserve"> </w:t>
      </w:r>
    </w:p>
    <w:p w14:paraId="307ED173" w14:textId="77777777" w:rsidR="00740EF2" w:rsidRDefault="00740EF2" w:rsidP="00740EF2">
      <w:pPr>
        <w:pStyle w:val="NoSpacing"/>
      </w:pPr>
    </w:p>
    <w:p w14:paraId="0C360398" w14:textId="77777777" w:rsidR="00740EF2" w:rsidRDefault="00740EF2" w:rsidP="00740EF2">
      <w:pPr>
        <w:pStyle w:val="NoSpacing"/>
      </w:pPr>
      <w:r>
        <w:t xml:space="preserve">Read the statute: </w:t>
      </w:r>
      <w:hyperlink r:id="rId2911" w:history="1">
        <w:r w:rsidRPr="00734647">
          <w:rPr>
            <w:rStyle w:val="Hyperlink"/>
          </w:rPr>
          <w:t>https://www.flhouse.gov/Sections/Documents/loaddoc.aspx?FileName=_s0184er.DOCX&amp;DocumentType=Bill&amp;BillNumber=184&amp;Session=2024</w:t>
        </w:r>
      </w:hyperlink>
      <w:r>
        <w:t xml:space="preserve"> </w:t>
      </w:r>
    </w:p>
    <w:p w14:paraId="0F349764" w14:textId="77777777" w:rsidR="00740EF2" w:rsidRDefault="00740EF2" w:rsidP="00740EF2">
      <w:pPr>
        <w:pStyle w:val="NoSpacing"/>
      </w:pPr>
      <w:r>
        <w:t>Section 1</w:t>
      </w:r>
    </w:p>
    <w:p w14:paraId="6FA0A181" w14:textId="77777777" w:rsidR="00740EF2" w:rsidRDefault="00740EF2" w:rsidP="00740EF2">
      <w:pPr>
        <w:pStyle w:val="NoSpacing"/>
      </w:pPr>
      <w:r>
        <w:t>Approaching a first responder with specified intent after a warning</w:t>
      </w:r>
    </w:p>
    <w:p w14:paraId="0060CB54" w14:textId="77777777" w:rsidR="00740EF2" w:rsidRDefault="00740EF2" w:rsidP="00740EF2">
      <w:pPr>
        <w:pStyle w:val="NoSpacing"/>
      </w:pPr>
      <w:r>
        <w:t>(1) As used in this section, the term:</w:t>
      </w:r>
    </w:p>
    <w:p w14:paraId="1C64F390" w14:textId="77777777" w:rsidR="00740EF2" w:rsidRDefault="00740EF2" w:rsidP="00740EF2">
      <w:pPr>
        <w:pStyle w:val="NoSpacing"/>
      </w:pPr>
      <w:r>
        <w:t>(a) “First responder” includes a law enforcement officer as defined in s. 943.10(1), a correctional probation officer as defined in s. 943.10(3), a firefighter as defined in s784.07(1), and an emergency medical care provider as defined in s. 784.07(1)</w:t>
      </w:r>
    </w:p>
    <w:p w14:paraId="67E0AEEF" w14:textId="77777777" w:rsidR="00740EF2" w:rsidRDefault="00740EF2" w:rsidP="00740EF2">
      <w:pPr>
        <w:pStyle w:val="NoSpacing"/>
      </w:pPr>
      <w:r>
        <w:t>(b) “Harass” means to willfully engage in a course of conduct directed at a first responder which intentionally causes substantial emotional distress in that first responder and serves no legitimate purpose.</w:t>
      </w:r>
    </w:p>
    <w:p w14:paraId="31A3E3F6" w14:textId="77777777" w:rsidR="00740EF2" w:rsidRDefault="00740EF2" w:rsidP="00740EF2">
      <w:pPr>
        <w:pStyle w:val="NoSpacing"/>
      </w:pPr>
      <w:r>
        <w:t>(2)(a) It is unlawful for a person, after receiving a verbal warning not to approach from a person he or she knows or reasonably should know is a first responder, who is engaged in the lawful performance of a legal duty, to knowingly and willfully violate such warning and approach or remain within 25 feet of the first responder with the intent to:</w:t>
      </w:r>
    </w:p>
    <w:p w14:paraId="776D25BC" w14:textId="77777777" w:rsidR="00740EF2" w:rsidRDefault="00740EF2" w:rsidP="00740EF2">
      <w:pPr>
        <w:pStyle w:val="NoSpacing"/>
      </w:pPr>
      <w:r>
        <w:t>1. Impede or interfere with the first responder’s ability to perform such duty;</w:t>
      </w:r>
    </w:p>
    <w:p w14:paraId="314DA78A" w14:textId="77777777" w:rsidR="00740EF2" w:rsidRDefault="00740EF2" w:rsidP="00740EF2">
      <w:pPr>
        <w:pStyle w:val="NoSpacing"/>
      </w:pPr>
      <w:r>
        <w:t>2. Threaten the first responder with physical harm; or</w:t>
      </w:r>
    </w:p>
    <w:p w14:paraId="0B2137EC" w14:textId="77777777" w:rsidR="00740EF2" w:rsidRDefault="00740EF2" w:rsidP="00740EF2">
      <w:pPr>
        <w:pStyle w:val="NoSpacing"/>
      </w:pPr>
      <w:r>
        <w:t>3. Harass the first responder.</w:t>
      </w:r>
    </w:p>
    <w:p w14:paraId="146B0399" w14:textId="77777777" w:rsidR="00740EF2" w:rsidRDefault="00740EF2" w:rsidP="00740EF2">
      <w:pPr>
        <w:pStyle w:val="NoSpacing"/>
      </w:pPr>
      <w:r>
        <w:t>(b) A person who violates this subsection commits a misdemeanor of the second degree, punishable as provided in s. 775.082 or s. 775.083.40</w:t>
      </w:r>
    </w:p>
    <w:p w14:paraId="6875B429" w14:textId="77777777" w:rsidR="00740EF2" w:rsidRDefault="00740EF2" w:rsidP="00740EF2">
      <w:pPr>
        <w:pStyle w:val="NoSpacing"/>
      </w:pPr>
      <w:r>
        <w:t>Section 2. This act shall take effect January 1, 2025.</w:t>
      </w:r>
    </w:p>
    <w:p w14:paraId="068D6FDA" w14:textId="77777777" w:rsidR="00740EF2" w:rsidRDefault="00740EF2" w:rsidP="00740EF2">
      <w:pPr>
        <w:pStyle w:val="NoSpacing"/>
      </w:pPr>
    </w:p>
    <w:p w14:paraId="7B08A155" w14:textId="77777777" w:rsidR="00740EF2" w:rsidRPr="00313F24" w:rsidRDefault="00740EF2" w:rsidP="00740EF2">
      <w:pPr>
        <w:pStyle w:val="NoSpacing"/>
        <w:rPr>
          <w:b/>
          <w:bCs/>
        </w:rPr>
      </w:pPr>
      <w:r>
        <w:rPr>
          <w:b/>
        </w:rPr>
        <w:t xml:space="preserve">Legal lesson learned: An excellent statute; hopefully similar laws will be enacted in many other </w:t>
      </w:r>
      <w:proofErr w:type="gramStart"/>
      <w:r>
        <w:rPr>
          <w:b/>
        </w:rPr>
        <w:t>state</w:t>
      </w:r>
      <w:proofErr w:type="gramEnd"/>
      <w:r>
        <w:rPr>
          <w:b/>
        </w:rPr>
        <w:t xml:space="preserve">. </w:t>
      </w:r>
    </w:p>
    <w:p w14:paraId="1522415A" w14:textId="77777777" w:rsidR="00740EF2" w:rsidRDefault="00740EF2" w:rsidP="00740EF2">
      <w:pPr>
        <w:pStyle w:val="NoSpacing"/>
      </w:pPr>
    </w:p>
    <w:p w14:paraId="5E31DCC1" w14:textId="77777777" w:rsidR="00740EF2" w:rsidRPr="00F642E3" w:rsidRDefault="00740EF2" w:rsidP="00740EF2">
      <w:pPr>
        <w:pStyle w:val="NoSpacing"/>
        <w:ind w:left="720"/>
        <w:rPr>
          <w:b/>
        </w:rPr>
      </w:pPr>
      <w:r>
        <w:t xml:space="preserve">Note: Jan. 28, 2026:  </w:t>
      </w:r>
      <w:r w:rsidRPr="00F642E3">
        <w:rPr>
          <w:b/>
        </w:rPr>
        <w:t>Man arrested under Florida's Halo Law</w:t>
      </w:r>
      <w:r>
        <w:rPr>
          <w:b/>
        </w:rPr>
        <w:t xml:space="preserve">. </w:t>
      </w:r>
      <w:hyperlink r:id="rId2912" w:history="1">
        <w:r w:rsidRPr="00734647">
          <w:rPr>
            <w:rStyle w:val="Hyperlink"/>
            <w:b/>
          </w:rPr>
          <w:t>https://www.youtube.com/watch?v=US5dFGLzqQo</w:t>
        </w:r>
      </w:hyperlink>
      <w:r>
        <w:rPr>
          <w:b/>
        </w:rPr>
        <w:t xml:space="preserve"> </w:t>
      </w:r>
    </w:p>
    <w:p w14:paraId="39EEC7C2" w14:textId="77777777" w:rsidR="00740EF2" w:rsidRPr="00210AB7" w:rsidRDefault="00740EF2" w:rsidP="00740EF2">
      <w:pPr>
        <w:pStyle w:val="NoSpacing"/>
        <w:ind w:firstLine="720"/>
        <w:rPr>
          <w:b/>
        </w:rPr>
      </w:pPr>
      <w:r w:rsidRPr="00210AB7">
        <w:rPr>
          <w:b/>
        </w:rPr>
        <w:t>What Is the Halo Law?</w:t>
      </w:r>
    </w:p>
    <w:p w14:paraId="187229AE" w14:textId="77777777" w:rsidR="00740EF2" w:rsidRPr="00210AB7" w:rsidRDefault="00740EF2" w:rsidP="00740EF2">
      <w:pPr>
        <w:pStyle w:val="NoSpacing"/>
        <w:ind w:left="720"/>
      </w:pPr>
      <w:r w:rsidRPr="00210AB7">
        <w:t xml:space="preserve">The Halo Law, passed under </w:t>
      </w:r>
      <w:r w:rsidRPr="00210AB7">
        <w:rPr>
          <w:b/>
        </w:rPr>
        <w:t>House Bill 184</w:t>
      </w:r>
      <w:r w:rsidRPr="00210AB7">
        <w:t xml:space="preserve">, was signed into law by Governor Ron DeSantis in April 2024. It establishes a </w:t>
      </w:r>
      <w:r w:rsidRPr="00210AB7">
        <w:rPr>
          <w:b/>
        </w:rPr>
        <w:t>25-foot no-approach zone</w:t>
      </w:r>
      <w:r w:rsidRPr="00210AB7">
        <w:t xml:space="preserve"> around first responders engaged in their official duties. If someone is verbally warned to stay back and continues to approach within this zone, they could face penalties, including fines and potential jail time.</w:t>
      </w:r>
    </w:p>
    <w:p w14:paraId="6EB5C7A2" w14:textId="77777777" w:rsidR="00740EF2" w:rsidRPr="00210AB7" w:rsidRDefault="00740EF2" w:rsidP="00740EF2">
      <w:pPr>
        <w:pStyle w:val="NoSpacing"/>
        <w:ind w:left="720"/>
      </w:pPr>
      <w:r w:rsidRPr="00210AB7">
        <w:t>Sheriff Grady Judd of Polk County has been a vocal advocate for the law, emphasizing that it does not restrict the public’s right to record first responders but aims to prevent interference or harassment while they work.</w:t>
      </w:r>
      <w:r>
        <w:t xml:space="preserve"> </w:t>
      </w:r>
      <w:hyperlink r:id="rId2913" w:history="1">
        <w:r w:rsidRPr="00FF51FB">
          <w:rPr>
            <w:rStyle w:val="Hyperlink"/>
          </w:rPr>
          <w:t>https://www.muscalaw.com/blog/understanding-floridas-new-halo-law-and-its-impact-first-amendment-rights</w:t>
        </w:r>
      </w:hyperlink>
      <w:r>
        <w:t xml:space="preserve"> </w:t>
      </w:r>
    </w:p>
    <w:p w14:paraId="4EB8805F" w14:textId="77777777" w:rsidR="00740EF2" w:rsidRDefault="00740EF2" w:rsidP="00740EF2">
      <w:pPr>
        <w:pStyle w:val="NoSpacing"/>
      </w:pPr>
    </w:p>
    <w:p w14:paraId="1721935B" w14:textId="77777777" w:rsidR="00740EF2" w:rsidRDefault="00740EF2" w:rsidP="00740EF2">
      <w:pPr>
        <w:pStyle w:val="NoSpacing"/>
      </w:pPr>
    </w:p>
    <w:p w14:paraId="7E1ED189" w14:textId="77777777" w:rsidR="00740EF2" w:rsidRDefault="00740EF2" w:rsidP="00740EF2">
      <w:pPr>
        <w:pStyle w:val="NoSpacing"/>
        <w:ind w:left="720"/>
        <w:rPr>
          <w:b/>
        </w:rPr>
      </w:pPr>
      <w:r>
        <w:t xml:space="preserve">See also: ACLU of Florida: </w:t>
      </w:r>
      <w:r w:rsidRPr="00F41534">
        <w:t>HB 75/SB 184 - Criminalizing Bystanders for Exercising First Amendment Rights</w:t>
      </w:r>
      <w:r>
        <w:t xml:space="preserve">. </w:t>
      </w:r>
      <w:r w:rsidRPr="00910752">
        <w:rPr>
          <w:b/>
        </w:rPr>
        <w:t xml:space="preserve"> </w:t>
      </w:r>
      <w:hyperlink r:id="rId2914" w:history="1">
        <w:r w:rsidRPr="00FF51FB">
          <w:rPr>
            <w:rStyle w:val="Hyperlink"/>
            <w:b/>
          </w:rPr>
          <w:t>https://www.aclufl.org/legislation/hb-75sb-184-criminalizing-bystanders-exercising-first-amendment-rights/</w:t>
        </w:r>
      </w:hyperlink>
      <w:r>
        <w:rPr>
          <w:b/>
        </w:rPr>
        <w:t xml:space="preserve"> </w:t>
      </w:r>
    </w:p>
    <w:p w14:paraId="7F597FE8" w14:textId="77777777" w:rsidR="00740EF2" w:rsidRDefault="00740EF2" w:rsidP="00740EF2">
      <w:pPr>
        <w:pStyle w:val="NoSpacing"/>
        <w:rPr>
          <w:b/>
        </w:rPr>
      </w:pPr>
    </w:p>
    <w:p w14:paraId="278CF353" w14:textId="77777777" w:rsidR="00740EF2" w:rsidRDefault="00740EF2" w:rsidP="00740EF2">
      <w:pPr>
        <w:pStyle w:val="NoSpacing"/>
      </w:pPr>
    </w:p>
    <w:p w14:paraId="4137EE43" w14:textId="77777777" w:rsidR="00740EF2" w:rsidRDefault="00740EF2" w:rsidP="000C4DF5">
      <w:pPr>
        <w:pStyle w:val="NoSpacing"/>
        <w:rPr>
          <w:rFonts w:ascii="Arial Black" w:hAnsi="Arial Black"/>
          <w:sz w:val="24"/>
          <w:szCs w:val="24"/>
        </w:rPr>
      </w:pPr>
    </w:p>
    <w:p w14:paraId="5BF38D08" w14:textId="77777777" w:rsidR="006F24F3" w:rsidRDefault="006F24F3" w:rsidP="000C4DF5">
      <w:pPr>
        <w:pStyle w:val="NoSpacing"/>
        <w:rPr>
          <w:rFonts w:ascii="Arial Black" w:hAnsi="Arial Black"/>
          <w:sz w:val="24"/>
          <w:szCs w:val="24"/>
        </w:rPr>
      </w:pPr>
    </w:p>
    <w:p w14:paraId="1B5D8C12" w14:textId="6CB0F6A8" w:rsidR="008A2AE6" w:rsidRDefault="002E26A8" w:rsidP="000C4DF5">
      <w:pPr>
        <w:pStyle w:val="NoSpacing"/>
        <w:rPr>
          <w:rFonts w:ascii="Arial Black" w:hAnsi="Arial Black"/>
          <w:sz w:val="24"/>
          <w:szCs w:val="24"/>
        </w:rPr>
      </w:pPr>
      <w:r>
        <w:rPr>
          <w:rFonts w:ascii="Arial Black" w:hAnsi="Arial Black"/>
          <w:sz w:val="24"/>
          <w:szCs w:val="24"/>
        </w:rPr>
        <w:t>18-31</w:t>
      </w:r>
    </w:p>
    <w:p w14:paraId="7B1625E2" w14:textId="77777777" w:rsidR="002E26A8" w:rsidRDefault="002E26A8" w:rsidP="000C4DF5">
      <w:pPr>
        <w:pStyle w:val="NoSpacing"/>
        <w:rPr>
          <w:rFonts w:ascii="Arial Black" w:hAnsi="Arial Black"/>
          <w:sz w:val="24"/>
          <w:szCs w:val="24"/>
        </w:rPr>
      </w:pPr>
    </w:p>
    <w:p w14:paraId="024D8734" w14:textId="4702676D" w:rsidR="00841783" w:rsidRPr="001225D3" w:rsidRDefault="00841783" w:rsidP="00841783">
      <w:pPr>
        <w:pStyle w:val="NoSpacing"/>
        <w:rPr>
          <w:rFonts w:ascii="Arial Black" w:hAnsi="Arial Black"/>
          <w:sz w:val="28"/>
          <w:szCs w:val="28"/>
        </w:rPr>
      </w:pPr>
      <w:r>
        <w:rPr>
          <w:rFonts w:ascii="Arial Black" w:hAnsi="Arial Black"/>
          <w:sz w:val="28"/>
          <w:szCs w:val="28"/>
        </w:rPr>
        <w:t xml:space="preserve">OH: ETHICS COMMISSION – </w:t>
      </w:r>
      <w:r w:rsidR="000C567D">
        <w:rPr>
          <w:rFonts w:ascii="Arial Black" w:hAnsi="Arial Black"/>
          <w:sz w:val="28"/>
          <w:szCs w:val="28"/>
        </w:rPr>
        <w:t xml:space="preserve">CAN </w:t>
      </w:r>
      <w:r>
        <w:rPr>
          <w:rFonts w:ascii="Arial Black" w:hAnsi="Arial Black"/>
          <w:sz w:val="28"/>
          <w:szCs w:val="28"/>
        </w:rPr>
        <w:t>KEEP FREQUENT FLYER MILES</w:t>
      </w:r>
    </w:p>
    <w:p w14:paraId="734892CE" w14:textId="77777777" w:rsidR="00841783" w:rsidRDefault="00841783" w:rsidP="00841783">
      <w:pPr>
        <w:pStyle w:val="NoSpacing"/>
      </w:pPr>
    </w:p>
    <w:p w14:paraId="4234DC87" w14:textId="77777777" w:rsidR="00841783" w:rsidRDefault="00841783" w:rsidP="00841783">
      <w:pPr>
        <w:pStyle w:val="NoSpacing"/>
      </w:pPr>
      <w:r>
        <w:t xml:space="preserve">On August 4, 2025, the Ohio Ethics Commission approved an Advisory Opinion allowing public officials to keep airline frequent flyer miles earned on official travel. </w:t>
      </w:r>
    </w:p>
    <w:p w14:paraId="00FD02FC" w14:textId="77777777" w:rsidR="00841783" w:rsidRDefault="00841783" w:rsidP="00841783">
      <w:pPr>
        <w:pStyle w:val="NoSpacing"/>
      </w:pPr>
    </w:p>
    <w:p w14:paraId="05682C28" w14:textId="77777777" w:rsidR="00841783" w:rsidRDefault="00841783" w:rsidP="00841783">
      <w:pPr>
        <w:pStyle w:val="NoSpacing"/>
      </w:pPr>
      <w:r w:rsidRPr="00BF2E3F">
        <w:t>INFORMATION SHEET: ADVISORY OPINION NO. 2025-02 FREQUENT FLYER MILES AND REWARDS POINTS</w:t>
      </w:r>
    </w:p>
    <w:p w14:paraId="0872AD43" w14:textId="77777777" w:rsidR="00841783" w:rsidRDefault="00841783" w:rsidP="00841783">
      <w:pPr>
        <w:pStyle w:val="NoSpacing"/>
      </w:pPr>
      <w:hyperlink r:id="rId2915" w:history="1">
        <w:r w:rsidRPr="00B2179F">
          <w:rPr>
            <w:rStyle w:val="Hyperlink"/>
          </w:rPr>
          <w:t>https://ethics.ohio.gov/advice/opinions/2025-02.pdf</w:t>
        </w:r>
      </w:hyperlink>
      <w:r>
        <w:t xml:space="preserve"> </w:t>
      </w:r>
    </w:p>
    <w:p w14:paraId="326DA131" w14:textId="77777777" w:rsidR="00841783" w:rsidRDefault="00841783" w:rsidP="00841783">
      <w:pPr>
        <w:pStyle w:val="NoSpacing"/>
      </w:pPr>
    </w:p>
    <w:p w14:paraId="32CD91B3" w14:textId="77777777" w:rsidR="00841783" w:rsidRDefault="00841783" w:rsidP="00841783">
      <w:pPr>
        <w:pStyle w:val="NoSpacing"/>
        <w:ind w:firstLine="720"/>
      </w:pPr>
      <w:r w:rsidRPr="00605C01">
        <w:t>Frequent Flyer Miles &amp; Reward Points Advisory Opinion</w:t>
      </w:r>
    </w:p>
    <w:p w14:paraId="135B5539" w14:textId="77777777" w:rsidR="00841783" w:rsidRDefault="00841783" w:rsidP="00841783">
      <w:pPr>
        <w:pStyle w:val="NoSpacing"/>
        <w:ind w:firstLine="720"/>
      </w:pPr>
      <w:hyperlink r:id="rId2916" w:history="1">
        <w:r w:rsidRPr="00CD4E54">
          <w:rPr>
            <w:rStyle w:val="Hyperlink"/>
          </w:rPr>
          <w:t>https://ethics.ohio.gov/education/newsletters/VOE_25Q3.pdf</w:t>
        </w:r>
      </w:hyperlink>
      <w:r>
        <w:t xml:space="preserve"> </w:t>
      </w:r>
    </w:p>
    <w:p w14:paraId="31E13357" w14:textId="77777777" w:rsidR="00841783" w:rsidRDefault="00841783" w:rsidP="00841783">
      <w:pPr>
        <w:pStyle w:val="NoSpacing"/>
        <w:ind w:left="720"/>
      </w:pPr>
      <w:r>
        <w:t>“</w:t>
      </w:r>
      <w:r w:rsidRPr="00605C01">
        <w:t>At its meeting on August 4, 2025, the Ohio Ethics Commission approved Formal Advisory Opinion 2025 – 02 which allows public officials or employees to use frequent flyer miles that were earned during official travel for personal travel. Although the Commission had previously restricted the use of frequent flyer miles accrued during official travel for personal use, this advisory opinion states that public officials and employees may use frequent flyer miles that were earned during official travel for personal travel if they earn the miles under the same conditions as the public and at no additional cost to their public agencies. While this Advisory Opinion primarily references frequent flyer miles, the analysis also applies to other reward points programs.</w:t>
      </w:r>
    </w:p>
    <w:p w14:paraId="277B5CF6" w14:textId="77777777" w:rsidR="00841783" w:rsidRDefault="00841783" w:rsidP="00841783">
      <w:pPr>
        <w:ind w:left="720"/>
      </w:pPr>
      <w:r>
        <w:t>***</w:t>
      </w:r>
    </w:p>
    <w:p w14:paraId="42AA005D" w14:textId="77777777" w:rsidR="00841783" w:rsidRDefault="00841783" w:rsidP="00841783">
      <w:pPr>
        <w:ind w:left="720"/>
        <w:rPr>
          <w:bCs/>
        </w:rPr>
      </w:pPr>
      <w:r w:rsidRPr="00FC71C9">
        <w:t>The opinion notes that public official</w:t>
      </w:r>
      <w:r>
        <w:t>s</w:t>
      </w:r>
      <w:r w:rsidRPr="00FC71C9">
        <w:t xml:space="preserve"> and employees are prohibited from choosing an airline, vendor, or service based solely on whether it provides frequent flyer miles or other rewards points. Additionally, a planner who books a group trip for multiple travelers and could therefore earn a substantial number of frequent flyer miles or reward points from one event is prohibited from personally using rewards earned in connection to booking the group travel.</w:t>
      </w:r>
      <w:r>
        <w:t>”</w:t>
      </w:r>
    </w:p>
    <w:p w14:paraId="0EDCD611" w14:textId="77777777" w:rsidR="00841783" w:rsidRPr="00211784" w:rsidRDefault="00841783" w:rsidP="00841783">
      <w:pPr>
        <w:pStyle w:val="NoSpacing"/>
        <w:rPr>
          <w:b/>
          <w:bCs/>
        </w:rPr>
      </w:pPr>
      <w:r>
        <w:rPr>
          <w:b/>
        </w:rPr>
        <w:t xml:space="preserve">Legal lesson learned: Fire &amp; EMS departments should consider adopting a policy that formally recognizes this Advisory Opinion. </w:t>
      </w:r>
    </w:p>
    <w:p w14:paraId="490CFB54" w14:textId="77777777" w:rsidR="00841783" w:rsidRDefault="00841783" w:rsidP="00841783">
      <w:pPr>
        <w:pStyle w:val="NoSpacing"/>
        <w:rPr>
          <w:b/>
          <w:bCs/>
        </w:rPr>
      </w:pPr>
    </w:p>
    <w:p w14:paraId="1212A55A" w14:textId="77777777" w:rsidR="00841783" w:rsidRDefault="00841783" w:rsidP="00841783">
      <w:pPr>
        <w:pStyle w:val="NoSpacing"/>
        <w:rPr>
          <w:rFonts w:ascii="Arial Black" w:hAnsi="Arial Black"/>
          <w:b/>
          <w:sz w:val="28"/>
          <w:szCs w:val="28"/>
        </w:rPr>
      </w:pPr>
    </w:p>
    <w:p w14:paraId="705E2D62" w14:textId="77777777" w:rsidR="00841783" w:rsidRDefault="00841783" w:rsidP="00841783">
      <w:pPr>
        <w:pStyle w:val="NoSpacing"/>
        <w:rPr>
          <w:rFonts w:ascii="Arial Black" w:hAnsi="Arial Black"/>
          <w:b/>
          <w:sz w:val="28"/>
          <w:szCs w:val="28"/>
        </w:rPr>
      </w:pPr>
    </w:p>
    <w:p w14:paraId="05B0B894" w14:textId="77777777" w:rsidR="002E26A8" w:rsidRDefault="002E26A8" w:rsidP="000C4DF5">
      <w:pPr>
        <w:pStyle w:val="NoSpacing"/>
        <w:rPr>
          <w:rFonts w:ascii="Arial Black" w:hAnsi="Arial Black"/>
          <w:sz w:val="24"/>
          <w:szCs w:val="24"/>
        </w:rPr>
      </w:pPr>
    </w:p>
    <w:p w14:paraId="05697DD4" w14:textId="77777777" w:rsidR="002E26A8" w:rsidRDefault="002E26A8" w:rsidP="000C4DF5">
      <w:pPr>
        <w:pStyle w:val="NoSpacing"/>
        <w:rPr>
          <w:rFonts w:ascii="Arial Black" w:hAnsi="Arial Black"/>
          <w:sz w:val="24"/>
          <w:szCs w:val="24"/>
        </w:rPr>
      </w:pPr>
    </w:p>
    <w:p w14:paraId="7A781651" w14:textId="77777777" w:rsidR="002E26A8" w:rsidRDefault="002E26A8" w:rsidP="000C4DF5">
      <w:pPr>
        <w:pStyle w:val="NoSpacing"/>
        <w:rPr>
          <w:rFonts w:ascii="Arial Black" w:hAnsi="Arial Black"/>
          <w:sz w:val="24"/>
          <w:szCs w:val="24"/>
        </w:rPr>
      </w:pPr>
    </w:p>
    <w:p w14:paraId="5F3B45B7" w14:textId="3B0CF0A1" w:rsidR="00072607" w:rsidRDefault="00072607" w:rsidP="000C4DF5">
      <w:pPr>
        <w:pStyle w:val="NoSpacing"/>
        <w:rPr>
          <w:rFonts w:ascii="Arial Black" w:hAnsi="Arial Black"/>
          <w:sz w:val="24"/>
          <w:szCs w:val="24"/>
        </w:rPr>
      </w:pPr>
      <w:r>
        <w:rPr>
          <w:rFonts w:ascii="Arial Black" w:hAnsi="Arial Black"/>
          <w:sz w:val="24"/>
          <w:szCs w:val="24"/>
        </w:rPr>
        <w:t>18-30</w:t>
      </w:r>
    </w:p>
    <w:p w14:paraId="27CC2933" w14:textId="77777777" w:rsidR="00072607" w:rsidRDefault="00072607" w:rsidP="000C4DF5">
      <w:pPr>
        <w:pStyle w:val="NoSpacing"/>
        <w:rPr>
          <w:rFonts w:ascii="Arial Black" w:hAnsi="Arial Black"/>
          <w:sz w:val="24"/>
          <w:szCs w:val="24"/>
        </w:rPr>
      </w:pPr>
    </w:p>
    <w:p w14:paraId="7CF15988" w14:textId="657D1F8B" w:rsidR="00072607" w:rsidRPr="006F2B87" w:rsidRDefault="00072607" w:rsidP="00072607">
      <w:pPr>
        <w:pStyle w:val="NoSpacing"/>
        <w:rPr>
          <w:rFonts w:ascii="Arial Black" w:hAnsi="Arial Black"/>
          <w:b/>
          <w:bCs/>
          <w:sz w:val="28"/>
          <w:szCs w:val="28"/>
        </w:rPr>
      </w:pPr>
      <w:r w:rsidRPr="006F2B87">
        <w:rPr>
          <w:rFonts w:ascii="Arial Black" w:hAnsi="Arial Black"/>
          <w:b/>
          <w:sz w:val="28"/>
          <w:szCs w:val="28"/>
        </w:rPr>
        <w:t xml:space="preserve">CT: “NO SURPRISE ACT” – </w:t>
      </w:r>
      <w:r>
        <w:rPr>
          <w:rFonts w:ascii="Arial Black" w:hAnsi="Arial Black"/>
          <w:b/>
          <w:sz w:val="28"/>
          <w:szCs w:val="28"/>
        </w:rPr>
        <w:t>AIR MED CAN SUE INSURANCE</w:t>
      </w:r>
      <w:r w:rsidR="000C6C88">
        <w:rPr>
          <w:rFonts w:ascii="Arial Black" w:hAnsi="Arial Black"/>
          <w:b/>
          <w:sz w:val="28"/>
          <w:szCs w:val="28"/>
        </w:rPr>
        <w:t xml:space="preserve"> CO.</w:t>
      </w:r>
    </w:p>
    <w:p w14:paraId="5204BFF9" w14:textId="77777777" w:rsidR="00072607" w:rsidRDefault="00072607" w:rsidP="00072607">
      <w:pPr>
        <w:pStyle w:val="NoSpacing"/>
        <w:rPr>
          <w:bCs/>
        </w:rPr>
      </w:pPr>
    </w:p>
    <w:p w14:paraId="1B45A02E" w14:textId="77777777" w:rsidR="00072607" w:rsidRPr="00B44918" w:rsidRDefault="00072607" w:rsidP="00072607">
      <w:pPr>
        <w:pStyle w:val="NoSpacing"/>
        <w:rPr>
          <w:rFonts w:ascii="Times New Roman" w:hAnsi="Times New Roman"/>
          <w:bCs/>
          <w:sz w:val="24"/>
          <w:szCs w:val="24"/>
        </w:rPr>
      </w:pPr>
      <w:r w:rsidRPr="00B44918">
        <w:rPr>
          <w:rFonts w:ascii="Times New Roman" w:hAnsi="Times New Roman"/>
          <w:sz w:val="24"/>
          <w:szCs w:val="24"/>
        </w:rPr>
        <w:t xml:space="preserve">On May 14, 2025, in </w:t>
      </w:r>
      <w:r w:rsidRPr="00B44918">
        <w:rPr>
          <w:rFonts w:ascii="Times New Roman" w:hAnsi="Times New Roman"/>
          <w:sz w:val="24"/>
          <w:szCs w:val="24"/>
          <w:u w:val="single"/>
        </w:rPr>
        <w:t xml:space="preserve">Guarding Flight LLC, Reach Air Medical Services LLC, </w:t>
      </w:r>
      <w:proofErr w:type="spellStart"/>
      <w:r w:rsidRPr="00B44918">
        <w:rPr>
          <w:rFonts w:ascii="Times New Roman" w:hAnsi="Times New Roman"/>
          <w:sz w:val="24"/>
          <w:szCs w:val="24"/>
          <w:u w:val="single"/>
        </w:rPr>
        <w:t>Calstar</w:t>
      </w:r>
      <w:proofErr w:type="spellEnd"/>
      <w:r w:rsidRPr="00B44918">
        <w:rPr>
          <w:rFonts w:ascii="Times New Roman" w:hAnsi="Times New Roman"/>
          <w:sz w:val="24"/>
          <w:szCs w:val="24"/>
          <w:u w:val="single"/>
        </w:rPr>
        <w:t xml:space="preserve"> Air Medical Services LLC, Med-Trans Corporation, and Air Evac EMS, Inc. v. Aetna Life Insurance Company, Aetna Health, Inc., Aetna Health and Life Insurance Company, and Cigna Health and Life Insurance Company</w:t>
      </w:r>
      <w:r w:rsidRPr="00B44918">
        <w:rPr>
          <w:rFonts w:ascii="Times New Roman" w:hAnsi="Times New Roman"/>
          <w:sz w:val="24"/>
          <w:szCs w:val="24"/>
        </w:rPr>
        <w:t>, U.S. District Court Judge Michael P. Shea, United States District Court for the District of Connecticut, denied the insurance companies motion to dismiss;  the Air Medical companies allege a “low pay, late pay or no pay” scheme has become a widespread business practice.</w:t>
      </w:r>
    </w:p>
    <w:p w14:paraId="591ECDB1" w14:textId="77777777" w:rsidR="00072607" w:rsidRPr="00B44918" w:rsidRDefault="00072607" w:rsidP="00072607">
      <w:pPr>
        <w:pStyle w:val="NoSpacing"/>
        <w:rPr>
          <w:rFonts w:ascii="Times New Roman" w:hAnsi="Times New Roman"/>
          <w:bCs/>
          <w:sz w:val="24"/>
          <w:szCs w:val="24"/>
        </w:rPr>
      </w:pPr>
      <w:r w:rsidRPr="00B44918">
        <w:rPr>
          <w:rFonts w:ascii="Times New Roman" w:hAnsi="Times New Roman"/>
          <w:sz w:val="24"/>
          <w:szCs w:val="24"/>
        </w:rPr>
        <w:t xml:space="preserve">   </w:t>
      </w:r>
    </w:p>
    <w:p w14:paraId="55CA3EBB" w14:textId="6DA85870" w:rsidR="00072607" w:rsidRPr="00B44918" w:rsidRDefault="00072607" w:rsidP="00072607">
      <w:pPr>
        <w:pStyle w:val="NoSpacing"/>
        <w:rPr>
          <w:rFonts w:ascii="Times New Roman" w:hAnsi="Times New Roman"/>
          <w:bCs/>
          <w:sz w:val="24"/>
          <w:szCs w:val="24"/>
        </w:rPr>
      </w:pPr>
      <w:r w:rsidRPr="00B44918">
        <w:rPr>
          <w:rFonts w:ascii="Times New Roman" w:hAnsi="Times New Roman"/>
          <w:sz w:val="24"/>
          <w:szCs w:val="24"/>
        </w:rPr>
        <w:t xml:space="preserve">The Court wrote:  “Though Defendants received the benefit of Plaintiffs’ services, they made unreasonably low initial payments for these transports…. Defendants have failed to comply with these IDR [Independent Dispute Resolution] determinations [under the 2021 No Surprise Act]…. In some cases, they made late payments and did not include interest to account for their payment delays….  In other instances, they have made only partial </w:t>
      </w:r>
      <w:r w:rsidRPr="00B44918">
        <w:rPr>
          <w:rFonts w:ascii="Times New Roman" w:hAnsi="Times New Roman"/>
          <w:sz w:val="24"/>
          <w:szCs w:val="24"/>
        </w:rPr>
        <w:lastRenderedPageBreak/>
        <w:t>payments or have not made any payments whatsoever. Id.  At the time Plaintiffs’ complaint was filed, several of these</w:t>
      </w:r>
      <w:r w:rsidR="00B44918">
        <w:rPr>
          <w:rFonts w:ascii="Times New Roman" w:hAnsi="Times New Roman"/>
          <w:sz w:val="24"/>
          <w:szCs w:val="24"/>
        </w:rPr>
        <w:t xml:space="preserve"> </w:t>
      </w:r>
      <w:r w:rsidRPr="00B44918">
        <w:rPr>
          <w:rFonts w:ascii="Times New Roman" w:hAnsi="Times New Roman"/>
          <w:sz w:val="24"/>
          <w:szCs w:val="24"/>
        </w:rPr>
        <w:t xml:space="preserve">awards were more than 500 days past due and Defendants had </w:t>
      </w:r>
      <w:proofErr w:type="gramStart"/>
      <w:r w:rsidRPr="00B44918">
        <w:rPr>
          <w:rFonts w:ascii="Times New Roman" w:hAnsi="Times New Roman"/>
          <w:sz w:val="24"/>
          <w:szCs w:val="24"/>
        </w:rPr>
        <w:t>late-paid</w:t>
      </w:r>
      <w:proofErr w:type="gramEnd"/>
      <w:r w:rsidRPr="00B44918">
        <w:rPr>
          <w:rFonts w:ascii="Times New Roman" w:hAnsi="Times New Roman"/>
          <w:sz w:val="24"/>
          <w:szCs w:val="24"/>
        </w:rPr>
        <w:t xml:space="preserve"> or not paid over $20</w:t>
      </w:r>
      <w:r w:rsidR="00B44918">
        <w:rPr>
          <w:rFonts w:ascii="Times New Roman" w:hAnsi="Times New Roman"/>
          <w:sz w:val="24"/>
          <w:szCs w:val="24"/>
        </w:rPr>
        <w:t xml:space="preserve"> </w:t>
      </w:r>
      <w:r w:rsidRPr="00B44918">
        <w:rPr>
          <w:rFonts w:ascii="Times New Roman" w:hAnsi="Times New Roman"/>
          <w:sz w:val="24"/>
          <w:szCs w:val="24"/>
        </w:rPr>
        <w:t xml:space="preserve">million in IDR awards. *** Defendants’ alleged failure to timely pay these awards is sufficiently frequent to constitute a general business practice. Plaintiffs have thus plausibly alleged that Defendants engaged in ‘unfair methods of competition and unfair and deceptive acts or practices in the business of insurance’ in violation of CUIPA [Connecticut Unfair Trade Practices Act] and so have stated a plausible CUTPA claim. See Conn. Gen. Stat. § 38a-816(6)(F).”  </w:t>
      </w:r>
      <w:hyperlink r:id="rId2917" w:history="1">
        <w:r w:rsidRPr="00B44918">
          <w:rPr>
            <w:rStyle w:val="Hyperlink"/>
            <w:rFonts w:ascii="Times New Roman" w:hAnsi="Times New Roman"/>
            <w:sz w:val="24"/>
            <w:szCs w:val="24"/>
          </w:rPr>
          <w:t>https://cases.justia.com/federal/district-courts/connecticut/ctdce/3:2024cv00680/159059/264/0.pdf?ts=1747297635</w:t>
        </w:r>
      </w:hyperlink>
      <w:r w:rsidRPr="00B44918">
        <w:rPr>
          <w:rFonts w:ascii="Times New Roman" w:hAnsi="Times New Roman"/>
          <w:sz w:val="24"/>
          <w:szCs w:val="24"/>
        </w:rPr>
        <w:t xml:space="preserve"> </w:t>
      </w:r>
    </w:p>
    <w:p w14:paraId="4AD570DD" w14:textId="77777777" w:rsidR="00072607" w:rsidRDefault="00072607" w:rsidP="00072607">
      <w:pPr>
        <w:pStyle w:val="NoSpacing"/>
        <w:rPr>
          <w:rFonts w:ascii="Times New Roman" w:hAnsi="Times New Roman"/>
          <w:sz w:val="24"/>
          <w:szCs w:val="24"/>
        </w:rPr>
      </w:pPr>
    </w:p>
    <w:p w14:paraId="1C504A85" w14:textId="77777777" w:rsidR="00C47507" w:rsidRPr="001D5E22" w:rsidRDefault="00C47507" w:rsidP="00C47507">
      <w:pPr>
        <w:pStyle w:val="NoSpacing"/>
        <w:rPr>
          <w:rFonts w:ascii="Times New Roman" w:hAnsi="Times New Roman"/>
          <w:b/>
          <w:bCs/>
          <w:sz w:val="24"/>
          <w:szCs w:val="24"/>
        </w:rPr>
      </w:pPr>
      <w:r w:rsidRPr="001D5E22">
        <w:rPr>
          <w:rFonts w:ascii="Times New Roman" w:hAnsi="Times New Roman"/>
          <w:b/>
          <w:sz w:val="24"/>
          <w:szCs w:val="24"/>
        </w:rPr>
        <w:t>Legal Lesson Learned: This is a significant win for Air Medical industry; hopefully patient insurance companies will “get the message” that they are facing liability for low pay, late pay or no pay’ scheme.</w:t>
      </w:r>
    </w:p>
    <w:p w14:paraId="4F47854A" w14:textId="77777777" w:rsidR="00C47507" w:rsidRPr="006F2B87" w:rsidRDefault="00C47507" w:rsidP="00C47507">
      <w:pPr>
        <w:pStyle w:val="NoSpacing"/>
        <w:rPr>
          <w:b/>
          <w:bCs/>
        </w:rPr>
      </w:pPr>
    </w:p>
    <w:p w14:paraId="7EABB51E" w14:textId="77777777" w:rsidR="00C47507" w:rsidRPr="00B44918" w:rsidRDefault="00C47507" w:rsidP="00072607">
      <w:pPr>
        <w:pStyle w:val="NoSpacing"/>
        <w:rPr>
          <w:rFonts w:ascii="Times New Roman" w:hAnsi="Times New Roman"/>
          <w:sz w:val="24"/>
          <w:szCs w:val="24"/>
        </w:rPr>
      </w:pPr>
    </w:p>
    <w:p w14:paraId="07B319CC" w14:textId="77777777" w:rsidR="00072607" w:rsidRDefault="00072607" w:rsidP="000C4DF5">
      <w:pPr>
        <w:pStyle w:val="NoSpacing"/>
        <w:rPr>
          <w:rFonts w:ascii="Arial Black" w:hAnsi="Arial Black"/>
          <w:sz w:val="24"/>
          <w:szCs w:val="24"/>
        </w:rPr>
      </w:pPr>
    </w:p>
    <w:p w14:paraId="799AE84A" w14:textId="77777777" w:rsidR="00072607" w:rsidRDefault="00072607" w:rsidP="000C4DF5">
      <w:pPr>
        <w:pStyle w:val="NoSpacing"/>
        <w:rPr>
          <w:rFonts w:ascii="Arial Black" w:hAnsi="Arial Black"/>
          <w:sz w:val="24"/>
          <w:szCs w:val="24"/>
        </w:rPr>
      </w:pPr>
    </w:p>
    <w:p w14:paraId="7411B888" w14:textId="77777777" w:rsidR="00072607" w:rsidRDefault="00072607" w:rsidP="000C4DF5">
      <w:pPr>
        <w:pStyle w:val="NoSpacing"/>
        <w:rPr>
          <w:rFonts w:ascii="Arial Black" w:hAnsi="Arial Black"/>
          <w:sz w:val="24"/>
          <w:szCs w:val="24"/>
        </w:rPr>
      </w:pPr>
    </w:p>
    <w:p w14:paraId="39958541" w14:textId="46CE514C" w:rsidR="008A2AE6" w:rsidRDefault="008A2AE6" w:rsidP="000C4DF5">
      <w:pPr>
        <w:pStyle w:val="NoSpacing"/>
        <w:rPr>
          <w:rFonts w:ascii="Arial Black" w:hAnsi="Arial Black"/>
          <w:sz w:val="24"/>
          <w:szCs w:val="24"/>
        </w:rPr>
      </w:pPr>
      <w:r>
        <w:rPr>
          <w:rFonts w:ascii="Arial Black" w:hAnsi="Arial Black"/>
          <w:sz w:val="24"/>
          <w:szCs w:val="24"/>
        </w:rPr>
        <w:t>18-29</w:t>
      </w:r>
    </w:p>
    <w:p w14:paraId="78BD20B8" w14:textId="77777777" w:rsidR="008A2AE6" w:rsidRDefault="008A2AE6" w:rsidP="000C4DF5">
      <w:pPr>
        <w:pStyle w:val="NoSpacing"/>
        <w:rPr>
          <w:rFonts w:ascii="Arial Black" w:hAnsi="Arial Black"/>
          <w:sz w:val="24"/>
          <w:szCs w:val="24"/>
        </w:rPr>
      </w:pPr>
    </w:p>
    <w:p w14:paraId="6F21B8A7" w14:textId="6DA565B9" w:rsidR="00727EFE" w:rsidRPr="0072111B" w:rsidRDefault="00727EFE" w:rsidP="00C47507">
      <w:pPr>
        <w:pStyle w:val="NoSpacing"/>
        <w:rPr>
          <w:rFonts w:ascii="Arial Black" w:hAnsi="Arial Black"/>
          <w:b/>
          <w:sz w:val="28"/>
          <w:szCs w:val="28"/>
        </w:rPr>
      </w:pPr>
      <w:r>
        <w:rPr>
          <w:rFonts w:ascii="Arial Black" w:hAnsi="Arial Black"/>
          <w:b/>
          <w:sz w:val="28"/>
          <w:szCs w:val="28"/>
        </w:rPr>
        <w:t xml:space="preserve">ID: GOOD SAMARITAN LAW -  CAN ARREST </w:t>
      </w:r>
      <w:r w:rsidR="000C567D">
        <w:rPr>
          <w:rFonts w:ascii="Arial Black" w:hAnsi="Arial Black"/>
          <w:b/>
          <w:sz w:val="28"/>
          <w:szCs w:val="28"/>
        </w:rPr>
        <w:t xml:space="preserve">PT / </w:t>
      </w:r>
      <w:r w:rsidR="00C47507">
        <w:rPr>
          <w:rFonts w:ascii="Arial Black" w:hAnsi="Arial Black"/>
          <w:b/>
          <w:sz w:val="28"/>
          <w:szCs w:val="28"/>
        </w:rPr>
        <w:t xml:space="preserve">WANTED </w:t>
      </w:r>
      <w:r>
        <w:rPr>
          <w:rFonts w:ascii="Arial Black" w:hAnsi="Arial Black"/>
          <w:b/>
          <w:sz w:val="28"/>
          <w:szCs w:val="28"/>
        </w:rPr>
        <w:t>WARRANT</w:t>
      </w:r>
    </w:p>
    <w:p w14:paraId="7BB5D8DF" w14:textId="77777777" w:rsidR="00727EFE" w:rsidRDefault="00727EFE" w:rsidP="00727EFE">
      <w:pPr>
        <w:pStyle w:val="NoSpacing"/>
        <w:rPr>
          <w:b/>
        </w:rPr>
      </w:pPr>
    </w:p>
    <w:p w14:paraId="0A4DED1C" w14:textId="77777777" w:rsidR="00727EFE" w:rsidRPr="00004EEC" w:rsidRDefault="00727EFE" w:rsidP="00727EFE">
      <w:pPr>
        <w:pStyle w:val="NoSpacing"/>
        <w:rPr>
          <w:rFonts w:ascii="Times New Roman" w:hAnsi="Times New Roman"/>
          <w:sz w:val="24"/>
          <w:szCs w:val="24"/>
        </w:rPr>
      </w:pPr>
      <w:r w:rsidRPr="00004EEC">
        <w:rPr>
          <w:rFonts w:ascii="Times New Roman" w:hAnsi="Times New Roman"/>
          <w:sz w:val="24"/>
          <w:szCs w:val="24"/>
        </w:rPr>
        <w:t xml:space="preserve">On March 19, 2025, in </w:t>
      </w:r>
      <w:r w:rsidRPr="00004EEC">
        <w:rPr>
          <w:rFonts w:ascii="Times New Roman" w:hAnsi="Times New Roman"/>
          <w:sz w:val="24"/>
          <w:szCs w:val="24"/>
          <w:u w:val="single"/>
        </w:rPr>
        <w:t xml:space="preserve">State of Idaho v. </w:t>
      </w:r>
      <w:proofErr w:type="spellStart"/>
      <w:r w:rsidRPr="00004EEC">
        <w:rPr>
          <w:rFonts w:ascii="Times New Roman" w:hAnsi="Times New Roman"/>
          <w:sz w:val="24"/>
          <w:szCs w:val="24"/>
          <w:u w:val="single"/>
        </w:rPr>
        <w:t>Ismiel</w:t>
      </w:r>
      <w:proofErr w:type="spellEnd"/>
      <w:r w:rsidRPr="00004EEC">
        <w:rPr>
          <w:rFonts w:ascii="Times New Roman" w:hAnsi="Times New Roman"/>
          <w:sz w:val="24"/>
          <w:szCs w:val="24"/>
          <w:u w:val="single"/>
        </w:rPr>
        <w:t xml:space="preserve"> Emannuel </w:t>
      </w:r>
      <w:proofErr w:type="spellStart"/>
      <w:r w:rsidRPr="00004EEC">
        <w:rPr>
          <w:rFonts w:ascii="Times New Roman" w:hAnsi="Times New Roman"/>
          <w:sz w:val="24"/>
          <w:szCs w:val="24"/>
          <w:u w:val="single"/>
        </w:rPr>
        <w:t>Meeds</w:t>
      </w:r>
      <w:proofErr w:type="spellEnd"/>
      <w:r w:rsidRPr="00004EEC">
        <w:rPr>
          <w:rFonts w:ascii="Times New Roman" w:hAnsi="Times New Roman"/>
          <w:sz w:val="24"/>
          <w:szCs w:val="24"/>
        </w:rPr>
        <w:t xml:space="preserve">, the Court of Appeals of Idaho held (3 to 0; unpublished decision) that the states’ Good Samaritan law does not protect a person helping an overdose patient from arrest for an outstanding warrant, and the statute also doesn’t protect from being charged with bringing drugs into jail after their arrest.  The trial court </w:t>
      </w:r>
      <w:proofErr w:type="gramStart"/>
      <w:r w:rsidRPr="00004EEC">
        <w:rPr>
          <w:rFonts w:ascii="Times New Roman" w:hAnsi="Times New Roman"/>
          <w:sz w:val="24"/>
          <w:szCs w:val="24"/>
        </w:rPr>
        <w:t>judge did drop</w:t>
      </w:r>
      <w:proofErr w:type="gramEnd"/>
      <w:r w:rsidRPr="00004EEC">
        <w:rPr>
          <w:rFonts w:ascii="Times New Roman" w:hAnsi="Times New Roman"/>
          <w:sz w:val="24"/>
          <w:szCs w:val="24"/>
        </w:rPr>
        <w:t xml:space="preserve"> charges of possession  since this is covered by </w:t>
      </w:r>
      <w:proofErr w:type="gramStart"/>
      <w:r w:rsidRPr="00004EEC">
        <w:rPr>
          <w:rFonts w:ascii="Times New Roman" w:hAnsi="Times New Roman"/>
          <w:sz w:val="24"/>
          <w:szCs w:val="24"/>
        </w:rPr>
        <w:t>the Good</w:t>
      </w:r>
      <w:proofErr w:type="gramEnd"/>
      <w:r w:rsidRPr="00004EEC">
        <w:rPr>
          <w:rFonts w:ascii="Times New Roman" w:hAnsi="Times New Roman"/>
          <w:sz w:val="24"/>
          <w:szCs w:val="24"/>
        </w:rPr>
        <w:t xml:space="preserve"> Samaritan law.  “During the booking process, an intake search was conducted and officers found methamphetamine and marijuana concealed in his anal cavity. </w:t>
      </w:r>
      <w:proofErr w:type="spellStart"/>
      <w:r w:rsidRPr="00004EEC">
        <w:rPr>
          <w:rFonts w:ascii="Times New Roman" w:hAnsi="Times New Roman"/>
          <w:sz w:val="24"/>
          <w:szCs w:val="24"/>
        </w:rPr>
        <w:t>Meeds</w:t>
      </w:r>
      <w:proofErr w:type="spellEnd"/>
      <w:r w:rsidRPr="00004EEC">
        <w:rPr>
          <w:rFonts w:ascii="Times New Roman" w:hAnsi="Times New Roman"/>
          <w:sz w:val="24"/>
          <w:szCs w:val="24"/>
        </w:rPr>
        <w:t xml:space="preserve"> was charged with possession, introduction, or removal of certain articles into or from a correctional facility…. Whether prosecution for additional crimes or arrests on outstanding warrants should be prohibited by I.C. § 37-2739C is a matter for the legislature, not this Court.” </w:t>
      </w:r>
      <w:hyperlink r:id="rId2918" w:history="1">
        <w:r w:rsidRPr="00004EEC">
          <w:rPr>
            <w:rStyle w:val="Hyperlink"/>
            <w:rFonts w:ascii="Times New Roman" w:hAnsi="Times New Roman"/>
            <w:sz w:val="24"/>
            <w:szCs w:val="24"/>
          </w:rPr>
          <w:t>https://isc.idaho.gov/opinions/51312.pdf</w:t>
        </w:r>
      </w:hyperlink>
    </w:p>
    <w:p w14:paraId="10C4F618" w14:textId="77777777" w:rsidR="00727EFE" w:rsidRPr="00004EEC" w:rsidRDefault="00727EFE" w:rsidP="000C4DF5">
      <w:pPr>
        <w:pStyle w:val="NoSpacing"/>
        <w:rPr>
          <w:rFonts w:ascii="Times New Roman" w:hAnsi="Times New Roman"/>
          <w:sz w:val="24"/>
          <w:szCs w:val="24"/>
        </w:rPr>
      </w:pPr>
    </w:p>
    <w:p w14:paraId="6D2E862E" w14:textId="77777777" w:rsidR="00004EEC" w:rsidRPr="00004EEC" w:rsidRDefault="00004EEC" w:rsidP="00004EEC">
      <w:pPr>
        <w:pStyle w:val="NoSpacing"/>
        <w:rPr>
          <w:rFonts w:ascii="Times New Roman" w:hAnsi="Times New Roman"/>
          <w:b/>
          <w:bCs/>
          <w:sz w:val="24"/>
          <w:szCs w:val="24"/>
        </w:rPr>
      </w:pPr>
      <w:r w:rsidRPr="00004EEC">
        <w:rPr>
          <w:rFonts w:ascii="Times New Roman" w:hAnsi="Times New Roman"/>
          <w:b/>
          <w:sz w:val="24"/>
          <w:szCs w:val="24"/>
        </w:rPr>
        <w:t>Legal Lesson Learned: Court enforces statute that is “plain and unambiguous.”</w:t>
      </w:r>
    </w:p>
    <w:p w14:paraId="2CDE7F49" w14:textId="77777777" w:rsidR="00004EEC" w:rsidRPr="00004EEC" w:rsidRDefault="00004EEC" w:rsidP="00004EEC">
      <w:pPr>
        <w:pStyle w:val="NoSpacing"/>
        <w:ind w:left="720"/>
        <w:rPr>
          <w:rFonts w:ascii="Times New Roman" w:hAnsi="Times New Roman"/>
          <w:sz w:val="24"/>
          <w:szCs w:val="24"/>
        </w:rPr>
      </w:pPr>
    </w:p>
    <w:p w14:paraId="2948E965" w14:textId="77777777" w:rsidR="00004EEC" w:rsidRPr="00004EEC" w:rsidRDefault="00004EEC" w:rsidP="000C4DF5">
      <w:pPr>
        <w:pStyle w:val="NoSpacing"/>
        <w:rPr>
          <w:rFonts w:ascii="Times New Roman" w:hAnsi="Times New Roman"/>
          <w:sz w:val="24"/>
          <w:szCs w:val="24"/>
        </w:rPr>
      </w:pPr>
    </w:p>
    <w:p w14:paraId="21E33559" w14:textId="77777777" w:rsidR="008A2AE6" w:rsidRDefault="008A2AE6" w:rsidP="000C4DF5">
      <w:pPr>
        <w:pStyle w:val="NoSpacing"/>
        <w:rPr>
          <w:rFonts w:ascii="Arial Black" w:hAnsi="Arial Black"/>
          <w:sz w:val="24"/>
          <w:szCs w:val="24"/>
        </w:rPr>
      </w:pPr>
    </w:p>
    <w:p w14:paraId="39091001" w14:textId="77777777" w:rsidR="008A2AE6" w:rsidRDefault="008A2AE6" w:rsidP="000C4DF5">
      <w:pPr>
        <w:pStyle w:val="NoSpacing"/>
        <w:rPr>
          <w:rFonts w:ascii="Arial Black" w:hAnsi="Arial Black"/>
          <w:sz w:val="24"/>
          <w:szCs w:val="24"/>
        </w:rPr>
      </w:pPr>
    </w:p>
    <w:p w14:paraId="5B09835D" w14:textId="2482627D" w:rsidR="00FD3A33" w:rsidRPr="00C23DCB" w:rsidRDefault="00C568F9" w:rsidP="000C4DF5">
      <w:pPr>
        <w:pStyle w:val="NoSpacing"/>
        <w:rPr>
          <w:rFonts w:ascii="Arial Black" w:hAnsi="Arial Black"/>
          <w:sz w:val="28"/>
          <w:szCs w:val="28"/>
        </w:rPr>
      </w:pPr>
      <w:r w:rsidRPr="00C23DCB">
        <w:rPr>
          <w:rFonts w:ascii="Arial Black" w:hAnsi="Arial Black"/>
          <w:sz w:val="28"/>
          <w:szCs w:val="28"/>
        </w:rPr>
        <w:t>18-28</w:t>
      </w:r>
    </w:p>
    <w:p w14:paraId="0694B8D7" w14:textId="77777777" w:rsidR="00C568F9" w:rsidRDefault="00C568F9" w:rsidP="000C4DF5">
      <w:pPr>
        <w:pStyle w:val="NoSpacing"/>
        <w:rPr>
          <w:rFonts w:ascii="Arial Black" w:hAnsi="Arial Black"/>
          <w:sz w:val="24"/>
          <w:szCs w:val="24"/>
        </w:rPr>
      </w:pPr>
    </w:p>
    <w:p w14:paraId="78B5D844" w14:textId="77777777" w:rsidR="00B23BDB" w:rsidRPr="000B7F2C" w:rsidRDefault="00B23BDB" w:rsidP="00B23BDB">
      <w:pPr>
        <w:rPr>
          <w:rFonts w:ascii="Arial Black" w:hAnsi="Arial Black"/>
          <w:sz w:val="28"/>
          <w:szCs w:val="28"/>
        </w:rPr>
      </w:pPr>
      <w:r w:rsidRPr="000B7F2C">
        <w:rPr>
          <w:rFonts w:ascii="Arial Black" w:hAnsi="Arial Black"/>
          <w:sz w:val="28"/>
          <w:szCs w:val="28"/>
        </w:rPr>
        <w:t xml:space="preserve">MD: HUD “GOOD NEIGHBOR” HOMES </w:t>
      </w:r>
      <w:r>
        <w:rPr>
          <w:rFonts w:ascii="Arial Black" w:hAnsi="Arial Black"/>
          <w:sz w:val="28"/>
          <w:szCs w:val="28"/>
        </w:rPr>
        <w:t xml:space="preserve">– POLICE / FIRE </w:t>
      </w:r>
    </w:p>
    <w:p w14:paraId="73369532" w14:textId="77777777" w:rsidR="00B23BDB" w:rsidRPr="00B23BDB" w:rsidRDefault="00B23BDB" w:rsidP="00B23BDB">
      <w:pPr>
        <w:rPr>
          <w:rFonts w:ascii="Times New Roman" w:hAnsi="Times New Roman"/>
          <w:sz w:val="24"/>
          <w:szCs w:val="24"/>
        </w:rPr>
      </w:pPr>
      <w:r w:rsidRPr="00B23BDB">
        <w:rPr>
          <w:rFonts w:ascii="Times New Roman" w:hAnsi="Times New Roman"/>
          <w:sz w:val="24"/>
          <w:szCs w:val="24"/>
        </w:rPr>
        <w:t xml:space="preserve">On Feb. 24, 2025, in </w:t>
      </w:r>
      <w:r w:rsidRPr="00B23BDB">
        <w:rPr>
          <w:rFonts w:ascii="Times New Roman" w:hAnsi="Times New Roman"/>
          <w:sz w:val="24"/>
          <w:szCs w:val="24"/>
          <w:u w:val="single"/>
        </w:rPr>
        <w:t xml:space="preserve">Robert D. Kaetzel v. The Secretary of Housing </w:t>
      </w:r>
      <w:proofErr w:type="gramStart"/>
      <w:r w:rsidRPr="00B23BDB">
        <w:rPr>
          <w:rFonts w:ascii="Times New Roman" w:hAnsi="Times New Roman"/>
          <w:sz w:val="24"/>
          <w:szCs w:val="24"/>
          <w:u w:val="single"/>
        </w:rPr>
        <w:t>And</w:t>
      </w:r>
      <w:proofErr w:type="gramEnd"/>
      <w:r w:rsidRPr="00B23BDB">
        <w:rPr>
          <w:rFonts w:ascii="Times New Roman" w:hAnsi="Times New Roman"/>
          <w:sz w:val="24"/>
          <w:szCs w:val="24"/>
          <w:u w:val="single"/>
        </w:rPr>
        <w:t xml:space="preserve"> Urban Development</w:t>
      </w:r>
      <w:r w:rsidRPr="00B23BDB">
        <w:rPr>
          <w:rFonts w:ascii="Times New Roman" w:hAnsi="Times New Roman"/>
          <w:sz w:val="24"/>
          <w:szCs w:val="24"/>
        </w:rPr>
        <w:t>, United State District Judge Brendan A. Hurson granted HUD motion to dismiss because the plaintiff real estate agent (pro se; acting without an attorney) does not have standing because he did not include his two firefighter clients in the case.  The two firefighters sought to buy homes with 50% discount from list price under the HUD “Good Neighbor Next Door”</w:t>
      </w:r>
      <w:r w:rsidRPr="00B23BDB">
        <w:rPr>
          <w:rFonts w:ascii="Times New Roman" w:hAnsi="Times New Roman"/>
          <w:b/>
          <w:sz w:val="24"/>
          <w:szCs w:val="24"/>
        </w:rPr>
        <w:t xml:space="preserve"> </w:t>
      </w:r>
      <w:r w:rsidRPr="00B23BDB">
        <w:rPr>
          <w:rFonts w:ascii="Times New Roman" w:hAnsi="Times New Roman"/>
          <w:sz w:val="24"/>
          <w:szCs w:val="24"/>
        </w:rPr>
        <w:t xml:space="preserve">program in </w:t>
      </w:r>
      <w:hyperlink r:id="rId2919" w:history="1">
        <w:r w:rsidRPr="00B23BDB">
          <w:rPr>
            <w:rStyle w:val="Hyperlink"/>
            <w:rFonts w:ascii="Times New Roman" w:hAnsi="Times New Roman"/>
            <w:sz w:val="24"/>
            <w:szCs w:val="24"/>
          </w:rPr>
          <w:t>revitalization areas</w:t>
        </w:r>
      </w:hyperlink>
      <w:r w:rsidRPr="00B23BDB">
        <w:rPr>
          <w:rFonts w:ascii="Times New Roman" w:hAnsi="Times New Roman"/>
          <w:sz w:val="24"/>
          <w:szCs w:val="24"/>
        </w:rPr>
        <w:t xml:space="preserve">.  Firefighter Kendra L. Slydell, a career firefighter with Princes George County fire department was denied HUD reduced price home in Capitol Heights, a town in PG County; firefighter Kenneth Hudson, a career firefighter with  Baltimore City fire department was denied a home in Baltimore City.  The real estate agent alleged HUD determined “that the individual purchaser[s'] </w:t>
      </w:r>
      <w:r w:rsidRPr="00B23BDB">
        <w:rPr>
          <w:rFonts w:ascii="Times New Roman" w:hAnsi="Times New Roman"/>
          <w:sz w:val="24"/>
          <w:szCs w:val="24"/>
        </w:rPr>
        <w:lastRenderedPageBreak/>
        <w:t xml:space="preserve">regular work locations are not within the same ‘neighborhood or community' as the property, [and] therefore [the purchasers] do not qualify.”   </w:t>
      </w:r>
      <w:hyperlink r:id="rId2920" w:history="1">
        <w:r w:rsidRPr="00B23BDB">
          <w:rPr>
            <w:rStyle w:val="Hyperlink"/>
            <w:rFonts w:ascii="Times New Roman" w:hAnsi="Times New Roman"/>
            <w:sz w:val="24"/>
            <w:szCs w:val="24"/>
          </w:rPr>
          <w:t>https://public.fastcase.com/jaEE2PXzRXmZ99jOLMt1InNcYbqVaI0RKJVNmSUWwC4uBfhrqEaMCXW4t6jftSIgD4%2FHoHLdH48y39slr7kZWrEMnvLTwJnn0bFKh%2B9XZVQ%3D?utm_medium=email&amp;_hsenc=p2ANqtz-9jIRW7ECQxdsfZzinN3lzy-N6WwmOPS0xWaDDWCvHvPAgLyigDSOvaGk0u5IT3PeW4EZ19aOxVZon74RIrJmMQwWSuhw&amp;_hsmi=226712652&amp;utm_content=226712652&amp;utm_source=hs_email</w:t>
        </w:r>
      </w:hyperlink>
      <w:r w:rsidRPr="00B23BDB">
        <w:rPr>
          <w:rFonts w:ascii="Times New Roman" w:hAnsi="Times New Roman"/>
          <w:sz w:val="24"/>
          <w:szCs w:val="24"/>
        </w:rPr>
        <w:t xml:space="preserve"> </w:t>
      </w:r>
    </w:p>
    <w:p w14:paraId="10069FF8" w14:textId="77777777" w:rsidR="00B23BDB" w:rsidRPr="00B23BDB" w:rsidRDefault="00B23BDB" w:rsidP="00B23BDB">
      <w:pPr>
        <w:pStyle w:val="NoSpacing"/>
        <w:rPr>
          <w:rFonts w:ascii="Times New Roman" w:hAnsi="Times New Roman"/>
          <w:sz w:val="24"/>
          <w:szCs w:val="24"/>
        </w:rPr>
      </w:pPr>
      <w:r w:rsidRPr="00B23BDB">
        <w:rPr>
          <w:rFonts w:ascii="Times New Roman" w:hAnsi="Times New Roman"/>
          <w:sz w:val="24"/>
          <w:szCs w:val="24"/>
        </w:rPr>
        <w:t>The Court wrote:</w:t>
      </w:r>
    </w:p>
    <w:p w14:paraId="6933A9DC" w14:textId="77777777" w:rsidR="00B23BDB" w:rsidRPr="00B23BDB" w:rsidRDefault="00B23BDB" w:rsidP="00B23BDB">
      <w:pPr>
        <w:pStyle w:val="NoSpacing"/>
        <w:rPr>
          <w:rFonts w:ascii="Times New Roman" w:hAnsi="Times New Roman"/>
          <w:sz w:val="24"/>
          <w:szCs w:val="24"/>
        </w:rPr>
      </w:pPr>
    </w:p>
    <w:p w14:paraId="7E0842AC" w14:textId="77777777" w:rsidR="00B23BDB" w:rsidRPr="00B23BDB" w:rsidRDefault="00B23BDB" w:rsidP="00B23BDB">
      <w:pPr>
        <w:pStyle w:val="NoSpacing"/>
        <w:ind w:left="720"/>
        <w:rPr>
          <w:rFonts w:ascii="Times New Roman" w:hAnsi="Times New Roman"/>
          <w:sz w:val="24"/>
          <w:szCs w:val="24"/>
        </w:rPr>
      </w:pPr>
      <w:r w:rsidRPr="00B23BDB">
        <w:rPr>
          <w:rFonts w:ascii="Times New Roman" w:hAnsi="Times New Roman"/>
          <w:sz w:val="24"/>
          <w:szCs w:val="24"/>
        </w:rPr>
        <w:t xml:space="preserve">“Plaintiff Robert D. Kaetzel …proceeding pro se, </w:t>
      </w:r>
      <w:proofErr w:type="gramStart"/>
      <w:r w:rsidRPr="00B23BDB">
        <w:rPr>
          <w:rFonts w:ascii="Times New Roman" w:hAnsi="Times New Roman"/>
          <w:sz w:val="24"/>
          <w:szCs w:val="24"/>
        </w:rPr>
        <w:t>brought suit against</w:t>
      </w:r>
      <w:proofErr w:type="gramEnd"/>
      <w:r w:rsidRPr="00B23BDB">
        <w:rPr>
          <w:rFonts w:ascii="Times New Roman" w:hAnsi="Times New Roman"/>
          <w:sz w:val="24"/>
          <w:szCs w:val="24"/>
        </w:rPr>
        <w:t xml:space="preserve"> the Secretary of Housing and Urban Development  … challenging HUD's implementation of its Good Neighbor Next Door (“GNND”) Program…. </w:t>
      </w:r>
    </w:p>
    <w:p w14:paraId="1DF2B3F4" w14:textId="77777777" w:rsidR="00B23BDB" w:rsidRPr="00B23BDB" w:rsidRDefault="00B23BDB" w:rsidP="00B23BDB">
      <w:pPr>
        <w:pStyle w:val="NoSpacing"/>
        <w:rPr>
          <w:rFonts w:ascii="Times New Roman" w:hAnsi="Times New Roman"/>
          <w:sz w:val="24"/>
          <w:szCs w:val="24"/>
        </w:rPr>
      </w:pPr>
    </w:p>
    <w:p w14:paraId="02EE47AC" w14:textId="77777777" w:rsidR="00B23BDB" w:rsidRPr="00B23BDB" w:rsidRDefault="00B23BDB" w:rsidP="00B23BDB">
      <w:pPr>
        <w:pStyle w:val="NoSpacing"/>
        <w:ind w:firstLine="720"/>
        <w:rPr>
          <w:rFonts w:ascii="Times New Roman" w:hAnsi="Times New Roman"/>
          <w:sz w:val="24"/>
          <w:szCs w:val="24"/>
        </w:rPr>
      </w:pPr>
      <w:r w:rsidRPr="00B23BDB">
        <w:rPr>
          <w:rFonts w:ascii="Times New Roman" w:hAnsi="Times New Roman"/>
          <w:sz w:val="24"/>
          <w:szCs w:val="24"/>
        </w:rPr>
        <w:t>***</w:t>
      </w:r>
    </w:p>
    <w:p w14:paraId="0A405586" w14:textId="77777777" w:rsidR="00B23BDB" w:rsidRPr="00B23BDB" w:rsidRDefault="00B23BDB" w:rsidP="00B23BDB">
      <w:pPr>
        <w:pStyle w:val="NoSpacing"/>
        <w:rPr>
          <w:rFonts w:ascii="Times New Roman" w:hAnsi="Times New Roman"/>
          <w:sz w:val="24"/>
          <w:szCs w:val="24"/>
        </w:rPr>
      </w:pPr>
    </w:p>
    <w:p w14:paraId="611DA675" w14:textId="77777777" w:rsidR="00B23BDB" w:rsidRPr="00B23BDB" w:rsidRDefault="00B23BDB" w:rsidP="00B23BDB">
      <w:pPr>
        <w:pStyle w:val="NoSpacing"/>
        <w:ind w:left="720"/>
        <w:rPr>
          <w:rFonts w:ascii="Times New Roman" w:hAnsi="Times New Roman"/>
          <w:sz w:val="24"/>
          <w:szCs w:val="24"/>
        </w:rPr>
      </w:pPr>
      <w:r w:rsidRPr="00B23BDB">
        <w:rPr>
          <w:rFonts w:ascii="Times New Roman" w:hAnsi="Times New Roman"/>
          <w:sz w:val="24"/>
          <w:szCs w:val="24"/>
        </w:rPr>
        <w:t>HUD created the GNND Program ‘to improve the quality of life in distressed urban communities ... by encouraging law enforcement officers, teachers, and firefighters/emergency medical technicians to purchase and live in homes that are located in the same communities where they perform their daily responsibilities and duties.’ 24 C.F.R. § 291.500. The Program allows eligible purchasers to ‘purchase a specifically designated HUD-acquired home located in a HUD-designated revitalization area’ ‘[a]t a 50 percent discount from the list price’ and ‘[w]</w:t>
      </w:r>
      <w:proofErr w:type="spellStart"/>
      <w:r w:rsidRPr="00B23BDB">
        <w:rPr>
          <w:rFonts w:ascii="Times New Roman" w:hAnsi="Times New Roman"/>
          <w:sz w:val="24"/>
          <w:szCs w:val="24"/>
        </w:rPr>
        <w:t>ith</w:t>
      </w:r>
      <w:proofErr w:type="spellEnd"/>
      <w:r w:rsidRPr="00B23BDB">
        <w:rPr>
          <w:rFonts w:ascii="Times New Roman" w:hAnsi="Times New Roman"/>
          <w:sz w:val="24"/>
          <w:szCs w:val="24"/>
        </w:rPr>
        <w:t xml:space="preserve"> a downpayment of $100, but only if the [eligible purchaser] finances the home through a Federal Housing Administration (FHA) insured mortgage.’ § 291.510(a)(1)-(2). </w:t>
      </w:r>
    </w:p>
    <w:p w14:paraId="4987D0DA" w14:textId="77777777" w:rsidR="00B23BDB" w:rsidRPr="00B23BDB" w:rsidRDefault="00B23BDB" w:rsidP="00B23BDB">
      <w:pPr>
        <w:pStyle w:val="NoSpacing"/>
        <w:rPr>
          <w:rFonts w:ascii="Times New Roman" w:hAnsi="Times New Roman"/>
          <w:sz w:val="24"/>
          <w:szCs w:val="24"/>
        </w:rPr>
      </w:pPr>
    </w:p>
    <w:p w14:paraId="7A641D7F" w14:textId="77777777" w:rsidR="00B23BDB" w:rsidRPr="00B23BDB" w:rsidRDefault="00B23BDB" w:rsidP="00B23BDB">
      <w:pPr>
        <w:pStyle w:val="NoSpacing"/>
        <w:ind w:firstLine="720"/>
        <w:rPr>
          <w:rFonts w:ascii="Times New Roman" w:hAnsi="Times New Roman"/>
          <w:sz w:val="24"/>
          <w:szCs w:val="24"/>
        </w:rPr>
      </w:pPr>
      <w:r w:rsidRPr="00B23BDB">
        <w:rPr>
          <w:rFonts w:ascii="Times New Roman" w:hAnsi="Times New Roman"/>
          <w:sz w:val="24"/>
          <w:szCs w:val="24"/>
        </w:rPr>
        <w:t>***</w:t>
      </w:r>
    </w:p>
    <w:p w14:paraId="6DCC9D53" w14:textId="77777777" w:rsidR="00B23BDB" w:rsidRPr="00B23BDB" w:rsidRDefault="00B23BDB" w:rsidP="00B23BDB">
      <w:pPr>
        <w:pStyle w:val="NoSpacing"/>
        <w:rPr>
          <w:rFonts w:ascii="Times New Roman" w:hAnsi="Times New Roman"/>
          <w:sz w:val="24"/>
          <w:szCs w:val="24"/>
        </w:rPr>
      </w:pPr>
    </w:p>
    <w:p w14:paraId="5DBC73A9" w14:textId="77777777" w:rsidR="00B23BDB" w:rsidRPr="00B23BDB" w:rsidRDefault="00B23BDB" w:rsidP="00B23BDB">
      <w:pPr>
        <w:pStyle w:val="NoSpacing"/>
        <w:ind w:left="720"/>
        <w:rPr>
          <w:rFonts w:ascii="Times New Roman" w:hAnsi="Times New Roman"/>
          <w:sz w:val="24"/>
          <w:szCs w:val="24"/>
        </w:rPr>
      </w:pPr>
      <w:r w:rsidRPr="00B23BDB">
        <w:rPr>
          <w:rFonts w:ascii="Times New Roman" w:hAnsi="Times New Roman"/>
          <w:sz w:val="24"/>
          <w:szCs w:val="24"/>
        </w:rPr>
        <w:t xml:space="preserve">Here, </w:t>
      </w:r>
      <w:proofErr w:type="gramStart"/>
      <w:r w:rsidRPr="00B23BDB">
        <w:rPr>
          <w:rFonts w:ascii="Times New Roman" w:hAnsi="Times New Roman"/>
          <w:sz w:val="24"/>
          <w:szCs w:val="24"/>
        </w:rPr>
        <w:t>Plaintiffs</w:t>
      </w:r>
      <w:proofErr w:type="gramEnd"/>
      <w:r w:rsidRPr="00B23BDB">
        <w:rPr>
          <w:rFonts w:ascii="Times New Roman" w:hAnsi="Times New Roman"/>
          <w:sz w:val="24"/>
          <w:szCs w:val="24"/>
        </w:rPr>
        <w:t xml:space="preserve"> claims are entirely derivative of those of his clients, who are not parties </w:t>
      </w:r>
      <w:proofErr w:type="gramStart"/>
      <w:r w:rsidRPr="00B23BDB">
        <w:rPr>
          <w:rFonts w:ascii="Times New Roman" w:hAnsi="Times New Roman"/>
          <w:sz w:val="24"/>
          <w:szCs w:val="24"/>
        </w:rPr>
        <w:t>in</w:t>
      </w:r>
      <w:proofErr w:type="gramEnd"/>
      <w:r w:rsidRPr="00B23BDB">
        <w:rPr>
          <w:rFonts w:ascii="Times New Roman" w:hAnsi="Times New Roman"/>
          <w:sz w:val="24"/>
          <w:szCs w:val="24"/>
        </w:rPr>
        <w:t xml:space="preserve"> this suit. Even assuming Plaintiff has met the first two criteria, there is nothing before the Court to suggest that Plaintiffs clients are unable to bring suit on their own behalf challenging HUD's application of its own GNND Program regulations. Plaintiff therefore cannot establish third-party standing.”</w:t>
      </w:r>
    </w:p>
    <w:p w14:paraId="21ADF3A3" w14:textId="77777777" w:rsidR="00B23BDB" w:rsidRPr="00B23BDB" w:rsidRDefault="00B23BDB" w:rsidP="00B23BDB">
      <w:pPr>
        <w:pStyle w:val="NoSpacing"/>
        <w:rPr>
          <w:rFonts w:ascii="Times New Roman" w:hAnsi="Times New Roman"/>
          <w:sz w:val="24"/>
          <w:szCs w:val="24"/>
        </w:rPr>
      </w:pPr>
    </w:p>
    <w:p w14:paraId="29687481" w14:textId="77777777" w:rsidR="00B23BDB" w:rsidRPr="00B23BDB" w:rsidRDefault="00B23BDB" w:rsidP="00B23BDB">
      <w:pPr>
        <w:pStyle w:val="NoSpacing"/>
        <w:rPr>
          <w:rFonts w:ascii="Times New Roman" w:hAnsi="Times New Roman"/>
          <w:b/>
          <w:bCs/>
          <w:sz w:val="24"/>
          <w:szCs w:val="24"/>
        </w:rPr>
      </w:pPr>
      <w:r w:rsidRPr="00B23BDB">
        <w:rPr>
          <w:rFonts w:ascii="Times New Roman" w:hAnsi="Times New Roman"/>
          <w:b/>
          <w:sz w:val="24"/>
          <w:szCs w:val="24"/>
        </w:rPr>
        <w:t xml:space="preserve">Legal Lesson Learned:  The two firefighters who were denied HUD approval of “Good Neighbor Next Door” purchases may bring a lawsuit. </w:t>
      </w:r>
    </w:p>
    <w:p w14:paraId="274A4CDC" w14:textId="77777777" w:rsidR="00B23BDB" w:rsidRPr="00B23BDB" w:rsidRDefault="00B23BDB" w:rsidP="00B23BDB">
      <w:pPr>
        <w:rPr>
          <w:rFonts w:ascii="Times New Roman" w:hAnsi="Times New Roman"/>
          <w:b/>
          <w:bCs/>
          <w:sz w:val="24"/>
          <w:szCs w:val="24"/>
        </w:rPr>
      </w:pPr>
    </w:p>
    <w:p w14:paraId="68735F26" w14:textId="77777777" w:rsidR="00B23BDB" w:rsidRPr="00B23BDB" w:rsidRDefault="00B23BDB" w:rsidP="00B23BDB">
      <w:pPr>
        <w:ind w:left="720"/>
        <w:rPr>
          <w:rFonts w:ascii="Times New Roman" w:hAnsi="Times New Roman"/>
          <w:sz w:val="24"/>
          <w:szCs w:val="24"/>
        </w:rPr>
      </w:pPr>
      <w:r w:rsidRPr="00B23BDB">
        <w:rPr>
          <w:rFonts w:ascii="Times New Roman" w:hAnsi="Times New Roman"/>
          <w:sz w:val="24"/>
          <w:szCs w:val="24"/>
        </w:rPr>
        <w:t xml:space="preserve">Note: See HUD Good Neighbor Next Door program: </w:t>
      </w:r>
      <w:hyperlink r:id="rId2921" w:history="1">
        <w:r w:rsidRPr="00B23BDB">
          <w:rPr>
            <w:rStyle w:val="Hyperlink"/>
            <w:rFonts w:ascii="Times New Roman" w:hAnsi="Times New Roman"/>
            <w:sz w:val="24"/>
            <w:szCs w:val="24"/>
          </w:rPr>
          <w:t>https://www.hud.gov/program_offices/housing/sfh/reo/goodn/gnndabot</w:t>
        </w:r>
      </w:hyperlink>
      <w:r w:rsidRPr="00B23BDB">
        <w:rPr>
          <w:rFonts w:ascii="Times New Roman" w:hAnsi="Times New Roman"/>
          <w:sz w:val="24"/>
          <w:szCs w:val="24"/>
        </w:rPr>
        <w:t xml:space="preserve"> </w:t>
      </w:r>
    </w:p>
    <w:p w14:paraId="2D161CBB" w14:textId="77777777" w:rsidR="00B23BDB" w:rsidRPr="00B23BDB" w:rsidRDefault="00B23BDB" w:rsidP="00B23BDB">
      <w:pPr>
        <w:pStyle w:val="NoSpacing"/>
        <w:ind w:firstLine="720"/>
        <w:rPr>
          <w:rFonts w:ascii="Times New Roman" w:hAnsi="Times New Roman"/>
          <w:sz w:val="24"/>
          <w:szCs w:val="24"/>
        </w:rPr>
      </w:pPr>
      <w:r w:rsidRPr="00B23BDB">
        <w:rPr>
          <w:rFonts w:ascii="Times New Roman" w:hAnsi="Times New Roman"/>
          <w:sz w:val="24"/>
          <w:szCs w:val="24"/>
        </w:rPr>
        <w:t xml:space="preserve">See Regulation: </w:t>
      </w:r>
    </w:p>
    <w:p w14:paraId="4459094D" w14:textId="77777777" w:rsidR="00B23BDB" w:rsidRPr="00B23BDB" w:rsidRDefault="00B23BDB" w:rsidP="00B23BDB">
      <w:pPr>
        <w:pStyle w:val="NoSpacing"/>
        <w:rPr>
          <w:rFonts w:ascii="Times New Roman" w:hAnsi="Times New Roman"/>
          <w:sz w:val="24"/>
          <w:szCs w:val="24"/>
        </w:rPr>
      </w:pPr>
      <w:r w:rsidRPr="00B23BDB">
        <w:rPr>
          <w:rFonts w:ascii="Times New Roman" w:hAnsi="Times New Roman"/>
          <w:sz w:val="24"/>
          <w:szCs w:val="24"/>
        </w:rPr>
        <w:t>      </w:t>
      </w:r>
    </w:p>
    <w:p w14:paraId="26C6A0DF" w14:textId="77777777" w:rsidR="00B23BDB" w:rsidRPr="00B23BDB" w:rsidRDefault="00B23BDB" w:rsidP="00B23BDB">
      <w:pPr>
        <w:pStyle w:val="NoSpacing"/>
        <w:ind w:left="720"/>
        <w:rPr>
          <w:rFonts w:ascii="Times New Roman" w:hAnsi="Times New Roman"/>
          <w:sz w:val="24"/>
          <w:szCs w:val="24"/>
        </w:rPr>
      </w:pPr>
      <w:r w:rsidRPr="00B23BDB">
        <w:rPr>
          <w:rFonts w:ascii="Times New Roman" w:hAnsi="Times New Roman"/>
          <w:sz w:val="24"/>
          <w:szCs w:val="24"/>
        </w:rPr>
        <w:t xml:space="preserve">“§ 291.530 Eligible firefighter/emergency medical technicians. A person qualifies as a firefighter/emergency medical technician for the purposes of the GNND Sales Program if the person is: </w:t>
      </w:r>
    </w:p>
    <w:p w14:paraId="2D1652F2" w14:textId="77777777" w:rsidR="00B23BDB" w:rsidRPr="00B23BDB" w:rsidRDefault="00B23BDB" w:rsidP="00B23BDB">
      <w:pPr>
        <w:pStyle w:val="NoSpacing"/>
        <w:ind w:left="720"/>
        <w:rPr>
          <w:rFonts w:ascii="Times New Roman" w:hAnsi="Times New Roman"/>
          <w:sz w:val="24"/>
          <w:szCs w:val="24"/>
        </w:rPr>
      </w:pPr>
      <w:r w:rsidRPr="00B23BDB">
        <w:rPr>
          <w:rFonts w:ascii="Times New Roman" w:hAnsi="Times New Roman"/>
          <w:sz w:val="24"/>
          <w:szCs w:val="24"/>
        </w:rPr>
        <w:t xml:space="preserve">(a) Employed full-time as a firefighter or emergency medical technician by a fire department or emergency medical services responder unit of the Federal Government, a </w:t>
      </w:r>
      <w:hyperlink r:id="rId2922" w:history="1">
        <w:r w:rsidRPr="00B23BDB">
          <w:rPr>
            <w:rStyle w:val="Hyperlink"/>
            <w:rFonts w:ascii="Times New Roman" w:hAnsi="Times New Roman"/>
            <w:sz w:val="24"/>
            <w:szCs w:val="24"/>
          </w:rPr>
          <w:t>State</w:t>
        </w:r>
      </w:hyperlink>
      <w:r w:rsidRPr="00B23BDB">
        <w:rPr>
          <w:rFonts w:ascii="Times New Roman" w:hAnsi="Times New Roman"/>
          <w:sz w:val="24"/>
          <w:szCs w:val="24"/>
        </w:rPr>
        <w:t xml:space="preserve">, </w:t>
      </w:r>
      <w:hyperlink r:id="rId2923" w:history="1">
        <w:r w:rsidRPr="00B23BDB">
          <w:rPr>
            <w:rStyle w:val="Hyperlink"/>
            <w:rFonts w:ascii="Times New Roman" w:hAnsi="Times New Roman"/>
            <w:sz w:val="24"/>
            <w:szCs w:val="24"/>
          </w:rPr>
          <w:t>unit of general local government</w:t>
        </w:r>
      </w:hyperlink>
      <w:r w:rsidRPr="00B23BDB">
        <w:rPr>
          <w:rFonts w:ascii="Times New Roman" w:hAnsi="Times New Roman"/>
          <w:sz w:val="24"/>
          <w:szCs w:val="24"/>
        </w:rPr>
        <w:t xml:space="preserve">, or an Indian tribal government; and </w:t>
      </w:r>
    </w:p>
    <w:p w14:paraId="4C78CFC7" w14:textId="77777777" w:rsidR="00B23BDB" w:rsidRPr="00B23BDB" w:rsidRDefault="00B23BDB" w:rsidP="00B23BDB">
      <w:pPr>
        <w:pStyle w:val="NoSpacing"/>
        <w:ind w:left="720"/>
        <w:rPr>
          <w:rFonts w:ascii="Times New Roman" w:hAnsi="Times New Roman"/>
          <w:sz w:val="24"/>
          <w:szCs w:val="24"/>
        </w:rPr>
      </w:pPr>
      <w:r w:rsidRPr="00B23BDB">
        <w:rPr>
          <w:rFonts w:ascii="Times New Roman" w:hAnsi="Times New Roman"/>
          <w:sz w:val="24"/>
          <w:szCs w:val="24"/>
        </w:rPr>
        <w:t xml:space="preserve">(b) The full-time employment in </w:t>
      </w:r>
      <w:hyperlink r:id="rId2924" w:anchor="a" w:history="1">
        <w:r w:rsidRPr="00B23BDB">
          <w:rPr>
            <w:rStyle w:val="Hyperlink"/>
            <w:rFonts w:ascii="Times New Roman" w:hAnsi="Times New Roman"/>
            <w:sz w:val="24"/>
            <w:szCs w:val="24"/>
          </w:rPr>
          <w:t>paragraph (a)</w:t>
        </w:r>
      </w:hyperlink>
      <w:r w:rsidRPr="00B23BDB">
        <w:rPr>
          <w:rFonts w:ascii="Times New Roman" w:hAnsi="Times New Roman"/>
          <w:sz w:val="24"/>
          <w:szCs w:val="24"/>
        </w:rPr>
        <w:t xml:space="preserve"> of this section must, in the normal course of business, directly serve the </w:t>
      </w:r>
      <w:hyperlink r:id="rId2925" w:history="1">
        <w:r w:rsidRPr="00B23BDB">
          <w:rPr>
            <w:rStyle w:val="Hyperlink"/>
            <w:rFonts w:ascii="Times New Roman" w:hAnsi="Times New Roman"/>
            <w:sz w:val="24"/>
            <w:szCs w:val="24"/>
          </w:rPr>
          <w:t>locality</w:t>
        </w:r>
      </w:hyperlink>
      <w:r w:rsidRPr="00B23BDB">
        <w:rPr>
          <w:rFonts w:ascii="Times New Roman" w:hAnsi="Times New Roman"/>
          <w:sz w:val="24"/>
          <w:szCs w:val="24"/>
        </w:rPr>
        <w:t xml:space="preserve"> where the home is located. </w:t>
      </w:r>
    </w:p>
    <w:p w14:paraId="63606365" w14:textId="51C7D22B" w:rsidR="00C568F9" w:rsidRPr="00B23BDB" w:rsidRDefault="00B23BDB" w:rsidP="00B23BDB">
      <w:pPr>
        <w:pStyle w:val="NoSpacing"/>
        <w:ind w:firstLine="720"/>
        <w:rPr>
          <w:rFonts w:ascii="Times New Roman" w:hAnsi="Times New Roman"/>
          <w:sz w:val="24"/>
          <w:szCs w:val="24"/>
        </w:rPr>
      </w:pPr>
      <w:r w:rsidRPr="00B23BDB">
        <w:rPr>
          <w:rFonts w:ascii="Times New Roman" w:hAnsi="Times New Roman"/>
          <w:sz w:val="24"/>
          <w:szCs w:val="24"/>
        </w:rPr>
        <w:t>[</w:t>
      </w:r>
      <w:hyperlink r:id="rId2926" w:history="1">
        <w:r w:rsidRPr="00B23BDB">
          <w:rPr>
            <w:rStyle w:val="Hyperlink"/>
            <w:rFonts w:ascii="Times New Roman" w:hAnsi="Times New Roman"/>
            <w:sz w:val="24"/>
            <w:szCs w:val="24"/>
          </w:rPr>
          <w:t>81 FR 53003</w:t>
        </w:r>
      </w:hyperlink>
      <w:r w:rsidRPr="00B23BDB">
        <w:rPr>
          <w:rFonts w:ascii="Times New Roman" w:hAnsi="Times New Roman"/>
          <w:sz w:val="24"/>
          <w:szCs w:val="24"/>
        </w:rPr>
        <w:t xml:space="preserve">, Aug. 11, 2016] </w:t>
      </w:r>
      <w:hyperlink r:id="rId2927" w:history="1">
        <w:r w:rsidRPr="00B23BDB">
          <w:rPr>
            <w:rStyle w:val="Hyperlink"/>
            <w:rFonts w:ascii="Times New Roman" w:hAnsi="Times New Roman"/>
            <w:sz w:val="24"/>
            <w:szCs w:val="24"/>
          </w:rPr>
          <w:t>https://www.law.cornell.edu/cfr/text/24/291.530</w:t>
        </w:r>
      </w:hyperlink>
    </w:p>
    <w:p w14:paraId="2B277B2C" w14:textId="77777777" w:rsidR="00C568F9" w:rsidRPr="00B23BDB" w:rsidRDefault="00C568F9" w:rsidP="000C4DF5">
      <w:pPr>
        <w:pStyle w:val="NoSpacing"/>
        <w:rPr>
          <w:rFonts w:ascii="Times New Roman" w:hAnsi="Times New Roman"/>
          <w:sz w:val="24"/>
          <w:szCs w:val="24"/>
        </w:rPr>
      </w:pPr>
    </w:p>
    <w:p w14:paraId="6AB413C5" w14:textId="77777777" w:rsidR="00B23BDB" w:rsidRDefault="00B23BDB" w:rsidP="000C4DF5">
      <w:pPr>
        <w:pStyle w:val="NoSpacing"/>
        <w:rPr>
          <w:rFonts w:ascii="Arial Black" w:hAnsi="Arial Black"/>
          <w:sz w:val="28"/>
          <w:szCs w:val="28"/>
        </w:rPr>
      </w:pPr>
    </w:p>
    <w:p w14:paraId="5941033D" w14:textId="7A6AB524" w:rsidR="002100FE" w:rsidRPr="00B23BDB" w:rsidRDefault="002100FE" w:rsidP="000C4DF5">
      <w:pPr>
        <w:pStyle w:val="NoSpacing"/>
        <w:rPr>
          <w:rFonts w:ascii="Arial Black" w:hAnsi="Arial Black"/>
          <w:sz w:val="28"/>
          <w:szCs w:val="28"/>
        </w:rPr>
      </w:pPr>
      <w:r w:rsidRPr="00B23BDB">
        <w:rPr>
          <w:rFonts w:ascii="Arial Black" w:hAnsi="Arial Black"/>
          <w:sz w:val="28"/>
          <w:szCs w:val="28"/>
        </w:rPr>
        <w:lastRenderedPageBreak/>
        <w:t>18-27</w:t>
      </w:r>
    </w:p>
    <w:p w14:paraId="59610DE8" w14:textId="77777777" w:rsidR="002100FE" w:rsidRDefault="002100FE" w:rsidP="000C4DF5">
      <w:pPr>
        <w:pStyle w:val="NoSpacing"/>
        <w:rPr>
          <w:rFonts w:ascii="Arial Black" w:hAnsi="Arial Black"/>
          <w:sz w:val="24"/>
          <w:szCs w:val="24"/>
        </w:rPr>
      </w:pPr>
    </w:p>
    <w:p w14:paraId="0E908DF7" w14:textId="2B15EBC0" w:rsidR="002100FE" w:rsidRPr="00EA5F06" w:rsidRDefault="002100FE" w:rsidP="002100FE">
      <w:pPr>
        <w:pStyle w:val="NoSpacing"/>
        <w:rPr>
          <w:rFonts w:ascii="Arial Black" w:hAnsi="Arial Black"/>
          <w:bCs/>
          <w:sz w:val="28"/>
          <w:szCs w:val="28"/>
        </w:rPr>
      </w:pPr>
      <w:r>
        <w:rPr>
          <w:rFonts w:ascii="Arial Black" w:hAnsi="Arial Black"/>
          <w:sz w:val="28"/>
          <w:szCs w:val="28"/>
        </w:rPr>
        <w:t>NM: FOREST FIRE ACT</w:t>
      </w:r>
      <w:r>
        <w:rPr>
          <w:rFonts w:ascii="Arial Black" w:hAnsi="Arial Black"/>
          <w:bCs/>
          <w:sz w:val="28"/>
          <w:szCs w:val="28"/>
        </w:rPr>
        <w:t xml:space="preserve"> </w:t>
      </w:r>
      <w:r>
        <w:rPr>
          <w:rFonts w:ascii="Arial Black" w:hAnsi="Arial Black"/>
          <w:sz w:val="28"/>
          <w:szCs w:val="28"/>
        </w:rPr>
        <w:t>– PROP. &amp; EMOTIONAL D</w:t>
      </w:r>
      <w:r>
        <w:rPr>
          <w:rFonts w:ascii="Arial Black" w:hAnsi="Arial Black"/>
          <w:bCs/>
          <w:sz w:val="28"/>
          <w:szCs w:val="28"/>
        </w:rPr>
        <w:t>AM</w:t>
      </w:r>
      <w:r w:rsidR="00861268">
        <w:rPr>
          <w:rFonts w:ascii="Arial Black" w:hAnsi="Arial Black"/>
          <w:bCs/>
          <w:sz w:val="28"/>
          <w:szCs w:val="28"/>
        </w:rPr>
        <w:t>AGES</w:t>
      </w:r>
      <w:r>
        <w:rPr>
          <w:rFonts w:ascii="Arial Black" w:hAnsi="Arial Black"/>
          <w:sz w:val="28"/>
          <w:szCs w:val="28"/>
        </w:rPr>
        <w:t xml:space="preserve"> </w:t>
      </w:r>
    </w:p>
    <w:p w14:paraId="5AA304A9" w14:textId="77777777" w:rsidR="002100FE" w:rsidRDefault="002100FE" w:rsidP="002100FE">
      <w:pPr>
        <w:pStyle w:val="NoSpacing"/>
        <w:rPr>
          <w:bCs/>
        </w:rPr>
      </w:pPr>
    </w:p>
    <w:p w14:paraId="5D2946C7" w14:textId="77777777" w:rsidR="006D6BE3" w:rsidRPr="006D6BE3" w:rsidRDefault="006D6BE3" w:rsidP="006D6BE3">
      <w:pPr>
        <w:pStyle w:val="NoSpacing"/>
        <w:rPr>
          <w:rFonts w:ascii="Times New Roman" w:hAnsi="Times New Roman"/>
          <w:sz w:val="24"/>
          <w:szCs w:val="24"/>
        </w:rPr>
      </w:pPr>
      <w:r w:rsidRPr="006D6BE3">
        <w:rPr>
          <w:rFonts w:ascii="Times New Roman" w:hAnsi="Times New Roman"/>
          <w:sz w:val="24"/>
          <w:szCs w:val="24"/>
        </w:rPr>
        <w:t xml:space="preserve">On Dec. 17, 2024, in </w:t>
      </w:r>
      <w:r w:rsidRPr="006D6BE3">
        <w:rPr>
          <w:rFonts w:ascii="Times New Roman" w:hAnsi="Times New Roman"/>
          <w:sz w:val="24"/>
          <w:szCs w:val="24"/>
          <w:u w:val="single"/>
        </w:rPr>
        <w:t>Tobin Dolan, et al. v. FEMA</w:t>
      </w:r>
      <w:r w:rsidRPr="006D6BE3">
        <w:rPr>
          <w:rFonts w:ascii="Times New Roman" w:hAnsi="Times New Roman"/>
          <w:sz w:val="24"/>
          <w:szCs w:val="24"/>
        </w:rPr>
        <w:t xml:space="preserve">, United States District Court Judge James O. Browning, U.S. District Court for District of New Mexico, held that when Congress in 2022 passed the Hermit's Peak Fire Assistance Act, and directed FEMA to disburse $3.95 billion in compensation for property owners damaged by the Hermit’s Peak/Calf Canyon Fire, that compensation can include noneconomic damages, including damages for emotional distress.  </w:t>
      </w:r>
      <w:hyperlink r:id="rId2928" w:history="1">
        <w:r w:rsidRPr="006D6BE3">
          <w:rPr>
            <w:rStyle w:val="Hyperlink"/>
            <w:rFonts w:ascii="Times New Roman" w:hAnsi="Times New Roman"/>
            <w:sz w:val="24"/>
            <w:szCs w:val="24"/>
          </w:rPr>
          <w:t>https://casetext.com/case/dolan-v-fed-emergency-mgmt-agency</w:t>
        </w:r>
      </w:hyperlink>
      <w:r w:rsidRPr="006D6BE3">
        <w:rPr>
          <w:rFonts w:ascii="Times New Roman" w:hAnsi="Times New Roman"/>
          <w:sz w:val="24"/>
          <w:szCs w:val="24"/>
        </w:rPr>
        <w:t xml:space="preserve"> </w:t>
      </w:r>
    </w:p>
    <w:p w14:paraId="258AE72E" w14:textId="77777777" w:rsidR="006D6BE3" w:rsidRDefault="006D6BE3" w:rsidP="002100FE">
      <w:pPr>
        <w:pStyle w:val="NoSpacing"/>
        <w:rPr>
          <w:rFonts w:ascii="Times New Roman" w:hAnsi="Times New Roman"/>
          <w:sz w:val="24"/>
          <w:szCs w:val="24"/>
        </w:rPr>
      </w:pPr>
    </w:p>
    <w:p w14:paraId="3AF6AF9F" w14:textId="2BB3A342" w:rsidR="002100FE" w:rsidRPr="00B14B92" w:rsidRDefault="002100FE" w:rsidP="002100FE">
      <w:pPr>
        <w:pStyle w:val="NoSpacing"/>
        <w:rPr>
          <w:rFonts w:ascii="Times New Roman" w:hAnsi="Times New Roman"/>
          <w:bCs/>
          <w:sz w:val="24"/>
          <w:szCs w:val="24"/>
        </w:rPr>
      </w:pPr>
      <w:r w:rsidRPr="00B14B92">
        <w:rPr>
          <w:rFonts w:ascii="Times New Roman" w:hAnsi="Times New Roman"/>
          <w:sz w:val="24"/>
          <w:szCs w:val="24"/>
        </w:rPr>
        <w:t>The Court wrote:</w:t>
      </w:r>
    </w:p>
    <w:p w14:paraId="24BC33A4" w14:textId="77777777" w:rsidR="002100FE" w:rsidRPr="00B14B92" w:rsidRDefault="002100FE" w:rsidP="002100FE">
      <w:pPr>
        <w:pStyle w:val="NoSpacing"/>
        <w:rPr>
          <w:rFonts w:ascii="Times New Roman" w:hAnsi="Times New Roman"/>
          <w:bCs/>
          <w:sz w:val="24"/>
          <w:szCs w:val="24"/>
        </w:rPr>
      </w:pPr>
    </w:p>
    <w:p w14:paraId="145EA946" w14:textId="35E38C62" w:rsidR="002100FE" w:rsidRDefault="002100FE" w:rsidP="00077FB4">
      <w:pPr>
        <w:pStyle w:val="NoSpacing"/>
        <w:ind w:left="720"/>
        <w:rPr>
          <w:rFonts w:ascii="Times New Roman" w:hAnsi="Times New Roman"/>
          <w:sz w:val="24"/>
          <w:szCs w:val="24"/>
        </w:rPr>
      </w:pPr>
      <w:r w:rsidRPr="00B14B92">
        <w:rPr>
          <w:rFonts w:ascii="Times New Roman" w:hAnsi="Times New Roman"/>
          <w:sz w:val="24"/>
          <w:szCs w:val="24"/>
        </w:rPr>
        <w:t>“The Court held a hearing on October 15, 2024…. The primary issues are: (</w:t>
      </w:r>
      <w:proofErr w:type="spellStart"/>
      <w:r w:rsidRPr="00B14B92">
        <w:rPr>
          <w:rFonts w:ascii="Times New Roman" w:hAnsi="Times New Roman"/>
          <w:sz w:val="24"/>
          <w:szCs w:val="24"/>
        </w:rPr>
        <w:t>i</w:t>
      </w:r>
      <w:proofErr w:type="spellEnd"/>
      <w:r w:rsidRPr="00B14B92">
        <w:rPr>
          <w:rFonts w:ascii="Times New Roman" w:hAnsi="Times New Roman"/>
          <w:sz w:val="24"/>
          <w:szCs w:val="24"/>
        </w:rPr>
        <w:t xml:space="preserve">) whether the Hermit's Peak Fire Assistance Act, Pub. L. No. 117-180, § 104, 136 Stat. 2114, 2168 (2022)(‘Hermit's Peak Act’) allows victims of the Hermit's Peak/Calf Canyon Fire to recover noneconomic damages for discomfort, annoyance, inconvenience, and emotional distress under New Mexico State law; and (ii) whether the Defendant Federal Emergency Management Agency's (‘FEMA's’) refusal to compensate noneconomic damages under the Hermit's Peak Act is arbitrary or capricious in violation of the Administrative Procedure Act, </w:t>
      </w:r>
      <w:hyperlink r:id="rId2929" w:history="1">
        <w:r w:rsidRPr="00B14B92">
          <w:rPr>
            <w:rStyle w:val="Hyperlink"/>
            <w:rFonts w:ascii="Times New Roman" w:hAnsi="Times New Roman"/>
            <w:sz w:val="24"/>
            <w:szCs w:val="24"/>
          </w:rPr>
          <w:t>5 U.S.C. § 706(2)(A)</w:t>
        </w:r>
      </w:hyperlink>
      <w:r w:rsidRPr="00B14B92">
        <w:rPr>
          <w:rFonts w:ascii="Times New Roman" w:hAnsi="Times New Roman"/>
          <w:sz w:val="24"/>
          <w:szCs w:val="24"/>
        </w:rPr>
        <w:t>. The Court concludes that: (</w:t>
      </w:r>
      <w:proofErr w:type="spellStart"/>
      <w:r w:rsidRPr="00B14B92">
        <w:rPr>
          <w:rFonts w:ascii="Times New Roman" w:hAnsi="Times New Roman"/>
          <w:sz w:val="24"/>
          <w:szCs w:val="24"/>
        </w:rPr>
        <w:t>i</w:t>
      </w:r>
      <w:proofErr w:type="spellEnd"/>
      <w:r w:rsidRPr="00B14B92">
        <w:rPr>
          <w:rFonts w:ascii="Times New Roman" w:hAnsi="Times New Roman"/>
          <w:sz w:val="24"/>
          <w:szCs w:val="24"/>
        </w:rPr>
        <w:t xml:space="preserve">) the Hermit's Peak Act waives FEMA's sovereign immunity for claims pursuing damages resulting from the Hermit's Peak/Calf Canyon Fire that are available under New Mexico State law; (ii) New Mexico State law allows victims of the Hermit's Peak/Calf Canyon Fire to recover noneconomic damages for nuisance, trespass, and personal injury, such as damages for emotional distress, discomfort, annoyance, and inconvenience; (iii) the correct interpretation of the ‘actual compensatory damages’ recoverable in the Hermit's Peak Act's includes noneconomic damages; and (iv) FEMA's refusal to award noneconomic  c damages under the Hermit's Peak Act is arbitrary and capricious in violation of the APA; and (v) the Court compels FEMA to award noneconomic damages under the APA.” </w:t>
      </w:r>
    </w:p>
    <w:p w14:paraId="4C8C59EF" w14:textId="77777777" w:rsidR="00077FB4" w:rsidRDefault="00077FB4" w:rsidP="00077FB4">
      <w:pPr>
        <w:pStyle w:val="NoSpacing"/>
        <w:ind w:left="720"/>
        <w:rPr>
          <w:rFonts w:ascii="Times New Roman" w:hAnsi="Times New Roman"/>
          <w:sz w:val="24"/>
          <w:szCs w:val="24"/>
        </w:rPr>
      </w:pPr>
    </w:p>
    <w:p w14:paraId="3D543666" w14:textId="77777777" w:rsidR="000A72DE" w:rsidRPr="00FA140F" w:rsidRDefault="000A72DE" w:rsidP="000A72DE">
      <w:pPr>
        <w:pStyle w:val="NoSpacing"/>
        <w:rPr>
          <w:rFonts w:ascii="Times New Roman" w:hAnsi="Times New Roman"/>
          <w:bCs/>
          <w:sz w:val="24"/>
          <w:szCs w:val="24"/>
        </w:rPr>
      </w:pPr>
      <w:r w:rsidRPr="00FA140F">
        <w:rPr>
          <w:rFonts w:ascii="Times New Roman" w:hAnsi="Times New Roman"/>
          <w:sz w:val="24"/>
          <w:szCs w:val="24"/>
        </w:rPr>
        <w:t xml:space="preserve">HOLDING: </w:t>
      </w:r>
    </w:p>
    <w:p w14:paraId="62B7C78F" w14:textId="77777777" w:rsidR="000A72DE" w:rsidRPr="00FA140F" w:rsidRDefault="000A72DE" w:rsidP="000A72DE">
      <w:pPr>
        <w:pStyle w:val="NoSpacing"/>
        <w:ind w:left="720"/>
        <w:rPr>
          <w:rFonts w:ascii="Times New Roman" w:hAnsi="Times New Roman"/>
          <w:bCs/>
          <w:sz w:val="24"/>
          <w:szCs w:val="24"/>
        </w:rPr>
      </w:pPr>
    </w:p>
    <w:p w14:paraId="3F6FB75B" w14:textId="77777777" w:rsidR="000A72DE" w:rsidRPr="00FA140F" w:rsidRDefault="000A72DE" w:rsidP="000A72DE">
      <w:pPr>
        <w:pStyle w:val="NoSpacing"/>
        <w:ind w:left="720"/>
        <w:rPr>
          <w:rFonts w:ascii="Times New Roman" w:hAnsi="Times New Roman"/>
          <w:sz w:val="24"/>
          <w:szCs w:val="24"/>
        </w:rPr>
      </w:pPr>
      <w:r w:rsidRPr="00FA140F">
        <w:rPr>
          <w:rFonts w:ascii="Times New Roman" w:hAnsi="Times New Roman"/>
          <w:sz w:val="24"/>
          <w:szCs w:val="24"/>
        </w:rPr>
        <w:t xml:space="preserve">“In </w:t>
      </w:r>
      <w:r w:rsidRPr="00FA140F">
        <w:rPr>
          <w:rFonts w:ascii="Times New Roman" w:hAnsi="Times New Roman"/>
          <w:i/>
          <w:iCs/>
          <w:sz w:val="24"/>
          <w:szCs w:val="24"/>
        </w:rPr>
        <w:t>Loper Bright</w:t>
      </w:r>
      <w:r w:rsidRPr="00FA140F">
        <w:rPr>
          <w:rFonts w:ascii="Times New Roman" w:hAnsi="Times New Roman"/>
          <w:sz w:val="24"/>
          <w:szCs w:val="24"/>
        </w:rPr>
        <w:t xml:space="preserve">, [June 28, 2024; </w:t>
      </w:r>
      <w:hyperlink r:id="rId2930" w:history="1">
        <w:r w:rsidRPr="00FA140F">
          <w:rPr>
            <w:rStyle w:val="Hyperlink"/>
            <w:rFonts w:ascii="Times New Roman" w:hAnsi="Times New Roman"/>
            <w:sz w:val="24"/>
            <w:szCs w:val="24"/>
          </w:rPr>
          <w:t>https://www.supremecourt.gov/opinions/23pdf/22-451_7m58.pdf</w:t>
        </w:r>
      </w:hyperlink>
      <w:r w:rsidRPr="00FA140F">
        <w:rPr>
          <w:rFonts w:ascii="Times New Roman" w:hAnsi="Times New Roman"/>
          <w:sz w:val="24"/>
          <w:szCs w:val="24"/>
        </w:rPr>
        <w:t xml:space="preserve"> ]  in an opinion that the Honorable John Roberts, Chief Justice of the United States Supreme Court, authors, the Supreme Court reviews the traditional understandings of the judicial function, quoting Alexander Hamilton for the proposition that ‘[t]he Framers . . . envisioned that the final ‘interpretation of the laws' would be ‘the proper and peculiar province of the courts,’ </w:t>
      </w:r>
      <w:r w:rsidRPr="00FA140F">
        <w:rPr>
          <w:rFonts w:ascii="Times New Roman" w:hAnsi="Times New Roman"/>
          <w:i/>
          <w:iCs/>
          <w:sz w:val="24"/>
          <w:szCs w:val="24"/>
        </w:rPr>
        <w:t>Loper Bright</w:t>
      </w:r>
      <w:r w:rsidRPr="00FA140F">
        <w:rPr>
          <w:rFonts w:ascii="Times New Roman" w:hAnsi="Times New Roman"/>
          <w:sz w:val="24"/>
          <w:szCs w:val="24"/>
        </w:rPr>
        <w:t xml:space="preserve">, 144 </w:t>
      </w:r>
      <w:proofErr w:type="spellStart"/>
      <w:r w:rsidRPr="00FA140F">
        <w:rPr>
          <w:rFonts w:ascii="Times New Roman" w:hAnsi="Times New Roman"/>
          <w:sz w:val="24"/>
          <w:szCs w:val="24"/>
        </w:rPr>
        <w:t>S.Ct</w:t>
      </w:r>
      <w:proofErr w:type="spellEnd"/>
      <w:r w:rsidRPr="00FA140F">
        <w:rPr>
          <w:rFonts w:ascii="Times New Roman" w:hAnsi="Times New Roman"/>
          <w:sz w:val="24"/>
          <w:szCs w:val="24"/>
        </w:rPr>
        <w:t xml:space="preserve">. at 2257 (quoting </w:t>
      </w:r>
      <w:r w:rsidRPr="00FA140F">
        <w:rPr>
          <w:rFonts w:ascii="Times New Roman" w:hAnsi="Times New Roman"/>
          <w:i/>
          <w:iCs/>
          <w:sz w:val="24"/>
          <w:szCs w:val="24"/>
        </w:rPr>
        <w:t>The Federalist no. 78</w:t>
      </w:r>
      <w:r w:rsidRPr="00FA140F">
        <w:rPr>
          <w:rFonts w:ascii="Times New Roman" w:hAnsi="Times New Roman"/>
          <w:sz w:val="24"/>
          <w:szCs w:val="24"/>
        </w:rPr>
        <w:t xml:space="preserve"> (Hamilton)), and the Honorable John Marshall, former Chief Justice of the United States, for the oft-cited principle that ‘[</w:t>
      </w:r>
      <w:proofErr w:type="spellStart"/>
      <w:r w:rsidRPr="00FA140F">
        <w:rPr>
          <w:rFonts w:ascii="Times New Roman" w:hAnsi="Times New Roman"/>
          <w:sz w:val="24"/>
          <w:szCs w:val="24"/>
        </w:rPr>
        <w:t>i</w:t>
      </w:r>
      <w:proofErr w:type="spellEnd"/>
      <w:r w:rsidRPr="00FA140F">
        <w:rPr>
          <w:rFonts w:ascii="Times New Roman" w:hAnsi="Times New Roman"/>
          <w:sz w:val="24"/>
          <w:szCs w:val="24"/>
        </w:rPr>
        <w:t xml:space="preserve">]t is emphatically the province and duty of the judicial department to say what the law is,'’ </w:t>
      </w:r>
      <w:r w:rsidRPr="00FA140F">
        <w:rPr>
          <w:rFonts w:ascii="Times New Roman" w:hAnsi="Times New Roman"/>
          <w:i/>
          <w:iCs/>
          <w:sz w:val="24"/>
          <w:szCs w:val="24"/>
        </w:rPr>
        <w:t>Loper Bright</w:t>
      </w:r>
      <w:r w:rsidRPr="00FA140F">
        <w:rPr>
          <w:rFonts w:ascii="Times New Roman" w:hAnsi="Times New Roman"/>
          <w:sz w:val="24"/>
          <w:szCs w:val="24"/>
        </w:rPr>
        <w:t xml:space="preserve">, 144 </w:t>
      </w:r>
      <w:proofErr w:type="spellStart"/>
      <w:r w:rsidRPr="00FA140F">
        <w:rPr>
          <w:rFonts w:ascii="Times New Roman" w:hAnsi="Times New Roman"/>
          <w:sz w:val="24"/>
          <w:szCs w:val="24"/>
        </w:rPr>
        <w:t>S.Ct</w:t>
      </w:r>
      <w:proofErr w:type="spellEnd"/>
      <w:r w:rsidRPr="00FA140F">
        <w:rPr>
          <w:rFonts w:ascii="Times New Roman" w:hAnsi="Times New Roman"/>
          <w:sz w:val="24"/>
          <w:szCs w:val="24"/>
        </w:rPr>
        <w:t xml:space="preserve">. at 2257 (quoting </w:t>
      </w:r>
      <w:r w:rsidRPr="00FA140F">
        <w:rPr>
          <w:rFonts w:ascii="Times New Roman" w:hAnsi="Times New Roman"/>
          <w:i/>
          <w:iCs/>
          <w:sz w:val="24"/>
          <w:szCs w:val="24"/>
        </w:rPr>
        <w:t>Marbury v. Madison</w:t>
      </w:r>
      <w:r w:rsidRPr="00FA140F">
        <w:rPr>
          <w:rFonts w:ascii="Times New Roman" w:hAnsi="Times New Roman"/>
          <w:sz w:val="24"/>
          <w:szCs w:val="24"/>
        </w:rPr>
        <w:t xml:space="preserve">, 1 </w:t>
      </w:r>
      <w:proofErr w:type="spellStart"/>
      <w:r w:rsidRPr="00FA140F">
        <w:rPr>
          <w:rFonts w:ascii="Times New Roman" w:hAnsi="Times New Roman"/>
          <w:sz w:val="24"/>
          <w:szCs w:val="24"/>
        </w:rPr>
        <w:t>Cranch</w:t>
      </w:r>
      <w:proofErr w:type="spellEnd"/>
      <w:r w:rsidRPr="00FA140F">
        <w:rPr>
          <w:rFonts w:ascii="Times New Roman" w:hAnsi="Times New Roman"/>
          <w:sz w:val="24"/>
          <w:szCs w:val="24"/>
        </w:rPr>
        <w:t xml:space="preserve"> 137, 177 (1803)). </w:t>
      </w:r>
    </w:p>
    <w:p w14:paraId="3BD9E1F2" w14:textId="77777777" w:rsidR="000A72DE" w:rsidRPr="00FA140F" w:rsidRDefault="000A72DE" w:rsidP="000A72DE">
      <w:pPr>
        <w:pStyle w:val="NoSpacing"/>
        <w:ind w:left="720"/>
        <w:rPr>
          <w:rFonts w:ascii="Times New Roman" w:hAnsi="Times New Roman"/>
          <w:sz w:val="24"/>
          <w:szCs w:val="24"/>
        </w:rPr>
      </w:pPr>
    </w:p>
    <w:p w14:paraId="30BDCA1F" w14:textId="77777777" w:rsidR="000A72DE" w:rsidRPr="00FA140F" w:rsidRDefault="000A72DE" w:rsidP="000A72DE">
      <w:pPr>
        <w:pStyle w:val="NoSpacing"/>
        <w:ind w:left="720"/>
        <w:rPr>
          <w:rFonts w:ascii="Times New Roman" w:hAnsi="Times New Roman"/>
          <w:sz w:val="24"/>
          <w:szCs w:val="24"/>
        </w:rPr>
      </w:pPr>
      <w:r w:rsidRPr="00FA140F">
        <w:rPr>
          <w:rFonts w:ascii="Times New Roman" w:hAnsi="Times New Roman"/>
          <w:sz w:val="24"/>
          <w:szCs w:val="24"/>
        </w:rPr>
        <w:t>***</w:t>
      </w:r>
    </w:p>
    <w:p w14:paraId="7BFFCC7E" w14:textId="77777777" w:rsidR="000A72DE" w:rsidRPr="00FA140F" w:rsidRDefault="000A72DE" w:rsidP="000A72DE">
      <w:pPr>
        <w:pStyle w:val="NoSpacing"/>
        <w:ind w:left="720"/>
        <w:rPr>
          <w:rFonts w:ascii="Times New Roman" w:hAnsi="Times New Roman"/>
          <w:sz w:val="24"/>
          <w:szCs w:val="24"/>
        </w:rPr>
      </w:pPr>
      <w:r w:rsidRPr="00FA140F">
        <w:rPr>
          <w:rFonts w:ascii="Times New Roman" w:hAnsi="Times New Roman"/>
          <w:sz w:val="24"/>
          <w:szCs w:val="24"/>
        </w:rPr>
        <w:t xml:space="preserve">The Supreme Court then explains that ‘[t]he deference that </w:t>
      </w:r>
      <w:r w:rsidRPr="00FA140F">
        <w:rPr>
          <w:rFonts w:ascii="Times New Roman" w:hAnsi="Times New Roman"/>
          <w:i/>
          <w:iCs/>
          <w:sz w:val="24"/>
          <w:szCs w:val="24"/>
        </w:rPr>
        <w:t>Chevron</w:t>
      </w:r>
      <w:r w:rsidRPr="00FA140F">
        <w:rPr>
          <w:rFonts w:ascii="Times New Roman" w:hAnsi="Times New Roman"/>
          <w:sz w:val="24"/>
          <w:szCs w:val="24"/>
        </w:rPr>
        <w:t xml:space="preserve"> requires of courts reviewing agency action cannot be squared with the APA,’ </w:t>
      </w:r>
      <w:r w:rsidRPr="00FA140F">
        <w:rPr>
          <w:rFonts w:ascii="Times New Roman" w:hAnsi="Times New Roman"/>
          <w:i/>
          <w:iCs/>
          <w:sz w:val="24"/>
          <w:szCs w:val="24"/>
        </w:rPr>
        <w:t>Loper Bright</w:t>
      </w:r>
      <w:r w:rsidRPr="00FA140F">
        <w:rPr>
          <w:rFonts w:ascii="Times New Roman" w:hAnsi="Times New Roman"/>
          <w:sz w:val="24"/>
          <w:szCs w:val="24"/>
        </w:rPr>
        <w:t xml:space="preserve">, 144 </w:t>
      </w:r>
      <w:proofErr w:type="spellStart"/>
      <w:r w:rsidRPr="00FA140F">
        <w:rPr>
          <w:rFonts w:ascii="Times New Roman" w:hAnsi="Times New Roman"/>
          <w:sz w:val="24"/>
          <w:szCs w:val="24"/>
        </w:rPr>
        <w:t>S.Ct</w:t>
      </w:r>
      <w:proofErr w:type="spellEnd"/>
      <w:r w:rsidRPr="00FA140F">
        <w:rPr>
          <w:rFonts w:ascii="Times New Roman" w:hAnsi="Times New Roman"/>
          <w:sz w:val="24"/>
          <w:szCs w:val="24"/>
        </w:rPr>
        <w:t xml:space="preserve">. at 2263, largely because ‘[t]he ‘law of deference' . . . built on the foundation laid in </w:t>
      </w:r>
      <w:r w:rsidRPr="00FA140F">
        <w:rPr>
          <w:rFonts w:ascii="Times New Roman" w:hAnsi="Times New Roman"/>
          <w:i/>
          <w:iCs/>
          <w:sz w:val="24"/>
          <w:szCs w:val="24"/>
        </w:rPr>
        <w:t>Chevron</w:t>
      </w:r>
      <w:r w:rsidRPr="00FA140F">
        <w:rPr>
          <w:rFonts w:ascii="Times New Roman" w:hAnsi="Times New Roman"/>
          <w:sz w:val="24"/>
          <w:szCs w:val="24"/>
        </w:rPr>
        <w:t xml:space="preserve"> [is] ‘[h]</w:t>
      </w:r>
      <w:proofErr w:type="spellStart"/>
      <w:r w:rsidRPr="00FA140F">
        <w:rPr>
          <w:rFonts w:ascii="Times New Roman" w:hAnsi="Times New Roman"/>
          <w:sz w:val="24"/>
          <w:szCs w:val="24"/>
        </w:rPr>
        <w:t>eedless</w:t>
      </w:r>
      <w:proofErr w:type="spellEnd"/>
      <w:r w:rsidRPr="00FA140F">
        <w:rPr>
          <w:rFonts w:ascii="Times New Roman" w:hAnsi="Times New Roman"/>
          <w:sz w:val="24"/>
          <w:szCs w:val="24"/>
        </w:rPr>
        <w:t xml:space="preserve"> of the original design' of the APA,’ </w:t>
      </w:r>
      <w:r w:rsidRPr="00FA140F">
        <w:rPr>
          <w:rFonts w:ascii="Times New Roman" w:hAnsi="Times New Roman"/>
          <w:i/>
          <w:iCs/>
          <w:sz w:val="24"/>
          <w:szCs w:val="24"/>
        </w:rPr>
        <w:t>Loper Bright</w:t>
      </w:r>
      <w:r w:rsidRPr="00FA140F">
        <w:rPr>
          <w:rFonts w:ascii="Times New Roman" w:hAnsi="Times New Roman"/>
          <w:sz w:val="24"/>
          <w:szCs w:val="24"/>
        </w:rPr>
        <w:t xml:space="preserve">, 144 </w:t>
      </w:r>
      <w:proofErr w:type="spellStart"/>
      <w:r w:rsidRPr="00FA140F">
        <w:rPr>
          <w:rFonts w:ascii="Times New Roman" w:hAnsi="Times New Roman"/>
          <w:sz w:val="24"/>
          <w:szCs w:val="24"/>
        </w:rPr>
        <w:t>S.Ct</w:t>
      </w:r>
      <w:proofErr w:type="spellEnd"/>
      <w:r w:rsidRPr="00FA140F">
        <w:rPr>
          <w:rFonts w:ascii="Times New Roman" w:hAnsi="Times New Roman"/>
          <w:sz w:val="24"/>
          <w:szCs w:val="24"/>
        </w:rPr>
        <w:t xml:space="preserve">. at 2265 (quoting </w:t>
      </w:r>
      <w:r w:rsidRPr="00FA140F">
        <w:rPr>
          <w:rFonts w:ascii="Times New Roman" w:hAnsi="Times New Roman"/>
          <w:i/>
          <w:iCs/>
          <w:sz w:val="24"/>
          <w:szCs w:val="24"/>
        </w:rPr>
        <w:t xml:space="preserve">Perez v. Mortg. Bankers </w:t>
      </w:r>
      <w:proofErr w:type="spellStart"/>
      <w:r w:rsidRPr="00FA140F">
        <w:rPr>
          <w:rFonts w:ascii="Times New Roman" w:hAnsi="Times New Roman"/>
          <w:i/>
          <w:iCs/>
          <w:sz w:val="24"/>
          <w:szCs w:val="24"/>
        </w:rPr>
        <w:t>Ass'n</w:t>
      </w:r>
      <w:proofErr w:type="spellEnd"/>
      <w:r w:rsidRPr="00FA140F">
        <w:rPr>
          <w:rFonts w:ascii="Times New Roman" w:hAnsi="Times New Roman"/>
          <w:sz w:val="24"/>
          <w:szCs w:val="24"/>
        </w:rPr>
        <w:t xml:space="preserve">, </w:t>
      </w:r>
      <w:hyperlink r:id="rId2931" w:anchor="p109" w:history="1">
        <w:r w:rsidRPr="00FA140F">
          <w:rPr>
            <w:rStyle w:val="Hyperlink"/>
            <w:rFonts w:ascii="Times New Roman" w:hAnsi="Times New Roman"/>
            <w:sz w:val="24"/>
            <w:szCs w:val="24"/>
          </w:rPr>
          <w:t>575 U.S. 92, 109</w:t>
        </w:r>
      </w:hyperlink>
      <w:r w:rsidRPr="00FA140F">
        <w:rPr>
          <w:rFonts w:ascii="Times New Roman" w:hAnsi="Times New Roman"/>
          <w:sz w:val="24"/>
          <w:szCs w:val="24"/>
        </w:rPr>
        <w:t xml:space="preserve"> (2015)(Scalia, J., concurring in the judgment)).</w:t>
      </w:r>
    </w:p>
    <w:p w14:paraId="1F54F7AF" w14:textId="77777777" w:rsidR="000A72DE" w:rsidRPr="00FA140F" w:rsidRDefault="000A72DE" w:rsidP="000A72DE">
      <w:pPr>
        <w:pStyle w:val="NoSpacing"/>
        <w:ind w:left="720"/>
        <w:rPr>
          <w:rFonts w:ascii="Times New Roman" w:hAnsi="Times New Roman"/>
          <w:sz w:val="24"/>
          <w:szCs w:val="24"/>
        </w:rPr>
      </w:pPr>
    </w:p>
    <w:p w14:paraId="19AEBC6F" w14:textId="77777777" w:rsidR="000A72DE" w:rsidRPr="00FA140F" w:rsidRDefault="000A72DE" w:rsidP="000A72DE">
      <w:pPr>
        <w:pStyle w:val="NoSpacing"/>
        <w:ind w:left="720"/>
        <w:rPr>
          <w:rFonts w:ascii="Times New Roman" w:hAnsi="Times New Roman"/>
          <w:sz w:val="24"/>
          <w:szCs w:val="24"/>
        </w:rPr>
      </w:pPr>
      <w:r w:rsidRPr="00FA140F">
        <w:rPr>
          <w:rFonts w:ascii="Times New Roman" w:hAnsi="Times New Roman"/>
          <w:sz w:val="24"/>
          <w:szCs w:val="24"/>
        </w:rPr>
        <w:t>***</w:t>
      </w:r>
    </w:p>
    <w:p w14:paraId="5F7FA937" w14:textId="77777777" w:rsidR="000A72DE" w:rsidRPr="00FA140F" w:rsidRDefault="000A72DE" w:rsidP="000A72DE">
      <w:pPr>
        <w:pStyle w:val="NoSpacing"/>
        <w:ind w:left="720"/>
        <w:rPr>
          <w:rFonts w:ascii="Times New Roman" w:hAnsi="Times New Roman"/>
          <w:sz w:val="24"/>
          <w:szCs w:val="24"/>
        </w:rPr>
      </w:pPr>
      <w:r w:rsidRPr="00FA140F">
        <w:rPr>
          <w:rFonts w:ascii="Times New Roman" w:hAnsi="Times New Roman"/>
          <w:sz w:val="24"/>
          <w:szCs w:val="24"/>
        </w:rPr>
        <w:t xml:space="preserve">The Court concludes that the Hermit's Peak Act waives FEMA's sovereign immunity for the Plaintiffs' claims seeking noneconomic damages in three ways. First, the NM State law provision § 104(c)(2), allows the Plaintiffs to recover damages that are available under New Mexico State law, which includes </w:t>
      </w:r>
      <w:r w:rsidRPr="00FA140F">
        <w:rPr>
          <w:rFonts w:ascii="Times New Roman" w:hAnsi="Times New Roman"/>
          <w:sz w:val="24"/>
          <w:szCs w:val="24"/>
        </w:rPr>
        <w:lastRenderedPageBreak/>
        <w:t xml:space="preserve">noneconomic damages for nuisance, and which the Court predicts also includes noneconomic damages for trespass. Second, the Extent of Damages provision § 104(c)(3)'s use of ‘actual compensatory damages’ includes noneconomic damages, because the only explicit exclusions are punitive damages and pre-judgment interest. Third, the Allowable Damages provision § 104(d)(4)'s list of property, business, and financial loss is not exhaustive of the types of allowable damages; these categories, therefore, are recoverable in addition to ‘actual compensatory damages’ such as noneconomic damages. The Court concludes, therefore, that FEMA's Hermit's Peak Regulation that precludes recovery of noneconomic damages is arbitrary and capricious in violation of the APA, 5. U.S.C. </w:t>
      </w:r>
      <w:hyperlink r:id="rId2932" w:history="1">
        <w:r w:rsidRPr="00FA140F">
          <w:rPr>
            <w:rStyle w:val="Hyperlink"/>
            <w:rFonts w:ascii="Times New Roman" w:hAnsi="Times New Roman"/>
            <w:sz w:val="24"/>
            <w:szCs w:val="24"/>
          </w:rPr>
          <w:t>§ 706(2)(A)</w:t>
        </w:r>
      </w:hyperlink>
      <w:r w:rsidRPr="00FA140F">
        <w:rPr>
          <w:rFonts w:ascii="Times New Roman" w:hAnsi="Times New Roman"/>
          <w:sz w:val="24"/>
          <w:szCs w:val="24"/>
        </w:rPr>
        <w:t xml:space="preserve">, and compels FEMA to award noneconomic damages under the Hermit's Peak Act under the APA, 5. U.S.C. </w:t>
      </w:r>
      <w:hyperlink r:id="rId2933" w:history="1">
        <w:r w:rsidRPr="00FA140F">
          <w:rPr>
            <w:rStyle w:val="Hyperlink"/>
            <w:rFonts w:ascii="Times New Roman" w:hAnsi="Times New Roman"/>
            <w:sz w:val="24"/>
            <w:szCs w:val="24"/>
          </w:rPr>
          <w:t>§ 706(1)</w:t>
        </w:r>
      </w:hyperlink>
      <w:r w:rsidRPr="00FA140F">
        <w:rPr>
          <w:rFonts w:ascii="Times New Roman" w:hAnsi="Times New Roman"/>
          <w:sz w:val="24"/>
          <w:szCs w:val="24"/>
        </w:rPr>
        <w:t>.”</w:t>
      </w:r>
    </w:p>
    <w:p w14:paraId="3F8B9A57" w14:textId="77777777" w:rsidR="000A72DE" w:rsidRPr="00FA140F" w:rsidRDefault="000A72DE" w:rsidP="000A72DE">
      <w:pPr>
        <w:pStyle w:val="NoSpacing"/>
        <w:ind w:left="720"/>
        <w:rPr>
          <w:rFonts w:ascii="Times New Roman" w:hAnsi="Times New Roman"/>
          <w:sz w:val="24"/>
          <w:szCs w:val="24"/>
        </w:rPr>
      </w:pPr>
    </w:p>
    <w:p w14:paraId="69ACE301" w14:textId="77777777" w:rsidR="000A72DE" w:rsidRPr="00FA140F" w:rsidRDefault="000A72DE" w:rsidP="000A72DE">
      <w:pPr>
        <w:pStyle w:val="NoSpacing"/>
        <w:rPr>
          <w:rFonts w:ascii="Times New Roman" w:hAnsi="Times New Roman"/>
          <w:b/>
          <w:bCs/>
          <w:sz w:val="24"/>
          <w:szCs w:val="24"/>
        </w:rPr>
      </w:pPr>
      <w:r w:rsidRPr="00FA140F">
        <w:rPr>
          <w:rFonts w:ascii="Times New Roman" w:hAnsi="Times New Roman"/>
          <w:b/>
          <w:sz w:val="24"/>
          <w:szCs w:val="24"/>
        </w:rPr>
        <w:t xml:space="preserve">Legal Lesson Learned:  Another example where courts, per U.S. Supreme Court’s June 28, </w:t>
      </w:r>
      <w:proofErr w:type="gramStart"/>
      <w:r w:rsidRPr="00FA140F">
        <w:rPr>
          <w:rFonts w:ascii="Times New Roman" w:hAnsi="Times New Roman"/>
          <w:b/>
          <w:sz w:val="24"/>
          <w:szCs w:val="24"/>
        </w:rPr>
        <w:t>2024</w:t>
      </w:r>
      <w:proofErr w:type="gramEnd"/>
      <w:r w:rsidRPr="00FA140F">
        <w:rPr>
          <w:rFonts w:ascii="Times New Roman" w:hAnsi="Times New Roman"/>
          <w:b/>
          <w:sz w:val="24"/>
          <w:szCs w:val="24"/>
        </w:rPr>
        <w:t xml:space="preserve"> decision in </w:t>
      </w:r>
      <w:r w:rsidRPr="00FA140F">
        <w:rPr>
          <w:rFonts w:ascii="Times New Roman" w:hAnsi="Times New Roman"/>
          <w:b/>
          <w:i/>
          <w:iCs/>
          <w:sz w:val="24"/>
          <w:szCs w:val="24"/>
        </w:rPr>
        <w:t>Loper Bright</w:t>
      </w:r>
      <w:r w:rsidRPr="00FA140F">
        <w:rPr>
          <w:rFonts w:ascii="Times New Roman" w:hAnsi="Times New Roman"/>
          <w:b/>
          <w:sz w:val="24"/>
          <w:szCs w:val="24"/>
        </w:rPr>
        <w:t xml:space="preserve">, are no longer routinely following federal regulations under the  former “Chevron doctrine.” </w:t>
      </w:r>
    </w:p>
    <w:p w14:paraId="288D90AE" w14:textId="77777777" w:rsidR="000A72DE" w:rsidRPr="00FA140F" w:rsidRDefault="000A72DE" w:rsidP="000A72DE">
      <w:pPr>
        <w:pStyle w:val="NoSpacing"/>
        <w:ind w:left="720"/>
        <w:rPr>
          <w:rFonts w:ascii="Times New Roman" w:hAnsi="Times New Roman"/>
          <w:sz w:val="24"/>
          <w:szCs w:val="24"/>
        </w:rPr>
      </w:pPr>
    </w:p>
    <w:p w14:paraId="59F42B97" w14:textId="77777777" w:rsidR="000A72DE" w:rsidRPr="00FA140F" w:rsidRDefault="000A72DE" w:rsidP="000A72DE">
      <w:pPr>
        <w:pStyle w:val="NoSpacing"/>
        <w:ind w:left="720"/>
        <w:rPr>
          <w:rFonts w:ascii="Times New Roman" w:hAnsi="Times New Roman"/>
          <w:bCs/>
          <w:sz w:val="24"/>
          <w:szCs w:val="24"/>
        </w:rPr>
      </w:pPr>
      <w:r w:rsidRPr="00FA140F">
        <w:rPr>
          <w:rFonts w:ascii="Times New Roman" w:hAnsi="Times New Roman"/>
          <w:sz w:val="24"/>
          <w:szCs w:val="24"/>
        </w:rPr>
        <w:t xml:space="preserve">Note: If Congress had not enacted this statute, the property owners could not sue the Forest Service for “discretionary” decisions under the Federal Tort Claims Act.  See, for example, </w:t>
      </w:r>
      <w:r w:rsidRPr="00FA140F">
        <w:rPr>
          <w:rFonts w:ascii="Times New Roman" w:hAnsi="Times New Roman"/>
          <w:i/>
          <w:iCs/>
          <w:sz w:val="24"/>
          <w:szCs w:val="24"/>
        </w:rPr>
        <w:t>Freres Timber, Inc. v. The United States</w:t>
      </w:r>
      <w:r w:rsidRPr="00FA140F">
        <w:rPr>
          <w:rFonts w:ascii="Times New Roman" w:hAnsi="Times New Roman"/>
          <w:sz w:val="24"/>
          <w:szCs w:val="24"/>
        </w:rPr>
        <w:t xml:space="preserve">, </w:t>
      </w:r>
      <w:r w:rsidRPr="00FA140F">
        <w:rPr>
          <w:rFonts w:ascii="Times New Roman" w:hAnsi="Times New Roman"/>
          <w:bCs/>
          <w:sz w:val="24"/>
          <w:szCs w:val="24"/>
        </w:rPr>
        <w:t xml:space="preserve">Oregon; </w:t>
      </w:r>
      <w:r w:rsidRPr="00FA140F">
        <w:rPr>
          <w:rFonts w:ascii="Times New Roman" w:hAnsi="Times New Roman"/>
          <w:sz w:val="24"/>
          <w:szCs w:val="24"/>
        </w:rPr>
        <w:t>Dec. 6, 2024</w:t>
      </w:r>
      <w:r w:rsidRPr="00FA140F">
        <w:rPr>
          <w:rFonts w:ascii="Times New Roman" w:hAnsi="Times New Roman"/>
          <w:bCs/>
          <w:sz w:val="24"/>
          <w:szCs w:val="24"/>
        </w:rPr>
        <w:t>.</w:t>
      </w:r>
      <w:r w:rsidRPr="00FA140F">
        <w:rPr>
          <w:rFonts w:ascii="Times New Roman" w:hAnsi="Times New Roman"/>
          <w:sz w:val="24"/>
          <w:szCs w:val="24"/>
        </w:rPr>
        <w:t xml:space="preserve"> “Plaintiffs Freres Timber and Freres Lumber, sister lumber companies, filed this action against the United States Forest Service, seeking over $30 million in damages under the Federal Tort Claims Act (‘FTCA’) for lumber and profits lost in the Beachie Creek fire. *** Because the challenged decisions [by Incident Commanders] fall within the discretionary function exception, this Court lacks jurisdiction, and Plaintiffs' FTCA claims must be dismissed.” </w:t>
      </w:r>
      <w:hyperlink r:id="rId2934" w:history="1">
        <w:r w:rsidRPr="00FA140F">
          <w:rPr>
            <w:rStyle w:val="Hyperlink"/>
            <w:rFonts w:ascii="Times New Roman" w:hAnsi="Times New Roman"/>
            <w:sz w:val="24"/>
            <w:szCs w:val="24"/>
          </w:rPr>
          <w:t>https://casetext.com/case/freres-timber-inc-v-the-united-states</w:t>
        </w:r>
      </w:hyperlink>
      <w:r w:rsidRPr="00FA140F">
        <w:rPr>
          <w:rFonts w:ascii="Times New Roman" w:hAnsi="Times New Roman"/>
          <w:sz w:val="24"/>
          <w:szCs w:val="24"/>
        </w:rPr>
        <w:t xml:space="preserve"> </w:t>
      </w:r>
    </w:p>
    <w:p w14:paraId="07392B88" w14:textId="77777777" w:rsidR="000A72DE" w:rsidRPr="00FA140F" w:rsidRDefault="000A72DE" w:rsidP="000A72DE">
      <w:pPr>
        <w:pStyle w:val="NoSpacing"/>
        <w:rPr>
          <w:rFonts w:ascii="Times New Roman" w:hAnsi="Times New Roman"/>
          <w:b/>
          <w:sz w:val="24"/>
          <w:szCs w:val="24"/>
        </w:rPr>
      </w:pPr>
    </w:p>
    <w:p w14:paraId="525260B1" w14:textId="77777777" w:rsidR="000A72DE" w:rsidRPr="00FA140F" w:rsidRDefault="000A72DE" w:rsidP="000C4DF5">
      <w:pPr>
        <w:pStyle w:val="NoSpacing"/>
        <w:rPr>
          <w:rFonts w:ascii="Times New Roman" w:hAnsi="Times New Roman"/>
          <w:sz w:val="24"/>
          <w:szCs w:val="24"/>
        </w:rPr>
      </w:pPr>
    </w:p>
    <w:p w14:paraId="091CAEDA" w14:textId="77777777" w:rsidR="002100FE" w:rsidRDefault="002100FE" w:rsidP="000C4DF5">
      <w:pPr>
        <w:pStyle w:val="NoSpacing"/>
        <w:rPr>
          <w:rFonts w:ascii="Arial Black" w:hAnsi="Arial Black"/>
          <w:sz w:val="24"/>
          <w:szCs w:val="24"/>
        </w:rPr>
      </w:pPr>
    </w:p>
    <w:p w14:paraId="5DE66CC4" w14:textId="77777777" w:rsidR="002100FE" w:rsidRDefault="002100FE" w:rsidP="000C4DF5">
      <w:pPr>
        <w:pStyle w:val="NoSpacing"/>
        <w:rPr>
          <w:rFonts w:ascii="Arial Black" w:hAnsi="Arial Black"/>
          <w:sz w:val="24"/>
          <w:szCs w:val="24"/>
        </w:rPr>
      </w:pPr>
    </w:p>
    <w:p w14:paraId="0F7A7C46" w14:textId="2C6C9D97" w:rsidR="00B15008" w:rsidRDefault="001B23B7" w:rsidP="000C4DF5">
      <w:pPr>
        <w:pStyle w:val="NoSpacing"/>
        <w:rPr>
          <w:rFonts w:ascii="Arial Black" w:hAnsi="Arial Black"/>
          <w:sz w:val="24"/>
          <w:szCs w:val="24"/>
        </w:rPr>
      </w:pPr>
      <w:r>
        <w:rPr>
          <w:rFonts w:ascii="Arial Black" w:hAnsi="Arial Black"/>
          <w:sz w:val="24"/>
          <w:szCs w:val="24"/>
        </w:rPr>
        <w:t>18-26</w:t>
      </w:r>
    </w:p>
    <w:p w14:paraId="6AC7EFF6" w14:textId="77777777" w:rsidR="008575D7" w:rsidRDefault="008575D7" w:rsidP="000C4DF5">
      <w:pPr>
        <w:pStyle w:val="NoSpacing"/>
        <w:rPr>
          <w:rFonts w:ascii="Arial Black" w:hAnsi="Arial Black"/>
          <w:sz w:val="24"/>
          <w:szCs w:val="24"/>
        </w:rPr>
      </w:pPr>
    </w:p>
    <w:p w14:paraId="7A1FC21F" w14:textId="77777777" w:rsidR="008575D7" w:rsidRPr="00DC665F" w:rsidRDefault="008575D7" w:rsidP="008575D7">
      <w:pPr>
        <w:rPr>
          <w:rFonts w:ascii="Arial Black" w:hAnsi="Arial Black"/>
          <w:b/>
          <w:bCs/>
          <w:sz w:val="28"/>
        </w:rPr>
      </w:pPr>
      <w:r>
        <w:rPr>
          <w:rFonts w:ascii="Arial Black" w:hAnsi="Arial Black"/>
          <w:b/>
          <w:bCs/>
          <w:sz w:val="28"/>
        </w:rPr>
        <w:t xml:space="preserve">MI: FIREWORKS – CITY CAN’T REQ. SAFETY FLYERS - MI SUP. CT. CHIEF JUSTICE / STATE LAW SHOULD REQUIRE </w:t>
      </w:r>
    </w:p>
    <w:p w14:paraId="2F67181F" w14:textId="77777777" w:rsidR="008575D7" w:rsidRPr="0019067C" w:rsidRDefault="008575D7" w:rsidP="008575D7">
      <w:pPr>
        <w:pStyle w:val="NoSpacing"/>
        <w:rPr>
          <w:rFonts w:ascii="Times New Roman" w:hAnsi="Times New Roman"/>
          <w:sz w:val="24"/>
          <w:szCs w:val="24"/>
        </w:rPr>
      </w:pPr>
      <w:r w:rsidRPr="0019067C">
        <w:rPr>
          <w:rFonts w:ascii="Times New Roman" w:hAnsi="Times New Roman"/>
          <w:sz w:val="24"/>
          <w:szCs w:val="24"/>
        </w:rPr>
        <w:t xml:space="preserve">On September 27, 2024, in </w:t>
      </w:r>
      <w:r w:rsidRPr="0019067C">
        <w:rPr>
          <w:rFonts w:ascii="Times New Roman" w:hAnsi="Times New Roman"/>
          <w:sz w:val="24"/>
          <w:szCs w:val="24"/>
          <w:u w:val="single"/>
        </w:rPr>
        <w:t>People of the City of Sterling Heights v. Robert Bahnke</w:t>
      </w:r>
      <w:r w:rsidRPr="0019067C">
        <w:rPr>
          <w:rFonts w:ascii="Times New Roman" w:hAnsi="Times New Roman"/>
          <w:sz w:val="24"/>
          <w:szCs w:val="24"/>
        </w:rPr>
        <w:t xml:space="preserve">, the Michigan Supreme Court declined to hear the City’s appeal which sought to fine the manager of the fireworks store $150 for not handing out safety flyer required by City code; the Court of Appeals struck down the ordinance since it conflicted with state’s fireworks statute. Chief Justice Elizabeth Clement of the Michigan Supreme Court wrote in her concurring opinion:  “The city ordinance here is a relatively small burden on fireworks vendors and provides useful information to purchasers regarding relevant laws.” </w:t>
      </w:r>
      <w:hyperlink r:id="rId2935" w:history="1">
        <w:r w:rsidRPr="0019067C">
          <w:rPr>
            <w:rStyle w:val="Hyperlink"/>
            <w:rFonts w:ascii="Times New Roman" w:hAnsi="Times New Roman"/>
            <w:sz w:val="24"/>
            <w:szCs w:val="24"/>
          </w:rPr>
          <w:t>https://www.courts.michigan.gov/4a7b7c/siteassets/case-documents/uploads/sct/public/orders/166885_47_01.pdf</w:t>
        </w:r>
      </w:hyperlink>
      <w:r w:rsidRPr="0019067C">
        <w:rPr>
          <w:rFonts w:ascii="Times New Roman" w:hAnsi="Times New Roman"/>
          <w:sz w:val="24"/>
          <w:szCs w:val="24"/>
        </w:rPr>
        <w:t xml:space="preserve"> </w:t>
      </w:r>
    </w:p>
    <w:p w14:paraId="211536A7" w14:textId="77777777" w:rsidR="008575D7" w:rsidRPr="0019067C" w:rsidRDefault="008575D7" w:rsidP="008575D7">
      <w:pPr>
        <w:rPr>
          <w:rFonts w:ascii="Times New Roman" w:hAnsi="Times New Roman"/>
          <w:sz w:val="24"/>
          <w:szCs w:val="24"/>
        </w:rPr>
      </w:pPr>
      <w:r w:rsidRPr="0019067C">
        <w:rPr>
          <w:rFonts w:ascii="Times New Roman" w:hAnsi="Times New Roman"/>
          <w:sz w:val="24"/>
          <w:szCs w:val="24"/>
        </w:rPr>
        <w:t xml:space="preserve"> </w:t>
      </w:r>
    </w:p>
    <w:p w14:paraId="45DE72E5" w14:textId="77777777" w:rsidR="008575D7" w:rsidRPr="0019067C" w:rsidRDefault="008575D7" w:rsidP="008575D7">
      <w:pPr>
        <w:rPr>
          <w:rFonts w:ascii="Times New Roman" w:hAnsi="Times New Roman"/>
          <w:sz w:val="24"/>
          <w:szCs w:val="24"/>
        </w:rPr>
      </w:pPr>
      <w:r w:rsidRPr="0019067C">
        <w:rPr>
          <w:rFonts w:ascii="Times New Roman" w:hAnsi="Times New Roman"/>
          <w:sz w:val="24"/>
          <w:szCs w:val="24"/>
        </w:rPr>
        <w:t xml:space="preserve">THE CHIEF JUSTICE’S CONCURRING OPINION: </w:t>
      </w:r>
    </w:p>
    <w:p w14:paraId="01EA86F3" w14:textId="77777777" w:rsidR="008575D7" w:rsidRPr="0019067C" w:rsidRDefault="008575D7" w:rsidP="008575D7">
      <w:pPr>
        <w:ind w:left="720"/>
        <w:rPr>
          <w:rFonts w:ascii="Times New Roman" w:hAnsi="Times New Roman"/>
          <w:sz w:val="24"/>
          <w:szCs w:val="24"/>
        </w:rPr>
      </w:pPr>
      <w:r w:rsidRPr="0019067C">
        <w:rPr>
          <w:rFonts w:ascii="Times New Roman" w:hAnsi="Times New Roman"/>
          <w:sz w:val="24"/>
          <w:szCs w:val="24"/>
        </w:rPr>
        <w:t xml:space="preserve">“In this case, defendant, Robert Bahnke, was ticketed for violating the city code because he had not handed out the required flyers when he sold fireworks. The district court and the circuit court affirmed the $150 fine that the magistrate had ordered. But the Court of Appeals reversed in a published opinion, holding that Sterling Heights Code, § 20-115(I) was preempted by MCL 28.457. </w:t>
      </w:r>
    </w:p>
    <w:p w14:paraId="1D47BDE5" w14:textId="77777777" w:rsidR="008575D7" w:rsidRPr="0019067C" w:rsidRDefault="008575D7" w:rsidP="008575D7">
      <w:pPr>
        <w:ind w:left="720"/>
        <w:rPr>
          <w:rFonts w:ascii="Times New Roman" w:hAnsi="Times New Roman"/>
          <w:sz w:val="24"/>
          <w:szCs w:val="24"/>
        </w:rPr>
      </w:pPr>
      <w:r w:rsidRPr="0019067C">
        <w:rPr>
          <w:rFonts w:ascii="Times New Roman" w:hAnsi="Times New Roman"/>
          <w:sz w:val="24"/>
          <w:szCs w:val="24"/>
        </w:rPr>
        <w:t>***</w:t>
      </w:r>
    </w:p>
    <w:p w14:paraId="644CB4B6" w14:textId="77777777" w:rsidR="008575D7" w:rsidRPr="0019067C" w:rsidRDefault="008575D7" w:rsidP="008575D7">
      <w:pPr>
        <w:pStyle w:val="NoSpacing"/>
        <w:ind w:firstLine="720"/>
        <w:rPr>
          <w:rFonts w:ascii="Times New Roman" w:hAnsi="Times New Roman"/>
          <w:sz w:val="24"/>
          <w:szCs w:val="24"/>
        </w:rPr>
      </w:pPr>
      <w:r w:rsidRPr="0019067C">
        <w:rPr>
          <w:rFonts w:ascii="Times New Roman" w:hAnsi="Times New Roman"/>
          <w:sz w:val="24"/>
          <w:szCs w:val="24"/>
        </w:rPr>
        <w:lastRenderedPageBreak/>
        <w:t xml:space="preserve">But I question whether invalidating city ordinances such as the one at issue here </w:t>
      </w:r>
      <w:proofErr w:type="gramStart"/>
      <w:r w:rsidRPr="0019067C">
        <w:rPr>
          <w:rFonts w:ascii="Times New Roman" w:hAnsi="Times New Roman"/>
          <w:sz w:val="24"/>
          <w:szCs w:val="24"/>
        </w:rPr>
        <w:t>is</w:t>
      </w:r>
      <w:proofErr w:type="gramEnd"/>
    </w:p>
    <w:p w14:paraId="6DBD95A3" w14:textId="77777777" w:rsidR="008575D7" w:rsidRPr="0019067C" w:rsidRDefault="008575D7" w:rsidP="008575D7">
      <w:pPr>
        <w:pStyle w:val="NoSpacing"/>
        <w:ind w:firstLine="720"/>
        <w:rPr>
          <w:rFonts w:ascii="Times New Roman" w:hAnsi="Times New Roman"/>
          <w:sz w:val="24"/>
          <w:szCs w:val="24"/>
        </w:rPr>
      </w:pPr>
      <w:r w:rsidRPr="0019067C">
        <w:rPr>
          <w:rFonts w:ascii="Times New Roman" w:hAnsi="Times New Roman"/>
          <w:sz w:val="24"/>
          <w:szCs w:val="24"/>
        </w:rPr>
        <w:t>truly what the Legislature intended when it passed MCL 28.457. While I understand that</w:t>
      </w:r>
    </w:p>
    <w:p w14:paraId="1D228128" w14:textId="77777777" w:rsidR="008575D7" w:rsidRPr="0019067C" w:rsidRDefault="008575D7" w:rsidP="008575D7">
      <w:pPr>
        <w:pStyle w:val="NoSpacing"/>
        <w:ind w:firstLine="720"/>
        <w:rPr>
          <w:rFonts w:ascii="Times New Roman" w:hAnsi="Times New Roman"/>
          <w:sz w:val="24"/>
          <w:szCs w:val="24"/>
        </w:rPr>
      </w:pPr>
      <w:r w:rsidRPr="0019067C">
        <w:rPr>
          <w:rFonts w:ascii="Times New Roman" w:hAnsi="Times New Roman"/>
          <w:sz w:val="24"/>
          <w:szCs w:val="24"/>
        </w:rPr>
        <w:t>the Legislature may have reasonably sought to prohibit local units of government from</w:t>
      </w:r>
    </w:p>
    <w:p w14:paraId="4FC1A795" w14:textId="77777777" w:rsidR="008575D7" w:rsidRPr="0019067C" w:rsidRDefault="008575D7" w:rsidP="008575D7">
      <w:pPr>
        <w:pStyle w:val="NoSpacing"/>
        <w:ind w:firstLine="720"/>
        <w:rPr>
          <w:rFonts w:ascii="Times New Roman" w:hAnsi="Times New Roman"/>
          <w:sz w:val="24"/>
          <w:szCs w:val="24"/>
        </w:rPr>
      </w:pPr>
      <w:r w:rsidRPr="0019067C">
        <w:rPr>
          <w:rFonts w:ascii="Times New Roman" w:hAnsi="Times New Roman"/>
          <w:sz w:val="24"/>
          <w:szCs w:val="24"/>
        </w:rPr>
        <w:t>passing more substantive regulations of the sale of fireworks, it is difficult for me to</w:t>
      </w:r>
    </w:p>
    <w:p w14:paraId="5346E6FB" w14:textId="77777777" w:rsidR="008575D7" w:rsidRPr="0019067C" w:rsidRDefault="008575D7" w:rsidP="008575D7">
      <w:pPr>
        <w:pStyle w:val="NoSpacing"/>
        <w:ind w:firstLine="720"/>
        <w:rPr>
          <w:rFonts w:ascii="Times New Roman" w:hAnsi="Times New Roman"/>
          <w:sz w:val="24"/>
          <w:szCs w:val="24"/>
        </w:rPr>
      </w:pPr>
      <w:r w:rsidRPr="0019067C">
        <w:rPr>
          <w:rFonts w:ascii="Times New Roman" w:hAnsi="Times New Roman"/>
          <w:sz w:val="24"/>
          <w:szCs w:val="24"/>
        </w:rPr>
        <w:t>imagine that the Legislature intended to prohibit cities from ensuring that fireworks</w:t>
      </w:r>
    </w:p>
    <w:p w14:paraId="6217FB94" w14:textId="77777777" w:rsidR="008575D7" w:rsidRPr="0019067C" w:rsidRDefault="008575D7" w:rsidP="008575D7">
      <w:pPr>
        <w:pStyle w:val="NoSpacing"/>
        <w:ind w:firstLine="720"/>
        <w:rPr>
          <w:rFonts w:ascii="Times New Roman" w:hAnsi="Times New Roman"/>
          <w:sz w:val="24"/>
          <w:szCs w:val="24"/>
        </w:rPr>
      </w:pPr>
      <w:r w:rsidRPr="0019067C">
        <w:rPr>
          <w:rFonts w:ascii="Times New Roman" w:hAnsi="Times New Roman"/>
          <w:sz w:val="24"/>
          <w:szCs w:val="24"/>
        </w:rPr>
        <w:t>purchasers are adequately advised of applicable laws. The city ordinance here is a</w:t>
      </w:r>
    </w:p>
    <w:p w14:paraId="4D1B5925" w14:textId="77777777" w:rsidR="008575D7" w:rsidRPr="0019067C" w:rsidRDefault="008575D7" w:rsidP="008575D7">
      <w:pPr>
        <w:pStyle w:val="NoSpacing"/>
        <w:ind w:left="720"/>
        <w:rPr>
          <w:rFonts w:ascii="Times New Roman" w:hAnsi="Times New Roman"/>
          <w:sz w:val="24"/>
          <w:szCs w:val="24"/>
        </w:rPr>
      </w:pPr>
      <w:r w:rsidRPr="0019067C">
        <w:rPr>
          <w:rFonts w:ascii="Times New Roman" w:hAnsi="Times New Roman"/>
          <w:sz w:val="24"/>
          <w:szCs w:val="24"/>
        </w:rPr>
        <w:t xml:space="preserve">relatively small burden on fireworks vendors and provides useful information to purchasers regarding relevant laws. For these reasons, I question whether the text of MCL 28.457 is achieving the result the Legislature intended, and I encourage the Legislature to review the statutory </w:t>
      </w:r>
      <w:proofErr w:type="gramStart"/>
      <w:r w:rsidRPr="0019067C">
        <w:rPr>
          <w:rFonts w:ascii="Times New Roman" w:hAnsi="Times New Roman"/>
          <w:sz w:val="24"/>
          <w:szCs w:val="24"/>
        </w:rPr>
        <w:t>language.”</w:t>
      </w:r>
      <w:proofErr w:type="gramEnd"/>
    </w:p>
    <w:p w14:paraId="2D37CE5D" w14:textId="77777777" w:rsidR="008575D7" w:rsidRPr="0019067C" w:rsidRDefault="008575D7" w:rsidP="008575D7">
      <w:pPr>
        <w:rPr>
          <w:rFonts w:ascii="Times New Roman" w:hAnsi="Times New Roman"/>
          <w:sz w:val="24"/>
          <w:szCs w:val="24"/>
        </w:rPr>
      </w:pPr>
    </w:p>
    <w:p w14:paraId="5F8C3D86" w14:textId="77777777" w:rsidR="008575D7" w:rsidRPr="0019067C" w:rsidRDefault="008575D7" w:rsidP="008575D7">
      <w:pPr>
        <w:pStyle w:val="NoSpacing"/>
        <w:rPr>
          <w:rFonts w:ascii="Times New Roman" w:hAnsi="Times New Roman"/>
          <w:b/>
          <w:bCs/>
          <w:sz w:val="24"/>
          <w:szCs w:val="24"/>
        </w:rPr>
      </w:pPr>
      <w:r w:rsidRPr="0019067C">
        <w:rPr>
          <w:rFonts w:ascii="Times New Roman" w:hAnsi="Times New Roman"/>
          <w:b/>
          <w:bCs/>
          <w:sz w:val="24"/>
          <w:szCs w:val="24"/>
        </w:rPr>
        <w:t xml:space="preserve">Legal Lesson Learned:  Hopefully the state Legislature will amend its fireworks statute to include a safety flyer requirement. </w:t>
      </w:r>
    </w:p>
    <w:p w14:paraId="2595AD22" w14:textId="77777777" w:rsidR="008575D7" w:rsidRDefault="008575D7" w:rsidP="000C4DF5">
      <w:pPr>
        <w:pStyle w:val="NoSpacing"/>
        <w:rPr>
          <w:rFonts w:ascii="Arial Black" w:hAnsi="Arial Black"/>
          <w:sz w:val="24"/>
          <w:szCs w:val="24"/>
        </w:rPr>
      </w:pPr>
    </w:p>
    <w:p w14:paraId="4B805961" w14:textId="77777777" w:rsidR="001B23B7" w:rsidRDefault="001B23B7" w:rsidP="000C4DF5">
      <w:pPr>
        <w:pStyle w:val="NoSpacing"/>
        <w:rPr>
          <w:rFonts w:ascii="Arial Black" w:hAnsi="Arial Black"/>
          <w:sz w:val="24"/>
          <w:szCs w:val="24"/>
        </w:rPr>
      </w:pPr>
    </w:p>
    <w:p w14:paraId="742A14B4" w14:textId="77777777" w:rsidR="001B23B7" w:rsidRDefault="001B23B7" w:rsidP="000C4DF5">
      <w:pPr>
        <w:pStyle w:val="NoSpacing"/>
        <w:rPr>
          <w:rFonts w:ascii="Arial Black" w:hAnsi="Arial Black"/>
          <w:sz w:val="24"/>
          <w:szCs w:val="24"/>
        </w:rPr>
      </w:pPr>
    </w:p>
    <w:p w14:paraId="7ED4C688" w14:textId="15F1B143" w:rsidR="00B15008" w:rsidRDefault="002B2323" w:rsidP="000C4DF5">
      <w:pPr>
        <w:pStyle w:val="NoSpacing"/>
        <w:rPr>
          <w:rFonts w:ascii="Arial Black" w:hAnsi="Arial Black"/>
          <w:sz w:val="24"/>
          <w:szCs w:val="24"/>
        </w:rPr>
      </w:pPr>
      <w:r>
        <w:rPr>
          <w:rFonts w:ascii="Arial Black" w:hAnsi="Arial Black"/>
          <w:sz w:val="24"/>
          <w:szCs w:val="24"/>
        </w:rPr>
        <w:t>18-25</w:t>
      </w:r>
    </w:p>
    <w:p w14:paraId="07B706EE" w14:textId="77777777" w:rsidR="002B2323" w:rsidRDefault="002B2323" w:rsidP="000C4DF5">
      <w:pPr>
        <w:pStyle w:val="NoSpacing"/>
        <w:rPr>
          <w:rFonts w:ascii="Arial Black" w:hAnsi="Arial Black"/>
          <w:sz w:val="24"/>
          <w:szCs w:val="24"/>
        </w:rPr>
      </w:pPr>
    </w:p>
    <w:p w14:paraId="58B324F0" w14:textId="77777777" w:rsidR="00C30293" w:rsidRDefault="00C30293" w:rsidP="00C30293">
      <w:pPr>
        <w:pStyle w:val="NoSpacing"/>
        <w:rPr>
          <w:rFonts w:ascii="Arial Black" w:hAnsi="Arial Black"/>
          <w:sz w:val="28"/>
          <w:szCs w:val="28"/>
        </w:rPr>
      </w:pPr>
      <w:r>
        <w:rPr>
          <w:rFonts w:ascii="Arial Black" w:hAnsi="Arial Black"/>
          <w:sz w:val="28"/>
          <w:szCs w:val="28"/>
        </w:rPr>
        <w:t xml:space="preserve">OH: PUBLIC RECORDS - INJURY “TOP THRILL DRAGSTER” AT PARK – PARK PD “FUNCTIONAL EQUIVALENT” PUBLIC PD </w:t>
      </w:r>
    </w:p>
    <w:p w14:paraId="6B9CFB34" w14:textId="77777777" w:rsidR="00C30293" w:rsidRDefault="00C30293" w:rsidP="00C30293">
      <w:pPr>
        <w:pStyle w:val="NoSpacing"/>
        <w:rPr>
          <w:rFonts w:ascii="Times New Roman" w:hAnsi="Times New Roman"/>
          <w:sz w:val="24"/>
          <w:szCs w:val="24"/>
        </w:rPr>
      </w:pPr>
    </w:p>
    <w:p w14:paraId="36AB68F8" w14:textId="77777777" w:rsidR="004D2264" w:rsidRDefault="00C30293" w:rsidP="00C30293">
      <w:pPr>
        <w:pStyle w:val="NoSpacing"/>
        <w:rPr>
          <w:rFonts w:ascii="Times New Roman" w:hAnsi="Times New Roman"/>
          <w:sz w:val="24"/>
          <w:szCs w:val="24"/>
        </w:rPr>
      </w:pPr>
      <w:r w:rsidRPr="007919C0">
        <w:rPr>
          <w:rFonts w:ascii="Times New Roman" w:hAnsi="Times New Roman"/>
          <w:sz w:val="24"/>
          <w:szCs w:val="24"/>
        </w:rPr>
        <w:t xml:space="preserve">On Dec. 20, 2023, in </w:t>
      </w:r>
      <w:r w:rsidRPr="007919C0">
        <w:rPr>
          <w:rFonts w:ascii="Times New Roman" w:hAnsi="Times New Roman"/>
          <w:sz w:val="24"/>
          <w:szCs w:val="24"/>
          <w:u w:val="single"/>
        </w:rPr>
        <w:t>The State Ex Rel. WTOP Television, L.L.C., WKYC, L.L.C. , and WBNS-TV, Inc. v. Cedar Fair, L.P., dba Cedar Fair Entertainment Company, et al.</w:t>
      </w:r>
      <w:r w:rsidRPr="007919C0">
        <w:rPr>
          <w:rFonts w:ascii="Times New Roman" w:hAnsi="Times New Roman"/>
          <w:sz w:val="24"/>
          <w:szCs w:val="24"/>
        </w:rPr>
        <w:t xml:space="preserve">, the Ohio Supreme Court held (7 to 0) that </w:t>
      </w:r>
      <w:r>
        <w:rPr>
          <w:rFonts w:ascii="Times New Roman" w:hAnsi="Times New Roman"/>
          <w:sz w:val="24"/>
          <w:szCs w:val="24"/>
        </w:rPr>
        <w:t xml:space="preserve">the Park’s police department is “functional equivalent” of police department, and therefore must respond to Ohio Public Records requests, including </w:t>
      </w:r>
      <w:r w:rsidRPr="007919C0">
        <w:rPr>
          <w:rFonts w:ascii="Times New Roman" w:hAnsi="Times New Roman"/>
          <w:sz w:val="24"/>
          <w:szCs w:val="24"/>
        </w:rPr>
        <w:t xml:space="preserve">Aug. 15, 2021 injury of female guest near the Top Thrill Dragster ride, and records concerning </w:t>
      </w:r>
      <w:r>
        <w:rPr>
          <w:rFonts w:ascii="Times New Roman" w:hAnsi="Times New Roman"/>
          <w:sz w:val="24"/>
          <w:szCs w:val="24"/>
        </w:rPr>
        <w:t xml:space="preserve">TV station’s investigation into </w:t>
      </w:r>
      <w:r w:rsidRPr="007919C0">
        <w:rPr>
          <w:rFonts w:ascii="Times New Roman" w:hAnsi="Times New Roman"/>
          <w:sz w:val="24"/>
          <w:szCs w:val="24"/>
        </w:rPr>
        <w:t>sexual assaults at Park’s employee housing.  The Court also awarded TV stations court costs</w:t>
      </w:r>
      <w:r>
        <w:rPr>
          <w:rFonts w:ascii="Times New Roman" w:hAnsi="Times New Roman"/>
          <w:sz w:val="24"/>
          <w:szCs w:val="24"/>
        </w:rPr>
        <w:t xml:space="preserve">; </w:t>
      </w:r>
      <w:r w:rsidRPr="007919C0">
        <w:rPr>
          <w:rFonts w:ascii="Times New Roman" w:hAnsi="Times New Roman"/>
          <w:sz w:val="24"/>
          <w:szCs w:val="24"/>
        </w:rPr>
        <w:t>but declined to award statutory damages ($100 / day; max $1,000) or attorney fees to each TV station because this was unsettled law in Ohio (two Justices dissenting and would award attorney fees)</w:t>
      </w:r>
      <w:r>
        <w:rPr>
          <w:rFonts w:ascii="Times New Roman" w:hAnsi="Times New Roman"/>
          <w:sz w:val="24"/>
          <w:szCs w:val="24"/>
        </w:rPr>
        <w:t xml:space="preserve">. </w:t>
      </w:r>
    </w:p>
    <w:p w14:paraId="7907E30B" w14:textId="77777777" w:rsidR="004D2264" w:rsidRDefault="004D2264" w:rsidP="00C30293">
      <w:pPr>
        <w:pStyle w:val="NoSpacing"/>
        <w:rPr>
          <w:rFonts w:ascii="Times New Roman" w:hAnsi="Times New Roman"/>
          <w:sz w:val="24"/>
          <w:szCs w:val="24"/>
        </w:rPr>
      </w:pPr>
    </w:p>
    <w:p w14:paraId="005DE8F0" w14:textId="68E6CB08" w:rsidR="00C30293" w:rsidRDefault="00C30293" w:rsidP="00C30293">
      <w:pPr>
        <w:pStyle w:val="NoSpacing"/>
        <w:rPr>
          <w:rFonts w:ascii="Times New Roman" w:hAnsi="Times New Roman"/>
          <w:sz w:val="24"/>
          <w:szCs w:val="24"/>
        </w:rPr>
      </w:pPr>
      <w:r w:rsidRPr="007919C0">
        <w:rPr>
          <w:rFonts w:ascii="Times New Roman" w:hAnsi="Times New Roman"/>
          <w:sz w:val="24"/>
          <w:szCs w:val="24"/>
        </w:rPr>
        <w:t xml:space="preserve">The Court held: </w:t>
      </w:r>
      <w:r>
        <w:rPr>
          <w:rFonts w:ascii="Times New Roman" w:hAnsi="Times New Roman"/>
          <w:sz w:val="24"/>
          <w:szCs w:val="24"/>
        </w:rPr>
        <w:t>“</w:t>
      </w:r>
      <w:r w:rsidRPr="007919C0">
        <w:rPr>
          <w:rFonts w:ascii="Times New Roman" w:hAnsi="Times New Roman"/>
          <w:sz w:val="24"/>
          <w:szCs w:val="24"/>
        </w:rPr>
        <w:t xml:space="preserve">Here, Cedar Fair and </w:t>
      </w:r>
      <w:r>
        <w:rPr>
          <w:rFonts w:ascii="Times New Roman" w:hAnsi="Times New Roman"/>
          <w:sz w:val="24"/>
          <w:szCs w:val="24"/>
        </w:rPr>
        <w:t xml:space="preserve">[Police Chief Ronald E.} </w:t>
      </w:r>
      <w:r w:rsidRPr="007919C0">
        <w:rPr>
          <w:rFonts w:ascii="Times New Roman" w:hAnsi="Times New Roman"/>
          <w:sz w:val="24"/>
          <w:szCs w:val="24"/>
        </w:rPr>
        <w:t>Gilson asserted as affirmative defenses that</w:t>
      </w:r>
      <w:r>
        <w:rPr>
          <w:rFonts w:ascii="Times New Roman" w:hAnsi="Times New Roman"/>
          <w:sz w:val="24"/>
          <w:szCs w:val="24"/>
        </w:rPr>
        <w:t xml:space="preserve"> </w:t>
      </w:r>
      <w:r w:rsidRPr="007919C0">
        <w:rPr>
          <w:rFonts w:ascii="Times New Roman" w:hAnsi="Times New Roman"/>
          <w:sz w:val="24"/>
          <w:szCs w:val="24"/>
        </w:rPr>
        <w:t>they are not required to release privileged records or confidential law-enforcement</w:t>
      </w:r>
      <w:r>
        <w:rPr>
          <w:rFonts w:ascii="Times New Roman" w:hAnsi="Times New Roman"/>
          <w:sz w:val="24"/>
          <w:szCs w:val="24"/>
        </w:rPr>
        <w:t xml:space="preserve"> </w:t>
      </w:r>
      <w:r w:rsidRPr="007919C0">
        <w:rPr>
          <w:rFonts w:ascii="Times New Roman" w:hAnsi="Times New Roman"/>
          <w:sz w:val="24"/>
          <w:szCs w:val="24"/>
        </w:rPr>
        <w:t>investigatory records. But they have not offered any argument explaining how any</w:t>
      </w:r>
      <w:r>
        <w:rPr>
          <w:rFonts w:ascii="Times New Roman" w:hAnsi="Times New Roman"/>
          <w:sz w:val="24"/>
          <w:szCs w:val="24"/>
        </w:rPr>
        <w:t xml:space="preserve"> </w:t>
      </w:r>
      <w:r w:rsidRPr="007919C0">
        <w:rPr>
          <w:rFonts w:ascii="Times New Roman" w:hAnsi="Times New Roman"/>
          <w:sz w:val="24"/>
          <w:szCs w:val="24"/>
        </w:rPr>
        <w:t>record requested by relators meets the requirements for either of these exceptions</w:t>
      </w:r>
      <w:r>
        <w:rPr>
          <w:rFonts w:ascii="Times New Roman" w:hAnsi="Times New Roman"/>
          <w:sz w:val="24"/>
          <w:szCs w:val="24"/>
        </w:rPr>
        <w:t xml:space="preserve"> </w:t>
      </w:r>
      <w:r w:rsidRPr="007919C0">
        <w:rPr>
          <w:rFonts w:ascii="Times New Roman" w:hAnsi="Times New Roman"/>
          <w:sz w:val="24"/>
          <w:szCs w:val="24"/>
        </w:rPr>
        <w:t xml:space="preserve">to apply. Nor have they submitted any documents </w:t>
      </w:r>
      <w:proofErr w:type="gramStart"/>
      <w:r w:rsidRPr="007919C0">
        <w:rPr>
          <w:rFonts w:ascii="Times New Roman" w:hAnsi="Times New Roman"/>
          <w:sz w:val="24"/>
          <w:szCs w:val="24"/>
        </w:rPr>
        <w:t>for in</w:t>
      </w:r>
      <w:proofErr w:type="gramEnd"/>
      <w:r w:rsidRPr="007919C0">
        <w:rPr>
          <w:rFonts w:ascii="Times New Roman" w:hAnsi="Times New Roman"/>
          <w:sz w:val="24"/>
          <w:szCs w:val="24"/>
        </w:rPr>
        <w:t xml:space="preserve"> camera inspection. Thus,</w:t>
      </w:r>
      <w:r>
        <w:rPr>
          <w:rFonts w:ascii="Times New Roman" w:hAnsi="Times New Roman"/>
          <w:sz w:val="24"/>
          <w:szCs w:val="24"/>
        </w:rPr>
        <w:t xml:space="preserve"> </w:t>
      </w:r>
      <w:r w:rsidRPr="007919C0">
        <w:rPr>
          <w:rFonts w:ascii="Times New Roman" w:hAnsi="Times New Roman"/>
          <w:sz w:val="24"/>
          <w:szCs w:val="24"/>
        </w:rPr>
        <w:t>Cedar Fair and Gilson have not met their burden to show that these documents, to</w:t>
      </w:r>
      <w:r>
        <w:rPr>
          <w:rFonts w:ascii="Times New Roman" w:hAnsi="Times New Roman"/>
          <w:sz w:val="24"/>
          <w:szCs w:val="24"/>
        </w:rPr>
        <w:t xml:space="preserve"> </w:t>
      </w:r>
      <w:r w:rsidRPr="007919C0">
        <w:rPr>
          <w:rFonts w:ascii="Times New Roman" w:hAnsi="Times New Roman"/>
          <w:sz w:val="24"/>
          <w:szCs w:val="24"/>
        </w:rPr>
        <w:t>the extent that they exist, are exempt from disclosure.</w:t>
      </w:r>
      <w:r>
        <w:rPr>
          <w:rFonts w:ascii="Times New Roman" w:hAnsi="Times New Roman"/>
          <w:sz w:val="24"/>
          <w:szCs w:val="24"/>
        </w:rPr>
        <w:t xml:space="preserve"> *** </w:t>
      </w:r>
      <w:r w:rsidRPr="0031579C">
        <w:rPr>
          <w:rFonts w:ascii="Times New Roman" w:hAnsi="Times New Roman"/>
          <w:sz w:val="24"/>
          <w:szCs w:val="24"/>
        </w:rPr>
        <w:t>However, we do not order the production of incident or investigative</w:t>
      </w:r>
      <w:r>
        <w:rPr>
          <w:rFonts w:ascii="Times New Roman" w:hAnsi="Times New Roman"/>
          <w:sz w:val="24"/>
          <w:szCs w:val="24"/>
        </w:rPr>
        <w:t xml:space="preserve"> </w:t>
      </w:r>
      <w:r w:rsidRPr="0031579C">
        <w:rPr>
          <w:rFonts w:ascii="Times New Roman" w:hAnsi="Times New Roman"/>
          <w:sz w:val="24"/>
          <w:szCs w:val="24"/>
        </w:rPr>
        <w:t>reports created by emergency-medical-</w:t>
      </w:r>
      <w:proofErr w:type="gramStart"/>
      <w:r w:rsidRPr="0031579C">
        <w:rPr>
          <w:rFonts w:ascii="Times New Roman" w:hAnsi="Times New Roman"/>
          <w:sz w:val="24"/>
          <w:szCs w:val="24"/>
        </w:rPr>
        <w:t>services (</w:t>
      </w:r>
      <w:r>
        <w:rPr>
          <w:rFonts w:ascii="Times New Roman" w:hAnsi="Times New Roman"/>
          <w:sz w:val="24"/>
          <w:szCs w:val="24"/>
        </w:rPr>
        <w:t>‘</w:t>
      </w:r>
      <w:proofErr w:type="gramEnd"/>
      <w:r w:rsidRPr="0031579C">
        <w:rPr>
          <w:rFonts w:ascii="Times New Roman" w:hAnsi="Times New Roman"/>
          <w:sz w:val="24"/>
          <w:szCs w:val="24"/>
        </w:rPr>
        <w:t>EMS</w:t>
      </w:r>
      <w:r>
        <w:rPr>
          <w:rFonts w:ascii="Times New Roman" w:hAnsi="Times New Roman"/>
          <w:sz w:val="24"/>
          <w:szCs w:val="24"/>
        </w:rPr>
        <w:t>’</w:t>
      </w:r>
      <w:r w:rsidRPr="0031579C">
        <w:rPr>
          <w:rFonts w:ascii="Times New Roman" w:hAnsi="Times New Roman"/>
          <w:sz w:val="24"/>
          <w:szCs w:val="24"/>
        </w:rPr>
        <w:t>) personnel or related to</w:t>
      </w:r>
      <w:r>
        <w:rPr>
          <w:rFonts w:ascii="Times New Roman" w:hAnsi="Times New Roman"/>
          <w:sz w:val="24"/>
          <w:szCs w:val="24"/>
        </w:rPr>
        <w:t xml:space="preserve"> </w:t>
      </w:r>
      <w:r w:rsidRPr="0031579C">
        <w:rPr>
          <w:rFonts w:ascii="Times New Roman" w:hAnsi="Times New Roman"/>
          <w:sz w:val="24"/>
          <w:szCs w:val="24"/>
        </w:rPr>
        <w:t>EMS services. WKYC requested, among other things, incident reports and relate</w:t>
      </w:r>
      <w:r>
        <w:rPr>
          <w:rFonts w:ascii="Times New Roman" w:hAnsi="Times New Roman"/>
          <w:sz w:val="24"/>
          <w:szCs w:val="24"/>
        </w:rPr>
        <w:t>d r</w:t>
      </w:r>
      <w:r w:rsidRPr="00791E9A">
        <w:rPr>
          <w:rFonts w:ascii="Times New Roman" w:hAnsi="Times New Roman"/>
          <w:sz w:val="24"/>
          <w:szCs w:val="24"/>
        </w:rPr>
        <w:t>ecords created by EMS personnel during the alleged Top Thrill Dragster incident.</w:t>
      </w:r>
      <w:r>
        <w:rPr>
          <w:rFonts w:ascii="Times New Roman" w:hAnsi="Times New Roman"/>
          <w:sz w:val="24"/>
          <w:szCs w:val="24"/>
        </w:rPr>
        <w:t xml:space="preserve"> </w:t>
      </w:r>
      <w:r w:rsidRPr="00791E9A">
        <w:rPr>
          <w:rFonts w:ascii="Times New Roman" w:hAnsi="Times New Roman"/>
          <w:sz w:val="24"/>
          <w:szCs w:val="24"/>
        </w:rPr>
        <w:t>EMS services are not police services, and there is no evidence in the record</w:t>
      </w:r>
      <w:r>
        <w:rPr>
          <w:rFonts w:ascii="Times New Roman" w:hAnsi="Times New Roman"/>
          <w:sz w:val="24"/>
          <w:szCs w:val="24"/>
        </w:rPr>
        <w:t xml:space="preserve"> </w:t>
      </w:r>
      <w:r w:rsidRPr="00791E9A">
        <w:rPr>
          <w:rFonts w:ascii="Times New Roman" w:hAnsi="Times New Roman"/>
          <w:sz w:val="24"/>
          <w:szCs w:val="24"/>
        </w:rPr>
        <w:t>indicating that the CPPD provides EMS services or employs EMS personnel. To</w:t>
      </w:r>
      <w:r>
        <w:rPr>
          <w:rFonts w:ascii="Times New Roman" w:hAnsi="Times New Roman"/>
          <w:sz w:val="24"/>
          <w:szCs w:val="24"/>
        </w:rPr>
        <w:t xml:space="preserve"> </w:t>
      </w:r>
      <w:r w:rsidRPr="00791E9A">
        <w:rPr>
          <w:rFonts w:ascii="Times New Roman" w:hAnsi="Times New Roman"/>
          <w:sz w:val="24"/>
          <w:szCs w:val="24"/>
        </w:rPr>
        <w:t>the extent that Cedar Fair provided EMS services related to the alleged Top Thrill</w:t>
      </w:r>
      <w:r>
        <w:rPr>
          <w:rFonts w:ascii="Times New Roman" w:hAnsi="Times New Roman"/>
          <w:sz w:val="24"/>
          <w:szCs w:val="24"/>
        </w:rPr>
        <w:t xml:space="preserve"> </w:t>
      </w:r>
      <w:r w:rsidRPr="00791E9A">
        <w:rPr>
          <w:rFonts w:ascii="Times New Roman" w:hAnsi="Times New Roman"/>
          <w:sz w:val="24"/>
          <w:szCs w:val="24"/>
        </w:rPr>
        <w:t>Dragster incident, relators have produced no evidence showing that these services</w:t>
      </w:r>
      <w:r>
        <w:rPr>
          <w:rFonts w:ascii="Times New Roman" w:hAnsi="Times New Roman"/>
          <w:sz w:val="24"/>
          <w:szCs w:val="24"/>
        </w:rPr>
        <w:t xml:space="preserve"> </w:t>
      </w:r>
      <w:r w:rsidRPr="00791E9A">
        <w:rPr>
          <w:rFonts w:ascii="Times New Roman" w:hAnsi="Times New Roman"/>
          <w:sz w:val="24"/>
          <w:szCs w:val="24"/>
        </w:rPr>
        <w:t xml:space="preserve">were provided through the </w:t>
      </w:r>
      <w:proofErr w:type="gramStart"/>
      <w:r w:rsidRPr="00791E9A">
        <w:rPr>
          <w:rFonts w:ascii="Times New Roman" w:hAnsi="Times New Roman"/>
          <w:sz w:val="24"/>
          <w:szCs w:val="24"/>
        </w:rPr>
        <w:t>CPPD</w:t>
      </w:r>
      <w:r>
        <w:rPr>
          <w:rFonts w:ascii="Times New Roman" w:hAnsi="Times New Roman"/>
          <w:sz w:val="24"/>
          <w:szCs w:val="24"/>
        </w:rPr>
        <w:t>.”</w:t>
      </w:r>
      <w:proofErr w:type="gramEnd"/>
      <w:r>
        <w:rPr>
          <w:rFonts w:ascii="Times New Roman" w:hAnsi="Times New Roman"/>
          <w:sz w:val="24"/>
          <w:szCs w:val="24"/>
        </w:rPr>
        <w:t xml:space="preserve"> </w:t>
      </w:r>
    </w:p>
    <w:p w14:paraId="2DBDFA28" w14:textId="77777777" w:rsidR="00C30293" w:rsidRDefault="00C30293" w:rsidP="00C30293">
      <w:pPr>
        <w:pStyle w:val="NoSpacing"/>
        <w:rPr>
          <w:rFonts w:ascii="Times New Roman" w:hAnsi="Times New Roman"/>
          <w:sz w:val="24"/>
          <w:szCs w:val="24"/>
        </w:rPr>
      </w:pPr>
      <w:hyperlink r:id="rId2936" w:history="1">
        <w:r w:rsidRPr="0044657D">
          <w:rPr>
            <w:rStyle w:val="Hyperlink"/>
            <w:rFonts w:ascii="Times New Roman" w:hAnsi="Times New Roman"/>
            <w:sz w:val="24"/>
            <w:szCs w:val="24"/>
          </w:rPr>
          <w:t>https://www.supremecourt.ohio.gov/rod/docs/pdf/0/2023/2023-Ohio-4593.pdf</w:t>
        </w:r>
      </w:hyperlink>
      <w:r>
        <w:rPr>
          <w:rFonts w:ascii="Times New Roman" w:hAnsi="Times New Roman"/>
          <w:sz w:val="24"/>
          <w:szCs w:val="24"/>
        </w:rPr>
        <w:t xml:space="preserve"> </w:t>
      </w:r>
    </w:p>
    <w:p w14:paraId="6C32A87F" w14:textId="77777777" w:rsidR="00C30293" w:rsidRDefault="00C30293" w:rsidP="00C30293">
      <w:pPr>
        <w:pStyle w:val="NoSpacing"/>
        <w:rPr>
          <w:rFonts w:ascii="Times New Roman" w:hAnsi="Times New Roman"/>
          <w:sz w:val="24"/>
          <w:szCs w:val="24"/>
        </w:rPr>
      </w:pPr>
    </w:p>
    <w:p w14:paraId="0F2A3B67" w14:textId="77777777" w:rsidR="00FB70BC" w:rsidRPr="001D76FE" w:rsidRDefault="00FB70BC" w:rsidP="00FB70BC">
      <w:pPr>
        <w:pStyle w:val="NoSpacing"/>
        <w:rPr>
          <w:rFonts w:ascii="Times New Roman" w:hAnsi="Times New Roman"/>
          <w:b/>
          <w:bCs/>
          <w:sz w:val="24"/>
          <w:szCs w:val="24"/>
        </w:rPr>
      </w:pPr>
      <w:r w:rsidRPr="001D76FE">
        <w:rPr>
          <w:rFonts w:ascii="Times New Roman" w:hAnsi="Times New Roman"/>
          <w:b/>
          <w:bCs/>
          <w:sz w:val="24"/>
          <w:szCs w:val="24"/>
        </w:rPr>
        <w:t>Legal Lesson Learned:</w:t>
      </w:r>
      <w:r>
        <w:rPr>
          <w:rFonts w:ascii="Times New Roman" w:hAnsi="Times New Roman"/>
          <w:b/>
          <w:bCs/>
          <w:sz w:val="24"/>
          <w:szCs w:val="24"/>
        </w:rPr>
        <w:t xml:space="preserve"> The Park should have submitted records for “in camera” review by trial court, so they could then assert investigative exemption. </w:t>
      </w:r>
      <w:r w:rsidRPr="001D76FE">
        <w:rPr>
          <w:rFonts w:ascii="Times New Roman" w:hAnsi="Times New Roman"/>
          <w:b/>
          <w:bCs/>
          <w:sz w:val="24"/>
          <w:szCs w:val="24"/>
        </w:rPr>
        <w:t xml:space="preserve"> </w:t>
      </w:r>
      <w:r>
        <w:rPr>
          <w:rFonts w:ascii="Times New Roman" w:hAnsi="Times New Roman"/>
          <w:b/>
          <w:bCs/>
          <w:sz w:val="24"/>
          <w:szCs w:val="24"/>
        </w:rPr>
        <w:t xml:space="preserve">Private EMS companies providing 911 public service would likewise be subject to Ohio Public Records Act. </w:t>
      </w:r>
    </w:p>
    <w:p w14:paraId="62358D9F" w14:textId="77777777" w:rsidR="00FB70BC" w:rsidRDefault="00FB70BC" w:rsidP="00FB70BC">
      <w:pPr>
        <w:pStyle w:val="NoSpacing"/>
        <w:ind w:left="720"/>
        <w:rPr>
          <w:rFonts w:ascii="Times New Roman" w:hAnsi="Times New Roman"/>
          <w:sz w:val="24"/>
          <w:szCs w:val="24"/>
        </w:rPr>
      </w:pPr>
    </w:p>
    <w:p w14:paraId="3B86F73C" w14:textId="77777777" w:rsidR="00FB70BC" w:rsidRDefault="00FB70BC" w:rsidP="00FB70BC">
      <w:pPr>
        <w:pStyle w:val="NoSpacing"/>
        <w:ind w:left="720"/>
        <w:rPr>
          <w:rFonts w:ascii="Times New Roman" w:hAnsi="Times New Roman"/>
          <w:sz w:val="24"/>
          <w:szCs w:val="24"/>
        </w:rPr>
      </w:pPr>
      <w:r>
        <w:rPr>
          <w:rFonts w:ascii="Times New Roman" w:hAnsi="Times New Roman"/>
          <w:sz w:val="24"/>
          <w:szCs w:val="24"/>
        </w:rPr>
        <w:t>Note: DISSENT BY CHIEF JUSTICE SHARON L. KENNEDY – TV STATIONS SHOULD BE AWARDED STATUTORY DAMAGES AND ATTORNEY FEES</w:t>
      </w:r>
    </w:p>
    <w:p w14:paraId="43C796E8" w14:textId="77777777" w:rsidR="00FB70BC" w:rsidRDefault="00FB70BC" w:rsidP="00FB70BC">
      <w:pPr>
        <w:pStyle w:val="NoSpacing"/>
        <w:ind w:left="720"/>
        <w:rPr>
          <w:rFonts w:ascii="Times New Roman" w:hAnsi="Times New Roman"/>
          <w:sz w:val="24"/>
          <w:szCs w:val="24"/>
        </w:rPr>
      </w:pPr>
    </w:p>
    <w:p w14:paraId="5AF52184" w14:textId="77777777" w:rsidR="00FB70BC" w:rsidRDefault="00FB70BC" w:rsidP="00FB70BC">
      <w:pPr>
        <w:pStyle w:val="NoSpacing"/>
        <w:ind w:left="720"/>
        <w:rPr>
          <w:rFonts w:ascii="Times New Roman" w:hAnsi="Times New Roman"/>
          <w:sz w:val="24"/>
          <w:szCs w:val="24"/>
        </w:rPr>
      </w:pPr>
      <w:r>
        <w:rPr>
          <w:rFonts w:ascii="Times New Roman" w:hAnsi="Times New Roman"/>
          <w:sz w:val="24"/>
          <w:szCs w:val="24"/>
        </w:rPr>
        <w:t xml:space="preserve"> “</w:t>
      </w:r>
      <w:r w:rsidRPr="00356695">
        <w:rPr>
          <w:rFonts w:ascii="Times New Roman" w:hAnsi="Times New Roman"/>
          <w:sz w:val="24"/>
          <w:szCs w:val="24"/>
        </w:rPr>
        <w:t>I part ways with the majority, however, in its denial of awards of</w:t>
      </w:r>
      <w:r>
        <w:rPr>
          <w:rFonts w:ascii="Times New Roman" w:hAnsi="Times New Roman"/>
          <w:sz w:val="24"/>
          <w:szCs w:val="24"/>
        </w:rPr>
        <w:t xml:space="preserve"> </w:t>
      </w:r>
      <w:r w:rsidRPr="00356695">
        <w:rPr>
          <w:rFonts w:ascii="Times New Roman" w:hAnsi="Times New Roman"/>
          <w:sz w:val="24"/>
          <w:szCs w:val="24"/>
        </w:rPr>
        <w:t xml:space="preserve">statutory damages and attorney fees to relators. Based on the </w:t>
      </w:r>
      <w:proofErr w:type="gramStart"/>
      <w:r w:rsidRPr="00356695">
        <w:rPr>
          <w:rFonts w:ascii="Times New Roman" w:hAnsi="Times New Roman"/>
          <w:sz w:val="24"/>
          <w:szCs w:val="24"/>
        </w:rPr>
        <w:t>law existing</w:t>
      </w:r>
      <w:proofErr w:type="gramEnd"/>
      <w:r w:rsidRPr="00356695">
        <w:rPr>
          <w:rFonts w:ascii="Times New Roman" w:hAnsi="Times New Roman"/>
          <w:sz w:val="24"/>
          <w:szCs w:val="24"/>
        </w:rPr>
        <w:t xml:space="preserve"> at the</w:t>
      </w:r>
      <w:r>
        <w:rPr>
          <w:rFonts w:ascii="Times New Roman" w:hAnsi="Times New Roman"/>
          <w:sz w:val="24"/>
          <w:szCs w:val="24"/>
        </w:rPr>
        <w:t xml:space="preserve"> </w:t>
      </w:r>
      <w:r w:rsidRPr="00356695">
        <w:rPr>
          <w:rFonts w:ascii="Times New Roman" w:hAnsi="Times New Roman"/>
          <w:sz w:val="24"/>
          <w:szCs w:val="24"/>
        </w:rPr>
        <w:t>time of relators’ requests, a well-informed person responsible for the requested</w:t>
      </w:r>
      <w:r>
        <w:rPr>
          <w:rFonts w:ascii="Times New Roman" w:hAnsi="Times New Roman"/>
          <w:sz w:val="24"/>
          <w:szCs w:val="24"/>
        </w:rPr>
        <w:t xml:space="preserve"> </w:t>
      </w:r>
      <w:r w:rsidRPr="00356695">
        <w:rPr>
          <w:rFonts w:ascii="Times New Roman" w:hAnsi="Times New Roman"/>
          <w:sz w:val="24"/>
          <w:szCs w:val="24"/>
        </w:rPr>
        <w:t>public records would have reasonably believed that respondents had an obligation</w:t>
      </w:r>
      <w:r>
        <w:rPr>
          <w:rFonts w:ascii="Times New Roman" w:hAnsi="Times New Roman"/>
          <w:sz w:val="24"/>
          <w:szCs w:val="24"/>
        </w:rPr>
        <w:t xml:space="preserve"> </w:t>
      </w:r>
      <w:r w:rsidRPr="00356695">
        <w:rPr>
          <w:rFonts w:ascii="Times New Roman" w:hAnsi="Times New Roman"/>
          <w:sz w:val="24"/>
          <w:szCs w:val="24"/>
        </w:rPr>
        <w:t>under the Public Records Act to produce the requested records. Therefore, relators</w:t>
      </w:r>
      <w:r>
        <w:rPr>
          <w:rFonts w:ascii="Times New Roman" w:hAnsi="Times New Roman"/>
          <w:sz w:val="24"/>
          <w:szCs w:val="24"/>
        </w:rPr>
        <w:t xml:space="preserve"> </w:t>
      </w:r>
      <w:r w:rsidRPr="00356695">
        <w:rPr>
          <w:rFonts w:ascii="Times New Roman" w:hAnsi="Times New Roman"/>
          <w:sz w:val="24"/>
          <w:szCs w:val="24"/>
        </w:rPr>
        <w:t xml:space="preserve">are entitled to statutory </w:t>
      </w:r>
      <w:proofErr w:type="gramStart"/>
      <w:r w:rsidRPr="00356695">
        <w:rPr>
          <w:rFonts w:ascii="Times New Roman" w:hAnsi="Times New Roman"/>
          <w:sz w:val="24"/>
          <w:szCs w:val="24"/>
        </w:rPr>
        <w:t>damages</w:t>
      </w:r>
      <w:proofErr w:type="gramEnd"/>
      <w:r w:rsidRPr="00356695">
        <w:rPr>
          <w:rFonts w:ascii="Times New Roman" w:hAnsi="Times New Roman"/>
          <w:sz w:val="24"/>
          <w:szCs w:val="24"/>
        </w:rPr>
        <w:t xml:space="preserve"> and this court should award attorney fees.</w:t>
      </w:r>
    </w:p>
    <w:p w14:paraId="091399A0" w14:textId="77777777" w:rsidR="00FB70BC" w:rsidRDefault="00FB70BC" w:rsidP="00FB70BC">
      <w:pPr>
        <w:pStyle w:val="NoSpacing"/>
        <w:ind w:left="720"/>
        <w:rPr>
          <w:rFonts w:ascii="Times New Roman" w:hAnsi="Times New Roman"/>
          <w:sz w:val="24"/>
          <w:szCs w:val="24"/>
        </w:rPr>
      </w:pPr>
    </w:p>
    <w:p w14:paraId="4FF94C57" w14:textId="77777777" w:rsidR="00FB70BC" w:rsidRDefault="00FB70BC" w:rsidP="00FB70BC">
      <w:pPr>
        <w:pStyle w:val="NoSpacing"/>
        <w:ind w:left="720"/>
        <w:rPr>
          <w:rFonts w:ascii="Times New Roman" w:hAnsi="Times New Roman"/>
          <w:sz w:val="24"/>
          <w:szCs w:val="24"/>
        </w:rPr>
      </w:pPr>
      <w:r>
        <w:rPr>
          <w:rFonts w:ascii="Times New Roman" w:hAnsi="Times New Roman"/>
          <w:sz w:val="24"/>
          <w:szCs w:val="24"/>
        </w:rPr>
        <w:t>***</w:t>
      </w:r>
    </w:p>
    <w:p w14:paraId="29F28ECE" w14:textId="77777777" w:rsidR="00FB70BC" w:rsidRDefault="00FB70BC" w:rsidP="00FB70BC">
      <w:pPr>
        <w:pStyle w:val="NoSpacing"/>
        <w:ind w:left="720"/>
        <w:rPr>
          <w:rFonts w:ascii="Times New Roman" w:hAnsi="Times New Roman"/>
          <w:sz w:val="24"/>
          <w:szCs w:val="24"/>
        </w:rPr>
      </w:pPr>
    </w:p>
    <w:p w14:paraId="595D4F93" w14:textId="77777777" w:rsidR="00FB70BC" w:rsidRPr="00A9125A" w:rsidRDefault="00FB70BC" w:rsidP="00FB70BC">
      <w:pPr>
        <w:pStyle w:val="NoSpacing"/>
        <w:ind w:left="720"/>
        <w:rPr>
          <w:rFonts w:ascii="Times New Roman" w:hAnsi="Times New Roman"/>
          <w:sz w:val="24"/>
          <w:szCs w:val="24"/>
        </w:rPr>
      </w:pPr>
      <w:r w:rsidRPr="00FD2DAA">
        <w:rPr>
          <w:rFonts w:ascii="Times New Roman" w:hAnsi="Times New Roman"/>
          <w:sz w:val="24"/>
          <w:szCs w:val="24"/>
        </w:rPr>
        <w:t>The Sandusky City Manager, a government official, appoints and</w:t>
      </w:r>
      <w:r>
        <w:rPr>
          <w:rFonts w:ascii="Times New Roman" w:hAnsi="Times New Roman"/>
          <w:sz w:val="24"/>
          <w:szCs w:val="24"/>
        </w:rPr>
        <w:t xml:space="preserve"> </w:t>
      </w:r>
      <w:r w:rsidRPr="00FD2DAA">
        <w:rPr>
          <w:rFonts w:ascii="Times New Roman" w:hAnsi="Times New Roman"/>
          <w:sz w:val="24"/>
          <w:szCs w:val="24"/>
        </w:rPr>
        <w:t xml:space="preserve">maintains the Department’s police officers. These officers contractually </w:t>
      </w:r>
      <w:proofErr w:type="gramStart"/>
      <w:r w:rsidRPr="00FD2DAA">
        <w:rPr>
          <w:rFonts w:ascii="Times New Roman" w:hAnsi="Times New Roman"/>
          <w:sz w:val="24"/>
          <w:szCs w:val="24"/>
        </w:rPr>
        <w:t>serve at</w:t>
      </w:r>
      <w:proofErr w:type="gramEnd"/>
      <w:r>
        <w:rPr>
          <w:rFonts w:ascii="Times New Roman" w:hAnsi="Times New Roman"/>
          <w:sz w:val="24"/>
          <w:szCs w:val="24"/>
        </w:rPr>
        <w:t xml:space="preserve"> </w:t>
      </w:r>
      <w:r w:rsidRPr="00FD2DAA">
        <w:rPr>
          <w:rFonts w:ascii="Times New Roman" w:hAnsi="Times New Roman"/>
          <w:sz w:val="24"/>
          <w:szCs w:val="24"/>
        </w:rPr>
        <w:t>the pleasure of the city manager. These officers also must be qualified to serve as</w:t>
      </w:r>
      <w:r>
        <w:rPr>
          <w:rFonts w:ascii="Times New Roman" w:hAnsi="Times New Roman"/>
          <w:sz w:val="24"/>
          <w:szCs w:val="24"/>
        </w:rPr>
        <w:t xml:space="preserve"> </w:t>
      </w:r>
      <w:r w:rsidRPr="00FD2DAA">
        <w:rPr>
          <w:rFonts w:ascii="Times New Roman" w:hAnsi="Times New Roman"/>
          <w:sz w:val="24"/>
          <w:szCs w:val="24"/>
        </w:rPr>
        <w:t>law-enforcement officers in Ohio, pursuant to both a Sandusky ordinance and the</w:t>
      </w:r>
      <w:r>
        <w:rPr>
          <w:rFonts w:ascii="Times New Roman" w:hAnsi="Times New Roman"/>
          <w:sz w:val="24"/>
          <w:szCs w:val="24"/>
        </w:rPr>
        <w:t xml:space="preserve"> </w:t>
      </w:r>
      <w:r w:rsidRPr="00FD2DAA">
        <w:rPr>
          <w:rFonts w:ascii="Times New Roman" w:hAnsi="Times New Roman"/>
          <w:sz w:val="24"/>
          <w:szCs w:val="24"/>
        </w:rPr>
        <w:t>agreement between Sandusky and Cedar Fair, and they swear an oath before the</w:t>
      </w:r>
      <w:r>
        <w:rPr>
          <w:rFonts w:ascii="Times New Roman" w:hAnsi="Times New Roman"/>
          <w:sz w:val="24"/>
          <w:szCs w:val="24"/>
        </w:rPr>
        <w:t xml:space="preserve"> </w:t>
      </w:r>
      <w:r w:rsidRPr="00FD2DAA">
        <w:rPr>
          <w:rFonts w:ascii="Times New Roman" w:hAnsi="Times New Roman"/>
          <w:sz w:val="24"/>
          <w:szCs w:val="24"/>
        </w:rPr>
        <w:t>city manager to uphold the laws of Sandusky, the state of Ohio, and the United</w:t>
      </w:r>
      <w:r>
        <w:rPr>
          <w:rFonts w:ascii="Times New Roman" w:hAnsi="Times New Roman"/>
          <w:sz w:val="24"/>
          <w:szCs w:val="24"/>
        </w:rPr>
        <w:t xml:space="preserve"> </w:t>
      </w:r>
      <w:r w:rsidRPr="00FD2DAA">
        <w:rPr>
          <w:rFonts w:ascii="Times New Roman" w:hAnsi="Times New Roman"/>
          <w:sz w:val="24"/>
          <w:szCs w:val="24"/>
        </w:rPr>
        <w:t xml:space="preserve">States. Further, the Ohio Peace Officer Training Commission lists </w:t>
      </w:r>
      <w:r>
        <w:rPr>
          <w:rFonts w:ascii="Times New Roman" w:hAnsi="Times New Roman"/>
          <w:sz w:val="24"/>
          <w:szCs w:val="24"/>
        </w:rPr>
        <w:t>‘</w:t>
      </w:r>
      <w:r w:rsidRPr="00FD2DAA">
        <w:rPr>
          <w:rFonts w:ascii="Times New Roman" w:hAnsi="Times New Roman"/>
          <w:sz w:val="24"/>
          <w:szCs w:val="24"/>
        </w:rPr>
        <w:t>Sandusky</w:t>
      </w:r>
      <w:r>
        <w:rPr>
          <w:rFonts w:ascii="Times New Roman" w:hAnsi="Times New Roman"/>
          <w:sz w:val="24"/>
          <w:szCs w:val="24"/>
        </w:rPr>
        <w:t xml:space="preserve"> </w:t>
      </w:r>
      <w:r w:rsidRPr="00FD2DAA">
        <w:rPr>
          <w:rFonts w:ascii="Times New Roman" w:hAnsi="Times New Roman"/>
          <w:sz w:val="24"/>
          <w:szCs w:val="24"/>
        </w:rPr>
        <w:t>Police/Cedar Point Division</w:t>
      </w:r>
      <w:r>
        <w:rPr>
          <w:rFonts w:ascii="Times New Roman" w:hAnsi="Times New Roman"/>
          <w:sz w:val="24"/>
          <w:szCs w:val="24"/>
        </w:rPr>
        <w:t>’</w:t>
      </w:r>
      <w:r w:rsidRPr="00FD2DAA">
        <w:rPr>
          <w:rFonts w:ascii="Times New Roman" w:hAnsi="Times New Roman"/>
          <w:sz w:val="24"/>
          <w:szCs w:val="24"/>
        </w:rPr>
        <w:t xml:space="preserve"> as a police agency.</w:t>
      </w:r>
      <w:r>
        <w:rPr>
          <w:rFonts w:ascii="Times New Roman" w:hAnsi="Times New Roman"/>
          <w:sz w:val="24"/>
          <w:szCs w:val="24"/>
        </w:rPr>
        <w:t>”</w:t>
      </w:r>
    </w:p>
    <w:p w14:paraId="6BC292F7" w14:textId="77777777" w:rsidR="00FB70BC" w:rsidRDefault="00FB70BC" w:rsidP="00FB70BC">
      <w:pPr>
        <w:pStyle w:val="NormalWeb"/>
        <w:jc w:val="center"/>
      </w:pPr>
    </w:p>
    <w:p w14:paraId="51FD047F" w14:textId="77777777" w:rsidR="002B2323" w:rsidRDefault="002B2323" w:rsidP="000C4DF5">
      <w:pPr>
        <w:pStyle w:val="NoSpacing"/>
        <w:rPr>
          <w:rFonts w:ascii="Arial Black" w:hAnsi="Arial Black"/>
          <w:sz w:val="24"/>
          <w:szCs w:val="24"/>
        </w:rPr>
      </w:pPr>
    </w:p>
    <w:p w14:paraId="61357726" w14:textId="77777777" w:rsidR="002B2323" w:rsidRDefault="002B2323" w:rsidP="000C4DF5">
      <w:pPr>
        <w:pStyle w:val="NoSpacing"/>
        <w:rPr>
          <w:rFonts w:ascii="Arial Black" w:hAnsi="Arial Black"/>
          <w:sz w:val="24"/>
          <w:szCs w:val="24"/>
        </w:rPr>
      </w:pPr>
    </w:p>
    <w:p w14:paraId="4AC326CA" w14:textId="77777777" w:rsidR="002B2323" w:rsidRDefault="002B2323" w:rsidP="000C4DF5">
      <w:pPr>
        <w:pStyle w:val="NoSpacing"/>
        <w:rPr>
          <w:rFonts w:ascii="Arial Black" w:hAnsi="Arial Black"/>
          <w:sz w:val="24"/>
          <w:szCs w:val="24"/>
        </w:rPr>
      </w:pPr>
    </w:p>
    <w:p w14:paraId="7F502482" w14:textId="77777777" w:rsidR="002B2323" w:rsidRDefault="002B2323" w:rsidP="000C4DF5">
      <w:pPr>
        <w:pStyle w:val="NoSpacing"/>
        <w:rPr>
          <w:rFonts w:ascii="Arial Black" w:hAnsi="Arial Black"/>
          <w:sz w:val="24"/>
          <w:szCs w:val="24"/>
        </w:rPr>
      </w:pPr>
    </w:p>
    <w:p w14:paraId="51241731" w14:textId="3BB3E475" w:rsidR="00B15008" w:rsidRDefault="00B15008" w:rsidP="000C4DF5">
      <w:pPr>
        <w:pStyle w:val="NoSpacing"/>
        <w:rPr>
          <w:rFonts w:ascii="Arial Black" w:hAnsi="Arial Black"/>
          <w:sz w:val="24"/>
          <w:szCs w:val="24"/>
        </w:rPr>
      </w:pPr>
      <w:r>
        <w:rPr>
          <w:rFonts w:ascii="Arial Black" w:hAnsi="Arial Black"/>
          <w:sz w:val="24"/>
          <w:szCs w:val="24"/>
        </w:rPr>
        <w:t>18-24</w:t>
      </w:r>
    </w:p>
    <w:p w14:paraId="6AB8CB58" w14:textId="77777777" w:rsidR="00B15008" w:rsidRDefault="00B15008" w:rsidP="000C4DF5">
      <w:pPr>
        <w:pStyle w:val="NoSpacing"/>
        <w:rPr>
          <w:rFonts w:ascii="Arial Black" w:hAnsi="Arial Black"/>
          <w:sz w:val="24"/>
          <w:szCs w:val="24"/>
        </w:rPr>
      </w:pPr>
    </w:p>
    <w:p w14:paraId="111AA394" w14:textId="77777777" w:rsidR="00FD530A" w:rsidRPr="008F56DF" w:rsidRDefault="00FD530A" w:rsidP="00FD530A">
      <w:pPr>
        <w:pStyle w:val="NoSpacing"/>
        <w:rPr>
          <w:rFonts w:ascii="Arial Black" w:hAnsi="Arial Black"/>
          <w:sz w:val="28"/>
          <w:szCs w:val="28"/>
        </w:rPr>
      </w:pPr>
      <w:r>
        <w:rPr>
          <w:rFonts w:ascii="Arial Black" w:hAnsi="Arial Black"/>
          <w:sz w:val="28"/>
          <w:szCs w:val="28"/>
        </w:rPr>
        <w:t xml:space="preserve">FL: PUBLIC RECORDS - MARSY’S LAW VICTIMS RIGHTS – TWO PD WHO KILLED TWO ASSAILANTS – NAMES PUBLIC </w:t>
      </w:r>
    </w:p>
    <w:p w14:paraId="46020E33" w14:textId="77777777" w:rsidR="00FD530A" w:rsidRDefault="00FD530A" w:rsidP="00FD530A">
      <w:pPr>
        <w:pStyle w:val="NoSpacing"/>
        <w:rPr>
          <w:rFonts w:ascii="Times New Roman" w:hAnsi="Times New Roman"/>
          <w:sz w:val="24"/>
          <w:szCs w:val="24"/>
        </w:rPr>
      </w:pPr>
    </w:p>
    <w:p w14:paraId="0448A130" w14:textId="57E7A586" w:rsidR="00B15008" w:rsidRDefault="00FD530A" w:rsidP="00FD530A">
      <w:pPr>
        <w:pStyle w:val="NoSpacing"/>
        <w:rPr>
          <w:rStyle w:val="Hyperlink"/>
          <w:rFonts w:ascii="Times New Roman" w:hAnsi="Times New Roman"/>
          <w:sz w:val="24"/>
          <w:szCs w:val="24"/>
        </w:rPr>
      </w:pPr>
      <w:r>
        <w:rPr>
          <w:rFonts w:ascii="Times New Roman" w:hAnsi="Times New Roman"/>
          <w:sz w:val="24"/>
          <w:szCs w:val="24"/>
        </w:rPr>
        <w:t xml:space="preserve">On Nov. 30, 2023, in </w:t>
      </w:r>
      <w:r w:rsidRPr="00B478B5">
        <w:rPr>
          <w:rFonts w:ascii="Times New Roman" w:hAnsi="Times New Roman"/>
          <w:sz w:val="24"/>
          <w:szCs w:val="24"/>
          <w:u w:val="single"/>
        </w:rPr>
        <w:t>City of Tallahassee, Florida v. Florida Police Benevolent Association, Inc., et al.</w:t>
      </w:r>
      <w:r>
        <w:rPr>
          <w:rFonts w:ascii="Times New Roman" w:hAnsi="Times New Roman"/>
          <w:sz w:val="24"/>
          <w:szCs w:val="24"/>
        </w:rPr>
        <w:t>, the Supreme Court of Florida, the Court held (5 to 0) that two policers had no right to prevent their names being released to reporters.   Each officer, in separate incidents, killed assailants in self-defense and were cleared by a grand jury, and now claimed their names were protected as “victims” under Marsy’s Law.   Florida residents in 2018 voted to amend the state Constitution so that victim’s location information would not be made public, and victims would be kept informed on status of a defendant’s case.  The Court held: “</w:t>
      </w:r>
      <w:r w:rsidRPr="006573E3">
        <w:rPr>
          <w:rFonts w:ascii="Times New Roman" w:hAnsi="Times New Roman"/>
          <w:sz w:val="24"/>
          <w:szCs w:val="24"/>
        </w:rPr>
        <w:t>Marsy’s Law</w:t>
      </w:r>
      <w:r>
        <w:rPr>
          <w:rFonts w:ascii="Times New Roman" w:hAnsi="Times New Roman"/>
          <w:sz w:val="24"/>
          <w:szCs w:val="24"/>
        </w:rPr>
        <w:t xml:space="preserve"> </w:t>
      </w:r>
      <w:r w:rsidRPr="006573E3">
        <w:rPr>
          <w:rFonts w:ascii="Times New Roman" w:hAnsi="Times New Roman"/>
          <w:sz w:val="24"/>
          <w:szCs w:val="24"/>
        </w:rPr>
        <w:t>does not preclude the City from releasing the</w:t>
      </w:r>
      <w:r>
        <w:rPr>
          <w:rFonts w:ascii="Times New Roman" w:hAnsi="Times New Roman"/>
          <w:sz w:val="24"/>
          <w:szCs w:val="24"/>
        </w:rPr>
        <w:t xml:space="preserve"> </w:t>
      </w:r>
      <w:r w:rsidRPr="006573E3">
        <w:rPr>
          <w:rFonts w:ascii="Times New Roman" w:hAnsi="Times New Roman"/>
          <w:sz w:val="24"/>
          <w:szCs w:val="24"/>
        </w:rPr>
        <w:t>names of the two police officers whose conduct is at issue in this</w:t>
      </w:r>
      <w:r>
        <w:rPr>
          <w:rFonts w:ascii="Times New Roman" w:hAnsi="Times New Roman"/>
          <w:sz w:val="24"/>
          <w:szCs w:val="24"/>
        </w:rPr>
        <w:t xml:space="preserve"> </w:t>
      </w:r>
      <w:r w:rsidRPr="006573E3">
        <w:rPr>
          <w:rFonts w:ascii="Times New Roman" w:hAnsi="Times New Roman"/>
          <w:sz w:val="24"/>
          <w:szCs w:val="24"/>
        </w:rPr>
        <w:t>case.</w:t>
      </w:r>
      <w:r>
        <w:rPr>
          <w:rFonts w:ascii="Times New Roman" w:hAnsi="Times New Roman"/>
          <w:sz w:val="24"/>
          <w:szCs w:val="24"/>
        </w:rPr>
        <w:t xml:space="preserve"> *** </w:t>
      </w:r>
      <w:r w:rsidRPr="00DF01CF">
        <w:rPr>
          <w:rFonts w:ascii="Times New Roman" w:hAnsi="Times New Roman"/>
          <w:sz w:val="24"/>
          <w:szCs w:val="24"/>
        </w:rPr>
        <w:t>Applying these interpretive principles to this case, we conclude</w:t>
      </w:r>
      <w:r>
        <w:rPr>
          <w:rFonts w:ascii="Times New Roman" w:hAnsi="Times New Roman"/>
          <w:sz w:val="24"/>
          <w:szCs w:val="24"/>
        </w:rPr>
        <w:t xml:space="preserve"> </w:t>
      </w:r>
      <w:r w:rsidRPr="00DF01CF">
        <w:rPr>
          <w:rFonts w:ascii="Times New Roman" w:hAnsi="Times New Roman"/>
          <w:sz w:val="24"/>
          <w:szCs w:val="24"/>
        </w:rPr>
        <w:t xml:space="preserve">that Marsy’s Law does not </w:t>
      </w:r>
      <w:proofErr w:type="gramStart"/>
      <w:r w:rsidRPr="00DF01CF">
        <w:rPr>
          <w:rFonts w:ascii="Times New Roman" w:hAnsi="Times New Roman"/>
          <w:sz w:val="24"/>
          <w:szCs w:val="24"/>
        </w:rPr>
        <w:t>guarantee to</w:t>
      </w:r>
      <w:proofErr w:type="gramEnd"/>
      <w:r w:rsidRPr="00DF01CF">
        <w:rPr>
          <w:rFonts w:ascii="Times New Roman" w:hAnsi="Times New Roman"/>
          <w:sz w:val="24"/>
          <w:szCs w:val="24"/>
        </w:rPr>
        <w:t xml:space="preserve"> a victim the categorical</w:t>
      </w:r>
      <w:r>
        <w:rPr>
          <w:rFonts w:ascii="Times New Roman" w:hAnsi="Times New Roman"/>
          <w:sz w:val="24"/>
          <w:szCs w:val="24"/>
        </w:rPr>
        <w:t xml:space="preserve"> </w:t>
      </w:r>
      <w:r w:rsidRPr="00DF01CF">
        <w:rPr>
          <w:rFonts w:ascii="Times New Roman" w:hAnsi="Times New Roman"/>
          <w:sz w:val="24"/>
          <w:szCs w:val="24"/>
        </w:rPr>
        <w:t>right to withhold his or her name from disclosure. In their ordinary</w:t>
      </w:r>
      <w:r>
        <w:rPr>
          <w:rFonts w:ascii="Times New Roman" w:hAnsi="Times New Roman"/>
          <w:sz w:val="24"/>
          <w:szCs w:val="24"/>
        </w:rPr>
        <w:t xml:space="preserve"> </w:t>
      </w:r>
      <w:r w:rsidRPr="00DF01CF">
        <w:rPr>
          <w:rFonts w:ascii="Times New Roman" w:hAnsi="Times New Roman"/>
          <w:sz w:val="24"/>
          <w:szCs w:val="24"/>
        </w:rPr>
        <w:t>and plain usage, the relevant words of our Constitution</w:t>
      </w:r>
      <w:r>
        <w:rPr>
          <w:rFonts w:ascii="Times New Roman" w:hAnsi="Times New Roman"/>
          <w:sz w:val="24"/>
          <w:szCs w:val="24"/>
        </w:rPr>
        <w:t xml:space="preserve"> [amended to include Marsy’s Law</w:t>
      </w:r>
      <w:proofErr w:type="gramStart"/>
      <w:r>
        <w:rPr>
          <w:rFonts w:ascii="Times New Roman" w:hAnsi="Times New Roman"/>
          <w:sz w:val="24"/>
          <w:szCs w:val="24"/>
        </w:rPr>
        <w:t>]</w:t>
      </w:r>
      <w:r w:rsidRPr="00DF01CF">
        <w:rPr>
          <w:rFonts w:ascii="Times New Roman" w:hAnsi="Times New Roman"/>
          <w:sz w:val="24"/>
          <w:szCs w:val="24"/>
        </w:rPr>
        <w:t>,</w:t>
      </w:r>
      <w:r>
        <w:rPr>
          <w:rFonts w:ascii="Times New Roman" w:hAnsi="Times New Roman"/>
          <w:sz w:val="24"/>
          <w:szCs w:val="24"/>
        </w:rPr>
        <w:t xml:space="preserve"> ‘</w:t>
      </w:r>
      <w:proofErr w:type="gramEnd"/>
      <w:r w:rsidRPr="00DF01CF">
        <w:rPr>
          <w:rFonts w:ascii="Times New Roman" w:hAnsi="Times New Roman"/>
          <w:sz w:val="24"/>
          <w:szCs w:val="24"/>
        </w:rPr>
        <w:t>information or records that could be used to locate or harass the</w:t>
      </w:r>
      <w:r>
        <w:rPr>
          <w:rFonts w:ascii="Times New Roman" w:hAnsi="Times New Roman"/>
          <w:sz w:val="24"/>
          <w:szCs w:val="24"/>
        </w:rPr>
        <w:t xml:space="preserve"> </w:t>
      </w:r>
      <w:r w:rsidRPr="00DF01CF">
        <w:rPr>
          <w:rFonts w:ascii="Times New Roman" w:hAnsi="Times New Roman"/>
          <w:sz w:val="24"/>
          <w:szCs w:val="24"/>
        </w:rPr>
        <w:t>victim or the victim’s family, or which could disclose confidential or</w:t>
      </w:r>
      <w:r>
        <w:rPr>
          <w:rFonts w:ascii="Times New Roman" w:hAnsi="Times New Roman"/>
          <w:sz w:val="24"/>
          <w:szCs w:val="24"/>
        </w:rPr>
        <w:t xml:space="preserve"> </w:t>
      </w:r>
      <w:r w:rsidRPr="00DF01CF">
        <w:rPr>
          <w:rFonts w:ascii="Times New Roman" w:hAnsi="Times New Roman"/>
          <w:sz w:val="24"/>
          <w:szCs w:val="24"/>
        </w:rPr>
        <w:t xml:space="preserve">privileged information of the </w:t>
      </w:r>
      <w:proofErr w:type="gramStart"/>
      <w:r w:rsidRPr="00DF01CF">
        <w:rPr>
          <w:rFonts w:ascii="Times New Roman" w:hAnsi="Times New Roman"/>
          <w:sz w:val="24"/>
          <w:szCs w:val="24"/>
        </w:rPr>
        <w:t>victim,</w:t>
      </w:r>
      <w:r>
        <w:rPr>
          <w:rFonts w:ascii="Times New Roman" w:hAnsi="Times New Roman"/>
          <w:sz w:val="24"/>
          <w:szCs w:val="24"/>
        </w:rPr>
        <w:t>’</w:t>
      </w:r>
      <w:proofErr w:type="gramEnd"/>
      <w:r w:rsidRPr="00DF01CF">
        <w:rPr>
          <w:rFonts w:ascii="Times New Roman" w:hAnsi="Times New Roman"/>
          <w:sz w:val="24"/>
          <w:szCs w:val="24"/>
        </w:rPr>
        <w:t xml:space="preserve"> art. I, § 16(b)(5), Fla. Const.,</w:t>
      </w:r>
      <w:r>
        <w:rPr>
          <w:rFonts w:ascii="Times New Roman" w:hAnsi="Times New Roman"/>
          <w:sz w:val="24"/>
          <w:szCs w:val="24"/>
        </w:rPr>
        <w:t xml:space="preserve"> </w:t>
      </w:r>
      <w:r w:rsidRPr="00DF01CF">
        <w:rPr>
          <w:rFonts w:ascii="Times New Roman" w:hAnsi="Times New Roman"/>
          <w:sz w:val="24"/>
          <w:szCs w:val="24"/>
        </w:rPr>
        <w:t>do not encompass the victim’s identity.</w:t>
      </w:r>
      <w:r>
        <w:rPr>
          <w:rFonts w:ascii="Times New Roman" w:hAnsi="Times New Roman"/>
          <w:sz w:val="24"/>
          <w:szCs w:val="24"/>
        </w:rPr>
        <w:t xml:space="preserve">” </w:t>
      </w:r>
      <w:hyperlink r:id="rId2937" w:history="1">
        <w:r w:rsidRPr="00E359E2">
          <w:rPr>
            <w:rStyle w:val="Hyperlink"/>
            <w:rFonts w:ascii="Times New Roman" w:hAnsi="Times New Roman"/>
            <w:sz w:val="24"/>
            <w:szCs w:val="24"/>
          </w:rPr>
          <w:t>https://supremecourt.flcourts.gov/content/download/1172655/opinion/Opinion_SC2021-0651.pdf</w:t>
        </w:r>
      </w:hyperlink>
    </w:p>
    <w:p w14:paraId="023BE753" w14:textId="77777777" w:rsidR="002B2323" w:rsidRDefault="002B2323" w:rsidP="00FD530A">
      <w:pPr>
        <w:pStyle w:val="NoSpacing"/>
        <w:rPr>
          <w:rStyle w:val="Hyperlink"/>
          <w:rFonts w:ascii="Times New Roman" w:hAnsi="Times New Roman"/>
          <w:sz w:val="24"/>
          <w:szCs w:val="24"/>
        </w:rPr>
      </w:pPr>
    </w:p>
    <w:p w14:paraId="5BBBA4D9" w14:textId="77777777" w:rsidR="002B2323" w:rsidRDefault="002B2323" w:rsidP="002B2323">
      <w:pPr>
        <w:pStyle w:val="NoSpacing"/>
        <w:rPr>
          <w:rFonts w:ascii="Times New Roman" w:hAnsi="Times New Roman"/>
          <w:b/>
          <w:bCs/>
          <w:sz w:val="24"/>
          <w:szCs w:val="24"/>
        </w:rPr>
      </w:pPr>
      <w:r w:rsidRPr="00A048D2">
        <w:rPr>
          <w:rFonts w:ascii="Times New Roman" w:hAnsi="Times New Roman"/>
          <w:b/>
          <w:bCs/>
          <w:sz w:val="24"/>
          <w:szCs w:val="24"/>
        </w:rPr>
        <w:t>Legal Lesson Learned:</w:t>
      </w:r>
      <w:r>
        <w:rPr>
          <w:rFonts w:ascii="Times New Roman" w:hAnsi="Times New Roman"/>
          <w:b/>
          <w:bCs/>
          <w:sz w:val="24"/>
          <w:szCs w:val="24"/>
        </w:rPr>
        <w:t xml:space="preserve">  Many states have enacted laws protecting from </w:t>
      </w:r>
      <w:proofErr w:type="gramStart"/>
      <w:r>
        <w:rPr>
          <w:rFonts w:ascii="Times New Roman" w:hAnsi="Times New Roman"/>
          <w:b/>
          <w:bCs/>
          <w:sz w:val="24"/>
          <w:szCs w:val="24"/>
        </w:rPr>
        <w:t>disclosure</w:t>
      </w:r>
      <w:proofErr w:type="gramEnd"/>
      <w:r>
        <w:rPr>
          <w:rFonts w:ascii="Times New Roman" w:hAnsi="Times New Roman"/>
          <w:b/>
          <w:bCs/>
          <w:sz w:val="24"/>
          <w:szCs w:val="24"/>
        </w:rPr>
        <w:t xml:space="preserve"> the home addresses of police, fire, EMS and other public officials. </w:t>
      </w:r>
    </w:p>
    <w:p w14:paraId="48B005DB" w14:textId="77777777" w:rsidR="002B2323" w:rsidRPr="007F1753" w:rsidRDefault="002B2323" w:rsidP="002B2323">
      <w:pPr>
        <w:pStyle w:val="NoSpacing"/>
        <w:rPr>
          <w:rFonts w:ascii="Times New Roman" w:hAnsi="Times New Roman"/>
          <w:sz w:val="24"/>
          <w:szCs w:val="24"/>
        </w:rPr>
      </w:pPr>
    </w:p>
    <w:p w14:paraId="23DD780E" w14:textId="77777777" w:rsidR="002B2323" w:rsidRDefault="002B2323" w:rsidP="002B2323">
      <w:pPr>
        <w:pStyle w:val="NoSpacing"/>
        <w:ind w:left="720"/>
        <w:rPr>
          <w:rFonts w:ascii="Times New Roman" w:hAnsi="Times New Roman"/>
          <w:sz w:val="24"/>
          <w:szCs w:val="24"/>
        </w:rPr>
      </w:pPr>
      <w:r w:rsidRPr="007F1753">
        <w:rPr>
          <w:rFonts w:ascii="Times New Roman" w:hAnsi="Times New Roman"/>
          <w:sz w:val="24"/>
          <w:szCs w:val="24"/>
        </w:rPr>
        <w:t xml:space="preserve">Note: </w:t>
      </w:r>
    </w:p>
    <w:p w14:paraId="02536E3B" w14:textId="77777777" w:rsidR="002B2323" w:rsidRPr="007B075D" w:rsidRDefault="002B2323" w:rsidP="002B2323">
      <w:pPr>
        <w:pStyle w:val="Heading1"/>
        <w:ind w:left="720"/>
        <w:rPr>
          <w:b w:val="0"/>
          <w:bCs w:val="0"/>
          <w:sz w:val="24"/>
          <w:szCs w:val="24"/>
        </w:rPr>
      </w:pPr>
      <w:r w:rsidRPr="007B075D">
        <w:rPr>
          <w:b w:val="0"/>
          <w:bCs w:val="0"/>
          <w:sz w:val="24"/>
          <w:szCs w:val="24"/>
        </w:rPr>
        <w:t xml:space="preserve">See article, “Florida court rules Marsy's Law doesn't apply to police; similar case pending in Ohio.” Nov. 30, 2023. </w:t>
      </w:r>
      <w:hyperlink r:id="rId2938" w:history="1">
        <w:r w:rsidRPr="007B075D">
          <w:rPr>
            <w:rStyle w:val="Hyperlink"/>
            <w:b w:val="0"/>
            <w:bCs w:val="0"/>
            <w:sz w:val="24"/>
            <w:szCs w:val="24"/>
          </w:rPr>
          <w:t>https://www.dispatch.com/story/news/courts/2023/11/30/florida-supreme-court-rules-that-marsys-law-privacy-doesnt-apply-to-police-officers/71758347007/?utm_source=columbusdispatch-</w:t>
        </w:r>
        <w:r w:rsidRPr="007B075D">
          <w:rPr>
            <w:rStyle w:val="Hyperlink"/>
            <w:b w:val="0"/>
            <w:bCs w:val="0"/>
            <w:sz w:val="24"/>
            <w:szCs w:val="24"/>
          </w:rPr>
          <w:lastRenderedPageBreak/>
          <w:t>dailybriefing-strada&amp;utm_medium=email&amp;utm_campaign=dailybriefing-headline-stack&amp;utm_term=Content%20List%20-%20Stacking%20-%20optimized&amp;utm_content=ncod-columbus-nletter65</w:t>
        </w:r>
      </w:hyperlink>
      <w:r w:rsidRPr="007B075D">
        <w:rPr>
          <w:b w:val="0"/>
          <w:bCs w:val="0"/>
          <w:sz w:val="24"/>
          <w:szCs w:val="24"/>
        </w:rPr>
        <w:t xml:space="preserve"> </w:t>
      </w:r>
    </w:p>
    <w:p w14:paraId="021787A6" w14:textId="77777777" w:rsidR="002B2323" w:rsidRDefault="002B2323" w:rsidP="00FD530A">
      <w:pPr>
        <w:pStyle w:val="NoSpacing"/>
        <w:rPr>
          <w:rFonts w:ascii="Arial Black" w:hAnsi="Arial Black"/>
          <w:sz w:val="24"/>
          <w:szCs w:val="24"/>
        </w:rPr>
      </w:pPr>
    </w:p>
    <w:p w14:paraId="761A89D7" w14:textId="77777777" w:rsidR="00B15008" w:rsidRDefault="00B15008" w:rsidP="000C4DF5">
      <w:pPr>
        <w:pStyle w:val="NoSpacing"/>
        <w:rPr>
          <w:rFonts w:ascii="Arial Black" w:hAnsi="Arial Black"/>
          <w:sz w:val="24"/>
          <w:szCs w:val="24"/>
        </w:rPr>
      </w:pPr>
    </w:p>
    <w:p w14:paraId="386DFF38" w14:textId="709A9A33" w:rsidR="00804F3A" w:rsidRDefault="006A02A4" w:rsidP="000C4DF5">
      <w:pPr>
        <w:pStyle w:val="NoSpacing"/>
        <w:rPr>
          <w:rFonts w:ascii="Arial Black" w:hAnsi="Arial Black"/>
          <w:sz w:val="24"/>
          <w:szCs w:val="24"/>
        </w:rPr>
      </w:pPr>
      <w:r>
        <w:rPr>
          <w:rFonts w:ascii="Arial Black" w:hAnsi="Arial Black"/>
          <w:sz w:val="24"/>
          <w:szCs w:val="24"/>
        </w:rPr>
        <w:t>18-23</w:t>
      </w:r>
    </w:p>
    <w:p w14:paraId="0DC5D690" w14:textId="77777777" w:rsidR="006A02A4" w:rsidRDefault="006A02A4" w:rsidP="000C4DF5">
      <w:pPr>
        <w:pStyle w:val="NoSpacing"/>
        <w:rPr>
          <w:rFonts w:ascii="Arial Black" w:hAnsi="Arial Black"/>
          <w:sz w:val="24"/>
          <w:szCs w:val="24"/>
        </w:rPr>
      </w:pPr>
    </w:p>
    <w:p w14:paraId="3C7A0AE0" w14:textId="77777777" w:rsidR="006A02A4" w:rsidRPr="003D49D7" w:rsidRDefault="006A02A4" w:rsidP="006A02A4">
      <w:pPr>
        <w:pStyle w:val="NoSpacing"/>
        <w:rPr>
          <w:rFonts w:ascii="Arial Black" w:hAnsi="Arial Black"/>
          <w:sz w:val="28"/>
          <w:szCs w:val="28"/>
        </w:rPr>
      </w:pPr>
      <w:r w:rsidRPr="003D49D7">
        <w:rPr>
          <w:rFonts w:ascii="Arial Black" w:hAnsi="Arial Black"/>
          <w:sz w:val="28"/>
          <w:szCs w:val="28"/>
        </w:rPr>
        <w:t xml:space="preserve">CA (4/17/2023) – NATURAL GAS PIPING – CITY OF BERKLEY </w:t>
      </w:r>
      <w:r>
        <w:rPr>
          <w:rFonts w:ascii="Arial Black" w:hAnsi="Arial Black"/>
          <w:sz w:val="28"/>
          <w:szCs w:val="28"/>
        </w:rPr>
        <w:t xml:space="preserve">ORD. </w:t>
      </w:r>
      <w:r w:rsidRPr="003D49D7">
        <w:rPr>
          <w:rFonts w:ascii="Arial Black" w:hAnsi="Arial Black"/>
          <w:sz w:val="28"/>
          <w:szCs w:val="28"/>
        </w:rPr>
        <w:t xml:space="preserve">NEW BUILDINGS STOP </w:t>
      </w:r>
      <w:r>
        <w:rPr>
          <w:rFonts w:ascii="Arial Black" w:hAnsi="Arial Black"/>
          <w:sz w:val="28"/>
          <w:szCs w:val="28"/>
        </w:rPr>
        <w:t>NATURAL GAS VIOL. FED LAW</w:t>
      </w:r>
    </w:p>
    <w:p w14:paraId="30FFFDDB" w14:textId="77777777" w:rsidR="006A02A4" w:rsidRDefault="006A02A4" w:rsidP="006A02A4">
      <w:pPr>
        <w:pStyle w:val="NoSpacing"/>
      </w:pPr>
    </w:p>
    <w:p w14:paraId="67BA8329" w14:textId="77777777" w:rsidR="006A02A4" w:rsidRPr="003C1643" w:rsidRDefault="006A02A4" w:rsidP="006A02A4">
      <w:pPr>
        <w:pStyle w:val="NoSpacing"/>
        <w:rPr>
          <w:rFonts w:ascii="Times New Roman" w:hAnsi="Times New Roman"/>
          <w:sz w:val="24"/>
          <w:szCs w:val="24"/>
        </w:rPr>
      </w:pPr>
      <w:r w:rsidRPr="003C1643">
        <w:rPr>
          <w:rFonts w:ascii="Times New Roman" w:hAnsi="Times New Roman"/>
          <w:sz w:val="24"/>
          <w:szCs w:val="24"/>
          <w:u w:val="single"/>
        </w:rPr>
        <w:t>California Restaurant Association v. City of Berkeley</w:t>
      </w:r>
      <w:r w:rsidRPr="003C1643">
        <w:rPr>
          <w:rFonts w:ascii="Times New Roman" w:hAnsi="Times New Roman"/>
          <w:sz w:val="24"/>
          <w:szCs w:val="24"/>
        </w:rPr>
        <w:t>, U.S. Court of Appeals for 9</w:t>
      </w:r>
      <w:r w:rsidRPr="003C1643">
        <w:rPr>
          <w:rFonts w:ascii="Times New Roman" w:hAnsi="Times New Roman"/>
          <w:sz w:val="24"/>
          <w:szCs w:val="24"/>
          <w:vertAlign w:val="superscript"/>
        </w:rPr>
        <w:t>th</w:t>
      </w:r>
      <w:r w:rsidRPr="003C1643">
        <w:rPr>
          <w:rFonts w:ascii="Times New Roman" w:hAnsi="Times New Roman"/>
          <w:sz w:val="24"/>
          <w:szCs w:val="24"/>
        </w:rPr>
        <w:t xml:space="preserve"> Circuit. </w:t>
      </w:r>
      <w:hyperlink r:id="rId2939" w:history="1">
        <w:r w:rsidRPr="003C1643">
          <w:rPr>
            <w:rStyle w:val="Hyperlink"/>
            <w:rFonts w:ascii="Times New Roman" w:hAnsi="Times New Roman"/>
            <w:sz w:val="24"/>
            <w:szCs w:val="24"/>
          </w:rPr>
          <w:t>https://cdn.ca9.uscourts.gov/datastore/opinions/2023/04/17/21-16278.pdf</w:t>
        </w:r>
      </w:hyperlink>
      <w:r w:rsidRPr="003C1643">
        <w:rPr>
          <w:rFonts w:ascii="Times New Roman" w:hAnsi="Times New Roman"/>
          <w:sz w:val="24"/>
          <w:szCs w:val="24"/>
        </w:rPr>
        <w:t xml:space="preserve"> </w:t>
      </w:r>
    </w:p>
    <w:p w14:paraId="15035900" w14:textId="77777777" w:rsidR="006A02A4" w:rsidRDefault="006A02A4" w:rsidP="000C4DF5">
      <w:pPr>
        <w:pStyle w:val="NoSpacing"/>
        <w:rPr>
          <w:rFonts w:ascii="Arial Black" w:hAnsi="Arial Black"/>
          <w:sz w:val="24"/>
          <w:szCs w:val="24"/>
        </w:rPr>
      </w:pPr>
    </w:p>
    <w:p w14:paraId="3084C9F6" w14:textId="7144B190" w:rsidR="0012739E" w:rsidRDefault="0012739E" w:rsidP="000C4DF5">
      <w:pPr>
        <w:pStyle w:val="NoSpacing"/>
        <w:rPr>
          <w:rFonts w:ascii="Times New Roman" w:hAnsi="Times New Roman"/>
          <w:b/>
          <w:bCs/>
          <w:sz w:val="24"/>
          <w:szCs w:val="24"/>
        </w:rPr>
      </w:pPr>
      <w:r w:rsidRPr="003C1643">
        <w:rPr>
          <w:rFonts w:ascii="Times New Roman" w:hAnsi="Times New Roman"/>
          <w:b/>
          <w:bCs/>
          <w:sz w:val="24"/>
          <w:szCs w:val="24"/>
        </w:rPr>
        <w:t>Legal Lesson Learned: Federal statute pre</w:t>
      </w:r>
      <w:r>
        <w:rPr>
          <w:rFonts w:ascii="Times New Roman" w:hAnsi="Times New Roman"/>
          <w:b/>
          <w:bCs/>
          <w:sz w:val="24"/>
          <w:szCs w:val="24"/>
        </w:rPr>
        <w:t>emption of</w:t>
      </w:r>
      <w:r w:rsidRPr="003C1643">
        <w:rPr>
          <w:rFonts w:ascii="Times New Roman" w:hAnsi="Times New Roman"/>
          <w:b/>
          <w:bCs/>
          <w:sz w:val="24"/>
          <w:szCs w:val="24"/>
        </w:rPr>
        <w:t xml:space="preserve"> City of Berkeley </w:t>
      </w:r>
      <w:r>
        <w:rPr>
          <w:rFonts w:ascii="Times New Roman" w:hAnsi="Times New Roman"/>
          <w:b/>
          <w:bCs/>
          <w:sz w:val="24"/>
          <w:szCs w:val="24"/>
        </w:rPr>
        <w:t>ordinance.</w:t>
      </w:r>
    </w:p>
    <w:p w14:paraId="217BD654" w14:textId="77777777" w:rsidR="0012739E" w:rsidRDefault="0012739E" w:rsidP="000C4DF5">
      <w:pPr>
        <w:pStyle w:val="NoSpacing"/>
        <w:rPr>
          <w:rFonts w:ascii="Times New Roman" w:hAnsi="Times New Roman"/>
          <w:b/>
          <w:bCs/>
          <w:sz w:val="24"/>
          <w:szCs w:val="24"/>
        </w:rPr>
      </w:pPr>
    </w:p>
    <w:p w14:paraId="161B0551" w14:textId="77777777" w:rsidR="0012739E" w:rsidRDefault="0012739E" w:rsidP="000C4DF5">
      <w:pPr>
        <w:pStyle w:val="NoSpacing"/>
        <w:rPr>
          <w:rFonts w:ascii="Times New Roman" w:hAnsi="Times New Roman"/>
          <w:b/>
          <w:bCs/>
          <w:sz w:val="24"/>
          <w:szCs w:val="24"/>
        </w:rPr>
      </w:pPr>
    </w:p>
    <w:p w14:paraId="2F9E4F87" w14:textId="7A9F113C" w:rsidR="0012739E" w:rsidRPr="0012739E" w:rsidRDefault="0012739E" w:rsidP="000C4DF5">
      <w:pPr>
        <w:pStyle w:val="NoSpacing"/>
        <w:rPr>
          <w:rFonts w:ascii="Arial Black" w:hAnsi="Arial Black"/>
          <w:b/>
          <w:bCs/>
          <w:sz w:val="24"/>
          <w:szCs w:val="24"/>
        </w:rPr>
      </w:pPr>
      <w:r w:rsidRPr="0012739E">
        <w:rPr>
          <w:rFonts w:ascii="Arial Black" w:hAnsi="Arial Black"/>
          <w:b/>
          <w:bCs/>
          <w:sz w:val="24"/>
          <w:szCs w:val="24"/>
        </w:rPr>
        <w:t>18-22</w:t>
      </w:r>
    </w:p>
    <w:p w14:paraId="1B4C2F75" w14:textId="77777777" w:rsidR="0012739E" w:rsidRDefault="0012739E" w:rsidP="000C4DF5">
      <w:pPr>
        <w:pStyle w:val="NoSpacing"/>
        <w:rPr>
          <w:rFonts w:ascii="Times New Roman" w:hAnsi="Times New Roman"/>
          <w:b/>
          <w:bCs/>
          <w:sz w:val="24"/>
          <w:szCs w:val="24"/>
        </w:rPr>
      </w:pPr>
    </w:p>
    <w:p w14:paraId="04F629B2" w14:textId="77777777" w:rsidR="0012739E" w:rsidRPr="0097436D" w:rsidRDefault="0012739E" w:rsidP="0012739E">
      <w:pPr>
        <w:pStyle w:val="NoSpacing"/>
        <w:rPr>
          <w:rFonts w:ascii="Arial Black" w:hAnsi="Arial Black"/>
          <w:sz w:val="28"/>
          <w:szCs w:val="28"/>
        </w:rPr>
      </w:pPr>
      <w:r w:rsidRPr="0097436D">
        <w:rPr>
          <w:rFonts w:ascii="Arial Black" w:hAnsi="Arial Black"/>
          <w:sz w:val="28"/>
          <w:szCs w:val="28"/>
        </w:rPr>
        <w:t>OH (4/6/2023) – VICTIM RIGHTS</w:t>
      </w:r>
      <w:r>
        <w:rPr>
          <w:rFonts w:ascii="Arial Black" w:hAnsi="Arial Black"/>
          <w:sz w:val="28"/>
          <w:szCs w:val="28"/>
        </w:rPr>
        <w:t xml:space="preserve"> </w:t>
      </w:r>
      <w:r w:rsidRPr="0097436D">
        <w:rPr>
          <w:rFonts w:ascii="Arial Black" w:hAnsi="Arial Black"/>
          <w:sz w:val="28"/>
          <w:szCs w:val="28"/>
        </w:rPr>
        <w:t>- HOUSE BILL 343 – NAMES / ADDRESSES NOT PUBLIC – NEW FORM FOR PD</w:t>
      </w:r>
      <w:r>
        <w:rPr>
          <w:rFonts w:ascii="Arial Black" w:hAnsi="Arial Black"/>
          <w:sz w:val="28"/>
          <w:szCs w:val="28"/>
        </w:rPr>
        <w:t xml:space="preserve"> TO USE</w:t>
      </w:r>
    </w:p>
    <w:p w14:paraId="72AA3447" w14:textId="77777777" w:rsidR="0012739E" w:rsidRPr="003C1643" w:rsidRDefault="0012739E" w:rsidP="0012739E">
      <w:pPr>
        <w:pStyle w:val="NoSpacing"/>
        <w:rPr>
          <w:rStyle w:val="markedcontent"/>
          <w:rFonts w:ascii="Times New Roman" w:hAnsi="Times New Roman"/>
          <w:sz w:val="24"/>
          <w:szCs w:val="24"/>
        </w:rPr>
      </w:pPr>
      <w:r w:rsidRPr="003C1643">
        <w:rPr>
          <w:rStyle w:val="markedcontent"/>
          <w:rFonts w:ascii="Times New Roman" w:hAnsi="Times New Roman"/>
          <w:sz w:val="24"/>
          <w:szCs w:val="24"/>
        </w:rPr>
        <w:t>“Entitles a victim and victim’s representative to be present during any public proceeding,</w:t>
      </w:r>
      <w:r w:rsidRPr="003C1643">
        <w:rPr>
          <w:rFonts w:ascii="Times New Roman" w:hAnsi="Times New Roman"/>
          <w:sz w:val="24"/>
          <w:szCs w:val="24"/>
        </w:rPr>
        <w:br/>
      </w:r>
      <w:r w:rsidRPr="003C1643">
        <w:rPr>
          <w:rStyle w:val="markedcontent"/>
          <w:rFonts w:ascii="Times New Roman" w:hAnsi="Times New Roman"/>
          <w:sz w:val="24"/>
          <w:szCs w:val="24"/>
        </w:rPr>
        <w:t>other than a grand jury proceeding, and grants the victim, victim’s representative, and</w:t>
      </w:r>
      <w:r w:rsidRPr="003C1643">
        <w:rPr>
          <w:rFonts w:ascii="Times New Roman" w:hAnsi="Times New Roman"/>
          <w:sz w:val="24"/>
          <w:szCs w:val="24"/>
        </w:rPr>
        <w:br/>
      </w:r>
      <w:r w:rsidRPr="003C1643">
        <w:rPr>
          <w:rStyle w:val="markedcontent"/>
          <w:rFonts w:ascii="Times New Roman" w:hAnsi="Times New Roman"/>
          <w:sz w:val="24"/>
          <w:szCs w:val="24"/>
        </w:rPr>
        <w:t>victim’s attorney the right to be heard by the court at any proceeding in which any right</w:t>
      </w:r>
      <w:r w:rsidRPr="003C1643">
        <w:rPr>
          <w:rFonts w:ascii="Times New Roman" w:hAnsi="Times New Roman"/>
          <w:sz w:val="24"/>
          <w:szCs w:val="24"/>
        </w:rPr>
        <w:br/>
      </w:r>
      <w:r w:rsidRPr="003C1643">
        <w:rPr>
          <w:rStyle w:val="markedcontent"/>
          <w:rFonts w:ascii="Times New Roman" w:hAnsi="Times New Roman"/>
          <w:sz w:val="24"/>
          <w:szCs w:val="24"/>
        </w:rPr>
        <w:t xml:space="preserve">of the victim is implicated. *** Requires that a victim’s name and identifying information be documented on a separate page in law enforcement records and court filings, which is not a public record. ***Requires the Supreme Court to create the victim’s rights request form. </w:t>
      </w:r>
      <w:hyperlink r:id="rId2940" w:history="1">
        <w:r w:rsidRPr="003C1643">
          <w:rPr>
            <w:rStyle w:val="Hyperlink"/>
            <w:rFonts w:ascii="Times New Roman" w:hAnsi="Times New Roman"/>
            <w:sz w:val="24"/>
            <w:szCs w:val="24"/>
          </w:rPr>
          <w:t>https://www.legislature.ohio.gov/download?key=20348&amp;format=pdf</w:t>
        </w:r>
      </w:hyperlink>
      <w:r w:rsidRPr="003C1643">
        <w:rPr>
          <w:rStyle w:val="markedcontent"/>
          <w:rFonts w:ascii="Times New Roman" w:hAnsi="Times New Roman"/>
          <w:sz w:val="24"/>
          <w:szCs w:val="24"/>
        </w:rPr>
        <w:t>.</w:t>
      </w:r>
    </w:p>
    <w:p w14:paraId="06A484DA" w14:textId="77777777" w:rsidR="0012739E" w:rsidRPr="003C1643" w:rsidRDefault="0012739E" w:rsidP="0012739E">
      <w:pPr>
        <w:pStyle w:val="NoSpacing"/>
        <w:rPr>
          <w:rStyle w:val="markedcontent"/>
          <w:rFonts w:ascii="Times New Roman" w:hAnsi="Times New Roman"/>
          <w:sz w:val="24"/>
          <w:szCs w:val="24"/>
        </w:rPr>
      </w:pPr>
    </w:p>
    <w:p w14:paraId="708958D0" w14:textId="77777777" w:rsidR="0012739E" w:rsidRPr="003C1643" w:rsidRDefault="0012739E" w:rsidP="0012739E">
      <w:pPr>
        <w:pStyle w:val="NoSpacing"/>
        <w:rPr>
          <w:rStyle w:val="markedcontent"/>
          <w:rFonts w:ascii="Times New Roman" w:hAnsi="Times New Roman"/>
          <w:b/>
          <w:bCs/>
          <w:sz w:val="24"/>
          <w:szCs w:val="24"/>
        </w:rPr>
      </w:pPr>
      <w:r w:rsidRPr="003C1643">
        <w:rPr>
          <w:rStyle w:val="markedcontent"/>
          <w:rFonts w:ascii="Times New Roman" w:hAnsi="Times New Roman"/>
          <w:b/>
          <w:bCs/>
          <w:sz w:val="24"/>
          <w:szCs w:val="24"/>
        </w:rPr>
        <w:t xml:space="preserve">Legal Lesson Learned: Ohio </w:t>
      </w:r>
      <w:proofErr w:type="gramStart"/>
      <w:r w:rsidRPr="003C1643">
        <w:rPr>
          <w:rStyle w:val="markedcontent"/>
          <w:rFonts w:ascii="Times New Roman" w:hAnsi="Times New Roman"/>
          <w:b/>
          <w:bCs/>
          <w:sz w:val="24"/>
          <w:szCs w:val="24"/>
        </w:rPr>
        <w:t>fire</w:t>
      </w:r>
      <w:proofErr w:type="gramEnd"/>
      <w:r w:rsidRPr="003C1643">
        <w:rPr>
          <w:rStyle w:val="markedcontent"/>
          <w:rFonts w:ascii="Times New Roman" w:hAnsi="Times New Roman"/>
          <w:b/>
          <w:bCs/>
          <w:sz w:val="24"/>
          <w:szCs w:val="24"/>
        </w:rPr>
        <w:t xml:space="preserve"> and EMS will deal with crime victims; </w:t>
      </w:r>
      <w:proofErr w:type="gramStart"/>
      <w:r w:rsidRPr="003C1643">
        <w:rPr>
          <w:rStyle w:val="markedcontent"/>
          <w:rFonts w:ascii="Times New Roman" w:hAnsi="Times New Roman"/>
          <w:b/>
          <w:bCs/>
          <w:sz w:val="24"/>
          <w:szCs w:val="24"/>
        </w:rPr>
        <w:t>important</w:t>
      </w:r>
      <w:proofErr w:type="gramEnd"/>
      <w:r w:rsidRPr="003C1643">
        <w:rPr>
          <w:rStyle w:val="markedcontent"/>
          <w:rFonts w:ascii="Times New Roman" w:hAnsi="Times New Roman"/>
          <w:b/>
          <w:bCs/>
          <w:sz w:val="24"/>
          <w:szCs w:val="24"/>
        </w:rPr>
        <w:t xml:space="preserve"> that they understand rights of the victims in the criminal system. </w:t>
      </w:r>
    </w:p>
    <w:p w14:paraId="6021178D" w14:textId="77777777" w:rsidR="0012739E" w:rsidRPr="003C1643" w:rsidRDefault="0012739E" w:rsidP="0012739E">
      <w:pPr>
        <w:pStyle w:val="NoSpacing"/>
        <w:rPr>
          <w:rStyle w:val="markedcontent"/>
          <w:rFonts w:ascii="Times New Roman" w:hAnsi="Times New Roman"/>
          <w:sz w:val="24"/>
          <w:szCs w:val="24"/>
        </w:rPr>
      </w:pPr>
    </w:p>
    <w:p w14:paraId="70915CF4" w14:textId="77777777" w:rsidR="0012739E" w:rsidRPr="003C1643" w:rsidRDefault="0012739E" w:rsidP="0012739E">
      <w:pPr>
        <w:pStyle w:val="NoSpacing"/>
        <w:ind w:left="720"/>
        <w:rPr>
          <w:rStyle w:val="markedcontent"/>
          <w:rFonts w:ascii="Times New Roman" w:hAnsi="Times New Roman"/>
          <w:sz w:val="24"/>
          <w:szCs w:val="24"/>
        </w:rPr>
      </w:pPr>
      <w:r w:rsidRPr="003C1643">
        <w:rPr>
          <w:rStyle w:val="markedcontent"/>
          <w:rFonts w:ascii="Times New Roman" w:hAnsi="Times New Roman"/>
          <w:sz w:val="24"/>
          <w:szCs w:val="24"/>
        </w:rPr>
        <w:t xml:space="preserve">Note:  See the new form to be used by PD: </w:t>
      </w:r>
      <w:hyperlink r:id="rId2941" w:history="1">
        <w:r w:rsidRPr="003C1643">
          <w:rPr>
            <w:rStyle w:val="Hyperlink"/>
            <w:rFonts w:ascii="Times New Roman" w:hAnsi="Times New Roman"/>
            <w:sz w:val="24"/>
            <w:szCs w:val="24"/>
          </w:rPr>
          <w:t>https://www.supremecourt.ohio.gov/marsy-s-law-and-crime-victim-rights/</w:t>
        </w:r>
      </w:hyperlink>
      <w:r w:rsidRPr="003C1643">
        <w:rPr>
          <w:rStyle w:val="markedcontent"/>
          <w:rFonts w:ascii="Times New Roman" w:hAnsi="Times New Roman"/>
          <w:sz w:val="24"/>
          <w:szCs w:val="24"/>
        </w:rPr>
        <w:t xml:space="preserve"> . </w:t>
      </w:r>
    </w:p>
    <w:p w14:paraId="13A7E997" w14:textId="77777777" w:rsidR="0012739E" w:rsidRPr="003C1643" w:rsidRDefault="0012739E" w:rsidP="0012739E">
      <w:pPr>
        <w:pStyle w:val="NoSpacing"/>
        <w:ind w:left="720"/>
        <w:rPr>
          <w:rStyle w:val="markedcontent"/>
          <w:rFonts w:ascii="Times New Roman" w:hAnsi="Times New Roman"/>
          <w:sz w:val="24"/>
          <w:szCs w:val="24"/>
        </w:rPr>
      </w:pPr>
    </w:p>
    <w:p w14:paraId="31009E85" w14:textId="77777777" w:rsidR="0012739E" w:rsidRDefault="0012739E" w:rsidP="000C4DF5">
      <w:pPr>
        <w:pStyle w:val="NoSpacing"/>
        <w:rPr>
          <w:rFonts w:ascii="Arial Black" w:hAnsi="Arial Black"/>
          <w:sz w:val="24"/>
          <w:szCs w:val="24"/>
        </w:rPr>
      </w:pPr>
    </w:p>
    <w:p w14:paraId="60092C3A" w14:textId="77777777" w:rsidR="006A02A4" w:rsidRDefault="006A02A4" w:rsidP="000C4DF5">
      <w:pPr>
        <w:pStyle w:val="NoSpacing"/>
        <w:rPr>
          <w:rFonts w:ascii="Arial Black" w:hAnsi="Arial Black"/>
          <w:sz w:val="24"/>
          <w:szCs w:val="24"/>
        </w:rPr>
      </w:pPr>
    </w:p>
    <w:p w14:paraId="251D368F" w14:textId="77777777" w:rsidR="006A02A4" w:rsidRDefault="006A02A4" w:rsidP="000C4DF5">
      <w:pPr>
        <w:pStyle w:val="NoSpacing"/>
        <w:rPr>
          <w:rFonts w:ascii="Arial Black" w:hAnsi="Arial Black"/>
          <w:sz w:val="24"/>
          <w:szCs w:val="24"/>
        </w:rPr>
      </w:pPr>
    </w:p>
    <w:p w14:paraId="5CEA81E4" w14:textId="5AF28676" w:rsidR="00804F3A" w:rsidRDefault="00804F3A" w:rsidP="000C4DF5">
      <w:pPr>
        <w:pStyle w:val="NoSpacing"/>
        <w:rPr>
          <w:rFonts w:ascii="Arial Black" w:hAnsi="Arial Black"/>
          <w:sz w:val="24"/>
          <w:szCs w:val="24"/>
        </w:rPr>
      </w:pPr>
      <w:r>
        <w:rPr>
          <w:rFonts w:ascii="Arial Black" w:hAnsi="Arial Black"/>
          <w:sz w:val="24"/>
          <w:szCs w:val="24"/>
        </w:rPr>
        <w:t>18-2</w:t>
      </w:r>
      <w:r w:rsidR="00465DC0">
        <w:rPr>
          <w:rFonts w:ascii="Arial Black" w:hAnsi="Arial Black"/>
          <w:sz w:val="24"/>
          <w:szCs w:val="24"/>
        </w:rPr>
        <w:t>1</w:t>
      </w:r>
    </w:p>
    <w:p w14:paraId="666748B9" w14:textId="77777777" w:rsidR="00804F3A" w:rsidRDefault="00804F3A" w:rsidP="00804F3A">
      <w:pPr>
        <w:pStyle w:val="NormalWeb"/>
        <w:rPr>
          <w:rStyle w:val="markedcontent"/>
          <w:rFonts w:ascii="Arial Black" w:hAnsi="Arial Black"/>
          <w:sz w:val="28"/>
          <w:szCs w:val="28"/>
        </w:rPr>
      </w:pPr>
      <w:r>
        <w:rPr>
          <w:rStyle w:val="markedcontent"/>
          <w:rFonts w:ascii="Arial Black" w:hAnsi="Arial Black"/>
          <w:sz w:val="28"/>
          <w:szCs w:val="28"/>
        </w:rPr>
        <w:t>FL: OVARIAN CANCER IN 2017 - FIVE YEARS AFTER HER RETIREMENT – NEW CANCER LAW 2019 NOT RETROACTIVE</w:t>
      </w:r>
    </w:p>
    <w:p w14:paraId="235DBC52" w14:textId="77777777" w:rsidR="00804F3A" w:rsidRDefault="00804F3A" w:rsidP="00804F3A">
      <w:pPr>
        <w:pStyle w:val="NormalWeb"/>
        <w:rPr>
          <w:rStyle w:val="markedcontent"/>
        </w:rPr>
      </w:pPr>
      <w:r>
        <w:rPr>
          <w:rStyle w:val="markedcontent"/>
        </w:rPr>
        <w:t xml:space="preserve">On Oct. 21, 2022, in </w:t>
      </w:r>
      <w:r w:rsidRPr="00AC460C">
        <w:rPr>
          <w:rStyle w:val="markedcontent"/>
        </w:rPr>
        <w:t>Kathleen Weaver v. Volusia County, Florida</w:t>
      </w:r>
      <w:r>
        <w:rPr>
          <w:rStyle w:val="markedcontent"/>
        </w:rPr>
        <w:t xml:space="preserve">, the Florida Court of Appeals, Fifth District, held (3 to 0) that the trial court properly held (3 to 0) that the new statute is not retroactive.  When she learned of her cancer in 2017 her only remedy was a workers’ comp claim, which would have required her to prove the </w:t>
      </w:r>
      <w:r>
        <w:rPr>
          <w:rStyle w:val="markedcontent"/>
        </w:rPr>
        <w:lastRenderedPageBreak/>
        <w:t xml:space="preserve">cancer was caused by her job.  She didn’t file such a claim and cannot now benefit from the new law creating a presumption that it was caused by the job.  </w:t>
      </w:r>
    </w:p>
    <w:p w14:paraId="018EC7F8" w14:textId="2B4F83A7" w:rsidR="00804F3A" w:rsidRDefault="00804F3A" w:rsidP="00FD581A">
      <w:pPr>
        <w:pStyle w:val="NoSpacing"/>
        <w:ind w:left="720"/>
        <w:rPr>
          <w:rStyle w:val="Hyperlink"/>
          <w:rFonts w:eastAsiaTheme="majorEastAsia"/>
        </w:rPr>
      </w:pPr>
      <w:r w:rsidRPr="00FD581A">
        <w:rPr>
          <w:rStyle w:val="markedcontent"/>
          <w:rFonts w:ascii="Times New Roman" w:hAnsi="Times New Roman"/>
          <w:sz w:val="24"/>
          <w:szCs w:val="24"/>
        </w:rPr>
        <w:t xml:space="preserve">“As a substantive law, section 112.1816 is presumed to apply prospectively unless the text ‘provides for retroactive application,’ and ‘such application is constitutionally permissible.’… For these reasons, we find that section 112.1816 is not retroactive and, thus, </w:t>
      </w:r>
      <w:proofErr w:type="gramStart"/>
      <w:r w:rsidRPr="00FD581A">
        <w:rPr>
          <w:rStyle w:val="markedcontent"/>
          <w:rFonts w:ascii="Times New Roman" w:hAnsi="Times New Roman"/>
          <w:sz w:val="24"/>
          <w:szCs w:val="24"/>
        </w:rPr>
        <w:t>affirm</w:t>
      </w:r>
      <w:proofErr w:type="gramEnd"/>
      <w:r w:rsidRPr="00FD581A">
        <w:rPr>
          <w:rStyle w:val="markedcontent"/>
          <w:rFonts w:ascii="Times New Roman" w:hAnsi="Times New Roman"/>
          <w:sz w:val="24"/>
          <w:szCs w:val="24"/>
        </w:rPr>
        <w:t xml:space="preserve"> </w:t>
      </w:r>
      <w:proofErr w:type="gramStart"/>
      <w:r w:rsidRPr="00FD581A">
        <w:rPr>
          <w:rStyle w:val="markedcontent"/>
          <w:rFonts w:ascii="Times New Roman" w:hAnsi="Times New Roman"/>
          <w:sz w:val="24"/>
          <w:szCs w:val="24"/>
        </w:rPr>
        <w:t>the trial</w:t>
      </w:r>
      <w:proofErr w:type="gramEnd"/>
      <w:r w:rsidRPr="00FD581A">
        <w:rPr>
          <w:rStyle w:val="markedcontent"/>
          <w:rFonts w:ascii="Times New Roman" w:hAnsi="Times New Roman"/>
          <w:sz w:val="24"/>
          <w:szCs w:val="24"/>
        </w:rPr>
        <w:t xml:space="preserve"> court’s order granting the County summary </w:t>
      </w:r>
      <w:proofErr w:type="gramStart"/>
      <w:r w:rsidRPr="00FD581A">
        <w:rPr>
          <w:rStyle w:val="markedcontent"/>
          <w:rFonts w:ascii="Times New Roman" w:hAnsi="Times New Roman"/>
          <w:sz w:val="24"/>
          <w:szCs w:val="24"/>
        </w:rPr>
        <w:t>judgment.”</w:t>
      </w:r>
      <w:proofErr w:type="gramEnd"/>
      <w:r>
        <w:rPr>
          <w:rStyle w:val="markedcontent"/>
        </w:rPr>
        <w:t xml:space="preserve"> </w:t>
      </w:r>
      <w:hyperlink r:id="rId2942" w:history="1">
        <w:r w:rsidRPr="007662E8">
          <w:rPr>
            <w:rStyle w:val="Hyperlink"/>
            <w:rFonts w:eastAsiaTheme="majorEastAsia"/>
          </w:rPr>
          <w:t>https://cases.justia.com/florida/fifth-district-court-of-appeal/2022-5d21-1620.pdf?ts=1666365198</w:t>
        </w:r>
      </w:hyperlink>
    </w:p>
    <w:p w14:paraId="247A75C9" w14:textId="09056AE0" w:rsidR="00804F3A" w:rsidRDefault="00804F3A" w:rsidP="00804F3A">
      <w:pPr>
        <w:pStyle w:val="NoSpacing"/>
        <w:rPr>
          <w:rStyle w:val="Hyperlink"/>
          <w:rFonts w:eastAsiaTheme="majorEastAsia"/>
        </w:rPr>
      </w:pPr>
    </w:p>
    <w:p w14:paraId="0639EC7B" w14:textId="77777777" w:rsidR="00804F3A" w:rsidRDefault="00804F3A" w:rsidP="00804F3A">
      <w:pPr>
        <w:pStyle w:val="NormalWeb"/>
        <w:rPr>
          <w:rStyle w:val="markedcontent"/>
          <w:b/>
          <w:bCs/>
        </w:rPr>
      </w:pPr>
      <w:r w:rsidRPr="00AC460C">
        <w:rPr>
          <w:rStyle w:val="markedcontent"/>
          <w:b/>
          <w:bCs/>
        </w:rPr>
        <w:t>Legal Lesson Learned:</w:t>
      </w:r>
      <w:r>
        <w:rPr>
          <w:rStyle w:val="markedcontent"/>
          <w:b/>
          <w:bCs/>
        </w:rPr>
        <w:t xml:space="preserve"> Firefighter cancer law very helpful; but State legislature did not make it retroactive. </w:t>
      </w:r>
    </w:p>
    <w:p w14:paraId="7C36102D" w14:textId="40741EDF" w:rsidR="00804F3A" w:rsidRDefault="00465DC0" w:rsidP="000C4DF5">
      <w:pPr>
        <w:pStyle w:val="NoSpacing"/>
        <w:rPr>
          <w:rFonts w:ascii="Arial Black" w:hAnsi="Arial Black"/>
          <w:sz w:val="24"/>
          <w:szCs w:val="24"/>
        </w:rPr>
      </w:pPr>
      <w:r>
        <w:rPr>
          <w:rFonts w:ascii="Arial Black" w:hAnsi="Arial Black"/>
          <w:sz w:val="24"/>
          <w:szCs w:val="24"/>
        </w:rPr>
        <w:t>18-20</w:t>
      </w:r>
    </w:p>
    <w:p w14:paraId="115FD39E" w14:textId="77777777" w:rsidR="00465DC0" w:rsidRPr="00BE4A62" w:rsidRDefault="00465DC0" w:rsidP="00465DC0">
      <w:pPr>
        <w:rPr>
          <w:rStyle w:val="markedcontent"/>
          <w:rFonts w:ascii="Arial Black" w:hAnsi="Arial Black"/>
          <w:b/>
          <w:bCs/>
          <w:sz w:val="28"/>
          <w:szCs w:val="28"/>
        </w:rPr>
      </w:pPr>
      <w:bookmarkStart w:id="655" w:name="_Hlk127705813"/>
      <w:r>
        <w:rPr>
          <w:rStyle w:val="markedcontent"/>
          <w:rFonts w:ascii="Arial Black" w:hAnsi="Arial Black"/>
          <w:b/>
          <w:bCs/>
          <w:sz w:val="28"/>
          <w:szCs w:val="28"/>
        </w:rPr>
        <w:t xml:space="preserve">OH: OHIO PUBLIC RECORDS ACT - DISPATCHER RESIDENCE / FAMILY INFO EXEMPTED FROM DISCLOSURE </w:t>
      </w:r>
    </w:p>
    <w:p w14:paraId="24462087" w14:textId="77777777" w:rsidR="00465DC0" w:rsidRPr="007C0020" w:rsidRDefault="00465DC0" w:rsidP="00465DC0">
      <w:pPr>
        <w:rPr>
          <w:rFonts w:ascii="Times New Roman" w:hAnsi="Times New Roman"/>
          <w:sz w:val="24"/>
          <w:szCs w:val="24"/>
        </w:rPr>
      </w:pPr>
      <w:r w:rsidRPr="007818B5">
        <w:rPr>
          <w:rFonts w:ascii="Times New Roman" w:hAnsi="Times New Roman"/>
          <w:sz w:val="24"/>
          <w:szCs w:val="24"/>
        </w:rPr>
        <w:t>On June 13, 2022, Governor Mike DeWine signed House Bill 99</w:t>
      </w:r>
      <w:r>
        <w:rPr>
          <w:rFonts w:ascii="Times New Roman" w:hAnsi="Times New Roman"/>
          <w:sz w:val="24"/>
          <w:szCs w:val="24"/>
        </w:rPr>
        <w:t xml:space="preserve">, allowing teachers to carry firearms.  In addition, the </w:t>
      </w:r>
      <w:r>
        <w:rPr>
          <w:rStyle w:val="markedcontent"/>
          <w:rFonts w:ascii="Times New Roman" w:hAnsi="Times New Roman"/>
          <w:sz w:val="24"/>
          <w:szCs w:val="24"/>
        </w:rPr>
        <w:t xml:space="preserve">Bill also expanded the list </w:t>
      </w:r>
      <w:r w:rsidRPr="00DF5D1F">
        <w:rPr>
          <w:rFonts w:ascii="Times New Roman" w:hAnsi="Times New Roman"/>
          <w:sz w:val="24"/>
          <w:szCs w:val="24"/>
        </w:rPr>
        <w:t>“public service workers</w:t>
      </w:r>
      <w:r>
        <w:rPr>
          <w:rFonts w:ascii="Times New Roman" w:hAnsi="Times New Roman"/>
          <w:sz w:val="24"/>
          <w:szCs w:val="24"/>
        </w:rPr>
        <w:t>” whose home addresses and other family information is exempt from release under Ohio Public Records law, including “t</w:t>
      </w:r>
      <w:r w:rsidRPr="007C0020">
        <w:rPr>
          <w:rFonts w:ascii="Times New Roman" w:hAnsi="Times New Roman"/>
          <w:sz w:val="24"/>
          <w:szCs w:val="24"/>
        </w:rPr>
        <w:t>he name, the residential address, the name of the employer, the address of the employer, the social security number, the residential telephone number, any bank account, debit card, charge card, or credit card number, or the emergency telephone number of the spouse, a former spouse, or any child of a designated public service worker</w:t>
      </w:r>
      <w:r>
        <w:rPr>
          <w:rFonts w:ascii="Times New Roman" w:hAnsi="Times New Roman"/>
          <w:sz w:val="24"/>
          <w:szCs w:val="24"/>
        </w:rPr>
        <w:t>.  Ohio Revised Code 149.43(A)(8)(f).</w:t>
      </w:r>
    </w:p>
    <w:p w14:paraId="315AA380" w14:textId="77777777" w:rsidR="00465DC0" w:rsidRDefault="00465DC0" w:rsidP="00465DC0">
      <w:pPr>
        <w:ind w:left="720"/>
        <w:rPr>
          <w:rFonts w:ascii="Times New Roman" w:hAnsi="Times New Roman"/>
          <w:sz w:val="24"/>
          <w:szCs w:val="24"/>
        </w:rPr>
      </w:pPr>
      <w:r w:rsidRPr="00DF5D1F">
        <w:rPr>
          <w:rFonts w:ascii="Times New Roman" w:hAnsi="Times New Roman"/>
          <w:sz w:val="24"/>
          <w:szCs w:val="24"/>
        </w:rPr>
        <w:t>The exemption now includes dispatchers (“emergency service telecommunicators”) and Ohio National Guard members, protective services workers, forensic mental health providers, mental health evaluation providers, and regional psychiatric hospital employees.</w:t>
      </w:r>
      <w:r>
        <w:rPr>
          <w:rFonts w:ascii="Times New Roman" w:hAnsi="Times New Roman"/>
          <w:sz w:val="24"/>
          <w:szCs w:val="24"/>
        </w:rPr>
        <w:t xml:space="preserve"> See Ohio Revised Code 149.43(A)(7):  </w:t>
      </w:r>
    </w:p>
    <w:p w14:paraId="7D3F31C6" w14:textId="77777777" w:rsidR="00465DC0" w:rsidRDefault="00465DC0" w:rsidP="00465DC0">
      <w:pPr>
        <w:ind w:left="1440"/>
        <w:rPr>
          <w:rFonts w:ascii="Times New Roman" w:hAnsi="Times New Roman"/>
          <w:sz w:val="24"/>
          <w:szCs w:val="24"/>
        </w:rPr>
      </w:pPr>
      <w:r w:rsidRPr="007C0020">
        <w:rPr>
          <w:rFonts w:ascii="Times New Roman" w:hAnsi="Times New Roman"/>
          <w:sz w:val="24"/>
          <w:szCs w:val="24"/>
        </w:rPr>
        <w:t>(7) "Designated public service worker" means a peace officer, parole officer, probation officer, bailiff, prosecuting attorney, assistant prosecuting attorney, correctional employee, county or multicounty corrections officer, community-based correctional facility employee, designated Ohio national guard member, protective services worker, youth services employee, firefighter, EMT, medical director or member of a cooperating physician advisory board of an emergency medical service organization, state board of pharmacy employee, investigator of the bureau of criminal identification and investigation, emergency service telecommunicator, forensic mental health provider, mental health evaluation provider, regional psychiatric hospital employee, judge, magistrate, or federal law enforcement officer.</w:t>
      </w:r>
      <w:r>
        <w:rPr>
          <w:rFonts w:ascii="Times New Roman" w:hAnsi="Times New Roman"/>
          <w:sz w:val="24"/>
          <w:szCs w:val="24"/>
        </w:rPr>
        <w:t xml:space="preserve"> </w:t>
      </w:r>
      <w:hyperlink r:id="rId2943" w:history="1">
        <w:r w:rsidRPr="006169C4">
          <w:rPr>
            <w:rStyle w:val="Hyperlink"/>
            <w:rFonts w:ascii="Times New Roman" w:hAnsi="Times New Roman"/>
            <w:sz w:val="24"/>
            <w:szCs w:val="24"/>
          </w:rPr>
          <w:t>https://codes.ohio.gov/ohio-revised-code/section-149.43</w:t>
        </w:r>
      </w:hyperlink>
      <w:r>
        <w:rPr>
          <w:rFonts w:ascii="Times New Roman" w:hAnsi="Times New Roman"/>
          <w:sz w:val="24"/>
          <w:szCs w:val="24"/>
        </w:rPr>
        <w:t xml:space="preserve"> </w:t>
      </w:r>
    </w:p>
    <w:p w14:paraId="7C6575AF" w14:textId="77777777" w:rsidR="00465DC0" w:rsidRPr="00E17E11" w:rsidRDefault="00465DC0" w:rsidP="00465DC0">
      <w:pPr>
        <w:rPr>
          <w:rFonts w:ascii="Times New Roman" w:hAnsi="Times New Roman"/>
          <w:b/>
          <w:bCs/>
          <w:sz w:val="24"/>
          <w:szCs w:val="24"/>
        </w:rPr>
      </w:pPr>
      <w:r w:rsidRPr="00E17E11">
        <w:rPr>
          <w:rFonts w:ascii="Times New Roman" w:hAnsi="Times New Roman"/>
          <w:b/>
          <w:bCs/>
          <w:sz w:val="24"/>
          <w:szCs w:val="24"/>
        </w:rPr>
        <w:t xml:space="preserve">Legal Lesson Learned: </w:t>
      </w:r>
      <w:r>
        <w:rPr>
          <w:rFonts w:ascii="Times New Roman" w:hAnsi="Times New Roman"/>
          <w:b/>
          <w:bCs/>
          <w:sz w:val="24"/>
          <w:szCs w:val="24"/>
        </w:rPr>
        <w:t xml:space="preserve">Ohio 911 Communication Centers should educate their staff on this new law. </w:t>
      </w:r>
    </w:p>
    <w:p w14:paraId="5B60A50C" w14:textId="77777777" w:rsidR="00465DC0" w:rsidRPr="00DF5D1F" w:rsidRDefault="00465DC0" w:rsidP="00465DC0">
      <w:pPr>
        <w:ind w:left="720"/>
        <w:rPr>
          <w:b/>
          <w:bCs/>
          <w:sz w:val="24"/>
          <w:szCs w:val="24"/>
        </w:rPr>
      </w:pPr>
      <w:r>
        <w:rPr>
          <w:rFonts w:ascii="Times New Roman" w:hAnsi="Times New Roman"/>
          <w:sz w:val="24"/>
          <w:szCs w:val="24"/>
        </w:rPr>
        <w:t xml:space="preserve">Note: See this article on the Bill. </w:t>
      </w:r>
      <w:hyperlink r:id="rId2944" w:history="1">
        <w:r w:rsidRPr="00B71FA0">
          <w:rPr>
            <w:rStyle w:val="Hyperlink"/>
            <w:rFonts w:ascii="Times New Roman" w:hAnsi="Times New Roman"/>
            <w:sz w:val="24"/>
            <w:szCs w:val="24"/>
          </w:rPr>
          <w:t>https://fisheldowney.com/new-changes-ohios-public-records-law-new-changes-ohios-public-records-law/</w:t>
        </w:r>
      </w:hyperlink>
      <w:r w:rsidRPr="00DF5D1F">
        <w:rPr>
          <w:rFonts w:ascii="Times New Roman" w:hAnsi="Times New Roman"/>
          <w:sz w:val="24"/>
          <w:szCs w:val="24"/>
        </w:rPr>
        <w:t xml:space="preserve"> </w:t>
      </w:r>
    </w:p>
    <w:p w14:paraId="25A89B8C" w14:textId="77777777" w:rsidR="00465DC0" w:rsidRDefault="00465DC0" w:rsidP="00465DC0">
      <w:pPr>
        <w:pStyle w:val="NormalWeb"/>
        <w:rPr>
          <w:b/>
          <w:bCs/>
        </w:rPr>
      </w:pPr>
    </w:p>
    <w:bookmarkEnd w:id="655"/>
    <w:p w14:paraId="41D1315F" w14:textId="77777777" w:rsidR="00465DC0" w:rsidRDefault="00465DC0" w:rsidP="000C4DF5">
      <w:pPr>
        <w:pStyle w:val="NoSpacing"/>
        <w:rPr>
          <w:rFonts w:ascii="Arial Black" w:hAnsi="Arial Black"/>
          <w:sz w:val="24"/>
          <w:szCs w:val="24"/>
        </w:rPr>
      </w:pPr>
    </w:p>
    <w:p w14:paraId="4E8A7C9D" w14:textId="77777777" w:rsidR="00804F3A" w:rsidRDefault="00804F3A" w:rsidP="000C4DF5">
      <w:pPr>
        <w:pStyle w:val="NoSpacing"/>
        <w:rPr>
          <w:rFonts w:ascii="Arial Black" w:hAnsi="Arial Black"/>
          <w:sz w:val="24"/>
          <w:szCs w:val="24"/>
        </w:rPr>
      </w:pPr>
    </w:p>
    <w:p w14:paraId="320C18F3" w14:textId="2B85FEBE" w:rsidR="00644810" w:rsidRDefault="00B73B03" w:rsidP="000C4DF5">
      <w:pPr>
        <w:pStyle w:val="NoSpacing"/>
        <w:rPr>
          <w:rFonts w:ascii="Arial Black" w:hAnsi="Arial Black"/>
          <w:sz w:val="24"/>
          <w:szCs w:val="24"/>
        </w:rPr>
      </w:pPr>
      <w:r>
        <w:rPr>
          <w:rFonts w:ascii="Arial Black" w:hAnsi="Arial Black"/>
          <w:sz w:val="24"/>
          <w:szCs w:val="24"/>
        </w:rPr>
        <w:t>18-19 [also filed, Chap. 7]</w:t>
      </w:r>
    </w:p>
    <w:p w14:paraId="421E4C14" w14:textId="77777777" w:rsidR="00B73B03" w:rsidRPr="00D61E07" w:rsidRDefault="00B73B03" w:rsidP="00B73B03">
      <w:pPr>
        <w:pStyle w:val="Heading1"/>
        <w:rPr>
          <w:rFonts w:ascii="Arial Black" w:hAnsi="Arial Black"/>
          <w:sz w:val="28"/>
          <w:szCs w:val="28"/>
        </w:rPr>
      </w:pPr>
      <w:r>
        <w:rPr>
          <w:rFonts w:ascii="Arial Black" w:hAnsi="Arial Black"/>
          <w:sz w:val="28"/>
          <w:szCs w:val="28"/>
        </w:rPr>
        <w:t>DC: SEXUAL HARASSMENT OR ASSAULT – NEW FEDERAL LAW - INVALID EMPLOYEE MANDATORY ARBITRATIONS</w:t>
      </w:r>
    </w:p>
    <w:p w14:paraId="1F597914" w14:textId="77777777" w:rsidR="00B73B03" w:rsidRPr="00D61E07" w:rsidRDefault="00B73B03" w:rsidP="00B73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Pr>
          <w:rFonts w:ascii="Times New Roman" w:eastAsia="Times New Roman" w:hAnsi="Times New Roman"/>
          <w:sz w:val="24"/>
          <w:szCs w:val="24"/>
        </w:rPr>
        <w:t>On March 3, 2022, President Biden signed into law the “</w:t>
      </w:r>
      <w:r w:rsidRPr="00D61E07">
        <w:rPr>
          <w:rFonts w:ascii="Times New Roman" w:hAnsi="Times New Roman"/>
          <w:sz w:val="24"/>
          <w:szCs w:val="24"/>
        </w:rPr>
        <w:t>Ending Forced Arbitration of Sexual Assault and Sexual Harassment Act</w:t>
      </w:r>
      <w:r>
        <w:rPr>
          <w:rFonts w:ascii="Times New Roman" w:hAnsi="Times New Roman"/>
          <w:sz w:val="24"/>
          <w:szCs w:val="24"/>
        </w:rPr>
        <w:t xml:space="preserve">.”  The law amends the Federal Arbitration Act to prohibit mandatory arbitration of sexual harassment and sexual assault claims in arbitration agreements. </w:t>
      </w:r>
      <w:hyperlink r:id="rId2945" w:history="1">
        <w:r w:rsidRPr="005A2A16">
          <w:rPr>
            <w:rStyle w:val="Hyperlink"/>
            <w:rFonts w:ascii="Times New Roman" w:eastAsia="Times New Roman" w:hAnsi="Times New Roman"/>
            <w:sz w:val="24"/>
            <w:szCs w:val="24"/>
          </w:rPr>
          <w:t>https://www.congress.gov/bill/117th-congress/house-bill/4445/text</w:t>
        </w:r>
      </w:hyperlink>
    </w:p>
    <w:p w14:paraId="4686B7A0" w14:textId="77777777" w:rsidR="00B73B03" w:rsidRPr="00AD3667" w:rsidRDefault="00B73B03" w:rsidP="00B73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bCs/>
          <w:sz w:val="24"/>
          <w:szCs w:val="24"/>
        </w:rPr>
      </w:pPr>
    </w:p>
    <w:p w14:paraId="393F5A47" w14:textId="77777777" w:rsidR="00B73B03" w:rsidRPr="00BC5C71" w:rsidRDefault="00B73B03" w:rsidP="00B73B03">
      <w:pPr>
        <w:pStyle w:val="ListParagraph"/>
        <w:numPr>
          <w:ilvl w:val="0"/>
          <w:numId w:val="15"/>
        </w:numPr>
        <w:tabs>
          <w:tab w:val="left" w:pos="916"/>
          <w:tab w:val="left" w:pos="99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BC5C71">
        <w:rPr>
          <w:rFonts w:ascii="Times New Roman" w:eastAsia="Times New Roman" w:hAnsi="Times New Roman" w:cs="Times New Roman"/>
          <w:sz w:val="24"/>
          <w:szCs w:val="24"/>
        </w:rPr>
        <w:t xml:space="preserve">In General - Notwithstanding any other provision of this title, at the election of the person alleging conduct constituting a sexual harassment dispute or sexual assault dispute, or the named representative of a class or in a collective action alleging such conduct, no </w:t>
      </w:r>
      <w:proofErr w:type="spellStart"/>
      <w:r w:rsidRPr="00BC5C71">
        <w:rPr>
          <w:rFonts w:ascii="Times New Roman" w:eastAsia="Times New Roman" w:hAnsi="Times New Roman" w:cs="Times New Roman"/>
          <w:sz w:val="24"/>
          <w:szCs w:val="24"/>
        </w:rPr>
        <w:t>predispute</w:t>
      </w:r>
      <w:proofErr w:type="spellEnd"/>
      <w:r w:rsidRPr="00BC5C71">
        <w:rPr>
          <w:rFonts w:ascii="Times New Roman" w:eastAsia="Times New Roman" w:hAnsi="Times New Roman" w:cs="Times New Roman"/>
          <w:sz w:val="24"/>
          <w:szCs w:val="24"/>
        </w:rPr>
        <w:t xml:space="preserve"> arbitration agreement or </w:t>
      </w:r>
      <w:proofErr w:type="spellStart"/>
      <w:r w:rsidRPr="00BC5C71">
        <w:rPr>
          <w:rFonts w:ascii="Times New Roman" w:eastAsia="Times New Roman" w:hAnsi="Times New Roman" w:cs="Times New Roman"/>
          <w:sz w:val="24"/>
          <w:szCs w:val="24"/>
        </w:rPr>
        <w:t>predispute</w:t>
      </w:r>
      <w:proofErr w:type="spellEnd"/>
      <w:r w:rsidRPr="00BC5C71">
        <w:rPr>
          <w:rFonts w:ascii="Times New Roman" w:eastAsia="Times New Roman" w:hAnsi="Times New Roman" w:cs="Times New Roman"/>
          <w:sz w:val="24"/>
          <w:szCs w:val="24"/>
        </w:rPr>
        <w:t xml:space="preserve"> joint-action waiver shall be valid or enforceable with respect to a case which is filed under Federal, Tribal, or State law and relates to the sexual assault dispute or the sexual harassment dispute.</w:t>
      </w:r>
    </w:p>
    <w:p w14:paraId="4E7737E0" w14:textId="77777777" w:rsidR="00B73B03" w:rsidRDefault="00B73B03" w:rsidP="00B73B03">
      <w:pPr>
        <w:pStyle w:val="HTMLPreformatted"/>
        <w:jc w:val="both"/>
        <w:rPr>
          <w:rFonts w:ascii="Times New Roman" w:hAnsi="Times New Roman" w:cs="Times New Roman"/>
          <w:sz w:val="24"/>
          <w:szCs w:val="24"/>
        </w:rPr>
      </w:pPr>
    </w:p>
    <w:p w14:paraId="4EA75D4C" w14:textId="77777777" w:rsidR="00B73B03" w:rsidRPr="002D6970" w:rsidRDefault="00B73B03" w:rsidP="00B73B03">
      <w:pPr>
        <w:pStyle w:val="HTMLPreformatted"/>
        <w:numPr>
          <w:ilvl w:val="0"/>
          <w:numId w:val="15"/>
        </w:numPr>
        <w:jc w:val="both"/>
        <w:rPr>
          <w:rFonts w:ascii="Times New Roman" w:hAnsi="Times New Roman" w:cs="Times New Roman"/>
          <w:sz w:val="24"/>
          <w:szCs w:val="24"/>
        </w:rPr>
      </w:pPr>
      <w:r w:rsidRPr="002D6970">
        <w:rPr>
          <w:rFonts w:ascii="Times New Roman" w:hAnsi="Times New Roman" w:cs="Times New Roman"/>
          <w:sz w:val="24"/>
          <w:szCs w:val="24"/>
        </w:rPr>
        <w:t>Determination of Applicability. An issue as to whether this chapter applies with respect to a dispute shall be determined under Federal law. The applicability of this chapter to an agreement to arbitrate and the validity and enforceability of an agreement to which this chapter applies shall be determined by a court, rather than an arbitrator, irrespective of whether the party resisting arbitration challenges the arbitration agreement specifically or in conjunction with other terms of the contract containing such agreement, and irrespective of whether the agreement purports to delegate such determinations to an arbitrator.''</w:t>
      </w:r>
    </w:p>
    <w:p w14:paraId="05B30D0C" w14:textId="77777777" w:rsidR="00B73B03" w:rsidRPr="00D61E07" w:rsidRDefault="00B73B03" w:rsidP="00B73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eastAsia="Times New Roman" w:hAnsi="Times New Roman"/>
          <w:sz w:val="24"/>
          <w:szCs w:val="24"/>
        </w:rPr>
      </w:pPr>
      <w:hyperlink r:id="rId2946" w:history="1">
        <w:r w:rsidRPr="005A2A16">
          <w:rPr>
            <w:rStyle w:val="Hyperlink"/>
            <w:rFonts w:ascii="Times New Roman" w:eastAsia="Times New Roman" w:hAnsi="Times New Roman"/>
            <w:sz w:val="24"/>
            <w:szCs w:val="24"/>
          </w:rPr>
          <w:t>https://www.congress.gov/bill/117th-congress/house-bill/4445/text</w:t>
        </w:r>
      </w:hyperlink>
    </w:p>
    <w:p w14:paraId="41083012" w14:textId="77777777" w:rsidR="00B73B03" w:rsidRDefault="00B73B03" w:rsidP="00B73B03">
      <w:pPr>
        <w:pStyle w:val="Heading1"/>
        <w:rPr>
          <w:sz w:val="24"/>
          <w:szCs w:val="24"/>
        </w:rPr>
      </w:pPr>
      <w:r w:rsidRPr="002D6970">
        <w:rPr>
          <w:sz w:val="24"/>
          <w:szCs w:val="24"/>
        </w:rPr>
        <w:t xml:space="preserve">Legal Lesson Learned: </w:t>
      </w:r>
      <w:r>
        <w:rPr>
          <w:sz w:val="24"/>
          <w:szCs w:val="24"/>
        </w:rPr>
        <w:t xml:space="preserve">Fire &amp; EMS departments should review their Employee Handbooks and other documents and remove any provision requiring arbitration for claims of sexual harassment or sexual assault. </w:t>
      </w:r>
    </w:p>
    <w:p w14:paraId="663EE00E" w14:textId="2493E0DD" w:rsidR="00B73B03" w:rsidRPr="00B73B03" w:rsidRDefault="00B73B03" w:rsidP="00465DC0">
      <w:pPr>
        <w:pStyle w:val="Heading1"/>
        <w:ind w:left="720"/>
        <w:rPr>
          <w:b w:val="0"/>
          <w:bCs w:val="0"/>
          <w:i/>
          <w:iCs/>
          <w:sz w:val="24"/>
          <w:szCs w:val="24"/>
        </w:rPr>
      </w:pPr>
      <w:r>
        <w:rPr>
          <w:b w:val="0"/>
          <w:bCs w:val="0"/>
          <w:sz w:val="24"/>
          <w:szCs w:val="24"/>
        </w:rPr>
        <w:t xml:space="preserve">Note:  </w:t>
      </w:r>
      <w:r w:rsidRPr="00B73B03">
        <w:rPr>
          <w:b w:val="0"/>
          <w:bCs w:val="0"/>
          <w:sz w:val="24"/>
          <w:szCs w:val="24"/>
        </w:rPr>
        <w:t xml:space="preserve">March 28, 2022: “Moving Away from Mandatory Arbitration Over Sexual Assault and Harassment Claims.” </w:t>
      </w:r>
      <w:hyperlink r:id="rId2947" w:history="1">
        <w:r w:rsidRPr="00B73B03">
          <w:rPr>
            <w:rStyle w:val="Hyperlink"/>
            <w:b w:val="0"/>
            <w:bCs w:val="0"/>
            <w:sz w:val="24"/>
            <w:szCs w:val="24"/>
          </w:rPr>
          <w:t>https://fisheldowney.com/moving-away-mandatory-arbitration-sexual-assault-harassment-claims/</w:t>
        </w:r>
      </w:hyperlink>
      <w:r w:rsidRPr="00B73B03">
        <w:rPr>
          <w:b w:val="0"/>
          <w:bCs w:val="0"/>
          <w:sz w:val="24"/>
          <w:szCs w:val="24"/>
        </w:rPr>
        <w:t xml:space="preserve"> </w:t>
      </w:r>
    </w:p>
    <w:p w14:paraId="1526613D" w14:textId="77777777" w:rsidR="00B73B03" w:rsidRPr="00AD3667" w:rsidRDefault="00B73B03" w:rsidP="00B73B03">
      <w:pPr>
        <w:pStyle w:val="Heading1"/>
        <w:ind w:left="1440"/>
        <w:rPr>
          <w:b w:val="0"/>
          <w:bCs w:val="0"/>
          <w:sz w:val="24"/>
          <w:szCs w:val="24"/>
        </w:rPr>
      </w:pPr>
      <w:r>
        <w:rPr>
          <w:b w:val="0"/>
          <w:bCs w:val="0"/>
          <w:sz w:val="24"/>
          <w:szCs w:val="24"/>
        </w:rPr>
        <w:t>“</w:t>
      </w:r>
      <w:r w:rsidRPr="00AD3667">
        <w:rPr>
          <w:b w:val="0"/>
          <w:bCs w:val="0"/>
          <w:sz w:val="24"/>
          <w:szCs w:val="24"/>
        </w:rPr>
        <w:t xml:space="preserve">Given these changes to the FAA, it is critical for employers to review their arbitration agreements and remove any language indicating sexual assault or harassment claims must be arbitrated. The existence of such provisions could invalidate the agreement </w:t>
      </w:r>
      <w:proofErr w:type="gramStart"/>
      <w:r w:rsidRPr="00AD3667">
        <w:rPr>
          <w:b w:val="0"/>
          <w:bCs w:val="0"/>
          <w:sz w:val="24"/>
          <w:szCs w:val="24"/>
        </w:rPr>
        <w:t>in whole</w:t>
      </w:r>
      <w:proofErr w:type="gramEnd"/>
      <w:r w:rsidRPr="00AD3667">
        <w:rPr>
          <w:b w:val="0"/>
          <w:bCs w:val="0"/>
          <w:sz w:val="24"/>
          <w:szCs w:val="24"/>
        </w:rPr>
        <w:t xml:space="preserve"> or in part. In addition to revising the arbitration agreement provisions in the employee handbook or collective bargaining agreement, employers should also tighten their procedures and requirements for investigating and reporting sexual harassment and assault to avoid liability. In terms of reporting procedures, employers should have clearly defined persons of contact for reporting.</w:t>
      </w:r>
      <w:r>
        <w:rPr>
          <w:b w:val="0"/>
          <w:bCs w:val="0"/>
          <w:sz w:val="24"/>
          <w:szCs w:val="24"/>
        </w:rPr>
        <w:t>”</w:t>
      </w:r>
    </w:p>
    <w:p w14:paraId="7C6D2711" w14:textId="77777777" w:rsidR="00B73B03" w:rsidRDefault="00B73B03" w:rsidP="00B73B03">
      <w:pPr>
        <w:pStyle w:val="Heading1"/>
        <w:ind w:left="720"/>
        <w:rPr>
          <w:b w:val="0"/>
          <w:bCs w:val="0"/>
          <w:sz w:val="24"/>
          <w:szCs w:val="24"/>
        </w:rPr>
      </w:pPr>
      <w:r w:rsidRPr="002D6970">
        <w:rPr>
          <w:b w:val="0"/>
          <w:bCs w:val="0"/>
          <w:sz w:val="24"/>
          <w:szCs w:val="24"/>
        </w:rPr>
        <w:t xml:space="preserve">March 3, 2022: “Biden signs bill to end forced arbitration in sexual harassment, assault cases.” </w:t>
      </w:r>
      <w:hyperlink r:id="rId2948" w:history="1">
        <w:r w:rsidRPr="005A2A16">
          <w:rPr>
            <w:rStyle w:val="Hyperlink"/>
            <w:rFonts w:eastAsiaTheme="majorEastAsia"/>
            <w:b w:val="0"/>
            <w:bCs w:val="0"/>
            <w:sz w:val="24"/>
            <w:szCs w:val="24"/>
          </w:rPr>
          <w:t>https://www.kktv.com/2022/03/03/biden-sign-bill-ending-forced-arbitration-sexual-harassment-assault-cases/</w:t>
        </w:r>
      </w:hyperlink>
    </w:p>
    <w:p w14:paraId="0280A314" w14:textId="77777777" w:rsidR="00B73B03" w:rsidRPr="002D6970" w:rsidRDefault="00B73B03" w:rsidP="00B73B03">
      <w:pPr>
        <w:pStyle w:val="Heading1"/>
        <w:ind w:left="1440"/>
        <w:rPr>
          <w:b w:val="0"/>
          <w:bCs w:val="0"/>
          <w:sz w:val="24"/>
          <w:szCs w:val="24"/>
        </w:rPr>
      </w:pPr>
      <w:r w:rsidRPr="00E42A32">
        <w:rPr>
          <w:b w:val="0"/>
          <w:bCs w:val="0"/>
          <w:sz w:val="24"/>
          <w:szCs w:val="24"/>
        </w:rPr>
        <w:t xml:space="preserve">The law is retroactive, freeing individuals who have been bound by </w:t>
      </w:r>
      <w:proofErr w:type="gramStart"/>
      <w:r w:rsidRPr="00E42A32">
        <w:rPr>
          <w:b w:val="0"/>
          <w:bCs w:val="0"/>
          <w:sz w:val="24"/>
          <w:szCs w:val="24"/>
        </w:rPr>
        <w:t>arbitration language</w:t>
      </w:r>
      <w:proofErr w:type="gramEnd"/>
      <w:r w:rsidRPr="00E42A32">
        <w:rPr>
          <w:b w:val="0"/>
          <w:bCs w:val="0"/>
          <w:sz w:val="24"/>
          <w:szCs w:val="24"/>
        </w:rPr>
        <w:t xml:space="preserve"> to pursue legal action against their harassers.</w:t>
      </w:r>
      <w:r>
        <w:rPr>
          <w:b w:val="0"/>
          <w:bCs w:val="0"/>
          <w:sz w:val="24"/>
          <w:szCs w:val="24"/>
        </w:rPr>
        <w:t xml:space="preserve"> </w:t>
      </w:r>
    </w:p>
    <w:p w14:paraId="4F3940D1" w14:textId="1BFCD8F6" w:rsidR="00B73B03" w:rsidRDefault="00B73B03" w:rsidP="00B73B03">
      <w:pPr>
        <w:pStyle w:val="NoSpacing"/>
        <w:rPr>
          <w:rFonts w:ascii="Arial Black" w:hAnsi="Arial Black"/>
          <w:sz w:val="24"/>
          <w:szCs w:val="24"/>
        </w:rPr>
      </w:pPr>
      <w:r>
        <w:rPr>
          <w:sz w:val="24"/>
          <w:szCs w:val="24"/>
        </w:rPr>
        <w:lastRenderedPageBreak/>
        <w:t>March 1, 2022: “</w:t>
      </w:r>
      <w:r w:rsidRPr="00E42A32">
        <w:rPr>
          <w:sz w:val="24"/>
          <w:szCs w:val="24"/>
        </w:rPr>
        <w:t xml:space="preserve">Congress Votes </w:t>
      </w:r>
      <w:proofErr w:type="gramStart"/>
      <w:r w:rsidRPr="00E42A32">
        <w:rPr>
          <w:sz w:val="24"/>
          <w:szCs w:val="24"/>
        </w:rPr>
        <w:t>To</w:t>
      </w:r>
      <w:proofErr w:type="gramEnd"/>
      <w:r w:rsidRPr="00E42A32">
        <w:rPr>
          <w:sz w:val="24"/>
          <w:szCs w:val="24"/>
        </w:rPr>
        <w:t xml:space="preserve"> End Mandatory Arbitration </w:t>
      </w:r>
      <w:proofErr w:type="gramStart"/>
      <w:r w:rsidRPr="00E42A32">
        <w:rPr>
          <w:sz w:val="24"/>
          <w:szCs w:val="24"/>
        </w:rPr>
        <w:t>Of</w:t>
      </w:r>
      <w:proofErr w:type="gramEnd"/>
      <w:r w:rsidRPr="00E42A32">
        <w:rPr>
          <w:sz w:val="24"/>
          <w:szCs w:val="24"/>
        </w:rPr>
        <w:t xml:space="preserve"> Sexual Assault </w:t>
      </w:r>
      <w:proofErr w:type="gramStart"/>
      <w:r w:rsidRPr="00E42A32">
        <w:rPr>
          <w:sz w:val="24"/>
          <w:szCs w:val="24"/>
        </w:rPr>
        <w:t>And</w:t>
      </w:r>
      <w:proofErr w:type="gramEnd"/>
      <w:r w:rsidRPr="00E42A32">
        <w:rPr>
          <w:sz w:val="24"/>
          <w:szCs w:val="24"/>
        </w:rPr>
        <w:t xml:space="preserve"> Sexual Harassment Claims</w:t>
      </w:r>
      <w:r>
        <w:rPr>
          <w:sz w:val="24"/>
          <w:szCs w:val="24"/>
        </w:rPr>
        <w:t xml:space="preserve">.: </w:t>
      </w:r>
      <w:hyperlink r:id="rId2949" w:history="1">
        <w:r w:rsidRPr="005A2A16">
          <w:rPr>
            <w:rStyle w:val="Hyperlink"/>
            <w:rFonts w:eastAsiaTheme="majorEastAsia"/>
            <w:sz w:val="24"/>
            <w:szCs w:val="24"/>
          </w:rPr>
          <w:t>https://www.natlawreview.com/article/congress-votes-to-end-mandatory-arbitration-sexual-assault-and-sexual-harassment</w:t>
        </w:r>
      </w:hyperlink>
    </w:p>
    <w:p w14:paraId="3FC99BC0" w14:textId="77777777" w:rsidR="00B73B03" w:rsidRDefault="00B73B03" w:rsidP="000C4DF5">
      <w:pPr>
        <w:pStyle w:val="NoSpacing"/>
        <w:rPr>
          <w:rFonts w:ascii="Arial Black" w:hAnsi="Arial Black"/>
          <w:sz w:val="24"/>
          <w:szCs w:val="24"/>
        </w:rPr>
      </w:pPr>
    </w:p>
    <w:p w14:paraId="37511724" w14:textId="77777777" w:rsidR="00B73B03" w:rsidRDefault="00B73B03" w:rsidP="000C4DF5">
      <w:pPr>
        <w:pStyle w:val="NoSpacing"/>
        <w:rPr>
          <w:rFonts w:ascii="Arial Black" w:hAnsi="Arial Black"/>
          <w:sz w:val="24"/>
          <w:szCs w:val="24"/>
        </w:rPr>
      </w:pPr>
    </w:p>
    <w:p w14:paraId="6AC1F989" w14:textId="3468E620" w:rsidR="00644810" w:rsidRDefault="00644810" w:rsidP="000C4DF5">
      <w:pPr>
        <w:pStyle w:val="NoSpacing"/>
        <w:rPr>
          <w:rFonts w:ascii="Arial Black" w:hAnsi="Arial Black"/>
          <w:sz w:val="24"/>
          <w:szCs w:val="24"/>
        </w:rPr>
      </w:pPr>
      <w:r>
        <w:rPr>
          <w:rFonts w:ascii="Arial Black" w:hAnsi="Arial Black"/>
          <w:sz w:val="24"/>
          <w:szCs w:val="24"/>
        </w:rPr>
        <w:t>18-18</w:t>
      </w:r>
    </w:p>
    <w:p w14:paraId="25DEB51C" w14:textId="1F357431" w:rsidR="00644810" w:rsidRDefault="00644810" w:rsidP="000C4DF5">
      <w:pPr>
        <w:pStyle w:val="NoSpacing"/>
        <w:rPr>
          <w:rFonts w:ascii="Arial Black" w:hAnsi="Arial Black"/>
          <w:sz w:val="24"/>
          <w:szCs w:val="24"/>
        </w:rPr>
      </w:pPr>
    </w:p>
    <w:p w14:paraId="6FD9BA3D" w14:textId="77777777" w:rsidR="00644810" w:rsidRPr="00F95E1F" w:rsidRDefault="00644810" w:rsidP="00644810">
      <w:pPr>
        <w:rPr>
          <w:rFonts w:ascii="Arial Black" w:hAnsi="Arial Black"/>
          <w:sz w:val="28"/>
          <w:szCs w:val="28"/>
        </w:rPr>
      </w:pPr>
      <w:r>
        <w:rPr>
          <w:rFonts w:ascii="Arial Black" w:hAnsi="Arial Black"/>
          <w:sz w:val="28"/>
          <w:szCs w:val="28"/>
        </w:rPr>
        <w:t xml:space="preserve">DC: NEW FED. LAW - DISABLED EMER. RESP. CAN GET PUB. SAFETY OFFICER BENEFITS WHILE PAID SIMPLE TASKS </w:t>
      </w:r>
    </w:p>
    <w:p w14:paraId="0ECA9699" w14:textId="77777777" w:rsidR="00644810" w:rsidRPr="00213018" w:rsidRDefault="00644810" w:rsidP="00644810">
      <w:pPr>
        <w:spacing w:after="225"/>
        <w:rPr>
          <w:rFonts w:ascii="Times New Roman" w:hAnsi="Times New Roman"/>
          <w:b/>
          <w:bCs/>
          <w:sz w:val="24"/>
          <w:szCs w:val="24"/>
        </w:rPr>
      </w:pPr>
      <w:r>
        <w:t xml:space="preserve"> </w:t>
      </w:r>
      <w:r w:rsidRPr="00213018">
        <w:rPr>
          <w:rFonts w:ascii="Times New Roman" w:hAnsi="Times New Roman"/>
          <w:sz w:val="24"/>
          <w:szCs w:val="24"/>
        </w:rPr>
        <w:t>On Dec. 4, 2021, President Biden signed into law the “P</w:t>
      </w:r>
      <w:r w:rsidRPr="00213018">
        <w:rPr>
          <w:rFonts w:ascii="Times New Roman" w:hAnsi="Times New Roman"/>
          <w:color w:val="000000"/>
          <w:sz w:val="24"/>
          <w:szCs w:val="24"/>
          <w:bdr w:val="none" w:sz="0" w:space="0" w:color="auto" w:frame="1"/>
        </w:rPr>
        <w:t xml:space="preserve">rotecting America’s First Responders Act of 2021” which assures that first responders and law enforcement have prompt access to federal benefits even if able to perform compensated work that is </w:t>
      </w:r>
      <w:r w:rsidRPr="00213018">
        <w:rPr>
          <w:rFonts w:ascii="Times New Roman" w:hAnsi="Times New Roman"/>
          <w:sz w:val="24"/>
          <w:szCs w:val="24"/>
        </w:rPr>
        <w:t xml:space="preserve">de minimis, nominal, honorary, or mere reimbursement of incidental expenses.  The two sponsors, Congressman Bill Pascrell, Jr. (D-NJ), and Senator Charles Grassley (R-IA), described the statute. </w:t>
      </w:r>
    </w:p>
    <w:p w14:paraId="60B73784" w14:textId="0D00165F" w:rsidR="00644810" w:rsidRDefault="00644810" w:rsidP="00644810">
      <w:pPr>
        <w:pStyle w:val="NoSpacing"/>
        <w:ind w:left="720"/>
        <w:rPr>
          <w:rFonts w:ascii="Arial Black" w:hAnsi="Arial Black"/>
          <w:sz w:val="24"/>
          <w:szCs w:val="24"/>
        </w:rPr>
      </w:pPr>
      <w:r w:rsidRPr="00213018">
        <w:rPr>
          <w:rFonts w:ascii="Times New Roman" w:hAnsi="Times New Roman"/>
          <w:sz w:val="24"/>
          <w:szCs w:val="24"/>
        </w:rPr>
        <w:t xml:space="preserve">“Currently, first responders permanently disabled in the line of duty are only eligible for Public Safety Officer Benefits (PSOB) if they can never again perform any compensated work. This high bar leaves behind far too many public safety officers. PAFRA corrects this by ensuring disabled first responders whose work is for therapeutic purposes, involves simple tasks, or provides special accommodations can still receive benefits. The bill also provides for retroactive disability benefits to public safety officers who responded to the September 11, </w:t>
      </w:r>
      <w:proofErr w:type="gramStart"/>
      <w:r w:rsidRPr="00213018">
        <w:rPr>
          <w:rFonts w:ascii="Times New Roman" w:hAnsi="Times New Roman"/>
          <w:sz w:val="24"/>
          <w:szCs w:val="24"/>
        </w:rPr>
        <w:t>2001</w:t>
      </w:r>
      <w:proofErr w:type="gramEnd"/>
      <w:r w:rsidRPr="00213018">
        <w:rPr>
          <w:rFonts w:ascii="Times New Roman" w:hAnsi="Times New Roman"/>
          <w:sz w:val="24"/>
          <w:szCs w:val="24"/>
        </w:rPr>
        <w:t xml:space="preserve"> terrorist attacks, allowing those first responders who became permanently disabled from their heroic work at Ground Zero to re-apply for disability benefits.” </w:t>
      </w:r>
      <w:hyperlink r:id="rId2950" w:history="1">
        <w:r w:rsidRPr="00EC5853">
          <w:rPr>
            <w:rStyle w:val="Hyperlink"/>
            <w:rFonts w:ascii="Times New Roman" w:hAnsi="Times New Roman"/>
            <w:sz w:val="24"/>
            <w:szCs w:val="24"/>
          </w:rPr>
          <w:t>https://pascrell.house.gov/news/documentsingle.aspx?DocumentID=4933</w:t>
        </w:r>
      </w:hyperlink>
    </w:p>
    <w:p w14:paraId="3ED66AC4" w14:textId="77777777" w:rsidR="00644810" w:rsidRDefault="00644810" w:rsidP="000C4DF5">
      <w:pPr>
        <w:pStyle w:val="NoSpacing"/>
        <w:rPr>
          <w:rFonts w:ascii="Arial Black" w:hAnsi="Arial Black"/>
          <w:sz w:val="24"/>
          <w:szCs w:val="24"/>
        </w:rPr>
      </w:pPr>
    </w:p>
    <w:p w14:paraId="59F964DE" w14:textId="77777777" w:rsidR="00644810" w:rsidRPr="00213018" w:rsidRDefault="00644810" w:rsidP="00644810">
      <w:pPr>
        <w:rPr>
          <w:rFonts w:ascii="Times New Roman" w:hAnsi="Times New Roman"/>
          <w:b/>
          <w:bCs/>
          <w:sz w:val="24"/>
          <w:szCs w:val="24"/>
        </w:rPr>
      </w:pPr>
      <w:r w:rsidRPr="00213018">
        <w:rPr>
          <w:rFonts w:ascii="Times New Roman" w:hAnsi="Times New Roman"/>
          <w:b/>
          <w:bCs/>
          <w:sz w:val="24"/>
          <w:szCs w:val="24"/>
        </w:rPr>
        <w:t>Legal Lesson Learned: Helpful statute.</w:t>
      </w:r>
    </w:p>
    <w:p w14:paraId="4F9F8DE9" w14:textId="77777777" w:rsidR="00644810" w:rsidRPr="00213018" w:rsidRDefault="00644810" w:rsidP="00644810">
      <w:pPr>
        <w:spacing w:after="225"/>
        <w:ind w:left="720"/>
        <w:rPr>
          <w:rFonts w:ascii="Times New Roman" w:hAnsi="Times New Roman"/>
          <w:b/>
          <w:bCs/>
          <w:sz w:val="24"/>
          <w:szCs w:val="24"/>
        </w:rPr>
      </w:pPr>
      <w:r w:rsidRPr="00213018">
        <w:rPr>
          <w:rFonts w:ascii="Times New Roman" w:hAnsi="Times New Roman"/>
          <w:sz w:val="24"/>
          <w:szCs w:val="24"/>
        </w:rPr>
        <w:t xml:space="preserve">Note: The two sponsors, Congressman Bill Pascrell, Jr. (D-NJ), and Senator Charles Grassley (R-IA), also described the increased   federal benefits.  </w:t>
      </w:r>
    </w:p>
    <w:p w14:paraId="7795D9BB" w14:textId="371407C0" w:rsidR="00644810" w:rsidRDefault="00644810" w:rsidP="00644810">
      <w:pPr>
        <w:pStyle w:val="NoSpacing"/>
        <w:ind w:left="1440"/>
        <w:rPr>
          <w:rFonts w:ascii="Arial Black" w:hAnsi="Arial Black"/>
          <w:sz w:val="24"/>
          <w:szCs w:val="24"/>
        </w:rPr>
      </w:pPr>
      <w:r w:rsidRPr="00213018">
        <w:rPr>
          <w:rFonts w:ascii="Times New Roman" w:hAnsi="Times New Roman"/>
          <w:sz w:val="24"/>
          <w:szCs w:val="24"/>
        </w:rPr>
        <w:t>“This bipartisan legislation was sponsored in the House (</w:t>
      </w:r>
      <w:hyperlink r:id="rId2951" w:history="1">
        <w:r w:rsidRPr="00213018">
          <w:rPr>
            <w:rFonts w:ascii="Times New Roman" w:hAnsi="Times New Roman"/>
            <w:sz w:val="24"/>
            <w:szCs w:val="24"/>
          </w:rPr>
          <w:t>H.R. 2936</w:t>
        </w:r>
      </w:hyperlink>
      <w:r w:rsidRPr="00213018">
        <w:rPr>
          <w:rFonts w:ascii="Times New Roman" w:hAnsi="Times New Roman"/>
          <w:sz w:val="24"/>
          <w:szCs w:val="24"/>
        </w:rPr>
        <w:t>) by Rep. Pascrell and in the Senate (</w:t>
      </w:r>
      <w:hyperlink r:id="rId2952" w:history="1">
        <w:r w:rsidRPr="00213018">
          <w:rPr>
            <w:rFonts w:ascii="Times New Roman" w:hAnsi="Times New Roman"/>
            <w:sz w:val="24"/>
            <w:szCs w:val="24"/>
          </w:rPr>
          <w:t>S. 1511</w:t>
        </w:r>
      </w:hyperlink>
      <w:r w:rsidRPr="00213018">
        <w:rPr>
          <w:rFonts w:ascii="Times New Roman" w:hAnsi="Times New Roman"/>
          <w:sz w:val="24"/>
          <w:szCs w:val="24"/>
        </w:rPr>
        <w:t xml:space="preserve">) by Sen. Grassley. PAFRA makes significant improvements to the Department of Justice’s (DOJ) Public Safety Officer Benefits (PSOB) program, which provides first responders who die or are permanently disabled in the line of duty with a federal benefit of $370,000 and education assistance of $1,200 a month to their children or spouse.” </w:t>
      </w:r>
      <w:hyperlink r:id="rId2953" w:history="1">
        <w:r w:rsidRPr="00EC5853">
          <w:rPr>
            <w:rStyle w:val="Hyperlink"/>
            <w:rFonts w:ascii="Times New Roman" w:hAnsi="Times New Roman"/>
            <w:sz w:val="24"/>
            <w:szCs w:val="24"/>
          </w:rPr>
          <w:t>https://pascrell.house.gov/news/documentsingle.aspx?DocumentID=4933</w:t>
        </w:r>
      </w:hyperlink>
    </w:p>
    <w:p w14:paraId="4BBE2483" w14:textId="588B9738" w:rsidR="00644810" w:rsidRDefault="00644810" w:rsidP="000C4DF5">
      <w:pPr>
        <w:pStyle w:val="NoSpacing"/>
        <w:rPr>
          <w:rFonts w:ascii="Arial Black" w:hAnsi="Arial Black"/>
          <w:sz w:val="24"/>
          <w:szCs w:val="24"/>
        </w:rPr>
      </w:pPr>
    </w:p>
    <w:p w14:paraId="7E35332E" w14:textId="77777777" w:rsidR="00644810" w:rsidRDefault="00644810" w:rsidP="000C4DF5">
      <w:pPr>
        <w:pStyle w:val="NoSpacing"/>
        <w:rPr>
          <w:rFonts w:ascii="Arial Black" w:hAnsi="Arial Black"/>
          <w:sz w:val="24"/>
          <w:szCs w:val="24"/>
        </w:rPr>
      </w:pPr>
    </w:p>
    <w:p w14:paraId="7BE0B5F2" w14:textId="42CAC289" w:rsidR="004B6144" w:rsidRDefault="004B6144" w:rsidP="000C4DF5">
      <w:pPr>
        <w:pStyle w:val="NoSpacing"/>
        <w:rPr>
          <w:rFonts w:ascii="Arial Black" w:hAnsi="Arial Black"/>
          <w:sz w:val="24"/>
          <w:szCs w:val="24"/>
        </w:rPr>
      </w:pPr>
      <w:r>
        <w:rPr>
          <w:rFonts w:ascii="Arial Black" w:hAnsi="Arial Black"/>
          <w:sz w:val="24"/>
          <w:szCs w:val="24"/>
        </w:rPr>
        <w:t>18-7</w:t>
      </w:r>
    </w:p>
    <w:p w14:paraId="7EDAD68E" w14:textId="77777777" w:rsidR="004B6144" w:rsidRPr="001E6223" w:rsidRDefault="004B6144" w:rsidP="004B6144">
      <w:pPr>
        <w:spacing w:before="100" w:beforeAutospacing="1" w:after="100" w:afterAutospacing="1" w:line="240" w:lineRule="auto"/>
        <w:rPr>
          <w:rFonts w:ascii="Arial Black" w:eastAsia="Times New Roman" w:hAnsi="Arial Black"/>
          <w:sz w:val="28"/>
          <w:szCs w:val="28"/>
        </w:rPr>
      </w:pPr>
      <w:r w:rsidRPr="001E6223">
        <w:rPr>
          <w:rFonts w:ascii="Arial Black" w:eastAsia="Times New Roman" w:hAnsi="Arial Black"/>
          <w:sz w:val="28"/>
          <w:szCs w:val="28"/>
        </w:rPr>
        <w:t>NY</w:t>
      </w:r>
      <w:r>
        <w:rPr>
          <w:rFonts w:ascii="Arial Black" w:eastAsia="Times New Roman" w:hAnsi="Arial Black"/>
          <w:sz w:val="28"/>
          <w:szCs w:val="28"/>
        </w:rPr>
        <w:t xml:space="preserve">: PUBLIC RECORDS – CITIZEN COMPLAINTS - NY LEGISLATURE REPEALED STATUTE – PROTECTED POLICE &amp; FIRE PERFORM. RECORDS </w:t>
      </w:r>
    </w:p>
    <w:p w14:paraId="2C65FF32" w14:textId="77777777" w:rsidR="004B6144" w:rsidRDefault="004B6144" w:rsidP="004B6144">
      <w:pPr>
        <w:spacing w:before="100" w:beforeAutospacing="1" w:after="100" w:afterAutospacing="1" w:line="240" w:lineRule="auto"/>
        <w:rPr>
          <w:rFonts w:ascii="Times New Roman" w:hAnsi="Times New Roman"/>
          <w:sz w:val="24"/>
          <w:szCs w:val="24"/>
        </w:rPr>
      </w:pPr>
      <w:r>
        <w:rPr>
          <w:rFonts w:ascii="Times New Roman" w:eastAsia="Times New Roman" w:hAnsi="Times New Roman"/>
          <w:sz w:val="24"/>
          <w:szCs w:val="24"/>
        </w:rPr>
        <w:t xml:space="preserve">On Oct. 9, 2020, in </w:t>
      </w:r>
      <w:r w:rsidRPr="007A5C5E">
        <w:rPr>
          <w:rFonts w:ascii="Times New Roman" w:eastAsia="Times New Roman" w:hAnsi="Times New Roman"/>
          <w:sz w:val="24"/>
          <w:szCs w:val="24"/>
          <w:u w:val="single"/>
        </w:rPr>
        <w:t>Buffalo Police Benevolent Association, Inc. and Buffalo Professional Firefighters Association, Inc. v. Byron W. Brown, Mayor of City of Buffalo</w:t>
      </w:r>
      <w:r>
        <w:rPr>
          <w:rFonts w:ascii="Times New Roman" w:eastAsia="Times New Roman" w:hAnsi="Times New Roman"/>
          <w:sz w:val="24"/>
          <w:szCs w:val="24"/>
        </w:rPr>
        <w:t xml:space="preserve">, Judge Frank A. Sedita III, Superior Court, Erie County, </w:t>
      </w:r>
      <w:r w:rsidRPr="007A5C5E">
        <w:rPr>
          <w:rFonts w:ascii="Times New Roman" w:hAnsi="Times New Roman"/>
          <w:sz w:val="24"/>
          <w:szCs w:val="24"/>
        </w:rPr>
        <w:t>2020 NY Slip Op 20257</w:t>
      </w:r>
      <w:r>
        <w:rPr>
          <w:rFonts w:ascii="Times New Roman" w:hAnsi="Times New Roman"/>
          <w:sz w:val="24"/>
          <w:szCs w:val="24"/>
        </w:rPr>
        <w:t xml:space="preserve">, while recognizing that many other professionals (including judges and </w:t>
      </w:r>
      <w:r>
        <w:rPr>
          <w:rFonts w:ascii="Times New Roman" w:hAnsi="Times New Roman"/>
          <w:sz w:val="24"/>
          <w:szCs w:val="24"/>
        </w:rPr>
        <w:lastRenderedPageBreak/>
        <w:t>attorneys) are protected from public disclosure of unfounded complaints, declined to declare the New York repeal a violation of State or U.S. Constitution.</w:t>
      </w:r>
    </w:p>
    <w:bookmarkEnd w:id="653"/>
    <w:p w14:paraId="5FFBF382" w14:textId="77777777" w:rsidR="004B6144" w:rsidRDefault="004B6144" w:rsidP="004B6144">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r w:rsidRPr="00B42C1C">
        <w:rPr>
          <w:rFonts w:ascii="Times New Roman" w:hAnsi="Times New Roman"/>
          <w:sz w:val="24"/>
          <w:szCs w:val="24"/>
        </w:rPr>
        <w:t>§50-a of the NY Civil Rights Law (50-a) was repealed on June 12, 2020. Enacted in 1976, 50-a provided, in relevant part, that personnel records used to evaluate the performance of police officers and firefighters could not be publicly disclosed unless the officer/firefighter consented to it or a court ordered it.</w:t>
      </w:r>
    </w:p>
    <w:p w14:paraId="5FB9B3F7" w14:textId="77777777" w:rsidR="004B6144" w:rsidRDefault="004B6144" w:rsidP="004B6144">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w:t>
      </w:r>
    </w:p>
    <w:p w14:paraId="723A0097" w14:textId="77777777" w:rsidR="004B6144" w:rsidRDefault="004B6144" w:rsidP="004B6144">
      <w:pPr>
        <w:spacing w:before="100" w:beforeAutospacing="1" w:after="100" w:afterAutospacing="1" w:line="240" w:lineRule="auto"/>
        <w:ind w:left="720"/>
        <w:rPr>
          <w:rFonts w:ascii="Times New Roman" w:eastAsia="Times New Roman" w:hAnsi="Times New Roman"/>
          <w:sz w:val="24"/>
          <w:szCs w:val="24"/>
        </w:rPr>
      </w:pPr>
      <w:r w:rsidRPr="00B42C1C">
        <w:rPr>
          <w:rFonts w:ascii="Times New Roman" w:eastAsia="Times New Roman" w:hAnsi="Times New Roman"/>
          <w:sz w:val="24"/>
          <w:szCs w:val="24"/>
        </w:rPr>
        <w:t>At the core of this case, is Petitioners' dismay that FOIL</w:t>
      </w:r>
      <w:r>
        <w:rPr>
          <w:rFonts w:ascii="Times New Roman" w:eastAsia="Times New Roman" w:hAnsi="Times New Roman"/>
          <w:sz w:val="24"/>
          <w:szCs w:val="24"/>
        </w:rPr>
        <w:t xml:space="preserve"> [Freedom of Information]</w:t>
      </w:r>
      <w:r w:rsidRPr="00B42C1C">
        <w:rPr>
          <w:rFonts w:ascii="Times New Roman" w:eastAsia="Times New Roman" w:hAnsi="Times New Roman"/>
          <w:sz w:val="24"/>
          <w:szCs w:val="24"/>
        </w:rPr>
        <w:t xml:space="preserve"> officers will release unfiltered information that serves not to inform but to defame, especially when revealed to those </w:t>
      </w:r>
      <w:proofErr w:type="gramStart"/>
      <w:r w:rsidRPr="00B42C1C">
        <w:rPr>
          <w:rFonts w:ascii="Times New Roman" w:eastAsia="Times New Roman" w:hAnsi="Times New Roman"/>
          <w:sz w:val="24"/>
          <w:szCs w:val="24"/>
        </w:rPr>
        <w:t>whom</w:t>
      </w:r>
      <w:proofErr w:type="gramEnd"/>
      <w:r w:rsidRPr="00B42C1C">
        <w:rPr>
          <w:rFonts w:ascii="Times New Roman" w:eastAsia="Times New Roman" w:hAnsi="Times New Roman"/>
          <w:sz w:val="24"/>
          <w:szCs w:val="24"/>
        </w:rPr>
        <w:t xml:space="preserve"> already view police officers with disdain. The prospect of such irreparable harm is viewed as especially inequitable given the fact that members of so many other occupations and professions — including lawyers and judges — are protected by statutes that prevent the disclosure of misconduct allegations made against them, unless and until they are </w:t>
      </w:r>
      <w:proofErr w:type="gramStart"/>
      <w:r w:rsidRPr="00B42C1C">
        <w:rPr>
          <w:rFonts w:ascii="Times New Roman" w:eastAsia="Times New Roman" w:hAnsi="Times New Roman"/>
          <w:sz w:val="24"/>
          <w:szCs w:val="24"/>
        </w:rPr>
        <w:t>actually proven</w:t>
      </w:r>
      <w:proofErr w:type="gramEnd"/>
      <w:r w:rsidRPr="00B42C1C">
        <w:rPr>
          <w:rFonts w:ascii="Times New Roman" w:eastAsia="Times New Roman" w:hAnsi="Times New Roman"/>
          <w:sz w:val="24"/>
          <w:szCs w:val="24"/>
        </w:rPr>
        <w:t xml:space="preserve"> to be true.</w:t>
      </w:r>
    </w:p>
    <w:p w14:paraId="36359658" w14:textId="77777777" w:rsidR="004B6144" w:rsidRPr="00B42C1C" w:rsidRDefault="004B6144" w:rsidP="004B6144">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w:t>
      </w:r>
    </w:p>
    <w:p w14:paraId="7F7677B2" w14:textId="040CA905" w:rsidR="004B6144" w:rsidRDefault="004B6144" w:rsidP="004B6144">
      <w:pPr>
        <w:pStyle w:val="NoSpacing"/>
        <w:rPr>
          <w:rStyle w:val="Hyperlink"/>
          <w:rFonts w:ascii="Times New Roman" w:eastAsia="Times New Roman" w:hAnsi="Times New Roman"/>
          <w:sz w:val="24"/>
          <w:szCs w:val="24"/>
        </w:rPr>
      </w:pPr>
      <w:r>
        <w:rPr>
          <w:rFonts w:ascii="Times New Roman" w:eastAsia="Times New Roman" w:hAnsi="Times New Roman"/>
          <w:sz w:val="24"/>
          <w:szCs w:val="24"/>
        </w:rPr>
        <w:t>“</w:t>
      </w:r>
      <w:r w:rsidRPr="001E6223">
        <w:rPr>
          <w:rFonts w:ascii="Times New Roman" w:eastAsia="Times New Roman" w:hAnsi="Times New Roman"/>
          <w:sz w:val="24"/>
          <w:szCs w:val="24"/>
        </w:rPr>
        <w:t xml:space="preserve">What Petitioners essentially seek — a pre-emptive strike that will serve as a blanket prohibition on the release of </w:t>
      </w:r>
      <w:proofErr w:type="gramStart"/>
      <w:r w:rsidRPr="001E6223">
        <w:rPr>
          <w:rFonts w:ascii="Times New Roman" w:eastAsia="Times New Roman" w:hAnsi="Times New Roman"/>
          <w:sz w:val="24"/>
          <w:szCs w:val="24"/>
        </w:rPr>
        <w:t>any and all</w:t>
      </w:r>
      <w:proofErr w:type="gramEnd"/>
      <w:r w:rsidRPr="001E6223">
        <w:rPr>
          <w:rFonts w:ascii="Times New Roman" w:eastAsia="Times New Roman" w:hAnsi="Times New Roman"/>
          <w:sz w:val="24"/>
          <w:szCs w:val="24"/>
        </w:rPr>
        <w:t xml:space="preserve"> information regarding any complaint deemed </w:t>
      </w:r>
      <w:r>
        <w:rPr>
          <w:rFonts w:ascii="Times New Roman" w:eastAsia="Times New Roman" w:hAnsi="Times New Roman"/>
          <w:sz w:val="24"/>
          <w:szCs w:val="24"/>
        </w:rPr>
        <w:t>‘</w:t>
      </w:r>
      <w:r w:rsidRPr="001E6223">
        <w:rPr>
          <w:rFonts w:ascii="Times New Roman" w:eastAsia="Times New Roman" w:hAnsi="Times New Roman"/>
          <w:sz w:val="24"/>
          <w:szCs w:val="24"/>
        </w:rPr>
        <w:t>unsubstantiated</w:t>
      </w:r>
      <w:r>
        <w:rPr>
          <w:rFonts w:ascii="Times New Roman" w:eastAsia="Times New Roman" w:hAnsi="Times New Roman"/>
          <w:sz w:val="24"/>
          <w:szCs w:val="24"/>
        </w:rPr>
        <w:t>’</w:t>
      </w:r>
      <w:r w:rsidRPr="001E6223">
        <w:rPr>
          <w:rFonts w:ascii="Times New Roman" w:eastAsia="Times New Roman" w:hAnsi="Times New Roman"/>
          <w:sz w:val="24"/>
          <w:szCs w:val="24"/>
        </w:rPr>
        <w:t xml:space="preserve"> — is not merely drastic remedy, it is an inappropriate one. Petitioners advance no persuasive arguments as to why the controlling statutes violate due process, equal protection or any other provision of the Federal and State Constitutions.</w:t>
      </w:r>
      <w:r>
        <w:rPr>
          <w:rFonts w:ascii="Times New Roman" w:eastAsia="Times New Roman" w:hAnsi="Times New Roman"/>
          <w:sz w:val="24"/>
          <w:szCs w:val="24"/>
        </w:rPr>
        <w:t xml:space="preserve">” </w:t>
      </w:r>
      <w:hyperlink r:id="rId2954" w:history="1">
        <w:r w:rsidRPr="00C93B62">
          <w:rPr>
            <w:rStyle w:val="Hyperlink"/>
            <w:rFonts w:ascii="Times New Roman" w:eastAsia="Times New Roman" w:hAnsi="Times New Roman"/>
            <w:sz w:val="24"/>
            <w:szCs w:val="24"/>
          </w:rPr>
          <w:t>https://public.fastcase.com/Wl%2B2t%2BeVuI35%2FN70vAMFZlFt1LsN7FOv8IeLOLQpT2HmGMXcCWoYq2MigYjsxegu</w:t>
        </w:r>
      </w:hyperlink>
    </w:p>
    <w:p w14:paraId="74BCDF2F" w14:textId="0CCAFB06" w:rsidR="004B6144" w:rsidRDefault="004B6144" w:rsidP="004B6144">
      <w:pPr>
        <w:pStyle w:val="NoSpacing"/>
        <w:rPr>
          <w:rStyle w:val="Hyperlink"/>
          <w:rFonts w:ascii="Times New Roman" w:eastAsia="Times New Roman" w:hAnsi="Times New Roman"/>
          <w:sz w:val="24"/>
          <w:szCs w:val="24"/>
        </w:rPr>
      </w:pPr>
    </w:p>
    <w:p w14:paraId="201B9F77" w14:textId="77777777" w:rsidR="004B6144" w:rsidRDefault="004B6144" w:rsidP="004B6144">
      <w:pPr>
        <w:spacing w:before="100" w:beforeAutospacing="1" w:after="100" w:afterAutospacing="1" w:line="240" w:lineRule="auto"/>
        <w:rPr>
          <w:rFonts w:ascii="Times New Roman" w:hAnsi="Times New Roman"/>
          <w:b/>
          <w:bCs/>
          <w:sz w:val="24"/>
          <w:szCs w:val="24"/>
        </w:rPr>
      </w:pPr>
      <w:r w:rsidRPr="00C97C76">
        <w:rPr>
          <w:rFonts w:ascii="Times New Roman" w:hAnsi="Times New Roman"/>
          <w:b/>
          <w:bCs/>
          <w:sz w:val="24"/>
          <w:szCs w:val="24"/>
        </w:rPr>
        <w:t>Legal Lesson</w:t>
      </w:r>
      <w:r>
        <w:rPr>
          <w:rFonts w:ascii="Times New Roman" w:hAnsi="Times New Roman"/>
          <w:b/>
          <w:bCs/>
          <w:sz w:val="24"/>
          <w:szCs w:val="24"/>
        </w:rPr>
        <w:t xml:space="preserve"> </w:t>
      </w:r>
      <w:r w:rsidRPr="00C97C76">
        <w:rPr>
          <w:rFonts w:ascii="Times New Roman" w:hAnsi="Times New Roman"/>
          <w:b/>
          <w:bCs/>
          <w:sz w:val="24"/>
          <w:szCs w:val="24"/>
        </w:rPr>
        <w:t>Learned:</w:t>
      </w:r>
      <w:r>
        <w:rPr>
          <w:rFonts w:ascii="Times New Roman" w:hAnsi="Times New Roman"/>
          <w:b/>
          <w:bCs/>
          <w:sz w:val="24"/>
          <w:szCs w:val="24"/>
        </w:rPr>
        <w:t xml:space="preserve">  It is unfortunate to make mere complaints of misconduct “public records. </w:t>
      </w:r>
    </w:p>
    <w:p w14:paraId="5EC14AA8" w14:textId="77777777" w:rsidR="004B6144" w:rsidRDefault="004B6144" w:rsidP="004B6144">
      <w:pPr>
        <w:pStyle w:val="NormalWeb"/>
        <w:ind w:left="720"/>
      </w:pPr>
      <w:r w:rsidRPr="009C5E9D">
        <w:t xml:space="preserve">Note: </w:t>
      </w:r>
    </w:p>
    <w:p w14:paraId="3859F23D" w14:textId="77777777" w:rsidR="004B6144" w:rsidRPr="009C5E9D" w:rsidRDefault="004B6144" w:rsidP="004B6144">
      <w:pPr>
        <w:pStyle w:val="Heading1"/>
        <w:ind w:left="720"/>
        <w:rPr>
          <w:b w:val="0"/>
          <w:bCs w:val="0"/>
          <w:sz w:val="24"/>
          <w:szCs w:val="24"/>
        </w:rPr>
      </w:pPr>
      <w:r>
        <w:rPr>
          <w:b w:val="0"/>
          <w:bCs w:val="0"/>
          <w:sz w:val="24"/>
          <w:szCs w:val="24"/>
        </w:rPr>
        <w:t xml:space="preserve">See </w:t>
      </w:r>
      <w:r w:rsidRPr="009C5E9D">
        <w:rPr>
          <w:b w:val="0"/>
          <w:bCs w:val="0"/>
          <w:sz w:val="24"/>
          <w:szCs w:val="24"/>
        </w:rPr>
        <w:t xml:space="preserve">Aug. 20, </w:t>
      </w:r>
      <w:proofErr w:type="gramStart"/>
      <w:r w:rsidRPr="009C5E9D">
        <w:rPr>
          <w:b w:val="0"/>
          <w:bCs w:val="0"/>
          <w:sz w:val="24"/>
          <w:szCs w:val="24"/>
        </w:rPr>
        <w:t>2020</w:t>
      </w:r>
      <w:proofErr w:type="gramEnd"/>
      <w:r>
        <w:rPr>
          <w:b w:val="0"/>
          <w:bCs w:val="0"/>
          <w:sz w:val="24"/>
          <w:szCs w:val="24"/>
        </w:rPr>
        <w:t xml:space="preserve"> article: “</w:t>
      </w:r>
      <w:r w:rsidRPr="009C5E9D">
        <w:rPr>
          <w:b w:val="0"/>
          <w:bCs w:val="0"/>
          <w:sz w:val="24"/>
          <w:szCs w:val="24"/>
        </w:rPr>
        <w:t>323,911 Accusations of N.Y.P.D. Misconduct Are Released Online</w:t>
      </w:r>
      <w:r>
        <w:rPr>
          <w:b w:val="0"/>
          <w:bCs w:val="0"/>
          <w:sz w:val="24"/>
          <w:szCs w:val="24"/>
        </w:rPr>
        <w:t xml:space="preserve">.” </w:t>
      </w:r>
      <w:r w:rsidRPr="009C5E9D">
        <w:rPr>
          <w:b w:val="0"/>
          <w:bCs w:val="0"/>
          <w:sz w:val="24"/>
          <w:szCs w:val="24"/>
        </w:rPr>
        <w:t xml:space="preserve">The records had been sealed for decades, but last month, New York repealed a law keeping them secret after national </w:t>
      </w:r>
      <w:proofErr w:type="gramStart"/>
      <w:r w:rsidRPr="009C5E9D">
        <w:rPr>
          <w:b w:val="0"/>
          <w:bCs w:val="0"/>
          <w:sz w:val="24"/>
          <w:szCs w:val="24"/>
        </w:rPr>
        <w:t>protests against</w:t>
      </w:r>
      <w:proofErr w:type="gramEnd"/>
      <w:r w:rsidRPr="009C5E9D">
        <w:rPr>
          <w:b w:val="0"/>
          <w:bCs w:val="0"/>
          <w:sz w:val="24"/>
          <w:szCs w:val="24"/>
        </w:rPr>
        <w:t xml:space="preserve"> police brutality. </w:t>
      </w:r>
      <w:r>
        <w:rPr>
          <w:b w:val="0"/>
          <w:bCs w:val="0"/>
          <w:sz w:val="24"/>
          <w:szCs w:val="24"/>
        </w:rPr>
        <w:t xml:space="preserve">*** </w:t>
      </w:r>
      <w:r w:rsidRPr="009C5E9D">
        <w:rPr>
          <w:b w:val="0"/>
          <w:bCs w:val="0"/>
          <w:sz w:val="24"/>
          <w:szCs w:val="24"/>
        </w:rPr>
        <w:t xml:space="preserve">The complaints were published in an online database by the New York Civil Liberties Union, which obtained the records from the review board after state lawmakers </w:t>
      </w:r>
      <w:hyperlink r:id="rId2955" w:history="1">
        <w:r w:rsidRPr="009C5E9D">
          <w:rPr>
            <w:rStyle w:val="Hyperlink"/>
            <w:rFonts w:eastAsiaTheme="majorEastAsia"/>
            <w:b w:val="0"/>
            <w:bCs w:val="0"/>
            <w:sz w:val="24"/>
            <w:szCs w:val="24"/>
          </w:rPr>
          <w:t>repealed a law</w:t>
        </w:r>
      </w:hyperlink>
      <w:r w:rsidRPr="009C5E9D">
        <w:rPr>
          <w:b w:val="0"/>
          <w:bCs w:val="0"/>
          <w:sz w:val="24"/>
          <w:szCs w:val="24"/>
        </w:rPr>
        <w:t xml:space="preserve"> that had kept them secret.</w:t>
      </w:r>
      <w:bookmarkStart w:id="656" w:name="_Hlk66950954"/>
      <w:r w:rsidR="00F00958">
        <w:fldChar w:fldCharType="begin"/>
      </w:r>
      <w:r w:rsidR="00F00958">
        <w:instrText xml:space="preserve"> HYPERLINK "https://www.nytimes.com/2020/08/20/nyregion/nypd-ccrb-records-published.html" </w:instrText>
      </w:r>
      <w:r w:rsidR="00F00958">
        <w:fldChar w:fldCharType="separate"/>
      </w:r>
      <w:r w:rsidRPr="009C5E9D">
        <w:rPr>
          <w:rStyle w:val="Hyperlink"/>
          <w:b w:val="0"/>
          <w:bCs w:val="0"/>
          <w:sz w:val="24"/>
          <w:szCs w:val="24"/>
        </w:rPr>
        <w:t>https://www.nytimes.com/2020/08/20/nyregion/nypd-ccrb-records-published.html</w:t>
      </w:r>
      <w:r w:rsidR="00F00958">
        <w:rPr>
          <w:rStyle w:val="Hyperlink"/>
          <w:b w:val="0"/>
          <w:bCs w:val="0"/>
          <w:sz w:val="24"/>
          <w:szCs w:val="24"/>
        </w:rPr>
        <w:fldChar w:fldCharType="end"/>
      </w:r>
      <w:r w:rsidRPr="009C5E9D">
        <w:rPr>
          <w:b w:val="0"/>
          <w:bCs w:val="0"/>
          <w:sz w:val="24"/>
          <w:szCs w:val="24"/>
        </w:rPr>
        <w:t xml:space="preserve"> </w:t>
      </w:r>
    </w:p>
    <w:bookmarkEnd w:id="656"/>
    <w:p w14:paraId="6DAED484" w14:textId="77777777" w:rsidR="004B6144" w:rsidRPr="00C97C76" w:rsidRDefault="004B6144" w:rsidP="004B6144">
      <w:pPr>
        <w:pStyle w:val="NormalWeb"/>
        <w:ind w:left="720"/>
      </w:pPr>
      <w:r>
        <w:t xml:space="preserve">See review of state statutes on police disciplinary records.  </w:t>
      </w:r>
      <w:r w:rsidRPr="009C5E9D">
        <w:t xml:space="preserve">In </w:t>
      </w:r>
      <w:r>
        <w:t xml:space="preserve">12 </w:t>
      </w:r>
      <w:r w:rsidRPr="009C5E9D">
        <w:t>states where</w:t>
      </w:r>
      <w:r>
        <w:rPr>
          <w:b/>
          <w:bCs/>
        </w:rPr>
        <w:t xml:space="preserve"> “</w:t>
      </w:r>
      <w:r w:rsidRPr="00C97C76">
        <w:t>police disciplinary records are generally available to the public.</w:t>
      </w:r>
      <w:r>
        <w:t xml:space="preserve"> </w:t>
      </w:r>
      <w:r w:rsidRPr="00C97C76">
        <w:t>Many of these states still make records of unsubstantiated complaints or active investigations confidential.</w:t>
      </w:r>
      <w:r>
        <w:t xml:space="preserve">”  </w:t>
      </w:r>
      <w:hyperlink r:id="rId2956" w:history="1">
        <w:r w:rsidRPr="00C93B62">
          <w:rPr>
            <w:rStyle w:val="Hyperlink"/>
          </w:rPr>
          <w:t>https://project.wnyc.org/disciplinary-records/</w:t>
        </w:r>
      </w:hyperlink>
      <w:r>
        <w:t xml:space="preserve"> </w:t>
      </w:r>
    </w:p>
    <w:p w14:paraId="620CCCDA" w14:textId="77777777" w:rsidR="004B6144" w:rsidRDefault="004B6144" w:rsidP="004B6144">
      <w:pPr>
        <w:pStyle w:val="NoSpacing"/>
        <w:rPr>
          <w:rFonts w:ascii="Arial Black" w:hAnsi="Arial Black"/>
          <w:sz w:val="24"/>
          <w:szCs w:val="24"/>
        </w:rPr>
      </w:pPr>
    </w:p>
    <w:p w14:paraId="7D6C40AE" w14:textId="77777777" w:rsidR="004B6144" w:rsidRDefault="004B6144" w:rsidP="000C4DF5">
      <w:pPr>
        <w:pStyle w:val="NoSpacing"/>
        <w:rPr>
          <w:rFonts w:ascii="Arial Black" w:hAnsi="Arial Black"/>
          <w:sz w:val="24"/>
          <w:szCs w:val="24"/>
        </w:rPr>
      </w:pPr>
    </w:p>
    <w:p w14:paraId="4224944C" w14:textId="76B0F321" w:rsidR="00B532F6" w:rsidRDefault="00B532F6" w:rsidP="000C4DF5">
      <w:pPr>
        <w:pStyle w:val="NoSpacing"/>
        <w:rPr>
          <w:rFonts w:ascii="Arial Black" w:hAnsi="Arial Black"/>
          <w:sz w:val="24"/>
          <w:szCs w:val="24"/>
        </w:rPr>
      </w:pPr>
      <w:r>
        <w:rPr>
          <w:rFonts w:ascii="Arial Black" w:hAnsi="Arial Black"/>
          <w:sz w:val="24"/>
          <w:szCs w:val="24"/>
        </w:rPr>
        <w:t xml:space="preserve">18-6 </w:t>
      </w:r>
      <w:r w:rsidRPr="00695AE8">
        <w:rPr>
          <w:rFonts w:ascii="Times New Roman" w:hAnsi="Times New Roman"/>
          <w:sz w:val="24"/>
          <w:szCs w:val="24"/>
        </w:rPr>
        <w:t>[also filed, Chap. 13]</w:t>
      </w:r>
    </w:p>
    <w:p w14:paraId="58DC4A87" w14:textId="77777777" w:rsidR="00B532F6" w:rsidRDefault="00B532F6" w:rsidP="000C4DF5">
      <w:pPr>
        <w:pStyle w:val="NoSpacing"/>
        <w:rPr>
          <w:rFonts w:ascii="Arial Black" w:hAnsi="Arial Black"/>
          <w:sz w:val="24"/>
          <w:szCs w:val="24"/>
        </w:rPr>
      </w:pPr>
    </w:p>
    <w:p w14:paraId="4A05D0B4" w14:textId="77777777" w:rsidR="00B532F6" w:rsidRPr="004D5BFC" w:rsidRDefault="00B532F6" w:rsidP="00B532F6">
      <w:pPr>
        <w:rPr>
          <w:rFonts w:ascii="Arial Black" w:hAnsi="Arial Black"/>
          <w:sz w:val="28"/>
          <w:szCs w:val="28"/>
        </w:rPr>
      </w:pPr>
      <w:r>
        <w:rPr>
          <w:rFonts w:ascii="Arial Black" w:hAnsi="Arial Black"/>
          <w:sz w:val="28"/>
          <w:szCs w:val="28"/>
        </w:rPr>
        <w:t xml:space="preserve">OH:  TEMPORARY IMMUNITY DURING COVID-19 PANDEMIC – EMERGENCY RESPONDERS, SCHOOLS PROTECTED TORT LIABILITY  </w:t>
      </w:r>
    </w:p>
    <w:p w14:paraId="5C246806" w14:textId="77777777" w:rsidR="00B532F6" w:rsidRPr="00820E9C" w:rsidRDefault="00B532F6" w:rsidP="00B532F6">
      <w:pPr>
        <w:spacing w:before="100" w:beforeAutospacing="1" w:after="100" w:afterAutospacing="1" w:line="240" w:lineRule="auto"/>
        <w:rPr>
          <w:rFonts w:ascii="Times New Roman" w:hAnsi="Times New Roman"/>
          <w:sz w:val="24"/>
          <w:szCs w:val="24"/>
        </w:rPr>
      </w:pPr>
      <w:r>
        <w:rPr>
          <w:rFonts w:ascii="Times New Roman" w:hAnsi="Times New Roman"/>
          <w:sz w:val="24"/>
          <w:szCs w:val="24"/>
        </w:rPr>
        <w:lastRenderedPageBreak/>
        <w:t xml:space="preserve">On Sept. 14, 2020, Ohio Governor Mike DeWine signed House Bill 606 into law.  </w:t>
      </w:r>
      <w:r w:rsidRPr="00820E9C">
        <w:rPr>
          <w:rFonts w:ascii="Times New Roman" w:hAnsi="Times New Roman"/>
          <w:sz w:val="24"/>
          <w:szCs w:val="24"/>
        </w:rPr>
        <w:t xml:space="preserve">“The bill ensures civil immunity to individuals, schools, health care providers, businesses and other entities from lawsuits arising from exposure, transmission or contraction of COVID-19, or any mutation of the virus, </w:t>
      </w:r>
      <w:proofErr w:type="gramStart"/>
      <w:r w:rsidRPr="00820E9C">
        <w:rPr>
          <w:rFonts w:ascii="Times New Roman" w:hAnsi="Times New Roman"/>
          <w:sz w:val="24"/>
          <w:szCs w:val="24"/>
        </w:rPr>
        <w:t>as long as</w:t>
      </w:r>
      <w:proofErr w:type="gramEnd"/>
      <w:r w:rsidRPr="00820E9C">
        <w:rPr>
          <w:rFonts w:ascii="Times New Roman" w:hAnsi="Times New Roman"/>
          <w:sz w:val="24"/>
          <w:szCs w:val="24"/>
        </w:rPr>
        <w:t xml:space="preserve"> they were not showing reckless, intentional or willful misconduct. It also shields health care providers from liability in tort actions regarding the care and services they provide during this pandemic unless they were acting recklessly or displaying intentional </w:t>
      </w:r>
      <w:proofErr w:type="gramStart"/>
      <w:r w:rsidRPr="00820E9C">
        <w:rPr>
          <w:rFonts w:ascii="Times New Roman" w:hAnsi="Times New Roman"/>
          <w:sz w:val="24"/>
          <w:szCs w:val="24"/>
        </w:rPr>
        <w:t>misconduct.</w:t>
      </w:r>
      <w:r>
        <w:rPr>
          <w:rFonts w:ascii="Times New Roman" w:hAnsi="Times New Roman"/>
          <w:sz w:val="24"/>
          <w:szCs w:val="24"/>
        </w:rPr>
        <w:t>”</w:t>
      </w:r>
      <w:proofErr w:type="gramEnd"/>
      <w:r w:rsidRPr="00820E9C">
        <w:rPr>
          <w:rFonts w:ascii="Times New Roman" w:hAnsi="Times New Roman"/>
          <w:sz w:val="24"/>
          <w:szCs w:val="24"/>
        </w:rPr>
        <w:t xml:space="preserve"> </w:t>
      </w:r>
      <w:hyperlink r:id="rId2957" w:history="1">
        <w:r w:rsidRPr="00EA25E1">
          <w:rPr>
            <w:rStyle w:val="Hyperlink"/>
            <w:rFonts w:ascii="Times New Roman" w:hAnsi="Times New Roman"/>
            <w:sz w:val="24"/>
            <w:szCs w:val="24"/>
          </w:rPr>
          <w:t>https://www.wkbn.com/news/coronavirus/dewine-signs-law-giving-covid-19-lawsuit-immunity/</w:t>
        </w:r>
      </w:hyperlink>
      <w:r>
        <w:rPr>
          <w:rFonts w:ascii="Times New Roman" w:hAnsi="Times New Roman"/>
          <w:sz w:val="24"/>
          <w:szCs w:val="24"/>
        </w:rPr>
        <w:t xml:space="preserve">  This will be particularly helpful to FDs that host paramedic and EMS students needing “ride time” for their certifications. See the statute: </w:t>
      </w:r>
      <w:hyperlink r:id="rId2958" w:history="1">
        <w:r w:rsidRPr="00EA25E1">
          <w:rPr>
            <w:rStyle w:val="Hyperlink"/>
            <w:rFonts w:ascii="Times New Roman" w:hAnsi="Times New Roman"/>
            <w:sz w:val="24"/>
            <w:szCs w:val="24"/>
          </w:rPr>
          <w:t>https://www.hannah.com/ShowDocument.aspx?BTextID=219206</w:t>
        </w:r>
      </w:hyperlink>
      <w:r>
        <w:rPr>
          <w:rFonts w:ascii="Times New Roman" w:hAnsi="Times New Roman"/>
          <w:sz w:val="24"/>
          <w:szCs w:val="24"/>
        </w:rPr>
        <w:t xml:space="preserve"> </w:t>
      </w:r>
    </w:p>
    <w:p w14:paraId="7BB797D3" w14:textId="77777777" w:rsidR="00B532F6" w:rsidRDefault="00B532F6" w:rsidP="00B532F6">
      <w:pPr>
        <w:spacing w:before="100" w:beforeAutospacing="1" w:after="100" w:afterAutospacing="1" w:line="240" w:lineRule="auto"/>
        <w:rPr>
          <w:rFonts w:ascii="Times New Roman" w:eastAsia="Times New Roman" w:hAnsi="Times New Roman"/>
          <w:b/>
          <w:bCs/>
          <w:sz w:val="24"/>
          <w:szCs w:val="24"/>
        </w:rPr>
      </w:pPr>
      <w:r>
        <w:rPr>
          <w:rFonts w:ascii="Times New Roman" w:eastAsia="Times New Roman" w:hAnsi="Times New Roman"/>
          <w:b/>
          <w:bCs/>
          <w:sz w:val="24"/>
          <w:szCs w:val="24"/>
        </w:rPr>
        <w:t xml:space="preserve">Legal Lessons Learned: The statute is an excellent example of legislation providing immunity from tort liability during the pandemic for those serving others, including emergency responders.  </w:t>
      </w:r>
    </w:p>
    <w:p w14:paraId="4D487E33" w14:textId="77777777" w:rsidR="00B532F6" w:rsidRPr="00E85202" w:rsidRDefault="00B532F6" w:rsidP="00B532F6">
      <w:pPr>
        <w:spacing w:before="100" w:beforeAutospacing="1" w:after="100" w:afterAutospacing="1" w:line="240" w:lineRule="auto"/>
        <w:ind w:left="720"/>
        <w:rPr>
          <w:rFonts w:ascii="Times New Roman" w:eastAsia="Times New Roman" w:hAnsi="Times New Roman"/>
          <w:sz w:val="24"/>
          <w:szCs w:val="24"/>
        </w:rPr>
      </w:pPr>
      <w:r w:rsidRPr="00E85202">
        <w:rPr>
          <w:rFonts w:ascii="Times New Roman" w:eastAsia="Times New Roman" w:hAnsi="Times New Roman"/>
          <w:sz w:val="24"/>
          <w:szCs w:val="24"/>
        </w:rPr>
        <w:t xml:space="preserve">Note: See legislative history: </w:t>
      </w:r>
      <w:hyperlink r:id="rId2959" w:history="1">
        <w:r w:rsidRPr="00EA25E1">
          <w:rPr>
            <w:rStyle w:val="Hyperlink"/>
            <w:rFonts w:ascii="Times New Roman" w:eastAsia="Times New Roman" w:hAnsi="Times New Roman"/>
            <w:sz w:val="24"/>
            <w:szCs w:val="24"/>
          </w:rPr>
          <w:t>https://www.legislature.ohio.gov/legislation/legislation-documents?id=GA133-HB-606</w:t>
        </w:r>
      </w:hyperlink>
      <w:r w:rsidRPr="00E85202">
        <w:rPr>
          <w:rFonts w:ascii="Times New Roman" w:eastAsia="Times New Roman" w:hAnsi="Times New Roman"/>
          <w:sz w:val="24"/>
          <w:szCs w:val="24"/>
        </w:rPr>
        <w:t xml:space="preserve"> </w:t>
      </w:r>
    </w:p>
    <w:p w14:paraId="711E50CD" w14:textId="77777777" w:rsidR="00B532F6" w:rsidRDefault="00B532F6" w:rsidP="00B532F6">
      <w:pPr>
        <w:rPr>
          <w:rFonts w:ascii="Arial Black" w:hAnsi="Arial Black"/>
          <w:b/>
          <w:bCs/>
          <w:sz w:val="28"/>
          <w:szCs w:val="28"/>
        </w:rPr>
      </w:pPr>
    </w:p>
    <w:p w14:paraId="43F5DC00" w14:textId="77777777" w:rsidR="00B532F6" w:rsidRDefault="00B532F6" w:rsidP="000C4DF5">
      <w:pPr>
        <w:pStyle w:val="NoSpacing"/>
        <w:rPr>
          <w:rFonts w:ascii="Arial Black" w:hAnsi="Arial Black"/>
          <w:sz w:val="24"/>
          <w:szCs w:val="24"/>
        </w:rPr>
      </w:pPr>
    </w:p>
    <w:p w14:paraId="66279F45" w14:textId="77777777" w:rsidR="00B532F6" w:rsidRDefault="00B532F6" w:rsidP="000C4DF5">
      <w:pPr>
        <w:pStyle w:val="NoSpacing"/>
        <w:rPr>
          <w:rFonts w:ascii="Arial Black" w:hAnsi="Arial Black"/>
          <w:sz w:val="24"/>
          <w:szCs w:val="24"/>
        </w:rPr>
      </w:pPr>
    </w:p>
    <w:p w14:paraId="545E9CDF" w14:textId="1059F563" w:rsidR="0003275C" w:rsidRPr="0003275C" w:rsidRDefault="0003275C" w:rsidP="000C4DF5">
      <w:pPr>
        <w:pStyle w:val="NoSpacing"/>
        <w:rPr>
          <w:rFonts w:ascii="Times New Roman" w:hAnsi="Times New Roman"/>
          <w:sz w:val="24"/>
          <w:szCs w:val="24"/>
        </w:rPr>
      </w:pPr>
      <w:r>
        <w:rPr>
          <w:rFonts w:ascii="Arial Black" w:hAnsi="Arial Black"/>
          <w:sz w:val="24"/>
          <w:szCs w:val="24"/>
        </w:rPr>
        <w:t xml:space="preserve">18-5 </w:t>
      </w:r>
    </w:p>
    <w:p w14:paraId="4BBD5A37" w14:textId="3A3AC2ED" w:rsidR="0003275C" w:rsidRDefault="0003275C" w:rsidP="000C4DF5">
      <w:pPr>
        <w:pStyle w:val="NoSpacing"/>
        <w:rPr>
          <w:rFonts w:ascii="Arial Black" w:hAnsi="Arial Black"/>
          <w:sz w:val="24"/>
          <w:szCs w:val="24"/>
        </w:rPr>
      </w:pPr>
    </w:p>
    <w:p w14:paraId="451E8559" w14:textId="77777777" w:rsidR="0003275C" w:rsidRPr="001D76B8" w:rsidRDefault="0003275C" w:rsidP="0003275C">
      <w:pPr>
        <w:pStyle w:val="NoSpacing"/>
        <w:rPr>
          <w:rFonts w:ascii="Arial Black" w:hAnsi="Arial Black"/>
          <w:sz w:val="28"/>
          <w:szCs w:val="28"/>
        </w:rPr>
      </w:pPr>
      <w:r w:rsidRPr="00DE7C27">
        <w:rPr>
          <w:rFonts w:ascii="Arial Black" w:hAnsi="Arial Black"/>
          <w:sz w:val="28"/>
          <w:szCs w:val="28"/>
        </w:rPr>
        <w:t>TX</w:t>
      </w:r>
      <w:r>
        <w:rPr>
          <w:rFonts w:ascii="Arial Black" w:hAnsi="Arial Black"/>
          <w:sz w:val="28"/>
          <w:szCs w:val="28"/>
        </w:rPr>
        <w:t>: AIR AMBULANCE – WORKERS COMP – FED. AIRLINE DEREGULATION ACT NOT REQUIRE PAY FULL CHARGES</w:t>
      </w:r>
    </w:p>
    <w:p w14:paraId="3EEE7E06" w14:textId="77777777" w:rsidR="0003275C" w:rsidRPr="00AA3FDF" w:rsidRDefault="0003275C" w:rsidP="0003275C">
      <w:pPr>
        <w:pStyle w:val="NoSpacing"/>
        <w:rPr>
          <w:rFonts w:ascii="Times New Roman" w:hAnsi="Times New Roman"/>
          <w:sz w:val="24"/>
          <w:szCs w:val="24"/>
        </w:rPr>
      </w:pPr>
    </w:p>
    <w:p w14:paraId="7B54DADB" w14:textId="6DE68114" w:rsidR="0003275C" w:rsidRDefault="0003275C" w:rsidP="0003275C">
      <w:pPr>
        <w:pStyle w:val="NoSpacing"/>
        <w:rPr>
          <w:rStyle w:val="Hyperlink"/>
          <w:rFonts w:ascii="Times New Roman" w:hAnsi="Times New Roman"/>
          <w:sz w:val="24"/>
          <w:szCs w:val="24"/>
        </w:rPr>
      </w:pPr>
      <w:r w:rsidRPr="00AA3FDF">
        <w:rPr>
          <w:rFonts w:ascii="Times New Roman" w:hAnsi="Times New Roman"/>
          <w:sz w:val="24"/>
          <w:szCs w:val="24"/>
        </w:rPr>
        <w:t xml:space="preserve">On </w:t>
      </w:r>
      <w:r>
        <w:rPr>
          <w:rFonts w:ascii="Times New Roman" w:hAnsi="Times New Roman"/>
          <w:sz w:val="24"/>
          <w:szCs w:val="24"/>
        </w:rPr>
        <w:t xml:space="preserve">June 26, 2020, in </w:t>
      </w:r>
      <w:r w:rsidRPr="00AA3FDF">
        <w:rPr>
          <w:rFonts w:ascii="Times New Roman" w:hAnsi="Times New Roman"/>
          <w:sz w:val="24"/>
          <w:szCs w:val="24"/>
          <w:u w:val="single"/>
        </w:rPr>
        <w:t>Texas Mutual Insurance Company, et al. v. PHI Air Medical, LLC</w:t>
      </w:r>
      <w:r>
        <w:rPr>
          <w:rFonts w:ascii="Times New Roman" w:hAnsi="Times New Roman"/>
          <w:sz w:val="24"/>
          <w:szCs w:val="24"/>
        </w:rPr>
        <w:t xml:space="preserve">, the Texas Supreme Court held (7 to 2) that workers comp insurance companies in Texas are only required to pay using the Texas “general reimbursement standards” and the federal Airline Deregulation Act does not provide require Texas to change their reimbursement standards. </w:t>
      </w:r>
      <w:r w:rsidRPr="00AA3FDF">
        <w:rPr>
          <w:rFonts w:ascii="Times New Roman" w:hAnsi="Times New Roman"/>
          <w:sz w:val="24"/>
          <w:szCs w:val="24"/>
        </w:rPr>
        <w:t xml:space="preserve">“This is a case about federalism. When joining our Union, each State retained fundamental aspects of its sovereignty. This sovereignty includes the </w:t>
      </w:r>
      <w:proofErr w:type="gramStart"/>
      <w:r w:rsidRPr="00AA3FDF">
        <w:rPr>
          <w:rFonts w:ascii="Times New Roman" w:hAnsi="Times New Roman"/>
          <w:sz w:val="24"/>
          <w:szCs w:val="24"/>
        </w:rPr>
        <w:t>police</w:t>
      </w:r>
      <w:proofErr w:type="gramEnd"/>
      <w:r w:rsidRPr="00AA3FDF">
        <w:rPr>
          <w:rFonts w:ascii="Times New Roman" w:hAnsi="Times New Roman"/>
          <w:sz w:val="24"/>
          <w:szCs w:val="24"/>
        </w:rPr>
        <w:t xml:space="preserve"> power to provide a compensation system for injured workers. Although the Federal Government can preempt a </w:t>
      </w:r>
      <w:proofErr w:type="gramStart"/>
      <w:r w:rsidRPr="00AA3FDF">
        <w:rPr>
          <w:rFonts w:ascii="Times New Roman" w:hAnsi="Times New Roman"/>
          <w:sz w:val="24"/>
          <w:szCs w:val="24"/>
        </w:rPr>
        <w:t>State's</w:t>
      </w:r>
      <w:proofErr w:type="gramEnd"/>
      <w:r w:rsidRPr="00AA3FDF">
        <w:rPr>
          <w:rFonts w:ascii="Times New Roman" w:hAnsi="Times New Roman"/>
          <w:sz w:val="24"/>
          <w:szCs w:val="24"/>
        </w:rPr>
        <w:t xml:space="preserve"> exercise of sovereignty by enacting an inconsistent federal law on a subject within its constitutionally enumerated powers, it has no power to order that State to regulate the subject in a particular way.”</w:t>
      </w:r>
      <w:r>
        <w:rPr>
          <w:rFonts w:ascii="Times New Roman" w:hAnsi="Times New Roman"/>
          <w:sz w:val="24"/>
          <w:szCs w:val="24"/>
        </w:rPr>
        <w:t xml:space="preserve"> </w:t>
      </w:r>
      <w:hyperlink r:id="rId2960" w:history="1">
        <w:r w:rsidRPr="007062AF">
          <w:rPr>
            <w:rStyle w:val="Hyperlink"/>
            <w:rFonts w:ascii="Times New Roman" w:hAnsi="Times New Roman"/>
            <w:sz w:val="24"/>
            <w:szCs w:val="24"/>
          </w:rPr>
          <w:t>https://public.fastcase.com/Wl%2B2t%2BeVuI35%2FN70vAMFZk1fYI9cwrY3IkIgZcFpE1Hk%2FIolkI7JdZ%2BewTVypbzK</w:t>
        </w:r>
      </w:hyperlink>
    </w:p>
    <w:p w14:paraId="3EF2CFCE" w14:textId="041AEF47" w:rsidR="0003275C" w:rsidRDefault="0003275C" w:rsidP="0003275C">
      <w:pPr>
        <w:pStyle w:val="NoSpacing"/>
        <w:rPr>
          <w:rStyle w:val="Hyperlink"/>
          <w:rFonts w:ascii="Times New Roman" w:hAnsi="Times New Roman"/>
          <w:sz w:val="24"/>
          <w:szCs w:val="24"/>
        </w:rPr>
      </w:pPr>
    </w:p>
    <w:p w14:paraId="533D2B75" w14:textId="77777777" w:rsidR="0003275C" w:rsidRDefault="0003275C" w:rsidP="0003275C">
      <w:pPr>
        <w:pStyle w:val="NoSpacing"/>
        <w:rPr>
          <w:rFonts w:ascii="Times New Roman" w:eastAsia="Times New Roman" w:hAnsi="Times New Roman"/>
          <w:b/>
          <w:bCs/>
          <w:sz w:val="24"/>
          <w:szCs w:val="24"/>
        </w:rPr>
      </w:pPr>
      <w:r>
        <w:rPr>
          <w:rFonts w:ascii="Times New Roman" w:eastAsia="Times New Roman" w:hAnsi="Times New Roman"/>
          <w:b/>
          <w:bCs/>
          <w:sz w:val="24"/>
          <w:szCs w:val="24"/>
        </w:rPr>
        <w:t>Legal Lessons Learned: The federal Airline Deregulation Act contains no reimbursement requirement for air ambulances.</w:t>
      </w:r>
    </w:p>
    <w:p w14:paraId="6CB907B6" w14:textId="77777777" w:rsidR="0003275C" w:rsidRPr="00D54047" w:rsidRDefault="0003275C" w:rsidP="0003275C">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 xml:space="preserve">Note:  The two dissenting </w:t>
      </w:r>
      <w:proofErr w:type="gramStart"/>
      <w:r>
        <w:rPr>
          <w:rFonts w:ascii="Times New Roman" w:eastAsia="Times New Roman" w:hAnsi="Times New Roman"/>
          <w:sz w:val="24"/>
          <w:szCs w:val="24"/>
        </w:rPr>
        <w:t>Justices</w:t>
      </w:r>
      <w:proofErr w:type="gramEnd"/>
      <w:r>
        <w:rPr>
          <w:rFonts w:ascii="Times New Roman" w:eastAsia="Times New Roman" w:hAnsi="Times New Roman"/>
          <w:sz w:val="24"/>
          <w:szCs w:val="24"/>
        </w:rPr>
        <w:t xml:space="preserve"> opinion:</w:t>
      </w:r>
    </w:p>
    <w:p w14:paraId="1169B3A7" w14:textId="77777777" w:rsidR="0003275C" w:rsidRDefault="0003275C" w:rsidP="0003275C">
      <w:pPr>
        <w:pStyle w:val="NoSpacing"/>
        <w:ind w:left="720"/>
        <w:rPr>
          <w:rFonts w:ascii="Times New Roman" w:hAnsi="Times New Roman"/>
          <w:sz w:val="24"/>
          <w:szCs w:val="24"/>
        </w:rPr>
      </w:pPr>
      <w:r>
        <w:rPr>
          <w:rFonts w:ascii="Times New Roman" w:eastAsia="Times New Roman" w:hAnsi="Times New Roman"/>
          <w:b/>
          <w:bCs/>
          <w:sz w:val="24"/>
          <w:szCs w:val="24"/>
        </w:rPr>
        <w:t>“</w:t>
      </w:r>
      <w:r w:rsidRPr="00D54047">
        <w:rPr>
          <w:rFonts w:ascii="Times New Roman" w:hAnsi="Times New Roman"/>
          <w:sz w:val="24"/>
          <w:szCs w:val="24"/>
        </w:rPr>
        <w:t>And Congress, when it decided to deregulate air carrier prices</w:t>
      </w:r>
      <w:r>
        <w:rPr>
          <w:rFonts w:ascii="Times New Roman" w:hAnsi="Times New Roman"/>
          <w:sz w:val="24"/>
          <w:szCs w:val="24"/>
        </w:rPr>
        <w:t xml:space="preserve"> [1978 Airline Deregulation Act]</w:t>
      </w:r>
      <w:r w:rsidRPr="00D54047">
        <w:rPr>
          <w:rFonts w:ascii="Times New Roman" w:hAnsi="Times New Roman"/>
          <w:sz w:val="24"/>
          <w:szCs w:val="24"/>
        </w:rPr>
        <w:t>, did so with the understanding that its deregulation would allow air carriers to set their own prices—not the state or those who pay air carriers consistent with state guidelines.</w:t>
      </w:r>
      <w:r>
        <w:rPr>
          <w:rFonts w:ascii="Times New Roman" w:hAnsi="Times New Roman"/>
          <w:sz w:val="24"/>
          <w:szCs w:val="24"/>
        </w:rPr>
        <w:t xml:space="preserve"> *** </w:t>
      </w:r>
      <w:r w:rsidRPr="00D54047">
        <w:rPr>
          <w:rFonts w:ascii="Times New Roman" w:hAnsi="Times New Roman"/>
          <w:sz w:val="24"/>
          <w:szCs w:val="24"/>
        </w:rPr>
        <w:t xml:space="preserve">After the insurers paid PHI based on the reimbursement scheme, PHI sought a medical fee dispute resolution before the Division, which ultimately concluded that reimbursement should be </w:t>
      </w:r>
      <w:r>
        <w:rPr>
          <w:rFonts w:ascii="Times New Roman" w:hAnsi="Times New Roman"/>
          <w:sz w:val="24"/>
          <w:szCs w:val="24"/>
        </w:rPr>
        <w:t>‘</w:t>
      </w:r>
      <w:r w:rsidRPr="00D54047">
        <w:rPr>
          <w:rFonts w:ascii="Times New Roman" w:hAnsi="Times New Roman"/>
          <w:sz w:val="24"/>
          <w:szCs w:val="24"/>
        </w:rPr>
        <w:t>fair and reasonable,</w:t>
      </w:r>
      <w:r>
        <w:rPr>
          <w:rFonts w:ascii="Times New Roman" w:hAnsi="Times New Roman"/>
          <w:sz w:val="24"/>
          <w:szCs w:val="24"/>
        </w:rPr>
        <w:t>’</w:t>
      </w:r>
      <w:r w:rsidRPr="00D54047">
        <w:rPr>
          <w:rFonts w:ascii="Times New Roman" w:hAnsi="Times New Roman"/>
          <w:sz w:val="24"/>
          <w:szCs w:val="24"/>
        </w:rPr>
        <w:t xml:space="preserve"> amounting to 125 percent of Medicare service rates. The administrative law judge determined</w:t>
      </w:r>
      <w:r>
        <w:rPr>
          <w:rFonts w:ascii="Times New Roman" w:hAnsi="Times New Roman"/>
          <w:sz w:val="24"/>
          <w:szCs w:val="24"/>
        </w:rPr>
        <w:t xml:space="preserve"> </w:t>
      </w:r>
      <w:r w:rsidRPr="00D54047">
        <w:rPr>
          <w:rFonts w:ascii="Times New Roman" w:hAnsi="Times New Roman"/>
          <w:sz w:val="24"/>
          <w:szCs w:val="24"/>
        </w:rPr>
        <w:t>on appeal</w:t>
      </w:r>
      <w:r>
        <w:rPr>
          <w:rFonts w:ascii="Times New Roman" w:hAnsi="Times New Roman"/>
          <w:sz w:val="24"/>
          <w:szCs w:val="24"/>
        </w:rPr>
        <w:t xml:space="preserve"> </w:t>
      </w:r>
      <w:r w:rsidRPr="00D54047">
        <w:rPr>
          <w:rFonts w:ascii="Times New Roman" w:hAnsi="Times New Roman"/>
          <w:sz w:val="24"/>
          <w:szCs w:val="24"/>
        </w:rPr>
        <w:t>that the “fair and reasonable” rate was 149 percent of Medicare service rates.</w:t>
      </w:r>
      <w:r>
        <w:rPr>
          <w:rFonts w:ascii="Times New Roman" w:hAnsi="Times New Roman"/>
          <w:sz w:val="24"/>
          <w:szCs w:val="24"/>
        </w:rPr>
        <w:t xml:space="preserve"> </w:t>
      </w:r>
      <w:r w:rsidRPr="00D54047">
        <w:rPr>
          <w:rFonts w:ascii="Times New Roman" w:hAnsi="Times New Roman"/>
          <w:sz w:val="24"/>
          <w:szCs w:val="24"/>
        </w:rPr>
        <w:t xml:space="preserve">The administrative law judge then ordered the insurers to pay an amount consistent with this newly determined “fair and reasonable” amount. </w:t>
      </w:r>
      <w:r w:rsidRPr="00D54047">
        <w:rPr>
          <w:rFonts w:ascii="Times New Roman" w:hAnsi="Times New Roman"/>
          <w:sz w:val="24"/>
          <w:szCs w:val="24"/>
        </w:rPr>
        <w:lastRenderedPageBreak/>
        <w:t xml:space="preserve">Under both approaches—125 or 149 percent—the amount owed was less than the amount PHI charged. After the adjustment, the requisite payment </w:t>
      </w:r>
      <w:proofErr w:type="gramStart"/>
      <w:r w:rsidRPr="00D54047">
        <w:rPr>
          <w:rFonts w:ascii="Times New Roman" w:hAnsi="Times New Roman"/>
          <w:sz w:val="24"/>
          <w:szCs w:val="24"/>
        </w:rPr>
        <w:t>foreach</w:t>
      </w:r>
      <w:proofErr w:type="gramEnd"/>
      <w:r w:rsidRPr="00D54047">
        <w:rPr>
          <w:rFonts w:ascii="Times New Roman" w:hAnsi="Times New Roman"/>
          <w:sz w:val="24"/>
          <w:szCs w:val="24"/>
        </w:rPr>
        <w:t xml:space="preserve"> transport would be between $9,989 and</w:t>
      </w:r>
      <w:r>
        <w:rPr>
          <w:rFonts w:ascii="Times New Roman" w:hAnsi="Times New Roman"/>
          <w:sz w:val="24"/>
          <w:szCs w:val="24"/>
        </w:rPr>
        <w:t xml:space="preserve"> </w:t>
      </w:r>
      <w:r w:rsidRPr="00D54047">
        <w:rPr>
          <w:rFonts w:ascii="Times New Roman" w:hAnsi="Times New Roman"/>
          <w:sz w:val="24"/>
          <w:szCs w:val="24"/>
        </w:rPr>
        <w:t xml:space="preserve">$28,000 </w:t>
      </w:r>
    </w:p>
    <w:p w14:paraId="1F1DBBC0" w14:textId="77777777" w:rsidR="0003275C" w:rsidRDefault="0003275C" w:rsidP="0003275C">
      <w:pPr>
        <w:pStyle w:val="NoSpacing"/>
        <w:ind w:left="720"/>
        <w:rPr>
          <w:rFonts w:ascii="Times New Roman" w:hAnsi="Times New Roman"/>
          <w:sz w:val="24"/>
          <w:szCs w:val="24"/>
        </w:rPr>
      </w:pPr>
      <w:hyperlink r:id="rId2961" w:history="1">
        <w:r w:rsidRPr="007062AF">
          <w:rPr>
            <w:rStyle w:val="Hyperlink"/>
            <w:rFonts w:ascii="Times New Roman" w:hAnsi="Times New Roman"/>
            <w:sz w:val="24"/>
            <w:szCs w:val="24"/>
          </w:rPr>
          <w:t>https://cases.justia.com/texas/supreme-court/2020-18-0216-1.pdf?ts=1593180294</w:t>
        </w:r>
      </w:hyperlink>
      <w:r>
        <w:rPr>
          <w:rFonts w:ascii="Times New Roman" w:hAnsi="Times New Roman"/>
          <w:sz w:val="24"/>
          <w:szCs w:val="24"/>
        </w:rPr>
        <w:t xml:space="preserve"> </w:t>
      </w:r>
      <w:r w:rsidRPr="00537A08">
        <w:rPr>
          <w:rFonts w:ascii="Times New Roman" w:hAnsi="Times New Roman"/>
          <w:sz w:val="24"/>
          <w:szCs w:val="24"/>
        </w:rPr>
        <w:t xml:space="preserve"> </w:t>
      </w:r>
    </w:p>
    <w:p w14:paraId="185A1751" w14:textId="77777777" w:rsidR="0003275C" w:rsidRDefault="0003275C" w:rsidP="0003275C">
      <w:pPr>
        <w:pStyle w:val="NoSpacing"/>
        <w:rPr>
          <w:rFonts w:ascii="Arial Black" w:hAnsi="Arial Black"/>
          <w:sz w:val="24"/>
          <w:szCs w:val="24"/>
        </w:rPr>
      </w:pPr>
    </w:p>
    <w:p w14:paraId="559120F8" w14:textId="77777777" w:rsidR="0003275C" w:rsidRDefault="0003275C" w:rsidP="000C4DF5">
      <w:pPr>
        <w:pStyle w:val="NoSpacing"/>
        <w:rPr>
          <w:rFonts w:ascii="Arial Black" w:hAnsi="Arial Black"/>
          <w:sz w:val="24"/>
          <w:szCs w:val="24"/>
        </w:rPr>
      </w:pPr>
    </w:p>
    <w:p w14:paraId="1D60BCAE" w14:textId="4CB4F7BE" w:rsidR="00420322" w:rsidRDefault="00420322" w:rsidP="000C4DF5">
      <w:pPr>
        <w:pStyle w:val="NoSpacing"/>
        <w:rPr>
          <w:rFonts w:ascii="Arial Black" w:hAnsi="Arial Black"/>
          <w:sz w:val="24"/>
          <w:szCs w:val="24"/>
        </w:rPr>
      </w:pPr>
      <w:bookmarkStart w:id="657" w:name="_Hlk66951044"/>
      <w:r>
        <w:rPr>
          <w:rFonts w:ascii="Arial Black" w:hAnsi="Arial Black"/>
          <w:sz w:val="24"/>
          <w:szCs w:val="24"/>
        </w:rPr>
        <w:t>18-4</w:t>
      </w:r>
    </w:p>
    <w:p w14:paraId="49E99C21" w14:textId="22177DD3" w:rsidR="00420322" w:rsidRDefault="00420322" w:rsidP="000C4DF5">
      <w:pPr>
        <w:pStyle w:val="NoSpacing"/>
        <w:rPr>
          <w:rFonts w:ascii="Arial Black" w:hAnsi="Arial Black"/>
          <w:sz w:val="24"/>
          <w:szCs w:val="24"/>
        </w:rPr>
      </w:pPr>
    </w:p>
    <w:p w14:paraId="2AACC266" w14:textId="77777777" w:rsidR="00420322" w:rsidRPr="00B01F90" w:rsidRDefault="00420322" w:rsidP="00420322">
      <w:pPr>
        <w:rPr>
          <w:rFonts w:ascii="Arial Black" w:hAnsi="Arial Black"/>
          <w:sz w:val="28"/>
          <w:szCs w:val="28"/>
        </w:rPr>
      </w:pPr>
      <w:bookmarkStart w:id="658" w:name="_Hlk39773435"/>
      <w:r w:rsidRPr="00B01F90">
        <w:rPr>
          <w:rFonts w:ascii="Arial Black" w:hAnsi="Arial Black"/>
          <w:sz w:val="28"/>
          <w:szCs w:val="28"/>
        </w:rPr>
        <w:t>PA</w:t>
      </w:r>
      <w:r>
        <w:rPr>
          <w:rFonts w:ascii="Arial Black" w:hAnsi="Arial Black"/>
          <w:sz w:val="28"/>
          <w:szCs w:val="28"/>
        </w:rPr>
        <w:t xml:space="preserve">: </w:t>
      </w:r>
      <w:r w:rsidRPr="00B01F90">
        <w:rPr>
          <w:rFonts w:ascii="Arial Black" w:hAnsi="Arial Black"/>
          <w:sz w:val="28"/>
          <w:szCs w:val="28"/>
        </w:rPr>
        <w:t>PHIL</w:t>
      </w:r>
      <w:r>
        <w:rPr>
          <w:rFonts w:ascii="Arial Black" w:hAnsi="Arial Black"/>
          <w:sz w:val="28"/>
          <w:szCs w:val="28"/>
        </w:rPr>
        <w:t xml:space="preserve">ADEPHIA </w:t>
      </w:r>
      <w:r w:rsidRPr="00B01F90">
        <w:rPr>
          <w:rFonts w:ascii="Arial Black" w:hAnsi="Arial Black"/>
          <w:sz w:val="28"/>
          <w:szCs w:val="28"/>
        </w:rPr>
        <w:t xml:space="preserve">FF WITH LUNG CANCER – SMOKER </w:t>
      </w:r>
      <w:r>
        <w:rPr>
          <w:rFonts w:ascii="Arial Black" w:hAnsi="Arial Black"/>
          <w:sz w:val="28"/>
          <w:szCs w:val="28"/>
        </w:rPr>
        <w:t>–</w:t>
      </w:r>
      <w:r w:rsidRPr="00B01F90">
        <w:rPr>
          <w:rFonts w:ascii="Arial Black" w:hAnsi="Arial Black"/>
          <w:sz w:val="28"/>
          <w:szCs w:val="28"/>
        </w:rPr>
        <w:t xml:space="preserve"> </w:t>
      </w:r>
      <w:r>
        <w:rPr>
          <w:rFonts w:ascii="Arial Black" w:hAnsi="Arial Black"/>
          <w:sz w:val="28"/>
          <w:szCs w:val="28"/>
        </w:rPr>
        <w:t xml:space="preserve">WILL RECEIVE WORKERS COMP BENEFITS – 2011 </w:t>
      </w:r>
      <w:r w:rsidRPr="00B01F90">
        <w:rPr>
          <w:rFonts w:ascii="Arial Black" w:hAnsi="Arial Black"/>
          <w:sz w:val="28"/>
          <w:szCs w:val="28"/>
        </w:rPr>
        <w:t>STATUTORY PRESUMPTION</w:t>
      </w:r>
      <w:r>
        <w:rPr>
          <w:rFonts w:ascii="Arial Black" w:hAnsi="Arial Black"/>
          <w:sz w:val="28"/>
          <w:szCs w:val="28"/>
        </w:rPr>
        <w:t xml:space="preserve"> LAW</w:t>
      </w:r>
    </w:p>
    <w:p w14:paraId="40AA9F4B" w14:textId="77777777" w:rsidR="00420322" w:rsidRDefault="00420322" w:rsidP="00420322">
      <w:pPr>
        <w:rPr>
          <w:rFonts w:ascii="Times New Roman" w:hAnsi="Times New Roman"/>
          <w:sz w:val="24"/>
          <w:szCs w:val="24"/>
        </w:rPr>
      </w:pPr>
      <w:r w:rsidRPr="00B01F90">
        <w:rPr>
          <w:rFonts w:ascii="Times New Roman" w:hAnsi="Times New Roman"/>
          <w:sz w:val="24"/>
          <w:szCs w:val="24"/>
        </w:rPr>
        <w:t xml:space="preserve">On </w:t>
      </w:r>
      <w:bookmarkStart w:id="659" w:name="_Hlk39861439"/>
      <w:r w:rsidRPr="00B01F90">
        <w:rPr>
          <w:rFonts w:ascii="Times New Roman" w:hAnsi="Times New Roman"/>
          <w:sz w:val="24"/>
          <w:szCs w:val="24"/>
        </w:rPr>
        <w:t xml:space="preserve">Jan. 3, 2020, in </w:t>
      </w:r>
      <w:r w:rsidRPr="00B01F90">
        <w:rPr>
          <w:rFonts w:ascii="Times New Roman" w:hAnsi="Times New Roman"/>
          <w:sz w:val="24"/>
          <w:szCs w:val="24"/>
          <w:u w:val="single"/>
        </w:rPr>
        <w:t>Wayne Deloatch v. Workers’ Compensation Appeal Board (City of Philadelphia)</w:t>
      </w:r>
      <w:r>
        <w:rPr>
          <w:rFonts w:ascii="Times New Roman" w:hAnsi="Times New Roman"/>
          <w:sz w:val="24"/>
          <w:szCs w:val="24"/>
        </w:rPr>
        <w:t xml:space="preserve">, </w:t>
      </w:r>
      <w:bookmarkEnd w:id="659"/>
      <w:r>
        <w:rPr>
          <w:rFonts w:ascii="Times New Roman" w:hAnsi="Times New Roman"/>
          <w:sz w:val="24"/>
          <w:szCs w:val="24"/>
        </w:rPr>
        <w:t xml:space="preserve">the Commonwealth Court of Pennsylvania held (3 to 0) that the firefighter is entitled to benefits.  </w:t>
      </w:r>
    </w:p>
    <w:bookmarkEnd w:id="657"/>
    <w:p w14:paraId="6CADCAB9" w14:textId="77777777" w:rsidR="00420322" w:rsidRPr="00F56F6D" w:rsidRDefault="00420322" w:rsidP="00420322">
      <w:pPr>
        <w:spacing w:before="100" w:beforeAutospacing="1" w:after="100" w:afterAutospacing="1" w:line="240" w:lineRule="auto"/>
        <w:ind w:left="720"/>
        <w:rPr>
          <w:rFonts w:ascii="Times New Roman" w:eastAsia="Times New Roman" w:hAnsi="Times New Roman"/>
          <w:sz w:val="24"/>
          <w:szCs w:val="24"/>
        </w:rPr>
      </w:pPr>
      <w:r w:rsidRPr="00B01F90">
        <w:rPr>
          <w:rFonts w:ascii="Times New Roman" w:eastAsia="Times New Roman" w:hAnsi="Times New Roman"/>
          <w:sz w:val="24"/>
          <w:szCs w:val="24"/>
        </w:rPr>
        <w:t>“</w:t>
      </w:r>
      <w:r w:rsidRPr="00B01F90">
        <w:rPr>
          <w:rFonts w:ascii="Times New Roman" w:hAnsi="Times New Roman"/>
          <w:sz w:val="24"/>
          <w:szCs w:val="24"/>
        </w:rPr>
        <w:t>During Claimant's firefighting career (20 years), he fought approximately 200-300 fires, including building, house, car, dumpster, trash, grass, and field fires, which exposed him to smoke.</w:t>
      </w:r>
      <w:r>
        <w:rPr>
          <w:rFonts w:ascii="Times New Roman" w:hAnsi="Times New Roman"/>
          <w:sz w:val="24"/>
          <w:szCs w:val="24"/>
        </w:rPr>
        <w:t xml:space="preserve"> *** </w:t>
      </w:r>
      <w:r w:rsidRPr="00B01F90">
        <w:rPr>
          <w:rFonts w:ascii="Times New Roman" w:eastAsia="Times New Roman" w:hAnsi="Times New Roman"/>
          <w:sz w:val="24"/>
          <w:szCs w:val="24"/>
        </w:rPr>
        <w:t>Claimant did not use the SCBA during exterior firefighting—</w:t>
      </w:r>
      <w:r w:rsidRPr="00B01F90">
        <w:rPr>
          <w:rFonts w:ascii="Times New Roman" w:eastAsia="Times New Roman" w:hAnsi="Times New Roman"/>
          <w:i/>
          <w:iCs/>
          <w:sz w:val="24"/>
          <w:szCs w:val="24"/>
        </w:rPr>
        <w:t>i</w:t>
      </w:r>
      <w:r w:rsidRPr="00B01F90">
        <w:rPr>
          <w:rFonts w:ascii="Times New Roman" w:eastAsia="Times New Roman" w:hAnsi="Times New Roman"/>
          <w:sz w:val="24"/>
          <w:szCs w:val="24"/>
        </w:rPr>
        <w:t>.</w:t>
      </w:r>
      <w:r w:rsidRPr="00B01F90">
        <w:rPr>
          <w:rFonts w:ascii="Times New Roman" w:eastAsia="Times New Roman" w:hAnsi="Times New Roman"/>
          <w:i/>
          <w:iCs/>
          <w:sz w:val="24"/>
          <w:szCs w:val="24"/>
        </w:rPr>
        <w:t>e</w:t>
      </w:r>
      <w:r w:rsidRPr="00B01F90">
        <w:rPr>
          <w:rFonts w:ascii="Times New Roman" w:eastAsia="Times New Roman" w:hAnsi="Times New Roman"/>
          <w:sz w:val="24"/>
          <w:szCs w:val="24"/>
        </w:rPr>
        <w:t xml:space="preserve">., outdoor firefighting—or overhaul, which entailed </w:t>
      </w:r>
      <w:r>
        <w:rPr>
          <w:rFonts w:ascii="Times New Roman" w:eastAsia="Times New Roman" w:hAnsi="Times New Roman"/>
          <w:sz w:val="24"/>
          <w:szCs w:val="24"/>
        </w:rPr>
        <w:t>‘</w:t>
      </w:r>
      <w:r w:rsidRPr="00B01F90">
        <w:rPr>
          <w:rFonts w:ascii="Times New Roman" w:eastAsia="Times New Roman" w:hAnsi="Times New Roman"/>
          <w:sz w:val="24"/>
          <w:szCs w:val="24"/>
        </w:rPr>
        <w:t>ripping of walls, ceilings, searching for any hidden fire and extinguishing that if it's visible.</w:t>
      </w:r>
      <w:r>
        <w:rPr>
          <w:rFonts w:ascii="Times New Roman" w:eastAsia="Times New Roman" w:hAnsi="Times New Roman"/>
          <w:sz w:val="24"/>
          <w:szCs w:val="24"/>
        </w:rPr>
        <w:t xml:space="preserve">’… </w:t>
      </w:r>
      <w:r w:rsidRPr="00B01F90">
        <w:rPr>
          <w:rFonts w:ascii="Times New Roman" w:eastAsia="Times New Roman" w:hAnsi="Times New Roman"/>
          <w:sz w:val="24"/>
          <w:szCs w:val="24"/>
        </w:rPr>
        <w:t>After exposure to each fire incident, Claimant's body would be coated in soot, and Claimant would often find soot in his nasal secretions up to a week after exposure</w:t>
      </w:r>
      <w:r>
        <w:rPr>
          <w:rFonts w:ascii="Times New Roman" w:eastAsia="Times New Roman" w:hAnsi="Times New Roman"/>
          <w:sz w:val="24"/>
          <w:szCs w:val="24"/>
        </w:rPr>
        <w:t xml:space="preserve">…. </w:t>
      </w:r>
      <w:r w:rsidRPr="00B01F90">
        <w:rPr>
          <w:rFonts w:ascii="Times New Roman" w:eastAsia="Times New Roman" w:hAnsi="Times New Roman"/>
          <w:sz w:val="24"/>
          <w:szCs w:val="24"/>
        </w:rPr>
        <w:t>Claimant further testified that he stopped smoking cigarettes in 2011, but had a 30 to 35-year-long smoking history</w:t>
      </w:r>
      <w:r>
        <w:rPr>
          <w:rFonts w:ascii="Times New Roman" w:eastAsia="Times New Roman" w:hAnsi="Times New Roman"/>
          <w:sz w:val="24"/>
          <w:szCs w:val="24"/>
        </w:rPr>
        <w:t xml:space="preserve">… </w:t>
      </w:r>
      <w:r w:rsidRPr="00B01F90">
        <w:rPr>
          <w:rFonts w:ascii="Times New Roman" w:eastAsia="Times New Roman" w:hAnsi="Times New Roman"/>
          <w:sz w:val="24"/>
          <w:szCs w:val="24"/>
        </w:rPr>
        <w:t>During that period, Claimant recalled smoking only one pack of cigarettes per week</w:t>
      </w:r>
      <w:r>
        <w:rPr>
          <w:rFonts w:ascii="Times New Roman" w:eastAsia="Times New Roman" w:hAnsi="Times New Roman"/>
          <w:sz w:val="24"/>
          <w:szCs w:val="24"/>
        </w:rPr>
        <w:t xml:space="preserve">…. </w:t>
      </w:r>
      <w:r w:rsidRPr="00B01F90">
        <w:rPr>
          <w:rFonts w:ascii="Times New Roman" w:eastAsia="Times New Roman" w:hAnsi="Times New Roman"/>
          <w:sz w:val="24"/>
          <w:szCs w:val="24"/>
        </w:rPr>
        <w:t xml:space="preserve">Firefighters were permitted to smoke in the fire stations, and Claimant worked with smokers during his career as a firefighter. </w:t>
      </w:r>
      <w:r>
        <w:rPr>
          <w:rFonts w:ascii="Times New Roman" w:eastAsia="Times New Roman" w:hAnsi="Times New Roman"/>
          <w:sz w:val="24"/>
          <w:szCs w:val="24"/>
        </w:rPr>
        <w:t xml:space="preserve">*** </w:t>
      </w:r>
      <w:r w:rsidRPr="00F56F6D">
        <w:rPr>
          <w:rFonts w:ascii="Times New Roman" w:eastAsia="Times New Roman" w:hAnsi="Times New Roman"/>
          <w:sz w:val="24"/>
          <w:szCs w:val="24"/>
        </w:rPr>
        <w:t>For the reasons set forth above, Claimant established that he was entitled to the statutory presumption under Section 301(f) of the Act, being that his lung cancer was caused by the occupation of firefighting. Employer failed to rebut the statutory presumption with substantial competent evidence that Claimant's</w:t>
      </w:r>
      <w:r>
        <w:rPr>
          <w:rFonts w:ascii="Times New Roman" w:eastAsia="Times New Roman" w:hAnsi="Times New Roman"/>
          <w:sz w:val="24"/>
          <w:szCs w:val="24"/>
        </w:rPr>
        <w:t xml:space="preserve"> </w:t>
      </w:r>
      <w:r w:rsidRPr="00F56F6D">
        <w:rPr>
          <w:rFonts w:ascii="Times New Roman" w:eastAsia="Times New Roman" w:hAnsi="Times New Roman"/>
          <w:sz w:val="24"/>
          <w:szCs w:val="24"/>
        </w:rPr>
        <w:t xml:space="preserve">cancer was caused by something other than his workplace exposure to IARC Group 1 carcinogens linked to lung cancer. </w:t>
      </w:r>
      <w:bookmarkStart w:id="660" w:name="_Hlk39861416"/>
      <w:bookmarkStart w:id="661" w:name="_Hlk66951065"/>
      <w:r w:rsidR="00B0089C">
        <w:fldChar w:fldCharType="begin"/>
      </w:r>
      <w:r w:rsidR="00B0089C">
        <w:instrText xml:space="preserve"> HYPERLINK "https://public.fastcase.com/Wl%2B2t%2BeVuI35%2FN70vAMFZi2NtCwkTvdiKyrWKXTmtjwARSxGp50rXf7QoqUpwr%2BO" </w:instrText>
      </w:r>
      <w:r w:rsidR="00B0089C">
        <w:fldChar w:fldCharType="separate"/>
      </w:r>
      <w:r w:rsidRPr="00B01F90">
        <w:rPr>
          <w:rStyle w:val="Hyperlink"/>
          <w:rFonts w:ascii="Times New Roman" w:eastAsia="Times New Roman" w:hAnsi="Times New Roman"/>
          <w:sz w:val="24"/>
          <w:szCs w:val="24"/>
        </w:rPr>
        <w:t>https://public.fastcase.com/Wl%2B2t%2BeVuI35%2FN70vAMFZi2NtCwkTvdiKyrWKXTmtjwARSxGp50rXf7QoqUpwr%2BO</w:t>
      </w:r>
      <w:r w:rsidR="00B0089C">
        <w:rPr>
          <w:rStyle w:val="Hyperlink"/>
          <w:rFonts w:ascii="Times New Roman" w:eastAsia="Times New Roman" w:hAnsi="Times New Roman"/>
          <w:sz w:val="24"/>
          <w:szCs w:val="24"/>
        </w:rPr>
        <w:fldChar w:fldCharType="end"/>
      </w:r>
      <w:r w:rsidRPr="00B01F90">
        <w:rPr>
          <w:rFonts w:ascii="Times New Roman" w:eastAsia="Times New Roman" w:hAnsi="Times New Roman"/>
          <w:sz w:val="24"/>
          <w:szCs w:val="24"/>
        </w:rPr>
        <w:t xml:space="preserve"> </w:t>
      </w:r>
    </w:p>
    <w:p w14:paraId="7A42C757" w14:textId="159DF03F" w:rsidR="00420322" w:rsidRPr="00E600C4" w:rsidRDefault="00E600C4" w:rsidP="000C4DF5">
      <w:pPr>
        <w:pStyle w:val="NoSpacing"/>
        <w:rPr>
          <w:rFonts w:ascii="Times New Roman" w:hAnsi="Times New Roman"/>
          <w:b/>
          <w:bCs/>
          <w:sz w:val="24"/>
          <w:szCs w:val="24"/>
        </w:rPr>
      </w:pPr>
      <w:bookmarkStart w:id="662" w:name="_Hlk40517361"/>
      <w:bookmarkEnd w:id="658"/>
      <w:bookmarkEnd w:id="660"/>
      <w:r w:rsidRPr="00E600C4">
        <w:rPr>
          <w:rFonts w:ascii="Times New Roman" w:hAnsi="Times New Roman"/>
          <w:b/>
          <w:bCs/>
          <w:sz w:val="24"/>
          <w:szCs w:val="24"/>
        </w:rPr>
        <w:t xml:space="preserve">Legal Lessons Learned:  Statutory presumption laws are being enacted throughout our Nation. </w:t>
      </w:r>
    </w:p>
    <w:bookmarkEnd w:id="661"/>
    <w:bookmarkEnd w:id="662"/>
    <w:p w14:paraId="7D34EF81" w14:textId="77777777" w:rsidR="00420322" w:rsidRPr="00E600C4" w:rsidRDefault="00420322" w:rsidP="000C4DF5">
      <w:pPr>
        <w:pStyle w:val="NoSpacing"/>
        <w:rPr>
          <w:rFonts w:ascii="Times New Roman" w:hAnsi="Times New Roman"/>
          <w:sz w:val="24"/>
          <w:szCs w:val="24"/>
        </w:rPr>
      </w:pPr>
    </w:p>
    <w:p w14:paraId="787CEE54" w14:textId="77777777" w:rsidR="00420322" w:rsidRDefault="00420322" w:rsidP="000C4DF5">
      <w:pPr>
        <w:pStyle w:val="NoSpacing"/>
        <w:rPr>
          <w:rFonts w:ascii="Arial Black" w:hAnsi="Arial Black"/>
          <w:sz w:val="24"/>
          <w:szCs w:val="24"/>
        </w:rPr>
      </w:pPr>
    </w:p>
    <w:p w14:paraId="25C454C4" w14:textId="77777777" w:rsidR="00420322" w:rsidRDefault="00420322" w:rsidP="000C4DF5">
      <w:pPr>
        <w:pStyle w:val="NoSpacing"/>
        <w:rPr>
          <w:rFonts w:ascii="Arial Black" w:hAnsi="Arial Black"/>
          <w:sz w:val="24"/>
          <w:szCs w:val="24"/>
        </w:rPr>
      </w:pPr>
    </w:p>
    <w:p w14:paraId="230AD1B8" w14:textId="6BD00107" w:rsidR="00420322" w:rsidRDefault="00420322" w:rsidP="000C4DF5">
      <w:pPr>
        <w:pStyle w:val="NoSpacing"/>
        <w:rPr>
          <w:rFonts w:ascii="Arial Black" w:hAnsi="Arial Black"/>
          <w:sz w:val="24"/>
          <w:szCs w:val="24"/>
        </w:rPr>
      </w:pPr>
      <w:r>
        <w:rPr>
          <w:rFonts w:ascii="Arial Black" w:hAnsi="Arial Black"/>
          <w:sz w:val="24"/>
          <w:szCs w:val="24"/>
        </w:rPr>
        <w:t>18-3</w:t>
      </w:r>
    </w:p>
    <w:p w14:paraId="0E3E2593" w14:textId="013427E9" w:rsidR="00420322" w:rsidRDefault="00420322" w:rsidP="000C4DF5">
      <w:pPr>
        <w:pStyle w:val="NoSpacing"/>
        <w:rPr>
          <w:rFonts w:ascii="Arial Black" w:hAnsi="Arial Black"/>
          <w:sz w:val="24"/>
          <w:szCs w:val="24"/>
        </w:rPr>
      </w:pPr>
    </w:p>
    <w:p w14:paraId="29B93F8A" w14:textId="5E8ED5B8" w:rsidR="00420322" w:rsidRDefault="00420322" w:rsidP="00420322">
      <w:pPr>
        <w:rPr>
          <w:rFonts w:ascii="Arial Black" w:hAnsi="Arial Black"/>
          <w:sz w:val="28"/>
          <w:szCs w:val="28"/>
        </w:rPr>
      </w:pPr>
      <w:bookmarkStart w:id="663" w:name="_Hlk39773484"/>
      <w:bookmarkStart w:id="664" w:name="_Hlk41314621"/>
      <w:r w:rsidRPr="00407E0E">
        <w:rPr>
          <w:rFonts w:ascii="Arial Black" w:hAnsi="Arial Black"/>
          <w:sz w:val="28"/>
          <w:szCs w:val="28"/>
        </w:rPr>
        <w:t>RI:</w:t>
      </w:r>
      <w:r>
        <w:rPr>
          <w:rFonts w:ascii="Arial Black" w:hAnsi="Arial Black"/>
          <w:sz w:val="28"/>
          <w:szCs w:val="28"/>
        </w:rPr>
        <w:t xml:space="preserve"> CRANSTON FF – 20 YRS ON FD - DIED COLON CANCER 2017 – RI SUPREME COURT DENIES WIDOW ACCIDENTAL DISABILITY PENSION </w:t>
      </w:r>
    </w:p>
    <w:p w14:paraId="42C7480E" w14:textId="77777777" w:rsidR="00420322" w:rsidRDefault="00420322" w:rsidP="00420322">
      <w:pPr>
        <w:rPr>
          <w:b/>
          <w:bCs/>
        </w:rPr>
      </w:pPr>
      <w:r w:rsidRPr="00212873">
        <w:rPr>
          <w:rFonts w:ascii="Times New Roman" w:hAnsi="Times New Roman"/>
          <w:sz w:val="24"/>
          <w:szCs w:val="24"/>
        </w:rPr>
        <w:t xml:space="preserve">On </w:t>
      </w:r>
      <w:bookmarkStart w:id="665" w:name="_Hlk39861640"/>
      <w:r w:rsidRPr="00212873">
        <w:rPr>
          <w:rFonts w:ascii="Times New Roman" w:hAnsi="Times New Roman"/>
          <w:sz w:val="24"/>
          <w:szCs w:val="24"/>
        </w:rPr>
        <w:t xml:space="preserve">Dec. 18, </w:t>
      </w:r>
      <w:proofErr w:type="gramStart"/>
      <w:r w:rsidRPr="00212873">
        <w:rPr>
          <w:rFonts w:ascii="Times New Roman" w:hAnsi="Times New Roman"/>
          <w:sz w:val="24"/>
          <w:szCs w:val="24"/>
        </w:rPr>
        <w:t>2019</w:t>
      </w:r>
      <w:proofErr w:type="gramEnd"/>
      <w:r w:rsidRPr="00212873">
        <w:rPr>
          <w:rFonts w:ascii="Times New Roman" w:hAnsi="Times New Roman"/>
          <w:sz w:val="24"/>
          <w:szCs w:val="24"/>
        </w:rPr>
        <w:t xml:space="preserve"> in </w:t>
      </w:r>
      <w:r w:rsidRPr="00212873">
        <w:rPr>
          <w:rFonts w:ascii="Times New Roman" w:hAnsi="Times New Roman"/>
          <w:sz w:val="24"/>
          <w:szCs w:val="24"/>
          <w:u w:val="single"/>
        </w:rPr>
        <w:t>Corrine A. Lang as Executrix of Estate of Kevin Land v. Municipal Employees’ Retirement System of Rhode Island</w:t>
      </w:r>
      <w:bookmarkEnd w:id="665"/>
      <w:r w:rsidRPr="00212873">
        <w:rPr>
          <w:rFonts w:ascii="Times New Roman" w:hAnsi="Times New Roman"/>
          <w:sz w:val="24"/>
          <w:szCs w:val="24"/>
        </w:rPr>
        <w:t xml:space="preserve">, the Supreme Court of Rode Island </w:t>
      </w:r>
      <w:r>
        <w:rPr>
          <w:rFonts w:ascii="Times New Roman" w:hAnsi="Times New Roman"/>
          <w:sz w:val="24"/>
          <w:szCs w:val="24"/>
        </w:rPr>
        <w:t xml:space="preserve">ruled </w:t>
      </w:r>
      <w:r w:rsidRPr="00212873">
        <w:rPr>
          <w:rFonts w:ascii="Times New Roman" w:hAnsi="Times New Roman"/>
          <w:sz w:val="24"/>
          <w:szCs w:val="24"/>
        </w:rPr>
        <w:t>(4 to 1)</w:t>
      </w:r>
      <w:r>
        <w:rPr>
          <w:rFonts w:ascii="Times New Roman" w:hAnsi="Times New Roman"/>
          <w:sz w:val="24"/>
          <w:szCs w:val="24"/>
        </w:rPr>
        <w:t xml:space="preserve"> that the widow was not entitled to an award of accidental disability benefits, reversing the </w:t>
      </w:r>
      <w:r w:rsidRPr="00212873">
        <w:rPr>
          <w:rFonts w:ascii="Times New Roman" w:hAnsi="Times New Roman"/>
          <w:sz w:val="24"/>
          <w:szCs w:val="24"/>
        </w:rPr>
        <w:t>Appellate Division of the Workers’ Compensation Court</w:t>
      </w:r>
      <w:r>
        <w:rPr>
          <w:rFonts w:ascii="Times New Roman" w:hAnsi="Times New Roman"/>
          <w:sz w:val="24"/>
          <w:szCs w:val="24"/>
        </w:rPr>
        <w:t>.</w:t>
      </w:r>
    </w:p>
    <w:p w14:paraId="72242064" w14:textId="77777777" w:rsidR="00420322" w:rsidRDefault="00420322" w:rsidP="00420322">
      <w:pPr>
        <w:pStyle w:val="NoSpacing"/>
        <w:ind w:left="720"/>
        <w:rPr>
          <w:rFonts w:ascii="Times New Roman" w:hAnsi="Times New Roman"/>
          <w:sz w:val="24"/>
          <w:szCs w:val="24"/>
        </w:rPr>
      </w:pPr>
      <w:r>
        <w:rPr>
          <w:rFonts w:ascii="Times New Roman" w:hAnsi="Times New Roman"/>
          <w:sz w:val="24"/>
          <w:szCs w:val="24"/>
        </w:rPr>
        <w:t>“</w:t>
      </w:r>
      <w:r w:rsidRPr="00212873">
        <w:rPr>
          <w:rFonts w:ascii="Times New Roman" w:hAnsi="Times New Roman"/>
          <w:sz w:val="24"/>
          <w:szCs w:val="24"/>
        </w:rPr>
        <w:t>To conclude that the language in § 45-19.1-1 creates a conclusive presumption would not only render the statutory definition of occupational cancer in § 45-19.1-2(d) meaningless</w:t>
      </w:r>
      <w:r>
        <w:rPr>
          <w:rFonts w:ascii="Times New Roman" w:hAnsi="Times New Roman"/>
          <w:sz w:val="24"/>
          <w:szCs w:val="24"/>
        </w:rPr>
        <w:t xml:space="preserve"> </w:t>
      </w:r>
      <w:r w:rsidRPr="00212873">
        <w:rPr>
          <w:rFonts w:ascii="Times New Roman" w:hAnsi="Times New Roman"/>
          <w:sz w:val="24"/>
          <w:szCs w:val="24"/>
        </w:rPr>
        <w:t xml:space="preserve">and create a right not found within the </w:t>
      </w:r>
      <w:proofErr w:type="gramStart"/>
      <w:r w:rsidRPr="00212873">
        <w:rPr>
          <w:rFonts w:ascii="Times New Roman" w:hAnsi="Times New Roman"/>
          <w:sz w:val="24"/>
          <w:szCs w:val="24"/>
        </w:rPr>
        <w:t>statute,</w:t>
      </w:r>
      <w:r>
        <w:rPr>
          <w:rFonts w:ascii="Times New Roman" w:hAnsi="Times New Roman"/>
          <w:sz w:val="24"/>
          <w:szCs w:val="24"/>
        </w:rPr>
        <w:t xml:space="preserve"> </w:t>
      </w:r>
      <w:r w:rsidRPr="00212873">
        <w:rPr>
          <w:rFonts w:ascii="Times New Roman" w:hAnsi="Times New Roman"/>
          <w:sz w:val="24"/>
          <w:szCs w:val="24"/>
        </w:rPr>
        <w:t>but</w:t>
      </w:r>
      <w:proofErr w:type="gramEnd"/>
      <w:r w:rsidRPr="00212873">
        <w:rPr>
          <w:rFonts w:ascii="Times New Roman" w:hAnsi="Times New Roman"/>
          <w:sz w:val="24"/>
          <w:szCs w:val="24"/>
        </w:rPr>
        <w:t xml:space="preserve"> would also construe the statute to reach an absurd result. For example, a </w:t>
      </w:r>
      <w:r w:rsidRPr="00212873">
        <w:rPr>
          <w:rFonts w:ascii="Times New Roman" w:hAnsi="Times New Roman"/>
          <w:sz w:val="24"/>
          <w:szCs w:val="24"/>
        </w:rPr>
        <w:lastRenderedPageBreak/>
        <w:t>conclusive presumption that all cancers in firefighters are occupational cancers would mean that a firefighter who</w:t>
      </w:r>
      <w:r>
        <w:rPr>
          <w:rFonts w:ascii="Times New Roman" w:hAnsi="Times New Roman"/>
          <w:sz w:val="24"/>
          <w:szCs w:val="24"/>
        </w:rPr>
        <w:t xml:space="preserve"> </w:t>
      </w:r>
      <w:r w:rsidRPr="00212873">
        <w:rPr>
          <w:rFonts w:ascii="Times New Roman" w:hAnsi="Times New Roman"/>
          <w:sz w:val="24"/>
          <w:szCs w:val="24"/>
        </w:rPr>
        <w:t>smoked four packs</w:t>
      </w:r>
      <w:r>
        <w:rPr>
          <w:rFonts w:ascii="Times New Roman" w:hAnsi="Times New Roman"/>
          <w:sz w:val="24"/>
          <w:szCs w:val="24"/>
        </w:rPr>
        <w:t xml:space="preserve"> </w:t>
      </w:r>
      <w:r w:rsidRPr="00212873">
        <w:rPr>
          <w:rFonts w:ascii="Times New Roman" w:hAnsi="Times New Roman"/>
          <w:sz w:val="24"/>
          <w:szCs w:val="24"/>
        </w:rPr>
        <w:t>of cigarettes a day</w:t>
      </w:r>
      <w:r>
        <w:rPr>
          <w:rFonts w:ascii="Times New Roman" w:hAnsi="Times New Roman"/>
          <w:sz w:val="24"/>
          <w:szCs w:val="24"/>
        </w:rPr>
        <w:t xml:space="preserve"> </w:t>
      </w:r>
      <w:r w:rsidRPr="00212873">
        <w:rPr>
          <w:rFonts w:ascii="Times New Roman" w:hAnsi="Times New Roman"/>
          <w:sz w:val="24"/>
          <w:szCs w:val="24"/>
        </w:rPr>
        <w:t>for decades</w:t>
      </w:r>
      <w:r>
        <w:rPr>
          <w:rFonts w:ascii="Times New Roman" w:hAnsi="Times New Roman"/>
          <w:sz w:val="24"/>
          <w:szCs w:val="24"/>
        </w:rPr>
        <w:t xml:space="preserve"> </w:t>
      </w:r>
      <w:r w:rsidRPr="00212873">
        <w:rPr>
          <w:rFonts w:ascii="Times New Roman" w:hAnsi="Times New Roman"/>
          <w:sz w:val="24"/>
          <w:szCs w:val="24"/>
        </w:rPr>
        <w:t>would receive an occupational cancer disability benefit despite not having proved</w:t>
      </w:r>
      <w:r>
        <w:rPr>
          <w:rFonts w:ascii="Times New Roman" w:hAnsi="Times New Roman"/>
          <w:sz w:val="24"/>
          <w:szCs w:val="24"/>
        </w:rPr>
        <w:t xml:space="preserve"> </w:t>
      </w:r>
      <w:r w:rsidRPr="00212873">
        <w:rPr>
          <w:rFonts w:ascii="Times New Roman" w:hAnsi="Times New Roman"/>
          <w:sz w:val="24"/>
          <w:szCs w:val="24"/>
        </w:rPr>
        <w:t>that his cancer was related</w:t>
      </w:r>
      <w:r>
        <w:rPr>
          <w:rFonts w:ascii="Times New Roman" w:hAnsi="Times New Roman"/>
          <w:sz w:val="24"/>
          <w:szCs w:val="24"/>
        </w:rPr>
        <w:t xml:space="preserve"> </w:t>
      </w:r>
      <w:r w:rsidRPr="00212873">
        <w:rPr>
          <w:rFonts w:ascii="Times New Roman" w:hAnsi="Times New Roman"/>
          <w:sz w:val="24"/>
          <w:szCs w:val="24"/>
        </w:rPr>
        <w:t>to exposure on the job.</w:t>
      </w:r>
      <w:r>
        <w:rPr>
          <w:rFonts w:ascii="Times New Roman" w:hAnsi="Times New Roman"/>
          <w:sz w:val="24"/>
          <w:szCs w:val="24"/>
        </w:rPr>
        <w:t xml:space="preserve"> </w:t>
      </w:r>
      <w:r w:rsidRPr="00212873">
        <w:rPr>
          <w:rFonts w:ascii="Times New Roman" w:hAnsi="Times New Roman"/>
          <w:sz w:val="24"/>
          <w:szCs w:val="24"/>
        </w:rPr>
        <w:t xml:space="preserve">Similarly, a conclusive presumption would provide occupational cancer benefits to a firefighter who contracted cancer </w:t>
      </w:r>
      <w:proofErr w:type="gramStart"/>
      <w:r w:rsidRPr="00212873">
        <w:rPr>
          <w:rFonts w:ascii="Times New Roman" w:hAnsi="Times New Roman"/>
          <w:sz w:val="24"/>
          <w:szCs w:val="24"/>
        </w:rPr>
        <w:t>as a result of</w:t>
      </w:r>
      <w:proofErr w:type="gramEnd"/>
      <w:r w:rsidRPr="00212873">
        <w:rPr>
          <w:rFonts w:ascii="Times New Roman" w:hAnsi="Times New Roman"/>
          <w:sz w:val="24"/>
          <w:szCs w:val="24"/>
        </w:rPr>
        <w:t xml:space="preserve"> exposure to</w:t>
      </w:r>
      <w:r>
        <w:rPr>
          <w:rFonts w:ascii="Times New Roman" w:hAnsi="Times New Roman"/>
          <w:sz w:val="24"/>
          <w:szCs w:val="24"/>
        </w:rPr>
        <w:t xml:space="preserve"> </w:t>
      </w:r>
      <w:r w:rsidRPr="00212873">
        <w:rPr>
          <w:rFonts w:ascii="Times New Roman" w:hAnsi="Times New Roman"/>
          <w:sz w:val="24"/>
          <w:szCs w:val="24"/>
        </w:rPr>
        <w:t>pesticides while landscaping in his</w:t>
      </w:r>
      <w:r>
        <w:rPr>
          <w:rFonts w:ascii="Times New Roman" w:hAnsi="Times New Roman"/>
          <w:sz w:val="24"/>
          <w:szCs w:val="24"/>
        </w:rPr>
        <w:t xml:space="preserve"> </w:t>
      </w:r>
      <w:r w:rsidRPr="00212873">
        <w:rPr>
          <w:rFonts w:ascii="Times New Roman" w:hAnsi="Times New Roman"/>
          <w:sz w:val="24"/>
          <w:szCs w:val="24"/>
        </w:rPr>
        <w:t>or her</w:t>
      </w:r>
      <w:r>
        <w:rPr>
          <w:rFonts w:ascii="Times New Roman" w:hAnsi="Times New Roman"/>
          <w:sz w:val="24"/>
          <w:szCs w:val="24"/>
        </w:rPr>
        <w:t xml:space="preserve"> </w:t>
      </w:r>
      <w:r w:rsidRPr="00212873">
        <w:rPr>
          <w:rFonts w:ascii="Times New Roman" w:hAnsi="Times New Roman"/>
          <w:sz w:val="24"/>
          <w:szCs w:val="24"/>
        </w:rPr>
        <w:t>yard.</w:t>
      </w:r>
      <w:r>
        <w:rPr>
          <w:rFonts w:ascii="Times New Roman" w:hAnsi="Times New Roman"/>
          <w:sz w:val="24"/>
          <w:szCs w:val="24"/>
        </w:rPr>
        <w:t xml:space="preserve"> </w:t>
      </w:r>
      <w:r w:rsidRPr="00212873">
        <w:rPr>
          <w:rFonts w:ascii="Times New Roman" w:hAnsi="Times New Roman"/>
          <w:sz w:val="24"/>
          <w:szCs w:val="24"/>
        </w:rPr>
        <w:t>We do not believe the General Assembly would have extended such broad</w:t>
      </w:r>
      <w:r>
        <w:rPr>
          <w:rFonts w:ascii="Times New Roman" w:hAnsi="Times New Roman"/>
          <w:sz w:val="24"/>
          <w:szCs w:val="24"/>
        </w:rPr>
        <w:t xml:space="preserve"> </w:t>
      </w:r>
      <w:r w:rsidRPr="00212873">
        <w:rPr>
          <w:rFonts w:ascii="Times New Roman" w:hAnsi="Times New Roman"/>
          <w:sz w:val="24"/>
          <w:szCs w:val="24"/>
        </w:rPr>
        <w:t>benefits to all firefighters without expressly providing for</w:t>
      </w:r>
      <w:r>
        <w:rPr>
          <w:rFonts w:ascii="Times New Roman" w:hAnsi="Times New Roman"/>
          <w:sz w:val="24"/>
          <w:szCs w:val="24"/>
        </w:rPr>
        <w:t xml:space="preserve"> </w:t>
      </w:r>
      <w:r w:rsidRPr="00212873">
        <w:rPr>
          <w:rFonts w:ascii="Times New Roman" w:hAnsi="Times New Roman"/>
          <w:sz w:val="24"/>
          <w:szCs w:val="24"/>
        </w:rPr>
        <w:t>such</w:t>
      </w:r>
      <w:r>
        <w:rPr>
          <w:rFonts w:ascii="Times New Roman" w:hAnsi="Times New Roman"/>
          <w:sz w:val="24"/>
          <w:szCs w:val="24"/>
        </w:rPr>
        <w:t xml:space="preserve"> </w:t>
      </w:r>
      <w:r w:rsidRPr="00212873">
        <w:rPr>
          <w:rFonts w:ascii="Times New Roman" w:hAnsi="Times New Roman"/>
          <w:sz w:val="24"/>
          <w:szCs w:val="24"/>
        </w:rPr>
        <w:t>in clear and unambiguous language.</w:t>
      </w:r>
      <w:r>
        <w:rPr>
          <w:rFonts w:ascii="Times New Roman" w:hAnsi="Times New Roman"/>
          <w:sz w:val="24"/>
          <w:szCs w:val="24"/>
        </w:rPr>
        <w:t xml:space="preserve">” </w:t>
      </w:r>
      <w:bookmarkStart w:id="666" w:name="_Hlk39861655"/>
      <w:r w:rsidR="00B0089C">
        <w:fldChar w:fldCharType="begin"/>
      </w:r>
      <w:r w:rsidR="00B0089C">
        <w:instrText xml:space="preserve"> HYPERLINK "https://www.courts.ri.gov/Courts/SupremeCourt/SupremeOpinions/17-295.pdf" </w:instrText>
      </w:r>
      <w:r w:rsidR="00B0089C">
        <w:fldChar w:fldCharType="separate"/>
      </w:r>
      <w:r w:rsidRPr="005F7F38">
        <w:rPr>
          <w:rStyle w:val="Hyperlink"/>
          <w:rFonts w:ascii="Times New Roman" w:hAnsi="Times New Roman"/>
          <w:sz w:val="24"/>
          <w:szCs w:val="24"/>
        </w:rPr>
        <w:t>https://www.courts.ri.gov/Courts/SupremeCourt/SupremeOpinions/17-295.pdf</w:t>
      </w:r>
      <w:r w:rsidR="00B0089C">
        <w:rPr>
          <w:rStyle w:val="Hyperlink"/>
          <w:rFonts w:ascii="Times New Roman" w:hAnsi="Times New Roman"/>
          <w:sz w:val="24"/>
          <w:szCs w:val="24"/>
        </w:rPr>
        <w:fldChar w:fldCharType="end"/>
      </w:r>
      <w:bookmarkEnd w:id="666"/>
      <w:r>
        <w:rPr>
          <w:rFonts w:ascii="Times New Roman" w:hAnsi="Times New Roman"/>
          <w:sz w:val="24"/>
          <w:szCs w:val="24"/>
        </w:rPr>
        <w:t xml:space="preserve"> </w:t>
      </w:r>
    </w:p>
    <w:bookmarkEnd w:id="663"/>
    <w:p w14:paraId="48EBCF44" w14:textId="77777777" w:rsidR="00420322" w:rsidRDefault="00420322" w:rsidP="000C4DF5">
      <w:pPr>
        <w:pStyle w:val="NoSpacing"/>
        <w:rPr>
          <w:rFonts w:ascii="Arial Black" w:hAnsi="Arial Black"/>
          <w:sz w:val="24"/>
          <w:szCs w:val="24"/>
        </w:rPr>
      </w:pPr>
    </w:p>
    <w:p w14:paraId="62625D07" w14:textId="418B9D40" w:rsidR="00420322" w:rsidRPr="00E600C4" w:rsidRDefault="00E600C4" w:rsidP="000C4DF5">
      <w:pPr>
        <w:pStyle w:val="NoSpacing"/>
        <w:rPr>
          <w:rFonts w:ascii="Times New Roman" w:hAnsi="Times New Roman"/>
          <w:b/>
          <w:bCs/>
          <w:sz w:val="24"/>
          <w:szCs w:val="24"/>
        </w:rPr>
      </w:pPr>
      <w:bookmarkStart w:id="667" w:name="_Hlk40517720"/>
      <w:r w:rsidRPr="00E600C4">
        <w:rPr>
          <w:rFonts w:ascii="Times New Roman" w:hAnsi="Times New Roman"/>
          <w:b/>
          <w:bCs/>
          <w:sz w:val="24"/>
          <w:szCs w:val="24"/>
        </w:rPr>
        <w:t xml:space="preserve">Legal Lessons Learned:  </w:t>
      </w:r>
      <w:r w:rsidR="00A76634">
        <w:rPr>
          <w:rFonts w:ascii="Times New Roman" w:hAnsi="Times New Roman"/>
          <w:b/>
          <w:bCs/>
          <w:sz w:val="24"/>
          <w:szCs w:val="24"/>
        </w:rPr>
        <w:t>Firefighter statutory presumption s</w:t>
      </w:r>
      <w:r w:rsidRPr="00E600C4">
        <w:rPr>
          <w:rFonts w:ascii="Times New Roman" w:hAnsi="Times New Roman"/>
          <w:b/>
          <w:bCs/>
          <w:sz w:val="24"/>
          <w:szCs w:val="24"/>
        </w:rPr>
        <w:t>tatut</w:t>
      </w:r>
      <w:r>
        <w:rPr>
          <w:rFonts w:ascii="Times New Roman" w:hAnsi="Times New Roman"/>
          <w:b/>
          <w:bCs/>
          <w:sz w:val="24"/>
          <w:szCs w:val="24"/>
        </w:rPr>
        <w:t>es</w:t>
      </w:r>
      <w:r w:rsidR="00A76634">
        <w:rPr>
          <w:rFonts w:ascii="Times New Roman" w:hAnsi="Times New Roman"/>
          <w:b/>
          <w:bCs/>
          <w:sz w:val="24"/>
          <w:szCs w:val="24"/>
        </w:rPr>
        <w:t xml:space="preserve">  should</w:t>
      </w:r>
      <w:r w:rsidRPr="00E600C4">
        <w:rPr>
          <w:rFonts w:ascii="Times New Roman" w:hAnsi="Times New Roman"/>
          <w:b/>
          <w:bCs/>
          <w:sz w:val="24"/>
          <w:szCs w:val="24"/>
        </w:rPr>
        <w:t xml:space="preserve"> have </w:t>
      </w:r>
      <w:r>
        <w:rPr>
          <w:rFonts w:ascii="Times New Roman" w:hAnsi="Times New Roman"/>
          <w:b/>
          <w:bCs/>
          <w:sz w:val="24"/>
          <w:szCs w:val="24"/>
        </w:rPr>
        <w:t>“</w:t>
      </w:r>
      <w:r w:rsidRPr="00E600C4">
        <w:rPr>
          <w:rFonts w:ascii="Times New Roman" w:hAnsi="Times New Roman"/>
          <w:b/>
          <w:bCs/>
          <w:sz w:val="24"/>
          <w:szCs w:val="24"/>
        </w:rPr>
        <w:t>clear</w:t>
      </w:r>
      <w:r>
        <w:rPr>
          <w:rFonts w:ascii="Times New Roman" w:hAnsi="Times New Roman"/>
          <w:b/>
          <w:bCs/>
          <w:sz w:val="24"/>
          <w:szCs w:val="24"/>
        </w:rPr>
        <w:t xml:space="preserve"> and </w:t>
      </w:r>
      <w:r w:rsidRPr="00E600C4">
        <w:rPr>
          <w:rFonts w:ascii="Times New Roman" w:hAnsi="Times New Roman"/>
          <w:b/>
          <w:bCs/>
          <w:sz w:val="24"/>
          <w:szCs w:val="24"/>
        </w:rPr>
        <w:t>unambiguous</w:t>
      </w:r>
      <w:r>
        <w:rPr>
          <w:rFonts w:ascii="Times New Roman" w:hAnsi="Times New Roman"/>
          <w:b/>
          <w:bCs/>
          <w:sz w:val="24"/>
          <w:szCs w:val="24"/>
        </w:rPr>
        <w:t>”</w:t>
      </w:r>
      <w:r w:rsidRPr="00E600C4">
        <w:rPr>
          <w:rFonts w:ascii="Times New Roman" w:hAnsi="Times New Roman"/>
          <w:b/>
          <w:bCs/>
          <w:sz w:val="24"/>
          <w:szCs w:val="24"/>
        </w:rPr>
        <w:t xml:space="preserve"> language. </w:t>
      </w:r>
    </w:p>
    <w:bookmarkEnd w:id="667"/>
    <w:p w14:paraId="42ED74B8" w14:textId="77777777" w:rsidR="00420322" w:rsidRDefault="00420322" w:rsidP="000C4DF5">
      <w:pPr>
        <w:pStyle w:val="NoSpacing"/>
        <w:rPr>
          <w:rFonts w:ascii="Arial Black" w:hAnsi="Arial Black"/>
          <w:sz w:val="24"/>
          <w:szCs w:val="24"/>
        </w:rPr>
      </w:pPr>
    </w:p>
    <w:bookmarkEnd w:id="664"/>
    <w:p w14:paraId="473A7B9F" w14:textId="7297C1A9" w:rsidR="000C4DF5" w:rsidRDefault="000C4DF5" w:rsidP="000C4DF5">
      <w:pPr>
        <w:pStyle w:val="NoSpacing"/>
        <w:rPr>
          <w:rFonts w:ascii="Arial Black" w:hAnsi="Arial Black"/>
          <w:sz w:val="24"/>
          <w:szCs w:val="24"/>
        </w:rPr>
      </w:pPr>
      <w:r>
        <w:rPr>
          <w:rFonts w:ascii="Arial Black" w:hAnsi="Arial Black"/>
          <w:sz w:val="24"/>
          <w:szCs w:val="24"/>
        </w:rPr>
        <w:t>18-2</w:t>
      </w:r>
    </w:p>
    <w:p w14:paraId="1069D5C4" w14:textId="77777777" w:rsidR="000C4DF5" w:rsidRDefault="000C4DF5" w:rsidP="00F326E5">
      <w:pPr>
        <w:pStyle w:val="NoSpacing"/>
        <w:rPr>
          <w:rFonts w:ascii="Arial Black" w:hAnsi="Arial Black"/>
          <w:b/>
          <w:sz w:val="28"/>
          <w:szCs w:val="28"/>
        </w:rPr>
      </w:pPr>
    </w:p>
    <w:p w14:paraId="127D79E0" w14:textId="0E1D2D91" w:rsidR="00F326E5" w:rsidRPr="0047741D" w:rsidRDefault="00F326E5" w:rsidP="00F326E5">
      <w:pPr>
        <w:pStyle w:val="NoSpacing"/>
        <w:rPr>
          <w:rFonts w:ascii="Times New Roman" w:hAnsi="Times New Roman"/>
          <w:sz w:val="24"/>
          <w:szCs w:val="24"/>
        </w:rPr>
      </w:pPr>
      <w:bookmarkStart w:id="668" w:name="_Hlk39773638"/>
      <w:r w:rsidRPr="0047741D">
        <w:rPr>
          <w:rFonts w:ascii="Arial Black" w:hAnsi="Arial Black"/>
          <w:b/>
          <w:sz w:val="28"/>
          <w:szCs w:val="28"/>
        </w:rPr>
        <w:t xml:space="preserve">WY:  STATE STATUTE, VOLUNTEER FF WHO GETS PAID PER RUN ENTITLED TO BE IN THE UNION </w:t>
      </w:r>
      <w:r w:rsidRPr="0047741D">
        <w:rPr>
          <w:rFonts w:ascii="Times New Roman" w:hAnsi="Times New Roman"/>
          <w:sz w:val="24"/>
          <w:szCs w:val="24"/>
        </w:rPr>
        <w:t>[also filed, Chap. 6]</w:t>
      </w:r>
    </w:p>
    <w:p w14:paraId="72B94CE1" w14:textId="77777777" w:rsidR="00F326E5" w:rsidRPr="00E600C4" w:rsidRDefault="00F326E5" w:rsidP="00F326E5">
      <w:pPr>
        <w:pStyle w:val="NormalWeb"/>
        <w:rPr>
          <w:bCs/>
        </w:rPr>
      </w:pPr>
      <w:r w:rsidRPr="00E600C4">
        <w:rPr>
          <w:bCs/>
        </w:rPr>
        <w:t xml:space="preserve">On July 6, 2018, in </w:t>
      </w:r>
      <w:r w:rsidRPr="00E600C4">
        <w:rPr>
          <w:bCs/>
          <w:u w:val="single"/>
        </w:rPr>
        <w:t>IAFF Local 5058 v. Gillette / Wright / Campbell County Fire Protection Joint Powers Board, and IAFF Local 5067 v. Teton County and Town of Jackson</w:t>
      </w:r>
      <w:r w:rsidRPr="00E600C4">
        <w:rPr>
          <w:bCs/>
        </w:rPr>
        <w:t xml:space="preserve">, the Wyoming Supreme Court held (5 to 0) that the two new unions were not properly elected, and the Fire Districts did not need to negotiate collective bargaining agreements, because the “volunteer” and “pool” firefighters all receive pay for making runs.  </w:t>
      </w:r>
    </w:p>
    <w:p w14:paraId="49C75105" w14:textId="77777777" w:rsidR="00F326E5" w:rsidRPr="00E600C4" w:rsidRDefault="00F326E5" w:rsidP="00F326E5">
      <w:pPr>
        <w:pStyle w:val="NoSpacing"/>
        <w:ind w:firstLine="720"/>
        <w:rPr>
          <w:rFonts w:ascii="Times New Roman" w:hAnsi="Times New Roman"/>
          <w:sz w:val="24"/>
          <w:szCs w:val="24"/>
        </w:rPr>
      </w:pPr>
      <w:r w:rsidRPr="00E600C4">
        <w:rPr>
          <w:rFonts w:ascii="Times New Roman" w:hAnsi="Times New Roman"/>
          <w:sz w:val="24"/>
          <w:szCs w:val="24"/>
        </w:rPr>
        <w:t xml:space="preserve">“The district courts in both cases held that the Wyoming Collective </w:t>
      </w:r>
    </w:p>
    <w:p w14:paraId="7E7BFB43" w14:textId="77777777" w:rsidR="00F326E5" w:rsidRPr="00E600C4" w:rsidRDefault="00F326E5" w:rsidP="00F326E5">
      <w:pPr>
        <w:pStyle w:val="NoSpacing"/>
        <w:ind w:firstLine="720"/>
        <w:rPr>
          <w:rFonts w:ascii="Times New Roman" w:hAnsi="Times New Roman"/>
          <w:sz w:val="24"/>
          <w:szCs w:val="24"/>
        </w:rPr>
      </w:pPr>
      <w:r w:rsidRPr="00E600C4">
        <w:rPr>
          <w:rFonts w:ascii="Times New Roman" w:hAnsi="Times New Roman"/>
          <w:sz w:val="24"/>
          <w:szCs w:val="24"/>
        </w:rPr>
        <w:t xml:space="preserve">Bargaining for Fire Fighters Act’s definition of ‘fire fighters’ </w:t>
      </w:r>
    </w:p>
    <w:p w14:paraId="7563405C" w14:textId="77777777" w:rsidR="00F326E5" w:rsidRPr="00E600C4" w:rsidRDefault="00F326E5" w:rsidP="00F326E5">
      <w:pPr>
        <w:pStyle w:val="NoSpacing"/>
        <w:ind w:firstLine="720"/>
        <w:rPr>
          <w:rFonts w:ascii="Times New Roman" w:hAnsi="Times New Roman"/>
          <w:sz w:val="24"/>
          <w:szCs w:val="24"/>
        </w:rPr>
      </w:pPr>
      <w:r w:rsidRPr="00E600C4">
        <w:rPr>
          <w:rFonts w:ascii="Times New Roman" w:hAnsi="Times New Roman"/>
          <w:sz w:val="24"/>
          <w:szCs w:val="24"/>
        </w:rPr>
        <w:t xml:space="preserve">includes volunteers because they are ‘paid members of . . . regularly </w:t>
      </w:r>
    </w:p>
    <w:p w14:paraId="7BA8EF8C" w14:textId="77777777" w:rsidR="00F326E5" w:rsidRPr="00E600C4" w:rsidRDefault="00F326E5" w:rsidP="00F326E5">
      <w:pPr>
        <w:pStyle w:val="NoSpacing"/>
        <w:ind w:firstLine="720"/>
        <w:rPr>
          <w:rFonts w:ascii="Times New Roman" w:hAnsi="Times New Roman"/>
          <w:sz w:val="24"/>
          <w:szCs w:val="24"/>
        </w:rPr>
      </w:pPr>
      <w:r w:rsidRPr="00E600C4">
        <w:rPr>
          <w:rFonts w:ascii="Times New Roman" w:hAnsi="Times New Roman"/>
          <w:sz w:val="24"/>
          <w:szCs w:val="24"/>
        </w:rPr>
        <w:t xml:space="preserve">constituted fire department[s].’ Consequently, the district courts concluded </w:t>
      </w:r>
    </w:p>
    <w:p w14:paraId="1AFABDE1" w14:textId="77777777" w:rsidR="00F326E5" w:rsidRPr="00E600C4" w:rsidRDefault="00F326E5" w:rsidP="00F326E5">
      <w:pPr>
        <w:pStyle w:val="NoSpacing"/>
        <w:ind w:firstLine="720"/>
        <w:rPr>
          <w:rFonts w:ascii="Times New Roman" w:hAnsi="Times New Roman"/>
          <w:sz w:val="24"/>
          <w:szCs w:val="24"/>
        </w:rPr>
      </w:pPr>
      <w:r w:rsidRPr="00E600C4">
        <w:rPr>
          <w:rFonts w:ascii="Times New Roman" w:hAnsi="Times New Roman"/>
          <w:sz w:val="24"/>
          <w:szCs w:val="24"/>
        </w:rPr>
        <w:t xml:space="preserve">that IAFF Local 5058 and IAFF Local 5067, which were formed by and </w:t>
      </w:r>
    </w:p>
    <w:p w14:paraId="2053297F" w14:textId="77777777" w:rsidR="00F326E5" w:rsidRPr="00E600C4" w:rsidRDefault="00F326E5" w:rsidP="00F326E5">
      <w:pPr>
        <w:pStyle w:val="NoSpacing"/>
        <w:ind w:firstLine="720"/>
        <w:rPr>
          <w:rFonts w:ascii="Times New Roman" w:hAnsi="Times New Roman"/>
          <w:sz w:val="24"/>
          <w:szCs w:val="24"/>
        </w:rPr>
      </w:pPr>
      <w:r w:rsidRPr="00E600C4">
        <w:rPr>
          <w:rFonts w:ascii="Times New Roman" w:hAnsi="Times New Roman"/>
          <w:sz w:val="24"/>
          <w:szCs w:val="24"/>
        </w:rPr>
        <w:t xml:space="preserve">consist of only full-time, career fire fighters, were not properly constituted </w:t>
      </w:r>
    </w:p>
    <w:p w14:paraId="316BAEED" w14:textId="77777777" w:rsidR="00F326E5" w:rsidRPr="00E600C4" w:rsidRDefault="00F326E5" w:rsidP="00F326E5">
      <w:pPr>
        <w:pStyle w:val="NoSpacing"/>
        <w:ind w:firstLine="720"/>
        <w:rPr>
          <w:rFonts w:ascii="Times New Roman" w:hAnsi="Times New Roman"/>
          <w:bCs/>
          <w:sz w:val="24"/>
          <w:szCs w:val="24"/>
        </w:rPr>
      </w:pPr>
      <w:r w:rsidRPr="00E600C4">
        <w:rPr>
          <w:rFonts w:ascii="Times New Roman" w:hAnsi="Times New Roman"/>
          <w:sz w:val="24"/>
          <w:szCs w:val="24"/>
        </w:rPr>
        <w:t>bargaining units under the Act. We affirm.”</w:t>
      </w:r>
    </w:p>
    <w:p w14:paraId="0B228002" w14:textId="77777777" w:rsidR="00F326E5" w:rsidRPr="00E600C4" w:rsidRDefault="00F326E5" w:rsidP="00F326E5">
      <w:pPr>
        <w:ind w:firstLine="720"/>
        <w:rPr>
          <w:rFonts w:ascii="Times New Roman" w:hAnsi="Times New Roman"/>
          <w:b/>
          <w:bCs/>
          <w:sz w:val="24"/>
          <w:szCs w:val="24"/>
        </w:rPr>
      </w:pPr>
      <w:hyperlink r:id="rId2962" w:history="1">
        <w:r w:rsidRPr="00E600C4">
          <w:rPr>
            <w:rStyle w:val="Hyperlink"/>
            <w:rFonts w:ascii="Times New Roman" w:hAnsi="Times New Roman"/>
            <w:sz w:val="24"/>
            <w:szCs w:val="24"/>
          </w:rPr>
          <w:t>https://services.courts.state.wy.us/Documents/Opinions/2018WY75.pdf</w:t>
        </w:r>
      </w:hyperlink>
      <w:r w:rsidRPr="00E600C4">
        <w:rPr>
          <w:rFonts w:ascii="Times New Roman" w:hAnsi="Times New Roman"/>
          <w:b/>
          <w:bCs/>
          <w:sz w:val="24"/>
          <w:szCs w:val="24"/>
        </w:rPr>
        <w:t xml:space="preserve"> </w:t>
      </w:r>
    </w:p>
    <w:bookmarkEnd w:id="668"/>
    <w:p w14:paraId="45959243" w14:textId="54706AE9" w:rsidR="00F326E5" w:rsidRPr="00E600C4" w:rsidRDefault="00F326E5" w:rsidP="00F326E5">
      <w:pPr>
        <w:pStyle w:val="NoSpacing"/>
        <w:rPr>
          <w:rFonts w:ascii="Times New Roman" w:hAnsi="Times New Roman"/>
          <w:b/>
          <w:sz w:val="24"/>
          <w:szCs w:val="24"/>
        </w:rPr>
      </w:pPr>
      <w:r w:rsidRPr="00E600C4">
        <w:rPr>
          <w:rFonts w:ascii="Times New Roman" w:hAnsi="Times New Roman"/>
          <w:b/>
          <w:sz w:val="24"/>
          <w:szCs w:val="24"/>
        </w:rPr>
        <w:t xml:space="preserve">Legal Lessons Learned:  </w:t>
      </w:r>
      <w:r w:rsidR="00000960">
        <w:rPr>
          <w:rFonts w:ascii="Times New Roman" w:hAnsi="Times New Roman"/>
          <w:b/>
          <w:sz w:val="24"/>
          <w:szCs w:val="24"/>
        </w:rPr>
        <w:t>When d</w:t>
      </w:r>
      <w:r w:rsidRPr="00E600C4">
        <w:rPr>
          <w:rFonts w:ascii="Times New Roman" w:hAnsi="Times New Roman"/>
          <w:b/>
          <w:sz w:val="24"/>
          <w:szCs w:val="24"/>
        </w:rPr>
        <w:t>rafting legislative</w:t>
      </w:r>
      <w:r w:rsidR="00000960">
        <w:rPr>
          <w:rFonts w:ascii="Times New Roman" w:hAnsi="Times New Roman"/>
          <w:b/>
          <w:sz w:val="24"/>
          <w:szCs w:val="24"/>
        </w:rPr>
        <w:t xml:space="preserve">, using clear </w:t>
      </w:r>
      <w:r w:rsidRPr="00E600C4">
        <w:rPr>
          <w:rFonts w:ascii="Times New Roman" w:hAnsi="Times New Roman"/>
          <w:b/>
          <w:sz w:val="24"/>
          <w:szCs w:val="24"/>
        </w:rPr>
        <w:t>language is very important, along with creating a “legislative history” to avoid any question about whether volunteer and part-time firefighters can be covered in a collective bargaining agreement.</w:t>
      </w:r>
    </w:p>
    <w:p w14:paraId="1618DD66" w14:textId="77777777" w:rsidR="00F326E5" w:rsidRPr="0047741D" w:rsidRDefault="00F326E5" w:rsidP="00F326E5">
      <w:pPr>
        <w:rPr>
          <w:b/>
          <w:bCs/>
          <w:sz w:val="24"/>
          <w:szCs w:val="24"/>
        </w:rPr>
      </w:pPr>
    </w:p>
    <w:bookmarkEnd w:id="654"/>
    <w:p w14:paraId="5E0F6751" w14:textId="3ED55C98" w:rsidR="000C4DF5" w:rsidRDefault="000C4DF5" w:rsidP="000C4DF5">
      <w:pPr>
        <w:pStyle w:val="NoSpacing"/>
        <w:rPr>
          <w:rFonts w:ascii="Arial Black" w:hAnsi="Arial Black"/>
          <w:sz w:val="24"/>
          <w:szCs w:val="24"/>
        </w:rPr>
      </w:pPr>
      <w:r>
        <w:rPr>
          <w:rFonts w:ascii="Arial Black" w:hAnsi="Arial Black"/>
          <w:sz w:val="24"/>
          <w:szCs w:val="24"/>
        </w:rPr>
        <w:t>18-1</w:t>
      </w:r>
    </w:p>
    <w:p w14:paraId="3F1E4CB5" w14:textId="77777777" w:rsidR="000C4DF5" w:rsidRDefault="000C4DF5" w:rsidP="00F326E5">
      <w:pPr>
        <w:rPr>
          <w:rFonts w:ascii="Arial Black" w:hAnsi="Arial Black"/>
          <w:sz w:val="28"/>
          <w:szCs w:val="28"/>
        </w:rPr>
      </w:pPr>
      <w:bookmarkStart w:id="669" w:name="_Hlk7349781"/>
      <w:bookmarkStart w:id="670" w:name="_Hlk7349854"/>
    </w:p>
    <w:p w14:paraId="33F4DD7C" w14:textId="42E11262" w:rsidR="00F326E5" w:rsidRPr="00012487" w:rsidRDefault="00F326E5" w:rsidP="00F326E5">
      <w:pPr>
        <w:rPr>
          <w:rFonts w:ascii="Arial Black" w:hAnsi="Arial Black"/>
          <w:sz w:val="24"/>
          <w:szCs w:val="24"/>
        </w:rPr>
      </w:pPr>
      <w:bookmarkStart w:id="671" w:name="_Hlk40517902"/>
      <w:r w:rsidRPr="00BF01EE">
        <w:rPr>
          <w:rFonts w:ascii="Arial Black" w:hAnsi="Arial Black"/>
          <w:sz w:val="28"/>
          <w:szCs w:val="28"/>
        </w:rPr>
        <w:t xml:space="preserve">OH: </w:t>
      </w:r>
      <w:r>
        <w:rPr>
          <w:rFonts w:ascii="Arial Black" w:hAnsi="Arial Black"/>
          <w:sz w:val="28"/>
          <w:szCs w:val="28"/>
        </w:rPr>
        <w:t>911 “GOOD SAMARITAN LAW”</w:t>
      </w:r>
      <w:r w:rsidR="00CA57F1">
        <w:rPr>
          <w:rFonts w:ascii="Arial Black" w:hAnsi="Arial Black"/>
          <w:sz w:val="28"/>
          <w:szCs w:val="28"/>
        </w:rPr>
        <w:t xml:space="preserve"> </w:t>
      </w:r>
      <w:r>
        <w:rPr>
          <w:rFonts w:ascii="Arial Black" w:hAnsi="Arial Black"/>
          <w:sz w:val="28"/>
          <w:szCs w:val="28"/>
        </w:rPr>
        <w:t xml:space="preserve">– </w:t>
      </w:r>
      <w:r w:rsidR="00E600C4">
        <w:rPr>
          <w:rFonts w:ascii="Arial Black" w:hAnsi="Arial Black"/>
          <w:sz w:val="28"/>
          <w:szCs w:val="28"/>
        </w:rPr>
        <w:t xml:space="preserve">DRUG USERS - </w:t>
      </w:r>
      <w:r>
        <w:rPr>
          <w:rFonts w:ascii="Arial Black" w:hAnsi="Arial Black"/>
          <w:sz w:val="28"/>
          <w:szCs w:val="28"/>
        </w:rPr>
        <w:t xml:space="preserve">AVOID PROSECUTION IF CALL 911 - TREATMENT IN 30 DAYS </w:t>
      </w:r>
      <w:r w:rsidRPr="003D6884">
        <w:rPr>
          <w:b/>
          <w:sz w:val="24"/>
          <w:szCs w:val="24"/>
        </w:rPr>
        <w:t>[also filed, Chap. 1</w:t>
      </w:r>
      <w:r>
        <w:rPr>
          <w:b/>
          <w:sz w:val="24"/>
          <w:szCs w:val="24"/>
        </w:rPr>
        <w:t>3</w:t>
      </w:r>
      <w:r w:rsidRPr="003D6884">
        <w:rPr>
          <w:b/>
          <w:sz w:val="24"/>
          <w:szCs w:val="24"/>
        </w:rPr>
        <w:t>]</w:t>
      </w:r>
    </w:p>
    <w:p w14:paraId="53E1A514" w14:textId="77777777" w:rsidR="00F326E5" w:rsidRPr="00E600C4" w:rsidRDefault="00F326E5" w:rsidP="00F326E5">
      <w:pPr>
        <w:rPr>
          <w:rStyle w:val="Hyperlink"/>
          <w:rFonts w:ascii="Times New Roman" w:hAnsi="Times New Roman"/>
          <w:sz w:val="24"/>
          <w:szCs w:val="24"/>
        </w:rPr>
      </w:pPr>
      <w:r w:rsidRPr="00E600C4">
        <w:rPr>
          <w:rFonts w:ascii="Times New Roman" w:eastAsia="Times New Roman" w:hAnsi="Times New Roman"/>
          <w:sz w:val="24"/>
          <w:szCs w:val="24"/>
        </w:rPr>
        <w:t xml:space="preserve">On May 18, 2018, in </w:t>
      </w:r>
      <w:r w:rsidRPr="00E600C4">
        <w:rPr>
          <w:rFonts w:ascii="Times New Roman" w:eastAsia="Times New Roman" w:hAnsi="Times New Roman"/>
          <w:sz w:val="24"/>
          <w:szCs w:val="24"/>
          <w:u w:val="single"/>
        </w:rPr>
        <w:t>State of Ohio v. Andrew Melms</w:t>
      </w:r>
      <w:r w:rsidRPr="00E600C4">
        <w:rPr>
          <w:rFonts w:ascii="Times New Roman" w:eastAsia="Times New Roman" w:hAnsi="Times New Roman"/>
          <w:sz w:val="24"/>
          <w:szCs w:val="24"/>
        </w:rPr>
        <w:t xml:space="preserve">, the Court of Appeals For Second District (Montgomery County), held (3 to 0) that an overdose victim, arrested with </w:t>
      </w:r>
      <w:r w:rsidRPr="00E600C4">
        <w:rPr>
          <w:rFonts w:ascii="Times New Roman" w:hAnsi="Times New Roman"/>
          <w:sz w:val="24"/>
          <w:szCs w:val="24"/>
        </w:rPr>
        <w:t>six gel caps of fentanyl, was not eligible for immunity; he was in jail and did not enroll in treatment within the 30-day limit set under the new Ohio statute enacted in 2016.  The Court urged the Ohio General Assembly to modify the law: “</w:t>
      </w:r>
      <w:r w:rsidRPr="00E600C4">
        <w:rPr>
          <w:rFonts w:ascii="Times New Roman" w:eastAsia="Times New Roman" w:hAnsi="Times New Roman"/>
          <w:sz w:val="24"/>
          <w:szCs w:val="24"/>
        </w:rPr>
        <w:t xml:space="preserve">Granted Melms seemingly was an ideal candidate for immunity, but for the clear and unambiguous 30-day window set forth by the </w:t>
      </w:r>
      <w:r w:rsidRPr="00E600C4">
        <w:rPr>
          <w:rFonts w:ascii="Times New Roman" w:eastAsia="Times New Roman" w:hAnsi="Times New Roman"/>
          <w:sz w:val="24"/>
          <w:szCs w:val="24"/>
        </w:rPr>
        <w:lastRenderedPageBreak/>
        <w:t xml:space="preserve">legislature. </w:t>
      </w:r>
      <w:bookmarkEnd w:id="671"/>
      <w:r w:rsidRPr="00E600C4">
        <w:rPr>
          <w:rFonts w:ascii="Times New Roman" w:eastAsia="Times New Roman" w:hAnsi="Times New Roman"/>
          <w:sz w:val="24"/>
          <w:szCs w:val="24"/>
        </w:rPr>
        <w:t xml:space="preserve">The remedy lies with the </w:t>
      </w:r>
      <w:proofErr w:type="gramStart"/>
      <w:r w:rsidRPr="00E600C4">
        <w:rPr>
          <w:rFonts w:ascii="Times New Roman" w:eastAsia="Times New Roman" w:hAnsi="Times New Roman"/>
          <w:sz w:val="24"/>
          <w:szCs w:val="24"/>
        </w:rPr>
        <w:t>legislature to</w:t>
      </w:r>
      <w:proofErr w:type="gramEnd"/>
      <w:r w:rsidRPr="00E600C4">
        <w:rPr>
          <w:rFonts w:ascii="Times New Roman" w:eastAsia="Times New Roman" w:hAnsi="Times New Roman"/>
          <w:sz w:val="24"/>
          <w:szCs w:val="24"/>
        </w:rPr>
        <w:t xml:space="preserve"> either eliminate the 30-day restriction or </w:t>
      </w:r>
      <w:proofErr w:type="gramStart"/>
      <w:r w:rsidRPr="00E600C4">
        <w:rPr>
          <w:rFonts w:ascii="Times New Roman" w:eastAsia="Times New Roman" w:hAnsi="Times New Roman"/>
          <w:sz w:val="24"/>
          <w:szCs w:val="24"/>
        </w:rPr>
        <w:t>to provide</w:t>
      </w:r>
      <w:proofErr w:type="gramEnd"/>
      <w:r w:rsidRPr="00E600C4">
        <w:rPr>
          <w:rFonts w:ascii="Times New Roman" w:eastAsia="Times New Roman" w:hAnsi="Times New Roman"/>
          <w:sz w:val="24"/>
          <w:szCs w:val="24"/>
        </w:rPr>
        <w:t xml:space="preserve"> for the exercise of judicial discretion, particularly in those cases of the most vulnerable, often indigent, incarcerated individuals who are unaware of the time limit until after counsel is appointed on the drug offense. In our view, an immediate legislative fix is warranted so that this legislation achieves its laudable </w:t>
      </w:r>
      <w:proofErr w:type="gramStart"/>
      <w:r w:rsidRPr="00E600C4">
        <w:rPr>
          <w:rFonts w:ascii="Times New Roman" w:eastAsia="Times New Roman" w:hAnsi="Times New Roman"/>
          <w:sz w:val="24"/>
          <w:szCs w:val="24"/>
        </w:rPr>
        <w:t>goals.”</w:t>
      </w:r>
      <w:proofErr w:type="gramEnd"/>
      <w:r w:rsidRPr="00E600C4">
        <w:rPr>
          <w:rFonts w:ascii="Times New Roman" w:eastAsia="Times New Roman" w:hAnsi="Times New Roman"/>
          <w:sz w:val="24"/>
          <w:szCs w:val="24"/>
        </w:rPr>
        <w:t xml:space="preserve"> </w:t>
      </w:r>
      <w:bookmarkStart w:id="672" w:name="_Hlk40517955"/>
      <w:r w:rsidR="009B50E8">
        <w:fldChar w:fldCharType="begin"/>
      </w:r>
      <w:r w:rsidR="009B50E8">
        <w:instrText xml:space="preserve"> HYPERLINK "https://cases.justia.com/ohio/second-district-court-of-appeals/2018-27685.pdf?ts=1526679598" </w:instrText>
      </w:r>
      <w:r w:rsidR="009B50E8">
        <w:fldChar w:fldCharType="separate"/>
      </w:r>
      <w:r w:rsidRPr="00E600C4">
        <w:rPr>
          <w:rStyle w:val="Hyperlink"/>
          <w:rFonts w:ascii="Times New Roman" w:hAnsi="Times New Roman"/>
          <w:sz w:val="24"/>
          <w:szCs w:val="24"/>
        </w:rPr>
        <w:t>https://cases.justia.com/ohio/second-district-court-of-appeals/2018-27685.pdf?ts=1526679598</w:t>
      </w:r>
      <w:r w:rsidR="009B50E8">
        <w:rPr>
          <w:rStyle w:val="Hyperlink"/>
          <w:rFonts w:ascii="Times New Roman" w:hAnsi="Times New Roman"/>
          <w:sz w:val="24"/>
          <w:szCs w:val="24"/>
        </w:rPr>
        <w:fldChar w:fldCharType="end"/>
      </w:r>
    </w:p>
    <w:p w14:paraId="1286D19A" w14:textId="77777777" w:rsidR="00F326E5" w:rsidRPr="00E600C4" w:rsidRDefault="00F326E5" w:rsidP="00F326E5">
      <w:pPr>
        <w:rPr>
          <w:rFonts w:ascii="Times New Roman" w:eastAsia="Times New Roman" w:hAnsi="Times New Roman"/>
          <w:b/>
          <w:sz w:val="24"/>
          <w:szCs w:val="24"/>
        </w:rPr>
      </w:pPr>
      <w:r w:rsidRPr="00E600C4">
        <w:rPr>
          <w:rFonts w:ascii="Times New Roman" w:eastAsia="Times New Roman" w:hAnsi="Times New Roman"/>
          <w:b/>
          <w:sz w:val="24"/>
          <w:szCs w:val="24"/>
        </w:rPr>
        <w:t xml:space="preserve">Legal Lessons Learned:  The “911 Good Samaritan” immunity statute is to encourage drug users and their associates to call 911 for an overdose, and to promptly seek treatment (can receive immunity only twice). </w:t>
      </w:r>
    </w:p>
    <w:bookmarkEnd w:id="669"/>
    <w:p w14:paraId="5923B28C" w14:textId="77777777" w:rsidR="00F326E5" w:rsidRPr="00E600C4" w:rsidRDefault="00F326E5" w:rsidP="00F326E5">
      <w:pPr>
        <w:ind w:firstLine="720"/>
        <w:rPr>
          <w:rFonts w:ascii="Times New Roman" w:hAnsi="Times New Roman"/>
          <w:sz w:val="24"/>
          <w:szCs w:val="24"/>
        </w:rPr>
      </w:pPr>
      <w:r w:rsidRPr="00E600C4">
        <w:rPr>
          <w:rFonts w:ascii="Times New Roman" w:eastAsia="Times New Roman" w:hAnsi="Times New Roman"/>
          <w:sz w:val="24"/>
          <w:szCs w:val="24"/>
        </w:rPr>
        <w:t>Note: 911 Dispatchers ae required to inform overdose patients about the new law:</w:t>
      </w:r>
    </w:p>
    <w:p w14:paraId="49858824" w14:textId="77777777" w:rsidR="00F326E5" w:rsidRPr="00E600C4" w:rsidRDefault="00F326E5" w:rsidP="00F326E5">
      <w:pPr>
        <w:pStyle w:val="NoSpacing"/>
        <w:ind w:firstLine="720"/>
        <w:rPr>
          <w:rFonts w:ascii="Times New Roman" w:hAnsi="Times New Roman"/>
          <w:sz w:val="24"/>
          <w:szCs w:val="24"/>
        </w:rPr>
      </w:pPr>
      <w:r w:rsidRPr="00E600C4">
        <w:rPr>
          <w:rFonts w:ascii="Times New Roman" w:hAnsi="Times New Roman"/>
          <w:sz w:val="24"/>
          <w:szCs w:val="24"/>
        </w:rPr>
        <w:t xml:space="preserve">R.C. 128.04 provides as follows: </w:t>
      </w:r>
    </w:p>
    <w:p w14:paraId="22C49A68" w14:textId="77777777" w:rsidR="00F326E5" w:rsidRPr="00E600C4" w:rsidRDefault="00F326E5" w:rsidP="00F326E5">
      <w:pPr>
        <w:pStyle w:val="NoSpacing"/>
        <w:ind w:firstLine="720"/>
        <w:rPr>
          <w:rFonts w:ascii="Times New Roman" w:hAnsi="Times New Roman"/>
          <w:sz w:val="24"/>
          <w:szCs w:val="24"/>
        </w:rPr>
      </w:pPr>
      <w:r w:rsidRPr="00E600C4">
        <w:rPr>
          <w:rFonts w:ascii="Times New Roman" w:hAnsi="Times New Roman"/>
          <w:sz w:val="24"/>
          <w:szCs w:val="24"/>
        </w:rPr>
        <w:t xml:space="preserve">(A) Public safety answering point personnel who are certified as emergency service </w:t>
      </w:r>
    </w:p>
    <w:p w14:paraId="6B644CA3" w14:textId="77777777" w:rsidR="00F326E5" w:rsidRPr="00E600C4" w:rsidRDefault="00F326E5" w:rsidP="00F326E5">
      <w:pPr>
        <w:pStyle w:val="NoSpacing"/>
        <w:ind w:firstLine="720"/>
        <w:rPr>
          <w:rFonts w:ascii="Times New Roman" w:hAnsi="Times New Roman"/>
          <w:sz w:val="24"/>
          <w:szCs w:val="24"/>
        </w:rPr>
      </w:pPr>
      <w:r w:rsidRPr="00E600C4">
        <w:rPr>
          <w:rFonts w:ascii="Times New Roman" w:hAnsi="Times New Roman"/>
          <w:sz w:val="24"/>
          <w:szCs w:val="24"/>
        </w:rPr>
        <w:t xml:space="preserve">telecommunicators under section 4742.03 of the Revised Code shall receive training in </w:t>
      </w:r>
    </w:p>
    <w:p w14:paraId="01DD06A6" w14:textId="77777777" w:rsidR="00F326E5" w:rsidRPr="00E600C4" w:rsidRDefault="00F326E5" w:rsidP="00F326E5">
      <w:pPr>
        <w:pStyle w:val="NoSpacing"/>
        <w:ind w:left="720"/>
        <w:rPr>
          <w:rFonts w:ascii="Times New Roman" w:hAnsi="Times New Roman"/>
          <w:sz w:val="24"/>
          <w:szCs w:val="24"/>
        </w:rPr>
      </w:pPr>
      <w:proofErr w:type="gramStart"/>
      <w:r w:rsidRPr="00E600C4">
        <w:rPr>
          <w:rFonts w:ascii="Times New Roman" w:hAnsi="Times New Roman"/>
          <w:sz w:val="24"/>
          <w:szCs w:val="24"/>
        </w:rPr>
        <w:t>informing</w:t>
      </w:r>
      <w:proofErr w:type="gramEnd"/>
      <w:r w:rsidRPr="00E600C4">
        <w:rPr>
          <w:rFonts w:ascii="Times New Roman" w:hAnsi="Times New Roman"/>
          <w:sz w:val="24"/>
          <w:szCs w:val="24"/>
        </w:rPr>
        <w:t xml:space="preserve"> individuals who call about an apparent drug overdose about the immunity from prosecution for a minor drug possession offense created by section 2925.11 of the Revised Code. </w:t>
      </w:r>
    </w:p>
    <w:p w14:paraId="1754C47B" w14:textId="77777777" w:rsidR="00F326E5" w:rsidRPr="00E600C4" w:rsidRDefault="00F326E5" w:rsidP="00F326E5">
      <w:pPr>
        <w:pStyle w:val="NoSpacing"/>
        <w:ind w:firstLine="720"/>
        <w:rPr>
          <w:rFonts w:ascii="Times New Roman" w:hAnsi="Times New Roman"/>
          <w:sz w:val="24"/>
          <w:szCs w:val="24"/>
        </w:rPr>
      </w:pPr>
      <w:r w:rsidRPr="00E600C4">
        <w:rPr>
          <w:rFonts w:ascii="Times New Roman" w:hAnsi="Times New Roman"/>
          <w:sz w:val="24"/>
          <w:szCs w:val="24"/>
        </w:rPr>
        <w:t xml:space="preserve">(B) Public safety answering point personnel who receive a call about an apparent drug </w:t>
      </w:r>
    </w:p>
    <w:p w14:paraId="2A0262AD" w14:textId="77777777" w:rsidR="00F326E5" w:rsidRPr="00E600C4" w:rsidRDefault="00F326E5" w:rsidP="00F326E5">
      <w:pPr>
        <w:pStyle w:val="NoSpacing"/>
        <w:ind w:firstLine="720"/>
        <w:rPr>
          <w:rFonts w:ascii="Times New Roman" w:hAnsi="Times New Roman"/>
          <w:sz w:val="24"/>
          <w:szCs w:val="24"/>
        </w:rPr>
      </w:pPr>
      <w:r w:rsidRPr="00E600C4">
        <w:rPr>
          <w:rFonts w:ascii="Times New Roman" w:hAnsi="Times New Roman"/>
          <w:sz w:val="24"/>
          <w:szCs w:val="24"/>
        </w:rPr>
        <w:t xml:space="preserve">overdose shall make reasonable efforts, upon the caller's inquiry, to inform the caller </w:t>
      </w:r>
    </w:p>
    <w:p w14:paraId="389055F9" w14:textId="77777777" w:rsidR="00F326E5" w:rsidRPr="00E600C4" w:rsidRDefault="00F326E5" w:rsidP="00F326E5">
      <w:pPr>
        <w:pStyle w:val="NoSpacing"/>
        <w:ind w:firstLine="720"/>
        <w:rPr>
          <w:rFonts w:ascii="Times New Roman" w:hAnsi="Times New Roman"/>
          <w:sz w:val="24"/>
          <w:szCs w:val="24"/>
        </w:rPr>
      </w:pPr>
      <w:r w:rsidRPr="00E600C4">
        <w:rPr>
          <w:rFonts w:ascii="Times New Roman" w:hAnsi="Times New Roman"/>
          <w:sz w:val="24"/>
          <w:szCs w:val="24"/>
        </w:rPr>
        <w:t xml:space="preserve">about the immunity from prosecution for a minor drug possession offense created </w:t>
      </w:r>
    </w:p>
    <w:p w14:paraId="143F041B" w14:textId="77777777" w:rsidR="00F326E5" w:rsidRPr="00E600C4" w:rsidRDefault="00F326E5" w:rsidP="00F326E5">
      <w:pPr>
        <w:pStyle w:val="NoSpacing"/>
        <w:ind w:firstLine="720"/>
        <w:rPr>
          <w:rFonts w:ascii="Times New Roman" w:hAnsi="Times New Roman"/>
          <w:sz w:val="24"/>
          <w:szCs w:val="24"/>
        </w:rPr>
      </w:pPr>
      <w:r w:rsidRPr="00E600C4">
        <w:rPr>
          <w:rFonts w:ascii="Times New Roman" w:hAnsi="Times New Roman"/>
          <w:sz w:val="24"/>
          <w:szCs w:val="24"/>
        </w:rPr>
        <w:t xml:space="preserve">by section 2925.11 of the Revised Code. </w:t>
      </w:r>
    </w:p>
    <w:bookmarkEnd w:id="672"/>
    <w:p w14:paraId="508D40B2" w14:textId="77777777" w:rsidR="00F326E5" w:rsidRPr="00E600C4" w:rsidRDefault="00F326E5" w:rsidP="00F326E5">
      <w:pPr>
        <w:rPr>
          <w:rFonts w:ascii="Times New Roman" w:eastAsia="Times New Roman" w:hAnsi="Times New Roman"/>
          <w:sz w:val="24"/>
          <w:szCs w:val="24"/>
        </w:rPr>
      </w:pPr>
    </w:p>
    <w:p w14:paraId="55F7D20B" w14:textId="77777777" w:rsidR="00F326E5" w:rsidRDefault="00F326E5" w:rsidP="00F326E5">
      <w:pPr>
        <w:rPr>
          <w:rFonts w:eastAsia="Times New Roman"/>
          <w:sz w:val="24"/>
          <w:szCs w:val="24"/>
        </w:rPr>
      </w:pPr>
    </w:p>
    <w:bookmarkEnd w:id="670"/>
    <w:p w14:paraId="1F41C09F" w14:textId="77777777" w:rsidR="00F326E5" w:rsidRPr="007732FA" w:rsidRDefault="00F326E5" w:rsidP="00F326E5">
      <w:pPr>
        <w:spacing w:before="100" w:beforeAutospacing="1" w:after="100" w:afterAutospacing="1" w:line="240" w:lineRule="auto"/>
        <w:rPr>
          <w:rFonts w:ascii="Arial Black" w:hAnsi="Arial Black"/>
          <w:sz w:val="40"/>
          <w:szCs w:val="40"/>
        </w:rPr>
      </w:pPr>
    </w:p>
    <w:p w14:paraId="38875852" w14:textId="77777777" w:rsidR="00F326E5" w:rsidRPr="007732FA" w:rsidRDefault="00F326E5" w:rsidP="00F326E5">
      <w:pPr>
        <w:spacing w:before="100" w:beforeAutospacing="1" w:after="100" w:afterAutospacing="1" w:line="240" w:lineRule="auto"/>
        <w:rPr>
          <w:rFonts w:ascii="Arial Black" w:hAnsi="Arial Black"/>
          <w:sz w:val="40"/>
          <w:szCs w:val="40"/>
        </w:rPr>
      </w:pPr>
    </w:p>
    <w:p w14:paraId="3B542359" w14:textId="77777777" w:rsidR="00F326E5" w:rsidRDefault="00F326E5" w:rsidP="00F326E5">
      <w:pPr>
        <w:spacing w:before="100" w:beforeAutospacing="1" w:after="100" w:afterAutospacing="1" w:line="240" w:lineRule="auto"/>
        <w:rPr>
          <w:rFonts w:ascii="Times New Roman" w:hAnsi="Times New Roman"/>
          <w:sz w:val="24"/>
          <w:szCs w:val="24"/>
        </w:rPr>
      </w:pPr>
    </w:p>
    <w:p w14:paraId="25DCD3D7" w14:textId="77777777" w:rsidR="00F326E5" w:rsidRPr="00A50673" w:rsidRDefault="00F326E5" w:rsidP="00F326E5">
      <w:pPr>
        <w:pStyle w:val="NoSpacing"/>
        <w:rPr>
          <w:b/>
          <w:sz w:val="24"/>
          <w:szCs w:val="24"/>
        </w:rPr>
      </w:pPr>
      <w:r>
        <w:rPr>
          <w:b/>
          <w:sz w:val="24"/>
          <w:szCs w:val="24"/>
        </w:rPr>
        <w:t xml:space="preserve"> </w:t>
      </w:r>
    </w:p>
    <w:p w14:paraId="23B7B606" w14:textId="77777777" w:rsidR="00F326E5" w:rsidRDefault="00F326E5" w:rsidP="00F326E5">
      <w:pPr>
        <w:spacing w:before="100" w:beforeAutospacing="1" w:after="100" w:afterAutospacing="1" w:line="240" w:lineRule="auto"/>
        <w:rPr>
          <w:rFonts w:ascii="Times New Roman" w:hAnsi="Times New Roman"/>
          <w:sz w:val="24"/>
          <w:szCs w:val="24"/>
        </w:rPr>
      </w:pPr>
    </w:p>
    <w:p w14:paraId="59CED2A1" w14:textId="77777777" w:rsidR="00F326E5" w:rsidRPr="00AA42D4" w:rsidRDefault="00F326E5" w:rsidP="00F326E5">
      <w:pPr>
        <w:spacing w:before="100" w:beforeAutospacing="1" w:after="100" w:afterAutospacing="1" w:line="240" w:lineRule="auto"/>
        <w:rPr>
          <w:rFonts w:ascii="Times New Roman" w:hAnsi="Times New Roman"/>
          <w:sz w:val="24"/>
          <w:szCs w:val="24"/>
        </w:rPr>
      </w:pPr>
    </w:p>
    <w:p w14:paraId="6E734B25" w14:textId="77777777" w:rsidR="00F326E5" w:rsidRPr="00C80872" w:rsidRDefault="00F326E5" w:rsidP="00F326E5">
      <w:pPr>
        <w:rPr>
          <w:rFonts w:ascii="Times New Roman" w:eastAsiaTheme="majorEastAsia" w:hAnsi="Times New Roman"/>
          <w:sz w:val="28"/>
          <w:szCs w:val="28"/>
        </w:rPr>
      </w:pPr>
    </w:p>
    <w:bookmarkEnd w:id="0"/>
    <w:p w14:paraId="37E7CFA5" w14:textId="77777777" w:rsidR="00F326E5" w:rsidRDefault="00F326E5" w:rsidP="007C45CA">
      <w:pPr>
        <w:pStyle w:val="NoSpacing"/>
        <w:jc w:val="center"/>
      </w:pPr>
    </w:p>
    <w:sectPr w:rsidR="00F326E5" w:rsidSect="00BC70F8">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6688D" w14:textId="77777777" w:rsidR="00373EF8" w:rsidRDefault="00373EF8" w:rsidP="00E265AB">
      <w:pPr>
        <w:spacing w:after="0" w:line="240" w:lineRule="auto"/>
      </w:pPr>
      <w:r>
        <w:separator/>
      </w:r>
    </w:p>
  </w:endnote>
  <w:endnote w:type="continuationSeparator" w:id="0">
    <w:p w14:paraId="1B1B88AF" w14:textId="77777777" w:rsidR="00373EF8" w:rsidRDefault="00373EF8" w:rsidP="00E26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On Times New Roman">
    <w:altName w:val="Cambria"/>
    <w:panose1 w:val="00000000000000000000"/>
    <w:charset w:val="00"/>
    <w:family w:val="roman"/>
    <w:notTrueType/>
    <w:pitch w:val="default"/>
  </w:font>
  <w:font w:name="PArial Black">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OnTimes New Roman">
    <w:altName w:val="Cambria"/>
    <w:panose1 w:val="00000000000000000000"/>
    <w:charset w:val="00"/>
    <w:family w:val="roman"/>
    <w:notTrueType/>
    <w:pitch w:val="default"/>
  </w:font>
  <w:font w:name="MIArial Black">
    <w:altName w:val="Cambria"/>
    <w:panose1 w:val="00000000000000000000"/>
    <w:charset w:val="00"/>
    <w:family w:val="roman"/>
    <w:notTrueType/>
    <w:pitch w:val="default"/>
  </w:font>
  <w:font w:name="AATimes New Roman">
    <w:altName w:val="Cambria"/>
    <w:panose1 w:val="00000000000000000000"/>
    <w:charset w:val="00"/>
    <w:family w:val="roman"/>
    <w:notTrueType/>
    <w:pitch w:val="default"/>
  </w:font>
  <w:font w:name="[">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quot;Times New Roman">
    <w:altName w:val="Cambria"/>
    <w:panose1 w:val="00000000000000000000"/>
    <w:charset w:val="00"/>
    <w:family w:val="roman"/>
    <w:notTrueType/>
    <w:pitch w:val="default"/>
  </w:font>
  <w:font w:name="NYArial Black">
    <w:altName w:val="Cambria"/>
    <w:panose1 w:val="00000000000000000000"/>
    <w:charset w:val="00"/>
    <w:family w:val="roman"/>
    <w:notTrueType/>
    <w:pitch w:val="default"/>
  </w:font>
  <w:font w:name="SeeTimes New Roman">
    <w:altName w:val="Cambria"/>
    <w:panose1 w:val="00000000000000000000"/>
    <w:charset w:val="00"/>
    <w:family w:val="roman"/>
    <w:notTrueType/>
    <w:pitch w:val="default"/>
  </w:font>
  <w:font w:name="Aptos Black">
    <w:charset w:val="00"/>
    <w:family w:val="swiss"/>
    <w:pitch w:val="variable"/>
    <w:sig w:usb0="20000287" w:usb1="00000003" w:usb2="00000000" w:usb3="00000000" w:csb0="0000019F" w:csb1="00000000"/>
  </w:font>
  <w:font w:name="EArial Black">
    <w:altName w:val="Cambria"/>
    <w:panose1 w:val="00000000000000000000"/>
    <w:charset w:val="00"/>
    <w:family w:val="roman"/>
    <w:notTrueType/>
    <w:pitch w:val="default"/>
  </w:font>
  <w:font w:name="On On">
    <w:altName w:val="Cambria"/>
    <w:panose1 w:val="00000000000000000000"/>
    <w:charset w:val="00"/>
    <w:family w:val="roman"/>
    <w:notTrueType/>
    <w:pitch w:val="default"/>
  </w:font>
  <w:font w:name="DArial Black">
    <w:altName w:val="Cambria"/>
    <w:panose1 w:val="00000000000000000000"/>
    <w:charset w:val="00"/>
    <w:family w:val="roman"/>
    <w:notTrueType/>
    <w:pitch w:val="default"/>
  </w:font>
  <w:font w:name="KYArial Black">
    <w:altName w:val="Cambria"/>
    <w:panose1 w:val="00000000000000000000"/>
    <w:charset w:val="00"/>
    <w:family w:val="roman"/>
    <w:notTrueType/>
    <w:pitch w:val="default"/>
  </w:font>
  <w:font w:name="acumin-pro">
    <w:altName w:val="Cambria"/>
    <w:panose1 w:val="00000000000000000000"/>
    <w:charset w:val="00"/>
    <w:family w:val="roman"/>
    <w:notTrueType/>
    <w:pitch w:val="default"/>
  </w:font>
  <w:font w:name="In">
    <w:altName w:val="Cambria"/>
    <w:panose1 w:val="00000000000000000000"/>
    <w:charset w:val="00"/>
    <w:family w:val="roman"/>
    <w:notTrueType/>
    <w:pitch w:val="default"/>
  </w:font>
  <w:font w:name="[Times New Roman">
    <w:altName w:val="Cambria"/>
    <w:panose1 w:val="00000000000000000000"/>
    <w:charset w:val="00"/>
    <w:family w:val="roman"/>
    <w:notTrueType/>
    <w:pitch w:val="default"/>
  </w:font>
  <w:font w:name="FeTimes New Roman">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AArial Black">
    <w:altName w:val="Cambria"/>
    <w:panose1 w:val="00000000000000000000"/>
    <w:charset w:val="00"/>
    <w:family w:val="roman"/>
    <w:notTrueType/>
    <w:pitch w:val="default"/>
  </w:font>
  <w:font w:name="TXArial Black">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D298B" w14:textId="77777777" w:rsidR="00373EF8" w:rsidRDefault="00373EF8" w:rsidP="00E265AB">
      <w:pPr>
        <w:spacing w:after="0" w:line="240" w:lineRule="auto"/>
      </w:pPr>
      <w:r>
        <w:separator/>
      </w:r>
    </w:p>
  </w:footnote>
  <w:footnote w:type="continuationSeparator" w:id="0">
    <w:p w14:paraId="4F9E4D85" w14:textId="77777777" w:rsidR="00373EF8" w:rsidRDefault="00373EF8" w:rsidP="00E265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129D6"/>
    <w:multiLevelType w:val="multilevel"/>
    <w:tmpl w:val="69DEC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7F6780"/>
    <w:multiLevelType w:val="hybridMultilevel"/>
    <w:tmpl w:val="C13A7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A6580E"/>
    <w:multiLevelType w:val="multilevel"/>
    <w:tmpl w:val="99EA3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440A36"/>
    <w:multiLevelType w:val="hybridMultilevel"/>
    <w:tmpl w:val="3BAC7D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AE47DC2"/>
    <w:multiLevelType w:val="multilevel"/>
    <w:tmpl w:val="946C5858"/>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5" w15:restartNumberingAfterBreak="0">
    <w:nsid w:val="0B0D1414"/>
    <w:multiLevelType w:val="hybridMultilevel"/>
    <w:tmpl w:val="CB0ACB1A"/>
    <w:lvl w:ilvl="0" w:tplc="0592F93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5315D2"/>
    <w:multiLevelType w:val="hybridMultilevel"/>
    <w:tmpl w:val="CB0ACB1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7909D9"/>
    <w:multiLevelType w:val="multilevel"/>
    <w:tmpl w:val="D91237B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183276D1"/>
    <w:multiLevelType w:val="hybridMultilevel"/>
    <w:tmpl w:val="18D29058"/>
    <w:lvl w:ilvl="0" w:tplc="C06430D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E2A7B27"/>
    <w:multiLevelType w:val="hybridMultilevel"/>
    <w:tmpl w:val="99583C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FB645D5"/>
    <w:multiLevelType w:val="multilevel"/>
    <w:tmpl w:val="6BB680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5251A5"/>
    <w:multiLevelType w:val="multilevel"/>
    <w:tmpl w:val="BB7AE42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251C5A5A"/>
    <w:multiLevelType w:val="multilevel"/>
    <w:tmpl w:val="11986E1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25D6363F"/>
    <w:multiLevelType w:val="hybridMultilevel"/>
    <w:tmpl w:val="44D890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899229E"/>
    <w:multiLevelType w:val="hybridMultilevel"/>
    <w:tmpl w:val="EA568B9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1F5166"/>
    <w:multiLevelType w:val="hybridMultilevel"/>
    <w:tmpl w:val="A740C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271366"/>
    <w:multiLevelType w:val="hybridMultilevel"/>
    <w:tmpl w:val="2DDCCA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39F115E"/>
    <w:multiLevelType w:val="hybridMultilevel"/>
    <w:tmpl w:val="7294F5F2"/>
    <w:lvl w:ilvl="0" w:tplc="611034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6D82B2E"/>
    <w:multiLevelType w:val="hybridMultilevel"/>
    <w:tmpl w:val="628AE4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9" w15:restartNumberingAfterBreak="0">
    <w:nsid w:val="377E2D57"/>
    <w:multiLevelType w:val="hybridMultilevel"/>
    <w:tmpl w:val="1B366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D77E54"/>
    <w:multiLevelType w:val="multilevel"/>
    <w:tmpl w:val="A3B4BD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B0605E"/>
    <w:multiLevelType w:val="multilevel"/>
    <w:tmpl w:val="7EE0E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2020C5"/>
    <w:multiLevelType w:val="multilevel"/>
    <w:tmpl w:val="94FCF1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3AD65C70"/>
    <w:multiLevelType w:val="multilevel"/>
    <w:tmpl w:val="1D22042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 w15:restartNumberingAfterBreak="0">
    <w:nsid w:val="41D411D8"/>
    <w:multiLevelType w:val="hybridMultilevel"/>
    <w:tmpl w:val="3DE037E4"/>
    <w:lvl w:ilvl="0" w:tplc="77F44B6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38D371D"/>
    <w:multiLevelType w:val="hybridMultilevel"/>
    <w:tmpl w:val="F88E2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7118CC"/>
    <w:multiLevelType w:val="hybridMultilevel"/>
    <w:tmpl w:val="1A266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0D43BA"/>
    <w:multiLevelType w:val="multilevel"/>
    <w:tmpl w:val="A3B4BD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CE25F8"/>
    <w:multiLevelType w:val="hybridMultilevel"/>
    <w:tmpl w:val="06123D3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0804BF"/>
    <w:multiLevelType w:val="hybridMultilevel"/>
    <w:tmpl w:val="E0DE53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961722"/>
    <w:multiLevelType w:val="multilevel"/>
    <w:tmpl w:val="49886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89703F"/>
    <w:multiLevelType w:val="multilevel"/>
    <w:tmpl w:val="E2265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D84A5D"/>
    <w:multiLevelType w:val="hybridMultilevel"/>
    <w:tmpl w:val="581E06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A2A1B5D"/>
    <w:multiLevelType w:val="multilevel"/>
    <w:tmpl w:val="FF98E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7D1B3C"/>
    <w:multiLevelType w:val="hybridMultilevel"/>
    <w:tmpl w:val="FFCCC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8038AE"/>
    <w:multiLevelType w:val="multilevel"/>
    <w:tmpl w:val="37565558"/>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36" w15:restartNumberingAfterBreak="0">
    <w:nsid w:val="70293092"/>
    <w:multiLevelType w:val="hybridMultilevel"/>
    <w:tmpl w:val="D262727A"/>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start w:val="1"/>
      <w:numFmt w:val="bullet"/>
      <w:lvlText w:val=""/>
      <w:lvlJc w:val="left"/>
      <w:pPr>
        <w:ind w:left="2592" w:hanging="360"/>
      </w:pPr>
      <w:rPr>
        <w:rFonts w:ascii="Wingdings" w:hAnsi="Wingdings" w:hint="default"/>
      </w:rPr>
    </w:lvl>
    <w:lvl w:ilvl="3" w:tplc="04090001">
      <w:start w:val="1"/>
      <w:numFmt w:val="bullet"/>
      <w:lvlText w:val=""/>
      <w:lvlJc w:val="left"/>
      <w:pPr>
        <w:ind w:left="3312" w:hanging="360"/>
      </w:pPr>
      <w:rPr>
        <w:rFonts w:ascii="Symbol" w:hAnsi="Symbol" w:hint="default"/>
      </w:rPr>
    </w:lvl>
    <w:lvl w:ilvl="4" w:tplc="04090003">
      <w:start w:val="1"/>
      <w:numFmt w:val="bullet"/>
      <w:lvlText w:val="o"/>
      <w:lvlJc w:val="left"/>
      <w:pPr>
        <w:ind w:left="4032" w:hanging="360"/>
      </w:pPr>
      <w:rPr>
        <w:rFonts w:ascii="Courier New" w:hAnsi="Courier New" w:cs="Courier New" w:hint="default"/>
      </w:rPr>
    </w:lvl>
    <w:lvl w:ilvl="5" w:tplc="04090005">
      <w:start w:val="1"/>
      <w:numFmt w:val="bullet"/>
      <w:lvlText w:val=""/>
      <w:lvlJc w:val="left"/>
      <w:pPr>
        <w:ind w:left="4752" w:hanging="360"/>
      </w:pPr>
      <w:rPr>
        <w:rFonts w:ascii="Wingdings" w:hAnsi="Wingdings" w:hint="default"/>
      </w:rPr>
    </w:lvl>
    <w:lvl w:ilvl="6" w:tplc="04090001">
      <w:start w:val="1"/>
      <w:numFmt w:val="bullet"/>
      <w:lvlText w:val=""/>
      <w:lvlJc w:val="left"/>
      <w:pPr>
        <w:ind w:left="5472" w:hanging="360"/>
      </w:pPr>
      <w:rPr>
        <w:rFonts w:ascii="Symbol" w:hAnsi="Symbol" w:hint="default"/>
      </w:rPr>
    </w:lvl>
    <w:lvl w:ilvl="7" w:tplc="04090003">
      <w:start w:val="1"/>
      <w:numFmt w:val="bullet"/>
      <w:lvlText w:val="o"/>
      <w:lvlJc w:val="left"/>
      <w:pPr>
        <w:ind w:left="6192" w:hanging="360"/>
      </w:pPr>
      <w:rPr>
        <w:rFonts w:ascii="Courier New" w:hAnsi="Courier New" w:cs="Courier New" w:hint="default"/>
      </w:rPr>
    </w:lvl>
    <w:lvl w:ilvl="8" w:tplc="04090005">
      <w:start w:val="1"/>
      <w:numFmt w:val="bullet"/>
      <w:lvlText w:val=""/>
      <w:lvlJc w:val="left"/>
      <w:pPr>
        <w:ind w:left="6912" w:hanging="360"/>
      </w:pPr>
      <w:rPr>
        <w:rFonts w:ascii="Wingdings" w:hAnsi="Wingdings" w:hint="default"/>
      </w:rPr>
    </w:lvl>
  </w:abstractNum>
  <w:abstractNum w:abstractNumId="37" w15:restartNumberingAfterBreak="0">
    <w:nsid w:val="7617299D"/>
    <w:multiLevelType w:val="multilevel"/>
    <w:tmpl w:val="6DCA602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8" w15:restartNumberingAfterBreak="0">
    <w:nsid w:val="7B2D493A"/>
    <w:multiLevelType w:val="hybridMultilevel"/>
    <w:tmpl w:val="591AD1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841771545">
    <w:abstractNumId w:val="0"/>
  </w:num>
  <w:num w:numId="2" w16cid:durableId="1323004026">
    <w:abstractNumId w:val="33"/>
  </w:num>
  <w:num w:numId="3" w16cid:durableId="1504397155">
    <w:abstractNumId w:val="37"/>
  </w:num>
  <w:num w:numId="4" w16cid:durableId="329334035">
    <w:abstractNumId w:val="16"/>
  </w:num>
  <w:num w:numId="5" w16cid:durableId="1976131357">
    <w:abstractNumId w:val="8"/>
  </w:num>
  <w:num w:numId="6" w16cid:durableId="293995344">
    <w:abstractNumId w:val="2"/>
  </w:num>
  <w:num w:numId="7" w16cid:durableId="18937296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33145372">
    <w:abstractNumId w:val="20"/>
  </w:num>
  <w:num w:numId="9" w16cid:durableId="917523769">
    <w:abstractNumId w:val="27"/>
  </w:num>
  <w:num w:numId="10" w16cid:durableId="155726141">
    <w:abstractNumId w:val="30"/>
  </w:num>
  <w:num w:numId="11" w16cid:durableId="2028216650">
    <w:abstractNumId w:val="25"/>
  </w:num>
  <w:num w:numId="12" w16cid:durableId="125704761">
    <w:abstractNumId w:val="36"/>
  </w:num>
  <w:num w:numId="13" w16cid:durableId="2071608991">
    <w:abstractNumId w:val="15"/>
  </w:num>
  <w:num w:numId="14" w16cid:durableId="975991674">
    <w:abstractNumId w:val="5"/>
  </w:num>
  <w:num w:numId="15" w16cid:durableId="1137726237">
    <w:abstractNumId w:val="6"/>
  </w:num>
  <w:num w:numId="16" w16cid:durableId="1155293072">
    <w:abstractNumId w:val="35"/>
  </w:num>
  <w:num w:numId="17" w16cid:durableId="119425451">
    <w:abstractNumId w:val="29"/>
  </w:num>
  <w:num w:numId="18" w16cid:durableId="1509637965">
    <w:abstractNumId w:val="19"/>
  </w:num>
  <w:num w:numId="19" w16cid:durableId="1660570764">
    <w:abstractNumId w:val="21"/>
  </w:num>
  <w:num w:numId="20" w16cid:durableId="970284595">
    <w:abstractNumId w:val="13"/>
  </w:num>
  <w:num w:numId="21" w16cid:durableId="689259317">
    <w:abstractNumId w:val="7"/>
  </w:num>
  <w:num w:numId="22" w16cid:durableId="1587378363">
    <w:abstractNumId w:val="38"/>
  </w:num>
  <w:num w:numId="23" w16cid:durableId="1214854445">
    <w:abstractNumId w:val="4"/>
  </w:num>
  <w:num w:numId="24" w16cid:durableId="1662079317">
    <w:abstractNumId w:val="10"/>
  </w:num>
  <w:num w:numId="25" w16cid:durableId="1301181501">
    <w:abstractNumId w:val="1"/>
  </w:num>
  <w:num w:numId="26" w16cid:durableId="1725252877">
    <w:abstractNumId w:val="24"/>
  </w:num>
  <w:num w:numId="27" w16cid:durableId="6715960">
    <w:abstractNumId w:val="11"/>
  </w:num>
  <w:num w:numId="28" w16cid:durableId="19056021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510073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56856519">
    <w:abstractNumId w:val="3"/>
  </w:num>
  <w:num w:numId="31" w16cid:durableId="1786608873">
    <w:abstractNumId w:val="26"/>
  </w:num>
  <w:num w:numId="32" w16cid:durableId="1494488361">
    <w:abstractNumId w:val="34"/>
  </w:num>
  <w:num w:numId="33" w16cid:durableId="1226573208">
    <w:abstractNumId w:val="18"/>
  </w:num>
  <w:num w:numId="34" w16cid:durableId="1136726821">
    <w:abstractNumId w:val="14"/>
  </w:num>
  <w:num w:numId="35" w16cid:durableId="1784306685">
    <w:abstractNumId w:val="28"/>
  </w:num>
  <w:num w:numId="36" w16cid:durableId="524556718">
    <w:abstractNumId w:val="32"/>
  </w:num>
  <w:num w:numId="37" w16cid:durableId="384643277">
    <w:abstractNumId w:val="31"/>
  </w:num>
  <w:num w:numId="38" w16cid:durableId="202255307">
    <w:abstractNumId w:val="12"/>
  </w:num>
  <w:num w:numId="39" w16cid:durableId="388194121">
    <w:abstractNumId w:val="14"/>
  </w:num>
  <w:num w:numId="40" w16cid:durableId="639724427">
    <w:abstractNumId w:val="36"/>
  </w:num>
  <w:num w:numId="41" w16cid:durableId="1542325366">
    <w:abstractNumId w:val="23"/>
  </w:num>
  <w:num w:numId="42" w16cid:durableId="57409879">
    <w:abstractNumId w:val="36"/>
  </w:num>
  <w:num w:numId="43" w16cid:durableId="667513454">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357"/>
    <w:rsid w:val="00000960"/>
    <w:rsid w:val="000010F2"/>
    <w:rsid w:val="00001707"/>
    <w:rsid w:val="0000182B"/>
    <w:rsid w:val="00001A04"/>
    <w:rsid w:val="00001D9A"/>
    <w:rsid w:val="00004498"/>
    <w:rsid w:val="00004638"/>
    <w:rsid w:val="00004BED"/>
    <w:rsid w:val="00004EEC"/>
    <w:rsid w:val="0000697E"/>
    <w:rsid w:val="00006AE3"/>
    <w:rsid w:val="00006B8D"/>
    <w:rsid w:val="00010BB9"/>
    <w:rsid w:val="00012426"/>
    <w:rsid w:val="00012C74"/>
    <w:rsid w:val="00013141"/>
    <w:rsid w:val="00014738"/>
    <w:rsid w:val="00014898"/>
    <w:rsid w:val="00015208"/>
    <w:rsid w:val="00015CB5"/>
    <w:rsid w:val="000160B4"/>
    <w:rsid w:val="00016469"/>
    <w:rsid w:val="000164B1"/>
    <w:rsid w:val="0001738E"/>
    <w:rsid w:val="000174EF"/>
    <w:rsid w:val="00020106"/>
    <w:rsid w:val="000209F5"/>
    <w:rsid w:val="0002141E"/>
    <w:rsid w:val="00021A20"/>
    <w:rsid w:val="00021E64"/>
    <w:rsid w:val="00022BE4"/>
    <w:rsid w:val="00022E5C"/>
    <w:rsid w:val="00024992"/>
    <w:rsid w:val="00024A0D"/>
    <w:rsid w:val="00025B22"/>
    <w:rsid w:val="00026281"/>
    <w:rsid w:val="0002742E"/>
    <w:rsid w:val="00027641"/>
    <w:rsid w:val="000301F2"/>
    <w:rsid w:val="000306C7"/>
    <w:rsid w:val="00031316"/>
    <w:rsid w:val="000318C6"/>
    <w:rsid w:val="00032074"/>
    <w:rsid w:val="0003275C"/>
    <w:rsid w:val="00032BF1"/>
    <w:rsid w:val="000338D1"/>
    <w:rsid w:val="00034955"/>
    <w:rsid w:val="00034C75"/>
    <w:rsid w:val="00035385"/>
    <w:rsid w:val="00037999"/>
    <w:rsid w:val="00037CB8"/>
    <w:rsid w:val="00040383"/>
    <w:rsid w:val="0004072E"/>
    <w:rsid w:val="000408CA"/>
    <w:rsid w:val="00041342"/>
    <w:rsid w:val="00042223"/>
    <w:rsid w:val="00042C6A"/>
    <w:rsid w:val="000438D5"/>
    <w:rsid w:val="00043E2B"/>
    <w:rsid w:val="000449B4"/>
    <w:rsid w:val="00044FB1"/>
    <w:rsid w:val="00045450"/>
    <w:rsid w:val="0004575D"/>
    <w:rsid w:val="00045E64"/>
    <w:rsid w:val="000462DC"/>
    <w:rsid w:val="000509A0"/>
    <w:rsid w:val="000516E6"/>
    <w:rsid w:val="000518BE"/>
    <w:rsid w:val="00051A4A"/>
    <w:rsid w:val="00054335"/>
    <w:rsid w:val="00054479"/>
    <w:rsid w:val="0005503D"/>
    <w:rsid w:val="00056D43"/>
    <w:rsid w:val="000617DD"/>
    <w:rsid w:val="00061BDB"/>
    <w:rsid w:val="000624FD"/>
    <w:rsid w:val="00062DA4"/>
    <w:rsid w:val="000630E9"/>
    <w:rsid w:val="000636AB"/>
    <w:rsid w:val="000637E4"/>
    <w:rsid w:val="00063A86"/>
    <w:rsid w:val="00063E80"/>
    <w:rsid w:val="000644B6"/>
    <w:rsid w:val="00064669"/>
    <w:rsid w:val="00064875"/>
    <w:rsid w:val="00066EA4"/>
    <w:rsid w:val="00066F05"/>
    <w:rsid w:val="000672CE"/>
    <w:rsid w:val="00067499"/>
    <w:rsid w:val="000676A0"/>
    <w:rsid w:val="00072607"/>
    <w:rsid w:val="00072F19"/>
    <w:rsid w:val="00073292"/>
    <w:rsid w:val="00073CC7"/>
    <w:rsid w:val="0007510D"/>
    <w:rsid w:val="00075181"/>
    <w:rsid w:val="00075B1D"/>
    <w:rsid w:val="00075CD4"/>
    <w:rsid w:val="00075D20"/>
    <w:rsid w:val="00075DAE"/>
    <w:rsid w:val="00076F13"/>
    <w:rsid w:val="00077FB4"/>
    <w:rsid w:val="00080178"/>
    <w:rsid w:val="00080FC6"/>
    <w:rsid w:val="000816F9"/>
    <w:rsid w:val="00081AD1"/>
    <w:rsid w:val="000839D4"/>
    <w:rsid w:val="00084D68"/>
    <w:rsid w:val="00084E0A"/>
    <w:rsid w:val="00084E13"/>
    <w:rsid w:val="00085E85"/>
    <w:rsid w:val="00085FE6"/>
    <w:rsid w:val="00086D22"/>
    <w:rsid w:val="00087209"/>
    <w:rsid w:val="000915C1"/>
    <w:rsid w:val="00092D5A"/>
    <w:rsid w:val="00092DAC"/>
    <w:rsid w:val="00094264"/>
    <w:rsid w:val="0009438D"/>
    <w:rsid w:val="000946BC"/>
    <w:rsid w:val="0009744A"/>
    <w:rsid w:val="00097703"/>
    <w:rsid w:val="00097DD5"/>
    <w:rsid w:val="000A0CD1"/>
    <w:rsid w:val="000A15E4"/>
    <w:rsid w:val="000A1F4E"/>
    <w:rsid w:val="000A21C0"/>
    <w:rsid w:val="000A2B47"/>
    <w:rsid w:val="000A35E0"/>
    <w:rsid w:val="000A4BD5"/>
    <w:rsid w:val="000A5A6C"/>
    <w:rsid w:val="000A5D63"/>
    <w:rsid w:val="000A5F54"/>
    <w:rsid w:val="000A6C09"/>
    <w:rsid w:val="000A72DE"/>
    <w:rsid w:val="000A7B66"/>
    <w:rsid w:val="000B1261"/>
    <w:rsid w:val="000B18F3"/>
    <w:rsid w:val="000B228A"/>
    <w:rsid w:val="000B2F15"/>
    <w:rsid w:val="000B3321"/>
    <w:rsid w:val="000B35FC"/>
    <w:rsid w:val="000B47B1"/>
    <w:rsid w:val="000B4D9F"/>
    <w:rsid w:val="000B584F"/>
    <w:rsid w:val="000B5EEC"/>
    <w:rsid w:val="000B6343"/>
    <w:rsid w:val="000B6881"/>
    <w:rsid w:val="000B78DC"/>
    <w:rsid w:val="000C0691"/>
    <w:rsid w:val="000C0B7B"/>
    <w:rsid w:val="000C1D8F"/>
    <w:rsid w:val="000C3B06"/>
    <w:rsid w:val="000C4268"/>
    <w:rsid w:val="000C4DF5"/>
    <w:rsid w:val="000C567D"/>
    <w:rsid w:val="000C584B"/>
    <w:rsid w:val="000C62A1"/>
    <w:rsid w:val="000C6C88"/>
    <w:rsid w:val="000C6DB9"/>
    <w:rsid w:val="000C756B"/>
    <w:rsid w:val="000D0769"/>
    <w:rsid w:val="000D0A3D"/>
    <w:rsid w:val="000D0D5F"/>
    <w:rsid w:val="000D1C4B"/>
    <w:rsid w:val="000D1CC1"/>
    <w:rsid w:val="000D2571"/>
    <w:rsid w:val="000D47A7"/>
    <w:rsid w:val="000D4A64"/>
    <w:rsid w:val="000D5056"/>
    <w:rsid w:val="000E1441"/>
    <w:rsid w:val="000E2F42"/>
    <w:rsid w:val="000E47F1"/>
    <w:rsid w:val="000E50DE"/>
    <w:rsid w:val="000F0163"/>
    <w:rsid w:val="000F03D9"/>
    <w:rsid w:val="000F060C"/>
    <w:rsid w:val="000F0910"/>
    <w:rsid w:val="000F18B0"/>
    <w:rsid w:val="000F1A96"/>
    <w:rsid w:val="000F2630"/>
    <w:rsid w:val="000F3890"/>
    <w:rsid w:val="000F4170"/>
    <w:rsid w:val="000F483A"/>
    <w:rsid w:val="000F4991"/>
    <w:rsid w:val="000F7C85"/>
    <w:rsid w:val="000F7D4E"/>
    <w:rsid w:val="00100878"/>
    <w:rsid w:val="00100B4F"/>
    <w:rsid w:val="00102FD0"/>
    <w:rsid w:val="001031C3"/>
    <w:rsid w:val="00103226"/>
    <w:rsid w:val="001033A4"/>
    <w:rsid w:val="00104A4C"/>
    <w:rsid w:val="00105EF2"/>
    <w:rsid w:val="0010642B"/>
    <w:rsid w:val="00107D14"/>
    <w:rsid w:val="0011091B"/>
    <w:rsid w:val="00110AE2"/>
    <w:rsid w:val="00110BB4"/>
    <w:rsid w:val="001112CF"/>
    <w:rsid w:val="00111714"/>
    <w:rsid w:val="0011264F"/>
    <w:rsid w:val="00113436"/>
    <w:rsid w:val="00113A3A"/>
    <w:rsid w:val="00113D38"/>
    <w:rsid w:val="00114A81"/>
    <w:rsid w:val="001150EA"/>
    <w:rsid w:val="00116265"/>
    <w:rsid w:val="00120DAE"/>
    <w:rsid w:val="00120F10"/>
    <w:rsid w:val="0012290C"/>
    <w:rsid w:val="00122CBC"/>
    <w:rsid w:val="00123C3F"/>
    <w:rsid w:val="00123E5E"/>
    <w:rsid w:val="00124FAD"/>
    <w:rsid w:val="00125039"/>
    <w:rsid w:val="0012517E"/>
    <w:rsid w:val="001257CC"/>
    <w:rsid w:val="00127024"/>
    <w:rsid w:val="0012739E"/>
    <w:rsid w:val="001276F8"/>
    <w:rsid w:val="00127BB3"/>
    <w:rsid w:val="00127BCE"/>
    <w:rsid w:val="00130523"/>
    <w:rsid w:val="00131912"/>
    <w:rsid w:val="001333DA"/>
    <w:rsid w:val="00133884"/>
    <w:rsid w:val="0013686B"/>
    <w:rsid w:val="00140433"/>
    <w:rsid w:val="0014047F"/>
    <w:rsid w:val="00140B2A"/>
    <w:rsid w:val="00141CEC"/>
    <w:rsid w:val="00142FA2"/>
    <w:rsid w:val="00144037"/>
    <w:rsid w:val="001447DC"/>
    <w:rsid w:val="001463F4"/>
    <w:rsid w:val="00146709"/>
    <w:rsid w:val="00146711"/>
    <w:rsid w:val="00147626"/>
    <w:rsid w:val="0015021B"/>
    <w:rsid w:val="00150E5B"/>
    <w:rsid w:val="00151EBE"/>
    <w:rsid w:val="0015207E"/>
    <w:rsid w:val="00153742"/>
    <w:rsid w:val="0015512D"/>
    <w:rsid w:val="00155A2B"/>
    <w:rsid w:val="001567BB"/>
    <w:rsid w:val="0015698F"/>
    <w:rsid w:val="00156E5D"/>
    <w:rsid w:val="001603B7"/>
    <w:rsid w:val="0016102B"/>
    <w:rsid w:val="0016116D"/>
    <w:rsid w:val="00161ED7"/>
    <w:rsid w:val="00162E4F"/>
    <w:rsid w:val="001631DA"/>
    <w:rsid w:val="001647FF"/>
    <w:rsid w:val="0016497A"/>
    <w:rsid w:val="00165526"/>
    <w:rsid w:val="00165A41"/>
    <w:rsid w:val="001668D8"/>
    <w:rsid w:val="001678CD"/>
    <w:rsid w:val="001713FB"/>
    <w:rsid w:val="00171FE4"/>
    <w:rsid w:val="00174109"/>
    <w:rsid w:val="0017434A"/>
    <w:rsid w:val="00174D48"/>
    <w:rsid w:val="00175401"/>
    <w:rsid w:val="00177094"/>
    <w:rsid w:val="00177852"/>
    <w:rsid w:val="00177D4A"/>
    <w:rsid w:val="0018059E"/>
    <w:rsid w:val="001806CE"/>
    <w:rsid w:val="00180F76"/>
    <w:rsid w:val="00181AD0"/>
    <w:rsid w:val="00182433"/>
    <w:rsid w:val="00182CF1"/>
    <w:rsid w:val="0018621C"/>
    <w:rsid w:val="00186708"/>
    <w:rsid w:val="0019067C"/>
    <w:rsid w:val="0019082A"/>
    <w:rsid w:val="00190EAB"/>
    <w:rsid w:val="00191CD7"/>
    <w:rsid w:val="00194050"/>
    <w:rsid w:val="00194CC1"/>
    <w:rsid w:val="00195FD1"/>
    <w:rsid w:val="001968CD"/>
    <w:rsid w:val="001A08FA"/>
    <w:rsid w:val="001A19F9"/>
    <w:rsid w:val="001A2F0B"/>
    <w:rsid w:val="001A3D7F"/>
    <w:rsid w:val="001A434A"/>
    <w:rsid w:val="001A4CAA"/>
    <w:rsid w:val="001A5080"/>
    <w:rsid w:val="001A57F9"/>
    <w:rsid w:val="001A5908"/>
    <w:rsid w:val="001A5AE3"/>
    <w:rsid w:val="001A609B"/>
    <w:rsid w:val="001A653A"/>
    <w:rsid w:val="001A6C67"/>
    <w:rsid w:val="001B16D0"/>
    <w:rsid w:val="001B1970"/>
    <w:rsid w:val="001B219E"/>
    <w:rsid w:val="001B23B7"/>
    <w:rsid w:val="001B28A9"/>
    <w:rsid w:val="001B35B2"/>
    <w:rsid w:val="001B367D"/>
    <w:rsid w:val="001B383B"/>
    <w:rsid w:val="001B3B5F"/>
    <w:rsid w:val="001B4518"/>
    <w:rsid w:val="001B50E9"/>
    <w:rsid w:val="001B6C81"/>
    <w:rsid w:val="001B7551"/>
    <w:rsid w:val="001B7DE1"/>
    <w:rsid w:val="001C06FF"/>
    <w:rsid w:val="001C1380"/>
    <w:rsid w:val="001C15DD"/>
    <w:rsid w:val="001C18B0"/>
    <w:rsid w:val="001C1BE8"/>
    <w:rsid w:val="001C1C3A"/>
    <w:rsid w:val="001C1F8D"/>
    <w:rsid w:val="001C2A03"/>
    <w:rsid w:val="001C2F88"/>
    <w:rsid w:val="001C33D3"/>
    <w:rsid w:val="001C563D"/>
    <w:rsid w:val="001C5665"/>
    <w:rsid w:val="001C5889"/>
    <w:rsid w:val="001C59E5"/>
    <w:rsid w:val="001C617A"/>
    <w:rsid w:val="001C6208"/>
    <w:rsid w:val="001C7270"/>
    <w:rsid w:val="001D002A"/>
    <w:rsid w:val="001D1462"/>
    <w:rsid w:val="001D1878"/>
    <w:rsid w:val="001D190A"/>
    <w:rsid w:val="001D1D6D"/>
    <w:rsid w:val="001D2278"/>
    <w:rsid w:val="001D26BA"/>
    <w:rsid w:val="001D2E7B"/>
    <w:rsid w:val="001D4188"/>
    <w:rsid w:val="001D520E"/>
    <w:rsid w:val="001D5809"/>
    <w:rsid w:val="001D5E22"/>
    <w:rsid w:val="001D6E51"/>
    <w:rsid w:val="001E0B30"/>
    <w:rsid w:val="001E264B"/>
    <w:rsid w:val="001E28A4"/>
    <w:rsid w:val="001E2F50"/>
    <w:rsid w:val="001E4307"/>
    <w:rsid w:val="001E56C7"/>
    <w:rsid w:val="001E5BE7"/>
    <w:rsid w:val="001E7A60"/>
    <w:rsid w:val="001F0359"/>
    <w:rsid w:val="001F0C4C"/>
    <w:rsid w:val="001F1BB0"/>
    <w:rsid w:val="001F2A28"/>
    <w:rsid w:val="001F3C9E"/>
    <w:rsid w:val="001F3D0F"/>
    <w:rsid w:val="001F4349"/>
    <w:rsid w:val="001F4CDF"/>
    <w:rsid w:val="001F4DA2"/>
    <w:rsid w:val="001F52D2"/>
    <w:rsid w:val="001F5522"/>
    <w:rsid w:val="001F58ED"/>
    <w:rsid w:val="001F5D19"/>
    <w:rsid w:val="001F6C95"/>
    <w:rsid w:val="001F6D9E"/>
    <w:rsid w:val="001F6F71"/>
    <w:rsid w:val="00200222"/>
    <w:rsid w:val="00204511"/>
    <w:rsid w:val="0020461D"/>
    <w:rsid w:val="00206727"/>
    <w:rsid w:val="0020758F"/>
    <w:rsid w:val="002077DA"/>
    <w:rsid w:val="002100FE"/>
    <w:rsid w:val="0021158A"/>
    <w:rsid w:val="002119A9"/>
    <w:rsid w:val="00213946"/>
    <w:rsid w:val="002147DA"/>
    <w:rsid w:val="00215578"/>
    <w:rsid w:val="00215605"/>
    <w:rsid w:val="002202B5"/>
    <w:rsid w:val="0022047A"/>
    <w:rsid w:val="0022097E"/>
    <w:rsid w:val="00221640"/>
    <w:rsid w:val="00221DD4"/>
    <w:rsid w:val="002225D0"/>
    <w:rsid w:val="0022286E"/>
    <w:rsid w:val="0022427B"/>
    <w:rsid w:val="002249FF"/>
    <w:rsid w:val="0022600D"/>
    <w:rsid w:val="002270FF"/>
    <w:rsid w:val="00227BDE"/>
    <w:rsid w:val="00230904"/>
    <w:rsid w:val="00230D1C"/>
    <w:rsid w:val="00231839"/>
    <w:rsid w:val="00231A5A"/>
    <w:rsid w:val="00233326"/>
    <w:rsid w:val="002333BA"/>
    <w:rsid w:val="00233F5D"/>
    <w:rsid w:val="00235836"/>
    <w:rsid w:val="00237599"/>
    <w:rsid w:val="00237A65"/>
    <w:rsid w:val="00240A53"/>
    <w:rsid w:val="00240D3F"/>
    <w:rsid w:val="002410DA"/>
    <w:rsid w:val="002422E0"/>
    <w:rsid w:val="002429BA"/>
    <w:rsid w:val="00243663"/>
    <w:rsid w:val="00243A7F"/>
    <w:rsid w:val="002450F2"/>
    <w:rsid w:val="00245274"/>
    <w:rsid w:val="002457B1"/>
    <w:rsid w:val="002470FD"/>
    <w:rsid w:val="00247719"/>
    <w:rsid w:val="0025018F"/>
    <w:rsid w:val="0025049B"/>
    <w:rsid w:val="002506B2"/>
    <w:rsid w:val="00250987"/>
    <w:rsid w:val="002511FF"/>
    <w:rsid w:val="00251B6F"/>
    <w:rsid w:val="0025382C"/>
    <w:rsid w:val="00253954"/>
    <w:rsid w:val="00254EDF"/>
    <w:rsid w:val="00255984"/>
    <w:rsid w:val="00255E41"/>
    <w:rsid w:val="00257457"/>
    <w:rsid w:val="00257D9A"/>
    <w:rsid w:val="0026092A"/>
    <w:rsid w:val="002616A6"/>
    <w:rsid w:val="00261BA4"/>
    <w:rsid w:val="002628DB"/>
    <w:rsid w:val="0026368F"/>
    <w:rsid w:val="00264893"/>
    <w:rsid w:val="00264998"/>
    <w:rsid w:val="0026657A"/>
    <w:rsid w:val="002665B4"/>
    <w:rsid w:val="00267A43"/>
    <w:rsid w:val="00267F30"/>
    <w:rsid w:val="002714EB"/>
    <w:rsid w:val="002718E8"/>
    <w:rsid w:val="00271F23"/>
    <w:rsid w:val="0027209B"/>
    <w:rsid w:val="002720DE"/>
    <w:rsid w:val="002729C0"/>
    <w:rsid w:val="002744EE"/>
    <w:rsid w:val="00274525"/>
    <w:rsid w:val="00274E82"/>
    <w:rsid w:val="00274FB2"/>
    <w:rsid w:val="00275738"/>
    <w:rsid w:val="002762A7"/>
    <w:rsid w:val="00277909"/>
    <w:rsid w:val="00277A51"/>
    <w:rsid w:val="002824DF"/>
    <w:rsid w:val="00282976"/>
    <w:rsid w:val="00282AF3"/>
    <w:rsid w:val="00283EDF"/>
    <w:rsid w:val="00284724"/>
    <w:rsid w:val="0028642A"/>
    <w:rsid w:val="00286CE9"/>
    <w:rsid w:val="00286F24"/>
    <w:rsid w:val="0029038E"/>
    <w:rsid w:val="00290B7D"/>
    <w:rsid w:val="00290C93"/>
    <w:rsid w:val="00291569"/>
    <w:rsid w:val="002917C5"/>
    <w:rsid w:val="00292532"/>
    <w:rsid w:val="00292E1C"/>
    <w:rsid w:val="00293570"/>
    <w:rsid w:val="0029560A"/>
    <w:rsid w:val="00295D7B"/>
    <w:rsid w:val="002972FF"/>
    <w:rsid w:val="00297434"/>
    <w:rsid w:val="00297B95"/>
    <w:rsid w:val="002A0697"/>
    <w:rsid w:val="002A2715"/>
    <w:rsid w:val="002A313D"/>
    <w:rsid w:val="002A4D86"/>
    <w:rsid w:val="002A66F2"/>
    <w:rsid w:val="002A6AA8"/>
    <w:rsid w:val="002B0414"/>
    <w:rsid w:val="002B1283"/>
    <w:rsid w:val="002B1FAF"/>
    <w:rsid w:val="002B2323"/>
    <w:rsid w:val="002B2465"/>
    <w:rsid w:val="002B4AA6"/>
    <w:rsid w:val="002B5A76"/>
    <w:rsid w:val="002B7386"/>
    <w:rsid w:val="002C09AE"/>
    <w:rsid w:val="002C0B2A"/>
    <w:rsid w:val="002C0E67"/>
    <w:rsid w:val="002C10A9"/>
    <w:rsid w:val="002C1FF2"/>
    <w:rsid w:val="002C229D"/>
    <w:rsid w:val="002C25D5"/>
    <w:rsid w:val="002C34C9"/>
    <w:rsid w:val="002C381D"/>
    <w:rsid w:val="002C54F5"/>
    <w:rsid w:val="002C6181"/>
    <w:rsid w:val="002C6862"/>
    <w:rsid w:val="002C6A29"/>
    <w:rsid w:val="002C7131"/>
    <w:rsid w:val="002D00F5"/>
    <w:rsid w:val="002D139D"/>
    <w:rsid w:val="002D13B2"/>
    <w:rsid w:val="002D1C2B"/>
    <w:rsid w:val="002D2F90"/>
    <w:rsid w:val="002D4402"/>
    <w:rsid w:val="002D45B5"/>
    <w:rsid w:val="002D5487"/>
    <w:rsid w:val="002D64A4"/>
    <w:rsid w:val="002D6690"/>
    <w:rsid w:val="002D7291"/>
    <w:rsid w:val="002E00D9"/>
    <w:rsid w:val="002E04CE"/>
    <w:rsid w:val="002E0A5D"/>
    <w:rsid w:val="002E0D85"/>
    <w:rsid w:val="002E1260"/>
    <w:rsid w:val="002E2246"/>
    <w:rsid w:val="002E2535"/>
    <w:rsid w:val="002E26A8"/>
    <w:rsid w:val="002E29BE"/>
    <w:rsid w:val="002E2CF4"/>
    <w:rsid w:val="002E3928"/>
    <w:rsid w:val="002E60CA"/>
    <w:rsid w:val="002E6C71"/>
    <w:rsid w:val="002F06DE"/>
    <w:rsid w:val="002F079A"/>
    <w:rsid w:val="002F0AF8"/>
    <w:rsid w:val="002F1349"/>
    <w:rsid w:val="002F205D"/>
    <w:rsid w:val="002F270A"/>
    <w:rsid w:val="002F409C"/>
    <w:rsid w:val="002F4ACE"/>
    <w:rsid w:val="002F5070"/>
    <w:rsid w:val="002F610D"/>
    <w:rsid w:val="002F63E3"/>
    <w:rsid w:val="002F6591"/>
    <w:rsid w:val="002F7727"/>
    <w:rsid w:val="002F7A23"/>
    <w:rsid w:val="002F7B74"/>
    <w:rsid w:val="002F7C80"/>
    <w:rsid w:val="002F7FB0"/>
    <w:rsid w:val="00300506"/>
    <w:rsid w:val="00300DA5"/>
    <w:rsid w:val="003016F0"/>
    <w:rsid w:val="00301D50"/>
    <w:rsid w:val="00301E8E"/>
    <w:rsid w:val="00303E7B"/>
    <w:rsid w:val="0030405E"/>
    <w:rsid w:val="003054C5"/>
    <w:rsid w:val="00306E28"/>
    <w:rsid w:val="00307899"/>
    <w:rsid w:val="003101E1"/>
    <w:rsid w:val="00310992"/>
    <w:rsid w:val="00310D6B"/>
    <w:rsid w:val="00311014"/>
    <w:rsid w:val="0031119E"/>
    <w:rsid w:val="003114A6"/>
    <w:rsid w:val="00311857"/>
    <w:rsid w:val="00311ABE"/>
    <w:rsid w:val="00311BBE"/>
    <w:rsid w:val="00311CE7"/>
    <w:rsid w:val="003122E5"/>
    <w:rsid w:val="00312498"/>
    <w:rsid w:val="003135AB"/>
    <w:rsid w:val="00316842"/>
    <w:rsid w:val="00316D92"/>
    <w:rsid w:val="0031703F"/>
    <w:rsid w:val="00320105"/>
    <w:rsid w:val="0032029E"/>
    <w:rsid w:val="003204A1"/>
    <w:rsid w:val="003209F9"/>
    <w:rsid w:val="00321766"/>
    <w:rsid w:val="00324C50"/>
    <w:rsid w:val="00325688"/>
    <w:rsid w:val="00325997"/>
    <w:rsid w:val="003271B2"/>
    <w:rsid w:val="003271B7"/>
    <w:rsid w:val="003275FF"/>
    <w:rsid w:val="00327B64"/>
    <w:rsid w:val="0033057F"/>
    <w:rsid w:val="003306E6"/>
    <w:rsid w:val="003312BD"/>
    <w:rsid w:val="00331400"/>
    <w:rsid w:val="00334308"/>
    <w:rsid w:val="00334940"/>
    <w:rsid w:val="003358D9"/>
    <w:rsid w:val="00336514"/>
    <w:rsid w:val="00336B00"/>
    <w:rsid w:val="00336CB5"/>
    <w:rsid w:val="003373B6"/>
    <w:rsid w:val="003376BE"/>
    <w:rsid w:val="003378B6"/>
    <w:rsid w:val="00340F0D"/>
    <w:rsid w:val="0034221B"/>
    <w:rsid w:val="00344E40"/>
    <w:rsid w:val="00345B75"/>
    <w:rsid w:val="00345C8F"/>
    <w:rsid w:val="003464C5"/>
    <w:rsid w:val="00347723"/>
    <w:rsid w:val="003502A8"/>
    <w:rsid w:val="00351E0A"/>
    <w:rsid w:val="0035274D"/>
    <w:rsid w:val="00352DD8"/>
    <w:rsid w:val="00354767"/>
    <w:rsid w:val="003568B1"/>
    <w:rsid w:val="00357AB9"/>
    <w:rsid w:val="00357F5D"/>
    <w:rsid w:val="00362EB6"/>
    <w:rsid w:val="0036327D"/>
    <w:rsid w:val="00363F33"/>
    <w:rsid w:val="0036420D"/>
    <w:rsid w:val="00364F21"/>
    <w:rsid w:val="00365F63"/>
    <w:rsid w:val="00366097"/>
    <w:rsid w:val="00366CDD"/>
    <w:rsid w:val="00367465"/>
    <w:rsid w:val="003701BD"/>
    <w:rsid w:val="00372379"/>
    <w:rsid w:val="0037332F"/>
    <w:rsid w:val="0037347A"/>
    <w:rsid w:val="00373EF8"/>
    <w:rsid w:val="003741FE"/>
    <w:rsid w:val="00374417"/>
    <w:rsid w:val="00374747"/>
    <w:rsid w:val="003748CB"/>
    <w:rsid w:val="00374C8E"/>
    <w:rsid w:val="00375900"/>
    <w:rsid w:val="00375DDB"/>
    <w:rsid w:val="00376E23"/>
    <w:rsid w:val="0038005B"/>
    <w:rsid w:val="003814D0"/>
    <w:rsid w:val="003814D7"/>
    <w:rsid w:val="00382F02"/>
    <w:rsid w:val="00383E22"/>
    <w:rsid w:val="00383EFC"/>
    <w:rsid w:val="0038442B"/>
    <w:rsid w:val="00384B2F"/>
    <w:rsid w:val="0038653D"/>
    <w:rsid w:val="00386A58"/>
    <w:rsid w:val="0038724B"/>
    <w:rsid w:val="003872BF"/>
    <w:rsid w:val="00387756"/>
    <w:rsid w:val="00387D84"/>
    <w:rsid w:val="00387E6C"/>
    <w:rsid w:val="0039158C"/>
    <w:rsid w:val="0039177C"/>
    <w:rsid w:val="003923C6"/>
    <w:rsid w:val="00392405"/>
    <w:rsid w:val="00392A85"/>
    <w:rsid w:val="00393C3E"/>
    <w:rsid w:val="00393C99"/>
    <w:rsid w:val="00393E4D"/>
    <w:rsid w:val="00394037"/>
    <w:rsid w:val="0039559E"/>
    <w:rsid w:val="003956F7"/>
    <w:rsid w:val="00395BD1"/>
    <w:rsid w:val="00395EA8"/>
    <w:rsid w:val="003A0275"/>
    <w:rsid w:val="003A037C"/>
    <w:rsid w:val="003A1362"/>
    <w:rsid w:val="003A1658"/>
    <w:rsid w:val="003A2816"/>
    <w:rsid w:val="003A29BE"/>
    <w:rsid w:val="003A305F"/>
    <w:rsid w:val="003A3C89"/>
    <w:rsid w:val="003A45A2"/>
    <w:rsid w:val="003A64EA"/>
    <w:rsid w:val="003A6D31"/>
    <w:rsid w:val="003B0476"/>
    <w:rsid w:val="003B2850"/>
    <w:rsid w:val="003B3DED"/>
    <w:rsid w:val="003B4DA5"/>
    <w:rsid w:val="003B725F"/>
    <w:rsid w:val="003B7F1C"/>
    <w:rsid w:val="003C0545"/>
    <w:rsid w:val="003C080C"/>
    <w:rsid w:val="003C08FD"/>
    <w:rsid w:val="003C1133"/>
    <w:rsid w:val="003C2A76"/>
    <w:rsid w:val="003C3E2B"/>
    <w:rsid w:val="003C4AE2"/>
    <w:rsid w:val="003C62F5"/>
    <w:rsid w:val="003C65E7"/>
    <w:rsid w:val="003C742B"/>
    <w:rsid w:val="003D057D"/>
    <w:rsid w:val="003D0C4C"/>
    <w:rsid w:val="003D134E"/>
    <w:rsid w:val="003D1961"/>
    <w:rsid w:val="003D1F16"/>
    <w:rsid w:val="003D20B2"/>
    <w:rsid w:val="003D2AAD"/>
    <w:rsid w:val="003D367F"/>
    <w:rsid w:val="003D47D0"/>
    <w:rsid w:val="003D5ECA"/>
    <w:rsid w:val="003D66C7"/>
    <w:rsid w:val="003D707F"/>
    <w:rsid w:val="003E0062"/>
    <w:rsid w:val="003E03D6"/>
    <w:rsid w:val="003E054D"/>
    <w:rsid w:val="003E0872"/>
    <w:rsid w:val="003E0A22"/>
    <w:rsid w:val="003E1AD0"/>
    <w:rsid w:val="003E2FC8"/>
    <w:rsid w:val="003E33B5"/>
    <w:rsid w:val="003E3554"/>
    <w:rsid w:val="003E35D8"/>
    <w:rsid w:val="003E41BB"/>
    <w:rsid w:val="003E45EB"/>
    <w:rsid w:val="003E7DB8"/>
    <w:rsid w:val="003E7FA5"/>
    <w:rsid w:val="003F1038"/>
    <w:rsid w:val="003F134A"/>
    <w:rsid w:val="003F14B8"/>
    <w:rsid w:val="003F1E51"/>
    <w:rsid w:val="003F2037"/>
    <w:rsid w:val="003F2075"/>
    <w:rsid w:val="003F3074"/>
    <w:rsid w:val="003F325A"/>
    <w:rsid w:val="003F3B30"/>
    <w:rsid w:val="003F4271"/>
    <w:rsid w:val="003F4AA0"/>
    <w:rsid w:val="003F4E70"/>
    <w:rsid w:val="003F5F35"/>
    <w:rsid w:val="003F660F"/>
    <w:rsid w:val="003F6691"/>
    <w:rsid w:val="003F788B"/>
    <w:rsid w:val="003F7B1A"/>
    <w:rsid w:val="00400A81"/>
    <w:rsid w:val="00400EC5"/>
    <w:rsid w:val="00400F67"/>
    <w:rsid w:val="00400FF9"/>
    <w:rsid w:val="00403244"/>
    <w:rsid w:val="004035C1"/>
    <w:rsid w:val="00404C02"/>
    <w:rsid w:val="004059E0"/>
    <w:rsid w:val="00407100"/>
    <w:rsid w:val="004102A6"/>
    <w:rsid w:val="00411936"/>
    <w:rsid w:val="00411E0E"/>
    <w:rsid w:val="00411F2A"/>
    <w:rsid w:val="00411FDF"/>
    <w:rsid w:val="0041296B"/>
    <w:rsid w:val="00416001"/>
    <w:rsid w:val="004160C7"/>
    <w:rsid w:val="00416BB6"/>
    <w:rsid w:val="004170CE"/>
    <w:rsid w:val="0042014B"/>
    <w:rsid w:val="00420162"/>
    <w:rsid w:val="00420322"/>
    <w:rsid w:val="00420A23"/>
    <w:rsid w:val="00421B7C"/>
    <w:rsid w:val="00421D18"/>
    <w:rsid w:val="0042214E"/>
    <w:rsid w:val="0042334A"/>
    <w:rsid w:val="0042436E"/>
    <w:rsid w:val="004246F0"/>
    <w:rsid w:val="00424793"/>
    <w:rsid w:val="00424D1C"/>
    <w:rsid w:val="00425E76"/>
    <w:rsid w:val="00426520"/>
    <w:rsid w:val="004305B6"/>
    <w:rsid w:val="00433119"/>
    <w:rsid w:val="00433EE5"/>
    <w:rsid w:val="00434296"/>
    <w:rsid w:val="004348E5"/>
    <w:rsid w:val="00437034"/>
    <w:rsid w:val="004378B8"/>
    <w:rsid w:val="00440081"/>
    <w:rsid w:val="004406A8"/>
    <w:rsid w:val="00440B47"/>
    <w:rsid w:val="0044195B"/>
    <w:rsid w:val="00441AB2"/>
    <w:rsid w:val="00441F95"/>
    <w:rsid w:val="004432C8"/>
    <w:rsid w:val="004433DA"/>
    <w:rsid w:val="004441B2"/>
    <w:rsid w:val="00444FB7"/>
    <w:rsid w:val="00447518"/>
    <w:rsid w:val="00447612"/>
    <w:rsid w:val="004504A6"/>
    <w:rsid w:val="0045092A"/>
    <w:rsid w:val="00451608"/>
    <w:rsid w:val="00452883"/>
    <w:rsid w:val="004529D8"/>
    <w:rsid w:val="00452CAA"/>
    <w:rsid w:val="00452CAC"/>
    <w:rsid w:val="004538AA"/>
    <w:rsid w:val="0045392E"/>
    <w:rsid w:val="00453E02"/>
    <w:rsid w:val="00455B5B"/>
    <w:rsid w:val="00456C91"/>
    <w:rsid w:val="00456DFA"/>
    <w:rsid w:val="00457219"/>
    <w:rsid w:val="00457441"/>
    <w:rsid w:val="004578CE"/>
    <w:rsid w:val="00460215"/>
    <w:rsid w:val="00460471"/>
    <w:rsid w:val="00460C0D"/>
    <w:rsid w:val="004612E3"/>
    <w:rsid w:val="00461E13"/>
    <w:rsid w:val="00462481"/>
    <w:rsid w:val="0046271A"/>
    <w:rsid w:val="004647F6"/>
    <w:rsid w:val="00465650"/>
    <w:rsid w:val="00465DC0"/>
    <w:rsid w:val="004668C7"/>
    <w:rsid w:val="0046766E"/>
    <w:rsid w:val="00467FCE"/>
    <w:rsid w:val="004704EF"/>
    <w:rsid w:val="004705C6"/>
    <w:rsid w:val="004729CB"/>
    <w:rsid w:val="0047376F"/>
    <w:rsid w:val="00473C4B"/>
    <w:rsid w:val="00474B94"/>
    <w:rsid w:val="00474F4B"/>
    <w:rsid w:val="00475136"/>
    <w:rsid w:val="00477016"/>
    <w:rsid w:val="00480C34"/>
    <w:rsid w:val="00480F72"/>
    <w:rsid w:val="00483671"/>
    <w:rsid w:val="0048537E"/>
    <w:rsid w:val="004854DD"/>
    <w:rsid w:val="00485FED"/>
    <w:rsid w:val="004864A1"/>
    <w:rsid w:val="00487B06"/>
    <w:rsid w:val="00487B33"/>
    <w:rsid w:val="0049084F"/>
    <w:rsid w:val="00491371"/>
    <w:rsid w:val="00491756"/>
    <w:rsid w:val="004926AF"/>
    <w:rsid w:val="00493015"/>
    <w:rsid w:val="00493A6B"/>
    <w:rsid w:val="0049457B"/>
    <w:rsid w:val="0049781A"/>
    <w:rsid w:val="004A0A63"/>
    <w:rsid w:val="004A1004"/>
    <w:rsid w:val="004A35B3"/>
    <w:rsid w:val="004A436F"/>
    <w:rsid w:val="004A5514"/>
    <w:rsid w:val="004A59EC"/>
    <w:rsid w:val="004A5E38"/>
    <w:rsid w:val="004B09B1"/>
    <w:rsid w:val="004B0DC2"/>
    <w:rsid w:val="004B129E"/>
    <w:rsid w:val="004B21EA"/>
    <w:rsid w:val="004B2E70"/>
    <w:rsid w:val="004B3399"/>
    <w:rsid w:val="004B4757"/>
    <w:rsid w:val="004B4BE8"/>
    <w:rsid w:val="004B4DF6"/>
    <w:rsid w:val="004B5399"/>
    <w:rsid w:val="004B6144"/>
    <w:rsid w:val="004B6753"/>
    <w:rsid w:val="004B7284"/>
    <w:rsid w:val="004B7CDA"/>
    <w:rsid w:val="004C0E50"/>
    <w:rsid w:val="004C1440"/>
    <w:rsid w:val="004C2189"/>
    <w:rsid w:val="004C22AB"/>
    <w:rsid w:val="004C28EA"/>
    <w:rsid w:val="004C2EC5"/>
    <w:rsid w:val="004C5670"/>
    <w:rsid w:val="004C62A0"/>
    <w:rsid w:val="004C756A"/>
    <w:rsid w:val="004D0741"/>
    <w:rsid w:val="004D1A91"/>
    <w:rsid w:val="004D2264"/>
    <w:rsid w:val="004D3039"/>
    <w:rsid w:val="004D3972"/>
    <w:rsid w:val="004D6D56"/>
    <w:rsid w:val="004D6FB2"/>
    <w:rsid w:val="004D70DC"/>
    <w:rsid w:val="004D713D"/>
    <w:rsid w:val="004D78BC"/>
    <w:rsid w:val="004E152C"/>
    <w:rsid w:val="004E22A2"/>
    <w:rsid w:val="004E22C3"/>
    <w:rsid w:val="004E2ADB"/>
    <w:rsid w:val="004E2C6A"/>
    <w:rsid w:val="004E33CF"/>
    <w:rsid w:val="004E344B"/>
    <w:rsid w:val="004E3CA7"/>
    <w:rsid w:val="004E4468"/>
    <w:rsid w:val="004E46C8"/>
    <w:rsid w:val="004E4AEF"/>
    <w:rsid w:val="004E4DCF"/>
    <w:rsid w:val="004E5E7F"/>
    <w:rsid w:val="004E6CA7"/>
    <w:rsid w:val="004E7570"/>
    <w:rsid w:val="004F158D"/>
    <w:rsid w:val="004F15A5"/>
    <w:rsid w:val="004F240F"/>
    <w:rsid w:val="004F2D19"/>
    <w:rsid w:val="004F2EB6"/>
    <w:rsid w:val="004F4D0F"/>
    <w:rsid w:val="004F5159"/>
    <w:rsid w:val="004F68B4"/>
    <w:rsid w:val="004F69EA"/>
    <w:rsid w:val="004F7489"/>
    <w:rsid w:val="005001AC"/>
    <w:rsid w:val="00500351"/>
    <w:rsid w:val="005017C5"/>
    <w:rsid w:val="00501BDD"/>
    <w:rsid w:val="00502261"/>
    <w:rsid w:val="00502E07"/>
    <w:rsid w:val="005035FF"/>
    <w:rsid w:val="00503691"/>
    <w:rsid w:val="005039BC"/>
    <w:rsid w:val="0050538A"/>
    <w:rsid w:val="00506EE7"/>
    <w:rsid w:val="00507580"/>
    <w:rsid w:val="00510098"/>
    <w:rsid w:val="0051041F"/>
    <w:rsid w:val="005105E7"/>
    <w:rsid w:val="00510F3A"/>
    <w:rsid w:val="00511258"/>
    <w:rsid w:val="00511F99"/>
    <w:rsid w:val="0051265E"/>
    <w:rsid w:val="005127F9"/>
    <w:rsid w:val="00512B13"/>
    <w:rsid w:val="00512D69"/>
    <w:rsid w:val="005142F0"/>
    <w:rsid w:val="00515316"/>
    <w:rsid w:val="00515C56"/>
    <w:rsid w:val="00516078"/>
    <w:rsid w:val="0051616C"/>
    <w:rsid w:val="00516941"/>
    <w:rsid w:val="005178A4"/>
    <w:rsid w:val="00520903"/>
    <w:rsid w:val="00520B72"/>
    <w:rsid w:val="005217D5"/>
    <w:rsid w:val="005235E2"/>
    <w:rsid w:val="00523A11"/>
    <w:rsid w:val="0052426F"/>
    <w:rsid w:val="00524647"/>
    <w:rsid w:val="00524648"/>
    <w:rsid w:val="005251B2"/>
    <w:rsid w:val="00525719"/>
    <w:rsid w:val="00525E67"/>
    <w:rsid w:val="005262E1"/>
    <w:rsid w:val="005263F1"/>
    <w:rsid w:val="0052665B"/>
    <w:rsid w:val="0052716C"/>
    <w:rsid w:val="00527AEF"/>
    <w:rsid w:val="00527EDF"/>
    <w:rsid w:val="00530943"/>
    <w:rsid w:val="00532D2D"/>
    <w:rsid w:val="00533809"/>
    <w:rsid w:val="00534272"/>
    <w:rsid w:val="005353F2"/>
    <w:rsid w:val="005356DD"/>
    <w:rsid w:val="00535EBD"/>
    <w:rsid w:val="00536545"/>
    <w:rsid w:val="00536594"/>
    <w:rsid w:val="00537DF9"/>
    <w:rsid w:val="00540451"/>
    <w:rsid w:val="0054197D"/>
    <w:rsid w:val="00541D60"/>
    <w:rsid w:val="00542190"/>
    <w:rsid w:val="00542851"/>
    <w:rsid w:val="00542F1E"/>
    <w:rsid w:val="0054339C"/>
    <w:rsid w:val="00543983"/>
    <w:rsid w:val="005441DE"/>
    <w:rsid w:val="00545323"/>
    <w:rsid w:val="00546738"/>
    <w:rsid w:val="005467E9"/>
    <w:rsid w:val="00546A79"/>
    <w:rsid w:val="005471EA"/>
    <w:rsid w:val="00547BA3"/>
    <w:rsid w:val="00550025"/>
    <w:rsid w:val="0055155D"/>
    <w:rsid w:val="0055225B"/>
    <w:rsid w:val="00552D25"/>
    <w:rsid w:val="00554741"/>
    <w:rsid w:val="00554962"/>
    <w:rsid w:val="00554AAF"/>
    <w:rsid w:val="00555E2A"/>
    <w:rsid w:val="00557000"/>
    <w:rsid w:val="00557CA2"/>
    <w:rsid w:val="005611CE"/>
    <w:rsid w:val="0056123D"/>
    <w:rsid w:val="00562A25"/>
    <w:rsid w:val="00562ACD"/>
    <w:rsid w:val="00563700"/>
    <w:rsid w:val="00563D38"/>
    <w:rsid w:val="00563EC5"/>
    <w:rsid w:val="005644A4"/>
    <w:rsid w:val="005646A1"/>
    <w:rsid w:val="005677A6"/>
    <w:rsid w:val="0057078B"/>
    <w:rsid w:val="00571037"/>
    <w:rsid w:val="00571DF6"/>
    <w:rsid w:val="00572A91"/>
    <w:rsid w:val="00572FDA"/>
    <w:rsid w:val="00573D08"/>
    <w:rsid w:val="005745F5"/>
    <w:rsid w:val="00574CD1"/>
    <w:rsid w:val="005758F6"/>
    <w:rsid w:val="00575946"/>
    <w:rsid w:val="0057595C"/>
    <w:rsid w:val="00576439"/>
    <w:rsid w:val="00576DAC"/>
    <w:rsid w:val="005779CA"/>
    <w:rsid w:val="00582E9B"/>
    <w:rsid w:val="00583923"/>
    <w:rsid w:val="00583C7D"/>
    <w:rsid w:val="00584728"/>
    <w:rsid w:val="0058488D"/>
    <w:rsid w:val="00584F66"/>
    <w:rsid w:val="00587311"/>
    <w:rsid w:val="005904B5"/>
    <w:rsid w:val="00592673"/>
    <w:rsid w:val="00592CB5"/>
    <w:rsid w:val="005939B8"/>
    <w:rsid w:val="00594C0D"/>
    <w:rsid w:val="00594E74"/>
    <w:rsid w:val="00595A8A"/>
    <w:rsid w:val="0059612C"/>
    <w:rsid w:val="005967C5"/>
    <w:rsid w:val="00597590"/>
    <w:rsid w:val="00597923"/>
    <w:rsid w:val="005A0082"/>
    <w:rsid w:val="005A04E2"/>
    <w:rsid w:val="005A0ABF"/>
    <w:rsid w:val="005A220C"/>
    <w:rsid w:val="005A289A"/>
    <w:rsid w:val="005A324A"/>
    <w:rsid w:val="005A38AE"/>
    <w:rsid w:val="005A395B"/>
    <w:rsid w:val="005A4098"/>
    <w:rsid w:val="005A414F"/>
    <w:rsid w:val="005A4D75"/>
    <w:rsid w:val="005A5089"/>
    <w:rsid w:val="005A7ED2"/>
    <w:rsid w:val="005B065B"/>
    <w:rsid w:val="005B0774"/>
    <w:rsid w:val="005B18E4"/>
    <w:rsid w:val="005B2CD1"/>
    <w:rsid w:val="005B3758"/>
    <w:rsid w:val="005B3FFE"/>
    <w:rsid w:val="005B4276"/>
    <w:rsid w:val="005B675E"/>
    <w:rsid w:val="005B72EF"/>
    <w:rsid w:val="005B7BBD"/>
    <w:rsid w:val="005C09B0"/>
    <w:rsid w:val="005C1E4D"/>
    <w:rsid w:val="005C30A4"/>
    <w:rsid w:val="005C3A2A"/>
    <w:rsid w:val="005C3F7B"/>
    <w:rsid w:val="005C4739"/>
    <w:rsid w:val="005C48CA"/>
    <w:rsid w:val="005C499C"/>
    <w:rsid w:val="005C5C79"/>
    <w:rsid w:val="005C606F"/>
    <w:rsid w:val="005C6596"/>
    <w:rsid w:val="005C69EF"/>
    <w:rsid w:val="005C77FB"/>
    <w:rsid w:val="005D2B81"/>
    <w:rsid w:val="005D334E"/>
    <w:rsid w:val="005D3D7E"/>
    <w:rsid w:val="005D4218"/>
    <w:rsid w:val="005D4D24"/>
    <w:rsid w:val="005D56E5"/>
    <w:rsid w:val="005D5A0C"/>
    <w:rsid w:val="005D5BAD"/>
    <w:rsid w:val="005D6817"/>
    <w:rsid w:val="005D6C9F"/>
    <w:rsid w:val="005D74B5"/>
    <w:rsid w:val="005E132A"/>
    <w:rsid w:val="005E16F7"/>
    <w:rsid w:val="005E2E1A"/>
    <w:rsid w:val="005E33B5"/>
    <w:rsid w:val="005E497B"/>
    <w:rsid w:val="005E5044"/>
    <w:rsid w:val="005E544B"/>
    <w:rsid w:val="005E60AF"/>
    <w:rsid w:val="005E6D64"/>
    <w:rsid w:val="005E79E8"/>
    <w:rsid w:val="005F0E6D"/>
    <w:rsid w:val="005F2DAC"/>
    <w:rsid w:val="005F2FF6"/>
    <w:rsid w:val="005F3DA4"/>
    <w:rsid w:val="005F448F"/>
    <w:rsid w:val="005F4889"/>
    <w:rsid w:val="005F4A66"/>
    <w:rsid w:val="005F526D"/>
    <w:rsid w:val="005F5492"/>
    <w:rsid w:val="005F6638"/>
    <w:rsid w:val="005F7130"/>
    <w:rsid w:val="005F75CC"/>
    <w:rsid w:val="005F76D4"/>
    <w:rsid w:val="005F7D6B"/>
    <w:rsid w:val="0060031B"/>
    <w:rsid w:val="006004D6"/>
    <w:rsid w:val="00601540"/>
    <w:rsid w:val="0060197A"/>
    <w:rsid w:val="0060201F"/>
    <w:rsid w:val="0060205D"/>
    <w:rsid w:val="0060296F"/>
    <w:rsid w:val="00603DEB"/>
    <w:rsid w:val="006043BC"/>
    <w:rsid w:val="00605129"/>
    <w:rsid w:val="006063CB"/>
    <w:rsid w:val="0060682A"/>
    <w:rsid w:val="006068BE"/>
    <w:rsid w:val="0060697B"/>
    <w:rsid w:val="00607129"/>
    <w:rsid w:val="00607FA6"/>
    <w:rsid w:val="0061065C"/>
    <w:rsid w:val="00610D0A"/>
    <w:rsid w:val="006114FF"/>
    <w:rsid w:val="0061348F"/>
    <w:rsid w:val="00614665"/>
    <w:rsid w:val="0061488E"/>
    <w:rsid w:val="00615F4E"/>
    <w:rsid w:val="006164CF"/>
    <w:rsid w:val="00616603"/>
    <w:rsid w:val="0061722F"/>
    <w:rsid w:val="006216EF"/>
    <w:rsid w:val="006222A0"/>
    <w:rsid w:val="00622D53"/>
    <w:rsid w:val="00623CB0"/>
    <w:rsid w:val="00623D71"/>
    <w:rsid w:val="00625F79"/>
    <w:rsid w:val="0062739C"/>
    <w:rsid w:val="00627649"/>
    <w:rsid w:val="0062764C"/>
    <w:rsid w:val="0062797C"/>
    <w:rsid w:val="00627EB5"/>
    <w:rsid w:val="006309AC"/>
    <w:rsid w:val="006323EA"/>
    <w:rsid w:val="006325EF"/>
    <w:rsid w:val="00635D7C"/>
    <w:rsid w:val="006361FE"/>
    <w:rsid w:val="00636395"/>
    <w:rsid w:val="0063723E"/>
    <w:rsid w:val="00637A12"/>
    <w:rsid w:val="00637EBA"/>
    <w:rsid w:val="00641A78"/>
    <w:rsid w:val="006428AD"/>
    <w:rsid w:val="00642CE9"/>
    <w:rsid w:val="00643222"/>
    <w:rsid w:val="00644344"/>
    <w:rsid w:val="00644810"/>
    <w:rsid w:val="00644E1A"/>
    <w:rsid w:val="00645350"/>
    <w:rsid w:val="0064577F"/>
    <w:rsid w:val="00645B9B"/>
    <w:rsid w:val="0064695D"/>
    <w:rsid w:val="00646EE3"/>
    <w:rsid w:val="00647EAC"/>
    <w:rsid w:val="00650507"/>
    <w:rsid w:val="006508FC"/>
    <w:rsid w:val="00650B85"/>
    <w:rsid w:val="006515AC"/>
    <w:rsid w:val="00651625"/>
    <w:rsid w:val="006528FB"/>
    <w:rsid w:val="00652BF0"/>
    <w:rsid w:val="006547A0"/>
    <w:rsid w:val="00656F1D"/>
    <w:rsid w:val="00656FDD"/>
    <w:rsid w:val="00660046"/>
    <w:rsid w:val="0066298F"/>
    <w:rsid w:val="00662E1A"/>
    <w:rsid w:val="00663160"/>
    <w:rsid w:val="006634F6"/>
    <w:rsid w:val="00663A6A"/>
    <w:rsid w:val="00664013"/>
    <w:rsid w:val="00664482"/>
    <w:rsid w:val="006645D5"/>
    <w:rsid w:val="006648D0"/>
    <w:rsid w:val="00664ABE"/>
    <w:rsid w:val="0066724F"/>
    <w:rsid w:val="006672D1"/>
    <w:rsid w:val="00671182"/>
    <w:rsid w:val="00671D64"/>
    <w:rsid w:val="006728B9"/>
    <w:rsid w:val="00673952"/>
    <w:rsid w:val="00674346"/>
    <w:rsid w:val="006744D3"/>
    <w:rsid w:val="00674AAB"/>
    <w:rsid w:val="00675DAD"/>
    <w:rsid w:val="006764DB"/>
    <w:rsid w:val="006774B3"/>
    <w:rsid w:val="006801BF"/>
    <w:rsid w:val="00680234"/>
    <w:rsid w:val="00680939"/>
    <w:rsid w:val="00680CC3"/>
    <w:rsid w:val="00680D61"/>
    <w:rsid w:val="0068177A"/>
    <w:rsid w:val="00683095"/>
    <w:rsid w:val="00683497"/>
    <w:rsid w:val="00683602"/>
    <w:rsid w:val="00683F2A"/>
    <w:rsid w:val="00684499"/>
    <w:rsid w:val="0068464C"/>
    <w:rsid w:val="00684A51"/>
    <w:rsid w:val="00684B8D"/>
    <w:rsid w:val="00684C64"/>
    <w:rsid w:val="006858CE"/>
    <w:rsid w:val="00685A30"/>
    <w:rsid w:val="00687306"/>
    <w:rsid w:val="006875F3"/>
    <w:rsid w:val="006878FB"/>
    <w:rsid w:val="00687C24"/>
    <w:rsid w:val="0069023D"/>
    <w:rsid w:val="006905F6"/>
    <w:rsid w:val="0069094F"/>
    <w:rsid w:val="00691181"/>
    <w:rsid w:val="00691DA8"/>
    <w:rsid w:val="00693009"/>
    <w:rsid w:val="00693E53"/>
    <w:rsid w:val="00694217"/>
    <w:rsid w:val="00694503"/>
    <w:rsid w:val="006958A3"/>
    <w:rsid w:val="0069598C"/>
    <w:rsid w:val="006959F8"/>
    <w:rsid w:val="00695AE8"/>
    <w:rsid w:val="006967A6"/>
    <w:rsid w:val="006970E1"/>
    <w:rsid w:val="006974E0"/>
    <w:rsid w:val="006A02A4"/>
    <w:rsid w:val="006A0C24"/>
    <w:rsid w:val="006A13EA"/>
    <w:rsid w:val="006A5294"/>
    <w:rsid w:val="006A5EFE"/>
    <w:rsid w:val="006A662D"/>
    <w:rsid w:val="006A67C1"/>
    <w:rsid w:val="006A6D1D"/>
    <w:rsid w:val="006A6DD1"/>
    <w:rsid w:val="006A6ED6"/>
    <w:rsid w:val="006B067A"/>
    <w:rsid w:val="006B0C80"/>
    <w:rsid w:val="006B2083"/>
    <w:rsid w:val="006B4271"/>
    <w:rsid w:val="006B7287"/>
    <w:rsid w:val="006B7C41"/>
    <w:rsid w:val="006C0951"/>
    <w:rsid w:val="006C0A0C"/>
    <w:rsid w:val="006C14C0"/>
    <w:rsid w:val="006C4753"/>
    <w:rsid w:val="006C4AD8"/>
    <w:rsid w:val="006C4BDE"/>
    <w:rsid w:val="006C6601"/>
    <w:rsid w:val="006C79BE"/>
    <w:rsid w:val="006C7F17"/>
    <w:rsid w:val="006D0326"/>
    <w:rsid w:val="006D14CC"/>
    <w:rsid w:val="006D160C"/>
    <w:rsid w:val="006D1B8F"/>
    <w:rsid w:val="006D1F52"/>
    <w:rsid w:val="006D28A9"/>
    <w:rsid w:val="006D28DE"/>
    <w:rsid w:val="006D2C51"/>
    <w:rsid w:val="006D2D4A"/>
    <w:rsid w:val="006D2F6D"/>
    <w:rsid w:val="006D3018"/>
    <w:rsid w:val="006D37B6"/>
    <w:rsid w:val="006D488D"/>
    <w:rsid w:val="006D52C4"/>
    <w:rsid w:val="006D545F"/>
    <w:rsid w:val="006D5E9F"/>
    <w:rsid w:val="006D63F9"/>
    <w:rsid w:val="006D679A"/>
    <w:rsid w:val="006D6BE3"/>
    <w:rsid w:val="006D6CFA"/>
    <w:rsid w:val="006D72C5"/>
    <w:rsid w:val="006E00CC"/>
    <w:rsid w:val="006E0471"/>
    <w:rsid w:val="006E0FA5"/>
    <w:rsid w:val="006E2D44"/>
    <w:rsid w:val="006E2F85"/>
    <w:rsid w:val="006E3103"/>
    <w:rsid w:val="006E4B4F"/>
    <w:rsid w:val="006E4F09"/>
    <w:rsid w:val="006E50D9"/>
    <w:rsid w:val="006E51B1"/>
    <w:rsid w:val="006E56A8"/>
    <w:rsid w:val="006E58D7"/>
    <w:rsid w:val="006E6416"/>
    <w:rsid w:val="006E70F8"/>
    <w:rsid w:val="006E75ED"/>
    <w:rsid w:val="006E77A8"/>
    <w:rsid w:val="006E7CA0"/>
    <w:rsid w:val="006F0C54"/>
    <w:rsid w:val="006F0C6A"/>
    <w:rsid w:val="006F1059"/>
    <w:rsid w:val="006F24F3"/>
    <w:rsid w:val="006F4352"/>
    <w:rsid w:val="006F4E6C"/>
    <w:rsid w:val="006F6E5A"/>
    <w:rsid w:val="006F7539"/>
    <w:rsid w:val="006F79CC"/>
    <w:rsid w:val="006F79FB"/>
    <w:rsid w:val="006F7F26"/>
    <w:rsid w:val="00702774"/>
    <w:rsid w:val="00702E90"/>
    <w:rsid w:val="007035CA"/>
    <w:rsid w:val="007051EE"/>
    <w:rsid w:val="00705D47"/>
    <w:rsid w:val="00706FEC"/>
    <w:rsid w:val="00707821"/>
    <w:rsid w:val="007100AC"/>
    <w:rsid w:val="00710575"/>
    <w:rsid w:val="007105B3"/>
    <w:rsid w:val="00710CC9"/>
    <w:rsid w:val="00713785"/>
    <w:rsid w:val="00713EF6"/>
    <w:rsid w:val="00715650"/>
    <w:rsid w:val="00715CF2"/>
    <w:rsid w:val="007179A1"/>
    <w:rsid w:val="007209A9"/>
    <w:rsid w:val="0072252E"/>
    <w:rsid w:val="00723036"/>
    <w:rsid w:val="00725A91"/>
    <w:rsid w:val="007265BA"/>
    <w:rsid w:val="00727472"/>
    <w:rsid w:val="007276B8"/>
    <w:rsid w:val="0072781E"/>
    <w:rsid w:val="00727951"/>
    <w:rsid w:val="00727EFE"/>
    <w:rsid w:val="007302FF"/>
    <w:rsid w:val="00730526"/>
    <w:rsid w:val="007328CD"/>
    <w:rsid w:val="00733BB2"/>
    <w:rsid w:val="007348C2"/>
    <w:rsid w:val="007353DC"/>
    <w:rsid w:val="0073564D"/>
    <w:rsid w:val="00735F6B"/>
    <w:rsid w:val="00736741"/>
    <w:rsid w:val="007369A1"/>
    <w:rsid w:val="00737963"/>
    <w:rsid w:val="00737B49"/>
    <w:rsid w:val="00740EF2"/>
    <w:rsid w:val="007411E2"/>
    <w:rsid w:val="00741889"/>
    <w:rsid w:val="00741F62"/>
    <w:rsid w:val="007426EF"/>
    <w:rsid w:val="0074280C"/>
    <w:rsid w:val="00742E47"/>
    <w:rsid w:val="00742EC0"/>
    <w:rsid w:val="00742F52"/>
    <w:rsid w:val="0074334C"/>
    <w:rsid w:val="007438A3"/>
    <w:rsid w:val="00743B05"/>
    <w:rsid w:val="00744788"/>
    <w:rsid w:val="007448D6"/>
    <w:rsid w:val="00744AE5"/>
    <w:rsid w:val="00744D51"/>
    <w:rsid w:val="00745B4B"/>
    <w:rsid w:val="0074687D"/>
    <w:rsid w:val="00746DF3"/>
    <w:rsid w:val="007470EA"/>
    <w:rsid w:val="007471AF"/>
    <w:rsid w:val="007506C7"/>
    <w:rsid w:val="00751196"/>
    <w:rsid w:val="00751EBA"/>
    <w:rsid w:val="00752286"/>
    <w:rsid w:val="00752531"/>
    <w:rsid w:val="007528C7"/>
    <w:rsid w:val="0075297C"/>
    <w:rsid w:val="00752D61"/>
    <w:rsid w:val="00752E25"/>
    <w:rsid w:val="0075332D"/>
    <w:rsid w:val="007540BD"/>
    <w:rsid w:val="00754784"/>
    <w:rsid w:val="00755E16"/>
    <w:rsid w:val="00756ACB"/>
    <w:rsid w:val="00761812"/>
    <w:rsid w:val="007620E2"/>
    <w:rsid w:val="0076241C"/>
    <w:rsid w:val="007637B0"/>
    <w:rsid w:val="00763EF6"/>
    <w:rsid w:val="00765ABF"/>
    <w:rsid w:val="00766306"/>
    <w:rsid w:val="00766805"/>
    <w:rsid w:val="00767686"/>
    <w:rsid w:val="00767EBD"/>
    <w:rsid w:val="007700C7"/>
    <w:rsid w:val="00771197"/>
    <w:rsid w:val="0077176C"/>
    <w:rsid w:val="0077274E"/>
    <w:rsid w:val="00772D62"/>
    <w:rsid w:val="00774A91"/>
    <w:rsid w:val="00776614"/>
    <w:rsid w:val="007774D2"/>
    <w:rsid w:val="00780354"/>
    <w:rsid w:val="007807F7"/>
    <w:rsid w:val="00780B64"/>
    <w:rsid w:val="007811A4"/>
    <w:rsid w:val="00781D35"/>
    <w:rsid w:val="00782139"/>
    <w:rsid w:val="00783ED0"/>
    <w:rsid w:val="00784419"/>
    <w:rsid w:val="00784981"/>
    <w:rsid w:val="00785987"/>
    <w:rsid w:val="00785AA7"/>
    <w:rsid w:val="00785DBA"/>
    <w:rsid w:val="007867D4"/>
    <w:rsid w:val="00787369"/>
    <w:rsid w:val="00787BFA"/>
    <w:rsid w:val="00787F0B"/>
    <w:rsid w:val="0079037C"/>
    <w:rsid w:val="00790D60"/>
    <w:rsid w:val="00791CA3"/>
    <w:rsid w:val="007921BC"/>
    <w:rsid w:val="007945EC"/>
    <w:rsid w:val="0079584F"/>
    <w:rsid w:val="007959C9"/>
    <w:rsid w:val="007959FD"/>
    <w:rsid w:val="00795A89"/>
    <w:rsid w:val="00795A9B"/>
    <w:rsid w:val="007963B6"/>
    <w:rsid w:val="0079730A"/>
    <w:rsid w:val="0079784D"/>
    <w:rsid w:val="007A053D"/>
    <w:rsid w:val="007A07DD"/>
    <w:rsid w:val="007A0B60"/>
    <w:rsid w:val="007A0E71"/>
    <w:rsid w:val="007A1954"/>
    <w:rsid w:val="007A1E7A"/>
    <w:rsid w:val="007A2A30"/>
    <w:rsid w:val="007A2E32"/>
    <w:rsid w:val="007A3239"/>
    <w:rsid w:val="007A4CFB"/>
    <w:rsid w:val="007A4EAE"/>
    <w:rsid w:val="007A51E6"/>
    <w:rsid w:val="007A57EC"/>
    <w:rsid w:val="007A5DCD"/>
    <w:rsid w:val="007A61C9"/>
    <w:rsid w:val="007A6AA5"/>
    <w:rsid w:val="007B08FB"/>
    <w:rsid w:val="007B0FFF"/>
    <w:rsid w:val="007B3AE4"/>
    <w:rsid w:val="007B3AE9"/>
    <w:rsid w:val="007B4499"/>
    <w:rsid w:val="007B49E7"/>
    <w:rsid w:val="007B5945"/>
    <w:rsid w:val="007B5BD2"/>
    <w:rsid w:val="007B6232"/>
    <w:rsid w:val="007B6899"/>
    <w:rsid w:val="007B72B3"/>
    <w:rsid w:val="007B7FD8"/>
    <w:rsid w:val="007C073D"/>
    <w:rsid w:val="007C0834"/>
    <w:rsid w:val="007C0C5D"/>
    <w:rsid w:val="007C2154"/>
    <w:rsid w:val="007C22F6"/>
    <w:rsid w:val="007C3144"/>
    <w:rsid w:val="007C45CA"/>
    <w:rsid w:val="007C4755"/>
    <w:rsid w:val="007C4C98"/>
    <w:rsid w:val="007C5017"/>
    <w:rsid w:val="007C55A4"/>
    <w:rsid w:val="007C5936"/>
    <w:rsid w:val="007C6D1E"/>
    <w:rsid w:val="007C6FEF"/>
    <w:rsid w:val="007C7655"/>
    <w:rsid w:val="007D0001"/>
    <w:rsid w:val="007D178F"/>
    <w:rsid w:val="007D294B"/>
    <w:rsid w:val="007D33D8"/>
    <w:rsid w:val="007D512D"/>
    <w:rsid w:val="007D54CE"/>
    <w:rsid w:val="007D62C3"/>
    <w:rsid w:val="007D66BE"/>
    <w:rsid w:val="007D66F8"/>
    <w:rsid w:val="007D737C"/>
    <w:rsid w:val="007E0BE0"/>
    <w:rsid w:val="007E1E51"/>
    <w:rsid w:val="007E2431"/>
    <w:rsid w:val="007E2EC4"/>
    <w:rsid w:val="007E3560"/>
    <w:rsid w:val="007E3A28"/>
    <w:rsid w:val="007E3F0F"/>
    <w:rsid w:val="007E3F8D"/>
    <w:rsid w:val="007E43E4"/>
    <w:rsid w:val="007E6FE3"/>
    <w:rsid w:val="007E74FE"/>
    <w:rsid w:val="007E7FBC"/>
    <w:rsid w:val="007F03DE"/>
    <w:rsid w:val="007F1354"/>
    <w:rsid w:val="007F398B"/>
    <w:rsid w:val="007F3C7D"/>
    <w:rsid w:val="007F3F5A"/>
    <w:rsid w:val="007F4958"/>
    <w:rsid w:val="007F56D6"/>
    <w:rsid w:val="007F5C26"/>
    <w:rsid w:val="007F5FF3"/>
    <w:rsid w:val="007F6B94"/>
    <w:rsid w:val="007F7423"/>
    <w:rsid w:val="00800ACD"/>
    <w:rsid w:val="008019DB"/>
    <w:rsid w:val="00801D3A"/>
    <w:rsid w:val="00802D6B"/>
    <w:rsid w:val="008032EA"/>
    <w:rsid w:val="0080370D"/>
    <w:rsid w:val="00803906"/>
    <w:rsid w:val="008041EF"/>
    <w:rsid w:val="00804F3A"/>
    <w:rsid w:val="008051F6"/>
    <w:rsid w:val="0080529A"/>
    <w:rsid w:val="008060F0"/>
    <w:rsid w:val="0080636C"/>
    <w:rsid w:val="0080750A"/>
    <w:rsid w:val="008110A3"/>
    <w:rsid w:val="00811255"/>
    <w:rsid w:val="00812C71"/>
    <w:rsid w:val="00812F8E"/>
    <w:rsid w:val="00814FB6"/>
    <w:rsid w:val="00815641"/>
    <w:rsid w:val="00815DD8"/>
    <w:rsid w:val="00816740"/>
    <w:rsid w:val="00816870"/>
    <w:rsid w:val="00816951"/>
    <w:rsid w:val="00816988"/>
    <w:rsid w:val="00817397"/>
    <w:rsid w:val="008201B3"/>
    <w:rsid w:val="0082055F"/>
    <w:rsid w:val="00820998"/>
    <w:rsid w:val="008213D0"/>
    <w:rsid w:val="00821AC9"/>
    <w:rsid w:val="00821DD1"/>
    <w:rsid w:val="0082202A"/>
    <w:rsid w:val="00822052"/>
    <w:rsid w:val="008226AC"/>
    <w:rsid w:val="008229A3"/>
    <w:rsid w:val="00823634"/>
    <w:rsid w:val="00823BBB"/>
    <w:rsid w:val="0082472B"/>
    <w:rsid w:val="00824C08"/>
    <w:rsid w:val="00824D3D"/>
    <w:rsid w:val="00824E5F"/>
    <w:rsid w:val="00826327"/>
    <w:rsid w:val="00826432"/>
    <w:rsid w:val="00830C38"/>
    <w:rsid w:val="00830D9F"/>
    <w:rsid w:val="0083128E"/>
    <w:rsid w:val="00831847"/>
    <w:rsid w:val="008326CD"/>
    <w:rsid w:val="00832745"/>
    <w:rsid w:val="00833C81"/>
    <w:rsid w:val="008343E2"/>
    <w:rsid w:val="00834490"/>
    <w:rsid w:val="00834E72"/>
    <w:rsid w:val="00835773"/>
    <w:rsid w:val="00840283"/>
    <w:rsid w:val="008409F5"/>
    <w:rsid w:val="008410AA"/>
    <w:rsid w:val="00841783"/>
    <w:rsid w:val="00841FB9"/>
    <w:rsid w:val="00842503"/>
    <w:rsid w:val="00842AFE"/>
    <w:rsid w:val="0084504D"/>
    <w:rsid w:val="00846216"/>
    <w:rsid w:val="008477BA"/>
    <w:rsid w:val="0085092C"/>
    <w:rsid w:val="00850F47"/>
    <w:rsid w:val="008519D7"/>
    <w:rsid w:val="00851CFA"/>
    <w:rsid w:val="00853142"/>
    <w:rsid w:val="008545A2"/>
    <w:rsid w:val="00854C1C"/>
    <w:rsid w:val="00854EFF"/>
    <w:rsid w:val="00855C01"/>
    <w:rsid w:val="008575D7"/>
    <w:rsid w:val="008578DE"/>
    <w:rsid w:val="00860C00"/>
    <w:rsid w:val="00861268"/>
    <w:rsid w:val="008619DE"/>
    <w:rsid w:val="00861EE9"/>
    <w:rsid w:val="0086215E"/>
    <w:rsid w:val="008626B6"/>
    <w:rsid w:val="00863F9E"/>
    <w:rsid w:val="0086464C"/>
    <w:rsid w:val="008653A5"/>
    <w:rsid w:val="00866413"/>
    <w:rsid w:val="00867718"/>
    <w:rsid w:val="00867B9D"/>
    <w:rsid w:val="008712E6"/>
    <w:rsid w:val="008724A1"/>
    <w:rsid w:val="008749CD"/>
    <w:rsid w:val="00874DB0"/>
    <w:rsid w:val="008750D9"/>
    <w:rsid w:val="0087511D"/>
    <w:rsid w:val="0087684E"/>
    <w:rsid w:val="00876E96"/>
    <w:rsid w:val="00877589"/>
    <w:rsid w:val="0087760A"/>
    <w:rsid w:val="00880B66"/>
    <w:rsid w:val="00881475"/>
    <w:rsid w:val="00881693"/>
    <w:rsid w:val="00882D61"/>
    <w:rsid w:val="00883B5F"/>
    <w:rsid w:val="00883BD6"/>
    <w:rsid w:val="00883F9B"/>
    <w:rsid w:val="008843BB"/>
    <w:rsid w:val="00884D9E"/>
    <w:rsid w:val="008850A4"/>
    <w:rsid w:val="00885321"/>
    <w:rsid w:val="0089006F"/>
    <w:rsid w:val="00891811"/>
    <w:rsid w:val="0089183C"/>
    <w:rsid w:val="00891E1D"/>
    <w:rsid w:val="0089221B"/>
    <w:rsid w:val="00893575"/>
    <w:rsid w:val="00893FEB"/>
    <w:rsid w:val="0089400B"/>
    <w:rsid w:val="0089488E"/>
    <w:rsid w:val="008954B6"/>
    <w:rsid w:val="00895720"/>
    <w:rsid w:val="00895C05"/>
    <w:rsid w:val="00896019"/>
    <w:rsid w:val="008963C8"/>
    <w:rsid w:val="00896888"/>
    <w:rsid w:val="00896D75"/>
    <w:rsid w:val="0089737B"/>
    <w:rsid w:val="0089742A"/>
    <w:rsid w:val="008A0333"/>
    <w:rsid w:val="008A0A0B"/>
    <w:rsid w:val="008A1352"/>
    <w:rsid w:val="008A1F84"/>
    <w:rsid w:val="008A2A7D"/>
    <w:rsid w:val="008A2AE6"/>
    <w:rsid w:val="008A379A"/>
    <w:rsid w:val="008A4127"/>
    <w:rsid w:val="008A4533"/>
    <w:rsid w:val="008A4A9B"/>
    <w:rsid w:val="008A4FC3"/>
    <w:rsid w:val="008A552F"/>
    <w:rsid w:val="008A677D"/>
    <w:rsid w:val="008A7077"/>
    <w:rsid w:val="008A71A3"/>
    <w:rsid w:val="008A731F"/>
    <w:rsid w:val="008A774F"/>
    <w:rsid w:val="008B065C"/>
    <w:rsid w:val="008B0978"/>
    <w:rsid w:val="008B1BD1"/>
    <w:rsid w:val="008B1F33"/>
    <w:rsid w:val="008B2721"/>
    <w:rsid w:val="008B2E73"/>
    <w:rsid w:val="008B5C50"/>
    <w:rsid w:val="008B64DA"/>
    <w:rsid w:val="008B7206"/>
    <w:rsid w:val="008C05B9"/>
    <w:rsid w:val="008C116F"/>
    <w:rsid w:val="008C18A2"/>
    <w:rsid w:val="008C3834"/>
    <w:rsid w:val="008C538A"/>
    <w:rsid w:val="008C5EE7"/>
    <w:rsid w:val="008C66A0"/>
    <w:rsid w:val="008C6EC1"/>
    <w:rsid w:val="008C7243"/>
    <w:rsid w:val="008C7F06"/>
    <w:rsid w:val="008D07C2"/>
    <w:rsid w:val="008D0D25"/>
    <w:rsid w:val="008D0D51"/>
    <w:rsid w:val="008D170A"/>
    <w:rsid w:val="008D1A90"/>
    <w:rsid w:val="008D250F"/>
    <w:rsid w:val="008D258F"/>
    <w:rsid w:val="008D3A9B"/>
    <w:rsid w:val="008D4459"/>
    <w:rsid w:val="008D4905"/>
    <w:rsid w:val="008D499E"/>
    <w:rsid w:val="008D618F"/>
    <w:rsid w:val="008D7007"/>
    <w:rsid w:val="008D7892"/>
    <w:rsid w:val="008D7CEA"/>
    <w:rsid w:val="008E0903"/>
    <w:rsid w:val="008E0AE9"/>
    <w:rsid w:val="008E12BA"/>
    <w:rsid w:val="008E16D8"/>
    <w:rsid w:val="008E1A23"/>
    <w:rsid w:val="008E1AE0"/>
    <w:rsid w:val="008E1D82"/>
    <w:rsid w:val="008E2491"/>
    <w:rsid w:val="008E25B6"/>
    <w:rsid w:val="008E3387"/>
    <w:rsid w:val="008E3395"/>
    <w:rsid w:val="008E38FF"/>
    <w:rsid w:val="008E4442"/>
    <w:rsid w:val="008E5BB2"/>
    <w:rsid w:val="008E743B"/>
    <w:rsid w:val="008E7464"/>
    <w:rsid w:val="008F02C3"/>
    <w:rsid w:val="008F05D1"/>
    <w:rsid w:val="008F109A"/>
    <w:rsid w:val="008F1833"/>
    <w:rsid w:val="008F1BBB"/>
    <w:rsid w:val="008F20A6"/>
    <w:rsid w:val="008F24E3"/>
    <w:rsid w:val="008F287B"/>
    <w:rsid w:val="008F4842"/>
    <w:rsid w:val="008F4B50"/>
    <w:rsid w:val="008F5629"/>
    <w:rsid w:val="008F60B6"/>
    <w:rsid w:val="008F6632"/>
    <w:rsid w:val="008F7EBA"/>
    <w:rsid w:val="009002CD"/>
    <w:rsid w:val="009005FF"/>
    <w:rsid w:val="00902336"/>
    <w:rsid w:val="00902B18"/>
    <w:rsid w:val="00903FC7"/>
    <w:rsid w:val="0090461E"/>
    <w:rsid w:val="009048F3"/>
    <w:rsid w:val="00905074"/>
    <w:rsid w:val="00906E10"/>
    <w:rsid w:val="009070B2"/>
    <w:rsid w:val="009073FB"/>
    <w:rsid w:val="00907B6A"/>
    <w:rsid w:val="00907CBF"/>
    <w:rsid w:val="00910090"/>
    <w:rsid w:val="00910AD4"/>
    <w:rsid w:val="00911EB2"/>
    <w:rsid w:val="00912048"/>
    <w:rsid w:val="0091209E"/>
    <w:rsid w:val="009135A7"/>
    <w:rsid w:val="0091463E"/>
    <w:rsid w:val="00915BCF"/>
    <w:rsid w:val="00916D00"/>
    <w:rsid w:val="0091755D"/>
    <w:rsid w:val="00920338"/>
    <w:rsid w:val="00920DD8"/>
    <w:rsid w:val="00921B8A"/>
    <w:rsid w:val="0092209D"/>
    <w:rsid w:val="00922A0A"/>
    <w:rsid w:val="00924257"/>
    <w:rsid w:val="0092471F"/>
    <w:rsid w:val="00924F58"/>
    <w:rsid w:val="009256C3"/>
    <w:rsid w:val="00925AD0"/>
    <w:rsid w:val="00926A91"/>
    <w:rsid w:val="009303C6"/>
    <w:rsid w:val="009312DC"/>
    <w:rsid w:val="00931DA8"/>
    <w:rsid w:val="00932110"/>
    <w:rsid w:val="00932D3A"/>
    <w:rsid w:val="00932FB7"/>
    <w:rsid w:val="009330C5"/>
    <w:rsid w:val="009334CD"/>
    <w:rsid w:val="009344F3"/>
    <w:rsid w:val="009352C7"/>
    <w:rsid w:val="009353BA"/>
    <w:rsid w:val="00935817"/>
    <w:rsid w:val="009358C6"/>
    <w:rsid w:val="009361DE"/>
    <w:rsid w:val="00936792"/>
    <w:rsid w:val="0093712E"/>
    <w:rsid w:val="009371E7"/>
    <w:rsid w:val="009376A9"/>
    <w:rsid w:val="00937BBC"/>
    <w:rsid w:val="00940FEF"/>
    <w:rsid w:val="009414DC"/>
    <w:rsid w:val="00942EF0"/>
    <w:rsid w:val="0094336F"/>
    <w:rsid w:val="009438F6"/>
    <w:rsid w:val="00943FAF"/>
    <w:rsid w:val="00944B7E"/>
    <w:rsid w:val="009453FA"/>
    <w:rsid w:val="00945BA7"/>
    <w:rsid w:val="0094602E"/>
    <w:rsid w:val="00946518"/>
    <w:rsid w:val="0094704B"/>
    <w:rsid w:val="009477EB"/>
    <w:rsid w:val="009504C8"/>
    <w:rsid w:val="009506CE"/>
    <w:rsid w:val="00951563"/>
    <w:rsid w:val="00951721"/>
    <w:rsid w:val="009525F2"/>
    <w:rsid w:val="00954D68"/>
    <w:rsid w:val="00954F48"/>
    <w:rsid w:val="00954F76"/>
    <w:rsid w:val="00955FF9"/>
    <w:rsid w:val="00956215"/>
    <w:rsid w:val="00956699"/>
    <w:rsid w:val="00956FD5"/>
    <w:rsid w:val="00957259"/>
    <w:rsid w:val="009579EB"/>
    <w:rsid w:val="00957E3A"/>
    <w:rsid w:val="009601CD"/>
    <w:rsid w:val="0096096B"/>
    <w:rsid w:val="00961DF4"/>
    <w:rsid w:val="009622FF"/>
    <w:rsid w:val="00963FA9"/>
    <w:rsid w:val="00964D1B"/>
    <w:rsid w:val="009652EC"/>
    <w:rsid w:val="00965872"/>
    <w:rsid w:val="00965945"/>
    <w:rsid w:val="00966476"/>
    <w:rsid w:val="009665CE"/>
    <w:rsid w:val="009701FE"/>
    <w:rsid w:val="0097062D"/>
    <w:rsid w:val="00971DDF"/>
    <w:rsid w:val="00972D0B"/>
    <w:rsid w:val="0097333B"/>
    <w:rsid w:val="009733C6"/>
    <w:rsid w:val="00973D14"/>
    <w:rsid w:val="0097592D"/>
    <w:rsid w:val="00977A84"/>
    <w:rsid w:val="00977F30"/>
    <w:rsid w:val="009800D6"/>
    <w:rsid w:val="00980EAD"/>
    <w:rsid w:val="00980FEF"/>
    <w:rsid w:val="00981C5A"/>
    <w:rsid w:val="009821C1"/>
    <w:rsid w:val="009851F6"/>
    <w:rsid w:val="00985434"/>
    <w:rsid w:val="00985578"/>
    <w:rsid w:val="00985FB3"/>
    <w:rsid w:val="0098663B"/>
    <w:rsid w:val="00986728"/>
    <w:rsid w:val="00986B93"/>
    <w:rsid w:val="009903C4"/>
    <w:rsid w:val="00990FB6"/>
    <w:rsid w:val="00991260"/>
    <w:rsid w:val="00991BC0"/>
    <w:rsid w:val="0099399D"/>
    <w:rsid w:val="00994EBB"/>
    <w:rsid w:val="00997329"/>
    <w:rsid w:val="00997E2F"/>
    <w:rsid w:val="00997F6F"/>
    <w:rsid w:val="009A03D1"/>
    <w:rsid w:val="009A0402"/>
    <w:rsid w:val="009A1732"/>
    <w:rsid w:val="009A27F2"/>
    <w:rsid w:val="009A2956"/>
    <w:rsid w:val="009A3152"/>
    <w:rsid w:val="009A36C9"/>
    <w:rsid w:val="009A3D9F"/>
    <w:rsid w:val="009A460A"/>
    <w:rsid w:val="009A6126"/>
    <w:rsid w:val="009A7014"/>
    <w:rsid w:val="009A7300"/>
    <w:rsid w:val="009B0593"/>
    <w:rsid w:val="009B0B5B"/>
    <w:rsid w:val="009B1B97"/>
    <w:rsid w:val="009B2200"/>
    <w:rsid w:val="009B2323"/>
    <w:rsid w:val="009B2566"/>
    <w:rsid w:val="009B2B57"/>
    <w:rsid w:val="009B2B83"/>
    <w:rsid w:val="009B3709"/>
    <w:rsid w:val="009B38FF"/>
    <w:rsid w:val="009B3A7B"/>
    <w:rsid w:val="009B50E8"/>
    <w:rsid w:val="009B5296"/>
    <w:rsid w:val="009B668A"/>
    <w:rsid w:val="009B6783"/>
    <w:rsid w:val="009B6BFE"/>
    <w:rsid w:val="009B6C6E"/>
    <w:rsid w:val="009B6C7F"/>
    <w:rsid w:val="009B7871"/>
    <w:rsid w:val="009C0CA8"/>
    <w:rsid w:val="009C17D7"/>
    <w:rsid w:val="009C19A1"/>
    <w:rsid w:val="009C21FE"/>
    <w:rsid w:val="009C2555"/>
    <w:rsid w:val="009C2906"/>
    <w:rsid w:val="009C4318"/>
    <w:rsid w:val="009C4A80"/>
    <w:rsid w:val="009C5942"/>
    <w:rsid w:val="009C594C"/>
    <w:rsid w:val="009C612E"/>
    <w:rsid w:val="009C6350"/>
    <w:rsid w:val="009C6DC9"/>
    <w:rsid w:val="009C6F45"/>
    <w:rsid w:val="009C6FAC"/>
    <w:rsid w:val="009C7451"/>
    <w:rsid w:val="009C7552"/>
    <w:rsid w:val="009C7749"/>
    <w:rsid w:val="009D0025"/>
    <w:rsid w:val="009D06F9"/>
    <w:rsid w:val="009D283D"/>
    <w:rsid w:val="009D30FC"/>
    <w:rsid w:val="009D37DC"/>
    <w:rsid w:val="009D4DCE"/>
    <w:rsid w:val="009D5C36"/>
    <w:rsid w:val="009D6B1D"/>
    <w:rsid w:val="009D7C4A"/>
    <w:rsid w:val="009E033B"/>
    <w:rsid w:val="009E093C"/>
    <w:rsid w:val="009E11A0"/>
    <w:rsid w:val="009E13D3"/>
    <w:rsid w:val="009E2025"/>
    <w:rsid w:val="009E27B4"/>
    <w:rsid w:val="009E2FA4"/>
    <w:rsid w:val="009E4718"/>
    <w:rsid w:val="009E4790"/>
    <w:rsid w:val="009E4854"/>
    <w:rsid w:val="009E48AB"/>
    <w:rsid w:val="009E49BD"/>
    <w:rsid w:val="009E4F52"/>
    <w:rsid w:val="009E6A3C"/>
    <w:rsid w:val="009E754F"/>
    <w:rsid w:val="009E7672"/>
    <w:rsid w:val="009F02E2"/>
    <w:rsid w:val="009F0F05"/>
    <w:rsid w:val="009F0FF3"/>
    <w:rsid w:val="009F1660"/>
    <w:rsid w:val="009F16C8"/>
    <w:rsid w:val="009F1927"/>
    <w:rsid w:val="009F1D79"/>
    <w:rsid w:val="009F234F"/>
    <w:rsid w:val="009F41E7"/>
    <w:rsid w:val="009F439F"/>
    <w:rsid w:val="009F4BF5"/>
    <w:rsid w:val="009F4E32"/>
    <w:rsid w:val="009F546C"/>
    <w:rsid w:val="009F5629"/>
    <w:rsid w:val="009F6174"/>
    <w:rsid w:val="009F6EA5"/>
    <w:rsid w:val="009F725F"/>
    <w:rsid w:val="00A0064F"/>
    <w:rsid w:val="00A00FF7"/>
    <w:rsid w:val="00A01262"/>
    <w:rsid w:val="00A0129E"/>
    <w:rsid w:val="00A01ACA"/>
    <w:rsid w:val="00A0378C"/>
    <w:rsid w:val="00A05722"/>
    <w:rsid w:val="00A0601A"/>
    <w:rsid w:val="00A06387"/>
    <w:rsid w:val="00A0752D"/>
    <w:rsid w:val="00A10031"/>
    <w:rsid w:val="00A10C14"/>
    <w:rsid w:val="00A110F1"/>
    <w:rsid w:val="00A126EB"/>
    <w:rsid w:val="00A132BA"/>
    <w:rsid w:val="00A13485"/>
    <w:rsid w:val="00A15AF9"/>
    <w:rsid w:val="00A16B10"/>
    <w:rsid w:val="00A17EA1"/>
    <w:rsid w:val="00A2043F"/>
    <w:rsid w:val="00A20997"/>
    <w:rsid w:val="00A20CA7"/>
    <w:rsid w:val="00A21A2D"/>
    <w:rsid w:val="00A221FA"/>
    <w:rsid w:val="00A23B88"/>
    <w:rsid w:val="00A2473C"/>
    <w:rsid w:val="00A247E4"/>
    <w:rsid w:val="00A24839"/>
    <w:rsid w:val="00A25359"/>
    <w:rsid w:val="00A25870"/>
    <w:rsid w:val="00A25CDF"/>
    <w:rsid w:val="00A26558"/>
    <w:rsid w:val="00A27AC6"/>
    <w:rsid w:val="00A304E4"/>
    <w:rsid w:val="00A307BA"/>
    <w:rsid w:val="00A313D5"/>
    <w:rsid w:val="00A318FA"/>
    <w:rsid w:val="00A3367E"/>
    <w:rsid w:val="00A33C55"/>
    <w:rsid w:val="00A34572"/>
    <w:rsid w:val="00A34683"/>
    <w:rsid w:val="00A35301"/>
    <w:rsid w:val="00A35726"/>
    <w:rsid w:val="00A359DC"/>
    <w:rsid w:val="00A36FDB"/>
    <w:rsid w:val="00A37EAD"/>
    <w:rsid w:val="00A40065"/>
    <w:rsid w:val="00A420E9"/>
    <w:rsid w:val="00A4294E"/>
    <w:rsid w:val="00A445BE"/>
    <w:rsid w:val="00A44AF2"/>
    <w:rsid w:val="00A45D5D"/>
    <w:rsid w:val="00A4617E"/>
    <w:rsid w:val="00A47FDE"/>
    <w:rsid w:val="00A50A87"/>
    <w:rsid w:val="00A50C92"/>
    <w:rsid w:val="00A51E2D"/>
    <w:rsid w:val="00A52188"/>
    <w:rsid w:val="00A52325"/>
    <w:rsid w:val="00A5402C"/>
    <w:rsid w:val="00A54901"/>
    <w:rsid w:val="00A56D2D"/>
    <w:rsid w:val="00A56D83"/>
    <w:rsid w:val="00A56F69"/>
    <w:rsid w:val="00A57516"/>
    <w:rsid w:val="00A615C7"/>
    <w:rsid w:val="00A61CD2"/>
    <w:rsid w:val="00A62433"/>
    <w:rsid w:val="00A6573F"/>
    <w:rsid w:val="00A65FD8"/>
    <w:rsid w:val="00A66020"/>
    <w:rsid w:val="00A662A1"/>
    <w:rsid w:val="00A663AC"/>
    <w:rsid w:val="00A66F20"/>
    <w:rsid w:val="00A672EE"/>
    <w:rsid w:val="00A67672"/>
    <w:rsid w:val="00A676A4"/>
    <w:rsid w:val="00A67C57"/>
    <w:rsid w:val="00A67DBF"/>
    <w:rsid w:val="00A70464"/>
    <w:rsid w:val="00A707E2"/>
    <w:rsid w:val="00A70E45"/>
    <w:rsid w:val="00A72DC8"/>
    <w:rsid w:val="00A755CA"/>
    <w:rsid w:val="00A763AF"/>
    <w:rsid w:val="00A76634"/>
    <w:rsid w:val="00A76898"/>
    <w:rsid w:val="00A76F8F"/>
    <w:rsid w:val="00A77ADF"/>
    <w:rsid w:val="00A77EB9"/>
    <w:rsid w:val="00A81133"/>
    <w:rsid w:val="00A819D5"/>
    <w:rsid w:val="00A81A81"/>
    <w:rsid w:val="00A82016"/>
    <w:rsid w:val="00A82898"/>
    <w:rsid w:val="00A84216"/>
    <w:rsid w:val="00A84727"/>
    <w:rsid w:val="00A84B8B"/>
    <w:rsid w:val="00A84C9A"/>
    <w:rsid w:val="00A84F86"/>
    <w:rsid w:val="00A85CFB"/>
    <w:rsid w:val="00A905C2"/>
    <w:rsid w:val="00A91BAB"/>
    <w:rsid w:val="00A931FC"/>
    <w:rsid w:val="00A935F8"/>
    <w:rsid w:val="00A93BF7"/>
    <w:rsid w:val="00A93EB6"/>
    <w:rsid w:val="00A94598"/>
    <w:rsid w:val="00A950CC"/>
    <w:rsid w:val="00A95D36"/>
    <w:rsid w:val="00A96BBF"/>
    <w:rsid w:val="00A971EA"/>
    <w:rsid w:val="00AA11C3"/>
    <w:rsid w:val="00AA344E"/>
    <w:rsid w:val="00AA4BA6"/>
    <w:rsid w:val="00AA539D"/>
    <w:rsid w:val="00AA584B"/>
    <w:rsid w:val="00AA589C"/>
    <w:rsid w:val="00AA6324"/>
    <w:rsid w:val="00AA73EC"/>
    <w:rsid w:val="00AB0436"/>
    <w:rsid w:val="00AB0466"/>
    <w:rsid w:val="00AB14AC"/>
    <w:rsid w:val="00AB14CC"/>
    <w:rsid w:val="00AB1F1C"/>
    <w:rsid w:val="00AB3777"/>
    <w:rsid w:val="00AB3819"/>
    <w:rsid w:val="00AB532E"/>
    <w:rsid w:val="00AB5980"/>
    <w:rsid w:val="00AB637D"/>
    <w:rsid w:val="00AB65C3"/>
    <w:rsid w:val="00AB6735"/>
    <w:rsid w:val="00AB682E"/>
    <w:rsid w:val="00AB6ADC"/>
    <w:rsid w:val="00AB754A"/>
    <w:rsid w:val="00AB7553"/>
    <w:rsid w:val="00AB7754"/>
    <w:rsid w:val="00AC1E3A"/>
    <w:rsid w:val="00AC1F80"/>
    <w:rsid w:val="00AC2AA9"/>
    <w:rsid w:val="00AC37DC"/>
    <w:rsid w:val="00AC3CB5"/>
    <w:rsid w:val="00AC3E10"/>
    <w:rsid w:val="00AC44B8"/>
    <w:rsid w:val="00AC4CDD"/>
    <w:rsid w:val="00AC58C5"/>
    <w:rsid w:val="00AC5A3A"/>
    <w:rsid w:val="00AC5D29"/>
    <w:rsid w:val="00AC5D33"/>
    <w:rsid w:val="00AC5DED"/>
    <w:rsid w:val="00AC5FED"/>
    <w:rsid w:val="00AD0728"/>
    <w:rsid w:val="00AD1701"/>
    <w:rsid w:val="00AD53DF"/>
    <w:rsid w:val="00AD5461"/>
    <w:rsid w:val="00AD550E"/>
    <w:rsid w:val="00AD5EF8"/>
    <w:rsid w:val="00AD6C0A"/>
    <w:rsid w:val="00AD6C17"/>
    <w:rsid w:val="00AD7949"/>
    <w:rsid w:val="00AD7E21"/>
    <w:rsid w:val="00AD7ECA"/>
    <w:rsid w:val="00AE05CE"/>
    <w:rsid w:val="00AE0ACC"/>
    <w:rsid w:val="00AE0E95"/>
    <w:rsid w:val="00AE1943"/>
    <w:rsid w:val="00AE2AF4"/>
    <w:rsid w:val="00AE2F67"/>
    <w:rsid w:val="00AE3176"/>
    <w:rsid w:val="00AE32D3"/>
    <w:rsid w:val="00AE3DBB"/>
    <w:rsid w:val="00AE4A33"/>
    <w:rsid w:val="00AE4AE1"/>
    <w:rsid w:val="00AE5515"/>
    <w:rsid w:val="00AE6599"/>
    <w:rsid w:val="00AE6CF5"/>
    <w:rsid w:val="00AE7F1F"/>
    <w:rsid w:val="00AF0D0A"/>
    <w:rsid w:val="00AF2973"/>
    <w:rsid w:val="00AF2FA3"/>
    <w:rsid w:val="00AF46AA"/>
    <w:rsid w:val="00AF49D1"/>
    <w:rsid w:val="00AF60A4"/>
    <w:rsid w:val="00AF713A"/>
    <w:rsid w:val="00AF72C9"/>
    <w:rsid w:val="00AF7EA6"/>
    <w:rsid w:val="00B0089C"/>
    <w:rsid w:val="00B00E74"/>
    <w:rsid w:val="00B03268"/>
    <w:rsid w:val="00B03969"/>
    <w:rsid w:val="00B05E78"/>
    <w:rsid w:val="00B068BE"/>
    <w:rsid w:val="00B06C3F"/>
    <w:rsid w:val="00B07EC1"/>
    <w:rsid w:val="00B12A0F"/>
    <w:rsid w:val="00B13773"/>
    <w:rsid w:val="00B13D59"/>
    <w:rsid w:val="00B14B92"/>
    <w:rsid w:val="00B15008"/>
    <w:rsid w:val="00B1569B"/>
    <w:rsid w:val="00B15D17"/>
    <w:rsid w:val="00B15FBB"/>
    <w:rsid w:val="00B170D7"/>
    <w:rsid w:val="00B17210"/>
    <w:rsid w:val="00B20474"/>
    <w:rsid w:val="00B22623"/>
    <w:rsid w:val="00B22CD4"/>
    <w:rsid w:val="00B2318F"/>
    <w:rsid w:val="00B232CB"/>
    <w:rsid w:val="00B23332"/>
    <w:rsid w:val="00B23BDB"/>
    <w:rsid w:val="00B242F8"/>
    <w:rsid w:val="00B276FE"/>
    <w:rsid w:val="00B32E9A"/>
    <w:rsid w:val="00B33F53"/>
    <w:rsid w:val="00B34746"/>
    <w:rsid w:val="00B34767"/>
    <w:rsid w:val="00B34A49"/>
    <w:rsid w:val="00B35478"/>
    <w:rsid w:val="00B35974"/>
    <w:rsid w:val="00B3611E"/>
    <w:rsid w:val="00B36C3F"/>
    <w:rsid w:val="00B404C3"/>
    <w:rsid w:val="00B40D58"/>
    <w:rsid w:val="00B44918"/>
    <w:rsid w:val="00B46C83"/>
    <w:rsid w:val="00B52921"/>
    <w:rsid w:val="00B5296F"/>
    <w:rsid w:val="00B532F6"/>
    <w:rsid w:val="00B53CC8"/>
    <w:rsid w:val="00B540BC"/>
    <w:rsid w:val="00B54163"/>
    <w:rsid w:val="00B54A72"/>
    <w:rsid w:val="00B55AFC"/>
    <w:rsid w:val="00B571BC"/>
    <w:rsid w:val="00B571D6"/>
    <w:rsid w:val="00B5724A"/>
    <w:rsid w:val="00B572BA"/>
    <w:rsid w:val="00B5776F"/>
    <w:rsid w:val="00B61790"/>
    <w:rsid w:val="00B63DAD"/>
    <w:rsid w:val="00B64E48"/>
    <w:rsid w:val="00B65738"/>
    <w:rsid w:val="00B67614"/>
    <w:rsid w:val="00B70B06"/>
    <w:rsid w:val="00B71A6D"/>
    <w:rsid w:val="00B73017"/>
    <w:rsid w:val="00B73B03"/>
    <w:rsid w:val="00B743EC"/>
    <w:rsid w:val="00B75613"/>
    <w:rsid w:val="00B75685"/>
    <w:rsid w:val="00B7693D"/>
    <w:rsid w:val="00B77073"/>
    <w:rsid w:val="00B77E9E"/>
    <w:rsid w:val="00B80B7F"/>
    <w:rsid w:val="00B81EBD"/>
    <w:rsid w:val="00B82297"/>
    <w:rsid w:val="00B82986"/>
    <w:rsid w:val="00B82AF0"/>
    <w:rsid w:val="00B8368A"/>
    <w:rsid w:val="00B83C64"/>
    <w:rsid w:val="00B83DEF"/>
    <w:rsid w:val="00B8435D"/>
    <w:rsid w:val="00B8457C"/>
    <w:rsid w:val="00B85B57"/>
    <w:rsid w:val="00B85F14"/>
    <w:rsid w:val="00B86628"/>
    <w:rsid w:val="00B877B2"/>
    <w:rsid w:val="00B87D79"/>
    <w:rsid w:val="00B9006C"/>
    <w:rsid w:val="00B90800"/>
    <w:rsid w:val="00B9138D"/>
    <w:rsid w:val="00B921CF"/>
    <w:rsid w:val="00B927E4"/>
    <w:rsid w:val="00B92F73"/>
    <w:rsid w:val="00B94F72"/>
    <w:rsid w:val="00B9560C"/>
    <w:rsid w:val="00B95B05"/>
    <w:rsid w:val="00B96918"/>
    <w:rsid w:val="00B96B6D"/>
    <w:rsid w:val="00B973D2"/>
    <w:rsid w:val="00B97A1B"/>
    <w:rsid w:val="00B97A5F"/>
    <w:rsid w:val="00BA2BFB"/>
    <w:rsid w:val="00BA2C39"/>
    <w:rsid w:val="00BA3C9D"/>
    <w:rsid w:val="00BA3CDE"/>
    <w:rsid w:val="00BA46B9"/>
    <w:rsid w:val="00BA51CC"/>
    <w:rsid w:val="00BA592A"/>
    <w:rsid w:val="00BA59D3"/>
    <w:rsid w:val="00BA6717"/>
    <w:rsid w:val="00BA6D04"/>
    <w:rsid w:val="00BA7C2E"/>
    <w:rsid w:val="00BB04B0"/>
    <w:rsid w:val="00BB145E"/>
    <w:rsid w:val="00BB3D8E"/>
    <w:rsid w:val="00BB43DD"/>
    <w:rsid w:val="00BB45E5"/>
    <w:rsid w:val="00BB49C5"/>
    <w:rsid w:val="00BB73D4"/>
    <w:rsid w:val="00BC0732"/>
    <w:rsid w:val="00BC0D37"/>
    <w:rsid w:val="00BC17B3"/>
    <w:rsid w:val="00BC204B"/>
    <w:rsid w:val="00BC2A27"/>
    <w:rsid w:val="00BC38B6"/>
    <w:rsid w:val="00BC3D08"/>
    <w:rsid w:val="00BC3D44"/>
    <w:rsid w:val="00BC4628"/>
    <w:rsid w:val="00BC4752"/>
    <w:rsid w:val="00BC4C9B"/>
    <w:rsid w:val="00BC5936"/>
    <w:rsid w:val="00BC5DCB"/>
    <w:rsid w:val="00BC649D"/>
    <w:rsid w:val="00BC64C2"/>
    <w:rsid w:val="00BC70A3"/>
    <w:rsid w:val="00BC70F8"/>
    <w:rsid w:val="00BC7264"/>
    <w:rsid w:val="00BD1702"/>
    <w:rsid w:val="00BD2431"/>
    <w:rsid w:val="00BD263B"/>
    <w:rsid w:val="00BD31D3"/>
    <w:rsid w:val="00BD3AC0"/>
    <w:rsid w:val="00BD3C3D"/>
    <w:rsid w:val="00BD3FE4"/>
    <w:rsid w:val="00BD4978"/>
    <w:rsid w:val="00BD4E9A"/>
    <w:rsid w:val="00BD564D"/>
    <w:rsid w:val="00BD70DD"/>
    <w:rsid w:val="00BD7394"/>
    <w:rsid w:val="00BD7B94"/>
    <w:rsid w:val="00BD7C29"/>
    <w:rsid w:val="00BE0BB3"/>
    <w:rsid w:val="00BE2264"/>
    <w:rsid w:val="00BE2EF9"/>
    <w:rsid w:val="00BE44CB"/>
    <w:rsid w:val="00BE4CD4"/>
    <w:rsid w:val="00BE5492"/>
    <w:rsid w:val="00BE5B68"/>
    <w:rsid w:val="00BE6877"/>
    <w:rsid w:val="00BE6A72"/>
    <w:rsid w:val="00BE6E82"/>
    <w:rsid w:val="00BE7AC1"/>
    <w:rsid w:val="00BF131C"/>
    <w:rsid w:val="00BF13E7"/>
    <w:rsid w:val="00BF1D89"/>
    <w:rsid w:val="00BF3437"/>
    <w:rsid w:val="00BF3522"/>
    <w:rsid w:val="00BF4219"/>
    <w:rsid w:val="00BF4DDE"/>
    <w:rsid w:val="00BF588C"/>
    <w:rsid w:val="00BF6110"/>
    <w:rsid w:val="00BF6824"/>
    <w:rsid w:val="00BF6F6C"/>
    <w:rsid w:val="00BF78AE"/>
    <w:rsid w:val="00C0038F"/>
    <w:rsid w:val="00C00A2F"/>
    <w:rsid w:val="00C01200"/>
    <w:rsid w:val="00C01718"/>
    <w:rsid w:val="00C01A1F"/>
    <w:rsid w:val="00C02A64"/>
    <w:rsid w:val="00C02BB1"/>
    <w:rsid w:val="00C03046"/>
    <w:rsid w:val="00C032D6"/>
    <w:rsid w:val="00C0412C"/>
    <w:rsid w:val="00C0427B"/>
    <w:rsid w:val="00C063AC"/>
    <w:rsid w:val="00C0703E"/>
    <w:rsid w:val="00C07DAE"/>
    <w:rsid w:val="00C07F42"/>
    <w:rsid w:val="00C113D5"/>
    <w:rsid w:val="00C1151D"/>
    <w:rsid w:val="00C115E0"/>
    <w:rsid w:val="00C11ACF"/>
    <w:rsid w:val="00C12BB0"/>
    <w:rsid w:val="00C134B7"/>
    <w:rsid w:val="00C137EF"/>
    <w:rsid w:val="00C143F8"/>
    <w:rsid w:val="00C14B11"/>
    <w:rsid w:val="00C16AA1"/>
    <w:rsid w:val="00C16DC8"/>
    <w:rsid w:val="00C16DE2"/>
    <w:rsid w:val="00C17A9D"/>
    <w:rsid w:val="00C20E41"/>
    <w:rsid w:val="00C2103A"/>
    <w:rsid w:val="00C2217B"/>
    <w:rsid w:val="00C222A8"/>
    <w:rsid w:val="00C222F4"/>
    <w:rsid w:val="00C2230E"/>
    <w:rsid w:val="00C22EBB"/>
    <w:rsid w:val="00C235E8"/>
    <w:rsid w:val="00C23DCB"/>
    <w:rsid w:val="00C23EAA"/>
    <w:rsid w:val="00C24A79"/>
    <w:rsid w:val="00C24BBC"/>
    <w:rsid w:val="00C26E25"/>
    <w:rsid w:val="00C2714E"/>
    <w:rsid w:val="00C27853"/>
    <w:rsid w:val="00C279AC"/>
    <w:rsid w:val="00C27E37"/>
    <w:rsid w:val="00C30293"/>
    <w:rsid w:val="00C305D0"/>
    <w:rsid w:val="00C30ADD"/>
    <w:rsid w:val="00C32834"/>
    <w:rsid w:val="00C32C23"/>
    <w:rsid w:val="00C337ED"/>
    <w:rsid w:val="00C34177"/>
    <w:rsid w:val="00C342C1"/>
    <w:rsid w:val="00C35503"/>
    <w:rsid w:val="00C35636"/>
    <w:rsid w:val="00C36635"/>
    <w:rsid w:val="00C37020"/>
    <w:rsid w:val="00C37677"/>
    <w:rsid w:val="00C37775"/>
    <w:rsid w:val="00C42282"/>
    <w:rsid w:val="00C4249D"/>
    <w:rsid w:val="00C437E2"/>
    <w:rsid w:val="00C4400E"/>
    <w:rsid w:val="00C443C1"/>
    <w:rsid w:val="00C466BB"/>
    <w:rsid w:val="00C4674F"/>
    <w:rsid w:val="00C47166"/>
    <w:rsid w:val="00C471D1"/>
    <w:rsid w:val="00C47507"/>
    <w:rsid w:val="00C47C1F"/>
    <w:rsid w:val="00C5039F"/>
    <w:rsid w:val="00C50CC7"/>
    <w:rsid w:val="00C510D7"/>
    <w:rsid w:val="00C519F1"/>
    <w:rsid w:val="00C52D60"/>
    <w:rsid w:val="00C53301"/>
    <w:rsid w:val="00C5485C"/>
    <w:rsid w:val="00C54866"/>
    <w:rsid w:val="00C568F9"/>
    <w:rsid w:val="00C56FC8"/>
    <w:rsid w:val="00C60483"/>
    <w:rsid w:val="00C60EC1"/>
    <w:rsid w:val="00C61041"/>
    <w:rsid w:val="00C6187D"/>
    <w:rsid w:val="00C61FBA"/>
    <w:rsid w:val="00C62457"/>
    <w:rsid w:val="00C62C35"/>
    <w:rsid w:val="00C630E7"/>
    <w:rsid w:val="00C63CEB"/>
    <w:rsid w:val="00C6504D"/>
    <w:rsid w:val="00C6586C"/>
    <w:rsid w:val="00C67090"/>
    <w:rsid w:val="00C67A78"/>
    <w:rsid w:val="00C67B2A"/>
    <w:rsid w:val="00C70FC1"/>
    <w:rsid w:val="00C710A9"/>
    <w:rsid w:val="00C7167A"/>
    <w:rsid w:val="00C7232B"/>
    <w:rsid w:val="00C72475"/>
    <w:rsid w:val="00C72905"/>
    <w:rsid w:val="00C7342A"/>
    <w:rsid w:val="00C74618"/>
    <w:rsid w:val="00C760FE"/>
    <w:rsid w:val="00C7649B"/>
    <w:rsid w:val="00C76965"/>
    <w:rsid w:val="00C76A59"/>
    <w:rsid w:val="00C76B17"/>
    <w:rsid w:val="00C8032B"/>
    <w:rsid w:val="00C80464"/>
    <w:rsid w:val="00C812C2"/>
    <w:rsid w:val="00C81642"/>
    <w:rsid w:val="00C81D01"/>
    <w:rsid w:val="00C825BD"/>
    <w:rsid w:val="00C82A49"/>
    <w:rsid w:val="00C833FD"/>
    <w:rsid w:val="00C85F4E"/>
    <w:rsid w:val="00C9355B"/>
    <w:rsid w:val="00C93B37"/>
    <w:rsid w:val="00C94191"/>
    <w:rsid w:val="00C9473D"/>
    <w:rsid w:val="00C95AF6"/>
    <w:rsid w:val="00C96532"/>
    <w:rsid w:val="00C97A49"/>
    <w:rsid w:val="00CA0115"/>
    <w:rsid w:val="00CA01BF"/>
    <w:rsid w:val="00CA1367"/>
    <w:rsid w:val="00CA14CD"/>
    <w:rsid w:val="00CA2B3F"/>
    <w:rsid w:val="00CA2F82"/>
    <w:rsid w:val="00CA3B7B"/>
    <w:rsid w:val="00CA4477"/>
    <w:rsid w:val="00CA4898"/>
    <w:rsid w:val="00CA57F1"/>
    <w:rsid w:val="00CA73AA"/>
    <w:rsid w:val="00CA7C2F"/>
    <w:rsid w:val="00CB0898"/>
    <w:rsid w:val="00CB0BF3"/>
    <w:rsid w:val="00CB0F04"/>
    <w:rsid w:val="00CB194C"/>
    <w:rsid w:val="00CB4012"/>
    <w:rsid w:val="00CB49A1"/>
    <w:rsid w:val="00CB542E"/>
    <w:rsid w:val="00CB5E21"/>
    <w:rsid w:val="00CB79E4"/>
    <w:rsid w:val="00CC049C"/>
    <w:rsid w:val="00CC165D"/>
    <w:rsid w:val="00CC212B"/>
    <w:rsid w:val="00CC2139"/>
    <w:rsid w:val="00CC2362"/>
    <w:rsid w:val="00CC347E"/>
    <w:rsid w:val="00CC37FA"/>
    <w:rsid w:val="00CC3C11"/>
    <w:rsid w:val="00CC56F9"/>
    <w:rsid w:val="00CC770C"/>
    <w:rsid w:val="00CC7E4B"/>
    <w:rsid w:val="00CD02AE"/>
    <w:rsid w:val="00CD1570"/>
    <w:rsid w:val="00CD1833"/>
    <w:rsid w:val="00CD190D"/>
    <w:rsid w:val="00CD1F10"/>
    <w:rsid w:val="00CD2ECE"/>
    <w:rsid w:val="00CD461F"/>
    <w:rsid w:val="00CD4C27"/>
    <w:rsid w:val="00CD4F1A"/>
    <w:rsid w:val="00CD5950"/>
    <w:rsid w:val="00CD6C01"/>
    <w:rsid w:val="00CE10E8"/>
    <w:rsid w:val="00CE14C4"/>
    <w:rsid w:val="00CE27F4"/>
    <w:rsid w:val="00CE4A70"/>
    <w:rsid w:val="00CE5242"/>
    <w:rsid w:val="00CE6795"/>
    <w:rsid w:val="00CE6BF6"/>
    <w:rsid w:val="00CF133C"/>
    <w:rsid w:val="00CF1572"/>
    <w:rsid w:val="00CF19EA"/>
    <w:rsid w:val="00CF4DE5"/>
    <w:rsid w:val="00CF5424"/>
    <w:rsid w:val="00CF5761"/>
    <w:rsid w:val="00CF5DF6"/>
    <w:rsid w:val="00CF5F2B"/>
    <w:rsid w:val="00CF6299"/>
    <w:rsid w:val="00CF6AB5"/>
    <w:rsid w:val="00CF7974"/>
    <w:rsid w:val="00D022EF"/>
    <w:rsid w:val="00D03249"/>
    <w:rsid w:val="00D035D9"/>
    <w:rsid w:val="00D0461C"/>
    <w:rsid w:val="00D07E6E"/>
    <w:rsid w:val="00D104F2"/>
    <w:rsid w:val="00D1090F"/>
    <w:rsid w:val="00D10F07"/>
    <w:rsid w:val="00D1140F"/>
    <w:rsid w:val="00D11443"/>
    <w:rsid w:val="00D116D3"/>
    <w:rsid w:val="00D11FBB"/>
    <w:rsid w:val="00D11FFB"/>
    <w:rsid w:val="00D125A2"/>
    <w:rsid w:val="00D161A5"/>
    <w:rsid w:val="00D168B5"/>
    <w:rsid w:val="00D17755"/>
    <w:rsid w:val="00D178B8"/>
    <w:rsid w:val="00D20D16"/>
    <w:rsid w:val="00D22AE9"/>
    <w:rsid w:val="00D25072"/>
    <w:rsid w:val="00D262D0"/>
    <w:rsid w:val="00D27807"/>
    <w:rsid w:val="00D3078F"/>
    <w:rsid w:val="00D3167A"/>
    <w:rsid w:val="00D32102"/>
    <w:rsid w:val="00D33471"/>
    <w:rsid w:val="00D33F96"/>
    <w:rsid w:val="00D364BB"/>
    <w:rsid w:val="00D37834"/>
    <w:rsid w:val="00D43015"/>
    <w:rsid w:val="00D430E2"/>
    <w:rsid w:val="00D4353F"/>
    <w:rsid w:val="00D44294"/>
    <w:rsid w:val="00D443B4"/>
    <w:rsid w:val="00D44956"/>
    <w:rsid w:val="00D45282"/>
    <w:rsid w:val="00D4542A"/>
    <w:rsid w:val="00D46618"/>
    <w:rsid w:val="00D46D41"/>
    <w:rsid w:val="00D46F1E"/>
    <w:rsid w:val="00D476F8"/>
    <w:rsid w:val="00D4774D"/>
    <w:rsid w:val="00D478CB"/>
    <w:rsid w:val="00D47B53"/>
    <w:rsid w:val="00D503B4"/>
    <w:rsid w:val="00D507CB"/>
    <w:rsid w:val="00D50A15"/>
    <w:rsid w:val="00D5141D"/>
    <w:rsid w:val="00D515CA"/>
    <w:rsid w:val="00D517D0"/>
    <w:rsid w:val="00D52961"/>
    <w:rsid w:val="00D5354A"/>
    <w:rsid w:val="00D53A66"/>
    <w:rsid w:val="00D54FD5"/>
    <w:rsid w:val="00D55139"/>
    <w:rsid w:val="00D553CE"/>
    <w:rsid w:val="00D55B6E"/>
    <w:rsid w:val="00D55E63"/>
    <w:rsid w:val="00D57238"/>
    <w:rsid w:val="00D5755F"/>
    <w:rsid w:val="00D57FD2"/>
    <w:rsid w:val="00D60720"/>
    <w:rsid w:val="00D60A72"/>
    <w:rsid w:val="00D610F1"/>
    <w:rsid w:val="00D61A6B"/>
    <w:rsid w:val="00D6205D"/>
    <w:rsid w:val="00D63907"/>
    <w:rsid w:val="00D66285"/>
    <w:rsid w:val="00D666EE"/>
    <w:rsid w:val="00D66BAA"/>
    <w:rsid w:val="00D6731C"/>
    <w:rsid w:val="00D704A4"/>
    <w:rsid w:val="00D71F38"/>
    <w:rsid w:val="00D7210B"/>
    <w:rsid w:val="00D72CFF"/>
    <w:rsid w:val="00D72EC2"/>
    <w:rsid w:val="00D735D6"/>
    <w:rsid w:val="00D73F92"/>
    <w:rsid w:val="00D753A8"/>
    <w:rsid w:val="00D757ED"/>
    <w:rsid w:val="00D75C81"/>
    <w:rsid w:val="00D7606A"/>
    <w:rsid w:val="00D773BE"/>
    <w:rsid w:val="00D77B56"/>
    <w:rsid w:val="00D77D85"/>
    <w:rsid w:val="00D802B6"/>
    <w:rsid w:val="00D8032C"/>
    <w:rsid w:val="00D81107"/>
    <w:rsid w:val="00D811D3"/>
    <w:rsid w:val="00D81CE6"/>
    <w:rsid w:val="00D83012"/>
    <w:rsid w:val="00D839F8"/>
    <w:rsid w:val="00D8433A"/>
    <w:rsid w:val="00D84F3A"/>
    <w:rsid w:val="00D85226"/>
    <w:rsid w:val="00D85969"/>
    <w:rsid w:val="00D86881"/>
    <w:rsid w:val="00D87B7D"/>
    <w:rsid w:val="00D90293"/>
    <w:rsid w:val="00D90945"/>
    <w:rsid w:val="00D91CD7"/>
    <w:rsid w:val="00D92A75"/>
    <w:rsid w:val="00D92F5B"/>
    <w:rsid w:val="00D92FBD"/>
    <w:rsid w:val="00D93C20"/>
    <w:rsid w:val="00D94DC4"/>
    <w:rsid w:val="00D95AF9"/>
    <w:rsid w:val="00D95F2C"/>
    <w:rsid w:val="00D96E5D"/>
    <w:rsid w:val="00D973CE"/>
    <w:rsid w:val="00D97A78"/>
    <w:rsid w:val="00DA1200"/>
    <w:rsid w:val="00DA1A0E"/>
    <w:rsid w:val="00DA1DFC"/>
    <w:rsid w:val="00DA23FE"/>
    <w:rsid w:val="00DA3352"/>
    <w:rsid w:val="00DA39AB"/>
    <w:rsid w:val="00DA3CAA"/>
    <w:rsid w:val="00DA4990"/>
    <w:rsid w:val="00DA55B0"/>
    <w:rsid w:val="00DA5AD6"/>
    <w:rsid w:val="00DA5BB7"/>
    <w:rsid w:val="00DA5EE8"/>
    <w:rsid w:val="00DA71F5"/>
    <w:rsid w:val="00DB0696"/>
    <w:rsid w:val="00DB0A44"/>
    <w:rsid w:val="00DB152D"/>
    <w:rsid w:val="00DB199F"/>
    <w:rsid w:val="00DB1A8A"/>
    <w:rsid w:val="00DB1FBE"/>
    <w:rsid w:val="00DB3D9D"/>
    <w:rsid w:val="00DB482B"/>
    <w:rsid w:val="00DB4BC6"/>
    <w:rsid w:val="00DB5557"/>
    <w:rsid w:val="00DB5954"/>
    <w:rsid w:val="00DB6D5F"/>
    <w:rsid w:val="00DB72C4"/>
    <w:rsid w:val="00DB7722"/>
    <w:rsid w:val="00DB7CAF"/>
    <w:rsid w:val="00DC020F"/>
    <w:rsid w:val="00DC0660"/>
    <w:rsid w:val="00DC0946"/>
    <w:rsid w:val="00DC17BF"/>
    <w:rsid w:val="00DC2632"/>
    <w:rsid w:val="00DC3117"/>
    <w:rsid w:val="00DC3D8E"/>
    <w:rsid w:val="00DC4A38"/>
    <w:rsid w:val="00DC4D94"/>
    <w:rsid w:val="00DC51D4"/>
    <w:rsid w:val="00DC68EE"/>
    <w:rsid w:val="00DC77F7"/>
    <w:rsid w:val="00DC786E"/>
    <w:rsid w:val="00DC7E22"/>
    <w:rsid w:val="00DD0039"/>
    <w:rsid w:val="00DD03E3"/>
    <w:rsid w:val="00DD1605"/>
    <w:rsid w:val="00DD2FCE"/>
    <w:rsid w:val="00DD3267"/>
    <w:rsid w:val="00DD3D7A"/>
    <w:rsid w:val="00DD4DF6"/>
    <w:rsid w:val="00DD6FAF"/>
    <w:rsid w:val="00DE0F03"/>
    <w:rsid w:val="00DE14B4"/>
    <w:rsid w:val="00DE19F9"/>
    <w:rsid w:val="00DE2376"/>
    <w:rsid w:val="00DE2D7C"/>
    <w:rsid w:val="00DE3247"/>
    <w:rsid w:val="00DE37CD"/>
    <w:rsid w:val="00DE42DC"/>
    <w:rsid w:val="00DE4B6F"/>
    <w:rsid w:val="00DE4DCA"/>
    <w:rsid w:val="00DE6B12"/>
    <w:rsid w:val="00DE6BEF"/>
    <w:rsid w:val="00DE7312"/>
    <w:rsid w:val="00DE7A31"/>
    <w:rsid w:val="00DF0083"/>
    <w:rsid w:val="00DF3214"/>
    <w:rsid w:val="00DF36E6"/>
    <w:rsid w:val="00DF71DE"/>
    <w:rsid w:val="00DF7446"/>
    <w:rsid w:val="00E00C23"/>
    <w:rsid w:val="00E017A6"/>
    <w:rsid w:val="00E018F9"/>
    <w:rsid w:val="00E0229F"/>
    <w:rsid w:val="00E0233D"/>
    <w:rsid w:val="00E024F9"/>
    <w:rsid w:val="00E02F60"/>
    <w:rsid w:val="00E03026"/>
    <w:rsid w:val="00E0376C"/>
    <w:rsid w:val="00E04403"/>
    <w:rsid w:val="00E04891"/>
    <w:rsid w:val="00E04C78"/>
    <w:rsid w:val="00E052A6"/>
    <w:rsid w:val="00E077F6"/>
    <w:rsid w:val="00E078DD"/>
    <w:rsid w:val="00E10630"/>
    <w:rsid w:val="00E11253"/>
    <w:rsid w:val="00E118E6"/>
    <w:rsid w:val="00E13167"/>
    <w:rsid w:val="00E135DF"/>
    <w:rsid w:val="00E13917"/>
    <w:rsid w:val="00E13EDA"/>
    <w:rsid w:val="00E147E0"/>
    <w:rsid w:val="00E14BE6"/>
    <w:rsid w:val="00E155C9"/>
    <w:rsid w:val="00E16202"/>
    <w:rsid w:val="00E16493"/>
    <w:rsid w:val="00E1676B"/>
    <w:rsid w:val="00E16BDA"/>
    <w:rsid w:val="00E16EA7"/>
    <w:rsid w:val="00E16F2F"/>
    <w:rsid w:val="00E17B10"/>
    <w:rsid w:val="00E17B16"/>
    <w:rsid w:val="00E206FF"/>
    <w:rsid w:val="00E209BC"/>
    <w:rsid w:val="00E20FDE"/>
    <w:rsid w:val="00E22376"/>
    <w:rsid w:val="00E237FA"/>
    <w:rsid w:val="00E24913"/>
    <w:rsid w:val="00E2555A"/>
    <w:rsid w:val="00E265AB"/>
    <w:rsid w:val="00E26D58"/>
    <w:rsid w:val="00E26EA8"/>
    <w:rsid w:val="00E27D7C"/>
    <w:rsid w:val="00E306E9"/>
    <w:rsid w:val="00E33095"/>
    <w:rsid w:val="00E33450"/>
    <w:rsid w:val="00E3473F"/>
    <w:rsid w:val="00E3505D"/>
    <w:rsid w:val="00E36204"/>
    <w:rsid w:val="00E37B00"/>
    <w:rsid w:val="00E40E39"/>
    <w:rsid w:val="00E41166"/>
    <w:rsid w:val="00E42133"/>
    <w:rsid w:val="00E43890"/>
    <w:rsid w:val="00E45687"/>
    <w:rsid w:val="00E47A1F"/>
    <w:rsid w:val="00E50F47"/>
    <w:rsid w:val="00E51408"/>
    <w:rsid w:val="00E5256D"/>
    <w:rsid w:val="00E53544"/>
    <w:rsid w:val="00E5379E"/>
    <w:rsid w:val="00E5401A"/>
    <w:rsid w:val="00E55966"/>
    <w:rsid w:val="00E55A98"/>
    <w:rsid w:val="00E55C9D"/>
    <w:rsid w:val="00E56ACD"/>
    <w:rsid w:val="00E575E6"/>
    <w:rsid w:val="00E5760A"/>
    <w:rsid w:val="00E57AE8"/>
    <w:rsid w:val="00E600C4"/>
    <w:rsid w:val="00E6034E"/>
    <w:rsid w:val="00E60B67"/>
    <w:rsid w:val="00E631C5"/>
    <w:rsid w:val="00E63984"/>
    <w:rsid w:val="00E63B44"/>
    <w:rsid w:val="00E63D2F"/>
    <w:rsid w:val="00E64573"/>
    <w:rsid w:val="00E64DE3"/>
    <w:rsid w:val="00E65362"/>
    <w:rsid w:val="00E658E1"/>
    <w:rsid w:val="00E66493"/>
    <w:rsid w:val="00E66578"/>
    <w:rsid w:val="00E6658C"/>
    <w:rsid w:val="00E66D91"/>
    <w:rsid w:val="00E67B28"/>
    <w:rsid w:val="00E67D3C"/>
    <w:rsid w:val="00E67DEA"/>
    <w:rsid w:val="00E71BA9"/>
    <w:rsid w:val="00E73444"/>
    <w:rsid w:val="00E73B34"/>
    <w:rsid w:val="00E75F2A"/>
    <w:rsid w:val="00E75F94"/>
    <w:rsid w:val="00E761A8"/>
    <w:rsid w:val="00E7637D"/>
    <w:rsid w:val="00E775DC"/>
    <w:rsid w:val="00E77EA7"/>
    <w:rsid w:val="00E8117B"/>
    <w:rsid w:val="00E81C05"/>
    <w:rsid w:val="00E81DD1"/>
    <w:rsid w:val="00E82675"/>
    <w:rsid w:val="00E84210"/>
    <w:rsid w:val="00E844E5"/>
    <w:rsid w:val="00E8499A"/>
    <w:rsid w:val="00E851B0"/>
    <w:rsid w:val="00E858DE"/>
    <w:rsid w:val="00E85FA5"/>
    <w:rsid w:val="00E869C9"/>
    <w:rsid w:val="00E869E6"/>
    <w:rsid w:val="00E86D59"/>
    <w:rsid w:val="00E90661"/>
    <w:rsid w:val="00E91357"/>
    <w:rsid w:val="00E9297E"/>
    <w:rsid w:val="00E9307E"/>
    <w:rsid w:val="00E930D2"/>
    <w:rsid w:val="00E9566D"/>
    <w:rsid w:val="00E97069"/>
    <w:rsid w:val="00E97D63"/>
    <w:rsid w:val="00EA21DB"/>
    <w:rsid w:val="00EA2F62"/>
    <w:rsid w:val="00EA4EB5"/>
    <w:rsid w:val="00EA62D5"/>
    <w:rsid w:val="00EA6854"/>
    <w:rsid w:val="00EA6BBC"/>
    <w:rsid w:val="00EA7C42"/>
    <w:rsid w:val="00EB0265"/>
    <w:rsid w:val="00EB050B"/>
    <w:rsid w:val="00EB07EC"/>
    <w:rsid w:val="00EB2493"/>
    <w:rsid w:val="00EB291F"/>
    <w:rsid w:val="00EB2F97"/>
    <w:rsid w:val="00EB30E7"/>
    <w:rsid w:val="00EB376E"/>
    <w:rsid w:val="00EB44F4"/>
    <w:rsid w:val="00EB490D"/>
    <w:rsid w:val="00EB5A84"/>
    <w:rsid w:val="00EB63ED"/>
    <w:rsid w:val="00EB6EC6"/>
    <w:rsid w:val="00EB725C"/>
    <w:rsid w:val="00EC0328"/>
    <w:rsid w:val="00EC0331"/>
    <w:rsid w:val="00EC0577"/>
    <w:rsid w:val="00EC1348"/>
    <w:rsid w:val="00EC1BFB"/>
    <w:rsid w:val="00EC252C"/>
    <w:rsid w:val="00EC2796"/>
    <w:rsid w:val="00EC35DF"/>
    <w:rsid w:val="00EC3DBD"/>
    <w:rsid w:val="00EC4F07"/>
    <w:rsid w:val="00EC50D5"/>
    <w:rsid w:val="00EC5A2A"/>
    <w:rsid w:val="00EC5C38"/>
    <w:rsid w:val="00EC5D4A"/>
    <w:rsid w:val="00EC5DAB"/>
    <w:rsid w:val="00EC68FC"/>
    <w:rsid w:val="00EC7374"/>
    <w:rsid w:val="00EC7466"/>
    <w:rsid w:val="00ED1FF6"/>
    <w:rsid w:val="00ED4EAF"/>
    <w:rsid w:val="00ED5101"/>
    <w:rsid w:val="00ED63B1"/>
    <w:rsid w:val="00ED6448"/>
    <w:rsid w:val="00ED64DA"/>
    <w:rsid w:val="00ED66A0"/>
    <w:rsid w:val="00ED6D00"/>
    <w:rsid w:val="00ED7660"/>
    <w:rsid w:val="00ED7AC5"/>
    <w:rsid w:val="00EE0562"/>
    <w:rsid w:val="00EE2DFE"/>
    <w:rsid w:val="00EE4546"/>
    <w:rsid w:val="00EE45D8"/>
    <w:rsid w:val="00EE4CA4"/>
    <w:rsid w:val="00EE5426"/>
    <w:rsid w:val="00EE5744"/>
    <w:rsid w:val="00EE6BDE"/>
    <w:rsid w:val="00EE763C"/>
    <w:rsid w:val="00EF0450"/>
    <w:rsid w:val="00EF0BEC"/>
    <w:rsid w:val="00EF1133"/>
    <w:rsid w:val="00EF27C0"/>
    <w:rsid w:val="00EF2CE3"/>
    <w:rsid w:val="00EF4D50"/>
    <w:rsid w:val="00EF4D70"/>
    <w:rsid w:val="00EF5695"/>
    <w:rsid w:val="00EF7B5C"/>
    <w:rsid w:val="00F00958"/>
    <w:rsid w:val="00F02AD2"/>
    <w:rsid w:val="00F039A1"/>
    <w:rsid w:val="00F039D1"/>
    <w:rsid w:val="00F04117"/>
    <w:rsid w:val="00F04A7D"/>
    <w:rsid w:val="00F065F7"/>
    <w:rsid w:val="00F0728A"/>
    <w:rsid w:val="00F07B2D"/>
    <w:rsid w:val="00F12213"/>
    <w:rsid w:val="00F12753"/>
    <w:rsid w:val="00F1458A"/>
    <w:rsid w:val="00F14AA0"/>
    <w:rsid w:val="00F15183"/>
    <w:rsid w:val="00F17F7A"/>
    <w:rsid w:val="00F20BC1"/>
    <w:rsid w:val="00F20BCE"/>
    <w:rsid w:val="00F22A0D"/>
    <w:rsid w:val="00F23ECF"/>
    <w:rsid w:val="00F260DB"/>
    <w:rsid w:val="00F2621E"/>
    <w:rsid w:val="00F27467"/>
    <w:rsid w:val="00F27CD5"/>
    <w:rsid w:val="00F30E91"/>
    <w:rsid w:val="00F31C1B"/>
    <w:rsid w:val="00F32141"/>
    <w:rsid w:val="00F326E5"/>
    <w:rsid w:val="00F33C79"/>
    <w:rsid w:val="00F33E0E"/>
    <w:rsid w:val="00F34917"/>
    <w:rsid w:val="00F34D2E"/>
    <w:rsid w:val="00F35C26"/>
    <w:rsid w:val="00F366B5"/>
    <w:rsid w:val="00F367A4"/>
    <w:rsid w:val="00F37A4B"/>
    <w:rsid w:val="00F37D60"/>
    <w:rsid w:val="00F37F48"/>
    <w:rsid w:val="00F40B03"/>
    <w:rsid w:val="00F41FAA"/>
    <w:rsid w:val="00F423F1"/>
    <w:rsid w:val="00F42915"/>
    <w:rsid w:val="00F429B5"/>
    <w:rsid w:val="00F42C64"/>
    <w:rsid w:val="00F42EBB"/>
    <w:rsid w:val="00F42EFD"/>
    <w:rsid w:val="00F44623"/>
    <w:rsid w:val="00F4486C"/>
    <w:rsid w:val="00F448F2"/>
    <w:rsid w:val="00F44CEC"/>
    <w:rsid w:val="00F46BC0"/>
    <w:rsid w:val="00F47375"/>
    <w:rsid w:val="00F50283"/>
    <w:rsid w:val="00F515BD"/>
    <w:rsid w:val="00F515EB"/>
    <w:rsid w:val="00F51CB3"/>
    <w:rsid w:val="00F52698"/>
    <w:rsid w:val="00F52DB6"/>
    <w:rsid w:val="00F53F21"/>
    <w:rsid w:val="00F54DBD"/>
    <w:rsid w:val="00F55395"/>
    <w:rsid w:val="00F55498"/>
    <w:rsid w:val="00F55DAF"/>
    <w:rsid w:val="00F55EA2"/>
    <w:rsid w:val="00F56294"/>
    <w:rsid w:val="00F567E0"/>
    <w:rsid w:val="00F5681B"/>
    <w:rsid w:val="00F60056"/>
    <w:rsid w:val="00F607C4"/>
    <w:rsid w:val="00F609DB"/>
    <w:rsid w:val="00F60B85"/>
    <w:rsid w:val="00F616CC"/>
    <w:rsid w:val="00F62795"/>
    <w:rsid w:val="00F64036"/>
    <w:rsid w:val="00F641A8"/>
    <w:rsid w:val="00F642D1"/>
    <w:rsid w:val="00F64499"/>
    <w:rsid w:val="00F6759E"/>
    <w:rsid w:val="00F70392"/>
    <w:rsid w:val="00F7048C"/>
    <w:rsid w:val="00F72BA0"/>
    <w:rsid w:val="00F73364"/>
    <w:rsid w:val="00F733DE"/>
    <w:rsid w:val="00F74343"/>
    <w:rsid w:val="00F755DB"/>
    <w:rsid w:val="00F76365"/>
    <w:rsid w:val="00F76593"/>
    <w:rsid w:val="00F771FA"/>
    <w:rsid w:val="00F779AB"/>
    <w:rsid w:val="00F80F71"/>
    <w:rsid w:val="00F81147"/>
    <w:rsid w:val="00F824FE"/>
    <w:rsid w:val="00F82922"/>
    <w:rsid w:val="00F838A9"/>
    <w:rsid w:val="00F841C3"/>
    <w:rsid w:val="00F84DC5"/>
    <w:rsid w:val="00F85109"/>
    <w:rsid w:val="00F8544A"/>
    <w:rsid w:val="00F86334"/>
    <w:rsid w:val="00F90EE5"/>
    <w:rsid w:val="00F91919"/>
    <w:rsid w:val="00F91F9F"/>
    <w:rsid w:val="00F92E13"/>
    <w:rsid w:val="00F93AE8"/>
    <w:rsid w:val="00F94D94"/>
    <w:rsid w:val="00F95C6C"/>
    <w:rsid w:val="00F969E7"/>
    <w:rsid w:val="00F97332"/>
    <w:rsid w:val="00FA140F"/>
    <w:rsid w:val="00FA16E6"/>
    <w:rsid w:val="00FA1A86"/>
    <w:rsid w:val="00FA1C06"/>
    <w:rsid w:val="00FA2662"/>
    <w:rsid w:val="00FA2E76"/>
    <w:rsid w:val="00FA466B"/>
    <w:rsid w:val="00FA5992"/>
    <w:rsid w:val="00FA7170"/>
    <w:rsid w:val="00FA7543"/>
    <w:rsid w:val="00FA7646"/>
    <w:rsid w:val="00FA7B26"/>
    <w:rsid w:val="00FB04CF"/>
    <w:rsid w:val="00FB08AF"/>
    <w:rsid w:val="00FB1248"/>
    <w:rsid w:val="00FB133E"/>
    <w:rsid w:val="00FB156D"/>
    <w:rsid w:val="00FB15FE"/>
    <w:rsid w:val="00FB5A0A"/>
    <w:rsid w:val="00FB70BC"/>
    <w:rsid w:val="00FB71EA"/>
    <w:rsid w:val="00FB73E3"/>
    <w:rsid w:val="00FB79CF"/>
    <w:rsid w:val="00FB7D37"/>
    <w:rsid w:val="00FC09B8"/>
    <w:rsid w:val="00FC2C67"/>
    <w:rsid w:val="00FC33D2"/>
    <w:rsid w:val="00FC4335"/>
    <w:rsid w:val="00FC5BB1"/>
    <w:rsid w:val="00FC62FF"/>
    <w:rsid w:val="00FC6682"/>
    <w:rsid w:val="00FC6D48"/>
    <w:rsid w:val="00FC6DB5"/>
    <w:rsid w:val="00FC75DD"/>
    <w:rsid w:val="00FC76E4"/>
    <w:rsid w:val="00FC77F5"/>
    <w:rsid w:val="00FD0F15"/>
    <w:rsid w:val="00FD1C9E"/>
    <w:rsid w:val="00FD3A33"/>
    <w:rsid w:val="00FD4027"/>
    <w:rsid w:val="00FD4B7F"/>
    <w:rsid w:val="00FD5150"/>
    <w:rsid w:val="00FD530A"/>
    <w:rsid w:val="00FD581A"/>
    <w:rsid w:val="00FD6F5E"/>
    <w:rsid w:val="00FD6F7D"/>
    <w:rsid w:val="00FE0B61"/>
    <w:rsid w:val="00FE1489"/>
    <w:rsid w:val="00FE158F"/>
    <w:rsid w:val="00FE25A3"/>
    <w:rsid w:val="00FE343A"/>
    <w:rsid w:val="00FE3665"/>
    <w:rsid w:val="00FE372C"/>
    <w:rsid w:val="00FE4FB4"/>
    <w:rsid w:val="00FE60DA"/>
    <w:rsid w:val="00FE650A"/>
    <w:rsid w:val="00FE6DEF"/>
    <w:rsid w:val="00FE74F8"/>
    <w:rsid w:val="00FF0339"/>
    <w:rsid w:val="00FF1DBD"/>
    <w:rsid w:val="00FF5264"/>
    <w:rsid w:val="00FF5FCF"/>
    <w:rsid w:val="00FF7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03383"/>
  <w15:docId w15:val="{3A756325-12FA-4880-B0E1-E14157A19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BB3"/>
    <w:pPr>
      <w:spacing w:after="200" w:line="276" w:lineRule="auto"/>
    </w:pPr>
    <w:rPr>
      <w:sz w:val="22"/>
      <w:szCs w:val="22"/>
    </w:rPr>
  </w:style>
  <w:style w:type="paragraph" w:styleId="Heading1">
    <w:name w:val="heading 1"/>
    <w:basedOn w:val="Normal"/>
    <w:link w:val="Heading1Char"/>
    <w:uiPriority w:val="9"/>
    <w:qFormat/>
    <w:rsid w:val="00E67D3C"/>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next w:val="Normal"/>
    <w:link w:val="Heading2Char"/>
    <w:uiPriority w:val="9"/>
    <w:unhideWhenUsed/>
    <w:qFormat/>
    <w:rsid w:val="00E67D3C"/>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unhideWhenUsed/>
    <w:qFormat/>
    <w:rsid w:val="000D0769"/>
    <w:pPr>
      <w:keepNext/>
      <w:keepLines/>
      <w:spacing w:before="40" w:after="0" w:line="259"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F326E5"/>
    <w:pPr>
      <w:keepNext/>
      <w:keepLines/>
      <w:spacing w:before="40" w:after="0" w:line="259" w:lineRule="auto"/>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F326E5"/>
    <w:pPr>
      <w:keepNext/>
      <w:keepLines/>
      <w:spacing w:before="40" w:after="0" w:line="259" w:lineRule="auto"/>
      <w:outlineLvl w:val="4"/>
    </w:pPr>
    <w:rPr>
      <w:rFonts w:asciiTheme="majorHAnsi" w:eastAsiaTheme="majorEastAsia" w:hAnsiTheme="majorHAnsi" w:cstheme="majorBidi"/>
      <w:color w:val="2E74B5" w:themeColor="accent1" w:themeShade="BF"/>
    </w:rPr>
  </w:style>
  <w:style w:type="paragraph" w:styleId="Heading7">
    <w:name w:val="heading 7"/>
    <w:basedOn w:val="Normal"/>
    <w:next w:val="Normal"/>
    <w:link w:val="Heading7Char"/>
    <w:uiPriority w:val="9"/>
    <w:semiHidden/>
    <w:unhideWhenUsed/>
    <w:qFormat/>
    <w:rsid w:val="004F15A5"/>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C66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66A0"/>
    <w:rPr>
      <w:rFonts w:ascii="Tahoma" w:hAnsi="Tahoma" w:cs="Tahoma"/>
      <w:sz w:val="16"/>
      <w:szCs w:val="16"/>
    </w:rPr>
  </w:style>
  <w:style w:type="paragraph" w:styleId="NoSpacing">
    <w:name w:val="No Spacing"/>
    <w:aliases w:val="Basic Info"/>
    <w:uiPriority w:val="1"/>
    <w:qFormat/>
    <w:rsid w:val="008C66A0"/>
    <w:rPr>
      <w:sz w:val="22"/>
      <w:szCs w:val="22"/>
    </w:rPr>
  </w:style>
  <w:style w:type="character" w:styleId="Hyperlink">
    <w:name w:val="Hyperlink"/>
    <w:basedOn w:val="DefaultParagraphFont"/>
    <w:uiPriority w:val="99"/>
    <w:unhideWhenUsed/>
    <w:rsid w:val="001968CD"/>
    <w:rPr>
      <w:color w:val="0563C1" w:themeColor="hyperlink"/>
      <w:u w:val="single"/>
    </w:rPr>
  </w:style>
  <w:style w:type="character" w:customStyle="1" w:styleId="Heading1Char">
    <w:name w:val="Heading 1 Char"/>
    <w:basedOn w:val="DefaultParagraphFont"/>
    <w:link w:val="Heading1"/>
    <w:uiPriority w:val="9"/>
    <w:rsid w:val="00E67D3C"/>
    <w:rPr>
      <w:rFonts w:ascii="Times New Roman" w:eastAsia="Times New Roman" w:hAnsi="Times New Roman"/>
      <w:b/>
      <w:bCs/>
      <w:kern w:val="36"/>
      <w:sz w:val="48"/>
      <w:szCs w:val="48"/>
    </w:rPr>
  </w:style>
  <w:style w:type="character" w:customStyle="1" w:styleId="Heading2Char">
    <w:name w:val="Heading 2 Char"/>
    <w:basedOn w:val="DefaultParagraphFont"/>
    <w:link w:val="Heading2"/>
    <w:uiPriority w:val="9"/>
    <w:rsid w:val="00E67D3C"/>
    <w:rPr>
      <w:rFonts w:ascii="Cambria" w:eastAsia="Times New Roman" w:hAnsi="Cambria"/>
      <w:b/>
      <w:bCs/>
      <w:i/>
      <w:iCs/>
      <w:sz w:val="28"/>
      <w:szCs w:val="28"/>
    </w:rPr>
  </w:style>
  <w:style w:type="paragraph" w:styleId="NormalWeb">
    <w:name w:val="Normal (Web)"/>
    <w:basedOn w:val="Normal"/>
    <w:uiPriority w:val="99"/>
    <w:unhideWhenUsed/>
    <w:rsid w:val="00E67D3C"/>
    <w:pPr>
      <w:spacing w:before="100" w:beforeAutospacing="1" w:after="100" w:afterAutospacing="1" w:line="240" w:lineRule="auto"/>
    </w:pPr>
    <w:rPr>
      <w:rFonts w:ascii="Times New Roman" w:eastAsia="Times New Roman" w:hAnsi="Times New Roman"/>
      <w:sz w:val="24"/>
      <w:szCs w:val="24"/>
    </w:rPr>
  </w:style>
  <w:style w:type="paragraph" w:customStyle="1" w:styleId="speakable-p-1">
    <w:name w:val="speakable-p-1"/>
    <w:basedOn w:val="Normal"/>
    <w:rsid w:val="00E67D3C"/>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uiPriority w:val="20"/>
    <w:qFormat/>
    <w:rsid w:val="00E67D3C"/>
    <w:rPr>
      <w:i/>
      <w:iCs/>
    </w:rPr>
  </w:style>
  <w:style w:type="character" w:styleId="FollowedHyperlink">
    <w:name w:val="FollowedHyperlink"/>
    <w:basedOn w:val="DefaultParagraphFont"/>
    <w:uiPriority w:val="99"/>
    <w:semiHidden/>
    <w:unhideWhenUsed/>
    <w:rsid w:val="0001738E"/>
    <w:rPr>
      <w:color w:val="954F72" w:themeColor="followedHyperlink"/>
      <w:u w:val="single"/>
    </w:rPr>
  </w:style>
  <w:style w:type="character" w:styleId="UnresolvedMention">
    <w:name w:val="Unresolved Mention"/>
    <w:basedOn w:val="DefaultParagraphFont"/>
    <w:uiPriority w:val="99"/>
    <w:semiHidden/>
    <w:unhideWhenUsed/>
    <w:rsid w:val="00310D6B"/>
    <w:rPr>
      <w:color w:val="808080"/>
      <w:shd w:val="clear" w:color="auto" w:fill="E6E6E6"/>
    </w:rPr>
  </w:style>
  <w:style w:type="character" w:customStyle="1" w:styleId="unlinked-ref">
    <w:name w:val="unlinked-ref"/>
    <w:rsid w:val="007C45CA"/>
  </w:style>
  <w:style w:type="character" w:customStyle="1" w:styleId="headertext">
    <w:name w:val="headertext"/>
    <w:rsid w:val="007C45CA"/>
  </w:style>
  <w:style w:type="paragraph" w:customStyle="1" w:styleId="Default">
    <w:name w:val="Default"/>
    <w:rsid w:val="007C45CA"/>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C67090"/>
    <w:pPr>
      <w:spacing w:after="160" w:line="259" w:lineRule="auto"/>
      <w:ind w:left="720"/>
      <w:contextualSpacing/>
    </w:pPr>
    <w:rPr>
      <w:rFonts w:asciiTheme="minorHAnsi" w:eastAsiaTheme="minorHAnsi" w:hAnsiTheme="minorHAnsi" w:cstheme="minorBidi"/>
    </w:rPr>
  </w:style>
  <w:style w:type="paragraph" w:customStyle="1" w:styleId="fp">
    <w:name w:val="fp"/>
    <w:basedOn w:val="Normal"/>
    <w:rsid w:val="00C67090"/>
    <w:pPr>
      <w:spacing w:before="200" w:after="100" w:afterAutospacing="1" w:line="240" w:lineRule="auto"/>
    </w:pPr>
    <w:rPr>
      <w:rFonts w:ascii="Times New Roman" w:eastAsia="Times New Roman" w:hAnsi="Times New Roman"/>
      <w:sz w:val="24"/>
      <w:szCs w:val="24"/>
    </w:rPr>
  </w:style>
  <w:style w:type="character" w:customStyle="1" w:styleId="Heading3Char">
    <w:name w:val="Heading 3 Char"/>
    <w:basedOn w:val="DefaultParagraphFont"/>
    <w:link w:val="Heading3"/>
    <w:uiPriority w:val="9"/>
    <w:rsid w:val="000D0769"/>
    <w:rPr>
      <w:rFonts w:asciiTheme="majorHAnsi" w:eastAsiaTheme="majorEastAsia" w:hAnsiTheme="majorHAnsi" w:cstheme="majorBidi"/>
      <w:color w:val="1F4D78" w:themeColor="accent1" w:themeShade="7F"/>
      <w:sz w:val="24"/>
      <w:szCs w:val="24"/>
    </w:rPr>
  </w:style>
  <w:style w:type="paragraph" w:styleId="HTMLPreformatted">
    <w:name w:val="HTML Preformatted"/>
    <w:basedOn w:val="Normal"/>
    <w:link w:val="HTMLPreformattedChar"/>
    <w:uiPriority w:val="99"/>
    <w:unhideWhenUsed/>
    <w:rsid w:val="00AD5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D53DF"/>
    <w:rPr>
      <w:rFonts w:ascii="Courier New" w:eastAsia="Times New Roman" w:hAnsi="Courier New" w:cs="Courier New"/>
    </w:rPr>
  </w:style>
  <w:style w:type="paragraph" w:customStyle="1" w:styleId="statutory-body-2em">
    <w:name w:val="statutory-body-2em"/>
    <w:basedOn w:val="Normal"/>
    <w:rsid w:val="00AD53DF"/>
    <w:pPr>
      <w:spacing w:before="100" w:beforeAutospacing="1" w:after="100" w:afterAutospacing="1" w:line="240" w:lineRule="auto"/>
    </w:pPr>
    <w:rPr>
      <w:rFonts w:ascii="Times New Roman" w:eastAsia="Times New Roman" w:hAnsi="Times New Roman"/>
      <w:sz w:val="24"/>
      <w:szCs w:val="24"/>
    </w:rPr>
  </w:style>
  <w:style w:type="paragraph" w:customStyle="1" w:styleId="statutory-body-3em">
    <w:name w:val="statutory-body-3em"/>
    <w:basedOn w:val="Normal"/>
    <w:rsid w:val="00AD53DF"/>
    <w:pPr>
      <w:spacing w:before="100" w:beforeAutospacing="1" w:after="100" w:afterAutospacing="1" w:line="240" w:lineRule="auto"/>
    </w:pPr>
    <w:rPr>
      <w:rFonts w:ascii="Times New Roman" w:eastAsia="Times New Roman" w:hAnsi="Times New Roman"/>
      <w:sz w:val="24"/>
      <w:szCs w:val="24"/>
    </w:rPr>
  </w:style>
  <w:style w:type="character" w:customStyle="1" w:styleId="UnresolvedMention1">
    <w:name w:val="Unresolved Mention1"/>
    <w:basedOn w:val="DefaultParagraphFont"/>
    <w:uiPriority w:val="99"/>
    <w:semiHidden/>
    <w:unhideWhenUsed/>
    <w:rsid w:val="0018621C"/>
    <w:rPr>
      <w:color w:val="605E5C"/>
      <w:shd w:val="clear" w:color="auto" w:fill="E1DFDD"/>
    </w:rPr>
  </w:style>
  <w:style w:type="paragraph" w:customStyle="1" w:styleId="active">
    <w:name w:val="active"/>
    <w:basedOn w:val="Normal"/>
    <w:rsid w:val="00CC2139"/>
    <w:pPr>
      <w:spacing w:before="100" w:beforeAutospacing="1" w:after="100" w:afterAutospacing="1" w:line="240" w:lineRule="auto"/>
    </w:pPr>
    <w:rPr>
      <w:rFonts w:ascii="Times New Roman" w:eastAsia="Times New Roman" w:hAnsi="Times New Roman"/>
      <w:sz w:val="24"/>
      <w:szCs w:val="24"/>
    </w:rPr>
  </w:style>
  <w:style w:type="paragraph" w:customStyle="1" w:styleId="decision-tab">
    <w:name w:val="decision-tab"/>
    <w:basedOn w:val="Normal"/>
    <w:rsid w:val="000306C7"/>
    <w:pPr>
      <w:spacing w:before="100" w:beforeAutospacing="1" w:after="100" w:afterAutospacing="1" w:line="240" w:lineRule="auto"/>
    </w:pPr>
    <w:rPr>
      <w:rFonts w:ascii="Times New Roman" w:eastAsia="Times New Roman" w:hAnsi="Times New Roman"/>
      <w:sz w:val="24"/>
      <w:szCs w:val="24"/>
    </w:rPr>
  </w:style>
  <w:style w:type="character" w:customStyle="1" w:styleId="highlight">
    <w:name w:val="highlight"/>
    <w:basedOn w:val="DefaultParagraphFont"/>
    <w:rsid w:val="000306C7"/>
  </w:style>
  <w:style w:type="character" w:customStyle="1" w:styleId="nanospell-typo">
    <w:name w:val="nanospell-typo"/>
    <w:basedOn w:val="DefaultParagraphFont"/>
    <w:rsid w:val="000D47A7"/>
  </w:style>
  <w:style w:type="character" w:styleId="Strong">
    <w:name w:val="Strong"/>
    <w:basedOn w:val="DefaultParagraphFont"/>
    <w:uiPriority w:val="22"/>
    <w:qFormat/>
    <w:rsid w:val="000D47A7"/>
    <w:rPr>
      <w:b/>
      <w:bCs/>
    </w:rPr>
  </w:style>
  <w:style w:type="character" w:customStyle="1" w:styleId="posted-time">
    <w:name w:val="posted-time"/>
    <w:basedOn w:val="DefaultParagraphFont"/>
    <w:rsid w:val="000D47A7"/>
  </w:style>
  <w:style w:type="character" w:customStyle="1" w:styleId="updated-time">
    <w:name w:val="updated-time"/>
    <w:basedOn w:val="DefaultParagraphFont"/>
    <w:rsid w:val="000D47A7"/>
  </w:style>
  <w:style w:type="paragraph" w:customStyle="1" w:styleId="speakable-p-2">
    <w:name w:val="speakable-p-2"/>
    <w:basedOn w:val="Normal"/>
    <w:rsid w:val="000D47A7"/>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0D47A7"/>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0D47A7"/>
    <w:rPr>
      <w:rFonts w:asciiTheme="minorHAnsi" w:eastAsiaTheme="minorHAnsi" w:hAnsiTheme="minorHAnsi" w:cstheme="minorBidi"/>
      <w:sz w:val="22"/>
      <w:szCs w:val="22"/>
    </w:rPr>
  </w:style>
  <w:style w:type="paragraph" w:styleId="Footer">
    <w:name w:val="footer"/>
    <w:basedOn w:val="Normal"/>
    <w:link w:val="FooterChar"/>
    <w:uiPriority w:val="99"/>
    <w:unhideWhenUsed/>
    <w:rsid w:val="000D47A7"/>
    <w:pPr>
      <w:tabs>
        <w:tab w:val="center" w:pos="4680"/>
        <w:tab w:val="right" w:pos="9360"/>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0D47A7"/>
    <w:rPr>
      <w:rFonts w:asciiTheme="minorHAnsi" w:eastAsiaTheme="minorHAnsi" w:hAnsiTheme="minorHAnsi" w:cstheme="minorBidi"/>
      <w:sz w:val="22"/>
      <w:szCs w:val="22"/>
    </w:rPr>
  </w:style>
  <w:style w:type="character" w:customStyle="1" w:styleId="value">
    <w:name w:val="value"/>
    <w:basedOn w:val="DefaultParagraphFont"/>
    <w:rsid w:val="00084E0A"/>
  </w:style>
  <w:style w:type="character" w:customStyle="1" w:styleId="access">
    <w:name w:val="access"/>
    <w:basedOn w:val="DefaultParagraphFont"/>
    <w:rsid w:val="00084E0A"/>
  </w:style>
  <w:style w:type="paragraph" w:styleId="PlainText">
    <w:name w:val="Plain Text"/>
    <w:basedOn w:val="Normal"/>
    <w:link w:val="PlainTextChar"/>
    <w:uiPriority w:val="99"/>
    <w:unhideWhenUsed/>
    <w:rsid w:val="00D95F2C"/>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rsid w:val="00D95F2C"/>
    <w:rPr>
      <w:rFonts w:eastAsiaTheme="minorHAnsi" w:cstheme="minorBidi"/>
      <w:sz w:val="22"/>
      <w:szCs w:val="21"/>
    </w:rPr>
  </w:style>
  <w:style w:type="character" w:customStyle="1" w:styleId="share-txt">
    <w:name w:val="share-txt"/>
    <w:basedOn w:val="DefaultParagraphFont"/>
    <w:rsid w:val="00AA344E"/>
  </w:style>
  <w:style w:type="paragraph" w:customStyle="1" w:styleId="textbody">
    <w:name w:val="text_body"/>
    <w:basedOn w:val="Normal"/>
    <w:rsid w:val="00AA344E"/>
    <w:pPr>
      <w:spacing w:before="100" w:beforeAutospacing="1" w:after="100" w:afterAutospacing="1" w:line="240" w:lineRule="auto"/>
    </w:pPr>
    <w:rPr>
      <w:rFonts w:ascii="Times New Roman" w:eastAsia="Times New Roman" w:hAnsi="Times New Roman"/>
      <w:sz w:val="24"/>
      <w:szCs w:val="24"/>
    </w:rPr>
  </w:style>
  <w:style w:type="paragraph" w:customStyle="1" w:styleId="textendnote">
    <w:name w:val="text_endnote"/>
    <w:basedOn w:val="Normal"/>
    <w:rsid w:val="00AA344E"/>
    <w:pPr>
      <w:spacing w:before="100" w:beforeAutospacing="1" w:after="100" w:afterAutospacing="1" w:line="240" w:lineRule="auto"/>
    </w:pPr>
    <w:rPr>
      <w:rFonts w:ascii="Times New Roman" w:eastAsia="Times New Roman" w:hAnsi="Times New Roman"/>
      <w:sz w:val="24"/>
      <w:szCs w:val="24"/>
    </w:rPr>
  </w:style>
  <w:style w:type="character" w:customStyle="1" w:styleId="Heading4Char">
    <w:name w:val="Heading 4 Char"/>
    <w:basedOn w:val="DefaultParagraphFont"/>
    <w:link w:val="Heading4"/>
    <w:uiPriority w:val="9"/>
    <w:semiHidden/>
    <w:rsid w:val="00F326E5"/>
    <w:rPr>
      <w:rFonts w:asciiTheme="majorHAnsi" w:eastAsiaTheme="majorEastAsia" w:hAnsiTheme="majorHAnsi" w:cstheme="majorBidi"/>
      <w:i/>
      <w:iCs/>
      <w:color w:val="2E74B5" w:themeColor="accent1" w:themeShade="BF"/>
      <w:sz w:val="22"/>
      <w:szCs w:val="22"/>
    </w:rPr>
  </w:style>
  <w:style w:type="character" w:customStyle="1" w:styleId="Heading5Char">
    <w:name w:val="Heading 5 Char"/>
    <w:basedOn w:val="DefaultParagraphFont"/>
    <w:link w:val="Heading5"/>
    <w:uiPriority w:val="9"/>
    <w:rsid w:val="00F326E5"/>
    <w:rPr>
      <w:rFonts w:asciiTheme="majorHAnsi" w:eastAsiaTheme="majorEastAsia" w:hAnsiTheme="majorHAnsi" w:cstheme="majorBidi"/>
      <w:color w:val="2E74B5" w:themeColor="accent1" w:themeShade="BF"/>
      <w:sz w:val="22"/>
      <w:szCs w:val="22"/>
    </w:rPr>
  </w:style>
  <w:style w:type="character" w:customStyle="1" w:styleId="ilfuvd">
    <w:name w:val="ilfuvd"/>
    <w:basedOn w:val="DefaultParagraphFont"/>
    <w:rsid w:val="00F326E5"/>
  </w:style>
  <w:style w:type="character" w:customStyle="1" w:styleId="mw-headline">
    <w:name w:val="mw-headline"/>
    <w:basedOn w:val="DefaultParagraphFont"/>
    <w:rsid w:val="00F326E5"/>
  </w:style>
  <w:style w:type="character" w:customStyle="1" w:styleId="lrzxr">
    <w:name w:val="lrzxr"/>
    <w:basedOn w:val="DefaultParagraphFont"/>
    <w:rsid w:val="00F326E5"/>
  </w:style>
  <w:style w:type="paragraph" w:customStyle="1" w:styleId="trt0xe">
    <w:name w:val="trt0xe"/>
    <w:basedOn w:val="Normal"/>
    <w:rsid w:val="00F326E5"/>
    <w:pPr>
      <w:spacing w:before="100" w:beforeAutospacing="1" w:after="100" w:afterAutospacing="1" w:line="240" w:lineRule="auto"/>
    </w:pPr>
    <w:rPr>
      <w:rFonts w:ascii="Times New Roman" w:eastAsia="Times New Roman" w:hAnsi="Times New Roman"/>
      <w:sz w:val="24"/>
      <w:szCs w:val="24"/>
    </w:rPr>
  </w:style>
  <w:style w:type="paragraph" w:customStyle="1" w:styleId="copy">
    <w:name w:val="copy"/>
    <w:basedOn w:val="Normal"/>
    <w:rsid w:val="00F326E5"/>
    <w:pPr>
      <w:spacing w:before="100" w:beforeAutospacing="1" w:after="100" w:afterAutospacing="1" w:line="240" w:lineRule="auto"/>
    </w:pPr>
    <w:rPr>
      <w:rFonts w:ascii="Times New Roman" w:eastAsia="Times New Roman" w:hAnsi="Times New Roman"/>
      <w:sz w:val="24"/>
      <w:szCs w:val="24"/>
    </w:rPr>
  </w:style>
  <w:style w:type="character" w:customStyle="1" w:styleId="st">
    <w:name w:val="st"/>
    <w:basedOn w:val="DefaultParagraphFont"/>
    <w:rsid w:val="00F326E5"/>
  </w:style>
  <w:style w:type="paragraph" w:customStyle="1" w:styleId="subtext">
    <w:name w:val="subtext"/>
    <w:basedOn w:val="Normal"/>
    <w:rsid w:val="00F326E5"/>
    <w:pPr>
      <w:spacing w:before="100" w:beforeAutospacing="1" w:after="100" w:afterAutospacing="1" w:line="240" w:lineRule="auto"/>
    </w:pPr>
    <w:rPr>
      <w:rFonts w:ascii="Times New Roman" w:eastAsia="Times New Roman" w:hAnsi="Times New Roman"/>
      <w:sz w:val="24"/>
      <w:szCs w:val="24"/>
    </w:rPr>
  </w:style>
  <w:style w:type="character" w:customStyle="1" w:styleId="w8qarf">
    <w:name w:val="w8qarf"/>
    <w:basedOn w:val="DefaultParagraphFont"/>
    <w:rsid w:val="00F326E5"/>
  </w:style>
  <w:style w:type="character" w:customStyle="1" w:styleId="Date1">
    <w:name w:val="Date1"/>
    <w:basedOn w:val="DefaultParagraphFont"/>
    <w:rsid w:val="00F326E5"/>
  </w:style>
  <w:style w:type="character" w:customStyle="1" w:styleId="date-display-single">
    <w:name w:val="date-display-single"/>
    <w:basedOn w:val="DefaultParagraphFont"/>
    <w:rsid w:val="00F326E5"/>
  </w:style>
  <w:style w:type="character" w:customStyle="1" w:styleId="partyletter">
    <w:name w:val="partyletter"/>
    <w:basedOn w:val="DefaultParagraphFont"/>
    <w:rsid w:val="00F326E5"/>
  </w:style>
  <w:style w:type="paragraph" w:customStyle="1" w:styleId="p-text">
    <w:name w:val="p-text"/>
    <w:basedOn w:val="Normal"/>
    <w:rsid w:val="00F326E5"/>
    <w:pPr>
      <w:spacing w:before="100" w:beforeAutospacing="1" w:after="100" w:afterAutospacing="1" w:line="240" w:lineRule="auto"/>
    </w:pPr>
    <w:rPr>
      <w:rFonts w:ascii="Times New Roman" w:eastAsia="Times New Roman" w:hAnsi="Times New Roman"/>
      <w:sz w:val="24"/>
      <w:szCs w:val="24"/>
    </w:rPr>
  </w:style>
  <w:style w:type="character" w:styleId="HTMLAcronym">
    <w:name w:val="HTML Acronym"/>
    <w:basedOn w:val="DefaultParagraphFont"/>
    <w:uiPriority w:val="99"/>
    <w:semiHidden/>
    <w:unhideWhenUsed/>
    <w:rsid w:val="00F326E5"/>
  </w:style>
  <w:style w:type="character" w:customStyle="1" w:styleId="l-leftover">
    <w:name w:val="l-leftover"/>
    <w:basedOn w:val="DefaultParagraphFont"/>
    <w:rsid w:val="00F326E5"/>
  </w:style>
  <w:style w:type="character" w:customStyle="1" w:styleId="accent">
    <w:name w:val="accent"/>
    <w:basedOn w:val="DefaultParagraphFont"/>
    <w:rsid w:val="00F326E5"/>
  </w:style>
  <w:style w:type="character" w:customStyle="1" w:styleId="Title1">
    <w:name w:val="Title1"/>
    <w:basedOn w:val="DefaultParagraphFont"/>
    <w:rsid w:val="00F326E5"/>
  </w:style>
  <w:style w:type="character" w:customStyle="1" w:styleId="Subtitle1">
    <w:name w:val="Subtitle1"/>
    <w:basedOn w:val="DefaultParagraphFont"/>
    <w:rsid w:val="00F326E5"/>
  </w:style>
  <w:style w:type="character" w:customStyle="1" w:styleId="nowrap">
    <w:name w:val="nowrap"/>
    <w:basedOn w:val="DefaultParagraphFont"/>
    <w:rsid w:val="00F326E5"/>
  </w:style>
  <w:style w:type="character" w:customStyle="1" w:styleId="heading">
    <w:name w:val="heading"/>
    <w:basedOn w:val="DefaultParagraphFont"/>
    <w:rsid w:val="00F326E5"/>
  </w:style>
  <w:style w:type="character" w:customStyle="1" w:styleId="gltxt">
    <w:name w:val="gltxt"/>
    <w:basedOn w:val="DefaultParagraphFont"/>
    <w:rsid w:val="00F326E5"/>
  </w:style>
  <w:style w:type="paragraph" w:styleId="z-TopofForm">
    <w:name w:val="HTML Top of Form"/>
    <w:basedOn w:val="Normal"/>
    <w:next w:val="Normal"/>
    <w:link w:val="z-TopofFormChar"/>
    <w:hidden/>
    <w:uiPriority w:val="99"/>
    <w:semiHidden/>
    <w:unhideWhenUsed/>
    <w:rsid w:val="00F326E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326E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F326E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326E5"/>
    <w:rPr>
      <w:rFonts w:ascii="Arial" w:eastAsia="Times New Roman" w:hAnsi="Arial" w:cs="Arial"/>
      <w:vanish/>
      <w:sz w:val="16"/>
      <w:szCs w:val="16"/>
    </w:rPr>
  </w:style>
  <w:style w:type="paragraph" w:customStyle="1" w:styleId="menu-item">
    <w:name w:val="menu-item"/>
    <w:basedOn w:val="Normal"/>
    <w:rsid w:val="00F326E5"/>
    <w:pPr>
      <w:spacing w:before="100" w:beforeAutospacing="1" w:after="100" w:afterAutospacing="1" w:line="240" w:lineRule="auto"/>
    </w:pPr>
    <w:rPr>
      <w:rFonts w:ascii="Times New Roman" w:eastAsia="Times New Roman" w:hAnsi="Times New Roman"/>
      <w:sz w:val="24"/>
      <w:szCs w:val="24"/>
    </w:rPr>
  </w:style>
  <w:style w:type="character" w:styleId="FootnoteReference">
    <w:name w:val="footnote reference"/>
    <w:basedOn w:val="DefaultParagraphFont"/>
    <w:uiPriority w:val="99"/>
    <w:semiHidden/>
    <w:unhideWhenUsed/>
    <w:rsid w:val="00F326E5"/>
  </w:style>
  <w:style w:type="character" w:customStyle="1" w:styleId="dfm-title">
    <w:name w:val="dfm-title"/>
    <w:rsid w:val="00F326E5"/>
  </w:style>
  <w:style w:type="character" w:customStyle="1" w:styleId="field">
    <w:name w:val="field"/>
    <w:basedOn w:val="DefaultParagraphFont"/>
    <w:rsid w:val="00527EDF"/>
  </w:style>
  <w:style w:type="character" w:customStyle="1" w:styleId="grame">
    <w:name w:val="grame"/>
    <w:basedOn w:val="DefaultParagraphFont"/>
    <w:rsid w:val="002B1283"/>
  </w:style>
  <w:style w:type="character" w:customStyle="1" w:styleId="outlineheading2">
    <w:name w:val="outline_heading_2"/>
    <w:basedOn w:val="DefaultParagraphFont"/>
    <w:rsid w:val="00297434"/>
  </w:style>
  <w:style w:type="character" w:customStyle="1" w:styleId="annotation">
    <w:name w:val="annotation"/>
    <w:basedOn w:val="DefaultParagraphFont"/>
    <w:rsid w:val="00297434"/>
  </w:style>
  <w:style w:type="character" w:customStyle="1" w:styleId="balancedheadline">
    <w:name w:val="balancedheadline"/>
    <w:basedOn w:val="DefaultParagraphFont"/>
    <w:rsid w:val="00A247E4"/>
  </w:style>
  <w:style w:type="character" w:customStyle="1" w:styleId="num">
    <w:name w:val="num"/>
    <w:basedOn w:val="DefaultParagraphFont"/>
    <w:rsid w:val="0066298F"/>
  </w:style>
  <w:style w:type="character" w:customStyle="1" w:styleId="chapeau">
    <w:name w:val="chapeau"/>
    <w:basedOn w:val="DefaultParagraphFont"/>
    <w:rsid w:val="0066298F"/>
  </w:style>
  <w:style w:type="character" w:customStyle="1" w:styleId="citation">
    <w:name w:val="citation"/>
    <w:basedOn w:val="DefaultParagraphFont"/>
    <w:rsid w:val="00A01ACA"/>
  </w:style>
  <w:style w:type="paragraph" w:customStyle="1" w:styleId="gdp">
    <w:name w:val="gd_p"/>
    <w:basedOn w:val="Normal"/>
    <w:uiPriority w:val="99"/>
    <w:semiHidden/>
    <w:rsid w:val="0020758F"/>
    <w:pPr>
      <w:spacing w:before="100" w:beforeAutospacing="1" w:after="100" w:afterAutospacing="1" w:line="240" w:lineRule="auto"/>
    </w:pPr>
    <w:rPr>
      <w:rFonts w:eastAsiaTheme="minorHAnsi" w:cs="Calibri"/>
    </w:rPr>
  </w:style>
  <w:style w:type="character" w:customStyle="1" w:styleId="timestamp">
    <w:name w:val="timestamp"/>
    <w:basedOn w:val="DefaultParagraphFont"/>
    <w:rsid w:val="006B2083"/>
  </w:style>
  <w:style w:type="paragraph" w:customStyle="1" w:styleId="text">
    <w:name w:val="text"/>
    <w:basedOn w:val="Normal"/>
    <w:rsid w:val="00B532F6"/>
    <w:pPr>
      <w:spacing w:before="100" w:beforeAutospacing="1" w:after="100" w:afterAutospacing="1" w:line="240" w:lineRule="auto"/>
    </w:pPr>
    <w:rPr>
      <w:rFonts w:ascii="Times New Roman" w:eastAsia="Times New Roman" w:hAnsi="Times New Roman"/>
      <w:sz w:val="24"/>
      <w:szCs w:val="24"/>
    </w:rPr>
  </w:style>
  <w:style w:type="character" w:customStyle="1" w:styleId="font-weight-bold">
    <w:name w:val="font-weight-bold"/>
    <w:basedOn w:val="DefaultParagraphFont"/>
    <w:rsid w:val="00DD03E3"/>
  </w:style>
  <w:style w:type="paragraph" w:customStyle="1" w:styleId="xxxxmsonormal">
    <w:name w:val="x_x_x_xmsonormal"/>
    <w:basedOn w:val="Normal"/>
    <w:uiPriority w:val="99"/>
    <w:rsid w:val="005E132A"/>
    <w:pPr>
      <w:spacing w:before="100" w:beforeAutospacing="1" w:after="100" w:afterAutospacing="1" w:line="240" w:lineRule="auto"/>
    </w:pPr>
    <w:rPr>
      <w:rFonts w:eastAsiaTheme="minorHAnsi" w:cs="Calibri"/>
    </w:rPr>
  </w:style>
  <w:style w:type="paragraph" w:customStyle="1" w:styleId="xxxxxmsonormal">
    <w:name w:val="x_x_x_xxmsonormal"/>
    <w:basedOn w:val="Normal"/>
    <w:uiPriority w:val="99"/>
    <w:rsid w:val="005E132A"/>
    <w:pPr>
      <w:spacing w:after="0" w:line="240" w:lineRule="auto"/>
    </w:pPr>
    <w:rPr>
      <w:rFonts w:eastAsiaTheme="minorHAnsi" w:cs="Calibri"/>
    </w:rPr>
  </w:style>
  <w:style w:type="paragraph" w:customStyle="1" w:styleId="paragraph">
    <w:name w:val="paragraph"/>
    <w:basedOn w:val="Normal"/>
    <w:rsid w:val="007F3C7D"/>
    <w:pPr>
      <w:spacing w:before="100" w:beforeAutospacing="1" w:after="100" w:afterAutospacing="1" w:line="240" w:lineRule="auto"/>
    </w:pPr>
    <w:rPr>
      <w:rFonts w:ascii="Times New Roman" w:eastAsia="Times New Roman" w:hAnsi="Times New Roman"/>
      <w:sz w:val="24"/>
      <w:szCs w:val="24"/>
    </w:rPr>
  </w:style>
  <w:style w:type="paragraph" w:customStyle="1" w:styleId="statutory-body">
    <w:name w:val="statutory-body"/>
    <w:basedOn w:val="Normal"/>
    <w:rsid w:val="000915C1"/>
    <w:pPr>
      <w:spacing w:before="100" w:beforeAutospacing="1" w:after="100" w:afterAutospacing="1" w:line="240" w:lineRule="auto"/>
    </w:pPr>
    <w:rPr>
      <w:rFonts w:ascii="Times New Roman" w:eastAsia="Times New Roman" w:hAnsi="Times New Roman"/>
      <w:sz w:val="24"/>
      <w:szCs w:val="24"/>
    </w:rPr>
  </w:style>
  <w:style w:type="paragraph" w:customStyle="1" w:styleId="source-credit">
    <w:name w:val="source-credit"/>
    <w:basedOn w:val="Normal"/>
    <w:rsid w:val="000915C1"/>
    <w:pPr>
      <w:spacing w:before="100" w:beforeAutospacing="1" w:after="100" w:afterAutospacing="1" w:line="240" w:lineRule="auto"/>
    </w:pPr>
    <w:rPr>
      <w:rFonts w:ascii="Times New Roman" w:eastAsia="Times New Roman" w:hAnsi="Times New Roman"/>
      <w:sz w:val="24"/>
      <w:szCs w:val="24"/>
    </w:rPr>
  </w:style>
  <w:style w:type="paragraph" w:customStyle="1" w:styleId="gntarbp">
    <w:name w:val="gnt_ar_b_p"/>
    <w:basedOn w:val="Normal"/>
    <w:rsid w:val="0077274E"/>
    <w:pPr>
      <w:spacing w:before="100" w:beforeAutospacing="1" w:after="100" w:afterAutospacing="1" w:line="240" w:lineRule="auto"/>
    </w:pPr>
    <w:rPr>
      <w:rFonts w:ascii="Times New Roman" w:eastAsia="Times New Roman" w:hAnsi="Times New Roman"/>
      <w:sz w:val="24"/>
      <w:szCs w:val="24"/>
    </w:rPr>
  </w:style>
  <w:style w:type="character" w:customStyle="1" w:styleId="codes-separator">
    <w:name w:val="codes-separator"/>
    <w:basedOn w:val="DefaultParagraphFont"/>
    <w:rsid w:val="00F27CD5"/>
  </w:style>
  <w:style w:type="character" w:customStyle="1" w:styleId="markedcontent">
    <w:name w:val="markedcontent"/>
    <w:basedOn w:val="DefaultParagraphFont"/>
    <w:rsid w:val="00A82898"/>
  </w:style>
  <w:style w:type="paragraph" w:customStyle="1" w:styleId="p1">
    <w:name w:val="p1"/>
    <w:basedOn w:val="Normal"/>
    <w:rsid w:val="008A0333"/>
    <w:pPr>
      <w:spacing w:before="100" w:beforeAutospacing="1" w:after="100" w:afterAutospacing="1" w:line="240" w:lineRule="auto"/>
    </w:pPr>
    <w:rPr>
      <w:rFonts w:ascii="Times New Roman" w:eastAsia="Times New Roman" w:hAnsi="Times New Roman"/>
      <w:sz w:val="24"/>
      <w:szCs w:val="24"/>
    </w:rPr>
  </w:style>
  <w:style w:type="character" w:customStyle="1" w:styleId="gold">
    <w:name w:val="gold"/>
    <w:basedOn w:val="DefaultParagraphFont"/>
    <w:rsid w:val="005217D5"/>
  </w:style>
  <w:style w:type="paragraph" w:customStyle="1" w:styleId="articleparagraph">
    <w:name w:val="article__paragraph"/>
    <w:basedOn w:val="Normal"/>
    <w:rsid w:val="00382F02"/>
    <w:pPr>
      <w:spacing w:before="100" w:beforeAutospacing="1" w:after="100" w:afterAutospacing="1" w:line="240" w:lineRule="auto"/>
    </w:pPr>
    <w:rPr>
      <w:rFonts w:ascii="Times New Roman" w:eastAsia="Times New Roman" w:hAnsi="Times New Roman"/>
      <w:sz w:val="24"/>
      <w:szCs w:val="24"/>
    </w:rPr>
  </w:style>
  <w:style w:type="character" w:customStyle="1" w:styleId="screenreader-only">
    <w:name w:val="screenreader-only"/>
    <w:basedOn w:val="DefaultParagraphFont"/>
    <w:rsid w:val="00BD263B"/>
  </w:style>
  <w:style w:type="character" w:customStyle="1" w:styleId="style-scope">
    <w:name w:val="style-scope"/>
    <w:basedOn w:val="DefaultParagraphFont"/>
    <w:rsid w:val="002F610D"/>
  </w:style>
  <w:style w:type="paragraph" w:customStyle="1" w:styleId="docdate">
    <w:name w:val="docdate"/>
    <w:basedOn w:val="Normal"/>
    <w:uiPriority w:val="99"/>
    <w:rsid w:val="00BD1702"/>
    <w:pPr>
      <w:spacing w:before="100" w:beforeAutospacing="1" w:after="100" w:afterAutospacing="1" w:line="240" w:lineRule="auto"/>
    </w:pPr>
    <w:rPr>
      <w:rFonts w:ascii="Times New Roman" w:eastAsia="Times New Roman" w:hAnsi="Times New Roman"/>
      <w:sz w:val="24"/>
      <w:szCs w:val="24"/>
    </w:rPr>
  </w:style>
  <w:style w:type="character" w:customStyle="1" w:styleId="Date2">
    <w:name w:val="Date2"/>
    <w:basedOn w:val="DefaultParagraphFont"/>
    <w:rsid w:val="00C67B2A"/>
  </w:style>
  <w:style w:type="paragraph" w:customStyle="1" w:styleId="dropcap">
    <w:name w:val="dropcap"/>
    <w:basedOn w:val="Normal"/>
    <w:rsid w:val="00774A91"/>
    <w:pPr>
      <w:spacing w:before="100" w:beforeAutospacing="1" w:after="100" w:afterAutospacing="1" w:line="240" w:lineRule="auto"/>
    </w:pPr>
    <w:rPr>
      <w:rFonts w:ascii="Times New Roman" w:eastAsia="Times New Roman" w:hAnsi="Times New Roman"/>
      <w:sz w:val="24"/>
      <w:szCs w:val="24"/>
    </w:rPr>
  </w:style>
  <w:style w:type="character" w:customStyle="1" w:styleId="post-title">
    <w:name w:val="post-title"/>
    <w:basedOn w:val="DefaultParagraphFont"/>
    <w:rsid w:val="00365F63"/>
  </w:style>
  <w:style w:type="character" w:styleId="HTMLCode">
    <w:name w:val="HTML Code"/>
    <w:basedOn w:val="DefaultParagraphFont"/>
    <w:uiPriority w:val="99"/>
    <w:semiHidden/>
    <w:unhideWhenUsed/>
    <w:rsid w:val="00E8117B"/>
    <w:rPr>
      <w:rFonts w:ascii="Courier New" w:eastAsia="Times New Roman" w:hAnsi="Courier New" w:cs="Courier New" w:hint="default"/>
      <w:sz w:val="20"/>
      <w:szCs w:val="20"/>
    </w:rPr>
  </w:style>
  <w:style w:type="character" w:customStyle="1" w:styleId="normaltextrun">
    <w:name w:val="normaltextrun"/>
    <w:basedOn w:val="DefaultParagraphFont"/>
    <w:rsid w:val="006C79BE"/>
  </w:style>
  <w:style w:type="paragraph" w:customStyle="1" w:styleId="ekqk">
    <w:name w:val="ekqk"/>
    <w:basedOn w:val="Normal"/>
    <w:uiPriority w:val="99"/>
    <w:rsid w:val="008A4533"/>
    <w:pPr>
      <w:spacing w:before="100" w:beforeAutospacing="1" w:after="100" w:afterAutospacing="1" w:line="240" w:lineRule="auto"/>
    </w:pPr>
    <w:rPr>
      <w:rFonts w:ascii="Times New Roman" w:eastAsia="Times New Roman" w:hAnsi="Times New Roman"/>
      <w:sz w:val="24"/>
      <w:szCs w:val="24"/>
    </w:rPr>
  </w:style>
  <w:style w:type="character" w:customStyle="1" w:styleId="s1">
    <w:name w:val="s1"/>
    <w:basedOn w:val="DefaultParagraphFont"/>
    <w:rsid w:val="00F55395"/>
  </w:style>
  <w:style w:type="character" w:customStyle="1" w:styleId="field-formatter--string">
    <w:name w:val="field-formatter--string"/>
    <w:basedOn w:val="DefaultParagraphFont"/>
    <w:rsid w:val="007A0E71"/>
  </w:style>
  <w:style w:type="character" w:customStyle="1" w:styleId="hgkelc">
    <w:name w:val="hgkelc"/>
    <w:basedOn w:val="DefaultParagraphFont"/>
    <w:rsid w:val="00237599"/>
  </w:style>
  <w:style w:type="paragraph" w:customStyle="1" w:styleId="css-1n0orw4">
    <w:name w:val="css-1n0orw4"/>
    <w:basedOn w:val="Normal"/>
    <w:rsid w:val="00237599"/>
    <w:pPr>
      <w:spacing w:before="100" w:beforeAutospacing="1" w:after="100" w:afterAutospacing="1" w:line="240" w:lineRule="auto"/>
    </w:pPr>
    <w:rPr>
      <w:rFonts w:ascii="Times New Roman" w:eastAsia="Times New Roman" w:hAnsi="Times New Roman"/>
      <w:sz w:val="24"/>
      <w:szCs w:val="24"/>
    </w:rPr>
  </w:style>
  <w:style w:type="paragraph" w:customStyle="1" w:styleId="css-at9mc1">
    <w:name w:val="css-at9mc1"/>
    <w:basedOn w:val="Normal"/>
    <w:rsid w:val="00FE60DA"/>
    <w:pPr>
      <w:spacing w:before="100" w:beforeAutospacing="1" w:after="100" w:afterAutospacing="1" w:line="240" w:lineRule="auto"/>
    </w:pPr>
    <w:rPr>
      <w:rFonts w:ascii="Times New Roman" w:eastAsia="Times New Roman" w:hAnsi="Times New Roman"/>
      <w:sz w:val="24"/>
      <w:szCs w:val="24"/>
    </w:rPr>
  </w:style>
  <w:style w:type="paragraph" w:customStyle="1" w:styleId="first-paragraph">
    <w:name w:val="first-paragraph"/>
    <w:basedOn w:val="Normal"/>
    <w:rsid w:val="00FE60DA"/>
    <w:pPr>
      <w:spacing w:before="100" w:beforeAutospacing="1" w:after="100" w:afterAutospacing="1" w:line="240" w:lineRule="auto"/>
    </w:pPr>
    <w:rPr>
      <w:rFonts w:ascii="Times New Roman" w:eastAsia="Times New Roman" w:hAnsi="Times New Roman"/>
      <w:sz w:val="24"/>
      <w:szCs w:val="24"/>
    </w:rPr>
  </w:style>
  <w:style w:type="paragraph" w:customStyle="1" w:styleId="defaultstyledtext-tl066j-0">
    <w:name w:val="default__styledtext-tl066j-0"/>
    <w:basedOn w:val="Normal"/>
    <w:rsid w:val="00A65FD8"/>
    <w:pPr>
      <w:spacing w:before="100" w:beforeAutospacing="1" w:after="100" w:afterAutospacing="1" w:line="240" w:lineRule="auto"/>
    </w:pPr>
    <w:rPr>
      <w:rFonts w:ascii="Times New Roman" w:eastAsia="Times New Roman" w:hAnsi="Times New Roman"/>
      <w:sz w:val="24"/>
      <w:szCs w:val="24"/>
    </w:rPr>
  </w:style>
  <w:style w:type="paragraph" w:customStyle="1" w:styleId="p0">
    <w:name w:val="p0"/>
    <w:basedOn w:val="Normal"/>
    <w:next w:val="Normal"/>
    <w:qFormat/>
    <w:rsid w:val="00C22EBB"/>
    <w:pPr>
      <w:spacing w:after="120" w:line="240" w:lineRule="auto"/>
      <w:ind w:firstLine="432"/>
      <w:jc w:val="both"/>
    </w:pPr>
    <w:rPr>
      <w:rFonts w:ascii="Arial" w:eastAsia="Arial" w:hAnsi="Arial" w:cs="Arial"/>
      <w:sz w:val="20"/>
    </w:rPr>
  </w:style>
  <w:style w:type="paragraph" w:customStyle="1" w:styleId="byline">
    <w:name w:val="byline"/>
    <w:basedOn w:val="Normal"/>
    <w:rsid w:val="00267A43"/>
    <w:pPr>
      <w:spacing w:before="100" w:beforeAutospacing="1" w:after="100" w:afterAutospacing="1" w:line="240" w:lineRule="auto"/>
    </w:pPr>
    <w:rPr>
      <w:rFonts w:ascii="Times New Roman" w:eastAsia="Times New Roman" w:hAnsi="Times New Roman"/>
      <w:sz w:val="24"/>
      <w:szCs w:val="24"/>
    </w:rPr>
  </w:style>
  <w:style w:type="paragraph" w:customStyle="1" w:styleId="indent-1">
    <w:name w:val="indent-1"/>
    <w:basedOn w:val="Normal"/>
    <w:rsid w:val="009371E7"/>
    <w:pPr>
      <w:spacing w:before="100" w:beforeAutospacing="1" w:after="100" w:afterAutospacing="1" w:line="240" w:lineRule="auto"/>
    </w:pPr>
    <w:rPr>
      <w:rFonts w:ascii="Times New Roman" w:eastAsia="Times New Roman" w:hAnsi="Times New Roman"/>
      <w:sz w:val="24"/>
      <w:szCs w:val="24"/>
    </w:rPr>
  </w:style>
  <w:style w:type="character" w:customStyle="1" w:styleId="paragraph-hierarchy">
    <w:name w:val="paragraph-hierarchy"/>
    <w:basedOn w:val="DefaultParagraphFont"/>
    <w:rsid w:val="009371E7"/>
  </w:style>
  <w:style w:type="character" w:customStyle="1" w:styleId="paren">
    <w:name w:val="paren"/>
    <w:basedOn w:val="DefaultParagraphFont"/>
    <w:rsid w:val="009371E7"/>
  </w:style>
  <w:style w:type="character" w:customStyle="1" w:styleId="title-main">
    <w:name w:val="title-main"/>
    <w:basedOn w:val="DefaultParagraphFont"/>
    <w:rsid w:val="001C2F88"/>
  </w:style>
  <w:style w:type="character" w:customStyle="1" w:styleId="Heading7Char">
    <w:name w:val="Heading 7 Char"/>
    <w:basedOn w:val="DefaultParagraphFont"/>
    <w:link w:val="Heading7"/>
    <w:uiPriority w:val="9"/>
    <w:semiHidden/>
    <w:rsid w:val="004F15A5"/>
    <w:rPr>
      <w:rFonts w:asciiTheme="majorHAnsi" w:eastAsiaTheme="majorEastAsia" w:hAnsiTheme="majorHAnsi" w:cstheme="majorBidi"/>
      <w:i/>
      <w:iCs/>
      <w:color w:val="1F4D78" w:themeColor="accent1" w:themeShade="7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2852">
      <w:bodyDiv w:val="1"/>
      <w:marLeft w:val="0"/>
      <w:marRight w:val="0"/>
      <w:marTop w:val="0"/>
      <w:marBottom w:val="0"/>
      <w:divBdr>
        <w:top w:val="none" w:sz="0" w:space="0" w:color="auto"/>
        <w:left w:val="none" w:sz="0" w:space="0" w:color="auto"/>
        <w:bottom w:val="none" w:sz="0" w:space="0" w:color="auto"/>
        <w:right w:val="none" w:sz="0" w:space="0" w:color="auto"/>
      </w:divBdr>
      <w:divsChild>
        <w:div w:id="599264552">
          <w:marLeft w:val="0"/>
          <w:marRight w:val="0"/>
          <w:marTop w:val="0"/>
          <w:marBottom w:val="0"/>
          <w:divBdr>
            <w:top w:val="none" w:sz="0" w:space="0" w:color="auto"/>
            <w:left w:val="none" w:sz="0" w:space="0" w:color="auto"/>
            <w:bottom w:val="none" w:sz="0" w:space="0" w:color="auto"/>
            <w:right w:val="none" w:sz="0" w:space="0" w:color="auto"/>
          </w:divBdr>
        </w:div>
        <w:div w:id="876237426">
          <w:marLeft w:val="0"/>
          <w:marRight w:val="0"/>
          <w:marTop w:val="0"/>
          <w:marBottom w:val="0"/>
          <w:divBdr>
            <w:top w:val="none" w:sz="0" w:space="0" w:color="auto"/>
            <w:left w:val="none" w:sz="0" w:space="0" w:color="auto"/>
            <w:bottom w:val="none" w:sz="0" w:space="0" w:color="auto"/>
            <w:right w:val="none" w:sz="0" w:space="0" w:color="auto"/>
          </w:divBdr>
        </w:div>
        <w:div w:id="5716198">
          <w:marLeft w:val="0"/>
          <w:marRight w:val="0"/>
          <w:marTop w:val="0"/>
          <w:marBottom w:val="0"/>
          <w:divBdr>
            <w:top w:val="none" w:sz="0" w:space="0" w:color="auto"/>
            <w:left w:val="none" w:sz="0" w:space="0" w:color="auto"/>
            <w:bottom w:val="none" w:sz="0" w:space="0" w:color="auto"/>
            <w:right w:val="none" w:sz="0" w:space="0" w:color="auto"/>
          </w:divBdr>
        </w:div>
        <w:div w:id="1743596477">
          <w:marLeft w:val="0"/>
          <w:marRight w:val="0"/>
          <w:marTop w:val="0"/>
          <w:marBottom w:val="0"/>
          <w:divBdr>
            <w:top w:val="none" w:sz="0" w:space="0" w:color="auto"/>
            <w:left w:val="none" w:sz="0" w:space="0" w:color="auto"/>
            <w:bottom w:val="none" w:sz="0" w:space="0" w:color="auto"/>
            <w:right w:val="none" w:sz="0" w:space="0" w:color="auto"/>
          </w:divBdr>
        </w:div>
        <w:div w:id="255482026">
          <w:marLeft w:val="0"/>
          <w:marRight w:val="0"/>
          <w:marTop w:val="0"/>
          <w:marBottom w:val="0"/>
          <w:divBdr>
            <w:top w:val="none" w:sz="0" w:space="0" w:color="auto"/>
            <w:left w:val="none" w:sz="0" w:space="0" w:color="auto"/>
            <w:bottom w:val="none" w:sz="0" w:space="0" w:color="auto"/>
            <w:right w:val="none" w:sz="0" w:space="0" w:color="auto"/>
          </w:divBdr>
        </w:div>
        <w:div w:id="567308065">
          <w:marLeft w:val="0"/>
          <w:marRight w:val="0"/>
          <w:marTop w:val="0"/>
          <w:marBottom w:val="0"/>
          <w:divBdr>
            <w:top w:val="none" w:sz="0" w:space="0" w:color="auto"/>
            <w:left w:val="none" w:sz="0" w:space="0" w:color="auto"/>
            <w:bottom w:val="none" w:sz="0" w:space="0" w:color="auto"/>
            <w:right w:val="none" w:sz="0" w:space="0" w:color="auto"/>
          </w:divBdr>
        </w:div>
        <w:div w:id="1838567849">
          <w:marLeft w:val="0"/>
          <w:marRight w:val="0"/>
          <w:marTop w:val="0"/>
          <w:marBottom w:val="0"/>
          <w:divBdr>
            <w:top w:val="none" w:sz="0" w:space="0" w:color="auto"/>
            <w:left w:val="none" w:sz="0" w:space="0" w:color="auto"/>
            <w:bottom w:val="none" w:sz="0" w:space="0" w:color="auto"/>
            <w:right w:val="none" w:sz="0" w:space="0" w:color="auto"/>
          </w:divBdr>
        </w:div>
        <w:div w:id="1795903128">
          <w:marLeft w:val="0"/>
          <w:marRight w:val="0"/>
          <w:marTop w:val="0"/>
          <w:marBottom w:val="0"/>
          <w:divBdr>
            <w:top w:val="none" w:sz="0" w:space="0" w:color="auto"/>
            <w:left w:val="none" w:sz="0" w:space="0" w:color="auto"/>
            <w:bottom w:val="none" w:sz="0" w:space="0" w:color="auto"/>
            <w:right w:val="none" w:sz="0" w:space="0" w:color="auto"/>
          </w:divBdr>
        </w:div>
        <w:div w:id="1020854742">
          <w:marLeft w:val="0"/>
          <w:marRight w:val="0"/>
          <w:marTop w:val="0"/>
          <w:marBottom w:val="0"/>
          <w:divBdr>
            <w:top w:val="none" w:sz="0" w:space="0" w:color="auto"/>
            <w:left w:val="none" w:sz="0" w:space="0" w:color="auto"/>
            <w:bottom w:val="none" w:sz="0" w:space="0" w:color="auto"/>
            <w:right w:val="none" w:sz="0" w:space="0" w:color="auto"/>
          </w:divBdr>
        </w:div>
      </w:divsChild>
    </w:div>
    <w:div w:id="20981496">
      <w:bodyDiv w:val="1"/>
      <w:marLeft w:val="0"/>
      <w:marRight w:val="0"/>
      <w:marTop w:val="0"/>
      <w:marBottom w:val="0"/>
      <w:divBdr>
        <w:top w:val="none" w:sz="0" w:space="0" w:color="auto"/>
        <w:left w:val="none" w:sz="0" w:space="0" w:color="auto"/>
        <w:bottom w:val="none" w:sz="0" w:space="0" w:color="auto"/>
        <w:right w:val="none" w:sz="0" w:space="0" w:color="auto"/>
      </w:divBdr>
      <w:divsChild>
        <w:div w:id="226234525">
          <w:marLeft w:val="0"/>
          <w:marRight w:val="0"/>
          <w:marTop w:val="0"/>
          <w:marBottom w:val="0"/>
          <w:divBdr>
            <w:top w:val="none" w:sz="0" w:space="0" w:color="auto"/>
            <w:left w:val="none" w:sz="0" w:space="0" w:color="auto"/>
            <w:bottom w:val="none" w:sz="0" w:space="0" w:color="auto"/>
            <w:right w:val="none" w:sz="0" w:space="0" w:color="auto"/>
          </w:divBdr>
        </w:div>
        <w:div w:id="1705905997">
          <w:marLeft w:val="0"/>
          <w:marRight w:val="0"/>
          <w:marTop w:val="0"/>
          <w:marBottom w:val="0"/>
          <w:divBdr>
            <w:top w:val="none" w:sz="0" w:space="0" w:color="auto"/>
            <w:left w:val="none" w:sz="0" w:space="0" w:color="auto"/>
            <w:bottom w:val="none" w:sz="0" w:space="0" w:color="auto"/>
            <w:right w:val="none" w:sz="0" w:space="0" w:color="auto"/>
          </w:divBdr>
        </w:div>
        <w:div w:id="459425429">
          <w:marLeft w:val="0"/>
          <w:marRight w:val="0"/>
          <w:marTop w:val="0"/>
          <w:marBottom w:val="0"/>
          <w:divBdr>
            <w:top w:val="none" w:sz="0" w:space="0" w:color="auto"/>
            <w:left w:val="none" w:sz="0" w:space="0" w:color="auto"/>
            <w:bottom w:val="none" w:sz="0" w:space="0" w:color="auto"/>
            <w:right w:val="none" w:sz="0" w:space="0" w:color="auto"/>
          </w:divBdr>
        </w:div>
        <w:div w:id="1473446644">
          <w:marLeft w:val="0"/>
          <w:marRight w:val="0"/>
          <w:marTop w:val="0"/>
          <w:marBottom w:val="0"/>
          <w:divBdr>
            <w:top w:val="none" w:sz="0" w:space="0" w:color="auto"/>
            <w:left w:val="none" w:sz="0" w:space="0" w:color="auto"/>
            <w:bottom w:val="none" w:sz="0" w:space="0" w:color="auto"/>
            <w:right w:val="none" w:sz="0" w:space="0" w:color="auto"/>
          </w:divBdr>
        </w:div>
        <w:div w:id="1221281512">
          <w:marLeft w:val="0"/>
          <w:marRight w:val="0"/>
          <w:marTop w:val="0"/>
          <w:marBottom w:val="0"/>
          <w:divBdr>
            <w:top w:val="none" w:sz="0" w:space="0" w:color="auto"/>
            <w:left w:val="none" w:sz="0" w:space="0" w:color="auto"/>
            <w:bottom w:val="none" w:sz="0" w:space="0" w:color="auto"/>
            <w:right w:val="none" w:sz="0" w:space="0" w:color="auto"/>
          </w:divBdr>
        </w:div>
        <w:div w:id="1018429785">
          <w:marLeft w:val="0"/>
          <w:marRight w:val="0"/>
          <w:marTop w:val="0"/>
          <w:marBottom w:val="0"/>
          <w:divBdr>
            <w:top w:val="none" w:sz="0" w:space="0" w:color="auto"/>
            <w:left w:val="none" w:sz="0" w:space="0" w:color="auto"/>
            <w:bottom w:val="none" w:sz="0" w:space="0" w:color="auto"/>
            <w:right w:val="none" w:sz="0" w:space="0" w:color="auto"/>
          </w:divBdr>
        </w:div>
        <w:div w:id="796610630">
          <w:marLeft w:val="0"/>
          <w:marRight w:val="0"/>
          <w:marTop w:val="0"/>
          <w:marBottom w:val="0"/>
          <w:divBdr>
            <w:top w:val="none" w:sz="0" w:space="0" w:color="auto"/>
            <w:left w:val="none" w:sz="0" w:space="0" w:color="auto"/>
            <w:bottom w:val="none" w:sz="0" w:space="0" w:color="auto"/>
            <w:right w:val="none" w:sz="0" w:space="0" w:color="auto"/>
          </w:divBdr>
        </w:div>
        <w:div w:id="610285005">
          <w:marLeft w:val="0"/>
          <w:marRight w:val="0"/>
          <w:marTop w:val="0"/>
          <w:marBottom w:val="0"/>
          <w:divBdr>
            <w:top w:val="none" w:sz="0" w:space="0" w:color="auto"/>
            <w:left w:val="none" w:sz="0" w:space="0" w:color="auto"/>
            <w:bottom w:val="none" w:sz="0" w:space="0" w:color="auto"/>
            <w:right w:val="none" w:sz="0" w:space="0" w:color="auto"/>
          </w:divBdr>
        </w:div>
        <w:div w:id="558322622">
          <w:marLeft w:val="0"/>
          <w:marRight w:val="0"/>
          <w:marTop w:val="0"/>
          <w:marBottom w:val="0"/>
          <w:divBdr>
            <w:top w:val="none" w:sz="0" w:space="0" w:color="auto"/>
            <w:left w:val="none" w:sz="0" w:space="0" w:color="auto"/>
            <w:bottom w:val="none" w:sz="0" w:space="0" w:color="auto"/>
            <w:right w:val="none" w:sz="0" w:space="0" w:color="auto"/>
          </w:divBdr>
        </w:div>
        <w:div w:id="1256788806">
          <w:marLeft w:val="0"/>
          <w:marRight w:val="0"/>
          <w:marTop w:val="0"/>
          <w:marBottom w:val="0"/>
          <w:divBdr>
            <w:top w:val="none" w:sz="0" w:space="0" w:color="auto"/>
            <w:left w:val="none" w:sz="0" w:space="0" w:color="auto"/>
            <w:bottom w:val="none" w:sz="0" w:space="0" w:color="auto"/>
            <w:right w:val="none" w:sz="0" w:space="0" w:color="auto"/>
          </w:divBdr>
        </w:div>
        <w:div w:id="1795900576">
          <w:marLeft w:val="0"/>
          <w:marRight w:val="0"/>
          <w:marTop w:val="0"/>
          <w:marBottom w:val="0"/>
          <w:divBdr>
            <w:top w:val="none" w:sz="0" w:space="0" w:color="auto"/>
            <w:left w:val="none" w:sz="0" w:space="0" w:color="auto"/>
            <w:bottom w:val="none" w:sz="0" w:space="0" w:color="auto"/>
            <w:right w:val="none" w:sz="0" w:space="0" w:color="auto"/>
          </w:divBdr>
        </w:div>
        <w:div w:id="1307861056">
          <w:marLeft w:val="0"/>
          <w:marRight w:val="0"/>
          <w:marTop w:val="0"/>
          <w:marBottom w:val="0"/>
          <w:divBdr>
            <w:top w:val="none" w:sz="0" w:space="0" w:color="auto"/>
            <w:left w:val="none" w:sz="0" w:space="0" w:color="auto"/>
            <w:bottom w:val="none" w:sz="0" w:space="0" w:color="auto"/>
            <w:right w:val="none" w:sz="0" w:space="0" w:color="auto"/>
          </w:divBdr>
        </w:div>
        <w:div w:id="655183363">
          <w:marLeft w:val="0"/>
          <w:marRight w:val="0"/>
          <w:marTop w:val="0"/>
          <w:marBottom w:val="0"/>
          <w:divBdr>
            <w:top w:val="none" w:sz="0" w:space="0" w:color="auto"/>
            <w:left w:val="none" w:sz="0" w:space="0" w:color="auto"/>
            <w:bottom w:val="none" w:sz="0" w:space="0" w:color="auto"/>
            <w:right w:val="none" w:sz="0" w:space="0" w:color="auto"/>
          </w:divBdr>
        </w:div>
        <w:div w:id="1950431030">
          <w:marLeft w:val="0"/>
          <w:marRight w:val="0"/>
          <w:marTop w:val="0"/>
          <w:marBottom w:val="0"/>
          <w:divBdr>
            <w:top w:val="none" w:sz="0" w:space="0" w:color="auto"/>
            <w:left w:val="none" w:sz="0" w:space="0" w:color="auto"/>
            <w:bottom w:val="none" w:sz="0" w:space="0" w:color="auto"/>
            <w:right w:val="none" w:sz="0" w:space="0" w:color="auto"/>
          </w:divBdr>
        </w:div>
        <w:div w:id="925841371">
          <w:marLeft w:val="0"/>
          <w:marRight w:val="0"/>
          <w:marTop w:val="0"/>
          <w:marBottom w:val="0"/>
          <w:divBdr>
            <w:top w:val="none" w:sz="0" w:space="0" w:color="auto"/>
            <w:left w:val="none" w:sz="0" w:space="0" w:color="auto"/>
            <w:bottom w:val="none" w:sz="0" w:space="0" w:color="auto"/>
            <w:right w:val="none" w:sz="0" w:space="0" w:color="auto"/>
          </w:divBdr>
        </w:div>
        <w:div w:id="1458716745">
          <w:marLeft w:val="0"/>
          <w:marRight w:val="0"/>
          <w:marTop w:val="0"/>
          <w:marBottom w:val="0"/>
          <w:divBdr>
            <w:top w:val="none" w:sz="0" w:space="0" w:color="auto"/>
            <w:left w:val="none" w:sz="0" w:space="0" w:color="auto"/>
            <w:bottom w:val="none" w:sz="0" w:space="0" w:color="auto"/>
            <w:right w:val="none" w:sz="0" w:space="0" w:color="auto"/>
          </w:divBdr>
        </w:div>
        <w:div w:id="1505782658">
          <w:marLeft w:val="0"/>
          <w:marRight w:val="0"/>
          <w:marTop w:val="0"/>
          <w:marBottom w:val="0"/>
          <w:divBdr>
            <w:top w:val="none" w:sz="0" w:space="0" w:color="auto"/>
            <w:left w:val="none" w:sz="0" w:space="0" w:color="auto"/>
            <w:bottom w:val="none" w:sz="0" w:space="0" w:color="auto"/>
            <w:right w:val="none" w:sz="0" w:space="0" w:color="auto"/>
          </w:divBdr>
        </w:div>
        <w:div w:id="356472511">
          <w:marLeft w:val="0"/>
          <w:marRight w:val="0"/>
          <w:marTop w:val="0"/>
          <w:marBottom w:val="0"/>
          <w:divBdr>
            <w:top w:val="none" w:sz="0" w:space="0" w:color="auto"/>
            <w:left w:val="none" w:sz="0" w:space="0" w:color="auto"/>
            <w:bottom w:val="none" w:sz="0" w:space="0" w:color="auto"/>
            <w:right w:val="none" w:sz="0" w:space="0" w:color="auto"/>
          </w:divBdr>
        </w:div>
        <w:div w:id="1979650504">
          <w:marLeft w:val="0"/>
          <w:marRight w:val="0"/>
          <w:marTop w:val="0"/>
          <w:marBottom w:val="0"/>
          <w:divBdr>
            <w:top w:val="none" w:sz="0" w:space="0" w:color="auto"/>
            <w:left w:val="none" w:sz="0" w:space="0" w:color="auto"/>
            <w:bottom w:val="none" w:sz="0" w:space="0" w:color="auto"/>
            <w:right w:val="none" w:sz="0" w:space="0" w:color="auto"/>
          </w:divBdr>
        </w:div>
        <w:div w:id="697118668">
          <w:marLeft w:val="0"/>
          <w:marRight w:val="0"/>
          <w:marTop w:val="0"/>
          <w:marBottom w:val="0"/>
          <w:divBdr>
            <w:top w:val="none" w:sz="0" w:space="0" w:color="auto"/>
            <w:left w:val="none" w:sz="0" w:space="0" w:color="auto"/>
            <w:bottom w:val="none" w:sz="0" w:space="0" w:color="auto"/>
            <w:right w:val="none" w:sz="0" w:space="0" w:color="auto"/>
          </w:divBdr>
        </w:div>
        <w:div w:id="1179124146">
          <w:marLeft w:val="0"/>
          <w:marRight w:val="0"/>
          <w:marTop w:val="0"/>
          <w:marBottom w:val="0"/>
          <w:divBdr>
            <w:top w:val="none" w:sz="0" w:space="0" w:color="auto"/>
            <w:left w:val="none" w:sz="0" w:space="0" w:color="auto"/>
            <w:bottom w:val="none" w:sz="0" w:space="0" w:color="auto"/>
            <w:right w:val="none" w:sz="0" w:space="0" w:color="auto"/>
          </w:divBdr>
        </w:div>
        <w:div w:id="60375666">
          <w:marLeft w:val="0"/>
          <w:marRight w:val="0"/>
          <w:marTop w:val="0"/>
          <w:marBottom w:val="0"/>
          <w:divBdr>
            <w:top w:val="none" w:sz="0" w:space="0" w:color="auto"/>
            <w:left w:val="none" w:sz="0" w:space="0" w:color="auto"/>
            <w:bottom w:val="none" w:sz="0" w:space="0" w:color="auto"/>
            <w:right w:val="none" w:sz="0" w:space="0" w:color="auto"/>
          </w:divBdr>
        </w:div>
        <w:div w:id="734863476">
          <w:marLeft w:val="0"/>
          <w:marRight w:val="0"/>
          <w:marTop w:val="0"/>
          <w:marBottom w:val="0"/>
          <w:divBdr>
            <w:top w:val="none" w:sz="0" w:space="0" w:color="auto"/>
            <w:left w:val="none" w:sz="0" w:space="0" w:color="auto"/>
            <w:bottom w:val="none" w:sz="0" w:space="0" w:color="auto"/>
            <w:right w:val="none" w:sz="0" w:space="0" w:color="auto"/>
          </w:divBdr>
        </w:div>
      </w:divsChild>
    </w:div>
    <w:div w:id="33625055">
      <w:bodyDiv w:val="1"/>
      <w:marLeft w:val="0"/>
      <w:marRight w:val="0"/>
      <w:marTop w:val="0"/>
      <w:marBottom w:val="0"/>
      <w:divBdr>
        <w:top w:val="none" w:sz="0" w:space="0" w:color="auto"/>
        <w:left w:val="none" w:sz="0" w:space="0" w:color="auto"/>
        <w:bottom w:val="none" w:sz="0" w:space="0" w:color="auto"/>
        <w:right w:val="none" w:sz="0" w:space="0" w:color="auto"/>
      </w:divBdr>
    </w:div>
    <w:div w:id="36241436">
      <w:bodyDiv w:val="1"/>
      <w:marLeft w:val="0"/>
      <w:marRight w:val="0"/>
      <w:marTop w:val="0"/>
      <w:marBottom w:val="0"/>
      <w:divBdr>
        <w:top w:val="none" w:sz="0" w:space="0" w:color="auto"/>
        <w:left w:val="none" w:sz="0" w:space="0" w:color="auto"/>
        <w:bottom w:val="none" w:sz="0" w:space="0" w:color="auto"/>
        <w:right w:val="none" w:sz="0" w:space="0" w:color="auto"/>
      </w:divBdr>
      <w:divsChild>
        <w:div w:id="1684671190">
          <w:marLeft w:val="0"/>
          <w:marRight w:val="0"/>
          <w:marTop w:val="0"/>
          <w:marBottom w:val="0"/>
          <w:divBdr>
            <w:top w:val="none" w:sz="0" w:space="0" w:color="auto"/>
            <w:left w:val="none" w:sz="0" w:space="0" w:color="auto"/>
            <w:bottom w:val="none" w:sz="0" w:space="0" w:color="auto"/>
            <w:right w:val="none" w:sz="0" w:space="0" w:color="auto"/>
          </w:divBdr>
        </w:div>
        <w:div w:id="735015124">
          <w:marLeft w:val="0"/>
          <w:marRight w:val="0"/>
          <w:marTop w:val="0"/>
          <w:marBottom w:val="0"/>
          <w:divBdr>
            <w:top w:val="none" w:sz="0" w:space="0" w:color="auto"/>
            <w:left w:val="none" w:sz="0" w:space="0" w:color="auto"/>
            <w:bottom w:val="none" w:sz="0" w:space="0" w:color="auto"/>
            <w:right w:val="none" w:sz="0" w:space="0" w:color="auto"/>
          </w:divBdr>
        </w:div>
        <w:div w:id="202866640">
          <w:marLeft w:val="0"/>
          <w:marRight w:val="0"/>
          <w:marTop w:val="0"/>
          <w:marBottom w:val="0"/>
          <w:divBdr>
            <w:top w:val="none" w:sz="0" w:space="0" w:color="auto"/>
            <w:left w:val="none" w:sz="0" w:space="0" w:color="auto"/>
            <w:bottom w:val="none" w:sz="0" w:space="0" w:color="auto"/>
            <w:right w:val="none" w:sz="0" w:space="0" w:color="auto"/>
          </w:divBdr>
        </w:div>
        <w:div w:id="215358153">
          <w:marLeft w:val="0"/>
          <w:marRight w:val="0"/>
          <w:marTop w:val="0"/>
          <w:marBottom w:val="0"/>
          <w:divBdr>
            <w:top w:val="none" w:sz="0" w:space="0" w:color="auto"/>
            <w:left w:val="none" w:sz="0" w:space="0" w:color="auto"/>
            <w:bottom w:val="none" w:sz="0" w:space="0" w:color="auto"/>
            <w:right w:val="none" w:sz="0" w:space="0" w:color="auto"/>
          </w:divBdr>
        </w:div>
        <w:div w:id="661272433">
          <w:marLeft w:val="0"/>
          <w:marRight w:val="0"/>
          <w:marTop w:val="0"/>
          <w:marBottom w:val="0"/>
          <w:divBdr>
            <w:top w:val="none" w:sz="0" w:space="0" w:color="auto"/>
            <w:left w:val="none" w:sz="0" w:space="0" w:color="auto"/>
            <w:bottom w:val="none" w:sz="0" w:space="0" w:color="auto"/>
            <w:right w:val="none" w:sz="0" w:space="0" w:color="auto"/>
          </w:divBdr>
        </w:div>
        <w:div w:id="1882092376">
          <w:marLeft w:val="0"/>
          <w:marRight w:val="0"/>
          <w:marTop w:val="0"/>
          <w:marBottom w:val="0"/>
          <w:divBdr>
            <w:top w:val="none" w:sz="0" w:space="0" w:color="auto"/>
            <w:left w:val="none" w:sz="0" w:space="0" w:color="auto"/>
            <w:bottom w:val="none" w:sz="0" w:space="0" w:color="auto"/>
            <w:right w:val="none" w:sz="0" w:space="0" w:color="auto"/>
          </w:divBdr>
        </w:div>
        <w:div w:id="867447931">
          <w:marLeft w:val="0"/>
          <w:marRight w:val="0"/>
          <w:marTop w:val="0"/>
          <w:marBottom w:val="0"/>
          <w:divBdr>
            <w:top w:val="none" w:sz="0" w:space="0" w:color="auto"/>
            <w:left w:val="none" w:sz="0" w:space="0" w:color="auto"/>
            <w:bottom w:val="none" w:sz="0" w:space="0" w:color="auto"/>
            <w:right w:val="none" w:sz="0" w:space="0" w:color="auto"/>
          </w:divBdr>
        </w:div>
        <w:div w:id="1666591984">
          <w:marLeft w:val="0"/>
          <w:marRight w:val="0"/>
          <w:marTop w:val="0"/>
          <w:marBottom w:val="0"/>
          <w:divBdr>
            <w:top w:val="none" w:sz="0" w:space="0" w:color="auto"/>
            <w:left w:val="none" w:sz="0" w:space="0" w:color="auto"/>
            <w:bottom w:val="none" w:sz="0" w:space="0" w:color="auto"/>
            <w:right w:val="none" w:sz="0" w:space="0" w:color="auto"/>
          </w:divBdr>
        </w:div>
        <w:div w:id="453719494">
          <w:marLeft w:val="0"/>
          <w:marRight w:val="0"/>
          <w:marTop w:val="0"/>
          <w:marBottom w:val="0"/>
          <w:divBdr>
            <w:top w:val="none" w:sz="0" w:space="0" w:color="auto"/>
            <w:left w:val="none" w:sz="0" w:space="0" w:color="auto"/>
            <w:bottom w:val="none" w:sz="0" w:space="0" w:color="auto"/>
            <w:right w:val="none" w:sz="0" w:space="0" w:color="auto"/>
          </w:divBdr>
        </w:div>
        <w:div w:id="1945305130">
          <w:marLeft w:val="0"/>
          <w:marRight w:val="0"/>
          <w:marTop w:val="0"/>
          <w:marBottom w:val="0"/>
          <w:divBdr>
            <w:top w:val="none" w:sz="0" w:space="0" w:color="auto"/>
            <w:left w:val="none" w:sz="0" w:space="0" w:color="auto"/>
            <w:bottom w:val="none" w:sz="0" w:space="0" w:color="auto"/>
            <w:right w:val="none" w:sz="0" w:space="0" w:color="auto"/>
          </w:divBdr>
        </w:div>
        <w:div w:id="1272203554">
          <w:marLeft w:val="0"/>
          <w:marRight w:val="0"/>
          <w:marTop w:val="0"/>
          <w:marBottom w:val="0"/>
          <w:divBdr>
            <w:top w:val="none" w:sz="0" w:space="0" w:color="auto"/>
            <w:left w:val="none" w:sz="0" w:space="0" w:color="auto"/>
            <w:bottom w:val="none" w:sz="0" w:space="0" w:color="auto"/>
            <w:right w:val="none" w:sz="0" w:space="0" w:color="auto"/>
          </w:divBdr>
        </w:div>
        <w:div w:id="941451978">
          <w:marLeft w:val="0"/>
          <w:marRight w:val="0"/>
          <w:marTop w:val="0"/>
          <w:marBottom w:val="0"/>
          <w:divBdr>
            <w:top w:val="none" w:sz="0" w:space="0" w:color="auto"/>
            <w:left w:val="none" w:sz="0" w:space="0" w:color="auto"/>
            <w:bottom w:val="none" w:sz="0" w:space="0" w:color="auto"/>
            <w:right w:val="none" w:sz="0" w:space="0" w:color="auto"/>
          </w:divBdr>
        </w:div>
        <w:div w:id="1929775874">
          <w:marLeft w:val="0"/>
          <w:marRight w:val="0"/>
          <w:marTop w:val="0"/>
          <w:marBottom w:val="0"/>
          <w:divBdr>
            <w:top w:val="none" w:sz="0" w:space="0" w:color="auto"/>
            <w:left w:val="none" w:sz="0" w:space="0" w:color="auto"/>
            <w:bottom w:val="none" w:sz="0" w:space="0" w:color="auto"/>
            <w:right w:val="none" w:sz="0" w:space="0" w:color="auto"/>
          </w:divBdr>
        </w:div>
        <w:div w:id="1438986527">
          <w:marLeft w:val="0"/>
          <w:marRight w:val="0"/>
          <w:marTop w:val="0"/>
          <w:marBottom w:val="0"/>
          <w:divBdr>
            <w:top w:val="none" w:sz="0" w:space="0" w:color="auto"/>
            <w:left w:val="none" w:sz="0" w:space="0" w:color="auto"/>
            <w:bottom w:val="none" w:sz="0" w:space="0" w:color="auto"/>
            <w:right w:val="none" w:sz="0" w:space="0" w:color="auto"/>
          </w:divBdr>
        </w:div>
      </w:divsChild>
    </w:div>
    <w:div w:id="118955063">
      <w:bodyDiv w:val="1"/>
      <w:marLeft w:val="0"/>
      <w:marRight w:val="0"/>
      <w:marTop w:val="0"/>
      <w:marBottom w:val="0"/>
      <w:divBdr>
        <w:top w:val="none" w:sz="0" w:space="0" w:color="auto"/>
        <w:left w:val="none" w:sz="0" w:space="0" w:color="auto"/>
        <w:bottom w:val="none" w:sz="0" w:space="0" w:color="auto"/>
        <w:right w:val="none" w:sz="0" w:space="0" w:color="auto"/>
      </w:divBdr>
      <w:divsChild>
        <w:div w:id="2027361260">
          <w:marLeft w:val="0"/>
          <w:marRight w:val="0"/>
          <w:marTop w:val="0"/>
          <w:marBottom w:val="0"/>
          <w:divBdr>
            <w:top w:val="none" w:sz="0" w:space="0" w:color="auto"/>
            <w:left w:val="none" w:sz="0" w:space="0" w:color="auto"/>
            <w:bottom w:val="none" w:sz="0" w:space="0" w:color="auto"/>
            <w:right w:val="none" w:sz="0" w:space="0" w:color="auto"/>
          </w:divBdr>
        </w:div>
        <w:div w:id="1654136271">
          <w:marLeft w:val="0"/>
          <w:marRight w:val="0"/>
          <w:marTop w:val="0"/>
          <w:marBottom w:val="0"/>
          <w:divBdr>
            <w:top w:val="none" w:sz="0" w:space="0" w:color="auto"/>
            <w:left w:val="none" w:sz="0" w:space="0" w:color="auto"/>
            <w:bottom w:val="none" w:sz="0" w:space="0" w:color="auto"/>
            <w:right w:val="none" w:sz="0" w:space="0" w:color="auto"/>
          </w:divBdr>
        </w:div>
        <w:div w:id="764957715">
          <w:marLeft w:val="0"/>
          <w:marRight w:val="0"/>
          <w:marTop w:val="0"/>
          <w:marBottom w:val="0"/>
          <w:divBdr>
            <w:top w:val="none" w:sz="0" w:space="0" w:color="auto"/>
            <w:left w:val="none" w:sz="0" w:space="0" w:color="auto"/>
            <w:bottom w:val="none" w:sz="0" w:space="0" w:color="auto"/>
            <w:right w:val="none" w:sz="0" w:space="0" w:color="auto"/>
          </w:divBdr>
        </w:div>
        <w:div w:id="1973897699">
          <w:marLeft w:val="0"/>
          <w:marRight w:val="0"/>
          <w:marTop w:val="0"/>
          <w:marBottom w:val="0"/>
          <w:divBdr>
            <w:top w:val="none" w:sz="0" w:space="0" w:color="auto"/>
            <w:left w:val="none" w:sz="0" w:space="0" w:color="auto"/>
            <w:bottom w:val="none" w:sz="0" w:space="0" w:color="auto"/>
            <w:right w:val="none" w:sz="0" w:space="0" w:color="auto"/>
          </w:divBdr>
        </w:div>
        <w:div w:id="588084401">
          <w:marLeft w:val="0"/>
          <w:marRight w:val="0"/>
          <w:marTop w:val="0"/>
          <w:marBottom w:val="0"/>
          <w:divBdr>
            <w:top w:val="none" w:sz="0" w:space="0" w:color="auto"/>
            <w:left w:val="none" w:sz="0" w:space="0" w:color="auto"/>
            <w:bottom w:val="none" w:sz="0" w:space="0" w:color="auto"/>
            <w:right w:val="none" w:sz="0" w:space="0" w:color="auto"/>
          </w:divBdr>
        </w:div>
        <w:div w:id="1617326984">
          <w:marLeft w:val="0"/>
          <w:marRight w:val="0"/>
          <w:marTop w:val="0"/>
          <w:marBottom w:val="0"/>
          <w:divBdr>
            <w:top w:val="none" w:sz="0" w:space="0" w:color="auto"/>
            <w:left w:val="none" w:sz="0" w:space="0" w:color="auto"/>
            <w:bottom w:val="none" w:sz="0" w:space="0" w:color="auto"/>
            <w:right w:val="none" w:sz="0" w:space="0" w:color="auto"/>
          </w:divBdr>
        </w:div>
        <w:div w:id="1413502187">
          <w:marLeft w:val="0"/>
          <w:marRight w:val="0"/>
          <w:marTop w:val="0"/>
          <w:marBottom w:val="0"/>
          <w:divBdr>
            <w:top w:val="none" w:sz="0" w:space="0" w:color="auto"/>
            <w:left w:val="none" w:sz="0" w:space="0" w:color="auto"/>
            <w:bottom w:val="none" w:sz="0" w:space="0" w:color="auto"/>
            <w:right w:val="none" w:sz="0" w:space="0" w:color="auto"/>
          </w:divBdr>
        </w:div>
        <w:div w:id="1486240307">
          <w:marLeft w:val="0"/>
          <w:marRight w:val="0"/>
          <w:marTop w:val="0"/>
          <w:marBottom w:val="0"/>
          <w:divBdr>
            <w:top w:val="none" w:sz="0" w:space="0" w:color="auto"/>
            <w:left w:val="none" w:sz="0" w:space="0" w:color="auto"/>
            <w:bottom w:val="none" w:sz="0" w:space="0" w:color="auto"/>
            <w:right w:val="none" w:sz="0" w:space="0" w:color="auto"/>
          </w:divBdr>
        </w:div>
        <w:div w:id="1386249077">
          <w:marLeft w:val="0"/>
          <w:marRight w:val="0"/>
          <w:marTop w:val="0"/>
          <w:marBottom w:val="0"/>
          <w:divBdr>
            <w:top w:val="none" w:sz="0" w:space="0" w:color="auto"/>
            <w:left w:val="none" w:sz="0" w:space="0" w:color="auto"/>
            <w:bottom w:val="none" w:sz="0" w:space="0" w:color="auto"/>
            <w:right w:val="none" w:sz="0" w:space="0" w:color="auto"/>
          </w:divBdr>
        </w:div>
        <w:div w:id="1480658936">
          <w:marLeft w:val="0"/>
          <w:marRight w:val="0"/>
          <w:marTop w:val="0"/>
          <w:marBottom w:val="0"/>
          <w:divBdr>
            <w:top w:val="none" w:sz="0" w:space="0" w:color="auto"/>
            <w:left w:val="none" w:sz="0" w:space="0" w:color="auto"/>
            <w:bottom w:val="none" w:sz="0" w:space="0" w:color="auto"/>
            <w:right w:val="none" w:sz="0" w:space="0" w:color="auto"/>
          </w:divBdr>
        </w:div>
        <w:div w:id="725180454">
          <w:marLeft w:val="0"/>
          <w:marRight w:val="0"/>
          <w:marTop w:val="0"/>
          <w:marBottom w:val="0"/>
          <w:divBdr>
            <w:top w:val="none" w:sz="0" w:space="0" w:color="auto"/>
            <w:left w:val="none" w:sz="0" w:space="0" w:color="auto"/>
            <w:bottom w:val="none" w:sz="0" w:space="0" w:color="auto"/>
            <w:right w:val="none" w:sz="0" w:space="0" w:color="auto"/>
          </w:divBdr>
        </w:div>
        <w:div w:id="1137407691">
          <w:marLeft w:val="0"/>
          <w:marRight w:val="0"/>
          <w:marTop w:val="0"/>
          <w:marBottom w:val="0"/>
          <w:divBdr>
            <w:top w:val="none" w:sz="0" w:space="0" w:color="auto"/>
            <w:left w:val="none" w:sz="0" w:space="0" w:color="auto"/>
            <w:bottom w:val="none" w:sz="0" w:space="0" w:color="auto"/>
            <w:right w:val="none" w:sz="0" w:space="0" w:color="auto"/>
          </w:divBdr>
        </w:div>
        <w:div w:id="70540309">
          <w:marLeft w:val="0"/>
          <w:marRight w:val="0"/>
          <w:marTop w:val="0"/>
          <w:marBottom w:val="0"/>
          <w:divBdr>
            <w:top w:val="none" w:sz="0" w:space="0" w:color="auto"/>
            <w:left w:val="none" w:sz="0" w:space="0" w:color="auto"/>
            <w:bottom w:val="none" w:sz="0" w:space="0" w:color="auto"/>
            <w:right w:val="none" w:sz="0" w:space="0" w:color="auto"/>
          </w:divBdr>
        </w:div>
        <w:div w:id="1161308632">
          <w:marLeft w:val="0"/>
          <w:marRight w:val="0"/>
          <w:marTop w:val="0"/>
          <w:marBottom w:val="0"/>
          <w:divBdr>
            <w:top w:val="none" w:sz="0" w:space="0" w:color="auto"/>
            <w:left w:val="none" w:sz="0" w:space="0" w:color="auto"/>
            <w:bottom w:val="none" w:sz="0" w:space="0" w:color="auto"/>
            <w:right w:val="none" w:sz="0" w:space="0" w:color="auto"/>
          </w:divBdr>
        </w:div>
        <w:div w:id="1193350071">
          <w:marLeft w:val="0"/>
          <w:marRight w:val="0"/>
          <w:marTop w:val="0"/>
          <w:marBottom w:val="0"/>
          <w:divBdr>
            <w:top w:val="none" w:sz="0" w:space="0" w:color="auto"/>
            <w:left w:val="none" w:sz="0" w:space="0" w:color="auto"/>
            <w:bottom w:val="none" w:sz="0" w:space="0" w:color="auto"/>
            <w:right w:val="none" w:sz="0" w:space="0" w:color="auto"/>
          </w:divBdr>
        </w:div>
        <w:div w:id="1573151577">
          <w:marLeft w:val="0"/>
          <w:marRight w:val="0"/>
          <w:marTop w:val="0"/>
          <w:marBottom w:val="0"/>
          <w:divBdr>
            <w:top w:val="none" w:sz="0" w:space="0" w:color="auto"/>
            <w:left w:val="none" w:sz="0" w:space="0" w:color="auto"/>
            <w:bottom w:val="none" w:sz="0" w:space="0" w:color="auto"/>
            <w:right w:val="none" w:sz="0" w:space="0" w:color="auto"/>
          </w:divBdr>
        </w:div>
        <w:div w:id="1922255578">
          <w:marLeft w:val="0"/>
          <w:marRight w:val="0"/>
          <w:marTop w:val="0"/>
          <w:marBottom w:val="0"/>
          <w:divBdr>
            <w:top w:val="none" w:sz="0" w:space="0" w:color="auto"/>
            <w:left w:val="none" w:sz="0" w:space="0" w:color="auto"/>
            <w:bottom w:val="none" w:sz="0" w:space="0" w:color="auto"/>
            <w:right w:val="none" w:sz="0" w:space="0" w:color="auto"/>
          </w:divBdr>
        </w:div>
        <w:div w:id="1034766312">
          <w:marLeft w:val="0"/>
          <w:marRight w:val="0"/>
          <w:marTop w:val="0"/>
          <w:marBottom w:val="0"/>
          <w:divBdr>
            <w:top w:val="none" w:sz="0" w:space="0" w:color="auto"/>
            <w:left w:val="none" w:sz="0" w:space="0" w:color="auto"/>
            <w:bottom w:val="none" w:sz="0" w:space="0" w:color="auto"/>
            <w:right w:val="none" w:sz="0" w:space="0" w:color="auto"/>
          </w:divBdr>
        </w:div>
        <w:div w:id="882255410">
          <w:marLeft w:val="0"/>
          <w:marRight w:val="0"/>
          <w:marTop w:val="0"/>
          <w:marBottom w:val="0"/>
          <w:divBdr>
            <w:top w:val="none" w:sz="0" w:space="0" w:color="auto"/>
            <w:left w:val="none" w:sz="0" w:space="0" w:color="auto"/>
            <w:bottom w:val="none" w:sz="0" w:space="0" w:color="auto"/>
            <w:right w:val="none" w:sz="0" w:space="0" w:color="auto"/>
          </w:divBdr>
        </w:div>
        <w:div w:id="1806389559">
          <w:marLeft w:val="0"/>
          <w:marRight w:val="0"/>
          <w:marTop w:val="0"/>
          <w:marBottom w:val="0"/>
          <w:divBdr>
            <w:top w:val="none" w:sz="0" w:space="0" w:color="auto"/>
            <w:left w:val="none" w:sz="0" w:space="0" w:color="auto"/>
            <w:bottom w:val="none" w:sz="0" w:space="0" w:color="auto"/>
            <w:right w:val="none" w:sz="0" w:space="0" w:color="auto"/>
          </w:divBdr>
        </w:div>
        <w:div w:id="1497768483">
          <w:marLeft w:val="0"/>
          <w:marRight w:val="0"/>
          <w:marTop w:val="0"/>
          <w:marBottom w:val="0"/>
          <w:divBdr>
            <w:top w:val="none" w:sz="0" w:space="0" w:color="auto"/>
            <w:left w:val="none" w:sz="0" w:space="0" w:color="auto"/>
            <w:bottom w:val="none" w:sz="0" w:space="0" w:color="auto"/>
            <w:right w:val="none" w:sz="0" w:space="0" w:color="auto"/>
          </w:divBdr>
        </w:div>
        <w:div w:id="540829405">
          <w:marLeft w:val="0"/>
          <w:marRight w:val="0"/>
          <w:marTop w:val="0"/>
          <w:marBottom w:val="0"/>
          <w:divBdr>
            <w:top w:val="none" w:sz="0" w:space="0" w:color="auto"/>
            <w:left w:val="none" w:sz="0" w:space="0" w:color="auto"/>
            <w:bottom w:val="none" w:sz="0" w:space="0" w:color="auto"/>
            <w:right w:val="none" w:sz="0" w:space="0" w:color="auto"/>
          </w:divBdr>
        </w:div>
        <w:div w:id="1691755696">
          <w:marLeft w:val="0"/>
          <w:marRight w:val="0"/>
          <w:marTop w:val="0"/>
          <w:marBottom w:val="0"/>
          <w:divBdr>
            <w:top w:val="none" w:sz="0" w:space="0" w:color="auto"/>
            <w:left w:val="none" w:sz="0" w:space="0" w:color="auto"/>
            <w:bottom w:val="none" w:sz="0" w:space="0" w:color="auto"/>
            <w:right w:val="none" w:sz="0" w:space="0" w:color="auto"/>
          </w:divBdr>
        </w:div>
        <w:div w:id="432478374">
          <w:marLeft w:val="0"/>
          <w:marRight w:val="0"/>
          <w:marTop w:val="0"/>
          <w:marBottom w:val="0"/>
          <w:divBdr>
            <w:top w:val="none" w:sz="0" w:space="0" w:color="auto"/>
            <w:left w:val="none" w:sz="0" w:space="0" w:color="auto"/>
            <w:bottom w:val="none" w:sz="0" w:space="0" w:color="auto"/>
            <w:right w:val="none" w:sz="0" w:space="0" w:color="auto"/>
          </w:divBdr>
        </w:div>
        <w:div w:id="964702100">
          <w:marLeft w:val="0"/>
          <w:marRight w:val="0"/>
          <w:marTop w:val="0"/>
          <w:marBottom w:val="0"/>
          <w:divBdr>
            <w:top w:val="none" w:sz="0" w:space="0" w:color="auto"/>
            <w:left w:val="none" w:sz="0" w:space="0" w:color="auto"/>
            <w:bottom w:val="none" w:sz="0" w:space="0" w:color="auto"/>
            <w:right w:val="none" w:sz="0" w:space="0" w:color="auto"/>
          </w:divBdr>
        </w:div>
        <w:div w:id="1486624466">
          <w:marLeft w:val="0"/>
          <w:marRight w:val="0"/>
          <w:marTop w:val="0"/>
          <w:marBottom w:val="0"/>
          <w:divBdr>
            <w:top w:val="none" w:sz="0" w:space="0" w:color="auto"/>
            <w:left w:val="none" w:sz="0" w:space="0" w:color="auto"/>
            <w:bottom w:val="none" w:sz="0" w:space="0" w:color="auto"/>
            <w:right w:val="none" w:sz="0" w:space="0" w:color="auto"/>
          </w:divBdr>
        </w:div>
        <w:div w:id="2004550008">
          <w:marLeft w:val="0"/>
          <w:marRight w:val="0"/>
          <w:marTop w:val="0"/>
          <w:marBottom w:val="0"/>
          <w:divBdr>
            <w:top w:val="none" w:sz="0" w:space="0" w:color="auto"/>
            <w:left w:val="none" w:sz="0" w:space="0" w:color="auto"/>
            <w:bottom w:val="none" w:sz="0" w:space="0" w:color="auto"/>
            <w:right w:val="none" w:sz="0" w:space="0" w:color="auto"/>
          </w:divBdr>
        </w:div>
        <w:div w:id="1920406642">
          <w:marLeft w:val="0"/>
          <w:marRight w:val="0"/>
          <w:marTop w:val="0"/>
          <w:marBottom w:val="0"/>
          <w:divBdr>
            <w:top w:val="none" w:sz="0" w:space="0" w:color="auto"/>
            <w:left w:val="none" w:sz="0" w:space="0" w:color="auto"/>
            <w:bottom w:val="none" w:sz="0" w:space="0" w:color="auto"/>
            <w:right w:val="none" w:sz="0" w:space="0" w:color="auto"/>
          </w:divBdr>
        </w:div>
        <w:div w:id="1790853681">
          <w:marLeft w:val="0"/>
          <w:marRight w:val="0"/>
          <w:marTop w:val="0"/>
          <w:marBottom w:val="0"/>
          <w:divBdr>
            <w:top w:val="none" w:sz="0" w:space="0" w:color="auto"/>
            <w:left w:val="none" w:sz="0" w:space="0" w:color="auto"/>
            <w:bottom w:val="none" w:sz="0" w:space="0" w:color="auto"/>
            <w:right w:val="none" w:sz="0" w:space="0" w:color="auto"/>
          </w:divBdr>
        </w:div>
        <w:div w:id="1588271649">
          <w:marLeft w:val="0"/>
          <w:marRight w:val="0"/>
          <w:marTop w:val="0"/>
          <w:marBottom w:val="0"/>
          <w:divBdr>
            <w:top w:val="none" w:sz="0" w:space="0" w:color="auto"/>
            <w:left w:val="none" w:sz="0" w:space="0" w:color="auto"/>
            <w:bottom w:val="none" w:sz="0" w:space="0" w:color="auto"/>
            <w:right w:val="none" w:sz="0" w:space="0" w:color="auto"/>
          </w:divBdr>
        </w:div>
        <w:div w:id="2060085688">
          <w:marLeft w:val="0"/>
          <w:marRight w:val="0"/>
          <w:marTop w:val="0"/>
          <w:marBottom w:val="0"/>
          <w:divBdr>
            <w:top w:val="none" w:sz="0" w:space="0" w:color="auto"/>
            <w:left w:val="none" w:sz="0" w:space="0" w:color="auto"/>
            <w:bottom w:val="none" w:sz="0" w:space="0" w:color="auto"/>
            <w:right w:val="none" w:sz="0" w:space="0" w:color="auto"/>
          </w:divBdr>
        </w:div>
        <w:div w:id="1717922899">
          <w:marLeft w:val="0"/>
          <w:marRight w:val="0"/>
          <w:marTop w:val="0"/>
          <w:marBottom w:val="0"/>
          <w:divBdr>
            <w:top w:val="none" w:sz="0" w:space="0" w:color="auto"/>
            <w:left w:val="none" w:sz="0" w:space="0" w:color="auto"/>
            <w:bottom w:val="none" w:sz="0" w:space="0" w:color="auto"/>
            <w:right w:val="none" w:sz="0" w:space="0" w:color="auto"/>
          </w:divBdr>
        </w:div>
        <w:div w:id="1180656196">
          <w:marLeft w:val="0"/>
          <w:marRight w:val="0"/>
          <w:marTop w:val="0"/>
          <w:marBottom w:val="0"/>
          <w:divBdr>
            <w:top w:val="none" w:sz="0" w:space="0" w:color="auto"/>
            <w:left w:val="none" w:sz="0" w:space="0" w:color="auto"/>
            <w:bottom w:val="none" w:sz="0" w:space="0" w:color="auto"/>
            <w:right w:val="none" w:sz="0" w:space="0" w:color="auto"/>
          </w:divBdr>
        </w:div>
        <w:div w:id="15808923">
          <w:marLeft w:val="0"/>
          <w:marRight w:val="0"/>
          <w:marTop w:val="0"/>
          <w:marBottom w:val="0"/>
          <w:divBdr>
            <w:top w:val="none" w:sz="0" w:space="0" w:color="auto"/>
            <w:left w:val="none" w:sz="0" w:space="0" w:color="auto"/>
            <w:bottom w:val="none" w:sz="0" w:space="0" w:color="auto"/>
            <w:right w:val="none" w:sz="0" w:space="0" w:color="auto"/>
          </w:divBdr>
        </w:div>
        <w:div w:id="2009290386">
          <w:marLeft w:val="0"/>
          <w:marRight w:val="0"/>
          <w:marTop w:val="0"/>
          <w:marBottom w:val="0"/>
          <w:divBdr>
            <w:top w:val="none" w:sz="0" w:space="0" w:color="auto"/>
            <w:left w:val="none" w:sz="0" w:space="0" w:color="auto"/>
            <w:bottom w:val="none" w:sz="0" w:space="0" w:color="auto"/>
            <w:right w:val="none" w:sz="0" w:space="0" w:color="auto"/>
          </w:divBdr>
        </w:div>
        <w:div w:id="1310093275">
          <w:marLeft w:val="0"/>
          <w:marRight w:val="0"/>
          <w:marTop w:val="0"/>
          <w:marBottom w:val="0"/>
          <w:divBdr>
            <w:top w:val="none" w:sz="0" w:space="0" w:color="auto"/>
            <w:left w:val="none" w:sz="0" w:space="0" w:color="auto"/>
            <w:bottom w:val="none" w:sz="0" w:space="0" w:color="auto"/>
            <w:right w:val="none" w:sz="0" w:space="0" w:color="auto"/>
          </w:divBdr>
        </w:div>
        <w:div w:id="1361052112">
          <w:marLeft w:val="0"/>
          <w:marRight w:val="0"/>
          <w:marTop w:val="0"/>
          <w:marBottom w:val="0"/>
          <w:divBdr>
            <w:top w:val="none" w:sz="0" w:space="0" w:color="auto"/>
            <w:left w:val="none" w:sz="0" w:space="0" w:color="auto"/>
            <w:bottom w:val="none" w:sz="0" w:space="0" w:color="auto"/>
            <w:right w:val="none" w:sz="0" w:space="0" w:color="auto"/>
          </w:divBdr>
        </w:div>
        <w:div w:id="227111888">
          <w:marLeft w:val="0"/>
          <w:marRight w:val="0"/>
          <w:marTop w:val="0"/>
          <w:marBottom w:val="0"/>
          <w:divBdr>
            <w:top w:val="none" w:sz="0" w:space="0" w:color="auto"/>
            <w:left w:val="none" w:sz="0" w:space="0" w:color="auto"/>
            <w:bottom w:val="none" w:sz="0" w:space="0" w:color="auto"/>
            <w:right w:val="none" w:sz="0" w:space="0" w:color="auto"/>
          </w:divBdr>
        </w:div>
        <w:div w:id="378941381">
          <w:marLeft w:val="0"/>
          <w:marRight w:val="0"/>
          <w:marTop w:val="0"/>
          <w:marBottom w:val="0"/>
          <w:divBdr>
            <w:top w:val="none" w:sz="0" w:space="0" w:color="auto"/>
            <w:left w:val="none" w:sz="0" w:space="0" w:color="auto"/>
            <w:bottom w:val="none" w:sz="0" w:space="0" w:color="auto"/>
            <w:right w:val="none" w:sz="0" w:space="0" w:color="auto"/>
          </w:divBdr>
        </w:div>
        <w:div w:id="532617435">
          <w:marLeft w:val="0"/>
          <w:marRight w:val="0"/>
          <w:marTop w:val="0"/>
          <w:marBottom w:val="0"/>
          <w:divBdr>
            <w:top w:val="none" w:sz="0" w:space="0" w:color="auto"/>
            <w:left w:val="none" w:sz="0" w:space="0" w:color="auto"/>
            <w:bottom w:val="none" w:sz="0" w:space="0" w:color="auto"/>
            <w:right w:val="none" w:sz="0" w:space="0" w:color="auto"/>
          </w:divBdr>
        </w:div>
        <w:div w:id="223225579">
          <w:marLeft w:val="0"/>
          <w:marRight w:val="0"/>
          <w:marTop w:val="0"/>
          <w:marBottom w:val="0"/>
          <w:divBdr>
            <w:top w:val="none" w:sz="0" w:space="0" w:color="auto"/>
            <w:left w:val="none" w:sz="0" w:space="0" w:color="auto"/>
            <w:bottom w:val="none" w:sz="0" w:space="0" w:color="auto"/>
            <w:right w:val="none" w:sz="0" w:space="0" w:color="auto"/>
          </w:divBdr>
        </w:div>
        <w:div w:id="526139123">
          <w:marLeft w:val="0"/>
          <w:marRight w:val="0"/>
          <w:marTop w:val="0"/>
          <w:marBottom w:val="0"/>
          <w:divBdr>
            <w:top w:val="none" w:sz="0" w:space="0" w:color="auto"/>
            <w:left w:val="none" w:sz="0" w:space="0" w:color="auto"/>
            <w:bottom w:val="none" w:sz="0" w:space="0" w:color="auto"/>
            <w:right w:val="none" w:sz="0" w:space="0" w:color="auto"/>
          </w:divBdr>
        </w:div>
        <w:div w:id="448941325">
          <w:marLeft w:val="0"/>
          <w:marRight w:val="0"/>
          <w:marTop w:val="0"/>
          <w:marBottom w:val="0"/>
          <w:divBdr>
            <w:top w:val="none" w:sz="0" w:space="0" w:color="auto"/>
            <w:left w:val="none" w:sz="0" w:space="0" w:color="auto"/>
            <w:bottom w:val="none" w:sz="0" w:space="0" w:color="auto"/>
            <w:right w:val="none" w:sz="0" w:space="0" w:color="auto"/>
          </w:divBdr>
        </w:div>
      </w:divsChild>
    </w:div>
    <w:div w:id="133372235">
      <w:bodyDiv w:val="1"/>
      <w:marLeft w:val="0"/>
      <w:marRight w:val="0"/>
      <w:marTop w:val="0"/>
      <w:marBottom w:val="0"/>
      <w:divBdr>
        <w:top w:val="none" w:sz="0" w:space="0" w:color="auto"/>
        <w:left w:val="none" w:sz="0" w:space="0" w:color="auto"/>
        <w:bottom w:val="none" w:sz="0" w:space="0" w:color="auto"/>
        <w:right w:val="none" w:sz="0" w:space="0" w:color="auto"/>
      </w:divBdr>
    </w:div>
    <w:div w:id="161748562">
      <w:bodyDiv w:val="1"/>
      <w:marLeft w:val="0"/>
      <w:marRight w:val="0"/>
      <w:marTop w:val="0"/>
      <w:marBottom w:val="0"/>
      <w:divBdr>
        <w:top w:val="none" w:sz="0" w:space="0" w:color="auto"/>
        <w:left w:val="none" w:sz="0" w:space="0" w:color="auto"/>
        <w:bottom w:val="none" w:sz="0" w:space="0" w:color="auto"/>
        <w:right w:val="none" w:sz="0" w:space="0" w:color="auto"/>
      </w:divBdr>
      <w:divsChild>
        <w:div w:id="1835876148">
          <w:marLeft w:val="0"/>
          <w:marRight w:val="0"/>
          <w:marTop w:val="0"/>
          <w:marBottom w:val="0"/>
          <w:divBdr>
            <w:top w:val="none" w:sz="0" w:space="0" w:color="auto"/>
            <w:left w:val="none" w:sz="0" w:space="0" w:color="auto"/>
            <w:bottom w:val="none" w:sz="0" w:space="0" w:color="auto"/>
            <w:right w:val="none" w:sz="0" w:space="0" w:color="auto"/>
          </w:divBdr>
        </w:div>
        <w:div w:id="1117606117">
          <w:marLeft w:val="0"/>
          <w:marRight w:val="0"/>
          <w:marTop w:val="0"/>
          <w:marBottom w:val="0"/>
          <w:divBdr>
            <w:top w:val="none" w:sz="0" w:space="0" w:color="auto"/>
            <w:left w:val="none" w:sz="0" w:space="0" w:color="auto"/>
            <w:bottom w:val="none" w:sz="0" w:space="0" w:color="auto"/>
            <w:right w:val="none" w:sz="0" w:space="0" w:color="auto"/>
          </w:divBdr>
        </w:div>
      </w:divsChild>
    </w:div>
    <w:div w:id="170724313">
      <w:bodyDiv w:val="1"/>
      <w:marLeft w:val="0"/>
      <w:marRight w:val="0"/>
      <w:marTop w:val="0"/>
      <w:marBottom w:val="0"/>
      <w:divBdr>
        <w:top w:val="none" w:sz="0" w:space="0" w:color="auto"/>
        <w:left w:val="none" w:sz="0" w:space="0" w:color="auto"/>
        <w:bottom w:val="none" w:sz="0" w:space="0" w:color="auto"/>
        <w:right w:val="none" w:sz="0" w:space="0" w:color="auto"/>
      </w:divBdr>
      <w:divsChild>
        <w:div w:id="1054811596">
          <w:marLeft w:val="0"/>
          <w:marRight w:val="0"/>
          <w:marTop w:val="0"/>
          <w:marBottom w:val="0"/>
          <w:divBdr>
            <w:top w:val="none" w:sz="0" w:space="0" w:color="auto"/>
            <w:left w:val="none" w:sz="0" w:space="0" w:color="auto"/>
            <w:bottom w:val="none" w:sz="0" w:space="0" w:color="auto"/>
            <w:right w:val="none" w:sz="0" w:space="0" w:color="auto"/>
          </w:divBdr>
        </w:div>
        <w:div w:id="287201506">
          <w:marLeft w:val="0"/>
          <w:marRight w:val="0"/>
          <w:marTop w:val="0"/>
          <w:marBottom w:val="0"/>
          <w:divBdr>
            <w:top w:val="none" w:sz="0" w:space="0" w:color="auto"/>
            <w:left w:val="none" w:sz="0" w:space="0" w:color="auto"/>
            <w:bottom w:val="none" w:sz="0" w:space="0" w:color="auto"/>
            <w:right w:val="none" w:sz="0" w:space="0" w:color="auto"/>
          </w:divBdr>
        </w:div>
        <w:div w:id="1997682110">
          <w:marLeft w:val="0"/>
          <w:marRight w:val="0"/>
          <w:marTop w:val="0"/>
          <w:marBottom w:val="0"/>
          <w:divBdr>
            <w:top w:val="none" w:sz="0" w:space="0" w:color="auto"/>
            <w:left w:val="none" w:sz="0" w:space="0" w:color="auto"/>
            <w:bottom w:val="none" w:sz="0" w:space="0" w:color="auto"/>
            <w:right w:val="none" w:sz="0" w:space="0" w:color="auto"/>
          </w:divBdr>
        </w:div>
        <w:div w:id="1233273044">
          <w:marLeft w:val="0"/>
          <w:marRight w:val="0"/>
          <w:marTop w:val="0"/>
          <w:marBottom w:val="0"/>
          <w:divBdr>
            <w:top w:val="none" w:sz="0" w:space="0" w:color="auto"/>
            <w:left w:val="none" w:sz="0" w:space="0" w:color="auto"/>
            <w:bottom w:val="none" w:sz="0" w:space="0" w:color="auto"/>
            <w:right w:val="none" w:sz="0" w:space="0" w:color="auto"/>
          </w:divBdr>
        </w:div>
        <w:div w:id="599486012">
          <w:marLeft w:val="0"/>
          <w:marRight w:val="0"/>
          <w:marTop w:val="0"/>
          <w:marBottom w:val="0"/>
          <w:divBdr>
            <w:top w:val="none" w:sz="0" w:space="0" w:color="auto"/>
            <w:left w:val="none" w:sz="0" w:space="0" w:color="auto"/>
            <w:bottom w:val="none" w:sz="0" w:space="0" w:color="auto"/>
            <w:right w:val="none" w:sz="0" w:space="0" w:color="auto"/>
          </w:divBdr>
        </w:div>
      </w:divsChild>
    </w:div>
    <w:div w:id="182986507">
      <w:bodyDiv w:val="1"/>
      <w:marLeft w:val="0"/>
      <w:marRight w:val="0"/>
      <w:marTop w:val="0"/>
      <w:marBottom w:val="0"/>
      <w:divBdr>
        <w:top w:val="none" w:sz="0" w:space="0" w:color="auto"/>
        <w:left w:val="none" w:sz="0" w:space="0" w:color="auto"/>
        <w:bottom w:val="none" w:sz="0" w:space="0" w:color="auto"/>
        <w:right w:val="none" w:sz="0" w:space="0" w:color="auto"/>
      </w:divBdr>
      <w:divsChild>
        <w:div w:id="1275139752">
          <w:marLeft w:val="0"/>
          <w:marRight w:val="0"/>
          <w:marTop w:val="0"/>
          <w:marBottom w:val="0"/>
          <w:divBdr>
            <w:top w:val="none" w:sz="0" w:space="0" w:color="auto"/>
            <w:left w:val="none" w:sz="0" w:space="0" w:color="auto"/>
            <w:bottom w:val="none" w:sz="0" w:space="0" w:color="auto"/>
            <w:right w:val="none" w:sz="0" w:space="0" w:color="auto"/>
          </w:divBdr>
        </w:div>
        <w:div w:id="693727256">
          <w:marLeft w:val="0"/>
          <w:marRight w:val="0"/>
          <w:marTop w:val="0"/>
          <w:marBottom w:val="0"/>
          <w:divBdr>
            <w:top w:val="none" w:sz="0" w:space="0" w:color="auto"/>
            <w:left w:val="none" w:sz="0" w:space="0" w:color="auto"/>
            <w:bottom w:val="none" w:sz="0" w:space="0" w:color="auto"/>
            <w:right w:val="none" w:sz="0" w:space="0" w:color="auto"/>
          </w:divBdr>
        </w:div>
        <w:div w:id="1675496131">
          <w:marLeft w:val="0"/>
          <w:marRight w:val="0"/>
          <w:marTop w:val="0"/>
          <w:marBottom w:val="0"/>
          <w:divBdr>
            <w:top w:val="none" w:sz="0" w:space="0" w:color="auto"/>
            <w:left w:val="none" w:sz="0" w:space="0" w:color="auto"/>
            <w:bottom w:val="none" w:sz="0" w:space="0" w:color="auto"/>
            <w:right w:val="none" w:sz="0" w:space="0" w:color="auto"/>
          </w:divBdr>
        </w:div>
        <w:div w:id="1975020170">
          <w:marLeft w:val="0"/>
          <w:marRight w:val="0"/>
          <w:marTop w:val="0"/>
          <w:marBottom w:val="0"/>
          <w:divBdr>
            <w:top w:val="none" w:sz="0" w:space="0" w:color="auto"/>
            <w:left w:val="none" w:sz="0" w:space="0" w:color="auto"/>
            <w:bottom w:val="none" w:sz="0" w:space="0" w:color="auto"/>
            <w:right w:val="none" w:sz="0" w:space="0" w:color="auto"/>
          </w:divBdr>
        </w:div>
        <w:div w:id="1581910291">
          <w:marLeft w:val="0"/>
          <w:marRight w:val="0"/>
          <w:marTop w:val="0"/>
          <w:marBottom w:val="0"/>
          <w:divBdr>
            <w:top w:val="none" w:sz="0" w:space="0" w:color="auto"/>
            <w:left w:val="none" w:sz="0" w:space="0" w:color="auto"/>
            <w:bottom w:val="none" w:sz="0" w:space="0" w:color="auto"/>
            <w:right w:val="none" w:sz="0" w:space="0" w:color="auto"/>
          </w:divBdr>
        </w:div>
        <w:div w:id="832526943">
          <w:marLeft w:val="0"/>
          <w:marRight w:val="0"/>
          <w:marTop w:val="0"/>
          <w:marBottom w:val="0"/>
          <w:divBdr>
            <w:top w:val="none" w:sz="0" w:space="0" w:color="auto"/>
            <w:left w:val="none" w:sz="0" w:space="0" w:color="auto"/>
            <w:bottom w:val="none" w:sz="0" w:space="0" w:color="auto"/>
            <w:right w:val="none" w:sz="0" w:space="0" w:color="auto"/>
          </w:divBdr>
        </w:div>
        <w:div w:id="116148513">
          <w:marLeft w:val="0"/>
          <w:marRight w:val="0"/>
          <w:marTop w:val="0"/>
          <w:marBottom w:val="0"/>
          <w:divBdr>
            <w:top w:val="none" w:sz="0" w:space="0" w:color="auto"/>
            <w:left w:val="none" w:sz="0" w:space="0" w:color="auto"/>
            <w:bottom w:val="none" w:sz="0" w:space="0" w:color="auto"/>
            <w:right w:val="none" w:sz="0" w:space="0" w:color="auto"/>
          </w:divBdr>
        </w:div>
        <w:div w:id="39136885">
          <w:marLeft w:val="0"/>
          <w:marRight w:val="0"/>
          <w:marTop w:val="0"/>
          <w:marBottom w:val="0"/>
          <w:divBdr>
            <w:top w:val="none" w:sz="0" w:space="0" w:color="auto"/>
            <w:left w:val="none" w:sz="0" w:space="0" w:color="auto"/>
            <w:bottom w:val="none" w:sz="0" w:space="0" w:color="auto"/>
            <w:right w:val="none" w:sz="0" w:space="0" w:color="auto"/>
          </w:divBdr>
        </w:div>
        <w:div w:id="1538817529">
          <w:marLeft w:val="0"/>
          <w:marRight w:val="0"/>
          <w:marTop w:val="0"/>
          <w:marBottom w:val="0"/>
          <w:divBdr>
            <w:top w:val="none" w:sz="0" w:space="0" w:color="auto"/>
            <w:left w:val="none" w:sz="0" w:space="0" w:color="auto"/>
            <w:bottom w:val="none" w:sz="0" w:space="0" w:color="auto"/>
            <w:right w:val="none" w:sz="0" w:space="0" w:color="auto"/>
          </w:divBdr>
        </w:div>
        <w:div w:id="1947617486">
          <w:marLeft w:val="0"/>
          <w:marRight w:val="0"/>
          <w:marTop w:val="0"/>
          <w:marBottom w:val="0"/>
          <w:divBdr>
            <w:top w:val="none" w:sz="0" w:space="0" w:color="auto"/>
            <w:left w:val="none" w:sz="0" w:space="0" w:color="auto"/>
            <w:bottom w:val="none" w:sz="0" w:space="0" w:color="auto"/>
            <w:right w:val="none" w:sz="0" w:space="0" w:color="auto"/>
          </w:divBdr>
        </w:div>
        <w:div w:id="577252481">
          <w:marLeft w:val="0"/>
          <w:marRight w:val="0"/>
          <w:marTop w:val="0"/>
          <w:marBottom w:val="0"/>
          <w:divBdr>
            <w:top w:val="none" w:sz="0" w:space="0" w:color="auto"/>
            <w:left w:val="none" w:sz="0" w:space="0" w:color="auto"/>
            <w:bottom w:val="none" w:sz="0" w:space="0" w:color="auto"/>
            <w:right w:val="none" w:sz="0" w:space="0" w:color="auto"/>
          </w:divBdr>
        </w:div>
        <w:div w:id="1836533302">
          <w:marLeft w:val="0"/>
          <w:marRight w:val="0"/>
          <w:marTop w:val="0"/>
          <w:marBottom w:val="0"/>
          <w:divBdr>
            <w:top w:val="none" w:sz="0" w:space="0" w:color="auto"/>
            <w:left w:val="none" w:sz="0" w:space="0" w:color="auto"/>
            <w:bottom w:val="none" w:sz="0" w:space="0" w:color="auto"/>
            <w:right w:val="none" w:sz="0" w:space="0" w:color="auto"/>
          </w:divBdr>
        </w:div>
        <w:div w:id="484663777">
          <w:marLeft w:val="0"/>
          <w:marRight w:val="0"/>
          <w:marTop w:val="0"/>
          <w:marBottom w:val="0"/>
          <w:divBdr>
            <w:top w:val="none" w:sz="0" w:space="0" w:color="auto"/>
            <w:left w:val="none" w:sz="0" w:space="0" w:color="auto"/>
            <w:bottom w:val="none" w:sz="0" w:space="0" w:color="auto"/>
            <w:right w:val="none" w:sz="0" w:space="0" w:color="auto"/>
          </w:divBdr>
        </w:div>
        <w:div w:id="503126155">
          <w:marLeft w:val="0"/>
          <w:marRight w:val="0"/>
          <w:marTop w:val="0"/>
          <w:marBottom w:val="0"/>
          <w:divBdr>
            <w:top w:val="none" w:sz="0" w:space="0" w:color="auto"/>
            <w:left w:val="none" w:sz="0" w:space="0" w:color="auto"/>
            <w:bottom w:val="none" w:sz="0" w:space="0" w:color="auto"/>
            <w:right w:val="none" w:sz="0" w:space="0" w:color="auto"/>
          </w:divBdr>
        </w:div>
        <w:div w:id="595133764">
          <w:marLeft w:val="0"/>
          <w:marRight w:val="0"/>
          <w:marTop w:val="0"/>
          <w:marBottom w:val="0"/>
          <w:divBdr>
            <w:top w:val="none" w:sz="0" w:space="0" w:color="auto"/>
            <w:left w:val="none" w:sz="0" w:space="0" w:color="auto"/>
            <w:bottom w:val="none" w:sz="0" w:space="0" w:color="auto"/>
            <w:right w:val="none" w:sz="0" w:space="0" w:color="auto"/>
          </w:divBdr>
        </w:div>
        <w:div w:id="192505082">
          <w:marLeft w:val="0"/>
          <w:marRight w:val="0"/>
          <w:marTop w:val="0"/>
          <w:marBottom w:val="0"/>
          <w:divBdr>
            <w:top w:val="none" w:sz="0" w:space="0" w:color="auto"/>
            <w:left w:val="none" w:sz="0" w:space="0" w:color="auto"/>
            <w:bottom w:val="none" w:sz="0" w:space="0" w:color="auto"/>
            <w:right w:val="none" w:sz="0" w:space="0" w:color="auto"/>
          </w:divBdr>
        </w:div>
        <w:div w:id="1595093655">
          <w:marLeft w:val="0"/>
          <w:marRight w:val="0"/>
          <w:marTop w:val="0"/>
          <w:marBottom w:val="0"/>
          <w:divBdr>
            <w:top w:val="none" w:sz="0" w:space="0" w:color="auto"/>
            <w:left w:val="none" w:sz="0" w:space="0" w:color="auto"/>
            <w:bottom w:val="none" w:sz="0" w:space="0" w:color="auto"/>
            <w:right w:val="none" w:sz="0" w:space="0" w:color="auto"/>
          </w:divBdr>
        </w:div>
        <w:div w:id="1813670423">
          <w:marLeft w:val="0"/>
          <w:marRight w:val="0"/>
          <w:marTop w:val="0"/>
          <w:marBottom w:val="0"/>
          <w:divBdr>
            <w:top w:val="none" w:sz="0" w:space="0" w:color="auto"/>
            <w:left w:val="none" w:sz="0" w:space="0" w:color="auto"/>
            <w:bottom w:val="none" w:sz="0" w:space="0" w:color="auto"/>
            <w:right w:val="none" w:sz="0" w:space="0" w:color="auto"/>
          </w:divBdr>
        </w:div>
        <w:div w:id="183173814">
          <w:marLeft w:val="0"/>
          <w:marRight w:val="0"/>
          <w:marTop w:val="0"/>
          <w:marBottom w:val="0"/>
          <w:divBdr>
            <w:top w:val="none" w:sz="0" w:space="0" w:color="auto"/>
            <w:left w:val="none" w:sz="0" w:space="0" w:color="auto"/>
            <w:bottom w:val="none" w:sz="0" w:space="0" w:color="auto"/>
            <w:right w:val="none" w:sz="0" w:space="0" w:color="auto"/>
          </w:divBdr>
        </w:div>
        <w:div w:id="223223326">
          <w:marLeft w:val="0"/>
          <w:marRight w:val="0"/>
          <w:marTop w:val="0"/>
          <w:marBottom w:val="0"/>
          <w:divBdr>
            <w:top w:val="none" w:sz="0" w:space="0" w:color="auto"/>
            <w:left w:val="none" w:sz="0" w:space="0" w:color="auto"/>
            <w:bottom w:val="none" w:sz="0" w:space="0" w:color="auto"/>
            <w:right w:val="none" w:sz="0" w:space="0" w:color="auto"/>
          </w:divBdr>
        </w:div>
        <w:div w:id="1672030053">
          <w:marLeft w:val="0"/>
          <w:marRight w:val="0"/>
          <w:marTop w:val="0"/>
          <w:marBottom w:val="0"/>
          <w:divBdr>
            <w:top w:val="none" w:sz="0" w:space="0" w:color="auto"/>
            <w:left w:val="none" w:sz="0" w:space="0" w:color="auto"/>
            <w:bottom w:val="none" w:sz="0" w:space="0" w:color="auto"/>
            <w:right w:val="none" w:sz="0" w:space="0" w:color="auto"/>
          </w:divBdr>
        </w:div>
        <w:div w:id="1480223986">
          <w:marLeft w:val="0"/>
          <w:marRight w:val="0"/>
          <w:marTop w:val="0"/>
          <w:marBottom w:val="0"/>
          <w:divBdr>
            <w:top w:val="none" w:sz="0" w:space="0" w:color="auto"/>
            <w:left w:val="none" w:sz="0" w:space="0" w:color="auto"/>
            <w:bottom w:val="none" w:sz="0" w:space="0" w:color="auto"/>
            <w:right w:val="none" w:sz="0" w:space="0" w:color="auto"/>
          </w:divBdr>
        </w:div>
        <w:div w:id="715814069">
          <w:marLeft w:val="0"/>
          <w:marRight w:val="0"/>
          <w:marTop w:val="0"/>
          <w:marBottom w:val="0"/>
          <w:divBdr>
            <w:top w:val="none" w:sz="0" w:space="0" w:color="auto"/>
            <w:left w:val="none" w:sz="0" w:space="0" w:color="auto"/>
            <w:bottom w:val="none" w:sz="0" w:space="0" w:color="auto"/>
            <w:right w:val="none" w:sz="0" w:space="0" w:color="auto"/>
          </w:divBdr>
        </w:div>
        <w:div w:id="1827044618">
          <w:marLeft w:val="0"/>
          <w:marRight w:val="0"/>
          <w:marTop w:val="0"/>
          <w:marBottom w:val="0"/>
          <w:divBdr>
            <w:top w:val="none" w:sz="0" w:space="0" w:color="auto"/>
            <w:left w:val="none" w:sz="0" w:space="0" w:color="auto"/>
            <w:bottom w:val="none" w:sz="0" w:space="0" w:color="auto"/>
            <w:right w:val="none" w:sz="0" w:space="0" w:color="auto"/>
          </w:divBdr>
        </w:div>
        <w:div w:id="549731511">
          <w:marLeft w:val="0"/>
          <w:marRight w:val="0"/>
          <w:marTop w:val="0"/>
          <w:marBottom w:val="0"/>
          <w:divBdr>
            <w:top w:val="none" w:sz="0" w:space="0" w:color="auto"/>
            <w:left w:val="none" w:sz="0" w:space="0" w:color="auto"/>
            <w:bottom w:val="none" w:sz="0" w:space="0" w:color="auto"/>
            <w:right w:val="none" w:sz="0" w:space="0" w:color="auto"/>
          </w:divBdr>
        </w:div>
        <w:div w:id="1419136189">
          <w:marLeft w:val="0"/>
          <w:marRight w:val="0"/>
          <w:marTop w:val="0"/>
          <w:marBottom w:val="0"/>
          <w:divBdr>
            <w:top w:val="none" w:sz="0" w:space="0" w:color="auto"/>
            <w:left w:val="none" w:sz="0" w:space="0" w:color="auto"/>
            <w:bottom w:val="none" w:sz="0" w:space="0" w:color="auto"/>
            <w:right w:val="none" w:sz="0" w:space="0" w:color="auto"/>
          </w:divBdr>
        </w:div>
        <w:div w:id="430509328">
          <w:marLeft w:val="0"/>
          <w:marRight w:val="0"/>
          <w:marTop w:val="0"/>
          <w:marBottom w:val="0"/>
          <w:divBdr>
            <w:top w:val="none" w:sz="0" w:space="0" w:color="auto"/>
            <w:left w:val="none" w:sz="0" w:space="0" w:color="auto"/>
            <w:bottom w:val="none" w:sz="0" w:space="0" w:color="auto"/>
            <w:right w:val="none" w:sz="0" w:space="0" w:color="auto"/>
          </w:divBdr>
        </w:div>
        <w:div w:id="852568905">
          <w:marLeft w:val="0"/>
          <w:marRight w:val="0"/>
          <w:marTop w:val="0"/>
          <w:marBottom w:val="0"/>
          <w:divBdr>
            <w:top w:val="none" w:sz="0" w:space="0" w:color="auto"/>
            <w:left w:val="none" w:sz="0" w:space="0" w:color="auto"/>
            <w:bottom w:val="none" w:sz="0" w:space="0" w:color="auto"/>
            <w:right w:val="none" w:sz="0" w:space="0" w:color="auto"/>
          </w:divBdr>
        </w:div>
        <w:div w:id="726879214">
          <w:marLeft w:val="0"/>
          <w:marRight w:val="0"/>
          <w:marTop w:val="0"/>
          <w:marBottom w:val="0"/>
          <w:divBdr>
            <w:top w:val="none" w:sz="0" w:space="0" w:color="auto"/>
            <w:left w:val="none" w:sz="0" w:space="0" w:color="auto"/>
            <w:bottom w:val="none" w:sz="0" w:space="0" w:color="auto"/>
            <w:right w:val="none" w:sz="0" w:space="0" w:color="auto"/>
          </w:divBdr>
        </w:div>
        <w:div w:id="303119150">
          <w:marLeft w:val="0"/>
          <w:marRight w:val="0"/>
          <w:marTop w:val="0"/>
          <w:marBottom w:val="0"/>
          <w:divBdr>
            <w:top w:val="none" w:sz="0" w:space="0" w:color="auto"/>
            <w:left w:val="none" w:sz="0" w:space="0" w:color="auto"/>
            <w:bottom w:val="none" w:sz="0" w:space="0" w:color="auto"/>
            <w:right w:val="none" w:sz="0" w:space="0" w:color="auto"/>
          </w:divBdr>
        </w:div>
        <w:div w:id="1913739588">
          <w:marLeft w:val="0"/>
          <w:marRight w:val="0"/>
          <w:marTop w:val="0"/>
          <w:marBottom w:val="0"/>
          <w:divBdr>
            <w:top w:val="none" w:sz="0" w:space="0" w:color="auto"/>
            <w:left w:val="none" w:sz="0" w:space="0" w:color="auto"/>
            <w:bottom w:val="none" w:sz="0" w:space="0" w:color="auto"/>
            <w:right w:val="none" w:sz="0" w:space="0" w:color="auto"/>
          </w:divBdr>
        </w:div>
        <w:div w:id="584727450">
          <w:marLeft w:val="0"/>
          <w:marRight w:val="0"/>
          <w:marTop w:val="0"/>
          <w:marBottom w:val="0"/>
          <w:divBdr>
            <w:top w:val="none" w:sz="0" w:space="0" w:color="auto"/>
            <w:left w:val="none" w:sz="0" w:space="0" w:color="auto"/>
            <w:bottom w:val="none" w:sz="0" w:space="0" w:color="auto"/>
            <w:right w:val="none" w:sz="0" w:space="0" w:color="auto"/>
          </w:divBdr>
        </w:div>
        <w:div w:id="517813395">
          <w:marLeft w:val="0"/>
          <w:marRight w:val="0"/>
          <w:marTop w:val="0"/>
          <w:marBottom w:val="0"/>
          <w:divBdr>
            <w:top w:val="none" w:sz="0" w:space="0" w:color="auto"/>
            <w:left w:val="none" w:sz="0" w:space="0" w:color="auto"/>
            <w:bottom w:val="none" w:sz="0" w:space="0" w:color="auto"/>
            <w:right w:val="none" w:sz="0" w:space="0" w:color="auto"/>
          </w:divBdr>
        </w:div>
        <w:div w:id="2086030272">
          <w:marLeft w:val="0"/>
          <w:marRight w:val="0"/>
          <w:marTop w:val="0"/>
          <w:marBottom w:val="0"/>
          <w:divBdr>
            <w:top w:val="none" w:sz="0" w:space="0" w:color="auto"/>
            <w:left w:val="none" w:sz="0" w:space="0" w:color="auto"/>
            <w:bottom w:val="none" w:sz="0" w:space="0" w:color="auto"/>
            <w:right w:val="none" w:sz="0" w:space="0" w:color="auto"/>
          </w:divBdr>
        </w:div>
        <w:div w:id="530802621">
          <w:marLeft w:val="0"/>
          <w:marRight w:val="0"/>
          <w:marTop w:val="0"/>
          <w:marBottom w:val="0"/>
          <w:divBdr>
            <w:top w:val="none" w:sz="0" w:space="0" w:color="auto"/>
            <w:left w:val="none" w:sz="0" w:space="0" w:color="auto"/>
            <w:bottom w:val="none" w:sz="0" w:space="0" w:color="auto"/>
            <w:right w:val="none" w:sz="0" w:space="0" w:color="auto"/>
          </w:divBdr>
        </w:div>
        <w:div w:id="1696540416">
          <w:marLeft w:val="0"/>
          <w:marRight w:val="0"/>
          <w:marTop w:val="0"/>
          <w:marBottom w:val="0"/>
          <w:divBdr>
            <w:top w:val="none" w:sz="0" w:space="0" w:color="auto"/>
            <w:left w:val="none" w:sz="0" w:space="0" w:color="auto"/>
            <w:bottom w:val="none" w:sz="0" w:space="0" w:color="auto"/>
            <w:right w:val="none" w:sz="0" w:space="0" w:color="auto"/>
          </w:divBdr>
        </w:div>
        <w:div w:id="1149639778">
          <w:marLeft w:val="0"/>
          <w:marRight w:val="0"/>
          <w:marTop w:val="0"/>
          <w:marBottom w:val="0"/>
          <w:divBdr>
            <w:top w:val="none" w:sz="0" w:space="0" w:color="auto"/>
            <w:left w:val="none" w:sz="0" w:space="0" w:color="auto"/>
            <w:bottom w:val="none" w:sz="0" w:space="0" w:color="auto"/>
            <w:right w:val="none" w:sz="0" w:space="0" w:color="auto"/>
          </w:divBdr>
        </w:div>
        <w:div w:id="1944412994">
          <w:marLeft w:val="0"/>
          <w:marRight w:val="0"/>
          <w:marTop w:val="0"/>
          <w:marBottom w:val="0"/>
          <w:divBdr>
            <w:top w:val="none" w:sz="0" w:space="0" w:color="auto"/>
            <w:left w:val="none" w:sz="0" w:space="0" w:color="auto"/>
            <w:bottom w:val="none" w:sz="0" w:space="0" w:color="auto"/>
            <w:right w:val="none" w:sz="0" w:space="0" w:color="auto"/>
          </w:divBdr>
        </w:div>
        <w:div w:id="318732405">
          <w:marLeft w:val="0"/>
          <w:marRight w:val="0"/>
          <w:marTop w:val="0"/>
          <w:marBottom w:val="0"/>
          <w:divBdr>
            <w:top w:val="none" w:sz="0" w:space="0" w:color="auto"/>
            <w:left w:val="none" w:sz="0" w:space="0" w:color="auto"/>
            <w:bottom w:val="none" w:sz="0" w:space="0" w:color="auto"/>
            <w:right w:val="none" w:sz="0" w:space="0" w:color="auto"/>
          </w:divBdr>
        </w:div>
        <w:div w:id="1537890079">
          <w:marLeft w:val="0"/>
          <w:marRight w:val="0"/>
          <w:marTop w:val="0"/>
          <w:marBottom w:val="0"/>
          <w:divBdr>
            <w:top w:val="none" w:sz="0" w:space="0" w:color="auto"/>
            <w:left w:val="none" w:sz="0" w:space="0" w:color="auto"/>
            <w:bottom w:val="none" w:sz="0" w:space="0" w:color="auto"/>
            <w:right w:val="none" w:sz="0" w:space="0" w:color="auto"/>
          </w:divBdr>
        </w:div>
        <w:div w:id="1450273513">
          <w:marLeft w:val="0"/>
          <w:marRight w:val="0"/>
          <w:marTop w:val="0"/>
          <w:marBottom w:val="0"/>
          <w:divBdr>
            <w:top w:val="none" w:sz="0" w:space="0" w:color="auto"/>
            <w:left w:val="none" w:sz="0" w:space="0" w:color="auto"/>
            <w:bottom w:val="none" w:sz="0" w:space="0" w:color="auto"/>
            <w:right w:val="none" w:sz="0" w:space="0" w:color="auto"/>
          </w:divBdr>
        </w:div>
        <w:div w:id="603996683">
          <w:marLeft w:val="0"/>
          <w:marRight w:val="0"/>
          <w:marTop w:val="0"/>
          <w:marBottom w:val="0"/>
          <w:divBdr>
            <w:top w:val="none" w:sz="0" w:space="0" w:color="auto"/>
            <w:left w:val="none" w:sz="0" w:space="0" w:color="auto"/>
            <w:bottom w:val="none" w:sz="0" w:space="0" w:color="auto"/>
            <w:right w:val="none" w:sz="0" w:space="0" w:color="auto"/>
          </w:divBdr>
        </w:div>
        <w:div w:id="1197740807">
          <w:marLeft w:val="0"/>
          <w:marRight w:val="0"/>
          <w:marTop w:val="0"/>
          <w:marBottom w:val="0"/>
          <w:divBdr>
            <w:top w:val="none" w:sz="0" w:space="0" w:color="auto"/>
            <w:left w:val="none" w:sz="0" w:space="0" w:color="auto"/>
            <w:bottom w:val="none" w:sz="0" w:space="0" w:color="auto"/>
            <w:right w:val="none" w:sz="0" w:space="0" w:color="auto"/>
          </w:divBdr>
        </w:div>
      </w:divsChild>
    </w:div>
    <w:div w:id="208420178">
      <w:bodyDiv w:val="1"/>
      <w:marLeft w:val="0"/>
      <w:marRight w:val="0"/>
      <w:marTop w:val="0"/>
      <w:marBottom w:val="0"/>
      <w:divBdr>
        <w:top w:val="none" w:sz="0" w:space="0" w:color="auto"/>
        <w:left w:val="none" w:sz="0" w:space="0" w:color="auto"/>
        <w:bottom w:val="none" w:sz="0" w:space="0" w:color="auto"/>
        <w:right w:val="none" w:sz="0" w:space="0" w:color="auto"/>
      </w:divBdr>
      <w:divsChild>
        <w:div w:id="1031955792">
          <w:marLeft w:val="0"/>
          <w:marRight w:val="0"/>
          <w:marTop w:val="0"/>
          <w:marBottom w:val="0"/>
          <w:divBdr>
            <w:top w:val="none" w:sz="0" w:space="0" w:color="auto"/>
            <w:left w:val="none" w:sz="0" w:space="0" w:color="auto"/>
            <w:bottom w:val="none" w:sz="0" w:space="0" w:color="auto"/>
            <w:right w:val="none" w:sz="0" w:space="0" w:color="auto"/>
          </w:divBdr>
        </w:div>
        <w:div w:id="1437946289">
          <w:marLeft w:val="0"/>
          <w:marRight w:val="0"/>
          <w:marTop w:val="0"/>
          <w:marBottom w:val="0"/>
          <w:divBdr>
            <w:top w:val="none" w:sz="0" w:space="0" w:color="auto"/>
            <w:left w:val="none" w:sz="0" w:space="0" w:color="auto"/>
            <w:bottom w:val="none" w:sz="0" w:space="0" w:color="auto"/>
            <w:right w:val="none" w:sz="0" w:space="0" w:color="auto"/>
          </w:divBdr>
        </w:div>
        <w:div w:id="291981943">
          <w:marLeft w:val="0"/>
          <w:marRight w:val="0"/>
          <w:marTop w:val="0"/>
          <w:marBottom w:val="0"/>
          <w:divBdr>
            <w:top w:val="none" w:sz="0" w:space="0" w:color="auto"/>
            <w:left w:val="none" w:sz="0" w:space="0" w:color="auto"/>
            <w:bottom w:val="none" w:sz="0" w:space="0" w:color="auto"/>
            <w:right w:val="none" w:sz="0" w:space="0" w:color="auto"/>
          </w:divBdr>
        </w:div>
        <w:div w:id="1384210134">
          <w:marLeft w:val="0"/>
          <w:marRight w:val="0"/>
          <w:marTop w:val="0"/>
          <w:marBottom w:val="0"/>
          <w:divBdr>
            <w:top w:val="none" w:sz="0" w:space="0" w:color="auto"/>
            <w:left w:val="none" w:sz="0" w:space="0" w:color="auto"/>
            <w:bottom w:val="none" w:sz="0" w:space="0" w:color="auto"/>
            <w:right w:val="none" w:sz="0" w:space="0" w:color="auto"/>
          </w:divBdr>
        </w:div>
        <w:div w:id="1755780532">
          <w:marLeft w:val="0"/>
          <w:marRight w:val="0"/>
          <w:marTop w:val="0"/>
          <w:marBottom w:val="0"/>
          <w:divBdr>
            <w:top w:val="none" w:sz="0" w:space="0" w:color="auto"/>
            <w:left w:val="none" w:sz="0" w:space="0" w:color="auto"/>
            <w:bottom w:val="none" w:sz="0" w:space="0" w:color="auto"/>
            <w:right w:val="none" w:sz="0" w:space="0" w:color="auto"/>
          </w:divBdr>
        </w:div>
        <w:div w:id="712655631">
          <w:marLeft w:val="0"/>
          <w:marRight w:val="0"/>
          <w:marTop w:val="0"/>
          <w:marBottom w:val="0"/>
          <w:divBdr>
            <w:top w:val="none" w:sz="0" w:space="0" w:color="auto"/>
            <w:left w:val="none" w:sz="0" w:space="0" w:color="auto"/>
            <w:bottom w:val="none" w:sz="0" w:space="0" w:color="auto"/>
            <w:right w:val="none" w:sz="0" w:space="0" w:color="auto"/>
          </w:divBdr>
        </w:div>
        <w:div w:id="602688991">
          <w:marLeft w:val="0"/>
          <w:marRight w:val="0"/>
          <w:marTop w:val="0"/>
          <w:marBottom w:val="0"/>
          <w:divBdr>
            <w:top w:val="none" w:sz="0" w:space="0" w:color="auto"/>
            <w:left w:val="none" w:sz="0" w:space="0" w:color="auto"/>
            <w:bottom w:val="none" w:sz="0" w:space="0" w:color="auto"/>
            <w:right w:val="none" w:sz="0" w:space="0" w:color="auto"/>
          </w:divBdr>
        </w:div>
        <w:div w:id="28652720">
          <w:marLeft w:val="0"/>
          <w:marRight w:val="0"/>
          <w:marTop w:val="0"/>
          <w:marBottom w:val="0"/>
          <w:divBdr>
            <w:top w:val="none" w:sz="0" w:space="0" w:color="auto"/>
            <w:left w:val="none" w:sz="0" w:space="0" w:color="auto"/>
            <w:bottom w:val="none" w:sz="0" w:space="0" w:color="auto"/>
            <w:right w:val="none" w:sz="0" w:space="0" w:color="auto"/>
          </w:divBdr>
        </w:div>
        <w:div w:id="1474255991">
          <w:marLeft w:val="0"/>
          <w:marRight w:val="0"/>
          <w:marTop w:val="0"/>
          <w:marBottom w:val="0"/>
          <w:divBdr>
            <w:top w:val="none" w:sz="0" w:space="0" w:color="auto"/>
            <w:left w:val="none" w:sz="0" w:space="0" w:color="auto"/>
            <w:bottom w:val="none" w:sz="0" w:space="0" w:color="auto"/>
            <w:right w:val="none" w:sz="0" w:space="0" w:color="auto"/>
          </w:divBdr>
        </w:div>
        <w:div w:id="1898009139">
          <w:marLeft w:val="0"/>
          <w:marRight w:val="0"/>
          <w:marTop w:val="0"/>
          <w:marBottom w:val="0"/>
          <w:divBdr>
            <w:top w:val="none" w:sz="0" w:space="0" w:color="auto"/>
            <w:left w:val="none" w:sz="0" w:space="0" w:color="auto"/>
            <w:bottom w:val="none" w:sz="0" w:space="0" w:color="auto"/>
            <w:right w:val="none" w:sz="0" w:space="0" w:color="auto"/>
          </w:divBdr>
        </w:div>
      </w:divsChild>
    </w:div>
    <w:div w:id="214051611">
      <w:bodyDiv w:val="1"/>
      <w:marLeft w:val="0"/>
      <w:marRight w:val="0"/>
      <w:marTop w:val="0"/>
      <w:marBottom w:val="0"/>
      <w:divBdr>
        <w:top w:val="none" w:sz="0" w:space="0" w:color="auto"/>
        <w:left w:val="none" w:sz="0" w:space="0" w:color="auto"/>
        <w:bottom w:val="none" w:sz="0" w:space="0" w:color="auto"/>
        <w:right w:val="none" w:sz="0" w:space="0" w:color="auto"/>
      </w:divBdr>
      <w:divsChild>
        <w:div w:id="979724542">
          <w:marLeft w:val="0"/>
          <w:marRight w:val="0"/>
          <w:marTop w:val="0"/>
          <w:marBottom w:val="0"/>
          <w:divBdr>
            <w:top w:val="none" w:sz="0" w:space="0" w:color="auto"/>
            <w:left w:val="none" w:sz="0" w:space="0" w:color="auto"/>
            <w:bottom w:val="none" w:sz="0" w:space="0" w:color="auto"/>
            <w:right w:val="none" w:sz="0" w:space="0" w:color="auto"/>
          </w:divBdr>
        </w:div>
        <w:div w:id="1941141676">
          <w:marLeft w:val="0"/>
          <w:marRight w:val="0"/>
          <w:marTop w:val="0"/>
          <w:marBottom w:val="0"/>
          <w:divBdr>
            <w:top w:val="none" w:sz="0" w:space="0" w:color="auto"/>
            <w:left w:val="none" w:sz="0" w:space="0" w:color="auto"/>
            <w:bottom w:val="none" w:sz="0" w:space="0" w:color="auto"/>
            <w:right w:val="none" w:sz="0" w:space="0" w:color="auto"/>
          </w:divBdr>
        </w:div>
      </w:divsChild>
    </w:div>
    <w:div w:id="216817526">
      <w:bodyDiv w:val="1"/>
      <w:marLeft w:val="0"/>
      <w:marRight w:val="0"/>
      <w:marTop w:val="0"/>
      <w:marBottom w:val="0"/>
      <w:divBdr>
        <w:top w:val="none" w:sz="0" w:space="0" w:color="auto"/>
        <w:left w:val="none" w:sz="0" w:space="0" w:color="auto"/>
        <w:bottom w:val="none" w:sz="0" w:space="0" w:color="auto"/>
        <w:right w:val="none" w:sz="0" w:space="0" w:color="auto"/>
      </w:divBdr>
      <w:divsChild>
        <w:div w:id="297106562">
          <w:marLeft w:val="0"/>
          <w:marRight w:val="0"/>
          <w:marTop w:val="0"/>
          <w:marBottom w:val="0"/>
          <w:divBdr>
            <w:top w:val="none" w:sz="0" w:space="0" w:color="auto"/>
            <w:left w:val="none" w:sz="0" w:space="0" w:color="auto"/>
            <w:bottom w:val="none" w:sz="0" w:space="0" w:color="auto"/>
            <w:right w:val="none" w:sz="0" w:space="0" w:color="auto"/>
          </w:divBdr>
        </w:div>
        <w:div w:id="904072897">
          <w:marLeft w:val="0"/>
          <w:marRight w:val="0"/>
          <w:marTop w:val="0"/>
          <w:marBottom w:val="0"/>
          <w:divBdr>
            <w:top w:val="none" w:sz="0" w:space="0" w:color="auto"/>
            <w:left w:val="none" w:sz="0" w:space="0" w:color="auto"/>
            <w:bottom w:val="none" w:sz="0" w:space="0" w:color="auto"/>
            <w:right w:val="none" w:sz="0" w:space="0" w:color="auto"/>
          </w:divBdr>
        </w:div>
        <w:div w:id="432022091">
          <w:marLeft w:val="0"/>
          <w:marRight w:val="0"/>
          <w:marTop w:val="0"/>
          <w:marBottom w:val="0"/>
          <w:divBdr>
            <w:top w:val="none" w:sz="0" w:space="0" w:color="auto"/>
            <w:left w:val="none" w:sz="0" w:space="0" w:color="auto"/>
            <w:bottom w:val="none" w:sz="0" w:space="0" w:color="auto"/>
            <w:right w:val="none" w:sz="0" w:space="0" w:color="auto"/>
          </w:divBdr>
        </w:div>
        <w:div w:id="686830844">
          <w:marLeft w:val="0"/>
          <w:marRight w:val="0"/>
          <w:marTop w:val="0"/>
          <w:marBottom w:val="0"/>
          <w:divBdr>
            <w:top w:val="none" w:sz="0" w:space="0" w:color="auto"/>
            <w:left w:val="none" w:sz="0" w:space="0" w:color="auto"/>
            <w:bottom w:val="none" w:sz="0" w:space="0" w:color="auto"/>
            <w:right w:val="none" w:sz="0" w:space="0" w:color="auto"/>
          </w:divBdr>
        </w:div>
        <w:div w:id="1290623036">
          <w:marLeft w:val="0"/>
          <w:marRight w:val="0"/>
          <w:marTop w:val="0"/>
          <w:marBottom w:val="0"/>
          <w:divBdr>
            <w:top w:val="none" w:sz="0" w:space="0" w:color="auto"/>
            <w:left w:val="none" w:sz="0" w:space="0" w:color="auto"/>
            <w:bottom w:val="none" w:sz="0" w:space="0" w:color="auto"/>
            <w:right w:val="none" w:sz="0" w:space="0" w:color="auto"/>
          </w:divBdr>
        </w:div>
      </w:divsChild>
    </w:div>
    <w:div w:id="241650086">
      <w:bodyDiv w:val="1"/>
      <w:marLeft w:val="0"/>
      <w:marRight w:val="0"/>
      <w:marTop w:val="0"/>
      <w:marBottom w:val="0"/>
      <w:divBdr>
        <w:top w:val="none" w:sz="0" w:space="0" w:color="auto"/>
        <w:left w:val="none" w:sz="0" w:space="0" w:color="auto"/>
        <w:bottom w:val="none" w:sz="0" w:space="0" w:color="auto"/>
        <w:right w:val="none" w:sz="0" w:space="0" w:color="auto"/>
      </w:divBdr>
      <w:divsChild>
        <w:div w:id="306208762">
          <w:marLeft w:val="0"/>
          <w:marRight w:val="0"/>
          <w:marTop w:val="0"/>
          <w:marBottom w:val="0"/>
          <w:divBdr>
            <w:top w:val="none" w:sz="0" w:space="0" w:color="auto"/>
            <w:left w:val="none" w:sz="0" w:space="0" w:color="auto"/>
            <w:bottom w:val="none" w:sz="0" w:space="0" w:color="auto"/>
            <w:right w:val="none" w:sz="0" w:space="0" w:color="auto"/>
          </w:divBdr>
        </w:div>
        <w:div w:id="633022613">
          <w:marLeft w:val="0"/>
          <w:marRight w:val="0"/>
          <w:marTop w:val="0"/>
          <w:marBottom w:val="0"/>
          <w:divBdr>
            <w:top w:val="none" w:sz="0" w:space="0" w:color="auto"/>
            <w:left w:val="none" w:sz="0" w:space="0" w:color="auto"/>
            <w:bottom w:val="none" w:sz="0" w:space="0" w:color="auto"/>
            <w:right w:val="none" w:sz="0" w:space="0" w:color="auto"/>
          </w:divBdr>
        </w:div>
        <w:div w:id="2047948442">
          <w:marLeft w:val="0"/>
          <w:marRight w:val="0"/>
          <w:marTop w:val="0"/>
          <w:marBottom w:val="0"/>
          <w:divBdr>
            <w:top w:val="none" w:sz="0" w:space="0" w:color="auto"/>
            <w:left w:val="none" w:sz="0" w:space="0" w:color="auto"/>
            <w:bottom w:val="none" w:sz="0" w:space="0" w:color="auto"/>
            <w:right w:val="none" w:sz="0" w:space="0" w:color="auto"/>
          </w:divBdr>
        </w:div>
        <w:div w:id="1269855931">
          <w:marLeft w:val="0"/>
          <w:marRight w:val="0"/>
          <w:marTop w:val="0"/>
          <w:marBottom w:val="0"/>
          <w:divBdr>
            <w:top w:val="none" w:sz="0" w:space="0" w:color="auto"/>
            <w:left w:val="none" w:sz="0" w:space="0" w:color="auto"/>
            <w:bottom w:val="none" w:sz="0" w:space="0" w:color="auto"/>
            <w:right w:val="none" w:sz="0" w:space="0" w:color="auto"/>
          </w:divBdr>
        </w:div>
        <w:div w:id="200751037">
          <w:marLeft w:val="0"/>
          <w:marRight w:val="0"/>
          <w:marTop w:val="0"/>
          <w:marBottom w:val="0"/>
          <w:divBdr>
            <w:top w:val="none" w:sz="0" w:space="0" w:color="auto"/>
            <w:left w:val="none" w:sz="0" w:space="0" w:color="auto"/>
            <w:bottom w:val="none" w:sz="0" w:space="0" w:color="auto"/>
            <w:right w:val="none" w:sz="0" w:space="0" w:color="auto"/>
          </w:divBdr>
        </w:div>
        <w:div w:id="1732844174">
          <w:marLeft w:val="0"/>
          <w:marRight w:val="0"/>
          <w:marTop w:val="0"/>
          <w:marBottom w:val="0"/>
          <w:divBdr>
            <w:top w:val="none" w:sz="0" w:space="0" w:color="auto"/>
            <w:left w:val="none" w:sz="0" w:space="0" w:color="auto"/>
            <w:bottom w:val="none" w:sz="0" w:space="0" w:color="auto"/>
            <w:right w:val="none" w:sz="0" w:space="0" w:color="auto"/>
          </w:divBdr>
        </w:div>
        <w:div w:id="1488933241">
          <w:marLeft w:val="0"/>
          <w:marRight w:val="0"/>
          <w:marTop w:val="0"/>
          <w:marBottom w:val="0"/>
          <w:divBdr>
            <w:top w:val="none" w:sz="0" w:space="0" w:color="auto"/>
            <w:left w:val="none" w:sz="0" w:space="0" w:color="auto"/>
            <w:bottom w:val="none" w:sz="0" w:space="0" w:color="auto"/>
            <w:right w:val="none" w:sz="0" w:space="0" w:color="auto"/>
          </w:divBdr>
        </w:div>
        <w:div w:id="926425140">
          <w:marLeft w:val="0"/>
          <w:marRight w:val="0"/>
          <w:marTop w:val="0"/>
          <w:marBottom w:val="0"/>
          <w:divBdr>
            <w:top w:val="none" w:sz="0" w:space="0" w:color="auto"/>
            <w:left w:val="none" w:sz="0" w:space="0" w:color="auto"/>
            <w:bottom w:val="none" w:sz="0" w:space="0" w:color="auto"/>
            <w:right w:val="none" w:sz="0" w:space="0" w:color="auto"/>
          </w:divBdr>
        </w:div>
      </w:divsChild>
    </w:div>
    <w:div w:id="257370830">
      <w:bodyDiv w:val="1"/>
      <w:marLeft w:val="0"/>
      <w:marRight w:val="0"/>
      <w:marTop w:val="0"/>
      <w:marBottom w:val="0"/>
      <w:divBdr>
        <w:top w:val="none" w:sz="0" w:space="0" w:color="auto"/>
        <w:left w:val="none" w:sz="0" w:space="0" w:color="auto"/>
        <w:bottom w:val="none" w:sz="0" w:space="0" w:color="auto"/>
        <w:right w:val="none" w:sz="0" w:space="0" w:color="auto"/>
      </w:divBdr>
      <w:divsChild>
        <w:div w:id="1385251686">
          <w:marLeft w:val="0"/>
          <w:marRight w:val="0"/>
          <w:marTop w:val="0"/>
          <w:marBottom w:val="0"/>
          <w:divBdr>
            <w:top w:val="none" w:sz="0" w:space="0" w:color="auto"/>
            <w:left w:val="none" w:sz="0" w:space="0" w:color="auto"/>
            <w:bottom w:val="none" w:sz="0" w:space="0" w:color="auto"/>
            <w:right w:val="none" w:sz="0" w:space="0" w:color="auto"/>
          </w:divBdr>
        </w:div>
        <w:div w:id="1227490770">
          <w:marLeft w:val="0"/>
          <w:marRight w:val="0"/>
          <w:marTop w:val="0"/>
          <w:marBottom w:val="0"/>
          <w:divBdr>
            <w:top w:val="none" w:sz="0" w:space="0" w:color="auto"/>
            <w:left w:val="none" w:sz="0" w:space="0" w:color="auto"/>
            <w:bottom w:val="none" w:sz="0" w:space="0" w:color="auto"/>
            <w:right w:val="none" w:sz="0" w:space="0" w:color="auto"/>
          </w:divBdr>
        </w:div>
        <w:div w:id="1482576459">
          <w:marLeft w:val="0"/>
          <w:marRight w:val="0"/>
          <w:marTop w:val="0"/>
          <w:marBottom w:val="0"/>
          <w:divBdr>
            <w:top w:val="none" w:sz="0" w:space="0" w:color="auto"/>
            <w:left w:val="none" w:sz="0" w:space="0" w:color="auto"/>
            <w:bottom w:val="none" w:sz="0" w:space="0" w:color="auto"/>
            <w:right w:val="none" w:sz="0" w:space="0" w:color="auto"/>
          </w:divBdr>
        </w:div>
        <w:div w:id="456142134">
          <w:marLeft w:val="0"/>
          <w:marRight w:val="0"/>
          <w:marTop w:val="0"/>
          <w:marBottom w:val="0"/>
          <w:divBdr>
            <w:top w:val="none" w:sz="0" w:space="0" w:color="auto"/>
            <w:left w:val="none" w:sz="0" w:space="0" w:color="auto"/>
            <w:bottom w:val="none" w:sz="0" w:space="0" w:color="auto"/>
            <w:right w:val="none" w:sz="0" w:space="0" w:color="auto"/>
          </w:divBdr>
        </w:div>
        <w:div w:id="36131243">
          <w:marLeft w:val="0"/>
          <w:marRight w:val="0"/>
          <w:marTop w:val="0"/>
          <w:marBottom w:val="0"/>
          <w:divBdr>
            <w:top w:val="none" w:sz="0" w:space="0" w:color="auto"/>
            <w:left w:val="none" w:sz="0" w:space="0" w:color="auto"/>
            <w:bottom w:val="none" w:sz="0" w:space="0" w:color="auto"/>
            <w:right w:val="none" w:sz="0" w:space="0" w:color="auto"/>
          </w:divBdr>
        </w:div>
        <w:div w:id="591938886">
          <w:marLeft w:val="0"/>
          <w:marRight w:val="0"/>
          <w:marTop w:val="0"/>
          <w:marBottom w:val="0"/>
          <w:divBdr>
            <w:top w:val="none" w:sz="0" w:space="0" w:color="auto"/>
            <w:left w:val="none" w:sz="0" w:space="0" w:color="auto"/>
            <w:bottom w:val="none" w:sz="0" w:space="0" w:color="auto"/>
            <w:right w:val="none" w:sz="0" w:space="0" w:color="auto"/>
          </w:divBdr>
        </w:div>
        <w:div w:id="648444006">
          <w:marLeft w:val="0"/>
          <w:marRight w:val="0"/>
          <w:marTop w:val="0"/>
          <w:marBottom w:val="0"/>
          <w:divBdr>
            <w:top w:val="none" w:sz="0" w:space="0" w:color="auto"/>
            <w:left w:val="none" w:sz="0" w:space="0" w:color="auto"/>
            <w:bottom w:val="none" w:sz="0" w:space="0" w:color="auto"/>
            <w:right w:val="none" w:sz="0" w:space="0" w:color="auto"/>
          </w:divBdr>
        </w:div>
        <w:div w:id="477112213">
          <w:marLeft w:val="0"/>
          <w:marRight w:val="0"/>
          <w:marTop w:val="0"/>
          <w:marBottom w:val="0"/>
          <w:divBdr>
            <w:top w:val="none" w:sz="0" w:space="0" w:color="auto"/>
            <w:left w:val="none" w:sz="0" w:space="0" w:color="auto"/>
            <w:bottom w:val="none" w:sz="0" w:space="0" w:color="auto"/>
            <w:right w:val="none" w:sz="0" w:space="0" w:color="auto"/>
          </w:divBdr>
        </w:div>
        <w:div w:id="585385489">
          <w:marLeft w:val="0"/>
          <w:marRight w:val="0"/>
          <w:marTop w:val="0"/>
          <w:marBottom w:val="0"/>
          <w:divBdr>
            <w:top w:val="none" w:sz="0" w:space="0" w:color="auto"/>
            <w:left w:val="none" w:sz="0" w:space="0" w:color="auto"/>
            <w:bottom w:val="none" w:sz="0" w:space="0" w:color="auto"/>
            <w:right w:val="none" w:sz="0" w:space="0" w:color="auto"/>
          </w:divBdr>
        </w:div>
        <w:div w:id="227541103">
          <w:marLeft w:val="0"/>
          <w:marRight w:val="0"/>
          <w:marTop w:val="0"/>
          <w:marBottom w:val="0"/>
          <w:divBdr>
            <w:top w:val="none" w:sz="0" w:space="0" w:color="auto"/>
            <w:left w:val="none" w:sz="0" w:space="0" w:color="auto"/>
            <w:bottom w:val="none" w:sz="0" w:space="0" w:color="auto"/>
            <w:right w:val="none" w:sz="0" w:space="0" w:color="auto"/>
          </w:divBdr>
        </w:div>
        <w:div w:id="745105414">
          <w:marLeft w:val="0"/>
          <w:marRight w:val="0"/>
          <w:marTop w:val="0"/>
          <w:marBottom w:val="0"/>
          <w:divBdr>
            <w:top w:val="none" w:sz="0" w:space="0" w:color="auto"/>
            <w:left w:val="none" w:sz="0" w:space="0" w:color="auto"/>
            <w:bottom w:val="none" w:sz="0" w:space="0" w:color="auto"/>
            <w:right w:val="none" w:sz="0" w:space="0" w:color="auto"/>
          </w:divBdr>
        </w:div>
        <w:div w:id="1259753211">
          <w:marLeft w:val="0"/>
          <w:marRight w:val="0"/>
          <w:marTop w:val="0"/>
          <w:marBottom w:val="0"/>
          <w:divBdr>
            <w:top w:val="none" w:sz="0" w:space="0" w:color="auto"/>
            <w:left w:val="none" w:sz="0" w:space="0" w:color="auto"/>
            <w:bottom w:val="none" w:sz="0" w:space="0" w:color="auto"/>
            <w:right w:val="none" w:sz="0" w:space="0" w:color="auto"/>
          </w:divBdr>
        </w:div>
        <w:div w:id="470901734">
          <w:marLeft w:val="0"/>
          <w:marRight w:val="0"/>
          <w:marTop w:val="0"/>
          <w:marBottom w:val="0"/>
          <w:divBdr>
            <w:top w:val="none" w:sz="0" w:space="0" w:color="auto"/>
            <w:left w:val="none" w:sz="0" w:space="0" w:color="auto"/>
            <w:bottom w:val="none" w:sz="0" w:space="0" w:color="auto"/>
            <w:right w:val="none" w:sz="0" w:space="0" w:color="auto"/>
          </w:divBdr>
        </w:div>
        <w:div w:id="234125222">
          <w:marLeft w:val="0"/>
          <w:marRight w:val="0"/>
          <w:marTop w:val="0"/>
          <w:marBottom w:val="0"/>
          <w:divBdr>
            <w:top w:val="none" w:sz="0" w:space="0" w:color="auto"/>
            <w:left w:val="none" w:sz="0" w:space="0" w:color="auto"/>
            <w:bottom w:val="none" w:sz="0" w:space="0" w:color="auto"/>
            <w:right w:val="none" w:sz="0" w:space="0" w:color="auto"/>
          </w:divBdr>
        </w:div>
        <w:div w:id="1218974454">
          <w:marLeft w:val="0"/>
          <w:marRight w:val="0"/>
          <w:marTop w:val="0"/>
          <w:marBottom w:val="0"/>
          <w:divBdr>
            <w:top w:val="none" w:sz="0" w:space="0" w:color="auto"/>
            <w:left w:val="none" w:sz="0" w:space="0" w:color="auto"/>
            <w:bottom w:val="none" w:sz="0" w:space="0" w:color="auto"/>
            <w:right w:val="none" w:sz="0" w:space="0" w:color="auto"/>
          </w:divBdr>
        </w:div>
        <w:div w:id="1709142022">
          <w:marLeft w:val="0"/>
          <w:marRight w:val="0"/>
          <w:marTop w:val="0"/>
          <w:marBottom w:val="0"/>
          <w:divBdr>
            <w:top w:val="none" w:sz="0" w:space="0" w:color="auto"/>
            <w:left w:val="none" w:sz="0" w:space="0" w:color="auto"/>
            <w:bottom w:val="none" w:sz="0" w:space="0" w:color="auto"/>
            <w:right w:val="none" w:sz="0" w:space="0" w:color="auto"/>
          </w:divBdr>
        </w:div>
        <w:div w:id="986124636">
          <w:marLeft w:val="0"/>
          <w:marRight w:val="0"/>
          <w:marTop w:val="0"/>
          <w:marBottom w:val="0"/>
          <w:divBdr>
            <w:top w:val="none" w:sz="0" w:space="0" w:color="auto"/>
            <w:left w:val="none" w:sz="0" w:space="0" w:color="auto"/>
            <w:bottom w:val="none" w:sz="0" w:space="0" w:color="auto"/>
            <w:right w:val="none" w:sz="0" w:space="0" w:color="auto"/>
          </w:divBdr>
        </w:div>
        <w:div w:id="193268693">
          <w:marLeft w:val="0"/>
          <w:marRight w:val="0"/>
          <w:marTop w:val="0"/>
          <w:marBottom w:val="0"/>
          <w:divBdr>
            <w:top w:val="none" w:sz="0" w:space="0" w:color="auto"/>
            <w:left w:val="none" w:sz="0" w:space="0" w:color="auto"/>
            <w:bottom w:val="none" w:sz="0" w:space="0" w:color="auto"/>
            <w:right w:val="none" w:sz="0" w:space="0" w:color="auto"/>
          </w:divBdr>
        </w:div>
        <w:div w:id="90324595">
          <w:marLeft w:val="0"/>
          <w:marRight w:val="0"/>
          <w:marTop w:val="0"/>
          <w:marBottom w:val="0"/>
          <w:divBdr>
            <w:top w:val="none" w:sz="0" w:space="0" w:color="auto"/>
            <w:left w:val="none" w:sz="0" w:space="0" w:color="auto"/>
            <w:bottom w:val="none" w:sz="0" w:space="0" w:color="auto"/>
            <w:right w:val="none" w:sz="0" w:space="0" w:color="auto"/>
          </w:divBdr>
        </w:div>
        <w:div w:id="1322003585">
          <w:marLeft w:val="0"/>
          <w:marRight w:val="0"/>
          <w:marTop w:val="0"/>
          <w:marBottom w:val="0"/>
          <w:divBdr>
            <w:top w:val="none" w:sz="0" w:space="0" w:color="auto"/>
            <w:left w:val="none" w:sz="0" w:space="0" w:color="auto"/>
            <w:bottom w:val="none" w:sz="0" w:space="0" w:color="auto"/>
            <w:right w:val="none" w:sz="0" w:space="0" w:color="auto"/>
          </w:divBdr>
        </w:div>
        <w:div w:id="1908877060">
          <w:marLeft w:val="0"/>
          <w:marRight w:val="0"/>
          <w:marTop w:val="0"/>
          <w:marBottom w:val="0"/>
          <w:divBdr>
            <w:top w:val="none" w:sz="0" w:space="0" w:color="auto"/>
            <w:left w:val="none" w:sz="0" w:space="0" w:color="auto"/>
            <w:bottom w:val="none" w:sz="0" w:space="0" w:color="auto"/>
            <w:right w:val="none" w:sz="0" w:space="0" w:color="auto"/>
          </w:divBdr>
        </w:div>
        <w:div w:id="1768961573">
          <w:marLeft w:val="0"/>
          <w:marRight w:val="0"/>
          <w:marTop w:val="0"/>
          <w:marBottom w:val="0"/>
          <w:divBdr>
            <w:top w:val="none" w:sz="0" w:space="0" w:color="auto"/>
            <w:left w:val="none" w:sz="0" w:space="0" w:color="auto"/>
            <w:bottom w:val="none" w:sz="0" w:space="0" w:color="auto"/>
            <w:right w:val="none" w:sz="0" w:space="0" w:color="auto"/>
          </w:divBdr>
        </w:div>
        <w:div w:id="1383217508">
          <w:marLeft w:val="0"/>
          <w:marRight w:val="0"/>
          <w:marTop w:val="0"/>
          <w:marBottom w:val="0"/>
          <w:divBdr>
            <w:top w:val="none" w:sz="0" w:space="0" w:color="auto"/>
            <w:left w:val="none" w:sz="0" w:space="0" w:color="auto"/>
            <w:bottom w:val="none" w:sz="0" w:space="0" w:color="auto"/>
            <w:right w:val="none" w:sz="0" w:space="0" w:color="auto"/>
          </w:divBdr>
        </w:div>
        <w:div w:id="1459301873">
          <w:marLeft w:val="0"/>
          <w:marRight w:val="0"/>
          <w:marTop w:val="0"/>
          <w:marBottom w:val="0"/>
          <w:divBdr>
            <w:top w:val="none" w:sz="0" w:space="0" w:color="auto"/>
            <w:left w:val="none" w:sz="0" w:space="0" w:color="auto"/>
            <w:bottom w:val="none" w:sz="0" w:space="0" w:color="auto"/>
            <w:right w:val="none" w:sz="0" w:space="0" w:color="auto"/>
          </w:divBdr>
        </w:div>
        <w:div w:id="459540497">
          <w:marLeft w:val="0"/>
          <w:marRight w:val="0"/>
          <w:marTop w:val="0"/>
          <w:marBottom w:val="0"/>
          <w:divBdr>
            <w:top w:val="none" w:sz="0" w:space="0" w:color="auto"/>
            <w:left w:val="none" w:sz="0" w:space="0" w:color="auto"/>
            <w:bottom w:val="none" w:sz="0" w:space="0" w:color="auto"/>
            <w:right w:val="none" w:sz="0" w:space="0" w:color="auto"/>
          </w:divBdr>
        </w:div>
      </w:divsChild>
    </w:div>
    <w:div w:id="274793302">
      <w:bodyDiv w:val="1"/>
      <w:marLeft w:val="0"/>
      <w:marRight w:val="0"/>
      <w:marTop w:val="0"/>
      <w:marBottom w:val="0"/>
      <w:divBdr>
        <w:top w:val="none" w:sz="0" w:space="0" w:color="auto"/>
        <w:left w:val="none" w:sz="0" w:space="0" w:color="auto"/>
        <w:bottom w:val="none" w:sz="0" w:space="0" w:color="auto"/>
        <w:right w:val="none" w:sz="0" w:space="0" w:color="auto"/>
      </w:divBdr>
      <w:divsChild>
        <w:div w:id="820540939">
          <w:marLeft w:val="0"/>
          <w:marRight w:val="0"/>
          <w:marTop w:val="0"/>
          <w:marBottom w:val="0"/>
          <w:divBdr>
            <w:top w:val="none" w:sz="0" w:space="0" w:color="auto"/>
            <w:left w:val="none" w:sz="0" w:space="0" w:color="auto"/>
            <w:bottom w:val="none" w:sz="0" w:space="0" w:color="auto"/>
            <w:right w:val="none" w:sz="0" w:space="0" w:color="auto"/>
          </w:divBdr>
        </w:div>
        <w:div w:id="870531291">
          <w:marLeft w:val="0"/>
          <w:marRight w:val="0"/>
          <w:marTop w:val="0"/>
          <w:marBottom w:val="0"/>
          <w:divBdr>
            <w:top w:val="none" w:sz="0" w:space="0" w:color="auto"/>
            <w:left w:val="none" w:sz="0" w:space="0" w:color="auto"/>
            <w:bottom w:val="none" w:sz="0" w:space="0" w:color="auto"/>
            <w:right w:val="none" w:sz="0" w:space="0" w:color="auto"/>
          </w:divBdr>
        </w:div>
        <w:div w:id="743987649">
          <w:marLeft w:val="0"/>
          <w:marRight w:val="0"/>
          <w:marTop w:val="0"/>
          <w:marBottom w:val="0"/>
          <w:divBdr>
            <w:top w:val="none" w:sz="0" w:space="0" w:color="auto"/>
            <w:left w:val="none" w:sz="0" w:space="0" w:color="auto"/>
            <w:bottom w:val="none" w:sz="0" w:space="0" w:color="auto"/>
            <w:right w:val="none" w:sz="0" w:space="0" w:color="auto"/>
          </w:divBdr>
        </w:div>
        <w:div w:id="1554318049">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1818255157">
          <w:marLeft w:val="0"/>
          <w:marRight w:val="0"/>
          <w:marTop w:val="0"/>
          <w:marBottom w:val="0"/>
          <w:divBdr>
            <w:top w:val="none" w:sz="0" w:space="0" w:color="auto"/>
            <w:left w:val="none" w:sz="0" w:space="0" w:color="auto"/>
            <w:bottom w:val="none" w:sz="0" w:space="0" w:color="auto"/>
            <w:right w:val="none" w:sz="0" w:space="0" w:color="auto"/>
          </w:divBdr>
        </w:div>
        <w:div w:id="196965346">
          <w:marLeft w:val="0"/>
          <w:marRight w:val="0"/>
          <w:marTop w:val="0"/>
          <w:marBottom w:val="0"/>
          <w:divBdr>
            <w:top w:val="none" w:sz="0" w:space="0" w:color="auto"/>
            <w:left w:val="none" w:sz="0" w:space="0" w:color="auto"/>
            <w:bottom w:val="none" w:sz="0" w:space="0" w:color="auto"/>
            <w:right w:val="none" w:sz="0" w:space="0" w:color="auto"/>
          </w:divBdr>
        </w:div>
        <w:div w:id="1155995402">
          <w:marLeft w:val="0"/>
          <w:marRight w:val="0"/>
          <w:marTop w:val="0"/>
          <w:marBottom w:val="0"/>
          <w:divBdr>
            <w:top w:val="none" w:sz="0" w:space="0" w:color="auto"/>
            <w:left w:val="none" w:sz="0" w:space="0" w:color="auto"/>
            <w:bottom w:val="none" w:sz="0" w:space="0" w:color="auto"/>
            <w:right w:val="none" w:sz="0" w:space="0" w:color="auto"/>
          </w:divBdr>
        </w:div>
        <w:div w:id="1755590503">
          <w:marLeft w:val="0"/>
          <w:marRight w:val="0"/>
          <w:marTop w:val="0"/>
          <w:marBottom w:val="0"/>
          <w:divBdr>
            <w:top w:val="none" w:sz="0" w:space="0" w:color="auto"/>
            <w:left w:val="none" w:sz="0" w:space="0" w:color="auto"/>
            <w:bottom w:val="none" w:sz="0" w:space="0" w:color="auto"/>
            <w:right w:val="none" w:sz="0" w:space="0" w:color="auto"/>
          </w:divBdr>
        </w:div>
        <w:div w:id="514927484">
          <w:marLeft w:val="0"/>
          <w:marRight w:val="0"/>
          <w:marTop w:val="0"/>
          <w:marBottom w:val="0"/>
          <w:divBdr>
            <w:top w:val="none" w:sz="0" w:space="0" w:color="auto"/>
            <w:left w:val="none" w:sz="0" w:space="0" w:color="auto"/>
            <w:bottom w:val="none" w:sz="0" w:space="0" w:color="auto"/>
            <w:right w:val="none" w:sz="0" w:space="0" w:color="auto"/>
          </w:divBdr>
        </w:div>
        <w:div w:id="925265302">
          <w:marLeft w:val="0"/>
          <w:marRight w:val="0"/>
          <w:marTop w:val="0"/>
          <w:marBottom w:val="0"/>
          <w:divBdr>
            <w:top w:val="none" w:sz="0" w:space="0" w:color="auto"/>
            <w:left w:val="none" w:sz="0" w:space="0" w:color="auto"/>
            <w:bottom w:val="none" w:sz="0" w:space="0" w:color="auto"/>
            <w:right w:val="none" w:sz="0" w:space="0" w:color="auto"/>
          </w:divBdr>
        </w:div>
        <w:div w:id="1017390191">
          <w:marLeft w:val="0"/>
          <w:marRight w:val="0"/>
          <w:marTop w:val="0"/>
          <w:marBottom w:val="0"/>
          <w:divBdr>
            <w:top w:val="none" w:sz="0" w:space="0" w:color="auto"/>
            <w:left w:val="none" w:sz="0" w:space="0" w:color="auto"/>
            <w:bottom w:val="none" w:sz="0" w:space="0" w:color="auto"/>
            <w:right w:val="none" w:sz="0" w:space="0" w:color="auto"/>
          </w:divBdr>
        </w:div>
        <w:div w:id="1198204642">
          <w:marLeft w:val="0"/>
          <w:marRight w:val="0"/>
          <w:marTop w:val="0"/>
          <w:marBottom w:val="0"/>
          <w:divBdr>
            <w:top w:val="none" w:sz="0" w:space="0" w:color="auto"/>
            <w:left w:val="none" w:sz="0" w:space="0" w:color="auto"/>
            <w:bottom w:val="none" w:sz="0" w:space="0" w:color="auto"/>
            <w:right w:val="none" w:sz="0" w:space="0" w:color="auto"/>
          </w:divBdr>
        </w:div>
        <w:div w:id="1375275293">
          <w:marLeft w:val="0"/>
          <w:marRight w:val="0"/>
          <w:marTop w:val="0"/>
          <w:marBottom w:val="0"/>
          <w:divBdr>
            <w:top w:val="none" w:sz="0" w:space="0" w:color="auto"/>
            <w:left w:val="none" w:sz="0" w:space="0" w:color="auto"/>
            <w:bottom w:val="none" w:sz="0" w:space="0" w:color="auto"/>
            <w:right w:val="none" w:sz="0" w:space="0" w:color="auto"/>
          </w:divBdr>
        </w:div>
        <w:div w:id="816801659">
          <w:marLeft w:val="0"/>
          <w:marRight w:val="0"/>
          <w:marTop w:val="0"/>
          <w:marBottom w:val="0"/>
          <w:divBdr>
            <w:top w:val="none" w:sz="0" w:space="0" w:color="auto"/>
            <w:left w:val="none" w:sz="0" w:space="0" w:color="auto"/>
            <w:bottom w:val="none" w:sz="0" w:space="0" w:color="auto"/>
            <w:right w:val="none" w:sz="0" w:space="0" w:color="auto"/>
          </w:divBdr>
        </w:div>
        <w:div w:id="1867207585">
          <w:marLeft w:val="0"/>
          <w:marRight w:val="0"/>
          <w:marTop w:val="0"/>
          <w:marBottom w:val="0"/>
          <w:divBdr>
            <w:top w:val="none" w:sz="0" w:space="0" w:color="auto"/>
            <w:left w:val="none" w:sz="0" w:space="0" w:color="auto"/>
            <w:bottom w:val="none" w:sz="0" w:space="0" w:color="auto"/>
            <w:right w:val="none" w:sz="0" w:space="0" w:color="auto"/>
          </w:divBdr>
        </w:div>
        <w:div w:id="1643316479">
          <w:marLeft w:val="0"/>
          <w:marRight w:val="0"/>
          <w:marTop w:val="0"/>
          <w:marBottom w:val="0"/>
          <w:divBdr>
            <w:top w:val="none" w:sz="0" w:space="0" w:color="auto"/>
            <w:left w:val="none" w:sz="0" w:space="0" w:color="auto"/>
            <w:bottom w:val="none" w:sz="0" w:space="0" w:color="auto"/>
            <w:right w:val="none" w:sz="0" w:space="0" w:color="auto"/>
          </w:divBdr>
        </w:div>
        <w:div w:id="1001003994">
          <w:marLeft w:val="0"/>
          <w:marRight w:val="0"/>
          <w:marTop w:val="0"/>
          <w:marBottom w:val="0"/>
          <w:divBdr>
            <w:top w:val="none" w:sz="0" w:space="0" w:color="auto"/>
            <w:left w:val="none" w:sz="0" w:space="0" w:color="auto"/>
            <w:bottom w:val="none" w:sz="0" w:space="0" w:color="auto"/>
            <w:right w:val="none" w:sz="0" w:space="0" w:color="auto"/>
          </w:divBdr>
        </w:div>
        <w:div w:id="153839105">
          <w:marLeft w:val="0"/>
          <w:marRight w:val="0"/>
          <w:marTop w:val="0"/>
          <w:marBottom w:val="0"/>
          <w:divBdr>
            <w:top w:val="none" w:sz="0" w:space="0" w:color="auto"/>
            <w:left w:val="none" w:sz="0" w:space="0" w:color="auto"/>
            <w:bottom w:val="none" w:sz="0" w:space="0" w:color="auto"/>
            <w:right w:val="none" w:sz="0" w:space="0" w:color="auto"/>
          </w:divBdr>
        </w:div>
        <w:div w:id="1638341770">
          <w:marLeft w:val="0"/>
          <w:marRight w:val="0"/>
          <w:marTop w:val="0"/>
          <w:marBottom w:val="0"/>
          <w:divBdr>
            <w:top w:val="none" w:sz="0" w:space="0" w:color="auto"/>
            <w:left w:val="none" w:sz="0" w:space="0" w:color="auto"/>
            <w:bottom w:val="none" w:sz="0" w:space="0" w:color="auto"/>
            <w:right w:val="none" w:sz="0" w:space="0" w:color="auto"/>
          </w:divBdr>
        </w:div>
        <w:div w:id="1907645596">
          <w:marLeft w:val="0"/>
          <w:marRight w:val="0"/>
          <w:marTop w:val="0"/>
          <w:marBottom w:val="0"/>
          <w:divBdr>
            <w:top w:val="none" w:sz="0" w:space="0" w:color="auto"/>
            <w:left w:val="none" w:sz="0" w:space="0" w:color="auto"/>
            <w:bottom w:val="none" w:sz="0" w:space="0" w:color="auto"/>
            <w:right w:val="none" w:sz="0" w:space="0" w:color="auto"/>
          </w:divBdr>
        </w:div>
        <w:div w:id="1941332876">
          <w:marLeft w:val="0"/>
          <w:marRight w:val="0"/>
          <w:marTop w:val="0"/>
          <w:marBottom w:val="0"/>
          <w:divBdr>
            <w:top w:val="none" w:sz="0" w:space="0" w:color="auto"/>
            <w:left w:val="none" w:sz="0" w:space="0" w:color="auto"/>
            <w:bottom w:val="none" w:sz="0" w:space="0" w:color="auto"/>
            <w:right w:val="none" w:sz="0" w:space="0" w:color="auto"/>
          </w:divBdr>
        </w:div>
        <w:div w:id="127629371">
          <w:marLeft w:val="0"/>
          <w:marRight w:val="0"/>
          <w:marTop w:val="0"/>
          <w:marBottom w:val="0"/>
          <w:divBdr>
            <w:top w:val="none" w:sz="0" w:space="0" w:color="auto"/>
            <w:left w:val="none" w:sz="0" w:space="0" w:color="auto"/>
            <w:bottom w:val="none" w:sz="0" w:space="0" w:color="auto"/>
            <w:right w:val="none" w:sz="0" w:space="0" w:color="auto"/>
          </w:divBdr>
        </w:div>
        <w:div w:id="137648333">
          <w:marLeft w:val="0"/>
          <w:marRight w:val="0"/>
          <w:marTop w:val="0"/>
          <w:marBottom w:val="0"/>
          <w:divBdr>
            <w:top w:val="none" w:sz="0" w:space="0" w:color="auto"/>
            <w:left w:val="none" w:sz="0" w:space="0" w:color="auto"/>
            <w:bottom w:val="none" w:sz="0" w:space="0" w:color="auto"/>
            <w:right w:val="none" w:sz="0" w:space="0" w:color="auto"/>
          </w:divBdr>
        </w:div>
        <w:div w:id="1495997061">
          <w:marLeft w:val="0"/>
          <w:marRight w:val="0"/>
          <w:marTop w:val="0"/>
          <w:marBottom w:val="0"/>
          <w:divBdr>
            <w:top w:val="none" w:sz="0" w:space="0" w:color="auto"/>
            <w:left w:val="none" w:sz="0" w:space="0" w:color="auto"/>
            <w:bottom w:val="none" w:sz="0" w:space="0" w:color="auto"/>
            <w:right w:val="none" w:sz="0" w:space="0" w:color="auto"/>
          </w:divBdr>
        </w:div>
        <w:div w:id="1766343778">
          <w:marLeft w:val="0"/>
          <w:marRight w:val="0"/>
          <w:marTop w:val="0"/>
          <w:marBottom w:val="0"/>
          <w:divBdr>
            <w:top w:val="none" w:sz="0" w:space="0" w:color="auto"/>
            <w:left w:val="none" w:sz="0" w:space="0" w:color="auto"/>
            <w:bottom w:val="none" w:sz="0" w:space="0" w:color="auto"/>
            <w:right w:val="none" w:sz="0" w:space="0" w:color="auto"/>
          </w:divBdr>
        </w:div>
        <w:div w:id="285507519">
          <w:marLeft w:val="0"/>
          <w:marRight w:val="0"/>
          <w:marTop w:val="0"/>
          <w:marBottom w:val="0"/>
          <w:divBdr>
            <w:top w:val="none" w:sz="0" w:space="0" w:color="auto"/>
            <w:left w:val="none" w:sz="0" w:space="0" w:color="auto"/>
            <w:bottom w:val="none" w:sz="0" w:space="0" w:color="auto"/>
            <w:right w:val="none" w:sz="0" w:space="0" w:color="auto"/>
          </w:divBdr>
        </w:div>
        <w:div w:id="1711226621">
          <w:marLeft w:val="0"/>
          <w:marRight w:val="0"/>
          <w:marTop w:val="0"/>
          <w:marBottom w:val="0"/>
          <w:divBdr>
            <w:top w:val="none" w:sz="0" w:space="0" w:color="auto"/>
            <w:left w:val="none" w:sz="0" w:space="0" w:color="auto"/>
            <w:bottom w:val="none" w:sz="0" w:space="0" w:color="auto"/>
            <w:right w:val="none" w:sz="0" w:space="0" w:color="auto"/>
          </w:divBdr>
        </w:div>
        <w:div w:id="100103541">
          <w:marLeft w:val="0"/>
          <w:marRight w:val="0"/>
          <w:marTop w:val="0"/>
          <w:marBottom w:val="0"/>
          <w:divBdr>
            <w:top w:val="none" w:sz="0" w:space="0" w:color="auto"/>
            <w:left w:val="none" w:sz="0" w:space="0" w:color="auto"/>
            <w:bottom w:val="none" w:sz="0" w:space="0" w:color="auto"/>
            <w:right w:val="none" w:sz="0" w:space="0" w:color="auto"/>
          </w:divBdr>
        </w:div>
        <w:div w:id="632908103">
          <w:marLeft w:val="0"/>
          <w:marRight w:val="0"/>
          <w:marTop w:val="0"/>
          <w:marBottom w:val="0"/>
          <w:divBdr>
            <w:top w:val="none" w:sz="0" w:space="0" w:color="auto"/>
            <w:left w:val="none" w:sz="0" w:space="0" w:color="auto"/>
            <w:bottom w:val="none" w:sz="0" w:space="0" w:color="auto"/>
            <w:right w:val="none" w:sz="0" w:space="0" w:color="auto"/>
          </w:divBdr>
        </w:div>
        <w:div w:id="39019872">
          <w:marLeft w:val="0"/>
          <w:marRight w:val="0"/>
          <w:marTop w:val="0"/>
          <w:marBottom w:val="0"/>
          <w:divBdr>
            <w:top w:val="none" w:sz="0" w:space="0" w:color="auto"/>
            <w:left w:val="none" w:sz="0" w:space="0" w:color="auto"/>
            <w:bottom w:val="none" w:sz="0" w:space="0" w:color="auto"/>
            <w:right w:val="none" w:sz="0" w:space="0" w:color="auto"/>
          </w:divBdr>
        </w:div>
        <w:div w:id="690103529">
          <w:marLeft w:val="0"/>
          <w:marRight w:val="0"/>
          <w:marTop w:val="0"/>
          <w:marBottom w:val="0"/>
          <w:divBdr>
            <w:top w:val="none" w:sz="0" w:space="0" w:color="auto"/>
            <w:left w:val="none" w:sz="0" w:space="0" w:color="auto"/>
            <w:bottom w:val="none" w:sz="0" w:space="0" w:color="auto"/>
            <w:right w:val="none" w:sz="0" w:space="0" w:color="auto"/>
          </w:divBdr>
        </w:div>
        <w:div w:id="537935898">
          <w:marLeft w:val="0"/>
          <w:marRight w:val="0"/>
          <w:marTop w:val="0"/>
          <w:marBottom w:val="0"/>
          <w:divBdr>
            <w:top w:val="none" w:sz="0" w:space="0" w:color="auto"/>
            <w:left w:val="none" w:sz="0" w:space="0" w:color="auto"/>
            <w:bottom w:val="none" w:sz="0" w:space="0" w:color="auto"/>
            <w:right w:val="none" w:sz="0" w:space="0" w:color="auto"/>
          </w:divBdr>
        </w:div>
        <w:div w:id="1136794081">
          <w:marLeft w:val="0"/>
          <w:marRight w:val="0"/>
          <w:marTop w:val="0"/>
          <w:marBottom w:val="0"/>
          <w:divBdr>
            <w:top w:val="none" w:sz="0" w:space="0" w:color="auto"/>
            <w:left w:val="none" w:sz="0" w:space="0" w:color="auto"/>
            <w:bottom w:val="none" w:sz="0" w:space="0" w:color="auto"/>
            <w:right w:val="none" w:sz="0" w:space="0" w:color="auto"/>
          </w:divBdr>
        </w:div>
        <w:div w:id="1384864818">
          <w:marLeft w:val="0"/>
          <w:marRight w:val="0"/>
          <w:marTop w:val="0"/>
          <w:marBottom w:val="0"/>
          <w:divBdr>
            <w:top w:val="none" w:sz="0" w:space="0" w:color="auto"/>
            <w:left w:val="none" w:sz="0" w:space="0" w:color="auto"/>
            <w:bottom w:val="none" w:sz="0" w:space="0" w:color="auto"/>
            <w:right w:val="none" w:sz="0" w:space="0" w:color="auto"/>
          </w:divBdr>
        </w:div>
        <w:div w:id="404452434">
          <w:marLeft w:val="0"/>
          <w:marRight w:val="0"/>
          <w:marTop w:val="0"/>
          <w:marBottom w:val="0"/>
          <w:divBdr>
            <w:top w:val="none" w:sz="0" w:space="0" w:color="auto"/>
            <w:left w:val="none" w:sz="0" w:space="0" w:color="auto"/>
            <w:bottom w:val="none" w:sz="0" w:space="0" w:color="auto"/>
            <w:right w:val="none" w:sz="0" w:space="0" w:color="auto"/>
          </w:divBdr>
        </w:div>
        <w:div w:id="298848019">
          <w:marLeft w:val="0"/>
          <w:marRight w:val="0"/>
          <w:marTop w:val="0"/>
          <w:marBottom w:val="0"/>
          <w:divBdr>
            <w:top w:val="none" w:sz="0" w:space="0" w:color="auto"/>
            <w:left w:val="none" w:sz="0" w:space="0" w:color="auto"/>
            <w:bottom w:val="none" w:sz="0" w:space="0" w:color="auto"/>
            <w:right w:val="none" w:sz="0" w:space="0" w:color="auto"/>
          </w:divBdr>
        </w:div>
        <w:div w:id="1737781431">
          <w:marLeft w:val="0"/>
          <w:marRight w:val="0"/>
          <w:marTop w:val="0"/>
          <w:marBottom w:val="0"/>
          <w:divBdr>
            <w:top w:val="none" w:sz="0" w:space="0" w:color="auto"/>
            <w:left w:val="none" w:sz="0" w:space="0" w:color="auto"/>
            <w:bottom w:val="none" w:sz="0" w:space="0" w:color="auto"/>
            <w:right w:val="none" w:sz="0" w:space="0" w:color="auto"/>
          </w:divBdr>
        </w:div>
        <w:div w:id="988747892">
          <w:marLeft w:val="0"/>
          <w:marRight w:val="0"/>
          <w:marTop w:val="0"/>
          <w:marBottom w:val="0"/>
          <w:divBdr>
            <w:top w:val="none" w:sz="0" w:space="0" w:color="auto"/>
            <w:left w:val="none" w:sz="0" w:space="0" w:color="auto"/>
            <w:bottom w:val="none" w:sz="0" w:space="0" w:color="auto"/>
            <w:right w:val="none" w:sz="0" w:space="0" w:color="auto"/>
          </w:divBdr>
        </w:div>
        <w:div w:id="378088728">
          <w:marLeft w:val="0"/>
          <w:marRight w:val="0"/>
          <w:marTop w:val="0"/>
          <w:marBottom w:val="0"/>
          <w:divBdr>
            <w:top w:val="none" w:sz="0" w:space="0" w:color="auto"/>
            <w:left w:val="none" w:sz="0" w:space="0" w:color="auto"/>
            <w:bottom w:val="none" w:sz="0" w:space="0" w:color="auto"/>
            <w:right w:val="none" w:sz="0" w:space="0" w:color="auto"/>
          </w:divBdr>
        </w:div>
        <w:div w:id="405303102">
          <w:marLeft w:val="0"/>
          <w:marRight w:val="0"/>
          <w:marTop w:val="0"/>
          <w:marBottom w:val="0"/>
          <w:divBdr>
            <w:top w:val="none" w:sz="0" w:space="0" w:color="auto"/>
            <w:left w:val="none" w:sz="0" w:space="0" w:color="auto"/>
            <w:bottom w:val="none" w:sz="0" w:space="0" w:color="auto"/>
            <w:right w:val="none" w:sz="0" w:space="0" w:color="auto"/>
          </w:divBdr>
        </w:div>
        <w:div w:id="1191797991">
          <w:marLeft w:val="0"/>
          <w:marRight w:val="0"/>
          <w:marTop w:val="0"/>
          <w:marBottom w:val="0"/>
          <w:divBdr>
            <w:top w:val="none" w:sz="0" w:space="0" w:color="auto"/>
            <w:left w:val="none" w:sz="0" w:space="0" w:color="auto"/>
            <w:bottom w:val="none" w:sz="0" w:space="0" w:color="auto"/>
            <w:right w:val="none" w:sz="0" w:space="0" w:color="auto"/>
          </w:divBdr>
        </w:div>
        <w:div w:id="483282959">
          <w:marLeft w:val="0"/>
          <w:marRight w:val="0"/>
          <w:marTop w:val="0"/>
          <w:marBottom w:val="0"/>
          <w:divBdr>
            <w:top w:val="none" w:sz="0" w:space="0" w:color="auto"/>
            <w:left w:val="none" w:sz="0" w:space="0" w:color="auto"/>
            <w:bottom w:val="none" w:sz="0" w:space="0" w:color="auto"/>
            <w:right w:val="none" w:sz="0" w:space="0" w:color="auto"/>
          </w:divBdr>
        </w:div>
        <w:div w:id="1886792150">
          <w:marLeft w:val="0"/>
          <w:marRight w:val="0"/>
          <w:marTop w:val="0"/>
          <w:marBottom w:val="0"/>
          <w:divBdr>
            <w:top w:val="none" w:sz="0" w:space="0" w:color="auto"/>
            <w:left w:val="none" w:sz="0" w:space="0" w:color="auto"/>
            <w:bottom w:val="none" w:sz="0" w:space="0" w:color="auto"/>
            <w:right w:val="none" w:sz="0" w:space="0" w:color="auto"/>
          </w:divBdr>
        </w:div>
      </w:divsChild>
    </w:div>
    <w:div w:id="281618347">
      <w:bodyDiv w:val="1"/>
      <w:marLeft w:val="0"/>
      <w:marRight w:val="0"/>
      <w:marTop w:val="0"/>
      <w:marBottom w:val="0"/>
      <w:divBdr>
        <w:top w:val="none" w:sz="0" w:space="0" w:color="auto"/>
        <w:left w:val="none" w:sz="0" w:space="0" w:color="auto"/>
        <w:bottom w:val="none" w:sz="0" w:space="0" w:color="auto"/>
        <w:right w:val="none" w:sz="0" w:space="0" w:color="auto"/>
      </w:divBdr>
      <w:divsChild>
        <w:div w:id="853418880">
          <w:marLeft w:val="0"/>
          <w:marRight w:val="0"/>
          <w:marTop w:val="0"/>
          <w:marBottom w:val="0"/>
          <w:divBdr>
            <w:top w:val="none" w:sz="0" w:space="0" w:color="auto"/>
            <w:left w:val="none" w:sz="0" w:space="0" w:color="auto"/>
            <w:bottom w:val="none" w:sz="0" w:space="0" w:color="auto"/>
            <w:right w:val="none" w:sz="0" w:space="0" w:color="auto"/>
          </w:divBdr>
        </w:div>
        <w:div w:id="34544890">
          <w:marLeft w:val="0"/>
          <w:marRight w:val="0"/>
          <w:marTop w:val="0"/>
          <w:marBottom w:val="0"/>
          <w:divBdr>
            <w:top w:val="none" w:sz="0" w:space="0" w:color="auto"/>
            <w:left w:val="none" w:sz="0" w:space="0" w:color="auto"/>
            <w:bottom w:val="none" w:sz="0" w:space="0" w:color="auto"/>
            <w:right w:val="none" w:sz="0" w:space="0" w:color="auto"/>
          </w:divBdr>
        </w:div>
        <w:div w:id="1036272435">
          <w:marLeft w:val="0"/>
          <w:marRight w:val="0"/>
          <w:marTop w:val="0"/>
          <w:marBottom w:val="0"/>
          <w:divBdr>
            <w:top w:val="none" w:sz="0" w:space="0" w:color="auto"/>
            <w:left w:val="none" w:sz="0" w:space="0" w:color="auto"/>
            <w:bottom w:val="none" w:sz="0" w:space="0" w:color="auto"/>
            <w:right w:val="none" w:sz="0" w:space="0" w:color="auto"/>
          </w:divBdr>
        </w:div>
        <w:div w:id="132597548">
          <w:marLeft w:val="0"/>
          <w:marRight w:val="0"/>
          <w:marTop w:val="0"/>
          <w:marBottom w:val="0"/>
          <w:divBdr>
            <w:top w:val="none" w:sz="0" w:space="0" w:color="auto"/>
            <w:left w:val="none" w:sz="0" w:space="0" w:color="auto"/>
            <w:bottom w:val="none" w:sz="0" w:space="0" w:color="auto"/>
            <w:right w:val="none" w:sz="0" w:space="0" w:color="auto"/>
          </w:divBdr>
        </w:div>
        <w:div w:id="1894465845">
          <w:marLeft w:val="0"/>
          <w:marRight w:val="0"/>
          <w:marTop w:val="0"/>
          <w:marBottom w:val="0"/>
          <w:divBdr>
            <w:top w:val="none" w:sz="0" w:space="0" w:color="auto"/>
            <w:left w:val="none" w:sz="0" w:space="0" w:color="auto"/>
            <w:bottom w:val="none" w:sz="0" w:space="0" w:color="auto"/>
            <w:right w:val="none" w:sz="0" w:space="0" w:color="auto"/>
          </w:divBdr>
        </w:div>
        <w:div w:id="728578471">
          <w:marLeft w:val="0"/>
          <w:marRight w:val="0"/>
          <w:marTop w:val="0"/>
          <w:marBottom w:val="0"/>
          <w:divBdr>
            <w:top w:val="none" w:sz="0" w:space="0" w:color="auto"/>
            <w:left w:val="none" w:sz="0" w:space="0" w:color="auto"/>
            <w:bottom w:val="none" w:sz="0" w:space="0" w:color="auto"/>
            <w:right w:val="none" w:sz="0" w:space="0" w:color="auto"/>
          </w:divBdr>
        </w:div>
        <w:div w:id="1137995538">
          <w:marLeft w:val="0"/>
          <w:marRight w:val="0"/>
          <w:marTop w:val="0"/>
          <w:marBottom w:val="0"/>
          <w:divBdr>
            <w:top w:val="none" w:sz="0" w:space="0" w:color="auto"/>
            <w:left w:val="none" w:sz="0" w:space="0" w:color="auto"/>
            <w:bottom w:val="none" w:sz="0" w:space="0" w:color="auto"/>
            <w:right w:val="none" w:sz="0" w:space="0" w:color="auto"/>
          </w:divBdr>
        </w:div>
        <w:div w:id="1033578516">
          <w:marLeft w:val="0"/>
          <w:marRight w:val="0"/>
          <w:marTop w:val="0"/>
          <w:marBottom w:val="0"/>
          <w:divBdr>
            <w:top w:val="none" w:sz="0" w:space="0" w:color="auto"/>
            <w:left w:val="none" w:sz="0" w:space="0" w:color="auto"/>
            <w:bottom w:val="none" w:sz="0" w:space="0" w:color="auto"/>
            <w:right w:val="none" w:sz="0" w:space="0" w:color="auto"/>
          </w:divBdr>
        </w:div>
      </w:divsChild>
    </w:div>
    <w:div w:id="291401561">
      <w:bodyDiv w:val="1"/>
      <w:marLeft w:val="0"/>
      <w:marRight w:val="0"/>
      <w:marTop w:val="0"/>
      <w:marBottom w:val="0"/>
      <w:divBdr>
        <w:top w:val="none" w:sz="0" w:space="0" w:color="auto"/>
        <w:left w:val="none" w:sz="0" w:space="0" w:color="auto"/>
        <w:bottom w:val="none" w:sz="0" w:space="0" w:color="auto"/>
        <w:right w:val="none" w:sz="0" w:space="0" w:color="auto"/>
      </w:divBdr>
      <w:divsChild>
        <w:div w:id="625046138">
          <w:marLeft w:val="0"/>
          <w:marRight w:val="0"/>
          <w:marTop w:val="0"/>
          <w:marBottom w:val="0"/>
          <w:divBdr>
            <w:top w:val="none" w:sz="0" w:space="0" w:color="auto"/>
            <w:left w:val="none" w:sz="0" w:space="0" w:color="auto"/>
            <w:bottom w:val="none" w:sz="0" w:space="0" w:color="auto"/>
            <w:right w:val="none" w:sz="0" w:space="0" w:color="auto"/>
          </w:divBdr>
        </w:div>
        <w:div w:id="1639796985">
          <w:marLeft w:val="0"/>
          <w:marRight w:val="0"/>
          <w:marTop w:val="0"/>
          <w:marBottom w:val="0"/>
          <w:divBdr>
            <w:top w:val="none" w:sz="0" w:space="0" w:color="auto"/>
            <w:left w:val="none" w:sz="0" w:space="0" w:color="auto"/>
            <w:bottom w:val="none" w:sz="0" w:space="0" w:color="auto"/>
            <w:right w:val="none" w:sz="0" w:space="0" w:color="auto"/>
          </w:divBdr>
        </w:div>
        <w:div w:id="1864511106">
          <w:marLeft w:val="0"/>
          <w:marRight w:val="0"/>
          <w:marTop w:val="0"/>
          <w:marBottom w:val="0"/>
          <w:divBdr>
            <w:top w:val="none" w:sz="0" w:space="0" w:color="auto"/>
            <w:left w:val="none" w:sz="0" w:space="0" w:color="auto"/>
            <w:bottom w:val="none" w:sz="0" w:space="0" w:color="auto"/>
            <w:right w:val="none" w:sz="0" w:space="0" w:color="auto"/>
          </w:divBdr>
        </w:div>
        <w:div w:id="885021921">
          <w:marLeft w:val="0"/>
          <w:marRight w:val="0"/>
          <w:marTop w:val="0"/>
          <w:marBottom w:val="0"/>
          <w:divBdr>
            <w:top w:val="none" w:sz="0" w:space="0" w:color="auto"/>
            <w:left w:val="none" w:sz="0" w:space="0" w:color="auto"/>
            <w:bottom w:val="none" w:sz="0" w:space="0" w:color="auto"/>
            <w:right w:val="none" w:sz="0" w:space="0" w:color="auto"/>
          </w:divBdr>
        </w:div>
        <w:div w:id="1342581559">
          <w:marLeft w:val="0"/>
          <w:marRight w:val="0"/>
          <w:marTop w:val="0"/>
          <w:marBottom w:val="0"/>
          <w:divBdr>
            <w:top w:val="none" w:sz="0" w:space="0" w:color="auto"/>
            <w:left w:val="none" w:sz="0" w:space="0" w:color="auto"/>
            <w:bottom w:val="none" w:sz="0" w:space="0" w:color="auto"/>
            <w:right w:val="none" w:sz="0" w:space="0" w:color="auto"/>
          </w:divBdr>
        </w:div>
        <w:div w:id="1597054345">
          <w:marLeft w:val="0"/>
          <w:marRight w:val="0"/>
          <w:marTop w:val="0"/>
          <w:marBottom w:val="0"/>
          <w:divBdr>
            <w:top w:val="none" w:sz="0" w:space="0" w:color="auto"/>
            <w:left w:val="none" w:sz="0" w:space="0" w:color="auto"/>
            <w:bottom w:val="none" w:sz="0" w:space="0" w:color="auto"/>
            <w:right w:val="none" w:sz="0" w:space="0" w:color="auto"/>
          </w:divBdr>
        </w:div>
        <w:div w:id="852039035">
          <w:marLeft w:val="0"/>
          <w:marRight w:val="0"/>
          <w:marTop w:val="0"/>
          <w:marBottom w:val="0"/>
          <w:divBdr>
            <w:top w:val="none" w:sz="0" w:space="0" w:color="auto"/>
            <w:left w:val="none" w:sz="0" w:space="0" w:color="auto"/>
            <w:bottom w:val="none" w:sz="0" w:space="0" w:color="auto"/>
            <w:right w:val="none" w:sz="0" w:space="0" w:color="auto"/>
          </w:divBdr>
        </w:div>
        <w:div w:id="356736253">
          <w:marLeft w:val="0"/>
          <w:marRight w:val="0"/>
          <w:marTop w:val="0"/>
          <w:marBottom w:val="0"/>
          <w:divBdr>
            <w:top w:val="none" w:sz="0" w:space="0" w:color="auto"/>
            <w:left w:val="none" w:sz="0" w:space="0" w:color="auto"/>
            <w:bottom w:val="none" w:sz="0" w:space="0" w:color="auto"/>
            <w:right w:val="none" w:sz="0" w:space="0" w:color="auto"/>
          </w:divBdr>
        </w:div>
        <w:div w:id="161089290">
          <w:marLeft w:val="0"/>
          <w:marRight w:val="0"/>
          <w:marTop w:val="0"/>
          <w:marBottom w:val="0"/>
          <w:divBdr>
            <w:top w:val="none" w:sz="0" w:space="0" w:color="auto"/>
            <w:left w:val="none" w:sz="0" w:space="0" w:color="auto"/>
            <w:bottom w:val="none" w:sz="0" w:space="0" w:color="auto"/>
            <w:right w:val="none" w:sz="0" w:space="0" w:color="auto"/>
          </w:divBdr>
        </w:div>
        <w:div w:id="103038622">
          <w:marLeft w:val="0"/>
          <w:marRight w:val="0"/>
          <w:marTop w:val="0"/>
          <w:marBottom w:val="0"/>
          <w:divBdr>
            <w:top w:val="none" w:sz="0" w:space="0" w:color="auto"/>
            <w:left w:val="none" w:sz="0" w:space="0" w:color="auto"/>
            <w:bottom w:val="none" w:sz="0" w:space="0" w:color="auto"/>
            <w:right w:val="none" w:sz="0" w:space="0" w:color="auto"/>
          </w:divBdr>
        </w:div>
        <w:div w:id="1337465499">
          <w:marLeft w:val="0"/>
          <w:marRight w:val="0"/>
          <w:marTop w:val="0"/>
          <w:marBottom w:val="0"/>
          <w:divBdr>
            <w:top w:val="none" w:sz="0" w:space="0" w:color="auto"/>
            <w:left w:val="none" w:sz="0" w:space="0" w:color="auto"/>
            <w:bottom w:val="none" w:sz="0" w:space="0" w:color="auto"/>
            <w:right w:val="none" w:sz="0" w:space="0" w:color="auto"/>
          </w:divBdr>
        </w:div>
        <w:div w:id="919171120">
          <w:marLeft w:val="0"/>
          <w:marRight w:val="0"/>
          <w:marTop w:val="0"/>
          <w:marBottom w:val="0"/>
          <w:divBdr>
            <w:top w:val="none" w:sz="0" w:space="0" w:color="auto"/>
            <w:left w:val="none" w:sz="0" w:space="0" w:color="auto"/>
            <w:bottom w:val="none" w:sz="0" w:space="0" w:color="auto"/>
            <w:right w:val="none" w:sz="0" w:space="0" w:color="auto"/>
          </w:divBdr>
        </w:div>
        <w:div w:id="54284789">
          <w:marLeft w:val="0"/>
          <w:marRight w:val="0"/>
          <w:marTop w:val="0"/>
          <w:marBottom w:val="0"/>
          <w:divBdr>
            <w:top w:val="none" w:sz="0" w:space="0" w:color="auto"/>
            <w:left w:val="none" w:sz="0" w:space="0" w:color="auto"/>
            <w:bottom w:val="none" w:sz="0" w:space="0" w:color="auto"/>
            <w:right w:val="none" w:sz="0" w:space="0" w:color="auto"/>
          </w:divBdr>
        </w:div>
        <w:div w:id="1241020762">
          <w:marLeft w:val="0"/>
          <w:marRight w:val="0"/>
          <w:marTop w:val="0"/>
          <w:marBottom w:val="0"/>
          <w:divBdr>
            <w:top w:val="none" w:sz="0" w:space="0" w:color="auto"/>
            <w:left w:val="none" w:sz="0" w:space="0" w:color="auto"/>
            <w:bottom w:val="none" w:sz="0" w:space="0" w:color="auto"/>
            <w:right w:val="none" w:sz="0" w:space="0" w:color="auto"/>
          </w:divBdr>
        </w:div>
        <w:div w:id="389497337">
          <w:marLeft w:val="0"/>
          <w:marRight w:val="0"/>
          <w:marTop w:val="0"/>
          <w:marBottom w:val="0"/>
          <w:divBdr>
            <w:top w:val="none" w:sz="0" w:space="0" w:color="auto"/>
            <w:left w:val="none" w:sz="0" w:space="0" w:color="auto"/>
            <w:bottom w:val="none" w:sz="0" w:space="0" w:color="auto"/>
            <w:right w:val="none" w:sz="0" w:space="0" w:color="auto"/>
          </w:divBdr>
        </w:div>
        <w:div w:id="347679463">
          <w:marLeft w:val="0"/>
          <w:marRight w:val="0"/>
          <w:marTop w:val="0"/>
          <w:marBottom w:val="0"/>
          <w:divBdr>
            <w:top w:val="none" w:sz="0" w:space="0" w:color="auto"/>
            <w:left w:val="none" w:sz="0" w:space="0" w:color="auto"/>
            <w:bottom w:val="none" w:sz="0" w:space="0" w:color="auto"/>
            <w:right w:val="none" w:sz="0" w:space="0" w:color="auto"/>
          </w:divBdr>
        </w:div>
        <w:div w:id="1877499848">
          <w:marLeft w:val="0"/>
          <w:marRight w:val="0"/>
          <w:marTop w:val="0"/>
          <w:marBottom w:val="0"/>
          <w:divBdr>
            <w:top w:val="none" w:sz="0" w:space="0" w:color="auto"/>
            <w:left w:val="none" w:sz="0" w:space="0" w:color="auto"/>
            <w:bottom w:val="none" w:sz="0" w:space="0" w:color="auto"/>
            <w:right w:val="none" w:sz="0" w:space="0" w:color="auto"/>
          </w:divBdr>
        </w:div>
        <w:div w:id="678120689">
          <w:marLeft w:val="0"/>
          <w:marRight w:val="0"/>
          <w:marTop w:val="0"/>
          <w:marBottom w:val="0"/>
          <w:divBdr>
            <w:top w:val="none" w:sz="0" w:space="0" w:color="auto"/>
            <w:left w:val="none" w:sz="0" w:space="0" w:color="auto"/>
            <w:bottom w:val="none" w:sz="0" w:space="0" w:color="auto"/>
            <w:right w:val="none" w:sz="0" w:space="0" w:color="auto"/>
          </w:divBdr>
        </w:div>
        <w:div w:id="1396509457">
          <w:marLeft w:val="0"/>
          <w:marRight w:val="0"/>
          <w:marTop w:val="0"/>
          <w:marBottom w:val="0"/>
          <w:divBdr>
            <w:top w:val="none" w:sz="0" w:space="0" w:color="auto"/>
            <w:left w:val="none" w:sz="0" w:space="0" w:color="auto"/>
            <w:bottom w:val="none" w:sz="0" w:space="0" w:color="auto"/>
            <w:right w:val="none" w:sz="0" w:space="0" w:color="auto"/>
          </w:divBdr>
        </w:div>
        <w:div w:id="369184960">
          <w:marLeft w:val="0"/>
          <w:marRight w:val="0"/>
          <w:marTop w:val="0"/>
          <w:marBottom w:val="0"/>
          <w:divBdr>
            <w:top w:val="none" w:sz="0" w:space="0" w:color="auto"/>
            <w:left w:val="none" w:sz="0" w:space="0" w:color="auto"/>
            <w:bottom w:val="none" w:sz="0" w:space="0" w:color="auto"/>
            <w:right w:val="none" w:sz="0" w:space="0" w:color="auto"/>
          </w:divBdr>
        </w:div>
        <w:div w:id="1822578133">
          <w:marLeft w:val="0"/>
          <w:marRight w:val="0"/>
          <w:marTop w:val="0"/>
          <w:marBottom w:val="0"/>
          <w:divBdr>
            <w:top w:val="none" w:sz="0" w:space="0" w:color="auto"/>
            <w:left w:val="none" w:sz="0" w:space="0" w:color="auto"/>
            <w:bottom w:val="none" w:sz="0" w:space="0" w:color="auto"/>
            <w:right w:val="none" w:sz="0" w:space="0" w:color="auto"/>
          </w:divBdr>
        </w:div>
        <w:div w:id="2046366821">
          <w:marLeft w:val="0"/>
          <w:marRight w:val="0"/>
          <w:marTop w:val="0"/>
          <w:marBottom w:val="0"/>
          <w:divBdr>
            <w:top w:val="none" w:sz="0" w:space="0" w:color="auto"/>
            <w:left w:val="none" w:sz="0" w:space="0" w:color="auto"/>
            <w:bottom w:val="none" w:sz="0" w:space="0" w:color="auto"/>
            <w:right w:val="none" w:sz="0" w:space="0" w:color="auto"/>
          </w:divBdr>
        </w:div>
        <w:div w:id="1841192123">
          <w:marLeft w:val="0"/>
          <w:marRight w:val="0"/>
          <w:marTop w:val="0"/>
          <w:marBottom w:val="0"/>
          <w:divBdr>
            <w:top w:val="none" w:sz="0" w:space="0" w:color="auto"/>
            <w:left w:val="none" w:sz="0" w:space="0" w:color="auto"/>
            <w:bottom w:val="none" w:sz="0" w:space="0" w:color="auto"/>
            <w:right w:val="none" w:sz="0" w:space="0" w:color="auto"/>
          </w:divBdr>
        </w:div>
        <w:div w:id="581261822">
          <w:marLeft w:val="0"/>
          <w:marRight w:val="0"/>
          <w:marTop w:val="0"/>
          <w:marBottom w:val="0"/>
          <w:divBdr>
            <w:top w:val="none" w:sz="0" w:space="0" w:color="auto"/>
            <w:left w:val="none" w:sz="0" w:space="0" w:color="auto"/>
            <w:bottom w:val="none" w:sz="0" w:space="0" w:color="auto"/>
            <w:right w:val="none" w:sz="0" w:space="0" w:color="auto"/>
          </w:divBdr>
        </w:div>
        <w:div w:id="349188930">
          <w:marLeft w:val="0"/>
          <w:marRight w:val="0"/>
          <w:marTop w:val="0"/>
          <w:marBottom w:val="0"/>
          <w:divBdr>
            <w:top w:val="none" w:sz="0" w:space="0" w:color="auto"/>
            <w:left w:val="none" w:sz="0" w:space="0" w:color="auto"/>
            <w:bottom w:val="none" w:sz="0" w:space="0" w:color="auto"/>
            <w:right w:val="none" w:sz="0" w:space="0" w:color="auto"/>
          </w:divBdr>
        </w:div>
        <w:div w:id="222638605">
          <w:marLeft w:val="0"/>
          <w:marRight w:val="0"/>
          <w:marTop w:val="0"/>
          <w:marBottom w:val="0"/>
          <w:divBdr>
            <w:top w:val="none" w:sz="0" w:space="0" w:color="auto"/>
            <w:left w:val="none" w:sz="0" w:space="0" w:color="auto"/>
            <w:bottom w:val="none" w:sz="0" w:space="0" w:color="auto"/>
            <w:right w:val="none" w:sz="0" w:space="0" w:color="auto"/>
          </w:divBdr>
        </w:div>
        <w:div w:id="1132362963">
          <w:marLeft w:val="0"/>
          <w:marRight w:val="0"/>
          <w:marTop w:val="0"/>
          <w:marBottom w:val="0"/>
          <w:divBdr>
            <w:top w:val="none" w:sz="0" w:space="0" w:color="auto"/>
            <w:left w:val="none" w:sz="0" w:space="0" w:color="auto"/>
            <w:bottom w:val="none" w:sz="0" w:space="0" w:color="auto"/>
            <w:right w:val="none" w:sz="0" w:space="0" w:color="auto"/>
          </w:divBdr>
        </w:div>
        <w:div w:id="1511945004">
          <w:marLeft w:val="0"/>
          <w:marRight w:val="0"/>
          <w:marTop w:val="0"/>
          <w:marBottom w:val="0"/>
          <w:divBdr>
            <w:top w:val="none" w:sz="0" w:space="0" w:color="auto"/>
            <w:left w:val="none" w:sz="0" w:space="0" w:color="auto"/>
            <w:bottom w:val="none" w:sz="0" w:space="0" w:color="auto"/>
            <w:right w:val="none" w:sz="0" w:space="0" w:color="auto"/>
          </w:divBdr>
        </w:div>
        <w:div w:id="91050055">
          <w:marLeft w:val="0"/>
          <w:marRight w:val="0"/>
          <w:marTop w:val="0"/>
          <w:marBottom w:val="0"/>
          <w:divBdr>
            <w:top w:val="none" w:sz="0" w:space="0" w:color="auto"/>
            <w:left w:val="none" w:sz="0" w:space="0" w:color="auto"/>
            <w:bottom w:val="none" w:sz="0" w:space="0" w:color="auto"/>
            <w:right w:val="none" w:sz="0" w:space="0" w:color="auto"/>
          </w:divBdr>
        </w:div>
        <w:div w:id="1694648635">
          <w:marLeft w:val="0"/>
          <w:marRight w:val="0"/>
          <w:marTop w:val="0"/>
          <w:marBottom w:val="0"/>
          <w:divBdr>
            <w:top w:val="none" w:sz="0" w:space="0" w:color="auto"/>
            <w:left w:val="none" w:sz="0" w:space="0" w:color="auto"/>
            <w:bottom w:val="none" w:sz="0" w:space="0" w:color="auto"/>
            <w:right w:val="none" w:sz="0" w:space="0" w:color="auto"/>
          </w:divBdr>
        </w:div>
        <w:div w:id="24790731">
          <w:marLeft w:val="0"/>
          <w:marRight w:val="0"/>
          <w:marTop w:val="0"/>
          <w:marBottom w:val="0"/>
          <w:divBdr>
            <w:top w:val="none" w:sz="0" w:space="0" w:color="auto"/>
            <w:left w:val="none" w:sz="0" w:space="0" w:color="auto"/>
            <w:bottom w:val="none" w:sz="0" w:space="0" w:color="auto"/>
            <w:right w:val="none" w:sz="0" w:space="0" w:color="auto"/>
          </w:divBdr>
        </w:div>
        <w:div w:id="2025672335">
          <w:marLeft w:val="0"/>
          <w:marRight w:val="0"/>
          <w:marTop w:val="0"/>
          <w:marBottom w:val="0"/>
          <w:divBdr>
            <w:top w:val="none" w:sz="0" w:space="0" w:color="auto"/>
            <w:left w:val="none" w:sz="0" w:space="0" w:color="auto"/>
            <w:bottom w:val="none" w:sz="0" w:space="0" w:color="auto"/>
            <w:right w:val="none" w:sz="0" w:space="0" w:color="auto"/>
          </w:divBdr>
        </w:div>
        <w:div w:id="1900048984">
          <w:marLeft w:val="0"/>
          <w:marRight w:val="0"/>
          <w:marTop w:val="0"/>
          <w:marBottom w:val="0"/>
          <w:divBdr>
            <w:top w:val="none" w:sz="0" w:space="0" w:color="auto"/>
            <w:left w:val="none" w:sz="0" w:space="0" w:color="auto"/>
            <w:bottom w:val="none" w:sz="0" w:space="0" w:color="auto"/>
            <w:right w:val="none" w:sz="0" w:space="0" w:color="auto"/>
          </w:divBdr>
        </w:div>
        <w:div w:id="867764711">
          <w:marLeft w:val="0"/>
          <w:marRight w:val="0"/>
          <w:marTop w:val="0"/>
          <w:marBottom w:val="0"/>
          <w:divBdr>
            <w:top w:val="none" w:sz="0" w:space="0" w:color="auto"/>
            <w:left w:val="none" w:sz="0" w:space="0" w:color="auto"/>
            <w:bottom w:val="none" w:sz="0" w:space="0" w:color="auto"/>
            <w:right w:val="none" w:sz="0" w:space="0" w:color="auto"/>
          </w:divBdr>
        </w:div>
        <w:div w:id="1820540219">
          <w:marLeft w:val="0"/>
          <w:marRight w:val="0"/>
          <w:marTop w:val="0"/>
          <w:marBottom w:val="0"/>
          <w:divBdr>
            <w:top w:val="none" w:sz="0" w:space="0" w:color="auto"/>
            <w:left w:val="none" w:sz="0" w:space="0" w:color="auto"/>
            <w:bottom w:val="none" w:sz="0" w:space="0" w:color="auto"/>
            <w:right w:val="none" w:sz="0" w:space="0" w:color="auto"/>
          </w:divBdr>
        </w:div>
        <w:div w:id="541524277">
          <w:marLeft w:val="0"/>
          <w:marRight w:val="0"/>
          <w:marTop w:val="0"/>
          <w:marBottom w:val="0"/>
          <w:divBdr>
            <w:top w:val="none" w:sz="0" w:space="0" w:color="auto"/>
            <w:left w:val="none" w:sz="0" w:space="0" w:color="auto"/>
            <w:bottom w:val="none" w:sz="0" w:space="0" w:color="auto"/>
            <w:right w:val="none" w:sz="0" w:space="0" w:color="auto"/>
          </w:divBdr>
        </w:div>
        <w:div w:id="1136412785">
          <w:marLeft w:val="0"/>
          <w:marRight w:val="0"/>
          <w:marTop w:val="0"/>
          <w:marBottom w:val="0"/>
          <w:divBdr>
            <w:top w:val="none" w:sz="0" w:space="0" w:color="auto"/>
            <w:left w:val="none" w:sz="0" w:space="0" w:color="auto"/>
            <w:bottom w:val="none" w:sz="0" w:space="0" w:color="auto"/>
            <w:right w:val="none" w:sz="0" w:space="0" w:color="auto"/>
          </w:divBdr>
        </w:div>
        <w:div w:id="738865838">
          <w:marLeft w:val="0"/>
          <w:marRight w:val="0"/>
          <w:marTop w:val="0"/>
          <w:marBottom w:val="0"/>
          <w:divBdr>
            <w:top w:val="none" w:sz="0" w:space="0" w:color="auto"/>
            <w:left w:val="none" w:sz="0" w:space="0" w:color="auto"/>
            <w:bottom w:val="none" w:sz="0" w:space="0" w:color="auto"/>
            <w:right w:val="none" w:sz="0" w:space="0" w:color="auto"/>
          </w:divBdr>
        </w:div>
        <w:div w:id="1624266577">
          <w:marLeft w:val="0"/>
          <w:marRight w:val="0"/>
          <w:marTop w:val="0"/>
          <w:marBottom w:val="0"/>
          <w:divBdr>
            <w:top w:val="none" w:sz="0" w:space="0" w:color="auto"/>
            <w:left w:val="none" w:sz="0" w:space="0" w:color="auto"/>
            <w:bottom w:val="none" w:sz="0" w:space="0" w:color="auto"/>
            <w:right w:val="none" w:sz="0" w:space="0" w:color="auto"/>
          </w:divBdr>
        </w:div>
        <w:div w:id="1560936495">
          <w:marLeft w:val="0"/>
          <w:marRight w:val="0"/>
          <w:marTop w:val="0"/>
          <w:marBottom w:val="0"/>
          <w:divBdr>
            <w:top w:val="none" w:sz="0" w:space="0" w:color="auto"/>
            <w:left w:val="none" w:sz="0" w:space="0" w:color="auto"/>
            <w:bottom w:val="none" w:sz="0" w:space="0" w:color="auto"/>
            <w:right w:val="none" w:sz="0" w:space="0" w:color="auto"/>
          </w:divBdr>
        </w:div>
        <w:div w:id="541749049">
          <w:marLeft w:val="0"/>
          <w:marRight w:val="0"/>
          <w:marTop w:val="0"/>
          <w:marBottom w:val="0"/>
          <w:divBdr>
            <w:top w:val="none" w:sz="0" w:space="0" w:color="auto"/>
            <w:left w:val="none" w:sz="0" w:space="0" w:color="auto"/>
            <w:bottom w:val="none" w:sz="0" w:space="0" w:color="auto"/>
            <w:right w:val="none" w:sz="0" w:space="0" w:color="auto"/>
          </w:divBdr>
        </w:div>
        <w:div w:id="76169734">
          <w:marLeft w:val="0"/>
          <w:marRight w:val="0"/>
          <w:marTop w:val="0"/>
          <w:marBottom w:val="0"/>
          <w:divBdr>
            <w:top w:val="none" w:sz="0" w:space="0" w:color="auto"/>
            <w:left w:val="none" w:sz="0" w:space="0" w:color="auto"/>
            <w:bottom w:val="none" w:sz="0" w:space="0" w:color="auto"/>
            <w:right w:val="none" w:sz="0" w:space="0" w:color="auto"/>
          </w:divBdr>
        </w:div>
        <w:div w:id="2015181654">
          <w:marLeft w:val="0"/>
          <w:marRight w:val="0"/>
          <w:marTop w:val="0"/>
          <w:marBottom w:val="0"/>
          <w:divBdr>
            <w:top w:val="none" w:sz="0" w:space="0" w:color="auto"/>
            <w:left w:val="none" w:sz="0" w:space="0" w:color="auto"/>
            <w:bottom w:val="none" w:sz="0" w:space="0" w:color="auto"/>
            <w:right w:val="none" w:sz="0" w:space="0" w:color="auto"/>
          </w:divBdr>
        </w:div>
        <w:div w:id="2112771765">
          <w:marLeft w:val="0"/>
          <w:marRight w:val="0"/>
          <w:marTop w:val="0"/>
          <w:marBottom w:val="0"/>
          <w:divBdr>
            <w:top w:val="none" w:sz="0" w:space="0" w:color="auto"/>
            <w:left w:val="none" w:sz="0" w:space="0" w:color="auto"/>
            <w:bottom w:val="none" w:sz="0" w:space="0" w:color="auto"/>
            <w:right w:val="none" w:sz="0" w:space="0" w:color="auto"/>
          </w:divBdr>
        </w:div>
        <w:div w:id="2052656457">
          <w:marLeft w:val="0"/>
          <w:marRight w:val="0"/>
          <w:marTop w:val="0"/>
          <w:marBottom w:val="0"/>
          <w:divBdr>
            <w:top w:val="none" w:sz="0" w:space="0" w:color="auto"/>
            <w:left w:val="none" w:sz="0" w:space="0" w:color="auto"/>
            <w:bottom w:val="none" w:sz="0" w:space="0" w:color="auto"/>
            <w:right w:val="none" w:sz="0" w:space="0" w:color="auto"/>
          </w:divBdr>
        </w:div>
        <w:div w:id="841358273">
          <w:marLeft w:val="0"/>
          <w:marRight w:val="0"/>
          <w:marTop w:val="0"/>
          <w:marBottom w:val="0"/>
          <w:divBdr>
            <w:top w:val="none" w:sz="0" w:space="0" w:color="auto"/>
            <w:left w:val="none" w:sz="0" w:space="0" w:color="auto"/>
            <w:bottom w:val="none" w:sz="0" w:space="0" w:color="auto"/>
            <w:right w:val="none" w:sz="0" w:space="0" w:color="auto"/>
          </w:divBdr>
        </w:div>
        <w:div w:id="960770584">
          <w:marLeft w:val="0"/>
          <w:marRight w:val="0"/>
          <w:marTop w:val="0"/>
          <w:marBottom w:val="0"/>
          <w:divBdr>
            <w:top w:val="none" w:sz="0" w:space="0" w:color="auto"/>
            <w:left w:val="none" w:sz="0" w:space="0" w:color="auto"/>
            <w:bottom w:val="none" w:sz="0" w:space="0" w:color="auto"/>
            <w:right w:val="none" w:sz="0" w:space="0" w:color="auto"/>
          </w:divBdr>
        </w:div>
        <w:div w:id="1287662359">
          <w:marLeft w:val="0"/>
          <w:marRight w:val="0"/>
          <w:marTop w:val="0"/>
          <w:marBottom w:val="0"/>
          <w:divBdr>
            <w:top w:val="none" w:sz="0" w:space="0" w:color="auto"/>
            <w:left w:val="none" w:sz="0" w:space="0" w:color="auto"/>
            <w:bottom w:val="none" w:sz="0" w:space="0" w:color="auto"/>
            <w:right w:val="none" w:sz="0" w:space="0" w:color="auto"/>
          </w:divBdr>
        </w:div>
        <w:div w:id="546722140">
          <w:marLeft w:val="0"/>
          <w:marRight w:val="0"/>
          <w:marTop w:val="0"/>
          <w:marBottom w:val="0"/>
          <w:divBdr>
            <w:top w:val="none" w:sz="0" w:space="0" w:color="auto"/>
            <w:left w:val="none" w:sz="0" w:space="0" w:color="auto"/>
            <w:bottom w:val="none" w:sz="0" w:space="0" w:color="auto"/>
            <w:right w:val="none" w:sz="0" w:space="0" w:color="auto"/>
          </w:divBdr>
        </w:div>
        <w:div w:id="1349601526">
          <w:marLeft w:val="0"/>
          <w:marRight w:val="0"/>
          <w:marTop w:val="0"/>
          <w:marBottom w:val="0"/>
          <w:divBdr>
            <w:top w:val="none" w:sz="0" w:space="0" w:color="auto"/>
            <w:left w:val="none" w:sz="0" w:space="0" w:color="auto"/>
            <w:bottom w:val="none" w:sz="0" w:space="0" w:color="auto"/>
            <w:right w:val="none" w:sz="0" w:space="0" w:color="auto"/>
          </w:divBdr>
        </w:div>
        <w:div w:id="329867233">
          <w:marLeft w:val="0"/>
          <w:marRight w:val="0"/>
          <w:marTop w:val="0"/>
          <w:marBottom w:val="0"/>
          <w:divBdr>
            <w:top w:val="none" w:sz="0" w:space="0" w:color="auto"/>
            <w:left w:val="none" w:sz="0" w:space="0" w:color="auto"/>
            <w:bottom w:val="none" w:sz="0" w:space="0" w:color="auto"/>
            <w:right w:val="none" w:sz="0" w:space="0" w:color="auto"/>
          </w:divBdr>
        </w:div>
        <w:div w:id="1757245265">
          <w:marLeft w:val="0"/>
          <w:marRight w:val="0"/>
          <w:marTop w:val="0"/>
          <w:marBottom w:val="0"/>
          <w:divBdr>
            <w:top w:val="none" w:sz="0" w:space="0" w:color="auto"/>
            <w:left w:val="none" w:sz="0" w:space="0" w:color="auto"/>
            <w:bottom w:val="none" w:sz="0" w:space="0" w:color="auto"/>
            <w:right w:val="none" w:sz="0" w:space="0" w:color="auto"/>
          </w:divBdr>
        </w:div>
        <w:div w:id="433402571">
          <w:marLeft w:val="0"/>
          <w:marRight w:val="0"/>
          <w:marTop w:val="0"/>
          <w:marBottom w:val="0"/>
          <w:divBdr>
            <w:top w:val="none" w:sz="0" w:space="0" w:color="auto"/>
            <w:left w:val="none" w:sz="0" w:space="0" w:color="auto"/>
            <w:bottom w:val="none" w:sz="0" w:space="0" w:color="auto"/>
            <w:right w:val="none" w:sz="0" w:space="0" w:color="auto"/>
          </w:divBdr>
        </w:div>
        <w:div w:id="437721730">
          <w:marLeft w:val="0"/>
          <w:marRight w:val="0"/>
          <w:marTop w:val="0"/>
          <w:marBottom w:val="0"/>
          <w:divBdr>
            <w:top w:val="none" w:sz="0" w:space="0" w:color="auto"/>
            <w:left w:val="none" w:sz="0" w:space="0" w:color="auto"/>
            <w:bottom w:val="none" w:sz="0" w:space="0" w:color="auto"/>
            <w:right w:val="none" w:sz="0" w:space="0" w:color="auto"/>
          </w:divBdr>
        </w:div>
        <w:div w:id="1951204535">
          <w:marLeft w:val="0"/>
          <w:marRight w:val="0"/>
          <w:marTop w:val="0"/>
          <w:marBottom w:val="0"/>
          <w:divBdr>
            <w:top w:val="none" w:sz="0" w:space="0" w:color="auto"/>
            <w:left w:val="none" w:sz="0" w:space="0" w:color="auto"/>
            <w:bottom w:val="none" w:sz="0" w:space="0" w:color="auto"/>
            <w:right w:val="none" w:sz="0" w:space="0" w:color="auto"/>
          </w:divBdr>
        </w:div>
        <w:div w:id="1617062386">
          <w:marLeft w:val="0"/>
          <w:marRight w:val="0"/>
          <w:marTop w:val="0"/>
          <w:marBottom w:val="0"/>
          <w:divBdr>
            <w:top w:val="none" w:sz="0" w:space="0" w:color="auto"/>
            <w:left w:val="none" w:sz="0" w:space="0" w:color="auto"/>
            <w:bottom w:val="none" w:sz="0" w:space="0" w:color="auto"/>
            <w:right w:val="none" w:sz="0" w:space="0" w:color="auto"/>
          </w:divBdr>
        </w:div>
        <w:div w:id="505829762">
          <w:marLeft w:val="0"/>
          <w:marRight w:val="0"/>
          <w:marTop w:val="0"/>
          <w:marBottom w:val="0"/>
          <w:divBdr>
            <w:top w:val="none" w:sz="0" w:space="0" w:color="auto"/>
            <w:left w:val="none" w:sz="0" w:space="0" w:color="auto"/>
            <w:bottom w:val="none" w:sz="0" w:space="0" w:color="auto"/>
            <w:right w:val="none" w:sz="0" w:space="0" w:color="auto"/>
          </w:divBdr>
        </w:div>
        <w:div w:id="2139030460">
          <w:marLeft w:val="0"/>
          <w:marRight w:val="0"/>
          <w:marTop w:val="0"/>
          <w:marBottom w:val="0"/>
          <w:divBdr>
            <w:top w:val="none" w:sz="0" w:space="0" w:color="auto"/>
            <w:left w:val="none" w:sz="0" w:space="0" w:color="auto"/>
            <w:bottom w:val="none" w:sz="0" w:space="0" w:color="auto"/>
            <w:right w:val="none" w:sz="0" w:space="0" w:color="auto"/>
          </w:divBdr>
        </w:div>
        <w:div w:id="1481194567">
          <w:marLeft w:val="0"/>
          <w:marRight w:val="0"/>
          <w:marTop w:val="0"/>
          <w:marBottom w:val="0"/>
          <w:divBdr>
            <w:top w:val="none" w:sz="0" w:space="0" w:color="auto"/>
            <w:left w:val="none" w:sz="0" w:space="0" w:color="auto"/>
            <w:bottom w:val="none" w:sz="0" w:space="0" w:color="auto"/>
            <w:right w:val="none" w:sz="0" w:space="0" w:color="auto"/>
          </w:divBdr>
        </w:div>
        <w:div w:id="379018697">
          <w:marLeft w:val="0"/>
          <w:marRight w:val="0"/>
          <w:marTop w:val="0"/>
          <w:marBottom w:val="0"/>
          <w:divBdr>
            <w:top w:val="none" w:sz="0" w:space="0" w:color="auto"/>
            <w:left w:val="none" w:sz="0" w:space="0" w:color="auto"/>
            <w:bottom w:val="none" w:sz="0" w:space="0" w:color="auto"/>
            <w:right w:val="none" w:sz="0" w:space="0" w:color="auto"/>
          </w:divBdr>
        </w:div>
        <w:div w:id="167796716">
          <w:marLeft w:val="0"/>
          <w:marRight w:val="0"/>
          <w:marTop w:val="0"/>
          <w:marBottom w:val="0"/>
          <w:divBdr>
            <w:top w:val="none" w:sz="0" w:space="0" w:color="auto"/>
            <w:left w:val="none" w:sz="0" w:space="0" w:color="auto"/>
            <w:bottom w:val="none" w:sz="0" w:space="0" w:color="auto"/>
            <w:right w:val="none" w:sz="0" w:space="0" w:color="auto"/>
          </w:divBdr>
        </w:div>
        <w:div w:id="11877623">
          <w:marLeft w:val="0"/>
          <w:marRight w:val="0"/>
          <w:marTop w:val="0"/>
          <w:marBottom w:val="0"/>
          <w:divBdr>
            <w:top w:val="none" w:sz="0" w:space="0" w:color="auto"/>
            <w:left w:val="none" w:sz="0" w:space="0" w:color="auto"/>
            <w:bottom w:val="none" w:sz="0" w:space="0" w:color="auto"/>
            <w:right w:val="none" w:sz="0" w:space="0" w:color="auto"/>
          </w:divBdr>
        </w:div>
        <w:div w:id="1477143818">
          <w:marLeft w:val="0"/>
          <w:marRight w:val="0"/>
          <w:marTop w:val="0"/>
          <w:marBottom w:val="0"/>
          <w:divBdr>
            <w:top w:val="none" w:sz="0" w:space="0" w:color="auto"/>
            <w:left w:val="none" w:sz="0" w:space="0" w:color="auto"/>
            <w:bottom w:val="none" w:sz="0" w:space="0" w:color="auto"/>
            <w:right w:val="none" w:sz="0" w:space="0" w:color="auto"/>
          </w:divBdr>
        </w:div>
        <w:div w:id="1136066771">
          <w:marLeft w:val="0"/>
          <w:marRight w:val="0"/>
          <w:marTop w:val="0"/>
          <w:marBottom w:val="0"/>
          <w:divBdr>
            <w:top w:val="none" w:sz="0" w:space="0" w:color="auto"/>
            <w:left w:val="none" w:sz="0" w:space="0" w:color="auto"/>
            <w:bottom w:val="none" w:sz="0" w:space="0" w:color="auto"/>
            <w:right w:val="none" w:sz="0" w:space="0" w:color="auto"/>
          </w:divBdr>
        </w:div>
        <w:div w:id="460196586">
          <w:marLeft w:val="0"/>
          <w:marRight w:val="0"/>
          <w:marTop w:val="0"/>
          <w:marBottom w:val="0"/>
          <w:divBdr>
            <w:top w:val="none" w:sz="0" w:space="0" w:color="auto"/>
            <w:left w:val="none" w:sz="0" w:space="0" w:color="auto"/>
            <w:bottom w:val="none" w:sz="0" w:space="0" w:color="auto"/>
            <w:right w:val="none" w:sz="0" w:space="0" w:color="auto"/>
          </w:divBdr>
        </w:div>
        <w:div w:id="1014383816">
          <w:marLeft w:val="0"/>
          <w:marRight w:val="0"/>
          <w:marTop w:val="0"/>
          <w:marBottom w:val="0"/>
          <w:divBdr>
            <w:top w:val="none" w:sz="0" w:space="0" w:color="auto"/>
            <w:left w:val="none" w:sz="0" w:space="0" w:color="auto"/>
            <w:bottom w:val="none" w:sz="0" w:space="0" w:color="auto"/>
            <w:right w:val="none" w:sz="0" w:space="0" w:color="auto"/>
          </w:divBdr>
        </w:div>
        <w:div w:id="1396589035">
          <w:marLeft w:val="0"/>
          <w:marRight w:val="0"/>
          <w:marTop w:val="0"/>
          <w:marBottom w:val="0"/>
          <w:divBdr>
            <w:top w:val="none" w:sz="0" w:space="0" w:color="auto"/>
            <w:left w:val="none" w:sz="0" w:space="0" w:color="auto"/>
            <w:bottom w:val="none" w:sz="0" w:space="0" w:color="auto"/>
            <w:right w:val="none" w:sz="0" w:space="0" w:color="auto"/>
          </w:divBdr>
        </w:div>
        <w:div w:id="2013289151">
          <w:marLeft w:val="0"/>
          <w:marRight w:val="0"/>
          <w:marTop w:val="0"/>
          <w:marBottom w:val="0"/>
          <w:divBdr>
            <w:top w:val="none" w:sz="0" w:space="0" w:color="auto"/>
            <w:left w:val="none" w:sz="0" w:space="0" w:color="auto"/>
            <w:bottom w:val="none" w:sz="0" w:space="0" w:color="auto"/>
            <w:right w:val="none" w:sz="0" w:space="0" w:color="auto"/>
          </w:divBdr>
        </w:div>
        <w:div w:id="1926186048">
          <w:marLeft w:val="0"/>
          <w:marRight w:val="0"/>
          <w:marTop w:val="0"/>
          <w:marBottom w:val="0"/>
          <w:divBdr>
            <w:top w:val="none" w:sz="0" w:space="0" w:color="auto"/>
            <w:left w:val="none" w:sz="0" w:space="0" w:color="auto"/>
            <w:bottom w:val="none" w:sz="0" w:space="0" w:color="auto"/>
            <w:right w:val="none" w:sz="0" w:space="0" w:color="auto"/>
          </w:divBdr>
        </w:div>
        <w:div w:id="1816027279">
          <w:marLeft w:val="0"/>
          <w:marRight w:val="0"/>
          <w:marTop w:val="0"/>
          <w:marBottom w:val="0"/>
          <w:divBdr>
            <w:top w:val="none" w:sz="0" w:space="0" w:color="auto"/>
            <w:left w:val="none" w:sz="0" w:space="0" w:color="auto"/>
            <w:bottom w:val="none" w:sz="0" w:space="0" w:color="auto"/>
            <w:right w:val="none" w:sz="0" w:space="0" w:color="auto"/>
          </w:divBdr>
        </w:div>
        <w:div w:id="2109229818">
          <w:marLeft w:val="0"/>
          <w:marRight w:val="0"/>
          <w:marTop w:val="0"/>
          <w:marBottom w:val="0"/>
          <w:divBdr>
            <w:top w:val="none" w:sz="0" w:space="0" w:color="auto"/>
            <w:left w:val="none" w:sz="0" w:space="0" w:color="auto"/>
            <w:bottom w:val="none" w:sz="0" w:space="0" w:color="auto"/>
            <w:right w:val="none" w:sz="0" w:space="0" w:color="auto"/>
          </w:divBdr>
        </w:div>
        <w:div w:id="2002125229">
          <w:marLeft w:val="0"/>
          <w:marRight w:val="0"/>
          <w:marTop w:val="0"/>
          <w:marBottom w:val="0"/>
          <w:divBdr>
            <w:top w:val="none" w:sz="0" w:space="0" w:color="auto"/>
            <w:left w:val="none" w:sz="0" w:space="0" w:color="auto"/>
            <w:bottom w:val="none" w:sz="0" w:space="0" w:color="auto"/>
            <w:right w:val="none" w:sz="0" w:space="0" w:color="auto"/>
          </w:divBdr>
        </w:div>
        <w:div w:id="1305626900">
          <w:marLeft w:val="0"/>
          <w:marRight w:val="0"/>
          <w:marTop w:val="0"/>
          <w:marBottom w:val="0"/>
          <w:divBdr>
            <w:top w:val="none" w:sz="0" w:space="0" w:color="auto"/>
            <w:left w:val="none" w:sz="0" w:space="0" w:color="auto"/>
            <w:bottom w:val="none" w:sz="0" w:space="0" w:color="auto"/>
            <w:right w:val="none" w:sz="0" w:space="0" w:color="auto"/>
          </w:divBdr>
        </w:div>
        <w:div w:id="886070978">
          <w:marLeft w:val="0"/>
          <w:marRight w:val="0"/>
          <w:marTop w:val="0"/>
          <w:marBottom w:val="0"/>
          <w:divBdr>
            <w:top w:val="none" w:sz="0" w:space="0" w:color="auto"/>
            <w:left w:val="none" w:sz="0" w:space="0" w:color="auto"/>
            <w:bottom w:val="none" w:sz="0" w:space="0" w:color="auto"/>
            <w:right w:val="none" w:sz="0" w:space="0" w:color="auto"/>
          </w:divBdr>
        </w:div>
        <w:div w:id="1394622538">
          <w:marLeft w:val="0"/>
          <w:marRight w:val="0"/>
          <w:marTop w:val="0"/>
          <w:marBottom w:val="0"/>
          <w:divBdr>
            <w:top w:val="none" w:sz="0" w:space="0" w:color="auto"/>
            <w:left w:val="none" w:sz="0" w:space="0" w:color="auto"/>
            <w:bottom w:val="none" w:sz="0" w:space="0" w:color="auto"/>
            <w:right w:val="none" w:sz="0" w:space="0" w:color="auto"/>
          </w:divBdr>
        </w:div>
        <w:div w:id="1743018705">
          <w:marLeft w:val="0"/>
          <w:marRight w:val="0"/>
          <w:marTop w:val="0"/>
          <w:marBottom w:val="0"/>
          <w:divBdr>
            <w:top w:val="none" w:sz="0" w:space="0" w:color="auto"/>
            <w:left w:val="none" w:sz="0" w:space="0" w:color="auto"/>
            <w:bottom w:val="none" w:sz="0" w:space="0" w:color="auto"/>
            <w:right w:val="none" w:sz="0" w:space="0" w:color="auto"/>
          </w:divBdr>
        </w:div>
        <w:div w:id="928345852">
          <w:marLeft w:val="0"/>
          <w:marRight w:val="0"/>
          <w:marTop w:val="0"/>
          <w:marBottom w:val="0"/>
          <w:divBdr>
            <w:top w:val="none" w:sz="0" w:space="0" w:color="auto"/>
            <w:left w:val="none" w:sz="0" w:space="0" w:color="auto"/>
            <w:bottom w:val="none" w:sz="0" w:space="0" w:color="auto"/>
            <w:right w:val="none" w:sz="0" w:space="0" w:color="auto"/>
          </w:divBdr>
        </w:div>
        <w:div w:id="1351639975">
          <w:marLeft w:val="0"/>
          <w:marRight w:val="0"/>
          <w:marTop w:val="0"/>
          <w:marBottom w:val="0"/>
          <w:divBdr>
            <w:top w:val="none" w:sz="0" w:space="0" w:color="auto"/>
            <w:left w:val="none" w:sz="0" w:space="0" w:color="auto"/>
            <w:bottom w:val="none" w:sz="0" w:space="0" w:color="auto"/>
            <w:right w:val="none" w:sz="0" w:space="0" w:color="auto"/>
          </w:divBdr>
        </w:div>
      </w:divsChild>
    </w:div>
    <w:div w:id="303891656">
      <w:bodyDiv w:val="1"/>
      <w:marLeft w:val="0"/>
      <w:marRight w:val="0"/>
      <w:marTop w:val="0"/>
      <w:marBottom w:val="0"/>
      <w:divBdr>
        <w:top w:val="none" w:sz="0" w:space="0" w:color="auto"/>
        <w:left w:val="none" w:sz="0" w:space="0" w:color="auto"/>
        <w:bottom w:val="none" w:sz="0" w:space="0" w:color="auto"/>
        <w:right w:val="none" w:sz="0" w:space="0" w:color="auto"/>
      </w:divBdr>
      <w:divsChild>
        <w:div w:id="1549606071">
          <w:marLeft w:val="0"/>
          <w:marRight w:val="0"/>
          <w:marTop w:val="0"/>
          <w:marBottom w:val="0"/>
          <w:divBdr>
            <w:top w:val="none" w:sz="0" w:space="0" w:color="auto"/>
            <w:left w:val="none" w:sz="0" w:space="0" w:color="auto"/>
            <w:bottom w:val="none" w:sz="0" w:space="0" w:color="auto"/>
            <w:right w:val="none" w:sz="0" w:space="0" w:color="auto"/>
          </w:divBdr>
        </w:div>
        <w:div w:id="697464706">
          <w:marLeft w:val="0"/>
          <w:marRight w:val="0"/>
          <w:marTop w:val="0"/>
          <w:marBottom w:val="0"/>
          <w:divBdr>
            <w:top w:val="none" w:sz="0" w:space="0" w:color="auto"/>
            <w:left w:val="none" w:sz="0" w:space="0" w:color="auto"/>
            <w:bottom w:val="none" w:sz="0" w:space="0" w:color="auto"/>
            <w:right w:val="none" w:sz="0" w:space="0" w:color="auto"/>
          </w:divBdr>
        </w:div>
        <w:div w:id="1374696159">
          <w:marLeft w:val="0"/>
          <w:marRight w:val="0"/>
          <w:marTop w:val="0"/>
          <w:marBottom w:val="0"/>
          <w:divBdr>
            <w:top w:val="none" w:sz="0" w:space="0" w:color="auto"/>
            <w:left w:val="none" w:sz="0" w:space="0" w:color="auto"/>
            <w:bottom w:val="none" w:sz="0" w:space="0" w:color="auto"/>
            <w:right w:val="none" w:sz="0" w:space="0" w:color="auto"/>
          </w:divBdr>
        </w:div>
        <w:div w:id="466356322">
          <w:marLeft w:val="0"/>
          <w:marRight w:val="0"/>
          <w:marTop w:val="0"/>
          <w:marBottom w:val="0"/>
          <w:divBdr>
            <w:top w:val="none" w:sz="0" w:space="0" w:color="auto"/>
            <w:left w:val="none" w:sz="0" w:space="0" w:color="auto"/>
            <w:bottom w:val="none" w:sz="0" w:space="0" w:color="auto"/>
            <w:right w:val="none" w:sz="0" w:space="0" w:color="auto"/>
          </w:divBdr>
        </w:div>
      </w:divsChild>
    </w:div>
    <w:div w:id="310720970">
      <w:bodyDiv w:val="1"/>
      <w:marLeft w:val="0"/>
      <w:marRight w:val="0"/>
      <w:marTop w:val="0"/>
      <w:marBottom w:val="0"/>
      <w:divBdr>
        <w:top w:val="none" w:sz="0" w:space="0" w:color="auto"/>
        <w:left w:val="none" w:sz="0" w:space="0" w:color="auto"/>
        <w:bottom w:val="none" w:sz="0" w:space="0" w:color="auto"/>
        <w:right w:val="none" w:sz="0" w:space="0" w:color="auto"/>
      </w:divBdr>
      <w:divsChild>
        <w:div w:id="1594244020">
          <w:marLeft w:val="0"/>
          <w:marRight w:val="0"/>
          <w:marTop w:val="0"/>
          <w:marBottom w:val="0"/>
          <w:divBdr>
            <w:top w:val="none" w:sz="0" w:space="0" w:color="auto"/>
            <w:left w:val="none" w:sz="0" w:space="0" w:color="auto"/>
            <w:bottom w:val="none" w:sz="0" w:space="0" w:color="auto"/>
            <w:right w:val="none" w:sz="0" w:space="0" w:color="auto"/>
          </w:divBdr>
        </w:div>
        <w:div w:id="1970083930">
          <w:marLeft w:val="0"/>
          <w:marRight w:val="0"/>
          <w:marTop w:val="0"/>
          <w:marBottom w:val="0"/>
          <w:divBdr>
            <w:top w:val="none" w:sz="0" w:space="0" w:color="auto"/>
            <w:left w:val="none" w:sz="0" w:space="0" w:color="auto"/>
            <w:bottom w:val="none" w:sz="0" w:space="0" w:color="auto"/>
            <w:right w:val="none" w:sz="0" w:space="0" w:color="auto"/>
          </w:divBdr>
        </w:div>
        <w:div w:id="1011488985">
          <w:marLeft w:val="0"/>
          <w:marRight w:val="0"/>
          <w:marTop w:val="0"/>
          <w:marBottom w:val="0"/>
          <w:divBdr>
            <w:top w:val="none" w:sz="0" w:space="0" w:color="auto"/>
            <w:left w:val="none" w:sz="0" w:space="0" w:color="auto"/>
            <w:bottom w:val="none" w:sz="0" w:space="0" w:color="auto"/>
            <w:right w:val="none" w:sz="0" w:space="0" w:color="auto"/>
          </w:divBdr>
        </w:div>
        <w:div w:id="1528835740">
          <w:marLeft w:val="0"/>
          <w:marRight w:val="0"/>
          <w:marTop w:val="0"/>
          <w:marBottom w:val="0"/>
          <w:divBdr>
            <w:top w:val="none" w:sz="0" w:space="0" w:color="auto"/>
            <w:left w:val="none" w:sz="0" w:space="0" w:color="auto"/>
            <w:bottom w:val="none" w:sz="0" w:space="0" w:color="auto"/>
            <w:right w:val="none" w:sz="0" w:space="0" w:color="auto"/>
          </w:divBdr>
        </w:div>
        <w:div w:id="657418082">
          <w:marLeft w:val="0"/>
          <w:marRight w:val="0"/>
          <w:marTop w:val="0"/>
          <w:marBottom w:val="0"/>
          <w:divBdr>
            <w:top w:val="none" w:sz="0" w:space="0" w:color="auto"/>
            <w:left w:val="none" w:sz="0" w:space="0" w:color="auto"/>
            <w:bottom w:val="none" w:sz="0" w:space="0" w:color="auto"/>
            <w:right w:val="none" w:sz="0" w:space="0" w:color="auto"/>
          </w:divBdr>
        </w:div>
        <w:div w:id="1123305705">
          <w:marLeft w:val="0"/>
          <w:marRight w:val="0"/>
          <w:marTop w:val="0"/>
          <w:marBottom w:val="0"/>
          <w:divBdr>
            <w:top w:val="none" w:sz="0" w:space="0" w:color="auto"/>
            <w:left w:val="none" w:sz="0" w:space="0" w:color="auto"/>
            <w:bottom w:val="none" w:sz="0" w:space="0" w:color="auto"/>
            <w:right w:val="none" w:sz="0" w:space="0" w:color="auto"/>
          </w:divBdr>
        </w:div>
        <w:div w:id="614946101">
          <w:marLeft w:val="0"/>
          <w:marRight w:val="0"/>
          <w:marTop w:val="0"/>
          <w:marBottom w:val="0"/>
          <w:divBdr>
            <w:top w:val="none" w:sz="0" w:space="0" w:color="auto"/>
            <w:left w:val="none" w:sz="0" w:space="0" w:color="auto"/>
            <w:bottom w:val="none" w:sz="0" w:space="0" w:color="auto"/>
            <w:right w:val="none" w:sz="0" w:space="0" w:color="auto"/>
          </w:divBdr>
        </w:div>
        <w:div w:id="2075278688">
          <w:marLeft w:val="0"/>
          <w:marRight w:val="0"/>
          <w:marTop w:val="0"/>
          <w:marBottom w:val="0"/>
          <w:divBdr>
            <w:top w:val="none" w:sz="0" w:space="0" w:color="auto"/>
            <w:left w:val="none" w:sz="0" w:space="0" w:color="auto"/>
            <w:bottom w:val="none" w:sz="0" w:space="0" w:color="auto"/>
            <w:right w:val="none" w:sz="0" w:space="0" w:color="auto"/>
          </w:divBdr>
        </w:div>
        <w:div w:id="728381845">
          <w:marLeft w:val="0"/>
          <w:marRight w:val="0"/>
          <w:marTop w:val="0"/>
          <w:marBottom w:val="0"/>
          <w:divBdr>
            <w:top w:val="none" w:sz="0" w:space="0" w:color="auto"/>
            <w:left w:val="none" w:sz="0" w:space="0" w:color="auto"/>
            <w:bottom w:val="none" w:sz="0" w:space="0" w:color="auto"/>
            <w:right w:val="none" w:sz="0" w:space="0" w:color="auto"/>
          </w:divBdr>
        </w:div>
        <w:div w:id="696081462">
          <w:marLeft w:val="0"/>
          <w:marRight w:val="0"/>
          <w:marTop w:val="0"/>
          <w:marBottom w:val="0"/>
          <w:divBdr>
            <w:top w:val="none" w:sz="0" w:space="0" w:color="auto"/>
            <w:left w:val="none" w:sz="0" w:space="0" w:color="auto"/>
            <w:bottom w:val="none" w:sz="0" w:space="0" w:color="auto"/>
            <w:right w:val="none" w:sz="0" w:space="0" w:color="auto"/>
          </w:divBdr>
        </w:div>
        <w:div w:id="682975530">
          <w:marLeft w:val="0"/>
          <w:marRight w:val="0"/>
          <w:marTop w:val="0"/>
          <w:marBottom w:val="0"/>
          <w:divBdr>
            <w:top w:val="none" w:sz="0" w:space="0" w:color="auto"/>
            <w:left w:val="none" w:sz="0" w:space="0" w:color="auto"/>
            <w:bottom w:val="none" w:sz="0" w:space="0" w:color="auto"/>
            <w:right w:val="none" w:sz="0" w:space="0" w:color="auto"/>
          </w:divBdr>
        </w:div>
        <w:div w:id="553153735">
          <w:marLeft w:val="0"/>
          <w:marRight w:val="0"/>
          <w:marTop w:val="0"/>
          <w:marBottom w:val="0"/>
          <w:divBdr>
            <w:top w:val="none" w:sz="0" w:space="0" w:color="auto"/>
            <w:left w:val="none" w:sz="0" w:space="0" w:color="auto"/>
            <w:bottom w:val="none" w:sz="0" w:space="0" w:color="auto"/>
            <w:right w:val="none" w:sz="0" w:space="0" w:color="auto"/>
          </w:divBdr>
        </w:div>
      </w:divsChild>
    </w:div>
    <w:div w:id="318383079">
      <w:bodyDiv w:val="1"/>
      <w:marLeft w:val="0"/>
      <w:marRight w:val="0"/>
      <w:marTop w:val="0"/>
      <w:marBottom w:val="0"/>
      <w:divBdr>
        <w:top w:val="none" w:sz="0" w:space="0" w:color="auto"/>
        <w:left w:val="none" w:sz="0" w:space="0" w:color="auto"/>
        <w:bottom w:val="none" w:sz="0" w:space="0" w:color="auto"/>
        <w:right w:val="none" w:sz="0" w:space="0" w:color="auto"/>
      </w:divBdr>
      <w:divsChild>
        <w:div w:id="727535208">
          <w:marLeft w:val="0"/>
          <w:marRight w:val="0"/>
          <w:marTop w:val="0"/>
          <w:marBottom w:val="0"/>
          <w:divBdr>
            <w:top w:val="none" w:sz="0" w:space="0" w:color="auto"/>
            <w:left w:val="none" w:sz="0" w:space="0" w:color="auto"/>
            <w:bottom w:val="none" w:sz="0" w:space="0" w:color="auto"/>
            <w:right w:val="none" w:sz="0" w:space="0" w:color="auto"/>
          </w:divBdr>
        </w:div>
        <w:div w:id="147406618">
          <w:marLeft w:val="0"/>
          <w:marRight w:val="0"/>
          <w:marTop w:val="0"/>
          <w:marBottom w:val="0"/>
          <w:divBdr>
            <w:top w:val="none" w:sz="0" w:space="0" w:color="auto"/>
            <w:left w:val="none" w:sz="0" w:space="0" w:color="auto"/>
            <w:bottom w:val="none" w:sz="0" w:space="0" w:color="auto"/>
            <w:right w:val="none" w:sz="0" w:space="0" w:color="auto"/>
          </w:divBdr>
        </w:div>
        <w:div w:id="1626808453">
          <w:marLeft w:val="0"/>
          <w:marRight w:val="0"/>
          <w:marTop w:val="0"/>
          <w:marBottom w:val="0"/>
          <w:divBdr>
            <w:top w:val="none" w:sz="0" w:space="0" w:color="auto"/>
            <w:left w:val="none" w:sz="0" w:space="0" w:color="auto"/>
            <w:bottom w:val="none" w:sz="0" w:space="0" w:color="auto"/>
            <w:right w:val="none" w:sz="0" w:space="0" w:color="auto"/>
          </w:divBdr>
        </w:div>
        <w:div w:id="639266470">
          <w:marLeft w:val="0"/>
          <w:marRight w:val="0"/>
          <w:marTop w:val="0"/>
          <w:marBottom w:val="0"/>
          <w:divBdr>
            <w:top w:val="none" w:sz="0" w:space="0" w:color="auto"/>
            <w:left w:val="none" w:sz="0" w:space="0" w:color="auto"/>
            <w:bottom w:val="none" w:sz="0" w:space="0" w:color="auto"/>
            <w:right w:val="none" w:sz="0" w:space="0" w:color="auto"/>
          </w:divBdr>
        </w:div>
        <w:div w:id="2045447387">
          <w:marLeft w:val="0"/>
          <w:marRight w:val="0"/>
          <w:marTop w:val="0"/>
          <w:marBottom w:val="0"/>
          <w:divBdr>
            <w:top w:val="none" w:sz="0" w:space="0" w:color="auto"/>
            <w:left w:val="none" w:sz="0" w:space="0" w:color="auto"/>
            <w:bottom w:val="none" w:sz="0" w:space="0" w:color="auto"/>
            <w:right w:val="none" w:sz="0" w:space="0" w:color="auto"/>
          </w:divBdr>
        </w:div>
        <w:div w:id="1206719352">
          <w:marLeft w:val="0"/>
          <w:marRight w:val="0"/>
          <w:marTop w:val="0"/>
          <w:marBottom w:val="0"/>
          <w:divBdr>
            <w:top w:val="none" w:sz="0" w:space="0" w:color="auto"/>
            <w:left w:val="none" w:sz="0" w:space="0" w:color="auto"/>
            <w:bottom w:val="none" w:sz="0" w:space="0" w:color="auto"/>
            <w:right w:val="none" w:sz="0" w:space="0" w:color="auto"/>
          </w:divBdr>
        </w:div>
        <w:div w:id="1659383191">
          <w:marLeft w:val="0"/>
          <w:marRight w:val="0"/>
          <w:marTop w:val="0"/>
          <w:marBottom w:val="0"/>
          <w:divBdr>
            <w:top w:val="none" w:sz="0" w:space="0" w:color="auto"/>
            <w:left w:val="none" w:sz="0" w:space="0" w:color="auto"/>
            <w:bottom w:val="none" w:sz="0" w:space="0" w:color="auto"/>
            <w:right w:val="none" w:sz="0" w:space="0" w:color="auto"/>
          </w:divBdr>
        </w:div>
      </w:divsChild>
    </w:div>
    <w:div w:id="349649300">
      <w:bodyDiv w:val="1"/>
      <w:marLeft w:val="0"/>
      <w:marRight w:val="0"/>
      <w:marTop w:val="0"/>
      <w:marBottom w:val="0"/>
      <w:divBdr>
        <w:top w:val="none" w:sz="0" w:space="0" w:color="auto"/>
        <w:left w:val="none" w:sz="0" w:space="0" w:color="auto"/>
        <w:bottom w:val="none" w:sz="0" w:space="0" w:color="auto"/>
        <w:right w:val="none" w:sz="0" w:space="0" w:color="auto"/>
      </w:divBdr>
    </w:div>
    <w:div w:id="364791733">
      <w:bodyDiv w:val="1"/>
      <w:marLeft w:val="0"/>
      <w:marRight w:val="0"/>
      <w:marTop w:val="0"/>
      <w:marBottom w:val="0"/>
      <w:divBdr>
        <w:top w:val="none" w:sz="0" w:space="0" w:color="auto"/>
        <w:left w:val="none" w:sz="0" w:space="0" w:color="auto"/>
        <w:bottom w:val="none" w:sz="0" w:space="0" w:color="auto"/>
        <w:right w:val="none" w:sz="0" w:space="0" w:color="auto"/>
      </w:divBdr>
      <w:divsChild>
        <w:div w:id="95028101">
          <w:marLeft w:val="0"/>
          <w:marRight w:val="0"/>
          <w:marTop w:val="0"/>
          <w:marBottom w:val="0"/>
          <w:divBdr>
            <w:top w:val="none" w:sz="0" w:space="0" w:color="auto"/>
            <w:left w:val="none" w:sz="0" w:space="0" w:color="auto"/>
            <w:bottom w:val="none" w:sz="0" w:space="0" w:color="auto"/>
            <w:right w:val="none" w:sz="0" w:space="0" w:color="auto"/>
          </w:divBdr>
        </w:div>
        <w:div w:id="158008508">
          <w:marLeft w:val="0"/>
          <w:marRight w:val="0"/>
          <w:marTop w:val="0"/>
          <w:marBottom w:val="0"/>
          <w:divBdr>
            <w:top w:val="none" w:sz="0" w:space="0" w:color="auto"/>
            <w:left w:val="none" w:sz="0" w:space="0" w:color="auto"/>
            <w:bottom w:val="none" w:sz="0" w:space="0" w:color="auto"/>
            <w:right w:val="none" w:sz="0" w:space="0" w:color="auto"/>
          </w:divBdr>
        </w:div>
        <w:div w:id="486672736">
          <w:marLeft w:val="0"/>
          <w:marRight w:val="0"/>
          <w:marTop w:val="0"/>
          <w:marBottom w:val="0"/>
          <w:divBdr>
            <w:top w:val="none" w:sz="0" w:space="0" w:color="auto"/>
            <w:left w:val="none" w:sz="0" w:space="0" w:color="auto"/>
            <w:bottom w:val="none" w:sz="0" w:space="0" w:color="auto"/>
            <w:right w:val="none" w:sz="0" w:space="0" w:color="auto"/>
          </w:divBdr>
        </w:div>
        <w:div w:id="921259108">
          <w:marLeft w:val="0"/>
          <w:marRight w:val="0"/>
          <w:marTop w:val="0"/>
          <w:marBottom w:val="0"/>
          <w:divBdr>
            <w:top w:val="none" w:sz="0" w:space="0" w:color="auto"/>
            <w:left w:val="none" w:sz="0" w:space="0" w:color="auto"/>
            <w:bottom w:val="none" w:sz="0" w:space="0" w:color="auto"/>
            <w:right w:val="none" w:sz="0" w:space="0" w:color="auto"/>
          </w:divBdr>
        </w:div>
        <w:div w:id="906039875">
          <w:marLeft w:val="0"/>
          <w:marRight w:val="0"/>
          <w:marTop w:val="0"/>
          <w:marBottom w:val="0"/>
          <w:divBdr>
            <w:top w:val="none" w:sz="0" w:space="0" w:color="auto"/>
            <w:left w:val="none" w:sz="0" w:space="0" w:color="auto"/>
            <w:bottom w:val="none" w:sz="0" w:space="0" w:color="auto"/>
            <w:right w:val="none" w:sz="0" w:space="0" w:color="auto"/>
          </w:divBdr>
        </w:div>
      </w:divsChild>
    </w:div>
    <w:div w:id="402022162">
      <w:bodyDiv w:val="1"/>
      <w:marLeft w:val="0"/>
      <w:marRight w:val="0"/>
      <w:marTop w:val="0"/>
      <w:marBottom w:val="0"/>
      <w:divBdr>
        <w:top w:val="none" w:sz="0" w:space="0" w:color="auto"/>
        <w:left w:val="none" w:sz="0" w:space="0" w:color="auto"/>
        <w:bottom w:val="none" w:sz="0" w:space="0" w:color="auto"/>
        <w:right w:val="none" w:sz="0" w:space="0" w:color="auto"/>
      </w:divBdr>
      <w:divsChild>
        <w:div w:id="1746685682">
          <w:marLeft w:val="0"/>
          <w:marRight w:val="0"/>
          <w:marTop w:val="0"/>
          <w:marBottom w:val="0"/>
          <w:divBdr>
            <w:top w:val="none" w:sz="0" w:space="0" w:color="auto"/>
            <w:left w:val="none" w:sz="0" w:space="0" w:color="auto"/>
            <w:bottom w:val="none" w:sz="0" w:space="0" w:color="auto"/>
            <w:right w:val="none" w:sz="0" w:space="0" w:color="auto"/>
          </w:divBdr>
        </w:div>
        <w:div w:id="835656737">
          <w:marLeft w:val="0"/>
          <w:marRight w:val="0"/>
          <w:marTop w:val="0"/>
          <w:marBottom w:val="0"/>
          <w:divBdr>
            <w:top w:val="none" w:sz="0" w:space="0" w:color="auto"/>
            <w:left w:val="none" w:sz="0" w:space="0" w:color="auto"/>
            <w:bottom w:val="none" w:sz="0" w:space="0" w:color="auto"/>
            <w:right w:val="none" w:sz="0" w:space="0" w:color="auto"/>
          </w:divBdr>
        </w:div>
        <w:div w:id="463350598">
          <w:marLeft w:val="0"/>
          <w:marRight w:val="0"/>
          <w:marTop w:val="0"/>
          <w:marBottom w:val="0"/>
          <w:divBdr>
            <w:top w:val="none" w:sz="0" w:space="0" w:color="auto"/>
            <w:left w:val="none" w:sz="0" w:space="0" w:color="auto"/>
            <w:bottom w:val="none" w:sz="0" w:space="0" w:color="auto"/>
            <w:right w:val="none" w:sz="0" w:space="0" w:color="auto"/>
          </w:divBdr>
        </w:div>
        <w:div w:id="797408762">
          <w:marLeft w:val="0"/>
          <w:marRight w:val="0"/>
          <w:marTop w:val="0"/>
          <w:marBottom w:val="0"/>
          <w:divBdr>
            <w:top w:val="none" w:sz="0" w:space="0" w:color="auto"/>
            <w:left w:val="none" w:sz="0" w:space="0" w:color="auto"/>
            <w:bottom w:val="none" w:sz="0" w:space="0" w:color="auto"/>
            <w:right w:val="none" w:sz="0" w:space="0" w:color="auto"/>
          </w:divBdr>
        </w:div>
        <w:div w:id="187332329">
          <w:marLeft w:val="0"/>
          <w:marRight w:val="0"/>
          <w:marTop w:val="0"/>
          <w:marBottom w:val="0"/>
          <w:divBdr>
            <w:top w:val="none" w:sz="0" w:space="0" w:color="auto"/>
            <w:left w:val="none" w:sz="0" w:space="0" w:color="auto"/>
            <w:bottom w:val="none" w:sz="0" w:space="0" w:color="auto"/>
            <w:right w:val="none" w:sz="0" w:space="0" w:color="auto"/>
          </w:divBdr>
        </w:div>
        <w:div w:id="1717242808">
          <w:marLeft w:val="0"/>
          <w:marRight w:val="0"/>
          <w:marTop w:val="0"/>
          <w:marBottom w:val="0"/>
          <w:divBdr>
            <w:top w:val="none" w:sz="0" w:space="0" w:color="auto"/>
            <w:left w:val="none" w:sz="0" w:space="0" w:color="auto"/>
            <w:bottom w:val="none" w:sz="0" w:space="0" w:color="auto"/>
            <w:right w:val="none" w:sz="0" w:space="0" w:color="auto"/>
          </w:divBdr>
        </w:div>
        <w:div w:id="414591237">
          <w:marLeft w:val="0"/>
          <w:marRight w:val="0"/>
          <w:marTop w:val="0"/>
          <w:marBottom w:val="0"/>
          <w:divBdr>
            <w:top w:val="none" w:sz="0" w:space="0" w:color="auto"/>
            <w:left w:val="none" w:sz="0" w:space="0" w:color="auto"/>
            <w:bottom w:val="none" w:sz="0" w:space="0" w:color="auto"/>
            <w:right w:val="none" w:sz="0" w:space="0" w:color="auto"/>
          </w:divBdr>
        </w:div>
        <w:div w:id="905798020">
          <w:marLeft w:val="0"/>
          <w:marRight w:val="0"/>
          <w:marTop w:val="0"/>
          <w:marBottom w:val="0"/>
          <w:divBdr>
            <w:top w:val="none" w:sz="0" w:space="0" w:color="auto"/>
            <w:left w:val="none" w:sz="0" w:space="0" w:color="auto"/>
            <w:bottom w:val="none" w:sz="0" w:space="0" w:color="auto"/>
            <w:right w:val="none" w:sz="0" w:space="0" w:color="auto"/>
          </w:divBdr>
        </w:div>
      </w:divsChild>
    </w:div>
    <w:div w:id="410394610">
      <w:bodyDiv w:val="1"/>
      <w:marLeft w:val="0"/>
      <w:marRight w:val="0"/>
      <w:marTop w:val="0"/>
      <w:marBottom w:val="0"/>
      <w:divBdr>
        <w:top w:val="none" w:sz="0" w:space="0" w:color="auto"/>
        <w:left w:val="none" w:sz="0" w:space="0" w:color="auto"/>
        <w:bottom w:val="none" w:sz="0" w:space="0" w:color="auto"/>
        <w:right w:val="none" w:sz="0" w:space="0" w:color="auto"/>
      </w:divBdr>
      <w:divsChild>
        <w:div w:id="978000259">
          <w:marLeft w:val="0"/>
          <w:marRight w:val="0"/>
          <w:marTop w:val="0"/>
          <w:marBottom w:val="0"/>
          <w:divBdr>
            <w:top w:val="none" w:sz="0" w:space="0" w:color="auto"/>
            <w:left w:val="none" w:sz="0" w:space="0" w:color="auto"/>
            <w:bottom w:val="none" w:sz="0" w:space="0" w:color="auto"/>
            <w:right w:val="none" w:sz="0" w:space="0" w:color="auto"/>
          </w:divBdr>
        </w:div>
        <w:div w:id="1459565027">
          <w:marLeft w:val="0"/>
          <w:marRight w:val="0"/>
          <w:marTop w:val="0"/>
          <w:marBottom w:val="0"/>
          <w:divBdr>
            <w:top w:val="none" w:sz="0" w:space="0" w:color="auto"/>
            <w:left w:val="none" w:sz="0" w:space="0" w:color="auto"/>
            <w:bottom w:val="none" w:sz="0" w:space="0" w:color="auto"/>
            <w:right w:val="none" w:sz="0" w:space="0" w:color="auto"/>
          </w:divBdr>
        </w:div>
        <w:div w:id="1488933037">
          <w:marLeft w:val="0"/>
          <w:marRight w:val="0"/>
          <w:marTop w:val="0"/>
          <w:marBottom w:val="0"/>
          <w:divBdr>
            <w:top w:val="none" w:sz="0" w:space="0" w:color="auto"/>
            <w:left w:val="none" w:sz="0" w:space="0" w:color="auto"/>
            <w:bottom w:val="none" w:sz="0" w:space="0" w:color="auto"/>
            <w:right w:val="none" w:sz="0" w:space="0" w:color="auto"/>
          </w:divBdr>
        </w:div>
      </w:divsChild>
    </w:div>
    <w:div w:id="415248140">
      <w:bodyDiv w:val="1"/>
      <w:marLeft w:val="0"/>
      <w:marRight w:val="0"/>
      <w:marTop w:val="0"/>
      <w:marBottom w:val="0"/>
      <w:divBdr>
        <w:top w:val="none" w:sz="0" w:space="0" w:color="auto"/>
        <w:left w:val="none" w:sz="0" w:space="0" w:color="auto"/>
        <w:bottom w:val="none" w:sz="0" w:space="0" w:color="auto"/>
        <w:right w:val="none" w:sz="0" w:space="0" w:color="auto"/>
      </w:divBdr>
      <w:divsChild>
        <w:div w:id="1733656455">
          <w:marLeft w:val="0"/>
          <w:marRight w:val="0"/>
          <w:marTop w:val="0"/>
          <w:marBottom w:val="0"/>
          <w:divBdr>
            <w:top w:val="none" w:sz="0" w:space="0" w:color="auto"/>
            <w:left w:val="none" w:sz="0" w:space="0" w:color="auto"/>
            <w:bottom w:val="none" w:sz="0" w:space="0" w:color="auto"/>
            <w:right w:val="none" w:sz="0" w:space="0" w:color="auto"/>
          </w:divBdr>
        </w:div>
        <w:div w:id="108202613">
          <w:marLeft w:val="0"/>
          <w:marRight w:val="0"/>
          <w:marTop w:val="0"/>
          <w:marBottom w:val="0"/>
          <w:divBdr>
            <w:top w:val="none" w:sz="0" w:space="0" w:color="auto"/>
            <w:left w:val="none" w:sz="0" w:space="0" w:color="auto"/>
            <w:bottom w:val="none" w:sz="0" w:space="0" w:color="auto"/>
            <w:right w:val="none" w:sz="0" w:space="0" w:color="auto"/>
          </w:divBdr>
        </w:div>
        <w:div w:id="721097507">
          <w:marLeft w:val="0"/>
          <w:marRight w:val="0"/>
          <w:marTop w:val="0"/>
          <w:marBottom w:val="0"/>
          <w:divBdr>
            <w:top w:val="none" w:sz="0" w:space="0" w:color="auto"/>
            <w:left w:val="none" w:sz="0" w:space="0" w:color="auto"/>
            <w:bottom w:val="none" w:sz="0" w:space="0" w:color="auto"/>
            <w:right w:val="none" w:sz="0" w:space="0" w:color="auto"/>
          </w:divBdr>
        </w:div>
        <w:div w:id="1127507089">
          <w:marLeft w:val="0"/>
          <w:marRight w:val="0"/>
          <w:marTop w:val="0"/>
          <w:marBottom w:val="0"/>
          <w:divBdr>
            <w:top w:val="none" w:sz="0" w:space="0" w:color="auto"/>
            <w:left w:val="none" w:sz="0" w:space="0" w:color="auto"/>
            <w:bottom w:val="none" w:sz="0" w:space="0" w:color="auto"/>
            <w:right w:val="none" w:sz="0" w:space="0" w:color="auto"/>
          </w:divBdr>
        </w:div>
        <w:div w:id="818427272">
          <w:marLeft w:val="0"/>
          <w:marRight w:val="0"/>
          <w:marTop w:val="0"/>
          <w:marBottom w:val="0"/>
          <w:divBdr>
            <w:top w:val="none" w:sz="0" w:space="0" w:color="auto"/>
            <w:left w:val="none" w:sz="0" w:space="0" w:color="auto"/>
            <w:bottom w:val="none" w:sz="0" w:space="0" w:color="auto"/>
            <w:right w:val="none" w:sz="0" w:space="0" w:color="auto"/>
          </w:divBdr>
        </w:div>
        <w:div w:id="1255436224">
          <w:marLeft w:val="0"/>
          <w:marRight w:val="0"/>
          <w:marTop w:val="0"/>
          <w:marBottom w:val="0"/>
          <w:divBdr>
            <w:top w:val="none" w:sz="0" w:space="0" w:color="auto"/>
            <w:left w:val="none" w:sz="0" w:space="0" w:color="auto"/>
            <w:bottom w:val="none" w:sz="0" w:space="0" w:color="auto"/>
            <w:right w:val="none" w:sz="0" w:space="0" w:color="auto"/>
          </w:divBdr>
        </w:div>
        <w:div w:id="1094597591">
          <w:marLeft w:val="0"/>
          <w:marRight w:val="0"/>
          <w:marTop w:val="0"/>
          <w:marBottom w:val="0"/>
          <w:divBdr>
            <w:top w:val="none" w:sz="0" w:space="0" w:color="auto"/>
            <w:left w:val="none" w:sz="0" w:space="0" w:color="auto"/>
            <w:bottom w:val="none" w:sz="0" w:space="0" w:color="auto"/>
            <w:right w:val="none" w:sz="0" w:space="0" w:color="auto"/>
          </w:divBdr>
        </w:div>
        <w:div w:id="795950650">
          <w:marLeft w:val="0"/>
          <w:marRight w:val="0"/>
          <w:marTop w:val="0"/>
          <w:marBottom w:val="0"/>
          <w:divBdr>
            <w:top w:val="none" w:sz="0" w:space="0" w:color="auto"/>
            <w:left w:val="none" w:sz="0" w:space="0" w:color="auto"/>
            <w:bottom w:val="none" w:sz="0" w:space="0" w:color="auto"/>
            <w:right w:val="none" w:sz="0" w:space="0" w:color="auto"/>
          </w:divBdr>
        </w:div>
        <w:div w:id="1050230921">
          <w:marLeft w:val="0"/>
          <w:marRight w:val="0"/>
          <w:marTop w:val="0"/>
          <w:marBottom w:val="0"/>
          <w:divBdr>
            <w:top w:val="none" w:sz="0" w:space="0" w:color="auto"/>
            <w:left w:val="none" w:sz="0" w:space="0" w:color="auto"/>
            <w:bottom w:val="none" w:sz="0" w:space="0" w:color="auto"/>
            <w:right w:val="none" w:sz="0" w:space="0" w:color="auto"/>
          </w:divBdr>
        </w:div>
        <w:div w:id="1508135300">
          <w:marLeft w:val="0"/>
          <w:marRight w:val="0"/>
          <w:marTop w:val="0"/>
          <w:marBottom w:val="0"/>
          <w:divBdr>
            <w:top w:val="none" w:sz="0" w:space="0" w:color="auto"/>
            <w:left w:val="none" w:sz="0" w:space="0" w:color="auto"/>
            <w:bottom w:val="none" w:sz="0" w:space="0" w:color="auto"/>
            <w:right w:val="none" w:sz="0" w:space="0" w:color="auto"/>
          </w:divBdr>
        </w:div>
        <w:div w:id="1602835099">
          <w:marLeft w:val="0"/>
          <w:marRight w:val="0"/>
          <w:marTop w:val="0"/>
          <w:marBottom w:val="0"/>
          <w:divBdr>
            <w:top w:val="none" w:sz="0" w:space="0" w:color="auto"/>
            <w:left w:val="none" w:sz="0" w:space="0" w:color="auto"/>
            <w:bottom w:val="none" w:sz="0" w:space="0" w:color="auto"/>
            <w:right w:val="none" w:sz="0" w:space="0" w:color="auto"/>
          </w:divBdr>
        </w:div>
        <w:div w:id="793522849">
          <w:marLeft w:val="0"/>
          <w:marRight w:val="0"/>
          <w:marTop w:val="0"/>
          <w:marBottom w:val="0"/>
          <w:divBdr>
            <w:top w:val="none" w:sz="0" w:space="0" w:color="auto"/>
            <w:left w:val="none" w:sz="0" w:space="0" w:color="auto"/>
            <w:bottom w:val="none" w:sz="0" w:space="0" w:color="auto"/>
            <w:right w:val="none" w:sz="0" w:space="0" w:color="auto"/>
          </w:divBdr>
        </w:div>
        <w:div w:id="1828128272">
          <w:marLeft w:val="0"/>
          <w:marRight w:val="0"/>
          <w:marTop w:val="0"/>
          <w:marBottom w:val="0"/>
          <w:divBdr>
            <w:top w:val="none" w:sz="0" w:space="0" w:color="auto"/>
            <w:left w:val="none" w:sz="0" w:space="0" w:color="auto"/>
            <w:bottom w:val="none" w:sz="0" w:space="0" w:color="auto"/>
            <w:right w:val="none" w:sz="0" w:space="0" w:color="auto"/>
          </w:divBdr>
        </w:div>
      </w:divsChild>
    </w:div>
    <w:div w:id="440303337">
      <w:bodyDiv w:val="1"/>
      <w:marLeft w:val="0"/>
      <w:marRight w:val="0"/>
      <w:marTop w:val="0"/>
      <w:marBottom w:val="0"/>
      <w:divBdr>
        <w:top w:val="none" w:sz="0" w:space="0" w:color="auto"/>
        <w:left w:val="none" w:sz="0" w:space="0" w:color="auto"/>
        <w:bottom w:val="none" w:sz="0" w:space="0" w:color="auto"/>
        <w:right w:val="none" w:sz="0" w:space="0" w:color="auto"/>
      </w:divBdr>
    </w:div>
    <w:div w:id="455947884">
      <w:bodyDiv w:val="1"/>
      <w:marLeft w:val="0"/>
      <w:marRight w:val="0"/>
      <w:marTop w:val="0"/>
      <w:marBottom w:val="0"/>
      <w:divBdr>
        <w:top w:val="none" w:sz="0" w:space="0" w:color="auto"/>
        <w:left w:val="none" w:sz="0" w:space="0" w:color="auto"/>
        <w:bottom w:val="none" w:sz="0" w:space="0" w:color="auto"/>
        <w:right w:val="none" w:sz="0" w:space="0" w:color="auto"/>
      </w:divBdr>
    </w:div>
    <w:div w:id="531574295">
      <w:bodyDiv w:val="1"/>
      <w:marLeft w:val="0"/>
      <w:marRight w:val="0"/>
      <w:marTop w:val="0"/>
      <w:marBottom w:val="0"/>
      <w:divBdr>
        <w:top w:val="none" w:sz="0" w:space="0" w:color="auto"/>
        <w:left w:val="none" w:sz="0" w:space="0" w:color="auto"/>
        <w:bottom w:val="none" w:sz="0" w:space="0" w:color="auto"/>
        <w:right w:val="none" w:sz="0" w:space="0" w:color="auto"/>
      </w:divBdr>
    </w:div>
    <w:div w:id="554975074">
      <w:bodyDiv w:val="1"/>
      <w:marLeft w:val="0"/>
      <w:marRight w:val="0"/>
      <w:marTop w:val="0"/>
      <w:marBottom w:val="0"/>
      <w:divBdr>
        <w:top w:val="none" w:sz="0" w:space="0" w:color="auto"/>
        <w:left w:val="none" w:sz="0" w:space="0" w:color="auto"/>
        <w:bottom w:val="none" w:sz="0" w:space="0" w:color="auto"/>
        <w:right w:val="none" w:sz="0" w:space="0" w:color="auto"/>
      </w:divBdr>
      <w:divsChild>
        <w:div w:id="1984506820">
          <w:marLeft w:val="0"/>
          <w:marRight w:val="0"/>
          <w:marTop w:val="0"/>
          <w:marBottom w:val="0"/>
          <w:divBdr>
            <w:top w:val="none" w:sz="0" w:space="0" w:color="auto"/>
            <w:left w:val="none" w:sz="0" w:space="0" w:color="auto"/>
            <w:bottom w:val="none" w:sz="0" w:space="0" w:color="auto"/>
            <w:right w:val="none" w:sz="0" w:space="0" w:color="auto"/>
          </w:divBdr>
          <w:divsChild>
            <w:div w:id="1135179364">
              <w:marLeft w:val="0"/>
              <w:marRight w:val="0"/>
              <w:marTop w:val="0"/>
              <w:marBottom w:val="0"/>
              <w:divBdr>
                <w:top w:val="none" w:sz="0" w:space="0" w:color="auto"/>
                <w:left w:val="none" w:sz="0" w:space="0" w:color="auto"/>
                <w:bottom w:val="none" w:sz="0" w:space="0" w:color="auto"/>
                <w:right w:val="none" w:sz="0" w:space="0" w:color="auto"/>
              </w:divBdr>
              <w:divsChild>
                <w:div w:id="8777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787495">
      <w:bodyDiv w:val="1"/>
      <w:marLeft w:val="0"/>
      <w:marRight w:val="0"/>
      <w:marTop w:val="0"/>
      <w:marBottom w:val="0"/>
      <w:divBdr>
        <w:top w:val="none" w:sz="0" w:space="0" w:color="auto"/>
        <w:left w:val="none" w:sz="0" w:space="0" w:color="auto"/>
        <w:bottom w:val="none" w:sz="0" w:space="0" w:color="auto"/>
        <w:right w:val="none" w:sz="0" w:space="0" w:color="auto"/>
      </w:divBdr>
      <w:divsChild>
        <w:div w:id="545608482">
          <w:marLeft w:val="0"/>
          <w:marRight w:val="0"/>
          <w:marTop w:val="0"/>
          <w:marBottom w:val="0"/>
          <w:divBdr>
            <w:top w:val="none" w:sz="0" w:space="0" w:color="auto"/>
            <w:left w:val="none" w:sz="0" w:space="0" w:color="auto"/>
            <w:bottom w:val="none" w:sz="0" w:space="0" w:color="auto"/>
            <w:right w:val="none" w:sz="0" w:space="0" w:color="auto"/>
          </w:divBdr>
        </w:div>
        <w:div w:id="1667316876">
          <w:marLeft w:val="0"/>
          <w:marRight w:val="0"/>
          <w:marTop w:val="0"/>
          <w:marBottom w:val="0"/>
          <w:divBdr>
            <w:top w:val="none" w:sz="0" w:space="0" w:color="auto"/>
            <w:left w:val="none" w:sz="0" w:space="0" w:color="auto"/>
            <w:bottom w:val="none" w:sz="0" w:space="0" w:color="auto"/>
            <w:right w:val="none" w:sz="0" w:space="0" w:color="auto"/>
          </w:divBdr>
        </w:div>
        <w:div w:id="1902790061">
          <w:marLeft w:val="0"/>
          <w:marRight w:val="0"/>
          <w:marTop w:val="0"/>
          <w:marBottom w:val="0"/>
          <w:divBdr>
            <w:top w:val="none" w:sz="0" w:space="0" w:color="auto"/>
            <w:left w:val="none" w:sz="0" w:space="0" w:color="auto"/>
            <w:bottom w:val="none" w:sz="0" w:space="0" w:color="auto"/>
            <w:right w:val="none" w:sz="0" w:space="0" w:color="auto"/>
          </w:divBdr>
        </w:div>
        <w:div w:id="322969399">
          <w:marLeft w:val="0"/>
          <w:marRight w:val="0"/>
          <w:marTop w:val="0"/>
          <w:marBottom w:val="0"/>
          <w:divBdr>
            <w:top w:val="none" w:sz="0" w:space="0" w:color="auto"/>
            <w:left w:val="none" w:sz="0" w:space="0" w:color="auto"/>
            <w:bottom w:val="none" w:sz="0" w:space="0" w:color="auto"/>
            <w:right w:val="none" w:sz="0" w:space="0" w:color="auto"/>
          </w:divBdr>
        </w:div>
      </w:divsChild>
    </w:div>
    <w:div w:id="560405051">
      <w:bodyDiv w:val="1"/>
      <w:marLeft w:val="0"/>
      <w:marRight w:val="0"/>
      <w:marTop w:val="0"/>
      <w:marBottom w:val="0"/>
      <w:divBdr>
        <w:top w:val="none" w:sz="0" w:space="0" w:color="auto"/>
        <w:left w:val="none" w:sz="0" w:space="0" w:color="auto"/>
        <w:bottom w:val="none" w:sz="0" w:space="0" w:color="auto"/>
        <w:right w:val="none" w:sz="0" w:space="0" w:color="auto"/>
      </w:divBdr>
      <w:divsChild>
        <w:div w:id="548035937">
          <w:marLeft w:val="0"/>
          <w:marRight w:val="0"/>
          <w:marTop w:val="0"/>
          <w:marBottom w:val="0"/>
          <w:divBdr>
            <w:top w:val="none" w:sz="0" w:space="0" w:color="auto"/>
            <w:left w:val="none" w:sz="0" w:space="0" w:color="auto"/>
            <w:bottom w:val="none" w:sz="0" w:space="0" w:color="auto"/>
            <w:right w:val="none" w:sz="0" w:space="0" w:color="auto"/>
          </w:divBdr>
        </w:div>
        <w:div w:id="1938709068">
          <w:marLeft w:val="0"/>
          <w:marRight w:val="0"/>
          <w:marTop w:val="0"/>
          <w:marBottom w:val="0"/>
          <w:divBdr>
            <w:top w:val="none" w:sz="0" w:space="0" w:color="auto"/>
            <w:left w:val="none" w:sz="0" w:space="0" w:color="auto"/>
            <w:bottom w:val="none" w:sz="0" w:space="0" w:color="auto"/>
            <w:right w:val="none" w:sz="0" w:space="0" w:color="auto"/>
          </w:divBdr>
        </w:div>
        <w:div w:id="930351561">
          <w:marLeft w:val="0"/>
          <w:marRight w:val="0"/>
          <w:marTop w:val="0"/>
          <w:marBottom w:val="0"/>
          <w:divBdr>
            <w:top w:val="none" w:sz="0" w:space="0" w:color="auto"/>
            <w:left w:val="none" w:sz="0" w:space="0" w:color="auto"/>
            <w:bottom w:val="none" w:sz="0" w:space="0" w:color="auto"/>
            <w:right w:val="none" w:sz="0" w:space="0" w:color="auto"/>
          </w:divBdr>
        </w:div>
        <w:div w:id="1691299632">
          <w:marLeft w:val="0"/>
          <w:marRight w:val="0"/>
          <w:marTop w:val="0"/>
          <w:marBottom w:val="0"/>
          <w:divBdr>
            <w:top w:val="none" w:sz="0" w:space="0" w:color="auto"/>
            <w:left w:val="none" w:sz="0" w:space="0" w:color="auto"/>
            <w:bottom w:val="none" w:sz="0" w:space="0" w:color="auto"/>
            <w:right w:val="none" w:sz="0" w:space="0" w:color="auto"/>
          </w:divBdr>
        </w:div>
        <w:div w:id="1330251631">
          <w:marLeft w:val="0"/>
          <w:marRight w:val="0"/>
          <w:marTop w:val="0"/>
          <w:marBottom w:val="0"/>
          <w:divBdr>
            <w:top w:val="none" w:sz="0" w:space="0" w:color="auto"/>
            <w:left w:val="none" w:sz="0" w:space="0" w:color="auto"/>
            <w:bottom w:val="none" w:sz="0" w:space="0" w:color="auto"/>
            <w:right w:val="none" w:sz="0" w:space="0" w:color="auto"/>
          </w:divBdr>
        </w:div>
        <w:div w:id="740103850">
          <w:marLeft w:val="0"/>
          <w:marRight w:val="0"/>
          <w:marTop w:val="0"/>
          <w:marBottom w:val="0"/>
          <w:divBdr>
            <w:top w:val="none" w:sz="0" w:space="0" w:color="auto"/>
            <w:left w:val="none" w:sz="0" w:space="0" w:color="auto"/>
            <w:bottom w:val="none" w:sz="0" w:space="0" w:color="auto"/>
            <w:right w:val="none" w:sz="0" w:space="0" w:color="auto"/>
          </w:divBdr>
        </w:div>
        <w:div w:id="110168753">
          <w:marLeft w:val="0"/>
          <w:marRight w:val="0"/>
          <w:marTop w:val="0"/>
          <w:marBottom w:val="0"/>
          <w:divBdr>
            <w:top w:val="none" w:sz="0" w:space="0" w:color="auto"/>
            <w:left w:val="none" w:sz="0" w:space="0" w:color="auto"/>
            <w:bottom w:val="none" w:sz="0" w:space="0" w:color="auto"/>
            <w:right w:val="none" w:sz="0" w:space="0" w:color="auto"/>
          </w:divBdr>
        </w:div>
        <w:div w:id="852493577">
          <w:marLeft w:val="0"/>
          <w:marRight w:val="0"/>
          <w:marTop w:val="0"/>
          <w:marBottom w:val="0"/>
          <w:divBdr>
            <w:top w:val="none" w:sz="0" w:space="0" w:color="auto"/>
            <w:left w:val="none" w:sz="0" w:space="0" w:color="auto"/>
            <w:bottom w:val="none" w:sz="0" w:space="0" w:color="auto"/>
            <w:right w:val="none" w:sz="0" w:space="0" w:color="auto"/>
          </w:divBdr>
        </w:div>
        <w:div w:id="717821462">
          <w:marLeft w:val="0"/>
          <w:marRight w:val="0"/>
          <w:marTop w:val="0"/>
          <w:marBottom w:val="0"/>
          <w:divBdr>
            <w:top w:val="none" w:sz="0" w:space="0" w:color="auto"/>
            <w:left w:val="none" w:sz="0" w:space="0" w:color="auto"/>
            <w:bottom w:val="none" w:sz="0" w:space="0" w:color="auto"/>
            <w:right w:val="none" w:sz="0" w:space="0" w:color="auto"/>
          </w:divBdr>
        </w:div>
        <w:div w:id="1456174272">
          <w:marLeft w:val="0"/>
          <w:marRight w:val="0"/>
          <w:marTop w:val="0"/>
          <w:marBottom w:val="0"/>
          <w:divBdr>
            <w:top w:val="none" w:sz="0" w:space="0" w:color="auto"/>
            <w:left w:val="none" w:sz="0" w:space="0" w:color="auto"/>
            <w:bottom w:val="none" w:sz="0" w:space="0" w:color="auto"/>
            <w:right w:val="none" w:sz="0" w:space="0" w:color="auto"/>
          </w:divBdr>
        </w:div>
        <w:div w:id="168258925">
          <w:marLeft w:val="0"/>
          <w:marRight w:val="0"/>
          <w:marTop w:val="0"/>
          <w:marBottom w:val="0"/>
          <w:divBdr>
            <w:top w:val="none" w:sz="0" w:space="0" w:color="auto"/>
            <w:left w:val="none" w:sz="0" w:space="0" w:color="auto"/>
            <w:bottom w:val="none" w:sz="0" w:space="0" w:color="auto"/>
            <w:right w:val="none" w:sz="0" w:space="0" w:color="auto"/>
          </w:divBdr>
        </w:div>
      </w:divsChild>
    </w:div>
    <w:div w:id="572395646">
      <w:bodyDiv w:val="1"/>
      <w:marLeft w:val="0"/>
      <w:marRight w:val="0"/>
      <w:marTop w:val="0"/>
      <w:marBottom w:val="0"/>
      <w:divBdr>
        <w:top w:val="none" w:sz="0" w:space="0" w:color="auto"/>
        <w:left w:val="none" w:sz="0" w:space="0" w:color="auto"/>
        <w:bottom w:val="none" w:sz="0" w:space="0" w:color="auto"/>
        <w:right w:val="none" w:sz="0" w:space="0" w:color="auto"/>
      </w:divBdr>
      <w:divsChild>
        <w:div w:id="1921333934">
          <w:marLeft w:val="0"/>
          <w:marRight w:val="0"/>
          <w:marTop w:val="0"/>
          <w:marBottom w:val="0"/>
          <w:divBdr>
            <w:top w:val="none" w:sz="0" w:space="0" w:color="auto"/>
            <w:left w:val="none" w:sz="0" w:space="0" w:color="auto"/>
            <w:bottom w:val="none" w:sz="0" w:space="0" w:color="auto"/>
            <w:right w:val="none" w:sz="0" w:space="0" w:color="auto"/>
          </w:divBdr>
        </w:div>
        <w:div w:id="1337998066">
          <w:marLeft w:val="0"/>
          <w:marRight w:val="0"/>
          <w:marTop w:val="0"/>
          <w:marBottom w:val="0"/>
          <w:divBdr>
            <w:top w:val="none" w:sz="0" w:space="0" w:color="auto"/>
            <w:left w:val="none" w:sz="0" w:space="0" w:color="auto"/>
            <w:bottom w:val="none" w:sz="0" w:space="0" w:color="auto"/>
            <w:right w:val="none" w:sz="0" w:space="0" w:color="auto"/>
          </w:divBdr>
        </w:div>
        <w:div w:id="2075544531">
          <w:marLeft w:val="0"/>
          <w:marRight w:val="0"/>
          <w:marTop w:val="0"/>
          <w:marBottom w:val="0"/>
          <w:divBdr>
            <w:top w:val="none" w:sz="0" w:space="0" w:color="auto"/>
            <w:left w:val="none" w:sz="0" w:space="0" w:color="auto"/>
            <w:bottom w:val="none" w:sz="0" w:space="0" w:color="auto"/>
            <w:right w:val="none" w:sz="0" w:space="0" w:color="auto"/>
          </w:divBdr>
        </w:div>
        <w:div w:id="177280458">
          <w:marLeft w:val="0"/>
          <w:marRight w:val="0"/>
          <w:marTop w:val="0"/>
          <w:marBottom w:val="0"/>
          <w:divBdr>
            <w:top w:val="none" w:sz="0" w:space="0" w:color="auto"/>
            <w:left w:val="none" w:sz="0" w:space="0" w:color="auto"/>
            <w:bottom w:val="none" w:sz="0" w:space="0" w:color="auto"/>
            <w:right w:val="none" w:sz="0" w:space="0" w:color="auto"/>
          </w:divBdr>
        </w:div>
        <w:div w:id="2032299882">
          <w:marLeft w:val="0"/>
          <w:marRight w:val="0"/>
          <w:marTop w:val="0"/>
          <w:marBottom w:val="0"/>
          <w:divBdr>
            <w:top w:val="none" w:sz="0" w:space="0" w:color="auto"/>
            <w:left w:val="none" w:sz="0" w:space="0" w:color="auto"/>
            <w:bottom w:val="none" w:sz="0" w:space="0" w:color="auto"/>
            <w:right w:val="none" w:sz="0" w:space="0" w:color="auto"/>
          </w:divBdr>
        </w:div>
        <w:div w:id="1614090087">
          <w:marLeft w:val="0"/>
          <w:marRight w:val="0"/>
          <w:marTop w:val="0"/>
          <w:marBottom w:val="0"/>
          <w:divBdr>
            <w:top w:val="none" w:sz="0" w:space="0" w:color="auto"/>
            <w:left w:val="none" w:sz="0" w:space="0" w:color="auto"/>
            <w:bottom w:val="none" w:sz="0" w:space="0" w:color="auto"/>
            <w:right w:val="none" w:sz="0" w:space="0" w:color="auto"/>
          </w:divBdr>
        </w:div>
        <w:div w:id="1909880307">
          <w:marLeft w:val="0"/>
          <w:marRight w:val="0"/>
          <w:marTop w:val="0"/>
          <w:marBottom w:val="0"/>
          <w:divBdr>
            <w:top w:val="none" w:sz="0" w:space="0" w:color="auto"/>
            <w:left w:val="none" w:sz="0" w:space="0" w:color="auto"/>
            <w:bottom w:val="none" w:sz="0" w:space="0" w:color="auto"/>
            <w:right w:val="none" w:sz="0" w:space="0" w:color="auto"/>
          </w:divBdr>
        </w:div>
        <w:div w:id="135415582">
          <w:marLeft w:val="0"/>
          <w:marRight w:val="0"/>
          <w:marTop w:val="0"/>
          <w:marBottom w:val="0"/>
          <w:divBdr>
            <w:top w:val="none" w:sz="0" w:space="0" w:color="auto"/>
            <w:left w:val="none" w:sz="0" w:space="0" w:color="auto"/>
            <w:bottom w:val="none" w:sz="0" w:space="0" w:color="auto"/>
            <w:right w:val="none" w:sz="0" w:space="0" w:color="auto"/>
          </w:divBdr>
        </w:div>
        <w:div w:id="1552427440">
          <w:marLeft w:val="0"/>
          <w:marRight w:val="0"/>
          <w:marTop w:val="0"/>
          <w:marBottom w:val="0"/>
          <w:divBdr>
            <w:top w:val="none" w:sz="0" w:space="0" w:color="auto"/>
            <w:left w:val="none" w:sz="0" w:space="0" w:color="auto"/>
            <w:bottom w:val="none" w:sz="0" w:space="0" w:color="auto"/>
            <w:right w:val="none" w:sz="0" w:space="0" w:color="auto"/>
          </w:divBdr>
        </w:div>
        <w:div w:id="1657372141">
          <w:marLeft w:val="0"/>
          <w:marRight w:val="0"/>
          <w:marTop w:val="0"/>
          <w:marBottom w:val="0"/>
          <w:divBdr>
            <w:top w:val="none" w:sz="0" w:space="0" w:color="auto"/>
            <w:left w:val="none" w:sz="0" w:space="0" w:color="auto"/>
            <w:bottom w:val="none" w:sz="0" w:space="0" w:color="auto"/>
            <w:right w:val="none" w:sz="0" w:space="0" w:color="auto"/>
          </w:divBdr>
        </w:div>
        <w:div w:id="485585783">
          <w:marLeft w:val="0"/>
          <w:marRight w:val="0"/>
          <w:marTop w:val="0"/>
          <w:marBottom w:val="0"/>
          <w:divBdr>
            <w:top w:val="none" w:sz="0" w:space="0" w:color="auto"/>
            <w:left w:val="none" w:sz="0" w:space="0" w:color="auto"/>
            <w:bottom w:val="none" w:sz="0" w:space="0" w:color="auto"/>
            <w:right w:val="none" w:sz="0" w:space="0" w:color="auto"/>
          </w:divBdr>
        </w:div>
        <w:div w:id="1471900563">
          <w:marLeft w:val="0"/>
          <w:marRight w:val="0"/>
          <w:marTop w:val="0"/>
          <w:marBottom w:val="0"/>
          <w:divBdr>
            <w:top w:val="none" w:sz="0" w:space="0" w:color="auto"/>
            <w:left w:val="none" w:sz="0" w:space="0" w:color="auto"/>
            <w:bottom w:val="none" w:sz="0" w:space="0" w:color="auto"/>
            <w:right w:val="none" w:sz="0" w:space="0" w:color="auto"/>
          </w:divBdr>
        </w:div>
        <w:div w:id="509756475">
          <w:marLeft w:val="0"/>
          <w:marRight w:val="0"/>
          <w:marTop w:val="0"/>
          <w:marBottom w:val="0"/>
          <w:divBdr>
            <w:top w:val="none" w:sz="0" w:space="0" w:color="auto"/>
            <w:left w:val="none" w:sz="0" w:space="0" w:color="auto"/>
            <w:bottom w:val="none" w:sz="0" w:space="0" w:color="auto"/>
            <w:right w:val="none" w:sz="0" w:space="0" w:color="auto"/>
          </w:divBdr>
        </w:div>
        <w:div w:id="411589840">
          <w:marLeft w:val="0"/>
          <w:marRight w:val="0"/>
          <w:marTop w:val="0"/>
          <w:marBottom w:val="0"/>
          <w:divBdr>
            <w:top w:val="none" w:sz="0" w:space="0" w:color="auto"/>
            <w:left w:val="none" w:sz="0" w:space="0" w:color="auto"/>
            <w:bottom w:val="none" w:sz="0" w:space="0" w:color="auto"/>
            <w:right w:val="none" w:sz="0" w:space="0" w:color="auto"/>
          </w:divBdr>
        </w:div>
        <w:div w:id="963316417">
          <w:marLeft w:val="0"/>
          <w:marRight w:val="0"/>
          <w:marTop w:val="0"/>
          <w:marBottom w:val="0"/>
          <w:divBdr>
            <w:top w:val="none" w:sz="0" w:space="0" w:color="auto"/>
            <w:left w:val="none" w:sz="0" w:space="0" w:color="auto"/>
            <w:bottom w:val="none" w:sz="0" w:space="0" w:color="auto"/>
            <w:right w:val="none" w:sz="0" w:space="0" w:color="auto"/>
          </w:divBdr>
        </w:div>
        <w:div w:id="408773454">
          <w:marLeft w:val="0"/>
          <w:marRight w:val="0"/>
          <w:marTop w:val="0"/>
          <w:marBottom w:val="0"/>
          <w:divBdr>
            <w:top w:val="none" w:sz="0" w:space="0" w:color="auto"/>
            <w:left w:val="none" w:sz="0" w:space="0" w:color="auto"/>
            <w:bottom w:val="none" w:sz="0" w:space="0" w:color="auto"/>
            <w:right w:val="none" w:sz="0" w:space="0" w:color="auto"/>
          </w:divBdr>
        </w:div>
        <w:div w:id="1295796125">
          <w:marLeft w:val="0"/>
          <w:marRight w:val="0"/>
          <w:marTop w:val="0"/>
          <w:marBottom w:val="0"/>
          <w:divBdr>
            <w:top w:val="none" w:sz="0" w:space="0" w:color="auto"/>
            <w:left w:val="none" w:sz="0" w:space="0" w:color="auto"/>
            <w:bottom w:val="none" w:sz="0" w:space="0" w:color="auto"/>
            <w:right w:val="none" w:sz="0" w:space="0" w:color="auto"/>
          </w:divBdr>
        </w:div>
        <w:div w:id="2138913308">
          <w:marLeft w:val="0"/>
          <w:marRight w:val="0"/>
          <w:marTop w:val="0"/>
          <w:marBottom w:val="0"/>
          <w:divBdr>
            <w:top w:val="none" w:sz="0" w:space="0" w:color="auto"/>
            <w:left w:val="none" w:sz="0" w:space="0" w:color="auto"/>
            <w:bottom w:val="none" w:sz="0" w:space="0" w:color="auto"/>
            <w:right w:val="none" w:sz="0" w:space="0" w:color="auto"/>
          </w:divBdr>
        </w:div>
        <w:div w:id="1382171491">
          <w:marLeft w:val="0"/>
          <w:marRight w:val="0"/>
          <w:marTop w:val="0"/>
          <w:marBottom w:val="0"/>
          <w:divBdr>
            <w:top w:val="none" w:sz="0" w:space="0" w:color="auto"/>
            <w:left w:val="none" w:sz="0" w:space="0" w:color="auto"/>
            <w:bottom w:val="none" w:sz="0" w:space="0" w:color="auto"/>
            <w:right w:val="none" w:sz="0" w:space="0" w:color="auto"/>
          </w:divBdr>
        </w:div>
        <w:div w:id="955213005">
          <w:marLeft w:val="0"/>
          <w:marRight w:val="0"/>
          <w:marTop w:val="0"/>
          <w:marBottom w:val="0"/>
          <w:divBdr>
            <w:top w:val="none" w:sz="0" w:space="0" w:color="auto"/>
            <w:left w:val="none" w:sz="0" w:space="0" w:color="auto"/>
            <w:bottom w:val="none" w:sz="0" w:space="0" w:color="auto"/>
            <w:right w:val="none" w:sz="0" w:space="0" w:color="auto"/>
          </w:divBdr>
        </w:div>
        <w:div w:id="1113134646">
          <w:marLeft w:val="0"/>
          <w:marRight w:val="0"/>
          <w:marTop w:val="0"/>
          <w:marBottom w:val="0"/>
          <w:divBdr>
            <w:top w:val="none" w:sz="0" w:space="0" w:color="auto"/>
            <w:left w:val="none" w:sz="0" w:space="0" w:color="auto"/>
            <w:bottom w:val="none" w:sz="0" w:space="0" w:color="auto"/>
            <w:right w:val="none" w:sz="0" w:space="0" w:color="auto"/>
          </w:divBdr>
        </w:div>
        <w:div w:id="511604155">
          <w:marLeft w:val="0"/>
          <w:marRight w:val="0"/>
          <w:marTop w:val="0"/>
          <w:marBottom w:val="0"/>
          <w:divBdr>
            <w:top w:val="none" w:sz="0" w:space="0" w:color="auto"/>
            <w:left w:val="none" w:sz="0" w:space="0" w:color="auto"/>
            <w:bottom w:val="none" w:sz="0" w:space="0" w:color="auto"/>
            <w:right w:val="none" w:sz="0" w:space="0" w:color="auto"/>
          </w:divBdr>
        </w:div>
        <w:div w:id="1096827290">
          <w:marLeft w:val="0"/>
          <w:marRight w:val="0"/>
          <w:marTop w:val="0"/>
          <w:marBottom w:val="0"/>
          <w:divBdr>
            <w:top w:val="none" w:sz="0" w:space="0" w:color="auto"/>
            <w:left w:val="none" w:sz="0" w:space="0" w:color="auto"/>
            <w:bottom w:val="none" w:sz="0" w:space="0" w:color="auto"/>
            <w:right w:val="none" w:sz="0" w:space="0" w:color="auto"/>
          </w:divBdr>
        </w:div>
        <w:div w:id="969164391">
          <w:marLeft w:val="0"/>
          <w:marRight w:val="0"/>
          <w:marTop w:val="0"/>
          <w:marBottom w:val="0"/>
          <w:divBdr>
            <w:top w:val="none" w:sz="0" w:space="0" w:color="auto"/>
            <w:left w:val="none" w:sz="0" w:space="0" w:color="auto"/>
            <w:bottom w:val="none" w:sz="0" w:space="0" w:color="auto"/>
            <w:right w:val="none" w:sz="0" w:space="0" w:color="auto"/>
          </w:divBdr>
        </w:div>
        <w:div w:id="1806502647">
          <w:marLeft w:val="0"/>
          <w:marRight w:val="0"/>
          <w:marTop w:val="0"/>
          <w:marBottom w:val="0"/>
          <w:divBdr>
            <w:top w:val="none" w:sz="0" w:space="0" w:color="auto"/>
            <w:left w:val="none" w:sz="0" w:space="0" w:color="auto"/>
            <w:bottom w:val="none" w:sz="0" w:space="0" w:color="auto"/>
            <w:right w:val="none" w:sz="0" w:space="0" w:color="auto"/>
          </w:divBdr>
        </w:div>
        <w:div w:id="604115099">
          <w:marLeft w:val="0"/>
          <w:marRight w:val="0"/>
          <w:marTop w:val="0"/>
          <w:marBottom w:val="0"/>
          <w:divBdr>
            <w:top w:val="none" w:sz="0" w:space="0" w:color="auto"/>
            <w:left w:val="none" w:sz="0" w:space="0" w:color="auto"/>
            <w:bottom w:val="none" w:sz="0" w:space="0" w:color="auto"/>
            <w:right w:val="none" w:sz="0" w:space="0" w:color="auto"/>
          </w:divBdr>
        </w:div>
        <w:div w:id="374014654">
          <w:marLeft w:val="0"/>
          <w:marRight w:val="0"/>
          <w:marTop w:val="0"/>
          <w:marBottom w:val="0"/>
          <w:divBdr>
            <w:top w:val="none" w:sz="0" w:space="0" w:color="auto"/>
            <w:left w:val="none" w:sz="0" w:space="0" w:color="auto"/>
            <w:bottom w:val="none" w:sz="0" w:space="0" w:color="auto"/>
            <w:right w:val="none" w:sz="0" w:space="0" w:color="auto"/>
          </w:divBdr>
        </w:div>
        <w:div w:id="1166438552">
          <w:marLeft w:val="0"/>
          <w:marRight w:val="0"/>
          <w:marTop w:val="0"/>
          <w:marBottom w:val="0"/>
          <w:divBdr>
            <w:top w:val="none" w:sz="0" w:space="0" w:color="auto"/>
            <w:left w:val="none" w:sz="0" w:space="0" w:color="auto"/>
            <w:bottom w:val="none" w:sz="0" w:space="0" w:color="auto"/>
            <w:right w:val="none" w:sz="0" w:space="0" w:color="auto"/>
          </w:divBdr>
        </w:div>
      </w:divsChild>
    </w:div>
    <w:div w:id="611979780">
      <w:bodyDiv w:val="1"/>
      <w:marLeft w:val="0"/>
      <w:marRight w:val="0"/>
      <w:marTop w:val="0"/>
      <w:marBottom w:val="0"/>
      <w:divBdr>
        <w:top w:val="none" w:sz="0" w:space="0" w:color="auto"/>
        <w:left w:val="none" w:sz="0" w:space="0" w:color="auto"/>
        <w:bottom w:val="none" w:sz="0" w:space="0" w:color="auto"/>
        <w:right w:val="none" w:sz="0" w:space="0" w:color="auto"/>
      </w:divBdr>
      <w:divsChild>
        <w:div w:id="392117987">
          <w:marLeft w:val="0"/>
          <w:marRight w:val="0"/>
          <w:marTop w:val="0"/>
          <w:marBottom w:val="0"/>
          <w:divBdr>
            <w:top w:val="none" w:sz="0" w:space="0" w:color="auto"/>
            <w:left w:val="none" w:sz="0" w:space="0" w:color="auto"/>
            <w:bottom w:val="none" w:sz="0" w:space="0" w:color="auto"/>
            <w:right w:val="none" w:sz="0" w:space="0" w:color="auto"/>
          </w:divBdr>
        </w:div>
        <w:div w:id="664163301">
          <w:marLeft w:val="0"/>
          <w:marRight w:val="0"/>
          <w:marTop w:val="0"/>
          <w:marBottom w:val="0"/>
          <w:divBdr>
            <w:top w:val="none" w:sz="0" w:space="0" w:color="auto"/>
            <w:left w:val="none" w:sz="0" w:space="0" w:color="auto"/>
            <w:bottom w:val="none" w:sz="0" w:space="0" w:color="auto"/>
            <w:right w:val="none" w:sz="0" w:space="0" w:color="auto"/>
          </w:divBdr>
        </w:div>
        <w:div w:id="380524417">
          <w:marLeft w:val="0"/>
          <w:marRight w:val="0"/>
          <w:marTop w:val="0"/>
          <w:marBottom w:val="0"/>
          <w:divBdr>
            <w:top w:val="none" w:sz="0" w:space="0" w:color="auto"/>
            <w:left w:val="none" w:sz="0" w:space="0" w:color="auto"/>
            <w:bottom w:val="none" w:sz="0" w:space="0" w:color="auto"/>
            <w:right w:val="none" w:sz="0" w:space="0" w:color="auto"/>
          </w:divBdr>
        </w:div>
      </w:divsChild>
    </w:div>
    <w:div w:id="623577319">
      <w:bodyDiv w:val="1"/>
      <w:marLeft w:val="0"/>
      <w:marRight w:val="0"/>
      <w:marTop w:val="0"/>
      <w:marBottom w:val="0"/>
      <w:divBdr>
        <w:top w:val="none" w:sz="0" w:space="0" w:color="auto"/>
        <w:left w:val="none" w:sz="0" w:space="0" w:color="auto"/>
        <w:bottom w:val="none" w:sz="0" w:space="0" w:color="auto"/>
        <w:right w:val="none" w:sz="0" w:space="0" w:color="auto"/>
      </w:divBdr>
      <w:divsChild>
        <w:div w:id="1597210133">
          <w:marLeft w:val="0"/>
          <w:marRight w:val="0"/>
          <w:marTop w:val="0"/>
          <w:marBottom w:val="0"/>
          <w:divBdr>
            <w:top w:val="none" w:sz="0" w:space="0" w:color="auto"/>
            <w:left w:val="none" w:sz="0" w:space="0" w:color="auto"/>
            <w:bottom w:val="none" w:sz="0" w:space="0" w:color="auto"/>
            <w:right w:val="none" w:sz="0" w:space="0" w:color="auto"/>
          </w:divBdr>
        </w:div>
        <w:div w:id="722486981">
          <w:marLeft w:val="0"/>
          <w:marRight w:val="0"/>
          <w:marTop w:val="0"/>
          <w:marBottom w:val="0"/>
          <w:divBdr>
            <w:top w:val="none" w:sz="0" w:space="0" w:color="auto"/>
            <w:left w:val="none" w:sz="0" w:space="0" w:color="auto"/>
            <w:bottom w:val="none" w:sz="0" w:space="0" w:color="auto"/>
            <w:right w:val="none" w:sz="0" w:space="0" w:color="auto"/>
          </w:divBdr>
        </w:div>
        <w:div w:id="368998194">
          <w:marLeft w:val="0"/>
          <w:marRight w:val="0"/>
          <w:marTop w:val="0"/>
          <w:marBottom w:val="0"/>
          <w:divBdr>
            <w:top w:val="none" w:sz="0" w:space="0" w:color="auto"/>
            <w:left w:val="none" w:sz="0" w:space="0" w:color="auto"/>
            <w:bottom w:val="none" w:sz="0" w:space="0" w:color="auto"/>
            <w:right w:val="none" w:sz="0" w:space="0" w:color="auto"/>
          </w:divBdr>
        </w:div>
        <w:div w:id="1657302358">
          <w:marLeft w:val="0"/>
          <w:marRight w:val="0"/>
          <w:marTop w:val="0"/>
          <w:marBottom w:val="0"/>
          <w:divBdr>
            <w:top w:val="none" w:sz="0" w:space="0" w:color="auto"/>
            <w:left w:val="none" w:sz="0" w:space="0" w:color="auto"/>
            <w:bottom w:val="none" w:sz="0" w:space="0" w:color="auto"/>
            <w:right w:val="none" w:sz="0" w:space="0" w:color="auto"/>
          </w:divBdr>
        </w:div>
        <w:div w:id="802115806">
          <w:marLeft w:val="0"/>
          <w:marRight w:val="0"/>
          <w:marTop w:val="0"/>
          <w:marBottom w:val="0"/>
          <w:divBdr>
            <w:top w:val="none" w:sz="0" w:space="0" w:color="auto"/>
            <w:left w:val="none" w:sz="0" w:space="0" w:color="auto"/>
            <w:bottom w:val="none" w:sz="0" w:space="0" w:color="auto"/>
            <w:right w:val="none" w:sz="0" w:space="0" w:color="auto"/>
          </w:divBdr>
        </w:div>
        <w:div w:id="86465842">
          <w:marLeft w:val="0"/>
          <w:marRight w:val="0"/>
          <w:marTop w:val="0"/>
          <w:marBottom w:val="0"/>
          <w:divBdr>
            <w:top w:val="none" w:sz="0" w:space="0" w:color="auto"/>
            <w:left w:val="none" w:sz="0" w:space="0" w:color="auto"/>
            <w:bottom w:val="none" w:sz="0" w:space="0" w:color="auto"/>
            <w:right w:val="none" w:sz="0" w:space="0" w:color="auto"/>
          </w:divBdr>
        </w:div>
        <w:div w:id="1935935400">
          <w:marLeft w:val="0"/>
          <w:marRight w:val="0"/>
          <w:marTop w:val="0"/>
          <w:marBottom w:val="0"/>
          <w:divBdr>
            <w:top w:val="none" w:sz="0" w:space="0" w:color="auto"/>
            <w:left w:val="none" w:sz="0" w:space="0" w:color="auto"/>
            <w:bottom w:val="none" w:sz="0" w:space="0" w:color="auto"/>
            <w:right w:val="none" w:sz="0" w:space="0" w:color="auto"/>
          </w:divBdr>
        </w:div>
        <w:div w:id="1026638444">
          <w:marLeft w:val="0"/>
          <w:marRight w:val="0"/>
          <w:marTop w:val="0"/>
          <w:marBottom w:val="0"/>
          <w:divBdr>
            <w:top w:val="none" w:sz="0" w:space="0" w:color="auto"/>
            <w:left w:val="none" w:sz="0" w:space="0" w:color="auto"/>
            <w:bottom w:val="none" w:sz="0" w:space="0" w:color="auto"/>
            <w:right w:val="none" w:sz="0" w:space="0" w:color="auto"/>
          </w:divBdr>
        </w:div>
        <w:div w:id="1052532967">
          <w:marLeft w:val="0"/>
          <w:marRight w:val="0"/>
          <w:marTop w:val="0"/>
          <w:marBottom w:val="0"/>
          <w:divBdr>
            <w:top w:val="none" w:sz="0" w:space="0" w:color="auto"/>
            <w:left w:val="none" w:sz="0" w:space="0" w:color="auto"/>
            <w:bottom w:val="none" w:sz="0" w:space="0" w:color="auto"/>
            <w:right w:val="none" w:sz="0" w:space="0" w:color="auto"/>
          </w:divBdr>
        </w:div>
        <w:div w:id="819424418">
          <w:marLeft w:val="0"/>
          <w:marRight w:val="0"/>
          <w:marTop w:val="0"/>
          <w:marBottom w:val="0"/>
          <w:divBdr>
            <w:top w:val="none" w:sz="0" w:space="0" w:color="auto"/>
            <w:left w:val="none" w:sz="0" w:space="0" w:color="auto"/>
            <w:bottom w:val="none" w:sz="0" w:space="0" w:color="auto"/>
            <w:right w:val="none" w:sz="0" w:space="0" w:color="auto"/>
          </w:divBdr>
        </w:div>
      </w:divsChild>
    </w:div>
    <w:div w:id="629556614">
      <w:bodyDiv w:val="1"/>
      <w:marLeft w:val="0"/>
      <w:marRight w:val="0"/>
      <w:marTop w:val="0"/>
      <w:marBottom w:val="0"/>
      <w:divBdr>
        <w:top w:val="none" w:sz="0" w:space="0" w:color="auto"/>
        <w:left w:val="none" w:sz="0" w:space="0" w:color="auto"/>
        <w:bottom w:val="none" w:sz="0" w:space="0" w:color="auto"/>
        <w:right w:val="none" w:sz="0" w:space="0" w:color="auto"/>
      </w:divBdr>
      <w:divsChild>
        <w:div w:id="416947118">
          <w:marLeft w:val="0"/>
          <w:marRight w:val="0"/>
          <w:marTop w:val="0"/>
          <w:marBottom w:val="0"/>
          <w:divBdr>
            <w:top w:val="none" w:sz="0" w:space="0" w:color="auto"/>
            <w:left w:val="none" w:sz="0" w:space="0" w:color="auto"/>
            <w:bottom w:val="none" w:sz="0" w:space="0" w:color="auto"/>
            <w:right w:val="none" w:sz="0" w:space="0" w:color="auto"/>
          </w:divBdr>
        </w:div>
        <w:div w:id="1793476357">
          <w:marLeft w:val="0"/>
          <w:marRight w:val="0"/>
          <w:marTop w:val="0"/>
          <w:marBottom w:val="0"/>
          <w:divBdr>
            <w:top w:val="none" w:sz="0" w:space="0" w:color="auto"/>
            <w:left w:val="none" w:sz="0" w:space="0" w:color="auto"/>
            <w:bottom w:val="none" w:sz="0" w:space="0" w:color="auto"/>
            <w:right w:val="none" w:sz="0" w:space="0" w:color="auto"/>
          </w:divBdr>
        </w:div>
        <w:div w:id="714889404">
          <w:marLeft w:val="0"/>
          <w:marRight w:val="0"/>
          <w:marTop w:val="0"/>
          <w:marBottom w:val="0"/>
          <w:divBdr>
            <w:top w:val="none" w:sz="0" w:space="0" w:color="auto"/>
            <w:left w:val="none" w:sz="0" w:space="0" w:color="auto"/>
            <w:bottom w:val="none" w:sz="0" w:space="0" w:color="auto"/>
            <w:right w:val="none" w:sz="0" w:space="0" w:color="auto"/>
          </w:divBdr>
        </w:div>
        <w:div w:id="1409771274">
          <w:marLeft w:val="0"/>
          <w:marRight w:val="0"/>
          <w:marTop w:val="0"/>
          <w:marBottom w:val="0"/>
          <w:divBdr>
            <w:top w:val="none" w:sz="0" w:space="0" w:color="auto"/>
            <w:left w:val="none" w:sz="0" w:space="0" w:color="auto"/>
            <w:bottom w:val="none" w:sz="0" w:space="0" w:color="auto"/>
            <w:right w:val="none" w:sz="0" w:space="0" w:color="auto"/>
          </w:divBdr>
        </w:div>
        <w:div w:id="590283290">
          <w:marLeft w:val="0"/>
          <w:marRight w:val="0"/>
          <w:marTop w:val="0"/>
          <w:marBottom w:val="0"/>
          <w:divBdr>
            <w:top w:val="none" w:sz="0" w:space="0" w:color="auto"/>
            <w:left w:val="none" w:sz="0" w:space="0" w:color="auto"/>
            <w:bottom w:val="none" w:sz="0" w:space="0" w:color="auto"/>
            <w:right w:val="none" w:sz="0" w:space="0" w:color="auto"/>
          </w:divBdr>
        </w:div>
        <w:div w:id="487593218">
          <w:marLeft w:val="0"/>
          <w:marRight w:val="0"/>
          <w:marTop w:val="0"/>
          <w:marBottom w:val="0"/>
          <w:divBdr>
            <w:top w:val="none" w:sz="0" w:space="0" w:color="auto"/>
            <w:left w:val="none" w:sz="0" w:space="0" w:color="auto"/>
            <w:bottom w:val="none" w:sz="0" w:space="0" w:color="auto"/>
            <w:right w:val="none" w:sz="0" w:space="0" w:color="auto"/>
          </w:divBdr>
        </w:div>
        <w:div w:id="1803185604">
          <w:marLeft w:val="0"/>
          <w:marRight w:val="0"/>
          <w:marTop w:val="0"/>
          <w:marBottom w:val="0"/>
          <w:divBdr>
            <w:top w:val="none" w:sz="0" w:space="0" w:color="auto"/>
            <w:left w:val="none" w:sz="0" w:space="0" w:color="auto"/>
            <w:bottom w:val="none" w:sz="0" w:space="0" w:color="auto"/>
            <w:right w:val="none" w:sz="0" w:space="0" w:color="auto"/>
          </w:divBdr>
        </w:div>
      </w:divsChild>
    </w:div>
    <w:div w:id="649866605">
      <w:bodyDiv w:val="1"/>
      <w:marLeft w:val="0"/>
      <w:marRight w:val="0"/>
      <w:marTop w:val="0"/>
      <w:marBottom w:val="0"/>
      <w:divBdr>
        <w:top w:val="none" w:sz="0" w:space="0" w:color="auto"/>
        <w:left w:val="none" w:sz="0" w:space="0" w:color="auto"/>
        <w:bottom w:val="none" w:sz="0" w:space="0" w:color="auto"/>
        <w:right w:val="none" w:sz="0" w:space="0" w:color="auto"/>
      </w:divBdr>
      <w:divsChild>
        <w:div w:id="1088576752">
          <w:marLeft w:val="0"/>
          <w:marRight w:val="0"/>
          <w:marTop w:val="0"/>
          <w:marBottom w:val="0"/>
          <w:divBdr>
            <w:top w:val="none" w:sz="0" w:space="0" w:color="auto"/>
            <w:left w:val="none" w:sz="0" w:space="0" w:color="auto"/>
            <w:bottom w:val="none" w:sz="0" w:space="0" w:color="auto"/>
            <w:right w:val="none" w:sz="0" w:space="0" w:color="auto"/>
          </w:divBdr>
        </w:div>
        <w:div w:id="1988045843">
          <w:marLeft w:val="0"/>
          <w:marRight w:val="0"/>
          <w:marTop w:val="0"/>
          <w:marBottom w:val="0"/>
          <w:divBdr>
            <w:top w:val="none" w:sz="0" w:space="0" w:color="auto"/>
            <w:left w:val="none" w:sz="0" w:space="0" w:color="auto"/>
            <w:bottom w:val="none" w:sz="0" w:space="0" w:color="auto"/>
            <w:right w:val="none" w:sz="0" w:space="0" w:color="auto"/>
          </w:divBdr>
        </w:div>
        <w:div w:id="2026901254">
          <w:marLeft w:val="0"/>
          <w:marRight w:val="0"/>
          <w:marTop w:val="0"/>
          <w:marBottom w:val="0"/>
          <w:divBdr>
            <w:top w:val="none" w:sz="0" w:space="0" w:color="auto"/>
            <w:left w:val="none" w:sz="0" w:space="0" w:color="auto"/>
            <w:bottom w:val="none" w:sz="0" w:space="0" w:color="auto"/>
            <w:right w:val="none" w:sz="0" w:space="0" w:color="auto"/>
          </w:divBdr>
        </w:div>
        <w:div w:id="1388526089">
          <w:marLeft w:val="0"/>
          <w:marRight w:val="0"/>
          <w:marTop w:val="0"/>
          <w:marBottom w:val="0"/>
          <w:divBdr>
            <w:top w:val="none" w:sz="0" w:space="0" w:color="auto"/>
            <w:left w:val="none" w:sz="0" w:space="0" w:color="auto"/>
            <w:bottom w:val="none" w:sz="0" w:space="0" w:color="auto"/>
            <w:right w:val="none" w:sz="0" w:space="0" w:color="auto"/>
          </w:divBdr>
        </w:div>
        <w:div w:id="2044010988">
          <w:marLeft w:val="0"/>
          <w:marRight w:val="0"/>
          <w:marTop w:val="0"/>
          <w:marBottom w:val="0"/>
          <w:divBdr>
            <w:top w:val="none" w:sz="0" w:space="0" w:color="auto"/>
            <w:left w:val="none" w:sz="0" w:space="0" w:color="auto"/>
            <w:bottom w:val="none" w:sz="0" w:space="0" w:color="auto"/>
            <w:right w:val="none" w:sz="0" w:space="0" w:color="auto"/>
          </w:divBdr>
        </w:div>
        <w:div w:id="1743142164">
          <w:marLeft w:val="0"/>
          <w:marRight w:val="0"/>
          <w:marTop w:val="0"/>
          <w:marBottom w:val="0"/>
          <w:divBdr>
            <w:top w:val="none" w:sz="0" w:space="0" w:color="auto"/>
            <w:left w:val="none" w:sz="0" w:space="0" w:color="auto"/>
            <w:bottom w:val="none" w:sz="0" w:space="0" w:color="auto"/>
            <w:right w:val="none" w:sz="0" w:space="0" w:color="auto"/>
          </w:divBdr>
        </w:div>
        <w:div w:id="1239092792">
          <w:marLeft w:val="0"/>
          <w:marRight w:val="0"/>
          <w:marTop w:val="0"/>
          <w:marBottom w:val="0"/>
          <w:divBdr>
            <w:top w:val="none" w:sz="0" w:space="0" w:color="auto"/>
            <w:left w:val="none" w:sz="0" w:space="0" w:color="auto"/>
            <w:bottom w:val="none" w:sz="0" w:space="0" w:color="auto"/>
            <w:right w:val="none" w:sz="0" w:space="0" w:color="auto"/>
          </w:divBdr>
        </w:div>
        <w:div w:id="2029869419">
          <w:marLeft w:val="0"/>
          <w:marRight w:val="0"/>
          <w:marTop w:val="0"/>
          <w:marBottom w:val="0"/>
          <w:divBdr>
            <w:top w:val="none" w:sz="0" w:space="0" w:color="auto"/>
            <w:left w:val="none" w:sz="0" w:space="0" w:color="auto"/>
            <w:bottom w:val="none" w:sz="0" w:space="0" w:color="auto"/>
            <w:right w:val="none" w:sz="0" w:space="0" w:color="auto"/>
          </w:divBdr>
        </w:div>
        <w:div w:id="94133639">
          <w:marLeft w:val="0"/>
          <w:marRight w:val="0"/>
          <w:marTop w:val="0"/>
          <w:marBottom w:val="0"/>
          <w:divBdr>
            <w:top w:val="none" w:sz="0" w:space="0" w:color="auto"/>
            <w:left w:val="none" w:sz="0" w:space="0" w:color="auto"/>
            <w:bottom w:val="none" w:sz="0" w:space="0" w:color="auto"/>
            <w:right w:val="none" w:sz="0" w:space="0" w:color="auto"/>
          </w:divBdr>
        </w:div>
        <w:div w:id="730156209">
          <w:marLeft w:val="0"/>
          <w:marRight w:val="0"/>
          <w:marTop w:val="0"/>
          <w:marBottom w:val="0"/>
          <w:divBdr>
            <w:top w:val="none" w:sz="0" w:space="0" w:color="auto"/>
            <w:left w:val="none" w:sz="0" w:space="0" w:color="auto"/>
            <w:bottom w:val="none" w:sz="0" w:space="0" w:color="auto"/>
            <w:right w:val="none" w:sz="0" w:space="0" w:color="auto"/>
          </w:divBdr>
        </w:div>
        <w:div w:id="924725569">
          <w:marLeft w:val="0"/>
          <w:marRight w:val="0"/>
          <w:marTop w:val="0"/>
          <w:marBottom w:val="0"/>
          <w:divBdr>
            <w:top w:val="none" w:sz="0" w:space="0" w:color="auto"/>
            <w:left w:val="none" w:sz="0" w:space="0" w:color="auto"/>
            <w:bottom w:val="none" w:sz="0" w:space="0" w:color="auto"/>
            <w:right w:val="none" w:sz="0" w:space="0" w:color="auto"/>
          </w:divBdr>
        </w:div>
      </w:divsChild>
    </w:div>
    <w:div w:id="655105932">
      <w:bodyDiv w:val="1"/>
      <w:marLeft w:val="0"/>
      <w:marRight w:val="0"/>
      <w:marTop w:val="0"/>
      <w:marBottom w:val="0"/>
      <w:divBdr>
        <w:top w:val="none" w:sz="0" w:space="0" w:color="auto"/>
        <w:left w:val="none" w:sz="0" w:space="0" w:color="auto"/>
        <w:bottom w:val="none" w:sz="0" w:space="0" w:color="auto"/>
        <w:right w:val="none" w:sz="0" w:space="0" w:color="auto"/>
      </w:divBdr>
      <w:divsChild>
        <w:div w:id="1455977619">
          <w:marLeft w:val="0"/>
          <w:marRight w:val="0"/>
          <w:marTop w:val="0"/>
          <w:marBottom w:val="0"/>
          <w:divBdr>
            <w:top w:val="none" w:sz="0" w:space="0" w:color="auto"/>
            <w:left w:val="none" w:sz="0" w:space="0" w:color="auto"/>
            <w:bottom w:val="none" w:sz="0" w:space="0" w:color="auto"/>
            <w:right w:val="none" w:sz="0" w:space="0" w:color="auto"/>
          </w:divBdr>
        </w:div>
        <w:div w:id="1352032489">
          <w:marLeft w:val="0"/>
          <w:marRight w:val="0"/>
          <w:marTop w:val="0"/>
          <w:marBottom w:val="0"/>
          <w:divBdr>
            <w:top w:val="none" w:sz="0" w:space="0" w:color="auto"/>
            <w:left w:val="none" w:sz="0" w:space="0" w:color="auto"/>
            <w:bottom w:val="none" w:sz="0" w:space="0" w:color="auto"/>
            <w:right w:val="none" w:sz="0" w:space="0" w:color="auto"/>
          </w:divBdr>
        </w:div>
        <w:div w:id="2002346437">
          <w:marLeft w:val="0"/>
          <w:marRight w:val="0"/>
          <w:marTop w:val="0"/>
          <w:marBottom w:val="0"/>
          <w:divBdr>
            <w:top w:val="none" w:sz="0" w:space="0" w:color="auto"/>
            <w:left w:val="none" w:sz="0" w:space="0" w:color="auto"/>
            <w:bottom w:val="none" w:sz="0" w:space="0" w:color="auto"/>
            <w:right w:val="none" w:sz="0" w:space="0" w:color="auto"/>
          </w:divBdr>
        </w:div>
        <w:div w:id="1772117121">
          <w:marLeft w:val="0"/>
          <w:marRight w:val="0"/>
          <w:marTop w:val="0"/>
          <w:marBottom w:val="0"/>
          <w:divBdr>
            <w:top w:val="none" w:sz="0" w:space="0" w:color="auto"/>
            <w:left w:val="none" w:sz="0" w:space="0" w:color="auto"/>
            <w:bottom w:val="none" w:sz="0" w:space="0" w:color="auto"/>
            <w:right w:val="none" w:sz="0" w:space="0" w:color="auto"/>
          </w:divBdr>
        </w:div>
        <w:div w:id="1451164940">
          <w:marLeft w:val="0"/>
          <w:marRight w:val="0"/>
          <w:marTop w:val="0"/>
          <w:marBottom w:val="0"/>
          <w:divBdr>
            <w:top w:val="none" w:sz="0" w:space="0" w:color="auto"/>
            <w:left w:val="none" w:sz="0" w:space="0" w:color="auto"/>
            <w:bottom w:val="none" w:sz="0" w:space="0" w:color="auto"/>
            <w:right w:val="none" w:sz="0" w:space="0" w:color="auto"/>
          </w:divBdr>
        </w:div>
        <w:div w:id="434860023">
          <w:marLeft w:val="0"/>
          <w:marRight w:val="0"/>
          <w:marTop w:val="0"/>
          <w:marBottom w:val="0"/>
          <w:divBdr>
            <w:top w:val="none" w:sz="0" w:space="0" w:color="auto"/>
            <w:left w:val="none" w:sz="0" w:space="0" w:color="auto"/>
            <w:bottom w:val="none" w:sz="0" w:space="0" w:color="auto"/>
            <w:right w:val="none" w:sz="0" w:space="0" w:color="auto"/>
          </w:divBdr>
        </w:div>
        <w:div w:id="2132749223">
          <w:marLeft w:val="0"/>
          <w:marRight w:val="0"/>
          <w:marTop w:val="0"/>
          <w:marBottom w:val="0"/>
          <w:divBdr>
            <w:top w:val="none" w:sz="0" w:space="0" w:color="auto"/>
            <w:left w:val="none" w:sz="0" w:space="0" w:color="auto"/>
            <w:bottom w:val="none" w:sz="0" w:space="0" w:color="auto"/>
            <w:right w:val="none" w:sz="0" w:space="0" w:color="auto"/>
          </w:divBdr>
        </w:div>
        <w:div w:id="979270271">
          <w:marLeft w:val="0"/>
          <w:marRight w:val="0"/>
          <w:marTop w:val="0"/>
          <w:marBottom w:val="0"/>
          <w:divBdr>
            <w:top w:val="none" w:sz="0" w:space="0" w:color="auto"/>
            <w:left w:val="none" w:sz="0" w:space="0" w:color="auto"/>
            <w:bottom w:val="none" w:sz="0" w:space="0" w:color="auto"/>
            <w:right w:val="none" w:sz="0" w:space="0" w:color="auto"/>
          </w:divBdr>
        </w:div>
        <w:div w:id="39593564">
          <w:marLeft w:val="0"/>
          <w:marRight w:val="0"/>
          <w:marTop w:val="0"/>
          <w:marBottom w:val="0"/>
          <w:divBdr>
            <w:top w:val="none" w:sz="0" w:space="0" w:color="auto"/>
            <w:left w:val="none" w:sz="0" w:space="0" w:color="auto"/>
            <w:bottom w:val="none" w:sz="0" w:space="0" w:color="auto"/>
            <w:right w:val="none" w:sz="0" w:space="0" w:color="auto"/>
          </w:divBdr>
        </w:div>
      </w:divsChild>
    </w:div>
    <w:div w:id="656304218">
      <w:bodyDiv w:val="1"/>
      <w:marLeft w:val="0"/>
      <w:marRight w:val="0"/>
      <w:marTop w:val="0"/>
      <w:marBottom w:val="0"/>
      <w:divBdr>
        <w:top w:val="none" w:sz="0" w:space="0" w:color="auto"/>
        <w:left w:val="none" w:sz="0" w:space="0" w:color="auto"/>
        <w:bottom w:val="none" w:sz="0" w:space="0" w:color="auto"/>
        <w:right w:val="none" w:sz="0" w:space="0" w:color="auto"/>
      </w:divBdr>
      <w:divsChild>
        <w:div w:id="1142163677">
          <w:marLeft w:val="0"/>
          <w:marRight w:val="0"/>
          <w:marTop w:val="0"/>
          <w:marBottom w:val="0"/>
          <w:divBdr>
            <w:top w:val="none" w:sz="0" w:space="0" w:color="auto"/>
            <w:left w:val="none" w:sz="0" w:space="0" w:color="auto"/>
            <w:bottom w:val="none" w:sz="0" w:space="0" w:color="auto"/>
            <w:right w:val="none" w:sz="0" w:space="0" w:color="auto"/>
          </w:divBdr>
        </w:div>
        <w:div w:id="128331433">
          <w:marLeft w:val="0"/>
          <w:marRight w:val="0"/>
          <w:marTop w:val="0"/>
          <w:marBottom w:val="0"/>
          <w:divBdr>
            <w:top w:val="none" w:sz="0" w:space="0" w:color="auto"/>
            <w:left w:val="none" w:sz="0" w:space="0" w:color="auto"/>
            <w:bottom w:val="none" w:sz="0" w:space="0" w:color="auto"/>
            <w:right w:val="none" w:sz="0" w:space="0" w:color="auto"/>
          </w:divBdr>
        </w:div>
      </w:divsChild>
    </w:div>
    <w:div w:id="710306661">
      <w:bodyDiv w:val="1"/>
      <w:marLeft w:val="0"/>
      <w:marRight w:val="0"/>
      <w:marTop w:val="0"/>
      <w:marBottom w:val="0"/>
      <w:divBdr>
        <w:top w:val="none" w:sz="0" w:space="0" w:color="auto"/>
        <w:left w:val="none" w:sz="0" w:space="0" w:color="auto"/>
        <w:bottom w:val="none" w:sz="0" w:space="0" w:color="auto"/>
        <w:right w:val="none" w:sz="0" w:space="0" w:color="auto"/>
      </w:divBdr>
      <w:divsChild>
        <w:div w:id="578248640">
          <w:marLeft w:val="0"/>
          <w:marRight w:val="0"/>
          <w:marTop w:val="0"/>
          <w:marBottom w:val="0"/>
          <w:divBdr>
            <w:top w:val="none" w:sz="0" w:space="0" w:color="auto"/>
            <w:left w:val="none" w:sz="0" w:space="0" w:color="auto"/>
            <w:bottom w:val="none" w:sz="0" w:space="0" w:color="auto"/>
            <w:right w:val="none" w:sz="0" w:space="0" w:color="auto"/>
          </w:divBdr>
        </w:div>
        <w:div w:id="2128154406">
          <w:marLeft w:val="0"/>
          <w:marRight w:val="0"/>
          <w:marTop w:val="0"/>
          <w:marBottom w:val="0"/>
          <w:divBdr>
            <w:top w:val="none" w:sz="0" w:space="0" w:color="auto"/>
            <w:left w:val="none" w:sz="0" w:space="0" w:color="auto"/>
            <w:bottom w:val="none" w:sz="0" w:space="0" w:color="auto"/>
            <w:right w:val="none" w:sz="0" w:space="0" w:color="auto"/>
          </w:divBdr>
        </w:div>
        <w:div w:id="646399038">
          <w:marLeft w:val="0"/>
          <w:marRight w:val="0"/>
          <w:marTop w:val="0"/>
          <w:marBottom w:val="0"/>
          <w:divBdr>
            <w:top w:val="none" w:sz="0" w:space="0" w:color="auto"/>
            <w:left w:val="none" w:sz="0" w:space="0" w:color="auto"/>
            <w:bottom w:val="none" w:sz="0" w:space="0" w:color="auto"/>
            <w:right w:val="none" w:sz="0" w:space="0" w:color="auto"/>
          </w:divBdr>
        </w:div>
        <w:div w:id="763762696">
          <w:marLeft w:val="0"/>
          <w:marRight w:val="0"/>
          <w:marTop w:val="0"/>
          <w:marBottom w:val="0"/>
          <w:divBdr>
            <w:top w:val="none" w:sz="0" w:space="0" w:color="auto"/>
            <w:left w:val="none" w:sz="0" w:space="0" w:color="auto"/>
            <w:bottom w:val="none" w:sz="0" w:space="0" w:color="auto"/>
            <w:right w:val="none" w:sz="0" w:space="0" w:color="auto"/>
          </w:divBdr>
        </w:div>
        <w:div w:id="110513304">
          <w:marLeft w:val="0"/>
          <w:marRight w:val="0"/>
          <w:marTop w:val="0"/>
          <w:marBottom w:val="0"/>
          <w:divBdr>
            <w:top w:val="none" w:sz="0" w:space="0" w:color="auto"/>
            <w:left w:val="none" w:sz="0" w:space="0" w:color="auto"/>
            <w:bottom w:val="none" w:sz="0" w:space="0" w:color="auto"/>
            <w:right w:val="none" w:sz="0" w:space="0" w:color="auto"/>
          </w:divBdr>
        </w:div>
        <w:div w:id="2002780788">
          <w:marLeft w:val="0"/>
          <w:marRight w:val="0"/>
          <w:marTop w:val="0"/>
          <w:marBottom w:val="0"/>
          <w:divBdr>
            <w:top w:val="none" w:sz="0" w:space="0" w:color="auto"/>
            <w:left w:val="none" w:sz="0" w:space="0" w:color="auto"/>
            <w:bottom w:val="none" w:sz="0" w:space="0" w:color="auto"/>
            <w:right w:val="none" w:sz="0" w:space="0" w:color="auto"/>
          </w:divBdr>
        </w:div>
        <w:div w:id="885070009">
          <w:marLeft w:val="0"/>
          <w:marRight w:val="0"/>
          <w:marTop w:val="0"/>
          <w:marBottom w:val="0"/>
          <w:divBdr>
            <w:top w:val="none" w:sz="0" w:space="0" w:color="auto"/>
            <w:left w:val="none" w:sz="0" w:space="0" w:color="auto"/>
            <w:bottom w:val="none" w:sz="0" w:space="0" w:color="auto"/>
            <w:right w:val="none" w:sz="0" w:space="0" w:color="auto"/>
          </w:divBdr>
        </w:div>
        <w:div w:id="2085493498">
          <w:marLeft w:val="0"/>
          <w:marRight w:val="0"/>
          <w:marTop w:val="0"/>
          <w:marBottom w:val="0"/>
          <w:divBdr>
            <w:top w:val="none" w:sz="0" w:space="0" w:color="auto"/>
            <w:left w:val="none" w:sz="0" w:space="0" w:color="auto"/>
            <w:bottom w:val="none" w:sz="0" w:space="0" w:color="auto"/>
            <w:right w:val="none" w:sz="0" w:space="0" w:color="auto"/>
          </w:divBdr>
        </w:div>
        <w:div w:id="8217751">
          <w:marLeft w:val="0"/>
          <w:marRight w:val="0"/>
          <w:marTop w:val="0"/>
          <w:marBottom w:val="0"/>
          <w:divBdr>
            <w:top w:val="none" w:sz="0" w:space="0" w:color="auto"/>
            <w:left w:val="none" w:sz="0" w:space="0" w:color="auto"/>
            <w:bottom w:val="none" w:sz="0" w:space="0" w:color="auto"/>
            <w:right w:val="none" w:sz="0" w:space="0" w:color="auto"/>
          </w:divBdr>
        </w:div>
      </w:divsChild>
    </w:div>
    <w:div w:id="721372331">
      <w:bodyDiv w:val="1"/>
      <w:marLeft w:val="0"/>
      <w:marRight w:val="0"/>
      <w:marTop w:val="0"/>
      <w:marBottom w:val="0"/>
      <w:divBdr>
        <w:top w:val="none" w:sz="0" w:space="0" w:color="auto"/>
        <w:left w:val="none" w:sz="0" w:space="0" w:color="auto"/>
        <w:bottom w:val="none" w:sz="0" w:space="0" w:color="auto"/>
        <w:right w:val="none" w:sz="0" w:space="0" w:color="auto"/>
      </w:divBdr>
      <w:divsChild>
        <w:div w:id="1330478872">
          <w:marLeft w:val="0"/>
          <w:marRight w:val="0"/>
          <w:marTop w:val="0"/>
          <w:marBottom w:val="0"/>
          <w:divBdr>
            <w:top w:val="none" w:sz="0" w:space="0" w:color="auto"/>
            <w:left w:val="none" w:sz="0" w:space="0" w:color="auto"/>
            <w:bottom w:val="none" w:sz="0" w:space="0" w:color="auto"/>
            <w:right w:val="none" w:sz="0" w:space="0" w:color="auto"/>
          </w:divBdr>
        </w:div>
        <w:div w:id="1833372283">
          <w:marLeft w:val="0"/>
          <w:marRight w:val="0"/>
          <w:marTop w:val="0"/>
          <w:marBottom w:val="0"/>
          <w:divBdr>
            <w:top w:val="none" w:sz="0" w:space="0" w:color="auto"/>
            <w:left w:val="none" w:sz="0" w:space="0" w:color="auto"/>
            <w:bottom w:val="none" w:sz="0" w:space="0" w:color="auto"/>
            <w:right w:val="none" w:sz="0" w:space="0" w:color="auto"/>
          </w:divBdr>
        </w:div>
        <w:div w:id="347635256">
          <w:marLeft w:val="0"/>
          <w:marRight w:val="0"/>
          <w:marTop w:val="0"/>
          <w:marBottom w:val="0"/>
          <w:divBdr>
            <w:top w:val="none" w:sz="0" w:space="0" w:color="auto"/>
            <w:left w:val="none" w:sz="0" w:space="0" w:color="auto"/>
            <w:bottom w:val="none" w:sz="0" w:space="0" w:color="auto"/>
            <w:right w:val="none" w:sz="0" w:space="0" w:color="auto"/>
          </w:divBdr>
        </w:div>
        <w:div w:id="1725834741">
          <w:marLeft w:val="0"/>
          <w:marRight w:val="0"/>
          <w:marTop w:val="0"/>
          <w:marBottom w:val="0"/>
          <w:divBdr>
            <w:top w:val="none" w:sz="0" w:space="0" w:color="auto"/>
            <w:left w:val="none" w:sz="0" w:space="0" w:color="auto"/>
            <w:bottom w:val="none" w:sz="0" w:space="0" w:color="auto"/>
            <w:right w:val="none" w:sz="0" w:space="0" w:color="auto"/>
          </w:divBdr>
        </w:div>
        <w:div w:id="1143085182">
          <w:marLeft w:val="0"/>
          <w:marRight w:val="0"/>
          <w:marTop w:val="0"/>
          <w:marBottom w:val="0"/>
          <w:divBdr>
            <w:top w:val="none" w:sz="0" w:space="0" w:color="auto"/>
            <w:left w:val="none" w:sz="0" w:space="0" w:color="auto"/>
            <w:bottom w:val="none" w:sz="0" w:space="0" w:color="auto"/>
            <w:right w:val="none" w:sz="0" w:space="0" w:color="auto"/>
          </w:divBdr>
        </w:div>
        <w:div w:id="985668010">
          <w:marLeft w:val="0"/>
          <w:marRight w:val="0"/>
          <w:marTop w:val="0"/>
          <w:marBottom w:val="0"/>
          <w:divBdr>
            <w:top w:val="none" w:sz="0" w:space="0" w:color="auto"/>
            <w:left w:val="none" w:sz="0" w:space="0" w:color="auto"/>
            <w:bottom w:val="none" w:sz="0" w:space="0" w:color="auto"/>
            <w:right w:val="none" w:sz="0" w:space="0" w:color="auto"/>
          </w:divBdr>
        </w:div>
        <w:div w:id="318194724">
          <w:marLeft w:val="0"/>
          <w:marRight w:val="0"/>
          <w:marTop w:val="0"/>
          <w:marBottom w:val="0"/>
          <w:divBdr>
            <w:top w:val="none" w:sz="0" w:space="0" w:color="auto"/>
            <w:left w:val="none" w:sz="0" w:space="0" w:color="auto"/>
            <w:bottom w:val="none" w:sz="0" w:space="0" w:color="auto"/>
            <w:right w:val="none" w:sz="0" w:space="0" w:color="auto"/>
          </w:divBdr>
        </w:div>
        <w:div w:id="634875820">
          <w:marLeft w:val="0"/>
          <w:marRight w:val="0"/>
          <w:marTop w:val="0"/>
          <w:marBottom w:val="0"/>
          <w:divBdr>
            <w:top w:val="none" w:sz="0" w:space="0" w:color="auto"/>
            <w:left w:val="none" w:sz="0" w:space="0" w:color="auto"/>
            <w:bottom w:val="none" w:sz="0" w:space="0" w:color="auto"/>
            <w:right w:val="none" w:sz="0" w:space="0" w:color="auto"/>
          </w:divBdr>
        </w:div>
        <w:div w:id="1345283908">
          <w:marLeft w:val="0"/>
          <w:marRight w:val="0"/>
          <w:marTop w:val="0"/>
          <w:marBottom w:val="0"/>
          <w:divBdr>
            <w:top w:val="none" w:sz="0" w:space="0" w:color="auto"/>
            <w:left w:val="none" w:sz="0" w:space="0" w:color="auto"/>
            <w:bottom w:val="none" w:sz="0" w:space="0" w:color="auto"/>
            <w:right w:val="none" w:sz="0" w:space="0" w:color="auto"/>
          </w:divBdr>
        </w:div>
        <w:div w:id="875311665">
          <w:marLeft w:val="0"/>
          <w:marRight w:val="0"/>
          <w:marTop w:val="0"/>
          <w:marBottom w:val="0"/>
          <w:divBdr>
            <w:top w:val="none" w:sz="0" w:space="0" w:color="auto"/>
            <w:left w:val="none" w:sz="0" w:space="0" w:color="auto"/>
            <w:bottom w:val="none" w:sz="0" w:space="0" w:color="auto"/>
            <w:right w:val="none" w:sz="0" w:space="0" w:color="auto"/>
          </w:divBdr>
        </w:div>
        <w:div w:id="419060197">
          <w:marLeft w:val="0"/>
          <w:marRight w:val="0"/>
          <w:marTop w:val="0"/>
          <w:marBottom w:val="0"/>
          <w:divBdr>
            <w:top w:val="none" w:sz="0" w:space="0" w:color="auto"/>
            <w:left w:val="none" w:sz="0" w:space="0" w:color="auto"/>
            <w:bottom w:val="none" w:sz="0" w:space="0" w:color="auto"/>
            <w:right w:val="none" w:sz="0" w:space="0" w:color="auto"/>
          </w:divBdr>
        </w:div>
        <w:div w:id="1386877064">
          <w:marLeft w:val="0"/>
          <w:marRight w:val="0"/>
          <w:marTop w:val="0"/>
          <w:marBottom w:val="0"/>
          <w:divBdr>
            <w:top w:val="none" w:sz="0" w:space="0" w:color="auto"/>
            <w:left w:val="none" w:sz="0" w:space="0" w:color="auto"/>
            <w:bottom w:val="none" w:sz="0" w:space="0" w:color="auto"/>
            <w:right w:val="none" w:sz="0" w:space="0" w:color="auto"/>
          </w:divBdr>
        </w:div>
        <w:div w:id="1000625226">
          <w:marLeft w:val="0"/>
          <w:marRight w:val="0"/>
          <w:marTop w:val="0"/>
          <w:marBottom w:val="0"/>
          <w:divBdr>
            <w:top w:val="none" w:sz="0" w:space="0" w:color="auto"/>
            <w:left w:val="none" w:sz="0" w:space="0" w:color="auto"/>
            <w:bottom w:val="none" w:sz="0" w:space="0" w:color="auto"/>
            <w:right w:val="none" w:sz="0" w:space="0" w:color="auto"/>
          </w:divBdr>
        </w:div>
        <w:div w:id="1187018062">
          <w:marLeft w:val="0"/>
          <w:marRight w:val="0"/>
          <w:marTop w:val="0"/>
          <w:marBottom w:val="0"/>
          <w:divBdr>
            <w:top w:val="none" w:sz="0" w:space="0" w:color="auto"/>
            <w:left w:val="none" w:sz="0" w:space="0" w:color="auto"/>
            <w:bottom w:val="none" w:sz="0" w:space="0" w:color="auto"/>
            <w:right w:val="none" w:sz="0" w:space="0" w:color="auto"/>
          </w:divBdr>
        </w:div>
        <w:div w:id="1343122655">
          <w:marLeft w:val="0"/>
          <w:marRight w:val="0"/>
          <w:marTop w:val="0"/>
          <w:marBottom w:val="0"/>
          <w:divBdr>
            <w:top w:val="none" w:sz="0" w:space="0" w:color="auto"/>
            <w:left w:val="none" w:sz="0" w:space="0" w:color="auto"/>
            <w:bottom w:val="none" w:sz="0" w:space="0" w:color="auto"/>
            <w:right w:val="none" w:sz="0" w:space="0" w:color="auto"/>
          </w:divBdr>
        </w:div>
        <w:div w:id="1395078072">
          <w:marLeft w:val="0"/>
          <w:marRight w:val="0"/>
          <w:marTop w:val="0"/>
          <w:marBottom w:val="0"/>
          <w:divBdr>
            <w:top w:val="none" w:sz="0" w:space="0" w:color="auto"/>
            <w:left w:val="none" w:sz="0" w:space="0" w:color="auto"/>
            <w:bottom w:val="none" w:sz="0" w:space="0" w:color="auto"/>
            <w:right w:val="none" w:sz="0" w:space="0" w:color="auto"/>
          </w:divBdr>
        </w:div>
        <w:div w:id="1120145094">
          <w:marLeft w:val="0"/>
          <w:marRight w:val="0"/>
          <w:marTop w:val="0"/>
          <w:marBottom w:val="0"/>
          <w:divBdr>
            <w:top w:val="none" w:sz="0" w:space="0" w:color="auto"/>
            <w:left w:val="none" w:sz="0" w:space="0" w:color="auto"/>
            <w:bottom w:val="none" w:sz="0" w:space="0" w:color="auto"/>
            <w:right w:val="none" w:sz="0" w:space="0" w:color="auto"/>
          </w:divBdr>
        </w:div>
        <w:div w:id="1582643258">
          <w:marLeft w:val="0"/>
          <w:marRight w:val="0"/>
          <w:marTop w:val="0"/>
          <w:marBottom w:val="0"/>
          <w:divBdr>
            <w:top w:val="none" w:sz="0" w:space="0" w:color="auto"/>
            <w:left w:val="none" w:sz="0" w:space="0" w:color="auto"/>
            <w:bottom w:val="none" w:sz="0" w:space="0" w:color="auto"/>
            <w:right w:val="none" w:sz="0" w:space="0" w:color="auto"/>
          </w:divBdr>
        </w:div>
        <w:div w:id="715816866">
          <w:marLeft w:val="0"/>
          <w:marRight w:val="0"/>
          <w:marTop w:val="0"/>
          <w:marBottom w:val="0"/>
          <w:divBdr>
            <w:top w:val="none" w:sz="0" w:space="0" w:color="auto"/>
            <w:left w:val="none" w:sz="0" w:space="0" w:color="auto"/>
            <w:bottom w:val="none" w:sz="0" w:space="0" w:color="auto"/>
            <w:right w:val="none" w:sz="0" w:space="0" w:color="auto"/>
          </w:divBdr>
        </w:div>
        <w:div w:id="634992481">
          <w:marLeft w:val="0"/>
          <w:marRight w:val="0"/>
          <w:marTop w:val="0"/>
          <w:marBottom w:val="0"/>
          <w:divBdr>
            <w:top w:val="none" w:sz="0" w:space="0" w:color="auto"/>
            <w:left w:val="none" w:sz="0" w:space="0" w:color="auto"/>
            <w:bottom w:val="none" w:sz="0" w:space="0" w:color="auto"/>
            <w:right w:val="none" w:sz="0" w:space="0" w:color="auto"/>
          </w:divBdr>
        </w:div>
        <w:div w:id="339235783">
          <w:marLeft w:val="0"/>
          <w:marRight w:val="0"/>
          <w:marTop w:val="0"/>
          <w:marBottom w:val="0"/>
          <w:divBdr>
            <w:top w:val="none" w:sz="0" w:space="0" w:color="auto"/>
            <w:left w:val="none" w:sz="0" w:space="0" w:color="auto"/>
            <w:bottom w:val="none" w:sz="0" w:space="0" w:color="auto"/>
            <w:right w:val="none" w:sz="0" w:space="0" w:color="auto"/>
          </w:divBdr>
        </w:div>
        <w:div w:id="322973656">
          <w:marLeft w:val="0"/>
          <w:marRight w:val="0"/>
          <w:marTop w:val="0"/>
          <w:marBottom w:val="0"/>
          <w:divBdr>
            <w:top w:val="none" w:sz="0" w:space="0" w:color="auto"/>
            <w:left w:val="none" w:sz="0" w:space="0" w:color="auto"/>
            <w:bottom w:val="none" w:sz="0" w:space="0" w:color="auto"/>
            <w:right w:val="none" w:sz="0" w:space="0" w:color="auto"/>
          </w:divBdr>
        </w:div>
        <w:div w:id="372390908">
          <w:marLeft w:val="0"/>
          <w:marRight w:val="0"/>
          <w:marTop w:val="0"/>
          <w:marBottom w:val="0"/>
          <w:divBdr>
            <w:top w:val="none" w:sz="0" w:space="0" w:color="auto"/>
            <w:left w:val="none" w:sz="0" w:space="0" w:color="auto"/>
            <w:bottom w:val="none" w:sz="0" w:space="0" w:color="auto"/>
            <w:right w:val="none" w:sz="0" w:space="0" w:color="auto"/>
          </w:divBdr>
        </w:div>
        <w:div w:id="1168717349">
          <w:marLeft w:val="0"/>
          <w:marRight w:val="0"/>
          <w:marTop w:val="0"/>
          <w:marBottom w:val="0"/>
          <w:divBdr>
            <w:top w:val="none" w:sz="0" w:space="0" w:color="auto"/>
            <w:left w:val="none" w:sz="0" w:space="0" w:color="auto"/>
            <w:bottom w:val="none" w:sz="0" w:space="0" w:color="auto"/>
            <w:right w:val="none" w:sz="0" w:space="0" w:color="auto"/>
          </w:divBdr>
        </w:div>
        <w:div w:id="1309553456">
          <w:marLeft w:val="0"/>
          <w:marRight w:val="0"/>
          <w:marTop w:val="0"/>
          <w:marBottom w:val="0"/>
          <w:divBdr>
            <w:top w:val="none" w:sz="0" w:space="0" w:color="auto"/>
            <w:left w:val="none" w:sz="0" w:space="0" w:color="auto"/>
            <w:bottom w:val="none" w:sz="0" w:space="0" w:color="auto"/>
            <w:right w:val="none" w:sz="0" w:space="0" w:color="auto"/>
          </w:divBdr>
        </w:div>
        <w:div w:id="1500005288">
          <w:marLeft w:val="0"/>
          <w:marRight w:val="0"/>
          <w:marTop w:val="0"/>
          <w:marBottom w:val="0"/>
          <w:divBdr>
            <w:top w:val="none" w:sz="0" w:space="0" w:color="auto"/>
            <w:left w:val="none" w:sz="0" w:space="0" w:color="auto"/>
            <w:bottom w:val="none" w:sz="0" w:space="0" w:color="auto"/>
            <w:right w:val="none" w:sz="0" w:space="0" w:color="auto"/>
          </w:divBdr>
        </w:div>
        <w:div w:id="729579049">
          <w:marLeft w:val="0"/>
          <w:marRight w:val="0"/>
          <w:marTop w:val="0"/>
          <w:marBottom w:val="0"/>
          <w:divBdr>
            <w:top w:val="none" w:sz="0" w:space="0" w:color="auto"/>
            <w:left w:val="none" w:sz="0" w:space="0" w:color="auto"/>
            <w:bottom w:val="none" w:sz="0" w:space="0" w:color="auto"/>
            <w:right w:val="none" w:sz="0" w:space="0" w:color="auto"/>
          </w:divBdr>
        </w:div>
        <w:div w:id="476385908">
          <w:marLeft w:val="0"/>
          <w:marRight w:val="0"/>
          <w:marTop w:val="0"/>
          <w:marBottom w:val="0"/>
          <w:divBdr>
            <w:top w:val="none" w:sz="0" w:space="0" w:color="auto"/>
            <w:left w:val="none" w:sz="0" w:space="0" w:color="auto"/>
            <w:bottom w:val="none" w:sz="0" w:space="0" w:color="auto"/>
            <w:right w:val="none" w:sz="0" w:space="0" w:color="auto"/>
          </w:divBdr>
        </w:div>
        <w:div w:id="1856962568">
          <w:marLeft w:val="0"/>
          <w:marRight w:val="0"/>
          <w:marTop w:val="0"/>
          <w:marBottom w:val="0"/>
          <w:divBdr>
            <w:top w:val="none" w:sz="0" w:space="0" w:color="auto"/>
            <w:left w:val="none" w:sz="0" w:space="0" w:color="auto"/>
            <w:bottom w:val="none" w:sz="0" w:space="0" w:color="auto"/>
            <w:right w:val="none" w:sz="0" w:space="0" w:color="auto"/>
          </w:divBdr>
        </w:div>
        <w:div w:id="1133908925">
          <w:marLeft w:val="0"/>
          <w:marRight w:val="0"/>
          <w:marTop w:val="0"/>
          <w:marBottom w:val="0"/>
          <w:divBdr>
            <w:top w:val="none" w:sz="0" w:space="0" w:color="auto"/>
            <w:left w:val="none" w:sz="0" w:space="0" w:color="auto"/>
            <w:bottom w:val="none" w:sz="0" w:space="0" w:color="auto"/>
            <w:right w:val="none" w:sz="0" w:space="0" w:color="auto"/>
          </w:divBdr>
        </w:div>
        <w:div w:id="1174757003">
          <w:marLeft w:val="0"/>
          <w:marRight w:val="0"/>
          <w:marTop w:val="0"/>
          <w:marBottom w:val="0"/>
          <w:divBdr>
            <w:top w:val="none" w:sz="0" w:space="0" w:color="auto"/>
            <w:left w:val="none" w:sz="0" w:space="0" w:color="auto"/>
            <w:bottom w:val="none" w:sz="0" w:space="0" w:color="auto"/>
            <w:right w:val="none" w:sz="0" w:space="0" w:color="auto"/>
          </w:divBdr>
        </w:div>
        <w:div w:id="590621037">
          <w:marLeft w:val="0"/>
          <w:marRight w:val="0"/>
          <w:marTop w:val="0"/>
          <w:marBottom w:val="0"/>
          <w:divBdr>
            <w:top w:val="none" w:sz="0" w:space="0" w:color="auto"/>
            <w:left w:val="none" w:sz="0" w:space="0" w:color="auto"/>
            <w:bottom w:val="none" w:sz="0" w:space="0" w:color="auto"/>
            <w:right w:val="none" w:sz="0" w:space="0" w:color="auto"/>
          </w:divBdr>
        </w:div>
        <w:div w:id="1418595642">
          <w:marLeft w:val="0"/>
          <w:marRight w:val="0"/>
          <w:marTop w:val="0"/>
          <w:marBottom w:val="0"/>
          <w:divBdr>
            <w:top w:val="none" w:sz="0" w:space="0" w:color="auto"/>
            <w:left w:val="none" w:sz="0" w:space="0" w:color="auto"/>
            <w:bottom w:val="none" w:sz="0" w:space="0" w:color="auto"/>
            <w:right w:val="none" w:sz="0" w:space="0" w:color="auto"/>
          </w:divBdr>
        </w:div>
        <w:div w:id="25058173">
          <w:marLeft w:val="0"/>
          <w:marRight w:val="0"/>
          <w:marTop w:val="0"/>
          <w:marBottom w:val="0"/>
          <w:divBdr>
            <w:top w:val="none" w:sz="0" w:space="0" w:color="auto"/>
            <w:left w:val="none" w:sz="0" w:space="0" w:color="auto"/>
            <w:bottom w:val="none" w:sz="0" w:space="0" w:color="auto"/>
            <w:right w:val="none" w:sz="0" w:space="0" w:color="auto"/>
          </w:divBdr>
        </w:div>
        <w:div w:id="2015958575">
          <w:marLeft w:val="0"/>
          <w:marRight w:val="0"/>
          <w:marTop w:val="0"/>
          <w:marBottom w:val="0"/>
          <w:divBdr>
            <w:top w:val="none" w:sz="0" w:space="0" w:color="auto"/>
            <w:left w:val="none" w:sz="0" w:space="0" w:color="auto"/>
            <w:bottom w:val="none" w:sz="0" w:space="0" w:color="auto"/>
            <w:right w:val="none" w:sz="0" w:space="0" w:color="auto"/>
          </w:divBdr>
        </w:div>
        <w:div w:id="456722223">
          <w:marLeft w:val="0"/>
          <w:marRight w:val="0"/>
          <w:marTop w:val="0"/>
          <w:marBottom w:val="0"/>
          <w:divBdr>
            <w:top w:val="none" w:sz="0" w:space="0" w:color="auto"/>
            <w:left w:val="none" w:sz="0" w:space="0" w:color="auto"/>
            <w:bottom w:val="none" w:sz="0" w:space="0" w:color="auto"/>
            <w:right w:val="none" w:sz="0" w:space="0" w:color="auto"/>
          </w:divBdr>
        </w:div>
        <w:div w:id="552081944">
          <w:marLeft w:val="0"/>
          <w:marRight w:val="0"/>
          <w:marTop w:val="0"/>
          <w:marBottom w:val="0"/>
          <w:divBdr>
            <w:top w:val="none" w:sz="0" w:space="0" w:color="auto"/>
            <w:left w:val="none" w:sz="0" w:space="0" w:color="auto"/>
            <w:bottom w:val="none" w:sz="0" w:space="0" w:color="auto"/>
            <w:right w:val="none" w:sz="0" w:space="0" w:color="auto"/>
          </w:divBdr>
        </w:div>
        <w:div w:id="467210505">
          <w:marLeft w:val="0"/>
          <w:marRight w:val="0"/>
          <w:marTop w:val="0"/>
          <w:marBottom w:val="0"/>
          <w:divBdr>
            <w:top w:val="none" w:sz="0" w:space="0" w:color="auto"/>
            <w:left w:val="none" w:sz="0" w:space="0" w:color="auto"/>
            <w:bottom w:val="none" w:sz="0" w:space="0" w:color="auto"/>
            <w:right w:val="none" w:sz="0" w:space="0" w:color="auto"/>
          </w:divBdr>
        </w:div>
        <w:div w:id="465319787">
          <w:marLeft w:val="0"/>
          <w:marRight w:val="0"/>
          <w:marTop w:val="0"/>
          <w:marBottom w:val="0"/>
          <w:divBdr>
            <w:top w:val="none" w:sz="0" w:space="0" w:color="auto"/>
            <w:left w:val="none" w:sz="0" w:space="0" w:color="auto"/>
            <w:bottom w:val="none" w:sz="0" w:space="0" w:color="auto"/>
            <w:right w:val="none" w:sz="0" w:space="0" w:color="auto"/>
          </w:divBdr>
        </w:div>
        <w:div w:id="388964399">
          <w:marLeft w:val="0"/>
          <w:marRight w:val="0"/>
          <w:marTop w:val="0"/>
          <w:marBottom w:val="0"/>
          <w:divBdr>
            <w:top w:val="none" w:sz="0" w:space="0" w:color="auto"/>
            <w:left w:val="none" w:sz="0" w:space="0" w:color="auto"/>
            <w:bottom w:val="none" w:sz="0" w:space="0" w:color="auto"/>
            <w:right w:val="none" w:sz="0" w:space="0" w:color="auto"/>
          </w:divBdr>
        </w:div>
        <w:div w:id="959142869">
          <w:marLeft w:val="0"/>
          <w:marRight w:val="0"/>
          <w:marTop w:val="0"/>
          <w:marBottom w:val="0"/>
          <w:divBdr>
            <w:top w:val="none" w:sz="0" w:space="0" w:color="auto"/>
            <w:left w:val="none" w:sz="0" w:space="0" w:color="auto"/>
            <w:bottom w:val="none" w:sz="0" w:space="0" w:color="auto"/>
            <w:right w:val="none" w:sz="0" w:space="0" w:color="auto"/>
          </w:divBdr>
        </w:div>
      </w:divsChild>
    </w:div>
    <w:div w:id="735014042">
      <w:bodyDiv w:val="1"/>
      <w:marLeft w:val="0"/>
      <w:marRight w:val="0"/>
      <w:marTop w:val="0"/>
      <w:marBottom w:val="0"/>
      <w:divBdr>
        <w:top w:val="none" w:sz="0" w:space="0" w:color="auto"/>
        <w:left w:val="none" w:sz="0" w:space="0" w:color="auto"/>
        <w:bottom w:val="none" w:sz="0" w:space="0" w:color="auto"/>
        <w:right w:val="none" w:sz="0" w:space="0" w:color="auto"/>
      </w:divBdr>
      <w:divsChild>
        <w:div w:id="649797839">
          <w:marLeft w:val="0"/>
          <w:marRight w:val="0"/>
          <w:marTop w:val="0"/>
          <w:marBottom w:val="0"/>
          <w:divBdr>
            <w:top w:val="none" w:sz="0" w:space="0" w:color="auto"/>
            <w:left w:val="none" w:sz="0" w:space="0" w:color="auto"/>
            <w:bottom w:val="none" w:sz="0" w:space="0" w:color="auto"/>
            <w:right w:val="none" w:sz="0" w:space="0" w:color="auto"/>
          </w:divBdr>
        </w:div>
        <w:div w:id="1227910874">
          <w:marLeft w:val="0"/>
          <w:marRight w:val="0"/>
          <w:marTop w:val="0"/>
          <w:marBottom w:val="0"/>
          <w:divBdr>
            <w:top w:val="none" w:sz="0" w:space="0" w:color="auto"/>
            <w:left w:val="none" w:sz="0" w:space="0" w:color="auto"/>
            <w:bottom w:val="none" w:sz="0" w:space="0" w:color="auto"/>
            <w:right w:val="none" w:sz="0" w:space="0" w:color="auto"/>
          </w:divBdr>
        </w:div>
        <w:div w:id="987899809">
          <w:marLeft w:val="0"/>
          <w:marRight w:val="0"/>
          <w:marTop w:val="0"/>
          <w:marBottom w:val="0"/>
          <w:divBdr>
            <w:top w:val="none" w:sz="0" w:space="0" w:color="auto"/>
            <w:left w:val="none" w:sz="0" w:space="0" w:color="auto"/>
            <w:bottom w:val="none" w:sz="0" w:space="0" w:color="auto"/>
            <w:right w:val="none" w:sz="0" w:space="0" w:color="auto"/>
          </w:divBdr>
        </w:div>
        <w:div w:id="1851723998">
          <w:marLeft w:val="0"/>
          <w:marRight w:val="0"/>
          <w:marTop w:val="0"/>
          <w:marBottom w:val="0"/>
          <w:divBdr>
            <w:top w:val="none" w:sz="0" w:space="0" w:color="auto"/>
            <w:left w:val="none" w:sz="0" w:space="0" w:color="auto"/>
            <w:bottom w:val="none" w:sz="0" w:space="0" w:color="auto"/>
            <w:right w:val="none" w:sz="0" w:space="0" w:color="auto"/>
          </w:divBdr>
        </w:div>
        <w:div w:id="535822908">
          <w:marLeft w:val="0"/>
          <w:marRight w:val="0"/>
          <w:marTop w:val="0"/>
          <w:marBottom w:val="0"/>
          <w:divBdr>
            <w:top w:val="none" w:sz="0" w:space="0" w:color="auto"/>
            <w:left w:val="none" w:sz="0" w:space="0" w:color="auto"/>
            <w:bottom w:val="none" w:sz="0" w:space="0" w:color="auto"/>
            <w:right w:val="none" w:sz="0" w:space="0" w:color="auto"/>
          </w:divBdr>
        </w:div>
        <w:div w:id="894124705">
          <w:marLeft w:val="0"/>
          <w:marRight w:val="0"/>
          <w:marTop w:val="0"/>
          <w:marBottom w:val="0"/>
          <w:divBdr>
            <w:top w:val="none" w:sz="0" w:space="0" w:color="auto"/>
            <w:left w:val="none" w:sz="0" w:space="0" w:color="auto"/>
            <w:bottom w:val="none" w:sz="0" w:space="0" w:color="auto"/>
            <w:right w:val="none" w:sz="0" w:space="0" w:color="auto"/>
          </w:divBdr>
        </w:div>
        <w:div w:id="662590970">
          <w:marLeft w:val="0"/>
          <w:marRight w:val="0"/>
          <w:marTop w:val="0"/>
          <w:marBottom w:val="0"/>
          <w:divBdr>
            <w:top w:val="none" w:sz="0" w:space="0" w:color="auto"/>
            <w:left w:val="none" w:sz="0" w:space="0" w:color="auto"/>
            <w:bottom w:val="none" w:sz="0" w:space="0" w:color="auto"/>
            <w:right w:val="none" w:sz="0" w:space="0" w:color="auto"/>
          </w:divBdr>
        </w:div>
        <w:div w:id="159778391">
          <w:marLeft w:val="0"/>
          <w:marRight w:val="0"/>
          <w:marTop w:val="0"/>
          <w:marBottom w:val="0"/>
          <w:divBdr>
            <w:top w:val="none" w:sz="0" w:space="0" w:color="auto"/>
            <w:left w:val="none" w:sz="0" w:space="0" w:color="auto"/>
            <w:bottom w:val="none" w:sz="0" w:space="0" w:color="auto"/>
            <w:right w:val="none" w:sz="0" w:space="0" w:color="auto"/>
          </w:divBdr>
        </w:div>
        <w:div w:id="1321543321">
          <w:marLeft w:val="0"/>
          <w:marRight w:val="0"/>
          <w:marTop w:val="0"/>
          <w:marBottom w:val="0"/>
          <w:divBdr>
            <w:top w:val="none" w:sz="0" w:space="0" w:color="auto"/>
            <w:left w:val="none" w:sz="0" w:space="0" w:color="auto"/>
            <w:bottom w:val="none" w:sz="0" w:space="0" w:color="auto"/>
            <w:right w:val="none" w:sz="0" w:space="0" w:color="auto"/>
          </w:divBdr>
        </w:div>
        <w:div w:id="1256860270">
          <w:marLeft w:val="0"/>
          <w:marRight w:val="0"/>
          <w:marTop w:val="0"/>
          <w:marBottom w:val="0"/>
          <w:divBdr>
            <w:top w:val="none" w:sz="0" w:space="0" w:color="auto"/>
            <w:left w:val="none" w:sz="0" w:space="0" w:color="auto"/>
            <w:bottom w:val="none" w:sz="0" w:space="0" w:color="auto"/>
            <w:right w:val="none" w:sz="0" w:space="0" w:color="auto"/>
          </w:divBdr>
        </w:div>
        <w:div w:id="1459453545">
          <w:marLeft w:val="0"/>
          <w:marRight w:val="0"/>
          <w:marTop w:val="0"/>
          <w:marBottom w:val="0"/>
          <w:divBdr>
            <w:top w:val="none" w:sz="0" w:space="0" w:color="auto"/>
            <w:left w:val="none" w:sz="0" w:space="0" w:color="auto"/>
            <w:bottom w:val="none" w:sz="0" w:space="0" w:color="auto"/>
            <w:right w:val="none" w:sz="0" w:space="0" w:color="auto"/>
          </w:divBdr>
        </w:div>
        <w:div w:id="733546455">
          <w:marLeft w:val="0"/>
          <w:marRight w:val="0"/>
          <w:marTop w:val="0"/>
          <w:marBottom w:val="0"/>
          <w:divBdr>
            <w:top w:val="none" w:sz="0" w:space="0" w:color="auto"/>
            <w:left w:val="none" w:sz="0" w:space="0" w:color="auto"/>
            <w:bottom w:val="none" w:sz="0" w:space="0" w:color="auto"/>
            <w:right w:val="none" w:sz="0" w:space="0" w:color="auto"/>
          </w:divBdr>
        </w:div>
        <w:div w:id="1473988100">
          <w:marLeft w:val="0"/>
          <w:marRight w:val="0"/>
          <w:marTop w:val="0"/>
          <w:marBottom w:val="0"/>
          <w:divBdr>
            <w:top w:val="none" w:sz="0" w:space="0" w:color="auto"/>
            <w:left w:val="none" w:sz="0" w:space="0" w:color="auto"/>
            <w:bottom w:val="none" w:sz="0" w:space="0" w:color="auto"/>
            <w:right w:val="none" w:sz="0" w:space="0" w:color="auto"/>
          </w:divBdr>
        </w:div>
        <w:div w:id="875239833">
          <w:marLeft w:val="0"/>
          <w:marRight w:val="0"/>
          <w:marTop w:val="0"/>
          <w:marBottom w:val="0"/>
          <w:divBdr>
            <w:top w:val="none" w:sz="0" w:space="0" w:color="auto"/>
            <w:left w:val="none" w:sz="0" w:space="0" w:color="auto"/>
            <w:bottom w:val="none" w:sz="0" w:space="0" w:color="auto"/>
            <w:right w:val="none" w:sz="0" w:space="0" w:color="auto"/>
          </w:divBdr>
        </w:div>
        <w:div w:id="623117609">
          <w:marLeft w:val="0"/>
          <w:marRight w:val="0"/>
          <w:marTop w:val="0"/>
          <w:marBottom w:val="0"/>
          <w:divBdr>
            <w:top w:val="none" w:sz="0" w:space="0" w:color="auto"/>
            <w:left w:val="none" w:sz="0" w:space="0" w:color="auto"/>
            <w:bottom w:val="none" w:sz="0" w:space="0" w:color="auto"/>
            <w:right w:val="none" w:sz="0" w:space="0" w:color="auto"/>
          </w:divBdr>
        </w:div>
        <w:div w:id="2092971119">
          <w:marLeft w:val="0"/>
          <w:marRight w:val="0"/>
          <w:marTop w:val="0"/>
          <w:marBottom w:val="0"/>
          <w:divBdr>
            <w:top w:val="none" w:sz="0" w:space="0" w:color="auto"/>
            <w:left w:val="none" w:sz="0" w:space="0" w:color="auto"/>
            <w:bottom w:val="none" w:sz="0" w:space="0" w:color="auto"/>
            <w:right w:val="none" w:sz="0" w:space="0" w:color="auto"/>
          </w:divBdr>
        </w:div>
        <w:div w:id="341668152">
          <w:marLeft w:val="0"/>
          <w:marRight w:val="0"/>
          <w:marTop w:val="0"/>
          <w:marBottom w:val="0"/>
          <w:divBdr>
            <w:top w:val="none" w:sz="0" w:space="0" w:color="auto"/>
            <w:left w:val="none" w:sz="0" w:space="0" w:color="auto"/>
            <w:bottom w:val="none" w:sz="0" w:space="0" w:color="auto"/>
            <w:right w:val="none" w:sz="0" w:space="0" w:color="auto"/>
          </w:divBdr>
        </w:div>
        <w:div w:id="758988919">
          <w:marLeft w:val="0"/>
          <w:marRight w:val="0"/>
          <w:marTop w:val="0"/>
          <w:marBottom w:val="0"/>
          <w:divBdr>
            <w:top w:val="none" w:sz="0" w:space="0" w:color="auto"/>
            <w:left w:val="none" w:sz="0" w:space="0" w:color="auto"/>
            <w:bottom w:val="none" w:sz="0" w:space="0" w:color="auto"/>
            <w:right w:val="none" w:sz="0" w:space="0" w:color="auto"/>
          </w:divBdr>
        </w:div>
      </w:divsChild>
    </w:div>
    <w:div w:id="773288841">
      <w:bodyDiv w:val="1"/>
      <w:marLeft w:val="0"/>
      <w:marRight w:val="0"/>
      <w:marTop w:val="0"/>
      <w:marBottom w:val="0"/>
      <w:divBdr>
        <w:top w:val="none" w:sz="0" w:space="0" w:color="auto"/>
        <w:left w:val="none" w:sz="0" w:space="0" w:color="auto"/>
        <w:bottom w:val="none" w:sz="0" w:space="0" w:color="auto"/>
        <w:right w:val="none" w:sz="0" w:space="0" w:color="auto"/>
      </w:divBdr>
      <w:divsChild>
        <w:div w:id="880172049">
          <w:marLeft w:val="0"/>
          <w:marRight w:val="0"/>
          <w:marTop w:val="0"/>
          <w:marBottom w:val="0"/>
          <w:divBdr>
            <w:top w:val="none" w:sz="0" w:space="0" w:color="auto"/>
            <w:left w:val="none" w:sz="0" w:space="0" w:color="auto"/>
            <w:bottom w:val="none" w:sz="0" w:space="0" w:color="auto"/>
            <w:right w:val="none" w:sz="0" w:space="0" w:color="auto"/>
          </w:divBdr>
        </w:div>
        <w:div w:id="646205718">
          <w:marLeft w:val="0"/>
          <w:marRight w:val="0"/>
          <w:marTop w:val="0"/>
          <w:marBottom w:val="0"/>
          <w:divBdr>
            <w:top w:val="none" w:sz="0" w:space="0" w:color="auto"/>
            <w:left w:val="none" w:sz="0" w:space="0" w:color="auto"/>
            <w:bottom w:val="none" w:sz="0" w:space="0" w:color="auto"/>
            <w:right w:val="none" w:sz="0" w:space="0" w:color="auto"/>
          </w:divBdr>
        </w:div>
        <w:div w:id="1300304251">
          <w:marLeft w:val="0"/>
          <w:marRight w:val="0"/>
          <w:marTop w:val="0"/>
          <w:marBottom w:val="0"/>
          <w:divBdr>
            <w:top w:val="none" w:sz="0" w:space="0" w:color="auto"/>
            <w:left w:val="none" w:sz="0" w:space="0" w:color="auto"/>
            <w:bottom w:val="none" w:sz="0" w:space="0" w:color="auto"/>
            <w:right w:val="none" w:sz="0" w:space="0" w:color="auto"/>
          </w:divBdr>
        </w:div>
        <w:div w:id="582953361">
          <w:marLeft w:val="0"/>
          <w:marRight w:val="0"/>
          <w:marTop w:val="0"/>
          <w:marBottom w:val="0"/>
          <w:divBdr>
            <w:top w:val="none" w:sz="0" w:space="0" w:color="auto"/>
            <w:left w:val="none" w:sz="0" w:space="0" w:color="auto"/>
            <w:bottom w:val="none" w:sz="0" w:space="0" w:color="auto"/>
            <w:right w:val="none" w:sz="0" w:space="0" w:color="auto"/>
          </w:divBdr>
        </w:div>
        <w:div w:id="795635465">
          <w:marLeft w:val="0"/>
          <w:marRight w:val="0"/>
          <w:marTop w:val="0"/>
          <w:marBottom w:val="0"/>
          <w:divBdr>
            <w:top w:val="none" w:sz="0" w:space="0" w:color="auto"/>
            <w:left w:val="none" w:sz="0" w:space="0" w:color="auto"/>
            <w:bottom w:val="none" w:sz="0" w:space="0" w:color="auto"/>
            <w:right w:val="none" w:sz="0" w:space="0" w:color="auto"/>
          </w:divBdr>
        </w:div>
        <w:div w:id="1659652695">
          <w:marLeft w:val="0"/>
          <w:marRight w:val="0"/>
          <w:marTop w:val="0"/>
          <w:marBottom w:val="0"/>
          <w:divBdr>
            <w:top w:val="none" w:sz="0" w:space="0" w:color="auto"/>
            <w:left w:val="none" w:sz="0" w:space="0" w:color="auto"/>
            <w:bottom w:val="none" w:sz="0" w:space="0" w:color="auto"/>
            <w:right w:val="none" w:sz="0" w:space="0" w:color="auto"/>
          </w:divBdr>
        </w:div>
        <w:div w:id="19087508">
          <w:marLeft w:val="0"/>
          <w:marRight w:val="0"/>
          <w:marTop w:val="0"/>
          <w:marBottom w:val="0"/>
          <w:divBdr>
            <w:top w:val="none" w:sz="0" w:space="0" w:color="auto"/>
            <w:left w:val="none" w:sz="0" w:space="0" w:color="auto"/>
            <w:bottom w:val="none" w:sz="0" w:space="0" w:color="auto"/>
            <w:right w:val="none" w:sz="0" w:space="0" w:color="auto"/>
          </w:divBdr>
        </w:div>
        <w:div w:id="230122668">
          <w:marLeft w:val="0"/>
          <w:marRight w:val="0"/>
          <w:marTop w:val="0"/>
          <w:marBottom w:val="0"/>
          <w:divBdr>
            <w:top w:val="none" w:sz="0" w:space="0" w:color="auto"/>
            <w:left w:val="none" w:sz="0" w:space="0" w:color="auto"/>
            <w:bottom w:val="none" w:sz="0" w:space="0" w:color="auto"/>
            <w:right w:val="none" w:sz="0" w:space="0" w:color="auto"/>
          </w:divBdr>
        </w:div>
        <w:div w:id="1225407130">
          <w:marLeft w:val="0"/>
          <w:marRight w:val="0"/>
          <w:marTop w:val="0"/>
          <w:marBottom w:val="0"/>
          <w:divBdr>
            <w:top w:val="none" w:sz="0" w:space="0" w:color="auto"/>
            <w:left w:val="none" w:sz="0" w:space="0" w:color="auto"/>
            <w:bottom w:val="none" w:sz="0" w:space="0" w:color="auto"/>
            <w:right w:val="none" w:sz="0" w:space="0" w:color="auto"/>
          </w:divBdr>
        </w:div>
      </w:divsChild>
    </w:div>
    <w:div w:id="789668381">
      <w:bodyDiv w:val="1"/>
      <w:marLeft w:val="0"/>
      <w:marRight w:val="0"/>
      <w:marTop w:val="0"/>
      <w:marBottom w:val="0"/>
      <w:divBdr>
        <w:top w:val="none" w:sz="0" w:space="0" w:color="auto"/>
        <w:left w:val="none" w:sz="0" w:space="0" w:color="auto"/>
        <w:bottom w:val="none" w:sz="0" w:space="0" w:color="auto"/>
        <w:right w:val="none" w:sz="0" w:space="0" w:color="auto"/>
      </w:divBdr>
      <w:divsChild>
        <w:div w:id="1048264021">
          <w:marLeft w:val="0"/>
          <w:marRight w:val="0"/>
          <w:marTop w:val="0"/>
          <w:marBottom w:val="0"/>
          <w:divBdr>
            <w:top w:val="none" w:sz="0" w:space="0" w:color="auto"/>
            <w:left w:val="none" w:sz="0" w:space="0" w:color="auto"/>
            <w:bottom w:val="none" w:sz="0" w:space="0" w:color="auto"/>
            <w:right w:val="none" w:sz="0" w:space="0" w:color="auto"/>
          </w:divBdr>
        </w:div>
        <w:div w:id="2120181701">
          <w:marLeft w:val="0"/>
          <w:marRight w:val="0"/>
          <w:marTop w:val="0"/>
          <w:marBottom w:val="0"/>
          <w:divBdr>
            <w:top w:val="none" w:sz="0" w:space="0" w:color="auto"/>
            <w:left w:val="none" w:sz="0" w:space="0" w:color="auto"/>
            <w:bottom w:val="none" w:sz="0" w:space="0" w:color="auto"/>
            <w:right w:val="none" w:sz="0" w:space="0" w:color="auto"/>
          </w:divBdr>
        </w:div>
        <w:div w:id="308218585">
          <w:marLeft w:val="0"/>
          <w:marRight w:val="0"/>
          <w:marTop w:val="0"/>
          <w:marBottom w:val="0"/>
          <w:divBdr>
            <w:top w:val="none" w:sz="0" w:space="0" w:color="auto"/>
            <w:left w:val="none" w:sz="0" w:space="0" w:color="auto"/>
            <w:bottom w:val="none" w:sz="0" w:space="0" w:color="auto"/>
            <w:right w:val="none" w:sz="0" w:space="0" w:color="auto"/>
          </w:divBdr>
        </w:div>
      </w:divsChild>
    </w:div>
    <w:div w:id="801534470">
      <w:bodyDiv w:val="1"/>
      <w:marLeft w:val="0"/>
      <w:marRight w:val="0"/>
      <w:marTop w:val="0"/>
      <w:marBottom w:val="0"/>
      <w:divBdr>
        <w:top w:val="none" w:sz="0" w:space="0" w:color="auto"/>
        <w:left w:val="none" w:sz="0" w:space="0" w:color="auto"/>
        <w:bottom w:val="none" w:sz="0" w:space="0" w:color="auto"/>
        <w:right w:val="none" w:sz="0" w:space="0" w:color="auto"/>
      </w:divBdr>
      <w:divsChild>
        <w:div w:id="1721131050">
          <w:marLeft w:val="0"/>
          <w:marRight w:val="0"/>
          <w:marTop w:val="0"/>
          <w:marBottom w:val="0"/>
          <w:divBdr>
            <w:top w:val="none" w:sz="0" w:space="0" w:color="auto"/>
            <w:left w:val="none" w:sz="0" w:space="0" w:color="auto"/>
            <w:bottom w:val="none" w:sz="0" w:space="0" w:color="auto"/>
            <w:right w:val="none" w:sz="0" w:space="0" w:color="auto"/>
          </w:divBdr>
        </w:div>
        <w:div w:id="1120758831">
          <w:marLeft w:val="0"/>
          <w:marRight w:val="0"/>
          <w:marTop w:val="0"/>
          <w:marBottom w:val="0"/>
          <w:divBdr>
            <w:top w:val="none" w:sz="0" w:space="0" w:color="auto"/>
            <w:left w:val="none" w:sz="0" w:space="0" w:color="auto"/>
            <w:bottom w:val="none" w:sz="0" w:space="0" w:color="auto"/>
            <w:right w:val="none" w:sz="0" w:space="0" w:color="auto"/>
          </w:divBdr>
        </w:div>
        <w:div w:id="2001544690">
          <w:marLeft w:val="0"/>
          <w:marRight w:val="0"/>
          <w:marTop w:val="0"/>
          <w:marBottom w:val="0"/>
          <w:divBdr>
            <w:top w:val="none" w:sz="0" w:space="0" w:color="auto"/>
            <w:left w:val="none" w:sz="0" w:space="0" w:color="auto"/>
            <w:bottom w:val="none" w:sz="0" w:space="0" w:color="auto"/>
            <w:right w:val="none" w:sz="0" w:space="0" w:color="auto"/>
          </w:divBdr>
        </w:div>
        <w:div w:id="1323510048">
          <w:marLeft w:val="0"/>
          <w:marRight w:val="0"/>
          <w:marTop w:val="0"/>
          <w:marBottom w:val="0"/>
          <w:divBdr>
            <w:top w:val="none" w:sz="0" w:space="0" w:color="auto"/>
            <w:left w:val="none" w:sz="0" w:space="0" w:color="auto"/>
            <w:bottom w:val="none" w:sz="0" w:space="0" w:color="auto"/>
            <w:right w:val="none" w:sz="0" w:space="0" w:color="auto"/>
          </w:divBdr>
        </w:div>
        <w:div w:id="1376127152">
          <w:marLeft w:val="0"/>
          <w:marRight w:val="0"/>
          <w:marTop w:val="0"/>
          <w:marBottom w:val="0"/>
          <w:divBdr>
            <w:top w:val="none" w:sz="0" w:space="0" w:color="auto"/>
            <w:left w:val="none" w:sz="0" w:space="0" w:color="auto"/>
            <w:bottom w:val="none" w:sz="0" w:space="0" w:color="auto"/>
            <w:right w:val="none" w:sz="0" w:space="0" w:color="auto"/>
          </w:divBdr>
        </w:div>
        <w:div w:id="1245921675">
          <w:marLeft w:val="0"/>
          <w:marRight w:val="0"/>
          <w:marTop w:val="0"/>
          <w:marBottom w:val="0"/>
          <w:divBdr>
            <w:top w:val="none" w:sz="0" w:space="0" w:color="auto"/>
            <w:left w:val="none" w:sz="0" w:space="0" w:color="auto"/>
            <w:bottom w:val="none" w:sz="0" w:space="0" w:color="auto"/>
            <w:right w:val="none" w:sz="0" w:space="0" w:color="auto"/>
          </w:divBdr>
        </w:div>
        <w:div w:id="2066366608">
          <w:marLeft w:val="0"/>
          <w:marRight w:val="0"/>
          <w:marTop w:val="0"/>
          <w:marBottom w:val="0"/>
          <w:divBdr>
            <w:top w:val="none" w:sz="0" w:space="0" w:color="auto"/>
            <w:left w:val="none" w:sz="0" w:space="0" w:color="auto"/>
            <w:bottom w:val="none" w:sz="0" w:space="0" w:color="auto"/>
            <w:right w:val="none" w:sz="0" w:space="0" w:color="auto"/>
          </w:divBdr>
        </w:div>
        <w:div w:id="1930045864">
          <w:marLeft w:val="0"/>
          <w:marRight w:val="0"/>
          <w:marTop w:val="0"/>
          <w:marBottom w:val="0"/>
          <w:divBdr>
            <w:top w:val="none" w:sz="0" w:space="0" w:color="auto"/>
            <w:left w:val="none" w:sz="0" w:space="0" w:color="auto"/>
            <w:bottom w:val="none" w:sz="0" w:space="0" w:color="auto"/>
            <w:right w:val="none" w:sz="0" w:space="0" w:color="auto"/>
          </w:divBdr>
        </w:div>
        <w:div w:id="571740633">
          <w:marLeft w:val="0"/>
          <w:marRight w:val="0"/>
          <w:marTop w:val="0"/>
          <w:marBottom w:val="0"/>
          <w:divBdr>
            <w:top w:val="none" w:sz="0" w:space="0" w:color="auto"/>
            <w:left w:val="none" w:sz="0" w:space="0" w:color="auto"/>
            <w:bottom w:val="none" w:sz="0" w:space="0" w:color="auto"/>
            <w:right w:val="none" w:sz="0" w:space="0" w:color="auto"/>
          </w:divBdr>
        </w:div>
        <w:div w:id="912157454">
          <w:marLeft w:val="0"/>
          <w:marRight w:val="0"/>
          <w:marTop w:val="0"/>
          <w:marBottom w:val="0"/>
          <w:divBdr>
            <w:top w:val="none" w:sz="0" w:space="0" w:color="auto"/>
            <w:left w:val="none" w:sz="0" w:space="0" w:color="auto"/>
            <w:bottom w:val="none" w:sz="0" w:space="0" w:color="auto"/>
            <w:right w:val="none" w:sz="0" w:space="0" w:color="auto"/>
          </w:divBdr>
        </w:div>
      </w:divsChild>
    </w:div>
    <w:div w:id="811407472">
      <w:bodyDiv w:val="1"/>
      <w:marLeft w:val="0"/>
      <w:marRight w:val="0"/>
      <w:marTop w:val="0"/>
      <w:marBottom w:val="0"/>
      <w:divBdr>
        <w:top w:val="none" w:sz="0" w:space="0" w:color="auto"/>
        <w:left w:val="none" w:sz="0" w:space="0" w:color="auto"/>
        <w:bottom w:val="none" w:sz="0" w:space="0" w:color="auto"/>
        <w:right w:val="none" w:sz="0" w:space="0" w:color="auto"/>
      </w:divBdr>
      <w:divsChild>
        <w:div w:id="1411584817">
          <w:marLeft w:val="0"/>
          <w:marRight w:val="0"/>
          <w:marTop w:val="0"/>
          <w:marBottom w:val="0"/>
          <w:divBdr>
            <w:top w:val="none" w:sz="0" w:space="0" w:color="auto"/>
            <w:left w:val="none" w:sz="0" w:space="0" w:color="auto"/>
            <w:bottom w:val="none" w:sz="0" w:space="0" w:color="auto"/>
            <w:right w:val="none" w:sz="0" w:space="0" w:color="auto"/>
          </w:divBdr>
        </w:div>
        <w:div w:id="1246453927">
          <w:marLeft w:val="0"/>
          <w:marRight w:val="0"/>
          <w:marTop w:val="0"/>
          <w:marBottom w:val="0"/>
          <w:divBdr>
            <w:top w:val="none" w:sz="0" w:space="0" w:color="auto"/>
            <w:left w:val="none" w:sz="0" w:space="0" w:color="auto"/>
            <w:bottom w:val="none" w:sz="0" w:space="0" w:color="auto"/>
            <w:right w:val="none" w:sz="0" w:space="0" w:color="auto"/>
          </w:divBdr>
        </w:div>
        <w:div w:id="2032488023">
          <w:marLeft w:val="0"/>
          <w:marRight w:val="0"/>
          <w:marTop w:val="0"/>
          <w:marBottom w:val="0"/>
          <w:divBdr>
            <w:top w:val="none" w:sz="0" w:space="0" w:color="auto"/>
            <w:left w:val="none" w:sz="0" w:space="0" w:color="auto"/>
            <w:bottom w:val="none" w:sz="0" w:space="0" w:color="auto"/>
            <w:right w:val="none" w:sz="0" w:space="0" w:color="auto"/>
          </w:divBdr>
        </w:div>
        <w:div w:id="1983728015">
          <w:marLeft w:val="0"/>
          <w:marRight w:val="0"/>
          <w:marTop w:val="0"/>
          <w:marBottom w:val="0"/>
          <w:divBdr>
            <w:top w:val="none" w:sz="0" w:space="0" w:color="auto"/>
            <w:left w:val="none" w:sz="0" w:space="0" w:color="auto"/>
            <w:bottom w:val="none" w:sz="0" w:space="0" w:color="auto"/>
            <w:right w:val="none" w:sz="0" w:space="0" w:color="auto"/>
          </w:divBdr>
        </w:div>
        <w:div w:id="375324973">
          <w:marLeft w:val="0"/>
          <w:marRight w:val="0"/>
          <w:marTop w:val="0"/>
          <w:marBottom w:val="0"/>
          <w:divBdr>
            <w:top w:val="none" w:sz="0" w:space="0" w:color="auto"/>
            <w:left w:val="none" w:sz="0" w:space="0" w:color="auto"/>
            <w:bottom w:val="none" w:sz="0" w:space="0" w:color="auto"/>
            <w:right w:val="none" w:sz="0" w:space="0" w:color="auto"/>
          </w:divBdr>
        </w:div>
      </w:divsChild>
    </w:div>
    <w:div w:id="816729409">
      <w:bodyDiv w:val="1"/>
      <w:marLeft w:val="0"/>
      <w:marRight w:val="0"/>
      <w:marTop w:val="0"/>
      <w:marBottom w:val="0"/>
      <w:divBdr>
        <w:top w:val="none" w:sz="0" w:space="0" w:color="auto"/>
        <w:left w:val="none" w:sz="0" w:space="0" w:color="auto"/>
        <w:bottom w:val="none" w:sz="0" w:space="0" w:color="auto"/>
        <w:right w:val="none" w:sz="0" w:space="0" w:color="auto"/>
      </w:divBdr>
      <w:divsChild>
        <w:div w:id="356008446">
          <w:marLeft w:val="0"/>
          <w:marRight w:val="0"/>
          <w:marTop w:val="0"/>
          <w:marBottom w:val="0"/>
          <w:divBdr>
            <w:top w:val="none" w:sz="0" w:space="0" w:color="auto"/>
            <w:left w:val="none" w:sz="0" w:space="0" w:color="auto"/>
            <w:bottom w:val="none" w:sz="0" w:space="0" w:color="auto"/>
            <w:right w:val="none" w:sz="0" w:space="0" w:color="auto"/>
          </w:divBdr>
        </w:div>
        <w:div w:id="952442883">
          <w:marLeft w:val="0"/>
          <w:marRight w:val="0"/>
          <w:marTop w:val="0"/>
          <w:marBottom w:val="0"/>
          <w:divBdr>
            <w:top w:val="none" w:sz="0" w:space="0" w:color="auto"/>
            <w:left w:val="none" w:sz="0" w:space="0" w:color="auto"/>
            <w:bottom w:val="none" w:sz="0" w:space="0" w:color="auto"/>
            <w:right w:val="none" w:sz="0" w:space="0" w:color="auto"/>
          </w:divBdr>
        </w:div>
        <w:div w:id="374354875">
          <w:marLeft w:val="0"/>
          <w:marRight w:val="0"/>
          <w:marTop w:val="0"/>
          <w:marBottom w:val="0"/>
          <w:divBdr>
            <w:top w:val="none" w:sz="0" w:space="0" w:color="auto"/>
            <w:left w:val="none" w:sz="0" w:space="0" w:color="auto"/>
            <w:bottom w:val="none" w:sz="0" w:space="0" w:color="auto"/>
            <w:right w:val="none" w:sz="0" w:space="0" w:color="auto"/>
          </w:divBdr>
        </w:div>
      </w:divsChild>
    </w:div>
    <w:div w:id="860313648">
      <w:bodyDiv w:val="1"/>
      <w:marLeft w:val="0"/>
      <w:marRight w:val="0"/>
      <w:marTop w:val="0"/>
      <w:marBottom w:val="0"/>
      <w:divBdr>
        <w:top w:val="none" w:sz="0" w:space="0" w:color="auto"/>
        <w:left w:val="none" w:sz="0" w:space="0" w:color="auto"/>
        <w:bottom w:val="none" w:sz="0" w:space="0" w:color="auto"/>
        <w:right w:val="none" w:sz="0" w:space="0" w:color="auto"/>
      </w:divBdr>
      <w:divsChild>
        <w:div w:id="395855578">
          <w:marLeft w:val="0"/>
          <w:marRight w:val="0"/>
          <w:marTop w:val="0"/>
          <w:marBottom w:val="0"/>
          <w:divBdr>
            <w:top w:val="none" w:sz="0" w:space="0" w:color="auto"/>
            <w:left w:val="none" w:sz="0" w:space="0" w:color="auto"/>
            <w:bottom w:val="none" w:sz="0" w:space="0" w:color="auto"/>
            <w:right w:val="none" w:sz="0" w:space="0" w:color="auto"/>
          </w:divBdr>
        </w:div>
        <w:div w:id="697897741">
          <w:marLeft w:val="0"/>
          <w:marRight w:val="0"/>
          <w:marTop w:val="0"/>
          <w:marBottom w:val="0"/>
          <w:divBdr>
            <w:top w:val="none" w:sz="0" w:space="0" w:color="auto"/>
            <w:left w:val="none" w:sz="0" w:space="0" w:color="auto"/>
            <w:bottom w:val="none" w:sz="0" w:space="0" w:color="auto"/>
            <w:right w:val="none" w:sz="0" w:space="0" w:color="auto"/>
          </w:divBdr>
        </w:div>
        <w:div w:id="1552183638">
          <w:marLeft w:val="0"/>
          <w:marRight w:val="0"/>
          <w:marTop w:val="0"/>
          <w:marBottom w:val="0"/>
          <w:divBdr>
            <w:top w:val="none" w:sz="0" w:space="0" w:color="auto"/>
            <w:left w:val="none" w:sz="0" w:space="0" w:color="auto"/>
            <w:bottom w:val="none" w:sz="0" w:space="0" w:color="auto"/>
            <w:right w:val="none" w:sz="0" w:space="0" w:color="auto"/>
          </w:divBdr>
        </w:div>
        <w:div w:id="591089752">
          <w:marLeft w:val="0"/>
          <w:marRight w:val="0"/>
          <w:marTop w:val="0"/>
          <w:marBottom w:val="0"/>
          <w:divBdr>
            <w:top w:val="none" w:sz="0" w:space="0" w:color="auto"/>
            <w:left w:val="none" w:sz="0" w:space="0" w:color="auto"/>
            <w:bottom w:val="none" w:sz="0" w:space="0" w:color="auto"/>
            <w:right w:val="none" w:sz="0" w:space="0" w:color="auto"/>
          </w:divBdr>
        </w:div>
        <w:div w:id="1424254013">
          <w:marLeft w:val="0"/>
          <w:marRight w:val="0"/>
          <w:marTop w:val="0"/>
          <w:marBottom w:val="0"/>
          <w:divBdr>
            <w:top w:val="none" w:sz="0" w:space="0" w:color="auto"/>
            <w:left w:val="none" w:sz="0" w:space="0" w:color="auto"/>
            <w:bottom w:val="none" w:sz="0" w:space="0" w:color="auto"/>
            <w:right w:val="none" w:sz="0" w:space="0" w:color="auto"/>
          </w:divBdr>
        </w:div>
        <w:div w:id="411439670">
          <w:marLeft w:val="0"/>
          <w:marRight w:val="0"/>
          <w:marTop w:val="0"/>
          <w:marBottom w:val="0"/>
          <w:divBdr>
            <w:top w:val="none" w:sz="0" w:space="0" w:color="auto"/>
            <w:left w:val="none" w:sz="0" w:space="0" w:color="auto"/>
            <w:bottom w:val="none" w:sz="0" w:space="0" w:color="auto"/>
            <w:right w:val="none" w:sz="0" w:space="0" w:color="auto"/>
          </w:divBdr>
        </w:div>
        <w:div w:id="839612947">
          <w:marLeft w:val="0"/>
          <w:marRight w:val="0"/>
          <w:marTop w:val="0"/>
          <w:marBottom w:val="0"/>
          <w:divBdr>
            <w:top w:val="none" w:sz="0" w:space="0" w:color="auto"/>
            <w:left w:val="none" w:sz="0" w:space="0" w:color="auto"/>
            <w:bottom w:val="none" w:sz="0" w:space="0" w:color="auto"/>
            <w:right w:val="none" w:sz="0" w:space="0" w:color="auto"/>
          </w:divBdr>
        </w:div>
        <w:div w:id="1668441616">
          <w:marLeft w:val="0"/>
          <w:marRight w:val="0"/>
          <w:marTop w:val="0"/>
          <w:marBottom w:val="0"/>
          <w:divBdr>
            <w:top w:val="none" w:sz="0" w:space="0" w:color="auto"/>
            <w:left w:val="none" w:sz="0" w:space="0" w:color="auto"/>
            <w:bottom w:val="none" w:sz="0" w:space="0" w:color="auto"/>
            <w:right w:val="none" w:sz="0" w:space="0" w:color="auto"/>
          </w:divBdr>
        </w:div>
        <w:div w:id="511188149">
          <w:marLeft w:val="0"/>
          <w:marRight w:val="0"/>
          <w:marTop w:val="0"/>
          <w:marBottom w:val="0"/>
          <w:divBdr>
            <w:top w:val="none" w:sz="0" w:space="0" w:color="auto"/>
            <w:left w:val="none" w:sz="0" w:space="0" w:color="auto"/>
            <w:bottom w:val="none" w:sz="0" w:space="0" w:color="auto"/>
            <w:right w:val="none" w:sz="0" w:space="0" w:color="auto"/>
          </w:divBdr>
        </w:div>
        <w:div w:id="1366950980">
          <w:marLeft w:val="0"/>
          <w:marRight w:val="0"/>
          <w:marTop w:val="0"/>
          <w:marBottom w:val="0"/>
          <w:divBdr>
            <w:top w:val="none" w:sz="0" w:space="0" w:color="auto"/>
            <w:left w:val="none" w:sz="0" w:space="0" w:color="auto"/>
            <w:bottom w:val="none" w:sz="0" w:space="0" w:color="auto"/>
            <w:right w:val="none" w:sz="0" w:space="0" w:color="auto"/>
          </w:divBdr>
        </w:div>
        <w:div w:id="804158973">
          <w:marLeft w:val="0"/>
          <w:marRight w:val="0"/>
          <w:marTop w:val="0"/>
          <w:marBottom w:val="0"/>
          <w:divBdr>
            <w:top w:val="none" w:sz="0" w:space="0" w:color="auto"/>
            <w:left w:val="none" w:sz="0" w:space="0" w:color="auto"/>
            <w:bottom w:val="none" w:sz="0" w:space="0" w:color="auto"/>
            <w:right w:val="none" w:sz="0" w:space="0" w:color="auto"/>
          </w:divBdr>
        </w:div>
        <w:div w:id="1882594971">
          <w:marLeft w:val="0"/>
          <w:marRight w:val="0"/>
          <w:marTop w:val="0"/>
          <w:marBottom w:val="0"/>
          <w:divBdr>
            <w:top w:val="none" w:sz="0" w:space="0" w:color="auto"/>
            <w:left w:val="none" w:sz="0" w:space="0" w:color="auto"/>
            <w:bottom w:val="none" w:sz="0" w:space="0" w:color="auto"/>
            <w:right w:val="none" w:sz="0" w:space="0" w:color="auto"/>
          </w:divBdr>
        </w:div>
        <w:div w:id="750004089">
          <w:marLeft w:val="0"/>
          <w:marRight w:val="0"/>
          <w:marTop w:val="0"/>
          <w:marBottom w:val="0"/>
          <w:divBdr>
            <w:top w:val="none" w:sz="0" w:space="0" w:color="auto"/>
            <w:left w:val="none" w:sz="0" w:space="0" w:color="auto"/>
            <w:bottom w:val="none" w:sz="0" w:space="0" w:color="auto"/>
            <w:right w:val="none" w:sz="0" w:space="0" w:color="auto"/>
          </w:divBdr>
        </w:div>
        <w:div w:id="1752043259">
          <w:marLeft w:val="0"/>
          <w:marRight w:val="0"/>
          <w:marTop w:val="0"/>
          <w:marBottom w:val="0"/>
          <w:divBdr>
            <w:top w:val="none" w:sz="0" w:space="0" w:color="auto"/>
            <w:left w:val="none" w:sz="0" w:space="0" w:color="auto"/>
            <w:bottom w:val="none" w:sz="0" w:space="0" w:color="auto"/>
            <w:right w:val="none" w:sz="0" w:space="0" w:color="auto"/>
          </w:divBdr>
        </w:div>
      </w:divsChild>
    </w:div>
    <w:div w:id="863978616">
      <w:bodyDiv w:val="1"/>
      <w:marLeft w:val="0"/>
      <w:marRight w:val="0"/>
      <w:marTop w:val="0"/>
      <w:marBottom w:val="0"/>
      <w:divBdr>
        <w:top w:val="none" w:sz="0" w:space="0" w:color="auto"/>
        <w:left w:val="none" w:sz="0" w:space="0" w:color="auto"/>
        <w:bottom w:val="none" w:sz="0" w:space="0" w:color="auto"/>
        <w:right w:val="none" w:sz="0" w:space="0" w:color="auto"/>
      </w:divBdr>
      <w:divsChild>
        <w:div w:id="263463771">
          <w:marLeft w:val="0"/>
          <w:marRight w:val="0"/>
          <w:marTop w:val="0"/>
          <w:marBottom w:val="0"/>
          <w:divBdr>
            <w:top w:val="none" w:sz="0" w:space="0" w:color="auto"/>
            <w:left w:val="none" w:sz="0" w:space="0" w:color="auto"/>
            <w:bottom w:val="none" w:sz="0" w:space="0" w:color="auto"/>
            <w:right w:val="none" w:sz="0" w:space="0" w:color="auto"/>
          </w:divBdr>
        </w:div>
        <w:div w:id="1546601192">
          <w:marLeft w:val="0"/>
          <w:marRight w:val="0"/>
          <w:marTop w:val="0"/>
          <w:marBottom w:val="0"/>
          <w:divBdr>
            <w:top w:val="none" w:sz="0" w:space="0" w:color="auto"/>
            <w:left w:val="none" w:sz="0" w:space="0" w:color="auto"/>
            <w:bottom w:val="none" w:sz="0" w:space="0" w:color="auto"/>
            <w:right w:val="none" w:sz="0" w:space="0" w:color="auto"/>
          </w:divBdr>
        </w:div>
        <w:div w:id="1575434428">
          <w:marLeft w:val="0"/>
          <w:marRight w:val="0"/>
          <w:marTop w:val="0"/>
          <w:marBottom w:val="0"/>
          <w:divBdr>
            <w:top w:val="none" w:sz="0" w:space="0" w:color="auto"/>
            <w:left w:val="none" w:sz="0" w:space="0" w:color="auto"/>
            <w:bottom w:val="none" w:sz="0" w:space="0" w:color="auto"/>
            <w:right w:val="none" w:sz="0" w:space="0" w:color="auto"/>
          </w:divBdr>
        </w:div>
        <w:div w:id="274561734">
          <w:marLeft w:val="0"/>
          <w:marRight w:val="0"/>
          <w:marTop w:val="0"/>
          <w:marBottom w:val="0"/>
          <w:divBdr>
            <w:top w:val="none" w:sz="0" w:space="0" w:color="auto"/>
            <w:left w:val="none" w:sz="0" w:space="0" w:color="auto"/>
            <w:bottom w:val="none" w:sz="0" w:space="0" w:color="auto"/>
            <w:right w:val="none" w:sz="0" w:space="0" w:color="auto"/>
          </w:divBdr>
        </w:div>
        <w:div w:id="881753022">
          <w:marLeft w:val="0"/>
          <w:marRight w:val="0"/>
          <w:marTop w:val="0"/>
          <w:marBottom w:val="0"/>
          <w:divBdr>
            <w:top w:val="none" w:sz="0" w:space="0" w:color="auto"/>
            <w:left w:val="none" w:sz="0" w:space="0" w:color="auto"/>
            <w:bottom w:val="none" w:sz="0" w:space="0" w:color="auto"/>
            <w:right w:val="none" w:sz="0" w:space="0" w:color="auto"/>
          </w:divBdr>
        </w:div>
        <w:div w:id="1638602756">
          <w:marLeft w:val="0"/>
          <w:marRight w:val="0"/>
          <w:marTop w:val="0"/>
          <w:marBottom w:val="0"/>
          <w:divBdr>
            <w:top w:val="none" w:sz="0" w:space="0" w:color="auto"/>
            <w:left w:val="none" w:sz="0" w:space="0" w:color="auto"/>
            <w:bottom w:val="none" w:sz="0" w:space="0" w:color="auto"/>
            <w:right w:val="none" w:sz="0" w:space="0" w:color="auto"/>
          </w:divBdr>
        </w:div>
        <w:div w:id="1376588005">
          <w:marLeft w:val="0"/>
          <w:marRight w:val="0"/>
          <w:marTop w:val="0"/>
          <w:marBottom w:val="0"/>
          <w:divBdr>
            <w:top w:val="none" w:sz="0" w:space="0" w:color="auto"/>
            <w:left w:val="none" w:sz="0" w:space="0" w:color="auto"/>
            <w:bottom w:val="none" w:sz="0" w:space="0" w:color="auto"/>
            <w:right w:val="none" w:sz="0" w:space="0" w:color="auto"/>
          </w:divBdr>
        </w:div>
        <w:div w:id="1080327089">
          <w:marLeft w:val="0"/>
          <w:marRight w:val="0"/>
          <w:marTop w:val="0"/>
          <w:marBottom w:val="0"/>
          <w:divBdr>
            <w:top w:val="none" w:sz="0" w:space="0" w:color="auto"/>
            <w:left w:val="none" w:sz="0" w:space="0" w:color="auto"/>
            <w:bottom w:val="none" w:sz="0" w:space="0" w:color="auto"/>
            <w:right w:val="none" w:sz="0" w:space="0" w:color="auto"/>
          </w:divBdr>
        </w:div>
        <w:div w:id="1571387182">
          <w:marLeft w:val="0"/>
          <w:marRight w:val="0"/>
          <w:marTop w:val="0"/>
          <w:marBottom w:val="0"/>
          <w:divBdr>
            <w:top w:val="none" w:sz="0" w:space="0" w:color="auto"/>
            <w:left w:val="none" w:sz="0" w:space="0" w:color="auto"/>
            <w:bottom w:val="none" w:sz="0" w:space="0" w:color="auto"/>
            <w:right w:val="none" w:sz="0" w:space="0" w:color="auto"/>
          </w:divBdr>
        </w:div>
        <w:div w:id="1246384214">
          <w:marLeft w:val="0"/>
          <w:marRight w:val="0"/>
          <w:marTop w:val="0"/>
          <w:marBottom w:val="0"/>
          <w:divBdr>
            <w:top w:val="none" w:sz="0" w:space="0" w:color="auto"/>
            <w:left w:val="none" w:sz="0" w:space="0" w:color="auto"/>
            <w:bottom w:val="none" w:sz="0" w:space="0" w:color="auto"/>
            <w:right w:val="none" w:sz="0" w:space="0" w:color="auto"/>
          </w:divBdr>
        </w:div>
        <w:div w:id="39983878">
          <w:marLeft w:val="0"/>
          <w:marRight w:val="0"/>
          <w:marTop w:val="0"/>
          <w:marBottom w:val="0"/>
          <w:divBdr>
            <w:top w:val="none" w:sz="0" w:space="0" w:color="auto"/>
            <w:left w:val="none" w:sz="0" w:space="0" w:color="auto"/>
            <w:bottom w:val="none" w:sz="0" w:space="0" w:color="auto"/>
            <w:right w:val="none" w:sz="0" w:space="0" w:color="auto"/>
          </w:divBdr>
        </w:div>
        <w:div w:id="889808797">
          <w:marLeft w:val="0"/>
          <w:marRight w:val="0"/>
          <w:marTop w:val="0"/>
          <w:marBottom w:val="0"/>
          <w:divBdr>
            <w:top w:val="none" w:sz="0" w:space="0" w:color="auto"/>
            <w:left w:val="none" w:sz="0" w:space="0" w:color="auto"/>
            <w:bottom w:val="none" w:sz="0" w:space="0" w:color="auto"/>
            <w:right w:val="none" w:sz="0" w:space="0" w:color="auto"/>
          </w:divBdr>
        </w:div>
        <w:div w:id="666401151">
          <w:marLeft w:val="0"/>
          <w:marRight w:val="0"/>
          <w:marTop w:val="0"/>
          <w:marBottom w:val="0"/>
          <w:divBdr>
            <w:top w:val="none" w:sz="0" w:space="0" w:color="auto"/>
            <w:left w:val="none" w:sz="0" w:space="0" w:color="auto"/>
            <w:bottom w:val="none" w:sz="0" w:space="0" w:color="auto"/>
            <w:right w:val="none" w:sz="0" w:space="0" w:color="auto"/>
          </w:divBdr>
        </w:div>
        <w:div w:id="444425309">
          <w:marLeft w:val="0"/>
          <w:marRight w:val="0"/>
          <w:marTop w:val="0"/>
          <w:marBottom w:val="0"/>
          <w:divBdr>
            <w:top w:val="none" w:sz="0" w:space="0" w:color="auto"/>
            <w:left w:val="none" w:sz="0" w:space="0" w:color="auto"/>
            <w:bottom w:val="none" w:sz="0" w:space="0" w:color="auto"/>
            <w:right w:val="none" w:sz="0" w:space="0" w:color="auto"/>
          </w:divBdr>
        </w:div>
        <w:div w:id="1749692352">
          <w:marLeft w:val="0"/>
          <w:marRight w:val="0"/>
          <w:marTop w:val="0"/>
          <w:marBottom w:val="0"/>
          <w:divBdr>
            <w:top w:val="none" w:sz="0" w:space="0" w:color="auto"/>
            <w:left w:val="none" w:sz="0" w:space="0" w:color="auto"/>
            <w:bottom w:val="none" w:sz="0" w:space="0" w:color="auto"/>
            <w:right w:val="none" w:sz="0" w:space="0" w:color="auto"/>
          </w:divBdr>
        </w:div>
        <w:div w:id="1883518130">
          <w:marLeft w:val="0"/>
          <w:marRight w:val="0"/>
          <w:marTop w:val="0"/>
          <w:marBottom w:val="0"/>
          <w:divBdr>
            <w:top w:val="none" w:sz="0" w:space="0" w:color="auto"/>
            <w:left w:val="none" w:sz="0" w:space="0" w:color="auto"/>
            <w:bottom w:val="none" w:sz="0" w:space="0" w:color="auto"/>
            <w:right w:val="none" w:sz="0" w:space="0" w:color="auto"/>
          </w:divBdr>
        </w:div>
        <w:div w:id="380633508">
          <w:marLeft w:val="0"/>
          <w:marRight w:val="0"/>
          <w:marTop w:val="0"/>
          <w:marBottom w:val="0"/>
          <w:divBdr>
            <w:top w:val="none" w:sz="0" w:space="0" w:color="auto"/>
            <w:left w:val="none" w:sz="0" w:space="0" w:color="auto"/>
            <w:bottom w:val="none" w:sz="0" w:space="0" w:color="auto"/>
            <w:right w:val="none" w:sz="0" w:space="0" w:color="auto"/>
          </w:divBdr>
        </w:div>
        <w:div w:id="1863977676">
          <w:marLeft w:val="0"/>
          <w:marRight w:val="0"/>
          <w:marTop w:val="0"/>
          <w:marBottom w:val="0"/>
          <w:divBdr>
            <w:top w:val="none" w:sz="0" w:space="0" w:color="auto"/>
            <w:left w:val="none" w:sz="0" w:space="0" w:color="auto"/>
            <w:bottom w:val="none" w:sz="0" w:space="0" w:color="auto"/>
            <w:right w:val="none" w:sz="0" w:space="0" w:color="auto"/>
          </w:divBdr>
        </w:div>
        <w:div w:id="1211309682">
          <w:marLeft w:val="0"/>
          <w:marRight w:val="0"/>
          <w:marTop w:val="0"/>
          <w:marBottom w:val="0"/>
          <w:divBdr>
            <w:top w:val="none" w:sz="0" w:space="0" w:color="auto"/>
            <w:left w:val="none" w:sz="0" w:space="0" w:color="auto"/>
            <w:bottom w:val="none" w:sz="0" w:space="0" w:color="auto"/>
            <w:right w:val="none" w:sz="0" w:space="0" w:color="auto"/>
          </w:divBdr>
        </w:div>
        <w:div w:id="452795280">
          <w:marLeft w:val="0"/>
          <w:marRight w:val="0"/>
          <w:marTop w:val="0"/>
          <w:marBottom w:val="0"/>
          <w:divBdr>
            <w:top w:val="none" w:sz="0" w:space="0" w:color="auto"/>
            <w:left w:val="none" w:sz="0" w:space="0" w:color="auto"/>
            <w:bottom w:val="none" w:sz="0" w:space="0" w:color="auto"/>
            <w:right w:val="none" w:sz="0" w:space="0" w:color="auto"/>
          </w:divBdr>
        </w:div>
        <w:div w:id="1646080349">
          <w:marLeft w:val="0"/>
          <w:marRight w:val="0"/>
          <w:marTop w:val="0"/>
          <w:marBottom w:val="0"/>
          <w:divBdr>
            <w:top w:val="none" w:sz="0" w:space="0" w:color="auto"/>
            <w:left w:val="none" w:sz="0" w:space="0" w:color="auto"/>
            <w:bottom w:val="none" w:sz="0" w:space="0" w:color="auto"/>
            <w:right w:val="none" w:sz="0" w:space="0" w:color="auto"/>
          </w:divBdr>
        </w:div>
        <w:div w:id="1570964609">
          <w:marLeft w:val="0"/>
          <w:marRight w:val="0"/>
          <w:marTop w:val="0"/>
          <w:marBottom w:val="0"/>
          <w:divBdr>
            <w:top w:val="none" w:sz="0" w:space="0" w:color="auto"/>
            <w:left w:val="none" w:sz="0" w:space="0" w:color="auto"/>
            <w:bottom w:val="none" w:sz="0" w:space="0" w:color="auto"/>
            <w:right w:val="none" w:sz="0" w:space="0" w:color="auto"/>
          </w:divBdr>
        </w:div>
        <w:div w:id="1486124355">
          <w:marLeft w:val="0"/>
          <w:marRight w:val="0"/>
          <w:marTop w:val="0"/>
          <w:marBottom w:val="0"/>
          <w:divBdr>
            <w:top w:val="none" w:sz="0" w:space="0" w:color="auto"/>
            <w:left w:val="none" w:sz="0" w:space="0" w:color="auto"/>
            <w:bottom w:val="none" w:sz="0" w:space="0" w:color="auto"/>
            <w:right w:val="none" w:sz="0" w:space="0" w:color="auto"/>
          </w:divBdr>
        </w:div>
      </w:divsChild>
    </w:div>
    <w:div w:id="865488971">
      <w:bodyDiv w:val="1"/>
      <w:marLeft w:val="0"/>
      <w:marRight w:val="0"/>
      <w:marTop w:val="0"/>
      <w:marBottom w:val="0"/>
      <w:divBdr>
        <w:top w:val="none" w:sz="0" w:space="0" w:color="auto"/>
        <w:left w:val="none" w:sz="0" w:space="0" w:color="auto"/>
        <w:bottom w:val="none" w:sz="0" w:space="0" w:color="auto"/>
        <w:right w:val="none" w:sz="0" w:space="0" w:color="auto"/>
      </w:divBdr>
      <w:divsChild>
        <w:div w:id="1135756146">
          <w:marLeft w:val="0"/>
          <w:marRight w:val="0"/>
          <w:marTop w:val="0"/>
          <w:marBottom w:val="0"/>
          <w:divBdr>
            <w:top w:val="none" w:sz="0" w:space="0" w:color="auto"/>
            <w:left w:val="none" w:sz="0" w:space="0" w:color="auto"/>
            <w:bottom w:val="none" w:sz="0" w:space="0" w:color="auto"/>
            <w:right w:val="none" w:sz="0" w:space="0" w:color="auto"/>
          </w:divBdr>
        </w:div>
        <w:div w:id="2138638541">
          <w:marLeft w:val="0"/>
          <w:marRight w:val="0"/>
          <w:marTop w:val="0"/>
          <w:marBottom w:val="0"/>
          <w:divBdr>
            <w:top w:val="none" w:sz="0" w:space="0" w:color="auto"/>
            <w:left w:val="none" w:sz="0" w:space="0" w:color="auto"/>
            <w:bottom w:val="none" w:sz="0" w:space="0" w:color="auto"/>
            <w:right w:val="none" w:sz="0" w:space="0" w:color="auto"/>
          </w:divBdr>
        </w:div>
        <w:div w:id="943264645">
          <w:marLeft w:val="0"/>
          <w:marRight w:val="0"/>
          <w:marTop w:val="0"/>
          <w:marBottom w:val="0"/>
          <w:divBdr>
            <w:top w:val="none" w:sz="0" w:space="0" w:color="auto"/>
            <w:left w:val="none" w:sz="0" w:space="0" w:color="auto"/>
            <w:bottom w:val="none" w:sz="0" w:space="0" w:color="auto"/>
            <w:right w:val="none" w:sz="0" w:space="0" w:color="auto"/>
          </w:divBdr>
        </w:div>
        <w:div w:id="1627657308">
          <w:marLeft w:val="0"/>
          <w:marRight w:val="0"/>
          <w:marTop w:val="0"/>
          <w:marBottom w:val="0"/>
          <w:divBdr>
            <w:top w:val="none" w:sz="0" w:space="0" w:color="auto"/>
            <w:left w:val="none" w:sz="0" w:space="0" w:color="auto"/>
            <w:bottom w:val="none" w:sz="0" w:space="0" w:color="auto"/>
            <w:right w:val="none" w:sz="0" w:space="0" w:color="auto"/>
          </w:divBdr>
        </w:div>
        <w:div w:id="329137572">
          <w:marLeft w:val="0"/>
          <w:marRight w:val="0"/>
          <w:marTop w:val="0"/>
          <w:marBottom w:val="0"/>
          <w:divBdr>
            <w:top w:val="none" w:sz="0" w:space="0" w:color="auto"/>
            <w:left w:val="none" w:sz="0" w:space="0" w:color="auto"/>
            <w:bottom w:val="none" w:sz="0" w:space="0" w:color="auto"/>
            <w:right w:val="none" w:sz="0" w:space="0" w:color="auto"/>
          </w:divBdr>
        </w:div>
        <w:div w:id="1510875914">
          <w:marLeft w:val="0"/>
          <w:marRight w:val="0"/>
          <w:marTop w:val="0"/>
          <w:marBottom w:val="0"/>
          <w:divBdr>
            <w:top w:val="none" w:sz="0" w:space="0" w:color="auto"/>
            <w:left w:val="none" w:sz="0" w:space="0" w:color="auto"/>
            <w:bottom w:val="none" w:sz="0" w:space="0" w:color="auto"/>
            <w:right w:val="none" w:sz="0" w:space="0" w:color="auto"/>
          </w:divBdr>
        </w:div>
        <w:div w:id="1228614716">
          <w:marLeft w:val="0"/>
          <w:marRight w:val="0"/>
          <w:marTop w:val="0"/>
          <w:marBottom w:val="0"/>
          <w:divBdr>
            <w:top w:val="none" w:sz="0" w:space="0" w:color="auto"/>
            <w:left w:val="none" w:sz="0" w:space="0" w:color="auto"/>
            <w:bottom w:val="none" w:sz="0" w:space="0" w:color="auto"/>
            <w:right w:val="none" w:sz="0" w:space="0" w:color="auto"/>
          </w:divBdr>
        </w:div>
        <w:div w:id="216859872">
          <w:marLeft w:val="0"/>
          <w:marRight w:val="0"/>
          <w:marTop w:val="0"/>
          <w:marBottom w:val="0"/>
          <w:divBdr>
            <w:top w:val="none" w:sz="0" w:space="0" w:color="auto"/>
            <w:left w:val="none" w:sz="0" w:space="0" w:color="auto"/>
            <w:bottom w:val="none" w:sz="0" w:space="0" w:color="auto"/>
            <w:right w:val="none" w:sz="0" w:space="0" w:color="auto"/>
          </w:divBdr>
        </w:div>
        <w:div w:id="379129439">
          <w:marLeft w:val="0"/>
          <w:marRight w:val="0"/>
          <w:marTop w:val="0"/>
          <w:marBottom w:val="0"/>
          <w:divBdr>
            <w:top w:val="none" w:sz="0" w:space="0" w:color="auto"/>
            <w:left w:val="none" w:sz="0" w:space="0" w:color="auto"/>
            <w:bottom w:val="none" w:sz="0" w:space="0" w:color="auto"/>
            <w:right w:val="none" w:sz="0" w:space="0" w:color="auto"/>
          </w:divBdr>
        </w:div>
        <w:div w:id="1753773331">
          <w:marLeft w:val="0"/>
          <w:marRight w:val="0"/>
          <w:marTop w:val="0"/>
          <w:marBottom w:val="0"/>
          <w:divBdr>
            <w:top w:val="none" w:sz="0" w:space="0" w:color="auto"/>
            <w:left w:val="none" w:sz="0" w:space="0" w:color="auto"/>
            <w:bottom w:val="none" w:sz="0" w:space="0" w:color="auto"/>
            <w:right w:val="none" w:sz="0" w:space="0" w:color="auto"/>
          </w:divBdr>
        </w:div>
        <w:div w:id="2127774970">
          <w:marLeft w:val="0"/>
          <w:marRight w:val="0"/>
          <w:marTop w:val="0"/>
          <w:marBottom w:val="0"/>
          <w:divBdr>
            <w:top w:val="none" w:sz="0" w:space="0" w:color="auto"/>
            <w:left w:val="none" w:sz="0" w:space="0" w:color="auto"/>
            <w:bottom w:val="none" w:sz="0" w:space="0" w:color="auto"/>
            <w:right w:val="none" w:sz="0" w:space="0" w:color="auto"/>
          </w:divBdr>
        </w:div>
        <w:div w:id="1433667793">
          <w:marLeft w:val="0"/>
          <w:marRight w:val="0"/>
          <w:marTop w:val="0"/>
          <w:marBottom w:val="0"/>
          <w:divBdr>
            <w:top w:val="none" w:sz="0" w:space="0" w:color="auto"/>
            <w:left w:val="none" w:sz="0" w:space="0" w:color="auto"/>
            <w:bottom w:val="none" w:sz="0" w:space="0" w:color="auto"/>
            <w:right w:val="none" w:sz="0" w:space="0" w:color="auto"/>
          </w:divBdr>
        </w:div>
        <w:div w:id="910699466">
          <w:marLeft w:val="0"/>
          <w:marRight w:val="0"/>
          <w:marTop w:val="0"/>
          <w:marBottom w:val="0"/>
          <w:divBdr>
            <w:top w:val="none" w:sz="0" w:space="0" w:color="auto"/>
            <w:left w:val="none" w:sz="0" w:space="0" w:color="auto"/>
            <w:bottom w:val="none" w:sz="0" w:space="0" w:color="auto"/>
            <w:right w:val="none" w:sz="0" w:space="0" w:color="auto"/>
          </w:divBdr>
        </w:div>
        <w:div w:id="2078893525">
          <w:marLeft w:val="0"/>
          <w:marRight w:val="0"/>
          <w:marTop w:val="0"/>
          <w:marBottom w:val="0"/>
          <w:divBdr>
            <w:top w:val="none" w:sz="0" w:space="0" w:color="auto"/>
            <w:left w:val="none" w:sz="0" w:space="0" w:color="auto"/>
            <w:bottom w:val="none" w:sz="0" w:space="0" w:color="auto"/>
            <w:right w:val="none" w:sz="0" w:space="0" w:color="auto"/>
          </w:divBdr>
        </w:div>
        <w:div w:id="1090807077">
          <w:marLeft w:val="0"/>
          <w:marRight w:val="0"/>
          <w:marTop w:val="0"/>
          <w:marBottom w:val="0"/>
          <w:divBdr>
            <w:top w:val="none" w:sz="0" w:space="0" w:color="auto"/>
            <w:left w:val="none" w:sz="0" w:space="0" w:color="auto"/>
            <w:bottom w:val="none" w:sz="0" w:space="0" w:color="auto"/>
            <w:right w:val="none" w:sz="0" w:space="0" w:color="auto"/>
          </w:divBdr>
        </w:div>
        <w:div w:id="1877543910">
          <w:marLeft w:val="0"/>
          <w:marRight w:val="0"/>
          <w:marTop w:val="0"/>
          <w:marBottom w:val="0"/>
          <w:divBdr>
            <w:top w:val="none" w:sz="0" w:space="0" w:color="auto"/>
            <w:left w:val="none" w:sz="0" w:space="0" w:color="auto"/>
            <w:bottom w:val="none" w:sz="0" w:space="0" w:color="auto"/>
            <w:right w:val="none" w:sz="0" w:space="0" w:color="auto"/>
          </w:divBdr>
        </w:div>
        <w:div w:id="2032562555">
          <w:marLeft w:val="0"/>
          <w:marRight w:val="0"/>
          <w:marTop w:val="0"/>
          <w:marBottom w:val="0"/>
          <w:divBdr>
            <w:top w:val="none" w:sz="0" w:space="0" w:color="auto"/>
            <w:left w:val="none" w:sz="0" w:space="0" w:color="auto"/>
            <w:bottom w:val="none" w:sz="0" w:space="0" w:color="auto"/>
            <w:right w:val="none" w:sz="0" w:space="0" w:color="auto"/>
          </w:divBdr>
        </w:div>
        <w:div w:id="334310823">
          <w:marLeft w:val="0"/>
          <w:marRight w:val="0"/>
          <w:marTop w:val="0"/>
          <w:marBottom w:val="0"/>
          <w:divBdr>
            <w:top w:val="none" w:sz="0" w:space="0" w:color="auto"/>
            <w:left w:val="none" w:sz="0" w:space="0" w:color="auto"/>
            <w:bottom w:val="none" w:sz="0" w:space="0" w:color="auto"/>
            <w:right w:val="none" w:sz="0" w:space="0" w:color="auto"/>
          </w:divBdr>
        </w:div>
        <w:div w:id="121533140">
          <w:marLeft w:val="0"/>
          <w:marRight w:val="0"/>
          <w:marTop w:val="0"/>
          <w:marBottom w:val="0"/>
          <w:divBdr>
            <w:top w:val="none" w:sz="0" w:space="0" w:color="auto"/>
            <w:left w:val="none" w:sz="0" w:space="0" w:color="auto"/>
            <w:bottom w:val="none" w:sz="0" w:space="0" w:color="auto"/>
            <w:right w:val="none" w:sz="0" w:space="0" w:color="auto"/>
          </w:divBdr>
        </w:div>
        <w:div w:id="1625772046">
          <w:marLeft w:val="0"/>
          <w:marRight w:val="0"/>
          <w:marTop w:val="0"/>
          <w:marBottom w:val="0"/>
          <w:divBdr>
            <w:top w:val="none" w:sz="0" w:space="0" w:color="auto"/>
            <w:left w:val="none" w:sz="0" w:space="0" w:color="auto"/>
            <w:bottom w:val="none" w:sz="0" w:space="0" w:color="auto"/>
            <w:right w:val="none" w:sz="0" w:space="0" w:color="auto"/>
          </w:divBdr>
        </w:div>
        <w:div w:id="1362441301">
          <w:marLeft w:val="0"/>
          <w:marRight w:val="0"/>
          <w:marTop w:val="0"/>
          <w:marBottom w:val="0"/>
          <w:divBdr>
            <w:top w:val="none" w:sz="0" w:space="0" w:color="auto"/>
            <w:left w:val="none" w:sz="0" w:space="0" w:color="auto"/>
            <w:bottom w:val="none" w:sz="0" w:space="0" w:color="auto"/>
            <w:right w:val="none" w:sz="0" w:space="0" w:color="auto"/>
          </w:divBdr>
        </w:div>
        <w:div w:id="942297636">
          <w:marLeft w:val="0"/>
          <w:marRight w:val="0"/>
          <w:marTop w:val="0"/>
          <w:marBottom w:val="0"/>
          <w:divBdr>
            <w:top w:val="none" w:sz="0" w:space="0" w:color="auto"/>
            <w:left w:val="none" w:sz="0" w:space="0" w:color="auto"/>
            <w:bottom w:val="none" w:sz="0" w:space="0" w:color="auto"/>
            <w:right w:val="none" w:sz="0" w:space="0" w:color="auto"/>
          </w:divBdr>
        </w:div>
        <w:div w:id="1536500377">
          <w:marLeft w:val="0"/>
          <w:marRight w:val="0"/>
          <w:marTop w:val="0"/>
          <w:marBottom w:val="0"/>
          <w:divBdr>
            <w:top w:val="none" w:sz="0" w:space="0" w:color="auto"/>
            <w:left w:val="none" w:sz="0" w:space="0" w:color="auto"/>
            <w:bottom w:val="none" w:sz="0" w:space="0" w:color="auto"/>
            <w:right w:val="none" w:sz="0" w:space="0" w:color="auto"/>
          </w:divBdr>
        </w:div>
        <w:div w:id="1559705449">
          <w:marLeft w:val="0"/>
          <w:marRight w:val="0"/>
          <w:marTop w:val="0"/>
          <w:marBottom w:val="0"/>
          <w:divBdr>
            <w:top w:val="none" w:sz="0" w:space="0" w:color="auto"/>
            <w:left w:val="none" w:sz="0" w:space="0" w:color="auto"/>
            <w:bottom w:val="none" w:sz="0" w:space="0" w:color="auto"/>
            <w:right w:val="none" w:sz="0" w:space="0" w:color="auto"/>
          </w:divBdr>
        </w:div>
        <w:div w:id="1635864703">
          <w:marLeft w:val="0"/>
          <w:marRight w:val="0"/>
          <w:marTop w:val="0"/>
          <w:marBottom w:val="0"/>
          <w:divBdr>
            <w:top w:val="none" w:sz="0" w:space="0" w:color="auto"/>
            <w:left w:val="none" w:sz="0" w:space="0" w:color="auto"/>
            <w:bottom w:val="none" w:sz="0" w:space="0" w:color="auto"/>
            <w:right w:val="none" w:sz="0" w:space="0" w:color="auto"/>
          </w:divBdr>
        </w:div>
        <w:div w:id="833880473">
          <w:marLeft w:val="0"/>
          <w:marRight w:val="0"/>
          <w:marTop w:val="0"/>
          <w:marBottom w:val="0"/>
          <w:divBdr>
            <w:top w:val="none" w:sz="0" w:space="0" w:color="auto"/>
            <w:left w:val="none" w:sz="0" w:space="0" w:color="auto"/>
            <w:bottom w:val="none" w:sz="0" w:space="0" w:color="auto"/>
            <w:right w:val="none" w:sz="0" w:space="0" w:color="auto"/>
          </w:divBdr>
        </w:div>
        <w:div w:id="1653174512">
          <w:marLeft w:val="0"/>
          <w:marRight w:val="0"/>
          <w:marTop w:val="0"/>
          <w:marBottom w:val="0"/>
          <w:divBdr>
            <w:top w:val="none" w:sz="0" w:space="0" w:color="auto"/>
            <w:left w:val="none" w:sz="0" w:space="0" w:color="auto"/>
            <w:bottom w:val="none" w:sz="0" w:space="0" w:color="auto"/>
            <w:right w:val="none" w:sz="0" w:space="0" w:color="auto"/>
          </w:divBdr>
        </w:div>
        <w:div w:id="1502117070">
          <w:marLeft w:val="0"/>
          <w:marRight w:val="0"/>
          <w:marTop w:val="0"/>
          <w:marBottom w:val="0"/>
          <w:divBdr>
            <w:top w:val="none" w:sz="0" w:space="0" w:color="auto"/>
            <w:left w:val="none" w:sz="0" w:space="0" w:color="auto"/>
            <w:bottom w:val="none" w:sz="0" w:space="0" w:color="auto"/>
            <w:right w:val="none" w:sz="0" w:space="0" w:color="auto"/>
          </w:divBdr>
        </w:div>
        <w:div w:id="615405968">
          <w:marLeft w:val="0"/>
          <w:marRight w:val="0"/>
          <w:marTop w:val="0"/>
          <w:marBottom w:val="0"/>
          <w:divBdr>
            <w:top w:val="none" w:sz="0" w:space="0" w:color="auto"/>
            <w:left w:val="none" w:sz="0" w:space="0" w:color="auto"/>
            <w:bottom w:val="none" w:sz="0" w:space="0" w:color="auto"/>
            <w:right w:val="none" w:sz="0" w:space="0" w:color="auto"/>
          </w:divBdr>
        </w:div>
        <w:div w:id="20713568">
          <w:marLeft w:val="0"/>
          <w:marRight w:val="0"/>
          <w:marTop w:val="0"/>
          <w:marBottom w:val="0"/>
          <w:divBdr>
            <w:top w:val="none" w:sz="0" w:space="0" w:color="auto"/>
            <w:left w:val="none" w:sz="0" w:space="0" w:color="auto"/>
            <w:bottom w:val="none" w:sz="0" w:space="0" w:color="auto"/>
            <w:right w:val="none" w:sz="0" w:space="0" w:color="auto"/>
          </w:divBdr>
        </w:div>
        <w:div w:id="1350184305">
          <w:marLeft w:val="0"/>
          <w:marRight w:val="0"/>
          <w:marTop w:val="0"/>
          <w:marBottom w:val="0"/>
          <w:divBdr>
            <w:top w:val="none" w:sz="0" w:space="0" w:color="auto"/>
            <w:left w:val="none" w:sz="0" w:space="0" w:color="auto"/>
            <w:bottom w:val="none" w:sz="0" w:space="0" w:color="auto"/>
            <w:right w:val="none" w:sz="0" w:space="0" w:color="auto"/>
          </w:divBdr>
        </w:div>
        <w:div w:id="1562985539">
          <w:marLeft w:val="0"/>
          <w:marRight w:val="0"/>
          <w:marTop w:val="0"/>
          <w:marBottom w:val="0"/>
          <w:divBdr>
            <w:top w:val="none" w:sz="0" w:space="0" w:color="auto"/>
            <w:left w:val="none" w:sz="0" w:space="0" w:color="auto"/>
            <w:bottom w:val="none" w:sz="0" w:space="0" w:color="auto"/>
            <w:right w:val="none" w:sz="0" w:space="0" w:color="auto"/>
          </w:divBdr>
        </w:div>
        <w:div w:id="1697923289">
          <w:marLeft w:val="0"/>
          <w:marRight w:val="0"/>
          <w:marTop w:val="0"/>
          <w:marBottom w:val="0"/>
          <w:divBdr>
            <w:top w:val="none" w:sz="0" w:space="0" w:color="auto"/>
            <w:left w:val="none" w:sz="0" w:space="0" w:color="auto"/>
            <w:bottom w:val="none" w:sz="0" w:space="0" w:color="auto"/>
            <w:right w:val="none" w:sz="0" w:space="0" w:color="auto"/>
          </w:divBdr>
        </w:div>
        <w:div w:id="1732541417">
          <w:marLeft w:val="0"/>
          <w:marRight w:val="0"/>
          <w:marTop w:val="0"/>
          <w:marBottom w:val="0"/>
          <w:divBdr>
            <w:top w:val="none" w:sz="0" w:space="0" w:color="auto"/>
            <w:left w:val="none" w:sz="0" w:space="0" w:color="auto"/>
            <w:bottom w:val="none" w:sz="0" w:space="0" w:color="auto"/>
            <w:right w:val="none" w:sz="0" w:space="0" w:color="auto"/>
          </w:divBdr>
        </w:div>
        <w:div w:id="881022061">
          <w:marLeft w:val="0"/>
          <w:marRight w:val="0"/>
          <w:marTop w:val="0"/>
          <w:marBottom w:val="0"/>
          <w:divBdr>
            <w:top w:val="none" w:sz="0" w:space="0" w:color="auto"/>
            <w:left w:val="none" w:sz="0" w:space="0" w:color="auto"/>
            <w:bottom w:val="none" w:sz="0" w:space="0" w:color="auto"/>
            <w:right w:val="none" w:sz="0" w:space="0" w:color="auto"/>
          </w:divBdr>
        </w:div>
        <w:div w:id="1815290088">
          <w:marLeft w:val="0"/>
          <w:marRight w:val="0"/>
          <w:marTop w:val="0"/>
          <w:marBottom w:val="0"/>
          <w:divBdr>
            <w:top w:val="none" w:sz="0" w:space="0" w:color="auto"/>
            <w:left w:val="none" w:sz="0" w:space="0" w:color="auto"/>
            <w:bottom w:val="none" w:sz="0" w:space="0" w:color="auto"/>
            <w:right w:val="none" w:sz="0" w:space="0" w:color="auto"/>
          </w:divBdr>
        </w:div>
        <w:div w:id="1741323705">
          <w:marLeft w:val="0"/>
          <w:marRight w:val="0"/>
          <w:marTop w:val="0"/>
          <w:marBottom w:val="0"/>
          <w:divBdr>
            <w:top w:val="none" w:sz="0" w:space="0" w:color="auto"/>
            <w:left w:val="none" w:sz="0" w:space="0" w:color="auto"/>
            <w:bottom w:val="none" w:sz="0" w:space="0" w:color="auto"/>
            <w:right w:val="none" w:sz="0" w:space="0" w:color="auto"/>
          </w:divBdr>
        </w:div>
        <w:div w:id="1461460078">
          <w:marLeft w:val="0"/>
          <w:marRight w:val="0"/>
          <w:marTop w:val="0"/>
          <w:marBottom w:val="0"/>
          <w:divBdr>
            <w:top w:val="none" w:sz="0" w:space="0" w:color="auto"/>
            <w:left w:val="none" w:sz="0" w:space="0" w:color="auto"/>
            <w:bottom w:val="none" w:sz="0" w:space="0" w:color="auto"/>
            <w:right w:val="none" w:sz="0" w:space="0" w:color="auto"/>
          </w:divBdr>
        </w:div>
        <w:div w:id="1206143260">
          <w:marLeft w:val="0"/>
          <w:marRight w:val="0"/>
          <w:marTop w:val="0"/>
          <w:marBottom w:val="0"/>
          <w:divBdr>
            <w:top w:val="none" w:sz="0" w:space="0" w:color="auto"/>
            <w:left w:val="none" w:sz="0" w:space="0" w:color="auto"/>
            <w:bottom w:val="none" w:sz="0" w:space="0" w:color="auto"/>
            <w:right w:val="none" w:sz="0" w:space="0" w:color="auto"/>
          </w:divBdr>
        </w:div>
        <w:div w:id="1340767326">
          <w:marLeft w:val="0"/>
          <w:marRight w:val="0"/>
          <w:marTop w:val="0"/>
          <w:marBottom w:val="0"/>
          <w:divBdr>
            <w:top w:val="none" w:sz="0" w:space="0" w:color="auto"/>
            <w:left w:val="none" w:sz="0" w:space="0" w:color="auto"/>
            <w:bottom w:val="none" w:sz="0" w:space="0" w:color="auto"/>
            <w:right w:val="none" w:sz="0" w:space="0" w:color="auto"/>
          </w:divBdr>
        </w:div>
        <w:div w:id="1498105953">
          <w:marLeft w:val="0"/>
          <w:marRight w:val="0"/>
          <w:marTop w:val="0"/>
          <w:marBottom w:val="0"/>
          <w:divBdr>
            <w:top w:val="none" w:sz="0" w:space="0" w:color="auto"/>
            <w:left w:val="none" w:sz="0" w:space="0" w:color="auto"/>
            <w:bottom w:val="none" w:sz="0" w:space="0" w:color="auto"/>
            <w:right w:val="none" w:sz="0" w:space="0" w:color="auto"/>
          </w:divBdr>
        </w:div>
        <w:div w:id="1383941924">
          <w:marLeft w:val="0"/>
          <w:marRight w:val="0"/>
          <w:marTop w:val="0"/>
          <w:marBottom w:val="0"/>
          <w:divBdr>
            <w:top w:val="none" w:sz="0" w:space="0" w:color="auto"/>
            <w:left w:val="none" w:sz="0" w:space="0" w:color="auto"/>
            <w:bottom w:val="none" w:sz="0" w:space="0" w:color="auto"/>
            <w:right w:val="none" w:sz="0" w:space="0" w:color="auto"/>
          </w:divBdr>
        </w:div>
        <w:div w:id="1481189529">
          <w:marLeft w:val="0"/>
          <w:marRight w:val="0"/>
          <w:marTop w:val="0"/>
          <w:marBottom w:val="0"/>
          <w:divBdr>
            <w:top w:val="none" w:sz="0" w:space="0" w:color="auto"/>
            <w:left w:val="none" w:sz="0" w:space="0" w:color="auto"/>
            <w:bottom w:val="none" w:sz="0" w:space="0" w:color="auto"/>
            <w:right w:val="none" w:sz="0" w:space="0" w:color="auto"/>
          </w:divBdr>
        </w:div>
        <w:div w:id="388236730">
          <w:marLeft w:val="0"/>
          <w:marRight w:val="0"/>
          <w:marTop w:val="0"/>
          <w:marBottom w:val="0"/>
          <w:divBdr>
            <w:top w:val="none" w:sz="0" w:space="0" w:color="auto"/>
            <w:left w:val="none" w:sz="0" w:space="0" w:color="auto"/>
            <w:bottom w:val="none" w:sz="0" w:space="0" w:color="auto"/>
            <w:right w:val="none" w:sz="0" w:space="0" w:color="auto"/>
          </w:divBdr>
        </w:div>
        <w:div w:id="826674816">
          <w:marLeft w:val="0"/>
          <w:marRight w:val="0"/>
          <w:marTop w:val="0"/>
          <w:marBottom w:val="0"/>
          <w:divBdr>
            <w:top w:val="none" w:sz="0" w:space="0" w:color="auto"/>
            <w:left w:val="none" w:sz="0" w:space="0" w:color="auto"/>
            <w:bottom w:val="none" w:sz="0" w:space="0" w:color="auto"/>
            <w:right w:val="none" w:sz="0" w:space="0" w:color="auto"/>
          </w:divBdr>
        </w:div>
        <w:div w:id="1268924627">
          <w:marLeft w:val="0"/>
          <w:marRight w:val="0"/>
          <w:marTop w:val="0"/>
          <w:marBottom w:val="0"/>
          <w:divBdr>
            <w:top w:val="none" w:sz="0" w:space="0" w:color="auto"/>
            <w:left w:val="none" w:sz="0" w:space="0" w:color="auto"/>
            <w:bottom w:val="none" w:sz="0" w:space="0" w:color="auto"/>
            <w:right w:val="none" w:sz="0" w:space="0" w:color="auto"/>
          </w:divBdr>
        </w:div>
        <w:div w:id="1817719391">
          <w:marLeft w:val="0"/>
          <w:marRight w:val="0"/>
          <w:marTop w:val="0"/>
          <w:marBottom w:val="0"/>
          <w:divBdr>
            <w:top w:val="none" w:sz="0" w:space="0" w:color="auto"/>
            <w:left w:val="none" w:sz="0" w:space="0" w:color="auto"/>
            <w:bottom w:val="none" w:sz="0" w:space="0" w:color="auto"/>
            <w:right w:val="none" w:sz="0" w:space="0" w:color="auto"/>
          </w:divBdr>
        </w:div>
        <w:div w:id="2135975427">
          <w:marLeft w:val="0"/>
          <w:marRight w:val="0"/>
          <w:marTop w:val="0"/>
          <w:marBottom w:val="0"/>
          <w:divBdr>
            <w:top w:val="none" w:sz="0" w:space="0" w:color="auto"/>
            <w:left w:val="none" w:sz="0" w:space="0" w:color="auto"/>
            <w:bottom w:val="none" w:sz="0" w:space="0" w:color="auto"/>
            <w:right w:val="none" w:sz="0" w:space="0" w:color="auto"/>
          </w:divBdr>
        </w:div>
        <w:div w:id="379520017">
          <w:marLeft w:val="0"/>
          <w:marRight w:val="0"/>
          <w:marTop w:val="0"/>
          <w:marBottom w:val="0"/>
          <w:divBdr>
            <w:top w:val="none" w:sz="0" w:space="0" w:color="auto"/>
            <w:left w:val="none" w:sz="0" w:space="0" w:color="auto"/>
            <w:bottom w:val="none" w:sz="0" w:space="0" w:color="auto"/>
            <w:right w:val="none" w:sz="0" w:space="0" w:color="auto"/>
          </w:divBdr>
        </w:div>
        <w:div w:id="391125996">
          <w:marLeft w:val="0"/>
          <w:marRight w:val="0"/>
          <w:marTop w:val="0"/>
          <w:marBottom w:val="0"/>
          <w:divBdr>
            <w:top w:val="none" w:sz="0" w:space="0" w:color="auto"/>
            <w:left w:val="none" w:sz="0" w:space="0" w:color="auto"/>
            <w:bottom w:val="none" w:sz="0" w:space="0" w:color="auto"/>
            <w:right w:val="none" w:sz="0" w:space="0" w:color="auto"/>
          </w:divBdr>
        </w:div>
        <w:div w:id="865946743">
          <w:marLeft w:val="0"/>
          <w:marRight w:val="0"/>
          <w:marTop w:val="0"/>
          <w:marBottom w:val="0"/>
          <w:divBdr>
            <w:top w:val="none" w:sz="0" w:space="0" w:color="auto"/>
            <w:left w:val="none" w:sz="0" w:space="0" w:color="auto"/>
            <w:bottom w:val="none" w:sz="0" w:space="0" w:color="auto"/>
            <w:right w:val="none" w:sz="0" w:space="0" w:color="auto"/>
          </w:divBdr>
        </w:div>
        <w:div w:id="245267679">
          <w:marLeft w:val="0"/>
          <w:marRight w:val="0"/>
          <w:marTop w:val="0"/>
          <w:marBottom w:val="0"/>
          <w:divBdr>
            <w:top w:val="none" w:sz="0" w:space="0" w:color="auto"/>
            <w:left w:val="none" w:sz="0" w:space="0" w:color="auto"/>
            <w:bottom w:val="none" w:sz="0" w:space="0" w:color="auto"/>
            <w:right w:val="none" w:sz="0" w:space="0" w:color="auto"/>
          </w:divBdr>
        </w:div>
        <w:div w:id="849367361">
          <w:marLeft w:val="0"/>
          <w:marRight w:val="0"/>
          <w:marTop w:val="0"/>
          <w:marBottom w:val="0"/>
          <w:divBdr>
            <w:top w:val="none" w:sz="0" w:space="0" w:color="auto"/>
            <w:left w:val="none" w:sz="0" w:space="0" w:color="auto"/>
            <w:bottom w:val="none" w:sz="0" w:space="0" w:color="auto"/>
            <w:right w:val="none" w:sz="0" w:space="0" w:color="auto"/>
          </w:divBdr>
        </w:div>
        <w:div w:id="1427995490">
          <w:marLeft w:val="0"/>
          <w:marRight w:val="0"/>
          <w:marTop w:val="0"/>
          <w:marBottom w:val="0"/>
          <w:divBdr>
            <w:top w:val="none" w:sz="0" w:space="0" w:color="auto"/>
            <w:left w:val="none" w:sz="0" w:space="0" w:color="auto"/>
            <w:bottom w:val="none" w:sz="0" w:space="0" w:color="auto"/>
            <w:right w:val="none" w:sz="0" w:space="0" w:color="auto"/>
          </w:divBdr>
        </w:div>
        <w:div w:id="9915841">
          <w:marLeft w:val="0"/>
          <w:marRight w:val="0"/>
          <w:marTop w:val="0"/>
          <w:marBottom w:val="0"/>
          <w:divBdr>
            <w:top w:val="none" w:sz="0" w:space="0" w:color="auto"/>
            <w:left w:val="none" w:sz="0" w:space="0" w:color="auto"/>
            <w:bottom w:val="none" w:sz="0" w:space="0" w:color="auto"/>
            <w:right w:val="none" w:sz="0" w:space="0" w:color="auto"/>
          </w:divBdr>
        </w:div>
        <w:div w:id="2032563677">
          <w:marLeft w:val="0"/>
          <w:marRight w:val="0"/>
          <w:marTop w:val="0"/>
          <w:marBottom w:val="0"/>
          <w:divBdr>
            <w:top w:val="none" w:sz="0" w:space="0" w:color="auto"/>
            <w:left w:val="none" w:sz="0" w:space="0" w:color="auto"/>
            <w:bottom w:val="none" w:sz="0" w:space="0" w:color="auto"/>
            <w:right w:val="none" w:sz="0" w:space="0" w:color="auto"/>
          </w:divBdr>
        </w:div>
        <w:div w:id="1191263490">
          <w:marLeft w:val="0"/>
          <w:marRight w:val="0"/>
          <w:marTop w:val="0"/>
          <w:marBottom w:val="0"/>
          <w:divBdr>
            <w:top w:val="none" w:sz="0" w:space="0" w:color="auto"/>
            <w:left w:val="none" w:sz="0" w:space="0" w:color="auto"/>
            <w:bottom w:val="none" w:sz="0" w:space="0" w:color="auto"/>
            <w:right w:val="none" w:sz="0" w:space="0" w:color="auto"/>
          </w:divBdr>
        </w:div>
        <w:div w:id="296957320">
          <w:marLeft w:val="0"/>
          <w:marRight w:val="0"/>
          <w:marTop w:val="0"/>
          <w:marBottom w:val="0"/>
          <w:divBdr>
            <w:top w:val="none" w:sz="0" w:space="0" w:color="auto"/>
            <w:left w:val="none" w:sz="0" w:space="0" w:color="auto"/>
            <w:bottom w:val="none" w:sz="0" w:space="0" w:color="auto"/>
            <w:right w:val="none" w:sz="0" w:space="0" w:color="auto"/>
          </w:divBdr>
        </w:div>
        <w:div w:id="1167983088">
          <w:marLeft w:val="0"/>
          <w:marRight w:val="0"/>
          <w:marTop w:val="0"/>
          <w:marBottom w:val="0"/>
          <w:divBdr>
            <w:top w:val="none" w:sz="0" w:space="0" w:color="auto"/>
            <w:left w:val="none" w:sz="0" w:space="0" w:color="auto"/>
            <w:bottom w:val="none" w:sz="0" w:space="0" w:color="auto"/>
            <w:right w:val="none" w:sz="0" w:space="0" w:color="auto"/>
          </w:divBdr>
        </w:div>
        <w:div w:id="1262645124">
          <w:marLeft w:val="0"/>
          <w:marRight w:val="0"/>
          <w:marTop w:val="0"/>
          <w:marBottom w:val="0"/>
          <w:divBdr>
            <w:top w:val="none" w:sz="0" w:space="0" w:color="auto"/>
            <w:left w:val="none" w:sz="0" w:space="0" w:color="auto"/>
            <w:bottom w:val="none" w:sz="0" w:space="0" w:color="auto"/>
            <w:right w:val="none" w:sz="0" w:space="0" w:color="auto"/>
          </w:divBdr>
        </w:div>
        <w:div w:id="1005278872">
          <w:marLeft w:val="0"/>
          <w:marRight w:val="0"/>
          <w:marTop w:val="0"/>
          <w:marBottom w:val="0"/>
          <w:divBdr>
            <w:top w:val="none" w:sz="0" w:space="0" w:color="auto"/>
            <w:left w:val="none" w:sz="0" w:space="0" w:color="auto"/>
            <w:bottom w:val="none" w:sz="0" w:space="0" w:color="auto"/>
            <w:right w:val="none" w:sz="0" w:space="0" w:color="auto"/>
          </w:divBdr>
        </w:div>
      </w:divsChild>
    </w:div>
    <w:div w:id="873343960">
      <w:bodyDiv w:val="1"/>
      <w:marLeft w:val="0"/>
      <w:marRight w:val="0"/>
      <w:marTop w:val="0"/>
      <w:marBottom w:val="0"/>
      <w:divBdr>
        <w:top w:val="none" w:sz="0" w:space="0" w:color="auto"/>
        <w:left w:val="none" w:sz="0" w:space="0" w:color="auto"/>
        <w:bottom w:val="none" w:sz="0" w:space="0" w:color="auto"/>
        <w:right w:val="none" w:sz="0" w:space="0" w:color="auto"/>
      </w:divBdr>
      <w:divsChild>
        <w:div w:id="1082143957">
          <w:marLeft w:val="0"/>
          <w:marRight w:val="0"/>
          <w:marTop w:val="0"/>
          <w:marBottom w:val="0"/>
          <w:divBdr>
            <w:top w:val="none" w:sz="0" w:space="0" w:color="auto"/>
            <w:left w:val="none" w:sz="0" w:space="0" w:color="auto"/>
            <w:bottom w:val="none" w:sz="0" w:space="0" w:color="auto"/>
            <w:right w:val="none" w:sz="0" w:space="0" w:color="auto"/>
          </w:divBdr>
        </w:div>
        <w:div w:id="1832404679">
          <w:marLeft w:val="0"/>
          <w:marRight w:val="0"/>
          <w:marTop w:val="0"/>
          <w:marBottom w:val="0"/>
          <w:divBdr>
            <w:top w:val="none" w:sz="0" w:space="0" w:color="auto"/>
            <w:left w:val="none" w:sz="0" w:space="0" w:color="auto"/>
            <w:bottom w:val="none" w:sz="0" w:space="0" w:color="auto"/>
            <w:right w:val="none" w:sz="0" w:space="0" w:color="auto"/>
          </w:divBdr>
        </w:div>
        <w:div w:id="1880168682">
          <w:marLeft w:val="0"/>
          <w:marRight w:val="0"/>
          <w:marTop w:val="0"/>
          <w:marBottom w:val="0"/>
          <w:divBdr>
            <w:top w:val="none" w:sz="0" w:space="0" w:color="auto"/>
            <w:left w:val="none" w:sz="0" w:space="0" w:color="auto"/>
            <w:bottom w:val="none" w:sz="0" w:space="0" w:color="auto"/>
            <w:right w:val="none" w:sz="0" w:space="0" w:color="auto"/>
          </w:divBdr>
        </w:div>
        <w:div w:id="1197546751">
          <w:marLeft w:val="0"/>
          <w:marRight w:val="0"/>
          <w:marTop w:val="0"/>
          <w:marBottom w:val="0"/>
          <w:divBdr>
            <w:top w:val="none" w:sz="0" w:space="0" w:color="auto"/>
            <w:left w:val="none" w:sz="0" w:space="0" w:color="auto"/>
            <w:bottom w:val="none" w:sz="0" w:space="0" w:color="auto"/>
            <w:right w:val="none" w:sz="0" w:space="0" w:color="auto"/>
          </w:divBdr>
        </w:div>
        <w:div w:id="1667243321">
          <w:marLeft w:val="0"/>
          <w:marRight w:val="0"/>
          <w:marTop w:val="0"/>
          <w:marBottom w:val="0"/>
          <w:divBdr>
            <w:top w:val="none" w:sz="0" w:space="0" w:color="auto"/>
            <w:left w:val="none" w:sz="0" w:space="0" w:color="auto"/>
            <w:bottom w:val="none" w:sz="0" w:space="0" w:color="auto"/>
            <w:right w:val="none" w:sz="0" w:space="0" w:color="auto"/>
          </w:divBdr>
        </w:div>
        <w:div w:id="368989521">
          <w:marLeft w:val="0"/>
          <w:marRight w:val="0"/>
          <w:marTop w:val="0"/>
          <w:marBottom w:val="0"/>
          <w:divBdr>
            <w:top w:val="none" w:sz="0" w:space="0" w:color="auto"/>
            <w:left w:val="none" w:sz="0" w:space="0" w:color="auto"/>
            <w:bottom w:val="none" w:sz="0" w:space="0" w:color="auto"/>
            <w:right w:val="none" w:sz="0" w:space="0" w:color="auto"/>
          </w:divBdr>
        </w:div>
        <w:div w:id="540021118">
          <w:marLeft w:val="0"/>
          <w:marRight w:val="0"/>
          <w:marTop w:val="0"/>
          <w:marBottom w:val="0"/>
          <w:divBdr>
            <w:top w:val="none" w:sz="0" w:space="0" w:color="auto"/>
            <w:left w:val="none" w:sz="0" w:space="0" w:color="auto"/>
            <w:bottom w:val="none" w:sz="0" w:space="0" w:color="auto"/>
            <w:right w:val="none" w:sz="0" w:space="0" w:color="auto"/>
          </w:divBdr>
        </w:div>
        <w:div w:id="422991439">
          <w:marLeft w:val="0"/>
          <w:marRight w:val="0"/>
          <w:marTop w:val="0"/>
          <w:marBottom w:val="0"/>
          <w:divBdr>
            <w:top w:val="none" w:sz="0" w:space="0" w:color="auto"/>
            <w:left w:val="none" w:sz="0" w:space="0" w:color="auto"/>
            <w:bottom w:val="none" w:sz="0" w:space="0" w:color="auto"/>
            <w:right w:val="none" w:sz="0" w:space="0" w:color="auto"/>
          </w:divBdr>
        </w:div>
      </w:divsChild>
    </w:div>
    <w:div w:id="886139192">
      <w:bodyDiv w:val="1"/>
      <w:marLeft w:val="0"/>
      <w:marRight w:val="0"/>
      <w:marTop w:val="0"/>
      <w:marBottom w:val="0"/>
      <w:divBdr>
        <w:top w:val="none" w:sz="0" w:space="0" w:color="auto"/>
        <w:left w:val="none" w:sz="0" w:space="0" w:color="auto"/>
        <w:bottom w:val="none" w:sz="0" w:space="0" w:color="auto"/>
        <w:right w:val="none" w:sz="0" w:space="0" w:color="auto"/>
      </w:divBdr>
      <w:divsChild>
        <w:div w:id="1280994896">
          <w:marLeft w:val="0"/>
          <w:marRight w:val="0"/>
          <w:marTop w:val="0"/>
          <w:marBottom w:val="0"/>
          <w:divBdr>
            <w:top w:val="none" w:sz="0" w:space="0" w:color="auto"/>
            <w:left w:val="none" w:sz="0" w:space="0" w:color="auto"/>
            <w:bottom w:val="none" w:sz="0" w:space="0" w:color="auto"/>
            <w:right w:val="none" w:sz="0" w:space="0" w:color="auto"/>
          </w:divBdr>
        </w:div>
        <w:div w:id="608899921">
          <w:marLeft w:val="0"/>
          <w:marRight w:val="0"/>
          <w:marTop w:val="0"/>
          <w:marBottom w:val="0"/>
          <w:divBdr>
            <w:top w:val="none" w:sz="0" w:space="0" w:color="auto"/>
            <w:left w:val="none" w:sz="0" w:space="0" w:color="auto"/>
            <w:bottom w:val="none" w:sz="0" w:space="0" w:color="auto"/>
            <w:right w:val="none" w:sz="0" w:space="0" w:color="auto"/>
          </w:divBdr>
        </w:div>
        <w:div w:id="326903951">
          <w:marLeft w:val="0"/>
          <w:marRight w:val="0"/>
          <w:marTop w:val="0"/>
          <w:marBottom w:val="0"/>
          <w:divBdr>
            <w:top w:val="none" w:sz="0" w:space="0" w:color="auto"/>
            <w:left w:val="none" w:sz="0" w:space="0" w:color="auto"/>
            <w:bottom w:val="none" w:sz="0" w:space="0" w:color="auto"/>
            <w:right w:val="none" w:sz="0" w:space="0" w:color="auto"/>
          </w:divBdr>
        </w:div>
        <w:div w:id="2037997796">
          <w:marLeft w:val="0"/>
          <w:marRight w:val="0"/>
          <w:marTop w:val="0"/>
          <w:marBottom w:val="0"/>
          <w:divBdr>
            <w:top w:val="none" w:sz="0" w:space="0" w:color="auto"/>
            <w:left w:val="none" w:sz="0" w:space="0" w:color="auto"/>
            <w:bottom w:val="none" w:sz="0" w:space="0" w:color="auto"/>
            <w:right w:val="none" w:sz="0" w:space="0" w:color="auto"/>
          </w:divBdr>
        </w:div>
        <w:div w:id="988362055">
          <w:marLeft w:val="0"/>
          <w:marRight w:val="0"/>
          <w:marTop w:val="0"/>
          <w:marBottom w:val="0"/>
          <w:divBdr>
            <w:top w:val="none" w:sz="0" w:space="0" w:color="auto"/>
            <w:left w:val="none" w:sz="0" w:space="0" w:color="auto"/>
            <w:bottom w:val="none" w:sz="0" w:space="0" w:color="auto"/>
            <w:right w:val="none" w:sz="0" w:space="0" w:color="auto"/>
          </w:divBdr>
        </w:div>
        <w:div w:id="1837989735">
          <w:marLeft w:val="0"/>
          <w:marRight w:val="0"/>
          <w:marTop w:val="0"/>
          <w:marBottom w:val="0"/>
          <w:divBdr>
            <w:top w:val="none" w:sz="0" w:space="0" w:color="auto"/>
            <w:left w:val="none" w:sz="0" w:space="0" w:color="auto"/>
            <w:bottom w:val="none" w:sz="0" w:space="0" w:color="auto"/>
            <w:right w:val="none" w:sz="0" w:space="0" w:color="auto"/>
          </w:divBdr>
        </w:div>
        <w:div w:id="958142827">
          <w:marLeft w:val="0"/>
          <w:marRight w:val="0"/>
          <w:marTop w:val="0"/>
          <w:marBottom w:val="0"/>
          <w:divBdr>
            <w:top w:val="none" w:sz="0" w:space="0" w:color="auto"/>
            <w:left w:val="none" w:sz="0" w:space="0" w:color="auto"/>
            <w:bottom w:val="none" w:sz="0" w:space="0" w:color="auto"/>
            <w:right w:val="none" w:sz="0" w:space="0" w:color="auto"/>
          </w:divBdr>
        </w:div>
        <w:div w:id="699890036">
          <w:marLeft w:val="0"/>
          <w:marRight w:val="0"/>
          <w:marTop w:val="0"/>
          <w:marBottom w:val="0"/>
          <w:divBdr>
            <w:top w:val="none" w:sz="0" w:space="0" w:color="auto"/>
            <w:left w:val="none" w:sz="0" w:space="0" w:color="auto"/>
            <w:bottom w:val="none" w:sz="0" w:space="0" w:color="auto"/>
            <w:right w:val="none" w:sz="0" w:space="0" w:color="auto"/>
          </w:divBdr>
        </w:div>
        <w:div w:id="1887571223">
          <w:marLeft w:val="0"/>
          <w:marRight w:val="0"/>
          <w:marTop w:val="0"/>
          <w:marBottom w:val="0"/>
          <w:divBdr>
            <w:top w:val="none" w:sz="0" w:space="0" w:color="auto"/>
            <w:left w:val="none" w:sz="0" w:space="0" w:color="auto"/>
            <w:bottom w:val="none" w:sz="0" w:space="0" w:color="auto"/>
            <w:right w:val="none" w:sz="0" w:space="0" w:color="auto"/>
          </w:divBdr>
        </w:div>
        <w:div w:id="991982465">
          <w:marLeft w:val="0"/>
          <w:marRight w:val="0"/>
          <w:marTop w:val="0"/>
          <w:marBottom w:val="0"/>
          <w:divBdr>
            <w:top w:val="none" w:sz="0" w:space="0" w:color="auto"/>
            <w:left w:val="none" w:sz="0" w:space="0" w:color="auto"/>
            <w:bottom w:val="none" w:sz="0" w:space="0" w:color="auto"/>
            <w:right w:val="none" w:sz="0" w:space="0" w:color="auto"/>
          </w:divBdr>
        </w:div>
      </w:divsChild>
    </w:div>
    <w:div w:id="909274358">
      <w:bodyDiv w:val="1"/>
      <w:marLeft w:val="0"/>
      <w:marRight w:val="0"/>
      <w:marTop w:val="0"/>
      <w:marBottom w:val="0"/>
      <w:divBdr>
        <w:top w:val="none" w:sz="0" w:space="0" w:color="auto"/>
        <w:left w:val="none" w:sz="0" w:space="0" w:color="auto"/>
        <w:bottom w:val="none" w:sz="0" w:space="0" w:color="auto"/>
        <w:right w:val="none" w:sz="0" w:space="0" w:color="auto"/>
      </w:divBdr>
      <w:divsChild>
        <w:div w:id="948391931">
          <w:marLeft w:val="0"/>
          <w:marRight w:val="0"/>
          <w:marTop w:val="0"/>
          <w:marBottom w:val="0"/>
          <w:divBdr>
            <w:top w:val="none" w:sz="0" w:space="0" w:color="auto"/>
            <w:left w:val="none" w:sz="0" w:space="0" w:color="auto"/>
            <w:bottom w:val="none" w:sz="0" w:space="0" w:color="auto"/>
            <w:right w:val="none" w:sz="0" w:space="0" w:color="auto"/>
          </w:divBdr>
        </w:div>
        <w:div w:id="1867938134">
          <w:marLeft w:val="0"/>
          <w:marRight w:val="0"/>
          <w:marTop w:val="0"/>
          <w:marBottom w:val="0"/>
          <w:divBdr>
            <w:top w:val="none" w:sz="0" w:space="0" w:color="auto"/>
            <w:left w:val="none" w:sz="0" w:space="0" w:color="auto"/>
            <w:bottom w:val="none" w:sz="0" w:space="0" w:color="auto"/>
            <w:right w:val="none" w:sz="0" w:space="0" w:color="auto"/>
          </w:divBdr>
        </w:div>
        <w:div w:id="2105566811">
          <w:marLeft w:val="0"/>
          <w:marRight w:val="0"/>
          <w:marTop w:val="0"/>
          <w:marBottom w:val="0"/>
          <w:divBdr>
            <w:top w:val="none" w:sz="0" w:space="0" w:color="auto"/>
            <w:left w:val="none" w:sz="0" w:space="0" w:color="auto"/>
            <w:bottom w:val="none" w:sz="0" w:space="0" w:color="auto"/>
            <w:right w:val="none" w:sz="0" w:space="0" w:color="auto"/>
          </w:divBdr>
        </w:div>
        <w:div w:id="1763794545">
          <w:marLeft w:val="0"/>
          <w:marRight w:val="0"/>
          <w:marTop w:val="0"/>
          <w:marBottom w:val="0"/>
          <w:divBdr>
            <w:top w:val="none" w:sz="0" w:space="0" w:color="auto"/>
            <w:left w:val="none" w:sz="0" w:space="0" w:color="auto"/>
            <w:bottom w:val="none" w:sz="0" w:space="0" w:color="auto"/>
            <w:right w:val="none" w:sz="0" w:space="0" w:color="auto"/>
          </w:divBdr>
        </w:div>
        <w:div w:id="1254823127">
          <w:marLeft w:val="0"/>
          <w:marRight w:val="0"/>
          <w:marTop w:val="0"/>
          <w:marBottom w:val="0"/>
          <w:divBdr>
            <w:top w:val="none" w:sz="0" w:space="0" w:color="auto"/>
            <w:left w:val="none" w:sz="0" w:space="0" w:color="auto"/>
            <w:bottom w:val="none" w:sz="0" w:space="0" w:color="auto"/>
            <w:right w:val="none" w:sz="0" w:space="0" w:color="auto"/>
          </w:divBdr>
        </w:div>
        <w:div w:id="488445049">
          <w:marLeft w:val="0"/>
          <w:marRight w:val="0"/>
          <w:marTop w:val="0"/>
          <w:marBottom w:val="0"/>
          <w:divBdr>
            <w:top w:val="none" w:sz="0" w:space="0" w:color="auto"/>
            <w:left w:val="none" w:sz="0" w:space="0" w:color="auto"/>
            <w:bottom w:val="none" w:sz="0" w:space="0" w:color="auto"/>
            <w:right w:val="none" w:sz="0" w:space="0" w:color="auto"/>
          </w:divBdr>
        </w:div>
        <w:div w:id="1775176466">
          <w:marLeft w:val="0"/>
          <w:marRight w:val="0"/>
          <w:marTop w:val="0"/>
          <w:marBottom w:val="0"/>
          <w:divBdr>
            <w:top w:val="none" w:sz="0" w:space="0" w:color="auto"/>
            <w:left w:val="none" w:sz="0" w:space="0" w:color="auto"/>
            <w:bottom w:val="none" w:sz="0" w:space="0" w:color="auto"/>
            <w:right w:val="none" w:sz="0" w:space="0" w:color="auto"/>
          </w:divBdr>
        </w:div>
        <w:div w:id="1225600483">
          <w:marLeft w:val="0"/>
          <w:marRight w:val="0"/>
          <w:marTop w:val="0"/>
          <w:marBottom w:val="0"/>
          <w:divBdr>
            <w:top w:val="none" w:sz="0" w:space="0" w:color="auto"/>
            <w:left w:val="none" w:sz="0" w:space="0" w:color="auto"/>
            <w:bottom w:val="none" w:sz="0" w:space="0" w:color="auto"/>
            <w:right w:val="none" w:sz="0" w:space="0" w:color="auto"/>
          </w:divBdr>
        </w:div>
        <w:div w:id="1793282104">
          <w:marLeft w:val="0"/>
          <w:marRight w:val="0"/>
          <w:marTop w:val="0"/>
          <w:marBottom w:val="0"/>
          <w:divBdr>
            <w:top w:val="none" w:sz="0" w:space="0" w:color="auto"/>
            <w:left w:val="none" w:sz="0" w:space="0" w:color="auto"/>
            <w:bottom w:val="none" w:sz="0" w:space="0" w:color="auto"/>
            <w:right w:val="none" w:sz="0" w:space="0" w:color="auto"/>
          </w:divBdr>
        </w:div>
        <w:div w:id="103354521">
          <w:marLeft w:val="0"/>
          <w:marRight w:val="0"/>
          <w:marTop w:val="0"/>
          <w:marBottom w:val="0"/>
          <w:divBdr>
            <w:top w:val="none" w:sz="0" w:space="0" w:color="auto"/>
            <w:left w:val="none" w:sz="0" w:space="0" w:color="auto"/>
            <w:bottom w:val="none" w:sz="0" w:space="0" w:color="auto"/>
            <w:right w:val="none" w:sz="0" w:space="0" w:color="auto"/>
          </w:divBdr>
        </w:div>
        <w:div w:id="1040862214">
          <w:marLeft w:val="0"/>
          <w:marRight w:val="0"/>
          <w:marTop w:val="0"/>
          <w:marBottom w:val="0"/>
          <w:divBdr>
            <w:top w:val="none" w:sz="0" w:space="0" w:color="auto"/>
            <w:left w:val="none" w:sz="0" w:space="0" w:color="auto"/>
            <w:bottom w:val="none" w:sz="0" w:space="0" w:color="auto"/>
            <w:right w:val="none" w:sz="0" w:space="0" w:color="auto"/>
          </w:divBdr>
        </w:div>
        <w:div w:id="483358211">
          <w:marLeft w:val="0"/>
          <w:marRight w:val="0"/>
          <w:marTop w:val="0"/>
          <w:marBottom w:val="0"/>
          <w:divBdr>
            <w:top w:val="none" w:sz="0" w:space="0" w:color="auto"/>
            <w:left w:val="none" w:sz="0" w:space="0" w:color="auto"/>
            <w:bottom w:val="none" w:sz="0" w:space="0" w:color="auto"/>
            <w:right w:val="none" w:sz="0" w:space="0" w:color="auto"/>
          </w:divBdr>
        </w:div>
        <w:div w:id="79572739">
          <w:marLeft w:val="0"/>
          <w:marRight w:val="0"/>
          <w:marTop w:val="0"/>
          <w:marBottom w:val="0"/>
          <w:divBdr>
            <w:top w:val="none" w:sz="0" w:space="0" w:color="auto"/>
            <w:left w:val="none" w:sz="0" w:space="0" w:color="auto"/>
            <w:bottom w:val="none" w:sz="0" w:space="0" w:color="auto"/>
            <w:right w:val="none" w:sz="0" w:space="0" w:color="auto"/>
          </w:divBdr>
        </w:div>
        <w:div w:id="422653486">
          <w:marLeft w:val="0"/>
          <w:marRight w:val="0"/>
          <w:marTop w:val="0"/>
          <w:marBottom w:val="0"/>
          <w:divBdr>
            <w:top w:val="none" w:sz="0" w:space="0" w:color="auto"/>
            <w:left w:val="none" w:sz="0" w:space="0" w:color="auto"/>
            <w:bottom w:val="none" w:sz="0" w:space="0" w:color="auto"/>
            <w:right w:val="none" w:sz="0" w:space="0" w:color="auto"/>
          </w:divBdr>
        </w:div>
        <w:div w:id="685643459">
          <w:marLeft w:val="0"/>
          <w:marRight w:val="0"/>
          <w:marTop w:val="0"/>
          <w:marBottom w:val="0"/>
          <w:divBdr>
            <w:top w:val="none" w:sz="0" w:space="0" w:color="auto"/>
            <w:left w:val="none" w:sz="0" w:space="0" w:color="auto"/>
            <w:bottom w:val="none" w:sz="0" w:space="0" w:color="auto"/>
            <w:right w:val="none" w:sz="0" w:space="0" w:color="auto"/>
          </w:divBdr>
        </w:div>
        <w:div w:id="1458178684">
          <w:marLeft w:val="0"/>
          <w:marRight w:val="0"/>
          <w:marTop w:val="0"/>
          <w:marBottom w:val="0"/>
          <w:divBdr>
            <w:top w:val="none" w:sz="0" w:space="0" w:color="auto"/>
            <w:left w:val="none" w:sz="0" w:space="0" w:color="auto"/>
            <w:bottom w:val="none" w:sz="0" w:space="0" w:color="auto"/>
            <w:right w:val="none" w:sz="0" w:space="0" w:color="auto"/>
          </w:divBdr>
        </w:div>
        <w:div w:id="990600360">
          <w:marLeft w:val="0"/>
          <w:marRight w:val="0"/>
          <w:marTop w:val="0"/>
          <w:marBottom w:val="0"/>
          <w:divBdr>
            <w:top w:val="none" w:sz="0" w:space="0" w:color="auto"/>
            <w:left w:val="none" w:sz="0" w:space="0" w:color="auto"/>
            <w:bottom w:val="none" w:sz="0" w:space="0" w:color="auto"/>
            <w:right w:val="none" w:sz="0" w:space="0" w:color="auto"/>
          </w:divBdr>
        </w:div>
      </w:divsChild>
    </w:div>
    <w:div w:id="923487789">
      <w:bodyDiv w:val="1"/>
      <w:marLeft w:val="0"/>
      <w:marRight w:val="0"/>
      <w:marTop w:val="0"/>
      <w:marBottom w:val="0"/>
      <w:divBdr>
        <w:top w:val="none" w:sz="0" w:space="0" w:color="auto"/>
        <w:left w:val="none" w:sz="0" w:space="0" w:color="auto"/>
        <w:bottom w:val="none" w:sz="0" w:space="0" w:color="auto"/>
        <w:right w:val="none" w:sz="0" w:space="0" w:color="auto"/>
      </w:divBdr>
      <w:divsChild>
        <w:div w:id="65614087">
          <w:marLeft w:val="0"/>
          <w:marRight w:val="0"/>
          <w:marTop w:val="0"/>
          <w:marBottom w:val="0"/>
          <w:divBdr>
            <w:top w:val="none" w:sz="0" w:space="0" w:color="auto"/>
            <w:left w:val="none" w:sz="0" w:space="0" w:color="auto"/>
            <w:bottom w:val="none" w:sz="0" w:space="0" w:color="auto"/>
            <w:right w:val="none" w:sz="0" w:space="0" w:color="auto"/>
          </w:divBdr>
        </w:div>
        <w:div w:id="1576626004">
          <w:marLeft w:val="0"/>
          <w:marRight w:val="0"/>
          <w:marTop w:val="0"/>
          <w:marBottom w:val="0"/>
          <w:divBdr>
            <w:top w:val="none" w:sz="0" w:space="0" w:color="auto"/>
            <w:left w:val="none" w:sz="0" w:space="0" w:color="auto"/>
            <w:bottom w:val="none" w:sz="0" w:space="0" w:color="auto"/>
            <w:right w:val="none" w:sz="0" w:space="0" w:color="auto"/>
          </w:divBdr>
        </w:div>
      </w:divsChild>
    </w:div>
    <w:div w:id="975642957">
      <w:bodyDiv w:val="1"/>
      <w:marLeft w:val="0"/>
      <w:marRight w:val="0"/>
      <w:marTop w:val="0"/>
      <w:marBottom w:val="0"/>
      <w:divBdr>
        <w:top w:val="none" w:sz="0" w:space="0" w:color="auto"/>
        <w:left w:val="none" w:sz="0" w:space="0" w:color="auto"/>
        <w:bottom w:val="none" w:sz="0" w:space="0" w:color="auto"/>
        <w:right w:val="none" w:sz="0" w:space="0" w:color="auto"/>
      </w:divBdr>
      <w:divsChild>
        <w:div w:id="1945723795">
          <w:marLeft w:val="0"/>
          <w:marRight w:val="0"/>
          <w:marTop w:val="0"/>
          <w:marBottom w:val="0"/>
          <w:divBdr>
            <w:top w:val="none" w:sz="0" w:space="0" w:color="auto"/>
            <w:left w:val="none" w:sz="0" w:space="0" w:color="auto"/>
            <w:bottom w:val="none" w:sz="0" w:space="0" w:color="auto"/>
            <w:right w:val="none" w:sz="0" w:space="0" w:color="auto"/>
          </w:divBdr>
        </w:div>
        <w:div w:id="888491759">
          <w:marLeft w:val="0"/>
          <w:marRight w:val="0"/>
          <w:marTop w:val="0"/>
          <w:marBottom w:val="0"/>
          <w:divBdr>
            <w:top w:val="none" w:sz="0" w:space="0" w:color="auto"/>
            <w:left w:val="none" w:sz="0" w:space="0" w:color="auto"/>
            <w:bottom w:val="none" w:sz="0" w:space="0" w:color="auto"/>
            <w:right w:val="none" w:sz="0" w:space="0" w:color="auto"/>
          </w:divBdr>
        </w:div>
        <w:div w:id="951087405">
          <w:marLeft w:val="0"/>
          <w:marRight w:val="0"/>
          <w:marTop w:val="0"/>
          <w:marBottom w:val="0"/>
          <w:divBdr>
            <w:top w:val="none" w:sz="0" w:space="0" w:color="auto"/>
            <w:left w:val="none" w:sz="0" w:space="0" w:color="auto"/>
            <w:bottom w:val="none" w:sz="0" w:space="0" w:color="auto"/>
            <w:right w:val="none" w:sz="0" w:space="0" w:color="auto"/>
          </w:divBdr>
        </w:div>
        <w:div w:id="2069067221">
          <w:marLeft w:val="0"/>
          <w:marRight w:val="0"/>
          <w:marTop w:val="0"/>
          <w:marBottom w:val="0"/>
          <w:divBdr>
            <w:top w:val="none" w:sz="0" w:space="0" w:color="auto"/>
            <w:left w:val="none" w:sz="0" w:space="0" w:color="auto"/>
            <w:bottom w:val="none" w:sz="0" w:space="0" w:color="auto"/>
            <w:right w:val="none" w:sz="0" w:space="0" w:color="auto"/>
          </w:divBdr>
        </w:div>
        <w:div w:id="300621564">
          <w:marLeft w:val="0"/>
          <w:marRight w:val="0"/>
          <w:marTop w:val="0"/>
          <w:marBottom w:val="0"/>
          <w:divBdr>
            <w:top w:val="none" w:sz="0" w:space="0" w:color="auto"/>
            <w:left w:val="none" w:sz="0" w:space="0" w:color="auto"/>
            <w:bottom w:val="none" w:sz="0" w:space="0" w:color="auto"/>
            <w:right w:val="none" w:sz="0" w:space="0" w:color="auto"/>
          </w:divBdr>
        </w:div>
        <w:div w:id="761992310">
          <w:marLeft w:val="0"/>
          <w:marRight w:val="0"/>
          <w:marTop w:val="0"/>
          <w:marBottom w:val="0"/>
          <w:divBdr>
            <w:top w:val="none" w:sz="0" w:space="0" w:color="auto"/>
            <w:left w:val="none" w:sz="0" w:space="0" w:color="auto"/>
            <w:bottom w:val="none" w:sz="0" w:space="0" w:color="auto"/>
            <w:right w:val="none" w:sz="0" w:space="0" w:color="auto"/>
          </w:divBdr>
        </w:div>
        <w:div w:id="1888645758">
          <w:marLeft w:val="0"/>
          <w:marRight w:val="0"/>
          <w:marTop w:val="0"/>
          <w:marBottom w:val="0"/>
          <w:divBdr>
            <w:top w:val="none" w:sz="0" w:space="0" w:color="auto"/>
            <w:left w:val="none" w:sz="0" w:space="0" w:color="auto"/>
            <w:bottom w:val="none" w:sz="0" w:space="0" w:color="auto"/>
            <w:right w:val="none" w:sz="0" w:space="0" w:color="auto"/>
          </w:divBdr>
        </w:div>
        <w:div w:id="1868712039">
          <w:marLeft w:val="0"/>
          <w:marRight w:val="0"/>
          <w:marTop w:val="0"/>
          <w:marBottom w:val="0"/>
          <w:divBdr>
            <w:top w:val="none" w:sz="0" w:space="0" w:color="auto"/>
            <w:left w:val="none" w:sz="0" w:space="0" w:color="auto"/>
            <w:bottom w:val="none" w:sz="0" w:space="0" w:color="auto"/>
            <w:right w:val="none" w:sz="0" w:space="0" w:color="auto"/>
          </w:divBdr>
        </w:div>
        <w:div w:id="868641586">
          <w:marLeft w:val="0"/>
          <w:marRight w:val="0"/>
          <w:marTop w:val="0"/>
          <w:marBottom w:val="0"/>
          <w:divBdr>
            <w:top w:val="none" w:sz="0" w:space="0" w:color="auto"/>
            <w:left w:val="none" w:sz="0" w:space="0" w:color="auto"/>
            <w:bottom w:val="none" w:sz="0" w:space="0" w:color="auto"/>
            <w:right w:val="none" w:sz="0" w:space="0" w:color="auto"/>
          </w:divBdr>
        </w:div>
        <w:div w:id="394478144">
          <w:marLeft w:val="0"/>
          <w:marRight w:val="0"/>
          <w:marTop w:val="0"/>
          <w:marBottom w:val="0"/>
          <w:divBdr>
            <w:top w:val="none" w:sz="0" w:space="0" w:color="auto"/>
            <w:left w:val="none" w:sz="0" w:space="0" w:color="auto"/>
            <w:bottom w:val="none" w:sz="0" w:space="0" w:color="auto"/>
            <w:right w:val="none" w:sz="0" w:space="0" w:color="auto"/>
          </w:divBdr>
        </w:div>
        <w:div w:id="596257378">
          <w:marLeft w:val="0"/>
          <w:marRight w:val="0"/>
          <w:marTop w:val="0"/>
          <w:marBottom w:val="0"/>
          <w:divBdr>
            <w:top w:val="none" w:sz="0" w:space="0" w:color="auto"/>
            <w:left w:val="none" w:sz="0" w:space="0" w:color="auto"/>
            <w:bottom w:val="none" w:sz="0" w:space="0" w:color="auto"/>
            <w:right w:val="none" w:sz="0" w:space="0" w:color="auto"/>
          </w:divBdr>
        </w:div>
        <w:div w:id="210193562">
          <w:marLeft w:val="0"/>
          <w:marRight w:val="0"/>
          <w:marTop w:val="0"/>
          <w:marBottom w:val="0"/>
          <w:divBdr>
            <w:top w:val="none" w:sz="0" w:space="0" w:color="auto"/>
            <w:left w:val="none" w:sz="0" w:space="0" w:color="auto"/>
            <w:bottom w:val="none" w:sz="0" w:space="0" w:color="auto"/>
            <w:right w:val="none" w:sz="0" w:space="0" w:color="auto"/>
          </w:divBdr>
        </w:div>
        <w:div w:id="1436483824">
          <w:marLeft w:val="0"/>
          <w:marRight w:val="0"/>
          <w:marTop w:val="0"/>
          <w:marBottom w:val="0"/>
          <w:divBdr>
            <w:top w:val="none" w:sz="0" w:space="0" w:color="auto"/>
            <w:left w:val="none" w:sz="0" w:space="0" w:color="auto"/>
            <w:bottom w:val="none" w:sz="0" w:space="0" w:color="auto"/>
            <w:right w:val="none" w:sz="0" w:space="0" w:color="auto"/>
          </w:divBdr>
        </w:div>
        <w:div w:id="1855224881">
          <w:marLeft w:val="0"/>
          <w:marRight w:val="0"/>
          <w:marTop w:val="0"/>
          <w:marBottom w:val="0"/>
          <w:divBdr>
            <w:top w:val="none" w:sz="0" w:space="0" w:color="auto"/>
            <w:left w:val="none" w:sz="0" w:space="0" w:color="auto"/>
            <w:bottom w:val="none" w:sz="0" w:space="0" w:color="auto"/>
            <w:right w:val="none" w:sz="0" w:space="0" w:color="auto"/>
          </w:divBdr>
        </w:div>
        <w:div w:id="358942524">
          <w:marLeft w:val="0"/>
          <w:marRight w:val="0"/>
          <w:marTop w:val="0"/>
          <w:marBottom w:val="0"/>
          <w:divBdr>
            <w:top w:val="none" w:sz="0" w:space="0" w:color="auto"/>
            <w:left w:val="none" w:sz="0" w:space="0" w:color="auto"/>
            <w:bottom w:val="none" w:sz="0" w:space="0" w:color="auto"/>
            <w:right w:val="none" w:sz="0" w:space="0" w:color="auto"/>
          </w:divBdr>
        </w:div>
        <w:div w:id="326250926">
          <w:marLeft w:val="0"/>
          <w:marRight w:val="0"/>
          <w:marTop w:val="0"/>
          <w:marBottom w:val="0"/>
          <w:divBdr>
            <w:top w:val="none" w:sz="0" w:space="0" w:color="auto"/>
            <w:left w:val="none" w:sz="0" w:space="0" w:color="auto"/>
            <w:bottom w:val="none" w:sz="0" w:space="0" w:color="auto"/>
            <w:right w:val="none" w:sz="0" w:space="0" w:color="auto"/>
          </w:divBdr>
        </w:div>
        <w:div w:id="1754426454">
          <w:marLeft w:val="0"/>
          <w:marRight w:val="0"/>
          <w:marTop w:val="0"/>
          <w:marBottom w:val="0"/>
          <w:divBdr>
            <w:top w:val="none" w:sz="0" w:space="0" w:color="auto"/>
            <w:left w:val="none" w:sz="0" w:space="0" w:color="auto"/>
            <w:bottom w:val="none" w:sz="0" w:space="0" w:color="auto"/>
            <w:right w:val="none" w:sz="0" w:space="0" w:color="auto"/>
          </w:divBdr>
        </w:div>
        <w:div w:id="1019624469">
          <w:marLeft w:val="0"/>
          <w:marRight w:val="0"/>
          <w:marTop w:val="0"/>
          <w:marBottom w:val="0"/>
          <w:divBdr>
            <w:top w:val="none" w:sz="0" w:space="0" w:color="auto"/>
            <w:left w:val="none" w:sz="0" w:space="0" w:color="auto"/>
            <w:bottom w:val="none" w:sz="0" w:space="0" w:color="auto"/>
            <w:right w:val="none" w:sz="0" w:space="0" w:color="auto"/>
          </w:divBdr>
        </w:div>
        <w:div w:id="136923704">
          <w:marLeft w:val="0"/>
          <w:marRight w:val="0"/>
          <w:marTop w:val="0"/>
          <w:marBottom w:val="0"/>
          <w:divBdr>
            <w:top w:val="none" w:sz="0" w:space="0" w:color="auto"/>
            <w:left w:val="none" w:sz="0" w:space="0" w:color="auto"/>
            <w:bottom w:val="none" w:sz="0" w:space="0" w:color="auto"/>
            <w:right w:val="none" w:sz="0" w:space="0" w:color="auto"/>
          </w:divBdr>
        </w:div>
        <w:div w:id="1423182890">
          <w:marLeft w:val="0"/>
          <w:marRight w:val="0"/>
          <w:marTop w:val="0"/>
          <w:marBottom w:val="0"/>
          <w:divBdr>
            <w:top w:val="none" w:sz="0" w:space="0" w:color="auto"/>
            <w:left w:val="none" w:sz="0" w:space="0" w:color="auto"/>
            <w:bottom w:val="none" w:sz="0" w:space="0" w:color="auto"/>
            <w:right w:val="none" w:sz="0" w:space="0" w:color="auto"/>
          </w:divBdr>
        </w:div>
        <w:div w:id="926309988">
          <w:marLeft w:val="0"/>
          <w:marRight w:val="0"/>
          <w:marTop w:val="0"/>
          <w:marBottom w:val="0"/>
          <w:divBdr>
            <w:top w:val="none" w:sz="0" w:space="0" w:color="auto"/>
            <w:left w:val="none" w:sz="0" w:space="0" w:color="auto"/>
            <w:bottom w:val="none" w:sz="0" w:space="0" w:color="auto"/>
            <w:right w:val="none" w:sz="0" w:space="0" w:color="auto"/>
          </w:divBdr>
        </w:div>
        <w:div w:id="1093092387">
          <w:marLeft w:val="0"/>
          <w:marRight w:val="0"/>
          <w:marTop w:val="0"/>
          <w:marBottom w:val="0"/>
          <w:divBdr>
            <w:top w:val="none" w:sz="0" w:space="0" w:color="auto"/>
            <w:left w:val="none" w:sz="0" w:space="0" w:color="auto"/>
            <w:bottom w:val="none" w:sz="0" w:space="0" w:color="auto"/>
            <w:right w:val="none" w:sz="0" w:space="0" w:color="auto"/>
          </w:divBdr>
        </w:div>
        <w:div w:id="128327835">
          <w:marLeft w:val="0"/>
          <w:marRight w:val="0"/>
          <w:marTop w:val="0"/>
          <w:marBottom w:val="0"/>
          <w:divBdr>
            <w:top w:val="none" w:sz="0" w:space="0" w:color="auto"/>
            <w:left w:val="none" w:sz="0" w:space="0" w:color="auto"/>
            <w:bottom w:val="none" w:sz="0" w:space="0" w:color="auto"/>
            <w:right w:val="none" w:sz="0" w:space="0" w:color="auto"/>
          </w:divBdr>
        </w:div>
        <w:div w:id="1946694777">
          <w:marLeft w:val="0"/>
          <w:marRight w:val="0"/>
          <w:marTop w:val="0"/>
          <w:marBottom w:val="0"/>
          <w:divBdr>
            <w:top w:val="none" w:sz="0" w:space="0" w:color="auto"/>
            <w:left w:val="none" w:sz="0" w:space="0" w:color="auto"/>
            <w:bottom w:val="none" w:sz="0" w:space="0" w:color="auto"/>
            <w:right w:val="none" w:sz="0" w:space="0" w:color="auto"/>
          </w:divBdr>
        </w:div>
        <w:div w:id="446706526">
          <w:marLeft w:val="0"/>
          <w:marRight w:val="0"/>
          <w:marTop w:val="0"/>
          <w:marBottom w:val="0"/>
          <w:divBdr>
            <w:top w:val="none" w:sz="0" w:space="0" w:color="auto"/>
            <w:left w:val="none" w:sz="0" w:space="0" w:color="auto"/>
            <w:bottom w:val="none" w:sz="0" w:space="0" w:color="auto"/>
            <w:right w:val="none" w:sz="0" w:space="0" w:color="auto"/>
          </w:divBdr>
        </w:div>
        <w:div w:id="879130380">
          <w:marLeft w:val="0"/>
          <w:marRight w:val="0"/>
          <w:marTop w:val="0"/>
          <w:marBottom w:val="0"/>
          <w:divBdr>
            <w:top w:val="none" w:sz="0" w:space="0" w:color="auto"/>
            <w:left w:val="none" w:sz="0" w:space="0" w:color="auto"/>
            <w:bottom w:val="none" w:sz="0" w:space="0" w:color="auto"/>
            <w:right w:val="none" w:sz="0" w:space="0" w:color="auto"/>
          </w:divBdr>
        </w:div>
        <w:div w:id="991980624">
          <w:marLeft w:val="0"/>
          <w:marRight w:val="0"/>
          <w:marTop w:val="0"/>
          <w:marBottom w:val="0"/>
          <w:divBdr>
            <w:top w:val="none" w:sz="0" w:space="0" w:color="auto"/>
            <w:left w:val="none" w:sz="0" w:space="0" w:color="auto"/>
            <w:bottom w:val="none" w:sz="0" w:space="0" w:color="auto"/>
            <w:right w:val="none" w:sz="0" w:space="0" w:color="auto"/>
          </w:divBdr>
        </w:div>
        <w:div w:id="1875996393">
          <w:marLeft w:val="0"/>
          <w:marRight w:val="0"/>
          <w:marTop w:val="0"/>
          <w:marBottom w:val="0"/>
          <w:divBdr>
            <w:top w:val="none" w:sz="0" w:space="0" w:color="auto"/>
            <w:left w:val="none" w:sz="0" w:space="0" w:color="auto"/>
            <w:bottom w:val="none" w:sz="0" w:space="0" w:color="auto"/>
            <w:right w:val="none" w:sz="0" w:space="0" w:color="auto"/>
          </w:divBdr>
        </w:div>
        <w:div w:id="164635732">
          <w:marLeft w:val="0"/>
          <w:marRight w:val="0"/>
          <w:marTop w:val="0"/>
          <w:marBottom w:val="0"/>
          <w:divBdr>
            <w:top w:val="none" w:sz="0" w:space="0" w:color="auto"/>
            <w:left w:val="none" w:sz="0" w:space="0" w:color="auto"/>
            <w:bottom w:val="none" w:sz="0" w:space="0" w:color="auto"/>
            <w:right w:val="none" w:sz="0" w:space="0" w:color="auto"/>
          </w:divBdr>
        </w:div>
        <w:div w:id="1008872470">
          <w:marLeft w:val="0"/>
          <w:marRight w:val="0"/>
          <w:marTop w:val="0"/>
          <w:marBottom w:val="0"/>
          <w:divBdr>
            <w:top w:val="none" w:sz="0" w:space="0" w:color="auto"/>
            <w:left w:val="none" w:sz="0" w:space="0" w:color="auto"/>
            <w:bottom w:val="none" w:sz="0" w:space="0" w:color="auto"/>
            <w:right w:val="none" w:sz="0" w:space="0" w:color="auto"/>
          </w:divBdr>
        </w:div>
        <w:div w:id="1665622928">
          <w:marLeft w:val="0"/>
          <w:marRight w:val="0"/>
          <w:marTop w:val="0"/>
          <w:marBottom w:val="0"/>
          <w:divBdr>
            <w:top w:val="none" w:sz="0" w:space="0" w:color="auto"/>
            <w:left w:val="none" w:sz="0" w:space="0" w:color="auto"/>
            <w:bottom w:val="none" w:sz="0" w:space="0" w:color="auto"/>
            <w:right w:val="none" w:sz="0" w:space="0" w:color="auto"/>
          </w:divBdr>
        </w:div>
        <w:div w:id="560751983">
          <w:marLeft w:val="0"/>
          <w:marRight w:val="0"/>
          <w:marTop w:val="0"/>
          <w:marBottom w:val="0"/>
          <w:divBdr>
            <w:top w:val="none" w:sz="0" w:space="0" w:color="auto"/>
            <w:left w:val="none" w:sz="0" w:space="0" w:color="auto"/>
            <w:bottom w:val="none" w:sz="0" w:space="0" w:color="auto"/>
            <w:right w:val="none" w:sz="0" w:space="0" w:color="auto"/>
          </w:divBdr>
        </w:div>
        <w:div w:id="2022587087">
          <w:marLeft w:val="0"/>
          <w:marRight w:val="0"/>
          <w:marTop w:val="0"/>
          <w:marBottom w:val="0"/>
          <w:divBdr>
            <w:top w:val="none" w:sz="0" w:space="0" w:color="auto"/>
            <w:left w:val="none" w:sz="0" w:space="0" w:color="auto"/>
            <w:bottom w:val="none" w:sz="0" w:space="0" w:color="auto"/>
            <w:right w:val="none" w:sz="0" w:space="0" w:color="auto"/>
          </w:divBdr>
        </w:div>
        <w:div w:id="944001396">
          <w:marLeft w:val="0"/>
          <w:marRight w:val="0"/>
          <w:marTop w:val="0"/>
          <w:marBottom w:val="0"/>
          <w:divBdr>
            <w:top w:val="none" w:sz="0" w:space="0" w:color="auto"/>
            <w:left w:val="none" w:sz="0" w:space="0" w:color="auto"/>
            <w:bottom w:val="none" w:sz="0" w:space="0" w:color="auto"/>
            <w:right w:val="none" w:sz="0" w:space="0" w:color="auto"/>
          </w:divBdr>
        </w:div>
        <w:div w:id="2118720259">
          <w:marLeft w:val="0"/>
          <w:marRight w:val="0"/>
          <w:marTop w:val="0"/>
          <w:marBottom w:val="0"/>
          <w:divBdr>
            <w:top w:val="none" w:sz="0" w:space="0" w:color="auto"/>
            <w:left w:val="none" w:sz="0" w:space="0" w:color="auto"/>
            <w:bottom w:val="none" w:sz="0" w:space="0" w:color="auto"/>
            <w:right w:val="none" w:sz="0" w:space="0" w:color="auto"/>
          </w:divBdr>
        </w:div>
        <w:div w:id="1265771289">
          <w:marLeft w:val="0"/>
          <w:marRight w:val="0"/>
          <w:marTop w:val="0"/>
          <w:marBottom w:val="0"/>
          <w:divBdr>
            <w:top w:val="none" w:sz="0" w:space="0" w:color="auto"/>
            <w:left w:val="none" w:sz="0" w:space="0" w:color="auto"/>
            <w:bottom w:val="none" w:sz="0" w:space="0" w:color="auto"/>
            <w:right w:val="none" w:sz="0" w:space="0" w:color="auto"/>
          </w:divBdr>
        </w:div>
        <w:div w:id="2144420418">
          <w:marLeft w:val="0"/>
          <w:marRight w:val="0"/>
          <w:marTop w:val="0"/>
          <w:marBottom w:val="0"/>
          <w:divBdr>
            <w:top w:val="none" w:sz="0" w:space="0" w:color="auto"/>
            <w:left w:val="none" w:sz="0" w:space="0" w:color="auto"/>
            <w:bottom w:val="none" w:sz="0" w:space="0" w:color="auto"/>
            <w:right w:val="none" w:sz="0" w:space="0" w:color="auto"/>
          </w:divBdr>
        </w:div>
        <w:div w:id="1990478174">
          <w:marLeft w:val="0"/>
          <w:marRight w:val="0"/>
          <w:marTop w:val="0"/>
          <w:marBottom w:val="0"/>
          <w:divBdr>
            <w:top w:val="none" w:sz="0" w:space="0" w:color="auto"/>
            <w:left w:val="none" w:sz="0" w:space="0" w:color="auto"/>
            <w:bottom w:val="none" w:sz="0" w:space="0" w:color="auto"/>
            <w:right w:val="none" w:sz="0" w:space="0" w:color="auto"/>
          </w:divBdr>
        </w:div>
        <w:div w:id="1207448606">
          <w:marLeft w:val="0"/>
          <w:marRight w:val="0"/>
          <w:marTop w:val="0"/>
          <w:marBottom w:val="0"/>
          <w:divBdr>
            <w:top w:val="none" w:sz="0" w:space="0" w:color="auto"/>
            <w:left w:val="none" w:sz="0" w:space="0" w:color="auto"/>
            <w:bottom w:val="none" w:sz="0" w:space="0" w:color="auto"/>
            <w:right w:val="none" w:sz="0" w:space="0" w:color="auto"/>
          </w:divBdr>
        </w:div>
        <w:div w:id="2075540529">
          <w:marLeft w:val="0"/>
          <w:marRight w:val="0"/>
          <w:marTop w:val="0"/>
          <w:marBottom w:val="0"/>
          <w:divBdr>
            <w:top w:val="none" w:sz="0" w:space="0" w:color="auto"/>
            <w:left w:val="none" w:sz="0" w:space="0" w:color="auto"/>
            <w:bottom w:val="none" w:sz="0" w:space="0" w:color="auto"/>
            <w:right w:val="none" w:sz="0" w:space="0" w:color="auto"/>
          </w:divBdr>
        </w:div>
      </w:divsChild>
    </w:div>
    <w:div w:id="982544193">
      <w:bodyDiv w:val="1"/>
      <w:marLeft w:val="0"/>
      <w:marRight w:val="0"/>
      <w:marTop w:val="0"/>
      <w:marBottom w:val="0"/>
      <w:divBdr>
        <w:top w:val="none" w:sz="0" w:space="0" w:color="auto"/>
        <w:left w:val="none" w:sz="0" w:space="0" w:color="auto"/>
        <w:bottom w:val="none" w:sz="0" w:space="0" w:color="auto"/>
        <w:right w:val="none" w:sz="0" w:space="0" w:color="auto"/>
      </w:divBdr>
      <w:divsChild>
        <w:div w:id="1468015412">
          <w:marLeft w:val="0"/>
          <w:marRight w:val="0"/>
          <w:marTop w:val="0"/>
          <w:marBottom w:val="0"/>
          <w:divBdr>
            <w:top w:val="none" w:sz="0" w:space="0" w:color="auto"/>
            <w:left w:val="none" w:sz="0" w:space="0" w:color="auto"/>
            <w:bottom w:val="none" w:sz="0" w:space="0" w:color="auto"/>
            <w:right w:val="none" w:sz="0" w:space="0" w:color="auto"/>
          </w:divBdr>
        </w:div>
        <w:div w:id="581914580">
          <w:marLeft w:val="0"/>
          <w:marRight w:val="0"/>
          <w:marTop w:val="0"/>
          <w:marBottom w:val="0"/>
          <w:divBdr>
            <w:top w:val="none" w:sz="0" w:space="0" w:color="auto"/>
            <w:left w:val="none" w:sz="0" w:space="0" w:color="auto"/>
            <w:bottom w:val="none" w:sz="0" w:space="0" w:color="auto"/>
            <w:right w:val="none" w:sz="0" w:space="0" w:color="auto"/>
          </w:divBdr>
        </w:div>
        <w:div w:id="500659655">
          <w:marLeft w:val="0"/>
          <w:marRight w:val="0"/>
          <w:marTop w:val="0"/>
          <w:marBottom w:val="0"/>
          <w:divBdr>
            <w:top w:val="none" w:sz="0" w:space="0" w:color="auto"/>
            <w:left w:val="none" w:sz="0" w:space="0" w:color="auto"/>
            <w:bottom w:val="none" w:sz="0" w:space="0" w:color="auto"/>
            <w:right w:val="none" w:sz="0" w:space="0" w:color="auto"/>
          </w:divBdr>
        </w:div>
        <w:div w:id="2037850391">
          <w:marLeft w:val="0"/>
          <w:marRight w:val="0"/>
          <w:marTop w:val="0"/>
          <w:marBottom w:val="0"/>
          <w:divBdr>
            <w:top w:val="none" w:sz="0" w:space="0" w:color="auto"/>
            <w:left w:val="none" w:sz="0" w:space="0" w:color="auto"/>
            <w:bottom w:val="none" w:sz="0" w:space="0" w:color="auto"/>
            <w:right w:val="none" w:sz="0" w:space="0" w:color="auto"/>
          </w:divBdr>
        </w:div>
        <w:div w:id="102766640">
          <w:marLeft w:val="0"/>
          <w:marRight w:val="0"/>
          <w:marTop w:val="0"/>
          <w:marBottom w:val="0"/>
          <w:divBdr>
            <w:top w:val="none" w:sz="0" w:space="0" w:color="auto"/>
            <w:left w:val="none" w:sz="0" w:space="0" w:color="auto"/>
            <w:bottom w:val="none" w:sz="0" w:space="0" w:color="auto"/>
            <w:right w:val="none" w:sz="0" w:space="0" w:color="auto"/>
          </w:divBdr>
        </w:div>
        <w:div w:id="1994721964">
          <w:marLeft w:val="0"/>
          <w:marRight w:val="0"/>
          <w:marTop w:val="0"/>
          <w:marBottom w:val="0"/>
          <w:divBdr>
            <w:top w:val="none" w:sz="0" w:space="0" w:color="auto"/>
            <w:left w:val="none" w:sz="0" w:space="0" w:color="auto"/>
            <w:bottom w:val="none" w:sz="0" w:space="0" w:color="auto"/>
            <w:right w:val="none" w:sz="0" w:space="0" w:color="auto"/>
          </w:divBdr>
        </w:div>
        <w:div w:id="1838567781">
          <w:marLeft w:val="0"/>
          <w:marRight w:val="0"/>
          <w:marTop w:val="0"/>
          <w:marBottom w:val="0"/>
          <w:divBdr>
            <w:top w:val="none" w:sz="0" w:space="0" w:color="auto"/>
            <w:left w:val="none" w:sz="0" w:space="0" w:color="auto"/>
            <w:bottom w:val="none" w:sz="0" w:space="0" w:color="auto"/>
            <w:right w:val="none" w:sz="0" w:space="0" w:color="auto"/>
          </w:divBdr>
        </w:div>
      </w:divsChild>
    </w:div>
    <w:div w:id="1053238603">
      <w:bodyDiv w:val="1"/>
      <w:marLeft w:val="0"/>
      <w:marRight w:val="0"/>
      <w:marTop w:val="0"/>
      <w:marBottom w:val="0"/>
      <w:divBdr>
        <w:top w:val="none" w:sz="0" w:space="0" w:color="auto"/>
        <w:left w:val="none" w:sz="0" w:space="0" w:color="auto"/>
        <w:bottom w:val="none" w:sz="0" w:space="0" w:color="auto"/>
        <w:right w:val="none" w:sz="0" w:space="0" w:color="auto"/>
      </w:divBdr>
      <w:divsChild>
        <w:div w:id="1508867987">
          <w:marLeft w:val="0"/>
          <w:marRight w:val="0"/>
          <w:marTop w:val="0"/>
          <w:marBottom w:val="0"/>
          <w:divBdr>
            <w:top w:val="none" w:sz="0" w:space="0" w:color="auto"/>
            <w:left w:val="none" w:sz="0" w:space="0" w:color="auto"/>
            <w:bottom w:val="none" w:sz="0" w:space="0" w:color="auto"/>
            <w:right w:val="none" w:sz="0" w:space="0" w:color="auto"/>
          </w:divBdr>
        </w:div>
        <w:div w:id="1669139999">
          <w:marLeft w:val="0"/>
          <w:marRight w:val="0"/>
          <w:marTop w:val="0"/>
          <w:marBottom w:val="0"/>
          <w:divBdr>
            <w:top w:val="none" w:sz="0" w:space="0" w:color="auto"/>
            <w:left w:val="none" w:sz="0" w:space="0" w:color="auto"/>
            <w:bottom w:val="none" w:sz="0" w:space="0" w:color="auto"/>
            <w:right w:val="none" w:sz="0" w:space="0" w:color="auto"/>
          </w:divBdr>
        </w:div>
        <w:div w:id="1464809865">
          <w:marLeft w:val="0"/>
          <w:marRight w:val="0"/>
          <w:marTop w:val="0"/>
          <w:marBottom w:val="0"/>
          <w:divBdr>
            <w:top w:val="none" w:sz="0" w:space="0" w:color="auto"/>
            <w:left w:val="none" w:sz="0" w:space="0" w:color="auto"/>
            <w:bottom w:val="none" w:sz="0" w:space="0" w:color="auto"/>
            <w:right w:val="none" w:sz="0" w:space="0" w:color="auto"/>
          </w:divBdr>
        </w:div>
        <w:div w:id="1533886333">
          <w:marLeft w:val="0"/>
          <w:marRight w:val="0"/>
          <w:marTop w:val="0"/>
          <w:marBottom w:val="0"/>
          <w:divBdr>
            <w:top w:val="none" w:sz="0" w:space="0" w:color="auto"/>
            <w:left w:val="none" w:sz="0" w:space="0" w:color="auto"/>
            <w:bottom w:val="none" w:sz="0" w:space="0" w:color="auto"/>
            <w:right w:val="none" w:sz="0" w:space="0" w:color="auto"/>
          </w:divBdr>
        </w:div>
        <w:div w:id="978150017">
          <w:marLeft w:val="0"/>
          <w:marRight w:val="0"/>
          <w:marTop w:val="0"/>
          <w:marBottom w:val="0"/>
          <w:divBdr>
            <w:top w:val="none" w:sz="0" w:space="0" w:color="auto"/>
            <w:left w:val="none" w:sz="0" w:space="0" w:color="auto"/>
            <w:bottom w:val="none" w:sz="0" w:space="0" w:color="auto"/>
            <w:right w:val="none" w:sz="0" w:space="0" w:color="auto"/>
          </w:divBdr>
        </w:div>
        <w:div w:id="612054343">
          <w:marLeft w:val="0"/>
          <w:marRight w:val="0"/>
          <w:marTop w:val="0"/>
          <w:marBottom w:val="0"/>
          <w:divBdr>
            <w:top w:val="none" w:sz="0" w:space="0" w:color="auto"/>
            <w:left w:val="none" w:sz="0" w:space="0" w:color="auto"/>
            <w:bottom w:val="none" w:sz="0" w:space="0" w:color="auto"/>
            <w:right w:val="none" w:sz="0" w:space="0" w:color="auto"/>
          </w:divBdr>
        </w:div>
        <w:div w:id="2102675140">
          <w:marLeft w:val="0"/>
          <w:marRight w:val="0"/>
          <w:marTop w:val="0"/>
          <w:marBottom w:val="0"/>
          <w:divBdr>
            <w:top w:val="none" w:sz="0" w:space="0" w:color="auto"/>
            <w:left w:val="none" w:sz="0" w:space="0" w:color="auto"/>
            <w:bottom w:val="none" w:sz="0" w:space="0" w:color="auto"/>
            <w:right w:val="none" w:sz="0" w:space="0" w:color="auto"/>
          </w:divBdr>
        </w:div>
        <w:div w:id="1614091788">
          <w:marLeft w:val="0"/>
          <w:marRight w:val="0"/>
          <w:marTop w:val="0"/>
          <w:marBottom w:val="0"/>
          <w:divBdr>
            <w:top w:val="none" w:sz="0" w:space="0" w:color="auto"/>
            <w:left w:val="none" w:sz="0" w:space="0" w:color="auto"/>
            <w:bottom w:val="none" w:sz="0" w:space="0" w:color="auto"/>
            <w:right w:val="none" w:sz="0" w:space="0" w:color="auto"/>
          </w:divBdr>
        </w:div>
        <w:div w:id="1402216920">
          <w:marLeft w:val="0"/>
          <w:marRight w:val="0"/>
          <w:marTop w:val="0"/>
          <w:marBottom w:val="0"/>
          <w:divBdr>
            <w:top w:val="none" w:sz="0" w:space="0" w:color="auto"/>
            <w:left w:val="none" w:sz="0" w:space="0" w:color="auto"/>
            <w:bottom w:val="none" w:sz="0" w:space="0" w:color="auto"/>
            <w:right w:val="none" w:sz="0" w:space="0" w:color="auto"/>
          </w:divBdr>
        </w:div>
        <w:div w:id="1686398470">
          <w:marLeft w:val="0"/>
          <w:marRight w:val="0"/>
          <w:marTop w:val="0"/>
          <w:marBottom w:val="0"/>
          <w:divBdr>
            <w:top w:val="none" w:sz="0" w:space="0" w:color="auto"/>
            <w:left w:val="none" w:sz="0" w:space="0" w:color="auto"/>
            <w:bottom w:val="none" w:sz="0" w:space="0" w:color="auto"/>
            <w:right w:val="none" w:sz="0" w:space="0" w:color="auto"/>
          </w:divBdr>
        </w:div>
        <w:div w:id="487091325">
          <w:marLeft w:val="0"/>
          <w:marRight w:val="0"/>
          <w:marTop w:val="0"/>
          <w:marBottom w:val="0"/>
          <w:divBdr>
            <w:top w:val="none" w:sz="0" w:space="0" w:color="auto"/>
            <w:left w:val="none" w:sz="0" w:space="0" w:color="auto"/>
            <w:bottom w:val="none" w:sz="0" w:space="0" w:color="auto"/>
            <w:right w:val="none" w:sz="0" w:space="0" w:color="auto"/>
          </w:divBdr>
        </w:div>
        <w:div w:id="440149446">
          <w:marLeft w:val="0"/>
          <w:marRight w:val="0"/>
          <w:marTop w:val="0"/>
          <w:marBottom w:val="0"/>
          <w:divBdr>
            <w:top w:val="none" w:sz="0" w:space="0" w:color="auto"/>
            <w:left w:val="none" w:sz="0" w:space="0" w:color="auto"/>
            <w:bottom w:val="none" w:sz="0" w:space="0" w:color="auto"/>
            <w:right w:val="none" w:sz="0" w:space="0" w:color="auto"/>
          </w:divBdr>
        </w:div>
        <w:div w:id="888346593">
          <w:marLeft w:val="0"/>
          <w:marRight w:val="0"/>
          <w:marTop w:val="0"/>
          <w:marBottom w:val="0"/>
          <w:divBdr>
            <w:top w:val="none" w:sz="0" w:space="0" w:color="auto"/>
            <w:left w:val="none" w:sz="0" w:space="0" w:color="auto"/>
            <w:bottom w:val="none" w:sz="0" w:space="0" w:color="auto"/>
            <w:right w:val="none" w:sz="0" w:space="0" w:color="auto"/>
          </w:divBdr>
        </w:div>
        <w:div w:id="295764774">
          <w:marLeft w:val="0"/>
          <w:marRight w:val="0"/>
          <w:marTop w:val="0"/>
          <w:marBottom w:val="0"/>
          <w:divBdr>
            <w:top w:val="none" w:sz="0" w:space="0" w:color="auto"/>
            <w:left w:val="none" w:sz="0" w:space="0" w:color="auto"/>
            <w:bottom w:val="none" w:sz="0" w:space="0" w:color="auto"/>
            <w:right w:val="none" w:sz="0" w:space="0" w:color="auto"/>
          </w:divBdr>
        </w:div>
        <w:div w:id="1186821704">
          <w:marLeft w:val="0"/>
          <w:marRight w:val="0"/>
          <w:marTop w:val="0"/>
          <w:marBottom w:val="0"/>
          <w:divBdr>
            <w:top w:val="none" w:sz="0" w:space="0" w:color="auto"/>
            <w:left w:val="none" w:sz="0" w:space="0" w:color="auto"/>
            <w:bottom w:val="none" w:sz="0" w:space="0" w:color="auto"/>
            <w:right w:val="none" w:sz="0" w:space="0" w:color="auto"/>
          </w:divBdr>
        </w:div>
        <w:div w:id="1681927297">
          <w:marLeft w:val="0"/>
          <w:marRight w:val="0"/>
          <w:marTop w:val="0"/>
          <w:marBottom w:val="0"/>
          <w:divBdr>
            <w:top w:val="none" w:sz="0" w:space="0" w:color="auto"/>
            <w:left w:val="none" w:sz="0" w:space="0" w:color="auto"/>
            <w:bottom w:val="none" w:sz="0" w:space="0" w:color="auto"/>
            <w:right w:val="none" w:sz="0" w:space="0" w:color="auto"/>
          </w:divBdr>
        </w:div>
        <w:div w:id="1778286319">
          <w:marLeft w:val="0"/>
          <w:marRight w:val="0"/>
          <w:marTop w:val="0"/>
          <w:marBottom w:val="0"/>
          <w:divBdr>
            <w:top w:val="none" w:sz="0" w:space="0" w:color="auto"/>
            <w:left w:val="none" w:sz="0" w:space="0" w:color="auto"/>
            <w:bottom w:val="none" w:sz="0" w:space="0" w:color="auto"/>
            <w:right w:val="none" w:sz="0" w:space="0" w:color="auto"/>
          </w:divBdr>
        </w:div>
        <w:div w:id="888541706">
          <w:marLeft w:val="0"/>
          <w:marRight w:val="0"/>
          <w:marTop w:val="0"/>
          <w:marBottom w:val="0"/>
          <w:divBdr>
            <w:top w:val="none" w:sz="0" w:space="0" w:color="auto"/>
            <w:left w:val="none" w:sz="0" w:space="0" w:color="auto"/>
            <w:bottom w:val="none" w:sz="0" w:space="0" w:color="auto"/>
            <w:right w:val="none" w:sz="0" w:space="0" w:color="auto"/>
          </w:divBdr>
        </w:div>
        <w:div w:id="480148885">
          <w:marLeft w:val="0"/>
          <w:marRight w:val="0"/>
          <w:marTop w:val="0"/>
          <w:marBottom w:val="0"/>
          <w:divBdr>
            <w:top w:val="none" w:sz="0" w:space="0" w:color="auto"/>
            <w:left w:val="none" w:sz="0" w:space="0" w:color="auto"/>
            <w:bottom w:val="none" w:sz="0" w:space="0" w:color="auto"/>
            <w:right w:val="none" w:sz="0" w:space="0" w:color="auto"/>
          </w:divBdr>
        </w:div>
        <w:div w:id="1484079332">
          <w:marLeft w:val="0"/>
          <w:marRight w:val="0"/>
          <w:marTop w:val="0"/>
          <w:marBottom w:val="0"/>
          <w:divBdr>
            <w:top w:val="none" w:sz="0" w:space="0" w:color="auto"/>
            <w:left w:val="none" w:sz="0" w:space="0" w:color="auto"/>
            <w:bottom w:val="none" w:sz="0" w:space="0" w:color="auto"/>
            <w:right w:val="none" w:sz="0" w:space="0" w:color="auto"/>
          </w:divBdr>
        </w:div>
        <w:div w:id="2093160419">
          <w:marLeft w:val="0"/>
          <w:marRight w:val="0"/>
          <w:marTop w:val="0"/>
          <w:marBottom w:val="0"/>
          <w:divBdr>
            <w:top w:val="none" w:sz="0" w:space="0" w:color="auto"/>
            <w:left w:val="none" w:sz="0" w:space="0" w:color="auto"/>
            <w:bottom w:val="none" w:sz="0" w:space="0" w:color="auto"/>
            <w:right w:val="none" w:sz="0" w:space="0" w:color="auto"/>
          </w:divBdr>
        </w:div>
        <w:div w:id="1856993964">
          <w:marLeft w:val="0"/>
          <w:marRight w:val="0"/>
          <w:marTop w:val="0"/>
          <w:marBottom w:val="0"/>
          <w:divBdr>
            <w:top w:val="none" w:sz="0" w:space="0" w:color="auto"/>
            <w:left w:val="none" w:sz="0" w:space="0" w:color="auto"/>
            <w:bottom w:val="none" w:sz="0" w:space="0" w:color="auto"/>
            <w:right w:val="none" w:sz="0" w:space="0" w:color="auto"/>
          </w:divBdr>
        </w:div>
        <w:div w:id="1019697451">
          <w:marLeft w:val="0"/>
          <w:marRight w:val="0"/>
          <w:marTop w:val="0"/>
          <w:marBottom w:val="0"/>
          <w:divBdr>
            <w:top w:val="none" w:sz="0" w:space="0" w:color="auto"/>
            <w:left w:val="none" w:sz="0" w:space="0" w:color="auto"/>
            <w:bottom w:val="none" w:sz="0" w:space="0" w:color="auto"/>
            <w:right w:val="none" w:sz="0" w:space="0" w:color="auto"/>
          </w:divBdr>
        </w:div>
        <w:div w:id="1623490419">
          <w:marLeft w:val="0"/>
          <w:marRight w:val="0"/>
          <w:marTop w:val="0"/>
          <w:marBottom w:val="0"/>
          <w:divBdr>
            <w:top w:val="none" w:sz="0" w:space="0" w:color="auto"/>
            <w:left w:val="none" w:sz="0" w:space="0" w:color="auto"/>
            <w:bottom w:val="none" w:sz="0" w:space="0" w:color="auto"/>
            <w:right w:val="none" w:sz="0" w:space="0" w:color="auto"/>
          </w:divBdr>
        </w:div>
        <w:div w:id="536968435">
          <w:marLeft w:val="0"/>
          <w:marRight w:val="0"/>
          <w:marTop w:val="0"/>
          <w:marBottom w:val="0"/>
          <w:divBdr>
            <w:top w:val="none" w:sz="0" w:space="0" w:color="auto"/>
            <w:left w:val="none" w:sz="0" w:space="0" w:color="auto"/>
            <w:bottom w:val="none" w:sz="0" w:space="0" w:color="auto"/>
            <w:right w:val="none" w:sz="0" w:space="0" w:color="auto"/>
          </w:divBdr>
        </w:div>
        <w:div w:id="674765872">
          <w:marLeft w:val="0"/>
          <w:marRight w:val="0"/>
          <w:marTop w:val="0"/>
          <w:marBottom w:val="0"/>
          <w:divBdr>
            <w:top w:val="none" w:sz="0" w:space="0" w:color="auto"/>
            <w:left w:val="none" w:sz="0" w:space="0" w:color="auto"/>
            <w:bottom w:val="none" w:sz="0" w:space="0" w:color="auto"/>
            <w:right w:val="none" w:sz="0" w:space="0" w:color="auto"/>
          </w:divBdr>
        </w:div>
        <w:div w:id="1680617333">
          <w:marLeft w:val="0"/>
          <w:marRight w:val="0"/>
          <w:marTop w:val="0"/>
          <w:marBottom w:val="0"/>
          <w:divBdr>
            <w:top w:val="none" w:sz="0" w:space="0" w:color="auto"/>
            <w:left w:val="none" w:sz="0" w:space="0" w:color="auto"/>
            <w:bottom w:val="none" w:sz="0" w:space="0" w:color="auto"/>
            <w:right w:val="none" w:sz="0" w:space="0" w:color="auto"/>
          </w:divBdr>
        </w:div>
        <w:div w:id="1121729376">
          <w:marLeft w:val="0"/>
          <w:marRight w:val="0"/>
          <w:marTop w:val="0"/>
          <w:marBottom w:val="0"/>
          <w:divBdr>
            <w:top w:val="none" w:sz="0" w:space="0" w:color="auto"/>
            <w:left w:val="none" w:sz="0" w:space="0" w:color="auto"/>
            <w:bottom w:val="none" w:sz="0" w:space="0" w:color="auto"/>
            <w:right w:val="none" w:sz="0" w:space="0" w:color="auto"/>
          </w:divBdr>
        </w:div>
        <w:div w:id="1837064734">
          <w:marLeft w:val="0"/>
          <w:marRight w:val="0"/>
          <w:marTop w:val="0"/>
          <w:marBottom w:val="0"/>
          <w:divBdr>
            <w:top w:val="none" w:sz="0" w:space="0" w:color="auto"/>
            <w:left w:val="none" w:sz="0" w:space="0" w:color="auto"/>
            <w:bottom w:val="none" w:sz="0" w:space="0" w:color="auto"/>
            <w:right w:val="none" w:sz="0" w:space="0" w:color="auto"/>
          </w:divBdr>
        </w:div>
        <w:div w:id="894707649">
          <w:marLeft w:val="0"/>
          <w:marRight w:val="0"/>
          <w:marTop w:val="0"/>
          <w:marBottom w:val="0"/>
          <w:divBdr>
            <w:top w:val="none" w:sz="0" w:space="0" w:color="auto"/>
            <w:left w:val="none" w:sz="0" w:space="0" w:color="auto"/>
            <w:bottom w:val="none" w:sz="0" w:space="0" w:color="auto"/>
            <w:right w:val="none" w:sz="0" w:space="0" w:color="auto"/>
          </w:divBdr>
        </w:div>
        <w:div w:id="644428589">
          <w:marLeft w:val="0"/>
          <w:marRight w:val="0"/>
          <w:marTop w:val="0"/>
          <w:marBottom w:val="0"/>
          <w:divBdr>
            <w:top w:val="none" w:sz="0" w:space="0" w:color="auto"/>
            <w:left w:val="none" w:sz="0" w:space="0" w:color="auto"/>
            <w:bottom w:val="none" w:sz="0" w:space="0" w:color="auto"/>
            <w:right w:val="none" w:sz="0" w:space="0" w:color="auto"/>
          </w:divBdr>
        </w:div>
        <w:div w:id="1619680938">
          <w:marLeft w:val="0"/>
          <w:marRight w:val="0"/>
          <w:marTop w:val="0"/>
          <w:marBottom w:val="0"/>
          <w:divBdr>
            <w:top w:val="none" w:sz="0" w:space="0" w:color="auto"/>
            <w:left w:val="none" w:sz="0" w:space="0" w:color="auto"/>
            <w:bottom w:val="none" w:sz="0" w:space="0" w:color="auto"/>
            <w:right w:val="none" w:sz="0" w:space="0" w:color="auto"/>
          </w:divBdr>
        </w:div>
        <w:div w:id="1193111985">
          <w:marLeft w:val="0"/>
          <w:marRight w:val="0"/>
          <w:marTop w:val="0"/>
          <w:marBottom w:val="0"/>
          <w:divBdr>
            <w:top w:val="none" w:sz="0" w:space="0" w:color="auto"/>
            <w:left w:val="none" w:sz="0" w:space="0" w:color="auto"/>
            <w:bottom w:val="none" w:sz="0" w:space="0" w:color="auto"/>
            <w:right w:val="none" w:sz="0" w:space="0" w:color="auto"/>
          </w:divBdr>
        </w:div>
      </w:divsChild>
    </w:div>
    <w:div w:id="1126852503">
      <w:bodyDiv w:val="1"/>
      <w:marLeft w:val="0"/>
      <w:marRight w:val="0"/>
      <w:marTop w:val="0"/>
      <w:marBottom w:val="0"/>
      <w:divBdr>
        <w:top w:val="none" w:sz="0" w:space="0" w:color="auto"/>
        <w:left w:val="none" w:sz="0" w:space="0" w:color="auto"/>
        <w:bottom w:val="none" w:sz="0" w:space="0" w:color="auto"/>
        <w:right w:val="none" w:sz="0" w:space="0" w:color="auto"/>
      </w:divBdr>
      <w:divsChild>
        <w:div w:id="1676762847">
          <w:marLeft w:val="0"/>
          <w:marRight w:val="0"/>
          <w:marTop w:val="0"/>
          <w:marBottom w:val="0"/>
          <w:divBdr>
            <w:top w:val="none" w:sz="0" w:space="0" w:color="auto"/>
            <w:left w:val="none" w:sz="0" w:space="0" w:color="auto"/>
            <w:bottom w:val="none" w:sz="0" w:space="0" w:color="auto"/>
            <w:right w:val="none" w:sz="0" w:space="0" w:color="auto"/>
          </w:divBdr>
        </w:div>
        <w:div w:id="1131365871">
          <w:marLeft w:val="0"/>
          <w:marRight w:val="0"/>
          <w:marTop w:val="0"/>
          <w:marBottom w:val="0"/>
          <w:divBdr>
            <w:top w:val="none" w:sz="0" w:space="0" w:color="auto"/>
            <w:left w:val="none" w:sz="0" w:space="0" w:color="auto"/>
            <w:bottom w:val="none" w:sz="0" w:space="0" w:color="auto"/>
            <w:right w:val="none" w:sz="0" w:space="0" w:color="auto"/>
          </w:divBdr>
        </w:div>
        <w:div w:id="190925298">
          <w:marLeft w:val="0"/>
          <w:marRight w:val="0"/>
          <w:marTop w:val="0"/>
          <w:marBottom w:val="0"/>
          <w:divBdr>
            <w:top w:val="none" w:sz="0" w:space="0" w:color="auto"/>
            <w:left w:val="none" w:sz="0" w:space="0" w:color="auto"/>
            <w:bottom w:val="none" w:sz="0" w:space="0" w:color="auto"/>
            <w:right w:val="none" w:sz="0" w:space="0" w:color="auto"/>
          </w:divBdr>
        </w:div>
        <w:div w:id="1437752007">
          <w:marLeft w:val="0"/>
          <w:marRight w:val="0"/>
          <w:marTop w:val="0"/>
          <w:marBottom w:val="0"/>
          <w:divBdr>
            <w:top w:val="none" w:sz="0" w:space="0" w:color="auto"/>
            <w:left w:val="none" w:sz="0" w:space="0" w:color="auto"/>
            <w:bottom w:val="none" w:sz="0" w:space="0" w:color="auto"/>
            <w:right w:val="none" w:sz="0" w:space="0" w:color="auto"/>
          </w:divBdr>
        </w:div>
        <w:div w:id="877469353">
          <w:marLeft w:val="0"/>
          <w:marRight w:val="0"/>
          <w:marTop w:val="0"/>
          <w:marBottom w:val="0"/>
          <w:divBdr>
            <w:top w:val="none" w:sz="0" w:space="0" w:color="auto"/>
            <w:left w:val="none" w:sz="0" w:space="0" w:color="auto"/>
            <w:bottom w:val="none" w:sz="0" w:space="0" w:color="auto"/>
            <w:right w:val="none" w:sz="0" w:space="0" w:color="auto"/>
          </w:divBdr>
        </w:div>
      </w:divsChild>
    </w:div>
    <w:div w:id="1136528768">
      <w:bodyDiv w:val="1"/>
      <w:marLeft w:val="0"/>
      <w:marRight w:val="0"/>
      <w:marTop w:val="0"/>
      <w:marBottom w:val="0"/>
      <w:divBdr>
        <w:top w:val="none" w:sz="0" w:space="0" w:color="auto"/>
        <w:left w:val="none" w:sz="0" w:space="0" w:color="auto"/>
        <w:bottom w:val="none" w:sz="0" w:space="0" w:color="auto"/>
        <w:right w:val="none" w:sz="0" w:space="0" w:color="auto"/>
      </w:divBdr>
      <w:divsChild>
        <w:div w:id="1989288547">
          <w:marLeft w:val="0"/>
          <w:marRight w:val="0"/>
          <w:marTop w:val="0"/>
          <w:marBottom w:val="0"/>
          <w:divBdr>
            <w:top w:val="none" w:sz="0" w:space="0" w:color="auto"/>
            <w:left w:val="none" w:sz="0" w:space="0" w:color="auto"/>
            <w:bottom w:val="none" w:sz="0" w:space="0" w:color="auto"/>
            <w:right w:val="none" w:sz="0" w:space="0" w:color="auto"/>
          </w:divBdr>
        </w:div>
        <w:div w:id="1240677223">
          <w:marLeft w:val="0"/>
          <w:marRight w:val="0"/>
          <w:marTop w:val="0"/>
          <w:marBottom w:val="0"/>
          <w:divBdr>
            <w:top w:val="none" w:sz="0" w:space="0" w:color="auto"/>
            <w:left w:val="none" w:sz="0" w:space="0" w:color="auto"/>
            <w:bottom w:val="none" w:sz="0" w:space="0" w:color="auto"/>
            <w:right w:val="none" w:sz="0" w:space="0" w:color="auto"/>
          </w:divBdr>
        </w:div>
        <w:div w:id="2103262229">
          <w:marLeft w:val="0"/>
          <w:marRight w:val="0"/>
          <w:marTop w:val="0"/>
          <w:marBottom w:val="0"/>
          <w:divBdr>
            <w:top w:val="none" w:sz="0" w:space="0" w:color="auto"/>
            <w:left w:val="none" w:sz="0" w:space="0" w:color="auto"/>
            <w:bottom w:val="none" w:sz="0" w:space="0" w:color="auto"/>
            <w:right w:val="none" w:sz="0" w:space="0" w:color="auto"/>
          </w:divBdr>
        </w:div>
        <w:div w:id="80878784">
          <w:marLeft w:val="0"/>
          <w:marRight w:val="0"/>
          <w:marTop w:val="0"/>
          <w:marBottom w:val="0"/>
          <w:divBdr>
            <w:top w:val="none" w:sz="0" w:space="0" w:color="auto"/>
            <w:left w:val="none" w:sz="0" w:space="0" w:color="auto"/>
            <w:bottom w:val="none" w:sz="0" w:space="0" w:color="auto"/>
            <w:right w:val="none" w:sz="0" w:space="0" w:color="auto"/>
          </w:divBdr>
        </w:div>
        <w:div w:id="1945336172">
          <w:marLeft w:val="0"/>
          <w:marRight w:val="0"/>
          <w:marTop w:val="0"/>
          <w:marBottom w:val="0"/>
          <w:divBdr>
            <w:top w:val="none" w:sz="0" w:space="0" w:color="auto"/>
            <w:left w:val="none" w:sz="0" w:space="0" w:color="auto"/>
            <w:bottom w:val="none" w:sz="0" w:space="0" w:color="auto"/>
            <w:right w:val="none" w:sz="0" w:space="0" w:color="auto"/>
          </w:divBdr>
        </w:div>
      </w:divsChild>
    </w:div>
    <w:div w:id="1149513631">
      <w:bodyDiv w:val="1"/>
      <w:marLeft w:val="0"/>
      <w:marRight w:val="0"/>
      <w:marTop w:val="0"/>
      <w:marBottom w:val="0"/>
      <w:divBdr>
        <w:top w:val="none" w:sz="0" w:space="0" w:color="auto"/>
        <w:left w:val="none" w:sz="0" w:space="0" w:color="auto"/>
        <w:bottom w:val="none" w:sz="0" w:space="0" w:color="auto"/>
        <w:right w:val="none" w:sz="0" w:space="0" w:color="auto"/>
      </w:divBdr>
      <w:divsChild>
        <w:div w:id="614286122">
          <w:marLeft w:val="0"/>
          <w:marRight w:val="0"/>
          <w:marTop w:val="0"/>
          <w:marBottom w:val="0"/>
          <w:divBdr>
            <w:top w:val="none" w:sz="0" w:space="0" w:color="auto"/>
            <w:left w:val="none" w:sz="0" w:space="0" w:color="auto"/>
            <w:bottom w:val="none" w:sz="0" w:space="0" w:color="auto"/>
            <w:right w:val="none" w:sz="0" w:space="0" w:color="auto"/>
          </w:divBdr>
        </w:div>
        <w:div w:id="1248467381">
          <w:marLeft w:val="0"/>
          <w:marRight w:val="0"/>
          <w:marTop w:val="0"/>
          <w:marBottom w:val="0"/>
          <w:divBdr>
            <w:top w:val="none" w:sz="0" w:space="0" w:color="auto"/>
            <w:left w:val="none" w:sz="0" w:space="0" w:color="auto"/>
            <w:bottom w:val="none" w:sz="0" w:space="0" w:color="auto"/>
            <w:right w:val="none" w:sz="0" w:space="0" w:color="auto"/>
          </w:divBdr>
        </w:div>
        <w:div w:id="1037972478">
          <w:marLeft w:val="0"/>
          <w:marRight w:val="0"/>
          <w:marTop w:val="0"/>
          <w:marBottom w:val="0"/>
          <w:divBdr>
            <w:top w:val="none" w:sz="0" w:space="0" w:color="auto"/>
            <w:left w:val="none" w:sz="0" w:space="0" w:color="auto"/>
            <w:bottom w:val="none" w:sz="0" w:space="0" w:color="auto"/>
            <w:right w:val="none" w:sz="0" w:space="0" w:color="auto"/>
          </w:divBdr>
        </w:div>
        <w:div w:id="481047583">
          <w:marLeft w:val="0"/>
          <w:marRight w:val="0"/>
          <w:marTop w:val="0"/>
          <w:marBottom w:val="0"/>
          <w:divBdr>
            <w:top w:val="none" w:sz="0" w:space="0" w:color="auto"/>
            <w:left w:val="none" w:sz="0" w:space="0" w:color="auto"/>
            <w:bottom w:val="none" w:sz="0" w:space="0" w:color="auto"/>
            <w:right w:val="none" w:sz="0" w:space="0" w:color="auto"/>
          </w:divBdr>
        </w:div>
        <w:div w:id="492648212">
          <w:marLeft w:val="0"/>
          <w:marRight w:val="0"/>
          <w:marTop w:val="0"/>
          <w:marBottom w:val="0"/>
          <w:divBdr>
            <w:top w:val="none" w:sz="0" w:space="0" w:color="auto"/>
            <w:left w:val="none" w:sz="0" w:space="0" w:color="auto"/>
            <w:bottom w:val="none" w:sz="0" w:space="0" w:color="auto"/>
            <w:right w:val="none" w:sz="0" w:space="0" w:color="auto"/>
          </w:divBdr>
        </w:div>
        <w:div w:id="404571586">
          <w:marLeft w:val="0"/>
          <w:marRight w:val="0"/>
          <w:marTop w:val="0"/>
          <w:marBottom w:val="0"/>
          <w:divBdr>
            <w:top w:val="none" w:sz="0" w:space="0" w:color="auto"/>
            <w:left w:val="none" w:sz="0" w:space="0" w:color="auto"/>
            <w:bottom w:val="none" w:sz="0" w:space="0" w:color="auto"/>
            <w:right w:val="none" w:sz="0" w:space="0" w:color="auto"/>
          </w:divBdr>
        </w:div>
        <w:div w:id="967122602">
          <w:marLeft w:val="0"/>
          <w:marRight w:val="0"/>
          <w:marTop w:val="0"/>
          <w:marBottom w:val="0"/>
          <w:divBdr>
            <w:top w:val="none" w:sz="0" w:space="0" w:color="auto"/>
            <w:left w:val="none" w:sz="0" w:space="0" w:color="auto"/>
            <w:bottom w:val="none" w:sz="0" w:space="0" w:color="auto"/>
            <w:right w:val="none" w:sz="0" w:space="0" w:color="auto"/>
          </w:divBdr>
        </w:div>
        <w:div w:id="26764364">
          <w:marLeft w:val="0"/>
          <w:marRight w:val="0"/>
          <w:marTop w:val="0"/>
          <w:marBottom w:val="0"/>
          <w:divBdr>
            <w:top w:val="none" w:sz="0" w:space="0" w:color="auto"/>
            <w:left w:val="none" w:sz="0" w:space="0" w:color="auto"/>
            <w:bottom w:val="none" w:sz="0" w:space="0" w:color="auto"/>
            <w:right w:val="none" w:sz="0" w:space="0" w:color="auto"/>
          </w:divBdr>
        </w:div>
        <w:div w:id="1800607496">
          <w:marLeft w:val="0"/>
          <w:marRight w:val="0"/>
          <w:marTop w:val="0"/>
          <w:marBottom w:val="0"/>
          <w:divBdr>
            <w:top w:val="none" w:sz="0" w:space="0" w:color="auto"/>
            <w:left w:val="none" w:sz="0" w:space="0" w:color="auto"/>
            <w:bottom w:val="none" w:sz="0" w:space="0" w:color="auto"/>
            <w:right w:val="none" w:sz="0" w:space="0" w:color="auto"/>
          </w:divBdr>
        </w:div>
        <w:div w:id="176428715">
          <w:marLeft w:val="0"/>
          <w:marRight w:val="0"/>
          <w:marTop w:val="0"/>
          <w:marBottom w:val="0"/>
          <w:divBdr>
            <w:top w:val="none" w:sz="0" w:space="0" w:color="auto"/>
            <w:left w:val="none" w:sz="0" w:space="0" w:color="auto"/>
            <w:bottom w:val="none" w:sz="0" w:space="0" w:color="auto"/>
            <w:right w:val="none" w:sz="0" w:space="0" w:color="auto"/>
          </w:divBdr>
        </w:div>
        <w:div w:id="958950604">
          <w:marLeft w:val="0"/>
          <w:marRight w:val="0"/>
          <w:marTop w:val="0"/>
          <w:marBottom w:val="0"/>
          <w:divBdr>
            <w:top w:val="none" w:sz="0" w:space="0" w:color="auto"/>
            <w:left w:val="none" w:sz="0" w:space="0" w:color="auto"/>
            <w:bottom w:val="none" w:sz="0" w:space="0" w:color="auto"/>
            <w:right w:val="none" w:sz="0" w:space="0" w:color="auto"/>
          </w:divBdr>
        </w:div>
        <w:div w:id="2026438791">
          <w:marLeft w:val="0"/>
          <w:marRight w:val="0"/>
          <w:marTop w:val="0"/>
          <w:marBottom w:val="0"/>
          <w:divBdr>
            <w:top w:val="none" w:sz="0" w:space="0" w:color="auto"/>
            <w:left w:val="none" w:sz="0" w:space="0" w:color="auto"/>
            <w:bottom w:val="none" w:sz="0" w:space="0" w:color="auto"/>
            <w:right w:val="none" w:sz="0" w:space="0" w:color="auto"/>
          </w:divBdr>
        </w:div>
      </w:divsChild>
    </w:div>
    <w:div w:id="1157957632">
      <w:bodyDiv w:val="1"/>
      <w:marLeft w:val="0"/>
      <w:marRight w:val="0"/>
      <w:marTop w:val="0"/>
      <w:marBottom w:val="0"/>
      <w:divBdr>
        <w:top w:val="none" w:sz="0" w:space="0" w:color="auto"/>
        <w:left w:val="none" w:sz="0" w:space="0" w:color="auto"/>
        <w:bottom w:val="none" w:sz="0" w:space="0" w:color="auto"/>
        <w:right w:val="none" w:sz="0" w:space="0" w:color="auto"/>
      </w:divBdr>
      <w:divsChild>
        <w:div w:id="962418344">
          <w:marLeft w:val="0"/>
          <w:marRight w:val="0"/>
          <w:marTop w:val="0"/>
          <w:marBottom w:val="0"/>
          <w:divBdr>
            <w:top w:val="none" w:sz="0" w:space="0" w:color="auto"/>
            <w:left w:val="none" w:sz="0" w:space="0" w:color="auto"/>
            <w:bottom w:val="none" w:sz="0" w:space="0" w:color="auto"/>
            <w:right w:val="none" w:sz="0" w:space="0" w:color="auto"/>
          </w:divBdr>
        </w:div>
        <w:div w:id="243347428">
          <w:marLeft w:val="0"/>
          <w:marRight w:val="0"/>
          <w:marTop w:val="0"/>
          <w:marBottom w:val="0"/>
          <w:divBdr>
            <w:top w:val="none" w:sz="0" w:space="0" w:color="auto"/>
            <w:left w:val="none" w:sz="0" w:space="0" w:color="auto"/>
            <w:bottom w:val="none" w:sz="0" w:space="0" w:color="auto"/>
            <w:right w:val="none" w:sz="0" w:space="0" w:color="auto"/>
          </w:divBdr>
        </w:div>
        <w:div w:id="1316302766">
          <w:marLeft w:val="0"/>
          <w:marRight w:val="0"/>
          <w:marTop w:val="0"/>
          <w:marBottom w:val="0"/>
          <w:divBdr>
            <w:top w:val="none" w:sz="0" w:space="0" w:color="auto"/>
            <w:left w:val="none" w:sz="0" w:space="0" w:color="auto"/>
            <w:bottom w:val="none" w:sz="0" w:space="0" w:color="auto"/>
            <w:right w:val="none" w:sz="0" w:space="0" w:color="auto"/>
          </w:divBdr>
        </w:div>
        <w:div w:id="1180654905">
          <w:marLeft w:val="0"/>
          <w:marRight w:val="0"/>
          <w:marTop w:val="0"/>
          <w:marBottom w:val="0"/>
          <w:divBdr>
            <w:top w:val="none" w:sz="0" w:space="0" w:color="auto"/>
            <w:left w:val="none" w:sz="0" w:space="0" w:color="auto"/>
            <w:bottom w:val="none" w:sz="0" w:space="0" w:color="auto"/>
            <w:right w:val="none" w:sz="0" w:space="0" w:color="auto"/>
          </w:divBdr>
        </w:div>
        <w:div w:id="158929560">
          <w:marLeft w:val="0"/>
          <w:marRight w:val="0"/>
          <w:marTop w:val="0"/>
          <w:marBottom w:val="0"/>
          <w:divBdr>
            <w:top w:val="none" w:sz="0" w:space="0" w:color="auto"/>
            <w:left w:val="none" w:sz="0" w:space="0" w:color="auto"/>
            <w:bottom w:val="none" w:sz="0" w:space="0" w:color="auto"/>
            <w:right w:val="none" w:sz="0" w:space="0" w:color="auto"/>
          </w:divBdr>
        </w:div>
        <w:div w:id="1356080545">
          <w:marLeft w:val="0"/>
          <w:marRight w:val="0"/>
          <w:marTop w:val="0"/>
          <w:marBottom w:val="0"/>
          <w:divBdr>
            <w:top w:val="none" w:sz="0" w:space="0" w:color="auto"/>
            <w:left w:val="none" w:sz="0" w:space="0" w:color="auto"/>
            <w:bottom w:val="none" w:sz="0" w:space="0" w:color="auto"/>
            <w:right w:val="none" w:sz="0" w:space="0" w:color="auto"/>
          </w:divBdr>
        </w:div>
        <w:div w:id="470632556">
          <w:marLeft w:val="0"/>
          <w:marRight w:val="0"/>
          <w:marTop w:val="0"/>
          <w:marBottom w:val="0"/>
          <w:divBdr>
            <w:top w:val="none" w:sz="0" w:space="0" w:color="auto"/>
            <w:left w:val="none" w:sz="0" w:space="0" w:color="auto"/>
            <w:bottom w:val="none" w:sz="0" w:space="0" w:color="auto"/>
            <w:right w:val="none" w:sz="0" w:space="0" w:color="auto"/>
          </w:divBdr>
        </w:div>
        <w:div w:id="14499112">
          <w:marLeft w:val="0"/>
          <w:marRight w:val="0"/>
          <w:marTop w:val="0"/>
          <w:marBottom w:val="0"/>
          <w:divBdr>
            <w:top w:val="none" w:sz="0" w:space="0" w:color="auto"/>
            <w:left w:val="none" w:sz="0" w:space="0" w:color="auto"/>
            <w:bottom w:val="none" w:sz="0" w:space="0" w:color="auto"/>
            <w:right w:val="none" w:sz="0" w:space="0" w:color="auto"/>
          </w:divBdr>
        </w:div>
        <w:div w:id="973145911">
          <w:marLeft w:val="0"/>
          <w:marRight w:val="0"/>
          <w:marTop w:val="0"/>
          <w:marBottom w:val="0"/>
          <w:divBdr>
            <w:top w:val="none" w:sz="0" w:space="0" w:color="auto"/>
            <w:left w:val="none" w:sz="0" w:space="0" w:color="auto"/>
            <w:bottom w:val="none" w:sz="0" w:space="0" w:color="auto"/>
            <w:right w:val="none" w:sz="0" w:space="0" w:color="auto"/>
          </w:divBdr>
        </w:div>
        <w:div w:id="1107308716">
          <w:marLeft w:val="0"/>
          <w:marRight w:val="0"/>
          <w:marTop w:val="0"/>
          <w:marBottom w:val="0"/>
          <w:divBdr>
            <w:top w:val="none" w:sz="0" w:space="0" w:color="auto"/>
            <w:left w:val="none" w:sz="0" w:space="0" w:color="auto"/>
            <w:bottom w:val="none" w:sz="0" w:space="0" w:color="auto"/>
            <w:right w:val="none" w:sz="0" w:space="0" w:color="auto"/>
          </w:divBdr>
        </w:div>
        <w:div w:id="1281914441">
          <w:marLeft w:val="0"/>
          <w:marRight w:val="0"/>
          <w:marTop w:val="0"/>
          <w:marBottom w:val="0"/>
          <w:divBdr>
            <w:top w:val="none" w:sz="0" w:space="0" w:color="auto"/>
            <w:left w:val="none" w:sz="0" w:space="0" w:color="auto"/>
            <w:bottom w:val="none" w:sz="0" w:space="0" w:color="auto"/>
            <w:right w:val="none" w:sz="0" w:space="0" w:color="auto"/>
          </w:divBdr>
        </w:div>
        <w:div w:id="1999379852">
          <w:marLeft w:val="0"/>
          <w:marRight w:val="0"/>
          <w:marTop w:val="0"/>
          <w:marBottom w:val="0"/>
          <w:divBdr>
            <w:top w:val="none" w:sz="0" w:space="0" w:color="auto"/>
            <w:left w:val="none" w:sz="0" w:space="0" w:color="auto"/>
            <w:bottom w:val="none" w:sz="0" w:space="0" w:color="auto"/>
            <w:right w:val="none" w:sz="0" w:space="0" w:color="auto"/>
          </w:divBdr>
        </w:div>
        <w:div w:id="315961859">
          <w:marLeft w:val="0"/>
          <w:marRight w:val="0"/>
          <w:marTop w:val="0"/>
          <w:marBottom w:val="0"/>
          <w:divBdr>
            <w:top w:val="none" w:sz="0" w:space="0" w:color="auto"/>
            <w:left w:val="none" w:sz="0" w:space="0" w:color="auto"/>
            <w:bottom w:val="none" w:sz="0" w:space="0" w:color="auto"/>
            <w:right w:val="none" w:sz="0" w:space="0" w:color="auto"/>
          </w:divBdr>
        </w:div>
        <w:div w:id="1186091165">
          <w:marLeft w:val="0"/>
          <w:marRight w:val="0"/>
          <w:marTop w:val="0"/>
          <w:marBottom w:val="0"/>
          <w:divBdr>
            <w:top w:val="none" w:sz="0" w:space="0" w:color="auto"/>
            <w:left w:val="none" w:sz="0" w:space="0" w:color="auto"/>
            <w:bottom w:val="none" w:sz="0" w:space="0" w:color="auto"/>
            <w:right w:val="none" w:sz="0" w:space="0" w:color="auto"/>
          </w:divBdr>
        </w:div>
        <w:div w:id="1222598234">
          <w:marLeft w:val="0"/>
          <w:marRight w:val="0"/>
          <w:marTop w:val="0"/>
          <w:marBottom w:val="0"/>
          <w:divBdr>
            <w:top w:val="none" w:sz="0" w:space="0" w:color="auto"/>
            <w:left w:val="none" w:sz="0" w:space="0" w:color="auto"/>
            <w:bottom w:val="none" w:sz="0" w:space="0" w:color="auto"/>
            <w:right w:val="none" w:sz="0" w:space="0" w:color="auto"/>
          </w:divBdr>
        </w:div>
        <w:div w:id="1492525241">
          <w:marLeft w:val="0"/>
          <w:marRight w:val="0"/>
          <w:marTop w:val="0"/>
          <w:marBottom w:val="0"/>
          <w:divBdr>
            <w:top w:val="none" w:sz="0" w:space="0" w:color="auto"/>
            <w:left w:val="none" w:sz="0" w:space="0" w:color="auto"/>
            <w:bottom w:val="none" w:sz="0" w:space="0" w:color="auto"/>
            <w:right w:val="none" w:sz="0" w:space="0" w:color="auto"/>
          </w:divBdr>
        </w:div>
        <w:div w:id="2066440897">
          <w:marLeft w:val="0"/>
          <w:marRight w:val="0"/>
          <w:marTop w:val="0"/>
          <w:marBottom w:val="0"/>
          <w:divBdr>
            <w:top w:val="none" w:sz="0" w:space="0" w:color="auto"/>
            <w:left w:val="none" w:sz="0" w:space="0" w:color="auto"/>
            <w:bottom w:val="none" w:sz="0" w:space="0" w:color="auto"/>
            <w:right w:val="none" w:sz="0" w:space="0" w:color="auto"/>
          </w:divBdr>
        </w:div>
        <w:div w:id="600650314">
          <w:marLeft w:val="0"/>
          <w:marRight w:val="0"/>
          <w:marTop w:val="0"/>
          <w:marBottom w:val="0"/>
          <w:divBdr>
            <w:top w:val="none" w:sz="0" w:space="0" w:color="auto"/>
            <w:left w:val="none" w:sz="0" w:space="0" w:color="auto"/>
            <w:bottom w:val="none" w:sz="0" w:space="0" w:color="auto"/>
            <w:right w:val="none" w:sz="0" w:space="0" w:color="auto"/>
          </w:divBdr>
        </w:div>
        <w:div w:id="1398819564">
          <w:marLeft w:val="0"/>
          <w:marRight w:val="0"/>
          <w:marTop w:val="0"/>
          <w:marBottom w:val="0"/>
          <w:divBdr>
            <w:top w:val="none" w:sz="0" w:space="0" w:color="auto"/>
            <w:left w:val="none" w:sz="0" w:space="0" w:color="auto"/>
            <w:bottom w:val="none" w:sz="0" w:space="0" w:color="auto"/>
            <w:right w:val="none" w:sz="0" w:space="0" w:color="auto"/>
          </w:divBdr>
        </w:div>
        <w:div w:id="1721980775">
          <w:marLeft w:val="0"/>
          <w:marRight w:val="0"/>
          <w:marTop w:val="0"/>
          <w:marBottom w:val="0"/>
          <w:divBdr>
            <w:top w:val="none" w:sz="0" w:space="0" w:color="auto"/>
            <w:left w:val="none" w:sz="0" w:space="0" w:color="auto"/>
            <w:bottom w:val="none" w:sz="0" w:space="0" w:color="auto"/>
            <w:right w:val="none" w:sz="0" w:space="0" w:color="auto"/>
          </w:divBdr>
        </w:div>
        <w:div w:id="958414206">
          <w:marLeft w:val="0"/>
          <w:marRight w:val="0"/>
          <w:marTop w:val="0"/>
          <w:marBottom w:val="0"/>
          <w:divBdr>
            <w:top w:val="none" w:sz="0" w:space="0" w:color="auto"/>
            <w:left w:val="none" w:sz="0" w:space="0" w:color="auto"/>
            <w:bottom w:val="none" w:sz="0" w:space="0" w:color="auto"/>
            <w:right w:val="none" w:sz="0" w:space="0" w:color="auto"/>
          </w:divBdr>
        </w:div>
        <w:div w:id="720137550">
          <w:marLeft w:val="0"/>
          <w:marRight w:val="0"/>
          <w:marTop w:val="0"/>
          <w:marBottom w:val="0"/>
          <w:divBdr>
            <w:top w:val="none" w:sz="0" w:space="0" w:color="auto"/>
            <w:left w:val="none" w:sz="0" w:space="0" w:color="auto"/>
            <w:bottom w:val="none" w:sz="0" w:space="0" w:color="auto"/>
            <w:right w:val="none" w:sz="0" w:space="0" w:color="auto"/>
          </w:divBdr>
        </w:div>
        <w:div w:id="1630162161">
          <w:marLeft w:val="0"/>
          <w:marRight w:val="0"/>
          <w:marTop w:val="0"/>
          <w:marBottom w:val="0"/>
          <w:divBdr>
            <w:top w:val="none" w:sz="0" w:space="0" w:color="auto"/>
            <w:left w:val="none" w:sz="0" w:space="0" w:color="auto"/>
            <w:bottom w:val="none" w:sz="0" w:space="0" w:color="auto"/>
            <w:right w:val="none" w:sz="0" w:space="0" w:color="auto"/>
          </w:divBdr>
        </w:div>
        <w:div w:id="1700010566">
          <w:marLeft w:val="0"/>
          <w:marRight w:val="0"/>
          <w:marTop w:val="0"/>
          <w:marBottom w:val="0"/>
          <w:divBdr>
            <w:top w:val="none" w:sz="0" w:space="0" w:color="auto"/>
            <w:left w:val="none" w:sz="0" w:space="0" w:color="auto"/>
            <w:bottom w:val="none" w:sz="0" w:space="0" w:color="auto"/>
            <w:right w:val="none" w:sz="0" w:space="0" w:color="auto"/>
          </w:divBdr>
        </w:div>
        <w:div w:id="1853257651">
          <w:marLeft w:val="0"/>
          <w:marRight w:val="0"/>
          <w:marTop w:val="0"/>
          <w:marBottom w:val="0"/>
          <w:divBdr>
            <w:top w:val="none" w:sz="0" w:space="0" w:color="auto"/>
            <w:left w:val="none" w:sz="0" w:space="0" w:color="auto"/>
            <w:bottom w:val="none" w:sz="0" w:space="0" w:color="auto"/>
            <w:right w:val="none" w:sz="0" w:space="0" w:color="auto"/>
          </w:divBdr>
        </w:div>
        <w:div w:id="877470149">
          <w:marLeft w:val="0"/>
          <w:marRight w:val="0"/>
          <w:marTop w:val="0"/>
          <w:marBottom w:val="0"/>
          <w:divBdr>
            <w:top w:val="none" w:sz="0" w:space="0" w:color="auto"/>
            <w:left w:val="none" w:sz="0" w:space="0" w:color="auto"/>
            <w:bottom w:val="none" w:sz="0" w:space="0" w:color="auto"/>
            <w:right w:val="none" w:sz="0" w:space="0" w:color="auto"/>
          </w:divBdr>
        </w:div>
        <w:div w:id="474562783">
          <w:marLeft w:val="0"/>
          <w:marRight w:val="0"/>
          <w:marTop w:val="0"/>
          <w:marBottom w:val="0"/>
          <w:divBdr>
            <w:top w:val="none" w:sz="0" w:space="0" w:color="auto"/>
            <w:left w:val="none" w:sz="0" w:space="0" w:color="auto"/>
            <w:bottom w:val="none" w:sz="0" w:space="0" w:color="auto"/>
            <w:right w:val="none" w:sz="0" w:space="0" w:color="auto"/>
          </w:divBdr>
        </w:div>
        <w:div w:id="1261527866">
          <w:marLeft w:val="0"/>
          <w:marRight w:val="0"/>
          <w:marTop w:val="0"/>
          <w:marBottom w:val="0"/>
          <w:divBdr>
            <w:top w:val="none" w:sz="0" w:space="0" w:color="auto"/>
            <w:left w:val="none" w:sz="0" w:space="0" w:color="auto"/>
            <w:bottom w:val="none" w:sz="0" w:space="0" w:color="auto"/>
            <w:right w:val="none" w:sz="0" w:space="0" w:color="auto"/>
          </w:divBdr>
        </w:div>
        <w:div w:id="1309239465">
          <w:marLeft w:val="0"/>
          <w:marRight w:val="0"/>
          <w:marTop w:val="0"/>
          <w:marBottom w:val="0"/>
          <w:divBdr>
            <w:top w:val="none" w:sz="0" w:space="0" w:color="auto"/>
            <w:left w:val="none" w:sz="0" w:space="0" w:color="auto"/>
            <w:bottom w:val="none" w:sz="0" w:space="0" w:color="auto"/>
            <w:right w:val="none" w:sz="0" w:space="0" w:color="auto"/>
          </w:divBdr>
        </w:div>
        <w:div w:id="1358628383">
          <w:marLeft w:val="0"/>
          <w:marRight w:val="0"/>
          <w:marTop w:val="0"/>
          <w:marBottom w:val="0"/>
          <w:divBdr>
            <w:top w:val="none" w:sz="0" w:space="0" w:color="auto"/>
            <w:left w:val="none" w:sz="0" w:space="0" w:color="auto"/>
            <w:bottom w:val="none" w:sz="0" w:space="0" w:color="auto"/>
            <w:right w:val="none" w:sz="0" w:space="0" w:color="auto"/>
          </w:divBdr>
        </w:div>
        <w:div w:id="1701003646">
          <w:marLeft w:val="0"/>
          <w:marRight w:val="0"/>
          <w:marTop w:val="0"/>
          <w:marBottom w:val="0"/>
          <w:divBdr>
            <w:top w:val="none" w:sz="0" w:space="0" w:color="auto"/>
            <w:left w:val="none" w:sz="0" w:space="0" w:color="auto"/>
            <w:bottom w:val="none" w:sz="0" w:space="0" w:color="auto"/>
            <w:right w:val="none" w:sz="0" w:space="0" w:color="auto"/>
          </w:divBdr>
        </w:div>
        <w:div w:id="736325041">
          <w:marLeft w:val="0"/>
          <w:marRight w:val="0"/>
          <w:marTop w:val="0"/>
          <w:marBottom w:val="0"/>
          <w:divBdr>
            <w:top w:val="none" w:sz="0" w:space="0" w:color="auto"/>
            <w:left w:val="none" w:sz="0" w:space="0" w:color="auto"/>
            <w:bottom w:val="none" w:sz="0" w:space="0" w:color="auto"/>
            <w:right w:val="none" w:sz="0" w:space="0" w:color="auto"/>
          </w:divBdr>
        </w:div>
        <w:div w:id="1373457189">
          <w:marLeft w:val="0"/>
          <w:marRight w:val="0"/>
          <w:marTop w:val="0"/>
          <w:marBottom w:val="0"/>
          <w:divBdr>
            <w:top w:val="none" w:sz="0" w:space="0" w:color="auto"/>
            <w:left w:val="none" w:sz="0" w:space="0" w:color="auto"/>
            <w:bottom w:val="none" w:sz="0" w:space="0" w:color="auto"/>
            <w:right w:val="none" w:sz="0" w:space="0" w:color="auto"/>
          </w:divBdr>
        </w:div>
        <w:div w:id="1745181262">
          <w:marLeft w:val="0"/>
          <w:marRight w:val="0"/>
          <w:marTop w:val="0"/>
          <w:marBottom w:val="0"/>
          <w:divBdr>
            <w:top w:val="none" w:sz="0" w:space="0" w:color="auto"/>
            <w:left w:val="none" w:sz="0" w:space="0" w:color="auto"/>
            <w:bottom w:val="none" w:sz="0" w:space="0" w:color="auto"/>
            <w:right w:val="none" w:sz="0" w:space="0" w:color="auto"/>
          </w:divBdr>
        </w:div>
        <w:div w:id="2119517207">
          <w:marLeft w:val="0"/>
          <w:marRight w:val="0"/>
          <w:marTop w:val="0"/>
          <w:marBottom w:val="0"/>
          <w:divBdr>
            <w:top w:val="none" w:sz="0" w:space="0" w:color="auto"/>
            <w:left w:val="none" w:sz="0" w:space="0" w:color="auto"/>
            <w:bottom w:val="none" w:sz="0" w:space="0" w:color="auto"/>
            <w:right w:val="none" w:sz="0" w:space="0" w:color="auto"/>
          </w:divBdr>
        </w:div>
        <w:div w:id="827132067">
          <w:marLeft w:val="0"/>
          <w:marRight w:val="0"/>
          <w:marTop w:val="0"/>
          <w:marBottom w:val="0"/>
          <w:divBdr>
            <w:top w:val="none" w:sz="0" w:space="0" w:color="auto"/>
            <w:left w:val="none" w:sz="0" w:space="0" w:color="auto"/>
            <w:bottom w:val="none" w:sz="0" w:space="0" w:color="auto"/>
            <w:right w:val="none" w:sz="0" w:space="0" w:color="auto"/>
          </w:divBdr>
        </w:div>
        <w:div w:id="1802460254">
          <w:marLeft w:val="0"/>
          <w:marRight w:val="0"/>
          <w:marTop w:val="0"/>
          <w:marBottom w:val="0"/>
          <w:divBdr>
            <w:top w:val="none" w:sz="0" w:space="0" w:color="auto"/>
            <w:left w:val="none" w:sz="0" w:space="0" w:color="auto"/>
            <w:bottom w:val="none" w:sz="0" w:space="0" w:color="auto"/>
            <w:right w:val="none" w:sz="0" w:space="0" w:color="auto"/>
          </w:divBdr>
        </w:div>
        <w:div w:id="837382505">
          <w:marLeft w:val="0"/>
          <w:marRight w:val="0"/>
          <w:marTop w:val="0"/>
          <w:marBottom w:val="0"/>
          <w:divBdr>
            <w:top w:val="none" w:sz="0" w:space="0" w:color="auto"/>
            <w:left w:val="none" w:sz="0" w:space="0" w:color="auto"/>
            <w:bottom w:val="none" w:sz="0" w:space="0" w:color="auto"/>
            <w:right w:val="none" w:sz="0" w:space="0" w:color="auto"/>
          </w:divBdr>
        </w:div>
        <w:div w:id="2005160565">
          <w:marLeft w:val="0"/>
          <w:marRight w:val="0"/>
          <w:marTop w:val="0"/>
          <w:marBottom w:val="0"/>
          <w:divBdr>
            <w:top w:val="none" w:sz="0" w:space="0" w:color="auto"/>
            <w:left w:val="none" w:sz="0" w:space="0" w:color="auto"/>
            <w:bottom w:val="none" w:sz="0" w:space="0" w:color="auto"/>
            <w:right w:val="none" w:sz="0" w:space="0" w:color="auto"/>
          </w:divBdr>
        </w:div>
        <w:div w:id="1664505419">
          <w:marLeft w:val="0"/>
          <w:marRight w:val="0"/>
          <w:marTop w:val="0"/>
          <w:marBottom w:val="0"/>
          <w:divBdr>
            <w:top w:val="none" w:sz="0" w:space="0" w:color="auto"/>
            <w:left w:val="none" w:sz="0" w:space="0" w:color="auto"/>
            <w:bottom w:val="none" w:sz="0" w:space="0" w:color="auto"/>
            <w:right w:val="none" w:sz="0" w:space="0" w:color="auto"/>
          </w:divBdr>
        </w:div>
        <w:div w:id="561142809">
          <w:marLeft w:val="0"/>
          <w:marRight w:val="0"/>
          <w:marTop w:val="0"/>
          <w:marBottom w:val="0"/>
          <w:divBdr>
            <w:top w:val="none" w:sz="0" w:space="0" w:color="auto"/>
            <w:left w:val="none" w:sz="0" w:space="0" w:color="auto"/>
            <w:bottom w:val="none" w:sz="0" w:space="0" w:color="auto"/>
            <w:right w:val="none" w:sz="0" w:space="0" w:color="auto"/>
          </w:divBdr>
        </w:div>
        <w:div w:id="1513881754">
          <w:marLeft w:val="0"/>
          <w:marRight w:val="0"/>
          <w:marTop w:val="0"/>
          <w:marBottom w:val="0"/>
          <w:divBdr>
            <w:top w:val="none" w:sz="0" w:space="0" w:color="auto"/>
            <w:left w:val="none" w:sz="0" w:space="0" w:color="auto"/>
            <w:bottom w:val="none" w:sz="0" w:space="0" w:color="auto"/>
            <w:right w:val="none" w:sz="0" w:space="0" w:color="auto"/>
          </w:divBdr>
        </w:div>
        <w:div w:id="770779429">
          <w:marLeft w:val="0"/>
          <w:marRight w:val="0"/>
          <w:marTop w:val="0"/>
          <w:marBottom w:val="0"/>
          <w:divBdr>
            <w:top w:val="none" w:sz="0" w:space="0" w:color="auto"/>
            <w:left w:val="none" w:sz="0" w:space="0" w:color="auto"/>
            <w:bottom w:val="none" w:sz="0" w:space="0" w:color="auto"/>
            <w:right w:val="none" w:sz="0" w:space="0" w:color="auto"/>
          </w:divBdr>
        </w:div>
        <w:div w:id="239340376">
          <w:marLeft w:val="0"/>
          <w:marRight w:val="0"/>
          <w:marTop w:val="0"/>
          <w:marBottom w:val="0"/>
          <w:divBdr>
            <w:top w:val="none" w:sz="0" w:space="0" w:color="auto"/>
            <w:left w:val="none" w:sz="0" w:space="0" w:color="auto"/>
            <w:bottom w:val="none" w:sz="0" w:space="0" w:color="auto"/>
            <w:right w:val="none" w:sz="0" w:space="0" w:color="auto"/>
          </w:divBdr>
        </w:div>
        <w:div w:id="1143696501">
          <w:marLeft w:val="0"/>
          <w:marRight w:val="0"/>
          <w:marTop w:val="0"/>
          <w:marBottom w:val="0"/>
          <w:divBdr>
            <w:top w:val="none" w:sz="0" w:space="0" w:color="auto"/>
            <w:left w:val="none" w:sz="0" w:space="0" w:color="auto"/>
            <w:bottom w:val="none" w:sz="0" w:space="0" w:color="auto"/>
            <w:right w:val="none" w:sz="0" w:space="0" w:color="auto"/>
          </w:divBdr>
        </w:div>
        <w:div w:id="1600793527">
          <w:marLeft w:val="0"/>
          <w:marRight w:val="0"/>
          <w:marTop w:val="0"/>
          <w:marBottom w:val="0"/>
          <w:divBdr>
            <w:top w:val="none" w:sz="0" w:space="0" w:color="auto"/>
            <w:left w:val="none" w:sz="0" w:space="0" w:color="auto"/>
            <w:bottom w:val="none" w:sz="0" w:space="0" w:color="auto"/>
            <w:right w:val="none" w:sz="0" w:space="0" w:color="auto"/>
          </w:divBdr>
        </w:div>
        <w:div w:id="281377781">
          <w:marLeft w:val="0"/>
          <w:marRight w:val="0"/>
          <w:marTop w:val="0"/>
          <w:marBottom w:val="0"/>
          <w:divBdr>
            <w:top w:val="none" w:sz="0" w:space="0" w:color="auto"/>
            <w:left w:val="none" w:sz="0" w:space="0" w:color="auto"/>
            <w:bottom w:val="none" w:sz="0" w:space="0" w:color="auto"/>
            <w:right w:val="none" w:sz="0" w:space="0" w:color="auto"/>
          </w:divBdr>
        </w:div>
        <w:div w:id="498739790">
          <w:marLeft w:val="0"/>
          <w:marRight w:val="0"/>
          <w:marTop w:val="0"/>
          <w:marBottom w:val="0"/>
          <w:divBdr>
            <w:top w:val="none" w:sz="0" w:space="0" w:color="auto"/>
            <w:left w:val="none" w:sz="0" w:space="0" w:color="auto"/>
            <w:bottom w:val="none" w:sz="0" w:space="0" w:color="auto"/>
            <w:right w:val="none" w:sz="0" w:space="0" w:color="auto"/>
          </w:divBdr>
        </w:div>
        <w:div w:id="187178893">
          <w:marLeft w:val="0"/>
          <w:marRight w:val="0"/>
          <w:marTop w:val="0"/>
          <w:marBottom w:val="0"/>
          <w:divBdr>
            <w:top w:val="none" w:sz="0" w:space="0" w:color="auto"/>
            <w:left w:val="none" w:sz="0" w:space="0" w:color="auto"/>
            <w:bottom w:val="none" w:sz="0" w:space="0" w:color="auto"/>
            <w:right w:val="none" w:sz="0" w:space="0" w:color="auto"/>
          </w:divBdr>
        </w:div>
        <w:div w:id="1792701099">
          <w:marLeft w:val="0"/>
          <w:marRight w:val="0"/>
          <w:marTop w:val="0"/>
          <w:marBottom w:val="0"/>
          <w:divBdr>
            <w:top w:val="none" w:sz="0" w:space="0" w:color="auto"/>
            <w:left w:val="none" w:sz="0" w:space="0" w:color="auto"/>
            <w:bottom w:val="none" w:sz="0" w:space="0" w:color="auto"/>
            <w:right w:val="none" w:sz="0" w:space="0" w:color="auto"/>
          </w:divBdr>
        </w:div>
        <w:div w:id="998653275">
          <w:marLeft w:val="0"/>
          <w:marRight w:val="0"/>
          <w:marTop w:val="0"/>
          <w:marBottom w:val="0"/>
          <w:divBdr>
            <w:top w:val="none" w:sz="0" w:space="0" w:color="auto"/>
            <w:left w:val="none" w:sz="0" w:space="0" w:color="auto"/>
            <w:bottom w:val="none" w:sz="0" w:space="0" w:color="auto"/>
            <w:right w:val="none" w:sz="0" w:space="0" w:color="auto"/>
          </w:divBdr>
        </w:div>
        <w:div w:id="1787846051">
          <w:marLeft w:val="0"/>
          <w:marRight w:val="0"/>
          <w:marTop w:val="0"/>
          <w:marBottom w:val="0"/>
          <w:divBdr>
            <w:top w:val="none" w:sz="0" w:space="0" w:color="auto"/>
            <w:left w:val="none" w:sz="0" w:space="0" w:color="auto"/>
            <w:bottom w:val="none" w:sz="0" w:space="0" w:color="auto"/>
            <w:right w:val="none" w:sz="0" w:space="0" w:color="auto"/>
          </w:divBdr>
        </w:div>
        <w:div w:id="1341547672">
          <w:marLeft w:val="0"/>
          <w:marRight w:val="0"/>
          <w:marTop w:val="0"/>
          <w:marBottom w:val="0"/>
          <w:divBdr>
            <w:top w:val="none" w:sz="0" w:space="0" w:color="auto"/>
            <w:left w:val="none" w:sz="0" w:space="0" w:color="auto"/>
            <w:bottom w:val="none" w:sz="0" w:space="0" w:color="auto"/>
            <w:right w:val="none" w:sz="0" w:space="0" w:color="auto"/>
          </w:divBdr>
        </w:div>
        <w:div w:id="1166483941">
          <w:marLeft w:val="0"/>
          <w:marRight w:val="0"/>
          <w:marTop w:val="0"/>
          <w:marBottom w:val="0"/>
          <w:divBdr>
            <w:top w:val="none" w:sz="0" w:space="0" w:color="auto"/>
            <w:left w:val="none" w:sz="0" w:space="0" w:color="auto"/>
            <w:bottom w:val="none" w:sz="0" w:space="0" w:color="auto"/>
            <w:right w:val="none" w:sz="0" w:space="0" w:color="auto"/>
          </w:divBdr>
        </w:div>
        <w:div w:id="1672100373">
          <w:marLeft w:val="0"/>
          <w:marRight w:val="0"/>
          <w:marTop w:val="0"/>
          <w:marBottom w:val="0"/>
          <w:divBdr>
            <w:top w:val="none" w:sz="0" w:space="0" w:color="auto"/>
            <w:left w:val="none" w:sz="0" w:space="0" w:color="auto"/>
            <w:bottom w:val="none" w:sz="0" w:space="0" w:color="auto"/>
            <w:right w:val="none" w:sz="0" w:space="0" w:color="auto"/>
          </w:divBdr>
        </w:div>
        <w:div w:id="1147278916">
          <w:marLeft w:val="0"/>
          <w:marRight w:val="0"/>
          <w:marTop w:val="0"/>
          <w:marBottom w:val="0"/>
          <w:divBdr>
            <w:top w:val="none" w:sz="0" w:space="0" w:color="auto"/>
            <w:left w:val="none" w:sz="0" w:space="0" w:color="auto"/>
            <w:bottom w:val="none" w:sz="0" w:space="0" w:color="auto"/>
            <w:right w:val="none" w:sz="0" w:space="0" w:color="auto"/>
          </w:divBdr>
        </w:div>
        <w:div w:id="1120487573">
          <w:marLeft w:val="0"/>
          <w:marRight w:val="0"/>
          <w:marTop w:val="0"/>
          <w:marBottom w:val="0"/>
          <w:divBdr>
            <w:top w:val="none" w:sz="0" w:space="0" w:color="auto"/>
            <w:left w:val="none" w:sz="0" w:space="0" w:color="auto"/>
            <w:bottom w:val="none" w:sz="0" w:space="0" w:color="auto"/>
            <w:right w:val="none" w:sz="0" w:space="0" w:color="auto"/>
          </w:divBdr>
        </w:div>
        <w:div w:id="221990000">
          <w:marLeft w:val="0"/>
          <w:marRight w:val="0"/>
          <w:marTop w:val="0"/>
          <w:marBottom w:val="0"/>
          <w:divBdr>
            <w:top w:val="none" w:sz="0" w:space="0" w:color="auto"/>
            <w:left w:val="none" w:sz="0" w:space="0" w:color="auto"/>
            <w:bottom w:val="none" w:sz="0" w:space="0" w:color="auto"/>
            <w:right w:val="none" w:sz="0" w:space="0" w:color="auto"/>
          </w:divBdr>
        </w:div>
        <w:div w:id="2056419389">
          <w:marLeft w:val="0"/>
          <w:marRight w:val="0"/>
          <w:marTop w:val="0"/>
          <w:marBottom w:val="0"/>
          <w:divBdr>
            <w:top w:val="none" w:sz="0" w:space="0" w:color="auto"/>
            <w:left w:val="none" w:sz="0" w:space="0" w:color="auto"/>
            <w:bottom w:val="none" w:sz="0" w:space="0" w:color="auto"/>
            <w:right w:val="none" w:sz="0" w:space="0" w:color="auto"/>
          </w:divBdr>
        </w:div>
        <w:div w:id="1838499382">
          <w:marLeft w:val="0"/>
          <w:marRight w:val="0"/>
          <w:marTop w:val="0"/>
          <w:marBottom w:val="0"/>
          <w:divBdr>
            <w:top w:val="none" w:sz="0" w:space="0" w:color="auto"/>
            <w:left w:val="none" w:sz="0" w:space="0" w:color="auto"/>
            <w:bottom w:val="none" w:sz="0" w:space="0" w:color="auto"/>
            <w:right w:val="none" w:sz="0" w:space="0" w:color="auto"/>
          </w:divBdr>
        </w:div>
        <w:div w:id="578373132">
          <w:marLeft w:val="0"/>
          <w:marRight w:val="0"/>
          <w:marTop w:val="0"/>
          <w:marBottom w:val="0"/>
          <w:divBdr>
            <w:top w:val="none" w:sz="0" w:space="0" w:color="auto"/>
            <w:left w:val="none" w:sz="0" w:space="0" w:color="auto"/>
            <w:bottom w:val="none" w:sz="0" w:space="0" w:color="auto"/>
            <w:right w:val="none" w:sz="0" w:space="0" w:color="auto"/>
          </w:divBdr>
        </w:div>
        <w:div w:id="1488672866">
          <w:marLeft w:val="0"/>
          <w:marRight w:val="0"/>
          <w:marTop w:val="0"/>
          <w:marBottom w:val="0"/>
          <w:divBdr>
            <w:top w:val="none" w:sz="0" w:space="0" w:color="auto"/>
            <w:left w:val="none" w:sz="0" w:space="0" w:color="auto"/>
            <w:bottom w:val="none" w:sz="0" w:space="0" w:color="auto"/>
            <w:right w:val="none" w:sz="0" w:space="0" w:color="auto"/>
          </w:divBdr>
        </w:div>
        <w:div w:id="1384911978">
          <w:marLeft w:val="0"/>
          <w:marRight w:val="0"/>
          <w:marTop w:val="0"/>
          <w:marBottom w:val="0"/>
          <w:divBdr>
            <w:top w:val="none" w:sz="0" w:space="0" w:color="auto"/>
            <w:left w:val="none" w:sz="0" w:space="0" w:color="auto"/>
            <w:bottom w:val="none" w:sz="0" w:space="0" w:color="auto"/>
            <w:right w:val="none" w:sz="0" w:space="0" w:color="auto"/>
          </w:divBdr>
        </w:div>
        <w:div w:id="891160774">
          <w:marLeft w:val="0"/>
          <w:marRight w:val="0"/>
          <w:marTop w:val="0"/>
          <w:marBottom w:val="0"/>
          <w:divBdr>
            <w:top w:val="none" w:sz="0" w:space="0" w:color="auto"/>
            <w:left w:val="none" w:sz="0" w:space="0" w:color="auto"/>
            <w:bottom w:val="none" w:sz="0" w:space="0" w:color="auto"/>
            <w:right w:val="none" w:sz="0" w:space="0" w:color="auto"/>
          </w:divBdr>
        </w:div>
        <w:div w:id="206645679">
          <w:marLeft w:val="0"/>
          <w:marRight w:val="0"/>
          <w:marTop w:val="0"/>
          <w:marBottom w:val="0"/>
          <w:divBdr>
            <w:top w:val="none" w:sz="0" w:space="0" w:color="auto"/>
            <w:left w:val="none" w:sz="0" w:space="0" w:color="auto"/>
            <w:bottom w:val="none" w:sz="0" w:space="0" w:color="auto"/>
            <w:right w:val="none" w:sz="0" w:space="0" w:color="auto"/>
          </w:divBdr>
        </w:div>
        <w:div w:id="587812846">
          <w:marLeft w:val="0"/>
          <w:marRight w:val="0"/>
          <w:marTop w:val="0"/>
          <w:marBottom w:val="0"/>
          <w:divBdr>
            <w:top w:val="none" w:sz="0" w:space="0" w:color="auto"/>
            <w:left w:val="none" w:sz="0" w:space="0" w:color="auto"/>
            <w:bottom w:val="none" w:sz="0" w:space="0" w:color="auto"/>
            <w:right w:val="none" w:sz="0" w:space="0" w:color="auto"/>
          </w:divBdr>
        </w:div>
        <w:div w:id="2116172512">
          <w:marLeft w:val="0"/>
          <w:marRight w:val="0"/>
          <w:marTop w:val="0"/>
          <w:marBottom w:val="0"/>
          <w:divBdr>
            <w:top w:val="none" w:sz="0" w:space="0" w:color="auto"/>
            <w:left w:val="none" w:sz="0" w:space="0" w:color="auto"/>
            <w:bottom w:val="none" w:sz="0" w:space="0" w:color="auto"/>
            <w:right w:val="none" w:sz="0" w:space="0" w:color="auto"/>
          </w:divBdr>
        </w:div>
        <w:div w:id="699748417">
          <w:marLeft w:val="0"/>
          <w:marRight w:val="0"/>
          <w:marTop w:val="0"/>
          <w:marBottom w:val="0"/>
          <w:divBdr>
            <w:top w:val="none" w:sz="0" w:space="0" w:color="auto"/>
            <w:left w:val="none" w:sz="0" w:space="0" w:color="auto"/>
            <w:bottom w:val="none" w:sz="0" w:space="0" w:color="auto"/>
            <w:right w:val="none" w:sz="0" w:space="0" w:color="auto"/>
          </w:divBdr>
        </w:div>
        <w:div w:id="1828132162">
          <w:marLeft w:val="0"/>
          <w:marRight w:val="0"/>
          <w:marTop w:val="0"/>
          <w:marBottom w:val="0"/>
          <w:divBdr>
            <w:top w:val="none" w:sz="0" w:space="0" w:color="auto"/>
            <w:left w:val="none" w:sz="0" w:space="0" w:color="auto"/>
            <w:bottom w:val="none" w:sz="0" w:space="0" w:color="auto"/>
            <w:right w:val="none" w:sz="0" w:space="0" w:color="auto"/>
          </w:divBdr>
        </w:div>
        <w:div w:id="158353794">
          <w:marLeft w:val="0"/>
          <w:marRight w:val="0"/>
          <w:marTop w:val="0"/>
          <w:marBottom w:val="0"/>
          <w:divBdr>
            <w:top w:val="none" w:sz="0" w:space="0" w:color="auto"/>
            <w:left w:val="none" w:sz="0" w:space="0" w:color="auto"/>
            <w:bottom w:val="none" w:sz="0" w:space="0" w:color="auto"/>
            <w:right w:val="none" w:sz="0" w:space="0" w:color="auto"/>
          </w:divBdr>
        </w:div>
        <w:div w:id="502352623">
          <w:marLeft w:val="0"/>
          <w:marRight w:val="0"/>
          <w:marTop w:val="0"/>
          <w:marBottom w:val="0"/>
          <w:divBdr>
            <w:top w:val="none" w:sz="0" w:space="0" w:color="auto"/>
            <w:left w:val="none" w:sz="0" w:space="0" w:color="auto"/>
            <w:bottom w:val="none" w:sz="0" w:space="0" w:color="auto"/>
            <w:right w:val="none" w:sz="0" w:space="0" w:color="auto"/>
          </w:divBdr>
        </w:div>
        <w:div w:id="1508641017">
          <w:marLeft w:val="0"/>
          <w:marRight w:val="0"/>
          <w:marTop w:val="0"/>
          <w:marBottom w:val="0"/>
          <w:divBdr>
            <w:top w:val="none" w:sz="0" w:space="0" w:color="auto"/>
            <w:left w:val="none" w:sz="0" w:space="0" w:color="auto"/>
            <w:bottom w:val="none" w:sz="0" w:space="0" w:color="auto"/>
            <w:right w:val="none" w:sz="0" w:space="0" w:color="auto"/>
          </w:divBdr>
        </w:div>
        <w:div w:id="1388410666">
          <w:marLeft w:val="0"/>
          <w:marRight w:val="0"/>
          <w:marTop w:val="0"/>
          <w:marBottom w:val="0"/>
          <w:divBdr>
            <w:top w:val="none" w:sz="0" w:space="0" w:color="auto"/>
            <w:left w:val="none" w:sz="0" w:space="0" w:color="auto"/>
            <w:bottom w:val="none" w:sz="0" w:space="0" w:color="auto"/>
            <w:right w:val="none" w:sz="0" w:space="0" w:color="auto"/>
          </w:divBdr>
        </w:div>
        <w:div w:id="1054505309">
          <w:marLeft w:val="0"/>
          <w:marRight w:val="0"/>
          <w:marTop w:val="0"/>
          <w:marBottom w:val="0"/>
          <w:divBdr>
            <w:top w:val="none" w:sz="0" w:space="0" w:color="auto"/>
            <w:left w:val="none" w:sz="0" w:space="0" w:color="auto"/>
            <w:bottom w:val="none" w:sz="0" w:space="0" w:color="auto"/>
            <w:right w:val="none" w:sz="0" w:space="0" w:color="auto"/>
          </w:divBdr>
        </w:div>
        <w:div w:id="242226426">
          <w:marLeft w:val="0"/>
          <w:marRight w:val="0"/>
          <w:marTop w:val="0"/>
          <w:marBottom w:val="0"/>
          <w:divBdr>
            <w:top w:val="none" w:sz="0" w:space="0" w:color="auto"/>
            <w:left w:val="none" w:sz="0" w:space="0" w:color="auto"/>
            <w:bottom w:val="none" w:sz="0" w:space="0" w:color="auto"/>
            <w:right w:val="none" w:sz="0" w:space="0" w:color="auto"/>
          </w:divBdr>
        </w:div>
        <w:div w:id="953173780">
          <w:marLeft w:val="0"/>
          <w:marRight w:val="0"/>
          <w:marTop w:val="0"/>
          <w:marBottom w:val="0"/>
          <w:divBdr>
            <w:top w:val="none" w:sz="0" w:space="0" w:color="auto"/>
            <w:left w:val="none" w:sz="0" w:space="0" w:color="auto"/>
            <w:bottom w:val="none" w:sz="0" w:space="0" w:color="auto"/>
            <w:right w:val="none" w:sz="0" w:space="0" w:color="auto"/>
          </w:divBdr>
        </w:div>
        <w:div w:id="1440101158">
          <w:marLeft w:val="0"/>
          <w:marRight w:val="0"/>
          <w:marTop w:val="0"/>
          <w:marBottom w:val="0"/>
          <w:divBdr>
            <w:top w:val="none" w:sz="0" w:space="0" w:color="auto"/>
            <w:left w:val="none" w:sz="0" w:space="0" w:color="auto"/>
            <w:bottom w:val="none" w:sz="0" w:space="0" w:color="auto"/>
            <w:right w:val="none" w:sz="0" w:space="0" w:color="auto"/>
          </w:divBdr>
        </w:div>
        <w:div w:id="1359622098">
          <w:marLeft w:val="0"/>
          <w:marRight w:val="0"/>
          <w:marTop w:val="0"/>
          <w:marBottom w:val="0"/>
          <w:divBdr>
            <w:top w:val="none" w:sz="0" w:space="0" w:color="auto"/>
            <w:left w:val="none" w:sz="0" w:space="0" w:color="auto"/>
            <w:bottom w:val="none" w:sz="0" w:space="0" w:color="auto"/>
            <w:right w:val="none" w:sz="0" w:space="0" w:color="auto"/>
          </w:divBdr>
        </w:div>
        <w:div w:id="562568946">
          <w:marLeft w:val="0"/>
          <w:marRight w:val="0"/>
          <w:marTop w:val="0"/>
          <w:marBottom w:val="0"/>
          <w:divBdr>
            <w:top w:val="none" w:sz="0" w:space="0" w:color="auto"/>
            <w:left w:val="none" w:sz="0" w:space="0" w:color="auto"/>
            <w:bottom w:val="none" w:sz="0" w:space="0" w:color="auto"/>
            <w:right w:val="none" w:sz="0" w:space="0" w:color="auto"/>
          </w:divBdr>
        </w:div>
      </w:divsChild>
    </w:div>
    <w:div w:id="1163936264">
      <w:bodyDiv w:val="1"/>
      <w:marLeft w:val="0"/>
      <w:marRight w:val="0"/>
      <w:marTop w:val="0"/>
      <w:marBottom w:val="0"/>
      <w:divBdr>
        <w:top w:val="none" w:sz="0" w:space="0" w:color="auto"/>
        <w:left w:val="none" w:sz="0" w:space="0" w:color="auto"/>
        <w:bottom w:val="none" w:sz="0" w:space="0" w:color="auto"/>
        <w:right w:val="none" w:sz="0" w:space="0" w:color="auto"/>
      </w:divBdr>
    </w:div>
    <w:div w:id="1178034550">
      <w:bodyDiv w:val="1"/>
      <w:marLeft w:val="0"/>
      <w:marRight w:val="0"/>
      <w:marTop w:val="0"/>
      <w:marBottom w:val="0"/>
      <w:divBdr>
        <w:top w:val="none" w:sz="0" w:space="0" w:color="auto"/>
        <w:left w:val="none" w:sz="0" w:space="0" w:color="auto"/>
        <w:bottom w:val="none" w:sz="0" w:space="0" w:color="auto"/>
        <w:right w:val="none" w:sz="0" w:space="0" w:color="auto"/>
      </w:divBdr>
      <w:divsChild>
        <w:div w:id="183439993">
          <w:marLeft w:val="0"/>
          <w:marRight w:val="0"/>
          <w:marTop w:val="0"/>
          <w:marBottom w:val="0"/>
          <w:divBdr>
            <w:top w:val="none" w:sz="0" w:space="0" w:color="auto"/>
            <w:left w:val="none" w:sz="0" w:space="0" w:color="auto"/>
            <w:bottom w:val="none" w:sz="0" w:space="0" w:color="auto"/>
            <w:right w:val="none" w:sz="0" w:space="0" w:color="auto"/>
          </w:divBdr>
        </w:div>
        <w:div w:id="964432916">
          <w:marLeft w:val="0"/>
          <w:marRight w:val="0"/>
          <w:marTop w:val="0"/>
          <w:marBottom w:val="0"/>
          <w:divBdr>
            <w:top w:val="none" w:sz="0" w:space="0" w:color="auto"/>
            <w:left w:val="none" w:sz="0" w:space="0" w:color="auto"/>
            <w:bottom w:val="none" w:sz="0" w:space="0" w:color="auto"/>
            <w:right w:val="none" w:sz="0" w:space="0" w:color="auto"/>
          </w:divBdr>
        </w:div>
        <w:div w:id="1595166343">
          <w:marLeft w:val="0"/>
          <w:marRight w:val="0"/>
          <w:marTop w:val="0"/>
          <w:marBottom w:val="0"/>
          <w:divBdr>
            <w:top w:val="none" w:sz="0" w:space="0" w:color="auto"/>
            <w:left w:val="none" w:sz="0" w:space="0" w:color="auto"/>
            <w:bottom w:val="none" w:sz="0" w:space="0" w:color="auto"/>
            <w:right w:val="none" w:sz="0" w:space="0" w:color="auto"/>
          </w:divBdr>
        </w:div>
        <w:div w:id="549732838">
          <w:marLeft w:val="0"/>
          <w:marRight w:val="0"/>
          <w:marTop w:val="0"/>
          <w:marBottom w:val="0"/>
          <w:divBdr>
            <w:top w:val="none" w:sz="0" w:space="0" w:color="auto"/>
            <w:left w:val="none" w:sz="0" w:space="0" w:color="auto"/>
            <w:bottom w:val="none" w:sz="0" w:space="0" w:color="auto"/>
            <w:right w:val="none" w:sz="0" w:space="0" w:color="auto"/>
          </w:divBdr>
        </w:div>
        <w:div w:id="696153457">
          <w:marLeft w:val="0"/>
          <w:marRight w:val="0"/>
          <w:marTop w:val="0"/>
          <w:marBottom w:val="0"/>
          <w:divBdr>
            <w:top w:val="none" w:sz="0" w:space="0" w:color="auto"/>
            <w:left w:val="none" w:sz="0" w:space="0" w:color="auto"/>
            <w:bottom w:val="none" w:sz="0" w:space="0" w:color="auto"/>
            <w:right w:val="none" w:sz="0" w:space="0" w:color="auto"/>
          </w:divBdr>
        </w:div>
        <w:div w:id="371539481">
          <w:marLeft w:val="0"/>
          <w:marRight w:val="0"/>
          <w:marTop w:val="0"/>
          <w:marBottom w:val="0"/>
          <w:divBdr>
            <w:top w:val="none" w:sz="0" w:space="0" w:color="auto"/>
            <w:left w:val="none" w:sz="0" w:space="0" w:color="auto"/>
            <w:bottom w:val="none" w:sz="0" w:space="0" w:color="auto"/>
            <w:right w:val="none" w:sz="0" w:space="0" w:color="auto"/>
          </w:divBdr>
        </w:div>
        <w:div w:id="1739981010">
          <w:marLeft w:val="0"/>
          <w:marRight w:val="0"/>
          <w:marTop w:val="0"/>
          <w:marBottom w:val="0"/>
          <w:divBdr>
            <w:top w:val="none" w:sz="0" w:space="0" w:color="auto"/>
            <w:left w:val="none" w:sz="0" w:space="0" w:color="auto"/>
            <w:bottom w:val="none" w:sz="0" w:space="0" w:color="auto"/>
            <w:right w:val="none" w:sz="0" w:space="0" w:color="auto"/>
          </w:divBdr>
        </w:div>
        <w:div w:id="2110274480">
          <w:marLeft w:val="0"/>
          <w:marRight w:val="0"/>
          <w:marTop w:val="0"/>
          <w:marBottom w:val="0"/>
          <w:divBdr>
            <w:top w:val="none" w:sz="0" w:space="0" w:color="auto"/>
            <w:left w:val="none" w:sz="0" w:space="0" w:color="auto"/>
            <w:bottom w:val="none" w:sz="0" w:space="0" w:color="auto"/>
            <w:right w:val="none" w:sz="0" w:space="0" w:color="auto"/>
          </w:divBdr>
        </w:div>
        <w:div w:id="1728258604">
          <w:marLeft w:val="0"/>
          <w:marRight w:val="0"/>
          <w:marTop w:val="0"/>
          <w:marBottom w:val="0"/>
          <w:divBdr>
            <w:top w:val="none" w:sz="0" w:space="0" w:color="auto"/>
            <w:left w:val="none" w:sz="0" w:space="0" w:color="auto"/>
            <w:bottom w:val="none" w:sz="0" w:space="0" w:color="auto"/>
            <w:right w:val="none" w:sz="0" w:space="0" w:color="auto"/>
          </w:divBdr>
        </w:div>
        <w:div w:id="41907322">
          <w:marLeft w:val="0"/>
          <w:marRight w:val="0"/>
          <w:marTop w:val="0"/>
          <w:marBottom w:val="0"/>
          <w:divBdr>
            <w:top w:val="none" w:sz="0" w:space="0" w:color="auto"/>
            <w:left w:val="none" w:sz="0" w:space="0" w:color="auto"/>
            <w:bottom w:val="none" w:sz="0" w:space="0" w:color="auto"/>
            <w:right w:val="none" w:sz="0" w:space="0" w:color="auto"/>
          </w:divBdr>
        </w:div>
        <w:div w:id="638730470">
          <w:marLeft w:val="0"/>
          <w:marRight w:val="0"/>
          <w:marTop w:val="0"/>
          <w:marBottom w:val="0"/>
          <w:divBdr>
            <w:top w:val="none" w:sz="0" w:space="0" w:color="auto"/>
            <w:left w:val="none" w:sz="0" w:space="0" w:color="auto"/>
            <w:bottom w:val="none" w:sz="0" w:space="0" w:color="auto"/>
            <w:right w:val="none" w:sz="0" w:space="0" w:color="auto"/>
          </w:divBdr>
        </w:div>
      </w:divsChild>
    </w:div>
    <w:div w:id="1207450567">
      <w:bodyDiv w:val="1"/>
      <w:marLeft w:val="0"/>
      <w:marRight w:val="0"/>
      <w:marTop w:val="0"/>
      <w:marBottom w:val="0"/>
      <w:divBdr>
        <w:top w:val="none" w:sz="0" w:space="0" w:color="auto"/>
        <w:left w:val="none" w:sz="0" w:space="0" w:color="auto"/>
        <w:bottom w:val="none" w:sz="0" w:space="0" w:color="auto"/>
        <w:right w:val="none" w:sz="0" w:space="0" w:color="auto"/>
      </w:divBdr>
    </w:div>
    <w:div w:id="1218661712">
      <w:bodyDiv w:val="1"/>
      <w:marLeft w:val="0"/>
      <w:marRight w:val="0"/>
      <w:marTop w:val="0"/>
      <w:marBottom w:val="0"/>
      <w:divBdr>
        <w:top w:val="none" w:sz="0" w:space="0" w:color="auto"/>
        <w:left w:val="none" w:sz="0" w:space="0" w:color="auto"/>
        <w:bottom w:val="none" w:sz="0" w:space="0" w:color="auto"/>
        <w:right w:val="none" w:sz="0" w:space="0" w:color="auto"/>
      </w:divBdr>
      <w:divsChild>
        <w:div w:id="405961195">
          <w:marLeft w:val="0"/>
          <w:marRight w:val="0"/>
          <w:marTop w:val="0"/>
          <w:marBottom w:val="0"/>
          <w:divBdr>
            <w:top w:val="none" w:sz="0" w:space="0" w:color="auto"/>
            <w:left w:val="none" w:sz="0" w:space="0" w:color="auto"/>
            <w:bottom w:val="none" w:sz="0" w:space="0" w:color="auto"/>
            <w:right w:val="none" w:sz="0" w:space="0" w:color="auto"/>
          </w:divBdr>
        </w:div>
        <w:div w:id="1397896529">
          <w:marLeft w:val="0"/>
          <w:marRight w:val="0"/>
          <w:marTop w:val="0"/>
          <w:marBottom w:val="0"/>
          <w:divBdr>
            <w:top w:val="none" w:sz="0" w:space="0" w:color="auto"/>
            <w:left w:val="none" w:sz="0" w:space="0" w:color="auto"/>
            <w:bottom w:val="none" w:sz="0" w:space="0" w:color="auto"/>
            <w:right w:val="none" w:sz="0" w:space="0" w:color="auto"/>
          </w:divBdr>
        </w:div>
        <w:div w:id="226308252">
          <w:marLeft w:val="0"/>
          <w:marRight w:val="0"/>
          <w:marTop w:val="0"/>
          <w:marBottom w:val="0"/>
          <w:divBdr>
            <w:top w:val="none" w:sz="0" w:space="0" w:color="auto"/>
            <w:left w:val="none" w:sz="0" w:space="0" w:color="auto"/>
            <w:bottom w:val="none" w:sz="0" w:space="0" w:color="auto"/>
            <w:right w:val="none" w:sz="0" w:space="0" w:color="auto"/>
          </w:divBdr>
        </w:div>
        <w:div w:id="1872448146">
          <w:marLeft w:val="0"/>
          <w:marRight w:val="0"/>
          <w:marTop w:val="0"/>
          <w:marBottom w:val="0"/>
          <w:divBdr>
            <w:top w:val="none" w:sz="0" w:space="0" w:color="auto"/>
            <w:left w:val="none" w:sz="0" w:space="0" w:color="auto"/>
            <w:bottom w:val="none" w:sz="0" w:space="0" w:color="auto"/>
            <w:right w:val="none" w:sz="0" w:space="0" w:color="auto"/>
          </w:divBdr>
        </w:div>
        <w:div w:id="1777561562">
          <w:marLeft w:val="0"/>
          <w:marRight w:val="0"/>
          <w:marTop w:val="0"/>
          <w:marBottom w:val="0"/>
          <w:divBdr>
            <w:top w:val="none" w:sz="0" w:space="0" w:color="auto"/>
            <w:left w:val="none" w:sz="0" w:space="0" w:color="auto"/>
            <w:bottom w:val="none" w:sz="0" w:space="0" w:color="auto"/>
            <w:right w:val="none" w:sz="0" w:space="0" w:color="auto"/>
          </w:divBdr>
        </w:div>
        <w:div w:id="978997115">
          <w:marLeft w:val="0"/>
          <w:marRight w:val="0"/>
          <w:marTop w:val="0"/>
          <w:marBottom w:val="0"/>
          <w:divBdr>
            <w:top w:val="none" w:sz="0" w:space="0" w:color="auto"/>
            <w:left w:val="none" w:sz="0" w:space="0" w:color="auto"/>
            <w:bottom w:val="none" w:sz="0" w:space="0" w:color="auto"/>
            <w:right w:val="none" w:sz="0" w:space="0" w:color="auto"/>
          </w:divBdr>
        </w:div>
        <w:div w:id="1247492218">
          <w:marLeft w:val="0"/>
          <w:marRight w:val="0"/>
          <w:marTop w:val="0"/>
          <w:marBottom w:val="0"/>
          <w:divBdr>
            <w:top w:val="none" w:sz="0" w:space="0" w:color="auto"/>
            <w:left w:val="none" w:sz="0" w:space="0" w:color="auto"/>
            <w:bottom w:val="none" w:sz="0" w:space="0" w:color="auto"/>
            <w:right w:val="none" w:sz="0" w:space="0" w:color="auto"/>
          </w:divBdr>
        </w:div>
      </w:divsChild>
    </w:div>
    <w:div w:id="1227187685">
      <w:bodyDiv w:val="1"/>
      <w:marLeft w:val="0"/>
      <w:marRight w:val="0"/>
      <w:marTop w:val="0"/>
      <w:marBottom w:val="0"/>
      <w:divBdr>
        <w:top w:val="none" w:sz="0" w:space="0" w:color="auto"/>
        <w:left w:val="none" w:sz="0" w:space="0" w:color="auto"/>
        <w:bottom w:val="none" w:sz="0" w:space="0" w:color="auto"/>
        <w:right w:val="none" w:sz="0" w:space="0" w:color="auto"/>
      </w:divBdr>
      <w:divsChild>
        <w:div w:id="1190409987">
          <w:marLeft w:val="0"/>
          <w:marRight w:val="0"/>
          <w:marTop w:val="0"/>
          <w:marBottom w:val="0"/>
          <w:divBdr>
            <w:top w:val="none" w:sz="0" w:space="0" w:color="auto"/>
            <w:left w:val="none" w:sz="0" w:space="0" w:color="auto"/>
            <w:bottom w:val="none" w:sz="0" w:space="0" w:color="auto"/>
            <w:right w:val="none" w:sz="0" w:space="0" w:color="auto"/>
          </w:divBdr>
        </w:div>
        <w:div w:id="79375512">
          <w:marLeft w:val="0"/>
          <w:marRight w:val="0"/>
          <w:marTop w:val="0"/>
          <w:marBottom w:val="0"/>
          <w:divBdr>
            <w:top w:val="none" w:sz="0" w:space="0" w:color="auto"/>
            <w:left w:val="none" w:sz="0" w:space="0" w:color="auto"/>
            <w:bottom w:val="none" w:sz="0" w:space="0" w:color="auto"/>
            <w:right w:val="none" w:sz="0" w:space="0" w:color="auto"/>
          </w:divBdr>
        </w:div>
      </w:divsChild>
    </w:div>
    <w:div w:id="1235047978">
      <w:bodyDiv w:val="1"/>
      <w:marLeft w:val="0"/>
      <w:marRight w:val="0"/>
      <w:marTop w:val="0"/>
      <w:marBottom w:val="0"/>
      <w:divBdr>
        <w:top w:val="none" w:sz="0" w:space="0" w:color="auto"/>
        <w:left w:val="none" w:sz="0" w:space="0" w:color="auto"/>
        <w:bottom w:val="none" w:sz="0" w:space="0" w:color="auto"/>
        <w:right w:val="none" w:sz="0" w:space="0" w:color="auto"/>
      </w:divBdr>
      <w:divsChild>
        <w:div w:id="944191147">
          <w:marLeft w:val="0"/>
          <w:marRight w:val="0"/>
          <w:marTop w:val="0"/>
          <w:marBottom w:val="0"/>
          <w:divBdr>
            <w:top w:val="none" w:sz="0" w:space="0" w:color="auto"/>
            <w:left w:val="none" w:sz="0" w:space="0" w:color="auto"/>
            <w:bottom w:val="none" w:sz="0" w:space="0" w:color="auto"/>
            <w:right w:val="none" w:sz="0" w:space="0" w:color="auto"/>
          </w:divBdr>
        </w:div>
        <w:div w:id="1629121387">
          <w:marLeft w:val="0"/>
          <w:marRight w:val="0"/>
          <w:marTop w:val="0"/>
          <w:marBottom w:val="0"/>
          <w:divBdr>
            <w:top w:val="none" w:sz="0" w:space="0" w:color="auto"/>
            <w:left w:val="none" w:sz="0" w:space="0" w:color="auto"/>
            <w:bottom w:val="none" w:sz="0" w:space="0" w:color="auto"/>
            <w:right w:val="none" w:sz="0" w:space="0" w:color="auto"/>
          </w:divBdr>
        </w:div>
        <w:div w:id="387724010">
          <w:marLeft w:val="0"/>
          <w:marRight w:val="0"/>
          <w:marTop w:val="0"/>
          <w:marBottom w:val="0"/>
          <w:divBdr>
            <w:top w:val="none" w:sz="0" w:space="0" w:color="auto"/>
            <w:left w:val="none" w:sz="0" w:space="0" w:color="auto"/>
            <w:bottom w:val="none" w:sz="0" w:space="0" w:color="auto"/>
            <w:right w:val="none" w:sz="0" w:space="0" w:color="auto"/>
          </w:divBdr>
        </w:div>
        <w:div w:id="1243221185">
          <w:marLeft w:val="0"/>
          <w:marRight w:val="0"/>
          <w:marTop w:val="0"/>
          <w:marBottom w:val="0"/>
          <w:divBdr>
            <w:top w:val="none" w:sz="0" w:space="0" w:color="auto"/>
            <w:left w:val="none" w:sz="0" w:space="0" w:color="auto"/>
            <w:bottom w:val="none" w:sz="0" w:space="0" w:color="auto"/>
            <w:right w:val="none" w:sz="0" w:space="0" w:color="auto"/>
          </w:divBdr>
        </w:div>
        <w:div w:id="1411583136">
          <w:marLeft w:val="0"/>
          <w:marRight w:val="0"/>
          <w:marTop w:val="0"/>
          <w:marBottom w:val="0"/>
          <w:divBdr>
            <w:top w:val="none" w:sz="0" w:space="0" w:color="auto"/>
            <w:left w:val="none" w:sz="0" w:space="0" w:color="auto"/>
            <w:bottom w:val="none" w:sz="0" w:space="0" w:color="auto"/>
            <w:right w:val="none" w:sz="0" w:space="0" w:color="auto"/>
          </w:divBdr>
        </w:div>
        <w:div w:id="1759446414">
          <w:marLeft w:val="0"/>
          <w:marRight w:val="0"/>
          <w:marTop w:val="0"/>
          <w:marBottom w:val="0"/>
          <w:divBdr>
            <w:top w:val="none" w:sz="0" w:space="0" w:color="auto"/>
            <w:left w:val="none" w:sz="0" w:space="0" w:color="auto"/>
            <w:bottom w:val="none" w:sz="0" w:space="0" w:color="auto"/>
            <w:right w:val="none" w:sz="0" w:space="0" w:color="auto"/>
          </w:divBdr>
        </w:div>
        <w:div w:id="677927561">
          <w:marLeft w:val="0"/>
          <w:marRight w:val="0"/>
          <w:marTop w:val="0"/>
          <w:marBottom w:val="0"/>
          <w:divBdr>
            <w:top w:val="none" w:sz="0" w:space="0" w:color="auto"/>
            <w:left w:val="none" w:sz="0" w:space="0" w:color="auto"/>
            <w:bottom w:val="none" w:sz="0" w:space="0" w:color="auto"/>
            <w:right w:val="none" w:sz="0" w:space="0" w:color="auto"/>
          </w:divBdr>
        </w:div>
        <w:div w:id="1556893074">
          <w:marLeft w:val="0"/>
          <w:marRight w:val="0"/>
          <w:marTop w:val="0"/>
          <w:marBottom w:val="0"/>
          <w:divBdr>
            <w:top w:val="none" w:sz="0" w:space="0" w:color="auto"/>
            <w:left w:val="none" w:sz="0" w:space="0" w:color="auto"/>
            <w:bottom w:val="none" w:sz="0" w:space="0" w:color="auto"/>
            <w:right w:val="none" w:sz="0" w:space="0" w:color="auto"/>
          </w:divBdr>
        </w:div>
        <w:div w:id="72708661">
          <w:marLeft w:val="0"/>
          <w:marRight w:val="0"/>
          <w:marTop w:val="0"/>
          <w:marBottom w:val="0"/>
          <w:divBdr>
            <w:top w:val="none" w:sz="0" w:space="0" w:color="auto"/>
            <w:left w:val="none" w:sz="0" w:space="0" w:color="auto"/>
            <w:bottom w:val="none" w:sz="0" w:space="0" w:color="auto"/>
            <w:right w:val="none" w:sz="0" w:space="0" w:color="auto"/>
          </w:divBdr>
        </w:div>
        <w:div w:id="115369840">
          <w:marLeft w:val="0"/>
          <w:marRight w:val="0"/>
          <w:marTop w:val="0"/>
          <w:marBottom w:val="0"/>
          <w:divBdr>
            <w:top w:val="none" w:sz="0" w:space="0" w:color="auto"/>
            <w:left w:val="none" w:sz="0" w:space="0" w:color="auto"/>
            <w:bottom w:val="none" w:sz="0" w:space="0" w:color="auto"/>
            <w:right w:val="none" w:sz="0" w:space="0" w:color="auto"/>
          </w:divBdr>
        </w:div>
        <w:div w:id="1630434821">
          <w:marLeft w:val="0"/>
          <w:marRight w:val="0"/>
          <w:marTop w:val="0"/>
          <w:marBottom w:val="0"/>
          <w:divBdr>
            <w:top w:val="none" w:sz="0" w:space="0" w:color="auto"/>
            <w:left w:val="none" w:sz="0" w:space="0" w:color="auto"/>
            <w:bottom w:val="none" w:sz="0" w:space="0" w:color="auto"/>
            <w:right w:val="none" w:sz="0" w:space="0" w:color="auto"/>
          </w:divBdr>
        </w:div>
        <w:div w:id="1107121236">
          <w:marLeft w:val="0"/>
          <w:marRight w:val="0"/>
          <w:marTop w:val="0"/>
          <w:marBottom w:val="0"/>
          <w:divBdr>
            <w:top w:val="none" w:sz="0" w:space="0" w:color="auto"/>
            <w:left w:val="none" w:sz="0" w:space="0" w:color="auto"/>
            <w:bottom w:val="none" w:sz="0" w:space="0" w:color="auto"/>
            <w:right w:val="none" w:sz="0" w:space="0" w:color="auto"/>
          </w:divBdr>
        </w:div>
      </w:divsChild>
    </w:div>
    <w:div w:id="1247421465">
      <w:bodyDiv w:val="1"/>
      <w:marLeft w:val="0"/>
      <w:marRight w:val="0"/>
      <w:marTop w:val="0"/>
      <w:marBottom w:val="0"/>
      <w:divBdr>
        <w:top w:val="none" w:sz="0" w:space="0" w:color="auto"/>
        <w:left w:val="none" w:sz="0" w:space="0" w:color="auto"/>
        <w:bottom w:val="none" w:sz="0" w:space="0" w:color="auto"/>
        <w:right w:val="none" w:sz="0" w:space="0" w:color="auto"/>
      </w:divBdr>
      <w:divsChild>
        <w:div w:id="1258294560">
          <w:marLeft w:val="0"/>
          <w:marRight w:val="0"/>
          <w:marTop w:val="0"/>
          <w:marBottom w:val="0"/>
          <w:divBdr>
            <w:top w:val="none" w:sz="0" w:space="0" w:color="auto"/>
            <w:left w:val="none" w:sz="0" w:space="0" w:color="auto"/>
            <w:bottom w:val="none" w:sz="0" w:space="0" w:color="auto"/>
            <w:right w:val="none" w:sz="0" w:space="0" w:color="auto"/>
          </w:divBdr>
        </w:div>
        <w:div w:id="410083678">
          <w:marLeft w:val="0"/>
          <w:marRight w:val="0"/>
          <w:marTop w:val="0"/>
          <w:marBottom w:val="0"/>
          <w:divBdr>
            <w:top w:val="none" w:sz="0" w:space="0" w:color="auto"/>
            <w:left w:val="none" w:sz="0" w:space="0" w:color="auto"/>
            <w:bottom w:val="none" w:sz="0" w:space="0" w:color="auto"/>
            <w:right w:val="none" w:sz="0" w:space="0" w:color="auto"/>
          </w:divBdr>
        </w:div>
        <w:div w:id="1848446370">
          <w:marLeft w:val="0"/>
          <w:marRight w:val="0"/>
          <w:marTop w:val="0"/>
          <w:marBottom w:val="0"/>
          <w:divBdr>
            <w:top w:val="none" w:sz="0" w:space="0" w:color="auto"/>
            <w:left w:val="none" w:sz="0" w:space="0" w:color="auto"/>
            <w:bottom w:val="none" w:sz="0" w:space="0" w:color="auto"/>
            <w:right w:val="none" w:sz="0" w:space="0" w:color="auto"/>
          </w:divBdr>
        </w:div>
        <w:div w:id="2063938728">
          <w:marLeft w:val="0"/>
          <w:marRight w:val="0"/>
          <w:marTop w:val="0"/>
          <w:marBottom w:val="0"/>
          <w:divBdr>
            <w:top w:val="none" w:sz="0" w:space="0" w:color="auto"/>
            <w:left w:val="none" w:sz="0" w:space="0" w:color="auto"/>
            <w:bottom w:val="none" w:sz="0" w:space="0" w:color="auto"/>
            <w:right w:val="none" w:sz="0" w:space="0" w:color="auto"/>
          </w:divBdr>
        </w:div>
        <w:div w:id="586112202">
          <w:marLeft w:val="0"/>
          <w:marRight w:val="0"/>
          <w:marTop w:val="0"/>
          <w:marBottom w:val="0"/>
          <w:divBdr>
            <w:top w:val="none" w:sz="0" w:space="0" w:color="auto"/>
            <w:left w:val="none" w:sz="0" w:space="0" w:color="auto"/>
            <w:bottom w:val="none" w:sz="0" w:space="0" w:color="auto"/>
            <w:right w:val="none" w:sz="0" w:space="0" w:color="auto"/>
          </w:divBdr>
        </w:div>
        <w:div w:id="1194148491">
          <w:marLeft w:val="0"/>
          <w:marRight w:val="0"/>
          <w:marTop w:val="0"/>
          <w:marBottom w:val="0"/>
          <w:divBdr>
            <w:top w:val="none" w:sz="0" w:space="0" w:color="auto"/>
            <w:left w:val="none" w:sz="0" w:space="0" w:color="auto"/>
            <w:bottom w:val="none" w:sz="0" w:space="0" w:color="auto"/>
            <w:right w:val="none" w:sz="0" w:space="0" w:color="auto"/>
          </w:divBdr>
        </w:div>
        <w:div w:id="1897082063">
          <w:marLeft w:val="0"/>
          <w:marRight w:val="0"/>
          <w:marTop w:val="0"/>
          <w:marBottom w:val="0"/>
          <w:divBdr>
            <w:top w:val="none" w:sz="0" w:space="0" w:color="auto"/>
            <w:left w:val="none" w:sz="0" w:space="0" w:color="auto"/>
            <w:bottom w:val="none" w:sz="0" w:space="0" w:color="auto"/>
            <w:right w:val="none" w:sz="0" w:space="0" w:color="auto"/>
          </w:divBdr>
        </w:div>
        <w:div w:id="568421379">
          <w:marLeft w:val="0"/>
          <w:marRight w:val="0"/>
          <w:marTop w:val="0"/>
          <w:marBottom w:val="0"/>
          <w:divBdr>
            <w:top w:val="none" w:sz="0" w:space="0" w:color="auto"/>
            <w:left w:val="none" w:sz="0" w:space="0" w:color="auto"/>
            <w:bottom w:val="none" w:sz="0" w:space="0" w:color="auto"/>
            <w:right w:val="none" w:sz="0" w:space="0" w:color="auto"/>
          </w:divBdr>
        </w:div>
        <w:div w:id="1362130697">
          <w:marLeft w:val="0"/>
          <w:marRight w:val="0"/>
          <w:marTop w:val="0"/>
          <w:marBottom w:val="0"/>
          <w:divBdr>
            <w:top w:val="none" w:sz="0" w:space="0" w:color="auto"/>
            <w:left w:val="none" w:sz="0" w:space="0" w:color="auto"/>
            <w:bottom w:val="none" w:sz="0" w:space="0" w:color="auto"/>
            <w:right w:val="none" w:sz="0" w:space="0" w:color="auto"/>
          </w:divBdr>
        </w:div>
        <w:div w:id="1372076903">
          <w:marLeft w:val="0"/>
          <w:marRight w:val="0"/>
          <w:marTop w:val="0"/>
          <w:marBottom w:val="0"/>
          <w:divBdr>
            <w:top w:val="none" w:sz="0" w:space="0" w:color="auto"/>
            <w:left w:val="none" w:sz="0" w:space="0" w:color="auto"/>
            <w:bottom w:val="none" w:sz="0" w:space="0" w:color="auto"/>
            <w:right w:val="none" w:sz="0" w:space="0" w:color="auto"/>
          </w:divBdr>
        </w:div>
        <w:div w:id="2112777250">
          <w:marLeft w:val="0"/>
          <w:marRight w:val="0"/>
          <w:marTop w:val="0"/>
          <w:marBottom w:val="0"/>
          <w:divBdr>
            <w:top w:val="none" w:sz="0" w:space="0" w:color="auto"/>
            <w:left w:val="none" w:sz="0" w:space="0" w:color="auto"/>
            <w:bottom w:val="none" w:sz="0" w:space="0" w:color="auto"/>
            <w:right w:val="none" w:sz="0" w:space="0" w:color="auto"/>
          </w:divBdr>
        </w:div>
        <w:div w:id="2112772605">
          <w:marLeft w:val="0"/>
          <w:marRight w:val="0"/>
          <w:marTop w:val="0"/>
          <w:marBottom w:val="0"/>
          <w:divBdr>
            <w:top w:val="none" w:sz="0" w:space="0" w:color="auto"/>
            <w:left w:val="none" w:sz="0" w:space="0" w:color="auto"/>
            <w:bottom w:val="none" w:sz="0" w:space="0" w:color="auto"/>
            <w:right w:val="none" w:sz="0" w:space="0" w:color="auto"/>
          </w:divBdr>
        </w:div>
        <w:div w:id="1464541085">
          <w:marLeft w:val="0"/>
          <w:marRight w:val="0"/>
          <w:marTop w:val="0"/>
          <w:marBottom w:val="0"/>
          <w:divBdr>
            <w:top w:val="none" w:sz="0" w:space="0" w:color="auto"/>
            <w:left w:val="none" w:sz="0" w:space="0" w:color="auto"/>
            <w:bottom w:val="none" w:sz="0" w:space="0" w:color="auto"/>
            <w:right w:val="none" w:sz="0" w:space="0" w:color="auto"/>
          </w:divBdr>
        </w:div>
        <w:div w:id="1518158805">
          <w:marLeft w:val="0"/>
          <w:marRight w:val="0"/>
          <w:marTop w:val="0"/>
          <w:marBottom w:val="0"/>
          <w:divBdr>
            <w:top w:val="none" w:sz="0" w:space="0" w:color="auto"/>
            <w:left w:val="none" w:sz="0" w:space="0" w:color="auto"/>
            <w:bottom w:val="none" w:sz="0" w:space="0" w:color="auto"/>
            <w:right w:val="none" w:sz="0" w:space="0" w:color="auto"/>
          </w:divBdr>
        </w:div>
        <w:div w:id="1288783277">
          <w:marLeft w:val="0"/>
          <w:marRight w:val="0"/>
          <w:marTop w:val="0"/>
          <w:marBottom w:val="0"/>
          <w:divBdr>
            <w:top w:val="none" w:sz="0" w:space="0" w:color="auto"/>
            <w:left w:val="none" w:sz="0" w:space="0" w:color="auto"/>
            <w:bottom w:val="none" w:sz="0" w:space="0" w:color="auto"/>
            <w:right w:val="none" w:sz="0" w:space="0" w:color="auto"/>
          </w:divBdr>
        </w:div>
        <w:div w:id="604315308">
          <w:marLeft w:val="0"/>
          <w:marRight w:val="0"/>
          <w:marTop w:val="0"/>
          <w:marBottom w:val="0"/>
          <w:divBdr>
            <w:top w:val="none" w:sz="0" w:space="0" w:color="auto"/>
            <w:left w:val="none" w:sz="0" w:space="0" w:color="auto"/>
            <w:bottom w:val="none" w:sz="0" w:space="0" w:color="auto"/>
            <w:right w:val="none" w:sz="0" w:space="0" w:color="auto"/>
          </w:divBdr>
        </w:div>
        <w:div w:id="1234507592">
          <w:marLeft w:val="0"/>
          <w:marRight w:val="0"/>
          <w:marTop w:val="0"/>
          <w:marBottom w:val="0"/>
          <w:divBdr>
            <w:top w:val="none" w:sz="0" w:space="0" w:color="auto"/>
            <w:left w:val="none" w:sz="0" w:space="0" w:color="auto"/>
            <w:bottom w:val="none" w:sz="0" w:space="0" w:color="auto"/>
            <w:right w:val="none" w:sz="0" w:space="0" w:color="auto"/>
          </w:divBdr>
        </w:div>
        <w:div w:id="988438991">
          <w:marLeft w:val="0"/>
          <w:marRight w:val="0"/>
          <w:marTop w:val="0"/>
          <w:marBottom w:val="0"/>
          <w:divBdr>
            <w:top w:val="none" w:sz="0" w:space="0" w:color="auto"/>
            <w:left w:val="none" w:sz="0" w:space="0" w:color="auto"/>
            <w:bottom w:val="none" w:sz="0" w:space="0" w:color="auto"/>
            <w:right w:val="none" w:sz="0" w:space="0" w:color="auto"/>
          </w:divBdr>
        </w:div>
        <w:div w:id="2032953392">
          <w:marLeft w:val="0"/>
          <w:marRight w:val="0"/>
          <w:marTop w:val="0"/>
          <w:marBottom w:val="0"/>
          <w:divBdr>
            <w:top w:val="none" w:sz="0" w:space="0" w:color="auto"/>
            <w:left w:val="none" w:sz="0" w:space="0" w:color="auto"/>
            <w:bottom w:val="none" w:sz="0" w:space="0" w:color="auto"/>
            <w:right w:val="none" w:sz="0" w:space="0" w:color="auto"/>
          </w:divBdr>
        </w:div>
        <w:div w:id="383680173">
          <w:marLeft w:val="0"/>
          <w:marRight w:val="0"/>
          <w:marTop w:val="0"/>
          <w:marBottom w:val="0"/>
          <w:divBdr>
            <w:top w:val="none" w:sz="0" w:space="0" w:color="auto"/>
            <w:left w:val="none" w:sz="0" w:space="0" w:color="auto"/>
            <w:bottom w:val="none" w:sz="0" w:space="0" w:color="auto"/>
            <w:right w:val="none" w:sz="0" w:space="0" w:color="auto"/>
          </w:divBdr>
        </w:div>
        <w:div w:id="1627422567">
          <w:marLeft w:val="0"/>
          <w:marRight w:val="0"/>
          <w:marTop w:val="0"/>
          <w:marBottom w:val="0"/>
          <w:divBdr>
            <w:top w:val="none" w:sz="0" w:space="0" w:color="auto"/>
            <w:left w:val="none" w:sz="0" w:space="0" w:color="auto"/>
            <w:bottom w:val="none" w:sz="0" w:space="0" w:color="auto"/>
            <w:right w:val="none" w:sz="0" w:space="0" w:color="auto"/>
          </w:divBdr>
        </w:div>
        <w:div w:id="1390612473">
          <w:marLeft w:val="0"/>
          <w:marRight w:val="0"/>
          <w:marTop w:val="0"/>
          <w:marBottom w:val="0"/>
          <w:divBdr>
            <w:top w:val="none" w:sz="0" w:space="0" w:color="auto"/>
            <w:left w:val="none" w:sz="0" w:space="0" w:color="auto"/>
            <w:bottom w:val="none" w:sz="0" w:space="0" w:color="auto"/>
            <w:right w:val="none" w:sz="0" w:space="0" w:color="auto"/>
          </w:divBdr>
        </w:div>
        <w:div w:id="1552418380">
          <w:marLeft w:val="0"/>
          <w:marRight w:val="0"/>
          <w:marTop w:val="0"/>
          <w:marBottom w:val="0"/>
          <w:divBdr>
            <w:top w:val="none" w:sz="0" w:space="0" w:color="auto"/>
            <w:left w:val="none" w:sz="0" w:space="0" w:color="auto"/>
            <w:bottom w:val="none" w:sz="0" w:space="0" w:color="auto"/>
            <w:right w:val="none" w:sz="0" w:space="0" w:color="auto"/>
          </w:divBdr>
        </w:div>
        <w:div w:id="587732221">
          <w:marLeft w:val="0"/>
          <w:marRight w:val="0"/>
          <w:marTop w:val="0"/>
          <w:marBottom w:val="0"/>
          <w:divBdr>
            <w:top w:val="none" w:sz="0" w:space="0" w:color="auto"/>
            <w:left w:val="none" w:sz="0" w:space="0" w:color="auto"/>
            <w:bottom w:val="none" w:sz="0" w:space="0" w:color="auto"/>
            <w:right w:val="none" w:sz="0" w:space="0" w:color="auto"/>
          </w:divBdr>
        </w:div>
        <w:div w:id="802582544">
          <w:marLeft w:val="0"/>
          <w:marRight w:val="0"/>
          <w:marTop w:val="0"/>
          <w:marBottom w:val="0"/>
          <w:divBdr>
            <w:top w:val="none" w:sz="0" w:space="0" w:color="auto"/>
            <w:left w:val="none" w:sz="0" w:space="0" w:color="auto"/>
            <w:bottom w:val="none" w:sz="0" w:space="0" w:color="auto"/>
            <w:right w:val="none" w:sz="0" w:space="0" w:color="auto"/>
          </w:divBdr>
        </w:div>
        <w:div w:id="1249655745">
          <w:marLeft w:val="0"/>
          <w:marRight w:val="0"/>
          <w:marTop w:val="0"/>
          <w:marBottom w:val="0"/>
          <w:divBdr>
            <w:top w:val="none" w:sz="0" w:space="0" w:color="auto"/>
            <w:left w:val="none" w:sz="0" w:space="0" w:color="auto"/>
            <w:bottom w:val="none" w:sz="0" w:space="0" w:color="auto"/>
            <w:right w:val="none" w:sz="0" w:space="0" w:color="auto"/>
          </w:divBdr>
        </w:div>
        <w:div w:id="34741553">
          <w:marLeft w:val="0"/>
          <w:marRight w:val="0"/>
          <w:marTop w:val="0"/>
          <w:marBottom w:val="0"/>
          <w:divBdr>
            <w:top w:val="none" w:sz="0" w:space="0" w:color="auto"/>
            <w:left w:val="none" w:sz="0" w:space="0" w:color="auto"/>
            <w:bottom w:val="none" w:sz="0" w:space="0" w:color="auto"/>
            <w:right w:val="none" w:sz="0" w:space="0" w:color="auto"/>
          </w:divBdr>
        </w:div>
        <w:div w:id="2034259538">
          <w:marLeft w:val="0"/>
          <w:marRight w:val="0"/>
          <w:marTop w:val="0"/>
          <w:marBottom w:val="0"/>
          <w:divBdr>
            <w:top w:val="none" w:sz="0" w:space="0" w:color="auto"/>
            <w:left w:val="none" w:sz="0" w:space="0" w:color="auto"/>
            <w:bottom w:val="none" w:sz="0" w:space="0" w:color="auto"/>
            <w:right w:val="none" w:sz="0" w:space="0" w:color="auto"/>
          </w:divBdr>
        </w:div>
        <w:div w:id="568536772">
          <w:marLeft w:val="0"/>
          <w:marRight w:val="0"/>
          <w:marTop w:val="0"/>
          <w:marBottom w:val="0"/>
          <w:divBdr>
            <w:top w:val="none" w:sz="0" w:space="0" w:color="auto"/>
            <w:left w:val="none" w:sz="0" w:space="0" w:color="auto"/>
            <w:bottom w:val="none" w:sz="0" w:space="0" w:color="auto"/>
            <w:right w:val="none" w:sz="0" w:space="0" w:color="auto"/>
          </w:divBdr>
        </w:div>
        <w:div w:id="445737177">
          <w:marLeft w:val="0"/>
          <w:marRight w:val="0"/>
          <w:marTop w:val="0"/>
          <w:marBottom w:val="0"/>
          <w:divBdr>
            <w:top w:val="none" w:sz="0" w:space="0" w:color="auto"/>
            <w:left w:val="none" w:sz="0" w:space="0" w:color="auto"/>
            <w:bottom w:val="none" w:sz="0" w:space="0" w:color="auto"/>
            <w:right w:val="none" w:sz="0" w:space="0" w:color="auto"/>
          </w:divBdr>
        </w:div>
        <w:div w:id="1806315856">
          <w:marLeft w:val="0"/>
          <w:marRight w:val="0"/>
          <w:marTop w:val="0"/>
          <w:marBottom w:val="0"/>
          <w:divBdr>
            <w:top w:val="none" w:sz="0" w:space="0" w:color="auto"/>
            <w:left w:val="none" w:sz="0" w:space="0" w:color="auto"/>
            <w:bottom w:val="none" w:sz="0" w:space="0" w:color="auto"/>
            <w:right w:val="none" w:sz="0" w:space="0" w:color="auto"/>
          </w:divBdr>
        </w:div>
        <w:div w:id="1749304738">
          <w:marLeft w:val="0"/>
          <w:marRight w:val="0"/>
          <w:marTop w:val="0"/>
          <w:marBottom w:val="0"/>
          <w:divBdr>
            <w:top w:val="none" w:sz="0" w:space="0" w:color="auto"/>
            <w:left w:val="none" w:sz="0" w:space="0" w:color="auto"/>
            <w:bottom w:val="none" w:sz="0" w:space="0" w:color="auto"/>
            <w:right w:val="none" w:sz="0" w:space="0" w:color="auto"/>
          </w:divBdr>
        </w:div>
        <w:div w:id="1921599265">
          <w:marLeft w:val="0"/>
          <w:marRight w:val="0"/>
          <w:marTop w:val="0"/>
          <w:marBottom w:val="0"/>
          <w:divBdr>
            <w:top w:val="none" w:sz="0" w:space="0" w:color="auto"/>
            <w:left w:val="none" w:sz="0" w:space="0" w:color="auto"/>
            <w:bottom w:val="none" w:sz="0" w:space="0" w:color="auto"/>
            <w:right w:val="none" w:sz="0" w:space="0" w:color="auto"/>
          </w:divBdr>
        </w:div>
        <w:div w:id="1787851630">
          <w:marLeft w:val="0"/>
          <w:marRight w:val="0"/>
          <w:marTop w:val="0"/>
          <w:marBottom w:val="0"/>
          <w:divBdr>
            <w:top w:val="none" w:sz="0" w:space="0" w:color="auto"/>
            <w:left w:val="none" w:sz="0" w:space="0" w:color="auto"/>
            <w:bottom w:val="none" w:sz="0" w:space="0" w:color="auto"/>
            <w:right w:val="none" w:sz="0" w:space="0" w:color="auto"/>
          </w:divBdr>
        </w:div>
        <w:div w:id="1558323158">
          <w:marLeft w:val="0"/>
          <w:marRight w:val="0"/>
          <w:marTop w:val="0"/>
          <w:marBottom w:val="0"/>
          <w:divBdr>
            <w:top w:val="none" w:sz="0" w:space="0" w:color="auto"/>
            <w:left w:val="none" w:sz="0" w:space="0" w:color="auto"/>
            <w:bottom w:val="none" w:sz="0" w:space="0" w:color="auto"/>
            <w:right w:val="none" w:sz="0" w:space="0" w:color="auto"/>
          </w:divBdr>
        </w:div>
        <w:div w:id="1576665764">
          <w:marLeft w:val="0"/>
          <w:marRight w:val="0"/>
          <w:marTop w:val="0"/>
          <w:marBottom w:val="0"/>
          <w:divBdr>
            <w:top w:val="none" w:sz="0" w:space="0" w:color="auto"/>
            <w:left w:val="none" w:sz="0" w:space="0" w:color="auto"/>
            <w:bottom w:val="none" w:sz="0" w:space="0" w:color="auto"/>
            <w:right w:val="none" w:sz="0" w:space="0" w:color="auto"/>
          </w:divBdr>
        </w:div>
        <w:div w:id="1731688087">
          <w:marLeft w:val="0"/>
          <w:marRight w:val="0"/>
          <w:marTop w:val="0"/>
          <w:marBottom w:val="0"/>
          <w:divBdr>
            <w:top w:val="none" w:sz="0" w:space="0" w:color="auto"/>
            <w:left w:val="none" w:sz="0" w:space="0" w:color="auto"/>
            <w:bottom w:val="none" w:sz="0" w:space="0" w:color="auto"/>
            <w:right w:val="none" w:sz="0" w:space="0" w:color="auto"/>
          </w:divBdr>
        </w:div>
        <w:div w:id="932393717">
          <w:marLeft w:val="0"/>
          <w:marRight w:val="0"/>
          <w:marTop w:val="0"/>
          <w:marBottom w:val="0"/>
          <w:divBdr>
            <w:top w:val="none" w:sz="0" w:space="0" w:color="auto"/>
            <w:left w:val="none" w:sz="0" w:space="0" w:color="auto"/>
            <w:bottom w:val="none" w:sz="0" w:space="0" w:color="auto"/>
            <w:right w:val="none" w:sz="0" w:space="0" w:color="auto"/>
          </w:divBdr>
        </w:div>
        <w:div w:id="1895458944">
          <w:marLeft w:val="0"/>
          <w:marRight w:val="0"/>
          <w:marTop w:val="0"/>
          <w:marBottom w:val="0"/>
          <w:divBdr>
            <w:top w:val="none" w:sz="0" w:space="0" w:color="auto"/>
            <w:left w:val="none" w:sz="0" w:space="0" w:color="auto"/>
            <w:bottom w:val="none" w:sz="0" w:space="0" w:color="auto"/>
            <w:right w:val="none" w:sz="0" w:space="0" w:color="auto"/>
          </w:divBdr>
        </w:div>
        <w:div w:id="244653391">
          <w:marLeft w:val="0"/>
          <w:marRight w:val="0"/>
          <w:marTop w:val="0"/>
          <w:marBottom w:val="0"/>
          <w:divBdr>
            <w:top w:val="none" w:sz="0" w:space="0" w:color="auto"/>
            <w:left w:val="none" w:sz="0" w:space="0" w:color="auto"/>
            <w:bottom w:val="none" w:sz="0" w:space="0" w:color="auto"/>
            <w:right w:val="none" w:sz="0" w:space="0" w:color="auto"/>
          </w:divBdr>
        </w:div>
        <w:div w:id="2081054352">
          <w:marLeft w:val="0"/>
          <w:marRight w:val="0"/>
          <w:marTop w:val="0"/>
          <w:marBottom w:val="0"/>
          <w:divBdr>
            <w:top w:val="none" w:sz="0" w:space="0" w:color="auto"/>
            <w:left w:val="none" w:sz="0" w:space="0" w:color="auto"/>
            <w:bottom w:val="none" w:sz="0" w:space="0" w:color="auto"/>
            <w:right w:val="none" w:sz="0" w:space="0" w:color="auto"/>
          </w:divBdr>
        </w:div>
        <w:div w:id="1445228939">
          <w:marLeft w:val="0"/>
          <w:marRight w:val="0"/>
          <w:marTop w:val="0"/>
          <w:marBottom w:val="0"/>
          <w:divBdr>
            <w:top w:val="none" w:sz="0" w:space="0" w:color="auto"/>
            <w:left w:val="none" w:sz="0" w:space="0" w:color="auto"/>
            <w:bottom w:val="none" w:sz="0" w:space="0" w:color="auto"/>
            <w:right w:val="none" w:sz="0" w:space="0" w:color="auto"/>
          </w:divBdr>
        </w:div>
        <w:div w:id="474025645">
          <w:marLeft w:val="0"/>
          <w:marRight w:val="0"/>
          <w:marTop w:val="0"/>
          <w:marBottom w:val="0"/>
          <w:divBdr>
            <w:top w:val="none" w:sz="0" w:space="0" w:color="auto"/>
            <w:left w:val="none" w:sz="0" w:space="0" w:color="auto"/>
            <w:bottom w:val="none" w:sz="0" w:space="0" w:color="auto"/>
            <w:right w:val="none" w:sz="0" w:space="0" w:color="auto"/>
          </w:divBdr>
        </w:div>
        <w:div w:id="507184005">
          <w:marLeft w:val="0"/>
          <w:marRight w:val="0"/>
          <w:marTop w:val="0"/>
          <w:marBottom w:val="0"/>
          <w:divBdr>
            <w:top w:val="none" w:sz="0" w:space="0" w:color="auto"/>
            <w:left w:val="none" w:sz="0" w:space="0" w:color="auto"/>
            <w:bottom w:val="none" w:sz="0" w:space="0" w:color="auto"/>
            <w:right w:val="none" w:sz="0" w:space="0" w:color="auto"/>
          </w:divBdr>
        </w:div>
        <w:div w:id="441416339">
          <w:marLeft w:val="0"/>
          <w:marRight w:val="0"/>
          <w:marTop w:val="0"/>
          <w:marBottom w:val="0"/>
          <w:divBdr>
            <w:top w:val="none" w:sz="0" w:space="0" w:color="auto"/>
            <w:left w:val="none" w:sz="0" w:space="0" w:color="auto"/>
            <w:bottom w:val="none" w:sz="0" w:space="0" w:color="auto"/>
            <w:right w:val="none" w:sz="0" w:space="0" w:color="auto"/>
          </w:divBdr>
        </w:div>
        <w:div w:id="2101490643">
          <w:marLeft w:val="0"/>
          <w:marRight w:val="0"/>
          <w:marTop w:val="0"/>
          <w:marBottom w:val="0"/>
          <w:divBdr>
            <w:top w:val="none" w:sz="0" w:space="0" w:color="auto"/>
            <w:left w:val="none" w:sz="0" w:space="0" w:color="auto"/>
            <w:bottom w:val="none" w:sz="0" w:space="0" w:color="auto"/>
            <w:right w:val="none" w:sz="0" w:space="0" w:color="auto"/>
          </w:divBdr>
        </w:div>
        <w:div w:id="1204093427">
          <w:marLeft w:val="0"/>
          <w:marRight w:val="0"/>
          <w:marTop w:val="0"/>
          <w:marBottom w:val="0"/>
          <w:divBdr>
            <w:top w:val="none" w:sz="0" w:space="0" w:color="auto"/>
            <w:left w:val="none" w:sz="0" w:space="0" w:color="auto"/>
            <w:bottom w:val="none" w:sz="0" w:space="0" w:color="auto"/>
            <w:right w:val="none" w:sz="0" w:space="0" w:color="auto"/>
          </w:divBdr>
        </w:div>
        <w:div w:id="1187984154">
          <w:marLeft w:val="0"/>
          <w:marRight w:val="0"/>
          <w:marTop w:val="0"/>
          <w:marBottom w:val="0"/>
          <w:divBdr>
            <w:top w:val="none" w:sz="0" w:space="0" w:color="auto"/>
            <w:left w:val="none" w:sz="0" w:space="0" w:color="auto"/>
            <w:bottom w:val="none" w:sz="0" w:space="0" w:color="auto"/>
            <w:right w:val="none" w:sz="0" w:space="0" w:color="auto"/>
          </w:divBdr>
        </w:div>
        <w:div w:id="345788648">
          <w:marLeft w:val="0"/>
          <w:marRight w:val="0"/>
          <w:marTop w:val="0"/>
          <w:marBottom w:val="0"/>
          <w:divBdr>
            <w:top w:val="none" w:sz="0" w:space="0" w:color="auto"/>
            <w:left w:val="none" w:sz="0" w:space="0" w:color="auto"/>
            <w:bottom w:val="none" w:sz="0" w:space="0" w:color="auto"/>
            <w:right w:val="none" w:sz="0" w:space="0" w:color="auto"/>
          </w:divBdr>
        </w:div>
        <w:div w:id="1738092383">
          <w:marLeft w:val="0"/>
          <w:marRight w:val="0"/>
          <w:marTop w:val="0"/>
          <w:marBottom w:val="0"/>
          <w:divBdr>
            <w:top w:val="none" w:sz="0" w:space="0" w:color="auto"/>
            <w:left w:val="none" w:sz="0" w:space="0" w:color="auto"/>
            <w:bottom w:val="none" w:sz="0" w:space="0" w:color="auto"/>
            <w:right w:val="none" w:sz="0" w:space="0" w:color="auto"/>
          </w:divBdr>
        </w:div>
        <w:div w:id="1962107605">
          <w:marLeft w:val="0"/>
          <w:marRight w:val="0"/>
          <w:marTop w:val="0"/>
          <w:marBottom w:val="0"/>
          <w:divBdr>
            <w:top w:val="none" w:sz="0" w:space="0" w:color="auto"/>
            <w:left w:val="none" w:sz="0" w:space="0" w:color="auto"/>
            <w:bottom w:val="none" w:sz="0" w:space="0" w:color="auto"/>
            <w:right w:val="none" w:sz="0" w:space="0" w:color="auto"/>
          </w:divBdr>
        </w:div>
        <w:div w:id="691567373">
          <w:marLeft w:val="0"/>
          <w:marRight w:val="0"/>
          <w:marTop w:val="0"/>
          <w:marBottom w:val="0"/>
          <w:divBdr>
            <w:top w:val="none" w:sz="0" w:space="0" w:color="auto"/>
            <w:left w:val="none" w:sz="0" w:space="0" w:color="auto"/>
            <w:bottom w:val="none" w:sz="0" w:space="0" w:color="auto"/>
            <w:right w:val="none" w:sz="0" w:space="0" w:color="auto"/>
          </w:divBdr>
        </w:div>
      </w:divsChild>
    </w:div>
    <w:div w:id="1290353027">
      <w:bodyDiv w:val="1"/>
      <w:marLeft w:val="0"/>
      <w:marRight w:val="0"/>
      <w:marTop w:val="0"/>
      <w:marBottom w:val="0"/>
      <w:divBdr>
        <w:top w:val="none" w:sz="0" w:space="0" w:color="auto"/>
        <w:left w:val="none" w:sz="0" w:space="0" w:color="auto"/>
        <w:bottom w:val="none" w:sz="0" w:space="0" w:color="auto"/>
        <w:right w:val="none" w:sz="0" w:space="0" w:color="auto"/>
      </w:divBdr>
      <w:divsChild>
        <w:div w:id="1606687777">
          <w:marLeft w:val="0"/>
          <w:marRight w:val="0"/>
          <w:marTop w:val="0"/>
          <w:marBottom w:val="0"/>
          <w:divBdr>
            <w:top w:val="none" w:sz="0" w:space="0" w:color="auto"/>
            <w:left w:val="none" w:sz="0" w:space="0" w:color="auto"/>
            <w:bottom w:val="none" w:sz="0" w:space="0" w:color="auto"/>
            <w:right w:val="none" w:sz="0" w:space="0" w:color="auto"/>
          </w:divBdr>
        </w:div>
        <w:div w:id="910851766">
          <w:marLeft w:val="0"/>
          <w:marRight w:val="0"/>
          <w:marTop w:val="0"/>
          <w:marBottom w:val="0"/>
          <w:divBdr>
            <w:top w:val="none" w:sz="0" w:space="0" w:color="auto"/>
            <w:left w:val="none" w:sz="0" w:space="0" w:color="auto"/>
            <w:bottom w:val="none" w:sz="0" w:space="0" w:color="auto"/>
            <w:right w:val="none" w:sz="0" w:space="0" w:color="auto"/>
          </w:divBdr>
        </w:div>
      </w:divsChild>
    </w:div>
    <w:div w:id="1305349500">
      <w:bodyDiv w:val="1"/>
      <w:marLeft w:val="0"/>
      <w:marRight w:val="0"/>
      <w:marTop w:val="0"/>
      <w:marBottom w:val="0"/>
      <w:divBdr>
        <w:top w:val="none" w:sz="0" w:space="0" w:color="auto"/>
        <w:left w:val="none" w:sz="0" w:space="0" w:color="auto"/>
        <w:bottom w:val="none" w:sz="0" w:space="0" w:color="auto"/>
        <w:right w:val="none" w:sz="0" w:space="0" w:color="auto"/>
      </w:divBdr>
      <w:divsChild>
        <w:div w:id="344476270">
          <w:marLeft w:val="0"/>
          <w:marRight w:val="0"/>
          <w:marTop w:val="0"/>
          <w:marBottom w:val="0"/>
          <w:divBdr>
            <w:top w:val="none" w:sz="0" w:space="0" w:color="auto"/>
            <w:left w:val="none" w:sz="0" w:space="0" w:color="auto"/>
            <w:bottom w:val="none" w:sz="0" w:space="0" w:color="auto"/>
            <w:right w:val="none" w:sz="0" w:space="0" w:color="auto"/>
          </w:divBdr>
        </w:div>
        <w:div w:id="2146771825">
          <w:marLeft w:val="0"/>
          <w:marRight w:val="0"/>
          <w:marTop w:val="0"/>
          <w:marBottom w:val="0"/>
          <w:divBdr>
            <w:top w:val="none" w:sz="0" w:space="0" w:color="auto"/>
            <w:left w:val="none" w:sz="0" w:space="0" w:color="auto"/>
            <w:bottom w:val="none" w:sz="0" w:space="0" w:color="auto"/>
            <w:right w:val="none" w:sz="0" w:space="0" w:color="auto"/>
          </w:divBdr>
        </w:div>
        <w:div w:id="1224874588">
          <w:marLeft w:val="0"/>
          <w:marRight w:val="0"/>
          <w:marTop w:val="0"/>
          <w:marBottom w:val="0"/>
          <w:divBdr>
            <w:top w:val="none" w:sz="0" w:space="0" w:color="auto"/>
            <w:left w:val="none" w:sz="0" w:space="0" w:color="auto"/>
            <w:bottom w:val="none" w:sz="0" w:space="0" w:color="auto"/>
            <w:right w:val="none" w:sz="0" w:space="0" w:color="auto"/>
          </w:divBdr>
        </w:div>
        <w:div w:id="1545677976">
          <w:marLeft w:val="0"/>
          <w:marRight w:val="0"/>
          <w:marTop w:val="0"/>
          <w:marBottom w:val="0"/>
          <w:divBdr>
            <w:top w:val="none" w:sz="0" w:space="0" w:color="auto"/>
            <w:left w:val="none" w:sz="0" w:space="0" w:color="auto"/>
            <w:bottom w:val="none" w:sz="0" w:space="0" w:color="auto"/>
            <w:right w:val="none" w:sz="0" w:space="0" w:color="auto"/>
          </w:divBdr>
        </w:div>
        <w:div w:id="1454179567">
          <w:marLeft w:val="0"/>
          <w:marRight w:val="0"/>
          <w:marTop w:val="0"/>
          <w:marBottom w:val="0"/>
          <w:divBdr>
            <w:top w:val="none" w:sz="0" w:space="0" w:color="auto"/>
            <w:left w:val="none" w:sz="0" w:space="0" w:color="auto"/>
            <w:bottom w:val="none" w:sz="0" w:space="0" w:color="auto"/>
            <w:right w:val="none" w:sz="0" w:space="0" w:color="auto"/>
          </w:divBdr>
        </w:div>
        <w:div w:id="1358655339">
          <w:marLeft w:val="0"/>
          <w:marRight w:val="0"/>
          <w:marTop w:val="0"/>
          <w:marBottom w:val="0"/>
          <w:divBdr>
            <w:top w:val="none" w:sz="0" w:space="0" w:color="auto"/>
            <w:left w:val="none" w:sz="0" w:space="0" w:color="auto"/>
            <w:bottom w:val="none" w:sz="0" w:space="0" w:color="auto"/>
            <w:right w:val="none" w:sz="0" w:space="0" w:color="auto"/>
          </w:divBdr>
        </w:div>
        <w:div w:id="53700827">
          <w:marLeft w:val="0"/>
          <w:marRight w:val="0"/>
          <w:marTop w:val="0"/>
          <w:marBottom w:val="0"/>
          <w:divBdr>
            <w:top w:val="none" w:sz="0" w:space="0" w:color="auto"/>
            <w:left w:val="none" w:sz="0" w:space="0" w:color="auto"/>
            <w:bottom w:val="none" w:sz="0" w:space="0" w:color="auto"/>
            <w:right w:val="none" w:sz="0" w:space="0" w:color="auto"/>
          </w:divBdr>
        </w:div>
        <w:div w:id="874585897">
          <w:marLeft w:val="0"/>
          <w:marRight w:val="0"/>
          <w:marTop w:val="0"/>
          <w:marBottom w:val="0"/>
          <w:divBdr>
            <w:top w:val="none" w:sz="0" w:space="0" w:color="auto"/>
            <w:left w:val="none" w:sz="0" w:space="0" w:color="auto"/>
            <w:bottom w:val="none" w:sz="0" w:space="0" w:color="auto"/>
            <w:right w:val="none" w:sz="0" w:space="0" w:color="auto"/>
          </w:divBdr>
        </w:div>
        <w:div w:id="81684926">
          <w:marLeft w:val="0"/>
          <w:marRight w:val="0"/>
          <w:marTop w:val="0"/>
          <w:marBottom w:val="0"/>
          <w:divBdr>
            <w:top w:val="none" w:sz="0" w:space="0" w:color="auto"/>
            <w:left w:val="none" w:sz="0" w:space="0" w:color="auto"/>
            <w:bottom w:val="none" w:sz="0" w:space="0" w:color="auto"/>
            <w:right w:val="none" w:sz="0" w:space="0" w:color="auto"/>
          </w:divBdr>
        </w:div>
        <w:div w:id="1235160764">
          <w:marLeft w:val="0"/>
          <w:marRight w:val="0"/>
          <w:marTop w:val="0"/>
          <w:marBottom w:val="0"/>
          <w:divBdr>
            <w:top w:val="none" w:sz="0" w:space="0" w:color="auto"/>
            <w:left w:val="none" w:sz="0" w:space="0" w:color="auto"/>
            <w:bottom w:val="none" w:sz="0" w:space="0" w:color="auto"/>
            <w:right w:val="none" w:sz="0" w:space="0" w:color="auto"/>
          </w:divBdr>
        </w:div>
        <w:div w:id="1460218531">
          <w:marLeft w:val="0"/>
          <w:marRight w:val="0"/>
          <w:marTop w:val="0"/>
          <w:marBottom w:val="0"/>
          <w:divBdr>
            <w:top w:val="none" w:sz="0" w:space="0" w:color="auto"/>
            <w:left w:val="none" w:sz="0" w:space="0" w:color="auto"/>
            <w:bottom w:val="none" w:sz="0" w:space="0" w:color="auto"/>
            <w:right w:val="none" w:sz="0" w:space="0" w:color="auto"/>
          </w:divBdr>
        </w:div>
      </w:divsChild>
    </w:div>
    <w:div w:id="1339768118">
      <w:bodyDiv w:val="1"/>
      <w:marLeft w:val="0"/>
      <w:marRight w:val="0"/>
      <w:marTop w:val="0"/>
      <w:marBottom w:val="0"/>
      <w:divBdr>
        <w:top w:val="none" w:sz="0" w:space="0" w:color="auto"/>
        <w:left w:val="none" w:sz="0" w:space="0" w:color="auto"/>
        <w:bottom w:val="none" w:sz="0" w:space="0" w:color="auto"/>
        <w:right w:val="none" w:sz="0" w:space="0" w:color="auto"/>
      </w:divBdr>
      <w:divsChild>
        <w:div w:id="128279314">
          <w:marLeft w:val="0"/>
          <w:marRight w:val="0"/>
          <w:marTop w:val="0"/>
          <w:marBottom w:val="0"/>
          <w:divBdr>
            <w:top w:val="none" w:sz="0" w:space="0" w:color="auto"/>
            <w:left w:val="none" w:sz="0" w:space="0" w:color="auto"/>
            <w:bottom w:val="none" w:sz="0" w:space="0" w:color="auto"/>
            <w:right w:val="none" w:sz="0" w:space="0" w:color="auto"/>
          </w:divBdr>
          <w:divsChild>
            <w:div w:id="318115407">
              <w:marLeft w:val="0"/>
              <w:marRight w:val="0"/>
              <w:marTop w:val="0"/>
              <w:marBottom w:val="0"/>
              <w:divBdr>
                <w:top w:val="none" w:sz="0" w:space="0" w:color="auto"/>
                <w:left w:val="none" w:sz="0" w:space="0" w:color="auto"/>
                <w:bottom w:val="none" w:sz="0" w:space="0" w:color="auto"/>
                <w:right w:val="none" w:sz="0" w:space="0" w:color="auto"/>
              </w:divBdr>
            </w:div>
            <w:div w:id="197474222">
              <w:marLeft w:val="0"/>
              <w:marRight w:val="0"/>
              <w:marTop w:val="0"/>
              <w:marBottom w:val="0"/>
              <w:divBdr>
                <w:top w:val="none" w:sz="0" w:space="0" w:color="auto"/>
                <w:left w:val="none" w:sz="0" w:space="0" w:color="auto"/>
                <w:bottom w:val="none" w:sz="0" w:space="0" w:color="auto"/>
                <w:right w:val="none" w:sz="0" w:space="0" w:color="auto"/>
              </w:divBdr>
            </w:div>
            <w:div w:id="519201907">
              <w:marLeft w:val="0"/>
              <w:marRight w:val="0"/>
              <w:marTop w:val="0"/>
              <w:marBottom w:val="0"/>
              <w:divBdr>
                <w:top w:val="none" w:sz="0" w:space="0" w:color="auto"/>
                <w:left w:val="none" w:sz="0" w:space="0" w:color="auto"/>
                <w:bottom w:val="none" w:sz="0" w:space="0" w:color="auto"/>
                <w:right w:val="none" w:sz="0" w:space="0" w:color="auto"/>
              </w:divBdr>
            </w:div>
            <w:div w:id="1072462128">
              <w:marLeft w:val="0"/>
              <w:marRight w:val="0"/>
              <w:marTop w:val="0"/>
              <w:marBottom w:val="0"/>
              <w:divBdr>
                <w:top w:val="none" w:sz="0" w:space="0" w:color="auto"/>
                <w:left w:val="none" w:sz="0" w:space="0" w:color="auto"/>
                <w:bottom w:val="none" w:sz="0" w:space="0" w:color="auto"/>
                <w:right w:val="none" w:sz="0" w:space="0" w:color="auto"/>
              </w:divBdr>
            </w:div>
            <w:div w:id="1526792512">
              <w:marLeft w:val="0"/>
              <w:marRight w:val="0"/>
              <w:marTop w:val="0"/>
              <w:marBottom w:val="0"/>
              <w:divBdr>
                <w:top w:val="none" w:sz="0" w:space="0" w:color="auto"/>
                <w:left w:val="none" w:sz="0" w:space="0" w:color="auto"/>
                <w:bottom w:val="none" w:sz="0" w:space="0" w:color="auto"/>
                <w:right w:val="none" w:sz="0" w:space="0" w:color="auto"/>
              </w:divBdr>
            </w:div>
            <w:div w:id="73017103">
              <w:marLeft w:val="0"/>
              <w:marRight w:val="0"/>
              <w:marTop w:val="0"/>
              <w:marBottom w:val="0"/>
              <w:divBdr>
                <w:top w:val="none" w:sz="0" w:space="0" w:color="auto"/>
                <w:left w:val="none" w:sz="0" w:space="0" w:color="auto"/>
                <w:bottom w:val="none" w:sz="0" w:space="0" w:color="auto"/>
                <w:right w:val="none" w:sz="0" w:space="0" w:color="auto"/>
              </w:divBdr>
            </w:div>
            <w:div w:id="75516111">
              <w:marLeft w:val="0"/>
              <w:marRight w:val="0"/>
              <w:marTop w:val="0"/>
              <w:marBottom w:val="0"/>
              <w:divBdr>
                <w:top w:val="none" w:sz="0" w:space="0" w:color="auto"/>
                <w:left w:val="none" w:sz="0" w:space="0" w:color="auto"/>
                <w:bottom w:val="none" w:sz="0" w:space="0" w:color="auto"/>
                <w:right w:val="none" w:sz="0" w:space="0" w:color="auto"/>
              </w:divBdr>
            </w:div>
            <w:div w:id="1513908594">
              <w:marLeft w:val="0"/>
              <w:marRight w:val="0"/>
              <w:marTop w:val="0"/>
              <w:marBottom w:val="0"/>
              <w:divBdr>
                <w:top w:val="none" w:sz="0" w:space="0" w:color="auto"/>
                <w:left w:val="none" w:sz="0" w:space="0" w:color="auto"/>
                <w:bottom w:val="none" w:sz="0" w:space="0" w:color="auto"/>
                <w:right w:val="none" w:sz="0" w:space="0" w:color="auto"/>
              </w:divBdr>
            </w:div>
            <w:div w:id="1717700815">
              <w:marLeft w:val="0"/>
              <w:marRight w:val="0"/>
              <w:marTop w:val="0"/>
              <w:marBottom w:val="0"/>
              <w:divBdr>
                <w:top w:val="none" w:sz="0" w:space="0" w:color="auto"/>
                <w:left w:val="none" w:sz="0" w:space="0" w:color="auto"/>
                <w:bottom w:val="none" w:sz="0" w:space="0" w:color="auto"/>
                <w:right w:val="none" w:sz="0" w:space="0" w:color="auto"/>
              </w:divBdr>
            </w:div>
            <w:div w:id="1906527311">
              <w:marLeft w:val="0"/>
              <w:marRight w:val="0"/>
              <w:marTop w:val="0"/>
              <w:marBottom w:val="0"/>
              <w:divBdr>
                <w:top w:val="none" w:sz="0" w:space="0" w:color="auto"/>
                <w:left w:val="none" w:sz="0" w:space="0" w:color="auto"/>
                <w:bottom w:val="none" w:sz="0" w:space="0" w:color="auto"/>
                <w:right w:val="none" w:sz="0" w:space="0" w:color="auto"/>
              </w:divBdr>
            </w:div>
            <w:div w:id="181358713">
              <w:marLeft w:val="0"/>
              <w:marRight w:val="0"/>
              <w:marTop w:val="0"/>
              <w:marBottom w:val="0"/>
              <w:divBdr>
                <w:top w:val="none" w:sz="0" w:space="0" w:color="auto"/>
                <w:left w:val="none" w:sz="0" w:space="0" w:color="auto"/>
                <w:bottom w:val="none" w:sz="0" w:space="0" w:color="auto"/>
                <w:right w:val="none" w:sz="0" w:space="0" w:color="auto"/>
              </w:divBdr>
            </w:div>
            <w:div w:id="1386832887">
              <w:marLeft w:val="0"/>
              <w:marRight w:val="0"/>
              <w:marTop w:val="0"/>
              <w:marBottom w:val="0"/>
              <w:divBdr>
                <w:top w:val="none" w:sz="0" w:space="0" w:color="auto"/>
                <w:left w:val="none" w:sz="0" w:space="0" w:color="auto"/>
                <w:bottom w:val="none" w:sz="0" w:space="0" w:color="auto"/>
                <w:right w:val="none" w:sz="0" w:space="0" w:color="auto"/>
              </w:divBdr>
            </w:div>
            <w:div w:id="616178141">
              <w:marLeft w:val="0"/>
              <w:marRight w:val="0"/>
              <w:marTop w:val="0"/>
              <w:marBottom w:val="0"/>
              <w:divBdr>
                <w:top w:val="none" w:sz="0" w:space="0" w:color="auto"/>
                <w:left w:val="none" w:sz="0" w:space="0" w:color="auto"/>
                <w:bottom w:val="none" w:sz="0" w:space="0" w:color="auto"/>
                <w:right w:val="none" w:sz="0" w:space="0" w:color="auto"/>
              </w:divBdr>
            </w:div>
            <w:div w:id="968897968">
              <w:marLeft w:val="0"/>
              <w:marRight w:val="0"/>
              <w:marTop w:val="0"/>
              <w:marBottom w:val="0"/>
              <w:divBdr>
                <w:top w:val="none" w:sz="0" w:space="0" w:color="auto"/>
                <w:left w:val="none" w:sz="0" w:space="0" w:color="auto"/>
                <w:bottom w:val="none" w:sz="0" w:space="0" w:color="auto"/>
                <w:right w:val="none" w:sz="0" w:space="0" w:color="auto"/>
              </w:divBdr>
            </w:div>
            <w:div w:id="1269194773">
              <w:marLeft w:val="0"/>
              <w:marRight w:val="0"/>
              <w:marTop w:val="0"/>
              <w:marBottom w:val="0"/>
              <w:divBdr>
                <w:top w:val="none" w:sz="0" w:space="0" w:color="auto"/>
                <w:left w:val="none" w:sz="0" w:space="0" w:color="auto"/>
                <w:bottom w:val="none" w:sz="0" w:space="0" w:color="auto"/>
                <w:right w:val="none" w:sz="0" w:space="0" w:color="auto"/>
              </w:divBdr>
            </w:div>
            <w:div w:id="484123159">
              <w:marLeft w:val="0"/>
              <w:marRight w:val="0"/>
              <w:marTop w:val="0"/>
              <w:marBottom w:val="0"/>
              <w:divBdr>
                <w:top w:val="none" w:sz="0" w:space="0" w:color="auto"/>
                <w:left w:val="none" w:sz="0" w:space="0" w:color="auto"/>
                <w:bottom w:val="none" w:sz="0" w:space="0" w:color="auto"/>
                <w:right w:val="none" w:sz="0" w:space="0" w:color="auto"/>
              </w:divBdr>
            </w:div>
            <w:div w:id="1854372156">
              <w:marLeft w:val="0"/>
              <w:marRight w:val="0"/>
              <w:marTop w:val="0"/>
              <w:marBottom w:val="0"/>
              <w:divBdr>
                <w:top w:val="none" w:sz="0" w:space="0" w:color="auto"/>
                <w:left w:val="none" w:sz="0" w:space="0" w:color="auto"/>
                <w:bottom w:val="none" w:sz="0" w:space="0" w:color="auto"/>
                <w:right w:val="none" w:sz="0" w:space="0" w:color="auto"/>
              </w:divBdr>
            </w:div>
            <w:div w:id="291863818">
              <w:marLeft w:val="0"/>
              <w:marRight w:val="0"/>
              <w:marTop w:val="0"/>
              <w:marBottom w:val="0"/>
              <w:divBdr>
                <w:top w:val="none" w:sz="0" w:space="0" w:color="auto"/>
                <w:left w:val="none" w:sz="0" w:space="0" w:color="auto"/>
                <w:bottom w:val="none" w:sz="0" w:space="0" w:color="auto"/>
                <w:right w:val="none" w:sz="0" w:space="0" w:color="auto"/>
              </w:divBdr>
            </w:div>
            <w:div w:id="117265808">
              <w:marLeft w:val="0"/>
              <w:marRight w:val="0"/>
              <w:marTop w:val="0"/>
              <w:marBottom w:val="0"/>
              <w:divBdr>
                <w:top w:val="none" w:sz="0" w:space="0" w:color="auto"/>
                <w:left w:val="none" w:sz="0" w:space="0" w:color="auto"/>
                <w:bottom w:val="none" w:sz="0" w:space="0" w:color="auto"/>
                <w:right w:val="none" w:sz="0" w:space="0" w:color="auto"/>
              </w:divBdr>
            </w:div>
            <w:div w:id="589655267">
              <w:marLeft w:val="0"/>
              <w:marRight w:val="0"/>
              <w:marTop w:val="0"/>
              <w:marBottom w:val="0"/>
              <w:divBdr>
                <w:top w:val="none" w:sz="0" w:space="0" w:color="auto"/>
                <w:left w:val="none" w:sz="0" w:space="0" w:color="auto"/>
                <w:bottom w:val="none" w:sz="0" w:space="0" w:color="auto"/>
                <w:right w:val="none" w:sz="0" w:space="0" w:color="auto"/>
              </w:divBdr>
            </w:div>
            <w:div w:id="1831209273">
              <w:marLeft w:val="0"/>
              <w:marRight w:val="0"/>
              <w:marTop w:val="0"/>
              <w:marBottom w:val="0"/>
              <w:divBdr>
                <w:top w:val="none" w:sz="0" w:space="0" w:color="auto"/>
                <w:left w:val="none" w:sz="0" w:space="0" w:color="auto"/>
                <w:bottom w:val="none" w:sz="0" w:space="0" w:color="auto"/>
                <w:right w:val="none" w:sz="0" w:space="0" w:color="auto"/>
              </w:divBdr>
            </w:div>
            <w:div w:id="1632663228">
              <w:marLeft w:val="0"/>
              <w:marRight w:val="0"/>
              <w:marTop w:val="0"/>
              <w:marBottom w:val="0"/>
              <w:divBdr>
                <w:top w:val="none" w:sz="0" w:space="0" w:color="auto"/>
                <w:left w:val="none" w:sz="0" w:space="0" w:color="auto"/>
                <w:bottom w:val="none" w:sz="0" w:space="0" w:color="auto"/>
                <w:right w:val="none" w:sz="0" w:space="0" w:color="auto"/>
              </w:divBdr>
            </w:div>
            <w:div w:id="663168865">
              <w:marLeft w:val="0"/>
              <w:marRight w:val="0"/>
              <w:marTop w:val="0"/>
              <w:marBottom w:val="0"/>
              <w:divBdr>
                <w:top w:val="none" w:sz="0" w:space="0" w:color="auto"/>
                <w:left w:val="none" w:sz="0" w:space="0" w:color="auto"/>
                <w:bottom w:val="none" w:sz="0" w:space="0" w:color="auto"/>
                <w:right w:val="none" w:sz="0" w:space="0" w:color="auto"/>
              </w:divBdr>
            </w:div>
            <w:div w:id="1352949288">
              <w:marLeft w:val="0"/>
              <w:marRight w:val="0"/>
              <w:marTop w:val="0"/>
              <w:marBottom w:val="0"/>
              <w:divBdr>
                <w:top w:val="none" w:sz="0" w:space="0" w:color="auto"/>
                <w:left w:val="none" w:sz="0" w:space="0" w:color="auto"/>
                <w:bottom w:val="none" w:sz="0" w:space="0" w:color="auto"/>
                <w:right w:val="none" w:sz="0" w:space="0" w:color="auto"/>
              </w:divBdr>
            </w:div>
            <w:div w:id="1308048515">
              <w:marLeft w:val="0"/>
              <w:marRight w:val="0"/>
              <w:marTop w:val="0"/>
              <w:marBottom w:val="0"/>
              <w:divBdr>
                <w:top w:val="none" w:sz="0" w:space="0" w:color="auto"/>
                <w:left w:val="none" w:sz="0" w:space="0" w:color="auto"/>
                <w:bottom w:val="none" w:sz="0" w:space="0" w:color="auto"/>
                <w:right w:val="none" w:sz="0" w:space="0" w:color="auto"/>
              </w:divBdr>
            </w:div>
            <w:div w:id="126047796">
              <w:marLeft w:val="0"/>
              <w:marRight w:val="0"/>
              <w:marTop w:val="0"/>
              <w:marBottom w:val="0"/>
              <w:divBdr>
                <w:top w:val="none" w:sz="0" w:space="0" w:color="auto"/>
                <w:left w:val="none" w:sz="0" w:space="0" w:color="auto"/>
                <w:bottom w:val="none" w:sz="0" w:space="0" w:color="auto"/>
                <w:right w:val="none" w:sz="0" w:space="0" w:color="auto"/>
              </w:divBdr>
            </w:div>
            <w:div w:id="1018237768">
              <w:marLeft w:val="0"/>
              <w:marRight w:val="0"/>
              <w:marTop w:val="0"/>
              <w:marBottom w:val="0"/>
              <w:divBdr>
                <w:top w:val="none" w:sz="0" w:space="0" w:color="auto"/>
                <w:left w:val="none" w:sz="0" w:space="0" w:color="auto"/>
                <w:bottom w:val="none" w:sz="0" w:space="0" w:color="auto"/>
                <w:right w:val="none" w:sz="0" w:space="0" w:color="auto"/>
              </w:divBdr>
            </w:div>
            <w:div w:id="1037269387">
              <w:marLeft w:val="0"/>
              <w:marRight w:val="0"/>
              <w:marTop w:val="0"/>
              <w:marBottom w:val="0"/>
              <w:divBdr>
                <w:top w:val="none" w:sz="0" w:space="0" w:color="auto"/>
                <w:left w:val="none" w:sz="0" w:space="0" w:color="auto"/>
                <w:bottom w:val="none" w:sz="0" w:space="0" w:color="auto"/>
                <w:right w:val="none" w:sz="0" w:space="0" w:color="auto"/>
              </w:divBdr>
            </w:div>
            <w:div w:id="1735155469">
              <w:marLeft w:val="0"/>
              <w:marRight w:val="0"/>
              <w:marTop w:val="0"/>
              <w:marBottom w:val="0"/>
              <w:divBdr>
                <w:top w:val="none" w:sz="0" w:space="0" w:color="auto"/>
                <w:left w:val="none" w:sz="0" w:space="0" w:color="auto"/>
                <w:bottom w:val="none" w:sz="0" w:space="0" w:color="auto"/>
                <w:right w:val="none" w:sz="0" w:space="0" w:color="auto"/>
              </w:divBdr>
            </w:div>
            <w:div w:id="620452381">
              <w:marLeft w:val="0"/>
              <w:marRight w:val="0"/>
              <w:marTop w:val="0"/>
              <w:marBottom w:val="0"/>
              <w:divBdr>
                <w:top w:val="none" w:sz="0" w:space="0" w:color="auto"/>
                <w:left w:val="none" w:sz="0" w:space="0" w:color="auto"/>
                <w:bottom w:val="none" w:sz="0" w:space="0" w:color="auto"/>
                <w:right w:val="none" w:sz="0" w:space="0" w:color="auto"/>
              </w:divBdr>
            </w:div>
            <w:div w:id="656110033">
              <w:marLeft w:val="0"/>
              <w:marRight w:val="0"/>
              <w:marTop w:val="0"/>
              <w:marBottom w:val="0"/>
              <w:divBdr>
                <w:top w:val="none" w:sz="0" w:space="0" w:color="auto"/>
                <w:left w:val="none" w:sz="0" w:space="0" w:color="auto"/>
                <w:bottom w:val="none" w:sz="0" w:space="0" w:color="auto"/>
                <w:right w:val="none" w:sz="0" w:space="0" w:color="auto"/>
              </w:divBdr>
            </w:div>
            <w:div w:id="2135097910">
              <w:marLeft w:val="0"/>
              <w:marRight w:val="0"/>
              <w:marTop w:val="0"/>
              <w:marBottom w:val="0"/>
              <w:divBdr>
                <w:top w:val="none" w:sz="0" w:space="0" w:color="auto"/>
                <w:left w:val="none" w:sz="0" w:space="0" w:color="auto"/>
                <w:bottom w:val="none" w:sz="0" w:space="0" w:color="auto"/>
                <w:right w:val="none" w:sz="0" w:space="0" w:color="auto"/>
              </w:divBdr>
            </w:div>
            <w:div w:id="1736471638">
              <w:marLeft w:val="0"/>
              <w:marRight w:val="0"/>
              <w:marTop w:val="0"/>
              <w:marBottom w:val="0"/>
              <w:divBdr>
                <w:top w:val="none" w:sz="0" w:space="0" w:color="auto"/>
                <w:left w:val="none" w:sz="0" w:space="0" w:color="auto"/>
                <w:bottom w:val="none" w:sz="0" w:space="0" w:color="auto"/>
                <w:right w:val="none" w:sz="0" w:space="0" w:color="auto"/>
              </w:divBdr>
            </w:div>
            <w:div w:id="10482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9218">
      <w:bodyDiv w:val="1"/>
      <w:marLeft w:val="0"/>
      <w:marRight w:val="0"/>
      <w:marTop w:val="0"/>
      <w:marBottom w:val="0"/>
      <w:divBdr>
        <w:top w:val="none" w:sz="0" w:space="0" w:color="auto"/>
        <w:left w:val="none" w:sz="0" w:space="0" w:color="auto"/>
        <w:bottom w:val="none" w:sz="0" w:space="0" w:color="auto"/>
        <w:right w:val="none" w:sz="0" w:space="0" w:color="auto"/>
      </w:divBdr>
      <w:divsChild>
        <w:div w:id="1822890159">
          <w:marLeft w:val="0"/>
          <w:marRight w:val="0"/>
          <w:marTop w:val="0"/>
          <w:marBottom w:val="0"/>
          <w:divBdr>
            <w:top w:val="none" w:sz="0" w:space="0" w:color="auto"/>
            <w:left w:val="none" w:sz="0" w:space="0" w:color="auto"/>
            <w:bottom w:val="none" w:sz="0" w:space="0" w:color="auto"/>
            <w:right w:val="none" w:sz="0" w:space="0" w:color="auto"/>
          </w:divBdr>
        </w:div>
        <w:div w:id="231083979">
          <w:marLeft w:val="0"/>
          <w:marRight w:val="0"/>
          <w:marTop w:val="0"/>
          <w:marBottom w:val="0"/>
          <w:divBdr>
            <w:top w:val="none" w:sz="0" w:space="0" w:color="auto"/>
            <w:left w:val="none" w:sz="0" w:space="0" w:color="auto"/>
            <w:bottom w:val="none" w:sz="0" w:space="0" w:color="auto"/>
            <w:right w:val="none" w:sz="0" w:space="0" w:color="auto"/>
          </w:divBdr>
        </w:div>
        <w:div w:id="1855993786">
          <w:marLeft w:val="0"/>
          <w:marRight w:val="0"/>
          <w:marTop w:val="0"/>
          <w:marBottom w:val="0"/>
          <w:divBdr>
            <w:top w:val="none" w:sz="0" w:space="0" w:color="auto"/>
            <w:left w:val="none" w:sz="0" w:space="0" w:color="auto"/>
            <w:bottom w:val="none" w:sz="0" w:space="0" w:color="auto"/>
            <w:right w:val="none" w:sz="0" w:space="0" w:color="auto"/>
          </w:divBdr>
        </w:div>
        <w:div w:id="1944413855">
          <w:marLeft w:val="0"/>
          <w:marRight w:val="0"/>
          <w:marTop w:val="0"/>
          <w:marBottom w:val="0"/>
          <w:divBdr>
            <w:top w:val="none" w:sz="0" w:space="0" w:color="auto"/>
            <w:left w:val="none" w:sz="0" w:space="0" w:color="auto"/>
            <w:bottom w:val="none" w:sz="0" w:space="0" w:color="auto"/>
            <w:right w:val="none" w:sz="0" w:space="0" w:color="auto"/>
          </w:divBdr>
        </w:div>
        <w:div w:id="391346817">
          <w:marLeft w:val="0"/>
          <w:marRight w:val="0"/>
          <w:marTop w:val="0"/>
          <w:marBottom w:val="0"/>
          <w:divBdr>
            <w:top w:val="none" w:sz="0" w:space="0" w:color="auto"/>
            <w:left w:val="none" w:sz="0" w:space="0" w:color="auto"/>
            <w:bottom w:val="none" w:sz="0" w:space="0" w:color="auto"/>
            <w:right w:val="none" w:sz="0" w:space="0" w:color="auto"/>
          </w:divBdr>
        </w:div>
      </w:divsChild>
    </w:div>
    <w:div w:id="1343708058">
      <w:bodyDiv w:val="1"/>
      <w:marLeft w:val="0"/>
      <w:marRight w:val="0"/>
      <w:marTop w:val="0"/>
      <w:marBottom w:val="0"/>
      <w:divBdr>
        <w:top w:val="none" w:sz="0" w:space="0" w:color="auto"/>
        <w:left w:val="none" w:sz="0" w:space="0" w:color="auto"/>
        <w:bottom w:val="none" w:sz="0" w:space="0" w:color="auto"/>
        <w:right w:val="none" w:sz="0" w:space="0" w:color="auto"/>
      </w:divBdr>
      <w:divsChild>
        <w:div w:id="1375077281">
          <w:marLeft w:val="0"/>
          <w:marRight w:val="0"/>
          <w:marTop w:val="0"/>
          <w:marBottom w:val="0"/>
          <w:divBdr>
            <w:top w:val="none" w:sz="0" w:space="0" w:color="auto"/>
            <w:left w:val="none" w:sz="0" w:space="0" w:color="auto"/>
            <w:bottom w:val="none" w:sz="0" w:space="0" w:color="auto"/>
            <w:right w:val="none" w:sz="0" w:space="0" w:color="auto"/>
          </w:divBdr>
        </w:div>
        <w:div w:id="1182670070">
          <w:marLeft w:val="0"/>
          <w:marRight w:val="0"/>
          <w:marTop w:val="0"/>
          <w:marBottom w:val="0"/>
          <w:divBdr>
            <w:top w:val="none" w:sz="0" w:space="0" w:color="auto"/>
            <w:left w:val="none" w:sz="0" w:space="0" w:color="auto"/>
            <w:bottom w:val="none" w:sz="0" w:space="0" w:color="auto"/>
            <w:right w:val="none" w:sz="0" w:space="0" w:color="auto"/>
          </w:divBdr>
        </w:div>
        <w:div w:id="579943192">
          <w:marLeft w:val="0"/>
          <w:marRight w:val="0"/>
          <w:marTop w:val="0"/>
          <w:marBottom w:val="0"/>
          <w:divBdr>
            <w:top w:val="none" w:sz="0" w:space="0" w:color="auto"/>
            <w:left w:val="none" w:sz="0" w:space="0" w:color="auto"/>
            <w:bottom w:val="none" w:sz="0" w:space="0" w:color="auto"/>
            <w:right w:val="none" w:sz="0" w:space="0" w:color="auto"/>
          </w:divBdr>
        </w:div>
        <w:div w:id="324817306">
          <w:marLeft w:val="0"/>
          <w:marRight w:val="0"/>
          <w:marTop w:val="0"/>
          <w:marBottom w:val="0"/>
          <w:divBdr>
            <w:top w:val="none" w:sz="0" w:space="0" w:color="auto"/>
            <w:left w:val="none" w:sz="0" w:space="0" w:color="auto"/>
            <w:bottom w:val="none" w:sz="0" w:space="0" w:color="auto"/>
            <w:right w:val="none" w:sz="0" w:space="0" w:color="auto"/>
          </w:divBdr>
        </w:div>
        <w:div w:id="800226521">
          <w:marLeft w:val="0"/>
          <w:marRight w:val="0"/>
          <w:marTop w:val="0"/>
          <w:marBottom w:val="0"/>
          <w:divBdr>
            <w:top w:val="none" w:sz="0" w:space="0" w:color="auto"/>
            <w:left w:val="none" w:sz="0" w:space="0" w:color="auto"/>
            <w:bottom w:val="none" w:sz="0" w:space="0" w:color="auto"/>
            <w:right w:val="none" w:sz="0" w:space="0" w:color="auto"/>
          </w:divBdr>
        </w:div>
        <w:div w:id="1223836348">
          <w:marLeft w:val="0"/>
          <w:marRight w:val="0"/>
          <w:marTop w:val="0"/>
          <w:marBottom w:val="0"/>
          <w:divBdr>
            <w:top w:val="none" w:sz="0" w:space="0" w:color="auto"/>
            <w:left w:val="none" w:sz="0" w:space="0" w:color="auto"/>
            <w:bottom w:val="none" w:sz="0" w:space="0" w:color="auto"/>
            <w:right w:val="none" w:sz="0" w:space="0" w:color="auto"/>
          </w:divBdr>
        </w:div>
        <w:div w:id="1189105793">
          <w:marLeft w:val="0"/>
          <w:marRight w:val="0"/>
          <w:marTop w:val="0"/>
          <w:marBottom w:val="0"/>
          <w:divBdr>
            <w:top w:val="none" w:sz="0" w:space="0" w:color="auto"/>
            <w:left w:val="none" w:sz="0" w:space="0" w:color="auto"/>
            <w:bottom w:val="none" w:sz="0" w:space="0" w:color="auto"/>
            <w:right w:val="none" w:sz="0" w:space="0" w:color="auto"/>
          </w:divBdr>
        </w:div>
        <w:div w:id="12415830">
          <w:marLeft w:val="0"/>
          <w:marRight w:val="0"/>
          <w:marTop w:val="0"/>
          <w:marBottom w:val="0"/>
          <w:divBdr>
            <w:top w:val="none" w:sz="0" w:space="0" w:color="auto"/>
            <w:left w:val="none" w:sz="0" w:space="0" w:color="auto"/>
            <w:bottom w:val="none" w:sz="0" w:space="0" w:color="auto"/>
            <w:right w:val="none" w:sz="0" w:space="0" w:color="auto"/>
          </w:divBdr>
        </w:div>
        <w:div w:id="1194538121">
          <w:marLeft w:val="0"/>
          <w:marRight w:val="0"/>
          <w:marTop w:val="0"/>
          <w:marBottom w:val="0"/>
          <w:divBdr>
            <w:top w:val="none" w:sz="0" w:space="0" w:color="auto"/>
            <w:left w:val="none" w:sz="0" w:space="0" w:color="auto"/>
            <w:bottom w:val="none" w:sz="0" w:space="0" w:color="auto"/>
            <w:right w:val="none" w:sz="0" w:space="0" w:color="auto"/>
          </w:divBdr>
        </w:div>
        <w:div w:id="184877195">
          <w:marLeft w:val="0"/>
          <w:marRight w:val="0"/>
          <w:marTop w:val="0"/>
          <w:marBottom w:val="0"/>
          <w:divBdr>
            <w:top w:val="none" w:sz="0" w:space="0" w:color="auto"/>
            <w:left w:val="none" w:sz="0" w:space="0" w:color="auto"/>
            <w:bottom w:val="none" w:sz="0" w:space="0" w:color="auto"/>
            <w:right w:val="none" w:sz="0" w:space="0" w:color="auto"/>
          </w:divBdr>
        </w:div>
        <w:div w:id="1583642887">
          <w:marLeft w:val="0"/>
          <w:marRight w:val="0"/>
          <w:marTop w:val="0"/>
          <w:marBottom w:val="0"/>
          <w:divBdr>
            <w:top w:val="none" w:sz="0" w:space="0" w:color="auto"/>
            <w:left w:val="none" w:sz="0" w:space="0" w:color="auto"/>
            <w:bottom w:val="none" w:sz="0" w:space="0" w:color="auto"/>
            <w:right w:val="none" w:sz="0" w:space="0" w:color="auto"/>
          </w:divBdr>
        </w:div>
        <w:div w:id="721445568">
          <w:marLeft w:val="0"/>
          <w:marRight w:val="0"/>
          <w:marTop w:val="0"/>
          <w:marBottom w:val="0"/>
          <w:divBdr>
            <w:top w:val="none" w:sz="0" w:space="0" w:color="auto"/>
            <w:left w:val="none" w:sz="0" w:space="0" w:color="auto"/>
            <w:bottom w:val="none" w:sz="0" w:space="0" w:color="auto"/>
            <w:right w:val="none" w:sz="0" w:space="0" w:color="auto"/>
          </w:divBdr>
        </w:div>
        <w:div w:id="1938756811">
          <w:marLeft w:val="0"/>
          <w:marRight w:val="0"/>
          <w:marTop w:val="0"/>
          <w:marBottom w:val="0"/>
          <w:divBdr>
            <w:top w:val="none" w:sz="0" w:space="0" w:color="auto"/>
            <w:left w:val="none" w:sz="0" w:space="0" w:color="auto"/>
            <w:bottom w:val="none" w:sz="0" w:space="0" w:color="auto"/>
            <w:right w:val="none" w:sz="0" w:space="0" w:color="auto"/>
          </w:divBdr>
        </w:div>
      </w:divsChild>
    </w:div>
    <w:div w:id="1358895396">
      <w:bodyDiv w:val="1"/>
      <w:marLeft w:val="0"/>
      <w:marRight w:val="0"/>
      <w:marTop w:val="0"/>
      <w:marBottom w:val="0"/>
      <w:divBdr>
        <w:top w:val="none" w:sz="0" w:space="0" w:color="auto"/>
        <w:left w:val="none" w:sz="0" w:space="0" w:color="auto"/>
        <w:bottom w:val="none" w:sz="0" w:space="0" w:color="auto"/>
        <w:right w:val="none" w:sz="0" w:space="0" w:color="auto"/>
      </w:divBdr>
      <w:divsChild>
        <w:div w:id="1320379108">
          <w:marLeft w:val="0"/>
          <w:marRight w:val="0"/>
          <w:marTop w:val="0"/>
          <w:marBottom w:val="0"/>
          <w:divBdr>
            <w:top w:val="none" w:sz="0" w:space="0" w:color="auto"/>
            <w:left w:val="none" w:sz="0" w:space="0" w:color="auto"/>
            <w:bottom w:val="none" w:sz="0" w:space="0" w:color="auto"/>
            <w:right w:val="none" w:sz="0" w:space="0" w:color="auto"/>
          </w:divBdr>
        </w:div>
        <w:div w:id="1850440672">
          <w:marLeft w:val="0"/>
          <w:marRight w:val="0"/>
          <w:marTop w:val="0"/>
          <w:marBottom w:val="0"/>
          <w:divBdr>
            <w:top w:val="none" w:sz="0" w:space="0" w:color="auto"/>
            <w:left w:val="none" w:sz="0" w:space="0" w:color="auto"/>
            <w:bottom w:val="none" w:sz="0" w:space="0" w:color="auto"/>
            <w:right w:val="none" w:sz="0" w:space="0" w:color="auto"/>
          </w:divBdr>
        </w:div>
        <w:div w:id="1945379213">
          <w:marLeft w:val="0"/>
          <w:marRight w:val="0"/>
          <w:marTop w:val="0"/>
          <w:marBottom w:val="0"/>
          <w:divBdr>
            <w:top w:val="none" w:sz="0" w:space="0" w:color="auto"/>
            <w:left w:val="none" w:sz="0" w:space="0" w:color="auto"/>
            <w:bottom w:val="none" w:sz="0" w:space="0" w:color="auto"/>
            <w:right w:val="none" w:sz="0" w:space="0" w:color="auto"/>
          </w:divBdr>
        </w:div>
        <w:div w:id="626468785">
          <w:marLeft w:val="0"/>
          <w:marRight w:val="0"/>
          <w:marTop w:val="0"/>
          <w:marBottom w:val="0"/>
          <w:divBdr>
            <w:top w:val="none" w:sz="0" w:space="0" w:color="auto"/>
            <w:left w:val="none" w:sz="0" w:space="0" w:color="auto"/>
            <w:bottom w:val="none" w:sz="0" w:space="0" w:color="auto"/>
            <w:right w:val="none" w:sz="0" w:space="0" w:color="auto"/>
          </w:divBdr>
        </w:div>
        <w:div w:id="1316715370">
          <w:marLeft w:val="0"/>
          <w:marRight w:val="0"/>
          <w:marTop w:val="0"/>
          <w:marBottom w:val="0"/>
          <w:divBdr>
            <w:top w:val="none" w:sz="0" w:space="0" w:color="auto"/>
            <w:left w:val="none" w:sz="0" w:space="0" w:color="auto"/>
            <w:bottom w:val="none" w:sz="0" w:space="0" w:color="auto"/>
            <w:right w:val="none" w:sz="0" w:space="0" w:color="auto"/>
          </w:divBdr>
        </w:div>
      </w:divsChild>
    </w:div>
    <w:div w:id="1375421658">
      <w:bodyDiv w:val="1"/>
      <w:marLeft w:val="0"/>
      <w:marRight w:val="0"/>
      <w:marTop w:val="0"/>
      <w:marBottom w:val="0"/>
      <w:divBdr>
        <w:top w:val="none" w:sz="0" w:space="0" w:color="auto"/>
        <w:left w:val="none" w:sz="0" w:space="0" w:color="auto"/>
        <w:bottom w:val="none" w:sz="0" w:space="0" w:color="auto"/>
        <w:right w:val="none" w:sz="0" w:space="0" w:color="auto"/>
      </w:divBdr>
    </w:div>
    <w:div w:id="1408503853">
      <w:bodyDiv w:val="1"/>
      <w:marLeft w:val="0"/>
      <w:marRight w:val="0"/>
      <w:marTop w:val="0"/>
      <w:marBottom w:val="0"/>
      <w:divBdr>
        <w:top w:val="none" w:sz="0" w:space="0" w:color="auto"/>
        <w:left w:val="none" w:sz="0" w:space="0" w:color="auto"/>
        <w:bottom w:val="none" w:sz="0" w:space="0" w:color="auto"/>
        <w:right w:val="none" w:sz="0" w:space="0" w:color="auto"/>
      </w:divBdr>
      <w:divsChild>
        <w:div w:id="684095534">
          <w:marLeft w:val="0"/>
          <w:marRight w:val="0"/>
          <w:marTop w:val="0"/>
          <w:marBottom w:val="0"/>
          <w:divBdr>
            <w:top w:val="none" w:sz="0" w:space="0" w:color="auto"/>
            <w:left w:val="none" w:sz="0" w:space="0" w:color="auto"/>
            <w:bottom w:val="none" w:sz="0" w:space="0" w:color="auto"/>
            <w:right w:val="none" w:sz="0" w:space="0" w:color="auto"/>
          </w:divBdr>
        </w:div>
        <w:div w:id="800802228">
          <w:marLeft w:val="0"/>
          <w:marRight w:val="0"/>
          <w:marTop w:val="0"/>
          <w:marBottom w:val="0"/>
          <w:divBdr>
            <w:top w:val="none" w:sz="0" w:space="0" w:color="auto"/>
            <w:left w:val="none" w:sz="0" w:space="0" w:color="auto"/>
            <w:bottom w:val="none" w:sz="0" w:space="0" w:color="auto"/>
            <w:right w:val="none" w:sz="0" w:space="0" w:color="auto"/>
          </w:divBdr>
        </w:div>
        <w:div w:id="456990656">
          <w:marLeft w:val="0"/>
          <w:marRight w:val="0"/>
          <w:marTop w:val="0"/>
          <w:marBottom w:val="0"/>
          <w:divBdr>
            <w:top w:val="none" w:sz="0" w:space="0" w:color="auto"/>
            <w:left w:val="none" w:sz="0" w:space="0" w:color="auto"/>
            <w:bottom w:val="none" w:sz="0" w:space="0" w:color="auto"/>
            <w:right w:val="none" w:sz="0" w:space="0" w:color="auto"/>
          </w:divBdr>
        </w:div>
        <w:div w:id="117067975">
          <w:marLeft w:val="0"/>
          <w:marRight w:val="0"/>
          <w:marTop w:val="0"/>
          <w:marBottom w:val="0"/>
          <w:divBdr>
            <w:top w:val="none" w:sz="0" w:space="0" w:color="auto"/>
            <w:left w:val="none" w:sz="0" w:space="0" w:color="auto"/>
            <w:bottom w:val="none" w:sz="0" w:space="0" w:color="auto"/>
            <w:right w:val="none" w:sz="0" w:space="0" w:color="auto"/>
          </w:divBdr>
        </w:div>
        <w:div w:id="2004165234">
          <w:marLeft w:val="0"/>
          <w:marRight w:val="0"/>
          <w:marTop w:val="0"/>
          <w:marBottom w:val="0"/>
          <w:divBdr>
            <w:top w:val="none" w:sz="0" w:space="0" w:color="auto"/>
            <w:left w:val="none" w:sz="0" w:space="0" w:color="auto"/>
            <w:bottom w:val="none" w:sz="0" w:space="0" w:color="auto"/>
            <w:right w:val="none" w:sz="0" w:space="0" w:color="auto"/>
          </w:divBdr>
        </w:div>
        <w:div w:id="341788283">
          <w:marLeft w:val="0"/>
          <w:marRight w:val="0"/>
          <w:marTop w:val="0"/>
          <w:marBottom w:val="0"/>
          <w:divBdr>
            <w:top w:val="none" w:sz="0" w:space="0" w:color="auto"/>
            <w:left w:val="none" w:sz="0" w:space="0" w:color="auto"/>
            <w:bottom w:val="none" w:sz="0" w:space="0" w:color="auto"/>
            <w:right w:val="none" w:sz="0" w:space="0" w:color="auto"/>
          </w:divBdr>
        </w:div>
        <w:div w:id="1885095600">
          <w:marLeft w:val="0"/>
          <w:marRight w:val="0"/>
          <w:marTop w:val="0"/>
          <w:marBottom w:val="0"/>
          <w:divBdr>
            <w:top w:val="none" w:sz="0" w:space="0" w:color="auto"/>
            <w:left w:val="none" w:sz="0" w:space="0" w:color="auto"/>
            <w:bottom w:val="none" w:sz="0" w:space="0" w:color="auto"/>
            <w:right w:val="none" w:sz="0" w:space="0" w:color="auto"/>
          </w:divBdr>
        </w:div>
        <w:div w:id="1782456725">
          <w:marLeft w:val="0"/>
          <w:marRight w:val="0"/>
          <w:marTop w:val="0"/>
          <w:marBottom w:val="0"/>
          <w:divBdr>
            <w:top w:val="none" w:sz="0" w:space="0" w:color="auto"/>
            <w:left w:val="none" w:sz="0" w:space="0" w:color="auto"/>
            <w:bottom w:val="none" w:sz="0" w:space="0" w:color="auto"/>
            <w:right w:val="none" w:sz="0" w:space="0" w:color="auto"/>
          </w:divBdr>
        </w:div>
        <w:div w:id="1466436305">
          <w:marLeft w:val="0"/>
          <w:marRight w:val="0"/>
          <w:marTop w:val="0"/>
          <w:marBottom w:val="0"/>
          <w:divBdr>
            <w:top w:val="none" w:sz="0" w:space="0" w:color="auto"/>
            <w:left w:val="none" w:sz="0" w:space="0" w:color="auto"/>
            <w:bottom w:val="none" w:sz="0" w:space="0" w:color="auto"/>
            <w:right w:val="none" w:sz="0" w:space="0" w:color="auto"/>
          </w:divBdr>
        </w:div>
        <w:div w:id="169030427">
          <w:marLeft w:val="0"/>
          <w:marRight w:val="0"/>
          <w:marTop w:val="0"/>
          <w:marBottom w:val="0"/>
          <w:divBdr>
            <w:top w:val="none" w:sz="0" w:space="0" w:color="auto"/>
            <w:left w:val="none" w:sz="0" w:space="0" w:color="auto"/>
            <w:bottom w:val="none" w:sz="0" w:space="0" w:color="auto"/>
            <w:right w:val="none" w:sz="0" w:space="0" w:color="auto"/>
          </w:divBdr>
        </w:div>
        <w:div w:id="399602480">
          <w:marLeft w:val="0"/>
          <w:marRight w:val="0"/>
          <w:marTop w:val="0"/>
          <w:marBottom w:val="0"/>
          <w:divBdr>
            <w:top w:val="none" w:sz="0" w:space="0" w:color="auto"/>
            <w:left w:val="none" w:sz="0" w:space="0" w:color="auto"/>
            <w:bottom w:val="none" w:sz="0" w:space="0" w:color="auto"/>
            <w:right w:val="none" w:sz="0" w:space="0" w:color="auto"/>
          </w:divBdr>
        </w:div>
        <w:div w:id="462310179">
          <w:marLeft w:val="0"/>
          <w:marRight w:val="0"/>
          <w:marTop w:val="0"/>
          <w:marBottom w:val="0"/>
          <w:divBdr>
            <w:top w:val="none" w:sz="0" w:space="0" w:color="auto"/>
            <w:left w:val="none" w:sz="0" w:space="0" w:color="auto"/>
            <w:bottom w:val="none" w:sz="0" w:space="0" w:color="auto"/>
            <w:right w:val="none" w:sz="0" w:space="0" w:color="auto"/>
          </w:divBdr>
        </w:div>
        <w:div w:id="277492603">
          <w:marLeft w:val="0"/>
          <w:marRight w:val="0"/>
          <w:marTop w:val="0"/>
          <w:marBottom w:val="0"/>
          <w:divBdr>
            <w:top w:val="none" w:sz="0" w:space="0" w:color="auto"/>
            <w:left w:val="none" w:sz="0" w:space="0" w:color="auto"/>
            <w:bottom w:val="none" w:sz="0" w:space="0" w:color="auto"/>
            <w:right w:val="none" w:sz="0" w:space="0" w:color="auto"/>
          </w:divBdr>
        </w:div>
        <w:div w:id="281308957">
          <w:marLeft w:val="0"/>
          <w:marRight w:val="0"/>
          <w:marTop w:val="0"/>
          <w:marBottom w:val="0"/>
          <w:divBdr>
            <w:top w:val="none" w:sz="0" w:space="0" w:color="auto"/>
            <w:left w:val="none" w:sz="0" w:space="0" w:color="auto"/>
            <w:bottom w:val="none" w:sz="0" w:space="0" w:color="auto"/>
            <w:right w:val="none" w:sz="0" w:space="0" w:color="auto"/>
          </w:divBdr>
        </w:div>
        <w:div w:id="1519847825">
          <w:marLeft w:val="0"/>
          <w:marRight w:val="0"/>
          <w:marTop w:val="0"/>
          <w:marBottom w:val="0"/>
          <w:divBdr>
            <w:top w:val="none" w:sz="0" w:space="0" w:color="auto"/>
            <w:left w:val="none" w:sz="0" w:space="0" w:color="auto"/>
            <w:bottom w:val="none" w:sz="0" w:space="0" w:color="auto"/>
            <w:right w:val="none" w:sz="0" w:space="0" w:color="auto"/>
          </w:divBdr>
        </w:div>
        <w:div w:id="237325330">
          <w:marLeft w:val="0"/>
          <w:marRight w:val="0"/>
          <w:marTop w:val="0"/>
          <w:marBottom w:val="0"/>
          <w:divBdr>
            <w:top w:val="none" w:sz="0" w:space="0" w:color="auto"/>
            <w:left w:val="none" w:sz="0" w:space="0" w:color="auto"/>
            <w:bottom w:val="none" w:sz="0" w:space="0" w:color="auto"/>
            <w:right w:val="none" w:sz="0" w:space="0" w:color="auto"/>
          </w:divBdr>
        </w:div>
        <w:div w:id="1750807088">
          <w:marLeft w:val="0"/>
          <w:marRight w:val="0"/>
          <w:marTop w:val="0"/>
          <w:marBottom w:val="0"/>
          <w:divBdr>
            <w:top w:val="none" w:sz="0" w:space="0" w:color="auto"/>
            <w:left w:val="none" w:sz="0" w:space="0" w:color="auto"/>
            <w:bottom w:val="none" w:sz="0" w:space="0" w:color="auto"/>
            <w:right w:val="none" w:sz="0" w:space="0" w:color="auto"/>
          </w:divBdr>
        </w:div>
        <w:div w:id="1614166121">
          <w:marLeft w:val="0"/>
          <w:marRight w:val="0"/>
          <w:marTop w:val="0"/>
          <w:marBottom w:val="0"/>
          <w:divBdr>
            <w:top w:val="none" w:sz="0" w:space="0" w:color="auto"/>
            <w:left w:val="none" w:sz="0" w:space="0" w:color="auto"/>
            <w:bottom w:val="none" w:sz="0" w:space="0" w:color="auto"/>
            <w:right w:val="none" w:sz="0" w:space="0" w:color="auto"/>
          </w:divBdr>
        </w:div>
        <w:div w:id="1043478284">
          <w:marLeft w:val="0"/>
          <w:marRight w:val="0"/>
          <w:marTop w:val="0"/>
          <w:marBottom w:val="0"/>
          <w:divBdr>
            <w:top w:val="none" w:sz="0" w:space="0" w:color="auto"/>
            <w:left w:val="none" w:sz="0" w:space="0" w:color="auto"/>
            <w:bottom w:val="none" w:sz="0" w:space="0" w:color="auto"/>
            <w:right w:val="none" w:sz="0" w:space="0" w:color="auto"/>
          </w:divBdr>
        </w:div>
        <w:div w:id="1389495384">
          <w:marLeft w:val="0"/>
          <w:marRight w:val="0"/>
          <w:marTop w:val="0"/>
          <w:marBottom w:val="0"/>
          <w:divBdr>
            <w:top w:val="none" w:sz="0" w:space="0" w:color="auto"/>
            <w:left w:val="none" w:sz="0" w:space="0" w:color="auto"/>
            <w:bottom w:val="none" w:sz="0" w:space="0" w:color="auto"/>
            <w:right w:val="none" w:sz="0" w:space="0" w:color="auto"/>
          </w:divBdr>
        </w:div>
        <w:div w:id="1012419965">
          <w:marLeft w:val="0"/>
          <w:marRight w:val="0"/>
          <w:marTop w:val="0"/>
          <w:marBottom w:val="0"/>
          <w:divBdr>
            <w:top w:val="none" w:sz="0" w:space="0" w:color="auto"/>
            <w:left w:val="none" w:sz="0" w:space="0" w:color="auto"/>
            <w:bottom w:val="none" w:sz="0" w:space="0" w:color="auto"/>
            <w:right w:val="none" w:sz="0" w:space="0" w:color="auto"/>
          </w:divBdr>
        </w:div>
        <w:div w:id="1232736946">
          <w:marLeft w:val="0"/>
          <w:marRight w:val="0"/>
          <w:marTop w:val="0"/>
          <w:marBottom w:val="0"/>
          <w:divBdr>
            <w:top w:val="none" w:sz="0" w:space="0" w:color="auto"/>
            <w:left w:val="none" w:sz="0" w:space="0" w:color="auto"/>
            <w:bottom w:val="none" w:sz="0" w:space="0" w:color="auto"/>
            <w:right w:val="none" w:sz="0" w:space="0" w:color="auto"/>
          </w:divBdr>
        </w:div>
      </w:divsChild>
    </w:div>
    <w:div w:id="1436947735">
      <w:bodyDiv w:val="1"/>
      <w:marLeft w:val="0"/>
      <w:marRight w:val="0"/>
      <w:marTop w:val="0"/>
      <w:marBottom w:val="0"/>
      <w:divBdr>
        <w:top w:val="none" w:sz="0" w:space="0" w:color="auto"/>
        <w:left w:val="none" w:sz="0" w:space="0" w:color="auto"/>
        <w:bottom w:val="none" w:sz="0" w:space="0" w:color="auto"/>
        <w:right w:val="none" w:sz="0" w:space="0" w:color="auto"/>
      </w:divBdr>
      <w:divsChild>
        <w:div w:id="1655256417">
          <w:marLeft w:val="0"/>
          <w:marRight w:val="0"/>
          <w:marTop w:val="0"/>
          <w:marBottom w:val="0"/>
          <w:divBdr>
            <w:top w:val="none" w:sz="0" w:space="0" w:color="auto"/>
            <w:left w:val="none" w:sz="0" w:space="0" w:color="auto"/>
            <w:bottom w:val="none" w:sz="0" w:space="0" w:color="auto"/>
            <w:right w:val="none" w:sz="0" w:space="0" w:color="auto"/>
          </w:divBdr>
        </w:div>
        <w:div w:id="1424958372">
          <w:marLeft w:val="0"/>
          <w:marRight w:val="0"/>
          <w:marTop w:val="0"/>
          <w:marBottom w:val="0"/>
          <w:divBdr>
            <w:top w:val="none" w:sz="0" w:space="0" w:color="auto"/>
            <w:left w:val="none" w:sz="0" w:space="0" w:color="auto"/>
            <w:bottom w:val="none" w:sz="0" w:space="0" w:color="auto"/>
            <w:right w:val="none" w:sz="0" w:space="0" w:color="auto"/>
          </w:divBdr>
        </w:div>
        <w:div w:id="1882783941">
          <w:marLeft w:val="0"/>
          <w:marRight w:val="0"/>
          <w:marTop w:val="0"/>
          <w:marBottom w:val="0"/>
          <w:divBdr>
            <w:top w:val="none" w:sz="0" w:space="0" w:color="auto"/>
            <w:left w:val="none" w:sz="0" w:space="0" w:color="auto"/>
            <w:bottom w:val="none" w:sz="0" w:space="0" w:color="auto"/>
            <w:right w:val="none" w:sz="0" w:space="0" w:color="auto"/>
          </w:divBdr>
        </w:div>
        <w:div w:id="404646983">
          <w:marLeft w:val="0"/>
          <w:marRight w:val="0"/>
          <w:marTop w:val="0"/>
          <w:marBottom w:val="0"/>
          <w:divBdr>
            <w:top w:val="none" w:sz="0" w:space="0" w:color="auto"/>
            <w:left w:val="none" w:sz="0" w:space="0" w:color="auto"/>
            <w:bottom w:val="none" w:sz="0" w:space="0" w:color="auto"/>
            <w:right w:val="none" w:sz="0" w:space="0" w:color="auto"/>
          </w:divBdr>
        </w:div>
        <w:div w:id="360203798">
          <w:marLeft w:val="0"/>
          <w:marRight w:val="0"/>
          <w:marTop w:val="0"/>
          <w:marBottom w:val="0"/>
          <w:divBdr>
            <w:top w:val="none" w:sz="0" w:space="0" w:color="auto"/>
            <w:left w:val="none" w:sz="0" w:space="0" w:color="auto"/>
            <w:bottom w:val="none" w:sz="0" w:space="0" w:color="auto"/>
            <w:right w:val="none" w:sz="0" w:space="0" w:color="auto"/>
          </w:divBdr>
        </w:div>
        <w:div w:id="1518084092">
          <w:marLeft w:val="0"/>
          <w:marRight w:val="0"/>
          <w:marTop w:val="0"/>
          <w:marBottom w:val="0"/>
          <w:divBdr>
            <w:top w:val="none" w:sz="0" w:space="0" w:color="auto"/>
            <w:left w:val="none" w:sz="0" w:space="0" w:color="auto"/>
            <w:bottom w:val="none" w:sz="0" w:space="0" w:color="auto"/>
            <w:right w:val="none" w:sz="0" w:space="0" w:color="auto"/>
          </w:divBdr>
        </w:div>
        <w:div w:id="172457061">
          <w:marLeft w:val="0"/>
          <w:marRight w:val="0"/>
          <w:marTop w:val="0"/>
          <w:marBottom w:val="0"/>
          <w:divBdr>
            <w:top w:val="none" w:sz="0" w:space="0" w:color="auto"/>
            <w:left w:val="none" w:sz="0" w:space="0" w:color="auto"/>
            <w:bottom w:val="none" w:sz="0" w:space="0" w:color="auto"/>
            <w:right w:val="none" w:sz="0" w:space="0" w:color="auto"/>
          </w:divBdr>
        </w:div>
        <w:div w:id="1359627432">
          <w:marLeft w:val="0"/>
          <w:marRight w:val="0"/>
          <w:marTop w:val="0"/>
          <w:marBottom w:val="0"/>
          <w:divBdr>
            <w:top w:val="none" w:sz="0" w:space="0" w:color="auto"/>
            <w:left w:val="none" w:sz="0" w:space="0" w:color="auto"/>
            <w:bottom w:val="none" w:sz="0" w:space="0" w:color="auto"/>
            <w:right w:val="none" w:sz="0" w:space="0" w:color="auto"/>
          </w:divBdr>
        </w:div>
        <w:div w:id="2136605648">
          <w:marLeft w:val="0"/>
          <w:marRight w:val="0"/>
          <w:marTop w:val="0"/>
          <w:marBottom w:val="0"/>
          <w:divBdr>
            <w:top w:val="none" w:sz="0" w:space="0" w:color="auto"/>
            <w:left w:val="none" w:sz="0" w:space="0" w:color="auto"/>
            <w:bottom w:val="none" w:sz="0" w:space="0" w:color="auto"/>
            <w:right w:val="none" w:sz="0" w:space="0" w:color="auto"/>
          </w:divBdr>
        </w:div>
      </w:divsChild>
    </w:div>
    <w:div w:id="1494564419">
      <w:bodyDiv w:val="1"/>
      <w:marLeft w:val="0"/>
      <w:marRight w:val="0"/>
      <w:marTop w:val="0"/>
      <w:marBottom w:val="0"/>
      <w:divBdr>
        <w:top w:val="none" w:sz="0" w:space="0" w:color="auto"/>
        <w:left w:val="none" w:sz="0" w:space="0" w:color="auto"/>
        <w:bottom w:val="none" w:sz="0" w:space="0" w:color="auto"/>
        <w:right w:val="none" w:sz="0" w:space="0" w:color="auto"/>
      </w:divBdr>
      <w:divsChild>
        <w:div w:id="1674338767">
          <w:marLeft w:val="0"/>
          <w:marRight w:val="0"/>
          <w:marTop w:val="0"/>
          <w:marBottom w:val="0"/>
          <w:divBdr>
            <w:top w:val="none" w:sz="0" w:space="0" w:color="auto"/>
            <w:left w:val="none" w:sz="0" w:space="0" w:color="auto"/>
            <w:bottom w:val="none" w:sz="0" w:space="0" w:color="auto"/>
            <w:right w:val="none" w:sz="0" w:space="0" w:color="auto"/>
          </w:divBdr>
        </w:div>
        <w:div w:id="1681198106">
          <w:marLeft w:val="0"/>
          <w:marRight w:val="0"/>
          <w:marTop w:val="0"/>
          <w:marBottom w:val="0"/>
          <w:divBdr>
            <w:top w:val="none" w:sz="0" w:space="0" w:color="auto"/>
            <w:left w:val="none" w:sz="0" w:space="0" w:color="auto"/>
            <w:bottom w:val="none" w:sz="0" w:space="0" w:color="auto"/>
            <w:right w:val="none" w:sz="0" w:space="0" w:color="auto"/>
          </w:divBdr>
        </w:div>
        <w:div w:id="1403603758">
          <w:marLeft w:val="0"/>
          <w:marRight w:val="0"/>
          <w:marTop w:val="0"/>
          <w:marBottom w:val="0"/>
          <w:divBdr>
            <w:top w:val="none" w:sz="0" w:space="0" w:color="auto"/>
            <w:left w:val="none" w:sz="0" w:space="0" w:color="auto"/>
            <w:bottom w:val="none" w:sz="0" w:space="0" w:color="auto"/>
            <w:right w:val="none" w:sz="0" w:space="0" w:color="auto"/>
          </w:divBdr>
        </w:div>
        <w:div w:id="1227765925">
          <w:marLeft w:val="0"/>
          <w:marRight w:val="0"/>
          <w:marTop w:val="0"/>
          <w:marBottom w:val="0"/>
          <w:divBdr>
            <w:top w:val="none" w:sz="0" w:space="0" w:color="auto"/>
            <w:left w:val="none" w:sz="0" w:space="0" w:color="auto"/>
            <w:bottom w:val="none" w:sz="0" w:space="0" w:color="auto"/>
            <w:right w:val="none" w:sz="0" w:space="0" w:color="auto"/>
          </w:divBdr>
        </w:div>
        <w:div w:id="545138336">
          <w:marLeft w:val="0"/>
          <w:marRight w:val="0"/>
          <w:marTop w:val="0"/>
          <w:marBottom w:val="0"/>
          <w:divBdr>
            <w:top w:val="none" w:sz="0" w:space="0" w:color="auto"/>
            <w:left w:val="none" w:sz="0" w:space="0" w:color="auto"/>
            <w:bottom w:val="none" w:sz="0" w:space="0" w:color="auto"/>
            <w:right w:val="none" w:sz="0" w:space="0" w:color="auto"/>
          </w:divBdr>
        </w:div>
        <w:div w:id="1491363400">
          <w:marLeft w:val="0"/>
          <w:marRight w:val="0"/>
          <w:marTop w:val="0"/>
          <w:marBottom w:val="0"/>
          <w:divBdr>
            <w:top w:val="none" w:sz="0" w:space="0" w:color="auto"/>
            <w:left w:val="none" w:sz="0" w:space="0" w:color="auto"/>
            <w:bottom w:val="none" w:sz="0" w:space="0" w:color="auto"/>
            <w:right w:val="none" w:sz="0" w:space="0" w:color="auto"/>
          </w:divBdr>
        </w:div>
        <w:div w:id="85149795">
          <w:marLeft w:val="0"/>
          <w:marRight w:val="0"/>
          <w:marTop w:val="0"/>
          <w:marBottom w:val="0"/>
          <w:divBdr>
            <w:top w:val="none" w:sz="0" w:space="0" w:color="auto"/>
            <w:left w:val="none" w:sz="0" w:space="0" w:color="auto"/>
            <w:bottom w:val="none" w:sz="0" w:space="0" w:color="auto"/>
            <w:right w:val="none" w:sz="0" w:space="0" w:color="auto"/>
          </w:divBdr>
        </w:div>
        <w:div w:id="182129267">
          <w:marLeft w:val="0"/>
          <w:marRight w:val="0"/>
          <w:marTop w:val="0"/>
          <w:marBottom w:val="0"/>
          <w:divBdr>
            <w:top w:val="none" w:sz="0" w:space="0" w:color="auto"/>
            <w:left w:val="none" w:sz="0" w:space="0" w:color="auto"/>
            <w:bottom w:val="none" w:sz="0" w:space="0" w:color="auto"/>
            <w:right w:val="none" w:sz="0" w:space="0" w:color="auto"/>
          </w:divBdr>
        </w:div>
      </w:divsChild>
    </w:div>
    <w:div w:id="1522356905">
      <w:bodyDiv w:val="1"/>
      <w:marLeft w:val="0"/>
      <w:marRight w:val="0"/>
      <w:marTop w:val="0"/>
      <w:marBottom w:val="0"/>
      <w:divBdr>
        <w:top w:val="none" w:sz="0" w:space="0" w:color="auto"/>
        <w:left w:val="none" w:sz="0" w:space="0" w:color="auto"/>
        <w:bottom w:val="none" w:sz="0" w:space="0" w:color="auto"/>
        <w:right w:val="none" w:sz="0" w:space="0" w:color="auto"/>
      </w:divBdr>
      <w:divsChild>
        <w:div w:id="1136147383">
          <w:marLeft w:val="0"/>
          <w:marRight w:val="0"/>
          <w:marTop w:val="0"/>
          <w:marBottom w:val="0"/>
          <w:divBdr>
            <w:top w:val="none" w:sz="0" w:space="0" w:color="auto"/>
            <w:left w:val="none" w:sz="0" w:space="0" w:color="auto"/>
            <w:bottom w:val="none" w:sz="0" w:space="0" w:color="auto"/>
            <w:right w:val="none" w:sz="0" w:space="0" w:color="auto"/>
          </w:divBdr>
        </w:div>
        <w:div w:id="69156407">
          <w:marLeft w:val="0"/>
          <w:marRight w:val="0"/>
          <w:marTop w:val="0"/>
          <w:marBottom w:val="0"/>
          <w:divBdr>
            <w:top w:val="none" w:sz="0" w:space="0" w:color="auto"/>
            <w:left w:val="none" w:sz="0" w:space="0" w:color="auto"/>
            <w:bottom w:val="none" w:sz="0" w:space="0" w:color="auto"/>
            <w:right w:val="none" w:sz="0" w:space="0" w:color="auto"/>
          </w:divBdr>
        </w:div>
        <w:div w:id="1870795626">
          <w:marLeft w:val="0"/>
          <w:marRight w:val="0"/>
          <w:marTop w:val="0"/>
          <w:marBottom w:val="0"/>
          <w:divBdr>
            <w:top w:val="none" w:sz="0" w:space="0" w:color="auto"/>
            <w:left w:val="none" w:sz="0" w:space="0" w:color="auto"/>
            <w:bottom w:val="none" w:sz="0" w:space="0" w:color="auto"/>
            <w:right w:val="none" w:sz="0" w:space="0" w:color="auto"/>
          </w:divBdr>
        </w:div>
        <w:div w:id="1184397201">
          <w:marLeft w:val="0"/>
          <w:marRight w:val="0"/>
          <w:marTop w:val="0"/>
          <w:marBottom w:val="0"/>
          <w:divBdr>
            <w:top w:val="none" w:sz="0" w:space="0" w:color="auto"/>
            <w:left w:val="none" w:sz="0" w:space="0" w:color="auto"/>
            <w:bottom w:val="none" w:sz="0" w:space="0" w:color="auto"/>
            <w:right w:val="none" w:sz="0" w:space="0" w:color="auto"/>
          </w:divBdr>
        </w:div>
        <w:div w:id="573391942">
          <w:marLeft w:val="0"/>
          <w:marRight w:val="0"/>
          <w:marTop w:val="0"/>
          <w:marBottom w:val="0"/>
          <w:divBdr>
            <w:top w:val="none" w:sz="0" w:space="0" w:color="auto"/>
            <w:left w:val="none" w:sz="0" w:space="0" w:color="auto"/>
            <w:bottom w:val="none" w:sz="0" w:space="0" w:color="auto"/>
            <w:right w:val="none" w:sz="0" w:space="0" w:color="auto"/>
          </w:divBdr>
        </w:div>
        <w:div w:id="1336417889">
          <w:marLeft w:val="0"/>
          <w:marRight w:val="0"/>
          <w:marTop w:val="0"/>
          <w:marBottom w:val="0"/>
          <w:divBdr>
            <w:top w:val="none" w:sz="0" w:space="0" w:color="auto"/>
            <w:left w:val="none" w:sz="0" w:space="0" w:color="auto"/>
            <w:bottom w:val="none" w:sz="0" w:space="0" w:color="auto"/>
            <w:right w:val="none" w:sz="0" w:space="0" w:color="auto"/>
          </w:divBdr>
        </w:div>
        <w:div w:id="279190211">
          <w:marLeft w:val="0"/>
          <w:marRight w:val="0"/>
          <w:marTop w:val="0"/>
          <w:marBottom w:val="0"/>
          <w:divBdr>
            <w:top w:val="none" w:sz="0" w:space="0" w:color="auto"/>
            <w:left w:val="none" w:sz="0" w:space="0" w:color="auto"/>
            <w:bottom w:val="none" w:sz="0" w:space="0" w:color="auto"/>
            <w:right w:val="none" w:sz="0" w:space="0" w:color="auto"/>
          </w:divBdr>
        </w:div>
        <w:div w:id="1174956916">
          <w:marLeft w:val="0"/>
          <w:marRight w:val="0"/>
          <w:marTop w:val="0"/>
          <w:marBottom w:val="0"/>
          <w:divBdr>
            <w:top w:val="none" w:sz="0" w:space="0" w:color="auto"/>
            <w:left w:val="none" w:sz="0" w:space="0" w:color="auto"/>
            <w:bottom w:val="none" w:sz="0" w:space="0" w:color="auto"/>
            <w:right w:val="none" w:sz="0" w:space="0" w:color="auto"/>
          </w:divBdr>
        </w:div>
        <w:div w:id="1685159748">
          <w:marLeft w:val="0"/>
          <w:marRight w:val="0"/>
          <w:marTop w:val="0"/>
          <w:marBottom w:val="0"/>
          <w:divBdr>
            <w:top w:val="none" w:sz="0" w:space="0" w:color="auto"/>
            <w:left w:val="none" w:sz="0" w:space="0" w:color="auto"/>
            <w:bottom w:val="none" w:sz="0" w:space="0" w:color="auto"/>
            <w:right w:val="none" w:sz="0" w:space="0" w:color="auto"/>
          </w:divBdr>
        </w:div>
        <w:div w:id="2143961748">
          <w:marLeft w:val="0"/>
          <w:marRight w:val="0"/>
          <w:marTop w:val="0"/>
          <w:marBottom w:val="0"/>
          <w:divBdr>
            <w:top w:val="none" w:sz="0" w:space="0" w:color="auto"/>
            <w:left w:val="none" w:sz="0" w:space="0" w:color="auto"/>
            <w:bottom w:val="none" w:sz="0" w:space="0" w:color="auto"/>
            <w:right w:val="none" w:sz="0" w:space="0" w:color="auto"/>
          </w:divBdr>
        </w:div>
        <w:div w:id="1012804303">
          <w:marLeft w:val="0"/>
          <w:marRight w:val="0"/>
          <w:marTop w:val="0"/>
          <w:marBottom w:val="0"/>
          <w:divBdr>
            <w:top w:val="none" w:sz="0" w:space="0" w:color="auto"/>
            <w:left w:val="none" w:sz="0" w:space="0" w:color="auto"/>
            <w:bottom w:val="none" w:sz="0" w:space="0" w:color="auto"/>
            <w:right w:val="none" w:sz="0" w:space="0" w:color="auto"/>
          </w:divBdr>
        </w:div>
        <w:div w:id="1441804155">
          <w:marLeft w:val="0"/>
          <w:marRight w:val="0"/>
          <w:marTop w:val="0"/>
          <w:marBottom w:val="0"/>
          <w:divBdr>
            <w:top w:val="none" w:sz="0" w:space="0" w:color="auto"/>
            <w:left w:val="none" w:sz="0" w:space="0" w:color="auto"/>
            <w:bottom w:val="none" w:sz="0" w:space="0" w:color="auto"/>
            <w:right w:val="none" w:sz="0" w:space="0" w:color="auto"/>
          </w:divBdr>
        </w:div>
        <w:div w:id="153693681">
          <w:marLeft w:val="0"/>
          <w:marRight w:val="0"/>
          <w:marTop w:val="0"/>
          <w:marBottom w:val="0"/>
          <w:divBdr>
            <w:top w:val="none" w:sz="0" w:space="0" w:color="auto"/>
            <w:left w:val="none" w:sz="0" w:space="0" w:color="auto"/>
            <w:bottom w:val="none" w:sz="0" w:space="0" w:color="auto"/>
            <w:right w:val="none" w:sz="0" w:space="0" w:color="auto"/>
          </w:divBdr>
        </w:div>
        <w:div w:id="122191573">
          <w:marLeft w:val="0"/>
          <w:marRight w:val="0"/>
          <w:marTop w:val="0"/>
          <w:marBottom w:val="0"/>
          <w:divBdr>
            <w:top w:val="none" w:sz="0" w:space="0" w:color="auto"/>
            <w:left w:val="none" w:sz="0" w:space="0" w:color="auto"/>
            <w:bottom w:val="none" w:sz="0" w:space="0" w:color="auto"/>
            <w:right w:val="none" w:sz="0" w:space="0" w:color="auto"/>
          </w:divBdr>
        </w:div>
        <w:div w:id="1787043543">
          <w:marLeft w:val="0"/>
          <w:marRight w:val="0"/>
          <w:marTop w:val="0"/>
          <w:marBottom w:val="0"/>
          <w:divBdr>
            <w:top w:val="none" w:sz="0" w:space="0" w:color="auto"/>
            <w:left w:val="none" w:sz="0" w:space="0" w:color="auto"/>
            <w:bottom w:val="none" w:sz="0" w:space="0" w:color="auto"/>
            <w:right w:val="none" w:sz="0" w:space="0" w:color="auto"/>
          </w:divBdr>
        </w:div>
        <w:div w:id="891424648">
          <w:marLeft w:val="0"/>
          <w:marRight w:val="0"/>
          <w:marTop w:val="0"/>
          <w:marBottom w:val="0"/>
          <w:divBdr>
            <w:top w:val="none" w:sz="0" w:space="0" w:color="auto"/>
            <w:left w:val="none" w:sz="0" w:space="0" w:color="auto"/>
            <w:bottom w:val="none" w:sz="0" w:space="0" w:color="auto"/>
            <w:right w:val="none" w:sz="0" w:space="0" w:color="auto"/>
          </w:divBdr>
        </w:div>
        <w:div w:id="1736321129">
          <w:marLeft w:val="0"/>
          <w:marRight w:val="0"/>
          <w:marTop w:val="0"/>
          <w:marBottom w:val="0"/>
          <w:divBdr>
            <w:top w:val="none" w:sz="0" w:space="0" w:color="auto"/>
            <w:left w:val="none" w:sz="0" w:space="0" w:color="auto"/>
            <w:bottom w:val="none" w:sz="0" w:space="0" w:color="auto"/>
            <w:right w:val="none" w:sz="0" w:space="0" w:color="auto"/>
          </w:divBdr>
        </w:div>
        <w:div w:id="1202353531">
          <w:marLeft w:val="0"/>
          <w:marRight w:val="0"/>
          <w:marTop w:val="0"/>
          <w:marBottom w:val="0"/>
          <w:divBdr>
            <w:top w:val="none" w:sz="0" w:space="0" w:color="auto"/>
            <w:left w:val="none" w:sz="0" w:space="0" w:color="auto"/>
            <w:bottom w:val="none" w:sz="0" w:space="0" w:color="auto"/>
            <w:right w:val="none" w:sz="0" w:space="0" w:color="auto"/>
          </w:divBdr>
        </w:div>
        <w:div w:id="282155624">
          <w:marLeft w:val="0"/>
          <w:marRight w:val="0"/>
          <w:marTop w:val="0"/>
          <w:marBottom w:val="0"/>
          <w:divBdr>
            <w:top w:val="none" w:sz="0" w:space="0" w:color="auto"/>
            <w:left w:val="none" w:sz="0" w:space="0" w:color="auto"/>
            <w:bottom w:val="none" w:sz="0" w:space="0" w:color="auto"/>
            <w:right w:val="none" w:sz="0" w:space="0" w:color="auto"/>
          </w:divBdr>
        </w:div>
      </w:divsChild>
    </w:div>
    <w:div w:id="1541745871">
      <w:bodyDiv w:val="1"/>
      <w:marLeft w:val="0"/>
      <w:marRight w:val="0"/>
      <w:marTop w:val="0"/>
      <w:marBottom w:val="0"/>
      <w:divBdr>
        <w:top w:val="none" w:sz="0" w:space="0" w:color="auto"/>
        <w:left w:val="none" w:sz="0" w:space="0" w:color="auto"/>
        <w:bottom w:val="none" w:sz="0" w:space="0" w:color="auto"/>
        <w:right w:val="none" w:sz="0" w:space="0" w:color="auto"/>
      </w:divBdr>
      <w:divsChild>
        <w:div w:id="1836918307">
          <w:marLeft w:val="0"/>
          <w:marRight w:val="0"/>
          <w:marTop w:val="0"/>
          <w:marBottom w:val="0"/>
          <w:divBdr>
            <w:top w:val="none" w:sz="0" w:space="0" w:color="auto"/>
            <w:left w:val="none" w:sz="0" w:space="0" w:color="auto"/>
            <w:bottom w:val="none" w:sz="0" w:space="0" w:color="auto"/>
            <w:right w:val="none" w:sz="0" w:space="0" w:color="auto"/>
          </w:divBdr>
        </w:div>
        <w:div w:id="417604924">
          <w:marLeft w:val="0"/>
          <w:marRight w:val="0"/>
          <w:marTop w:val="0"/>
          <w:marBottom w:val="0"/>
          <w:divBdr>
            <w:top w:val="none" w:sz="0" w:space="0" w:color="auto"/>
            <w:left w:val="none" w:sz="0" w:space="0" w:color="auto"/>
            <w:bottom w:val="none" w:sz="0" w:space="0" w:color="auto"/>
            <w:right w:val="none" w:sz="0" w:space="0" w:color="auto"/>
          </w:divBdr>
        </w:div>
        <w:div w:id="1947350836">
          <w:marLeft w:val="0"/>
          <w:marRight w:val="0"/>
          <w:marTop w:val="0"/>
          <w:marBottom w:val="0"/>
          <w:divBdr>
            <w:top w:val="none" w:sz="0" w:space="0" w:color="auto"/>
            <w:left w:val="none" w:sz="0" w:space="0" w:color="auto"/>
            <w:bottom w:val="none" w:sz="0" w:space="0" w:color="auto"/>
            <w:right w:val="none" w:sz="0" w:space="0" w:color="auto"/>
          </w:divBdr>
        </w:div>
        <w:div w:id="1404185831">
          <w:marLeft w:val="0"/>
          <w:marRight w:val="0"/>
          <w:marTop w:val="0"/>
          <w:marBottom w:val="0"/>
          <w:divBdr>
            <w:top w:val="none" w:sz="0" w:space="0" w:color="auto"/>
            <w:left w:val="none" w:sz="0" w:space="0" w:color="auto"/>
            <w:bottom w:val="none" w:sz="0" w:space="0" w:color="auto"/>
            <w:right w:val="none" w:sz="0" w:space="0" w:color="auto"/>
          </w:divBdr>
        </w:div>
        <w:div w:id="994913108">
          <w:marLeft w:val="0"/>
          <w:marRight w:val="0"/>
          <w:marTop w:val="0"/>
          <w:marBottom w:val="0"/>
          <w:divBdr>
            <w:top w:val="none" w:sz="0" w:space="0" w:color="auto"/>
            <w:left w:val="none" w:sz="0" w:space="0" w:color="auto"/>
            <w:bottom w:val="none" w:sz="0" w:space="0" w:color="auto"/>
            <w:right w:val="none" w:sz="0" w:space="0" w:color="auto"/>
          </w:divBdr>
        </w:div>
        <w:div w:id="1336152384">
          <w:marLeft w:val="0"/>
          <w:marRight w:val="0"/>
          <w:marTop w:val="0"/>
          <w:marBottom w:val="0"/>
          <w:divBdr>
            <w:top w:val="none" w:sz="0" w:space="0" w:color="auto"/>
            <w:left w:val="none" w:sz="0" w:space="0" w:color="auto"/>
            <w:bottom w:val="none" w:sz="0" w:space="0" w:color="auto"/>
            <w:right w:val="none" w:sz="0" w:space="0" w:color="auto"/>
          </w:divBdr>
        </w:div>
        <w:div w:id="1297182371">
          <w:marLeft w:val="0"/>
          <w:marRight w:val="0"/>
          <w:marTop w:val="0"/>
          <w:marBottom w:val="0"/>
          <w:divBdr>
            <w:top w:val="none" w:sz="0" w:space="0" w:color="auto"/>
            <w:left w:val="none" w:sz="0" w:space="0" w:color="auto"/>
            <w:bottom w:val="none" w:sz="0" w:space="0" w:color="auto"/>
            <w:right w:val="none" w:sz="0" w:space="0" w:color="auto"/>
          </w:divBdr>
        </w:div>
        <w:div w:id="204874993">
          <w:marLeft w:val="0"/>
          <w:marRight w:val="0"/>
          <w:marTop w:val="0"/>
          <w:marBottom w:val="0"/>
          <w:divBdr>
            <w:top w:val="none" w:sz="0" w:space="0" w:color="auto"/>
            <w:left w:val="none" w:sz="0" w:space="0" w:color="auto"/>
            <w:bottom w:val="none" w:sz="0" w:space="0" w:color="auto"/>
            <w:right w:val="none" w:sz="0" w:space="0" w:color="auto"/>
          </w:divBdr>
        </w:div>
        <w:div w:id="839663299">
          <w:marLeft w:val="0"/>
          <w:marRight w:val="0"/>
          <w:marTop w:val="0"/>
          <w:marBottom w:val="0"/>
          <w:divBdr>
            <w:top w:val="none" w:sz="0" w:space="0" w:color="auto"/>
            <w:left w:val="none" w:sz="0" w:space="0" w:color="auto"/>
            <w:bottom w:val="none" w:sz="0" w:space="0" w:color="auto"/>
            <w:right w:val="none" w:sz="0" w:space="0" w:color="auto"/>
          </w:divBdr>
        </w:div>
        <w:div w:id="1195078415">
          <w:marLeft w:val="0"/>
          <w:marRight w:val="0"/>
          <w:marTop w:val="0"/>
          <w:marBottom w:val="0"/>
          <w:divBdr>
            <w:top w:val="none" w:sz="0" w:space="0" w:color="auto"/>
            <w:left w:val="none" w:sz="0" w:space="0" w:color="auto"/>
            <w:bottom w:val="none" w:sz="0" w:space="0" w:color="auto"/>
            <w:right w:val="none" w:sz="0" w:space="0" w:color="auto"/>
          </w:divBdr>
        </w:div>
        <w:div w:id="984894209">
          <w:marLeft w:val="0"/>
          <w:marRight w:val="0"/>
          <w:marTop w:val="0"/>
          <w:marBottom w:val="0"/>
          <w:divBdr>
            <w:top w:val="none" w:sz="0" w:space="0" w:color="auto"/>
            <w:left w:val="none" w:sz="0" w:space="0" w:color="auto"/>
            <w:bottom w:val="none" w:sz="0" w:space="0" w:color="auto"/>
            <w:right w:val="none" w:sz="0" w:space="0" w:color="auto"/>
          </w:divBdr>
        </w:div>
        <w:div w:id="2136170962">
          <w:marLeft w:val="0"/>
          <w:marRight w:val="0"/>
          <w:marTop w:val="0"/>
          <w:marBottom w:val="0"/>
          <w:divBdr>
            <w:top w:val="none" w:sz="0" w:space="0" w:color="auto"/>
            <w:left w:val="none" w:sz="0" w:space="0" w:color="auto"/>
            <w:bottom w:val="none" w:sz="0" w:space="0" w:color="auto"/>
            <w:right w:val="none" w:sz="0" w:space="0" w:color="auto"/>
          </w:divBdr>
        </w:div>
        <w:div w:id="1649166522">
          <w:marLeft w:val="0"/>
          <w:marRight w:val="0"/>
          <w:marTop w:val="0"/>
          <w:marBottom w:val="0"/>
          <w:divBdr>
            <w:top w:val="none" w:sz="0" w:space="0" w:color="auto"/>
            <w:left w:val="none" w:sz="0" w:space="0" w:color="auto"/>
            <w:bottom w:val="none" w:sz="0" w:space="0" w:color="auto"/>
            <w:right w:val="none" w:sz="0" w:space="0" w:color="auto"/>
          </w:divBdr>
        </w:div>
        <w:div w:id="773786946">
          <w:marLeft w:val="0"/>
          <w:marRight w:val="0"/>
          <w:marTop w:val="0"/>
          <w:marBottom w:val="0"/>
          <w:divBdr>
            <w:top w:val="none" w:sz="0" w:space="0" w:color="auto"/>
            <w:left w:val="none" w:sz="0" w:space="0" w:color="auto"/>
            <w:bottom w:val="none" w:sz="0" w:space="0" w:color="auto"/>
            <w:right w:val="none" w:sz="0" w:space="0" w:color="auto"/>
          </w:divBdr>
        </w:div>
        <w:div w:id="457533651">
          <w:marLeft w:val="0"/>
          <w:marRight w:val="0"/>
          <w:marTop w:val="0"/>
          <w:marBottom w:val="0"/>
          <w:divBdr>
            <w:top w:val="none" w:sz="0" w:space="0" w:color="auto"/>
            <w:left w:val="none" w:sz="0" w:space="0" w:color="auto"/>
            <w:bottom w:val="none" w:sz="0" w:space="0" w:color="auto"/>
            <w:right w:val="none" w:sz="0" w:space="0" w:color="auto"/>
          </w:divBdr>
        </w:div>
        <w:div w:id="256330289">
          <w:marLeft w:val="0"/>
          <w:marRight w:val="0"/>
          <w:marTop w:val="0"/>
          <w:marBottom w:val="0"/>
          <w:divBdr>
            <w:top w:val="none" w:sz="0" w:space="0" w:color="auto"/>
            <w:left w:val="none" w:sz="0" w:space="0" w:color="auto"/>
            <w:bottom w:val="none" w:sz="0" w:space="0" w:color="auto"/>
            <w:right w:val="none" w:sz="0" w:space="0" w:color="auto"/>
          </w:divBdr>
        </w:div>
      </w:divsChild>
    </w:div>
    <w:div w:id="1568688610">
      <w:bodyDiv w:val="1"/>
      <w:marLeft w:val="0"/>
      <w:marRight w:val="0"/>
      <w:marTop w:val="0"/>
      <w:marBottom w:val="0"/>
      <w:divBdr>
        <w:top w:val="none" w:sz="0" w:space="0" w:color="auto"/>
        <w:left w:val="none" w:sz="0" w:space="0" w:color="auto"/>
        <w:bottom w:val="none" w:sz="0" w:space="0" w:color="auto"/>
        <w:right w:val="none" w:sz="0" w:space="0" w:color="auto"/>
      </w:divBdr>
      <w:divsChild>
        <w:div w:id="1516113187">
          <w:marLeft w:val="0"/>
          <w:marRight w:val="0"/>
          <w:marTop w:val="0"/>
          <w:marBottom w:val="0"/>
          <w:divBdr>
            <w:top w:val="none" w:sz="0" w:space="0" w:color="auto"/>
            <w:left w:val="none" w:sz="0" w:space="0" w:color="auto"/>
            <w:bottom w:val="none" w:sz="0" w:space="0" w:color="auto"/>
            <w:right w:val="none" w:sz="0" w:space="0" w:color="auto"/>
          </w:divBdr>
        </w:div>
        <w:div w:id="148908148">
          <w:marLeft w:val="0"/>
          <w:marRight w:val="0"/>
          <w:marTop w:val="0"/>
          <w:marBottom w:val="0"/>
          <w:divBdr>
            <w:top w:val="none" w:sz="0" w:space="0" w:color="auto"/>
            <w:left w:val="none" w:sz="0" w:space="0" w:color="auto"/>
            <w:bottom w:val="none" w:sz="0" w:space="0" w:color="auto"/>
            <w:right w:val="none" w:sz="0" w:space="0" w:color="auto"/>
          </w:divBdr>
        </w:div>
        <w:div w:id="284655186">
          <w:marLeft w:val="0"/>
          <w:marRight w:val="0"/>
          <w:marTop w:val="0"/>
          <w:marBottom w:val="0"/>
          <w:divBdr>
            <w:top w:val="none" w:sz="0" w:space="0" w:color="auto"/>
            <w:left w:val="none" w:sz="0" w:space="0" w:color="auto"/>
            <w:bottom w:val="none" w:sz="0" w:space="0" w:color="auto"/>
            <w:right w:val="none" w:sz="0" w:space="0" w:color="auto"/>
          </w:divBdr>
        </w:div>
        <w:div w:id="1290671139">
          <w:marLeft w:val="0"/>
          <w:marRight w:val="0"/>
          <w:marTop w:val="0"/>
          <w:marBottom w:val="0"/>
          <w:divBdr>
            <w:top w:val="none" w:sz="0" w:space="0" w:color="auto"/>
            <w:left w:val="none" w:sz="0" w:space="0" w:color="auto"/>
            <w:bottom w:val="none" w:sz="0" w:space="0" w:color="auto"/>
            <w:right w:val="none" w:sz="0" w:space="0" w:color="auto"/>
          </w:divBdr>
        </w:div>
        <w:div w:id="144860002">
          <w:marLeft w:val="0"/>
          <w:marRight w:val="0"/>
          <w:marTop w:val="0"/>
          <w:marBottom w:val="0"/>
          <w:divBdr>
            <w:top w:val="none" w:sz="0" w:space="0" w:color="auto"/>
            <w:left w:val="none" w:sz="0" w:space="0" w:color="auto"/>
            <w:bottom w:val="none" w:sz="0" w:space="0" w:color="auto"/>
            <w:right w:val="none" w:sz="0" w:space="0" w:color="auto"/>
          </w:divBdr>
        </w:div>
      </w:divsChild>
    </w:div>
    <w:div w:id="1568758936">
      <w:bodyDiv w:val="1"/>
      <w:marLeft w:val="0"/>
      <w:marRight w:val="0"/>
      <w:marTop w:val="0"/>
      <w:marBottom w:val="0"/>
      <w:divBdr>
        <w:top w:val="none" w:sz="0" w:space="0" w:color="auto"/>
        <w:left w:val="none" w:sz="0" w:space="0" w:color="auto"/>
        <w:bottom w:val="none" w:sz="0" w:space="0" w:color="auto"/>
        <w:right w:val="none" w:sz="0" w:space="0" w:color="auto"/>
      </w:divBdr>
      <w:divsChild>
        <w:div w:id="1796363599">
          <w:marLeft w:val="0"/>
          <w:marRight w:val="0"/>
          <w:marTop w:val="0"/>
          <w:marBottom w:val="0"/>
          <w:divBdr>
            <w:top w:val="none" w:sz="0" w:space="0" w:color="auto"/>
            <w:left w:val="none" w:sz="0" w:space="0" w:color="auto"/>
            <w:bottom w:val="none" w:sz="0" w:space="0" w:color="auto"/>
            <w:right w:val="none" w:sz="0" w:space="0" w:color="auto"/>
          </w:divBdr>
        </w:div>
        <w:div w:id="1226725710">
          <w:marLeft w:val="0"/>
          <w:marRight w:val="0"/>
          <w:marTop w:val="0"/>
          <w:marBottom w:val="0"/>
          <w:divBdr>
            <w:top w:val="none" w:sz="0" w:space="0" w:color="auto"/>
            <w:left w:val="none" w:sz="0" w:space="0" w:color="auto"/>
            <w:bottom w:val="none" w:sz="0" w:space="0" w:color="auto"/>
            <w:right w:val="none" w:sz="0" w:space="0" w:color="auto"/>
          </w:divBdr>
        </w:div>
        <w:div w:id="570307262">
          <w:marLeft w:val="0"/>
          <w:marRight w:val="0"/>
          <w:marTop w:val="0"/>
          <w:marBottom w:val="0"/>
          <w:divBdr>
            <w:top w:val="none" w:sz="0" w:space="0" w:color="auto"/>
            <w:left w:val="none" w:sz="0" w:space="0" w:color="auto"/>
            <w:bottom w:val="none" w:sz="0" w:space="0" w:color="auto"/>
            <w:right w:val="none" w:sz="0" w:space="0" w:color="auto"/>
          </w:divBdr>
        </w:div>
        <w:div w:id="1208760335">
          <w:marLeft w:val="0"/>
          <w:marRight w:val="0"/>
          <w:marTop w:val="0"/>
          <w:marBottom w:val="0"/>
          <w:divBdr>
            <w:top w:val="none" w:sz="0" w:space="0" w:color="auto"/>
            <w:left w:val="none" w:sz="0" w:space="0" w:color="auto"/>
            <w:bottom w:val="none" w:sz="0" w:space="0" w:color="auto"/>
            <w:right w:val="none" w:sz="0" w:space="0" w:color="auto"/>
          </w:divBdr>
        </w:div>
        <w:div w:id="569267889">
          <w:marLeft w:val="0"/>
          <w:marRight w:val="0"/>
          <w:marTop w:val="0"/>
          <w:marBottom w:val="0"/>
          <w:divBdr>
            <w:top w:val="none" w:sz="0" w:space="0" w:color="auto"/>
            <w:left w:val="none" w:sz="0" w:space="0" w:color="auto"/>
            <w:bottom w:val="none" w:sz="0" w:space="0" w:color="auto"/>
            <w:right w:val="none" w:sz="0" w:space="0" w:color="auto"/>
          </w:divBdr>
        </w:div>
        <w:div w:id="1842350498">
          <w:marLeft w:val="0"/>
          <w:marRight w:val="0"/>
          <w:marTop w:val="0"/>
          <w:marBottom w:val="0"/>
          <w:divBdr>
            <w:top w:val="none" w:sz="0" w:space="0" w:color="auto"/>
            <w:left w:val="none" w:sz="0" w:space="0" w:color="auto"/>
            <w:bottom w:val="none" w:sz="0" w:space="0" w:color="auto"/>
            <w:right w:val="none" w:sz="0" w:space="0" w:color="auto"/>
          </w:divBdr>
        </w:div>
        <w:div w:id="548226085">
          <w:marLeft w:val="0"/>
          <w:marRight w:val="0"/>
          <w:marTop w:val="0"/>
          <w:marBottom w:val="0"/>
          <w:divBdr>
            <w:top w:val="none" w:sz="0" w:space="0" w:color="auto"/>
            <w:left w:val="none" w:sz="0" w:space="0" w:color="auto"/>
            <w:bottom w:val="none" w:sz="0" w:space="0" w:color="auto"/>
            <w:right w:val="none" w:sz="0" w:space="0" w:color="auto"/>
          </w:divBdr>
        </w:div>
      </w:divsChild>
    </w:div>
    <w:div w:id="1573082081">
      <w:bodyDiv w:val="1"/>
      <w:marLeft w:val="0"/>
      <w:marRight w:val="0"/>
      <w:marTop w:val="0"/>
      <w:marBottom w:val="0"/>
      <w:divBdr>
        <w:top w:val="none" w:sz="0" w:space="0" w:color="auto"/>
        <w:left w:val="none" w:sz="0" w:space="0" w:color="auto"/>
        <w:bottom w:val="none" w:sz="0" w:space="0" w:color="auto"/>
        <w:right w:val="none" w:sz="0" w:space="0" w:color="auto"/>
      </w:divBdr>
      <w:divsChild>
        <w:div w:id="280381624">
          <w:marLeft w:val="0"/>
          <w:marRight w:val="0"/>
          <w:marTop w:val="0"/>
          <w:marBottom w:val="0"/>
          <w:divBdr>
            <w:top w:val="none" w:sz="0" w:space="0" w:color="auto"/>
            <w:left w:val="none" w:sz="0" w:space="0" w:color="auto"/>
            <w:bottom w:val="none" w:sz="0" w:space="0" w:color="auto"/>
            <w:right w:val="none" w:sz="0" w:space="0" w:color="auto"/>
          </w:divBdr>
        </w:div>
        <w:div w:id="1587225705">
          <w:marLeft w:val="0"/>
          <w:marRight w:val="0"/>
          <w:marTop w:val="0"/>
          <w:marBottom w:val="0"/>
          <w:divBdr>
            <w:top w:val="none" w:sz="0" w:space="0" w:color="auto"/>
            <w:left w:val="none" w:sz="0" w:space="0" w:color="auto"/>
            <w:bottom w:val="none" w:sz="0" w:space="0" w:color="auto"/>
            <w:right w:val="none" w:sz="0" w:space="0" w:color="auto"/>
          </w:divBdr>
        </w:div>
        <w:div w:id="1667394565">
          <w:marLeft w:val="0"/>
          <w:marRight w:val="0"/>
          <w:marTop w:val="0"/>
          <w:marBottom w:val="0"/>
          <w:divBdr>
            <w:top w:val="none" w:sz="0" w:space="0" w:color="auto"/>
            <w:left w:val="none" w:sz="0" w:space="0" w:color="auto"/>
            <w:bottom w:val="none" w:sz="0" w:space="0" w:color="auto"/>
            <w:right w:val="none" w:sz="0" w:space="0" w:color="auto"/>
          </w:divBdr>
        </w:div>
        <w:div w:id="671494734">
          <w:marLeft w:val="0"/>
          <w:marRight w:val="0"/>
          <w:marTop w:val="0"/>
          <w:marBottom w:val="0"/>
          <w:divBdr>
            <w:top w:val="none" w:sz="0" w:space="0" w:color="auto"/>
            <w:left w:val="none" w:sz="0" w:space="0" w:color="auto"/>
            <w:bottom w:val="none" w:sz="0" w:space="0" w:color="auto"/>
            <w:right w:val="none" w:sz="0" w:space="0" w:color="auto"/>
          </w:divBdr>
        </w:div>
        <w:div w:id="1772314409">
          <w:marLeft w:val="0"/>
          <w:marRight w:val="0"/>
          <w:marTop w:val="0"/>
          <w:marBottom w:val="0"/>
          <w:divBdr>
            <w:top w:val="none" w:sz="0" w:space="0" w:color="auto"/>
            <w:left w:val="none" w:sz="0" w:space="0" w:color="auto"/>
            <w:bottom w:val="none" w:sz="0" w:space="0" w:color="auto"/>
            <w:right w:val="none" w:sz="0" w:space="0" w:color="auto"/>
          </w:divBdr>
        </w:div>
        <w:div w:id="986083251">
          <w:marLeft w:val="0"/>
          <w:marRight w:val="0"/>
          <w:marTop w:val="0"/>
          <w:marBottom w:val="0"/>
          <w:divBdr>
            <w:top w:val="none" w:sz="0" w:space="0" w:color="auto"/>
            <w:left w:val="none" w:sz="0" w:space="0" w:color="auto"/>
            <w:bottom w:val="none" w:sz="0" w:space="0" w:color="auto"/>
            <w:right w:val="none" w:sz="0" w:space="0" w:color="auto"/>
          </w:divBdr>
        </w:div>
      </w:divsChild>
    </w:div>
    <w:div w:id="1577476338">
      <w:bodyDiv w:val="1"/>
      <w:marLeft w:val="0"/>
      <w:marRight w:val="0"/>
      <w:marTop w:val="0"/>
      <w:marBottom w:val="0"/>
      <w:divBdr>
        <w:top w:val="none" w:sz="0" w:space="0" w:color="auto"/>
        <w:left w:val="none" w:sz="0" w:space="0" w:color="auto"/>
        <w:bottom w:val="none" w:sz="0" w:space="0" w:color="auto"/>
        <w:right w:val="none" w:sz="0" w:space="0" w:color="auto"/>
      </w:divBdr>
      <w:divsChild>
        <w:div w:id="746458789">
          <w:marLeft w:val="0"/>
          <w:marRight w:val="0"/>
          <w:marTop w:val="0"/>
          <w:marBottom w:val="0"/>
          <w:divBdr>
            <w:top w:val="none" w:sz="0" w:space="0" w:color="auto"/>
            <w:left w:val="none" w:sz="0" w:space="0" w:color="auto"/>
            <w:bottom w:val="none" w:sz="0" w:space="0" w:color="auto"/>
            <w:right w:val="none" w:sz="0" w:space="0" w:color="auto"/>
          </w:divBdr>
        </w:div>
        <w:div w:id="1822690392">
          <w:marLeft w:val="0"/>
          <w:marRight w:val="0"/>
          <w:marTop w:val="0"/>
          <w:marBottom w:val="0"/>
          <w:divBdr>
            <w:top w:val="none" w:sz="0" w:space="0" w:color="auto"/>
            <w:left w:val="none" w:sz="0" w:space="0" w:color="auto"/>
            <w:bottom w:val="none" w:sz="0" w:space="0" w:color="auto"/>
            <w:right w:val="none" w:sz="0" w:space="0" w:color="auto"/>
          </w:divBdr>
        </w:div>
        <w:div w:id="76099021">
          <w:marLeft w:val="0"/>
          <w:marRight w:val="0"/>
          <w:marTop w:val="0"/>
          <w:marBottom w:val="0"/>
          <w:divBdr>
            <w:top w:val="none" w:sz="0" w:space="0" w:color="auto"/>
            <w:left w:val="none" w:sz="0" w:space="0" w:color="auto"/>
            <w:bottom w:val="none" w:sz="0" w:space="0" w:color="auto"/>
            <w:right w:val="none" w:sz="0" w:space="0" w:color="auto"/>
          </w:divBdr>
        </w:div>
        <w:div w:id="531769551">
          <w:marLeft w:val="0"/>
          <w:marRight w:val="0"/>
          <w:marTop w:val="0"/>
          <w:marBottom w:val="0"/>
          <w:divBdr>
            <w:top w:val="none" w:sz="0" w:space="0" w:color="auto"/>
            <w:left w:val="none" w:sz="0" w:space="0" w:color="auto"/>
            <w:bottom w:val="none" w:sz="0" w:space="0" w:color="auto"/>
            <w:right w:val="none" w:sz="0" w:space="0" w:color="auto"/>
          </w:divBdr>
        </w:div>
        <w:div w:id="789513482">
          <w:marLeft w:val="0"/>
          <w:marRight w:val="0"/>
          <w:marTop w:val="0"/>
          <w:marBottom w:val="0"/>
          <w:divBdr>
            <w:top w:val="none" w:sz="0" w:space="0" w:color="auto"/>
            <w:left w:val="none" w:sz="0" w:space="0" w:color="auto"/>
            <w:bottom w:val="none" w:sz="0" w:space="0" w:color="auto"/>
            <w:right w:val="none" w:sz="0" w:space="0" w:color="auto"/>
          </w:divBdr>
        </w:div>
      </w:divsChild>
    </w:div>
    <w:div w:id="1596472892">
      <w:bodyDiv w:val="1"/>
      <w:marLeft w:val="0"/>
      <w:marRight w:val="0"/>
      <w:marTop w:val="0"/>
      <w:marBottom w:val="0"/>
      <w:divBdr>
        <w:top w:val="none" w:sz="0" w:space="0" w:color="auto"/>
        <w:left w:val="none" w:sz="0" w:space="0" w:color="auto"/>
        <w:bottom w:val="none" w:sz="0" w:space="0" w:color="auto"/>
        <w:right w:val="none" w:sz="0" w:space="0" w:color="auto"/>
      </w:divBdr>
      <w:divsChild>
        <w:div w:id="1101411226">
          <w:marLeft w:val="0"/>
          <w:marRight w:val="0"/>
          <w:marTop w:val="0"/>
          <w:marBottom w:val="0"/>
          <w:divBdr>
            <w:top w:val="none" w:sz="0" w:space="0" w:color="auto"/>
            <w:left w:val="none" w:sz="0" w:space="0" w:color="auto"/>
            <w:bottom w:val="none" w:sz="0" w:space="0" w:color="auto"/>
            <w:right w:val="none" w:sz="0" w:space="0" w:color="auto"/>
          </w:divBdr>
        </w:div>
        <w:div w:id="721834414">
          <w:marLeft w:val="0"/>
          <w:marRight w:val="0"/>
          <w:marTop w:val="0"/>
          <w:marBottom w:val="0"/>
          <w:divBdr>
            <w:top w:val="none" w:sz="0" w:space="0" w:color="auto"/>
            <w:left w:val="none" w:sz="0" w:space="0" w:color="auto"/>
            <w:bottom w:val="none" w:sz="0" w:space="0" w:color="auto"/>
            <w:right w:val="none" w:sz="0" w:space="0" w:color="auto"/>
          </w:divBdr>
        </w:div>
        <w:div w:id="672294243">
          <w:marLeft w:val="0"/>
          <w:marRight w:val="0"/>
          <w:marTop w:val="0"/>
          <w:marBottom w:val="0"/>
          <w:divBdr>
            <w:top w:val="none" w:sz="0" w:space="0" w:color="auto"/>
            <w:left w:val="none" w:sz="0" w:space="0" w:color="auto"/>
            <w:bottom w:val="none" w:sz="0" w:space="0" w:color="auto"/>
            <w:right w:val="none" w:sz="0" w:space="0" w:color="auto"/>
          </w:divBdr>
        </w:div>
        <w:div w:id="1045908914">
          <w:marLeft w:val="0"/>
          <w:marRight w:val="0"/>
          <w:marTop w:val="0"/>
          <w:marBottom w:val="0"/>
          <w:divBdr>
            <w:top w:val="none" w:sz="0" w:space="0" w:color="auto"/>
            <w:left w:val="none" w:sz="0" w:space="0" w:color="auto"/>
            <w:bottom w:val="none" w:sz="0" w:space="0" w:color="auto"/>
            <w:right w:val="none" w:sz="0" w:space="0" w:color="auto"/>
          </w:divBdr>
        </w:div>
        <w:div w:id="1066027132">
          <w:marLeft w:val="0"/>
          <w:marRight w:val="0"/>
          <w:marTop w:val="0"/>
          <w:marBottom w:val="0"/>
          <w:divBdr>
            <w:top w:val="none" w:sz="0" w:space="0" w:color="auto"/>
            <w:left w:val="none" w:sz="0" w:space="0" w:color="auto"/>
            <w:bottom w:val="none" w:sz="0" w:space="0" w:color="auto"/>
            <w:right w:val="none" w:sz="0" w:space="0" w:color="auto"/>
          </w:divBdr>
        </w:div>
        <w:div w:id="1310134905">
          <w:marLeft w:val="0"/>
          <w:marRight w:val="0"/>
          <w:marTop w:val="0"/>
          <w:marBottom w:val="0"/>
          <w:divBdr>
            <w:top w:val="none" w:sz="0" w:space="0" w:color="auto"/>
            <w:left w:val="none" w:sz="0" w:space="0" w:color="auto"/>
            <w:bottom w:val="none" w:sz="0" w:space="0" w:color="auto"/>
            <w:right w:val="none" w:sz="0" w:space="0" w:color="auto"/>
          </w:divBdr>
        </w:div>
        <w:div w:id="1268729414">
          <w:marLeft w:val="0"/>
          <w:marRight w:val="0"/>
          <w:marTop w:val="0"/>
          <w:marBottom w:val="0"/>
          <w:divBdr>
            <w:top w:val="none" w:sz="0" w:space="0" w:color="auto"/>
            <w:left w:val="none" w:sz="0" w:space="0" w:color="auto"/>
            <w:bottom w:val="none" w:sz="0" w:space="0" w:color="auto"/>
            <w:right w:val="none" w:sz="0" w:space="0" w:color="auto"/>
          </w:divBdr>
        </w:div>
        <w:div w:id="421999113">
          <w:marLeft w:val="0"/>
          <w:marRight w:val="0"/>
          <w:marTop w:val="0"/>
          <w:marBottom w:val="0"/>
          <w:divBdr>
            <w:top w:val="none" w:sz="0" w:space="0" w:color="auto"/>
            <w:left w:val="none" w:sz="0" w:space="0" w:color="auto"/>
            <w:bottom w:val="none" w:sz="0" w:space="0" w:color="auto"/>
            <w:right w:val="none" w:sz="0" w:space="0" w:color="auto"/>
          </w:divBdr>
        </w:div>
        <w:div w:id="250552221">
          <w:marLeft w:val="0"/>
          <w:marRight w:val="0"/>
          <w:marTop w:val="0"/>
          <w:marBottom w:val="0"/>
          <w:divBdr>
            <w:top w:val="none" w:sz="0" w:space="0" w:color="auto"/>
            <w:left w:val="none" w:sz="0" w:space="0" w:color="auto"/>
            <w:bottom w:val="none" w:sz="0" w:space="0" w:color="auto"/>
            <w:right w:val="none" w:sz="0" w:space="0" w:color="auto"/>
          </w:divBdr>
        </w:div>
      </w:divsChild>
    </w:div>
    <w:div w:id="1611741565">
      <w:bodyDiv w:val="1"/>
      <w:marLeft w:val="0"/>
      <w:marRight w:val="0"/>
      <w:marTop w:val="0"/>
      <w:marBottom w:val="0"/>
      <w:divBdr>
        <w:top w:val="none" w:sz="0" w:space="0" w:color="auto"/>
        <w:left w:val="none" w:sz="0" w:space="0" w:color="auto"/>
        <w:bottom w:val="none" w:sz="0" w:space="0" w:color="auto"/>
        <w:right w:val="none" w:sz="0" w:space="0" w:color="auto"/>
      </w:divBdr>
      <w:divsChild>
        <w:div w:id="1483424526">
          <w:marLeft w:val="0"/>
          <w:marRight w:val="0"/>
          <w:marTop w:val="0"/>
          <w:marBottom w:val="0"/>
          <w:divBdr>
            <w:top w:val="none" w:sz="0" w:space="0" w:color="auto"/>
            <w:left w:val="none" w:sz="0" w:space="0" w:color="auto"/>
            <w:bottom w:val="none" w:sz="0" w:space="0" w:color="auto"/>
            <w:right w:val="none" w:sz="0" w:space="0" w:color="auto"/>
          </w:divBdr>
        </w:div>
        <w:div w:id="47464219">
          <w:marLeft w:val="0"/>
          <w:marRight w:val="0"/>
          <w:marTop w:val="0"/>
          <w:marBottom w:val="0"/>
          <w:divBdr>
            <w:top w:val="none" w:sz="0" w:space="0" w:color="auto"/>
            <w:left w:val="none" w:sz="0" w:space="0" w:color="auto"/>
            <w:bottom w:val="none" w:sz="0" w:space="0" w:color="auto"/>
            <w:right w:val="none" w:sz="0" w:space="0" w:color="auto"/>
          </w:divBdr>
        </w:div>
        <w:div w:id="13196278">
          <w:marLeft w:val="0"/>
          <w:marRight w:val="0"/>
          <w:marTop w:val="0"/>
          <w:marBottom w:val="0"/>
          <w:divBdr>
            <w:top w:val="none" w:sz="0" w:space="0" w:color="auto"/>
            <w:left w:val="none" w:sz="0" w:space="0" w:color="auto"/>
            <w:bottom w:val="none" w:sz="0" w:space="0" w:color="auto"/>
            <w:right w:val="none" w:sz="0" w:space="0" w:color="auto"/>
          </w:divBdr>
        </w:div>
        <w:div w:id="150222719">
          <w:marLeft w:val="0"/>
          <w:marRight w:val="0"/>
          <w:marTop w:val="0"/>
          <w:marBottom w:val="0"/>
          <w:divBdr>
            <w:top w:val="none" w:sz="0" w:space="0" w:color="auto"/>
            <w:left w:val="none" w:sz="0" w:space="0" w:color="auto"/>
            <w:bottom w:val="none" w:sz="0" w:space="0" w:color="auto"/>
            <w:right w:val="none" w:sz="0" w:space="0" w:color="auto"/>
          </w:divBdr>
        </w:div>
        <w:div w:id="493958789">
          <w:marLeft w:val="0"/>
          <w:marRight w:val="0"/>
          <w:marTop w:val="0"/>
          <w:marBottom w:val="0"/>
          <w:divBdr>
            <w:top w:val="none" w:sz="0" w:space="0" w:color="auto"/>
            <w:left w:val="none" w:sz="0" w:space="0" w:color="auto"/>
            <w:bottom w:val="none" w:sz="0" w:space="0" w:color="auto"/>
            <w:right w:val="none" w:sz="0" w:space="0" w:color="auto"/>
          </w:divBdr>
        </w:div>
        <w:div w:id="698773532">
          <w:marLeft w:val="0"/>
          <w:marRight w:val="0"/>
          <w:marTop w:val="0"/>
          <w:marBottom w:val="0"/>
          <w:divBdr>
            <w:top w:val="none" w:sz="0" w:space="0" w:color="auto"/>
            <w:left w:val="none" w:sz="0" w:space="0" w:color="auto"/>
            <w:bottom w:val="none" w:sz="0" w:space="0" w:color="auto"/>
            <w:right w:val="none" w:sz="0" w:space="0" w:color="auto"/>
          </w:divBdr>
        </w:div>
        <w:div w:id="2131588968">
          <w:marLeft w:val="0"/>
          <w:marRight w:val="0"/>
          <w:marTop w:val="0"/>
          <w:marBottom w:val="0"/>
          <w:divBdr>
            <w:top w:val="none" w:sz="0" w:space="0" w:color="auto"/>
            <w:left w:val="none" w:sz="0" w:space="0" w:color="auto"/>
            <w:bottom w:val="none" w:sz="0" w:space="0" w:color="auto"/>
            <w:right w:val="none" w:sz="0" w:space="0" w:color="auto"/>
          </w:divBdr>
        </w:div>
        <w:div w:id="11879296">
          <w:marLeft w:val="0"/>
          <w:marRight w:val="0"/>
          <w:marTop w:val="0"/>
          <w:marBottom w:val="0"/>
          <w:divBdr>
            <w:top w:val="none" w:sz="0" w:space="0" w:color="auto"/>
            <w:left w:val="none" w:sz="0" w:space="0" w:color="auto"/>
            <w:bottom w:val="none" w:sz="0" w:space="0" w:color="auto"/>
            <w:right w:val="none" w:sz="0" w:space="0" w:color="auto"/>
          </w:divBdr>
        </w:div>
        <w:div w:id="548030875">
          <w:marLeft w:val="0"/>
          <w:marRight w:val="0"/>
          <w:marTop w:val="0"/>
          <w:marBottom w:val="0"/>
          <w:divBdr>
            <w:top w:val="none" w:sz="0" w:space="0" w:color="auto"/>
            <w:left w:val="none" w:sz="0" w:space="0" w:color="auto"/>
            <w:bottom w:val="none" w:sz="0" w:space="0" w:color="auto"/>
            <w:right w:val="none" w:sz="0" w:space="0" w:color="auto"/>
          </w:divBdr>
        </w:div>
        <w:div w:id="1704555633">
          <w:marLeft w:val="0"/>
          <w:marRight w:val="0"/>
          <w:marTop w:val="0"/>
          <w:marBottom w:val="0"/>
          <w:divBdr>
            <w:top w:val="none" w:sz="0" w:space="0" w:color="auto"/>
            <w:left w:val="none" w:sz="0" w:space="0" w:color="auto"/>
            <w:bottom w:val="none" w:sz="0" w:space="0" w:color="auto"/>
            <w:right w:val="none" w:sz="0" w:space="0" w:color="auto"/>
          </w:divBdr>
        </w:div>
        <w:div w:id="791752513">
          <w:marLeft w:val="0"/>
          <w:marRight w:val="0"/>
          <w:marTop w:val="0"/>
          <w:marBottom w:val="0"/>
          <w:divBdr>
            <w:top w:val="none" w:sz="0" w:space="0" w:color="auto"/>
            <w:left w:val="none" w:sz="0" w:space="0" w:color="auto"/>
            <w:bottom w:val="none" w:sz="0" w:space="0" w:color="auto"/>
            <w:right w:val="none" w:sz="0" w:space="0" w:color="auto"/>
          </w:divBdr>
        </w:div>
      </w:divsChild>
    </w:div>
    <w:div w:id="1613243439">
      <w:bodyDiv w:val="1"/>
      <w:marLeft w:val="0"/>
      <w:marRight w:val="0"/>
      <w:marTop w:val="0"/>
      <w:marBottom w:val="0"/>
      <w:divBdr>
        <w:top w:val="none" w:sz="0" w:space="0" w:color="auto"/>
        <w:left w:val="none" w:sz="0" w:space="0" w:color="auto"/>
        <w:bottom w:val="none" w:sz="0" w:space="0" w:color="auto"/>
        <w:right w:val="none" w:sz="0" w:space="0" w:color="auto"/>
      </w:divBdr>
      <w:divsChild>
        <w:div w:id="1763331421">
          <w:marLeft w:val="0"/>
          <w:marRight w:val="0"/>
          <w:marTop w:val="0"/>
          <w:marBottom w:val="0"/>
          <w:divBdr>
            <w:top w:val="none" w:sz="0" w:space="0" w:color="auto"/>
            <w:left w:val="none" w:sz="0" w:space="0" w:color="auto"/>
            <w:bottom w:val="none" w:sz="0" w:space="0" w:color="auto"/>
            <w:right w:val="none" w:sz="0" w:space="0" w:color="auto"/>
          </w:divBdr>
        </w:div>
        <w:div w:id="1996370403">
          <w:marLeft w:val="0"/>
          <w:marRight w:val="0"/>
          <w:marTop w:val="0"/>
          <w:marBottom w:val="0"/>
          <w:divBdr>
            <w:top w:val="none" w:sz="0" w:space="0" w:color="auto"/>
            <w:left w:val="none" w:sz="0" w:space="0" w:color="auto"/>
            <w:bottom w:val="none" w:sz="0" w:space="0" w:color="auto"/>
            <w:right w:val="none" w:sz="0" w:space="0" w:color="auto"/>
          </w:divBdr>
        </w:div>
        <w:div w:id="2052533154">
          <w:marLeft w:val="0"/>
          <w:marRight w:val="0"/>
          <w:marTop w:val="0"/>
          <w:marBottom w:val="0"/>
          <w:divBdr>
            <w:top w:val="none" w:sz="0" w:space="0" w:color="auto"/>
            <w:left w:val="none" w:sz="0" w:space="0" w:color="auto"/>
            <w:bottom w:val="none" w:sz="0" w:space="0" w:color="auto"/>
            <w:right w:val="none" w:sz="0" w:space="0" w:color="auto"/>
          </w:divBdr>
        </w:div>
        <w:div w:id="2118790637">
          <w:marLeft w:val="0"/>
          <w:marRight w:val="0"/>
          <w:marTop w:val="0"/>
          <w:marBottom w:val="0"/>
          <w:divBdr>
            <w:top w:val="none" w:sz="0" w:space="0" w:color="auto"/>
            <w:left w:val="none" w:sz="0" w:space="0" w:color="auto"/>
            <w:bottom w:val="none" w:sz="0" w:space="0" w:color="auto"/>
            <w:right w:val="none" w:sz="0" w:space="0" w:color="auto"/>
          </w:divBdr>
        </w:div>
      </w:divsChild>
    </w:div>
    <w:div w:id="1619413344">
      <w:bodyDiv w:val="1"/>
      <w:marLeft w:val="0"/>
      <w:marRight w:val="0"/>
      <w:marTop w:val="0"/>
      <w:marBottom w:val="0"/>
      <w:divBdr>
        <w:top w:val="none" w:sz="0" w:space="0" w:color="auto"/>
        <w:left w:val="none" w:sz="0" w:space="0" w:color="auto"/>
        <w:bottom w:val="none" w:sz="0" w:space="0" w:color="auto"/>
        <w:right w:val="none" w:sz="0" w:space="0" w:color="auto"/>
      </w:divBdr>
      <w:divsChild>
        <w:div w:id="659424801">
          <w:marLeft w:val="0"/>
          <w:marRight w:val="0"/>
          <w:marTop w:val="0"/>
          <w:marBottom w:val="0"/>
          <w:divBdr>
            <w:top w:val="none" w:sz="0" w:space="0" w:color="auto"/>
            <w:left w:val="none" w:sz="0" w:space="0" w:color="auto"/>
            <w:bottom w:val="none" w:sz="0" w:space="0" w:color="auto"/>
            <w:right w:val="none" w:sz="0" w:space="0" w:color="auto"/>
          </w:divBdr>
        </w:div>
        <w:div w:id="884416693">
          <w:marLeft w:val="0"/>
          <w:marRight w:val="0"/>
          <w:marTop w:val="0"/>
          <w:marBottom w:val="0"/>
          <w:divBdr>
            <w:top w:val="none" w:sz="0" w:space="0" w:color="auto"/>
            <w:left w:val="none" w:sz="0" w:space="0" w:color="auto"/>
            <w:bottom w:val="none" w:sz="0" w:space="0" w:color="auto"/>
            <w:right w:val="none" w:sz="0" w:space="0" w:color="auto"/>
          </w:divBdr>
        </w:div>
        <w:div w:id="1189955571">
          <w:marLeft w:val="0"/>
          <w:marRight w:val="0"/>
          <w:marTop w:val="0"/>
          <w:marBottom w:val="0"/>
          <w:divBdr>
            <w:top w:val="none" w:sz="0" w:space="0" w:color="auto"/>
            <w:left w:val="none" w:sz="0" w:space="0" w:color="auto"/>
            <w:bottom w:val="none" w:sz="0" w:space="0" w:color="auto"/>
            <w:right w:val="none" w:sz="0" w:space="0" w:color="auto"/>
          </w:divBdr>
        </w:div>
        <w:div w:id="1465083170">
          <w:marLeft w:val="0"/>
          <w:marRight w:val="0"/>
          <w:marTop w:val="0"/>
          <w:marBottom w:val="0"/>
          <w:divBdr>
            <w:top w:val="none" w:sz="0" w:space="0" w:color="auto"/>
            <w:left w:val="none" w:sz="0" w:space="0" w:color="auto"/>
            <w:bottom w:val="none" w:sz="0" w:space="0" w:color="auto"/>
            <w:right w:val="none" w:sz="0" w:space="0" w:color="auto"/>
          </w:divBdr>
        </w:div>
      </w:divsChild>
    </w:div>
    <w:div w:id="1637417151">
      <w:bodyDiv w:val="1"/>
      <w:marLeft w:val="0"/>
      <w:marRight w:val="0"/>
      <w:marTop w:val="0"/>
      <w:marBottom w:val="0"/>
      <w:divBdr>
        <w:top w:val="none" w:sz="0" w:space="0" w:color="auto"/>
        <w:left w:val="none" w:sz="0" w:space="0" w:color="auto"/>
        <w:bottom w:val="none" w:sz="0" w:space="0" w:color="auto"/>
        <w:right w:val="none" w:sz="0" w:space="0" w:color="auto"/>
      </w:divBdr>
      <w:divsChild>
        <w:div w:id="1005788368">
          <w:marLeft w:val="0"/>
          <w:marRight w:val="0"/>
          <w:marTop w:val="0"/>
          <w:marBottom w:val="0"/>
          <w:divBdr>
            <w:top w:val="none" w:sz="0" w:space="0" w:color="auto"/>
            <w:left w:val="none" w:sz="0" w:space="0" w:color="auto"/>
            <w:bottom w:val="none" w:sz="0" w:space="0" w:color="auto"/>
            <w:right w:val="none" w:sz="0" w:space="0" w:color="auto"/>
          </w:divBdr>
        </w:div>
        <w:div w:id="1965502215">
          <w:marLeft w:val="0"/>
          <w:marRight w:val="0"/>
          <w:marTop w:val="0"/>
          <w:marBottom w:val="0"/>
          <w:divBdr>
            <w:top w:val="none" w:sz="0" w:space="0" w:color="auto"/>
            <w:left w:val="none" w:sz="0" w:space="0" w:color="auto"/>
            <w:bottom w:val="none" w:sz="0" w:space="0" w:color="auto"/>
            <w:right w:val="none" w:sz="0" w:space="0" w:color="auto"/>
          </w:divBdr>
        </w:div>
        <w:div w:id="947660966">
          <w:marLeft w:val="0"/>
          <w:marRight w:val="0"/>
          <w:marTop w:val="0"/>
          <w:marBottom w:val="0"/>
          <w:divBdr>
            <w:top w:val="none" w:sz="0" w:space="0" w:color="auto"/>
            <w:left w:val="none" w:sz="0" w:space="0" w:color="auto"/>
            <w:bottom w:val="none" w:sz="0" w:space="0" w:color="auto"/>
            <w:right w:val="none" w:sz="0" w:space="0" w:color="auto"/>
          </w:divBdr>
        </w:div>
        <w:div w:id="2001542121">
          <w:marLeft w:val="0"/>
          <w:marRight w:val="0"/>
          <w:marTop w:val="0"/>
          <w:marBottom w:val="0"/>
          <w:divBdr>
            <w:top w:val="none" w:sz="0" w:space="0" w:color="auto"/>
            <w:left w:val="none" w:sz="0" w:space="0" w:color="auto"/>
            <w:bottom w:val="none" w:sz="0" w:space="0" w:color="auto"/>
            <w:right w:val="none" w:sz="0" w:space="0" w:color="auto"/>
          </w:divBdr>
        </w:div>
        <w:div w:id="1157111300">
          <w:marLeft w:val="0"/>
          <w:marRight w:val="0"/>
          <w:marTop w:val="0"/>
          <w:marBottom w:val="0"/>
          <w:divBdr>
            <w:top w:val="none" w:sz="0" w:space="0" w:color="auto"/>
            <w:left w:val="none" w:sz="0" w:space="0" w:color="auto"/>
            <w:bottom w:val="none" w:sz="0" w:space="0" w:color="auto"/>
            <w:right w:val="none" w:sz="0" w:space="0" w:color="auto"/>
          </w:divBdr>
        </w:div>
        <w:div w:id="323094611">
          <w:marLeft w:val="0"/>
          <w:marRight w:val="0"/>
          <w:marTop w:val="0"/>
          <w:marBottom w:val="0"/>
          <w:divBdr>
            <w:top w:val="none" w:sz="0" w:space="0" w:color="auto"/>
            <w:left w:val="none" w:sz="0" w:space="0" w:color="auto"/>
            <w:bottom w:val="none" w:sz="0" w:space="0" w:color="auto"/>
            <w:right w:val="none" w:sz="0" w:space="0" w:color="auto"/>
          </w:divBdr>
        </w:div>
      </w:divsChild>
    </w:div>
    <w:div w:id="1640719832">
      <w:bodyDiv w:val="1"/>
      <w:marLeft w:val="0"/>
      <w:marRight w:val="0"/>
      <w:marTop w:val="0"/>
      <w:marBottom w:val="0"/>
      <w:divBdr>
        <w:top w:val="none" w:sz="0" w:space="0" w:color="auto"/>
        <w:left w:val="none" w:sz="0" w:space="0" w:color="auto"/>
        <w:bottom w:val="none" w:sz="0" w:space="0" w:color="auto"/>
        <w:right w:val="none" w:sz="0" w:space="0" w:color="auto"/>
      </w:divBdr>
      <w:divsChild>
        <w:div w:id="940601203">
          <w:marLeft w:val="0"/>
          <w:marRight w:val="0"/>
          <w:marTop w:val="0"/>
          <w:marBottom w:val="0"/>
          <w:divBdr>
            <w:top w:val="none" w:sz="0" w:space="0" w:color="auto"/>
            <w:left w:val="none" w:sz="0" w:space="0" w:color="auto"/>
            <w:bottom w:val="none" w:sz="0" w:space="0" w:color="auto"/>
            <w:right w:val="none" w:sz="0" w:space="0" w:color="auto"/>
          </w:divBdr>
        </w:div>
        <w:div w:id="794711009">
          <w:marLeft w:val="0"/>
          <w:marRight w:val="0"/>
          <w:marTop w:val="0"/>
          <w:marBottom w:val="0"/>
          <w:divBdr>
            <w:top w:val="none" w:sz="0" w:space="0" w:color="auto"/>
            <w:left w:val="none" w:sz="0" w:space="0" w:color="auto"/>
            <w:bottom w:val="none" w:sz="0" w:space="0" w:color="auto"/>
            <w:right w:val="none" w:sz="0" w:space="0" w:color="auto"/>
          </w:divBdr>
        </w:div>
        <w:div w:id="1928074177">
          <w:marLeft w:val="0"/>
          <w:marRight w:val="0"/>
          <w:marTop w:val="0"/>
          <w:marBottom w:val="0"/>
          <w:divBdr>
            <w:top w:val="none" w:sz="0" w:space="0" w:color="auto"/>
            <w:left w:val="none" w:sz="0" w:space="0" w:color="auto"/>
            <w:bottom w:val="none" w:sz="0" w:space="0" w:color="auto"/>
            <w:right w:val="none" w:sz="0" w:space="0" w:color="auto"/>
          </w:divBdr>
        </w:div>
        <w:div w:id="1741707960">
          <w:marLeft w:val="0"/>
          <w:marRight w:val="0"/>
          <w:marTop w:val="0"/>
          <w:marBottom w:val="0"/>
          <w:divBdr>
            <w:top w:val="none" w:sz="0" w:space="0" w:color="auto"/>
            <w:left w:val="none" w:sz="0" w:space="0" w:color="auto"/>
            <w:bottom w:val="none" w:sz="0" w:space="0" w:color="auto"/>
            <w:right w:val="none" w:sz="0" w:space="0" w:color="auto"/>
          </w:divBdr>
        </w:div>
        <w:div w:id="1597133002">
          <w:marLeft w:val="0"/>
          <w:marRight w:val="0"/>
          <w:marTop w:val="0"/>
          <w:marBottom w:val="0"/>
          <w:divBdr>
            <w:top w:val="none" w:sz="0" w:space="0" w:color="auto"/>
            <w:left w:val="none" w:sz="0" w:space="0" w:color="auto"/>
            <w:bottom w:val="none" w:sz="0" w:space="0" w:color="auto"/>
            <w:right w:val="none" w:sz="0" w:space="0" w:color="auto"/>
          </w:divBdr>
        </w:div>
        <w:div w:id="1693647589">
          <w:marLeft w:val="0"/>
          <w:marRight w:val="0"/>
          <w:marTop w:val="0"/>
          <w:marBottom w:val="0"/>
          <w:divBdr>
            <w:top w:val="none" w:sz="0" w:space="0" w:color="auto"/>
            <w:left w:val="none" w:sz="0" w:space="0" w:color="auto"/>
            <w:bottom w:val="none" w:sz="0" w:space="0" w:color="auto"/>
            <w:right w:val="none" w:sz="0" w:space="0" w:color="auto"/>
          </w:divBdr>
        </w:div>
        <w:div w:id="267733950">
          <w:marLeft w:val="0"/>
          <w:marRight w:val="0"/>
          <w:marTop w:val="0"/>
          <w:marBottom w:val="0"/>
          <w:divBdr>
            <w:top w:val="none" w:sz="0" w:space="0" w:color="auto"/>
            <w:left w:val="none" w:sz="0" w:space="0" w:color="auto"/>
            <w:bottom w:val="none" w:sz="0" w:space="0" w:color="auto"/>
            <w:right w:val="none" w:sz="0" w:space="0" w:color="auto"/>
          </w:divBdr>
        </w:div>
        <w:div w:id="1467893456">
          <w:marLeft w:val="0"/>
          <w:marRight w:val="0"/>
          <w:marTop w:val="0"/>
          <w:marBottom w:val="0"/>
          <w:divBdr>
            <w:top w:val="none" w:sz="0" w:space="0" w:color="auto"/>
            <w:left w:val="none" w:sz="0" w:space="0" w:color="auto"/>
            <w:bottom w:val="none" w:sz="0" w:space="0" w:color="auto"/>
            <w:right w:val="none" w:sz="0" w:space="0" w:color="auto"/>
          </w:divBdr>
        </w:div>
        <w:div w:id="736704546">
          <w:marLeft w:val="0"/>
          <w:marRight w:val="0"/>
          <w:marTop w:val="0"/>
          <w:marBottom w:val="0"/>
          <w:divBdr>
            <w:top w:val="none" w:sz="0" w:space="0" w:color="auto"/>
            <w:left w:val="none" w:sz="0" w:space="0" w:color="auto"/>
            <w:bottom w:val="none" w:sz="0" w:space="0" w:color="auto"/>
            <w:right w:val="none" w:sz="0" w:space="0" w:color="auto"/>
          </w:divBdr>
        </w:div>
        <w:div w:id="436410671">
          <w:marLeft w:val="0"/>
          <w:marRight w:val="0"/>
          <w:marTop w:val="0"/>
          <w:marBottom w:val="0"/>
          <w:divBdr>
            <w:top w:val="none" w:sz="0" w:space="0" w:color="auto"/>
            <w:left w:val="none" w:sz="0" w:space="0" w:color="auto"/>
            <w:bottom w:val="none" w:sz="0" w:space="0" w:color="auto"/>
            <w:right w:val="none" w:sz="0" w:space="0" w:color="auto"/>
          </w:divBdr>
        </w:div>
        <w:div w:id="1081176355">
          <w:marLeft w:val="0"/>
          <w:marRight w:val="0"/>
          <w:marTop w:val="0"/>
          <w:marBottom w:val="0"/>
          <w:divBdr>
            <w:top w:val="none" w:sz="0" w:space="0" w:color="auto"/>
            <w:left w:val="none" w:sz="0" w:space="0" w:color="auto"/>
            <w:bottom w:val="none" w:sz="0" w:space="0" w:color="auto"/>
            <w:right w:val="none" w:sz="0" w:space="0" w:color="auto"/>
          </w:divBdr>
        </w:div>
        <w:div w:id="1982735036">
          <w:marLeft w:val="0"/>
          <w:marRight w:val="0"/>
          <w:marTop w:val="0"/>
          <w:marBottom w:val="0"/>
          <w:divBdr>
            <w:top w:val="none" w:sz="0" w:space="0" w:color="auto"/>
            <w:left w:val="none" w:sz="0" w:space="0" w:color="auto"/>
            <w:bottom w:val="none" w:sz="0" w:space="0" w:color="auto"/>
            <w:right w:val="none" w:sz="0" w:space="0" w:color="auto"/>
          </w:divBdr>
        </w:div>
        <w:div w:id="628440070">
          <w:marLeft w:val="0"/>
          <w:marRight w:val="0"/>
          <w:marTop w:val="0"/>
          <w:marBottom w:val="0"/>
          <w:divBdr>
            <w:top w:val="none" w:sz="0" w:space="0" w:color="auto"/>
            <w:left w:val="none" w:sz="0" w:space="0" w:color="auto"/>
            <w:bottom w:val="none" w:sz="0" w:space="0" w:color="auto"/>
            <w:right w:val="none" w:sz="0" w:space="0" w:color="auto"/>
          </w:divBdr>
        </w:div>
        <w:div w:id="1353612449">
          <w:marLeft w:val="0"/>
          <w:marRight w:val="0"/>
          <w:marTop w:val="0"/>
          <w:marBottom w:val="0"/>
          <w:divBdr>
            <w:top w:val="none" w:sz="0" w:space="0" w:color="auto"/>
            <w:left w:val="none" w:sz="0" w:space="0" w:color="auto"/>
            <w:bottom w:val="none" w:sz="0" w:space="0" w:color="auto"/>
            <w:right w:val="none" w:sz="0" w:space="0" w:color="auto"/>
          </w:divBdr>
        </w:div>
        <w:div w:id="1523931682">
          <w:marLeft w:val="0"/>
          <w:marRight w:val="0"/>
          <w:marTop w:val="0"/>
          <w:marBottom w:val="0"/>
          <w:divBdr>
            <w:top w:val="none" w:sz="0" w:space="0" w:color="auto"/>
            <w:left w:val="none" w:sz="0" w:space="0" w:color="auto"/>
            <w:bottom w:val="none" w:sz="0" w:space="0" w:color="auto"/>
            <w:right w:val="none" w:sz="0" w:space="0" w:color="auto"/>
          </w:divBdr>
        </w:div>
      </w:divsChild>
    </w:div>
    <w:div w:id="1653873406">
      <w:bodyDiv w:val="1"/>
      <w:marLeft w:val="0"/>
      <w:marRight w:val="0"/>
      <w:marTop w:val="0"/>
      <w:marBottom w:val="0"/>
      <w:divBdr>
        <w:top w:val="none" w:sz="0" w:space="0" w:color="auto"/>
        <w:left w:val="none" w:sz="0" w:space="0" w:color="auto"/>
        <w:bottom w:val="none" w:sz="0" w:space="0" w:color="auto"/>
        <w:right w:val="none" w:sz="0" w:space="0" w:color="auto"/>
      </w:divBdr>
      <w:divsChild>
        <w:div w:id="472868550">
          <w:marLeft w:val="0"/>
          <w:marRight w:val="0"/>
          <w:marTop w:val="0"/>
          <w:marBottom w:val="0"/>
          <w:divBdr>
            <w:top w:val="none" w:sz="0" w:space="0" w:color="auto"/>
            <w:left w:val="none" w:sz="0" w:space="0" w:color="auto"/>
            <w:bottom w:val="none" w:sz="0" w:space="0" w:color="auto"/>
            <w:right w:val="none" w:sz="0" w:space="0" w:color="auto"/>
          </w:divBdr>
        </w:div>
        <w:div w:id="1549105774">
          <w:marLeft w:val="0"/>
          <w:marRight w:val="0"/>
          <w:marTop w:val="0"/>
          <w:marBottom w:val="0"/>
          <w:divBdr>
            <w:top w:val="none" w:sz="0" w:space="0" w:color="auto"/>
            <w:left w:val="none" w:sz="0" w:space="0" w:color="auto"/>
            <w:bottom w:val="none" w:sz="0" w:space="0" w:color="auto"/>
            <w:right w:val="none" w:sz="0" w:space="0" w:color="auto"/>
          </w:divBdr>
        </w:div>
        <w:div w:id="1898590966">
          <w:marLeft w:val="0"/>
          <w:marRight w:val="0"/>
          <w:marTop w:val="0"/>
          <w:marBottom w:val="0"/>
          <w:divBdr>
            <w:top w:val="none" w:sz="0" w:space="0" w:color="auto"/>
            <w:left w:val="none" w:sz="0" w:space="0" w:color="auto"/>
            <w:bottom w:val="none" w:sz="0" w:space="0" w:color="auto"/>
            <w:right w:val="none" w:sz="0" w:space="0" w:color="auto"/>
          </w:divBdr>
        </w:div>
        <w:div w:id="398795244">
          <w:marLeft w:val="0"/>
          <w:marRight w:val="0"/>
          <w:marTop w:val="0"/>
          <w:marBottom w:val="0"/>
          <w:divBdr>
            <w:top w:val="none" w:sz="0" w:space="0" w:color="auto"/>
            <w:left w:val="none" w:sz="0" w:space="0" w:color="auto"/>
            <w:bottom w:val="none" w:sz="0" w:space="0" w:color="auto"/>
            <w:right w:val="none" w:sz="0" w:space="0" w:color="auto"/>
          </w:divBdr>
        </w:div>
        <w:div w:id="1623882943">
          <w:marLeft w:val="0"/>
          <w:marRight w:val="0"/>
          <w:marTop w:val="0"/>
          <w:marBottom w:val="0"/>
          <w:divBdr>
            <w:top w:val="none" w:sz="0" w:space="0" w:color="auto"/>
            <w:left w:val="none" w:sz="0" w:space="0" w:color="auto"/>
            <w:bottom w:val="none" w:sz="0" w:space="0" w:color="auto"/>
            <w:right w:val="none" w:sz="0" w:space="0" w:color="auto"/>
          </w:divBdr>
        </w:div>
        <w:div w:id="1422489250">
          <w:marLeft w:val="0"/>
          <w:marRight w:val="0"/>
          <w:marTop w:val="0"/>
          <w:marBottom w:val="0"/>
          <w:divBdr>
            <w:top w:val="none" w:sz="0" w:space="0" w:color="auto"/>
            <w:left w:val="none" w:sz="0" w:space="0" w:color="auto"/>
            <w:bottom w:val="none" w:sz="0" w:space="0" w:color="auto"/>
            <w:right w:val="none" w:sz="0" w:space="0" w:color="auto"/>
          </w:divBdr>
        </w:div>
        <w:div w:id="1385830902">
          <w:marLeft w:val="0"/>
          <w:marRight w:val="0"/>
          <w:marTop w:val="0"/>
          <w:marBottom w:val="0"/>
          <w:divBdr>
            <w:top w:val="none" w:sz="0" w:space="0" w:color="auto"/>
            <w:left w:val="none" w:sz="0" w:space="0" w:color="auto"/>
            <w:bottom w:val="none" w:sz="0" w:space="0" w:color="auto"/>
            <w:right w:val="none" w:sz="0" w:space="0" w:color="auto"/>
          </w:divBdr>
        </w:div>
        <w:div w:id="170946995">
          <w:marLeft w:val="0"/>
          <w:marRight w:val="0"/>
          <w:marTop w:val="0"/>
          <w:marBottom w:val="0"/>
          <w:divBdr>
            <w:top w:val="none" w:sz="0" w:space="0" w:color="auto"/>
            <w:left w:val="none" w:sz="0" w:space="0" w:color="auto"/>
            <w:bottom w:val="none" w:sz="0" w:space="0" w:color="auto"/>
            <w:right w:val="none" w:sz="0" w:space="0" w:color="auto"/>
          </w:divBdr>
        </w:div>
        <w:div w:id="233708326">
          <w:marLeft w:val="0"/>
          <w:marRight w:val="0"/>
          <w:marTop w:val="0"/>
          <w:marBottom w:val="0"/>
          <w:divBdr>
            <w:top w:val="none" w:sz="0" w:space="0" w:color="auto"/>
            <w:left w:val="none" w:sz="0" w:space="0" w:color="auto"/>
            <w:bottom w:val="none" w:sz="0" w:space="0" w:color="auto"/>
            <w:right w:val="none" w:sz="0" w:space="0" w:color="auto"/>
          </w:divBdr>
        </w:div>
        <w:div w:id="496964873">
          <w:marLeft w:val="0"/>
          <w:marRight w:val="0"/>
          <w:marTop w:val="0"/>
          <w:marBottom w:val="0"/>
          <w:divBdr>
            <w:top w:val="none" w:sz="0" w:space="0" w:color="auto"/>
            <w:left w:val="none" w:sz="0" w:space="0" w:color="auto"/>
            <w:bottom w:val="none" w:sz="0" w:space="0" w:color="auto"/>
            <w:right w:val="none" w:sz="0" w:space="0" w:color="auto"/>
          </w:divBdr>
        </w:div>
        <w:div w:id="2037392230">
          <w:marLeft w:val="0"/>
          <w:marRight w:val="0"/>
          <w:marTop w:val="0"/>
          <w:marBottom w:val="0"/>
          <w:divBdr>
            <w:top w:val="none" w:sz="0" w:space="0" w:color="auto"/>
            <w:left w:val="none" w:sz="0" w:space="0" w:color="auto"/>
            <w:bottom w:val="none" w:sz="0" w:space="0" w:color="auto"/>
            <w:right w:val="none" w:sz="0" w:space="0" w:color="auto"/>
          </w:divBdr>
        </w:div>
        <w:div w:id="2140999175">
          <w:marLeft w:val="0"/>
          <w:marRight w:val="0"/>
          <w:marTop w:val="0"/>
          <w:marBottom w:val="0"/>
          <w:divBdr>
            <w:top w:val="none" w:sz="0" w:space="0" w:color="auto"/>
            <w:left w:val="none" w:sz="0" w:space="0" w:color="auto"/>
            <w:bottom w:val="none" w:sz="0" w:space="0" w:color="auto"/>
            <w:right w:val="none" w:sz="0" w:space="0" w:color="auto"/>
          </w:divBdr>
        </w:div>
        <w:div w:id="638346953">
          <w:marLeft w:val="0"/>
          <w:marRight w:val="0"/>
          <w:marTop w:val="0"/>
          <w:marBottom w:val="0"/>
          <w:divBdr>
            <w:top w:val="none" w:sz="0" w:space="0" w:color="auto"/>
            <w:left w:val="none" w:sz="0" w:space="0" w:color="auto"/>
            <w:bottom w:val="none" w:sz="0" w:space="0" w:color="auto"/>
            <w:right w:val="none" w:sz="0" w:space="0" w:color="auto"/>
          </w:divBdr>
        </w:div>
      </w:divsChild>
    </w:div>
    <w:div w:id="1661539475">
      <w:bodyDiv w:val="1"/>
      <w:marLeft w:val="0"/>
      <w:marRight w:val="0"/>
      <w:marTop w:val="0"/>
      <w:marBottom w:val="0"/>
      <w:divBdr>
        <w:top w:val="none" w:sz="0" w:space="0" w:color="auto"/>
        <w:left w:val="none" w:sz="0" w:space="0" w:color="auto"/>
        <w:bottom w:val="none" w:sz="0" w:space="0" w:color="auto"/>
        <w:right w:val="none" w:sz="0" w:space="0" w:color="auto"/>
      </w:divBdr>
      <w:divsChild>
        <w:div w:id="1125080588">
          <w:marLeft w:val="0"/>
          <w:marRight w:val="0"/>
          <w:marTop w:val="0"/>
          <w:marBottom w:val="0"/>
          <w:divBdr>
            <w:top w:val="none" w:sz="0" w:space="0" w:color="auto"/>
            <w:left w:val="none" w:sz="0" w:space="0" w:color="auto"/>
            <w:bottom w:val="none" w:sz="0" w:space="0" w:color="auto"/>
            <w:right w:val="none" w:sz="0" w:space="0" w:color="auto"/>
          </w:divBdr>
        </w:div>
        <w:div w:id="201672490">
          <w:marLeft w:val="0"/>
          <w:marRight w:val="0"/>
          <w:marTop w:val="0"/>
          <w:marBottom w:val="0"/>
          <w:divBdr>
            <w:top w:val="none" w:sz="0" w:space="0" w:color="auto"/>
            <w:left w:val="none" w:sz="0" w:space="0" w:color="auto"/>
            <w:bottom w:val="none" w:sz="0" w:space="0" w:color="auto"/>
            <w:right w:val="none" w:sz="0" w:space="0" w:color="auto"/>
          </w:divBdr>
        </w:div>
        <w:div w:id="800878756">
          <w:marLeft w:val="0"/>
          <w:marRight w:val="0"/>
          <w:marTop w:val="0"/>
          <w:marBottom w:val="0"/>
          <w:divBdr>
            <w:top w:val="none" w:sz="0" w:space="0" w:color="auto"/>
            <w:left w:val="none" w:sz="0" w:space="0" w:color="auto"/>
            <w:bottom w:val="none" w:sz="0" w:space="0" w:color="auto"/>
            <w:right w:val="none" w:sz="0" w:space="0" w:color="auto"/>
          </w:divBdr>
        </w:div>
        <w:div w:id="1948544157">
          <w:marLeft w:val="0"/>
          <w:marRight w:val="0"/>
          <w:marTop w:val="0"/>
          <w:marBottom w:val="0"/>
          <w:divBdr>
            <w:top w:val="none" w:sz="0" w:space="0" w:color="auto"/>
            <w:left w:val="none" w:sz="0" w:space="0" w:color="auto"/>
            <w:bottom w:val="none" w:sz="0" w:space="0" w:color="auto"/>
            <w:right w:val="none" w:sz="0" w:space="0" w:color="auto"/>
          </w:divBdr>
        </w:div>
        <w:div w:id="1849442659">
          <w:marLeft w:val="0"/>
          <w:marRight w:val="0"/>
          <w:marTop w:val="0"/>
          <w:marBottom w:val="0"/>
          <w:divBdr>
            <w:top w:val="none" w:sz="0" w:space="0" w:color="auto"/>
            <w:left w:val="none" w:sz="0" w:space="0" w:color="auto"/>
            <w:bottom w:val="none" w:sz="0" w:space="0" w:color="auto"/>
            <w:right w:val="none" w:sz="0" w:space="0" w:color="auto"/>
          </w:divBdr>
        </w:div>
        <w:div w:id="2108886411">
          <w:marLeft w:val="0"/>
          <w:marRight w:val="0"/>
          <w:marTop w:val="0"/>
          <w:marBottom w:val="0"/>
          <w:divBdr>
            <w:top w:val="none" w:sz="0" w:space="0" w:color="auto"/>
            <w:left w:val="none" w:sz="0" w:space="0" w:color="auto"/>
            <w:bottom w:val="none" w:sz="0" w:space="0" w:color="auto"/>
            <w:right w:val="none" w:sz="0" w:space="0" w:color="auto"/>
          </w:divBdr>
        </w:div>
        <w:div w:id="129982159">
          <w:marLeft w:val="0"/>
          <w:marRight w:val="0"/>
          <w:marTop w:val="0"/>
          <w:marBottom w:val="0"/>
          <w:divBdr>
            <w:top w:val="none" w:sz="0" w:space="0" w:color="auto"/>
            <w:left w:val="none" w:sz="0" w:space="0" w:color="auto"/>
            <w:bottom w:val="none" w:sz="0" w:space="0" w:color="auto"/>
            <w:right w:val="none" w:sz="0" w:space="0" w:color="auto"/>
          </w:divBdr>
        </w:div>
        <w:div w:id="1599479505">
          <w:marLeft w:val="0"/>
          <w:marRight w:val="0"/>
          <w:marTop w:val="0"/>
          <w:marBottom w:val="0"/>
          <w:divBdr>
            <w:top w:val="none" w:sz="0" w:space="0" w:color="auto"/>
            <w:left w:val="none" w:sz="0" w:space="0" w:color="auto"/>
            <w:bottom w:val="none" w:sz="0" w:space="0" w:color="auto"/>
            <w:right w:val="none" w:sz="0" w:space="0" w:color="auto"/>
          </w:divBdr>
        </w:div>
        <w:div w:id="1194272918">
          <w:marLeft w:val="0"/>
          <w:marRight w:val="0"/>
          <w:marTop w:val="0"/>
          <w:marBottom w:val="0"/>
          <w:divBdr>
            <w:top w:val="none" w:sz="0" w:space="0" w:color="auto"/>
            <w:left w:val="none" w:sz="0" w:space="0" w:color="auto"/>
            <w:bottom w:val="none" w:sz="0" w:space="0" w:color="auto"/>
            <w:right w:val="none" w:sz="0" w:space="0" w:color="auto"/>
          </w:divBdr>
        </w:div>
        <w:div w:id="107966223">
          <w:marLeft w:val="0"/>
          <w:marRight w:val="0"/>
          <w:marTop w:val="0"/>
          <w:marBottom w:val="0"/>
          <w:divBdr>
            <w:top w:val="none" w:sz="0" w:space="0" w:color="auto"/>
            <w:left w:val="none" w:sz="0" w:space="0" w:color="auto"/>
            <w:bottom w:val="none" w:sz="0" w:space="0" w:color="auto"/>
            <w:right w:val="none" w:sz="0" w:space="0" w:color="auto"/>
          </w:divBdr>
        </w:div>
        <w:div w:id="1204438517">
          <w:marLeft w:val="0"/>
          <w:marRight w:val="0"/>
          <w:marTop w:val="0"/>
          <w:marBottom w:val="0"/>
          <w:divBdr>
            <w:top w:val="none" w:sz="0" w:space="0" w:color="auto"/>
            <w:left w:val="none" w:sz="0" w:space="0" w:color="auto"/>
            <w:bottom w:val="none" w:sz="0" w:space="0" w:color="auto"/>
            <w:right w:val="none" w:sz="0" w:space="0" w:color="auto"/>
          </w:divBdr>
        </w:div>
        <w:div w:id="1965118145">
          <w:marLeft w:val="0"/>
          <w:marRight w:val="0"/>
          <w:marTop w:val="0"/>
          <w:marBottom w:val="0"/>
          <w:divBdr>
            <w:top w:val="none" w:sz="0" w:space="0" w:color="auto"/>
            <w:left w:val="none" w:sz="0" w:space="0" w:color="auto"/>
            <w:bottom w:val="none" w:sz="0" w:space="0" w:color="auto"/>
            <w:right w:val="none" w:sz="0" w:space="0" w:color="auto"/>
          </w:divBdr>
        </w:div>
      </w:divsChild>
    </w:div>
    <w:div w:id="1696153662">
      <w:bodyDiv w:val="1"/>
      <w:marLeft w:val="0"/>
      <w:marRight w:val="0"/>
      <w:marTop w:val="0"/>
      <w:marBottom w:val="0"/>
      <w:divBdr>
        <w:top w:val="none" w:sz="0" w:space="0" w:color="auto"/>
        <w:left w:val="none" w:sz="0" w:space="0" w:color="auto"/>
        <w:bottom w:val="none" w:sz="0" w:space="0" w:color="auto"/>
        <w:right w:val="none" w:sz="0" w:space="0" w:color="auto"/>
      </w:divBdr>
    </w:div>
    <w:div w:id="1701708218">
      <w:bodyDiv w:val="1"/>
      <w:marLeft w:val="0"/>
      <w:marRight w:val="0"/>
      <w:marTop w:val="0"/>
      <w:marBottom w:val="0"/>
      <w:divBdr>
        <w:top w:val="none" w:sz="0" w:space="0" w:color="auto"/>
        <w:left w:val="none" w:sz="0" w:space="0" w:color="auto"/>
        <w:bottom w:val="none" w:sz="0" w:space="0" w:color="auto"/>
        <w:right w:val="none" w:sz="0" w:space="0" w:color="auto"/>
      </w:divBdr>
    </w:div>
    <w:div w:id="1708917158">
      <w:bodyDiv w:val="1"/>
      <w:marLeft w:val="0"/>
      <w:marRight w:val="0"/>
      <w:marTop w:val="0"/>
      <w:marBottom w:val="0"/>
      <w:divBdr>
        <w:top w:val="none" w:sz="0" w:space="0" w:color="auto"/>
        <w:left w:val="none" w:sz="0" w:space="0" w:color="auto"/>
        <w:bottom w:val="none" w:sz="0" w:space="0" w:color="auto"/>
        <w:right w:val="none" w:sz="0" w:space="0" w:color="auto"/>
      </w:divBdr>
      <w:divsChild>
        <w:div w:id="1305814813">
          <w:marLeft w:val="0"/>
          <w:marRight w:val="0"/>
          <w:marTop w:val="0"/>
          <w:marBottom w:val="0"/>
          <w:divBdr>
            <w:top w:val="none" w:sz="0" w:space="0" w:color="auto"/>
            <w:left w:val="none" w:sz="0" w:space="0" w:color="auto"/>
            <w:bottom w:val="none" w:sz="0" w:space="0" w:color="auto"/>
            <w:right w:val="none" w:sz="0" w:space="0" w:color="auto"/>
          </w:divBdr>
        </w:div>
        <w:div w:id="491602564">
          <w:marLeft w:val="0"/>
          <w:marRight w:val="0"/>
          <w:marTop w:val="0"/>
          <w:marBottom w:val="0"/>
          <w:divBdr>
            <w:top w:val="none" w:sz="0" w:space="0" w:color="auto"/>
            <w:left w:val="none" w:sz="0" w:space="0" w:color="auto"/>
            <w:bottom w:val="none" w:sz="0" w:space="0" w:color="auto"/>
            <w:right w:val="none" w:sz="0" w:space="0" w:color="auto"/>
          </w:divBdr>
        </w:div>
        <w:div w:id="1829516039">
          <w:marLeft w:val="0"/>
          <w:marRight w:val="0"/>
          <w:marTop w:val="0"/>
          <w:marBottom w:val="0"/>
          <w:divBdr>
            <w:top w:val="none" w:sz="0" w:space="0" w:color="auto"/>
            <w:left w:val="none" w:sz="0" w:space="0" w:color="auto"/>
            <w:bottom w:val="none" w:sz="0" w:space="0" w:color="auto"/>
            <w:right w:val="none" w:sz="0" w:space="0" w:color="auto"/>
          </w:divBdr>
        </w:div>
        <w:div w:id="973297132">
          <w:marLeft w:val="0"/>
          <w:marRight w:val="0"/>
          <w:marTop w:val="0"/>
          <w:marBottom w:val="0"/>
          <w:divBdr>
            <w:top w:val="none" w:sz="0" w:space="0" w:color="auto"/>
            <w:left w:val="none" w:sz="0" w:space="0" w:color="auto"/>
            <w:bottom w:val="none" w:sz="0" w:space="0" w:color="auto"/>
            <w:right w:val="none" w:sz="0" w:space="0" w:color="auto"/>
          </w:divBdr>
        </w:div>
        <w:div w:id="1737241927">
          <w:marLeft w:val="0"/>
          <w:marRight w:val="0"/>
          <w:marTop w:val="0"/>
          <w:marBottom w:val="0"/>
          <w:divBdr>
            <w:top w:val="none" w:sz="0" w:space="0" w:color="auto"/>
            <w:left w:val="none" w:sz="0" w:space="0" w:color="auto"/>
            <w:bottom w:val="none" w:sz="0" w:space="0" w:color="auto"/>
            <w:right w:val="none" w:sz="0" w:space="0" w:color="auto"/>
          </w:divBdr>
        </w:div>
        <w:div w:id="1871528008">
          <w:marLeft w:val="0"/>
          <w:marRight w:val="0"/>
          <w:marTop w:val="0"/>
          <w:marBottom w:val="0"/>
          <w:divBdr>
            <w:top w:val="none" w:sz="0" w:space="0" w:color="auto"/>
            <w:left w:val="none" w:sz="0" w:space="0" w:color="auto"/>
            <w:bottom w:val="none" w:sz="0" w:space="0" w:color="auto"/>
            <w:right w:val="none" w:sz="0" w:space="0" w:color="auto"/>
          </w:divBdr>
        </w:div>
        <w:div w:id="807211029">
          <w:marLeft w:val="0"/>
          <w:marRight w:val="0"/>
          <w:marTop w:val="0"/>
          <w:marBottom w:val="0"/>
          <w:divBdr>
            <w:top w:val="none" w:sz="0" w:space="0" w:color="auto"/>
            <w:left w:val="none" w:sz="0" w:space="0" w:color="auto"/>
            <w:bottom w:val="none" w:sz="0" w:space="0" w:color="auto"/>
            <w:right w:val="none" w:sz="0" w:space="0" w:color="auto"/>
          </w:divBdr>
        </w:div>
        <w:div w:id="1868715071">
          <w:marLeft w:val="0"/>
          <w:marRight w:val="0"/>
          <w:marTop w:val="0"/>
          <w:marBottom w:val="0"/>
          <w:divBdr>
            <w:top w:val="none" w:sz="0" w:space="0" w:color="auto"/>
            <w:left w:val="none" w:sz="0" w:space="0" w:color="auto"/>
            <w:bottom w:val="none" w:sz="0" w:space="0" w:color="auto"/>
            <w:right w:val="none" w:sz="0" w:space="0" w:color="auto"/>
          </w:divBdr>
        </w:div>
        <w:div w:id="132717998">
          <w:marLeft w:val="0"/>
          <w:marRight w:val="0"/>
          <w:marTop w:val="0"/>
          <w:marBottom w:val="0"/>
          <w:divBdr>
            <w:top w:val="none" w:sz="0" w:space="0" w:color="auto"/>
            <w:left w:val="none" w:sz="0" w:space="0" w:color="auto"/>
            <w:bottom w:val="none" w:sz="0" w:space="0" w:color="auto"/>
            <w:right w:val="none" w:sz="0" w:space="0" w:color="auto"/>
          </w:divBdr>
        </w:div>
        <w:div w:id="894318400">
          <w:marLeft w:val="0"/>
          <w:marRight w:val="0"/>
          <w:marTop w:val="0"/>
          <w:marBottom w:val="0"/>
          <w:divBdr>
            <w:top w:val="none" w:sz="0" w:space="0" w:color="auto"/>
            <w:left w:val="none" w:sz="0" w:space="0" w:color="auto"/>
            <w:bottom w:val="none" w:sz="0" w:space="0" w:color="auto"/>
            <w:right w:val="none" w:sz="0" w:space="0" w:color="auto"/>
          </w:divBdr>
        </w:div>
        <w:div w:id="861675513">
          <w:marLeft w:val="0"/>
          <w:marRight w:val="0"/>
          <w:marTop w:val="0"/>
          <w:marBottom w:val="0"/>
          <w:divBdr>
            <w:top w:val="none" w:sz="0" w:space="0" w:color="auto"/>
            <w:left w:val="none" w:sz="0" w:space="0" w:color="auto"/>
            <w:bottom w:val="none" w:sz="0" w:space="0" w:color="auto"/>
            <w:right w:val="none" w:sz="0" w:space="0" w:color="auto"/>
          </w:divBdr>
        </w:div>
        <w:div w:id="607856144">
          <w:marLeft w:val="0"/>
          <w:marRight w:val="0"/>
          <w:marTop w:val="0"/>
          <w:marBottom w:val="0"/>
          <w:divBdr>
            <w:top w:val="none" w:sz="0" w:space="0" w:color="auto"/>
            <w:left w:val="none" w:sz="0" w:space="0" w:color="auto"/>
            <w:bottom w:val="none" w:sz="0" w:space="0" w:color="auto"/>
            <w:right w:val="none" w:sz="0" w:space="0" w:color="auto"/>
          </w:divBdr>
        </w:div>
        <w:div w:id="1024331942">
          <w:marLeft w:val="0"/>
          <w:marRight w:val="0"/>
          <w:marTop w:val="0"/>
          <w:marBottom w:val="0"/>
          <w:divBdr>
            <w:top w:val="none" w:sz="0" w:space="0" w:color="auto"/>
            <w:left w:val="none" w:sz="0" w:space="0" w:color="auto"/>
            <w:bottom w:val="none" w:sz="0" w:space="0" w:color="auto"/>
            <w:right w:val="none" w:sz="0" w:space="0" w:color="auto"/>
          </w:divBdr>
        </w:div>
        <w:div w:id="1333683114">
          <w:marLeft w:val="0"/>
          <w:marRight w:val="0"/>
          <w:marTop w:val="0"/>
          <w:marBottom w:val="0"/>
          <w:divBdr>
            <w:top w:val="none" w:sz="0" w:space="0" w:color="auto"/>
            <w:left w:val="none" w:sz="0" w:space="0" w:color="auto"/>
            <w:bottom w:val="none" w:sz="0" w:space="0" w:color="auto"/>
            <w:right w:val="none" w:sz="0" w:space="0" w:color="auto"/>
          </w:divBdr>
        </w:div>
        <w:div w:id="327757442">
          <w:marLeft w:val="0"/>
          <w:marRight w:val="0"/>
          <w:marTop w:val="0"/>
          <w:marBottom w:val="0"/>
          <w:divBdr>
            <w:top w:val="none" w:sz="0" w:space="0" w:color="auto"/>
            <w:left w:val="none" w:sz="0" w:space="0" w:color="auto"/>
            <w:bottom w:val="none" w:sz="0" w:space="0" w:color="auto"/>
            <w:right w:val="none" w:sz="0" w:space="0" w:color="auto"/>
          </w:divBdr>
        </w:div>
        <w:div w:id="921571235">
          <w:marLeft w:val="0"/>
          <w:marRight w:val="0"/>
          <w:marTop w:val="0"/>
          <w:marBottom w:val="0"/>
          <w:divBdr>
            <w:top w:val="none" w:sz="0" w:space="0" w:color="auto"/>
            <w:left w:val="none" w:sz="0" w:space="0" w:color="auto"/>
            <w:bottom w:val="none" w:sz="0" w:space="0" w:color="auto"/>
            <w:right w:val="none" w:sz="0" w:space="0" w:color="auto"/>
          </w:divBdr>
        </w:div>
      </w:divsChild>
    </w:div>
    <w:div w:id="1733042430">
      <w:bodyDiv w:val="1"/>
      <w:marLeft w:val="0"/>
      <w:marRight w:val="0"/>
      <w:marTop w:val="0"/>
      <w:marBottom w:val="0"/>
      <w:divBdr>
        <w:top w:val="none" w:sz="0" w:space="0" w:color="auto"/>
        <w:left w:val="none" w:sz="0" w:space="0" w:color="auto"/>
        <w:bottom w:val="none" w:sz="0" w:space="0" w:color="auto"/>
        <w:right w:val="none" w:sz="0" w:space="0" w:color="auto"/>
      </w:divBdr>
      <w:divsChild>
        <w:div w:id="756248493">
          <w:marLeft w:val="0"/>
          <w:marRight w:val="0"/>
          <w:marTop w:val="0"/>
          <w:marBottom w:val="0"/>
          <w:divBdr>
            <w:top w:val="none" w:sz="0" w:space="0" w:color="auto"/>
            <w:left w:val="none" w:sz="0" w:space="0" w:color="auto"/>
            <w:bottom w:val="none" w:sz="0" w:space="0" w:color="auto"/>
            <w:right w:val="none" w:sz="0" w:space="0" w:color="auto"/>
          </w:divBdr>
        </w:div>
        <w:div w:id="1856727498">
          <w:marLeft w:val="0"/>
          <w:marRight w:val="0"/>
          <w:marTop w:val="0"/>
          <w:marBottom w:val="0"/>
          <w:divBdr>
            <w:top w:val="none" w:sz="0" w:space="0" w:color="auto"/>
            <w:left w:val="none" w:sz="0" w:space="0" w:color="auto"/>
            <w:bottom w:val="none" w:sz="0" w:space="0" w:color="auto"/>
            <w:right w:val="none" w:sz="0" w:space="0" w:color="auto"/>
          </w:divBdr>
        </w:div>
        <w:div w:id="125664282">
          <w:marLeft w:val="0"/>
          <w:marRight w:val="0"/>
          <w:marTop w:val="0"/>
          <w:marBottom w:val="0"/>
          <w:divBdr>
            <w:top w:val="none" w:sz="0" w:space="0" w:color="auto"/>
            <w:left w:val="none" w:sz="0" w:space="0" w:color="auto"/>
            <w:bottom w:val="none" w:sz="0" w:space="0" w:color="auto"/>
            <w:right w:val="none" w:sz="0" w:space="0" w:color="auto"/>
          </w:divBdr>
        </w:div>
        <w:div w:id="718478271">
          <w:marLeft w:val="0"/>
          <w:marRight w:val="0"/>
          <w:marTop w:val="0"/>
          <w:marBottom w:val="0"/>
          <w:divBdr>
            <w:top w:val="none" w:sz="0" w:space="0" w:color="auto"/>
            <w:left w:val="none" w:sz="0" w:space="0" w:color="auto"/>
            <w:bottom w:val="none" w:sz="0" w:space="0" w:color="auto"/>
            <w:right w:val="none" w:sz="0" w:space="0" w:color="auto"/>
          </w:divBdr>
        </w:div>
        <w:div w:id="2012219674">
          <w:marLeft w:val="0"/>
          <w:marRight w:val="0"/>
          <w:marTop w:val="0"/>
          <w:marBottom w:val="0"/>
          <w:divBdr>
            <w:top w:val="none" w:sz="0" w:space="0" w:color="auto"/>
            <w:left w:val="none" w:sz="0" w:space="0" w:color="auto"/>
            <w:bottom w:val="none" w:sz="0" w:space="0" w:color="auto"/>
            <w:right w:val="none" w:sz="0" w:space="0" w:color="auto"/>
          </w:divBdr>
        </w:div>
        <w:div w:id="846481274">
          <w:marLeft w:val="0"/>
          <w:marRight w:val="0"/>
          <w:marTop w:val="0"/>
          <w:marBottom w:val="0"/>
          <w:divBdr>
            <w:top w:val="none" w:sz="0" w:space="0" w:color="auto"/>
            <w:left w:val="none" w:sz="0" w:space="0" w:color="auto"/>
            <w:bottom w:val="none" w:sz="0" w:space="0" w:color="auto"/>
            <w:right w:val="none" w:sz="0" w:space="0" w:color="auto"/>
          </w:divBdr>
        </w:div>
        <w:div w:id="866413391">
          <w:marLeft w:val="0"/>
          <w:marRight w:val="0"/>
          <w:marTop w:val="0"/>
          <w:marBottom w:val="0"/>
          <w:divBdr>
            <w:top w:val="none" w:sz="0" w:space="0" w:color="auto"/>
            <w:left w:val="none" w:sz="0" w:space="0" w:color="auto"/>
            <w:bottom w:val="none" w:sz="0" w:space="0" w:color="auto"/>
            <w:right w:val="none" w:sz="0" w:space="0" w:color="auto"/>
          </w:divBdr>
        </w:div>
        <w:div w:id="1567110383">
          <w:marLeft w:val="0"/>
          <w:marRight w:val="0"/>
          <w:marTop w:val="0"/>
          <w:marBottom w:val="0"/>
          <w:divBdr>
            <w:top w:val="none" w:sz="0" w:space="0" w:color="auto"/>
            <w:left w:val="none" w:sz="0" w:space="0" w:color="auto"/>
            <w:bottom w:val="none" w:sz="0" w:space="0" w:color="auto"/>
            <w:right w:val="none" w:sz="0" w:space="0" w:color="auto"/>
          </w:divBdr>
        </w:div>
        <w:div w:id="1326741276">
          <w:marLeft w:val="0"/>
          <w:marRight w:val="0"/>
          <w:marTop w:val="0"/>
          <w:marBottom w:val="0"/>
          <w:divBdr>
            <w:top w:val="none" w:sz="0" w:space="0" w:color="auto"/>
            <w:left w:val="none" w:sz="0" w:space="0" w:color="auto"/>
            <w:bottom w:val="none" w:sz="0" w:space="0" w:color="auto"/>
            <w:right w:val="none" w:sz="0" w:space="0" w:color="auto"/>
          </w:divBdr>
        </w:div>
        <w:div w:id="273482115">
          <w:marLeft w:val="0"/>
          <w:marRight w:val="0"/>
          <w:marTop w:val="0"/>
          <w:marBottom w:val="0"/>
          <w:divBdr>
            <w:top w:val="none" w:sz="0" w:space="0" w:color="auto"/>
            <w:left w:val="none" w:sz="0" w:space="0" w:color="auto"/>
            <w:bottom w:val="none" w:sz="0" w:space="0" w:color="auto"/>
            <w:right w:val="none" w:sz="0" w:space="0" w:color="auto"/>
          </w:divBdr>
        </w:div>
        <w:div w:id="313223281">
          <w:marLeft w:val="0"/>
          <w:marRight w:val="0"/>
          <w:marTop w:val="0"/>
          <w:marBottom w:val="0"/>
          <w:divBdr>
            <w:top w:val="none" w:sz="0" w:space="0" w:color="auto"/>
            <w:left w:val="none" w:sz="0" w:space="0" w:color="auto"/>
            <w:bottom w:val="none" w:sz="0" w:space="0" w:color="auto"/>
            <w:right w:val="none" w:sz="0" w:space="0" w:color="auto"/>
          </w:divBdr>
        </w:div>
      </w:divsChild>
    </w:div>
    <w:div w:id="1758819130">
      <w:bodyDiv w:val="1"/>
      <w:marLeft w:val="0"/>
      <w:marRight w:val="0"/>
      <w:marTop w:val="0"/>
      <w:marBottom w:val="0"/>
      <w:divBdr>
        <w:top w:val="none" w:sz="0" w:space="0" w:color="auto"/>
        <w:left w:val="none" w:sz="0" w:space="0" w:color="auto"/>
        <w:bottom w:val="none" w:sz="0" w:space="0" w:color="auto"/>
        <w:right w:val="none" w:sz="0" w:space="0" w:color="auto"/>
      </w:divBdr>
      <w:divsChild>
        <w:div w:id="1141774020">
          <w:marLeft w:val="0"/>
          <w:marRight w:val="0"/>
          <w:marTop w:val="0"/>
          <w:marBottom w:val="0"/>
          <w:divBdr>
            <w:top w:val="none" w:sz="0" w:space="0" w:color="auto"/>
            <w:left w:val="none" w:sz="0" w:space="0" w:color="auto"/>
            <w:bottom w:val="none" w:sz="0" w:space="0" w:color="auto"/>
            <w:right w:val="none" w:sz="0" w:space="0" w:color="auto"/>
          </w:divBdr>
        </w:div>
        <w:div w:id="1590431065">
          <w:marLeft w:val="0"/>
          <w:marRight w:val="0"/>
          <w:marTop w:val="0"/>
          <w:marBottom w:val="0"/>
          <w:divBdr>
            <w:top w:val="none" w:sz="0" w:space="0" w:color="auto"/>
            <w:left w:val="none" w:sz="0" w:space="0" w:color="auto"/>
            <w:bottom w:val="none" w:sz="0" w:space="0" w:color="auto"/>
            <w:right w:val="none" w:sz="0" w:space="0" w:color="auto"/>
          </w:divBdr>
        </w:div>
        <w:div w:id="666907718">
          <w:marLeft w:val="0"/>
          <w:marRight w:val="0"/>
          <w:marTop w:val="0"/>
          <w:marBottom w:val="0"/>
          <w:divBdr>
            <w:top w:val="none" w:sz="0" w:space="0" w:color="auto"/>
            <w:left w:val="none" w:sz="0" w:space="0" w:color="auto"/>
            <w:bottom w:val="none" w:sz="0" w:space="0" w:color="auto"/>
            <w:right w:val="none" w:sz="0" w:space="0" w:color="auto"/>
          </w:divBdr>
        </w:div>
      </w:divsChild>
    </w:div>
    <w:div w:id="1760059949">
      <w:bodyDiv w:val="1"/>
      <w:marLeft w:val="0"/>
      <w:marRight w:val="0"/>
      <w:marTop w:val="0"/>
      <w:marBottom w:val="0"/>
      <w:divBdr>
        <w:top w:val="none" w:sz="0" w:space="0" w:color="auto"/>
        <w:left w:val="none" w:sz="0" w:space="0" w:color="auto"/>
        <w:bottom w:val="none" w:sz="0" w:space="0" w:color="auto"/>
        <w:right w:val="none" w:sz="0" w:space="0" w:color="auto"/>
      </w:divBdr>
      <w:divsChild>
        <w:div w:id="791558021">
          <w:marLeft w:val="0"/>
          <w:marRight w:val="0"/>
          <w:marTop w:val="0"/>
          <w:marBottom w:val="0"/>
          <w:divBdr>
            <w:top w:val="none" w:sz="0" w:space="0" w:color="auto"/>
            <w:left w:val="none" w:sz="0" w:space="0" w:color="auto"/>
            <w:bottom w:val="none" w:sz="0" w:space="0" w:color="auto"/>
            <w:right w:val="none" w:sz="0" w:space="0" w:color="auto"/>
          </w:divBdr>
        </w:div>
        <w:div w:id="1936669044">
          <w:marLeft w:val="0"/>
          <w:marRight w:val="0"/>
          <w:marTop w:val="0"/>
          <w:marBottom w:val="0"/>
          <w:divBdr>
            <w:top w:val="none" w:sz="0" w:space="0" w:color="auto"/>
            <w:left w:val="none" w:sz="0" w:space="0" w:color="auto"/>
            <w:bottom w:val="none" w:sz="0" w:space="0" w:color="auto"/>
            <w:right w:val="none" w:sz="0" w:space="0" w:color="auto"/>
          </w:divBdr>
        </w:div>
        <w:div w:id="947929931">
          <w:marLeft w:val="0"/>
          <w:marRight w:val="0"/>
          <w:marTop w:val="0"/>
          <w:marBottom w:val="0"/>
          <w:divBdr>
            <w:top w:val="none" w:sz="0" w:space="0" w:color="auto"/>
            <w:left w:val="none" w:sz="0" w:space="0" w:color="auto"/>
            <w:bottom w:val="none" w:sz="0" w:space="0" w:color="auto"/>
            <w:right w:val="none" w:sz="0" w:space="0" w:color="auto"/>
          </w:divBdr>
        </w:div>
        <w:div w:id="865758097">
          <w:marLeft w:val="0"/>
          <w:marRight w:val="0"/>
          <w:marTop w:val="0"/>
          <w:marBottom w:val="0"/>
          <w:divBdr>
            <w:top w:val="none" w:sz="0" w:space="0" w:color="auto"/>
            <w:left w:val="none" w:sz="0" w:space="0" w:color="auto"/>
            <w:bottom w:val="none" w:sz="0" w:space="0" w:color="auto"/>
            <w:right w:val="none" w:sz="0" w:space="0" w:color="auto"/>
          </w:divBdr>
        </w:div>
        <w:div w:id="1145708290">
          <w:marLeft w:val="0"/>
          <w:marRight w:val="0"/>
          <w:marTop w:val="0"/>
          <w:marBottom w:val="0"/>
          <w:divBdr>
            <w:top w:val="none" w:sz="0" w:space="0" w:color="auto"/>
            <w:left w:val="none" w:sz="0" w:space="0" w:color="auto"/>
            <w:bottom w:val="none" w:sz="0" w:space="0" w:color="auto"/>
            <w:right w:val="none" w:sz="0" w:space="0" w:color="auto"/>
          </w:divBdr>
        </w:div>
        <w:div w:id="511728530">
          <w:marLeft w:val="0"/>
          <w:marRight w:val="0"/>
          <w:marTop w:val="0"/>
          <w:marBottom w:val="0"/>
          <w:divBdr>
            <w:top w:val="none" w:sz="0" w:space="0" w:color="auto"/>
            <w:left w:val="none" w:sz="0" w:space="0" w:color="auto"/>
            <w:bottom w:val="none" w:sz="0" w:space="0" w:color="auto"/>
            <w:right w:val="none" w:sz="0" w:space="0" w:color="auto"/>
          </w:divBdr>
        </w:div>
        <w:div w:id="546839389">
          <w:marLeft w:val="0"/>
          <w:marRight w:val="0"/>
          <w:marTop w:val="0"/>
          <w:marBottom w:val="0"/>
          <w:divBdr>
            <w:top w:val="none" w:sz="0" w:space="0" w:color="auto"/>
            <w:left w:val="none" w:sz="0" w:space="0" w:color="auto"/>
            <w:bottom w:val="none" w:sz="0" w:space="0" w:color="auto"/>
            <w:right w:val="none" w:sz="0" w:space="0" w:color="auto"/>
          </w:divBdr>
        </w:div>
        <w:div w:id="1349257714">
          <w:marLeft w:val="0"/>
          <w:marRight w:val="0"/>
          <w:marTop w:val="0"/>
          <w:marBottom w:val="0"/>
          <w:divBdr>
            <w:top w:val="none" w:sz="0" w:space="0" w:color="auto"/>
            <w:left w:val="none" w:sz="0" w:space="0" w:color="auto"/>
            <w:bottom w:val="none" w:sz="0" w:space="0" w:color="auto"/>
            <w:right w:val="none" w:sz="0" w:space="0" w:color="auto"/>
          </w:divBdr>
        </w:div>
        <w:div w:id="437530708">
          <w:marLeft w:val="0"/>
          <w:marRight w:val="0"/>
          <w:marTop w:val="0"/>
          <w:marBottom w:val="0"/>
          <w:divBdr>
            <w:top w:val="none" w:sz="0" w:space="0" w:color="auto"/>
            <w:left w:val="none" w:sz="0" w:space="0" w:color="auto"/>
            <w:bottom w:val="none" w:sz="0" w:space="0" w:color="auto"/>
            <w:right w:val="none" w:sz="0" w:space="0" w:color="auto"/>
          </w:divBdr>
        </w:div>
        <w:div w:id="474220319">
          <w:marLeft w:val="0"/>
          <w:marRight w:val="0"/>
          <w:marTop w:val="0"/>
          <w:marBottom w:val="0"/>
          <w:divBdr>
            <w:top w:val="none" w:sz="0" w:space="0" w:color="auto"/>
            <w:left w:val="none" w:sz="0" w:space="0" w:color="auto"/>
            <w:bottom w:val="none" w:sz="0" w:space="0" w:color="auto"/>
            <w:right w:val="none" w:sz="0" w:space="0" w:color="auto"/>
          </w:divBdr>
        </w:div>
        <w:div w:id="762921402">
          <w:marLeft w:val="0"/>
          <w:marRight w:val="0"/>
          <w:marTop w:val="0"/>
          <w:marBottom w:val="0"/>
          <w:divBdr>
            <w:top w:val="none" w:sz="0" w:space="0" w:color="auto"/>
            <w:left w:val="none" w:sz="0" w:space="0" w:color="auto"/>
            <w:bottom w:val="none" w:sz="0" w:space="0" w:color="auto"/>
            <w:right w:val="none" w:sz="0" w:space="0" w:color="auto"/>
          </w:divBdr>
        </w:div>
        <w:div w:id="653142511">
          <w:marLeft w:val="0"/>
          <w:marRight w:val="0"/>
          <w:marTop w:val="0"/>
          <w:marBottom w:val="0"/>
          <w:divBdr>
            <w:top w:val="none" w:sz="0" w:space="0" w:color="auto"/>
            <w:left w:val="none" w:sz="0" w:space="0" w:color="auto"/>
            <w:bottom w:val="none" w:sz="0" w:space="0" w:color="auto"/>
            <w:right w:val="none" w:sz="0" w:space="0" w:color="auto"/>
          </w:divBdr>
        </w:div>
        <w:div w:id="1391225690">
          <w:marLeft w:val="0"/>
          <w:marRight w:val="0"/>
          <w:marTop w:val="0"/>
          <w:marBottom w:val="0"/>
          <w:divBdr>
            <w:top w:val="none" w:sz="0" w:space="0" w:color="auto"/>
            <w:left w:val="none" w:sz="0" w:space="0" w:color="auto"/>
            <w:bottom w:val="none" w:sz="0" w:space="0" w:color="auto"/>
            <w:right w:val="none" w:sz="0" w:space="0" w:color="auto"/>
          </w:divBdr>
        </w:div>
        <w:div w:id="321736367">
          <w:marLeft w:val="0"/>
          <w:marRight w:val="0"/>
          <w:marTop w:val="0"/>
          <w:marBottom w:val="0"/>
          <w:divBdr>
            <w:top w:val="none" w:sz="0" w:space="0" w:color="auto"/>
            <w:left w:val="none" w:sz="0" w:space="0" w:color="auto"/>
            <w:bottom w:val="none" w:sz="0" w:space="0" w:color="auto"/>
            <w:right w:val="none" w:sz="0" w:space="0" w:color="auto"/>
          </w:divBdr>
        </w:div>
        <w:div w:id="909314258">
          <w:marLeft w:val="0"/>
          <w:marRight w:val="0"/>
          <w:marTop w:val="0"/>
          <w:marBottom w:val="0"/>
          <w:divBdr>
            <w:top w:val="none" w:sz="0" w:space="0" w:color="auto"/>
            <w:left w:val="none" w:sz="0" w:space="0" w:color="auto"/>
            <w:bottom w:val="none" w:sz="0" w:space="0" w:color="auto"/>
            <w:right w:val="none" w:sz="0" w:space="0" w:color="auto"/>
          </w:divBdr>
        </w:div>
        <w:div w:id="1534030820">
          <w:marLeft w:val="0"/>
          <w:marRight w:val="0"/>
          <w:marTop w:val="0"/>
          <w:marBottom w:val="0"/>
          <w:divBdr>
            <w:top w:val="none" w:sz="0" w:space="0" w:color="auto"/>
            <w:left w:val="none" w:sz="0" w:space="0" w:color="auto"/>
            <w:bottom w:val="none" w:sz="0" w:space="0" w:color="auto"/>
            <w:right w:val="none" w:sz="0" w:space="0" w:color="auto"/>
          </w:divBdr>
        </w:div>
        <w:div w:id="306013230">
          <w:marLeft w:val="0"/>
          <w:marRight w:val="0"/>
          <w:marTop w:val="0"/>
          <w:marBottom w:val="0"/>
          <w:divBdr>
            <w:top w:val="none" w:sz="0" w:space="0" w:color="auto"/>
            <w:left w:val="none" w:sz="0" w:space="0" w:color="auto"/>
            <w:bottom w:val="none" w:sz="0" w:space="0" w:color="auto"/>
            <w:right w:val="none" w:sz="0" w:space="0" w:color="auto"/>
          </w:divBdr>
        </w:div>
        <w:div w:id="1700935436">
          <w:marLeft w:val="0"/>
          <w:marRight w:val="0"/>
          <w:marTop w:val="0"/>
          <w:marBottom w:val="0"/>
          <w:divBdr>
            <w:top w:val="none" w:sz="0" w:space="0" w:color="auto"/>
            <w:left w:val="none" w:sz="0" w:space="0" w:color="auto"/>
            <w:bottom w:val="none" w:sz="0" w:space="0" w:color="auto"/>
            <w:right w:val="none" w:sz="0" w:space="0" w:color="auto"/>
          </w:divBdr>
        </w:div>
        <w:div w:id="1394084960">
          <w:marLeft w:val="0"/>
          <w:marRight w:val="0"/>
          <w:marTop w:val="0"/>
          <w:marBottom w:val="0"/>
          <w:divBdr>
            <w:top w:val="none" w:sz="0" w:space="0" w:color="auto"/>
            <w:left w:val="none" w:sz="0" w:space="0" w:color="auto"/>
            <w:bottom w:val="none" w:sz="0" w:space="0" w:color="auto"/>
            <w:right w:val="none" w:sz="0" w:space="0" w:color="auto"/>
          </w:divBdr>
        </w:div>
        <w:div w:id="1112089292">
          <w:marLeft w:val="0"/>
          <w:marRight w:val="0"/>
          <w:marTop w:val="0"/>
          <w:marBottom w:val="0"/>
          <w:divBdr>
            <w:top w:val="none" w:sz="0" w:space="0" w:color="auto"/>
            <w:left w:val="none" w:sz="0" w:space="0" w:color="auto"/>
            <w:bottom w:val="none" w:sz="0" w:space="0" w:color="auto"/>
            <w:right w:val="none" w:sz="0" w:space="0" w:color="auto"/>
          </w:divBdr>
        </w:div>
        <w:div w:id="214436623">
          <w:marLeft w:val="0"/>
          <w:marRight w:val="0"/>
          <w:marTop w:val="0"/>
          <w:marBottom w:val="0"/>
          <w:divBdr>
            <w:top w:val="none" w:sz="0" w:space="0" w:color="auto"/>
            <w:left w:val="none" w:sz="0" w:space="0" w:color="auto"/>
            <w:bottom w:val="none" w:sz="0" w:space="0" w:color="auto"/>
            <w:right w:val="none" w:sz="0" w:space="0" w:color="auto"/>
          </w:divBdr>
        </w:div>
        <w:div w:id="1211960430">
          <w:marLeft w:val="0"/>
          <w:marRight w:val="0"/>
          <w:marTop w:val="0"/>
          <w:marBottom w:val="0"/>
          <w:divBdr>
            <w:top w:val="none" w:sz="0" w:space="0" w:color="auto"/>
            <w:left w:val="none" w:sz="0" w:space="0" w:color="auto"/>
            <w:bottom w:val="none" w:sz="0" w:space="0" w:color="auto"/>
            <w:right w:val="none" w:sz="0" w:space="0" w:color="auto"/>
          </w:divBdr>
        </w:div>
      </w:divsChild>
    </w:div>
    <w:div w:id="1794057741">
      <w:bodyDiv w:val="1"/>
      <w:marLeft w:val="0"/>
      <w:marRight w:val="0"/>
      <w:marTop w:val="0"/>
      <w:marBottom w:val="0"/>
      <w:divBdr>
        <w:top w:val="none" w:sz="0" w:space="0" w:color="auto"/>
        <w:left w:val="none" w:sz="0" w:space="0" w:color="auto"/>
        <w:bottom w:val="none" w:sz="0" w:space="0" w:color="auto"/>
        <w:right w:val="none" w:sz="0" w:space="0" w:color="auto"/>
      </w:divBdr>
    </w:div>
    <w:div w:id="1794250457">
      <w:bodyDiv w:val="1"/>
      <w:marLeft w:val="0"/>
      <w:marRight w:val="0"/>
      <w:marTop w:val="0"/>
      <w:marBottom w:val="0"/>
      <w:divBdr>
        <w:top w:val="none" w:sz="0" w:space="0" w:color="auto"/>
        <w:left w:val="none" w:sz="0" w:space="0" w:color="auto"/>
        <w:bottom w:val="none" w:sz="0" w:space="0" w:color="auto"/>
        <w:right w:val="none" w:sz="0" w:space="0" w:color="auto"/>
      </w:divBdr>
      <w:divsChild>
        <w:div w:id="179511300">
          <w:marLeft w:val="0"/>
          <w:marRight w:val="0"/>
          <w:marTop w:val="0"/>
          <w:marBottom w:val="0"/>
          <w:divBdr>
            <w:top w:val="none" w:sz="0" w:space="0" w:color="auto"/>
            <w:left w:val="none" w:sz="0" w:space="0" w:color="auto"/>
            <w:bottom w:val="none" w:sz="0" w:space="0" w:color="auto"/>
            <w:right w:val="none" w:sz="0" w:space="0" w:color="auto"/>
          </w:divBdr>
        </w:div>
        <w:div w:id="1297370143">
          <w:marLeft w:val="0"/>
          <w:marRight w:val="0"/>
          <w:marTop w:val="0"/>
          <w:marBottom w:val="0"/>
          <w:divBdr>
            <w:top w:val="none" w:sz="0" w:space="0" w:color="auto"/>
            <w:left w:val="none" w:sz="0" w:space="0" w:color="auto"/>
            <w:bottom w:val="none" w:sz="0" w:space="0" w:color="auto"/>
            <w:right w:val="none" w:sz="0" w:space="0" w:color="auto"/>
          </w:divBdr>
        </w:div>
      </w:divsChild>
    </w:div>
    <w:div w:id="1803229029">
      <w:bodyDiv w:val="1"/>
      <w:marLeft w:val="0"/>
      <w:marRight w:val="0"/>
      <w:marTop w:val="0"/>
      <w:marBottom w:val="0"/>
      <w:divBdr>
        <w:top w:val="none" w:sz="0" w:space="0" w:color="auto"/>
        <w:left w:val="none" w:sz="0" w:space="0" w:color="auto"/>
        <w:bottom w:val="none" w:sz="0" w:space="0" w:color="auto"/>
        <w:right w:val="none" w:sz="0" w:space="0" w:color="auto"/>
      </w:divBdr>
      <w:divsChild>
        <w:div w:id="1918439793">
          <w:marLeft w:val="0"/>
          <w:marRight w:val="0"/>
          <w:marTop w:val="0"/>
          <w:marBottom w:val="0"/>
          <w:divBdr>
            <w:top w:val="none" w:sz="0" w:space="0" w:color="auto"/>
            <w:left w:val="none" w:sz="0" w:space="0" w:color="auto"/>
            <w:bottom w:val="none" w:sz="0" w:space="0" w:color="auto"/>
            <w:right w:val="none" w:sz="0" w:space="0" w:color="auto"/>
          </w:divBdr>
        </w:div>
        <w:div w:id="465782311">
          <w:marLeft w:val="0"/>
          <w:marRight w:val="0"/>
          <w:marTop w:val="0"/>
          <w:marBottom w:val="0"/>
          <w:divBdr>
            <w:top w:val="none" w:sz="0" w:space="0" w:color="auto"/>
            <w:left w:val="none" w:sz="0" w:space="0" w:color="auto"/>
            <w:bottom w:val="none" w:sz="0" w:space="0" w:color="auto"/>
            <w:right w:val="none" w:sz="0" w:space="0" w:color="auto"/>
          </w:divBdr>
        </w:div>
      </w:divsChild>
    </w:div>
    <w:div w:id="1809122901">
      <w:bodyDiv w:val="1"/>
      <w:marLeft w:val="0"/>
      <w:marRight w:val="0"/>
      <w:marTop w:val="0"/>
      <w:marBottom w:val="0"/>
      <w:divBdr>
        <w:top w:val="none" w:sz="0" w:space="0" w:color="auto"/>
        <w:left w:val="none" w:sz="0" w:space="0" w:color="auto"/>
        <w:bottom w:val="none" w:sz="0" w:space="0" w:color="auto"/>
        <w:right w:val="none" w:sz="0" w:space="0" w:color="auto"/>
      </w:divBdr>
      <w:divsChild>
        <w:div w:id="1078944729">
          <w:marLeft w:val="0"/>
          <w:marRight w:val="0"/>
          <w:marTop w:val="0"/>
          <w:marBottom w:val="0"/>
          <w:divBdr>
            <w:top w:val="none" w:sz="0" w:space="0" w:color="auto"/>
            <w:left w:val="none" w:sz="0" w:space="0" w:color="auto"/>
            <w:bottom w:val="none" w:sz="0" w:space="0" w:color="auto"/>
            <w:right w:val="none" w:sz="0" w:space="0" w:color="auto"/>
          </w:divBdr>
        </w:div>
        <w:div w:id="685519987">
          <w:marLeft w:val="0"/>
          <w:marRight w:val="0"/>
          <w:marTop w:val="0"/>
          <w:marBottom w:val="0"/>
          <w:divBdr>
            <w:top w:val="none" w:sz="0" w:space="0" w:color="auto"/>
            <w:left w:val="none" w:sz="0" w:space="0" w:color="auto"/>
            <w:bottom w:val="none" w:sz="0" w:space="0" w:color="auto"/>
            <w:right w:val="none" w:sz="0" w:space="0" w:color="auto"/>
          </w:divBdr>
        </w:div>
        <w:div w:id="865480606">
          <w:marLeft w:val="0"/>
          <w:marRight w:val="0"/>
          <w:marTop w:val="0"/>
          <w:marBottom w:val="0"/>
          <w:divBdr>
            <w:top w:val="none" w:sz="0" w:space="0" w:color="auto"/>
            <w:left w:val="none" w:sz="0" w:space="0" w:color="auto"/>
            <w:bottom w:val="none" w:sz="0" w:space="0" w:color="auto"/>
            <w:right w:val="none" w:sz="0" w:space="0" w:color="auto"/>
          </w:divBdr>
        </w:div>
        <w:div w:id="1453787072">
          <w:marLeft w:val="0"/>
          <w:marRight w:val="0"/>
          <w:marTop w:val="0"/>
          <w:marBottom w:val="0"/>
          <w:divBdr>
            <w:top w:val="none" w:sz="0" w:space="0" w:color="auto"/>
            <w:left w:val="none" w:sz="0" w:space="0" w:color="auto"/>
            <w:bottom w:val="none" w:sz="0" w:space="0" w:color="auto"/>
            <w:right w:val="none" w:sz="0" w:space="0" w:color="auto"/>
          </w:divBdr>
        </w:div>
        <w:div w:id="1299605613">
          <w:marLeft w:val="0"/>
          <w:marRight w:val="0"/>
          <w:marTop w:val="0"/>
          <w:marBottom w:val="0"/>
          <w:divBdr>
            <w:top w:val="none" w:sz="0" w:space="0" w:color="auto"/>
            <w:left w:val="none" w:sz="0" w:space="0" w:color="auto"/>
            <w:bottom w:val="none" w:sz="0" w:space="0" w:color="auto"/>
            <w:right w:val="none" w:sz="0" w:space="0" w:color="auto"/>
          </w:divBdr>
        </w:div>
        <w:div w:id="1179463544">
          <w:marLeft w:val="0"/>
          <w:marRight w:val="0"/>
          <w:marTop w:val="0"/>
          <w:marBottom w:val="0"/>
          <w:divBdr>
            <w:top w:val="none" w:sz="0" w:space="0" w:color="auto"/>
            <w:left w:val="none" w:sz="0" w:space="0" w:color="auto"/>
            <w:bottom w:val="none" w:sz="0" w:space="0" w:color="auto"/>
            <w:right w:val="none" w:sz="0" w:space="0" w:color="auto"/>
          </w:divBdr>
        </w:div>
        <w:div w:id="926767367">
          <w:marLeft w:val="0"/>
          <w:marRight w:val="0"/>
          <w:marTop w:val="0"/>
          <w:marBottom w:val="0"/>
          <w:divBdr>
            <w:top w:val="none" w:sz="0" w:space="0" w:color="auto"/>
            <w:left w:val="none" w:sz="0" w:space="0" w:color="auto"/>
            <w:bottom w:val="none" w:sz="0" w:space="0" w:color="auto"/>
            <w:right w:val="none" w:sz="0" w:space="0" w:color="auto"/>
          </w:divBdr>
        </w:div>
        <w:div w:id="2018000292">
          <w:marLeft w:val="0"/>
          <w:marRight w:val="0"/>
          <w:marTop w:val="0"/>
          <w:marBottom w:val="0"/>
          <w:divBdr>
            <w:top w:val="none" w:sz="0" w:space="0" w:color="auto"/>
            <w:left w:val="none" w:sz="0" w:space="0" w:color="auto"/>
            <w:bottom w:val="none" w:sz="0" w:space="0" w:color="auto"/>
            <w:right w:val="none" w:sz="0" w:space="0" w:color="auto"/>
          </w:divBdr>
        </w:div>
        <w:div w:id="1526598187">
          <w:marLeft w:val="0"/>
          <w:marRight w:val="0"/>
          <w:marTop w:val="0"/>
          <w:marBottom w:val="0"/>
          <w:divBdr>
            <w:top w:val="none" w:sz="0" w:space="0" w:color="auto"/>
            <w:left w:val="none" w:sz="0" w:space="0" w:color="auto"/>
            <w:bottom w:val="none" w:sz="0" w:space="0" w:color="auto"/>
            <w:right w:val="none" w:sz="0" w:space="0" w:color="auto"/>
          </w:divBdr>
        </w:div>
        <w:div w:id="791561266">
          <w:marLeft w:val="0"/>
          <w:marRight w:val="0"/>
          <w:marTop w:val="0"/>
          <w:marBottom w:val="0"/>
          <w:divBdr>
            <w:top w:val="none" w:sz="0" w:space="0" w:color="auto"/>
            <w:left w:val="none" w:sz="0" w:space="0" w:color="auto"/>
            <w:bottom w:val="none" w:sz="0" w:space="0" w:color="auto"/>
            <w:right w:val="none" w:sz="0" w:space="0" w:color="auto"/>
          </w:divBdr>
        </w:div>
        <w:div w:id="1462310696">
          <w:marLeft w:val="0"/>
          <w:marRight w:val="0"/>
          <w:marTop w:val="0"/>
          <w:marBottom w:val="0"/>
          <w:divBdr>
            <w:top w:val="none" w:sz="0" w:space="0" w:color="auto"/>
            <w:left w:val="none" w:sz="0" w:space="0" w:color="auto"/>
            <w:bottom w:val="none" w:sz="0" w:space="0" w:color="auto"/>
            <w:right w:val="none" w:sz="0" w:space="0" w:color="auto"/>
          </w:divBdr>
        </w:div>
        <w:div w:id="1646859867">
          <w:marLeft w:val="0"/>
          <w:marRight w:val="0"/>
          <w:marTop w:val="0"/>
          <w:marBottom w:val="0"/>
          <w:divBdr>
            <w:top w:val="none" w:sz="0" w:space="0" w:color="auto"/>
            <w:left w:val="none" w:sz="0" w:space="0" w:color="auto"/>
            <w:bottom w:val="none" w:sz="0" w:space="0" w:color="auto"/>
            <w:right w:val="none" w:sz="0" w:space="0" w:color="auto"/>
          </w:divBdr>
        </w:div>
        <w:div w:id="647394398">
          <w:marLeft w:val="0"/>
          <w:marRight w:val="0"/>
          <w:marTop w:val="0"/>
          <w:marBottom w:val="0"/>
          <w:divBdr>
            <w:top w:val="none" w:sz="0" w:space="0" w:color="auto"/>
            <w:left w:val="none" w:sz="0" w:space="0" w:color="auto"/>
            <w:bottom w:val="none" w:sz="0" w:space="0" w:color="auto"/>
            <w:right w:val="none" w:sz="0" w:space="0" w:color="auto"/>
          </w:divBdr>
        </w:div>
      </w:divsChild>
    </w:div>
    <w:div w:id="1816337846">
      <w:bodyDiv w:val="1"/>
      <w:marLeft w:val="0"/>
      <w:marRight w:val="0"/>
      <w:marTop w:val="0"/>
      <w:marBottom w:val="0"/>
      <w:divBdr>
        <w:top w:val="none" w:sz="0" w:space="0" w:color="auto"/>
        <w:left w:val="none" w:sz="0" w:space="0" w:color="auto"/>
        <w:bottom w:val="none" w:sz="0" w:space="0" w:color="auto"/>
        <w:right w:val="none" w:sz="0" w:space="0" w:color="auto"/>
      </w:divBdr>
      <w:divsChild>
        <w:div w:id="280193244">
          <w:marLeft w:val="0"/>
          <w:marRight w:val="0"/>
          <w:marTop w:val="0"/>
          <w:marBottom w:val="0"/>
          <w:divBdr>
            <w:top w:val="none" w:sz="0" w:space="0" w:color="auto"/>
            <w:left w:val="none" w:sz="0" w:space="0" w:color="auto"/>
            <w:bottom w:val="none" w:sz="0" w:space="0" w:color="auto"/>
            <w:right w:val="none" w:sz="0" w:space="0" w:color="auto"/>
          </w:divBdr>
        </w:div>
        <w:div w:id="1993486343">
          <w:marLeft w:val="0"/>
          <w:marRight w:val="0"/>
          <w:marTop w:val="0"/>
          <w:marBottom w:val="0"/>
          <w:divBdr>
            <w:top w:val="none" w:sz="0" w:space="0" w:color="auto"/>
            <w:left w:val="none" w:sz="0" w:space="0" w:color="auto"/>
            <w:bottom w:val="none" w:sz="0" w:space="0" w:color="auto"/>
            <w:right w:val="none" w:sz="0" w:space="0" w:color="auto"/>
          </w:divBdr>
        </w:div>
        <w:div w:id="184711981">
          <w:marLeft w:val="0"/>
          <w:marRight w:val="0"/>
          <w:marTop w:val="0"/>
          <w:marBottom w:val="0"/>
          <w:divBdr>
            <w:top w:val="none" w:sz="0" w:space="0" w:color="auto"/>
            <w:left w:val="none" w:sz="0" w:space="0" w:color="auto"/>
            <w:bottom w:val="none" w:sz="0" w:space="0" w:color="auto"/>
            <w:right w:val="none" w:sz="0" w:space="0" w:color="auto"/>
          </w:divBdr>
        </w:div>
        <w:div w:id="689182490">
          <w:marLeft w:val="0"/>
          <w:marRight w:val="0"/>
          <w:marTop w:val="0"/>
          <w:marBottom w:val="0"/>
          <w:divBdr>
            <w:top w:val="none" w:sz="0" w:space="0" w:color="auto"/>
            <w:left w:val="none" w:sz="0" w:space="0" w:color="auto"/>
            <w:bottom w:val="none" w:sz="0" w:space="0" w:color="auto"/>
            <w:right w:val="none" w:sz="0" w:space="0" w:color="auto"/>
          </w:divBdr>
        </w:div>
        <w:div w:id="1288046344">
          <w:marLeft w:val="0"/>
          <w:marRight w:val="0"/>
          <w:marTop w:val="0"/>
          <w:marBottom w:val="0"/>
          <w:divBdr>
            <w:top w:val="none" w:sz="0" w:space="0" w:color="auto"/>
            <w:left w:val="none" w:sz="0" w:space="0" w:color="auto"/>
            <w:bottom w:val="none" w:sz="0" w:space="0" w:color="auto"/>
            <w:right w:val="none" w:sz="0" w:space="0" w:color="auto"/>
          </w:divBdr>
        </w:div>
        <w:div w:id="940453372">
          <w:marLeft w:val="0"/>
          <w:marRight w:val="0"/>
          <w:marTop w:val="0"/>
          <w:marBottom w:val="0"/>
          <w:divBdr>
            <w:top w:val="none" w:sz="0" w:space="0" w:color="auto"/>
            <w:left w:val="none" w:sz="0" w:space="0" w:color="auto"/>
            <w:bottom w:val="none" w:sz="0" w:space="0" w:color="auto"/>
            <w:right w:val="none" w:sz="0" w:space="0" w:color="auto"/>
          </w:divBdr>
        </w:div>
        <w:div w:id="787046968">
          <w:marLeft w:val="0"/>
          <w:marRight w:val="0"/>
          <w:marTop w:val="0"/>
          <w:marBottom w:val="0"/>
          <w:divBdr>
            <w:top w:val="none" w:sz="0" w:space="0" w:color="auto"/>
            <w:left w:val="none" w:sz="0" w:space="0" w:color="auto"/>
            <w:bottom w:val="none" w:sz="0" w:space="0" w:color="auto"/>
            <w:right w:val="none" w:sz="0" w:space="0" w:color="auto"/>
          </w:divBdr>
        </w:div>
        <w:div w:id="341278385">
          <w:marLeft w:val="0"/>
          <w:marRight w:val="0"/>
          <w:marTop w:val="0"/>
          <w:marBottom w:val="0"/>
          <w:divBdr>
            <w:top w:val="none" w:sz="0" w:space="0" w:color="auto"/>
            <w:left w:val="none" w:sz="0" w:space="0" w:color="auto"/>
            <w:bottom w:val="none" w:sz="0" w:space="0" w:color="auto"/>
            <w:right w:val="none" w:sz="0" w:space="0" w:color="auto"/>
          </w:divBdr>
        </w:div>
        <w:div w:id="1852599939">
          <w:marLeft w:val="0"/>
          <w:marRight w:val="0"/>
          <w:marTop w:val="0"/>
          <w:marBottom w:val="0"/>
          <w:divBdr>
            <w:top w:val="none" w:sz="0" w:space="0" w:color="auto"/>
            <w:left w:val="none" w:sz="0" w:space="0" w:color="auto"/>
            <w:bottom w:val="none" w:sz="0" w:space="0" w:color="auto"/>
            <w:right w:val="none" w:sz="0" w:space="0" w:color="auto"/>
          </w:divBdr>
        </w:div>
        <w:div w:id="1079055441">
          <w:marLeft w:val="0"/>
          <w:marRight w:val="0"/>
          <w:marTop w:val="0"/>
          <w:marBottom w:val="0"/>
          <w:divBdr>
            <w:top w:val="none" w:sz="0" w:space="0" w:color="auto"/>
            <w:left w:val="none" w:sz="0" w:space="0" w:color="auto"/>
            <w:bottom w:val="none" w:sz="0" w:space="0" w:color="auto"/>
            <w:right w:val="none" w:sz="0" w:space="0" w:color="auto"/>
          </w:divBdr>
        </w:div>
      </w:divsChild>
    </w:div>
    <w:div w:id="1820076401">
      <w:bodyDiv w:val="1"/>
      <w:marLeft w:val="0"/>
      <w:marRight w:val="0"/>
      <w:marTop w:val="0"/>
      <w:marBottom w:val="0"/>
      <w:divBdr>
        <w:top w:val="none" w:sz="0" w:space="0" w:color="auto"/>
        <w:left w:val="none" w:sz="0" w:space="0" w:color="auto"/>
        <w:bottom w:val="none" w:sz="0" w:space="0" w:color="auto"/>
        <w:right w:val="none" w:sz="0" w:space="0" w:color="auto"/>
      </w:divBdr>
      <w:divsChild>
        <w:div w:id="771972238">
          <w:marLeft w:val="0"/>
          <w:marRight w:val="0"/>
          <w:marTop w:val="0"/>
          <w:marBottom w:val="0"/>
          <w:divBdr>
            <w:top w:val="none" w:sz="0" w:space="0" w:color="auto"/>
            <w:left w:val="none" w:sz="0" w:space="0" w:color="auto"/>
            <w:bottom w:val="none" w:sz="0" w:space="0" w:color="auto"/>
            <w:right w:val="none" w:sz="0" w:space="0" w:color="auto"/>
          </w:divBdr>
        </w:div>
        <w:div w:id="1282802254">
          <w:marLeft w:val="0"/>
          <w:marRight w:val="0"/>
          <w:marTop w:val="0"/>
          <w:marBottom w:val="0"/>
          <w:divBdr>
            <w:top w:val="none" w:sz="0" w:space="0" w:color="auto"/>
            <w:left w:val="none" w:sz="0" w:space="0" w:color="auto"/>
            <w:bottom w:val="none" w:sz="0" w:space="0" w:color="auto"/>
            <w:right w:val="none" w:sz="0" w:space="0" w:color="auto"/>
          </w:divBdr>
        </w:div>
        <w:div w:id="2134902875">
          <w:marLeft w:val="0"/>
          <w:marRight w:val="0"/>
          <w:marTop w:val="0"/>
          <w:marBottom w:val="0"/>
          <w:divBdr>
            <w:top w:val="none" w:sz="0" w:space="0" w:color="auto"/>
            <w:left w:val="none" w:sz="0" w:space="0" w:color="auto"/>
            <w:bottom w:val="none" w:sz="0" w:space="0" w:color="auto"/>
            <w:right w:val="none" w:sz="0" w:space="0" w:color="auto"/>
          </w:divBdr>
        </w:div>
        <w:div w:id="465315355">
          <w:marLeft w:val="0"/>
          <w:marRight w:val="0"/>
          <w:marTop w:val="0"/>
          <w:marBottom w:val="0"/>
          <w:divBdr>
            <w:top w:val="none" w:sz="0" w:space="0" w:color="auto"/>
            <w:left w:val="none" w:sz="0" w:space="0" w:color="auto"/>
            <w:bottom w:val="none" w:sz="0" w:space="0" w:color="auto"/>
            <w:right w:val="none" w:sz="0" w:space="0" w:color="auto"/>
          </w:divBdr>
        </w:div>
        <w:div w:id="1572807815">
          <w:marLeft w:val="0"/>
          <w:marRight w:val="0"/>
          <w:marTop w:val="0"/>
          <w:marBottom w:val="0"/>
          <w:divBdr>
            <w:top w:val="none" w:sz="0" w:space="0" w:color="auto"/>
            <w:left w:val="none" w:sz="0" w:space="0" w:color="auto"/>
            <w:bottom w:val="none" w:sz="0" w:space="0" w:color="auto"/>
            <w:right w:val="none" w:sz="0" w:space="0" w:color="auto"/>
          </w:divBdr>
        </w:div>
        <w:div w:id="1675917992">
          <w:marLeft w:val="0"/>
          <w:marRight w:val="0"/>
          <w:marTop w:val="0"/>
          <w:marBottom w:val="0"/>
          <w:divBdr>
            <w:top w:val="none" w:sz="0" w:space="0" w:color="auto"/>
            <w:left w:val="none" w:sz="0" w:space="0" w:color="auto"/>
            <w:bottom w:val="none" w:sz="0" w:space="0" w:color="auto"/>
            <w:right w:val="none" w:sz="0" w:space="0" w:color="auto"/>
          </w:divBdr>
        </w:div>
        <w:div w:id="736167860">
          <w:marLeft w:val="0"/>
          <w:marRight w:val="0"/>
          <w:marTop w:val="0"/>
          <w:marBottom w:val="0"/>
          <w:divBdr>
            <w:top w:val="none" w:sz="0" w:space="0" w:color="auto"/>
            <w:left w:val="none" w:sz="0" w:space="0" w:color="auto"/>
            <w:bottom w:val="none" w:sz="0" w:space="0" w:color="auto"/>
            <w:right w:val="none" w:sz="0" w:space="0" w:color="auto"/>
          </w:divBdr>
        </w:div>
        <w:div w:id="200944126">
          <w:marLeft w:val="0"/>
          <w:marRight w:val="0"/>
          <w:marTop w:val="0"/>
          <w:marBottom w:val="0"/>
          <w:divBdr>
            <w:top w:val="none" w:sz="0" w:space="0" w:color="auto"/>
            <w:left w:val="none" w:sz="0" w:space="0" w:color="auto"/>
            <w:bottom w:val="none" w:sz="0" w:space="0" w:color="auto"/>
            <w:right w:val="none" w:sz="0" w:space="0" w:color="auto"/>
          </w:divBdr>
        </w:div>
        <w:div w:id="108017019">
          <w:marLeft w:val="0"/>
          <w:marRight w:val="0"/>
          <w:marTop w:val="0"/>
          <w:marBottom w:val="0"/>
          <w:divBdr>
            <w:top w:val="none" w:sz="0" w:space="0" w:color="auto"/>
            <w:left w:val="none" w:sz="0" w:space="0" w:color="auto"/>
            <w:bottom w:val="none" w:sz="0" w:space="0" w:color="auto"/>
            <w:right w:val="none" w:sz="0" w:space="0" w:color="auto"/>
          </w:divBdr>
        </w:div>
        <w:div w:id="1172649411">
          <w:marLeft w:val="0"/>
          <w:marRight w:val="0"/>
          <w:marTop w:val="0"/>
          <w:marBottom w:val="0"/>
          <w:divBdr>
            <w:top w:val="none" w:sz="0" w:space="0" w:color="auto"/>
            <w:left w:val="none" w:sz="0" w:space="0" w:color="auto"/>
            <w:bottom w:val="none" w:sz="0" w:space="0" w:color="auto"/>
            <w:right w:val="none" w:sz="0" w:space="0" w:color="auto"/>
          </w:divBdr>
        </w:div>
        <w:div w:id="159471952">
          <w:marLeft w:val="0"/>
          <w:marRight w:val="0"/>
          <w:marTop w:val="0"/>
          <w:marBottom w:val="0"/>
          <w:divBdr>
            <w:top w:val="none" w:sz="0" w:space="0" w:color="auto"/>
            <w:left w:val="none" w:sz="0" w:space="0" w:color="auto"/>
            <w:bottom w:val="none" w:sz="0" w:space="0" w:color="auto"/>
            <w:right w:val="none" w:sz="0" w:space="0" w:color="auto"/>
          </w:divBdr>
        </w:div>
        <w:div w:id="1912039427">
          <w:marLeft w:val="0"/>
          <w:marRight w:val="0"/>
          <w:marTop w:val="0"/>
          <w:marBottom w:val="0"/>
          <w:divBdr>
            <w:top w:val="none" w:sz="0" w:space="0" w:color="auto"/>
            <w:left w:val="none" w:sz="0" w:space="0" w:color="auto"/>
            <w:bottom w:val="none" w:sz="0" w:space="0" w:color="auto"/>
            <w:right w:val="none" w:sz="0" w:space="0" w:color="auto"/>
          </w:divBdr>
        </w:div>
        <w:div w:id="1343362991">
          <w:marLeft w:val="0"/>
          <w:marRight w:val="0"/>
          <w:marTop w:val="0"/>
          <w:marBottom w:val="0"/>
          <w:divBdr>
            <w:top w:val="none" w:sz="0" w:space="0" w:color="auto"/>
            <w:left w:val="none" w:sz="0" w:space="0" w:color="auto"/>
            <w:bottom w:val="none" w:sz="0" w:space="0" w:color="auto"/>
            <w:right w:val="none" w:sz="0" w:space="0" w:color="auto"/>
          </w:divBdr>
        </w:div>
        <w:div w:id="442456706">
          <w:marLeft w:val="0"/>
          <w:marRight w:val="0"/>
          <w:marTop w:val="0"/>
          <w:marBottom w:val="0"/>
          <w:divBdr>
            <w:top w:val="none" w:sz="0" w:space="0" w:color="auto"/>
            <w:left w:val="none" w:sz="0" w:space="0" w:color="auto"/>
            <w:bottom w:val="none" w:sz="0" w:space="0" w:color="auto"/>
            <w:right w:val="none" w:sz="0" w:space="0" w:color="auto"/>
          </w:divBdr>
        </w:div>
        <w:div w:id="1206792830">
          <w:marLeft w:val="0"/>
          <w:marRight w:val="0"/>
          <w:marTop w:val="0"/>
          <w:marBottom w:val="0"/>
          <w:divBdr>
            <w:top w:val="none" w:sz="0" w:space="0" w:color="auto"/>
            <w:left w:val="none" w:sz="0" w:space="0" w:color="auto"/>
            <w:bottom w:val="none" w:sz="0" w:space="0" w:color="auto"/>
            <w:right w:val="none" w:sz="0" w:space="0" w:color="auto"/>
          </w:divBdr>
        </w:div>
        <w:div w:id="295913663">
          <w:marLeft w:val="0"/>
          <w:marRight w:val="0"/>
          <w:marTop w:val="0"/>
          <w:marBottom w:val="0"/>
          <w:divBdr>
            <w:top w:val="none" w:sz="0" w:space="0" w:color="auto"/>
            <w:left w:val="none" w:sz="0" w:space="0" w:color="auto"/>
            <w:bottom w:val="none" w:sz="0" w:space="0" w:color="auto"/>
            <w:right w:val="none" w:sz="0" w:space="0" w:color="auto"/>
          </w:divBdr>
        </w:div>
        <w:div w:id="1673990152">
          <w:marLeft w:val="0"/>
          <w:marRight w:val="0"/>
          <w:marTop w:val="0"/>
          <w:marBottom w:val="0"/>
          <w:divBdr>
            <w:top w:val="none" w:sz="0" w:space="0" w:color="auto"/>
            <w:left w:val="none" w:sz="0" w:space="0" w:color="auto"/>
            <w:bottom w:val="none" w:sz="0" w:space="0" w:color="auto"/>
            <w:right w:val="none" w:sz="0" w:space="0" w:color="auto"/>
          </w:divBdr>
        </w:div>
        <w:div w:id="425931413">
          <w:marLeft w:val="0"/>
          <w:marRight w:val="0"/>
          <w:marTop w:val="0"/>
          <w:marBottom w:val="0"/>
          <w:divBdr>
            <w:top w:val="none" w:sz="0" w:space="0" w:color="auto"/>
            <w:left w:val="none" w:sz="0" w:space="0" w:color="auto"/>
            <w:bottom w:val="none" w:sz="0" w:space="0" w:color="auto"/>
            <w:right w:val="none" w:sz="0" w:space="0" w:color="auto"/>
          </w:divBdr>
        </w:div>
        <w:div w:id="436826764">
          <w:marLeft w:val="0"/>
          <w:marRight w:val="0"/>
          <w:marTop w:val="0"/>
          <w:marBottom w:val="0"/>
          <w:divBdr>
            <w:top w:val="none" w:sz="0" w:space="0" w:color="auto"/>
            <w:left w:val="none" w:sz="0" w:space="0" w:color="auto"/>
            <w:bottom w:val="none" w:sz="0" w:space="0" w:color="auto"/>
            <w:right w:val="none" w:sz="0" w:space="0" w:color="auto"/>
          </w:divBdr>
        </w:div>
        <w:div w:id="525994261">
          <w:marLeft w:val="0"/>
          <w:marRight w:val="0"/>
          <w:marTop w:val="0"/>
          <w:marBottom w:val="0"/>
          <w:divBdr>
            <w:top w:val="none" w:sz="0" w:space="0" w:color="auto"/>
            <w:left w:val="none" w:sz="0" w:space="0" w:color="auto"/>
            <w:bottom w:val="none" w:sz="0" w:space="0" w:color="auto"/>
            <w:right w:val="none" w:sz="0" w:space="0" w:color="auto"/>
          </w:divBdr>
        </w:div>
        <w:div w:id="1915897264">
          <w:marLeft w:val="0"/>
          <w:marRight w:val="0"/>
          <w:marTop w:val="0"/>
          <w:marBottom w:val="0"/>
          <w:divBdr>
            <w:top w:val="none" w:sz="0" w:space="0" w:color="auto"/>
            <w:left w:val="none" w:sz="0" w:space="0" w:color="auto"/>
            <w:bottom w:val="none" w:sz="0" w:space="0" w:color="auto"/>
            <w:right w:val="none" w:sz="0" w:space="0" w:color="auto"/>
          </w:divBdr>
        </w:div>
        <w:div w:id="530463273">
          <w:marLeft w:val="0"/>
          <w:marRight w:val="0"/>
          <w:marTop w:val="0"/>
          <w:marBottom w:val="0"/>
          <w:divBdr>
            <w:top w:val="none" w:sz="0" w:space="0" w:color="auto"/>
            <w:left w:val="none" w:sz="0" w:space="0" w:color="auto"/>
            <w:bottom w:val="none" w:sz="0" w:space="0" w:color="auto"/>
            <w:right w:val="none" w:sz="0" w:space="0" w:color="auto"/>
          </w:divBdr>
        </w:div>
        <w:div w:id="1139802826">
          <w:marLeft w:val="0"/>
          <w:marRight w:val="0"/>
          <w:marTop w:val="0"/>
          <w:marBottom w:val="0"/>
          <w:divBdr>
            <w:top w:val="none" w:sz="0" w:space="0" w:color="auto"/>
            <w:left w:val="none" w:sz="0" w:space="0" w:color="auto"/>
            <w:bottom w:val="none" w:sz="0" w:space="0" w:color="auto"/>
            <w:right w:val="none" w:sz="0" w:space="0" w:color="auto"/>
          </w:divBdr>
        </w:div>
        <w:div w:id="367876916">
          <w:marLeft w:val="0"/>
          <w:marRight w:val="0"/>
          <w:marTop w:val="0"/>
          <w:marBottom w:val="0"/>
          <w:divBdr>
            <w:top w:val="none" w:sz="0" w:space="0" w:color="auto"/>
            <w:left w:val="none" w:sz="0" w:space="0" w:color="auto"/>
            <w:bottom w:val="none" w:sz="0" w:space="0" w:color="auto"/>
            <w:right w:val="none" w:sz="0" w:space="0" w:color="auto"/>
          </w:divBdr>
        </w:div>
        <w:div w:id="1926062391">
          <w:marLeft w:val="0"/>
          <w:marRight w:val="0"/>
          <w:marTop w:val="0"/>
          <w:marBottom w:val="0"/>
          <w:divBdr>
            <w:top w:val="none" w:sz="0" w:space="0" w:color="auto"/>
            <w:left w:val="none" w:sz="0" w:space="0" w:color="auto"/>
            <w:bottom w:val="none" w:sz="0" w:space="0" w:color="auto"/>
            <w:right w:val="none" w:sz="0" w:space="0" w:color="auto"/>
          </w:divBdr>
        </w:div>
        <w:div w:id="355156017">
          <w:marLeft w:val="0"/>
          <w:marRight w:val="0"/>
          <w:marTop w:val="0"/>
          <w:marBottom w:val="0"/>
          <w:divBdr>
            <w:top w:val="none" w:sz="0" w:space="0" w:color="auto"/>
            <w:left w:val="none" w:sz="0" w:space="0" w:color="auto"/>
            <w:bottom w:val="none" w:sz="0" w:space="0" w:color="auto"/>
            <w:right w:val="none" w:sz="0" w:space="0" w:color="auto"/>
          </w:divBdr>
        </w:div>
        <w:div w:id="836772649">
          <w:marLeft w:val="0"/>
          <w:marRight w:val="0"/>
          <w:marTop w:val="0"/>
          <w:marBottom w:val="0"/>
          <w:divBdr>
            <w:top w:val="none" w:sz="0" w:space="0" w:color="auto"/>
            <w:left w:val="none" w:sz="0" w:space="0" w:color="auto"/>
            <w:bottom w:val="none" w:sz="0" w:space="0" w:color="auto"/>
            <w:right w:val="none" w:sz="0" w:space="0" w:color="auto"/>
          </w:divBdr>
        </w:div>
        <w:div w:id="1824352641">
          <w:marLeft w:val="0"/>
          <w:marRight w:val="0"/>
          <w:marTop w:val="0"/>
          <w:marBottom w:val="0"/>
          <w:divBdr>
            <w:top w:val="none" w:sz="0" w:space="0" w:color="auto"/>
            <w:left w:val="none" w:sz="0" w:space="0" w:color="auto"/>
            <w:bottom w:val="none" w:sz="0" w:space="0" w:color="auto"/>
            <w:right w:val="none" w:sz="0" w:space="0" w:color="auto"/>
          </w:divBdr>
        </w:div>
        <w:div w:id="362823388">
          <w:marLeft w:val="0"/>
          <w:marRight w:val="0"/>
          <w:marTop w:val="0"/>
          <w:marBottom w:val="0"/>
          <w:divBdr>
            <w:top w:val="none" w:sz="0" w:space="0" w:color="auto"/>
            <w:left w:val="none" w:sz="0" w:space="0" w:color="auto"/>
            <w:bottom w:val="none" w:sz="0" w:space="0" w:color="auto"/>
            <w:right w:val="none" w:sz="0" w:space="0" w:color="auto"/>
          </w:divBdr>
        </w:div>
        <w:div w:id="477504433">
          <w:marLeft w:val="0"/>
          <w:marRight w:val="0"/>
          <w:marTop w:val="0"/>
          <w:marBottom w:val="0"/>
          <w:divBdr>
            <w:top w:val="none" w:sz="0" w:space="0" w:color="auto"/>
            <w:left w:val="none" w:sz="0" w:space="0" w:color="auto"/>
            <w:bottom w:val="none" w:sz="0" w:space="0" w:color="auto"/>
            <w:right w:val="none" w:sz="0" w:space="0" w:color="auto"/>
          </w:divBdr>
        </w:div>
        <w:div w:id="1475634457">
          <w:marLeft w:val="0"/>
          <w:marRight w:val="0"/>
          <w:marTop w:val="0"/>
          <w:marBottom w:val="0"/>
          <w:divBdr>
            <w:top w:val="none" w:sz="0" w:space="0" w:color="auto"/>
            <w:left w:val="none" w:sz="0" w:space="0" w:color="auto"/>
            <w:bottom w:val="none" w:sz="0" w:space="0" w:color="auto"/>
            <w:right w:val="none" w:sz="0" w:space="0" w:color="auto"/>
          </w:divBdr>
        </w:div>
        <w:div w:id="55713783">
          <w:marLeft w:val="0"/>
          <w:marRight w:val="0"/>
          <w:marTop w:val="0"/>
          <w:marBottom w:val="0"/>
          <w:divBdr>
            <w:top w:val="none" w:sz="0" w:space="0" w:color="auto"/>
            <w:left w:val="none" w:sz="0" w:space="0" w:color="auto"/>
            <w:bottom w:val="none" w:sz="0" w:space="0" w:color="auto"/>
            <w:right w:val="none" w:sz="0" w:space="0" w:color="auto"/>
          </w:divBdr>
        </w:div>
        <w:div w:id="1787308096">
          <w:marLeft w:val="0"/>
          <w:marRight w:val="0"/>
          <w:marTop w:val="0"/>
          <w:marBottom w:val="0"/>
          <w:divBdr>
            <w:top w:val="none" w:sz="0" w:space="0" w:color="auto"/>
            <w:left w:val="none" w:sz="0" w:space="0" w:color="auto"/>
            <w:bottom w:val="none" w:sz="0" w:space="0" w:color="auto"/>
            <w:right w:val="none" w:sz="0" w:space="0" w:color="auto"/>
          </w:divBdr>
        </w:div>
        <w:div w:id="716128874">
          <w:marLeft w:val="0"/>
          <w:marRight w:val="0"/>
          <w:marTop w:val="0"/>
          <w:marBottom w:val="0"/>
          <w:divBdr>
            <w:top w:val="none" w:sz="0" w:space="0" w:color="auto"/>
            <w:left w:val="none" w:sz="0" w:space="0" w:color="auto"/>
            <w:bottom w:val="none" w:sz="0" w:space="0" w:color="auto"/>
            <w:right w:val="none" w:sz="0" w:space="0" w:color="auto"/>
          </w:divBdr>
        </w:div>
        <w:div w:id="2036073626">
          <w:marLeft w:val="0"/>
          <w:marRight w:val="0"/>
          <w:marTop w:val="0"/>
          <w:marBottom w:val="0"/>
          <w:divBdr>
            <w:top w:val="none" w:sz="0" w:space="0" w:color="auto"/>
            <w:left w:val="none" w:sz="0" w:space="0" w:color="auto"/>
            <w:bottom w:val="none" w:sz="0" w:space="0" w:color="auto"/>
            <w:right w:val="none" w:sz="0" w:space="0" w:color="auto"/>
          </w:divBdr>
        </w:div>
        <w:div w:id="338504066">
          <w:marLeft w:val="0"/>
          <w:marRight w:val="0"/>
          <w:marTop w:val="0"/>
          <w:marBottom w:val="0"/>
          <w:divBdr>
            <w:top w:val="none" w:sz="0" w:space="0" w:color="auto"/>
            <w:left w:val="none" w:sz="0" w:space="0" w:color="auto"/>
            <w:bottom w:val="none" w:sz="0" w:space="0" w:color="auto"/>
            <w:right w:val="none" w:sz="0" w:space="0" w:color="auto"/>
          </w:divBdr>
        </w:div>
        <w:div w:id="1903636692">
          <w:marLeft w:val="0"/>
          <w:marRight w:val="0"/>
          <w:marTop w:val="0"/>
          <w:marBottom w:val="0"/>
          <w:divBdr>
            <w:top w:val="none" w:sz="0" w:space="0" w:color="auto"/>
            <w:left w:val="none" w:sz="0" w:space="0" w:color="auto"/>
            <w:bottom w:val="none" w:sz="0" w:space="0" w:color="auto"/>
            <w:right w:val="none" w:sz="0" w:space="0" w:color="auto"/>
          </w:divBdr>
        </w:div>
        <w:div w:id="1339383899">
          <w:marLeft w:val="0"/>
          <w:marRight w:val="0"/>
          <w:marTop w:val="0"/>
          <w:marBottom w:val="0"/>
          <w:divBdr>
            <w:top w:val="none" w:sz="0" w:space="0" w:color="auto"/>
            <w:left w:val="none" w:sz="0" w:space="0" w:color="auto"/>
            <w:bottom w:val="none" w:sz="0" w:space="0" w:color="auto"/>
            <w:right w:val="none" w:sz="0" w:space="0" w:color="auto"/>
          </w:divBdr>
        </w:div>
        <w:div w:id="454519060">
          <w:marLeft w:val="0"/>
          <w:marRight w:val="0"/>
          <w:marTop w:val="0"/>
          <w:marBottom w:val="0"/>
          <w:divBdr>
            <w:top w:val="none" w:sz="0" w:space="0" w:color="auto"/>
            <w:left w:val="none" w:sz="0" w:space="0" w:color="auto"/>
            <w:bottom w:val="none" w:sz="0" w:space="0" w:color="auto"/>
            <w:right w:val="none" w:sz="0" w:space="0" w:color="auto"/>
          </w:divBdr>
        </w:div>
        <w:div w:id="1375697136">
          <w:marLeft w:val="0"/>
          <w:marRight w:val="0"/>
          <w:marTop w:val="0"/>
          <w:marBottom w:val="0"/>
          <w:divBdr>
            <w:top w:val="none" w:sz="0" w:space="0" w:color="auto"/>
            <w:left w:val="none" w:sz="0" w:space="0" w:color="auto"/>
            <w:bottom w:val="none" w:sz="0" w:space="0" w:color="auto"/>
            <w:right w:val="none" w:sz="0" w:space="0" w:color="auto"/>
          </w:divBdr>
        </w:div>
        <w:div w:id="890458142">
          <w:marLeft w:val="0"/>
          <w:marRight w:val="0"/>
          <w:marTop w:val="0"/>
          <w:marBottom w:val="0"/>
          <w:divBdr>
            <w:top w:val="none" w:sz="0" w:space="0" w:color="auto"/>
            <w:left w:val="none" w:sz="0" w:space="0" w:color="auto"/>
            <w:bottom w:val="none" w:sz="0" w:space="0" w:color="auto"/>
            <w:right w:val="none" w:sz="0" w:space="0" w:color="auto"/>
          </w:divBdr>
        </w:div>
        <w:div w:id="851799278">
          <w:marLeft w:val="0"/>
          <w:marRight w:val="0"/>
          <w:marTop w:val="0"/>
          <w:marBottom w:val="0"/>
          <w:divBdr>
            <w:top w:val="none" w:sz="0" w:space="0" w:color="auto"/>
            <w:left w:val="none" w:sz="0" w:space="0" w:color="auto"/>
            <w:bottom w:val="none" w:sz="0" w:space="0" w:color="auto"/>
            <w:right w:val="none" w:sz="0" w:space="0" w:color="auto"/>
          </w:divBdr>
        </w:div>
        <w:div w:id="441531919">
          <w:marLeft w:val="0"/>
          <w:marRight w:val="0"/>
          <w:marTop w:val="0"/>
          <w:marBottom w:val="0"/>
          <w:divBdr>
            <w:top w:val="none" w:sz="0" w:space="0" w:color="auto"/>
            <w:left w:val="none" w:sz="0" w:space="0" w:color="auto"/>
            <w:bottom w:val="none" w:sz="0" w:space="0" w:color="auto"/>
            <w:right w:val="none" w:sz="0" w:space="0" w:color="auto"/>
          </w:divBdr>
        </w:div>
        <w:div w:id="1333921365">
          <w:marLeft w:val="0"/>
          <w:marRight w:val="0"/>
          <w:marTop w:val="0"/>
          <w:marBottom w:val="0"/>
          <w:divBdr>
            <w:top w:val="none" w:sz="0" w:space="0" w:color="auto"/>
            <w:left w:val="none" w:sz="0" w:space="0" w:color="auto"/>
            <w:bottom w:val="none" w:sz="0" w:space="0" w:color="auto"/>
            <w:right w:val="none" w:sz="0" w:space="0" w:color="auto"/>
          </w:divBdr>
        </w:div>
        <w:div w:id="1648821592">
          <w:marLeft w:val="0"/>
          <w:marRight w:val="0"/>
          <w:marTop w:val="0"/>
          <w:marBottom w:val="0"/>
          <w:divBdr>
            <w:top w:val="none" w:sz="0" w:space="0" w:color="auto"/>
            <w:left w:val="none" w:sz="0" w:space="0" w:color="auto"/>
            <w:bottom w:val="none" w:sz="0" w:space="0" w:color="auto"/>
            <w:right w:val="none" w:sz="0" w:space="0" w:color="auto"/>
          </w:divBdr>
        </w:div>
        <w:div w:id="241646289">
          <w:marLeft w:val="0"/>
          <w:marRight w:val="0"/>
          <w:marTop w:val="0"/>
          <w:marBottom w:val="0"/>
          <w:divBdr>
            <w:top w:val="none" w:sz="0" w:space="0" w:color="auto"/>
            <w:left w:val="none" w:sz="0" w:space="0" w:color="auto"/>
            <w:bottom w:val="none" w:sz="0" w:space="0" w:color="auto"/>
            <w:right w:val="none" w:sz="0" w:space="0" w:color="auto"/>
          </w:divBdr>
        </w:div>
        <w:div w:id="2047949869">
          <w:marLeft w:val="0"/>
          <w:marRight w:val="0"/>
          <w:marTop w:val="0"/>
          <w:marBottom w:val="0"/>
          <w:divBdr>
            <w:top w:val="none" w:sz="0" w:space="0" w:color="auto"/>
            <w:left w:val="none" w:sz="0" w:space="0" w:color="auto"/>
            <w:bottom w:val="none" w:sz="0" w:space="0" w:color="auto"/>
            <w:right w:val="none" w:sz="0" w:space="0" w:color="auto"/>
          </w:divBdr>
        </w:div>
        <w:div w:id="339048624">
          <w:marLeft w:val="0"/>
          <w:marRight w:val="0"/>
          <w:marTop w:val="0"/>
          <w:marBottom w:val="0"/>
          <w:divBdr>
            <w:top w:val="none" w:sz="0" w:space="0" w:color="auto"/>
            <w:left w:val="none" w:sz="0" w:space="0" w:color="auto"/>
            <w:bottom w:val="none" w:sz="0" w:space="0" w:color="auto"/>
            <w:right w:val="none" w:sz="0" w:space="0" w:color="auto"/>
          </w:divBdr>
        </w:div>
        <w:div w:id="898596227">
          <w:marLeft w:val="0"/>
          <w:marRight w:val="0"/>
          <w:marTop w:val="0"/>
          <w:marBottom w:val="0"/>
          <w:divBdr>
            <w:top w:val="none" w:sz="0" w:space="0" w:color="auto"/>
            <w:left w:val="none" w:sz="0" w:space="0" w:color="auto"/>
            <w:bottom w:val="none" w:sz="0" w:space="0" w:color="auto"/>
            <w:right w:val="none" w:sz="0" w:space="0" w:color="auto"/>
          </w:divBdr>
        </w:div>
        <w:div w:id="623124119">
          <w:marLeft w:val="0"/>
          <w:marRight w:val="0"/>
          <w:marTop w:val="0"/>
          <w:marBottom w:val="0"/>
          <w:divBdr>
            <w:top w:val="none" w:sz="0" w:space="0" w:color="auto"/>
            <w:left w:val="none" w:sz="0" w:space="0" w:color="auto"/>
            <w:bottom w:val="none" w:sz="0" w:space="0" w:color="auto"/>
            <w:right w:val="none" w:sz="0" w:space="0" w:color="auto"/>
          </w:divBdr>
        </w:div>
        <w:div w:id="163399795">
          <w:marLeft w:val="0"/>
          <w:marRight w:val="0"/>
          <w:marTop w:val="0"/>
          <w:marBottom w:val="0"/>
          <w:divBdr>
            <w:top w:val="none" w:sz="0" w:space="0" w:color="auto"/>
            <w:left w:val="none" w:sz="0" w:space="0" w:color="auto"/>
            <w:bottom w:val="none" w:sz="0" w:space="0" w:color="auto"/>
            <w:right w:val="none" w:sz="0" w:space="0" w:color="auto"/>
          </w:divBdr>
        </w:div>
        <w:div w:id="2123182270">
          <w:marLeft w:val="0"/>
          <w:marRight w:val="0"/>
          <w:marTop w:val="0"/>
          <w:marBottom w:val="0"/>
          <w:divBdr>
            <w:top w:val="none" w:sz="0" w:space="0" w:color="auto"/>
            <w:left w:val="none" w:sz="0" w:space="0" w:color="auto"/>
            <w:bottom w:val="none" w:sz="0" w:space="0" w:color="auto"/>
            <w:right w:val="none" w:sz="0" w:space="0" w:color="auto"/>
          </w:divBdr>
        </w:div>
        <w:div w:id="1857233607">
          <w:marLeft w:val="0"/>
          <w:marRight w:val="0"/>
          <w:marTop w:val="0"/>
          <w:marBottom w:val="0"/>
          <w:divBdr>
            <w:top w:val="none" w:sz="0" w:space="0" w:color="auto"/>
            <w:left w:val="none" w:sz="0" w:space="0" w:color="auto"/>
            <w:bottom w:val="none" w:sz="0" w:space="0" w:color="auto"/>
            <w:right w:val="none" w:sz="0" w:space="0" w:color="auto"/>
          </w:divBdr>
        </w:div>
        <w:div w:id="835463777">
          <w:marLeft w:val="0"/>
          <w:marRight w:val="0"/>
          <w:marTop w:val="0"/>
          <w:marBottom w:val="0"/>
          <w:divBdr>
            <w:top w:val="none" w:sz="0" w:space="0" w:color="auto"/>
            <w:left w:val="none" w:sz="0" w:space="0" w:color="auto"/>
            <w:bottom w:val="none" w:sz="0" w:space="0" w:color="auto"/>
            <w:right w:val="none" w:sz="0" w:space="0" w:color="auto"/>
          </w:divBdr>
        </w:div>
        <w:div w:id="1415973111">
          <w:marLeft w:val="0"/>
          <w:marRight w:val="0"/>
          <w:marTop w:val="0"/>
          <w:marBottom w:val="0"/>
          <w:divBdr>
            <w:top w:val="none" w:sz="0" w:space="0" w:color="auto"/>
            <w:left w:val="none" w:sz="0" w:space="0" w:color="auto"/>
            <w:bottom w:val="none" w:sz="0" w:space="0" w:color="auto"/>
            <w:right w:val="none" w:sz="0" w:space="0" w:color="auto"/>
          </w:divBdr>
        </w:div>
        <w:div w:id="1902788444">
          <w:marLeft w:val="0"/>
          <w:marRight w:val="0"/>
          <w:marTop w:val="0"/>
          <w:marBottom w:val="0"/>
          <w:divBdr>
            <w:top w:val="none" w:sz="0" w:space="0" w:color="auto"/>
            <w:left w:val="none" w:sz="0" w:space="0" w:color="auto"/>
            <w:bottom w:val="none" w:sz="0" w:space="0" w:color="auto"/>
            <w:right w:val="none" w:sz="0" w:space="0" w:color="auto"/>
          </w:divBdr>
        </w:div>
        <w:div w:id="1476873778">
          <w:marLeft w:val="0"/>
          <w:marRight w:val="0"/>
          <w:marTop w:val="0"/>
          <w:marBottom w:val="0"/>
          <w:divBdr>
            <w:top w:val="none" w:sz="0" w:space="0" w:color="auto"/>
            <w:left w:val="none" w:sz="0" w:space="0" w:color="auto"/>
            <w:bottom w:val="none" w:sz="0" w:space="0" w:color="auto"/>
            <w:right w:val="none" w:sz="0" w:space="0" w:color="auto"/>
          </w:divBdr>
        </w:div>
        <w:div w:id="2025472027">
          <w:marLeft w:val="0"/>
          <w:marRight w:val="0"/>
          <w:marTop w:val="0"/>
          <w:marBottom w:val="0"/>
          <w:divBdr>
            <w:top w:val="none" w:sz="0" w:space="0" w:color="auto"/>
            <w:left w:val="none" w:sz="0" w:space="0" w:color="auto"/>
            <w:bottom w:val="none" w:sz="0" w:space="0" w:color="auto"/>
            <w:right w:val="none" w:sz="0" w:space="0" w:color="auto"/>
          </w:divBdr>
        </w:div>
        <w:div w:id="1737195433">
          <w:marLeft w:val="0"/>
          <w:marRight w:val="0"/>
          <w:marTop w:val="0"/>
          <w:marBottom w:val="0"/>
          <w:divBdr>
            <w:top w:val="none" w:sz="0" w:space="0" w:color="auto"/>
            <w:left w:val="none" w:sz="0" w:space="0" w:color="auto"/>
            <w:bottom w:val="none" w:sz="0" w:space="0" w:color="auto"/>
            <w:right w:val="none" w:sz="0" w:space="0" w:color="auto"/>
          </w:divBdr>
        </w:div>
        <w:div w:id="867913439">
          <w:marLeft w:val="0"/>
          <w:marRight w:val="0"/>
          <w:marTop w:val="0"/>
          <w:marBottom w:val="0"/>
          <w:divBdr>
            <w:top w:val="none" w:sz="0" w:space="0" w:color="auto"/>
            <w:left w:val="none" w:sz="0" w:space="0" w:color="auto"/>
            <w:bottom w:val="none" w:sz="0" w:space="0" w:color="auto"/>
            <w:right w:val="none" w:sz="0" w:space="0" w:color="auto"/>
          </w:divBdr>
        </w:div>
        <w:div w:id="1900169828">
          <w:marLeft w:val="0"/>
          <w:marRight w:val="0"/>
          <w:marTop w:val="0"/>
          <w:marBottom w:val="0"/>
          <w:divBdr>
            <w:top w:val="none" w:sz="0" w:space="0" w:color="auto"/>
            <w:left w:val="none" w:sz="0" w:space="0" w:color="auto"/>
            <w:bottom w:val="none" w:sz="0" w:space="0" w:color="auto"/>
            <w:right w:val="none" w:sz="0" w:space="0" w:color="auto"/>
          </w:divBdr>
        </w:div>
        <w:div w:id="166598673">
          <w:marLeft w:val="0"/>
          <w:marRight w:val="0"/>
          <w:marTop w:val="0"/>
          <w:marBottom w:val="0"/>
          <w:divBdr>
            <w:top w:val="none" w:sz="0" w:space="0" w:color="auto"/>
            <w:left w:val="none" w:sz="0" w:space="0" w:color="auto"/>
            <w:bottom w:val="none" w:sz="0" w:space="0" w:color="auto"/>
            <w:right w:val="none" w:sz="0" w:space="0" w:color="auto"/>
          </w:divBdr>
        </w:div>
        <w:div w:id="1250625979">
          <w:marLeft w:val="0"/>
          <w:marRight w:val="0"/>
          <w:marTop w:val="0"/>
          <w:marBottom w:val="0"/>
          <w:divBdr>
            <w:top w:val="none" w:sz="0" w:space="0" w:color="auto"/>
            <w:left w:val="none" w:sz="0" w:space="0" w:color="auto"/>
            <w:bottom w:val="none" w:sz="0" w:space="0" w:color="auto"/>
            <w:right w:val="none" w:sz="0" w:space="0" w:color="auto"/>
          </w:divBdr>
        </w:div>
        <w:div w:id="1376544483">
          <w:marLeft w:val="0"/>
          <w:marRight w:val="0"/>
          <w:marTop w:val="0"/>
          <w:marBottom w:val="0"/>
          <w:divBdr>
            <w:top w:val="none" w:sz="0" w:space="0" w:color="auto"/>
            <w:left w:val="none" w:sz="0" w:space="0" w:color="auto"/>
            <w:bottom w:val="none" w:sz="0" w:space="0" w:color="auto"/>
            <w:right w:val="none" w:sz="0" w:space="0" w:color="auto"/>
          </w:divBdr>
        </w:div>
        <w:div w:id="1205678456">
          <w:marLeft w:val="0"/>
          <w:marRight w:val="0"/>
          <w:marTop w:val="0"/>
          <w:marBottom w:val="0"/>
          <w:divBdr>
            <w:top w:val="none" w:sz="0" w:space="0" w:color="auto"/>
            <w:left w:val="none" w:sz="0" w:space="0" w:color="auto"/>
            <w:bottom w:val="none" w:sz="0" w:space="0" w:color="auto"/>
            <w:right w:val="none" w:sz="0" w:space="0" w:color="auto"/>
          </w:divBdr>
        </w:div>
        <w:div w:id="1346051526">
          <w:marLeft w:val="0"/>
          <w:marRight w:val="0"/>
          <w:marTop w:val="0"/>
          <w:marBottom w:val="0"/>
          <w:divBdr>
            <w:top w:val="none" w:sz="0" w:space="0" w:color="auto"/>
            <w:left w:val="none" w:sz="0" w:space="0" w:color="auto"/>
            <w:bottom w:val="none" w:sz="0" w:space="0" w:color="auto"/>
            <w:right w:val="none" w:sz="0" w:space="0" w:color="auto"/>
          </w:divBdr>
        </w:div>
        <w:div w:id="1394499426">
          <w:marLeft w:val="0"/>
          <w:marRight w:val="0"/>
          <w:marTop w:val="0"/>
          <w:marBottom w:val="0"/>
          <w:divBdr>
            <w:top w:val="none" w:sz="0" w:space="0" w:color="auto"/>
            <w:left w:val="none" w:sz="0" w:space="0" w:color="auto"/>
            <w:bottom w:val="none" w:sz="0" w:space="0" w:color="auto"/>
            <w:right w:val="none" w:sz="0" w:space="0" w:color="auto"/>
          </w:divBdr>
        </w:div>
        <w:div w:id="1636986199">
          <w:marLeft w:val="0"/>
          <w:marRight w:val="0"/>
          <w:marTop w:val="0"/>
          <w:marBottom w:val="0"/>
          <w:divBdr>
            <w:top w:val="none" w:sz="0" w:space="0" w:color="auto"/>
            <w:left w:val="none" w:sz="0" w:space="0" w:color="auto"/>
            <w:bottom w:val="none" w:sz="0" w:space="0" w:color="auto"/>
            <w:right w:val="none" w:sz="0" w:space="0" w:color="auto"/>
          </w:divBdr>
        </w:div>
        <w:div w:id="1299526680">
          <w:marLeft w:val="0"/>
          <w:marRight w:val="0"/>
          <w:marTop w:val="0"/>
          <w:marBottom w:val="0"/>
          <w:divBdr>
            <w:top w:val="none" w:sz="0" w:space="0" w:color="auto"/>
            <w:left w:val="none" w:sz="0" w:space="0" w:color="auto"/>
            <w:bottom w:val="none" w:sz="0" w:space="0" w:color="auto"/>
            <w:right w:val="none" w:sz="0" w:space="0" w:color="auto"/>
          </w:divBdr>
        </w:div>
        <w:div w:id="175506295">
          <w:marLeft w:val="0"/>
          <w:marRight w:val="0"/>
          <w:marTop w:val="0"/>
          <w:marBottom w:val="0"/>
          <w:divBdr>
            <w:top w:val="none" w:sz="0" w:space="0" w:color="auto"/>
            <w:left w:val="none" w:sz="0" w:space="0" w:color="auto"/>
            <w:bottom w:val="none" w:sz="0" w:space="0" w:color="auto"/>
            <w:right w:val="none" w:sz="0" w:space="0" w:color="auto"/>
          </w:divBdr>
        </w:div>
        <w:div w:id="54280919">
          <w:marLeft w:val="0"/>
          <w:marRight w:val="0"/>
          <w:marTop w:val="0"/>
          <w:marBottom w:val="0"/>
          <w:divBdr>
            <w:top w:val="none" w:sz="0" w:space="0" w:color="auto"/>
            <w:left w:val="none" w:sz="0" w:space="0" w:color="auto"/>
            <w:bottom w:val="none" w:sz="0" w:space="0" w:color="auto"/>
            <w:right w:val="none" w:sz="0" w:space="0" w:color="auto"/>
          </w:divBdr>
        </w:div>
        <w:div w:id="1625505839">
          <w:marLeft w:val="0"/>
          <w:marRight w:val="0"/>
          <w:marTop w:val="0"/>
          <w:marBottom w:val="0"/>
          <w:divBdr>
            <w:top w:val="none" w:sz="0" w:space="0" w:color="auto"/>
            <w:left w:val="none" w:sz="0" w:space="0" w:color="auto"/>
            <w:bottom w:val="none" w:sz="0" w:space="0" w:color="auto"/>
            <w:right w:val="none" w:sz="0" w:space="0" w:color="auto"/>
          </w:divBdr>
        </w:div>
      </w:divsChild>
    </w:div>
    <w:div w:id="1826505984">
      <w:bodyDiv w:val="1"/>
      <w:marLeft w:val="0"/>
      <w:marRight w:val="0"/>
      <w:marTop w:val="0"/>
      <w:marBottom w:val="0"/>
      <w:divBdr>
        <w:top w:val="none" w:sz="0" w:space="0" w:color="auto"/>
        <w:left w:val="none" w:sz="0" w:space="0" w:color="auto"/>
        <w:bottom w:val="none" w:sz="0" w:space="0" w:color="auto"/>
        <w:right w:val="none" w:sz="0" w:space="0" w:color="auto"/>
      </w:divBdr>
      <w:divsChild>
        <w:div w:id="138114912">
          <w:marLeft w:val="0"/>
          <w:marRight w:val="0"/>
          <w:marTop w:val="0"/>
          <w:marBottom w:val="0"/>
          <w:divBdr>
            <w:top w:val="none" w:sz="0" w:space="0" w:color="auto"/>
            <w:left w:val="none" w:sz="0" w:space="0" w:color="auto"/>
            <w:bottom w:val="none" w:sz="0" w:space="0" w:color="auto"/>
            <w:right w:val="none" w:sz="0" w:space="0" w:color="auto"/>
          </w:divBdr>
        </w:div>
        <w:div w:id="1231428201">
          <w:marLeft w:val="0"/>
          <w:marRight w:val="0"/>
          <w:marTop w:val="0"/>
          <w:marBottom w:val="0"/>
          <w:divBdr>
            <w:top w:val="none" w:sz="0" w:space="0" w:color="auto"/>
            <w:left w:val="none" w:sz="0" w:space="0" w:color="auto"/>
            <w:bottom w:val="none" w:sz="0" w:space="0" w:color="auto"/>
            <w:right w:val="none" w:sz="0" w:space="0" w:color="auto"/>
          </w:divBdr>
        </w:div>
        <w:div w:id="1146045747">
          <w:marLeft w:val="0"/>
          <w:marRight w:val="0"/>
          <w:marTop w:val="0"/>
          <w:marBottom w:val="0"/>
          <w:divBdr>
            <w:top w:val="none" w:sz="0" w:space="0" w:color="auto"/>
            <w:left w:val="none" w:sz="0" w:space="0" w:color="auto"/>
            <w:bottom w:val="none" w:sz="0" w:space="0" w:color="auto"/>
            <w:right w:val="none" w:sz="0" w:space="0" w:color="auto"/>
          </w:divBdr>
        </w:div>
        <w:div w:id="1057819190">
          <w:marLeft w:val="0"/>
          <w:marRight w:val="0"/>
          <w:marTop w:val="0"/>
          <w:marBottom w:val="0"/>
          <w:divBdr>
            <w:top w:val="none" w:sz="0" w:space="0" w:color="auto"/>
            <w:left w:val="none" w:sz="0" w:space="0" w:color="auto"/>
            <w:bottom w:val="none" w:sz="0" w:space="0" w:color="auto"/>
            <w:right w:val="none" w:sz="0" w:space="0" w:color="auto"/>
          </w:divBdr>
        </w:div>
        <w:div w:id="1346055646">
          <w:marLeft w:val="0"/>
          <w:marRight w:val="0"/>
          <w:marTop w:val="0"/>
          <w:marBottom w:val="0"/>
          <w:divBdr>
            <w:top w:val="none" w:sz="0" w:space="0" w:color="auto"/>
            <w:left w:val="none" w:sz="0" w:space="0" w:color="auto"/>
            <w:bottom w:val="none" w:sz="0" w:space="0" w:color="auto"/>
            <w:right w:val="none" w:sz="0" w:space="0" w:color="auto"/>
          </w:divBdr>
        </w:div>
        <w:div w:id="961964583">
          <w:marLeft w:val="0"/>
          <w:marRight w:val="0"/>
          <w:marTop w:val="0"/>
          <w:marBottom w:val="0"/>
          <w:divBdr>
            <w:top w:val="none" w:sz="0" w:space="0" w:color="auto"/>
            <w:left w:val="none" w:sz="0" w:space="0" w:color="auto"/>
            <w:bottom w:val="none" w:sz="0" w:space="0" w:color="auto"/>
            <w:right w:val="none" w:sz="0" w:space="0" w:color="auto"/>
          </w:divBdr>
        </w:div>
        <w:div w:id="2083915857">
          <w:marLeft w:val="0"/>
          <w:marRight w:val="0"/>
          <w:marTop w:val="0"/>
          <w:marBottom w:val="0"/>
          <w:divBdr>
            <w:top w:val="none" w:sz="0" w:space="0" w:color="auto"/>
            <w:left w:val="none" w:sz="0" w:space="0" w:color="auto"/>
            <w:bottom w:val="none" w:sz="0" w:space="0" w:color="auto"/>
            <w:right w:val="none" w:sz="0" w:space="0" w:color="auto"/>
          </w:divBdr>
        </w:div>
        <w:div w:id="576481771">
          <w:marLeft w:val="0"/>
          <w:marRight w:val="0"/>
          <w:marTop w:val="0"/>
          <w:marBottom w:val="0"/>
          <w:divBdr>
            <w:top w:val="none" w:sz="0" w:space="0" w:color="auto"/>
            <w:left w:val="none" w:sz="0" w:space="0" w:color="auto"/>
            <w:bottom w:val="none" w:sz="0" w:space="0" w:color="auto"/>
            <w:right w:val="none" w:sz="0" w:space="0" w:color="auto"/>
          </w:divBdr>
        </w:div>
        <w:div w:id="246885796">
          <w:marLeft w:val="0"/>
          <w:marRight w:val="0"/>
          <w:marTop w:val="0"/>
          <w:marBottom w:val="0"/>
          <w:divBdr>
            <w:top w:val="none" w:sz="0" w:space="0" w:color="auto"/>
            <w:left w:val="none" w:sz="0" w:space="0" w:color="auto"/>
            <w:bottom w:val="none" w:sz="0" w:space="0" w:color="auto"/>
            <w:right w:val="none" w:sz="0" w:space="0" w:color="auto"/>
          </w:divBdr>
        </w:div>
        <w:div w:id="306932740">
          <w:marLeft w:val="0"/>
          <w:marRight w:val="0"/>
          <w:marTop w:val="0"/>
          <w:marBottom w:val="0"/>
          <w:divBdr>
            <w:top w:val="none" w:sz="0" w:space="0" w:color="auto"/>
            <w:left w:val="none" w:sz="0" w:space="0" w:color="auto"/>
            <w:bottom w:val="none" w:sz="0" w:space="0" w:color="auto"/>
            <w:right w:val="none" w:sz="0" w:space="0" w:color="auto"/>
          </w:divBdr>
        </w:div>
        <w:div w:id="35008812">
          <w:marLeft w:val="0"/>
          <w:marRight w:val="0"/>
          <w:marTop w:val="0"/>
          <w:marBottom w:val="0"/>
          <w:divBdr>
            <w:top w:val="none" w:sz="0" w:space="0" w:color="auto"/>
            <w:left w:val="none" w:sz="0" w:space="0" w:color="auto"/>
            <w:bottom w:val="none" w:sz="0" w:space="0" w:color="auto"/>
            <w:right w:val="none" w:sz="0" w:space="0" w:color="auto"/>
          </w:divBdr>
        </w:div>
        <w:div w:id="118107121">
          <w:marLeft w:val="0"/>
          <w:marRight w:val="0"/>
          <w:marTop w:val="0"/>
          <w:marBottom w:val="0"/>
          <w:divBdr>
            <w:top w:val="none" w:sz="0" w:space="0" w:color="auto"/>
            <w:left w:val="none" w:sz="0" w:space="0" w:color="auto"/>
            <w:bottom w:val="none" w:sz="0" w:space="0" w:color="auto"/>
            <w:right w:val="none" w:sz="0" w:space="0" w:color="auto"/>
          </w:divBdr>
        </w:div>
        <w:div w:id="1364549825">
          <w:marLeft w:val="0"/>
          <w:marRight w:val="0"/>
          <w:marTop w:val="0"/>
          <w:marBottom w:val="0"/>
          <w:divBdr>
            <w:top w:val="none" w:sz="0" w:space="0" w:color="auto"/>
            <w:left w:val="none" w:sz="0" w:space="0" w:color="auto"/>
            <w:bottom w:val="none" w:sz="0" w:space="0" w:color="auto"/>
            <w:right w:val="none" w:sz="0" w:space="0" w:color="auto"/>
          </w:divBdr>
        </w:div>
        <w:div w:id="2106228125">
          <w:marLeft w:val="0"/>
          <w:marRight w:val="0"/>
          <w:marTop w:val="0"/>
          <w:marBottom w:val="0"/>
          <w:divBdr>
            <w:top w:val="none" w:sz="0" w:space="0" w:color="auto"/>
            <w:left w:val="none" w:sz="0" w:space="0" w:color="auto"/>
            <w:bottom w:val="none" w:sz="0" w:space="0" w:color="auto"/>
            <w:right w:val="none" w:sz="0" w:space="0" w:color="auto"/>
          </w:divBdr>
        </w:div>
        <w:div w:id="487140291">
          <w:marLeft w:val="0"/>
          <w:marRight w:val="0"/>
          <w:marTop w:val="0"/>
          <w:marBottom w:val="0"/>
          <w:divBdr>
            <w:top w:val="none" w:sz="0" w:space="0" w:color="auto"/>
            <w:left w:val="none" w:sz="0" w:space="0" w:color="auto"/>
            <w:bottom w:val="none" w:sz="0" w:space="0" w:color="auto"/>
            <w:right w:val="none" w:sz="0" w:space="0" w:color="auto"/>
          </w:divBdr>
        </w:div>
        <w:div w:id="1975939872">
          <w:marLeft w:val="0"/>
          <w:marRight w:val="0"/>
          <w:marTop w:val="0"/>
          <w:marBottom w:val="0"/>
          <w:divBdr>
            <w:top w:val="none" w:sz="0" w:space="0" w:color="auto"/>
            <w:left w:val="none" w:sz="0" w:space="0" w:color="auto"/>
            <w:bottom w:val="none" w:sz="0" w:space="0" w:color="auto"/>
            <w:right w:val="none" w:sz="0" w:space="0" w:color="auto"/>
          </w:divBdr>
        </w:div>
        <w:div w:id="1095901919">
          <w:marLeft w:val="0"/>
          <w:marRight w:val="0"/>
          <w:marTop w:val="0"/>
          <w:marBottom w:val="0"/>
          <w:divBdr>
            <w:top w:val="none" w:sz="0" w:space="0" w:color="auto"/>
            <w:left w:val="none" w:sz="0" w:space="0" w:color="auto"/>
            <w:bottom w:val="none" w:sz="0" w:space="0" w:color="auto"/>
            <w:right w:val="none" w:sz="0" w:space="0" w:color="auto"/>
          </w:divBdr>
        </w:div>
        <w:div w:id="1191147580">
          <w:marLeft w:val="0"/>
          <w:marRight w:val="0"/>
          <w:marTop w:val="0"/>
          <w:marBottom w:val="0"/>
          <w:divBdr>
            <w:top w:val="none" w:sz="0" w:space="0" w:color="auto"/>
            <w:left w:val="none" w:sz="0" w:space="0" w:color="auto"/>
            <w:bottom w:val="none" w:sz="0" w:space="0" w:color="auto"/>
            <w:right w:val="none" w:sz="0" w:space="0" w:color="auto"/>
          </w:divBdr>
        </w:div>
        <w:div w:id="919682618">
          <w:marLeft w:val="0"/>
          <w:marRight w:val="0"/>
          <w:marTop w:val="0"/>
          <w:marBottom w:val="0"/>
          <w:divBdr>
            <w:top w:val="none" w:sz="0" w:space="0" w:color="auto"/>
            <w:left w:val="none" w:sz="0" w:space="0" w:color="auto"/>
            <w:bottom w:val="none" w:sz="0" w:space="0" w:color="auto"/>
            <w:right w:val="none" w:sz="0" w:space="0" w:color="auto"/>
          </w:divBdr>
        </w:div>
        <w:div w:id="1449665295">
          <w:marLeft w:val="0"/>
          <w:marRight w:val="0"/>
          <w:marTop w:val="0"/>
          <w:marBottom w:val="0"/>
          <w:divBdr>
            <w:top w:val="none" w:sz="0" w:space="0" w:color="auto"/>
            <w:left w:val="none" w:sz="0" w:space="0" w:color="auto"/>
            <w:bottom w:val="none" w:sz="0" w:space="0" w:color="auto"/>
            <w:right w:val="none" w:sz="0" w:space="0" w:color="auto"/>
          </w:divBdr>
        </w:div>
        <w:div w:id="2100757488">
          <w:marLeft w:val="0"/>
          <w:marRight w:val="0"/>
          <w:marTop w:val="0"/>
          <w:marBottom w:val="0"/>
          <w:divBdr>
            <w:top w:val="none" w:sz="0" w:space="0" w:color="auto"/>
            <w:left w:val="none" w:sz="0" w:space="0" w:color="auto"/>
            <w:bottom w:val="none" w:sz="0" w:space="0" w:color="auto"/>
            <w:right w:val="none" w:sz="0" w:space="0" w:color="auto"/>
          </w:divBdr>
        </w:div>
        <w:div w:id="123236036">
          <w:marLeft w:val="0"/>
          <w:marRight w:val="0"/>
          <w:marTop w:val="0"/>
          <w:marBottom w:val="0"/>
          <w:divBdr>
            <w:top w:val="none" w:sz="0" w:space="0" w:color="auto"/>
            <w:left w:val="none" w:sz="0" w:space="0" w:color="auto"/>
            <w:bottom w:val="none" w:sz="0" w:space="0" w:color="auto"/>
            <w:right w:val="none" w:sz="0" w:space="0" w:color="auto"/>
          </w:divBdr>
        </w:div>
        <w:div w:id="1858077174">
          <w:marLeft w:val="0"/>
          <w:marRight w:val="0"/>
          <w:marTop w:val="0"/>
          <w:marBottom w:val="0"/>
          <w:divBdr>
            <w:top w:val="none" w:sz="0" w:space="0" w:color="auto"/>
            <w:left w:val="none" w:sz="0" w:space="0" w:color="auto"/>
            <w:bottom w:val="none" w:sz="0" w:space="0" w:color="auto"/>
            <w:right w:val="none" w:sz="0" w:space="0" w:color="auto"/>
          </w:divBdr>
        </w:div>
        <w:div w:id="1387684678">
          <w:marLeft w:val="0"/>
          <w:marRight w:val="0"/>
          <w:marTop w:val="0"/>
          <w:marBottom w:val="0"/>
          <w:divBdr>
            <w:top w:val="none" w:sz="0" w:space="0" w:color="auto"/>
            <w:left w:val="none" w:sz="0" w:space="0" w:color="auto"/>
            <w:bottom w:val="none" w:sz="0" w:space="0" w:color="auto"/>
            <w:right w:val="none" w:sz="0" w:space="0" w:color="auto"/>
          </w:divBdr>
        </w:div>
        <w:div w:id="229733561">
          <w:marLeft w:val="0"/>
          <w:marRight w:val="0"/>
          <w:marTop w:val="0"/>
          <w:marBottom w:val="0"/>
          <w:divBdr>
            <w:top w:val="none" w:sz="0" w:space="0" w:color="auto"/>
            <w:left w:val="none" w:sz="0" w:space="0" w:color="auto"/>
            <w:bottom w:val="none" w:sz="0" w:space="0" w:color="auto"/>
            <w:right w:val="none" w:sz="0" w:space="0" w:color="auto"/>
          </w:divBdr>
        </w:div>
        <w:div w:id="2054382859">
          <w:marLeft w:val="0"/>
          <w:marRight w:val="0"/>
          <w:marTop w:val="0"/>
          <w:marBottom w:val="0"/>
          <w:divBdr>
            <w:top w:val="none" w:sz="0" w:space="0" w:color="auto"/>
            <w:left w:val="none" w:sz="0" w:space="0" w:color="auto"/>
            <w:bottom w:val="none" w:sz="0" w:space="0" w:color="auto"/>
            <w:right w:val="none" w:sz="0" w:space="0" w:color="auto"/>
          </w:divBdr>
        </w:div>
        <w:div w:id="84692261">
          <w:marLeft w:val="0"/>
          <w:marRight w:val="0"/>
          <w:marTop w:val="0"/>
          <w:marBottom w:val="0"/>
          <w:divBdr>
            <w:top w:val="none" w:sz="0" w:space="0" w:color="auto"/>
            <w:left w:val="none" w:sz="0" w:space="0" w:color="auto"/>
            <w:bottom w:val="none" w:sz="0" w:space="0" w:color="auto"/>
            <w:right w:val="none" w:sz="0" w:space="0" w:color="auto"/>
          </w:divBdr>
        </w:div>
        <w:div w:id="488978811">
          <w:marLeft w:val="0"/>
          <w:marRight w:val="0"/>
          <w:marTop w:val="0"/>
          <w:marBottom w:val="0"/>
          <w:divBdr>
            <w:top w:val="none" w:sz="0" w:space="0" w:color="auto"/>
            <w:left w:val="none" w:sz="0" w:space="0" w:color="auto"/>
            <w:bottom w:val="none" w:sz="0" w:space="0" w:color="auto"/>
            <w:right w:val="none" w:sz="0" w:space="0" w:color="auto"/>
          </w:divBdr>
        </w:div>
        <w:div w:id="883055579">
          <w:marLeft w:val="0"/>
          <w:marRight w:val="0"/>
          <w:marTop w:val="0"/>
          <w:marBottom w:val="0"/>
          <w:divBdr>
            <w:top w:val="none" w:sz="0" w:space="0" w:color="auto"/>
            <w:left w:val="none" w:sz="0" w:space="0" w:color="auto"/>
            <w:bottom w:val="none" w:sz="0" w:space="0" w:color="auto"/>
            <w:right w:val="none" w:sz="0" w:space="0" w:color="auto"/>
          </w:divBdr>
        </w:div>
        <w:div w:id="2105370651">
          <w:marLeft w:val="0"/>
          <w:marRight w:val="0"/>
          <w:marTop w:val="0"/>
          <w:marBottom w:val="0"/>
          <w:divBdr>
            <w:top w:val="none" w:sz="0" w:space="0" w:color="auto"/>
            <w:left w:val="none" w:sz="0" w:space="0" w:color="auto"/>
            <w:bottom w:val="none" w:sz="0" w:space="0" w:color="auto"/>
            <w:right w:val="none" w:sz="0" w:space="0" w:color="auto"/>
          </w:divBdr>
        </w:div>
        <w:div w:id="2072535694">
          <w:marLeft w:val="0"/>
          <w:marRight w:val="0"/>
          <w:marTop w:val="0"/>
          <w:marBottom w:val="0"/>
          <w:divBdr>
            <w:top w:val="none" w:sz="0" w:space="0" w:color="auto"/>
            <w:left w:val="none" w:sz="0" w:space="0" w:color="auto"/>
            <w:bottom w:val="none" w:sz="0" w:space="0" w:color="auto"/>
            <w:right w:val="none" w:sz="0" w:space="0" w:color="auto"/>
          </w:divBdr>
        </w:div>
        <w:div w:id="268663065">
          <w:marLeft w:val="0"/>
          <w:marRight w:val="0"/>
          <w:marTop w:val="0"/>
          <w:marBottom w:val="0"/>
          <w:divBdr>
            <w:top w:val="none" w:sz="0" w:space="0" w:color="auto"/>
            <w:left w:val="none" w:sz="0" w:space="0" w:color="auto"/>
            <w:bottom w:val="none" w:sz="0" w:space="0" w:color="auto"/>
            <w:right w:val="none" w:sz="0" w:space="0" w:color="auto"/>
          </w:divBdr>
        </w:div>
        <w:div w:id="1625695793">
          <w:marLeft w:val="0"/>
          <w:marRight w:val="0"/>
          <w:marTop w:val="0"/>
          <w:marBottom w:val="0"/>
          <w:divBdr>
            <w:top w:val="none" w:sz="0" w:space="0" w:color="auto"/>
            <w:left w:val="none" w:sz="0" w:space="0" w:color="auto"/>
            <w:bottom w:val="none" w:sz="0" w:space="0" w:color="auto"/>
            <w:right w:val="none" w:sz="0" w:space="0" w:color="auto"/>
          </w:divBdr>
        </w:div>
        <w:div w:id="1226720560">
          <w:marLeft w:val="0"/>
          <w:marRight w:val="0"/>
          <w:marTop w:val="0"/>
          <w:marBottom w:val="0"/>
          <w:divBdr>
            <w:top w:val="none" w:sz="0" w:space="0" w:color="auto"/>
            <w:left w:val="none" w:sz="0" w:space="0" w:color="auto"/>
            <w:bottom w:val="none" w:sz="0" w:space="0" w:color="auto"/>
            <w:right w:val="none" w:sz="0" w:space="0" w:color="auto"/>
          </w:divBdr>
        </w:div>
        <w:div w:id="1286227939">
          <w:marLeft w:val="0"/>
          <w:marRight w:val="0"/>
          <w:marTop w:val="0"/>
          <w:marBottom w:val="0"/>
          <w:divBdr>
            <w:top w:val="none" w:sz="0" w:space="0" w:color="auto"/>
            <w:left w:val="none" w:sz="0" w:space="0" w:color="auto"/>
            <w:bottom w:val="none" w:sz="0" w:space="0" w:color="auto"/>
            <w:right w:val="none" w:sz="0" w:space="0" w:color="auto"/>
          </w:divBdr>
        </w:div>
      </w:divsChild>
    </w:div>
    <w:div w:id="1858078832">
      <w:bodyDiv w:val="1"/>
      <w:marLeft w:val="0"/>
      <w:marRight w:val="0"/>
      <w:marTop w:val="0"/>
      <w:marBottom w:val="0"/>
      <w:divBdr>
        <w:top w:val="none" w:sz="0" w:space="0" w:color="auto"/>
        <w:left w:val="none" w:sz="0" w:space="0" w:color="auto"/>
        <w:bottom w:val="none" w:sz="0" w:space="0" w:color="auto"/>
        <w:right w:val="none" w:sz="0" w:space="0" w:color="auto"/>
      </w:divBdr>
      <w:divsChild>
        <w:div w:id="2127581578">
          <w:marLeft w:val="0"/>
          <w:marRight w:val="0"/>
          <w:marTop w:val="0"/>
          <w:marBottom w:val="0"/>
          <w:divBdr>
            <w:top w:val="none" w:sz="0" w:space="0" w:color="auto"/>
            <w:left w:val="none" w:sz="0" w:space="0" w:color="auto"/>
            <w:bottom w:val="none" w:sz="0" w:space="0" w:color="auto"/>
            <w:right w:val="none" w:sz="0" w:space="0" w:color="auto"/>
          </w:divBdr>
        </w:div>
        <w:div w:id="1138567837">
          <w:marLeft w:val="0"/>
          <w:marRight w:val="0"/>
          <w:marTop w:val="0"/>
          <w:marBottom w:val="0"/>
          <w:divBdr>
            <w:top w:val="none" w:sz="0" w:space="0" w:color="auto"/>
            <w:left w:val="none" w:sz="0" w:space="0" w:color="auto"/>
            <w:bottom w:val="none" w:sz="0" w:space="0" w:color="auto"/>
            <w:right w:val="none" w:sz="0" w:space="0" w:color="auto"/>
          </w:divBdr>
        </w:div>
        <w:div w:id="1675916672">
          <w:marLeft w:val="0"/>
          <w:marRight w:val="0"/>
          <w:marTop w:val="0"/>
          <w:marBottom w:val="0"/>
          <w:divBdr>
            <w:top w:val="none" w:sz="0" w:space="0" w:color="auto"/>
            <w:left w:val="none" w:sz="0" w:space="0" w:color="auto"/>
            <w:bottom w:val="none" w:sz="0" w:space="0" w:color="auto"/>
            <w:right w:val="none" w:sz="0" w:space="0" w:color="auto"/>
          </w:divBdr>
        </w:div>
        <w:div w:id="1324821971">
          <w:marLeft w:val="0"/>
          <w:marRight w:val="0"/>
          <w:marTop w:val="0"/>
          <w:marBottom w:val="0"/>
          <w:divBdr>
            <w:top w:val="none" w:sz="0" w:space="0" w:color="auto"/>
            <w:left w:val="none" w:sz="0" w:space="0" w:color="auto"/>
            <w:bottom w:val="none" w:sz="0" w:space="0" w:color="auto"/>
            <w:right w:val="none" w:sz="0" w:space="0" w:color="auto"/>
          </w:divBdr>
        </w:div>
        <w:div w:id="424497481">
          <w:marLeft w:val="0"/>
          <w:marRight w:val="0"/>
          <w:marTop w:val="0"/>
          <w:marBottom w:val="0"/>
          <w:divBdr>
            <w:top w:val="none" w:sz="0" w:space="0" w:color="auto"/>
            <w:left w:val="none" w:sz="0" w:space="0" w:color="auto"/>
            <w:bottom w:val="none" w:sz="0" w:space="0" w:color="auto"/>
            <w:right w:val="none" w:sz="0" w:space="0" w:color="auto"/>
          </w:divBdr>
        </w:div>
        <w:div w:id="2013289657">
          <w:marLeft w:val="0"/>
          <w:marRight w:val="0"/>
          <w:marTop w:val="0"/>
          <w:marBottom w:val="0"/>
          <w:divBdr>
            <w:top w:val="none" w:sz="0" w:space="0" w:color="auto"/>
            <w:left w:val="none" w:sz="0" w:space="0" w:color="auto"/>
            <w:bottom w:val="none" w:sz="0" w:space="0" w:color="auto"/>
            <w:right w:val="none" w:sz="0" w:space="0" w:color="auto"/>
          </w:divBdr>
        </w:div>
        <w:div w:id="1147744735">
          <w:marLeft w:val="0"/>
          <w:marRight w:val="0"/>
          <w:marTop w:val="0"/>
          <w:marBottom w:val="0"/>
          <w:divBdr>
            <w:top w:val="none" w:sz="0" w:space="0" w:color="auto"/>
            <w:left w:val="none" w:sz="0" w:space="0" w:color="auto"/>
            <w:bottom w:val="none" w:sz="0" w:space="0" w:color="auto"/>
            <w:right w:val="none" w:sz="0" w:space="0" w:color="auto"/>
          </w:divBdr>
        </w:div>
        <w:div w:id="1483498870">
          <w:marLeft w:val="0"/>
          <w:marRight w:val="0"/>
          <w:marTop w:val="0"/>
          <w:marBottom w:val="0"/>
          <w:divBdr>
            <w:top w:val="none" w:sz="0" w:space="0" w:color="auto"/>
            <w:left w:val="none" w:sz="0" w:space="0" w:color="auto"/>
            <w:bottom w:val="none" w:sz="0" w:space="0" w:color="auto"/>
            <w:right w:val="none" w:sz="0" w:space="0" w:color="auto"/>
          </w:divBdr>
        </w:div>
        <w:div w:id="374627411">
          <w:marLeft w:val="0"/>
          <w:marRight w:val="0"/>
          <w:marTop w:val="0"/>
          <w:marBottom w:val="0"/>
          <w:divBdr>
            <w:top w:val="none" w:sz="0" w:space="0" w:color="auto"/>
            <w:left w:val="none" w:sz="0" w:space="0" w:color="auto"/>
            <w:bottom w:val="none" w:sz="0" w:space="0" w:color="auto"/>
            <w:right w:val="none" w:sz="0" w:space="0" w:color="auto"/>
          </w:divBdr>
        </w:div>
        <w:div w:id="1864710306">
          <w:marLeft w:val="0"/>
          <w:marRight w:val="0"/>
          <w:marTop w:val="0"/>
          <w:marBottom w:val="0"/>
          <w:divBdr>
            <w:top w:val="none" w:sz="0" w:space="0" w:color="auto"/>
            <w:left w:val="none" w:sz="0" w:space="0" w:color="auto"/>
            <w:bottom w:val="none" w:sz="0" w:space="0" w:color="auto"/>
            <w:right w:val="none" w:sz="0" w:space="0" w:color="auto"/>
          </w:divBdr>
        </w:div>
        <w:div w:id="810829120">
          <w:marLeft w:val="0"/>
          <w:marRight w:val="0"/>
          <w:marTop w:val="0"/>
          <w:marBottom w:val="0"/>
          <w:divBdr>
            <w:top w:val="none" w:sz="0" w:space="0" w:color="auto"/>
            <w:left w:val="none" w:sz="0" w:space="0" w:color="auto"/>
            <w:bottom w:val="none" w:sz="0" w:space="0" w:color="auto"/>
            <w:right w:val="none" w:sz="0" w:space="0" w:color="auto"/>
          </w:divBdr>
        </w:div>
        <w:div w:id="1400597480">
          <w:marLeft w:val="0"/>
          <w:marRight w:val="0"/>
          <w:marTop w:val="0"/>
          <w:marBottom w:val="0"/>
          <w:divBdr>
            <w:top w:val="none" w:sz="0" w:space="0" w:color="auto"/>
            <w:left w:val="none" w:sz="0" w:space="0" w:color="auto"/>
            <w:bottom w:val="none" w:sz="0" w:space="0" w:color="auto"/>
            <w:right w:val="none" w:sz="0" w:space="0" w:color="auto"/>
          </w:divBdr>
        </w:div>
        <w:div w:id="1449860224">
          <w:marLeft w:val="0"/>
          <w:marRight w:val="0"/>
          <w:marTop w:val="0"/>
          <w:marBottom w:val="0"/>
          <w:divBdr>
            <w:top w:val="none" w:sz="0" w:space="0" w:color="auto"/>
            <w:left w:val="none" w:sz="0" w:space="0" w:color="auto"/>
            <w:bottom w:val="none" w:sz="0" w:space="0" w:color="auto"/>
            <w:right w:val="none" w:sz="0" w:space="0" w:color="auto"/>
          </w:divBdr>
        </w:div>
        <w:div w:id="1966040226">
          <w:marLeft w:val="0"/>
          <w:marRight w:val="0"/>
          <w:marTop w:val="0"/>
          <w:marBottom w:val="0"/>
          <w:divBdr>
            <w:top w:val="none" w:sz="0" w:space="0" w:color="auto"/>
            <w:left w:val="none" w:sz="0" w:space="0" w:color="auto"/>
            <w:bottom w:val="none" w:sz="0" w:space="0" w:color="auto"/>
            <w:right w:val="none" w:sz="0" w:space="0" w:color="auto"/>
          </w:divBdr>
        </w:div>
        <w:div w:id="1363827876">
          <w:marLeft w:val="0"/>
          <w:marRight w:val="0"/>
          <w:marTop w:val="0"/>
          <w:marBottom w:val="0"/>
          <w:divBdr>
            <w:top w:val="none" w:sz="0" w:space="0" w:color="auto"/>
            <w:left w:val="none" w:sz="0" w:space="0" w:color="auto"/>
            <w:bottom w:val="none" w:sz="0" w:space="0" w:color="auto"/>
            <w:right w:val="none" w:sz="0" w:space="0" w:color="auto"/>
          </w:divBdr>
        </w:div>
        <w:div w:id="532617385">
          <w:marLeft w:val="0"/>
          <w:marRight w:val="0"/>
          <w:marTop w:val="0"/>
          <w:marBottom w:val="0"/>
          <w:divBdr>
            <w:top w:val="none" w:sz="0" w:space="0" w:color="auto"/>
            <w:left w:val="none" w:sz="0" w:space="0" w:color="auto"/>
            <w:bottom w:val="none" w:sz="0" w:space="0" w:color="auto"/>
            <w:right w:val="none" w:sz="0" w:space="0" w:color="auto"/>
          </w:divBdr>
        </w:div>
        <w:div w:id="216555221">
          <w:marLeft w:val="0"/>
          <w:marRight w:val="0"/>
          <w:marTop w:val="0"/>
          <w:marBottom w:val="0"/>
          <w:divBdr>
            <w:top w:val="none" w:sz="0" w:space="0" w:color="auto"/>
            <w:left w:val="none" w:sz="0" w:space="0" w:color="auto"/>
            <w:bottom w:val="none" w:sz="0" w:space="0" w:color="auto"/>
            <w:right w:val="none" w:sz="0" w:space="0" w:color="auto"/>
          </w:divBdr>
        </w:div>
        <w:div w:id="953287112">
          <w:marLeft w:val="0"/>
          <w:marRight w:val="0"/>
          <w:marTop w:val="0"/>
          <w:marBottom w:val="0"/>
          <w:divBdr>
            <w:top w:val="none" w:sz="0" w:space="0" w:color="auto"/>
            <w:left w:val="none" w:sz="0" w:space="0" w:color="auto"/>
            <w:bottom w:val="none" w:sz="0" w:space="0" w:color="auto"/>
            <w:right w:val="none" w:sz="0" w:space="0" w:color="auto"/>
          </w:divBdr>
        </w:div>
        <w:div w:id="1405685490">
          <w:marLeft w:val="0"/>
          <w:marRight w:val="0"/>
          <w:marTop w:val="0"/>
          <w:marBottom w:val="0"/>
          <w:divBdr>
            <w:top w:val="none" w:sz="0" w:space="0" w:color="auto"/>
            <w:left w:val="none" w:sz="0" w:space="0" w:color="auto"/>
            <w:bottom w:val="none" w:sz="0" w:space="0" w:color="auto"/>
            <w:right w:val="none" w:sz="0" w:space="0" w:color="auto"/>
          </w:divBdr>
        </w:div>
        <w:div w:id="2006202473">
          <w:marLeft w:val="0"/>
          <w:marRight w:val="0"/>
          <w:marTop w:val="0"/>
          <w:marBottom w:val="0"/>
          <w:divBdr>
            <w:top w:val="none" w:sz="0" w:space="0" w:color="auto"/>
            <w:left w:val="none" w:sz="0" w:space="0" w:color="auto"/>
            <w:bottom w:val="none" w:sz="0" w:space="0" w:color="auto"/>
            <w:right w:val="none" w:sz="0" w:space="0" w:color="auto"/>
          </w:divBdr>
        </w:div>
        <w:div w:id="908080292">
          <w:marLeft w:val="0"/>
          <w:marRight w:val="0"/>
          <w:marTop w:val="0"/>
          <w:marBottom w:val="0"/>
          <w:divBdr>
            <w:top w:val="none" w:sz="0" w:space="0" w:color="auto"/>
            <w:left w:val="none" w:sz="0" w:space="0" w:color="auto"/>
            <w:bottom w:val="none" w:sz="0" w:space="0" w:color="auto"/>
            <w:right w:val="none" w:sz="0" w:space="0" w:color="auto"/>
          </w:divBdr>
        </w:div>
        <w:div w:id="176889644">
          <w:marLeft w:val="0"/>
          <w:marRight w:val="0"/>
          <w:marTop w:val="0"/>
          <w:marBottom w:val="0"/>
          <w:divBdr>
            <w:top w:val="none" w:sz="0" w:space="0" w:color="auto"/>
            <w:left w:val="none" w:sz="0" w:space="0" w:color="auto"/>
            <w:bottom w:val="none" w:sz="0" w:space="0" w:color="auto"/>
            <w:right w:val="none" w:sz="0" w:space="0" w:color="auto"/>
          </w:divBdr>
        </w:div>
      </w:divsChild>
    </w:div>
    <w:div w:id="1868447651">
      <w:bodyDiv w:val="1"/>
      <w:marLeft w:val="0"/>
      <w:marRight w:val="0"/>
      <w:marTop w:val="0"/>
      <w:marBottom w:val="0"/>
      <w:divBdr>
        <w:top w:val="none" w:sz="0" w:space="0" w:color="auto"/>
        <w:left w:val="none" w:sz="0" w:space="0" w:color="auto"/>
        <w:bottom w:val="none" w:sz="0" w:space="0" w:color="auto"/>
        <w:right w:val="none" w:sz="0" w:space="0" w:color="auto"/>
      </w:divBdr>
      <w:divsChild>
        <w:div w:id="1127511203">
          <w:marLeft w:val="0"/>
          <w:marRight w:val="0"/>
          <w:marTop w:val="0"/>
          <w:marBottom w:val="0"/>
          <w:divBdr>
            <w:top w:val="none" w:sz="0" w:space="0" w:color="auto"/>
            <w:left w:val="none" w:sz="0" w:space="0" w:color="auto"/>
            <w:bottom w:val="none" w:sz="0" w:space="0" w:color="auto"/>
            <w:right w:val="none" w:sz="0" w:space="0" w:color="auto"/>
          </w:divBdr>
        </w:div>
        <w:div w:id="1124427154">
          <w:marLeft w:val="0"/>
          <w:marRight w:val="0"/>
          <w:marTop w:val="0"/>
          <w:marBottom w:val="0"/>
          <w:divBdr>
            <w:top w:val="none" w:sz="0" w:space="0" w:color="auto"/>
            <w:left w:val="none" w:sz="0" w:space="0" w:color="auto"/>
            <w:bottom w:val="none" w:sz="0" w:space="0" w:color="auto"/>
            <w:right w:val="none" w:sz="0" w:space="0" w:color="auto"/>
          </w:divBdr>
        </w:div>
        <w:div w:id="749737948">
          <w:marLeft w:val="0"/>
          <w:marRight w:val="0"/>
          <w:marTop w:val="0"/>
          <w:marBottom w:val="0"/>
          <w:divBdr>
            <w:top w:val="none" w:sz="0" w:space="0" w:color="auto"/>
            <w:left w:val="none" w:sz="0" w:space="0" w:color="auto"/>
            <w:bottom w:val="none" w:sz="0" w:space="0" w:color="auto"/>
            <w:right w:val="none" w:sz="0" w:space="0" w:color="auto"/>
          </w:divBdr>
        </w:div>
      </w:divsChild>
    </w:div>
    <w:div w:id="1877809208">
      <w:bodyDiv w:val="1"/>
      <w:marLeft w:val="0"/>
      <w:marRight w:val="0"/>
      <w:marTop w:val="0"/>
      <w:marBottom w:val="0"/>
      <w:divBdr>
        <w:top w:val="none" w:sz="0" w:space="0" w:color="auto"/>
        <w:left w:val="none" w:sz="0" w:space="0" w:color="auto"/>
        <w:bottom w:val="none" w:sz="0" w:space="0" w:color="auto"/>
        <w:right w:val="none" w:sz="0" w:space="0" w:color="auto"/>
      </w:divBdr>
    </w:div>
    <w:div w:id="1884948172">
      <w:bodyDiv w:val="1"/>
      <w:marLeft w:val="0"/>
      <w:marRight w:val="0"/>
      <w:marTop w:val="0"/>
      <w:marBottom w:val="0"/>
      <w:divBdr>
        <w:top w:val="none" w:sz="0" w:space="0" w:color="auto"/>
        <w:left w:val="none" w:sz="0" w:space="0" w:color="auto"/>
        <w:bottom w:val="none" w:sz="0" w:space="0" w:color="auto"/>
        <w:right w:val="none" w:sz="0" w:space="0" w:color="auto"/>
      </w:divBdr>
      <w:divsChild>
        <w:div w:id="30812345">
          <w:marLeft w:val="0"/>
          <w:marRight w:val="0"/>
          <w:marTop w:val="0"/>
          <w:marBottom w:val="0"/>
          <w:divBdr>
            <w:top w:val="none" w:sz="0" w:space="0" w:color="auto"/>
            <w:left w:val="none" w:sz="0" w:space="0" w:color="auto"/>
            <w:bottom w:val="none" w:sz="0" w:space="0" w:color="auto"/>
            <w:right w:val="none" w:sz="0" w:space="0" w:color="auto"/>
          </w:divBdr>
        </w:div>
        <w:div w:id="1460026017">
          <w:marLeft w:val="0"/>
          <w:marRight w:val="0"/>
          <w:marTop w:val="0"/>
          <w:marBottom w:val="0"/>
          <w:divBdr>
            <w:top w:val="none" w:sz="0" w:space="0" w:color="auto"/>
            <w:left w:val="none" w:sz="0" w:space="0" w:color="auto"/>
            <w:bottom w:val="none" w:sz="0" w:space="0" w:color="auto"/>
            <w:right w:val="none" w:sz="0" w:space="0" w:color="auto"/>
          </w:divBdr>
        </w:div>
        <w:div w:id="1087731188">
          <w:marLeft w:val="0"/>
          <w:marRight w:val="0"/>
          <w:marTop w:val="0"/>
          <w:marBottom w:val="0"/>
          <w:divBdr>
            <w:top w:val="none" w:sz="0" w:space="0" w:color="auto"/>
            <w:left w:val="none" w:sz="0" w:space="0" w:color="auto"/>
            <w:bottom w:val="none" w:sz="0" w:space="0" w:color="auto"/>
            <w:right w:val="none" w:sz="0" w:space="0" w:color="auto"/>
          </w:divBdr>
        </w:div>
        <w:div w:id="1079594726">
          <w:marLeft w:val="0"/>
          <w:marRight w:val="0"/>
          <w:marTop w:val="0"/>
          <w:marBottom w:val="0"/>
          <w:divBdr>
            <w:top w:val="none" w:sz="0" w:space="0" w:color="auto"/>
            <w:left w:val="none" w:sz="0" w:space="0" w:color="auto"/>
            <w:bottom w:val="none" w:sz="0" w:space="0" w:color="auto"/>
            <w:right w:val="none" w:sz="0" w:space="0" w:color="auto"/>
          </w:divBdr>
        </w:div>
      </w:divsChild>
    </w:div>
    <w:div w:id="1914702721">
      <w:bodyDiv w:val="1"/>
      <w:marLeft w:val="0"/>
      <w:marRight w:val="0"/>
      <w:marTop w:val="0"/>
      <w:marBottom w:val="0"/>
      <w:divBdr>
        <w:top w:val="none" w:sz="0" w:space="0" w:color="auto"/>
        <w:left w:val="none" w:sz="0" w:space="0" w:color="auto"/>
        <w:bottom w:val="none" w:sz="0" w:space="0" w:color="auto"/>
        <w:right w:val="none" w:sz="0" w:space="0" w:color="auto"/>
      </w:divBdr>
      <w:divsChild>
        <w:div w:id="1703241428">
          <w:marLeft w:val="0"/>
          <w:marRight w:val="0"/>
          <w:marTop w:val="0"/>
          <w:marBottom w:val="0"/>
          <w:divBdr>
            <w:top w:val="none" w:sz="0" w:space="0" w:color="auto"/>
            <w:left w:val="none" w:sz="0" w:space="0" w:color="auto"/>
            <w:bottom w:val="none" w:sz="0" w:space="0" w:color="auto"/>
            <w:right w:val="none" w:sz="0" w:space="0" w:color="auto"/>
          </w:divBdr>
        </w:div>
        <w:div w:id="1866403860">
          <w:marLeft w:val="0"/>
          <w:marRight w:val="0"/>
          <w:marTop w:val="0"/>
          <w:marBottom w:val="0"/>
          <w:divBdr>
            <w:top w:val="none" w:sz="0" w:space="0" w:color="auto"/>
            <w:left w:val="none" w:sz="0" w:space="0" w:color="auto"/>
            <w:bottom w:val="none" w:sz="0" w:space="0" w:color="auto"/>
            <w:right w:val="none" w:sz="0" w:space="0" w:color="auto"/>
          </w:divBdr>
        </w:div>
        <w:div w:id="1639728803">
          <w:marLeft w:val="0"/>
          <w:marRight w:val="0"/>
          <w:marTop w:val="0"/>
          <w:marBottom w:val="0"/>
          <w:divBdr>
            <w:top w:val="none" w:sz="0" w:space="0" w:color="auto"/>
            <w:left w:val="none" w:sz="0" w:space="0" w:color="auto"/>
            <w:bottom w:val="none" w:sz="0" w:space="0" w:color="auto"/>
            <w:right w:val="none" w:sz="0" w:space="0" w:color="auto"/>
          </w:divBdr>
        </w:div>
      </w:divsChild>
    </w:div>
    <w:div w:id="1943415229">
      <w:bodyDiv w:val="1"/>
      <w:marLeft w:val="0"/>
      <w:marRight w:val="0"/>
      <w:marTop w:val="0"/>
      <w:marBottom w:val="0"/>
      <w:divBdr>
        <w:top w:val="none" w:sz="0" w:space="0" w:color="auto"/>
        <w:left w:val="none" w:sz="0" w:space="0" w:color="auto"/>
        <w:bottom w:val="none" w:sz="0" w:space="0" w:color="auto"/>
        <w:right w:val="none" w:sz="0" w:space="0" w:color="auto"/>
      </w:divBdr>
    </w:div>
    <w:div w:id="1949653027">
      <w:bodyDiv w:val="1"/>
      <w:marLeft w:val="0"/>
      <w:marRight w:val="0"/>
      <w:marTop w:val="0"/>
      <w:marBottom w:val="0"/>
      <w:divBdr>
        <w:top w:val="none" w:sz="0" w:space="0" w:color="auto"/>
        <w:left w:val="none" w:sz="0" w:space="0" w:color="auto"/>
        <w:bottom w:val="none" w:sz="0" w:space="0" w:color="auto"/>
        <w:right w:val="none" w:sz="0" w:space="0" w:color="auto"/>
      </w:divBdr>
      <w:divsChild>
        <w:div w:id="2094163517">
          <w:marLeft w:val="0"/>
          <w:marRight w:val="0"/>
          <w:marTop w:val="0"/>
          <w:marBottom w:val="0"/>
          <w:divBdr>
            <w:top w:val="none" w:sz="0" w:space="0" w:color="auto"/>
            <w:left w:val="none" w:sz="0" w:space="0" w:color="auto"/>
            <w:bottom w:val="none" w:sz="0" w:space="0" w:color="auto"/>
            <w:right w:val="none" w:sz="0" w:space="0" w:color="auto"/>
          </w:divBdr>
        </w:div>
        <w:div w:id="1558007628">
          <w:marLeft w:val="0"/>
          <w:marRight w:val="0"/>
          <w:marTop w:val="0"/>
          <w:marBottom w:val="0"/>
          <w:divBdr>
            <w:top w:val="none" w:sz="0" w:space="0" w:color="auto"/>
            <w:left w:val="none" w:sz="0" w:space="0" w:color="auto"/>
            <w:bottom w:val="none" w:sz="0" w:space="0" w:color="auto"/>
            <w:right w:val="none" w:sz="0" w:space="0" w:color="auto"/>
          </w:divBdr>
        </w:div>
        <w:div w:id="937251757">
          <w:marLeft w:val="0"/>
          <w:marRight w:val="0"/>
          <w:marTop w:val="0"/>
          <w:marBottom w:val="0"/>
          <w:divBdr>
            <w:top w:val="none" w:sz="0" w:space="0" w:color="auto"/>
            <w:left w:val="none" w:sz="0" w:space="0" w:color="auto"/>
            <w:bottom w:val="none" w:sz="0" w:space="0" w:color="auto"/>
            <w:right w:val="none" w:sz="0" w:space="0" w:color="auto"/>
          </w:divBdr>
        </w:div>
        <w:div w:id="1155101721">
          <w:marLeft w:val="0"/>
          <w:marRight w:val="0"/>
          <w:marTop w:val="0"/>
          <w:marBottom w:val="0"/>
          <w:divBdr>
            <w:top w:val="none" w:sz="0" w:space="0" w:color="auto"/>
            <w:left w:val="none" w:sz="0" w:space="0" w:color="auto"/>
            <w:bottom w:val="none" w:sz="0" w:space="0" w:color="auto"/>
            <w:right w:val="none" w:sz="0" w:space="0" w:color="auto"/>
          </w:divBdr>
        </w:div>
        <w:div w:id="480774753">
          <w:marLeft w:val="0"/>
          <w:marRight w:val="0"/>
          <w:marTop w:val="0"/>
          <w:marBottom w:val="0"/>
          <w:divBdr>
            <w:top w:val="none" w:sz="0" w:space="0" w:color="auto"/>
            <w:left w:val="none" w:sz="0" w:space="0" w:color="auto"/>
            <w:bottom w:val="none" w:sz="0" w:space="0" w:color="auto"/>
            <w:right w:val="none" w:sz="0" w:space="0" w:color="auto"/>
          </w:divBdr>
        </w:div>
        <w:div w:id="814104768">
          <w:marLeft w:val="0"/>
          <w:marRight w:val="0"/>
          <w:marTop w:val="0"/>
          <w:marBottom w:val="0"/>
          <w:divBdr>
            <w:top w:val="none" w:sz="0" w:space="0" w:color="auto"/>
            <w:left w:val="none" w:sz="0" w:space="0" w:color="auto"/>
            <w:bottom w:val="none" w:sz="0" w:space="0" w:color="auto"/>
            <w:right w:val="none" w:sz="0" w:space="0" w:color="auto"/>
          </w:divBdr>
        </w:div>
        <w:div w:id="710030366">
          <w:marLeft w:val="0"/>
          <w:marRight w:val="0"/>
          <w:marTop w:val="0"/>
          <w:marBottom w:val="0"/>
          <w:divBdr>
            <w:top w:val="none" w:sz="0" w:space="0" w:color="auto"/>
            <w:left w:val="none" w:sz="0" w:space="0" w:color="auto"/>
            <w:bottom w:val="none" w:sz="0" w:space="0" w:color="auto"/>
            <w:right w:val="none" w:sz="0" w:space="0" w:color="auto"/>
          </w:divBdr>
        </w:div>
        <w:div w:id="216480910">
          <w:marLeft w:val="0"/>
          <w:marRight w:val="0"/>
          <w:marTop w:val="0"/>
          <w:marBottom w:val="0"/>
          <w:divBdr>
            <w:top w:val="none" w:sz="0" w:space="0" w:color="auto"/>
            <w:left w:val="none" w:sz="0" w:space="0" w:color="auto"/>
            <w:bottom w:val="none" w:sz="0" w:space="0" w:color="auto"/>
            <w:right w:val="none" w:sz="0" w:space="0" w:color="auto"/>
          </w:divBdr>
        </w:div>
        <w:div w:id="844707480">
          <w:marLeft w:val="0"/>
          <w:marRight w:val="0"/>
          <w:marTop w:val="0"/>
          <w:marBottom w:val="0"/>
          <w:divBdr>
            <w:top w:val="none" w:sz="0" w:space="0" w:color="auto"/>
            <w:left w:val="none" w:sz="0" w:space="0" w:color="auto"/>
            <w:bottom w:val="none" w:sz="0" w:space="0" w:color="auto"/>
            <w:right w:val="none" w:sz="0" w:space="0" w:color="auto"/>
          </w:divBdr>
        </w:div>
        <w:div w:id="2034846005">
          <w:marLeft w:val="0"/>
          <w:marRight w:val="0"/>
          <w:marTop w:val="0"/>
          <w:marBottom w:val="0"/>
          <w:divBdr>
            <w:top w:val="none" w:sz="0" w:space="0" w:color="auto"/>
            <w:left w:val="none" w:sz="0" w:space="0" w:color="auto"/>
            <w:bottom w:val="none" w:sz="0" w:space="0" w:color="auto"/>
            <w:right w:val="none" w:sz="0" w:space="0" w:color="auto"/>
          </w:divBdr>
        </w:div>
        <w:div w:id="483015420">
          <w:marLeft w:val="0"/>
          <w:marRight w:val="0"/>
          <w:marTop w:val="0"/>
          <w:marBottom w:val="0"/>
          <w:divBdr>
            <w:top w:val="none" w:sz="0" w:space="0" w:color="auto"/>
            <w:left w:val="none" w:sz="0" w:space="0" w:color="auto"/>
            <w:bottom w:val="none" w:sz="0" w:space="0" w:color="auto"/>
            <w:right w:val="none" w:sz="0" w:space="0" w:color="auto"/>
          </w:divBdr>
        </w:div>
        <w:div w:id="1626623751">
          <w:marLeft w:val="0"/>
          <w:marRight w:val="0"/>
          <w:marTop w:val="0"/>
          <w:marBottom w:val="0"/>
          <w:divBdr>
            <w:top w:val="none" w:sz="0" w:space="0" w:color="auto"/>
            <w:left w:val="none" w:sz="0" w:space="0" w:color="auto"/>
            <w:bottom w:val="none" w:sz="0" w:space="0" w:color="auto"/>
            <w:right w:val="none" w:sz="0" w:space="0" w:color="auto"/>
          </w:divBdr>
        </w:div>
        <w:div w:id="1805998814">
          <w:marLeft w:val="0"/>
          <w:marRight w:val="0"/>
          <w:marTop w:val="0"/>
          <w:marBottom w:val="0"/>
          <w:divBdr>
            <w:top w:val="none" w:sz="0" w:space="0" w:color="auto"/>
            <w:left w:val="none" w:sz="0" w:space="0" w:color="auto"/>
            <w:bottom w:val="none" w:sz="0" w:space="0" w:color="auto"/>
            <w:right w:val="none" w:sz="0" w:space="0" w:color="auto"/>
          </w:divBdr>
        </w:div>
        <w:div w:id="228923928">
          <w:marLeft w:val="0"/>
          <w:marRight w:val="0"/>
          <w:marTop w:val="0"/>
          <w:marBottom w:val="0"/>
          <w:divBdr>
            <w:top w:val="none" w:sz="0" w:space="0" w:color="auto"/>
            <w:left w:val="none" w:sz="0" w:space="0" w:color="auto"/>
            <w:bottom w:val="none" w:sz="0" w:space="0" w:color="auto"/>
            <w:right w:val="none" w:sz="0" w:space="0" w:color="auto"/>
          </w:divBdr>
        </w:div>
        <w:div w:id="731192149">
          <w:marLeft w:val="0"/>
          <w:marRight w:val="0"/>
          <w:marTop w:val="0"/>
          <w:marBottom w:val="0"/>
          <w:divBdr>
            <w:top w:val="none" w:sz="0" w:space="0" w:color="auto"/>
            <w:left w:val="none" w:sz="0" w:space="0" w:color="auto"/>
            <w:bottom w:val="none" w:sz="0" w:space="0" w:color="auto"/>
            <w:right w:val="none" w:sz="0" w:space="0" w:color="auto"/>
          </w:divBdr>
        </w:div>
        <w:div w:id="646712651">
          <w:marLeft w:val="0"/>
          <w:marRight w:val="0"/>
          <w:marTop w:val="0"/>
          <w:marBottom w:val="0"/>
          <w:divBdr>
            <w:top w:val="none" w:sz="0" w:space="0" w:color="auto"/>
            <w:left w:val="none" w:sz="0" w:space="0" w:color="auto"/>
            <w:bottom w:val="none" w:sz="0" w:space="0" w:color="auto"/>
            <w:right w:val="none" w:sz="0" w:space="0" w:color="auto"/>
          </w:divBdr>
        </w:div>
        <w:div w:id="224948791">
          <w:marLeft w:val="0"/>
          <w:marRight w:val="0"/>
          <w:marTop w:val="0"/>
          <w:marBottom w:val="0"/>
          <w:divBdr>
            <w:top w:val="none" w:sz="0" w:space="0" w:color="auto"/>
            <w:left w:val="none" w:sz="0" w:space="0" w:color="auto"/>
            <w:bottom w:val="none" w:sz="0" w:space="0" w:color="auto"/>
            <w:right w:val="none" w:sz="0" w:space="0" w:color="auto"/>
          </w:divBdr>
        </w:div>
        <w:div w:id="1174147311">
          <w:marLeft w:val="0"/>
          <w:marRight w:val="0"/>
          <w:marTop w:val="0"/>
          <w:marBottom w:val="0"/>
          <w:divBdr>
            <w:top w:val="none" w:sz="0" w:space="0" w:color="auto"/>
            <w:left w:val="none" w:sz="0" w:space="0" w:color="auto"/>
            <w:bottom w:val="none" w:sz="0" w:space="0" w:color="auto"/>
            <w:right w:val="none" w:sz="0" w:space="0" w:color="auto"/>
          </w:divBdr>
        </w:div>
        <w:div w:id="850611475">
          <w:marLeft w:val="0"/>
          <w:marRight w:val="0"/>
          <w:marTop w:val="0"/>
          <w:marBottom w:val="0"/>
          <w:divBdr>
            <w:top w:val="none" w:sz="0" w:space="0" w:color="auto"/>
            <w:left w:val="none" w:sz="0" w:space="0" w:color="auto"/>
            <w:bottom w:val="none" w:sz="0" w:space="0" w:color="auto"/>
            <w:right w:val="none" w:sz="0" w:space="0" w:color="auto"/>
          </w:divBdr>
        </w:div>
        <w:div w:id="1967198153">
          <w:marLeft w:val="0"/>
          <w:marRight w:val="0"/>
          <w:marTop w:val="0"/>
          <w:marBottom w:val="0"/>
          <w:divBdr>
            <w:top w:val="none" w:sz="0" w:space="0" w:color="auto"/>
            <w:left w:val="none" w:sz="0" w:space="0" w:color="auto"/>
            <w:bottom w:val="none" w:sz="0" w:space="0" w:color="auto"/>
            <w:right w:val="none" w:sz="0" w:space="0" w:color="auto"/>
          </w:divBdr>
        </w:div>
        <w:div w:id="635720821">
          <w:marLeft w:val="0"/>
          <w:marRight w:val="0"/>
          <w:marTop w:val="0"/>
          <w:marBottom w:val="0"/>
          <w:divBdr>
            <w:top w:val="none" w:sz="0" w:space="0" w:color="auto"/>
            <w:left w:val="none" w:sz="0" w:space="0" w:color="auto"/>
            <w:bottom w:val="none" w:sz="0" w:space="0" w:color="auto"/>
            <w:right w:val="none" w:sz="0" w:space="0" w:color="auto"/>
          </w:divBdr>
        </w:div>
        <w:div w:id="445777037">
          <w:marLeft w:val="0"/>
          <w:marRight w:val="0"/>
          <w:marTop w:val="0"/>
          <w:marBottom w:val="0"/>
          <w:divBdr>
            <w:top w:val="none" w:sz="0" w:space="0" w:color="auto"/>
            <w:left w:val="none" w:sz="0" w:space="0" w:color="auto"/>
            <w:bottom w:val="none" w:sz="0" w:space="0" w:color="auto"/>
            <w:right w:val="none" w:sz="0" w:space="0" w:color="auto"/>
          </w:divBdr>
        </w:div>
        <w:div w:id="527253021">
          <w:marLeft w:val="0"/>
          <w:marRight w:val="0"/>
          <w:marTop w:val="0"/>
          <w:marBottom w:val="0"/>
          <w:divBdr>
            <w:top w:val="none" w:sz="0" w:space="0" w:color="auto"/>
            <w:left w:val="none" w:sz="0" w:space="0" w:color="auto"/>
            <w:bottom w:val="none" w:sz="0" w:space="0" w:color="auto"/>
            <w:right w:val="none" w:sz="0" w:space="0" w:color="auto"/>
          </w:divBdr>
        </w:div>
      </w:divsChild>
    </w:div>
    <w:div w:id="1965233268">
      <w:bodyDiv w:val="1"/>
      <w:marLeft w:val="0"/>
      <w:marRight w:val="0"/>
      <w:marTop w:val="0"/>
      <w:marBottom w:val="0"/>
      <w:divBdr>
        <w:top w:val="none" w:sz="0" w:space="0" w:color="auto"/>
        <w:left w:val="none" w:sz="0" w:space="0" w:color="auto"/>
        <w:bottom w:val="none" w:sz="0" w:space="0" w:color="auto"/>
        <w:right w:val="none" w:sz="0" w:space="0" w:color="auto"/>
      </w:divBdr>
      <w:divsChild>
        <w:div w:id="2013872787">
          <w:marLeft w:val="0"/>
          <w:marRight w:val="0"/>
          <w:marTop w:val="0"/>
          <w:marBottom w:val="0"/>
          <w:divBdr>
            <w:top w:val="none" w:sz="0" w:space="0" w:color="auto"/>
            <w:left w:val="none" w:sz="0" w:space="0" w:color="auto"/>
            <w:bottom w:val="none" w:sz="0" w:space="0" w:color="auto"/>
            <w:right w:val="none" w:sz="0" w:space="0" w:color="auto"/>
          </w:divBdr>
        </w:div>
        <w:div w:id="471404770">
          <w:marLeft w:val="0"/>
          <w:marRight w:val="0"/>
          <w:marTop w:val="0"/>
          <w:marBottom w:val="0"/>
          <w:divBdr>
            <w:top w:val="none" w:sz="0" w:space="0" w:color="auto"/>
            <w:left w:val="none" w:sz="0" w:space="0" w:color="auto"/>
            <w:bottom w:val="none" w:sz="0" w:space="0" w:color="auto"/>
            <w:right w:val="none" w:sz="0" w:space="0" w:color="auto"/>
          </w:divBdr>
        </w:div>
        <w:div w:id="1030841843">
          <w:marLeft w:val="0"/>
          <w:marRight w:val="0"/>
          <w:marTop w:val="0"/>
          <w:marBottom w:val="0"/>
          <w:divBdr>
            <w:top w:val="none" w:sz="0" w:space="0" w:color="auto"/>
            <w:left w:val="none" w:sz="0" w:space="0" w:color="auto"/>
            <w:bottom w:val="none" w:sz="0" w:space="0" w:color="auto"/>
            <w:right w:val="none" w:sz="0" w:space="0" w:color="auto"/>
          </w:divBdr>
        </w:div>
        <w:div w:id="981693878">
          <w:marLeft w:val="0"/>
          <w:marRight w:val="0"/>
          <w:marTop w:val="0"/>
          <w:marBottom w:val="0"/>
          <w:divBdr>
            <w:top w:val="none" w:sz="0" w:space="0" w:color="auto"/>
            <w:left w:val="none" w:sz="0" w:space="0" w:color="auto"/>
            <w:bottom w:val="none" w:sz="0" w:space="0" w:color="auto"/>
            <w:right w:val="none" w:sz="0" w:space="0" w:color="auto"/>
          </w:divBdr>
        </w:div>
        <w:div w:id="1849055791">
          <w:marLeft w:val="0"/>
          <w:marRight w:val="0"/>
          <w:marTop w:val="0"/>
          <w:marBottom w:val="0"/>
          <w:divBdr>
            <w:top w:val="none" w:sz="0" w:space="0" w:color="auto"/>
            <w:left w:val="none" w:sz="0" w:space="0" w:color="auto"/>
            <w:bottom w:val="none" w:sz="0" w:space="0" w:color="auto"/>
            <w:right w:val="none" w:sz="0" w:space="0" w:color="auto"/>
          </w:divBdr>
        </w:div>
        <w:div w:id="1408845223">
          <w:marLeft w:val="0"/>
          <w:marRight w:val="0"/>
          <w:marTop w:val="0"/>
          <w:marBottom w:val="0"/>
          <w:divBdr>
            <w:top w:val="none" w:sz="0" w:space="0" w:color="auto"/>
            <w:left w:val="none" w:sz="0" w:space="0" w:color="auto"/>
            <w:bottom w:val="none" w:sz="0" w:space="0" w:color="auto"/>
            <w:right w:val="none" w:sz="0" w:space="0" w:color="auto"/>
          </w:divBdr>
        </w:div>
        <w:div w:id="718865368">
          <w:marLeft w:val="0"/>
          <w:marRight w:val="0"/>
          <w:marTop w:val="0"/>
          <w:marBottom w:val="0"/>
          <w:divBdr>
            <w:top w:val="none" w:sz="0" w:space="0" w:color="auto"/>
            <w:left w:val="none" w:sz="0" w:space="0" w:color="auto"/>
            <w:bottom w:val="none" w:sz="0" w:space="0" w:color="auto"/>
            <w:right w:val="none" w:sz="0" w:space="0" w:color="auto"/>
          </w:divBdr>
        </w:div>
        <w:div w:id="2080596321">
          <w:marLeft w:val="0"/>
          <w:marRight w:val="0"/>
          <w:marTop w:val="0"/>
          <w:marBottom w:val="0"/>
          <w:divBdr>
            <w:top w:val="none" w:sz="0" w:space="0" w:color="auto"/>
            <w:left w:val="none" w:sz="0" w:space="0" w:color="auto"/>
            <w:bottom w:val="none" w:sz="0" w:space="0" w:color="auto"/>
            <w:right w:val="none" w:sz="0" w:space="0" w:color="auto"/>
          </w:divBdr>
        </w:div>
        <w:div w:id="1717927142">
          <w:marLeft w:val="0"/>
          <w:marRight w:val="0"/>
          <w:marTop w:val="0"/>
          <w:marBottom w:val="0"/>
          <w:divBdr>
            <w:top w:val="none" w:sz="0" w:space="0" w:color="auto"/>
            <w:left w:val="none" w:sz="0" w:space="0" w:color="auto"/>
            <w:bottom w:val="none" w:sz="0" w:space="0" w:color="auto"/>
            <w:right w:val="none" w:sz="0" w:space="0" w:color="auto"/>
          </w:divBdr>
        </w:div>
        <w:div w:id="851601179">
          <w:marLeft w:val="0"/>
          <w:marRight w:val="0"/>
          <w:marTop w:val="0"/>
          <w:marBottom w:val="0"/>
          <w:divBdr>
            <w:top w:val="none" w:sz="0" w:space="0" w:color="auto"/>
            <w:left w:val="none" w:sz="0" w:space="0" w:color="auto"/>
            <w:bottom w:val="none" w:sz="0" w:space="0" w:color="auto"/>
            <w:right w:val="none" w:sz="0" w:space="0" w:color="auto"/>
          </w:divBdr>
        </w:div>
        <w:div w:id="462046362">
          <w:marLeft w:val="0"/>
          <w:marRight w:val="0"/>
          <w:marTop w:val="0"/>
          <w:marBottom w:val="0"/>
          <w:divBdr>
            <w:top w:val="none" w:sz="0" w:space="0" w:color="auto"/>
            <w:left w:val="none" w:sz="0" w:space="0" w:color="auto"/>
            <w:bottom w:val="none" w:sz="0" w:space="0" w:color="auto"/>
            <w:right w:val="none" w:sz="0" w:space="0" w:color="auto"/>
          </w:divBdr>
        </w:div>
      </w:divsChild>
    </w:div>
    <w:div w:id="1970553607">
      <w:bodyDiv w:val="1"/>
      <w:marLeft w:val="0"/>
      <w:marRight w:val="0"/>
      <w:marTop w:val="0"/>
      <w:marBottom w:val="0"/>
      <w:divBdr>
        <w:top w:val="none" w:sz="0" w:space="0" w:color="auto"/>
        <w:left w:val="none" w:sz="0" w:space="0" w:color="auto"/>
        <w:bottom w:val="none" w:sz="0" w:space="0" w:color="auto"/>
        <w:right w:val="none" w:sz="0" w:space="0" w:color="auto"/>
      </w:divBdr>
      <w:divsChild>
        <w:div w:id="1649548751">
          <w:marLeft w:val="0"/>
          <w:marRight w:val="0"/>
          <w:marTop w:val="0"/>
          <w:marBottom w:val="0"/>
          <w:divBdr>
            <w:top w:val="none" w:sz="0" w:space="0" w:color="auto"/>
            <w:left w:val="none" w:sz="0" w:space="0" w:color="auto"/>
            <w:bottom w:val="none" w:sz="0" w:space="0" w:color="auto"/>
            <w:right w:val="none" w:sz="0" w:space="0" w:color="auto"/>
          </w:divBdr>
        </w:div>
        <w:div w:id="713122176">
          <w:marLeft w:val="0"/>
          <w:marRight w:val="0"/>
          <w:marTop w:val="0"/>
          <w:marBottom w:val="0"/>
          <w:divBdr>
            <w:top w:val="none" w:sz="0" w:space="0" w:color="auto"/>
            <w:left w:val="none" w:sz="0" w:space="0" w:color="auto"/>
            <w:bottom w:val="none" w:sz="0" w:space="0" w:color="auto"/>
            <w:right w:val="none" w:sz="0" w:space="0" w:color="auto"/>
          </w:divBdr>
        </w:div>
        <w:div w:id="63188861">
          <w:marLeft w:val="0"/>
          <w:marRight w:val="0"/>
          <w:marTop w:val="0"/>
          <w:marBottom w:val="0"/>
          <w:divBdr>
            <w:top w:val="none" w:sz="0" w:space="0" w:color="auto"/>
            <w:left w:val="none" w:sz="0" w:space="0" w:color="auto"/>
            <w:bottom w:val="none" w:sz="0" w:space="0" w:color="auto"/>
            <w:right w:val="none" w:sz="0" w:space="0" w:color="auto"/>
          </w:divBdr>
        </w:div>
        <w:div w:id="1857647214">
          <w:marLeft w:val="0"/>
          <w:marRight w:val="0"/>
          <w:marTop w:val="0"/>
          <w:marBottom w:val="0"/>
          <w:divBdr>
            <w:top w:val="none" w:sz="0" w:space="0" w:color="auto"/>
            <w:left w:val="none" w:sz="0" w:space="0" w:color="auto"/>
            <w:bottom w:val="none" w:sz="0" w:space="0" w:color="auto"/>
            <w:right w:val="none" w:sz="0" w:space="0" w:color="auto"/>
          </w:divBdr>
        </w:div>
        <w:div w:id="589581538">
          <w:marLeft w:val="0"/>
          <w:marRight w:val="0"/>
          <w:marTop w:val="0"/>
          <w:marBottom w:val="0"/>
          <w:divBdr>
            <w:top w:val="none" w:sz="0" w:space="0" w:color="auto"/>
            <w:left w:val="none" w:sz="0" w:space="0" w:color="auto"/>
            <w:bottom w:val="none" w:sz="0" w:space="0" w:color="auto"/>
            <w:right w:val="none" w:sz="0" w:space="0" w:color="auto"/>
          </w:divBdr>
        </w:div>
        <w:div w:id="427846643">
          <w:marLeft w:val="0"/>
          <w:marRight w:val="0"/>
          <w:marTop w:val="0"/>
          <w:marBottom w:val="0"/>
          <w:divBdr>
            <w:top w:val="none" w:sz="0" w:space="0" w:color="auto"/>
            <w:left w:val="none" w:sz="0" w:space="0" w:color="auto"/>
            <w:bottom w:val="none" w:sz="0" w:space="0" w:color="auto"/>
            <w:right w:val="none" w:sz="0" w:space="0" w:color="auto"/>
          </w:divBdr>
        </w:div>
        <w:div w:id="2070760482">
          <w:marLeft w:val="0"/>
          <w:marRight w:val="0"/>
          <w:marTop w:val="0"/>
          <w:marBottom w:val="0"/>
          <w:divBdr>
            <w:top w:val="none" w:sz="0" w:space="0" w:color="auto"/>
            <w:left w:val="none" w:sz="0" w:space="0" w:color="auto"/>
            <w:bottom w:val="none" w:sz="0" w:space="0" w:color="auto"/>
            <w:right w:val="none" w:sz="0" w:space="0" w:color="auto"/>
          </w:divBdr>
        </w:div>
        <w:div w:id="1445463204">
          <w:marLeft w:val="0"/>
          <w:marRight w:val="0"/>
          <w:marTop w:val="0"/>
          <w:marBottom w:val="0"/>
          <w:divBdr>
            <w:top w:val="none" w:sz="0" w:space="0" w:color="auto"/>
            <w:left w:val="none" w:sz="0" w:space="0" w:color="auto"/>
            <w:bottom w:val="none" w:sz="0" w:space="0" w:color="auto"/>
            <w:right w:val="none" w:sz="0" w:space="0" w:color="auto"/>
          </w:divBdr>
        </w:div>
        <w:div w:id="156045620">
          <w:marLeft w:val="0"/>
          <w:marRight w:val="0"/>
          <w:marTop w:val="0"/>
          <w:marBottom w:val="0"/>
          <w:divBdr>
            <w:top w:val="none" w:sz="0" w:space="0" w:color="auto"/>
            <w:left w:val="none" w:sz="0" w:space="0" w:color="auto"/>
            <w:bottom w:val="none" w:sz="0" w:space="0" w:color="auto"/>
            <w:right w:val="none" w:sz="0" w:space="0" w:color="auto"/>
          </w:divBdr>
        </w:div>
        <w:div w:id="288048770">
          <w:marLeft w:val="0"/>
          <w:marRight w:val="0"/>
          <w:marTop w:val="0"/>
          <w:marBottom w:val="0"/>
          <w:divBdr>
            <w:top w:val="none" w:sz="0" w:space="0" w:color="auto"/>
            <w:left w:val="none" w:sz="0" w:space="0" w:color="auto"/>
            <w:bottom w:val="none" w:sz="0" w:space="0" w:color="auto"/>
            <w:right w:val="none" w:sz="0" w:space="0" w:color="auto"/>
          </w:divBdr>
        </w:div>
        <w:div w:id="160051190">
          <w:marLeft w:val="0"/>
          <w:marRight w:val="0"/>
          <w:marTop w:val="0"/>
          <w:marBottom w:val="0"/>
          <w:divBdr>
            <w:top w:val="none" w:sz="0" w:space="0" w:color="auto"/>
            <w:left w:val="none" w:sz="0" w:space="0" w:color="auto"/>
            <w:bottom w:val="none" w:sz="0" w:space="0" w:color="auto"/>
            <w:right w:val="none" w:sz="0" w:space="0" w:color="auto"/>
          </w:divBdr>
        </w:div>
      </w:divsChild>
    </w:div>
    <w:div w:id="1986201535">
      <w:bodyDiv w:val="1"/>
      <w:marLeft w:val="0"/>
      <w:marRight w:val="0"/>
      <w:marTop w:val="0"/>
      <w:marBottom w:val="0"/>
      <w:divBdr>
        <w:top w:val="none" w:sz="0" w:space="0" w:color="auto"/>
        <w:left w:val="none" w:sz="0" w:space="0" w:color="auto"/>
        <w:bottom w:val="none" w:sz="0" w:space="0" w:color="auto"/>
        <w:right w:val="none" w:sz="0" w:space="0" w:color="auto"/>
      </w:divBdr>
    </w:div>
    <w:div w:id="2033796826">
      <w:bodyDiv w:val="1"/>
      <w:marLeft w:val="0"/>
      <w:marRight w:val="0"/>
      <w:marTop w:val="0"/>
      <w:marBottom w:val="0"/>
      <w:divBdr>
        <w:top w:val="none" w:sz="0" w:space="0" w:color="auto"/>
        <w:left w:val="none" w:sz="0" w:space="0" w:color="auto"/>
        <w:bottom w:val="none" w:sz="0" w:space="0" w:color="auto"/>
        <w:right w:val="none" w:sz="0" w:space="0" w:color="auto"/>
      </w:divBdr>
      <w:divsChild>
        <w:div w:id="1180897766">
          <w:marLeft w:val="0"/>
          <w:marRight w:val="0"/>
          <w:marTop w:val="0"/>
          <w:marBottom w:val="0"/>
          <w:divBdr>
            <w:top w:val="none" w:sz="0" w:space="0" w:color="auto"/>
            <w:left w:val="none" w:sz="0" w:space="0" w:color="auto"/>
            <w:bottom w:val="none" w:sz="0" w:space="0" w:color="auto"/>
            <w:right w:val="none" w:sz="0" w:space="0" w:color="auto"/>
          </w:divBdr>
        </w:div>
        <w:div w:id="761292043">
          <w:marLeft w:val="0"/>
          <w:marRight w:val="0"/>
          <w:marTop w:val="0"/>
          <w:marBottom w:val="0"/>
          <w:divBdr>
            <w:top w:val="none" w:sz="0" w:space="0" w:color="auto"/>
            <w:left w:val="none" w:sz="0" w:space="0" w:color="auto"/>
            <w:bottom w:val="none" w:sz="0" w:space="0" w:color="auto"/>
            <w:right w:val="none" w:sz="0" w:space="0" w:color="auto"/>
          </w:divBdr>
        </w:div>
        <w:div w:id="134566230">
          <w:marLeft w:val="0"/>
          <w:marRight w:val="0"/>
          <w:marTop w:val="0"/>
          <w:marBottom w:val="0"/>
          <w:divBdr>
            <w:top w:val="none" w:sz="0" w:space="0" w:color="auto"/>
            <w:left w:val="none" w:sz="0" w:space="0" w:color="auto"/>
            <w:bottom w:val="none" w:sz="0" w:space="0" w:color="auto"/>
            <w:right w:val="none" w:sz="0" w:space="0" w:color="auto"/>
          </w:divBdr>
        </w:div>
      </w:divsChild>
    </w:div>
    <w:div w:id="2053799662">
      <w:bodyDiv w:val="1"/>
      <w:marLeft w:val="0"/>
      <w:marRight w:val="0"/>
      <w:marTop w:val="0"/>
      <w:marBottom w:val="0"/>
      <w:divBdr>
        <w:top w:val="none" w:sz="0" w:space="0" w:color="auto"/>
        <w:left w:val="none" w:sz="0" w:space="0" w:color="auto"/>
        <w:bottom w:val="none" w:sz="0" w:space="0" w:color="auto"/>
        <w:right w:val="none" w:sz="0" w:space="0" w:color="auto"/>
      </w:divBdr>
    </w:div>
    <w:div w:id="2054890697">
      <w:bodyDiv w:val="1"/>
      <w:marLeft w:val="0"/>
      <w:marRight w:val="0"/>
      <w:marTop w:val="0"/>
      <w:marBottom w:val="0"/>
      <w:divBdr>
        <w:top w:val="none" w:sz="0" w:space="0" w:color="auto"/>
        <w:left w:val="none" w:sz="0" w:space="0" w:color="auto"/>
        <w:bottom w:val="none" w:sz="0" w:space="0" w:color="auto"/>
        <w:right w:val="none" w:sz="0" w:space="0" w:color="auto"/>
      </w:divBdr>
      <w:divsChild>
        <w:div w:id="685449735">
          <w:marLeft w:val="0"/>
          <w:marRight w:val="0"/>
          <w:marTop w:val="0"/>
          <w:marBottom w:val="0"/>
          <w:divBdr>
            <w:top w:val="none" w:sz="0" w:space="0" w:color="auto"/>
            <w:left w:val="none" w:sz="0" w:space="0" w:color="auto"/>
            <w:bottom w:val="none" w:sz="0" w:space="0" w:color="auto"/>
            <w:right w:val="none" w:sz="0" w:space="0" w:color="auto"/>
          </w:divBdr>
        </w:div>
        <w:div w:id="1959868640">
          <w:marLeft w:val="0"/>
          <w:marRight w:val="0"/>
          <w:marTop w:val="0"/>
          <w:marBottom w:val="0"/>
          <w:divBdr>
            <w:top w:val="none" w:sz="0" w:space="0" w:color="auto"/>
            <w:left w:val="none" w:sz="0" w:space="0" w:color="auto"/>
            <w:bottom w:val="none" w:sz="0" w:space="0" w:color="auto"/>
            <w:right w:val="none" w:sz="0" w:space="0" w:color="auto"/>
          </w:divBdr>
        </w:div>
        <w:div w:id="185873919">
          <w:marLeft w:val="0"/>
          <w:marRight w:val="0"/>
          <w:marTop w:val="0"/>
          <w:marBottom w:val="0"/>
          <w:divBdr>
            <w:top w:val="none" w:sz="0" w:space="0" w:color="auto"/>
            <w:left w:val="none" w:sz="0" w:space="0" w:color="auto"/>
            <w:bottom w:val="none" w:sz="0" w:space="0" w:color="auto"/>
            <w:right w:val="none" w:sz="0" w:space="0" w:color="auto"/>
          </w:divBdr>
        </w:div>
        <w:div w:id="443814139">
          <w:marLeft w:val="0"/>
          <w:marRight w:val="0"/>
          <w:marTop w:val="0"/>
          <w:marBottom w:val="0"/>
          <w:divBdr>
            <w:top w:val="none" w:sz="0" w:space="0" w:color="auto"/>
            <w:left w:val="none" w:sz="0" w:space="0" w:color="auto"/>
            <w:bottom w:val="none" w:sz="0" w:space="0" w:color="auto"/>
            <w:right w:val="none" w:sz="0" w:space="0" w:color="auto"/>
          </w:divBdr>
        </w:div>
        <w:div w:id="18436598">
          <w:marLeft w:val="0"/>
          <w:marRight w:val="0"/>
          <w:marTop w:val="0"/>
          <w:marBottom w:val="0"/>
          <w:divBdr>
            <w:top w:val="none" w:sz="0" w:space="0" w:color="auto"/>
            <w:left w:val="none" w:sz="0" w:space="0" w:color="auto"/>
            <w:bottom w:val="none" w:sz="0" w:space="0" w:color="auto"/>
            <w:right w:val="none" w:sz="0" w:space="0" w:color="auto"/>
          </w:divBdr>
        </w:div>
      </w:divsChild>
    </w:div>
    <w:div w:id="2060667439">
      <w:bodyDiv w:val="1"/>
      <w:marLeft w:val="0"/>
      <w:marRight w:val="0"/>
      <w:marTop w:val="0"/>
      <w:marBottom w:val="0"/>
      <w:divBdr>
        <w:top w:val="none" w:sz="0" w:space="0" w:color="auto"/>
        <w:left w:val="none" w:sz="0" w:space="0" w:color="auto"/>
        <w:bottom w:val="none" w:sz="0" w:space="0" w:color="auto"/>
        <w:right w:val="none" w:sz="0" w:space="0" w:color="auto"/>
      </w:divBdr>
      <w:divsChild>
        <w:div w:id="1440486384">
          <w:marLeft w:val="0"/>
          <w:marRight w:val="0"/>
          <w:marTop w:val="0"/>
          <w:marBottom w:val="0"/>
          <w:divBdr>
            <w:top w:val="none" w:sz="0" w:space="0" w:color="auto"/>
            <w:left w:val="none" w:sz="0" w:space="0" w:color="auto"/>
            <w:bottom w:val="none" w:sz="0" w:space="0" w:color="auto"/>
            <w:right w:val="none" w:sz="0" w:space="0" w:color="auto"/>
          </w:divBdr>
        </w:div>
        <w:div w:id="1662852100">
          <w:marLeft w:val="0"/>
          <w:marRight w:val="0"/>
          <w:marTop w:val="0"/>
          <w:marBottom w:val="0"/>
          <w:divBdr>
            <w:top w:val="none" w:sz="0" w:space="0" w:color="auto"/>
            <w:left w:val="none" w:sz="0" w:space="0" w:color="auto"/>
            <w:bottom w:val="none" w:sz="0" w:space="0" w:color="auto"/>
            <w:right w:val="none" w:sz="0" w:space="0" w:color="auto"/>
          </w:divBdr>
        </w:div>
        <w:div w:id="1330402275">
          <w:marLeft w:val="0"/>
          <w:marRight w:val="0"/>
          <w:marTop w:val="0"/>
          <w:marBottom w:val="0"/>
          <w:divBdr>
            <w:top w:val="none" w:sz="0" w:space="0" w:color="auto"/>
            <w:left w:val="none" w:sz="0" w:space="0" w:color="auto"/>
            <w:bottom w:val="none" w:sz="0" w:space="0" w:color="auto"/>
            <w:right w:val="none" w:sz="0" w:space="0" w:color="auto"/>
          </w:divBdr>
        </w:div>
        <w:div w:id="1155537553">
          <w:marLeft w:val="0"/>
          <w:marRight w:val="0"/>
          <w:marTop w:val="0"/>
          <w:marBottom w:val="0"/>
          <w:divBdr>
            <w:top w:val="none" w:sz="0" w:space="0" w:color="auto"/>
            <w:left w:val="none" w:sz="0" w:space="0" w:color="auto"/>
            <w:bottom w:val="none" w:sz="0" w:space="0" w:color="auto"/>
            <w:right w:val="none" w:sz="0" w:space="0" w:color="auto"/>
          </w:divBdr>
        </w:div>
        <w:div w:id="907417090">
          <w:marLeft w:val="0"/>
          <w:marRight w:val="0"/>
          <w:marTop w:val="0"/>
          <w:marBottom w:val="0"/>
          <w:divBdr>
            <w:top w:val="none" w:sz="0" w:space="0" w:color="auto"/>
            <w:left w:val="none" w:sz="0" w:space="0" w:color="auto"/>
            <w:bottom w:val="none" w:sz="0" w:space="0" w:color="auto"/>
            <w:right w:val="none" w:sz="0" w:space="0" w:color="auto"/>
          </w:divBdr>
        </w:div>
        <w:div w:id="1591311518">
          <w:marLeft w:val="0"/>
          <w:marRight w:val="0"/>
          <w:marTop w:val="0"/>
          <w:marBottom w:val="0"/>
          <w:divBdr>
            <w:top w:val="none" w:sz="0" w:space="0" w:color="auto"/>
            <w:left w:val="none" w:sz="0" w:space="0" w:color="auto"/>
            <w:bottom w:val="none" w:sz="0" w:space="0" w:color="auto"/>
            <w:right w:val="none" w:sz="0" w:space="0" w:color="auto"/>
          </w:divBdr>
        </w:div>
        <w:div w:id="1539733504">
          <w:marLeft w:val="0"/>
          <w:marRight w:val="0"/>
          <w:marTop w:val="0"/>
          <w:marBottom w:val="0"/>
          <w:divBdr>
            <w:top w:val="none" w:sz="0" w:space="0" w:color="auto"/>
            <w:left w:val="none" w:sz="0" w:space="0" w:color="auto"/>
            <w:bottom w:val="none" w:sz="0" w:space="0" w:color="auto"/>
            <w:right w:val="none" w:sz="0" w:space="0" w:color="auto"/>
          </w:divBdr>
        </w:div>
        <w:div w:id="1317294909">
          <w:marLeft w:val="0"/>
          <w:marRight w:val="0"/>
          <w:marTop w:val="0"/>
          <w:marBottom w:val="0"/>
          <w:divBdr>
            <w:top w:val="none" w:sz="0" w:space="0" w:color="auto"/>
            <w:left w:val="none" w:sz="0" w:space="0" w:color="auto"/>
            <w:bottom w:val="none" w:sz="0" w:space="0" w:color="auto"/>
            <w:right w:val="none" w:sz="0" w:space="0" w:color="auto"/>
          </w:divBdr>
        </w:div>
        <w:div w:id="2091268593">
          <w:marLeft w:val="0"/>
          <w:marRight w:val="0"/>
          <w:marTop w:val="0"/>
          <w:marBottom w:val="0"/>
          <w:divBdr>
            <w:top w:val="none" w:sz="0" w:space="0" w:color="auto"/>
            <w:left w:val="none" w:sz="0" w:space="0" w:color="auto"/>
            <w:bottom w:val="none" w:sz="0" w:space="0" w:color="auto"/>
            <w:right w:val="none" w:sz="0" w:space="0" w:color="auto"/>
          </w:divBdr>
        </w:div>
      </w:divsChild>
    </w:div>
    <w:div w:id="2062290762">
      <w:bodyDiv w:val="1"/>
      <w:marLeft w:val="0"/>
      <w:marRight w:val="0"/>
      <w:marTop w:val="0"/>
      <w:marBottom w:val="0"/>
      <w:divBdr>
        <w:top w:val="none" w:sz="0" w:space="0" w:color="auto"/>
        <w:left w:val="none" w:sz="0" w:space="0" w:color="auto"/>
        <w:bottom w:val="none" w:sz="0" w:space="0" w:color="auto"/>
        <w:right w:val="none" w:sz="0" w:space="0" w:color="auto"/>
      </w:divBdr>
      <w:divsChild>
        <w:div w:id="1581285133">
          <w:marLeft w:val="0"/>
          <w:marRight w:val="0"/>
          <w:marTop w:val="0"/>
          <w:marBottom w:val="0"/>
          <w:divBdr>
            <w:top w:val="none" w:sz="0" w:space="0" w:color="auto"/>
            <w:left w:val="none" w:sz="0" w:space="0" w:color="auto"/>
            <w:bottom w:val="none" w:sz="0" w:space="0" w:color="auto"/>
            <w:right w:val="none" w:sz="0" w:space="0" w:color="auto"/>
          </w:divBdr>
        </w:div>
        <w:div w:id="1152866058">
          <w:marLeft w:val="0"/>
          <w:marRight w:val="0"/>
          <w:marTop w:val="0"/>
          <w:marBottom w:val="0"/>
          <w:divBdr>
            <w:top w:val="none" w:sz="0" w:space="0" w:color="auto"/>
            <w:left w:val="none" w:sz="0" w:space="0" w:color="auto"/>
            <w:bottom w:val="none" w:sz="0" w:space="0" w:color="auto"/>
            <w:right w:val="none" w:sz="0" w:space="0" w:color="auto"/>
          </w:divBdr>
        </w:div>
        <w:div w:id="1009680381">
          <w:marLeft w:val="0"/>
          <w:marRight w:val="0"/>
          <w:marTop w:val="0"/>
          <w:marBottom w:val="0"/>
          <w:divBdr>
            <w:top w:val="none" w:sz="0" w:space="0" w:color="auto"/>
            <w:left w:val="none" w:sz="0" w:space="0" w:color="auto"/>
            <w:bottom w:val="none" w:sz="0" w:space="0" w:color="auto"/>
            <w:right w:val="none" w:sz="0" w:space="0" w:color="auto"/>
          </w:divBdr>
        </w:div>
        <w:div w:id="707686402">
          <w:marLeft w:val="0"/>
          <w:marRight w:val="0"/>
          <w:marTop w:val="0"/>
          <w:marBottom w:val="0"/>
          <w:divBdr>
            <w:top w:val="none" w:sz="0" w:space="0" w:color="auto"/>
            <w:left w:val="none" w:sz="0" w:space="0" w:color="auto"/>
            <w:bottom w:val="none" w:sz="0" w:space="0" w:color="auto"/>
            <w:right w:val="none" w:sz="0" w:space="0" w:color="auto"/>
          </w:divBdr>
        </w:div>
        <w:div w:id="425882149">
          <w:marLeft w:val="0"/>
          <w:marRight w:val="0"/>
          <w:marTop w:val="0"/>
          <w:marBottom w:val="0"/>
          <w:divBdr>
            <w:top w:val="none" w:sz="0" w:space="0" w:color="auto"/>
            <w:left w:val="none" w:sz="0" w:space="0" w:color="auto"/>
            <w:bottom w:val="none" w:sz="0" w:space="0" w:color="auto"/>
            <w:right w:val="none" w:sz="0" w:space="0" w:color="auto"/>
          </w:divBdr>
        </w:div>
        <w:div w:id="291130597">
          <w:marLeft w:val="0"/>
          <w:marRight w:val="0"/>
          <w:marTop w:val="0"/>
          <w:marBottom w:val="0"/>
          <w:divBdr>
            <w:top w:val="none" w:sz="0" w:space="0" w:color="auto"/>
            <w:left w:val="none" w:sz="0" w:space="0" w:color="auto"/>
            <w:bottom w:val="none" w:sz="0" w:space="0" w:color="auto"/>
            <w:right w:val="none" w:sz="0" w:space="0" w:color="auto"/>
          </w:divBdr>
        </w:div>
      </w:divsChild>
    </w:div>
    <w:div w:id="2067340197">
      <w:bodyDiv w:val="1"/>
      <w:marLeft w:val="0"/>
      <w:marRight w:val="0"/>
      <w:marTop w:val="0"/>
      <w:marBottom w:val="0"/>
      <w:divBdr>
        <w:top w:val="none" w:sz="0" w:space="0" w:color="auto"/>
        <w:left w:val="none" w:sz="0" w:space="0" w:color="auto"/>
        <w:bottom w:val="none" w:sz="0" w:space="0" w:color="auto"/>
        <w:right w:val="none" w:sz="0" w:space="0" w:color="auto"/>
      </w:divBdr>
      <w:divsChild>
        <w:div w:id="1521967962">
          <w:marLeft w:val="0"/>
          <w:marRight w:val="0"/>
          <w:marTop w:val="0"/>
          <w:marBottom w:val="0"/>
          <w:divBdr>
            <w:top w:val="none" w:sz="0" w:space="0" w:color="auto"/>
            <w:left w:val="none" w:sz="0" w:space="0" w:color="auto"/>
            <w:bottom w:val="none" w:sz="0" w:space="0" w:color="auto"/>
            <w:right w:val="none" w:sz="0" w:space="0" w:color="auto"/>
          </w:divBdr>
        </w:div>
        <w:div w:id="254244865">
          <w:marLeft w:val="0"/>
          <w:marRight w:val="0"/>
          <w:marTop w:val="0"/>
          <w:marBottom w:val="0"/>
          <w:divBdr>
            <w:top w:val="none" w:sz="0" w:space="0" w:color="auto"/>
            <w:left w:val="none" w:sz="0" w:space="0" w:color="auto"/>
            <w:bottom w:val="none" w:sz="0" w:space="0" w:color="auto"/>
            <w:right w:val="none" w:sz="0" w:space="0" w:color="auto"/>
          </w:divBdr>
        </w:div>
        <w:div w:id="2020741318">
          <w:marLeft w:val="0"/>
          <w:marRight w:val="0"/>
          <w:marTop w:val="0"/>
          <w:marBottom w:val="0"/>
          <w:divBdr>
            <w:top w:val="none" w:sz="0" w:space="0" w:color="auto"/>
            <w:left w:val="none" w:sz="0" w:space="0" w:color="auto"/>
            <w:bottom w:val="none" w:sz="0" w:space="0" w:color="auto"/>
            <w:right w:val="none" w:sz="0" w:space="0" w:color="auto"/>
          </w:divBdr>
        </w:div>
        <w:div w:id="2084526046">
          <w:marLeft w:val="0"/>
          <w:marRight w:val="0"/>
          <w:marTop w:val="0"/>
          <w:marBottom w:val="0"/>
          <w:divBdr>
            <w:top w:val="none" w:sz="0" w:space="0" w:color="auto"/>
            <w:left w:val="none" w:sz="0" w:space="0" w:color="auto"/>
            <w:bottom w:val="none" w:sz="0" w:space="0" w:color="auto"/>
            <w:right w:val="none" w:sz="0" w:space="0" w:color="auto"/>
          </w:divBdr>
        </w:div>
        <w:div w:id="1864514281">
          <w:marLeft w:val="0"/>
          <w:marRight w:val="0"/>
          <w:marTop w:val="0"/>
          <w:marBottom w:val="0"/>
          <w:divBdr>
            <w:top w:val="none" w:sz="0" w:space="0" w:color="auto"/>
            <w:left w:val="none" w:sz="0" w:space="0" w:color="auto"/>
            <w:bottom w:val="none" w:sz="0" w:space="0" w:color="auto"/>
            <w:right w:val="none" w:sz="0" w:space="0" w:color="auto"/>
          </w:divBdr>
        </w:div>
        <w:div w:id="347755379">
          <w:marLeft w:val="0"/>
          <w:marRight w:val="0"/>
          <w:marTop w:val="0"/>
          <w:marBottom w:val="0"/>
          <w:divBdr>
            <w:top w:val="none" w:sz="0" w:space="0" w:color="auto"/>
            <w:left w:val="none" w:sz="0" w:space="0" w:color="auto"/>
            <w:bottom w:val="none" w:sz="0" w:space="0" w:color="auto"/>
            <w:right w:val="none" w:sz="0" w:space="0" w:color="auto"/>
          </w:divBdr>
        </w:div>
      </w:divsChild>
    </w:div>
    <w:div w:id="2081321946">
      <w:bodyDiv w:val="1"/>
      <w:marLeft w:val="0"/>
      <w:marRight w:val="0"/>
      <w:marTop w:val="0"/>
      <w:marBottom w:val="0"/>
      <w:divBdr>
        <w:top w:val="none" w:sz="0" w:space="0" w:color="auto"/>
        <w:left w:val="none" w:sz="0" w:space="0" w:color="auto"/>
        <w:bottom w:val="none" w:sz="0" w:space="0" w:color="auto"/>
        <w:right w:val="none" w:sz="0" w:space="0" w:color="auto"/>
      </w:divBdr>
      <w:divsChild>
        <w:div w:id="255988566">
          <w:marLeft w:val="0"/>
          <w:marRight w:val="0"/>
          <w:marTop w:val="0"/>
          <w:marBottom w:val="0"/>
          <w:divBdr>
            <w:top w:val="none" w:sz="0" w:space="0" w:color="auto"/>
            <w:left w:val="none" w:sz="0" w:space="0" w:color="auto"/>
            <w:bottom w:val="none" w:sz="0" w:space="0" w:color="auto"/>
            <w:right w:val="none" w:sz="0" w:space="0" w:color="auto"/>
          </w:divBdr>
        </w:div>
        <w:div w:id="1291209202">
          <w:marLeft w:val="0"/>
          <w:marRight w:val="0"/>
          <w:marTop w:val="0"/>
          <w:marBottom w:val="0"/>
          <w:divBdr>
            <w:top w:val="none" w:sz="0" w:space="0" w:color="auto"/>
            <w:left w:val="none" w:sz="0" w:space="0" w:color="auto"/>
            <w:bottom w:val="none" w:sz="0" w:space="0" w:color="auto"/>
            <w:right w:val="none" w:sz="0" w:space="0" w:color="auto"/>
          </w:divBdr>
        </w:div>
        <w:div w:id="1872961359">
          <w:marLeft w:val="0"/>
          <w:marRight w:val="0"/>
          <w:marTop w:val="0"/>
          <w:marBottom w:val="0"/>
          <w:divBdr>
            <w:top w:val="none" w:sz="0" w:space="0" w:color="auto"/>
            <w:left w:val="none" w:sz="0" w:space="0" w:color="auto"/>
            <w:bottom w:val="none" w:sz="0" w:space="0" w:color="auto"/>
            <w:right w:val="none" w:sz="0" w:space="0" w:color="auto"/>
          </w:divBdr>
        </w:div>
        <w:div w:id="822307638">
          <w:marLeft w:val="0"/>
          <w:marRight w:val="0"/>
          <w:marTop w:val="0"/>
          <w:marBottom w:val="0"/>
          <w:divBdr>
            <w:top w:val="none" w:sz="0" w:space="0" w:color="auto"/>
            <w:left w:val="none" w:sz="0" w:space="0" w:color="auto"/>
            <w:bottom w:val="none" w:sz="0" w:space="0" w:color="auto"/>
            <w:right w:val="none" w:sz="0" w:space="0" w:color="auto"/>
          </w:divBdr>
        </w:div>
        <w:div w:id="243227434">
          <w:marLeft w:val="0"/>
          <w:marRight w:val="0"/>
          <w:marTop w:val="0"/>
          <w:marBottom w:val="0"/>
          <w:divBdr>
            <w:top w:val="none" w:sz="0" w:space="0" w:color="auto"/>
            <w:left w:val="none" w:sz="0" w:space="0" w:color="auto"/>
            <w:bottom w:val="none" w:sz="0" w:space="0" w:color="auto"/>
            <w:right w:val="none" w:sz="0" w:space="0" w:color="auto"/>
          </w:divBdr>
        </w:div>
        <w:div w:id="202058683">
          <w:marLeft w:val="0"/>
          <w:marRight w:val="0"/>
          <w:marTop w:val="0"/>
          <w:marBottom w:val="0"/>
          <w:divBdr>
            <w:top w:val="none" w:sz="0" w:space="0" w:color="auto"/>
            <w:left w:val="none" w:sz="0" w:space="0" w:color="auto"/>
            <w:bottom w:val="none" w:sz="0" w:space="0" w:color="auto"/>
            <w:right w:val="none" w:sz="0" w:space="0" w:color="auto"/>
          </w:divBdr>
        </w:div>
        <w:div w:id="934752581">
          <w:marLeft w:val="0"/>
          <w:marRight w:val="0"/>
          <w:marTop w:val="0"/>
          <w:marBottom w:val="0"/>
          <w:divBdr>
            <w:top w:val="none" w:sz="0" w:space="0" w:color="auto"/>
            <w:left w:val="none" w:sz="0" w:space="0" w:color="auto"/>
            <w:bottom w:val="none" w:sz="0" w:space="0" w:color="auto"/>
            <w:right w:val="none" w:sz="0" w:space="0" w:color="auto"/>
          </w:divBdr>
        </w:div>
        <w:div w:id="1262958746">
          <w:marLeft w:val="0"/>
          <w:marRight w:val="0"/>
          <w:marTop w:val="0"/>
          <w:marBottom w:val="0"/>
          <w:divBdr>
            <w:top w:val="none" w:sz="0" w:space="0" w:color="auto"/>
            <w:left w:val="none" w:sz="0" w:space="0" w:color="auto"/>
            <w:bottom w:val="none" w:sz="0" w:space="0" w:color="auto"/>
            <w:right w:val="none" w:sz="0" w:space="0" w:color="auto"/>
          </w:divBdr>
        </w:div>
        <w:div w:id="1988631290">
          <w:marLeft w:val="0"/>
          <w:marRight w:val="0"/>
          <w:marTop w:val="0"/>
          <w:marBottom w:val="0"/>
          <w:divBdr>
            <w:top w:val="none" w:sz="0" w:space="0" w:color="auto"/>
            <w:left w:val="none" w:sz="0" w:space="0" w:color="auto"/>
            <w:bottom w:val="none" w:sz="0" w:space="0" w:color="auto"/>
            <w:right w:val="none" w:sz="0" w:space="0" w:color="auto"/>
          </w:divBdr>
        </w:div>
        <w:div w:id="164903766">
          <w:marLeft w:val="0"/>
          <w:marRight w:val="0"/>
          <w:marTop w:val="0"/>
          <w:marBottom w:val="0"/>
          <w:divBdr>
            <w:top w:val="none" w:sz="0" w:space="0" w:color="auto"/>
            <w:left w:val="none" w:sz="0" w:space="0" w:color="auto"/>
            <w:bottom w:val="none" w:sz="0" w:space="0" w:color="auto"/>
            <w:right w:val="none" w:sz="0" w:space="0" w:color="auto"/>
          </w:divBdr>
        </w:div>
        <w:div w:id="1491290040">
          <w:marLeft w:val="0"/>
          <w:marRight w:val="0"/>
          <w:marTop w:val="0"/>
          <w:marBottom w:val="0"/>
          <w:divBdr>
            <w:top w:val="none" w:sz="0" w:space="0" w:color="auto"/>
            <w:left w:val="none" w:sz="0" w:space="0" w:color="auto"/>
            <w:bottom w:val="none" w:sz="0" w:space="0" w:color="auto"/>
            <w:right w:val="none" w:sz="0" w:space="0" w:color="auto"/>
          </w:divBdr>
        </w:div>
        <w:div w:id="1895464392">
          <w:marLeft w:val="0"/>
          <w:marRight w:val="0"/>
          <w:marTop w:val="0"/>
          <w:marBottom w:val="0"/>
          <w:divBdr>
            <w:top w:val="none" w:sz="0" w:space="0" w:color="auto"/>
            <w:left w:val="none" w:sz="0" w:space="0" w:color="auto"/>
            <w:bottom w:val="none" w:sz="0" w:space="0" w:color="auto"/>
            <w:right w:val="none" w:sz="0" w:space="0" w:color="auto"/>
          </w:divBdr>
        </w:div>
        <w:div w:id="2098625391">
          <w:marLeft w:val="0"/>
          <w:marRight w:val="0"/>
          <w:marTop w:val="0"/>
          <w:marBottom w:val="0"/>
          <w:divBdr>
            <w:top w:val="none" w:sz="0" w:space="0" w:color="auto"/>
            <w:left w:val="none" w:sz="0" w:space="0" w:color="auto"/>
            <w:bottom w:val="none" w:sz="0" w:space="0" w:color="auto"/>
            <w:right w:val="none" w:sz="0" w:space="0" w:color="auto"/>
          </w:divBdr>
        </w:div>
        <w:div w:id="1972246323">
          <w:marLeft w:val="0"/>
          <w:marRight w:val="0"/>
          <w:marTop w:val="0"/>
          <w:marBottom w:val="0"/>
          <w:divBdr>
            <w:top w:val="none" w:sz="0" w:space="0" w:color="auto"/>
            <w:left w:val="none" w:sz="0" w:space="0" w:color="auto"/>
            <w:bottom w:val="none" w:sz="0" w:space="0" w:color="auto"/>
            <w:right w:val="none" w:sz="0" w:space="0" w:color="auto"/>
          </w:divBdr>
        </w:div>
      </w:divsChild>
    </w:div>
    <w:div w:id="2114856060">
      <w:bodyDiv w:val="1"/>
      <w:marLeft w:val="0"/>
      <w:marRight w:val="0"/>
      <w:marTop w:val="0"/>
      <w:marBottom w:val="0"/>
      <w:divBdr>
        <w:top w:val="none" w:sz="0" w:space="0" w:color="auto"/>
        <w:left w:val="none" w:sz="0" w:space="0" w:color="auto"/>
        <w:bottom w:val="none" w:sz="0" w:space="0" w:color="auto"/>
        <w:right w:val="none" w:sz="0" w:space="0" w:color="auto"/>
      </w:divBdr>
      <w:divsChild>
        <w:div w:id="1390610311">
          <w:marLeft w:val="0"/>
          <w:marRight w:val="0"/>
          <w:marTop w:val="0"/>
          <w:marBottom w:val="0"/>
          <w:divBdr>
            <w:top w:val="none" w:sz="0" w:space="0" w:color="auto"/>
            <w:left w:val="none" w:sz="0" w:space="0" w:color="auto"/>
            <w:bottom w:val="none" w:sz="0" w:space="0" w:color="auto"/>
            <w:right w:val="none" w:sz="0" w:space="0" w:color="auto"/>
          </w:divBdr>
        </w:div>
        <w:div w:id="1089617930">
          <w:marLeft w:val="0"/>
          <w:marRight w:val="0"/>
          <w:marTop w:val="0"/>
          <w:marBottom w:val="0"/>
          <w:divBdr>
            <w:top w:val="none" w:sz="0" w:space="0" w:color="auto"/>
            <w:left w:val="none" w:sz="0" w:space="0" w:color="auto"/>
            <w:bottom w:val="none" w:sz="0" w:space="0" w:color="auto"/>
            <w:right w:val="none" w:sz="0" w:space="0" w:color="auto"/>
          </w:divBdr>
        </w:div>
        <w:div w:id="1403140831">
          <w:marLeft w:val="0"/>
          <w:marRight w:val="0"/>
          <w:marTop w:val="0"/>
          <w:marBottom w:val="0"/>
          <w:divBdr>
            <w:top w:val="none" w:sz="0" w:space="0" w:color="auto"/>
            <w:left w:val="none" w:sz="0" w:space="0" w:color="auto"/>
            <w:bottom w:val="none" w:sz="0" w:space="0" w:color="auto"/>
            <w:right w:val="none" w:sz="0" w:space="0" w:color="auto"/>
          </w:divBdr>
        </w:div>
        <w:div w:id="587924482">
          <w:marLeft w:val="0"/>
          <w:marRight w:val="0"/>
          <w:marTop w:val="0"/>
          <w:marBottom w:val="0"/>
          <w:divBdr>
            <w:top w:val="none" w:sz="0" w:space="0" w:color="auto"/>
            <w:left w:val="none" w:sz="0" w:space="0" w:color="auto"/>
            <w:bottom w:val="none" w:sz="0" w:space="0" w:color="auto"/>
            <w:right w:val="none" w:sz="0" w:space="0" w:color="auto"/>
          </w:divBdr>
        </w:div>
        <w:div w:id="1251354628">
          <w:marLeft w:val="0"/>
          <w:marRight w:val="0"/>
          <w:marTop w:val="0"/>
          <w:marBottom w:val="0"/>
          <w:divBdr>
            <w:top w:val="none" w:sz="0" w:space="0" w:color="auto"/>
            <w:left w:val="none" w:sz="0" w:space="0" w:color="auto"/>
            <w:bottom w:val="none" w:sz="0" w:space="0" w:color="auto"/>
            <w:right w:val="none" w:sz="0" w:space="0" w:color="auto"/>
          </w:divBdr>
        </w:div>
        <w:div w:id="717364234">
          <w:marLeft w:val="0"/>
          <w:marRight w:val="0"/>
          <w:marTop w:val="0"/>
          <w:marBottom w:val="0"/>
          <w:divBdr>
            <w:top w:val="none" w:sz="0" w:space="0" w:color="auto"/>
            <w:left w:val="none" w:sz="0" w:space="0" w:color="auto"/>
            <w:bottom w:val="none" w:sz="0" w:space="0" w:color="auto"/>
            <w:right w:val="none" w:sz="0" w:space="0" w:color="auto"/>
          </w:divBdr>
        </w:div>
        <w:div w:id="900752313">
          <w:marLeft w:val="0"/>
          <w:marRight w:val="0"/>
          <w:marTop w:val="0"/>
          <w:marBottom w:val="0"/>
          <w:divBdr>
            <w:top w:val="none" w:sz="0" w:space="0" w:color="auto"/>
            <w:left w:val="none" w:sz="0" w:space="0" w:color="auto"/>
            <w:bottom w:val="none" w:sz="0" w:space="0" w:color="auto"/>
            <w:right w:val="none" w:sz="0" w:space="0" w:color="auto"/>
          </w:divBdr>
        </w:div>
        <w:div w:id="1346781917">
          <w:marLeft w:val="0"/>
          <w:marRight w:val="0"/>
          <w:marTop w:val="0"/>
          <w:marBottom w:val="0"/>
          <w:divBdr>
            <w:top w:val="none" w:sz="0" w:space="0" w:color="auto"/>
            <w:left w:val="none" w:sz="0" w:space="0" w:color="auto"/>
            <w:bottom w:val="none" w:sz="0" w:space="0" w:color="auto"/>
            <w:right w:val="none" w:sz="0" w:space="0" w:color="auto"/>
          </w:divBdr>
        </w:div>
        <w:div w:id="1181627701">
          <w:marLeft w:val="0"/>
          <w:marRight w:val="0"/>
          <w:marTop w:val="0"/>
          <w:marBottom w:val="0"/>
          <w:divBdr>
            <w:top w:val="none" w:sz="0" w:space="0" w:color="auto"/>
            <w:left w:val="none" w:sz="0" w:space="0" w:color="auto"/>
            <w:bottom w:val="none" w:sz="0" w:space="0" w:color="auto"/>
            <w:right w:val="none" w:sz="0" w:space="0" w:color="auto"/>
          </w:divBdr>
        </w:div>
        <w:div w:id="1154955412">
          <w:marLeft w:val="0"/>
          <w:marRight w:val="0"/>
          <w:marTop w:val="0"/>
          <w:marBottom w:val="0"/>
          <w:divBdr>
            <w:top w:val="none" w:sz="0" w:space="0" w:color="auto"/>
            <w:left w:val="none" w:sz="0" w:space="0" w:color="auto"/>
            <w:bottom w:val="none" w:sz="0" w:space="0" w:color="auto"/>
            <w:right w:val="none" w:sz="0" w:space="0" w:color="auto"/>
          </w:divBdr>
        </w:div>
        <w:div w:id="789399867">
          <w:marLeft w:val="0"/>
          <w:marRight w:val="0"/>
          <w:marTop w:val="0"/>
          <w:marBottom w:val="0"/>
          <w:divBdr>
            <w:top w:val="none" w:sz="0" w:space="0" w:color="auto"/>
            <w:left w:val="none" w:sz="0" w:space="0" w:color="auto"/>
            <w:bottom w:val="none" w:sz="0" w:space="0" w:color="auto"/>
            <w:right w:val="none" w:sz="0" w:space="0" w:color="auto"/>
          </w:divBdr>
        </w:div>
        <w:div w:id="1853833186">
          <w:marLeft w:val="0"/>
          <w:marRight w:val="0"/>
          <w:marTop w:val="0"/>
          <w:marBottom w:val="0"/>
          <w:divBdr>
            <w:top w:val="none" w:sz="0" w:space="0" w:color="auto"/>
            <w:left w:val="none" w:sz="0" w:space="0" w:color="auto"/>
            <w:bottom w:val="none" w:sz="0" w:space="0" w:color="auto"/>
            <w:right w:val="none" w:sz="0" w:space="0" w:color="auto"/>
          </w:divBdr>
        </w:div>
        <w:div w:id="1312521820">
          <w:marLeft w:val="0"/>
          <w:marRight w:val="0"/>
          <w:marTop w:val="0"/>
          <w:marBottom w:val="0"/>
          <w:divBdr>
            <w:top w:val="none" w:sz="0" w:space="0" w:color="auto"/>
            <w:left w:val="none" w:sz="0" w:space="0" w:color="auto"/>
            <w:bottom w:val="none" w:sz="0" w:space="0" w:color="auto"/>
            <w:right w:val="none" w:sz="0" w:space="0" w:color="auto"/>
          </w:divBdr>
        </w:div>
        <w:div w:id="1121998064">
          <w:marLeft w:val="0"/>
          <w:marRight w:val="0"/>
          <w:marTop w:val="0"/>
          <w:marBottom w:val="0"/>
          <w:divBdr>
            <w:top w:val="none" w:sz="0" w:space="0" w:color="auto"/>
            <w:left w:val="none" w:sz="0" w:space="0" w:color="auto"/>
            <w:bottom w:val="none" w:sz="0" w:space="0" w:color="auto"/>
            <w:right w:val="none" w:sz="0" w:space="0" w:color="auto"/>
          </w:divBdr>
        </w:div>
        <w:div w:id="358818876">
          <w:marLeft w:val="0"/>
          <w:marRight w:val="0"/>
          <w:marTop w:val="0"/>
          <w:marBottom w:val="0"/>
          <w:divBdr>
            <w:top w:val="none" w:sz="0" w:space="0" w:color="auto"/>
            <w:left w:val="none" w:sz="0" w:space="0" w:color="auto"/>
            <w:bottom w:val="none" w:sz="0" w:space="0" w:color="auto"/>
            <w:right w:val="none" w:sz="0" w:space="0" w:color="auto"/>
          </w:divBdr>
        </w:div>
        <w:div w:id="710688937">
          <w:marLeft w:val="0"/>
          <w:marRight w:val="0"/>
          <w:marTop w:val="0"/>
          <w:marBottom w:val="0"/>
          <w:divBdr>
            <w:top w:val="none" w:sz="0" w:space="0" w:color="auto"/>
            <w:left w:val="none" w:sz="0" w:space="0" w:color="auto"/>
            <w:bottom w:val="none" w:sz="0" w:space="0" w:color="auto"/>
            <w:right w:val="none" w:sz="0" w:space="0" w:color="auto"/>
          </w:divBdr>
        </w:div>
        <w:div w:id="469447228">
          <w:marLeft w:val="0"/>
          <w:marRight w:val="0"/>
          <w:marTop w:val="0"/>
          <w:marBottom w:val="0"/>
          <w:divBdr>
            <w:top w:val="none" w:sz="0" w:space="0" w:color="auto"/>
            <w:left w:val="none" w:sz="0" w:space="0" w:color="auto"/>
            <w:bottom w:val="none" w:sz="0" w:space="0" w:color="auto"/>
            <w:right w:val="none" w:sz="0" w:space="0" w:color="auto"/>
          </w:divBdr>
        </w:div>
        <w:div w:id="1014109488">
          <w:marLeft w:val="0"/>
          <w:marRight w:val="0"/>
          <w:marTop w:val="0"/>
          <w:marBottom w:val="0"/>
          <w:divBdr>
            <w:top w:val="none" w:sz="0" w:space="0" w:color="auto"/>
            <w:left w:val="none" w:sz="0" w:space="0" w:color="auto"/>
            <w:bottom w:val="none" w:sz="0" w:space="0" w:color="auto"/>
            <w:right w:val="none" w:sz="0" w:space="0" w:color="auto"/>
          </w:divBdr>
        </w:div>
        <w:div w:id="1535650797">
          <w:marLeft w:val="0"/>
          <w:marRight w:val="0"/>
          <w:marTop w:val="0"/>
          <w:marBottom w:val="0"/>
          <w:divBdr>
            <w:top w:val="none" w:sz="0" w:space="0" w:color="auto"/>
            <w:left w:val="none" w:sz="0" w:space="0" w:color="auto"/>
            <w:bottom w:val="none" w:sz="0" w:space="0" w:color="auto"/>
            <w:right w:val="none" w:sz="0" w:space="0" w:color="auto"/>
          </w:divBdr>
        </w:div>
        <w:div w:id="674267071">
          <w:marLeft w:val="0"/>
          <w:marRight w:val="0"/>
          <w:marTop w:val="0"/>
          <w:marBottom w:val="0"/>
          <w:divBdr>
            <w:top w:val="none" w:sz="0" w:space="0" w:color="auto"/>
            <w:left w:val="none" w:sz="0" w:space="0" w:color="auto"/>
            <w:bottom w:val="none" w:sz="0" w:space="0" w:color="auto"/>
            <w:right w:val="none" w:sz="0" w:space="0" w:color="auto"/>
          </w:divBdr>
        </w:div>
        <w:div w:id="2106414352">
          <w:marLeft w:val="0"/>
          <w:marRight w:val="0"/>
          <w:marTop w:val="0"/>
          <w:marBottom w:val="0"/>
          <w:divBdr>
            <w:top w:val="none" w:sz="0" w:space="0" w:color="auto"/>
            <w:left w:val="none" w:sz="0" w:space="0" w:color="auto"/>
            <w:bottom w:val="none" w:sz="0" w:space="0" w:color="auto"/>
            <w:right w:val="none" w:sz="0" w:space="0" w:color="auto"/>
          </w:divBdr>
        </w:div>
        <w:div w:id="1918709776">
          <w:marLeft w:val="0"/>
          <w:marRight w:val="0"/>
          <w:marTop w:val="0"/>
          <w:marBottom w:val="0"/>
          <w:divBdr>
            <w:top w:val="none" w:sz="0" w:space="0" w:color="auto"/>
            <w:left w:val="none" w:sz="0" w:space="0" w:color="auto"/>
            <w:bottom w:val="none" w:sz="0" w:space="0" w:color="auto"/>
            <w:right w:val="none" w:sz="0" w:space="0" w:color="auto"/>
          </w:divBdr>
        </w:div>
      </w:divsChild>
    </w:div>
    <w:div w:id="2118521468">
      <w:bodyDiv w:val="1"/>
      <w:marLeft w:val="0"/>
      <w:marRight w:val="0"/>
      <w:marTop w:val="0"/>
      <w:marBottom w:val="0"/>
      <w:divBdr>
        <w:top w:val="none" w:sz="0" w:space="0" w:color="auto"/>
        <w:left w:val="none" w:sz="0" w:space="0" w:color="auto"/>
        <w:bottom w:val="none" w:sz="0" w:space="0" w:color="auto"/>
        <w:right w:val="none" w:sz="0" w:space="0" w:color="auto"/>
      </w:divBdr>
      <w:divsChild>
        <w:div w:id="1243491994">
          <w:marLeft w:val="0"/>
          <w:marRight w:val="0"/>
          <w:marTop w:val="0"/>
          <w:marBottom w:val="0"/>
          <w:divBdr>
            <w:top w:val="none" w:sz="0" w:space="0" w:color="auto"/>
            <w:left w:val="none" w:sz="0" w:space="0" w:color="auto"/>
            <w:bottom w:val="none" w:sz="0" w:space="0" w:color="auto"/>
            <w:right w:val="none" w:sz="0" w:space="0" w:color="auto"/>
          </w:divBdr>
        </w:div>
        <w:div w:id="1778527769">
          <w:marLeft w:val="0"/>
          <w:marRight w:val="0"/>
          <w:marTop w:val="0"/>
          <w:marBottom w:val="0"/>
          <w:divBdr>
            <w:top w:val="none" w:sz="0" w:space="0" w:color="auto"/>
            <w:left w:val="none" w:sz="0" w:space="0" w:color="auto"/>
            <w:bottom w:val="none" w:sz="0" w:space="0" w:color="auto"/>
            <w:right w:val="none" w:sz="0" w:space="0" w:color="auto"/>
          </w:divBdr>
        </w:div>
        <w:div w:id="4945585">
          <w:marLeft w:val="0"/>
          <w:marRight w:val="0"/>
          <w:marTop w:val="0"/>
          <w:marBottom w:val="0"/>
          <w:divBdr>
            <w:top w:val="none" w:sz="0" w:space="0" w:color="auto"/>
            <w:left w:val="none" w:sz="0" w:space="0" w:color="auto"/>
            <w:bottom w:val="none" w:sz="0" w:space="0" w:color="auto"/>
            <w:right w:val="none" w:sz="0" w:space="0" w:color="auto"/>
          </w:divBdr>
        </w:div>
        <w:div w:id="250627988">
          <w:marLeft w:val="0"/>
          <w:marRight w:val="0"/>
          <w:marTop w:val="0"/>
          <w:marBottom w:val="0"/>
          <w:divBdr>
            <w:top w:val="none" w:sz="0" w:space="0" w:color="auto"/>
            <w:left w:val="none" w:sz="0" w:space="0" w:color="auto"/>
            <w:bottom w:val="none" w:sz="0" w:space="0" w:color="auto"/>
            <w:right w:val="none" w:sz="0" w:space="0" w:color="auto"/>
          </w:divBdr>
        </w:div>
        <w:div w:id="678697291">
          <w:marLeft w:val="0"/>
          <w:marRight w:val="0"/>
          <w:marTop w:val="0"/>
          <w:marBottom w:val="0"/>
          <w:divBdr>
            <w:top w:val="none" w:sz="0" w:space="0" w:color="auto"/>
            <w:left w:val="none" w:sz="0" w:space="0" w:color="auto"/>
            <w:bottom w:val="none" w:sz="0" w:space="0" w:color="auto"/>
            <w:right w:val="none" w:sz="0" w:space="0" w:color="auto"/>
          </w:divBdr>
        </w:div>
        <w:div w:id="1447695221">
          <w:marLeft w:val="0"/>
          <w:marRight w:val="0"/>
          <w:marTop w:val="0"/>
          <w:marBottom w:val="0"/>
          <w:divBdr>
            <w:top w:val="none" w:sz="0" w:space="0" w:color="auto"/>
            <w:left w:val="none" w:sz="0" w:space="0" w:color="auto"/>
            <w:bottom w:val="none" w:sz="0" w:space="0" w:color="auto"/>
            <w:right w:val="none" w:sz="0" w:space="0" w:color="auto"/>
          </w:divBdr>
        </w:div>
        <w:div w:id="178393997">
          <w:marLeft w:val="0"/>
          <w:marRight w:val="0"/>
          <w:marTop w:val="0"/>
          <w:marBottom w:val="0"/>
          <w:divBdr>
            <w:top w:val="none" w:sz="0" w:space="0" w:color="auto"/>
            <w:left w:val="none" w:sz="0" w:space="0" w:color="auto"/>
            <w:bottom w:val="none" w:sz="0" w:space="0" w:color="auto"/>
            <w:right w:val="none" w:sz="0" w:space="0" w:color="auto"/>
          </w:divBdr>
        </w:div>
        <w:div w:id="600725327">
          <w:marLeft w:val="0"/>
          <w:marRight w:val="0"/>
          <w:marTop w:val="0"/>
          <w:marBottom w:val="0"/>
          <w:divBdr>
            <w:top w:val="none" w:sz="0" w:space="0" w:color="auto"/>
            <w:left w:val="none" w:sz="0" w:space="0" w:color="auto"/>
            <w:bottom w:val="none" w:sz="0" w:space="0" w:color="auto"/>
            <w:right w:val="none" w:sz="0" w:space="0" w:color="auto"/>
          </w:divBdr>
        </w:div>
        <w:div w:id="551036353">
          <w:marLeft w:val="0"/>
          <w:marRight w:val="0"/>
          <w:marTop w:val="0"/>
          <w:marBottom w:val="0"/>
          <w:divBdr>
            <w:top w:val="none" w:sz="0" w:space="0" w:color="auto"/>
            <w:left w:val="none" w:sz="0" w:space="0" w:color="auto"/>
            <w:bottom w:val="none" w:sz="0" w:space="0" w:color="auto"/>
            <w:right w:val="none" w:sz="0" w:space="0" w:color="auto"/>
          </w:divBdr>
        </w:div>
        <w:div w:id="1801997812">
          <w:marLeft w:val="0"/>
          <w:marRight w:val="0"/>
          <w:marTop w:val="0"/>
          <w:marBottom w:val="0"/>
          <w:divBdr>
            <w:top w:val="none" w:sz="0" w:space="0" w:color="auto"/>
            <w:left w:val="none" w:sz="0" w:space="0" w:color="auto"/>
            <w:bottom w:val="none" w:sz="0" w:space="0" w:color="auto"/>
            <w:right w:val="none" w:sz="0" w:space="0" w:color="auto"/>
          </w:divBdr>
        </w:div>
        <w:div w:id="482814773">
          <w:marLeft w:val="0"/>
          <w:marRight w:val="0"/>
          <w:marTop w:val="0"/>
          <w:marBottom w:val="0"/>
          <w:divBdr>
            <w:top w:val="none" w:sz="0" w:space="0" w:color="auto"/>
            <w:left w:val="none" w:sz="0" w:space="0" w:color="auto"/>
            <w:bottom w:val="none" w:sz="0" w:space="0" w:color="auto"/>
            <w:right w:val="none" w:sz="0" w:space="0" w:color="auto"/>
          </w:divBdr>
        </w:div>
        <w:div w:id="839613598">
          <w:marLeft w:val="0"/>
          <w:marRight w:val="0"/>
          <w:marTop w:val="0"/>
          <w:marBottom w:val="0"/>
          <w:divBdr>
            <w:top w:val="none" w:sz="0" w:space="0" w:color="auto"/>
            <w:left w:val="none" w:sz="0" w:space="0" w:color="auto"/>
            <w:bottom w:val="none" w:sz="0" w:space="0" w:color="auto"/>
            <w:right w:val="none" w:sz="0" w:space="0" w:color="auto"/>
          </w:divBdr>
        </w:div>
        <w:div w:id="1886796583">
          <w:marLeft w:val="0"/>
          <w:marRight w:val="0"/>
          <w:marTop w:val="0"/>
          <w:marBottom w:val="0"/>
          <w:divBdr>
            <w:top w:val="none" w:sz="0" w:space="0" w:color="auto"/>
            <w:left w:val="none" w:sz="0" w:space="0" w:color="auto"/>
            <w:bottom w:val="none" w:sz="0" w:space="0" w:color="auto"/>
            <w:right w:val="none" w:sz="0" w:space="0" w:color="auto"/>
          </w:divBdr>
        </w:div>
        <w:div w:id="1368406215">
          <w:marLeft w:val="0"/>
          <w:marRight w:val="0"/>
          <w:marTop w:val="0"/>
          <w:marBottom w:val="0"/>
          <w:divBdr>
            <w:top w:val="none" w:sz="0" w:space="0" w:color="auto"/>
            <w:left w:val="none" w:sz="0" w:space="0" w:color="auto"/>
            <w:bottom w:val="none" w:sz="0" w:space="0" w:color="auto"/>
            <w:right w:val="none" w:sz="0" w:space="0" w:color="auto"/>
          </w:divBdr>
        </w:div>
        <w:div w:id="1149520931">
          <w:marLeft w:val="0"/>
          <w:marRight w:val="0"/>
          <w:marTop w:val="0"/>
          <w:marBottom w:val="0"/>
          <w:divBdr>
            <w:top w:val="none" w:sz="0" w:space="0" w:color="auto"/>
            <w:left w:val="none" w:sz="0" w:space="0" w:color="auto"/>
            <w:bottom w:val="none" w:sz="0" w:space="0" w:color="auto"/>
            <w:right w:val="none" w:sz="0" w:space="0" w:color="auto"/>
          </w:divBdr>
        </w:div>
        <w:div w:id="1900702976">
          <w:marLeft w:val="0"/>
          <w:marRight w:val="0"/>
          <w:marTop w:val="0"/>
          <w:marBottom w:val="0"/>
          <w:divBdr>
            <w:top w:val="none" w:sz="0" w:space="0" w:color="auto"/>
            <w:left w:val="none" w:sz="0" w:space="0" w:color="auto"/>
            <w:bottom w:val="none" w:sz="0" w:space="0" w:color="auto"/>
            <w:right w:val="none" w:sz="0" w:space="0" w:color="auto"/>
          </w:divBdr>
        </w:div>
        <w:div w:id="893124881">
          <w:marLeft w:val="0"/>
          <w:marRight w:val="0"/>
          <w:marTop w:val="0"/>
          <w:marBottom w:val="0"/>
          <w:divBdr>
            <w:top w:val="none" w:sz="0" w:space="0" w:color="auto"/>
            <w:left w:val="none" w:sz="0" w:space="0" w:color="auto"/>
            <w:bottom w:val="none" w:sz="0" w:space="0" w:color="auto"/>
            <w:right w:val="none" w:sz="0" w:space="0" w:color="auto"/>
          </w:divBdr>
        </w:div>
        <w:div w:id="2136020200">
          <w:marLeft w:val="0"/>
          <w:marRight w:val="0"/>
          <w:marTop w:val="0"/>
          <w:marBottom w:val="0"/>
          <w:divBdr>
            <w:top w:val="none" w:sz="0" w:space="0" w:color="auto"/>
            <w:left w:val="none" w:sz="0" w:space="0" w:color="auto"/>
            <w:bottom w:val="none" w:sz="0" w:space="0" w:color="auto"/>
            <w:right w:val="none" w:sz="0" w:space="0" w:color="auto"/>
          </w:divBdr>
        </w:div>
        <w:div w:id="592856755">
          <w:marLeft w:val="0"/>
          <w:marRight w:val="0"/>
          <w:marTop w:val="0"/>
          <w:marBottom w:val="0"/>
          <w:divBdr>
            <w:top w:val="none" w:sz="0" w:space="0" w:color="auto"/>
            <w:left w:val="none" w:sz="0" w:space="0" w:color="auto"/>
            <w:bottom w:val="none" w:sz="0" w:space="0" w:color="auto"/>
            <w:right w:val="none" w:sz="0" w:space="0" w:color="auto"/>
          </w:divBdr>
        </w:div>
        <w:div w:id="1289780638">
          <w:marLeft w:val="0"/>
          <w:marRight w:val="0"/>
          <w:marTop w:val="0"/>
          <w:marBottom w:val="0"/>
          <w:divBdr>
            <w:top w:val="none" w:sz="0" w:space="0" w:color="auto"/>
            <w:left w:val="none" w:sz="0" w:space="0" w:color="auto"/>
            <w:bottom w:val="none" w:sz="0" w:space="0" w:color="auto"/>
            <w:right w:val="none" w:sz="0" w:space="0" w:color="auto"/>
          </w:divBdr>
        </w:div>
        <w:div w:id="857617781">
          <w:marLeft w:val="0"/>
          <w:marRight w:val="0"/>
          <w:marTop w:val="0"/>
          <w:marBottom w:val="0"/>
          <w:divBdr>
            <w:top w:val="none" w:sz="0" w:space="0" w:color="auto"/>
            <w:left w:val="none" w:sz="0" w:space="0" w:color="auto"/>
            <w:bottom w:val="none" w:sz="0" w:space="0" w:color="auto"/>
            <w:right w:val="none" w:sz="0" w:space="0" w:color="auto"/>
          </w:divBdr>
        </w:div>
        <w:div w:id="1487819573">
          <w:marLeft w:val="0"/>
          <w:marRight w:val="0"/>
          <w:marTop w:val="0"/>
          <w:marBottom w:val="0"/>
          <w:divBdr>
            <w:top w:val="none" w:sz="0" w:space="0" w:color="auto"/>
            <w:left w:val="none" w:sz="0" w:space="0" w:color="auto"/>
            <w:bottom w:val="none" w:sz="0" w:space="0" w:color="auto"/>
            <w:right w:val="none" w:sz="0" w:space="0" w:color="auto"/>
          </w:divBdr>
        </w:div>
        <w:div w:id="694385828">
          <w:marLeft w:val="0"/>
          <w:marRight w:val="0"/>
          <w:marTop w:val="0"/>
          <w:marBottom w:val="0"/>
          <w:divBdr>
            <w:top w:val="none" w:sz="0" w:space="0" w:color="auto"/>
            <w:left w:val="none" w:sz="0" w:space="0" w:color="auto"/>
            <w:bottom w:val="none" w:sz="0" w:space="0" w:color="auto"/>
            <w:right w:val="none" w:sz="0" w:space="0" w:color="auto"/>
          </w:divBdr>
        </w:div>
        <w:div w:id="1017194839">
          <w:marLeft w:val="0"/>
          <w:marRight w:val="0"/>
          <w:marTop w:val="0"/>
          <w:marBottom w:val="0"/>
          <w:divBdr>
            <w:top w:val="none" w:sz="0" w:space="0" w:color="auto"/>
            <w:left w:val="none" w:sz="0" w:space="0" w:color="auto"/>
            <w:bottom w:val="none" w:sz="0" w:space="0" w:color="auto"/>
            <w:right w:val="none" w:sz="0" w:space="0" w:color="auto"/>
          </w:divBdr>
        </w:div>
        <w:div w:id="167185536">
          <w:marLeft w:val="0"/>
          <w:marRight w:val="0"/>
          <w:marTop w:val="0"/>
          <w:marBottom w:val="0"/>
          <w:divBdr>
            <w:top w:val="none" w:sz="0" w:space="0" w:color="auto"/>
            <w:left w:val="none" w:sz="0" w:space="0" w:color="auto"/>
            <w:bottom w:val="none" w:sz="0" w:space="0" w:color="auto"/>
            <w:right w:val="none" w:sz="0" w:space="0" w:color="auto"/>
          </w:divBdr>
        </w:div>
        <w:div w:id="341861102">
          <w:marLeft w:val="0"/>
          <w:marRight w:val="0"/>
          <w:marTop w:val="0"/>
          <w:marBottom w:val="0"/>
          <w:divBdr>
            <w:top w:val="none" w:sz="0" w:space="0" w:color="auto"/>
            <w:left w:val="none" w:sz="0" w:space="0" w:color="auto"/>
            <w:bottom w:val="none" w:sz="0" w:space="0" w:color="auto"/>
            <w:right w:val="none" w:sz="0" w:space="0" w:color="auto"/>
          </w:divBdr>
        </w:div>
        <w:div w:id="1733889854">
          <w:marLeft w:val="0"/>
          <w:marRight w:val="0"/>
          <w:marTop w:val="0"/>
          <w:marBottom w:val="0"/>
          <w:divBdr>
            <w:top w:val="none" w:sz="0" w:space="0" w:color="auto"/>
            <w:left w:val="none" w:sz="0" w:space="0" w:color="auto"/>
            <w:bottom w:val="none" w:sz="0" w:space="0" w:color="auto"/>
            <w:right w:val="none" w:sz="0" w:space="0" w:color="auto"/>
          </w:divBdr>
        </w:div>
        <w:div w:id="1230572793">
          <w:marLeft w:val="0"/>
          <w:marRight w:val="0"/>
          <w:marTop w:val="0"/>
          <w:marBottom w:val="0"/>
          <w:divBdr>
            <w:top w:val="none" w:sz="0" w:space="0" w:color="auto"/>
            <w:left w:val="none" w:sz="0" w:space="0" w:color="auto"/>
            <w:bottom w:val="none" w:sz="0" w:space="0" w:color="auto"/>
            <w:right w:val="none" w:sz="0" w:space="0" w:color="auto"/>
          </w:divBdr>
        </w:div>
        <w:div w:id="1136141720">
          <w:marLeft w:val="0"/>
          <w:marRight w:val="0"/>
          <w:marTop w:val="0"/>
          <w:marBottom w:val="0"/>
          <w:divBdr>
            <w:top w:val="none" w:sz="0" w:space="0" w:color="auto"/>
            <w:left w:val="none" w:sz="0" w:space="0" w:color="auto"/>
            <w:bottom w:val="none" w:sz="0" w:space="0" w:color="auto"/>
            <w:right w:val="none" w:sz="0" w:space="0" w:color="auto"/>
          </w:divBdr>
        </w:div>
        <w:div w:id="1063724310">
          <w:marLeft w:val="0"/>
          <w:marRight w:val="0"/>
          <w:marTop w:val="0"/>
          <w:marBottom w:val="0"/>
          <w:divBdr>
            <w:top w:val="none" w:sz="0" w:space="0" w:color="auto"/>
            <w:left w:val="none" w:sz="0" w:space="0" w:color="auto"/>
            <w:bottom w:val="none" w:sz="0" w:space="0" w:color="auto"/>
            <w:right w:val="none" w:sz="0" w:space="0" w:color="auto"/>
          </w:divBdr>
        </w:div>
        <w:div w:id="1089543247">
          <w:marLeft w:val="0"/>
          <w:marRight w:val="0"/>
          <w:marTop w:val="0"/>
          <w:marBottom w:val="0"/>
          <w:divBdr>
            <w:top w:val="none" w:sz="0" w:space="0" w:color="auto"/>
            <w:left w:val="none" w:sz="0" w:space="0" w:color="auto"/>
            <w:bottom w:val="none" w:sz="0" w:space="0" w:color="auto"/>
            <w:right w:val="none" w:sz="0" w:space="0" w:color="auto"/>
          </w:divBdr>
        </w:div>
        <w:div w:id="607006860">
          <w:marLeft w:val="0"/>
          <w:marRight w:val="0"/>
          <w:marTop w:val="0"/>
          <w:marBottom w:val="0"/>
          <w:divBdr>
            <w:top w:val="none" w:sz="0" w:space="0" w:color="auto"/>
            <w:left w:val="none" w:sz="0" w:space="0" w:color="auto"/>
            <w:bottom w:val="none" w:sz="0" w:space="0" w:color="auto"/>
            <w:right w:val="none" w:sz="0" w:space="0" w:color="auto"/>
          </w:divBdr>
        </w:div>
        <w:div w:id="2056393149">
          <w:marLeft w:val="0"/>
          <w:marRight w:val="0"/>
          <w:marTop w:val="0"/>
          <w:marBottom w:val="0"/>
          <w:divBdr>
            <w:top w:val="none" w:sz="0" w:space="0" w:color="auto"/>
            <w:left w:val="none" w:sz="0" w:space="0" w:color="auto"/>
            <w:bottom w:val="none" w:sz="0" w:space="0" w:color="auto"/>
            <w:right w:val="none" w:sz="0" w:space="0" w:color="auto"/>
          </w:divBdr>
        </w:div>
      </w:divsChild>
    </w:div>
    <w:div w:id="2127458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apnews.com/article/police-discrimination-race-and-ethnicity-racial-injustice-f2c6b37bb79c744582a54652cb86b9d7" TargetMode="External"/><Relationship Id="rId1827" Type="http://schemas.openxmlformats.org/officeDocument/2006/relationships/hyperlink" Target="https://public.fastcase.com/J%2FJP6pdidelsXxEE4k%2BLMr0y9kFOAzIUnYfOqh5rzor5PqJTkzf5B1o34%2FZmTTqCNP3Iy4k13qLiNXQ3dhjTd98I5NdjhvTfnAcaeUtmaKs%3D" TargetMode="External"/><Relationship Id="rId21" Type="http://schemas.openxmlformats.org/officeDocument/2006/relationships/hyperlink" Target="https://scholar.uc.edu/show/ks65hd707" TargetMode="External"/><Relationship Id="rId2089" Type="http://schemas.openxmlformats.org/officeDocument/2006/relationships/hyperlink" Target="https://cases.justia.com/federal/district-courts/pennsylvania/paedce/2:2023cv00155/604825/106/0.pdf?ts=1739281859" TargetMode="External"/><Relationship Id="rId170" Type="http://schemas.openxmlformats.org/officeDocument/2006/relationships/hyperlink" Target="https://public.fastcase.com/ZZhmr5v9wN%2FXOe5IsQ%2FqDx2aoAq%2F1J3XMBw8WA8L1d7o8S2WtY%2BTDnBn3n2%2F0y8X6CyWkgilV2OmVPwbi%2FNntkvFVphnueZifNbADUBhdiU%3D?utm_medium=email&amp;_hsmi=226712652&amp;_hsenc=p2ANqtz--A7cSCsQiKnmkWIbrJV3BH1NDDsIsoOUsxX371tCp7kUULX-TDL4poIpgmi8VFxIZ6Go7w0Api1t7_UP6pxMUzbV5FWQ&amp;utm_content=226712652&amp;utm_source=hs_email" TargetMode="External"/><Relationship Id="rId2296" Type="http://schemas.openxmlformats.org/officeDocument/2006/relationships/hyperlink" Target="https://www.natlawreview.com/article/mandatory-vaccination-policy-lawsuit-update-nurses-take-shot-against-hospital-judge" TargetMode="External"/><Relationship Id="rId268" Type="http://schemas.openxmlformats.org/officeDocument/2006/relationships/hyperlink" Target="https://www.tcpalm.com/story/news/crime/st-lucie-county/2018/10/05/verdict-deputy-violated-martin-mans-civil-rights/1526605002/" TargetMode="External"/><Relationship Id="rId475" Type="http://schemas.openxmlformats.org/officeDocument/2006/relationships/hyperlink" Target="https://cases.justia.com/new-york/other-courts/2024-2024-ny-slip-op-31696-u.pdf?ts=1716238363" TargetMode="External"/><Relationship Id="rId682" Type="http://schemas.openxmlformats.org/officeDocument/2006/relationships/hyperlink" Target="https://casetext.com/case/souverneva-v-the-superior-court" TargetMode="External"/><Relationship Id="rId2156" Type="http://schemas.openxmlformats.org/officeDocument/2006/relationships/hyperlink" Target="https://public.fastcase.com/H1P9uiW3J20SFp%2BGCG%2BxLWaE5rZYr2H4Ujam%2BycZ4mpAt0doHRie9oUlcl2qsPlk?utm_medium=email&amp;_hsmi=226712652&amp;_hsenc=p2ANqtz-_AW42DW2ZKsbYvGhsf40qi8tEpXVEeEydLzmuxudQnQi0lg_TvDjKAtr1z0dXm_j1xtTRfnovBA_RTcYhjFA_6sdUkCw&amp;utm_content=226712652&amp;utm_source=hs_email" TargetMode="External"/><Relationship Id="rId2363" Type="http://schemas.openxmlformats.org/officeDocument/2006/relationships/hyperlink" Target="https://public.fastcase.com/Wl%2B2t%2BeVuI35%2FN70vAMFZmo%2BcULZ%2FcXakIqGXvRrcFYkKri8LBojVsP%2FOvCVPfk0" TargetMode="External"/><Relationship Id="rId2570" Type="http://schemas.openxmlformats.org/officeDocument/2006/relationships/hyperlink" Target="https://public.fastcase.com/jaEE2PXzRXmZ99jOLMt1Io06bpL9%2FLcVXr53aaIUyQvAP5%2BtJH87Oz9onDjzcythnenHIV2f708%2FwR4gt4qkO1f7jeRt%2FKEtj1yUDHm75oU%3D?utm_medium=email&amp;_hsenc=p2ANqtz-_2UmH9uPWr2Na6-FEToPkSf6GcL7PU5KfrxYC2lQgS-z6zkFrF54nulArls3PhR-gkNqFrsBzQlt3BvLsHbxpWeUso_A&amp;_hsmi=226712652&amp;utm_content=226712652&amp;utm_source=hs_email" TargetMode="External"/><Relationship Id="rId128" Type="http://schemas.openxmlformats.org/officeDocument/2006/relationships/hyperlink" Target="http://kool.corrections.ky.gov/KOOL/Details/61717" TargetMode="External"/><Relationship Id="rId335" Type="http://schemas.openxmlformats.org/officeDocument/2006/relationships/hyperlink" Target="https://cases.justia.com/federal/district-courts/pennsylvania/pawdce/3:2018cv00193/249675/37/0.pdf?ts=1571736238" TargetMode="External"/><Relationship Id="rId542" Type="http://schemas.openxmlformats.org/officeDocument/2006/relationships/hyperlink" Target="https://casetext.com/case/topper-v-thomas" TargetMode="External"/><Relationship Id="rId987" Type="http://schemas.openxmlformats.org/officeDocument/2006/relationships/hyperlink" Target="https://www.courts.michigan.gov/4a237a/siteassets/case-documents/uploads/opinions/final/coa/20220728_c356829_27_356829.opn.pdf" TargetMode="External"/><Relationship Id="rId1172" Type="http://schemas.openxmlformats.org/officeDocument/2006/relationships/hyperlink" Target="https://codes.ohio.gov/ohio-revised-code/section-742.10" TargetMode="External"/><Relationship Id="rId2016" Type="http://schemas.openxmlformats.org/officeDocument/2006/relationships/hyperlink" Target="https://www.coloradojudicial.gov/system/files/opinions-2026-06/24CA0675.pdf" TargetMode="External"/><Relationship Id="rId2223" Type="http://schemas.openxmlformats.org/officeDocument/2006/relationships/hyperlink" Target="https://law.justia.com/cases/michigan/court-of-appeals-unpublished/2022/359110.html" TargetMode="External"/><Relationship Id="rId2430" Type="http://schemas.openxmlformats.org/officeDocument/2006/relationships/hyperlink" Target="https://www.ca4.uscourts.gov/Opinions/201342.P.pdf" TargetMode="External"/><Relationship Id="rId2668" Type="http://schemas.openxmlformats.org/officeDocument/2006/relationships/hyperlink" Target="https://abc7ny.com/newark-firefighters-firefighter-arrest-gunfire/1228031/" TargetMode="External"/><Relationship Id="rId2875" Type="http://schemas.openxmlformats.org/officeDocument/2006/relationships/hyperlink" Target="https://www.journal-news.com/news/local/fairfield-able-rehire-retired-fire-chief/JMPkJQCqJ2eIDqbu2eI8RK/" TargetMode="External"/><Relationship Id="rId402" Type="http://schemas.openxmlformats.org/officeDocument/2006/relationships/hyperlink" Target="https://www.pacourts.us/assets/opinions/Superior/out/J-S01044-26m%20-%20106707559350028927.pdf?cb=1" TargetMode="External"/><Relationship Id="rId847" Type="http://schemas.openxmlformats.org/officeDocument/2006/relationships/hyperlink" Target="https://d.docs.live.net/bd9b2eaf6053242e/AppData/Roaming/Microsoft/AppData/Local/Microsoft/Windows/INetCache/IE/XO250S7T/16-534_6jfm.pdf" TargetMode="External"/><Relationship Id="rId1032" Type="http://schemas.openxmlformats.org/officeDocument/2006/relationships/hyperlink" Target="https://www.mass.gov/doc/defarias-paul-v-city-of-gloucester-related-appeals-court-decision-52626/download" TargetMode="External"/><Relationship Id="rId1477" Type="http://schemas.openxmlformats.org/officeDocument/2006/relationships/hyperlink" Target="https://www.eeoc.gov/eeoc/newsroom/release/6-13-18.cfm" TargetMode="External"/><Relationship Id="rId1684" Type="http://schemas.openxmlformats.org/officeDocument/2006/relationships/hyperlink" Target="https://casetext.com/case/meyer-v-city-of-chehalis" TargetMode="External"/><Relationship Id="rId1891" Type="http://schemas.openxmlformats.org/officeDocument/2006/relationships/hyperlink" Target="https://www.dol.gov/whd/opinion/search/index.htm?FLSA" TargetMode="External"/><Relationship Id="rId2528" Type="http://schemas.openxmlformats.org/officeDocument/2006/relationships/hyperlink" Target="https://www.nycourts.gov/reporter/current/3dseries/2026/2026_04537.shtml" TargetMode="External"/><Relationship Id="rId2735" Type="http://schemas.openxmlformats.org/officeDocument/2006/relationships/hyperlink" Target="https://www.latimes.com/local/lanow/la-me-ln-ex-cal-fire-chief-convicted-stabbing-girlfriend-20150624-story.html" TargetMode="External"/><Relationship Id="rId2942" Type="http://schemas.openxmlformats.org/officeDocument/2006/relationships/hyperlink" Target="https://cases.justia.com/florida/fifth-district-court-of-appeal/2022-5d21-1620.pdf?ts=1666365198" TargetMode="External"/><Relationship Id="rId707" Type="http://schemas.openxmlformats.org/officeDocument/2006/relationships/hyperlink" Target="https://www.cdcr.ca.gov/facility-locator/conservation-camps/" TargetMode="External"/><Relationship Id="rId914" Type="http://schemas.openxmlformats.org/officeDocument/2006/relationships/hyperlink" Target="https://www.supremecourt.gov/opinions/21pdf/20-1539_09m1.pdf" TargetMode="External"/><Relationship Id="rId1337" Type="http://schemas.openxmlformats.org/officeDocument/2006/relationships/hyperlink" Target="https://public.fastcase.com/Jhe1Qn%2BmJndQYQU6z%2FeNm28hiR351dlql3mVrX%2BsW%2FImhVx6LSAbrfZ7R6LP8TbVpSsTp59uwiaa1M%2BxYMu%2FQBeMVJpWoOyQUcFN4LagzoA%3D?utm_medium=email&amp;_hsenc=p2ANqtz-_AWahbnWxhCpMGQYhqfNcYdYivaiXkQGNq4hyWsJQjqDO6KUeS-ltttGyoOKYk2fjuNkb2NzSqvCRrJD1Iyf-ei7DoTw&amp;_hsmi=226712652&amp;utm_content=226712652&amp;utm_source=hs_email" TargetMode="External"/><Relationship Id="rId1544" Type="http://schemas.openxmlformats.org/officeDocument/2006/relationships/hyperlink" Target="https://www.supremecourt.gov/opinions/22pdf/600us1r53_4g15.pdf" TargetMode="External"/><Relationship Id="rId1751" Type="http://schemas.openxmlformats.org/officeDocument/2006/relationships/hyperlink" Target="https://caselaw.findlaw.com/court/us-7th-circuit/2104932.html" TargetMode="External"/><Relationship Id="rId1989" Type="http://schemas.openxmlformats.org/officeDocument/2006/relationships/hyperlink" Target="https://www.law.com/thelegalintelligencer/2019/10/02/proposed-safe-injection-site-in-philadelphia-clears-legal-hurdle/" TargetMode="External"/><Relationship Id="rId2802" Type="http://schemas.openxmlformats.org/officeDocument/2006/relationships/hyperlink" Target="http://www.wpri.com/news/supreme-court-sides-with-providence-in-dispute-over-weightlifting-firefighters-disability-pension/1082484435" TargetMode="External"/><Relationship Id="rId43" Type="http://schemas.openxmlformats.org/officeDocument/2006/relationships/hyperlink" Target="https://www.youtube.com/watch?v=lqmk210Y9sk" TargetMode="External"/><Relationship Id="rId1404" Type="http://schemas.openxmlformats.org/officeDocument/2006/relationships/hyperlink" Target="https://public.fastcase.com/J%2FJP6pdidelsXxEE4k%2BLMhHGbq56VzoTk1JFKDMbyAsW64naZ9EKqTmGK9O1R3Wr9GeihMDs1Zh2VHQfJhn6l7jf8Y6MJiDUL4WQvVsRKlE%3D?utm_medium=email&amp;_hsmi=226712652&amp;_hsenc=p2ANqtz-8S41Im3p2bNEgWstI4h7IIgl63Egh37Z-OzcnjQev0mJue-BzqLfMZTGtGKB_KMNSyA32EmSFNwIWzkboUxTkEerO4Tg&amp;utm_content=226712652&amp;utm_source=hs_email" TargetMode="External"/><Relationship Id="rId1611" Type="http://schemas.openxmlformats.org/officeDocument/2006/relationships/hyperlink" Target="https://public.fastcase.com/Wl%2B2t%2BeVuI35%2FN70vAMFZjxlcnGgF4KmxTbsHmdpUnhrKX1xZ8%2F1BaT4X1Cm7%2Fji" TargetMode="External"/><Relationship Id="rId1849" Type="http://schemas.openxmlformats.org/officeDocument/2006/relationships/hyperlink" Target="https://www.lcwlegal.com/news/cash-in-lieu-must-be-included-in-the-regular-rate-for-overtime-purposes-under-the-flsa-4" TargetMode="External"/><Relationship Id="rId192" Type="http://schemas.openxmlformats.org/officeDocument/2006/relationships/hyperlink" Target="https://www.leagle.com/decision/infdco20230413c44" TargetMode="External"/><Relationship Id="rId1709" Type="http://schemas.openxmlformats.org/officeDocument/2006/relationships/hyperlink" Target="https://www.mass.gov/files/documents/2020/09/29/q19P0676.pdf" TargetMode="External"/><Relationship Id="rId1916" Type="http://schemas.openxmlformats.org/officeDocument/2006/relationships/hyperlink" Target="https://www.firefighternation.com/fire-leadership/what-does-president-trumps-new-marijuana-directive-mean-for-you-as-a-fire-chief/" TargetMode="External"/><Relationship Id="rId497" Type="http://schemas.openxmlformats.org/officeDocument/2006/relationships/hyperlink" Target="https://apps.usfa.fema.gov/firefighter-fatalities/fatalityData/detail?fatalityId=4784" TargetMode="External"/><Relationship Id="rId2080" Type="http://schemas.openxmlformats.org/officeDocument/2006/relationships/hyperlink" Target="https://law.justia.com/cases/new-york/other-courts/2025/2025-ny-slip-op-50759-u.html" TargetMode="External"/><Relationship Id="rId2178" Type="http://schemas.openxmlformats.org/officeDocument/2006/relationships/hyperlink" Target="https://codes.ohio.gov/ohio-revised-code/section-149.43" TargetMode="External"/><Relationship Id="rId2385" Type="http://schemas.openxmlformats.org/officeDocument/2006/relationships/hyperlink" Target="https://cases.justia.com/federal/district-courts/illinois/ilcdce/1:2017cv01212/69571/44/0.pdf?ts=1567070402" TargetMode="External"/><Relationship Id="rId357" Type="http://schemas.openxmlformats.org/officeDocument/2006/relationships/hyperlink" Target="https://www.supremecourt.gov/opinions/18pdf/17-1660_5ifl.pdf" TargetMode="External"/><Relationship Id="rId1194" Type="http://schemas.openxmlformats.org/officeDocument/2006/relationships/hyperlink" Target="https://njcourts.gov/attorneys/assets/opinions/appellate/unpublished/a4070-18.pdf" TargetMode="External"/><Relationship Id="rId2038" Type="http://schemas.openxmlformats.org/officeDocument/2006/relationships/hyperlink" Target="https://cases.justia.com/federal/district-courts/california/caedce/1:2025cv00789/467494/25/0.pdf?ts=1773524860" TargetMode="External"/><Relationship Id="rId2592" Type="http://schemas.openxmlformats.org/officeDocument/2006/relationships/hyperlink" Target="https://public.fastcase.com/jaEE2PXzRXmZ99jOLMt1IqmI6%2FwIkVosxkHnLXFS%2Fh3vCPBsdexRYsXhu3dcS77RM93%2Fb%2FlmP%2FEht28r%2FEOUuz%2BdIsVF1KqStdKclsmvBXo%3D?utm_medium=email&amp;_hsenc=p2ANqtz-_Dn6dsk63fb2EPfPT1163Ju7zkOyiRsNHg_eV5kST7JoaZI-2AGCvSnryJrMriUeP5UHxNkfyzrDvNunm7WCvoOt678w&amp;_hsmi=226712652&amp;utm_content=226712652&amp;utm_source=hs_email" TargetMode="External"/><Relationship Id="rId2897" Type="http://schemas.openxmlformats.org/officeDocument/2006/relationships/hyperlink" Target="https://law.justia.com/cases/new-york/appellate-division-second-department/2019/2016-10658.html" TargetMode="External"/><Relationship Id="rId217" Type="http://schemas.openxmlformats.org/officeDocument/2006/relationships/hyperlink" Target="https://codes.ohio.gov/ohio-revised-code/section-5589.21" TargetMode="External"/><Relationship Id="rId564" Type="http://schemas.openxmlformats.org/officeDocument/2006/relationships/hyperlink" Target="https://law.justia.com/cases/new-york/appellate-division-second-department/2020/2016-13412.html" TargetMode="External"/><Relationship Id="rId771" Type="http://schemas.openxmlformats.org/officeDocument/2006/relationships/hyperlink" Target="https://www.law.cornell.edu/definitions/uscode.php?width=840&amp;height=800&amp;iframe=true&amp;def_id=8-USC-92903111-1485256781&amp;term_occur=999&amp;term_src=" TargetMode="External"/><Relationship Id="rId869" Type="http://schemas.openxmlformats.org/officeDocument/2006/relationships/hyperlink" Target="https://www.mass.gov/doc/grenier-pierre-v-springfield-fire-department-related-appeals-court-decision-101124/download" TargetMode="External"/><Relationship Id="rId1499" Type="http://schemas.openxmlformats.org/officeDocument/2006/relationships/hyperlink" Target="https://www4.courts.ca.gov/opinions/nonpub/B332575.PDF" TargetMode="External"/><Relationship Id="rId2245" Type="http://schemas.openxmlformats.org/officeDocument/2006/relationships/hyperlink" Target="https://www.dallasobserver.com/news/watch-dallas-paramedic-kicks-mentally-ill-man-several-times-before-police-arrive-on-scene-12638001" TargetMode="External"/><Relationship Id="rId2452" Type="http://schemas.openxmlformats.org/officeDocument/2006/relationships/hyperlink" Target="https://cases.justia.com/federal/district-courts/illinois/ilndce/1:2021cv05327/407800/161/0.pdf?ts=1751450196" TargetMode="External"/><Relationship Id="rId424" Type="http://schemas.openxmlformats.org/officeDocument/2006/relationships/hyperlink" Target="https://codes.findlaw.com/ny/general-municipal-law/gmu-sect-205-a/" TargetMode="External"/><Relationship Id="rId631" Type="http://schemas.openxmlformats.org/officeDocument/2006/relationships/hyperlink" Target="https://www.sf.gov/news-federal-court-blocks-trump-administration-from-withholding-funds-to-sanctuary-jurisdictions" TargetMode="External"/><Relationship Id="rId729" Type="http://schemas.openxmlformats.org/officeDocument/2006/relationships/hyperlink" Target="https://www.nbc4i.com/news/local-news/columbus/columbus-gun-laws-dodge-block-on-enforcement-going-into-effect-soon/" TargetMode="External"/><Relationship Id="rId1054" Type="http://schemas.openxmlformats.org/officeDocument/2006/relationships/hyperlink" Target="https://www.courts.state.md.us/sites/default/files/unreported-opinions/1098s22.pdf" TargetMode="External"/><Relationship Id="rId1261" Type="http://schemas.openxmlformats.org/officeDocument/2006/relationships/hyperlink" Target="http://app.leg.wa.gov/RCW/default.aspx?cite=41.26.030" TargetMode="External"/><Relationship Id="rId1359" Type="http://schemas.openxmlformats.org/officeDocument/2006/relationships/hyperlink" Target="https://cases.justia.com/federal/district-courts/new-york/nyedce/1:2023cv09066/507538/25/0.pdf?ts=1739862975%20https://media.cadc.uscourts.gov/orders/docs/2025/02/25-5028LDSD.pdf" TargetMode="External"/><Relationship Id="rId2105" Type="http://schemas.openxmlformats.org/officeDocument/2006/relationships/hyperlink" Target="https://cases.justia.com/kentucky/court-of-appeals/2024-2023-ca-1033-mr.pdf?ts=1727446176" TargetMode="External"/><Relationship Id="rId2312" Type="http://schemas.openxmlformats.org/officeDocument/2006/relationships/hyperlink" Target="https://law.justia.com/cases/maryland/court-of-special-appeals/2021/2349-19.html" TargetMode="External"/><Relationship Id="rId2757" Type="http://schemas.openxmlformats.org/officeDocument/2006/relationships/hyperlink" Target="https://cases.justia.com/utah/court-of-appeals-published/2017-20160099-ca.pdf?ts=1512166432" TargetMode="External"/><Relationship Id="rId2964" Type="http://schemas.openxmlformats.org/officeDocument/2006/relationships/theme" Target="theme/theme1.xml"/><Relationship Id="rId936" Type="http://schemas.openxmlformats.org/officeDocument/2006/relationships/hyperlink" Target="https://law.justia.com/cases/california/supreme-court/2019/s242250.html" TargetMode="External"/><Relationship Id="rId1121" Type="http://schemas.openxmlformats.org/officeDocument/2006/relationships/hyperlink" Target="https://casetext.com/case/state-ex-rel-city-of-cincinnati-v-indus-commn-of-ohio" TargetMode="External"/><Relationship Id="rId1219" Type="http://schemas.openxmlformats.org/officeDocument/2006/relationships/hyperlink" Target="http://codes.ohio.gov/orc/2744.07" TargetMode="External"/><Relationship Id="rId1566" Type="http://schemas.openxmlformats.org/officeDocument/2006/relationships/hyperlink" Target="https://abcnews.go.com/US/miami-firefighters-fired-hanging-noose-black-colleagues-family/story?id=50884714" TargetMode="External"/><Relationship Id="rId1773" Type="http://schemas.openxmlformats.org/officeDocument/2006/relationships/hyperlink" Target="https://www.dol.gov/agencies/whd/fact-sheets/56a-regular-rate" TargetMode="External"/><Relationship Id="rId1980" Type="http://schemas.openxmlformats.org/officeDocument/2006/relationships/hyperlink" Target="https://law.justia.com/cases/federal/appellate-courts/ca3/20-1422/20-1422-2021-01-12.html" TargetMode="External"/><Relationship Id="rId2617" Type="http://schemas.openxmlformats.org/officeDocument/2006/relationships/hyperlink" Target="https://cases.justia.com/federal/appellate-courts/ca9/22-15485/22-15485-2024-05-17.pdf?ts=1715961637" TargetMode="External"/><Relationship Id="rId2824" Type="http://schemas.openxmlformats.org/officeDocument/2006/relationships/hyperlink" Target="https://insideinvestigator.org/court-upholds-finding-of-retaliation-against-suffield-firefighter/" TargetMode="External"/><Relationship Id="rId65" Type="http://schemas.openxmlformats.org/officeDocument/2006/relationships/hyperlink" Target="https://cases.justia.com/federal/district-courts/south-carolina/scdce/2:2024cv02173/290787/65/0.pdf?ts=1756990440" TargetMode="External"/><Relationship Id="rId1426" Type="http://schemas.openxmlformats.org/officeDocument/2006/relationships/hyperlink" Target="https://scholar.google.com/scholar_case?case=18355840808386135290&amp;hl=en&amp;as_sdt=6&amp;as_vis=1&amp;oi=scholarr" TargetMode="External"/><Relationship Id="rId1633" Type="http://schemas.openxmlformats.org/officeDocument/2006/relationships/hyperlink" Target="https://www.casemine.com/judgement/us/6a52586871db26a4e922f540" TargetMode="External"/><Relationship Id="rId1840" Type="http://schemas.openxmlformats.org/officeDocument/2006/relationships/hyperlink" Target="http://www.firefighterovertime.org/wp-content/uploads/2021/11/US_DIS_VAED_2_20cv595_Memorandum_in_Support_re_41_Joint_MOTION_for_Settl.pdf" TargetMode="External"/><Relationship Id="rId1700" Type="http://schemas.openxmlformats.org/officeDocument/2006/relationships/hyperlink" Target="https://www.hmpgloballearningnetwork.com/site/emsworld/original-contribution/sworn-therapy-dog-supports-ohio-responders" TargetMode="External"/><Relationship Id="rId1938" Type="http://schemas.openxmlformats.org/officeDocument/2006/relationships/hyperlink" Target="http://www.law.cornell.edu/uscode/text/42/12114" TargetMode="External"/><Relationship Id="rId281" Type="http://schemas.openxmlformats.org/officeDocument/2006/relationships/hyperlink" Target="mailto:susan.willeke@ethics.ohio.gov" TargetMode="External"/><Relationship Id="rId141" Type="http://schemas.openxmlformats.org/officeDocument/2006/relationships/hyperlink" Target="https://www.opn.ca6.uscourts.gov/opinions.pdf/24a0323n-06.pdf" TargetMode="External"/><Relationship Id="rId379" Type="http://schemas.openxmlformats.org/officeDocument/2006/relationships/hyperlink" Target="https://www.nytimes.com/2018/04/02/us/politics/supreme-court-rules-for-police-officer-in-excessive-force-case.html" TargetMode="External"/><Relationship Id="rId586" Type="http://schemas.openxmlformats.org/officeDocument/2006/relationships/hyperlink" Target="https://www.leagle.com/decision/innvco20191115257" TargetMode="External"/><Relationship Id="rId793" Type="http://schemas.openxmlformats.org/officeDocument/2006/relationships/hyperlink" Target="https://immigrationequality.org/asylum/asylum-manual/immigration-basics-relief-under-cat/" TargetMode="External"/><Relationship Id="rId2267" Type="http://schemas.openxmlformats.org/officeDocument/2006/relationships/hyperlink" Target="https://law.justia.com/cases/federal/district-courts/illinois/ilndce/1:2021cv05039/407354/52/" TargetMode="External"/><Relationship Id="rId2474" Type="http://schemas.openxmlformats.org/officeDocument/2006/relationships/hyperlink" Target="https://caselaw.findlaw.com/court/us-dis-crt-s-d-ohi-wes-div/2089388.html" TargetMode="External"/><Relationship Id="rId2681" Type="http://schemas.openxmlformats.org/officeDocument/2006/relationships/hyperlink" Target="https://www.supremecourt.ohio.gov/rod/docs/pdf/5/2022/2022-Ohio-2757.pdf" TargetMode="External"/><Relationship Id="rId7" Type="http://schemas.openxmlformats.org/officeDocument/2006/relationships/endnotes" Target="endnotes.xml"/><Relationship Id="rId239" Type="http://schemas.openxmlformats.org/officeDocument/2006/relationships/hyperlink" Target="https://public.fastcase.com/9SKwsfNqTc6OieYDhNMyM7D5VS5NTHGa%2BVbO5LbgTVCol88giq6gEwqG77t7xxlVdoZinV7rGr3Vonxjs0f%2FBj%2FzJq07gNCdlFI%2FOtwWHGw%3D" TargetMode="External"/><Relationship Id="rId446" Type="http://schemas.openxmlformats.org/officeDocument/2006/relationships/hyperlink" Target="https://casetext.com/case/waybright-v-frederick-county-2" TargetMode="External"/><Relationship Id="rId653" Type="http://schemas.openxmlformats.org/officeDocument/2006/relationships/hyperlink" Target="https://cases.justia.com/federal/district-courts/illinois/ilndce/1:2025cv12765/488308/72/0.pdf?ts=1763809095" TargetMode="External"/><Relationship Id="rId1076" Type="http://schemas.openxmlformats.org/officeDocument/2006/relationships/hyperlink" Target="https://cases.justia.com/arizona/supreme-court/2025-cv-23-0211-pr.pdf?ts=1743008459" TargetMode="External"/><Relationship Id="rId1283" Type="http://schemas.openxmlformats.org/officeDocument/2006/relationships/hyperlink" Target="https://www.fabf.org/PDF/SummaryOfBenefits.pdf" TargetMode="External"/><Relationship Id="rId1490" Type="http://schemas.openxmlformats.org/officeDocument/2006/relationships/hyperlink" Target="https://cases.justia.com/federal/appellate-courts/ca4/25-1440/25-1440-2026-06-24.pdf?ts=1782325881" TargetMode="External"/><Relationship Id="rId2127" Type="http://schemas.openxmlformats.org/officeDocument/2006/relationships/hyperlink" Target="https://cases.justia.com/north-carolina/court-of-appeals/2024-23-881.pdf?ts=1716294565" TargetMode="External"/><Relationship Id="rId2334" Type="http://schemas.openxmlformats.org/officeDocument/2006/relationships/hyperlink" Target="https://njcourts.gov/attorneys/assets/opinions/appellate/unpublished/a0530-19.pdf" TargetMode="External"/><Relationship Id="rId2779" Type="http://schemas.openxmlformats.org/officeDocument/2006/relationships/hyperlink" Target="http://www.search.txcourts.gov/SearchMedia.aspx?MediaVersionID=c3f113f2-1ba2-49ff-a2ab-1b5420c141ac&amp;coa=coa09&amp;DT=Opinion&amp;MediaID=ad82a5f3-c7c6-4b28-8fe8-0de313580d94" TargetMode="External"/><Relationship Id="rId306" Type="http://schemas.openxmlformats.org/officeDocument/2006/relationships/hyperlink" Target="https://www.courts.state.md.us/sites/default/files/unreported-opinions/0614s19.pdf" TargetMode="External"/><Relationship Id="rId860" Type="http://schemas.openxmlformats.org/officeDocument/2006/relationships/hyperlink" Target="https://www.congress.gov/crs-product/R45732" TargetMode="External"/><Relationship Id="rId958" Type="http://schemas.openxmlformats.org/officeDocument/2006/relationships/hyperlink" Target="https://cases.justia.com/north-carolina/court-of-appeals/2025-24-790.pdf?ts=1744808209" TargetMode="External"/><Relationship Id="rId1143" Type="http://schemas.openxmlformats.org/officeDocument/2006/relationships/hyperlink" Target="https://public.fastcase.com/J%2FJP6pdidelsXxEE4k%2BLMqkdD5%2F9vomvqFlCkCXbHBZeshVe9dMO69n26VvOOGQ0AfFNIJdHHotvSTHs4WCcjg4h%2FMs%2B3ZGL0GmuYT%2B2kk4%3D?utm_medium=email&amp;_hsmi=226712652&amp;_hsenc=p2ANqtz-9blRBfGvWcvPfjP94U0OWp5xjRToJRFC1FgT4HNxkVt3pCFWJPlaIDL-9MMTlNfF1ZXM41l3Otj_VuO__ziHrFsLR4IQ&amp;utm_content=226712652&amp;utm_source=hs_email" TargetMode="External"/><Relationship Id="rId1588" Type="http://schemas.openxmlformats.org/officeDocument/2006/relationships/hyperlink" Target="https://fox8.com/tag/cleveland-ems/" TargetMode="External"/><Relationship Id="rId1795" Type="http://schemas.openxmlformats.org/officeDocument/2006/relationships/hyperlink" Target="https://webapps.dol.gov/elaws/otcalculator.htm" TargetMode="External"/><Relationship Id="rId2541" Type="http://schemas.openxmlformats.org/officeDocument/2006/relationships/hyperlink" Target="https://nola.gov/getattachment/a5d775b2-685d-43c3-a7ff-ae60a9dcf745/Murphy,-Michael-9697-9698/" TargetMode="External"/><Relationship Id="rId2639" Type="http://schemas.openxmlformats.org/officeDocument/2006/relationships/hyperlink" Target="https://casetext.com/case/holt-v-florissant-fire-prot-dist" TargetMode="External"/><Relationship Id="rId2846" Type="http://schemas.openxmlformats.org/officeDocument/2006/relationships/hyperlink" Target="https://cases.justia.com/new-jersey/appellate-division-unpublished/2023-a-1747-21.pdf?ts=1696950933" TargetMode="External"/><Relationship Id="rId87" Type="http://schemas.openxmlformats.org/officeDocument/2006/relationships/hyperlink" Target="https://www.14news.com/2022/08/18/wife-convicted-murderer-both-charged-death-evansville-firefighter/" TargetMode="External"/><Relationship Id="rId513" Type="http://schemas.openxmlformats.org/officeDocument/2006/relationships/hyperlink" Target="https://casetext.com/case/city-of-philadelphia-v-healey" TargetMode="External"/><Relationship Id="rId720" Type="http://schemas.openxmlformats.org/officeDocument/2006/relationships/hyperlink" Target="https://casetext.com/case/baarbe-v-the-syrian-arab-republic" TargetMode="External"/><Relationship Id="rId818" Type="http://schemas.openxmlformats.org/officeDocument/2006/relationships/hyperlink" Target="https://public.fastcase.com/Wl%2B2t%2BeVuI35%2FN70vAMFZkKd%2BuUeGYT9r22oA9ty28Exj1jRAAAURPUljfVU2169" TargetMode="External"/><Relationship Id="rId1350" Type="http://schemas.openxmlformats.org/officeDocument/2006/relationships/hyperlink" Target="https://www.supremecourt.gov/opinions/24pdf/23-1039_c0n2.pdf" TargetMode="External"/><Relationship Id="rId1448" Type="http://schemas.openxmlformats.org/officeDocument/2006/relationships/hyperlink" Target="https://www.justice.gov/opa/pr/justice-department-files-lawsuit-against-city-houston-sex-discrimination-and-retaliation" TargetMode="External"/><Relationship Id="rId1655" Type="http://schemas.openxmlformats.org/officeDocument/2006/relationships/hyperlink" Target="https://abcnews.go.com/Health/1500-nyc-municipal-workers-fired-vaccinated-covid/story?id=82900617" TargetMode="External"/><Relationship Id="rId2401" Type="http://schemas.openxmlformats.org/officeDocument/2006/relationships/hyperlink" Target="https://docs.justia.com/cases/federal/district-courts/washington/wawdce/2:2017cv01133/248111/33" TargetMode="External"/><Relationship Id="rId2706" Type="http://schemas.openxmlformats.org/officeDocument/2006/relationships/hyperlink" Target="http://www.kcra.com/article/sacramento-firefighter-arrested-on-misdemeanor-sexual-battery-charge/9977725" TargetMode="External"/><Relationship Id="rId1003" Type="http://schemas.openxmlformats.org/officeDocument/2006/relationships/hyperlink" Target="https://law.justia.com/cases/mississippi/court-of-appeals/2021/2019-ca-01406-coa.html" TargetMode="External"/><Relationship Id="rId1210" Type="http://schemas.openxmlformats.org/officeDocument/2006/relationships/hyperlink" Target="http://www.aele.org/law/Digests/empl6.html" TargetMode="External"/><Relationship Id="rId1308" Type="http://schemas.openxmlformats.org/officeDocument/2006/relationships/hyperlink" Target="http://www.eeoc.gov/" TargetMode="External"/><Relationship Id="rId1862" Type="http://schemas.openxmlformats.org/officeDocument/2006/relationships/hyperlink" Target="https://www.law.cornell.edu/uscode/text/29/260" TargetMode="External"/><Relationship Id="rId2913" Type="http://schemas.openxmlformats.org/officeDocument/2006/relationships/hyperlink" Target="https://www.muscalaw.com/blog/understanding-floridas-new-halo-law-and-its-impact-first-amendment-rights" TargetMode="External"/><Relationship Id="rId1515" Type="http://schemas.openxmlformats.org/officeDocument/2006/relationships/hyperlink" Target="https://www.wlwt.com/article/cincinnati-childrens-investigation-scholarships-minorities/64180173" TargetMode="External"/><Relationship Id="rId1722" Type="http://schemas.openxmlformats.org/officeDocument/2006/relationships/hyperlink" Target="https://cases.justia.com/federal/appellate-courts/ca3/18-2706/18-2706-2019-08-09.pdf?ts=1565368208" TargetMode="External"/><Relationship Id="rId14" Type="http://schemas.openxmlformats.org/officeDocument/2006/relationships/hyperlink" Target="http://www.waveland.com/browse.php?t=708" TargetMode="External"/><Relationship Id="rId2191" Type="http://schemas.openxmlformats.org/officeDocument/2006/relationships/hyperlink" Target="https://public.fastcase.com/ZZhmr5v9wN%2FXOe5IsQ%2FqD48qScyjnns4BvOFYThqD1VKn2oC3YL9HIinTf%2Fp30r2wBlFtUUFvRMyBphGDo8K28IC4vVctJZhhayY6V%2Bfn28%3D?utm_medium=email&amp;_hsmi=226712652&amp;_hsenc=p2ANqtz--TIjwUVFjOo5damiP3K6KiM86Ts0N1olRqZ_ArClgxTthTEvnZAd5hvf4I6P2KEFN6nH9cQVmvAvnMp9eheEIqoLW5ew&amp;utm_content=226712652&amp;utm_source=hs_email" TargetMode="External"/><Relationship Id="rId163" Type="http://schemas.openxmlformats.org/officeDocument/2006/relationships/hyperlink" Target="https://www.courts.state.co.us/userfiles/file/Court_Probation/Supreme_Court/Opinions/2023/23SA12.pdf?utm_source=substack&amp;utm_medium=email" TargetMode="External"/><Relationship Id="rId370" Type="http://schemas.openxmlformats.org/officeDocument/2006/relationships/hyperlink" Target="https://client.prod.iaff.org/" TargetMode="External"/><Relationship Id="rId2051" Type="http://schemas.openxmlformats.org/officeDocument/2006/relationships/hyperlink" Target="https://cases.justia.com/federal/district-courts/utah/utdce/2:2025cv00111/154289/32/0.pdf?ts=1765634947" TargetMode="External"/><Relationship Id="rId2289" Type="http://schemas.openxmlformats.org/officeDocument/2006/relationships/hyperlink" Target="https://www.youtube.com/watch?v=DDCANExSv1Q" TargetMode="External"/><Relationship Id="rId2496" Type="http://schemas.openxmlformats.org/officeDocument/2006/relationships/hyperlink" Target="https://www.ca5.uscourts.gov/opinions/pub/21/21-20085-CV0.pdf" TargetMode="External"/><Relationship Id="rId230" Type="http://schemas.openxmlformats.org/officeDocument/2006/relationships/hyperlink" Target="https://law.justia.com/cases/texas/supreme-court/2022/20-0366-0.html" TargetMode="External"/><Relationship Id="rId468" Type="http://schemas.openxmlformats.org/officeDocument/2006/relationships/hyperlink" Target="https://www.hometownlife.com/story/news/local/westland/2016/04/15/report-released-westland-firefighter-death/83087498/" TargetMode="External"/><Relationship Id="rId675" Type="http://schemas.openxmlformats.org/officeDocument/2006/relationships/hyperlink" Target="https://www.supremecourt.gov/opinions/24pdf/23-852_c07d.pdf" TargetMode="External"/><Relationship Id="rId882" Type="http://schemas.openxmlformats.org/officeDocument/2006/relationships/hyperlink" Target="https://casetext.com/case/borel-v-city-of-murrieta" TargetMode="External"/><Relationship Id="rId1098" Type="http://schemas.openxmlformats.org/officeDocument/2006/relationships/hyperlink" Target="https://cases.justia.com/federal/district-courts/louisiana/laedce/2:2023cv00439/259406/50/0.pdf?ts=1721728516" TargetMode="External"/><Relationship Id="rId2149" Type="http://schemas.openxmlformats.org/officeDocument/2006/relationships/hyperlink" Target="https://cases.justia.com/federal/appellate-courts/ca10/24-7035/24-7035-2025-08-22.pdf?ts=1755880380" TargetMode="External"/><Relationship Id="rId2356" Type="http://schemas.openxmlformats.org/officeDocument/2006/relationships/hyperlink" Target="https://public.fastcase.com/Wl%2B2t%2BeVuI35%2FN70vAMFZpHUgoz3hp5Nx0V5b99AFirO%2BO19k2h0p4CgWny%2Fxn0a" TargetMode="External"/><Relationship Id="rId2563" Type="http://schemas.openxmlformats.org/officeDocument/2006/relationships/hyperlink" Target="https://www.mass.gov/doc/bailey-casley-v-boston-fire-department-62724/download" TargetMode="External"/><Relationship Id="rId2770" Type="http://schemas.openxmlformats.org/officeDocument/2006/relationships/hyperlink" Target="https://www.phoenix.gov/firesite/Documents/fire_mp_10518.pdf" TargetMode="External"/><Relationship Id="rId328" Type="http://schemas.openxmlformats.org/officeDocument/2006/relationships/hyperlink" Target="https://public.fastcase.com/Wl%2B2t%2BeVuI35%2FN70vAMFZj1n7kcpr8halXGGcU2zGib4k7w6DLSXX7%2BQNj%2B4S4J7" TargetMode="External"/><Relationship Id="rId535" Type="http://schemas.openxmlformats.org/officeDocument/2006/relationships/hyperlink" Target="https://www.supremecourt.gov/opinions/21pdf/20-843_7j80.pdf" TargetMode="External"/><Relationship Id="rId742" Type="http://schemas.openxmlformats.org/officeDocument/2006/relationships/hyperlink" Target="https://www.timesofisrael.com/january-6-defendant-denies-boyfriend-plotted-to-shoot-up-synagogue/" TargetMode="External"/><Relationship Id="rId1165" Type="http://schemas.openxmlformats.org/officeDocument/2006/relationships/hyperlink" Target="https://capeunion.org/contracts/meyers-milias-brown-act" TargetMode="External"/><Relationship Id="rId1372" Type="http://schemas.openxmlformats.org/officeDocument/2006/relationships/hyperlink" Target="https://cdnsm5-hosted.civiclive.com/UserFiles/Servers/Server_12810747/File/Opinions/2024/st2020cv00154%2029U.pdf" TargetMode="External"/><Relationship Id="rId2009" Type="http://schemas.openxmlformats.org/officeDocument/2006/relationships/hyperlink" Target="https://www.njcourts.gov/system/files/court-opinions/2026/a_73_24.pdf" TargetMode="External"/><Relationship Id="rId2216" Type="http://schemas.openxmlformats.org/officeDocument/2006/relationships/hyperlink" Target="https://www.law.cornell.edu/uscode/text/42/1395dd" TargetMode="External"/><Relationship Id="rId2423" Type="http://schemas.openxmlformats.org/officeDocument/2006/relationships/hyperlink" Target="https://www.supremecourt.ohio.gov/rod/docs/pdf/4/2018/2018-Ohio-31.pdf" TargetMode="External"/><Relationship Id="rId2630" Type="http://schemas.openxmlformats.org/officeDocument/2006/relationships/hyperlink" Target="https://cases.justia.com/federal/district-courts/illinois/ilndce/1:2021cv03620/405182/52/0.pdf?ts=1706027592" TargetMode="External"/><Relationship Id="rId2868" Type="http://schemas.openxmlformats.org/officeDocument/2006/relationships/hyperlink" Target="https://law.justia.com/cases/pennsylvania/commonwealth-court/2022/242-c-d-2022.html" TargetMode="External"/><Relationship Id="rId602" Type="http://schemas.openxmlformats.org/officeDocument/2006/relationships/hyperlink" Target="https://www.courts.ca.gov/opinions/nonpub/A150651.PD" TargetMode="External"/><Relationship Id="rId1025" Type="http://schemas.openxmlformats.org/officeDocument/2006/relationships/hyperlink" Target="http://www.courts.ca.gov/opinions/nonpub/A154587.PDF" TargetMode="External"/><Relationship Id="rId1232" Type="http://schemas.openxmlformats.org/officeDocument/2006/relationships/hyperlink" Target="https://www.chandralaw.com/blog/retired-cleveland-fire-division-battalion-chief-files-first-amendment-retaliation-suit-against-city-senior-public-safety-officials" TargetMode="External"/><Relationship Id="rId1677" Type="http://schemas.openxmlformats.org/officeDocument/2006/relationships/hyperlink" Target="https://www.govinfo.gov/content/pkg/USCOURTS-paed-2_23-cv-00155/pdf/USCOURTS-paed-2_23-cv-00155-0.pdf" TargetMode="External"/><Relationship Id="rId1884" Type="http://schemas.openxmlformats.org/officeDocument/2006/relationships/hyperlink" Target="https://www.dol.gov/agencies/vets/programs/userra" TargetMode="External"/><Relationship Id="rId2728" Type="http://schemas.openxmlformats.org/officeDocument/2006/relationships/hyperlink" Target="https://www.supremecourt.ohio.gov/rod/docs/pdf/4/2020/2020-Ohio-5615.pdf" TargetMode="External"/><Relationship Id="rId2935" Type="http://schemas.openxmlformats.org/officeDocument/2006/relationships/hyperlink" Target="https://www.courts.michigan.gov/4a7b7c/siteassets/case-documents/uploads/sct/public/orders/166885_47_01.pdf" TargetMode="External"/><Relationship Id="rId907" Type="http://schemas.openxmlformats.org/officeDocument/2006/relationships/hyperlink" Target="https://codes.ohio.gov/ohio-revised-code/section-3746.24" TargetMode="External"/><Relationship Id="rId1537" Type="http://schemas.openxmlformats.org/officeDocument/2006/relationships/hyperlink" Target="https://www.tncourts.gov/sites/default/files/OpinionsPDFVersion/BoydTaurickOPN.pdf" TargetMode="External"/><Relationship Id="rId1744" Type="http://schemas.openxmlformats.org/officeDocument/2006/relationships/hyperlink" Target="https://public.fastcase.com/Wl%2B2t%2BeVuI35%2FN70vAMFZmLHUFluj8t0T%2BAyFM6B%2B2S9SNpejaiKBu7OSzXfoy%2FQ" TargetMode="External"/><Relationship Id="rId1951" Type="http://schemas.openxmlformats.org/officeDocument/2006/relationships/hyperlink" Target="https://public.fastcase.com/J%2FJP6pdidelsXxEE4k%2BLMjguDlksD8dKELdpfFWP9cYBmH83FdbmlTzl%2FYR%2FGHKVJmTrfPX2dR0kqVK5JcTrQwWj0Xyj7G2BHa1wkLBWvR8%3D?utm_medium=email&amp;_hsmi=226712652&amp;_hsenc=p2ANqtz-8X8hd1OyKx9xBVWTYyyRcKWZqDrqGklavKHA9oFy03k-3f0cMxPP9GwSn13jNQOldot2axaAKjxlo1irLgFnquT2grYg&amp;utm_content=226712652&amp;utm_source=hs_email" TargetMode="External"/><Relationship Id="rId36" Type="http://schemas.openxmlformats.org/officeDocument/2006/relationships/hyperlink" Target="https://www.courtswv.gov/sites/default/pubfilesmnt/2026-04/24-79%20Memorandum%20Decision.pdf" TargetMode="External"/><Relationship Id="rId1604" Type="http://schemas.openxmlformats.org/officeDocument/2006/relationships/hyperlink" Target="https://casetext.com/case/bey-v-city-of-ny-7" TargetMode="External"/><Relationship Id="rId185" Type="http://schemas.openxmlformats.org/officeDocument/2006/relationships/hyperlink" Target="https://casetext.com/case/two-bridges-llc-v-city-of-youngstown" TargetMode="External"/><Relationship Id="rId1811" Type="http://schemas.openxmlformats.org/officeDocument/2006/relationships/hyperlink" Target="https://www.dol.gov/agencies/whd/flsa/misclassification" TargetMode="External"/><Relationship Id="rId1909" Type="http://schemas.openxmlformats.org/officeDocument/2006/relationships/hyperlink" Target="https://www.supremecourt.gov/opinions/25pdf/24-1234_g2bh.pdf" TargetMode="External"/><Relationship Id="rId392" Type="http://schemas.openxmlformats.org/officeDocument/2006/relationships/hyperlink" Target="https://cases.justia.com/missouri/court-of-appeals/2026-wd88291.pdf?ts=1779809421" TargetMode="External"/><Relationship Id="rId697" Type="http://schemas.openxmlformats.org/officeDocument/2006/relationships/hyperlink" Target="https://www.supremecourt.gov/opinions/23pdf/22-1178_p8k0.pdf" TargetMode="External"/><Relationship Id="rId2073" Type="http://schemas.openxmlformats.org/officeDocument/2006/relationships/hyperlink" Target="https://public.fastcase.com/jaEE2PXzRXmZ99jOLMt1Ii3GHq1DqUk6JcIatDazVs2MT6qOPN%2BlSHCpyD6INecs?utm_medium=email&amp;_hsenc=p2ANqtz--mlDS8haOQgu8WvAgxTOdChC-L5bDfnY4D7GnlMH_0KI2lqvAqiMoF8QlUmIn8nD4qRtsgkZAeTqUVI7tJfHdW7459rg&amp;_hsmi=226712652&amp;utm_content=226712652&amp;utm_source=hs_email" TargetMode="External"/><Relationship Id="rId2280" Type="http://schemas.openxmlformats.org/officeDocument/2006/relationships/hyperlink" Target="https://casetext.com/case/ortiz-v-renteria" TargetMode="External"/><Relationship Id="rId2378" Type="http://schemas.openxmlformats.org/officeDocument/2006/relationships/hyperlink" Target="https://cases.justia.com/federal/appellate-courts/ca5/18-30932/18-30932-2019-12-17.pdf?ts=1576629071" TargetMode="External"/><Relationship Id="rId252" Type="http://schemas.openxmlformats.org/officeDocument/2006/relationships/hyperlink" Target="https://www.ca2.uscourts.gov/decisions/isysquery/024ad429-f3ca-4195-b401-1dbc5e6424a8/1/doc/20-4211_opn.pdf" TargetMode="External"/><Relationship Id="rId1187" Type="http://schemas.openxmlformats.org/officeDocument/2006/relationships/hyperlink" Target="https://www.iaff.org/presumptive-health/" TargetMode="External"/><Relationship Id="rId2140" Type="http://schemas.openxmlformats.org/officeDocument/2006/relationships/hyperlink" Target="https://www.cbsnews.com/colorado/news/aurora-colorado-paramedic-peter-cichuniec-sentenced-elijah-mcclain/" TargetMode="External"/><Relationship Id="rId2585" Type="http://schemas.openxmlformats.org/officeDocument/2006/relationships/hyperlink" Target="https://www.wtol.com/article/news/crime/port-clinton-fire-chief-kent-johnson-sentenced-to-jail-for-sexual-harassment-case/512-0facde5b-63e1-457e-9908-521ed4a422af" TargetMode="External"/><Relationship Id="rId2792" Type="http://schemas.openxmlformats.org/officeDocument/2006/relationships/hyperlink" Target="https://www.ethics.ohio.gov/education/factsheets/InfoSheet1-Nepotism.pdf" TargetMode="External"/><Relationship Id="rId112" Type="http://schemas.openxmlformats.org/officeDocument/2006/relationships/hyperlink" Target="https://cases.justia.com/pennsylvania/superior-court/2024-1034-mda-2023.pdf?ts=1729535164" TargetMode="External"/><Relationship Id="rId557" Type="http://schemas.openxmlformats.org/officeDocument/2006/relationships/hyperlink" Target="https://law.justia.com/cases/michigan/court-of-appeals-unpublished/2021/350129.html" TargetMode="External"/><Relationship Id="rId764" Type="http://schemas.openxmlformats.org/officeDocument/2006/relationships/hyperlink" Target="https://www.cincinnati.com/story/news/2020/08/01/dayton-shootings-oregon-district-year-later/5521896002/" TargetMode="External"/><Relationship Id="rId971" Type="http://schemas.openxmlformats.org/officeDocument/2006/relationships/hyperlink" Target="https://cases.justia.com/texas/first-court-of-appeals/2023-01-22-00496-cv.pdf?ts=1703769793" TargetMode="External"/><Relationship Id="rId1394" Type="http://schemas.openxmlformats.org/officeDocument/2006/relationships/hyperlink" Target="https://public.fastcase.com/ZZhmr5v9wN%2FXOe5IsQ%2FqDyz5rhb%2FyBrIG8Au%2Ft3V919eqRG814zcJAmxY3jo6zPUS7MBeKfAuG868JSXjuCSoaubFv3fklmg5wPl%2B%2FhuGG8%3D?utm_medium=email&amp;_hsmi=226712652&amp;_hsenc=p2ANqtz-_V_ICNjbd2RZxHYCrc4la9bLeUstsyddFe2y3dzHQoT8LejGxKFn7KSEl6HhmqEbKKnasxkhMyKJsJTXSn_Oay7PK5pg&amp;utm_content=226712652&amp;utm_source=hs_email" TargetMode="External"/><Relationship Id="rId1699" Type="http://schemas.openxmlformats.org/officeDocument/2006/relationships/hyperlink" Target="https://public.fastcase.com/9SKwsfNqTc6OieYDhNMyM6vC7U3N6pFiGGudI%2FRRBa2RM8NFylVCIr30mZgiL1xCGi%2BB4TwUGi23U%2F4WBRTxtqosYxdtzzhHp1yF4K4Z7P8%3D" TargetMode="External"/><Relationship Id="rId2000" Type="http://schemas.openxmlformats.org/officeDocument/2006/relationships/hyperlink" Target="https://cases.justia.com/michigan/court-of-appeals-unpublished/2026-377838.pdf?ts=1784293205" TargetMode="External"/><Relationship Id="rId2238" Type="http://schemas.openxmlformats.org/officeDocument/2006/relationships/hyperlink" Target="https://codes.ohio.gov/ohio-revised-code/section-4765.49" TargetMode="External"/><Relationship Id="rId2445" Type="http://schemas.openxmlformats.org/officeDocument/2006/relationships/hyperlink" Target="https://cases.justia.com/federal/district-courts/south-carolina/scdce/0:2024cv00826/288831/46/0.pdf" TargetMode="External"/><Relationship Id="rId2652" Type="http://schemas.openxmlformats.org/officeDocument/2006/relationships/hyperlink" Target="https://caselaw.findlaw.com/court/us-7th-circuit/2204869.html" TargetMode="External"/><Relationship Id="rId417" Type="http://schemas.openxmlformats.org/officeDocument/2006/relationships/hyperlink" Target="https://www.aclufl.org/legislation/hb-75sb-184-criminalizing-bystanders-exercising-first-amendment-rights/" TargetMode="External"/><Relationship Id="rId624" Type="http://schemas.openxmlformats.org/officeDocument/2006/relationships/hyperlink" Target="https://d.docs.live.net/bd9b2eaf6053242e/AppData/Roaming/Microsoft/AppData/Local/Microsoft/Windows/INetCache/IE/CTCRXJ99/Alvarez-v-American-LaFrance.pdf" TargetMode="External"/><Relationship Id="rId831" Type="http://schemas.openxmlformats.org/officeDocument/2006/relationships/hyperlink" Target="https://cases.justia.com/federal/appellate-courts/ca2/18-1597/18-1597-2019-04-25.pdf?ts=1556202606" TargetMode="External"/><Relationship Id="rId1047" Type="http://schemas.openxmlformats.org/officeDocument/2006/relationships/hyperlink" Target="https://public.fastcase.com/jaEE2PXzRXmZ99jOLMt1IiCZZZpteOfluZOkYG3wMviTSniVMo5h4kc4WRTpe6V8Jg8IM7MTKJ5SfgRKhZGl2tVI6P4U%2BnkSaEwO2dzM8Rk%3D?utm_medium=email&amp;_hsenc=p2ANqtz--UPexxOwqhUZNftyKJhb3R-qXmsyD2qvqkoufxMeh6uEfEbZVRIKhd7hzivD-PUaEhi0YeikRdDbC9teuqS6ORoDRaLQ&amp;_hsmi=226712652&amp;utm_content=226712652&amp;utm_source=hs_email" TargetMode="External"/><Relationship Id="rId1254" Type="http://schemas.openxmlformats.org/officeDocument/2006/relationships/hyperlink" Target="http://codes.ohio.gov/orc/gp9.481" TargetMode="External"/><Relationship Id="rId1461" Type="http://schemas.openxmlformats.org/officeDocument/2006/relationships/hyperlink" Target="https://www.eeoc.gov/federal/reports/upload/pspe.pdf" TargetMode="External"/><Relationship Id="rId2305" Type="http://schemas.openxmlformats.org/officeDocument/2006/relationships/hyperlink" Target="https://www.emsworld.com/news/1223006/wash-fire-dept-faces-fourth-lawsuit-intubating-dead-patient" TargetMode="External"/><Relationship Id="rId2512" Type="http://schemas.openxmlformats.org/officeDocument/2006/relationships/hyperlink" Target="https://public.fastcase.com/Wl%2B2t%2BeVuI35%2FN70vAMFZkQk422sTW9%2BWIlpk%2BnE1B7e7DrNn16tDd9SfmLDmtL4" TargetMode="External"/><Relationship Id="rId2957" Type="http://schemas.openxmlformats.org/officeDocument/2006/relationships/hyperlink" Target="https://www.wkbn.com/news/coronavirus/dewine-signs-law-giving-covid-19-lawsuit-immunity/" TargetMode="External"/><Relationship Id="rId929" Type="http://schemas.openxmlformats.org/officeDocument/2006/relationships/hyperlink" Target="https://leginfo.legislature.ca.gov/faces/billTextClient.xhtml?bill_id=201920200AB2655" TargetMode="External"/><Relationship Id="rId1114" Type="http://schemas.openxmlformats.org/officeDocument/2006/relationships/hyperlink" Target="https://www.google.com/search?channel=frsc&amp;client=firefox-b-1-d&amp;q=MATTHEW+LONG+v.+CHATTANOOGA+FIRE+AND+POLICE+PENSION+FUND+No.+E2022-01151-COA-R3-CV+%7C+June+20%2C+2023+Session+%7C+" TargetMode="External"/><Relationship Id="rId1321" Type="http://schemas.openxmlformats.org/officeDocument/2006/relationships/hyperlink" Target="http://client.prod.iaff.org/" TargetMode="External"/><Relationship Id="rId1559" Type="http://schemas.openxmlformats.org/officeDocument/2006/relationships/hyperlink" Target="https://casetext.com/case/crudup-v-city-of-omaha-4" TargetMode="External"/><Relationship Id="rId1766" Type="http://schemas.openxmlformats.org/officeDocument/2006/relationships/hyperlink" Target="https://www.iaff.org/wp-content/uploads/FLSA-Manual-2022-Edition_FINAL.22Aug01.pdf" TargetMode="External"/><Relationship Id="rId1973" Type="http://schemas.openxmlformats.org/officeDocument/2006/relationships/hyperlink" Target="https://cases.justia.com/federal/appellate-courts/ca10/19-1049/19-1049-2020-04-07.pdf?ts=1586277066" TargetMode="External"/><Relationship Id="rId2817" Type="http://schemas.openxmlformats.org/officeDocument/2006/relationships/hyperlink" Target="https://public.fastcase.com/Jhe1Qn%2BmJndQYQU6z%2FeNmxCPiZizVlc11JYA3odTB4IhzrCNgoXQd5cis%2BDwnvItMWVDGFMSfq0NQT9Gs0Nt1TNd1VW0h9sJNC6uT%2FjNAHc%3D?utm_medium=email&amp;_hsenc=p2ANqtz-8-aEXaYfaNma4DTW9HUN_1FUQQoclWpkG9e_9BTRsreHlU-cWJ1LgKYyHosOTXLG__w-panONGFSrnN_jSAOz_10UwNA&amp;_hsmi=226712652&amp;utm_content=226712652&amp;utm_source=hs_email" TargetMode="External"/><Relationship Id="rId58" Type="http://schemas.openxmlformats.org/officeDocument/2006/relationships/hyperlink" Target="https://www.hstoday.us/subject-matter-areas/unmanned-vehicles/eyes-in-the-sky-do-cities-need-warrants-for-drones/" TargetMode="External"/><Relationship Id="rId1419" Type="http://schemas.openxmlformats.org/officeDocument/2006/relationships/hyperlink" Target="https://casetext.com/case/molchan-v-delmar-fire-dept-1" TargetMode="External"/><Relationship Id="rId1626" Type="http://schemas.openxmlformats.org/officeDocument/2006/relationships/hyperlink" Target="https://law.justia.com/cases/federal/appellate-courts/ca11/18-10631/18-10631-2019-03-01.html" TargetMode="External"/><Relationship Id="rId1833" Type="http://schemas.openxmlformats.org/officeDocument/2006/relationships/hyperlink" Target="https://www.law.cornell.edu/topn/black-connery_fair_labor_standards_act" TargetMode="External"/><Relationship Id="rId1900" Type="http://schemas.openxmlformats.org/officeDocument/2006/relationships/hyperlink" Target="https://d.docs.live.net/bd9b2eaf6053242e/AppData/Roaming/Microsoft/AppData/Local/Microsoft/Windows/INetCache/IE/CTCRXJ99/whdfs23.pdf" TargetMode="External"/><Relationship Id="rId2095" Type="http://schemas.openxmlformats.org/officeDocument/2006/relationships/hyperlink" Target="https://www4.courts.ca.gov/opinions/nonpub/B334048.PDF" TargetMode="External"/><Relationship Id="rId274" Type="http://schemas.openxmlformats.org/officeDocument/2006/relationships/hyperlink" Target="https://www.wicourts.gov/ca/opinion/DisplayDocument.pdf?content=pdf&amp;seqNo=342440" TargetMode="External"/><Relationship Id="rId481" Type="http://schemas.openxmlformats.org/officeDocument/2006/relationships/hyperlink" Target="https://public.fastcase.com/H1P9uiW3J20SFp%2BGCG%2BxLbl0r%2FVDwzY9bFFJYqsh2zfJNVHn0JMcdFbkvIZSEaI0?utm_medium=email&amp;_hsmi=226712652&amp;_hsenc=p2ANqtz-8YA_f1AfCb15SVfFtIs0GBJg2UPhrOC0M_f0Fb9rbVagQyKLN71UFoiLhG6tJj5xQri87F989l3qtQXeXvmTCDhcNwWw&amp;utm_content=226712652&amp;utm_source=hs_email" TargetMode="External"/><Relationship Id="rId2162" Type="http://schemas.openxmlformats.org/officeDocument/2006/relationships/hyperlink" Target="https://www.courts.maine.gov/courts/sjc/lawcourt/2024/24me012.pdf" TargetMode="External"/><Relationship Id="rId134" Type="http://schemas.openxmlformats.org/officeDocument/2006/relationships/hyperlink" Target="https://www.law.cornell.edu/wex/evidence" TargetMode="External"/><Relationship Id="rId579" Type="http://schemas.openxmlformats.org/officeDocument/2006/relationships/hyperlink" Target="https://www.fox29.com/news/woman-gets-30-year-sentence-in-arson-that-killed-3-wilmington-firefighters" TargetMode="External"/><Relationship Id="rId786" Type="http://schemas.openxmlformats.org/officeDocument/2006/relationships/hyperlink" Target="https://www.law.cornell.edu/uscode/text/8/1227" TargetMode="External"/><Relationship Id="rId993" Type="http://schemas.openxmlformats.org/officeDocument/2006/relationships/hyperlink" Target="https://law.justia.com/cases/texas/fourteenth-court-of-appeals/2022/14-20-00566-cv.html" TargetMode="External"/><Relationship Id="rId2467" Type="http://schemas.openxmlformats.org/officeDocument/2006/relationships/hyperlink" Target="https://app.leg.wa.gov/RCW/default.aspx?cite=18.71.200" TargetMode="External"/><Relationship Id="rId2674" Type="http://schemas.openxmlformats.org/officeDocument/2006/relationships/hyperlink" Target="https://www.cbc.ca/news/canada/edmonton/fires-set-by-firefighters-a-long-standing-problem-experts-say-1.3563183" TargetMode="External"/><Relationship Id="rId341" Type="http://schemas.openxmlformats.org/officeDocument/2006/relationships/hyperlink" Target="https://www.iafc.org/topics-and-tools/resources/resource/iafc-position-drug-and-alcohol-free-awareness" TargetMode="External"/><Relationship Id="rId439" Type="http://schemas.openxmlformats.org/officeDocument/2006/relationships/hyperlink" Target="https://www.ktmc.com/featured-case/norfolk-southern-corporation" TargetMode="External"/><Relationship Id="rId646" Type="http://schemas.openxmlformats.org/officeDocument/2006/relationships/hyperlink" Target="https://www.supremecourt.gov/opinions/24pdf/24a931_2c83.pdf" TargetMode="External"/><Relationship Id="rId1069" Type="http://schemas.openxmlformats.org/officeDocument/2006/relationships/hyperlink" Target="https://cases.justia.com/west-virginia/intermediate-court-of-appeals/2025-24-ica-379.pdf?ts=1745964757" TargetMode="External"/><Relationship Id="rId1276" Type="http://schemas.openxmlformats.org/officeDocument/2006/relationships/hyperlink" Target="https://appellate.nccourts.org/opinions/?c=2&amp;pdf=38946" TargetMode="External"/><Relationship Id="rId1483" Type="http://schemas.openxmlformats.org/officeDocument/2006/relationships/hyperlink" Target="https://cases.justia.com/federal/appellate-courts/ca7/24-2908/24-2908-2026-07-16.pdf?ts=1784221283" TargetMode="External"/><Relationship Id="rId2022" Type="http://schemas.openxmlformats.org/officeDocument/2006/relationships/hyperlink" Target="https://cases.justia.com/idaho/supreme-court-criminal/2026-51595.pdf?ts=1778169780" TargetMode="External"/><Relationship Id="rId2327" Type="http://schemas.openxmlformats.org/officeDocument/2006/relationships/hyperlink" Target="https://waysandmeans.house.gov/sites/democrats.waysandmeans.house.gov/files/documents/Ways%20and%20Means%20Surprise%20Billing%20Summary_02%2006%2020%20(final).pdf" TargetMode="External"/><Relationship Id="rId2881" Type="http://schemas.openxmlformats.org/officeDocument/2006/relationships/hyperlink" Target="https://law.justia.com/cases/federal/district-courts/indiana/inndce/2:2021cv00154/106960/76/" TargetMode="External"/><Relationship Id="rId201" Type="http://schemas.openxmlformats.org/officeDocument/2006/relationships/hyperlink" Target="https://www.legislature.ohio.gov/download?key=19460&amp;format=pdf" TargetMode="External"/><Relationship Id="rId506" Type="http://schemas.openxmlformats.org/officeDocument/2006/relationships/hyperlink" Target="https://casetext.com/case/boon-v-rivera" TargetMode="External"/><Relationship Id="rId853" Type="http://schemas.openxmlformats.org/officeDocument/2006/relationships/hyperlink" Target="https://www.fs.usda.gov/r06/willamette/fire/info/beachie-creek-fire" TargetMode="External"/><Relationship Id="rId1136" Type="http://schemas.openxmlformats.org/officeDocument/2006/relationships/hyperlink" Target="https://casetext.com/case/barnabee-v-the-nyc-fire-pension-fund" TargetMode="External"/><Relationship Id="rId1690" Type="http://schemas.openxmlformats.org/officeDocument/2006/relationships/hyperlink" Target="https://public.fastcase.com/ZZhmr5v9wN%2FXOe5IsQ%2FqD5cOg4uDiWBiDgRVwEX7HkTgzpDy2YRC9dWsCSpL5q7NwLkYpJ%2BBy0X6CQVC4aXC0tZJlDrCMk2fa2%2Fy73T5jjU%3D?utm_medium=email&amp;_hsmi=226712652&amp;_hsenc=p2ANqtz-8FJorPS84jztogf_8o7olLe4m03Y-oUT6vKuzTkvf9gKaTxn2WPOeYqAoz6gwdnY0JMEeLDG0EyTmUqJkqtPPBYQ-lng&amp;utm_content=226712652&amp;utm_source=hs_email" TargetMode="External"/><Relationship Id="rId1788" Type="http://schemas.openxmlformats.org/officeDocument/2006/relationships/hyperlink" Target="https://www.militaryonesource.mil/national-guard/employment-support/uniformed-services-employment-and-reemployment-rights-act/" TargetMode="External"/><Relationship Id="rId1995" Type="http://schemas.openxmlformats.org/officeDocument/2006/relationships/hyperlink" Target="https://www.courts.state.md.us/sites/default/files/unreported-opinions/2605s16.pdf" TargetMode="External"/><Relationship Id="rId2534" Type="http://schemas.openxmlformats.org/officeDocument/2006/relationships/hyperlink" Target="https://caselaw.findlaw.com/court/co-supreme-court/111256.html" TargetMode="External"/><Relationship Id="rId2741" Type="http://schemas.openxmlformats.org/officeDocument/2006/relationships/hyperlink" Target="https://njcourts.gov/attorneys/assets/opinions/appellate/unpublished/a1619-18.pdf?c=D1L" TargetMode="External"/><Relationship Id="rId2839" Type="http://schemas.openxmlformats.org/officeDocument/2006/relationships/hyperlink" Target="https://casetext.com/case/youngstown-profl-firefighters-iaff-local-312-v-city-of-youngstown" TargetMode="External"/><Relationship Id="rId713" Type="http://schemas.openxmlformats.org/officeDocument/2006/relationships/hyperlink" Target="https://www.theguardian.com/us-news/2023/oct/27/lawsuit-dismissed-texas-greg-abbott-transport-immigration" TargetMode="External"/><Relationship Id="rId920" Type="http://schemas.openxmlformats.org/officeDocument/2006/relationships/hyperlink" Target="https://casetext.com/case/long-lake-twp-v-maxon" TargetMode="External"/><Relationship Id="rId1343" Type="http://schemas.openxmlformats.org/officeDocument/2006/relationships/hyperlink" Target="https://cases.justia.com/federal/district-courts/new-york/nysdce/7:2021cv00260/552036/95/0.pdf?ts=1758978240" TargetMode="External"/><Relationship Id="rId1550" Type="http://schemas.openxmlformats.org/officeDocument/2006/relationships/hyperlink" Target="https://casetext.com/statute/ohio-revised-code/title-41-labor-and-industry/chapter-4113-miscellaneous-labor-provisions/section-411352-reporting-violation-of-law-by-employer-or-fellow-employee" TargetMode="External"/><Relationship Id="rId1648" Type="http://schemas.openxmlformats.org/officeDocument/2006/relationships/hyperlink" Target="https://www.govinfo.gov/content/pkg/USCOURTS-nhd-1_23-cv-00327/pdf/USCOURTS-nhd-1_23-cv-00327-0.pdf" TargetMode="External"/><Relationship Id="rId2601" Type="http://schemas.openxmlformats.org/officeDocument/2006/relationships/hyperlink" Target="https://timeero.com/resources-page/employee-gps-tracking-laws" TargetMode="External"/><Relationship Id="rId1203" Type="http://schemas.openxmlformats.org/officeDocument/2006/relationships/hyperlink" Target="https://law.justia.com/cases/missouri/court-of-appeals/2021/wd83430.html" TargetMode="External"/><Relationship Id="rId1410" Type="http://schemas.openxmlformats.org/officeDocument/2006/relationships/hyperlink" Target="https://public.fastcase.com/waZtJvSA54UAurM2rmIZzzCYJhAha3GGo3AEN0d5yD5AXzBU0GIzy8sJKIx0m%2BEEHwIyJuWgbxH4Xd2BL4DW9aTliyBT6bOFBbV5rp7%2BS3s%3D" TargetMode="External"/><Relationship Id="rId1508" Type="http://schemas.openxmlformats.org/officeDocument/2006/relationships/hyperlink" Target="https://public.fastcase.com/jaEE2PXzRXmZ99jOLMt1Ijy4owdgN11%2FWJRcUJbHoDpxB70E2t6SZ0qkojT0B8Qp?utm_medium=email&amp;_hsenc=p2ANqtz-9VaXpB4njMDCq0a3A4ziHdpnkkhT3_X-uHzr6ZxpzUXb9np6U8cLB4p1ctiAJNyopvqJJhsHP0CMdXEdLkgd2zGecgDw&amp;_hsmi=226712652&amp;utm_content=226712652&amp;utm_source=hs_email" TargetMode="External"/><Relationship Id="rId1855" Type="http://schemas.openxmlformats.org/officeDocument/2006/relationships/hyperlink" Target="https://www.justice.gov/crt/case-document/file/1227366/download" TargetMode="External"/><Relationship Id="rId2906" Type="http://schemas.openxmlformats.org/officeDocument/2006/relationships/hyperlink" Target="https://www.scotusblog.com/case-files/cases/new-prime-inc-v-oliveira/" TargetMode="External"/><Relationship Id="rId1715" Type="http://schemas.openxmlformats.org/officeDocument/2006/relationships/hyperlink" Target="https://cases.justia.com/new-york/other-courts/2020-2020-ny-slip-op-31890-u.pdf?ts=1592946781" TargetMode="External"/><Relationship Id="rId1922" Type="http://schemas.openxmlformats.org/officeDocument/2006/relationships/hyperlink" Target="https://caselaw.findlaw.com/court/al-supreme-court/117080306.html" TargetMode="External"/><Relationship Id="rId296" Type="http://schemas.openxmlformats.org/officeDocument/2006/relationships/hyperlink" Target="https://law.justia.com/cases/california/court-of-appeal/2019/h045524.html" TargetMode="External"/><Relationship Id="rId2184" Type="http://schemas.openxmlformats.org/officeDocument/2006/relationships/hyperlink" Target="https://public.fastcase.com/ZZhmr5v9wN%2FXOe5IsQ%2FqDwASFNWp2rhZooTaAZ4JTmSP%2Ba577zfXOKFdhmxj2NNxZ%2BfUfh8HTXLnmAlto%2FfEgpJtIv6O1WLjBzQZiKVSV8A%3D?utm_medium=email&amp;_hsmi=226712652&amp;_hsenc=p2ANqtz-9KUYaeGFguXeYoSZu4M54zm4xcFhouQPplq1qZXjy7nqatE34VLjsx4SN3mygo2_n2CHhg7EjDYW1VqsMoJq110-zPJg&amp;utm_content=226712652&amp;utm_source=hs_email" TargetMode="External"/><Relationship Id="rId2391" Type="http://schemas.openxmlformats.org/officeDocument/2006/relationships/hyperlink" Target="http://www.opn.ca6.uscourts.gov/opinions.pdf/19a0272n-06.pdf" TargetMode="External"/><Relationship Id="rId156" Type="http://schemas.openxmlformats.org/officeDocument/2006/relationships/hyperlink" Target="https://cases.justia.com/federal/district-courts/illinois/ilndce/1:2020cv06720/393181/97/0.pdf?ts=1706261425" TargetMode="External"/><Relationship Id="rId363" Type="http://schemas.openxmlformats.org/officeDocument/2006/relationships/hyperlink" Target="https://www.supremecourt.ohio.gov/rod/docs/pdf/8/2018/2018-Ohio-4109.pdf" TargetMode="External"/><Relationship Id="rId570" Type="http://schemas.openxmlformats.org/officeDocument/2006/relationships/hyperlink" Target="https://fox13now.com/2019/09/11/family-of-fallen-draper-firefighter-suing-state-of-california-for-wrongful-death/" TargetMode="External"/><Relationship Id="rId2044" Type="http://schemas.openxmlformats.org/officeDocument/2006/relationships/hyperlink" Target="https://public.fastcase.com/Jhe1Qn%2BmJndQYQU6z%2FeNm1LICE259A5ulYHxnw3lcJtDWEaUq57rExGHQXd3hU8EgaPHTdGS%2FRk5aoRP0crRKmeZauTqc6nD5gh3xIKTEMg%3D?utm_medium=email&amp;_hsenc=p2ANqtz-9zYvhQr5QF-kHvOgqVEwwEjeDJW6aa7G89aGppWtTq6GnIfdSTK1neKuS-jEFNuUA2B3hULaVGvwBQIPV_0qoJel6h4w&amp;_hsmi=226712652&amp;utm_content=226712652&amp;utm_source=hs_email" TargetMode="External"/><Relationship Id="rId2251" Type="http://schemas.openxmlformats.org/officeDocument/2006/relationships/hyperlink" Target="https://casetext.com/case/cazares-v-rand" TargetMode="External"/><Relationship Id="rId2489" Type="http://schemas.openxmlformats.org/officeDocument/2006/relationships/hyperlink" Target="https://law.justia.com/cases/florida/first-district-court-of-appeal/2022/19-4601.html" TargetMode="External"/><Relationship Id="rId2696" Type="http://schemas.openxmlformats.org/officeDocument/2006/relationships/hyperlink" Target="https://www.supremecourt.ohio.gov/rod/docs/pdf/8/2022/2022-Ohio-824.pdf" TargetMode="External"/><Relationship Id="rId223" Type="http://schemas.openxmlformats.org/officeDocument/2006/relationships/hyperlink" Target="https://www.law.cornell.edu/wex/federal_sentencing_guidelines" TargetMode="External"/><Relationship Id="rId430" Type="http://schemas.openxmlformats.org/officeDocument/2006/relationships/hyperlink" Target="https://cases.justia.com/federal/district-courts/kentucky/kyedce/6:2024cv00173/106630/18/0.pdf?ts=1750154108" TargetMode="External"/><Relationship Id="rId668" Type="http://schemas.openxmlformats.org/officeDocument/2006/relationships/hyperlink" Target="https://www.supremecourt.gov/opinions/24pdf/24a1153_l5gm.pdf" TargetMode="External"/><Relationship Id="rId875" Type="http://schemas.openxmlformats.org/officeDocument/2006/relationships/hyperlink" Target="https://caselaw.findlaw.com/court/us-5th-circuit/115838888.html" TargetMode="External"/><Relationship Id="rId1060" Type="http://schemas.openxmlformats.org/officeDocument/2006/relationships/hyperlink" Target="https://www.dol.gov/agencies/vets/programs/userra/USERRA-Pocket-Guide" TargetMode="External"/><Relationship Id="rId1298" Type="http://schemas.openxmlformats.org/officeDocument/2006/relationships/hyperlink" Target="https://cases.justia.com/ohio/eighth-district-court-of-appeals/2019-108059.pdf?ts=1558624525" TargetMode="External"/><Relationship Id="rId2111" Type="http://schemas.openxmlformats.org/officeDocument/2006/relationships/hyperlink" Target="https://stlouiscriminaldefense.com/missouri-good-samaritan-law/" TargetMode="External"/><Relationship Id="rId2349" Type="http://schemas.openxmlformats.org/officeDocument/2006/relationships/hyperlink" Target="https://www.legislature.ohio.gov/legislation/legislation-documents?id=GA133-HB-606" TargetMode="External"/><Relationship Id="rId2556" Type="http://schemas.openxmlformats.org/officeDocument/2006/relationships/hyperlink" Target="https://www.youtube.com/watch?v=5NXiLsCyQwc" TargetMode="External"/><Relationship Id="rId2763" Type="http://schemas.openxmlformats.org/officeDocument/2006/relationships/hyperlink" Target="https://www.opn.ca6.uscourts.gov/opinions.pdf/19a0286p-06.pdf" TargetMode="External"/><Relationship Id="rId528" Type="http://schemas.openxmlformats.org/officeDocument/2006/relationships/hyperlink" Target="https://law.justia.com/cases/delaware/court-of-chancery/2022/c-a-no-2020-0226-sem.html" TargetMode="External"/><Relationship Id="rId735" Type="http://schemas.openxmlformats.org/officeDocument/2006/relationships/hyperlink" Target="https://middlemarketgrowth.org/podcast-tyler-brennan-racedayquads/" TargetMode="External"/><Relationship Id="rId942" Type="http://schemas.openxmlformats.org/officeDocument/2006/relationships/hyperlink" Target="https://www.supremecourt.ohio.gov/rod/docs/pdf/8/2026/2026-Ohio-2189.pdf" TargetMode="External"/><Relationship Id="rId1158" Type="http://schemas.openxmlformats.org/officeDocument/2006/relationships/hyperlink" Target="https://www.journal-news.com/news/local/fairfield-able-rehire-retired-fire-chief/JMPkJQCqJ2eIDqbu2eI8RK/" TargetMode="External"/><Relationship Id="rId1365" Type="http://schemas.openxmlformats.org/officeDocument/2006/relationships/hyperlink" Target="uch%20https://www.whitehouse.gov/presidential-actions/2025/01/defending-women-from-gender-ideology-extremism-and-restoring-biological-truth-to-the-federal-government/?utm_medium=email&amp;utm_source=web_app&amp;utm_campaign=digest" TargetMode="External"/><Relationship Id="rId1572" Type="http://schemas.openxmlformats.org/officeDocument/2006/relationships/hyperlink" Target="https://www.masslive.com/opinion/2018/05/time_is_now_to_approve_contrac.html" TargetMode="External"/><Relationship Id="rId2209" Type="http://schemas.openxmlformats.org/officeDocument/2006/relationships/hyperlink" Target="https://law.justia.com/cases/west-virginia/supreme-court/2023/21-0841.html" TargetMode="External"/><Relationship Id="rId2416" Type="http://schemas.openxmlformats.org/officeDocument/2006/relationships/hyperlink" Target="https://www.justice.gov/opa/pr/justice-department-recovers-over-37-billion-false-claims-act-cases-fiscal-year-2017" TargetMode="External"/><Relationship Id="rId2623" Type="http://schemas.openxmlformats.org/officeDocument/2006/relationships/hyperlink" Target="https://www.courts.nh.gov/sites/g/files/ehbemt471/files/documents/2024-03/20230083stone.pdf" TargetMode="External"/><Relationship Id="rId1018" Type="http://schemas.openxmlformats.org/officeDocument/2006/relationships/hyperlink" Target="http://www.cnn.com/2010/US/01/29/massachusetts.fire.hose.deaths/index.html" TargetMode="External"/><Relationship Id="rId1225" Type="http://schemas.openxmlformats.org/officeDocument/2006/relationships/hyperlink" Target="https://public.fastcase.com/Wl%2B2t%2BeVuI35%2FN70vAMFZiwHTxExttVvxvtro3%2Fx3JKRataF5Ade5ddShAB2khcY" TargetMode="External"/><Relationship Id="rId1432" Type="http://schemas.openxmlformats.org/officeDocument/2006/relationships/hyperlink" Target="https://casetext.com/case/as-v-ocean-cnty-fire-acad-2" TargetMode="External"/><Relationship Id="rId1877" Type="http://schemas.openxmlformats.org/officeDocument/2006/relationships/hyperlink" Target="https://www.law.cornell.edu/definitions/uscode.php?width=840&amp;height=800&amp;iframe=true&amp;def_id=29-USC-1193469614-1597622566&amp;term_occur=999&amp;term_src=" TargetMode="External"/><Relationship Id="rId2830" Type="http://schemas.openxmlformats.org/officeDocument/2006/relationships/hyperlink" Target="https://www.supremecourt.ohio.gov/rod/docs/pdf/11/2024/2024-Ohio-6002.pdf" TargetMode="External"/><Relationship Id="rId2928" Type="http://schemas.openxmlformats.org/officeDocument/2006/relationships/hyperlink" Target="https://casetext.com/case/dolan-v-fed-emergency-mgmt-agency" TargetMode="External"/><Relationship Id="rId71" Type="http://schemas.openxmlformats.org/officeDocument/2006/relationships/hyperlink" Target="https://www.ca5.uscourts.gov/opinions/unpub/24/24-30496.0.pdf" TargetMode="External"/><Relationship Id="rId802" Type="http://schemas.openxmlformats.org/officeDocument/2006/relationships/hyperlink" Target="https://www.govinfo.gov/content/pkg/FR-2020-08-13/pdf/2020-17468.pdf" TargetMode="External"/><Relationship Id="rId1737" Type="http://schemas.openxmlformats.org/officeDocument/2006/relationships/hyperlink" Target="https://caselaw.findlaw.com/court/us-dis-crt-d-con/115860244.html" TargetMode="External"/><Relationship Id="rId1944" Type="http://schemas.openxmlformats.org/officeDocument/2006/relationships/hyperlink" Target="https://www.ca2.uscourts.gov/decisions/isysquery/8c1d712c-7872-4b25-a064-fe1fbb801f2a/1/doc/22-110_complete_opn.pdf" TargetMode="External"/><Relationship Id="rId29" Type="http://schemas.openxmlformats.org/officeDocument/2006/relationships/hyperlink" Target="https://cases.justia.com/virginia/court-of-appeals-unpublished/2026-2083-24-1.pdf?ts=1782229177" TargetMode="External"/><Relationship Id="rId178" Type="http://schemas.openxmlformats.org/officeDocument/2006/relationships/hyperlink" Target="https://www.carolinajournal.com/federal-appeals-court-throws-out-conviction-for-burning-of-federal-nantahala-forest/" TargetMode="External"/><Relationship Id="rId1804" Type="http://schemas.openxmlformats.org/officeDocument/2006/relationships/hyperlink" Target="https://cases.justia.com/federal/district-courts/mississippi/mssdce/1:2022cv00356/117172/19/0.pdf?ts=1706287990" TargetMode="External"/><Relationship Id="rId385" Type="http://schemas.openxmlformats.org/officeDocument/2006/relationships/hyperlink" Target="https://codes.ohio.gov/ohio-revised-code/section-4123.68" TargetMode="External"/><Relationship Id="rId592" Type="http://schemas.openxmlformats.org/officeDocument/2006/relationships/hyperlink" Target="https://www.cdc.gov/niosh/fire/pdfs/face201618.pdf" TargetMode="External"/><Relationship Id="rId2066" Type="http://schemas.openxmlformats.org/officeDocument/2006/relationships/hyperlink" Target="https://cases.justia.com/alabama/supreme-court/2025-sc-2025-0055.pdf?ts=1756474207" TargetMode="External"/><Relationship Id="rId2273" Type="http://schemas.openxmlformats.org/officeDocument/2006/relationships/hyperlink" Target="https://nmonesource.com/nmos/nmsa/en/item/4422/index.do" TargetMode="External"/><Relationship Id="rId2480" Type="http://schemas.openxmlformats.org/officeDocument/2006/relationships/hyperlink" Target="https://perma.cc/4EPP-E4TC" TargetMode="External"/><Relationship Id="rId245" Type="http://schemas.openxmlformats.org/officeDocument/2006/relationships/hyperlink" Target="https://www.supremecourt.ohio.gov/rod/docs/pdf/1/2021/2021-Ohio-4003.pdf" TargetMode="External"/><Relationship Id="rId452" Type="http://schemas.openxmlformats.org/officeDocument/2006/relationships/hyperlink" Target="https://cases.justia.com/new-york/other-courts/2024-2024-ny-slip-op-33987-u.pdf?ts=1731644847" TargetMode="External"/><Relationship Id="rId897" Type="http://schemas.openxmlformats.org/officeDocument/2006/relationships/hyperlink" Target="http://apps.azleg.gov/BillStatus/BillOverview/76770?SessionId=125" TargetMode="External"/><Relationship Id="rId1082" Type="http://schemas.openxmlformats.org/officeDocument/2006/relationships/hyperlink" Target="https://www.nj.gov/treasury/pensions/documents/factsheets/fact15.pdf" TargetMode="External"/><Relationship Id="rId2133" Type="http://schemas.openxmlformats.org/officeDocument/2006/relationships/hyperlink" Target="http://www.opn.ca6.uscourts.gov/opinions.pdf/08a0140p-06.pdf" TargetMode="External"/><Relationship Id="rId2340" Type="http://schemas.openxmlformats.org/officeDocument/2006/relationships/hyperlink" Target="https://public.fastcase.com/Wl%2B2t%2BeVuI35%2FN70vAMFZkrYpDR4hQ33Ax6oS1aJkCwq%2BUGCyTcW0uJ1XV2sRjwT" TargetMode="External"/><Relationship Id="rId2578" Type="http://schemas.openxmlformats.org/officeDocument/2006/relationships/hyperlink" Target="https://cases.justia.com/louisiana/fourth-circuit-court-of-appeal/2025-2025-ca-0114.pdf?ts=1756426619" TargetMode="External"/><Relationship Id="rId2785" Type="http://schemas.openxmlformats.org/officeDocument/2006/relationships/hyperlink" Target="http://codes.ohio.gov/orc/gp9.481" TargetMode="External"/><Relationship Id="rId105" Type="http://schemas.openxmlformats.org/officeDocument/2006/relationships/hyperlink" Target="https://casetext.com/statute/united-states-code/title-18-crimes-and-criminal-procedure/part-i-crimes/chapter-40-importation-manufacture-distribution-and-storage-of-explosive-materials/section-844-penalties" TargetMode="External"/><Relationship Id="rId312" Type="http://schemas.openxmlformats.org/officeDocument/2006/relationships/hyperlink" Target="https://www.ca2.uscourts.gov/decisions/isysquery/93d429af-6bc3-4a16-b287-422f5179acac/1/doc/18-3775_opn.pdf" TargetMode="External"/><Relationship Id="rId757" Type="http://schemas.openxmlformats.org/officeDocument/2006/relationships/hyperlink" Target="https://www.law.cornell.edu/definitions/uscode.php?width=840&amp;height=800&amp;iframe=true&amp;def_id=18-USC-1846489032-909420281&amp;term_occur=999&amp;term_src=title:18:part:I:chapter:13:section:249" TargetMode="External"/><Relationship Id="rId964" Type="http://schemas.openxmlformats.org/officeDocument/2006/relationships/hyperlink" Target="https://cases.justia.com/michigan/court-of-appeals-unpublished/2024-367862.pdf?ts=1728738006" TargetMode="External"/><Relationship Id="rId1387" Type="http://schemas.openxmlformats.org/officeDocument/2006/relationships/hyperlink" Target="https://cases.justia.com/federal/district-courts/illinois/ilndce/1:2016cv10156/332956/258/0.pdf?ts=1582820345" TargetMode="External"/><Relationship Id="rId1594" Type="http://schemas.openxmlformats.org/officeDocument/2006/relationships/hyperlink" Target="https://www.charlotteobserver.com/sports/nascar-auto-racing/article241998186.html" TargetMode="External"/><Relationship Id="rId2200" Type="http://schemas.openxmlformats.org/officeDocument/2006/relationships/hyperlink" Target="https://ilcourtsaudio.blob.core.windows.net/antilles-resources/resources/d0a50835-8b8c-4e4e-96d4-c3b209eadd34/People%20v.%20Peters,%202023%20IL%20App%20(1st)%20211591-U.pdf" TargetMode="External"/><Relationship Id="rId2438" Type="http://schemas.openxmlformats.org/officeDocument/2006/relationships/hyperlink" Target="https://www.njcourts.gov/system/files/court-opinions/2026/a0161-24.pdf" TargetMode="External"/><Relationship Id="rId2645" Type="http://schemas.openxmlformats.org/officeDocument/2006/relationships/hyperlink" Target="https://www.mspb.gov/decisions/nonprecedential/SANTOS_NICK_SF_0752_20_0114_I_1_FINAL_ORDER_2060932.pdf" TargetMode="External"/><Relationship Id="rId2852" Type="http://schemas.openxmlformats.org/officeDocument/2006/relationships/hyperlink" Target="https://casetext.com/case/state-v-state-empt-relations-bd-2" TargetMode="External"/><Relationship Id="rId93" Type="http://schemas.openxmlformats.org/officeDocument/2006/relationships/hyperlink" Target="https://www.garmin.com/en-US/c/outdoor-recreation/handheld-hiking-gps/?gad_source=1&amp;gclid=Cj0KCQiA_Yq-BhC9ARIsAA6fbAg8Hzg7tt3LxTDrvBKQ6Iq20PiW7TlBW7J0osrwHwlbOwcCFzY0rTcaAu65EALw_wcB" TargetMode="External"/><Relationship Id="rId617" Type="http://schemas.openxmlformats.org/officeDocument/2006/relationships/hyperlink" Target="https://d.docs.live.net/bd9b2eaf6053242e/AppData/Roaming/Microsoft/AppData/Local/Temp/0182139.PDF" TargetMode="External"/><Relationship Id="rId824" Type="http://schemas.openxmlformats.org/officeDocument/2006/relationships/hyperlink" Target="https://cases.justia.com/federal/appellate-courts/ca9/17-35634/17-35634-2019-10-21.pdf?ts=1571677280" TargetMode="External"/><Relationship Id="rId1247" Type="http://schemas.openxmlformats.org/officeDocument/2006/relationships/hyperlink" Target="https://delcode.delaware.gov/title19/c017/index.shtml" TargetMode="External"/><Relationship Id="rId1454" Type="http://schemas.openxmlformats.org/officeDocument/2006/relationships/hyperlink" Target="https://public.fastcase.com/Wl%2B2t%2BeVuI35%2FN70vAMFZpwObr9UCo7RpBGKfgPOWwVQBI%2BjVLV%2FylH6ScWLGBY%2F" TargetMode="External"/><Relationship Id="rId1661" Type="http://schemas.openxmlformats.org/officeDocument/2006/relationships/hyperlink" Target="https://www.scotusblog.com/2024/06/court-adds-seven-cases-to-next-terms-docket/" TargetMode="External"/><Relationship Id="rId1899" Type="http://schemas.openxmlformats.org/officeDocument/2006/relationships/hyperlink" Target="https://law.justia.com/cases/federal/district-courts/new-york/nysdce/1:2013cv01015/407972/168/" TargetMode="External"/><Relationship Id="rId2505" Type="http://schemas.openxmlformats.org/officeDocument/2006/relationships/hyperlink" Target="https://law.justia.com/cases/new-york/appellate-division-third-department/2021/532779.html" TargetMode="External"/><Relationship Id="rId2712" Type="http://schemas.openxmlformats.org/officeDocument/2006/relationships/hyperlink" Target="https://www.rittgers.com/blog/2021/07/what-does-ohios-new-anti-hazing-law-mean/" TargetMode="External"/><Relationship Id="rId1107" Type="http://schemas.openxmlformats.org/officeDocument/2006/relationships/hyperlink" Target="https://www.njcourts.gov/system/files/court-opinions/2024/a3332-21.pdf" TargetMode="External"/><Relationship Id="rId1314" Type="http://schemas.openxmlformats.org/officeDocument/2006/relationships/hyperlink" Target="http://www.opn.ca6.uscourts.gov/opinions.pdf/18a0522n-06.pdf" TargetMode="External"/><Relationship Id="rId1521" Type="http://schemas.openxmlformats.org/officeDocument/2006/relationships/hyperlink" Target="https://tracking.police1.com/t/8566464/200882223/6399312/0/1006865/?f5d63f87=RlIxLURhaWx5LTItMjctMjU&amp;b44ed14b=ZmVkMzU1YjgtNDZhMi00ZmE0LWI1NWMtNGQ2MDJkZGUzM2M0&amp;x=37c285e3" TargetMode="External"/><Relationship Id="rId1759" Type="http://schemas.openxmlformats.org/officeDocument/2006/relationships/hyperlink" Target="https://cases.justia.com/federal/appellate-courts/ca11/25-10673/25-10673-2026-02-10.pdf?ts=1770737597" TargetMode="External"/><Relationship Id="rId1966" Type="http://schemas.openxmlformats.org/officeDocument/2006/relationships/hyperlink" Target="https://www.npr.org/2021/11/09/1054000996/oklahoma-supreme-court-465-million-opioid-ruling" TargetMode="External"/><Relationship Id="rId1619" Type="http://schemas.openxmlformats.org/officeDocument/2006/relationships/hyperlink" Target="https://cases.justia.com/federal/district-courts/alabama/alsdce/2:2018cv00293/62967/26/0.pdf?ts=1571995051" TargetMode="External"/><Relationship Id="rId1826" Type="http://schemas.openxmlformats.org/officeDocument/2006/relationships/hyperlink" Target="http://www.firefighterovertime.org/2022/12/12/ca-county-settles-flsa-suit/" TargetMode="External"/><Relationship Id="rId20" Type="http://schemas.openxmlformats.org/officeDocument/2006/relationships/hyperlink" Target="https://scholar.uc.edu/concern/documents/ht24wm15r?locale=en" TargetMode="External"/><Relationship Id="rId2088" Type="http://schemas.openxmlformats.org/officeDocument/2006/relationships/hyperlink" Target="https://leginfo.legislature.ca.gov/faces/codes_displaySection.xhtml?sectionNum=1799.106.&amp;lawCode=HSC" TargetMode="External"/><Relationship Id="rId2295" Type="http://schemas.openxmlformats.org/officeDocument/2006/relationships/hyperlink" Target="https://www.documentcloud.org/documents/20860669-houston-methodist-lawsuit-order-of-dismissal" TargetMode="External"/><Relationship Id="rId267" Type="http://schemas.openxmlformats.org/officeDocument/2006/relationships/hyperlink" Target="https://casetext.com/case/smith-v-city-of-cumming" TargetMode="External"/><Relationship Id="rId474" Type="http://schemas.openxmlformats.org/officeDocument/2006/relationships/hyperlink" Target="https://www.firehero.org/fallen-firefighter/thomas-e-royds/" TargetMode="External"/><Relationship Id="rId2155" Type="http://schemas.openxmlformats.org/officeDocument/2006/relationships/hyperlink" Target="https://public.fastcase.com/" TargetMode="External"/><Relationship Id="rId127" Type="http://schemas.openxmlformats.org/officeDocument/2006/relationships/hyperlink" Target="http://kool.corrections.ky.gov/KOOL/Details/54918" TargetMode="External"/><Relationship Id="rId681" Type="http://schemas.openxmlformats.org/officeDocument/2006/relationships/hyperlink" Target="https://casetext.com/case/souverneva-v-the-superior-court" TargetMode="External"/><Relationship Id="rId779" Type="http://schemas.openxmlformats.org/officeDocument/2006/relationships/hyperlink" Target="https://www.law.cornell.edu/definitions/uscode.php?width=840&amp;height=800&amp;iframe=true&amp;def_id=8-USC-2124716147-1201680062&amp;term_occur=999&amp;term_src=title:8:chapter:12:subchapter:II:part:IV:section:1229b" TargetMode="External"/><Relationship Id="rId986" Type="http://schemas.openxmlformats.org/officeDocument/2006/relationships/hyperlink" Target="https://casetext.com/case/city-of-hous-v-vogel" TargetMode="External"/><Relationship Id="rId2362" Type="http://schemas.openxmlformats.org/officeDocument/2006/relationships/hyperlink" Target="https://courts.illinois.gov/R23_Orders/AppellateCourt/2020/1stDistrict/1172189_R23.pdf" TargetMode="External"/><Relationship Id="rId2667" Type="http://schemas.openxmlformats.org/officeDocument/2006/relationships/hyperlink" Target="https://www.njcourts.gov/sites/default/files/court-opinions/2023/a3688-20.pdf" TargetMode="External"/><Relationship Id="rId334" Type="http://schemas.openxmlformats.org/officeDocument/2006/relationships/hyperlink" Target="https://www.in.gov/judiciary/opinions/pdf/10241902eft.pdf" TargetMode="External"/><Relationship Id="rId541" Type="http://schemas.openxmlformats.org/officeDocument/2006/relationships/hyperlink" Target="https://casetext.com/case/in-re-arbitration-between-city-of-ogdensburg" TargetMode="External"/><Relationship Id="rId639" Type="http://schemas.openxmlformats.org/officeDocument/2006/relationships/hyperlink" Target="https://www.hstoday.us/subject-matter-areas/counterterrorism/9-11-litigation-is-building-a-new-legal-framework-for-foreign-terrorist-accountability/" TargetMode="External"/><Relationship Id="rId1171" Type="http://schemas.openxmlformats.org/officeDocument/2006/relationships/hyperlink" Target="https://codes.ohio.gov/ohio-revised-code/section-742.10" TargetMode="External"/><Relationship Id="rId1269" Type="http://schemas.openxmlformats.org/officeDocument/2006/relationships/hyperlink" Target="https://public.fastcase.com/Wl%2B2t%2BeVuI35%2FN70vAMFZmh5C6Al26quhK4NpqFpqP3dNIvTBMbQP47YmW18oezY" TargetMode="External"/><Relationship Id="rId1476" Type="http://schemas.openxmlformats.org/officeDocument/2006/relationships/hyperlink" Target="https://www.eeoc.gov/policy/docs/factemployment_procedures.html" TargetMode="External"/><Relationship Id="rId2015" Type="http://schemas.openxmlformats.org/officeDocument/2006/relationships/hyperlink" Target="https://www.coloradojudicial.gov/system/files/opinions-2026-06/24CA0675.pdf" TargetMode="External"/><Relationship Id="rId2222" Type="http://schemas.openxmlformats.org/officeDocument/2006/relationships/hyperlink" Target="https://www.law.cornell.edu/definitions/uscode.php?width=840&amp;height=800&amp;iframe=true&amp;def_id=42-USC-638938755-1009355610&amp;term_occur=999&amp;term_src=" TargetMode="External"/><Relationship Id="rId2874" Type="http://schemas.openxmlformats.org/officeDocument/2006/relationships/hyperlink" Target="https://www.leagle.com/decision/inohco20220627386" TargetMode="External"/><Relationship Id="rId401" Type="http://schemas.openxmlformats.org/officeDocument/2006/relationships/hyperlink" Target="https://cases.justia.com/texas/thirteenth-court-of-appeals/2026-13-24-00335-cr.pdf?ts=1773937817" TargetMode="External"/><Relationship Id="rId846" Type="http://schemas.openxmlformats.org/officeDocument/2006/relationships/hyperlink" Target="https://www.law.com/newyorklawjournal/2018/03/29/ny-high-court-allows-nypd-to-evade-giving-foil-requested-information-about-muslim-surveillance/" TargetMode="External"/><Relationship Id="rId1031" Type="http://schemas.openxmlformats.org/officeDocument/2006/relationships/hyperlink" Target="https://www.casemine.com/judgement/us/6a2a2b87eaa021ae7251d39f" TargetMode="External"/><Relationship Id="rId1129" Type="http://schemas.openxmlformats.org/officeDocument/2006/relationships/hyperlink" Target="https://www.insurancejournal.com/news/east/2023/06/26/727250.htm" TargetMode="External"/><Relationship Id="rId1683" Type="http://schemas.openxmlformats.org/officeDocument/2006/relationships/hyperlink" Target="https://www.eeoc.gov/publications/ada-your-responsibilities-employer" TargetMode="External"/><Relationship Id="rId1890" Type="http://schemas.openxmlformats.org/officeDocument/2006/relationships/hyperlink" Target="https://www.dol.gov/whd/opinion/FLSA/2019/2019_08_08_11_FLSA.pdf" TargetMode="External"/><Relationship Id="rId1988" Type="http://schemas.openxmlformats.org/officeDocument/2006/relationships/hyperlink" Target="https://www.courthousenews.com/wp-content/uploads/2020/06/safehouse-pa.pdf" TargetMode="External"/><Relationship Id="rId2527" Type="http://schemas.openxmlformats.org/officeDocument/2006/relationships/hyperlink" Target="https://public.fastcase.com/Jhe1Qn%2BmJndQYQU6z%2FeNm84TSwxTK6G3n62PkU8179htaq5wGjVaUGYSJZSOVzdWyhegWgMqWmHwKwmFy%2BjUN%2FGu5ej6EThZiUJZJf%2FCENA%3D?utm_medium=email&amp;_hsenc=p2ANqtz--F9WEozIdQ7a7aHBPLqx4N-sY1B7PgbJLvKD0e3ZvBos8ijqQnFOLSe1dlkTtitVjG_F048kZlc8yI0LMoiTGsCqcSQA&amp;_hsmi=226712652&amp;utm_content=226712652&amp;utm_source=hs_email" TargetMode="External"/><Relationship Id="rId2734" Type="http://schemas.openxmlformats.org/officeDocument/2006/relationships/hyperlink" Target="https://www.sacbee.com/news/politics-government/the-state-worker/article23903194.html" TargetMode="External"/><Relationship Id="rId2941" Type="http://schemas.openxmlformats.org/officeDocument/2006/relationships/hyperlink" Target="https://www.supremecourt.ohio.gov/marsy-s-law-and-crime-victim-rights/" TargetMode="External"/><Relationship Id="rId706" Type="http://schemas.openxmlformats.org/officeDocument/2006/relationships/hyperlink" Target="https://www.cdcr.ca.gov/facility-locator/conservation-camps/" TargetMode="External"/><Relationship Id="rId913" Type="http://schemas.openxmlformats.org/officeDocument/2006/relationships/hyperlink" Target="https://www.supremecourt.gov/opinions/21pdf/20-1668_19m2.pdf" TargetMode="External"/><Relationship Id="rId1336" Type="http://schemas.openxmlformats.org/officeDocument/2006/relationships/hyperlink" Target="https://www.casemine.com/judgement/us/6a0be85df21cf013d419bfe6" TargetMode="External"/><Relationship Id="rId1543" Type="http://schemas.openxmlformats.org/officeDocument/2006/relationships/hyperlink" Target="https://cases.justia.com/federal/district-courts/mississippi/mssdce/3:2024cv00011/123477/12/0.pdf?ts=1706115384" TargetMode="External"/><Relationship Id="rId1750" Type="http://schemas.openxmlformats.org/officeDocument/2006/relationships/hyperlink" Target="https://cases.justia.com/indiana/court-of-appeals/2026-25a-pl-01609.pdf?ts=1779819186" TargetMode="External"/><Relationship Id="rId2801" Type="http://schemas.openxmlformats.org/officeDocument/2006/relationships/hyperlink" Target="https://d.docs.live.net/bd9b2eaf6053242e/AppData/Roaming/Microsoft/AppData/Local/Microsoft/Windows/INetCache/IE/7HZ56W7X/16-170.pdf" TargetMode="External"/><Relationship Id="rId42" Type="http://schemas.openxmlformats.org/officeDocument/2006/relationships/hyperlink" Target="https://www.supremecourt.gov/opinions/25pdf/24-624_b07d.pdf" TargetMode="External"/><Relationship Id="rId1403" Type="http://schemas.openxmlformats.org/officeDocument/2006/relationships/hyperlink" Target="https://supremecourt.nebraska.gov/sites/default/files/a21-954m.pdf" TargetMode="External"/><Relationship Id="rId1610" Type="http://schemas.openxmlformats.org/officeDocument/2006/relationships/hyperlink" Target="http://www.paed.uscourts.gov/documents/opinions/20D0393P.pdf" TargetMode="External"/><Relationship Id="rId1848" Type="http://schemas.openxmlformats.org/officeDocument/2006/relationships/hyperlink" Target="https://www.law.cornell.edu/cfr/text/29/778.215" TargetMode="External"/><Relationship Id="rId191" Type="http://schemas.openxmlformats.org/officeDocument/2006/relationships/hyperlink" Target="https://public.fastcase.com/ZZhmr5v9wN%2FXOe5IsQ%2FqDwpaI7JNx0yucAfBBTCYhVf6eRN0F6j2PHZ4Bf4v9PLOEuaobgTYEa8%2BzQGGWxAHAgvFhF3yj4k41BJEkNmdniM%3D?utm_medium=email&amp;_hsmi=226712652&amp;_hsenc=p2ANqtz-_dwT49KfhNPpDq3N3VwSjkZTEUiwZEDoqDlulVdR_yzkAg6581Fi_9SACtWrDkZJ_u8Xp6dukkkP4Lu33go_UmHv0HyQ&amp;utm_content=226712652&amp;utm_source=hs_email" TargetMode="External"/><Relationship Id="rId1708" Type="http://schemas.openxmlformats.org/officeDocument/2006/relationships/hyperlink" Target="https://public.fastcase.com/Wl%2B2t%2BeVuI35%2FN70vAMFZtupy9a3EvXpG9ydLD29CKGnkdsXWzWbFQljc8xBD5GU" TargetMode="External"/><Relationship Id="rId1915" Type="http://schemas.openxmlformats.org/officeDocument/2006/relationships/hyperlink" Target="https://www.youtube.com/watch?v=wVEUB8WSdp8" TargetMode="External"/><Relationship Id="rId289" Type="http://schemas.openxmlformats.org/officeDocument/2006/relationships/hyperlink" Target="https://law.justia.com/cases/iowa/court-of-appeals/2021/18-1821.html" TargetMode="External"/><Relationship Id="rId496" Type="http://schemas.openxmlformats.org/officeDocument/2006/relationships/hyperlink" Target="https://casetext.com/case/dependent-of-hayes-v-city-of-eldorado-springs" TargetMode="External"/><Relationship Id="rId2177" Type="http://schemas.openxmlformats.org/officeDocument/2006/relationships/hyperlink" Target="https://codes.ohio.gov/ohio-revised-code/section-4765.12" TargetMode="External"/><Relationship Id="rId2384" Type="http://schemas.openxmlformats.org/officeDocument/2006/relationships/hyperlink" Target="http://media.ca11.uscourts.gov/opinions/unpub/files/201814142.pdf" TargetMode="External"/><Relationship Id="rId2591" Type="http://schemas.openxmlformats.org/officeDocument/2006/relationships/hyperlink" Target="https://www.youtube.com/watch?v=roZMeWZrCG4" TargetMode="External"/><Relationship Id="rId149" Type="http://schemas.openxmlformats.org/officeDocument/2006/relationships/hyperlink" Target="https://apnews.com/article/michigan-drone-photos-constitution-3c30154b6f1af1b234c1cc8f64945237" TargetMode="External"/><Relationship Id="rId356" Type="http://schemas.openxmlformats.org/officeDocument/2006/relationships/hyperlink" Target="https://ceas.uc.edu/content/dam/refresh/ceas-62/documents/academics/departments/aerospace-engineering-&amp;-engineering-mechanics/fire-science/1Jan.%202019%20Newsletter%20ADA%200.pdf" TargetMode="External"/><Relationship Id="rId563" Type="http://schemas.openxmlformats.org/officeDocument/2006/relationships/hyperlink" Target="https://www.opn.ca6.uscourts.gov/opinions.pdf/20a0203p-06.pdf" TargetMode="External"/><Relationship Id="rId770" Type="http://schemas.openxmlformats.org/officeDocument/2006/relationships/hyperlink" Target="https://www.ftc.gov/enforcement/statutes/fair-credit-reporting-act" TargetMode="External"/><Relationship Id="rId1193" Type="http://schemas.openxmlformats.org/officeDocument/2006/relationships/hyperlink" Target="https://www.alexdell.com/news/79/NEW-YORK-COURTS-CLARIFY-DEFINITION-OF-ACCIDENT-FOR-DISABILITY-RETIREMENT-PURPOSES/" TargetMode="External"/><Relationship Id="rId2037" Type="http://schemas.openxmlformats.org/officeDocument/2006/relationships/hyperlink" Target="https://public.fastcase.com/Jhe1Qn%2BmJndQYQU6z%2FeNm%2BJGkZOBI%2FIR3xMI1hqgTrQGqCoob0t8sJ6Oq4%2B3vNWN?utm_medium=email&amp;_hsenc=p2ANqtz-9C5O8INd3-mOP0XdLpifj0NkMcgvHJMlYVXVlVDxFjxItyF7mxImlUcaWgD0DywBt6olIyvEknUS-SxKw_pSJ1xCMABg&amp;_hsmi=226712652&amp;utm_content=226712652&amp;utm_source=hs_email" TargetMode="External"/><Relationship Id="rId2244" Type="http://schemas.openxmlformats.org/officeDocument/2006/relationships/hyperlink" Target="https://www.dallasobserver.com/news/after-dpd-review-no-charges-filed-against-former-paramedic-who-kicked-mentally-ill-man-13536919" TargetMode="External"/><Relationship Id="rId2451" Type="http://schemas.openxmlformats.org/officeDocument/2006/relationships/hyperlink" Target="file:///C:/Users/lawre/Downloads/US_DIS_NYSD_1_19cv11555_COMPLAINT_against_City_of_New_York_City_of_New_Yor.pdf" TargetMode="External"/><Relationship Id="rId2689" Type="http://schemas.openxmlformats.org/officeDocument/2006/relationships/hyperlink" Target="https://codes.ohio.gov/ohio-revised-code/section-2953.32/4-7-2021" TargetMode="External"/><Relationship Id="rId2896" Type="http://schemas.openxmlformats.org/officeDocument/2006/relationships/hyperlink" Target="https://njcourts.gov/attorneys/assets/opinions/appellate/unpublished/a2277-18.pdf" TargetMode="External"/><Relationship Id="rId216" Type="http://schemas.openxmlformats.org/officeDocument/2006/relationships/hyperlink" Target="https://local12.com/news/local/blocked-railroad-crossings-ohio-supreme-court-ruling-no-more-fines-trains-safety-butler-county-lockland-emergencies-csx-transportation-anti-blocking-law-federal-railroad-administration-cincinnati-local-12-wkrc-tristate-ohio-kentucky-indiana-news" TargetMode="External"/><Relationship Id="rId423" Type="http://schemas.openxmlformats.org/officeDocument/2006/relationships/hyperlink" Target="https://law.justia.com/cases/new-york/appellate-division-second-department/2025/2024-09583.html" TargetMode="External"/><Relationship Id="rId868" Type="http://schemas.openxmlformats.org/officeDocument/2006/relationships/hyperlink" Target="https://www.ca5.uscourts.gov/opinions/pub/22/22-40644-CV0.pdf" TargetMode="External"/><Relationship Id="rId1053" Type="http://schemas.openxmlformats.org/officeDocument/2006/relationships/hyperlink" Target="https://www.govinfo.gov/content/pkg/USCOURTS-ncwd-5_24-cv-00192/pdf/USCOURTS-ncwd-5_24-cv-00192-3.pdf" TargetMode="External"/><Relationship Id="rId1260" Type="http://schemas.openxmlformats.org/officeDocument/2006/relationships/hyperlink" Target="https://app.leg.wa.gov/rcw/default.aspx?cite=51.32.185" TargetMode="External"/><Relationship Id="rId1498" Type="http://schemas.openxmlformats.org/officeDocument/2006/relationships/hyperlink" Target="https://www.mdcourts.gov/sites/default/files/unreported-opinions/1234s24.pdf" TargetMode="External"/><Relationship Id="rId2104" Type="http://schemas.openxmlformats.org/officeDocument/2006/relationships/hyperlink" Target="https://law.justia.com/cases/new-york/appellate-division-second-department/2024/2019-11168.html" TargetMode="External"/><Relationship Id="rId2549" Type="http://schemas.openxmlformats.org/officeDocument/2006/relationships/hyperlink" Target="https://www.orangeobserver.com/news/2024/jun/15/breaking-former-orange-county-fire-rescue-battalion-chief-announces-candidacy-for-county-commission-district-1/" TargetMode="External"/><Relationship Id="rId2756" Type="http://schemas.openxmlformats.org/officeDocument/2006/relationships/hyperlink" Target="https://www.abc4.com/news/justice-files/the-justice-files-a-rape-in-rural-utah/" TargetMode="External"/><Relationship Id="rId2963" Type="http://schemas.openxmlformats.org/officeDocument/2006/relationships/fontTable" Target="fontTable.xml"/><Relationship Id="rId630" Type="http://schemas.openxmlformats.org/officeDocument/2006/relationships/hyperlink" Target="https://www.courthousenews.com/wp-content/uploads/2026/07/fresno-prelim-grants.pdf" TargetMode="External"/><Relationship Id="rId728" Type="http://schemas.openxmlformats.org/officeDocument/2006/relationships/hyperlink" Target="https://storage.courtlistener.com/recap/gov.uscourts.nynd.134829/gov.uscourts.nynd.134829.27.0_1.pdf" TargetMode="External"/><Relationship Id="rId935" Type="http://schemas.openxmlformats.org/officeDocument/2006/relationships/hyperlink" Target="https://law.justia.com/cases/california/supreme-court/2019/s242250.html" TargetMode="External"/><Relationship Id="rId1358" Type="http://schemas.openxmlformats.org/officeDocument/2006/relationships/hyperlink" Target="https://cases.justia.com/federal/district-courts/texas/txsdce/6:2022cv00002/1858056/21/0.pdf?ts=1664555743" TargetMode="External"/><Relationship Id="rId1565" Type="http://schemas.openxmlformats.org/officeDocument/2006/relationships/hyperlink" Target="https://www.courtlistener.com/opinion/7859269/city-of-miami-v-david-rivera/" TargetMode="External"/><Relationship Id="rId1772" Type="http://schemas.openxmlformats.org/officeDocument/2006/relationships/hyperlink" Target="https://natlawreview.com/article/wage-and-hour-watch-regular-rate-pay-primer-employers" TargetMode="External"/><Relationship Id="rId2311" Type="http://schemas.openxmlformats.org/officeDocument/2006/relationships/hyperlink" Target="https://codes.ohio.gov/ohio-revised-code/section-4765.49" TargetMode="External"/><Relationship Id="rId2409" Type="http://schemas.openxmlformats.org/officeDocument/2006/relationships/hyperlink" Target="https://www.njcourts.gov/attorneys/assets/opinions/appellate/unpublished/a4258-16.pdf?cacheID=HAxjRbJ" TargetMode="External"/><Relationship Id="rId2616" Type="http://schemas.openxmlformats.org/officeDocument/2006/relationships/hyperlink" Target="https://www.nj.gov/csc/about/meetings/decisions/pdf/2023/01-18-23/A005%20TAYAG-KOSKY%20JOHN.pdf" TargetMode="External"/><Relationship Id="rId64" Type="http://schemas.openxmlformats.org/officeDocument/2006/relationships/hyperlink" Target="https://cases.justia.com/wyoming/supreme-court/2025-s-24-0295.pdf?ts=1757689246" TargetMode="External"/><Relationship Id="rId1120" Type="http://schemas.openxmlformats.org/officeDocument/2006/relationships/hyperlink" Target="https://www.wftv.com/news/local/appeals-court-ruling-paves-way-orange-county-firefighters-widow-seek-workers-comp-payout/QFOHSP22XNHLXLGDFDZYKLTKMM/" TargetMode="External"/><Relationship Id="rId1218" Type="http://schemas.openxmlformats.org/officeDocument/2006/relationships/hyperlink" Target="https://www.supremecourt.ohio.gov/rod/docs/pdf/0/2020/2020-Ohio-1047.pdf" TargetMode="External"/><Relationship Id="rId1425" Type="http://schemas.openxmlformats.org/officeDocument/2006/relationships/hyperlink" Target="https://www.firerescue1.com/lawsuit/articles/judge-dismisses-federal-gender-discrimination-suit-of-fdny-emt-who-posed-for-calendar-v4FDLqPObm3t3BSV/?utm_source=FireRescue1&amp;utm_campaign=dfa53e36a0-EMAIL_CAMPAIGN_2021_10_08_06_27&amp;utm_medium=email&amp;utm_term=0_1d76c7ca1b-dfa53e36a0-91025172" TargetMode="External"/><Relationship Id="rId2823" Type="http://schemas.openxmlformats.org/officeDocument/2006/relationships/hyperlink" Target="https://civilinquiry.jud.ct.gov/DocumentInquiry/DocumentInquiry.aspx?DocumentNo=29998787" TargetMode="External"/><Relationship Id="rId1632" Type="http://schemas.openxmlformats.org/officeDocument/2006/relationships/hyperlink" Target="https://public.fastcase.com/Jhe1Qn%2BmJndQYQU6z%2FeNm%2BBAkVyVw7qfp1FLZhLRneZoYclJ%2FVT7s6PXMIJoJS6%2B?utm_medium=email&amp;_hsenc=p2ANqtz-8PpRuVev0Ah_XktOEuEmMt0agUMxrVPAo9u5l7IUNDD8PU7k6rzhxTWeOW-diGg6ug4Y_W0mxcgZfTt2tSbUoxEpMhGQ&amp;_hsmi=226712652&amp;utm_content=226712652&amp;utm_source=hs_email" TargetMode="External"/><Relationship Id="rId1937" Type="http://schemas.openxmlformats.org/officeDocument/2006/relationships/hyperlink" Target="https://www.understandingtheada.com/blog/2015/02/03/addiction-ada-current-user-safe-harbor/" TargetMode="External"/><Relationship Id="rId2199" Type="http://schemas.openxmlformats.org/officeDocument/2006/relationships/hyperlink" Target="https://cookcountyrecord.com/stories/641740005-labor-board-judge-chicago-trampled-union-bargaining-rights-by-firing-workers-who-refused-covid-vax" TargetMode="External"/><Relationship Id="rId280" Type="http://schemas.openxmlformats.org/officeDocument/2006/relationships/hyperlink" Target="http://www.ethics.ohio.gov" TargetMode="External"/><Relationship Id="rId140" Type="http://schemas.openxmlformats.org/officeDocument/2006/relationships/hyperlink" Target="https://www.law.cornell.edu/rules/fre/rule_702" TargetMode="External"/><Relationship Id="rId378" Type="http://schemas.openxmlformats.org/officeDocument/2006/relationships/hyperlink" Target="https://supreme.justia.com/cases/federal/us/584/17-467/" TargetMode="External"/><Relationship Id="rId585" Type="http://schemas.openxmlformats.org/officeDocument/2006/relationships/hyperlink" Target="https://law.justia.com/cases/new-york/appellate-division-second-department/2019/2016-10855.html" TargetMode="External"/><Relationship Id="rId792" Type="http://schemas.openxmlformats.org/officeDocument/2006/relationships/hyperlink" Target="https://fas.org/sgp/crs/intel/RL32276.pdf" TargetMode="External"/><Relationship Id="rId2059" Type="http://schemas.openxmlformats.org/officeDocument/2006/relationships/hyperlink" Target="https://www.michbar.org/Portals/0/opinions/appeals/2025/102325/84576.pdf" TargetMode="External"/><Relationship Id="rId2266" Type="http://schemas.openxmlformats.org/officeDocument/2006/relationships/hyperlink" Target="https://www.courtlistener.com/opinion/5313531/gauis-horton-individually-and-on-behalf-of-mary-horton-v-st-tammany-fire/" TargetMode="External"/><Relationship Id="rId2473" Type="http://schemas.openxmlformats.org/officeDocument/2006/relationships/hyperlink" Target="https://cases.justia.com/ohio/twelfth-district-court-of-appeals/2023-ca2023-06-039.pdf?ts=1703791198" TargetMode="External"/><Relationship Id="rId2680" Type="http://schemas.openxmlformats.org/officeDocument/2006/relationships/hyperlink" Target="https://law.justia.com/cases/federal/appellate-courts/ca10/20-5113/20-5113-2022-08-19.html" TargetMode="External"/><Relationship Id="rId6" Type="http://schemas.openxmlformats.org/officeDocument/2006/relationships/footnotes" Target="footnotes.xml"/><Relationship Id="rId238" Type="http://schemas.openxmlformats.org/officeDocument/2006/relationships/hyperlink" Target="https://www.supremecourt.ohio.gov/rod/docs/pdf/11/2021/2021-Ohio-4568.pdf" TargetMode="External"/><Relationship Id="rId445" Type="http://schemas.openxmlformats.org/officeDocument/2006/relationships/hyperlink" Target="https://supreme.justia.com/cases/federal/us/503/115/" TargetMode="External"/><Relationship Id="rId652" Type="http://schemas.openxmlformats.org/officeDocument/2006/relationships/hyperlink" Target="https://www.hstoday.us/subject-matter-areas/unmanned-vehicles/eyes-in-the-sky-do-cities-need-warrants-for-drones/" TargetMode="External"/><Relationship Id="rId1075" Type="http://schemas.openxmlformats.org/officeDocument/2006/relationships/hyperlink" Target="https://cases.justia.com/arizona/supreme-court/2025-cv-23-0211-pr.pdf?ts=1743008459" TargetMode="External"/><Relationship Id="rId1282" Type="http://schemas.openxmlformats.org/officeDocument/2006/relationships/hyperlink" Target="https://public.fastcase.com/Wl%2B2t%2BeVuI35%2FN70vAMFZqIZGQiBixrRs%2FhIZFdJSEICCexWSoup5Rgc2fSfyUDA" TargetMode="External"/><Relationship Id="rId2126" Type="http://schemas.openxmlformats.org/officeDocument/2006/relationships/hyperlink" Target="https://cases.justia.com/federal/appellate-courts/ca9/21-15252/21-15252-2024-05-20.pdf?ts=1716226339" TargetMode="External"/><Relationship Id="rId2333" Type="http://schemas.openxmlformats.org/officeDocument/2006/relationships/hyperlink" Target="https://casetext.com/case/maude-v-city-of-phila" TargetMode="External"/><Relationship Id="rId2540" Type="http://schemas.openxmlformats.org/officeDocument/2006/relationships/hyperlink" Target="https://www.la4th.org/opinion/2025/4959829_1.pdf" TargetMode="External"/><Relationship Id="rId2778" Type="http://schemas.openxmlformats.org/officeDocument/2006/relationships/hyperlink" Target="https://www.opn.ca6.uscourts.gov/opinions.pdf/19a0286p-06.pdf" TargetMode="External"/><Relationship Id="rId305" Type="http://schemas.openxmlformats.org/officeDocument/2006/relationships/hyperlink" Target="https://www.myfloridacfo.com/division/agents/Industry/News/PubAdjRegs.htm" TargetMode="External"/><Relationship Id="rId512" Type="http://schemas.openxmlformats.org/officeDocument/2006/relationships/hyperlink" Target="https://www.nytimes.com/1995/08/16/nyregion/storeowner-guilty-of-arson-where-fireman-died.html" TargetMode="External"/><Relationship Id="rId957" Type="http://schemas.openxmlformats.org/officeDocument/2006/relationships/hyperlink" Target="https://ilcourtsaudio.blob.core.windows.net/antilles-resources/resources/95e9af0e-d4e6-4f14-9f68-6c313ea57cfa/Postula%20v.%20Blackard,%202025%20IL%20App%20(3d)%20240464-U.pdf" TargetMode="External"/><Relationship Id="rId1142" Type="http://schemas.openxmlformats.org/officeDocument/2006/relationships/hyperlink" Target="https://law.justia.com/cases/pennsylvania/commonwealth-court/2023/12-c-d-2022.html" TargetMode="External"/><Relationship Id="rId1587" Type="http://schemas.openxmlformats.org/officeDocument/2006/relationships/hyperlink" Target="https://www.justice.gov/crt/case-document/file/1419071/download" TargetMode="External"/><Relationship Id="rId1794" Type="http://schemas.openxmlformats.org/officeDocument/2006/relationships/hyperlink" Target="https://www.ecfr.gov/current/title-29/section-778.224" TargetMode="External"/><Relationship Id="rId2400" Type="http://schemas.openxmlformats.org/officeDocument/2006/relationships/hyperlink" Target="https://cases.justia.com/ohio/fourth-district-court-of-appeals/2019-18ca8-5.pdf?ts=1553894129" TargetMode="External"/><Relationship Id="rId2638" Type="http://schemas.openxmlformats.org/officeDocument/2006/relationships/hyperlink" Target="https://midmichigannow.com/news/local/judge-rules-lawsuit-filed-by-former-fire-chief-against-flint-mayor-can-continue" TargetMode="External"/><Relationship Id="rId2845" Type="http://schemas.openxmlformats.org/officeDocument/2006/relationships/hyperlink" Target="https://cases.justia.com/federal/district-courts/arizona/azdce/2:2023cv00612/1330978/17/0.pdf?ts=1697297155" TargetMode="External"/><Relationship Id="rId86" Type="http://schemas.openxmlformats.org/officeDocument/2006/relationships/hyperlink" Target="https://www.14news.com/2024/06/17/convicted-killer-evansville-firefighter-set-be-sentenced-this-afternoon/" TargetMode="External"/><Relationship Id="rId817" Type="http://schemas.openxmlformats.org/officeDocument/2006/relationships/hyperlink" Target="https://oig.justice.gov/special/s0601/final.pdf" TargetMode="External"/><Relationship Id="rId1002" Type="http://schemas.openxmlformats.org/officeDocument/2006/relationships/hyperlink" Target="https://public.fastcase.com/" TargetMode="External"/><Relationship Id="rId1447" Type="http://schemas.openxmlformats.org/officeDocument/2006/relationships/hyperlink" Target="https://www.supremecourt.gov/opinions/19pdf/17-1618_hfci.pdf" TargetMode="External"/><Relationship Id="rId1654" Type="http://schemas.openxmlformats.org/officeDocument/2006/relationships/hyperlink" Target="https://www.govinfo.gov/content/pkg/USCOURTS-nyed-1_22-cv-05068/pdf/USCOURTS-nyed-1_22-cv-05068-3.pdf" TargetMode="External"/><Relationship Id="rId1861" Type="http://schemas.openxmlformats.org/officeDocument/2006/relationships/hyperlink" Target="https://casetext.com/case/miller-v-city-of-indianapolis" TargetMode="External"/><Relationship Id="rId2705" Type="http://schemas.openxmlformats.org/officeDocument/2006/relationships/hyperlink" Target="https://www.inquisitr.com/4286305/paramedic-and-firefighter-fondle-teen-having-seizures-jared-david-evans-told-intern-i-had-to/" TargetMode="External"/><Relationship Id="rId2912" Type="http://schemas.openxmlformats.org/officeDocument/2006/relationships/hyperlink" Target="https://www.youtube.com/watch?v=US5dFGLzqQo" TargetMode="External"/><Relationship Id="rId1307" Type="http://schemas.openxmlformats.org/officeDocument/2006/relationships/hyperlink" Target="https://cases.justia.com/federal/district-courts/ohio/ohndce/1:2018cv02242/247535/15/0.pdf?ts=1544190248" TargetMode="External"/><Relationship Id="rId1514" Type="http://schemas.openxmlformats.org/officeDocument/2006/relationships/hyperlink" Target="https://public.fastcase.com/jaEE2PXzRXmZ99jOLMt1IpDp0JnVzptdty762p2WdacpKzYcIiQ8l1TBeuMep1jV?utm_medium=email&amp;_hsenc=p2ANqtz-9L1bPrfxst6esq_7Z5KFo1lHVisT0fYVrJpGE-zmUOoXZMhssxRXtfaqB6NAX5aJI_oGim2Kqhabp0MlaGnIdzwB2f4A&amp;_hsmi=226712652&amp;utm_content=226712652&amp;utm_source=hs_email" TargetMode="External"/><Relationship Id="rId1721" Type="http://schemas.openxmlformats.org/officeDocument/2006/relationships/hyperlink" Target="http://media.ca11.uscourts.gov/opinions/unpub/files/201814488.pdf" TargetMode="External"/><Relationship Id="rId1959" Type="http://schemas.openxmlformats.org/officeDocument/2006/relationships/hyperlink" Target="https://www.fox10tv.com/2022/06/27/mobile-doctors-supreme-court-win-could-impact-other-pill-mill-convictions/" TargetMode="External"/><Relationship Id="rId13" Type="http://schemas.openxmlformats.org/officeDocument/2006/relationships/image" Target="media/image4.png"/><Relationship Id="rId1819" Type="http://schemas.openxmlformats.org/officeDocument/2006/relationships/hyperlink" Target="https://ecf.ksd.uscourts.gov/cgi-bin/show_public_doc?2022cv4020-41" TargetMode="External"/><Relationship Id="rId2190" Type="http://schemas.openxmlformats.org/officeDocument/2006/relationships/hyperlink" Target="https://public.fastcase.com/ZZhmr5v9wN%2FXOe5IsQ%2FqD3dz3eOW5zFOFbDDQpgyn5N1g%2BDYcYq%2BQq5MnHYcUlJvjXUWh8aXMHicyBCjMoSMvWkOcK9%2F08vlf7VzRHHVD0g%3D?utm_medium=email&amp;_hsmi=226712652&amp;_hsenc=p2ANqtz-8FJSrnDbpE5SBLnbpgOtm8bsro6mydF1tKlBKSrXXB7U0G_KpVHeRpWqi1b6f_lyKuKYe1ibmLo31OO_-xt7H5dW8mOA&amp;utm_content=226712652&amp;utm_source=hs_email" TargetMode="External"/><Relationship Id="rId2288" Type="http://schemas.openxmlformats.org/officeDocument/2006/relationships/hyperlink" Target="https://www.leagle.com/decision/infdco20210811a71" TargetMode="External"/><Relationship Id="rId2495" Type="http://schemas.openxmlformats.org/officeDocument/2006/relationships/hyperlink" Target="https://www.ca5.uscourts.gov/opinions/pub/21/21-20085-CV0.pdf" TargetMode="External"/><Relationship Id="rId162" Type="http://schemas.openxmlformats.org/officeDocument/2006/relationships/hyperlink" Target="https://www.supremecourt.ohio.gov/forms/all-forms/crime-victims-marsys-law-rights/112" TargetMode="External"/><Relationship Id="rId467" Type="http://schemas.openxmlformats.org/officeDocument/2006/relationships/hyperlink" Target="https://www.hometownlife.com/story/news/local/westland/2016/04/15/report-released-westland-firefighter-death/83087498/" TargetMode="External"/><Relationship Id="rId1097" Type="http://schemas.openxmlformats.org/officeDocument/2006/relationships/hyperlink" Target="https://ilcourtsaudio.blob.core.windows.net/antilles-resources/resources/b3c62d52-1215-4e2d-8145-22ad48aed626/Ceyer%20v.%20City%20of%20Berwyn,%202024%20IL%20App%20(1st)%20231538.pdf" TargetMode="External"/><Relationship Id="rId2050" Type="http://schemas.openxmlformats.org/officeDocument/2006/relationships/hyperlink" Target="https://www4.courts.ca.gov/opinions/nonpub/D085716.PDF" TargetMode="External"/><Relationship Id="rId2148" Type="http://schemas.openxmlformats.org/officeDocument/2006/relationships/hyperlink" Target="https://public.fastcase.com/H1P9uiW3J20SFp%2BGCG%2BxLfXb%2FP0Zem%2FZVE%2B6Qs7i4IO1WpaqZWLhEbCf1wzASLCeHTBrNzAeMbTpuOI06nFKgtuOqPD57vVcxacgyHv1UJc%3D?utm_medium=email&amp;_hsmi=226712652&amp;_hsenc=p2ANqtz-8wnxBiWrzuFD2HrdDPkM1g9CGhbZuaZGzbWbXmLdA56OF31_PY2JQBf09BSmDMlHEKBQ_DWKjsPmFM9QlP1xX06T0eGA&amp;utm_content=226712652&amp;utm_source=hs_email" TargetMode="External"/><Relationship Id="rId674" Type="http://schemas.openxmlformats.org/officeDocument/2006/relationships/hyperlink" Target="https://www.supremecourt.gov/opinions/24pdf/24a949_lkhn.pdf" TargetMode="External"/><Relationship Id="rId881" Type="http://schemas.openxmlformats.org/officeDocument/2006/relationships/hyperlink" Target="https://www.courts.ca.gov/opinions/documents/D082048.PDF" TargetMode="External"/><Relationship Id="rId979" Type="http://schemas.openxmlformats.org/officeDocument/2006/relationships/hyperlink" Target="https://cases.justia.com/georgia/court-of-appeals/2023-a23a1037.pdf?ts=1697652631" TargetMode="External"/><Relationship Id="rId2355" Type="http://schemas.openxmlformats.org/officeDocument/2006/relationships/hyperlink" Target="https://www.emsworld.com/press-release/1222611/immi-launches-per4max-restraint-ems-providers" TargetMode="External"/><Relationship Id="rId2562" Type="http://schemas.openxmlformats.org/officeDocument/2006/relationships/hyperlink" Target="https://www.mass.gov/doc/bailey-casley-v-boston-fire-department-2625/download" TargetMode="External"/><Relationship Id="rId327" Type="http://schemas.openxmlformats.org/officeDocument/2006/relationships/hyperlink" Target="https://public.fastcase.com/Wl%2B2t%2BeVuI35%2FN70vAMFZiMSkjeFjM9WB95jitKYLwuiXut%2FEoidjwwdPtdsEj9z" TargetMode="External"/><Relationship Id="rId534" Type="http://schemas.openxmlformats.org/officeDocument/2006/relationships/hyperlink" Target="https://law.justia.com/cases/ohio/twelfth-district-court-of-appeals/2022/ca2022-02-020.html" TargetMode="External"/><Relationship Id="rId741" Type="http://schemas.openxmlformats.org/officeDocument/2006/relationships/hyperlink" Target="https://casetext.com/case/united-states-v-williams-3941" TargetMode="External"/><Relationship Id="rId839" Type="http://schemas.openxmlformats.org/officeDocument/2006/relationships/hyperlink" Target="https://www.supremecourt.gov/opinions/17pdf/16-402_h315.pdf" TargetMode="External"/><Relationship Id="rId1164" Type="http://schemas.openxmlformats.org/officeDocument/2006/relationships/hyperlink" Target="https://law.justia.com/cases/california/court-of-appeal/2022/a161575.html" TargetMode="External"/><Relationship Id="rId1371" Type="http://schemas.openxmlformats.org/officeDocument/2006/relationships/hyperlink" Target="https://www.ca5.uscourts.gov/opinions/unpub/23/23-30810.0.pdf" TargetMode="External"/><Relationship Id="rId1469" Type="http://schemas.openxmlformats.org/officeDocument/2006/relationships/hyperlink" Target="https://casetext.com/case/benson-v-city-of-lincoln" TargetMode="External"/><Relationship Id="rId2008" Type="http://schemas.openxmlformats.org/officeDocument/2006/relationships/hyperlink" Target="https://public.fastcase.com/Jhe1Qn%2BmJndQYQU6z%2FeNm6ju%2Bd0XMiKIQG0dYFr7cgUzgsifv99YXHK%2BxnD66TJoHk4g2WwtQKDS%2BvASTYn2UbNIVhBuboQ2Vfvy9hViY%2Bk%3D?utm_medium=email&amp;_hsenc=p2ANqtz-8NHhkkKcWj0_qee_n9oiHaTk7VwtWB_afCW5GLhqKW_ltr3Dza-rNcLPsWMOqNw3cx9q-xKyAAVyV_SrzeJvBmwADJtg&amp;_hsmi=226712652&amp;utm_content=226712652&amp;utm_source=hs_email" TargetMode="External"/><Relationship Id="rId2215" Type="http://schemas.openxmlformats.org/officeDocument/2006/relationships/hyperlink" Target="https://public.fastcase.com/J%2FJP6pdidelsXxEE4k%2BLMmal3pmqwL2M3IcdBRYRq7H5oV2dmSosFOkL4d7k98jG9SuahbInE3n2tMql6kX0QUzRKtcMn83zHZ%2BG%2BG9ZYZQ%3D?utm_medium=email&amp;_hsmi=226712652&amp;_hsenc=p2ANqtz-9uf78hORTgLHe72Nq9qJz-C27iwk_m4r2mdnHF-ngJMSp_ULhMnmBHzq8bpBh7J7k34w9BngwpJd6Z97DDjhMn2bZMQA&amp;utm_content=226712652&amp;utm_source=hs_email" TargetMode="External"/><Relationship Id="rId2422" Type="http://schemas.openxmlformats.org/officeDocument/2006/relationships/hyperlink" Target="http://courtweb.pamd.uscourts.gov/courtwebsearch/ndoh/AlKFf0ZU_k.pdf" TargetMode="External"/><Relationship Id="rId2867" Type="http://schemas.openxmlformats.org/officeDocument/2006/relationships/hyperlink" Target="https://law.justia.com/cases/texas/third-court-of-appeals/2022/03-21-00227-cv.html" TargetMode="External"/><Relationship Id="rId601" Type="http://schemas.openxmlformats.org/officeDocument/2006/relationships/hyperlink" Target="http://www.illinoiscourts.gov/Opinions/AppellateCourt/2019/1stDistrict/1181163.pdf" TargetMode="External"/><Relationship Id="rId1024" Type="http://schemas.openxmlformats.org/officeDocument/2006/relationships/hyperlink" Target="https://apps.fastcase.com/Research/Pages/Document.aspx?LTID=Xw8aOGbEV5h7mh6RjPEl9n63ZALwBpLWbymlVcyIbGaFEyS5AIee4aT6cgn2wg4uWWJVckzCvxLzei9%2b4Apj1XP1P42mrmnHytE1H7bv0g2rI4G%2bkqbz4sFzRUBCZSj0unPMTNwoqsGxjmJqgIPe%2fA%3d%3d&amp;ECF=(1999)+21+Cal.4th+226" TargetMode="External"/><Relationship Id="rId1231" Type="http://schemas.openxmlformats.org/officeDocument/2006/relationships/hyperlink" Target="https://fox8.com/news/cleveland-fire-chief-to-retire-friday/" TargetMode="External"/><Relationship Id="rId1676" Type="http://schemas.openxmlformats.org/officeDocument/2006/relationships/hyperlink" Target="https://cases.justia.com/federal/appellate-courts/ca11/22-10002/22-10002-2023-10-11.pdf?ts=1697045568" TargetMode="External"/><Relationship Id="rId1883" Type="http://schemas.openxmlformats.org/officeDocument/2006/relationships/hyperlink" Target="https://www.justice.gov/servicemembers" TargetMode="External"/><Relationship Id="rId2727" Type="http://schemas.openxmlformats.org/officeDocument/2006/relationships/hyperlink" Target="http://masscases.com/cases/app/82/82massappct623.html" TargetMode="External"/><Relationship Id="rId2934" Type="http://schemas.openxmlformats.org/officeDocument/2006/relationships/hyperlink" Target="https://casetext.com/case/freres-timber-inc-v-the-united-states" TargetMode="External"/><Relationship Id="rId906" Type="http://schemas.openxmlformats.org/officeDocument/2006/relationships/hyperlink" Target="https://codes.ohio.gov/ohio-revised-code/section-3314.07" TargetMode="External"/><Relationship Id="rId1329" Type="http://schemas.openxmlformats.org/officeDocument/2006/relationships/hyperlink" Target="https://www.scotusblog.com/case-files/cases/new-prime-inc-v-oliveira/" TargetMode="External"/><Relationship Id="rId1536" Type="http://schemas.openxmlformats.org/officeDocument/2006/relationships/hyperlink" Target="https://supreme.justia.com/cases/federal/us/564/338/" TargetMode="External"/><Relationship Id="rId1743" Type="http://schemas.openxmlformats.org/officeDocument/2006/relationships/hyperlink" Target="https://www.dol.gov/sites/dolgov/files/WHD/legacy/files/fab_2020_8.pdf" TargetMode="External"/><Relationship Id="rId1950" Type="http://schemas.openxmlformats.org/officeDocument/2006/relationships/hyperlink" Target="https://www.justice.gov/opa/pr/justice-department-announces-global-resolution-criminal-and-civil-investigations-opioid" TargetMode="External"/><Relationship Id="rId35" Type="http://schemas.openxmlformats.org/officeDocument/2006/relationships/hyperlink" Target="https://ecf.ca8.uscourts.gov/opndir/26/04/242159P.pdf" TargetMode="External"/><Relationship Id="rId1603" Type="http://schemas.openxmlformats.org/officeDocument/2006/relationships/hyperlink" Target="https://www.law.georgetown.edu/icap/wp-content/uploads/sites/32/2020/07/Bey-2d-Cir.-Opening-Brief-FINAL-7-7-2020.pdf" TargetMode="External"/><Relationship Id="rId1810" Type="http://schemas.openxmlformats.org/officeDocument/2006/relationships/hyperlink" Target="https://www.dol.gov/newsroom/releases/whd/whd20230524-0" TargetMode="External"/><Relationship Id="rId184" Type="http://schemas.openxmlformats.org/officeDocument/2006/relationships/hyperlink" Target="https://casetext.com/case/people-v-smith-9160" TargetMode="External"/><Relationship Id="rId391" Type="http://schemas.openxmlformats.org/officeDocument/2006/relationships/hyperlink" Target="https://stocktonia.org/news/public-safety/2024/08/22/man-given-15-years-to-life-for-fatally-shooting-fire-captain-in-2022/" TargetMode="External"/><Relationship Id="rId1908" Type="http://schemas.openxmlformats.org/officeDocument/2006/relationships/hyperlink" Target="https://www.facebook.com/watch/?v=2023629185244531" TargetMode="External"/><Relationship Id="rId2072" Type="http://schemas.openxmlformats.org/officeDocument/2006/relationships/hyperlink" Target="https://public.fastcase.com/jaEE2PXzRXmZ99jOLMt1Iur66SqTUHCh2%2F6i5JSa4l6hU%2FvLi%2B5AObhTx2DvFKDq?utm_medium=email&amp;_hsenc=p2ANqtz--swmEKE2bBH1yxnsdN_yPFP1ssqGq5KgURTPyK4vIy-QrvDWKI9I9IkKVZfzKsNc7HzZR6NsXw-W4jNuqGESlXN6G9zw&amp;_hsmi=226712652&amp;utm_content=226712652&amp;utm_source=hs_email" TargetMode="External"/><Relationship Id="rId251" Type="http://schemas.openxmlformats.org/officeDocument/2006/relationships/hyperlink" Target="https://public.fastcase.com/9SKwsfNqTc6OieYDhNMyM6jgODeMvtNo11ZvDvT9dExI019FDNN4wp%2BIWQLSUMw%2BxfaNzZaXSMuB0brgu1SRuIg3s6kJiaNRSylEv%2FkVP98%3D" TargetMode="External"/><Relationship Id="rId489" Type="http://schemas.openxmlformats.org/officeDocument/2006/relationships/hyperlink" Target="https://casetext.com/statute/consolidated-laws-of-new-york/chapter-volunteer-firefighters-benefit/article-2-coverage-and-benefits/section-5-coverage" TargetMode="External"/><Relationship Id="rId696" Type="http://schemas.openxmlformats.org/officeDocument/2006/relationships/hyperlink" Target="https://caselaw.findlaw.com/court/us-1st-circuit/116020600.html" TargetMode="External"/><Relationship Id="rId2377" Type="http://schemas.openxmlformats.org/officeDocument/2006/relationships/hyperlink" Target="https://cases.justia.com/texas/first-court-of-appeals/2019-01-19-00450-cv.pdf?ts=1577798110" TargetMode="External"/><Relationship Id="rId2584" Type="http://schemas.openxmlformats.org/officeDocument/2006/relationships/hyperlink" Target="https://supreme.justia.com/cases/federal/us/376/254/" TargetMode="External"/><Relationship Id="rId2791" Type="http://schemas.openxmlformats.org/officeDocument/2006/relationships/hyperlink" Target="http://www.ncsl.org/research/ethics/50-state-table-nepotism-restrictions.aspx" TargetMode="External"/><Relationship Id="rId349" Type="http://schemas.openxmlformats.org/officeDocument/2006/relationships/hyperlink" Target="https://mdcourts.gov/sites/default/files/unreported-opinions/2279s17.pdf" TargetMode="External"/><Relationship Id="rId556" Type="http://schemas.openxmlformats.org/officeDocument/2006/relationships/hyperlink" Target="https://casetext.com/case/state-v-zitney-1" TargetMode="External"/><Relationship Id="rId763" Type="http://schemas.openxmlformats.org/officeDocument/2006/relationships/hyperlink" Target="https://www.washingtonpost.com/opinions/2021/07/18/federal-appeals-court-decisions-handguns-opens-door-more-violence/?utm_campaign=wp_todays_headlines&amp;utm_medium=email&amp;utm_source=newsletter&amp;wpisrc=nl_headlines&amp;carta-url=https%3A%2F%2Fs2.washingtonpost.com%2Fcar-ln-tr%2F342e6a3%2F60f54d379d2fda945a0c336b%2F59731235ade4e21a848a56ed%2F42%2F67%2F60f54d379d2fda945a0c336b" TargetMode="External"/><Relationship Id="rId1186" Type="http://schemas.openxmlformats.org/officeDocument/2006/relationships/hyperlink" Target="https://casetext.com/case/clark-v-town-of-waterford" TargetMode="External"/><Relationship Id="rId1393" Type="http://schemas.openxmlformats.org/officeDocument/2006/relationships/hyperlink" Target="https://public.fastcase.com/ZZhmr5v9wN%2FXOe5IsQ%2FqD4teBhUqY7wvbGAswNzyBMaksiAAx9CoK%2F0glr7LeyIGy7%2BIvTMMfnsD4C1w01llLSbg%2FSmkDMg22UrZNbleClI%3D?utm_medium=email&amp;_hsmi=226712652&amp;_hsenc=p2ANqtz--0kKIYBqY11A1vHL3K3LnOM9OT3ZDxvHId5EPEJRai0C-xgNPiCQqUNedXVxiPbPjxDggmQ5V534mtY9qGSRF7_b-8gg&amp;utm_content=226712652&amp;utm_source=hs_email" TargetMode="External"/><Relationship Id="rId2237" Type="http://schemas.openxmlformats.org/officeDocument/2006/relationships/hyperlink" Target="https://public.fastcase.com/J%2FJP6pdidelsXxEE4k%2BLMlzK3ypZvc0Gn%2FjuZDkyq8MI5%2FfINcqrUtBut3YiWnMm%2B6u%2FYbxznYZMXvWFYa2uilbMm7X%2Bw%2FMZe4%2FFjNyk13o%3D" TargetMode="External"/><Relationship Id="rId2444" Type="http://schemas.openxmlformats.org/officeDocument/2006/relationships/hyperlink" Target="https://www.casemine.com/judgement/us/698dd4328a508cf645e20167" TargetMode="External"/><Relationship Id="rId2889" Type="http://schemas.openxmlformats.org/officeDocument/2006/relationships/hyperlink" Target="file:///C:/Users/lawre/AppData/Local/Temp/N00008009PUB.pdf" TargetMode="External"/><Relationship Id="rId111" Type="http://schemas.openxmlformats.org/officeDocument/2006/relationships/hyperlink" Target="https://cases.justia.com/ohio/seventh-district-court-of-appeals/2024-24-be-0004.pdf?ts=1730297340" TargetMode="External"/><Relationship Id="rId209" Type="http://schemas.openxmlformats.org/officeDocument/2006/relationships/hyperlink" Target="https://public.fastcase.com/J%2FJP6pdidelsXxEE4k%2BLMrfSCCaRdL8TI%2B5ioBWNQnh0kDz1GreH4%2B0yNBfnZOTE%2BnPBmU0h571R%2FJckMZe26svndIwXzFkT32fWB37fhjw%3D?utm_medium=email&amp;_hsmi=226712652&amp;_hsenc=p2ANqtz--GP8ZQooCAhfBpKdL9gU4tnEMPEYSQuJhpHC1xgU_R2XIHvEgQGIZy-l9drIqZUjYHZhAeqsmTG1Ww2RK_6TGoVdhMHQ&amp;utm_content=226712652&amp;utm_source=hs_email" TargetMode="External"/><Relationship Id="rId416" Type="http://schemas.openxmlformats.org/officeDocument/2006/relationships/hyperlink" Target="https://www.muscalaw.com/blog/understanding-floridas-new-halo-law-and-its-impact-first-amendment-rights" TargetMode="External"/><Relationship Id="rId970" Type="http://schemas.openxmlformats.org/officeDocument/2006/relationships/hyperlink" Target="https://www.courts.mo.gov/file.jsp?id=205075" TargetMode="External"/><Relationship Id="rId1046" Type="http://schemas.openxmlformats.org/officeDocument/2006/relationships/hyperlink" Target="https://www4.courts.ca.gov/opinions/nonpub/B338919.PDF" TargetMode="External"/><Relationship Id="rId1253" Type="http://schemas.openxmlformats.org/officeDocument/2006/relationships/hyperlink" Target="https://www.supremecourt.ohio.gov/rod/docs/pdf/0/2009/2009-Ohio-2597.pdf" TargetMode="External"/><Relationship Id="rId1698" Type="http://schemas.openxmlformats.org/officeDocument/2006/relationships/hyperlink" Target="https://www.leagle.com/decision/infdco20211215796" TargetMode="External"/><Relationship Id="rId2651" Type="http://schemas.openxmlformats.org/officeDocument/2006/relationships/hyperlink" Target="https://legislation.nysenate.gov/pdf/bills/2021/S8481" TargetMode="External"/><Relationship Id="rId2749" Type="http://schemas.openxmlformats.org/officeDocument/2006/relationships/hyperlink" Target="https://www.dmlp.org/legal-guide/california-recording-law" TargetMode="External"/><Relationship Id="rId2956" Type="http://schemas.openxmlformats.org/officeDocument/2006/relationships/hyperlink" Target="https://project.wnyc.org/disciplinary-records/" TargetMode="External"/><Relationship Id="rId623" Type="http://schemas.openxmlformats.org/officeDocument/2006/relationships/hyperlink" Target="https://d.docs.live.net/bd9b2eaf6053242e/AppData/Roaming/Microsoft/AppData/Local/Microsoft/Windows/INetCache/IE/XO250S7T/memorandum%20%20affirmed%20%2010347948434547371.pdf" TargetMode="External"/><Relationship Id="rId830" Type="http://schemas.openxmlformats.org/officeDocument/2006/relationships/hyperlink" Target="https://www.law.com/thelegalintelligencer/2019/09/12/court-students-claim-to-want-to-beat-the-record-following-parkland-shooting-was-terroristic-threat/" TargetMode="External"/><Relationship Id="rId928" Type="http://schemas.openxmlformats.org/officeDocument/2006/relationships/hyperlink" Target="https://ktla.com/news/local-news/gov-newsom-signs-new-law-prompted-by-photo-scandal-in-crash-that-killed-kobe-bryant-8-others-in-calabasas/" TargetMode="External"/><Relationship Id="rId1460" Type="http://schemas.openxmlformats.org/officeDocument/2006/relationships/hyperlink" Target="https://cases.justia.com/federal/district-courts/illinois/ilndce/1:2016cv10156/332956/114/0.pdf?ts=1547636381" TargetMode="External"/><Relationship Id="rId1558" Type="http://schemas.openxmlformats.org/officeDocument/2006/relationships/hyperlink" Target="https://casetext.com/case/mendoza-v-the-city-of-new-york-3" TargetMode="External"/><Relationship Id="rId1765" Type="http://schemas.openxmlformats.org/officeDocument/2006/relationships/hyperlink" Target="https://www.opn.ca6.uscourts.gov/opinions.pdf/19a0114p-06.pdf" TargetMode="External"/><Relationship Id="rId2304" Type="http://schemas.openxmlformats.org/officeDocument/2006/relationships/hyperlink" Target="https://casetext.com/case/certification-from-us-dist-court-for-w-dist-of-wash-v-city-of-bellingham" TargetMode="External"/><Relationship Id="rId2511" Type="http://schemas.openxmlformats.org/officeDocument/2006/relationships/hyperlink" Target="https://public.fastcase.com/Wl%2B2t%2BeVuI35%2FN70vAMFZlfrbL2Iv9t8X190JkA%2BKSgGR212V5tgaR0%2FcTyilOxc" TargetMode="External"/><Relationship Id="rId2609" Type="http://schemas.openxmlformats.org/officeDocument/2006/relationships/hyperlink" Target="https://www.pacourts.us/assets/opinions/Superior/out/J-A22023-23o%20-%20106151918288524284.pdf?cb=1" TargetMode="External"/><Relationship Id="rId57" Type="http://schemas.openxmlformats.org/officeDocument/2006/relationships/hyperlink" Target="https://www.voltacharger.com/blogs/news/what-causes-phone-chargers-to-explode-and-how-to-avoid-it?srsltid=AfmBOor-D0Mt5iX7UDwb-r4sqdnXak-6s4LPkG62kZWVkLQCSPJSBjBB" TargetMode="External"/><Relationship Id="rId1113" Type="http://schemas.openxmlformats.org/officeDocument/2006/relationships/hyperlink" Target="https://cases.justia.com/tennessee/court-of-appeals/2023-e2022-01151-coa-r3-cv.pdf?ts=1703121841" TargetMode="External"/><Relationship Id="rId1320" Type="http://schemas.openxmlformats.org/officeDocument/2006/relationships/hyperlink" Target="https://law.justia.com/codes/new-jersey/2013/title-40a/section-40a-14-178/" TargetMode="External"/><Relationship Id="rId1418" Type="http://schemas.openxmlformats.org/officeDocument/2006/relationships/hyperlink" Target="https://casetext.com/case/molchan-v-delmar-fire-dept-1" TargetMode="External"/><Relationship Id="rId1972" Type="http://schemas.openxmlformats.org/officeDocument/2006/relationships/hyperlink" Target="https://www.supremecourt.gov/opinions/20pdf/20-645_9p6b.pdf" TargetMode="External"/><Relationship Id="rId2816" Type="http://schemas.openxmlformats.org/officeDocument/2006/relationships/hyperlink" Target="https://cases.justia.com/federal/district-courts/illinois/ilndce/1:2024cv01517/455667/32/0.pdf?ts=1773244215" TargetMode="External"/><Relationship Id="rId1625" Type="http://schemas.openxmlformats.org/officeDocument/2006/relationships/hyperlink" Target="https://www.eeoc.gov/employees/timeliness.cfm" TargetMode="External"/><Relationship Id="rId1832" Type="http://schemas.openxmlformats.org/officeDocument/2006/relationships/hyperlink" Target="https://www.law.cornell.edu/definitions/uscode.php?width=840&amp;height=800&amp;iframe=true&amp;def_id=29-USC-3641640-1968318500&amp;term_occur=999&amp;term_src=title:29:chapter:9:section:260" TargetMode="External"/><Relationship Id="rId2094" Type="http://schemas.openxmlformats.org/officeDocument/2006/relationships/hyperlink" Target="https://cases.justia.com/federal/district-courts/minnesota/mndce/0:2022cv00602/199430/91/0.pdf?ts=1737802391" TargetMode="External"/><Relationship Id="rId273" Type="http://schemas.openxmlformats.org/officeDocument/2006/relationships/hyperlink" Target="https://www.wicourts.gov/ca/opinion/DisplayDocument.pdf?content=pdf&amp;seqNo=342440" TargetMode="External"/><Relationship Id="rId480" Type="http://schemas.openxmlformats.org/officeDocument/2006/relationships/hyperlink" Target="https://caselaw.findlaw.com/court/in-court-of-appeals/116108297.html" TargetMode="External"/><Relationship Id="rId2161" Type="http://schemas.openxmlformats.org/officeDocument/2006/relationships/hyperlink" Target="https://bencrump.com/press/attorney-ben-crump-files-personal-injury-lawsuit-against-paramedics-who-refused-to-provide-emergency-care-to-disabled-teen/" TargetMode="External"/><Relationship Id="rId2399" Type="http://schemas.openxmlformats.org/officeDocument/2006/relationships/hyperlink" Target="http://www.pacourts.us/assets/opinions/Superior/out/memorandum%20%20affirmed%20%2010388943251531544.pdf" TargetMode="External"/><Relationship Id="rId133" Type="http://schemas.openxmlformats.org/officeDocument/2006/relationships/hyperlink" Target="https://www.law.cornell.edu/wex/hearsay" TargetMode="External"/><Relationship Id="rId340" Type="http://schemas.openxmlformats.org/officeDocument/2006/relationships/hyperlink" Target="https://law.justia.com/cases/federal/appellate-courts/ca7/17-3030/17-3030-2018-08-22.html" TargetMode="External"/><Relationship Id="rId578" Type="http://schemas.openxmlformats.org/officeDocument/2006/relationships/hyperlink" Target="https://caselaw.findlaw.com/us-dc-circuit/1363158.html" TargetMode="External"/><Relationship Id="rId785" Type="http://schemas.openxmlformats.org/officeDocument/2006/relationships/hyperlink" Target="https://www.law.cornell.edu/uscode/text/8/1227" TargetMode="External"/><Relationship Id="rId992" Type="http://schemas.openxmlformats.org/officeDocument/2006/relationships/hyperlink" Target="https://law.justia.com/cases/texas/fourteenth-court-of-appeals/2022/14-20-00566-cv.html" TargetMode="External"/><Relationship Id="rId2021" Type="http://schemas.openxmlformats.org/officeDocument/2006/relationships/hyperlink" Target="https://cdn.ca9.uscourts.gov/datastore/memoranda/2026/05/27/24-6656.pdf" TargetMode="External"/><Relationship Id="rId2259" Type="http://schemas.openxmlformats.org/officeDocument/2006/relationships/hyperlink" Target="https://public.fastcase.com/waZtJvSA54UAurM2rmIZzwvOxdABv7XvwmmlDXNvdvn51CTV3NslG6Rw0yioxZXL%2BjJOhhNAJF%2FpIN8S52jcKAcJWCdsLYpOkU1PQ4W0%2BbA%3D" TargetMode="External"/><Relationship Id="rId2466" Type="http://schemas.openxmlformats.org/officeDocument/2006/relationships/hyperlink" Target="https://app.leg.wa.gov/RCW/default.aspx?cite=41.26.030" TargetMode="External"/><Relationship Id="rId2673" Type="http://schemas.openxmlformats.org/officeDocument/2006/relationships/hyperlink" Target="https://www.firerescue1.com/arson-investigation/articles/understanding-the-firefighter-arsonist-j06dtElH3OMZMwBS/" TargetMode="External"/><Relationship Id="rId2880" Type="http://schemas.openxmlformats.org/officeDocument/2006/relationships/hyperlink" Target="https://law.justia.com/cases/federal/district-courts/indiana/inndce/2:2021cv00154/106960/76/" TargetMode="External"/><Relationship Id="rId200" Type="http://schemas.openxmlformats.org/officeDocument/2006/relationships/hyperlink" Target="https://www.supremecourt.ohio.gov/rod/docs/pdf/0/2021/2021-ohio-2067.pdf" TargetMode="External"/><Relationship Id="rId438" Type="http://schemas.openxmlformats.org/officeDocument/2006/relationships/hyperlink" Target="https://public.fastcase.com/jaEE2PXzRXmZ99jOLMt1IgoAeG7S%2FykfBuI6YcrwSiPTGWPBCOsZ9U9hhbKPvFCclEcN8%2BwauJ9ACloifFNsJP5SY607BhdVsV5o4yY4x1s%3D?utm_medium=email&amp;_hsenc=p2ANqtz-_cDTCyDUjf-GWGQHLWs90oLVQoI7WEBtlECxGBA_PvhPlM3MPPBeVtmuAidKContkLHE5q5E9gdRGYeBGS5gCqwJlBfg&amp;_hsmi=226712652&amp;utm_content=226712652&amp;utm_source=hs_email" TargetMode="External"/><Relationship Id="rId645" Type="http://schemas.openxmlformats.org/officeDocument/2006/relationships/hyperlink" Target="https://www.casemine.com/judgement/us/694a977ac92f54bb3c63226d" TargetMode="External"/><Relationship Id="rId852" Type="http://schemas.openxmlformats.org/officeDocument/2006/relationships/hyperlink" Target="https://appellate.nccourts.org/opinions/?c=2&amp;pdf=44475" TargetMode="External"/><Relationship Id="rId1068" Type="http://schemas.openxmlformats.org/officeDocument/2006/relationships/hyperlink" Target="https://cases.justia.com/louisiana/fourth-circuit-court-of-appeal/2025-2024-ca-0747.pdf?ts=1746576943" TargetMode="External"/><Relationship Id="rId1275" Type="http://schemas.openxmlformats.org/officeDocument/2006/relationships/hyperlink" Target="https://www.azcourts.gov/Portals/0/OpinionFiles/Div1/2020/1%20CA-IC%2019-0036%20-%20Forbach.pdf" TargetMode="External"/><Relationship Id="rId1482" Type="http://schemas.openxmlformats.org/officeDocument/2006/relationships/hyperlink" Target="http://www.5dca.org/Opinions/Opin2018/011518/5D17-1183.op.pdf" TargetMode="External"/><Relationship Id="rId2119" Type="http://schemas.openxmlformats.org/officeDocument/2006/relationships/hyperlink" Target="https://cases.justia.com/federal/appellate-courts/ca11/23-12759/23-12759-2024-07-23.pdf?ts=1721745066" TargetMode="External"/><Relationship Id="rId2326" Type="http://schemas.openxmlformats.org/officeDocument/2006/relationships/hyperlink" Target="https://public.fastcase.com/Wl%2B2t%2BeVuI35%2FN70vAMFZhgQRMSlTmc31zPzZvHhe6G3UFiDUpDiHM1BEG64P0h7" TargetMode="External"/><Relationship Id="rId2533" Type="http://schemas.openxmlformats.org/officeDocument/2006/relationships/hyperlink" Target="https://public.fastcase.com/Jhe1Qn%2BmJndQYQU6z%2FeNm8xp5bcQpM0LeCpj95rZ5gNEdVG1ibFcIduRcZ%2B3IipaZYnYIym7VYjtpqKVlaUqasfnn8Tz1CVmcjSIlOE%2BPZg%3D?utm_medium=email&amp;_hsenc=p2ANqtz-9jjfQQEOm_2mMKI3z_PNL0spa8WgXuU5UtiIChSVPrFWGJFWa_yPhDa2X3hbtFntOPOz5eOn48J2_-s790WqIcSfBsuw&amp;_hsmi=226712652&amp;utm_content=226712652&amp;utm_source=hs_email" TargetMode="External"/><Relationship Id="rId2740" Type="http://schemas.openxmlformats.org/officeDocument/2006/relationships/hyperlink" Target="https://casetext.com/case/united-states-v-fields-198" TargetMode="External"/><Relationship Id="rId505" Type="http://schemas.openxmlformats.org/officeDocument/2006/relationships/hyperlink" Target="https://casetext.com/statute/california-codes/california-civil-code/division-3-obligations/part-3-obligations-imposed-by-law/section-1714-responsibility-injury-occasioned-by-want-of-ordinary-care-or-skill-in-management-of-property-or-person-firearms-and-ammunition-not-exempted" TargetMode="External"/><Relationship Id="rId712" Type="http://schemas.openxmlformats.org/officeDocument/2006/relationships/hyperlink" Target="https://cases.justia.com/federal/appellate-courts/ca5/22-50212/22-50212-2023-10-27.pdf?ts=1698427826" TargetMode="External"/><Relationship Id="rId1135" Type="http://schemas.openxmlformats.org/officeDocument/2006/relationships/hyperlink" Target="https://casetext.com/case/city-of-wilkes-barre-v-snyder" TargetMode="External"/><Relationship Id="rId1342" Type="http://schemas.openxmlformats.org/officeDocument/2006/relationships/hyperlink" Target="https://cases.justia.com/montana/supreme-court/2025-da-24-0672.pdf?ts=1759872027" TargetMode="External"/><Relationship Id="rId1787" Type="http://schemas.openxmlformats.org/officeDocument/2006/relationships/hyperlink" Target="https://media.ca11.uscourts.gov/opinions/pub/files/202211322.pdf" TargetMode="External"/><Relationship Id="rId1994" Type="http://schemas.openxmlformats.org/officeDocument/2006/relationships/hyperlink" Target="https://law.justia.com/cases/new-york/other-courts/2019/2019-ny-slip-op-51419-u.html" TargetMode="External"/><Relationship Id="rId2838" Type="http://schemas.openxmlformats.org/officeDocument/2006/relationships/hyperlink" Target="https://casetext.com/case/teague-v-travis-cnty-emergency-servs-dist" TargetMode="External"/><Relationship Id="rId79" Type="http://schemas.openxmlformats.org/officeDocument/2006/relationships/hyperlink" Target="https://cases.justia.com/arizona/supreme-court/2025-cr-24-0264-pr.pdf?ts=1747242027" TargetMode="External"/><Relationship Id="rId1202" Type="http://schemas.openxmlformats.org/officeDocument/2006/relationships/hyperlink" Target="https://law.justia.com/cases/ohio/first-district-court-of-appeals/2020/c-190708.html" TargetMode="External"/><Relationship Id="rId1647" Type="http://schemas.openxmlformats.org/officeDocument/2006/relationships/hyperlink" Target="https://cases.justia.com/federal/district-courts/south-carolina/scdce/0:2024cv00826/288831/46/0.pdf" TargetMode="External"/><Relationship Id="rId1854" Type="http://schemas.openxmlformats.org/officeDocument/2006/relationships/hyperlink" Target="https://www.justice.gov/servicemembers/other-resources" TargetMode="External"/><Relationship Id="rId2600" Type="http://schemas.openxmlformats.org/officeDocument/2006/relationships/hyperlink" Target="https://public.fastcase.com/jaEE2PXzRXmZ99jOLMt1Im1keUzBtfiIHvEUrgtpCe4tsCgV6NtJX3IH6wzppmaYdMf24%2B5puOWV6%2FBXnYGObJXUVli9SMl09cYxEMCDiBI%3D?utm_medium=email&amp;_hsenc=p2ANqtz-_d7OiIN91ZAk7Y1LfM1ALZw-U0OSyNxgKb6pVH2Z92AnZk8gKeX6P0Vdjf87FJH4FQPvAXMckV1s5VI4fjARMOTrnriQ&amp;_hsmi=226712652&amp;utm_content=226712652&amp;utm_source=hs_email" TargetMode="External"/><Relationship Id="rId2905" Type="http://schemas.openxmlformats.org/officeDocument/2006/relationships/hyperlink" Target="https://casetext.com/case/new-prime-inc-v-oliveira-1?ref=Sb!ZpcU0M" TargetMode="External"/><Relationship Id="rId1507" Type="http://schemas.openxmlformats.org/officeDocument/2006/relationships/hyperlink" Target="https://cases.justia.com/federal/district-courts/virginia/vaedce/3:2024cv00108/549376/71/0.pdf?ts=1749905770" TargetMode="External"/><Relationship Id="rId1714" Type="http://schemas.openxmlformats.org/officeDocument/2006/relationships/hyperlink" Target="https://law.justia.com/cases/louisiana/supreme-court/2015/2013-c-2878.html" TargetMode="External"/><Relationship Id="rId295" Type="http://schemas.openxmlformats.org/officeDocument/2006/relationships/hyperlink" Target="https://supreme.justia.com/cases/federal/us/468/897/" TargetMode="External"/><Relationship Id="rId1921" Type="http://schemas.openxmlformats.org/officeDocument/2006/relationships/hyperlink" Target="https://cases.justia.com/louisiana/first-circuit-court-of-appeal/2025-2023ca0459.pdf?ts=1749828408" TargetMode="External"/><Relationship Id="rId2183" Type="http://schemas.openxmlformats.org/officeDocument/2006/relationships/hyperlink" Target="https://www.supremecourt.ohio.gov/rod/docs/pdf/3/2023/2023-Ohio-3429.pdf" TargetMode="External"/><Relationship Id="rId2390" Type="http://schemas.openxmlformats.org/officeDocument/2006/relationships/hyperlink" Target="https://www.plaintiffmagazine.com/recent-issues/item/ems-helicopter-crashes-raise-complex-liability-issues" TargetMode="External"/><Relationship Id="rId2488" Type="http://schemas.openxmlformats.org/officeDocument/2006/relationships/hyperlink" Target="https://law.justia.com/cases/minnesota/court-of-appeals/2022/a22-0507.html" TargetMode="External"/><Relationship Id="rId155" Type="http://schemas.openxmlformats.org/officeDocument/2006/relationships/hyperlink" Target="https://cases.justia.com/michigan/court-of-appeals-published/2024-364264.pdf?ts=1708092018" TargetMode="External"/><Relationship Id="rId362" Type="http://schemas.openxmlformats.org/officeDocument/2006/relationships/hyperlink" Target="https://www.wicourts.gov/sc/opinion/DisplayDocument.pdf?content=pdf&amp;seqNo=224718" TargetMode="External"/><Relationship Id="rId1297" Type="http://schemas.openxmlformats.org/officeDocument/2006/relationships/hyperlink" Target="http://www.pacourts.us/assets/opinions/Commonwealth/out/877CD18_3-25-19.pdf?cb=1" TargetMode="External"/><Relationship Id="rId2043" Type="http://schemas.openxmlformats.org/officeDocument/2006/relationships/hyperlink" Target="https://cases.justia.com/federal/district-courts/massachusetts/madce/1:2023cv12125/261357/75/0.pdf?ts=1770465752" TargetMode="External"/><Relationship Id="rId2250" Type="http://schemas.openxmlformats.org/officeDocument/2006/relationships/hyperlink" Target="https://casetext.com/case/sutton-v-rockingham-cnty" TargetMode="External"/><Relationship Id="rId2695" Type="http://schemas.openxmlformats.org/officeDocument/2006/relationships/hyperlink" Target="https://www.supremecourt.ohio.gov/rod/docs/pdf/8/2022/2022-Ohio-824.pdf" TargetMode="External"/><Relationship Id="rId222" Type="http://schemas.openxmlformats.org/officeDocument/2006/relationships/hyperlink" Target="https://ecf.ca8.uscourts.gov/opndir/22/05/212146P.pdf" TargetMode="External"/><Relationship Id="rId667" Type="http://schemas.openxmlformats.org/officeDocument/2006/relationships/hyperlink" Target="https://storage.courtlistener.com/recap/gov.uscourts.mad.282404/gov.uscourts.mad.282404.119.0_1.pdf" TargetMode="External"/><Relationship Id="rId874" Type="http://schemas.openxmlformats.org/officeDocument/2006/relationships/hyperlink" Target="https://cases.justia.com/kentucky/court-of-appeals/2024-2023-ca-1204-mr.pdf?ts=1722002681" TargetMode="External"/><Relationship Id="rId2110" Type="http://schemas.openxmlformats.org/officeDocument/2006/relationships/hyperlink" Target="https://cases.justia.com/missouri/court-of-appeals/2024-sd38313.pdf?ts=1724895006" TargetMode="External"/><Relationship Id="rId2348" Type="http://schemas.openxmlformats.org/officeDocument/2006/relationships/hyperlink" Target="https://www.hannah.com/ShowDocument.aspx?BTextID=219206" TargetMode="External"/><Relationship Id="rId2555" Type="http://schemas.openxmlformats.org/officeDocument/2006/relationships/hyperlink" Target="https://www.2news.com/news/local/former-sparks-fire-chief-pleads-no-contest-to-drug-related-charge/article_484d699c-7023-11ed-b795-ff8664a2c2d9.html" TargetMode="External"/><Relationship Id="rId2762" Type="http://schemas.openxmlformats.org/officeDocument/2006/relationships/hyperlink" Target="https://supreme.justia.com/cases/federal/us/470/532/" TargetMode="External"/><Relationship Id="rId527" Type="http://schemas.openxmlformats.org/officeDocument/2006/relationships/hyperlink" Target="https://www.delawareonline.com/story/news/local/2016/12/01/ardythe-hope-firefighter-injured-canby-park-blaze-dies/94758432/" TargetMode="External"/><Relationship Id="rId734" Type="http://schemas.openxmlformats.org/officeDocument/2006/relationships/hyperlink" Target="https://docs-cdn-prod.news-engineering.aws.wapo.pub/publish_document/5c87d9b8-631f-41c7-92e8-129f412d0e0f/published/5c87d9b8-631f-41c7-92e8-129f412d0e0f.pdf" TargetMode="External"/><Relationship Id="rId941" Type="http://schemas.openxmlformats.org/officeDocument/2006/relationships/hyperlink" Target="https://cases.justia.com/texas/fourth-court-of-appeals/2026-04-25-00487-cr.pdf?ts=1782304969" TargetMode="External"/><Relationship Id="rId1157" Type="http://schemas.openxmlformats.org/officeDocument/2006/relationships/hyperlink" Target="https://www.leagle.com/decision/inohco20220627386" TargetMode="External"/><Relationship Id="rId1364" Type="http://schemas.openxmlformats.org/officeDocument/2006/relationships/hyperlink" Target="https://codes.ohio.gov/ohio-revised-code/section-4113.71" TargetMode="External"/><Relationship Id="rId1571" Type="http://schemas.openxmlformats.org/officeDocument/2006/relationships/hyperlink" Target="https://www.masslive.com/news/2018/05/springfield_city_council_appro_79.html" TargetMode="External"/><Relationship Id="rId2208" Type="http://schemas.openxmlformats.org/officeDocument/2006/relationships/hyperlink" Target="http://www.ca5.uscourts.gov/opinions/unpub/22/22-60374.0.pdf" TargetMode="External"/><Relationship Id="rId2415" Type="http://schemas.openxmlformats.org/officeDocument/2006/relationships/hyperlink" Target="https://cases.justia.com/federal/district-courts/kentucky/kyedce/5:2016cv00446/81785/59/0.pdf?ts=1529661227" TargetMode="External"/><Relationship Id="rId2622" Type="http://schemas.openxmlformats.org/officeDocument/2006/relationships/hyperlink" Target="https://public.fastcase.com/H1P9uiW3J20SFp%2BGCG%2BxLf0QXfMdGqdqZlQXVQLOVSo%2BRVxC5joRx%2Bn0W0bwooepXLY2KUKQY%2FNa4DzAR11NEG8M8s0LDdmLgDmSoVIjHEI%3D?utm_medium=email&amp;_hsmi=226712652&amp;_hsenc=p2ANqtz--j20uR-GYo6WCSGz4uB5jXz0CJaW80ssMVqf4KPGqbFwk9_LUt6on4Dgf3xdmVustFIoMmyBcwEiGPMrkJq9j9MAGPKA&amp;utm_content=226712652&amp;utm_source=hs_email" TargetMode="External"/><Relationship Id="rId70" Type="http://schemas.openxmlformats.org/officeDocument/2006/relationships/hyperlink" Target="https://www.casemine.com/judgement/us/66cea7f23f1f7c7a89e60871" TargetMode="External"/><Relationship Id="rId801" Type="http://schemas.openxmlformats.org/officeDocument/2006/relationships/hyperlink" Target="https://www.govinfo.gov/content/pkg/FR-2020-08-13/pdf/2020-17468.pdf" TargetMode="External"/><Relationship Id="rId1017" Type="http://schemas.openxmlformats.org/officeDocument/2006/relationships/hyperlink" Target="https://www.fireapparatusmagazine.com/articles/print/volume-22/issue-3/features/hose-alert-a-firefighter-s-commonsense-solution-to-a-serious-problem.html" TargetMode="External"/><Relationship Id="rId1224" Type="http://schemas.openxmlformats.org/officeDocument/2006/relationships/hyperlink" Target="https://public.fastcase.com/Wl%2B2t%2BeVuI35%2FN70vAMFZhBwSznuAn%2FrUV3euz1vpuZ8G42r7l80quvA5s5OcZyT" TargetMode="External"/><Relationship Id="rId1431" Type="http://schemas.openxmlformats.org/officeDocument/2006/relationships/hyperlink" Target="https://public.fastcase.com/9SKwsfNqTc6OieYDhNMyMx8HeCj7%2FDJBNdWBqE3NyzJHPN6vSl1mv%2F8RhqlJqRKR" TargetMode="External"/><Relationship Id="rId1669" Type="http://schemas.openxmlformats.org/officeDocument/2006/relationships/hyperlink" Target="https://www.supremecourt.gov/DocketPDF/23/23-997/311779/20240528141949268_23-997%20Stanley%20Reply%20In%20Support%20of%20Certiorari.pdf" TargetMode="External"/><Relationship Id="rId1876" Type="http://schemas.openxmlformats.org/officeDocument/2006/relationships/hyperlink" Target="https://www.law.cornell.edu/cfr/text/29/553.201" TargetMode="External"/><Relationship Id="rId2927" Type="http://schemas.openxmlformats.org/officeDocument/2006/relationships/hyperlink" Target="https://www.law.cornell.edu/cfr/text/24/291.530" TargetMode="External"/><Relationship Id="rId1529" Type="http://schemas.openxmlformats.org/officeDocument/2006/relationships/hyperlink" Target="https://casetext.com/case/corbin-v-black-jack-fire-prot-dist" TargetMode="External"/><Relationship Id="rId1736" Type="http://schemas.openxmlformats.org/officeDocument/2006/relationships/hyperlink" Target="https://caselaw.findlaw.com/court/us-dis-crt-d-con/115860244.html" TargetMode="External"/><Relationship Id="rId1943" Type="http://schemas.openxmlformats.org/officeDocument/2006/relationships/hyperlink" Target="https://cases.justia.com/federal/appellate-courts/ca5/22-20380/22-20380-2023-07-24.pdf?ts=1690219861" TargetMode="External"/><Relationship Id="rId28" Type="http://schemas.openxmlformats.org/officeDocument/2006/relationships/hyperlink" Target="https://cases.justia.com/michigan/court-of-appeals-unpublished/2026-374887.pdf?ts=1784206805" TargetMode="External"/><Relationship Id="rId1803" Type="http://schemas.openxmlformats.org/officeDocument/2006/relationships/hyperlink" Target="http://flsa-optin.com/My%20Docs/2023/Consent%20to%20Sue%20-%20IAFF%20781.pdf" TargetMode="External"/><Relationship Id="rId177" Type="http://schemas.openxmlformats.org/officeDocument/2006/relationships/hyperlink" Target="https://www.ca4.uscourts.gov/opinions/224307.P.pdf" TargetMode="External"/><Relationship Id="rId384" Type="http://schemas.openxmlformats.org/officeDocument/2006/relationships/hyperlink" Target="https://www.supremecourt.gov/opinions/25pdf/24-1068_n7ip.pdf" TargetMode="External"/><Relationship Id="rId591" Type="http://schemas.openxmlformats.org/officeDocument/2006/relationships/hyperlink" Target="https://shawkeller.com/wp-content/uploads/opinions-pdf/18-1252-CMMPT.pdf" TargetMode="External"/><Relationship Id="rId2065" Type="http://schemas.openxmlformats.org/officeDocument/2006/relationships/hyperlink" Target="https://cdn.ca9.uscourts.gov/datastore/opinions/2025/09/02/24-1044.pdf" TargetMode="External"/><Relationship Id="rId2272" Type="http://schemas.openxmlformats.org/officeDocument/2006/relationships/hyperlink" Target="https://nmonesource.com/nmos/nmsa/en/item/4422/index.do" TargetMode="External"/><Relationship Id="rId244" Type="http://schemas.openxmlformats.org/officeDocument/2006/relationships/hyperlink" Target="https://www.mainelegislature.org/legis/statutes/17/title17sec2851.html" TargetMode="External"/><Relationship Id="rId689" Type="http://schemas.openxmlformats.org/officeDocument/2006/relationships/hyperlink" Target="https://media.cadc.uscourts.gov/opinions/docs/2024/10/22-3042-2081254.pdf" TargetMode="External"/><Relationship Id="rId896" Type="http://schemas.openxmlformats.org/officeDocument/2006/relationships/hyperlink" Target="https://www.eff.org/files/2022/07/11/2022-07-11_-_tenth_circuit_-_irizarry_v_yehia.pdf" TargetMode="External"/><Relationship Id="rId1081" Type="http://schemas.openxmlformats.org/officeDocument/2006/relationships/hyperlink" Target="https://www.njcourts.gov/system/files/court-opinions/2025/a0585-22.pdf" TargetMode="External"/><Relationship Id="rId2577" Type="http://schemas.openxmlformats.org/officeDocument/2006/relationships/hyperlink" Target="https://www.youtube.com/watch?v=J9a7dzpchr4" TargetMode="External"/><Relationship Id="rId2784" Type="http://schemas.openxmlformats.org/officeDocument/2006/relationships/hyperlink" Target="http://www.sconet.state.oh.us/rod/docs/pdf/0/2009/2009-Ohio-2597.pdf" TargetMode="External"/><Relationship Id="rId451" Type="http://schemas.openxmlformats.org/officeDocument/2006/relationships/hyperlink" Target="https://www.youtube.com/watch?v=teM31tC2TMo" TargetMode="External"/><Relationship Id="rId549" Type="http://schemas.openxmlformats.org/officeDocument/2006/relationships/hyperlink" Target="https://www.953mnc.com/2021/07/19/iu-wins-court-case-can-proceed-with-covid-19-vaccine-requirement/" TargetMode="External"/><Relationship Id="rId756" Type="http://schemas.openxmlformats.org/officeDocument/2006/relationships/hyperlink" Target="https://www.law.cornell.edu/definitions/uscode.php?width=840&amp;height=800&amp;iframe=true&amp;def_id=18-USC-849457050-909420280&amp;term_occur=999&amp;term_src=title:18:part:I:chapter:13:section:249" TargetMode="External"/><Relationship Id="rId1179" Type="http://schemas.openxmlformats.org/officeDocument/2006/relationships/hyperlink" Target="https://casetext.com/case/bradley-v-city-of-olympia" TargetMode="External"/><Relationship Id="rId1386" Type="http://schemas.openxmlformats.org/officeDocument/2006/relationships/hyperlink" Target="https://wtop.com/news/2014/03/dc-firefighter-charged-with-filling-fake-prescriptions/" TargetMode="External"/><Relationship Id="rId1593" Type="http://schemas.openxmlformats.org/officeDocument/2006/relationships/hyperlink" Target="https://patch.com/massachusetts/brookline/brookline-select-board-votes-appeal-gerald-alston-case" TargetMode="External"/><Relationship Id="rId2132" Type="http://schemas.openxmlformats.org/officeDocument/2006/relationships/hyperlink" Target="https://www.cnn.com/2003/US/Midwest/12/01/died.in.custody/index.html" TargetMode="External"/><Relationship Id="rId2437" Type="http://schemas.openxmlformats.org/officeDocument/2006/relationships/hyperlink" Target="https://www.customsmobile.com/regulations/expand/title29_chapterXVII_part1904_subpartC_section1904.5" TargetMode="External"/><Relationship Id="rId104" Type="http://schemas.openxmlformats.org/officeDocument/2006/relationships/hyperlink" Target="https://casetext.com/case/jones-v-united-states-147" TargetMode="External"/><Relationship Id="rId311" Type="http://schemas.openxmlformats.org/officeDocument/2006/relationships/hyperlink" Target="https://public.fastcase.com/Wl%2B2t%2BeVuI35%2FN70vAMFZsoxzsfdSpYQWUHzr4LGn9%2B%2B5efEeYPRxdC77jaiEbzw" TargetMode="External"/><Relationship Id="rId409" Type="http://schemas.openxmlformats.org/officeDocument/2006/relationships/hyperlink" Target="https://www.hbsslaw.com/press/pfas-firefighter-turnout-gear/montana-court-denies-motions-to-dismiss-class-action-lawsuit-fighting-pfas-in-firefighter-turnout-gear" TargetMode="External"/><Relationship Id="rId963" Type="http://schemas.openxmlformats.org/officeDocument/2006/relationships/hyperlink" Target="https://cases.justia.com/pennsylvania/commonwealth-court/2024-1232-c-d-2023.pdf?ts=1729783758" TargetMode="External"/><Relationship Id="rId1039" Type="http://schemas.openxmlformats.org/officeDocument/2006/relationships/hyperlink" Target="https://public.fastcase.com/Jhe1Qn%2BmJndQYQU6z%2FeNm1SSbD0G3ZEWJh7YHZP1lKvwyFhreCu4Zs3UIv3EdnBK?utm_medium=email&amp;_hsenc=p2ANqtz-9nqm6pHuxrJA2eqp98a7_eI9fDSv0sKlRywY7jloQaZjhwJh8mlE2JmH7OUYiPvznSiiSBN3erALyoe2ilWNUf5RREvQ&amp;_hsmi=226712652&amp;utm_content=226712652&amp;utm_source=hs_email" TargetMode="External"/><Relationship Id="rId1246" Type="http://schemas.openxmlformats.org/officeDocument/2006/relationships/hyperlink" Target="https://www.natlawreview.com/article/department-justice-report-shows-whistleblowers-consistently-rewarded-through-qui-tam" TargetMode="External"/><Relationship Id="rId1898" Type="http://schemas.openxmlformats.org/officeDocument/2006/relationships/hyperlink" Target="http://www.iaff.org/Legal/PDF/1996FLSAManual.pdf" TargetMode="External"/><Relationship Id="rId2644" Type="http://schemas.openxmlformats.org/officeDocument/2006/relationships/hyperlink" Target="https://www.wxii12.com/article/former-ymca-counselor-volunteer-firefighter-pleads-guilty-to-sexually-assaulting-young-boys/28196918" TargetMode="External"/><Relationship Id="rId2851" Type="http://schemas.openxmlformats.org/officeDocument/2006/relationships/hyperlink" Target="https://www.supremecourt.ohio.gov/rod/docs/pdf/0/2023/2023-Ohio-2264.pdf" TargetMode="External"/><Relationship Id="rId2949" Type="http://schemas.openxmlformats.org/officeDocument/2006/relationships/hyperlink" Target="https://www.natlawreview.com/article/congress-votes-to-end-mandatory-arbitration-sexual-assault-and-sexual-harassment" TargetMode="External"/><Relationship Id="rId92" Type="http://schemas.openxmlformats.org/officeDocument/2006/relationships/hyperlink" Target="https://cdn.ca9.uscourts.gov/datastore/opinions/2025/02/24/23-2218.pdf" TargetMode="External"/><Relationship Id="rId616" Type="http://schemas.openxmlformats.org/officeDocument/2006/relationships/hyperlink" Target="https://www.ca10.uscourts.gov/opinions/14/14-3157.pdf" TargetMode="External"/><Relationship Id="rId823" Type="http://schemas.openxmlformats.org/officeDocument/2006/relationships/hyperlink" Target="http://www.ca2.uscourts.gov/decisions/isysquery/67a05b34-20ad-4c39-bc1a-260008502d15/1/doc/18-1604_complete_opn.pdf" TargetMode="External"/><Relationship Id="rId1453" Type="http://schemas.openxmlformats.org/officeDocument/2006/relationships/hyperlink" Target="https://www.leagle.com/cite/951%20F.2d%20320" TargetMode="External"/><Relationship Id="rId1660" Type="http://schemas.openxmlformats.org/officeDocument/2006/relationships/hyperlink" Target="https://www.mspb.gov/decisions/nonprecedential/Remillard_MauricePH-0752-20-0259-I-1_Final_Order.pdf" TargetMode="External"/><Relationship Id="rId1758" Type="http://schemas.openxmlformats.org/officeDocument/2006/relationships/hyperlink" Target="https://public.fastcase.com/Jhe1Qn%2BmJndQYQU6z%2FeNm%2BPcmzEUVte9Pmbex8cM1KJhQVcQIKDJJA5UPuX3qlPH?utm_medium=email&amp;_hsenc=p2ANqtz-9n4bTEROfuVqHNVuq5wnBdHGUWCVVD7aN6VD7jCXCE8dULoI4uW2020fH1jBBreK2QqG5jL3hff-Wxt2LEWhDNRofrqw&amp;_hsmi=226712652&amp;utm_content=226712652&amp;utm_source=hs_email" TargetMode="External"/><Relationship Id="rId2504" Type="http://schemas.openxmlformats.org/officeDocument/2006/relationships/hyperlink" Target="https://public.fastcase.com/9SKwsfNqTc6OieYDhNMyM%2BsbSTu241pOZ38l1fL3GtOxRE1iLhH6RZm0FIyTdVeF1XRK6Ebg7B5equTDg4ZQiMxFMDQEZko4UYsaxrmOuYk%3D" TargetMode="External"/><Relationship Id="rId2711" Type="http://schemas.openxmlformats.org/officeDocument/2006/relationships/hyperlink" Target="https://www.dispatch.com/in-depth/news/2021/05/17/broken-pledge-fraternity-hazing-collin-wiant-death-ohio-university/5071265001/" TargetMode="External"/><Relationship Id="rId2809" Type="http://schemas.openxmlformats.org/officeDocument/2006/relationships/hyperlink" Target="https://cases.justia.com/federal/appellate-courts/ca10/25-1424/25-1424-2026-06-22.pdf?ts=1782145915" TargetMode="External"/><Relationship Id="rId1106" Type="http://schemas.openxmlformats.org/officeDocument/2006/relationships/hyperlink" Target="https://www.nj.gov/treasury/pensions/documents/factsheets/fact15.pdf" TargetMode="External"/><Relationship Id="rId1313" Type="http://schemas.openxmlformats.org/officeDocument/2006/relationships/hyperlink" Target="https://www.bizjournals.com/columbus/news/2018/09/20/new-ohio-law-incentivizes-businesses-that-comply.html" TargetMode="External"/><Relationship Id="rId1520" Type="http://schemas.openxmlformats.org/officeDocument/2006/relationships/hyperlink" Target="https://www.justice.gov/opa/pr/attorney-general-pam-bondi-dismisses-dei-lawsuits-involving-police-officers-and-firefighters" TargetMode="External"/><Relationship Id="rId1965" Type="http://schemas.openxmlformats.org/officeDocument/2006/relationships/hyperlink" Target="https://law.justia.com/cases/oklahoma/supreme-court/2021/118474.html" TargetMode="External"/><Relationship Id="rId1618" Type="http://schemas.openxmlformats.org/officeDocument/2006/relationships/hyperlink" Target="https://ecf.gamd.uscourts.gov/cgi-bin/show_public_doc?2018-00132-29-7-cv" TargetMode="External"/><Relationship Id="rId1825" Type="http://schemas.openxmlformats.org/officeDocument/2006/relationships/hyperlink" Target="https://public.fastcase.com/J%2FJP6pdidelsXxEE4k%2BLMiCd6Oijia%2Fc6dpDEIpvDgGdBy7usCtPvTYolvlwqFI2OWdzcN0GLk8kd6eOjq%2BBgMFCfp0NjuKJ0H4Eu6Lk4a8%3D?utm_medium=email&amp;_hsmi=226712652&amp;_hsenc=p2ANqtz-_pRHETuUebeWpUr_lBMH_-KDZL8nDlWZhRdTrL-TINRZ0QEuK3FTmopjSHxO-qjinMuMJlbokRF3HYxxN6yYg5FnBUqg&amp;utm_content=226712652&amp;utm_source=hs_email" TargetMode="External"/><Relationship Id="rId199" Type="http://schemas.openxmlformats.org/officeDocument/2006/relationships/hyperlink" Target="https://www.legislature.ohio.gov/legislation/134/hb99" TargetMode="External"/><Relationship Id="rId2087" Type="http://schemas.openxmlformats.org/officeDocument/2006/relationships/hyperlink" Target="https://www4.courts.ca.gov/opinions/nonpub/B332479.PDF" TargetMode="External"/><Relationship Id="rId2294" Type="http://schemas.openxmlformats.org/officeDocument/2006/relationships/hyperlink" Target="https://codes.ohio.gov/ohio-revised-code/section-4765.49" TargetMode="External"/><Relationship Id="rId266" Type="http://schemas.openxmlformats.org/officeDocument/2006/relationships/hyperlink" Target="https://media.ca11.uscourts.gov/opinions/pub/files/201713526.pdf" TargetMode="External"/><Relationship Id="rId473" Type="http://schemas.openxmlformats.org/officeDocument/2006/relationships/hyperlink" Target="https://www.pacourts.us/assets/opinions/Superior/out/J-S40043-23m%20-%20105940494266483578.pdf?cb=1" TargetMode="External"/><Relationship Id="rId680" Type="http://schemas.openxmlformats.org/officeDocument/2006/relationships/hyperlink" Target="https://www.courthousenews.com/dc-circuit-side-eyes-capitol-rioters-argument-that-pepper-spray-is-not-a-dangerous-weapon/" TargetMode="External"/><Relationship Id="rId2154" Type="http://schemas.openxmlformats.org/officeDocument/2006/relationships/hyperlink" Target="https://casetext.com/case/louis-v-liberty-cnty-emergency-med-servs-3" TargetMode="External"/><Relationship Id="rId2361" Type="http://schemas.openxmlformats.org/officeDocument/2006/relationships/hyperlink" Target="http://www.leg.state.fl.us/statutes/index.cfm?App_mode=Display_Statute&amp;Search_String=&amp;URL=0100-0199/0112/Sections/0112.182.html" TargetMode="External"/><Relationship Id="rId2599" Type="http://schemas.openxmlformats.org/officeDocument/2006/relationships/hyperlink" Target="https://www.njcourts.gov/system/files/court-opinions/2025/a1587-23.pdf" TargetMode="External"/><Relationship Id="rId126" Type="http://schemas.openxmlformats.org/officeDocument/2006/relationships/hyperlink" Target="https://www.yahoo.com/news/ohio-county-cold-case-ends-102300006.html" TargetMode="External"/><Relationship Id="rId333" Type="http://schemas.openxmlformats.org/officeDocument/2006/relationships/hyperlink" Target="https://catalog.nfpa.org/NFPA-921-Guide-for-Fire-and-Explosion-Investigations-C472.aspx?order_src=C900&amp;gclid=EAIaIQobChMI3pOKsKem5gIVJIVaBR1UwAkCEAAYASAAEgLHSvD_BwE" TargetMode="External"/><Relationship Id="rId540" Type="http://schemas.openxmlformats.org/officeDocument/2006/relationships/hyperlink" Target="https://public.fastcase.com/9SKwsfNqTc6OieYDhNMyM9xc2pxP%2FDu9FaHS39uIywoNWZfMpeo5x%2FagXmZgtb6udFSKN2SMusDFZQbDcDfWSogmOURw4QaQEmhtdPNd1MI%3D" TargetMode="External"/><Relationship Id="rId778" Type="http://schemas.openxmlformats.org/officeDocument/2006/relationships/hyperlink" Target="https://www.law.cornell.edu/definitions/uscode.php?width=840&amp;height=800&amp;iframe=true&amp;def_id=8-USC-92903111-1485256781&amp;term_occur=999&amp;term_src=" TargetMode="External"/><Relationship Id="rId985" Type="http://schemas.openxmlformats.org/officeDocument/2006/relationships/hyperlink" Target="https://cms7files1.revize.com/starkcountyoh/f22-16.wbh.sl.pdf" TargetMode="External"/><Relationship Id="rId1170" Type="http://schemas.openxmlformats.org/officeDocument/2006/relationships/hyperlink" Target="https://codes.ohio.gov/ohio-revised-code/section-742.38" TargetMode="External"/><Relationship Id="rId2014" Type="http://schemas.openxmlformats.org/officeDocument/2006/relationships/hyperlink" Target="https://www.coloradojudicial.gov/system/files/opinions-2026-06/24CA1002.pdf" TargetMode="External"/><Relationship Id="rId2221" Type="http://schemas.openxmlformats.org/officeDocument/2006/relationships/hyperlink" Target="https://www.law.cornell.edu/definitions/uscode.php?width=840&amp;height=800&amp;iframe=true&amp;def_id=42-USC-303628742-1009355614&amp;term_occur=999&amp;term_src=" TargetMode="External"/><Relationship Id="rId2459" Type="http://schemas.openxmlformats.org/officeDocument/2006/relationships/hyperlink" Target="https://cases.justia.com/arizona/court-of-appeals-division-two-unpublished/2025-2-ca-ic-2024-0003.pdf?ts=1738026580" TargetMode="External"/><Relationship Id="rId2666" Type="http://schemas.openxmlformats.org/officeDocument/2006/relationships/hyperlink" Target="https://public.fastcase.com/J%2FJP6pdidelsXxEE4k%2BLMtME52xOaCaWV6UEDIP7bM8%2BFioZsbaXPEF4Uybj3YzCUfNXrAB4VqpO9mZPyOoJgEUGCgAECduXHqgYvcPti4I%3D?utm_medium=email&amp;_hsmi=226712652&amp;_hsenc=p2ANqtz--o5Z4w0RvL2X6ywspxSAhs9CG2i2QDJ7wcq_MEc7ECUlDYedCzwhXzcOpR3uJdZVvbiJhZF7E92unvtoIdalIehJ_GiA&amp;utm_content=226712652&amp;utm_source=hs_email" TargetMode="External"/><Relationship Id="rId2873" Type="http://schemas.openxmlformats.org/officeDocument/2006/relationships/hyperlink" Target="https://www.supremecourt.ohio.gov/rod/docs/pdf/8/2022/2022-Ohio-2498.pdf" TargetMode="External"/><Relationship Id="rId638" Type="http://schemas.openxmlformats.org/officeDocument/2006/relationships/hyperlink" Target="https://www.firehero.org/fallen-firefighter/albert-a-filosa/" TargetMode="External"/><Relationship Id="rId845" Type="http://schemas.openxmlformats.org/officeDocument/2006/relationships/hyperlink" Target="https://d.docs.live.net/bd9b2eaf6053242e/AppData/Roaming/Microsoft/AppData/Local/Microsoft/Windows/INetCache/IE/XO250S7T/Glomar-decision.pdf" TargetMode="External"/><Relationship Id="rId1030" Type="http://schemas.openxmlformats.org/officeDocument/2006/relationships/hyperlink" Target="https://www.nycourts.gov/reporter/current/3dseries/2026/2026_03970.shtml" TargetMode="External"/><Relationship Id="rId1268" Type="http://schemas.openxmlformats.org/officeDocument/2006/relationships/hyperlink" Target="https://mdcourts.gov/data/opinions/cosa/2020/3381s18.pdf" TargetMode="External"/><Relationship Id="rId1475" Type="http://schemas.openxmlformats.org/officeDocument/2006/relationships/hyperlink" Target="https://cases.justia.com/federal/district-courts/illinois/ilndce/1:2016cv10156/332956/114/0.pdf?ts=1547630986" TargetMode="External"/><Relationship Id="rId1682" Type="http://schemas.openxmlformats.org/officeDocument/2006/relationships/hyperlink" Target="https://www.supremecourt.gov/opinions/22pdf/22-174_k536.pdf" TargetMode="External"/><Relationship Id="rId2319" Type="http://schemas.openxmlformats.org/officeDocument/2006/relationships/hyperlink" Target="https://law.justia.com/cases/delaware/superior-court/2021/n17c-10-149-alr.html" TargetMode="External"/><Relationship Id="rId2526" Type="http://schemas.openxmlformats.org/officeDocument/2006/relationships/hyperlink" Target="https://law.justia.com/cases/new-jersey/supreme-court/2018/a-9-16.html" TargetMode="External"/><Relationship Id="rId2733" Type="http://schemas.openxmlformats.org/officeDocument/2006/relationships/hyperlink" Target="https://www.courts.ca.gov/opinions/documents/A155107.PDF" TargetMode="External"/><Relationship Id="rId400" Type="http://schemas.openxmlformats.org/officeDocument/2006/relationships/hyperlink" Target="https://cases.justia.com/federal/district-courts/new-hampshire/nhdce/1:2024cv00213/63777/56/0.pdf?ts=1775080109" TargetMode="External"/><Relationship Id="rId705" Type="http://schemas.openxmlformats.org/officeDocument/2006/relationships/hyperlink" Target="https://www.smithsonianmag.com/history/the-history-of-californias-inmate-firefighter-program-180980662/" TargetMode="External"/><Relationship Id="rId1128" Type="http://schemas.openxmlformats.org/officeDocument/2006/relationships/hyperlink" Target="https://casetext.com/case/clark-v-town-of-waterford-1" TargetMode="External"/><Relationship Id="rId1335" Type="http://schemas.openxmlformats.org/officeDocument/2006/relationships/hyperlink" Target="https://www.boston.com/news/local-news/2024/05/15/former-marshfield-fire-chief-won-more-than-1-5-million-in-retaliation-lawsuit-against-town/" TargetMode="External"/><Relationship Id="rId1542" Type="http://schemas.openxmlformats.org/officeDocument/2006/relationships/hyperlink" Target="https://casetext.com/case/potter-v-district-of-columbia-2" TargetMode="External"/><Relationship Id="rId1987" Type="http://schemas.openxmlformats.org/officeDocument/2006/relationships/hyperlink" Target="https://www.networkforphl.org/_asset/qz5pvn/legal-interventions-to-reduce-overdose.pdf" TargetMode="External"/><Relationship Id="rId2940" Type="http://schemas.openxmlformats.org/officeDocument/2006/relationships/hyperlink" Target="https://www.legislature.ohio.gov/download?key=20348&amp;format=pdf" TargetMode="External"/><Relationship Id="rId912" Type="http://schemas.openxmlformats.org/officeDocument/2006/relationships/hyperlink" Target="https://casetext.com/case/reyes-v-monroe-cnty" TargetMode="External"/><Relationship Id="rId1847" Type="http://schemas.openxmlformats.org/officeDocument/2006/relationships/hyperlink" Target="https://www.ecfr.gov/cgi-bin/retrieveECFR?gp=&amp;SID=10f50877082f08568d40dbfeaf119853&amp;mc=true&amp;r=PART&amp;n=pt29.3.778" TargetMode="External"/><Relationship Id="rId2800" Type="http://schemas.openxmlformats.org/officeDocument/2006/relationships/hyperlink" Target="https://d.docs.live.net/bd9b2eaf6053242e/AppData/Roaming/Microsoft/AppData/Local/Microsoft/Windows/INetCache/IE/7HZ56W7X/sweat.joseph.opn_.pdf" TargetMode="External"/><Relationship Id="rId41" Type="http://schemas.openxmlformats.org/officeDocument/2006/relationships/hyperlink" Target="https://www.casemine.com/judgement/us/6995c147d22bd43f3d89db5b" TargetMode="External"/><Relationship Id="rId1402" Type="http://schemas.openxmlformats.org/officeDocument/2006/relationships/hyperlink" Target="https://www.dol.gov/agencies/whd/nursing-mothers/faq" TargetMode="External"/><Relationship Id="rId1707" Type="http://schemas.openxmlformats.org/officeDocument/2006/relationships/hyperlink" Target="https://casetext.com/case/bey-v-city-of-ny-7" TargetMode="External"/><Relationship Id="rId190" Type="http://schemas.openxmlformats.org/officeDocument/2006/relationships/hyperlink" Target="https://www.justice.gov/opa/pr/false-claims-act-settlements-and-judgments-exceed-2-billion-fiscal-year-2022" TargetMode="External"/><Relationship Id="rId288" Type="http://schemas.openxmlformats.org/officeDocument/2006/relationships/hyperlink" Target="https://law.justia.com/cases/washington/court-of-appeals-division-ii/2021/53365-1.html" TargetMode="External"/><Relationship Id="rId1914" Type="http://schemas.openxmlformats.org/officeDocument/2006/relationships/hyperlink" Target="https://baltimorefishbowl.com/stories/howard-county-firefighters-medical-cannabis/" TargetMode="External"/><Relationship Id="rId495" Type="http://schemas.openxmlformats.org/officeDocument/2006/relationships/hyperlink" Target="https://casetext.com/case/knipper-v-drill-team-of-lindenhurst-fire-dept" TargetMode="External"/><Relationship Id="rId2176" Type="http://schemas.openxmlformats.org/officeDocument/2006/relationships/hyperlink" Target="https://public.fastcase.com/ZZhmr5v9wN%2FXOe5IsQ%2FqD%2B1qjdbNtrbKnJG3uP2WWVmhlF8pu7dlSanIpJbUEtpE?utm_medium=email&amp;_hsmi=226712652&amp;_hsenc=p2ANqtz-_3swjkE_U3wk1h5U8jVat2QL8kZwPHoy86W6A4pHNVHtwV__0ZHK6m0x71w6miyP2O__WwBW9V-f993pnbFbogevKSBQ&amp;utm_content=226712652&amp;utm_source=hs_email" TargetMode="External"/><Relationship Id="rId2383" Type="http://schemas.openxmlformats.org/officeDocument/2006/relationships/hyperlink" Target="https://law.justia.com/cases/federal/appellate-courts/ca10/18-7036/18-7036-2019-09-06.html" TargetMode="External"/><Relationship Id="rId2590" Type="http://schemas.openxmlformats.org/officeDocument/2006/relationships/hyperlink" Target="https://cases.justia.com/indiana/court-of-appeals/2025-24a-pl-02646.pdf?ts=1752863306" TargetMode="External"/><Relationship Id="rId148" Type="http://schemas.openxmlformats.org/officeDocument/2006/relationships/hyperlink" Target="https://dronelife.com/2024/05/08/michigan-supreme-court-allows-drone-surveillance-evidence-in-civil-case/" TargetMode="External"/><Relationship Id="rId355" Type="http://schemas.openxmlformats.org/officeDocument/2006/relationships/hyperlink" Target="https://cases.justia.com/pennsylvania/superior-court/2019-1121-mda-2017.pdf?ts=1547235373" TargetMode="External"/><Relationship Id="rId562" Type="http://schemas.openxmlformats.org/officeDocument/2006/relationships/hyperlink" Target="https://www2.ca3.uscourts.gov/opinarch/192938p.pdf" TargetMode="External"/><Relationship Id="rId1192" Type="http://schemas.openxmlformats.org/officeDocument/2006/relationships/hyperlink" Target="https://law.justia.com/cases/new-york/appellate-division-third-department/2021/532333.html" TargetMode="External"/><Relationship Id="rId2036" Type="http://schemas.openxmlformats.org/officeDocument/2006/relationships/hyperlink" Target="https://flcourts-media.flcourts.gov/content/download/2486201/opinion/Opinion_2025-1955.pdf" TargetMode="External"/><Relationship Id="rId2243" Type="http://schemas.openxmlformats.org/officeDocument/2006/relationships/hyperlink" Target="https://www.dallasobserver.com/news/kyle-vess-court-rules-lawsuit-against-city-and-former-paramedic-can-move-forward-14303422" TargetMode="External"/><Relationship Id="rId2450" Type="http://schemas.openxmlformats.org/officeDocument/2006/relationships/hyperlink" Target="https://cases.justia.com/new-york/other-courts/2025-2025-ny-slip-op-33910-u.pdf?ts=1761341305" TargetMode="External"/><Relationship Id="rId2688" Type="http://schemas.openxmlformats.org/officeDocument/2006/relationships/hyperlink" Target="https://das.ohio.gov/Portals/0/DASDivisions/HumanResources/Policy/pdf/HR-29%20Implementation%20Guide%20.pdf" TargetMode="External"/><Relationship Id="rId2895" Type="http://schemas.openxmlformats.org/officeDocument/2006/relationships/hyperlink" Target="https://public.fastcase.com/Wl%2B2t%2BeVuI35%2FN70vAMFZl7A1gE73iKGMMI%2FPLrMqXgHwn%2FVp9h90PlANd5CkjNU" TargetMode="External"/><Relationship Id="rId215" Type="http://schemas.openxmlformats.org/officeDocument/2006/relationships/hyperlink" Target="https://www.supremecourt.ohio.gov/rod/docs/pdf/0/2022/2022-Ohio-2832.pdf" TargetMode="External"/><Relationship Id="rId422" Type="http://schemas.openxmlformats.org/officeDocument/2006/relationships/hyperlink" Target="https://cases.justia.com/new-york/other-courts/2025-2025-ny-slip-op-33918-u.pdf?ts=1761341322" TargetMode="External"/><Relationship Id="rId867" Type="http://schemas.openxmlformats.org/officeDocument/2006/relationships/hyperlink" Target="https://www.wfaa.com/article/news/local/collin-county/supreme-court-declines-case-swat-team-mckinney-hostage-standoff/287-73f00e4e-b131-4285-b541-236c48ef79d0" TargetMode="External"/><Relationship Id="rId1052" Type="http://schemas.openxmlformats.org/officeDocument/2006/relationships/hyperlink" Target="https://www.govinfo.gov/content/pkg/USCOURTS-ncwd-5_24-cv-00192/pdf/USCOURTS-ncwd-5_24-cv-00192-1.pdf" TargetMode="External"/><Relationship Id="rId1497" Type="http://schemas.openxmlformats.org/officeDocument/2006/relationships/hyperlink" Target="https://public.fastcase.com/Jhe1Qn%2BmJndQYQU6z%2FeNm77nYWugAlzsBoxNmmqkM3E6Q88Vkqy0VZ5SiNrQruK%2B?utm_medium=email&amp;_hsenc=p2ANqtz-9AvFND94NtmZ3W9IwgKnyu4_gZwqiYmIH5_4QpXW_NHE8WVWhb5SJK4Whyo4GFBslMpA9EnrqLvXRYy-" TargetMode="External"/><Relationship Id="rId2103" Type="http://schemas.openxmlformats.org/officeDocument/2006/relationships/hyperlink" Target="https://casetext.com/case/state-v-soliz-24" TargetMode="External"/><Relationship Id="rId2310" Type="http://schemas.openxmlformats.org/officeDocument/2006/relationships/hyperlink" Target="https://codes.ohio.gov/ohio-revised-code/section-4765.49" TargetMode="External"/><Relationship Id="rId2548" Type="http://schemas.openxmlformats.org/officeDocument/2006/relationships/hyperlink" Target="https://www.govinfo.gov/content/pkg/USCOURTS-ca11-25-11434/pdf/USCOURTS-ca11-25-11434-0.pdf" TargetMode="External"/><Relationship Id="rId2755" Type="http://schemas.openxmlformats.org/officeDocument/2006/relationships/hyperlink" Target="https://public.fastcase.com/Wl%2B2t%2BeVuI35%2FN70vAMFZp9w48IhR7rqnPPjn28%2FbaO7JZNoqz%2Fb8m3w7iUI6Fbj" TargetMode="External"/><Relationship Id="rId2962" Type="http://schemas.openxmlformats.org/officeDocument/2006/relationships/hyperlink" Target="https://services.courts.state.wy.us/Documents/Opinions/2018WY75.pdf" TargetMode="External"/><Relationship Id="rId727" Type="http://schemas.openxmlformats.org/officeDocument/2006/relationships/hyperlink" Target="https://www.supremecourt.gov/opinions/21pdf/20-843_7j80.pdf" TargetMode="External"/><Relationship Id="rId934" Type="http://schemas.openxmlformats.org/officeDocument/2006/relationships/hyperlink" Target="https://www.in.gov/judiciary/opinions/pdf/10241902eft.pdf" TargetMode="External"/><Relationship Id="rId1357" Type="http://schemas.openxmlformats.org/officeDocument/2006/relationships/hyperlink" Target="https://cases.justia.com/federal/district-courts/texas/txsdce/6:2022cv00002/1858056/21/0.pdf?ts=1664555743" TargetMode="External"/><Relationship Id="rId1564" Type="http://schemas.openxmlformats.org/officeDocument/2006/relationships/hyperlink" Target="https://public.fastcase.com/J%2FJP6pdidelsXxEE4k%2BLMlZWglMtowNFAELJodU5Ey8OhOeImHtUqedyG3gviX1KHWia8kZp1W6BpRYSHWWuxJPhh3XCqhBA0xYwY8ImSqA%3D?utm_medium=email&amp;_hsmi=226712652&amp;_hsenc=p2ANqtz-8Opm8993SGrvNEYVYffjIdnWwQ_39Y6IGa88rGJPHsNdF2T_bOfK_XBqNF_9dQMkZM8ini867XF3tJMXcIH4Ec_0OJdg&amp;utm_content=226712652&amp;utm_source=hs_email" TargetMode="External"/><Relationship Id="rId1771" Type="http://schemas.openxmlformats.org/officeDocument/2006/relationships/hyperlink" Target="https://cases.justia.com/federal/district-courts/oklahoma/okedce/6:2023cv00241/34830/33/0.pdf?ts=1732294058" TargetMode="External"/><Relationship Id="rId2408" Type="http://schemas.openxmlformats.org/officeDocument/2006/relationships/hyperlink" Target="http://decisions.courts.state.ny.us/ad3/Decisions/2018/526165.pdf" TargetMode="External"/><Relationship Id="rId2615" Type="http://schemas.openxmlformats.org/officeDocument/2006/relationships/hyperlink" Target="https://www.njcourts.gov/system/files/court-opinions/2024/a1537-22.pdf" TargetMode="External"/><Relationship Id="rId2822" Type="http://schemas.openxmlformats.org/officeDocument/2006/relationships/hyperlink" Target="https://public.fastcase.com/jaEE2PXzRXmZ99jOLMt1IhwREi1fEuXa5IBCMUROo3DApdLLsb4vyoe8B%2BNXnfOO?utm_medium=email&amp;_hsenc=p2ANqtz-8ABWS4rvuUksFiiSiWwUxDOv17WyJKZy-5as8oPUYz_An6byDKPPy12elR6z5qE4TfB84ipL9se-rQu7mIzXpACN0LEw&amp;_hsmi=226712652&amp;utm_content=226712652&amp;utm_source=hs_email" TargetMode="External"/><Relationship Id="rId63" Type="http://schemas.openxmlformats.org/officeDocument/2006/relationships/hyperlink" Target="https://cases.justia.com/ohio/tenth-district-court-of-appeals/2025-24ap-255.pdf?ts=1757620491" TargetMode="External"/><Relationship Id="rId1217" Type="http://schemas.openxmlformats.org/officeDocument/2006/relationships/hyperlink" Target="https://www.fox19.com/2020/12/16/kyle-plush-wrongful-death-lawsuit-can-proceed-against-cincinnati-employees-appeals-court-says/" TargetMode="External"/><Relationship Id="rId1424" Type="http://schemas.openxmlformats.org/officeDocument/2006/relationships/hyperlink" Target="https://www.leagle.com/decision/infdco20210924575" TargetMode="External"/><Relationship Id="rId1631" Type="http://schemas.openxmlformats.org/officeDocument/2006/relationships/hyperlink" Target="https://www.ca1.uscourts.gov/sites/ca1/files/opnfiles/25-1732P-01A.pdf" TargetMode="External"/><Relationship Id="rId1869" Type="http://schemas.openxmlformats.org/officeDocument/2006/relationships/hyperlink" Target="https://www.dol.gov/sites/dolgov/files/WHD/legacy/files/fab_2020_5.pdf" TargetMode="External"/><Relationship Id="rId1729" Type="http://schemas.openxmlformats.org/officeDocument/2006/relationships/hyperlink" Target="https://cases.justia.com/minnesota/supreme-court/2019-a17-0141.pdf?ts=1551286256" TargetMode="External"/><Relationship Id="rId1936" Type="http://schemas.openxmlformats.org/officeDocument/2006/relationships/hyperlink" Target="https://cases.justia.com/federal/district-courts/california/candce/3:2024cv00614/424391/24/0.pdf" TargetMode="External"/><Relationship Id="rId2198" Type="http://schemas.openxmlformats.org/officeDocument/2006/relationships/hyperlink" Target="https://s3.amazonaws.com/jnswire/jns-media/e9/3e/12863006/unions_v_chicago_vax_ilrb_alj.pdf" TargetMode="External"/><Relationship Id="rId377" Type="http://schemas.openxmlformats.org/officeDocument/2006/relationships/hyperlink" Target="https://caselaw.findlaw.com/sc-court-of-appeals/1893632.html" TargetMode="External"/><Relationship Id="rId584" Type="http://schemas.openxmlformats.org/officeDocument/2006/relationships/hyperlink" Target="http://www.ca5.uscourts.gov/opinions/pub/18/18-51011-CV0.pdf" TargetMode="External"/><Relationship Id="rId2058" Type="http://schemas.openxmlformats.org/officeDocument/2006/relationships/hyperlink" Target="https://searchdro.kscourts.gov/documents/pdf/caseDecisions/d2d9aca8-0558-406d-9148-9139f4e8d305_125812.pdf" TargetMode="External"/><Relationship Id="rId2265" Type="http://schemas.openxmlformats.org/officeDocument/2006/relationships/hyperlink" Target="https://www.courts.ri.gov/Courts/SupremeCourt/SupremeOpinions/19-373.pdf?fbclid=IwAR381gBQH8M88N6_xqsP3bwAIxYvF38ngnKZywLKveA_XCbfEKJg9F5lDvI" TargetMode="External"/><Relationship Id="rId5" Type="http://schemas.openxmlformats.org/officeDocument/2006/relationships/webSettings" Target="webSettings.xml"/><Relationship Id="rId237" Type="http://schemas.openxmlformats.org/officeDocument/2006/relationships/hyperlink" Target="https://www.aar.org/wp-content/uploads/2020/02/AAR-Occupied-Crossings-Fact-Sheet.pdf" TargetMode="External"/><Relationship Id="rId791" Type="http://schemas.openxmlformats.org/officeDocument/2006/relationships/hyperlink" Target="https://www.ohchr.org/en/professionalinterest/pages/cat.aspx" TargetMode="External"/><Relationship Id="rId889" Type="http://schemas.openxmlformats.org/officeDocument/2006/relationships/hyperlink" Target="https://public.fastcase.com/J%2FJP6pdidelsXxEE4k%2BLMku%2FobbeA4O7XFFZreFgRQx%2BWZ7fzC1IhmGay6LSjTfKJi%2F0lJWfruI6T6uwjyLWcTFUlKk%2FJDuh9Eyt0JVbsGk%3D?utm_medium=email&amp;_hsmi=226712652&amp;_hsenc=p2ANqtz-8osvFL3X0gyhLaJKRyW92xrD2GPamYVB-ledl39OimVvrR3SDszthVFmIjtescLBDKIYLBKlOi8FN2nFy4wMQT_YiRlg&amp;utm_content=226712652&amp;utm_source=hs_email" TargetMode="External"/><Relationship Id="rId1074" Type="http://schemas.openxmlformats.org/officeDocument/2006/relationships/hyperlink" Target="https://caselaw.findlaw.com/court/la-court-of-appeal/117104839.html" TargetMode="External"/><Relationship Id="rId2472" Type="http://schemas.openxmlformats.org/officeDocument/2006/relationships/hyperlink" Target="https://casetext.com/case/mendoza-v-the-city-of-new-york-3" TargetMode="External"/><Relationship Id="rId2777" Type="http://schemas.openxmlformats.org/officeDocument/2006/relationships/hyperlink" Target="https://law.justia.com/codes/louisiana/2012/rs/title33/rs33-2181/" TargetMode="External"/><Relationship Id="rId444" Type="http://schemas.openxmlformats.org/officeDocument/2006/relationships/hyperlink" Target="https://storage.courtlistener.com/recap/gov.uscourts.mdd.559142/gov.uscourts.mdd.559142.21.0.pdf" TargetMode="External"/><Relationship Id="rId651" Type="http://schemas.openxmlformats.org/officeDocument/2006/relationships/hyperlink" Target="https://www.hstoday.us/perspective/eyes-on-preparedness-federal-courts-block-fema-dhs-immigration-grant-conditions-safeguarding-billions-in-emergency-preparedness-funds/" TargetMode="External"/><Relationship Id="rId749" Type="http://schemas.openxmlformats.org/officeDocument/2006/relationships/hyperlink" Target="https://public.fastcase.com/9SKwsfNqTc6OieYDhNMyMwgnH2rEWQiRpx4SwB8tOsl9D8EiwJnekd530roHqTrENez3wWnOYZMVTxSfKTsOEtbG3zaICMf20ttzqQEEaDo" TargetMode="External"/><Relationship Id="rId1281" Type="http://schemas.openxmlformats.org/officeDocument/2006/relationships/hyperlink" Target="https://www.firstrespondercenter.org/cancer/toolsresources/presumptive-legislation-firefighter-cancer-state/" TargetMode="External"/><Relationship Id="rId1379" Type="http://schemas.openxmlformats.org/officeDocument/2006/relationships/hyperlink" Target="https://codes.ohio.gov/ohio-revised-code/section-4112.02" TargetMode="External"/><Relationship Id="rId1586" Type="http://schemas.openxmlformats.org/officeDocument/2006/relationships/hyperlink" Target="https://law.justia.com/cases/federal/appellate-courts/ca2/20-456/20-456-2021-06-09.html" TargetMode="External"/><Relationship Id="rId2125" Type="http://schemas.openxmlformats.org/officeDocument/2006/relationships/hyperlink" Target="https://www.law.cornell.edu/wex/excited_utterance" TargetMode="External"/><Relationship Id="rId2332" Type="http://schemas.openxmlformats.org/officeDocument/2006/relationships/hyperlink" Target="https://casetext.com/case/benny-v-concord-partners-46th-st-llc-2" TargetMode="External"/><Relationship Id="rId304" Type="http://schemas.openxmlformats.org/officeDocument/2006/relationships/hyperlink" Target="https://public.fastcase.com/Wl%2B2t%2BeVuI35%2FN70vAMFZuQf%2BCvER%2BbrYG4WrLB4YIQfdBBmlMCsuqEI%2FSqG9cxo" TargetMode="External"/><Relationship Id="rId511" Type="http://schemas.openxmlformats.org/officeDocument/2006/relationships/hyperlink" Target="https://law.justia.com/cases/federal/appellate-courts/ca3/22-1892/22-1892-2023-06-30.html" TargetMode="External"/><Relationship Id="rId609" Type="http://schemas.openxmlformats.org/officeDocument/2006/relationships/hyperlink" Target="https://www.nfpa.org/codes-and-standards/all-codes-and-standards/list-of-codes-and-standards/detail?code=1582" TargetMode="External"/><Relationship Id="rId956" Type="http://schemas.openxmlformats.org/officeDocument/2006/relationships/hyperlink" Target="https://cases.justia.com/texas/fourteenth-court-of-appeals/2025-14-24-00251-cv.pdf?ts=1745499568" TargetMode="External"/><Relationship Id="rId1141" Type="http://schemas.openxmlformats.org/officeDocument/2006/relationships/hyperlink" Target="https://www.socialaw.com/services/slip-opinions/slip-opinion-details/mark-tetreault-vs.-board-of-selectmen-of-lynnfield" TargetMode="External"/><Relationship Id="rId1239" Type="http://schemas.openxmlformats.org/officeDocument/2006/relationships/hyperlink" Target="https://wvrecord.com/stories/511075521-ambulance-service-worker-blames-multiple-defendants-for-injuries" TargetMode="External"/><Relationship Id="rId1793" Type="http://schemas.openxmlformats.org/officeDocument/2006/relationships/hyperlink" Target="https://www.ecfr.gov/current/title-29/section-778.201" TargetMode="External"/><Relationship Id="rId2637" Type="http://schemas.openxmlformats.org/officeDocument/2006/relationships/hyperlink" Target="https://cases.justia.com/federal/district-courts/michigan/miedce/2:2023cv10051/366865/15/0.pdf?ts=1700584910" TargetMode="External"/><Relationship Id="rId2844" Type="http://schemas.openxmlformats.org/officeDocument/2006/relationships/hyperlink" Target="https://jud.ct.gov/Superiorcourt/MOD/DocumentPreview.aspx?RandomKey=6CFC6C5D-9DDA-4D98-859D-8C6104A0B311" TargetMode="External"/><Relationship Id="rId85" Type="http://schemas.openxmlformats.org/officeDocument/2006/relationships/hyperlink" Target="https://cases.justia.com/indiana/court-of-appeals/2025-24a-cr-01673.pdf?ts=1746121391" TargetMode="External"/><Relationship Id="rId816" Type="http://schemas.openxmlformats.org/officeDocument/2006/relationships/hyperlink" Target="http://www.ca2.uscourts.gov/decisions/isysquery/d136f88b-cd40-4720-ac80-979ab5d9e37d/2/doc/18-943_opn.pdf" TargetMode="External"/><Relationship Id="rId1001" Type="http://schemas.openxmlformats.org/officeDocument/2006/relationships/hyperlink" Target="https://law.justia.com/codes/west-virginia/2017/chapter-55/article-7b/section-55-7b-6/" TargetMode="External"/><Relationship Id="rId1446" Type="http://schemas.openxmlformats.org/officeDocument/2006/relationships/hyperlink" Target="https://casetext.com/case/united-states-v-fields-198" TargetMode="External"/><Relationship Id="rId1653" Type="http://schemas.openxmlformats.org/officeDocument/2006/relationships/hyperlink" Target="https://public.fastcase.com/jaEE2PXzRXmZ99jOLMt1Ipey3nn80Qzm5FjlczUETsDTuQT39ugB8joG6QHEs86OG3nGrKzxwZV4%2Fla6pLxdspdlDpATTrpmmFlVcXapI1M%3D?utm_medium=email&amp;_hsenc=p2ANqtz-8lwnqzIFsmVJzuahWcWVuNvva5eg1m46jktTnS1rNp1Tgpui8ycBPAblsV379ZnZFl8lWnb4zQm5QdddO-2g4KXoMSJQ&amp;_hsmi=226712652&amp;utm_content=226712652&amp;utm_source=hs_email" TargetMode="External"/><Relationship Id="rId1860" Type="http://schemas.openxmlformats.org/officeDocument/2006/relationships/hyperlink" Target="https://cdn.ymaws.com/www.roa.org/resource/resmgr/LawReviews/2016/16065-LR.pdf" TargetMode="External"/><Relationship Id="rId2704" Type="http://schemas.openxmlformats.org/officeDocument/2006/relationships/hyperlink" Target="https://public.fastcase.com/9SKwsfNqTc6OieYDhNMyM%2B9QVlF%2Fi0C7FBtpVDfGBEJTuxz2gLXEBOyZ2MTUN6p67t66EUS4%2BwzN2KZQmb95HSCpSxhJK4uvhgP9XZ8nBIo%3D" TargetMode="External"/><Relationship Id="rId2911" Type="http://schemas.openxmlformats.org/officeDocument/2006/relationships/hyperlink" Target="https://www.flhouse.gov/Sections/Documents/loaddoc.aspx?FileName=_s0184er.DOCX&amp;DocumentType=Bill&amp;BillNumber=184&amp;Session=2024" TargetMode="External"/><Relationship Id="rId1306" Type="http://schemas.openxmlformats.org/officeDocument/2006/relationships/hyperlink" Target="http://www.kwgd.com/ohio-general-assembly-alters-statute-of-limitation-for-workers-compensation-claims" TargetMode="External"/><Relationship Id="rId1513" Type="http://schemas.openxmlformats.org/officeDocument/2006/relationships/hyperlink" Target="https://cases.justia.com/federal/appellate-courts/ca5/24-40626/24-40626-2025-05-01.pdf?ts=1746120629" TargetMode="External"/><Relationship Id="rId1720" Type="http://schemas.openxmlformats.org/officeDocument/2006/relationships/hyperlink" Target="https://www.justice.gov/opa/pr/justice-department-settles-college-resolve-disability-discrimination-complaint" TargetMode="External"/><Relationship Id="rId1958" Type="http://schemas.openxmlformats.org/officeDocument/2006/relationships/hyperlink" Target="https://www.supremecourt.gov/docket/docketfiles/html/public/20-7934.html" TargetMode="External"/><Relationship Id="rId12" Type="http://schemas.openxmlformats.org/officeDocument/2006/relationships/image" Target="media/image3.jpeg"/><Relationship Id="rId1818" Type="http://schemas.openxmlformats.org/officeDocument/2006/relationships/hyperlink" Target="https://public.fastcase.com/ZZhmr5v9wN%2FXOe5IsQ%2FqD%2Bile%2Foxyp5Z8Q8kvhZNO7gH1c2Z5qHls9xhvmb3awOvR3bsCkmvAqMtioFMMuxMBzUhvRQhP83bmryZorCoTbI%3D?utm_medium=email&amp;_hsmi=226712652&amp;_hsenc=p2ANqtz--nFpNqY7MlHedt-bGY2IVgigc3ATGuPz0zM2ZOCoWHuze-qmefTR0632sWWVlZvaDJFdCD_Gl1V9HSDzdZa4P3MSrw7A&amp;utm_content=226712652&amp;utm_source=hs_email" TargetMode="External"/><Relationship Id="rId161" Type="http://schemas.openxmlformats.org/officeDocument/2006/relationships/hyperlink" Target="https://www.anylaw.com/case/state-v-messer/ohio-court-of-appeals/12-04-2023/hMqWTIwBqcoRgE-I70tV" TargetMode="External"/><Relationship Id="rId399" Type="http://schemas.openxmlformats.org/officeDocument/2006/relationships/hyperlink" Target="https://supreme.justia.com/cases/federal/us/487/500/" TargetMode="External"/><Relationship Id="rId2287" Type="http://schemas.openxmlformats.org/officeDocument/2006/relationships/hyperlink" Target="https://public.fastcase.com/9SKwsfNqTc6OieYDhNMyMwbSkTth7KSxZerJ72xuPASz0hfrLKBLsSHZ5wSTH5hTHTRhpFz%2FSUPG8m6eckQDfkjqtfnRAdXjc9mLaHWodGM%3D" TargetMode="External"/><Relationship Id="rId2494" Type="http://schemas.openxmlformats.org/officeDocument/2006/relationships/hyperlink" Target="https://casetext.com/case/abler-v-mayor-of-balt" TargetMode="External"/><Relationship Id="rId259" Type="http://schemas.openxmlformats.org/officeDocument/2006/relationships/hyperlink" Target="https://casetext.com/case/ciempa-v-city-of-del-city" TargetMode="External"/><Relationship Id="rId466" Type="http://schemas.openxmlformats.org/officeDocument/2006/relationships/hyperlink" Target="https://www.hometownlife.com/story/news/2023/05/27/westland-firefighters-brian-woehlke-arson-homicide-investigation/70244259007/" TargetMode="External"/><Relationship Id="rId673" Type="http://schemas.openxmlformats.org/officeDocument/2006/relationships/hyperlink" Target="https://www.pbs.org/newshour/politics/what-is-the-legal-process-for-deporting-u-s-green-card-and-visa-holders" TargetMode="External"/><Relationship Id="rId880" Type="http://schemas.openxmlformats.org/officeDocument/2006/relationships/hyperlink" Target="https://cases.justia.com/federal/district-courts/indiana/inndce/3:2023cv00744/115782/36/0.pdf?ts=1705163579" TargetMode="External"/><Relationship Id="rId1096" Type="http://schemas.openxmlformats.org/officeDocument/2006/relationships/hyperlink" Target="https://caselaw.findlaw.com/court/ma-court-of-appeals/116528710.html" TargetMode="External"/><Relationship Id="rId2147" Type="http://schemas.openxmlformats.org/officeDocument/2006/relationships/hyperlink" Target="https://www.ems1.com/ill-emts-charged-murder-patients-death/articles/2-ill-emts-charged-with-murder-appear-in-court-lMnB5h9BN09tUYGl/" TargetMode="External"/><Relationship Id="rId2354" Type="http://schemas.openxmlformats.org/officeDocument/2006/relationships/hyperlink" Target="https://www.txcourts.gov/media/1447243/181085f-1.pdf" TargetMode="External"/><Relationship Id="rId2561" Type="http://schemas.openxmlformats.org/officeDocument/2006/relationships/hyperlink" Target="file:///C:/Users/lawre/Downloads/25P0275.pdf" TargetMode="External"/><Relationship Id="rId2799" Type="http://schemas.openxmlformats.org/officeDocument/2006/relationships/hyperlink" Target="https://cases.justia.com/texas/fourteenth-court-of-appeals/2018-14-17-00156-cv.pdf?ts=1523970132" TargetMode="External"/><Relationship Id="rId119" Type="http://schemas.openxmlformats.org/officeDocument/2006/relationships/hyperlink" Target="https://www.courthousenews.com/wp-content/uploads/2024/09/wholesale-fireworks-ruling.pdf" TargetMode="External"/><Relationship Id="rId326" Type="http://schemas.openxmlformats.org/officeDocument/2006/relationships/hyperlink" Target="https://drive.google.com/file/d/1VWwIseEl7gdzhv6UxgyZNZeTX7Y_8-m_/view" TargetMode="External"/><Relationship Id="rId533" Type="http://schemas.openxmlformats.org/officeDocument/2006/relationships/hyperlink" Target="https://www.ems.gov/newsletter/fall2021/dont_let_railroads_become_roadblocks.html" TargetMode="External"/><Relationship Id="rId978" Type="http://schemas.openxmlformats.org/officeDocument/2006/relationships/hyperlink" Target="https://www.njcourts.gov/system/files/court-opinions/2023/a0009-22.pdf" TargetMode="External"/><Relationship Id="rId1163" Type="http://schemas.openxmlformats.org/officeDocument/2006/relationships/hyperlink" Target="https://law.justia.com/cases/california/court-of-appeal/2022/a161575.html" TargetMode="External"/><Relationship Id="rId1370" Type="http://schemas.openxmlformats.org/officeDocument/2006/relationships/hyperlink" Target="https://coa.nmcourts.gov/wp-content/uploads/sites/43/2024/09/September-30-2024-Eric-Tafoya-v.-City-of-Espanola-No.-A-1-CA-40276.pdf" TargetMode="External"/><Relationship Id="rId2007" Type="http://schemas.openxmlformats.org/officeDocument/2006/relationships/hyperlink" Target="https://cases.justia.com/federal/appellate-courts/ca10/25-1118/25-1118-2026-07-06.pdf?ts=1783359113" TargetMode="External"/><Relationship Id="rId2214" Type="http://schemas.openxmlformats.org/officeDocument/2006/relationships/hyperlink" Target="https://public.fastcase.com/J%2FJP6pdidelsXxEE4k%2BLMhEAWViZoZCNNVQqGGOJQe0x0uZjPj6basWGo2LdR7ZdZ7mXMibE%2B6q63t6QJEFPzY8xsgWYqrexPGowqeVKLtU%3D?utm_medium=email&amp;_hsmi=226712652&amp;_hsenc=p2ANqtz-_6354qi3IFHsOx1ZsytROIPRrzR7P7WEO-" TargetMode="External"/><Relationship Id="rId2659" Type="http://schemas.openxmlformats.org/officeDocument/2006/relationships/hyperlink" Target="https://public.fastcase.com/ppbqSQpNDaJE%2F8PlIk0b8GrZRoSxZNSyZ1IPMsly8LQqd8zJpEjl6u9Blu91YAS9" TargetMode="External"/><Relationship Id="rId2866" Type="http://schemas.openxmlformats.org/officeDocument/2006/relationships/hyperlink" Target="https://www.nycourts.gov/ctapps/Decisions/2022/Dec22/96opn22-Decision.pdf%20\" TargetMode="External"/><Relationship Id="rId740" Type="http://schemas.openxmlformats.org/officeDocument/2006/relationships/hyperlink" Target="https://puenteaz.org/title42/" TargetMode="External"/><Relationship Id="rId838" Type="http://schemas.openxmlformats.org/officeDocument/2006/relationships/hyperlink" Target="https://www.supremecourt.gov/opinions/17pdf/17-965_h315.pdf" TargetMode="External"/><Relationship Id="rId1023" Type="http://schemas.openxmlformats.org/officeDocument/2006/relationships/hyperlink" Target="http://www.cantonrep.com/news/20160713/massillon-family-awarded-362k-in-2008-firetruck-crash-settlement" TargetMode="External"/><Relationship Id="rId1468" Type="http://schemas.openxmlformats.org/officeDocument/2006/relationships/hyperlink" Target="https://cases.justia.com/federal/district-courts/illinois/ilndce/1:2018cv03054/351942/211/0.pdf?ts=1558430418" TargetMode="External"/><Relationship Id="rId1675" Type="http://schemas.openxmlformats.org/officeDocument/2006/relationships/hyperlink" Target="https://www.justice.gov/opa/pr/justice-department-secures-agreement-city-blaine-minnesota-resolve-discrimination-claim" TargetMode="External"/><Relationship Id="rId1882" Type="http://schemas.openxmlformats.org/officeDocument/2006/relationships/hyperlink" Target="https://www.justice.gov/crt-military/employment-rights-userra" TargetMode="External"/><Relationship Id="rId2421" Type="http://schemas.openxmlformats.org/officeDocument/2006/relationships/hyperlink" Target="https://scholar.google.com/scholar_case?case=10284773024569378667&amp;hl=en&amp;as_sdt=6&amp;as_vis=1&amp;oi=scholarr" TargetMode="External"/><Relationship Id="rId2519" Type="http://schemas.openxmlformats.org/officeDocument/2006/relationships/hyperlink" Target="https://law.justia.com/cases/illinois/court-of-appeals-first-appellate-district/2019/1-18-0388.html" TargetMode="External"/><Relationship Id="rId2726" Type="http://schemas.openxmlformats.org/officeDocument/2006/relationships/hyperlink" Target="https://www.massmunilaw.org/wp-content/uploads/2020/12/DIANE-LAWLESS-v.-CHERYL-ESTRELLA.pdf" TargetMode="External"/><Relationship Id="rId600" Type="http://schemas.openxmlformats.org/officeDocument/2006/relationships/hyperlink" Target="https://www.kansascity.com/news/politics-government/article231974862.html" TargetMode="External"/><Relationship Id="rId1230" Type="http://schemas.openxmlformats.org/officeDocument/2006/relationships/hyperlink" Target="https://www.leagle.com/decision/infdco20201228943" TargetMode="External"/><Relationship Id="rId1328" Type="http://schemas.openxmlformats.org/officeDocument/2006/relationships/hyperlink" Target="https://casetext.com/case/new-prime-inc-v-oliveira-1?ref=Sb!ZpcU0M" TargetMode="External"/><Relationship Id="rId1535" Type="http://schemas.openxmlformats.org/officeDocument/2006/relationships/hyperlink" Target="https://local2507.com/wp-content/uploads/2024/09/Decision-on-Class-Action.pdf" TargetMode="External"/><Relationship Id="rId2933" Type="http://schemas.openxmlformats.org/officeDocument/2006/relationships/hyperlink" Target="https://casetext.com/statute/united-states-code/title-5-government-organization-and-employees/part-i-the-agencies-generally/chapter-7-judicial-review/section-706-scope-of-review" TargetMode="External"/><Relationship Id="rId905" Type="http://schemas.openxmlformats.org/officeDocument/2006/relationships/hyperlink" Target="https://codes.ohio.gov/ohio-revised-code/section-2744.03" TargetMode="External"/><Relationship Id="rId1742" Type="http://schemas.openxmlformats.org/officeDocument/2006/relationships/hyperlink" Target="https://www.dol.gov/sites/dolgov/files/WHD/legacy/files/fab_2020_7.pdf" TargetMode="External"/><Relationship Id="rId34" Type="http://schemas.openxmlformats.org/officeDocument/2006/relationships/hyperlink" Target="https://cases.justia.com/federal/appellate-courts/ca6/25-1089/25-1089-2026-05-20.pdf?ts=1779309039" TargetMode="External"/><Relationship Id="rId1602" Type="http://schemas.openxmlformats.org/officeDocument/2006/relationships/hyperlink" Target="https://www.jacksonville.com/story/news/courts/2020/11/25/jacksonville-lawsuit-cleanshaven-rule-unfair-black-firefighters/6406374002/" TargetMode="External"/><Relationship Id="rId183" Type="http://schemas.openxmlformats.org/officeDocument/2006/relationships/hyperlink" Target="https://casetext.com/case/commonwealth-v-smith-1490" TargetMode="External"/><Relationship Id="rId390" Type="http://schemas.openxmlformats.org/officeDocument/2006/relationships/hyperlink" Target="https://www4.courts.ca.gov/opinions/nonpub/C102004.PDF" TargetMode="External"/><Relationship Id="rId1907" Type="http://schemas.openxmlformats.org/officeDocument/2006/relationships/hyperlink" Target="https://mgaleg.maryland.gov/2026RS/bills/sb/sb0439T.pdf" TargetMode="External"/><Relationship Id="rId2071" Type="http://schemas.openxmlformats.org/officeDocument/2006/relationships/hyperlink" Target="https://cases.justia.com/texas/fifteenth-court-of-appeals/2025-15-24-00048-cv.pdf?ts=1753365777" TargetMode="External"/><Relationship Id="rId250" Type="http://schemas.openxmlformats.org/officeDocument/2006/relationships/hyperlink" Target="https://public.fastcase.com/9SKwsfNqTc6OieYDhNMyMxCncQbdnZBHHYClkb%2F5rq5vAcucBX21mkOLoZWomgOrkfyB0T1fu8X9VBZqJtLwyHdQaAVKSMi9mGC9zU6KrUc%3D" TargetMode="External"/><Relationship Id="rId488" Type="http://schemas.openxmlformats.org/officeDocument/2006/relationships/hyperlink" Target="https://casetext.com/case/maines-v-cronomer-val-fire" TargetMode="External"/><Relationship Id="rId695" Type="http://schemas.openxmlformats.org/officeDocument/2006/relationships/hyperlink" Target="https://cases.justia.com/federal/appellate-courts/cadc/22-3064/22-3064-2024-05-28.pdf?ts=1716910338" TargetMode="External"/><Relationship Id="rId2169" Type="http://schemas.openxmlformats.org/officeDocument/2006/relationships/hyperlink" Target="https://casetext.com/statute/united-states-code/title-42-the-public-health-and-welfare/chapter-7-social-security/subchapter-xi-general-provisions-peer-review-and-administrative-simplification/part-a-general-provisions/section-1320a-uniform-reporting-systems-for-health-services-facilities-and-organizations" TargetMode="External"/><Relationship Id="rId2376" Type="http://schemas.openxmlformats.org/officeDocument/2006/relationships/hyperlink" Target="https://ecf.flmd.uscourts.gov/cgi-bin/show_public_doc?2019-00439-60-2-cv" TargetMode="External"/><Relationship Id="rId2583" Type="http://schemas.openxmlformats.org/officeDocument/2006/relationships/hyperlink" Target="https://www.supremecourt.ohio.gov/rod/docs/pdf/6/2025/2025-Ohio-3100.pdf" TargetMode="External"/><Relationship Id="rId2790" Type="http://schemas.openxmlformats.org/officeDocument/2006/relationships/hyperlink" Target="https://www.courtlistener.com/recap/gov.uscourts.mad.185693/gov.uscourts.mad.185693.65.0.pdf" TargetMode="External"/><Relationship Id="rId110" Type="http://schemas.openxmlformats.org/officeDocument/2006/relationships/hyperlink" Target="https://cases.justia.com/iowa/court-of-appeals/2024-23-0625.pdf?ts=1730301434" TargetMode="External"/><Relationship Id="rId348" Type="http://schemas.openxmlformats.org/officeDocument/2006/relationships/hyperlink" Target="https://cases.justia.com/federal/district-courts/colorado/codce/1:2017cv02034/173671/65/0.pdf?ts=1551517811" TargetMode="External"/><Relationship Id="rId555" Type="http://schemas.openxmlformats.org/officeDocument/2006/relationships/hyperlink" Target="https://www.firerescue1.com/arson-investigation/articles/court-rules-pa-man-can-be-re-tried-for-allegedly-setting-blaze-that-killed-3-firefighters-lLEkejoGfuP6GGk9/?utm_source=FireRescue1+Daily&amp;utm_campaign=f787a554cb-EMAIL_CAMPAIGN_2021_04_15_07_27&amp;utm_medium=email&amp;utm_term=0_758bdbeffe-f787a554cb-41607823" TargetMode="External"/><Relationship Id="rId762" Type="http://schemas.openxmlformats.org/officeDocument/2006/relationships/hyperlink" Target="https://www.washingtonpost.com/nation/interactive/2021/anti-gun-gun-owners/?itid=lk_inline_manual_4" TargetMode="External"/><Relationship Id="rId1185" Type="http://schemas.openxmlformats.org/officeDocument/2006/relationships/hyperlink" Target="https://www.cleveland.com/metro/2013/08/cleveland_fire_chief_daryl_mcg.html" TargetMode="External"/><Relationship Id="rId1392" Type="http://schemas.openxmlformats.org/officeDocument/2006/relationships/hyperlink" Target="https://public.fastcase.com/ZZhmr5v9wN%2FXOe5IsQ%2FqD%2FNGb7gFooJuC7EPCkPbb8zYGJ%2BdPMtTRazA4SgxbA0Hq%2Bqtj6iK5eurCbJj4Cn6ySK1qzuHHpkHA9cN2Vx6eWo%3D?utm_medium=email&amp;_hsmi=226712652&amp;_hsenc=p2ANqtz-_M4ZQ75NqvFrlpX3gz1MCu7xTgTM0sg-yZbWDDZft-2cApXVRPMU-C3jBD2GmP4Ff9YuyLw19xTYwQuDOoCvQcSGp93w&amp;utm_content=226712652&amp;utm_source=hs_email" TargetMode="External"/><Relationship Id="rId2029" Type="http://schemas.openxmlformats.org/officeDocument/2006/relationships/hyperlink" Target="https://www.hipaajournal.com/hipaa-violation-cases/" TargetMode="External"/><Relationship Id="rId2236" Type="http://schemas.openxmlformats.org/officeDocument/2006/relationships/hyperlink" Target="https://www.ems.ohio.gov/trauma-system.aspx" TargetMode="External"/><Relationship Id="rId2443" Type="http://schemas.openxmlformats.org/officeDocument/2006/relationships/hyperlink" Target="https://cases.justia.com/texas/fifteenth-court-of-appeals/2026-15-25-00102-cv.pdf?ts=1771951104" TargetMode="External"/><Relationship Id="rId2650" Type="http://schemas.openxmlformats.org/officeDocument/2006/relationships/hyperlink" Target="https://law.justia.com/cases/new-york/appellate-division-third-department/2023/535052.html" TargetMode="External"/><Relationship Id="rId2888" Type="http://schemas.openxmlformats.org/officeDocument/2006/relationships/hyperlink" Target="https://casetext.com/case/in-re-ryan-542034" TargetMode="External"/><Relationship Id="rId208" Type="http://schemas.openxmlformats.org/officeDocument/2006/relationships/hyperlink" Target="https://law.justia.com/cases/new-jersey/appellate-division-published/2022/a-1868-21.html" TargetMode="External"/><Relationship Id="rId415" Type="http://schemas.openxmlformats.org/officeDocument/2006/relationships/hyperlink" Target="https://www.youtube.com/watch?v=US5dFGLzqQo" TargetMode="External"/><Relationship Id="rId622" Type="http://schemas.openxmlformats.org/officeDocument/2006/relationships/hyperlink" Target="https://d.docs.live.net/bd9b2eaf6053242e/AppData/Roaming/Microsoft/AppData/Local/Microsoft/Windows/INetCache/IE/XO250S7T/15-70040-CV0.pdf" TargetMode="External"/><Relationship Id="rId1045" Type="http://schemas.openxmlformats.org/officeDocument/2006/relationships/hyperlink" Target="https://thedailyrecord.com/files/2025/12/1167s24.pdf" TargetMode="External"/><Relationship Id="rId1252" Type="http://schemas.openxmlformats.org/officeDocument/2006/relationships/hyperlink" Target="https://public.fastcase.com/Wl%2B2t%2BeVuI35%2FN70vAMFZt8kW6J16QTt9TZ%2FuwcLGfAQlmvmDCIs7SYJL9UeqqRt" TargetMode="External"/><Relationship Id="rId1697" Type="http://schemas.openxmlformats.org/officeDocument/2006/relationships/hyperlink" Target="https://public.fastcase.com/J%2FJP6pdidelsXxEE4k%2BLMiM7pwWb%2BJBiIrsmHTSQKCgTGoUCuPbfbRmZbIscWTRrl1YTX4iVhFAcHudcdl9kVeXDJy0GqMwEdaMu5Mx11Z8%3D" TargetMode="External"/><Relationship Id="rId2303" Type="http://schemas.openxmlformats.org/officeDocument/2006/relationships/hyperlink" Target="https://casetext.com/statute/revised-code-of-washington/title-68-cemeteries-morgues-and-human-remains/chapter-6850-human-remains/section-6850160-right-to-control-disposition-of-remains-liability-of-funeral-establishment-or-cemetery-authority-liability-for-cost" TargetMode="External"/><Relationship Id="rId2510" Type="http://schemas.openxmlformats.org/officeDocument/2006/relationships/hyperlink" Target="https://www.gerberholderlaw.com/workers-comp-ptsd-by-state/" TargetMode="External"/><Relationship Id="rId2748" Type="http://schemas.openxmlformats.org/officeDocument/2006/relationships/hyperlink" Target="http://www.leginfo.ca.gov/cgi-bin/displaycode?section=pen&amp;group=00001-01000&amp;file=630-638" TargetMode="External"/><Relationship Id="rId2955" Type="http://schemas.openxmlformats.org/officeDocument/2006/relationships/hyperlink" Target="https://www.nytimes.com/2020/06/12/nyregion/50a-repeal-police-floyd.html" TargetMode="External"/><Relationship Id="rId927" Type="http://schemas.openxmlformats.org/officeDocument/2006/relationships/hyperlink" Target="https://ktla.com/news/local-news/vanessa-bryant-sues-l-a-county-sheriff-over-kobe-bryant-crash-photos/" TargetMode="External"/><Relationship Id="rId1112" Type="http://schemas.openxmlformats.org/officeDocument/2006/relationships/hyperlink" Target="https://cases.justia.com/virginia/court-of-appeals-published/2024-0344-23-1.pdf?ts=1706633278" TargetMode="External"/><Relationship Id="rId1557" Type="http://schemas.openxmlformats.org/officeDocument/2006/relationships/hyperlink" Target="https://public.fastcase.com/ZZhmr5v9wN%2FXOe5IsQ%2FqDz1M0c7XntbkBFAKdHDge9e%2F8CSFXEi88W%2FVfdIRS4Pi97nH6Fo0Jpcpv2L%2BsFvZPbsE0qA7KMgQlRndt4L6foA%3D?utm_medium=email&amp;_hsmi=226712652&amp;_hsenc=p2ANqtz--PxjvF13xKDxQ7J7F-ifitmDmVZpuVXf36_4emKUQzFhwmn1WPofSx1ry4m9mCDedrl6XMHnLVa4UU0oKcRVjso9raZQ&amp;utm_content=226712652&amp;utm_source=hs_email" TargetMode="External"/><Relationship Id="rId1764" Type="http://schemas.openxmlformats.org/officeDocument/2006/relationships/hyperlink" Target="https://www.firefighterovertime.org/2018/09/17/battalion/" TargetMode="External"/><Relationship Id="rId1971" Type="http://schemas.openxmlformats.org/officeDocument/2006/relationships/hyperlink" Target="https://law.justia.com/cases/louisiana/fourth-circuit-court-of-appeal/2021/2021-ca-0070.html" TargetMode="External"/><Relationship Id="rId2608" Type="http://schemas.openxmlformats.org/officeDocument/2006/relationships/hyperlink" Target="https://cases.justia.com/michigan/court-of-appeals-unpublished/2024-368783.pdf?ts=1734703212" TargetMode="External"/><Relationship Id="rId2815" Type="http://schemas.openxmlformats.org/officeDocument/2006/relationships/hyperlink" Target="https://www.qcnews.com/shannon-park-shooting/one-year-later-a-timeline-of-the-tragic-april-29th-shootout-that-shook-charlotte/" TargetMode="External"/><Relationship Id="rId56" Type="http://schemas.openxmlformats.org/officeDocument/2006/relationships/hyperlink" Target="https://cases.justia.com/new-york/other-courts/2025-2025-ny-slip-op-33961-u.pdf?ts=1761686709" TargetMode="External"/><Relationship Id="rId1417" Type="http://schemas.openxmlformats.org/officeDocument/2006/relationships/hyperlink" Target="https://www.natlawreview.com/article/congress-votes-to-end-mandatory-arbitration-sexual-assault-and-sexual-harassment" TargetMode="External"/><Relationship Id="rId1624" Type="http://schemas.openxmlformats.org/officeDocument/2006/relationships/hyperlink" Target="https://www.leagle.com/cite/142%20F.3d%201082" TargetMode="External"/><Relationship Id="rId1831" Type="http://schemas.openxmlformats.org/officeDocument/2006/relationships/hyperlink" Target="https://www.law.cornell.edu/uscode/text/29/260" TargetMode="External"/><Relationship Id="rId1929" Type="http://schemas.openxmlformats.org/officeDocument/2006/relationships/hyperlink" Target="https://casetext.com/statute/montana-code/title-2-government-structure-and-administration/chapter-4-administrative-procedure-act/part-6-contested-cases/section-2-4-621-when-absent-members-render-decision-proposal-for-decision-and-opportunity-to-submit-findings-and-conclusions-modification-by-agency" TargetMode="External"/><Relationship Id="rId2093" Type="http://schemas.openxmlformats.org/officeDocument/2006/relationships/hyperlink" Target="https://casetext.com/statute/general-laws-of-massachusetts/part-i-administration-of-the-government/title-xxi-labor-and-industries/chapter-149-labor-and-industries/section-149187-health-care-providers-protection-from-retaliatory-action-by-health-care-facilities" TargetMode="External"/><Relationship Id="rId2398" Type="http://schemas.openxmlformats.org/officeDocument/2006/relationships/hyperlink" Target="https://oig.hhs.gov/fraud/docs/advisoryopinions/2019/AdvOpn19-03.pdf" TargetMode="External"/><Relationship Id="rId272" Type="http://schemas.openxmlformats.org/officeDocument/2006/relationships/hyperlink" Target="https://ktla.com/news/nationworld/supreme-court-sides-with-new-mexico-woman-shot-by-police-while-fleeing/" TargetMode="External"/><Relationship Id="rId577" Type="http://schemas.openxmlformats.org/officeDocument/2006/relationships/hyperlink" Target="https://www.bwc.ohio.gov/downloads/blankpdf/sviu.pdf" TargetMode="External"/><Relationship Id="rId2160" Type="http://schemas.openxmlformats.org/officeDocument/2006/relationships/hyperlink" Target="https://www.ca5.uscourts.gov/opinions/unpub/23/23-20375.0.pdf" TargetMode="External"/><Relationship Id="rId2258" Type="http://schemas.openxmlformats.org/officeDocument/2006/relationships/hyperlink" Target="https://public.fastcase.com/waZtJvSA54UAurM2rmIZzwvOxdABv7XvwmmlDXNvdvn51CTV3NslG6Rw0yioxZXL%2BjJOhhNAJF%2FpIN8S52jcKAcJWCdsLYpOkU1PQ4W0%2BbA%3D" TargetMode="External"/><Relationship Id="rId132" Type="http://schemas.openxmlformats.org/officeDocument/2006/relationships/hyperlink" Target="https://www.law.cornell.edu/wex/inadmissible" TargetMode="External"/><Relationship Id="rId784" Type="http://schemas.openxmlformats.org/officeDocument/2006/relationships/hyperlink" Target="https://www.law.cornell.edu/uscode/text/8/1182" TargetMode="External"/><Relationship Id="rId991" Type="http://schemas.openxmlformats.org/officeDocument/2006/relationships/hyperlink" Target="https://law.justia.com/cases/virginia/court-of-appeals-unpublished/2022/0124-21-3.html" TargetMode="External"/><Relationship Id="rId1067" Type="http://schemas.openxmlformats.org/officeDocument/2006/relationships/hyperlink" Target="https://cases.justia.com/louisiana/fourth-circuit-court-of-appeal/2025-2024-ca-0747.pdf?ts=1746576943" TargetMode="External"/><Relationship Id="rId2020" Type="http://schemas.openxmlformats.org/officeDocument/2006/relationships/hyperlink" Target="https://www.legislature.mi.gov/Laws/MCL?objectName=MCL-691-1405" TargetMode="External"/><Relationship Id="rId2465" Type="http://schemas.openxmlformats.org/officeDocument/2006/relationships/hyperlink" Target="https://www.firstresponderptsdclaims.com/faq/" TargetMode="External"/><Relationship Id="rId2672" Type="http://schemas.openxmlformats.org/officeDocument/2006/relationships/hyperlink" Target="https://www.nvfc.org/firefighter-arson/" TargetMode="External"/><Relationship Id="rId437" Type="http://schemas.openxmlformats.org/officeDocument/2006/relationships/hyperlink" Target="https://www.supremecourt.ohio.gov/rod/docs/pdf/0/2025/2025-Ohio-1296.pdf" TargetMode="External"/><Relationship Id="rId644" Type="http://schemas.openxmlformats.org/officeDocument/2006/relationships/hyperlink" Target="https://storage.courtlistener.com/recap/gov.uscourts.cadc.42631/gov.uscourts.cadc.42631.1208806141.0.pdf" TargetMode="External"/><Relationship Id="rId851" Type="http://schemas.openxmlformats.org/officeDocument/2006/relationships/hyperlink" Target="https://www.jud.ct.gov/external/supapp/Cases/AROcr/CR354/CR354.35.pdf" TargetMode="External"/><Relationship Id="rId1274" Type="http://schemas.openxmlformats.org/officeDocument/2006/relationships/hyperlink" Target="https://www.opn.ca6.uscourts.gov/opinions.pdf/20a0123p-06.pdf" TargetMode="External"/><Relationship Id="rId1481" Type="http://schemas.openxmlformats.org/officeDocument/2006/relationships/hyperlink" Target="http://www.ca5.uscourts.gov/opinions/unpub/17/17-30574.0.pdf" TargetMode="External"/><Relationship Id="rId1579" Type="http://schemas.openxmlformats.org/officeDocument/2006/relationships/hyperlink" Target="https://law.justia.com/cases/federal/district-courts/california/caedce/1:2018cv00824/337796/49/" TargetMode="External"/><Relationship Id="rId2118" Type="http://schemas.openxmlformats.org/officeDocument/2006/relationships/hyperlink" Target="https://www.supremecourt.gov/opinions/23pdf/22-193_q86b.pdf" TargetMode="External"/><Relationship Id="rId2325" Type="http://schemas.openxmlformats.org/officeDocument/2006/relationships/hyperlink" Target="https://public.fastcase.com/Wl%2B2t%2BeVuI35%2FN70vAMFZswpqbyXpWGBMOIhfQ%2Fu%2FM0PzW3B3UkJbasWbumeQ3Ct" TargetMode="External"/><Relationship Id="rId2532" Type="http://schemas.openxmlformats.org/officeDocument/2006/relationships/hyperlink" Target="https://cases.justia.com/federal/appellate-courts/ca10/25-1159/25-1159-2026-07-07.pdf?ts=1783443762" TargetMode="External"/><Relationship Id="rId504" Type="http://schemas.openxmlformats.org/officeDocument/2006/relationships/hyperlink" Target="https://casetext.com/case/gibb-v-stetson" TargetMode="External"/><Relationship Id="rId711" Type="http://schemas.openxmlformats.org/officeDocument/2006/relationships/hyperlink" Target="https://www.motherjones.com/environment/2015/08/40-percent-californias-fires-are-fought-prison-inmates/" TargetMode="External"/><Relationship Id="rId949" Type="http://schemas.openxmlformats.org/officeDocument/2006/relationships/hyperlink" Target="https://caselaw.findlaw.com/court/tx-court-of-appeals/117928954.html" TargetMode="External"/><Relationship Id="rId1134" Type="http://schemas.openxmlformats.org/officeDocument/2006/relationships/hyperlink" Target="https://ilcourtsaudio.blob.core.windows.net/antilles-%20resources/resources/467a406e-7cd0-4d26-a9c9-2d169ea7237c/Ivetic%20v.%20Bensenville%20Fire%20Protection%20District%20No.3,%202023%20IL%20App%20(1st)%20220879-U.pdf" TargetMode="External"/><Relationship Id="rId1341" Type="http://schemas.openxmlformats.org/officeDocument/2006/relationships/hyperlink" Target="https://cases.justia.com/delaware/superior-court/2025-n25c-08-098-ssa.pdf?ts=1764099129" TargetMode="External"/><Relationship Id="rId1786" Type="http://schemas.openxmlformats.org/officeDocument/2006/relationships/hyperlink" Target="https://www.firefighterovertime.org/2024/11/24/settlement-proposed-for-ma-firefighters-following-2023-flsa-lawsuit/" TargetMode="External"/><Relationship Id="rId1993" Type="http://schemas.openxmlformats.org/officeDocument/2006/relationships/hyperlink" Target="http://www.diversionspecialists.com/wp-content/uploads/Considerations-When-Tampering-Occurs.pdf" TargetMode="External"/><Relationship Id="rId2837" Type="http://schemas.openxmlformats.org/officeDocument/2006/relationships/hyperlink" Target="https://www.supremecourt.ohio.gov/rod/docs/pdf/8/2024/2024-Ohio-3018.pdf" TargetMode="External"/><Relationship Id="rId78" Type="http://schemas.openxmlformats.org/officeDocument/2006/relationships/hyperlink" Target="https://www.usfa.fema.gov/prevention/home-fires/prepare-for-fire/smoke-alarms/" TargetMode="External"/><Relationship Id="rId809" Type="http://schemas.openxmlformats.org/officeDocument/2006/relationships/hyperlink" Target="https://www.ca2.uscourts.gov/decisions/isysquery/d1288cae-9c73-4842-93cb-329cdd38edc3/3/doc/19-2934_so.pdf" TargetMode="External"/><Relationship Id="rId1201" Type="http://schemas.openxmlformats.org/officeDocument/2006/relationships/hyperlink" Target="https://www.hamiltoncountyohio.gov/UserFiles/Servers/Server_3788196/File/releases/2021/C-200202_04142021.pdf" TargetMode="External"/><Relationship Id="rId1439" Type="http://schemas.openxmlformats.org/officeDocument/2006/relationships/hyperlink" Target="https://www.firerescue1.com/discrimination/articles/judge-dismisses-discrimination-lawsuit-by-transgender-fire-chief-c9ZJzz1mhPH97dsL/?utm_source=FireRescue1+Daily&amp;utm_campaign=34323ded4f-EMAIL_CAMPAIGN_2021_02_19_07_52&amp;utm_medium=email&amp;utm_term=0_758bdbeffe-34323ded4f-41607823" TargetMode="External"/><Relationship Id="rId1646" Type="http://schemas.openxmlformats.org/officeDocument/2006/relationships/hyperlink" Target="https://academicworks.cuny.edu/cgi/viewcontent.cgi?article=6894&amp;context=gc_etds" TargetMode="External"/><Relationship Id="rId1853" Type="http://schemas.openxmlformats.org/officeDocument/2006/relationships/hyperlink" Target="https://public.fastcase.com/Wl%2B2t%2BeVuI35%2FN70vAMFZq7BNtl3UAn66ukthA6exr4OG2Q55i9ib96ohnNtBuMo" TargetMode="External"/><Relationship Id="rId2904" Type="http://schemas.openxmlformats.org/officeDocument/2006/relationships/hyperlink" Target="https://www.sfgate.com/news/article/Supreme-Court-rules-that-companies-can-require-12931130.php" TargetMode="External"/><Relationship Id="rId1506" Type="http://schemas.openxmlformats.org/officeDocument/2006/relationships/hyperlink" Target="https://www.cincinnati-oh.gov/hr/eligible-lists1/promotional/fire-lieutenant/" TargetMode="External"/><Relationship Id="rId1713" Type="http://schemas.openxmlformats.org/officeDocument/2006/relationships/hyperlink" Target="https://law.justia.com/cases/louisiana/fifth-circuit-court-of-appeal/2020/19-ca-613.html" TargetMode="External"/><Relationship Id="rId1920" Type="http://schemas.openxmlformats.org/officeDocument/2006/relationships/hyperlink" Target="https://www.fireengineering.com/firefighting/medical-marijuana-and-firefighters-creating-a-medical-marijuana-use-policy/" TargetMode="External"/><Relationship Id="rId294" Type="http://schemas.openxmlformats.org/officeDocument/2006/relationships/hyperlink" Target="https://public.fastcase.com/Wl%2B2t%2BeVuI35%2FN70vAMFZn5gKg3cdbP6IN7E7ywDm7QNgGMGGIVm2eo9gH1WNWLv" TargetMode="External"/><Relationship Id="rId2182" Type="http://schemas.openxmlformats.org/officeDocument/2006/relationships/hyperlink" Target="https://cases.justia.com/kentucky/court-of-appeals/2023-2022-ca-1113-mr.pdf?ts=1697205894" TargetMode="External"/><Relationship Id="rId154" Type="http://schemas.openxmlformats.org/officeDocument/2006/relationships/hyperlink" Target="https://www.supremecourt.gov/opinions/23pdf/22-324_09m1.pdf" TargetMode="External"/><Relationship Id="rId361" Type="http://schemas.openxmlformats.org/officeDocument/2006/relationships/hyperlink" Target="http://client.prod.iaff.org/" TargetMode="External"/><Relationship Id="rId599" Type="http://schemas.openxmlformats.org/officeDocument/2006/relationships/hyperlink" Target="https://www.firstrespondercenter.org/cancer/toolsresources/presumptive-legislation-firefighter-cancer-state/" TargetMode="External"/><Relationship Id="rId2042" Type="http://schemas.openxmlformats.org/officeDocument/2006/relationships/hyperlink" Target="https://www.orangeobserver.com/news/2024/jun/15/breaking-former-orange-county-fire-rescue-battalion-chief-announces-candidacy-for-county-commission-district-1/" TargetMode="External"/><Relationship Id="rId2487" Type="http://schemas.openxmlformats.org/officeDocument/2006/relationships/hyperlink" Target="https://public.fastcase.com/J%2FJP6pdidelsXxEE4k%2BLMrxVcam7rKBSdRgmN0M2d%2BrW9J8HXjyMcs%2BCJsDK%2Fusk%2B2E9D%2F1BAqASOG07gYFsTW16dm6lb%2FBgwI52A7gDyzw%3D?utm_medium=email&amp;_hsmi=226712652&amp;_hsenc=p2ANqtz-9PBrRsgZ6dWHR_pYoIAB1lqWQVVefDA3UXzg06QZf9i4O0NAY5ywCEjL-xcfOhIm7moLGvuFP1IQS4Gks-qJ07TvkP3Q&amp;utm_content=226712652&amp;utm_source=hs_email" TargetMode="External"/><Relationship Id="rId2694" Type="http://schemas.openxmlformats.org/officeDocument/2006/relationships/hyperlink" Target="https://law.justia.com/cases/federal/appellate-courts/cafc/20-2147/20-2147-2022-04-18.html" TargetMode="External"/><Relationship Id="rId459" Type="http://schemas.openxmlformats.org/officeDocument/2006/relationships/hyperlink" Target="https://www.supremecourt.ohio.gov/rod/docs/pdf/10/2024/2024-Ohio-5181.pdf" TargetMode="External"/><Relationship Id="rId666" Type="http://schemas.openxmlformats.org/officeDocument/2006/relationships/hyperlink" Target="https://www.supremecourt.gov/opinions/24pdf/24a1153_l5gm.pdf" TargetMode="External"/><Relationship Id="rId873" Type="http://schemas.openxmlformats.org/officeDocument/2006/relationships/hyperlink" Target="https://caselaw.findlaw.com/court/us-10th-circuit/116433351.html" TargetMode="External"/><Relationship Id="rId1089" Type="http://schemas.openxmlformats.org/officeDocument/2006/relationships/hyperlink" Target="https://www.ca4.uscourts.gov/opinions/221081.U.pdf" TargetMode="External"/><Relationship Id="rId1296" Type="http://schemas.openxmlformats.org/officeDocument/2006/relationships/hyperlink" Target="https://courts.illinois.gov/R23_Orders/AppellateCourt/2019/1stDistrict/1181900_R23.pdf" TargetMode="External"/><Relationship Id="rId2347" Type="http://schemas.openxmlformats.org/officeDocument/2006/relationships/hyperlink" Target="https://www.wkbn.com/news/coronavirus/dewine-signs-law-giving-covid-19-lawsuit-immunity/" TargetMode="External"/><Relationship Id="rId2554" Type="http://schemas.openxmlformats.org/officeDocument/2006/relationships/hyperlink" Target="https://cases.justia.com/federal/district-courts/nevada/nvdce/3:2025cv00159/173760/49/0.pdf" TargetMode="External"/><Relationship Id="rId221" Type="http://schemas.openxmlformats.org/officeDocument/2006/relationships/hyperlink" Target="https://www.cunninghambounds.com/blogs/2022/june/state-immunity-state-agent-immunity-deputy-fire-/" TargetMode="External"/><Relationship Id="rId319" Type="http://schemas.openxmlformats.org/officeDocument/2006/relationships/hyperlink" Target="https://www.iowacourts.gov/courtcases/9747/embed/SupremeCourtOpinion" TargetMode="External"/><Relationship Id="rId526" Type="http://schemas.openxmlformats.org/officeDocument/2006/relationships/hyperlink" Target="https://www.delawareonline.com/story/news/local/2016/10/12/injured-wilmington-firefighters-critical-condition/91951672/" TargetMode="External"/><Relationship Id="rId1156" Type="http://schemas.openxmlformats.org/officeDocument/2006/relationships/hyperlink" Target="https://www.supremecourt.gov/opinions/21pdf/20-603_o758.pdf" TargetMode="External"/><Relationship Id="rId1363" Type="http://schemas.openxmlformats.org/officeDocument/2006/relationships/hyperlink" Target="https://codes.ohio.gov/ohio-revised-code/section-4112.022" TargetMode="External"/><Relationship Id="rId2207" Type="http://schemas.openxmlformats.org/officeDocument/2006/relationships/hyperlink" Target="https://public.fastcase.com/J%2FJP6pdidelsXxEE4k%2BLMjJGU1N13mSM0FXq6MPMgI9LSFCmdWs1UmdxMrMk65JbGuZGkm2byIyaUDFttOOFNnpFfmnrOgyejNkkQ3Wd5bI%3D?utm_medium=email&amp;_hsmi=226712652&amp;_hsenc=p2ANqtz--0Qd6DUvdEJ2RTs9adtgmCzU05IEXqUBeE6HSsIcsSfVoNrdaOOcnlphoE_fH7sdYgnejI_LAktN6WZtOuiqSz8dg1eg&amp;utm_content=226712652&amp;utm_source=hs_email" TargetMode="External"/><Relationship Id="rId2761" Type="http://schemas.openxmlformats.org/officeDocument/2006/relationships/hyperlink" Target="https://public.fastcase.com/Wl%2B2t%2BeVuI35%2FN70vAMFZp5z3tSAREAgVcTB%2FIqZH8qtvSAHBObLTQiDe9yLc084" TargetMode="External"/><Relationship Id="rId2859" Type="http://schemas.openxmlformats.org/officeDocument/2006/relationships/hyperlink" Target="https://apps.nlrb.gov/link/document.aspx/09031d45839af64d" TargetMode="External"/><Relationship Id="rId733" Type="http://schemas.openxmlformats.org/officeDocument/2006/relationships/hyperlink" Target="https://ecf.dcd.uscourts.gov/cgi-bin/show_public_doc?2021cv0100-165" TargetMode="External"/><Relationship Id="rId940" Type="http://schemas.openxmlformats.org/officeDocument/2006/relationships/hyperlink" Target="https://cases.justia.com/texas/fourteenth-court-of-appeals/2026-14-25-00343-cv.pdf?ts=1782834443" TargetMode="External"/><Relationship Id="rId1016" Type="http://schemas.openxmlformats.org/officeDocument/2006/relationships/hyperlink" Target="https://cases.justia.com/illinois/court-of-appeals-first-appellate-district/2019-1-18-0696.pdf?ts=1549320383" TargetMode="External"/><Relationship Id="rId1570" Type="http://schemas.openxmlformats.org/officeDocument/2006/relationships/hyperlink" Target="https://public.fastcase.com/J%2FJP6pdidelsXxEE4k%2BLMkGcJRI5fEIWTRrrr5g307eiV2fonCWWxfQ8%2FgFOC0SXeLTzITpIpaPKGCBs2ZuJTAu1fIsNckzREaOIJEOyjuU%3D" TargetMode="External"/><Relationship Id="rId1668" Type="http://schemas.openxmlformats.org/officeDocument/2006/relationships/hyperlink" Target="https://www.supremecourt.gov/DocketPDF/23/23-997/309679/20240513145152474_23-997%20Brief%20in%20Opposition%20Final.pdf" TargetMode="External"/><Relationship Id="rId1875" Type="http://schemas.openxmlformats.org/officeDocument/2006/relationships/hyperlink" Target="https://public.fastcase.com/Wl%2B2t%2BeVuI35%2FN70vAMFZiOi%2BYkXYMCNnCyjC1oPHdpZa1VeLChap2kxy9UfPfNs" TargetMode="External"/><Relationship Id="rId2414" Type="http://schemas.openxmlformats.org/officeDocument/2006/relationships/hyperlink" Target="https://cases.justia.com/federal/district-courts/louisiana/lawdce/5:2018cv00034/160852/18/0.pdf?ts=1532079100" TargetMode="External"/><Relationship Id="rId2621" Type="http://schemas.openxmlformats.org/officeDocument/2006/relationships/hyperlink" Target="https://ilcourtsaudio.blob.core.windows.net/antilles-resources/resources/3038c42d-d9bb-4837-b172-ba33498af3cf/Trapp%20v.%20City%20of%20Burbank%20Firefighters'%20Pension%20Fund,%202024%20IL%20App%20(1st)%20231311-U.pdf" TargetMode="External"/><Relationship Id="rId2719" Type="http://schemas.openxmlformats.org/officeDocument/2006/relationships/hyperlink" Target="https://appellatecases.courtinfo.ca.gov/search/case/disposition.cfm?dist=0&amp;doc_id=2345572&amp;doc_no=S268086&amp;request_token=NiIwLSEmTkw5W1BRSSItTENJQEg0UDxTJSBeRzJSUCAgCg%3D%3D" TargetMode="External"/><Relationship Id="rId800" Type="http://schemas.openxmlformats.org/officeDocument/2006/relationships/hyperlink" Target="https://www.govinfo.gov/content/pkg/FR-2020-08-13/pdf/2020-17468.pd" TargetMode="External"/><Relationship Id="rId1223" Type="http://schemas.openxmlformats.org/officeDocument/2006/relationships/hyperlink" Target="http://app.leg.wa.gov/RCW/default.aspx?cite=51.08.140" TargetMode="External"/><Relationship Id="rId1430" Type="http://schemas.openxmlformats.org/officeDocument/2006/relationships/hyperlink" Target="https://www.wwlp.com/news/local-news/hampden-county/termination-of-3-westfield-firefighters-vacated-commission-orders-investigation-of-chief/" TargetMode="External"/><Relationship Id="rId1528" Type="http://schemas.openxmlformats.org/officeDocument/2006/relationships/hyperlink" Target="https://nola.gov/getattachment/e3454bbc-a629-43a1-b296-8d99f21a3e04/Dyer,-Varrick-9485/" TargetMode="External"/><Relationship Id="rId2926" Type="http://schemas.openxmlformats.org/officeDocument/2006/relationships/hyperlink" Target="https://www.law.cornell.edu/rio/citation/81_FR_53003" TargetMode="External"/><Relationship Id="rId1735" Type="http://schemas.openxmlformats.org/officeDocument/2006/relationships/hyperlink" Target="https://casetext.com/case/kocsis-v-multi-care-management-inc" TargetMode="External"/><Relationship Id="rId1942" Type="http://schemas.openxmlformats.org/officeDocument/2006/relationships/hyperlink" Target="https://www.audacy.com/krld/news/local/former-dfr-firefighter-sent-to-prison-for-dwi-accident" TargetMode="External"/><Relationship Id="rId27" Type="http://schemas.openxmlformats.org/officeDocument/2006/relationships/hyperlink" Target="https://www4.courts.ca.gov/opinions/documents/E087834.PDF" TargetMode="External"/><Relationship Id="rId1802" Type="http://schemas.openxmlformats.org/officeDocument/2006/relationships/hyperlink" Target="http://www.flsa-optin.com/index.cfm?zone=/unionactive/form_page.cfm&amp;formID=108277" TargetMode="External"/><Relationship Id="rId176" Type="http://schemas.openxmlformats.org/officeDocument/2006/relationships/hyperlink" Target="https://public.fastcase.com/ZZhmr5v9wN%2FXOe5IsQ%2FqD3QWuMgnFl%2B3o%2F4uUFiu6RUK1p7KFM%2BXOmaedKhzNCbabAKegQ7cA7QRQh6Aya7idRlRF78qeqCUoqW17wj1IUw%3D?utm_medium=email&amp;_hsmi=226712652&amp;_hsenc=p2ANqtz-87CRXhJMi7biUmbeSml1AgtAY_NVYdYjA00lD_OXsZo9fEN5Imr0EyPY0zfsM2_JyagzI4vAzpnYyJYIEoZ9qDDKxGPw&amp;utm_content=226712652&amp;utm_source=hs_email" TargetMode="External"/><Relationship Id="rId383" Type="http://schemas.openxmlformats.org/officeDocument/2006/relationships/hyperlink" Target="https://jpr.azcourts.gov/Portals/1/OpinionFiles/Div1/2026/1%20CA-IC%2025-0025%20ADVENTURE%20v.%20KEFFER%20FINAL.pdf?ver=hx0rmccmFEWVVBJi2He9pA%3D%3D" TargetMode="External"/><Relationship Id="rId590" Type="http://schemas.openxmlformats.org/officeDocument/2006/relationships/hyperlink" Target="https://www.bwc.ohio.gov/downloads/blankpdf/C-265.pdf" TargetMode="External"/><Relationship Id="rId2064" Type="http://schemas.openxmlformats.org/officeDocument/2006/relationships/hyperlink" Target="https://www.mass.gov/doc/commonwealth-v-verrier-ac-g24p446/download" TargetMode="External"/><Relationship Id="rId2271" Type="http://schemas.openxmlformats.org/officeDocument/2006/relationships/hyperlink" Target="https://www.supremecourt.gov/opinions/21pdf/21a145_gfbi.pdf" TargetMode="External"/><Relationship Id="rId243" Type="http://schemas.openxmlformats.org/officeDocument/2006/relationships/hyperlink" Target="https://www.mainelegislature.org/legis/statutes/17/title17sec2851.html" TargetMode="External"/><Relationship Id="rId450" Type="http://schemas.openxmlformats.org/officeDocument/2006/relationships/hyperlink" Target="https://www.youtube.com/watch?v=Y-qURehCp-0" TargetMode="External"/><Relationship Id="rId688" Type="http://schemas.openxmlformats.org/officeDocument/2006/relationships/hyperlink" Target="https://ilcourtsaudio.blob.core.windows.net/antilles-resources/resources/aa9ece1f-338b-4d77-9d21-fd7bfa316d8e/A.A.%20%20v.%20Board%20of%20Education%20of%20Summit%20School%20District%20No.%20104,%202024%20IL%20App%20(1st)%20232451.pdf" TargetMode="External"/><Relationship Id="rId895" Type="http://schemas.openxmlformats.org/officeDocument/2006/relationships/hyperlink" Target="https://firstamendmentwatch.org/10th-circuit-court-of-appeals-upholds-public-right-to-record-police/" TargetMode="External"/><Relationship Id="rId1080" Type="http://schemas.openxmlformats.org/officeDocument/2006/relationships/hyperlink" Target="https://cases.justia.com/arizona/court-of-appeals-division-two-unpublished/2025-2-ca-ic-2024-0003.pdf?ts=1738026580" TargetMode="External"/><Relationship Id="rId2131" Type="http://schemas.openxmlformats.org/officeDocument/2006/relationships/hyperlink" Target="http://www.opn.ca6.uscourts.gov/opinions.pdf/08a0140p-06.pdf" TargetMode="External"/><Relationship Id="rId2369" Type="http://schemas.openxmlformats.org/officeDocument/2006/relationships/hyperlink" Target="http://www.ca5.uscourts.gov/opinions/pub/19/19-10280-CV0.pdf" TargetMode="External"/><Relationship Id="rId2576" Type="http://schemas.openxmlformats.org/officeDocument/2006/relationships/hyperlink" Target="https://www.wtsp.com/article/news/local/ex-fire-chief-convicted-in-child-sex-abuse-trial/67-376283027" TargetMode="External"/><Relationship Id="rId2783" Type="http://schemas.openxmlformats.org/officeDocument/2006/relationships/hyperlink" Target="https://www.cleveland.com/cityhall/2009/06/ohio_supreme_court_deals_a_leg.html" TargetMode="External"/><Relationship Id="rId103" Type="http://schemas.openxmlformats.org/officeDocument/2006/relationships/hyperlink" Target="https://casetext.com/statute/united-states-code/title-18-crimes-and-criminal-procedure/part-i-crimes/chapter-40-importation-manufacture-distribution-and-storage-of-explosive-materials/section-844-penalties" TargetMode="External"/><Relationship Id="rId310" Type="http://schemas.openxmlformats.org/officeDocument/2006/relationships/hyperlink" Target="http://www.firelawblog.com/wp-content/uploads/sites/19/2011/02/becker_final_ruling1.pdf" TargetMode="External"/><Relationship Id="rId548" Type="http://schemas.openxmlformats.org/officeDocument/2006/relationships/hyperlink" Target="https://www.14news.com/2021/08/12/supreme-court-wont-stop-indiana-universitys-covid-vaccination-requirement/" TargetMode="External"/><Relationship Id="rId755" Type="http://schemas.openxmlformats.org/officeDocument/2006/relationships/hyperlink" Target="https://www.law.cornell.edu/definitions/uscode.php?width=840&amp;height=800&amp;iframe=true&amp;def_id=18-USC-64633832-909420282&amp;term_occur=999&amp;term_src=title:18:part:I:chapter:13:section:249" TargetMode="External"/><Relationship Id="rId962" Type="http://schemas.openxmlformats.org/officeDocument/2006/relationships/hyperlink" Target="https://www.youtube.com/watch?v=4rwA-whTxmQ" TargetMode="External"/><Relationship Id="rId1178" Type="http://schemas.openxmlformats.org/officeDocument/2006/relationships/hyperlink" Target="https://apps.leg.wa.gov/rcw/default.aspx?cite=51.32.185" TargetMode="External"/><Relationship Id="rId1385" Type="http://schemas.openxmlformats.org/officeDocument/2006/relationships/hyperlink" Target="https://public.fastcase.com/ZZhmr5v9wN%2FXOe5IsQ%2FqD6jMQR25voU2zetCo1HgS1zBk8tCI%2FmKZ0pb%2BYQBY4PYbj2YxbwIVSZ2pGprXwG4UQ35c6nwrJlu7u4tvaka%2BGk%3D?utm_medium=email&amp;_hsmi=226712652&amp;_hsenc=p2ANqtz-8k0z7Ow52c-ClX2b2IdaHNx0isoBG6vg98c6p6ibbt9CVV8mr3zs9YYXJjoYif24S7rYOdhr1XcCDTZ_K6Y2uCJJR3PQ&amp;utm_content=226712652&amp;utm_source=hs_email" TargetMode="External"/><Relationship Id="rId1592" Type="http://schemas.openxmlformats.org/officeDocument/2006/relationships/hyperlink" Target="https://public.fastcase.com/9SKwsfNqTc6OieYDhNMyM6Hs9QyuQxgDWvshWHam%2BmmecJULtiEuwgF0cJ0eF8SA" TargetMode="External"/><Relationship Id="rId2229" Type="http://schemas.openxmlformats.org/officeDocument/2006/relationships/hyperlink" Target="https://public.fastcase.com/J%2FJP6pdidelsXxEE4k%2BLMs47M8bX1jWCTU1t0SYWR19Iu9IUPatjWgRJl3RKX2DrLTQazC1ae%2FBWEsyi8L93eaS1AKPtR90SvCK0pYsfZI4%3D" TargetMode="External"/><Relationship Id="rId2436" Type="http://schemas.openxmlformats.org/officeDocument/2006/relationships/hyperlink" Target="https://www.customsmobile.com/regulations/expand/title29_chapterXVII_part1904_subpartC_section1904.5" TargetMode="External"/><Relationship Id="rId2643" Type="http://schemas.openxmlformats.org/officeDocument/2006/relationships/hyperlink" Target="https://cases.justia.com/north-carolina/court-of-appeals/2023-22-259.pdf?ts=1694553709" TargetMode="External"/><Relationship Id="rId2850" Type="http://schemas.openxmlformats.org/officeDocument/2006/relationships/hyperlink" Target="http://media.ca1.uscourts.gov/pdf.opinions/22-1320U-01A.pdf" TargetMode="External"/><Relationship Id="rId91" Type="http://schemas.openxmlformats.org/officeDocument/2006/relationships/hyperlink" Target="https://supreme.justia.com/cases/federal/us/360/264/" TargetMode="External"/><Relationship Id="rId408" Type="http://schemas.openxmlformats.org/officeDocument/2006/relationships/hyperlink" Target="https://cases.justia.com/federal/district-courts/montana/mtdce/2:2025cv00036/80451/160/0.pdf?ts=1768305911" TargetMode="External"/><Relationship Id="rId615" Type="http://schemas.openxmlformats.org/officeDocument/2006/relationships/hyperlink" Target="http://www.ca4.uscourts.gov/Opinions/171419.U.pdf" TargetMode="External"/><Relationship Id="rId822" Type="http://schemas.openxmlformats.org/officeDocument/2006/relationships/hyperlink" Target="https://www.law.com/newyorklawjournal/2020/02/26/trump-administration-may-withhold-federal-grants-over-sanctuary-policies-2nd-circuit-rules/" TargetMode="External"/><Relationship Id="rId1038" Type="http://schemas.openxmlformats.org/officeDocument/2006/relationships/hyperlink" Target="https://www.courtswv.gov/sites/default/pubfilesmnt/2026-02/25-ICA-338_MD.pdf" TargetMode="External"/><Relationship Id="rId1245" Type="http://schemas.openxmlformats.org/officeDocument/2006/relationships/hyperlink" Target="https://casetext.com/case/hayman-v-city-of-wilmington" TargetMode="External"/><Relationship Id="rId1452" Type="http://schemas.openxmlformats.org/officeDocument/2006/relationships/hyperlink" Target="https://www.leagle.com/cite/599%20F.2d%20707" TargetMode="External"/><Relationship Id="rId1897" Type="http://schemas.openxmlformats.org/officeDocument/2006/relationships/hyperlink" Target="https://www.dol.gov/whd/opinion/FLSA/2018/2018_11_08_24_FLSA.pdf" TargetMode="External"/><Relationship Id="rId2503" Type="http://schemas.openxmlformats.org/officeDocument/2006/relationships/hyperlink" Target="https://public.fastcase.com/9SKwsfNqTc6OieYDhNMyM%2BsbSTu241pOZ38l1fL3GtOxRE1iLhH6RZm0FIyTdVeF1XRK6Ebg7B5equTDg4ZQiMxFMDQEZko4UYsaxrmOuYk%3D" TargetMode="External"/><Relationship Id="rId2948" Type="http://schemas.openxmlformats.org/officeDocument/2006/relationships/hyperlink" Target="https://www.kktv.com/2022/03/03/biden-sign-bill-ending-forced-arbitration-sexual-harassment-assault-cases/" TargetMode="External"/><Relationship Id="rId1105" Type="http://schemas.openxmlformats.org/officeDocument/2006/relationships/hyperlink" Target="https://media.ca11.uscourts.gov/opinions/pub/files/202213626.pdf" TargetMode="External"/><Relationship Id="rId1312" Type="http://schemas.openxmlformats.org/officeDocument/2006/relationships/hyperlink" Target="https://www.legislature.ohio.gov/legislation/legislation-summary?id=GA132-SB-220" TargetMode="External"/><Relationship Id="rId1757" Type="http://schemas.openxmlformats.org/officeDocument/2006/relationships/hyperlink" Target="https://www.courts.wa.gov/opinions/pdf/1031211.pdf" TargetMode="External"/><Relationship Id="rId1964" Type="http://schemas.openxmlformats.org/officeDocument/2006/relationships/hyperlink" Target="https://law.justia.com/cases/louisiana/fourth-circuit-court-of-appeal/2021/2021-ca-0454.html" TargetMode="External"/><Relationship Id="rId2710" Type="http://schemas.openxmlformats.org/officeDocument/2006/relationships/hyperlink" Target="https://codes.ohio.gov/ohio-revised-code/section-2903.31" TargetMode="External"/><Relationship Id="rId2808" Type="http://schemas.openxmlformats.org/officeDocument/2006/relationships/hyperlink" Target="https://www4.courts.ca.gov/opinions/nonpub/B347429.PDF" TargetMode="External"/><Relationship Id="rId49" Type="http://schemas.openxmlformats.org/officeDocument/2006/relationships/hyperlink" Target="https://codes.ohio.gov/ohio-revised-code/section-9.481" TargetMode="External"/><Relationship Id="rId1617" Type="http://schemas.openxmlformats.org/officeDocument/2006/relationships/hyperlink" Target="https://public.fastcase.com/Wl%2B2t%2BeVuI35%2FN70vAMFZtTeqjzzEnlP0E9gnOJzg5Beu%2B8e3Ta9mPaMkCNr0Gg4" TargetMode="External"/><Relationship Id="rId1824" Type="http://schemas.openxmlformats.org/officeDocument/2006/relationships/hyperlink" Target="https://public.fastcase.com/J%2FJP6pdidelsXxEE4k%2BLMlJvV4SJAfGPsaCb1kEJI4NiHVvOih0KoHLgsQ3SFDCtHhkE7RYPh6rKF3vfpYjTBRyXwDRXesvaMheieGfjP1w%3D?utm_medium=email&amp;_hsmi=226712652&amp;_hsenc=p2ANqtz--UObyDUMiaZSwq-4NoEzNR5o4eO8V_D5uKHJYL4ZZ256ZhZPYzbGLx-gR6MhxNsQvJKJXWqSitgcrGqHUpT5pkRHztzQ&amp;utm_content=226712652&amp;utm_source=hs_emai" TargetMode="External"/><Relationship Id="rId198" Type="http://schemas.openxmlformats.org/officeDocument/2006/relationships/hyperlink" Target="https://codes.ohio.gov/ohio-revised-code/section-2925.11" TargetMode="External"/><Relationship Id="rId2086" Type="http://schemas.openxmlformats.org/officeDocument/2006/relationships/hyperlink" Target="https://storage.courtlistener.com/recap/gov.uscourts.cod.231472/gov.uscourts.cod.231472.63.0.pdf" TargetMode="External"/><Relationship Id="rId2293" Type="http://schemas.openxmlformats.org/officeDocument/2006/relationships/hyperlink" Target="https://public.fastcase.com/9SKwsfNqTc6OieYDhNMyM83%2FYLJrcCtVmui0iqpJLDORGkxVmnXPTmwbGH4uC0ci" TargetMode="External"/><Relationship Id="rId2598" Type="http://schemas.openxmlformats.org/officeDocument/2006/relationships/hyperlink" Target="https://www.njcourts.gov/system/files/court-opinions/2025/a1587-23.pdf" TargetMode="External"/><Relationship Id="rId265" Type="http://schemas.openxmlformats.org/officeDocument/2006/relationships/hyperlink" Target="https://media.ca11.uscourts.gov/opinions/pub/files/201814682.pdf" TargetMode="External"/><Relationship Id="rId472" Type="http://schemas.openxmlformats.org/officeDocument/2006/relationships/hyperlink" Target="https://cases.justia.com/indiana/court-of-appeals/2023-23a-ct-00945.pdf?ts=1698084643" TargetMode="External"/><Relationship Id="rId2153" Type="http://schemas.openxmlformats.org/officeDocument/2006/relationships/hyperlink" Target="https://public.fastcase.com/H1P9uiW3J20SFp%2BGCG%2BxLaemfayQbOUv%2BEh6FB5s8DQhIQ87YMziPJITlyqe%2FhSH?utm_medium=email&amp;_hsmi=226712652&amp;_hsenc=p2ANqtz-8exNZIeYxIQOzMK262tD3IHaMXGJDKKAxfpMPtjNaE7kcerp9c9vm-ypoKl8zd2ZG1HbM5kXW5cAGwdVsTDfl2ZJRdHw&amp;utm_content=226712652&amp;utm_source=hs_email" TargetMode="External"/><Relationship Id="rId2360" Type="http://schemas.openxmlformats.org/officeDocument/2006/relationships/hyperlink" Target="https://iapps.courts.state.ny.us/search/wicket/page?2-IResourceListener-pnlResultContainer-pnlResult-2-lnkDocument" TargetMode="External"/><Relationship Id="rId125" Type="http://schemas.openxmlformats.org/officeDocument/2006/relationships/hyperlink" Target="https://casetext.com/case/lear-v-commonwealth-95" TargetMode="External"/><Relationship Id="rId332" Type="http://schemas.openxmlformats.org/officeDocument/2006/relationships/hyperlink" Target="https://www.courts.wa.gov/opinions/pdf/953961.pdf" TargetMode="External"/><Relationship Id="rId777" Type="http://schemas.openxmlformats.org/officeDocument/2006/relationships/hyperlink" Target="https://www.law.cornell.edu/definitions/uscode.php?width=840&amp;height=800&amp;iframe=true&amp;def_id=8-USC-133271130-1485256779&amp;term_occur=999&amp;term_src=" TargetMode="External"/><Relationship Id="rId984" Type="http://schemas.openxmlformats.org/officeDocument/2006/relationships/hyperlink" Target="https://public.courts.in.gov/Decisions/api/Document/Opinion?Id=rJRDncpWPHQbq7P5uv2HFHli7-yY9NDpUsGFV_2xhbEFoKT6dBGW8VG2YJisX0M_0" TargetMode="External"/><Relationship Id="rId2013" Type="http://schemas.openxmlformats.org/officeDocument/2006/relationships/hyperlink" Target="https://www.legalnewsline.com/cook-county-record/chicago-firefighter-says-city-forced-him-to-refuse-all-other-meds-before-granting-covid-vax/article_68ad87a4-9b1a-50d4-8779-f38508fd4aad.html" TargetMode="External"/><Relationship Id="rId2220" Type="http://schemas.openxmlformats.org/officeDocument/2006/relationships/hyperlink" Target="https://www.law.cornell.edu/definitions/uscode.php?width=840&amp;height=800&amp;iframe=true&amp;def_id=42-USC-543811625-140307164&amp;term_occur=999&amp;term_src=" TargetMode="External"/><Relationship Id="rId2458" Type="http://schemas.openxmlformats.org/officeDocument/2006/relationships/hyperlink" Target="https://storage.courtlistener.com/recap/gov.uscourts.cod.231472/gov.uscourts.cod.231472.63.0.pdf" TargetMode="External"/><Relationship Id="rId2665" Type="http://schemas.openxmlformats.org/officeDocument/2006/relationships/hyperlink" Target="https://law.justia.com/cases/federal/appellate-courts/ca6/21-3832/21-3832-2023-01-25.html" TargetMode="External"/><Relationship Id="rId2872" Type="http://schemas.openxmlformats.org/officeDocument/2006/relationships/hyperlink" Target="https://public.fastcase.com/J%2FJP6pdidelsXxEE4k%2BLMgRuGoPztfGYl4rgyWIW4hR9R3ye4G%2Brlx4oNbvfkD7bo5Sl3SUFyCNYsXscEScOvl5B7KBk99Bt%2FA1OCEhfyl0%3D" TargetMode="External"/><Relationship Id="rId637" Type="http://schemas.openxmlformats.org/officeDocument/2006/relationships/hyperlink" Target="https://www.firehero.org/fallen-firefighter/albert-a-filosa/" TargetMode="External"/><Relationship Id="rId844" Type="http://schemas.openxmlformats.org/officeDocument/2006/relationships/hyperlink" Target="https://supreme.justia.com/cases/federal/us/584/17-2/" TargetMode="External"/><Relationship Id="rId1267" Type="http://schemas.openxmlformats.org/officeDocument/2006/relationships/hyperlink" Target="https://supreme.justia.com/cases/federal/us/436/658/" TargetMode="External"/><Relationship Id="rId1474" Type="http://schemas.openxmlformats.org/officeDocument/2006/relationships/hyperlink" Target="https://www.law.com/nationallawjournal/2019/02/22/11th-circuit-pregnancy-bias-case-tests-2015-supreme-court-ruling/" TargetMode="External"/><Relationship Id="rId1681" Type="http://schemas.openxmlformats.org/officeDocument/2006/relationships/hyperlink" Target="https://www.eeoc.gov/laws/guidance/enforcement-guidance-disability-related-inquiries-and-medical-examinations-employees" TargetMode="External"/><Relationship Id="rId2318" Type="http://schemas.openxmlformats.org/officeDocument/2006/relationships/hyperlink" Target="https://www.cdc.gov/niosh/fire/reports/face200709.html" TargetMode="External"/><Relationship Id="rId2525" Type="http://schemas.openxmlformats.org/officeDocument/2006/relationships/hyperlink" Target="https://www.wwlp.com/news/massachusetts/critical-incident-intervention-for-first-responders-bill-signed-into-law/1706453191" TargetMode="External"/><Relationship Id="rId2732" Type="http://schemas.openxmlformats.org/officeDocument/2006/relationships/hyperlink" Target="https://www.lasc.org/Opinions/2020/20-0491.CC.OPN.pdf" TargetMode="External"/><Relationship Id="rId704" Type="http://schemas.openxmlformats.org/officeDocument/2006/relationships/hyperlink" Target="https://caselaw.findlaw.com/court/us-dis-crt-n-d-cal/115575640.html" TargetMode="External"/><Relationship Id="rId911" Type="http://schemas.openxmlformats.org/officeDocument/2006/relationships/hyperlink" Target="https://casetext.com/case/county-of-sacramento-v-lewis" TargetMode="External"/><Relationship Id="rId1127" Type="http://schemas.openxmlformats.org/officeDocument/2006/relationships/hyperlink" Target="https://rilawyersweekly.com/blog/2023/07/05/retired-providence-firefighters-not-barred-from-cancer-benefits/" TargetMode="External"/><Relationship Id="rId1334" Type="http://schemas.openxmlformats.org/officeDocument/2006/relationships/hyperlink" Target="https://www.mass.gov/doc/robinson-v-marshfield-sjc-f13825/download" TargetMode="External"/><Relationship Id="rId1541" Type="http://schemas.openxmlformats.org/officeDocument/2006/relationships/hyperlink" Target="https://public.fastcase.com/H1P9uiW3J20SFp%2BGCG%2BxLZkQf01yoKKyjTHIQ3i58nX%2B%2FAIlJ7l43hvEF8qKhahXQJQ44fkPKDzD6joZ4LsI7iTOFXPdH5%2Fv%2FKD427ldKjE%3D?utm_medium=email&amp;_hsmi=226712652&amp;_hsenc=p2ANqtz-_U89LkNl4P4fsnOucPHRbeGtR2XeKR1phEbD7-UuIt_KCX3oxL0CAr1yX56v7BapUY4ITdG8_rGIJJyhgPBOVmvvkgdg&amp;utm_content=226712652&amp;utm_source=hs_email" TargetMode="External"/><Relationship Id="rId1779" Type="http://schemas.openxmlformats.org/officeDocument/2006/relationships/hyperlink" Target="https://www.supremecourt.gov/opinions/24pdf/23-217_9o6b.pdf" TargetMode="External"/><Relationship Id="rId1986" Type="http://schemas.openxmlformats.org/officeDocument/2006/relationships/hyperlink" Target="https://www.networkforphl.org/news-insights/overdose-good-samaritan-laws-should-protect-not-punish/" TargetMode="External"/><Relationship Id="rId40" Type="http://schemas.openxmlformats.org/officeDocument/2006/relationships/hyperlink" Target="https://public.fastcase.com/" TargetMode="External"/><Relationship Id="rId1401" Type="http://schemas.openxmlformats.org/officeDocument/2006/relationships/hyperlink" Target="https://www2.ca3.uscourts.gov/opinarch/213272np.pdf" TargetMode="External"/><Relationship Id="rId1639" Type="http://schemas.openxmlformats.org/officeDocument/2006/relationships/hyperlink" Target="https://ecf.flmd.uscourts.gov/cgi-bin/show_public_doc?2025-02787-49-8-cv" TargetMode="External"/><Relationship Id="rId1846" Type="http://schemas.openxmlformats.org/officeDocument/2006/relationships/hyperlink" Target="https://www.dol.gov/agencies/whd/fact-sheets/56a-regular-rate" TargetMode="External"/><Relationship Id="rId1706" Type="http://schemas.openxmlformats.org/officeDocument/2006/relationships/hyperlink" Target="https://www.law.georgetown.edu/icap/wp-content/uploads/sites/32/2020/07/Bey-2d-Cir.-Opening-Brief-FINAL-7-7-2020.pdf" TargetMode="External"/><Relationship Id="rId1913" Type="http://schemas.openxmlformats.org/officeDocument/2006/relationships/hyperlink" Target="https://www.federalregister.gov/documents/2025/12/23/2025-23846/increasing-medical-marijuana-and-cannabidiol-research" TargetMode="External"/><Relationship Id="rId287" Type="http://schemas.openxmlformats.org/officeDocument/2006/relationships/hyperlink" Target="https://www.ca4.uscourts.gov/opinions/191632.P.pdf" TargetMode="External"/><Relationship Id="rId494" Type="http://schemas.openxmlformats.org/officeDocument/2006/relationships/hyperlink" Target="https://casetext.com/statute/consolidated-laws-of-new-york/chapter-civil-practice-law-and-rules/article-32-accelerated-judgment/section-r3211-motion-to-dismiss" TargetMode="External"/><Relationship Id="rId2175" Type="http://schemas.openxmlformats.org/officeDocument/2006/relationships/hyperlink" Target="https://casetext.com/case/baker-v-city-of-woodbury" TargetMode="External"/><Relationship Id="rId2382" Type="http://schemas.openxmlformats.org/officeDocument/2006/relationships/hyperlink" Target="https://www.leagle.com/decision/infdco20190624a02" TargetMode="External"/><Relationship Id="rId147" Type="http://schemas.openxmlformats.org/officeDocument/2006/relationships/hyperlink" Target="https://natlawreview.com/article/michigan-supreme-court-case-has-potential-guide-drone-and-air-rights-law-nation" TargetMode="External"/><Relationship Id="rId354" Type="http://schemas.openxmlformats.org/officeDocument/2006/relationships/hyperlink" Target="https://d279m997dpfwgl.cloudfront.net/wp/2019/02/EPSON520.pdf" TargetMode="External"/><Relationship Id="rId799" Type="http://schemas.openxmlformats.org/officeDocument/2006/relationships/hyperlink" Target="https://www.justice.gov/opa/pr/two-suburban-chicago-men-convicted-conspiring-provide-material-support-isis" TargetMode="External"/><Relationship Id="rId1191" Type="http://schemas.openxmlformats.org/officeDocument/2006/relationships/hyperlink" Target="https://www.youtube.com/watch?v=-Y6r01Pmcaw" TargetMode="External"/><Relationship Id="rId2035" Type="http://schemas.openxmlformats.org/officeDocument/2006/relationships/hyperlink" Target="https://www.revisor.mn.gov/statutes/cite/595.02" TargetMode="External"/><Relationship Id="rId2687" Type="http://schemas.openxmlformats.org/officeDocument/2006/relationships/hyperlink" Target="https://iprospectcheck.com/the-adverse-action-process-and-how-it-applies-to-employment-background-checks/" TargetMode="External"/><Relationship Id="rId2894" Type="http://schemas.openxmlformats.org/officeDocument/2006/relationships/hyperlink" Target="file:///C:/Users/lawre/AppData/Local/Temp/%7BC42BFBAC-7840-4BDD-BFF7-18D383BA9C81%7D/19%20CH%2012662%20City%20of%20Chicago%20v.%20Chicago%20Fire%20Fighters%20Union%20Final%20Order%20(12.2.20).pdf" TargetMode="External"/><Relationship Id="rId561" Type="http://schemas.openxmlformats.org/officeDocument/2006/relationships/hyperlink" Target="http://www.legislature.mi.gov/(S(dodu2xg2ouu1vonwqhxqy4i2))/mileg.aspx?page=getObject&amp;objectName=mcl-750-411h" TargetMode="External"/><Relationship Id="rId659" Type="http://schemas.openxmlformats.org/officeDocument/2006/relationships/hyperlink" Target="https://www.portland.gov/federal/documents/10-4-2025-state-city-v-trump-temporary-restraining-order-granted/download" TargetMode="External"/><Relationship Id="rId866" Type="http://schemas.openxmlformats.org/officeDocument/2006/relationships/hyperlink" Target="https://www.supremecourt.gov/opinions/24pdf/23-1363_d1o3.pdf" TargetMode="External"/><Relationship Id="rId1289" Type="http://schemas.openxmlformats.org/officeDocument/2006/relationships/hyperlink" Target="https://courts.illinois.gov/R23_Orders/WorkersComp/2020/1190373WC_R23.pdf" TargetMode="External"/><Relationship Id="rId1496" Type="http://schemas.openxmlformats.org/officeDocument/2006/relationships/hyperlink" Target="https://cases.justia.com/federal/district-courts/ohio/ohndce/5:2025cv00885/316724/27/0.pdf?ts=1767103886" TargetMode="External"/><Relationship Id="rId2242" Type="http://schemas.openxmlformats.org/officeDocument/2006/relationships/hyperlink" Target="https://public.fastcase.com/waZtJvSA54UAurM2rmIZz2loI3SMK51lisNXjYZKph2xHHDuTcicSNaYOQdhESxu4yBG2%2FvlbYv%2BMp6LYbH6Xh9C0n%2BJCkyXjjUwyrGDKNg%3D" TargetMode="External"/><Relationship Id="rId2547" Type="http://schemas.openxmlformats.org/officeDocument/2006/relationships/hyperlink" Target="https://www.gao.gov/products/gao-24-107322" TargetMode="External"/><Relationship Id="rId214" Type="http://schemas.openxmlformats.org/officeDocument/2006/relationships/hyperlink" Target="https://caselaw.findlaw.com/mi-court-of-appeals/1912425.html" TargetMode="External"/><Relationship Id="rId421" Type="http://schemas.openxmlformats.org/officeDocument/2006/relationships/hyperlink" Target="https://www.supremecourt.ohio.gov/rod/docs/pdf/12/2025/2025-Ohio-4780.pdf" TargetMode="External"/><Relationship Id="rId519" Type="http://schemas.openxmlformats.org/officeDocument/2006/relationships/hyperlink" Target="https://www.merckmanuals.com/professional/dermatologic-disorders/hair-disorders/pseudofolliculitis-barbae" TargetMode="External"/><Relationship Id="rId1051" Type="http://schemas.openxmlformats.org/officeDocument/2006/relationships/hyperlink" Target="https://ecf.rid.uscourts.gov/cgi-bin/show_public_doc?2025cv0270-20" TargetMode="External"/><Relationship Id="rId1149" Type="http://schemas.openxmlformats.org/officeDocument/2006/relationships/hyperlink" Target="https://ilcourtsaudio.blob.core.windows.net/antilles-resources/resources/afeb172a-b7f7-45e5-889d-a00b38f164df/City%20of%20East%20Peoria%20v.%20Melton,%202022%20IL%20App%20(4th)%20220281-U.pdf" TargetMode="External"/><Relationship Id="rId1356" Type="http://schemas.openxmlformats.org/officeDocument/2006/relationships/hyperlink" Target="https://www.yahoo.com/news/tell-truth-now-girl-addresses-164857744.html" TargetMode="External"/><Relationship Id="rId2102" Type="http://schemas.openxmlformats.org/officeDocument/2006/relationships/hyperlink" Target="https://www.njcourts.gov/system/files/court-opinions/2024/a2968-22.pdf" TargetMode="External"/><Relationship Id="rId2754" Type="http://schemas.openxmlformats.org/officeDocument/2006/relationships/hyperlink" Target="https://www.courts.ca.gov/opinions/nonpub/D074721.PDF" TargetMode="External"/><Relationship Id="rId2961" Type="http://schemas.openxmlformats.org/officeDocument/2006/relationships/hyperlink" Target="https://cases.justia.com/texas/supreme-court/2020-18-0216-1.pdf?ts=1593180294" TargetMode="External"/><Relationship Id="rId726" Type="http://schemas.openxmlformats.org/officeDocument/2006/relationships/hyperlink" Target="https://www.nyc.gov/assets/home/downloads/pdf/press-releases/2023/Antonyuk_Amicus_Brief.pdf" TargetMode="External"/><Relationship Id="rId933" Type="http://schemas.openxmlformats.org/officeDocument/2006/relationships/hyperlink" Target="https://public.fastcase.com/Wl%2B2t%2BeVuI35%2FN70vAMFZn8FExk2ons8UFiGzSPZ6Ig%2B2pF54RtCKp9IHiewQM23" TargetMode="External"/><Relationship Id="rId1009" Type="http://schemas.openxmlformats.org/officeDocument/2006/relationships/hyperlink" Target="https://acis.alabama.gov/displaydocs.cfm?no=1022968&amp;event=5S20LIXMT" TargetMode="External"/><Relationship Id="rId1563" Type="http://schemas.openxmlformats.org/officeDocument/2006/relationships/hyperlink" Target="https://www.fiercehealthcare.com/providers/hennepin-health-accused-deeply-rooted-racism-following-blackface-excited-delirium" TargetMode="External"/><Relationship Id="rId1770" Type="http://schemas.openxmlformats.org/officeDocument/2006/relationships/hyperlink" Target="https://www.dol.gov/agencies/whd/fact-sheets/56c-bonuses" TargetMode="External"/><Relationship Id="rId1868" Type="http://schemas.openxmlformats.org/officeDocument/2006/relationships/hyperlink" Target="https://www.chestertonin.org/145/Fire-Department" TargetMode="External"/><Relationship Id="rId2407" Type="http://schemas.openxmlformats.org/officeDocument/2006/relationships/hyperlink" Target="http://www.opn.ca6.uscourts.gov/opinions.pdf/18a0499n-06.pdf" TargetMode="External"/><Relationship Id="rId2614" Type="http://schemas.openxmlformats.org/officeDocument/2006/relationships/hyperlink" Target="https://www.opn.ca6.uscourts.gov/opinions.pdf/24a0201p-06.pdf" TargetMode="External"/><Relationship Id="rId2821" Type="http://schemas.openxmlformats.org/officeDocument/2006/relationships/hyperlink" Target="https://public.fastcase.com/jaEE2PXzRXmZ99jOLMt1Ir%2Bgd4DeQSRcdUE7IJV4ZHQFjK4R6%2FaVKxoGJags6yJ8?utm_medium=email&amp;_hsenc=p2ANqtz-9_dtoT8MCHWol7MkpFQEKniJ3EcCAHTOONesHADifFFZppYBhmnp0t7X96SaR0z0JseLLFRZzCLhs4WSwU0MvvvFbR6g&amp;_hsmi=226712652&amp;utm_content=226712652&amp;utm_source=hs_email" TargetMode="External"/><Relationship Id="rId62" Type="http://schemas.openxmlformats.org/officeDocument/2006/relationships/hyperlink" Target="https://legal.iml.org/file.cfm?key=29946" TargetMode="External"/><Relationship Id="rId1216" Type="http://schemas.openxmlformats.org/officeDocument/2006/relationships/hyperlink" Target="https://www.supremecourt.ohio.gov/rod/docs/pdf/0/2020/2020-Ohio-1047.pdf" TargetMode="External"/><Relationship Id="rId1423" Type="http://schemas.openxmlformats.org/officeDocument/2006/relationships/hyperlink" Target="https://public.fastcase.com/9SKwsfNqTc6OieYDhNMyM7EtuTmvkEcI7U0T89k%2BFJTh0eKfnpK7LfgjErs00V3IPt4y6nTMDAAfexS5sEGnBSDT8xghzv1Bl3HZnDYTQZc%3D" TargetMode="External"/><Relationship Id="rId1630" Type="http://schemas.openxmlformats.org/officeDocument/2006/relationships/hyperlink" Target="http://www.nydailynews.com/new-york/city-pay-98-million-fdny-discrimination-case-article-1.1725702" TargetMode="External"/><Relationship Id="rId2919" Type="http://schemas.openxmlformats.org/officeDocument/2006/relationships/hyperlink" Target="https://www.hud.gov/program_offices/housing/sfh/reo/abtrevt" TargetMode="External"/><Relationship Id="rId1728" Type="http://schemas.openxmlformats.org/officeDocument/2006/relationships/hyperlink" Target="https://www.leagle.com/decision/infdco20190708957" TargetMode="External"/><Relationship Id="rId1935" Type="http://schemas.openxmlformats.org/officeDocument/2006/relationships/hyperlink" Target="https://caselaw.findlaw.com/court/in-court-of-appeals/116468399.html" TargetMode="External"/><Relationship Id="rId2197" Type="http://schemas.openxmlformats.org/officeDocument/2006/relationships/hyperlink" Target="https://law.justia.com/cases/kentucky/supreme-court/2023/2021-sc-0479-mr.html" TargetMode="External"/><Relationship Id="rId169" Type="http://schemas.openxmlformats.org/officeDocument/2006/relationships/hyperlink" Target="https://cases.justia.com/tennessee/court-of-criminal-appeals/2023-m2022-00949-cca-r3-cd.pdf?ts=1695676978" TargetMode="External"/><Relationship Id="rId376" Type="http://schemas.openxmlformats.org/officeDocument/2006/relationships/hyperlink" Target="https://cases.justia.com/ohio/eighth-district-court-of-appeals/2018-105661.pdf?ts=1528147387" TargetMode="External"/><Relationship Id="rId583" Type="http://schemas.openxmlformats.org/officeDocument/2006/relationships/hyperlink" Target="https://www.aclu.org/sites/default/files/field_document/mckesson_v_doe_cert_petn_and_appendix.pdf" TargetMode="External"/><Relationship Id="rId790" Type="http://schemas.openxmlformats.org/officeDocument/2006/relationships/hyperlink" Target="https://www.law.cornell.edu/definitions/uscode.php?width=840&amp;height=800&amp;iframe=true&amp;def_id=8-USC-2124716147-1201680062&amp;term_occur=999&amp;term_src=title:8:chapter:12:subchapter:II:part:IV:section:1229b" TargetMode="External"/><Relationship Id="rId2057" Type="http://schemas.openxmlformats.org/officeDocument/2006/relationships/hyperlink" Target="https://www.pacourts.us/assets/opinions/Superior/out/J-A19045-25m%20-%20106549181332513446.pdf?cb=1" TargetMode="External"/><Relationship Id="rId2264" Type="http://schemas.openxmlformats.org/officeDocument/2006/relationships/hyperlink" Target="https://cms7files1.revize.com/starkcountyoh/S21-57.pdf" TargetMode="External"/><Relationship Id="rId2471" Type="http://schemas.openxmlformats.org/officeDocument/2006/relationships/hyperlink" Target="https://casetext.com/case/sotomayor-v-city-of-new-york" TargetMode="External"/><Relationship Id="rId4" Type="http://schemas.openxmlformats.org/officeDocument/2006/relationships/settings" Target="settings.xml"/><Relationship Id="rId236" Type="http://schemas.openxmlformats.org/officeDocument/2006/relationships/hyperlink" Target="https://www.ca10.uscourts.gov/sites/ca10/files/opinions/010110630282.pdf" TargetMode="External"/><Relationship Id="rId443" Type="http://schemas.openxmlformats.org/officeDocument/2006/relationships/hyperlink" Target="https://www.pacourts.us/assets/opinions/Superior/out/J-A11020-24m%20-%20106209941292398313.pdf?cb=1" TargetMode="External"/><Relationship Id="rId650" Type="http://schemas.openxmlformats.org/officeDocument/2006/relationships/hyperlink" Target="https://www.hstoday.us/fema-dhs-federal-pages/column-federal-courts-block-dhs-and-fema-dei-grant-conditions/" TargetMode="External"/><Relationship Id="rId888" Type="http://schemas.openxmlformats.org/officeDocument/2006/relationships/hyperlink" Target="https://public.fastcase.com/ZZhmr5v9wN%2FXOe5IsQ%2FqD1CdH2R29LNK8BT0hnz9oKtXR%2FoMxL2xC63e%2BHHuthpWCwncj7bfE4lB3MomO4uqm4E3oXBdMMZD2IWz0SNqHm0%3D?utm_medium=email&amp;_hsmi=226712652&amp;_hsenc=p2ANqtz-_2XBA_cBQDF2xes7gnarhZ-sbkcdxdJUtVuyLwtAqY2WUUI2XYCC6QqVwiuQaE3r8IP3AVZ-ZehQ2YYsnZUf5Qzx_SHw&amp;utm_content=226712652&amp;utm_source=hs_email" TargetMode="External"/><Relationship Id="rId1073" Type="http://schemas.openxmlformats.org/officeDocument/2006/relationships/hyperlink" Target="https://cases.justia.com/pennsylvania/commonwealth-court/2025-92-c-d-2024.pdf?ts=1743522170" TargetMode="External"/><Relationship Id="rId1280" Type="http://schemas.openxmlformats.org/officeDocument/2006/relationships/hyperlink" Target="http://www.search.txcourts.gov/SearchMedia.aspx?MediaVersionID=0d5f8f8d-dca0-42cf-9f3d-0b9f0ec4a868&amp;coa=coa12&amp;DT=Opinion&amp;MediaID=3cca35a6-dea2-4898-8844-a6d0a0f59f70" TargetMode="External"/><Relationship Id="rId2124" Type="http://schemas.openxmlformats.org/officeDocument/2006/relationships/hyperlink" Target="https://www.law.cornell.edu/wex/hearsay" TargetMode="External"/><Relationship Id="rId2331" Type="http://schemas.openxmlformats.org/officeDocument/2006/relationships/hyperlink" Target="https://beta.documentcloud.org/documents/20433223-covid-19-relief-bill" TargetMode="External"/><Relationship Id="rId2569" Type="http://schemas.openxmlformats.org/officeDocument/2006/relationships/hyperlink" Target="https://law.justia.com/cases/new-york/appellate-division-second-department/2025/2024-01225.html" TargetMode="External"/><Relationship Id="rId2776" Type="http://schemas.openxmlformats.org/officeDocument/2006/relationships/hyperlink" Target="http://www.fifthcircuit.org/dmzdocs/OI/PO/2019/D2D01276-0CAB-4C3C-8746-E6A5E19BC45A.pdf" TargetMode="External"/><Relationship Id="rId303" Type="http://schemas.openxmlformats.org/officeDocument/2006/relationships/hyperlink" Target="https://www.leagle.com/decision/inctco20171226041" TargetMode="External"/><Relationship Id="rId748" Type="http://schemas.openxmlformats.org/officeDocument/2006/relationships/hyperlink" Target="https://www.ca5.uscourts.gov/opinions/pub/22/22-10077-CV0.pdf" TargetMode="External"/><Relationship Id="rId955" Type="http://schemas.openxmlformats.org/officeDocument/2006/relationships/hyperlink" Target="https://cases.justia.com/colorado/court-of-appeals/2025-24ca1544.pdf?ts=1751643339" TargetMode="External"/><Relationship Id="rId1140" Type="http://schemas.openxmlformats.org/officeDocument/2006/relationships/hyperlink" Target="https://www.fifthcircuit.org/dmzdocs/OI/PO/2023/E7D4F8B7-C22B-4814-BFD0-4E0FF0BBD0BE.pdf" TargetMode="External"/><Relationship Id="rId1378" Type="http://schemas.openxmlformats.org/officeDocument/2006/relationships/hyperlink" Target="https://codes.ohio.gov/ohio-revised-code/section-4113.71" TargetMode="External"/><Relationship Id="rId1585" Type="http://schemas.openxmlformats.org/officeDocument/2006/relationships/hyperlink" Target="https://www.courts.mi.gov/4a7f39/siteassets/case-documents/uploads/opinions/final/coa/20210916_c353618_41_353618.opn.pdf" TargetMode="External"/><Relationship Id="rId1792" Type="http://schemas.openxmlformats.org/officeDocument/2006/relationships/hyperlink" Target="https://www.ecfr.gov/current/title-29/section-778.200" TargetMode="External"/><Relationship Id="rId2429" Type="http://schemas.openxmlformats.org/officeDocument/2006/relationships/hyperlink" Target="https://public.fastcase.com/J%2FJP6pdidelsXxEE4k%2BLMiptlpkB0gZD0zq9ZoOKNJuhacmaRfGRvhQDw8Dzjp093sUgUkI4CwYYkhqoix%2B0P6g4YOgoDnx2kMnRYwj%2FWdA%3D" TargetMode="External"/><Relationship Id="rId2636" Type="http://schemas.openxmlformats.org/officeDocument/2006/relationships/hyperlink" Target="https://casetext.com/case/goodlett-v-town-of-clarksville" TargetMode="External"/><Relationship Id="rId2843" Type="http://schemas.openxmlformats.org/officeDocument/2006/relationships/hyperlink" Target="https://trellis.law/doc/60559021/complaint-filed" TargetMode="External"/><Relationship Id="rId84" Type="http://schemas.openxmlformats.org/officeDocument/2006/relationships/hyperlink" Target="https://www.aol.com/trial-delayed-man-accused-fatally-135028116.html" TargetMode="External"/><Relationship Id="rId510" Type="http://schemas.openxmlformats.org/officeDocument/2006/relationships/hyperlink" Target="https://www.courts.ca.gov/opinions/nonpub/C096220.PDF" TargetMode="External"/><Relationship Id="rId608" Type="http://schemas.openxmlformats.org/officeDocument/2006/relationships/hyperlink" Target="http://www2.ca3.uscourts.gov/opinarch/172183p.pdf" TargetMode="External"/><Relationship Id="rId815" Type="http://schemas.openxmlformats.org/officeDocument/2006/relationships/hyperlink" Target="https://www.dhs.gov/news/2020/06/18/dhs-statement-supreme-court-decision-daca" TargetMode="External"/><Relationship Id="rId1238" Type="http://schemas.openxmlformats.org/officeDocument/2006/relationships/hyperlink" Target="https://www.courtlistener.com/opinion/4836452/terri-smith-v-kanawha-county-emergency-ambulance-authority/" TargetMode="External"/><Relationship Id="rId1445" Type="http://schemas.openxmlformats.org/officeDocument/2006/relationships/hyperlink" Target="https://public.fastcase.com/Wl%2B2t%2BeVuI35%2FN70vAMFZvXmXpQwu2GjLh16DzgzKzYNu%2FX9mokAK5AXod7BJ9cF" TargetMode="External"/><Relationship Id="rId1652" Type="http://schemas.openxmlformats.org/officeDocument/2006/relationships/hyperlink" Target="https://www.supremecourt.gov/opinions/24pdf/23-997_6579.pdf" TargetMode="External"/><Relationship Id="rId1000" Type="http://schemas.openxmlformats.org/officeDocument/2006/relationships/hyperlink" Target="https://www.zanesvilletimesrecorder.com/story/news/local/2016/12/17/two-dead-after-ambulance-rollover/95557626/" TargetMode="External"/><Relationship Id="rId1305" Type="http://schemas.openxmlformats.org/officeDocument/2006/relationships/hyperlink" Target="https://www.courtlistener.com/pdf/2019/02/08/schneider_v._city_of_lawrence.pdf" TargetMode="External"/><Relationship Id="rId1957" Type="http://schemas.openxmlformats.org/officeDocument/2006/relationships/hyperlink" Target="https://www.supremecourt.gov/opinions/21pdf/20-1410_1an2.pdf" TargetMode="External"/><Relationship Id="rId2703" Type="http://schemas.openxmlformats.org/officeDocument/2006/relationships/hyperlink" Target="https://www.firehouse.com/careers-education/article/12253067/altruism-and-the-fire-service-firefighter-education" TargetMode="External"/><Relationship Id="rId2910" Type="http://schemas.openxmlformats.org/officeDocument/2006/relationships/hyperlink" Target="https://www.flhouse.gov/Sections/Bills/billsdetail.aspx?BillId=78745" TargetMode="External"/><Relationship Id="rId1512" Type="http://schemas.openxmlformats.org/officeDocument/2006/relationships/hyperlink" Target="https://www.ca5.uscourts.gov/opinions/unpub/24/24-60532.0.pdf" TargetMode="External"/><Relationship Id="rId1817" Type="http://schemas.openxmlformats.org/officeDocument/2006/relationships/hyperlink" Target="https://public.fastcase.com/ZZhmr5v9wN%2FXOe5IsQ%2FqD6sjDusMj%2BpqHWJB3g3peOqB7r060z1DCjdHIpcn3tRLdaTmRHBEVoaEU7qCAearkbm3vxifIUs5cRZbbsNdVP8%3D?utm_medium=email&amp;_hsmi=226712652&amp;_hsenc=p2ANqtz-8gP-zHi-IOiqpnpXzunEXLHIYbdJXxowLQqk7bE6jqat0-j7JaN5Av0mj-PIwKwb5z_G2Wf06wKlilS-X5H1ndg63rYw&amp;utm_content=226712652&amp;utm_source=hs_email" TargetMode="External"/><Relationship Id="rId11" Type="http://schemas.openxmlformats.org/officeDocument/2006/relationships/image" Target="media/image2.jpeg"/><Relationship Id="rId398" Type="http://schemas.openxmlformats.org/officeDocument/2006/relationships/hyperlink" Target="https://public.fastcase.com/Jhe1Qn%2BmJndQYQU6z%2FeNm2HEaeCCWkcBCeUCujqGNVlbyw33GV3OIPoGmz91llGj?utm_medium=email&amp;_hsenc=p2ANqtz--_2koWPJH8aNw9hArqKJahBiDeDbHde9hJY14uLqxi48R0NPU4q8g0_WpBiId9hecTh5LabDNFfk8DSpNZX48Jer-K6w&amp;_hsmi=226712652&amp;utm_content=226712652&amp;utm_source=hs_email" TargetMode="External"/><Relationship Id="rId2079" Type="http://schemas.openxmlformats.org/officeDocument/2006/relationships/hyperlink" Target="https://cases.justia.com/federal/district-courts/washington/wawdce/2:2023cv01558/327312/54/0.pdf?ts=1747918716" TargetMode="External"/><Relationship Id="rId160" Type="http://schemas.openxmlformats.org/officeDocument/2006/relationships/hyperlink" Target="https://caselaw.findlaw.com/court/ma-court-of-appeals/115598993.html" TargetMode="External"/><Relationship Id="rId2286" Type="http://schemas.openxmlformats.org/officeDocument/2006/relationships/hyperlink" Target="https://public.fastcase.com/9SKwsfNqTc6OieYDhNMyMzpaZgjHFdPajpMUAUycVEOD1%2FIGYL0bkVi40opLVA3rHt12SE41wYoG8BLshtbo2LNVnd3RJLWIEJH0dBI9oDE%3D" TargetMode="External"/><Relationship Id="rId2493" Type="http://schemas.openxmlformats.org/officeDocument/2006/relationships/hyperlink" Target="https://casetext.com/case/abler-v-mayor-of-balt" TargetMode="External"/><Relationship Id="rId258" Type="http://schemas.openxmlformats.org/officeDocument/2006/relationships/hyperlink" Target="https://indianexpress.com/article/world/supreme-court-allows-revival-of-trump-era-remain-in-mexico-asylum-policy-7469812/" TargetMode="External"/><Relationship Id="rId465" Type="http://schemas.openxmlformats.org/officeDocument/2006/relationships/hyperlink" Target="https://www.osha.gov/ords/imis/establishment.inspection_detail?id=315378885" TargetMode="External"/><Relationship Id="rId672" Type="http://schemas.openxmlformats.org/officeDocument/2006/relationships/hyperlink" Target="https://d3i6fh83elv35t.cloudfront.net/static/2025/05/gov.uscourts.txsd_.2000771.58.0_1.pdf" TargetMode="External"/><Relationship Id="rId1095" Type="http://schemas.openxmlformats.org/officeDocument/2006/relationships/hyperlink" Target="https://www.jud.ct.gov/external/supapp/Cases/AROap/AP228/AP228.307.pdf" TargetMode="External"/><Relationship Id="rId2146" Type="http://schemas.openxmlformats.org/officeDocument/2006/relationships/hyperlink" Target="https://www.woodtv.com/news/nexstar-media-wire/paramedics-charged-with-murder-after-patient-who-was-in-stretcher-face-down-dies/" TargetMode="External"/><Relationship Id="rId2353" Type="http://schemas.openxmlformats.org/officeDocument/2006/relationships/hyperlink" Target="https://www.courts.state.md.us/sites/default/files/unreported-opinions/0318s19.pdf" TargetMode="External"/><Relationship Id="rId2560" Type="http://schemas.openxmlformats.org/officeDocument/2006/relationships/hyperlink" Target="https://www.wkyc.com/article/news/local/lorain-county/3news-investigates-avon-lake-terminates-fire-chief-investigation-into-workplace-conduct-leadership/95-a94cb6d7-c3ff-4355-be21-18103dc8f3f4" TargetMode="External"/><Relationship Id="rId2798" Type="http://schemas.openxmlformats.org/officeDocument/2006/relationships/hyperlink" Target="http://www.pacourts.us/assets/opinions/Commonwealth/out/380md17_6-12-18.pdf" TargetMode="External"/><Relationship Id="rId118" Type="http://schemas.openxmlformats.org/officeDocument/2006/relationships/hyperlink" Target="https://www.kfvs12.com/story/30947819/christopher-il-woman-arrested-on-arson-charges/" TargetMode="External"/><Relationship Id="rId325" Type="http://schemas.openxmlformats.org/officeDocument/2006/relationships/hyperlink" Target="https://www.ohioattorneygeneral.gov/Media/News-Releases/January-2020/Garfield-Heights-Recycling-Center-Held-in-Contempt" TargetMode="External"/><Relationship Id="rId532" Type="http://schemas.openxmlformats.org/officeDocument/2006/relationships/hyperlink" Target="http://www.ca5.uscourts.gov/opinions/unpub/22/22-30100.0.pdf" TargetMode="External"/><Relationship Id="rId977" Type="http://schemas.openxmlformats.org/officeDocument/2006/relationships/hyperlink" Target="https://search.txcourts.gov/SearchMedia.aspx?MediaVersionID=ce66bb80-60c8-4a68-9e10-0d461411b53e&amp;coa=coa14&amp;DT=Opinion&amp;MediaID=4a32394c-a506-4577-9679-e2747d0b06c4" TargetMode="External"/><Relationship Id="rId1162" Type="http://schemas.openxmlformats.org/officeDocument/2006/relationships/hyperlink" Target="https://info.bwc.ohio.gov/for-employers/workers-compensation-claims/recreational-waiver" TargetMode="External"/><Relationship Id="rId2006" Type="http://schemas.openxmlformats.org/officeDocument/2006/relationships/hyperlink" Target="https://public.fastcase.com/Jhe1Qn%2BmJndQYQU6z%2FeNm1ngVbZVwfb9i9nq%2ByxsJt7eYa6Yri%2FXr9veF2mIoPRbBYalWXjl02DPpQ9AYC5%2BzkBbUV9CJV65Gz31ZPaNAhA%3D?utm_medium=email&amp;_hsenc=p2ANqtz--v_X0_ty2KgZc4cuUGDg0UHRgKtD60M90IuqE8DpMJ6uO5aXr8LyUQmZOmsR5mb8hE3f734Ge27BP-t9ynHj9iUX7jKQ&amp;_hsmi=226712652&amp;utm_content=226712652&amp;utm_source=hs_email" TargetMode="External"/><Relationship Id="rId2213" Type="http://schemas.openxmlformats.org/officeDocument/2006/relationships/hyperlink" Target="https://caselaw.findlaw.com/ny-supreme-court/2147274.html" TargetMode="External"/><Relationship Id="rId2420" Type="http://schemas.openxmlformats.org/officeDocument/2006/relationships/hyperlink" Target="https://cases.justia.com/michigan/court-of-appeals-unpublished/2018-335366.pdf?ts=1524229247" TargetMode="External"/><Relationship Id="rId2658" Type="http://schemas.openxmlformats.org/officeDocument/2006/relationships/hyperlink" Target="https://public.fastcase.com/ZZhmr5v9wN%2FXOe5IsQ%2FqD%2FbRI5yk0CTLrJ1wUlp23a2jtoF9iRGzOsDdRZIWd9GyXFY2izvgsnflzL0%2FFWSL%2FPpsQUa%2FiEphINoTWEFNJVE%3D?utm_medium=email&amp;_hsmi=226712652&amp;_hsenc=p2ANqtz-8tSxN7q872uN51HDKRs8bBT2KkYc5se6Y34IcB-qusszHk_1kcdMtqv3s-tJTiEGYg-zZ48WEGXoPe6gX9Sz_hnuHHnA&amp;utm_content=226712652&amp;utm_source=hs_email" TargetMode="External"/><Relationship Id="rId2865" Type="http://schemas.openxmlformats.org/officeDocument/2006/relationships/hyperlink" Target="https://law.justia.com/cases/new-york/court-of-appeals/2022/95.html" TargetMode="External"/><Relationship Id="rId837" Type="http://schemas.openxmlformats.org/officeDocument/2006/relationships/hyperlink" Target="https://www.theguardian.com/world/2014/apr/17/mohammad-hassan-khalid-sentence-five-years-jail-jihad-jane-plot" TargetMode="External"/><Relationship Id="rId1022" Type="http://schemas.openxmlformats.org/officeDocument/2006/relationships/hyperlink" Target="http://www.legallyspeakingohio.com/wordpress/wp-content/uploads/2013/03/anderson-v-massilon.pdf" TargetMode="External"/><Relationship Id="rId1467" Type="http://schemas.openxmlformats.org/officeDocument/2006/relationships/hyperlink" Target="https://caselaw.findlaw.com/us-supreme-court/436/658.html" TargetMode="External"/><Relationship Id="rId1674" Type="http://schemas.openxmlformats.org/officeDocument/2006/relationships/hyperlink" Target="https://www.mass.gov/doc/grenier-pierre-v-springfield-fire-department-related-superior-court-decision-3823/download" TargetMode="External"/><Relationship Id="rId1881" Type="http://schemas.openxmlformats.org/officeDocument/2006/relationships/hyperlink" Target="https://public.fastcase.com/Wl%2B2t%2BeVuI35%2FN70vAMFZpr47IXL%2FNqq46QG15nW3r0g0xInlPjrGPn7upgPO%2BUR" TargetMode="External"/><Relationship Id="rId2518" Type="http://schemas.openxmlformats.org/officeDocument/2006/relationships/hyperlink" Target="https://law.justia.com/cases/new-york/appellate-division-third-department/2019/527240.html" TargetMode="External"/><Relationship Id="rId2725" Type="http://schemas.openxmlformats.org/officeDocument/2006/relationships/hyperlink" Target="https://public.fastcase.com/" TargetMode="External"/><Relationship Id="rId2932" Type="http://schemas.openxmlformats.org/officeDocument/2006/relationships/hyperlink" Target="https://casetext.com/statute/united-states-code/title-5-government-organization-and-employees/part-i-the-agencies-generally/chapter-7-judicial-review/section-706-scope-of-review" TargetMode="External"/><Relationship Id="rId904" Type="http://schemas.openxmlformats.org/officeDocument/2006/relationships/hyperlink" Target="https://casetext.com/case/dougherty-v-city-of-detroit" TargetMode="External"/><Relationship Id="rId1327" Type="http://schemas.openxmlformats.org/officeDocument/2006/relationships/hyperlink" Target="https://www.sfgate.com/news/article/Supreme-Court-rules-that-companies-can-require-12931130.php" TargetMode="External"/><Relationship Id="rId1534" Type="http://schemas.openxmlformats.org/officeDocument/2006/relationships/hyperlink" Target="https://cases.justia.com/federal/district-courts/illinois/ilndce/1:2022cv04982/419212/136/0.pdf?ts=1728381206" TargetMode="External"/><Relationship Id="rId1741" Type="http://schemas.openxmlformats.org/officeDocument/2006/relationships/hyperlink" Target="https://public.fastcase.com/9SKwsfNqTc6OieYDhNMyM%2BsbSTu241pOZ38l1fL3GtOxRE1iLhH6RZm0FIyTdVeF1XRK6Ebg7B5equTDg4ZQiMxFMDQEZko4UYsaxrmOuYk%3D" TargetMode="External"/><Relationship Id="rId1979" Type="http://schemas.openxmlformats.org/officeDocument/2006/relationships/hyperlink" Target="http://futurefirefighters.org/firefighter-drinking-driving/" TargetMode="External"/><Relationship Id="rId33" Type="http://schemas.openxmlformats.org/officeDocument/2006/relationships/hyperlink" Target="https://www.supremecourt.ohio.gov/rod/docs/pdf/9/2026/2026-Ohio-1842.pdf" TargetMode="External"/><Relationship Id="rId1601" Type="http://schemas.openxmlformats.org/officeDocument/2006/relationships/hyperlink" Target="https://www.stetson.edu/law/lawreview/media/the-civil-rights-act-of-1991-and-eeoc-enforcement.pdf" TargetMode="External"/><Relationship Id="rId1839" Type="http://schemas.openxmlformats.org/officeDocument/2006/relationships/hyperlink" Target="https://www.govinfo.gov/content/pkg/USCOURTS-mowd-4_19-cv-00093/pdf/USCOURTS-mowd-4_19-cv-00093-1.pdf" TargetMode="External"/><Relationship Id="rId182" Type="http://schemas.openxmlformats.org/officeDocument/2006/relationships/hyperlink" Target="https://www.loc.gov/item/usrep509579/" TargetMode="External"/><Relationship Id="rId1906" Type="http://schemas.openxmlformats.org/officeDocument/2006/relationships/hyperlink" Target="https://mgaleg.maryland.gov/mgawebsite/Legislation/Details/sb0439/?ys=2026rs" TargetMode="External"/><Relationship Id="rId487" Type="http://schemas.openxmlformats.org/officeDocument/2006/relationships/hyperlink" Target="https://casetext.com/statute/consolidated-laws-of-new-york/chapter-volunteer-firefighters-benefit/article-2-coverage-and-benefits/section-19-exclusiveness-of-remedy" TargetMode="External"/><Relationship Id="rId694" Type="http://schemas.openxmlformats.org/officeDocument/2006/relationships/hyperlink" Target="https://www.supremecourt.gov/opinions/23pdf/22-842_6kg7.pdf" TargetMode="External"/><Relationship Id="rId2070" Type="http://schemas.openxmlformats.org/officeDocument/2006/relationships/hyperlink" Target="https://law.justia.com/cases/new-york/other-courts/2025/2025-ny-slip-op-51480-u.html" TargetMode="External"/><Relationship Id="rId2168" Type="http://schemas.openxmlformats.org/officeDocument/2006/relationships/hyperlink" Target="https://www.lohud.com/story/news/local/rockland/2022/08/16/ramapo-valley-ambulance-corps-defunded/65406353007/" TargetMode="External"/><Relationship Id="rId2375" Type="http://schemas.openxmlformats.org/officeDocument/2006/relationships/hyperlink" Target="https://cases.justia.com/federal/appellate-courts/ca6/18-5480/18-5480-2020-01-21.pdf?ts=1579627818" TargetMode="External"/><Relationship Id="rId347" Type="http://schemas.openxmlformats.org/officeDocument/2006/relationships/hyperlink" Target="https://law.justia.com/cases/illinois/court-of-appeals-fifth-appellate-district/2019/5-18-0064.html" TargetMode="External"/><Relationship Id="rId999" Type="http://schemas.openxmlformats.org/officeDocument/2006/relationships/hyperlink" Target="https://casetext.com/case/brown-v-ohio-valley-health-servs-educ-corp" TargetMode="External"/><Relationship Id="rId1184" Type="http://schemas.openxmlformats.org/officeDocument/2006/relationships/hyperlink" Target="https://www.cleveland.com/cityhall/2021/09/federal-appellate-court-upholds-first-amendment-case-brought-against-cleveland-by-retired-battalion-chief.html" TargetMode="External"/><Relationship Id="rId2028" Type="http://schemas.openxmlformats.org/officeDocument/2006/relationships/hyperlink" Target="https://www.ca4.uscourts.gov/opinions/244620.P.pd" TargetMode="External"/><Relationship Id="rId2582" Type="http://schemas.openxmlformats.org/officeDocument/2006/relationships/hyperlink" Target="https://cases.justia.com/federal/appellate-courts/ca4/24-1782/24-1782-2025-06-05.pdf?ts=1749150038" TargetMode="External"/><Relationship Id="rId2887" Type="http://schemas.openxmlformats.org/officeDocument/2006/relationships/hyperlink" Target="https://www.vindy.com/news/local-news/2021/02/judge-rules-city-treated-fire-union-unfairly/" TargetMode="External"/><Relationship Id="rId554" Type="http://schemas.openxmlformats.org/officeDocument/2006/relationships/hyperlink" Target="https://www2.ca3.uscourts.gov/opinarch/201734p.pdf" TargetMode="External"/><Relationship Id="rId761" Type="http://schemas.openxmlformats.org/officeDocument/2006/relationships/hyperlink" Target="https://www.cnn.com/2021/07/13/politics/handgun-appeals-court/index.html?utm_term=link&amp;utm_content=2021-07-13T19%3A12%3A10&amp;utm_source=twcnnbrk&amp;utm_medium=social" TargetMode="External"/><Relationship Id="rId859" Type="http://schemas.openxmlformats.org/officeDocument/2006/relationships/hyperlink" Target="https://www.supremecourt.gov/opinions/24pdf/24-362_mjn0.pdf" TargetMode="External"/><Relationship Id="rId1391" Type="http://schemas.openxmlformats.org/officeDocument/2006/relationships/hyperlink" Target="https://public.fastcase.com/" TargetMode="External"/><Relationship Id="rId1489" Type="http://schemas.openxmlformats.org/officeDocument/2006/relationships/hyperlink" Target="https://cases.justia.com/federal/district-courts/virginia/vawdce/6:2024cv00051/132979/41/0.pdf?ts=1779390167" TargetMode="External"/><Relationship Id="rId1696" Type="http://schemas.openxmlformats.org/officeDocument/2006/relationships/hyperlink" Target="https://public.fastcase.com/J%2FJP6pdidelsXxEE4k%2BLMidRzLaU3lxo2K4zeZ9a%2B%2Fta152zlny6vY4eG3S7CjdliNR92Qo6%2FTtAP%2FPl4klE6l7lrfhMF2W%2BjlSvdCQeS50%3D?utm_medium=email&amp;_hsmi=226712652&amp;_hsenc=p2ANqtz-_s5_cAHUvs_hrwWV9wgyTdwJuYKaiZto7jMWtL6vDykRwEZ1Wuy9IDC9088xTRtPn7fskJqvzz7SBtC6Rp8cJAGJmTVA&amp;utm_content=226712652&amp;utm_source=hs_email" TargetMode="External"/><Relationship Id="rId2235" Type="http://schemas.openxmlformats.org/officeDocument/2006/relationships/hyperlink" Target="http://lcapps.co.lucas.oh.us/Courts/Appeals/DecisionsPDF/10196.pdf" TargetMode="External"/><Relationship Id="rId2442" Type="http://schemas.openxmlformats.org/officeDocument/2006/relationships/hyperlink" Target="https://www.courts.michigan.gov/494b62/siteassets/case-documents/uploads/opinions/final/coa/20260317_c372830_50_372830.opn.pdf" TargetMode="External"/><Relationship Id="rId207" Type="http://schemas.openxmlformats.org/officeDocument/2006/relationships/hyperlink" Target="https://casetext.com/case/united-states-v-raposo-6" TargetMode="External"/><Relationship Id="rId414" Type="http://schemas.openxmlformats.org/officeDocument/2006/relationships/hyperlink" Target="https://www.flhouse.gov/Sections/Documents/loaddoc.aspx?FileName=_s0184er.DOCX&amp;DocumentType=Bill&amp;BillNumber=184&amp;Session=2024" TargetMode="External"/><Relationship Id="rId621" Type="http://schemas.openxmlformats.org/officeDocument/2006/relationships/hyperlink" Target="https://www.nytimes.com/2018/04/02/us/politics/supreme-court-rules-for-police-officer-in-excessive-force-case.html" TargetMode="External"/><Relationship Id="rId1044" Type="http://schemas.openxmlformats.org/officeDocument/2006/relationships/hyperlink" Target="https://www.courtswv.gov/sites/default/pubfilesmnt/2025-12/25-ICA-222_MD.pdf" TargetMode="External"/><Relationship Id="rId1251" Type="http://schemas.openxmlformats.org/officeDocument/2006/relationships/hyperlink" Target="https://www.workplacefairness.org/whistleblower-retaliation-claim-OH" TargetMode="External"/><Relationship Id="rId1349" Type="http://schemas.openxmlformats.org/officeDocument/2006/relationships/hyperlink" Target="https://media.ca7.uscourts.gov/cgi-bin/rssExec.pl?Submit=Display&amp;Path=Y2022/D07-12/C:21-2784:J:PerCuriam:aut:T:npDp:N:2902357:S:0" TargetMode="External"/><Relationship Id="rId2302" Type="http://schemas.openxmlformats.org/officeDocument/2006/relationships/hyperlink" Target="http://codes.ohio.gov/oac/4765-9-01" TargetMode="External"/><Relationship Id="rId2747" Type="http://schemas.openxmlformats.org/officeDocument/2006/relationships/hyperlink" Target="https://www.dmlp.org/legal-guide/recording-phone-calls-and-conversations" TargetMode="External"/><Relationship Id="rId2954" Type="http://schemas.openxmlformats.org/officeDocument/2006/relationships/hyperlink" Target="https://public.fastcase.com/Wl%2B2t%2BeVuI35%2FN70vAMFZlFt1LsN7FOv8IeLOLQpT2HmGMXcCWoYq2MigYjsxegu" TargetMode="External"/><Relationship Id="rId719" Type="http://schemas.openxmlformats.org/officeDocument/2006/relationships/hyperlink" Target="https://casetext.com/case/baarbe-v-the-syrian-arab-republic" TargetMode="External"/><Relationship Id="rId926" Type="http://schemas.openxmlformats.org/officeDocument/2006/relationships/hyperlink" Target="https://docs.justia.com/cases/federal/district-courts/new-york/nyedce/1:2019cv02400/432390/46" TargetMode="External"/><Relationship Id="rId1111" Type="http://schemas.openxmlformats.org/officeDocument/2006/relationships/hyperlink" Target="https://www.osc.ny.gov/retirement/publications/1512/accidental-disability" TargetMode="External"/><Relationship Id="rId1556" Type="http://schemas.openxmlformats.org/officeDocument/2006/relationships/hyperlink" Target="http://www.eeoc.gov/laws/statutes/titlevii.cfm" TargetMode="External"/><Relationship Id="rId1763" Type="http://schemas.openxmlformats.org/officeDocument/2006/relationships/hyperlink" Target="https://www.firefighterovertime.org/2026/01/04/fourth-circuit-rules-against-battalion-chiefs-in-virginia-flsa-lawsuit/" TargetMode="External"/><Relationship Id="rId1970" Type="http://schemas.openxmlformats.org/officeDocument/2006/relationships/hyperlink" Target="https://public.fastcase.com/9SKwsfNqTc6OieYDhNMyM8QDIumtbytcTIYRS7vEe0pQ3%2BAszz%2FAIWxBBPTdhGkJW%2FsZnkZT639gd%2FCKUheamGpg8tPb2WiD4LZsCmDtik8%3D" TargetMode="External"/><Relationship Id="rId2607" Type="http://schemas.openxmlformats.org/officeDocument/2006/relationships/hyperlink" Target="https://www.wvsd.uscourts.gov/sites/wvsd/files/opinions/MOO_20250102_5_22-cr-00182.pdf" TargetMode="External"/><Relationship Id="rId2814" Type="http://schemas.openxmlformats.org/officeDocument/2006/relationships/hyperlink" Target="https://www.qcnews.com/charlotte/court-sides-with-char-meck-fop-in-cmpd-employee-defamation-case/" TargetMode="External"/><Relationship Id="rId55" Type="http://schemas.openxmlformats.org/officeDocument/2006/relationships/hyperlink" Target="https://www.justice.gov/usao-edwi/pr/former-restaurant-owner-indicted-arson-and-related-charges" TargetMode="External"/><Relationship Id="rId1209" Type="http://schemas.openxmlformats.org/officeDocument/2006/relationships/hyperlink" Target="https://casetext.com/case/prospect-heights-fire-prot-dist-v-dept-of-empt-sec" TargetMode="External"/><Relationship Id="rId1416" Type="http://schemas.openxmlformats.org/officeDocument/2006/relationships/hyperlink" Target="https://www.kktv.com/2022/03/03/biden-sign-bill-ending-forced-arbitration-sexual-harassment-assault-cases/" TargetMode="External"/><Relationship Id="rId1623" Type="http://schemas.openxmlformats.org/officeDocument/2006/relationships/hyperlink" Target="https://www.leagle.com/cite/223%20F.3d%20749" TargetMode="External"/><Relationship Id="rId1830" Type="http://schemas.openxmlformats.org/officeDocument/2006/relationships/hyperlink" Target="https://www.opn.ca6.uscourts.gov/opinions.pdf/21a0485n-06.pdf" TargetMode="External"/><Relationship Id="rId1928" Type="http://schemas.openxmlformats.org/officeDocument/2006/relationships/hyperlink" Target="https://casetext.com/statute/montana-code/title-39-labor/chapter-31-collective-bargaining-for-public-employees/part-4-unfair-labor-practices/section-39-31-406-hearing-on-complaint-findings-order" TargetMode="External"/><Relationship Id="rId2092" Type="http://schemas.openxmlformats.org/officeDocument/2006/relationships/hyperlink" Target="https://casetext.com/statute/general-laws-of-massachusetts/part-i-administration-of-the-government/title-xxi-labor-and-industries/chapter-149-labor-and-industries/section-149187-health-care-providers-protection-from-retaliatory-action-by-health-care-facilities" TargetMode="External"/><Relationship Id="rId271" Type="http://schemas.openxmlformats.org/officeDocument/2006/relationships/hyperlink" Target="https://www.usatoday.com/story/news/politics/2021/03/25/supreme-court-police-seizure-includes-shots-fired-fleeing-suspect/6995659002/" TargetMode="External"/><Relationship Id="rId2397" Type="http://schemas.openxmlformats.org/officeDocument/2006/relationships/hyperlink" Target="https://lrus.wolterskluwer.com/store/daily-reporting-suite/antitrust-law-daily/" TargetMode="External"/><Relationship Id="rId131" Type="http://schemas.openxmlformats.org/officeDocument/2006/relationships/hyperlink" Target="https://www.law.cornell.edu/wex/admit" TargetMode="External"/><Relationship Id="rId369" Type="http://schemas.openxmlformats.org/officeDocument/2006/relationships/hyperlink" Target="https://www.supremecourt.gov/opinions/17pdf/16-1466_2b3j.pdf" TargetMode="External"/><Relationship Id="rId576" Type="http://schemas.openxmlformats.org/officeDocument/2006/relationships/hyperlink" Target="http://codes.ohio.gov/oac/4123:1-21-04v1" TargetMode="External"/><Relationship Id="rId783" Type="http://schemas.openxmlformats.org/officeDocument/2006/relationships/hyperlink" Target="https://www.law.cornell.edu/definitions/uscode.php?width=840&amp;height=800&amp;iframe=true&amp;def_id=8-USC-2032517217-1201680101&amp;term_occur=999&amp;term_src=" TargetMode="External"/><Relationship Id="rId990" Type="http://schemas.openxmlformats.org/officeDocument/2006/relationships/hyperlink" Target="https://casetext.com/case/schultz-v-st-clair-cnty-2" TargetMode="External"/><Relationship Id="rId2257" Type="http://schemas.openxmlformats.org/officeDocument/2006/relationships/hyperlink" Target="https://casetext.com/case/brown-v-medscope-am-corp" TargetMode="External"/><Relationship Id="rId2464" Type="http://schemas.openxmlformats.org/officeDocument/2006/relationships/hyperlink" Target="https://casetext.com/case/shaw-v-kittitas-valley-fire-rescue" TargetMode="External"/><Relationship Id="rId2671" Type="http://schemas.openxmlformats.org/officeDocument/2006/relationships/hyperlink" Target="https://public.courts.in.gov/Decisions/api/Document/Opinion?Id=BlYPkLxVHgH9AX_il3izt1lEOiPnwm0plhkYRvgS1Eap1sEgbSi8um2d6l97LpRN0" TargetMode="External"/><Relationship Id="rId229" Type="http://schemas.openxmlformats.org/officeDocument/2006/relationships/hyperlink" Target="https://law.justia.com/cases/virginia/court-of-appeals-unpublished/2022/0509-21-2.html" TargetMode="External"/><Relationship Id="rId436" Type="http://schemas.openxmlformats.org/officeDocument/2006/relationships/hyperlink" Target="https://www.supremecourt.ohio.gov/rod/docs/pdf/8/2024/2024-Ohio-5317.pdf" TargetMode="External"/><Relationship Id="rId643" Type="http://schemas.openxmlformats.org/officeDocument/2006/relationships/hyperlink" Target="https://www.supremecourt.gov/opinions/25pdf/25a443_ba7d.pdf" TargetMode="External"/><Relationship Id="rId1066" Type="http://schemas.openxmlformats.org/officeDocument/2006/relationships/hyperlink" Target="https://www.jud.ct.gov/external/supapp/Cases/AROap/AP232/AP232.214.pdf" TargetMode="External"/><Relationship Id="rId1273" Type="http://schemas.openxmlformats.org/officeDocument/2006/relationships/hyperlink" Target="http://www.pacourts.us/assets/opinions/Commonwealth/out/1156cd19_5-6-20.pdf" TargetMode="External"/><Relationship Id="rId1480" Type="http://schemas.openxmlformats.org/officeDocument/2006/relationships/hyperlink" Target="https://cases.justia.com/michigan/court-of-appeals-unpublished/2018-339016.pdf?ts=1535720483" TargetMode="External"/><Relationship Id="rId2117" Type="http://schemas.openxmlformats.org/officeDocument/2006/relationships/hyperlink" Target="https://www.courts.ca.gov/opinions/nonpub/B322004.PDF" TargetMode="External"/><Relationship Id="rId2324" Type="http://schemas.openxmlformats.org/officeDocument/2006/relationships/hyperlink" Target="https://www.thecut.com/2020/08/the-killing-of-elijah-mcclain-everything-we-know.html" TargetMode="External"/><Relationship Id="rId2769" Type="http://schemas.openxmlformats.org/officeDocument/2006/relationships/hyperlink" Target="https://cases.justia.com/federal/district-courts/tennessee/tnmdce/3:2018cv00148/73469/36/0.pdf?ts=1576934308" TargetMode="External"/><Relationship Id="rId850" Type="http://schemas.openxmlformats.org/officeDocument/2006/relationships/hyperlink" Target="https://cases.justia.com/washington/court-of-appeals-division-i/2026-87600-7.pdf?ts=1780339477" TargetMode="External"/><Relationship Id="rId948" Type="http://schemas.openxmlformats.org/officeDocument/2006/relationships/hyperlink" Target="https://cases.justia.com/texas/fourteenth-court-of-appeals/2025-14-24-00811-cv.pdf?ts=1765287556" TargetMode="External"/><Relationship Id="rId1133" Type="http://schemas.openxmlformats.org/officeDocument/2006/relationships/hyperlink" Target="https://law.justia.com/cases/texas/fourth-court-of-appeals/2023/04-22-00347-cv.html" TargetMode="External"/><Relationship Id="rId1578" Type="http://schemas.openxmlformats.org/officeDocument/2006/relationships/hyperlink" Target="https://casetext.com/case/rice-v-city-of-cincinnati" TargetMode="External"/><Relationship Id="rId1785" Type="http://schemas.openxmlformats.org/officeDocument/2006/relationships/hyperlink" Target="https://brookline.news/wp-content/uploads/2024/12/jointsettlementfiling.pdf" TargetMode="External"/><Relationship Id="rId1992" Type="http://schemas.openxmlformats.org/officeDocument/2006/relationships/hyperlink" Target="https://www.la4th.org/opinion/2019/486077.pdf" TargetMode="External"/><Relationship Id="rId2531" Type="http://schemas.openxmlformats.org/officeDocument/2006/relationships/hyperlink" Target="https://wtov9.com/news/local/former-mingo-junction-fire-chief-reinstated-after-hearing" TargetMode="External"/><Relationship Id="rId2629" Type="http://schemas.openxmlformats.org/officeDocument/2006/relationships/hyperlink" Target="https://www.cincinnati.com/story/news/politics/2024/02/08/court-former-fire-chief-michael-washington-can-sue-city/72523727007/" TargetMode="External"/><Relationship Id="rId2836" Type="http://schemas.openxmlformats.org/officeDocument/2006/relationships/hyperlink" Target="https://casetext.com/case/intl-assn-of-fire-fighters-local-1366-v-city-of-cedar-falls" TargetMode="External"/><Relationship Id="rId77" Type="http://schemas.openxmlformats.org/officeDocument/2006/relationships/hyperlink" Target="https://www.youtube.com/watch?v=pYAlJLy1R8U" TargetMode="External"/><Relationship Id="rId503" Type="http://schemas.openxmlformats.org/officeDocument/2006/relationships/hyperlink" Target="https://casetext.com/statute/california-codes/california-civil-code/division-3-obligations/part-3-obligations-imposed-by-law/section-17149-injury-to-peace-officer-firefighter-or-emergency-medical-personnel" TargetMode="External"/><Relationship Id="rId710" Type="http://schemas.openxmlformats.org/officeDocument/2006/relationships/hyperlink" Target="https://www.theatlantic.com/politics/archive/2021/07/california-inmate-firefighters/619567/" TargetMode="External"/><Relationship Id="rId808" Type="http://schemas.openxmlformats.org/officeDocument/2006/relationships/hyperlink" Target="https://casetext.com/case/in-re-world-trade-ctr-lower-manhattan-disaster-site-litig-8" TargetMode="External"/><Relationship Id="rId1340" Type="http://schemas.openxmlformats.org/officeDocument/2006/relationships/hyperlink" Target="https://cases.justia.com/federal/district-courts/virginia/vaedce/2:2025cv00255/573201/8/0.pdf?ts=1769187301" TargetMode="External"/><Relationship Id="rId1438" Type="http://schemas.openxmlformats.org/officeDocument/2006/relationships/hyperlink" Target="https://scholar.google.com/scholar_case?case=1979118509333189928&amp;q=Rachel+MOSBY+v.+CITY+OF+BYRON,+GEORGIA,&amp;hl=en&amp;as_sdt=6,36" TargetMode="External"/><Relationship Id="rId1645" Type="http://schemas.openxmlformats.org/officeDocument/2006/relationships/hyperlink" Target="https://acuityinternational.com/blog/nfpa-1582-medication-disqualifications/" TargetMode="External"/><Relationship Id="rId1200" Type="http://schemas.openxmlformats.org/officeDocument/2006/relationships/hyperlink" Target="https://www.baltimoresun.com/maryland/baltimore-city/bs-md-ci-lawsuit-opinion-20210817-vlhba6nhe5dnfayycibxat2sli-story.html" TargetMode="External"/><Relationship Id="rId1852" Type="http://schemas.openxmlformats.org/officeDocument/2006/relationships/hyperlink" Target="https://www.ca4.uscourts.gov/Opinions/191755.P.pdf" TargetMode="External"/><Relationship Id="rId2903" Type="http://schemas.openxmlformats.org/officeDocument/2006/relationships/hyperlink" Target="https://www.supremecourt.gov/opinions/17pdf/16-285_q8l1.pdf" TargetMode="External"/><Relationship Id="rId1505" Type="http://schemas.openxmlformats.org/officeDocument/2006/relationships/hyperlink" Target="https://cases.justia.com/federal/appellate-courts/ca8/24-2646/24-2646-2025-07-08.pdf?ts=1751988624" TargetMode="External"/><Relationship Id="rId1712" Type="http://schemas.openxmlformats.org/officeDocument/2006/relationships/hyperlink" Target="https://www.eeoc.gov/laws/guidance/deafness-and-hearing-impairments-workplace-and-americans-disabilities-act" TargetMode="External"/><Relationship Id="rId293" Type="http://schemas.openxmlformats.org/officeDocument/2006/relationships/hyperlink" Target="https://law.justia.com/cases/massachusetts/court-of-appeals/2020/19-p-903.html" TargetMode="External"/><Relationship Id="rId2181" Type="http://schemas.openxmlformats.org/officeDocument/2006/relationships/hyperlink" Target="https://www.opn.ca6.uscourts.gov/opinions.pdf/23a0237p-06.pdf" TargetMode="External"/><Relationship Id="rId153" Type="http://schemas.openxmlformats.org/officeDocument/2006/relationships/hyperlink" Target="https://www.supremecourt.gov/opinions/23pdf/22-324_09m1.pdf" TargetMode="External"/><Relationship Id="rId360" Type="http://schemas.openxmlformats.org/officeDocument/2006/relationships/hyperlink" Target="https://www.supremecourt.gov/opinions/17pdf/16-1466_2b3j.pdf" TargetMode="External"/><Relationship Id="rId598" Type="http://schemas.openxmlformats.org/officeDocument/2006/relationships/hyperlink" Target="https://cases.justia.com/missouri/court-of-appeals/2019-wd81939.pdf?ts=1559661108" TargetMode="External"/><Relationship Id="rId2041" Type="http://schemas.openxmlformats.org/officeDocument/2006/relationships/hyperlink" Target="https://www.govinfo.gov/content/pkg/USCOURTS-ca11-25-11434/pdf/USCOURTS-ca11-25-11434-0.pdf" TargetMode="External"/><Relationship Id="rId2279" Type="http://schemas.openxmlformats.org/officeDocument/2006/relationships/hyperlink" Target="https://casetext.com/case/ramirez-v-talos-gulf-coast-offshore-llc" TargetMode="External"/><Relationship Id="rId2486" Type="http://schemas.openxmlformats.org/officeDocument/2006/relationships/hyperlink" Target="https://mn.gov/workcomp-stat/2021/Juntunen%20-%2012-28-21.html" TargetMode="External"/><Relationship Id="rId2693" Type="http://schemas.openxmlformats.org/officeDocument/2006/relationships/hyperlink" Target="https://www.waltontribune.com/article_108b8906-f48f-11ea-baf7-07788894fc4c.html" TargetMode="External"/><Relationship Id="rId220" Type="http://schemas.openxmlformats.org/officeDocument/2006/relationships/hyperlink" Target="https://acis.alabama.gov/displaydocs.cfm?no=1126944&amp;event=6CD0OUEMB" TargetMode="External"/><Relationship Id="rId458" Type="http://schemas.openxmlformats.org/officeDocument/2006/relationships/hyperlink" Target="https://cases.justia.com/arizona/court-of-appeals-division-two-unpublished/2024-2-ca-cr-2024-0065.pdf?ts=1730333249" TargetMode="External"/><Relationship Id="rId665" Type="http://schemas.openxmlformats.org/officeDocument/2006/relationships/hyperlink" Target="https://cdn.ca9.uscourts.gov/datastore/opinions/2025/07/24/24-542.pdf" TargetMode="External"/><Relationship Id="rId872" Type="http://schemas.openxmlformats.org/officeDocument/2006/relationships/hyperlink" Target="https://www.firelawblog.com/wp-content/uploads/sites/19/2024/10/Light-v.-Pub.-Utils.-Regul.-Auth._-2024-Conn.-Super.-LE.pdf" TargetMode="External"/><Relationship Id="rId1088" Type="http://schemas.openxmlformats.org/officeDocument/2006/relationships/hyperlink" Target="https://ilcourtsaudio.blob.core.windows.net/antilles-resources/resources/cb295fe3-77b3-494e-ba2f-aabcd601915c/Barz%20v.%20Village%20of%20Hazel%20Crest%20Firefighters%20Pension%20Fund,%202024%20IL%20App%20(1st)%20240137-U.pdf" TargetMode="External"/><Relationship Id="rId1295" Type="http://schemas.openxmlformats.org/officeDocument/2006/relationships/hyperlink" Target="https://patch.com/ohio/mayfield-hillcrest/mayfield-village-introduces-three-new-firefighters" TargetMode="External"/><Relationship Id="rId2139" Type="http://schemas.openxmlformats.org/officeDocument/2006/relationships/hyperlink" Target="https://www.cbsnews.com/colorado/news/former-colorado-paramedic-jeremy-cooper-sentenced-conviction-death-elijah-mcclain/" TargetMode="External"/><Relationship Id="rId2346" Type="http://schemas.openxmlformats.org/officeDocument/2006/relationships/hyperlink" Target="https://codes.ohio.gov/orc/4765.49v1" TargetMode="External"/><Relationship Id="rId2553" Type="http://schemas.openxmlformats.org/officeDocument/2006/relationships/hyperlink" Target="https://supreme.justia.com/cases/federal/us/578/14-1280/" TargetMode="External"/><Relationship Id="rId2760" Type="http://schemas.openxmlformats.org/officeDocument/2006/relationships/hyperlink" Target="https://www.courts.ca.gov/opinions/nonpub/D074758.PDF" TargetMode="External"/><Relationship Id="rId318" Type="http://schemas.openxmlformats.org/officeDocument/2006/relationships/hyperlink" Target="https://cdm17027.contentdm.oclc.org/digital/collection/p17027coll5/id/26716/rec/1" TargetMode="External"/><Relationship Id="rId525" Type="http://schemas.openxmlformats.org/officeDocument/2006/relationships/hyperlink" Target="https://law.justia.com/cases/new-york/other-courts/2022/2022-ny-slip-op-34279-u.html" TargetMode="External"/><Relationship Id="rId732" Type="http://schemas.openxmlformats.org/officeDocument/2006/relationships/hyperlink" Target="mailto:departmentofhomelandsecurity@messages.dhs.gov" TargetMode="External"/><Relationship Id="rId1155" Type="http://schemas.openxmlformats.org/officeDocument/2006/relationships/hyperlink" Target="https://cases.justia.com/new-york/other-courts/2022-2022-ny-slip-op-32197-u.pdf?ts=1657833320" TargetMode="External"/><Relationship Id="rId1362" Type="http://schemas.openxmlformats.org/officeDocument/2006/relationships/hyperlink" Target="https://codes.ohio.gov/ohio-revised-code/section-4112.021" TargetMode="External"/><Relationship Id="rId2206" Type="http://schemas.openxmlformats.org/officeDocument/2006/relationships/hyperlink" Target="https://casetext.com/case/pierre-v-fire-dept-of-the-city-of-ny" TargetMode="External"/><Relationship Id="rId2413" Type="http://schemas.openxmlformats.org/officeDocument/2006/relationships/hyperlink" Target="https://cases.justia.com/ohio/ninth-district-court-of-appeals/2018-28746.pdf?ts=1532525904" TargetMode="External"/><Relationship Id="rId2620" Type="http://schemas.openxmlformats.org/officeDocument/2006/relationships/hyperlink" Target="https://www.rcfp.org/anti-slapp-legal-guide/" TargetMode="External"/><Relationship Id="rId2858" Type="http://schemas.openxmlformats.org/officeDocument/2006/relationships/hyperlink" Target="file:///C:/Users/lawre/Downloads/Board%20Decision.pdf" TargetMode="External"/><Relationship Id="rId99" Type="http://schemas.openxmlformats.org/officeDocument/2006/relationships/hyperlink" Target="https://cases.justia.com/federal/appellate-courts/ca3/24-1567/24-1567-2024-12-17.pdf?ts=1734458412" TargetMode="External"/><Relationship Id="rId1015" Type="http://schemas.openxmlformats.org/officeDocument/2006/relationships/hyperlink" Target="http://www.la-fcca.org/opiniongrid/opinionpdf/2018%20CA%200905%20Decision%20Appeal.pdf" TargetMode="External"/><Relationship Id="rId1222" Type="http://schemas.openxmlformats.org/officeDocument/2006/relationships/hyperlink" Target="http://app.leg.wa.gov/RCW/default.aspx?cite=41.26.030" TargetMode="External"/><Relationship Id="rId1667" Type="http://schemas.openxmlformats.org/officeDocument/2006/relationships/hyperlink" Target="https://cases.justia.com/federal/appellate-courts/ca11/22-10002/22-10002-2023-10-11.pdf?ts=1697045568" TargetMode="External"/><Relationship Id="rId1874" Type="http://schemas.openxmlformats.org/officeDocument/2006/relationships/hyperlink" Target="https://www.wtoc.com/2018/10/12/president-savannah-firefighters-association-arrested-incident-colorado/" TargetMode="External"/><Relationship Id="rId2718" Type="http://schemas.openxmlformats.org/officeDocument/2006/relationships/hyperlink" Target="https://appellatecases.courtinfo.ca.gov/search/case/disposition.cfm?dist=0&amp;doc_id=2345572&amp;doc_no=S268086&amp;request_token=NiIwLSEmTkw5W1BRSSItTENJQEg0UDxTJSBeRzJSUCAgCg%3D%3D" TargetMode="External"/><Relationship Id="rId2925" Type="http://schemas.openxmlformats.org/officeDocument/2006/relationships/hyperlink" Target="https://www.law.cornell.edu/definitions/index.php?width=840&amp;height=800&amp;iframe=true&amp;def_id=9a9967765d66aa590fb1c23dca01a8bd&amp;term_occur=999&amp;term_src=Title:24:Subtitle:B:Chapter:II:Subchapter:I:Part:291:Subpart:F:291.530" TargetMode="External"/><Relationship Id="rId1527" Type="http://schemas.openxmlformats.org/officeDocument/2006/relationships/hyperlink" Target="https://casetext.com/case/dyer-v-city-of-new-orleans-2" TargetMode="External"/><Relationship Id="rId1734" Type="http://schemas.openxmlformats.org/officeDocument/2006/relationships/hyperlink" Target="https://casetext.com/case/gilbert-v-city-of-newport" TargetMode="External"/><Relationship Id="rId1941" Type="http://schemas.openxmlformats.org/officeDocument/2006/relationships/hyperlink" Target="https://www.10tv.com/article/news/nation-world/firefighter-charged-killing-pregnant-teen-dui-crash/530-c59458ea-0d76-4ce2-8b1e-022640f424f8" TargetMode="External"/><Relationship Id="rId26" Type="http://schemas.openxmlformats.org/officeDocument/2006/relationships/hyperlink" Target="https://cases.justia.com/federal/appellate-courts/ca4/22-4489/22-4489-2024-07-09.pdf?ts=1720549856" TargetMode="External"/><Relationship Id="rId175" Type="http://schemas.openxmlformats.org/officeDocument/2006/relationships/hyperlink" Target="https://www.law.cornell.edu/rules/fre/rule_702" TargetMode="External"/><Relationship Id="rId1801" Type="http://schemas.openxmlformats.org/officeDocument/2006/relationships/hyperlink" Target="http://flsa-optin.com/" TargetMode="External"/><Relationship Id="rId382" Type="http://schemas.openxmlformats.org/officeDocument/2006/relationships/hyperlink" Target="https://supreme.justia.com/cases/federal/us/391/563/" TargetMode="External"/><Relationship Id="rId687" Type="http://schemas.openxmlformats.org/officeDocument/2006/relationships/hyperlink" Target="https://krcrtv.com/news/local/long-awaited-settlement-conference-in-fawn-fire-arson-case-brings-hope-to-victims" TargetMode="External"/><Relationship Id="rId2063" Type="http://schemas.openxmlformats.org/officeDocument/2006/relationships/hyperlink" Target="https://www.pacourts.us/assets/opinions/Superior/out/J-S30019-25o%20-%20106515413327511102.pdf?cb=1" TargetMode="External"/><Relationship Id="rId2270" Type="http://schemas.openxmlformats.org/officeDocument/2006/relationships/hyperlink" Target="https://www.opn.ca6.uscourts.gov/opinions.pdf/21a0287p-06.pdf" TargetMode="External"/><Relationship Id="rId2368" Type="http://schemas.openxmlformats.org/officeDocument/2006/relationships/hyperlink" Target="https://www.npr.org/sections/coronavirus-live-updates/2020/04/12/832644243/kansas-supreme-court-upholds-governors-order-limiting-the-size-of-easter-service" TargetMode="External"/><Relationship Id="rId242" Type="http://schemas.openxmlformats.org/officeDocument/2006/relationships/hyperlink" Target="https://www.mainelegislature.org/legis/statutes/17/title17sec2857.html" TargetMode="External"/><Relationship Id="rId894" Type="http://schemas.openxmlformats.org/officeDocument/2006/relationships/hyperlink" Target="https://www.eff.org/files/2022/07/11/2022-07-11_-_tenth_circuit_-_irizarry_v_yehia.pdf" TargetMode="External"/><Relationship Id="rId1177" Type="http://schemas.openxmlformats.org/officeDocument/2006/relationships/hyperlink" Target="http://app.leg.wa.gov/RCW/default.aspx?cite=51.08.140" TargetMode="External"/><Relationship Id="rId2130" Type="http://schemas.openxmlformats.org/officeDocument/2006/relationships/hyperlink" Target="https://www.youtube.com/watch?v=o3-MrFOLXFs" TargetMode="External"/><Relationship Id="rId2575" Type="http://schemas.openxmlformats.org/officeDocument/2006/relationships/hyperlink" Target="https://app.midpage.ai/document/geer-v-secretary-department-of-11133637?refG=true" TargetMode="External"/><Relationship Id="rId2782" Type="http://schemas.openxmlformats.org/officeDocument/2006/relationships/hyperlink" Target="http://www.illinoiscourts.gov/R23_Orders/AppellateCourt/2019/1stDistrict/1181422_R23.pdf" TargetMode="External"/><Relationship Id="rId102" Type="http://schemas.openxmlformats.org/officeDocument/2006/relationships/hyperlink" Target="https://casetext.com/statute/united-states-code/title-18-crimes-and-criminal-procedure/part-i-crimes/chapter-40-importation-manufacture-distribution-and-storage-of-explosive-materials/section-844-penalties" TargetMode="External"/><Relationship Id="rId547" Type="http://schemas.openxmlformats.org/officeDocument/2006/relationships/hyperlink" Target="https://public.fastcase.com/9SKwsfNqTc6OieYDhNMyM3Zf%2BPwzrkIbdAwXmhTtl8LsaOGFJIHcsZBv5iyM%2B426E1WD6poza6PbNV5FFspTPxqJQS%2BqrXpJYGMVjXOs9qA%3D" TargetMode="External"/><Relationship Id="rId754" Type="http://schemas.openxmlformats.org/officeDocument/2006/relationships/hyperlink" Target="https://www.thestate.com/news/local/crime/article253733108.html" TargetMode="External"/><Relationship Id="rId961" Type="http://schemas.openxmlformats.org/officeDocument/2006/relationships/hyperlink" Target="https://abc7.com/orange-crash-fire-truck-motorcycle-and/5333918/" TargetMode="External"/><Relationship Id="rId1384" Type="http://schemas.openxmlformats.org/officeDocument/2006/relationships/hyperlink" Target="https://www.reviewjournal.com/local/sex-cover-up-at-las-vegas-fire-station-alleged-in-document/" TargetMode="External"/><Relationship Id="rId1591" Type="http://schemas.openxmlformats.org/officeDocument/2006/relationships/hyperlink" Target="https://news.bloomberglaw.com/daily-labor-report/doj-says-black-ems-captains-can-prove-bias-without-material-harm" TargetMode="External"/><Relationship Id="rId1689" Type="http://schemas.openxmlformats.org/officeDocument/2006/relationships/hyperlink" Target="https://www.justice.gov/crt/case-document/file/1583736/download" TargetMode="External"/><Relationship Id="rId2228" Type="http://schemas.openxmlformats.org/officeDocument/2006/relationships/hyperlink" Target="https://media.ca11.uscourts.gov/opinions/unpub/files/201914294.pdf" TargetMode="External"/><Relationship Id="rId2435" Type="http://schemas.openxmlformats.org/officeDocument/2006/relationships/hyperlink" Target="https://cases.justia.com/federal/appellate-courts/ca5/25-60108/25-60108-2026-07-21.pdf?ts=1784680232" TargetMode="External"/><Relationship Id="rId2642" Type="http://schemas.openxmlformats.org/officeDocument/2006/relationships/hyperlink" Target="https://cases.justia.com/federal/district-courts/tennessee/tnmdce/3:2021cv00042/85053/46/0.pdf?ts=1695225093" TargetMode="External"/><Relationship Id="rId90" Type="http://schemas.openxmlformats.org/officeDocument/2006/relationships/hyperlink" Target="https://www.supremecourt.gov/opinions/24pdf/22-7466new_6479.pdf" TargetMode="External"/><Relationship Id="rId407" Type="http://schemas.openxmlformats.org/officeDocument/2006/relationships/hyperlink" Target="https://cases.justia.com/federal/district-courts/new-york/nyndce/6:2024cv00956/144608/40/0.pdf?ts=1769171952" TargetMode="External"/><Relationship Id="rId614" Type="http://schemas.openxmlformats.org/officeDocument/2006/relationships/hyperlink" Target="https://cases.justia.com/kentucky/court-of-appeals/2018-2016-ca-001534-mr.pdf?ts=1527861797" TargetMode="External"/><Relationship Id="rId821" Type="http://schemas.openxmlformats.org/officeDocument/2006/relationships/hyperlink" Target="https://cdn.ca9.uscourts.gov/datastore/opinions/2020/02/28/19-15716.pdf" TargetMode="External"/><Relationship Id="rId1037" Type="http://schemas.openxmlformats.org/officeDocument/2006/relationships/hyperlink" Target="https://cases.justia.com/new-york/other-courts/2026-2026-ny-slip-op-30695-u.pdf?ts=1773178122" TargetMode="External"/><Relationship Id="rId1244" Type="http://schemas.openxmlformats.org/officeDocument/2006/relationships/hyperlink" Target="https://www.delawareonline.com/story/news/2019/04/26/former-wilmington-fire-chief-gets-prison-time-theft/3588123002/" TargetMode="External"/><Relationship Id="rId1451" Type="http://schemas.openxmlformats.org/officeDocument/2006/relationships/hyperlink" Target="https://www.leagle.com/cite/653%20F.2d%20180" TargetMode="External"/><Relationship Id="rId1896" Type="http://schemas.openxmlformats.org/officeDocument/2006/relationships/hyperlink" Target="https://www.dol.gov/whd/opinion/FLSA/2018/2018_01_05_05_FLSA.pdf" TargetMode="External"/><Relationship Id="rId2502" Type="http://schemas.openxmlformats.org/officeDocument/2006/relationships/hyperlink" Target="mailto:Birkleea@ucmail.uc.edu" TargetMode="External"/><Relationship Id="rId2947" Type="http://schemas.openxmlformats.org/officeDocument/2006/relationships/hyperlink" Target="https://fisheldowney.com/moving-away-mandatory-arbitration-sexual-assault-harassment-claims/" TargetMode="External"/><Relationship Id="rId919" Type="http://schemas.openxmlformats.org/officeDocument/2006/relationships/hyperlink" Target="https://ad4.nycourts.gov/njs/term/argument/calendar?date=2021-05-27T00:00:00.000Z&amp;venue=1&amp;calnbr=633" TargetMode="External"/><Relationship Id="rId1104" Type="http://schemas.openxmlformats.org/officeDocument/2006/relationships/hyperlink" Target="https://www.ncbi.nlm.nih.gov/pmc/articles/PMC10455106/" TargetMode="External"/><Relationship Id="rId1311" Type="http://schemas.openxmlformats.org/officeDocument/2006/relationships/hyperlink" Target="https://caselaw.findlaw.com/us-9th-circuit/1864754.html" TargetMode="External"/><Relationship Id="rId1549" Type="http://schemas.openxmlformats.org/officeDocument/2006/relationships/hyperlink" Target="https://cases.justia.com/federal/district-courts/kansas/ksdce/6:2022cv01032/140026/96/0.pdf?ts=1694273736" TargetMode="External"/><Relationship Id="rId1756" Type="http://schemas.openxmlformats.org/officeDocument/2006/relationships/hyperlink" Target="https://www.dol.gov/agencies/vets/programs/userra/USERRA-Pocket-Guide" TargetMode="External"/><Relationship Id="rId1963" Type="http://schemas.openxmlformats.org/officeDocument/2006/relationships/hyperlink" Target="https://dreamcenterforrecovery.com/can-take-suboxone-still-go-work/" TargetMode="External"/><Relationship Id="rId2807" Type="http://schemas.openxmlformats.org/officeDocument/2006/relationships/hyperlink" Target="https://cases.justia.com/federal/appellate-courts/ca5/25-30305/25-30305-2026-07-17.pdf?ts=1784331031" TargetMode="External"/><Relationship Id="rId48" Type="http://schemas.openxmlformats.org/officeDocument/2006/relationships/hyperlink" Target="https://law.justia.com/cases/kentucky/supreme-court/2025/2023-sc-0395-dg.html" TargetMode="External"/><Relationship Id="rId1409" Type="http://schemas.openxmlformats.org/officeDocument/2006/relationships/hyperlink" Target="https://public.fastcase.com/waZtJvSA54UAurM2rmIZzzCYJhAha3GGo3AEN0d5yD5AXzBU0GIzy8sJKIx0m%2BEEHwIyJuWgbxH4Xd2BL4DW9aTliyBT6bOFBbV5rp7%2BS3s%3D" TargetMode="External"/><Relationship Id="rId1616" Type="http://schemas.openxmlformats.org/officeDocument/2006/relationships/hyperlink" Target="https://www.law.com/nationallawjournal/2020/03/23/why-ginsburg-joined-a-ruling-civil-rights-advocates-decry-as-terrible/" TargetMode="External"/><Relationship Id="rId1823" Type="http://schemas.openxmlformats.org/officeDocument/2006/relationships/hyperlink" Target="https://www.shrm.org/resourcesandtools/legal-and-compliance/employment-law/pages/supreme-court-helix-flsa-exemption.aspx" TargetMode="External"/><Relationship Id="rId197" Type="http://schemas.openxmlformats.org/officeDocument/2006/relationships/hyperlink" Target="https://apps.legislature.ky.gov/law/statutes/statute.aspx?id=44007" TargetMode="External"/><Relationship Id="rId2085" Type="http://schemas.openxmlformats.org/officeDocument/2006/relationships/hyperlink" Target="https://cases.justia.com/louisiana/fourth-circuit-court-of-appeal/2025-2024-ca-0437.pdf?ts=1741310103" TargetMode="External"/><Relationship Id="rId2292" Type="http://schemas.openxmlformats.org/officeDocument/2006/relationships/hyperlink" Target="https://public.fastcase.com/" TargetMode="External"/><Relationship Id="rId264" Type="http://schemas.openxmlformats.org/officeDocument/2006/relationships/hyperlink" Target="https://www.supremecourt.gov/opinions/20pdf/19-1414_8m58.pdf" TargetMode="External"/><Relationship Id="rId471" Type="http://schemas.openxmlformats.org/officeDocument/2006/relationships/hyperlink" Target="https://cases.justia.com/kentucky/court-of-appeals/2024-2023-ca-0968-mr.pdf?ts=1724421865" TargetMode="External"/><Relationship Id="rId2152" Type="http://schemas.openxmlformats.org/officeDocument/2006/relationships/hyperlink" Target="https://www.contracosta.ca.gov/DocumentCenter/View/79107/Final-LEIFI-Ivan-Gutzalenko--2021" TargetMode="External"/><Relationship Id="rId2597" Type="http://schemas.openxmlformats.org/officeDocument/2006/relationships/hyperlink" Target="https://www.ca5.uscourts.gov/opinions/pub/23/23-10881-CV0.pdf" TargetMode="External"/><Relationship Id="rId124" Type="http://schemas.openxmlformats.org/officeDocument/2006/relationships/hyperlink" Target="https://www.indeonline.com/story/news/2013/01/30/massillon-woman-gets-7-years/65001393007/" TargetMode="External"/><Relationship Id="rId569" Type="http://schemas.openxmlformats.org/officeDocument/2006/relationships/hyperlink" Target="https://www.leagle.com/decision/infdco20200526m70" TargetMode="External"/><Relationship Id="rId776" Type="http://schemas.openxmlformats.org/officeDocument/2006/relationships/hyperlink" Target="https://www.law.cornell.edu/uscode/text/8/1229b" TargetMode="External"/><Relationship Id="rId983" Type="http://schemas.openxmlformats.org/officeDocument/2006/relationships/hyperlink" Target="https://codes.ohio.gov/ohio-administrative-code/rule-3335-21-12" TargetMode="External"/><Relationship Id="rId1199" Type="http://schemas.openxmlformats.org/officeDocument/2006/relationships/hyperlink" Target="https://www.courts.state.md.us/data/opinions/coa/2021/36a20.pdf" TargetMode="External"/><Relationship Id="rId2457" Type="http://schemas.openxmlformats.org/officeDocument/2006/relationships/hyperlink" Target="https://public.fastcase.com/jaEE2PXzRXmZ99jOLMt1IgF1yYEhvQDwrp3nUQiGNB%2BGSciFeLM%2FmBTuULLxAVc6AJd7N%2FBSzM%2BwBsHVa7Iixu%2BNwJWRs9nDd4Lbk0%2BZyEc%3D?utm_medium=email&amp;_hsenc=p2ANqtz-_AJp8PZettrdOWllyvjduuYkYNLjKGvTo7FG_iUypW4feeCV7HNQpd9yy59szCksxig4Y61bV5hSQSKDqcsmFU4r11KQ&amp;_hsmi=226712652&amp;utm_content=226712652&amp;utm_source=hs_email" TargetMode="External"/><Relationship Id="rId2664" Type="http://schemas.openxmlformats.org/officeDocument/2006/relationships/hyperlink" Target="https://public.fastcase.com/J%2FJP6pdidelsXxEE4k%2BLMjaDEWROmrH16cfc6gra3ASxsA6ABb5gmKr7dgTVPZFAyucR%2F24MD4mhTmh6U3JDqNSXBmdIcjdrjArbqC4ueHA%3D?utm_medium=email&amp;_hsmi=226712652&amp;_hsenc=p2ANqtz-8djIG1sQ_3FyKMXC40KW2oDEllslyVj_QIL_DW9IJ-72SY8jUMapn9qVvf0Txy9Aeh2fYzSIF_AEMjkupRX651B5mjNw&amp;utm_content=226712652&amp;utm_source=hs_email" TargetMode="External"/><Relationship Id="rId331" Type="http://schemas.openxmlformats.org/officeDocument/2006/relationships/hyperlink" Target="https://cases.justia.com/ohio/eighth-district-court-of-appeals/2019-108224.pdf?ts=1576167401" TargetMode="External"/><Relationship Id="rId429" Type="http://schemas.openxmlformats.org/officeDocument/2006/relationships/hyperlink" Target="https://indianacapitalchronicle.com/briefs/buffer-zone-clarification-heads-to-governors-desk/" TargetMode="External"/><Relationship Id="rId636" Type="http://schemas.openxmlformats.org/officeDocument/2006/relationships/hyperlink" Target="https://public.fastcase.com/Jhe1Qn%2BmJndQYQU6z%2FeNm525CuDWbNdyVkYCPMsZ0T5YpmzSSkpneXijYslIbSF5OmudrAoxw3Ae8PMhEMNZsP67fNH%2FZ%2FwnrBtLVmm5SAU%3D?utm_medium=email&amp;_hsenc=p2ANqtz-9semzM2ZQJ5MEhp_UWNRAg9Ejc_wupFqaRucLy6fQyzUPCHHSZ-OwHACqIjxggJtdwV9jTjO8a6Rf4TL88Oco6y4mJgQ&amp;_hsmi=226712652&amp;utm_content=226712652&amp;utm_source=hs_email" TargetMode="External"/><Relationship Id="rId1059" Type="http://schemas.openxmlformats.org/officeDocument/2006/relationships/hyperlink" Target="https://cases.justia.com/washington/supreme-court/2025-103-121-1.pdf?ts=1750950890" TargetMode="External"/><Relationship Id="rId1266" Type="http://schemas.openxmlformats.org/officeDocument/2006/relationships/hyperlink" Target="https://public.fastcase.com/Wl%2B2t%2BeVuI35%2FN70vAMFZp5steAbFsjz8D5zs28wLVD2J2xhMYzUEH8PyP%2BVbQO%2B" TargetMode="External"/><Relationship Id="rId1473" Type="http://schemas.openxmlformats.org/officeDocument/2006/relationships/hyperlink" Target="https://assets.documentcloud.org/documents/5745040/Better-Balance.pdf" TargetMode="External"/><Relationship Id="rId2012" Type="http://schemas.openxmlformats.org/officeDocument/2006/relationships/hyperlink" Target="https://s3.amazonaws.com/jnswire/jns-media/cc/cd/14348583/BaumgartnervChicago.pdf" TargetMode="External"/><Relationship Id="rId2317" Type="http://schemas.openxmlformats.org/officeDocument/2006/relationships/hyperlink" Target="https://caselaw.findlaw.com/us-4th-circuit/1602456.html" TargetMode="External"/><Relationship Id="rId2871" Type="http://schemas.openxmlformats.org/officeDocument/2006/relationships/hyperlink" Target="https://casetext.com/case/reed-v-city-of-conway" TargetMode="External"/><Relationship Id="rId843" Type="http://schemas.openxmlformats.org/officeDocument/2006/relationships/hyperlink" Target="http://www.paed.uscourts.gov/documents/opinions/18D0391P.pdf" TargetMode="External"/><Relationship Id="rId1126" Type="http://schemas.openxmlformats.org/officeDocument/2006/relationships/hyperlink" Target="https://casetext.com/case/the-providence-retired-police-firefighters-assn-v-city-of-providence" TargetMode="External"/><Relationship Id="rId1680" Type="http://schemas.openxmlformats.org/officeDocument/2006/relationships/hyperlink" Target="https://public.fastcase.com/ZZhmr5v9wN%2FXOe5IsQ%2FqD3krOQsYv7d%2B2FRanieXHrmbYJPE10W29y6OT9Ia%2FWEvM783GCgc1J%2FsNiq8x9hdfsWhS9nPoC1uzPRzllCUOIc%3D?utm_medium=email&amp;_hsmi=226712652&amp;_hsenc=p2ANqtz-8spF1R7Tf8jpK24zY2dxus9kZGwVA1F9Ooj2BZLJ_FR6fOEX3itYzYoKF0bR9AZ1zkqCBHaC-K0F7fdoWy1HLEeYJb6g&amp;utm_content=226712652&amp;utm_source=hs_email" TargetMode="External"/><Relationship Id="rId1778" Type="http://schemas.openxmlformats.org/officeDocument/2006/relationships/hyperlink" Target="https://www.carolinajournal.com/wp-content/uploads/2025/04/cleveland-ot-128-033125-courtorder.pdf" TargetMode="External"/><Relationship Id="rId1985" Type="http://schemas.openxmlformats.org/officeDocument/2006/relationships/hyperlink" Target="https://codes.ohio.gov/orc/2925.11" TargetMode="External"/><Relationship Id="rId2524" Type="http://schemas.openxmlformats.org/officeDocument/2006/relationships/hyperlink" Target="https://www.workcompcentral.com/news/article/id/850f78207bb1c8ba2a379062de5cedbf763208fe" TargetMode="External"/><Relationship Id="rId2731" Type="http://schemas.openxmlformats.org/officeDocument/2006/relationships/hyperlink" Target="https://www.fireengineering.com/2020/11/02/495783/nj-firefighter-fired-three-hours-into-first-day-can-stay-on-job-court-rules/?utm_medium=email&amp;utm_campaign=2020-11-03&amp;utm_source=fe_daily_newsletter" TargetMode="External"/><Relationship Id="rId2829" Type="http://schemas.openxmlformats.org/officeDocument/2006/relationships/hyperlink" Target="https://ilcourtsaudio.blob.core.windows.net/antilles-resources/resources/7509d61b-3a3a-4986-bb3a-7cce5964f936/Village%20of%20Roselle%20v.%20Illinois%20Workers'%20Compensation%20Comm'n,%202025%20IL%20App%20(3rd)%20240306WC-U.pdf" TargetMode="External"/><Relationship Id="rId703" Type="http://schemas.openxmlformats.org/officeDocument/2006/relationships/hyperlink" Target="https://research.wisc.edu/uncategorized/2023/07/13/federal-interim-rule-implements-tiktok-ban-on-devices-used-in-the-performance-of-federal-contracts/" TargetMode="External"/><Relationship Id="rId910" Type="http://schemas.openxmlformats.org/officeDocument/2006/relationships/hyperlink" Target="https://casetext.com/case/doe-v-jackson-local-sch-dist-bd-of-educ" TargetMode="External"/><Relationship Id="rId1333" Type="http://schemas.openxmlformats.org/officeDocument/2006/relationships/hyperlink" Target="https://public.fastcase.com/Jhe1Qn%2BmJndQYQU6z%2FeNm4EknQ9bna34cDUqwi843otGfsnh4A%2FeYA9Hr6KrteFypi4%2BJsSKfbktA3m%2FwjVXVmU7hL2EQjK1ikmyt15wjVE%3D?utm_medium=email&amp;_hsenc=p2ANqtz--0s-Gqa1uWmBF4bwmJiG-zFePE1DiZBvElWG9MDL4AExGpxO5pGHEbiE5NOgiOIpfGRDMDibK3WS6s5HJa2qaBlry6oQ&amp;_hsmi=226712652&amp;utm_content=226712652&amp;utm_source=hs_email" TargetMode="External"/><Relationship Id="rId1540" Type="http://schemas.openxmlformats.org/officeDocument/2006/relationships/hyperlink" Target="https://ww3.ca2.uscourts.gov/decisions/isysquery/16788bba-62d9-413f-95b7-7dccd6899f82/2/doc/23-482_so.pdf" TargetMode="External"/><Relationship Id="rId1638" Type="http://schemas.openxmlformats.org/officeDocument/2006/relationships/hyperlink" Target="https://cases.justia.com/texas/twelfth-court-of-appeals/2026-12-25-00273-cv.pdf?ts=1775749638" TargetMode="External"/><Relationship Id="rId135" Type="http://schemas.openxmlformats.org/officeDocument/2006/relationships/hyperlink" Target="https://www.law.cornell.edu/wex/federal_rules_of_evidence" TargetMode="External"/><Relationship Id="rId342" Type="http://schemas.openxmlformats.org/officeDocument/2006/relationships/hyperlink" Target="https://cases.justia.com/illinois/court-of-appeals-fifth-appellate-district/2019-5-18-0064.pdf?ts=1553818548" TargetMode="External"/><Relationship Id="rId787" Type="http://schemas.openxmlformats.org/officeDocument/2006/relationships/hyperlink" Target="https://www.law.cornell.edu/definitions/uscode.php?width=840&amp;height=800&amp;iframe=true&amp;def_id=8-USC-92903111-1485256781&amp;term_occur=999&amp;term_src=" TargetMode="External"/><Relationship Id="rId994" Type="http://schemas.openxmlformats.org/officeDocument/2006/relationships/hyperlink" Target="https://law.justia.com/cases/texas/thirteenth-court-of-appeals/2022/13-20-00315-cv.html" TargetMode="External"/><Relationship Id="rId1400" Type="http://schemas.openxmlformats.org/officeDocument/2006/relationships/hyperlink" Target="https://public.fastcase.com/ZZhmr5v9wN%2FXOe5IsQ%2FqD%2Bhqb5sNCIqd5RJe%2FxM2hjFRyaJ31hb16ZTOa0HcnlDHTYd64r6bH4XUHVSC8TORCsm2%2BcMn7uR9MfnM7VfyK9g%3D?utm_medium=email&amp;_hsmi=226712652&amp;_hsenc=p2ANqtz-9j81kRsw27tcbjTzGhgoW98dbte_kRv0VGtzskzMbh4aiP0Af373qngGXkbsJh41xl15DsBfvJ97QkgeVHOPx0003AwA&amp;utm_content=226712652&amp;utm_source=hs_email" TargetMode="External"/><Relationship Id="rId1845" Type="http://schemas.openxmlformats.org/officeDocument/2006/relationships/hyperlink" Target="http://www.firefighterovertime.org/wp-content/uploads/2021/04/KC-MO-FF-FLSA-Complaint-1.pdf" TargetMode="External"/><Relationship Id="rId2023" Type="http://schemas.openxmlformats.org/officeDocument/2006/relationships/hyperlink" Target="https://law.justia.com/codes/idaho/title-37/chapter-27/article-iv/section-37-2739c/" TargetMode="External"/><Relationship Id="rId2230" Type="http://schemas.openxmlformats.org/officeDocument/2006/relationships/hyperlink" Target="https://mdcourts.gov/data/opinions/cosa/2022/1037s21.pdf" TargetMode="External"/><Relationship Id="rId2468" Type="http://schemas.openxmlformats.org/officeDocument/2006/relationships/hyperlink" Target="https://app.leg.wa.gov/RCW/default.aspx?cite=18.73.030" TargetMode="External"/><Relationship Id="rId2675" Type="http://schemas.openxmlformats.org/officeDocument/2006/relationships/hyperlink" Target="https://burned.journalism.cuny.edu/the-diverse-minds-of-arsonists/" TargetMode="External"/><Relationship Id="rId2882" Type="http://schemas.openxmlformats.org/officeDocument/2006/relationships/hyperlink" Target="https://www.nwitimes.com/news/local/lake/east-chicago/judge-orders-east-chicago-to-give-firefighters-back-their-old-work-shifts/article_0a0ebd36-f823-513f-a2fc-d1d6d95613d7.html" TargetMode="External"/><Relationship Id="rId202" Type="http://schemas.openxmlformats.org/officeDocument/2006/relationships/hyperlink" Target="https://news.wosu.org/politics-government/2022-06-13/ohio-governor-signs-bill-allowing-armed-school-employees" TargetMode="External"/><Relationship Id="rId647" Type="http://schemas.openxmlformats.org/officeDocument/2006/relationships/hyperlink" Target="https://ecf.rid.uscourts.gov/cgi-bin/show_public_doc?2025cv0495-53" TargetMode="External"/><Relationship Id="rId854" Type="http://schemas.openxmlformats.org/officeDocument/2006/relationships/hyperlink" Target="https://www.fs.usda.gov/r06/willamette/fire/info/beachie-creek-fire" TargetMode="External"/><Relationship Id="rId1277" Type="http://schemas.openxmlformats.org/officeDocument/2006/relationships/hyperlink" Target="https://public.fastcase.com/Wl%2B2t%2BeVuI35%2FN70vAMFZv4uc1sCbMG5dFxJ8lan7QREifr4yKlj8U3C7mB5N4Yr" TargetMode="External"/><Relationship Id="rId1484" Type="http://schemas.openxmlformats.org/officeDocument/2006/relationships/hyperlink" Target="https://www.oyez.org/cases/1967/510" TargetMode="External"/><Relationship Id="rId1691" Type="http://schemas.openxmlformats.org/officeDocument/2006/relationships/hyperlink" Target="https://www.eeoc.gov/laws/guidance/questions-and-answers-final-rule-implementing-ada-amendments-act-2008" TargetMode="External"/><Relationship Id="rId1705" Type="http://schemas.openxmlformats.org/officeDocument/2006/relationships/hyperlink" Target="https://www.jacksonville.com/story/news/courts/2020/11/25/jacksonville-lawsuit-cleanshaven-rule-unfair-black-firefighters/6406374002/" TargetMode="External"/><Relationship Id="rId1912" Type="http://schemas.openxmlformats.org/officeDocument/2006/relationships/hyperlink" Target="https://cases.justia.com/federal/district-courts/florida/flmdce/2:2024cv00585/429227/35/0.pdf?ts=1768388107" TargetMode="External"/><Relationship Id="rId2328" Type="http://schemas.openxmlformats.org/officeDocument/2006/relationships/hyperlink" Target="https://cdn.ymaws.com/aams.site-ym.com/resource/resmgr/website_resources/aams_statements/aams_statementonbalancebilli.pdf" TargetMode="External"/><Relationship Id="rId2535" Type="http://schemas.openxmlformats.org/officeDocument/2006/relationships/hyperlink" Target="https://www.supremecourt.ohio.gov/rod/docs/pdf/10/2026/2026-Ohio-1981.pdf" TargetMode="External"/><Relationship Id="rId2742" Type="http://schemas.openxmlformats.org/officeDocument/2006/relationships/hyperlink" Target="https://www.nbcphiladelphia.com/news/local/firefighter-fraudulently-collected-disability-pension/151491/" TargetMode="External"/><Relationship Id="rId286" Type="http://schemas.openxmlformats.org/officeDocument/2006/relationships/hyperlink" Target="https://www.law.cornell.edu/definitions/uscode.php?width=840&amp;height=800&amp;iframe=true&amp;def_id=18-USC-1230698398-816587252&amp;term_occur=999&amp;term_src=title:18:part:I:chapter:44:section:922" TargetMode="External"/><Relationship Id="rId493" Type="http://schemas.openxmlformats.org/officeDocument/2006/relationships/hyperlink" Target="https://casetext.com/case/malone-v-jacobs" TargetMode="External"/><Relationship Id="rId507" Type="http://schemas.openxmlformats.org/officeDocument/2006/relationships/hyperlink" Target="https://casetext.com/case/calatayud-iii-v-state" TargetMode="External"/><Relationship Id="rId714" Type="http://schemas.openxmlformats.org/officeDocument/2006/relationships/hyperlink" Target="https://caselaw.findlaw.com/court/us-7th-circuit/114903686.html" TargetMode="External"/><Relationship Id="rId921" Type="http://schemas.openxmlformats.org/officeDocument/2006/relationships/hyperlink" Target="https://casetext.com/case/schladetzky-v-doe-1" TargetMode="External"/><Relationship Id="rId1137" Type="http://schemas.openxmlformats.org/officeDocument/2006/relationships/hyperlink" Target="https://public.fastcase.com/J%2FJP6pdidelsXxEE4k%2BLMqXEJeUJZsYN8XwYWOyUlC0GPh%2F%2Bwkq0xl5anyRaTE9QaHRZkEBmW2yHOKZORN4PlxYhmnon1IB%2FHyIvmx43UH0%3D?utm_medium=email&amp;_hsmi=226712652&amp;_hsenc=p2ANqtz-9rfqpJ9UH1QBxXvlnF05ow2K3pkk0BVnTTX6Sp6SY3f-pdahd0e2LayjJ1D5QImVRxXi3oa7lL84FVoA8yZRWqxdZ-pA&amp;utm_content=226712652&amp;utm_source=hs_email" TargetMode="External"/><Relationship Id="rId1344" Type="http://schemas.openxmlformats.org/officeDocument/2006/relationships/hyperlink" Target="https://public.fastcase.com/jaEE2PXzRXmZ99jOLMt1Iuq7qc0gfVcydq4UksJKYaPvhnQoV2Tur9kW43Sd%2BCHWkw1LFd5eYMpsqupxEAJwLBiVNyDEOcfOyFpt494LsV4%3D?utm_medium=email&amp;_hsenc=p2ANqtz-9JDPujkqcb7TpRksmi2p_USQgVGerxf-hzLRNOYIOWKeqjT-lj5XLhttLuYWUDIXmtoE1M_nS89zbeKXXmbJi1pvu4VQ&amp;_hsmi=226712652&amp;utm_content=226712652&amp;utm_source=hs_email" TargetMode="External"/><Relationship Id="rId1551" Type="http://schemas.openxmlformats.org/officeDocument/2006/relationships/hyperlink" Target="https://casetext.com/case/roper-v-city-of-cincinnati" TargetMode="External"/><Relationship Id="rId1789" Type="http://schemas.openxmlformats.org/officeDocument/2006/relationships/hyperlink" Target="https://www.firefighterovertime.org/wp-content/uploads/2024/07/US_DIS_SCD_9_21cv3964_d87991559e1450_ORDER_denying_40_Motion_for_Summary_Judgment_grant.pdf" TargetMode="External"/><Relationship Id="rId1996" Type="http://schemas.openxmlformats.org/officeDocument/2006/relationships/hyperlink" Target="https://cases.justia.com/federal/district-courts/washington/wawdce/2:2023cv01095/324497/258/0.pdf?ts=1785113252" TargetMode="External"/><Relationship Id="rId2174" Type="http://schemas.openxmlformats.org/officeDocument/2006/relationships/hyperlink" Target="https://cases.justia.com/pennsylvania/superior-court/2023-1846-eda-2021.pdf?ts=1703100172" TargetMode="External"/><Relationship Id="rId2381" Type="http://schemas.openxmlformats.org/officeDocument/2006/relationships/hyperlink" Target="https://scholar.google.com/scholar_case?case=2959279778538737103&amp;hl=en&amp;as_sdt=6,36" TargetMode="External"/><Relationship Id="rId2602" Type="http://schemas.openxmlformats.org/officeDocument/2006/relationships/hyperlink" Target="https://cases.justia.com/michigan/court-of-appeals-unpublished/2025-368047.pdf?ts=1745586008" TargetMode="External"/><Relationship Id="rId50" Type="http://schemas.openxmlformats.org/officeDocument/2006/relationships/hyperlink" Target="https://www.cincinnati-oh.gov/fire/recruiting/requirements-to-apply/" TargetMode="External"/><Relationship Id="rId146" Type="http://schemas.openxmlformats.org/officeDocument/2006/relationships/hyperlink" Target="https://www.courts.michigan.gov/49940f/siteassets/case-documents/uploads/opinions/final/sct/164948_142_01.pdf" TargetMode="External"/><Relationship Id="rId353" Type="http://schemas.openxmlformats.org/officeDocument/2006/relationships/hyperlink" Target="https://www.mass.gov/files/documents/2018/06/22/ASAB%2017-04%20%2044%20Mt.%20Vernon%20St.%2C%20Fitchburg.pdf?_ga=2.103697088.170248601.1551215432-2018690554.1551215432" TargetMode="External"/><Relationship Id="rId560" Type="http://schemas.openxmlformats.org/officeDocument/2006/relationships/hyperlink" Target="https://www.leagle.com/decision/inmico20201120334" TargetMode="External"/><Relationship Id="rId798" Type="http://schemas.openxmlformats.org/officeDocument/2006/relationships/hyperlink" Target="https://public.fastcase.com/Wl%2B2t%2BeVuI35%2FN70vAMFZt9ItawWnHyT6tQhkduyZ%2FXLPY%2FAAJ%2BlLBDJZfxklyiH" TargetMode="External"/><Relationship Id="rId1190" Type="http://schemas.openxmlformats.org/officeDocument/2006/relationships/hyperlink" Target="https://wcc.state.ct.us/law/rel-stat/2009/7-314a.htm" TargetMode="External"/><Relationship Id="rId1204" Type="http://schemas.openxmlformats.org/officeDocument/2006/relationships/hyperlink" Target="https://codes.ohio.gov/ohio-revised-code/section-2745.01" TargetMode="External"/><Relationship Id="rId1411" Type="http://schemas.openxmlformats.org/officeDocument/2006/relationships/hyperlink" Target="https://www.wavy.com/news/local-news/norfolk/special-report-norfolk-under-fire-for-treatment-of-female-employees/" TargetMode="External"/><Relationship Id="rId1649" Type="http://schemas.openxmlformats.org/officeDocument/2006/relationships/hyperlink" Target="https://www4.courts.ca.gov/opinions/nonpub/B332558.PDF" TargetMode="External"/><Relationship Id="rId1856" Type="http://schemas.openxmlformats.org/officeDocument/2006/relationships/hyperlink" Target="https://public.fastcase.com/Wl%2B2t%2BeVuI35%2FN70vAMFZjQ0yk8eNGgy%2FibI6B2NDAJYgZ2PRe3I9j%2FKWgfFbNa7" TargetMode="External"/><Relationship Id="rId2034" Type="http://schemas.openxmlformats.org/officeDocument/2006/relationships/hyperlink" Target="https://cases.justia.com/minnesota/supreme-court/2026-a23-0516.pdf?ts=1773911973" TargetMode="External"/><Relationship Id="rId2241" Type="http://schemas.openxmlformats.org/officeDocument/2006/relationships/hyperlink" Target="https://law.justia.com/cases/federal/appellate-courts/ca2/20-4211/20-4211-2021-10-06.html" TargetMode="External"/><Relationship Id="rId2479" Type="http://schemas.openxmlformats.org/officeDocument/2006/relationships/hyperlink" Target="https://public.fastcase.com/ZZhmr5v9wN%2FXOe5IsQ%2FqD7d2ApzwrZCQvAZQlM%2B4VVcvgALpNi2VKyyjI%2Bz22f3P?utm_medium=email&amp;_hsmi=226712652&amp;_hsenc=p2ANqtz-9QV0nznODHw4_m_j0AE4K8p0b7Wes2e9d7AzOOyb86IGbeyJ8jbpovdpcqHFVtvrmWyxti44YX_ZuNCNTYmJshWS7Dxw&amp;utm_content=226712652&amp;utm_source=hs_email" TargetMode="External"/><Relationship Id="rId2686" Type="http://schemas.openxmlformats.org/officeDocument/2006/relationships/hyperlink" Target="https://iprospectcheck.com/background-checks-employment-guide/" TargetMode="External"/><Relationship Id="rId2893" Type="http://schemas.openxmlformats.org/officeDocument/2006/relationships/hyperlink" Target="https://www.dailydispatch.com/StateNews/DE/2021/July/02/Wilmington.firefighters.union.wins.Chancery.Court.appeal.in.battle.over.shift.change.aspx" TargetMode="External"/><Relationship Id="rId2907" Type="http://schemas.openxmlformats.org/officeDocument/2006/relationships/hyperlink" Target="https://caselaw.findlaw.com/court/co-supreme-court/111256.html" TargetMode="External"/><Relationship Id="rId213" Type="http://schemas.openxmlformats.org/officeDocument/2006/relationships/hyperlink" Target="https://public.fastcase.com/J%2FJP6pdidelsXxEE4k%2BLMkioZ6zkCvVA2f7m8MUdZzFChRnZ9pflbw23TgjkZYaZMPShomsfddWFkLQb1Ctqwom4ggqunMxdJpiD327M8Vc%3D?utm_medium=email&amp;_hsmi=226712652&amp;_hsenc=p2ANqtz-90P1mb2f8SYEeO6UfPTx4asdEjFOhLhRS07BbmdC1-wrC8kVAiG6jT85m4y6VmZBAFGCFSBZmuZ2NfaZLtEQDLtFBeQ&amp;utm_content=226712652&amp;utm_source=hs_email" TargetMode="External"/><Relationship Id="rId420" Type="http://schemas.openxmlformats.org/officeDocument/2006/relationships/hyperlink" Target="https://cases.justia.com/montana/supreme-court/2025-da-25-0100.pdf?ts=1761082851" TargetMode="External"/><Relationship Id="rId658" Type="http://schemas.openxmlformats.org/officeDocument/2006/relationships/hyperlink" Target="https://news.wttw.com/2025/10/16/appeals-court-upholds-federal-judge-s-temporary-order-blocking-national-guard-deployment" TargetMode="External"/><Relationship Id="rId865" Type="http://schemas.openxmlformats.org/officeDocument/2006/relationships/hyperlink" Target="https://www.fireengineering.com/firefighting/lawsuit-against-mi-firefighters-who-issued-all-clear-at-fatal-fire-can-continue/?utm_source=fe_daily_newsletter&amp;utm_medium=email&amp;utm_campaign" TargetMode="External"/><Relationship Id="rId1050" Type="http://schemas.openxmlformats.org/officeDocument/2006/relationships/hyperlink" Target="https://cases.justia.com/west-virginia/intermediate-court-of-appeals/2025-25-ica-138.pdf?ts=1761335525" TargetMode="External"/><Relationship Id="rId1288" Type="http://schemas.openxmlformats.org/officeDocument/2006/relationships/hyperlink" Target="https://courts.illinois.gov/R23_Orders/AppellateCourt/2020/3rdDistrict/3190055_R23.pdf" TargetMode="External"/><Relationship Id="rId1495" Type="http://schemas.openxmlformats.org/officeDocument/2006/relationships/hyperlink" Target="https://www.supremecourt.gov/opinions/25pdf/24-109_21o3.pdf" TargetMode="External"/><Relationship Id="rId1509" Type="http://schemas.openxmlformats.org/officeDocument/2006/relationships/hyperlink" Target="https://public.fastcase.com/jaEE2PXzRXmZ99jOLMt1Ih1bY1MIzDyw1U7nvkn0d%2B%2FaFhZR3Gd%2F7kjzaTYbL26VJTUSjJADCaSru%2Bl5NmbtQ7Cz5zh1NuQxuUkDcSWUI8U%3D?utm_medium=email&amp;_hsenc=p2ANqtz-_CCOzgPs_whfplvulLfr2w4HcJ6-0Ih3t3c1pVqqN-_dVSpVNg1X0G63L7_Ww7LMQiA0kuqw-PCcDfPecmXjX4Ld1uNw&amp;_hsmi=226712652&amp;utm_content=226712652&amp;utm_source=hs_email" TargetMode="External"/><Relationship Id="rId1716" Type="http://schemas.openxmlformats.org/officeDocument/2006/relationships/hyperlink" Target="https://public.fastcase.com/Wl%2B2t%2BeVuI35%2FN70vAMFZkkc03nKI8qkpSJ%2FzmzLggswfoR1RvbDETmM60pPGUhc" TargetMode="External"/><Relationship Id="rId1923" Type="http://schemas.openxmlformats.org/officeDocument/2006/relationships/hyperlink" Target="https://public.fastcase.com/jaEE2PXzRXmZ99jOLMt1IkwLjDIafZivsAf6axO%2B3QZjm6x80NhvTxxrXJiS64do?utm_medium=email&amp;_hsenc=p2ANqtz-_ZLiMFX9yN1wO2MCWrhyQko1U4dUXhzxPQAtrBDBjCrjbe9Dh7_kNIbfrc-1zaAPZ0Y1FmrwNmXCeWeaeUVjh5p5R-nw&amp;_hsmi=226712652&amp;utm_content=226712652&amp;utm_source=hs_email" TargetMode="External"/><Relationship Id="rId2101" Type="http://schemas.openxmlformats.org/officeDocument/2006/relationships/hyperlink" Target="https://caselaw.findlaw.com/court/ca-court-of-appeal/116718051.html" TargetMode="External"/><Relationship Id="rId2339" Type="http://schemas.openxmlformats.org/officeDocument/2006/relationships/hyperlink" Target="https://www.ems.ohio.gov/links/COVID-19/Legislated%20COVID-19%20Contingency%20Measures%20for%20Ohio%20EMS.pdf" TargetMode="External"/><Relationship Id="rId2546" Type="http://schemas.openxmlformats.org/officeDocument/2006/relationships/hyperlink" Target="https://cases.justia.com/missouri/court-of-appeals/2026-wd88004.pdf?ts=1772555406" TargetMode="External"/><Relationship Id="rId2753" Type="http://schemas.openxmlformats.org/officeDocument/2006/relationships/hyperlink" Target="https://public.fastcase.com/Wl%2B2t%2BeVuI35%2FN70vAMFZiqDSx6E0DPFzBbugd7jDu14ZTk4ABsQUj2F%2Fw3WIuoM" TargetMode="External"/><Relationship Id="rId2960" Type="http://schemas.openxmlformats.org/officeDocument/2006/relationships/hyperlink" Target="https://public.fastcase.com/Wl%2B2t%2BeVuI35%2FN70vAMFZk1fYI9cwrY3IkIgZcFpE1Hk%2FIolkI7JdZ%2BewTVypbzK" TargetMode="External"/><Relationship Id="rId297" Type="http://schemas.openxmlformats.org/officeDocument/2006/relationships/hyperlink" Target="https://public.fastcase.com/Wl%2B2t%2BeVuI35%2FN70vAMFZg2BMAXQvmThuD9oRUd4r3OTVcwOC01J7TzGKhK5Lojo" TargetMode="External"/><Relationship Id="rId518" Type="http://schemas.openxmlformats.org/officeDocument/2006/relationships/hyperlink" Target="https://www.firstcoastnews.com/article/news/local/judge-jacksonville-has-mechanism-to-deviate-from-rule-making-black-firefighters-shave/77-7e962b25-bfed-4f9c-817e-ba6883a1f94b" TargetMode="External"/><Relationship Id="rId725" Type="http://schemas.openxmlformats.org/officeDocument/2006/relationships/hyperlink" Target="https://www.supremecourt.gov/opinions/22pdf/22a557_0pm1.pdf" TargetMode="External"/><Relationship Id="rId932" Type="http://schemas.openxmlformats.org/officeDocument/2006/relationships/hyperlink" Target="https://www.courts.state.md.us/sites/default/files/unreported-opinions/0614s19.pdf" TargetMode="External"/><Relationship Id="rId1148" Type="http://schemas.openxmlformats.org/officeDocument/2006/relationships/hyperlink" Target="https://www.chicagotribune.com/news/breaking/chi-retiring-orland-fire-chief-i-didnt-do-anything-wrong-20110823-story.html" TargetMode="External"/><Relationship Id="rId1355" Type="http://schemas.openxmlformats.org/officeDocument/2006/relationships/hyperlink" Target="https://cases.justia.com/delaware/superior-court/2025-n24c-08-154-ceb.pdf?ts=1741208566" TargetMode="External"/><Relationship Id="rId1562" Type="http://schemas.openxmlformats.org/officeDocument/2006/relationships/hyperlink" Target="https://casetext.com/case/brown-v-hennepin-healthcare-sys" TargetMode="External"/><Relationship Id="rId2185" Type="http://schemas.openxmlformats.org/officeDocument/2006/relationships/hyperlink" Target="https://public.fastcase.com/ZZhmr5v9wN%2FXOe5IsQ%2FqD%2FMrsYybnhzToDs3pNIz1%2FKuVE%2FXrNjXuEwJjzIPMf50bv4pQ7cB9hbsaZ7iWrESGuHFIj%2FFdpWNLAaphAA7k6c%3D?utm_medium=email&amp;_hsmi=226712652&amp;_hsenc=p2ANqtz-_5oWIy3JVMzQhw9Nc4Op3ZwRC559261JhKrpKmwZ_i9sOC_6POwqnLW9vjaTKG4YfwH8U6J7L56i3T2Eyz1DW0ZK0ATw&amp;utm_content=226712652&amp;utm_source=hs_email" TargetMode="External"/><Relationship Id="rId2392" Type="http://schemas.openxmlformats.org/officeDocument/2006/relationships/hyperlink" Target="https://www.unitypoint.org/peoria/filesimages/Documents/EMS%20Documents/EMS%20Policies/PROCTOR%20Policy%20Dr.%20Huff%2032%20Patient%20Right%20of%20Refusal.pdf" TargetMode="External"/><Relationship Id="rId2406" Type="http://schemas.openxmlformats.org/officeDocument/2006/relationships/hyperlink" Target="https://www.supremecourt.ohio.gov/rod/docs/pdf/8/2018/2018-Ohio-4602.pdf" TargetMode="External"/><Relationship Id="rId2613" Type="http://schemas.openxmlformats.org/officeDocument/2006/relationships/hyperlink" Target="https://www.courts.michigan.gov/siteassets/case-documents/uploads/OPINIONS/FINAL/COA/20240905_C364971_42_364971.OPN.PDF" TargetMode="External"/><Relationship Id="rId157" Type="http://schemas.openxmlformats.org/officeDocument/2006/relationships/hyperlink" Target="https://caselaw.findlaw.com/court/wi-court-of-appeals/115735506.html" TargetMode="External"/><Relationship Id="rId364" Type="http://schemas.openxmlformats.org/officeDocument/2006/relationships/hyperlink" Target="https://www.supremecourt.ohio.gov/rod/docs/pdf/0/2018/2018-Ohio-3721.pdf" TargetMode="External"/><Relationship Id="rId1008" Type="http://schemas.openxmlformats.org/officeDocument/2006/relationships/hyperlink" Target="https://courts.illinois.gov/Opinions/SupremeCourt/2020/124610.pdf" TargetMode="External"/><Relationship Id="rId1215" Type="http://schemas.openxmlformats.org/officeDocument/2006/relationships/hyperlink" Target="http://www.pacourts.us/assets/opinions/Commonwealth/out/141CD20_3-10-21.pdf?cb=1" TargetMode="External"/><Relationship Id="rId1422" Type="http://schemas.openxmlformats.org/officeDocument/2006/relationships/hyperlink" Target="https://www.firerescue1.com/lawsuit/articles/mass-ff-emt-files-gender-discrimination-lawsuit-says-she-was-passed-over-for-promotion-k1Q0mMWcivLWcHoy/" TargetMode="External"/><Relationship Id="rId1867" Type="http://schemas.openxmlformats.org/officeDocument/2006/relationships/hyperlink" Target="https://public.fastcase.com/Wl%2B2t%2BeVuI35%2FN70vAMFZtsu4ffMdPWfOx%2BdxBXmfVAnwIw9ms7kbCEt1faHV%2BzM" TargetMode="External"/><Relationship Id="rId2045" Type="http://schemas.openxmlformats.org/officeDocument/2006/relationships/hyperlink" Target="https://www.supremecourt.ohio.gov/rod/docs/pdf/11/2026/2026-Ohio-67.pdf" TargetMode="External"/><Relationship Id="rId2697" Type="http://schemas.openxmlformats.org/officeDocument/2006/relationships/hyperlink" Target="https://casetext.com/case/imhof-v-del-bd-of-med-licensure-discipline" TargetMode="External"/><Relationship Id="rId2820" Type="http://schemas.openxmlformats.org/officeDocument/2006/relationships/hyperlink" Target="https://cases.justia.com/texas/fourteenth-court-of-appeals/2025-14-24-00613-cv.pdf?ts=1752594731" TargetMode="External"/><Relationship Id="rId2918" Type="http://schemas.openxmlformats.org/officeDocument/2006/relationships/hyperlink" Target="https://isc.idaho.gov/opinions/51312.pdf" TargetMode="External"/><Relationship Id="rId61" Type="http://schemas.openxmlformats.org/officeDocument/2006/relationships/hyperlink" Target="https://cases.justia.com/georgia/court-of-appeals/2025-a25a0954.pdf?ts=1758208974" TargetMode="External"/><Relationship Id="rId571" Type="http://schemas.openxmlformats.org/officeDocument/2006/relationships/hyperlink" Target="https://www.oscn.net/applications/oscn/deliverdocument.asp?citeid=486529" TargetMode="External"/><Relationship Id="rId669" Type="http://schemas.openxmlformats.org/officeDocument/2006/relationships/hyperlink" Target="https://www.supremecourt.gov/opinions/24pdf/24a884_8n59.pdf" TargetMode="External"/><Relationship Id="rId876" Type="http://schemas.openxmlformats.org/officeDocument/2006/relationships/hyperlink" Target="https://cases.justia.com/federal/appellate-courts/ca5/22-40644/22-40644-2023-10-11.pdf?ts=1697067069" TargetMode="External"/><Relationship Id="rId1299" Type="http://schemas.openxmlformats.org/officeDocument/2006/relationships/hyperlink" Target="http://www.illinoiscourts.gov/R23_Orders/WorkersComp/2019/3180397WC_R23.pdf" TargetMode="External"/><Relationship Id="rId1727" Type="http://schemas.openxmlformats.org/officeDocument/2006/relationships/hyperlink" Target="https://www.verywellmind.com/rates-of-ptsd-in-firefighters-2797428" TargetMode="External"/><Relationship Id="rId1934" Type="http://schemas.openxmlformats.org/officeDocument/2006/relationships/hyperlink" Target="https://casetext.com/statute/montana-code/title-2-government-structure-and-administration/chapter-4-administrative-procedure-act/part-7-judicial-review-of-contested-cases/section-2-4-701-immediate-review-of-agency-action" TargetMode="External"/><Relationship Id="rId2252" Type="http://schemas.openxmlformats.org/officeDocument/2006/relationships/hyperlink" Target="https://casetext.com/case/cazares-v-rand" TargetMode="External"/><Relationship Id="rId2557" Type="http://schemas.openxmlformats.org/officeDocument/2006/relationships/hyperlink" Target="https://www.youtube.com/watch?v=RmdIuKRFVuU" TargetMode="External"/><Relationship Id="rId19" Type="http://schemas.openxmlformats.org/officeDocument/2006/relationships/hyperlink" Target="https://doi.org/10.7945/av8d-c920" TargetMode="External"/><Relationship Id="rId224" Type="http://schemas.openxmlformats.org/officeDocument/2006/relationships/hyperlink" Target="https://www.law.cornell.edu/supct/html/90-5721.ZO.html" TargetMode="External"/><Relationship Id="rId431" Type="http://schemas.openxmlformats.org/officeDocument/2006/relationships/hyperlink" Target="https://cases.justia.com/federal/appellate-courts/ca3/23-3265/23-3265-2025-05-30.pdf?ts=1748624416" TargetMode="External"/><Relationship Id="rId529" Type="http://schemas.openxmlformats.org/officeDocument/2006/relationships/hyperlink" Target="https://casetext.com/case/as-horner-inc-v-navarrette-4" TargetMode="External"/><Relationship Id="rId736" Type="http://schemas.openxmlformats.org/officeDocument/2006/relationships/hyperlink" Target="https://www.cadc.uscourts.gov/internet/opinions.nsf/55807FB471B60BB08525888E0051AEA6/$file/21-1087-1956978.pdf" TargetMode="External"/><Relationship Id="rId1061" Type="http://schemas.openxmlformats.org/officeDocument/2006/relationships/hyperlink" Target="https://www.socialaw.com/services/slip-opinions/slip-opinion-details/michael-cannata-vs.-town-of-mashpee" TargetMode="External"/><Relationship Id="rId1159" Type="http://schemas.openxmlformats.org/officeDocument/2006/relationships/hyperlink" Target="https://www.daytondailynews.com/news/west-carrollton-rehire-fire-chief-after-valentine-week-retirement/XSsYoJpSmxdkIIZtoGUpzJ/" TargetMode="External"/><Relationship Id="rId1366" Type="http://schemas.openxmlformats.org/officeDocument/2006/relationships/hyperlink" Target="https://www.supremecourt.gov/opinions/19pdf/17-1618_hfci.pdf" TargetMode="External"/><Relationship Id="rId2112" Type="http://schemas.openxmlformats.org/officeDocument/2006/relationships/hyperlink" Target="https://revisor.mo.gov/main/OneSection.aspx?section=195.205" TargetMode="External"/><Relationship Id="rId2196" Type="http://schemas.openxmlformats.org/officeDocument/2006/relationships/hyperlink" Target="https://public.fastcase.com/ZZhmr5v9wN%2FXOe5IsQ%2FqD6Xk9Se1JBeTiY14mFqaZIC5zf3duAqu51qE94mXCojrTIXHUx6W2UZ5EsVNrKWWswbYRHUo1KFYOQ9M2ppF1oA%3D?utm_medium=email&amp;_hsmi=226712652&amp;_hsenc=p2ANqtz-9aFlMC5FDCM2U0K8x384sblH4I0CGG1sOM-rog5fs89w4bS-qizqdVKzMegY3x51ZczlJkgb2TT7R5d8mF-dWwXy7XkA&amp;utm_content=226712652&amp;utm_source=hs_email" TargetMode="External"/><Relationship Id="rId2417" Type="http://schemas.openxmlformats.org/officeDocument/2006/relationships/hyperlink" Target="https://cases.justia.com/federal/district-courts/virginia/vaedce/3:2017cv00167/360316/92/0.pdf?ts=1527856286" TargetMode="External"/><Relationship Id="rId2764" Type="http://schemas.openxmlformats.org/officeDocument/2006/relationships/hyperlink" Target="http://www.tncourts.gov/sites/default/files/moss.paul_.opn_.pdf" TargetMode="External"/><Relationship Id="rId168" Type="http://schemas.openxmlformats.org/officeDocument/2006/relationships/hyperlink" Target="https://public.fastcase.com/ppbqSQpNDaJE%2F8PlIk0b8ECWv6%2F0KW8eOOGtTNlYs%2F2eCExN%2BikZLxSyxw9X8iC%2F" TargetMode="External"/><Relationship Id="rId943" Type="http://schemas.openxmlformats.org/officeDocument/2006/relationships/hyperlink" Target="https://cases.justia.com/texas/first-court-of-appeals/2026-01-25-00359-cv.pdf?ts=1774367002" TargetMode="External"/><Relationship Id="rId1019" Type="http://schemas.openxmlformats.org/officeDocument/2006/relationships/hyperlink" Target="https://www.post-gazette.com/local/west/2006/09/15/Jury-awards-5-million-to-families-in-fire-hose-accident/stories/200609150169" TargetMode="External"/><Relationship Id="rId1573" Type="http://schemas.openxmlformats.org/officeDocument/2006/relationships/hyperlink" Target="https://www.supremecourt.ohio.gov/rod/docs/pdf/0/2009/2009-ohio-2597.pdf" TargetMode="External"/><Relationship Id="rId1780" Type="http://schemas.openxmlformats.org/officeDocument/2006/relationships/hyperlink" Target="https://www.reuters.com/legal/government/us-supreme-court-boosts-companies-defense-wage-lawsuits-2025-01-15/" TargetMode="External"/><Relationship Id="rId1878" Type="http://schemas.openxmlformats.org/officeDocument/2006/relationships/hyperlink" Target="https://www.law.cornell.edu/definitions/uscode.php?width=840&amp;height=800&amp;iframe=true&amp;def_id=29-USC-1193469614-1597622566&amp;term_occur=999&amp;term_src=" TargetMode="External"/><Relationship Id="rId2624" Type="http://schemas.openxmlformats.org/officeDocument/2006/relationships/hyperlink" Target="https://www.courts.nh.gov/sites/g/files/ehbemt471/files/documents/2024-03/20230083stone.pdf" TargetMode="External"/><Relationship Id="rId2831" Type="http://schemas.openxmlformats.org/officeDocument/2006/relationships/hyperlink" Target="https://www.supremecourt.ohio.gov/rod/docs/pdf/0/2024/2024-Ohio-5174.pdf" TargetMode="External"/><Relationship Id="rId2929" Type="http://schemas.openxmlformats.org/officeDocument/2006/relationships/hyperlink" Target="https://casetext.com/statute/united-states-code/title-5-government-organization-and-employees/part-i-the-agencies-generally/chapter-7-judicial-review/section-706-scope-of-review" TargetMode="External"/><Relationship Id="rId72" Type="http://schemas.openxmlformats.org/officeDocument/2006/relationships/hyperlink" Target="https://www.justice.gov/usao-mdla/pr/baton-rouge-man-indicted-use-fire-commit-felony-use-fire-maliciously-damage-property" TargetMode="External"/><Relationship Id="rId375" Type="http://schemas.openxmlformats.org/officeDocument/2006/relationships/hyperlink" Target="http://buchanan-labs.com/statutory-damages-for-infringement-of-your-copyrights-and-trademarks/" TargetMode="External"/><Relationship Id="rId582" Type="http://schemas.openxmlformats.org/officeDocument/2006/relationships/hyperlink" Target="http://www.ca5.uscourts.gov/opinions/pub/17/17-30864-CV2.pdf" TargetMode="External"/><Relationship Id="rId803" Type="http://schemas.openxmlformats.org/officeDocument/2006/relationships/hyperlink" Target="https://www.congress.gov/115/plaws/publ232/PLAW-115publ232.pdf" TargetMode="External"/><Relationship Id="rId1226" Type="http://schemas.openxmlformats.org/officeDocument/2006/relationships/hyperlink" Target="https://www.aclumaine.org/en/press-releases/yarmouth-residents-aclu-challenge-new-restrictions-who-can-run-town-council" TargetMode="External"/><Relationship Id="rId1433" Type="http://schemas.openxmlformats.org/officeDocument/2006/relationships/hyperlink" Target="https://casetext.com/case/mendoza-v-rio-rico-med-1" TargetMode="External"/><Relationship Id="rId1640" Type="http://schemas.openxmlformats.org/officeDocument/2006/relationships/hyperlink" Target="https://cases.justia.com/federal/district-courts/arkansas/aredce/4:2024cv00350/143122/28/0.pdf?ts=1775058402" TargetMode="External"/><Relationship Id="rId1738" Type="http://schemas.openxmlformats.org/officeDocument/2006/relationships/hyperlink" Target="https://www.dol.gov/agencies/whd/fmla" TargetMode="External"/><Relationship Id="rId2056" Type="http://schemas.openxmlformats.org/officeDocument/2006/relationships/hyperlink" Target="https://cases.justia.com/georgia/court-of-appeals/2025-a25a1173.pdf?ts=1761847932" TargetMode="External"/><Relationship Id="rId2263" Type="http://schemas.openxmlformats.org/officeDocument/2006/relationships/hyperlink" Target="https://casetext.com/case/imhof-v-del-bd-of-med-licensure-discipline" TargetMode="External"/><Relationship Id="rId2470" Type="http://schemas.openxmlformats.org/officeDocument/2006/relationships/hyperlink" Target="https://cases.justia.com/arkansas/court-of-appeals/2024-cv-22-650.pdf?ts=1713971302" TargetMode="External"/><Relationship Id="rId3" Type="http://schemas.openxmlformats.org/officeDocument/2006/relationships/styles" Target="styles.xml"/><Relationship Id="rId235" Type="http://schemas.openxmlformats.org/officeDocument/2006/relationships/hyperlink" Target="https://www.iafc.org/blogs/blog/iafc/2022/01/13/supreme-court-decision-on-vaccine-mandates-what-it-means-for-fire-departments" TargetMode="External"/><Relationship Id="rId442" Type="http://schemas.openxmlformats.org/officeDocument/2006/relationships/hyperlink" Target="https://www.firerescue1.com/firefighter-death/articles/miss-fire-lieutenant-killed-in-gas-station-robbery-jMwIEdZ3rDnt54xe/" TargetMode="External"/><Relationship Id="rId887" Type="http://schemas.openxmlformats.org/officeDocument/2006/relationships/hyperlink" Target="https://casetext.com/case/whittaker-v-howard-cnty-md" TargetMode="External"/><Relationship Id="rId1072" Type="http://schemas.openxmlformats.org/officeDocument/2006/relationships/hyperlink" Target="https://www.iamresponding.com/" TargetMode="External"/><Relationship Id="rId1500" Type="http://schemas.openxmlformats.org/officeDocument/2006/relationships/hyperlink" Target="https://www.ca5.uscourts.gov/opinions/pub/24/24-30777-CV0.pdf" TargetMode="External"/><Relationship Id="rId1945" Type="http://schemas.openxmlformats.org/officeDocument/2006/relationships/hyperlink" Target="https://www.npr.org/2023/05/30/1178850879/sackler-family-purdue-pharma-immunity-lawsuits-oxycontin-opioid" TargetMode="External"/><Relationship Id="rId2123" Type="http://schemas.openxmlformats.org/officeDocument/2006/relationships/hyperlink" Target="https://www.law.cornell.edu/wex/declarant" TargetMode="External"/><Relationship Id="rId2330" Type="http://schemas.openxmlformats.org/officeDocument/2006/relationships/hyperlink" Target="https://cdn.ymaws.com/aams.site-ym.com/resource/resmgr/website_resources/aams_statements/aams_statementonbalancebilli.pdf" TargetMode="External"/><Relationship Id="rId2568" Type="http://schemas.openxmlformats.org/officeDocument/2006/relationships/hyperlink" Target="https://cases.justia.com/illinois/court-of-appeals-second-appellate-district/2025-2-24-0565.pdf?ts=1765847849" TargetMode="External"/><Relationship Id="rId2775" Type="http://schemas.openxmlformats.org/officeDocument/2006/relationships/hyperlink" Target="https://www.oregonlaws.org/ors/243.672" TargetMode="External"/><Relationship Id="rId302" Type="http://schemas.openxmlformats.org/officeDocument/2006/relationships/hyperlink" Target="https://casetext.com/case/25-grant-st-llc-v-city-of-bridgeport" TargetMode="External"/><Relationship Id="rId747" Type="http://schemas.openxmlformats.org/officeDocument/2006/relationships/hyperlink" Target="https://www.supremecourt.gov/opinions/21pdf/21a477_1bo2.pdf" TargetMode="External"/><Relationship Id="rId954" Type="http://schemas.openxmlformats.org/officeDocument/2006/relationships/hyperlink" Target="https://cases.justia.com/texas/fourteenth-court-of-appeals/2025-14-24-00312-cv.pdf?ts=1753189995" TargetMode="External"/><Relationship Id="rId1377" Type="http://schemas.openxmlformats.org/officeDocument/2006/relationships/hyperlink" Target="https://casetext.com/case/lundberg-v-delta-response-team-llc" TargetMode="External"/><Relationship Id="rId1584" Type="http://schemas.openxmlformats.org/officeDocument/2006/relationships/hyperlink" Target="https://casetext.com/case/smith-v-city-of-toledo" TargetMode="External"/><Relationship Id="rId1791" Type="http://schemas.openxmlformats.org/officeDocument/2006/relationships/hyperlink" Target="https://www.ecfr.gov/current/title-29/subtitle-B/chapter-V/subchapter-B/part-778" TargetMode="External"/><Relationship Id="rId1805" Type="http://schemas.openxmlformats.org/officeDocument/2006/relationships/hyperlink" Target="https://cdn.ca9.uscourts.gov/datastore/opinions/2023/11/30/22-55663.pdf" TargetMode="External"/><Relationship Id="rId2428" Type="http://schemas.openxmlformats.org/officeDocument/2006/relationships/hyperlink" Target="https://casetext.com/case/city-of-tucson-v-the-indus-commn-of-ariz" TargetMode="External"/><Relationship Id="rId2635" Type="http://schemas.openxmlformats.org/officeDocument/2006/relationships/hyperlink" Target="https://casetext.com/statute/indiana-code/title-36-local-government/article-8-public-safety/chapter-3-safety-boards-disciplinary-procedures/section-36-8-3-4-police-officers-and-firefighters-discipline-demotion-and-dismissal-hearings-appeals-administrative-leave" TargetMode="External"/><Relationship Id="rId2842" Type="http://schemas.openxmlformats.org/officeDocument/2006/relationships/hyperlink" Target="https://cases.justia.com/ohio/tenth-district-court-of-appeals/2023-23ap-37.pdf?ts=1703012831" TargetMode="External"/><Relationship Id="rId83" Type="http://schemas.openxmlformats.org/officeDocument/2006/relationships/hyperlink" Target="https://www.cnn.com/2025/05/02/us/oregon-deschutes-national-forest-eviction-hnk" TargetMode="External"/><Relationship Id="rId179" Type="http://schemas.openxmlformats.org/officeDocument/2006/relationships/hyperlink" Target="https://www.justice.gov/usao-wdnc/pr/asheville-jury-convicts-franklin-nc-man-starting-fire-burned-more-70-acres-federal-land" TargetMode="External"/><Relationship Id="rId386" Type="http://schemas.openxmlformats.org/officeDocument/2006/relationships/hyperlink" Target="https://monographs.iarc.who.int/agents-classified-by-the-iarc/" TargetMode="External"/><Relationship Id="rId593" Type="http://schemas.openxmlformats.org/officeDocument/2006/relationships/hyperlink" Target="https://controller.phila.gov/philadelphia-audits/philadelphia-fire-department-department-needs-to-reconsider-its-brownout-rotation-policies/" TargetMode="External"/><Relationship Id="rId607" Type="http://schemas.openxmlformats.org/officeDocument/2006/relationships/hyperlink" Target="https://cases.justia.com/pennsylvania/superior-court/2018-1747-wda-2016.pdf?ts=1534790308" TargetMode="External"/><Relationship Id="rId814" Type="http://schemas.openxmlformats.org/officeDocument/2006/relationships/hyperlink" Target="https://www.supremecourt.gov/opinions/19pdf/18-587_5ifl.pdf" TargetMode="External"/><Relationship Id="rId1237" Type="http://schemas.openxmlformats.org/officeDocument/2006/relationships/hyperlink" Target="http://masscases.com/cases/app/82/82massappct623.html" TargetMode="External"/><Relationship Id="rId1444" Type="http://schemas.openxmlformats.org/officeDocument/2006/relationships/hyperlink" Target="https://public.fastcase.com/Wl%2B2t%2BeVuI35%2FN70vAMFZs1o8oz3pWgS38oNkfNQDzkHmIv0WM8cJL2w%2BtvmrMCm" TargetMode="External"/><Relationship Id="rId1651" Type="http://schemas.openxmlformats.org/officeDocument/2006/relationships/hyperlink" Target="https://cases.justia.com/federal/appellate-courts/ca11/24-12910/24-12910-2025-06-23.pdf?ts=1750690858" TargetMode="External"/><Relationship Id="rId1889" Type="http://schemas.openxmlformats.org/officeDocument/2006/relationships/hyperlink" Target="http://codes.ohio.gov/orc/505.601" TargetMode="External"/><Relationship Id="rId2067" Type="http://schemas.openxmlformats.org/officeDocument/2006/relationships/hyperlink" Target="https://cases.justia.com/alabama/supreme-court/2025-sc-2025-0055.pdf?ts=1756474207" TargetMode="External"/><Relationship Id="rId2274" Type="http://schemas.openxmlformats.org/officeDocument/2006/relationships/hyperlink" Target="https://nmonesource.com/nmos/nmsc/en/item/517877/index.do" TargetMode="External"/><Relationship Id="rId2481" Type="http://schemas.openxmlformats.org/officeDocument/2006/relationships/hyperlink" Target="https://cases.justia.com/washington/court-of-appeals-division-i/2023-84561-6-0.pdf?ts=1696273779" TargetMode="External"/><Relationship Id="rId2702" Type="http://schemas.openxmlformats.org/officeDocument/2006/relationships/hyperlink" Target="https://casetext.com/case/fitzgerald-v-botetourt-cnty" TargetMode="External"/><Relationship Id="rId246" Type="http://schemas.openxmlformats.org/officeDocument/2006/relationships/hyperlink" Target="https://ohiotimes.news/cincinnati-burglar-arm-fee-struck-down-a-giant-scam-says-lawyer/?doing_wp_cron=1637522583.8115420341491699218750" TargetMode="External"/><Relationship Id="rId453" Type="http://schemas.openxmlformats.org/officeDocument/2006/relationships/hyperlink" Target="https://grsl.com/firefighters-rule-struck-down-by-new-jersey-supreme-court/" TargetMode="External"/><Relationship Id="rId660" Type="http://schemas.openxmlformats.org/officeDocument/2006/relationships/hyperlink" Target="https://cdn.ca9.uscourts.gov/datastore/opinions/2025/10/30/25-6268.pdf" TargetMode="External"/><Relationship Id="rId898" Type="http://schemas.openxmlformats.org/officeDocument/2006/relationships/hyperlink" Target="https://firstamendmentwatch.org/arizona-governor-signs-bill-to-restrict-recording-of-police-in-public/" TargetMode="External"/><Relationship Id="rId1083" Type="http://schemas.openxmlformats.org/officeDocument/2006/relationships/hyperlink" Target="https://cases.justia.com/west-virginia/supreme-court/2025-24-266.pdf?ts=1736880091" TargetMode="External"/><Relationship Id="rId1290" Type="http://schemas.openxmlformats.org/officeDocument/2006/relationships/hyperlink" Target="https://public.fastcase.com/Wl%2B2t%2BeVuI35%2FN70vAMFZi2NtCwkTvdiKyrWKXTmtjwARSxGp50rXf7QoqUpwr%2BO" TargetMode="External"/><Relationship Id="rId1304" Type="http://schemas.openxmlformats.org/officeDocument/2006/relationships/hyperlink" Target="http://publicdocs.courts.mi.gov/opinions/final/coa/20190226_c340579_35_340579.opn.pdf" TargetMode="External"/><Relationship Id="rId1511" Type="http://schemas.openxmlformats.org/officeDocument/2006/relationships/hyperlink" Target="https://www.justice.gov/usao-edpa/pr/downingtown-man-convicted-exploiting-usdot-disadvantaged-business-program" TargetMode="External"/><Relationship Id="rId1749" Type="http://schemas.openxmlformats.org/officeDocument/2006/relationships/hyperlink" Target="https://public.fastcase.com/Jhe1Qn%2BmJndQYQU6z%2FeNm%2F%2Bb9tDy%2BB1V4igtWVlHjvKcU%2FnEQkKgvsTuIdmJf7S6TLQrLMKDMyDhy29fvRmn0B54%2B%2FamKhKvK55eX0VsHHI%3D?utm_medium=email&amp;_hsenc=p2ANqtz-_Gg5RXNpIci3yukYVP6b7sh5gmOKa0GsZOAMvLT2R41U8XgM5hohZBV9wwMQTg4BgeHRSn6k2S_n_HEfm4oxMP2E6DqA&amp;_hsmi=226712652&amp;utm_content=226712652&amp;utm_source=hs_email" TargetMode="External"/><Relationship Id="rId1956" Type="http://schemas.openxmlformats.org/officeDocument/2006/relationships/hyperlink" Target="https://patersontimes.com/2019/12/09/judge-orders-paterson-firefighter-terminated-for-failing-drug-test-reinstated/" TargetMode="External"/><Relationship Id="rId2134" Type="http://schemas.openxmlformats.org/officeDocument/2006/relationships/hyperlink" Target="https://www.hmpgloballearningnetwork.com/site/emsworld/feature-story/body-cams-help-new-orleans-ems-protect-providers-while-prioritizing" TargetMode="External"/><Relationship Id="rId2341" Type="http://schemas.openxmlformats.org/officeDocument/2006/relationships/hyperlink" Target="file:///C:/Users/lawre/AppData/Local/Temp/19P0716.pdf" TargetMode="External"/><Relationship Id="rId2579" Type="http://schemas.openxmlformats.org/officeDocument/2006/relationships/hyperlink" Target="https://cases.justia.com/federal/appellate-courts/ca8/23-3398/23-3398-2025-08-13.pdf?ts=1755099027" TargetMode="External"/><Relationship Id="rId2786" Type="http://schemas.openxmlformats.org/officeDocument/2006/relationships/hyperlink" Target="http://codes.ohio.gov/orc/gp9.61" TargetMode="External"/><Relationship Id="rId106" Type="http://schemas.openxmlformats.org/officeDocument/2006/relationships/hyperlink" Target="https://www.supremecourt.ohio.gov/rod/docs/pdf/8/2024/2024-Ohio-5601.pdf" TargetMode="External"/><Relationship Id="rId313" Type="http://schemas.openxmlformats.org/officeDocument/2006/relationships/hyperlink" Target="https://thehill.com/homenews/senate/503496-republican-rift-opens-up-over-qualified-immunity-for-police" TargetMode="External"/><Relationship Id="rId758" Type="http://schemas.openxmlformats.org/officeDocument/2006/relationships/hyperlink" Target="https://www.law.cornell.edu/definitions/uscode.php?width=840&amp;height=800&amp;iframe=true&amp;def_id=18-USC-64633832-909420282&amp;term_occur=999&amp;term_src=title:18:part:I:chapter:13:section:249" TargetMode="External"/><Relationship Id="rId965" Type="http://schemas.openxmlformats.org/officeDocument/2006/relationships/hyperlink" Target="https://casetext.com/case/the-city-of-houston-v-stoffer" TargetMode="External"/><Relationship Id="rId1150" Type="http://schemas.openxmlformats.org/officeDocument/2006/relationships/hyperlink" Target="https://caselaw.findlaw.com/ny-supreme-court/1972528.html" TargetMode="External"/><Relationship Id="rId1388" Type="http://schemas.openxmlformats.org/officeDocument/2006/relationships/hyperlink" Target="https://corporate.findlaw.com/human-resources/title-vii-damage-caps-calculating-your-maximum-exposure.html" TargetMode="External"/><Relationship Id="rId1595" Type="http://schemas.openxmlformats.org/officeDocument/2006/relationships/hyperlink" Target="https://casetext.com/case/alston-v-spiegel" TargetMode="External"/><Relationship Id="rId1609" Type="http://schemas.openxmlformats.org/officeDocument/2006/relationships/hyperlink" Target="https://casetext.com/case/murray-v-city-of-warren-1" TargetMode="External"/><Relationship Id="rId1816" Type="http://schemas.openxmlformats.org/officeDocument/2006/relationships/hyperlink" Target="https://www.littler.com/publication-press/publication/sixth-circuit-establishes-stricter-standard-granting-notice-flsa" TargetMode="External"/><Relationship Id="rId2439" Type="http://schemas.openxmlformats.org/officeDocument/2006/relationships/hyperlink" Target="https://cases.justia.com/federal/district-courts/kentucky/kyedce/5:2024cv00129/104855/29/0.pdf?ts=1778093974" TargetMode="External"/><Relationship Id="rId2646" Type="http://schemas.openxmlformats.org/officeDocument/2006/relationships/hyperlink" Target="https://supreme.justia.com/cases/federal/us/405/150/" TargetMode="External"/><Relationship Id="rId2853" Type="http://schemas.openxmlformats.org/officeDocument/2006/relationships/hyperlink" Target="https://law.justia.com/cases/federal/district-courts/virginia/vawdce/6:2021cv00025/122367/36/" TargetMode="External"/><Relationship Id="rId10" Type="http://schemas.openxmlformats.org/officeDocument/2006/relationships/image" Target="media/image1.jpeg"/><Relationship Id="rId94" Type="http://schemas.openxmlformats.org/officeDocument/2006/relationships/hyperlink" Target="https://cases.justia.com/oregon/court-of-appeals/2025-a181038.pdf?ts=1738179139" TargetMode="External"/><Relationship Id="rId397" Type="http://schemas.openxmlformats.org/officeDocument/2006/relationships/hyperlink" Target="https://www.firehero.org/fallen-firefighter/jared-c-lloyd/" TargetMode="External"/><Relationship Id="rId520" Type="http://schemas.openxmlformats.org/officeDocument/2006/relationships/hyperlink" Target="https://www.flmd.uscourts.gov/judges/harvey-schlesinger" TargetMode="External"/><Relationship Id="rId618" Type="http://schemas.openxmlformats.org/officeDocument/2006/relationships/hyperlink" Target="https://caselaw.findlaw.com/ny-supreme-court-appellate-division/1893546.html" TargetMode="External"/><Relationship Id="rId825" Type="http://schemas.openxmlformats.org/officeDocument/2006/relationships/hyperlink" Target="https://www.leagle.com/decision/infdco20190919804" TargetMode="External"/><Relationship Id="rId1248" Type="http://schemas.openxmlformats.org/officeDocument/2006/relationships/hyperlink" Target="https://www.opn.ca6.uscourts.gov/opinions.pdf/20a0579n-06.pdf" TargetMode="External"/><Relationship Id="rId1455" Type="http://schemas.openxmlformats.org/officeDocument/2006/relationships/hyperlink" Target="https://public.fastcase.com/Wl%2B2t%2BeVuI35%2FN70vAMFZsLQ8Zjgb2jk542DjlxpVQs5PCG3jEwwTTQV0VgsrBHY" TargetMode="External"/><Relationship Id="rId1662" Type="http://schemas.openxmlformats.org/officeDocument/2006/relationships/hyperlink" Target="https://www.scotusblog.com/case-files/cases/stanley-v-city-of-sanford-florida/" TargetMode="External"/><Relationship Id="rId2078" Type="http://schemas.openxmlformats.org/officeDocument/2006/relationships/hyperlink" Target="https://www.supremecourt.ohio.gov/rod/docs/pdf/5/2025/2025-Ohio-1961.pdf" TargetMode="External"/><Relationship Id="rId2201" Type="http://schemas.openxmlformats.org/officeDocument/2006/relationships/hyperlink" Target="https://law.justia.com/cases/new-york/other-courts/2023/2023-ny-slip-op-31298-u.html" TargetMode="External"/><Relationship Id="rId2285" Type="http://schemas.openxmlformats.org/officeDocument/2006/relationships/hyperlink" Target="https://www.whistleblowerllc.com/resources/whistleblower-laws/the-federal-false-claims-act/" TargetMode="External"/><Relationship Id="rId2492" Type="http://schemas.openxmlformats.org/officeDocument/2006/relationships/hyperlink" Target="https://www.njcourts.gov/attorneys/assets/opinions/appellate/unpublished/a3633-19.pdf" TargetMode="External"/><Relationship Id="rId2506" Type="http://schemas.openxmlformats.org/officeDocument/2006/relationships/hyperlink" Target="https://search-prod.lis.state.oh.us/solarapi/v1/general_assembly_133/bills/hb308/EN/06?format=pdf" TargetMode="External"/><Relationship Id="rId257" Type="http://schemas.openxmlformats.org/officeDocument/2006/relationships/hyperlink" Target="https://storage.courtlistener.com/recap/gov.uscourts.txnd.346680/gov.uscourts.txnd.346680.94.0.pdf" TargetMode="External"/><Relationship Id="rId464" Type="http://schemas.openxmlformats.org/officeDocument/2006/relationships/hyperlink" Target="https://www.opn.ca6.uscourts.gov/opinions.pdf/24a0367n-06.pdf" TargetMode="External"/><Relationship Id="rId1010" Type="http://schemas.openxmlformats.org/officeDocument/2006/relationships/hyperlink" Target="https://cases.justia.com/texas/seventh-court-of-appeals/2020-07-19-00027-cr.pdf?ts=1586952945" TargetMode="External"/><Relationship Id="rId1094" Type="http://schemas.openxmlformats.org/officeDocument/2006/relationships/hyperlink" Target="https://ilcourtsaudio.blob.core.windows.net/antilles-resources/resources/6872cb37-ae61-4b36-815c-de4cd8130990/Sobczyk%20v.%20Board%20of%20Trustees%20of%20the%20Rockford%20Firefighters%e2%80%99%20Pension%20Fund,%202024%20IL%20App%20(4th)%20240261-U.pdf" TargetMode="External"/><Relationship Id="rId1108" Type="http://schemas.openxmlformats.org/officeDocument/2006/relationships/hyperlink" Target="https://public.fastcase.com/H1P9uiW3J20SFp%2BGCG%2BxLadhvM%2BTk6CyYLUbfEuOSnynNWxAhyJMu40rylJQnWa9?utm_medium=email&amp;_hsmi=226712652&amp;_hsenc=p2ANqtz-_Dihe0VmJESjxgjqn36kOhagQU45bmN7CEHRIuj2470_KUhcV7wrW-Y9ruG8-Hj5g_txVmqO_R_d6e-gS-IENa_oPFKQ&amp;utm_content=226712652&amp;utm_source=hs_email" TargetMode="External"/><Relationship Id="rId1315" Type="http://schemas.openxmlformats.org/officeDocument/2006/relationships/hyperlink" Target="http://decisions.courts.state.ny.us/ad3/Decisions/2018/526165.pdf" TargetMode="External"/><Relationship Id="rId1967" Type="http://schemas.openxmlformats.org/officeDocument/2006/relationships/hyperlink" Target="https://www.npr.org/2021/11/23/1058539458/a-jury-in-ohio-says-americas-big-pharmacy-chains-are-liable-for-the-opioid-epide" TargetMode="External"/><Relationship Id="rId2145" Type="http://schemas.openxmlformats.org/officeDocument/2006/relationships/hyperlink" Target="https://cdn.ca9.uscourts.gov/datastore/opinions/2024/04/15/22-15546.pdf" TargetMode="External"/><Relationship Id="rId2713" Type="http://schemas.openxmlformats.org/officeDocument/2006/relationships/hyperlink" Target="https://www.leagle.com/decision/infdco20211006817" TargetMode="External"/><Relationship Id="rId2797" Type="http://schemas.openxmlformats.org/officeDocument/2006/relationships/hyperlink" Target="https://www.usatoday.com/story/news/nation/2014/11/23/florida-deputy-ambush-killed-identified/19446091/" TargetMode="External"/><Relationship Id="rId2920" Type="http://schemas.openxmlformats.org/officeDocument/2006/relationships/hyperlink" Target="https://public.fastcase.com/jaEE2PXzRXmZ99jOLMt1InNcYbqVaI0RKJVNmSUWwC4uBfhrqEaMCXW4t6jftSIgD4%2FHoHLdH48y39slr7kZWrEMnvLTwJnn0bFKh%2B9XZVQ%3D?utm_medium=email&amp;_hsenc=p2ANqtz-9jIRW7ECQxdsfZzinN3lzy-N6WwmOPS0xWaDDWCvHvPAgLyigDSOvaGk0u5IT3PeW4EZ19aOxVZon74RIrJmMQwWSuhw&amp;_hsmi=226712652&amp;utm_content=226712652&amp;utm_source=hs_email" TargetMode="External"/><Relationship Id="rId117" Type="http://schemas.openxmlformats.org/officeDocument/2006/relationships/hyperlink" Target="https://www.wmix94.com/2018/10/11/christopher-woman-found-guilty-of-setting-fire-at-mt-vernon-hotel/" TargetMode="External"/><Relationship Id="rId671" Type="http://schemas.openxmlformats.org/officeDocument/2006/relationships/hyperlink" Target="file:///C:\Users\lawre\AppData\Local\Microsoft\Windows\INetCache\Content.Outlook\PSWGR3E2\state-of-illinois-et-al-v-federal-emergency-management-agency-et-al-complaint-2025.pdf" TargetMode="External"/><Relationship Id="rId769" Type="http://schemas.openxmlformats.org/officeDocument/2006/relationships/hyperlink" Target="https://home.treasury.gov/policy-issues/financial-sanctions" TargetMode="External"/><Relationship Id="rId976" Type="http://schemas.openxmlformats.org/officeDocument/2006/relationships/hyperlink" Target="https://codes.ohio.gov/ohio-administrative-code/rule-4123:1-3-06" TargetMode="External"/><Relationship Id="rId1399" Type="http://schemas.openxmlformats.org/officeDocument/2006/relationships/hyperlink" Target="https://public.fastcase.com/ZZhmr5v9wN%2FXOe5IsQ%2FqD5GEiR8JSLFSN2NHQUjL%2BLjuVtwCOTZwj5nD2zQQ%2BwtpHt7pljoilZmodoPEUPL5r9NdmF5u2B1LY%2FXPhwSo6GU%3D?utm_medium=email&amp;_hsmi=226712652&amp;_hsenc=p2ANqtz-8SXYDP1HnWQE4kbMGe0V_9TllXrxMri8_HVcmLnhw39Rwsl622P5fZw6IGKcYm90xDZflJsj-2gnz1pneYjju0n1QAHw&amp;utm_content=226712652&amp;utm_source=hs_email" TargetMode="External"/><Relationship Id="rId2352" Type="http://schemas.openxmlformats.org/officeDocument/2006/relationships/hyperlink" Target="https://www.courts.state.md.us/sites/default/files/unreported-opinions/0318s19.pdf" TargetMode="External"/><Relationship Id="rId2657" Type="http://schemas.openxmlformats.org/officeDocument/2006/relationships/hyperlink" Target="https://public.fastcase.com/ZZhmr5v9wN%2FXOe5IsQ%2FqD%2FO0LT6Pz0KJcARt671qvqgQi3DbocRDtQ4betl84jRGTGzfHSJMEalmGTdX9780fy05zDa4clbi%2BS%2BLkJBZYf4%3D?utm_medium=email&amp;_hsmi=226712652&amp;_hsenc=p2ANqtz-9l-n7ipvtzcORFmZd03PYol8SHQvcVi0Z6evQ7ScfpqYiZ21zByukFjNZtNWzEIrK0lXEwA0RlErFoyPgnUEJbLhoGpw&amp;utm_content=226712652&amp;utm_source=hs_email" TargetMode="External"/><Relationship Id="rId324" Type="http://schemas.openxmlformats.org/officeDocument/2006/relationships/hyperlink" Target="https://www.supremecourt.gov/opinions/19pdf/18-5924_n6io.pdf" TargetMode="External"/><Relationship Id="rId531" Type="http://schemas.openxmlformats.org/officeDocument/2006/relationships/hyperlink" Target="https://www.fireengineering.com/firefighting/el-paso-tx-firefighter-injured-while-rendering-care/" TargetMode="External"/><Relationship Id="rId629" Type="http://schemas.openxmlformats.org/officeDocument/2006/relationships/hyperlink" Target="https://www.statnews.com/2025/06/16/nih-research-cuts-ruled-illegal-by-federal-judge-william-young/" TargetMode="External"/><Relationship Id="rId1161" Type="http://schemas.openxmlformats.org/officeDocument/2006/relationships/hyperlink" Target="https://casetext.com/case/city-of-henderson-v-law" TargetMode="External"/><Relationship Id="rId1259" Type="http://schemas.openxmlformats.org/officeDocument/2006/relationships/hyperlink" Target="https://law.justia.com/cases/washington/court-of-appeals-division-ii/2020/52908-4.html" TargetMode="External"/><Relationship Id="rId1466" Type="http://schemas.openxmlformats.org/officeDocument/2006/relationships/hyperlink" Target="https://law.justia.com/cases/federal/district-courts/illinois/ilndce/1:2018cv03054/351942/211/" TargetMode="External"/><Relationship Id="rId2005" Type="http://schemas.openxmlformats.org/officeDocument/2006/relationships/hyperlink" Target="https://supreme.justia.com/cases/federal/us/470/532/" TargetMode="External"/><Relationship Id="rId2212" Type="http://schemas.openxmlformats.org/officeDocument/2006/relationships/hyperlink" Target="https://law.justia.com/cases/iowa/court-of-appeals/2023/22-0302.html" TargetMode="External"/><Relationship Id="rId2864" Type="http://schemas.openxmlformats.org/officeDocument/2006/relationships/hyperlink" Target="https://law.justia.com/cases/new-york/court-of-appeals/2022/95.html" TargetMode="External"/><Relationship Id="rId836" Type="http://schemas.openxmlformats.org/officeDocument/2006/relationships/hyperlink" Target="https://ij.org/wp-content/uploads/2018/09/16-3480_complete_opn.pdf" TargetMode="External"/><Relationship Id="rId1021" Type="http://schemas.openxmlformats.org/officeDocument/2006/relationships/hyperlink" Target="https://www.youtube.com/watch?v=ga_vHeGYQ34" TargetMode="External"/><Relationship Id="rId1119" Type="http://schemas.openxmlformats.org/officeDocument/2006/relationships/hyperlink" Target="https://caselaw.findlaw.com/court/fl-district-court-of-appeal/115346402.html" TargetMode="External"/><Relationship Id="rId1673" Type="http://schemas.openxmlformats.org/officeDocument/2006/relationships/hyperlink" Target="https://www.casemine.com/judgement/us/65a0c054bfe6241981ef91c8" TargetMode="External"/><Relationship Id="rId1880" Type="http://schemas.openxmlformats.org/officeDocument/2006/relationships/hyperlink" Target="https://www.justice.gov/opa/pr/covid-19-servicemembers-civil-rights-message-assistant-attorney-general" TargetMode="External"/><Relationship Id="rId1978" Type="http://schemas.openxmlformats.org/officeDocument/2006/relationships/hyperlink" Target="https://www.firerescue1.com/dwi/articles/fire-dept-changes-rules-after-firefighter-dwi-arrests-rmaW6QcL6R9YmTqf/" TargetMode="External"/><Relationship Id="rId2517" Type="http://schemas.openxmlformats.org/officeDocument/2006/relationships/hyperlink" Target="https://jgpr.net/wp-content/uploads/2020/04/433-MSJ-Order.pdf" TargetMode="External"/><Relationship Id="rId2724" Type="http://schemas.openxmlformats.org/officeDocument/2006/relationships/hyperlink" Target="https://www.wfmj.com/story/41405965/chief-working-under-last-chance-agreement-angers-youngstown-firefighters" TargetMode="External"/><Relationship Id="rId2931" Type="http://schemas.openxmlformats.org/officeDocument/2006/relationships/hyperlink" Target="https://casetext.com/case/perez-v-mortg-bankers-assn" TargetMode="External"/><Relationship Id="rId903" Type="http://schemas.openxmlformats.org/officeDocument/2006/relationships/hyperlink" Target="https://casetext.com/case/dougherty-v-city-of-detroit" TargetMode="External"/><Relationship Id="rId1326" Type="http://schemas.openxmlformats.org/officeDocument/2006/relationships/hyperlink" Target="https://www.supremecourt.gov/opinions/17pdf/16-285_q8l1.pdf" TargetMode="External"/><Relationship Id="rId1533" Type="http://schemas.openxmlformats.org/officeDocument/2006/relationships/hyperlink" Target="https://www.njcourts.gov/system/files/court-opinions/2024/a3173-22.pdf" TargetMode="External"/><Relationship Id="rId1740" Type="http://schemas.openxmlformats.org/officeDocument/2006/relationships/hyperlink" Target="https://public.fastcase.com/waZtJvSA54UAurM2rmIZz88A4DX9zJiHVSCLlaywcCbO%2FsN6H35lRLqBQI5YlUXLkpfw%2B63lWcDnyRlZDlxVAe7N7ayvxJpVWQxxLxisTNc%3D" TargetMode="External"/><Relationship Id="rId32" Type="http://schemas.openxmlformats.org/officeDocument/2006/relationships/hyperlink" Target="https://cases.justia.com/north-carolina/supreme-court/2026-101pa24.pdf?ts=1779464497" TargetMode="External"/><Relationship Id="rId1600" Type="http://schemas.openxmlformats.org/officeDocument/2006/relationships/hyperlink" Target="https://casetext.com/statute/united-states-code/title-42-the-public-health-and-welfare/chapter-21-civil-rights/subchapter-vi-equal-employment-opportunities/section-2000e-2-unlawful-employment-practices" TargetMode="External"/><Relationship Id="rId1838" Type="http://schemas.openxmlformats.org/officeDocument/2006/relationships/hyperlink" Target="https://supreme.justia.com/cases/federal/us/450/728/" TargetMode="External"/><Relationship Id="rId181" Type="http://schemas.openxmlformats.org/officeDocument/2006/relationships/hyperlink" Target="https://public.fastcase.com/ZZhmr5v9wN%2FXOe5IsQ%2FqD2w3LkpuglI3nASy1X40hEavWq5Hg6BXuOMAb4Q%2F0qYvRQrnGJSyHTBcFYNZH%2FPWinF4W28EQi7cn4B0%2Besltk8%3D?utm_medium=email&amp;_hsmi=226712652&amp;_hsenc=p2ANqtz--58Ne7SxJ1hr6i-F8FakyHT8npVqzhLBvm91HO15BtcmmyFpQh4X3iW-xWGAEBSVd3N4PHQcOA9a0ODtOxMPf5jkgwuw&amp;utm_content=226712652&amp;utm_source=hs_email" TargetMode="External"/><Relationship Id="rId1905" Type="http://schemas.openxmlformats.org/officeDocument/2006/relationships/hyperlink" Target="https://www.njcourts.gov/system/files/court-opinions/2026/a3876-23a3886-23.pdf" TargetMode="External"/><Relationship Id="rId279" Type="http://schemas.openxmlformats.org/officeDocument/2006/relationships/hyperlink" Target="https://ethics.ohio.gov/education/newsletters/VOE_21Q1.pdf" TargetMode="External"/><Relationship Id="rId486" Type="http://schemas.openxmlformats.org/officeDocument/2006/relationships/hyperlink" Target="https://casetext.com/case/knipper-v-drill-team-of-lindenhurst-fire-dept" TargetMode="External"/><Relationship Id="rId693" Type="http://schemas.openxmlformats.org/officeDocument/2006/relationships/hyperlink" Target="https://www.ca5.uscourts.gov/opinions/pub/17/17-30864-CV4.pdf" TargetMode="External"/><Relationship Id="rId2167" Type="http://schemas.openxmlformats.org/officeDocument/2006/relationships/hyperlink" Target="https://cases.justia.com/federal/district-courts/new-york/nysdce/7:2022cv04047/580058/37/0.pdf?ts=1703868116" TargetMode="External"/><Relationship Id="rId2374" Type="http://schemas.openxmlformats.org/officeDocument/2006/relationships/hyperlink" Target="https://public.fastcase.com/Wl%2B2t%2BeVuI35%2FN70vAMFZiXFpIhEfmm%2F8CTY%2Fzzj67xZNFbM2CzcHQjFO%2Fg%2BhpjG" TargetMode="External"/><Relationship Id="rId2581" Type="http://schemas.openxmlformats.org/officeDocument/2006/relationships/hyperlink" Target="https://cases.justia.com/federal/appellate-courts/ca4/24-1782/24-1782-2025-06-05.pdf?ts=1749150038" TargetMode="External"/><Relationship Id="rId139" Type="http://schemas.openxmlformats.org/officeDocument/2006/relationships/hyperlink" Target="https://caselaw.findlaw.com/court/in-court-of-appeals/116435959.html" TargetMode="External"/><Relationship Id="rId346" Type="http://schemas.openxmlformats.org/officeDocument/2006/relationships/hyperlink" Target="https://law.justia.com/cases/new-york/appellate-division-second-department/2019/2017-01910.html" TargetMode="External"/><Relationship Id="rId553" Type="http://schemas.openxmlformats.org/officeDocument/2006/relationships/hyperlink" Target="https://www.firehouse.com/operations-training/article/21112973/fire-law-should-firefighters-be-armed" TargetMode="External"/><Relationship Id="rId760" Type="http://schemas.openxmlformats.org/officeDocument/2006/relationships/hyperlink" Target="https://www.ca4.uscourts.gov/opinions/192250.P.pdf" TargetMode="External"/><Relationship Id="rId998" Type="http://schemas.openxmlformats.org/officeDocument/2006/relationships/hyperlink" Target="https://codes.ohio.gov/ohio-revised-code/section-4511.03" TargetMode="External"/><Relationship Id="rId1183" Type="http://schemas.openxmlformats.org/officeDocument/2006/relationships/hyperlink" Target="https://www.opn.ca6.uscourts.gov/opinions.pdf/21a0204p-06.pdf" TargetMode="External"/><Relationship Id="rId1390" Type="http://schemas.openxmlformats.org/officeDocument/2006/relationships/hyperlink" Target="https://public.fastcase.com/ZZhmr5v9wN%2FXOe5IsQ%2FqD9BUVBv1kUZp9ZGh4udwVOZOikyKuqCQ4FBlGwYEPhOQ?utm_medium=email&amp;_hsmi=226712652&amp;_hsenc=p2ANqtz-8T0ew8oNT-12TbgKrs2ORAj7WbRAGASG77xIYUvebbTcAbFOuK4r9xkTZLpSPqAw77_8KgP47FqlehaZADxsQlpR3k0g&amp;utm_content=226712652&amp;utm_source=hs_email" TargetMode="External"/><Relationship Id="rId2027" Type="http://schemas.openxmlformats.org/officeDocument/2006/relationships/hyperlink" Target="https://www.dccourts.gov/sites/default/files/2026-05/Dargan%20%20v.%20D.C.%20Office%20of%20Employee%20Appeals.%2024-CV-1001.pdf" TargetMode="External"/><Relationship Id="rId2234" Type="http://schemas.openxmlformats.org/officeDocument/2006/relationships/hyperlink" Target="https://juddocumentservice.mt.gov/getDocByCTrackId?DocId=398159" TargetMode="External"/><Relationship Id="rId2441" Type="http://schemas.openxmlformats.org/officeDocument/2006/relationships/hyperlink" Target="https://cases.justia.com/texas/twelfth-court-of-appeals/2026-12-25-00273-cv.pdf?ts=1775749638" TargetMode="External"/><Relationship Id="rId2679" Type="http://schemas.openxmlformats.org/officeDocument/2006/relationships/hyperlink" Target="https://public.fastcase.com/J%2FJP6pdidelsXxEE4k%2BLMjmPooMwsB33SF6fQbdKtm0G0C1GTVTWTSbOoR0BGdHWdmqT3nxx5N34mFb%2FQIY0wnFPK7Gz1IkNE53DDevS6vE%3D?utm_medium=email&amp;_hsmi=226712652&amp;_hsenc=p2ANqtz--MKBV4Y804r56tzWY_uVAuJIZ65L25irdtNU6ZdfUrAAPtscNAIDyxYykxQ2RxJby9_Fy5S6I1PNXJg84F7LwVp6Ejlw&amp;utm_content=226712652&amp;utm_source=hs_email" TargetMode="External"/><Relationship Id="rId2886" Type="http://schemas.openxmlformats.org/officeDocument/2006/relationships/hyperlink" Target="https://www.supremecourt.ohio.gov/rod/docs/pdf/7/2021/2021-Ohio-4552.pdf" TargetMode="External"/><Relationship Id="rId206" Type="http://schemas.openxmlformats.org/officeDocument/2006/relationships/hyperlink" Target="https://www.sccourts.org/opinions//unpublishedopinions/HTMLFiles/COA/2023-UP-014.pdf" TargetMode="External"/><Relationship Id="rId413" Type="http://schemas.openxmlformats.org/officeDocument/2006/relationships/hyperlink" Target="https://www.flhouse.gov/Sections/Bills/billsdetail.aspx?BillId=78745" TargetMode="External"/><Relationship Id="rId858" Type="http://schemas.openxmlformats.org/officeDocument/2006/relationships/hyperlink" Target="https://supreme.justia.com/cases/federal/us/464/287/" TargetMode="External"/><Relationship Id="rId1043" Type="http://schemas.openxmlformats.org/officeDocument/2006/relationships/hyperlink" Target="https://cases.justia.com/delaware/supreme-court/2025-152-2025.pdf?ts=1764862317" TargetMode="External"/><Relationship Id="rId1488" Type="http://schemas.openxmlformats.org/officeDocument/2006/relationships/hyperlink" Target="https://cases.justia.com/federal/appellate-courts/ca7/24-3262/24-3262-2026-06-08.pdf?ts=1780948846" TargetMode="External"/><Relationship Id="rId1695" Type="http://schemas.openxmlformats.org/officeDocument/2006/relationships/hyperlink" Target="https://law.justia.com/cases/federal/district-courts/delaware/dedce/1:2021cv01726/77337/17/" TargetMode="External"/><Relationship Id="rId2539" Type="http://schemas.openxmlformats.org/officeDocument/2006/relationships/hyperlink" Target="https://cases.justia.com/louisiana/fourth-circuit-court-of-appeal/2026-2025-ca-0639-0.pdf?ts=1777519082" TargetMode="External"/><Relationship Id="rId2746" Type="http://schemas.openxmlformats.org/officeDocument/2006/relationships/hyperlink" Target="https://public.fastcase.com/Wl%2B2t%2BeVuI35%2FN70vAMFZoCDqhYmNsbFLjWVRK8omsgUzbu2OUiVNTenINejQyEj" TargetMode="External"/><Relationship Id="rId2953" Type="http://schemas.openxmlformats.org/officeDocument/2006/relationships/hyperlink" Target="https://pascrell.house.gov/news/documentsingle.aspx?DocumentID=4933" TargetMode="External"/><Relationship Id="rId620" Type="http://schemas.openxmlformats.org/officeDocument/2006/relationships/hyperlink" Target="https://d.docs.live.net/bd9b2eaf6053242e/AppData/Roaming/Microsoft/AppData/Local/Microsoft/Windows/INetCache/IE/CTCRXJ99/17-467_bqm1.pdf" TargetMode="External"/><Relationship Id="rId718" Type="http://schemas.openxmlformats.org/officeDocument/2006/relationships/hyperlink" Target="https://www.nytimes.com/2023/07/04/business/federal-judge-biden-social-media.html?campaign_id=60&amp;emc=edit_na_20230704&amp;instance_id=0&amp;nl=breaking-news&amp;ref=cta&amp;regi_id=215376166&amp;segment_id=138360&amp;user_id=c17b05e2b990d0f39049334bb5d3c889" TargetMode="External"/><Relationship Id="rId925" Type="http://schemas.openxmlformats.org/officeDocument/2006/relationships/hyperlink" Target="https://www.nct911.org/how-location-works-for-911/" TargetMode="External"/><Relationship Id="rId1250" Type="http://schemas.openxmlformats.org/officeDocument/2006/relationships/hyperlink" Target="http://codes.ohio.gov/orc/4113.52" TargetMode="External"/><Relationship Id="rId1348" Type="http://schemas.openxmlformats.org/officeDocument/2006/relationships/hyperlink" Target="https://www.supremecourt.gov/opinions/23pdf/22-193_q86b.pdf" TargetMode="External"/><Relationship Id="rId1555" Type="http://schemas.openxmlformats.org/officeDocument/2006/relationships/hyperlink" Target="https://www.iafc.org/membership/iCHIEFS/iCHIEFS-article/department-of-justice-consent-decrees-and-the-fire-service" TargetMode="External"/><Relationship Id="rId1762" Type="http://schemas.openxmlformats.org/officeDocument/2006/relationships/hyperlink" Target="https://www.ca4.uscourts.gov/opinions/231752.P.pdf" TargetMode="External"/><Relationship Id="rId2301" Type="http://schemas.openxmlformats.org/officeDocument/2006/relationships/hyperlink" Target="http://lcapps.co.lucas.oh.us/Courts/Appeals/DecisionsPDF/9824.pdf" TargetMode="External"/><Relationship Id="rId2606" Type="http://schemas.openxmlformats.org/officeDocument/2006/relationships/hyperlink" Target="https://public.fastcase.com/jaEE2PXzRXmZ99jOLMt1IvnyNWPww1WM4x9Gu%2FtN0VhNRAtIpNmmlJ0KM%2F7ZbO911LK6og3L2kiKY%2FASa5mScG8uOsEhAwFbnlzs62F6rSE%3D?utm_medium=email&amp;_hsenc=p2ANqtz-8WZqH_E7rdb_OeZm87WsAQDzZautt0uiTp2Bj7gwVxym265a6f7pCBzZ-RPNW5j-Z8_i7kqeL1it9h0mjMyyn0Q0mh5A&amp;_hsmi=226712652&amp;utm_content=226712652&amp;utm_source=hs_email" TargetMode="External"/><Relationship Id="rId1110" Type="http://schemas.openxmlformats.org/officeDocument/2006/relationships/hyperlink" Target="https://casetext.com/case/pastrana-v-nyc-fire-pension-fund" TargetMode="External"/><Relationship Id="rId1208" Type="http://schemas.openxmlformats.org/officeDocument/2006/relationships/hyperlink" Target="https://www.monastlaw.com/library/scheduled-loss-compensation-after-amputation-or-loss-of-use.cfm" TargetMode="External"/><Relationship Id="rId1415" Type="http://schemas.openxmlformats.org/officeDocument/2006/relationships/hyperlink" Target="https://fisheldowney.com/moving-away-mandatory-arbitration-sexual-assault-harassment-claims/" TargetMode="External"/><Relationship Id="rId2813" Type="http://schemas.openxmlformats.org/officeDocument/2006/relationships/hyperlink" Target="https://cases.justia.com/north-carolina/court-of-appeals/2026-25-761.pdf?ts=1772641555" TargetMode="External"/><Relationship Id="rId54" Type="http://schemas.openxmlformats.org/officeDocument/2006/relationships/hyperlink" Target="https://public.fastcase.com/jaEE2PXzRXmZ99jOLMt1Io7YtJZzhGRSpWTaEU5VEs33%2BTg9rUAoQurxZOT9gqkAJFaugLm9Mxx2CSeMl9vD0%2FrzAe6H5F%2F5zH2a3krjQxc%3D?utm_medium=email&amp;_hsenc=p2ANqtz--xi3xhqQTQTPjw8tThXPxla5fboNp_lyjnL-u37viXN8Zx1O-9U8osPNb7oBpn1RZ6w4oAGvXBZvBP5z9zhZ_Qvufy4w&amp;_hsmi=226712652&amp;utm_content=226712652&amp;utm_source=hs_email" TargetMode="External"/><Relationship Id="rId1622" Type="http://schemas.openxmlformats.org/officeDocument/2006/relationships/hyperlink" Target="https://www.leagle.com/decision/infdco20190624a02" TargetMode="External"/><Relationship Id="rId1927" Type="http://schemas.openxmlformats.org/officeDocument/2006/relationships/hyperlink" Target="https://casetext.com/statute/montana-code/title-2-government-structure-and-administration/chapter-4-administrative-procedure-act/part-7-judicial-review-of-contested-cases/section-2-4-702-effective-until-1012025-initiating-judicial-review-of-contested-cases" TargetMode="External"/><Relationship Id="rId2091" Type="http://schemas.openxmlformats.org/officeDocument/2006/relationships/hyperlink" Target="https://casetext.com/statute/general-laws-of-massachusetts/part-i-administration-of-the-government/title-xxi-labor-and-industries/chapter-149-labor-and-industries/section-149187-health-care-providers-protection-from-retaliatory-action-by-health-care-facilities" TargetMode="External"/><Relationship Id="rId2189" Type="http://schemas.openxmlformats.org/officeDocument/2006/relationships/hyperlink" Target="https://public.fastcase.com/ZZhmr5v9wN%2FXOe5IsQ%2FqD7GCKb2IB3J54e7ItSmUYP%2BWMLglINdF7XSY%2Fk9VEPoTx4QWBItn6mQ9CDY1KKV2Qj7lzwy8FX40VrBADcTdOUs%3D?utm_medium=email&amp;_hsmi=226712652&amp;_hsenc=p2ANqtz-_DK7zem2LwgE_Zwv-o_RP9UByjQ85WHbLNpM1Ddz9HLFMrLo4_e5BuKmezeF9cnjUjmpRGuKlpbVs2F5114RUdRnDuAQ&amp;utm_content=226712652&amp;utm_source=hs_email" TargetMode="External"/><Relationship Id="rId270" Type="http://schemas.openxmlformats.org/officeDocument/2006/relationships/hyperlink" Target="https://www.npr.org/2021/03/25/981297231/supreme-court-dips-gingerly-into-roiling-police-misconduct-waters" TargetMode="External"/><Relationship Id="rId2396" Type="http://schemas.openxmlformats.org/officeDocument/2006/relationships/hyperlink" Target="http://business.cch.com/ald/saginawVstat03262019.pdf" TargetMode="External"/><Relationship Id="rId130" Type="http://schemas.openxmlformats.org/officeDocument/2006/relationships/hyperlink" Target="https://www.law.cornell.edu/wex/res_gestae" TargetMode="External"/><Relationship Id="rId368" Type="http://schemas.openxmlformats.org/officeDocument/2006/relationships/hyperlink" Target="https://cases.justia.com/federal/district-courts/michigan/miedce/2:2015cv13050/304138/9/0.pdf?ts=1532512098" TargetMode="External"/><Relationship Id="rId575" Type="http://schemas.openxmlformats.org/officeDocument/2006/relationships/hyperlink" Target="https://www.courtlistener.com/pdf/2020/02/11/state_ex_rel._madison_fire_dist._v._indus._comm..pdf" TargetMode="External"/><Relationship Id="rId782" Type="http://schemas.openxmlformats.org/officeDocument/2006/relationships/hyperlink" Target="https://www.law.cornell.edu/definitions/uscode.php?width=840&amp;height=800&amp;iframe=true&amp;def_id=8-USC-92903111-1485256781&amp;term_occur=999&amp;term_src=title:8:chapter:12:subchapter:II:part:IV:section:1229b" TargetMode="External"/><Relationship Id="rId2049" Type="http://schemas.openxmlformats.org/officeDocument/2006/relationships/hyperlink" Target="https://law.justia.com/cases/new-york/appellate-division-first-department/2025/index-no-153104-18-appeal-no-5428-case-no-2024-01885.html" TargetMode="External"/><Relationship Id="rId2256" Type="http://schemas.openxmlformats.org/officeDocument/2006/relationships/hyperlink" Target="https://casetext.com/case/brown-v-medscope-am-corp" TargetMode="External"/><Relationship Id="rId2463" Type="http://schemas.openxmlformats.org/officeDocument/2006/relationships/hyperlink" Target="https://caselaw.findlaw.com/court/us-1st-circuit/116442772.html" TargetMode="External"/><Relationship Id="rId2670" Type="http://schemas.openxmlformats.org/officeDocument/2006/relationships/hyperlink" Target="https://public.fastcase.com/J%2FJP6pdidelsXxEE4k%2BLMpGubXoiBI9N5c5PiCjiKje3s5hlj34tgYA4JUqhEnHu5%2B5A2YVGp5a5q0QWGlZ62xJPhOyoXNaYGEvkYwXaoTE%3D?utm_medium=email&amp;_hsmi=226712652&amp;_hsenc=p2ANqtz-8eQQAtjUmF0fegxTEoYBNzAO-SWgh5MKAZ8ooS_Vj6VgR_AfS9P2NoltKqIQKTjr9fMeFfYMtr9y658qMKNZJxq-ULqA&amp;utm_content=226712652&amp;utm_source=hs_email" TargetMode="External"/><Relationship Id="rId228" Type="http://schemas.openxmlformats.org/officeDocument/2006/relationships/hyperlink" Target="https://www.supremecourt.gov/opinions/21pdf/20-1800_7lho.pdf" TargetMode="External"/><Relationship Id="rId435" Type="http://schemas.openxmlformats.org/officeDocument/2006/relationships/hyperlink" Target="https://law.justia.com/cases/new-york/appellate-division-second-department/2025/2023-00001.html" TargetMode="External"/><Relationship Id="rId642" Type="http://schemas.openxmlformats.org/officeDocument/2006/relationships/hyperlink" Target="https://www.google.com/patents/US6848366?dq=inventor+daniel+tanner" TargetMode="External"/><Relationship Id="rId1065" Type="http://schemas.openxmlformats.org/officeDocument/2006/relationships/hyperlink" Target="https://cases.justia.com/kentucky/court-of-appeals/2025-2024-ca-0152-mr.pdf?ts=1748009113" TargetMode="External"/><Relationship Id="rId1272" Type="http://schemas.openxmlformats.org/officeDocument/2006/relationships/hyperlink" Target="http://41af3k34gprx4f6bg12df75i.wpengine.netdna-cdn.com/wp-content/uploads/sites/19/2020/05/Hartman-v.-St.-Bernard-Parish-Fire-Dep_t_-2020-La.-App.pdf" TargetMode="External"/><Relationship Id="rId2116" Type="http://schemas.openxmlformats.org/officeDocument/2006/relationships/hyperlink" Target="https://stlouiscriminaldefense.com/practice-areas/st-louis-murder-defense-attorney/" TargetMode="External"/><Relationship Id="rId2323" Type="http://schemas.openxmlformats.org/officeDocument/2006/relationships/hyperlink" Target="https://public.fastcase.com/Wl%2B2t%2BeVuI35%2FN70vAMFZhZJi56QhK5aeAu9BSRcXQy3N2tA%2FHS1iSBZTTlZLCgr" TargetMode="External"/><Relationship Id="rId2530" Type="http://schemas.openxmlformats.org/officeDocument/2006/relationships/hyperlink" Target="https://www.heraldstaronline.com/news/local-news/2025/05/former-mingo-fire-chief-indicted-by-grand-jury/" TargetMode="External"/><Relationship Id="rId2768" Type="http://schemas.openxmlformats.org/officeDocument/2006/relationships/hyperlink" Target="https://public.fastcase.com/Wl%2B2t%2BeVuI35%2FN70vAMFZlZAOd3Yf30gW5GUDA4he8qcwsisxdvBFlR%2Bm9b1UDwt" TargetMode="External"/><Relationship Id="rId502" Type="http://schemas.openxmlformats.org/officeDocument/2006/relationships/hyperlink" Target="https://casetext.com/statute/california-codes/california-civil-code/division-3-obligations/part-3-obligations-imposed-by-law/section-17149-injury-to-peace-officer-firefighter-or-emergency-medical-personnel" TargetMode="External"/><Relationship Id="rId947" Type="http://schemas.openxmlformats.org/officeDocument/2006/relationships/hyperlink" Target="https://cases.justia.com/louisiana/fourth-circuit-court-of-appeal/2025-2025-ca-0386.pdf?ts=1765847814" TargetMode="External"/><Relationship Id="rId1132" Type="http://schemas.openxmlformats.org/officeDocument/2006/relationships/hyperlink" Target="https://casetext.com/case/lexington-fayette-urban-cnty-govt-v-gosper-1" TargetMode="External"/><Relationship Id="rId1577" Type="http://schemas.openxmlformats.org/officeDocument/2006/relationships/hyperlink" Target="https://law.justia.com/cases/texas/fourteenth-court-of-appeals/2022/14-20-00688-cv.html" TargetMode="External"/><Relationship Id="rId1784" Type="http://schemas.openxmlformats.org/officeDocument/2006/relationships/hyperlink" Target="https://www.law360.com/employment-authority/articles/1701446/okla-ems-dept-shorts-workers-on-ot-former-emt-says" TargetMode="External"/><Relationship Id="rId1991" Type="http://schemas.openxmlformats.org/officeDocument/2006/relationships/hyperlink" Target="https://www.law.com/thelegalintelligencer/2020/06/25/judge-halts-opening-of-safe-injection-site-citing-covid-19-pandemic-and-protests/" TargetMode="External"/><Relationship Id="rId2628" Type="http://schemas.openxmlformats.org/officeDocument/2006/relationships/hyperlink" Target="https://cases.justia.com/federal/district-courts/ohio/ohsdce/1:2023cv00230/279336/13/0.pdf?ts=1707452867" TargetMode="External"/><Relationship Id="rId2835" Type="http://schemas.openxmlformats.org/officeDocument/2006/relationships/hyperlink" Target="https://casetext.com/statute/code-of-iowa/title-i-state-sovereignty-and-management/chapter-17a-iowa-administrative-procedure-act/section-17a19-judicial-review" TargetMode="External"/><Relationship Id="rId76" Type="http://schemas.openxmlformats.org/officeDocument/2006/relationships/hyperlink" Target="https://cases.justia.com/federal/district-courts/massachusetts/madce/1:2025mc91106/281992/17/0.pdf?ts=1747471889" TargetMode="External"/><Relationship Id="rId807" Type="http://schemas.openxmlformats.org/officeDocument/2006/relationships/hyperlink" Target="https://www.casemine.com/judgement/us/5fa3a7514653d0732d5bedb1" TargetMode="External"/><Relationship Id="rId1437" Type="http://schemas.openxmlformats.org/officeDocument/2006/relationships/hyperlink" Target="https://scholar.google.com/scholar_case?case=10119606247499891126&amp;q=Rachel+MOSBY+v.+CITY+OF+BYRON,+GEORGIA,&amp;hl=en&amp;as_sdt=6,36" TargetMode="External"/><Relationship Id="rId1644" Type="http://schemas.openxmlformats.org/officeDocument/2006/relationships/hyperlink" Target="https://www.iafc.org/docs/default-source/1safehealthshs/vws_rrkit_nfpa-1582.pdf?sfvrsn=ca9b9f0d_4" TargetMode="External"/><Relationship Id="rId1851" Type="http://schemas.openxmlformats.org/officeDocument/2006/relationships/hyperlink" Target="https://www.dol.gov/sites/dolgov/files/WHD/legacy/files/fab_2020_7.pdf" TargetMode="External"/><Relationship Id="rId2902" Type="http://schemas.openxmlformats.org/officeDocument/2006/relationships/hyperlink" Target="https://www.wwnytv.com/story/39893183/watertown-firefighters-win-legal-victory" TargetMode="External"/><Relationship Id="rId1504" Type="http://schemas.openxmlformats.org/officeDocument/2006/relationships/hyperlink" Target="https://storage.courtlistener.com/recap/gov.uscourts.moed.198347/gov.uscourts.moed.198347.70.0.pdf" TargetMode="External"/><Relationship Id="rId1711" Type="http://schemas.openxmlformats.org/officeDocument/2006/relationships/hyperlink" Target="https://www.iafc.org/docs/default-source/1vcos/vws_rrkit_nfpa-1582.pdf?sfvrsn=ca9b9f0d_2" TargetMode="External"/><Relationship Id="rId1949" Type="http://schemas.openxmlformats.org/officeDocument/2006/relationships/hyperlink" Target="https://www.nytimes.com/2019/09/19/health/purdue-sackler-opioid-settlement.html" TargetMode="External"/><Relationship Id="rId292" Type="http://schemas.openxmlformats.org/officeDocument/2006/relationships/hyperlink" Target="http://decisions.courts.state.ny.us/ad3/Decisions/2020/530081.pdf" TargetMode="External"/><Relationship Id="rId1809" Type="http://schemas.openxmlformats.org/officeDocument/2006/relationships/hyperlink" Target="http://www.dol.gov/agencies/whd" TargetMode="External"/><Relationship Id="rId597" Type="http://schemas.openxmlformats.org/officeDocument/2006/relationships/hyperlink" Target="https://www.cdc.gov/niosh/fire/pdfs/face201314.pdf" TargetMode="External"/><Relationship Id="rId2180" Type="http://schemas.openxmlformats.org/officeDocument/2006/relationships/hyperlink" Target="https://casetext.com/case/sutton-v-rockingham-cnty-1" TargetMode="External"/><Relationship Id="rId2278" Type="http://schemas.openxmlformats.org/officeDocument/2006/relationships/hyperlink" Target="https://www.ca4.uscourts.gov/Opinions/201906.U.pdf" TargetMode="External"/><Relationship Id="rId2485" Type="http://schemas.openxmlformats.org/officeDocument/2006/relationships/hyperlink" Target="https://www.eeoc.gov/disability-discrimination-and-employment-decisions" TargetMode="External"/><Relationship Id="rId152" Type="http://schemas.openxmlformats.org/officeDocument/2006/relationships/hyperlink" Target="https://haderhvac.com/blog/rv-hvac-absorption-refrigeration/" TargetMode="External"/><Relationship Id="rId457" Type="http://schemas.openxmlformats.org/officeDocument/2006/relationships/hyperlink" Target="https://www.sullivangalleshaw.com/the-professional-rescuers-rule/" TargetMode="External"/><Relationship Id="rId1087" Type="http://schemas.openxmlformats.org/officeDocument/2006/relationships/hyperlink" Target="https://cases.justia.com/pennsylvania/commonwealth-court/2024-739-c-d-2023.pdf?ts=1732034168" TargetMode="External"/><Relationship Id="rId1294" Type="http://schemas.openxmlformats.org/officeDocument/2006/relationships/hyperlink" Target="https://www.courtlistener.com/recap/gov.uscourts.ohnd.252466/gov.uscourts.ohnd.252466.26.0.pdf" TargetMode="External"/><Relationship Id="rId2040" Type="http://schemas.openxmlformats.org/officeDocument/2006/relationships/hyperlink" Target="https://cases.justia.com/texas/thirteenth-court-of-appeals/2026-13-25-00099-cv.pdf?ts=1772125541" TargetMode="External"/><Relationship Id="rId2138" Type="http://schemas.openxmlformats.org/officeDocument/2006/relationships/hyperlink" Target="https://casetext.com/statute/united-states-code/title-28-judiciary-and-judicial-procedure/part-v-procedure/chapter-123-fees-and-costs/section-1920-taxation-of-costs" TargetMode="External"/><Relationship Id="rId2692" Type="http://schemas.openxmlformats.org/officeDocument/2006/relationships/hyperlink" Target="https://casetext.com/case/owens-v-propes" TargetMode="External"/><Relationship Id="rId664" Type="http://schemas.openxmlformats.org/officeDocument/2006/relationships/hyperlink" Target="https://www2.ca3.uscourts.gov/opinarch/231900p.pdf" TargetMode="External"/><Relationship Id="rId871" Type="http://schemas.openxmlformats.org/officeDocument/2006/relationships/hyperlink" Target="https://casetext.com/case/portillo-v-madera-cnty" TargetMode="External"/><Relationship Id="rId969" Type="http://schemas.openxmlformats.org/officeDocument/2006/relationships/hyperlink" Target="https://law.justia.com/cases/oklahoma/supreme-court/2024/121510.html" TargetMode="External"/><Relationship Id="rId1599" Type="http://schemas.openxmlformats.org/officeDocument/2006/relationships/hyperlink" Target="https://casetext.com/case/alexander-v-bahou/?PHONE_NUMBER_GROUP=P" TargetMode="External"/><Relationship Id="rId2345" Type="http://schemas.openxmlformats.org/officeDocument/2006/relationships/hyperlink" Target="https://law.justia.com/cases/new-york/appellate-division-second-department/2020/2018-14386.html" TargetMode="External"/><Relationship Id="rId2552" Type="http://schemas.openxmlformats.org/officeDocument/2006/relationships/hyperlink" Target="https://cases.justia.com/federal/district-courts/illinois/ilndce/1:2025cv10892/485962/24/0.pdf?ts=1769597667" TargetMode="External"/><Relationship Id="rId317" Type="http://schemas.openxmlformats.org/officeDocument/2006/relationships/hyperlink" Target="https://www.photoshopessentials.com/photo-effects/copyright/" TargetMode="External"/><Relationship Id="rId524" Type="http://schemas.openxmlformats.org/officeDocument/2006/relationships/hyperlink" Target="https://www.njcourts.gov/sites/default/files/court-opinions/2023/a2431-20.pdf" TargetMode="External"/><Relationship Id="rId731" Type="http://schemas.openxmlformats.org/officeDocument/2006/relationships/hyperlink" Target="https://www.supremecourt.gov/opinions/22pdf/22a544_n758.pdf" TargetMode="External"/><Relationship Id="rId1154" Type="http://schemas.openxmlformats.org/officeDocument/2006/relationships/hyperlink" Target="https://www.ilga.gov/legislation/ilcs/ilcs3.asp?ActID=2431&amp;ChapterID=68" TargetMode="External"/><Relationship Id="rId1361" Type="http://schemas.openxmlformats.org/officeDocument/2006/relationships/hyperlink" Target="https://codes.ohio.gov/ohio-revised-code/section-4112.02" TargetMode="External"/><Relationship Id="rId1459" Type="http://schemas.openxmlformats.org/officeDocument/2006/relationships/hyperlink" Target="https://www.firerescue1.com/lawsuit/articles/former-kan-fire-inspector-loses-discrimination-lawsuit-7znPnJr96hoozkWc/?utm_source=FireRescue1+Member+Newsletter&amp;utm_campaign=c8726896e1-EMAIL_CAMPAIGN_2020_01_21_07_39&amp;utm_medium=email&amp;utm_term=0_758bdbeffe-c8726896e1-41607823" TargetMode="External"/><Relationship Id="rId2205" Type="http://schemas.openxmlformats.org/officeDocument/2006/relationships/hyperlink" Target="https://www.cbsnews.com/newyork/news/judge-strikes-down-pba-vaccine-mandate-orders-new-york-city-to-reinstate-unvaccinated-members/" TargetMode="External"/><Relationship Id="rId2412" Type="http://schemas.openxmlformats.org/officeDocument/2006/relationships/hyperlink" Target="https://www.supremecourt.gov/opinions/18pdf/17-1660_5ifl.pdf" TargetMode="External"/><Relationship Id="rId2857" Type="http://schemas.openxmlformats.org/officeDocument/2006/relationships/hyperlink" Target="https://casetext.com/case/murchison-v-city-of-waterbury" TargetMode="External"/><Relationship Id="rId98" Type="http://schemas.openxmlformats.org/officeDocument/2006/relationships/hyperlink" Target="https://www.usatoday.com/story/tech/2025/01/22/tiktok-ban-download-app-stores-update/77872210007/" TargetMode="External"/><Relationship Id="rId829" Type="http://schemas.openxmlformats.org/officeDocument/2006/relationships/hyperlink" Target="http://www.pacourts.us/assets/opinions/Superior/out/j-s12006-19o%20-%2010413599977313050.pdf" TargetMode="External"/><Relationship Id="rId1014" Type="http://schemas.openxmlformats.org/officeDocument/2006/relationships/hyperlink" Target="https://casetext.com/case/hicks-v-city-of-ofallon" TargetMode="External"/><Relationship Id="rId1221" Type="http://schemas.openxmlformats.org/officeDocument/2006/relationships/hyperlink" Target="https://apps.leg.wa.gov/rcw/default.aspx?cite=51.32.185" TargetMode="External"/><Relationship Id="rId1666" Type="http://schemas.openxmlformats.org/officeDocument/2006/relationships/hyperlink" Target="https://cases.justia.com/federal/appellate-courts/ca11/22-10002/22-10002-2023-10-11.pdf?ts=1697045568" TargetMode="External"/><Relationship Id="rId1873" Type="http://schemas.openxmlformats.org/officeDocument/2006/relationships/hyperlink" Target="https://public.fastcase.com/Wl%2B2t%2BeVuI35%2FN70vAMFZqOCIluAWFXT7dyIbWSJtbA2tJbGDR%2F5EmjVBjMYm1QS" TargetMode="External"/><Relationship Id="rId2717" Type="http://schemas.openxmlformats.org/officeDocument/2006/relationships/hyperlink" Target="https://boston.cbslocal.com/2021/08/05/wellesley-fire-chief-richard-delorie-conflict-of-interest/" TargetMode="External"/><Relationship Id="rId2924" Type="http://schemas.openxmlformats.org/officeDocument/2006/relationships/hyperlink" Target="https://www.law.cornell.edu/cfr/text/24/291.530" TargetMode="External"/><Relationship Id="rId1319" Type="http://schemas.openxmlformats.org/officeDocument/2006/relationships/hyperlink" Target="https://www.njcourts.gov/attorneys/assets/opinions/appellate/unpublished/a5206-15.pdf?cacheID=tO9Al6f" TargetMode="External"/><Relationship Id="rId1526" Type="http://schemas.openxmlformats.org/officeDocument/2006/relationships/hyperlink" Target="https://cases.justia.com/federal/district-courts/alabama/alndce/2:2023cv01098/186589/44/0.pdf?ts=1737802006" TargetMode="External"/><Relationship Id="rId1733" Type="http://schemas.openxmlformats.org/officeDocument/2006/relationships/hyperlink" Target="https://cases.justia.com/federal/district-courts/south-carolina/scdce/0:2024cv00826/288831/46/0.pdf" TargetMode="External"/><Relationship Id="rId1940" Type="http://schemas.openxmlformats.org/officeDocument/2006/relationships/hyperlink" Target="https://cases.justia.com/texas/fifth-court-of-appeals/2024-05-22-01220-cr.pdf?ts=1708523726" TargetMode="External"/><Relationship Id="rId25" Type="http://schemas.openxmlformats.org/officeDocument/2006/relationships/hyperlink" Target="https://www.supremecourt.gov/opinions/25pdf/25-112_0am4.pdf" TargetMode="External"/><Relationship Id="rId1800" Type="http://schemas.openxmlformats.org/officeDocument/2006/relationships/hyperlink" Target="https://www.firefighterovertime.org/2019/09/16/firefighter-meal-period/" TargetMode="External"/><Relationship Id="rId174" Type="http://schemas.openxmlformats.org/officeDocument/2006/relationships/hyperlink" Target="https://www.law.cornell.edu/rules/fre/rule_702" TargetMode="External"/><Relationship Id="rId381" Type="http://schemas.openxmlformats.org/officeDocument/2006/relationships/hyperlink" Target="https://casetext.com/case/banske-v-city-of-calumet-city" TargetMode="External"/><Relationship Id="rId2062" Type="http://schemas.openxmlformats.org/officeDocument/2006/relationships/hyperlink" Target="https://jpr.azcourts.gov/Portals/0/OpinionFiles/Div1/2025/1%20CA-CR%2024-0549%20Johnson.pdf" TargetMode="External"/><Relationship Id="rId241" Type="http://schemas.openxmlformats.org/officeDocument/2006/relationships/hyperlink" Target="https://www.mainelegislature.org/legis/statutes/17/title17sec2851.html" TargetMode="External"/><Relationship Id="rId479" Type="http://schemas.openxmlformats.org/officeDocument/2006/relationships/hyperlink" Target="https://livornoandarnett.com/ohios-firemans-rule/" TargetMode="External"/><Relationship Id="rId686" Type="http://schemas.openxmlformats.org/officeDocument/2006/relationships/hyperlink" Target="https://krcrtv.com/news/local/long-awaited-settlement-conference-in-fawn-fire-arson-case-brings-hope-to-victims" TargetMode="External"/><Relationship Id="rId893" Type="http://schemas.openxmlformats.org/officeDocument/2006/relationships/hyperlink" Target="https://public.fastcase.com/J%2FJP6pdidelsXxEE4k%2BLMn3rhSw89wni4akrGgclH4tY407nVvfTRwhYpyTytqAww5i%2BcjDR8DFfgYYxUNnhOrZ4pPx8rv87OEAaoYdIWaw%3D?utm_medium=email&amp;_hsmi=226712652&amp;_hsenc=p2ANqtz--lPKcQUZ00Y_ImXZh39HMz6UO0kEIbng7bmb6odI7o6fRRwj_-I6PCBlRwjLhuflNpZQs-1Wu84wEID-VmUx_pZGrr8w&amp;utm_content=226712652&amp;utm_source=hs_email" TargetMode="External"/><Relationship Id="rId2367" Type="http://schemas.openxmlformats.org/officeDocument/2006/relationships/hyperlink" Target="https://www.pennlive.com/news/2020/04/split-pa-supreme-court-rejects-latest-challenge-to-gov-wolfs-coronavirus-business-shutdown-order.html" TargetMode="External"/><Relationship Id="rId2574" Type="http://schemas.openxmlformats.org/officeDocument/2006/relationships/hyperlink" Target="https://public.fastcase.com/jaEE2PXzRXmZ99jOLMt1Ilcjd44wj1gOUELzUZUXmDmbuUsOiVZitmDUzsj9wpOSz4ErC%2Bb83%2Bac%2Bxbf2Y5XWbaFtY83bMRM%2FnYjCn7PkRA%3D?utm_medium=email&amp;_hsenc=p2ANqtz-_fx1n9_ms4yphjYB4YK1tT4ojMXKWZyFtyDBkZEK1fupUD4WQ_rkXhMfyPQZmyXGwaNXHPYYCETcsN16Fd9R-eiG6PHw&amp;_hsmi=226712652&amp;utm_content=226712652&amp;utm_source=hs_email" TargetMode="External"/><Relationship Id="rId2781" Type="http://schemas.openxmlformats.org/officeDocument/2006/relationships/hyperlink" Target="https://cases.justia.com/texas/ninth-court-of-appeals/2019-09-18-00407-cv-0.pdf?ts=1570180546" TargetMode="External"/><Relationship Id="rId339" Type="http://schemas.openxmlformats.org/officeDocument/2006/relationships/hyperlink" Target="https://www.supremecourt.gov/orders/courtorders/052819zor_2dq3.pdf" TargetMode="External"/><Relationship Id="rId546" Type="http://schemas.openxmlformats.org/officeDocument/2006/relationships/hyperlink" Target="http://media.ca1.uscourts.gov/pdf.opinions/21-1826P-01A.pdf" TargetMode="External"/><Relationship Id="rId753" Type="http://schemas.openxmlformats.org/officeDocument/2006/relationships/hyperlink" Target="https://www.thestate.com/news/local/crime/article120075733.html" TargetMode="External"/><Relationship Id="rId1176" Type="http://schemas.openxmlformats.org/officeDocument/2006/relationships/hyperlink" Target="http://app.leg.wa.gov/RCW/default.aspx?cite=41.26.030" TargetMode="External"/><Relationship Id="rId1383" Type="http://schemas.openxmlformats.org/officeDocument/2006/relationships/hyperlink" Target="https://cases.justia.com/federal/district-courts/nevada/nvdce/2:2021cv01405/151510/46/0.pdf" TargetMode="External"/><Relationship Id="rId2227" Type="http://schemas.openxmlformats.org/officeDocument/2006/relationships/hyperlink" Target="https://law.justia.com/cases/california/court-of-appeal/2022/a162508.html" TargetMode="External"/><Relationship Id="rId2434" Type="http://schemas.openxmlformats.org/officeDocument/2006/relationships/hyperlink" Target="http://www.supremecourt.ohio.gov/rod/docs/pdf/2/2018/2018-ohio-512.pdf" TargetMode="External"/><Relationship Id="rId2879" Type="http://schemas.openxmlformats.org/officeDocument/2006/relationships/hyperlink" Target="https://www.theledger.com/story/news/local/2022/05/20/lakeland-fire-department-leaders-retaliated-against-union-members-commission-says/9852984002/?mc_cid=a677467851&amp;mc_eid=3f2d24c371" TargetMode="External"/><Relationship Id="rId101" Type="http://schemas.openxmlformats.org/officeDocument/2006/relationships/hyperlink" Target="https://casetext.com/case/united-states-v-gibson-453" TargetMode="External"/><Relationship Id="rId406" Type="http://schemas.openxmlformats.org/officeDocument/2006/relationships/hyperlink" Target="https://cases.justia.com/federal/district-courts/georgia/gasdce/2:2024cv00049/96644/96/0.pdf?ts=1771001361" TargetMode="External"/><Relationship Id="rId960" Type="http://schemas.openxmlformats.org/officeDocument/2006/relationships/hyperlink" Target="https://casetext.com/case/kneeshaw-v-the-superior-court-of-orange-cnty" TargetMode="External"/><Relationship Id="rId1036" Type="http://schemas.openxmlformats.org/officeDocument/2006/relationships/hyperlink" Target="https://cases.justia.com/federal/appellate-courts/ca2/23-1218/23-1218-2026-04-30.pdf?ts=1777566611" TargetMode="External"/><Relationship Id="rId1243" Type="http://schemas.openxmlformats.org/officeDocument/2006/relationships/hyperlink" Target="https://public.fastcase.com/Wl%2B2t%2BeVuI35%2FN70vAMFZvIVF%2BSpwi61gSoehD%2F89NWJSNvj394DBr50iS5GXrLH" TargetMode="External"/><Relationship Id="rId1590" Type="http://schemas.openxmlformats.org/officeDocument/2006/relationships/hyperlink" Target="https://www.cleveland19.com/2021/07/27/court-rules-favor-five-cleveland-ems-captains-who-claimed-discrimination-against-their-boss/" TargetMode="External"/><Relationship Id="rId1688" Type="http://schemas.openxmlformats.org/officeDocument/2006/relationships/hyperlink" Target="https://public.fastcase.com/ZZhmr5v9wN%2FXOe5IsQ%2FqD213NfZOkBOT9oUFU2NATn1Aebu4tmd%2Bdm4Fq8wJV%2BgJ%2FUz5tDo4rrQTf5JLsx7PM2RT%2BnNbiLW8av7Jbge%2Fzbw%3D?utm_medium=email&amp;_hsmi=226712652&amp;_hsenc=p2ANqtz-83LxoyDBgyJFjB5J1tvKo9--ehLEBCqV6koHeoTan0Qm4V8taXVkAh8h56UhoHEEE4y9wodFDrH_2nxx13nTAr7JOLdw&amp;utm_content=226712652&amp;utm_source=hs_email" TargetMode="External"/><Relationship Id="rId1895" Type="http://schemas.openxmlformats.org/officeDocument/2006/relationships/hyperlink" Target="https://www.dol.gov/whd/overtime/regularrate2019.htm" TargetMode="External"/><Relationship Id="rId2641" Type="http://schemas.openxmlformats.org/officeDocument/2006/relationships/hyperlink" Target="https://cases.justia.com/federal/district-courts/louisiana/lamdce/3:2021cv00287/59089/59/0.pdf?ts=1697816120" TargetMode="External"/><Relationship Id="rId2739" Type="http://schemas.openxmlformats.org/officeDocument/2006/relationships/hyperlink" Target="https://public.fastcase.com/Wl%2B2t%2BeVuI35%2FN70vAMFZqQ7Gx1lZ4VLPzvmh59TfRHYGD4c0wvhFgn%2Bs0ncYh62" TargetMode="External"/><Relationship Id="rId2946" Type="http://schemas.openxmlformats.org/officeDocument/2006/relationships/hyperlink" Target="https://www.congress.gov/bill/117th-congress/house-bill/4445/text" TargetMode="External"/><Relationship Id="rId613" Type="http://schemas.openxmlformats.org/officeDocument/2006/relationships/hyperlink" Target="https://www.justice.gov/opa/pr/justice-department-announces-improvements-public-safety-officers-benefits-program" TargetMode="External"/><Relationship Id="rId820" Type="http://schemas.openxmlformats.org/officeDocument/2006/relationships/hyperlink" Target="https://www.courthousenews.com/wp-content/uploads/2020/04/G4S.pdf" TargetMode="External"/><Relationship Id="rId918" Type="http://schemas.openxmlformats.org/officeDocument/2006/relationships/hyperlink" Target="https://casetext.com/case/christopher-m-v-mineo" TargetMode="External"/><Relationship Id="rId1450" Type="http://schemas.openxmlformats.org/officeDocument/2006/relationships/hyperlink" Target="http://media.ca11.uscourts.gov/opinions/pub/files/201814687.pdf" TargetMode="External"/><Relationship Id="rId1548" Type="http://schemas.openxmlformats.org/officeDocument/2006/relationships/hyperlink" Target="https://www.casemine.com/judgement/us/6527768e0e33307ee3c25e6b" TargetMode="External"/><Relationship Id="rId1755" Type="http://schemas.openxmlformats.org/officeDocument/2006/relationships/hyperlink" Target="https://public.fastcase.com/Jhe1Qn%2BmJndQYQU6z%2FeNm2MBH8jjZypB1KxY%2B3GJWtt3pU7LQ0HG1TD%2BuEAPjcSSqkB%2F2Yca8lDVABp6qaMHSj5ZnKz4h2BUwQ71QZi85m8%3D?utm_medium=email&amp;_hsenc=p2ANqtz-_R5GvzVgy1X05e_vCvuMC9Q5e35U1J1WERhCn0fZcvatolnFVOIwTcjgpntEVG0Zn0QYI5aNrPmOIXD_9eLdzthe8Iwg&amp;_hsmi=226712652&amp;utm_content=226712652&amp;utm_source=hs_email" TargetMode="External"/><Relationship Id="rId2501" Type="http://schemas.openxmlformats.org/officeDocument/2006/relationships/hyperlink" Target="file:///C:\Users\lawre\AppData\Local\Microsoft\Windows\INetCache\Content.Outlook\L4F26AG7\Mayer%20%5E0%20Corey%202016%20Current%20Issues%20in%20FFD%20evaluations%20of%20LEOs.pdf" TargetMode="External"/><Relationship Id="rId1103" Type="http://schemas.openxmlformats.org/officeDocument/2006/relationships/hyperlink" Target="https://casetext.com/case/doe-v-city-of-philadelphia-5" TargetMode="External"/><Relationship Id="rId1310" Type="http://schemas.openxmlformats.org/officeDocument/2006/relationships/hyperlink" Target="https://www.ada.gov/filing_eeoc_complaint.htm" TargetMode="External"/><Relationship Id="rId1408" Type="http://schemas.openxmlformats.org/officeDocument/2006/relationships/hyperlink" Target="https://apnews.com/article/savannah-discrimination-lawsuits-georgia-courts-181c735cb3d5f318ea6a76e14d237b4a" TargetMode="External"/><Relationship Id="rId1962" Type="http://schemas.openxmlformats.org/officeDocument/2006/relationships/hyperlink" Target="https://casetext.com/case/dufrene-v-northshore-ems-llc" TargetMode="External"/><Relationship Id="rId2806" Type="http://schemas.openxmlformats.org/officeDocument/2006/relationships/hyperlink" Target="https://supreme.justia.com/cases/federal/us/391/563/" TargetMode="External"/><Relationship Id="rId47" Type="http://schemas.openxmlformats.org/officeDocument/2006/relationships/hyperlink" Target="https://www.facebook.com/groups/336997465025309/posts/424479052943816/" TargetMode="External"/><Relationship Id="rId1615" Type="http://schemas.openxmlformats.org/officeDocument/2006/relationships/hyperlink" Target="https://www.5dca.org/content/download/632688/7189187/file/183494_DC13_03272020_081652_i.pdf" TargetMode="External"/><Relationship Id="rId1822" Type="http://schemas.openxmlformats.org/officeDocument/2006/relationships/hyperlink" Target="http://www.firefighterovertime.org/2018/09/17/battalion/" TargetMode="External"/><Relationship Id="rId196" Type="http://schemas.openxmlformats.org/officeDocument/2006/relationships/hyperlink" Target="https://law.justia.com/cases/kentucky/court-of-appeals/2023/2022-ca-0276-mr.html" TargetMode="External"/><Relationship Id="rId2084" Type="http://schemas.openxmlformats.org/officeDocument/2006/relationships/hyperlink" Target="https://public.fastcase.com/jaEE2PXzRXmZ99jOLMt1IuWGAIUpkkorrJl529LJ3awEx3zEi%2Byx9rGBI4x8eUTPQhULRQSbbdyTI3aaLB6SYlAXn8jJowYQjsFj%2FU%2FJFgg%3D?utm_medium=email&amp;_hsenc=p2ANqtz-83fSGxDadFaAqcLR0jtt8PGQuvqaI_epd1KGRFswTzY3809DqN4cnTFvjtIk9nPU87syAh5PxEK-y1xpj2mK9t5ywDKQ&amp;_hsmi=226712652&amp;utm_content=226712652&amp;utm_source=hs_email" TargetMode="External"/><Relationship Id="rId2291" Type="http://schemas.openxmlformats.org/officeDocument/2006/relationships/hyperlink" Target="https://www.supremecourt.gov/opinions/20pdf/20-18_cb7d.pdf" TargetMode="External"/><Relationship Id="rId263" Type="http://schemas.openxmlformats.org/officeDocument/2006/relationships/hyperlink" Target="https://www.vulture.com/article/bill-cosby-overturned-sexual-assault-conviction-explained.html" TargetMode="External"/><Relationship Id="rId470" Type="http://schemas.openxmlformats.org/officeDocument/2006/relationships/hyperlink" Target="https://www.osha.gov/ords/imis/establishment.inspection_detail?id=315378885" TargetMode="External"/><Relationship Id="rId2151" Type="http://schemas.openxmlformats.org/officeDocument/2006/relationships/hyperlink" Target="https://casetext.com/case/gutzalenko-v-city-of-richmond" TargetMode="External"/><Relationship Id="rId2389" Type="http://schemas.openxmlformats.org/officeDocument/2006/relationships/hyperlink" Target="https://assets.documentcloud.org/documents/3933644/Order-Granting-Summary-Judgment.pdf" TargetMode="External"/><Relationship Id="rId2596" Type="http://schemas.openxmlformats.org/officeDocument/2006/relationships/hyperlink" Target="https://cases.justia.com/delaware/superior-court/2024-2301003924.pdf?ts=1718040749" TargetMode="External"/><Relationship Id="rId123" Type="http://schemas.openxmlformats.org/officeDocument/2006/relationships/hyperlink" Target="https://www.peoplefor.org/biden-judge-writes-unanimous-opinion-letting-indigent-woman-challenge-her-conviction-unfairly-based" TargetMode="External"/><Relationship Id="rId330" Type="http://schemas.openxmlformats.org/officeDocument/2006/relationships/hyperlink" Target="https://cases.justia.com/federal/appellate-courts/ca11/19-11399/19-11399-2019-12-12.pdf?ts=1576184426" TargetMode="External"/><Relationship Id="rId568" Type="http://schemas.openxmlformats.org/officeDocument/2006/relationships/hyperlink" Target="https://www.utcourts.gov/opinions/supopin/Ipsen%20v.%20Diamond%20Tree%20Experts20200520_20181052_30.pdf" TargetMode="External"/><Relationship Id="rId775" Type="http://schemas.openxmlformats.org/officeDocument/2006/relationships/hyperlink" Target="https://www.supremecourt.gov/opinions/20pdf/19-863_6jgm.pdf" TargetMode="External"/><Relationship Id="rId982" Type="http://schemas.openxmlformats.org/officeDocument/2006/relationships/hyperlink" Target="https://codes.ohio.gov/ohio-revised-code/section-4511.03" TargetMode="External"/><Relationship Id="rId1198" Type="http://schemas.openxmlformats.org/officeDocument/2006/relationships/hyperlink" Target="https://www.myarklamiss.com/news/local-news/bastrop-firefighters-fighting-for-their-pay-the-mayor-says-they-deserve-it/" TargetMode="External"/><Relationship Id="rId2011" Type="http://schemas.openxmlformats.org/officeDocument/2006/relationships/hyperlink" Target="https://public.fastcase.com/Jhe1Qn%2BmJndQYQU6z%2FeNm00La4tSCrrnQj5Y3npvm8fdoq4TeulewGlEW3bFFA7N?utm_medium=email&amp;_hsenc=p2ANqtz-8ThEk2xAXh6kES_woWZ5vNzcOTlPOgA5SAfsmD2YLCJ8ZqGGe3eNs5iYP9SOCvDgMCA2VIbcxNqC2sINqsn3X7XvkFGA&amp;_hsmi=226712652&amp;utm_content=226712652&amp;utm_source=hs_email" TargetMode="External"/><Relationship Id="rId2249" Type="http://schemas.openxmlformats.org/officeDocument/2006/relationships/hyperlink" Target="https://casetext.com/case/sutton-v-rockingham-cnty" TargetMode="External"/><Relationship Id="rId2456" Type="http://schemas.openxmlformats.org/officeDocument/2006/relationships/hyperlink" Target="https://www.vitallaw.com/news/discrimination-disability-w-d-mich-firefighter-with-ptsd-fails-to-show-firehouse-dog-was-reasonable-accommodation/eld0112d25548de2942ffb5b58765cda11301" TargetMode="External"/><Relationship Id="rId2663" Type="http://schemas.openxmlformats.org/officeDocument/2006/relationships/hyperlink" Target="https://www.thefire.org/first-amendment-library/decision/pickering-v-board-of-education-of-township-high-school-district-205-will-county/" TargetMode="External"/><Relationship Id="rId2870" Type="http://schemas.openxmlformats.org/officeDocument/2006/relationships/hyperlink" Target="https://public.fastcase.com/J%2FJP6pdidelsXxEE4k%2BLMpuDgtfUlpNK4l%2BfqZzcsS95ieNoHEqDlI1ajn81HayMXO5%2FuX2%2ByvyKSn9EyfaN7KpFENL2lTAAz2wo8HtdPeY%3D?utm_medium=email&amp;_hsmi=226712652&amp;_hsenc=p2ANqtz-9t2-miGpzcz6HjEKBpKrn-zhw54ySyRz_VGgy44f1dByScW7c1n8avO_4RXLWc5afGZGbJubbxw9DhHyQbca8WHl796A&amp;utm_content=226712652&amp;utm_source=hs_email" TargetMode="External"/><Relationship Id="rId428" Type="http://schemas.openxmlformats.org/officeDocument/2006/relationships/hyperlink" Target="https://www.rcfp.org/indiana-buffer-zone-law-7th-circuit/" TargetMode="External"/><Relationship Id="rId635" Type="http://schemas.openxmlformats.org/officeDocument/2006/relationships/hyperlink" Target="https://www.law.cornell.edu/uscode/text/28/1605A" TargetMode="External"/><Relationship Id="rId842" Type="http://schemas.openxmlformats.org/officeDocument/2006/relationships/hyperlink" Target="https://www.law.com/newyorklawjournal/2018/06/06/2nd-circuit-revives-911-workers-suit-against-battery-park-city-authority/" TargetMode="External"/><Relationship Id="rId1058" Type="http://schemas.openxmlformats.org/officeDocument/2006/relationships/hyperlink" Target="https://www.ilga.gov/legislation/BillStatus.asp?DocNum=3392&amp;GAID=17&amp;DocTypeID=HB&amp;LegId=148558&amp;SessionID=112&amp;GA=103" TargetMode="External"/><Relationship Id="rId1265" Type="http://schemas.openxmlformats.org/officeDocument/2006/relationships/hyperlink" Target="https://www.courts.ri.gov/Courts/SupremeCourt/SupremeOpinions/17-255,256,257,260.pdf" TargetMode="External"/><Relationship Id="rId1472" Type="http://schemas.openxmlformats.org/officeDocument/2006/relationships/hyperlink" Target="https://assets.documentcloud.org/documents/5745041/Eeoc.pdf" TargetMode="External"/><Relationship Id="rId2109" Type="http://schemas.openxmlformats.org/officeDocument/2006/relationships/hyperlink" Target="https://cases.justia.com/ohio/second-district-court-of-appeals/2024-2024-ca-3-0.pdf?ts=1725029311" TargetMode="External"/><Relationship Id="rId2316" Type="http://schemas.openxmlformats.org/officeDocument/2006/relationships/hyperlink" Target="https://casetext.com/case/county-of-sacramento-v-lewis" TargetMode="External"/><Relationship Id="rId2523" Type="http://schemas.openxmlformats.org/officeDocument/2006/relationships/hyperlink" Target="https://www.minnesotacomp.com/blog/2018/11/post-traumatic-stress-disorder-may-become-a-presumptive-condition-for-first-responders/" TargetMode="External"/><Relationship Id="rId2730" Type="http://schemas.openxmlformats.org/officeDocument/2006/relationships/hyperlink" Target="https://njcourts.gov/attorneys/assets/opinions/appellate/unpublished/a4576-18.pdf?c=len" TargetMode="External"/><Relationship Id="rId702" Type="http://schemas.openxmlformats.org/officeDocument/2006/relationships/hyperlink" Target="https://casetext.com/case/coal-for-indep-tech-research-v-abbott" TargetMode="External"/><Relationship Id="rId1125" Type="http://schemas.openxmlformats.org/officeDocument/2006/relationships/hyperlink" Target="https://www.njcourts.gov/system/files/court-opinions/2023/a3333-21.pdf" TargetMode="External"/><Relationship Id="rId1332" Type="http://schemas.openxmlformats.org/officeDocument/2006/relationships/hyperlink" Target="https://cases.justia.com/federal/appellate-courts/ca6/25-3885/25-3885-2026-07-17.pdf?ts=1784323840" TargetMode="External"/><Relationship Id="rId1777" Type="http://schemas.openxmlformats.org/officeDocument/2006/relationships/hyperlink" Target="https://public.fastcase.com/jaEE2PXzRXmZ99jOLMt1IrF9wD4fG884AOwA%2B%2B8sYndkdlA95em2xjLqn6HHRdZo?utm_medium=email&amp;_hsenc=p2ANqtz-_k9MVaO09mpQi5ToQ_rMR2msPFl5QNhVfsnrFCoGgDXkRnW8gb34HMapH4044HXAEb1Ni6dZoKu1yFSWgbbZwBVX_IXQ&amp;_hsmi=226712652&amp;utm_content=226712652&amp;utm_source=hs_email" TargetMode="External"/><Relationship Id="rId1984" Type="http://schemas.openxmlformats.org/officeDocument/2006/relationships/hyperlink" Target="https://scholar.google.com/scholar_case?case=1228128574784444684&amp;q=Pennsylvania+%22overdose+response%22&amp;hl=en&amp;scisbd=2&amp;as_sdt=6,36&amp;as_ylo=2020" TargetMode="External"/><Relationship Id="rId2828" Type="http://schemas.openxmlformats.org/officeDocument/2006/relationships/hyperlink" Target="https://caselaw.findlaw.com/court/ny-supreme-court-appellate-division/117059772.html" TargetMode="External"/><Relationship Id="rId69" Type="http://schemas.openxmlformats.org/officeDocument/2006/relationships/hyperlink" Target="https://cases.justia.com/federal/district-courts/texas/txsdce/3:2023cv00356/1939756/67/0.pdf?ts=1752929790" TargetMode="External"/><Relationship Id="rId1637" Type="http://schemas.openxmlformats.org/officeDocument/2006/relationships/hyperlink" Target="https://cases.justia.com/federal/district-courts/maryland/mddce/1:2024cv03580/573207/56/0.pdf?ts=1777474810" TargetMode="External"/><Relationship Id="rId1844" Type="http://schemas.openxmlformats.org/officeDocument/2006/relationships/hyperlink" Target="https://casetext.com/case/adams-v-city-of-kan-city-1" TargetMode="External"/><Relationship Id="rId1704" Type="http://schemas.openxmlformats.org/officeDocument/2006/relationships/hyperlink" Target="https://www.nfpa.org/assets/files/AboutTheCodes/1582/1582_A2017_FIX_AAA_SD_SRStatements.pdf" TargetMode="External"/><Relationship Id="rId285" Type="http://schemas.openxmlformats.org/officeDocument/2006/relationships/hyperlink" Target="http://codes.ohio.gov/orc/2921.43" TargetMode="External"/><Relationship Id="rId1911" Type="http://schemas.openxmlformats.org/officeDocument/2006/relationships/hyperlink" Target="https://ecf.flmd.uscourts.gov/cgi-bin/show_public_doc?2025-00120-37-8-cv" TargetMode="External"/><Relationship Id="rId492" Type="http://schemas.openxmlformats.org/officeDocument/2006/relationships/hyperlink" Target="https://casetext.com/case/theodoreu-v-chester-fire-district" TargetMode="External"/><Relationship Id="rId797" Type="http://schemas.openxmlformats.org/officeDocument/2006/relationships/hyperlink" Target="https://www.npr.org/2021/03/04/973658292/supreme-court-makes-it-harder-for-undocumented-immigrants-to-fight-deportation" TargetMode="External"/><Relationship Id="rId2173" Type="http://schemas.openxmlformats.org/officeDocument/2006/relationships/hyperlink" Target="https://www.hhs.gov/hipaa/for-professionals/compliance-enforcement/examples/all-cases/index.html" TargetMode="External"/><Relationship Id="rId2380" Type="http://schemas.openxmlformats.org/officeDocument/2006/relationships/hyperlink" Target="https://oig.hhs.gov/fraud/strike-force/" TargetMode="External"/><Relationship Id="rId2478" Type="http://schemas.openxmlformats.org/officeDocument/2006/relationships/hyperlink" Target="https://www.lsc.ohio.gov/assets/organizations/legislative-service-commission/files/involuntary-treatment-for-mental-illness.pdf" TargetMode="External"/><Relationship Id="rId145" Type="http://schemas.openxmlformats.org/officeDocument/2006/relationships/hyperlink" Target="https://www.supremecourt.gov/opinions/23pdf/22-982_bq7d.pdf" TargetMode="External"/><Relationship Id="rId352" Type="http://schemas.openxmlformats.org/officeDocument/2006/relationships/hyperlink" Target="https://www.washingtonpost.com/politics/courts_law/abortion-death-penalty-religion-late-night-rulings-show-new-alliances-at-supreme-court/2019/02/08/681cc252-2bb9-11e9-b011-d8500644dc98_story.html?utm_term=.6e954895539e&amp;wpisrc=nl_evening&amp;wpmm=1" TargetMode="External"/><Relationship Id="rId1287" Type="http://schemas.openxmlformats.org/officeDocument/2006/relationships/hyperlink" Target="https://www.leagle.com/decision/inohco20200205714" TargetMode="External"/><Relationship Id="rId2033" Type="http://schemas.openxmlformats.org/officeDocument/2006/relationships/hyperlink" Target="https://www.ojp.gov/pdffiles/posasph.pdf" TargetMode="External"/><Relationship Id="rId2240" Type="http://schemas.openxmlformats.org/officeDocument/2006/relationships/hyperlink" Target="https://www.facebook.com/watch/?v=2586016544950280" TargetMode="External"/><Relationship Id="rId2685" Type="http://schemas.openxmlformats.org/officeDocument/2006/relationships/hyperlink" Target="https://public.fastcase.com/J%2FJP6pdidelsXxEE4k%2BLMrj3s4T1D9o6YeH1P6QHRjfPwtPh7UBJw6%2FlyLsxvHVQo4RL4odtX24b6W6EIP3%2BuhoyWwf2ZSyK36dgjdjOjEg%3D" TargetMode="External"/><Relationship Id="rId2892" Type="http://schemas.openxmlformats.org/officeDocument/2006/relationships/hyperlink" Target="https://www.wdel.com/news/wilmington-firefighters-union-wins-chancery-court-appeal-in-battle-over-shift-change/article_9402edda-d9b1-11eb-909c-07bcb0bff090.html" TargetMode="External"/><Relationship Id="rId212" Type="http://schemas.openxmlformats.org/officeDocument/2006/relationships/hyperlink" Target="https://public.fastcase.com/J%2FJP6pdidelsXxEE4k%2BLMrejai%2Bw5%2BeDXQox0zGA5TAAjpgBNhW%2BTu8BKpGDyiMDLNszr4O4A0HJdAcQDg8WWefj18tLbckuVQCC3%2F5jGpg%3D?utm_medium=email&amp;_hsmi=226712652&amp;_hsenc=p2ANqtz-8ZmJA9o4nlUCIURyhETyHKM8lkOE8xo-FU4HGJipx6Boh4nCnx77GsOdK5dPH9YVtR5YzBPx6JahAT-_oeRPGcO0F8pg&amp;utm_content=226712652&amp;utm_source=hs_email" TargetMode="External"/><Relationship Id="rId657" Type="http://schemas.openxmlformats.org/officeDocument/2006/relationships/hyperlink" Target="https://media.ca7.uscourts.gov/cgi-bin/OpinionsWeb/processWebInputExternal.pl?Submit=Display&amp;Path=Y2025/D10-16/C:25-2798:J:PerCuriam:aut:T:op:N:3439487:S:0" TargetMode="External"/><Relationship Id="rId864" Type="http://schemas.openxmlformats.org/officeDocument/2006/relationships/hyperlink" Target="https://cases.justia.com/michigan/court-of-appeals-unpublished/2025-368583.pdf?ts=1747314007" TargetMode="External"/><Relationship Id="rId1494" Type="http://schemas.openxmlformats.org/officeDocument/2006/relationships/hyperlink" Target="https://www.supremecourt.gov/opinions/25pdf/24-109_21o3.pdf" TargetMode="External"/><Relationship Id="rId1799" Type="http://schemas.openxmlformats.org/officeDocument/2006/relationships/hyperlink" Target="https://webapps.dol.gov/elaws/whd/flsa/hoursworked/screenEE4.asp" TargetMode="External"/><Relationship Id="rId2100" Type="http://schemas.openxmlformats.org/officeDocument/2006/relationships/hyperlink" Target="https://www.ems1.com/legal/federal-court-overturns-va-rule-reducing-ambulance-payments" TargetMode="External"/><Relationship Id="rId2338" Type="http://schemas.openxmlformats.org/officeDocument/2006/relationships/hyperlink" Target="file:///C:/Users/lawre/AppData/Local/Temp/hb151_05_EN.pdf" TargetMode="External"/><Relationship Id="rId2545" Type="http://schemas.openxmlformats.org/officeDocument/2006/relationships/hyperlink" Target="https://search.txcourts.gov/SearchMedia.aspx?MediaVersionID=2b0bcd7a-4ade-4d61-a274-df674ed3857f&amp;coa=coa14&amp;DT=Opinion&amp;MediaID=e76a99e8-4da0-48c8-9433-ea85e5f312cd" TargetMode="External"/><Relationship Id="rId2752" Type="http://schemas.openxmlformats.org/officeDocument/2006/relationships/hyperlink" Target="https://www.dmlp.org/legal-guide/ohio/ohio-recording-law" TargetMode="External"/><Relationship Id="rId517" Type="http://schemas.openxmlformats.org/officeDocument/2006/relationships/hyperlink" Target="https://www.documentcloud.org/documents/23589006-firefighter-suit-terrance-jones-et-al-v-coj-order-finalizing-case011323" TargetMode="External"/><Relationship Id="rId724" Type="http://schemas.openxmlformats.org/officeDocument/2006/relationships/hyperlink" Target="https://mdcourts.gov/data/opinions/cosa/2023/0021s22.pdf" TargetMode="External"/><Relationship Id="rId931" Type="http://schemas.openxmlformats.org/officeDocument/2006/relationships/hyperlink" Target="https://www.courts.state.md.us/sites/default/files/unreported-opinions/0614s19.pdf" TargetMode="External"/><Relationship Id="rId1147" Type="http://schemas.openxmlformats.org/officeDocument/2006/relationships/hyperlink" Target="https://ilcourtsaudio.blob.core.windows.net/antilles-resources/resources/aec16a44-b27a-4304-97c1-5c133043b2dd/Brucki%20v.%20Orland%20Fire%20Protection%20District,%202022%20IL%20App%20(1st)%20220288-U.pdf" TargetMode="External"/><Relationship Id="rId1354" Type="http://schemas.openxmlformats.org/officeDocument/2006/relationships/hyperlink" Target="https://public.fastcase.com/jaEE2PXzRXmZ99jOLMt1IsID3yHeWup657c7MnfFCGnetXQu%2F2QtQOpoVmwfdEc%2F?utm_medium=email&amp;_hsenc=p2ANqtz-_zTSxdS0F5WCwBxFxJfAdL2TYRGfHTDF8aVNcZ9gK5T6kDk6rrKhGST-fn4w1vDtBgvaoCFHlAWmUNSPCbepcJBy8zVw&amp;_hsmi=226712652&amp;utm_content=226712652&amp;utm_source=hs_email" TargetMode="External"/><Relationship Id="rId1561" Type="http://schemas.openxmlformats.org/officeDocument/2006/relationships/hyperlink" Target="https://public.fastcase.com/J%2FJP6pdidelsXxEE4k%2BLMrA34GsTt5B2s5lqbdzOSKO6ds2%2FFXzTZCAcVKPc5nYGkDv4uUicwcEOayTnLM9q%2BLkNSr7W2Myomwq976TWq68%3D?utm_medium=email&amp;_hsmi=226712652&amp;_hsenc=p2ANqtz--xrBYm_8SOoB1x8n_lzDvQY_7J4w6TZmgBXNCiTskMckRZL1pW5pA7jfVkIgH5lYseuktBIikSAYCDqwL7O8hlSm6fMw&amp;utm_content=226712652&amp;utm_source=hs_email" TargetMode="External"/><Relationship Id="rId2405" Type="http://schemas.openxmlformats.org/officeDocument/2006/relationships/hyperlink" Target="https://www.bizjournals.com/columbus/news/2018/09/20/new-ohio-law-incentivizes-businesses-that-comply.html" TargetMode="External"/><Relationship Id="rId2612" Type="http://schemas.openxmlformats.org/officeDocument/2006/relationships/hyperlink" Target="https://cases.justia.com/utah/court-of-appeals-published/2024-20220074-ca.pdf?ts=172806708" TargetMode="External"/><Relationship Id="rId60" Type="http://schemas.openxmlformats.org/officeDocument/2006/relationships/hyperlink" Target="https://public.fastcase.com/jaEE2PXzRXmZ99jOLMt1Ips4C6WkUGp0KzACPcngYbWmPTLfIWMstLJyRryzc8Dq?utm_medium=email&amp;_hsenc=p2ANqtz-94X9-jvo7aphxCTddVbMuFo0h95bmcaFpGEwlnAd6pPwVsx4xOyg-iR7W5WKYYvAnlQWrH3LVFVTBhWCeJd3O3dSBjuA&amp;_hsmi=226712652&amp;utm_content=226712652&amp;utm_source=hs_email" TargetMode="External"/><Relationship Id="rId1007" Type="http://schemas.openxmlformats.org/officeDocument/2006/relationships/hyperlink" Target="http://www.nycourts.gov/courts/AD2/Handdowns/2020/Decisions/D63290.pdf" TargetMode="External"/><Relationship Id="rId1214" Type="http://schemas.openxmlformats.org/officeDocument/2006/relationships/hyperlink" Target="https://www.govexec.com/pay-benefits/2001/08/firefighter-retirement-age-rises-to-57/9846/" TargetMode="External"/><Relationship Id="rId1421" Type="http://schemas.openxmlformats.org/officeDocument/2006/relationships/hyperlink" Target="https://www.firerescue1.com/discrimination/articles/civil-service-commission-sides-with-mass-female-ff-emt-passed-over-for-promotion-OvMbsXKeZfDYHswZ/?utm_source=twitter&amp;utm_medium=social&amp;utm_campaign=dlvrit" TargetMode="External"/><Relationship Id="rId1659" Type="http://schemas.openxmlformats.org/officeDocument/2006/relationships/hyperlink" Target="https://casetext.com/case/fitzgerald-v-city-of-lawrence" TargetMode="External"/><Relationship Id="rId1866" Type="http://schemas.openxmlformats.org/officeDocument/2006/relationships/hyperlink" Target="https://www.knoe.com/content/news/Bastrop-mayor-proposes-3-mill-increase-to-repay-debt-from-fireman-lawsuit-513531241.html" TargetMode="External"/><Relationship Id="rId2917" Type="http://schemas.openxmlformats.org/officeDocument/2006/relationships/hyperlink" Target="https://cases.justia.com/federal/district-courts/connecticut/ctdce/3:2024cv00680/159059/264/0.pdf?ts=1747297635" TargetMode="External"/><Relationship Id="rId1519" Type="http://schemas.openxmlformats.org/officeDocument/2006/relationships/hyperlink" Target="https://www.justsecurity.org/wp-content/uploads/2025/02/National-Association-of-Diversity-Officers-in-Higher-Education-v.-Trump-feb-21-2025.pdf" TargetMode="External"/><Relationship Id="rId1726" Type="http://schemas.openxmlformats.org/officeDocument/2006/relationships/hyperlink" Target="https://www.verywellmind.com/requirements-for-ptsd-diagnosis-2797637" TargetMode="External"/><Relationship Id="rId1933" Type="http://schemas.openxmlformats.org/officeDocument/2006/relationships/hyperlink" Target="https://casetext.com/statute/montana-code/title-2-government-structure-and-administration/chapter-4-administrative-procedure-act/part-6-contested-cases/section-2-4-621-when-absent-members-render-decision-proposal-for-decision-and-opportunity-to-submit-findings-and-conclusions-modification-by-agency" TargetMode="External"/><Relationship Id="rId18" Type="http://schemas.openxmlformats.org/officeDocument/2006/relationships/hyperlink" Target="https://scholar.uc.edu/show/dn39x307g" TargetMode="External"/><Relationship Id="rId2195" Type="http://schemas.openxmlformats.org/officeDocument/2006/relationships/hyperlink" Target="https://public.fastcase.com/ZZhmr5v9wN%2FXOe5IsQ%2FqD3yVZPtM4gE5qxUG0JmvBs4KZKL0kykfWRWAFzVzGOUSCymfVjFMg8ksTGDwIJSWELTF6XkccOjxJx4J8ta6mPQ%3D?utm_medium=email&amp;_hsmi=226712652&amp;_hsenc=p2ANqtz-91z17HDQg9Q71tjjdfZzo5M0dPvb4mrX2MWXe9g7uh0-gjm69ERrplNGPGusNDxTqNwPz_oB2Mm624G4BOe4pHJTgwVA&amp;utm_content=226712652&amp;utm_source=hs_email" TargetMode="External"/><Relationship Id="rId167" Type="http://schemas.openxmlformats.org/officeDocument/2006/relationships/hyperlink" Target="https://cases.justia.com/federal/appellate-courts/ca9/22-16236/22-16236-2023-09-29.pdf?ts=1696005037" TargetMode="External"/><Relationship Id="rId374" Type="http://schemas.openxmlformats.org/officeDocument/2006/relationships/hyperlink" Target="https://cases.justia.com/federal/district-courts/new-york/nyedce/2:2017cv03480/402865/37/0.pdf?ts=1528277681" TargetMode="External"/><Relationship Id="rId581" Type="http://schemas.openxmlformats.org/officeDocument/2006/relationships/hyperlink" Target="http://www.ca5.uscourts.gov/opinions/pub/17/17-30864-CV1.pdf" TargetMode="External"/><Relationship Id="rId2055" Type="http://schemas.openxmlformats.org/officeDocument/2006/relationships/hyperlink" Target="https://cases.justia.com/federal/district-courts/california/candce/3:2022cv02130/394009/131/0.pdf" TargetMode="External"/><Relationship Id="rId2262" Type="http://schemas.openxmlformats.org/officeDocument/2006/relationships/hyperlink" Target="https://hudsoncountyview.com/2-ex-north-bergen-ems-workers-file-wrongful-termination-suit-against-township-deputy-ems-chief/" TargetMode="External"/><Relationship Id="rId234" Type="http://schemas.openxmlformats.org/officeDocument/2006/relationships/hyperlink" Target="https://www.supremecourt.gov/opinions/21pdf/21a244_hgci.pdf" TargetMode="External"/><Relationship Id="rId679" Type="http://schemas.openxmlformats.org/officeDocument/2006/relationships/hyperlink" Target="https://media.cadc.uscourts.gov/opinions/docs/2025/01/23-3074-2094718.pdf" TargetMode="External"/><Relationship Id="rId886" Type="http://schemas.openxmlformats.org/officeDocument/2006/relationships/hyperlink" Target="https://casetext.com/case/gross-v-fbl-fin-servs-inc-3" TargetMode="External"/><Relationship Id="rId2567" Type="http://schemas.openxmlformats.org/officeDocument/2006/relationships/hyperlink" Target="https://cases.justia.com/federal/appellate-courts/ca7/24-1297/24-1297-2025-12-22.pdf?ts=1766437242" TargetMode="External"/><Relationship Id="rId2774" Type="http://schemas.openxmlformats.org/officeDocument/2006/relationships/hyperlink" Target="https://www.oregonlaws.org/ors/243.782" TargetMode="External"/><Relationship Id="rId2" Type="http://schemas.openxmlformats.org/officeDocument/2006/relationships/numbering" Target="numbering.xml"/><Relationship Id="rId441" Type="http://schemas.openxmlformats.org/officeDocument/2006/relationships/hyperlink" Target="https://www.wjtv.com/news/local-news/court-upholds-mans-conviction-for-killing-jackson-firefighter/" TargetMode="External"/><Relationship Id="rId539" Type="http://schemas.openxmlformats.org/officeDocument/2006/relationships/hyperlink" Target="https://cafc.uscourts.gov/opinions-orders/21-1452.OPINION.4-15-2022_1936831.pdf" TargetMode="External"/><Relationship Id="rId746" Type="http://schemas.openxmlformats.org/officeDocument/2006/relationships/hyperlink" Target="https://www.supremecourt.gov/opinions/21pdf/21a477_1bo2.pdf" TargetMode="External"/><Relationship Id="rId1071" Type="http://schemas.openxmlformats.org/officeDocument/2006/relationships/hyperlink" Target="https://caselaw.findlaw.com/court/ny-supreme-court/117196656.html" TargetMode="External"/><Relationship Id="rId1169" Type="http://schemas.openxmlformats.org/officeDocument/2006/relationships/hyperlink" Target="https://casetext.com/case/dilaqua-v-city-of-philadelphia-fire-dept-workers-comp-appeal-board" TargetMode="External"/><Relationship Id="rId1376" Type="http://schemas.openxmlformats.org/officeDocument/2006/relationships/hyperlink" Target="https://caselaw.findlaw.com/court/fl-district-court-of-appeal/116085347.html" TargetMode="External"/><Relationship Id="rId1583" Type="http://schemas.openxmlformats.org/officeDocument/2006/relationships/hyperlink" Target="https://public.fastcase.com/9SKwsfNqTc6OieYDhNMyM2CFW33xyjvV9V9tDamXdBOoRSeaTiz5NEXWtNHJhMGDLmAvOr1CXJk0EV3MUdbM2l1WIYIXZemQzLeI%2BSSBPyk%3D" TargetMode="External"/><Relationship Id="rId2122" Type="http://schemas.openxmlformats.org/officeDocument/2006/relationships/hyperlink" Target="https://www.law.cornell.edu/rules/fre/" TargetMode="External"/><Relationship Id="rId2427" Type="http://schemas.openxmlformats.org/officeDocument/2006/relationships/hyperlink" Target="https://casetext.com/case/city-of-tucson-v-the-indus-commn-of-ariz" TargetMode="External"/><Relationship Id="rId301" Type="http://schemas.openxmlformats.org/officeDocument/2006/relationships/hyperlink" Target="https://law.justia.com/cases/federal/appellate-courts/ca11/18-15033/18-15033-2020-08-24.html" TargetMode="External"/><Relationship Id="rId953" Type="http://schemas.openxmlformats.org/officeDocument/2006/relationships/hyperlink" Target="https://cases.justia.com/virginia/court-of-appeals-unpublished/2025-0990-24-1.pdf?ts=1761062926" TargetMode="External"/><Relationship Id="rId1029" Type="http://schemas.openxmlformats.org/officeDocument/2006/relationships/hyperlink" Target="https://cases.justia.com/federal/district-courts/pennsylvania/pamdce/1:2024cv00290/141189/15/0.pdf?ts=1784317755" TargetMode="External"/><Relationship Id="rId1236" Type="http://schemas.openxmlformats.org/officeDocument/2006/relationships/hyperlink" Target="https://www.massmunilaw.org/wp-content/uploads/2020/12/DIANE-LAWLESS-v.-CHERYL-ESTRELLA.pdf" TargetMode="External"/><Relationship Id="rId1790" Type="http://schemas.openxmlformats.org/officeDocument/2006/relationships/hyperlink" Target="https://public.fastcase.com/H1P9uiW3J20SFp%2BGCG%2BxLZy365%2FN0MVDalUuZRIy4n4W%2BHhfv4X1Vzo9ca%2F3mj3k?utm_medium=email&amp;_hsenc=p2ANqtz-8KCYiZyhHUOjRg0MO9pgx_C58MSGHRNzoS8NOUFD5AstP_fG6MazYJg2nKApB1QIRI0-vQrIVEAwfGYCTHYw0GOi6xfA&amp;_hsmi=226712652&amp;utm_content=226712652&amp;utm_source=hs_email" TargetMode="External"/><Relationship Id="rId1888" Type="http://schemas.openxmlformats.org/officeDocument/2006/relationships/hyperlink" Target="http://codes.ohio.gov/orc/505.60" TargetMode="External"/><Relationship Id="rId2634" Type="http://schemas.openxmlformats.org/officeDocument/2006/relationships/hyperlink" Target="https://casetext.com/case/zahn-v-kenner-mun-fire-police-civil-serv-bd" TargetMode="External"/><Relationship Id="rId2841" Type="http://schemas.openxmlformats.org/officeDocument/2006/relationships/hyperlink" Target="https://www.cadc.uscourts.gov/internet/opinions.nsf/AF29B804749163DE85258AC500547458/$file/22-1261-2040755.pdf" TargetMode="External"/><Relationship Id="rId2939" Type="http://schemas.openxmlformats.org/officeDocument/2006/relationships/hyperlink" Target="https://cdn.ca9.uscourts.gov/datastore/opinions/2023/04/17/21-16278.pdf" TargetMode="External"/><Relationship Id="rId82" Type="http://schemas.openxmlformats.org/officeDocument/2006/relationships/hyperlink" Target="https://ktvz.b-cdn.net/2025/05/TRO-ruling.pdf" TargetMode="External"/><Relationship Id="rId606" Type="http://schemas.openxmlformats.org/officeDocument/2006/relationships/hyperlink" Target="https://www.firstrespondercenter.org/cancer/toolsresources/presumptive-legislation-firefighter-cancer-state/" TargetMode="External"/><Relationship Id="rId813" Type="http://schemas.openxmlformats.org/officeDocument/2006/relationships/hyperlink" Target="https://www.npr.org/2020/06/25/883312496/supreme-court-sides-with-trump-administration-in-deportation-case" TargetMode="External"/><Relationship Id="rId1443" Type="http://schemas.openxmlformats.org/officeDocument/2006/relationships/hyperlink" Target="https://www.uticaod.com/news/20190404/utica-firefighter-fired-after-sexual-harassment-claim" TargetMode="External"/><Relationship Id="rId1650" Type="http://schemas.openxmlformats.org/officeDocument/2006/relationships/hyperlink" Target="https://sac.media/2023/05/09/former-west-covina-fire-chief-awarded-4-1-million-in-wrongful-termination-suit/" TargetMode="External"/><Relationship Id="rId1748" Type="http://schemas.openxmlformats.org/officeDocument/2006/relationships/hyperlink" Target="https://www.dol.gov/whd/opinion/FMLA/2018/2018_08_28_2A_FMLA.pdf" TargetMode="External"/><Relationship Id="rId2701" Type="http://schemas.openxmlformats.org/officeDocument/2006/relationships/hyperlink" Target="https://codes.ohio.gov/ohio-revised-code/section-9.481" TargetMode="External"/><Relationship Id="rId1303" Type="http://schemas.openxmlformats.org/officeDocument/2006/relationships/hyperlink" Target="http://www.pacourts.us/assets/opinions/Commonwealth/out/877CD18_3-25-19.pdf?cb=1" TargetMode="External"/><Relationship Id="rId1510" Type="http://schemas.openxmlformats.org/officeDocument/2006/relationships/hyperlink" Target="https://www.supremecourt.gov/opinions/24pdf/23-909_f2q3.pdf" TargetMode="External"/><Relationship Id="rId1955" Type="http://schemas.openxmlformats.org/officeDocument/2006/relationships/hyperlink" Target="https://public.fastcase.com/J%2FJP6pdidelsXxEE4k%2BLMm7PttKNvW62%2BDA0%2BSJrBHAICFIaFusuxX5Jb%2BuxRPK6Bzlob%2BslGSm9QeXJwFgRUwDQqdPl09RLYbpqdskqtWk%3D" TargetMode="External"/><Relationship Id="rId1608" Type="http://schemas.openxmlformats.org/officeDocument/2006/relationships/hyperlink" Target="https://law.justia.com/cases/florida/third-district-court-of-appeal/2020/3d19-1144.html" TargetMode="External"/><Relationship Id="rId1815" Type="http://schemas.openxmlformats.org/officeDocument/2006/relationships/hyperlink" Target="https://cases.justia.com/federal/appellate-courts/ca5/19-60847/19-60847-2021-01-12.pdf?ts=1610476251" TargetMode="External"/><Relationship Id="rId189" Type="http://schemas.openxmlformats.org/officeDocument/2006/relationships/hyperlink" Target="https://www.supremecourt.gov/opinions/22pdf/21-1158_p8k0.pdf" TargetMode="External"/><Relationship Id="rId396" Type="http://schemas.openxmlformats.org/officeDocument/2006/relationships/hyperlink" Target="https://www.dailymail.com/news/article-9746389/Fatal-assisted-living-fire-linked-cleaning-ritual.html" TargetMode="External"/><Relationship Id="rId2077" Type="http://schemas.openxmlformats.org/officeDocument/2006/relationships/hyperlink" Target="https://code.wvlegislature.gov/email/24-6/" TargetMode="External"/><Relationship Id="rId2284" Type="http://schemas.openxmlformats.org/officeDocument/2006/relationships/hyperlink" Target="https://public.fastcase.com/9SKwsfNqTc6OieYDhNMyMyh4iKdUdl33yaqybd0RVUT7BGA%2FcA7dSWVys7nK48GqCBRY0Irwv50JDrMJhhTjndqcgsIMADMauCadEl5HS9U%3D" TargetMode="External"/><Relationship Id="rId2491" Type="http://schemas.openxmlformats.org/officeDocument/2006/relationships/hyperlink" Target="https://www.njcourts.gov/attorneys/assets/opinions/appellate/unpublished/a3633-19.pdf" TargetMode="External"/><Relationship Id="rId256" Type="http://schemas.openxmlformats.org/officeDocument/2006/relationships/hyperlink" Target="https://www.usatoday.com/story/news/politics/2021/08/27/supreme-court-blocks-president-bidens-covid-19-eviction-moratorium/8243599002/" TargetMode="External"/><Relationship Id="rId463" Type="http://schemas.openxmlformats.org/officeDocument/2006/relationships/hyperlink" Target="https://cases.justia.com/texas/eleventh-court-of-appeals/2024-11-22-00155-cr.pdf?ts=1726749633" TargetMode="External"/><Relationship Id="rId670" Type="http://schemas.openxmlformats.org/officeDocument/2006/relationships/hyperlink" Target="https://www.supremecourt.gov/opinions/24pdf/24-20_f2bh.pdf" TargetMode="External"/><Relationship Id="rId1093" Type="http://schemas.openxmlformats.org/officeDocument/2006/relationships/hyperlink" Target="https://cases.justia.com/louisiana/fourth-circuit-court-of-appeal/2024-2024-ca-0114.pdf?ts=1727828103" TargetMode="External"/><Relationship Id="rId2144" Type="http://schemas.openxmlformats.org/officeDocument/2006/relationships/hyperlink" Target="https://casetext.com/case/vaughn-v-klamath-cnty-fire-dist-no1-1" TargetMode="External"/><Relationship Id="rId2351" Type="http://schemas.openxmlformats.org/officeDocument/2006/relationships/hyperlink" Target="https://courts.illinois.gov/Opinions/SupremeCourt/2020/124610.pdf" TargetMode="External"/><Relationship Id="rId2589" Type="http://schemas.openxmlformats.org/officeDocument/2006/relationships/hyperlink" Target="https://indianacapitalchronicle.com/2024/10/14/former-indiana-sheriff-jamey-noel-sentenced-to-15-years-in-prison-as-part-of-plea-deal/" TargetMode="External"/><Relationship Id="rId2796" Type="http://schemas.openxmlformats.org/officeDocument/2006/relationships/hyperlink" Target="http://media.ca11.uscourts.gov/opinions/unpub/files/201715398.pdf" TargetMode="External"/><Relationship Id="rId116" Type="http://schemas.openxmlformats.org/officeDocument/2006/relationships/hyperlink" Target="https://ilcourtsaudio.blob.core.windows.net/antilles-resources/resources/b35fd65d-f662-4e1a-abeb-4f9e1aa279eb/People%20v.%20Parke,%202024%20IL%20App%20(5th)%20220703-U.pdf" TargetMode="External"/><Relationship Id="rId323" Type="http://schemas.openxmlformats.org/officeDocument/2006/relationships/hyperlink" Target="https://scholar.google.com/scholar_case?case=11404623739922196630&amp;q=Kumho+Tire+Co.+v.+Carmichael&amp;hl=en&amp;as_sdt=6,36&amp;as_vis=1" TargetMode="External"/><Relationship Id="rId530" Type="http://schemas.openxmlformats.org/officeDocument/2006/relationships/hyperlink" Target="https://www.firerescue1.com/fire-ems/articles/texas-firefighter-plunges-20-feet-off-overpass-at-crash-scene-lBARe4alhxd9zIr4/" TargetMode="External"/><Relationship Id="rId768" Type="http://schemas.openxmlformats.org/officeDocument/2006/relationships/hyperlink" Target="https://home.treasury.gov/policy-issues/financial-sanctions/specially-designated-nationals-and-blocked-persons-list-sdn-human-readable-lists" TargetMode="External"/><Relationship Id="rId975" Type="http://schemas.openxmlformats.org/officeDocument/2006/relationships/hyperlink" Target="https://casetext.com/case/wakefield-v-williamstown-volunteer-fire-co" TargetMode="External"/><Relationship Id="rId1160" Type="http://schemas.openxmlformats.org/officeDocument/2006/relationships/hyperlink" Target="https://isc.idaho.gov/opinions/49171.pdf" TargetMode="External"/><Relationship Id="rId1398" Type="http://schemas.openxmlformats.org/officeDocument/2006/relationships/hyperlink" Target="https://www.justice.gov/usao-sdny/pr/united-states-sues-townvillage-harrison-new-york-and-its-fire-department-discrimination" TargetMode="External"/><Relationship Id="rId2004" Type="http://schemas.openxmlformats.org/officeDocument/2006/relationships/hyperlink" Target="https://supreme.justia.com/cases/federal/us/470/532/" TargetMode="External"/><Relationship Id="rId2211" Type="http://schemas.openxmlformats.org/officeDocument/2006/relationships/hyperlink" Target="https://www.courts.wa.gov/opinions/pdf/1001002.pdf" TargetMode="External"/><Relationship Id="rId2449" Type="http://schemas.openxmlformats.org/officeDocument/2006/relationships/hyperlink" Target="https://www.firerescue1.com/legal/tenn-supreme-court-reinstates-denial-of-ptsd-benefits-for-former-firefighter?utm_source=delivra&amp;utm_medium=email&amp;utm_campaign=FR1-Daily-10-15-25&amp;utm_id=9641961&amp;dlv-emuid=fed355b8-46a2-4fa4-b55c-4d602dde33c4&amp;dlv-mlid=964196" TargetMode="External"/><Relationship Id="rId2656" Type="http://schemas.openxmlformats.org/officeDocument/2006/relationships/hyperlink" Target="https://www.justice.gov/opa/pr/former-deputy-us-marshal-sentenced-cyberstalking-perjury-and-obstruction" TargetMode="External"/><Relationship Id="rId2863" Type="http://schemas.openxmlformats.org/officeDocument/2006/relationships/hyperlink" Target="https://caselaw.findlaw.com/us-7th-circuit/2104809.html" TargetMode="External"/><Relationship Id="rId628" Type="http://schemas.openxmlformats.org/officeDocument/2006/relationships/hyperlink" Target="https://www.boston.com/news/national-news/2026/07/17/boston-federal-judge-bars-trump-administration-from-using-obscure-clause-to-make-huge-funding-cuts/" TargetMode="External"/><Relationship Id="rId835" Type="http://schemas.openxmlformats.org/officeDocument/2006/relationships/hyperlink" Target="https://www2.ca3.uscourts.gov/opinarch/182648p.pdf" TargetMode="External"/><Relationship Id="rId1258" Type="http://schemas.openxmlformats.org/officeDocument/2006/relationships/hyperlink" Target="https://law.justia.com/cases/maryland/court-of-special-appeals/2020/2498-17.html" TargetMode="External"/><Relationship Id="rId1465" Type="http://schemas.openxmlformats.org/officeDocument/2006/relationships/hyperlink" Target="https://www.eeoc.gov/laws/types/harassment.cfm" TargetMode="External"/><Relationship Id="rId1672" Type="http://schemas.openxmlformats.org/officeDocument/2006/relationships/hyperlink" Target="https://casetext.com/case/bruno-v-wells-armstrong" TargetMode="External"/><Relationship Id="rId2309" Type="http://schemas.openxmlformats.org/officeDocument/2006/relationships/hyperlink" Target="https://www.supremecourt.gov/opinions/11pdf/10-1018.pdf" TargetMode="External"/><Relationship Id="rId2516" Type="http://schemas.openxmlformats.org/officeDocument/2006/relationships/hyperlink" Target="https://public.fastcase.com/Wl%2B2t%2BeVuI35%2FN70vAMFZkkc03nKI8qkpSJ%2FzmzLggswfoR1RvbDETmM60pPGUhc" TargetMode="External"/><Relationship Id="rId2723" Type="http://schemas.openxmlformats.org/officeDocument/2006/relationships/hyperlink" Target="https://public.fastcase.com/Wl%2B2t%2BeVuI35%2FN70vAMFZry7Wdfw%2FJOcYD0w2Kcl2Q1FxaIYO1NAtHxZOlhNOguL" TargetMode="External"/><Relationship Id="rId1020" Type="http://schemas.openxmlformats.org/officeDocument/2006/relationships/hyperlink" Target="http://codes.ohio.gov/orc/2744.07" TargetMode="External"/><Relationship Id="rId1118" Type="http://schemas.openxmlformats.org/officeDocument/2006/relationships/hyperlink" Target="https://casetext.com/case/perez-v-city-of-denver-4" TargetMode="External"/><Relationship Id="rId1325" Type="http://schemas.openxmlformats.org/officeDocument/2006/relationships/hyperlink" Target="https://caselaw.findlaw.com/pa-commonwealth-court/1897108.html" TargetMode="External"/><Relationship Id="rId1532" Type="http://schemas.openxmlformats.org/officeDocument/2006/relationships/hyperlink" Target="https://casetext.com/case/page-v-clark-cnty-fire-dist-5" TargetMode="External"/><Relationship Id="rId1977" Type="http://schemas.openxmlformats.org/officeDocument/2006/relationships/hyperlink" Target="https://casetext.com/case/coppage-v-city-of-raleigh-1" TargetMode="External"/><Relationship Id="rId2930" Type="http://schemas.openxmlformats.org/officeDocument/2006/relationships/hyperlink" Target="https://www.supremecourt.gov/opinions/23pdf/22-451_7m58.pdf" TargetMode="External"/><Relationship Id="rId902" Type="http://schemas.openxmlformats.org/officeDocument/2006/relationships/hyperlink" Target="https://public.fastcase.com/waZtJvSA54UAurM2rmIZz7W%2FsumOmHJRMxx6Xd%2FRMYm%2FGY4cQ9ojWggecoIy6%2FUeVcPjYVPSLOvPb0MEmsZAQF%2FZtsixbezDD9jmkmDKasM%3D" TargetMode="External"/><Relationship Id="rId1837" Type="http://schemas.openxmlformats.org/officeDocument/2006/relationships/hyperlink" Target="https://www.law.cornell.edu/uscode/text/29/216" TargetMode="External"/><Relationship Id="rId31" Type="http://schemas.openxmlformats.org/officeDocument/2006/relationships/hyperlink" Target="https://www.supremecourt.ohio.gov/rod/docs/pdf/0/2026/2026-Ohio-1849.pdf" TargetMode="External"/><Relationship Id="rId2099" Type="http://schemas.openxmlformats.org/officeDocument/2006/relationships/hyperlink" Target="https://www.supremecourt.gov/opinions/23pdf/22-451_7m58.pdf" TargetMode="External"/><Relationship Id="rId180" Type="http://schemas.openxmlformats.org/officeDocument/2006/relationships/hyperlink" Target="https://public.fastcase.com/ZZhmr5v9wN%2FXOe5IsQ%2FqD6Xx7tREqB5H6wemtf0NyhN8u4NUZnGSAantyLeysRAmLMoHIDaVROEStimemn37zFtbEUi2roRyzYg1DUQ2CNY%3D?utm_medium=email&amp;_hsmi=226712652&amp;_hsenc=p2ANqtz--Q_3moeDoiaeECqEOwyhE0ZXPhDkG4WMrF3I2hrcVk-DQ0PMStF7btAcv6bivJ44RNtnNn6LFTST6ermzb3easneInYg&amp;utm_content=226712652&amp;utm_source=hs_email" TargetMode="External"/><Relationship Id="rId278" Type="http://schemas.openxmlformats.org/officeDocument/2006/relationships/hyperlink" Target="https://nam11.safelinks.protection.outlook.com/?url=https%3A%2F%2Fethics.ohio.gov%2Feducation%2Fnewsletters%2FVOE_21Q1.pdf&amp;data=04%7C01%7Cbennetlt%40ucmail.uc.edu%7C21c7cf1b1f7e4058bf7908d8d75e7ed7%7Cf5222e6c5fc648eb8f0373db18203b63%7C1%7C0%7C637496150547267494%7CUnknown%7CTWFpbGZsb3d8eyJWIjoiMC4wLjAwMDAiLCJQIjoiV2luMzIiLCJBTiI6Ik1haWwiLCJXVCI6Mn0%3D%7C1000&amp;sdata=UJS7I0zht0Zw8z4G6aqmFUVw3sZ90mRRc9wJuthINkk%3D&amp;reserved=0" TargetMode="External"/><Relationship Id="rId1904" Type="http://schemas.openxmlformats.org/officeDocument/2006/relationships/hyperlink" Target="https://cdn.ca9.uscourts.gov/datastore/memoranda/2026/07/21/24-6425.pdf" TargetMode="External"/><Relationship Id="rId485" Type="http://schemas.openxmlformats.org/officeDocument/2006/relationships/hyperlink" Target="https://law.justia.com/cases/wisconsin/supreme-court/1989/87-1094-9.html" TargetMode="External"/><Relationship Id="rId692" Type="http://schemas.openxmlformats.org/officeDocument/2006/relationships/hyperlink" Target="https://www.courthousenews.com/wp-content/uploads/2024/07/LGBTQ-DNC-ordinance-block-denial.pdf" TargetMode="External"/><Relationship Id="rId2166" Type="http://schemas.openxmlformats.org/officeDocument/2006/relationships/hyperlink" Target="https://codes.ohio.gov/ohio-revised-code/section-505.381" TargetMode="External"/><Relationship Id="rId2373" Type="http://schemas.openxmlformats.org/officeDocument/2006/relationships/hyperlink" Target="https://casetext.com/case/didonato-v-panatera" TargetMode="External"/><Relationship Id="rId2580" Type="http://schemas.openxmlformats.org/officeDocument/2006/relationships/hyperlink" Target="https://www.wtol.com/article/news/local/toledo-fire-lieutenant-fired-investigation-social-media-post-about-charlie-kirk/512-599961fb-9233-4ebc-8628-cfa2b96c7722" TargetMode="External"/><Relationship Id="rId138" Type="http://schemas.openxmlformats.org/officeDocument/2006/relationships/hyperlink" Target="https://cases.justia.com/federal/district-courts/illinois/ilndce/1:2017cv02153/337913/236/0.pdf?ts=1723715563" TargetMode="External"/><Relationship Id="rId345" Type="http://schemas.openxmlformats.org/officeDocument/2006/relationships/hyperlink" Target="https://cases.justia.com/texas/second-court-of-appeals/2019-02-18-00333-cr.pdf?ts=1558106104" TargetMode="External"/><Relationship Id="rId552" Type="http://schemas.openxmlformats.org/officeDocument/2006/relationships/hyperlink" Target="https://www.supremecourt.ohio.gov/rod/docs/pdf/0/2021/2021-Ohio-2067.pdf" TargetMode="External"/><Relationship Id="rId997" Type="http://schemas.openxmlformats.org/officeDocument/2006/relationships/hyperlink" Target="https://public.fastcase.com/9SKwsfNqTc6OieYDhNMyMxYFAOB%2B8Exz96lCVjgKZ3LX4kIIj1F%2BwgWx84FRdD2XxPjZrEkhT3uMWAcBEArrI0vrm%2B5Vt5gbBlhQIZhqFuE%3D" TargetMode="External"/><Relationship Id="rId1182" Type="http://schemas.openxmlformats.org/officeDocument/2006/relationships/hyperlink" Target="https://www.leagle.com/decision/inohco20211007389" TargetMode="External"/><Relationship Id="rId2026" Type="http://schemas.openxmlformats.org/officeDocument/2006/relationships/hyperlink" Target="https://www.pacourts.us/assets/opinions/Commonwealth/out/196CD25_4-23-26.pdf?cb=1" TargetMode="External"/><Relationship Id="rId2233" Type="http://schemas.openxmlformats.org/officeDocument/2006/relationships/hyperlink" Target="https://public.fastcase.com/J%2FJP6pdidelsXxEE4k%2BLMlnZT9Hwtbb0RSX5AXtKQie%2FaJxcYuONay3v%2BauGycaLZPl2uZFZiVR3n7gLzEpChzWsXN2J3yktMkRz%2BOu%2BxAQ%3D" TargetMode="External"/><Relationship Id="rId2440" Type="http://schemas.openxmlformats.org/officeDocument/2006/relationships/hyperlink" Target="https://cases.justia.com/federal/district-courts/maryland/mddce/1:2024cv03580/573207/56/0.pdf?ts=1777474810" TargetMode="External"/><Relationship Id="rId2678" Type="http://schemas.openxmlformats.org/officeDocument/2006/relationships/hyperlink" Target="https://casetext.com/case/olguin-v-city-of-hollister" TargetMode="External"/><Relationship Id="rId2885" Type="http://schemas.openxmlformats.org/officeDocument/2006/relationships/hyperlink" Target="https://casetext.com/case/in-re-arbitration-between-city-of-ogdensburg" TargetMode="External"/><Relationship Id="rId205" Type="http://schemas.openxmlformats.org/officeDocument/2006/relationships/hyperlink" Target="https://law.justia.com/cases/federal/appellate-courts/ca4/21-2059/21-2059-2023-01-19.html" TargetMode="External"/><Relationship Id="rId412" Type="http://schemas.openxmlformats.org/officeDocument/2006/relationships/hyperlink" Target="https://www.casemine.com/judgement/us/6963a657827d4c0685d5653a" TargetMode="External"/><Relationship Id="rId857" Type="http://schemas.openxmlformats.org/officeDocument/2006/relationships/hyperlink" Target="https://public.fastcase.com/jaEE2PXzRXmZ99jOLMt1IjaUc7vARjVQ5RdI8he5wvr8CafQJWJ892rNp3h%2B5maD?utm_medium=email&amp;_hsenc=p2ANqtz-9yeYIX9OvUysaWxw5S4NvX23y7n2bM1DKt1TGid5472BDGnDkJHyEbdkJMIqnakyd6KQCi4nGEAs4FOkTAkAKzxnAO3A&amp;_hsmi=226712652&amp;utm_content=226712652&amp;utm_source=hs_email" TargetMode="External"/><Relationship Id="rId1042" Type="http://schemas.openxmlformats.org/officeDocument/2006/relationships/hyperlink" Target="https://www.pacourts.us/assets/opinions/Commonwealth/out/1089CD24_2-2-26.pdf?cb=1" TargetMode="External"/><Relationship Id="rId1487" Type="http://schemas.openxmlformats.org/officeDocument/2006/relationships/hyperlink" Target="https://www.govinfo.gov/content/pkg/USCOURTS-idd-4_24-cv-00303/pdf/USCOURTS-idd-4_24-cv-00303-0.pdf" TargetMode="External"/><Relationship Id="rId1694" Type="http://schemas.openxmlformats.org/officeDocument/2006/relationships/hyperlink" Target="https://law.justia.com/cases/federal/district-courts/illinois/ilndce/1:2021cv06211/409083/23/" TargetMode="External"/><Relationship Id="rId2300" Type="http://schemas.openxmlformats.org/officeDocument/2006/relationships/hyperlink" Target="https://law.justia.com/codes/west-virginia/2017/chapter-55/article-7b/section-55-7b-6/" TargetMode="External"/><Relationship Id="rId2538" Type="http://schemas.openxmlformats.org/officeDocument/2006/relationships/hyperlink" Target="https://caselaw.findlaw.com/court/la-court-of-appeal/118312488.html" TargetMode="External"/><Relationship Id="rId2745" Type="http://schemas.openxmlformats.org/officeDocument/2006/relationships/hyperlink" Target="https://www.courts.ca.gov/opinions/nonpub/H046246.PDF" TargetMode="External"/><Relationship Id="rId2952" Type="http://schemas.openxmlformats.org/officeDocument/2006/relationships/hyperlink" Target="https://urldefense.com/v3/__https:/www.congress.gov/bill/117th-congress/senate-bill/1511__;!!Bg5easoyC-OII2vlEqY8mTBrtW-N4OJKAQ!emPJ4la1tXumEvgbQHWWkqIJXSqd8F6eECBBP8LY2twTexz4LKxtEOPGOo9tKXCW3_TX13KqIA$" TargetMode="External"/><Relationship Id="rId717" Type="http://schemas.openxmlformats.org/officeDocument/2006/relationships/hyperlink" Target="https://www.washingtonpost.com/documents/738465b3-8221-4ba6-8a91-92171f73482b.pdf?itid=lk_interstitial_manual_10" TargetMode="External"/><Relationship Id="rId924" Type="http://schemas.openxmlformats.org/officeDocument/2006/relationships/hyperlink" Target="https://www.nct911.org/how-location-works-for-911/" TargetMode="External"/><Relationship Id="rId1347" Type="http://schemas.openxmlformats.org/officeDocument/2006/relationships/hyperlink" Target="https://www.courthousenews.com/wp-content/uploads/2025/07/illinois-court-allows-firefighter-emt-to-sue-over-sexually-hostile-environment.pdf" TargetMode="External"/><Relationship Id="rId1554" Type="http://schemas.openxmlformats.org/officeDocument/2006/relationships/hyperlink" Target="https://www.wkbw.com/news/local-news/city-of-buffalo-updating-training-procedures-rolling-out-diversity-training-for-every-department" TargetMode="External"/><Relationship Id="rId1761" Type="http://schemas.openxmlformats.org/officeDocument/2006/relationships/hyperlink" Target="https://www.cafc.uscourts.gov/opinions-orders/23-1823.OPINION.12-12-2025_2618923.pdf" TargetMode="External"/><Relationship Id="rId1999" Type="http://schemas.openxmlformats.org/officeDocument/2006/relationships/hyperlink" Target="https://cases.justia.com/michigan/court-of-appeals-unpublished/2026-377838.pdf?ts=1784293205" TargetMode="External"/><Relationship Id="rId2605" Type="http://schemas.openxmlformats.org/officeDocument/2006/relationships/hyperlink" Target="https://www.govinfo.gov/content/pkg/USCOURTS-cod-1_23-cv-01798/pdf/USCOURTS-cod-1_23-cv-01798-0.pdf" TargetMode="External"/><Relationship Id="rId2812" Type="http://schemas.openxmlformats.org/officeDocument/2006/relationships/hyperlink" Target="https://public.fastcase.com/Jhe1Qn%2BmJndQYQU6z%2FeNm%2FDGnkNPmF%2FGN9ENyHmXzZguwABevXHo%2FJOs4DZQ3ccvXn%2B8i7GPeSKXZ%2FJuUaa2eSmBPBV%2FroWj%2BWUiix8FppM%3D?utm_medium=email&amp;_hsenc=p2ANqtz-9ln45T61k1McKPYzdFhYaqHVpy9H3-ipNGhojNaHNF5Osr6BUzI4NGniJzh20R42JdVxn_jn5CFBBvjphJmsP_Zy8_gA&amp;_hsmi=226712652&amp;utm_content=226712652&amp;utm_source=hs_email" TargetMode="External"/><Relationship Id="rId53" Type="http://schemas.openxmlformats.org/officeDocument/2006/relationships/hyperlink" Target="https://cases.justia.com/pennsylvania/supreme-court/2025-15-wap-2024-0.pdf?ts=1763559882" TargetMode="External"/><Relationship Id="rId1207" Type="http://schemas.openxmlformats.org/officeDocument/2006/relationships/hyperlink" Target="https://www.monastlaw.com/blog/ohio-workers-compensation-for-hearing-loss.cfm" TargetMode="External"/><Relationship Id="rId1414" Type="http://schemas.openxmlformats.org/officeDocument/2006/relationships/hyperlink" Target="https://www.congress.gov/bill/117th-congress/house-bill/4445/text" TargetMode="External"/><Relationship Id="rId1621" Type="http://schemas.openxmlformats.org/officeDocument/2006/relationships/hyperlink" Target="https://scholar.google.com/scholar_case?case=2959279778538737103&amp;hl=en&amp;as_sdt=6,36" TargetMode="External"/><Relationship Id="rId1859" Type="http://schemas.openxmlformats.org/officeDocument/2006/relationships/hyperlink" Target="https://www.nbcchicago.com/news/local/reservist-sues-civilian-employer-nbc-investigates/153292/" TargetMode="External"/><Relationship Id="rId1719" Type="http://schemas.openxmlformats.org/officeDocument/2006/relationships/hyperlink" Target="https://www.justice.gov/opa/blog/americans-disabilities-act-30th-anniversary-furthering-promise" TargetMode="External"/><Relationship Id="rId1926" Type="http://schemas.openxmlformats.org/officeDocument/2006/relationships/hyperlink" Target="https://casetext.com/case/city-of-great-falls-v-intl-assn-of-fire-fighters-loca" TargetMode="External"/><Relationship Id="rId2090" Type="http://schemas.openxmlformats.org/officeDocument/2006/relationships/hyperlink" Target="https://caselaw.findlaw.com/court/ma-court-of-appeals/116890923.html" TargetMode="External"/><Relationship Id="rId2188" Type="http://schemas.openxmlformats.org/officeDocument/2006/relationships/hyperlink" Target="https://www.detroitnews.com/story/news/local/oakland-county/2020/12/10/paramedics-case-dead-woman-alive-can-regain-licenses/3883292001/" TargetMode="External"/><Relationship Id="rId2395" Type="http://schemas.openxmlformats.org/officeDocument/2006/relationships/hyperlink" Target="https://law.justia.com/cases/new-york/other-courts/2019/2019-ny-slip-op-30983-u.html" TargetMode="External"/><Relationship Id="rId367" Type="http://schemas.openxmlformats.org/officeDocument/2006/relationships/hyperlink" Target="https://cases.justia.com/ohio/ninth-district-court-of-appeals/2018-28746.pdf?ts=1532525904" TargetMode="External"/><Relationship Id="rId574" Type="http://schemas.openxmlformats.org/officeDocument/2006/relationships/hyperlink" Target="https://www.cdc.gov/niosh/fire/reports/face200837.html" TargetMode="External"/><Relationship Id="rId2048" Type="http://schemas.openxmlformats.org/officeDocument/2006/relationships/hyperlink" Target="https://law.justia.com/cases/new-york/appellate-division-fourth-department/2025/816-1-ca-24-01193.html" TargetMode="External"/><Relationship Id="rId2255" Type="http://schemas.openxmlformats.org/officeDocument/2006/relationships/hyperlink" Target="https://www.leagle.com/decision/infdco20220324d64" TargetMode="External"/><Relationship Id="rId227" Type="http://schemas.openxmlformats.org/officeDocument/2006/relationships/hyperlink" Target="https://ilcourtsaudio.blob.core.windows.net/antilles-resources/resources/d420bdc6-9c63-45de-9274-2f897cb58b7d/People%20v.%20Griffin,%202022%20IL%20App%20(4th)%20210360-U.pdf" TargetMode="External"/><Relationship Id="rId781" Type="http://schemas.openxmlformats.org/officeDocument/2006/relationships/hyperlink" Target="https://www.law.cornell.edu/definitions/uscode.php?width=840&amp;height=800&amp;iframe=true&amp;def_id=8-USC-2032517217-1201680101&amp;term_occur=999&amp;term_src=" TargetMode="External"/><Relationship Id="rId879" Type="http://schemas.openxmlformats.org/officeDocument/2006/relationships/hyperlink" Target="https://cases.justia.com/federal/district-courts/california/caedce/2:2023cv01147/429644/22/0.pdf?ts=1706172863" TargetMode="External"/><Relationship Id="rId2462" Type="http://schemas.openxmlformats.org/officeDocument/2006/relationships/hyperlink" Target="https://ilcourtsaudio.blob.core.windows.net/antilles-resources/resources/519d3cc5-abe9-4494-b624-73bca90ee228/Mayer%20v.%20%20Calumet%20Firefighters%20Pension%20Fund,%202024%20IL%20App%20(1st)%20232059-U.pdf" TargetMode="External"/><Relationship Id="rId2767" Type="http://schemas.openxmlformats.org/officeDocument/2006/relationships/hyperlink" Target="https://public.fastcase.com/Wl%2B2t%2BeVuI35%2FN70vAMFZsbNGaY2qJ5U2CI4LnVCoihkt6wfuyNvOKbs8su8KP1J" TargetMode="External"/><Relationship Id="rId434" Type="http://schemas.openxmlformats.org/officeDocument/2006/relationships/hyperlink" Target="https://cases.justia.com/arkansas/court-of-appeals/2025-cv-22-305.pdf?ts=1746026138" TargetMode="External"/><Relationship Id="rId641" Type="http://schemas.openxmlformats.org/officeDocument/2006/relationships/hyperlink" Target="https://pubs.acs.org/doi/10.1021/cen-09438-notw2" TargetMode="External"/><Relationship Id="rId739" Type="http://schemas.openxmlformats.org/officeDocument/2006/relationships/hyperlink" Target="https://www.politico.com/news/2022/06/30/white-house-immigration-supreme-court-win-00043667" TargetMode="External"/><Relationship Id="rId1064" Type="http://schemas.openxmlformats.org/officeDocument/2006/relationships/hyperlink" Target="https://cases.justia.com/kentucky/court-of-appeals/2025-2024-ca-0152-mr.pdf?ts=1748009113" TargetMode="External"/><Relationship Id="rId1271" Type="http://schemas.openxmlformats.org/officeDocument/2006/relationships/hyperlink" Target="https://ohsonline.com/articles/2010/01/04/expanded-cancer-presumption-law.aspx" TargetMode="External"/><Relationship Id="rId1369" Type="http://schemas.openxmlformats.org/officeDocument/2006/relationships/hyperlink" Target="https://www.opn.ca6.uscourts.gov/opinions.pdf/23a0264p-06.pdf" TargetMode="External"/><Relationship Id="rId1576" Type="http://schemas.openxmlformats.org/officeDocument/2006/relationships/hyperlink" Target="http://media.ca7.uscourts.gov/sound/external/mm.21-2784.21-2784_07_07_2022.mp3" TargetMode="External"/><Relationship Id="rId2115" Type="http://schemas.openxmlformats.org/officeDocument/2006/relationships/hyperlink" Target="https://revisor.mo.gov/main/OneSection.aspx?section=579.020" TargetMode="External"/><Relationship Id="rId2322" Type="http://schemas.openxmlformats.org/officeDocument/2006/relationships/hyperlink" Target="https://www.aele.org/law/Digests/civil168b.html" TargetMode="External"/><Relationship Id="rId501" Type="http://schemas.openxmlformats.org/officeDocument/2006/relationships/hyperlink" Target="https://casetext.com/statute/california-codes/california-civil-code/division-3-obligations/part-3-obligations-imposed-by-law/section-17149-injury-to-peace-officer-firefighter-or-emergency-medical-personnel" TargetMode="External"/><Relationship Id="rId946" Type="http://schemas.openxmlformats.org/officeDocument/2006/relationships/hyperlink" Target="https://cases.justia.com/texas/fifth-court-of-appeals/2026-05-24-01403-cv.pdf?ts=1769077961" TargetMode="External"/><Relationship Id="rId1131" Type="http://schemas.openxmlformats.org/officeDocument/2006/relationships/hyperlink" Target="https://public.fastcase.com/ZZhmr5v9wN%2FXOe5IsQ%2FqD20iR7BWmLId4hSDI3nXqVWgPhPXw%2BQtkDECKs6HrcpaaA0bYVe7yei9SfZEfso10IPB%2B%2BM5XAOSsASvTO6V770%3D?utm_medium=email&amp;_hsmi=226712652&amp;_hsenc=p2ANqtz-8Ok8gGNpyLe8hTDi80EaJgVLaHo-pifPeTe8oohUIZEvo8GKO7wbe6cb01t7sw656xUcVdVRiPGkXPM8qU1b5G_smouQ&amp;utm_content=226712652&amp;utm_source=hs_email" TargetMode="External"/><Relationship Id="rId1229" Type="http://schemas.openxmlformats.org/officeDocument/2006/relationships/hyperlink" Target="https://law.justia.com/cases/new-york/other-courts/2020/2020-ny-slip-op-34353-u.html" TargetMode="External"/><Relationship Id="rId1783" Type="http://schemas.openxmlformats.org/officeDocument/2006/relationships/hyperlink" Target="https://cases.justia.com/federal/district-courts/oklahoma/okedce/6:2023cv00241/34830/33/0.pdf?ts=1732294058" TargetMode="External"/><Relationship Id="rId1990" Type="http://schemas.openxmlformats.org/officeDocument/2006/relationships/hyperlink" Target="https://www.law.com/thelegalintelligencer/search/?q=safe+injection+max+mitchell&amp;Submit=Search&amp;publication=The+Legal+Intelligencer&amp;source=falcon&amp;source=decisions&amp;startDate=&amp;endDate=" TargetMode="External"/><Relationship Id="rId2627" Type="http://schemas.openxmlformats.org/officeDocument/2006/relationships/hyperlink" Target="https://public.fastcase.com/H1P9uiW3J20SFp%2BGCG%2BxLYnumIVIfsGACQtvjphi2XY03JuMe7fj8LYdA6mgqlK3BbmtQ%2FoJ5o3JnUu66xez4U0Yi6wQOqSsnYT7%2FU1%2BNuI%3D?utm_medium=email&amp;_hsmi=226712652&amp;_hsenc=p2ANqtz-_mOZCnm_LbXEmI1zB76drE4EDUF13YglxTvTeEnBHhjbPE-34_IMopnnbUF8mE8HxS5G0Ftb4dM_ZSxt2dhhqJsyxB9A&amp;utm_content=226712652&amp;utm_source=hs_email" TargetMode="External"/><Relationship Id="rId2834" Type="http://schemas.openxmlformats.org/officeDocument/2006/relationships/hyperlink" Target="https://www.supremecourt.ohio.gov/rod/docs/pdf/8/2024/2024-Ohio-4787.pdf" TargetMode="External"/><Relationship Id="rId75" Type="http://schemas.openxmlformats.org/officeDocument/2006/relationships/hyperlink" Target="https://www.supremecourt.ohio.gov/rod/docs/pdf/7/2025/2025-Ohio-1915.pdf" TargetMode="External"/><Relationship Id="rId806" Type="http://schemas.openxmlformats.org/officeDocument/2006/relationships/hyperlink" Target="https://www.justice.gov/opa/pr/tampa-man-charged-attempting-provide-material-support-isis" TargetMode="External"/><Relationship Id="rId1436" Type="http://schemas.openxmlformats.org/officeDocument/2006/relationships/hyperlink" Target="https://scholar.google.com/scholar_case?case=3751539261550257111&amp;q=Rachel+MOSBY+v.+CITY+OF+BYRON,+GEORGIA,&amp;hl=en&amp;as_sdt=6,36" TargetMode="External"/><Relationship Id="rId1643" Type="http://schemas.openxmlformats.org/officeDocument/2006/relationships/hyperlink" Target="https://cases.justia.com/federal/district-courts/ohio/ohsdce/2:2023cv02466/282351/63/0.pdf?ts=1771088328" TargetMode="External"/><Relationship Id="rId1850" Type="http://schemas.openxmlformats.org/officeDocument/2006/relationships/hyperlink" Target="https://law.justia.com/cases/federal/district-courts/new-york/nysdce/1:2019cv05773/517969/98/" TargetMode="External"/><Relationship Id="rId2901" Type="http://schemas.openxmlformats.org/officeDocument/2006/relationships/hyperlink" Target="https://www.watertowndailytimes.com/news03/lawyer-fees-for-watertown-fire-department-dispute-nearing-800000-20190207" TargetMode="External"/><Relationship Id="rId1503" Type="http://schemas.openxmlformats.org/officeDocument/2006/relationships/hyperlink" Target="https://public.fastcase.com/jaEE2PXzRXmZ99jOLMt1IuS%2F9HpBr5oZUxWDfnHZUAClV0FMS0FkyPj2D073HVCd?utm_medium=email&amp;_hsenc=p2ANqtz-8Af1EW_JVwBhx0UDxsfrXH8_2s6MlC6Pm7CWzCebAgUkWejdyZMRNp9kjbmr3YiOjRBOAIc4DZsyAhk1nZpl--uaoeAg&amp;_hsmi=226712652&amp;utm_content=226712652&amp;utm_source=hs_email" TargetMode="External"/><Relationship Id="rId1710" Type="http://schemas.openxmlformats.org/officeDocument/2006/relationships/hyperlink" Target="https://www.osha.gov/laws-regs/regulations/standardnumber/1910/1910.95AppF" TargetMode="External"/><Relationship Id="rId1948" Type="http://schemas.openxmlformats.org/officeDocument/2006/relationships/hyperlink" Target="https://oag.ca.gov/system/files/attachments/press-docs/Mediator%27s%20Fourth%20Interim%20Report.pdf" TargetMode="External"/><Relationship Id="rId291" Type="http://schemas.openxmlformats.org/officeDocument/2006/relationships/hyperlink" Target="https://public.fastcase.com/Wl%2B2t%2BeVuI35%2FN70vAMFZsWJ6AvEppVwuFRKTwz4M5aFuXQum0lUiq0Q02rKgFN1" TargetMode="External"/><Relationship Id="rId1808" Type="http://schemas.openxmlformats.org/officeDocument/2006/relationships/hyperlink" Target="https://www.ca2.uscourts.gov/decisions/isysquery/8e9e3763-33d2-40e3-8df3-c0e92234493d/2/doc/21-2095_opn.pdf" TargetMode="External"/><Relationship Id="rId151" Type="http://schemas.openxmlformats.org/officeDocument/2006/relationships/hyperlink" Target="https://public.fastcase.com/H1P9uiW3J20SFp%2BGCG%2BxLV1UD86YIpCG84PV7X%2BpnT1bSBvGb5%2F4r%2Bji24INAH28OEKlXyJ%2BAop5b2VZ9ytUlZZgkAmHpAE%2FiqsvJv8QoS0%3D?utm_medium=email&amp;_hsmi=226712652&amp;_hsenc=p2ANqtz--ZkRdN2zXdoxrl3owB4KoaH3odsucPmvtI49_VzIkvckm0OogBea4uvwy0e_nUnYms3ZfEOMqgWPnXMJBVQxzHG3rvjg&amp;utm_content=226712652&amp;utm_source=hs_email" TargetMode="External"/><Relationship Id="rId389" Type="http://schemas.openxmlformats.org/officeDocument/2006/relationships/hyperlink" Target="https://www.supremecourt.ohio.gov/rod/docs/pdf/0/2026/2026-Ohio-1965.pdf" TargetMode="External"/><Relationship Id="rId596" Type="http://schemas.openxmlformats.org/officeDocument/2006/relationships/hyperlink" Target="http://41af3k34gprx4f6bg12df75i.wpengine.netdna-cdn.com/wp-content/uploads/sites/19/2019/07/Marvaso-v.-Adams_-2019-U.S.-Dist.-LEXIS-114276.pdf" TargetMode="External"/><Relationship Id="rId2277" Type="http://schemas.openxmlformats.org/officeDocument/2006/relationships/hyperlink" Target="https://codes.ohio.gov/ohio-revised-code/section-4511.194" TargetMode="External"/><Relationship Id="rId2484" Type="http://schemas.openxmlformats.org/officeDocument/2006/relationships/hyperlink" Target="https://storage.courtlistener.com/recap/gov.uscourts.flmd.392068/gov.uscourts.flmd.392068.43.0.pdf" TargetMode="External"/><Relationship Id="rId2691" Type="http://schemas.openxmlformats.org/officeDocument/2006/relationships/hyperlink" Target="https://www.tncourts.gov/sites/default/files/pryebeverlyopn.pdf" TargetMode="External"/><Relationship Id="rId249" Type="http://schemas.openxmlformats.org/officeDocument/2006/relationships/hyperlink" Target="https://www.opn.ca6.uscourts.gov/opinions.pdf/21a0484n-06.pdf" TargetMode="External"/><Relationship Id="rId456" Type="http://schemas.openxmlformats.org/officeDocument/2006/relationships/hyperlink" Target="https://casetext.com/case/armstrong-v-mailand" TargetMode="External"/><Relationship Id="rId663" Type="http://schemas.openxmlformats.org/officeDocument/2006/relationships/hyperlink" Target="https://www2.ca3.uscourts.gov/opinarch/231900p.pdf" TargetMode="External"/><Relationship Id="rId870" Type="http://schemas.openxmlformats.org/officeDocument/2006/relationships/hyperlink" Target="https://cases.justia.com/federal/district-courts/federal-claims/cofce/1:2022cv01201/46126/27/0.pdf?ts=1728477951" TargetMode="External"/><Relationship Id="rId1086" Type="http://schemas.openxmlformats.org/officeDocument/2006/relationships/hyperlink" Target="https://ilcourtsaudio.blob.core.windows.net/antilles-resources/resources/19fc956b-c59f-4d15-932a-20de8f3f1feb/Mangiameli%20v.%20Illinois%20Workers%27%20Compensation%20Comm%27n,%202024%20IL%20App%20(1st)%20231397WC-U.pdf" TargetMode="External"/><Relationship Id="rId1293" Type="http://schemas.openxmlformats.org/officeDocument/2006/relationships/hyperlink" Target="https://cases.justia.com/washington/supreme-court/2019-96189-1.pdf?ts=1571325618" TargetMode="External"/><Relationship Id="rId2137" Type="http://schemas.openxmlformats.org/officeDocument/2006/relationships/hyperlink" Target="https://casetext.com/case/currie-v-aswegan-1" TargetMode="External"/><Relationship Id="rId2344" Type="http://schemas.openxmlformats.org/officeDocument/2006/relationships/hyperlink" Target="https://mdcourts.gov/data/opinions/cosa/2020/0318s19.pdf" TargetMode="External"/><Relationship Id="rId2551" Type="http://schemas.openxmlformats.org/officeDocument/2006/relationships/hyperlink" Target="https://cases.justia.com/federal/district-courts/florida/flmdce/8:2025cv02787/448658/35/0.pdf" TargetMode="External"/><Relationship Id="rId2789" Type="http://schemas.openxmlformats.org/officeDocument/2006/relationships/hyperlink" Target="https://ecf.ksd.uscourts.gov/cgi-bin/show_public_doc?2018cv2084-60" TargetMode="External"/><Relationship Id="rId109" Type="http://schemas.openxmlformats.org/officeDocument/2006/relationships/hyperlink" Target="https://www.cityofsebastopol.gov/city-of-sebastopol-prevails-in-challenge-to-rv-ordinance/" TargetMode="External"/><Relationship Id="rId316" Type="http://schemas.openxmlformats.org/officeDocument/2006/relationships/hyperlink" Target="https://public.fastcase.com/Wl%2B2t%2BeVuI35%2FN70vAMFZgQb9URzc30c5cCnjaV%2BywxWbGQAvCbjQKWk6ixjSD1I" TargetMode="External"/><Relationship Id="rId523" Type="http://schemas.openxmlformats.org/officeDocument/2006/relationships/hyperlink" Target="https://law.justia.com/cases/federal/appellate-courts/ca3/21-3019/21-3019-2023-01-25.html" TargetMode="External"/><Relationship Id="rId968" Type="http://schemas.openxmlformats.org/officeDocument/2006/relationships/hyperlink" Target="https://cases.justia.com/texas/fourteenth-court-of-appeals/2024-14-23-00087-cv.pdf?ts=1709819934" TargetMode="External"/><Relationship Id="rId1153" Type="http://schemas.openxmlformats.org/officeDocument/2006/relationships/hyperlink" Target="https://ilcourtsaudio.blob.core.windows.net/antilles-resources/resources/eba608df-6fa9-4d1a-8a11-f48abce29596/City%20of%20Springfield%20v.%20Illinois%20Workers'%20Compensation%20Comm'n,%202022%20IL%20App%20(4th)%20210604WC-U.pdf" TargetMode="External"/><Relationship Id="rId1598" Type="http://schemas.openxmlformats.org/officeDocument/2006/relationships/hyperlink" Target="https://casetext.com/case/saade-v-city-of-detroit-1" TargetMode="External"/><Relationship Id="rId2204" Type="http://schemas.openxmlformats.org/officeDocument/2006/relationships/hyperlink" Target="https://www.advisory.com/daily-briefing/2022/10/26/vaccine-mandate" TargetMode="External"/><Relationship Id="rId2649" Type="http://schemas.openxmlformats.org/officeDocument/2006/relationships/hyperlink" Target="https://public.fastcase.com/ZZhmr5v9wN%2FXOe5IsQ%2FqD51KXiWhfZ5Tknms713VsyNiKeidGSjUYd5fLyeguf86yRHn46LHKSVIqu1aE%2FP%2F4wzm%2Bs9CN3Gxx%2Fta1hJ8xsU%3D?utm_medium=email&amp;_hsmi=226712652&amp;_hsenc=p2ANqtz--6hfqXp_6GwCwKFg5My80cUvTOTZgLDUuB3F-yLygp7svvTJd39SzNL3yXkJv1N0M6expfT3HAdh1FcYblCg0-pEKOfg&amp;utm_content=226712652&amp;utm_source=hs_email" TargetMode="External"/><Relationship Id="rId2856" Type="http://schemas.openxmlformats.org/officeDocument/2006/relationships/hyperlink" Target="https://www.jud.ct.gov/external/supapp/Cases/AROap/AP218/218AP115.pdf" TargetMode="External"/><Relationship Id="rId97" Type="http://schemas.openxmlformats.org/officeDocument/2006/relationships/hyperlink" Target="https://www.justice.gov/opa/pr/justice-department-statements-supreme-courts-decision-tiktok-et-al-v-garland" TargetMode="External"/><Relationship Id="rId730" Type="http://schemas.openxmlformats.org/officeDocument/2006/relationships/hyperlink" Target="https://www.justice.gov/opa/speech/deputy-attorney-general-lisa-o-monaco-delivers-remarks-atf-academy-graduation" TargetMode="External"/><Relationship Id="rId828" Type="http://schemas.openxmlformats.org/officeDocument/2006/relationships/hyperlink" Target="https://www.foxnews.com/politics/supreme-court-green-lights-trumps-immigration-asylum-ban" TargetMode="External"/><Relationship Id="rId1013" Type="http://schemas.openxmlformats.org/officeDocument/2006/relationships/hyperlink" Target="http://codes.ohio.gov/orc/4511.03v1" TargetMode="External"/><Relationship Id="rId1360" Type="http://schemas.openxmlformats.org/officeDocument/2006/relationships/hyperlink" Target="https://casetext.com/case/lundberg-v-delta-response-team-llc-1" TargetMode="External"/><Relationship Id="rId1458" Type="http://schemas.openxmlformats.org/officeDocument/2006/relationships/hyperlink" Target="http://media.ca11.uscourts.gov/opinions/unpub/files/201810640.pdf" TargetMode="External"/><Relationship Id="rId1665" Type="http://schemas.openxmlformats.org/officeDocument/2006/relationships/hyperlink" Target="https://www.supremecourt.gov/orders/courtorders/062424zor_e18f.pdf" TargetMode="External"/><Relationship Id="rId1872" Type="http://schemas.openxmlformats.org/officeDocument/2006/relationships/hyperlink" Target="https://www.ems1.com/legal/articles/air-medical-company-agrees-to-78m-settlement-for-overtime-ExknCez8O1D6ZfI4/" TargetMode="External"/><Relationship Id="rId2411" Type="http://schemas.openxmlformats.org/officeDocument/2006/relationships/hyperlink" Target="https://cases.justia.com/federal/appellate-courts/ca7/17-3060/17-3060-2018-08-14.pdf?ts=1534262420" TargetMode="External"/><Relationship Id="rId2509" Type="http://schemas.openxmlformats.org/officeDocument/2006/relationships/hyperlink" Target="https://www.firerescue1.com/ptsd/articles/ohio-house-passes-bill-expanding-first-responders-workers-compensation-for-ptsd-QXXQPU6H47rb9Z8o/" TargetMode="External"/><Relationship Id="rId2716" Type="http://schemas.openxmlformats.org/officeDocument/2006/relationships/hyperlink" Target="https://www.mass.gov/news/wellesley-fire-chief-richard-delorie-pays-10000-civil-penalty-for-violating-conflict-of-interest-law" TargetMode="External"/><Relationship Id="rId1220" Type="http://schemas.openxmlformats.org/officeDocument/2006/relationships/hyperlink" Target="https://codes.ohio.gov/orc/gp9.87" TargetMode="External"/><Relationship Id="rId1318" Type="http://schemas.openxmlformats.org/officeDocument/2006/relationships/hyperlink" Target="https://services.courts.state.wy.us/Documents/Opinions/2018WY75.pdf" TargetMode="External"/><Relationship Id="rId1525" Type="http://schemas.openxmlformats.org/officeDocument/2006/relationships/hyperlink" Target="https://www.firerescue1.com/legal/justice-department-drops-alleged-discriminatory-ff-hiring-cases-in-dei-rollback?utm_source=delivra&amp;utm_medium=email&amp;utm_campaign=FR1-Daily-2-27-25&amp;utm_id=8566464&amp;dlv-emuid=fed355b8-46a2-4fa4-b55c-4d602dde33c4&amp;dlv-mlid=8566464" TargetMode="External"/><Relationship Id="rId2923" Type="http://schemas.openxmlformats.org/officeDocument/2006/relationships/hyperlink" Target="https://www.law.cornell.edu/definitions/index.php?width=840&amp;height=800&amp;iframe=true&amp;def_id=977e8a5a6738f2296549dee03e70816a&amp;term_occur=999&amp;term_src=Title:24:Subtitle:B:Chapter:II:Subchapter:I:Part:291:Subpart:F:291.530" TargetMode="External"/><Relationship Id="rId1732" Type="http://schemas.openxmlformats.org/officeDocument/2006/relationships/hyperlink" Target="https://www.justice.gov/opa/pr/justice-department-reaches-agreement-city-and-county-denver-resolve-disability-discrimination" TargetMode="External"/><Relationship Id="rId24" Type="http://schemas.openxmlformats.org/officeDocument/2006/relationships/hyperlink" Target="https://public.fastcase.com/Jhe1Qn%2BmJndQYQU6z%2FeNm41Z%2FOdo7wEiV%2BXZOn6Ck9WelihsBDHZxfns7L5Vlobe8KCYik0lEXZYSVwiLsKn0UW5%2B2VWsVkokbGOgZx52u8%3D?utm_medium=email&amp;_hsenc=p2ANqtz-9EI0U8e9McRrVX-UJhUyqBaKFqyfeNAikLllF44Be7atxg43fyP-ODCP6rir31MZENUpzNCQwvOHRXOJumMmb9zT3Dpw&amp;_hsmi=226712652&amp;utm_content=226712652&amp;utm_source=hs_email" TargetMode="External"/><Relationship Id="rId2299" Type="http://schemas.openxmlformats.org/officeDocument/2006/relationships/hyperlink" Target="https://www.zanesvilletimesrecorder.com/story/news/local/2016/12/17/two-dead-after-ambulance-rollover/95557626/" TargetMode="External"/><Relationship Id="rId173" Type="http://schemas.openxmlformats.org/officeDocument/2006/relationships/hyperlink" Target="https://www.law.cornell.edu/rules/fre/rule_701" TargetMode="External"/><Relationship Id="rId380" Type="http://schemas.openxmlformats.org/officeDocument/2006/relationships/hyperlink" Target="https://d.docs.live.net/bd9b2eaf6053242e/AppData/Roaming/Microsoft/AppData/Local/Microsoft/Windows/INetCache/IE/XO250S7T/15-70040-CV0.pdf" TargetMode="External"/><Relationship Id="rId2061" Type="http://schemas.openxmlformats.org/officeDocument/2006/relationships/hyperlink" Target="https://jpr.azcourts.gov/Portals/0/OpinionFiles/Div1/2025/1%20CA-CR%2024-0549%20Johnson.pdf" TargetMode="External"/><Relationship Id="rId240" Type="http://schemas.openxmlformats.org/officeDocument/2006/relationships/hyperlink" Target="https://public.fastcase.com/9SKwsfNqTc6OieYDhNMyM84JhiUntSQtUCBlgd6lzoL5y1g0gwdSndjfCHFHqJkk4vcRDuTZ3RRxLgM1%2Fyx%2BQdiK9wqe8J4wfwe4xg454y8%3D" TargetMode="External"/><Relationship Id="rId478" Type="http://schemas.openxmlformats.org/officeDocument/2006/relationships/hyperlink" Target="https://www.pralaw.com/articles/the-supreme-court-of-new-jersey-rules-that-the-firefighters-rule-has-been-abolished" TargetMode="External"/><Relationship Id="rId685" Type="http://schemas.openxmlformats.org/officeDocument/2006/relationships/hyperlink" Target="https://casetext.com/case/people-v-pacheco-286" TargetMode="External"/><Relationship Id="rId892" Type="http://schemas.openxmlformats.org/officeDocument/2006/relationships/hyperlink" Target="https://casetext.com/case/carey-v-town-of-rumford" TargetMode="External"/><Relationship Id="rId2159" Type="http://schemas.openxmlformats.org/officeDocument/2006/relationships/hyperlink" Target="https://cases.justia.com/kentucky/court-of-appeals/2024-2022-ca-1330-mr.pdf?ts=1709910288" TargetMode="External"/><Relationship Id="rId2366" Type="http://schemas.openxmlformats.org/officeDocument/2006/relationships/hyperlink" Target="http://www.pacourts.us/assets/opinions/Supreme/out/68MM2020mo%20-%2010439399799476700.pdf?cb=1" TargetMode="External"/><Relationship Id="rId2573" Type="http://schemas.openxmlformats.org/officeDocument/2006/relationships/hyperlink" Target="https://www.firerescue1.com/legal/l-a-county-pays-7-2m-to-family-of-firefighter-killed-in-firehouse-shooting" TargetMode="External"/><Relationship Id="rId2780" Type="http://schemas.openxmlformats.org/officeDocument/2006/relationships/hyperlink" Target="https://supreme.justia.com/cases/federal/us/391/563" TargetMode="External"/><Relationship Id="rId100" Type="http://schemas.openxmlformats.org/officeDocument/2006/relationships/hyperlink" Target="https://www.courts.wa.gov/opinions/pdf/855832.pdf" TargetMode="External"/><Relationship Id="rId338" Type="http://schemas.openxmlformats.org/officeDocument/2006/relationships/hyperlink" Target="https://www.supremecourt.gov/opinions/18pdf/18-6210_2co3.pdf" TargetMode="External"/><Relationship Id="rId545" Type="http://schemas.openxmlformats.org/officeDocument/2006/relationships/hyperlink" Target="https://public.fastcase.com/9SKwsfNqTc6OieYDhNMyMw%2FXypC%2BGCgzOI8YVtEGVa9n7jEOxoaSK8egV%2FDY7vKxD%2FnkzijiMqV0cvRDHM3YNZxTynpkQChMaJvb9tBM2DY%3D" TargetMode="External"/><Relationship Id="rId752" Type="http://schemas.openxmlformats.org/officeDocument/2006/relationships/hyperlink" Target="https://www.ca4.uscourts.gov/opinions/173.P.pdf" TargetMode="External"/><Relationship Id="rId1175" Type="http://schemas.openxmlformats.org/officeDocument/2006/relationships/hyperlink" Target="https://law.justia.com/cases/washington/court-of-appeals-division-ii/2021/54914-0.html" TargetMode="External"/><Relationship Id="rId1382" Type="http://schemas.openxmlformats.org/officeDocument/2006/relationships/hyperlink" Target="https://www.supremecourt.gov/opinions/23pdf/22-193_q86b.pdf" TargetMode="External"/><Relationship Id="rId2019" Type="http://schemas.openxmlformats.org/officeDocument/2006/relationships/hyperlink" Target="https://cases.justia.com/michigan/court-of-appeals-unpublished/2026-371690.pdf?ts=1779282004" TargetMode="External"/><Relationship Id="rId2226" Type="http://schemas.openxmlformats.org/officeDocument/2006/relationships/hyperlink" Target="https://law.justia.com/cases/michigan/court-of-appeals-unpublished/2022/357887.html" TargetMode="External"/><Relationship Id="rId2433" Type="http://schemas.openxmlformats.org/officeDocument/2006/relationships/hyperlink" Target="https://codes.findlaw.com/ny/general-municipal-law/gmu-sect-205-a.html" TargetMode="External"/><Relationship Id="rId2640" Type="http://schemas.openxmlformats.org/officeDocument/2006/relationships/hyperlink" Target="https://caselaw.findlaw.com/court/ma-court-of-appeals/115411600.html" TargetMode="External"/><Relationship Id="rId2878" Type="http://schemas.openxmlformats.org/officeDocument/2006/relationships/hyperlink" Target="http://perc.myflorida.com/download.aspx/Prefix=CA/CaseYr=21/CaseNo=012/File=CA21012_Ord10_05192022_163540.pdf" TargetMode="External"/><Relationship Id="rId405" Type="http://schemas.openxmlformats.org/officeDocument/2006/relationships/hyperlink" Target="https://cases.justia.com/federal/district-courts/maryland/mddce/1:2025cv00796/578117/19/0.pdf?ts=1771692701" TargetMode="External"/><Relationship Id="rId612" Type="http://schemas.openxmlformats.org/officeDocument/2006/relationships/hyperlink" Target="https://caselaw.findlaw.com/md-court-of-special-appeals/1897275.html" TargetMode="External"/><Relationship Id="rId1035" Type="http://schemas.openxmlformats.org/officeDocument/2006/relationships/hyperlink" Target="https://codes.ohio.gov/ohio-revised-code/section-109.578" TargetMode="External"/><Relationship Id="rId1242" Type="http://schemas.openxmlformats.org/officeDocument/2006/relationships/hyperlink" Target="https://www.ncjrs.gov/pdffiles1/Digitization/103277NCJRS.pdf" TargetMode="External"/><Relationship Id="rId1687" Type="http://schemas.openxmlformats.org/officeDocument/2006/relationships/hyperlink" Target="https://www.justice.gov/crt/case-document/file/1583736/download" TargetMode="External"/><Relationship Id="rId1894" Type="http://schemas.openxmlformats.org/officeDocument/2006/relationships/hyperlink" Target="https://www.dol.gov/whd/opinion/FLSA/2005/2005_10_14_40_FLSA.pdf" TargetMode="External"/><Relationship Id="rId2500" Type="http://schemas.openxmlformats.org/officeDocument/2006/relationships/hyperlink" Target="https://ceas.uc.edu/academics/departments/aerospace-engineering-mechanics/fire-science/news.html" TargetMode="External"/><Relationship Id="rId2738" Type="http://schemas.openxmlformats.org/officeDocument/2006/relationships/hyperlink" Target="https://www.opn.ca6.uscourts.gov/opinions.pdf/20a0268p-06.pdf" TargetMode="External"/><Relationship Id="rId2945" Type="http://schemas.openxmlformats.org/officeDocument/2006/relationships/hyperlink" Target="https://www.congress.gov/bill/117th-congress/house-bill/4445/text" TargetMode="External"/><Relationship Id="rId917" Type="http://schemas.openxmlformats.org/officeDocument/2006/relationships/hyperlink" Target="https://public.fastcase.com/9SKwsfNqTc6OieYDhNMyM6VI9jzZ8Wjh0KgpobjMibbiOoRUyOE%2BZu2RC4EQbfMf" TargetMode="External"/><Relationship Id="rId1102" Type="http://schemas.openxmlformats.org/officeDocument/2006/relationships/hyperlink" Target="https://www.iaff.org/presumptive-health/" TargetMode="External"/><Relationship Id="rId1547" Type="http://schemas.openxmlformats.org/officeDocument/2006/relationships/hyperlink" Target="https://storage.courtlistener.com/recap/gov.uscourts.ded.79218/gov.uscourts.ded.79218.29.0.pdf" TargetMode="External"/><Relationship Id="rId1754" Type="http://schemas.openxmlformats.org/officeDocument/2006/relationships/hyperlink" Target="https://www.dol.gov/agencies/whd/fact-sheets/56c-bonuses" TargetMode="External"/><Relationship Id="rId1961" Type="http://schemas.openxmlformats.org/officeDocument/2006/relationships/hyperlink" Target="https://casetext.com/case/dufrene-v-northshore-ems-llc" TargetMode="External"/><Relationship Id="rId2805" Type="http://schemas.openxmlformats.org/officeDocument/2006/relationships/hyperlink" Target="https://casetext.com/case/banske-v-city-of-calumet-city" TargetMode="External"/><Relationship Id="rId46" Type="http://schemas.openxmlformats.org/officeDocument/2006/relationships/hyperlink" Target="https://cases.justia.com/utah/court-of-appeals-published/2025-20241334-ca.pdf?ts=1766864394" TargetMode="External"/><Relationship Id="rId1407" Type="http://schemas.openxmlformats.org/officeDocument/2006/relationships/hyperlink" Target="https://media.ca11.uscourts.gov/opinions/unpub/files/202110377.pdf" TargetMode="External"/><Relationship Id="rId1614" Type="http://schemas.openxmlformats.org/officeDocument/2006/relationships/hyperlink" Target="http://www.ca2.uscourts.gov/decisions/isysquery/83382276-eb3d-4d56-b5fe-4596b6d0f64b/1/doc/19-1265_so.pdf" TargetMode="External"/><Relationship Id="rId1821" Type="http://schemas.openxmlformats.org/officeDocument/2006/relationships/hyperlink" Target="https://www.supremecourt.gov/opinions/22pdf/21-984_j426.pdf" TargetMode="External"/><Relationship Id="rId195" Type="http://schemas.openxmlformats.org/officeDocument/2006/relationships/hyperlink" Target="https://public.fastcase.com/J%2FJP6pdidelsXxEE4k%2BLMh%2BxgKCWLadJ0%2BOScffwypyz9KPkH6WwjXpW3uRa%2FlRTPk79L8Q2wc49Eb83uFrfiOwpLA5%2BzEeF6Sl%2BnZohK7o%3D?utm_medium=email&amp;_hsmi=226712652&amp;_hsenc=p2ANqtz--JRFw_odmHYH-3piiElV-hEg_p30YKZr85DqTYsa6cCP0cQTh9qrySQOzbjYsHMVm2otLm7TlEchGQvTofiaLZzRru3Q&amp;utm_content=226712652&amp;utm_source=hs_email" TargetMode="External"/><Relationship Id="rId1919" Type="http://schemas.openxmlformats.org/officeDocument/2006/relationships/hyperlink" Target="https://public.fastcase.com/jaEE2PXzRXmZ99jOLMt1It2Tjmgxo5hSPIplN9zr2RKL3xaZLK1Vh5eTa9w8Wk8pfXZv57sP%2BSheWcKHfFgy9Ah5Ev5ZnvIAKgdp6Yn%2FiQI%3D?utm_medium=email&amp;_hsenc=p2ANqtz-_xr08pWLevFeFI8Ge2XvipIP7qRBaDeRzA2aeNOeAMxf3drkc7WBb-blscAE4MgKHVvRlF4GyH0W6s2eAyYhQEv9ZP9w&amp;_hsmi=226712652&amp;utm_content=226712652&amp;utm_source=hs_email" TargetMode="External"/><Relationship Id="rId2083" Type="http://schemas.openxmlformats.org/officeDocument/2006/relationships/hyperlink" Target="https://law.justia.com/cases/new-york/other-courts/2025/2025-ny-slip-op-25090.html" TargetMode="External"/><Relationship Id="rId2290" Type="http://schemas.openxmlformats.org/officeDocument/2006/relationships/hyperlink" Target="https://www.denverpost.com/2021/09/02/elijah-mclain-charges-manslaughter-negligent-homicide/" TargetMode="External"/><Relationship Id="rId2388" Type="http://schemas.openxmlformats.org/officeDocument/2006/relationships/hyperlink" Target="https://www.fresnobee.com/news/local/article167656267.html" TargetMode="External"/><Relationship Id="rId2595" Type="http://schemas.openxmlformats.org/officeDocument/2006/relationships/hyperlink" Target="https://dsp.delaware.gov/2023/01/13/former-deputy-fire-chief-arrested-for-rape/" TargetMode="External"/><Relationship Id="rId262" Type="http://schemas.openxmlformats.org/officeDocument/2006/relationships/hyperlink" Target="https://www.nolo.com/legal-encyclopedia/immunity-exchange-testimony.html" TargetMode="External"/><Relationship Id="rId567" Type="http://schemas.openxmlformats.org/officeDocument/2006/relationships/hyperlink" Target="https://mdcourts.gov/data/opinions/coa/2020/49a19.pdf" TargetMode="External"/><Relationship Id="rId1197" Type="http://schemas.openxmlformats.org/officeDocument/2006/relationships/hyperlink" Target="https://www.knoe.com/content/news/Bastrop-ordered-to-pay-more-than-16-million-to-firemen-after-lawsuit-509570521.html" TargetMode="External"/><Relationship Id="rId2150" Type="http://schemas.openxmlformats.org/officeDocument/2006/relationships/hyperlink" Target="https://richmondside.org/2025/09/11/civil-rights-trial-forced-sedation-richmond-death/" TargetMode="External"/><Relationship Id="rId2248" Type="http://schemas.openxmlformats.org/officeDocument/2006/relationships/hyperlink" Target="https://law.justia.com/cases/new-york/other-courts/2022/2022-ny-slip-op-22137.html" TargetMode="External"/><Relationship Id="rId122" Type="http://schemas.openxmlformats.org/officeDocument/2006/relationships/hyperlink" Target="https://www.opn.ca6.uscourts.gov/opinions.pdf/24a0196p-06.pdf" TargetMode="External"/><Relationship Id="rId774" Type="http://schemas.openxmlformats.org/officeDocument/2006/relationships/hyperlink" Target="https://www.law.cornell.edu/definitions/uscode.php?width=840&amp;height=800&amp;iframe=true&amp;def_id=8-USC-2124716147-1201680062&amp;term_occur=999&amp;term_src=title:8:chapter:12:subchapter:II:part:IV:section:1229b" TargetMode="External"/><Relationship Id="rId981" Type="http://schemas.openxmlformats.org/officeDocument/2006/relationships/hyperlink" Target="https://casetext.com/case/city-of-alvin-v-fields" TargetMode="External"/><Relationship Id="rId1057" Type="http://schemas.openxmlformats.org/officeDocument/2006/relationships/hyperlink" Target="https://ilcourtsaudio.blob.core.windows.net/antilles-resources/resources/b97cd9d5-bd7a-4b80-8ae7-ba3200915f21/Village%20of%20Schaumburg%20v.%20VoS%20Firefighters%E2%80%99%20Pension%20Fund%202025%20IL%20App%20(1st)%20241764.pdf" TargetMode="External"/><Relationship Id="rId2010" Type="http://schemas.openxmlformats.org/officeDocument/2006/relationships/hyperlink" Target="https://public.fastcase.com/Jhe1Qn%2BmJndQYQU6z%2FeNmxd3J8jpmxXxyeidb6WXrTEciJVACoDQGCX04YyoIKQxWs5hBfmCFqjSsPik5w4la1NJYiz6fo5tDOdYnNwjoT0%3D?utm_medium=email&amp;_hsenc=p2ANqtz-9LzrN1R9Pgrlzgu6Bjb006a7Y-7J4xKc7rzHzZp95cTtgFvjhjxyCpE0IXkHF1YdLpVWdu75zDjIRZyumRHM8CB80GGw&amp;_hsmi=226712652&amp;utm_content=226712652&amp;utm_source=hs_email" TargetMode="External"/><Relationship Id="rId2455" Type="http://schemas.openxmlformats.org/officeDocument/2006/relationships/hyperlink" Target="https://hr.cch.com/ELD/FisherLansing042925.pdf" TargetMode="External"/><Relationship Id="rId2662" Type="http://schemas.openxmlformats.org/officeDocument/2006/relationships/hyperlink" Target="https://www.tncourts.gov/sites/default/files/OpinionsPDFVersion/MOSS%20-%20Majority%20Opinion.pdf" TargetMode="External"/><Relationship Id="rId427" Type="http://schemas.openxmlformats.org/officeDocument/2006/relationships/hyperlink" Target="https://www.rcfp.org/wp-content/uploads/2025/08/2025-08-05-RCFP-v.-Rokita-Seventh-Circuit-opinion.pdf" TargetMode="External"/><Relationship Id="rId634" Type="http://schemas.openxmlformats.org/officeDocument/2006/relationships/hyperlink" Target="https://www.supremecourt.gov/opinions/25pdf/24-924_3d9g.pdf" TargetMode="External"/><Relationship Id="rId841" Type="http://schemas.openxmlformats.org/officeDocument/2006/relationships/hyperlink" Target="http://www.ca2.uscourts.gov/decisions/isysquery/8c537d01-8133-4435-b4f6-e87aa585d8e4/1/doc/15-2181_opn_2.pdf" TargetMode="External"/><Relationship Id="rId1264" Type="http://schemas.openxmlformats.org/officeDocument/2006/relationships/hyperlink" Target="http://www.nycourts.gov/courts/AD2/Handdowns/2020/Decisions/D63333.pdf" TargetMode="External"/><Relationship Id="rId1471" Type="http://schemas.openxmlformats.org/officeDocument/2006/relationships/hyperlink" Target="https://journalstar.com/news/local/crime-and-courts/female-firefighter-s-discrimination-case-against-the-city-of-lincoln/article_97cf8ac8-bb20-5343-8e10-3faf315b0dd8.html" TargetMode="External"/><Relationship Id="rId1569" Type="http://schemas.openxmlformats.org/officeDocument/2006/relationships/hyperlink" Target="https://public.fastcase.com/J%2FJP6pdidelsXxEE4k%2BLMk9lGZyD2KG1SaKKnXCNSDrJ6FT2zCg0RErRpvbDUp%2FnT1MfNEdoSlzLl4b4xQ1JtBz9n9NoggrYwpv0z6IMwm8%3D" TargetMode="External"/><Relationship Id="rId2108" Type="http://schemas.openxmlformats.org/officeDocument/2006/relationships/hyperlink" Target="https://casetext.com/case/kuhler-v-phi-health-llc" TargetMode="External"/><Relationship Id="rId2315" Type="http://schemas.openxmlformats.org/officeDocument/2006/relationships/hyperlink" Target="https://casetext.com/case/county-of-sacramento-v-lewis" TargetMode="External"/><Relationship Id="rId2522" Type="http://schemas.openxmlformats.org/officeDocument/2006/relationships/hyperlink" Target="https://www.wci360.com/update-workers-comp-coverage-for-firefighters/" TargetMode="External"/><Relationship Id="rId701" Type="http://schemas.openxmlformats.org/officeDocument/2006/relationships/hyperlink" Target="https://casetext.com/case/quinn-v-the-bd-of-trs-of-fire-dept-of-city-of-ny-pension-fund" TargetMode="External"/><Relationship Id="rId939" Type="http://schemas.openxmlformats.org/officeDocument/2006/relationships/hyperlink" Target="https://www.ems1.com/ems-products/ambulance-safety/articles/6-lifesaving-seat-belt-tips-for-emts-and-paramedics-Xz0h9ek4lqN37Hmc/" TargetMode="External"/><Relationship Id="rId1124" Type="http://schemas.openxmlformats.org/officeDocument/2006/relationships/hyperlink" Target="https://law.justia.com/cases/pennsylvania/commonwealth-court/2023/1040-c-d-2021.html" TargetMode="External"/><Relationship Id="rId1331" Type="http://schemas.openxmlformats.org/officeDocument/2006/relationships/hyperlink" Target="https://www.courts.ri.gov/Courts/SupremeCourt/SupremeOpinions/16-170.pdf" TargetMode="External"/><Relationship Id="rId1776" Type="http://schemas.openxmlformats.org/officeDocument/2006/relationships/hyperlink" Target="https://www.dol.gov/sites/dolgov/files/WHD/legacy/files/2008_05_23_08NA_FLSA.pdf" TargetMode="External"/><Relationship Id="rId1983" Type="http://schemas.openxmlformats.org/officeDocument/2006/relationships/hyperlink" Target="https://scholar.google.com/scholar_case?case=8759932085982657853&amp;q=Pennsylvania+%22overdose+response%22&amp;hl=en&amp;as_sdt=6,36&amp;as_ylo=2020" TargetMode="External"/><Relationship Id="rId2827" Type="http://schemas.openxmlformats.org/officeDocument/2006/relationships/hyperlink" Target="https://cases.justia.com/new-hampshire/supreme-court/2025-2024-0097.pdf?ts=1742996506" TargetMode="External"/><Relationship Id="rId68" Type="http://schemas.openxmlformats.org/officeDocument/2006/relationships/hyperlink" Target="https://cases.justia.com/federal/appellate-courts/ca7/24-3163/24-3163-2025-07-22.pdf?ts=1753214416" TargetMode="External"/><Relationship Id="rId1429" Type="http://schemas.openxmlformats.org/officeDocument/2006/relationships/hyperlink" Target="https://www.mass.gov/doc/miltimore-boutin-and-kennedy-v-westfield-fire-commission-52121/download" TargetMode="External"/><Relationship Id="rId1636" Type="http://schemas.openxmlformats.org/officeDocument/2006/relationships/hyperlink" Target="https://cases.justia.com/federal/district-courts/maryland/mddce/1:2024cv03580/573207/56/0.pdf?ts=1777474810" TargetMode="External"/><Relationship Id="rId1843" Type="http://schemas.openxmlformats.org/officeDocument/2006/relationships/hyperlink" Target="https://www.leagle.com/decision/infdco20210518900" TargetMode="External"/><Relationship Id="rId1703" Type="http://schemas.openxmlformats.org/officeDocument/2006/relationships/hyperlink" Target="https://www.iafc.org/docs/default-source/1vcos/vws_rrkit_nfpa-1582.pdf?sfvrsn=ca9b9f0d_2" TargetMode="External"/><Relationship Id="rId1910" Type="http://schemas.openxmlformats.org/officeDocument/2006/relationships/hyperlink" Target="https://cases.justia.com/louisiana/first-circuit-court-of-appeal/2026-2025cw0332.pdf?ts=1776975731" TargetMode="External"/><Relationship Id="rId284" Type="http://schemas.openxmlformats.org/officeDocument/2006/relationships/hyperlink" Target="http://codes.ohio.gov/orc/102.01" TargetMode="External"/><Relationship Id="rId491" Type="http://schemas.openxmlformats.org/officeDocument/2006/relationships/hyperlink" Target="https://casetext.com/case/brady-v-village-of-malverne" TargetMode="External"/><Relationship Id="rId2172" Type="http://schemas.openxmlformats.org/officeDocument/2006/relationships/hyperlink" Target="https://public3.pagefreezer.com/browse/HHS.gov/31-12-2020T08:51/https://www.hhs.gov/about/news/2019/12/30/ambulance-company-pays-65000-settle-allegations-longstanding-hipaa-noncompliance.html" TargetMode="External"/><Relationship Id="rId144" Type="http://schemas.openxmlformats.org/officeDocument/2006/relationships/hyperlink" Target="https://www.reformer.com/local-news/vermont-supreme-court-rejects-rv-housing-appeal-in-brattleboro/article_1aa8b844-48f7-11ef-b1d5-5784c0449d3d.html" TargetMode="External"/><Relationship Id="rId589" Type="http://schemas.openxmlformats.org/officeDocument/2006/relationships/hyperlink" Target="https://law.justia.com/cases/new-york/other-courts/2019/2019-ny-slip-op-51525-u.html" TargetMode="External"/><Relationship Id="rId796" Type="http://schemas.openxmlformats.org/officeDocument/2006/relationships/hyperlink" Target="https://www.supremecourt.gov/opinions/20pdf/19-438_j4el.pdf" TargetMode="External"/><Relationship Id="rId2477" Type="http://schemas.openxmlformats.org/officeDocument/2006/relationships/hyperlink" Target="https://codes.ohio.gov/ohio-revised-code/section-5122.10/9-17-2014" TargetMode="External"/><Relationship Id="rId2684" Type="http://schemas.openxmlformats.org/officeDocument/2006/relationships/hyperlink" Target="https://public.fastcase.com/J%2FJP6pdidelsXxEE4k%2BLMrj3s4T1D9o6YeH1P6QHRjfPwtPh7UBJw6%2FlyLsxvHVQo4RL4odtX24b6W6EIP3%2BuhoyWwf2ZSyK36dgjdjOjEg%3D" TargetMode="External"/><Relationship Id="rId351" Type="http://schemas.openxmlformats.org/officeDocument/2006/relationships/hyperlink" Target="https://www.apnews.com/50ced4152dc74df1975a925e4fa29038" TargetMode="External"/><Relationship Id="rId449" Type="http://schemas.openxmlformats.org/officeDocument/2006/relationships/hyperlink" Target="https://www.supremecourt.ohio.gov/rod/docs/pdf/8/2024/2024-Ohio-5317.pdf" TargetMode="External"/><Relationship Id="rId656" Type="http://schemas.openxmlformats.org/officeDocument/2006/relationships/hyperlink" Target="https://edition.cnn.com/2025/11/22/politics/judges-block-trump-cutting-grants-cities-counties-hnk" TargetMode="External"/><Relationship Id="rId863" Type="http://schemas.openxmlformats.org/officeDocument/2006/relationships/hyperlink" Target="https://caselaw.findlaw.com/court/crt-app-sec-dis-cal-div-fiv/117326152.html" TargetMode="External"/><Relationship Id="rId1079" Type="http://schemas.openxmlformats.org/officeDocument/2006/relationships/hyperlink" Target="https://cases.justia.com/missouri/court-of-appeals/2025-wd87111.pdf?ts=1739982610" TargetMode="External"/><Relationship Id="rId1286" Type="http://schemas.openxmlformats.org/officeDocument/2006/relationships/hyperlink" Target="https://public.fastcase.com/Wl%2B2t%2BeVuI35%2FN70vAMFZnbY8dI3hkArUDoxTqO4WI%2Fa6TeM7CmZuz1%2Ftkv0oKJ0" TargetMode="External"/><Relationship Id="rId1493" Type="http://schemas.openxmlformats.org/officeDocument/2006/relationships/hyperlink" Target="https://cases.justia.com/federal/appellate-courts/ca7/24-3262/24-3262-2026-06-08.pdf?ts=1780948846" TargetMode="External"/><Relationship Id="rId2032" Type="http://schemas.openxmlformats.org/officeDocument/2006/relationships/hyperlink" Target="https://www.youtube.com/watch?v=_LFgzOE_WU8" TargetMode="External"/><Relationship Id="rId2337" Type="http://schemas.openxmlformats.org/officeDocument/2006/relationships/hyperlink" Target="https://www.exploregeorgia.org/city/sapelo-island" TargetMode="External"/><Relationship Id="rId2544" Type="http://schemas.openxmlformats.org/officeDocument/2006/relationships/hyperlink" Target="https://public.fastcase.com/" TargetMode="External"/><Relationship Id="rId2891" Type="http://schemas.openxmlformats.org/officeDocument/2006/relationships/hyperlink" Target="https://perb.delaware.gov/wp-content/uploads/sites/127/2021/07/2020-0765-Order-of-reversal-and-remand-6-28-21-website.pdf" TargetMode="External"/><Relationship Id="rId211" Type="http://schemas.openxmlformats.org/officeDocument/2006/relationships/hyperlink" Target="https://law.justia.com/cases/kentucky/court-of-appeals/2022/2022-ca-0258-mr.html" TargetMode="External"/><Relationship Id="rId309" Type="http://schemas.openxmlformats.org/officeDocument/2006/relationships/hyperlink" Target="https://www.rcfp.org/resources/anti-slapp-laws/" TargetMode="External"/><Relationship Id="rId516" Type="http://schemas.openxmlformats.org/officeDocument/2006/relationships/hyperlink" Target="https://www.whsv.com/content/news/West-Virginia-firefighter-killed-in-crash-while-responding-to-fire-566946181.html" TargetMode="External"/><Relationship Id="rId1146" Type="http://schemas.openxmlformats.org/officeDocument/2006/relationships/hyperlink" Target="https://law.justia.com/cases/south-carolina/court-of-appeals/2022/2022-up-437.html" TargetMode="External"/><Relationship Id="rId1798" Type="http://schemas.openxmlformats.org/officeDocument/2006/relationships/hyperlink" Target="https://www.dol.gov/whd/state/state.htm" TargetMode="External"/><Relationship Id="rId2751" Type="http://schemas.openxmlformats.org/officeDocument/2006/relationships/hyperlink" Target="http://codes.ohio.gov/orc/2933.52" TargetMode="External"/><Relationship Id="rId2849" Type="http://schemas.openxmlformats.org/officeDocument/2006/relationships/hyperlink" Target="https://www.courtnewsohio.gov/cases/2023/SCO/0829/220988.asp" TargetMode="External"/><Relationship Id="rId723" Type="http://schemas.openxmlformats.org/officeDocument/2006/relationships/hyperlink" Target="https://casetext.com/case/chairnoff-v-islamic-republic-of-iran-in-re-terrorist-attacks" TargetMode="External"/><Relationship Id="rId930" Type="http://schemas.openxmlformats.org/officeDocument/2006/relationships/hyperlink" Target="http://www.westvalleyfire.com/default.asp?pageid=188&amp;deptid=1" TargetMode="External"/><Relationship Id="rId1006" Type="http://schemas.openxmlformats.org/officeDocument/2006/relationships/hyperlink" Target="https://public.fastcase.com/Wl%2B2t%2BeVuI35%2FN70vAMFZpcMKjA7NXtV8NizS7yUss6ITpHR1n8JduscQQ47RvF2" TargetMode="External"/><Relationship Id="rId1353" Type="http://schemas.openxmlformats.org/officeDocument/2006/relationships/hyperlink" Target="https://cases.justia.com/california/court-of-appeal/2025-b327196.pdf?ts=1748039442" TargetMode="External"/><Relationship Id="rId1560" Type="http://schemas.openxmlformats.org/officeDocument/2006/relationships/hyperlink" Target="https://public.fastcase.com/J%2FJP6pdidelsXxEE4k%2BLMgHzbJp7ohVf6eJnqqVRZsR3ljYGLWqzA%2BaNrEJEjuoSNSzJxXmSxLQZTPvgqQmcEiF1aE%2BspvM2CCoAx4ikJzY%3D?utm_medium=email&amp;_hsmi=226712652&amp;_hsenc=p2ANqtz-8P0uzvemqlc89p8NGs_MEabF92WO0Yw0J6IjilR3LUZDOGdMMkuiwHYzQhEyPy65nnWBVskQbx-uRxwGqC5jWNg9aYuA&amp;utm_content=226712652&amp;utm_source=hs_email" TargetMode="External"/><Relationship Id="rId1658" Type="http://schemas.openxmlformats.org/officeDocument/2006/relationships/hyperlink" Target="https://www.njcourts.gov/system/files/court-opinions/2024/a0448-23.pdf" TargetMode="External"/><Relationship Id="rId1865" Type="http://schemas.openxmlformats.org/officeDocument/2006/relationships/hyperlink" Target="https://www.federalregister.gov/documents/2019/12/16/2019-26447/regular-rate-under-the-fair-labor-standards-act" TargetMode="External"/><Relationship Id="rId2404" Type="http://schemas.openxmlformats.org/officeDocument/2006/relationships/hyperlink" Target="https://www.legislature.ohio.gov/legislation/legislation-summary?id=GA132-SB-220" TargetMode="External"/><Relationship Id="rId2611" Type="http://schemas.openxmlformats.org/officeDocument/2006/relationships/hyperlink" Target="https://law.justia.com/cases/new-york/appellate-division-third-department/2024/cv-23-1185.html" TargetMode="External"/><Relationship Id="rId2709" Type="http://schemas.openxmlformats.org/officeDocument/2006/relationships/hyperlink" Target="https://www.nj.gov/csc/about/meetings/decisions/pdf/2020/4-15-20/A-004%204-15-20.pdf" TargetMode="External"/><Relationship Id="rId1213" Type="http://schemas.openxmlformats.org/officeDocument/2006/relationships/hyperlink" Target="https://www.courant.com/news/connecticut/hc-xpm-2002-03-02-0203020027-story.html" TargetMode="External"/><Relationship Id="rId1420" Type="http://schemas.openxmlformats.org/officeDocument/2006/relationships/hyperlink" Target="https://www.mass.gov/doc/blanchette-tracy-v-city-of-methuen-111821/download" TargetMode="External"/><Relationship Id="rId1518" Type="http://schemas.openxmlformats.org/officeDocument/2006/relationships/hyperlink" Target="https://public.fastcase.com/jaEE2PXzRXmZ99jOLMt1Ig73AWbHngoMRgpe4nLWTO53aGFBbi44KCyxbclUQNrRtdkO5InHzTjZEyqBZ0TTu4M3XLXcJtKtBwk6Y3SN%2BfM%3D?utm_medium=email&amp;_hsenc=p2ANqtz--YVrLxgHNVQCg2RIMQiS4XSu1REbqHDD3q7IV_og8sZIryoVLFG1HLWpJaCKB-X4Qy5JqtbBdGIwkTCURiibvlDX5J7A&amp;_hsmi=226712652&amp;utm_content=226712652&amp;utm_source=hs_email" TargetMode="External"/><Relationship Id="rId2916" Type="http://schemas.openxmlformats.org/officeDocument/2006/relationships/hyperlink" Target="https://ethics.ohio.gov/education/newsletters/VOE_25Q3.pdf" TargetMode="External"/><Relationship Id="rId1725" Type="http://schemas.openxmlformats.org/officeDocument/2006/relationships/hyperlink" Target="https://law.resource.org/pub/us/case/reporter/F3/002/2.F3d.1112.92-8306.html" TargetMode="External"/><Relationship Id="rId1932" Type="http://schemas.openxmlformats.org/officeDocument/2006/relationships/hyperlink" Target="https://casetext.com/statute/montana-code/title-39-labor/chapter-31-collective-bargaining-for-public-employees/part-4-unfair-labor-practices/section-39-31-406-hearing-on-complaint-findings-order" TargetMode="External"/><Relationship Id="rId17" Type="http://schemas.openxmlformats.org/officeDocument/2006/relationships/hyperlink" Target="https://doi.org/10.7945/0dwx-fc52" TargetMode="External"/><Relationship Id="rId2194" Type="http://schemas.openxmlformats.org/officeDocument/2006/relationships/hyperlink" Target="https://public.fastcase.com/ZZhmr5v9wN%2FXOe5IsQ%2FqD1tuyppLBnLrMmR86JNFVAlEsCewO4n%2BqmcnLV2ysm6tZCnkIxWDhw4CT9a2YbHZsY59KqRUUsvnj3oq0k4kZUY%3D?utm_medium=email&amp;_hsmi=226712652&amp;_hsenc=p2ANqtz-_TDFfv4pLQcLfqFCn8pFSxh77smp5fK7rovyeiHf7hqXQSyFbPSdIcgszVq5PNSPeSOT64f2E-JPGn2x6-fH_4dd4mvg&amp;utm_content=226712652&amp;utm_source=hs_email" TargetMode="External"/><Relationship Id="rId166" Type="http://schemas.openxmlformats.org/officeDocument/2006/relationships/hyperlink" Target="https://casetext.com/case/people-v-hailey-43" TargetMode="External"/><Relationship Id="rId373" Type="http://schemas.openxmlformats.org/officeDocument/2006/relationships/hyperlink" Target="http://www.pacourts.us/assets/opinions/Commonwealth/out/380md17_6-12-18.pdf" TargetMode="External"/><Relationship Id="rId580" Type="http://schemas.openxmlformats.org/officeDocument/2006/relationships/hyperlink" Target="https://www.newsday.com/long-island/crime/west-hempstead-man-menaced-fire-volunteer-with-gun-police-say-1.12068135" TargetMode="External"/><Relationship Id="rId2054" Type="http://schemas.openxmlformats.org/officeDocument/2006/relationships/hyperlink" Target="https://cases.justia.com/illinois/court-of-appeals-fifth-appellate-district/2025-5-24-0729-0.pdf?ts=1764692248" TargetMode="External"/><Relationship Id="rId2261" Type="http://schemas.openxmlformats.org/officeDocument/2006/relationships/hyperlink" Target="https://public.fastcase.com/waZtJvSA54UAurM2rmIZzwN7i243%2F%2BStZpHYDBkc8sGpJscx%2FQQ27pdU9Jjrp4oC%2BDoaG82WuBlPphdis3f1N3UPtlVqun2jEuCWxYyqQWw%3D" TargetMode="External"/><Relationship Id="rId2499" Type="http://schemas.openxmlformats.org/officeDocument/2006/relationships/hyperlink" Target="https://gemm.site/2022/02/25/an-off-duty-cop-murdered-his-ex-girlfriend-the-california-highway-patrol-ignored-the-red-flags/" TargetMode="External"/><Relationship Id="rId1" Type="http://schemas.openxmlformats.org/officeDocument/2006/relationships/customXml" Target="../customXml/item1.xml"/><Relationship Id="rId233" Type="http://schemas.openxmlformats.org/officeDocument/2006/relationships/hyperlink" Target="https://www.supremecourt.gov/opinions/21pdf/21a240_d18e.pdf" TargetMode="External"/><Relationship Id="rId440" Type="http://schemas.openxmlformats.org/officeDocument/2006/relationships/hyperlink" Target="https://www.courts.ms.gov/images/Opinions/CO182132.pdf" TargetMode="External"/><Relationship Id="rId678" Type="http://schemas.openxmlformats.org/officeDocument/2006/relationships/hyperlink" Target="https://www.govinfo.gov/content/pkg/USCOURTS-cofc-1_23-cv-00383/pdf/USCOURTS-cofc-1_23-cv-00383-0.pdf" TargetMode="External"/><Relationship Id="rId885" Type="http://schemas.openxmlformats.org/officeDocument/2006/relationships/hyperlink" Target="https://cases.justia.com/federal/district-courts/kansas/ksdce/6:2022cv01032/140026/96/0.pdf?ts=1694273736" TargetMode="External"/><Relationship Id="rId1070" Type="http://schemas.openxmlformats.org/officeDocument/2006/relationships/hyperlink" Target="https://caselaw.findlaw.com/court/ny-supreme-court/117196656.html" TargetMode="External"/><Relationship Id="rId2121" Type="http://schemas.openxmlformats.org/officeDocument/2006/relationships/hyperlink" Target="https://www.dccourts.gov/sites/default/files/2024-05/Austin%20v.%20US%2022-CF-0085.pdf" TargetMode="External"/><Relationship Id="rId2359" Type="http://schemas.openxmlformats.org/officeDocument/2006/relationships/hyperlink" Target="https://njcourts.gov/attorneys/assets/opinions/appellate/published/a0117-19.pdf?c=WwB" TargetMode="External"/><Relationship Id="rId2566" Type="http://schemas.openxmlformats.org/officeDocument/2006/relationships/hyperlink" Target="https://codes.ohio.gov/ohio-revised-code/section-117.103" TargetMode="External"/><Relationship Id="rId2773" Type="http://schemas.openxmlformats.org/officeDocument/2006/relationships/hyperlink" Target="https://www.oregonlaws.org/ors/243.650" TargetMode="External"/><Relationship Id="rId300" Type="http://schemas.openxmlformats.org/officeDocument/2006/relationships/hyperlink" Target="http://codes.ohio.gov/oac/123:1-46-02" TargetMode="External"/><Relationship Id="rId538" Type="http://schemas.openxmlformats.org/officeDocument/2006/relationships/hyperlink" Target="https://law.justia.com/cases/indiana/court-of-appeals/2022/21a-dn-01379.html" TargetMode="External"/><Relationship Id="rId745" Type="http://schemas.openxmlformats.org/officeDocument/2006/relationships/hyperlink" Target="https://www.supremecourt.gov/opinions/20pdf/19-1108_8n5a.pdf" TargetMode="External"/><Relationship Id="rId952" Type="http://schemas.openxmlformats.org/officeDocument/2006/relationships/hyperlink" Target="https://cases.justia.com/louisiana/third-circuit-court-of-appeal/2025-ca-0025-0267.pdf?ts=1761751417" TargetMode="External"/><Relationship Id="rId1168" Type="http://schemas.openxmlformats.org/officeDocument/2006/relationships/hyperlink" Target="https://casetext.com/case/barry-v-the-city-of-chicago" TargetMode="External"/><Relationship Id="rId1375" Type="http://schemas.openxmlformats.org/officeDocument/2006/relationships/hyperlink" Target="https://www.supremecourt.gov/opinions/23pdf/22-193_q86b.pdf" TargetMode="External"/><Relationship Id="rId1582" Type="http://schemas.openxmlformats.org/officeDocument/2006/relationships/hyperlink" Target="https://public.fastcase.com/9SKwsfNqTc6OieYDhNMyMxPWhQYM2NMtpEG66qqzAJJdyGEqs31WbWeslV8WX8U%2F%2BJtRUyjyQVulPfpekvhmAP57MQmPUZf7QhfjsZd5wHk%3D" TargetMode="External"/><Relationship Id="rId2219" Type="http://schemas.openxmlformats.org/officeDocument/2006/relationships/hyperlink" Target="https://www.law.cornell.edu/definitions/uscode.php?width=840&amp;height=800&amp;iframe=true&amp;def_id=42-USC-303628742-1009355614&amp;term_occur=999&amp;term_src=" TargetMode="External"/><Relationship Id="rId2426" Type="http://schemas.openxmlformats.org/officeDocument/2006/relationships/hyperlink" Target="https://cdn.ca9.uscourts.gov/datastore/memoranda/2025/04/30/24-3195.pdf" TargetMode="External"/><Relationship Id="rId2633" Type="http://schemas.openxmlformats.org/officeDocument/2006/relationships/hyperlink" Target="https://casetext.com/case/zahn-v-kenner-mun-fire-police-civil-serv-bd" TargetMode="External"/><Relationship Id="rId81" Type="http://schemas.openxmlformats.org/officeDocument/2006/relationships/hyperlink" Target="https://www.cdcr.ca.gov/capital-punishment/" TargetMode="External"/><Relationship Id="rId605" Type="http://schemas.openxmlformats.org/officeDocument/2006/relationships/hyperlink" Target="http://www.pacourts.us/assets/opinions/Supreme/out/opinion%20announcing%20judgment%20of%20the%20court%20%20reversedremanded%20%2010373870143091493.pdf" TargetMode="External"/><Relationship Id="rId812" Type="http://schemas.openxmlformats.org/officeDocument/2006/relationships/hyperlink" Target="https://www.supremecourt.gov/opinions/19pdf/19-161_g314.pdf" TargetMode="External"/><Relationship Id="rId1028" Type="http://schemas.openxmlformats.org/officeDocument/2006/relationships/hyperlink" Target="https://public.fastcase.com/Jhe1Qn%2BmJndQYQU6z%2FeNm5P3wAYrkQ98kdLlymoB1tnqkW6UeoR3EEofjHZbRGV948hVvIxCPDS9tpBfFEcmqGTc7kKGvATMMrEucF8thr8%3D?utm_medium=email&amp;_hsenc=p2ANqtz-8jIFUULBvOMnFFZTJscGA3kv4aE6mAq6MuaEb49Zar3qBrOzpASOYVP1MlSDLvHBN7GmUVAcOXynKq8kt28mHQPYsJ8w&amp;_hsmi=226712652&amp;utm_content=226712652&amp;utm_source=hs_email" TargetMode="External"/><Relationship Id="rId1235" Type="http://schemas.openxmlformats.org/officeDocument/2006/relationships/hyperlink" Target="https://casetext.com/case/heneghan-v-city-of-evanston" TargetMode="External"/><Relationship Id="rId1442" Type="http://schemas.openxmlformats.org/officeDocument/2006/relationships/hyperlink" Target="https://www.uticaod.com/news/20190925/ex-utica-firefighter-found-guilty-on-all-charges" TargetMode="External"/><Relationship Id="rId1887" Type="http://schemas.openxmlformats.org/officeDocument/2006/relationships/hyperlink" Target="https://cases.justia.com/georgia/court-of-appeals/2019-a19a1310.pdf?ts=1568657244" TargetMode="External"/><Relationship Id="rId2840" Type="http://schemas.openxmlformats.org/officeDocument/2006/relationships/hyperlink" Target="https://www.vindy.com/news/local-news/2024/03/citys-request-to-dismiss-fire-union-case-falters/" TargetMode="External"/><Relationship Id="rId2938" Type="http://schemas.openxmlformats.org/officeDocument/2006/relationships/hyperlink" Target="https://www.dispatch.com/story/news/courts/2023/11/30/florida-supreme-court-rules-that-marsys-law-privacy-doesnt-apply-to-police-officers/71758347007/?utm_source=columbusdispatch-dailybriefing-strada&amp;utm_medium=email&amp;utm_campaign=dailybriefing-headline-stack&amp;utm_term=Content%20List%20-%20Stacking%20-%20optimized&amp;utm_content=ncod-columbus-nletter65" TargetMode="External"/><Relationship Id="rId1302" Type="http://schemas.openxmlformats.org/officeDocument/2006/relationships/hyperlink" Target="https://law.justia.com/cases/new-york/other-courts/2019/2019-ny-slip-op-50647-u.html" TargetMode="External"/><Relationship Id="rId1747" Type="http://schemas.openxmlformats.org/officeDocument/2006/relationships/hyperlink" Target="http://chicagoareafire.com/blog/tag/argonne-national-laboratory-fire-department/" TargetMode="External"/><Relationship Id="rId1954" Type="http://schemas.openxmlformats.org/officeDocument/2006/relationships/hyperlink" Target="https://www.2dca.org/content/download/849844/opinion/211477_DC13_09232022_081840_i.pdf" TargetMode="External"/><Relationship Id="rId2700" Type="http://schemas.openxmlformats.org/officeDocument/2006/relationships/hyperlink" Target="https://www.supremecourt.ohio.gov/rod/docs/pdf/0/2009/2009-ohio-2597.pdf" TargetMode="External"/><Relationship Id="rId39" Type="http://schemas.openxmlformats.org/officeDocument/2006/relationships/hyperlink" Target="https://public.fastcase.com/Jhe1Qn%2BmJndQYQU6z%2FeNm57E189vmSMp%2BOS67ay8wFWitKPcCGY4GMdxJS93bY4IOZ1rR%2BpqLAwnmO1MhhKsFw8mOzyCAgo2oZ0ZZPsNViU%3D?utm_medium=email&amp;_hsenc=p2ANqtz-_RDDEsF8WYWrAIUyd_V4g0U3Z9WIVpc4wUXBmJG03XH_ukvjIDW01jf2KlbNNNJy_jYwJIbAOIzBm1vMJk5QjVjhiSog&amp;_hsmi=226712652&amp;utm_content=226712652&amp;utm_source=hs_email" TargetMode="External"/><Relationship Id="rId1607" Type="http://schemas.openxmlformats.org/officeDocument/2006/relationships/hyperlink" Target="https://casetext.com/case/threat-v-city-of-cleveland" TargetMode="External"/><Relationship Id="rId1814" Type="http://schemas.openxmlformats.org/officeDocument/2006/relationships/hyperlink" Target="https://cases.justia.com/federal/appellate-courts/ca6/22-3101/22-3101-2023-05-19.pdf?ts=1684526463" TargetMode="External"/><Relationship Id="rId188" Type="http://schemas.openxmlformats.org/officeDocument/2006/relationships/hyperlink" Target="https://www.justice.gov/opa/pr/false-claims-act-settlements-and-judgments-exceed-2-billion-fiscal-year-2022" TargetMode="External"/><Relationship Id="rId395" Type="http://schemas.openxmlformats.org/officeDocument/2006/relationships/hyperlink" Target="https://www.newsbreak.com/news-12-2283883/4553774051867-today-is-the-fifth-anniversary-of-a-rockland-county-fire-that-killed-two-including-a-local-firefighter" TargetMode="External"/><Relationship Id="rId2076" Type="http://schemas.openxmlformats.org/officeDocument/2006/relationships/hyperlink" Target="https://cases.justia.com/west-virginia/intermediate-court-of-appeals/2025-24-ica-364.pdf?ts=1749239242" TargetMode="External"/><Relationship Id="rId2283" Type="http://schemas.openxmlformats.org/officeDocument/2006/relationships/hyperlink" Target="https://media.ca11.uscourts.gov/opinions/unpub/files/201814119.pdf" TargetMode="External"/><Relationship Id="rId2490" Type="http://schemas.openxmlformats.org/officeDocument/2006/relationships/hyperlink" Target="https://public.fastcase.com/J%2FJP6pdidelsXxEE4k%2BLMmppr1xeX1%2Bm2bW38%2FPoc%2BjXR15UXAVR8dC2RoWWa4H5Xq9pVObZCpSmCaBhyWr74I1EN1To2hIbHKD6%2F8UayPI%3D" TargetMode="External"/><Relationship Id="rId2588" Type="http://schemas.openxmlformats.org/officeDocument/2006/relationships/hyperlink" Target="https://www.wvxu.org/politics/2025-08-27/michael-washington-wrongful-termination-lawsuit-trial" TargetMode="External"/><Relationship Id="rId255" Type="http://schemas.openxmlformats.org/officeDocument/2006/relationships/hyperlink" Target="https://www.supremecourt.gov/DocketPDF/20/20A169/181359/20210610165940894_20A169%20Amicus%20Mot.pdf" TargetMode="External"/><Relationship Id="rId462" Type="http://schemas.openxmlformats.org/officeDocument/2006/relationships/hyperlink" Target="https://www.firehero.org/fallen-firefighter/charles-e-morton/" TargetMode="External"/><Relationship Id="rId1092" Type="http://schemas.openxmlformats.org/officeDocument/2006/relationships/hyperlink" Target="https://www.pacourts.us/assets/opinions/Commonwealth/out/1382CD22_10-10-24.pdf?cb=1" TargetMode="External"/><Relationship Id="rId1397" Type="http://schemas.openxmlformats.org/officeDocument/2006/relationships/hyperlink" Target="https://casetext.com/case/united-states-v-townvill-of-harrison" TargetMode="External"/><Relationship Id="rId2143" Type="http://schemas.openxmlformats.org/officeDocument/2006/relationships/hyperlink" Target="https://www.ems1.com/lawsuit/articles/suit-claims-utah-providers-fatally-injected-teen-with-large-ketamine-dose-after-car-crash-nkmBexayJBAx5TCo/" TargetMode="External"/><Relationship Id="rId2350" Type="http://schemas.openxmlformats.org/officeDocument/2006/relationships/hyperlink" Target="https://law.justia.com/cases/texas/first-court-of-appeals/2020/01-19-00255-cv.html" TargetMode="External"/><Relationship Id="rId2795" Type="http://schemas.openxmlformats.org/officeDocument/2006/relationships/hyperlink" Target="https://cases.justia.com/federal/appellate-courts/ca5/17-40754/17-40754-2018-08-31.pdf?ts=1535736678" TargetMode="External"/><Relationship Id="rId115" Type="http://schemas.openxmlformats.org/officeDocument/2006/relationships/hyperlink" Target="https://cases.justia.com/minnesota/court-of-appeals/2024-a23-1836.pdf?ts=1726855674" TargetMode="External"/><Relationship Id="rId322" Type="http://schemas.openxmlformats.org/officeDocument/2006/relationships/hyperlink" Target="https://www.law.cornell.edu/supct/html/92-102.ZO.html" TargetMode="External"/><Relationship Id="rId767" Type="http://schemas.openxmlformats.org/officeDocument/2006/relationships/hyperlink" Target="https://www.supremecourt.gov/opinions/20pdf/20-297_4g25.pdf" TargetMode="External"/><Relationship Id="rId974" Type="http://schemas.openxmlformats.org/officeDocument/2006/relationships/hyperlink" Target="https://cases.justia.com/michigan/court-of-appeals-unpublished/2023-361624.pdf?ts=1700661618" TargetMode="External"/><Relationship Id="rId2003" Type="http://schemas.openxmlformats.org/officeDocument/2006/relationships/hyperlink" Target="https://cdn.ca9.uscourts.gov/datastore/memoranda/2026/07/10/25-3863.pdf" TargetMode="External"/><Relationship Id="rId2210" Type="http://schemas.openxmlformats.org/officeDocument/2006/relationships/hyperlink" Target="https://codes.ohio.gov/ohio-revised-code/section-2745.01" TargetMode="External"/><Relationship Id="rId2448" Type="http://schemas.openxmlformats.org/officeDocument/2006/relationships/hyperlink" Target="https://www.tncourts.gov/sites/default/files/OpinionsPDFVersion/Majority%20Opinion%20-%20E2022-01151-SC-R11-CV.pdf" TargetMode="External"/><Relationship Id="rId2655" Type="http://schemas.openxmlformats.org/officeDocument/2006/relationships/hyperlink" Target="https://www.supremecourt.gov/opinions/22pdf/21-476_c185.pdf" TargetMode="External"/><Relationship Id="rId2862" Type="http://schemas.openxmlformats.org/officeDocument/2006/relationships/hyperlink" Target="https://www.jacksonlewis.com/sites/default/files/docs/IGTBoardDecision.pdf" TargetMode="External"/><Relationship Id="rId627" Type="http://schemas.openxmlformats.org/officeDocument/2006/relationships/hyperlink" Target="https://www.kltv.com/2026/07/19/federal-judge-bars-trump-administration-using-obscure-clause-make-huge-funding-cuts/" TargetMode="External"/><Relationship Id="rId834" Type="http://schemas.openxmlformats.org/officeDocument/2006/relationships/hyperlink" Target="https://d.docs.live.net/bd9b2eaf6053242e/AppData/Local/Microsoft/Windows/INetCache/Content.Outlook/YEHISW7P/331CR865.pdf" TargetMode="External"/><Relationship Id="rId1257" Type="http://schemas.openxmlformats.org/officeDocument/2006/relationships/hyperlink" Target="https://scholar.google.com/scholar_case?case=5871380462060471996&amp;q=Association+of+Cleveland+Fire+Fighters+IAFF+Local+93+v.+City+of+Cleveland,&amp;hl=en&amp;as_sdt=6,36&amp;as_vis=1" TargetMode="External"/><Relationship Id="rId1464" Type="http://schemas.openxmlformats.org/officeDocument/2006/relationships/hyperlink" Target="https://cases.justia.com/federal/district-courts/pennsylvania/paedce/2:2017cv05388/537208/50/0.pdf?ts=1562761562" TargetMode="External"/><Relationship Id="rId1671" Type="http://schemas.openxmlformats.org/officeDocument/2006/relationships/hyperlink" Target="https://cases.justia.com/federal/appellate-courts/ca6/23-3459/23-3459-2024-03-18.pdf?ts=1710795630" TargetMode="External"/><Relationship Id="rId2308" Type="http://schemas.openxmlformats.org/officeDocument/2006/relationships/hyperlink" Target="https://www.ca10.uscourts.gov/opinions/19/19-2166.pdf" TargetMode="External"/><Relationship Id="rId2515" Type="http://schemas.openxmlformats.org/officeDocument/2006/relationships/hyperlink" Target="https://public.fastcase.com/Wl%2B2t%2BeVuI35%2FN70vAMFZhAr68AdbratCNmy2dcHSKg4lqOPhLPvbyL5oFysv%2FPr" TargetMode="External"/><Relationship Id="rId2722" Type="http://schemas.openxmlformats.org/officeDocument/2006/relationships/hyperlink" Target="https://www.leagle.com/decision/infdco20210518900" TargetMode="External"/><Relationship Id="rId901" Type="http://schemas.openxmlformats.org/officeDocument/2006/relationships/hyperlink" Target="https://www.newscentermaine.com/article/news/local/portland/judge-dismisses-wrongful-death-lawsuit-against-city-all-but-one-portland-police-officer-portland-mental-health/97-9cb6ef72-b53c-4614-9d60-2360cbcd1702" TargetMode="External"/><Relationship Id="rId1117" Type="http://schemas.openxmlformats.org/officeDocument/2006/relationships/hyperlink" Target="https://casetext.com/case/n-douglas-cnty-fire-ems-v-shannon-in-re-shannon" TargetMode="External"/><Relationship Id="rId1324" Type="http://schemas.openxmlformats.org/officeDocument/2006/relationships/hyperlink" Target="https://www.firstrespondercenter.org/cancer/toolsresources/presumptive-legislation-firefighter-cancer-state/" TargetMode="External"/><Relationship Id="rId1531" Type="http://schemas.openxmlformats.org/officeDocument/2006/relationships/hyperlink" Target="https://news.bloomberglaw.com/us-law-week/black-ex-firefighter-barred-from-bringing-racial-bias-lawsuit" TargetMode="External"/><Relationship Id="rId1769" Type="http://schemas.openxmlformats.org/officeDocument/2006/relationships/hyperlink" Target="https://www.dol.gov/sites/dolgov/files/WHD/opinion-letters/FLSA/FLSA-2025-04.pdf" TargetMode="External"/><Relationship Id="rId1976" Type="http://schemas.openxmlformats.org/officeDocument/2006/relationships/hyperlink" Target="https://www.fireengineering.com/leadership/marijuana-in-the-fire-service-up-in-smoke-part-ii/" TargetMode="External"/><Relationship Id="rId30" Type="http://schemas.openxmlformats.org/officeDocument/2006/relationships/hyperlink" Target="https://www.casemine.com/judgement/us/6a2b9a31eaa021ae7251d64e" TargetMode="External"/><Relationship Id="rId1629" Type="http://schemas.openxmlformats.org/officeDocument/2006/relationships/hyperlink" Target="https://d.docs.live.net/bd9b2eaf6053242e/AppData/Roaming/Microsoft/AppData/Local/Microsoft/Windows/INetCache/IE/XO250S7T/Phillips-FDNY.pdf" TargetMode="External"/><Relationship Id="rId1836" Type="http://schemas.openxmlformats.org/officeDocument/2006/relationships/hyperlink" Target="https://www.law.cornell.edu/topn/black-connery_fair_labor_standards_act" TargetMode="External"/><Relationship Id="rId1903" Type="http://schemas.openxmlformats.org/officeDocument/2006/relationships/hyperlink" Target="https://cases.justia.com/federal/appellate-courts/ca6/14-5053/14-5053-2014-11-14.pdf?ts=1415984433" TargetMode="External"/><Relationship Id="rId2098" Type="http://schemas.openxmlformats.org/officeDocument/2006/relationships/hyperlink" Target="https://cafc.uscourts.gov/opinions-orders/24-1104.OPINION.12-9-2024_2432337.pdf" TargetMode="External"/><Relationship Id="rId277" Type="http://schemas.openxmlformats.org/officeDocument/2006/relationships/hyperlink" Target="https://ethics.ohio.gov/education/elearning/ecourses.html" TargetMode="External"/><Relationship Id="rId484" Type="http://schemas.openxmlformats.org/officeDocument/2006/relationships/hyperlink" Target="https://casetext.com/case/hering-v-rural-mut-ins-co" TargetMode="External"/><Relationship Id="rId2165" Type="http://schemas.openxmlformats.org/officeDocument/2006/relationships/hyperlink" Target="https://casetext.com/case/kenn-v-eascare-llc-1" TargetMode="External"/><Relationship Id="rId137" Type="http://schemas.openxmlformats.org/officeDocument/2006/relationships/hyperlink" Target="https://law.justia.com/cases/new-york/other-courts/2024/2024-ny-slip-op-51092-u.html" TargetMode="External"/><Relationship Id="rId344" Type="http://schemas.openxmlformats.org/officeDocument/2006/relationships/hyperlink" Target="https://fisheldowney.com/union-dues-deductions-tips-public-employers/" TargetMode="External"/><Relationship Id="rId691" Type="http://schemas.openxmlformats.org/officeDocument/2006/relationships/hyperlink" Target="https://ww3.ca2.uscourts.gov/decisions/isysquery/c68b6681-8ae3-446b-8305-2841de8ec224/1/doc/22-2745_opn.pdf" TargetMode="External"/><Relationship Id="rId789" Type="http://schemas.openxmlformats.org/officeDocument/2006/relationships/hyperlink" Target="https://www.law.cornell.edu/definitions/uscode.php?width=840&amp;height=800&amp;iframe=true&amp;def_id=8-USC-92903111-1485256781&amp;term_occur=999&amp;term_src=" TargetMode="External"/><Relationship Id="rId996" Type="http://schemas.openxmlformats.org/officeDocument/2006/relationships/hyperlink" Target="https://www.fireengineering.com/health-safety/tx-firefighter-dies-after-being-struck/" TargetMode="External"/><Relationship Id="rId2025" Type="http://schemas.openxmlformats.org/officeDocument/2006/relationships/hyperlink" Target="https://www.studicata.com/summaries/court-of-appeals-of-ohio/holycross-v-state-board-of-emergency-med-2005-oor7s1/" TargetMode="External"/><Relationship Id="rId2372" Type="http://schemas.openxmlformats.org/officeDocument/2006/relationships/hyperlink" Target="https://public.fastcase.com/Wl%2B2t%2BeVuI35%2FN70vAMFZqKFItzKKJAOGXNCbwUcRCkzx%2FKqq12PgRkvPC2fj024" TargetMode="External"/><Relationship Id="rId2677" Type="http://schemas.openxmlformats.org/officeDocument/2006/relationships/hyperlink" Target="https://law.justia.com/cases/federal/appellate-courts/ca11/22-10132/22-10132-2022-11-22.html" TargetMode="External"/><Relationship Id="rId2884" Type="http://schemas.openxmlformats.org/officeDocument/2006/relationships/hyperlink" Target="https://www.supremecourt.ohio.gov/rod/docs/pdf/8/2022/2022-Ohio-824.pdf" TargetMode="External"/><Relationship Id="rId551" Type="http://schemas.openxmlformats.org/officeDocument/2006/relationships/hyperlink" Target="https://casetext.com/case/taylor-v-bd-of-trs-of-firefighters-ret-plan-of-st-louis" TargetMode="External"/><Relationship Id="rId649" Type="http://schemas.openxmlformats.org/officeDocument/2006/relationships/hyperlink" Target="https://www.hstoday.us/us-national-guard/column-supreme-court-blocks-national-guard-deployment-to-chicago-restricts-presidential-power-under-title-10/" TargetMode="External"/><Relationship Id="rId856" Type="http://schemas.openxmlformats.org/officeDocument/2006/relationships/hyperlink" Target="https://cases.justia.com/federal/district-courts/federal-claims/cofce/1:2020cv00368/40658/107/0.pdf?ts=1757681305" TargetMode="External"/><Relationship Id="rId1181" Type="http://schemas.openxmlformats.org/officeDocument/2006/relationships/hyperlink" Target="https://cases.justia.com/montana/supreme-court/2021-da-20-0594.pdf?ts=1634679339" TargetMode="External"/><Relationship Id="rId1279" Type="http://schemas.openxmlformats.org/officeDocument/2006/relationships/hyperlink" Target="http://codes.ohio.gov/orc/gp9.481" TargetMode="External"/><Relationship Id="rId1486" Type="http://schemas.openxmlformats.org/officeDocument/2006/relationships/hyperlink" Target="https://cases.justia.com/federal/appellate-courts/ca6/25-3700/25-3700-2026-06-15.pdf?ts=1781553648" TargetMode="External"/><Relationship Id="rId2232" Type="http://schemas.openxmlformats.org/officeDocument/2006/relationships/hyperlink" Target="https://law.justia.com/cases/texas/first-court-of-appeals/2022/01-21-00422-cv.html" TargetMode="External"/><Relationship Id="rId2537" Type="http://schemas.openxmlformats.org/officeDocument/2006/relationships/hyperlink" Target="https://cases.justia.com/federal/district-courts/virginia/vawdce/6:2024cv00051/132979/41/0.pdf?ts=1779390167" TargetMode="External"/><Relationship Id="rId204" Type="http://schemas.openxmlformats.org/officeDocument/2006/relationships/hyperlink" Target="https://www.npr.org/2022/06/13/1104570419/ohio-dewine-guns-teachers" TargetMode="External"/><Relationship Id="rId411" Type="http://schemas.openxmlformats.org/officeDocument/2006/relationships/hyperlink" Target="https://www.hbsslaw.com/press/pfas-firefighter-turnout-gear/butte-montana-files-class-action-lawsuit-fighting-pfas-in-firefighter-turnout-gear-to-aid-those-facing-costly-replacements" TargetMode="External"/><Relationship Id="rId509" Type="http://schemas.openxmlformats.org/officeDocument/2006/relationships/hyperlink" Target="https://www.supremecourt.ohio.gov/rod/docs/pdf/8/2023/2023-Ohio-3884.pdf" TargetMode="External"/><Relationship Id="rId1041" Type="http://schemas.openxmlformats.org/officeDocument/2006/relationships/hyperlink" Target="https://www.op-f.org/files/mgdrop.pdf" TargetMode="External"/><Relationship Id="rId1139" Type="http://schemas.openxmlformats.org/officeDocument/2006/relationships/hyperlink" Target="https://codes.ohio.gov/ohio-revised-code/section-4123.68" TargetMode="External"/><Relationship Id="rId1346" Type="http://schemas.openxmlformats.org/officeDocument/2006/relationships/hyperlink" Target="https://public.fastcase.com/jaEE2PXzRXmZ99jOLMt1Ith2qIaSeggCoLDpY1bED9tguFhWPV6Zo6qPtk3o63Z4?utm_medium=email&amp;_hsenc=p2ANqtz-_k3-Q52FXjJQN9NeOgWdHNDXhdU7FtsE1Qhtjng3_RTOztkpkvOWiDZxLNU-kndNaS-F1RaBe3KZirW8vwSyzK6BF9eQ&amp;_hsmi=226712652&amp;utm_content=226712652&amp;utm_source=hs_email" TargetMode="External"/><Relationship Id="rId1693" Type="http://schemas.openxmlformats.org/officeDocument/2006/relationships/hyperlink" Target="https://public.fastcase.com/J%2FJP6pdidelsXxEE4k%2BLMiteJGWvZUfwvvNNihi30%2B3WDxUCsaXKSaCpKvBtAgs2vLiA9OVuPhL49GE7aECM8IIU6kbJlailTpTCbBqx2w4%3D?utm_medium=email&amp;_hsmi=226712652&amp;_hsenc=p2ANqtz---SEadQ3HE9lUqxxQW5cr7Vybxx0tHPHEXMPHfSJcPHzXu-t4fnJYchJuK4CNgA9WWUPQ6Jxn6Xff3x8kPfGcAZk9K8A&amp;utm_content=226712652&amp;utm_source=hs_email" TargetMode="External"/><Relationship Id="rId1998" Type="http://schemas.openxmlformats.org/officeDocument/2006/relationships/hyperlink" Target="https://www.njcourts.gov/system/files/court-opinions/2026/a1374-24.pdf" TargetMode="External"/><Relationship Id="rId2744" Type="http://schemas.openxmlformats.org/officeDocument/2006/relationships/hyperlink" Target="http://www.tncourts.gov/sites/default/files/ronald_ledford_et_al._v._john_ben_sneed_et_al..pdf" TargetMode="External"/><Relationship Id="rId2951" Type="http://schemas.openxmlformats.org/officeDocument/2006/relationships/hyperlink" Target="https://urldefense.com/v3/__https:/www.congress.gov/bill/117th-congress/house-bill/2936?r=5&amp;s=1__;!!Bg5easoyC-OII2vlEqY8mTBrtW-N4OJKAQ!emPJ4la1tXumEvgbQHWWkqIJXSqd8F6eECBBP8LY2twTexz4LKxtEOPGOo9tKXCW3_TJ6neddA$" TargetMode="External"/><Relationship Id="rId716" Type="http://schemas.openxmlformats.org/officeDocument/2006/relationships/hyperlink" Target="https://ago.mo.gov/docs/default-source/press-releases/missouri-v-biden-ruling.pdf" TargetMode="External"/><Relationship Id="rId923" Type="http://schemas.openxmlformats.org/officeDocument/2006/relationships/hyperlink" Target="https://www.hamiltoncountyohio.gov/UserFiles/Servers/Server_3788196/File/releases/2020/C-200030_12162020.pdf" TargetMode="External"/><Relationship Id="rId1553" Type="http://schemas.openxmlformats.org/officeDocument/2006/relationships/hyperlink" Target="https://www.supremecourt.gov/opinions/22pdf/20-1199_hgdj.pdf" TargetMode="External"/><Relationship Id="rId1760" Type="http://schemas.openxmlformats.org/officeDocument/2006/relationships/hyperlink" Target="https://www.dol.gov/agencies/whd/fact-sheets/17c-overtime-administrative" TargetMode="External"/><Relationship Id="rId1858" Type="http://schemas.openxmlformats.org/officeDocument/2006/relationships/hyperlink" Target="https://public.fastcase.com/Wl%2B2t%2BeVuI35%2FN70vAMFZpdjKXDmRY5LJSAOUJ86zVs5waUL1YS3yBNtSKE8F5Gl" TargetMode="External"/><Relationship Id="rId2604" Type="http://schemas.openxmlformats.org/officeDocument/2006/relationships/hyperlink" Target="https://www.coloradopolitics.com/courts/federal-judge-partially-dismisses-ex-florissant-fire-chiefs-wrongful-termination-claims/article_7d67c6be-898a-11ee-b97e-7732fa191308.html" TargetMode="External"/><Relationship Id="rId2811" Type="http://schemas.openxmlformats.org/officeDocument/2006/relationships/hyperlink" Target="https://www.casemine.com/judgement/us/6a367934174bb89f9fdb2ff2" TargetMode="External"/><Relationship Id="rId52" Type="http://schemas.openxmlformats.org/officeDocument/2006/relationships/hyperlink" Target="https://cases.justia.com/pennsylvania/supreme-court/2025-15-wap-2024.pdf?ts=1763559881" TargetMode="External"/><Relationship Id="rId1206" Type="http://schemas.openxmlformats.org/officeDocument/2006/relationships/hyperlink" Target="https://codes.ohio.gov/ohio-revised-code/section-4123.57" TargetMode="External"/><Relationship Id="rId1413" Type="http://schemas.openxmlformats.org/officeDocument/2006/relationships/hyperlink" Target="https://www.congress.gov/bill/117th-congress/house-bill/4445/text" TargetMode="External"/><Relationship Id="rId1620" Type="http://schemas.openxmlformats.org/officeDocument/2006/relationships/hyperlink" Target="https://cases.justia.com/federal/appellate-courts/ca11/19-10138/19-10138-2019-10-04.pdf?ts=1570197627" TargetMode="External"/><Relationship Id="rId2909" Type="http://schemas.openxmlformats.org/officeDocument/2006/relationships/hyperlink" Target="https://www.op-f.org/files/mgdrop.pdf" TargetMode="External"/><Relationship Id="rId1718" Type="http://schemas.openxmlformats.org/officeDocument/2006/relationships/hyperlink" Target="https://public.fastcase.com/Wl%2B2t%2BeVuI35%2FN70vAMFZhmmbLojT%2FvpqyhULz0IXhVnEOLZ3Ga%2BMf6ctA4VMmca" TargetMode="External"/><Relationship Id="rId1925" Type="http://schemas.openxmlformats.org/officeDocument/2006/relationships/hyperlink" Target="https://cases.justia.com/washington/court-of-appeals-division-i/2025-83853-9.pdf?ts=1737494121" TargetMode="External"/><Relationship Id="rId299" Type="http://schemas.openxmlformats.org/officeDocument/2006/relationships/hyperlink" Target="http://codes.ohio.gov/orc/2921.43" TargetMode="External"/><Relationship Id="rId2187" Type="http://schemas.openxmlformats.org/officeDocument/2006/relationships/hyperlink" Target="https://www.foxnews.com/us/court-rules-first-responders-wrongfully-declared-michigan-woman-dead-cannot-be-sued" TargetMode="External"/><Relationship Id="rId2394" Type="http://schemas.openxmlformats.org/officeDocument/2006/relationships/hyperlink" Target="https://www.emsworld.com/article/12091816/language-translation-in-emergencies" TargetMode="External"/><Relationship Id="rId159" Type="http://schemas.openxmlformats.org/officeDocument/2006/relationships/hyperlink" Target="https://cases.justia.com/louisiana/fifth-circuit-court-of-appeal/2023-23-ka-234.pdf?ts=1703704652" TargetMode="External"/><Relationship Id="rId366" Type="http://schemas.openxmlformats.org/officeDocument/2006/relationships/hyperlink" Target="https://cases.justia.com/federal/appellate-courts/ca5/17-40754/17-40754-2018-08-31.pdf?ts=1535736678" TargetMode="External"/><Relationship Id="rId573" Type="http://schemas.openxmlformats.org/officeDocument/2006/relationships/hyperlink" Target="http://publicdocs.courts.mi.gov/OPINIONS/FINAL/COA/20200416_C346057_26_346057OPNORDER.PDF" TargetMode="External"/><Relationship Id="rId780" Type="http://schemas.openxmlformats.org/officeDocument/2006/relationships/hyperlink" Target="https://www.law.cornell.edu/definitions/uscode.php?width=840&amp;height=800&amp;iframe=true&amp;def_id=8-USC-92903111-1485256781&amp;term_occur=999&amp;term_src=" TargetMode="External"/><Relationship Id="rId2047" Type="http://schemas.openxmlformats.org/officeDocument/2006/relationships/hyperlink" Target="https://law.justia.com/cases/new-york/appellate-division-fourth-department/2025/816-1-ca-24-01193.html" TargetMode="External"/><Relationship Id="rId2254" Type="http://schemas.openxmlformats.org/officeDocument/2006/relationships/hyperlink" Target="https://www.leagle.com/decision/infdco20220324d64" TargetMode="External"/><Relationship Id="rId2461" Type="http://schemas.openxmlformats.org/officeDocument/2006/relationships/hyperlink" Target="https://cases.justia.com/arizona/court-of-appeals-division-one-unpublished/2024-1-ca-ic-23-0013.pdf?ts=1727375455" TargetMode="External"/><Relationship Id="rId2699" Type="http://schemas.openxmlformats.org/officeDocument/2006/relationships/hyperlink" Target="https://www.firehouse.com/careers-education/news/21251649/judge-springfield-ma-city-must-enforce-residency-rules" TargetMode="External"/><Relationship Id="rId226" Type="http://schemas.openxmlformats.org/officeDocument/2006/relationships/hyperlink" Target="https://www.law.cornell.edu/supct/html/06-5754.ZS.html" TargetMode="External"/><Relationship Id="rId433" Type="http://schemas.openxmlformats.org/officeDocument/2006/relationships/hyperlink" Target="https://www.supremecourt.gov/opinions/24pdf/23-1239_onjq.pdf" TargetMode="External"/><Relationship Id="rId878" Type="http://schemas.openxmlformats.org/officeDocument/2006/relationships/hyperlink" Target="https://www.supremecourt.gov/DocketPDF/23/23-1363/321368/20240801101848884_Baker%20v.%20City%20of%20McKinney_%20Texas%20-%20Amicus%20Brief%20in%20Support%20of%20Petitioner.pdf" TargetMode="External"/><Relationship Id="rId1063" Type="http://schemas.openxmlformats.org/officeDocument/2006/relationships/hyperlink" Target="https://www.leg.state.nv.us/App/NELIS/REL/82nd2023/Bill/9844/Overview" TargetMode="External"/><Relationship Id="rId1270" Type="http://schemas.openxmlformats.org/officeDocument/2006/relationships/hyperlink" Target="https://www.firstrespondercenter.org/cancer/toolsresources/presumptive-legislation-firefighter-cancer-state/" TargetMode="External"/><Relationship Id="rId2114" Type="http://schemas.openxmlformats.org/officeDocument/2006/relationships/hyperlink" Target="https://revisor.mo.gov/main/OneSection.aspx?section=579.015" TargetMode="External"/><Relationship Id="rId2559" Type="http://schemas.openxmlformats.org/officeDocument/2006/relationships/hyperlink" Target="https://www.youtube.com/watch?v=NQ_XX2qp684" TargetMode="External"/><Relationship Id="rId2766" Type="http://schemas.openxmlformats.org/officeDocument/2006/relationships/hyperlink" Target="https://cases.justia.com/federal/appellate-courts/ca9/18-16994/18-16994-2020-03-05.pdf?ts=1583442068" TargetMode="External"/><Relationship Id="rId640" Type="http://schemas.openxmlformats.org/officeDocument/2006/relationships/hyperlink" Target="https://www.pacourts.us/assets/opinions/Superior/out/J-S42019-25m%20-%20106685903347676413.pdf?cb=1" TargetMode="External"/><Relationship Id="rId738" Type="http://schemas.openxmlformats.org/officeDocument/2006/relationships/hyperlink" Target="https://www.supremecourt.gov/opinions/21pdf/21-954_7l48.pdf" TargetMode="External"/><Relationship Id="rId945" Type="http://schemas.openxmlformats.org/officeDocument/2006/relationships/hyperlink" Target="https://cases.justia.com/texas/fourteenth-court-of-appeals/2026-14-25-00078-cv.pdf?ts=1770741693" TargetMode="External"/><Relationship Id="rId1368" Type="http://schemas.openxmlformats.org/officeDocument/2006/relationships/hyperlink" Target="https://www.supremecourt.gov/DocketPDF/23/23-1039/335322/20241216192608136_23-1039_Ames_Amicus_Brief_iso_Vacatur.pdf" TargetMode="External"/><Relationship Id="rId1575" Type="http://schemas.openxmlformats.org/officeDocument/2006/relationships/hyperlink" Target="http://media.ca7.uscourts.gov/cgi-bin/rssExec.pl?Submit=Display&amp;Path=Y2022/D07-12/C:21-2784:J:PerCuriam:aut:T:npDp:N:2902357:S:0" TargetMode="External"/><Relationship Id="rId1782" Type="http://schemas.openxmlformats.org/officeDocument/2006/relationships/hyperlink" Target="https://www.supremecourt.gov/DocketPDF/23/23-217/326778/20240924155125392_2024.09.24%20EMD%20v%20Carrera%20-%20Brief%20for%20Respondents.pdf" TargetMode="External"/><Relationship Id="rId2321" Type="http://schemas.openxmlformats.org/officeDocument/2006/relationships/hyperlink" Target="https://flsenate.gov/Laws/Statutes/2011/112.182" TargetMode="External"/><Relationship Id="rId2419" Type="http://schemas.openxmlformats.org/officeDocument/2006/relationships/hyperlink" Target="https://cases.justia.com/ohio/second-district-court-of-appeals/2018-27685.pdf?ts=1526679598" TargetMode="External"/><Relationship Id="rId2626" Type="http://schemas.openxmlformats.org/officeDocument/2006/relationships/hyperlink" Target="https://indepthnh.org/2023/11/14/rep-jon-stones-records-as-a-cop-are-humiliating-lawyer-tells-nh-supreme-court/" TargetMode="External"/><Relationship Id="rId2833" Type="http://schemas.openxmlformats.org/officeDocument/2006/relationships/hyperlink" Target="https://law.justia.com/cases/new-york/appellate-division-fourth-department/2024/647-ca-23-01601.html" TargetMode="External"/><Relationship Id="rId74" Type="http://schemas.openxmlformats.org/officeDocument/2006/relationships/hyperlink" Target="https://cases.justia.com/florida/third-district-court-of-appeal/2025-3d23-1625.pdf?ts=1750259354" TargetMode="External"/><Relationship Id="rId500" Type="http://schemas.openxmlformats.org/officeDocument/2006/relationships/hyperlink" Target="https://casetext.com/case/vann-v-city-of-san-francisco" TargetMode="External"/><Relationship Id="rId805" Type="http://schemas.openxmlformats.org/officeDocument/2006/relationships/hyperlink" Target="https://casetext.com/case/united-states-v-al-azhari-2" TargetMode="External"/><Relationship Id="rId1130" Type="http://schemas.openxmlformats.org/officeDocument/2006/relationships/hyperlink" Target="https://casetext.com/case/dasilva-v-esper-1" TargetMode="External"/><Relationship Id="rId1228" Type="http://schemas.openxmlformats.org/officeDocument/2006/relationships/hyperlink" Target="https://casetext.com/case/malone-v-workers-comp-appeal-bd" TargetMode="External"/><Relationship Id="rId1435" Type="http://schemas.openxmlformats.org/officeDocument/2006/relationships/hyperlink" Target="https://scholar.google.com/scholar_case?case=10119606247499891126&amp;q=Rachel+MOSBY+v.+CITY+OF+BYRON,+GEORGIA,&amp;hl=en&amp;as_sdt=6,36" TargetMode="External"/><Relationship Id="rId1642" Type="http://schemas.openxmlformats.org/officeDocument/2006/relationships/hyperlink" Target="https://www.eeoc.gov/laws/guidance/ada-questions-and-answers" TargetMode="External"/><Relationship Id="rId1947" Type="http://schemas.openxmlformats.org/officeDocument/2006/relationships/hyperlink" Target="https://www.nytimes.com/2022/03/03/health/sacklers-purdue-oxycontin-settlement.html" TargetMode="External"/><Relationship Id="rId2900" Type="http://schemas.openxmlformats.org/officeDocument/2006/relationships/hyperlink" Target="https://www.firehouse.com/careers-education/news/21056124/watertownofficials-wants-to-take-firefighters-union-to-new-york-supreme-court" TargetMode="External"/><Relationship Id="rId1502" Type="http://schemas.openxmlformats.org/officeDocument/2006/relationships/hyperlink" Target="https://cases.justia.com/federal/district-courts/kansas/ksdce/2:2023cv02422/149254/113/0.pdf?ts=1756979784" TargetMode="External"/><Relationship Id="rId1807" Type="http://schemas.openxmlformats.org/officeDocument/2006/relationships/hyperlink" Target="https://public.fastcase.com/ZZhmr5v9wN%2FXOe5IsQ%2FqD6h7oDGGEaQcvjGxXhP3wdarcxH65lzIz0WHpJ1071%2Fz6z3xzTYinPsWmKTOA4ARnDbKp9ycJPmOcwYRqStxafA%3D?utm_medium=email&amp;_hsmi=226712652&amp;_hsenc=p2ANqtz-8kFbodM_yCEg50hGETq70Ew_rKe4r85tHeNoAUvaEorCUJWcIF_sSd3vzx7ykWUIs8vIjN-q4A8Aji78d1bSF2B0Xuvw&amp;utm_content=226712652&amp;utm_source=hs_email" TargetMode="External"/><Relationship Id="rId290" Type="http://schemas.openxmlformats.org/officeDocument/2006/relationships/hyperlink" Target="https://www.mwl-law.com/wp-content/uploads/2018/02/SPOLIATION-OF-EVIDENCE-CHART.pdf" TargetMode="External"/><Relationship Id="rId388" Type="http://schemas.openxmlformats.org/officeDocument/2006/relationships/hyperlink" Target="file:///C:/Users/lawre/Downloads/0182139.PDF" TargetMode="External"/><Relationship Id="rId2069" Type="http://schemas.openxmlformats.org/officeDocument/2006/relationships/hyperlink" Target="https://law.justia.com/cases/new-york/other-courts/2025/2025-ny-slip-op-51480-u.html" TargetMode="External"/><Relationship Id="rId150" Type="http://schemas.openxmlformats.org/officeDocument/2006/relationships/hyperlink" Target="https://www.washingtonexaminer.com/opinion/beltway-confidential/2771350/little-known-michigan-court-case-could-have-massive-constitutional-effects-across-the-nation/" TargetMode="External"/><Relationship Id="rId595" Type="http://schemas.openxmlformats.org/officeDocument/2006/relationships/hyperlink" Target="https://comped.net/opinions_recentdisp.php?ID=7270" TargetMode="External"/><Relationship Id="rId2276" Type="http://schemas.openxmlformats.org/officeDocument/2006/relationships/hyperlink" Target="https://codes.ohio.gov/ohio-revised-code/section-4511.19" TargetMode="External"/><Relationship Id="rId2483" Type="http://schemas.openxmlformats.org/officeDocument/2006/relationships/hyperlink" Target="https://law.justia.com/cases/louisiana/second-circuit-court-of-appeal/2023/54-841-ca.html" TargetMode="External"/><Relationship Id="rId2690" Type="http://schemas.openxmlformats.org/officeDocument/2006/relationships/hyperlink" Target="https://iprospectcheck.com/ohio-background-check/" TargetMode="External"/><Relationship Id="rId248" Type="http://schemas.openxmlformats.org/officeDocument/2006/relationships/hyperlink" Target="https://www.leagle.com/decision/infdco20211108549" TargetMode="External"/><Relationship Id="rId455" Type="http://schemas.openxmlformats.org/officeDocument/2006/relationships/hyperlink" Target="https://codes.findlaw.com/fl/title-x-public-officers-employees-and-records/fl-st-sect-112-182/" TargetMode="External"/><Relationship Id="rId662" Type="http://schemas.openxmlformats.org/officeDocument/2006/relationships/hyperlink" Target="https://cases.justia.com/pennsylvania/superior-court/2025-1252-eda-2024.pdf?ts=1758220361" TargetMode="External"/><Relationship Id="rId1085" Type="http://schemas.openxmlformats.org/officeDocument/2006/relationships/hyperlink" Target="https://cases.justia.com/pennsylvania/commonwealth-court/2024-541-and-589-c-d-2022.pdf?ts=1735057731" TargetMode="External"/><Relationship Id="rId1292" Type="http://schemas.openxmlformats.org/officeDocument/2006/relationships/hyperlink" Target="https://law.justia.com/cases/new-york/other-courts/2019/2019-ny-slip-op-29363.html" TargetMode="External"/><Relationship Id="rId2136" Type="http://schemas.openxmlformats.org/officeDocument/2006/relationships/hyperlink" Target="https://casetext.com/case/newsome-v-inspira-health-network-inc" TargetMode="External"/><Relationship Id="rId2343" Type="http://schemas.openxmlformats.org/officeDocument/2006/relationships/hyperlink" Target="https://public.fastcase.com/Wl%2B2t%2BeVuI35%2FN70vAMFZoN7mlr4hHNtCTnayGEBC4RCM4jvijs5LLDyckRiAx%2Bw" TargetMode="External"/><Relationship Id="rId2550" Type="http://schemas.openxmlformats.org/officeDocument/2006/relationships/hyperlink" Target="https://cases.justia.com/texas/thirteenth-court-of-appeals/2026-13-24-00112-cv.pdf?ts=1770913029" TargetMode="External"/><Relationship Id="rId2788" Type="http://schemas.openxmlformats.org/officeDocument/2006/relationships/hyperlink" Target="http://www.iaff421.org/?zone=/unionactive/private_view_page.cfm&amp;page=Know20Your20Rights21" TargetMode="External"/><Relationship Id="rId108" Type="http://schemas.openxmlformats.org/officeDocument/2006/relationships/hyperlink" Target="https://public.fastcase.com/H1P9uiW3J20SFp%2BGCG%2BxLdyLNTd%2BNZHrq5Wsvr6dKQeFEDZwgsQrm3TmKDWH2%2B1z?utm_medium=email&amp;_hsenc=p2ANqtz--qDncIsqCSeahqkjvoaWhQNyG1yg2f5tRQPi1w8DS9NFdMbI3pDOffIzG2fuU_g9WmDOo8NJeLM9bCUVMHJsMZyGOdjg&amp;_hsmi=226712652&amp;utm_content=226712652&amp;utm_source=hs_email" TargetMode="External"/><Relationship Id="rId315" Type="http://schemas.openxmlformats.org/officeDocument/2006/relationships/hyperlink" Target="https://www.supremecourt.ohio.gov/rod/docs/pdf/9/2020/2020-Ohio-3158.pdf" TargetMode="External"/><Relationship Id="rId522" Type="http://schemas.openxmlformats.org/officeDocument/2006/relationships/hyperlink" Target="https://www.jacksonville.com/story/news/crime/2016/01/16/city-black-firefighters-group-disagree-over-ban-beards/15696316007/" TargetMode="External"/><Relationship Id="rId967" Type="http://schemas.openxmlformats.org/officeDocument/2006/relationships/hyperlink" Target="https://public.fastcase.com/H1P9uiW3J20SFp%2BGCG%2BxLdY6%2FSfit7cxFyw3bnS%2FOidOFypRHxHWNwsmGqo4fSQEV9JpTw1bCRB2JkBf6VgjErq%2BbrT9DkyICOjdjgBVHFs%3D?utm_medium=email&amp;_hsmi=226712652&amp;_hsenc=p2ANqtz-82_plk0g72fbRvFB8NjbgL3Ik8GBcsuuIrmbdbiUiPbF7Kb8UwG6VvxYNyc-qobM2A00y-E3aXbEp-pYTE9TR3ELyYBQ&amp;utm_content=226712652&amp;utm_source=hs_email" TargetMode="External"/><Relationship Id="rId1152" Type="http://schemas.openxmlformats.org/officeDocument/2006/relationships/hyperlink" Target="https://ilcourtsaudio.blob.core.windows.net/antilles-resources/resources/eba608df-6fa9-4d1a-8a11-f48abce29596/City%20of%20Springfield%20v.%20Illinois%20Workers'%20Compensation%20Comm'n,%202022%20IL%20App%20(4th)%20210604WC-U.pdf" TargetMode="External"/><Relationship Id="rId1597" Type="http://schemas.openxmlformats.org/officeDocument/2006/relationships/hyperlink" Target="https://casetext.com/case/saade-v-city-of-detroit-1" TargetMode="External"/><Relationship Id="rId2203" Type="http://schemas.openxmlformats.org/officeDocument/2006/relationships/hyperlink" Target="https://www.nyc.gov/assets/dcas/downloads/pdf/guidelines/faq-vaccine-mandate.pdf" TargetMode="External"/><Relationship Id="rId2410" Type="http://schemas.openxmlformats.org/officeDocument/2006/relationships/hyperlink" Target="https://www.leagle.com/decision/infco20180831084" TargetMode="External"/><Relationship Id="rId2648" Type="http://schemas.openxmlformats.org/officeDocument/2006/relationships/hyperlink" Target="https://law.justia.com/cases/federal/appellate-courts/ca5/22-40438/22-40438-2023-08-15.html" TargetMode="External"/><Relationship Id="rId2855" Type="http://schemas.openxmlformats.org/officeDocument/2006/relationships/hyperlink" Target="https://abc13.com/prop-b-update-houston-firefighter-pay-parity-texas-supreme-court-proposition-struck-down/13057363/" TargetMode="External"/><Relationship Id="rId96" Type="http://schemas.openxmlformats.org/officeDocument/2006/relationships/hyperlink" Target="https://www.supremecourt.gov/opinions/24pdf/24-656_ca7d.pdf" TargetMode="External"/><Relationship Id="rId827" Type="http://schemas.openxmlformats.org/officeDocument/2006/relationships/hyperlink" Target="https://www.foxnews.com/politics/doj-asks-supreme-court-to-allow-enforcement-of-trumps-immigration-asylum-restrictions" TargetMode="External"/><Relationship Id="rId1012" Type="http://schemas.openxmlformats.org/officeDocument/2006/relationships/hyperlink" Target="https://cases.justia.com/texas/fourteenth-court-of-appeals/2019-14-17-00811-cv.pdf?ts=1572351542" TargetMode="External"/><Relationship Id="rId1457" Type="http://schemas.openxmlformats.org/officeDocument/2006/relationships/hyperlink" Target="https://www.law.cornell.edu/uscode/text/29/207" TargetMode="External"/><Relationship Id="rId1664" Type="http://schemas.openxmlformats.org/officeDocument/2006/relationships/hyperlink" Target="https://www.scotusblog.com/case-files/cases/stanley-v-city-of-sanford-florida/" TargetMode="External"/><Relationship Id="rId1871" Type="http://schemas.openxmlformats.org/officeDocument/2006/relationships/hyperlink" Target="https://law.justia.com/cases/federal/appellate-courts/ca8/19-1414/19-1414-2020-08-17.html" TargetMode="External"/><Relationship Id="rId2508" Type="http://schemas.openxmlformats.org/officeDocument/2006/relationships/hyperlink" Target="https://dailyvoice.com/pennsylvania/chester/news/comfort-dogs-allowed-for-some-during-criminal-trials-pa-supreme-court-rules/816798/" TargetMode="External"/><Relationship Id="rId2715" Type="http://schemas.openxmlformats.org/officeDocument/2006/relationships/hyperlink" Target="https://public.fastcase.com/9SKwsfNqTc6OieYDhNMyM4E5bpqRXbc1vzIOBkY5d575kmIDNjPft14UGJ0ygjci" TargetMode="External"/><Relationship Id="rId2922" Type="http://schemas.openxmlformats.org/officeDocument/2006/relationships/hyperlink" Target="https://www.law.cornell.edu/definitions/index.php?width=840&amp;height=800&amp;iframe=true&amp;def_id=a1910d2b023f8b0308e18d82edf940f8&amp;term_occur=999&amp;term_src=Title:24:Subtitle:B:Chapter:II:Subchapter:I:Part:291:Subpart:F:291.530" TargetMode="External"/><Relationship Id="rId1317" Type="http://schemas.openxmlformats.org/officeDocument/2006/relationships/hyperlink" Target="https://cases.justia.com/federal/district-courts/louisiana/lawdce/5:2018cv00034/160852/18/0.pdf?ts=1532079100" TargetMode="External"/><Relationship Id="rId1524" Type="http://schemas.openxmlformats.org/officeDocument/2006/relationships/hyperlink" Target="https://apnews.com/article/dei-trump-executive-order-diversity-834a241a60ee92722ef2443b62572540" TargetMode="External"/><Relationship Id="rId1731" Type="http://schemas.openxmlformats.org/officeDocument/2006/relationships/hyperlink" Target="https://cases.justia.com/louisiana/fourth-circuit-court-of-appeal/2018-2018-ca-0507.pdf?ts=1542839104" TargetMode="External"/><Relationship Id="rId1969" Type="http://schemas.openxmlformats.org/officeDocument/2006/relationships/hyperlink" Target="https://www.fox2detroit.com/news/detroit-fire-chief-investigated-for-taking-department-car-to-bar" TargetMode="External"/><Relationship Id="rId23" Type="http://schemas.openxmlformats.org/officeDocument/2006/relationships/hyperlink" Target="https://cases.justia.com/kentucky/court-of-appeals/2026-2025-ca-0111-mr.pdf?ts=1784901906" TargetMode="External"/><Relationship Id="rId1829" Type="http://schemas.openxmlformats.org/officeDocument/2006/relationships/hyperlink" Target="https://public.fastcase.com/9SKwsfNqTc6OieYDhNMyM6wIjV%2FgrP6%2B9MDXlv1tVkNXweOaDt%2BbGPgPJ0OsLFYAPgMRGXfDo03cnu2EwM1JQQOl%2Bf0LG6cX5zSOobt1xqY%3D" TargetMode="External"/><Relationship Id="rId2298" Type="http://schemas.openxmlformats.org/officeDocument/2006/relationships/hyperlink" Target="https://casetext.com/case/brown-v-ohio-valley-health-servs-educ-corp" TargetMode="External"/><Relationship Id="rId172" Type="http://schemas.openxmlformats.org/officeDocument/2006/relationships/hyperlink" Target="https://casetext.com/case/united-states-v-weathington-3" TargetMode="External"/><Relationship Id="rId477" Type="http://schemas.openxmlformats.org/officeDocument/2006/relationships/hyperlink" Target="https://www.revisor.mn.gov/statutes/cite/604.06" TargetMode="External"/><Relationship Id="rId684" Type="http://schemas.openxmlformats.org/officeDocument/2006/relationships/hyperlink" Target="https://casetext.com/case/assn-of-cal-ins-cos-v-jones-8" TargetMode="External"/><Relationship Id="rId2060" Type="http://schemas.openxmlformats.org/officeDocument/2006/relationships/hyperlink" Target="https://www.njcourts.gov/system/files/court-opinions/2025/a0275-24.pdf" TargetMode="External"/><Relationship Id="rId2158" Type="http://schemas.openxmlformats.org/officeDocument/2006/relationships/hyperlink" Target="https://cases.justia.com/federal/district-courts/minnesota/mndce/0:2022cv00839/199889/89/0.pdf?ts=1714059506" TargetMode="External"/><Relationship Id="rId2365" Type="http://schemas.openxmlformats.org/officeDocument/2006/relationships/hyperlink" Target="https://njcourts.gov/attorneys/assets/opinions/appellate/published/a3846-18.pdf?c=Npo" TargetMode="External"/><Relationship Id="rId337" Type="http://schemas.openxmlformats.org/officeDocument/2006/relationships/hyperlink" Target="https://cases.justia.com/federal/appellate-courts/ca7/18-2926/18-2926-2019-07-15.pdf?ts=1563219019" TargetMode="External"/><Relationship Id="rId891" Type="http://schemas.openxmlformats.org/officeDocument/2006/relationships/hyperlink" Target="https://public.fastcase.com/J%2FJP6pdidelsXxEE4k%2BLMunJfhe1gfK2oI8CQbirV8GXkmoWfCiXuebhhRyeFmnHeojCURMbUHUM%2FZVW6TuThcVt2kPCx5ANtZZIjUvq4TI%3D?utm_medium=email&amp;_hsmi=226712652&amp;_hsenc=p2ANqtz-_4xSG7CmaPWZQuwsNXY4RTJcvgg4B9LMx8R4vNTvpvb0PqojZFKwGqm6HPbOxappi5A6b2YgFEujAqOwM5oeHjK0AsxA&amp;utm_content=226712652&amp;utm_source=hs_email" TargetMode="External"/><Relationship Id="rId989" Type="http://schemas.openxmlformats.org/officeDocument/2006/relationships/hyperlink" Target="https://codes.ohio.gov/ohio-revised-code/section-4511.991" TargetMode="External"/><Relationship Id="rId2018" Type="http://schemas.openxmlformats.org/officeDocument/2006/relationships/hyperlink" Target="https://law.justia.com/codes/tennessee/title-50/chapter-1/part-3/section-50-1-304/" TargetMode="External"/><Relationship Id="rId2572" Type="http://schemas.openxmlformats.org/officeDocument/2006/relationships/hyperlink" Target="https://cases.justia.com/california/court-of-appeal/2025-b327744.pdf?ts=1764194477" TargetMode="External"/><Relationship Id="rId2877" Type="http://schemas.openxmlformats.org/officeDocument/2006/relationships/hyperlink" Target="https://public.fastcase.com/waZtJvSA54UAurM2rmIZzyOaN7WzTWghSlgppuqvnsAjPkds9FfvjtUo5GbcF9G%2FNhiGhSGO5JepPmFj8bD%2B4C9gVbj%2FhO0NJpef3auh%2BAw%3D" TargetMode="External"/><Relationship Id="rId544" Type="http://schemas.openxmlformats.org/officeDocument/2006/relationships/hyperlink" Target="https://casetext.com/case/oneal-v-city-of-hutchinson" TargetMode="External"/><Relationship Id="rId751" Type="http://schemas.openxmlformats.org/officeDocument/2006/relationships/hyperlink" Target="https://casetext.com/case/elshinawy-v-united-states-1" TargetMode="External"/><Relationship Id="rId849" Type="http://schemas.openxmlformats.org/officeDocument/2006/relationships/hyperlink" Target="https://www.njcourts.gov/system/files/court-opinions/2026/a0803-24.pdf" TargetMode="External"/><Relationship Id="rId1174" Type="http://schemas.openxmlformats.org/officeDocument/2006/relationships/hyperlink" Target="https://codes.ohio.gov/ohio-revised-code/section-4123.68" TargetMode="External"/><Relationship Id="rId1381" Type="http://schemas.openxmlformats.org/officeDocument/2006/relationships/hyperlink" Target="https://codes.ohio.gov/ohio-revised-code/section-4112.022" TargetMode="External"/><Relationship Id="rId1479" Type="http://schemas.openxmlformats.org/officeDocument/2006/relationships/hyperlink" Target="https://www.eeoc.gov/laws/guidance/pregnancy_guidance.cfm" TargetMode="External"/><Relationship Id="rId1686" Type="http://schemas.openxmlformats.org/officeDocument/2006/relationships/hyperlink" Target="https://casetext.com/case/mccrea-v-dist-of-columbia-3" TargetMode="External"/><Relationship Id="rId2225" Type="http://schemas.openxmlformats.org/officeDocument/2006/relationships/hyperlink" Target="https://public.fastcase.com/J%2FJP6pdidelsXxEE4k%2BLMv5wihlcRVj4L9YHbnV6MVAF3KBJWQtSNgsG4EjgakbdHjeAvtzGQxxiofGv8pQP2WzdDBJrvHehgIHwsEqWl4I%3D?utm_medium=email&amp;_hsmi=226712652&amp;_hsenc=p2ANqtz-8bxe8uEVUAEFxEuakn9lUGLQUwlcgKmV3pJL4LaqF4K3hrnG0m_YdcBfrpGQgthbsaGFQPAZbt-ltRFFMr5oynBxpKXA&amp;utm_content=226712652&amp;utm_source=hs_email" TargetMode="External"/><Relationship Id="rId2432" Type="http://schemas.openxmlformats.org/officeDocument/2006/relationships/hyperlink" Target="https://caselaw.findlaw.com/ny-supreme-court-appellate-division/1893546.html" TargetMode="External"/><Relationship Id="rId404" Type="http://schemas.openxmlformats.org/officeDocument/2006/relationships/hyperlink" Target="https://cases.justia.com/federal/district-courts/maryland/mddce/1:2025cv00796/578117/19/0.pdf?ts=1771692701" TargetMode="External"/><Relationship Id="rId611" Type="http://schemas.openxmlformats.org/officeDocument/2006/relationships/hyperlink" Target="https://www.audiology.org/sites/default/files/audiologytoday/AT%2024.6%20-%20LOW.pdf" TargetMode="External"/><Relationship Id="rId1034" Type="http://schemas.openxmlformats.org/officeDocument/2006/relationships/hyperlink" Target="https://codes.ohio.gov/ohio-revised-code/section-109.578" TargetMode="External"/><Relationship Id="rId1241" Type="http://schemas.openxmlformats.org/officeDocument/2006/relationships/hyperlink" Target="https://public.fastcase.com/Wl%2B2t%2BeVuI35%2FN70vAMFZjoMXHbjadZDEq7kSjk%2BwtWPLJ9YZycRPzxEYilorv6v" TargetMode="External"/><Relationship Id="rId1339" Type="http://schemas.openxmlformats.org/officeDocument/2006/relationships/hyperlink" Target="https://cases.justia.com/federal/district-courts/connecticut/ctdce/3:2025cv00524/164327/45/0.pdf?ts=1773222843" TargetMode="External"/><Relationship Id="rId1893" Type="http://schemas.openxmlformats.org/officeDocument/2006/relationships/hyperlink" Target="http://41af3k34gprx4f6bg12df75i.wpengine.netdna-cdn.com/wp-content/uploads/sites/19/2019/04/Spokane-Valley-Fire-Department-v-IAFF-Local-3701-RULING.pdf" TargetMode="External"/><Relationship Id="rId2737" Type="http://schemas.openxmlformats.org/officeDocument/2006/relationships/hyperlink" Target="https://public.fastcase.com/Wl%2B2t%2BeVuI35%2FN70vAMFZiys29g9i6WW2vOdml2B4dJUoMj0gy8QWoByD0pzloLe" TargetMode="External"/><Relationship Id="rId2944" Type="http://schemas.openxmlformats.org/officeDocument/2006/relationships/hyperlink" Target="https://fisheldowney.com/new-changes-ohios-public-records-law-new-changes-ohios-public-records-law/" TargetMode="External"/><Relationship Id="rId709" Type="http://schemas.openxmlformats.org/officeDocument/2006/relationships/hyperlink" Target="https://www.kqed.org/news/11784042/inmates-saved-homes-in-the-kincade-fire-theyll-face-an-uphill-battle-getting-firefighting-jobs-after-release" TargetMode="External"/><Relationship Id="rId916" Type="http://schemas.openxmlformats.org/officeDocument/2006/relationships/hyperlink" Target="https://www.npr.org/2021/10/18/1047085626/supreme-court-police-qualified-immunity-cases" TargetMode="External"/><Relationship Id="rId1101" Type="http://schemas.openxmlformats.org/officeDocument/2006/relationships/hyperlink" Target="https://codes.ohio.gov/ohio-revised-code/section-4123.68" TargetMode="External"/><Relationship Id="rId1546" Type="http://schemas.openxmlformats.org/officeDocument/2006/relationships/hyperlink" Target="https://fedsoc.org/commentary/fedsoc-blog/lawsuits-challenge-law-firm-diversity-programs-as-racially-discriminatory" TargetMode="External"/><Relationship Id="rId1753" Type="http://schemas.openxmlformats.org/officeDocument/2006/relationships/hyperlink" Target="https://cases.justia.com/california/court-of-appeal/2026-f089576.pdf?ts=1776802194" TargetMode="External"/><Relationship Id="rId1960" Type="http://schemas.openxmlformats.org/officeDocument/2006/relationships/hyperlink" Target="https://k2radio.com/federal-appellate-court-upholds-former-casper-doctors-drug-conspiracy-verdict/" TargetMode="External"/><Relationship Id="rId2804" Type="http://schemas.openxmlformats.org/officeDocument/2006/relationships/hyperlink" Target="https://d.docs.live.net/bd9b2eaf6053242e/AppData/Roaming/Microsoft/AppData/Local/Microsoft/Windows/INetCache/IE/XO250S7T/01171801lmb.pdf" TargetMode="External"/><Relationship Id="rId45" Type="http://schemas.openxmlformats.org/officeDocument/2006/relationships/hyperlink" Target="https://www.njcourts.gov/system/files/court-opinions/2025/a_1_25.pdf" TargetMode="External"/><Relationship Id="rId1406" Type="http://schemas.openxmlformats.org/officeDocument/2006/relationships/hyperlink" Target="https://public.fastcase.com/J%2FJP6pdidelsXxEE4k%2BLMiptlpkB0gZD0zq9ZoOKNJuhacmaRfGRvhQDw8Dzjp093sUgUkI4CwYYkhqoix%2B0P6g4YOgoDnx2kMnRYwj%2FWdA%3D" TargetMode="External"/><Relationship Id="rId1613" Type="http://schemas.openxmlformats.org/officeDocument/2006/relationships/hyperlink" Target="http://www.ca5.uscourts.gov/opinions/pub/19/19-20294-CV0.pdf" TargetMode="External"/><Relationship Id="rId1820" Type="http://schemas.openxmlformats.org/officeDocument/2006/relationships/hyperlink" Target="https://law.justia.com/cases/federal/district-courts/california/casdce/3:2022cv00487/730899/28/" TargetMode="External"/><Relationship Id="rId194" Type="http://schemas.openxmlformats.org/officeDocument/2006/relationships/hyperlink" Target="https://www.cdc.gov/niosh/fire/pdfs/face201314.pdf" TargetMode="External"/><Relationship Id="rId1918" Type="http://schemas.openxmlformats.org/officeDocument/2006/relationships/hyperlink" Target="https://public.fastcase.com/jaEE2PXzRXmZ99jOLMt1It2Tjmgxo5hSPIplN9zr2RKL3xaZLK1Vh5eTa9w8Wk8pfXZv57sP%2BSheWcKHfFgy9Ah5Ev5ZnvIAKgdp6Yn%2FiQI%3D?utm_medium=email&amp;_hsenc=p2ANqtz-_xr08pWLevFeFI8Ge2XvipIP7qRBaDeRzA2aeNOeAMxf3drkc7WBb-blscAE4MgKHVvRlF4GyH0W6s2eAyYhQEv9ZP9w&amp;_hsmi=226712652&amp;utm_content=226712652&amp;utm_source=hs_email" TargetMode="External"/><Relationship Id="rId2082" Type="http://schemas.openxmlformats.org/officeDocument/2006/relationships/hyperlink" Target="https://cdn.ca9.uscourts.gov/datastore/memoranda/2025/04/30/24-3195.pdf" TargetMode="External"/><Relationship Id="rId261" Type="http://schemas.openxmlformats.org/officeDocument/2006/relationships/hyperlink" Target="http://www.pacourts.us/assets/opinions/Supreme/out/j-100-2020mo%20-%20104821740139246918.pdf" TargetMode="External"/><Relationship Id="rId499" Type="http://schemas.openxmlformats.org/officeDocument/2006/relationships/hyperlink" Target="https://molawyersmedia.com/2024/01/18/volunteer-firefighters-widow-wins-chance-for-higher-benefits/" TargetMode="External"/><Relationship Id="rId2387" Type="http://schemas.openxmlformats.org/officeDocument/2006/relationships/hyperlink" Target="https://www.courts.ca.gov/opinions/nonpub/F076225.PDF" TargetMode="External"/><Relationship Id="rId2594" Type="http://schemas.openxmlformats.org/officeDocument/2006/relationships/hyperlink" Target="https://courts.delaware.gov/Opinions/Download.aspx?id=381340" TargetMode="External"/><Relationship Id="rId359" Type="http://schemas.openxmlformats.org/officeDocument/2006/relationships/hyperlink" Target="https://cases.justia.com/kentucky/supreme-court/2018-2018-sc-000097-tg.pdf?ts=1542294839" TargetMode="External"/><Relationship Id="rId566" Type="http://schemas.openxmlformats.org/officeDocument/2006/relationships/hyperlink" Target="http://www.leg.state.fl.us/statutes/index.cfm?App_mode=Display_Statute&amp;Search_String=&amp;URL=0100-0199/0112/Sections/0112.182.html" TargetMode="External"/><Relationship Id="rId773" Type="http://schemas.openxmlformats.org/officeDocument/2006/relationships/hyperlink" Target="https://www.law.cornell.edu/definitions/uscode.php?width=840&amp;height=800&amp;iframe=true&amp;def_id=8-USC-92903111-1485256781&amp;term_occur=999&amp;term_src=" TargetMode="External"/><Relationship Id="rId1196" Type="http://schemas.openxmlformats.org/officeDocument/2006/relationships/hyperlink" Target="https://www.knoe.com/2021/03/21/bastrop-passes-14-million-property-tax/" TargetMode="External"/><Relationship Id="rId2247" Type="http://schemas.openxmlformats.org/officeDocument/2006/relationships/hyperlink" Target="https://www.supremecourt.ohio.gov/rod/docs/pdf/8/2022/2022-Ohio-1489.pdf" TargetMode="External"/><Relationship Id="rId2454" Type="http://schemas.openxmlformats.org/officeDocument/2006/relationships/hyperlink" Target="https://cases.justia.com/arizona/court-of-appeals-division-one-published/2025-1-ca-ic-24-0009.pdf?ts=1745946035" TargetMode="External"/><Relationship Id="rId2899" Type="http://schemas.openxmlformats.org/officeDocument/2006/relationships/hyperlink" Target="https://law.justia.com/cases/illinois/court-of-appeals-first-appellate-district/2000/1992647.html" TargetMode="External"/><Relationship Id="rId121" Type="http://schemas.openxmlformats.org/officeDocument/2006/relationships/hyperlink" Target="https://law.justia.com/cases/new-york/other-courts/2024/2024-ny-slip-op-51294-u.html" TargetMode="External"/><Relationship Id="rId219" Type="http://schemas.openxmlformats.org/officeDocument/2006/relationships/hyperlink" Target="https://casetext.com/case/the-vill-of-downers-grove-v-vill-square-iii-condo-assn" TargetMode="External"/><Relationship Id="rId426" Type="http://schemas.openxmlformats.org/officeDocument/2006/relationships/hyperlink" Target="https://www.nbcnewyork.com/news/local/father-son-sentenced-to-probation-in-deadly-spring-valley-fire-that-killed-2/4696054/" TargetMode="External"/><Relationship Id="rId633" Type="http://schemas.openxmlformats.org/officeDocument/2006/relationships/hyperlink" Target="https://cases.justia.com/federal/appellate-courts/ca6/25-5471/25-5471-2026-05-13.pdf?ts=1778702434" TargetMode="External"/><Relationship Id="rId980" Type="http://schemas.openxmlformats.org/officeDocument/2006/relationships/hyperlink" Target="https://casetext.com/case/city-of-houston-v-wilson-1" TargetMode="External"/><Relationship Id="rId1056" Type="http://schemas.openxmlformats.org/officeDocument/2006/relationships/hyperlink" Target="https://ilcourtsaudio.blob.core.windows.net/antilles-resources/resources/f07642b7-1e8b-438e-bd0d-cfbc858fbc9b/Witteman%20v.%20Brookfield%20Firefighters%20Pension%20Fund%202025%20IL%20App%20(1st)%20241278.pdf" TargetMode="External"/><Relationship Id="rId1263" Type="http://schemas.openxmlformats.org/officeDocument/2006/relationships/hyperlink" Target="http://lawfilesext.leg.wa.gov/biennium/2019-20/Pdf/Bills/Session%20Laws/House/1913.SL.pdf?cite=2019%20c%20133%20%C2%A7%201" TargetMode="External"/><Relationship Id="rId2107" Type="http://schemas.openxmlformats.org/officeDocument/2006/relationships/hyperlink" Target="https://www.njcourts.gov/system/files/court-opinions/2024/a1893-22.pdf" TargetMode="External"/><Relationship Id="rId2314" Type="http://schemas.openxmlformats.org/officeDocument/2006/relationships/hyperlink" Target="https://casetext.com/case/waybright-v-frederick-county-2" TargetMode="External"/><Relationship Id="rId2661" Type="http://schemas.openxmlformats.org/officeDocument/2006/relationships/hyperlink" Target="https://www.cbsnews.com/miami/news/florida-supreme-court-turns-down-miami-firefighter-defamation-case/" TargetMode="External"/><Relationship Id="rId2759" Type="http://schemas.openxmlformats.org/officeDocument/2006/relationships/hyperlink" Target="https://www.heraldextra.com/news/local/crime-and-courts/millard-county-fire-chief-charged-with-raping-two-women-will/article_32fa3eae-85cc-5928-a493-88a75082f506.html" TargetMode="External"/><Relationship Id="rId840" Type="http://schemas.openxmlformats.org/officeDocument/2006/relationships/hyperlink" Target="https://www.nytimes.com/2018/06/22/us/politics/supreme-court-warrants-cell-phone-privacy.html" TargetMode="External"/><Relationship Id="rId938" Type="http://schemas.openxmlformats.org/officeDocument/2006/relationships/hyperlink" Target="https://cases.justia.com/louisiana/third-circuit-court-of-appeal/2026-ca-0025-0423.pdf?ts=1782919449" TargetMode="External"/><Relationship Id="rId1470" Type="http://schemas.openxmlformats.org/officeDocument/2006/relationships/hyperlink" Target="http://41af3k34gprx4f6bg12df75i.wpengine.netdna-cdn.com/wp-content/uploads/sites/19/2016/03/Hurd-v-Lincoln.pdf" TargetMode="External"/><Relationship Id="rId1568" Type="http://schemas.openxmlformats.org/officeDocument/2006/relationships/hyperlink" Target="https://public.fastcase.com/J%2FJP6pdidelsXxEE4k%2BLMvlYUX0ZAhRbseqqFnL4gi3bRwNf0Z9RCieiQ7wPaXcpaaE7aExMc6ouwIyWJC8qizoR4DyeCOueQnsNxsVE1Ec%3D" TargetMode="External"/><Relationship Id="rId1775" Type="http://schemas.openxmlformats.org/officeDocument/2006/relationships/hyperlink" Target="https://www.dol.gov/agencies/whd/fact-sheets/22-flsa-hours-worked" TargetMode="External"/><Relationship Id="rId2521" Type="http://schemas.openxmlformats.org/officeDocument/2006/relationships/hyperlink" Target="https://www.postbulletin.com/news/public_safety/ptsd-now-an-occupational-disease-for-first-responders/article_27a2353c-15d3-11e9-a864-cb74a37ce7f1.html" TargetMode="External"/><Relationship Id="rId2619" Type="http://schemas.openxmlformats.org/officeDocument/2006/relationships/hyperlink" Target="https://casetext.com/case/medina-v-columbia-river-fire-rescue" TargetMode="External"/><Relationship Id="rId2826" Type="http://schemas.openxmlformats.org/officeDocument/2006/relationships/hyperlink" Target="https://www.universalhub.com/files/jpfirefighter-complaint.pdf" TargetMode="External"/><Relationship Id="rId67" Type="http://schemas.openxmlformats.org/officeDocument/2006/relationships/hyperlink" Target="https://supreme.justia.com/cases/federal/us/509/579/" TargetMode="External"/><Relationship Id="rId700" Type="http://schemas.openxmlformats.org/officeDocument/2006/relationships/hyperlink" Target="https://www.newsandsentinel.com/news/local-news/2024/03/appeals-court-ruling-vacating-capitol-rioters-sentence-could-impact-dozens-of-jan-6-cases/" TargetMode="External"/><Relationship Id="rId1123" Type="http://schemas.openxmlformats.org/officeDocument/2006/relationships/hyperlink" Target="https://public.fastcase.com/ZZhmr5v9wN%2FXOe5IsQ%2FqD%2FaLdDTUZ9Bp4i3kiVRF7d97YDP9rIPdBi21RNkcNkR5tUpl7J0i2aSQMqXbficIjpy79lKVHToNjy22tiJ4vWE%3D?utm_medium=email&amp;_hsmi=226712652&amp;_hsenc=p2ANqtz-9MD5NcRenWzxZK3r0B0IWrLCE0j3XNAkXqR3ZxFb7wcv_xjopQQNgTmJWg80Fq-GGoAscEcs0qRLFtSd9eSgTH9vCqyg&amp;utm_content=226712652&amp;utm_source=hs_email" TargetMode="External"/><Relationship Id="rId1330" Type="http://schemas.openxmlformats.org/officeDocument/2006/relationships/hyperlink" Target="file:///C:/Users/lawre/AppData/Local/Microsoft/Windows/INetCache/IE/CTCRXJ99/0788s16.pdf" TargetMode="External"/><Relationship Id="rId1428" Type="http://schemas.openxmlformats.org/officeDocument/2006/relationships/hyperlink" Target="https://www.leagle.com/decision/infdco20210812991" TargetMode="External"/><Relationship Id="rId1635" Type="http://schemas.openxmlformats.org/officeDocument/2006/relationships/hyperlink" Target="https://cases.justia.com/federal/district-courts/kentucky/kyedce/5:2024cv00129/104855/29/0.pdf?ts=1778093974" TargetMode="External"/><Relationship Id="rId1982" Type="http://schemas.openxmlformats.org/officeDocument/2006/relationships/hyperlink" Target="https://scholar.google.com/scholar_case?case=14934683326774120071&amp;q=Pennsylvania+%22overdose+response%22&amp;hl=en&amp;scisbd=2&amp;as_sdt=6,36&amp;as_ylo=2020" TargetMode="External"/><Relationship Id="rId1842" Type="http://schemas.openxmlformats.org/officeDocument/2006/relationships/hyperlink" Target="https://public.fastcase.com/9SKwsfNqTc6OieYDhNMyM%2Bd%2B2eK88WBpQndaMaa6S5BNLFOYsG1I8lL7zJutyS4p" TargetMode="External"/><Relationship Id="rId1702" Type="http://schemas.openxmlformats.org/officeDocument/2006/relationships/hyperlink" Target="https://www.eeoc.gov/time-limits-filing-charge" TargetMode="External"/><Relationship Id="rId283" Type="http://schemas.openxmlformats.org/officeDocument/2006/relationships/hyperlink" Target="https://www.ethics.ohio.gov/advice/formaltopics.html" TargetMode="External"/><Relationship Id="rId490" Type="http://schemas.openxmlformats.org/officeDocument/2006/relationships/hyperlink" Target="https://casetext.com/statute/consolidated-laws-of-new-york/chapter-volunteer-firefighters-benefit/article-2-coverage-and-benefits/section-19-exclusiveness-of-remedy" TargetMode="External"/><Relationship Id="rId2171" Type="http://schemas.openxmlformats.org/officeDocument/2006/relationships/hyperlink" Target="https://www.hhs.gov/hipaa/for-professionals/compliance-enforcement/data/enforcement-highlights/index.html" TargetMode="External"/><Relationship Id="rId143" Type="http://schemas.openxmlformats.org/officeDocument/2006/relationships/hyperlink" Target="https://casetext.com/case/in-re-daims" TargetMode="External"/><Relationship Id="rId350" Type="http://schemas.openxmlformats.org/officeDocument/2006/relationships/hyperlink" Target="https://www.supremecourt.gov/opinions/18pdf/18a815_3d9g.pdf" TargetMode="External"/><Relationship Id="rId588" Type="http://schemas.openxmlformats.org/officeDocument/2006/relationships/hyperlink" Target="https://www.justice.gov/opa/pr/justice-department-announces-improvements-public-safety-officers-benefits-program" TargetMode="External"/><Relationship Id="rId795" Type="http://schemas.openxmlformats.org/officeDocument/2006/relationships/hyperlink" Target="https://www.ca4.uscourts.gov/opinions/201119.P.pdf" TargetMode="External"/><Relationship Id="rId2031" Type="http://schemas.openxmlformats.org/officeDocument/2006/relationships/hyperlink" Target="https://public.fastcase.com/Jhe1Qn%2BmJndQYQU6z%2FeNm94x%2BjtPzHFQX2c8S%2Bx9Phdmrv4s2ioOEI%2FF1Ai%2FXC71?utm_medium=email&amp;_hsenc=p2ANqtz-9AeMkmBBV7ab-HOOGxYui1F4KaPFQMcLoSV_UpG8Q7nnWqxWkhxKerqRyhPDwCCdLiDrxj3K5C-zreoAE1nVCtmbRsSQ&amp;_hsmi=226712652&amp;utm_content=226712652&amp;utm_source=hs_email" TargetMode="External"/><Relationship Id="rId2269" Type="http://schemas.openxmlformats.org/officeDocument/2006/relationships/hyperlink" Target="https://public.fastcase.com/9SKwsfNqTc6OieYDhNMyMwDUrDTC81ScbwpTIsrYww9AFfazNo%2F2HwY6ziqtDhg0Y4a0WNWhiQuswT892BHbSQq1RuZX52VcSFrolfmFpsM%3D" TargetMode="External"/><Relationship Id="rId2476" Type="http://schemas.openxmlformats.org/officeDocument/2006/relationships/hyperlink" Target="https://casetext.com/case/wilson-v-gregory-4" TargetMode="External"/><Relationship Id="rId2683" Type="http://schemas.openxmlformats.org/officeDocument/2006/relationships/hyperlink" Target="file:///C:\Users\lawre\AppData\Local\Microsoft\Windows\INetCache\Content.Outlook\L4F26AG7\Case%20Title%20Butler%20v.%20City%20of%20Big%20Spring.pdf" TargetMode="External"/><Relationship Id="rId2890" Type="http://schemas.openxmlformats.org/officeDocument/2006/relationships/hyperlink" Target="https://www.ketv.com/article/nebraska-supreme-court-sides-with-omaha-fire-union-chief-in-dispute-with-city/37244601" TargetMode="External"/><Relationship Id="rId9" Type="http://schemas.openxmlformats.org/officeDocument/2006/relationships/hyperlink" Target="https://usfa.bibliovation.com/app/work/255508" TargetMode="External"/><Relationship Id="rId210" Type="http://schemas.openxmlformats.org/officeDocument/2006/relationships/hyperlink" Target="https://law.justia.com/cases/federal/appellate-courts/ca3/22-1079/22-1079-2022-11-29.html" TargetMode="External"/><Relationship Id="rId448" Type="http://schemas.openxmlformats.org/officeDocument/2006/relationships/hyperlink" Target="https://www.firerescue1.com/legal/judge-tosses-out-lawsuit-from-families-of-baltimore-firefighters-killed-in-2022-blaze?utm_source=delivra&amp;utm_medium=email&amp;utm_campaign=FR1-Daily-12-27-24&amp;utm_id=8279434&amp;dlv-emuid=fed355b8-46a2-4fa4-b55c-4d602dde33c4&amp;dlv-mlid=8279434" TargetMode="External"/><Relationship Id="rId655" Type="http://schemas.openxmlformats.org/officeDocument/2006/relationships/hyperlink" Target="https://www.californiacountynews.org/news/2025/11/local-governments-win-injunction-against-trump-administration-restoring-access-dhs" TargetMode="External"/><Relationship Id="rId862" Type="http://schemas.openxmlformats.org/officeDocument/2006/relationships/hyperlink" Target="https://www.justice.gov/usao-wdtx/pr/san-antonio-woman-sentenced-prison-endangering-sapd-helicopter-laser" TargetMode="External"/><Relationship Id="rId1078" Type="http://schemas.openxmlformats.org/officeDocument/2006/relationships/hyperlink" Target="https://ilcourtsaudio.blob.core.windows.net/antilles-resources/resources/09ac8ced-f502-4e22-9f67-a03c9e14d801/Ford%20v.%20Village%20of%20Northbrook,%202025%20IL%20App%20(1st)%20231952-U.pdf" TargetMode="External"/><Relationship Id="rId1285" Type="http://schemas.openxmlformats.org/officeDocument/2006/relationships/hyperlink" Target="http://www.fifthcircuit.org/dmzdocs/OI/PO/2020/54FCDF86-AA62-4720-B56D-B5FDC85663B0.pdf" TargetMode="External"/><Relationship Id="rId1492" Type="http://schemas.openxmlformats.org/officeDocument/2006/relationships/hyperlink" Target="https://www.govinfo.gov/content/pkg/USCOURTS-idd-4_24-cv-00303/pdf/USCOURTS-idd-4_24-cv-00303-0.pdf" TargetMode="External"/><Relationship Id="rId2129" Type="http://schemas.openxmlformats.org/officeDocument/2006/relationships/hyperlink" Target="https://www.opn.ca6.uscourts.gov/opinions.pdf/24a0095p-06.pdf" TargetMode="External"/><Relationship Id="rId2336" Type="http://schemas.openxmlformats.org/officeDocument/2006/relationships/hyperlink" Target="https://public.fastcase.com/Wl%2B2t%2BeVuI35%2FN70vAMFZu2kCKVGtKJMtqi4A8YrO%2FA1C58cJM7PHa67poZD1rnP" TargetMode="External"/><Relationship Id="rId2543" Type="http://schemas.openxmlformats.org/officeDocument/2006/relationships/hyperlink" Target="https://public.fastcase.com/Jhe1Qn%2BmJndQYQU6z%2FeNm0JH5q8gWciAXAF9bixHugWdaYIct3CF769DEA6AolcFot0MADEgf34paIS5RxXYfLHjDYkVz561VNE3Py00FLo%3D?utm_medium=email&amp;_hsenc=p2ANqtz--lMiV9AKrZhOCKCU8G42zfsMnA0WduNXw5NGIFgBNIi3qKeq5uCBwN2k8_bjKsGZk1kObDueEzHePI446cTwvuol4Y2w&amp;_hsmi=226712652&amp;utm_content=226712652&amp;utm_source=hs_email" TargetMode="External"/><Relationship Id="rId2750" Type="http://schemas.openxmlformats.org/officeDocument/2006/relationships/hyperlink" Target="https://www.dmlp.org/legal-guide/recording-phone-calls-and-conversations" TargetMode="External"/><Relationship Id="rId308" Type="http://schemas.openxmlformats.org/officeDocument/2006/relationships/hyperlink" Target="https://www.ca2.uscourts.gov/decisions/isysquery/2a455a3a-04be-4845-88fb-6da61a7004cf/1/doc/19-3574_opn.pdf" TargetMode="External"/><Relationship Id="rId515" Type="http://schemas.openxmlformats.org/officeDocument/2006/relationships/hyperlink" Target="http://courtswv.gov/Intermediate-Court/memo-decisions/Spring2023/22-ICA-216%20md.pdf" TargetMode="External"/><Relationship Id="rId722" Type="http://schemas.openxmlformats.org/officeDocument/2006/relationships/hyperlink" Target="https://www.supremecourt.gov/opinions/22pdf/21-1496_d18f.pdf" TargetMode="External"/><Relationship Id="rId1145" Type="http://schemas.openxmlformats.org/officeDocument/2006/relationships/hyperlink" Target="https://casetext.com/case/coaxum-v-bd-of-trs" TargetMode="External"/><Relationship Id="rId1352" Type="http://schemas.openxmlformats.org/officeDocument/2006/relationships/hyperlink" Target="https://cases.justia.com/federal/district-courts/kansas/ksdce/2:2023cv02410/149154/93/0.pdf?ts=1748685326" TargetMode="External"/><Relationship Id="rId1797" Type="http://schemas.openxmlformats.org/officeDocument/2006/relationships/hyperlink" Target="https://www.ecfr.gov/current/title-29/subtitle-B/chapter-V/subchapter-B/part-785/subpart-C/subject-group-ECFR3d1222debcd8ec6/section-785.19" TargetMode="External"/><Relationship Id="rId2403" Type="http://schemas.openxmlformats.org/officeDocument/2006/relationships/hyperlink" Target="http://www.pacourts.us/assets/opinions/Supreme/out/Majority%20Opinion%20%20VacatedRemanded%20%2010378165044604409.pdf?cb=1" TargetMode="External"/><Relationship Id="rId2848" Type="http://schemas.openxmlformats.org/officeDocument/2006/relationships/hyperlink" Target="https://codes.ohio.gov/ohio-revised-code/section-124.48" TargetMode="External"/><Relationship Id="rId89" Type="http://schemas.openxmlformats.org/officeDocument/2006/relationships/hyperlink" Target="https://public.fastcase.com/jaEE2PXzRXmZ99jOLMt1IvQQ%2FwWODLAEJBukBPNCALgft0sHziy1G1EiNPA2la2I%2Bz7mV9PFJnpwehw24IHtnmGvfRX%2FCWFczT3vlKR%2B0P0%3D?utm_medium=email&amp;_hsenc=p2ANqtz--SWSAGzwwNdnG_VMPYwGihlDivIcGecVdTRk_nr30XIo07pFHIeVloVzlVGarTG9brlCuLB39_kFjuWt_H_cWvO7FD4A&amp;_hsmi=226712652&amp;utm_content=226712652&amp;utm_source=hs_email" TargetMode="External"/><Relationship Id="rId1005" Type="http://schemas.openxmlformats.org/officeDocument/2006/relationships/hyperlink" Target="https://www.tremcopoliceproducts.com/" TargetMode="External"/><Relationship Id="rId1212" Type="http://schemas.openxmlformats.org/officeDocument/2006/relationships/hyperlink" Target="https://cbcny.org/research/pension-reform-firefighters-will-not-be-running-burning-buildings-age-65" TargetMode="External"/><Relationship Id="rId1657" Type="http://schemas.openxmlformats.org/officeDocument/2006/relationships/hyperlink" Target="https://casetext.com/case/hauptrief-v-telford-1" TargetMode="External"/><Relationship Id="rId1864" Type="http://schemas.openxmlformats.org/officeDocument/2006/relationships/hyperlink" Target="http://www.firefighterovertime.org/wp-content/uploads/2018/03/DFW-FLSA-Complaint-2018.pdf" TargetMode="External"/><Relationship Id="rId2610" Type="http://schemas.openxmlformats.org/officeDocument/2006/relationships/hyperlink" Target="https://cases.justia.com/michigan/court-of-appeals-unpublished/2024-365464.pdf?ts=1732024807" TargetMode="External"/><Relationship Id="rId2708" Type="http://schemas.openxmlformats.org/officeDocument/2006/relationships/hyperlink" Target="https://public.fastcase.com/9SKwsfNqTc6OieYDhNMyMyDFWJKG68%2FxrxDgF%2ByOzsjPpcL4jvi7QzZ2AR2rzbKPcZbDkGArV5tenVtyFKk%2FX7II2Lot3PKpssqnJQodheI%253" TargetMode="External"/><Relationship Id="rId2915" Type="http://schemas.openxmlformats.org/officeDocument/2006/relationships/hyperlink" Target="https://ethics.ohio.gov/advice/opinions/2025-02.pdf" TargetMode="External"/><Relationship Id="rId1517" Type="http://schemas.openxmlformats.org/officeDocument/2006/relationships/hyperlink" Target="https://public.fastcase.com/jaEE2PXzRXmZ99jOLMt1IvrAn%2Bvx0cgAdRJLFzEVE5rZOK58n0UQBGfcsDJAKHyq3V35FHlAbNqGcC8r8dPNnejcnyefccFrDQkDZXnULhU%3D?utm_medium=email&amp;_hsenc=p2ANqtz-8kewSXPlrcM1MOnAYiHvCPklkrBuM3zyFieXeXxpBY7QJCt7ROBRst2YRlv6uOnNoYQgLAyEZN4abHQWMttR1q6BIDag&amp;_hsmi=226712652&amp;utm_content=226712652&amp;utm_source=hs_email" TargetMode="External"/><Relationship Id="rId1724" Type="http://schemas.openxmlformats.org/officeDocument/2006/relationships/hyperlink" Target="https://www.courthousenews.com/firemans-beard-bias-claims-given-a-trim/" TargetMode="External"/><Relationship Id="rId16" Type="http://schemas.openxmlformats.org/officeDocument/2006/relationships/hyperlink" Target="https://doi.org/10.7945/j6c2-q930" TargetMode="External"/><Relationship Id="rId1931" Type="http://schemas.openxmlformats.org/officeDocument/2006/relationships/hyperlink" Target="https://casetext.com/statute/montana-code/title-2-government-structure-and-administration/chapter-4-administrative-procedure-act/part-7-judicial-review-of-contested-cases/section-2-4-702-effective-until-1012025-initiating-judicial-review-of-contested-cases" TargetMode="External"/><Relationship Id="rId2193" Type="http://schemas.openxmlformats.org/officeDocument/2006/relationships/hyperlink" Target="https://www.youtube.com/watch?v=GHO2Qjk4XIo" TargetMode="External"/><Relationship Id="rId2498" Type="http://schemas.openxmlformats.org/officeDocument/2006/relationships/hyperlink" Target="https://www.sacbee.com/news/local/article257698263.html" TargetMode="External"/><Relationship Id="rId165" Type="http://schemas.openxmlformats.org/officeDocument/2006/relationships/hyperlink" Target="https://www.denver7.com/news/local-news/colorado-supreme-court-ruled-in-favor-of-reverse-keyword-search-denver-police-used-to-track-arson-suspects" TargetMode="External"/><Relationship Id="rId372" Type="http://schemas.openxmlformats.org/officeDocument/2006/relationships/hyperlink" Target="https://www.supremecourt.gov/opinions/17pdf/16-402_h315.pdf" TargetMode="External"/><Relationship Id="rId677" Type="http://schemas.openxmlformats.org/officeDocument/2006/relationships/hyperlink" Target="https://cdn.ca9.uscourts.gov/datastore/opinions/2025/03/20/23-55805.pdf" TargetMode="External"/><Relationship Id="rId2053" Type="http://schemas.openxmlformats.org/officeDocument/2006/relationships/hyperlink" Target="https://media.ca11.uscourts.gov/opinions/unpub/files/202413197.pdf" TargetMode="External"/><Relationship Id="rId2260" Type="http://schemas.openxmlformats.org/officeDocument/2006/relationships/hyperlink" Target="https://public.fastcase.com/waZtJvSA54UAurM2rmIZzwN7i243%2F%2BStZpHYDBkc8sGpJscx%2FQQ27pdU9Jjrp4oC%2BDoaG82WuBlPphdis3f1N3UPtlVqun2jEuCWxYyqQWw%3D" TargetMode="External"/><Relationship Id="rId2358" Type="http://schemas.openxmlformats.org/officeDocument/2006/relationships/hyperlink" Target="https://www.phillyvoice.com/us-supreme-court-denies-overturn-pennsylvania-non-essential-businesses-coronavirus-gov-wolf/" TargetMode="External"/><Relationship Id="rId232" Type="http://schemas.openxmlformats.org/officeDocument/2006/relationships/hyperlink" Target="https://casetext.com/case/2095-stonington-llc-v-vill-of-hoffman-estates" TargetMode="External"/><Relationship Id="rId884" Type="http://schemas.openxmlformats.org/officeDocument/2006/relationships/hyperlink" Target="https://search.txcourts.gov/SearchMedia.aspx?MediaVersionID=0759d8f0-c4e1-4852-8390-4190cacb89f6&amp;coa=coa10&amp;DT=Opinion&amp;MediaID=dc9d0fad-acea-4603-a120-a6519744d885" TargetMode="External"/><Relationship Id="rId2120" Type="http://schemas.openxmlformats.org/officeDocument/2006/relationships/hyperlink" Target="https://www.orangeobserver.com/news/2024/jun/15/breaking-former-orange-county-fire-rescue-battalion-chief-announces-candidacy-for-county-commission-district-1/" TargetMode="External"/><Relationship Id="rId2565" Type="http://schemas.openxmlformats.org/officeDocument/2006/relationships/hyperlink" Target="https://codes.ohio.gov/ohio-revised-code/section-4113.52" TargetMode="External"/><Relationship Id="rId2772" Type="http://schemas.openxmlformats.org/officeDocument/2006/relationships/hyperlink" Target="https://apps.fastcase.com/Research/Pages/Document.aspx?LTID=ymjJQ%2bnA3gcD0uwW%2fXT8m74LrRSQo4n%2fvIMvSs06sm8gvhQE4Uja7b0PnhuF%2f4C2xuQogpx6q5d2KkmcmH7G9BxVUizxwq9%2bCSXj%2fVTkPcKayiYbCxXnu3qAsQnurF1%2fEGlhVwGun1DCyEjfhN2WDA%3d%3d" TargetMode="External"/><Relationship Id="rId537" Type="http://schemas.openxmlformats.org/officeDocument/2006/relationships/hyperlink" Target="https://www.newyorker.com/news/our-columnists/american-racism-and-the-buffalo-massacre" TargetMode="External"/><Relationship Id="rId744" Type="http://schemas.openxmlformats.org/officeDocument/2006/relationships/hyperlink" Target="https://www.lasc.org/opinions/2022/21-0929.CQ.OPN.pdf" TargetMode="External"/><Relationship Id="rId951" Type="http://schemas.openxmlformats.org/officeDocument/2006/relationships/hyperlink" Target="https://codes.ohio.gov/ohio-revised-code/section-2744.02" TargetMode="External"/><Relationship Id="rId1167" Type="http://schemas.openxmlformats.org/officeDocument/2006/relationships/hyperlink" Target="https://ilcourtsaudio.blob.core.windows.net/antilles-resources/resources/2cab1835-a4bd-4f15-be52-5bbea6ed2024/Roselle%20v.%20BOT%20of%20the%20Roselle%20Firefighters%20Pension%20Fund,%202021%20IL%20App%20(2d)%20200360.pdf" TargetMode="External"/><Relationship Id="rId1374" Type="http://schemas.openxmlformats.org/officeDocument/2006/relationships/hyperlink" Target="https://www.1011now.com/2024/02/05/city-lincoln-settles-lfr-sexual-discrimination-lawsuits-900000/" TargetMode="External"/><Relationship Id="rId1581" Type="http://schemas.openxmlformats.org/officeDocument/2006/relationships/hyperlink" Target="https://public.fastcase.com/9SKwsfNqTc6OieYDhNMyM%2FTSgbZsxamnZMkEnGgxxe%2FrqLPFRApIhr2w3nhFxBI%2F%2BQAM0CcvCjVB30L3LI5a7qA0dv8E2KAwnqlsNAe5EaM%3D" TargetMode="External"/><Relationship Id="rId1679" Type="http://schemas.openxmlformats.org/officeDocument/2006/relationships/hyperlink" Target="https://public.fastcase.com/ZZhmr5v9wN%2FXOe5IsQ%2FqD0vptgQgkTgOc2XpReLMSYnB1s%2FjY6uEmfEHbXjNZYzwjdaE47PHCuenuGKG11vJGyDk8SuwK4ZV%2BjmAhdBj8vo%3D?utm_medium=email&amp;_hsmi=226712652&amp;_hsenc=p2ANqtz-8f3GbrLnvkkmFwGTcrnfHBUbhSWsI9S9n17c5FNvxL__Rb5dkxAl0xkukh9Thg8SYUm21fgYbaYJ57SsEv3B3vwn_tCQ&amp;utm_content=226712652&amp;utm_source=hs_email" TargetMode="External"/><Relationship Id="rId2218" Type="http://schemas.openxmlformats.org/officeDocument/2006/relationships/hyperlink" Target="https://www.law.cornell.edu/definitions/uscode.php?width=840&amp;height=800&amp;iframe=true&amp;def_id=42-USC-303628742-1009355614&amp;term_occur=999&amp;term_src=" TargetMode="External"/><Relationship Id="rId2425" Type="http://schemas.openxmlformats.org/officeDocument/2006/relationships/hyperlink" Target="https://cases.justia.com/federal/district-courts/florida/flmdce/8:2025cv02787/448658/35/0.pdf" TargetMode="External"/><Relationship Id="rId2632" Type="http://schemas.openxmlformats.org/officeDocument/2006/relationships/hyperlink" Target="https://www.courts.ca.gov/opinions/nonpub/C096135.PDF" TargetMode="External"/><Relationship Id="rId80" Type="http://schemas.openxmlformats.org/officeDocument/2006/relationships/hyperlink" Target="https://cases.justia.com/california/supreme-court/2025-s173784.pdf?ts=1746464481" TargetMode="External"/><Relationship Id="rId604" Type="http://schemas.openxmlformats.org/officeDocument/2006/relationships/hyperlink" Target="http://www.illinoiscourts.gov/R23_Orders/WorkersComp/2018/2170447WC_R23.pdf" TargetMode="External"/><Relationship Id="rId811" Type="http://schemas.openxmlformats.org/officeDocument/2006/relationships/hyperlink" Target="https://public.fastcase.com/Wl%2B2t%2BeVuI35%2FN70vAMFZjEZMJsNZYCv20xfss0VwbYGceb09nWBJue7evWvO5N%2B" TargetMode="External"/><Relationship Id="rId1027" Type="http://schemas.openxmlformats.org/officeDocument/2006/relationships/hyperlink" Target="https://public.fastcase.com/Jhe1Qn%2BmJndQYQU6z%2FeNm3BZXxMtfKvDKUuuTsV2npm66ieHwlmdQlB7eZ5vGA8QuOESb%2F3K1RQvpQEkPuEDUbGjL%2Fa81lCq0WbwpmSle%2Fs%3D?utm_medium=email&amp;_hsenc=p2ANqtz-_5eDAf6zJHZ3x5XTDJZmK3o4KVQ_64dEa2tiItnjUQH6kGchr0D5wuvNQXhbtIIPVnIy-jvGCDQGSZmLLj65ZPiQLHfg&amp;_hsmi=226712652&amp;utm_content=226712652&amp;utm_source=hs_email" TargetMode="External"/><Relationship Id="rId1234" Type="http://schemas.openxmlformats.org/officeDocument/2006/relationships/hyperlink" Target="https://courts.illinois.gov/opinions/SupremeCourt/2012/110012.pdf" TargetMode="External"/><Relationship Id="rId1441" Type="http://schemas.openxmlformats.org/officeDocument/2006/relationships/hyperlink" Target="https://www.uticaod.com/story/news/2020/07/21/court-former-utica-firefighter-not-entitled-to-payment/42260661/" TargetMode="External"/><Relationship Id="rId1886" Type="http://schemas.openxmlformats.org/officeDocument/2006/relationships/hyperlink" Target="https://www.justice.gov/crt/case-document/file/1227366/download" TargetMode="External"/><Relationship Id="rId2937" Type="http://schemas.openxmlformats.org/officeDocument/2006/relationships/hyperlink" Target="https://supremecourt.flcourts.gov/content/download/1172655/opinion/Opinion_SC2021-0651.pdf" TargetMode="External"/><Relationship Id="rId909" Type="http://schemas.openxmlformats.org/officeDocument/2006/relationships/hyperlink" Target="https://casetext.com/case/county-of-sacramento-v-lewis" TargetMode="External"/><Relationship Id="rId1301" Type="http://schemas.openxmlformats.org/officeDocument/2006/relationships/hyperlink" Target="https://www.courierpostonline.com/story/news/2019/05/14/terremce-crowder-camden-fire-department-deputy-chief-loses-disability-benefits-dispute/1194598001/" TargetMode="External"/><Relationship Id="rId1539" Type="http://schemas.openxmlformats.org/officeDocument/2006/relationships/hyperlink" Target="https://cases.justia.com/federal/district-courts/texas/txsdce/4:2023cv04777/1945442/28/0.pdf?ts=1723207973" TargetMode="External"/><Relationship Id="rId1746" Type="http://schemas.openxmlformats.org/officeDocument/2006/relationships/hyperlink" Target="https://cases.justia.com/federal/district-courts/illinois/ilndce/1:2018cv08500/359885/139/0.pdf?ts=1594372800" TargetMode="External"/><Relationship Id="rId1953" Type="http://schemas.openxmlformats.org/officeDocument/2006/relationships/hyperlink" Target="https://www.jud.ct.gov/external/supapp/Cases/AROap/AP216/216AP25.pdf" TargetMode="External"/><Relationship Id="rId38" Type="http://schemas.openxmlformats.org/officeDocument/2006/relationships/hyperlink" Target="https://cases.justia.com/texas/fifteenth-court-of-appeals/2026-15-24-00010-cv.pdf?ts=1772815197" TargetMode="External"/><Relationship Id="rId1606" Type="http://schemas.openxmlformats.org/officeDocument/2006/relationships/hyperlink" Target="https://law.justia.com/cases/michigan/court-of-appeals-unpublished/2020/350474.html" TargetMode="External"/><Relationship Id="rId1813" Type="http://schemas.openxmlformats.org/officeDocument/2006/relationships/hyperlink" Target="https://public.fastcase.com/ZZhmr5v9wN%2FXOe5IsQ%2FqDwe%2Bl2bMb8hsQzBhmq%2BKFWjfsnc%2Brn1NgeRpqQFDQ7VnnNgPvPdQabSyR0vz9Y1rYYCnr8USzlwvvvJ%2BE3sgG14%3D?utm_medium=email&amp;_hsmi=226712652&amp;_hsenc=p2ANqtz-9yLx0aoJRhvv2Vy8uTc7HU3fN6k1djWwCn0_TOB1MuUA7MVtIjTAZu2eDX0z4FTqDgKj_XXmkUdS-aKvCM9lVim5p6Eg&amp;utm_content=226712652&amp;utm_source=hs_email" TargetMode="External"/><Relationship Id="rId187" Type="http://schemas.openxmlformats.org/officeDocument/2006/relationships/hyperlink" Target="https://www.supremecourt.gov/opinions/22pdf/21-1326_6jfl.pdf" TargetMode="External"/><Relationship Id="rId394" Type="http://schemas.openxmlformats.org/officeDocument/2006/relationships/hyperlink" Target="https://public.fastcase.com/Jhe1Qn%2BmJndQYQU6z%2FeNm1Wc0BhwXqbgUcnfM0G%2F8LGBWKhbC8yUkIyVwLGd8HWj?utm_medium=email&amp;_hsenc=p2ANqtz-85mlG7bjjwBnXQBs8DYGyySvCPBDEvbYyrF7EMhR5VCH2hTuoCLWnOKD3mejXOTkKYawSsNFXD_QLidauQN_0-kPfmHA&amp;_hsmi=226712652&amp;utm_content=226712652&amp;utm_source=hs_email" TargetMode="External"/><Relationship Id="rId2075" Type="http://schemas.openxmlformats.org/officeDocument/2006/relationships/hyperlink" Target="https://cases.justia.com/missouri/court-of-appeals/2025-wd87298.pdf?ts=1750174248" TargetMode="External"/><Relationship Id="rId2282" Type="http://schemas.openxmlformats.org/officeDocument/2006/relationships/hyperlink" Target="https://casetext.com/case/warren-v-cnty-of-sacramento" TargetMode="External"/><Relationship Id="rId254" Type="http://schemas.openxmlformats.org/officeDocument/2006/relationships/hyperlink" Target="https://www.supremecourt.gov/opinions/20pdf/21a23_ap6c.pdf" TargetMode="External"/><Relationship Id="rId699" Type="http://schemas.openxmlformats.org/officeDocument/2006/relationships/hyperlink" Target="https://storage.courtlistener.com/recap/gov.uscourts.cadc.39605/gov.uscourts.cadc.39605.1208600933.0.pdf" TargetMode="External"/><Relationship Id="rId1091" Type="http://schemas.openxmlformats.org/officeDocument/2006/relationships/hyperlink" Target="https://www.supremecourt.ohio.gov/rod/docs/pdf/10/2024/2024-Ohio-5010.pdf" TargetMode="External"/><Relationship Id="rId2587" Type="http://schemas.openxmlformats.org/officeDocument/2006/relationships/hyperlink" Target="https://supreme.justia.com/cases/federal/us/470/532/" TargetMode="External"/><Relationship Id="rId2794" Type="http://schemas.openxmlformats.org/officeDocument/2006/relationships/hyperlink" Target="http://www.tsc.state.tn.us/sites/default/files/mosspaulzacharyopn.pdf" TargetMode="External"/><Relationship Id="rId114" Type="http://schemas.openxmlformats.org/officeDocument/2006/relationships/hyperlink" Target="https://caselaw.findlaw.com/court/az-court-of-appeals/116575227.html" TargetMode="External"/><Relationship Id="rId461" Type="http://schemas.openxmlformats.org/officeDocument/2006/relationships/hyperlink" Target="https://www.courthousenews.com/wp-content/uploads/2024/09/wholesale-fireworks-ruling.pdf" TargetMode="External"/><Relationship Id="rId559" Type="http://schemas.openxmlformats.org/officeDocument/2006/relationships/hyperlink" Target="https://www.nbcphiladelphia.com/news/local/woman-gets-30-years-in-arson-that-killed-3-delaware-firefighters/2260369/" TargetMode="External"/><Relationship Id="rId766" Type="http://schemas.openxmlformats.org/officeDocument/2006/relationships/hyperlink" Target="https://www.cincinnati.com/story/news/2021/08/02/attorney-maker-double-drum-magazine-enabled-dayton-mass-shooting/5455812001/" TargetMode="External"/><Relationship Id="rId1189" Type="http://schemas.openxmlformats.org/officeDocument/2006/relationships/hyperlink" Target="https://www.schafer-and-schafer.com/workers-compensation/heart-and-hypertension/" TargetMode="External"/><Relationship Id="rId1396" Type="http://schemas.openxmlformats.org/officeDocument/2006/relationships/hyperlink" Target="https://www.dol.gov/sites/dolgov/files/WHD/flsa/PUMP-act_hr2617.pdf" TargetMode="External"/><Relationship Id="rId2142" Type="http://schemas.openxmlformats.org/officeDocument/2006/relationships/hyperlink" Target="https://www.postandcourier.com/news/charleston-county-ems-ketamine-lawsuit-settlement/article_682c754c-6d10-11ee-ac1b-ef7daf1ea208.html" TargetMode="External"/><Relationship Id="rId2447" Type="http://schemas.openxmlformats.org/officeDocument/2006/relationships/hyperlink" Target="https://www.pacourts.us/assets/opinions/Commonwealth/out/770CD24_10-22-25.pdf?cb=1" TargetMode="External"/><Relationship Id="rId321" Type="http://schemas.openxmlformats.org/officeDocument/2006/relationships/hyperlink" Target="https://www.courtlistener.com/opinion/4747432/cid-torrez-v-state-of-florida/" TargetMode="External"/><Relationship Id="rId419" Type="http://schemas.openxmlformats.org/officeDocument/2006/relationships/hyperlink" Target="https://public.fastcase.com/jaEE2PXzRXmZ99jOLMt1ItgJpO3cenZHWG8%2BVkmKxH1HTTAbABiD6rHSJp3pZ1gN%2FmUtcGj1MYmfK4vUiVXj%2F7KJALcf9RQ89nZBN4g9WoM%3D?utm_medium=email&amp;_hsenc=p2ANqtz-8GKw_r7YMLn5ao1TZxs4WqNRhri-535W3eCNA3JduD9CnJg4Ez99C9vjqiY3t5lfrKsWh0EQkMPqhDg1IfFNoFLO22ZQ&amp;_hsmi=226712652&amp;utm_content=226712652&amp;utm_source=hs_email" TargetMode="External"/><Relationship Id="rId626" Type="http://schemas.openxmlformats.org/officeDocument/2006/relationships/hyperlink" Target="https://www.canadianlawyermag.com/news/international/boston-judge-rejects-us-administrations-use-of-agency-priorities-clause-in-funding-cuts/394386" TargetMode="External"/><Relationship Id="rId973" Type="http://schemas.openxmlformats.org/officeDocument/2006/relationships/hyperlink" Target="https://www.supremecourt.ohio.gov/rod/docs/pdf/8/2023/2023-Ohio-4213.pdf" TargetMode="External"/><Relationship Id="rId1049" Type="http://schemas.openxmlformats.org/officeDocument/2006/relationships/hyperlink" Target="https://www.kvoa.com/news/arizona/arizona-supreme-court-rules-in-favor-of-firefighter-in-compensation-claim/article_63a696b0-5894-4bcc-94e3-966091411b00.html" TargetMode="External"/><Relationship Id="rId1256" Type="http://schemas.openxmlformats.org/officeDocument/2006/relationships/hyperlink" Target="https://law.justia.com/codes/ohio/2006/orc/jd_14943-4d7.html" TargetMode="External"/><Relationship Id="rId2002" Type="http://schemas.openxmlformats.org/officeDocument/2006/relationships/hyperlink" Target="https://cases.justia.com/federal/district-courts/washington/wawdce/2:2025cv00367/345154/49/0.pdf?ts=1784314094" TargetMode="External"/><Relationship Id="rId2307" Type="http://schemas.openxmlformats.org/officeDocument/2006/relationships/hyperlink" Target="https://www.ca8.uscourts.gov/sites/ca8/files/opinions/191343P.pdf" TargetMode="External"/><Relationship Id="rId2654" Type="http://schemas.openxmlformats.org/officeDocument/2006/relationships/hyperlink" Target="https://www.dailymail.co.uk/news/article-12240293/Man-accused-stalking-local-Colorado-musician-stalking-conviction-tossed-Supreme-Court.html" TargetMode="External"/><Relationship Id="rId2861" Type="http://schemas.openxmlformats.org/officeDocument/2006/relationships/hyperlink" Target="http://www.lanermuchin.com/assets/htmldocuments/Board%20Decision-%20Baylor.pdf" TargetMode="External"/><Relationship Id="rId2959" Type="http://schemas.openxmlformats.org/officeDocument/2006/relationships/hyperlink" Target="https://www.legislature.ohio.gov/legislation/legislation-documents?id=GA133-HB-606" TargetMode="External"/><Relationship Id="rId833" Type="http://schemas.openxmlformats.org/officeDocument/2006/relationships/hyperlink" Target="https://cases.justia.com/connecticut/supreme-court/2019-sc20009.pdf?ts=1554984045" TargetMode="External"/><Relationship Id="rId1116" Type="http://schemas.openxmlformats.org/officeDocument/2006/relationships/hyperlink" Target="https://casetext.com/case/marion-cnty-fire-dist-1-v-smith-in-re-smith" TargetMode="External"/><Relationship Id="rId1463" Type="http://schemas.openxmlformats.org/officeDocument/2006/relationships/hyperlink" Target="http://www.ca5.uscourts.gov/opinions/unpub/18/18-40561.1.pdf" TargetMode="External"/><Relationship Id="rId1670" Type="http://schemas.openxmlformats.org/officeDocument/2006/relationships/hyperlink" Target="https://www.supremecourt.gov/DocketPDF/23/23-997/307313/20240411092101975_Amicus%20Brief.pdf" TargetMode="External"/><Relationship Id="rId1768" Type="http://schemas.openxmlformats.org/officeDocument/2006/relationships/hyperlink" Target="https://osc.gov/Services/Pages/USERRA-Employee.aspx" TargetMode="External"/><Relationship Id="rId2514" Type="http://schemas.openxmlformats.org/officeDocument/2006/relationships/hyperlink" Target="http://www.firefighters-exam.com/2019/06/24/tips-on-how-to-pass-your-firefighter-psychological-test/" TargetMode="External"/><Relationship Id="rId2721" Type="http://schemas.openxmlformats.org/officeDocument/2006/relationships/hyperlink" Target="https://convention2018.iaff.org/general-counsels-report/" TargetMode="External"/><Relationship Id="rId2819" Type="http://schemas.openxmlformats.org/officeDocument/2006/relationships/hyperlink" Target="https://cases.justia.com/georgia/court-of-appeals/2025-a25a0947.pdf?ts=1757355224" TargetMode="External"/><Relationship Id="rId900" Type="http://schemas.openxmlformats.org/officeDocument/2006/relationships/hyperlink" Target="https://public.fastcase.com/waZtJvSA54UAurM2rmIZzzd7nmMG05wthWSY4rh3YOX2SQqdjQ2bWm74KVsbZSPmzEoqJnKOxl0hCOa8LdPZAi50MjJV0MwcRqnMVHWnvKI%3D" TargetMode="External"/><Relationship Id="rId1323" Type="http://schemas.openxmlformats.org/officeDocument/2006/relationships/hyperlink" Target="http://tkolb.net/firereports/presumptionreport2009.pdf" TargetMode="External"/><Relationship Id="rId1530" Type="http://schemas.openxmlformats.org/officeDocument/2006/relationships/hyperlink" Target="https://cases.justia.com/federal/district-courts/illinois/ilndce/1:2022cv01419/413396/37/0.pdf?ts=1732013718" TargetMode="External"/><Relationship Id="rId1628" Type="http://schemas.openxmlformats.org/officeDocument/2006/relationships/hyperlink" Target="https://scholar.google.com/scholar_case?case=9814524894618299702&amp;q=+Eric+Peeples,+et+al.+v.+City+of+Detroit,+et+al,+Civil+Action+No.+13-13858&amp;hl=en&amp;as_sdt=6,36" TargetMode="External"/><Relationship Id="rId1975" Type="http://schemas.openxmlformats.org/officeDocument/2006/relationships/hyperlink" Target="https://www.lexipol.com/resources/blog/can-fire-departments-prohibit-firefighter-off-duty-medical-marijuana-use/" TargetMode="External"/><Relationship Id="rId1835" Type="http://schemas.openxmlformats.org/officeDocument/2006/relationships/hyperlink" Target="https://www.law.cornell.edu/definitions/uscode.php?width=840&amp;height=800&amp;iframe=true&amp;def_id=29-USC-1193469627-1968318500&amp;term_occur=999&amp;term_src=title:29:chapter:9:section:260" TargetMode="External"/><Relationship Id="rId1902" Type="http://schemas.openxmlformats.org/officeDocument/2006/relationships/hyperlink" Target="https://www.ohioauditor.gov/trainings/lgoc/2018/Fair%20Labor%20Standards%20Act%20for%20Firefighters.pdf" TargetMode="External"/><Relationship Id="rId2097" Type="http://schemas.openxmlformats.org/officeDocument/2006/relationships/hyperlink" Target="https://casetext.com/case/kilpatrick-v-city-of-l-a" TargetMode="External"/><Relationship Id="rId276" Type="http://schemas.openxmlformats.org/officeDocument/2006/relationships/hyperlink" Target="https://supreme.justia.com/cases/federal/us/547/410/" TargetMode="External"/><Relationship Id="rId483" Type="http://schemas.openxmlformats.org/officeDocument/2006/relationships/hyperlink" Target="https://public.fastcase.com/" TargetMode="External"/><Relationship Id="rId690" Type="http://schemas.openxmlformats.org/officeDocument/2006/relationships/hyperlink" Target="https://www.supremecourt.gov/opinions/23pdf/22-915_8o6b.pdf" TargetMode="External"/><Relationship Id="rId2164" Type="http://schemas.openxmlformats.org/officeDocument/2006/relationships/hyperlink" Target="https://casetext.com/case/currid-v-the-city-of-new-york" TargetMode="External"/><Relationship Id="rId2371" Type="http://schemas.openxmlformats.org/officeDocument/2006/relationships/hyperlink" Target="https://www.dailynews.com/2020/04/14/coronavirus-judge-upholds-l-a-city-order-to-close-gun-stores/" TargetMode="External"/><Relationship Id="rId136" Type="http://schemas.openxmlformats.org/officeDocument/2006/relationships/hyperlink" Target="https://www.law.cornell.edu/rules/fre/rule_803" TargetMode="External"/><Relationship Id="rId343" Type="http://schemas.openxmlformats.org/officeDocument/2006/relationships/hyperlink" Target="https://www.leagle.com/decision/iniaco20190517282" TargetMode="External"/><Relationship Id="rId550" Type="http://schemas.openxmlformats.org/officeDocument/2006/relationships/hyperlink" Target="https://public.fastcase.com/9SKwsfNqTc6OieYDhNMyM3m3eL%2Bu4x8bx%2FFPqQ706C1Bfi57%2Fsm8VTkLX0Q5d2JY3Hl0cE%2BCK3yDi%2BV1afLDAxYamaVWukse%2F0EpEJzWMdw%3D" TargetMode="External"/><Relationship Id="rId788" Type="http://schemas.openxmlformats.org/officeDocument/2006/relationships/hyperlink" Target="https://www.law.cornell.edu/definitions/uscode.php?width=840&amp;height=800&amp;iframe=true&amp;def_id=8-USC-2032517217-1201680101&amp;term_occur=999&amp;term_src=" TargetMode="External"/><Relationship Id="rId995" Type="http://schemas.openxmlformats.org/officeDocument/2006/relationships/hyperlink" Target="https://law.justia.com/cases/texas/thirteenth-court-of-appeals/2022/13-20-00315-cv.html" TargetMode="External"/><Relationship Id="rId1180" Type="http://schemas.openxmlformats.org/officeDocument/2006/relationships/hyperlink" Target="https://public.fastcase.com/9SKwsfNqTc6OieYDhNMyM7K54qMUE6VagvA5ZeUquJVblXNtT5CMEmLb%2FOI9awGykkKYC2JU7RwfzsQEOAIcP6T5leBqhSKOtHvIUfiLV%2Fs%3D" TargetMode="External"/><Relationship Id="rId2024" Type="http://schemas.openxmlformats.org/officeDocument/2006/relationships/hyperlink" Target="https://www.nycourts.gov/reporter/current/3dseries/2026/2026_02494.shtml" TargetMode="External"/><Relationship Id="rId2231" Type="http://schemas.openxmlformats.org/officeDocument/2006/relationships/hyperlink" Target="https://law.justia.com/cases/wyoming/supreme-court/2022/s-21-0278.html" TargetMode="External"/><Relationship Id="rId2469" Type="http://schemas.openxmlformats.org/officeDocument/2006/relationships/hyperlink" Target="https://app.leg.wa.gov/RCW/default.aspx?cite=18.73.030" TargetMode="External"/><Relationship Id="rId2676" Type="http://schemas.openxmlformats.org/officeDocument/2006/relationships/hyperlink" Target="https://edmontonjournal.com/news/crime/firefighters-who-start-fires-a-look-at-the-phenomenon-of-firefighter-arson" TargetMode="External"/><Relationship Id="rId2883" Type="http://schemas.openxmlformats.org/officeDocument/2006/relationships/hyperlink" Target="https://www.supremecourt.ohio.gov/rod/docs/pdf/8/2022/2022-Ohio-824.pdf" TargetMode="External"/><Relationship Id="rId203" Type="http://schemas.openxmlformats.org/officeDocument/2006/relationships/hyperlink" Target="https://www.legislature.ohio.gov/legislation/legislation-summary?id=GA134-HB-99" TargetMode="External"/><Relationship Id="rId648" Type="http://schemas.openxmlformats.org/officeDocument/2006/relationships/hyperlink" Target="https://cases.justia.com/federal/appellate-courts/ca3/25-2635/25-2635-2025-12-01.pdf?ts=1764612050" TargetMode="External"/><Relationship Id="rId855" Type="http://schemas.openxmlformats.org/officeDocument/2006/relationships/hyperlink" Target="https://app.midpage.ai/document/pierre-grenier-v-city-of-11209117?refG=true" TargetMode="External"/><Relationship Id="rId1040" Type="http://schemas.openxmlformats.org/officeDocument/2006/relationships/hyperlink" Target="https://ecf.ctd.uscourts.gov/cgi-bin/show_public_doc?2025cv0824-74" TargetMode="External"/><Relationship Id="rId1278" Type="http://schemas.openxmlformats.org/officeDocument/2006/relationships/hyperlink" Target="https://courts.illinois.gov/R23_Orders/AppellateCourt/2020/1stDistrict/1181708_R23.pdf" TargetMode="External"/><Relationship Id="rId1485" Type="http://schemas.openxmlformats.org/officeDocument/2006/relationships/hyperlink" Target="https://cases.justia.com/federal/appellate-courts/ca4/25-1440/25-1440-2026-06-24.pdf?ts=1782325881" TargetMode="External"/><Relationship Id="rId1692" Type="http://schemas.openxmlformats.org/officeDocument/2006/relationships/hyperlink" Target="https://public.fastcase.com/J%2FJP6pdidelsXxEE4k%2BLMkpx4Tc1lqsghN0FDa1gb3wMFLVhhLo5FWrnkmMj5%2F%2BBVQtdjf8pXYj06hYu%2BnGwGl7dOZtJUpPBXfNPjPwixAs%3D?utm_medium=email&amp;_hsmi=226712652&amp;_hsenc=p2ANqtz--C2h-0vhrKpmBZ-sfV5NXYWdtLuQagg3T7ZppydHXd8lRUQhheIKUZNhzvLNm0zeXmkYrDIZXEzHKpdEczURzqVa6roA&amp;utm_content=226712652&amp;utm_source=hs_email" TargetMode="External"/><Relationship Id="rId2329" Type="http://schemas.openxmlformats.org/officeDocument/2006/relationships/hyperlink" Target="https://aams.org/aams-member-alert-negotiated-balance-billing-solution-included-in-legislation/" TargetMode="External"/><Relationship Id="rId2536" Type="http://schemas.openxmlformats.org/officeDocument/2006/relationships/hyperlink" Target="https://public.fastcase.com/Jhe1Qn%2BmJndQYQU6z%2FeNm3FkCM2jWCAdlM1JWFE9c8I4cu8UE8nnROw9g8pQru3qX50wM6VA5Q6C6W7bTimjewt8baK5LV89G9hOJ3Hoqaw%3D?utm_medium=email&amp;_hsenc=p2ANqtz-_BuWF_rVxZJ_ThXodME56Qn02TlxXtEPZR0pM596-W86IiSz4xrEN_MpysqbI906jQkVOKXR9ddhRRIzUH7APhy4Ve8A&amp;_hsmi=226712652&amp;utm_content=226712652&amp;utm_source=hs_email" TargetMode="External"/><Relationship Id="rId2743" Type="http://schemas.openxmlformats.org/officeDocument/2006/relationships/hyperlink" Target="https://www.nj.com/news/2016/04/ex-nj_firefighter_convicted_of_stealing_disability.html" TargetMode="External"/><Relationship Id="rId410" Type="http://schemas.openxmlformats.org/officeDocument/2006/relationships/hyperlink" Target="https://www.hbsslaw.com/cases/pfas-firefighter-turnout-gear" TargetMode="External"/><Relationship Id="rId508" Type="http://schemas.openxmlformats.org/officeDocument/2006/relationships/hyperlink" Target="https://www.anylaw.com/case/smith-v-city-of-atlantic-city-et-al/d-new-jersey/11-28-2023/WMlWRYwBqcoRgE-ICuER" TargetMode="External"/><Relationship Id="rId715" Type="http://schemas.openxmlformats.org/officeDocument/2006/relationships/hyperlink" Target="https://casetext.com/case/baarbe-v-the-syrian-arab-republic" TargetMode="External"/><Relationship Id="rId922" Type="http://schemas.openxmlformats.org/officeDocument/2006/relationships/hyperlink" Target="https://www.law.cornell.edu/rules/fre/rule_702" TargetMode="External"/><Relationship Id="rId1138" Type="http://schemas.openxmlformats.org/officeDocument/2006/relationships/hyperlink" Target="https://public.fastcase.com/J%2FJP6pdidelsXxEE4k%2BLMk0xZflerRl5zZ1fWOEI5mhvpVlhWjp%2F9QDqlOI9DDnF8Aa9%2BfFIJaxfznSW2LItCr2%2FIZnHCYIIWW3H5dl8900%3D?utm_medium=email&amp;_hsmi=226712652&amp;_hsenc=p2ANqtz-9FKeS83U96VoJDZ5OFHU1pICbtYjQvhKtRkoV1KLCJmMon6gHAySjMj0YQylycLU_jnNetJR4aMTbAa4E7Rm7YwE3nmg&amp;utm_content=226712652&amp;utm_source=hs_email" TargetMode="External"/><Relationship Id="rId1345" Type="http://schemas.openxmlformats.org/officeDocument/2006/relationships/hyperlink" Target="https://www.iaff.org/cpat/" TargetMode="External"/><Relationship Id="rId1552" Type="http://schemas.openxmlformats.org/officeDocument/2006/relationships/hyperlink" Target="https://www.cincinnati.com/story/news/2018/12/21/fire-captain-alleges-sexual-harassment-after-any-given-sunday-shown-station/2393196002/" TargetMode="External"/><Relationship Id="rId1997" Type="http://schemas.openxmlformats.org/officeDocument/2006/relationships/hyperlink" Target="https://cases.justia.com/oregon/court-of-appeals/2026-a185059.pdf?ts=1784734294" TargetMode="External"/><Relationship Id="rId2603" Type="http://schemas.openxmlformats.org/officeDocument/2006/relationships/hyperlink" Target="https://public.fastcase.com/jaEE2PXzRXmZ99jOLMt1IhQHA9AMm9CcSN%2BGfYyS2p0Y8T4gWwr35mn7gDgy%2FrLSk1%2BX3TZDVCgonvjR5kmTn9ieZn6lPYykAdycfBPhja8%3D?utm_medium=email&amp;_hsenc=p2ANqtz-96viAoOgtBhpN3k-FXu0IciBKBTpaPEffa5PyEi7FQVITmUz8Kiu79qOEJdxGOe1egzOzFwK07j5P1hSXOAN4VGdmpNA&amp;_hsmi=226712652&amp;utm_content=226712652&amp;utm_source=hs_email" TargetMode="External"/><Relationship Id="rId2950" Type="http://schemas.openxmlformats.org/officeDocument/2006/relationships/hyperlink" Target="https://pascrell.house.gov/news/documentsingle.aspx?DocumentID=4933" TargetMode="External"/><Relationship Id="rId1205" Type="http://schemas.openxmlformats.org/officeDocument/2006/relationships/hyperlink" Target="https://www.lasc.org/Opinions/2021/20-0693.C.OPN.pdf" TargetMode="External"/><Relationship Id="rId1857" Type="http://schemas.openxmlformats.org/officeDocument/2006/relationships/hyperlink" Target="https://law.justia.com/cases/federal/district-courts/indiana/inndce/2:2019cv00065/97508/61/" TargetMode="External"/><Relationship Id="rId2810" Type="http://schemas.openxmlformats.org/officeDocument/2006/relationships/hyperlink" Target="https://www.coloradopolitics.com/2026/06/22/10th-circuit-grants-boulder-weld-districts-fire-chief-immunity-for-firing-union-leader/" TargetMode="External"/><Relationship Id="rId2908" Type="http://schemas.openxmlformats.org/officeDocument/2006/relationships/hyperlink" Target="https://ecf.ctd.uscourts.gov/cgi-bin/show_public_doc?2025cv0824-74" TargetMode="External"/><Relationship Id="rId51" Type="http://schemas.openxmlformats.org/officeDocument/2006/relationships/hyperlink" Target="https://cases.justia.com/new-jersey/appellate-division-unpublished/2025-a-1179-23.pdf?ts=1765469961" TargetMode="External"/><Relationship Id="rId1412" Type="http://schemas.openxmlformats.org/officeDocument/2006/relationships/hyperlink" Target="https://www.firelawblog.com/2022/03/13/court-refuses-to-dismiss-state-law-claims-in-norfolk-retaliation-suit/" TargetMode="External"/><Relationship Id="rId1717" Type="http://schemas.openxmlformats.org/officeDocument/2006/relationships/hyperlink" Target="https://www.eeoc.gov/facts/pandemic_flu.html?mc_cid=0f5c4e93d9&amp;mc_eid=3f2d24c371" TargetMode="External"/><Relationship Id="rId1924" Type="http://schemas.openxmlformats.org/officeDocument/2006/relationships/hyperlink" Target="https://public.fastcase.com/jaEE2PXzRXmZ99jOLMt1IkeXMb88bktridCVT2cNJQMzpCQ6GgqcAq9z2DsPb3SV?utm_medium=email&amp;_hsenc=p2ANqtz-85xVo1nyN3HdtXmyEBbnKz3steTpDAfhmpvG3xr6TrZ9DYf7Sn2b546JhEk92EHRSHghCxIzSuD7PvUX919GE5tGfx5g&amp;_hsmi=226712652&amp;utm_content=226712652&amp;utm_source=hs_email" TargetMode="External"/><Relationship Id="rId298" Type="http://schemas.openxmlformats.org/officeDocument/2006/relationships/hyperlink" Target="https://www.hamiltoncountyohio.gov/UserFiles/Servers/Server_3788196/File/Government/Departments/Human%20Resources/Ethics%20in%20Government/HamiltonCountyEthicsBooklet.pdf" TargetMode="External"/><Relationship Id="rId158" Type="http://schemas.openxmlformats.org/officeDocument/2006/relationships/hyperlink" Target="https://wsau.com/2022/03/02/wausau-man-sentenced-in-arson-case/" TargetMode="External"/><Relationship Id="rId2186" Type="http://schemas.openxmlformats.org/officeDocument/2006/relationships/hyperlink" Target="https://www.opn.ca6.uscourts.gov/opinions.pdf/23a0156p-06.pdf" TargetMode="External"/><Relationship Id="rId2393" Type="http://schemas.openxmlformats.org/officeDocument/2006/relationships/hyperlink" Target="https://www.courts.ca.gov/opinions/nonpub/B284099.PDF" TargetMode="External"/><Relationship Id="rId2698" Type="http://schemas.openxmlformats.org/officeDocument/2006/relationships/hyperlink" Target="https://ilcourtsaudio.blob.core.windows.net/antilles-resources/resources/1d563ea4-a3fa-4fb5-af89-419baa2c8f0f/Cannici%20v.%20Dept%20of%20Employment%20Security%20Board%20of%20Review,%202021%20IL%20App%20(1st)%20181562.pdf" TargetMode="External"/><Relationship Id="rId365" Type="http://schemas.openxmlformats.org/officeDocument/2006/relationships/hyperlink" Target="https://www.cincinnati.com/story/news/crime/crime-and-courts/2018/11/13/pike-county-massacre-wagner-family-arrested-rhoden-family-homicides/1373456002/" TargetMode="External"/><Relationship Id="rId572" Type="http://schemas.openxmlformats.org/officeDocument/2006/relationships/hyperlink" Target="https://www.firerescue1.com/firefighter-training/articles/firefighters-death-highlights-municipal-storm-drain-dangers-VaH0e7nB3CMWpKRS/" TargetMode="External"/><Relationship Id="rId2046" Type="http://schemas.openxmlformats.org/officeDocument/2006/relationships/hyperlink" Target="https://ilcourtsaudio.blob.core.windows.net/" TargetMode="External"/><Relationship Id="rId2253" Type="http://schemas.openxmlformats.org/officeDocument/2006/relationships/hyperlink" Target="https://www.leagle.com/decision/infdco20220324d64" TargetMode="External"/><Relationship Id="rId2460" Type="http://schemas.openxmlformats.org/officeDocument/2006/relationships/hyperlink" Target="https://afcca.law.af.mil/afcca_opinions/cp/giles_-_40482_u_2091447.pdf" TargetMode="External"/><Relationship Id="rId225" Type="http://schemas.openxmlformats.org/officeDocument/2006/relationships/hyperlink" Target="https://www.law.cornell.edu/supct-cgi/get-us-cite?543+70" TargetMode="External"/><Relationship Id="rId432" Type="http://schemas.openxmlformats.org/officeDocument/2006/relationships/hyperlink" Target="https://www.nj.com/atlantic/2025/06/jersey-shore-firefighter-wins-court-battle-over-growing-beard-on-religious-grounds.html?mc_cid=2cb6755cd5&amp;mc_eid=cbaa4ade01" TargetMode="External"/><Relationship Id="rId877" Type="http://schemas.openxmlformats.org/officeDocument/2006/relationships/hyperlink" Target="https://harvardlawreview.org/print/vol-137/baker-v-city-of-mckinney/" TargetMode="External"/><Relationship Id="rId1062" Type="http://schemas.openxmlformats.org/officeDocument/2006/relationships/hyperlink" Target="file:///C:/Users/lawre/Downloads/25-26180-1.pdf" TargetMode="External"/><Relationship Id="rId2113" Type="http://schemas.openxmlformats.org/officeDocument/2006/relationships/hyperlink" Target="https://stlouiscriminaldefense.com/" TargetMode="External"/><Relationship Id="rId2320" Type="http://schemas.openxmlformats.org/officeDocument/2006/relationships/hyperlink" Target="https://www.supremecourt.ohio.gov/rod/docs/pdf/0/2009/2009-Ohio-1248.pdf" TargetMode="External"/><Relationship Id="rId2558" Type="http://schemas.openxmlformats.org/officeDocument/2006/relationships/hyperlink" Target="https://public.fastcase.com/Jhe1Qn%2BmJndQYQU6z%2FeNmypmOFzJk4IjV67xdVBvH10%2BbioR%2BE7hDrSDKPa8oeXy4gUzK0dNFlYVAdtPS9qapAikGtcKVY%2BDC%2Fxrd0A1wWk%3D?utm_medium=email&amp;_hsenc=p2ANqtz--Rb3GwipZHtCJJMLiUWpVHk6Q4w73GSXOI_LD5Raf1axu72BnOP1L2YEQ80fNqXbpHCp329zbZOj3hD1ZT_BRNOO8R9w&amp;_hsmi=226712652&amp;utm_content=226712652&amp;utm_source=hs_email" TargetMode="External"/><Relationship Id="rId2765" Type="http://schemas.openxmlformats.org/officeDocument/2006/relationships/hyperlink" Target="https://www.in.gov/judiciary/opinions/pdf/03062003jsk.pdf" TargetMode="External"/><Relationship Id="rId737" Type="http://schemas.openxmlformats.org/officeDocument/2006/relationships/hyperlink" Target="https://www.cadc.uscourts.gov/internet/opinions.nsf/55807FB471B60BB08525888E0051AEA6/$file/21-1087-1956978.pdf" TargetMode="External"/><Relationship Id="rId944" Type="http://schemas.openxmlformats.org/officeDocument/2006/relationships/hyperlink" Target="https://cases.justia.com/federal/district-courts/new-york/nyndce/6:2022cv01157/135604/81/0.pdf?ts=1772211450" TargetMode="External"/><Relationship Id="rId1367" Type="http://schemas.openxmlformats.org/officeDocument/2006/relationships/hyperlink" Target="https://www.mdcourts.gov/sites/default/files/unreported-opinions/1316s22.pdf" TargetMode="External"/><Relationship Id="rId1574" Type="http://schemas.openxmlformats.org/officeDocument/2006/relationships/hyperlink" Target="https://codes.ohio.gov/ohio-revised-code/section-9.481" TargetMode="External"/><Relationship Id="rId1781" Type="http://schemas.openxmlformats.org/officeDocument/2006/relationships/hyperlink" Target="https://www.supremecourt.gov/opinions/24pdf/23-217_9o6b.pdf" TargetMode="External"/><Relationship Id="rId2418" Type="http://schemas.openxmlformats.org/officeDocument/2006/relationships/hyperlink" Target="https://www.law.cornell.edu/rules/frcp/rule_26" TargetMode="External"/><Relationship Id="rId2625" Type="http://schemas.openxmlformats.org/officeDocument/2006/relationships/hyperlink" Target="https://www.vnews.com/Jonathan-Stone-loses-his-appeal-to-state-supreme-court-to-keep-personnel-records-private-54453646" TargetMode="External"/><Relationship Id="rId2832" Type="http://schemas.openxmlformats.org/officeDocument/2006/relationships/hyperlink" Target="https://ilcourtsaudio.blob.core.windows.net/antilles-resources/resources/a7e1e4b9-d57b-4bd7-9b5d-a27198847cd7/City%20of%20Park%20Ridge%20v.%20IL%20Labor%20Relations%20Bd%202024%20IL%20App%20(1st)%20221924-U.pdf" TargetMode="External"/><Relationship Id="rId73" Type="http://schemas.openxmlformats.org/officeDocument/2006/relationships/hyperlink" Target="https://caselaw.findlaw.com/court/ga-court-of-appeals/117421566.html" TargetMode="External"/><Relationship Id="rId804" Type="http://schemas.openxmlformats.org/officeDocument/2006/relationships/hyperlink" Target="https://www.securityindustry.org/2020/08/13/heres-what-ndaa-section-889-really-means-for-federal-grants/" TargetMode="External"/><Relationship Id="rId1227" Type="http://schemas.openxmlformats.org/officeDocument/2006/relationships/hyperlink" Target="https://www.ethics.ohio.gov/advice/opinions/91-002.pdf" TargetMode="External"/><Relationship Id="rId1434" Type="http://schemas.openxmlformats.org/officeDocument/2006/relationships/hyperlink" Target="https://casetext.com/case/mendoza-v-rio-rico-med-1" TargetMode="External"/><Relationship Id="rId1641" Type="http://schemas.openxmlformats.org/officeDocument/2006/relationships/hyperlink" Target="https://public.fastcase.com/Jhe1Qn%2BmJndQYQU6z%2FeNm07xnsMMe9XopEXpzbd8wBfIcwWisDZ8Xdk0vkVeza2z?utm_medium=email&amp;_hsenc=p2ANqtz-9GpH5Yl8KbaQKypiwjwBSc5ZewK71TROtHeH7A0Ky0SFDkHfwzpfrGRkv9wpK-L_sBVpNrip23D5GifO3TaI5YS4qT7w&amp;_hsmi=226712652&amp;utm_content=226712652&amp;utm_source=hs_email" TargetMode="External"/><Relationship Id="rId1879" Type="http://schemas.openxmlformats.org/officeDocument/2006/relationships/hyperlink" Target="https://www.law.cornell.edu/uscode/text/29/207" TargetMode="External"/><Relationship Id="rId1501" Type="http://schemas.openxmlformats.org/officeDocument/2006/relationships/hyperlink" Target="https://www.casemine.com/judgement/us/6736ce6c5891a561b0d805aa" TargetMode="External"/><Relationship Id="rId1739" Type="http://schemas.openxmlformats.org/officeDocument/2006/relationships/hyperlink" Target="https://www.dol.gov/sites/dolgov/files/WHD/opinion-letters/FMLA/2023_05_30_02_FMLA.pdf" TargetMode="External"/><Relationship Id="rId1946" Type="http://schemas.openxmlformats.org/officeDocument/2006/relationships/hyperlink" Target="https://portal.ct.gov/ag/press-releases/2022-press-releases/ag-tong-compels-purdue-and-sacklers-to-pay-six-billion-to-victims-survivors-and-states" TargetMode="External"/><Relationship Id="rId1806" Type="http://schemas.openxmlformats.org/officeDocument/2006/relationships/hyperlink" Target="http://www.courtswv.gov/supreme-court/docs/fall2023/22-0185-hutchison-p.pdf" TargetMode="External"/><Relationship Id="rId387" Type="http://schemas.openxmlformats.org/officeDocument/2006/relationships/hyperlink" Target="https://www.casemine.com/judgement/us/6a36782a174bb89f9fdb2fa9" TargetMode="External"/><Relationship Id="rId594" Type="http://schemas.openxmlformats.org/officeDocument/2006/relationships/hyperlink" Target="https://cases.justia.com/kentucky/court-of-appeals/2019-2019-ca-000504-wc.pdf?ts=1562940239" TargetMode="External"/><Relationship Id="rId2068" Type="http://schemas.openxmlformats.org/officeDocument/2006/relationships/hyperlink" Target="https://www.courts.wa.gov/opinions/pdf/862057.pdf" TargetMode="External"/><Relationship Id="rId2275" Type="http://schemas.openxmlformats.org/officeDocument/2006/relationships/hyperlink" Target="https://codes.ohio.gov/ohio-revised-code/section-4511.191" TargetMode="External"/><Relationship Id="rId247" Type="http://schemas.openxmlformats.org/officeDocument/2006/relationships/hyperlink" Target="https://law.justia.com/cases/federal/appellate-courts/ca6/13-3274/13-3274-2014-03-13.html" TargetMode="External"/><Relationship Id="rId899" Type="http://schemas.openxmlformats.org/officeDocument/2006/relationships/hyperlink" Target="https://public.fastcase.com/waZtJvSA54UAurM2rmIZz%2BDBDza2Dcvrp2SE0zpDRm3uGB65hvSCPfK4VjLpx5do7UnCIAIPH2MB5FJFO94Wb3w6W7ePwbFST%2FncfNL0phQ%3D" TargetMode="External"/><Relationship Id="rId1084" Type="http://schemas.openxmlformats.org/officeDocument/2006/relationships/hyperlink" Target="https://www.courtswv.gov/sites/default/pubfilesmnt/2024-03/23-ICA-446_MD.pdf" TargetMode="External"/><Relationship Id="rId2482" Type="http://schemas.openxmlformats.org/officeDocument/2006/relationships/hyperlink" Target="https://ilcourtsaudio.blob.core.windows.net/antilles-resources/resources/92cdfb54-2dda-4342-acee-d86ea11493ea/Szymala%20v.%20Romeoville%20Firefighters%27%20Pension%20Fund,%202023%20IL%20App%20(3d)%20220093-U.pdf" TargetMode="External"/><Relationship Id="rId2787" Type="http://schemas.openxmlformats.org/officeDocument/2006/relationships/hyperlink" Target="https://www.law.com/newyorklawjournal/2019/04/29/new-lactation-room-laws-what-employers-need-to-know/" TargetMode="External"/><Relationship Id="rId107" Type="http://schemas.openxmlformats.org/officeDocument/2006/relationships/hyperlink" Target="https://www.tncourts.gov/sites/default/files/OpinionsPDFVersion/Majority%20Opinion%20-%20M2023-01176-CCA-R3-CD.pdf" TargetMode="External"/><Relationship Id="rId454" Type="http://schemas.openxmlformats.org/officeDocument/2006/relationships/hyperlink" Target="https://casetext.com/case/christensen-v-murphy" TargetMode="External"/><Relationship Id="rId661" Type="http://schemas.openxmlformats.org/officeDocument/2006/relationships/hyperlink" Target="https://rhodeislandcurrent.com/wp-content/uploads/2025/09/IL-v.-FEMA-1.pdf" TargetMode="External"/><Relationship Id="rId759" Type="http://schemas.openxmlformats.org/officeDocument/2006/relationships/hyperlink" Target="https://www.law.cornell.edu/uscode/text/18/249" TargetMode="External"/><Relationship Id="rId966" Type="http://schemas.openxmlformats.org/officeDocument/2006/relationships/hyperlink" Target="https://casetext.com/statute/texas-codes/civil-practice-and-remedies-code/title-5-governmental-liability/chapter-101-tort-claims/subchapter-b-tort-liability-of-governmental-units/section-101021-governmental-liability" TargetMode="External"/><Relationship Id="rId1291" Type="http://schemas.openxmlformats.org/officeDocument/2006/relationships/hyperlink" Target="https://www.courts.ri.gov/Courts/SupremeCourt/SupremeOpinions/17-295.pdf" TargetMode="External"/><Relationship Id="rId1389" Type="http://schemas.openxmlformats.org/officeDocument/2006/relationships/hyperlink" Target="https://public.fastcase.com/ZZhmr5v9wN%2FXOe5IsQ%2FqD6X8aBICmIyWVJScKPpCyRhR7mDWsTx8EU8Grq%2B%2B4ZtL7A%2BZetNPKoBujU7we%2BcNkmURNKpv4aGWRHQtd1T1moA%3D?utm_medium=email&amp;_hsmi=226712652&amp;_hsenc=p2ANqtz-9OBKIBZDi8r8oE28UFobupYGxopyoQah8HvX1c9zj34g5f00t_mZAGDNIEFbeFR3R6TbvecwhsL2yyD5Q92lFJJe2-2g&amp;utm_content=226712652&amp;utm_source=hs_email" TargetMode="External"/><Relationship Id="rId1596" Type="http://schemas.openxmlformats.org/officeDocument/2006/relationships/hyperlink" Target="https://casetext.com/case/alamo-v-city-of-chi-2" TargetMode="External"/><Relationship Id="rId2135" Type="http://schemas.openxmlformats.org/officeDocument/2006/relationships/hyperlink" Target="https://www.courts.maine.gov/courts/sjc/lawcourt/2024/24me030.pdf" TargetMode="External"/><Relationship Id="rId2342" Type="http://schemas.openxmlformats.org/officeDocument/2006/relationships/hyperlink" Target="https://public.fastcase.com/Wl%2B2t%2BeVuI35%2FN70vAMFZv50h%2Fykh7FShFoRYs3ZTa26w8rY%2BXvT1%2B6dqL4OkZlK" TargetMode="External"/><Relationship Id="rId2647" Type="http://schemas.openxmlformats.org/officeDocument/2006/relationships/hyperlink" Target="https://supreme.justia.com/cases/federal/us/405/150/" TargetMode="External"/><Relationship Id="rId314" Type="http://schemas.openxmlformats.org/officeDocument/2006/relationships/hyperlink" Target="https://www.opn.ca6.uscourts.gov/opinions.pdf/20a0374n-06.pdf" TargetMode="External"/><Relationship Id="rId521" Type="http://schemas.openxmlformats.org/officeDocument/2006/relationships/hyperlink" Target="https://www.documentcloud.org/documents/23589006-firefighter-suit-terrance-jones-et-al-v-coj-order-finalizing-case011323" TargetMode="External"/><Relationship Id="rId619" Type="http://schemas.openxmlformats.org/officeDocument/2006/relationships/hyperlink" Target="https://codes.findlaw.com/ny/general-municipal-law/gmu-sect-205-a.html" TargetMode="External"/><Relationship Id="rId1151" Type="http://schemas.openxmlformats.org/officeDocument/2006/relationships/hyperlink" Target="https://public.fastcase.com/J%2FJP6pdidelsXxEE4k%2BLMgZsxRPxIagHaOxK3V7dyuXFeFyB6fz1Dln4tTh4Jm%2FUrhr8rAmwFuGj0jKVlSZT92lB7laeHNqW0rDlXNrGxCk%3D?utm_medium=email&amp;_hsmi=226712652&amp;_hsenc=p2ANqtz-88sbIkrx-fKIJNKIHom0LKoVEBAjtP4sRnfpcv7MlL8ga8F7YTwpRtQY7XbucL3D6C1qELcyLUMrsKcjyI3sLUlue5QA&amp;utm_content=226712652&amp;utm_source=hs_email" TargetMode="External"/><Relationship Id="rId1249" Type="http://schemas.openxmlformats.org/officeDocument/2006/relationships/hyperlink" Target="https://law.justia.com/cases/federal/appellate-courts/ca6/19-1416/19-1416-2020-06-05.html" TargetMode="External"/><Relationship Id="rId2202" Type="http://schemas.openxmlformats.org/officeDocument/2006/relationships/hyperlink" Target="https://public.fastcase.com/J%2FJP6pdidelsXxEE4k%2BLMmkKAOu2og4RFw84MS%2B8ggk3sjpW8vutPxLex2RgGn%2Bt2Jik%2FeX8PJts3C%2F6Q%2Fo%2BG%2BiayCxJf82VEENSX79a%2FfU%3D?utm_medium=email&amp;_hsmi=226712652&amp;_hsenc=p2ANqtz-9IQANQQw8c4G50juoB1YOeI9PRU9K182hoTYcfz0uXjPfI5SdzNRjzRb60ER6nqwMSPaZSSyOzlxBsxtCZ7kFqJFFA4g&amp;utm_content=226712652&amp;utm_source=hs_email" TargetMode="External"/><Relationship Id="rId2854" Type="http://schemas.openxmlformats.org/officeDocument/2006/relationships/hyperlink" Target="https://search.txcourts.gov/SearchMedia.aspx?MediaVersionID=b6a5eb11-d9ee-4713-9079-a7fc018a0d0c&amp;coa=cossup&amp;DT=OPINION&amp;MediaID=180a364b-e3a9-4c3b-bb68-7b88944c20ad" TargetMode="External"/><Relationship Id="rId95" Type="http://schemas.openxmlformats.org/officeDocument/2006/relationships/hyperlink" Target="https://www.rcfp.org/resources/anti-slapp-laws/" TargetMode="External"/><Relationship Id="rId826" Type="http://schemas.openxmlformats.org/officeDocument/2006/relationships/hyperlink" Target="https://www.leagle.com/cite/557%20F.3d%201117" TargetMode="External"/><Relationship Id="rId1011" Type="http://schemas.openxmlformats.org/officeDocument/2006/relationships/hyperlink" Target="https://cases.justia.com/louisiana/fourth-circuit-court-of-appeal/2020-2019-ca-0250.pdf?ts=1578564502" TargetMode="External"/><Relationship Id="rId1109" Type="http://schemas.openxmlformats.org/officeDocument/2006/relationships/hyperlink" Target="https://public.fastcase.com/H1P9uiW3J20SFp%2BGCG%2BxLTokB0aoklJy6U6lHfy%2FfW4XgHUeDnfzCtV2IraSxfBK?utm_medium=email&amp;_hsmi=226712652&amp;_hsenc=p2ANqtz-_gim38WUKhev0Avzaj483M_b7fed8rsJvlzMdOQbFB_Jpk5Z-" TargetMode="External"/><Relationship Id="rId1456" Type="http://schemas.openxmlformats.org/officeDocument/2006/relationships/hyperlink" Target="https://public.fastcase.com/Wl%2B2t%2BeVuI35%2FN70vAMFZlbQ%2BrzY3OsVa9hMy3HWGsXkXncgvfLlObTaYTDVckkj" TargetMode="External"/><Relationship Id="rId1663" Type="http://schemas.openxmlformats.org/officeDocument/2006/relationships/hyperlink" Target="https://caselaw.findlaw.com/court/us-11th-circuit/115273034.html" TargetMode="External"/><Relationship Id="rId1870" Type="http://schemas.openxmlformats.org/officeDocument/2006/relationships/hyperlink" Target="https://www.leagle.com/decision/infco20170803124" TargetMode="External"/><Relationship Id="rId1968" Type="http://schemas.openxmlformats.org/officeDocument/2006/relationships/hyperlink" Target="https://www.npr.org/2021/11/01/1051321580/california-judge-drug-companies-opioid-crisis-allergan-endo-johnson-teva" TargetMode="External"/><Relationship Id="rId2507" Type="http://schemas.openxmlformats.org/officeDocument/2006/relationships/hyperlink" Target="https://casetext.com/case/commonwealth-v-purnell-10" TargetMode="External"/><Relationship Id="rId2714" Type="http://schemas.openxmlformats.org/officeDocument/2006/relationships/hyperlink" Target="https://www.cleveland19.com/2020/01/26/year-old-woman-loses-life-after-house-goes-up-flames-clevelands-west-side-adults-children-safely-out/" TargetMode="External"/><Relationship Id="rId2921" Type="http://schemas.openxmlformats.org/officeDocument/2006/relationships/hyperlink" Target="https://www.hud.gov/program_offices/housing/sfh/reo/goodn/gnndabot" TargetMode="External"/><Relationship Id="rId1316" Type="http://schemas.openxmlformats.org/officeDocument/2006/relationships/hyperlink" Target="https://www.courts.state.md.us/data/opinions/cosa/2018/0319s17.pdf" TargetMode="External"/><Relationship Id="rId1523" Type="http://schemas.openxmlformats.org/officeDocument/2006/relationships/hyperlink" Target="https://apnews.com/hub/diversity-equity-and-inclusion" TargetMode="External"/><Relationship Id="rId1730" Type="http://schemas.openxmlformats.org/officeDocument/2006/relationships/hyperlink" Target="http://www.startribune.com/former-mpls-firefighter-will-be-able-to-sue-for-disability-discrimination-high-court-rules/506468082/" TargetMode="External"/><Relationship Id="rId22" Type="http://schemas.openxmlformats.org/officeDocument/2006/relationships/hyperlink" Target="http://www.waveland.com/browse.php?t=708" TargetMode="External"/><Relationship Id="rId1828" Type="http://schemas.openxmlformats.org/officeDocument/2006/relationships/hyperlink" Target="https://www.providencejournal.com/story/news/courts/2020/10/20/central-coventry-firefighters-say-district-stiffed-them-overtime/5990213002/" TargetMode="External"/><Relationship Id="rId171" Type="http://schemas.openxmlformats.org/officeDocument/2006/relationships/hyperlink" Target="https://public.fastcase.com/ZZhmr5v9wN%2FXOe5IsQ%2FqD2fzv3LeHoflue5q9psYL7ORT%2BZZIoU2RVo8o6kc8WH7t7R2fWOBL%2B6EWJeWP%2BK6nygdTJbos59lEHeljv9w%2F%2Bc%3D?utm_medium=email&amp;_hsmi=226712652&amp;_hsenc=p2ANqtz-9_BwSf3Cp56T9vKm_WV06wXpWhxnLFIP0rTKtRtiI7Ej-XlIsGIA-Piz3XwrAq08q95_o9LD6MRwwtLQfaW73VBnYSKQ&amp;utm_content=226712652&amp;utm_source=hs_email" TargetMode="External"/><Relationship Id="rId2297" Type="http://schemas.openxmlformats.org/officeDocument/2006/relationships/hyperlink" Target="https://fisheldowney.com/texas-federal-court-permits-employer-vaccine-mandates-mean-ohio-employers/" TargetMode="External"/><Relationship Id="rId269" Type="http://schemas.openxmlformats.org/officeDocument/2006/relationships/hyperlink" Target="https://www.supremecourt.gov/opinions/20pdf/19-292_21p3.pdf" TargetMode="External"/><Relationship Id="rId476" Type="http://schemas.openxmlformats.org/officeDocument/2006/relationships/hyperlink" Target="https://casetext.com/statute/florida-statutes/title-x-public-officers-employees-and-records/chapter-112-public-officers-and-employees-general-provisions/part-i-conditions-of-employment-retirement-travel-expenses/section-112182-firefighter-rule-abolished" TargetMode="External"/><Relationship Id="rId683" Type="http://schemas.openxmlformats.org/officeDocument/2006/relationships/hyperlink" Target="https://casetext.com/statute/california-codes/california-penal-code/part-2-of-criminal-procedure/title-6-pleadings-and-proceedings-before-trial/chapter-28a-diversion-of-individuals-with-mental-disorders/section-100136-pretrial-diversion-for-persons-with-mental-disorders" TargetMode="External"/><Relationship Id="rId890" Type="http://schemas.openxmlformats.org/officeDocument/2006/relationships/hyperlink" Target="http://www.courtswv.gov/supreme-court/memo-decisions/spring2023/21-0921%20md.pdf" TargetMode="External"/><Relationship Id="rId2157" Type="http://schemas.openxmlformats.org/officeDocument/2006/relationships/hyperlink" Target="https://cases.justia.com/minnesota/court-of-appeals/2024-a23-1210.pdf?ts=1710536669" TargetMode="External"/><Relationship Id="rId2364" Type="http://schemas.openxmlformats.org/officeDocument/2006/relationships/hyperlink" Target="https://firstliberty.org/media/breaking-church-louisville-ky-mayor-reach-agreement-in-dispute-over-drive-in-church-services/" TargetMode="External"/><Relationship Id="rId2571" Type="http://schemas.openxmlformats.org/officeDocument/2006/relationships/hyperlink" Target="https://www.dispatch.com/story/news/crime/2025/05/22/columbus-firefighter-child-porn-charges-lancaster-ohio-carson-bigham/83795834007/" TargetMode="External"/><Relationship Id="rId129" Type="http://schemas.openxmlformats.org/officeDocument/2006/relationships/hyperlink" Target="https://cases.justia.com/texas/fourteenth-court-of-appeals/2024-14-23-00355-cr.pdf?ts=1724329963" TargetMode="External"/><Relationship Id="rId336" Type="http://schemas.openxmlformats.org/officeDocument/2006/relationships/hyperlink" Target="https://www.courts.ca.gov/opinions/nonpub/C087060.PDF" TargetMode="External"/><Relationship Id="rId543" Type="http://schemas.openxmlformats.org/officeDocument/2006/relationships/hyperlink" Target="https://public.fastcase.com/9SKwsfNqTc6OieYDhNMyM3GFxg7E14LGt6irGiW6D0AdOSai6WztEAqO8TQbOt2UAfcs%2Ff2iM4MWcxpFzO0W88e5H95ADB2MkHVFfrY4yKc%3D" TargetMode="External"/><Relationship Id="rId988" Type="http://schemas.openxmlformats.org/officeDocument/2006/relationships/hyperlink" Target="https://codes.ohio.gov/ohio-revised-code/section-4511.03" TargetMode="External"/><Relationship Id="rId1173" Type="http://schemas.openxmlformats.org/officeDocument/2006/relationships/hyperlink" Target="https://casetext.com/case/regan-v-city-of-philadelphia-workers-comp-appeal-board" TargetMode="External"/><Relationship Id="rId1380" Type="http://schemas.openxmlformats.org/officeDocument/2006/relationships/hyperlink" Target="https://codes.ohio.gov/ohio-revised-code/section-4112.021" TargetMode="External"/><Relationship Id="rId2017" Type="http://schemas.openxmlformats.org/officeDocument/2006/relationships/hyperlink" Target="https://cases.justia.com/tennessee/court-of-appeals/2026-m2025-00288-coa-r3-cv.pdf?ts=1779919242" TargetMode="External"/><Relationship Id="rId2224" Type="http://schemas.openxmlformats.org/officeDocument/2006/relationships/hyperlink" Target="https://public.fastcase.com/J%2FJP6pdidelsXxEE4k%2BLMqK%2F7dEyjXc%2F7MSStJKYdkuUI2%2BsluBCAbCgNdX488UO%2BveqO8oLQ0RNBWqaiEFfWGkDgcs9M5oh9hj%2FtPj21RY%3D?utm_medium=email&amp;_hsmi=226712652&amp;_hsenc=p2ANqtz-9TZeiC7Qp2HA_ZU4GxpYYZhIBONOkNnO3yTlBCsoF00PWMECQ5punx4hjGs90LCim5ScH4TNtnDpd9JYQeMwpFQeZwiA&amp;utm_content=226712652&amp;utm_source=hs_email" TargetMode="External"/><Relationship Id="rId2669" Type="http://schemas.openxmlformats.org/officeDocument/2006/relationships/hyperlink" Target="https://public.fastcase.com/J%2FJP6pdidelsXxEE4k%2BLMvAA4wdVAozHclcXP6KMfdj8CYqWYkZ5IhtTDMjNxRFWt37yGVInB8Zz%2FIGBMgeG32vITwI53h9KaHKQGHtOktA%3D?utm_medium=email&amp;_hsmi=226712652&amp;_hsenc=p2ANqtz-_Mw2AEs2jMeK8CMsm-FXL9B_q1HIVWLrxWyxNhgUshAzXtvMAG3R8e40Q3eYuBvp5AUcCDxAlMrpInvyyHAC9DF5hGYw&amp;utm_content=226712652&amp;utm_source=hs_email" TargetMode="External"/><Relationship Id="rId2876" Type="http://schemas.openxmlformats.org/officeDocument/2006/relationships/hyperlink" Target="https://www.daytondailynews.com/news/west-carrollton-rehire-fire-chief-after-valentine-week-retirement/XSsYoJpSmxdkIIZtoGUpzJ/" TargetMode="External"/><Relationship Id="rId403" Type="http://schemas.openxmlformats.org/officeDocument/2006/relationships/hyperlink" Target="https://public.fastcase.com/Jhe1Qn%2BmJndQYQU6z%2FeNm3W8hWyjy%2F1qvTK0bYKmSBd7FCE1skWJo447G5Oh2b2vHFVB1fMS7gUR6rAKwE%2FNSCY%2BUXiquDJL%2FDOTOozOi%2FE%3D?utm_medium=email&amp;_hsenc=p2ANqtz--CwMJ1WgahfFouwurH1AvRaq-FpGCK4j_ZGMvVW2VvGo-JzLehL1L025aP9c9K1EJ-bt_z2jfpLFjtfV3Ucq7sQ0mkPQ&amp;_hsmi=226712652&amp;utm_content=226712652&amp;utm_source=hs_email" TargetMode="External"/><Relationship Id="rId750" Type="http://schemas.openxmlformats.org/officeDocument/2006/relationships/hyperlink" Target="https://casetext.com/case/united-states-v-musaibli-1" TargetMode="External"/><Relationship Id="rId848" Type="http://schemas.openxmlformats.org/officeDocument/2006/relationships/hyperlink" Target="https://in.reuters.com/article/usa-court-iran/u-s-top-court-forbids-seizure-of-ancient-persian-artifacts-idINKCN1G51ZY" TargetMode="External"/><Relationship Id="rId1033" Type="http://schemas.openxmlformats.org/officeDocument/2006/relationships/hyperlink" Target="https://codes.ohio.gov/ohio-revised-code/section-505.381" TargetMode="External"/><Relationship Id="rId1478" Type="http://schemas.openxmlformats.org/officeDocument/2006/relationships/hyperlink" Target="https://law.justia.com/cases/federal/district-courts/alabama/alndce/4:2016cv01604/160190/55/" TargetMode="External"/><Relationship Id="rId1685" Type="http://schemas.openxmlformats.org/officeDocument/2006/relationships/hyperlink" Target="https://cases.justia.com/federal/district-courts/tennessee/tnmdce/3:2021cv00807/88141/32/0.pdf" TargetMode="External"/><Relationship Id="rId1892" Type="http://schemas.openxmlformats.org/officeDocument/2006/relationships/hyperlink" Target="http://41af3k34gprx4f6bg12df75i.wpengine.netdna-cdn.com/wp-content/uploads/sites/19/2019/05/Ramirez-v.-City-of-Fort-Lauderdale-Fire-Rescue_-2019-U.pdf" TargetMode="External"/><Relationship Id="rId2431" Type="http://schemas.openxmlformats.org/officeDocument/2006/relationships/hyperlink" Target="http://media.ca11.uscourts.gov/opinions/pub/files/201814687.pdf" TargetMode="External"/><Relationship Id="rId2529" Type="http://schemas.openxmlformats.org/officeDocument/2006/relationships/hyperlink" Target="https://www.supremecourt.ohio.gov/rod/docs/pdf/7/2026/2026-Ohio-2671.pdf" TargetMode="External"/><Relationship Id="rId2736" Type="http://schemas.openxmlformats.org/officeDocument/2006/relationships/hyperlink" Target="http://www.ca5.uscourts.gov/opinions/unpub/20/20-20087.0.pdf" TargetMode="External"/><Relationship Id="rId610" Type="http://schemas.openxmlformats.org/officeDocument/2006/relationships/hyperlink" Target="http://www.caohc.org/updatearticles/2017/Update_v29-i1.pdf" TargetMode="External"/><Relationship Id="rId708" Type="http://schemas.openxmlformats.org/officeDocument/2006/relationships/hyperlink" Target="https://www.cdcr.ca.gov/facility-locator/conservation-camps/camps/" TargetMode="External"/><Relationship Id="rId915" Type="http://schemas.openxmlformats.org/officeDocument/2006/relationships/hyperlink" Target="https://www.supremecourt.gov/opinions/21pdf/20-1668_19m2.pdf" TargetMode="External"/><Relationship Id="rId1240" Type="http://schemas.openxmlformats.org/officeDocument/2006/relationships/hyperlink" Target="https://www.eeoc.gov/statutes/age-discrimination-employment-act-1967" TargetMode="External"/><Relationship Id="rId1338" Type="http://schemas.openxmlformats.org/officeDocument/2006/relationships/hyperlink" Target="https://cases.justia.com/federal/district-courts/ohio/ohsdce/1:2023cv00273/279746/32/0.pdf?ts=1759344788" TargetMode="External"/><Relationship Id="rId1545" Type="http://schemas.openxmlformats.org/officeDocument/2006/relationships/hyperlink" Target="https://www.usnews.com/news/us/articles/2024-01-14/as-legal-challenges-mount-some-companies-retool-diversity-and-inclusion-programs" TargetMode="External"/><Relationship Id="rId2943" Type="http://schemas.openxmlformats.org/officeDocument/2006/relationships/hyperlink" Target="https://codes.ohio.gov/ohio-revised-code/section-149.43" TargetMode="External"/><Relationship Id="rId1100" Type="http://schemas.openxmlformats.org/officeDocument/2006/relationships/hyperlink" Target="https://ilcourtsaudio.blob.core.windows.net/antilles-resources/resources/db67e7e2-0717-4638-8c31-3e01bcc193d9/Faruzzi%20v.%20Illinois%20Workers%27%20Compensation%20Comm%27n,%202024%20IL%20App%20(1st)%20231896WC-U.pdf" TargetMode="External"/><Relationship Id="rId1405" Type="http://schemas.openxmlformats.org/officeDocument/2006/relationships/hyperlink" Target="https://casetext.com/case/merrill-v-lane-fire-auth-1" TargetMode="External"/><Relationship Id="rId1752" Type="http://schemas.openxmlformats.org/officeDocument/2006/relationships/hyperlink" Target="https://www.njcourts.gov/system/files/court-opinions/2026/a1218-25.pdf" TargetMode="External"/><Relationship Id="rId2803" Type="http://schemas.openxmlformats.org/officeDocument/2006/relationships/hyperlink" Target="https://d.docs.live.net/bd9b2eaf6053242e/AppData/Roaming/Microsoft/AppData/Local/Microsoft/Windows/INetCache/IE/NZ9VF3P4/Christian-Firefighter.pdf" TargetMode="External"/><Relationship Id="rId44" Type="http://schemas.openxmlformats.org/officeDocument/2006/relationships/hyperlink" Target="https://cases.justia.com/texas/first-court-of-appeals/2025-01-23-00905-cv.pdf?ts=1767189326" TargetMode="External"/><Relationship Id="rId1612" Type="http://schemas.openxmlformats.org/officeDocument/2006/relationships/hyperlink" Target="https://public.fastcase.com/Wl%2B2t%2BeVuI35%2FN70vAMFZu9WSCqieY3u1gfnWEwDVajGcV1Qbmc97gDjPt%2BB6d9C" TargetMode="External"/><Relationship Id="rId1917" Type="http://schemas.openxmlformats.org/officeDocument/2006/relationships/hyperlink" Target="https://www.youtube.com/watch?v=1jL6w0_sguI" TargetMode="External"/><Relationship Id="rId193" Type="http://schemas.openxmlformats.org/officeDocument/2006/relationships/hyperlink" Target="https://www.justice.gov/usao-edca/pr/siskiyou-county-man-sentenced-1-year-prison-major-fraud-against-united-states-taking" TargetMode="External"/><Relationship Id="rId498" Type="http://schemas.openxmlformats.org/officeDocument/2006/relationships/hyperlink" Target="https://www.firehero.org/fallen-firefighter/russell-h-hayes/" TargetMode="External"/><Relationship Id="rId2081" Type="http://schemas.openxmlformats.org/officeDocument/2006/relationships/hyperlink" Target="https://caselaw.findlaw.com/court/ak-supreme-court/117230404.html" TargetMode="External"/><Relationship Id="rId2179" Type="http://schemas.openxmlformats.org/officeDocument/2006/relationships/hyperlink" Target="http://www.courtswv.gov/supreme-court/docs/fall2023/22-0202-wooton-p.pdf" TargetMode="External"/><Relationship Id="rId260" Type="http://schemas.openxmlformats.org/officeDocument/2006/relationships/hyperlink" Target="https://cases.justia.com/california/court-of-appeal/2021-b295666.pdf?ts=1625180487" TargetMode="External"/><Relationship Id="rId2386" Type="http://schemas.openxmlformats.org/officeDocument/2006/relationships/hyperlink" Target="https://www.in.gov/judiciary/opinions/pdf/07151902rra.pdf" TargetMode="External"/><Relationship Id="rId2593" Type="http://schemas.openxmlformats.org/officeDocument/2006/relationships/hyperlink" Target="https://www.courts.state.hi.us/wp-content/uploads/2025/06/CAAP-22-0000641sdo.pdf" TargetMode="External"/><Relationship Id="rId120" Type="http://schemas.openxmlformats.org/officeDocument/2006/relationships/hyperlink" Target="https://www.firehero.org/fallen-firefighter/charles-e-morton/" TargetMode="External"/><Relationship Id="rId358" Type="http://schemas.openxmlformats.org/officeDocument/2006/relationships/hyperlink" Target="https://cases.justia.com/federal/appellate-courts/ca7/17-3060/17-3060-2018-08-14.pdf?ts=1534262420" TargetMode="External"/><Relationship Id="rId565" Type="http://schemas.openxmlformats.org/officeDocument/2006/relationships/hyperlink" Target="https://codes.findlaw.com/ny/general-obligations-law/gob-sect-11-106.html" TargetMode="External"/><Relationship Id="rId772" Type="http://schemas.openxmlformats.org/officeDocument/2006/relationships/hyperlink" Target="https://www.law.cornell.edu/definitions/uscode.php?width=840&amp;height=800&amp;iframe=true&amp;def_id=8-USC-2032517217-1201680101&amp;term_occur=999&amp;term_src=" TargetMode="External"/><Relationship Id="rId1195" Type="http://schemas.openxmlformats.org/officeDocument/2006/relationships/hyperlink" Target="https://www.lasc.org/Opinions/2021/20-1231.C.OPN.pdf" TargetMode="External"/><Relationship Id="rId2039" Type="http://schemas.openxmlformats.org/officeDocument/2006/relationships/hyperlink" Target="https://law.justia.com/cases/new-york/appellate-division-third-department/2026/cv-24-1117-cv-25-0151.html" TargetMode="External"/><Relationship Id="rId2246" Type="http://schemas.openxmlformats.org/officeDocument/2006/relationships/hyperlink" Target="https://public.fastcase.com/waZtJvSA54UAurM2rmIZz3GImxM8vVu83JjC1hitqCF6J52x3NFj71FjQLuzCLQnmvBPUszpB78vzjnxu9to%2Fq0ClMx7mkWBtvY01d0uDxg%3D" TargetMode="External"/><Relationship Id="rId2453" Type="http://schemas.openxmlformats.org/officeDocument/2006/relationships/hyperlink" Target="https://www.courts.wa.gov/opinions/pdf/D2%2058295-3-II%20Unpublished%20Opinion.pdf" TargetMode="External"/><Relationship Id="rId2660" Type="http://schemas.openxmlformats.org/officeDocument/2006/relationships/hyperlink" Target="https://law.justia.com/cases/florida/third-district-court-of-appeal/2022/3d21-2413.html" TargetMode="External"/><Relationship Id="rId2898" Type="http://schemas.openxmlformats.org/officeDocument/2006/relationships/hyperlink" Target="http://www.illinoiscourts.gov/Opinions/AppellateCourt/2019/1stDistrict/1172907.pdf" TargetMode="External"/><Relationship Id="rId218" Type="http://schemas.openxmlformats.org/officeDocument/2006/relationships/hyperlink" Target="https://casetext.com/case/commonwealth-v-wise-36" TargetMode="External"/><Relationship Id="rId425" Type="http://schemas.openxmlformats.org/officeDocument/2006/relationships/hyperlink" Target="https://cases.justia.com/federal/district-courts/new-york/nysdce/7:2024cv04470/623029/85/0.pdf?ts=1756903853" TargetMode="External"/><Relationship Id="rId632" Type="http://schemas.openxmlformats.org/officeDocument/2006/relationships/hyperlink" Target="https://www.supremecourt.gov/opinions/25pdf/25-1083_f204.pdf" TargetMode="External"/><Relationship Id="rId1055" Type="http://schemas.openxmlformats.org/officeDocument/2006/relationships/hyperlink" Target="https://cases.justia.com/new-york/other-courts/2025-2025-ny-slip-op-33207-u.pdf?ts=1757714614" TargetMode="External"/><Relationship Id="rId1262" Type="http://schemas.openxmlformats.org/officeDocument/2006/relationships/hyperlink" Target="http://app.leg.wa.gov/RCW/default.aspx?cite=51.08.140" TargetMode="External"/><Relationship Id="rId2106" Type="http://schemas.openxmlformats.org/officeDocument/2006/relationships/image" Target="media/image5.png"/><Relationship Id="rId2313" Type="http://schemas.openxmlformats.org/officeDocument/2006/relationships/hyperlink" Target="https://casetext.com/case/county-of-sacramento-v-lewis" TargetMode="External"/><Relationship Id="rId2520" Type="http://schemas.openxmlformats.org/officeDocument/2006/relationships/hyperlink" Target="https://www.firerescue1.com/fallen-firefighters/articles/379994018-Study-More-firefighters-died-by-suicide-than-in-the-line-of-duty-in-2017/" TargetMode="External"/><Relationship Id="rId2758" Type="http://schemas.openxmlformats.org/officeDocument/2006/relationships/hyperlink" Target="https://public.fastcase.com/Wl%2B2t%2BeVuI35%2FN70vAMFZpe9nZQy4%2Fh5OlPwYBiXwZiKHRqMJ6M13sKp4yP4%2F%2BSx" TargetMode="External"/><Relationship Id="rId937" Type="http://schemas.openxmlformats.org/officeDocument/2006/relationships/hyperlink" Target="http://www.supremecourt.ohio.gov/rod/docs/pdf/5/2018/2018-Ohio-3436.pdf" TargetMode="External"/><Relationship Id="rId1122" Type="http://schemas.openxmlformats.org/officeDocument/2006/relationships/hyperlink" Target="https://www.pacourts.us/assets/opinions/Commonwealth/out/726CD22_10-3-23.pdf?cb=1" TargetMode="External"/><Relationship Id="rId1567" Type="http://schemas.openxmlformats.org/officeDocument/2006/relationships/hyperlink" Target="https://boingboing.net/2017/11/06/city-of-miami-demands-media-st.html" TargetMode="External"/><Relationship Id="rId1774" Type="http://schemas.openxmlformats.org/officeDocument/2006/relationships/hyperlink" Target="https://cases.justia.com/federal/district-courts/minnesota/mndce/0:2023cv01780/208467/146/0.pdf?ts=1750499803" TargetMode="External"/><Relationship Id="rId1981" Type="http://schemas.openxmlformats.org/officeDocument/2006/relationships/hyperlink" Target="http://www.drugconsumptionroom-international.org/images/pdf/dcr_in_rotterdam_amsterdam.pdf" TargetMode="External"/><Relationship Id="rId2618" Type="http://schemas.openxmlformats.org/officeDocument/2006/relationships/hyperlink" Target="https://cdn.ca9.uscourts.gov/datastore/opinions/2023/08/04/22-15485.pdf" TargetMode="External"/><Relationship Id="rId2825" Type="http://schemas.openxmlformats.org/officeDocument/2006/relationships/hyperlink" Target="https://public.fastcase.com/jaEE2PXzRXmZ99jOLMt1IpPvzvvllZ7Rrt4VKwyGVntYyQb9IRuNiNqVshy4%2Bl2z%2BsY6VEZuB3eEVHjKlzOdk%2FP8W50g7Bl84BsJ%2BT14tOs%3D?utm_medium=email&amp;_hsenc=p2ANqtz-8_cjXUjI5LfLOi5ALG6MFLDFJJrn3rZsNciOMXnsNsHK54iflcoWeqPuq6ELEpSWLnjpVW4QqFeFKVqziKDzXrD-fT4Q&amp;_hsmi=226712652&amp;utm_content=226712652&amp;utm_source=hs_email" TargetMode="External"/><Relationship Id="rId66" Type="http://schemas.openxmlformats.org/officeDocument/2006/relationships/hyperlink" Target="https://ecf.flmd.uscourts.gov/cgi-bin/show_public_doc?2023-01890-113-6-cv" TargetMode="External"/><Relationship Id="rId1427" Type="http://schemas.openxmlformats.org/officeDocument/2006/relationships/hyperlink" Target="https://journalstar.com/news/local/crime-and-courts/federal-judge-denies-request-for-injunction-independent-review-in-firefights-lawsuit/article_57be96fb-75f1-5b57-90b3-87e7c60cfb50.html" TargetMode="External"/><Relationship Id="rId1634" Type="http://schemas.openxmlformats.org/officeDocument/2006/relationships/hyperlink" Target="https://public.fastcase.com/Jhe1Qn%2BmJndQYQU6z%2FeNm2kS7VI9AQpJ451BKRyshBDGiqezkPNA%2BJ4Mc%2Fomhxj3zuPpdWN764R4JuE3lYQbe83p1Nq1XHA6CB8LuiXwXBM%3D?utm_medium=email&amp;_hsenc=p2ANqtz-_xBqvIlP1bgLDQ7-gr0MsyD2cqh9I-7H0nRbwq_ndvk4N-HbAk55liN5jXfY0IgeNEDhFcwLKOWXCSzt7avhQkvFQDlA&amp;_hsmi=226712652&amp;utm_content=226712652&amp;utm_source=hs_email" TargetMode="External"/><Relationship Id="rId1841" Type="http://schemas.openxmlformats.org/officeDocument/2006/relationships/hyperlink" Target="http://www.firefighterovertime.org/2021/11/08/va-beach-settles-flsa-lawsuit/" TargetMode="External"/><Relationship Id="rId1939" Type="http://schemas.openxmlformats.org/officeDocument/2006/relationships/hyperlink" Target="https://public.fastcase.com/H1P9uiW3J20SFp%2BGCG%2BxLWxsjT87vgsYeUyD6XhJjN4sWvyHUDi1iD6eePPdFLtF?utm_medium=email&amp;_hsmi=226712652&amp;_hsenc=p2ANqtz-_iI2JExLit36jQEG92m9s-4sdtZgfob1tVRc-o7xFd5g7DvtyOGh3o-vGJ1z88YzXriHS74jMuVuWJoviL5aHAnGRzpg&amp;utm_content=226712652&amp;utm_source=hs_email" TargetMode="External"/><Relationship Id="rId1701" Type="http://schemas.openxmlformats.org/officeDocument/2006/relationships/hyperlink" Target="https://casetext.com/case/frost-v-provident-life-and-accident-insurance-co-1" TargetMode="External"/><Relationship Id="rId282" Type="http://schemas.openxmlformats.org/officeDocument/2006/relationships/hyperlink" Target="https://www.ethics.ohio.gov/education/gifts.html" TargetMode="External"/><Relationship Id="rId587" Type="http://schemas.openxmlformats.org/officeDocument/2006/relationships/hyperlink" Target="https://www.courts.wa.gov/opinions/pdf/778315.pdf" TargetMode="External"/><Relationship Id="rId2170" Type="http://schemas.openxmlformats.org/officeDocument/2006/relationships/hyperlink" Target="https://casetext.com/case/reid-v-med-ctr-healthems" TargetMode="External"/><Relationship Id="rId2268" Type="http://schemas.openxmlformats.org/officeDocument/2006/relationships/hyperlink" Target="https://www.nbcnews.com/news/us-news/u-s-supreme-court-hear-challenges-biden-s-vaccine-mandates-n1286536" TargetMode="External"/><Relationship Id="rId8" Type="http://schemas.openxmlformats.org/officeDocument/2006/relationships/hyperlink" Target="https://doi.org/10.7945/j6c2-q930" TargetMode="External"/><Relationship Id="rId142" Type="http://schemas.openxmlformats.org/officeDocument/2006/relationships/hyperlink" Target="https://cases.justia.com/federal/district-courts/tennessee/tnedce/3:2023cv00220/110152/57/0.pdf?ts=1727268755" TargetMode="External"/><Relationship Id="rId447" Type="http://schemas.openxmlformats.org/officeDocument/2006/relationships/hyperlink" Target="https://casetext.com/case/slaughter-v-mayor-city-council-of-balt" TargetMode="External"/><Relationship Id="rId794" Type="http://schemas.openxmlformats.org/officeDocument/2006/relationships/hyperlink" Target="https://casetext.com/case/stahl-v-dept-of-justice" TargetMode="External"/><Relationship Id="rId1077" Type="http://schemas.openxmlformats.org/officeDocument/2006/relationships/hyperlink" Target="https://cases.justia.com/pennsylvania/commonwealth-court/2025-923-c-d-2021.pdf?ts=1742398374" TargetMode="External"/><Relationship Id="rId2030" Type="http://schemas.openxmlformats.org/officeDocument/2006/relationships/hyperlink" Target="https://public.fastcase.com/Jhe1Qn%2BmJndQYQU6z%2FeNm2IRLtoYkrU6PXL9o8jwzst%2FNdrzc21hLfx%2B7rIFE%2Fjg?utm_medium=email&amp;_hsenc=p2ANqtz--U5QylLiDrvLvgZPxLp1UD1XwB_7biW9lkq8qHdnYocPTAWXoAY4eWtL30hGAHlHHG6f150Lk3QwJZsSzIIPSSPKfBlQ&amp;_hsmi=226712652&amp;utm_content=226712652&amp;utm_source=hs_email" TargetMode="External"/><Relationship Id="rId2128" Type="http://schemas.openxmlformats.org/officeDocument/2006/relationships/hyperlink" Target="https://webservices.courthousenews.com/sites/Data/AppellateOpinionUploads/2024-17-5--13-46-27-048b5eb5-2700-4a37-ac11-5deaa284f5ce.pdf" TargetMode="External"/><Relationship Id="rId2475" Type="http://schemas.openxmlformats.org/officeDocument/2006/relationships/hyperlink" Target="https://www.opn.ca6.uscourts.gov/opinions.pdf/21a0151p-06.pdf" TargetMode="External"/><Relationship Id="rId2682" Type="http://schemas.openxmlformats.org/officeDocument/2006/relationships/hyperlink" Target="https://cases.justia.com/texas/eleventh-court-of-appeals/2022-11-21-00026-cv.pdf?ts=1659010960" TargetMode="External"/><Relationship Id="rId654" Type="http://schemas.openxmlformats.org/officeDocument/2006/relationships/hyperlink" Target="https://www.courthousenews.com/wp-content/uploads/2025/11/santa-clara-v-noem-preliminary-injunction.pdf" TargetMode="External"/><Relationship Id="rId861" Type="http://schemas.openxmlformats.org/officeDocument/2006/relationships/hyperlink" Target="https://cases.justia.com/federal/appellate-courts/ca5/24-50970/24-50970-2025-06-05.pdf?ts=1749144644" TargetMode="External"/><Relationship Id="rId959" Type="http://schemas.openxmlformats.org/officeDocument/2006/relationships/hyperlink" Target="https://www.supremecourt.ohio.gov/rod/docs/pdf/7/2025/2025-Ohio-203.pdf" TargetMode="External"/><Relationship Id="rId1284" Type="http://schemas.openxmlformats.org/officeDocument/2006/relationships/hyperlink" Target="https://www.jud.ct.gov/external/supapp/Cases/AROcr/CR334/334CR12.pdf" TargetMode="External"/><Relationship Id="rId1491" Type="http://schemas.openxmlformats.org/officeDocument/2006/relationships/hyperlink" Target="https://cases.justia.com/federal/appellate-courts/ca6/25-3700/25-3700-2026-06-15.pdf?ts=1781553648" TargetMode="External"/><Relationship Id="rId1589" Type="http://schemas.openxmlformats.org/officeDocument/2006/relationships/hyperlink" Target="https://fox8.com/news/i-team-race-and-sex-used-to-schedule-ems-bosses/" TargetMode="External"/><Relationship Id="rId2335" Type="http://schemas.openxmlformats.org/officeDocument/2006/relationships/hyperlink" Target="https://www.supremecourt.gov/opinions/20pdf/20a87_4g15.pdf" TargetMode="External"/><Relationship Id="rId2542" Type="http://schemas.openxmlformats.org/officeDocument/2006/relationships/hyperlink" Target="https://nola.gov/getattachment/a5d775b2-685d-43c3-a7ff-ae60a9dcf745/Murphy,-Michael-9697-9698/" TargetMode="External"/><Relationship Id="rId307" Type="http://schemas.openxmlformats.org/officeDocument/2006/relationships/hyperlink" Target="https://www.courts.state.md.us/sites/default/files/unreported-opinions/0614s19.pdf" TargetMode="External"/><Relationship Id="rId514" Type="http://schemas.openxmlformats.org/officeDocument/2006/relationships/hyperlink" Target="https://public.fastcase.com/ZZhmr5v9wN%2FXOe5IsQ%2FqDy4piE023A%2FvmSBZ1OCyQDEvBrcypTxVYbDuh3sY1MRUTGEZ3quKqv94bkTO%2F3v9wUJnk5dj4IB3vpOq4w%2BY%2Blk%3D?utm_medium=email&amp;_hsmi=226712652&amp;_hsenc=p2ANqtz-8dDlTMCBDdR7Y6gBwCrwIFOUd7uQb6M2Q9eK5s_ERy0q0NLXHPkcRz9CocUT1WV-MgV98KLfaLWIoQPZBtf1lJjMQcjw&amp;utm_content=226712652&amp;utm_source=hs_email" TargetMode="External"/><Relationship Id="rId721" Type="http://schemas.openxmlformats.org/officeDocument/2006/relationships/hyperlink" Target="https://www.supremecourt.gov/opinions/22pdf/21-1496_d18f.pdf" TargetMode="External"/><Relationship Id="rId1144" Type="http://schemas.openxmlformats.org/officeDocument/2006/relationships/hyperlink" Target="https://casetext.com/case/bolling-v-city-of-montgomery" TargetMode="External"/><Relationship Id="rId1351" Type="http://schemas.openxmlformats.org/officeDocument/2006/relationships/hyperlink" Target="https://ktul.com/resources/pdf/dc103f10-071a-4876-bf70-774bb3ddb220-HurtLynnv.COTSummaryJudgmentDecision.pdf" TargetMode="External"/><Relationship Id="rId1449" Type="http://schemas.openxmlformats.org/officeDocument/2006/relationships/hyperlink" Target="https://public.fastcase.com/Wl%2B2t%2BeVuI35%2FN70vAMFZkY2nPlYZ3wtvIBy3YjdhH4Hysc14LIFQvAQrJXSfUWa" TargetMode="External"/><Relationship Id="rId1796" Type="http://schemas.openxmlformats.org/officeDocument/2006/relationships/hyperlink" Target="https://public.fastcase.com/H1P9uiW3J20SFp%2BGCG%2BxLeHSDVXVzY4x%2FiI%2F4JAOmhXpvt%2FfNBAZjz4LKds0Mto6?utm_medium=email&amp;_hsmi=226712652&amp;_hsenc=p2ANqtz-_SyWNVWtV5-tteBsEO4doKNFedyWegAxLclup35D1iuddv31pPNK7Mxz83D6yx-CsHYOnImh2IAPqInLsAyxym-pCJTQ&amp;utm_content=226712652&amp;utm_source=hs_email" TargetMode="External"/><Relationship Id="rId2402" Type="http://schemas.openxmlformats.org/officeDocument/2006/relationships/hyperlink" Target="https://scholar.google.com/scholar_case?case=16398402888190855228&amp;q=Dissell+v.+Cleveland&amp;hl=en&amp;as_sdt=6,36&amp;as_vis=1" TargetMode="External"/><Relationship Id="rId2847" Type="http://schemas.openxmlformats.org/officeDocument/2006/relationships/hyperlink" Target="https://www.supremecourt.ohio.gov/rod/docs/pdf/0/2023/2023-Ohio-2976.pdf" TargetMode="External"/><Relationship Id="rId88" Type="http://schemas.openxmlformats.org/officeDocument/2006/relationships/hyperlink" Target="https://cases.justia.com/pennsylvania/superior-court/2025-76-eda-2024.pdf?ts=1745952844" TargetMode="External"/><Relationship Id="rId819" Type="http://schemas.openxmlformats.org/officeDocument/2006/relationships/hyperlink" Target="https://supreme.justia.com/cases/federal/us/444/507/" TargetMode="External"/><Relationship Id="rId1004" Type="http://schemas.openxmlformats.org/officeDocument/2006/relationships/hyperlink" Target="https://law.justia.com/cases/michigan/court-of-appeals-unpublished/2020/351871.html" TargetMode="External"/><Relationship Id="rId1211" Type="http://schemas.openxmlformats.org/officeDocument/2006/relationships/hyperlink" Target="https://www.doi.gov/sites/doi.gov/files/migrated/flert/training/upload/General-FF-LEO-Retirement-Information-Pamphlet.pdf" TargetMode="External"/><Relationship Id="rId1656" Type="http://schemas.openxmlformats.org/officeDocument/2006/relationships/hyperlink" Target="https://www.eeoc.gov/laws/guidance/enforcement-guidance-reasonable-accommodation-and-undue-hardship-under-ada" TargetMode="External"/><Relationship Id="rId1863" Type="http://schemas.openxmlformats.org/officeDocument/2006/relationships/hyperlink" Target="https://public.fastcase.com/Wl%2B2t%2BeVuI35%2FN70vAMFZsSjCAViXICEJmEyj88%2Bo6FVmb%2F3MefopOCGEPTmoSc%2F" TargetMode="External"/><Relationship Id="rId2707" Type="http://schemas.openxmlformats.org/officeDocument/2006/relationships/hyperlink" Target="https://public.fastcase.com/9SKwsfNqTc6OieYDhNMyMwLbquMieQJJAkWYEouDi7ix05WUlxmQyjrVFv7KR6XMi0MhNDFBQq54%2Fpuo4ib1qnZU%2F1hDs4fMcaW2pIa9a%2BY%3D" TargetMode="External"/><Relationship Id="rId2914" Type="http://schemas.openxmlformats.org/officeDocument/2006/relationships/hyperlink" Target="https://www.aclufl.org/legislation/hb-75sb-184-criminalizing-bystanders-exercising-first-amendment-rights/" TargetMode="External"/><Relationship Id="rId1309" Type="http://schemas.openxmlformats.org/officeDocument/2006/relationships/hyperlink" Target="http://www.eeoc.gov/contact/index.cfm" TargetMode="External"/><Relationship Id="rId1516" Type="http://schemas.openxmlformats.org/officeDocument/2006/relationships/hyperlink" Target="https://www.americanbar.org/groups/diversity/diversity_pipeline/projects_initiatives/legal_opportunity_scholarship/" TargetMode="External"/><Relationship Id="rId1723" Type="http://schemas.openxmlformats.org/officeDocument/2006/relationships/hyperlink" Target="https://www.law.com/thelegalintelligencer/2019/08/12/third-circuit-revives-beard-related-discrimination-claims-against-upenn/" TargetMode="External"/><Relationship Id="rId1930" Type="http://schemas.openxmlformats.org/officeDocument/2006/relationships/hyperlink" Target="https://casetext.com/statute/montana-code/title-2-government-structure-and-administration/chapter-4-administrative-procedure-act/part-7-judicial-review-of-contested-cases/section-2-4-701-immediate-review-of-agency-action" TargetMode="External"/><Relationship Id="rId15" Type="http://schemas.openxmlformats.org/officeDocument/2006/relationships/hyperlink" Target="mailto:Lawrence.bennett@uc.edu" TargetMode="External"/><Relationship Id="rId2192" Type="http://schemas.openxmlformats.org/officeDocument/2006/relationships/hyperlink" Target="https://casetext.com/case/people-v-finley-127" TargetMode="External"/><Relationship Id="rId164" Type="http://schemas.openxmlformats.org/officeDocument/2006/relationships/hyperlink" Target="https://www.9news.com/article/news/local/denver-arson-google-data-fatal-house-fire-colorado-supreme-court-ruling/73-aca77fb3-30d9-4bac-b46c-6d4b4402af16" TargetMode="External"/><Relationship Id="rId371" Type="http://schemas.openxmlformats.org/officeDocument/2006/relationships/hyperlink" Target="http://blog.iaff.org/post/2018/06/05/preparing-for-the-janus-v-afscme-council-31-supreme-court-ruling" TargetMode="External"/><Relationship Id="rId2052" Type="http://schemas.openxmlformats.org/officeDocument/2006/relationships/hyperlink" Target="https://www.govinfo.gov/content/pkg/USCOURTS-mied-1_19-cr-20167/pdf/USCOURTS-mied-1_19-cr-20167-2.pdf" TargetMode="External"/><Relationship Id="rId2497" Type="http://schemas.openxmlformats.org/officeDocument/2006/relationships/hyperlink" Target="https://public.fastcase.com/waZtJvSA54UAurM2rmIZz6DHvxBXKDNOBT4bWQ9B2C2XMExqnhPDmJ4RTlgjq%2FCO3g5z%2BjC1yjBDqKCmneuiR5bS8Q3ELHfgftRpjN8MXvk%3D" TargetMode="External"/><Relationship Id="rId469" Type="http://schemas.openxmlformats.org/officeDocument/2006/relationships/hyperlink" Target="https://www.scribd.com/document/312245216/Career-Probationary-Firefighter-Runs-Out-of-Air-and-Dies-in-Commercial-Structure-Fire" TargetMode="External"/><Relationship Id="rId676" Type="http://schemas.openxmlformats.org/officeDocument/2006/relationships/hyperlink" Target="https://www.youtube.com/watch?v=DMC7Ntd4d4c" TargetMode="External"/><Relationship Id="rId883" Type="http://schemas.openxmlformats.org/officeDocument/2006/relationships/hyperlink" Target="https://search.txcourts.gov/SearchMedia.aspx?MediaVersionID=0759d8f0-c4e1-4852-8390-4190cacb89f6&amp;coa=coa10&amp;DT=Opinion&amp;MediaID=dc9d0fad-acea-4603-a120-a6519744d885" TargetMode="External"/><Relationship Id="rId1099" Type="http://schemas.openxmlformats.org/officeDocument/2006/relationships/hyperlink" Target="https://www.360connect.com/product-blog/kronos-time-and-attendance-system-types-features-pricing/" TargetMode="External"/><Relationship Id="rId2357" Type="http://schemas.openxmlformats.org/officeDocument/2006/relationships/hyperlink" Target="https://www.supremecourt.gov/opinions/19pdf/19a1044_pok0.pdf" TargetMode="External"/><Relationship Id="rId2564" Type="http://schemas.openxmlformats.org/officeDocument/2006/relationships/hyperlink" Target="https://www4.courts.ca.gov/opinions/nonpub/B333041.PDF" TargetMode="External"/><Relationship Id="rId231" Type="http://schemas.openxmlformats.org/officeDocument/2006/relationships/hyperlink" Target="https://casetext.com/case/2095-stonington-llc-v-vill-of-hoffman-estates" TargetMode="External"/><Relationship Id="rId329" Type="http://schemas.openxmlformats.org/officeDocument/2006/relationships/hyperlink" Target="http://www.ca5.uscourts.gov/opinions/unpub/19/19-10878.0.pdf" TargetMode="External"/><Relationship Id="rId536" Type="http://schemas.openxmlformats.org/officeDocument/2006/relationships/hyperlink" Target="https://www.newyorker.com/news/our-local-correspondents/what-the-supreme-courts-gun-ruling-means-for-new-york" TargetMode="External"/><Relationship Id="rId1166" Type="http://schemas.openxmlformats.org/officeDocument/2006/relationships/hyperlink" Target="https://ilcourtsaudio.blob.core.windows.net/antilles-resources/resources/51e43aff-4d85-414d-b8bb-128a5f970896/Int%20Assn%20of%20Fire%20Fighters,%20Local%2050%20v.%20City%20of%20Peoria,%202021%20IL%20127040.pdf" TargetMode="External"/><Relationship Id="rId1373" Type="http://schemas.openxmlformats.org/officeDocument/2006/relationships/hyperlink" Target="https://public.fastcase.com/H1P9uiW3J20SFp%2BGCG%2BxLdAy%2Fo69TrR1K6MVQcVakXAVjkfoheCj%2FALYO7mhCcaM?utm_medium=email&amp;_hsenc=p2ANqtz-_QVKpYjRM7B2Q5-sqKd1q9ccEl8nSIxeJoGOvaUfjL9Y5LBcGC98GOiGM8SvSGdTXKNaMFLIGTEL-_cGBVPHnVUR_G4Q&amp;_hsmi=226712652&amp;utm_content=226712652&amp;utm_source=hs_email" TargetMode="External"/><Relationship Id="rId2217" Type="http://schemas.openxmlformats.org/officeDocument/2006/relationships/hyperlink" Target="https://www.law.cornell.edu/definitions/uscode.php?width=840&amp;height=800&amp;iframe=true&amp;def_id=42-USC-303628742-1009355614&amp;term_occur=999&amp;term_src=" TargetMode="External"/><Relationship Id="rId2771" Type="http://schemas.openxmlformats.org/officeDocument/2006/relationships/hyperlink" Target="https://www.supremecourt.ohio.gov/rod/docs/pdf/11/2019/2019-Ohio-5062.pdf" TargetMode="External"/><Relationship Id="rId2869" Type="http://schemas.openxmlformats.org/officeDocument/2006/relationships/hyperlink" Target="https://public.fastcase.com/J%2FJP6pdidelsXxEE4k%2BLMtVWis%2BjrVT91gBFG4uyJWEPcpNLWXxLmz%2FQC7BVJHEFVVKmRnSKx2JFHo6ASClx4LYOJwrUPHRSA%2B3C21y5uNo%3D?utm_medium=email&amp;_hsmi=226712652&amp;_hsenc=p2ANqtz-_Z7uUMGtz89TwJ8h7fDGtfvV3sIYognKNnX4gprWQ41uEM6WKF6eTc5YmYCWiY12JCxBXlLKEbrm5nDUGgSrncCZSdVg&amp;utm_content=226712652&amp;utm_source=hs_email" TargetMode="External"/><Relationship Id="rId743" Type="http://schemas.openxmlformats.org/officeDocument/2006/relationships/hyperlink" Target="https://www.lasc.org/opinions/2022/21-0929.CQ.OPN.pdf" TargetMode="External"/><Relationship Id="rId950" Type="http://schemas.openxmlformats.org/officeDocument/2006/relationships/hyperlink" Target="https://cases.justia.com/texas/first-court-of-appeals/2025-01-24-00936-cv.pdf?ts=1762265344" TargetMode="External"/><Relationship Id="rId1026" Type="http://schemas.openxmlformats.org/officeDocument/2006/relationships/hyperlink" Target="https://caselaw.findlaw.com/mi-court-of-appeals/1890718.html" TargetMode="External"/><Relationship Id="rId1580" Type="http://schemas.openxmlformats.org/officeDocument/2006/relationships/hyperlink" Target="https://law.justia.com/cases/federal/district-courts/california/caedce/1:2018cv00824/337796/49/" TargetMode="External"/><Relationship Id="rId1678" Type="http://schemas.openxmlformats.org/officeDocument/2006/relationships/hyperlink" Target="https://casetext.com/case/smith-v-city-of-sanford-2" TargetMode="External"/><Relationship Id="rId1885" Type="http://schemas.openxmlformats.org/officeDocument/2006/relationships/hyperlink" Target="https://www.justice.gov/opa/pr/justice-department-files-lawsuit-against-city-chicago-enforce-userra-rights-us-army-reservist" TargetMode="External"/><Relationship Id="rId2424" Type="http://schemas.openxmlformats.org/officeDocument/2006/relationships/hyperlink" Target="https://cases.justia.com/federal/district-courts/maryland/mddce/1:2024cv03580/573207/56/0.pdf?ts=1777474810" TargetMode="External"/><Relationship Id="rId2631" Type="http://schemas.openxmlformats.org/officeDocument/2006/relationships/hyperlink" Target="https://www.courtswv.gov/sites/default/pubfilesmnt/2023-12/22-ICA-267_MD.pdf" TargetMode="External"/><Relationship Id="rId2729" Type="http://schemas.openxmlformats.org/officeDocument/2006/relationships/hyperlink" Target="https://casetext.com/case/parmenter-v-city-of-nowata" TargetMode="External"/><Relationship Id="rId2936" Type="http://schemas.openxmlformats.org/officeDocument/2006/relationships/hyperlink" Target="https://www.supremecourt.ohio.gov/rod/docs/pdf/0/2023/2023-Ohio-4593.pdf" TargetMode="External"/><Relationship Id="rId603" Type="http://schemas.openxmlformats.org/officeDocument/2006/relationships/hyperlink" Target="https://njcourts.gov/attorneys/assets/opinions/appellate/unpublished/a1346-17.pdf" TargetMode="External"/><Relationship Id="rId810" Type="http://schemas.openxmlformats.org/officeDocument/2006/relationships/hyperlink" Target="https://www.prnewswire.com/news-releases/over-95-of-plaintiffs-accept-world-trade-center-settlement-109252704.html" TargetMode="External"/><Relationship Id="rId908" Type="http://schemas.openxmlformats.org/officeDocument/2006/relationships/hyperlink" Target="https://cdn.ca9.uscourts.gov/datastore/opinions/2021/12/17/20-35868.pdf" TargetMode="External"/><Relationship Id="rId1233" Type="http://schemas.openxmlformats.org/officeDocument/2006/relationships/hyperlink" Target="https://casetext.com/case/heneghan-v-city-of-evanston" TargetMode="External"/><Relationship Id="rId1440" Type="http://schemas.openxmlformats.org/officeDocument/2006/relationships/hyperlink" Target="https://www.nbcnews.com/news/us-news/federal-judge-dismisses-discrimination-lawsuit-transgender-fire-chief-georgia-n1258452" TargetMode="External"/><Relationship Id="rId1538" Type="http://schemas.openxmlformats.org/officeDocument/2006/relationships/hyperlink" Target="https://cases.justia.com/federal/district-courts/texas/txedce/4:2022cv00397/214410/28/0.pdf?ts=1692978420" TargetMode="External"/><Relationship Id="rId1300" Type="http://schemas.openxmlformats.org/officeDocument/2006/relationships/hyperlink" Target="http://inmanfitzgibbons.com/illinois-wc-alert-rebutting-the-6f-presumption/" TargetMode="External"/><Relationship Id="rId1745" Type="http://schemas.openxmlformats.org/officeDocument/2006/relationships/hyperlink" Target="https://public.fastcase.com/Wl%2B2t%2BeVuI35%2FN70vAMFZmLHUFluj8t0T%2BAyFM6B%2B2S9SNpejaiKBu7OSzXfoy%2FQ" TargetMode="External"/><Relationship Id="rId1952" Type="http://schemas.openxmlformats.org/officeDocument/2006/relationships/hyperlink" Target="https://lawandcrime.com/lawsuit/racism-negligence-at-pennsylvania-emergency-call-center-led-to-deaths-lawsuit/" TargetMode="External"/><Relationship Id="rId37" Type="http://schemas.openxmlformats.org/officeDocument/2006/relationships/hyperlink" Target="https://caselaw.findlaw.com/court/tx-court-of-appeals/118277713.html" TargetMode="External"/><Relationship Id="rId1605" Type="http://schemas.openxmlformats.org/officeDocument/2006/relationships/hyperlink" Target="https://public.fastcase.com/Wl%2B2t%2BeVuI35%2FN70vAMFZkzhJOnk32e7%2BdWn1xTx2jApuUgRdcLBLFJLG9W4RHCQ" TargetMode="External"/><Relationship Id="rId1812" Type="http://schemas.openxmlformats.org/officeDocument/2006/relationships/hyperlink" Target="https://www.opb.org/article/2023/05/28/private-oregon-firefighting-company-fined-180000-dollars-after-us-labor-investigation/" TargetMode="External"/><Relationship Id="rId186" Type="http://schemas.openxmlformats.org/officeDocument/2006/relationships/hyperlink" Target="https://public.fastcase.com/ZZhmr5v9wN%2FXOe5IsQ%2FqDyh9W7agvNTeMPH8d1RJsPvP%2Fg5ZmquK03Jneavd35tblyNJzoowc3pRVBJlbMB8OXwMF7nsK7TpaO1eghvi3n8%3D?utm_medium=email&amp;_hsmi=226712652&amp;_hsenc=p2ANqtz-8CWkqPTOXpr4VKRSXFO6n4aimmH3FbbAM7Ve_pkSBcowoTJe6gCXxXh8Df-qrWOoYs_EV26aJQZp9WCJOKGH6IdbP0yQ&amp;utm_content=226712652&amp;utm_source=hs_email" TargetMode="External"/><Relationship Id="rId393" Type="http://schemas.openxmlformats.org/officeDocument/2006/relationships/hyperlink" Target="https://ilcourtsaudio.blob.core.windows.net/antilles-resources/resources/865bbd6b-111a-42c0-93b7-0362e44b14c7/Carter%20v.%20Fox%20Lake%20Fire%20Protection%20District%202026%20IL%20App%20(2d)%20250374.pdf" TargetMode="External"/><Relationship Id="rId2074" Type="http://schemas.openxmlformats.org/officeDocument/2006/relationships/hyperlink" Target="https://caselaw.findlaw.com/court/us-dis-crt-sd-new-yor/117411673.html" TargetMode="External"/><Relationship Id="rId2281" Type="http://schemas.openxmlformats.org/officeDocument/2006/relationships/hyperlink" Target="https://www.cbsnews.com/news/los-angeles-settlement-families-photos-kobe-bryant-helicopter-crash/" TargetMode="External"/><Relationship Id="rId253" Type="http://schemas.openxmlformats.org/officeDocument/2006/relationships/hyperlink" Target="https://abc7ny.com/new-york-city-harlem-fire-edward-norton/3249411/" TargetMode="External"/><Relationship Id="rId460" Type="http://schemas.openxmlformats.org/officeDocument/2006/relationships/hyperlink" Target="https://cases.justia.com/kentucky/supreme-court/2024-2023-sc-0062-dg.pdf?ts=1729778750" TargetMode="External"/><Relationship Id="rId698" Type="http://schemas.openxmlformats.org/officeDocument/2006/relationships/hyperlink" Target="https://www.supremecourt.gov/opinions/23pdf/22-1178_p8k0.pdf" TargetMode="External"/><Relationship Id="rId1090" Type="http://schemas.openxmlformats.org/officeDocument/2006/relationships/hyperlink" Target="https://cases.justia.com/ohio/tenth-district-court-of-appeals/2024-22ap-431.pdf?ts=1728583884" TargetMode="External"/><Relationship Id="rId2141" Type="http://schemas.openxmlformats.org/officeDocument/2006/relationships/hyperlink" Target="https://www.vermontpublic.org/local-news/2024-01-31/burlington-sued-over-claims-of-excessive-force-and-inappropriate-ketamine-use-on-14-year-old" TargetMode="External"/><Relationship Id="rId2379" Type="http://schemas.openxmlformats.org/officeDocument/2006/relationships/hyperlink" Target="https://public.fastcase.com/Wl%2B2t%2BeVuI35%2FN70vAMFZmE2ukal8IvDC5BUTFBRpPNG0o0%2FGYOYjoFH9I91Iplb" TargetMode="External"/><Relationship Id="rId2586" Type="http://schemas.openxmlformats.org/officeDocument/2006/relationships/hyperlink" Target="https://cases.justia.com/federal/district-courts/ohio/ohsdce/1:2023cv00230/279336/47/0.pdf?ts=1756299215" TargetMode="External"/><Relationship Id="rId2793" Type="http://schemas.openxmlformats.org/officeDocument/2006/relationships/hyperlink" Target="https://www.njcourts.gov/attorneys/assets/opinions/supreme/a_58_16.pdf" TargetMode="External"/><Relationship Id="rId113" Type="http://schemas.openxmlformats.org/officeDocument/2006/relationships/hyperlink" Target="https://caselaw.findlaw.com/court/az-court-of-appeals/116575227.html" TargetMode="External"/><Relationship Id="rId320" Type="http://schemas.openxmlformats.org/officeDocument/2006/relationships/hyperlink" Target="https://www.supremecourt.gov/opinions/19pdf/18-1059_e2p3.pdf" TargetMode="External"/><Relationship Id="rId558" Type="http://schemas.openxmlformats.org/officeDocument/2006/relationships/hyperlink" Target="https://www.radio.com/kcbsradio/news/local/oakland-fire-stations-may-close-due-to-budget-deficit" TargetMode="External"/><Relationship Id="rId765" Type="http://schemas.openxmlformats.org/officeDocument/2006/relationships/hyperlink" Target="https://www.cincinnati.com/story/news/2019/08/05/how-dayton-shooting-happened-maps-video-and-graphics/1923063001/" TargetMode="External"/><Relationship Id="rId972" Type="http://schemas.openxmlformats.org/officeDocument/2006/relationships/hyperlink" Target="https://www.supremecourt.ohio.gov/rod/docs/pdf/8/2023/2023-Ohio-4213.pdf" TargetMode="External"/><Relationship Id="rId1188" Type="http://schemas.openxmlformats.org/officeDocument/2006/relationships/hyperlink" Target="https://www.schafer-and-schafer.com/workers-compensation/" TargetMode="External"/><Relationship Id="rId1395" Type="http://schemas.openxmlformats.org/officeDocument/2006/relationships/hyperlink" Target="https://www.dol.gov/agencies/whd/fact-sheets/73-flsa-break-time-nursing-mothers" TargetMode="External"/><Relationship Id="rId2001" Type="http://schemas.openxmlformats.org/officeDocument/2006/relationships/hyperlink" Target="https://www.law.cornell.edu/rules/fre/rule_803" TargetMode="External"/><Relationship Id="rId2239" Type="http://schemas.openxmlformats.org/officeDocument/2006/relationships/hyperlink" Target="https://law.justia.com/cases/federal/district-courts/new-york/nysdce/1:2020cv04452/538491/83/" TargetMode="External"/><Relationship Id="rId2446" Type="http://schemas.openxmlformats.org/officeDocument/2006/relationships/hyperlink" Target="https://public.fastcase.com/Jhe1Qn%2BmJndQYQU6z%2FeNm%2BcFVCy5tJw2gy1zfbpkLaze9U67QqLJTV5FE2cJQCoqnSyWDfbWSo3ic5o1p0zHzyDw8vgxY%2BBok5izm2ejH6U%3D?utm_medium=email&amp;_hsenc=p2ANqtz--bkYiy1pyPlPSsVe74xwULcEQroRrEa3UI3GrVMXxBGgBl78iSBqXQuZMV2NG07-VaF6HXpA1gGzG-xJKwbOenCq2wOg&amp;_hsmi=226712652&amp;utm_content=226712652&amp;utm_source=hs_email" TargetMode="External"/><Relationship Id="rId2653" Type="http://schemas.openxmlformats.org/officeDocument/2006/relationships/hyperlink" Target="https://www.supremecourt.gov/opinions/22pdf/22-138_43j7.pdf" TargetMode="External"/><Relationship Id="rId2860" Type="http://schemas.openxmlformats.org/officeDocument/2006/relationships/hyperlink" Target="https://www.nlrb.gov/news-outreach/news-story/board-rules-that-employers-may-not-offer-severance-agreements-requiring" TargetMode="External"/><Relationship Id="rId418" Type="http://schemas.openxmlformats.org/officeDocument/2006/relationships/hyperlink" Target="https://cases.justia.com/connecticut/court-of-appeals/2025-ac46735.pdf?ts=1766582340" TargetMode="External"/><Relationship Id="rId625" Type="http://schemas.openxmlformats.org/officeDocument/2006/relationships/hyperlink" Target="https://www.doj.state.or.us/wp-content/uploads/2026/07/ECF-122-Memorandum-and-Order-on-Ps-MSJ-and-Ds-MTD.pdf" TargetMode="External"/><Relationship Id="rId832" Type="http://schemas.openxmlformats.org/officeDocument/2006/relationships/hyperlink" Target="https://www.law.com/newyorklawjournal/2019/04/25/split-2nd-circuit-panel-finds-outrageous-ice-conduct-revives-activists-removal-suit/" TargetMode="External"/><Relationship Id="rId1048" Type="http://schemas.openxmlformats.org/officeDocument/2006/relationships/hyperlink" Target="https://cases.justia.com/arizona/supreme-court/2025-cv-23-0211-pr.pdf?ts=1743008459" TargetMode="External"/><Relationship Id="rId1255" Type="http://schemas.openxmlformats.org/officeDocument/2006/relationships/hyperlink" Target="http://codes.ohio.gov/orc/2743.75" TargetMode="External"/><Relationship Id="rId1462" Type="http://schemas.openxmlformats.org/officeDocument/2006/relationships/hyperlink" Target="https://cases.justia.com/federal/appellate-courts/ca5/18-40561/18-40561-2019-07-10.pdf?ts=1562779857" TargetMode="External"/><Relationship Id="rId2306" Type="http://schemas.openxmlformats.org/officeDocument/2006/relationships/hyperlink" Target="https://www.firehouse.com/ems/news/21025612/bellingham-wa-investigation-probe-firefighters-intubation-dead-body" TargetMode="External"/><Relationship Id="rId2513" Type="http://schemas.openxmlformats.org/officeDocument/2006/relationships/hyperlink" Target="https://images.law.com/contrib/content/uploads/documents/399/44956/psych.pdf" TargetMode="External"/><Relationship Id="rId2958" Type="http://schemas.openxmlformats.org/officeDocument/2006/relationships/hyperlink" Target="https://www.hannah.com/ShowDocument.aspx?BTextID=219206" TargetMode="External"/><Relationship Id="rId1115" Type="http://schemas.openxmlformats.org/officeDocument/2006/relationships/hyperlink" Target="https://public.fastcase.com/ZZhmr5v9wN%2FXOe5IsQ%2FqD597Cj8vEFtFKU6dv%2BnWYID0RND2DGxx0gwPm3LnKjbN?utm_medium=email&amp;_hsmi=226712652&amp;_hsenc=p2ANqtz-9VqkDv3iEaCOhGJ0e7W649YKVFgXPPT1K4rwfEfIma89pOhcAxwCchfIpHNeRMlfH4gAwQhfXkNV3ClRJYpxBL670A4g&amp;utm_content=226712652&amp;utm_source=hs_email" TargetMode="External"/><Relationship Id="rId1322" Type="http://schemas.openxmlformats.org/officeDocument/2006/relationships/hyperlink" Target="https://legislature.vermont.gov/assets/Documents/2018/WorkGroups/House%20Commerce/Bills/H.197/H.197~Laura%20Backus%20Hall~NCCI%20White%20Paper%20on%20Firefighter%20Presumptive%20Coverage~3-16-2017.pdf" TargetMode="External"/><Relationship Id="rId1767" Type="http://schemas.openxmlformats.org/officeDocument/2006/relationships/hyperlink" Target="https://www.mass.gov/doc/driscoll-v-city-of-melrose-ac-s24p1114/download" TargetMode="External"/><Relationship Id="rId1974" Type="http://schemas.openxmlformats.org/officeDocument/2006/relationships/hyperlink" Target="https://www.cnn.com/2021/06/29/americas/mexico-cannabis-decriminalization-intl/index.html?utm_content=2021-06-29T08%3A51%3A14&amp;utm_term=link&amp;utm_source=twcnnbrk&amp;utm_medium=social" TargetMode="External"/><Relationship Id="rId2720" Type="http://schemas.openxmlformats.org/officeDocument/2006/relationships/hyperlink" Target="https://laborlawlosangeles.com/the-city-of-south-pasadena-illegally-dismissed-a-firefighter-supreme-court-denies-review-the-south-pasadenan/" TargetMode="External"/><Relationship Id="rId2818" Type="http://schemas.openxmlformats.org/officeDocument/2006/relationships/hyperlink" Target="https://www4.courts.ca.gov/opinions/nonpub/B342205.PDF" TargetMode="External"/><Relationship Id="rId59" Type="http://schemas.openxmlformats.org/officeDocument/2006/relationships/hyperlink" Target="https://www.norriseditorial.com" TargetMode="External"/><Relationship Id="rId1627" Type="http://schemas.openxmlformats.org/officeDocument/2006/relationships/hyperlink" Target="https://apps.fastcase.com/Research/Pages/Document.aspx?LTID=nmuHYWyOr%2b3AQipzJYAFoxfLB3OO%2f59bKxwBTjI1BmfqRzjMCJEWOFBsNDL%2by45wqmfNJlXSpZLawvrJl9FKgwtB%2fUqEuGE56NZQIRJncdz5SsmQ19AY6YoAUqCXNuyg7WjzDpnasAs9GwevnZzP8A%3d%3d&amp;ECF=%2c+434+U.S.+412+(1978)" TargetMode="External"/><Relationship Id="rId1834" Type="http://schemas.openxmlformats.org/officeDocument/2006/relationships/hyperlink" Target="https://www.law.cornell.edu/uscode/text/29/201" TargetMode="External"/><Relationship Id="rId2096" Type="http://schemas.openxmlformats.org/officeDocument/2006/relationships/hyperlink" Target="https://www4.courts.ca.gov/opinions/nonpub/B335656.PDF" TargetMode="External"/><Relationship Id="rId1901" Type="http://schemas.openxmlformats.org/officeDocument/2006/relationships/hyperlink" Target="https://www.dol.gov/whd/opinion/FLSA/2018/2018_01_05_16_FLSA.pdf" TargetMode="External"/><Relationship Id="rId275" Type="http://schemas.openxmlformats.org/officeDocument/2006/relationships/hyperlink" Target="https://public.fastcase.com/Wl%2B2t%2BeVuI35%2FN70vAMFZnSQz8BzpEWSl4qvcEU%2FNgbENUBBcIuF0iEqrodjguq8" TargetMode="External"/><Relationship Id="rId482" Type="http://schemas.openxmlformats.org/officeDocument/2006/relationships/hyperlink" Target="https://public.fastcase.com/H1P9uiW3J20SFp%2BGCG%2BxLYPdFYBU6rXmSQ%2By5I06IYNauAow%2BFD183wwpB9seHw0huG9jZnFzDNjvlfgYqLRMXl7VVMzVdIElYOfNiWEhG4%3D?utm_medium=email&amp;_hsmi=226712652&amp;_hsenc=p2ANqtz-9dIeusfdAjuYcHWZc-tZCt-VYwNMyt2XrZBQ64qnpV1yAnhv8veUFYKRs_yaW_VBF9gsQcut_JaRzapEXH-rHIPbxEPQ&amp;utm_content=226712652&amp;utm_source=hs_email" TargetMode="External"/><Relationship Id="rId2163" Type="http://schemas.openxmlformats.org/officeDocument/2006/relationships/hyperlink" Target="https://public.fastcase.com/ZZhmr5v9wN%2FXOe5IsQ%2FqDx0vrICWCRjPwrPkFejRzcL5IKaE8Rtd1E1QUMzNRkuXg4QLEVUEQQe1JZ8q921vtt1B6ovVwHeC3EtpH3EMOZQ%3D?utm_medium=email&amp;_hsmi=226712652&amp;_hsenc=p2ANqtz-" TargetMode="External"/><Relationship Id="rId2370" Type="http://schemas.openxmlformats.org/officeDocument/2006/relationships/hyperlink" Target="https://brady-static.s3.amazonaws.com/2020-04-06-29-Order-Denying-TRO-Ap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722C58-E3D9-4450-945B-3C981AE1C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1705</TotalTime>
  <Pages>1364</Pages>
  <Words>660698</Words>
  <Characters>3765984</Characters>
  <Application>Microsoft Office Word</Application>
  <DocSecurity>0</DocSecurity>
  <Lines>31383</Lines>
  <Paragraphs>8835</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
      <vt:lpstr>Note:  </vt:lpstr>
      <vt:lpstr>Rule 701. Opinion Testimony by Lay Witnesses; https://www.law.cornell.edu/rules/</vt:lpstr>
      <vt:lpstr>Rule 702. Testimony by Expert Witnesses; https://www.law.cornell.edu/rules/fre/r</vt:lpstr>
      <vt:lpstr>Note: See July 25, 2023 article, “Federal Appeals Court throws out conviction fo</vt:lpstr>
      <vt:lpstr>See Jan. 6, 2022 DoJ Press Release: “Asheville Jury Convicts Franklin, N.C. Man </vt:lpstr>
      <vt:lpstr>Note: See Feb. 7, 2023, the U.S. Department of Justice press release: “False Cla</vt:lpstr>
      <vt:lpstr>Note: See Feb. 7, 2023, the U.S. Department of Justice press release: “False Cla</vt:lpstr>
      <vt:lpstr>    OH: TEACHERS CAN HAVE FIREARMS – WITH SCHOOL PERMISSION - 24 HRS TRAINING – REQU</vt:lpstr>
      <vt:lpstr>See also Ohio Revised Code: Section 5589.21 | Obstruction of roads by railroads.</vt:lpstr>
      <vt:lpstr>IL: ANNUAL TESTING FIRE ALARMS REQ. EACH 48 UNITS – CONDO ASSOC. MUST GET OWNERS</vt:lpstr>
      <vt:lpstr>On June 21, 2022, in The Village of Downers Grove v. Village Square III Condomin</vt:lpstr>
    </vt:vector>
  </TitlesOfParts>
  <Company>University of Cincinnati</Company>
  <LinksUpToDate>false</LinksUpToDate>
  <CharactersWithSpaces>4417847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Lawrence Bennett</dc:creator>
  <cp:lastModifiedBy>Lawrence Bennett</cp:lastModifiedBy>
  <cp:revision>1872</cp:revision>
  <cp:lastPrinted>2020-10-31T11:04:00Z</cp:lastPrinted>
  <dcterms:created xsi:type="dcterms:W3CDTF">2024-06-22T16:03:00Z</dcterms:created>
  <dcterms:modified xsi:type="dcterms:W3CDTF">2026-07-28T18:45:00Z</dcterms:modified>
</cp:coreProperties>
</file>